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96.xml" ContentType="application/vnd.openxmlformats-officedocument.wordprocessingml.footer+xml"/>
  <Override PartName="/word/header1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904FCB" w:rsidRDefault="00893651" w:rsidP="00510A75">
      <w:pPr>
        <w:tabs>
          <w:tab w:val="left" w:pos="2636"/>
        </w:tabs>
        <w:autoSpaceDE w:val="0"/>
        <w:autoSpaceDN w:val="0"/>
        <w:spacing w:line="240" w:lineRule="auto"/>
        <w:ind w:left="2837" w:firstLine="0"/>
        <w:jc w:val="center"/>
        <w:rPr>
          <w:rFonts w:ascii="Times New Roman" w:hAnsi="Times New Roman" w:cs="SKR HEAD1"/>
          <w:b/>
          <w:i/>
          <w:iCs/>
          <w:spacing w:val="-4"/>
          <w:sz w:val="80"/>
          <w:szCs w:val="80"/>
          <w:rtl/>
          <w:lang w:eastAsia="ar-SA"/>
        </w:rPr>
      </w:pPr>
      <w:r w:rsidRPr="00904FCB">
        <w:rPr>
          <w:noProof/>
        </w:rPr>
        <mc:AlternateContent>
          <mc:Choice Requires="wps">
            <w:drawing>
              <wp:anchor distT="0" distB="0" distL="114300" distR="114300" simplePos="0" relativeHeight="251660800" behindDoc="1" locked="0" layoutInCell="1" allowOverlap="1" wp14:anchorId="1FA8E90A" wp14:editId="2E00EFA3">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F41F33" w:rsidRPr="001B6341" w:rsidRDefault="00F41F33" w:rsidP="00893651">
                            <w:pPr>
                              <w:spacing w:before="120"/>
                              <w:ind w:firstLine="17"/>
                              <w:jc w:val="center"/>
                              <w:rPr>
                                <w:rFonts w:ascii="Mosawi" w:hAnsi="Mosawi" w:cs="Mosawi"/>
                                <w:color w:val="000000"/>
                                <w:sz w:val="4"/>
                                <w:szCs w:val="2"/>
                                <w:rtl/>
                              </w:rPr>
                            </w:pPr>
                          </w:p>
                          <w:p w:rsidR="00F41F33" w:rsidRPr="001B6341" w:rsidRDefault="00F41F33"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F41F33" w:rsidRPr="00520213" w:rsidRDefault="00F41F33"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F41F33" w:rsidRPr="001B6341" w:rsidRDefault="00F41F33" w:rsidP="00893651">
                            <w:pPr>
                              <w:spacing w:before="120"/>
                              <w:ind w:firstLine="18"/>
                              <w:jc w:val="center"/>
                              <w:rPr>
                                <w:rFonts w:ascii="Mosawi" w:hAnsi="Mosawi" w:cs="Mosawi"/>
                                <w:color w:val="000000"/>
                                <w:sz w:val="12"/>
                                <w:szCs w:val="8"/>
                                <w:rtl/>
                                <w:lang w:bidi="ar-LB"/>
                              </w:rPr>
                            </w:pPr>
                          </w:p>
                          <w:p w:rsidR="00F41F33" w:rsidRDefault="00F41F33"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F41F33" w:rsidRPr="00C84560" w:rsidRDefault="00F41F33"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F41F33" w:rsidRPr="004D5C94" w:rsidRDefault="00F41F33" w:rsidP="00893651">
                            <w:pPr>
                              <w:ind w:firstLine="18"/>
                              <w:jc w:val="center"/>
                              <w:rPr>
                                <w:rFonts w:cs="Taher"/>
                                <w:color w:val="000000"/>
                                <w:rtl/>
                                <w:lang w:bidi="ar-LB"/>
                              </w:rPr>
                            </w:pPr>
                          </w:p>
                          <w:p w:rsidR="00F41F33" w:rsidRPr="001B6341" w:rsidRDefault="00F41F33"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F41F33" w:rsidRPr="00BA2384" w:rsidRDefault="00F41F33" w:rsidP="00893651">
                            <w:pPr>
                              <w:ind w:firstLine="18"/>
                              <w:jc w:val="center"/>
                              <w:rPr>
                                <w:rFonts w:cs="Abz-2 (Badr)"/>
                                <w:b/>
                                <w:bCs/>
                                <w:color w:val="000000"/>
                                <w:rtl/>
                              </w:rPr>
                            </w:pPr>
                            <w:r w:rsidRPr="00BA2384">
                              <w:rPr>
                                <w:rFonts w:cs="Abz-2 (Badr)" w:hint="cs"/>
                                <w:b/>
                                <w:bCs/>
                                <w:color w:val="000000"/>
                                <w:sz w:val="32"/>
                                <w:szCs w:val="32"/>
                                <w:rtl/>
                              </w:rPr>
                              <w:t>ربيع سويدان</w:t>
                            </w:r>
                          </w:p>
                          <w:p w:rsidR="00F41F33" w:rsidRDefault="00F41F33" w:rsidP="00893651">
                            <w:pPr>
                              <w:ind w:firstLine="18"/>
                              <w:jc w:val="center"/>
                              <w:rPr>
                                <w:rFonts w:cs="Taher"/>
                                <w:color w:val="000000"/>
                                <w:sz w:val="26"/>
                                <w:szCs w:val="22"/>
                                <w:rtl/>
                              </w:rPr>
                            </w:pPr>
                          </w:p>
                          <w:p w:rsidR="00F41F33" w:rsidRPr="004D5C94" w:rsidRDefault="00F41F33" w:rsidP="00893651">
                            <w:pPr>
                              <w:ind w:firstLine="18"/>
                              <w:jc w:val="center"/>
                              <w:rPr>
                                <w:rFonts w:cs="Taher"/>
                                <w:color w:val="000000"/>
                                <w:sz w:val="26"/>
                                <w:szCs w:val="22"/>
                                <w:rtl/>
                              </w:rPr>
                            </w:pPr>
                          </w:p>
                          <w:p w:rsidR="00F41F33" w:rsidRPr="00BA2384" w:rsidRDefault="00F41F33"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F41F33" w:rsidRDefault="00F41F33" w:rsidP="00893651">
                            <w:pPr>
                              <w:ind w:firstLine="18"/>
                              <w:jc w:val="center"/>
                              <w:rPr>
                                <w:rFonts w:cs="HeshamNormal"/>
                                <w:color w:val="000000"/>
                              </w:rPr>
                            </w:pPr>
                          </w:p>
                          <w:p w:rsidR="00F41F33" w:rsidRDefault="00F41F33" w:rsidP="00893651">
                            <w:pPr>
                              <w:ind w:firstLine="18"/>
                              <w:jc w:val="center"/>
                              <w:rPr>
                                <w:rFonts w:cs="HeshamNormal"/>
                                <w:color w:val="000000"/>
                              </w:rPr>
                            </w:pPr>
                          </w:p>
                          <w:p w:rsidR="00F41F33" w:rsidRDefault="00F41F33" w:rsidP="00893651">
                            <w:pPr>
                              <w:ind w:firstLine="18"/>
                              <w:jc w:val="center"/>
                              <w:rPr>
                                <w:rFonts w:cs="HeshamNormal"/>
                                <w:color w:val="000000"/>
                              </w:rPr>
                            </w:pPr>
                          </w:p>
                          <w:p w:rsidR="00F41F33" w:rsidRDefault="00F41F33" w:rsidP="00893651">
                            <w:pPr>
                              <w:ind w:firstLine="18"/>
                              <w:jc w:val="center"/>
                              <w:rPr>
                                <w:rFonts w:cs="HeshamNormal"/>
                                <w:color w:val="000000"/>
                              </w:rPr>
                            </w:pPr>
                          </w:p>
                          <w:p w:rsidR="00F41F33" w:rsidRDefault="00F41F33" w:rsidP="00893651">
                            <w:pPr>
                              <w:ind w:firstLine="18"/>
                              <w:jc w:val="center"/>
                              <w:rPr>
                                <w:rFonts w:cs="HeshamNormal"/>
                                <w:color w:val="000000"/>
                              </w:rPr>
                            </w:pPr>
                          </w:p>
                          <w:p w:rsidR="00F41F33" w:rsidRPr="001B6341" w:rsidRDefault="00F41F33" w:rsidP="00893651">
                            <w:pPr>
                              <w:ind w:firstLine="17"/>
                              <w:jc w:val="center"/>
                              <w:rPr>
                                <w:rFonts w:ascii="Mosawi" w:hAnsi="Mosawi" w:cs="Mosawi"/>
                                <w:color w:val="000000"/>
                                <w:sz w:val="12"/>
                                <w:szCs w:val="8"/>
                                <w:rtl/>
                              </w:rPr>
                            </w:pPr>
                          </w:p>
                          <w:p w:rsidR="00F41F33" w:rsidRPr="00C84560" w:rsidRDefault="00F41F33" w:rsidP="00893651">
                            <w:pPr>
                              <w:ind w:firstLine="18"/>
                              <w:jc w:val="center"/>
                              <w:rPr>
                                <w:rFonts w:cs="Abz-3 (Yagut)"/>
                                <w:b/>
                                <w:bCs/>
                                <w:color w:val="000000"/>
                                <w:rtl/>
                              </w:rPr>
                            </w:pPr>
                          </w:p>
                          <w:p w:rsidR="00F41F33" w:rsidRPr="00130951" w:rsidRDefault="00F41F33"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F41F33" w:rsidRPr="00B8317B" w:rsidRDefault="00F41F33"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F41F33" w:rsidRPr="00C84560" w:rsidRDefault="00F41F33" w:rsidP="00893651">
                            <w:pPr>
                              <w:ind w:firstLine="18"/>
                              <w:jc w:val="center"/>
                              <w:rPr>
                                <w:rFonts w:cs="Abz-3 (Yagut)"/>
                                <w:b/>
                                <w:bCs/>
                                <w:color w:val="000000"/>
                                <w:rtl/>
                              </w:rPr>
                            </w:pPr>
                          </w:p>
                          <w:p w:rsidR="00F41F33" w:rsidRPr="001B6341" w:rsidRDefault="00F41F33"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F41F33" w:rsidRPr="00130951" w:rsidRDefault="00F41F33" w:rsidP="00893651">
                            <w:pPr>
                              <w:ind w:firstLine="18"/>
                              <w:jc w:val="center"/>
                              <w:rPr>
                                <w:rFonts w:cs="HeshamNormal"/>
                                <w:color w:val="000000"/>
                                <w:sz w:val="22"/>
                                <w:szCs w:val="22"/>
                              </w:rPr>
                            </w:pPr>
                            <w:r w:rsidRPr="00130951">
                              <w:rPr>
                                <w:rFonts w:cs="HeshamNormal"/>
                                <w:color w:val="000000"/>
                                <w:sz w:val="22"/>
                                <w:szCs w:val="22"/>
                              </w:rPr>
                              <w:t>Idea Creation</w:t>
                            </w:r>
                          </w:p>
                          <w:p w:rsidR="00F41F33" w:rsidRPr="008F5476" w:rsidRDefault="00F41F33" w:rsidP="00893651">
                            <w:pPr>
                              <w:spacing w:line="460" w:lineRule="exact"/>
                              <w:ind w:firstLine="18"/>
                              <w:jc w:val="center"/>
                              <w:rPr>
                                <w:rFonts w:cs="HeshamNormal"/>
                                <w:color w:val="000000"/>
                                <w:szCs w:val="20"/>
                              </w:rPr>
                            </w:pPr>
                          </w:p>
                          <w:p w:rsidR="00F41F33" w:rsidRPr="00CD4BDD" w:rsidRDefault="00F41F33"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EB7818" w:rsidRPr="001B6341" w:rsidRDefault="00EB7818" w:rsidP="00893651">
                      <w:pPr>
                        <w:spacing w:before="120"/>
                        <w:ind w:firstLine="17"/>
                        <w:jc w:val="center"/>
                        <w:rPr>
                          <w:rFonts w:ascii="Mosawi" w:hAnsi="Mosawi" w:cs="Mosawi"/>
                          <w:color w:val="000000"/>
                          <w:sz w:val="4"/>
                          <w:szCs w:val="2"/>
                          <w:rtl/>
                        </w:rPr>
                      </w:pPr>
                    </w:p>
                    <w:p w:rsidR="00EB7818" w:rsidRPr="001B6341" w:rsidRDefault="00EB7818"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EB7818" w:rsidRPr="00520213" w:rsidRDefault="00EB7818"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EB7818" w:rsidRPr="001B6341" w:rsidRDefault="00EB7818" w:rsidP="00893651">
                      <w:pPr>
                        <w:spacing w:before="120"/>
                        <w:ind w:firstLine="18"/>
                        <w:jc w:val="center"/>
                        <w:rPr>
                          <w:rFonts w:ascii="Mosawi" w:hAnsi="Mosawi" w:cs="Mosawi"/>
                          <w:color w:val="000000"/>
                          <w:sz w:val="12"/>
                          <w:szCs w:val="8"/>
                          <w:rtl/>
                          <w:lang w:bidi="ar-LB"/>
                        </w:rPr>
                      </w:pPr>
                    </w:p>
                    <w:p w:rsidR="00EB7818" w:rsidRDefault="00EB7818"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EB7818" w:rsidRPr="00C84560" w:rsidRDefault="00EB7818"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EB7818" w:rsidRPr="004D5C94" w:rsidRDefault="00EB7818" w:rsidP="00893651">
                      <w:pPr>
                        <w:ind w:firstLine="18"/>
                        <w:jc w:val="center"/>
                        <w:rPr>
                          <w:rFonts w:cs="Taher"/>
                          <w:color w:val="000000"/>
                          <w:rtl/>
                          <w:lang w:bidi="ar-LB"/>
                        </w:rPr>
                      </w:pPr>
                    </w:p>
                    <w:p w:rsidR="00EB7818" w:rsidRPr="001B6341" w:rsidRDefault="00EB7818"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EB7818" w:rsidRPr="00BA2384" w:rsidRDefault="00EB7818" w:rsidP="00893651">
                      <w:pPr>
                        <w:ind w:firstLine="18"/>
                        <w:jc w:val="center"/>
                        <w:rPr>
                          <w:rFonts w:cs="Abz-2 (Badr)"/>
                          <w:b/>
                          <w:bCs/>
                          <w:color w:val="000000"/>
                          <w:rtl/>
                        </w:rPr>
                      </w:pPr>
                      <w:r w:rsidRPr="00BA2384">
                        <w:rPr>
                          <w:rFonts w:cs="Abz-2 (Badr)" w:hint="cs"/>
                          <w:b/>
                          <w:bCs/>
                          <w:color w:val="000000"/>
                          <w:sz w:val="32"/>
                          <w:szCs w:val="32"/>
                          <w:rtl/>
                        </w:rPr>
                        <w:t>ربيع سويدان</w:t>
                      </w:r>
                    </w:p>
                    <w:p w:rsidR="00EB7818" w:rsidRDefault="00EB7818" w:rsidP="00893651">
                      <w:pPr>
                        <w:ind w:firstLine="18"/>
                        <w:jc w:val="center"/>
                        <w:rPr>
                          <w:rFonts w:cs="Taher"/>
                          <w:color w:val="000000"/>
                          <w:sz w:val="26"/>
                          <w:szCs w:val="22"/>
                          <w:rtl/>
                        </w:rPr>
                      </w:pPr>
                    </w:p>
                    <w:p w:rsidR="00EB7818" w:rsidRPr="004D5C94" w:rsidRDefault="00EB7818" w:rsidP="00893651">
                      <w:pPr>
                        <w:ind w:firstLine="18"/>
                        <w:jc w:val="center"/>
                        <w:rPr>
                          <w:rFonts w:cs="Taher"/>
                          <w:color w:val="000000"/>
                          <w:sz w:val="26"/>
                          <w:szCs w:val="22"/>
                          <w:rtl/>
                        </w:rPr>
                      </w:pPr>
                    </w:p>
                    <w:p w:rsidR="00EB7818" w:rsidRPr="00BA2384" w:rsidRDefault="00EB7818"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EB7818" w:rsidRDefault="00EB7818" w:rsidP="00893651">
                      <w:pPr>
                        <w:ind w:firstLine="18"/>
                        <w:jc w:val="center"/>
                        <w:rPr>
                          <w:rFonts w:cs="HeshamNormal"/>
                          <w:color w:val="000000"/>
                        </w:rPr>
                      </w:pPr>
                    </w:p>
                    <w:p w:rsidR="00EB7818" w:rsidRDefault="00EB7818" w:rsidP="00893651">
                      <w:pPr>
                        <w:ind w:firstLine="18"/>
                        <w:jc w:val="center"/>
                        <w:rPr>
                          <w:rFonts w:cs="HeshamNormal"/>
                          <w:color w:val="000000"/>
                        </w:rPr>
                      </w:pPr>
                    </w:p>
                    <w:p w:rsidR="00EB7818" w:rsidRDefault="00EB7818" w:rsidP="00893651">
                      <w:pPr>
                        <w:ind w:firstLine="18"/>
                        <w:jc w:val="center"/>
                        <w:rPr>
                          <w:rFonts w:cs="HeshamNormal"/>
                          <w:color w:val="000000"/>
                        </w:rPr>
                      </w:pPr>
                    </w:p>
                    <w:p w:rsidR="00EB7818" w:rsidRDefault="00EB7818" w:rsidP="00893651">
                      <w:pPr>
                        <w:ind w:firstLine="18"/>
                        <w:jc w:val="center"/>
                        <w:rPr>
                          <w:rFonts w:cs="HeshamNormal"/>
                          <w:color w:val="000000"/>
                        </w:rPr>
                      </w:pPr>
                    </w:p>
                    <w:p w:rsidR="00EB7818" w:rsidRDefault="00EB7818" w:rsidP="00893651">
                      <w:pPr>
                        <w:ind w:firstLine="18"/>
                        <w:jc w:val="center"/>
                        <w:rPr>
                          <w:rFonts w:cs="HeshamNormal"/>
                          <w:color w:val="000000"/>
                        </w:rPr>
                      </w:pPr>
                    </w:p>
                    <w:p w:rsidR="00EB7818" w:rsidRPr="001B6341" w:rsidRDefault="00EB7818" w:rsidP="00893651">
                      <w:pPr>
                        <w:ind w:firstLine="17"/>
                        <w:jc w:val="center"/>
                        <w:rPr>
                          <w:rFonts w:ascii="Mosawi" w:hAnsi="Mosawi" w:cs="Mosawi"/>
                          <w:color w:val="000000"/>
                          <w:sz w:val="12"/>
                          <w:szCs w:val="8"/>
                          <w:rtl/>
                        </w:rPr>
                      </w:pPr>
                    </w:p>
                    <w:p w:rsidR="00EB7818" w:rsidRPr="00C84560" w:rsidRDefault="00EB7818" w:rsidP="00893651">
                      <w:pPr>
                        <w:ind w:firstLine="18"/>
                        <w:jc w:val="center"/>
                        <w:rPr>
                          <w:rFonts w:cs="Abz-3 (Yagut)"/>
                          <w:b/>
                          <w:bCs/>
                          <w:color w:val="000000"/>
                          <w:rtl/>
                        </w:rPr>
                      </w:pPr>
                    </w:p>
                    <w:p w:rsidR="00EB7818" w:rsidRPr="00130951" w:rsidRDefault="00EB7818"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EB7818" w:rsidRPr="00B8317B" w:rsidRDefault="00EB7818"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EB7818" w:rsidRPr="00C84560" w:rsidRDefault="00EB7818" w:rsidP="00893651">
                      <w:pPr>
                        <w:ind w:firstLine="18"/>
                        <w:jc w:val="center"/>
                        <w:rPr>
                          <w:rFonts w:cs="Abz-3 (Yagut)"/>
                          <w:b/>
                          <w:bCs/>
                          <w:color w:val="000000"/>
                          <w:rtl/>
                        </w:rPr>
                      </w:pPr>
                    </w:p>
                    <w:p w:rsidR="00EB7818" w:rsidRPr="001B6341" w:rsidRDefault="00EB7818"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EB7818" w:rsidRPr="00130951" w:rsidRDefault="00EB7818" w:rsidP="00893651">
                      <w:pPr>
                        <w:ind w:firstLine="18"/>
                        <w:jc w:val="center"/>
                        <w:rPr>
                          <w:rFonts w:cs="HeshamNormal"/>
                          <w:color w:val="000000"/>
                          <w:sz w:val="22"/>
                          <w:szCs w:val="22"/>
                        </w:rPr>
                      </w:pPr>
                      <w:r w:rsidRPr="00130951">
                        <w:rPr>
                          <w:rFonts w:cs="HeshamNormal"/>
                          <w:color w:val="000000"/>
                          <w:sz w:val="22"/>
                          <w:szCs w:val="22"/>
                        </w:rPr>
                        <w:t>Idea Creation</w:t>
                      </w:r>
                    </w:p>
                    <w:p w:rsidR="00EB7818" w:rsidRPr="008F5476" w:rsidRDefault="00EB7818" w:rsidP="00893651">
                      <w:pPr>
                        <w:spacing w:line="460" w:lineRule="exact"/>
                        <w:ind w:firstLine="18"/>
                        <w:jc w:val="center"/>
                        <w:rPr>
                          <w:rFonts w:cs="HeshamNormal"/>
                          <w:color w:val="000000"/>
                          <w:szCs w:val="20"/>
                        </w:rPr>
                      </w:pPr>
                    </w:p>
                    <w:p w:rsidR="00EB7818" w:rsidRPr="00CD4BDD" w:rsidRDefault="00EB7818" w:rsidP="00893651">
                      <w:pPr>
                        <w:ind w:firstLine="18"/>
                      </w:pPr>
                    </w:p>
                  </w:txbxContent>
                </v:textbox>
              </v:shape>
            </w:pict>
          </mc:Fallback>
        </mc:AlternateContent>
      </w:r>
      <w:r w:rsidRPr="00904FCB">
        <w:rPr>
          <w:rFonts w:ascii="Times New Roman" w:hAnsi="Times New Roman" w:cs="SKR HEAD1"/>
          <w:b/>
          <w:i/>
          <w:iCs/>
          <w:spacing w:val="-4"/>
          <w:sz w:val="78"/>
          <w:szCs w:val="78"/>
          <w:rtl/>
          <w:lang w:eastAsia="ar-SA"/>
        </w:rPr>
        <w:t>الاجتهاد والتجديد</w:t>
      </w:r>
    </w:p>
    <w:p w:rsidR="00893651" w:rsidRPr="00904FCB" w:rsidRDefault="00893651" w:rsidP="00893651">
      <w:pPr>
        <w:widowControl/>
        <w:spacing w:line="440" w:lineRule="exact"/>
        <w:ind w:left="2835" w:firstLine="0"/>
        <w:jc w:val="center"/>
        <w:rPr>
          <w:rFonts w:ascii="Arial" w:hAnsi="Arial" w:cs="Ya-Ali"/>
          <w:b/>
          <w:sz w:val="24"/>
          <w:szCs w:val="24"/>
          <w:rtl/>
          <w:lang w:eastAsia="ar-SA"/>
        </w:rPr>
      </w:pPr>
      <w:r w:rsidRPr="00904FCB">
        <w:rPr>
          <w:rFonts w:ascii="Arial" w:hAnsi="Arial" w:cs="Ya-Ali"/>
          <w:b/>
          <w:sz w:val="24"/>
          <w:szCs w:val="24"/>
          <w:rtl/>
          <w:lang w:eastAsia="ar-SA"/>
        </w:rPr>
        <w:t>فصلي</w:t>
      </w:r>
      <w:r w:rsidRPr="00904FCB">
        <w:rPr>
          <w:rFonts w:ascii="Arial" w:hAnsi="Arial" w:cs="Ya-Ali" w:hint="cs"/>
          <w:b/>
          <w:sz w:val="24"/>
          <w:szCs w:val="24"/>
          <w:rtl/>
          <w:lang w:eastAsia="ar-SA"/>
        </w:rPr>
        <w:t>ّ</w:t>
      </w:r>
      <w:r w:rsidRPr="00904FCB">
        <w:rPr>
          <w:rFonts w:ascii="Arial" w:hAnsi="Arial" w:cs="Ya-Ali"/>
          <w:b/>
          <w:sz w:val="24"/>
          <w:szCs w:val="24"/>
          <w:rtl/>
          <w:lang w:eastAsia="ar-SA"/>
        </w:rPr>
        <w:t>ة</w:t>
      </w:r>
      <w:r w:rsidRPr="00904FCB">
        <w:rPr>
          <w:rFonts w:ascii="Arial" w:hAnsi="Arial" w:cs="Ya-Ali" w:hint="cs"/>
          <w:b/>
          <w:sz w:val="24"/>
          <w:szCs w:val="24"/>
          <w:rtl/>
          <w:lang w:eastAsia="ar-SA"/>
        </w:rPr>
        <w:t>ٌ</w:t>
      </w:r>
      <w:r w:rsidRPr="00904FCB">
        <w:rPr>
          <w:rFonts w:ascii="Arial" w:hAnsi="Arial" w:cs="Ya-Ali"/>
          <w:b/>
          <w:sz w:val="24"/>
          <w:szCs w:val="24"/>
          <w:rtl/>
          <w:lang w:eastAsia="ar-SA"/>
        </w:rPr>
        <w:t xml:space="preserve"> مختص</w:t>
      </w:r>
      <w:r w:rsidRPr="00904FCB">
        <w:rPr>
          <w:rFonts w:ascii="Arial" w:hAnsi="Arial" w:cs="Ya-Ali" w:hint="cs"/>
          <w:b/>
          <w:sz w:val="24"/>
          <w:szCs w:val="24"/>
          <w:rtl/>
          <w:lang w:eastAsia="ar-SA"/>
        </w:rPr>
        <w:t>ّ</w:t>
      </w:r>
      <w:r w:rsidRPr="00904FCB">
        <w:rPr>
          <w:rFonts w:ascii="Arial" w:hAnsi="Arial" w:cs="Ya-Ali"/>
          <w:b/>
          <w:sz w:val="24"/>
          <w:szCs w:val="24"/>
          <w:rtl/>
          <w:lang w:eastAsia="ar-SA"/>
        </w:rPr>
        <w:t>ة بقضـــايا الاجتهاد والفقــه الإسلامي</w:t>
      </w:r>
      <w:r w:rsidRPr="00904FCB">
        <w:rPr>
          <w:rFonts w:ascii="Arial" w:hAnsi="Arial" w:cs="Ya-Ali" w:hint="cs"/>
          <w:b/>
          <w:sz w:val="24"/>
          <w:szCs w:val="24"/>
          <w:rtl/>
          <w:lang w:eastAsia="ar-SA"/>
        </w:rPr>
        <w:t>ّ</w:t>
      </w:r>
    </w:p>
    <w:p w:rsidR="007B791B" w:rsidRPr="00904FCB" w:rsidRDefault="00893651" w:rsidP="007B791B">
      <w:pPr>
        <w:autoSpaceDE w:val="0"/>
        <w:autoSpaceDN w:val="0"/>
        <w:ind w:left="2835" w:firstLine="0"/>
        <w:jc w:val="center"/>
        <w:rPr>
          <w:rFonts w:ascii="Arial" w:hAnsi="Arial" w:cs="Ya-Ali"/>
          <w:b/>
          <w:sz w:val="24"/>
          <w:szCs w:val="24"/>
          <w:rtl/>
          <w:lang w:eastAsia="ar-SA"/>
        </w:rPr>
      </w:pPr>
      <w:r w:rsidRPr="00904FCB">
        <w:rPr>
          <w:rFonts w:ascii="Arial" w:hAnsi="Arial" w:cs="Ya-Ali"/>
          <w:b/>
          <w:sz w:val="24"/>
          <w:szCs w:val="24"/>
          <w:rtl/>
          <w:lang w:eastAsia="ar-SA"/>
        </w:rPr>
        <w:t>العدد</w:t>
      </w:r>
      <w:r w:rsidRPr="00904FCB">
        <w:rPr>
          <w:rFonts w:ascii="Arial" w:hAnsi="Arial" w:cs="Ya-Ali" w:hint="cs"/>
          <w:b/>
          <w:sz w:val="24"/>
          <w:szCs w:val="24"/>
          <w:rtl/>
          <w:lang w:eastAsia="ar-SA"/>
        </w:rPr>
        <w:t xml:space="preserve">ان </w:t>
      </w:r>
      <w:r w:rsidR="007B791B" w:rsidRPr="00904FCB">
        <w:rPr>
          <w:rFonts w:ascii="Arial" w:hAnsi="Arial" w:cs="Ya-Ali" w:hint="cs"/>
          <w:b/>
          <w:sz w:val="24"/>
          <w:szCs w:val="24"/>
          <w:rtl/>
          <w:lang w:eastAsia="ar-SA" w:bidi="ar-LB"/>
        </w:rPr>
        <w:t>الرابع والخامس</w:t>
      </w:r>
      <w:r w:rsidR="00025C66" w:rsidRPr="00904FCB">
        <w:rPr>
          <w:rFonts w:ascii="Arial" w:hAnsi="Arial" w:cs="Ya-Ali" w:hint="cs"/>
          <w:b/>
          <w:sz w:val="24"/>
          <w:szCs w:val="24"/>
          <w:rtl/>
          <w:lang w:eastAsia="ar-SA" w:bidi="ar-LB"/>
        </w:rPr>
        <w:t xml:space="preserve"> والثلاثون</w:t>
      </w:r>
      <w:r w:rsidRPr="00904FCB">
        <w:rPr>
          <w:rFonts w:ascii="Arial" w:hAnsi="Arial" w:cs="Ya-Ali"/>
          <w:b/>
          <w:sz w:val="24"/>
          <w:szCs w:val="24"/>
          <w:rtl/>
          <w:lang w:eastAsia="ar-SA"/>
        </w:rPr>
        <w:t>، السـن</w:t>
      </w:r>
      <w:r w:rsidR="007B791B" w:rsidRPr="00904FCB">
        <w:rPr>
          <w:rFonts w:ascii="Arial" w:hAnsi="Arial" w:cs="Ya-Ali" w:hint="cs"/>
          <w:b/>
          <w:sz w:val="24"/>
          <w:szCs w:val="24"/>
          <w:rtl/>
          <w:lang w:eastAsia="ar-SA"/>
        </w:rPr>
        <w:t>ة</w:t>
      </w:r>
      <w:r w:rsidRPr="00904FCB">
        <w:rPr>
          <w:rFonts w:ascii="Arial" w:hAnsi="Arial" w:cs="Ya-Ali"/>
          <w:b/>
          <w:sz w:val="24"/>
          <w:szCs w:val="24"/>
          <w:rtl/>
          <w:lang w:eastAsia="ar-SA"/>
        </w:rPr>
        <w:t xml:space="preserve"> </w:t>
      </w:r>
      <w:r w:rsidRPr="00904FCB">
        <w:rPr>
          <w:rFonts w:ascii="Arial" w:hAnsi="Arial" w:cs="Ya-Ali" w:hint="cs"/>
          <w:b/>
          <w:sz w:val="24"/>
          <w:szCs w:val="24"/>
          <w:rtl/>
          <w:lang w:eastAsia="ar-SA"/>
        </w:rPr>
        <w:t>ال</w:t>
      </w:r>
      <w:r w:rsidR="00025C66" w:rsidRPr="00904FCB">
        <w:rPr>
          <w:rFonts w:ascii="Arial" w:hAnsi="Arial" w:cs="Ya-Ali" w:hint="cs"/>
          <w:b/>
          <w:sz w:val="24"/>
          <w:szCs w:val="24"/>
          <w:rtl/>
          <w:lang w:eastAsia="ar-SA"/>
        </w:rPr>
        <w:t>تاسع</w:t>
      </w:r>
      <w:r w:rsidR="007B791B" w:rsidRPr="00904FCB">
        <w:rPr>
          <w:rFonts w:ascii="Arial" w:hAnsi="Arial" w:cs="Ya-Ali" w:hint="cs"/>
          <w:b/>
          <w:sz w:val="24"/>
          <w:szCs w:val="24"/>
          <w:rtl/>
          <w:lang w:eastAsia="ar-SA"/>
        </w:rPr>
        <w:t>ة،</w:t>
      </w:r>
    </w:p>
    <w:p w:rsidR="00893651" w:rsidRPr="00904FCB" w:rsidRDefault="007B791B" w:rsidP="007B791B">
      <w:pPr>
        <w:autoSpaceDE w:val="0"/>
        <w:autoSpaceDN w:val="0"/>
        <w:ind w:left="2835" w:firstLine="0"/>
        <w:jc w:val="center"/>
        <w:rPr>
          <w:rFonts w:ascii="Arial" w:hAnsi="Arial" w:cs="Ya-Ali"/>
          <w:b/>
          <w:sz w:val="23"/>
          <w:szCs w:val="23"/>
          <w:rtl/>
          <w:lang w:eastAsia="ar-SA"/>
        </w:rPr>
      </w:pPr>
      <w:r w:rsidRPr="00904FCB">
        <w:rPr>
          <w:rFonts w:ascii="Arial" w:hAnsi="Arial" w:cs="Ya-Ali" w:hint="cs"/>
          <w:b/>
          <w:sz w:val="24"/>
          <w:szCs w:val="24"/>
          <w:rtl/>
          <w:lang w:eastAsia="ar-SA"/>
        </w:rPr>
        <w:t>ربيع وصيف</w:t>
      </w:r>
      <w:r w:rsidR="00025C66" w:rsidRPr="00904FCB">
        <w:rPr>
          <w:rFonts w:ascii="Arial" w:hAnsi="Arial" w:cs="Ya-Ali" w:hint="cs"/>
          <w:b/>
          <w:sz w:val="24"/>
          <w:szCs w:val="24"/>
          <w:rtl/>
          <w:lang w:eastAsia="ar-SA"/>
        </w:rPr>
        <w:t xml:space="preserve"> </w:t>
      </w:r>
      <w:r w:rsidR="00025C66" w:rsidRPr="006333E0">
        <w:rPr>
          <w:rFonts w:ascii="Arial" w:hAnsi="Arial" w:cs="Ya-Ali" w:hint="cs"/>
          <w:b/>
          <w:sz w:val="24"/>
          <w:szCs w:val="24"/>
          <w:rtl/>
          <w:lang w:eastAsia="ar-SA"/>
        </w:rPr>
        <w:t>201</w:t>
      </w:r>
      <w:r w:rsidRPr="006333E0">
        <w:rPr>
          <w:rFonts w:ascii="Arial" w:hAnsi="Arial" w:cs="Ya-Ali" w:hint="cs"/>
          <w:b/>
          <w:sz w:val="24"/>
          <w:szCs w:val="24"/>
          <w:rtl/>
          <w:lang w:eastAsia="ar-SA"/>
        </w:rPr>
        <w:t>5</w:t>
      </w:r>
      <w:r w:rsidR="00025C66" w:rsidRPr="00904FCB">
        <w:rPr>
          <w:rFonts w:ascii="Arial" w:hAnsi="Arial" w:cs="Ya-Ali" w:hint="cs"/>
          <w:b/>
          <w:sz w:val="24"/>
          <w:szCs w:val="24"/>
          <w:rtl/>
          <w:lang w:eastAsia="ar-SA"/>
        </w:rPr>
        <w:t xml:space="preserve">م، </w:t>
      </w:r>
      <w:r w:rsidR="00025C66" w:rsidRPr="006333E0">
        <w:rPr>
          <w:rFonts w:ascii="Arial" w:hAnsi="Arial" w:cs="Ya-Ali" w:hint="cs"/>
          <w:b/>
          <w:sz w:val="24"/>
          <w:szCs w:val="24"/>
          <w:rtl/>
          <w:lang w:eastAsia="ar-SA"/>
        </w:rPr>
        <w:t>143</w:t>
      </w:r>
      <w:r w:rsidRPr="006333E0">
        <w:rPr>
          <w:rFonts w:ascii="Arial" w:hAnsi="Arial" w:cs="Ya-Ali" w:hint="cs"/>
          <w:b/>
          <w:sz w:val="24"/>
          <w:szCs w:val="24"/>
          <w:rtl/>
          <w:lang w:eastAsia="ar-SA"/>
        </w:rPr>
        <w:t>6</w:t>
      </w:r>
      <w:r w:rsidR="00025C66" w:rsidRPr="00904FCB">
        <w:rPr>
          <w:rFonts w:ascii="Arial" w:hAnsi="Arial" w:cs="Ya-Ali" w:hint="cs"/>
          <w:b/>
          <w:sz w:val="24"/>
          <w:szCs w:val="24"/>
          <w:rtl/>
          <w:lang w:eastAsia="ar-SA"/>
        </w:rPr>
        <w:t>هـ</w:t>
      </w:r>
    </w:p>
    <w:p w:rsidR="00893651" w:rsidRPr="00904FCB" w:rsidRDefault="00893651" w:rsidP="00893651">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904FCB">
        <w:rPr>
          <w:noProof/>
        </w:rPr>
        <mc:AlternateContent>
          <mc:Choice Requires="wps">
            <w:drawing>
              <wp:anchor distT="0" distB="0" distL="114300" distR="114300" simplePos="0" relativeHeight="251656704" behindDoc="0" locked="0" layoutInCell="1" allowOverlap="1" wp14:anchorId="74F6133C" wp14:editId="1F4CC887">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F41F33" w:rsidRPr="00020833" w:rsidRDefault="00F41F33"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F41F33" w:rsidRPr="001B6341" w:rsidRDefault="00F41F33"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F41F33" w:rsidRPr="00020833" w:rsidRDefault="00F41F3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F41F33" w:rsidRPr="00020833" w:rsidRDefault="00F41F3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F41F33" w:rsidRPr="00020833" w:rsidRDefault="00F41F3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F41F33" w:rsidRPr="00020833" w:rsidRDefault="00F41F3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F41F33" w:rsidRPr="00020833" w:rsidRDefault="00F41F3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F41F33" w:rsidRPr="00020833" w:rsidRDefault="00F41F33"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EB7818" w:rsidRPr="00020833" w:rsidRDefault="00EB7818"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EB7818" w:rsidRPr="001B6341" w:rsidRDefault="00EB7818"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EB7818" w:rsidRPr="00020833" w:rsidRDefault="00EB781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EB7818" w:rsidRPr="00020833" w:rsidRDefault="00EB781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EB7818" w:rsidRPr="00020833" w:rsidRDefault="00EB781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EB7818" w:rsidRPr="00020833" w:rsidRDefault="00EB781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EB7818" w:rsidRPr="00020833" w:rsidRDefault="00EB781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EB7818" w:rsidRPr="00020833" w:rsidRDefault="00EB7818"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904FCB">
        <w:rPr>
          <w:rFonts w:ascii="Times New Roman" w:hAnsi="Times New Roman"/>
          <w:bCs/>
          <w:spacing w:val="-4"/>
          <w:sz w:val="26"/>
          <w:rtl/>
          <w:lang w:eastAsia="ar-SA"/>
        </w:rPr>
        <w:tab/>
      </w:r>
      <w:r w:rsidRPr="00904FCB">
        <w:rPr>
          <w:rFonts w:ascii="Times New Roman" w:hAnsi="Times New Roman"/>
          <w:bCs/>
          <w:spacing w:val="-4"/>
          <w:sz w:val="26"/>
          <w:rtl/>
          <w:lang w:eastAsia="ar-SA"/>
        </w:rPr>
        <w:tab/>
      </w:r>
    </w:p>
    <w:p w:rsidR="00893651" w:rsidRPr="00904FCB" w:rsidRDefault="00893651" w:rsidP="00893651">
      <w:pPr>
        <w:widowControl/>
        <w:spacing w:line="320" w:lineRule="exact"/>
        <w:ind w:right="3052" w:firstLine="0"/>
        <w:rPr>
          <w:rFonts w:ascii="Times New Roman" w:hAnsi="Times New Roman" w:cs="PT Bold Heading"/>
          <w:bCs/>
          <w:sz w:val="24"/>
          <w:szCs w:val="20"/>
          <w:rtl/>
          <w:lang w:eastAsia="ar-SA"/>
        </w:rPr>
      </w:pPr>
    </w:p>
    <w:p w:rsidR="00893651" w:rsidRPr="00904FCB" w:rsidRDefault="00893651" w:rsidP="00893651">
      <w:pPr>
        <w:widowControl/>
        <w:ind w:right="2977" w:firstLine="0"/>
        <w:jc w:val="left"/>
        <w:rPr>
          <w:rFonts w:ascii="Times New Roman" w:hAnsi="Times New Roman" w:cs="PT Bold Heading"/>
          <w:bCs/>
          <w:sz w:val="24"/>
          <w:szCs w:val="20"/>
          <w:rtl/>
          <w:lang w:eastAsia="ar-SA"/>
        </w:rPr>
      </w:pPr>
      <w:r w:rsidRPr="00904FCB">
        <w:rPr>
          <w:noProof/>
        </w:rPr>
        <mc:AlternateContent>
          <mc:Choice Requires="wps">
            <w:drawing>
              <wp:anchor distT="0" distB="0" distL="114300" distR="114300" simplePos="0" relativeHeight="251662848" behindDoc="0" locked="0" layoutInCell="1" allowOverlap="1" wp14:anchorId="5FB5B3E4" wp14:editId="58C30B4B">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F33" w:rsidRDefault="00F41F33" w:rsidP="00893651">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EB7818" w:rsidRDefault="00EB7818" w:rsidP="00893651">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904FCB">
        <w:rPr>
          <w:noProof/>
        </w:rPr>
        <mc:AlternateContent>
          <mc:Choice Requires="wps">
            <w:drawing>
              <wp:anchor distT="0" distB="0" distL="114300" distR="114300" simplePos="0" relativeHeight="251658752" behindDoc="0" locked="0" layoutInCell="1" allowOverlap="1" wp14:anchorId="4D951170" wp14:editId="6ACAE3AE">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F33" w:rsidRDefault="00F41F33" w:rsidP="00893651">
                            <w:pPr>
                              <w:tabs>
                                <w:tab w:val="right" w:pos="2712"/>
                              </w:tabs>
                              <w:bidi w:val="0"/>
                              <w:ind w:firstLine="0"/>
                              <w:jc w:val="lowKashida"/>
                            </w:pPr>
                            <w:r>
                              <w:rPr>
                                <w:rFonts w:cs="Abz-3 (Yagut)" w:hint="cs"/>
                                <w:b/>
                                <w:bCs/>
                                <w:color w:val="000000"/>
                                <w:sz w:val="19"/>
                                <w:szCs w:val="19"/>
                                <w:rtl/>
                              </w:rPr>
                              <w:t>د. أحمد الريسوني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EB7818" w:rsidRDefault="00EB7818" w:rsidP="00893651">
                      <w:pPr>
                        <w:tabs>
                          <w:tab w:val="right" w:pos="2712"/>
                        </w:tabs>
                        <w:bidi w:val="0"/>
                        <w:ind w:firstLine="0"/>
                        <w:jc w:val="lowKashida"/>
                      </w:pPr>
                      <w:r>
                        <w:rPr>
                          <w:rFonts w:cs="Abz-3 (Yagut)" w:hint="cs"/>
                          <w:b/>
                          <w:bCs/>
                          <w:color w:val="000000"/>
                          <w:sz w:val="19"/>
                          <w:szCs w:val="19"/>
                          <w:rtl/>
                        </w:rPr>
                        <w:t>د. أحمد الريسوني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904FCB">
        <w:rPr>
          <w:rFonts w:ascii="Times New Roman" w:hAnsi="Times New Roman" w:cs="AGA Juhyna Regular"/>
          <w:sz w:val="90"/>
          <w:szCs w:val="90"/>
          <w:rtl/>
          <w:lang w:eastAsia="ar-SA"/>
        </w:rPr>
        <w:br w:type="page"/>
      </w:r>
    </w:p>
    <w:p w:rsidR="0046539E" w:rsidRPr="00904FCB" w:rsidRDefault="0046539E" w:rsidP="0046539E">
      <w:pPr>
        <w:widowControl/>
        <w:ind w:right="2977" w:firstLine="0"/>
        <w:jc w:val="left"/>
        <w:rPr>
          <w:rFonts w:ascii="Times New Roman" w:hAnsi="Times New Roman" w:cs="PT Bold Heading"/>
          <w:bCs/>
          <w:sz w:val="24"/>
          <w:szCs w:val="20"/>
          <w:lang w:eastAsia="ar-SA"/>
        </w:rPr>
      </w:pPr>
      <w:r w:rsidRPr="00904FCB">
        <w:rPr>
          <w:noProof/>
        </w:rPr>
        <w:lastRenderedPageBreak/>
        <mc:AlternateContent>
          <mc:Choice Requires="wps">
            <w:drawing>
              <wp:anchor distT="0" distB="0" distL="114300" distR="114300" simplePos="0" relativeHeight="251664896" behindDoc="0" locked="0" layoutInCell="1" allowOverlap="1" wp14:anchorId="048D7CEE" wp14:editId="42FE6D89">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41F33" w:rsidRDefault="00F41F33"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F41F33" w:rsidRDefault="00F41F33"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EB7818" w:rsidRDefault="00EB7818"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EB7818" w:rsidRDefault="00EB7818"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904FCB">
        <w:rPr>
          <w:noProof/>
        </w:rPr>
        <mc:AlternateContent>
          <mc:Choice Requires="wps">
            <w:drawing>
              <wp:anchor distT="0" distB="0" distL="114300" distR="114300" simplePos="0" relativeHeight="251666944" behindDoc="0" locked="0" layoutInCell="1" allowOverlap="1" wp14:anchorId="35BCE7A7" wp14:editId="2B0FC511">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F41F33" w:rsidRDefault="00F41F33" w:rsidP="00BC1A2F">
                            <w:pPr>
                              <w:spacing w:before="12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F41F33" w:rsidRPr="002120E0" w:rsidRDefault="00F41F33"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لتوزيع</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الصحف</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والمطبوعات، بيروت، المشرّفية،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مقابل</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وزارة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العمل، سنتر</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فضل</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الله، ط</w:t>
                            </w:r>
                            <w:r w:rsidRPr="00812506">
                              <w:rPr>
                                <w:rFonts w:ascii="Times New Roman" w:hAnsi="Times New Roman" w:cs="DanaFajr" w:hint="cs"/>
                                <w:b/>
                                <w:bCs/>
                                <w:color w:val="000000" w:themeColor="text1"/>
                                <w:szCs w:val="28"/>
                                <w:rtl/>
                                <w:lang w:eastAsia="ar-SA"/>
                              </w:rPr>
                              <w:t>4</w:t>
                            </w:r>
                            <w:r w:rsidRPr="002120E0">
                              <w:rPr>
                                <w:rFonts w:ascii="Times New Roman" w:hAnsi="Times New Roman" w:cs="DanaFajr" w:hint="cs"/>
                                <w:b/>
                                <w:bCs/>
                                <w:color w:val="000000" w:themeColor="text1"/>
                                <w:szCs w:val="28"/>
                                <w:rtl/>
                                <w:lang w:eastAsia="ar-SA"/>
                              </w:rPr>
                              <w:t xml:space="preserve">، ص. ب: </w:t>
                            </w:r>
                            <w:r w:rsidRPr="00812506">
                              <w:rPr>
                                <w:rFonts w:ascii="Times New Roman" w:hAnsi="Times New Roman" w:cs="DanaFajr" w:hint="cs"/>
                                <w:b/>
                                <w:bCs/>
                                <w:color w:val="000000" w:themeColor="text1"/>
                                <w:szCs w:val="28"/>
                                <w:rtl/>
                                <w:lang w:eastAsia="ar-SA"/>
                              </w:rPr>
                              <w:t>25</w:t>
                            </w:r>
                            <w:r w:rsidRPr="002120E0">
                              <w:rPr>
                                <w:rFonts w:ascii="Times New Roman" w:hAnsi="Times New Roman" w:cs="DanaFajr" w:hint="cs"/>
                                <w:b/>
                                <w:bCs/>
                                <w:color w:val="000000" w:themeColor="text1"/>
                                <w:szCs w:val="28"/>
                                <w:rtl/>
                                <w:lang w:eastAsia="ar-SA"/>
                              </w:rPr>
                              <w:t>/</w:t>
                            </w:r>
                            <w:r w:rsidRPr="00812506">
                              <w:rPr>
                                <w:rFonts w:ascii="Times New Roman" w:hAnsi="Times New Roman" w:cs="DanaFajr" w:hint="cs"/>
                                <w:b/>
                                <w:bCs/>
                                <w:color w:val="000000" w:themeColor="text1"/>
                                <w:szCs w:val="28"/>
                                <w:rtl/>
                                <w:lang w:eastAsia="ar-SA"/>
                              </w:rPr>
                              <w:t>184</w:t>
                            </w:r>
                            <w:r w:rsidRPr="002120E0">
                              <w:rPr>
                                <w:rFonts w:ascii="Times New Roman" w:hAnsi="Times New Roman" w:cs="DanaFajr" w:hint="cs"/>
                                <w:b/>
                                <w:bCs/>
                                <w:color w:val="000000" w:themeColor="text1"/>
                                <w:szCs w:val="28"/>
                                <w:rtl/>
                                <w:lang w:eastAsia="ar-SA"/>
                              </w:rPr>
                              <w:t xml:space="preserve">، هاتف: </w:t>
                            </w:r>
                            <w:r w:rsidRPr="00812506">
                              <w:rPr>
                                <w:rFonts w:ascii="Times New Roman" w:hAnsi="Times New Roman" w:cs="DanaFajr" w:hint="cs"/>
                                <w:b/>
                                <w:bCs/>
                                <w:color w:val="000000" w:themeColor="text1"/>
                                <w:szCs w:val="28"/>
                                <w:rtl/>
                                <w:lang w:eastAsia="ar-SA"/>
                              </w:rPr>
                              <w:t>277007</w:t>
                            </w:r>
                            <w:r w:rsidRPr="002120E0">
                              <w:rPr>
                                <w:rFonts w:ascii="Times New Roman" w:hAnsi="Times New Roman" w:cs="DanaFajr" w:hint="cs"/>
                                <w:b/>
                                <w:bCs/>
                                <w:color w:val="000000" w:themeColor="text1"/>
                                <w:szCs w:val="28"/>
                                <w:rtl/>
                                <w:lang w:eastAsia="ar-SA"/>
                              </w:rPr>
                              <w:t>/</w:t>
                            </w:r>
                            <w:r w:rsidRPr="00812506">
                              <w:rPr>
                                <w:rFonts w:ascii="Times New Roman" w:hAnsi="Times New Roman" w:cs="DanaFajr" w:hint="cs"/>
                                <w:b/>
                                <w:bCs/>
                                <w:color w:val="000000" w:themeColor="text1"/>
                                <w:szCs w:val="28"/>
                                <w:rtl/>
                                <w:lang w:eastAsia="ar-SA"/>
                              </w:rPr>
                              <w:t>277088</w:t>
                            </w:r>
                            <w:r w:rsidRPr="002120E0">
                              <w:rPr>
                                <w:rFonts w:ascii="Times New Roman" w:hAnsi="Times New Roman" w:cs="DanaFajr" w:hint="cs"/>
                                <w:b/>
                                <w:bCs/>
                                <w:color w:val="000000" w:themeColor="text1"/>
                                <w:szCs w:val="28"/>
                                <w:rtl/>
                                <w:lang w:eastAsia="ar-SA"/>
                              </w:rPr>
                              <w:t>(</w:t>
                            </w:r>
                            <w:r w:rsidRPr="00812506">
                              <w:rPr>
                                <w:rFonts w:ascii="Times New Roman" w:hAnsi="Times New Roman" w:cs="DanaFajr" w:hint="cs"/>
                                <w:b/>
                                <w:bCs/>
                                <w:color w:val="000000" w:themeColor="text1"/>
                                <w:szCs w:val="28"/>
                                <w:rtl/>
                                <w:lang w:eastAsia="ar-SA"/>
                              </w:rPr>
                              <w:t>9611</w:t>
                            </w:r>
                            <w:r w:rsidRPr="002120E0">
                              <w:rPr>
                                <w:rFonts w:ascii="Times New Roman" w:hAnsi="Times New Roman" w:cs="DanaFajr" w:hint="cs"/>
                                <w:b/>
                                <w:bCs/>
                                <w:color w:val="000000" w:themeColor="text1"/>
                                <w:szCs w:val="28"/>
                                <w:rtl/>
                                <w:lang w:eastAsia="ar-SA"/>
                              </w:rPr>
                              <w:t>+).</w:t>
                            </w:r>
                          </w:p>
                          <w:p w:rsidR="00F41F33" w:rsidRPr="002120E0" w:rsidRDefault="00F41F33"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مملكة البحرين: شركة دار الوسط للنشر والتوزيع، هاتف: </w:t>
                            </w:r>
                            <w:r w:rsidRPr="00812506">
                              <w:rPr>
                                <w:rFonts w:ascii="Times New Roman" w:hAnsi="Times New Roman" w:cs="DanaFajr" w:hint="cs"/>
                                <w:b/>
                                <w:bCs/>
                                <w:color w:val="000000" w:themeColor="text1"/>
                                <w:szCs w:val="28"/>
                                <w:rtl/>
                                <w:lang w:eastAsia="ar-SA"/>
                              </w:rPr>
                              <w:t>17596969</w:t>
                            </w:r>
                            <w:r w:rsidRPr="002120E0">
                              <w:rPr>
                                <w:rFonts w:ascii="Times New Roman" w:hAnsi="Times New Roman" w:cs="DanaFajr" w:hint="cs"/>
                                <w:b/>
                                <w:bCs/>
                                <w:color w:val="000000" w:themeColor="text1"/>
                                <w:szCs w:val="28"/>
                                <w:rtl/>
                                <w:lang w:eastAsia="ar-SA"/>
                              </w:rPr>
                              <w:t>(</w:t>
                            </w:r>
                            <w:r w:rsidRPr="00B02093">
                              <w:rPr>
                                <w:rFonts w:ascii="Times New Roman" w:hAnsi="Times New Roman" w:cs="DanaFajr" w:hint="cs"/>
                                <w:b/>
                                <w:bCs/>
                                <w:color w:val="000000" w:themeColor="text1"/>
                                <w:szCs w:val="28"/>
                                <w:rtl/>
                                <w:lang w:eastAsia="ar-SA"/>
                              </w:rPr>
                              <w:t>973</w:t>
                            </w:r>
                            <w:r w:rsidRPr="002120E0">
                              <w:rPr>
                                <w:rFonts w:ascii="Times New Roman" w:hAnsi="Times New Roman" w:cs="DanaFajr" w:hint="cs"/>
                                <w:b/>
                                <w:bCs/>
                                <w:color w:val="000000" w:themeColor="text1"/>
                                <w:szCs w:val="28"/>
                                <w:rtl/>
                                <w:lang w:eastAsia="ar-SA"/>
                              </w:rPr>
                              <w:t>+).</w:t>
                            </w:r>
                          </w:p>
                          <w:p w:rsidR="00F41F33" w:rsidRPr="002120E0" w:rsidRDefault="00F41F33"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جمهورية مصر العربية: مؤسسة الأهرام، القاهرة، شارع الجلاء، هاتف: </w:t>
                            </w:r>
                            <w:r w:rsidRPr="009E5558">
                              <w:rPr>
                                <w:rFonts w:ascii="Times New Roman" w:hAnsi="Times New Roman" w:cs="DanaFajr" w:hint="cs"/>
                                <w:b/>
                                <w:bCs/>
                                <w:color w:val="000000" w:themeColor="text1"/>
                                <w:szCs w:val="28"/>
                                <w:rtl/>
                                <w:lang w:eastAsia="ar-SA"/>
                              </w:rPr>
                              <w:t>2665394</w:t>
                            </w:r>
                            <w:r w:rsidRPr="002120E0">
                              <w:rPr>
                                <w:rFonts w:ascii="Times New Roman" w:hAnsi="Times New Roman" w:cs="DanaFajr" w:hint="cs"/>
                                <w:b/>
                                <w:bCs/>
                                <w:color w:val="000000" w:themeColor="text1"/>
                                <w:szCs w:val="28"/>
                                <w:rtl/>
                                <w:lang w:eastAsia="ar-SA"/>
                              </w:rPr>
                              <w:t>.</w:t>
                            </w:r>
                          </w:p>
                          <w:p w:rsidR="00F41F33" w:rsidRPr="002120E0" w:rsidRDefault="00F41F33"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الإمارات العربية المتحدة: دار الحكمة، دبي، هاتف: </w:t>
                            </w:r>
                            <w:r w:rsidRPr="009E5558">
                              <w:rPr>
                                <w:rFonts w:ascii="Times New Roman" w:hAnsi="Times New Roman" w:cs="DanaFajr" w:hint="cs"/>
                                <w:b/>
                                <w:bCs/>
                                <w:color w:val="000000" w:themeColor="text1"/>
                                <w:szCs w:val="28"/>
                                <w:rtl/>
                                <w:lang w:eastAsia="ar-SA"/>
                              </w:rPr>
                              <w:t>2665394</w:t>
                            </w:r>
                            <w:r w:rsidRPr="002120E0">
                              <w:rPr>
                                <w:rFonts w:ascii="Times New Roman" w:hAnsi="Times New Roman" w:cs="DanaFajr" w:hint="cs"/>
                                <w:b/>
                                <w:bCs/>
                                <w:color w:val="000000" w:themeColor="text1"/>
                                <w:szCs w:val="28"/>
                                <w:rtl/>
                                <w:lang w:eastAsia="ar-SA"/>
                              </w:rPr>
                              <w:t>.</w:t>
                            </w:r>
                          </w:p>
                          <w:p w:rsidR="00F41F33" w:rsidRPr="002120E0" w:rsidRDefault="00F41F33"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المغرب: (سبريس) الشركة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العربية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الإفريقية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للتوزيع</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والنشر</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والصحافة، الدار</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 xml:space="preserve">البيضاء، </w:t>
                            </w:r>
                            <w:r w:rsidRPr="009E5558">
                              <w:rPr>
                                <w:rFonts w:ascii="Times New Roman" w:hAnsi="Times New Roman" w:cs="DanaFajr" w:hint="cs"/>
                                <w:b/>
                                <w:bCs/>
                                <w:color w:val="000000" w:themeColor="text1"/>
                                <w:szCs w:val="28"/>
                                <w:rtl/>
                                <w:lang w:eastAsia="ar-SA"/>
                              </w:rPr>
                              <w:t>70</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زنقة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سجلماسة.</w:t>
                            </w:r>
                          </w:p>
                          <w:p w:rsidR="00F41F33" w:rsidRPr="002120E0" w:rsidRDefault="00F41F33" w:rsidP="00FE69B5">
                            <w:pPr>
                              <w:spacing w:after="60"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w:t>
                            </w:r>
                            <w:r w:rsidRPr="009E5558">
                              <w:rPr>
                                <w:rFonts w:ascii="Times New Roman" w:hAnsi="Times New Roman" w:cs="DanaFajr" w:hint="cs"/>
                                <w:b/>
                                <w:bCs/>
                                <w:color w:val="000000" w:themeColor="text1"/>
                                <w:szCs w:val="28"/>
                                <w:rtl/>
                                <w:lang w:eastAsia="ar-SA"/>
                              </w:rPr>
                              <w:t>1</w:t>
                            </w:r>
                            <w:r w:rsidRPr="002120E0">
                              <w:rPr>
                                <w:rFonts w:ascii="Times New Roman" w:hAnsi="Times New Roman" w:cs="DanaFajr" w:hint="cs"/>
                                <w:b/>
                                <w:bCs/>
                                <w:color w:val="000000" w:themeColor="text1"/>
                                <w:spacing w:val="-8"/>
                                <w:szCs w:val="28"/>
                                <w:rtl/>
                                <w:lang w:eastAsia="ar-SA"/>
                              </w:rPr>
                              <w:t xml:space="preserve">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هاتف: 07901419375(964</w:t>
                            </w:r>
                            <w:r w:rsidRPr="002120E0">
                              <w:rPr>
                                <w:rFonts w:cs="DanaFajr" w:hint="cs"/>
                                <w:b/>
                                <w:bCs/>
                                <w:color w:val="000000" w:themeColor="text1"/>
                                <w:szCs w:val="28"/>
                                <w:rtl/>
                              </w:rPr>
                              <w:t>+</w:t>
                            </w:r>
                            <w:r w:rsidRPr="002120E0">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2ـ</w:t>
                            </w:r>
                            <w:r w:rsidRPr="002120E0">
                              <w:rPr>
                                <w:rFonts w:cs="DanaFajr" w:hint="cs"/>
                                <w:b/>
                                <w:bCs/>
                                <w:noProof/>
                                <w:color w:val="000000" w:themeColor="text1"/>
                                <w:szCs w:val="28"/>
                                <w:rtl/>
                              </w:rPr>
                              <w:t xml:space="preserve">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هاتف: 7700728816(964</w:t>
                            </w:r>
                            <w:r w:rsidRPr="002120E0">
                              <w:rPr>
                                <w:rFonts w:cs="DanaFajr" w:hint="cs"/>
                                <w:b/>
                                <w:bCs/>
                                <w:color w:val="000000" w:themeColor="text1"/>
                                <w:szCs w:val="28"/>
                                <w:rtl/>
                              </w:rPr>
                              <w:t>+).</w:t>
                            </w:r>
                            <w:r w:rsidRPr="009E5558">
                              <w:rPr>
                                <w:rFonts w:ascii="Times New Roman" w:hAnsi="Times New Roman" w:cs="DanaFajr" w:hint="cs"/>
                                <w:b/>
                                <w:bCs/>
                                <w:color w:val="000000" w:themeColor="text1"/>
                                <w:szCs w:val="28"/>
                                <w:rtl/>
                                <w:lang w:eastAsia="ar-SA"/>
                              </w:rPr>
                              <w:t xml:space="preserve"> 3ـ</w:t>
                            </w:r>
                            <w:r w:rsidRPr="002120E0">
                              <w:rPr>
                                <w:rFonts w:cs="DanaFajr" w:hint="cs"/>
                                <w:b/>
                                <w:bCs/>
                                <w:color w:val="000000" w:themeColor="text1"/>
                                <w:szCs w:val="28"/>
                                <w:rtl/>
                              </w:rPr>
                              <w:t xml:space="preserve">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w:t>
                            </w:r>
                            <w:r w:rsidRPr="009E5558">
                              <w:rPr>
                                <w:rFonts w:ascii="Times New Roman" w:hAnsi="Times New Roman" w:cs="DanaFajr" w:hint="cs"/>
                                <w:b/>
                                <w:bCs/>
                                <w:color w:val="000000" w:themeColor="text1"/>
                                <w:szCs w:val="28"/>
                                <w:rtl/>
                                <w:lang w:eastAsia="ar-SA"/>
                              </w:rPr>
                              <w:t xml:space="preserve">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هاتف: 7801752581 (964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5ـ مؤسّسة</w:t>
                            </w:r>
                            <w:r w:rsidRPr="002120E0">
                              <w:rPr>
                                <w:rFonts w:cs="DanaFajr" w:hint="cs"/>
                                <w:b/>
                                <w:bCs/>
                                <w:noProof/>
                                <w:color w:val="000000" w:themeColor="text1"/>
                                <w:szCs w:val="28"/>
                                <w:rtl/>
                              </w:rPr>
                              <w:t xml:space="preserve">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هاتف: 7501608589(964</w:t>
                            </w:r>
                            <w:r w:rsidRPr="002120E0">
                              <w:rPr>
                                <w:rFonts w:cs="DanaFajr" w:hint="cs"/>
                                <w:b/>
                                <w:bCs/>
                                <w:color w:val="000000" w:themeColor="text1"/>
                                <w:szCs w:val="28"/>
                                <w:rtl/>
                              </w:rPr>
                              <w:t xml:space="preserve">+). </w:t>
                            </w:r>
                            <w:r w:rsidRPr="009E5558">
                              <w:rPr>
                                <w:rFonts w:ascii="Times New Roman" w:hAnsi="Times New Roman" w:cs="DanaFajr" w:hint="cs"/>
                                <w:b/>
                                <w:bCs/>
                                <w:color w:val="000000" w:themeColor="text1"/>
                                <w:szCs w:val="28"/>
                                <w:rtl/>
                                <w:lang w:eastAsia="ar-SA"/>
                              </w:rPr>
                              <w:t>6ـ دار</w:t>
                            </w:r>
                            <w:r w:rsidRPr="002120E0">
                              <w:rPr>
                                <w:rFonts w:cs="DanaFajr" w:hint="cs"/>
                                <w:b/>
                                <w:bCs/>
                                <w:noProof/>
                                <w:color w:val="000000" w:themeColor="text1"/>
                                <w:szCs w:val="28"/>
                                <w:rtl/>
                              </w:rPr>
                              <w:t xml:space="preserve">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FE69B5">
                              <w:rPr>
                                <w:rFonts w:cs="Mosawi" w:hint="cs"/>
                                <w:sz w:val="20"/>
                                <w:szCs w:val="20"/>
                                <w:rtl/>
                                <w:lang w:bidi="ar-AE"/>
                              </w:rPr>
                              <w:t>×</w:t>
                            </w:r>
                            <w:r>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sidRPr="00651D11">
                              <w:rPr>
                                <w:rFonts w:ascii="Times New Roman" w:hAnsi="Times New Roman" w:cs="DanaFajr" w:hint="cs"/>
                                <w:b/>
                                <w:bCs/>
                                <w:color w:val="000000" w:themeColor="text1"/>
                                <w:szCs w:val="28"/>
                                <w:rtl/>
                                <w:lang w:eastAsia="ar-SA"/>
                              </w:rPr>
                              <w:t>هاتف: 7811110341 (964</w:t>
                            </w:r>
                            <w:r w:rsidRPr="002120E0">
                              <w:rPr>
                                <w:rFonts w:cs="DanaFajr" w:hint="cs"/>
                                <w:b/>
                                <w:bCs/>
                                <w:color w:val="000000" w:themeColor="text1"/>
                                <w:szCs w:val="28"/>
                                <w:rtl/>
                              </w:rPr>
                              <w:t>+).</w:t>
                            </w:r>
                          </w:p>
                          <w:p w:rsidR="00F41F33" w:rsidRPr="002120E0" w:rsidRDefault="00F41F33"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سوريا: مكتبة دار الحسنين، دمشق، السيدة زينب، الشارع العام، </w:t>
                            </w:r>
                            <w:r w:rsidRPr="00651D11">
                              <w:rPr>
                                <w:rFonts w:ascii="Times New Roman" w:hAnsi="Times New Roman" w:cs="DanaFajr" w:hint="cs"/>
                                <w:b/>
                                <w:bCs/>
                                <w:color w:val="000000" w:themeColor="text1"/>
                                <w:szCs w:val="28"/>
                                <w:rtl/>
                                <w:lang w:eastAsia="ar-SA"/>
                              </w:rPr>
                              <w:t>هاتف: 932870435(963</w:t>
                            </w:r>
                            <w:r w:rsidRPr="002120E0">
                              <w:rPr>
                                <w:rFonts w:ascii="Times New Roman" w:hAnsi="Times New Roman" w:cs="DanaFajr" w:hint="cs"/>
                                <w:b/>
                                <w:bCs/>
                                <w:color w:val="000000" w:themeColor="text1"/>
                                <w:szCs w:val="28"/>
                                <w:rtl/>
                                <w:lang w:eastAsia="ar-SA"/>
                              </w:rPr>
                              <w:t>+</w:t>
                            </w:r>
                            <w:r w:rsidRPr="002120E0">
                              <w:rPr>
                                <w:rFonts w:ascii="Times New Roman" w:hAnsi="Times New Roman" w:cs="DanaFajr" w:hint="cs"/>
                                <w:b/>
                                <w:bCs/>
                                <w:color w:val="000000" w:themeColor="text1"/>
                                <w:spacing w:val="-8"/>
                                <w:szCs w:val="28"/>
                                <w:rtl/>
                                <w:lang w:eastAsia="ar-SA"/>
                              </w:rPr>
                              <w:t>).</w:t>
                            </w:r>
                          </w:p>
                          <w:p w:rsidR="00F41F33" w:rsidRPr="002120E0" w:rsidRDefault="00F41F33"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إيران: </w:t>
                            </w:r>
                            <w:r w:rsidRPr="009E5558">
                              <w:rPr>
                                <w:rFonts w:ascii="Times New Roman" w:hAnsi="Times New Roman" w:cs="DanaFajr" w:hint="cs"/>
                                <w:b/>
                                <w:bCs/>
                                <w:color w:val="000000" w:themeColor="text1"/>
                                <w:szCs w:val="28"/>
                                <w:rtl/>
                                <w:lang w:eastAsia="ar-SA"/>
                              </w:rPr>
                              <w:t>1</w:t>
                            </w:r>
                            <w:r w:rsidRPr="002120E0">
                              <w:rPr>
                                <w:rFonts w:ascii="Times New Roman" w:hAnsi="Times New Roman" w:cs="DanaFajr" w:hint="cs"/>
                                <w:b/>
                                <w:bCs/>
                                <w:color w:val="000000" w:themeColor="text1"/>
                                <w:szCs w:val="28"/>
                                <w:rtl/>
                                <w:lang w:eastAsia="ar-SA"/>
                              </w:rPr>
                              <w:t xml:space="preserve">ـ مكتبة الهاشمي، قم، كذرخان، هاتف: </w:t>
                            </w:r>
                            <w:r w:rsidRPr="00651D11">
                              <w:rPr>
                                <w:rFonts w:ascii="Times New Roman" w:hAnsi="Times New Roman" w:cs="DanaFajr" w:hint="cs"/>
                                <w:b/>
                                <w:bCs/>
                                <w:color w:val="000000" w:themeColor="text1"/>
                                <w:szCs w:val="28"/>
                                <w:rtl/>
                                <w:lang w:eastAsia="ar-SA"/>
                              </w:rPr>
                              <w:t>7743543</w:t>
                            </w:r>
                            <w:r w:rsidRPr="002120E0">
                              <w:rPr>
                                <w:rFonts w:ascii="Times New Roman" w:hAnsi="Times New Roman" w:cs="DanaFajr" w:hint="cs"/>
                                <w:b/>
                                <w:bCs/>
                                <w:color w:val="000000" w:themeColor="text1"/>
                                <w:szCs w:val="28"/>
                                <w:rtl/>
                                <w:lang w:eastAsia="ar-SA"/>
                              </w:rPr>
                              <w:t>(</w:t>
                            </w:r>
                            <w:r w:rsidRPr="00651D11">
                              <w:rPr>
                                <w:rFonts w:ascii="Times New Roman" w:hAnsi="Times New Roman" w:cs="DanaFajr" w:hint="cs"/>
                                <w:b/>
                                <w:bCs/>
                                <w:color w:val="000000" w:themeColor="text1"/>
                                <w:szCs w:val="28"/>
                                <w:rtl/>
                                <w:lang w:eastAsia="ar-SA"/>
                              </w:rPr>
                              <w:t>98251</w:t>
                            </w:r>
                            <w:r w:rsidRPr="002120E0">
                              <w:rPr>
                                <w:rFonts w:ascii="Times New Roman" w:hAnsi="Times New Roman" w:cs="DanaFajr" w:hint="cs"/>
                                <w:b/>
                                <w:bCs/>
                                <w:color w:val="000000" w:themeColor="text1"/>
                                <w:szCs w:val="28"/>
                                <w:rtl/>
                                <w:lang w:eastAsia="ar-SA"/>
                              </w:rPr>
                              <w:t xml:space="preserve">+). </w:t>
                            </w:r>
                            <w:r w:rsidRPr="009E5558">
                              <w:rPr>
                                <w:rFonts w:ascii="Times New Roman" w:hAnsi="Times New Roman" w:cs="DanaFajr" w:hint="cs"/>
                                <w:b/>
                                <w:bCs/>
                                <w:color w:val="000000" w:themeColor="text1"/>
                                <w:szCs w:val="28"/>
                                <w:rtl/>
                                <w:lang w:eastAsia="ar-SA"/>
                              </w:rPr>
                              <w:t>2</w:t>
                            </w:r>
                            <w:r w:rsidRPr="002120E0">
                              <w:rPr>
                                <w:rFonts w:ascii="Times New Roman" w:hAnsi="Times New Roman" w:cs="DanaFajr" w:hint="cs"/>
                                <w:b/>
                                <w:bCs/>
                                <w:color w:val="000000" w:themeColor="text1"/>
                                <w:szCs w:val="28"/>
                                <w:rtl/>
                                <w:lang w:eastAsia="ar-SA"/>
                              </w:rPr>
                              <w:t xml:space="preserve">ـ </w:t>
                            </w:r>
                            <w:r w:rsidRPr="009E5558">
                              <w:rPr>
                                <w:rFonts w:ascii="Times New Roman" w:hAnsi="Times New Roman" w:cs="DanaFajr" w:hint="cs"/>
                                <w:b/>
                                <w:bCs/>
                                <w:color w:val="000000" w:themeColor="text1"/>
                                <w:szCs w:val="28"/>
                                <w:rtl/>
                                <w:lang w:eastAsia="ar-SA"/>
                              </w:rPr>
                              <w:t>سوق</w:t>
                            </w:r>
                            <w:r w:rsidRPr="002120E0">
                              <w:rPr>
                                <w:rFonts w:cs="DanaFajr" w:hint="cs"/>
                                <w:b/>
                                <w:bCs/>
                                <w:noProof/>
                                <w:color w:val="000000" w:themeColor="text1"/>
                                <w:szCs w:val="28"/>
                                <w:rtl/>
                              </w:rPr>
                              <w:t xml:space="preserve"> القدس ـ الطابق الأوّل ـ مؤسّسة البلاغ</w:t>
                            </w:r>
                            <w:r w:rsidRPr="002120E0">
                              <w:rPr>
                                <w:rFonts w:ascii="Times New Roman" w:hAnsi="Times New Roman" w:cs="DanaFajr" w:hint="cs"/>
                                <w:b/>
                                <w:bCs/>
                                <w:color w:val="000000" w:themeColor="text1"/>
                                <w:szCs w:val="28"/>
                                <w:rtl/>
                                <w:lang w:eastAsia="ar-SA"/>
                              </w:rPr>
                              <w:t xml:space="preserve">. </w:t>
                            </w:r>
                            <w:r w:rsidRPr="009E5558">
                              <w:rPr>
                                <w:rFonts w:ascii="Times New Roman" w:hAnsi="Times New Roman" w:cs="DanaFajr" w:hint="cs"/>
                                <w:b/>
                                <w:bCs/>
                                <w:color w:val="000000" w:themeColor="text1"/>
                                <w:szCs w:val="28"/>
                                <w:rtl/>
                                <w:lang w:eastAsia="ar-SA"/>
                              </w:rPr>
                              <w:t>3</w:t>
                            </w:r>
                            <w:r w:rsidRPr="002120E0">
                              <w:rPr>
                                <w:rFonts w:ascii="Times New Roman" w:hAnsi="Times New Roman" w:cs="DanaFajr" w:hint="cs"/>
                                <w:b/>
                                <w:bCs/>
                                <w:color w:val="000000" w:themeColor="text1"/>
                                <w:szCs w:val="28"/>
                                <w:rtl/>
                                <w:lang w:eastAsia="ar-SA"/>
                              </w:rPr>
                              <w:t xml:space="preserve">ـ دفتر تبليغات «بوستان كتاب»، قم، چهار راه شهدا، هاتف: </w:t>
                            </w:r>
                            <w:r w:rsidRPr="00651D11">
                              <w:rPr>
                                <w:rFonts w:ascii="Times New Roman" w:hAnsi="Times New Roman" w:cs="DanaFajr" w:hint="cs"/>
                                <w:b/>
                                <w:bCs/>
                                <w:color w:val="000000" w:themeColor="text1"/>
                                <w:szCs w:val="28"/>
                                <w:rtl/>
                                <w:lang w:eastAsia="ar-SA"/>
                              </w:rPr>
                              <w:t>7742155</w:t>
                            </w:r>
                            <w:r w:rsidRPr="002120E0">
                              <w:rPr>
                                <w:rFonts w:ascii="Times New Roman" w:hAnsi="Times New Roman" w:cs="DanaFajr" w:hint="cs"/>
                                <w:b/>
                                <w:bCs/>
                                <w:color w:val="000000" w:themeColor="text1"/>
                                <w:szCs w:val="28"/>
                                <w:rtl/>
                                <w:lang w:eastAsia="ar-SA"/>
                              </w:rPr>
                              <w:t>(</w:t>
                            </w:r>
                            <w:r w:rsidRPr="00651D11">
                              <w:rPr>
                                <w:rFonts w:ascii="Times New Roman" w:hAnsi="Times New Roman" w:cs="DanaFajr" w:hint="cs"/>
                                <w:b/>
                                <w:bCs/>
                                <w:color w:val="000000" w:themeColor="text1"/>
                                <w:szCs w:val="28"/>
                                <w:rtl/>
                                <w:lang w:eastAsia="ar-SA"/>
                              </w:rPr>
                              <w:t>98251</w:t>
                            </w:r>
                            <w:r w:rsidRPr="002120E0">
                              <w:rPr>
                                <w:rFonts w:ascii="Times New Roman" w:hAnsi="Times New Roman" w:cs="DanaFajr" w:hint="cs"/>
                                <w:b/>
                                <w:bCs/>
                                <w:color w:val="000000" w:themeColor="text1"/>
                                <w:szCs w:val="28"/>
                                <w:rtl/>
                                <w:lang w:eastAsia="ar-SA"/>
                              </w:rPr>
                              <w:t>+).</w:t>
                            </w:r>
                          </w:p>
                          <w:p w:rsidR="00F41F33" w:rsidRPr="002120E0" w:rsidRDefault="00F41F33" w:rsidP="0046539E">
                            <w:pPr>
                              <w:widowControl/>
                              <w:spacing w:line="280" w:lineRule="exact"/>
                              <w:ind w:left="283" w:firstLine="0"/>
                              <w:rPr>
                                <w:rFonts w:ascii="Times New Roman" w:hAnsi="Times New Roman" w:cs="DanaFajr"/>
                                <w:b/>
                                <w:bCs/>
                                <w:color w:val="000000" w:themeColor="text1"/>
                                <w:szCs w:val="28"/>
                                <w:lang w:eastAsia="ar-SA"/>
                              </w:rPr>
                            </w:pPr>
                            <w:r w:rsidRPr="002120E0">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تونس: دار الزهراء للتوزيع والنشر، تونس العاصمة، </w:t>
                            </w:r>
                            <w:r w:rsidRPr="00651D11">
                              <w:rPr>
                                <w:rFonts w:ascii="Times New Roman" w:hAnsi="Times New Roman" w:cs="DanaFajr" w:hint="cs"/>
                                <w:b/>
                                <w:bCs/>
                                <w:color w:val="000000" w:themeColor="text1"/>
                                <w:szCs w:val="28"/>
                                <w:rtl/>
                                <w:lang w:eastAsia="ar-SA"/>
                              </w:rPr>
                              <w:t>هاتف: (0021698343821</w:t>
                            </w:r>
                            <w:r w:rsidRPr="002120E0">
                              <w:rPr>
                                <w:rFonts w:ascii="Times New Roman" w:hAnsi="Times New Roman" w:cs="DanaFajr" w:hint="cs"/>
                                <w:b/>
                                <w:bCs/>
                                <w:color w:val="000000" w:themeColor="text1"/>
                                <w:szCs w:val="28"/>
                                <w:rtl/>
                                <w:lang w:eastAsia="ar-SA"/>
                              </w:rPr>
                              <w:t>).</w:t>
                            </w:r>
                          </w:p>
                          <w:p w:rsidR="00F41F33" w:rsidRDefault="00F41F33"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Pr>
                                <w:rFonts w:ascii="Times New Roman" w:hAnsi="Times New Roman" w:cs="Times New Roman"/>
                                <w:color w:val="000000" w:themeColor="text1"/>
                                <w:sz w:val="24"/>
                                <w:szCs w:val="20"/>
                                <w:u w:val="single"/>
                                <w:lang w:eastAsia="ar-SA"/>
                              </w:rPr>
                              <w:t>http://www.neelwafurat.com</w:t>
                            </w:r>
                          </w:p>
                          <w:p w:rsidR="00F41F33" w:rsidRDefault="00F41F33"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Pr>
                                <w:rFonts w:ascii="Times New Roman" w:hAnsi="Times New Roman" w:cs="Times New Roman"/>
                                <w:color w:val="000000" w:themeColor="text1"/>
                                <w:sz w:val="24"/>
                                <w:szCs w:val="20"/>
                                <w:u w:val="single"/>
                                <w:lang w:eastAsia="ar-SA"/>
                              </w:rPr>
                              <w:t>http://www.arabicebook.com</w:t>
                            </w:r>
                          </w:p>
                          <w:p w:rsidR="00F41F33" w:rsidRDefault="00F41F33"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Pr>
                                <w:rFonts w:ascii="Times New Roman" w:hAnsi="Times New Roman" w:cs="DanaFajr"/>
                                <w:color w:val="000000" w:themeColor="text1"/>
                                <w:sz w:val="24"/>
                                <w:szCs w:val="20"/>
                                <w:lang w:eastAsia="ar-SA"/>
                              </w:rPr>
                              <w:t>United Kingdom</w:t>
                            </w:r>
                          </w:p>
                          <w:p w:rsidR="00F41F33" w:rsidRDefault="00F41F33" w:rsidP="0046539E">
                            <w:pPr>
                              <w:spacing w:line="280" w:lineRule="exact"/>
                              <w:ind w:firstLine="0"/>
                              <w:jc w:val="right"/>
                              <w:rPr>
                                <w:rFonts w:ascii="Times New Roman" w:hAnsi="Times New Roman" w:cs="DanaFajr"/>
                                <w:color w:val="000000" w:themeColor="text1"/>
                                <w:sz w:val="22"/>
                                <w:szCs w:val="18"/>
                                <w:rtl/>
                                <w:lang w:eastAsia="ar-SA"/>
                              </w:rPr>
                            </w:pPr>
                            <w:r>
                              <w:rPr>
                                <w:rFonts w:ascii="Times New Roman" w:hAnsi="Times New Roman" w:cs="DanaFajr"/>
                                <w:color w:val="000000" w:themeColor="text1"/>
                                <w:sz w:val="22"/>
                                <w:szCs w:val="18"/>
                                <w:lang w:eastAsia="ar-SA"/>
                              </w:rPr>
                              <w:t>London NW</w:t>
                            </w:r>
                            <w:r w:rsidRPr="006333E0">
                              <w:rPr>
                                <w:rFonts w:ascii="Times New Roman" w:hAnsi="Times New Roman" w:cs="Ya-Ali"/>
                                <w:color w:val="000000" w:themeColor="text1"/>
                                <w:sz w:val="22"/>
                                <w:szCs w:val="18"/>
                                <w:lang w:eastAsia="ar-SA"/>
                              </w:rPr>
                              <w:t>1</w:t>
                            </w:r>
                            <w:r>
                              <w:rPr>
                                <w:rFonts w:ascii="Times New Roman" w:hAnsi="Times New Roman" w:cs="DanaFajr"/>
                                <w:color w:val="000000" w:themeColor="text1"/>
                                <w:sz w:val="22"/>
                                <w:szCs w:val="18"/>
                                <w:lang w:eastAsia="ar-SA"/>
                              </w:rPr>
                              <w:t xml:space="preserve"> </w:t>
                            </w:r>
                            <w:r w:rsidRPr="006333E0">
                              <w:rPr>
                                <w:rFonts w:ascii="Times New Roman" w:hAnsi="Times New Roman" w:cs="Ya-Ali"/>
                                <w:color w:val="000000" w:themeColor="text1"/>
                                <w:sz w:val="22"/>
                                <w:szCs w:val="18"/>
                                <w:lang w:eastAsia="ar-SA"/>
                              </w:rPr>
                              <w:t>1</w:t>
                            </w:r>
                            <w:r>
                              <w:rPr>
                                <w:rFonts w:ascii="Times New Roman" w:hAnsi="Times New Roman" w:cs="DanaFajr"/>
                                <w:color w:val="000000" w:themeColor="text1"/>
                                <w:sz w:val="22"/>
                                <w:szCs w:val="18"/>
                                <w:lang w:eastAsia="ar-SA"/>
                              </w:rPr>
                              <w:t xml:space="preserve">HJ. Chalton Street </w:t>
                            </w:r>
                            <w:r w:rsidRPr="006333E0">
                              <w:rPr>
                                <w:rFonts w:ascii="Times New Roman" w:hAnsi="Times New Roman" w:cs="Ya-Ali"/>
                                <w:color w:val="000000" w:themeColor="text1"/>
                                <w:sz w:val="22"/>
                                <w:szCs w:val="18"/>
                                <w:lang w:eastAsia="ar-SA"/>
                              </w:rPr>
                              <w:t>88</w:t>
                            </w:r>
                            <w:r>
                              <w:rPr>
                                <w:rFonts w:ascii="Times New Roman" w:hAnsi="Times New Roman" w:cs="DanaFajr"/>
                                <w:color w:val="000000" w:themeColor="text1"/>
                                <w:sz w:val="22"/>
                                <w:szCs w:val="18"/>
                                <w:lang w:eastAsia="ar-SA"/>
                              </w:rPr>
                              <w:t>. Tel: (+</w:t>
                            </w:r>
                            <w:r w:rsidRPr="006333E0">
                              <w:rPr>
                                <w:rFonts w:ascii="Times New Roman" w:hAnsi="Times New Roman" w:cs="Ya-Ali"/>
                                <w:color w:val="000000" w:themeColor="text1"/>
                                <w:sz w:val="22"/>
                                <w:szCs w:val="18"/>
                                <w:lang w:eastAsia="ar-SA"/>
                              </w:rPr>
                              <w:t>4420</w:t>
                            </w:r>
                            <w:r>
                              <w:rPr>
                                <w:rFonts w:ascii="Times New Roman" w:hAnsi="Times New Roman" w:cs="DanaFajr"/>
                                <w:color w:val="000000" w:themeColor="text1"/>
                                <w:sz w:val="22"/>
                                <w:szCs w:val="18"/>
                                <w:lang w:eastAsia="ar-SA"/>
                              </w:rPr>
                              <w:t xml:space="preserve">) </w:t>
                            </w:r>
                            <w:r w:rsidRPr="006333E0">
                              <w:rPr>
                                <w:rFonts w:ascii="Times New Roman" w:hAnsi="Times New Roman" w:cs="Ya-Ali"/>
                                <w:color w:val="000000" w:themeColor="text1"/>
                                <w:sz w:val="22"/>
                                <w:szCs w:val="18"/>
                                <w:lang w:eastAsia="ar-SA"/>
                              </w:rPr>
                              <w:t>73834037</w:t>
                            </w:r>
                            <w:r>
                              <w:rPr>
                                <w:rFonts w:ascii="Times New Roman" w:hAnsi="Times New Roman" w:cs="DanaFajr"/>
                                <w:color w:val="000000" w:themeColor="text1"/>
                                <w:sz w:val="22"/>
                                <w:szCs w:val="18"/>
                                <w:lang w:eastAsia="ar-SA"/>
                              </w:rPr>
                              <w:t>.</w:t>
                            </w:r>
                          </w:p>
                          <w:p w:rsidR="00F41F33" w:rsidRDefault="00F41F33" w:rsidP="0046539E">
                            <w:pPr>
                              <w:spacing w:line="260" w:lineRule="exact"/>
                              <w:ind w:firstLine="0"/>
                              <w:jc w:val="left"/>
                              <w:rPr>
                                <w:rFonts w:ascii="Mosawi" w:hAnsi="Mosawi" w:cs="Mosawi"/>
                                <w:b/>
                                <w:sz w:val="44"/>
                                <w:szCs w:val="44"/>
                              </w:rPr>
                            </w:pPr>
                          </w:p>
                          <w:p w:rsidR="00F41F33" w:rsidRDefault="00F41F33" w:rsidP="0046539E">
                            <w:pPr>
                              <w:spacing w:line="300" w:lineRule="exact"/>
                              <w:ind w:firstLine="0"/>
                              <w:jc w:val="center"/>
                              <w:rPr>
                                <w:rFonts w:ascii="Mosawi" w:hAnsi="Mosawi" w:cs="Mosawi"/>
                                <w:b/>
                                <w:bCs/>
                                <w:sz w:val="20"/>
                                <w:szCs w:val="21"/>
                                <w:rtl/>
                              </w:rPr>
                            </w:pPr>
                          </w:p>
                          <w:p w:rsidR="00F41F33" w:rsidRDefault="00F41F33"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EB7818" w:rsidRDefault="00EB7818" w:rsidP="00BC1A2F">
                      <w:pPr>
                        <w:spacing w:before="12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EB7818" w:rsidRPr="002120E0" w:rsidRDefault="00EB7818" w:rsidP="0046539E">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لتوزيع</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الصحف</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والمطبوعات، بيروت، المشرّفية،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مقابل</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وزارة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العمل، سنتر</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فضل</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الله، ط</w:t>
                      </w:r>
                      <w:r w:rsidRPr="00812506">
                        <w:rPr>
                          <w:rFonts w:ascii="Times New Roman" w:hAnsi="Times New Roman" w:cs="DanaFajr" w:hint="cs"/>
                          <w:b/>
                          <w:bCs/>
                          <w:color w:val="000000" w:themeColor="text1"/>
                          <w:szCs w:val="28"/>
                          <w:rtl/>
                          <w:lang w:eastAsia="ar-SA"/>
                        </w:rPr>
                        <w:t>4</w:t>
                      </w:r>
                      <w:r w:rsidRPr="002120E0">
                        <w:rPr>
                          <w:rFonts w:ascii="Times New Roman" w:hAnsi="Times New Roman" w:cs="DanaFajr" w:hint="cs"/>
                          <w:b/>
                          <w:bCs/>
                          <w:color w:val="000000" w:themeColor="text1"/>
                          <w:szCs w:val="28"/>
                          <w:rtl/>
                          <w:lang w:eastAsia="ar-SA"/>
                        </w:rPr>
                        <w:t xml:space="preserve">، ص. ب: </w:t>
                      </w:r>
                      <w:r w:rsidRPr="00812506">
                        <w:rPr>
                          <w:rFonts w:ascii="Times New Roman" w:hAnsi="Times New Roman" w:cs="DanaFajr" w:hint="cs"/>
                          <w:b/>
                          <w:bCs/>
                          <w:color w:val="000000" w:themeColor="text1"/>
                          <w:szCs w:val="28"/>
                          <w:rtl/>
                          <w:lang w:eastAsia="ar-SA"/>
                        </w:rPr>
                        <w:t>25</w:t>
                      </w:r>
                      <w:r w:rsidRPr="002120E0">
                        <w:rPr>
                          <w:rFonts w:ascii="Times New Roman" w:hAnsi="Times New Roman" w:cs="DanaFajr" w:hint="cs"/>
                          <w:b/>
                          <w:bCs/>
                          <w:color w:val="000000" w:themeColor="text1"/>
                          <w:szCs w:val="28"/>
                          <w:rtl/>
                          <w:lang w:eastAsia="ar-SA"/>
                        </w:rPr>
                        <w:t>/</w:t>
                      </w:r>
                      <w:r w:rsidRPr="00812506">
                        <w:rPr>
                          <w:rFonts w:ascii="Times New Roman" w:hAnsi="Times New Roman" w:cs="DanaFajr" w:hint="cs"/>
                          <w:b/>
                          <w:bCs/>
                          <w:color w:val="000000" w:themeColor="text1"/>
                          <w:szCs w:val="28"/>
                          <w:rtl/>
                          <w:lang w:eastAsia="ar-SA"/>
                        </w:rPr>
                        <w:t>184</w:t>
                      </w:r>
                      <w:r w:rsidRPr="002120E0">
                        <w:rPr>
                          <w:rFonts w:ascii="Times New Roman" w:hAnsi="Times New Roman" w:cs="DanaFajr" w:hint="cs"/>
                          <w:b/>
                          <w:bCs/>
                          <w:color w:val="000000" w:themeColor="text1"/>
                          <w:szCs w:val="28"/>
                          <w:rtl/>
                          <w:lang w:eastAsia="ar-SA"/>
                        </w:rPr>
                        <w:t xml:space="preserve">، هاتف: </w:t>
                      </w:r>
                      <w:r w:rsidRPr="00812506">
                        <w:rPr>
                          <w:rFonts w:ascii="Times New Roman" w:hAnsi="Times New Roman" w:cs="DanaFajr" w:hint="cs"/>
                          <w:b/>
                          <w:bCs/>
                          <w:color w:val="000000" w:themeColor="text1"/>
                          <w:szCs w:val="28"/>
                          <w:rtl/>
                          <w:lang w:eastAsia="ar-SA"/>
                        </w:rPr>
                        <w:t>277007</w:t>
                      </w:r>
                      <w:r w:rsidRPr="002120E0">
                        <w:rPr>
                          <w:rFonts w:ascii="Times New Roman" w:hAnsi="Times New Roman" w:cs="DanaFajr" w:hint="cs"/>
                          <w:b/>
                          <w:bCs/>
                          <w:color w:val="000000" w:themeColor="text1"/>
                          <w:szCs w:val="28"/>
                          <w:rtl/>
                          <w:lang w:eastAsia="ar-SA"/>
                        </w:rPr>
                        <w:t>/</w:t>
                      </w:r>
                      <w:r w:rsidRPr="00812506">
                        <w:rPr>
                          <w:rFonts w:ascii="Times New Roman" w:hAnsi="Times New Roman" w:cs="DanaFajr" w:hint="cs"/>
                          <w:b/>
                          <w:bCs/>
                          <w:color w:val="000000" w:themeColor="text1"/>
                          <w:szCs w:val="28"/>
                          <w:rtl/>
                          <w:lang w:eastAsia="ar-SA"/>
                        </w:rPr>
                        <w:t>277088</w:t>
                      </w:r>
                      <w:r w:rsidRPr="002120E0">
                        <w:rPr>
                          <w:rFonts w:ascii="Times New Roman" w:hAnsi="Times New Roman" w:cs="DanaFajr" w:hint="cs"/>
                          <w:b/>
                          <w:bCs/>
                          <w:color w:val="000000" w:themeColor="text1"/>
                          <w:szCs w:val="28"/>
                          <w:rtl/>
                          <w:lang w:eastAsia="ar-SA"/>
                        </w:rPr>
                        <w:t>(</w:t>
                      </w:r>
                      <w:r w:rsidRPr="00812506">
                        <w:rPr>
                          <w:rFonts w:ascii="Times New Roman" w:hAnsi="Times New Roman" w:cs="DanaFajr" w:hint="cs"/>
                          <w:b/>
                          <w:bCs/>
                          <w:color w:val="000000" w:themeColor="text1"/>
                          <w:szCs w:val="28"/>
                          <w:rtl/>
                          <w:lang w:eastAsia="ar-SA"/>
                        </w:rPr>
                        <w:t>9611</w:t>
                      </w:r>
                      <w:r w:rsidRPr="002120E0">
                        <w:rPr>
                          <w:rFonts w:ascii="Times New Roman" w:hAnsi="Times New Roman" w:cs="DanaFajr" w:hint="cs"/>
                          <w:b/>
                          <w:bCs/>
                          <w:color w:val="000000" w:themeColor="text1"/>
                          <w:szCs w:val="28"/>
                          <w:rtl/>
                          <w:lang w:eastAsia="ar-SA"/>
                        </w:rPr>
                        <w:t>+).</w:t>
                      </w:r>
                    </w:p>
                    <w:p w:rsidR="00EB7818" w:rsidRPr="002120E0" w:rsidRDefault="00EB7818"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مملكة البحرين: شركة دار الوسط للنشر والتوزيع، هاتف: </w:t>
                      </w:r>
                      <w:r w:rsidRPr="00812506">
                        <w:rPr>
                          <w:rFonts w:ascii="Times New Roman" w:hAnsi="Times New Roman" w:cs="DanaFajr" w:hint="cs"/>
                          <w:b/>
                          <w:bCs/>
                          <w:color w:val="000000" w:themeColor="text1"/>
                          <w:szCs w:val="28"/>
                          <w:rtl/>
                          <w:lang w:eastAsia="ar-SA"/>
                        </w:rPr>
                        <w:t>17596969</w:t>
                      </w:r>
                      <w:r w:rsidRPr="002120E0">
                        <w:rPr>
                          <w:rFonts w:ascii="Times New Roman" w:hAnsi="Times New Roman" w:cs="DanaFajr" w:hint="cs"/>
                          <w:b/>
                          <w:bCs/>
                          <w:color w:val="000000" w:themeColor="text1"/>
                          <w:szCs w:val="28"/>
                          <w:rtl/>
                          <w:lang w:eastAsia="ar-SA"/>
                        </w:rPr>
                        <w:t>(</w:t>
                      </w:r>
                      <w:r w:rsidRPr="00B02093">
                        <w:rPr>
                          <w:rFonts w:ascii="Times New Roman" w:hAnsi="Times New Roman" w:cs="DanaFajr" w:hint="cs"/>
                          <w:b/>
                          <w:bCs/>
                          <w:color w:val="000000" w:themeColor="text1"/>
                          <w:szCs w:val="28"/>
                          <w:rtl/>
                          <w:lang w:eastAsia="ar-SA"/>
                        </w:rPr>
                        <w:t>973</w:t>
                      </w:r>
                      <w:r w:rsidRPr="002120E0">
                        <w:rPr>
                          <w:rFonts w:ascii="Times New Roman" w:hAnsi="Times New Roman" w:cs="DanaFajr" w:hint="cs"/>
                          <w:b/>
                          <w:bCs/>
                          <w:color w:val="000000" w:themeColor="text1"/>
                          <w:szCs w:val="28"/>
                          <w:rtl/>
                          <w:lang w:eastAsia="ar-SA"/>
                        </w:rPr>
                        <w:t>+).</w:t>
                      </w:r>
                    </w:p>
                    <w:p w:rsidR="00EB7818" w:rsidRPr="002120E0" w:rsidRDefault="00EB7818"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جمهورية مصر العربية: مؤسسة الأهرام، القاهرة، شارع الجلاء، هاتف: </w:t>
                      </w:r>
                      <w:r w:rsidRPr="009E5558">
                        <w:rPr>
                          <w:rFonts w:ascii="Times New Roman" w:hAnsi="Times New Roman" w:cs="DanaFajr" w:hint="cs"/>
                          <w:b/>
                          <w:bCs/>
                          <w:color w:val="000000" w:themeColor="text1"/>
                          <w:szCs w:val="28"/>
                          <w:rtl/>
                          <w:lang w:eastAsia="ar-SA"/>
                        </w:rPr>
                        <w:t>2665394</w:t>
                      </w:r>
                      <w:r w:rsidRPr="002120E0">
                        <w:rPr>
                          <w:rFonts w:ascii="Times New Roman" w:hAnsi="Times New Roman" w:cs="DanaFajr" w:hint="cs"/>
                          <w:b/>
                          <w:bCs/>
                          <w:color w:val="000000" w:themeColor="text1"/>
                          <w:szCs w:val="28"/>
                          <w:rtl/>
                          <w:lang w:eastAsia="ar-SA"/>
                        </w:rPr>
                        <w:t>.</w:t>
                      </w:r>
                    </w:p>
                    <w:p w:rsidR="00EB7818" w:rsidRPr="002120E0" w:rsidRDefault="00EB7818"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الإمارات العربية المتحدة: دار الحكمة، دبي، هاتف: </w:t>
                      </w:r>
                      <w:r w:rsidRPr="009E5558">
                        <w:rPr>
                          <w:rFonts w:ascii="Times New Roman" w:hAnsi="Times New Roman" w:cs="DanaFajr" w:hint="cs"/>
                          <w:b/>
                          <w:bCs/>
                          <w:color w:val="000000" w:themeColor="text1"/>
                          <w:szCs w:val="28"/>
                          <w:rtl/>
                          <w:lang w:eastAsia="ar-SA"/>
                        </w:rPr>
                        <w:t>2665394</w:t>
                      </w:r>
                      <w:r w:rsidRPr="002120E0">
                        <w:rPr>
                          <w:rFonts w:ascii="Times New Roman" w:hAnsi="Times New Roman" w:cs="DanaFajr" w:hint="cs"/>
                          <w:b/>
                          <w:bCs/>
                          <w:color w:val="000000" w:themeColor="text1"/>
                          <w:szCs w:val="28"/>
                          <w:rtl/>
                          <w:lang w:eastAsia="ar-SA"/>
                        </w:rPr>
                        <w:t>.</w:t>
                      </w:r>
                    </w:p>
                    <w:p w:rsidR="00EB7818" w:rsidRPr="002120E0" w:rsidRDefault="00EB7818"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المغرب: (سبريس) الشركة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العربية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الإفريقية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للتوزيع</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والنشر</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والصحافة، الدار</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 xml:space="preserve">البيضاء، </w:t>
                      </w:r>
                      <w:r w:rsidRPr="009E5558">
                        <w:rPr>
                          <w:rFonts w:ascii="Times New Roman" w:hAnsi="Times New Roman" w:cs="DanaFajr" w:hint="cs"/>
                          <w:b/>
                          <w:bCs/>
                          <w:color w:val="000000" w:themeColor="text1"/>
                          <w:szCs w:val="28"/>
                          <w:rtl/>
                          <w:lang w:eastAsia="ar-SA"/>
                        </w:rPr>
                        <w:t>70</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زنقة</w:t>
                      </w:r>
                      <w:r w:rsidRPr="002120E0">
                        <w:rPr>
                          <w:rFonts w:ascii="Times New Roman" w:hAnsi="Times New Roman" w:cs="DanaFajr"/>
                          <w:b/>
                          <w:bCs/>
                          <w:color w:val="000000" w:themeColor="text1"/>
                          <w:szCs w:val="28"/>
                          <w:lang w:eastAsia="ar-SA"/>
                        </w:rPr>
                        <w:t xml:space="preserve"> </w:t>
                      </w:r>
                      <w:r w:rsidRPr="002120E0">
                        <w:rPr>
                          <w:rFonts w:ascii="Times New Roman" w:hAnsi="Times New Roman" w:cs="DanaFajr" w:hint="cs"/>
                          <w:b/>
                          <w:bCs/>
                          <w:color w:val="000000" w:themeColor="text1"/>
                          <w:szCs w:val="28"/>
                          <w:rtl/>
                          <w:lang w:eastAsia="ar-SA"/>
                        </w:rPr>
                        <w:t>سجلماسة.</w:t>
                      </w:r>
                    </w:p>
                    <w:p w:rsidR="00EB7818" w:rsidRPr="002120E0" w:rsidRDefault="00EB7818" w:rsidP="00FE69B5">
                      <w:pPr>
                        <w:spacing w:after="60"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w:t>
                      </w:r>
                      <w:r w:rsidRPr="009E5558">
                        <w:rPr>
                          <w:rFonts w:ascii="Times New Roman" w:hAnsi="Times New Roman" w:cs="DanaFajr" w:hint="cs"/>
                          <w:b/>
                          <w:bCs/>
                          <w:color w:val="000000" w:themeColor="text1"/>
                          <w:szCs w:val="28"/>
                          <w:rtl/>
                          <w:lang w:eastAsia="ar-SA"/>
                        </w:rPr>
                        <w:t>1</w:t>
                      </w:r>
                      <w:r w:rsidRPr="002120E0">
                        <w:rPr>
                          <w:rFonts w:ascii="Times New Roman" w:hAnsi="Times New Roman" w:cs="DanaFajr" w:hint="cs"/>
                          <w:b/>
                          <w:bCs/>
                          <w:color w:val="000000" w:themeColor="text1"/>
                          <w:spacing w:val="-8"/>
                          <w:szCs w:val="28"/>
                          <w:rtl/>
                          <w:lang w:eastAsia="ar-SA"/>
                        </w:rPr>
                        <w:t xml:space="preserve">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هاتف: 07901419375(964</w:t>
                      </w:r>
                      <w:r w:rsidRPr="002120E0">
                        <w:rPr>
                          <w:rFonts w:cs="DanaFajr" w:hint="cs"/>
                          <w:b/>
                          <w:bCs/>
                          <w:color w:val="000000" w:themeColor="text1"/>
                          <w:szCs w:val="28"/>
                          <w:rtl/>
                        </w:rPr>
                        <w:t>+</w:t>
                      </w:r>
                      <w:r w:rsidRPr="002120E0">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2ـ</w:t>
                      </w:r>
                      <w:r w:rsidRPr="002120E0">
                        <w:rPr>
                          <w:rFonts w:cs="DanaFajr" w:hint="cs"/>
                          <w:b/>
                          <w:bCs/>
                          <w:noProof/>
                          <w:color w:val="000000" w:themeColor="text1"/>
                          <w:szCs w:val="28"/>
                          <w:rtl/>
                        </w:rPr>
                        <w:t xml:space="preserve">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هاتف: 7700728816(964</w:t>
                      </w:r>
                      <w:r w:rsidRPr="002120E0">
                        <w:rPr>
                          <w:rFonts w:cs="DanaFajr" w:hint="cs"/>
                          <w:b/>
                          <w:bCs/>
                          <w:color w:val="000000" w:themeColor="text1"/>
                          <w:szCs w:val="28"/>
                          <w:rtl/>
                        </w:rPr>
                        <w:t>+).</w:t>
                      </w:r>
                      <w:r w:rsidRPr="009E5558">
                        <w:rPr>
                          <w:rFonts w:ascii="Times New Roman" w:hAnsi="Times New Roman" w:cs="DanaFajr" w:hint="cs"/>
                          <w:b/>
                          <w:bCs/>
                          <w:color w:val="000000" w:themeColor="text1"/>
                          <w:szCs w:val="28"/>
                          <w:rtl/>
                          <w:lang w:eastAsia="ar-SA"/>
                        </w:rPr>
                        <w:t xml:space="preserve"> 3ـ</w:t>
                      </w:r>
                      <w:r w:rsidRPr="002120E0">
                        <w:rPr>
                          <w:rFonts w:cs="DanaFajr" w:hint="cs"/>
                          <w:b/>
                          <w:bCs/>
                          <w:color w:val="000000" w:themeColor="text1"/>
                          <w:szCs w:val="28"/>
                          <w:rtl/>
                        </w:rPr>
                        <w:t xml:space="preserve">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w:t>
                      </w:r>
                      <w:r w:rsidRPr="009E5558">
                        <w:rPr>
                          <w:rFonts w:ascii="Times New Roman" w:hAnsi="Times New Roman" w:cs="DanaFajr" w:hint="cs"/>
                          <w:b/>
                          <w:bCs/>
                          <w:color w:val="000000" w:themeColor="text1"/>
                          <w:szCs w:val="28"/>
                          <w:rtl/>
                          <w:lang w:eastAsia="ar-SA"/>
                        </w:rPr>
                        <w:t xml:space="preserve">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هاتف: 7801752581 (964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5ـ مؤسّسة</w:t>
                      </w:r>
                      <w:r w:rsidRPr="002120E0">
                        <w:rPr>
                          <w:rFonts w:cs="DanaFajr" w:hint="cs"/>
                          <w:b/>
                          <w:bCs/>
                          <w:noProof/>
                          <w:color w:val="000000" w:themeColor="text1"/>
                          <w:szCs w:val="28"/>
                          <w:rtl/>
                        </w:rPr>
                        <w:t xml:space="preserve">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9E5558">
                        <w:rPr>
                          <w:rFonts w:ascii="Times New Roman" w:hAnsi="Times New Roman" w:cs="DanaFajr" w:hint="cs"/>
                          <w:b/>
                          <w:bCs/>
                          <w:color w:val="000000" w:themeColor="text1"/>
                          <w:szCs w:val="28"/>
                          <w:rtl/>
                          <w:lang w:eastAsia="ar-SA"/>
                        </w:rPr>
                        <w:t>هاتف: 7501608589(964</w:t>
                      </w:r>
                      <w:r w:rsidRPr="002120E0">
                        <w:rPr>
                          <w:rFonts w:cs="DanaFajr" w:hint="cs"/>
                          <w:b/>
                          <w:bCs/>
                          <w:color w:val="000000" w:themeColor="text1"/>
                          <w:szCs w:val="28"/>
                          <w:rtl/>
                        </w:rPr>
                        <w:t xml:space="preserve">+). </w:t>
                      </w:r>
                      <w:r w:rsidRPr="009E5558">
                        <w:rPr>
                          <w:rFonts w:ascii="Times New Roman" w:hAnsi="Times New Roman" w:cs="DanaFajr" w:hint="cs"/>
                          <w:b/>
                          <w:bCs/>
                          <w:color w:val="000000" w:themeColor="text1"/>
                          <w:szCs w:val="28"/>
                          <w:rtl/>
                          <w:lang w:eastAsia="ar-SA"/>
                        </w:rPr>
                        <w:t>6ـ دار</w:t>
                      </w:r>
                      <w:r w:rsidRPr="002120E0">
                        <w:rPr>
                          <w:rFonts w:cs="DanaFajr" w:hint="cs"/>
                          <w:b/>
                          <w:bCs/>
                          <w:noProof/>
                          <w:color w:val="000000" w:themeColor="text1"/>
                          <w:szCs w:val="28"/>
                          <w:rtl/>
                        </w:rPr>
                        <w:t xml:space="preserve">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FE69B5">
                        <w:rPr>
                          <w:rFonts w:cs="Mosawi" w:hint="cs"/>
                          <w:sz w:val="20"/>
                          <w:szCs w:val="20"/>
                          <w:rtl/>
                          <w:lang w:bidi="ar-AE"/>
                        </w:rPr>
                        <w:t>×</w:t>
                      </w:r>
                      <w:r>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sidRPr="00651D11">
                        <w:rPr>
                          <w:rFonts w:ascii="Times New Roman" w:hAnsi="Times New Roman" w:cs="DanaFajr" w:hint="cs"/>
                          <w:b/>
                          <w:bCs/>
                          <w:color w:val="000000" w:themeColor="text1"/>
                          <w:szCs w:val="28"/>
                          <w:rtl/>
                          <w:lang w:eastAsia="ar-SA"/>
                        </w:rPr>
                        <w:t>هاتف: 7811110341 (964</w:t>
                      </w:r>
                      <w:r w:rsidRPr="002120E0">
                        <w:rPr>
                          <w:rFonts w:cs="DanaFajr" w:hint="cs"/>
                          <w:b/>
                          <w:bCs/>
                          <w:color w:val="000000" w:themeColor="text1"/>
                          <w:szCs w:val="28"/>
                          <w:rtl/>
                        </w:rPr>
                        <w:t>+).</w:t>
                      </w:r>
                    </w:p>
                    <w:p w:rsidR="00EB7818" w:rsidRPr="002120E0" w:rsidRDefault="00EB7818"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سوريا: مكتبة دار الحسنين، دمشق، السيدة زينب، الشارع العام، </w:t>
                      </w:r>
                      <w:r w:rsidRPr="00651D11">
                        <w:rPr>
                          <w:rFonts w:ascii="Times New Roman" w:hAnsi="Times New Roman" w:cs="DanaFajr" w:hint="cs"/>
                          <w:b/>
                          <w:bCs/>
                          <w:color w:val="000000" w:themeColor="text1"/>
                          <w:szCs w:val="28"/>
                          <w:rtl/>
                          <w:lang w:eastAsia="ar-SA"/>
                        </w:rPr>
                        <w:t>هاتف: 932870435(963</w:t>
                      </w:r>
                      <w:r w:rsidRPr="002120E0">
                        <w:rPr>
                          <w:rFonts w:ascii="Times New Roman" w:hAnsi="Times New Roman" w:cs="DanaFajr" w:hint="cs"/>
                          <w:b/>
                          <w:bCs/>
                          <w:color w:val="000000" w:themeColor="text1"/>
                          <w:szCs w:val="28"/>
                          <w:rtl/>
                          <w:lang w:eastAsia="ar-SA"/>
                        </w:rPr>
                        <w:t>+</w:t>
                      </w:r>
                      <w:r w:rsidRPr="002120E0">
                        <w:rPr>
                          <w:rFonts w:ascii="Times New Roman" w:hAnsi="Times New Roman" w:cs="DanaFajr" w:hint="cs"/>
                          <w:b/>
                          <w:bCs/>
                          <w:color w:val="000000" w:themeColor="text1"/>
                          <w:spacing w:val="-8"/>
                          <w:szCs w:val="28"/>
                          <w:rtl/>
                          <w:lang w:eastAsia="ar-SA"/>
                        </w:rPr>
                        <w:t>).</w:t>
                      </w:r>
                    </w:p>
                    <w:p w:rsidR="00EB7818" w:rsidRPr="002120E0" w:rsidRDefault="00EB7818" w:rsidP="0046539E">
                      <w:pPr>
                        <w:widowControl/>
                        <w:spacing w:line="280" w:lineRule="exact"/>
                        <w:ind w:left="283" w:firstLine="0"/>
                        <w:rPr>
                          <w:rFonts w:ascii="Times New Roman" w:hAnsi="Times New Roman" w:cs="DanaFajr"/>
                          <w:b/>
                          <w:bCs/>
                          <w:color w:val="000000" w:themeColor="text1"/>
                          <w:szCs w:val="28"/>
                          <w:rtl/>
                          <w:lang w:eastAsia="ar-SA"/>
                        </w:rPr>
                      </w:pPr>
                      <w:r w:rsidRPr="002120E0">
                        <w:rPr>
                          <w:rFonts w:ascii="Times New Roman" w:hAnsi="Times New Roman" w:cs="DanaFajr" w:hint="cs"/>
                          <w:b/>
                          <w:bCs/>
                          <w:color w:val="000000" w:themeColor="text1"/>
                          <w:szCs w:val="28"/>
                          <w:rtl/>
                          <w:lang w:eastAsia="ar-SA"/>
                        </w:rPr>
                        <w:t xml:space="preserve">٭ إيران: </w:t>
                      </w:r>
                      <w:r w:rsidRPr="009E5558">
                        <w:rPr>
                          <w:rFonts w:ascii="Times New Roman" w:hAnsi="Times New Roman" w:cs="DanaFajr" w:hint="cs"/>
                          <w:b/>
                          <w:bCs/>
                          <w:color w:val="000000" w:themeColor="text1"/>
                          <w:szCs w:val="28"/>
                          <w:rtl/>
                          <w:lang w:eastAsia="ar-SA"/>
                        </w:rPr>
                        <w:t>1</w:t>
                      </w:r>
                      <w:r w:rsidRPr="002120E0">
                        <w:rPr>
                          <w:rFonts w:ascii="Times New Roman" w:hAnsi="Times New Roman" w:cs="DanaFajr" w:hint="cs"/>
                          <w:b/>
                          <w:bCs/>
                          <w:color w:val="000000" w:themeColor="text1"/>
                          <w:szCs w:val="28"/>
                          <w:rtl/>
                          <w:lang w:eastAsia="ar-SA"/>
                        </w:rPr>
                        <w:t xml:space="preserve">ـ مكتبة الهاشمي، قم، كذرخان، هاتف: </w:t>
                      </w:r>
                      <w:r w:rsidRPr="00651D11">
                        <w:rPr>
                          <w:rFonts w:ascii="Times New Roman" w:hAnsi="Times New Roman" w:cs="DanaFajr" w:hint="cs"/>
                          <w:b/>
                          <w:bCs/>
                          <w:color w:val="000000" w:themeColor="text1"/>
                          <w:szCs w:val="28"/>
                          <w:rtl/>
                          <w:lang w:eastAsia="ar-SA"/>
                        </w:rPr>
                        <w:t>7743543</w:t>
                      </w:r>
                      <w:r w:rsidRPr="002120E0">
                        <w:rPr>
                          <w:rFonts w:ascii="Times New Roman" w:hAnsi="Times New Roman" w:cs="DanaFajr" w:hint="cs"/>
                          <w:b/>
                          <w:bCs/>
                          <w:color w:val="000000" w:themeColor="text1"/>
                          <w:szCs w:val="28"/>
                          <w:rtl/>
                          <w:lang w:eastAsia="ar-SA"/>
                        </w:rPr>
                        <w:t>(</w:t>
                      </w:r>
                      <w:r w:rsidRPr="00651D11">
                        <w:rPr>
                          <w:rFonts w:ascii="Times New Roman" w:hAnsi="Times New Roman" w:cs="DanaFajr" w:hint="cs"/>
                          <w:b/>
                          <w:bCs/>
                          <w:color w:val="000000" w:themeColor="text1"/>
                          <w:szCs w:val="28"/>
                          <w:rtl/>
                          <w:lang w:eastAsia="ar-SA"/>
                        </w:rPr>
                        <w:t>98251</w:t>
                      </w:r>
                      <w:r w:rsidRPr="002120E0">
                        <w:rPr>
                          <w:rFonts w:ascii="Times New Roman" w:hAnsi="Times New Roman" w:cs="DanaFajr" w:hint="cs"/>
                          <w:b/>
                          <w:bCs/>
                          <w:color w:val="000000" w:themeColor="text1"/>
                          <w:szCs w:val="28"/>
                          <w:rtl/>
                          <w:lang w:eastAsia="ar-SA"/>
                        </w:rPr>
                        <w:t xml:space="preserve">+). </w:t>
                      </w:r>
                      <w:r w:rsidRPr="009E5558">
                        <w:rPr>
                          <w:rFonts w:ascii="Times New Roman" w:hAnsi="Times New Roman" w:cs="DanaFajr" w:hint="cs"/>
                          <w:b/>
                          <w:bCs/>
                          <w:color w:val="000000" w:themeColor="text1"/>
                          <w:szCs w:val="28"/>
                          <w:rtl/>
                          <w:lang w:eastAsia="ar-SA"/>
                        </w:rPr>
                        <w:t>2</w:t>
                      </w:r>
                      <w:r w:rsidRPr="002120E0">
                        <w:rPr>
                          <w:rFonts w:ascii="Times New Roman" w:hAnsi="Times New Roman" w:cs="DanaFajr" w:hint="cs"/>
                          <w:b/>
                          <w:bCs/>
                          <w:color w:val="000000" w:themeColor="text1"/>
                          <w:szCs w:val="28"/>
                          <w:rtl/>
                          <w:lang w:eastAsia="ar-SA"/>
                        </w:rPr>
                        <w:t xml:space="preserve">ـ </w:t>
                      </w:r>
                      <w:r w:rsidRPr="009E5558">
                        <w:rPr>
                          <w:rFonts w:ascii="Times New Roman" w:hAnsi="Times New Roman" w:cs="DanaFajr" w:hint="cs"/>
                          <w:b/>
                          <w:bCs/>
                          <w:color w:val="000000" w:themeColor="text1"/>
                          <w:szCs w:val="28"/>
                          <w:rtl/>
                          <w:lang w:eastAsia="ar-SA"/>
                        </w:rPr>
                        <w:t>سوق</w:t>
                      </w:r>
                      <w:r w:rsidRPr="002120E0">
                        <w:rPr>
                          <w:rFonts w:cs="DanaFajr" w:hint="cs"/>
                          <w:b/>
                          <w:bCs/>
                          <w:noProof/>
                          <w:color w:val="000000" w:themeColor="text1"/>
                          <w:szCs w:val="28"/>
                          <w:rtl/>
                        </w:rPr>
                        <w:t xml:space="preserve"> القدس ـ الطابق الأوّل ـ مؤسّسة البلاغ</w:t>
                      </w:r>
                      <w:r w:rsidRPr="002120E0">
                        <w:rPr>
                          <w:rFonts w:ascii="Times New Roman" w:hAnsi="Times New Roman" w:cs="DanaFajr" w:hint="cs"/>
                          <w:b/>
                          <w:bCs/>
                          <w:color w:val="000000" w:themeColor="text1"/>
                          <w:szCs w:val="28"/>
                          <w:rtl/>
                          <w:lang w:eastAsia="ar-SA"/>
                        </w:rPr>
                        <w:t xml:space="preserve">. </w:t>
                      </w:r>
                      <w:r w:rsidRPr="009E5558">
                        <w:rPr>
                          <w:rFonts w:ascii="Times New Roman" w:hAnsi="Times New Roman" w:cs="DanaFajr" w:hint="cs"/>
                          <w:b/>
                          <w:bCs/>
                          <w:color w:val="000000" w:themeColor="text1"/>
                          <w:szCs w:val="28"/>
                          <w:rtl/>
                          <w:lang w:eastAsia="ar-SA"/>
                        </w:rPr>
                        <w:t>3</w:t>
                      </w:r>
                      <w:r w:rsidRPr="002120E0">
                        <w:rPr>
                          <w:rFonts w:ascii="Times New Roman" w:hAnsi="Times New Roman" w:cs="DanaFajr" w:hint="cs"/>
                          <w:b/>
                          <w:bCs/>
                          <w:color w:val="000000" w:themeColor="text1"/>
                          <w:szCs w:val="28"/>
                          <w:rtl/>
                          <w:lang w:eastAsia="ar-SA"/>
                        </w:rPr>
                        <w:t xml:space="preserve">ـ دفتر تبليغات «بوستان كتاب»، قم، چهار راه شهدا، هاتف: </w:t>
                      </w:r>
                      <w:r w:rsidRPr="00651D11">
                        <w:rPr>
                          <w:rFonts w:ascii="Times New Roman" w:hAnsi="Times New Roman" w:cs="DanaFajr" w:hint="cs"/>
                          <w:b/>
                          <w:bCs/>
                          <w:color w:val="000000" w:themeColor="text1"/>
                          <w:szCs w:val="28"/>
                          <w:rtl/>
                          <w:lang w:eastAsia="ar-SA"/>
                        </w:rPr>
                        <w:t>7742155</w:t>
                      </w:r>
                      <w:r w:rsidRPr="002120E0">
                        <w:rPr>
                          <w:rFonts w:ascii="Times New Roman" w:hAnsi="Times New Roman" w:cs="DanaFajr" w:hint="cs"/>
                          <w:b/>
                          <w:bCs/>
                          <w:color w:val="000000" w:themeColor="text1"/>
                          <w:szCs w:val="28"/>
                          <w:rtl/>
                          <w:lang w:eastAsia="ar-SA"/>
                        </w:rPr>
                        <w:t>(</w:t>
                      </w:r>
                      <w:r w:rsidRPr="00651D11">
                        <w:rPr>
                          <w:rFonts w:ascii="Times New Roman" w:hAnsi="Times New Roman" w:cs="DanaFajr" w:hint="cs"/>
                          <w:b/>
                          <w:bCs/>
                          <w:color w:val="000000" w:themeColor="text1"/>
                          <w:szCs w:val="28"/>
                          <w:rtl/>
                          <w:lang w:eastAsia="ar-SA"/>
                        </w:rPr>
                        <w:t>98251</w:t>
                      </w:r>
                      <w:r w:rsidRPr="002120E0">
                        <w:rPr>
                          <w:rFonts w:ascii="Times New Roman" w:hAnsi="Times New Roman" w:cs="DanaFajr" w:hint="cs"/>
                          <w:b/>
                          <w:bCs/>
                          <w:color w:val="000000" w:themeColor="text1"/>
                          <w:szCs w:val="28"/>
                          <w:rtl/>
                          <w:lang w:eastAsia="ar-SA"/>
                        </w:rPr>
                        <w:t>+).</w:t>
                      </w:r>
                    </w:p>
                    <w:p w:rsidR="00EB7818" w:rsidRPr="002120E0" w:rsidRDefault="00EB7818" w:rsidP="0046539E">
                      <w:pPr>
                        <w:widowControl/>
                        <w:spacing w:line="280" w:lineRule="exact"/>
                        <w:ind w:left="283" w:firstLine="0"/>
                        <w:rPr>
                          <w:rFonts w:ascii="Times New Roman" w:hAnsi="Times New Roman" w:cs="DanaFajr"/>
                          <w:b/>
                          <w:bCs/>
                          <w:color w:val="000000" w:themeColor="text1"/>
                          <w:szCs w:val="28"/>
                          <w:lang w:eastAsia="ar-SA"/>
                        </w:rPr>
                      </w:pPr>
                      <w:r w:rsidRPr="002120E0">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تونس: دار الزهراء للتوزيع والنشر، تونس العاصمة، </w:t>
                      </w:r>
                      <w:r w:rsidRPr="00651D11">
                        <w:rPr>
                          <w:rFonts w:ascii="Times New Roman" w:hAnsi="Times New Roman" w:cs="DanaFajr" w:hint="cs"/>
                          <w:b/>
                          <w:bCs/>
                          <w:color w:val="000000" w:themeColor="text1"/>
                          <w:szCs w:val="28"/>
                          <w:rtl/>
                          <w:lang w:eastAsia="ar-SA"/>
                        </w:rPr>
                        <w:t>هاتف: (0021698343821</w:t>
                      </w:r>
                      <w:r w:rsidRPr="002120E0">
                        <w:rPr>
                          <w:rFonts w:ascii="Times New Roman" w:hAnsi="Times New Roman" w:cs="DanaFajr" w:hint="cs"/>
                          <w:b/>
                          <w:bCs/>
                          <w:color w:val="000000" w:themeColor="text1"/>
                          <w:szCs w:val="28"/>
                          <w:rtl/>
                          <w:lang w:eastAsia="ar-SA"/>
                        </w:rPr>
                        <w:t>).</w:t>
                      </w:r>
                    </w:p>
                    <w:p w:rsidR="00EB7818" w:rsidRDefault="00EB7818"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Pr>
                          <w:rFonts w:ascii="Times New Roman" w:hAnsi="Times New Roman" w:cs="Times New Roman"/>
                          <w:color w:val="000000" w:themeColor="text1"/>
                          <w:sz w:val="24"/>
                          <w:szCs w:val="20"/>
                          <w:u w:val="single"/>
                          <w:lang w:eastAsia="ar-SA"/>
                        </w:rPr>
                        <w:t>http://www.neelwafurat.com</w:t>
                      </w:r>
                    </w:p>
                    <w:p w:rsidR="00EB7818" w:rsidRDefault="00EB7818"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Pr>
                          <w:rFonts w:ascii="Times New Roman" w:hAnsi="Times New Roman" w:cs="Times New Roman"/>
                          <w:color w:val="000000" w:themeColor="text1"/>
                          <w:sz w:val="24"/>
                          <w:szCs w:val="20"/>
                          <w:u w:val="single"/>
                          <w:lang w:eastAsia="ar-SA"/>
                        </w:rPr>
                        <w:t>http://www.arabicebook.com</w:t>
                      </w:r>
                    </w:p>
                    <w:p w:rsidR="00EB7818" w:rsidRDefault="00EB7818"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Pr>
                          <w:rFonts w:ascii="Times New Roman" w:hAnsi="Times New Roman" w:cs="DanaFajr"/>
                          <w:color w:val="000000" w:themeColor="text1"/>
                          <w:sz w:val="24"/>
                          <w:szCs w:val="20"/>
                          <w:lang w:eastAsia="ar-SA"/>
                        </w:rPr>
                        <w:t>United Kingdom</w:t>
                      </w:r>
                    </w:p>
                    <w:p w:rsidR="00EB7818" w:rsidRDefault="00EB7818" w:rsidP="0046539E">
                      <w:pPr>
                        <w:spacing w:line="280" w:lineRule="exact"/>
                        <w:ind w:firstLine="0"/>
                        <w:jc w:val="right"/>
                        <w:rPr>
                          <w:rFonts w:ascii="Times New Roman" w:hAnsi="Times New Roman" w:cs="DanaFajr"/>
                          <w:color w:val="000000" w:themeColor="text1"/>
                          <w:sz w:val="22"/>
                          <w:szCs w:val="18"/>
                          <w:rtl/>
                          <w:lang w:eastAsia="ar-SA"/>
                        </w:rPr>
                      </w:pPr>
                      <w:r>
                        <w:rPr>
                          <w:rFonts w:ascii="Times New Roman" w:hAnsi="Times New Roman" w:cs="DanaFajr"/>
                          <w:color w:val="000000" w:themeColor="text1"/>
                          <w:sz w:val="22"/>
                          <w:szCs w:val="18"/>
                          <w:lang w:eastAsia="ar-SA"/>
                        </w:rPr>
                        <w:t>London NW</w:t>
                      </w:r>
                      <w:r w:rsidRPr="006333E0">
                        <w:rPr>
                          <w:rFonts w:ascii="Times New Roman" w:hAnsi="Times New Roman" w:cs="Ya-Ali"/>
                          <w:color w:val="000000" w:themeColor="text1"/>
                          <w:sz w:val="22"/>
                          <w:szCs w:val="18"/>
                          <w:lang w:eastAsia="ar-SA"/>
                        </w:rPr>
                        <w:t>1</w:t>
                      </w:r>
                      <w:r>
                        <w:rPr>
                          <w:rFonts w:ascii="Times New Roman" w:hAnsi="Times New Roman" w:cs="DanaFajr"/>
                          <w:color w:val="000000" w:themeColor="text1"/>
                          <w:sz w:val="22"/>
                          <w:szCs w:val="18"/>
                          <w:lang w:eastAsia="ar-SA"/>
                        </w:rPr>
                        <w:t xml:space="preserve"> </w:t>
                      </w:r>
                      <w:r w:rsidRPr="006333E0">
                        <w:rPr>
                          <w:rFonts w:ascii="Times New Roman" w:hAnsi="Times New Roman" w:cs="Ya-Ali"/>
                          <w:color w:val="000000" w:themeColor="text1"/>
                          <w:sz w:val="22"/>
                          <w:szCs w:val="18"/>
                          <w:lang w:eastAsia="ar-SA"/>
                        </w:rPr>
                        <w:t>1</w:t>
                      </w:r>
                      <w:r>
                        <w:rPr>
                          <w:rFonts w:ascii="Times New Roman" w:hAnsi="Times New Roman" w:cs="DanaFajr"/>
                          <w:color w:val="000000" w:themeColor="text1"/>
                          <w:sz w:val="22"/>
                          <w:szCs w:val="18"/>
                          <w:lang w:eastAsia="ar-SA"/>
                        </w:rPr>
                        <w:t xml:space="preserve">HJ. Chalton Street </w:t>
                      </w:r>
                      <w:r w:rsidRPr="006333E0">
                        <w:rPr>
                          <w:rFonts w:ascii="Times New Roman" w:hAnsi="Times New Roman" w:cs="Ya-Ali"/>
                          <w:color w:val="000000" w:themeColor="text1"/>
                          <w:sz w:val="22"/>
                          <w:szCs w:val="18"/>
                          <w:lang w:eastAsia="ar-SA"/>
                        </w:rPr>
                        <w:t>88</w:t>
                      </w:r>
                      <w:r>
                        <w:rPr>
                          <w:rFonts w:ascii="Times New Roman" w:hAnsi="Times New Roman" w:cs="DanaFajr"/>
                          <w:color w:val="000000" w:themeColor="text1"/>
                          <w:sz w:val="22"/>
                          <w:szCs w:val="18"/>
                          <w:lang w:eastAsia="ar-SA"/>
                        </w:rPr>
                        <w:t>. Tel: (+</w:t>
                      </w:r>
                      <w:r w:rsidRPr="006333E0">
                        <w:rPr>
                          <w:rFonts w:ascii="Times New Roman" w:hAnsi="Times New Roman" w:cs="Ya-Ali"/>
                          <w:color w:val="000000" w:themeColor="text1"/>
                          <w:sz w:val="22"/>
                          <w:szCs w:val="18"/>
                          <w:lang w:eastAsia="ar-SA"/>
                        </w:rPr>
                        <w:t>4420</w:t>
                      </w:r>
                      <w:r>
                        <w:rPr>
                          <w:rFonts w:ascii="Times New Roman" w:hAnsi="Times New Roman" w:cs="DanaFajr"/>
                          <w:color w:val="000000" w:themeColor="text1"/>
                          <w:sz w:val="22"/>
                          <w:szCs w:val="18"/>
                          <w:lang w:eastAsia="ar-SA"/>
                        </w:rPr>
                        <w:t xml:space="preserve">) </w:t>
                      </w:r>
                      <w:r w:rsidRPr="006333E0">
                        <w:rPr>
                          <w:rFonts w:ascii="Times New Roman" w:hAnsi="Times New Roman" w:cs="Ya-Ali"/>
                          <w:color w:val="000000" w:themeColor="text1"/>
                          <w:sz w:val="22"/>
                          <w:szCs w:val="18"/>
                          <w:lang w:eastAsia="ar-SA"/>
                        </w:rPr>
                        <w:t>73834037</w:t>
                      </w:r>
                      <w:r>
                        <w:rPr>
                          <w:rFonts w:ascii="Times New Roman" w:hAnsi="Times New Roman" w:cs="DanaFajr"/>
                          <w:color w:val="000000" w:themeColor="text1"/>
                          <w:sz w:val="22"/>
                          <w:szCs w:val="18"/>
                          <w:lang w:eastAsia="ar-SA"/>
                        </w:rPr>
                        <w:t>.</w:t>
                      </w:r>
                    </w:p>
                    <w:p w:rsidR="00EB7818" w:rsidRDefault="00EB7818" w:rsidP="0046539E">
                      <w:pPr>
                        <w:spacing w:line="260" w:lineRule="exact"/>
                        <w:ind w:firstLine="0"/>
                        <w:jc w:val="left"/>
                        <w:rPr>
                          <w:rFonts w:ascii="Mosawi" w:hAnsi="Mosawi" w:cs="Mosawi"/>
                          <w:b/>
                          <w:sz w:val="44"/>
                          <w:szCs w:val="44"/>
                        </w:rPr>
                      </w:pPr>
                    </w:p>
                    <w:p w:rsidR="00EB7818" w:rsidRDefault="00EB7818" w:rsidP="0046539E">
                      <w:pPr>
                        <w:spacing w:line="300" w:lineRule="exact"/>
                        <w:ind w:firstLine="0"/>
                        <w:jc w:val="center"/>
                        <w:rPr>
                          <w:rFonts w:ascii="Mosawi" w:hAnsi="Mosawi" w:cs="Mosawi"/>
                          <w:b/>
                          <w:bCs/>
                          <w:sz w:val="20"/>
                          <w:szCs w:val="21"/>
                          <w:rtl/>
                        </w:rPr>
                      </w:pPr>
                    </w:p>
                    <w:p w:rsidR="00EB7818" w:rsidRDefault="00EB7818" w:rsidP="0046539E">
                      <w:pPr>
                        <w:spacing w:line="300" w:lineRule="exact"/>
                        <w:ind w:firstLine="0"/>
                        <w:jc w:val="center"/>
                        <w:rPr>
                          <w:rFonts w:ascii="Mosawi" w:hAnsi="Mosawi" w:cs="Mosawi"/>
                          <w:b/>
                          <w:bCs/>
                          <w:sz w:val="20"/>
                          <w:szCs w:val="21"/>
                          <w:rtl/>
                        </w:rPr>
                      </w:pPr>
                    </w:p>
                  </w:txbxContent>
                </v:textbox>
              </v:shape>
            </w:pict>
          </mc:Fallback>
        </mc:AlternateContent>
      </w:r>
      <w:r w:rsidRPr="00904FCB">
        <w:rPr>
          <w:noProof/>
        </w:rPr>
        <mc:AlternateContent>
          <mc:Choice Requires="wps">
            <w:drawing>
              <wp:anchor distT="0" distB="0" distL="114300" distR="114300" simplePos="0" relativeHeight="251671040" behindDoc="0" locked="0" layoutInCell="1" allowOverlap="1" wp14:anchorId="1707D706" wp14:editId="22D0BD59">
                <wp:simplePos x="0" y="0"/>
                <wp:positionH relativeFrom="column">
                  <wp:posOffset>2364105</wp:posOffset>
                </wp:positionH>
                <wp:positionV relativeFrom="paragraph">
                  <wp:posOffset>1480820</wp:posOffset>
                </wp:positionV>
                <wp:extent cx="2114550" cy="16459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64592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F41F33" w:rsidRDefault="00F41F33"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F41F33" w:rsidRDefault="00F41F33"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F41F33" w:rsidRPr="002019C0" w:rsidRDefault="00F41F33" w:rsidP="0046539E">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sidRPr="00812506">
                              <w:rPr>
                                <w:rFonts w:ascii="Times New Roman" w:hAnsi="Times New Roman"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sidRPr="00812506">
                              <w:rPr>
                                <w:rFonts w:ascii="Times New Roman" w:hAnsi="Times New Roman" w:hint="cs"/>
                                <w:color w:val="000000" w:themeColor="text1"/>
                                <w:sz w:val="26"/>
                                <w:szCs w:val="26"/>
                                <w:rtl/>
                                <w:lang w:eastAsia="ar-SA"/>
                              </w:rPr>
                              <w:t>25</w:t>
                            </w:r>
                          </w:p>
                          <w:p w:rsidR="00F41F33" w:rsidRPr="003B0306" w:rsidRDefault="00F41F33" w:rsidP="0046539E">
                            <w:pPr>
                              <w:widowControl/>
                              <w:spacing w:line="300" w:lineRule="exact"/>
                              <w:ind w:firstLine="0"/>
                              <w:jc w:val="left"/>
                              <w:rPr>
                                <w:rFonts w:ascii="Times New Roman" w:hAnsi="Times New Roman"/>
                                <w:b/>
                                <w:bCs/>
                                <w:color w:val="FFFFFF" w:themeColor="background1"/>
                                <w:sz w:val="26"/>
                                <w:szCs w:val="26"/>
                                <w:rtl/>
                                <w:lang w:eastAsia="ar-SA" w:bidi="ar-LB"/>
                              </w:rPr>
                            </w:pPr>
                            <w:r>
                              <w:rPr>
                                <w:rFonts w:ascii="Times New Roman" w:hAnsi="Times New Roman"/>
                                <w:b/>
                                <w:bCs/>
                                <w:color w:val="000000" w:themeColor="text1"/>
                                <w:sz w:val="26"/>
                                <w:szCs w:val="26"/>
                                <w:lang w:eastAsia="ar-SA"/>
                              </w:rPr>
                              <w:t>www.nosos.net</w:t>
                            </w:r>
                          </w:p>
                          <w:p w:rsidR="00F41F33" w:rsidRDefault="00F41F33"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9" w:history="1">
                              <w:r>
                                <w:rPr>
                                  <w:rStyle w:val="Hyperlink"/>
                                  <w:rFonts w:ascii="Times New Roman" w:hAnsi="Times New Roman"/>
                                  <w:color w:val="000000" w:themeColor="text1"/>
                                  <w:sz w:val="26"/>
                                  <w:szCs w:val="26"/>
                                  <w:lang w:eastAsia="ar-SA"/>
                                </w:rPr>
                                <w:t>info@nosos.net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left:0;text-align:left;margin-left:186.15pt;margin-top:116.6pt;width:166.5pt;height:129.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" filled="f" stroked="f" strokeweight="1pt">
                <v:textbox inset="1mm,1mm,1mm,1mm">
                  <w:txbxContent>
                    <w:p w:rsidR="00EB7818" w:rsidRDefault="00EB7818"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EB7818" w:rsidRDefault="00EB7818"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EB7818" w:rsidRPr="002019C0" w:rsidRDefault="00EB7818" w:rsidP="0046539E">
                      <w:pPr>
                        <w:widowControl/>
                        <w:spacing w:line="300" w:lineRule="exact"/>
                        <w:ind w:firstLine="0"/>
                        <w:rPr>
                          <w:rFonts w:ascii="Times New Roman" w:hAnsi="Times New Roman" w:cs="HeshamNormal"/>
                          <w:color w:val="FFFFFF" w:themeColor="background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sidRPr="00812506">
                        <w:rPr>
                          <w:rFonts w:ascii="Times New Roman" w:hAnsi="Times New Roman"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sidRPr="00812506">
                        <w:rPr>
                          <w:rFonts w:ascii="Times New Roman" w:hAnsi="Times New Roman" w:hint="cs"/>
                          <w:color w:val="000000" w:themeColor="text1"/>
                          <w:sz w:val="26"/>
                          <w:szCs w:val="26"/>
                          <w:rtl/>
                          <w:lang w:eastAsia="ar-SA"/>
                        </w:rPr>
                        <w:t>25</w:t>
                      </w:r>
                      <w:bookmarkStart w:id="1" w:name="_GoBack"/>
                    </w:p>
                    <w:bookmarkEnd w:id="1"/>
                    <w:p w:rsidR="00EB7818" w:rsidRPr="003B0306" w:rsidRDefault="00EB7818" w:rsidP="0046539E">
                      <w:pPr>
                        <w:widowControl/>
                        <w:spacing w:line="300" w:lineRule="exact"/>
                        <w:ind w:firstLine="0"/>
                        <w:jc w:val="left"/>
                        <w:rPr>
                          <w:rFonts w:ascii="Times New Roman" w:hAnsi="Times New Roman"/>
                          <w:b/>
                          <w:bCs/>
                          <w:color w:val="FFFFFF" w:themeColor="background1"/>
                          <w:sz w:val="26"/>
                          <w:szCs w:val="26"/>
                          <w:rtl/>
                          <w:lang w:eastAsia="ar-SA" w:bidi="ar-LB"/>
                        </w:rPr>
                      </w:pPr>
                      <w:r>
                        <w:rPr>
                          <w:rFonts w:ascii="Times New Roman" w:hAnsi="Times New Roman"/>
                          <w:b/>
                          <w:bCs/>
                          <w:color w:val="000000" w:themeColor="text1"/>
                          <w:sz w:val="26"/>
                          <w:szCs w:val="26"/>
                          <w:lang w:eastAsia="ar-SA"/>
                        </w:rPr>
                        <w:t>www.nosos.net</w:t>
                      </w:r>
                    </w:p>
                    <w:p w:rsidR="00EB7818" w:rsidRDefault="00EB7818" w:rsidP="0046539E">
                      <w:pPr>
                        <w:widowControl/>
                        <w:spacing w:line="300" w:lineRule="exact"/>
                        <w:ind w:firstLine="0"/>
                        <w:jc w:val="left"/>
                        <w:rPr>
                          <w:rFonts w:ascii="Arial" w:hAnsi="Arial" w:cs="Ya-Ali"/>
                          <w:b/>
                          <w:sz w:val="36"/>
                          <w:rtl/>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info@nosos.net</w:t>
                        </w:r>
                      </w:hyperlink>
                    </w:p>
                  </w:txbxContent>
                </v:textbox>
              </v:shape>
            </w:pict>
          </mc:Fallback>
        </mc:AlternateContent>
      </w:r>
      <w:r w:rsidRPr="00904FCB">
        <w:rPr>
          <w:noProof/>
        </w:rPr>
        <mc:AlternateContent>
          <mc:Choice Requires="wps">
            <w:drawing>
              <wp:anchor distT="0" distB="0" distL="114300" distR="114300" simplePos="0" relativeHeight="251674112" behindDoc="0" locked="0" layoutInCell="1" allowOverlap="1" wp14:anchorId="3CFCD3B4" wp14:editId="4A526819">
                <wp:simplePos x="0" y="0"/>
                <wp:positionH relativeFrom="column">
                  <wp:posOffset>-13335</wp:posOffset>
                </wp:positionH>
                <wp:positionV relativeFrom="paragraph">
                  <wp:posOffset>1480820</wp:posOffset>
                </wp:positionV>
                <wp:extent cx="2687320" cy="129603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296035"/>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F41F33" w:rsidRDefault="00F41F33"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F41F33" w:rsidRDefault="00F41F33" w:rsidP="0046539E">
                            <w:pPr>
                              <w:widowControl/>
                              <w:spacing w:line="300" w:lineRule="exact"/>
                              <w:ind w:firstLine="0"/>
                              <w:rPr>
                                <w:rFonts w:ascii="MS Sans Serif" w:hAnsi="MS Sans Serif" w:cs="Abz-3 (Yagut)"/>
                                <w:bCs/>
                                <w:color w:val="000000" w:themeColor="text1"/>
                                <w:sz w:val="22"/>
                                <w:szCs w:val="22"/>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p>
                          <w:p w:rsidR="00F41F33" w:rsidRDefault="00F41F33" w:rsidP="0046539E">
                            <w:pPr>
                              <w:widowControl/>
                              <w:spacing w:line="300" w:lineRule="exact"/>
                              <w:ind w:firstLine="0"/>
                              <w:rPr>
                                <w:rFonts w:ascii="MS Sans Serif" w:hAnsi="MS Sans Serif" w:cs="Abz-3 (Yagut)"/>
                                <w:bCs/>
                                <w:color w:val="000000" w:themeColor="text1"/>
                                <w:spacing w:val="-8"/>
                                <w:sz w:val="22"/>
                                <w:szCs w:val="22"/>
                                <w:rtl/>
                                <w:lang w:eastAsia="ar-SA"/>
                              </w:rPr>
                            </w:pPr>
                            <w:r>
                              <w:rPr>
                                <w:rFonts w:ascii="MS Sans Serif" w:hAnsi="MS Sans Serif" w:cs="Abz-3 (Yagut)" w:hint="cs"/>
                                <w:bCs/>
                                <w:color w:val="000000" w:themeColor="text1"/>
                                <w:sz w:val="22"/>
                                <w:szCs w:val="22"/>
                                <w:rtl/>
                                <w:lang w:eastAsia="ar-SA"/>
                              </w:rPr>
                              <w:t xml:space="preserve">تلفاكس: </w:t>
                            </w:r>
                            <w:r w:rsidRPr="00812506">
                              <w:rPr>
                                <w:rFonts w:ascii="MS Sans Serif" w:hAnsi="MS Sans Serif" w:cs="Abz-3 (Yagut)" w:hint="cs"/>
                                <w:bCs/>
                                <w:color w:val="000000" w:themeColor="text1"/>
                                <w:sz w:val="22"/>
                                <w:szCs w:val="22"/>
                                <w:rtl/>
                                <w:lang w:eastAsia="ar-SA"/>
                              </w:rPr>
                              <w:t>009615464520</w:t>
                            </w:r>
                          </w:p>
                          <w:p w:rsidR="00F41F33" w:rsidRDefault="00F41F33" w:rsidP="003B0306">
                            <w:pPr>
                              <w:widowControl/>
                              <w:spacing w:line="300" w:lineRule="exact"/>
                              <w:ind w:firstLine="0"/>
                              <w:rPr>
                                <w:rFonts w:ascii="Arial" w:hAnsi="Arial" w:cs="Ya-Ali"/>
                                <w:b/>
                                <w:sz w:val="36"/>
                                <w:rtl/>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1.05pt;margin-top:116.6pt;width:211.6pt;height:10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" filled="f" stroked="f" strokeweight="1pt">
                <v:textbox inset="1mm,1mm,1mm,1mm">
                  <w:txbxContent>
                    <w:p w:rsidR="00EB7818" w:rsidRDefault="00EB7818"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EB7818" w:rsidRDefault="00EB7818" w:rsidP="0046539E">
                      <w:pPr>
                        <w:widowControl/>
                        <w:spacing w:line="300" w:lineRule="exact"/>
                        <w:ind w:firstLine="0"/>
                        <w:rPr>
                          <w:rFonts w:ascii="MS Sans Serif" w:hAnsi="MS Sans Serif" w:cs="Abz-3 (Yagut)"/>
                          <w:bCs/>
                          <w:color w:val="000000" w:themeColor="text1"/>
                          <w:sz w:val="22"/>
                          <w:szCs w:val="22"/>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p>
                    <w:p w:rsidR="00EB7818" w:rsidRDefault="00EB7818" w:rsidP="0046539E">
                      <w:pPr>
                        <w:widowControl/>
                        <w:spacing w:line="300" w:lineRule="exact"/>
                        <w:ind w:firstLine="0"/>
                        <w:rPr>
                          <w:rFonts w:ascii="MS Sans Serif" w:hAnsi="MS Sans Serif" w:cs="Abz-3 (Yagut)"/>
                          <w:bCs/>
                          <w:color w:val="000000" w:themeColor="text1"/>
                          <w:spacing w:val="-8"/>
                          <w:sz w:val="22"/>
                          <w:szCs w:val="22"/>
                          <w:rtl/>
                          <w:lang w:eastAsia="ar-SA"/>
                        </w:rPr>
                      </w:pPr>
                      <w:r>
                        <w:rPr>
                          <w:rFonts w:ascii="MS Sans Serif" w:hAnsi="MS Sans Serif" w:cs="Abz-3 (Yagut)" w:hint="cs"/>
                          <w:bCs/>
                          <w:color w:val="000000" w:themeColor="text1"/>
                          <w:sz w:val="22"/>
                          <w:szCs w:val="22"/>
                          <w:rtl/>
                          <w:lang w:eastAsia="ar-SA"/>
                        </w:rPr>
                        <w:t xml:space="preserve">تلفاكس: </w:t>
                      </w:r>
                      <w:r w:rsidRPr="00812506">
                        <w:rPr>
                          <w:rFonts w:ascii="MS Sans Serif" w:hAnsi="MS Sans Serif" w:cs="Abz-3 (Yagut)" w:hint="cs"/>
                          <w:bCs/>
                          <w:color w:val="000000" w:themeColor="text1"/>
                          <w:sz w:val="22"/>
                          <w:szCs w:val="22"/>
                          <w:rtl/>
                          <w:lang w:eastAsia="ar-SA"/>
                        </w:rPr>
                        <w:t>009615464520</w:t>
                      </w:r>
                    </w:p>
                    <w:p w:rsidR="00EB7818" w:rsidRDefault="00EB7818" w:rsidP="003B0306">
                      <w:pPr>
                        <w:widowControl/>
                        <w:spacing w:line="300" w:lineRule="exact"/>
                        <w:ind w:firstLine="0"/>
                        <w:rPr>
                          <w:rFonts w:ascii="Arial" w:hAnsi="Arial" w:cs="Ya-Ali"/>
                          <w:b/>
                          <w:sz w:val="36"/>
                          <w:rtl/>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txbxContent>
                </v:textbox>
              </v:shape>
            </w:pict>
          </mc:Fallback>
        </mc:AlternateContent>
      </w:r>
      <w:r w:rsidRPr="00904FCB">
        <w:rPr>
          <w:noProof/>
        </w:rPr>
        <w:drawing>
          <wp:anchor distT="0" distB="0" distL="114300" distR="114300" simplePos="0" relativeHeight="251668992" behindDoc="0" locked="0" layoutInCell="1" allowOverlap="1" wp14:anchorId="56705A67" wp14:editId="2F48FAA9">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904FCB" w:rsidRDefault="00597598" w:rsidP="00597598">
      <w:pPr>
        <w:widowControl/>
        <w:spacing w:after="200" w:line="276" w:lineRule="auto"/>
        <w:ind w:firstLine="0"/>
        <w:jc w:val="left"/>
        <w:rPr>
          <w:rFonts w:cs="HeshamNormal"/>
          <w:sz w:val="2"/>
          <w:szCs w:val="2"/>
          <w:rtl/>
        </w:rPr>
        <w:sectPr w:rsidR="00597598" w:rsidRPr="00904FCB" w:rsidSect="00323BF4">
          <w:endnotePr>
            <w:numFmt w:val="decimal"/>
            <w:numRestart w:val="eachSect"/>
          </w:endnotePr>
          <w:pgSz w:w="11907" w:h="16840" w:code="9"/>
          <w:pgMar w:top="2637" w:right="2438" w:bottom="3686" w:left="2438" w:header="2268" w:footer="3119" w:gutter="0"/>
          <w:cols w:space="720"/>
          <w:titlePg/>
          <w:docGrid w:linePitch="360"/>
        </w:sectPr>
      </w:pPr>
      <w:r w:rsidRPr="00904FCB">
        <w:rPr>
          <w:rtl/>
        </w:rPr>
        <w:br w:type="page"/>
      </w:r>
    </w:p>
    <w:p w:rsidR="00893651" w:rsidRPr="00904FCB" w:rsidRDefault="00893651" w:rsidP="00286E74">
      <w:pPr>
        <w:tabs>
          <w:tab w:val="left" w:pos="2636"/>
        </w:tabs>
        <w:ind w:firstLine="0"/>
        <w:rPr>
          <w:rFonts w:cs="HeshamNormal"/>
          <w:sz w:val="2"/>
          <w:szCs w:val="2"/>
          <w:rtl/>
        </w:rPr>
      </w:pPr>
    </w:p>
    <w:p w:rsidR="00E85587" w:rsidRPr="00904FCB" w:rsidRDefault="00072C15" w:rsidP="009F2E04">
      <w:pPr>
        <w:tabs>
          <w:tab w:val="right" w:leader="dot" w:pos="7030"/>
        </w:tabs>
        <w:ind w:firstLine="0"/>
        <w:rPr>
          <w:rFonts w:cs="PT Bold Heading"/>
          <w:bCs/>
        </w:rPr>
      </w:pPr>
      <w:r w:rsidRPr="00904FCB">
        <w:rPr>
          <w:noProof/>
        </w:rPr>
        <w:drawing>
          <wp:anchor distT="0" distB="0" distL="114300" distR="114300" simplePos="0" relativeHeight="251641344" behindDoc="0" locked="0" layoutInCell="1" allowOverlap="1" wp14:anchorId="1DC4E5AF" wp14:editId="25AC3E92">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904FCB">
        <w:rPr>
          <w:rFonts w:cs="PT Bold Heading"/>
          <w:bCs/>
        </w:rPr>
        <w:sym w:font="Wingdings" w:char="F072"/>
      </w:r>
      <w:r w:rsidR="00BB6282" w:rsidRPr="00904FCB">
        <w:rPr>
          <w:rFonts w:cs="PT Bold Heading"/>
          <w:bCs/>
          <w:rtl/>
        </w:rPr>
        <w:t xml:space="preserve"> كلم</w:t>
      </w:r>
      <w:r w:rsidR="006D38E2" w:rsidRPr="00904FCB">
        <w:rPr>
          <w:rFonts w:cs="PT Bold Heading"/>
          <w:bCs/>
          <w:rtl/>
        </w:rPr>
        <w:t xml:space="preserve">ة </w:t>
      </w:r>
      <w:r w:rsidR="00BB6282" w:rsidRPr="00904FCB">
        <w:rPr>
          <w:rFonts w:cs="PT Bold Heading"/>
          <w:bCs/>
          <w:rtl/>
        </w:rPr>
        <w:t>التحرير</w:t>
      </w:r>
    </w:p>
    <w:p w:rsidR="007E3E4C" w:rsidRPr="00904FCB" w:rsidRDefault="009916FB" w:rsidP="005823C3">
      <w:pPr>
        <w:pStyle w:val="10"/>
        <w:spacing w:before="180" w:line="168" w:lineRule="auto"/>
        <w:ind w:left="284" w:hanging="284"/>
        <w:jc w:val="both"/>
        <w:rPr>
          <w:rStyle w:val="Hyperlink"/>
          <w:rFonts w:ascii="Times New Roman" w:hAnsi="Times New Roman" w:cs="AL-Mohanad Bold"/>
          <w:noProof/>
          <w:color w:val="auto"/>
          <w:sz w:val="30"/>
          <w:szCs w:val="26"/>
          <w:u w:val="none"/>
          <w:rtl/>
          <w:lang w:eastAsia="ar-SA"/>
        </w:rPr>
      </w:pPr>
      <w:bookmarkStart w:id="0" w:name="_Toc312075384"/>
      <w:bookmarkStart w:id="1" w:name="_Toc435577166"/>
      <w:bookmarkStart w:id="2" w:name="_Toc311796811"/>
      <w:r w:rsidRPr="00904FCB">
        <w:rPr>
          <w:rFonts w:cs="Abz-2 (Badr)"/>
          <w:bCs/>
          <w:szCs w:val="27"/>
          <w:rtl/>
        </w:rPr>
        <w:sym w:font="Webdings" w:char="F033"/>
      </w:r>
      <w:bookmarkEnd w:id="0"/>
      <w:bookmarkEnd w:id="1"/>
      <w:r w:rsidR="00177089" w:rsidRPr="00F63AA1">
        <w:rPr>
          <w:rStyle w:val="Hyperlink"/>
          <w:rFonts w:ascii="Times New Roman" w:hAnsi="Times New Roman" w:cs="AL-Mohanad Bold" w:hint="cs"/>
          <w:b w:val="0"/>
          <w:noProof/>
          <w:color w:val="auto"/>
          <w:sz w:val="27"/>
          <w:szCs w:val="27"/>
          <w:u w:val="none"/>
          <w:rtl/>
          <w:lang w:eastAsia="ar-SA"/>
        </w:rPr>
        <w:t>خواطر حول الثابت والمتغيِّر في الفقه الإسلامي</w:t>
      </w:r>
      <w:r w:rsidR="00773DA5">
        <w:rPr>
          <w:rStyle w:val="Hyperlink"/>
          <w:rFonts w:ascii="Times New Roman" w:hAnsi="Times New Roman" w:cs="AL-Mohanad Bold" w:hint="cs"/>
          <w:b w:val="0"/>
          <w:noProof/>
          <w:color w:val="auto"/>
          <w:sz w:val="27"/>
          <w:szCs w:val="27"/>
          <w:u w:val="none"/>
          <w:rtl/>
          <w:lang w:eastAsia="ar-SA"/>
        </w:rPr>
        <w:t xml:space="preserve"> /</w:t>
      </w:r>
      <w:r w:rsidR="00177089" w:rsidRPr="00F63AA1">
        <w:rPr>
          <w:rStyle w:val="Hyperlink"/>
          <w:rFonts w:ascii="Times New Roman" w:hAnsi="Times New Roman" w:cs="AL-Mohanad Bold" w:hint="cs"/>
          <w:b w:val="0"/>
          <w:noProof/>
          <w:color w:val="auto"/>
          <w:sz w:val="27"/>
          <w:szCs w:val="27"/>
          <w:u w:val="none"/>
          <w:rtl/>
          <w:lang w:eastAsia="ar-SA"/>
        </w:rPr>
        <w:t xml:space="preserve"> الحلقة الأولى</w:t>
      </w:r>
      <w:r w:rsidR="006D38E2" w:rsidRPr="00904FCB">
        <w:rPr>
          <w:rStyle w:val="Hyperlink"/>
          <w:rFonts w:ascii="Times New Roman" w:hAnsi="Times New Roman" w:cs="AL-Mohanad Bold" w:hint="cs"/>
          <w:noProof/>
          <w:color w:val="auto"/>
          <w:sz w:val="30"/>
          <w:szCs w:val="26"/>
          <w:u w:val="none"/>
          <w:rtl/>
          <w:lang w:eastAsia="ar-SA"/>
        </w:rPr>
        <w:t xml:space="preserve"> </w:t>
      </w:r>
      <w:bookmarkEnd w:id="2"/>
    </w:p>
    <w:p w:rsidR="007E3E4C" w:rsidRPr="00904FCB" w:rsidRDefault="007E3E4C" w:rsidP="006333E0">
      <w:pPr>
        <w:tabs>
          <w:tab w:val="right" w:leader="dot" w:pos="7031"/>
        </w:tabs>
        <w:spacing w:before="20" w:line="168" w:lineRule="auto"/>
        <w:ind w:firstLine="561"/>
        <w:rPr>
          <w:rtl/>
          <w:lang w:eastAsia="ar-SA" w:bidi="ar-LB"/>
        </w:rPr>
      </w:pPr>
      <w:r w:rsidRPr="00904FCB">
        <w:rPr>
          <w:rFonts w:hint="cs"/>
          <w:rtl/>
          <w:lang w:eastAsia="ar-SA"/>
        </w:rPr>
        <w:t>حيدر حب الله</w:t>
      </w:r>
      <w:r w:rsidRPr="00904FCB">
        <w:rPr>
          <w:rFonts w:ascii="Mosawi" w:hAnsi="Mosawi" w:cs="Mosawi"/>
          <w:noProof/>
          <w:sz w:val="24"/>
          <w:rtl/>
          <w:lang w:eastAsia="ar-SA"/>
        </w:rPr>
        <w:tab/>
      </w:r>
      <w:r w:rsidR="006333E0" w:rsidRPr="00651D11">
        <w:rPr>
          <w:rtl/>
          <w:lang w:eastAsia="ar-SA"/>
        </w:rPr>
        <w:t>5</w:t>
      </w:r>
    </w:p>
    <w:p w:rsidR="007E3E4C" w:rsidRPr="006333E0" w:rsidRDefault="007E3E4C" w:rsidP="006333E0">
      <w:pPr>
        <w:spacing w:line="240" w:lineRule="auto"/>
        <w:ind w:firstLine="0"/>
        <w:jc w:val="center"/>
        <w:rPr>
          <w:rFonts w:cs="PT Bold Heading"/>
          <w:bCs/>
          <w:noProof/>
          <w:sz w:val="2"/>
          <w:szCs w:val="2"/>
          <w:rtl/>
        </w:rPr>
      </w:pPr>
    </w:p>
    <w:p w:rsidR="00201E73" w:rsidRPr="006333E0" w:rsidRDefault="00201E73" w:rsidP="00201E73">
      <w:pPr>
        <w:pStyle w:val="13"/>
        <w:spacing w:before="120"/>
        <w:rPr>
          <w:sz w:val="6"/>
          <w:szCs w:val="10"/>
          <w:rtl/>
        </w:rPr>
      </w:pPr>
    </w:p>
    <w:p w:rsidR="00510A75" w:rsidRPr="00D67215" w:rsidRDefault="00D67215" w:rsidP="005823C3">
      <w:pPr>
        <w:pStyle w:val="13"/>
        <w:rPr>
          <w:rStyle w:val="Hyperlink"/>
          <w:rFonts w:ascii="Times" w:hAnsi="Times" w:cs="PT Bold Heading"/>
          <w:bCs/>
          <w:noProof w:val="0"/>
          <w:color w:val="auto"/>
          <w:sz w:val="28"/>
          <w:u w:val="none"/>
          <w:lang w:eastAsia="en-US" w:bidi="ar-SA"/>
        </w:rPr>
      </w:pPr>
      <w:r w:rsidRPr="00904FCB">
        <w:sym w:font="Wingdings" w:char="F072"/>
      </w:r>
      <w:r>
        <w:rPr>
          <w:rFonts w:hint="cs"/>
          <w:rtl/>
        </w:rPr>
        <w:t xml:space="preserve"> </w:t>
      </w:r>
      <w:r w:rsidRPr="00635D8B">
        <w:rPr>
          <w:rFonts w:ascii="Times" w:hAnsi="Times" w:cs="PT Bold Heading" w:hint="cs"/>
          <w:bCs/>
          <w:noProof w:val="0"/>
          <w:sz w:val="28"/>
          <w:szCs w:val="27"/>
          <w:rtl/>
          <w:lang w:eastAsia="en-US" w:bidi="ar-SA"/>
        </w:rPr>
        <w:t>درا</w:t>
      </w:r>
      <w:r w:rsidRPr="00D67215">
        <w:rPr>
          <w:rFonts w:ascii="Times" w:hAnsi="Times" w:cs="PT Bold Heading" w:hint="cs"/>
          <w:bCs/>
          <w:noProof w:val="0"/>
          <w:sz w:val="28"/>
          <w:szCs w:val="27"/>
          <w:rtl/>
          <w:lang w:eastAsia="en-US" w:bidi="ar-SA"/>
        </w:rPr>
        <w:t>سات</w:t>
      </w:r>
      <w:r w:rsidR="00673C12" w:rsidRPr="00904FCB">
        <w:rPr>
          <w:rtl/>
        </w:rPr>
        <w:fldChar w:fldCharType="begin"/>
      </w:r>
      <w:r w:rsidR="002C0586" w:rsidRPr="00904FCB">
        <w:instrText>TOC</w:instrText>
      </w:r>
      <w:r w:rsidR="002C0586" w:rsidRPr="00904FCB">
        <w:rPr>
          <w:rtl/>
        </w:rPr>
        <w:instrText xml:space="preserve"> \</w:instrText>
      </w:r>
      <w:r w:rsidR="002C0586" w:rsidRPr="00904FCB">
        <w:instrText>h \z \t "Heading 1,1,Heading 2,1,Author,2</w:instrText>
      </w:r>
      <w:r w:rsidR="002C0586" w:rsidRPr="00904FCB">
        <w:rPr>
          <w:rtl/>
        </w:rPr>
        <w:instrText xml:space="preserve">" </w:instrText>
      </w:r>
      <w:r w:rsidR="00673C12" w:rsidRPr="00904FCB">
        <w:rPr>
          <w:rtl/>
        </w:rPr>
        <w:fldChar w:fldCharType="separate"/>
      </w:r>
    </w:p>
    <w:p w:rsidR="00510A75" w:rsidRPr="00F63AA1"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70" w:history="1">
        <w:r w:rsidR="00510A75" w:rsidRPr="00AC2C1C">
          <w:rPr>
            <w:rStyle w:val="Hyperlink"/>
            <w:rFonts w:ascii="Times New Roman" w:hAnsi="Times New Roman" w:hint="cs"/>
            <w:color w:val="auto"/>
            <w:sz w:val="27"/>
            <w:szCs w:val="27"/>
            <w:u w:val="none"/>
            <w:rtl/>
            <w:lang w:bidi="ar-SA"/>
          </w:rPr>
          <w:t>الفقه</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الإسلامي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وتحدّيات</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العصر</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الحديث</w:t>
        </w:r>
      </w:hyperlink>
      <w:r w:rsidR="00D67215">
        <w:rPr>
          <w:rStyle w:val="Hyperlink"/>
          <w:rFonts w:ascii="Times New Roman" w:hAnsi="Times New Roman" w:hint="cs"/>
          <w:color w:val="auto"/>
          <w:sz w:val="27"/>
          <w:szCs w:val="27"/>
          <w:u w:val="none"/>
          <w:rtl/>
          <w:lang w:bidi="ar-SA"/>
        </w:rPr>
        <w:t xml:space="preserve"> / القسم الأوّل</w:t>
      </w:r>
    </w:p>
    <w:p w:rsidR="00510A75" w:rsidRPr="00275B2F" w:rsidRDefault="00F41F33" w:rsidP="00B76E12">
      <w:pPr>
        <w:tabs>
          <w:tab w:val="right" w:leader="dot" w:pos="7031"/>
        </w:tabs>
        <w:spacing w:before="20" w:line="168" w:lineRule="auto"/>
        <w:ind w:firstLine="561"/>
        <w:rPr>
          <w:lang w:eastAsia="ar-SA"/>
        </w:rPr>
      </w:pPr>
      <w:hyperlink w:anchor="_Toc435577171"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أبو</w:t>
        </w:r>
        <w:r w:rsidR="00510A75" w:rsidRPr="00275B2F">
          <w:rPr>
            <w:rtl/>
            <w:lang w:eastAsia="ar-SA"/>
          </w:rPr>
          <w:t xml:space="preserve"> </w:t>
        </w:r>
        <w:r w:rsidR="00510A75" w:rsidRPr="00AC2C1C">
          <w:rPr>
            <w:rFonts w:hint="cs"/>
            <w:rtl/>
            <w:lang w:eastAsia="ar-SA"/>
          </w:rPr>
          <w:t>القاسم</w:t>
        </w:r>
        <w:r w:rsidR="00510A75" w:rsidRPr="00275B2F">
          <w:rPr>
            <w:rtl/>
            <w:lang w:eastAsia="ar-SA"/>
          </w:rPr>
          <w:t xml:space="preserve"> </w:t>
        </w:r>
        <w:r w:rsidR="00510A75" w:rsidRPr="00275B2F">
          <w:rPr>
            <w:rFonts w:hint="eastAsia"/>
            <w:rtl/>
            <w:lang w:eastAsia="ar-SA"/>
          </w:rPr>
          <w:t>فنائي</w:t>
        </w:r>
        <w:r w:rsidR="00510A75" w:rsidRPr="00275B2F">
          <w:rPr>
            <w:webHidden/>
            <w:lang w:eastAsia="ar-SA"/>
          </w:rPr>
          <w:tab/>
        </w:r>
        <w:r w:rsidR="00510A75" w:rsidRPr="00275B2F">
          <w:rPr>
            <w:webHidden/>
            <w:lang w:eastAsia="ar-SA"/>
          </w:rPr>
          <w:fldChar w:fldCharType="begin"/>
        </w:r>
        <w:r w:rsidR="00510A75" w:rsidRPr="00275B2F">
          <w:rPr>
            <w:webHidden/>
            <w:lang w:eastAsia="ar-SA"/>
          </w:rPr>
          <w:instrText xml:space="preserve"> PAGEREF _Toc435577171 \h </w:instrText>
        </w:r>
        <w:r w:rsidR="00510A75" w:rsidRPr="00275B2F">
          <w:rPr>
            <w:webHidden/>
            <w:lang w:eastAsia="ar-SA"/>
          </w:rPr>
        </w:r>
        <w:r w:rsidR="00510A75" w:rsidRPr="00275B2F">
          <w:rPr>
            <w:webHidden/>
            <w:lang w:eastAsia="ar-SA"/>
          </w:rPr>
          <w:fldChar w:fldCharType="separate"/>
        </w:r>
        <w:r>
          <w:rPr>
            <w:noProof/>
            <w:webHidden/>
            <w:rtl/>
            <w:lang w:eastAsia="ar-SA"/>
          </w:rPr>
          <w:t>15</w:t>
        </w:r>
        <w:r w:rsidR="00510A75" w:rsidRPr="00275B2F">
          <w:rPr>
            <w:webHidden/>
            <w:lang w:eastAsia="ar-SA"/>
          </w:rPr>
          <w:fldChar w:fldCharType="end"/>
        </w:r>
      </w:hyperlink>
    </w:p>
    <w:p w:rsidR="00510A75" w:rsidRPr="00AC2C1C" w:rsidRDefault="00F63AA1" w:rsidP="00B76E12">
      <w:pPr>
        <w:pStyle w:val="13"/>
        <w:spacing w:before="160"/>
        <w:rPr>
          <w:rStyle w:val="Hyperlink"/>
          <w:rFonts w:ascii="Times New Roman" w:hAnsi="Times New Roman"/>
          <w:color w:val="auto"/>
          <w:u w:val="none"/>
          <w:lang w:bidi="ar-SA"/>
        </w:rPr>
      </w:pPr>
      <w:r w:rsidRPr="00AC2C1C">
        <w:rPr>
          <w:rStyle w:val="Hyperlink"/>
          <w:rFonts w:ascii="Times New Roman" w:hAnsi="Times New Roman"/>
          <w:color w:val="auto"/>
          <w:sz w:val="27"/>
          <w:szCs w:val="27"/>
          <w:u w:val="none"/>
          <w:rtl/>
          <w:lang w:bidi="ar-SA"/>
        </w:rPr>
        <w:sym w:font="Webdings" w:char="F033"/>
      </w:r>
      <w:hyperlink w:anchor="_Toc435577173" w:history="1">
        <w:r w:rsidR="00510A75" w:rsidRPr="00AC2C1C">
          <w:rPr>
            <w:rStyle w:val="Hyperlink"/>
            <w:rFonts w:ascii="Times New Roman" w:hAnsi="Times New Roman"/>
            <w:color w:val="auto"/>
            <w:sz w:val="27"/>
            <w:szCs w:val="27"/>
            <w:u w:val="none"/>
            <w:rtl/>
            <w:lang w:bidi="ar-SA"/>
          </w:rPr>
          <w:t>(</w:t>
        </w:r>
        <w:r w:rsidR="00510A75" w:rsidRPr="00AC2C1C">
          <w:rPr>
            <w:rStyle w:val="Hyperlink"/>
            <w:rFonts w:ascii="Times New Roman" w:hAnsi="Times New Roman" w:hint="cs"/>
            <w:color w:val="auto"/>
            <w:sz w:val="27"/>
            <w:szCs w:val="27"/>
            <w:u w:val="none"/>
            <w:rtl/>
            <w:lang w:bidi="ar-SA"/>
          </w:rPr>
          <w:t>كتب</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الضلال</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وحُرِّية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التعبير</w:t>
        </w:r>
      </w:hyperlink>
    </w:p>
    <w:p w:rsidR="00510A75" w:rsidRPr="00275B2F" w:rsidRDefault="00F41F33" w:rsidP="00B76E12">
      <w:pPr>
        <w:tabs>
          <w:tab w:val="right" w:leader="dot" w:pos="7031"/>
        </w:tabs>
        <w:spacing w:before="20" w:line="168" w:lineRule="auto"/>
        <w:ind w:firstLine="561"/>
        <w:rPr>
          <w:lang w:eastAsia="ar-SA"/>
        </w:rPr>
      </w:pPr>
      <w:hyperlink w:anchor="_Toc435577174" w:history="1">
        <w:r w:rsidR="00510A75" w:rsidRPr="00AC2C1C">
          <w:rPr>
            <w:rFonts w:hint="cs"/>
            <w:rtl/>
            <w:lang w:eastAsia="ar-SA"/>
          </w:rPr>
          <w:t>الشيخ</w:t>
        </w:r>
        <w:r w:rsidR="00510A75" w:rsidRPr="00275B2F">
          <w:rPr>
            <w:rtl/>
            <w:lang w:eastAsia="ar-SA"/>
          </w:rPr>
          <w:t xml:space="preserve"> </w:t>
        </w:r>
        <w:r w:rsidR="00510A75" w:rsidRPr="00AC2C1C">
          <w:rPr>
            <w:rFonts w:hint="cs"/>
            <w:rtl/>
            <w:lang w:eastAsia="ar-SA"/>
          </w:rPr>
          <w:t>مرتضى</w:t>
        </w:r>
        <w:r w:rsidR="00510A75" w:rsidRPr="00275B2F">
          <w:rPr>
            <w:rtl/>
            <w:lang w:eastAsia="ar-SA"/>
          </w:rPr>
          <w:t xml:space="preserve"> </w:t>
        </w:r>
        <w:r w:rsidR="00510A75" w:rsidRPr="00275B2F">
          <w:rPr>
            <w:rFonts w:hint="eastAsia"/>
            <w:rtl/>
            <w:lang w:eastAsia="ar-SA"/>
          </w:rPr>
          <w:t>مطهَّري</w:t>
        </w:r>
      </w:hyperlink>
      <w:r w:rsidR="00AC2C1C">
        <w:rPr>
          <w:rFonts w:hint="cs"/>
          <w:rtl/>
          <w:lang w:eastAsia="ar-SA"/>
        </w:rPr>
        <w:t xml:space="preserve"> </w:t>
      </w:r>
      <w:hyperlink w:anchor="_Toc435577175" w:history="1">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_Toc435577175 \h </w:instrText>
        </w:r>
        <w:r w:rsidR="00510A75" w:rsidRPr="00904FCB">
          <w:rPr>
            <w:webHidden/>
            <w:lang w:eastAsia="ar-SA"/>
          </w:rPr>
        </w:r>
        <w:r w:rsidR="00510A75" w:rsidRPr="00904FCB">
          <w:rPr>
            <w:webHidden/>
            <w:lang w:eastAsia="ar-SA"/>
          </w:rPr>
          <w:fldChar w:fldCharType="separate"/>
        </w:r>
        <w:r>
          <w:rPr>
            <w:noProof/>
            <w:webHidden/>
            <w:rtl/>
            <w:lang w:eastAsia="ar-SA"/>
          </w:rPr>
          <w:t>53</w:t>
        </w:r>
        <w:r w:rsidR="00510A75" w:rsidRPr="00904FCB">
          <w:rPr>
            <w:webHidden/>
            <w:lang w:eastAsia="ar-SA"/>
          </w:rPr>
          <w:fldChar w:fldCharType="end"/>
        </w:r>
      </w:hyperlink>
    </w:p>
    <w:p w:rsidR="00510A75" w:rsidRPr="00AC2C1C"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76" w:history="1">
        <w:r w:rsidR="00510A75" w:rsidRPr="00AC2C1C">
          <w:rPr>
            <w:rStyle w:val="Hyperlink"/>
            <w:rFonts w:ascii="Times New Roman" w:hAnsi="Times New Roman" w:hint="cs"/>
            <w:color w:val="auto"/>
            <w:sz w:val="27"/>
            <w:szCs w:val="27"/>
            <w:u w:val="none"/>
            <w:rtl/>
            <w:lang w:bidi="ar-SA"/>
          </w:rPr>
          <w:t>المبادئ</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الفكرية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للسَّلَفية</w:t>
        </w:r>
        <w:r w:rsidR="00510A75" w:rsidRPr="00AC2C1C">
          <w:rPr>
            <w:rStyle w:val="Hyperlink"/>
            <w:rFonts w:ascii="Times New Roman" w:hAnsi="Times New Roman"/>
            <w:color w:val="auto"/>
            <w:sz w:val="27"/>
            <w:szCs w:val="27"/>
            <w:u w:val="none"/>
            <w:lang w:bidi="ar-SA"/>
          </w:rPr>
          <w:t xml:space="preserve"> </w:t>
        </w:r>
        <w:r w:rsidR="00510A75" w:rsidRPr="00AC2C1C">
          <w:rPr>
            <w:rStyle w:val="Hyperlink"/>
            <w:rFonts w:ascii="Times New Roman" w:hAnsi="Times New Roman" w:hint="eastAsia"/>
            <w:color w:val="auto"/>
            <w:sz w:val="27"/>
            <w:szCs w:val="27"/>
            <w:u w:val="none"/>
            <w:rtl/>
            <w:lang w:bidi="ar-SA"/>
          </w:rPr>
          <w:t>الجهادية</w:t>
        </w:r>
      </w:hyperlink>
      <w:r w:rsidR="00D67215">
        <w:rPr>
          <w:rStyle w:val="Hyperlink"/>
          <w:rFonts w:ascii="Times New Roman" w:hAnsi="Times New Roman" w:hint="cs"/>
          <w:color w:val="auto"/>
          <w:sz w:val="27"/>
          <w:szCs w:val="27"/>
          <w:u w:val="none"/>
          <w:rtl/>
          <w:lang w:bidi="ar-SA"/>
        </w:rPr>
        <w:t xml:space="preserve"> / القسم الأوّل</w:t>
      </w:r>
    </w:p>
    <w:p w:rsidR="00510A75" w:rsidRPr="00275B2F" w:rsidRDefault="00F41F33" w:rsidP="00B76E12">
      <w:pPr>
        <w:tabs>
          <w:tab w:val="right" w:leader="dot" w:pos="7031"/>
        </w:tabs>
        <w:spacing w:before="20" w:line="168" w:lineRule="auto"/>
        <w:ind w:firstLine="561"/>
        <w:rPr>
          <w:lang w:eastAsia="ar-SA"/>
        </w:rPr>
      </w:pPr>
      <w:hyperlink w:anchor="_Toc435577177"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السيد</w:t>
        </w:r>
        <w:r w:rsidR="00510A75" w:rsidRPr="00275B2F">
          <w:rPr>
            <w:rtl/>
            <w:lang w:eastAsia="ar-SA"/>
          </w:rPr>
          <w:t xml:space="preserve"> </w:t>
        </w:r>
        <w:r w:rsidR="00510A75" w:rsidRPr="00275B2F">
          <w:rPr>
            <w:rFonts w:hint="eastAsia"/>
            <w:rtl/>
            <w:lang w:eastAsia="ar-SA"/>
          </w:rPr>
          <w:t>أحمد</w:t>
        </w:r>
        <w:r w:rsidR="00510A75" w:rsidRPr="00275B2F">
          <w:rPr>
            <w:rtl/>
            <w:lang w:eastAsia="ar-SA"/>
          </w:rPr>
          <w:t xml:space="preserve"> </w:t>
        </w:r>
        <w:r w:rsidR="00510A75" w:rsidRPr="00275B2F">
          <w:rPr>
            <w:rFonts w:hint="eastAsia"/>
            <w:rtl/>
            <w:lang w:eastAsia="ar-SA"/>
          </w:rPr>
          <w:t>سادات</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_Toc435577177 \h </w:instrText>
        </w:r>
        <w:r w:rsidR="00510A75" w:rsidRPr="00904FCB">
          <w:rPr>
            <w:webHidden/>
            <w:lang w:eastAsia="ar-SA"/>
          </w:rPr>
        </w:r>
        <w:r w:rsidR="00510A75" w:rsidRPr="00904FCB">
          <w:rPr>
            <w:webHidden/>
            <w:lang w:eastAsia="ar-SA"/>
          </w:rPr>
          <w:fldChar w:fldCharType="separate"/>
        </w:r>
        <w:r>
          <w:rPr>
            <w:noProof/>
            <w:webHidden/>
            <w:rtl/>
            <w:lang w:eastAsia="ar-SA"/>
          </w:rPr>
          <w:t>71</w:t>
        </w:r>
        <w:r w:rsidR="00510A75" w:rsidRPr="00904FCB">
          <w:rPr>
            <w:webHidden/>
            <w:lang w:eastAsia="ar-SA"/>
          </w:rPr>
          <w:fldChar w:fldCharType="end"/>
        </w:r>
      </w:hyperlink>
    </w:p>
    <w:p w:rsidR="00510A75" w:rsidRPr="00AC2C1C"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78" w:history="1">
        <w:r w:rsidR="00510A75" w:rsidRPr="00AC2C1C">
          <w:rPr>
            <w:rStyle w:val="Hyperlink"/>
            <w:rFonts w:ascii="Times New Roman" w:hAnsi="Times New Roman" w:hint="cs"/>
            <w:color w:val="auto"/>
            <w:sz w:val="27"/>
            <w:szCs w:val="27"/>
            <w:u w:val="none"/>
            <w:rtl/>
            <w:lang w:bidi="ar-SA"/>
          </w:rPr>
          <w:t>الاتّجاهات</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الفقهية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حول</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أهليّة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المرأة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لتولّي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السلطة</w:t>
        </w:r>
      </w:hyperlink>
      <w:r w:rsidR="00275B2F" w:rsidRPr="00AC2C1C">
        <w:rPr>
          <w:rStyle w:val="Hyperlink"/>
          <w:rFonts w:ascii="Times New Roman" w:hAnsi="Times New Roman" w:hint="cs"/>
          <w:color w:val="auto"/>
          <w:sz w:val="27"/>
          <w:szCs w:val="27"/>
          <w:u w:val="none"/>
          <w:rtl/>
          <w:lang w:bidi="ar-SA"/>
        </w:rPr>
        <w:t xml:space="preserve">، </w:t>
      </w:r>
      <w:hyperlink w:anchor="_Toc435577179" w:history="1">
        <w:r w:rsidR="00275B2F" w:rsidRPr="00AC2C1C">
          <w:rPr>
            <w:rStyle w:val="Hyperlink"/>
            <w:rFonts w:ascii="Times New Roman" w:hAnsi="Times New Roman" w:hint="cs"/>
            <w:color w:val="auto"/>
            <w:sz w:val="27"/>
            <w:szCs w:val="27"/>
            <w:u w:val="none"/>
            <w:rtl/>
            <w:lang w:bidi="ar-SA"/>
          </w:rPr>
          <w:t>منظورٌ</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تحليلي</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eastAsia"/>
            <w:color w:val="auto"/>
            <w:sz w:val="27"/>
            <w:szCs w:val="27"/>
            <w:u w:val="none"/>
            <w:rtl/>
            <w:lang w:bidi="ar-SA"/>
          </w:rPr>
          <w:t>نقدي</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eastAsia"/>
            <w:color w:val="auto"/>
            <w:sz w:val="27"/>
            <w:szCs w:val="27"/>
            <w:u w:val="none"/>
            <w:rtl/>
            <w:lang w:bidi="ar-SA"/>
          </w:rPr>
          <w:t>مقارن</w:t>
        </w:r>
      </w:hyperlink>
    </w:p>
    <w:p w:rsidR="00510A75" w:rsidRPr="00275B2F" w:rsidRDefault="00F41F33" w:rsidP="00B76E12">
      <w:pPr>
        <w:tabs>
          <w:tab w:val="right" w:leader="dot" w:pos="7031"/>
        </w:tabs>
        <w:spacing w:before="20" w:line="168" w:lineRule="auto"/>
        <w:ind w:firstLine="561"/>
        <w:rPr>
          <w:lang w:eastAsia="ar-SA"/>
        </w:rPr>
      </w:pPr>
      <w:hyperlink w:anchor="_Toc435577180" w:history="1">
        <w:r w:rsidR="00510A75" w:rsidRPr="00AC2C1C">
          <w:rPr>
            <w:rFonts w:hint="cs"/>
            <w:rtl/>
            <w:lang w:eastAsia="ar-SA"/>
          </w:rPr>
          <w:t>أ</w:t>
        </w:r>
        <w:r w:rsidR="00510A75" w:rsidRPr="00275B2F">
          <w:rPr>
            <w:rtl/>
            <w:lang w:eastAsia="ar-SA"/>
          </w:rPr>
          <w:t xml:space="preserve">. </w:t>
        </w:r>
        <w:r w:rsidR="00510A75" w:rsidRPr="00AC2C1C">
          <w:rPr>
            <w:rFonts w:hint="cs"/>
            <w:rtl/>
            <w:lang w:eastAsia="ar-SA"/>
          </w:rPr>
          <w:t>مشتاق</w:t>
        </w:r>
        <w:r w:rsidR="00510A75" w:rsidRPr="00275B2F">
          <w:rPr>
            <w:rtl/>
            <w:lang w:eastAsia="ar-SA"/>
          </w:rPr>
          <w:t xml:space="preserve"> </w:t>
        </w:r>
        <w:r w:rsidR="00510A75" w:rsidRPr="00275B2F">
          <w:rPr>
            <w:rFonts w:hint="eastAsia"/>
            <w:rtl/>
            <w:lang w:eastAsia="ar-SA"/>
          </w:rPr>
          <w:t>بن</w:t>
        </w:r>
        <w:r w:rsidR="00510A75" w:rsidRPr="00275B2F">
          <w:rPr>
            <w:rtl/>
            <w:lang w:eastAsia="ar-SA"/>
          </w:rPr>
          <w:t xml:space="preserve"> </w:t>
        </w:r>
        <w:r w:rsidR="00510A75" w:rsidRPr="00275B2F">
          <w:rPr>
            <w:rFonts w:hint="eastAsia"/>
            <w:rtl/>
            <w:lang w:eastAsia="ar-SA"/>
          </w:rPr>
          <w:t>موسى</w:t>
        </w:r>
        <w:r w:rsidR="00510A75" w:rsidRPr="00275B2F">
          <w:rPr>
            <w:rtl/>
            <w:lang w:eastAsia="ar-SA"/>
          </w:rPr>
          <w:t xml:space="preserve"> </w:t>
        </w:r>
        <w:r w:rsidR="00510A75" w:rsidRPr="00275B2F">
          <w:rPr>
            <w:rFonts w:hint="eastAsia"/>
            <w:rtl/>
            <w:lang w:eastAsia="ar-SA"/>
          </w:rPr>
          <w:t>اللواتي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_Toc435577180 \h </w:instrText>
        </w:r>
        <w:r w:rsidR="00510A75" w:rsidRPr="00904FCB">
          <w:rPr>
            <w:webHidden/>
            <w:lang w:eastAsia="ar-SA"/>
          </w:rPr>
        </w:r>
        <w:r w:rsidR="00510A75" w:rsidRPr="00904FCB">
          <w:rPr>
            <w:webHidden/>
            <w:lang w:eastAsia="ar-SA"/>
          </w:rPr>
          <w:fldChar w:fldCharType="separate"/>
        </w:r>
        <w:r>
          <w:rPr>
            <w:noProof/>
            <w:webHidden/>
            <w:rtl/>
            <w:lang w:eastAsia="ar-SA"/>
          </w:rPr>
          <w:t>101</w:t>
        </w:r>
        <w:r w:rsidR="00510A75" w:rsidRPr="00904FCB">
          <w:rPr>
            <w:webHidden/>
            <w:lang w:eastAsia="ar-SA"/>
          </w:rPr>
          <w:fldChar w:fldCharType="end"/>
        </w:r>
      </w:hyperlink>
    </w:p>
    <w:p w:rsidR="00510A75" w:rsidRPr="00AC2C1C"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81" w:history="1">
        <w:r w:rsidR="00510A75" w:rsidRPr="00AC2C1C">
          <w:rPr>
            <w:rStyle w:val="Hyperlink"/>
            <w:rFonts w:ascii="Times New Roman" w:hAnsi="Times New Roman" w:hint="cs"/>
            <w:color w:val="auto"/>
            <w:sz w:val="27"/>
            <w:szCs w:val="27"/>
            <w:u w:val="none"/>
            <w:rtl/>
            <w:lang w:bidi="ar-SA"/>
          </w:rPr>
          <w:t>مقاصد</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الشريعة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والقانون</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المقارن</w:t>
        </w:r>
      </w:hyperlink>
    </w:p>
    <w:p w:rsidR="00510A75" w:rsidRPr="00275B2F" w:rsidRDefault="00F41F33" w:rsidP="00B76E12">
      <w:pPr>
        <w:tabs>
          <w:tab w:val="right" w:leader="dot" w:pos="7031"/>
        </w:tabs>
        <w:spacing w:before="20" w:line="168" w:lineRule="auto"/>
        <w:ind w:firstLine="561"/>
        <w:rPr>
          <w:lang w:eastAsia="ar-SA"/>
        </w:rPr>
      </w:pPr>
      <w:hyperlink w:anchor="_Toc435577182" w:history="1">
        <w:r w:rsidR="00510A75" w:rsidRPr="00AC2C1C">
          <w:rPr>
            <w:rFonts w:hint="cs"/>
            <w:rtl/>
            <w:lang w:eastAsia="ar-SA"/>
          </w:rPr>
          <w:t>أ</w:t>
        </w:r>
        <w:r w:rsidR="00510A75" w:rsidRPr="00275B2F">
          <w:rPr>
            <w:rtl/>
            <w:lang w:eastAsia="ar-SA"/>
          </w:rPr>
          <w:t xml:space="preserve">. </w:t>
        </w:r>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محمد</w:t>
        </w:r>
        <w:r w:rsidR="00510A75" w:rsidRPr="00275B2F">
          <w:rPr>
            <w:rtl/>
            <w:lang w:eastAsia="ar-SA"/>
          </w:rPr>
          <w:t xml:space="preserve"> </w:t>
        </w:r>
        <w:r w:rsidR="00510A75" w:rsidRPr="00275B2F">
          <w:rPr>
            <w:rFonts w:hint="eastAsia"/>
            <w:rtl/>
            <w:lang w:eastAsia="ar-SA"/>
          </w:rPr>
          <w:t>كمال</w:t>
        </w:r>
        <w:r w:rsidR="00510A75" w:rsidRPr="00275B2F">
          <w:rPr>
            <w:rtl/>
            <w:lang w:eastAsia="ar-SA"/>
          </w:rPr>
          <w:t xml:space="preserve"> </w:t>
        </w:r>
        <w:r w:rsidR="00510A75" w:rsidRPr="00275B2F">
          <w:rPr>
            <w:rFonts w:hint="eastAsia"/>
            <w:rtl/>
            <w:lang w:eastAsia="ar-SA"/>
          </w:rPr>
          <w:t>الدين</w:t>
        </w:r>
        <w:r w:rsidR="00510A75" w:rsidRPr="00275B2F">
          <w:rPr>
            <w:rtl/>
            <w:lang w:eastAsia="ar-SA"/>
          </w:rPr>
          <w:t xml:space="preserve"> </w:t>
        </w:r>
        <w:r w:rsidR="00510A75" w:rsidRPr="00275B2F">
          <w:rPr>
            <w:rFonts w:hint="eastAsia"/>
            <w:rtl/>
            <w:lang w:eastAsia="ar-SA"/>
          </w:rPr>
          <w:t>إمام</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_Toc435577182 \h </w:instrText>
        </w:r>
        <w:r w:rsidR="00510A75" w:rsidRPr="00904FCB">
          <w:rPr>
            <w:webHidden/>
            <w:lang w:eastAsia="ar-SA"/>
          </w:rPr>
        </w:r>
        <w:r w:rsidR="00510A75" w:rsidRPr="00904FCB">
          <w:rPr>
            <w:webHidden/>
            <w:lang w:eastAsia="ar-SA"/>
          </w:rPr>
          <w:fldChar w:fldCharType="separate"/>
        </w:r>
        <w:r>
          <w:rPr>
            <w:noProof/>
            <w:webHidden/>
            <w:rtl/>
            <w:lang w:eastAsia="ar-SA"/>
          </w:rPr>
          <w:t>132</w:t>
        </w:r>
        <w:r w:rsidR="00510A75" w:rsidRPr="00904FCB">
          <w:rPr>
            <w:webHidden/>
            <w:lang w:eastAsia="ar-SA"/>
          </w:rPr>
          <w:fldChar w:fldCharType="end"/>
        </w:r>
      </w:hyperlink>
    </w:p>
    <w:p w:rsidR="00275B2F" w:rsidRPr="00AC2C1C"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83" w:history="1">
        <w:r w:rsidR="00510A75" w:rsidRPr="00AC2C1C">
          <w:rPr>
            <w:rStyle w:val="Hyperlink"/>
            <w:rFonts w:ascii="Times New Roman" w:hAnsi="Times New Roman" w:hint="cs"/>
            <w:color w:val="auto"/>
            <w:sz w:val="27"/>
            <w:szCs w:val="27"/>
            <w:u w:val="none"/>
            <w:rtl/>
            <w:lang w:bidi="ar-SA"/>
          </w:rPr>
          <w:t>رسالة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عدم</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سهو</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النبيّ</w:t>
        </w:r>
        <w:r w:rsidR="00510A75" w:rsidRPr="00B02093">
          <w:rPr>
            <w:rStyle w:val="Hyperlink"/>
            <w:rFonts w:ascii="Mosawi" w:hAnsi="Mosawi" w:cs="Mosawi"/>
            <w:b/>
            <w:bCs/>
            <w:color w:val="auto"/>
            <w:sz w:val="24"/>
            <w:szCs w:val="24"/>
            <w:u w:val="none"/>
            <w:rtl/>
            <w:lang w:bidi="ar-SA"/>
          </w:rPr>
          <w:t>|</w:t>
        </w:r>
        <w:r w:rsidR="00510A75" w:rsidRPr="00AC2C1C">
          <w:rPr>
            <w:rStyle w:val="Hyperlink"/>
            <w:rFonts w:ascii="Times New Roman" w:hAnsi="Times New Roman" w:hint="eastAsia"/>
            <w:color w:val="auto"/>
            <w:sz w:val="27"/>
            <w:szCs w:val="27"/>
            <w:u w:val="none"/>
            <w:rtl/>
            <w:lang w:bidi="ar-SA"/>
          </w:rPr>
          <w:t>،</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للشيخ</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المفيد</w:t>
        </w:r>
      </w:hyperlink>
      <w:r w:rsidR="00275B2F" w:rsidRPr="00AC2C1C">
        <w:rPr>
          <w:rStyle w:val="Hyperlink"/>
          <w:rFonts w:ascii="Times New Roman" w:hAnsi="Times New Roman" w:hint="cs"/>
          <w:color w:val="auto"/>
          <w:sz w:val="27"/>
          <w:szCs w:val="27"/>
          <w:u w:val="none"/>
          <w:rtl/>
          <w:lang w:bidi="ar-SA"/>
        </w:rPr>
        <w:t xml:space="preserve">، </w:t>
      </w:r>
      <w:hyperlink w:anchor="_Toc435577184" w:history="1">
        <w:r w:rsidR="00275B2F" w:rsidRPr="00AC2C1C">
          <w:rPr>
            <w:rStyle w:val="Hyperlink"/>
            <w:rFonts w:ascii="Times New Roman" w:hAnsi="Times New Roman" w:hint="cs"/>
            <w:color w:val="auto"/>
            <w:sz w:val="27"/>
            <w:szCs w:val="27"/>
            <w:u w:val="none"/>
            <w:rtl/>
            <w:lang w:bidi="ar-SA"/>
          </w:rPr>
          <w:t>قراءةٌ</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وتحليل</w:t>
        </w:r>
      </w:hyperlink>
    </w:p>
    <w:p w:rsidR="00510A75" w:rsidRPr="00275B2F" w:rsidRDefault="00F41F33" w:rsidP="00B76E12">
      <w:pPr>
        <w:tabs>
          <w:tab w:val="right" w:leader="dot" w:pos="7031"/>
        </w:tabs>
        <w:spacing w:before="20" w:line="168" w:lineRule="auto"/>
        <w:ind w:firstLine="561"/>
        <w:rPr>
          <w:lang w:eastAsia="ar-SA"/>
        </w:rPr>
      </w:pPr>
      <w:hyperlink w:anchor="_Toc435577185" w:history="1">
        <w:r w:rsidR="00510A75" w:rsidRPr="00AC2C1C">
          <w:rPr>
            <w:rFonts w:hint="cs"/>
            <w:rtl/>
            <w:lang w:eastAsia="ar-SA"/>
          </w:rPr>
          <w:t>الشيخ</w:t>
        </w:r>
        <w:r w:rsidR="00510A75" w:rsidRPr="00275B2F">
          <w:rPr>
            <w:rtl/>
            <w:lang w:eastAsia="ar-SA"/>
          </w:rPr>
          <w:t xml:space="preserve"> </w:t>
        </w:r>
        <w:r w:rsidR="00510A75" w:rsidRPr="00AC2C1C">
          <w:rPr>
            <w:rFonts w:hint="cs"/>
            <w:rtl/>
            <w:lang w:eastAsia="ar-SA"/>
          </w:rPr>
          <w:t>عمّار</w:t>
        </w:r>
        <w:r w:rsidR="00510A75" w:rsidRPr="00275B2F">
          <w:rPr>
            <w:rtl/>
            <w:lang w:eastAsia="ar-SA"/>
          </w:rPr>
          <w:t xml:space="preserve"> </w:t>
        </w:r>
        <w:r w:rsidR="00510A75" w:rsidRPr="00275B2F">
          <w:rPr>
            <w:rFonts w:hint="eastAsia"/>
            <w:rtl/>
            <w:lang w:eastAsia="ar-SA"/>
          </w:rPr>
          <w:t>عبد</w:t>
        </w:r>
        <w:r w:rsidR="00510A75" w:rsidRPr="00275B2F">
          <w:rPr>
            <w:rtl/>
            <w:lang w:eastAsia="ar-SA"/>
          </w:rPr>
          <w:t xml:space="preserve"> </w:t>
        </w:r>
        <w:r w:rsidR="00510A75" w:rsidRPr="00275B2F">
          <w:rPr>
            <w:rFonts w:hint="eastAsia"/>
            <w:rtl/>
            <w:lang w:eastAsia="ar-SA"/>
          </w:rPr>
          <w:t>الأمير</w:t>
        </w:r>
        <w:r w:rsidR="00510A75" w:rsidRPr="00275B2F">
          <w:rPr>
            <w:rtl/>
            <w:lang w:eastAsia="ar-SA"/>
          </w:rPr>
          <w:t xml:space="preserve"> </w:t>
        </w:r>
        <w:r w:rsidR="00510A75" w:rsidRPr="00275B2F">
          <w:rPr>
            <w:rFonts w:hint="eastAsia"/>
            <w:rtl/>
            <w:lang w:eastAsia="ar-SA"/>
          </w:rPr>
          <w:t>الفهداوي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_Toc435577185 \h </w:instrText>
        </w:r>
        <w:r w:rsidR="00510A75" w:rsidRPr="00904FCB">
          <w:rPr>
            <w:webHidden/>
            <w:lang w:eastAsia="ar-SA"/>
          </w:rPr>
        </w:r>
        <w:r w:rsidR="00510A75" w:rsidRPr="00904FCB">
          <w:rPr>
            <w:webHidden/>
            <w:lang w:eastAsia="ar-SA"/>
          </w:rPr>
          <w:fldChar w:fldCharType="separate"/>
        </w:r>
        <w:r>
          <w:rPr>
            <w:noProof/>
            <w:webHidden/>
            <w:rtl/>
            <w:lang w:eastAsia="ar-SA"/>
          </w:rPr>
          <w:t>149</w:t>
        </w:r>
        <w:r w:rsidR="00510A75" w:rsidRPr="00904FCB">
          <w:rPr>
            <w:webHidden/>
            <w:lang w:eastAsia="ar-SA"/>
          </w:rPr>
          <w:fldChar w:fldCharType="end"/>
        </w:r>
      </w:hyperlink>
    </w:p>
    <w:p w:rsidR="00275B2F" w:rsidRPr="00AC2C1C"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86" w:history="1">
        <w:r w:rsidR="00510A75" w:rsidRPr="00AC2C1C">
          <w:rPr>
            <w:rStyle w:val="Hyperlink"/>
            <w:rFonts w:ascii="Times New Roman" w:hAnsi="Times New Roman" w:hint="cs"/>
            <w:color w:val="auto"/>
            <w:sz w:val="27"/>
            <w:szCs w:val="27"/>
            <w:u w:val="none"/>
            <w:rtl/>
            <w:lang w:bidi="ar-SA"/>
          </w:rPr>
          <w:t>مصادر</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الاستنباط</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بين</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الفقه</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الإسلامي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والقانون</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eastAsia"/>
            <w:color w:val="auto"/>
            <w:sz w:val="27"/>
            <w:szCs w:val="27"/>
            <w:u w:val="none"/>
            <w:rtl/>
            <w:lang w:bidi="ar-SA"/>
          </w:rPr>
          <w:t>الوضعي</w:t>
        </w:r>
      </w:hyperlink>
      <w:r w:rsidR="00773DA5">
        <w:rPr>
          <w:rStyle w:val="Hyperlink"/>
          <w:rFonts w:ascii="Times New Roman" w:hAnsi="Times New Roman" w:hint="cs"/>
          <w:color w:val="auto"/>
          <w:sz w:val="27"/>
          <w:szCs w:val="27"/>
          <w:u w:val="none"/>
          <w:rtl/>
          <w:lang w:bidi="ar-LB"/>
        </w:rPr>
        <w:t>، (مجلّة الأحكام العَدْلية) أنموذجاً</w:t>
      </w:r>
      <w:r w:rsidR="00D67215" w:rsidRPr="00AC2C1C">
        <w:rPr>
          <w:rStyle w:val="Hyperlink"/>
          <w:rFonts w:ascii="Times New Roman" w:hAnsi="Times New Roman"/>
          <w:color w:val="auto"/>
          <w:sz w:val="27"/>
          <w:szCs w:val="27"/>
          <w:u w:val="none"/>
          <w:lang w:bidi="ar-SA"/>
        </w:rPr>
        <w:t xml:space="preserve"> </w:t>
      </w:r>
    </w:p>
    <w:p w:rsidR="00510A75" w:rsidRPr="00275B2F" w:rsidRDefault="00F41F33" w:rsidP="00B76E12">
      <w:pPr>
        <w:tabs>
          <w:tab w:val="right" w:leader="dot" w:pos="7031"/>
        </w:tabs>
        <w:spacing w:before="20" w:line="168" w:lineRule="auto"/>
        <w:ind w:firstLine="561"/>
        <w:rPr>
          <w:lang w:eastAsia="ar-SA"/>
        </w:rPr>
      </w:pPr>
      <w:hyperlink w:anchor="_Toc435577188"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الشيخ</w:t>
        </w:r>
        <w:r w:rsidR="00510A75" w:rsidRPr="00275B2F">
          <w:rPr>
            <w:rtl/>
            <w:lang w:eastAsia="ar-SA"/>
          </w:rPr>
          <w:t xml:space="preserve"> </w:t>
        </w:r>
        <w:r w:rsidR="00510A75" w:rsidRPr="00275B2F">
          <w:rPr>
            <w:rFonts w:hint="eastAsia"/>
            <w:rtl/>
            <w:lang w:eastAsia="ar-SA"/>
          </w:rPr>
          <w:t>صاحب</w:t>
        </w:r>
        <w:r w:rsidR="00510A75" w:rsidRPr="00275B2F">
          <w:rPr>
            <w:rtl/>
            <w:lang w:eastAsia="ar-SA"/>
          </w:rPr>
          <w:t xml:space="preserve"> </w:t>
        </w:r>
        <w:r w:rsidR="00510A75" w:rsidRPr="00275B2F">
          <w:rPr>
            <w:rFonts w:hint="eastAsia"/>
            <w:rtl/>
            <w:lang w:eastAsia="ar-SA"/>
          </w:rPr>
          <w:t>محمد</w:t>
        </w:r>
        <w:r w:rsidR="00510A75" w:rsidRPr="00275B2F">
          <w:rPr>
            <w:rtl/>
            <w:lang w:eastAsia="ar-SA"/>
          </w:rPr>
          <w:t xml:space="preserve"> </w:t>
        </w:r>
        <w:r w:rsidR="00510A75" w:rsidRPr="00275B2F">
          <w:rPr>
            <w:rFonts w:hint="eastAsia"/>
            <w:rtl/>
            <w:lang w:eastAsia="ar-SA"/>
          </w:rPr>
          <w:t>حسين</w:t>
        </w:r>
        <w:r w:rsidR="00510A75" w:rsidRPr="00275B2F">
          <w:rPr>
            <w:rtl/>
            <w:lang w:eastAsia="ar-SA"/>
          </w:rPr>
          <w:t xml:space="preserve"> </w:t>
        </w:r>
        <w:r w:rsidR="00510A75" w:rsidRPr="00275B2F">
          <w:rPr>
            <w:rFonts w:hint="eastAsia"/>
            <w:rtl/>
            <w:lang w:eastAsia="ar-SA"/>
          </w:rPr>
          <w:t>نصّار</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_Toc435577188 \h </w:instrText>
        </w:r>
        <w:r w:rsidR="00510A75" w:rsidRPr="00904FCB">
          <w:rPr>
            <w:webHidden/>
            <w:lang w:eastAsia="ar-SA"/>
          </w:rPr>
        </w:r>
        <w:r w:rsidR="00510A75" w:rsidRPr="00904FCB">
          <w:rPr>
            <w:webHidden/>
            <w:lang w:eastAsia="ar-SA"/>
          </w:rPr>
          <w:fldChar w:fldCharType="separate"/>
        </w:r>
        <w:r>
          <w:rPr>
            <w:noProof/>
            <w:webHidden/>
            <w:rtl/>
            <w:lang w:eastAsia="ar-SA"/>
          </w:rPr>
          <w:t>163</w:t>
        </w:r>
        <w:r w:rsidR="00510A75" w:rsidRPr="00904FCB">
          <w:rPr>
            <w:webHidden/>
            <w:lang w:eastAsia="ar-SA"/>
          </w:rPr>
          <w:fldChar w:fldCharType="end"/>
        </w:r>
      </w:hyperlink>
    </w:p>
    <w:p w:rsidR="00275B2F" w:rsidRPr="00AC2C1C"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89" w:history="1">
        <w:r w:rsidR="00510A75" w:rsidRPr="00AC2C1C">
          <w:rPr>
            <w:rStyle w:val="Hyperlink"/>
            <w:rFonts w:ascii="Times New Roman" w:hAnsi="Times New Roman" w:hint="cs"/>
            <w:color w:val="auto"/>
            <w:sz w:val="27"/>
            <w:szCs w:val="27"/>
            <w:u w:val="none"/>
            <w:rtl/>
            <w:lang w:bidi="ar-SA"/>
          </w:rPr>
          <w:t>المصلحة</w:t>
        </w:r>
      </w:hyperlink>
      <w:r w:rsidR="00275B2F" w:rsidRPr="00AC2C1C">
        <w:rPr>
          <w:rStyle w:val="Hyperlink"/>
          <w:rFonts w:ascii="Times New Roman" w:hAnsi="Times New Roman" w:hint="cs"/>
          <w:color w:val="auto"/>
          <w:sz w:val="27"/>
          <w:szCs w:val="27"/>
          <w:u w:val="none"/>
          <w:rtl/>
          <w:lang w:bidi="ar-SA"/>
        </w:rPr>
        <w:t xml:space="preserve">، </w:t>
      </w:r>
      <w:hyperlink w:anchor="_Toc435577190" w:history="1">
        <w:r w:rsidR="00275B2F" w:rsidRPr="00AC2C1C">
          <w:rPr>
            <w:rStyle w:val="Hyperlink"/>
            <w:rFonts w:ascii="Times New Roman" w:hAnsi="Times New Roman" w:hint="cs"/>
            <w:color w:val="auto"/>
            <w:sz w:val="27"/>
            <w:szCs w:val="27"/>
            <w:u w:val="none"/>
            <w:rtl/>
            <w:lang w:bidi="ar-SA"/>
          </w:rPr>
          <w:t>بين</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الفقه</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eastAsia"/>
            <w:color w:val="auto"/>
            <w:sz w:val="27"/>
            <w:szCs w:val="27"/>
            <w:u w:val="none"/>
            <w:rtl/>
            <w:lang w:bidi="ar-SA"/>
          </w:rPr>
          <w:t>الإسلامي</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eastAsia"/>
            <w:color w:val="auto"/>
            <w:sz w:val="27"/>
            <w:szCs w:val="27"/>
            <w:u w:val="none"/>
            <w:rtl/>
            <w:lang w:bidi="ar-SA"/>
          </w:rPr>
          <w:t>وروسكو</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eastAsia"/>
            <w:color w:val="auto"/>
            <w:sz w:val="27"/>
            <w:szCs w:val="27"/>
            <w:u w:val="none"/>
            <w:rtl/>
            <w:lang w:bidi="ar-SA"/>
          </w:rPr>
          <w:t>باوند</w:t>
        </w:r>
      </w:hyperlink>
    </w:p>
    <w:p w:rsidR="00510A75" w:rsidRPr="00275B2F" w:rsidRDefault="00F41F33" w:rsidP="00B76E12">
      <w:pPr>
        <w:tabs>
          <w:tab w:val="right" w:leader="dot" w:pos="7031"/>
        </w:tabs>
        <w:spacing w:before="20" w:line="168" w:lineRule="auto"/>
        <w:ind w:firstLine="561"/>
        <w:rPr>
          <w:lang w:eastAsia="ar-SA"/>
        </w:rPr>
      </w:pPr>
      <w:hyperlink w:anchor="_Toc435577191" w:history="1">
        <w:r w:rsidR="0024738F">
          <w:rPr>
            <w:rFonts w:hint="cs"/>
            <w:rtl/>
            <w:lang w:eastAsia="ar-SA"/>
          </w:rPr>
          <w:t xml:space="preserve">أ. </w:t>
        </w:r>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منى</w:t>
        </w:r>
        <w:r w:rsidR="00510A75" w:rsidRPr="00275B2F">
          <w:rPr>
            <w:rtl/>
            <w:lang w:eastAsia="ar-SA"/>
          </w:rPr>
          <w:t xml:space="preserve"> </w:t>
        </w:r>
        <w:r w:rsidR="00510A75" w:rsidRPr="00AC2C1C">
          <w:rPr>
            <w:rFonts w:hint="cs"/>
            <w:rtl/>
            <w:lang w:eastAsia="ar-SA"/>
          </w:rPr>
          <w:t>أحمد</w:t>
        </w:r>
        <w:r w:rsidR="00510A75" w:rsidRPr="00275B2F">
          <w:rPr>
            <w:rtl/>
            <w:lang w:eastAsia="ar-SA"/>
          </w:rPr>
          <w:t xml:space="preserve"> </w:t>
        </w:r>
        <w:r w:rsidR="00510A75" w:rsidRPr="00AC2C1C">
          <w:rPr>
            <w:rFonts w:hint="cs"/>
            <w:rtl/>
            <w:lang w:eastAsia="ar-SA"/>
          </w:rPr>
          <w:t>أبو</w:t>
        </w:r>
        <w:r w:rsidR="00510A75" w:rsidRPr="00275B2F">
          <w:rPr>
            <w:rtl/>
            <w:lang w:eastAsia="ar-SA"/>
          </w:rPr>
          <w:t xml:space="preserve"> </w:t>
        </w:r>
        <w:r w:rsidR="00510A75" w:rsidRPr="00AC2C1C">
          <w:rPr>
            <w:rFonts w:hint="cs"/>
            <w:rtl/>
            <w:lang w:eastAsia="ar-SA"/>
          </w:rPr>
          <w:t>زيد</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_Toc435577191 \h </w:instrText>
        </w:r>
        <w:r w:rsidR="00510A75" w:rsidRPr="00904FCB">
          <w:rPr>
            <w:webHidden/>
            <w:lang w:eastAsia="ar-SA"/>
          </w:rPr>
        </w:r>
        <w:r w:rsidR="00510A75" w:rsidRPr="00904FCB">
          <w:rPr>
            <w:webHidden/>
            <w:lang w:eastAsia="ar-SA"/>
          </w:rPr>
          <w:fldChar w:fldCharType="separate"/>
        </w:r>
        <w:r>
          <w:rPr>
            <w:noProof/>
            <w:webHidden/>
            <w:rtl/>
            <w:lang w:eastAsia="ar-SA"/>
          </w:rPr>
          <w:t>184</w:t>
        </w:r>
        <w:r w:rsidR="00510A75" w:rsidRPr="00904FCB">
          <w:rPr>
            <w:webHidden/>
            <w:lang w:eastAsia="ar-SA"/>
          </w:rPr>
          <w:fldChar w:fldCharType="end"/>
        </w:r>
      </w:hyperlink>
    </w:p>
    <w:p w:rsidR="00510A75" w:rsidRPr="00AC2C1C"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92" w:history="1">
        <w:r w:rsidR="00510A75" w:rsidRPr="00AC2C1C">
          <w:rPr>
            <w:rStyle w:val="Hyperlink"/>
            <w:rFonts w:ascii="Times New Roman" w:hAnsi="Times New Roman" w:hint="cs"/>
            <w:color w:val="auto"/>
            <w:sz w:val="27"/>
            <w:szCs w:val="27"/>
            <w:u w:val="none"/>
            <w:rtl/>
            <w:lang w:bidi="ar-SA"/>
          </w:rPr>
          <w:t>الأسس</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الدينيّة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للأصوليّة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اليهوديّة</w:t>
        </w:r>
      </w:hyperlink>
    </w:p>
    <w:p w:rsidR="00510A75" w:rsidRPr="00275B2F" w:rsidRDefault="00F41F33" w:rsidP="00B76E12">
      <w:pPr>
        <w:tabs>
          <w:tab w:val="right" w:leader="dot" w:pos="7031"/>
        </w:tabs>
        <w:spacing w:before="20" w:line="168" w:lineRule="auto"/>
        <w:ind w:firstLine="561"/>
        <w:rPr>
          <w:lang w:eastAsia="ar-SA"/>
        </w:rPr>
      </w:pPr>
      <w:hyperlink w:anchor="_Toc435577193" w:history="1">
        <w:r w:rsidR="00510A75" w:rsidRPr="00AC2C1C">
          <w:rPr>
            <w:rFonts w:hint="cs"/>
            <w:rtl/>
            <w:lang w:eastAsia="ar-SA"/>
          </w:rPr>
          <w:t>أ</w:t>
        </w:r>
        <w:r w:rsidR="00510A75" w:rsidRPr="00275B2F">
          <w:rPr>
            <w:rtl/>
            <w:lang w:eastAsia="ar-SA"/>
          </w:rPr>
          <w:t xml:space="preserve">. </w:t>
        </w:r>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عبد</w:t>
        </w:r>
        <w:r w:rsidR="00510A75" w:rsidRPr="00275B2F">
          <w:rPr>
            <w:rtl/>
            <w:lang w:eastAsia="ar-SA"/>
          </w:rPr>
          <w:t xml:space="preserve"> </w:t>
        </w:r>
        <w:r w:rsidR="00510A75" w:rsidRPr="00AC2C1C">
          <w:rPr>
            <w:rFonts w:hint="cs"/>
            <w:rtl/>
            <w:lang w:eastAsia="ar-SA"/>
          </w:rPr>
          <w:t>الأمير</w:t>
        </w:r>
        <w:r w:rsidR="00510A75" w:rsidRPr="00275B2F">
          <w:rPr>
            <w:rtl/>
            <w:lang w:eastAsia="ar-SA"/>
          </w:rPr>
          <w:t xml:space="preserve"> </w:t>
        </w:r>
        <w:r w:rsidR="00510A75" w:rsidRPr="00AC2C1C">
          <w:rPr>
            <w:rFonts w:hint="cs"/>
            <w:rtl/>
            <w:lang w:eastAsia="ar-SA"/>
          </w:rPr>
          <w:t>كاظم</w:t>
        </w:r>
        <w:r w:rsidR="00510A75" w:rsidRPr="00275B2F">
          <w:rPr>
            <w:rtl/>
            <w:lang w:eastAsia="ar-SA"/>
          </w:rPr>
          <w:t xml:space="preserve"> </w:t>
        </w:r>
        <w:r w:rsidR="00510A75" w:rsidRPr="00AC2C1C">
          <w:rPr>
            <w:rFonts w:hint="cs"/>
            <w:rtl/>
            <w:lang w:eastAsia="ar-SA"/>
          </w:rPr>
          <w:t>زاهد</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_Toc435577193 \h </w:instrText>
        </w:r>
        <w:r w:rsidR="00510A75" w:rsidRPr="00904FCB">
          <w:rPr>
            <w:webHidden/>
            <w:lang w:eastAsia="ar-SA"/>
          </w:rPr>
        </w:r>
        <w:r w:rsidR="00510A75" w:rsidRPr="00904FCB">
          <w:rPr>
            <w:webHidden/>
            <w:lang w:eastAsia="ar-SA"/>
          </w:rPr>
          <w:fldChar w:fldCharType="separate"/>
        </w:r>
        <w:r>
          <w:rPr>
            <w:noProof/>
            <w:webHidden/>
            <w:rtl/>
            <w:lang w:eastAsia="ar-SA"/>
          </w:rPr>
          <w:t>206</w:t>
        </w:r>
        <w:r w:rsidR="00510A75" w:rsidRPr="00904FCB">
          <w:rPr>
            <w:webHidden/>
            <w:lang w:eastAsia="ar-SA"/>
          </w:rPr>
          <w:fldChar w:fldCharType="end"/>
        </w:r>
      </w:hyperlink>
    </w:p>
    <w:p w:rsidR="00275B2F" w:rsidRPr="00AC2C1C" w:rsidRDefault="00F63AA1" w:rsidP="00B76E12">
      <w:pPr>
        <w:pStyle w:val="13"/>
        <w:spacing w:before="160"/>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194" w:history="1">
        <w:r w:rsidR="00510A75" w:rsidRPr="00AC2C1C">
          <w:rPr>
            <w:rStyle w:val="Hyperlink"/>
            <w:rFonts w:ascii="Times New Roman" w:hAnsi="Times New Roman" w:hint="cs"/>
            <w:color w:val="auto"/>
            <w:sz w:val="27"/>
            <w:szCs w:val="27"/>
            <w:u w:val="none"/>
            <w:rtl/>
            <w:lang w:bidi="ar-SA"/>
          </w:rPr>
          <w:t>حقوق</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الإنسان</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في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البلدان</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الإسلامية</w:t>
        </w:r>
      </w:hyperlink>
      <w:r w:rsidR="00275B2F" w:rsidRPr="00AC2C1C">
        <w:rPr>
          <w:rStyle w:val="Hyperlink"/>
          <w:rFonts w:ascii="Times New Roman" w:hAnsi="Times New Roman" w:hint="cs"/>
          <w:color w:val="auto"/>
          <w:sz w:val="27"/>
          <w:szCs w:val="27"/>
          <w:u w:val="none"/>
          <w:rtl/>
          <w:lang w:bidi="ar-SA"/>
        </w:rPr>
        <w:t>،</w:t>
      </w:r>
      <w:r w:rsidR="00AC2C1C" w:rsidRPr="00AC2C1C">
        <w:rPr>
          <w:rStyle w:val="Hyperlink"/>
          <w:rFonts w:ascii="Times New Roman" w:hAnsi="Times New Roman" w:hint="cs"/>
          <w:color w:val="auto"/>
          <w:sz w:val="27"/>
          <w:szCs w:val="27"/>
          <w:u w:val="none"/>
          <w:rtl/>
          <w:lang w:bidi="ar-SA"/>
        </w:rPr>
        <w:t xml:space="preserve"> </w:t>
      </w:r>
      <w:hyperlink w:anchor="_Toc435577195" w:history="1">
        <w:r w:rsidR="00275B2F" w:rsidRPr="00AC2C1C">
          <w:rPr>
            <w:rStyle w:val="Hyperlink"/>
            <w:rFonts w:ascii="Times New Roman" w:hAnsi="Times New Roman" w:hint="cs"/>
            <w:color w:val="auto"/>
            <w:sz w:val="27"/>
            <w:szCs w:val="27"/>
            <w:u w:val="none"/>
            <w:rtl/>
            <w:lang w:bidi="ar-SA"/>
          </w:rPr>
          <w:t>دراسة</w:t>
        </w:r>
        <w:r w:rsidR="00AE125A">
          <w:rPr>
            <w:rStyle w:val="Hyperlink"/>
            <w:rFonts w:ascii="Times New Roman" w:hAnsi="Times New Roman" w:hint="cs"/>
            <w:color w:val="auto"/>
            <w:sz w:val="27"/>
            <w:szCs w:val="27"/>
            <w:u w:val="none"/>
            <w:rtl/>
            <w:lang w:bidi="ar-SA"/>
          </w:rPr>
          <w:t>ٌ</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في</w:t>
        </w:r>
        <w:r w:rsidR="00275B2F" w:rsidRPr="00AC2C1C">
          <w:rPr>
            <w:rStyle w:val="Hyperlink"/>
            <w:rFonts w:ascii="Times New Roman" w:hAnsi="Times New Roman"/>
            <w:color w:val="auto"/>
            <w:sz w:val="27"/>
            <w:szCs w:val="27"/>
            <w:u w:val="none"/>
            <w:rtl/>
            <w:lang w:bidi="ar-SA"/>
          </w:rPr>
          <w:t xml:space="preserve"> </w:t>
        </w:r>
        <w:r w:rsidR="00D67215">
          <w:rPr>
            <w:rStyle w:val="Hyperlink"/>
            <w:rFonts w:ascii="Times New Roman" w:hAnsi="Times New Roman" w:hint="cs"/>
            <w:color w:val="auto"/>
            <w:sz w:val="27"/>
            <w:szCs w:val="27"/>
            <w:u w:val="none"/>
            <w:rtl/>
            <w:lang w:bidi="ar-SA"/>
          </w:rPr>
          <w:t>أ</w:t>
        </w:r>
        <w:r w:rsidR="00275B2F" w:rsidRPr="00AC2C1C">
          <w:rPr>
            <w:rStyle w:val="Hyperlink"/>
            <w:rFonts w:ascii="Times New Roman" w:hAnsi="Times New Roman" w:hint="cs"/>
            <w:color w:val="auto"/>
            <w:sz w:val="27"/>
            <w:szCs w:val="27"/>
            <w:u w:val="none"/>
            <w:rtl/>
            <w:lang w:bidi="ar-SA"/>
          </w:rPr>
          <w:t>سباب</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الفشل</w:t>
        </w:r>
      </w:hyperlink>
    </w:p>
    <w:p w:rsidR="00510A75" w:rsidRPr="00275B2F" w:rsidRDefault="00F41F33" w:rsidP="00B76E12">
      <w:pPr>
        <w:tabs>
          <w:tab w:val="right" w:leader="dot" w:pos="7031"/>
        </w:tabs>
        <w:spacing w:before="20" w:line="168" w:lineRule="auto"/>
        <w:ind w:firstLine="561"/>
        <w:rPr>
          <w:lang w:eastAsia="ar-SA"/>
        </w:rPr>
      </w:pPr>
      <w:hyperlink w:anchor="_Toc435577196"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حسن</w:t>
        </w:r>
        <w:r w:rsidR="00510A75" w:rsidRPr="00275B2F">
          <w:rPr>
            <w:rtl/>
            <w:lang w:eastAsia="ar-SA"/>
          </w:rPr>
          <w:t xml:space="preserve"> </w:t>
        </w:r>
        <w:r w:rsidR="00510A75" w:rsidRPr="00AC2C1C">
          <w:rPr>
            <w:rFonts w:hint="cs"/>
            <w:rtl/>
            <w:lang w:eastAsia="ar-SA"/>
          </w:rPr>
          <w:t>طالقاني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_Toc435577196 \h </w:instrText>
        </w:r>
        <w:r w:rsidR="00510A75" w:rsidRPr="00904FCB">
          <w:rPr>
            <w:webHidden/>
            <w:lang w:eastAsia="ar-SA"/>
          </w:rPr>
        </w:r>
        <w:r w:rsidR="00510A75" w:rsidRPr="00904FCB">
          <w:rPr>
            <w:webHidden/>
            <w:lang w:eastAsia="ar-SA"/>
          </w:rPr>
          <w:fldChar w:fldCharType="separate"/>
        </w:r>
        <w:r>
          <w:rPr>
            <w:noProof/>
            <w:webHidden/>
            <w:rtl/>
            <w:lang w:eastAsia="ar-SA"/>
          </w:rPr>
          <w:t>226</w:t>
        </w:r>
        <w:r w:rsidR="00510A75" w:rsidRPr="00904FCB">
          <w:rPr>
            <w:webHidden/>
            <w:lang w:eastAsia="ar-SA"/>
          </w:rPr>
          <w:fldChar w:fldCharType="end"/>
        </w:r>
      </w:hyperlink>
    </w:p>
    <w:p w:rsidR="00275B2F"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lastRenderedPageBreak/>
        <w:sym w:font="Webdings" w:char="F033"/>
      </w:r>
      <w:hyperlink w:anchor="_Toc435577198" w:history="1">
        <w:r w:rsidR="00510A75" w:rsidRPr="00AC2C1C">
          <w:rPr>
            <w:rStyle w:val="Hyperlink"/>
            <w:rFonts w:ascii="Times New Roman" w:hAnsi="Times New Roman" w:hint="cs"/>
            <w:color w:val="auto"/>
            <w:sz w:val="27"/>
            <w:szCs w:val="27"/>
            <w:u w:val="none"/>
            <w:rtl/>
            <w:lang w:bidi="ar-SA"/>
          </w:rPr>
          <w:t>قراءةٌ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جديدة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للإرث</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بالولاء</w:t>
        </w:r>
      </w:hyperlink>
      <w:r w:rsidR="00275B2F" w:rsidRPr="00AC2C1C">
        <w:rPr>
          <w:rStyle w:val="Hyperlink"/>
          <w:rFonts w:ascii="Times New Roman" w:hAnsi="Times New Roman" w:hint="cs"/>
          <w:color w:val="auto"/>
          <w:sz w:val="27"/>
          <w:szCs w:val="27"/>
          <w:u w:val="none"/>
          <w:rtl/>
          <w:lang w:bidi="ar-SA"/>
        </w:rPr>
        <w:t xml:space="preserve">، </w:t>
      </w:r>
      <w:hyperlink w:anchor="_Toc435577199" w:history="1">
        <w:r w:rsidR="00275B2F" w:rsidRPr="00AC2C1C">
          <w:rPr>
            <w:rStyle w:val="Hyperlink"/>
            <w:rFonts w:ascii="Times New Roman" w:hAnsi="Times New Roman" w:hint="cs"/>
            <w:color w:val="auto"/>
            <w:sz w:val="27"/>
            <w:szCs w:val="27"/>
            <w:u w:val="none"/>
            <w:rtl/>
            <w:lang w:bidi="ar-SA"/>
          </w:rPr>
          <w:t>دراسةٌ</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مقارنة</w:t>
        </w:r>
      </w:hyperlink>
      <w:r w:rsidR="00D67215">
        <w:rPr>
          <w:rStyle w:val="Hyperlink"/>
          <w:rFonts w:ascii="Times New Roman" w:hAnsi="Times New Roman" w:hint="cs"/>
          <w:color w:val="auto"/>
          <w:sz w:val="27"/>
          <w:szCs w:val="27"/>
          <w:u w:val="none"/>
          <w:rtl/>
          <w:lang w:bidi="ar-SA"/>
        </w:rPr>
        <w:t xml:space="preserve"> / القسم الأوّل</w:t>
      </w:r>
    </w:p>
    <w:p w:rsidR="00510A75" w:rsidRPr="00275B2F" w:rsidRDefault="00F41F33" w:rsidP="005823C3">
      <w:pPr>
        <w:tabs>
          <w:tab w:val="right" w:leader="dot" w:pos="7031"/>
        </w:tabs>
        <w:spacing w:before="40" w:line="168" w:lineRule="auto"/>
        <w:rPr>
          <w:lang w:eastAsia="ar-SA"/>
        </w:rPr>
      </w:pPr>
      <w:hyperlink w:anchor="_Toc435577200"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الشيخ</w:t>
        </w:r>
        <w:r w:rsidR="00510A75" w:rsidRPr="00275B2F">
          <w:rPr>
            <w:rtl/>
            <w:lang w:eastAsia="ar-SA"/>
          </w:rPr>
          <w:t xml:space="preserve"> </w:t>
        </w:r>
        <w:r w:rsidR="00510A75" w:rsidRPr="00AC2C1C">
          <w:rPr>
            <w:rFonts w:hint="cs"/>
            <w:rtl/>
            <w:lang w:eastAsia="ar-SA"/>
          </w:rPr>
          <w:t>خالد</w:t>
        </w:r>
        <w:r w:rsidR="00510A75" w:rsidRPr="00275B2F">
          <w:rPr>
            <w:rtl/>
            <w:lang w:eastAsia="ar-SA"/>
          </w:rPr>
          <w:t xml:space="preserve"> </w:t>
        </w:r>
        <w:r w:rsidR="00510A75" w:rsidRPr="00AC2C1C">
          <w:rPr>
            <w:rFonts w:hint="cs"/>
            <w:rtl/>
            <w:lang w:eastAsia="ar-SA"/>
          </w:rPr>
          <w:t>الغفوري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_Toc435577200 \h </w:instrText>
        </w:r>
        <w:r w:rsidR="00510A75" w:rsidRPr="00904FCB">
          <w:rPr>
            <w:webHidden/>
            <w:lang w:eastAsia="ar-SA"/>
          </w:rPr>
        </w:r>
        <w:r w:rsidR="00510A75" w:rsidRPr="00904FCB">
          <w:rPr>
            <w:webHidden/>
            <w:lang w:eastAsia="ar-SA"/>
          </w:rPr>
          <w:fldChar w:fldCharType="separate"/>
        </w:r>
        <w:r>
          <w:rPr>
            <w:noProof/>
            <w:webHidden/>
            <w:rtl/>
            <w:lang w:eastAsia="ar-SA"/>
          </w:rPr>
          <w:t>244</w:t>
        </w:r>
        <w:r w:rsidR="00510A75" w:rsidRPr="00904FCB">
          <w:rPr>
            <w:webHidden/>
            <w:lang w:eastAsia="ar-SA"/>
          </w:rPr>
          <w:fldChar w:fldCharType="end"/>
        </w:r>
      </w:hyperlink>
    </w:p>
    <w:p w:rsidR="00275B2F"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01" w:history="1">
        <w:r w:rsidR="00510A75" w:rsidRPr="00AC2C1C">
          <w:rPr>
            <w:rStyle w:val="Hyperlink"/>
            <w:rFonts w:ascii="Times New Roman" w:hAnsi="Times New Roman" w:hint="cs"/>
            <w:color w:val="auto"/>
            <w:sz w:val="27"/>
            <w:szCs w:val="27"/>
            <w:u w:val="none"/>
            <w:rtl/>
            <w:lang w:bidi="ar-SA"/>
          </w:rPr>
          <w:t>الذبح</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في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منى</w:t>
        </w:r>
        <w:r w:rsidR="00275B2F" w:rsidRPr="00AC2C1C">
          <w:rPr>
            <w:rStyle w:val="Hyperlink"/>
            <w:rFonts w:ascii="Times New Roman" w:hAnsi="Times New Roman" w:hint="cs"/>
            <w:color w:val="auto"/>
            <w:sz w:val="27"/>
            <w:szCs w:val="27"/>
            <w:u w:val="none"/>
            <w:rtl/>
            <w:lang w:bidi="ar-SA"/>
          </w:rPr>
          <w:t xml:space="preserve">، </w:t>
        </w:r>
      </w:hyperlink>
      <w:hyperlink w:anchor="_Toc435577202" w:history="1">
        <w:r w:rsidR="00275B2F" w:rsidRPr="00AC2C1C">
          <w:rPr>
            <w:rStyle w:val="Hyperlink"/>
            <w:rFonts w:ascii="Times New Roman" w:hAnsi="Times New Roman" w:hint="cs"/>
            <w:color w:val="auto"/>
            <w:sz w:val="27"/>
            <w:szCs w:val="27"/>
            <w:u w:val="none"/>
            <w:rtl/>
            <w:lang w:bidi="ar-SA"/>
          </w:rPr>
          <w:t>قراءة</w:t>
        </w:r>
        <w:r w:rsidR="00185F9D">
          <w:rPr>
            <w:rStyle w:val="Hyperlink"/>
            <w:rFonts w:ascii="Times New Roman" w:hAnsi="Times New Roman" w:hint="cs"/>
            <w:color w:val="auto"/>
            <w:sz w:val="27"/>
            <w:szCs w:val="27"/>
            <w:u w:val="none"/>
            <w:rtl/>
            <w:lang w:bidi="ar-SA"/>
          </w:rPr>
          <w:t>ٌ</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أخرى</w:t>
        </w:r>
      </w:hyperlink>
    </w:p>
    <w:p w:rsidR="00510A75" w:rsidRPr="00275B2F" w:rsidRDefault="00F41F33" w:rsidP="005823C3">
      <w:pPr>
        <w:tabs>
          <w:tab w:val="right" w:leader="dot" w:pos="7031"/>
        </w:tabs>
        <w:spacing w:before="40" w:line="168" w:lineRule="auto"/>
        <w:rPr>
          <w:lang w:eastAsia="ar-SA"/>
        </w:rPr>
      </w:pPr>
      <w:hyperlink w:anchor="_Toc435577203" w:history="1">
        <w:r w:rsidR="00510A75" w:rsidRPr="00AC2C1C">
          <w:rPr>
            <w:rFonts w:hint="cs"/>
            <w:rtl/>
            <w:lang w:eastAsia="ar-SA"/>
          </w:rPr>
          <w:t>الشيخ</w:t>
        </w:r>
        <w:r w:rsidR="00510A75" w:rsidRPr="00275B2F">
          <w:rPr>
            <w:rtl/>
            <w:lang w:eastAsia="ar-SA"/>
          </w:rPr>
          <w:t xml:space="preserve"> </w:t>
        </w:r>
        <w:r w:rsidR="00510A75" w:rsidRPr="00AC2C1C">
          <w:rPr>
            <w:rFonts w:hint="cs"/>
            <w:rtl/>
            <w:lang w:eastAsia="ar-SA"/>
          </w:rPr>
          <w:t>أحمد</w:t>
        </w:r>
        <w:r w:rsidR="00510A75" w:rsidRPr="00275B2F">
          <w:rPr>
            <w:rtl/>
            <w:lang w:eastAsia="ar-SA"/>
          </w:rPr>
          <w:t xml:space="preserve"> </w:t>
        </w:r>
        <w:r w:rsidR="00510A75" w:rsidRPr="00AC2C1C">
          <w:rPr>
            <w:rFonts w:hint="cs"/>
            <w:rtl/>
            <w:lang w:eastAsia="ar-SA"/>
          </w:rPr>
          <w:t>عابديني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_Toc435577203 \h </w:instrText>
        </w:r>
        <w:r w:rsidR="00510A75" w:rsidRPr="00904FCB">
          <w:rPr>
            <w:webHidden/>
            <w:lang w:eastAsia="ar-SA"/>
          </w:rPr>
        </w:r>
        <w:r w:rsidR="00510A75" w:rsidRPr="00904FCB">
          <w:rPr>
            <w:webHidden/>
            <w:lang w:eastAsia="ar-SA"/>
          </w:rPr>
          <w:fldChar w:fldCharType="separate"/>
        </w:r>
        <w:r>
          <w:rPr>
            <w:noProof/>
            <w:webHidden/>
            <w:rtl/>
            <w:lang w:eastAsia="ar-SA"/>
          </w:rPr>
          <w:t>265</w:t>
        </w:r>
        <w:r w:rsidR="00510A75" w:rsidRPr="00904FCB">
          <w:rPr>
            <w:webHidden/>
            <w:lang w:eastAsia="ar-SA"/>
          </w:rPr>
          <w:fldChar w:fldCharType="end"/>
        </w:r>
      </w:hyperlink>
    </w:p>
    <w:p w:rsidR="00275B2F"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04" w:history="1">
        <w:r w:rsidR="00510A75" w:rsidRPr="00AC2C1C">
          <w:rPr>
            <w:rStyle w:val="Hyperlink"/>
            <w:rFonts w:ascii="Times New Roman" w:hAnsi="Times New Roman" w:hint="cs"/>
            <w:color w:val="auto"/>
            <w:sz w:val="27"/>
            <w:szCs w:val="27"/>
            <w:u w:val="none"/>
            <w:rtl/>
            <w:lang w:bidi="ar-SA"/>
          </w:rPr>
          <w:t>العنف</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ومنطق</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القوّة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في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سيرورة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تاريخيّة</w:t>
        </w:r>
      </w:hyperlink>
      <w:r w:rsidR="00185F9D">
        <w:rPr>
          <w:rStyle w:val="Hyperlink"/>
          <w:rFonts w:ascii="Times New Roman" w:hAnsi="Times New Roman" w:hint="cs"/>
          <w:color w:val="auto"/>
          <w:sz w:val="27"/>
          <w:szCs w:val="27"/>
          <w:u w:val="none"/>
          <w:rtl/>
          <w:lang w:bidi="ar-SA"/>
        </w:rPr>
        <w:t>:</w:t>
      </w:r>
      <w:r w:rsidR="00275B2F" w:rsidRPr="00AC2C1C">
        <w:rPr>
          <w:rStyle w:val="Hyperlink"/>
          <w:rFonts w:ascii="Times New Roman" w:hAnsi="Times New Roman" w:hint="cs"/>
          <w:color w:val="auto"/>
          <w:sz w:val="27"/>
          <w:szCs w:val="27"/>
          <w:u w:val="none"/>
          <w:rtl/>
          <w:lang w:bidi="ar-SA"/>
        </w:rPr>
        <w:t xml:space="preserve"> </w:t>
      </w:r>
      <w:hyperlink w:anchor="_Toc435577205" w:history="1">
        <w:r w:rsidR="00275B2F" w:rsidRPr="00AC2C1C">
          <w:rPr>
            <w:rStyle w:val="Hyperlink"/>
            <w:rFonts w:ascii="Times New Roman" w:hAnsi="Times New Roman" w:hint="cs"/>
            <w:color w:val="auto"/>
            <w:sz w:val="27"/>
            <w:szCs w:val="27"/>
            <w:u w:val="none"/>
            <w:rtl/>
            <w:lang w:bidi="ar-SA"/>
          </w:rPr>
          <w:t>أسبابٌ</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ودوافع،</w:t>
        </w:r>
        <w:r w:rsidR="00275B2F" w:rsidRPr="00AC2C1C">
          <w:rPr>
            <w:rStyle w:val="Hyperlink"/>
            <w:rFonts w:ascii="Times New Roman" w:hAnsi="Times New Roman"/>
            <w:color w:val="auto"/>
            <w:sz w:val="27"/>
            <w:szCs w:val="27"/>
            <w:u w:val="none"/>
            <w:rtl/>
            <w:lang w:bidi="ar-SA"/>
          </w:rPr>
          <w:t xml:space="preserve"> </w:t>
        </w:r>
        <w:r w:rsidR="00D67215">
          <w:rPr>
            <w:rStyle w:val="Hyperlink"/>
            <w:rFonts w:ascii="Times New Roman" w:hAnsi="Times New Roman" w:hint="cs"/>
            <w:color w:val="auto"/>
            <w:sz w:val="27"/>
            <w:szCs w:val="27"/>
            <w:u w:val="none"/>
            <w:rtl/>
            <w:lang w:bidi="ar-SA"/>
          </w:rPr>
          <w:t>نتائج</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وحلول</w:t>
        </w:r>
      </w:hyperlink>
    </w:p>
    <w:p w:rsidR="00510A75" w:rsidRPr="00275B2F" w:rsidRDefault="00F41F33" w:rsidP="005823C3">
      <w:pPr>
        <w:tabs>
          <w:tab w:val="right" w:leader="dot" w:pos="7031"/>
        </w:tabs>
        <w:spacing w:before="40" w:line="168" w:lineRule="auto"/>
        <w:rPr>
          <w:lang w:eastAsia="ar-SA"/>
        </w:rPr>
      </w:pPr>
      <w:hyperlink w:anchor="_Toc435577206" w:history="1">
        <w:r w:rsidR="00510A75" w:rsidRPr="00AC2C1C">
          <w:rPr>
            <w:rFonts w:hint="cs"/>
            <w:rtl/>
            <w:lang w:eastAsia="ar-SA"/>
          </w:rPr>
          <w:t>أ</w:t>
        </w:r>
        <w:r w:rsidR="00510A75" w:rsidRPr="00275B2F">
          <w:rPr>
            <w:rtl/>
            <w:lang w:eastAsia="ar-SA"/>
          </w:rPr>
          <w:t xml:space="preserve">. </w:t>
        </w:r>
        <w:r w:rsidR="00510A75" w:rsidRPr="00AC2C1C">
          <w:rPr>
            <w:rFonts w:hint="cs"/>
            <w:rtl/>
            <w:lang w:eastAsia="ar-SA"/>
          </w:rPr>
          <w:t>نبيل</w:t>
        </w:r>
        <w:r w:rsidR="00510A75" w:rsidRPr="00275B2F">
          <w:rPr>
            <w:rtl/>
            <w:lang w:eastAsia="ar-SA"/>
          </w:rPr>
          <w:t xml:space="preserve"> </w:t>
        </w:r>
        <w:r w:rsidR="00510A75" w:rsidRPr="00AC2C1C">
          <w:rPr>
            <w:rFonts w:hint="cs"/>
            <w:rtl/>
            <w:lang w:eastAsia="ar-SA"/>
          </w:rPr>
          <w:t>علي</w:t>
        </w:r>
        <w:r w:rsidR="00510A75" w:rsidRPr="00275B2F">
          <w:rPr>
            <w:rtl/>
            <w:lang w:eastAsia="ar-SA"/>
          </w:rPr>
          <w:t xml:space="preserve"> </w:t>
        </w:r>
        <w:r w:rsidR="00510A75" w:rsidRPr="00AC2C1C">
          <w:rPr>
            <w:rFonts w:hint="cs"/>
            <w:rtl/>
            <w:lang w:eastAsia="ar-SA"/>
          </w:rPr>
          <w:t>صالح</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_Toc435577206 \h </w:instrText>
        </w:r>
        <w:r w:rsidR="00510A75" w:rsidRPr="00904FCB">
          <w:rPr>
            <w:webHidden/>
            <w:lang w:eastAsia="ar-SA"/>
          </w:rPr>
        </w:r>
        <w:r w:rsidR="00510A75" w:rsidRPr="00904FCB">
          <w:rPr>
            <w:webHidden/>
            <w:lang w:eastAsia="ar-SA"/>
          </w:rPr>
          <w:fldChar w:fldCharType="separate"/>
        </w:r>
        <w:r>
          <w:rPr>
            <w:noProof/>
            <w:webHidden/>
            <w:rtl/>
            <w:lang w:eastAsia="ar-SA"/>
          </w:rPr>
          <w:t>287</w:t>
        </w:r>
        <w:r w:rsidR="00510A75" w:rsidRPr="00904FCB">
          <w:rPr>
            <w:webHidden/>
            <w:lang w:eastAsia="ar-SA"/>
          </w:rPr>
          <w:fldChar w:fldCharType="end"/>
        </w:r>
      </w:hyperlink>
    </w:p>
    <w:p w:rsidR="00275B2F"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07" w:history="1">
        <w:r w:rsidR="00510A75" w:rsidRPr="00AC2C1C">
          <w:rPr>
            <w:rStyle w:val="Hyperlink"/>
            <w:rFonts w:ascii="Times New Roman" w:hAnsi="Times New Roman" w:hint="cs"/>
            <w:color w:val="auto"/>
            <w:sz w:val="27"/>
            <w:szCs w:val="27"/>
            <w:u w:val="none"/>
            <w:rtl/>
            <w:lang w:bidi="ar-SA"/>
          </w:rPr>
          <w:t>الشهيد</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الثاني</w:t>
        </w:r>
        <w:r w:rsidR="00275B2F" w:rsidRPr="00AC2C1C">
          <w:rPr>
            <w:rStyle w:val="Hyperlink"/>
            <w:rFonts w:ascii="Times New Roman" w:hAnsi="Times New Roman" w:hint="cs"/>
            <w:color w:val="auto"/>
            <w:sz w:val="27"/>
            <w:szCs w:val="27"/>
            <w:u w:val="none"/>
            <w:rtl/>
            <w:lang w:bidi="ar-SA"/>
          </w:rPr>
          <w:t>،</w:t>
        </w:r>
      </w:hyperlink>
      <w:r w:rsidR="00275B2F" w:rsidRPr="00AC2C1C">
        <w:rPr>
          <w:rStyle w:val="Hyperlink"/>
          <w:rFonts w:ascii="Times New Roman" w:hAnsi="Times New Roman" w:hint="cs"/>
          <w:color w:val="auto"/>
          <w:sz w:val="27"/>
          <w:szCs w:val="27"/>
          <w:u w:val="none"/>
          <w:rtl/>
          <w:lang w:bidi="ar-SA"/>
        </w:rPr>
        <w:t xml:space="preserve"> </w:t>
      </w:r>
      <w:hyperlink w:anchor="_Toc435577208" w:history="1">
        <w:r w:rsidR="00275B2F" w:rsidRPr="00AC2C1C">
          <w:rPr>
            <w:rStyle w:val="Hyperlink"/>
            <w:rFonts w:ascii="Times New Roman" w:hAnsi="Times New Roman" w:hint="cs"/>
            <w:color w:val="auto"/>
            <w:sz w:val="27"/>
            <w:szCs w:val="27"/>
            <w:u w:val="none"/>
            <w:rtl/>
            <w:lang w:bidi="ar-SA"/>
          </w:rPr>
          <w:t>جولةٌ</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في</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بعض</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إبداعاته</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ونظريّاته</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الاجتهاديّة</w:t>
        </w:r>
      </w:hyperlink>
    </w:p>
    <w:p w:rsidR="00510A75" w:rsidRPr="00275B2F" w:rsidRDefault="00F41F33" w:rsidP="005823C3">
      <w:pPr>
        <w:tabs>
          <w:tab w:val="right" w:leader="dot" w:pos="7031"/>
        </w:tabs>
        <w:spacing w:before="40" w:line="168" w:lineRule="auto"/>
        <w:rPr>
          <w:lang w:eastAsia="ar-SA"/>
        </w:rPr>
      </w:pPr>
      <w:hyperlink w:anchor="_Toc435577209"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الشيخ</w:t>
        </w:r>
        <w:r w:rsidR="00510A75" w:rsidRPr="00275B2F">
          <w:rPr>
            <w:rtl/>
            <w:lang w:eastAsia="ar-SA"/>
          </w:rPr>
          <w:t xml:space="preserve"> </w:t>
        </w:r>
        <w:r w:rsidR="00510A75" w:rsidRPr="00AC2C1C">
          <w:rPr>
            <w:rFonts w:hint="cs"/>
            <w:rtl/>
            <w:lang w:eastAsia="ar-SA"/>
          </w:rPr>
          <w:t>محمد</w:t>
        </w:r>
        <w:r w:rsidR="00510A75" w:rsidRPr="00275B2F">
          <w:rPr>
            <w:rtl/>
            <w:lang w:eastAsia="ar-SA"/>
          </w:rPr>
          <w:t xml:space="preserve"> </w:t>
        </w:r>
        <w:r w:rsidR="00510A75" w:rsidRPr="00AC2C1C">
          <w:rPr>
            <w:rFonts w:hint="cs"/>
            <w:rtl/>
            <w:lang w:eastAsia="ar-SA"/>
          </w:rPr>
          <w:t>زروندي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_Toc435577209 \h </w:instrText>
        </w:r>
        <w:r w:rsidR="00510A75" w:rsidRPr="00904FCB">
          <w:rPr>
            <w:webHidden/>
            <w:lang w:eastAsia="ar-SA"/>
          </w:rPr>
        </w:r>
        <w:r w:rsidR="00510A75" w:rsidRPr="00904FCB">
          <w:rPr>
            <w:webHidden/>
            <w:lang w:eastAsia="ar-SA"/>
          </w:rPr>
          <w:fldChar w:fldCharType="separate"/>
        </w:r>
        <w:r>
          <w:rPr>
            <w:noProof/>
            <w:webHidden/>
            <w:rtl/>
            <w:lang w:eastAsia="ar-SA"/>
          </w:rPr>
          <w:t>299</w:t>
        </w:r>
        <w:r w:rsidR="00510A75" w:rsidRPr="00904FCB">
          <w:rPr>
            <w:webHidden/>
            <w:lang w:eastAsia="ar-SA"/>
          </w:rPr>
          <w:fldChar w:fldCharType="end"/>
        </w:r>
      </w:hyperlink>
    </w:p>
    <w:p w:rsidR="00510A75"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10" w:history="1">
        <w:r w:rsidR="00510A75" w:rsidRPr="00AC2C1C">
          <w:rPr>
            <w:rStyle w:val="Hyperlink"/>
            <w:rFonts w:ascii="Times New Roman" w:hAnsi="Times New Roman" w:hint="cs"/>
            <w:color w:val="auto"/>
            <w:sz w:val="27"/>
            <w:szCs w:val="27"/>
            <w:u w:val="none"/>
            <w:rtl/>
            <w:lang w:bidi="ar-SA"/>
          </w:rPr>
          <w:t>تجلِّيات</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الحداثة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الغر</w:t>
        </w:r>
        <w:r w:rsidR="00510A75" w:rsidRPr="00AC2C1C">
          <w:rPr>
            <w:rStyle w:val="Hyperlink"/>
            <w:rFonts w:ascii="Times New Roman" w:hAnsi="Times New Roman" w:hint="cs"/>
            <w:color w:val="auto"/>
            <w:sz w:val="27"/>
            <w:szCs w:val="27"/>
            <w:u w:val="none"/>
            <w:rtl/>
            <w:lang w:bidi="ar-SA"/>
          </w:rPr>
          <w:t>ب</w:t>
        </w:r>
        <w:r w:rsidR="00510A75" w:rsidRPr="00AC2C1C">
          <w:rPr>
            <w:rStyle w:val="Hyperlink"/>
            <w:rFonts w:ascii="Times New Roman" w:hAnsi="Times New Roman" w:hint="cs"/>
            <w:color w:val="auto"/>
            <w:sz w:val="27"/>
            <w:szCs w:val="27"/>
            <w:u w:val="none"/>
            <w:rtl/>
            <w:lang w:bidi="ar-SA"/>
          </w:rPr>
          <w:t>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في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الوطن</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العربي</w:t>
        </w:r>
      </w:hyperlink>
    </w:p>
    <w:p w:rsidR="00510A75" w:rsidRPr="00275B2F" w:rsidRDefault="00F41F33" w:rsidP="005823C3">
      <w:pPr>
        <w:tabs>
          <w:tab w:val="right" w:leader="dot" w:pos="7031"/>
        </w:tabs>
        <w:spacing w:before="40" w:line="168" w:lineRule="auto"/>
        <w:rPr>
          <w:lang w:eastAsia="ar-SA"/>
        </w:rPr>
      </w:pPr>
      <w:hyperlink w:anchor="_Toc435577211"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قويدري</w:t>
        </w:r>
        <w:r w:rsidR="00510A75" w:rsidRPr="00275B2F">
          <w:rPr>
            <w:rtl/>
            <w:lang w:eastAsia="ar-SA"/>
          </w:rPr>
          <w:t xml:space="preserve"> </w:t>
        </w:r>
        <w:r w:rsidR="00510A75" w:rsidRPr="00AC2C1C">
          <w:rPr>
            <w:rFonts w:hint="cs"/>
            <w:rtl/>
            <w:lang w:eastAsia="ar-SA"/>
          </w:rPr>
          <w:t>الأخضر</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_Toc435577211 \h </w:instrText>
        </w:r>
        <w:r w:rsidR="00510A75" w:rsidRPr="00904FCB">
          <w:rPr>
            <w:webHidden/>
            <w:lang w:eastAsia="ar-SA"/>
          </w:rPr>
        </w:r>
        <w:r w:rsidR="00510A75" w:rsidRPr="00904FCB">
          <w:rPr>
            <w:webHidden/>
            <w:lang w:eastAsia="ar-SA"/>
          </w:rPr>
          <w:fldChar w:fldCharType="separate"/>
        </w:r>
        <w:r>
          <w:rPr>
            <w:noProof/>
            <w:webHidden/>
            <w:rtl/>
            <w:lang w:eastAsia="ar-SA"/>
          </w:rPr>
          <w:t>314</w:t>
        </w:r>
        <w:r w:rsidR="00510A75" w:rsidRPr="00904FCB">
          <w:rPr>
            <w:webHidden/>
            <w:lang w:eastAsia="ar-SA"/>
          </w:rPr>
          <w:fldChar w:fldCharType="end"/>
        </w:r>
      </w:hyperlink>
    </w:p>
    <w:p w:rsidR="00510A75"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12" w:history="1">
        <w:r w:rsidR="00510A75" w:rsidRPr="00AC2C1C">
          <w:rPr>
            <w:rStyle w:val="Hyperlink"/>
            <w:rFonts w:ascii="Times New Roman" w:hAnsi="Times New Roman" w:hint="cs"/>
            <w:color w:val="auto"/>
            <w:sz w:val="27"/>
            <w:szCs w:val="27"/>
            <w:u w:val="none"/>
            <w:rtl/>
            <w:lang w:bidi="ar-SA"/>
          </w:rPr>
          <w:t>دور</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الرؤيا</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والأحلام</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في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الثقافة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الإسلاميّة</w:t>
        </w:r>
      </w:hyperlink>
    </w:p>
    <w:p w:rsidR="00510A75" w:rsidRPr="00275B2F" w:rsidRDefault="00F41F33" w:rsidP="005823C3">
      <w:pPr>
        <w:tabs>
          <w:tab w:val="right" w:leader="dot" w:pos="7031"/>
        </w:tabs>
        <w:spacing w:before="40" w:line="168" w:lineRule="auto"/>
        <w:rPr>
          <w:lang w:eastAsia="ar-SA"/>
        </w:rPr>
      </w:pPr>
      <w:hyperlink w:anchor="_Toc435577213"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الشيخ</w:t>
        </w:r>
        <w:r w:rsidR="00510A75" w:rsidRPr="00275B2F">
          <w:rPr>
            <w:rtl/>
            <w:lang w:eastAsia="ar-SA"/>
          </w:rPr>
          <w:t xml:space="preserve"> </w:t>
        </w:r>
        <w:r w:rsidR="00510A75" w:rsidRPr="00AC2C1C">
          <w:rPr>
            <w:rFonts w:hint="cs"/>
            <w:rtl/>
            <w:lang w:eastAsia="ar-SA"/>
          </w:rPr>
          <w:t>حسين</w:t>
        </w:r>
        <w:r w:rsidR="00510A75" w:rsidRPr="00275B2F">
          <w:rPr>
            <w:rtl/>
            <w:lang w:eastAsia="ar-SA"/>
          </w:rPr>
          <w:t xml:space="preserve"> </w:t>
        </w:r>
        <w:r w:rsidR="00510A75" w:rsidRPr="00AC2C1C">
          <w:rPr>
            <w:rFonts w:hint="cs"/>
            <w:rtl/>
            <w:lang w:eastAsia="ar-SA"/>
          </w:rPr>
          <w:t>الخشن</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_Toc435577213 \h </w:instrText>
        </w:r>
        <w:r w:rsidR="00510A75" w:rsidRPr="00904FCB">
          <w:rPr>
            <w:webHidden/>
            <w:lang w:eastAsia="ar-SA"/>
          </w:rPr>
        </w:r>
        <w:r w:rsidR="00510A75" w:rsidRPr="00904FCB">
          <w:rPr>
            <w:webHidden/>
            <w:lang w:eastAsia="ar-SA"/>
          </w:rPr>
          <w:fldChar w:fldCharType="separate"/>
        </w:r>
        <w:r>
          <w:rPr>
            <w:noProof/>
            <w:webHidden/>
            <w:rtl/>
            <w:lang w:eastAsia="ar-SA"/>
          </w:rPr>
          <w:t>339</w:t>
        </w:r>
        <w:r w:rsidR="00510A75" w:rsidRPr="00904FCB">
          <w:rPr>
            <w:webHidden/>
            <w:lang w:eastAsia="ar-SA"/>
          </w:rPr>
          <w:fldChar w:fldCharType="end"/>
        </w:r>
      </w:hyperlink>
    </w:p>
    <w:p w:rsidR="00510A75"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14" w:history="1">
        <w:r w:rsidR="00510A75" w:rsidRPr="00AC2C1C">
          <w:rPr>
            <w:rStyle w:val="Hyperlink"/>
            <w:rFonts w:ascii="Times New Roman" w:hAnsi="Times New Roman" w:hint="cs"/>
            <w:color w:val="auto"/>
            <w:sz w:val="27"/>
            <w:szCs w:val="27"/>
            <w:u w:val="none"/>
            <w:rtl/>
            <w:lang w:bidi="ar-SA"/>
          </w:rPr>
          <w:t>مقدّمة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في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فقه</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البيئة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والمحيط</w:t>
        </w:r>
      </w:hyperlink>
    </w:p>
    <w:p w:rsidR="00510A75" w:rsidRPr="00275B2F" w:rsidRDefault="00F41F33" w:rsidP="005823C3">
      <w:pPr>
        <w:tabs>
          <w:tab w:val="right" w:leader="dot" w:pos="7031"/>
        </w:tabs>
        <w:spacing w:before="40" w:line="168" w:lineRule="auto"/>
        <w:ind w:firstLine="561"/>
        <w:rPr>
          <w:lang w:eastAsia="ar-SA"/>
        </w:rPr>
      </w:pPr>
      <w:hyperlink w:anchor="_Toc435577215"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محسن</w:t>
        </w:r>
        <w:r w:rsidR="00510A75" w:rsidRPr="00275B2F">
          <w:rPr>
            <w:rtl/>
            <w:lang w:eastAsia="ar-SA"/>
          </w:rPr>
          <w:t xml:space="preserve"> </w:t>
        </w:r>
        <w:r w:rsidR="00510A75" w:rsidRPr="00AC2C1C">
          <w:rPr>
            <w:rFonts w:hint="cs"/>
            <w:rtl/>
            <w:lang w:eastAsia="ar-SA"/>
          </w:rPr>
          <w:t>عميق</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_Toc435577215 \h </w:instrText>
        </w:r>
        <w:r w:rsidR="00510A75" w:rsidRPr="00904FCB">
          <w:rPr>
            <w:webHidden/>
            <w:lang w:eastAsia="ar-SA"/>
          </w:rPr>
        </w:r>
        <w:r w:rsidR="00510A75" w:rsidRPr="00904FCB">
          <w:rPr>
            <w:webHidden/>
            <w:lang w:eastAsia="ar-SA"/>
          </w:rPr>
          <w:fldChar w:fldCharType="separate"/>
        </w:r>
        <w:r>
          <w:rPr>
            <w:noProof/>
            <w:webHidden/>
            <w:rtl/>
            <w:lang w:eastAsia="ar-SA"/>
          </w:rPr>
          <w:t>358</w:t>
        </w:r>
        <w:r w:rsidR="00510A75" w:rsidRPr="00904FCB">
          <w:rPr>
            <w:webHidden/>
            <w:lang w:eastAsia="ar-SA"/>
          </w:rPr>
          <w:fldChar w:fldCharType="end"/>
        </w:r>
      </w:hyperlink>
    </w:p>
    <w:p w:rsidR="00275B2F"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17" w:history="1">
        <w:r w:rsidR="00510A75" w:rsidRPr="00AC2C1C">
          <w:rPr>
            <w:rStyle w:val="Hyperlink"/>
            <w:rFonts w:ascii="Times New Roman" w:hAnsi="Times New Roman" w:hint="cs"/>
            <w:color w:val="auto"/>
            <w:sz w:val="27"/>
            <w:szCs w:val="27"/>
            <w:u w:val="none"/>
            <w:rtl/>
            <w:lang w:bidi="ar-SA"/>
          </w:rPr>
          <w:t>كتاب</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تحرير</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المجلة</w:t>
        </w:r>
        <w:r w:rsidR="00510A75" w:rsidRPr="00AC2C1C">
          <w:rPr>
            <w:rStyle w:val="Hyperlink"/>
            <w:rFonts w:ascii="Times New Roman" w:hAnsi="Times New Roman"/>
            <w:color w:val="auto"/>
            <w:sz w:val="27"/>
            <w:szCs w:val="27"/>
            <w:u w:val="none"/>
            <w:rtl/>
            <w:lang w:bidi="ar-SA"/>
          </w:rPr>
          <w:t>»</w:t>
        </w:r>
      </w:hyperlink>
      <w:r w:rsidR="00275B2F" w:rsidRPr="00AC2C1C">
        <w:rPr>
          <w:rStyle w:val="Hyperlink"/>
          <w:rFonts w:ascii="Times New Roman" w:hAnsi="Times New Roman" w:hint="cs"/>
          <w:color w:val="auto"/>
          <w:sz w:val="27"/>
          <w:szCs w:val="27"/>
          <w:u w:val="none"/>
          <w:rtl/>
          <w:lang w:bidi="ar-SA"/>
        </w:rPr>
        <w:t xml:space="preserve">، </w:t>
      </w:r>
      <w:hyperlink w:anchor="_Toc435577218" w:history="1">
        <w:r w:rsidR="00275B2F" w:rsidRPr="00AC2C1C">
          <w:rPr>
            <w:rStyle w:val="Hyperlink"/>
            <w:rFonts w:ascii="Times New Roman" w:hAnsi="Times New Roman" w:hint="cs"/>
            <w:color w:val="auto"/>
            <w:sz w:val="27"/>
            <w:szCs w:val="27"/>
            <w:u w:val="none"/>
            <w:rtl/>
            <w:lang w:bidi="ar-SA"/>
          </w:rPr>
          <w:t>دوافع</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التأليف</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ومساراته</w:t>
        </w:r>
      </w:hyperlink>
    </w:p>
    <w:p w:rsidR="00510A75" w:rsidRPr="00275B2F" w:rsidRDefault="00F41F33" w:rsidP="005823C3">
      <w:pPr>
        <w:tabs>
          <w:tab w:val="right" w:leader="dot" w:pos="7031"/>
        </w:tabs>
        <w:spacing w:before="40" w:line="168" w:lineRule="auto"/>
        <w:rPr>
          <w:lang w:eastAsia="ar-SA"/>
        </w:rPr>
      </w:pPr>
      <w:hyperlink w:anchor="_Toc435577219"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الشيخ</w:t>
        </w:r>
        <w:r w:rsidR="00510A75" w:rsidRPr="00275B2F">
          <w:rPr>
            <w:rtl/>
            <w:lang w:eastAsia="ar-SA"/>
          </w:rPr>
          <w:t xml:space="preserve"> </w:t>
        </w:r>
        <w:r w:rsidR="00510A75" w:rsidRPr="00AC2C1C">
          <w:rPr>
            <w:rFonts w:hint="cs"/>
            <w:rtl/>
            <w:lang w:eastAsia="ar-SA"/>
          </w:rPr>
          <w:t>محمد</w:t>
        </w:r>
        <w:r w:rsidR="00510A75" w:rsidRPr="00275B2F">
          <w:rPr>
            <w:rtl/>
            <w:lang w:eastAsia="ar-SA"/>
          </w:rPr>
          <w:t xml:space="preserve"> </w:t>
        </w:r>
        <w:r w:rsidR="00510A75" w:rsidRPr="00AC2C1C">
          <w:rPr>
            <w:rFonts w:hint="cs"/>
            <w:rtl/>
            <w:lang w:eastAsia="ar-SA"/>
          </w:rPr>
          <w:t>رحماني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_Toc435577219 \h </w:instrText>
        </w:r>
        <w:r w:rsidR="00510A75" w:rsidRPr="00904FCB">
          <w:rPr>
            <w:webHidden/>
            <w:lang w:eastAsia="ar-SA"/>
          </w:rPr>
        </w:r>
        <w:r w:rsidR="00510A75" w:rsidRPr="00904FCB">
          <w:rPr>
            <w:webHidden/>
            <w:lang w:eastAsia="ar-SA"/>
          </w:rPr>
          <w:fldChar w:fldCharType="separate"/>
        </w:r>
        <w:r>
          <w:rPr>
            <w:noProof/>
            <w:webHidden/>
            <w:rtl/>
            <w:lang w:eastAsia="ar-SA"/>
          </w:rPr>
          <w:t>378</w:t>
        </w:r>
        <w:r w:rsidR="00510A75" w:rsidRPr="00904FCB">
          <w:rPr>
            <w:webHidden/>
            <w:lang w:eastAsia="ar-SA"/>
          </w:rPr>
          <w:fldChar w:fldCharType="end"/>
        </w:r>
      </w:hyperlink>
    </w:p>
    <w:p w:rsidR="00275B2F"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21" w:history="1">
        <w:r w:rsidR="00510A75" w:rsidRPr="00AC2C1C">
          <w:rPr>
            <w:rStyle w:val="Hyperlink"/>
            <w:rFonts w:ascii="Times New Roman" w:hAnsi="Times New Roman" w:hint="cs"/>
            <w:color w:val="auto"/>
            <w:sz w:val="27"/>
            <w:szCs w:val="27"/>
            <w:u w:val="none"/>
            <w:rtl/>
            <w:lang w:bidi="ar-SA"/>
          </w:rPr>
          <w:t>أفضليّة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الأطعمة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النباتية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في</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النظام</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الغذائي</w:t>
        </w:r>
      </w:hyperlink>
      <w:r w:rsidR="00275B2F" w:rsidRPr="00AC2C1C">
        <w:rPr>
          <w:rStyle w:val="Hyperlink"/>
          <w:rFonts w:ascii="Times New Roman" w:hAnsi="Times New Roman" w:hint="cs"/>
          <w:color w:val="auto"/>
          <w:sz w:val="27"/>
          <w:szCs w:val="27"/>
          <w:u w:val="none"/>
          <w:rtl/>
          <w:lang w:bidi="ar-SA"/>
        </w:rPr>
        <w:t xml:space="preserve">، </w:t>
      </w:r>
      <w:hyperlink w:anchor="_Toc435577222" w:history="1">
        <w:r w:rsidR="00275B2F" w:rsidRPr="00AC2C1C">
          <w:rPr>
            <w:rStyle w:val="Hyperlink"/>
            <w:rFonts w:ascii="Times New Roman" w:hAnsi="Times New Roman" w:hint="cs"/>
            <w:color w:val="auto"/>
            <w:sz w:val="27"/>
            <w:szCs w:val="27"/>
            <w:u w:val="none"/>
            <w:rtl/>
            <w:lang w:bidi="ar-SA"/>
          </w:rPr>
          <w:t>قراءة</w:t>
        </w:r>
        <w:r w:rsidR="00185F9D">
          <w:rPr>
            <w:rStyle w:val="Hyperlink"/>
            <w:rFonts w:ascii="Times New Roman" w:hAnsi="Times New Roman" w:hint="cs"/>
            <w:color w:val="auto"/>
            <w:sz w:val="27"/>
            <w:szCs w:val="27"/>
            <w:u w:val="none"/>
            <w:rtl/>
            <w:lang w:bidi="ar-SA"/>
          </w:rPr>
          <w:t>ٌ</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أخلاقية</w:t>
        </w:r>
      </w:hyperlink>
    </w:p>
    <w:p w:rsidR="00510A75" w:rsidRPr="00275B2F" w:rsidRDefault="00F41F33" w:rsidP="002E52EF">
      <w:pPr>
        <w:tabs>
          <w:tab w:val="right" w:leader="dot" w:pos="7031"/>
        </w:tabs>
        <w:spacing w:before="40" w:line="168" w:lineRule="auto"/>
        <w:rPr>
          <w:lang w:eastAsia="ar-SA"/>
        </w:rPr>
      </w:pPr>
      <w:hyperlink w:anchor="_Toc435577223" w:history="1">
        <w:r w:rsidR="002E52EF">
          <w:rPr>
            <w:rFonts w:hint="cs"/>
            <w:rtl/>
            <w:lang w:eastAsia="ar-SA"/>
          </w:rPr>
          <w:t xml:space="preserve">د. </w:t>
        </w:r>
        <w:r w:rsidR="00510A75" w:rsidRPr="00AC2C1C">
          <w:rPr>
            <w:rFonts w:hint="cs"/>
            <w:rtl/>
            <w:lang w:eastAsia="ar-SA"/>
          </w:rPr>
          <w:t>أحمد</w:t>
        </w:r>
        <w:r w:rsidR="00510A75" w:rsidRPr="00275B2F">
          <w:rPr>
            <w:rtl/>
            <w:lang w:eastAsia="ar-SA"/>
          </w:rPr>
          <w:t xml:space="preserve"> </w:t>
        </w:r>
        <w:r w:rsidR="00510A75" w:rsidRPr="00AC2C1C">
          <w:rPr>
            <w:rFonts w:hint="cs"/>
            <w:rtl/>
            <w:lang w:eastAsia="ar-SA"/>
          </w:rPr>
          <w:t>النراقي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_Toc435577223 \h </w:instrText>
        </w:r>
        <w:r w:rsidR="00510A75" w:rsidRPr="00904FCB">
          <w:rPr>
            <w:webHidden/>
            <w:lang w:eastAsia="ar-SA"/>
          </w:rPr>
        </w:r>
        <w:r w:rsidR="00510A75" w:rsidRPr="00904FCB">
          <w:rPr>
            <w:webHidden/>
            <w:lang w:eastAsia="ar-SA"/>
          </w:rPr>
          <w:fldChar w:fldCharType="separate"/>
        </w:r>
        <w:r>
          <w:rPr>
            <w:noProof/>
            <w:webHidden/>
            <w:rtl/>
            <w:lang w:eastAsia="ar-SA"/>
          </w:rPr>
          <w:t>398</w:t>
        </w:r>
        <w:r w:rsidR="00510A75" w:rsidRPr="00904FCB">
          <w:rPr>
            <w:webHidden/>
            <w:lang w:eastAsia="ar-SA"/>
          </w:rPr>
          <w:fldChar w:fldCharType="end"/>
        </w:r>
      </w:hyperlink>
    </w:p>
    <w:p w:rsidR="00275B2F" w:rsidRPr="00AC2C1C" w:rsidRDefault="00F63AA1" w:rsidP="005823C3">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25" w:history="1">
        <w:r w:rsidR="00510A75" w:rsidRPr="00AC2C1C">
          <w:rPr>
            <w:rStyle w:val="Hyperlink"/>
            <w:rFonts w:ascii="Times New Roman" w:hAnsi="Times New Roman" w:hint="cs"/>
            <w:color w:val="auto"/>
            <w:sz w:val="27"/>
            <w:szCs w:val="27"/>
            <w:u w:val="none"/>
            <w:rtl/>
            <w:lang w:bidi="ar-SA"/>
          </w:rPr>
          <w:t>فقه</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أهل</w:t>
        </w:r>
      </w:hyperlink>
      <w:r w:rsidR="00275B2F" w:rsidRPr="00AC2C1C">
        <w:rPr>
          <w:rStyle w:val="Hyperlink"/>
          <w:rFonts w:ascii="Times New Roman" w:hAnsi="Times New Roman" w:hint="cs"/>
          <w:color w:val="auto"/>
          <w:sz w:val="27"/>
          <w:szCs w:val="27"/>
          <w:u w:val="none"/>
          <w:rtl/>
          <w:lang w:bidi="ar-SA"/>
        </w:rPr>
        <w:t xml:space="preserve"> </w:t>
      </w:r>
      <w:hyperlink w:anchor="_Toc435577226" w:history="1">
        <w:r w:rsidR="00275B2F" w:rsidRPr="00AC2C1C">
          <w:rPr>
            <w:rStyle w:val="Hyperlink"/>
            <w:rFonts w:ascii="Times New Roman" w:hAnsi="Times New Roman" w:hint="cs"/>
            <w:color w:val="auto"/>
            <w:sz w:val="27"/>
            <w:szCs w:val="27"/>
            <w:u w:val="none"/>
            <w:rtl/>
            <w:lang w:bidi="ar-SA"/>
          </w:rPr>
          <w:t>البغي،</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في</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القرآن</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والسنّة</w:t>
        </w:r>
      </w:hyperlink>
    </w:p>
    <w:p w:rsidR="00510A75" w:rsidRPr="00275B2F" w:rsidRDefault="00F41F33" w:rsidP="005823C3">
      <w:pPr>
        <w:tabs>
          <w:tab w:val="right" w:leader="dot" w:pos="7031"/>
        </w:tabs>
        <w:spacing w:before="40" w:line="168" w:lineRule="auto"/>
        <w:rPr>
          <w:lang w:eastAsia="ar-SA"/>
        </w:rPr>
      </w:pPr>
      <w:hyperlink w:anchor="_Toc435577227" w:history="1">
        <w:r w:rsidR="00510A75" w:rsidRPr="00AC2C1C">
          <w:rPr>
            <w:rFonts w:hint="cs"/>
            <w:rtl/>
            <w:lang w:eastAsia="ar-SA"/>
          </w:rPr>
          <w:t>د</w:t>
        </w:r>
        <w:r w:rsidR="00510A75" w:rsidRPr="00275B2F">
          <w:rPr>
            <w:rtl/>
            <w:lang w:eastAsia="ar-SA"/>
          </w:rPr>
          <w:t xml:space="preserve">. </w:t>
        </w:r>
        <w:r w:rsidR="00510A75" w:rsidRPr="00AC2C1C">
          <w:rPr>
            <w:rFonts w:hint="cs"/>
            <w:rtl/>
            <w:lang w:eastAsia="ar-SA"/>
          </w:rPr>
          <w:t>مهرناز</w:t>
        </w:r>
        <w:r w:rsidR="00510A75" w:rsidRPr="00275B2F">
          <w:rPr>
            <w:rtl/>
            <w:lang w:eastAsia="ar-SA"/>
          </w:rPr>
          <w:t xml:space="preserve"> </w:t>
        </w:r>
        <w:r w:rsidR="00510A75" w:rsidRPr="008162D0">
          <w:rPr>
            <w:rFonts w:ascii="Mosawi" w:eastAsiaTheme="minorHAnsi" w:hAnsi="Mosawi" w:cs="Abz-3 (Yagut)"/>
            <w:sz w:val="24"/>
            <w:szCs w:val="24"/>
            <w:rtl/>
          </w:rPr>
          <w:t>گلي</w:t>
        </w:r>
        <w:r w:rsidR="00510A75" w:rsidRPr="00275B2F">
          <w:rPr>
            <w:webHidden/>
            <w:lang w:eastAsia="ar-SA"/>
          </w:rPr>
          <w:tab/>
        </w:r>
        <w:r w:rsidR="00510A75" w:rsidRPr="00275B2F">
          <w:rPr>
            <w:webHidden/>
            <w:lang w:eastAsia="ar-SA"/>
          </w:rPr>
          <w:fldChar w:fldCharType="begin"/>
        </w:r>
        <w:r w:rsidR="00510A75" w:rsidRPr="00275B2F">
          <w:rPr>
            <w:webHidden/>
            <w:lang w:eastAsia="ar-SA"/>
          </w:rPr>
          <w:instrText xml:space="preserve"> PAGEREF _Toc435577227 \h </w:instrText>
        </w:r>
        <w:r w:rsidR="00510A75" w:rsidRPr="00275B2F">
          <w:rPr>
            <w:webHidden/>
            <w:lang w:eastAsia="ar-SA"/>
          </w:rPr>
        </w:r>
        <w:r w:rsidR="00510A75" w:rsidRPr="00275B2F">
          <w:rPr>
            <w:webHidden/>
            <w:lang w:eastAsia="ar-SA"/>
          </w:rPr>
          <w:fldChar w:fldCharType="separate"/>
        </w:r>
        <w:r>
          <w:rPr>
            <w:noProof/>
            <w:webHidden/>
            <w:rtl/>
            <w:lang w:eastAsia="ar-SA"/>
          </w:rPr>
          <w:t>409</w:t>
        </w:r>
        <w:r w:rsidR="00510A75" w:rsidRPr="00275B2F">
          <w:rPr>
            <w:webHidden/>
            <w:lang w:eastAsia="ar-SA"/>
          </w:rPr>
          <w:fldChar w:fldCharType="end"/>
        </w:r>
      </w:hyperlink>
    </w:p>
    <w:p w:rsidR="00D67215" w:rsidRPr="006333E0" w:rsidRDefault="00D67215" w:rsidP="006333E0">
      <w:pPr>
        <w:pStyle w:val="13"/>
        <w:spacing w:before="120"/>
        <w:rPr>
          <w:sz w:val="6"/>
          <w:szCs w:val="10"/>
          <w:rtl/>
        </w:rPr>
      </w:pPr>
    </w:p>
    <w:p w:rsidR="00D67215" w:rsidRDefault="00D67215" w:rsidP="005823C3">
      <w:pPr>
        <w:pStyle w:val="13"/>
        <w:rPr>
          <w:rStyle w:val="Hyperlink"/>
          <w:color w:val="auto"/>
          <w:sz w:val="27"/>
          <w:szCs w:val="27"/>
          <w:u w:val="none"/>
          <w:rtl/>
        </w:rPr>
      </w:pPr>
      <w:r w:rsidRPr="00904FCB">
        <w:sym w:font="Wingdings" w:char="F072"/>
      </w:r>
      <w:r>
        <w:rPr>
          <w:rFonts w:hint="cs"/>
          <w:rtl/>
        </w:rPr>
        <w:t xml:space="preserve"> </w:t>
      </w:r>
      <w:r w:rsidRPr="00B76E12">
        <w:rPr>
          <w:rFonts w:ascii="Times" w:hAnsi="Times" w:cs="PT Bold Heading" w:hint="cs"/>
          <w:bCs/>
          <w:noProof w:val="0"/>
          <w:sz w:val="28"/>
          <w:szCs w:val="27"/>
          <w:rtl/>
          <w:lang w:eastAsia="en-US" w:bidi="ar-SA"/>
        </w:rPr>
        <w:t>قراءات</w:t>
      </w:r>
    </w:p>
    <w:p w:rsidR="00275B2F" w:rsidRPr="00AC2C1C" w:rsidRDefault="00F63AA1" w:rsidP="009633B6">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28" w:history="1">
        <w:r w:rsidR="00510A75" w:rsidRPr="00AC2C1C">
          <w:rPr>
            <w:rStyle w:val="Hyperlink"/>
            <w:rFonts w:ascii="Times New Roman" w:hAnsi="Times New Roman" w:hint="cs"/>
            <w:color w:val="auto"/>
            <w:sz w:val="27"/>
            <w:szCs w:val="27"/>
            <w:u w:val="none"/>
            <w:rtl/>
            <w:lang w:bidi="ar-SA"/>
          </w:rPr>
          <w:t>طهارة</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أهل</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الكتاب</w:t>
        </w:r>
      </w:hyperlink>
      <w:r w:rsidR="00275B2F" w:rsidRPr="00AC2C1C">
        <w:rPr>
          <w:rStyle w:val="Hyperlink"/>
          <w:rFonts w:ascii="Times New Roman" w:hAnsi="Times New Roman" w:hint="cs"/>
          <w:color w:val="auto"/>
          <w:sz w:val="27"/>
          <w:szCs w:val="27"/>
          <w:u w:val="none"/>
          <w:rtl/>
          <w:lang w:bidi="ar-SA"/>
        </w:rPr>
        <w:t xml:space="preserve">، </w:t>
      </w:r>
      <w:hyperlink w:anchor="_Toc435577229" w:history="1">
        <w:r w:rsidR="00275B2F" w:rsidRPr="00AC2C1C">
          <w:rPr>
            <w:rStyle w:val="Hyperlink"/>
            <w:rFonts w:ascii="Times New Roman" w:hAnsi="Times New Roman" w:hint="cs"/>
            <w:color w:val="auto"/>
            <w:sz w:val="27"/>
            <w:szCs w:val="27"/>
            <w:u w:val="none"/>
            <w:rtl/>
            <w:lang w:bidi="ar-SA"/>
          </w:rPr>
          <w:t>قراءة</w:t>
        </w:r>
        <w:r w:rsidR="00185F9D">
          <w:rPr>
            <w:rStyle w:val="Hyperlink"/>
            <w:rFonts w:ascii="Times New Roman" w:hAnsi="Times New Roman" w:hint="cs"/>
            <w:color w:val="auto"/>
            <w:sz w:val="27"/>
            <w:szCs w:val="27"/>
            <w:u w:val="none"/>
            <w:rtl/>
            <w:lang w:bidi="ar-SA"/>
          </w:rPr>
          <w:t>ٌ</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وتلخيص</w:t>
        </w:r>
      </w:hyperlink>
    </w:p>
    <w:p w:rsidR="00510A75" w:rsidRPr="00275B2F" w:rsidRDefault="00F41F33" w:rsidP="005823C3">
      <w:pPr>
        <w:tabs>
          <w:tab w:val="right" w:leader="dot" w:pos="7031"/>
        </w:tabs>
        <w:spacing w:before="40" w:line="168" w:lineRule="auto"/>
        <w:rPr>
          <w:lang w:eastAsia="ar-SA"/>
        </w:rPr>
      </w:pPr>
      <w:hyperlink w:anchor="_Toc435577230" w:history="1">
        <w:r w:rsidR="00510A75" w:rsidRPr="00AC2C1C">
          <w:rPr>
            <w:rFonts w:hint="cs"/>
            <w:rtl/>
            <w:lang w:eastAsia="ar-SA"/>
          </w:rPr>
          <w:t>أ</w:t>
        </w:r>
        <w:r w:rsidR="00510A75" w:rsidRPr="00275B2F">
          <w:rPr>
            <w:rtl/>
            <w:lang w:eastAsia="ar-SA"/>
          </w:rPr>
          <w:t xml:space="preserve">. </w:t>
        </w:r>
        <w:r w:rsidR="00510A75" w:rsidRPr="00AC2C1C">
          <w:rPr>
            <w:rFonts w:hint="cs"/>
            <w:rtl/>
            <w:lang w:eastAsia="ar-SA"/>
          </w:rPr>
          <w:t>عماد</w:t>
        </w:r>
        <w:r w:rsidR="00510A75" w:rsidRPr="00275B2F">
          <w:rPr>
            <w:rtl/>
            <w:lang w:eastAsia="ar-SA"/>
          </w:rPr>
          <w:t xml:space="preserve"> </w:t>
        </w:r>
        <w:r w:rsidR="00510A75" w:rsidRPr="00AC2C1C">
          <w:rPr>
            <w:rFonts w:hint="cs"/>
            <w:rtl/>
            <w:lang w:eastAsia="ar-SA"/>
          </w:rPr>
          <w:t>الهلالي</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_Toc435577230 \h </w:instrText>
        </w:r>
        <w:r w:rsidR="00510A75" w:rsidRPr="00904FCB">
          <w:rPr>
            <w:webHidden/>
            <w:lang w:eastAsia="ar-SA"/>
          </w:rPr>
        </w:r>
        <w:r w:rsidR="00510A75" w:rsidRPr="00904FCB">
          <w:rPr>
            <w:webHidden/>
            <w:lang w:eastAsia="ar-SA"/>
          </w:rPr>
          <w:fldChar w:fldCharType="separate"/>
        </w:r>
        <w:r>
          <w:rPr>
            <w:noProof/>
            <w:webHidden/>
            <w:rtl/>
            <w:lang w:eastAsia="ar-SA"/>
          </w:rPr>
          <w:t>422</w:t>
        </w:r>
        <w:r w:rsidR="00510A75" w:rsidRPr="00904FCB">
          <w:rPr>
            <w:webHidden/>
            <w:lang w:eastAsia="ar-SA"/>
          </w:rPr>
          <w:fldChar w:fldCharType="end"/>
        </w:r>
      </w:hyperlink>
    </w:p>
    <w:p w:rsidR="00510A75" w:rsidRPr="00AC2C1C" w:rsidRDefault="00F63AA1" w:rsidP="006333E0">
      <w:pPr>
        <w:pStyle w:val="13"/>
        <w:rPr>
          <w:rStyle w:val="Hyperlink"/>
          <w:rFonts w:ascii="Times New Roman" w:hAnsi="Times New Roman"/>
          <w:color w:val="auto"/>
          <w:sz w:val="27"/>
          <w:szCs w:val="27"/>
          <w:u w:val="none"/>
          <w:lang w:bidi="ar-SA"/>
        </w:rPr>
      </w:pPr>
      <w:r w:rsidRPr="00AC2C1C">
        <w:rPr>
          <w:rStyle w:val="Hyperlink"/>
          <w:rFonts w:ascii="Times New Roman" w:hAnsi="Times New Roman"/>
          <w:color w:val="auto"/>
          <w:sz w:val="27"/>
          <w:szCs w:val="27"/>
          <w:u w:val="none"/>
          <w:rtl/>
          <w:lang w:bidi="ar-SA"/>
        </w:rPr>
        <w:sym w:font="Webdings" w:char="F033"/>
      </w:r>
      <w:hyperlink w:anchor="_Toc435577231" w:history="1">
        <w:r w:rsidR="006333E0" w:rsidRPr="0085417A">
          <w:rPr>
            <w:rStyle w:val="Hyperlink"/>
            <w:rFonts w:ascii="Times New Roman" w:hAnsi="Times New Roman" w:cs="Ya-Ali" w:hint="cs"/>
            <w:color w:val="auto"/>
            <w:sz w:val="27"/>
            <w:szCs w:val="27"/>
            <w:u w:val="none"/>
            <w:rtl/>
            <w:lang w:bidi="ar-SA"/>
          </w:rPr>
          <w:t>مستمسك</w:t>
        </w:r>
        <w:r w:rsidR="00510A75" w:rsidRPr="00AC2C1C">
          <w:rPr>
            <w:rStyle w:val="Hyperlink"/>
            <w:rFonts w:ascii="Times New Roman" w:hAnsi="Times New Roman"/>
            <w:color w:val="auto"/>
            <w:sz w:val="27"/>
            <w:szCs w:val="27"/>
            <w:u w:val="none"/>
            <w:rtl/>
            <w:lang w:bidi="ar-SA"/>
          </w:rPr>
          <w:t xml:space="preserve"> </w:t>
        </w:r>
        <w:r w:rsidR="00D67215">
          <w:rPr>
            <w:rStyle w:val="Hyperlink"/>
            <w:rFonts w:ascii="Times New Roman" w:hAnsi="Times New Roman" w:hint="cs"/>
            <w:color w:val="auto"/>
            <w:sz w:val="27"/>
            <w:szCs w:val="27"/>
            <w:u w:val="none"/>
            <w:rtl/>
            <w:lang w:bidi="ar-SA"/>
          </w:rPr>
          <w:t>ا</w:t>
        </w:r>
        <w:r w:rsidR="00510A75" w:rsidRPr="00AC2C1C">
          <w:rPr>
            <w:rStyle w:val="Hyperlink"/>
            <w:rFonts w:ascii="Times New Roman" w:hAnsi="Times New Roman" w:hint="cs"/>
            <w:color w:val="auto"/>
            <w:sz w:val="27"/>
            <w:szCs w:val="27"/>
            <w:u w:val="none"/>
            <w:rtl/>
            <w:lang w:bidi="ar-SA"/>
          </w:rPr>
          <w:t>لسيد</w:t>
        </w:r>
        <w:r w:rsidR="00510A75" w:rsidRPr="00AC2C1C">
          <w:rPr>
            <w:rStyle w:val="Hyperlink"/>
            <w:rFonts w:ascii="Times New Roman" w:hAnsi="Times New Roman"/>
            <w:color w:val="auto"/>
            <w:sz w:val="27"/>
            <w:szCs w:val="27"/>
            <w:u w:val="none"/>
            <w:rtl/>
            <w:lang w:bidi="ar-SA"/>
          </w:rPr>
          <w:t xml:space="preserve"> </w:t>
        </w:r>
        <w:r w:rsidR="00510A75" w:rsidRPr="00AC2C1C">
          <w:rPr>
            <w:rStyle w:val="Hyperlink"/>
            <w:rFonts w:ascii="Times New Roman" w:hAnsi="Times New Roman" w:hint="cs"/>
            <w:color w:val="auto"/>
            <w:sz w:val="27"/>
            <w:szCs w:val="27"/>
            <w:u w:val="none"/>
            <w:rtl/>
            <w:lang w:bidi="ar-SA"/>
          </w:rPr>
          <w:t>الحكيم</w:t>
        </w:r>
      </w:hyperlink>
      <w:r w:rsidR="00275B2F" w:rsidRPr="00AC2C1C">
        <w:rPr>
          <w:rStyle w:val="Hyperlink"/>
          <w:rFonts w:ascii="Times New Roman" w:hAnsi="Times New Roman" w:hint="cs"/>
          <w:color w:val="auto"/>
          <w:sz w:val="27"/>
          <w:szCs w:val="27"/>
          <w:u w:val="none"/>
          <w:rtl/>
          <w:lang w:bidi="ar-SA"/>
        </w:rPr>
        <w:t xml:space="preserve">، </w:t>
      </w:r>
      <w:hyperlink w:anchor="_Toc435577232" w:history="1">
        <w:r w:rsidR="00275B2F" w:rsidRPr="00AC2C1C">
          <w:rPr>
            <w:rStyle w:val="Hyperlink"/>
            <w:rFonts w:ascii="Times New Roman" w:hAnsi="Times New Roman" w:hint="cs"/>
            <w:color w:val="auto"/>
            <w:sz w:val="27"/>
            <w:szCs w:val="27"/>
            <w:u w:val="none"/>
            <w:rtl/>
            <w:lang w:bidi="ar-SA"/>
          </w:rPr>
          <w:t>تقرير</w:t>
        </w:r>
        <w:r w:rsidR="00185F9D">
          <w:rPr>
            <w:rStyle w:val="Hyperlink"/>
            <w:rFonts w:ascii="Times New Roman" w:hAnsi="Times New Roman" w:hint="cs"/>
            <w:color w:val="auto"/>
            <w:sz w:val="27"/>
            <w:szCs w:val="27"/>
            <w:u w:val="none"/>
            <w:rtl/>
            <w:lang w:bidi="ar-SA"/>
          </w:rPr>
          <w:t>ٌ</w:t>
        </w:r>
        <w:r w:rsidR="00275B2F" w:rsidRPr="00AC2C1C">
          <w:rPr>
            <w:rStyle w:val="Hyperlink"/>
            <w:rFonts w:ascii="Times New Roman" w:hAnsi="Times New Roman"/>
            <w:color w:val="auto"/>
            <w:sz w:val="27"/>
            <w:szCs w:val="27"/>
            <w:u w:val="none"/>
            <w:rtl/>
            <w:lang w:bidi="ar-SA"/>
          </w:rPr>
          <w:t xml:space="preserve"> </w:t>
        </w:r>
        <w:r w:rsidR="00905073">
          <w:rPr>
            <w:rStyle w:val="Hyperlink"/>
            <w:rFonts w:ascii="Times New Roman" w:hAnsi="Times New Roman" w:hint="cs"/>
            <w:color w:val="auto"/>
            <w:sz w:val="27"/>
            <w:szCs w:val="27"/>
            <w:u w:val="none"/>
            <w:rtl/>
            <w:lang w:bidi="ar-SA"/>
          </w:rPr>
          <w:t xml:space="preserve">عن </w:t>
        </w:r>
        <w:r w:rsidR="00275B2F" w:rsidRPr="00AC2C1C">
          <w:rPr>
            <w:rStyle w:val="Hyperlink"/>
            <w:rFonts w:ascii="Times New Roman" w:hAnsi="Times New Roman" w:hint="cs"/>
            <w:color w:val="auto"/>
            <w:sz w:val="27"/>
            <w:szCs w:val="27"/>
            <w:u w:val="none"/>
            <w:rtl/>
            <w:lang w:bidi="ar-SA"/>
          </w:rPr>
          <w:t>ظروف</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طباعته</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والاعتراضات</w:t>
        </w:r>
        <w:r w:rsidR="00275B2F" w:rsidRPr="00AC2C1C">
          <w:rPr>
            <w:rStyle w:val="Hyperlink"/>
            <w:rFonts w:ascii="Times New Roman" w:hAnsi="Times New Roman"/>
            <w:color w:val="auto"/>
            <w:sz w:val="27"/>
            <w:szCs w:val="27"/>
            <w:u w:val="none"/>
            <w:rtl/>
            <w:lang w:bidi="ar-SA"/>
          </w:rPr>
          <w:t xml:space="preserve"> </w:t>
        </w:r>
        <w:r w:rsidR="00275B2F" w:rsidRPr="00AC2C1C">
          <w:rPr>
            <w:rStyle w:val="Hyperlink"/>
            <w:rFonts w:ascii="Times New Roman" w:hAnsi="Times New Roman" w:hint="cs"/>
            <w:color w:val="auto"/>
            <w:sz w:val="27"/>
            <w:szCs w:val="27"/>
            <w:u w:val="none"/>
            <w:rtl/>
            <w:lang w:bidi="ar-SA"/>
          </w:rPr>
          <w:t>عليه</w:t>
        </w:r>
      </w:hyperlink>
    </w:p>
    <w:p w:rsidR="00510A75" w:rsidRPr="00275B2F" w:rsidRDefault="00F41F33" w:rsidP="005823C3">
      <w:pPr>
        <w:tabs>
          <w:tab w:val="right" w:leader="dot" w:pos="7031"/>
        </w:tabs>
        <w:spacing w:before="40" w:line="168" w:lineRule="auto"/>
        <w:rPr>
          <w:lang w:eastAsia="ar-SA"/>
        </w:rPr>
      </w:pPr>
      <w:hyperlink w:anchor="_Toc435577233" w:history="1">
        <w:r w:rsidR="00510A75" w:rsidRPr="00AC2C1C">
          <w:rPr>
            <w:rFonts w:hint="cs"/>
            <w:rtl/>
            <w:lang w:eastAsia="ar-SA"/>
          </w:rPr>
          <w:t>الشيخ</w:t>
        </w:r>
        <w:r w:rsidR="00510A75" w:rsidRPr="00275B2F">
          <w:rPr>
            <w:rtl/>
            <w:lang w:eastAsia="ar-SA"/>
          </w:rPr>
          <w:t xml:space="preserve"> </w:t>
        </w:r>
        <w:r w:rsidR="00510A75" w:rsidRPr="00AC2C1C">
          <w:rPr>
            <w:rFonts w:hint="cs"/>
            <w:rtl/>
            <w:lang w:eastAsia="ar-SA"/>
          </w:rPr>
          <w:t>رسول</w:t>
        </w:r>
        <w:r w:rsidR="00510A75" w:rsidRPr="00275B2F">
          <w:rPr>
            <w:rtl/>
            <w:lang w:eastAsia="ar-SA"/>
          </w:rPr>
          <w:t xml:space="preserve"> </w:t>
        </w:r>
        <w:r w:rsidR="00510A75" w:rsidRPr="00AC2C1C">
          <w:rPr>
            <w:rFonts w:hint="cs"/>
            <w:rtl/>
            <w:lang w:eastAsia="ar-SA"/>
          </w:rPr>
          <w:t>جعفريان</w:t>
        </w:r>
        <w:r w:rsidR="00510A75" w:rsidRPr="00904FCB">
          <w:rPr>
            <w:webHidden/>
            <w:lang w:eastAsia="ar-SA"/>
          </w:rPr>
          <w:tab/>
        </w:r>
        <w:r w:rsidR="00510A75" w:rsidRPr="00904FCB">
          <w:rPr>
            <w:webHidden/>
            <w:lang w:eastAsia="ar-SA"/>
          </w:rPr>
          <w:fldChar w:fldCharType="begin"/>
        </w:r>
        <w:r w:rsidR="00510A75" w:rsidRPr="00904FCB">
          <w:rPr>
            <w:webHidden/>
            <w:lang w:eastAsia="ar-SA"/>
          </w:rPr>
          <w:instrText xml:space="preserve"> PAGEREF _Toc435577233 \h </w:instrText>
        </w:r>
        <w:r w:rsidR="00510A75" w:rsidRPr="00904FCB">
          <w:rPr>
            <w:webHidden/>
            <w:lang w:eastAsia="ar-SA"/>
          </w:rPr>
        </w:r>
        <w:r w:rsidR="00510A75" w:rsidRPr="00904FCB">
          <w:rPr>
            <w:webHidden/>
            <w:lang w:eastAsia="ar-SA"/>
          </w:rPr>
          <w:fldChar w:fldCharType="separate"/>
        </w:r>
        <w:r>
          <w:rPr>
            <w:noProof/>
            <w:webHidden/>
            <w:rtl/>
            <w:lang w:eastAsia="ar-SA"/>
          </w:rPr>
          <w:t>453</w:t>
        </w:r>
        <w:r w:rsidR="00510A75" w:rsidRPr="00904FCB">
          <w:rPr>
            <w:webHidden/>
            <w:lang w:eastAsia="ar-SA"/>
          </w:rPr>
          <w:fldChar w:fldCharType="end"/>
        </w:r>
      </w:hyperlink>
    </w:p>
    <w:p w:rsidR="004036C5" w:rsidRPr="00904FCB" w:rsidRDefault="00673C12" w:rsidP="00510A75">
      <w:pPr>
        <w:rPr>
          <w:rtl/>
        </w:rPr>
        <w:sectPr w:rsidR="004036C5" w:rsidRPr="00904FCB" w:rsidSect="00286E74">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904FCB">
        <w:rPr>
          <w:rtl/>
        </w:rPr>
        <w:fldChar w:fldCharType="end"/>
      </w:r>
    </w:p>
    <w:p w:rsidR="00DB0733" w:rsidRPr="00BC1A2F" w:rsidRDefault="00DB0733" w:rsidP="00B66617">
      <w:pPr>
        <w:pStyle w:val="10"/>
        <w:spacing w:line="216" w:lineRule="auto"/>
        <w:jc w:val="both"/>
        <w:rPr>
          <w:sz w:val="10"/>
          <w:szCs w:val="10"/>
          <w:rtl/>
        </w:rPr>
        <w:sectPr w:rsidR="00DB0733" w:rsidRPr="00BC1A2F"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 w:name="_Toc295112190"/>
      <w:bookmarkStart w:id="4" w:name="_Toc311796812"/>
    </w:p>
    <w:bookmarkEnd w:id="3"/>
    <w:bookmarkEnd w:id="4"/>
    <w:p w:rsidR="005173FB" w:rsidRPr="00904FCB" w:rsidRDefault="005173FB" w:rsidP="005173FB">
      <w:pPr>
        <w:rPr>
          <w:rtl/>
        </w:rPr>
      </w:pPr>
    </w:p>
    <w:p w:rsidR="005173FB" w:rsidRPr="00904FCB" w:rsidRDefault="005173FB" w:rsidP="005173FB">
      <w:pPr>
        <w:rPr>
          <w:rtl/>
        </w:rPr>
      </w:pPr>
    </w:p>
    <w:p w:rsidR="00A31A09" w:rsidRPr="00904FCB" w:rsidRDefault="005D65E9" w:rsidP="0059690C">
      <w:pPr>
        <w:pStyle w:val="10"/>
        <w:spacing w:line="240" w:lineRule="auto"/>
        <w:rPr>
          <w:rtl/>
        </w:rPr>
      </w:pPr>
      <w:bookmarkStart w:id="5" w:name="_Toc435577167"/>
      <w:r w:rsidRPr="00904FCB">
        <w:rPr>
          <w:rFonts w:hint="cs"/>
          <w:rtl/>
        </w:rPr>
        <w:t xml:space="preserve">خواطر حول </w:t>
      </w:r>
      <w:r w:rsidRPr="00904FCB">
        <w:rPr>
          <w:rtl/>
        </w:rPr>
        <w:t>الثابت والمتغي</w:t>
      </w:r>
      <w:r w:rsidRPr="00904FCB">
        <w:rPr>
          <w:rFonts w:hint="cs"/>
          <w:rtl/>
        </w:rPr>
        <w:t>ِّ</w:t>
      </w:r>
      <w:r w:rsidRPr="00904FCB">
        <w:rPr>
          <w:rtl/>
        </w:rPr>
        <w:t>ر في الفقه ال</w:t>
      </w:r>
      <w:r w:rsidRPr="00904FCB">
        <w:rPr>
          <w:rFonts w:hint="cs"/>
          <w:rtl/>
        </w:rPr>
        <w:t>إ</w:t>
      </w:r>
      <w:r w:rsidRPr="00904FCB">
        <w:rPr>
          <w:rtl/>
        </w:rPr>
        <w:t>سلامي</w:t>
      </w:r>
      <w:bookmarkEnd w:id="5"/>
    </w:p>
    <w:p w:rsidR="00A31A09" w:rsidRPr="00904FCB" w:rsidRDefault="005D65E9" w:rsidP="00B02093">
      <w:pPr>
        <w:pStyle w:val="20"/>
        <w:spacing w:line="240" w:lineRule="auto"/>
        <w:rPr>
          <w:rFonts w:cs="Ya-Ali"/>
          <w:color w:val="auto"/>
          <w:sz w:val="30"/>
          <w:szCs w:val="30"/>
          <w:rtl/>
        </w:rPr>
      </w:pPr>
      <w:bookmarkStart w:id="6" w:name="_Toc435577168"/>
      <w:r w:rsidRPr="00904FCB">
        <w:rPr>
          <w:rFonts w:cs="Ya-Ali" w:hint="cs"/>
          <w:color w:val="auto"/>
          <w:sz w:val="30"/>
          <w:szCs w:val="30"/>
          <w:rtl/>
        </w:rPr>
        <w:t>ـ الحلقة الأولى ـ</w:t>
      </w:r>
      <w:bookmarkEnd w:id="6"/>
    </w:p>
    <w:p w:rsidR="00344B85" w:rsidRPr="00904FCB" w:rsidRDefault="00344B85" w:rsidP="00117AF3">
      <w:pPr>
        <w:spacing w:line="340" w:lineRule="exact"/>
        <w:rPr>
          <w:rtl/>
        </w:rPr>
      </w:pPr>
    </w:p>
    <w:p w:rsidR="00344B85" w:rsidRPr="00904FCB" w:rsidRDefault="00142B32" w:rsidP="00344B85">
      <w:pPr>
        <w:pStyle w:val="Author"/>
        <w:rPr>
          <w:rtl/>
        </w:rPr>
      </w:pPr>
      <w:bookmarkStart w:id="7" w:name="_Toc435577169"/>
      <w:r w:rsidRPr="00904FCB">
        <w:rPr>
          <w:rFonts w:hint="cs"/>
          <w:rtl/>
        </w:rPr>
        <w:t>حيدر حب</w:t>
      </w:r>
      <w:r w:rsidR="00557C97" w:rsidRPr="00904FCB">
        <w:rPr>
          <w:rFonts w:hint="cs"/>
          <w:rtl/>
        </w:rPr>
        <w:t>ّ</w:t>
      </w:r>
      <w:r w:rsidRPr="00904FCB">
        <w:rPr>
          <w:rFonts w:hint="cs"/>
          <w:rtl/>
        </w:rPr>
        <w:t xml:space="preserve"> الله</w:t>
      </w:r>
      <w:r w:rsidR="005D65E9" w:rsidRPr="00904FCB">
        <w:rPr>
          <w:rFonts w:cs="Taher" w:hint="cs"/>
          <w:vertAlign w:val="superscript"/>
          <w:rtl/>
        </w:rPr>
        <w:t>(</w:t>
      </w:r>
      <w:r w:rsidR="005D65E9" w:rsidRPr="00904FCB">
        <w:rPr>
          <w:rFonts w:cs="Taher" w:hint="cs"/>
          <w:vertAlign w:val="superscript"/>
          <w:rtl/>
        </w:rPr>
        <w:footnoteReference w:customMarkFollows="1" w:id="1"/>
        <w:t>*)</w:t>
      </w:r>
      <w:bookmarkEnd w:id="7"/>
    </w:p>
    <w:p w:rsidR="00A31A09" w:rsidRPr="00904FCB" w:rsidRDefault="00A31A09" w:rsidP="00990F7C">
      <w:pPr>
        <w:spacing w:line="400" w:lineRule="exact"/>
        <w:ind w:firstLine="561"/>
        <w:rPr>
          <w:rtl/>
        </w:rPr>
      </w:pPr>
    </w:p>
    <w:p w:rsidR="005D65E9" w:rsidRPr="00904FCB" w:rsidRDefault="005D65E9" w:rsidP="007A21AA">
      <w:pPr>
        <w:pStyle w:val="31"/>
        <w:spacing w:line="400" w:lineRule="exact"/>
        <w:rPr>
          <w:b/>
          <w:bCs w:val="0"/>
          <w:color w:val="auto"/>
          <w:rtl/>
        </w:rPr>
      </w:pPr>
      <w:r w:rsidRPr="00904FCB">
        <w:rPr>
          <w:color w:val="auto"/>
          <w:rtl/>
        </w:rPr>
        <w:t>الثابت والمتغيّ</w:t>
      </w:r>
      <w:r w:rsidRPr="00904FCB">
        <w:rPr>
          <w:rFonts w:hint="cs"/>
          <w:color w:val="auto"/>
          <w:rtl/>
        </w:rPr>
        <w:t>ِ</w:t>
      </w:r>
      <w:r w:rsidRPr="00904FCB">
        <w:rPr>
          <w:color w:val="auto"/>
          <w:rtl/>
        </w:rPr>
        <w:t>ر من موضوع عام</w:t>
      </w:r>
      <w:r w:rsidRPr="00904FCB">
        <w:rPr>
          <w:rFonts w:hint="cs"/>
          <w:color w:val="auto"/>
          <w:rtl/>
        </w:rPr>
        <w:t>ّ</w:t>
      </w:r>
      <w:r w:rsidRPr="00904FCB">
        <w:rPr>
          <w:color w:val="auto"/>
          <w:rtl/>
        </w:rPr>
        <w:t xml:space="preserve"> إلى مفصل من مفاصل الدرس الاجتهادي</w:t>
      </w:r>
    </w:p>
    <w:p w:rsidR="005D65E9" w:rsidRPr="00904FCB" w:rsidRDefault="005D65E9" w:rsidP="00990F7C">
      <w:pPr>
        <w:spacing w:line="420" w:lineRule="exact"/>
        <w:ind w:firstLine="561"/>
        <w:rPr>
          <w:sz w:val="27"/>
          <w:rtl/>
        </w:rPr>
      </w:pPr>
      <w:r w:rsidRPr="00904FCB">
        <w:rPr>
          <w:rFonts w:hint="cs"/>
          <w:sz w:val="27"/>
          <w:rtl/>
        </w:rPr>
        <w:t>شغل موضوع الثابت والمتغيِّر أذهان علماء المسلمين منذ فجر النهضة الإسلاميّة الحديثة. وقد طُرحت في هذا المجال نظريّات وطروحات كثيرة، وبحوث ونقاشات عدّة. لكنّ المؤسف ـ وبعد مرور حوالي القرن ـ أنّنا لا نجد لهذا البحث حضوراً في علم أصول الفقه حتّى هذه اللحظة، مع كونه أصوليّاً بامتياز؛ فإنّ علم الأصول هو المعنيّ بالقضايا البنويّة التحتيّة التي تقوم عليها الشريعة، ومن الواضح أنّ الثابت والمتغيِّر من أهمّ الموضوعات المعاصرة التي أدلى جملةٌ من العلماء برأيهم فيها، من دون أن يتحوَّل هذا البحث إلى جزءٍ من البحوث الأصوليّة، أو أن يبحث الأعلام في بحوث الخارج التخصُّصيّة فيه.</w:t>
      </w:r>
    </w:p>
    <w:p w:rsidR="005D65E9" w:rsidRPr="00904FCB" w:rsidRDefault="005D65E9" w:rsidP="00990F7C">
      <w:pPr>
        <w:spacing w:line="420" w:lineRule="exact"/>
        <w:ind w:firstLine="561"/>
        <w:rPr>
          <w:sz w:val="27"/>
          <w:rtl/>
        </w:rPr>
      </w:pPr>
      <w:r w:rsidRPr="00904FCB">
        <w:rPr>
          <w:rFonts w:hint="cs"/>
          <w:sz w:val="27"/>
          <w:rtl/>
        </w:rPr>
        <w:t xml:space="preserve">ومن هنا أدعو بجدٍّ إلى الاهتمام به، على غرار الاهتمام الذي يوليه الأصوليّون لمباحث الإطلاق والتقييد؛ فهو بحثٌ لا يقلّ أهمّيّةً وخطورة وعمقاً عن هذه الأبحاث، وليس بحثاً ثقافيّاً </w:t>
      </w:r>
      <w:r w:rsidR="00D45852" w:rsidRPr="00904FCB">
        <w:rPr>
          <w:rFonts w:hint="cs"/>
          <w:sz w:val="27"/>
          <w:rtl/>
        </w:rPr>
        <w:t xml:space="preserve">عاماً </w:t>
      </w:r>
      <w:r w:rsidRPr="00904FCB">
        <w:rPr>
          <w:rFonts w:hint="cs"/>
          <w:sz w:val="27"/>
          <w:rtl/>
        </w:rPr>
        <w:t xml:space="preserve">يمكن الوصول إلى نتيجةٍ حاسمة فيه من خلال محاضرةٍ أو ندوة صغيرة أو مقالة عابرة يكتبها باحثٌ أو مثقّف أو عالم؛ فقد شغل هذا البحث كبار العلماء، كالصدر والطباطبائي وشمس الدين وغيرهم أيضاً. من هنا نتمنّى الاهتمام به؛ لنقدِّم أجوبةً متطوّرة على الدوام إزاء هذه الإشكاليّات التي تواجه </w:t>
      </w:r>
      <w:r w:rsidRPr="00904FCB">
        <w:rPr>
          <w:rFonts w:hint="cs"/>
          <w:sz w:val="27"/>
          <w:rtl/>
        </w:rPr>
        <w:lastRenderedPageBreak/>
        <w:t>الإسلام، بل تواجه المشروع الإسلاميّ برُمَّته.</w:t>
      </w:r>
    </w:p>
    <w:p w:rsidR="005D65E9" w:rsidRPr="00904FCB" w:rsidRDefault="005D65E9" w:rsidP="00B66617">
      <w:pPr>
        <w:spacing w:line="420" w:lineRule="exact"/>
        <w:rPr>
          <w:sz w:val="27"/>
          <w:rtl/>
        </w:rPr>
      </w:pPr>
      <w:r w:rsidRPr="00904FCB">
        <w:rPr>
          <w:rFonts w:hint="cs"/>
          <w:sz w:val="27"/>
          <w:rtl/>
        </w:rPr>
        <w:t xml:space="preserve">وفي سياق التدليل على سعة وعمق هذا البحث أذكِّر بالتجربة الشخصيّة التي مرَرْتُ بها، وأنا أدرِّس بحوث هذا الموضوع في السنوات الماضية؛ إذ وجدْتُ نفسي مضطراً إلى إلقاء أكثر </w:t>
      </w:r>
      <w:r w:rsidRPr="00990F7C">
        <w:rPr>
          <w:rFonts w:hint="cs"/>
          <w:sz w:val="27"/>
          <w:rtl/>
        </w:rPr>
        <w:t>من (55) محاضرة</w:t>
      </w:r>
      <w:r w:rsidRPr="00904FCB">
        <w:rPr>
          <w:rFonts w:hint="cs"/>
          <w:sz w:val="27"/>
          <w:rtl/>
        </w:rPr>
        <w:t xml:space="preserve"> فيه؛ نظراً لكثرة النظريّات فيه وتعدُّد الاتجاهات الموجودة عند علمائنا ومفكِّرينا. من هنا أكرّر بأنّ أهمّ وظائف الحوزة العلميّة والعلماء والمفكِّرين والفقهاء الاشتغال بهذه الموضوعات اشتغالاً جادّاً؛ لتصبح جزءاً من دروسنا وبحوثنا اليوميّة؛ إذ كثيراً ما تُستغلّ هذه الموضوعات للنقد على الإسلام، والتعريض بمشروعه الإنساني.</w:t>
      </w:r>
    </w:p>
    <w:p w:rsidR="005D65E9" w:rsidRPr="00904FCB" w:rsidRDefault="005D65E9" w:rsidP="007A21AA">
      <w:pPr>
        <w:spacing w:line="400" w:lineRule="exact"/>
        <w:rPr>
          <w:sz w:val="27"/>
          <w:rtl/>
        </w:rPr>
      </w:pPr>
    </w:p>
    <w:p w:rsidR="005D65E9" w:rsidRPr="00904FCB" w:rsidRDefault="005D65E9" w:rsidP="007A21AA">
      <w:pPr>
        <w:pStyle w:val="31"/>
        <w:spacing w:line="400" w:lineRule="exact"/>
        <w:rPr>
          <w:b/>
          <w:bCs w:val="0"/>
          <w:color w:val="auto"/>
          <w:rtl/>
        </w:rPr>
      </w:pPr>
      <w:r w:rsidRPr="00904FCB">
        <w:rPr>
          <w:rFonts w:hint="cs"/>
          <w:color w:val="auto"/>
          <w:rtl/>
        </w:rPr>
        <w:t>لماذا يندفع الفقيه المسلم لمعالجة موضوع الثابت والمتغيِّر؟</w:t>
      </w:r>
    </w:p>
    <w:p w:rsidR="005D65E9" w:rsidRPr="00904FCB" w:rsidRDefault="005D65E9" w:rsidP="007A21AA">
      <w:pPr>
        <w:spacing w:line="400" w:lineRule="exact"/>
        <w:rPr>
          <w:sz w:val="27"/>
          <w:rtl/>
        </w:rPr>
      </w:pPr>
      <w:r w:rsidRPr="00904FCB">
        <w:rPr>
          <w:rFonts w:hint="cs"/>
          <w:sz w:val="27"/>
          <w:rtl/>
        </w:rPr>
        <w:t>وقبل أن نبدأ باستعراض المفاصل الأساسيّة لهذا العنوان بشكلٍ موجز علينا أن نطرح هذا التساؤل: ما الذي يدفع الفقيه الإسلامي إلى معالجة إشكاليّة الثابت والمتغيِّر؟</w:t>
      </w:r>
    </w:p>
    <w:p w:rsidR="005D65E9" w:rsidRPr="00904FCB" w:rsidRDefault="005D65E9" w:rsidP="004F3882">
      <w:pPr>
        <w:spacing w:line="420" w:lineRule="exact"/>
        <w:ind w:firstLine="561"/>
        <w:rPr>
          <w:sz w:val="27"/>
          <w:rtl/>
        </w:rPr>
      </w:pPr>
      <w:r w:rsidRPr="00904FCB">
        <w:rPr>
          <w:rFonts w:hint="cs"/>
          <w:b/>
          <w:bCs/>
          <w:sz w:val="27"/>
          <w:rtl/>
        </w:rPr>
        <w:t>والجواب</w:t>
      </w:r>
      <w:r w:rsidRPr="00904FCB">
        <w:rPr>
          <w:rFonts w:hint="cs"/>
          <w:sz w:val="27"/>
          <w:rtl/>
        </w:rPr>
        <w:t>: يمكن الحديث عن عاملين أساسيّين، هما اللذان يدفعان الفقيه الإسلاميّ إلى تناول هذا الموضوع ومعالجته:</w:t>
      </w:r>
    </w:p>
    <w:p w:rsidR="005D65E9" w:rsidRPr="00990F7C" w:rsidRDefault="005D65E9" w:rsidP="004F3882">
      <w:pPr>
        <w:spacing w:line="420" w:lineRule="exact"/>
        <w:ind w:firstLine="561"/>
        <w:rPr>
          <w:b/>
          <w:bCs/>
          <w:sz w:val="27"/>
          <w:rtl/>
        </w:rPr>
      </w:pPr>
      <w:r w:rsidRPr="00990F7C">
        <w:rPr>
          <w:rFonts w:hint="cs"/>
          <w:b/>
          <w:bCs/>
          <w:sz w:val="27"/>
          <w:rtl/>
        </w:rPr>
        <w:t>1ـ العامل الدفاعيّ.</w:t>
      </w:r>
    </w:p>
    <w:p w:rsidR="005D65E9" w:rsidRPr="00990F7C" w:rsidRDefault="005D65E9" w:rsidP="004F3882">
      <w:pPr>
        <w:spacing w:line="420" w:lineRule="exact"/>
        <w:ind w:firstLine="561"/>
        <w:rPr>
          <w:b/>
          <w:bCs/>
          <w:sz w:val="27"/>
          <w:rtl/>
        </w:rPr>
      </w:pPr>
      <w:r w:rsidRPr="00990F7C">
        <w:rPr>
          <w:rFonts w:hint="cs"/>
          <w:b/>
          <w:bCs/>
          <w:sz w:val="27"/>
          <w:rtl/>
        </w:rPr>
        <w:t>2ـ العامل البنائيّ.</w:t>
      </w:r>
    </w:p>
    <w:p w:rsidR="005D65E9" w:rsidRPr="00904FCB" w:rsidRDefault="005D65E9" w:rsidP="00B66617">
      <w:pPr>
        <w:spacing w:line="420" w:lineRule="exact"/>
        <w:rPr>
          <w:sz w:val="27"/>
          <w:rtl/>
        </w:rPr>
      </w:pPr>
      <w:r w:rsidRPr="00904FCB">
        <w:rPr>
          <w:rFonts w:hint="cs"/>
          <w:b/>
          <w:bCs/>
          <w:sz w:val="27"/>
          <w:rtl/>
        </w:rPr>
        <w:t>أمّا العامل الأوّل</w:t>
      </w:r>
      <w:r w:rsidRPr="00904FCB">
        <w:rPr>
          <w:rFonts w:hint="cs"/>
          <w:sz w:val="27"/>
          <w:rtl/>
        </w:rPr>
        <w:t>،</w:t>
      </w:r>
      <w:r w:rsidRPr="00904FCB">
        <w:rPr>
          <w:rFonts w:hint="cs"/>
          <w:b/>
          <w:bCs/>
          <w:sz w:val="27"/>
          <w:rtl/>
        </w:rPr>
        <w:t xml:space="preserve"> </w:t>
      </w:r>
      <w:r w:rsidRPr="00904FCB">
        <w:rPr>
          <w:rFonts w:hint="cs"/>
          <w:sz w:val="27"/>
          <w:rtl/>
        </w:rPr>
        <w:t>فقد اجتاحت الطروحات الأيديولوجيّة والمدارس الفكريّة العالم الإسلاميّ في خمسينات وستينات وسبعينات القرن المنصرم، ولا سيَّما المدارس الماركسيّة والاشتراكيّة وأمثالها. وهذه الطروحات والأيديولوجيّات كانت تتفاخر بأنّ لديها نظاماً سياسيّاً واجتماعيّاً واقتصاديّاً وتعليميّاً وتربويّاً، وأنّ النظام الإسلاميّ غير قادرٍ على الانسجام والتكيُّف مع متطلّبات العصر، ولا يصلح إلاّ للمواءمة مع العصر الزراعي والقبلي الذي عفَّ عليه الزمن، فكيف يمكن لنظامكم الفقهي والاجتهادي أن يواكب الحياة في العصر الحديث المليء بالتطوُّر والتكنولوجيا؟!... الحياة تتغيَّر وفقهكم الإسلامي ثابتٌ، فما هو السبيل لتناسب الثابت مع المتغيِّر؟</w:t>
      </w:r>
    </w:p>
    <w:p w:rsidR="005D65E9" w:rsidRPr="00904FCB" w:rsidRDefault="005D65E9" w:rsidP="00B66617">
      <w:pPr>
        <w:spacing w:line="420" w:lineRule="exact"/>
        <w:rPr>
          <w:sz w:val="27"/>
          <w:rtl/>
        </w:rPr>
      </w:pPr>
      <w:r w:rsidRPr="00904FCB">
        <w:rPr>
          <w:rFonts w:hint="cs"/>
          <w:sz w:val="27"/>
          <w:rtl/>
        </w:rPr>
        <w:lastRenderedPageBreak/>
        <w:t>واجه المفكِّر والفقيه المسلم ثغرةً أساسيّة شكَّلَتْ تحدِّياً بالنسبة إليه. فأين هو البرنامج الاقتصادي الإسلاميّ؟ وأين هو نظام العلاقات الدوليّة؟ وأين هو النظام البيئي؟!</w:t>
      </w:r>
    </w:p>
    <w:p w:rsidR="005D65E9" w:rsidRPr="00904FCB" w:rsidRDefault="005D65E9" w:rsidP="00CA6DAD">
      <w:pPr>
        <w:spacing w:line="380" w:lineRule="exact"/>
        <w:ind w:firstLine="561"/>
        <w:rPr>
          <w:sz w:val="27"/>
          <w:rtl/>
        </w:rPr>
      </w:pPr>
      <w:r w:rsidRPr="00904FCB">
        <w:rPr>
          <w:rFonts w:hint="cs"/>
          <w:sz w:val="27"/>
          <w:rtl/>
        </w:rPr>
        <w:t>نعم، يوجد نظامٌ عباديّ، يتلخّص بالصلاة والصوم والحجّ والخمس والزكاة وغيرها؛ وتوجد بعض الأمور المتعلِّقة بالأمور المدنيّة، كالبيع والنكاح والطلاق، لكنْ لا توجد نُظُم بعنوانها العامّ. من هنا فإنّ ما يدفع الفقيه المسلم إلى الدخول في غمار هذا البحث هو الدفاع عن الإسلام، ليقول: إنّ هناك انسجاماً بين الإسلام والتغيُّرات والتحوُّلات، بين الحياة المتحوّلة والفقه والشريعة الثابتة.</w:t>
      </w:r>
    </w:p>
    <w:p w:rsidR="005D65E9" w:rsidRPr="00904FCB" w:rsidRDefault="005D65E9" w:rsidP="007A21AA">
      <w:pPr>
        <w:spacing w:line="400" w:lineRule="exact"/>
        <w:rPr>
          <w:sz w:val="27"/>
          <w:rtl/>
        </w:rPr>
      </w:pPr>
      <w:r w:rsidRPr="00904FCB">
        <w:rPr>
          <w:rFonts w:hint="cs"/>
          <w:b/>
          <w:bCs/>
          <w:sz w:val="27"/>
          <w:rtl/>
        </w:rPr>
        <w:t xml:space="preserve">أمّا العامل الثاني </w:t>
      </w:r>
      <w:r w:rsidRPr="00904FCB">
        <w:rPr>
          <w:rFonts w:hint="cs"/>
          <w:sz w:val="27"/>
          <w:rtl/>
        </w:rPr>
        <w:t>فهو أنّ الفقيه والمفكِّر المسلم أراد أن يوضّح إنّ للإسلام مشروعَ دولةٍ، ومشروعَ مجتمعٍ، ومشروعَ حياة. وهذا هو الذي يُطْلَق عليه في الدراسات المعاصرة (أسلمة الحياة). فكيف يمكن لك الحديث</w:t>
      </w:r>
      <w:r w:rsidR="00D45852" w:rsidRPr="00904FCB">
        <w:rPr>
          <w:rFonts w:hint="cs"/>
          <w:sz w:val="27"/>
          <w:rtl/>
        </w:rPr>
        <w:t xml:space="preserve"> عن كلّ مرافق الحياة من غير أن ت</w:t>
      </w:r>
      <w:r w:rsidRPr="00904FCB">
        <w:rPr>
          <w:rFonts w:hint="cs"/>
          <w:sz w:val="27"/>
          <w:rtl/>
        </w:rPr>
        <w:t>كون لك رؤيةٌ شاملة؟! مع أنّ الحياة المعاصرة تتبدَّل وتتحوَّل وتتغيَّر بشكلٍ متقارب وسريع. من هنا؛ ولكي ينطلق مشروع الدولة الإسلاميّة والحركة الإسلاميّة، أراد الفقيه والمفكِّر المسلم أن يضع جواباً عن هذه التساؤلات. فكيف يمكن له أن يسنّ قوانينه للقرن العشرين على أساس قوانين جاءت في القرن السابع والثامن الميلاديّ</w:t>
      </w:r>
      <w:r w:rsidR="00D45852" w:rsidRPr="00904FCB">
        <w:rPr>
          <w:rFonts w:hint="cs"/>
          <w:sz w:val="27"/>
          <w:rtl/>
        </w:rPr>
        <w:t>َ</w:t>
      </w:r>
      <w:r w:rsidRPr="00904FCB">
        <w:rPr>
          <w:rFonts w:hint="cs"/>
          <w:sz w:val="27"/>
          <w:rtl/>
        </w:rPr>
        <w:t>ين؟!</w:t>
      </w:r>
    </w:p>
    <w:p w:rsidR="005D65E9" w:rsidRPr="00904FCB" w:rsidRDefault="005D65E9" w:rsidP="007A21AA">
      <w:pPr>
        <w:spacing w:line="400" w:lineRule="exact"/>
        <w:rPr>
          <w:sz w:val="27"/>
          <w:rtl/>
        </w:rPr>
      </w:pPr>
      <w:r w:rsidRPr="00904FCB">
        <w:rPr>
          <w:rFonts w:hint="cs"/>
          <w:sz w:val="27"/>
          <w:rtl/>
        </w:rPr>
        <w:t>ربما يمكن الإجابة عن هذه التساؤلات في علاج إشكاليّة الثابت والمتغيِّر في القضايا الفرديّة الجزئيّة، لكنّ الأمر ليس بهذه البساطة في القضايا الاجتماعيّة والاقتصاديّة والسياسيّة، وعلينا التفكير الجادّ في سبيل إيجاد الحلّ المناسب لذلك.</w:t>
      </w:r>
    </w:p>
    <w:p w:rsidR="005D65E9" w:rsidRPr="00904FCB" w:rsidRDefault="005D65E9" w:rsidP="00D45852">
      <w:pPr>
        <w:spacing w:line="400" w:lineRule="exact"/>
        <w:rPr>
          <w:sz w:val="27"/>
          <w:rtl/>
        </w:rPr>
      </w:pPr>
      <w:r w:rsidRPr="00904FCB">
        <w:rPr>
          <w:rFonts w:hint="cs"/>
          <w:sz w:val="27"/>
          <w:rtl/>
        </w:rPr>
        <w:t>وما يزيد هذا الأمر تعقيداً أنّ الفقه يرى شمول الأحكام لجميع الوقائع الحياتيّة، حتّى عُرف عن الفقهاء هذه الكلمة: (ما من واقعةٍ إلاّ ولله فيها حكمٌ). ويستندون في ذلك إلى عدّة أدلّة؛ حيث أورد الحُرّ العاملي ما يقرب من سبعين رواية في باب (</w:t>
      </w:r>
      <w:r w:rsidR="00D45852" w:rsidRPr="00904FCB">
        <w:rPr>
          <w:rFonts w:hint="cs"/>
          <w:sz w:val="27"/>
          <w:rtl/>
        </w:rPr>
        <w:t xml:space="preserve">يتحدّث عن أنّ </w:t>
      </w:r>
      <w:r w:rsidRPr="00904FCB">
        <w:rPr>
          <w:rFonts w:hint="cs"/>
          <w:sz w:val="27"/>
          <w:rtl/>
        </w:rPr>
        <w:t>ال</w:t>
      </w:r>
      <w:r w:rsidR="00D45852" w:rsidRPr="00904FCB">
        <w:rPr>
          <w:rFonts w:hint="cs"/>
          <w:sz w:val="27"/>
          <w:rtl/>
        </w:rPr>
        <w:t>شريعة تجيب على كلّ الأمور</w:t>
      </w:r>
      <w:r w:rsidRPr="00904FCB">
        <w:rPr>
          <w:rFonts w:hint="cs"/>
          <w:sz w:val="27"/>
          <w:rtl/>
        </w:rPr>
        <w:t xml:space="preserve"> </w:t>
      </w:r>
      <w:r w:rsidR="00D45852" w:rsidRPr="00904FCB">
        <w:rPr>
          <w:rFonts w:hint="cs"/>
          <w:sz w:val="27"/>
          <w:rtl/>
        </w:rPr>
        <w:t>ال</w:t>
      </w:r>
      <w:r w:rsidRPr="00904FCB">
        <w:rPr>
          <w:rFonts w:hint="cs"/>
          <w:sz w:val="27"/>
          <w:rtl/>
        </w:rPr>
        <w:t>صغيرة و</w:t>
      </w:r>
      <w:r w:rsidR="00D45852" w:rsidRPr="00904FCB">
        <w:rPr>
          <w:rFonts w:hint="cs"/>
          <w:sz w:val="27"/>
          <w:rtl/>
        </w:rPr>
        <w:t>ال</w:t>
      </w:r>
      <w:r w:rsidRPr="00904FCB">
        <w:rPr>
          <w:rFonts w:hint="cs"/>
          <w:sz w:val="27"/>
          <w:rtl/>
        </w:rPr>
        <w:t>كبيرة)</w:t>
      </w:r>
      <w:r w:rsidR="00D45852" w:rsidRPr="00904FCB">
        <w:rPr>
          <w:rFonts w:hint="cs"/>
          <w:sz w:val="27"/>
          <w:rtl/>
        </w:rPr>
        <w:t>، وذلك</w:t>
      </w:r>
      <w:r w:rsidRPr="00904FCB">
        <w:rPr>
          <w:rFonts w:hint="cs"/>
          <w:sz w:val="27"/>
          <w:rtl/>
        </w:rPr>
        <w:t xml:space="preserve"> من كتابه (الفصول المهمّة في أصول الأئمة). وهذه قاعدةٌ تحتيّة ثابتة عند الفقيه عادةً.</w:t>
      </w:r>
    </w:p>
    <w:p w:rsidR="005D65E9" w:rsidRPr="00904FCB" w:rsidRDefault="005D65E9" w:rsidP="00CA6DAD">
      <w:pPr>
        <w:spacing w:line="420" w:lineRule="exact"/>
        <w:ind w:firstLine="561"/>
        <w:rPr>
          <w:sz w:val="27"/>
          <w:rtl/>
        </w:rPr>
      </w:pPr>
      <w:r w:rsidRPr="00904FCB">
        <w:rPr>
          <w:rFonts w:hint="cs"/>
          <w:sz w:val="27"/>
          <w:rtl/>
        </w:rPr>
        <w:t>ومن جهةٍ أخرى نلاحظ أنّ الحياة مستجدّةٌ متطوّرة، تحمل حوادث ووقائع ليس لها وجود في عصر التشريع الأوّل، كما في الاستنساخ البشري.</w:t>
      </w:r>
    </w:p>
    <w:p w:rsidR="005D65E9" w:rsidRPr="00904FCB" w:rsidRDefault="005D65E9" w:rsidP="007A21AA">
      <w:pPr>
        <w:spacing w:line="400" w:lineRule="exact"/>
        <w:rPr>
          <w:sz w:val="27"/>
          <w:rtl/>
        </w:rPr>
      </w:pPr>
      <w:r w:rsidRPr="00904FCB">
        <w:rPr>
          <w:rFonts w:hint="cs"/>
          <w:sz w:val="27"/>
          <w:rtl/>
        </w:rPr>
        <w:lastRenderedPageBreak/>
        <w:t>وعلى هذا، فما هو الحلّ الأنسب والأوفق لحلحلة هذه الإشكاليّة؟!</w:t>
      </w:r>
    </w:p>
    <w:p w:rsidR="005D65E9" w:rsidRPr="00904FCB" w:rsidRDefault="005D65E9" w:rsidP="007A21AA">
      <w:pPr>
        <w:spacing w:line="400" w:lineRule="exact"/>
        <w:rPr>
          <w:b/>
          <w:bCs/>
          <w:sz w:val="27"/>
          <w:rtl/>
        </w:rPr>
      </w:pPr>
      <w:r w:rsidRPr="00904FCB">
        <w:rPr>
          <w:rFonts w:hint="cs"/>
          <w:b/>
          <w:bCs/>
          <w:sz w:val="27"/>
          <w:rtl/>
        </w:rPr>
        <w:t>سأقوم هنا بتقديم طريقتي الخاصّة، وتقسيمي الخاصّ للمشهد الذي تحكي عنه النظريات. وسأقتصر على بعض النظريّات المحدودة التي أتَتْ في سياق الجواب عن هذا السؤال الكبير. وسأذكر ـ بحول الله ـ بعض الملاحظات النقديّة العابرة؛ طَلَباً للاختصار. وقد لا يُسعفني الوقت لطرح رؤيتي الشخصيّة هنا؛ لأنّها تقوم على سلسلة من البنيات التحتيّة التي لا تسمح طبيعة الموضوع بمعالجتها هنا.</w:t>
      </w:r>
    </w:p>
    <w:p w:rsidR="005D65E9" w:rsidRPr="00904FCB" w:rsidRDefault="005D65E9" w:rsidP="007A21AA">
      <w:pPr>
        <w:spacing w:line="400" w:lineRule="exact"/>
        <w:rPr>
          <w:sz w:val="27"/>
          <w:rtl/>
        </w:rPr>
      </w:pPr>
    </w:p>
    <w:p w:rsidR="005D65E9" w:rsidRPr="00904FCB" w:rsidRDefault="005D65E9" w:rsidP="007A21AA">
      <w:pPr>
        <w:pStyle w:val="31"/>
        <w:spacing w:line="400" w:lineRule="exact"/>
        <w:rPr>
          <w:b/>
          <w:bCs w:val="0"/>
          <w:color w:val="auto"/>
          <w:rtl/>
        </w:rPr>
      </w:pPr>
      <w:r w:rsidRPr="00904FCB">
        <w:rPr>
          <w:rFonts w:hint="cs"/>
          <w:color w:val="auto"/>
          <w:rtl/>
        </w:rPr>
        <w:t>الاتجاهان المركزيّان في معالجة الموضوع</w:t>
      </w:r>
    </w:p>
    <w:p w:rsidR="005D65E9" w:rsidRPr="00904FCB" w:rsidRDefault="005D65E9" w:rsidP="007A21AA">
      <w:pPr>
        <w:spacing w:line="400" w:lineRule="exact"/>
        <w:rPr>
          <w:sz w:val="27"/>
          <w:rtl/>
        </w:rPr>
      </w:pPr>
      <w:r w:rsidRPr="00904FCB">
        <w:rPr>
          <w:rFonts w:hint="cs"/>
          <w:sz w:val="27"/>
          <w:rtl/>
        </w:rPr>
        <w:t>وفي سياق معالجة هذا الموضوع وُجد اتّجاهان أساسيّان، يمكن أن تنضوي تحتهما جميع النظريّات تقريباً:</w:t>
      </w:r>
    </w:p>
    <w:p w:rsidR="005D65E9" w:rsidRPr="00904FCB" w:rsidRDefault="005D65E9" w:rsidP="007A21AA">
      <w:pPr>
        <w:spacing w:line="400" w:lineRule="exact"/>
        <w:rPr>
          <w:sz w:val="27"/>
          <w:rtl/>
        </w:rPr>
      </w:pPr>
      <w:r w:rsidRPr="00904FCB">
        <w:rPr>
          <w:rFonts w:hint="cs"/>
          <w:b/>
          <w:bCs/>
          <w:sz w:val="27"/>
          <w:rtl/>
        </w:rPr>
        <w:t>الاتّجاه الأوّل</w:t>
      </w:r>
      <w:r w:rsidRPr="00904FCB">
        <w:rPr>
          <w:rFonts w:hint="cs"/>
          <w:sz w:val="27"/>
          <w:rtl/>
        </w:rPr>
        <w:t>: إنّ الشريعة تستوعب كلّ مرافق الحياة، ولكنّ الأحكام في هذه الشريعة على نوعين: ثابتة؛ ومتغيِّرة ترجع إلى هذه الثابتة. فكما أنّ</w:t>
      </w:r>
      <w:r w:rsidR="006D0366">
        <w:rPr>
          <w:rFonts w:hint="cs"/>
          <w:sz w:val="27"/>
          <w:rtl/>
        </w:rPr>
        <w:t xml:space="preserve"> في القرآن متشابهات ترجع إلى المُ</w:t>
      </w:r>
      <w:r w:rsidRPr="00904FCB">
        <w:rPr>
          <w:rFonts w:hint="cs"/>
          <w:sz w:val="27"/>
          <w:rtl/>
        </w:rPr>
        <w:t>حْكَمات، كذلك الأمر في الشريعة أيضاً. ومن ثمّ فلا نَقْصَ في الشريعة بناءً على هذا الاتّجاه. وهذا الاتّجاه يميل للإسلاميّة.</w:t>
      </w:r>
    </w:p>
    <w:p w:rsidR="005D65E9" w:rsidRPr="00904FCB" w:rsidRDefault="005D65E9" w:rsidP="007A21AA">
      <w:pPr>
        <w:spacing w:line="400" w:lineRule="exact"/>
        <w:rPr>
          <w:sz w:val="27"/>
          <w:rtl/>
        </w:rPr>
      </w:pPr>
      <w:r w:rsidRPr="00904FCB">
        <w:rPr>
          <w:rFonts w:hint="cs"/>
          <w:b/>
          <w:bCs/>
          <w:sz w:val="27"/>
          <w:rtl/>
        </w:rPr>
        <w:t>الاتّجاه الثاني:</w:t>
      </w:r>
      <w:r w:rsidRPr="00904FCB">
        <w:rPr>
          <w:rFonts w:hint="cs"/>
          <w:sz w:val="27"/>
          <w:rtl/>
        </w:rPr>
        <w:t xml:space="preserve"> إنّ الشريعة كلّها متغيِّرة، ولا يوجد ثباتٌ فيها. نعم، الثابت هو القِيَم الأخلاقيّة فقط. وهذا الاتّجاه أقرب للعلمانيّة.</w:t>
      </w:r>
    </w:p>
    <w:p w:rsidR="005D65E9" w:rsidRPr="00904FCB" w:rsidRDefault="005D65E9" w:rsidP="007A21AA">
      <w:pPr>
        <w:spacing w:line="400" w:lineRule="exact"/>
        <w:rPr>
          <w:rFonts w:ascii="Mosawi" w:hAnsi="Mosawi"/>
          <w:b/>
          <w:bCs/>
          <w:sz w:val="27"/>
          <w:rtl/>
        </w:rPr>
      </w:pPr>
    </w:p>
    <w:p w:rsidR="005D65E9" w:rsidRPr="00904FCB" w:rsidRDefault="005D65E9" w:rsidP="007A21AA">
      <w:pPr>
        <w:pStyle w:val="31"/>
        <w:spacing w:line="400" w:lineRule="exact"/>
        <w:rPr>
          <w:b/>
          <w:bCs w:val="0"/>
          <w:color w:val="auto"/>
          <w:rtl/>
        </w:rPr>
      </w:pPr>
      <w:r w:rsidRPr="00904FCB">
        <w:rPr>
          <w:rFonts w:hint="cs"/>
          <w:color w:val="auto"/>
          <w:rtl/>
        </w:rPr>
        <w:t>أولاً: أطروحات التيّارات ذات الميول الإسلاميّة (مشروع المرجعيّة المساعدة)</w:t>
      </w:r>
    </w:p>
    <w:p w:rsidR="005D65E9" w:rsidRPr="00904FCB" w:rsidRDefault="005D65E9" w:rsidP="007A21AA">
      <w:pPr>
        <w:spacing w:line="400" w:lineRule="exact"/>
        <w:rPr>
          <w:sz w:val="27"/>
          <w:rtl/>
        </w:rPr>
      </w:pPr>
      <w:r w:rsidRPr="00904FCB">
        <w:rPr>
          <w:rFonts w:hint="cs"/>
          <w:sz w:val="27"/>
          <w:rtl/>
        </w:rPr>
        <w:t>وإيضاحاً للاتّجاه الأوّل طرح أتباعه تفسيراً له، حيث قالوا: كما أنّ لدينا ثوابت لدينا متغيِّرات تديرها مرجعيّةٌ ثابتة مساعدة أيضاً. وقد وضعت الشريعة هذه المرجعيّات الثابتة بغية سنِّ القوانين. وقد انقسم أتباع هذا الاتّجاه في تفسير وتحديد هذه المرجعيّة إلى ثلاث نظريّات أساسيّة:</w:t>
      </w:r>
    </w:p>
    <w:p w:rsidR="005D65E9" w:rsidRPr="00904FCB" w:rsidRDefault="005D65E9" w:rsidP="007A21AA">
      <w:pPr>
        <w:spacing w:line="400" w:lineRule="exact"/>
        <w:rPr>
          <w:sz w:val="27"/>
          <w:rtl/>
        </w:rPr>
      </w:pPr>
    </w:p>
    <w:p w:rsidR="005D65E9" w:rsidRPr="00904FCB" w:rsidRDefault="005D65E9" w:rsidP="007A21AA">
      <w:pPr>
        <w:pStyle w:val="31"/>
        <w:spacing w:line="400" w:lineRule="exact"/>
        <w:rPr>
          <w:b/>
          <w:bCs w:val="0"/>
          <w:color w:val="auto"/>
          <w:rtl/>
        </w:rPr>
      </w:pPr>
      <w:r w:rsidRPr="00990F7C">
        <w:rPr>
          <w:rFonts w:hint="cs"/>
          <w:color w:val="auto"/>
          <w:rtl/>
        </w:rPr>
        <w:t xml:space="preserve">1 ـ المرجعيّة </w:t>
      </w:r>
      <w:r w:rsidRPr="00904FCB">
        <w:rPr>
          <w:rFonts w:hint="cs"/>
          <w:color w:val="auto"/>
          <w:rtl/>
        </w:rPr>
        <w:t>المساعدة الإنسانيّة (ولاية الأمر)</w:t>
      </w:r>
    </w:p>
    <w:p w:rsidR="005D65E9" w:rsidRPr="00904FCB" w:rsidRDefault="005D65E9" w:rsidP="007A21AA">
      <w:pPr>
        <w:spacing w:line="400" w:lineRule="exact"/>
        <w:rPr>
          <w:sz w:val="27"/>
          <w:rtl/>
        </w:rPr>
      </w:pPr>
      <w:r w:rsidRPr="00904FCB">
        <w:rPr>
          <w:rFonts w:hint="cs"/>
          <w:sz w:val="27"/>
          <w:rtl/>
        </w:rPr>
        <w:t xml:space="preserve">يذهب السيد محمد باقر الصدر والعلاّمة محمد حسين الطباطبائي وأمثالهما إلى أنّ المرجعيّة المساعدة التي نرجع إليها في المتغيِّرات؛ لتعطينا القوانين المواكبة </w:t>
      </w:r>
      <w:r w:rsidRPr="00904FCB">
        <w:rPr>
          <w:rFonts w:hint="cs"/>
          <w:sz w:val="27"/>
          <w:rtl/>
        </w:rPr>
        <w:lastRenderedPageBreak/>
        <w:t>للحياة، هي مرجعية ولاية الأمر.</w:t>
      </w:r>
    </w:p>
    <w:p w:rsidR="005D65E9" w:rsidRPr="00904FCB" w:rsidRDefault="005D65E9" w:rsidP="007A21AA">
      <w:pPr>
        <w:spacing w:line="400" w:lineRule="exact"/>
        <w:rPr>
          <w:sz w:val="27"/>
          <w:rtl/>
          <w:lang w:bidi="fa-IR"/>
        </w:rPr>
      </w:pPr>
      <w:r w:rsidRPr="00904FCB">
        <w:rPr>
          <w:rFonts w:hint="cs"/>
          <w:b/>
          <w:bCs/>
          <w:sz w:val="27"/>
          <w:rtl/>
        </w:rPr>
        <w:t>يقول السيد الطباطبائي:</w:t>
      </w:r>
      <w:r w:rsidRPr="00904FCB">
        <w:rPr>
          <w:rFonts w:hint="cs"/>
          <w:sz w:val="27"/>
          <w:rtl/>
        </w:rPr>
        <w:t xml:space="preserve"> </w:t>
      </w:r>
      <w:r w:rsidRPr="00904FCB">
        <w:rPr>
          <w:rFonts w:ascii="Lotus Linotype" w:hAnsi="Lotus Linotype"/>
          <w:sz w:val="27"/>
          <w:rtl/>
          <w:lang w:bidi="fa-IR"/>
        </w:rPr>
        <w:t>«</w:t>
      </w:r>
      <w:r w:rsidRPr="00904FCB">
        <w:rPr>
          <w:rFonts w:hint="cs"/>
          <w:sz w:val="27"/>
          <w:rtl/>
          <w:lang w:bidi="fa-IR"/>
        </w:rPr>
        <w:t>إنّ الأحكام والقوانين التي يجب تنفيذها في المجتمع تنقسم من وجهة نظر الإسلام إلى نوعين، هما:</w:t>
      </w:r>
    </w:p>
    <w:p w:rsidR="005D65E9" w:rsidRPr="00904FCB" w:rsidRDefault="005D65E9" w:rsidP="007A21AA">
      <w:pPr>
        <w:spacing w:line="400" w:lineRule="exact"/>
        <w:rPr>
          <w:rFonts w:ascii="Times New Roman" w:hAnsi="Times New Roman"/>
          <w:sz w:val="27"/>
          <w:rtl/>
          <w:lang w:bidi="fa-IR"/>
        </w:rPr>
      </w:pPr>
      <w:r w:rsidRPr="00904FCB">
        <w:rPr>
          <w:rFonts w:hint="cs"/>
          <w:b/>
          <w:bCs/>
          <w:sz w:val="27"/>
          <w:rtl/>
          <w:lang w:bidi="fa-IR"/>
        </w:rPr>
        <w:t>النوع الأول:</w:t>
      </w:r>
      <w:r w:rsidRPr="00904FCB">
        <w:rPr>
          <w:rFonts w:hint="cs"/>
          <w:sz w:val="27"/>
          <w:rtl/>
          <w:lang w:bidi="fa-IR"/>
        </w:rPr>
        <w:t xml:space="preserve"> الأحكام‏ والقوانين‏ التي لها جذر تكوينيّ ثابت، مثل: احتياجات الإنسان الطبيعيّة التي تفضي إلى مقتضيات ثابتة غير قابلة للتغيير؛ بحكم ارتباطها بالبنية التكوينيّة الثابتة للإنسان نفسه. فتَبَعاً لوجود مثل هذه المقتضيات الثابتة والحاجات غير المتغيِّرة يجب أن تكون هناك أحكام ثابتة، وذلك من قبيل: الأحكام‏ والقوانين‏ ذات الصلة بالمِلْكيّة والاختصاص، وأحكام المعاملات والوراثة، وأحكام الزواج والطلاق واعتبار الأنساب، وأحكام الحدود والقصاص ونظائر ذلك.</w:t>
      </w:r>
    </w:p>
    <w:p w:rsidR="005D65E9" w:rsidRPr="00904FCB" w:rsidRDefault="005D65E9" w:rsidP="007A21AA">
      <w:pPr>
        <w:spacing w:line="400" w:lineRule="exact"/>
        <w:rPr>
          <w:sz w:val="27"/>
          <w:rtl/>
          <w:lang w:bidi="fa-IR"/>
        </w:rPr>
      </w:pPr>
      <w:r w:rsidRPr="00904FCB">
        <w:rPr>
          <w:rFonts w:hint="cs"/>
          <w:sz w:val="27"/>
          <w:rtl/>
          <w:lang w:bidi="fa-IR"/>
        </w:rPr>
        <w:t>ومن هذا القبيل: أحكام العبادات، التي ترتكز إلى جذرٍ ثابتٍ، يتمثَّل برابطة الربوبيّة والعبودية، ممّا لا يمكن أن يطالها التغيير، أو ينالها الاهتزاز أبداً.</w:t>
      </w:r>
    </w:p>
    <w:p w:rsidR="005D65E9" w:rsidRPr="00904FCB" w:rsidRDefault="005D65E9" w:rsidP="007A21AA">
      <w:pPr>
        <w:spacing w:line="400" w:lineRule="exact"/>
        <w:rPr>
          <w:rFonts w:ascii="Times New Roman" w:hAnsi="Times New Roman"/>
          <w:sz w:val="27"/>
          <w:rtl/>
          <w:lang w:bidi="fa-IR"/>
        </w:rPr>
      </w:pPr>
      <w:r w:rsidRPr="00904FCB">
        <w:rPr>
          <w:rFonts w:hint="cs"/>
          <w:sz w:val="27"/>
          <w:rtl/>
          <w:lang w:bidi="fa-IR"/>
        </w:rPr>
        <w:t>هذه السلسلة من الأحكام والقوانين هي بنفسها الشريعة الإسلامية، التي‏ جاء بيان كلِّياتها في القرآن الكريم، وتكفَّلت السنّة النبويّة ببيان جزئيّاتها وتفاصيلها. هذا اللون من الأحكام (الشريعة) لا طريق لنسخه أو إبطاله بنصّ القرآن وصريح السنّة.</w:t>
      </w:r>
    </w:p>
    <w:p w:rsidR="005D65E9" w:rsidRPr="00904FCB" w:rsidRDefault="005D65E9" w:rsidP="007A21AA">
      <w:pPr>
        <w:spacing w:line="400" w:lineRule="exact"/>
        <w:rPr>
          <w:rFonts w:ascii="Times New Roman" w:hAnsi="Times New Roman"/>
          <w:sz w:val="27"/>
          <w:rtl/>
          <w:lang w:bidi="fa-IR"/>
        </w:rPr>
      </w:pPr>
      <w:r w:rsidRPr="00904FCB">
        <w:rPr>
          <w:rFonts w:hint="cs"/>
          <w:b/>
          <w:bCs/>
          <w:sz w:val="27"/>
          <w:rtl/>
          <w:lang w:bidi="fa-IR"/>
        </w:rPr>
        <w:t>النوع الثاني:</w:t>
      </w:r>
      <w:r w:rsidRPr="00904FCB">
        <w:rPr>
          <w:rFonts w:hint="cs"/>
          <w:sz w:val="27"/>
          <w:rtl/>
          <w:lang w:bidi="fa-IR"/>
        </w:rPr>
        <w:t xml:space="preserve"> الأحكام والقوانين ذات الصلة بالحياة اليومية للناس. ومثل هذه القوانين تكون بالضرورة محكومةً بالتغيير، وذلك تبعاً للتغيير والاختلاف الذي يطرأ على طرق الحياة ووسائل معاش الناس من يوم الى آخر؛ ومن عصرٍ إلى عصر.</w:t>
      </w:r>
    </w:p>
    <w:p w:rsidR="005D65E9" w:rsidRPr="00904FCB" w:rsidRDefault="005D65E9" w:rsidP="007A21AA">
      <w:pPr>
        <w:spacing w:line="400" w:lineRule="exact"/>
        <w:rPr>
          <w:sz w:val="27"/>
          <w:rtl/>
          <w:lang w:bidi="fa-IR"/>
        </w:rPr>
      </w:pPr>
      <w:r w:rsidRPr="00904FCB">
        <w:rPr>
          <w:rFonts w:hint="cs"/>
          <w:sz w:val="27"/>
          <w:rtl/>
          <w:lang w:bidi="fa-IR"/>
        </w:rPr>
        <w:t xml:space="preserve">ومثال هذه الأنظمة المتغيِّرة: التحوّلات التدريجيّة التي طرأت على وسائل النقل، بحيث كان بديهياً أن يقود وجود الطرق البريّة والبحريّة والجويّة إلى انبثاق أوضاعٍ جديدة تستدعي بدورها إيجاد وتطبيق سلسلة من النُظُم الجديدة التي لم يكن لها حاجةٌ في </w:t>
      </w:r>
      <w:r w:rsidRPr="00990F7C">
        <w:rPr>
          <w:rFonts w:hint="cs"/>
          <w:sz w:val="27"/>
          <w:rtl/>
          <w:lang w:bidi="fa-IR"/>
        </w:rPr>
        <w:t>العصور السابقة</w:t>
      </w:r>
      <w:r w:rsidRPr="00990F7C">
        <w:rPr>
          <w:rFonts w:ascii="Lotus Linotype" w:hAnsi="Lotus Linotype"/>
          <w:sz w:val="27"/>
          <w:rtl/>
          <w:lang w:bidi="fa-IR"/>
        </w:rPr>
        <w:t>»</w:t>
      </w:r>
      <w:r w:rsidRPr="00990F7C">
        <w:rPr>
          <w:rFonts w:ascii="Lotus Linotype" w:hAnsi="Lotus Linotype" w:hint="cs"/>
          <w:sz w:val="27"/>
          <w:rtl/>
          <w:lang w:bidi="fa-IR"/>
        </w:rPr>
        <w:t xml:space="preserve">. </w:t>
      </w:r>
      <w:r w:rsidRPr="00990F7C">
        <w:rPr>
          <w:rFonts w:hint="cs"/>
          <w:sz w:val="27"/>
          <w:rtl/>
          <w:lang w:bidi="fa-IR"/>
        </w:rPr>
        <w:t xml:space="preserve">(الطباطبائي، الشيعة، نصّ الحوار مع المستشرق كوربان: </w:t>
      </w:r>
      <w:r w:rsidRPr="00990F7C">
        <w:rPr>
          <w:rFonts w:hint="cs"/>
          <w:sz w:val="27"/>
          <w:rtl/>
          <w:lang w:bidi="ar-LB"/>
        </w:rPr>
        <w:t>141</w:t>
      </w:r>
      <w:r w:rsidRPr="00990F7C">
        <w:rPr>
          <w:rFonts w:hint="cs"/>
          <w:sz w:val="27"/>
          <w:rtl/>
          <w:lang w:bidi="fa-IR"/>
        </w:rPr>
        <w:t>، تعريب: جواد علي كسّار، مؤسَّسة أم القرى للتحقيق والنشر، ط</w:t>
      </w:r>
      <w:r w:rsidRPr="00990F7C">
        <w:rPr>
          <w:rFonts w:hint="cs"/>
          <w:sz w:val="27"/>
          <w:rtl/>
          <w:lang w:bidi="ar-LB"/>
        </w:rPr>
        <w:t>2</w:t>
      </w:r>
      <w:r w:rsidRPr="00990F7C">
        <w:rPr>
          <w:rFonts w:hint="cs"/>
          <w:sz w:val="27"/>
          <w:rtl/>
          <w:lang w:bidi="fa-IR"/>
        </w:rPr>
        <w:t xml:space="preserve">، </w:t>
      </w:r>
      <w:r w:rsidRPr="00990F7C">
        <w:rPr>
          <w:rFonts w:hint="cs"/>
          <w:sz w:val="27"/>
          <w:rtl/>
          <w:lang w:bidi="ar-LB"/>
        </w:rPr>
        <w:t>1418</w:t>
      </w:r>
      <w:r w:rsidRPr="00990F7C">
        <w:rPr>
          <w:rFonts w:hint="cs"/>
          <w:sz w:val="27"/>
          <w:rtl/>
          <w:lang w:bidi="fa-IR"/>
        </w:rPr>
        <w:t>هـ، بيروت، لب</w:t>
      </w:r>
      <w:r w:rsidRPr="00904FCB">
        <w:rPr>
          <w:rFonts w:hint="cs"/>
          <w:sz w:val="27"/>
          <w:rtl/>
          <w:lang w:bidi="fa-IR"/>
        </w:rPr>
        <w:t>نان).</w:t>
      </w:r>
    </w:p>
    <w:p w:rsidR="005D65E9" w:rsidRPr="00904FCB" w:rsidRDefault="005D65E9" w:rsidP="007A21AA">
      <w:pPr>
        <w:spacing w:line="400" w:lineRule="exact"/>
        <w:rPr>
          <w:sz w:val="27"/>
          <w:rtl/>
          <w:lang w:bidi="fa-IR"/>
        </w:rPr>
      </w:pPr>
      <w:r w:rsidRPr="00904FCB">
        <w:rPr>
          <w:rFonts w:hint="cs"/>
          <w:sz w:val="27"/>
          <w:rtl/>
          <w:lang w:bidi="fa-IR"/>
        </w:rPr>
        <w:t xml:space="preserve">وهكذا يخلص الطباطبائي إلى أنّ الأحكام من النوع الثاني هي التي يضعها ويسنّها وليّ الأمر (الحاكم الشرعي في الدولة الإسلاميّة)، في إطار الإسلام، وتَبَعاً </w:t>
      </w:r>
      <w:r w:rsidRPr="00904FCB">
        <w:rPr>
          <w:rFonts w:hint="cs"/>
          <w:sz w:val="27"/>
          <w:rtl/>
          <w:lang w:bidi="fa-IR"/>
        </w:rPr>
        <w:lastRenderedPageBreak/>
        <w:t xml:space="preserve">لمقتضيات المصالح الطارئة المستجدّة، ثمّ ترتفع هذه الأحكام‏ والقوانين‏ وتسقط بصورةٍ طبيعيّة تلقائيّة بمجرد انتفاء المصالح الموجبة لها. (انظر: الطباطبائي، مقالات تأسيسيّة في الفكر </w:t>
      </w:r>
      <w:r w:rsidRPr="00990F7C">
        <w:rPr>
          <w:rFonts w:hint="cs"/>
          <w:sz w:val="27"/>
          <w:rtl/>
          <w:lang w:bidi="fa-IR"/>
        </w:rPr>
        <w:t xml:space="preserve">الإسلامي: </w:t>
      </w:r>
      <w:r w:rsidRPr="00990F7C">
        <w:rPr>
          <w:rFonts w:hint="cs"/>
          <w:sz w:val="27"/>
          <w:rtl/>
          <w:lang w:bidi="ar-LB"/>
        </w:rPr>
        <w:t>351</w:t>
      </w:r>
      <w:r w:rsidRPr="00990F7C">
        <w:rPr>
          <w:rFonts w:hint="cs"/>
          <w:sz w:val="27"/>
          <w:rtl/>
          <w:lang w:bidi="fa-IR"/>
        </w:rPr>
        <w:t>، تعريب: جواد علي كسّار، مؤسَّسة أم القرى للتحقيق والنشر، ط</w:t>
      </w:r>
      <w:r w:rsidRPr="00990F7C">
        <w:rPr>
          <w:rFonts w:hint="cs"/>
          <w:sz w:val="27"/>
          <w:rtl/>
          <w:lang w:bidi="ar-LB"/>
        </w:rPr>
        <w:t>2</w:t>
      </w:r>
      <w:r w:rsidRPr="00990F7C">
        <w:rPr>
          <w:rFonts w:hint="cs"/>
          <w:sz w:val="27"/>
          <w:rtl/>
          <w:lang w:bidi="fa-IR"/>
        </w:rPr>
        <w:t xml:space="preserve">، </w:t>
      </w:r>
      <w:r w:rsidRPr="00990F7C">
        <w:rPr>
          <w:rFonts w:hint="cs"/>
          <w:sz w:val="27"/>
          <w:rtl/>
          <w:lang w:bidi="ar-LB"/>
        </w:rPr>
        <w:t>1418</w:t>
      </w:r>
      <w:r w:rsidRPr="00990F7C">
        <w:rPr>
          <w:rFonts w:hint="cs"/>
          <w:sz w:val="27"/>
          <w:rtl/>
          <w:lang w:bidi="fa-IR"/>
        </w:rPr>
        <w:t>هـ</w:t>
      </w:r>
      <w:r w:rsidRPr="00904FCB">
        <w:rPr>
          <w:rFonts w:hint="cs"/>
          <w:sz w:val="27"/>
          <w:rtl/>
          <w:lang w:bidi="fa-IR"/>
        </w:rPr>
        <w:t>، بيروت، لبنان).</w:t>
      </w:r>
    </w:p>
    <w:p w:rsidR="005D65E9" w:rsidRPr="00904FCB" w:rsidRDefault="005D65E9" w:rsidP="007A21AA">
      <w:pPr>
        <w:spacing w:line="400" w:lineRule="exact"/>
        <w:rPr>
          <w:sz w:val="27"/>
          <w:rtl/>
        </w:rPr>
      </w:pPr>
      <w:r w:rsidRPr="00904FCB">
        <w:rPr>
          <w:rFonts w:hint="cs"/>
          <w:b/>
          <w:bCs/>
          <w:sz w:val="27"/>
          <w:rtl/>
          <w:lang w:bidi="fa-IR"/>
        </w:rPr>
        <w:t>أمّا السيّد محمد باقر الصدر</w:t>
      </w:r>
      <w:r w:rsidRPr="00904FCB">
        <w:rPr>
          <w:rFonts w:hint="cs"/>
          <w:sz w:val="27"/>
          <w:rtl/>
          <w:lang w:bidi="fa-IR"/>
        </w:rPr>
        <w:t xml:space="preserve"> فقد ذهب إلى أنّ الأحكام في الشريعة على نوعين: </w:t>
      </w:r>
      <w:r w:rsidRPr="00904FCB">
        <w:rPr>
          <w:rFonts w:hint="cs"/>
          <w:b/>
          <w:bCs/>
          <w:sz w:val="27"/>
          <w:rtl/>
          <w:lang w:bidi="fa-IR"/>
        </w:rPr>
        <w:t>إلزامات</w:t>
      </w:r>
      <w:r w:rsidRPr="00904FCB">
        <w:rPr>
          <w:rFonts w:hint="cs"/>
          <w:sz w:val="27"/>
          <w:rtl/>
          <w:lang w:bidi="fa-IR"/>
        </w:rPr>
        <w:t>، وهي الأمور الإلزام</w:t>
      </w:r>
      <w:r w:rsidRPr="00904FCB">
        <w:rPr>
          <w:rFonts w:hint="cs"/>
          <w:sz w:val="27"/>
          <w:rtl/>
        </w:rPr>
        <w:t xml:space="preserve">يّة التي نرجع فيها إلى النصّ؛ </w:t>
      </w:r>
      <w:r w:rsidRPr="00904FCB">
        <w:rPr>
          <w:rFonts w:hint="cs"/>
          <w:b/>
          <w:bCs/>
          <w:sz w:val="27"/>
          <w:rtl/>
        </w:rPr>
        <w:t>ومباحات</w:t>
      </w:r>
      <w:r w:rsidRPr="00904FCB">
        <w:rPr>
          <w:rFonts w:hint="cs"/>
          <w:sz w:val="27"/>
          <w:rtl/>
        </w:rPr>
        <w:t xml:space="preserve">، وهي الأمور التي يحقّ فيها لوليّ الأمر أن يشرّع قوانين إلزاميّة تَبَعاً لما يراه من مصلحةٍ، في ضوء المؤشّرات العامّة للشريعة الإسلاميّة، وهي التي اصطلح عليها بـ (منطقة الفراغ). (انظر: الصدر، اقتصادنا، المطبوع ضمن: موسوعة مؤلَّفات </w:t>
      </w:r>
      <w:r w:rsidRPr="00CB554E">
        <w:rPr>
          <w:rFonts w:hint="cs"/>
          <w:sz w:val="27"/>
          <w:rtl/>
        </w:rPr>
        <w:t>السيّد الشهيد 3: 443 فما بعد؛ والإسلام يقود الحياة، المطبوع ضمن: موسوعة مؤلَّفات السيّد الشهيد 5: 43).</w:t>
      </w:r>
    </w:p>
    <w:p w:rsidR="005D65E9" w:rsidRPr="00904FCB" w:rsidRDefault="005D65E9" w:rsidP="007A21AA">
      <w:pPr>
        <w:spacing w:line="400" w:lineRule="exact"/>
        <w:rPr>
          <w:sz w:val="27"/>
          <w:rtl/>
        </w:rPr>
      </w:pPr>
      <w:r w:rsidRPr="00904FCB">
        <w:rPr>
          <w:rFonts w:hint="cs"/>
          <w:sz w:val="27"/>
          <w:rtl/>
        </w:rPr>
        <w:t xml:space="preserve">فالنقطة التي يلتقي فيها السيّد الصدر مع السيّد الطباطبائي هي في وجود الثوابت والمتغيِّرات في الشريعة. أمّا الثوابت فالمرجعيّة فيها هي النصوص الدينيّة </w:t>
      </w:r>
      <w:r w:rsidR="00D45852" w:rsidRPr="00904FCB">
        <w:rPr>
          <w:rFonts w:hint="cs"/>
          <w:sz w:val="27"/>
          <w:rtl/>
        </w:rPr>
        <w:t xml:space="preserve">وأمثالها </w:t>
      </w:r>
      <w:r w:rsidRPr="00904FCB">
        <w:rPr>
          <w:rFonts w:hint="cs"/>
          <w:sz w:val="27"/>
          <w:rtl/>
        </w:rPr>
        <w:t>فقط؛ وأمّا المتغيِّرات فالمرجعيّة فيها وليّ الأمر، الذي يحقّ له سنّ القوانين وفقاً لما يراه من المصلحة، في ضوء المؤشّرات العامّة للقيم والتشريعات الإسلاميّة.</w:t>
      </w:r>
    </w:p>
    <w:p w:rsidR="005D65E9" w:rsidRPr="00904FCB" w:rsidRDefault="005D65E9" w:rsidP="007A21AA">
      <w:pPr>
        <w:spacing w:line="400" w:lineRule="exact"/>
        <w:rPr>
          <w:sz w:val="27"/>
          <w:rtl/>
        </w:rPr>
      </w:pPr>
      <w:r w:rsidRPr="00904FCB">
        <w:rPr>
          <w:rFonts w:hint="cs"/>
          <w:sz w:val="27"/>
          <w:rtl/>
        </w:rPr>
        <w:t>لكنّ النقطة التي يختلفان فيها هي أنّ السيّد الصدر حصر دائرة صلاحيّات وليّ الأمر في قسم المباحات فقط، أمّا السيّد الطباطبائي فلم ينصّ على ذلك، بل قال: إنّ المرجعيّة في الأحكام المتغيِّرة هي وليّ الأمر. على أنّ الأخير لا يسنّ القوانين بشكلٍ مزاجيّ وفقاً لرأي هؤلاء، بل ينطلق في سنّها وفقاً للمؤشِّرات العامّة حَسْب تعبير السيّد الصدر، فهو يعي الأهداف الكبرى للشريعة، ويشرِّع القوانين الجزئيّة في إطارها وسياقاتها. وبهذا البيان يمكن سدّ الثغرة الحاصلة في ذلك.</w:t>
      </w:r>
    </w:p>
    <w:p w:rsidR="005D65E9" w:rsidRPr="00904FCB" w:rsidRDefault="005D65E9" w:rsidP="007A21AA">
      <w:pPr>
        <w:spacing w:line="400" w:lineRule="exact"/>
        <w:rPr>
          <w:sz w:val="27"/>
          <w:rtl/>
        </w:rPr>
      </w:pPr>
      <w:r w:rsidRPr="00904FCB">
        <w:rPr>
          <w:rFonts w:hint="cs"/>
          <w:sz w:val="27"/>
          <w:rtl/>
        </w:rPr>
        <w:t>وهذه القوانين الجزئيّة التي يسنّها وليّ الأمر مُلْزِمةٌ؛ لكنّ إلزامها لا يصيِّرها جزءاً من الشريعة. وهذه نقطة مهمّة؛ إذ قد تقول: إذا لم تكن أوامر وليّ الأمر من الشريعة فلماذا يعاقب المكلَّف على مخالفتها، وهو لم يرتكب حراماً شرعيّاً إسلاميّاً؟!</w:t>
      </w:r>
    </w:p>
    <w:p w:rsidR="005D65E9" w:rsidRPr="00904FCB" w:rsidRDefault="005D65E9" w:rsidP="007A21AA">
      <w:pPr>
        <w:spacing w:line="400" w:lineRule="exact"/>
        <w:rPr>
          <w:sz w:val="27"/>
          <w:rtl/>
        </w:rPr>
      </w:pPr>
      <w:r w:rsidRPr="00904FCB">
        <w:rPr>
          <w:rFonts w:hint="cs"/>
          <w:sz w:val="27"/>
          <w:rtl/>
        </w:rPr>
        <w:t>وهنا يجيب هذا الاتجاه بأنّ المسألة ليست غريبةً، بل هي أشبه بأمر الوالد ولده بجلب الماء؛ فإنّ هذا الأمر قد تجب طاعته شرعاً، لكنّه ليس حكماً تشريعيّاً إلهيّاً.</w:t>
      </w:r>
    </w:p>
    <w:p w:rsidR="005D65E9" w:rsidRPr="00904FCB" w:rsidRDefault="005D65E9" w:rsidP="007A21AA">
      <w:pPr>
        <w:spacing w:line="400" w:lineRule="exact"/>
        <w:rPr>
          <w:sz w:val="27"/>
          <w:rtl/>
        </w:rPr>
      </w:pPr>
      <w:r w:rsidRPr="00904FCB">
        <w:rPr>
          <w:rFonts w:hint="cs"/>
          <w:sz w:val="27"/>
          <w:rtl/>
        </w:rPr>
        <w:lastRenderedPageBreak/>
        <w:t>وخُذْ مثالاً آخر وهو: شخصٌ ما استأجرك بعقدٍ موقَّع بينكما أن تعمل في عمارة منزله. وهذا عقد (إجارة). والشريعة تجعل هذا العقد ملزماً للطرفين. فلو قال لك الشخص الذي استأجرك: ضَعْ لي هذا الحجر هناك، أليس من الواجب شرعاً عليك أن تضع الحجر حيث طلب؟ إنّه كذلك بالتأكيد؛ إذ بمقتضى عقد الإجارة تكون أنت ملزماً بأن تعمل بما يطلب منك الطرف الآخر، لكنْ هل وضع الحجر هناك هو جزءٌ من الدين، بحيث لو أردنا أن نشرح الدين فنحن نذكر وضع الحجر في هذا الموضع على أنّه قضيّةٌ دينيّة؟!</w:t>
      </w:r>
    </w:p>
    <w:p w:rsidR="005D65E9" w:rsidRPr="00904FCB" w:rsidRDefault="005D65E9" w:rsidP="007A21AA">
      <w:pPr>
        <w:spacing w:line="400" w:lineRule="exact"/>
        <w:rPr>
          <w:sz w:val="27"/>
          <w:rtl/>
        </w:rPr>
      </w:pPr>
      <w:r w:rsidRPr="00904FCB">
        <w:rPr>
          <w:rFonts w:hint="cs"/>
          <w:sz w:val="27"/>
          <w:rtl/>
        </w:rPr>
        <w:t>والجواب بالنفي بالتأكيد. فأنت هنا ملزَمٌ بالطاعة، ولكنَّ المضمون ليس جزءاً من الدين. وما هو جزءٌ من الدين هو وجوب الالتزام بالعقود الموقَّعة بين الناس. وهكذا الحال في إمكانيّة إلزام الزوجة بالتمكين عندما يريد الزوج، ولكنّ نفس طلب الزوج ليس جزءاً من الدين. وبهذا يمكن الجمع بين دينيّة الإلزام وعدم دينيّة المضمون الملزَم به.</w:t>
      </w:r>
    </w:p>
    <w:p w:rsidR="005D65E9" w:rsidRPr="00904FCB" w:rsidRDefault="005D65E9" w:rsidP="007A21AA">
      <w:pPr>
        <w:spacing w:line="400" w:lineRule="exact"/>
        <w:rPr>
          <w:sz w:val="27"/>
          <w:rtl/>
        </w:rPr>
      </w:pPr>
    </w:p>
    <w:p w:rsidR="005D65E9" w:rsidRPr="00904FCB" w:rsidRDefault="005D65E9" w:rsidP="007A21AA">
      <w:pPr>
        <w:pStyle w:val="31"/>
        <w:spacing w:line="400" w:lineRule="exact"/>
        <w:rPr>
          <w:b/>
          <w:bCs w:val="0"/>
          <w:color w:val="auto"/>
          <w:rtl/>
        </w:rPr>
      </w:pPr>
      <w:r w:rsidRPr="00904FCB">
        <w:rPr>
          <w:rFonts w:hint="cs"/>
          <w:color w:val="auto"/>
          <w:rtl/>
        </w:rPr>
        <w:t>ملاحظات على مرجعيّة ولاية الأمر في حلّ معضل الثابت والمتغيِّر</w:t>
      </w:r>
    </w:p>
    <w:p w:rsidR="005D65E9" w:rsidRPr="00904FCB" w:rsidRDefault="005D65E9" w:rsidP="007A21AA">
      <w:pPr>
        <w:spacing w:line="400" w:lineRule="exact"/>
        <w:rPr>
          <w:sz w:val="27"/>
          <w:rtl/>
        </w:rPr>
      </w:pPr>
      <w:r w:rsidRPr="00904FCB">
        <w:rPr>
          <w:rFonts w:hint="cs"/>
          <w:sz w:val="27"/>
          <w:rtl/>
        </w:rPr>
        <w:t>وقد سجَّل بعض العلماء ـ ويمكن أن تُضاف ـ ملاحظاتٌ ومناقشات أمام اتّجاه الطباطبائي والصدر، الذي يمثِّل اتجاهاً واسعاً داخل الرؤية الفقهية لكثير من الحركات الإسلاميّة اليوم. وسأكتفي ببعض الملاحظات، تاركاً تفصيل ذلك إلى الدراسات المختصّة؛ إذ قد تبلغ الملاحظات هنا ما يقارب عشر ملاحظات، فصَّلناها في دروسنا الأصوليّة.</w:t>
      </w:r>
    </w:p>
    <w:p w:rsidR="005D65E9" w:rsidRPr="00904FCB" w:rsidRDefault="005D65E9" w:rsidP="007A21AA">
      <w:pPr>
        <w:spacing w:line="400" w:lineRule="exact"/>
        <w:rPr>
          <w:sz w:val="27"/>
          <w:rtl/>
        </w:rPr>
      </w:pPr>
      <w:r w:rsidRPr="00904FCB">
        <w:rPr>
          <w:rFonts w:hint="cs"/>
          <w:sz w:val="27"/>
          <w:rtl/>
        </w:rPr>
        <w:t>حين ينصّ السيّد الصدر على عنوان منطقة الفراغ فهل يعني من ذلك وجود فراغ حقيقيّ في الشريعة الإسلاميّة؟ وإذا كان الأمر كذلك فكيف هو السبيل للتوفيق بين هذا الفراغ وبين المنطلق الذي قرَّره الأصوليّون، والقائل: ما من واقعة إلاّ ولله فيها حكمٌ؟!</w:t>
      </w:r>
    </w:p>
    <w:p w:rsidR="005D65E9" w:rsidRPr="00904FCB" w:rsidRDefault="005D65E9" w:rsidP="007A21AA">
      <w:pPr>
        <w:spacing w:line="400" w:lineRule="exact"/>
        <w:rPr>
          <w:sz w:val="27"/>
          <w:rtl/>
        </w:rPr>
      </w:pPr>
      <w:r w:rsidRPr="00904FCB">
        <w:rPr>
          <w:rFonts w:hint="cs"/>
          <w:sz w:val="27"/>
          <w:rtl/>
        </w:rPr>
        <w:t xml:space="preserve">وفي سبيل حلِّ هذا الإعضال علينا أن نستبعد أن يكون المقصودُ من وجود منطقة فراغٍ الفراغَ التشريعي؛ لأنّ هذا لا ينسجم مع البنية التحتيّة الأصوليّة الكلاميّة، والتي أثبتت ـ وفق رأي مشهور الفقهاء ـ عدم وجود فراغٍ تشريعي في </w:t>
      </w:r>
      <w:r w:rsidRPr="00904FCB">
        <w:rPr>
          <w:rFonts w:hint="cs"/>
          <w:sz w:val="27"/>
          <w:rtl/>
        </w:rPr>
        <w:lastRenderedPageBreak/>
        <w:t>الشريعة الإسلاميّة.</w:t>
      </w:r>
    </w:p>
    <w:p w:rsidR="005D65E9" w:rsidRPr="00904FCB" w:rsidRDefault="005D65E9" w:rsidP="007A21AA">
      <w:pPr>
        <w:spacing w:line="400" w:lineRule="exact"/>
        <w:rPr>
          <w:sz w:val="27"/>
          <w:rtl/>
        </w:rPr>
      </w:pPr>
      <w:r w:rsidRPr="00904FCB">
        <w:rPr>
          <w:rFonts w:hint="cs"/>
          <w:sz w:val="27"/>
          <w:rtl/>
        </w:rPr>
        <w:t>وبعد استبعاد هذا اللون من الفراغ ينفتح المجال أمام لونٍ آخر من الفراغ يقع في دائرة المباح، وهو الذي يُصْطَلَح عليه بـ (الفراغ الإلزاميّ). وهنا حين نرجع إلى وليّ الأمر فعلى أيّ أساسٍ يسنّ وليّ الأمر القوانين في هذه الدائرة؟</w:t>
      </w:r>
    </w:p>
    <w:p w:rsidR="005D65E9" w:rsidRPr="00904FCB" w:rsidRDefault="005D65E9" w:rsidP="007A21AA">
      <w:pPr>
        <w:spacing w:line="400" w:lineRule="exact"/>
        <w:rPr>
          <w:sz w:val="27"/>
          <w:rtl/>
        </w:rPr>
      </w:pPr>
      <w:r w:rsidRPr="00904FCB">
        <w:rPr>
          <w:rFonts w:hint="cs"/>
          <w:sz w:val="27"/>
          <w:rtl/>
        </w:rPr>
        <w:t>قالوا: هناك أساسان يعتمد عليهما وليّ الأمر في ذلك:</w:t>
      </w:r>
    </w:p>
    <w:p w:rsidR="005D65E9" w:rsidRPr="00904FCB" w:rsidRDefault="005D65E9" w:rsidP="007A21AA">
      <w:pPr>
        <w:spacing w:line="400" w:lineRule="exact"/>
        <w:rPr>
          <w:sz w:val="27"/>
          <w:rtl/>
        </w:rPr>
      </w:pPr>
      <w:r w:rsidRPr="00904FCB">
        <w:rPr>
          <w:rFonts w:hint="cs"/>
          <w:sz w:val="27"/>
          <w:rtl/>
        </w:rPr>
        <w:t>أـ العنوان الثانوي.</w:t>
      </w:r>
    </w:p>
    <w:p w:rsidR="005D65E9" w:rsidRPr="00904FCB" w:rsidRDefault="005D65E9" w:rsidP="007A21AA">
      <w:pPr>
        <w:spacing w:line="400" w:lineRule="exact"/>
        <w:rPr>
          <w:sz w:val="27"/>
          <w:rtl/>
        </w:rPr>
      </w:pPr>
      <w:r w:rsidRPr="00904FCB">
        <w:rPr>
          <w:rFonts w:hint="cs"/>
          <w:sz w:val="27"/>
          <w:rtl/>
        </w:rPr>
        <w:t>ب ـ المصلحة والمفسدة.</w:t>
      </w:r>
    </w:p>
    <w:p w:rsidR="005D65E9" w:rsidRPr="00904FCB" w:rsidRDefault="005D65E9" w:rsidP="007A21AA">
      <w:pPr>
        <w:spacing w:line="400" w:lineRule="exact"/>
        <w:rPr>
          <w:sz w:val="27"/>
          <w:rtl/>
        </w:rPr>
      </w:pPr>
      <w:r w:rsidRPr="00904FCB">
        <w:rPr>
          <w:rFonts w:hint="cs"/>
          <w:b/>
          <w:bCs/>
          <w:sz w:val="27"/>
          <w:rtl/>
        </w:rPr>
        <w:t>فإذا سنّ وليّ الأمر القوانين على أساس العنوان الثانوي</w:t>
      </w:r>
      <w:r w:rsidRPr="00904FCB">
        <w:rPr>
          <w:rFonts w:hint="cs"/>
          <w:sz w:val="27"/>
          <w:rtl/>
        </w:rPr>
        <w:t xml:space="preserve"> فلا خلاف في هذا، إذا جاء ذلك مخالفاً للحكم الأوليّ. وليس هذا من مرجعيّة وليّ الأمر. بل إنّ بعض القواعد الفقهيّة ـ كقاعدة لا ضرر، ولا حَرَج ـ حاكمةٌ على سائر الأدلّة الأوليّة. وعلى هذا فإذا كان المقصود من سنّ القوانين الجديدة لمواكبة الحياة هو من خلال العودة إلى العناوين الثانويّة الشرعيّة، كقاعدتي لا ضَرَر ولا حَرَج وقواعد التزاحم وغيرها، فهذا الأمر ليس جديداً؛ لأنّ جميع العلماء يقولون بذلك. بل حتّى مَنْ لا يرى وجود منطقة فراغ في الشريعة الإسلاميّة يذهب إلى ذلك. وطبعاً يبقى سؤال نتركه الآن: هل تستطيع العناوين الثانوية وحدها أن تخلق نظاماً تشريعيّاً مُعِينَاً وواسعاً في ظلّ المتغيِّرات الكثيرة؟!</w:t>
      </w:r>
    </w:p>
    <w:p w:rsidR="005D65E9" w:rsidRPr="00904FCB" w:rsidRDefault="005D65E9" w:rsidP="007A21AA">
      <w:pPr>
        <w:spacing w:line="400" w:lineRule="exact"/>
        <w:rPr>
          <w:sz w:val="27"/>
          <w:rtl/>
        </w:rPr>
      </w:pPr>
      <w:r w:rsidRPr="00904FCB">
        <w:rPr>
          <w:rFonts w:hint="cs"/>
          <w:b/>
          <w:bCs/>
          <w:sz w:val="27"/>
          <w:rtl/>
        </w:rPr>
        <w:t>أمّا إذا سنّ وليّ الأمر القوانين على أساس المنطلق الثاني (المصلحة والمفسدة)</w:t>
      </w:r>
      <w:r w:rsidRPr="00904FCB">
        <w:rPr>
          <w:rFonts w:hint="cs"/>
          <w:sz w:val="27"/>
          <w:rtl/>
        </w:rPr>
        <w:t>، بأن نقول: إنّ لوليّ الأمر ولاية ممنوحة له على المجتمع، كولاية الأب على الطفل الصغير القاصر. وإنّ هذه الولاية يمكنه إعمالها من غير حاجةٍ إلى استخدام عناوين ثانويّة أو غيرها، ولا يشترط فيها إلاّ وجود المصلحة للمولَّى عليهم، حيث يقوم الأب بتشخيص المصلحة بعقله المتواضع، ثمّ يسنّ القوانين لأولاده، منظّماً أمورهم. وإنّ هذه الولاية التي في دائرة الأسرة يمكن توسعتها للأمّة كلّها بالنسبة لوليّ الأمر. وهنا لا تلجأ الدولة الإسلاميّة إلى العناوين الثانويّة، بل تمارس نفس الولاية التي أُعطيَتْ للأب والجدّ على الأولاد؛ للتصرُّف بشؤونهم وفقاً لما يرَوْنه من مصلحةٍ لهم، فيكون هذا التدخُّل عن طريق دليل الولاية، لا عن طريق دليل العناوين الثانويّة.</w:t>
      </w:r>
    </w:p>
    <w:p w:rsidR="005D65E9" w:rsidRPr="00904FCB" w:rsidRDefault="005D65E9" w:rsidP="007A21AA">
      <w:pPr>
        <w:spacing w:line="400" w:lineRule="exact"/>
        <w:rPr>
          <w:sz w:val="27"/>
          <w:rtl/>
        </w:rPr>
      </w:pPr>
      <w:r w:rsidRPr="00904FCB">
        <w:rPr>
          <w:rFonts w:hint="cs"/>
          <w:sz w:val="27"/>
          <w:rtl/>
        </w:rPr>
        <w:t xml:space="preserve">ونصوص السيّد الصدر تؤيِّد هذا الافتراض، رغم أنّ ما كتبه الصدر عن هذا </w:t>
      </w:r>
      <w:r w:rsidRPr="00904FCB">
        <w:rPr>
          <w:rFonts w:hint="cs"/>
          <w:sz w:val="27"/>
          <w:rtl/>
        </w:rPr>
        <w:lastRenderedPageBreak/>
        <w:t>الموضوع ـ وللأسف ـ ليس سوى صفحاتٍ قليلة في كتابَيْه: (اقتصادنا)؛ و(الإسلام يقود الحياة)، بنحو الاستطراد، ولو طرحه في بحوثه الأصوليّة لكان علاجه له وإيضاحه أكبر. من هنا كان لزاماً علينا الذهاب خلف عباراته المختصرة؛ للتكهُّن بما يريد.</w:t>
      </w:r>
    </w:p>
    <w:p w:rsidR="005D65E9" w:rsidRPr="00904FCB" w:rsidRDefault="005D65E9" w:rsidP="007A21AA">
      <w:pPr>
        <w:spacing w:line="400" w:lineRule="exact"/>
        <w:rPr>
          <w:sz w:val="27"/>
          <w:rtl/>
        </w:rPr>
      </w:pPr>
      <w:r w:rsidRPr="00904FCB">
        <w:rPr>
          <w:rFonts w:hint="cs"/>
          <w:sz w:val="27"/>
          <w:rtl/>
        </w:rPr>
        <w:t>والأمر كذلك عند العلامة الطباطبائي، فالبحث عنده جاء بشكلٍ استطرادي</w:t>
      </w:r>
      <w:r w:rsidR="007867BE">
        <w:rPr>
          <w:rFonts w:hint="cs"/>
          <w:sz w:val="27"/>
          <w:rtl/>
        </w:rPr>
        <w:t>،</w:t>
      </w:r>
      <w:r w:rsidRPr="00904FCB">
        <w:rPr>
          <w:rFonts w:hint="cs"/>
          <w:sz w:val="27"/>
          <w:rtl/>
        </w:rPr>
        <w:t xml:space="preserve"> وليس بنحو تأصيلي وتأسيسي موسَّع.</w:t>
      </w:r>
    </w:p>
    <w:p w:rsidR="005D65E9" w:rsidRPr="00904FCB" w:rsidRDefault="005D65E9" w:rsidP="007A21AA">
      <w:pPr>
        <w:spacing w:line="400" w:lineRule="exact"/>
        <w:rPr>
          <w:sz w:val="27"/>
          <w:rtl/>
        </w:rPr>
      </w:pPr>
      <w:r w:rsidRPr="00904FCB">
        <w:rPr>
          <w:rFonts w:hint="cs"/>
          <w:b/>
          <w:bCs/>
          <w:sz w:val="27"/>
          <w:rtl/>
        </w:rPr>
        <w:t>ومجمل القول عندهم</w:t>
      </w:r>
      <w:r w:rsidRPr="00904FCB">
        <w:rPr>
          <w:rFonts w:hint="cs"/>
          <w:sz w:val="27"/>
          <w:rtl/>
        </w:rPr>
        <w:t>:</w:t>
      </w:r>
      <w:r w:rsidRPr="00904FCB">
        <w:rPr>
          <w:rFonts w:hint="cs"/>
          <w:b/>
          <w:bCs/>
          <w:sz w:val="27"/>
          <w:rtl/>
        </w:rPr>
        <w:t xml:space="preserve"> </w:t>
      </w:r>
      <w:r w:rsidRPr="00904FCB">
        <w:rPr>
          <w:rFonts w:hint="cs"/>
          <w:sz w:val="27"/>
          <w:rtl/>
        </w:rPr>
        <w:t>إنّ ما يمارسه وليّ الأمر لا يرجع إلى العناوين الثانويّة بالضرورة، وإنّما إلى دليل ولايته، وإعمال القوانين وفقاً لما يراه من مصلحةٍ. كما لا يحقّ له التدخّل في الأحكام الشرعيّة؛ لكونها شرع الله الثابت. ولكنْ حيث إنّها مساحة مباحات فيكون تدخّل وليّ الأمر فيها بالوضع والرفع غير مخالف لشرع الله عزَّ وجلَّ.</w:t>
      </w:r>
    </w:p>
    <w:p w:rsidR="005D65E9" w:rsidRPr="00904FCB" w:rsidRDefault="005D65E9" w:rsidP="007A21AA">
      <w:pPr>
        <w:spacing w:line="400" w:lineRule="exact"/>
        <w:rPr>
          <w:sz w:val="27"/>
          <w:rtl/>
        </w:rPr>
      </w:pPr>
      <w:r w:rsidRPr="00904FCB">
        <w:rPr>
          <w:rFonts w:hint="cs"/>
          <w:sz w:val="27"/>
          <w:rtl/>
        </w:rPr>
        <w:t>إذن إذا أردنا أن نحلِّل نظريّة مرجعيّة ولاية الأمر المساعدة ـ والتي تبنّاها الطباطبائي والصدر و... ـ نلاحظ أنّها ترجع في حقيقة الأمر إلى دليل الولاية، الذي يسمح لوليّ الأمر بسنّ القوانين وفقاً لما يراه من المصلحة؛ لأنّ دليل الولاية يعطيه الصلاحيّة في هذه الدائرة، لا أنّه يرجع إلى العناوين الثانويّة بالضرورة.</w:t>
      </w:r>
    </w:p>
    <w:p w:rsidR="005D65E9" w:rsidRPr="00904FCB" w:rsidRDefault="005D65E9" w:rsidP="007A21AA">
      <w:pPr>
        <w:spacing w:line="400" w:lineRule="exact"/>
        <w:rPr>
          <w:sz w:val="27"/>
          <w:rtl/>
        </w:rPr>
      </w:pPr>
      <w:r w:rsidRPr="00904FCB">
        <w:rPr>
          <w:rFonts w:hint="cs"/>
          <w:sz w:val="27"/>
          <w:rtl/>
        </w:rPr>
        <w:t>وهنا يتَّضح الفرق بين نظريّة الطباطبائي والصدر؛ فالأوّل لم يفرِّق بين المباح وغيره. ومن هنا أشكلوا عليه بكون الترخيص الذي منحْتَه لوليّ الأمر لازمه الاجتهاد في مقابل النصّ؛ لأنّ نظريَّتك تقول: يمكن لوليّ الأمر سنّ القوانين في دائرة الإلزامات (= غير المباح) وفقاً لما يراه من مصلحةٍ، وهذا بعينه تعطيلٌ للشريعة، في مقابل نظر وليّ الأمر، بلا دخول العناوين الثانويّة على الخطّ.</w:t>
      </w:r>
    </w:p>
    <w:p w:rsidR="005D65E9" w:rsidRPr="00904FCB" w:rsidRDefault="005D65E9" w:rsidP="007A21AA">
      <w:pPr>
        <w:spacing w:line="400" w:lineRule="exact"/>
        <w:rPr>
          <w:sz w:val="27"/>
          <w:rtl/>
        </w:rPr>
      </w:pPr>
      <w:r w:rsidRPr="00904FCB">
        <w:rPr>
          <w:rFonts w:hint="cs"/>
          <w:sz w:val="27"/>
          <w:rtl/>
        </w:rPr>
        <w:t>من هنا نلاحظ أنّ نصوص السيّد الصدر كانت أكثر دقّةً من الزاوية الأصوليّة من عبارات الطباطبائي؛ لأنّ كلمات الأخير حملت ظاهراً استوحي منه أنّ لوليّ الأمر حقّ التدخّل في المتغيِّرات مطلقاً، سواء أكان فيها إلزامٌ أم لا. وهذا خلاف النصّ الموجود في هذا الإطار.</w:t>
      </w:r>
    </w:p>
    <w:p w:rsidR="005D65E9" w:rsidRPr="00904FCB" w:rsidRDefault="005D65E9" w:rsidP="007867BE">
      <w:pPr>
        <w:spacing w:line="400" w:lineRule="exact"/>
        <w:rPr>
          <w:sz w:val="27"/>
          <w:rtl/>
        </w:rPr>
      </w:pPr>
      <w:r w:rsidRPr="00904FCB">
        <w:rPr>
          <w:rFonts w:hint="cs"/>
          <w:sz w:val="27"/>
          <w:rtl/>
        </w:rPr>
        <w:t xml:space="preserve">وعليه، فمرجعية دليل الولاية إذا أخذ على إطلاقه ليشمل الإلزامات توقعنا في الاجتهاد المقابل للنصّ، أمّا إذا تمّ حصرها بالمباحات، كما فعل السيد الصدر، فهي توقعنا في إشكاليّةٍ أخرى، وهي أنّ الشريعة قد منحت العقل الإنسانيّ (عقل وليّ </w:t>
      </w:r>
      <w:r w:rsidRPr="00904FCB">
        <w:rPr>
          <w:rFonts w:hint="cs"/>
          <w:sz w:val="27"/>
          <w:rtl/>
        </w:rPr>
        <w:lastRenderedPageBreak/>
        <w:t xml:space="preserve">الأمر) صلاحية سنّ القوانين في مدد زمنيّة طويلة تَبَعاً لحاجات البشر، وهذا إقرارٌ ضمنيّ حقيقيّ بأنّ الشريعة لم تكن قادرةً على أن تسنّ قوانين جميع الشعوب في جميع الأزمنة والأمكنة من خلال نصوصها التي ترجع </w:t>
      </w:r>
      <w:r w:rsidR="007867BE">
        <w:rPr>
          <w:rFonts w:hint="cs"/>
          <w:sz w:val="27"/>
          <w:rtl/>
        </w:rPr>
        <w:t xml:space="preserve">إلى </w:t>
      </w:r>
      <w:r w:rsidRPr="00904FCB">
        <w:rPr>
          <w:rFonts w:hint="cs"/>
          <w:sz w:val="27"/>
          <w:rtl/>
        </w:rPr>
        <w:t>مئات السنين الماضية. وبهذا يأخذ الناقد العلماني وثيقةً إضافيّة من نصوص المفكِّرين الإسلاميّين بأنّهم يقرّون بأنّ الشريعة ليست قادرة ـ من خلال نصوصها الأصليّة ـ على تغطية جميع الوقائع، وأنّ مجموعةً وافرة من الوقائع المستجدّة قد مُنحَتْ صلاحيّة تشخيص المصلحة والمفسدة فيها لوليّ الأمر، ليُصدر قوانينه بهذا الصدد في دائرتها. وهذا نقضٌ حقيقي لقاعدة: ما من واقعةٍ إلاّ ولها حكمٌ، وأمثال هذه القواعد، التي تفترض بوصفها مسلَّمات قاطعة في الاجتهاد الشرعي!</w:t>
      </w:r>
    </w:p>
    <w:p w:rsidR="00D45852" w:rsidRPr="00904FCB" w:rsidRDefault="00D45852" w:rsidP="007867BE">
      <w:pPr>
        <w:spacing w:line="400" w:lineRule="exact"/>
        <w:rPr>
          <w:sz w:val="27"/>
          <w:rtl/>
        </w:rPr>
      </w:pPr>
      <w:r w:rsidRPr="00904FCB">
        <w:rPr>
          <w:rFonts w:hint="cs"/>
          <w:sz w:val="27"/>
          <w:rtl/>
        </w:rPr>
        <w:t>وعليه، فنظرية مرجعيّة وليّ الأمر إما ترجع إلى العناوين الثانوية، فلا جديد فيها</w:t>
      </w:r>
      <w:r w:rsidR="007867BE">
        <w:rPr>
          <w:rFonts w:hint="cs"/>
          <w:sz w:val="27"/>
          <w:rtl/>
        </w:rPr>
        <w:t>؛</w:t>
      </w:r>
      <w:r w:rsidRPr="00904FCB">
        <w:rPr>
          <w:rFonts w:hint="cs"/>
          <w:sz w:val="27"/>
          <w:rtl/>
        </w:rPr>
        <w:t xml:space="preserve"> أو ترجع إلى مرجعيّة العقل الإنساني في سدّ فراغ التقنين الديني، وهذا يناقض أصول مدرسة أصحاب هذه النظريّة.</w:t>
      </w:r>
    </w:p>
    <w:p w:rsidR="00E37E31" w:rsidRDefault="005D65E9" w:rsidP="00E37E31">
      <w:pPr>
        <w:spacing w:line="400" w:lineRule="exact"/>
        <w:rPr>
          <w:sz w:val="27"/>
          <w:rtl/>
        </w:rPr>
      </w:pPr>
      <w:r w:rsidRPr="00904FCB">
        <w:rPr>
          <w:rFonts w:hint="cs"/>
          <w:sz w:val="27"/>
          <w:rtl/>
        </w:rPr>
        <w:t>إنّ نظرية مرجعيّة ولاية الأمر هنا مطالَبةٌ بالجواب عن هذا التساؤل. وثمّة ملاحظاتٌ عدّة أ</w:t>
      </w:r>
      <w:r w:rsidR="00E37E31">
        <w:rPr>
          <w:rFonts w:hint="cs"/>
          <w:sz w:val="27"/>
          <w:rtl/>
        </w:rPr>
        <w:t>خرى نتركها للتفاصيل والمطوَّلات.</w:t>
      </w:r>
    </w:p>
    <w:p w:rsidR="00E37E31" w:rsidRDefault="00E37E31" w:rsidP="00E37E31">
      <w:pPr>
        <w:spacing w:line="400" w:lineRule="exact"/>
        <w:rPr>
          <w:sz w:val="27"/>
          <w:rtl/>
        </w:rPr>
      </w:pPr>
    </w:p>
    <w:p w:rsidR="00A54D8E" w:rsidRPr="00E37E31" w:rsidRDefault="005D65E9" w:rsidP="00E37E31">
      <w:pPr>
        <w:spacing w:line="400" w:lineRule="exact"/>
        <w:jc w:val="right"/>
        <w:rPr>
          <w:sz w:val="27"/>
          <w:rtl/>
        </w:rPr>
      </w:pPr>
      <w:r w:rsidRPr="00904FCB">
        <w:rPr>
          <w:rFonts w:hint="cs"/>
          <w:b/>
          <w:bCs/>
          <w:sz w:val="27"/>
          <w:rtl/>
        </w:rPr>
        <w:t>ـ يتبع ـ</w:t>
      </w:r>
    </w:p>
    <w:p w:rsidR="007E3E4C" w:rsidRPr="00904FCB" w:rsidRDefault="007E3E4C" w:rsidP="00E37E31">
      <w:pPr>
        <w:pStyle w:val="10"/>
        <w:spacing w:line="400" w:lineRule="exact"/>
        <w:jc w:val="both"/>
        <w:rPr>
          <w:rtl/>
        </w:rPr>
        <w:sectPr w:rsidR="007E3E4C" w:rsidRPr="00904FCB" w:rsidSect="00D45852">
          <w:footerReference w:type="even" r:id="rId21"/>
          <w:footerReference w:type="default" r:id="rId22"/>
          <w:endnotePr>
            <w:numFmt w:val="decimal"/>
            <w:numRestart w:val="eachSect"/>
          </w:endnotePr>
          <w:pgSz w:w="11907" w:h="16840" w:code="9"/>
          <w:pgMar w:top="2637" w:right="2438" w:bottom="3686" w:left="2438" w:header="2268" w:footer="3119" w:gutter="0"/>
          <w:cols w:space="720"/>
          <w:titlePg/>
          <w:docGrid w:linePitch="360"/>
        </w:sectPr>
      </w:pPr>
    </w:p>
    <w:p w:rsidR="007E3E4C" w:rsidRPr="00904FCB" w:rsidRDefault="00A54D8E" w:rsidP="007A21AA">
      <w:pPr>
        <w:spacing w:line="400" w:lineRule="exact"/>
      </w:pPr>
      <w:r w:rsidRPr="00904FCB">
        <w:rPr>
          <w:rtl/>
        </w:rPr>
        <w:lastRenderedPageBreak/>
        <w:br w:type="page"/>
      </w:r>
    </w:p>
    <w:p w:rsidR="002C6212" w:rsidRPr="00904FCB" w:rsidRDefault="002C6212" w:rsidP="007A21AA">
      <w:pPr>
        <w:spacing w:line="400" w:lineRule="exact"/>
        <w:rPr>
          <w:rtl/>
        </w:rPr>
        <w:sectPr w:rsidR="002C6212" w:rsidRPr="00904FCB"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904FCB" w:rsidRDefault="0032309E" w:rsidP="007A21AA">
      <w:pPr>
        <w:spacing w:line="400" w:lineRule="exact"/>
        <w:rPr>
          <w:sz w:val="52"/>
          <w:szCs w:val="51"/>
          <w:rtl/>
        </w:rPr>
      </w:pPr>
    </w:p>
    <w:p w:rsidR="0032309E" w:rsidRPr="00904FCB" w:rsidRDefault="0032309E" w:rsidP="007A21AA">
      <w:pPr>
        <w:spacing w:line="400" w:lineRule="exact"/>
        <w:rPr>
          <w:rtl/>
        </w:rPr>
      </w:pPr>
    </w:p>
    <w:p w:rsidR="00FA5A28" w:rsidRPr="002329B5" w:rsidRDefault="00D06DE6" w:rsidP="002329B5">
      <w:pPr>
        <w:pStyle w:val="10"/>
        <w:spacing w:line="240" w:lineRule="auto"/>
        <w:rPr>
          <w:sz w:val="48"/>
          <w:rtl/>
        </w:rPr>
      </w:pPr>
      <w:bookmarkStart w:id="8" w:name="_Toc435577170"/>
      <w:r w:rsidRPr="00904FCB">
        <w:rPr>
          <w:rFonts w:hint="cs"/>
          <w:sz w:val="48"/>
          <w:rtl/>
        </w:rPr>
        <w:t xml:space="preserve">الفقه </w:t>
      </w:r>
      <w:r w:rsidR="00D45852" w:rsidRPr="00904FCB">
        <w:rPr>
          <w:rFonts w:hint="cs"/>
          <w:sz w:val="48"/>
          <w:rtl/>
        </w:rPr>
        <w:t xml:space="preserve">الإسلامي </w:t>
      </w:r>
      <w:r w:rsidRPr="00904FCB">
        <w:rPr>
          <w:rFonts w:hint="cs"/>
          <w:sz w:val="42"/>
          <w:szCs w:val="42"/>
          <w:rtl/>
        </w:rPr>
        <w:t>وتحدّيات العصر الحديث</w:t>
      </w:r>
      <w:bookmarkEnd w:id="8"/>
    </w:p>
    <w:p w:rsidR="00D06DE6" w:rsidRPr="00904FCB" w:rsidRDefault="00D06DE6" w:rsidP="002329B5">
      <w:pPr>
        <w:spacing w:line="240" w:lineRule="auto"/>
        <w:ind w:firstLine="0"/>
        <w:jc w:val="center"/>
        <w:rPr>
          <w:rFonts w:cs="Ya-Ali"/>
          <w:sz w:val="32"/>
          <w:szCs w:val="31"/>
          <w:rtl/>
        </w:rPr>
      </w:pPr>
      <w:r w:rsidRPr="00904FCB">
        <w:rPr>
          <w:rFonts w:cs="Ya-Ali" w:hint="cs"/>
          <w:sz w:val="32"/>
          <w:szCs w:val="31"/>
          <w:rtl/>
        </w:rPr>
        <w:t>ـ القسم الأوّل ـ</w:t>
      </w:r>
    </w:p>
    <w:p w:rsidR="00FA5A28" w:rsidRPr="00904FCB" w:rsidRDefault="00FA5A28" w:rsidP="007A21AA">
      <w:pPr>
        <w:spacing w:line="400" w:lineRule="exact"/>
        <w:rPr>
          <w:rtl/>
        </w:rPr>
      </w:pPr>
    </w:p>
    <w:p w:rsidR="00E94E45" w:rsidRPr="00904FCB" w:rsidRDefault="00D45852" w:rsidP="007A21AA">
      <w:pPr>
        <w:pStyle w:val="Author"/>
        <w:spacing w:line="400" w:lineRule="exact"/>
        <w:rPr>
          <w:rtl/>
        </w:rPr>
      </w:pPr>
      <w:bookmarkStart w:id="9" w:name="_Toc435577171"/>
      <w:r w:rsidRPr="00904FCB">
        <w:rPr>
          <w:rFonts w:hint="cs"/>
          <w:rtl/>
        </w:rPr>
        <w:t xml:space="preserve">د. </w:t>
      </w:r>
      <w:r w:rsidR="00D06DE6" w:rsidRPr="00904FCB">
        <w:rPr>
          <w:rFonts w:hint="cs"/>
          <w:rtl/>
        </w:rPr>
        <w:t>أبو القاسم فنائي</w:t>
      </w:r>
      <w:r w:rsidR="00FA5A28" w:rsidRPr="00904FCB">
        <w:rPr>
          <w:rFonts w:cs="Taher" w:hint="cs"/>
          <w:vertAlign w:val="superscript"/>
          <w:rtl/>
        </w:rPr>
        <w:t>(</w:t>
      </w:r>
      <w:r w:rsidR="00E94E45" w:rsidRPr="00904FCB">
        <w:rPr>
          <w:rFonts w:cs="Taher"/>
          <w:vertAlign w:val="superscript"/>
          <w:rtl/>
        </w:rPr>
        <w:footnoteReference w:customMarkFollows="1" w:id="2"/>
        <w:t>*)</w:t>
      </w:r>
      <w:bookmarkEnd w:id="9"/>
    </w:p>
    <w:p w:rsidR="00C31A3E" w:rsidRPr="00904FCB" w:rsidRDefault="00C31A3E" w:rsidP="007A21AA">
      <w:pPr>
        <w:pStyle w:val="Author"/>
        <w:spacing w:line="400" w:lineRule="exact"/>
        <w:rPr>
          <w:rtl/>
        </w:rPr>
      </w:pPr>
      <w:bookmarkStart w:id="10" w:name="_Toc435577172"/>
      <w:r w:rsidRPr="00904FCB">
        <w:rPr>
          <w:rFonts w:hint="cs"/>
          <w:rtl/>
        </w:rPr>
        <w:t xml:space="preserve">ترجمة: </w:t>
      </w:r>
      <w:r w:rsidR="00D06DE6" w:rsidRPr="00904FCB">
        <w:rPr>
          <w:rFonts w:hint="cs"/>
          <w:rtl/>
        </w:rPr>
        <w:t>حسن مطر</w:t>
      </w:r>
      <w:bookmarkEnd w:id="10"/>
    </w:p>
    <w:p w:rsidR="00C31A3E" w:rsidRPr="00904FCB" w:rsidRDefault="00C31A3E" w:rsidP="007A21AA">
      <w:pPr>
        <w:spacing w:line="400" w:lineRule="exact"/>
        <w:rPr>
          <w:rtl/>
        </w:rPr>
      </w:pPr>
    </w:p>
    <w:p w:rsidR="00A45FD9" w:rsidRPr="00904FCB" w:rsidRDefault="00A45FD9" w:rsidP="007A21AA">
      <w:pPr>
        <w:spacing w:line="400" w:lineRule="exact"/>
        <w:rPr>
          <w:sz w:val="27"/>
          <w:rtl/>
        </w:rPr>
      </w:pPr>
      <w:r w:rsidRPr="00904FCB">
        <w:rPr>
          <w:rFonts w:hint="eastAsia"/>
          <w:sz w:val="27"/>
          <w:rtl/>
        </w:rPr>
        <w:t>«</w:t>
      </w:r>
      <w:r w:rsidRPr="00904FCB">
        <w:rPr>
          <w:rFonts w:hint="cs"/>
          <w:sz w:val="27"/>
          <w:rtl/>
        </w:rPr>
        <w:t>م</w:t>
      </w:r>
      <w:r w:rsidR="00233654" w:rsidRPr="00904FCB">
        <w:rPr>
          <w:rFonts w:hint="cs"/>
          <w:sz w:val="27"/>
          <w:rtl/>
        </w:rPr>
        <w:t>َ</w:t>
      </w:r>
      <w:r w:rsidRPr="00904FCB">
        <w:rPr>
          <w:rFonts w:hint="cs"/>
          <w:sz w:val="27"/>
          <w:rtl/>
        </w:rPr>
        <w:t>ن</w:t>
      </w:r>
      <w:r w:rsidR="00233654" w:rsidRPr="00904FCB">
        <w:rPr>
          <w:rFonts w:hint="cs"/>
          <w:sz w:val="27"/>
          <w:rtl/>
        </w:rPr>
        <w:t>ْ</w:t>
      </w:r>
      <w:r w:rsidRPr="00904FCB">
        <w:rPr>
          <w:rFonts w:hint="cs"/>
          <w:sz w:val="27"/>
          <w:rtl/>
        </w:rPr>
        <w:t xml:space="preserve"> كان له من نفسه واعظ</w:t>
      </w:r>
      <w:r w:rsidR="00233654" w:rsidRPr="00904FCB">
        <w:rPr>
          <w:rFonts w:hint="cs"/>
          <w:sz w:val="27"/>
          <w:rtl/>
        </w:rPr>
        <w:t>ٌ</w:t>
      </w:r>
      <w:r w:rsidRPr="00904FCB">
        <w:rPr>
          <w:rFonts w:hint="cs"/>
          <w:sz w:val="27"/>
          <w:rtl/>
        </w:rPr>
        <w:t>، كان عليه من الله حافظ</w:t>
      </w:r>
      <w:r w:rsidR="00233654" w:rsidRPr="00904FCB">
        <w:rPr>
          <w:rFonts w:hint="cs"/>
          <w:sz w:val="27"/>
          <w:rtl/>
        </w:rPr>
        <w:t>ٌ</w:t>
      </w:r>
      <w:r w:rsidRPr="00904FCB">
        <w:rPr>
          <w:rFonts w:hint="eastAsia"/>
          <w:sz w:val="27"/>
          <w:rtl/>
        </w:rPr>
        <w:t>»</w:t>
      </w:r>
      <w:r w:rsidRPr="00904FCB">
        <w:rPr>
          <w:sz w:val="27"/>
          <w:vertAlign w:val="superscript"/>
          <w:rtl/>
        </w:rPr>
        <w:t>(</w:t>
      </w:r>
      <w:r w:rsidRPr="00904FCB">
        <w:rPr>
          <w:sz w:val="27"/>
          <w:vertAlign w:val="superscript"/>
          <w:rtl/>
        </w:rPr>
        <w:endnoteReference w:id="1"/>
      </w:r>
      <w:r w:rsidRPr="00904FCB">
        <w:rPr>
          <w:sz w:val="27"/>
          <w:vertAlign w:val="superscript"/>
          <w:rtl/>
        </w:rPr>
        <w:t>)</w:t>
      </w:r>
      <w:r w:rsidRPr="00904FCB">
        <w:rPr>
          <w:rFonts w:hint="cs"/>
          <w:sz w:val="27"/>
          <w:rtl/>
        </w:rPr>
        <w:t xml:space="preserve"> (الإمام علي</w:t>
      </w:r>
      <w:r w:rsidR="001C1A2A" w:rsidRPr="00904FCB">
        <w:rPr>
          <w:rFonts w:cs="Mosawi" w:hint="cs"/>
          <w:sz w:val="27"/>
          <w:szCs w:val="22"/>
          <w:rtl/>
        </w:rPr>
        <w:t>×</w:t>
      </w:r>
      <w:r w:rsidRPr="00904FCB">
        <w:rPr>
          <w:rFonts w:hint="cs"/>
          <w:sz w:val="27"/>
          <w:rtl/>
        </w:rPr>
        <w:t>).</w:t>
      </w:r>
    </w:p>
    <w:p w:rsidR="00A45FD9" w:rsidRPr="00904FCB" w:rsidRDefault="00A45FD9" w:rsidP="007A21AA">
      <w:pPr>
        <w:spacing w:line="400" w:lineRule="exact"/>
        <w:rPr>
          <w:sz w:val="27"/>
          <w:rtl/>
        </w:rPr>
      </w:pPr>
      <w:r w:rsidRPr="00904FCB">
        <w:rPr>
          <w:rFonts w:hint="cs"/>
          <w:sz w:val="27"/>
          <w:rtl/>
        </w:rPr>
        <w:t xml:space="preserve"> </w:t>
      </w:r>
    </w:p>
    <w:p w:rsidR="00A45FD9" w:rsidRPr="00904FCB" w:rsidRDefault="00A45FD9" w:rsidP="007A21AA">
      <w:pPr>
        <w:pStyle w:val="31"/>
        <w:spacing w:line="400" w:lineRule="exact"/>
        <w:rPr>
          <w:color w:val="auto"/>
          <w:rtl/>
        </w:rPr>
      </w:pPr>
      <w:r w:rsidRPr="00CB554E">
        <w:rPr>
          <w:rFonts w:hint="cs"/>
          <w:color w:val="auto"/>
          <w:rtl/>
        </w:rPr>
        <w:t xml:space="preserve">1ـ </w:t>
      </w:r>
      <w:r w:rsidRPr="00904FCB">
        <w:rPr>
          <w:rFonts w:hint="cs"/>
          <w:color w:val="auto"/>
          <w:rtl/>
        </w:rPr>
        <w:t>مدخل</w:t>
      </w:r>
    </w:p>
    <w:p w:rsidR="00A45FD9" w:rsidRPr="00904FCB" w:rsidRDefault="00D45852" w:rsidP="00EA538F">
      <w:pPr>
        <w:spacing w:line="420" w:lineRule="exact"/>
        <w:rPr>
          <w:sz w:val="27"/>
          <w:rtl/>
        </w:rPr>
      </w:pPr>
      <w:r w:rsidRPr="00904FCB">
        <w:rPr>
          <w:rFonts w:hint="cs"/>
          <w:sz w:val="27"/>
          <w:rtl/>
        </w:rPr>
        <w:t xml:space="preserve">سنعالج هنا </w:t>
      </w:r>
      <w:r w:rsidR="00A45FD9" w:rsidRPr="00904FCB">
        <w:rPr>
          <w:rFonts w:hint="cs"/>
          <w:sz w:val="27"/>
          <w:rtl/>
        </w:rPr>
        <w:t xml:space="preserve">مسار مواجهة الفقه التقليدي (الأخلاق الدينية) لتحديات العصر الحديث، وذلك من أجل بيان عناصر تأثير </w:t>
      </w:r>
      <w:r w:rsidR="00A45FD9" w:rsidRPr="00904FCB">
        <w:rPr>
          <w:rFonts w:hint="eastAsia"/>
          <w:sz w:val="27"/>
          <w:rtl/>
        </w:rPr>
        <w:t>«</w:t>
      </w:r>
      <w:r w:rsidR="00A45FD9" w:rsidRPr="00904FCB">
        <w:rPr>
          <w:rFonts w:hint="cs"/>
          <w:sz w:val="27"/>
          <w:rtl/>
        </w:rPr>
        <w:t>الزمان والمكان على الاجتهاد</w:t>
      </w:r>
      <w:r w:rsidR="00A45FD9" w:rsidRPr="00904FCB">
        <w:rPr>
          <w:rFonts w:hint="eastAsia"/>
          <w:sz w:val="27"/>
          <w:rtl/>
        </w:rPr>
        <w:t>»</w:t>
      </w:r>
      <w:r w:rsidR="00A45FD9" w:rsidRPr="00904FCB">
        <w:rPr>
          <w:rFonts w:hint="cs"/>
          <w:sz w:val="27"/>
          <w:rtl/>
        </w:rPr>
        <w:t xml:space="preserve">، وما هي أسباب </w:t>
      </w:r>
      <w:r w:rsidR="00A45FD9" w:rsidRPr="00904FCB">
        <w:rPr>
          <w:rFonts w:hint="eastAsia"/>
          <w:sz w:val="27"/>
          <w:rtl/>
        </w:rPr>
        <w:t>«</w:t>
      </w:r>
      <w:r w:rsidR="00A45FD9" w:rsidRPr="00904FCB">
        <w:rPr>
          <w:rFonts w:hint="cs"/>
          <w:sz w:val="27"/>
          <w:rtl/>
        </w:rPr>
        <w:t>عدم كفاية الاجتهاد بمعناه المصطلح في الحوزات العلمية</w:t>
      </w:r>
      <w:r w:rsidR="00A45FD9" w:rsidRPr="00904FCB">
        <w:rPr>
          <w:rFonts w:hint="eastAsia"/>
          <w:sz w:val="27"/>
          <w:rtl/>
        </w:rPr>
        <w:t>»</w:t>
      </w:r>
      <w:r w:rsidR="00643A6D">
        <w:rPr>
          <w:rFonts w:hint="cs"/>
          <w:sz w:val="27"/>
          <w:rtl/>
        </w:rPr>
        <w:t>؟</w:t>
      </w:r>
      <w:r w:rsidR="00A45FD9" w:rsidRPr="00904FCB">
        <w:rPr>
          <w:rFonts w:hint="cs"/>
          <w:sz w:val="27"/>
          <w:rtl/>
        </w:rPr>
        <w:t xml:space="preserve"> نرى أن </w:t>
      </w:r>
      <w:r w:rsidR="00A45FD9" w:rsidRPr="00904FCB">
        <w:rPr>
          <w:rFonts w:hint="eastAsia"/>
          <w:sz w:val="27"/>
          <w:rtl/>
        </w:rPr>
        <w:t>«</w:t>
      </w:r>
      <w:r w:rsidR="00A45FD9" w:rsidRPr="00904FCB">
        <w:rPr>
          <w:rFonts w:hint="cs"/>
          <w:sz w:val="27"/>
          <w:rtl/>
        </w:rPr>
        <w:t>أخلاق الاجتهاد</w:t>
      </w:r>
      <w:r w:rsidR="00A45FD9" w:rsidRPr="00904FCB">
        <w:rPr>
          <w:rFonts w:hint="eastAsia"/>
          <w:sz w:val="27"/>
          <w:rtl/>
        </w:rPr>
        <w:t>»</w:t>
      </w:r>
      <w:r w:rsidR="00A45FD9" w:rsidRPr="00904FCB">
        <w:rPr>
          <w:rFonts w:hint="cs"/>
          <w:sz w:val="27"/>
          <w:rtl/>
        </w:rPr>
        <w:t xml:space="preserve"> هي الموضوع الأول الذي يحتاج إلى إعادة نظر جذرية معمّقة. إن البحث في أخلاق الاجتهاد هو نوع من الاجتهاد في أصول ومباني الاجتهاد الفقهي، وهذا النوع من الاجتهاد يتقد</w:t>
      </w:r>
      <w:r w:rsidR="00101AF4" w:rsidRPr="00904FCB">
        <w:rPr>
          <w:rFonts w:hint="cs"/>
          <w:sz w:val="27"/>
          <w:rtl/>
        </w:rPr>
        <w:t>ّ</w:t>
      </w:r>
      <w:r w:rsidR="00A45FD9" w:rsidRPr="00904FCB">
        <w:rPr>
          <w:rFonts w:hint="cs"/>
          <w:sz w:val="27"/>
          <w:rtl/>
        </w:rPr>
        <w:t xml:space="preserve">م من الناحية المنطقية على الاجتهاد في الفروع. </w:t>
      </w:r>
      <w:r w:rsidR="00101AF4" w:rsidRPr="00904FCB">
        <w:rPr>
          <w:rFonts w:hint="cs"/>
          <w:sz w:val="27"/>
          <w:rtl/>
        </w:rPr>
        <w:t>و</w:t>
      </w:r>
      <w:r w:rsidR="00A45FD9" w:rsidRPr="00904FCB">
        <w:rPr>
          <w:rFonts w:hint="cs"/>
          <w:sz w:val="27"/>
          <w:rtl/>
        </w:rPr>
        <w:t>بعبارة</w:t>
      </w:r>
      <w:r w:rsidR="00101AF4" w:rsidRPr="00904FCB">
        <w:rPr>
          <w:rFonts w:hint="cs"/>
          <w:sz w:val="27"/>
          <w:rtl/>
        </w:rPr>
        <w:t>ٍ</w:t>
      </w:r>
      <w:r w:rsidR="00A45FD9" w:rsidRPr="00904FCB">
        <w:rPr>
          <w:rFonts w:hint="cs"/>
          <w:sz w:val="27"/>
          <w:rtl/>
        </w:rPr>
        <w:t xml:space="preserve"> أخرى: إن أهم</w:t>
      </w:r>
      <w:r w:rsidR="00101AF4" w:rsidRPr="00904FCB">
        <w:rPr>
          <w:rFonts w:hint="cs"/>
          <w:sz w:val="27"/>
          <w:rtl/>
        </w:rPr>
        <w:t>ّ</w:t>
      </w:r>
      <w:r w:rsidR="00A45FD9" w:rsidRPr="00904FCB">
        <w:rPr>
          <w:rFonts w:hint="cs"/>
          <w:sz w:val="27"/>
          <w:rtl/>
        </w:rPr>
        <w:t xml:space="preserve"> ما يتعين على علماء الدين فعله في الظروف الراهنة هو </w:t>
      </w:r>
      <w:r w:rsidR="00A45FD9" w:rsidRPr="00904FCB">
        <w:rPr>
          <w:rFonts w:hint="eastAsia"/>
          <w:sz w:val="27"/>
          <w:rtl/>
        </w:rPr>
        <w:t>«</w:t>
      </w:r>
      <w:r w:rsidR="00A45FD9" w:rsidRPr="00904FCB">
        <w:rPr>
          <w:rFonts w:hint="cs"/>
          <w:sz w:val="27"/>
          <w:rtl/>
        </w:rPr>
        <w:t>إحداث التناغم بين أصول الدين وأصول العالم الحديث، وليس المناغمة بين فروع الدين وفروع العالم الحديث</w:t>
      </w:r>
      <w:r w:rsidR="00A45FD9" w:rsidRPr="00904FCB">
        <w:rPr>
          <w:rFonts w:hint="eastAsia"/>
          <w:sz w:val="27"/>
          <w:rtl/>
        </w:rPr>
        <w:t>»</w:t>
      </w:r>
      <w:r w:rsidR="00A45FD9" w:rsidRPr="00904FCB">
        <w:rPr>
          <w:sz w:val="27"/>
          <w:vertAlign w:val="superscript"/>
          <w:rtl/>
        </w:rPr>
        <w:t>(</w:t>
      </w:r>
      <w:r w:rsidR="00A45FD9" w:rsidRPr="00904FCB">
        <w:rPr>
          <w:sz w:val="27"/>
          <w:vertAlign w:val="superscript"/>
          <w:rtl/>
        </w:rPr>
        <w:endnoteReference w:id="2"/>
      </w:r>
      <w:r w:rsidR="00A45FD9" w:rsidRPr="00904FCB">
        <w:rPr>
          <w:sz w:val="27"/>
          <w:vertAlign w:val="superscript"/>
          <w:rtl/>
        </w:rPr>
        <w:t>)</w:t>
      </w:r>
      <w:r w:rsidR="00A45FD9" w:rsidRPr="00904FCB">
        <w:rPr>
          <w:rFonts w:hint="cs"/>
          <w:sz w:val="27"/>
          <w:rtl/>
        </w:rPr>
        <w:t>. ولكن</w:t>
      </w:r>
      <w:r w:rsidR="00101AF4" w:rsidRPr="00904FCB">
        <w:rPr>
          <w:rFonts w:hint="cs"/>
          <w:sz w:val="27"/>
          <w:rtl/>
        </w:rPr>
        <w:t>ْ</w:t>
      </w:r>
      <w:r w:rsidR="00A45FD9" w:rsidRPr="00904FCB">
        <w:rPr>
          <w:rFonts w:hint="cs"/>
          <w:sz w:val="27"/>
          <w:rtl/>
        </w:rPr>
        <w:t xml:space="preserve"> من الواضح أن النجاح في هذا الأمر رهن</w:t>
      </w:r>
      <w:r w:rsidR="00101AF4" w:rsidRPr="00904FCB">
        <w:rPr>
          <w:rFonts w:hint="cs"/>
          <w:sz w:val="27"/>
          <w:rtl/>
        </w:rPr>
        <w:t>ٌ</w:t>
      </w:r>
      <w:r w:rsidR="00A45FD9" w:rsidRPr="00904FCB">
        <w:rPr>
          <w:rFonts w:hint="cs"/>
          <w:sz w:val="27"/>
          <w:rtl/>
        </w:rPr>
        <w:t xml:space="preserve"> بأن تكون لدينا معرفة عميقة وشاملة بالعالم الجديد من جهة</w:t>
      </w:r>
      <w:r w:rsidR="00101AF4" w:rsidRPr="00904FCB">
        <w:rPr>
          <w:rFonts w:hint="cs"/>
          <w:sz w:val="27"/>
          <w:rtl/>
        </w:rPr>
        <w:t>ٍ</w:t>
      </w:r>
      <w:r w:rsidR="00A45FD9" w:rsidRPr="00904FCB">
        <w:rPr>
          <w:rFonts w:hint="cs"/>
          <w:sz w:val="27"/>
          <w:rtl/>
        </w:rPr>
        <w:t>، وإعادة النظر في مباني الاجتهاد في الدين والاجتهاد في الفقه من جهة</w:t>
      </w:r>
      <w:r w:rsidR="00101AF4" w:rsidRPr="00904FCB">
        <w:rPr>
          <w:rFonts w:hint="cs"/>
          <w:sz w:val="27"/>
          <w:rtl/>
        </w:rPr>
        <w:t>ٍ</w:t>
      </w:r>
      <w:r w:rsidR="00A45FD9" w:rsidRPr="00904FCB">
        <w:rPr>
          <w:rFonts w:hint="cs"/>
          <w:sz w:val="27"/>
          <w:rtl/>
        </w:rPr>
        <w:t xml:space="preserve"> أخرى. </w:t>
      </w:r>
      <w:r w:rsidR="00510A75" w:rsidRPr="00904FCB">
        <w:rPr>
          <w:rFonts w:hint="cs"/>
          <w:sz w:val="27"/>
          <w:rtl/>
        </w:rPr>
        <w:t>س</w:t>
      </w:r>
      <w:r w:rsidR="00EA538F">
        <w:rPr>
          <w:rFonts w:hint="cs"/>
          <w:sz w:val="27"/>
          <w:rtl/>
        </w:rPr>
        <w:t>ن</w:t>
      </w:r>
      <w:r w:rsidR="00A45FD9" w:rsidRPr="00904FCB">
        <w:rPr>
          <w:rFonts w:hint="cs"/>
          <w:sz w:val="27"/>
          <w:rtl/>
        </w:rPr>
        <w:t>تحد</w:t>
      </w:r>
      <w:r w:rsidR="00101AF4" w:rsidRPr="00904FCB">
        <w:rPr>
          <w:rFonts w:hint="cs"/>
          <w:sz w:val="27"/>
          <w:rtl/>
        </w:rPr>
        <w:t>ّ</w:t>
      </w:r>
      <w:r w:rsidR="00A45FD9" w:rsidRPr="00904FCB">
        <w:rPr>
          <w:rFonts w:hint="cs"/>
          <w:sz w:val="27"/>
          <w:rtl/>
        </w:rPr>
        <w:t xml:space="preserve">ث عن أسلوب البحث في الفقه التقليدي. </w:t>
      </w:r>
      <w:r w:rsidRPr="00904FCB">
        <w:rPr>
          <w:rFonts w:hint="cs"/>
          <w:sz w:val="27"/>
          <w:rtl/>
        </w:rPr>
        <w:t>و</w:t>
      </w:r>
      <w:r w:rsidR="00A45FD9" w:rsidRPr="00904FCB">
        <w:rPr>
          <w:rFonts w:hint="cs"/>
          <w:sz w:val="27"/>
          <w:rtl/>
        </w:rPr>
        <w:t xml:space="preserve">ستكون لنا جولة </w:t>
      </w:r>
      <w:r w:rsidR="00A45FD9" w:rsidRPr="00904FCB">
        <w:rPr>
          <w:rFonts w:hint="cs"/>
          <w:sz w:val="27"/>
          <w:rtl/>
        </w:rPr>
        <w:lastRenderedPageBreak/>
        <w:t>على طرق الحلول التقليدية في مواجهة تحد</w:t>
      </w:r>
      <w:r w:rsidR="00101AF4" w:rsidRPr="00904FCB">
        <w:rPr>
          <w:rFonts w:hint="cs"/>
          <w:sz w:val="27"/>
          <w:rtl/>
        </w:rPr>
        <w:t>ّ</w:t>
      </w:r>
      <w:r w:rsidR="00A45FD9" w:rsidRPr="00904FCB">
        <w:rPr>
          <w:rFonts w:hint="cs"/>
          <w:sz w:val="27"/>
          <w:rtl/>
        </w:rPr>
        <w:t xml:space="preserve">يات العصر الحديث. وأما سائر </w:t>
      </w:r>
      <w:r w:rsidRPr="00904FCB">
        <w:rPr>
          <w:rFonts w:hint="cs"/>
          <w:sz w:val="27"/>
          <w:rtl/>
        </w:rPr>
        <w:t>البحوث</w:t>
      </w:r>
      <w:r w:rsidR="00A45FD9" w:rsidRPr="00904FCB">
        <w:rPr>
          <w:rFonts w:hint="cs"/>
          <w:sz w:val="27"/>
          <w:rtl/>
        </w:rPr>
        <w:t xml:space="preserve"> فإنها تختص</w:t>
      </w:r>
      <w:r w:rsidR="00F30AE8" w:rsidRPr="00904FCB">
        <w:rPr>
          <w:rFonts w:hint="cs"/>
          <w:sz w:val="27"/>
          <w:rtl/>
        </w:rPr>
        <w:t>ّ</w:t>
      </w:r>
      <w:r w:rsidR="00A45FD9" w:rsidRPr="00904FCB">
        <w:rPr>
          <w:rFonts w:hint="cs"/>
          <w:sz w:val="27"/>
          <w:rtl/>
        </w:rPr>
        <w:t xml:space="preserve"> ببيان خصائص العالم الحديث ومواطن اختلافه عن العالم القديم. إن أهم</w:t>
      </w:r>
      <w:r w:rsidR="00F93BA5" w:rsidRPr="00904FCB">
        <w:rPr>
          <w:rFonts w:hint="cs"/>
          <w:sz w:val="27"/>
          <w:rtl/>
        </w:rPr>
        <w:t>ّ</w:t>
      </w:r>
      <w:r w:rsidR="00A45FD9" w:rsidRPr="00904FCB">
        <w:rPr>
          <w:rFonts w:hint="cs"/>
          <w:sz w:val="27"/>
          <w:rtl/>
        </w:rPr>
        <w:t>ية الخوض في هذه الخصائص تتجل</w:t>
      </w:r>
      <w:r w:rsidR="00F93BA5" w:rsidRPr="00904FCB">
        <w:rPr>
          <w:rFonts w:hint="cs"/>
          <w:sz w:val="27"/>
          <w:rtl/>
        </w:rPr>
        <w:t>ّ</w:t>
      </w:r>
      <w:r w:rsidR="00A45FD9" w:rsidRPr="00904FCB">
        <w:rPr>
          <w:rFonts w:hint="cs"/>
          <w:sz w:val="27"/>
          <w:rtl/>
        </w:rPr>
        <w:t xml:space="preserve">ى في: </w:t>
      </w:r>
    </w:p>
    <w:p w:rsidR="00A45FD9" w:rsidRPr="00CB554E" w:rsidRDefault="00A45FD9" w:rsidP="002546C7">
      <w:pPr>
        <w:spacing w:line="420" w:lineRule="exact"/>
        <w:ind w:firstLine="561"/>
        <w:rPr>
          <w:sz w:val="27"/>
          <w:rtl/>
        </w:rPr>
      </w:pPr>
      <w:r w:rsidRPr="00CB554E">
        <w:rPr>
          <w:rFonts w:hint="cs"/>
          <w:sz w:val="27"/>
          <w:rtl/>
        </w:rPr>
        <w:t>1ـ إذا أردنا أن نجعل العصر الحديث دينياً يجب علينا أو</w:t>
      </w:r>
      <w:r w:rsidR="00F93BA5" w:rsidRPr="00CB554E">
        <w:rPr>
          <w:rFonts w:hint="cs"/>
          <w:sz w:val="27"/>
          <w:rtl/>
        </w:rPr>
        <w:t>ّ</w:t>
      </w:r>
      <w:r w:rsidRPr="00CB554E">
        <w:rPr>
          <w:rFonts w:hint="cs"/>
          <w:sz w:val="27"/>
          <w:rtl/>
        </w:rPr>
        <w:t>لاً أن نشحذ الهمم من أجل عصرنة المعرفة الدينية</w:t>
      </w:r>
      <w:r w:rsidR="00F93BA5" w:rsidRPr="00CB554E">
        <w:rPr>
          <w:rFonts w:hint="cs"/>
          <w:sz w:val="27"/>
          <w:rtl/>
        </w:rPr>
        <w:t>.</w:t>
      </w:r>
      <w:r w:rsidRPr="00CB554E">
        <w:rPr>
          <w:rFonts w:hint="cs"/>
          <w:sz w:val="27"/>
          <w:rtl/>
        </w:rPr>
        <w:t xml:space="preserve"> وإن الفهم الديني الذي ترعرع في أذهان وضمائر سكان العالم القديم لا يستطيع تلبية الحاجة الدينية لسكان العالم الحديث. </w:t>
      </w:r>
    </w:p>
    <w:p w:rsidR="00A45FD9" w:rsidRPr="00904FCB" w:rsidRDefault="00A45FD9" w:rsidP="002546C7">
      <w:pPr>
        <w:spacing w:line="420" w:lineRule="exact"/>
        <w:ind w:firstLine="561"/>
        <w:rPr>
          <w:sz w:val="27"/>
          <w:rtl/>
        </w:rPr>
      </w:pPr>
      <w:r w:rsidRPr="00CB554E">
        <w:rPr>
          <w:rFonts w:hint="cs"/>
          <w:sz w:val="27"/>
          <w:rtl/>
        </w:rPr>
        <w:t>2ـ إذا أريد للنصوص الدينية القديمة التي خاطب بها الشارع سكان العالم</w:t>
      </w:r>
      <w:r w:rsidRPr="00904FCB">
        <w:rPr>
          <w:rFonts w:hint="cs"/>
          <w:sz w:val="27"/>
          <w:rtl/>
        </w:rPr>
        <w:t xml:space="preserve"> القد</w:t>
      </w:r>
      <w:r w:rsidR="00EA538F">
        <w:rPr>
          <w:rFonts w:hint="cs"/>
          <w:sz w:val="27"/>
          <w:rtl/>
        </w:rPr>
        <w:t>ي</w:t>
      </w:r>
      <w:r w:rsidRPr="00904FCB">
        <w:rPr>
          <w:rFonts w:hint="cs"/>
          <w:sz w:val="27"/>
          <w:rtl/>
        </w:rPr>
        <w:t>م أن تعم</w:t>
      </w:r>
      <w:r w:rsidR="00F93BA5" w:rsidRPr="00904FCB">
        <w:rPr>
          <w:rFonts w:hint="cs"/>
          <w:sz w:val="27"/>
          <w:rtl/>
        </w:rPr>
        <w:t>ّ</w:t>
      </w:r>
      <w:r w:rsidRPr="00904FCB">
        <w:rPr>
          <w:rFonts w:hint="cs"/>
          <w:sz w:val="27"/>
          <w:rtl/>
        </w:rPr>
        <w:t>م على سكان العالم الحديث فإنها ستكون بحاجة</w:t>
      </w:r>
      <w:r w:rsidR="00F93BA5" w:rsidRPr="00904FCB">
        <w:rPr>
          <w:rFonts w:hint="cs"/>
          <w:sz w:val="27"/>
          <w:rtl/>
        </w:rPr>
        <w:t>ٍ</w:t>
      </w:r>
      <w:r w:rsidRPr="00904FCB">
        <w:rPr>
          <w:rFonts w:hint="cs"/>
          <w:sz w:val="27"/>
          <w:rtl/>
        </w:rPr>
        <w:t xml:space="preserve"> إلى ترجمتها ثقافياً</w:t>
      </w:r>
      <w:r w:rsidR="00F93BA5" w:rsidRPr="00904FCB">
        <w:rPr>
          <w:rFonts w:hint="cs"/>
          <w:sz w:val="27"/>
          <w:rtl/>
        </w:rPr>
        <w:t>.</w:t>
      </w:r>
      <w:r w:rsidRPr="00904FCB">
        <w:rPr>
          <w:rFonts w:hint="cs"/>
          <w:sz w:val="27"/>
          <w:rtl/>
        </w:rPr>
        <w:t xml:space="preserve"> وإن الناس الذين يعيشون في العالم الحديث لن يتمك</w:t>
      </w:r>
      <w:r w:rsidR="00F93BA5" w:rsidRPr="00904FCB">
        <w:rPr>
          <w:rFonts w:hint="cs"/>
          <w:sz w:val="27"/>
          <w:rtl/>
        </w:rPr>
        <w:t>ّ</w:t>
      </w:r>
      <w:r w:rsidRPr="00904FCB">
        <w:rPr>
          <w:rFonts w:hint="cs"/>
          <w:sz w:val="27"/>
          <w:rtl/>
        </w:rPr>
        <w:t>نوا من أن يكوّ</w:t>
      </w:r>
      <w:r w:rsidR="00F93BA5" w:rsidRPr="00904FCB">
        <w:rPr>
          <w:rFonts w:hint="cs"/>
          <w:sz w:val="27"/>
          <w:rtl/>
        </w:rPr>
        <w:t>ِ</w:t>
      </w:r>
      <w:r w:rsidRPr="00904FCB">
        <w:rPr>
          <w:rFonts w:hint="cs"/>
          <w:sz w:val="27"/>
          <w:rtl/>
        </w:rPr>
        <w:t>نوا فهماً صحيحاً ومعقولاً عن النصوص الدينية قبل العمل على ترجمتها ثقافياً، فضلاً عن تطبيقها والعمل بها، أو أن يتمك</w:t>
      </w:r>
      <w:r w:rsidR="00F93BA5" w:rsidRPr="00904FCB">
        <w:rPr>
          <w:rFonts w:hint="cs"/>
          <w:sz w:val="27"/>
          <w:rtl/>
        </w:rPr>
        <w:t>ّ</w:t>
      </w:r>
      <w:r w:rsidRPr="00904FCB">
        <w:rPr>
          <w:rFonts w:hint="cs"/>
          <w:sz w:val="27"/>
          <w:rtl/>
        </w:rPr>
        <w:t>ن الدين من ات</w:t>
      </w:r>
      <w:r w:rsidR="00F93BA5" w:rsidRPr="00904FCB">
        <w:rPr>
          <w:rFonts w:hint="cs"/>
          <w:sz w:val="27"/>
          <w:rtl/>
        </w:rPr>
        <w:t>ّ</w:t>
      </w:r>
      <w:r w:rsidRPr="00904FCB">
        <w:rPr>
          <w:rFonts w:hint="cs"/>
          <w:sz w:val="27"/>
          <w:rtl/>
        </w:rPr>
        <w:t xml:space="preserve">خاذ الدور المناسب في تنظيم حياتهم. </w:t>
      </w:r>
    </w:p>
    <w:p w:rsidR="00A45FD9" w:rsidRDefault="00A45FD9" w:rsidP="00B66617">
      <w:pPr>
        <w:spacing w:line="410" w:lineRule="exact"/>
        <w:rPr>
          <w:sz w:val="27"/>
          <w:rtl/>
        </w:rPr>
      </w:pPr>
      <w:r w:rsidRPr="00904FCB">
        <w:rPr>
          <w:rFonts w:hint="cs"/>
          <w:sz w:val="27"/>
          <w:rtl/>
        </w:rPr>
        <w:t>إن من الأخطاء الاستراتيجية التي يرتكبها التفكير التقليدي هي أنه في مقام مواجهة العالم الحديث</w:t>
      </w:r>
      <w:r w:rsidR="00F93BA5" w:rsidRPr="00904FCB">
        <w:rPr>
          <w:rFonts w:hint="cs"/>
          <w:sz w:val="27"/>
          <w:rtl/>
        </w:rPr>
        <w:t>،</w:t>
      </w:r>
      <w:r w:rsidRPr="00904FCB">
        <w:rPr>
          <w:rFonts w:hint="cs"/>
          <w:sz w:val="27"/>
          <w:rtl/>
        </w:rPr>
        <w:t xml:space="preserve"> وعند استنباطه لموقف الدين تجاه هذا العالم</w:t>
      </w:r>
      <w:r w:rsidR="00F93BA5" w:rsidRPr="00904FCB">
        <w:rPr>
          <w:rFonts w:hint="cs"/>
          <w:sz w:val="27"/>
          <w:rtl/>
        </w:rPr>
        <w:t>،</w:t>
      </w:r>
      <w:r w:rsidRPr="00904FCB">
        <w:rPr>
          <w:rFonts w:hint="cs"/>
          <w:sz w:val="27"/>
          <w:rtl/>
        </w:rPr>
        <w:t xml:space="preserve"> يتوجه إلى </w:t>
      </w:r>
      <w:r w:rsidRPr="00904FCB">
        <w:rPr>
          <w:rFonts w:hint="eastAsia"/>
          <w:sz w:val="27"/>
          <w:rtl/>
        </w:rPr>
        <w:t>«</w:t>
      </w:r>
      <w:r w:rsidRPr="00904FCB">
        <w:rPr>
          <w:rFonts w:hint="cs"/>
          <w:sz w:val="27"/>
          <w:rtl/>
        </w:rPr>
        <w:t>محاصيل</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ثمار</w:t>
      </w:r>
      <w:r w:rsidRPr="00904FCB">
        <w:rPr>
          <w:rFonts w:hint="eastAsia"/>
          <w:sz w:val="27"/>
          <w:rtl/>
        </w:rPr>
        <w:t>»</w:t>
      </w:r>
      <w:r w:rsidRPr="00904FCB">
        <w:rPr>
          <w:rFonts w:hint="cs"/>
          <w:sz w:val="27"/>
          <w:rtl/>
        </w:rPr>
        <w:t xml:space="preserve"> هذا العالم، ويتجاهل </w:t>
      </w:r>
      <w:r w:rsidRPr="00904FCB">
        <w:rPr>
          <w:rFonts w:hint="eastAsia"/>
          <w:sz w:val="27"/>
          <w:rtl/>
        </w:rPr>
        <w:t>«</w:t>
      </w:r>
      <w:r w:rsidRPr="00904FCB">
        <w:rPr>
          <w:rFonts w:hint="cs"/>
          <w:sz w:val="27"/>
          <w:rtl/>
        </w:rPr>
        <w:t>الجذور</w:t>
      </w:r>
      <w:r w:rsidRPr="00904FCB">
        <w:rPr>
          <w:rFonts w:hint="eastAsia"/>
          <w:sz w:val="27"/>
          <w:rtl/>
        </w:rPr>
        <w:t>»</w:t>
      </w:r>
      <w:r w:rsidRPr="00904FCB">
        <w:rPr>
          <w:rFonts w:hint="cs"/>
          <w:sz w:val="27"/>
          <w:rtl/>
        </w:rPr>
        <w:t>، ويعمل على فصل الثمار عن الجذور، ويريدها كذلك، متصو</w:t>
      </w:r>
      <w:r w:rsidR="00F93BA5" w:rsidRPr="00904FCB">
        <w:rPr>
          <w:rFonts w:hint="cs"/>
          <w:sz w:val="27"/>
          <w:rtl/>
        </w:rPr>
        <w:t>ِّ</w:t>
      </w:r>
      <w:r w:rsidRPr="00904FCB">
        <w:rPr>
          <w:rFonts w:hint="cs"/>
          <w:sz w:val="27"/>
          <w:rtl/>
        </w:rPr>
        <w:t>راً أن</w:t>
      </w:r>
      <w:r w:rsidR="00F93BA5" w:rsidRPr="00904FCB">
        <w:rPr>
          <w:rFonts w:hint="cs"/>
          <w:sz w:val="27"/>
          <w:rtl/>
        </w:rPr>
        <w:t>ّه</w:t>
      </w:r>
      <w:r w:rsidRPr="00904FCB">
        <w:rPr>
          <w:rFonts w:hint="cs"/>
          <w:sz w:val="27"/>
          <w:rtl/>
        </w:rPr>
        <w:t xml:space="preserve"> بالإمكان ـ مثلاً ـ إدارة المؤس</w:t>
      </w:r>
      <w:r w:rsidR="00F93BA5" w:rsidRPr="00904FCB">
        <w:rPr>
          <w:rFonts w:hint="cs"/>
          <w:sz w:val="27"/>
          <w:rtl/>
        </w:rPr>
        <w:t>ّ</w:t>
      </w:r>
      <w:r w:rsidRPr="00904FCB">
        <w:rPr>
          <w:rFonts w:hint="cs"/>
          <w:sz w:val="27"/>
          <w:rtl/>
        </w:rPr>
        <w:t>سات والمنظمات الاجتماعية الحديثة على أساس الأخلاق والعقلانية التقليدية (الفقه التقليدي)، وأن</w:t>
      </w:r>
      <w:r w:rsidR="00F93BA5" w:rsidRPr="00904FCB">
        <w:rPr>
          <w:rFonts w:hint="cs"/>
          <w:sz w:val="27"/>
          <w:rtl/>
        </w:rPr>
        <w:t>ّه</w:t>
      </w:r>
      <w:r w:rsidRPr="00904FCB">
        <w:rPr>
          <w:rFonts w:hint="cs"/>
          <w:sz w:val="27"/>
          <w:rtl/>
        </w:rPr>
        <w:t xml:space="preserve"> بالإمكان الاستفادة بالشكل المطلوب من العلم والتكنولوجيا الحديثة</w:t>
      </w:r>
      <w:r w:rsidR="00F93BA5" w:rsidRPr="00904FCB">
        <w:rPr>
          <w:rFonts w:hint="cs"/>
          <w:sz w:val="27"/>
          <w:rtl/>
        </w:rPr>
        <w:t>،</w:t>
      </w:r>
      <w:r w:rsidRPr="00904FCB">
        <w:rPr>
          <w:rFonts w:hint="cs"/>
          <w:sz w:val="27"/>
          <w:rtl/>
        </w:rPr>
        <w:t xml:space="preserve"> دون أن يكون هناك التزام</w:t>
      </w:r>
      <w:r w:rsidR="00F93BA5" w:rsidRPr="00904FCB">
        <w:rPr>
          <w:rFonts w:hint="cs"/>
          <w:sz w:val="27"/>
          <w:rtl/>
        </w:rPr>
        <w:t>ٌ</w:t>
      </w:r>
      <w:r w:rsidRPr="00904FCB">
        <w:rPr>
          <w:rFonts w:hint="cs"/>
          <w:sz w:val="27"/>
          <w:rtl/>
        </w:rPr>
        <w:t xml:space="preserve"> بالأخلاق الحديثة، أو أن</w:t>
      </w:r>
      <w:r w:rsidR="00F93BA5" w:rsidRPr="00904FCB">
        <w:rPr>
          <w:rFonts w:hint="cs"/>
          <w:sz w:val="27"/>
          <w:rtl/>
        </w:rPr>
        <w:t>ّه</w:t>
      </w:r>
      <w:r w:rsidRPr="00904FCB">
        <w:rPr>
          <w:rFonts w:hint="cs"/>
          <w:sz w:val="27"/>
          <w:rtl/>
        </w:rPr>
        <w:t xml:space="preserve"> بالإمكان فصل العلوم الطبيعية عن العلوم الإنسانية، وإحلال العلوم الإسلامية محل</w:t>
      </w:r>
      <w:r w:rsidR="00F93BA5" w:rsidRPr="00904FCB">
        <w:rPr>
          <w:rFonts w:hint="cs"/>
          <w:sz w:val="27"/>
          <w:rtl/>
        </w:rPr>
        <w:t>ّ</w:t>
      </w:r>
      <w:r w:rsidRPr="00904FCB">
        <w:rPr>
          <w:rFonts w:hint="cs"/>
          <w:sz w:val="27"/>
          <w:rtl/>
        </w:rPr>
        <w:t xml:space="preserve"> العلوم الإنسانية. إن أصحاب وح</w:t>
      </w:r>
      <w:r w:rsidR="00F93BA5" w:rsidRPr="00904FCB">
        <w:rPr>
          <w:rFonts w:hint="cs"/>
          <w:sz w:val="27"/>
          <w:rtl/>
        </w:rPr>
        <w:t>َ</w:t>
      </w:r>
      <w:r w:rsidRPr="00904FCB">
        <w:rPr>
          <w:rFonts w:hint="cs"/>
          <w:sz w:val="27"/>
          <w:rtl/>
        </w:rPr>
        <w:t>م</w:t>
      </w:r>
      <w:r w:rsidR="00F93BA5" w:rsidRPr="00904FCB">
        <w:rPr>
          <w:rFonts w:hint="cs"/>
          <w:sz w:val="27"/>
          <w:rtl/>
        </w:rPr>
        <w:t>َ</w:t>
      </w:r>
      <w:r w:rsidRPr="00904FCB">
        <w:rPr>
          <w:rFonts w:hint="cs"/>
          <w:sz w:val="27"/>
          <w:rtl/>
        </w:rPr>
        <w:t>لة هذا النهج الفكري يتصو</w:t>
      </w:r>
      <w:r w:rsidR="00F93BA5" w:rsidRPr="00904FCB">
        <w:rPr>
          <w:rFonts w:hint="cs"/>
          <w:sz w:val="27"/>
          <w:rtl/>
        </w:rPr>
        <w:t>ّ</w:t>
      </w:r>
      <w:r w:rsidRPr="00904FCB">
        <w:rPr>
          <w:rFonts w:hint="cs"/>
          <w:sz w:val="27"/>
          <w:rtl/>
        </w:rPr>
        <w:t xml:space="preserve">رون أن </w:t>
      </w:r>
      <w:r w:rsidRPr="00904FCB">
        <w:rPr>
          <w:rFonts w:hint="eastAsia"/>
          <w:sz w:val="27"/>
          <w:rtl/>
        </w:rPr>
        <w:t>«</w:t>
      </w:r>
      <w:r w:rsidRPr="00904FCB">
        <w:rPr>
          <w:rFonts w:hint="cs"/>
          <w:sz w:val="27"/>
          <w:rtl/>
        </w:rPr>
        <w:t>العالم الجديد هو نسخة مكبّ</w:t>
      </w:r>
      <w:r w:rsidR="00F93BA5" w:rsidRPr="00904FCB">
        <w:rPr>
          <w:rFonts w:hint="cs"/>
          <w:sz w:val="27"/>
          <w:rtl/>
        </w:rPr>
        <w:t>َ</w:t>
      </w:r>
      <w:r w:rsidRPr="00904FCB">
        <w:rPr>
          <w:rFonts w:hint="cs"/>
          <w:sz w:val="27"/>
          <w:rtl/>
        </w:rPr>
        <w:t>رة عن العالم القديم</w:t>
      </w:r>
      <w:r w:rsidRPr="00904FCB">
        <w:rPr>
          <w:rFonts w:hint="eastAsia"/>
          <w:sz w:val="27"/>
          <w:rtl/>
        </w:rPr>
        <w:t>»</w:t>
      </w:r>
      <w:r w:rsidRPr="00904FCB">
        <w:rPr>
          <w:sz w:val="27"/>
          <w:vertAlign w:val="superscript"/>
          <w:rtl/>
        </w:rPr>
        <w:t>(</w:t>
      </w:r>
      <w:r w:rsidRPr="00904FCB">
        <w:rPr>
          <w:sz w:val="27"/>
          <w:vertAlign w:val="superscript"/>
          <w:rtl/>
        </w:rPr>
        <w:endnoteReference w:id="3"/>
      </w:r>
      <w:r w:rsidRPr="00904FCB">
        <w:rPr>
          <w:sz w:val="27"/>
          <w:vertAlign w:val="superscript"/>
          <w:rtl/>
        </w:rPr>
        <w:t>)</w:t>
      </w:r>
      <w:r w:rsidRPr="00904FCB">
        <w:rPr>
          <w:rFonts w:hint="cs"/>
          <w:sz w:val="27"/>
          <w:rtl/>
        </w:rPr>
        <w:t>، ولذلك يمكن أن تكون القيم والمعايير السائدة في هذين العالمين واحدة، وأن</w:t>
      </w:r>
      <w:r w:rsidR="00F93BA5" w:rsidRPr="00904FCB">
        <w:rPr>
          <w:rFonts w:hint="cs"/>
          <w:sz w:val="27"/>
          <w:rtl/>
        </w:rPr>
        <w:t>ّه</w:t>
      </w:r>
      <w:r w:rsidRPr="00904FCB">
        <w:rPr>
          <w:rFonts w:hint="cs"/>
          <w:sz w:val="27"/>
          <w:rtl/>
        </w:rPr>
        <w:t xml:space="preserve"> بالإمكان إدارة العالم الحديث من خلال ذات القيم والمعايير التي كانت سائدة في العالم القديم</w:t>
      </w:r>
      <w:r w:rsidRPr="00904FCB">
        <w:rPr>
          <w:sz w:val="27"/>
          <w:vertAlign w:val="superscript"/>
          <w:rtl/>
        </w:rPr>
        <w:t>(</w:t>
      </w:r>
      <w:r w:rsidRPr="00904FCB">
        <w:rPr>
          <w:sz w:val="27"/>
          <w:vertAlign w:val="superscript"/>
          <w:rtl/>
        </w:rPr>
        <w:endnoteReference w:id="4"/>
      </w:r>
      <w:r w:rsidRPr="00904FCB">
        <w:rPr>
          <w:sz w:val="27"/>
          <w:vertAlign w:val="superscript"/>
          <w:rtl/>
        </w:rPr>
        <w:t>)</w:t>
      </w:r>
      <w:r w:rsidRPr="00904FCB">
        <w:rPr>
          <w:rFonts w:hint="cs"/>
          <w:sz w:val="27"/>
          <w:rtl/>
        </w:rPr>
        <w:t>. إن هذا النوع من التفكير يصدر عن معرفة سطحية وغير ناضجة بشأن خصائص العالم الحديث وجذوره، ويقيم فهمه وتفسيره للنصوص الدينية على هذه المعرفة. وب</w:t>
      </w:r>
      <w:r w:rsidR="00852611" w:rsidRPr="00904FCB">
        <w:rPr>
          <w:rFonts w:hint="cs"/>
          <w:sz w:val="27"/>
          <w:rtl/>
        </w:rPr>
        <w:t>َ</w:t>
      </w:r>
      <w:r w:rsidRPr="00904FCB">
        <w:rPr>
          <w:rFonts w:hint="cs"/>
          <w:sz w:val="27"/>
          <w:rtl/>
        </w:rPr>
        <w:t>د</w:t>
      </w:r>
      <w:r w:rsidR="00852611" w:rsidRPr="00904FCB">
        <w:rPr>
          <w:rFonts w:hint="cs"/>
          <w:sz w:val="27"/>
          <w:rtl/>
        </w:rPr>
        <w:t>َ</w:t>
      </w:r>
      <w:r w:rsidRPr="00904FCB">
        <w:rPr>
          <w:rFonts w:hint="cs"/>
          <w:sz w:val="27"/>
          <w:rtl/>
        </w:rPr>
        <w:t>لاً من السعي إلى رفع جهله وتصحيح فهمه يعمل على ات</w:t>
      </w:r>
      <w:r w:rsidR="00852611" w:rsidRPr="00904FCB">
        <w:rPr>
          <w:rFonts w:hint="cs"/>
          <w:sz w:val="27"/>
          <w:rtl/>
        </w:rPr>
        <w:t>ِّ</w:t>
      </w:r>
      <w:r w:rsidRPr="00904FCB">
        <w:rPr>
          <w:rFonts w:hint="cs"/>
          <w:sz w:val="27"/>
          <w:rtl/>
        </w:rPr>
        <w:t xml:space="preserve">هام الناقدين </w:t>
      </w:r>
      <w:r w:rsidRPr="00904FCB">
        <w:rPr>
          <w:rFonts w:hint="cs"/>
          <w:sz w:val="27"/>
          <w:rtl/>
        </w:rPr>
        <w:lastRenderedPageBreak/>
        <w:t>المشفقين والمخلصين بعدم التدي</w:t>
      </w:r>
      <w:r w:rsidR="00852611" w:rsidRPr="00904FCB">
        <w:rPr>
          <w:rFonts w:hint="cs"/>
          <w:sz w:val="27"/>
          <w:rtl/>
        </w:rPr>
        <w:t>ُّ</w:t>
      </w:r>
      <w:r w:rsidRPr="00904FCB">
        <w:rPr>
          <w:rFonts w:hint="cs"/>
          <w:sz w:val="27"/>
          <w:rtl/>
        </w:rPr>
        <w:t>ن</w:t>
      </w:r>
      <w:r w:rsidR="00852611" w:rsidRPr="00904FCB">
        <w:rPr>
          <w:rFonts w:hint="cs"/>
          <w:sz w:val="27"/>
          <w:rtl/>
        </w:rPr>
        <w:t>،</w:t>
      </w:r>
      <w:r w:rsidRPr="00904FCB">
        <w:rPr>
          <w:rFonts w:hint="cs"/>
          <w:sz w:val="27"/>
          <w:rtl/>
        </w:rPr>
        <w:t xml:space="preserve"> أو ضعف الدين</w:t>
      </w:r>
      <w:r w:rsidR="00852611" w:rsidRPr="00904FCB">
        <w:rPr>
          <w:rFonts w:hint="cs"/>
          <w:sz w:val="27"/>
          <w:rtl/>
        </w:rPr>
        <w:t>،</w:t>
      </w:r>
      <w:r w:rsidRPr="00904FCB">
        <w:rPr>
          <w:rFonts w:hint="cs"/>
          <w:sz w:val="27"/>
          <w:rtl/>
        </w:rPr>
        <w:t xml:space="preserve"> والعمالة للأجنبي</w:t>
      </w:r>
      <w:r w:rsidR="00852611" w:rsidRPr="00904FCB">
        <w:rPr>
          <w:rFonts w:hint="cs"/>
          <w:sz w:val="27"/>
          <w:rtl/>
        </w:rPr>
        <w:t>ّ</w:t>
      </w:r>
      <w:r w:rsidRPr="00904FCB">
        <w:rPr>
          <w:rFonts w:hint="cs"/>
          <w:sz w:val="27"/>
          <w:rtl/>
        </w:rPr>
        <w:t xml:space="preserve">. </w:t>
      </w:r>
    </w:p>
    <w:p w:rsidR="00904FCB" w:rsidRPr="00904FCB" w:rsidRDefault="00904FCB" w:rsidP="00B66617">
      <w:pPr>
        <w:spacing w:line="410" w:lineRule="exact"/>
        <w:rPr>
          <w:sz w:val="27"/>
          <w:rtl/>
        </w:rPr>
      </w:pPr>
    </w:p>
    <w:p w:rsidR="00A45FD9" w:rsidRPr="00904FCB" w:rsidRDefault="00A45FD9" w:rsidP="007A21AA">
      <w:pPr>
        <w:pStyle w:val="31"/>
        <w:spacing w:line="400" w:lineRule="exact"/>
        <w:rPr>
          <w:color w:val="auto"/>
          <w:rtl/>
        </w:rPr>
      </w:pPr>
      <w:r w:rsidRPr="00CB554E">
        <w:rPr>
          <w:rFonts w:hint="cs"/>
          <w:color w:val="auto"/>
          <w:rtl/>
        </w:rPr>
        <w:t>2ـ أسلوب البحث</w:t>
      </w:r>
      <w:r w:rsidRPr="00904FCB">
        <w:rPr>
          <w:rFonts w:hint="cs"/>
          <w:color w:val="auto"/>
          <w:rtl/>
        </w:rPr>
        <w:t xml:space="preserve"> في الفقه التقليدي</w:t>
      </w:r>
    </w:p>
    <w:p w:rsidR="00A45FD9" w:rsidRPr="00904FCB" w:rsidRDefault="00A45FD9" w:rsidP="00B66617">
      <w:pPr>
        <w:spacing w:line="410" w:lineRule="exact"/>
        <w:rPr>
          <w:sz w:val="27"/>
          <w:rtl/>
        </w:rPr>
      </w:pPr>
      <w:r w:rsidRPr="00904FCB">
        <w:rPr>
          <w:rFonts w:hint="cs"/>
          <w:sz w:val="27"/>
          <w:rtl/>
        </w:rPr>
        <w:t>نقد</w:t>
      </w:r>
      <w:r w:rsidR="00852611" w:rsidRPr="00904FCB">
        <w:rPr>
          <w:rFonts w:hint="cs"/>
          <w:sz w:val="27"/>
          <w:rtl/>
        </w:rPr>
        <w:t>ِّ</w:t>
      </w:r>
      <w:r w:rsidRPr="00904FCB">
        <w:rPr>
          <w:rFonts w:hint="cs"/>
          <w:sz w:val="27"/>
          <w:rtl/>
        </w:rPr>
        <w:t>م في هذا القسم تقريراً مختصراً وإجمالي</w:t>
      </w:r>
      <w:r w:rsidR="004A1ECF" w:rsidRPr="00904FCB">
        <w:rPr>
          <w:rFonts w:hint="cs"/>
          <w:sz w:val="27"/>
          <w:rtl/>
        </w:rPr>
        <w:t>ّ</w:t>
      </w:r>
      <w:r w:rsidRPr="00904FCB">
        <w:rPr>
          <w:rFonts w:hint="cs"/>
          <w:sz w:val="27"/>
          <w:rtl/>
        </w:rPr>
        <w:t>اً عن أسلوب البحث السائد في الفقه التقليدي (عقلاني</w:t>
      </w:r>
      <w:r w:rsidR="00B04592" w:rsidRPr="00904FCB">
        <w:rPr>
          <w:rFonts w:hint="cs"/>
          <w:sz w:val="27"/>
          <w:rtl/>
        </w:rPr>
        <w:t>ّ</w:t>
      </w:r>
      <w:r w:rsidRPr="00904FCB">
        <w:rPr>
          <w:rFonts w:hint="cs"/>
          <w:sz w:val="27"/>
          <w:rtl/>
        </w:rPr>
        <w:t>ة الفقه الراهن</w:t>
      </w:r>
      <w:r w:rsidR="00B04592" w:rsidRPr="00904FCB">
        <w:rPr>
          <w:rFonts w:hint="cs"/>
          <w:sz w:val="27"/>
          <w:rtl/>
        </w:rPr>
        <w:t>،</w:t>
      </w:r>
      <w:r w:rsidRPr="00904FCB">
        <w:rPr>
          <w:rFonts w:hint="cs"/>
          <w:sz w:val="27"/>
          <w:rtl/>
        </w:rPr>
        <w:t xml:space="preserve"> أو أخلاق الاجتهاد كما هو). إن القسم الأكبر من علم أصول الفقه يعالج الأدلة التي يمكن توجيه وتبرير الأحكام الفقهية من خلال الاستناد إليها. إن هذا الجانب من علم الأصول في الحقيقة ناظر</w:t>
      </w:r>
      <w:r w:rsidR="00B04592" w:rsidRPr="00904FCB">
        <w:rPr>
          <w:rFonts w:hint="cs"/>
          <w:sz w:val="27"/>
          <w:rtl/>
        </w:rPr>
        <w:t>ٌ</w:t>
      </w:r>
      <w:r w:rsidRPr="00904FCB">
        <w:rPr>
          <w:rFonts w:hint="cs"/>
          <w:sz w:val="27"/>
          <w:rtl/>
        </w:rPr>
        <w:t xml:space="preserve"> إلى المباني المعرفي</w:t>
      </w:r>
      <w:r w:rsidR="00B04592" w:rsidRPr="00904FCB">
        <w:rPr>
          <w:rFonts w:hint="cs"/>
          <w:sz w:val="27"/>
          <w:rtl/>
        </w:rPr>
        <w:t>ّ</w:t>
      </w:r>
      <w:r w:rsidRPr="00904FCB">
        <w:rPr>
          <w:rFonts w:hint="cs"/>
          <w:sz w:val="27"/>
          <w:rtl/>
        </w:rPr>
        <w:t xml:space="preserve">ة للفقه، وإن آراء الفقهاء في هذا الحقل تعكس فرضياتهم المعرفية. </w:t>
      </w:r>
    </w:p>
    <w:p w:rsidR="00A45FD9" w:rsidRPr="00904FCB" w:rsidRDefault="00A45FD9" w:rsidP="002546C7">
      <w:pPr>
        <w:spacing w:line="420" w:lineRule="exact"/>
        <w:ind w:firstLine="561"/>
        <w:rPr>
          <w:sz w:val="27"/>
          <w:rtl/>
        </w:rPr>
      </w:pPr>
      <w:r w:rsidRPr="00904FCB">
        <w:rPr>
          <w:rFonts w:hint="cs"/>
          <w:sz w:val="27"/>
          <w:rtl/>
        </w:rPr>
        <w:t>وقد عمد الأصولي</w:t>
      </w:r>
      <w:r w:rsidR="000D0658" w:rsidRPr="00904FCB">
        <w:rPr>
          <w:rFonts w:hint="cs"/>
          <w:sz w:val="27"/>
          <w:rtl/>
        </w:rPr>
        <w:t>ّ</w:t>
      </w:r>
      <w:r w:rsidRPr="00904FCB">
        <w:rPr>
          <w:rFonts w:hint="cs"/>
          <w:sz w:val="27"/>
          <w:rtl/>
        </w:rPr>
        <w:t xml:space="preserve">ون إلى الاستفادة من الحالات الذهنية الثلاث، وهي: </w:t>
      </w:r>
      <w:r w:rsidRPr="00904FCB">
        <w:rPr>
          <w:rFonts w:hint="eastAsia"/>
          <w:sz w:val="27"/>
          <w:rtl/>
        </w:rPr>
        <w:t>«</w:t>
      </w:r>
      <w:r w:rsidRPr="00904FCB">
        <w:rPr>
          <w:rFonts w:hint="cs"/>
          <w:sz w:val="27"/>
          <w:rtl/>
        </w:rPr>
        <w:t>القطع</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الظن</w:t>
      </w:r>
      <w:r w:rsidR="00B04592" w:rsidRPr="00904FCB">
        <w:rPr>
          <w:rFonts w:hint="cs"/>
          <w:sz w:val="27"/>
          <w:rtl/>
        </w:rPr>
        <w:t>ّ</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الشك</w:t>
      </w:r>
      <w:r w:rsidR="00B04592" w:rsidRPr="00904FCB">
        <w:rPr>
          <w:rFonts w:hint="cs"/>
          <w:sz w:val="27"/>
          <w:rtl/>
        </w:rPr>
        <w:t>ّ</w:t>
      </w:r>
      <w:r w:rsidRPr="00904FCB">
        <w:rPr>
          <w:rFonts w:hint="eastAsia"/>
          <w:sz w:val="27"/>
          <w:rtl/>
        </w:rPr>
        <w:t>»</w:t>
      </w:r>
      <w:r w:rsidR="000D0658" w:rsidRPr="00904FCB">
        <w:rPr>
          <w:rFonts w:hint="cs"/>
          <w:sz w:val="27"/>
          <w:rtl/>
        </w:rPr>
        <w:t>،</w:t>
      </w:r>
      <w:r w:rsidRPr="00904FCB">
        <w:rPr>
          <w:rFonts w:hint="cs"/>
          <w:sz w:val="27"/>
          <w:rtl/>
        </w:rPr>
        <w:t xml:space="preserve"> لتقسيم هذه الأدل</w:t>
      </w:r>
      <w:r w:rsidR="007C734A" w:rsidRPr="00904FCB">
        <w:rPr>
          <w:rFonts w:hint="cs"/>
          <w:sz w:val="27"/>
          <w:rtl/>
        </w:rPr>
        <w:t>ّ</w:t>
      </w:r>
      <w:r w:rsidRPr="00904FCB">
        <w:rPr>
          <w:rFonts w:hint="cs"/>
          <w:sz w:val="27"/>
          <w:rtl/>
        </w:rPr>
        <w:t>ة</w:t>
      </w:r>
      <w:r w:rsidR="007C734A" w:rsidRPr="00904FCB">
        <w:rPr>
          <w:rFonts w:hint="cs"/>
          <w:sz w:val="27"/>
          <w:rtl/>
        </w:rPr>
        <w:t>،</w:t>
      </w:r>
      <w:r w:rsidRPr="00904FCB">
        <w:rPr>
          <w:rFonts w:hint="cs"/>
          <w:sz w:val="27"/>
          <w:rtl/>
        </w:rPr>
        <w:t xml:space="preserve"> حيث يذهبون إلى القول بأنه لو حصل للمكل</w:t>
      </w:r>
      <w:r w:rsidR="007C734A" w:rsidRPr="00904FCB">
        <w:rPr>
          <w:rFonts w:hint="cs"/>
          <w:sz w:val="27"/>
          <w:rtl/>
        </w:rPr>
        <w:t>َّ</w:t>
      </w:r>
      <w:r w:rsidRPr="00904FCB">
        <w:rPr>
          <w:rFonts w:hint="cs"/>
          <w:sz w:val="27"/>
          <w:rtl/>
        </w:rPr>
        <w:t>ف قطع بالحكم الشرعي كان ذلك القطع ـ أي</w:t>
      </w:r>
      <w:r w:rsidR="00EC31B4" w:rsidRPr="00904FCB">
        <w:rPr>
          <w:rFonts w:hint="cs"/>
          <w:sz w:val="27"/>
          <w:rtl/>
        </w:rPr>
        <w:t>ّ</w:t>
      </w:r>
      <w:r w:rsidRPr="00904FCB">
        <w:rPr>
          <w:rFonts w:hint="cs"/>
          <w:sz w:val="27"/>
          <w:rtl/>
        </w:rPr>
        <w:t>اً كان منش</w:t>
      </w:r>
      <w:r w:rsidR="002546C7">
        <w:rPr>
          <w:rFonts w:hint="cs"/>
          <w:sz w:val="27"/>
          <w:rtl/>
        </w:rPr>
        <w:t>ؤ</w:t>
      </w:r>
      <w:r w:rsidRPr="00904FCB">
        <w:rPr>
          <w:rFonts w:hint="cs"/>
          <w:sz w:val="27"/>
          <w:rtl/>
        </w:rPr>
        <w:t>ه ـ حج</w:t>
      </w:r>
      <w:r w:rsidR="00EC31B4" w:rsidRPr="00904FCB">
        <w:rPr>
          <w:rFonts w:hint="cs"/>
          <w:sz w:val="27"/>
          <w:rtl/>
        </w:rPr>
        <w:t>ّ</w:t>
      </w:r>
      <w:r w:rsidRPr="00904FCB">
        <w:rPr>
          <w:rFonts w:hint="cs"/>
          <w:sz w:val="27"/>
          <w:rtl/>
        </w:rPr>
        <w:t>ة عليه، كما يكون حج</w:t>
      </w:r>
      <w:r w:rsidR="00EC31B4" w:rsidRPr="00904FCB">
        <w:rPr>
          <w:rFonts w:hint="cs"/>
          <w:sz w:val="27"/>
          <w:rtl/>
        </w:rPr>
        <w:t>ّ</w:t>
      </w:r>
      <w:r w:rsidRPr="00904FCB">
        <w:rPr>
          <w:rFonts w:hint="cs"/>
          <w:sz w:val="27"/>
          <w:rtl/>
        </w:rPr>
        <w:t>ة على مقل</w:t>
      </w:r>
      <w:r w:rsidR="00EC31B4" w:rsidRPr="00904FCB">
        <w:rPr>
          <w:rFonts w:hint="cs"/>
          <w:sz w:val="27"/>
          <w:rtl/>
        </w:rPr>
        <w:t>ِّ</w:t>
      </w:r>
      <w:r w:rsidRPr="00904FCB">
        <w:rPr>
          <w:rFonts w:hint="cs"/>
          <w:sz w:val="27"/>
          <w:rtl/>
        </w:rPr>
        <w:t>ديه (في بعض الحالات). والمهم</w:t>
      </w:r>
      <w:r w:rsidR="00EC31B4" w:rsidRPr="00904FCB">
        <w:rPr>
          <w:rFonts w:hint="cs"/>
          <w:sz w:val="27"/>
          <w:rtl/>
        </w:rPr>
        <w:t>ّ</w:t>
      </w:r>
      <w:r w:rsidRPr="00904FCB">
        <w:rPr>
          <w:rFonts w:hint="cs"/>
          <w:sz w:val="27"/>
          <w:rtl/>
        </w:rPr>
        <w:t xml:space="preserve"> هنا هي الناحية النفسية من </w:t>
      </w:r>
      <w:r w:rsidRPr="00904FCB">
        <w:rPr>
          <w:rFonts w:hint="eastAsia"/>
          <w:sz w:val="27"/>
          <w:rtl/>
        </w:rPr>
        <w:t>«</w:t>
      </w:r>
      <w:r w:rsidRPr="00904FCB">
        <w:rPr>
          <w:rFonts w:hint="cs"/>
          <w:sz w:val="27"/>
          <w:rtl/>
        </w:rPr>
        <w:t>القطع</w:t>
      </w:r>
      <w:r w:rsidRPr="00904FCB">
        <w:rPr>
          <w:rFonts w:hint="eastAsia"/>
          <w:sz w:val="27"/>
          <w:rtl/>
        </w:rPr>
        <w:t>»</w:t>
      </w:r>
      <w:r w:rsidR="00EC31B4" w:rsidRPr="00904FCB">
        <w:rPr>
          <w:rFonts w:hint="cs"/>
          <w:sz w:val="27"/>
          <w:rtl/>
        </w:rPr>
        <w:t>،</w:t>
      </w:r>
      <w:r w:rsidRPr="00904FCB">
        <w:rPr>
          <w:rFonts w:hint="cs"/>
          <w:sz w:val="27"/>
          <w:rtl/>
        </w:rPr>
        <w:t xml:space="preserve"> وليس الناحية المنطقية والمعرفية منه. إن القطع واليقين المبحوث عنه في علم الأصول يعتبر حج</w:t>
      </w:r>
      <w:r w:rsidR="00EC31B4" w:rsidRPr="00904FCB">
        <w:rPr>
          <w:rFonts w:hint="cs"/>
          <w:sz w:val="27"/>
          <w:rtl/>
        </w:rPr>
        <w:t>ّ</w:t>
      </w:r>
      <w:r w:rsidRPr="00904FCB">
        <w:rPr>
          <w:rFonts w:hint="cs"/>
          <w:sz w:val="27"/>
          <w:rtl/>
        </w:rPr>
        <w:t>ة، ولا يقتصر هذا القطع واليقين على القضايا المطابقة للواقع، بل يشمل حت</w:t>
      </w:r>
      <w:r w:rsidR="00EC31B4" w:rsidRPr="00904FCB">
        <w:rPr>
          <w:rFonts w:hint="cs"/>
          <w:sz w:val="27"/>
          <w:rtl/>
        </w:rPr>
        <w:t>ّ</w:t>
      </w:r>
      <w:r w:rsidRPr="00904FCB">
        <w:rPr>
          <w:rFonts w:hint="cs"/>
          <w:sz w:val="27"/>
          <w:rtl/>
        </w:rPr>
        <w:t>ى موارد الجهل المرك</w:t>
      </w:r>
      <w:r w:rsidR="00EC31B4" w:rsidRPr="00904FCB">
        <w:rPr>
          <w:rFonts w:hint="cs"/>
          <w:sz w:val="27"/>
          <w:rtl/>
        </w:rPr>
        <w:t>َّ</w:t>
      </w:r>
      <w:r w:rsidRPr="00904FCB">
        <w:rPr>
          <w:rFonts w:hint="cs"/>
          <w:sz w:val="27"/>
          <w:rtl/>
        </w:rPr>
        <w:t>ب وقطع القط</w:t>
      </w:r>
      <w:r w:rsidR="00EC31B4" w:rsidRPr="00904FCB">
        <w:rPr>
          <w:rFonts w:hint="cs"/>
          <w:sz w:val="27"/>
          <w:rtl/>
        </w:rPr>
        <w:t>ّ</w:t>
      </w:r>
      <w:r w:rsidRPr="00904FCB">
        <w:rPr>
          <w:rFonts w:hint="cs"/>
          <w:sz w:val="27"/>
          <w:rtl/>
        </w:rPr>
        <w:t>اع أيضاً</w:t>
      </w:r>
      <w:r w:rsidRPr="00904FCB">
        <w:rPr>
          <w:sz w:val="27"/>
          <w:vertAlign w:val="superscript"/>
          <w:rtl/>
        </w:rPr>
        <w:t>(</w:t>
      </w:r>
      <w:r w:rsidRPr="00904FCB">
        <w:rPr>
          <w:sz w:val="27"/>
          <w:vertAlign w:val="superscript"/>
          <w:rtl/>
        </w:rPr>
        <w:endnoteReference w:id="5"/>
      </w:r>
      <w:r w:rsidRPr="00904FCB">
        <w:rPr>
          <w:sz w:val="27"/>
          <w:vertAlign w:val="superscript"/>
          <w:rtl/>
        </w:rPr>
        <w:t>)</w:t>
      </w:r>
      <w:r w:rsidRPr="00904FCB">
        <w:rPr>
          <w:rFonts w:hint="cs"/>
          <w:sz w:val="27"/>
          <w:rtl/>
        </w:rPr>
        <w:t xml:space="preserve">. </w:t>
      </w:r>
      <w:r w:rsidR="00EC31B4" w:rsidRPr="00904FCB">
        <w:rPr>
          <w:rFonts w:hint="cs"/>
          <w:sz w:val="27"/>
          <w:rtl/>
        </w:rPr>
        <w:t>و</w:t>
      </w:r>
      <w:r w:rsidRPr="00904FCB">
        <w:rPr>
          <w:rFonts w:hint="cs"/>
          <w:sz w:val="27"/>
          <w:rtl/>
        </w:rPr>
        <w:t>بعبارة</w:t>
      </w:r>
      <w:r w:rsidR="00EC31B4" w:rsidRPr="00904FCB">
        <w:rPr>
          <w:rFonts w:hint="cs"/>
          <w:sz w:val="27"/>
          <w:rtl/>
        </w:rPr>
        <w:t>ٍ</w:t>
      </w:r>
      <w:r w:rsidRPr="00904FCB">
        <w:rPr>
          <w:rFonts w:hint="cs"/>
          <w:sz w:val="27"/>
          <w:rtl/>
        </w:rPr>
        <w:t xml:space="preserve"> أخرى: إن القطع الذي يعتبر في علم الأصول أسّ الحجج يساوق </w:t>
      </w:r>
      <w:r w:rsidRPr="00904FCB">
        <w:rPr>
          <w:rFonts w:hint="eastAsia"/>
          <w:sz w:val="27"/>
          <w:rtl/>
        </w:rPr>
        <w:t>«</w:t>
      </w:r>
      <w:r w:rsidRPr="00904FCB">
        <w:rPr>
          <w:rFonts w:hint="cs"/>
          <w:sz w:val="27"/>
          <w:rtl/>
        </w:rPr>
        <w:t>الجزم</w:t>
      </w:r>
      <w:r w:rsidRPr="00904FCB">
        <w:rPr>
          <w:rFonts w:hint="eastAsia"/>
          <w:sz w:val="27"/>
          <w:rtl/>
        </w:rPr>
        <w:t>»</w:t>
      </w:r>
      <w:r w:rsidRPr="00904FCB">
        <w:rPr>
          <w:rFonts w:hint="cs"/>
          <w:sz w:val="27"/>
          <w:rtl/>
        </w:rPr>
        <w:t>، وهو عبارة</w:t>
      </w:r>
      <w:r w:rsidR="00EC31B4" w:rsidRPr="00904FCB">
        <w:rPr>
          <w:rFonts w:hint="cs"/>
          <w:sz w:val="27"/>
          <w:rtl/>
        </w:rPr>
        <w:t>ٌ</w:t>
      </w:r>
      <w:r w:rsidRPr="00904FCB">
        <w:rPr>
          <w:rFonts w:hint="cs"/>
          <w:sz w:val="27"/>
          <w:rtl/>
        </w:rPr>
        <w:t xml:space="preserve"> عن حالة</w:t>
      </w:r>
      <w:r w:rsidR="00EC31B4" w:rsidRPr="00904FCB">
        <w:rPr>
          <w:rFonts w:hint="cs"/>
          <w:sz w:val="27"/>
          <w:rtl/>
        </w:rPr>
        <w:t>ٍ</w:t>
      </w:r>
      <w:r w:rsidRPr="00904FCB">
        <w:rPr>
          <w:rFonts w:hint="cs"/>
          <w:sz w:val="27"/>
          <w:rtl/>
        </w:rPr>
        <w:t xml:space="preserve"> نفسي</w:t>
      </w:r>
      <w:r w:rsidR="00EC31B4" w:rsidRPr="00904FCB">
        <w:rPr>
          <w:rFonts w:hint="cs"/>
          <w:sz w:val="27"/>
          <w:rtl/>
        </w:rPr>
        <w:t>ّ</w:t>
      </w:r>
      <w:r w:rsidRPr="00904FCB">
        <w:rPr>
          <w:rFonts w:hint="cs"/>
          <w:sz w:val="27"/>
          <w:rtl/>
        </w:rPr>
        <w:t>ة خاص</w:t>
      </w:r>
      <w:r w:rsidR="00EC31B4" w:rsidRPr="00904FCB">
        <w:rPr>
          <w:rFonts w:hint="cs"/>
          <w:sz w:val="27"/>
          <w:rtl/>
        </w:rPr>
        <w:t>ّ</w:t>
      </w:r>
      <w:r w:rsidRPr="00904FCB">
        <w:rPr>
          <w:rFonts w:hint="cs"/>
          <w:sz w:val="27"/>
          <w:rtl/>
        </w:rPr>
        <w:t>ة تقابل الظن</w:t>
      </w:r>
      <w:r w:rsidR="00EC31B4" w:rsidRPr="00904FCB">
        <w:rPr>
          <w:rFonts w:hint="cs"/>
          <w:sz w:val="27"/>
          <w:rtl/>
        </w:rPr>
        <w:t>ّ</w:t>
      </w:r>
      <w:r w:rsidRPr="00904FCB">
        <w:rPr>
          <w:rFonts w:hint="cs"/>
          <w:sz w:val="27"/>
          <w:rtl/>
        </w:rPr>
        <w:t xml:space="preserve"> والشك</w:t>
      </w:r>
      <w:r w:rsidR="00EC31B4" w:rsidRPr="00904FCB">
        <w:rPr>
          <w:rFonts w:hint="cs"/>
          <w:sz w:val="27"/>
          <w:rtl/>
        </w:rPr>
        <w:t>ّ</w:t>
      </w:r>
      <w:r w:rsidRPr="00904FCB">
        <w:rPr>
          <w:rFonts w:hint="cs"/>
          <w:sz w:val="27"/>
          <w:rtl/>
        </w:rPr>
        <w:t>، سواء أكان منش</w:t>
      </w:r>
      <w:r w:rsidR="00EC31B4" w:rsidRPr="00904FCB">
        <w:rPr>
          <w:rFonts w:hint="cs"/>
          <w:sz w:val="27"/>
          <w:rtl/>
        </w:rPr>
        <w:t>ؤ</w:t>
      </w:r>
      <w:r w:rsidRPr="00904FCB">
        <w:rPr>
          <w:rFonts w:hint="cs"/>
          <w:sz w:val="27"/>
          <w:rtl/>
        </w:rPr>
        <w:t>ه دليلاً منطقياً وموضوعياً وعام</w:t>
      </w:r>
      <w:r w:rsidR="00EC31B4" w:rsidRPr="00904FCB">
        <w:rPr>
          <w:rFonts w:hint="cs"/>
          <w:sz w:val="27"/>
          <w:rtl/>
        </w:rPr>
        <w:t>ّ</w:t>
      </w:r>
      <w:r w:rsidRPr="00904FCB">
        <w:rPr>
          <w:rFonts w:hint="cs"/>
          <w:sz w:val="27"/>
          <w:rtl/>
        </w:rPr>
        <w:t>اً، أو عل</w:t>
      </w:r>
      <w:r w:rsidR="00EC31B4" w:rsidRPr="00904FCB">
        <w:rPr>
          <w:rFonts w:hint="cs"/>
          <w:sz w:val="27"/>
          <w:rtl/>
        </w:rPr>
        <w:t>ّ</w:t>
      </w:r>
      <w:r w:rsidRPr="00904FCB">
        <w:rPr>
          <w:rFonts w:hint="cs"/>
          <w:sz w:val="27"/>
          <w:rtl/>
        </w:rPr>
        <w:t>ة وهمية وخرافية، كما لو حصل له القطع بموت زيد</w:t>
      </w:r>
      <w:r w:rsidR="00EC31B4" w:rsidRPr="00904FCB">
        <w:rPr>
          <w:rFonts w:hint="cs"/>
          <w:sz w:val="27"/>
          <w:rtl/>
        </w:rPr>
        <w:t>ٍ</w:t>
      </w:r>
      <w:r w:rsidRPr="00904FCB">
        <w:rPr>
          <w:rFonts w:hint="cs"/>
          <w:sz w:val="27"/>
          <w:rtl/>
        </w:rPr>
        <w:t xml:space="preserve"> في بغداد</w:t>
      </w:r>
      <w:r w:rsidR="00EC31B4" w:rsidRPr="00904FCB">
        <w:rPr>
          <w:rFonts w:hint="cs"/>
          <w:sz w:val="27"/>
          <w:rtl/>
        </w:rPr>
        <w:t>؛</w:t>
      </w:r>
      <w:r w:rsidRPr="00904FCB">
        <w:rPr>
          <w:rFonts w:hint="cs"/>
          <w:sz w:val="27"/>
          <w:rtl/>
        </w:rPr>
        <w:t xml:space="preserve"> بسبب تحليق غراب في البصرة، أو حصل ذلك القطع من الطرق المتعارفة أو غير المتعارفة، من قبيل: المنام والضرب بالرمل أو الخيرة والتنجيم. يرى علماء الأصول أن</w:t>
      </w:r>
      <w:r w:rsidR="002546C7">
        <w:rPr>
          <w:rFonts w:hint="cs"/>
          <w:sz w:val="27"/>
          <w:rtl/>
        </w:rPr>
        <w:t>ّ</w:t>
      </w:r>
      <w:r w:rsidRPr="00904FCB">
        <w:rPr>
          <w:rFonts w:hint="cs"/>
          <w:sz w:val="27"/>
          <w:rtl/>
        </w:rPr>
        <w:t xml:space="preserve"> القطع هو أسّ</w:t>
      </w:r>
      <w:r w:rsidR="00EC31B4" w:rsidRPr="00904FCB">
        <w:rPr>
          <w:rFonts w:hint="cs"/>
          <w:sz w:val="27"/>
          <w:rtl/>
        </w:rPr>
        <w:t>ُ</w:t>
      </w:r>
      <w:r w:rsidRPr="00904FCB">
        <w:rPr>
          <w:rFonts w:hint="cs"/>
          <w:sz w:val="27"/>
          <w:rtl/>
        </w:rPr>
        <w:t xml:space="preserve"> الحجج، و</w:t>
      </w:r>
      <w:r w:rsidR="002546C7">
        <w:rPr>
          <w:rFonts w:hint="cs"/>
          <w:sz w:val="27"/>
          <w:rtl/>
        </w:rPr>
        <w:t>أ</w:t>
      </w:r>
      <w:r w:rsidRPr="00904FCB">
        <w:rPr>
          <w:rFonts w:hint="cs"/>
          <w:sz w:val="27"/>
          <w:rtl/>
        </w:rPr>
        <w:t>ن</w:t>
      </w:r>
      <w:r w:rsidR="002546C7">
        <w:rPr>
          <w:rFonts w:hint="cs"/>
          <w:sz w:val="27"/>
          <w:rtl/>
        </w:rPr>
        <w:t>ّ</w:t>
      </w:r>
      <w:r w:rsidRPr="00904FCB">
        <w:rPr>
          <w:rFonts w:hint="cs"/>
          <w:sz w:val="27"/>
          <w:rtl/>
        </w:rPr>
        <w:t xml:space="preserve"> حجية سائر الحجج يجب أن تثبت من خلال القطع واليقين، و</w:t>
      </w:r>
      <w:r w:rsidR="002546C7">
        <w:rPr>
          <w:rFonts w:hint="cs"/>
          <w:sz w:val="27"/>
          <w:rtl/>
        </w:rPr>
        <w:t>أ</w:t>
      </w:r>
      <w:r w:rsidRPr="00904FCB">
        <w:rPr>
          <w:rFonts w:hint="cs"/>
          <w:sz w:val="27"/>
          <w:rtl/>
        </w:rPr>
        <w:t>ن</w:t>
      </w:r>
      <w:r w:rsidR="00EC31B4" w:rsidRPr="00904FCB">
        <w:rPr>
          <w:rFonts w:hint="cs"/>
          <w:sz w:val="27"/>
          <w:rtl/>
        </w:rPr>
        <w:t>ّ</w:t>
      </w:r>
      <w:r w:rsidRPr="00904FCB">
        <w:rPr>
          <w:rFonts w:hint="cs"/>
          <w:sz w:val="27"/>
          <w:rtl/>
        </w:rPr>
        <w:t xml:space="preserve"> حجية القطع من لوازمه الذاتية، فهي حج</w:t>
      </w:r>
      <w:r w:rsidR="00EC31B4" w:rsidRPr="00904FCB">
        <w:rPr>
          <w:rFonts w:hint="cs"/>
          <w:sz w:val="27"/>
          <w:rtl/>
        </w:rPr>
        <w:t>ّ</w:t>
      </w:r>
      <w:r w:rsidRPr="00904FCB">
        <w:rPr>
          <w:rFonts w:hint="cs"/>
          <w:sz w:val="27"/>
          <w:rtl/>
        </w:rPr>
        <w:t xml:space="preserve">ية </w:t>
      </w:r>
      <w:r w:rsidRPr="00904FCB">
        <w:rPr>
          <w:rFonts w:hint="eastAsia"/>
          <w:sz w:val="27"/>
          <w:rtl/>
        </w:rPr>
        <w:t>«</w:t>
      </w:r>
      <w:r w:rsidRPr="00904FCB">
        <w:rPr>
          <w:rFonts w:hint="cs"/>
          <w:sz w:val="27"/>
          <w:rtl/>
        </w:rPr>
        <w:t>بديهية</w:t>
      </w:r>
      <w:r w:rsidRPr="00904FCB">
        <w:rPr>
          <w:rFonts w:hint="eastAsia"/>
          <w:sz w:val="27"/>
          <w:rtl/>
        </w:rPr>
        <w:t>»</w:t>
      </w:r>
      <w:r w:rsidR="00EC31B4" w:rsidRPr="00904FCB">
        <w:rPr>
          <w:rFonts w:hint="cs"/>
          <w:sz w:val="27"/>
          <w:rtl/>
        </w:rPr>
        <w:t>،</w:t>
      </w:r>
      <w:r w:rsidRPr="00904FCB">
        <w:rPr>
          <w:rFonts w:hint="cs"/>
          <w:sz w:val="27"/>
          <w:rtl/>
        </w:rPr>
        <w:t xml:space="preserve"> لا تقبل الس</w:t>
      </w:r>
      <w:r w:rsidR="00EC31B4" w:rsidRPr="00904FCB">
        <w:rPr>
          <w:rFonts w:hint="cs"/>
          <w:sz w:val="27"/>
          <w:rtl/>
        </w:rPr>
        <w:t>َّ</w:t>
      </w:r>
      <w:r w:rsidRPr="00904FCB">
        <w:rPr>
          <w:rFonts w:hint="cs"/>
          <w:sz w:val="27"/>
          <w:rtl/>
        </w:rPr>
        <w:t>ل</w:t>
      </w:r>
      <w:r w:rsidR="00EC31B4" w:rsidRPr="00904FCB">
        <w:rPr>
          <w:rFonts w:hint="cs"/>
          <w:sz w:val="27"/>
          <w:rtl/>
        </w:rPr>
        <w:t>ْ</w:t>
      </w:r>
      <w:r w:rsidRPr="00904FCB">
        <w:rPr>
          <w:rFonts w:hint="cs"/>
          <w:sz w:val="27"/>
          <w:rtl/>
        </w:rPr>
        <w:t xml:space="preserve">ب والإثبات. </w:t>
      </w:r>
    </w:p>
    <w:p w:rsidR="00A45FD9" w:rsidRPr="00904FCB" w:rsidRDefault="00A45FD9" w:rsidP="00B66617">
      <w:pPr>
        <w:spacing w:line="410" w:lineRule="exact"/>
        <w:rPr>
          <w:sz w:val="27"/>
          <w:rtl/>
        </w:rPr>
      </w:pPr>
      <w:r w:rsidRPr="00904FCB">
        <w:rPr>
          <w:rFonts w:hint="cs"/>
          <w:sz w:val="27"/>
          <w:rtl/>
        </w:rPr>
        <w:t>وعلى هذا الأساس تنقسم الأدل</w:t>
      </w:r>
      <w:r w:rsidR="00152726" w:rsidRPr="00904FCB">
        <w:rPr>
          <w:rFonts w:hint="cs"/>
          <w:sz w:val="27"/>
          <w:rtl/>
        </w:rPr>
        <w:t>ّ</w:t>
      </w:r>
      <w:r w:rsidRPr="00904FCB">
        <w:rPr>
          <w:rFonts w:hint="cs"/>
          <w:sz w:val="27"/>
          <w:rtl/>
        </w:rPr>
        <w:t xml:space="preserve">ة التي يمكن الاستناد إليها في الفقه إلى قسمين: </w:t>
      </w:r>
      <w:r w:rsidRPr="00904FCB">
        <w:rPr>
          <w:rFonts w:hint="eastAsia"/>
          <w:sz w:val="27"/>
          <w:rtl/>
        </w:rPr>
        <w:t>«</w:t>
      </w:r>
      <w:r w:rsidRPr="00904FCB">
        <w:rPr>
          <w:rFonts w:hint="cs"/>
          <w:sz w:val="27"/>
          <w:rtl/>
        </w:rPr>
        <w:t>الحجج</w:t>
      </w:r>
      <w:r w:rsidRPr="00904FCB">
        <w:rPr>
          <w:rFonts w:hint="eastAsia"/>
          <w:sz w:val="27"/>
          <w:rtl/>
        </w:rPr>
        <w:t>»</w:t>
      </w:r>
      <w:r w:rsidRPr="00904FCB">
        <w:rPr>
          <w:rFonts w:hint="cs"/>
          <w:sz w:val="27"/>
          <w:rtl/>
        </w:rPr>
        <w:t xml:space="preserve"> أو </w:t>
      </w:r>
      <w:r w:rsidRPr="00904FCB">
        <w:rPr>
          <w:rFonts w:hint="eastAsia"/>
          <w:sz w:val="27"/>
          <w:rtl/>
        </w:rPr>
        <w:t>«</w:t>
      </w:r>
      <w:r w:rsidRPr="00904FCB">
        <w:rPr>
          <w:rFonts w:hint="cs"/>
          <w:sz w:val="27"/>
          <w:rtl/>
        </w:rPr>
        <w:t>الأمارات</w:t>
      </w:r>
      <w:r w:rsidRPr="00904FCB">
        <w:rPr>
          <w:rFonts w:hint="eastAsia"/>
          <w:sz w:val="27"/>
          <w:rtl/>
        </w:rPr>
        <w:t>»</w:t>
      </w:r>
      <w:r w:rsidR="00152726" w:rsidRPr="00904FCB">
        <w:rPr>
          <w:rFonts w:hint="cs"/>
          <w:sz w:val="27"/>
          <w:rtl/>
        </w:rPr>
        <w:t>؛</w:t>
      </w:r>
      <w:r w:rsidRPr="00904FCB">
        <w:rPr>
          <w:rFonts w:hint="cs"/>
          <w:sz w:val="27"/>
          <w:rtl/>
        </w:rPr>
        <w:t xml:space="preserve"> و</w:t>
      </w:r>
      <w:r w:rsidRPr="00904FCB">
        <w:rPr>
          <w:rFonts w:hint="eastAsia"/>
          <w:sz w:val="27"/>
          <w:rtl/>
        </w:rPr>
        <w:t>«</w:t>
      </w:r>
      <w:r w:rsidRPr="00904FCB">
        <w:rPr>
          <w:rFonts w:hint="cs"/>
          <w:sz w:val="27"/>
          <w:rtl/>
        </w:rPr>
        <w:t>الأصول العملية</w:t>
      </w:r>
      <w:r w:rsidRPr="00904FCB">
        <w:rPr>
          <w:rFonts w:hint="eastAsia"/>
          <w:sz w:val="27"/>
          <w:rtl/>
        </w:rPr>
        <w:t>»</w:t>
      </w:r>
      <w:r w:rsidRPr="00904FCB">
        <w:rPr>
          <w:rFonts w:hint="cs"/>
          <w:sz w:val="27"/>
          <w:rtl/>
        </w:rPr>
        <w:t>. فلو حصل للمكل</w:t>
      </w:r>
      <w:r w:rsidR="00152726" w:rsidRPr="00904FCB">
        <w:rPr>
          <w:rFonts w:hint="cs"/>
          <w:sz w:val="27"/>
          <w:rtl/>
        </w:rPr>
        <w:t>َّ</w:t>
      </w:r>
      <w:r w:rsidRPr="00904FCB">
        <w:rPr>
          <w:rFonts w:hint="cs"/>
          <w:sz w:val="27"/>
          <w:rtl/>
        </w:rPr>
        <w:t>ف قطع</w:t>
      </w:r>
      <w:r w:rsidR="00152726" w:rsidRPr="00904FCB">
        <w:rPr>
          <w:rFonts w:hint="cs"/>
          <w:sz w:val="27"/>
          <w:rtl/>
        </w:rPr>
        <w:t>ٌ</w:t>
      </w:r>
      <w:r w:rsidRPr="00904FCB">
        <w:rPr>
          <w:rFonts w:hint="cs"/>
          <w:sz w:val="27"/>
          <w:rtl/>
        </w:rPr>
        <w:t xml:space="preserve"> بالحكم الشرعي كان قطعه حج</w:t>
      </w:r>
      <w:r w:rsidR="00454772" w:rsidRPr="00904FCB">
        <w:rPr>
          <w:rFonts w:hint="cs"/>
          <w:sz w:val="27"/>
          <w:rtl/>
        </w:rPr>
        <w:t>ّ</w:t>
      </w:r>
      <w:r w:rsidRPr="00904FCB">
        <w:rPr>
          <w:rFonts w:hint="cs"/>
          <w:sz w:val="27"/>
          <w:rtl/>
        </w:rPr>
        <w:t xml:space="preserve">ة، وحجية القطع لا تحتاج إلى إمضاء من قبل </w:t>
      </w:r>
      <w:r w:rsidRPr="00904FCB">
        <w:rPr>
          <w:rFonts w:hint="cs"/>
          <w:sz w:val="27"/>
          <w:rtl/>
        </w:rPr>
        <w:lastRenderedPageBreak/>
        <w:t>الشارع؛ لأن الشارع لا يمكنه أن ينفي الحج</w:t>
      </w:r>
      <w:r w:rsidR="00454772" w:rsidRPr="00904FCB">
        <w:rPr>
          <w:rFonts w:hint="cs"/>
          <w:sz w:val="27"/>
          <w:rtl/>
        </w:rPr>
        <w:t>ّ</w:t>
      </w:r>
      <w:r w:rsidRPr="00904FCB">
        <w:rPr>
          <w:rFonts w:hint="cs"/>
          <w:sz w:val="27"/>
          <w:rtl/>
        </w:rPr>
        <w:t>ية عن القطع. وأما في مورد الظنون فالأمر ليس كذلك</w:t>
      </w:r>
      <w:r w:rsidR="00454772" w:rsidRPr="00904FCB">
        <w:rPr>
          <w:rFonts w:hint="cs"/>
          <w:sz w:val="27"/>
          <w:rtl/>
        </w:rPr>
        <w:t>؛</w:t>
      </w:r>
      <w:r w:rsidRPr="00904FCB">
        <w:rPr>
          <w:rFonts w:hint="cs"/>
          <w:sz w:val="27"/>
          <w:rtl/>
        </w:rPr>
        <w:t xml:space="preserve"> </w:t>
      </w:r>
      <w:r w:rsidR="00454772" w:rsidRPr="00904FCB">
        <w:rPr>
          <w:rFonts w:hint="cs"/>
          <w:sz w:val="27"/>
          <w:rtl/>
        </w:rPr>
        <w:t xml:space="preserve">إذ </w:t>
      </w:r>
      <w:r w:rsidRPr="00904FCB">
        <w:rPr>
          <w:rFonts w:hint="cs"/>
          <w:sz w:val="27"/>
          <w:rtl/>
        </w:rPr>
        <w:t>إن حجية الظنون ليست ذاتية، ولذلك يجب في العمل على طبق الظن</w:t>
      </w:r>
      <w:r w:rsidR="00454772" w:rsidRPr="00904FCB">
        <w:rPr>
          <w:rFonts w:hint="cs"/>
          <w:sz w:val="27"/>
          <w:rtl/>
        </w:rPr>
        <w:t>ّ</w:t>
      </w:r>
      <w:r w:rsidRPr="00904FCB">
        <w:rPr>
          <w:rFonts w:hint="cs"/>
          <w:sz w:val="27"/>
          <w:rtl/>
        </w:rPr>
        <w:t xml:space="preserve"> إثبات حج</w:t>
      </w:r>
      <w:r w:rsidR="00454772" w:rsidRPr="00904FCB">
        <w:rPr>
          <w:rFonts w:hint="cs"/>
          <w:sz w:val="27"/>
          <w:rtl/>
        </w:rPr>
        <w:t>ّ</w:t>
      </w:r>
      <w:r w:rsidRPr="00904FCB">
        <w:rPr>
          <w:rFonts w:hint="cs"/>
          <w:sz w:val="27"/>
          <w:rtl/>
        </w:rPr>
        <w:t>يتها على نحو القطع واليقين. يذهب الفقهاء إلى أن حج</w:t>
      </w:r>
      <w:r w:rsidR="00454772" w:rsidRPr="00904FCB">
        <w:rPr>
          <w:rFonts w:hint="cs"/>
          <w:sz w:val="27"/>
          <w:rtl/>
        </w:rPr>
        <w:t>ّ</w:t>
      </w:r>
      <w:r w:rsidRPr="00904FCB">
        <w:rPr>
          <w:rFonts w:hint="cs"/>
          <w:sz w:val="27"/>
          <w:rtl/>
        </w:rPr>
        <w:t>ية الظن</w:t>
      </w:r>
      <w:r w:rsidR="00454772" w:rsidRPr="00904FCB">
        <w:rPr>
          <w:rFonts w:hint="cs"/>
          <w:sz w:val="27"/>
          <w:rtl/>
        </w:rPr>
        <w:t>ّ</w:t>
      </w:r>
      <w:r w:rsidRPr="00904FCB">
        <w:rPr>
          <w:rFonts w:hint="cs"/>
          <w:sz w:val="27"/>
          <w:rtl/>
        </w:rPr>
        <w:t xml:space="preserve"> في مورد الأحكام الشرعية تحتاج إلى إمضاء الشارع، ويمكن للشارع أن يمضي حج</w:t>
      </w:r>
      <w:r w:rsidR="00454772" w:rsidRPr="00904FCB">
        <w:rPr>
          <w:rFonts w:hint="cs"/>
          <w:sz w:val="27"/>
          <w:rtl/>
        </w:rPr>
        <w:t>ّ</w:t>
      </w:r>
      <w:r w:rsidRPr="00904FCB">
        <w:rPr>
          <w:rFonts w:hint="cs"/>
          <w:sz w:val="27"/>
          <w:rtl/>
        </w:rPr>
        <w:t>ية بعض الظنون، ويلغي حج</w:t>
      </w:r>
      <w:r w:rsidR="00454772" w:rsidRPr="00904FCB">
        <w:rPr>
          <w:rFonts w:hint="cs"/>
          <w:sz w:val="27"/>
          <w:rtl/>
        </w:rPr>
        <w:t>ّ</w:t>
      </w:r>
      <w:r w:rsidRPr="00904FCB">
        <w:rPr>
          <w:rFonts w:hint="cs"/>
          <w:sz w:val="27"/>
          <w:rtl/>
        </w:rPr>
        <w:t xml:space="preserve">ية الظنون الأخرى. </w:t>
      </w:r>
    </w:p>
    <w:p w:rsidR="00A45FD9" w:rsidRPr="00904FCB" w:rsidRDefault="00A45FD9" w:rsidP="00E626D2">
      <w:pPr>
        <w:rPr>
          <w:sz w:val="27"/>
          <w:rtl/>
        </w:rPr>
      </w:pPr>
      <w:r w:rsidRPr="00904FCB">
        <w:rPr>
          <w:rFonts w:hint="cs"/>
          <w:sz w:val="27"/>
          <w:rtl/>
        </w:rPr>
        <w:t>تختلف آراء المدارس الفقهية السن</w:t>
      </w:r>
      <w:r w:rsidR="00454772" w:rsidRPr="00904FCB">
        <w:rPr>
          <w:rFonts w:hint="cs"/>
          <w:sz w:val="27"/>
          <w:rtl/>
        </w:rPr>
        <w:t>ّ</w:t>
      </w:r>
      <w:r w:rsidRPr="00904FCB">
        <w:rPr>
          <w:rFonts w:hint="cs"/>
          <w:sz w:val="27"/>
          <w:rtl/>
        </w:rPr>
        <w:t>ية بشأن حج</w:t>
      </w:r>
      <w:r w:rsidR="00454772" w:rsidRPr="00904FCB">
        <w:rPr>
          <w:rFonts w:hint="cs"/>
          <w:sz w:val="27"/>
          <w:rtl/>
        </w:rPr>
        <w:t>ّ</w:t>
      </w:r>
      <w:r w:rsidRPr="00904FCB">
        <w:rPr>
          <w:rFonts w:hint="cs"/>
          <w:sz w:val="27"/>
          <w:rtl/>
        </w:rPr>
        <w:t>ية الظنون. أما الأغلبية الغالبة من فقهاء الشيعة فتذهب إلى أن الشارع لم ي</w:t>
      </w:r>
      <w:r w:rsidR="00454772" w:rsidRPr="00904FCB">
        <w:rPr>
          <w:rFonts w:hint="cs"/>
          <w:sz w:val="27"/>
          <w:rtl/>
        </w:rPr>
        <w:t>ُ</w:t>
      </w:r>
      <w:r w:rsidRPr="00904FCB">
        <w:rPr>
          <w:rFonts w:hint="cs"/>
          <w:sz w:val="27"/>
          <w:rtl/>
        </w:rPr>
        <w:t>م</w:t>
      </w:r>
      <w:r w:rsidR="00454772" w:rsidRPr="00904FCB">
        <w:rPr>
          <w:rFonts w:hint="cs"/>
          <w:sz w:val="27"/>
          <w:rtl/>
        </w:rPr>
        <w:t>ْ</w:t>
      </w:r>
      <w:r w:rsidRPr="00904FCB">
        <w:rPr>
          <w:rFonts w:hint="cs"/>
          <w:sz w:val="27"/>
          <w:rtl/>
        </w:rPr>
        <w:t>ض</w:t>
      </w:r>
      <w:r w:rsidR="00454772" w:rsidRPr="00904FCB">
        <w:rPr>
          <w:rFonts w:hint="cs"/>
          <w:sz w:val="27"/>
          <w:rtl/>
        </w:rPr>
        <w:t>ِ</w:t>
      </w:r>
      <w:r w:rsidRPr="00904FCB">
        <w:rPr>
          <w:rFonts w:hint="cs"/>
          <w:sz w:val="27"/>
          <w:rtl/>
        </w:rPr>
        <w:t xml:space="preserve"> إلا</w:t>
      </w:r>
      <w:r w:rsidR="00454772" w:rsidRPr="00904FCB">
        <w:rPr>
          <w:rFonts w:hint="cs"/>
          <w:sz w:val="27"/>
          <w:rtl/>
        </w:rPr>
        <w:t>ّ</w:t>
      </w:r>
      <w:r w:rsidRPr="00904FCB">
        <w:rPr>
          <w:rFonts w:hint="cs"/>
          <w:sz w:val="27"/>
          <w:rtl/>
        </w:rPr>
        <w:t xml:space="preserve"> </w:t>
      </w:r>
      <w:r w:rsidR="00454772" w:rsidRPr="00904FCB">
        <w:rPr>
          <w:rFonts w:hint="cs"/>
          <w:sz w:val="27"/>
          <w:rtl/>
        </w:rPr>
        <w:t xml:space="preserve">حجّية </w:t>
      </w:r>
      <w:r w:rsidRPr="00904FCB">
        <w:rPr>
          <w:rFonts w:hint="cs"/>
          <w:sz w:val="27"/>
          <w:rtl/>
        </w:rPr>
        <w:t>بعض الظنون النقلي</w:t>
      </w:r>
      <w:r w:rsidR="00454772" w:rsidRPr="00904FCB">
        <w:rPr>
          <w:rFonts w:hint="cs"/>
          <w:sz w:val="27"/>
          <w:rtl/>
        </w:rPr>
        <w:t>ّ</w:t>
      </w:r>
      <w:r w:rsidRPr="00904FCB">
        <w:rPr>
          <w:rFonts w:hint="cs"/>
          <w:sz w:val="27"/>
          <w:rtl/>
        </w:rPr>
        <w:t>ة، وألغى حج</w:t>
      </w:r>
      <w:r w:rsidR="00454772" w:rsidRPr="00904FCB">
        <w:rPr>
          <w:rFonts w:hint="cs"/>
          <w:sz w:val="27"/>
          <w:rtl/>
        </w:rPr>
        <w:t>ّ</w:t>
      </w:r>
      <w:r w:rsidRPr="00904FCB">
        <w:rPr>
          <w:rFonts w:hint="cs"/>
          <w:sz w:val="27"/>
          <w:rtl/>
        </w:rPr>
        <w:t>ية سائر الظنون الأخرى. فلكي نتمكن من إثبات حكم</w:t>
      </w:r>
      <w:r w:rsidR="00454772" w:rsidRPr="00904FCB">
        <w:rPr>
          <w:rFonts w:hint="cs"/>
          <w:sz w:val="27"/>
          <w:rtl/>
        </w:rPr>
        <w:t>ٍ</w:t>
      </w:r>
      <w:r w:rsidRPr="00904FCB">
        <w:rPr>
          <w:rFonts w:hint="cs"/>
          <w:sz w:val="27"/>
          <w:rtl/>
        </w:rPr>
        <w:t xml:space="preserve"> من خلال الاستناد إلى الأدلة النقلية يجب إثبات اعتبار هذه الأدل</w:t>
      </w:r>
      <w:r w:rsidR="00454772" w:rsidRPr="00904FCB">
        <w:rPr>
          <w:rFonts w:hint="cs"/>
          <w:sz w:val="27"/>
          <w:rtl/>
        </w:rPr>
        <w:t>ّ</w:t>
      </w:r>
      <w:r w:rsidRPr="00904FCB">
        <w:rPr>
          <w:rFonts w:hint="cs"/>
          <w:sz w:val="27"/>
          <w:rtl/>
        </w:rPr>
        <w:t xml:space="preserve">ة </w:t>
      </w:r>
      <w:r w:rsidRPr="00904FCB">
        <w:rPr>
          <w:rFonts w:hint="eastAsia"/>
          <w:sz w:val="27"/>
          <w:rtl/>
        </w:rPr>
        <w:t>«</w:t>
      </w:r>
      <w:r w:rsidRPr="00904FCB">
        <w:rPr>
          <w:rFonts w:hint="cs"/>
          <w:sz w:val="27"/>
          <w:rtl/>
        </w:rPr>
        <w:t>سنداً</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دلالة</w:t>
      </w:r>
      <w:r w:rsidR="00454772" w:rsidRPr="00904FCB">
        <w:rPr>
          <w:rFonts w:hint="cs"/>
          <w:sz w:val="27"/>
          <w:rtl/>
        </w:rPr>
        <w:t>ً</w:t>
      </w:r>
      <w:r w:rsidRPr="00904FCB">
        <w:rPr>
          <w:rFonts w:hint="eastAsia"/>
          <w:sz w:val="27"/>
          <w:rtl/>
        </w:rPr>
        <w:t>»</w:t>
      </w:r>
      <w:r w:rsidRPr="00904FCB">
        <w:rPr>
          <w:rFonts w:hint="cs"/>
          <w:sz w:val="27"/>
          <w:rtl/>
        </w:rPr>
        <w:t>. من هنا يسعى علماء الأصول إلى إثبات حج</w:t>
      </w:r>
      <w:r w:rsidR="00454772" w:rsidRPr="00904FCB">
        <w:rPr>
          <w:rFonts w:hint="cs"/>
          <w:sz w:val="27"/>
          <w:rtl/>
        </w:rPr>
        <w:t>ّ</w:t>
      </w:r>
      <w:r w:rsidRPr="00904FCB">
        <w:rPr>
          <w:rFonts w:hint="cs"/>
          <w:sz w:val="27"/>
          <w:rtl/>
        </w:rPr>
        <w:t xml:space="preserve">ية </w:t>
      </w:r>
      <w:r w:rsidRPr="00904FCB">
        <w:rPr>
          <w:rFonts w:hint="eastAsia"/>
          <w:sz w:val="27"/>
          <w:rtl/>
        </w:rPr>
        <w:t>«</w:t>
      </w:r>
      <w:r w:rsidRPr="00904FCB">
        <w:rPr>
          <w:rFonts w:hint="cs"/>
          <w:sz w:val="27"/>
          <w:rtl/>
        </w:rPr>
        <w:t>خبر الواحد</w:t>
      </w:r>
      <w:r w:rsidRPr="00904FCB">
        <w:rPr>
          <w:rFonts w:hint="eastAsia"/>
          <w:sz w:val="27"/>
          <w:rtl/>
        </w:rPr>
        <w:t>»</w:t>
      </w:r>
      <w:r w:rsidR="00454772" w:rsidRPr="00904FCB">
        <w:rPr>
          <w:rFonts w:hint="cs"/>
          <w:sz w:val="27"/>
          <w:rtl/>
        </w:rPr>
        <w:t>،</w:t>
      </w:r>
      <w:r w:rsidRPr="00904FCB">
        <w:rPr>
          <w:rFonts w:hint="cs"/>
          <w:sz w:val="27"/>
          <w:rtl/>
        </w:rPr>
        <w:t xml:space="preserve"> وحج</w:t>
      </w:r>
      <w:r w:rsidR="00454772" w:rsidRPr="00904FCB">
        <w:rPr>
          <w:rFonts w:hint="cs"/>
          <w:sz w:val="27"/>
          <w:rtl/>
        </w:rPr>
        <w:t>ّ</w:t>
      </w:r>
      <w:r w:rsidRPr="00904FCB">
        <w:rPr>
          <w:rFonts w:hint="cs"/>
          <w:sz w:val="27"/>
          <w:rtl/>
        </w:rPr>
        <w:t xml:space="preserve">ية </w:t>
      </w:r>
      <w:r w:rsidRPr="00904FCB">
        <w:rPr>
          <w:rFonts w:hint="eastAsia"/>
          <w:sz w:val="27"/>
          <w:rtl/>
        </w:rPr>
        <w:t>«</w:t>
      </w:r>
      <w:r w:rsidRPr="00904FCB">
        <w:rPr>
          <w:rFonts w:hint="cs"/>
          <w:sz w:val="27"/>
          <w:rtl/>
        </w:rPr>
        <w:t>ظواهر الكلام</w:t>
      </w:r>
      <w:r w:rsidRPr="00904FCB">
        <w:rPr>
          <w:rFonts w:hint="eastAsia"/>
          <w:sz w:val="27"/>
          <w:rtl/>
        </w:rPr>
        <w:t>»</w:t>
      </w:r>
      <w:r w:rsidRPr="00904FCB">
        <w:rPr>
          <w:rFonts w:hint="cs"/>
          <w:sz w:val="27"/>
          <w:rtl/>
        </w:rPr>
        <w:t>. والنتيجة التي يتمّ التوصل إليها من خلال البحث في حج</w:t>
      </w:r>
      <w:r w:rsidR="00454772" w:rsidRPr="00904FCB">
        <w:rPr>
          <w:rFonts w:hint="cs"/>
          <w:sz w:val="27"/>
          <w:rtl/>
        </w:rPr>
        <w:t>ّ</w:t>
      </w:r>
      <w:r w:rsidRPr="00904FCB">
        <w:rPr>
          <w:rFonts w:hint="cs"/>
          <w:sz w:val="27"/>
          <w:rtl/>
        </w:rPr>
        <w:t>ية الظنون عادة</w:t>
      </w:r>
      <w:r w:rsidR="00454772" w:rsidRPr="00904FCB">
        <w:rPr>
          <w:rFonts w:hint="cs"/>
          <w:sz w:val="27"/>
          <w:rtl/>
        </w:rPr>
        <w:t>ً</w:t>
      </w:r>
      <w:r w:rsidRPr="00904FCB">
        <w:rPr>
          <w:rFonts w:hint="cs"/>
          <w:sz w:val="27"/>
          <w:rtl/>
        </w:rPr>
        <w:t xml:space="preserve"> هي أن الشارع يرى أن الظنون العقلية </w:t>
      </w:r>
      <w:r w:rsidR="00454772" w:rsidRPr="00904FCB">
        <w:rPr>
          <w:rFonts w:hint="cs"/>
          <w:sz w:val="27"/>
          <w:rtl/>
        </w:rPr>
        <w:t>و</w:t>
      </w:r>
      <w:r w:rsidRPr="00904FCB">
        <w:rPr>
          <w:rFonts w:hint="cs"/>
          <w:sz w:val="27"/>
          <w:rtl/>
        </w:rPr>
        <w:t>(التجريبية) فاقدة للاعتبار، و</w:t>
      </w:r>
      <w:r w:rsidR="00454772" w:rsidRPr="00904FCB">
        <w:rPr>
          <w:rFonts w:hint="cs"/>
          <w:sz w:val="27"/>
          <w:rtl/>
        </w:rPr>
        <w:t xml:space="preserve">قد </w:t>
      </w:r>
      <w:r w:rsidRPr="00904FCB">
        <w:rPr>
          <w:rFonts w:hint="cs"/>
          <w:sz w:val="27"/>
          <w:rtl/>
        </w:rPr>
        <w:t>طالب المكل</w:t>
      </w:r>
      <w:r w:rsidR="00454772" w:rsidRPr="00904FCB">
        <w:rPr>
          <w:rFonts w:hint="cs"/>
          <w:sz w:val="27"/>
          <w:rtl/>
        </w:rPr>
        <w:t>َّ</w:t>
      </w:r>
      <w:r w:rsidRPr="00904FCB">
        <w:rPr>
          <w:rFonts w:hint="cs"/>
          <w:sz w:val="27"/>
          <w:rtl/>
        </w:rPr>
        <w:t xml:space="preserve">فين بعدم الاستناد إلى الأدلة العقلية </w:t>
      </w:r>
      <w:r w:rsidR="00454772" w:rsidRPr="00904FCB">
        <w:rPr>
          <w:rFonts w:hint="cs"/>
          <w:sz w:val="27"/>
          <w:rtl/>
        </w:rPr>
        <w:t>و</w:t>
      </w:r>
      <w:r w:rsidRPr="00904FCB">
        <w:rPr>
          <w:rFonts w:hint="cs"/>
          <w:sz w:val="27"/>
          <w:rtl/>
        </w:rPr>
        <w:t>(التجريبية) الظن</w:t>
      </w:r>
      <w:r w:rsidR="00454772" w:rsidRPr="00904FCB">
        <w:rPr>
          <w:rFonts w:hint="cs"/>
          <w:sz w:val="27"/>
          <w:rtl/>
        </w:rPr>
        <w:t>ّ</w:t>
      </w:r>
      <w:r w:rsidRPr="00904FCB">
        <w:rPr>
          <w:rFonts w:hint="cs"/>
          <w:sz w:val="27"/>
          <w:rtl/>
        </w:rPr>
        <w:t xml:space="preserve">ية في مقام الكشف عن الأحكام الشرعية. </w:t>
      </w:r>
    </w:p>
    <w:p w:rsidR="00A45FD9" w:rsidRPr="00904FCB" w:rsidRDefault="00A45FD9" w:rsidP="00B66617">
      <w:pPr>
        <w:spacing w:line="400" w:lineRule="exact"/>
        <w:rPr>
          <w:sz w:val="27"/>
          <w:rtl/>
        </w:rPr>
      </w:pPr>
      <w:r w:rsidRPr="00904FCB">
        <w:rPr>
          <w:rFonts w:hint="cs"/>
          <w:sz w:val="27"/>
          <w:rtl/>
        </w:rPr>
        <w:t>نعم</w:t>
      </w:r>
      <w:r w:rsidR="00454772" w:rsidRPr="00904FCB">
        <w:rPr>
          <w:rFonts w:hint="cs"/>
          <w:sz w:val="27"/>
          <w:rtl/>
        </w:rPr>
        <w:t>،</w:t>
      </w:r>
      <w:r w:rsidRPr="00904FCB">
        <w:rPr>
          <w:rFonts w:hint="cs"/>
          <w:sz w:val="27"/>
          <w:rtl/>
        </w:rPr>
        <w:t xml:space="preserve"> لو أن الدليل العقلي أدّى في مورد</w:t>
      </w:r>
      <w:r w:rsidR="00454772" w:rsidRPr="00904FCB">
        <w:rPr>
          <w:rFonts w:hint="cs"/>
          <w:sz w:val="27"/>
          <w:rtl/>
        </w:rPr>
        <w:t>ٍ</w:t>
      </w:r>
      <w:r w:rsidRPr="00904FCB">
        <w:rPr>
          <w:rFonts w:hint="cs"/>
          <w:sz w:val="27"/>
          <w:rtl/>
        </w:rPr>
        <w:t xml:space="preserve"> خاص</w:t>
      </w:r>
      <w:r w:rsidR="00454772" w:rsidRPr="00904FCB">
        <w:rPr>
          <w:rFonts w:hint="cs"/>
          <w:sz w:val="27"/>
          <w:rtl/>
        </w:rPr>
        <w:t>ّ</w:t>
      </w:r>
      <w:r w:rsidRPr="00904FCB">
        <w:rPr>
          <w:rFonts w:hint="cs"/>
          <w:sz w:val="27"/>
          <w:rtl/>
        </w:rPr>
        <w:t xml:space="preserve"> إلى القطع كان حج</w:t>
      </w:r>
      <w:r w:rsidR="00454772" w:rsidRPr="00904FCB">
        <w:rPr>
          <w:rFonts w:hint="cs"/>
          <w:sz w:val="27"/>
          <w:rtl/>
        </w:rPr>
        <w:t>ّ</w:t>
      </w:r>
      <w:r w:rsidRPr="00904FCB">
        <w:rPr>
          <w:rFonts w:hint="cs"/>
          <w:sz w:val="27"/>
          <w:rtl/>
        </w:rPr>
        <w:t>ة</w:t>
      </w:r>
      <w:r w:rsidR="00454772" w:rsidRPr="00904FCB">
        <w:rPr>
          <w:rFonts w:hint="cs"/>
          <w:sz w:val="27"/>
          <w:rtl/>
        </w:rPr>
        <w:t>ً</w:t>
      </w:r>
      <w:r w:rsidRPr="00904FCB">
        <w:rPr>
          <w:rFonts w:hint="cs"/>
          <w:sz w:val="27"/>
          <w:rtl/>
        </w:rPr>
        <w:t xml:space="preserve"> في ذلك المورد، بمعنى عدم وجود فرق بين القطع العقلي والقطع النقلي من حيث الاعتبار والحج</w:t>
      </w:r>
      <w:r w:rsidR="00454772" w:rsidRPr="00904FCB">
        <w:rPr>
          <w:rFonts w:hint="cs"/>
          <w:sz w:val="27"/>
          <w:rtl/>
        </w:rPr>
        <w:t>ّ</w:t>
      </w:r>
      <w:r w:rsidRPr="00904FCB">
        <w:rPr>
          <w:rFonts w:hint="cs"/>
          <w:sz w:val="27"/>
          <w:rtl/>
        </w:rPr>
        <w:t>ية، ولكن</w:t>
      </w:r>
      <w:r w:rsidR="00454772" w:rsidRPr="00904FCB">
        <w:rPr>
          <w:rFonts w:hint="cs"/>
          <w:sz w:val="27"/>
          <w:rtl/>
        </w:rPr>
        <w:t>ّ</w:t>
      </w:r>
      <w:r w:rsidRPr="00904FCB">
        <w:rPr>
          <w:rFonts w:hint="cs"/>
          <w:sz w:val="27"/>
          <w:rtl/>
        </w:rPr>
        <w:t xml:space="preserve"> هذه الموارد نادرة للغاية</w:t>
      </w:r>
      <w:r w:rsidR="00454772" w:rsidRPr="00904FCB">
        <w:rPr>
          <w:rFonts w:hint="cs"/>
          <w:sz w:val="27"/>
          <w:rtl/>
        </w:rPr>
        <w:t>.</w:t>
      </w:r>
      <w:r w:rsidRPr="00904FCB">
        <w:rPr>
          <w:rFonts w:hint="cs"/>
          <w:sz w:val="27"/>
          <w:rtl/>
        </w:rPr>
        <w:t xml:space="preserve"> ولذلك يرى أمثال السيد محمد باقر الصدر أن العقل من مصادر الأحكام الشرعية بـ </w:t>
      </w:r>
      <w:r w:rsidRPr="00904FCB">
        <w:rPr>
          <w:rFonts w:hint="eastAsia"/>
          <w:sz w:val="27"/>
          <w:rtl/>
        </w:rPr>
        <w:t>«</w:t>
      </w:r>
      <w:r w:rsidRPr="00904FCB">
        <w:rPr>
          <w:rFonts w:hint="cs"/>
          <w:sz w:val="27"/>
          <w:rtl/>
        </w:rPr>
        <w:t>القو</w:t>
      </w:r>
      <w:r w:rsidR="00E73C45" w:rsidRPr="00904FCB">
        <w:rPr>
          <w:rFonts w:hint="cs"/>
          <w:sz w:val="27"/>
          <w:rtl/>
        </w:rPr>
        <w:t>ّ</w:t>
      </w:r>
      <w:r w:rsidRPr="00904FCB">
        <w:rPr>
          <w:rFonts w:hint="cs"/>
          <w:sz w:val="27"/>
          <w:rtl/>
        </w:rPr>
        <w:t>ة</w:t>
      </w:r>
      <w:r w:rsidRPr="00904FCB">
        <w:rPr>
          <w:rFonts w:hint="eastAsia"/>
          <w:sz w:val="27"/>
          <w:rtl/>
        </w:rPr>
        <w:t>»</w:t>
      </w:r>
      <w:r w:rsidRPr="00904FCB">
        <w:rPr>
          <w:rFonts w:hint="cs"/>
          <w:sz w:val="27"/>
          <w:rtl/>
        </w:rPr>
        <w:t>، إلا</w:t>
      </w:r>
      <w:r w:rsidR="00E73C45" w:rsidRPr="00904FCB">
        <w:rPr>
          <w:rFonts w:hint="cs"/>
          <w:sz w:val="27"/>
          <w:rtl/>
        </w:rPr>
        <w:t>ّ</w:t>
      </w:r>
      <w:r w:rsidRPr="00904FCB">
        <w:rPr>
          <w:rFonts w:hint="cs"/>
          <w:sz w:val="27"/>
          <w:rtl/>
        </w:rPr>
        <w:t xml:space="preserve"> أن هذه القوّة لا تبلغ مرحلة </w:t>
      </w:r>
      <w:r w:rsidRPr="00904FCB">
        <w:rPr>
          <w:rFonts w:hint="eastAsia"/>
          <w:sz w:val="27"/>
          <w:rtl/>
        </w:rPr>
        <w:t>«</w:t>
      </w:r>
      <w:r w:rsidRPr="00904FCB">
        <w:rPr>
          <w:rFonts w:hint="cs"/>
          <w:sz w:val="27"/>
          <w:rtl/>
        </w:rPr>
        <w:t>الفعلية</w:t>
      </w:r>
      <w:r w:rsidRPr="00904FCB">
        <w:rPr>
          <w:rFonts w:hint="eastAsia"/>
          <w:sz w:val="27"/>
          <w:rtl/>
        </w:rPr>
        <w:t>»</w:t>
      </w:r>
      <w:r w:rsidRPr="00904FCB">
        <w:rPr>
          <w:rFonts w:hint="cs"/>
          <w:sz w:val="27"/>
          <w:rtl/>
        </w:rPr>
        <w:t xml:space="preserve"> أبداً</w:t>
      </w:r>
      <w:r w:rsidRPr="00904FCB">
        <w:rPr>
          <w:sz w:val="27"/>
          <w:vertAlign w:val="superscript"/>
          <w:rtl/>
        </w:rPr>
        <w:t>(</w:t>
      </w:r>
      <w:r w:rsidRPr="00904FCB">
        <w:rPr>
          <w:sz w:val="27"/>
          <w:vertAlign w:val="superscript"/>
          <w:rtl/>
        </w:rPr>
        <w:endnoteReference w:id="6"/>
      </w:r>
      <w:r w:rsidRPr="00904FCB">
        <w:rPr>
          <w:sz w:val="27"/>
          <w:vertAlign w:val="superscript"/>
          <w:rtl/>
        </w:rPr>
        <w:t>)</w:t>
      </w:r>
      <w:r w:rsidRPr="00904FCB">
        <w:rPr>
          <w:rFonts w:hint="cs"/>
          <w:sz w:val="27"/>
          <w:rtl/>
        </w:rPr>
        <w:t xml:space="preserve">. </w:t>
      </w:r>
    </w:p>
    <w:p w:rsidR="00A45FD9" w:rsidRPr="00904FCB" w:rsidRDefault="00A45FD9" w:rsidP="00B66617">
      <w:pPr>
        <w:spacing w:line="400" w:lineRule="exact"/>
        <w:rPr>
          <w:sz w:val="27"/>
          <w:rtl/>
        </w:rPr>
      </w:pPr>
      <w:r w:rsidRPr="00904FCB">
        <w:rPr>
          <w:rFonts w:hint="cs"/>
          <w:sz w:val="27"/>
          <w:rtl/>
        </w:rPr>
        <w:t>إن الظن</w:t>
      </w:r>
      <w:r w:rsidR="00E73C45" w:rsidRPr="00904FCB">
        <w:rPr>
          <w:rFonts w:hint="cs"/>
          <w:sz w:val="27"/>
          <w:rtl/>
        </w:rPr>
        <w:t>ّ</w:t>
      </w:r>
      <w:r w:rsidRPr="00904FCB">
        <w:rPr>
          <w:rFonts w:hint="cs"/>
          <w:sz w:val="27"/>
          <w:rtl/>
        </w:rPr>
        <w:t xml:space="preserve"> غير المعتبر هو الظن</w:t>
      </w:r>
      <w:r w:rsidR="00E73C45" w:rsidRPr="00904FCB">
        <w:rPr>
          <w:rFonts w:hint="cs"/>
          <w:sz w:val="27"/>
          <w:rtl/>
        </w:rPr>
        <w:t>ّ</w:t>
      </w:r>
      <w:r w:rsidRPr="00904FCB">
        <w:rPr>
          <w:rFonts w:hint="cs"/>
          <w:sz w:val="27"/>
          <w:rtl/>
        </w:rPr>
        <w:t xml:space="preserve"> الذي لم تثبت حج</w:t>
      </w:r>
      <w:r w:rsidR="00E73C45" w:rsidRPr="00904FCB">
        <w:rPr>
          <w:rFonts w:hint="cs"/>
          <w:sz w:val="27"/>
          <w:rtl/>
        </w:rPr>
        <w:t>ِّ</w:t>
      </w:r>
      <w:r w:rsidRPr="00904FCB">
        <w:rPr>
          <w:rFonts w:hint="cs"/>
          <w:sz w:val="27"/>
          <w:rtl/>
        </w:rPr>
        <w:t>يته واعتباره الشرعي بدليل</w:t>
      </w:r>
      <w:r w:rsidR="00E73C45" w:rsidRPr="00904FCB">
        <w:rPr>
          <w:rFonts w:hint="cs"/>
          <w:sz w:val="27"/>
          <w:rtl/>
        </w:rPr>
        <w:t>ٍ</w:t>
      </w:r>
      <w:r w:rsidRPr="00904FCB">
        <w:rPr>
          <w:rFonts w:hint="cs"/>
          <w:sz w:val="27"/>
          <w:rtl/>
        </w:rPr>
        <w:t xml:space="preserve"> قطعي</w:t>
      </w:r>
      <w:r w:rsidR="00E73C45" w:rsidRPr="00904FCB">
        <w:rPr>
          <w:rFonts w:hint="cs"/>
          <w:sz w:val="27"/>
          <w:rtl/>
        </w:rPr>
        <w:t>ّ</w:t>
      </w:r>
      <w:r w:rsidRPr="00904FCB">
        <w:rPr>
          <w:rFonts w:hint="cs"/>
          <w:sz w:val="27"/>
          <w:rtl/>
        </w:rPr>
        <w:t>، فيجري عليه حكم الشك</w:t>
      </w:r>
      <w:r w:rsidR="00E73C45" w:rsidRPr="00904FCB">
        <w:rPr>
          <w:rFonts w:hint="cs"/>
          <w:sz w:val="27"/>
          <w:rtl/>
        </w:rPr>
        <w:t>ّ</w:t>
      </w:r>
      <w:r w:rsidRPr="00904FCB">
        <w:rPr>
          <w:rFonts w:hint="cs"/>
          <w:sz w:val="27"/>
          <w:rtl/>
        </w:rPr>
        <w:t>. وعلى المكل</w:t>
      </w:r>
      <w:r w:rsidR="00E73C45" w:rsidRPr="00904FCB">
        <w:rPr>
          <w:rFonts w:hint="cs"/>
          <w:sz w:val="27"/>
          <w:rtl/>
        </w:rPr>
        <w:t>َّ</w:t>
      </w:r>
      <w:r w:rsidRPr="00904FCB">
        <w:rPr>
          <w:rFonts w:hint="cs"/>
          <w:sz w:val="27"/>
          <w:rtl/>
        </w:rPr>
        <w:t>ف عند الشك</w:t>
      </w:r>
      <w:r w:rsidR="00E73C45" w:rsidRPr="00904FCB">
        <w:rPr>
          <w:rFonts w:hint="cs"/>
          <w:sz w:val="27"/>
          <w:rtl/>
        </w:rPr>
        <w:t>ّ</w:t>
      </w:r>
      <w:r w:rsidRPr="00904FCB">
        <w:rPr>
          <w:rFonts w:hint="cs"/>
          <w:sz w:val="27"/>
          <w:rtl/>
        </w:rPr>
        <w:t xml:space="preserve"> في الحكم الشرعي (وفيما لو كان عنده ظن</w:t>
      </w:r>
      <w:r w:rsidR="00E73C45" w:rsidRPr="00904FCB">
        <w:rPr>
          <w:rFonts w:hint="cs"/>
          <w:sz w:val="27"/>
          <w:rtl/>
        </w:rPr>
        <w:t>ٌّ</w:t>
      </w:r>
      <w:r w:rsidRPr="00904FCB">
        <w:rPr>
          <w:rFonts w:hint="cs"/>
          <w:sz w:val="27"/>
          <w:rtl/>
        </w:rPr>
        <w:t xml:space="preserve"> غير نقلي</w:t>
      </w:r>
      <w:r w:rsidR="00E73C45" w:rsidRPr="00904FCB">
        <w:rPr>
          <w:rFonts w:hint="cs"/>
          <w:sz w:val="27"/>
          <w:rtl/>
        </w:rPr>
        <w:t>ّ</w:t>
      </w:r>
      <w:r w:rsidRPr="00904FCB">
        <w:rPr>
          <w:rFonts w:hint="cs"/>
          <w:sz w:val="27"/>
          <w:rtl/>
        </w:rPr>
        <w:t xml:space="preserve"> بالحكم الشرعي) أن يرجع إلى الأصول العملية</w:t>
      </w:r>
      <w:r w:rsidR="00E73C45" w:rsidRPr="00904FCB">
        <w:rPr>
          <w:rFonts w:hint="cs"/>
          <w:sz w:val="27"/>
          <w:rtl/>
        </w:rPr>
        <w:t>؛</w:t>
      </w:r>
      <w:r w:rsidRPr="00904FCB">
        <w:rPr>
          <w:rFonts w:hint="cs"/>
          <w:sz w:val="27"/>
          <w:rtl/>
        </w:rPr>
        <w:t xml:space="preserve"> ليعمل على طبقها ومقتضاها. والمراد من الشك</w:t>
      </w:r>
      <w:r w:rsidR="00E73C45" w:rsidRPr="00904FCB">
        <w:rPr>
          <w:rFonts w:hint="cs"/>
          <w:sz w:val="27"/>
          <w:rtl/>
        </w:rPr>
        <w:t>ّ</w:t>
      </w:r>
      <w:r w:rsidRPr="00904FCB">
        <w:rPr>
          <w:rFonts w:hint="cs"/>
          <w:sz w:val="27"/>
          <w:rtl/>
        </w:rPr>
        <w:t xml:space="preserve"> هنا هو الشك</w:t>
      </w:r>
      <w:r w:rsidR="00E73C45" w:rsidRPr="00904FCB">
        <w:rPr>
          <w:rFonts w:hint="cs"/>
          <w:sz w:val="27"/>
          <w:rtl/>
        </w:rPr>
        <w:t>ّ</w:t>
      </w:r>
      <w:r w:rsidRPr="00904FCB">
        <w:rPr>
          <w:rFonts w:hint="cs"/>
          <w:sz w:val="27"/>
          <w:rtl/>
        </w:rPr>
        <w:t xml:space="preserve"> بعد الفحص والبحث</w:t>
      </w:r>
      <w:r w:rsidR="00E73C45" w:rsidRPr="00904FCB">
        <w:rPr>
          <w:rFonts w:hint="cs"/>
          <w:sz w:val="27"/>
          <w:rtl/>
        </w:rPr>
        <w:t>؛</w:t>
      </w:r>
      <w:r w:rsidRPr="00904FCB">
        <w:rPr>
          <w:rFonts w:hint="cs"/>
          <w:sz w:val="27"/>
          <w:rtl/>
        </w:rPr>
        <w:t xml:space="preserve"> وأما قبل الفحص والبحث في الحكم الشرعي فعليه أن يعمل على طبق الاحتياط. </w:t>
      </w:r>
    </w:p>
    <w:p w:rsidR="00A45FD9" w:rsidRPr="00904FCB" w:rsidRDefault="00A45FD9" w:rsidP="00B66617">
      <w:pPr>
        <w:spacing w:line="400" w:lineRule="exact"/>
        <w:rPr>
          <w:sz w:val="27"/>
          <w:rtl/>
        </w:rPr>
      </w:pPr>
      <w:r w:rsidRPr="00904FCB">
        <w:rPr>
          <w:rFonts w:hint="cs"/>
          <w:sz w:val="27"/>
          <w:rtl/>
        </w:rPr>
        <w:t>وأما بعد الفحص والبحث فإن</w:t>
      </w:r>
      <w:r w:rsidR="00E73C45" w:rsidRPr="00904FCB">
        <w:rPr>
          <w:rFonts w:hint="cs"/>
          <w:sz w:val="27"/>
          <w:rtl/>
        </w:rPr>
        <w:t>ْ</w:t>
      </w:r>
      <w:r w:rsidRPr="00904FCB">
        <w:rPr>
          <w:rFonts w:hint="cs"/>
          <w:sz w:val="27"/>
          <w:rtl/>
        </w:rPr>
        <w:t xml:space="preserve"> عثر على دليل</w:t>
      </w:r>
      <w:r w:rsidR="00E73C45" w:rsidRPr="00904FCB">
        <w:rPr>
          <w:rFonts w:hint="cs"/>
          <w:sz w:val="27"/>
          <w:rtl/>
        </w:rPr>
        <w:t>ٍ</w:t>
      </w:r>
      <w:r w:rsidRPr="00904FCB">
        <w:rPr>
          <w:rFonts w:hint="cs"/>
          <w:sz w:val="27"/>
          <w:rtl/>
        </w:rPr>
        <w:t xml:space="preserve"> معتبر على الحكم الشرعي كان ذلك الدليل حج</w:t>
      </w:r>
      <w:r w:rsidR="00E73C45" w:rsidRPr="00904FCB">
        <w:rPr>
          <w:rFonts w:hint="cs"/>
          <w:sz w:val="27"/>
          <w:rtl/>
        </w:rPr>
        <w:t>ّ</w:t>
      </w:r>
      <w:r w:rsidRPr="00904FCB">
        <w:rPr>
          <w:rFonts w:hint="cs"/>
          <w:sz w:val="27"/>
          <w:rtl/>
        </w:rPr>
        <w:t>ة في حق</w:t>
      </w:r>
      <w:r w:rsidR="00E73C45" w:rsidRPr="00904FCB">
        <w:rPr>
          <w:rFonts w:hint="cs"/>
          <w:sz w:val="27"/>
          <w:rtl/>
        </w:rPr>
        <w:t>ّ</w:t>
      </w:r>
      <w:r w:rsidRPr="00904FCB">
        <w:rPr>
          <w:rFonts w:hint="cs"/>
          <w:sz w:val="27"/>
          <w:rtl/>
        </w:rPr>
        <w:t>ه، بمعنى أنه إذا عمل على طبقه كان معذوراً، وإذا خالفه كان مستحق</w:t>
      </w:r>
      <w:r w:rsidR="00E73C45" w:rsidRPr="00904FCB">
        <w:rPr>
          <w:rFonts w:hint="cs"/>
          <w:sz w:val="27"/>
          <w:rtl/>
        </w:rPr>
        <w:t>ّ</w:t>
      </w:r>
      <w:r w:rsidRPr="00904FCB">
        <w:rPr>
          <w:rFonts w:hint="cs"/>
          <w:sz w:val="27"/>
          <w:rtl/>
        </w:rPr>
        <w:t>اً للعقاب. وأما إذا لم يعثر على دليل</w:t>
      </w:r>
      <w:r w:rsidR="00E73C45" w:rsidRPr="00904FCB">
        <w:rPr>
          <w:rFonts w:hint="cs"/>
          <w:sz w:val="27"/>
          <w:rtl/>
        </w:rPr>
        <w:t>ٍ</w:t>
      </w:r>
      <w:r w:rsidRPr="00904FCB">
        <w:rPr>
          <w:rFonts w:hint="cs"/>
          <w:sz w:val="27"/>
          <w:rtl/>
        </w:rPr>
        <w:t xml:space="preserve"> معتبر على الحكم الشرعي ففي </w:t>
      </w:r>
      <w:r w:rsidRPr="00904FCB">
        <w:rPr>
          <w:rFonts w:hint="cs"/>
          <w:sz w:val="27"/>
          <w:rtl/>
        </w:rPr>
        <w:lastRenderedPageBreak/>
        <w:t>هذه الصورة إذا كان الحكم السابق للموضوع الذي يشك</w:t>
      </w:r>
      <w:r w:rsidR="00E73C45" w:rsidRPr="00904FCB">
        <w:rPr>
          <w:rFonts w:hint="cs"/>
          <w:sz w:val="27"/>
          <w:rtl/>
        </w:rPr>
        <w:t>ّ</w:t>
      </w:r>
      <w:r w:rsidRPr="00904FCB">
        <w:rPr>
          <w:rFonts w:hint="cs"/>
          <w:sz w:val="27"/>
          <w:rtl/>
        </w:rPr>
        <w:t xml:space="preserve"> في حكمه الراهن معلوماً استصحب ذلك الحكم وعمل على طبقه، وأما إذا كان بدوره مشكوكاً أيضاً جرى عليه أصل البراءة (والإباحة)</w:t>
      </w:r>
      <w:r w:rsidR="00E73C45" w:rsidRPr="00904FCB">
        <w:rPr>
          <w:rFonts w:hint="cs"/>
          <w:sz w:val="27"/>
          <w:rtl/>
        </w:rPr>
        <w:t>،</w:t>
      </w:r>
      <w:r w:rsidRPr="00904FCB">
        <w:rPr>
          <w:rFonts w:hint="cs"/>
          <w:sz w:val="27"/>
          <w:rtl/>
        </w:rPr>
        <w:t xml:space="preserve"> أو الطهارة. هذا هو مجمل المباني المعرفية في الفقه الشيعي. </w:t>
      </w:r>
    </w:p>
    <w:p w:rsidR="00A45FD9" w:rsidRPr="00904FCB" w:rsidRDefault="00E73C45" w:rsidP="007A21AA">
      <w:pPr>
        <w:spacing w:line="400" w:lineRule="exact"/>
        <w:rPr>
          <w:sz w:val="27"/>
          <w:rtl/>
        </w:rPr>
      </w:pPr>
      <w:r w:rsidRPr="00904FCB">
        <w:rPr>
          <w:rFonts w:hint="cs"/>
          <w:sz w:val="27"/>
          <w:rtl/>
        </w:rPr>
        <w:t>ومضافاً إ</w:t>
      </w:r>
      <w:r w:rsidR="00A45FD9" w:rsidRPr="00904FCB">
        <w:rPr>
          <w:rFonts w:hint="cs"/>
          <w:sz w:val="27"/>
          <w:rtl/>
        </w:rPr>
        <w:t>لى ذلك فإن</w:t>
      </w:r>
      <w:r w:rsidRPr="00904FCB">
        <w:rPr>
          <w:rFonts w:hint="cs"/>
          <w:sz w:val="27"/>
          <w:rtl/>
        </w:rPr>
        <w:t>ّ</w:t>
      </w:r>
      <w:r w:rsidR="00A45FD9" w:rsidRPr="00904FCB">
        <w:rPr>
          <w:rFonts w:hint="cs"/>
          <w:sz w:val="27"/>
          <w:rtl/>
        </w:rPr>
        <w:t xml:space="preserve"> من أهم</w:t>
      </w:r>
      <w:r w:rsidRPr="00904FCB">
        <w:rPr>
          <w:rFonts w:hint="cs"/>
          <w:sz w:val="27"/>
          <w:rtl/>
        </w:rPr>
        <w:t>ّ</w:t>
      </w:r>
      <w:r w:rsidR="00A45FD9" w:rsidRPr="00904FCB">
        <w:rPr>
          <w:rFonts w:hint="cs"/>
          <w:sz w:val="27"/>
          <w:rtl/>
        </w:rPr>
        <w:t xml:space="preserve"> مسل</w:t>
      </w:r>
      <w:r w:rsidRPr="00904FCB">
        <w:rPr>
          <w:rFonts w:hint="cs"/>
          <w:sz w:val="27"/>
          <w:rtl/>
        </w:rPr>
        <w:t>َّ</w:t>
      </w:r>
      <w:r w:rsidR="00A45FD9" w:rsidRPr="00904FCB">
        <w:rPr>
          <w:rFonts w:hint="cs"/>
          <w:sz w:val="27"/>
          <w:rtl/>
        </w:rPr>
        <w:t xml:space="preserve">مات الفقه التقليدي </w:t>
      </w:r>
      <w:r w:rsidRPr="00904FCB">
        <w:rPr>
          <w:rFonts w:hint="cs"/>
          <w:sz w:val="27"/>
          <w:rtl/>
        </w:rPr>
        <w:t>ما يلي</w:t>
      </w:r>
      <w:r w:rsidR="00A45FD9" w:rsidRPr="00904FCB">
        <w:rPr>
          <w:rFonts w:hint="cs"/>
          <w:sz w:val="27"/>
          <w:rtl/>
        </w:rPr>
        <w:t xml:space="preserve">: </w:t>
      </w:r>
    </w:p>
    <w:p w:rsidR="00A45FD9" w:rsidRPr="00CB554E" w:rsidRDefault="00A45FD9" w:rsidP="007A21AA">
      <w:pPr>
        <w:spacing w:line="400" w:lineRule="exact"/>
        <w:rPr>
          <w:sz w:val="27"/>
          <w:rtl/>
        </w:rPr>
      </w:pPr>
      <w:r w:rsidRPr="00CB554E">
        <w:rPr>
          <w:rFonts w:hint="cs"/>
          <w:sz w:val="27"/>
          <w:rtl/>
        </w:rPr>
        <w:t xml:space="preserve">1ـ إن موضوع علم الفقه هو </w:t>
      </w:r>
      <w:r w:rsidRPr="00CB554E">
        <w:rPr>
          <w:rFonts w:hint="eastAsia"/>
          <w:sz w:val="27"/>
          <w:rtl/>
        </w:rPr>
        <w:t>«</w:t>
      </w:r>
      <w:r w:rsidRPr="00CB554E">
        <w:rPr>
          <w:rFonts w:hint="cs"/>
          <w:sz w:val="27"/>
          <w:rtl/>
        </w:rPr>
        <w:t>فعل المكل</w:t>
      </w:r>
      <w:r w:rsidR="00E73C45" w:rsidRPr="00CB554E">
        <w:rPr>
          <w:rFonts w:hint="cs"/>
          <w:sz w:val="27"/>
          <w:rtl/>
        </w:rPr>
        <w:t>َّ</w:t>
      </w:r>
      <w:r w:rsidRPr="00CB554E">
        <w:rPr>
          <w:rFonts w:hint="cs"/>
          <w:sz w:val="27"/>
          <w:rtl/>
        </w:rPr>
        <w:t>فين</w:t>
      </w:r>
      <w:r w:rsidRPr="00CB554E">
        <w:rPr>
          <w:rFonts w:hint="eastAsia"/>
          <w:sz w:val="27"/>
          <w:rtl/>
        </w:rPr>
        <w:t>»</w:t>
      </w:r>
      <w:r w:rsidRPr="00CB554E">
        <w:rPr>
          <w:rFonts w:hint="cs"/>
          <w:sz w:val="27"/>
          <w:rtl/>
        </w:rPr>
        <w:t xml:space="preserve">. </w:t>
      </w:r>
    </w:p>
    <w:p w:rsidR="00A45FD9" w:rsidRPr="00904FCB" w:rsidRDefault="00A45FD9" w:rsidP="007A21AA">
      <w:pPr>
        <w:spacing w:line="400" w:lineRule="exact"/>
        <w:rPr>
          <w:sz w:val="27"/>
          <w:rtl/>
        </w:rPr>
      </w:pPr>
      <w:r w:rsidRPr="00CB554E">
        <w:rPr>
          <w:rFonts w:hint="cs"/>
          <w:sz w:val="27"/>
          <w:rtl/>
        </w:rPr>
        <w:t>2ـ إن غاية الفقه هي الكشف عن تكاليف الناس. إن الحقوق التي يمكن أن</w:t>
      </w:r>
      <w:r w:rsidRPr="00904FCB">
        <w:rPr>
          <w:rFonts w:hint="cs"/>
          <w:sz w:val="27"/>
          <w:rtl/>
        </w:rPr>
        <w:t xml:space="preserve"> تكون لبعض المكل</w:t>
      </w:r>
      <w:r w:rsidR="00E73C45" w:rsidRPr="00904FCB">
        <w:rPr>
          <w:rFonts w:hint="cs"/>
          <w:sz w:val="27"/>
          <w:rtl/>
        </w:rPr>
        <w:t>َّ</w:t>
      </w:r>
      <w:r w:rsidRPr="00904FCB">
        <w:rPr>
          <w:rFonts w:hint="cs"/>
          <w:sz w:val="27"/>
          <w:rtl/>
        </w:rPr>
        <w:t xml:space="preserve">فين تنتزع من تكاليف الآخرين، ولذلك كان علم الفقه علماً يتمحور حول التكليف. </w:t>
      </w:r>
    </w:p>
    <w:p w:rsidR="00A45FD9" w:rsidRPr="00904FCB" w:rsidRDefault="00A45FD9" w:rsidP="007A21AA">
      <w:pPr>
        <w:spacing w:line="400" w:lineRule="exact"/>
        <w:rPr>
          <w:sz w:val="27"/>
          <w:rtl/>
        </w:rPr>
      </w:pPr>
      <w:r w:rsidRPr="00CB554E">
        <w:rPr>
          <w:rFonts w:hint="cs"/>
          <w:sz w:val="27"/>
          <w:rtl/>
        </w:rPr>
        <w:t>3ـ إن</w:t>
      </w:r>
      <w:r w:rsidR="00E73C45" w:rsidRPr="00CB554E">
        <w:rPr>
          <w:rFonts w:hint="cs"/>
          <w:sz w:val="27"/>
          <w:rtl/>
        </w:rPr>
        <w:t>ّ</w:t>
      </w:r>
      <w:r w:rsidRPr="00CB554E">
        <w:rPr>
          <w:rFonts w:hint="cs"/>
          <w:sz w:val="27"/>
          <w:rtl/>
        </w:rPr>
        <w:t xml:space="preserve"> لكل</w:t>
      </w:r>
      <w:r w:rsidR="00E73C45" w:rsidRPr="00CB554E">
        <w:rPr>
          <w:rFonts w:hint="cs"/>
          <w:sz w:val="27"/>
          <w:rtl/>
        </w:rPr>
        <w:t>ّ</w:t>
      </w:r>
      <w:r w:rsidRPr="00CB554E">
        <w:rPr>
          <w:rFonts w:hint="cs"/>
          <w:sz w:val="27"/>
          <w:rtl/>
        </w:rPr>
        <w:t xml:space="preserve"> شيء</w:t>
      </w:r>
      <w:r w:rsidR="00E73C45" w:rsidRPr="00CB554E">
        <w:rPr>
          <w:rFonts w:hint="cs"/>
          <w:sz w:val="27"/>
          <w:rtl/>
        </w:rPr>
        <w:t>ٍ</w:t>
      </w:r>
      <w:r w:rsidRPr="00CB554E">
        <w:rPr>
          <w:rFonts w:hint="cs"/>
          <w:sz w:val="27"/>
          <w:rtl/>
        </w:rPr>
        <w:t xml:space="preserve"> حكماً شرعياً، طبقاً للرواية القائلة: </w:t>
      </w:r>
      <w:r w:rsidRPr="00CB554E">
        <w:rPr>
          <w:rFonts w:hint="eastAsia"/>
          <w:sz w:val="27"/>
          <w:rtl/>
        </w:rPr>
        <w:t>«</w:t>
      </w:r>
      <w:r w:rsidRPr="00CB554E">
        <w:rPr>
          <w:rFonts w:hint="cs"/>
          <w:sz w:val="27"/>
          <w:rtl/>
        </w:rPr>
        <w:t>إن لله في كل</w:t>
      </w:r>
      <w:r w:rsidR="00CE4F76" w:rsidRPr="00CB554E">
        <w:rPr>
          <w:rFonts w:hint="cs"/>
          <w:sz w:val="27"/>
          <w:rtl/>
        </w:rPr>
        <w:t>ّ</w:t>
      </w:r>
      <w:r w:rsidRPr="00CB554E">
        <w:rPr>
          <w:rFonts w:hint="cs"/>
          <w:sz w:val="27"/>
          <w:rtl/>
        </w:rPr>
        <w:t xml:space="preserve"> واقعة</w:t>
      </w:r>
      <w:r w:rsidRPr="00904FCB">
        <w:rPr>
          <w:rFonts w:hint="cs"/>
          <w:sz w:val="27"/>
          <w:rtl/>
        </w:rPr>
        <w:t xml:space="preserve"> حكماً شرعياً</w:t>
      </w:r>
      <w:r w:rsidR="00CE4F76" w:rsidRPr="00904FCB">
        <w:rPr>
          <w:rFonts w:hint="cs"/>
          <w:sz w:val="27"/>
          <w:rtl/>
        </w:rPr>
        <w:t>،</w:t>
      </w:r>
      <w:r w:rsidRPr="00904FCB">
        <w:rPr>
          <w:rFonts w:hint="cs"/>
          <w:sz w:val="27"/>
          <w:rtl/>
        </w:rPr>
        <w:t xml:space="preserve"> يشترك فيه العالم والجاهل</w:t>
      </w:r>
      <w:r w:rsidRPr="00904FCB">
        <w:rPr>
          <w:rFonts w:hint="eastAsia"/>
          <w:sz w:val="27"/>
          <w:rtl/>
        </w:rPr>
        <w:t>»</w:t>
      </w:r>
      <w:r w:rsidRPr="00904FCB">
        <w:rPr>
          <w:sz w:val="27"/>
          <w:vertAlign w:val="superscript"/>
          <w:rtl/>
        </w:rPr>
        <w:t>(</w:t>
      </w:r>
      <w:r w:rsidRPr="00904FCB">
        <w:rPr>
          <w:sz w:val="27"/>
          <w:vertAlign w:val="superscript"/>
          <w:rtl/>
        </w:rPr>
        <w:endnoteReference w:id="7"/>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CB554E">
        <w:rPr>
          <w:rFonts w:hint="cs"/>
          <w:sz w:val="27"/>
          <w:rtl/>
        </w:rPr>
        <w:t>4ـ إن الحكم الشرعي أبدي</w:t>
      </w:r>
      <w:r w:rsidR="00CE4F76" w:rsidRPr="00CB554E">
        <w:rPr>
          <w:rFonts w:hint="cs"/>
          <w:sz w:val="27"/>
          <w:rtl/>
        </w:rPr>
        <w:t>ٌّ</w:t>
      </w:r>
      <w:r w:rsidRPr="00CB554E">
        <w:rPr>
          <w:rFonts w:hint="cs"/>
          <w:sz w:val="27"/>
          <w:rtl/>
        </w:rPr>
        <w:t xml:space="preserve"> وثابت</w:t>
      </w:r>
      <w:r w:rsidR="00CE4F76" w:rsidRPr="00CB554E">
        <w:rPr>
          <w:rFonts w:hint="cs"/>
          <w:sz w:val="27"/>
          <w:rtl/>
        </w:rPr>
        <w:t>،</w:t>
      </w:r>
      <w:r w:rsidRPr="00CB554E">
        <w:rPr>
          <w:rFonts w:hint="cs"/>
          <w:sz w:val="27"/>
          <w:rtl/>
        </w:rPr>
        <w:t xml:space="preserve"> ولا يتغي</w:t>
      </w:r>
      <w:r w:rsidR="00CE4F76" w:rsidRPr="00CB554E">
        <w:rPr>
          <w:rFonts w:hint="cs"/>
          <w:sz w:val="27"/>
          <w:rtl/>
        </w:rPr>
        <w:t>َّ</w:t>
      </w:r>
      <w:r w:rsidRPr="00CB554E">
        <w:rPr>
          <w:rFonts w:hint="cs"/>
          <w:sz w:val="27"/>
          <w:rtl/>
        </w:rPr>
        <w:t xml:space="preserve">ر، طبقاً للرواية القائلة: </w:t>
      </w:r>
      <w:r w:rsidRPr="00CB554E">
        <w:rPr>
          <w:rFonts w:hint="eastAsia"/>
          <w:sz w:val="27"/>
          <w:rtl/>
        </w:rPr>
        <w:t>«</w:t>
      </w:r>
      <w:r w:rsidRPr="00CB554E">
        <w:rPr>
          <w:rFonts w:hint="cs"/>
          <w:sz w:val="27"/>
          <w:rtl/>
        </w:rPr>
        <w:t>حلال</w:t>
      </w:r>
      <w:r w:rsidRPr="00904FCB">
        <w:rPr>
          <w:rFonts w:hint="cs"/>
          <w:sz w:val="27"/>
          <w:rtl/>
        </w:rPr>
        <w:t xml:space="preserve"> محمد حلال</w:t>
      </w:r>
      <w:r w:rsidR="00CE4F76" w:rsidRPr="00904FCB">
        <w:rPr>
          <w:rFonts w:hint="cs"/>
          <w:sz w:val="27"/>
          <w:rtl/>
        </w:rPr>
        <w:t>ٌ</w:t>
      </w:r>
      <w:r w:rsidRPr="00904FCB">
        <w:rPr>
          <w:rFonts w:hint="cs"/>
          <w:sz w:val="27"/>
          <w:rtl/>
        </w:rPr>
        <w:t xml:space="preserve"> أبداً إلى يوم القيامة، وحرامه حرام</w:t>
      </w:r>
      <w:r w:rsidR="00CE4F76" w:rsidRPr="00904FCB">
        <w:rPr>
          <w:rFonts w:hint="cs"/>
          <w:sz w:val="27"/>
          <w:rtl/>
        </w:rPr>
        <w:t>ٌ</w:t>
      </w:r>
      <w:r w:rsidRPr="00904FCB">
        <w:rPr>
          <w:rFonts w:hint="cs"/>
          <w:sz w:val="27"/>
          <w:rtl/>
        </w:rPr>
        <w:t xml:space="preserve"> أبداً إلى يوم القيامة</w:t>
      </w:r>
      <w:r w:rsidRPr="00904FCB">
        <w:rPr>
          <w:rFonts w:hint="eastAsia"/>
          <w:sz w:val="27"/>
          <w:rtl/>
        </w:rPr>
        <w:t>»</w:t>
      </w:r>
      <w:r w:rsidRPr="00904FCB">
        <w:rPr>
          <w:sz w:val="27"/>
          <w:vertAlign w:val="superscript"/>
          <w:rtl/>
        </w:rPr>
        <w:t>(</w:t>
      </w:r>
      <w:r w:rsidRPr="00904FCB">
        <w:rPr>
          <w:sz w:val="27"/>
          <w:vertAlign w:val="superscript"/>
          <w:rtl/>
        </w:rPr>
        <w:endnoteReference w:id="8"/>
      </w:r>
      <w:r w:rsidRPr="00904FCB">
        <w:rPr>
          <w:sz w:val="27"/>
          <w:vertAlign w:val="superscript"/>
          <w:rtl/>
        </w:rPr>
        <w:t>)</w:t>
      </w:r>
      <w:r w:rsidRPr="00904FCB">
        <w:rPr>
          <w:rFonts w:hint="cs"/>
          <w:sz w:val="27"/>
          <w:rtl/>
        </w:rPr>
        <w:t xml:space="preserve">. </w:t>
      </w:r>
    </w:p>
    <w:p w:rsidR="00A45FD9" w:rsidRPr="00CB554E" w:rsidRDefault="00A45FD9" w:rsidP="007A21AA">
      <w:pPr>
        <w:spacing w:line="400" w:lineRule="exact"/>
        <w:rPr>
          <w:sz w:val="27"/>
          <w:rtl/>
        </w:rPr>
      </w:pPr>
      <w:r w:rsidRPr="00CB554E">
        <w:rPr>
          <w:rFonts w:hint="cs"/>
          <w:sz w:val="27"/>
          <w:rtl/>
        </w:rPr>
        <w:t>5ـ إن الأحكام الشرعية تنشأ من المصالح والمفاسد الغيبي</w:t>
      </w:r>
      <w:r w:rsidR="00CE4F76" w:rsidRPr="00CB554E">
        <w:rPr>
          <w:rFonts w:hint="cs"/>
          <w:sz w:val="27"/>
          <w:rtl/>
        </w:rPr>
        <w:t>ّ</w:t>
      </w:r>
      <w:r w:rsidRPr="00CB554E">
        <w:rPr>
          <w:rFonts w:hint="cs"/>
          <w:sz w:val="27"/>
          <w:rtl/>
        </w:rPr>
        <w:t>ة والأخروي</w:t>
      </w:r>
      <w:r w:rsidR="00CE4F76" w:rsidRPr="00CB554E">
        <w:rPr>
          <w:rFonts w:hint="cs"/>
          <w:sz w:val="27"/>
          <w:rtl/>
        </w:rPr>
        <w:t>ّ</w:t>
      </w:r>
      <w:r w:rsidRPr="00CB554E">
        <w:rPr>
          <w:rFonts w:hint="cs"/>
          <w:sz w:val="27"/>
          <w:rtl/>
        </w:rPr>
        <w:t xml:space="preserve">ة. </w:t>
      </w:r>
    </w:p>
    <w:p w:rsidR="00A45FD9" w:rsidRPr="00904FCB" w:rsidRDefault="00A45FD9" w:rsidP="007A21AA">
      <w:pPr>
        <w:spacing w:line="400" w:lineRule="exact"/>
        <w:rPr>
          <w:sz w:val="27"/>
          <w:rtl/>
        </w:rPr>
      </w:pPr>
      <w:r w:rsidRPr="00CB554E">
        <w:rPr>
          <w:rFonts w:hint="cs"/>
          <w:sz w:val="27"/>
          <w:rtl/>
        </w:rPr>
        <w:t>6ـ إن العقل البشري المحدود والناقص عاجز</w:t>
      </w:r>
      <w:r w:rsidR="00CE4F76" w:rsidRPr="00CB554E">
        <w:rPr>
          <w:rFonts w:hint="cs"/>
          <w:sz w:val="27"/>
          <w:rtl/>
        </w:rPr>
        <w:t>ٌ</w:t>
      </w:r>
      <w:r w:rsidRPr="00CB554E">
        <w:rPr>
          <w:rFonts w:hint="cs"/>
          <w:sz w:val="27"/>
          <w:rtl/>
        </w:rPr>
        <w:t xml:space="preserve"> عن إدراك الأحكام الشرعية،</w:t>
      </w:r>
      <w:r w:rsidRPr="00904FCB">
        <w:rPr>
          <w:rFonts w:hint="cs"/>
          <w:sz w:val="27"/>
          <w:rtl/>
        </w:rPr>
        <w:t xml:space="preserve"> وقاصر</w:t>
      </w:r>
      <w:r w:rsidR="00CE4F76" w:rsidRPr="00904FCB">
        <w:rPr>
          <w:rFonts w:hint="cs"/>
          <w:sz w:val="27"/>
          <w:rtl/>
        </w:rPr>
        <w:t>ٌ</w:t>
      </w:r>
      <w:r w:rsidRPr="00904FCB">
        <w:rPr>
          <w:rFonts w:hint="cs"/>
          <w:sz w:val="27"/>
          <w:rtl/>
        </w:rPr>
        <w:t xml:space="preserve"> عن بلوغ فلسفة وملاك هذه الأحكام، طبقاً للرواية القائلة: </w:t>
      </w:r>
      <w:r w:rsidRPr="00904FCB">
        <w:rPr>
          <w:rFonts w:hint="eastAsia"/>
          <w:sz w:val="27"/>
          <w:rtl/>
        </w:rPr>
        <w:t>«</w:t>
      </w:r>
      <w:r w:rsidRPr="00904FCB">
        <w:rPr>
          <w:rFonts w:hint="cs"/>
          <w:sz w:val="27"/>
          <w:rtl/>
        </w:rPr>
        <w:t>إن</w:t>
      </w:r>
      <w:r w:rsidR="00CE4F76" w:rsidRPr="00904FCB">
        <w:rPr>
          <w:rFonts w:hint="cs"/>
          <w:sz w:val="27"/>
          <w:rtl/>
        </w:rPr>
        <w:t>ّ</w:t>
      </w:r>
      <w:r w:rsidRPr="00904FCB">
        <w:rPr>
          <w:rFonts w:hint="cs"/>
          <w:sz w:val="27"/>
          <w:rtl/>
        </w:rPr>
        <w:t xml:space="preserve"> دين الله لا ي</w:t>
      </w:r>
      <w:r w:rsidR="00CE4F76" w:rsidRPr="00904FCB">
        <w:rPr>
          <w:rFonts w:hint="cs"/>
          <w:sz w:val="27"/>
          <w:rtl/>
        </w:rPr>
        <w:t>ُ</w:t>
      </w:r>
      <w:r w:rsidRPr="00904FCB">
        <w:rPr>
          <w:rFonts w:hint="cs"/>
          <w:sz w:val="27"/>
          <w:rtl/>
        </w:rPr>
        <w:t>صاب بالعقول الناقصة</w:t>
      </w:r>
      <w:r w:rsidRPr="00904FCB">
        <w:rPr>
          <w:rFonts w:hint="eastAsia"/>
          <w:sz w:val="27"/>
          <w:rtl/>
        </w:rPr>
        <w:t>»</w:t>
      </w:r>
      <w:r w:rsidRPr="00904FCB">
        <w:rPr>
          <w:sz w:val="27"/>
          <w:vertAlign w:val="superscript"/>
          <w:rtl/>
        </w:rPr>
        <w:t>(</w:t>
      </w:r>
      <w:r w:rsidRPr="00904FCB">
        <w:rPr>
          <w:sz w:val="27"/>
          <w:vertAlign w:val="superscript"/>
          <w:rtl/>
        </w:rPr>
        <w:endnoteReference w:id="9"/>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CB554E">
        <w:rPr>
          <w:rFonts w:hint="cs"/>
          <w:sz w:val="27"/>
          <w:rtl/>
        </w:rPr>
        <w:t>7ـ إن النموذج المناسب لفهم وتنظيم العلاقة بين الله والإنسان هو نموذج المالك</w:t>
      </w:r>
      <w:r w:rsidRPr="00904FCB">
        <w:rPr>
          <w:rFonts w:hint="cs"/>
          <w:sz w:val="27"/>
          <w:rtl/>
        </w:rPr>
        <w:t xml:space="preserve"> والرقيق. </w:t>
      </w:r>
    </w:p>
    <w:p w:rsidR="00A45FD9" w:rsidRPr="00904FCB" w:rsidRDefault="00A45FD9" w:rsidP="007A21AA">
      <w:pPr>
        <w:spacing w:line="400" w:lineRule="exact"/>
        <w:rPr>
          <w:sz w:val="27"/>
          <w:rtl/>
        </w:rPr>
      </w:pPr>
      <w:r w:rsidRPr="00CB554E">
        <w:rPr>
          <w:rFonts w:hint="cs"/>
          <w:sz w:val="27"/>
          <w:rtl/>
        </w:rPr>
        <w:t>8ـ إن حج</w:t>
      </w:r>
      <w:r w:rsidR="00CE4F76" w:rsidRPr="00CB554E">
        <w:rPr>
          <w:rFonts w:hint="cs"/>
          <w:sz w:val="27"/>
          <w:rtl/>
        </w:rPr>
        <w:t>ّ</w:t>
      </w:r>
      <w:r w:rsidRPr="00CB554E">
        <w:rPr>
          <w:rFonts w:hint="cs"/>
          <w:sz w:val="27"/>
          <w:rtl/>
        </w:rPr>
        <w:t>ية الظنون النقلية (خبر الواحد</w:t>
      </w:r>
      <w:r w:rsidR="00CE4F76" w:rsidRPr="00CB554E">
        <w:rPr>
          <w:rFonts w:hint="cs"/>
          <w:sz w:val="27"/>
          <w:rtl/>
        </w:rPr>
        <w:t>؛</w:t>
      </w:r>
      <w:r w:rsidRPr="00CB554E">
        <w:rPr>
          <w:rFonts w:hint="cs"/>
          <w:sz w:val="27"/>
          <w:rtl/>
        </w:rPr>
        <w:t xml:space="preserve"> وظواهر الكلام) تستند إلى </w:t>
      </w:r>
      <w:r w:rsidRPr="00CB554E">
        <w:rPr>
          <w:rFonts w:hint="eastAsia"/>
          <w:sz w:val="27"/>
          <w:rtl/>
        </w:rPr>
        <w:t>«</w:t>
      </w:r>
      <w:r w:rsidRPr="00CB554E">
        <w:rPr>
          <w:rFonts w:hint="cs"/>
          <w:sz w:val="27"/>
          <w:rtl/>
        </w:rPr>
        <w:t>سيرة</w:t>
      </w:r>
      <w:r w:rsidRPr="00904FCB">
        <w:rPr>
          <w:rFonts w:hint="cs"/>
          <w:sz w:val="27"/>
          <w:rtl/>
        </w:rPr>
        <w:t xml:space="preserve"> العقلاء</w:t>
      </w:r>
      <w:r w:rsidRPr="00904FCB">
        <w:rPr>
          <w:rFonts w:hint="eastAsia"/>
          <w:sz w:val="27"/>
          <w:rtl/>
        </w:rPr>
        <w:t>»</w:t>
      </w:r>
      <w:r w:rsidR="00CE4F76" w:rsidRPr="00904FCB">
        <w:rPr>
          <w:rFonts w:hint="cs"/>
          <w:sz w:val="27"/>
          <w:rtl/>
        </w:rPr>
        <w:t>،</w:t>
      </w:r>
      <w:r w:rsidRPr="00904FCB">
        <w:rPr>
          <w:rFonts w:hint="cs"/>
          <w:sz w:val="27"/>
          <w:rtl/>
        </w:rPr>
        <w:t xml:space="preserve"> أو </w:t>
      </w:r>
      <w:r w:rsidRPr="00904FCB">
        <w:rPr>
          <w:rFonts w:hint="eastAsia"/>
          <w:sz w:val="27"/>
          <w:rtl/>
        </w:rPr>
        <w:t>«</w:t>
      </w:r>
      <w:r w:rsidRPr="00904FCB">
        <w:rPr>
          <w:rFonts w:hint="cs"/>
          <w:sz w:val="27"/>
          <w:rtl/>
        </w:rPr>
        <w:t>عرف العقلاء</w:t>
      </w:r>
      <w:r w:rsidRPr="00904FCB">
        <w:rPr>
          <w:rFonts w:hint="eastAsia"/>
          <w:sz w:val="27"/>
          <w:rtl/>
        </w:rPr>
        <w:t>»</w:t>
      </w:r>
      <w:r w:rsidRPr="00904FCB">
        <w:rPr>
          <w:sz w:val="27"/>
          <w:vertAlign w:val="superscript"/>
          <w:rtl/>
        </w:rPr>
        <w:t>(</w:t>
      </w:r>
      <w:r w:rsidRPr="00904FCB">
        <w:rPr>
          <w:sz w:val="27"/>
          <w:vertAlign w:val="superscript"/>
          <w:rtl/>
        </w:rPr>
        <w:endnoteReference w:id="10"/>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CB554E">
        <w:rPr>
          <w:rFonts w:hint="cs"/>
          <w:sz w:val="27"/>
          <w:rtl/>
        </w:rPr>
        <w:t>9ـ إن استنباط حكم الموضوعات الجديدة (المسائل المستح</w:t>
      </w:r>
      <w:r w:rsidR="00CE4F76" w:rsidRPr="00CB554E">
        <w:rPr>
          <w:rFonts w:hint="cs"/>
          <w:sz w:val="27"/>
          <w:rtl/>
        </w:rPr>
        <w:t>ْ</w:t>
      </w:r>
      <w:r w:rsidRPr="00CB554E">
        <w:rPr>
          <w:rFonts w:hint="cs"/>
          <w:sz w:val="27"/>
          <w:rtl/>
        </w:rPr>
        <w:t>د</w:t>
      </w:r>
      <w:r w:rsidR="00CE4F76" w:rsidRPr="00CB554E">
        <w:rPr>
          <w:rFonts w:hint="cs"/>
          <w:sz w:val="27"/>
          <w:rtl/>
        </w:rPr>
        <w:t>َ</w:t>
      </w:r>
      <w:r w:rsidRPr="00CB554E">
        <w:rPr>
          <w:rFonts w:hint="cs"/>
          <w:sz w:val="27"/>
          <w:rtl/>
        </w:rPr>
        <w:t>ثة) ممكن</w:t>
      </w:r>
      <w:r w:rsidR="00CE4F76" w:rsidRPr="00CB554E">
        <w:rPr>
          <w:rFonts w:hint="cs"/>
          <w:sz w:val="27"/>
          <w:rtl/>
        </w:rPr>
        <w:t>ٌ</w:t>
      </w:r>
      <w:r w:rsidRPr="00CB554E">
        <w:rPr>
          <w:rFonts w:hint="cs"/>
          <w:sz w:val="27"/>
          <w:rtl/>
        </w:rPr>
        <w:t xml:space="preserve"> من</w:t>
      </w:r>
      <w:r w:rsidRPr="00904FCB">
        <w:rPr>
          <w:rFonts w:hint="cs"/>
          <w:sz w:val="27"/>
          <w:rtl/>
        </w:rPr>
        <w:t xml:space="preserve"> خلال إدراجها ضمن الموضوعات المطروحة في القرآن والسن</w:t>
      </w:r>
      <w:r w:rsidR="00CE4F76" w:rsidRPr="00904FCB">
        <w:rPr>
          <w:rFonts w:hint="cs"/>
          <w:sz w:val="27"/>
          <w:rtl/>
        </w:rPr>
        <w:t>ّ</w:t>
      </w:r>
      <w:r w:rsidRPr="00904FCB">
        <w:rPr>
          <w:rFonts w:hint="cs"/>
          <w:sz w:val="27"/>
          <w:rtl/>
        </w:rPr>
        <w:t>ة (الاجتهاد عبارة</w:t>
      </w:r>
      <w:r w:rsidR="00CE4F76" w:rsidRPr="00904FCB">
        <w:rPr>
          <w:rFonts w:hint="cs"/>
          <w:sz w:val="27"/>
          <w:rtl/>
        </w:rPr>
        <w:t>ٌ</w:t>
      </w:r>
      <w:r w:rsidRPr="00904FCB">
        <w:rPr>
          <w:rFonts w:hint="cs"/>
          <w:sz w:val="27"/>
          <w:rtl/>
        </w:rPr>
        <w:t xml:space="preserve"> عن رد</w:t>
      </w:r>
      <w:r w:rsidR="00CE4F76" w:rsidRPr="00904FCB">
        <w:rPr>
          <w:rFonts w:hint="cs"/>
          <w:sz w:val="27"/>
          <w:rtl/>
        </w:rPr>
        <w:t>ّ</w:t>
      </w:r>
      <w:r w:rsidRPr="00904FCB">
        <w:rPr>
          <w:rFonts w:hint="cs"/>
          <w:sz w:val="27"/>
          <w:rtl/>
        </w:rPr>
        <w:t xml:space="preserve"> الفروع إلى الأصول</w:t>
      </w:r>
      <w:r w:rsidR="00CE4F76" w:rsidRPr="00904FCB">
        <w:rPr>
          <w:rFonts w:hint="cs"/>
          <w:sz w:val="27"/>
          <w:rtl/>
        </w:rPr>
        <w:t>،</w:t>
      </w:r>
      <w:r w:rsidRPr="00904FCB">
        <w:rPr>
          <w:rFonts w:hint="cs"/>
          <w:sz w:val="27"/>
          <w:rtl/>
        </w:rPr>
        <w:t xml:space="preserve"> أو تطبيق الأصول على الفروع)</w:t>
      </w:r>
      <w:r w:rsidR="00CE4F76" w:rsidRPr="00904FCB">
        <w:rPr>
          <w:rFonts w:hint="cs"/>
          <w:sz w:val="27"/>
          <w:rtl/>
        </w:rPr>
        <w:t>،</w:t>
      </w:r>
      <w:r w:rsidRPr="00904FCB">
        <w:rPr>
          <w:rFonts w:hint="cs"/>
          <w:sz w:val="27"/>
          <w:rtl/>
        </w:rPr>
        <w:t xml:space="preserve"> طبقاً للحديث القائل: </w:t>
      </w:r>
      <w:r w:rsidRPr="00904FCB">
        <w:rPr>
          <w:rFonts w:hint="eastAsia"/>
          <w:sz w:val="27"/>
          <w:rtl/>
        </w:rPr>
        <w:t>«</w:t>
      </w:r>
      <w:r w:rsidRPr="00904FCB">
        <w:rPr>
          <w:rFonts w:hint="cs"/>
          <w:sz w:val="27"/>
          <w:rtl/>
        </w:rPr>
        <w:t>علينا إلقاء الأصول</w:t>
      </w:r>
      <w:r w:rsidR="00CE4F76" w:rsidRPr="00904FCB">
        <w:rPr>
          <w:rFonts w:hint="cs"/>
          <w:sz w:val="27"/>
          <w:rtl/>
        </w:rPr>
        <w:t>،</w:t>
      </w:r>
      <w:r w:rsidRPr="00904FCB">
        <w:rPr>
          <w:rFonts w:hint="cs"/>
          <w:sz w:val="27"/>
          <w:rtl/>
        </w:rPr>
        <w:t xml:space="preserve"> وعليكم التفريع</w:t>
      </w:r>
      <w:r w:rsidRPr="00904FCB">
        <w:rPr>
          <w:rFonts w:hint="eastAsia"/>
          <w:sz w:val="27"/>
          <w:rtl/>
        </w:rPr>
        <w:t>»</w:t>
      </w:r>
      <w:r w:rsidRPr="00904FCB">
        <w:rPr>
          <w:sz w:val="27"/>
          <w:vertAlign w:val="superscript"/>
          <w:rtl/>
        </w:rPr>
        <w:t>(</w:t>
      </w:r>
      <w:r w:rsidRPr="00904FCB">
        <w:rPr>
          <w:sz w:val="27"/>
          <w:vertAlign w:val="superscript"/>
          <w:rtl/>
        </w:rPr>
        <w:endnoteReference w:id="11"/>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CB554E">
        <w:rPr>
          <w:rFonts w:hint="cs"/>
          <w:sz w:val="27"/>
          <w:rtl/>
        </w:rPr>
        <w:t>10ـ عند عدم وجود حكم</w:t>
      </w:r>
      <w:r w:rsidR="00CE4F76" w:rsidRPr="00CB554E">
        <w:rPr>
          <w:rFonts w:hint="cs"/>
          <w:sz w:val="27"/>
          <w:rtl/>
        </w:rPr>
        <w:t>ٍ</w:t>
      </w:r>
      <w:r w:rsidRPr="00CB554E">
        <w:rPr>
          <w:rFonts w:hint="cs"/>
          <w:sz w:val="27"/>
          <w:rtl/>
        </w:rPr>
        <w:t xml:space="preserve"> واقعي لموضوع في القرآن والسن</w:t>
      </w:r>
      <w:r w:rsidR="00CE4F76" w:rsidRPr="00CB554E">
        <w:rPr>
          <w:rFonts w:hint="cs"/>
          <w:sz w:val="27"/>
          <w:rtl/>
        </w:rPr>
        <w:t>ّ</w:t>
      </w:r>
      <w:r w:rsidRPr="00CB554E">
        <w:rPr>
          <w:rFonts w:hint="cs"/>
          <w:sz w:val="27"/>
          <w:rtl/>
        </w:rPr>
        <w:t xml:space="preserve">ة </w:t>
      </w:r>
      <w:r w:rsidR="00CE4F76" w:rsidRPr="00CB554E">
        <w:rPr>
          <w:rFonts w:hint="cs"/>
          <w:sz w:val="27"/>
          <w:rtl/>
        </w:rPr>
        <w:t>يكون</w:t>
      </w:r>
      <w:r w:rsidRPr="00CB554E">
        <w:rPr>
          <w:rFonts w:hint="cs"/>
          <w:sz w:val="27"/>
          <w:rtl/>
        </w:rPr>
        <w:t xml:space="preserve"> حكمه</w:t>
      </w:r>
      <w:r w:rsidRPr="00904FCB">
        <w:rPr>
          <w:rFonts w:hint="cs"/>
          <w:sz w:val="27"/>
          <w:rtl/>
        </w:rPr>
        <w:t xml:space="preserve"> </w:t>
      </w:r>
      <w:r w:rsidRPr="00904FCB">
        <w:rPr>
          <w:rFonts w:hint="cs"/>
          <w:sz w:val="27"/>
          <w:rtl/>
        </w:rPr>
        <w:lastRenderedPageBreak/>
        <w:t xml:space="preserve">الظاهري هو البراءة أو الإباحة. </w:t>
      </w:r>
    </w:p>
    <w:p w:rsidR="00A45FD9" w:rsidRPr="00904FCB" w:rsidRDefault="00A45FD9" w:rsidP="007A21AA">
      <w:pPr>
        <w:spacing w:line="400" w:lineRule="exact"/>
        <w:rPr>
          <w:sz w:val="27"/>
          <w:rtl/>
        </w:rPr>
      </w:pPr>
      <w:r w:rsidRPr="00CB554E">
        <w:rPr>
          <w:rFonts w:hint="cs"/>
          <w:sz w:val="27"/>
          <w:rtl/>
        </w:rPr>
        <w:t>11ـ إن الأصول الواردة في القرآن والسن</w:t>
      </w:r>
      <w:r w:rsidR="00CE4F76" w:rsidRPr="00CB554E">
        <w:rPr>
          <w:rFonts w:hint="cs"/>
          <w:sz w:val="27"/>
          <w:rtl/>
        </w:rPr>
        <w:t>ّ</w:t>
      </w:r>
      <w:r w:rsidRPr="00CB554E">
        <w:rPr>
          <w:rFonts w:hint="cs"/>
          <w:sz w:val="27"/>
          <w:rtl/>
        </w:rPr>
        <w:t xml:space="preserve">ة </w:t>
      </w:r>
      <w:r w:rsidRPr="00CB554E">
        <w:rPr>
          <w:rFonts w:hint="eastAsia"/>
          <w:sz w:val="27"/>
          <w:rtl/>
        </w:rPr>
        <w:t>«</w:t>
      </w:r>
      <w:r w:rsidRPr="00CB554E">
        <w:rPr>
          <w:rFonts w:hint="cs"/>
          <w:sz w:val="27"/>
          <w:rtl/>
        </w:rPr>
        <w:t>جامعة</w:t>
      </w:r>
      <w:r w:rsidR="00CE4F76" w:rsidRPr="00CB554E">
        <w:rPr>
          <w:rFonts w:hint="cs"/>
          <w:sz w:val="27"/>
          <w:rtl/>
        </w:rPr>
        <w:t>ٌ</w:t>
      </w:r>
      <w:r w:rsidRPr="00CB554E">
        <w:rPr>
          <w:rFonts w:hint="eastAsia"/>
          <w:sz w:val="27"/>
          <w:rtl/>
        </w:rPr>
        <w:t>»</w:t>
      </w:r>
      <w:r w:rsidRPr="00CB554E">
        <w:rPr>
          <w:rFonts w:hint="cs"/>
          <w:sz w:val="27"/>
          <w:rtl/>
        </w:rPr>
        <w:t xml:space="preserve"> و</w:t>
      </w:r>
      <w:r w:rsidRPr="00CB554E">
        <w:rPr>
          <w:rFonts w:hint="eastAsia"/>
          <w:sz w:val="27"/>
          <w:rtl/>
        </w:rPr>
        <w:t>«</w:t>
      </w:r>
      <w:r w:rsidRPr="00CB554E">
        <w:rPr>
          <w:rFonts w:hint="cs"/>
          <w:sz w:val="27"/>
          <w:rtl/>
        </w:rPr>
        <w:t>شاملة</w:t>
      </w:r>
      <w:r w:rsidRPr="00CB554E">
        <w:rPr>
          <w:rFonts w:hint="eastAsia"/>
          <w:sz w:val="27"/>
          <w:rtl/>
        </w:rPr>
        <w:t>»</w:t>
      </w:r>
      <w:r w:rsidR="00CE4F76" w:rsidRPr="00CB554E">
        <w:rPr>
          <w:rFonts w:hint="cs"/>
          <w:sz w:val="27"/>
          <w:rtl/>
        </w:rPr>
        <w:t>.</w:t>
      </w:r>
      <w:r w:rsidRPr="00CB554E">
        <w:rPr>
          <w:rFonts w:hint="cs"/>
          <w:sz w:val="27"/>
          <w:rtl/>
        </w:rPr>
        <w:t xml:space="preserve"> وهي تتضم</w:t>
      </w:r>
      <w:r w:rsidR="00CE4F76" w:rsidRPr="00CB554E">
        <w:rPr>
          <w:rFonts w:hint="cs"/>
          <w:sz w:val="27"/>
          <w:rtl/>
        </w:rPr>
        <w:t>َّ</w:t>
      </w:r>
      <w:r w:rsidRPr="00CB554E">
        <w:rPr>
          <w:rFonts w:hint="cs"/>
          <w:sz w:val="27"/>
          <w:rtl/>
        </w:rPr>
        <w:t>ن</w:t>
      </w:r>
      <w:r w:rsidRPr="00904FCB">
        <w:rPr>
          <w:rFonts w:hint="cs"/>
          <w:sz w:val="27"/>
          <w:rtl/>
        </w:rPr>
        <w:t xml:space="preserve"> الحكم الواقعي أو الحكم الظاهري لجميع الموضوعات والمسائل التي يحتاج إليها الناس إلى يوم القيامة (إن</w:t>
      </w:r>
      <w:r w:rsidR="00CE4F76" w:rsidRPr="00904FCB">
        <w:rPr>
          <w:rFonts w:hint="cs"/>
          <w:sz w:val="27"/>
          <w:rtl/>
        </w:rPr>
        <w:t>ّ</w:t>
      </w:r>
      <w:r w:rsidRPr="00904FCB">
        <w:rPr>
          <w:rFonts w:hint="cs"/>
          <w:sz w:val="27"/>
          <w:rtl/>
        </w:rPr>
        <w:t xml:space="preserve"> علم الفقه هو بالقو</w:t>
      </w:r>
      <w:r w:rsidR="00CE4F76" w:rsidRPr="00904FCB">
        <w:rPr>
          <w:rFonts w:hint="cs"/>
          <w:sz w:val="27"/>
          <w:rtl/>
        </w:rPr>
        <w:t>ّ</w:t>
      </w:r>
      <w:r w:rsidRPr="00904FCB">
        <w:rPr>
          <w:rFonts w:hint="cs"/>
          <w:sz w:val="27"/>
          <w:rtl/>
        </w:rPr>
        <w:t>ة علم</w:t>
      </w:r>
      <w:r w:rsidR="00CE4F76" w:rsidRPr="00904FCB">
        <w:rPr>
          <w:rFonts w:hint="cs"/>
          <w:sz w:val="27"/>
          <w:rtl/>
        </w:rPr>
        <w:t>ٌ</w:t>
      </w:r>
      <w:r w:rsidRPr="00904FCB">
        <w:rPr>
          <w:rFonts w:hint="cs"/>
          <w:sz w:val="27"/>
          <w:rtl/>
        </w:rPr>
        <w:t xml:space="preserve"> كامل وجامع). </w:t>
      </w:r>
    </w:p>
    <w:p w:rsidR="00A45FD9" w:rsidRPr="00904FCB" w:rsidRDefault="00A45FD9" w:rsidP="007A21AA">
      <w:pPr>
        <w:spacing w:line="400" w:lineRule="exact"/>
        <w:rPr>
          <w:sz w:val="27"/>
          <w:rtl/>
        </w:rPr>
      </w:pPr>
      <w:r w:rsidRPr="00CB554E">
        <w:rPr>
          <w:rFonts w:hint="cs"/>
          <w:sz w:val="27"/>
          <w:rtl/>
        </w:rPr>
        <w:t>12ـ إن الفقه يلبّ</w:t>
      </w:r>
      <w:r w:rsidR="00CE4F76" w:rsidRPr="00CB554E">
        <w:rPr>
          <w:rFonts w:hint="cs"/>
          <w:sz w:val="27"/>
          <w:rtl/>
        </w:rPr>
        <w:t>ِ</w:t>
      </w:r>
      <w:r w:rsidRPr="00CB554E">
        <w:rPr>
          <w:rFonts w:hint="cs"/>
          <w:sz w:val="27"/>
          <w:rtl/>
        </w:rPr>
        <w:t>ي جميع حاجات البشر، فليس هناك موضوع</w:t>
      </w:r>
      <w:r w:rsidR="00CE4F76" w:rsidRPr="00CB554E">
        <w:rPr>
          <w:rFonts w:hint="cs"/>
          <w:sz w:val="27"/>
          <w:rtl/>
        </w:rPr>
        <w:t>ٌ</w:t>
      </w:r>
      <w:r w:rsidRPr="00CB554E">
        <w:rPr>
          <w:rFonts w:hint="cs"/>
          <w:sz w:val="27"/>
          <w:rtl/>
        </w:rPr>
        <w:t xml:space="preserve"> لا يمكن للفقهاء</w:t>
      </w:r>
      <w:r w:rsidRPr="00904FCB">
        <w:rPr>
          <w:rFonts w:hint="cs"/>
          <w:sz w:val="27"/>
          <w:rtl/>
        </w:rPr>
        <w:t xml:space="preserve"> إبداء الرأي بشأنه</w:t>
      </w:r>
      <w:r w:rsidR="00CE4F76" w:rsidRPr="00904FCB">
        <w:rPr>
          <w:rFonts w:hint="cs"/>
          <w:sz w:val="27"/>
          <w:rtl/>
        </w:rPr>
        <w:t>،</w:t>
      </w:r>
      <w:r w:rsidRPr="00904FCB">
        <w:rPr>
          <w:rFonts w:hint="cs"/>
          <w:sz w:val="27"/>
          <w:rtl/>
        </w:rPr>
        <w:t xml:space="preserve"> أو لا يحق</w:t>
      </w:r>
      <w:r w:rsidR="00CE4F76" w:rsidRPr="00904FCB">
        <w:rPr>
          <w:rFonts w:hint="cs"/>
          <w:sz w:val="27"/>
          <w:rtl/>
        </w:rPr>
        <w:t>ّ</w:t>
      </w:r>
      <w:r w:rsidRPr="00904FCB">
        <w:rPr>
          <w:rFonts w:hint="cs"/>
          <w:sz w:val="27"/>
          <w:rtl/>
        </w:rPr>
        <w:t xml:space="preserve"> لهم إبداء الرأي بشأنه (الفقه نظري</w:t>
      </w:r>
      <w:r w:rsidR="00CE4F76" w:rsidRPr="00904FCB">
        <w:rPr>
          <w:rFonts w:hint="cs"/>
          <w:sz w:val="27"/>
          <w:rtl/>
        </w:rPr>
        <w:t>ّ</w:t>
      </w:r>
      <w:r w:rsidRPr="00904FCB">
        <w:rPr>
          <w:rFonts w:hint="cs"/>
          <w:sz w:val="27"/>
          <w:rtl/>
        </w:rPr>
        <w:t xml:space="preserve">ة إدارة المجتمع الإنساني من المهد إلى اللحد). </w:t>
      </w:r>
    </w:p>
    <w:p w:rsidR="00A45FD9" w:rsidRPr="00904FCB" w:rsidRDefault="00A45FD9" w:rsidP="007A21AA">
      <w:pPr>
        <w:spacing w:line="400" w:lineRule="exact"/>
        <w:rPr>
          <w:sz w:val="27"/>
          <w:rtl/>
        </w:rPr>
      </w:pPr>
      <w:r w:rsidRPr="00904FCB">
        <w:rPr>
          <w:rFonts w:hint="cs"/>
          <w:sz w:val="27"/>
          <w:rtl/>
        </w:rPr>
        <w:t>للحصول على صورة</w:t>
      </w:r>
      <w:r w:rsidR="00CE4F76" w:rsidRPr="00904FCB">
        <w:rPr>
          <w:rFonts w:hint="cs"/>
          <w:sz w:val="27"/>
          <w:rtl/>
        </w:rPr>
        <w:t>ٍ</w:t>
      </w:r>
      <w:r w:rsidRPr="00904FCB">
        <w:rPr>
          <w:rFonts w:hint="cs"/>
          <w:sz w:val="27"/>
          <w:rtl/>
        </w:rPr>
        <w:t xml:space="preserve"> أوضح عن أخلاق الاجتهاد أو أخلاق البحث في الفقه التقليدي يمكن النظر في المثال </w:t>
      </w:r>
      <w:r w:rsidR="00CE4F76" w:rsidRPr="00904FCB">
        <w:rPr>
          <w:rFonts w:hint="cs"/>
          <w:sz w:val="27"/>
          <w:rtl/>
        </w:rPr>
        <w:t>التالي</w:t>
      </w:r>
      <w:r w:rsidRPr="00904FCB">
        <w:rPr>
          <w:rFonts w:hint="cs"/>
          <w:sz w:val="27"/>
          <w:rtl/>
        </w:rPr>
        <w:t>: يرى الفقهاء في البنك مؤس</w:t>
      </w:r>
      <w:r w:rsidR="00CE4F76" w:rsidRPr="00904FCB">
        <w:rPr>
          <w:rFonts w:hint="cs"/>
          <w:sz w:val="27"/>
          <w:rtl/>
        </w:rPr>
        <w:t>ّ</w:t>
      </w:r>
      <w:r w:rsidRPr="00904FCB">
        <w:rPr>
          <w:rFonts w:hint="cs"/>
          <w:sz w:val="27"/>
          <w:rtl/>
        </w:rPr>
        <w:t>سة اقتصادية حديثة الظهور، ولا</w:t>
      </w:r>
      <w:r w:rsidR="00CE4F76" w:rsidRPr="00904FCB">
        <w:rPr>
          <w:rFonts w:hint="cs"/>
          <w:sz w:val="27"/>
          <w:rtl/>
        </w:rPr>
        <w:t xml:space="preserve"> </w:t>
      </w:r>
      <w:r w:rsidRPr="00904FCB">
        <w:rPr>
          <w:rFonts w:hint="cs"/>
          <w:sz w:val="27"/>
          <w:rtl/>
        </w:rPr>
        <w:t>ب</w:t>
      </w:r>
      <w:r w:rsidR="00CE4F76" w:rsidRPr="00904FCB">
        <w:rPr>
          <w:rFonts w:hint="cs"/>
          <w:sz w:val="27"/>
          <w:rtl/>
        </w:rPr>
        <w:t>ُ</w:t>
      </w:r>
      <w:r w:rsidRPr="00904FCB">
        <w:rPr>
          <w:rFonts w:hint="cs"/>
          <w:sz w:val="27"/>
          <w:rtl/>
        </w:rPr>
        <w:t>د</w:t>
      </w:r>
      <w:r w:rsidR="00CE4F76" w:rsidRPr="00904FCB">
        <w:rPr>
          <w:rFonts w:hint="cs"/>
          <w:sz w:val="27"/>
          <w:rtl/>
        </w:rPr>
        <w:t>َّ</w:t>
      </w:r>
      <w:r w:rsidRPr="00904FCB">
        <w:rPr>
          <w:rFonts w:hint="cs"/>
          <w:sz w:val="27"/>
          <w:rtl/>
        </w:rPr>
        <w:t xml:space="preserve"> أن يكون لها حكم</w:t>
      </w:r>
      <w:r w:rsidR="002546C7">
        <w:rPr>
          <w:rFonts w:hint="cs"/>
          <w:sz w:val="27"/>
          <w:rtl/>
        </w:rPr>
        <w:t>ٌ</w:t>
      </w:r>
      <w:r w:rsidRPr="00904FCB">
        <w:rPr>
          <w:rFonts w:hint="cs"/>
          <w:sz w:val="27"/>
          <w:rtl/>
        </w:rPr>
        <w:t xml:space="preserve"> شرعي</w:t>
      </w:r>
      <w:r w:rsidR="00CE4F76" w:rsidRPr="00904FCB">
        <w:rPr>
          <w:rFonts w:hint="cs"/>
          <w:sz w:val="27"/>
          <w:rtl/>
        </w:rPr>
        <w:t>.</w:t>
      </w:r>
      <w:r w:rsidRPr="00904FCB">
        <w:rPr>
          <w:rFonts w:hint="cs"/>
          <w:sz w:val="27"/>
          <w:rtl/>
        </w:rPr>
        <w:t xml:space="preserve"> ولكي نتعر</w:t>
      </w:r>
      <w:r w:rsidR="00CE4F76" w:rsidRPr="00904FCB">
        <w:rPr>
          <w:rFonts w:hint="cs"/>
          <w:sz w:val="27"/>
          <w:rtl/>
        </w:rPr>
        <w:t>َّ</w:t>
      </w:r>
      <w:r w:rsidRPr="00904FCB">
        <w:rPr>
          <w:rFonts w:hint="cs"/>
          <w:sz w:val="27"/>
          <w:rtl/>
        </w:rPr>
        <w:t>ف على ذلك الحكم يجب علينا الرجوع إلى القرآن والسن</w:t>
      </w:r>
      <w:r w:rsidR="00DD56FA" w:rsidRPr="00904FCB">
        <w:rPr>
          <w:rFonts w:hint="cs"/>
          <w:sz w:val="27"/>
          <w:rtl/>
        </w:rPr>
        <w:t>ّ</w:t>
      </w:r>
      <w:r w:rsidRPr="00904FCB">
        <w:rPr>
          <w:rFonts w:hint="cs"/>
          <w:sz w:val="27"/>
          <w:rtl/>
        </w:rPr>
        <w:t>ة. ب</w:t>
      </w:r>
      <w:r w:rsidR="00DD56FA" w:rsidRPr="00904FCB">
        <w:rPr>
          <w:rFonts w:hint="cs"/>
          <w:sz w:val="27"/>
          <w:rtl/>
        </w:rPr>
        <w:t>َ</w:t>
      </w:r>
      <w:r w:rsidRPr="00904FCB">
        <w:rPr>
          <w:rFonts w:hint="cs"/>
          <w:sz w:val="27"/>
          <w:rtl/>
        </w:rPr>
        <w:t>ي</w:t>
      </w:r>
      <w:r w:rsidR="00DD56FA" w:rsidRPr="00904FCB">
        <w:rPr>
          <w:rFonts w:hint="cs"/>
          <w:sz w:val="27"/>
          <w:rtl/>
        </w:rPr>
        <w:t>ْ</w:t>
      </w:r>
      <w:r w:rsidRPr="00904FCB">
        <w:rPr>
          <w:rFonts w:hint="cs"/>
          <w:sz w:val="27"/>
          <w:rtl/>
        </w:rPr>
        <w:t>د</w:t>
      </w:r>
      <w:r w:rsidR="00DD56FA" w:rsidRPr="00904FCB">
        <w:rPr>
          <w:rFonts w:hint="cs"/>
          <w:sz w:val="27"/>
          <w:rtl/>
        </w:rPr>
        <w:t>َ</w:t>
      </w:r>
      <w:r w:rsidRPr="00904FCB">
        <w:rPr>
          <w:rFonts w:hint="cs"/>
          <w:sz w:val="27"/>
          <w:rtl/>
        </w:rPr>
        <w:t xml:space="preserve"> أننا عندما نراجع القرآن والسن</w:t>
      </w:r>
      <w:r w:rsidR="00DD56FA" w:rsidRPr="00904FCB">
        <w:rPr>
          <w:rFonts w:hint="cs"/>
          <w:sz w:val="27"/>
          <w:rtl/>
        </w:rPr>
        <w:t>ّ</w:t>
      </w:r>
      <w:r w:rsidRPr="00904FCB">
        <w:rPr>
          <w:rFonts w:hint="cs"/>
          <w:sz w:val="27"/>
          <w:rtl/>
        </w:rPr>
        <w:t>ة</w:t>
      </w:r>
      <w:r w:rsidR="00DD56FA" w:rsidRPr="00904FCB">
        <w:rPr>
          <w:rFonts w:hint="cs"/>
          <w:sz w:val="27"/>
          <w:rtl/>
        </w:rPr>
        <w:t>،</w:t>
      </w:r>
      <w:r w:rsidRPr="00904FCB">
        <w:rPr>
          <w:rFonts w:hint="cs"/>
          <w:sz w:val="27"/>
          <w:rtl/>
        </w:rPr>
        <w:t xml:space="preserve"> وفقاً لمنهج الفقه التقليدي</w:t>
      </w:r>
      <w:r w:rsidR="00DD56FA" w:rsidRPr="00904FCB">
        <w:rPr>
          <w:rFonts w:hint="cs"/>
          <w:sz w:val="27"/>
          <w:rtl/>
        </w:rPr>
        <w:t>،</w:t>
      </w:r>
      <w:r w:rsidRPr="00904FCB">
        <w:rPr>
          <w:rFonts w:hint="cs"/>
          <w:sz w:val="27"/>
          <w:rtl/>
        </w:rPr>
        <w:t xml:space="preserve"> لا نعثر على حكم للبنك بوصفه مؤس</w:t>
      </w:r>
      <w:r w:rsidR="00DD56FA" w:rsidRPr="00904FCB">
        <w:rPr>
          <w:rFonts w:hint="cs"/>
          <w:sz w:val="27"/>
          <w:rtl/>
        </w:rPr>
        <w:t>ّ</w:t>
      </w:r>
      <w:r w:rsidRPr="00904FCB">
        <w:rPr>
          <w:rFonts w:hint="cs"/>
          <w:sz w:val="27"/>
          <w:rtl/>
        </w:rPr>
        <w:t>سة اقتصادية متكاملة؛ لعدم وجود مثل هذه المؤس</w:t>
      </w:r>
      <w:r w:rsidR="00DD56FA" w:rsidRPr="00904FCB">
        <w:rPr>
          <w:rFonts w:hint="cs"/>
          <w:sz w:val="27"/>
          <w:rtl/>
        </w:rPr>
        <w:t>ّ</w:t>
      </w:r>
      <w:r w:rsidRPr="00904FCB">
        <w:rPr>
          <w:rFonts w:hint="cs"/>
          <w:sz w:val="27"/>
          <w:rtl/>
        </w:rPr>
        <w:t>سة في صدر الإسلام أصلاً. ولذلك لا يمكن العثور على أثر</w:t>
      </w:r>
      <w:r w:rsidR="00DD56FA" w:rsidRPr="00904FCB">
        <w:rPr>
          <w:rFonts w:hint="cs"/>
          <w:sz w:val="27"/>
          <w:rtl/>
        </w:rPr>
        <w:t>ٍ</w:t>
      </w:r>
      <w:r w:rsidRPr="00904FCB">
        <w:rPr>
          <w:rFonts w:hint="cs"/>
          <w:sz w:val="27"/>
          <w:rtl/>
        </w:rPr>
        <w:t xml:space="preserve"> لعنوان ومفهوم البنك في الآيات والروايات. إلا</w:t>
      </w:r>
      <w:r w:rsidR="00DD56FA" w:rsidRPr="00904FCB">
        <w:rPr>
          <w:rFonts w:hint="cs"/>
          <w:sz w:val="27"/>
          <w:rtl/>
        </w:rPr>
        <w:t>ّ</w:t>
      </w:r>
      <w:r w:rsidRPr="00904FCB">
        <w:rPr>
          <w:rFonts w:hint="cs"/>
          <w:sz w:val="27"/>
          <w:rtl/>
        </w:rPr>
        <w:t xml:space="preserve"> أن</w:t>
      </w:r>
      <w:r w:rsidR="00DD56FA" w:rsidRPr="00904FCB">
        <w:rPr>
          <w:rFonts w:hint="cs"/>
          <w:sz w:val="27"/>
          <w:rtl/>
        </w:rPr>
        <w:t>ّ</w:t>
      </w:r>
      <w:r w:rsidRPr="00904FCB">
        <w:rPr>
          <w:rFonts w:hint="cs"/>
          <w:sz w:val="27"/>
          <w:rtl/>
        </w:rPr>
        <w:t xml:space="preserve"> هذا لا يُحدث مشكلة</w:t>
      </w:r>
      <w:r w:rsidR="00DD56FA" w:rsidRPr="00904FCB">
        <w:rPr>
          <w:rFonts w:hint="cs"/>
          <w:sz w:val="27"/>
          <w:rtl/>
        </w:rPr>
        <w:t>ً</w:t>
      </w:r>
      <w:r w:rsidRPr="00904FCB">
        <w:rPr>
          <w:rFonts w:hint="cs"/>
          <w:sz w:val="27"/>
          <w:rtl/>
        </w:rPr>
        <w:t>؛ إذ يمكن استنباط الحكم الشرعي للبنك من خلال اكتشاف حكم المعاملات التي ت</w:t>
      </w:r>
      <w:r w:rsidR="00DD56FA" w:rsidRPr="00904FCB">
        <w:rPr>
          <w:rFonts w:hint="cs"/>
          <w:sz w:val="27"/>
          <w:rtl/>
        </w:rPr>
        <w:t>ُ</w:t>
      </w:r>
      <w:r w:rsidRPr="00904FCB">
        <w:rPr>
          <w:rFonts w:hint="cs"/>
          <w:sz w:val="27"/>
          <w:rtl/>
        </w:rPr>
        <w:t>ن</w:t>
      </w:r>
      <w:r w:rsidR="00DD56FA" w:rsidRPr="00904FCB">
        <w:rPr>
          <w:rFonts w:hint="cs"/>
          <w:sz w:val="27"/>
          <w:rtl/>
        </w:rPr>
        <w:t>ْ</w:t>
      </w:r>
      <w:r w:rsidRPr="00904FCB">
        <w:rPr>
          <w:rFonts w:hint="cs"/>
          <w:sz w:val="27"/>
          <w:rtl/>
        </w:rPr>
        <w:t>ج</w:t>
      </w:r>
      <w:r w:rsidR="00DD56FA" w:rsidRPr="00904FCB">
        <w:rPr>
          <w:rFonts w:hint="cs"/>
          <w:sz w:val="27"/>
          <w:rtl/>
        </w:rPr>
        <w:t>َ</w:t>
      </w:r>
      <w:r w:rsidRPr="00904FCB">
        <w:rPr>
          <w:rFonts w:hint="cs"/>
          <w:sz w:val="27"/>
          <w:rtl/>
        </w:rPr>
        <w:t>ز فيه</w:t>
      </w:r>
      <w:r w:rsidR="00DD56FA" w:rsidRPr="00904FCB">
        <w:rPr>
          <w:rFonts w:hint="cs"/>
          <w:sz w:val="27"/>
          <w:rtl/>
        </w:rPr>
        <w:t>،</w:t>
      </w:r>
      <w:r w:rsidRPr="00904FCB">
        <w:rPr>
          <w:rFonts w:hint="cs"/>
          <w:sz w:val="27"/>
          <w:rtl/>
        </w:rPr>
        <w:t xml:space="preserve"> بمعنى أن للبنك هوية اعتبارية، فهو ليس سوى مجموعة من المعاملات الاقتصادية المتنو</w:t>
      </w:r>
      <w:r w:rsidR="00DD56FA" w:rsidRPr="00904FCB">
        <w:rPr>
          <w:rFonts w:hint="cs"/>
          <w:sz w:val="27"/>
          <w:rtl/>
        </w:rPr>
        <w:t>ِّ</w:t>
      </w:r>
      <w:r w:rsidRPr="00904FCB">
        <w:rPr>
          <w:rFonts w:hint="cs"/>
          <w:sz w:val="27"/>
          <w:rtl/>
        </w:rPr>
        <w:t>عة. وعليه يمكن تقسيم المعاملات المصرفية إلى قسمين، والقول</w:t>
      </w:r>
      <w:r w:rsidR="00DD56FA" w:rsidRPr="00904FCB">
        <w:rPr>
          <w:rFonts w:hint="cs"/>
          <w:sz w:val="27"/>
          <w:rtl/>
        </w:rPr>
        <w:t>:</w:t>
      </w:r>
      <w:r w:rsidRPr="00904FCB">
        <w:rPr>
          <w:rFonts w:hint="cs"/>
          <w:sz w:val="27"/>
          <w:rtl/>
        </w:rPr>
        <w:t xml:space="preserve"> إن قسماً منها يندرج تحت عنوان المعاملات الر</w:t>
      </w:r>
      <w:r w:rsidR="00DD56FA" w:rsidRPr="00904FCB">
        <w:rPr>
          <w:rFonts w:hint="cs"/>
          <w:sz w:val="27"/>
          <w:rtl/>
        </w:rPr>
        <w:t>َّ</w:t>
      </w:r>
      <w:r w:rsidRPr="00904FCB">
        <w:rPr>
          <w:rFonts w:hint="cs"/>
          <w:sz w:val="27"/>
          <w:rtl/>
        </w:rPr>
        <w:t>ب</w:t>
      </w:r>
      <w:r w:rsidR="00DD56FA" w:rsidRPr="00904FCB">
        <w:rPr>
          <w:rFonts w:hint="cs"/>
          <w:sz w:val="27"/>
          <w:rtl/>
        </w:rPr>
        <w:t>َ</w:t>
      </w:r>
      <w:r w:rsidRPr="00904FCB">
        <w:rPr>
          <w:rFonts w:hint="cs"/>
          <w:sz w:val="27"/>
          <w:rtl/>
        </w:rPr>
        <w:t>وي</w:t>
      </w:r>
      <w:r w:rsidR="00DD56FA" w:rsidRPr="00904FCB">
        <w:rPr>
          <w:rFonts w:hint="cs"/>
          <w:sz w:val="27"/>
          <w:rtl/>
        </w:rPr>
        <w:t>ّ</w:t>
      </w:r>
      <w:r w:rsidRPr="00904FCB">
        <w:rPr>
          <w:rFonts w:hint="cs"/>
          <w:sz w:val="27"/>
          <w:rtl/>
        </w:rPr>
        <w:t xml:space="preserve">ة، وحيث </w:t>
      </w:r>
      <w:r w:rsidR="00DD56FA" w:rsidRPr="00904FCB">
        <w:rPr>
          <w:rFonts w:hint="cs"/>
          <w:sz w:val="27"/>
          <w:rtl/>
        </w:rPr>
        <w:t>إ</w:t>
      </w:r>
      <w:r w:rsidRPr="00904FCB">
        <w:rPr>
          <w:rFonts w:hint="cs"/>
          <w:sz w:val="27"/>
          <w:rtl/>
        </w:rPr>
        <w:t>ن الربا حرام</w:t>
      </w:r>
      <w:r w:rsidR="00DD56FA" w:rsidRPr="00904FCB">
        <w:rPr>
          <w:rFonts w:hint="cs"/>
          <w:sz w:val="27"/>
          <w:rtl/>
        </w:rPr>
        <w:t>ٌ</w:t>
      </w:r>
      <w:r w:rsidRPr="00904FCB">
        <w:rPr>
          <w:rFonts w:hint="cs"/>
          <w:sz w:val="27"/>
          <w:rtl/>
        </w:rPr>
        <w:t xml:space="preserve"> في الشريعة الإسلامية، يكون هذا النوع من المعاملات المصرفية حرام</w:t>
      </w:r>
      <w:r w:rsidR="00DD56FA" w:rsidRPr="00904FCB">
        <w:rPr>
          <w:rFonts w:hint="cs"/>
          <w:sz w:val="27"/>
          <w:rtl/>
        </w:rPr>
        <w:t>اً</w:t>
      </w:r>
      <w:r w:rsidRPr="00904FCB">
        <w:rPr>
          <w:rFonts w:hint="cs"/>
          <w:sz w:val="27"/>
          <w:rtl/>
        </w:rPr>
        <w:t xml:space="preserve"> أيضاً، وأما المعاملات الأخرى، من قبيل: البيع والمزارعة والمضاربة والمساقاة، فهي حلال</w:t>
      </w:r>
      <w:r w:rsidR="00DD56FA" w:rsidRPr="00904FCB">
        <w:rPr>
          <w:rFonts w:hint="cs"/>
          <w:sz w:val="27"/>
          <w:rtl/>
        </w:rPr>
        <w:t>ٌ</w:t>
      </w:r>
      <w:r w:rsidRPr="00904FCB">
        <w:rPr>
          <w:rFonts w:hint="cs"/>
          <w:sz w:val="27"/>
          <w:rtl/>
        </w:rPr>
        <w:t xml:space="preserve"> من الناحية الشرعية</w:t>
      </w:r>
      <w:r w:rsidR="00DD56FA" w:rsidRPr="00904FCB">
        <w:rPr>
          <w:rFonts w:hint="cs"/>
          <w:sz w:val="27"/>
          <w:rtl/>
        </w:rPr>
        <w:t>،</w:t>
      </w:r>
      <w:r w:rsidRPr="00904FCB">
        <w:rPr>
          <w:rFonts w:hint="cs"/>
          <w:sz w:val="27"/>
          <w:rtl/>
        </w:rPr>
        <w:t xml:space="preserve"> ولا محذور فيها. من هنا يمكن القول</w:t>
      </w:r>
      <w:r w:rsidR="00DD56FA" w:rsidRPr="00904FCB">
        <w:rPr>
          <w:rFonts w:hint="cs"/>
          <w:sz w:val="27"/>
          <w:rtl/>
        </w:rPr>
        <w:t>:</w:t>
      </w:r>
      <w:r w:rsidRPr="00904FCB">
        <w:rPr>
          <w:rFonts w:hint="cs"/>
          <w:sz w:val="27"/>
          <w:rtl/>
        </w:rPr>
        <w:t xml:space="preserve"> إن </w:t>
      </w:r>
      <w:r w:rsidRPr="00904FCB">
        <w:rPr>
          <w:rFonts w:hint="eastAsia"/>
          <w:sz w:val="27"/>
          <w:rtl/>
        </w:rPr>
        <w:t>«</w:t>
      </w:r>
      <w:r w:rsidRPr="00904FCB">
        <w:rPr>
          <w:rFonts w:hint="cs"/>
          <w:sz w:val="27"/>
          <w:rtl/>
        </w:rPr>
        <w:t>البنك الإسلامي</w:t>
      </w:r>
      <w:r w:rsidRPr="00904FCB">
        <w:rPr>
          <w:rFonts w:hint="eastAsia"/>
          <w:sz w:val="27"/>
          <w:rtl/>
        </w:rPr>
        <w:t>»</w:t>
      </w:r>
      <w:r w:rsidRPr="00904FCB">
        <w:rPr>
          <w:rFonts w:hint="cs"/>
          <w:sz w:val="27"/>
          <w:rtl/>
        </w:rPr>
        <w:t xml:space="preserve"> يختلف عن </w:t>
      </w:r>
      <w:r w:rsidRPr="00904FCB">
        <w:rPr>
          <w:rFonts w:hint="eastAsia"/>
          <w:sz w:val="27"/>
          <w:rtl/>
        </w:rPr>
        <w:t>«</w:t>
      </w:r>
      <w:r w:rsidRPr="00904FCB">
        <w:rPr>
          <w:rFonts w:hint="cs"/>
          <w:sz w:val="27"/>
          <w:rtl/>
        </w:rPr>
        <w:t>البنك اللاإسلامي</w:t>
      </w:r>
      <w:r w:rsidRPr="00904FCB">
        <w:rPr>
          <w:rFonts w:hint="eastAsia"/>
          <w:sz w:val="27"/>
          <w:rtl/>
        </w:rPr>
        <w:t>»</w:t>
      </w:r>
      <w:r w:rsidRPr="00904FCB">
        <w:rPr>
          <w:rFonts w:hint="cs"/>
          <w:sz w:val="27"/>
          <w:rtl/>
        </w:rPr>
        <w:t>. ويجوز للمسلمين من الناحية الشرعية أن يؤس</w:t>
      </w:r>
      <w:r w:rsidR="00DD56FA" w:rsidRPr="00904FCB">
        <w:rPr>
          <w:rFonts w:hint="cs"/>
          <w:sz w:val="27"/>
          <w:rtl/>
        </w:rPr>
        <w:t>ِّ</w:t>
      </w:r>
      <w:r w:rsidRPr="00904FCB">
        <w:rPr>
          <w:rFonts w:hint="cs"/>
          <w:sz w:val="27"/>
          <w:rtl/>
        </w:rPr>
        <w:t>سوا لأنفسهم البنك اللاربوي، وأن تكون لهم بعض العلاقات الاقتصادية المشروعة من خلال هذا البنك. إلا</w:t>
      </w:r>
      <w:r w:rsidR="00DD56FA" w:rsidRPr="00904FCB">
        <w:rPr>
          <w:rFonts w:hint="cs"/>
          <w:sz w:val="27"/>
          <w:rtl/>
        </w:rPr>
        <w:t>ّ</w:t>
      </w:r>
      <w:r w:rsidRPr="00904FCB">
        <w:rPr>
          <w:rFonts w:hint="cs"/>
          <w:sz w:val="27"/>
          <w:rtl/>
        </w:rPr>
        <w:t xml:space="preserve"> أن آلي</w:t>
      </w:r>
      <w:r w:rsidR="00DD56FA" w:rsidRPr="00904FCB">
        <w:rPr>
          <w:rFonts w:hint="cs"/>
          <w:sz w:val="27"/>
          <w:rtl/>
        </w:rPr>
        <w:t>ّ</w:t>
      </w:r>
      <w:r w:rsidRPr="00904FCB">
        <w:rPr>
          <w:rFonts w:hint="cs"/>
          <w:sz w:val="27"/>
          <w:rtl/>
        </w:rPr>
        <w:t>ة إلغاء الر</w:t>
      </w:r>
      <w:r w:rsidR="00DD56FA" w:rsidRPr="00904FCB">
        <w:rPr>
          <w:rFonts w:hint="cs"/>
          <w:sz w:val="27"/>
          <w:rtl/>
        </w:rPr>
        <w:t>ِّ</w:t>
      </w:r>
      <w:r w:rsidRPr="00904FCB">
        <w:rPr>
          <w:rFonts w:hint="cs"/>
          <w:sz w:val="27"/>
          <w:rtl/>
        </w:rPr>
        <w:t>با في البنك الإسلامي تتمّ من خلال تغيير شكل بعض المعاملات الربوية، لتغدو على شكل مرابحة</w:t>
      </w:r>
      <w:r w:rsidR="00DA325A" w:rsidRPr="00904FCB">
        <w:rPr>
          <w:rFonts w:hint="cs"/>
          <w:sz w:val="27"/>
          <w:rtl/>
        </w:rPr>
        <w:t>ٍ</w:t>
      </w:r>
      <w:r w:rsidRPr="00904FCB">
        <w:rPr>
          <w:rFonts w:hint="cs"/>
          <w:sz w:val="27"/>
          <w:rtl/>
        </w:rPr>
        <w:t xml:space="preserve"> أو مزارعة أو مضاربة أو مساقاة، وبذلك نحصل على نتيجة مماثلة للنتيجة الحاصلة من خلال المعاملات الربوية، ولكن</w:t>
      </w:r>
      <w:r w:rsidR="00DA325A" w:rsidRPr="00904FCB">
        <w:rPr>
          <w:rFonts w:hint="cs"/>
          <w:sz w:val="27"/>
          <w:rtl/>
        </w:rPr>
        <w:t>ْ</w:t>
      </w:r>
      <w:r w:rsidRPr="00904FCB">
        <w:rPr>
          <w:rFonts w:hint="cs"/>
          <w:sz w:val="27"/>
          <w:rtl/>
        </w:rPr>
        <w:t xml:space="preserve"> من طريق الشرط في ضمن العقد</w:t>
      </w:r>
      <w:r w:rsidR="00DA325A" w:rsidRPr="00904FCB">
        <w:rPr>
          <w:rFonts w:hint="cs"/>
          <w:sz w:val="27"/>
          <w:rtl/>
        </w:rPr>
        <w:t>،</w:t>
      </w:r>
      <w:r w:rsidRPr="00904FCB">
        <w:rPr>
          <w:rFonts w:hint="cs"/>
          <w:sz w:val="27"/>
          <w:rtl/>
        </w:rPr>
        <w:t xml:space="preserve"> </w:t>
      </w:r>
      <w:r w:rsidRPr="00904FCB">
        <w:rPr>
          <w:rFonts w:hint="cs"/>
          <w:sz w:val="27"/>
          <w:rtl/>
        </w:rPr>
        <w:lastRenderedPageBreak/>
        <w:t>وضمان الربح لصاحب المال</w:t>
      </w:r>
      <w:r w:rsidR="00DA325A" w:rsidRPr="00904FCB">
        <w:rPr>
          <w:rFonts w:hint="cs"/>
          <w:sz w:val="27"/>
          <w:rtl/>
        </w:rPr>
        <w:t>؛</w:t>
      </w:r>
      <w:r w:rsidRPr="00904FCB">
        <w:rPr>
          <w:rFonts w:hint="cs"/>
          <w:sz w:val="27"/>
          <w:rtl/>
        </w:rPr>
        <w:t xml:space="preserve"> أو من طريق استبدال القرض الربوي بالشراء والبيع، دون أن يكون هناك عمل</w:t>
      </w:r>
      <w:r w:rsidR="00DA325A" w:rsidRPr="00904FCB">
        <w:rPr>
          <w:rFonts w:hint="cs"/>
          <w:sz w:val="27"/>
          <w:rtl/>
        </w:rPr>
        <w:t>ٌ</w:t>
      </w:r>
      <w:r w:rsidRPr="00904FCB">
        <w:rPr>
          <w:rFonts w:hint="cs"/>
          <w:sz w:val="27"/>
          <w:rtl/>
        </w:rPr>
        <w:t xml:space="preserve"> محر</w:t>
      </w:r>
      <w:r w:rsidR="002546C7">
        <w:rPr>
          <w:rFonts w:hint="cs"/>
          <w:sz w:val="27"/>
          <w:rtl/>
        </w:rPr>
        <w:t>َّ</w:t>
      </w:r>
      <w:r w:rsidRPr="00904FCB">
        <w:rPr>
          <w:rFonts w:hint="cs"/>
          <w:sz w:val="27"/>
          <w:rtl/>
        </w:rPr>
        <w:t xml:space="preserve">م من الناحية الصورية. </w:t>
      </w:r>
    </w:p>
    <w:p w:rsidR="00A45FD9" w:rsidRPr="00904FCB" w:rsidRDefault="00A45FD9" w:rsidP="007A21AA">
      <w:pPr>
        <w:spacing w:line="400" w:lineRule="exact"/>
        <w:rPr>
          <w:sz w:val="27"/>
          <w:rtl/>
        </w:rPr>
      </w:pPr>
      <w:r w:rsidRPr="00904FCB">
        <w:rPr>
          <w:rFonts w:hint="cs"/>
          <w:sz w:val="27"/>
          <w:rtl/>
        </w:rPr>
        <w:t>ولكن</w:t>
      </w:r>
      <w:r w:rsidR="00DA325A" w:rsidRPr="00904FCB">
        <w:rPr>
          <w:rFonts w:hint="cs"/>
          <w:sz w:val="27"/>
          <w:rtl/>
        </w:rPr>
        <w:t>ْ</w:t>
      </w:r>
      <w:r w:rsidRPr="00904FCB">
        <w:rPr>
          <w:rFonts w:hint="cs"/>
          <w:sz w:val="27"/>
          <w:rtl/>
        </w:rPr>
        <w:t xml:space="preserve"> من الجدير هنا أن نتساءل: </w:t>
      </w:r>
    </w:p>
    <w:p w:rsidR="00A45FD9" w:rsidRPr="00CB554E" w:rsidRDefault="00A45FD9" w:rsidP="007A21AA">
      <w:pPr>
        <w:spacing w:line="400" w:lineRule="exact"/>
        <w:rPr>
          <w:sz w:val="27"/>
          <w:rtl/>
        </w:rPr>
      </w:pPr>
      <w:r w:rsidRPr="00CB554E">
        <w:rPr>
          <w:rFonts w:hint="cs"/>
          <w:sz w:val="27"/>
          <w:rtl/>
        </w:rPr>
        <w:t xml:space="preserve">1ـ هل من الممكن تأسيس مثل هذا البنك أصلاً؟ </w:t>
      </w:r>
    </w:p>
    <w:p w:rsidR="00A45FD9" w:rsidRPr="00904FCB" w:rsidRDefault="00A45FD9" w:rsidP="007A21AA">
      <w:pPr>
        <w:spacing w:line="400" w:lineRule="exact"/>
        <w:rPr>
          <w:sz w:val="27"/>
          <w:rtl/>
        </w:rPr>
      </w:pPr>
      <w:r w:rsidRPr="00CB554E">
        <w:rPr>
          <w:rFonts w:hint="cs"/>
          <w:sz w:val="27"/>
          <w:rtl/>
        </w:rPr>
        <w:t xml:space="preserve">2ـ هل يمكن </w:t>
      </w:r>
      <w:r w:rsidRPr="00CB554E">
        <w:rPr>
          <w:rFonts w:hint="eastAsia"/>
          <w:sz w:val="27"/>
          <w:rtl/>
        </w:rPr>
        <w:t>«</w:t>
      </w:r>
      <w:r w:rsidRPr="00CB554E">
        <w:rPr>
          <w:rFonts w:hint="cs"/>
          <w:sz w:val="27"/>
          <w:rtl/>
        </w:rPr>
        <w:t>إلغاء</w:t>
      </w:r>
      <w:r w:rsidRPr="00CB554E">
        <w:rPr>
          <w:rFonts w:hint="eastAsia"/>
          <w:sz w:val="27"/>
          <w:rtl/>
        </w:rPr>
        <w:t>»</w:t>
      </w:r>
      <w:r w:rsidRPr="00CB554E">
        <w:rPr>
          <w:rFonts w:hint="cs"/>
          <w:sz w:val="27"/>
          <w:rtl/>
        </w:rPr>
        <w:t xml:space="preserve"> و</w:t>
      </w:r>
      <w:r w:rsidRPr="00CB554E">
        <w:rPr>
          <w:rFonts w:hint="eastAsia"/>
          <w:sz w:val="27"/>
          <w:rtl/>
        </w:rPr>
        <w:t>«</w:t>
      </w:r>
      <w:r w:rsidRPr="00CB554E">
        <w:rPr>
          <w:rFonts w:hint="cs"/>
          <w:sz w:val="27"/>
          <w:rtl/>
        </w:rPr>
        <w:t>استئصال</w:t>
      </w:r>
      <w:r w:rsidRPr="00CB554E">
        <w:rPr>
          <w:rFonts w:hint="eastAsia"/>
          <w:sz w:val="27"/>
          <w:rtl/>
        </w:rPr>
        <w:t>»</w:t>
      </w:r>
      <w:r w:rsidRPr="00CB554E">
        <w:rPr>
          <w:rFonts w:hint="cs"/>
          <w:sz w:val="27"/>
          <w:rtl/>
        </w:rPr>
        <w:t xml:space="preserve"> الر</w:t>
      </w:r>
      <w:r w:rsidR="00DA325A" w:rsidRPr="00CB554E">
        <w:rPr>
          <w:rFonts w:hint="cs"/>
          <w:sz w:val="27"/>
          <w:rtl/>
        </w:rPr>
        <w:t>ِّ</w:t>
      </w:r>
      <w:r w:rsidRPr="00CB554E">
        <w:rPr>
          <w:rFonts w:hint="cs"/>
          <w:sz w:val="27"/>
          <w:rtl/>
        </w:rPr>
        <w:t>با في العالم المعاصر أصلاً</w:t>
      </w:r>
      <w:r w:rsidR="00DA325A" w:rsidRPr="00CB554E">
        <w:rPr>
          <w:rFonts w:hint="cs"/>
          <w:sz w:val="27"/>
          <w:rtl/>
        </w:rPr>
        <w:t>؟</w:t>
      </w:r>
      <w:r w:rsidRPr="00CB554E">
        <w:rPr>
          <w:rFonts w:hint="cs"/>
          <w:sz w:val="27"/>
          <w:rtl/>
        </w:rPr>
        <w:t xml:space="preserve"> وهل ي</w:t>
      </w:r>
      <w:r w:rsidR="00DA325A" w:rsidRPr="00CB554E">
        <w:rPr>
          <w:rFonts w:hint="cs"/>
          <w:sz w:val="27"/>
          <w:rtl/>
        </w:rPr>
        <w:t>ُ</w:t>
      </w:r>
      <w:r w:rsidRPr="00CB554E">
        <w:rPr>
          <w:rFonts w:hint="cs"/>
          <w:sz w:val="27"/>
          <w:rtl/>
        </w:rPr>
        <w:t>ع</w:t>
      </w:r>
      <w:r w:rsidR="00DA325A" w:rsidRPr="00CB554E">
        <w:rPr>
          <w:rFonts w:hint="cs"/>
          <w:sz w:val="27"/>
          <w:rtl/>
        </w:rPr>
        <w:t>َ</w:t>
      </w:r>
      <w:r w:rsidRPr="00CB554E">
        <w:rPr>
          <w:rFonts w:hint="cs"/>
          <w:sz w:val="27"/>
          <w:rtl/>
        </w:rPr>
        <w:t>د</w:t>
      </w:r>
      <w:r w:rsidR="00DA325A" w:rsidRPr="00CB554E">
        <w:rPr>
          <w:rFonts w:hint="cs"/>
          <w:sz w:val="27"/>
          <w:rtl/>
        </w:rPr>
        <w:t>ّ</w:t>
      </w:r>
      <w:r w:rsidRPr="00CB554E">
        <w:rPr>
          <w:rFonts w:hint="cs"/>
          <w:sz w:val="27"/>
          <w:rtl/>
        </w:rPr>
        <w:t xml:space="preserve"> ذلك</w:t>
      </w:r>
      <w:r w:rsidRPr="00904FCB">
        <w:rPr>
          <w:rFonts w:hint="cs"/>
          <w:sz w:val="27"/>
          <w:rtl/>
        </w:rPr>
        <w:t xml:space="preserve"> من وظائف الحكومة الإسلامية أم أن أقصى ما يمكن للحكومة الإسلامية أن تقوم به هو خفض مقدار الربح، وذلك إلى المستوى الذي لا يتسب</w:t>
      </w:r>
      <w:r w:rsidR="00DA325A" w:rsidRPr="00904FCB">
        <w:rPr>
          <w:rFonts w:hint="cs"/>
          <w:sz w:val="27"/>
          <w:rtl/>
        </w:rPr>
        <w:t>َّ</w:t>
      </w:r>
      <w:r w:rsidRPr="00904FCB">
        <w:rPr>
          <w:rFonts w:hint="cs"/>
          <w:sz w:val="27"/>
          <w:rtl/>
        </w:rPr>
        <w:t>ب بحصول الركود الاقتصادي، ولا يؤد</w:t>
      </w:r>
      <w:r w:rsidR="00DA325A" w:rsidRPr="00904FCB">
        <w:rPr>
          <w:rFonts w:hint="cs"/>
          <w:sz w:val="27"/>
          <w:rtl/>
        </w:rPr>
        <w:t>ّ</w:t>
      </w:r>
      <w:r w:rsidRPr="00904FCB">
        <w:rPr>
          <w:rFonts w:hint="cs"/>
          <w:sz w:val="27"/>
          <w:rtl/>
        </w:rPr>
        <w:t xml:space="preserve">ي إلى ارتفاع نسبة الفقر؟ </w:t>
      </w:r>
    </w:p>
    <w:p w:rsidR="00A45FD9" w:rsidRPr="00904FCB" w:rsidRDefault="00A45FD9" w:rsidP="007A21AA">
      <w:pPr>
        <w:spacing w:line="400" w:lineRule="exact"/>
        <w:rPr>
          <w:sz w:val="27"/>
          <w:rtl/>
        </w:rPr>
      </w:pPr>
      <w:r w:rsidRPr="00CB554E">
        <w:rPr>
          <w:rFonts w:hint="cs"/>
          <w:sz w:val="27"/>
          <w:rtl/>
        </w:rPr>
        <w:t>3ـ ألا يؤدّي السعي إلى إلغاء المعاملات الربوية، وإحلال المرابحة والمضاربة</w:t>
      </w:r>
      <w:r w:rsidRPr="00904FCB">
        <w:rPr>
          <w:rFonts w:hint="cs"/>
          <w:sz w:val="27"/>
          <w:rtl/>
        </w:rPr>
        <w:t xml:space="preserve"> والمزارعة والمساقاة والقروض محل</w:t>
      </w:r>
      <w:r w:rsidR="00DA325A" w:rsidRPr="00904FCB">
        <w:rPr>
          <w:rFonts w:hint="cs"/>
          <w:sz w:val="27"/>
          <w:rtl/>
        </w:rPr>
        <w:t>ّ</w:t>
      </w:r>
      <w:r w:rsidRPr="00904FCB">
        <w:rPr>
          <w:rFonts w:hint="cs"/>
          <w:sz w:val="27"/>
          <w:rtl/>
        </w:rPr>
        <w:t>ها، إلى رفع قيمة الر</w:t>
      </w:r>
      <w:r w:rsidR="00DA325A" w:rsidRPr="00904FCB">
        <w:rPr>
          <w:rFonts w:hint="cs"/>
          <w:sz w:val="27"/>
          <w:rtl/>
        </w:rPr>
        <w:t>ِّ</w:t>
      </w:r>
      <w:r w:rsidRPr="00904FCB">
        <w:rPr>
          <w:rFonts w:hint="cs"/>
          <w:sz w:val="27"/>
          <w:rtl/>
        </w:rPr>
        <w:t>با ومستوى التضخ</w:t>
      </w:r>
      <w:r w:rsidR="00DA325A" w:rsidRPr="00904FCB">
        <w:rPr>
          <w:rFonts w:hint="cs"/>
          <w:sz w:val="27"/>
          <w:rtl/>
        </w:rPr>
        <w:t>ُّ</w:t>
      </w:r>
      <w:r w:rsidRPr="00904FCB">
        <w:rPr>
          <w:rFonts w:hint="cs"/>
          <w:sz w:val="27"/>
          <w:rtl/>
        </w:rPr>
        <w:t>م في الأسواق الحر</w:t>
      </w:r>
      <w:r w:rsidR="00DA325A" w:rsidRPr="00904FCB">
        <w:rPr>
          <w:rFonts w:hint="cs"/>
          <w:sz w:val="27"/>
          <w:rtl/>
        </w:rPr>
        <w:t>ّ</w:t>
      </w:r>
      <w:r w:rsidRPr="00904FCB">
        <w:rPr>
          <w:rFonts w:hint="cs"/>
          <w:sz w:val="27"/>
          <w:rtl/>
        </w:rPr>
        <w:t>ة، وات</w:t>
      </w:r>
      <w:r w:rsidR="00DA325A" w:rsidRPr="00904FCB">
        <w:rPr>
          <w:rFonts w:hint="cs"/>
          <w:sz w:val="27"/>
          <w:rtl/>
        </w:rPr>
        <w:t>ّ</w:t>
      </w:r>
      <w:r w:rsidRPr="00904FCB">
        <w:rPr>
          <w:rFonts w:hint="cs"/>
          <w:sz w:val="27"/>
          <w:rtl/>
        </w:rPr>
        <w:t>ساع الشرخ الط</w:t>
      </w:r>
      <w:r w:rsidR="00DA325A" w:rsidRPr="00904FCB">
        <w:rPr>
          <w:rFonts w:hint="cs"/>
          <w:sz w:val="27"/>
          <w:rtl/>
        </w:rPr>
        <w:t>َّ</w:t>
      </w:r>
      <w:r w:rsidRPr="00904FCB">
        <w:rPr>
          <w:rFonts w:hint="cs"/>
          <w:sz w:val="27"/>
          <w:rtl/>
        </w:rPr>
        <w:t>ب</w:t>
      </w:r>
      <w:r w:rsidR="00DA325A" w:rsidRPr="00904FCB">
        <w:rPr>
          <w:rFonts w:hint="cs"/>
          <w:sz w:val="27"/>
          <w:rtl/>
        </w:rPr>
        <w:t>َ</w:t>
      </w:r>
      <w:r w:rsidRPr="00904FCB">
        <w:rPr>
          <w:rFonts w:hint="cs"/>
          <w:sz w:val="27"/>
          <w:rtl/>
        </w:rPr>
        <w:t xml:space="preserve">قي في المجتمع، وازدياد الفقر والفساد الاقتصادي؟ </w:t>
      </w:r>
    </w:p>
    <w:p w:rsidR="00A45FD9" w:rsidRPr="00904FCB" w:rsidRDefault="00A45FD9" w:rsidP="007A21AA">
      <w:pPr>
        <w:spacing w:line="400" w:lineRule="exact"/>
        <w:rPr>
          <w:sz w:val="27"/>
          <w:rtl/>
        </w:rPr>
      </w:pPr>
      <w:r w:rsidRPr="00CB554E">
        <w:rPr>
          <w:rFonts w:hint="cs"/>
          <w:sz w:val="27"/>
          <w:rtl/>
        </w:rPr>
        <w:t>4ـ هل يمكن تحقيق مقاصد الشريعة بتحريم الر</w:t>
      </w:r>
      <w:r w:rsidR="00DA325A" w:rsidRPr="00CB554E">
        <w:rPr>
          <w:rFonts w:hint="cs"/>
          <w:sz w:val="27"/>
          <w:rtl/>
        </w:rPr>
        <w:t>ِّ</w:t>
      </w:r>
      <w:r w:rsidRPr="00CB554E">
        <w:rPr>
          <w:rFonts w:hint="cs"/>
          <w:sz w:val="27"/>
          <w:rtl/>
        </w:rPr>
        <w:t>با، من خلال العمل على مجر</w:t>
      </w:r>
      <w:r w:rsidR="00DA325A" w:rsidRPr="00CB554E">
        <w:rPr>
          <w:rFonts w:hint="cs"/>
          <w:sz w:val="27"/>
          <w:rtl/>
        </w:rPr>
        <w:t>ّ</w:t>
      </w:r>
      <w:r w:rsidRPr="00CB554E">
        <w:rPr>
          <w:rFonts w:hint="cs"/>
          <w:sz w:val="27"/>
          <w:rtl/>
        </w:rPr>
        <w:t>د</w:t>
      </w:r>
      <w:r w:rsidRPr="00904FCB">
        <w:rPr>
          <w:rFonts w:hint="cs"/>
          <w:sz w:val="27"/>
          <w:rtl/>
        </w:rPr>
        <w:t xml:space="preserve"> حذف عنوان الر</w:t>
      </w:r>
      <w:r w:rsidR="00DA325A" w:rsidRPr="00904FCB">
        <w:rPr>
          <w:rFonts w:hint="cs"/>
          <w:sz w:val="27"/>
          <w:rtl/>
        </w:rPr>
        <w:t>ِّ</w:t>
      </w:r>
      <w:r w:rsidRPr="00904FCB">
        <w:rPr>
          <w:rFonts w:hint="cs"/>
          <w:sz w:val="27"/>
          <w:rtl/>
        </w:rPr>
        <w:t>با، وإقامة العلاقات الربوية تحت مسم</w:t>
      </w:r>
      <w:r w:rsidR="00DA325A" w:rsidRPr="00904FCB">
        <w:rPr>
          <w:rFonts w:hint="cs"/>
          <w:sz w:val="27"/>
          <w:rtl/>
        </w:rPr>
        <w:t>َّ</w:t>
      </w:r>
      <w:r w:rsidRPr="00904FCB">
        <w:rPr>
          <w:rFonts w:hint="cs"/>
          <w:sz w:val="27"/>
          <w:rtl/>
        </w:rPr>
        <w:t xml:space="preserve">يات أخرى؟ </w:t>
      </w:r>
    </w:p>
    <w:p w:rsidR="00A45FD9" w:rsidRPr="00904FCB" w:rsidRDefault="00A45FD9" w:rsidP="007A21AA">
      <w:pPr>
        <w:spacing w:line="400" w:lineRule="exact"/>
        <w:rPr>
          <w:sz w:val="27"/>
          <w:rtl/>
        </w:rPr>
      </w:pPr>
      <w:r w:rsidRPr="00CB554E">
        <w:rPr>
          <w:rFonts w:hint="cs"/>
          <w:sz w:val="27"/>
          <w:rtl/>
        </w:rPr>
        <w:t>5ـ هل ي</w:t>
      </w:r>
      <w:r w:rsidR="00DA325A" w:rsidRPr="00CB554E">
        <w:rPr>
          <w:rFonts w:hint="cs"/>
          <w:sz w:val="27"/>
          <w:rtl/>
        </w:rPr>
        <w:t>ُ</w:t>
      </w:r>
      <w:r w:rsidRPr="00CB554E">
        <w:rPr>
          <w:rFonts w:hint="cs"/>
          <w:sz w:val="27"/>
          <w:rtl/>
        </w:rPr>
        <w:t>ع</w:t>
      </w:r>
      <w:r w:rsidR="00DA325A" w:rsidRPr="00CB554E">
        <w:rPr>
          <w:rFonts w:hint="cs"/>
          <w:sz w:val="27"/>
          <w:rtl/>
        </w:rPr>
        <w:t>َ</w:t>
      </w:r>
      <w:r w:rsidRPr="00CB554E">
        <w:rPr>
          <w:rFonts w:hint="cs"/>
          <w:sz w:val="27"/>
          <w:rtl/>
        </w:rPr>
        <w:t>د</w:t>
      </w:r>
      <w:r w:rsidR="00DA325A" w:rsidRPr="00CB554E">
        <w:rPr>
          <w:rFonts w:hint="cs"/>
          <w:sz w:val="27"/>
          <w:rtl/>
        </w:rPr>
        <w:t>ّ</w:t>
      </w:r>
      <w:r w:rsidRPr="00CB554E">
        <w:rPr>
          <w:rFonts w:hint="cs"/>
          <w:sz w:val="27"/>
          <w:rtl/>
        </w:rPr>
        <w:t xml:space="preserve"> خفض البنك الذي هو </w:t>
      </w:r>
      <w:r w:rsidRPr="00CB554E">
        <w:rPr>
          <w:rFonts w:hint="eastAsia"/>
          <w:sz w:val="27"/>
          <w:rtl/>
        </w:rPr>
        <w:t>«</w:t>
      </w:r>
      <w:r w:rsidRPr="00CB554E">
        <w:rPr>
          <w:rFonts w:hint="cs"/>
          <w:sz w:val="27"/>
          <w:rtl/>
        </w:rPr>
        <w:t>مؤس</w:t>
      </w:r>
      <w:r w:rsidR="00DA325A" w:rsidRPr="00CB554E">
        <w:rPr>
          <w:rFonts w:hint="cs"/>
          <w:sz w:val="27"/>
          <w:rtl/>
        </w:rPr>
        <w:t>ّ</w:t>
      </w:r>
      <w:r w:rsidRPr="00CB554E">
        <w:rPr>
          <w:rFonts w:hint="cs"/>
          <w:sz w:val="27"/>
          <w:rtl/>
        </w:rPr>
        <w:t>سة</w:t>
      </w:r>
      <w:r w:rsidRPr="00CB554E">
        <w:rPr>
          <w:rFonts w:hint="eastAsia"/>
          <w:sz w:val="27"/>
          <w:rtl/>
        </w:rPr>
        <w:t>»</w:t>
      </w:r>
      <w:r w:rsidRPr="00CB554E">
        <w:rPr>
          <w:rFonts w:hint="cs"/>
          <w:sz w:val="27"/>
          <w:rtl/>
        </w:rPr>
        <w:t xml:space="preserve"> اقتصادية إلى مجر</w:t>
      </w:r>
      <w:r w:rsidR="00DA325A" w:rsidRPr="00CB554E">
        <w:rPr>
          <w:rFonts w:hint="cs"/>
          <w:sz w:val="27"/>
          <w:rtl/>
        </w:rPr>
        <w:t>ّ</w:t>
      </w:r>
      <w:r w:rsidRPr="00CB554E">
        <w:rPr>
          <w:rFonts w:hint="cs"/>
          <w:sz w:val="27"/>
          <w:rtl/>
        </w:rPr>
        <w:t xml:space="preserve">د </w:t>
      </w:r>
      <w:r w:rsidRPr="00CB554E">
        <w:rPr>
          <w:rFonts w:hint="eastAsia"/>
          <w:sz w:val="27"/>
          <w:rtl/>
        </w:rPr>
        <w:t>«</w:t>
      </w:r>
      <w:r w:rsidRPr="00CB554E">
        <w:rPr>
          <w:rFonts w:hint="cs"/>
          <w:sz w:val="27"/>
          <w:rtl/>
        </w:rPr>
        <w:t>معاملات</w:t>
      </w:r>
      <w:r w:rsidRPr="00904FCB">
        <w:rPr>
          <w:rFonts w:hint="cs"/>
          <w:sz w:val="27"/>
          <w:rtl/>
        </w:rPr>
        <w:t xml:space="preserve"> مصرفية</w:t>
      </w:r>
      <w:r w:rsidRPr="00904FCB">
        <w:rPr>
          <w:rFonts w:hint="eastAsia"/>
          <w:sz w:val="27"/>
          <w:rtl/>
        </w:rPr>
        <w:t>»</w:t>
      </w:r>
      <w:r w:rsidRPr="00904FCB">
        <w:rPr>
          <w:rFonts w:hint="cs"/>
          <w:sz w:val="27"/>
          <w:rtl/>
        </w:rPr>
        <w:t>، ومن ثم</w:t>
      </w:r>
      <w:r w:rsidR="00DA325A" w:rsidRPr="00904FCB">
        <w:rPr>
          <w:rFonts w:hint="cs"/>
          <w:sz w:val="27"/>
          <w:rtl/>
        </w:rPr>
        <w:t>ّ</w:t>
      </w:r>
      <w:r w:rsidRPr="00904FCB">
        <w:rPr>
          <w:rFonts w:hint="cs"/>
          <w:sz w:val="27"/>
          <w:rtl/>
        </w:rPr>
        <w:t xml:space="preserve"> تقسيم المعاملات المصرفيّة إلى قسمين: معاملات مشروعة</w:t>
      </w:r>
      <w:r w:rsidR="00DA325A" w:rsidRPr="00904FCB">
        <w:rPr>
          <w:rFonts w:hint="cs"/>
          <w:sz w:val="27"/>
          <w:rtl/>
        </w:rPr>
        <w:t>؛</w:t>
      </w:r>
      <w:r w:rsidRPr="00904FCB">
        <w:rPr>
          <w:rFonts w:hint="cs"/>
          <w:sz w:val="27"/>
          <w:rtl/>
        </w:rPr>
        <w:t xml:space="preserve"> ومعاملات غير مشروعة، أو حلال</w:t>
      </w:r>
      <w:r w:rsidR="00DA325A" w:rsidRPr="00904FCB">
        <w:rPr>
          <w:rFonts w:hint="cs"/>
          <w:sz w:val="27"/>
          <w:rtl/>
        </w:rPr>
        <w:t>؛</w:t>
      </w:r>
      <w:r w:rsidRPr="00904FCB">
        <w:rPr>
          <w:rFonts w:hint="cs"/>
          <w:sz w:val="27"/>
          <w:rtl/>
        </w:rPr>
        <w:t xml:space="preserve"> وحرام، طريقة صحيحة للكشف عن حكم الشرع بشأن </w:t>
      </w:r>
      <w:r w:rsidRPr="00904FCB">
        <w:rPr>
          <w:rFonts w:hint="eastAsia"/>
          <w:sz w:val="27"/>
          <w:rtl/>
        </w:rPr>
        <w:t>«</w:t>
      </w:r>
      <w:r w:rsidRPr="00904FCB">
        <w:rPr>
          <w:rFonts w:hint="cs"/>
          <w:sz w:val="27"/>
          <w:rtl/>
        </w:rPr>
        <w:t>البنك</w:t>
      </w:r>
      <w:r w:rsidRPr="00904FCB">
        <w:rPr>
          <w:rFonts w:hint="eastAsia"/>
          <w:sz w:val="27"/>
          <w:rtl/>
        </w:rPr>
        <w:t>»</w:t>
      </w:r>
      <w:r w:rsidRPr="00904FCB">
        <w:rPr>
          <w:rFonts w:hint="cs"/>
          <w:sz w:val="27"/>
          <w:rtl/>
        </w:rPr>
        <w:t xml:space="preserve"> أم لا؟ </w:t>
      </w:r>
    </w:p>
    <w:p w:rsidR="00A45FD9" w:rsidRPr="00904FCB" w:rsidRDefault="00A45FD9" w:rsidP="007A21AA">
      <w:pPr>
        <w:spacing w:line="400" w:lineRule="exact"/>
        <w:rPr>
          <w:sz w:val="27"/>
          <w:rtl/>
        </w:rPr>
      </w:pPr>
      <w:r w:rsidRPr="00CB554E">
        <w:rPr>
          <w:rFonts w:hint="cs"/>
          <w:sz w:val="27"/>
          <w:rtl/>
        </w:rPr>
        <w:t>6ـ ألا يؤد</w:t>
      </w:r>
      <w:r w:rsidR="00DA325A" w:rsidRPr="00CB554E">
        <w:rPr>
          <w:rFonts w:hint="cs"/>
          <w:sz w:val="27"/>
          <w:rtl/>
        </w:rPr>
        <w:t>ّ</w:t>
      </w:r>
      <w:r w:rsidRPr="00CB554E">
        <w:rPr>
          <w:rFonts w:hint="cs"/>
          <w:sz w:val="27"/>
          <w:rtl/>
        </w:rPr>
        <w:t>ي هذا النوع من التعاطي مع الموضوعات وظواهر العالم المعاصر</w:t>
      </w:r>
      <w:r w:rsidRPr="00904FCB">
        <w:rPr>
          <w:rFonts w:hint="cs"/>
          <w:sz w:val="27"/>
          <w:rtl/>
        </w:rPr>
        <w:t xml:space="preserve"> والحضارة الجديدة إلى عرقلة </w:t>
      </w:r>
      <w:r w:rsidR="00DA325A" w:rsidRPr="00904FCB">
        <w:rPr>
          <w:rFonts w:hint="cs"/>
          <w:sz w:val="27"/>
          <w:rtl/>
        </w:rPr>
        <w:t>إ</w:t>
      </w:r>
      <w:r w:rsidRPr="00904FCB">
        <w:rPr>
          <w:rFonts w:hint="cs"/>
          <w:sz w:val="27"/>
          <w:rtl/>
        </w:rPr>
        <w:t>نتاجي</w:t>
      </w:r>
      <w:r w:rsidR="00DA325A" w:rsidRPr="00904FCB">
        <w:rPr>
          <w:rFonts w:hint="cs"/>
          <w:sz w:val="27"/>
          <w:rtl/>
        </w:rPr>
        <w:t>ّ</w:t>
      </w:r>
      <w:r w:rsidRPr="00904FCB">
        <w:rPr>
          <w:rFonts w:hint="cs"/>
          <w:sz w:val="27"/>
          <w:rtl/>
        </w:rPr>
        <w:t xml:space="preserve">تها المطلوبة والمنشودة؟ </w:t>
      </w:r>
    </w:p>
    <w:p w:rsidR="00A45FD9" w:rsidRPr="00CB554E" w:rsidRDefault="00A45FD9" w:rsidP="007A21AA">
      <w:pPr>
        <w:spacing w:line="400" w:lineRule="exact"/>
        <w:rPr>
          <w:sz w:val="27"/>
          <w:rtl/>
        </w:rPr>
      </w:pPr>
      <w:r w:rsidRPr="00CB554E">
        <w:rPr>
          <w:rFonts w:hint="cs"/>
          <w:sz w:val="27"/>
          <w:rtl/>
        </w:rPr>
        <w:t>7ـ ألا يؤد</w:t>
      </w:r>
      <w:r w:rsidR="00DA325A" w:rsidRPr="00CB554E">
        <w:rPr>
          <w:rFonts w:hint="cs"/>
          <w:sz w:val="27"/>
          <w:rtl/>
        </w:rPr>
        <w:t>ّ</w:t>
      </w:r>
      <w:r w:rsidRPr="00CB554E">
        <w:rPr>
          <w:rFonts w:hint="cs"/>
          <w:sz w:val="27"/>
          <w:rtl/>
        </w:rPr>
        <w:t>ي مثل هذا الأمر إلى أزمات اقتصادي</w:t>
      </w:r>
      <w:r w:rsidR="00DA325A" w:rsidRPr="00CB554E">
        <w:rPr>
          <w:rFonts w:hint="cs"/>
          <w:sz w:val="27"/>
          <w:rtl/>
        </w:rPr>
        <w:t>ّ</w:t>
      </w:r>
      <w:r w:rsidRPr="00CB554E">
        <w:rPr>
          <w:rFonts w:hint="cs"/>
          <w:sz w:val="27"/>
          <w:rtl/>
        </w:rPr>
        <w:t xml:space="preserve">ة أم لا؟ </w:t>
      </w:r>
    </w:p>
    <w:p w:rsidR="00A45FD9" w:rsidRPr="00CB554E" w:rsidRDefault="00A45FD9" w:rsidP="007A21AA">
      <w:pPr>
        <w:spacing w:line="400" w:lineRule="exact"/>
        <w:rPr>
          <w:sz w:val="27"/>
          <w:rtl/>
        </w:rPr>
      </w:pPr>
      <w:r w:rsidRPr="00CB554E">
        <w:rPr>
          <w:rFonts w:hint="cs"/>
          <w:sz w:val="27"/>
          <w:rtl/>
        </w:rPr>
        <w:t>8ـ هل يعني كمال الدين أن ي</w:t>
      </w:r>
      <w:r w:rsidR="00DA325A" w:rsidRPr="00CB554E">
        <w:rPr>
          <w:rFonts w:hint="cs"/>
          <w:sz w:val="27"/>
          <w:rtl/>
        </w:rPr>
        <w:t>َ</w:t>
      </w:r>
      <w:r w:rsidRPr="00CB554E">
        <w:rPr>
          <w:rFonts w:hint="cs"/>
          <w:sz w:val="27"/>
          <w:rtl/>
        </w:rPr>
        <w:t>ر</w:t>
      </w:r>
      <w:r w:rsidR="00DA325A" w:rsidRPr="00CB554E">
        <w:rPr>
          <w:rFonts w:hint="cs"/>
          <w:sz w:val="27"/>
          <w:rtl/>
        </w:rPr>
        <w:t>ِ</w:t>
      </w:r>
      <w:r w:rsidRPr="00CB554E">
        <w:rPr>
          <w:rFonts w:hint="cs"/>
          <w:sz w:val="27"/>
          <w:rtl/>
        </w:rPr>
        <w:t>د</w:t>
      </w:r>
      <w:r w:rsidR="00DA325A" w:rsidRPr="00CB554E">
        <w:rPr>
          <w:rFonts w:hint="cs"/>
          <w:sz w:val="27"/>
          <w:rtl/>
        </w:rPr>
        <w:t>َ</w:t>
      </w:r>
      <w:r w:rsidRPr="00CB554E">
        <w:rPr>
          <w:rFonts w:hint="cs"/>
          <w:sz w:val="27"/>
          <w:rtl/>
        </w:rPr>
        <w:t xml:space="preserve"> حكم كل</w:t>
      </w:r>
      <w:r w:rsidR="00DA325A" w:rsidRPr="00CB554E">
        <w:rPr>
          <w:rFonts w:hint="cs"/>
          <w:sz w:val="27"/>
          <w:rtl/>
        </w:rPr>
        <w:t>ّ</w:t>
      </w:r>
      <w:r w:rsidRPr="00CB554E">
        <w:rPr>
          <w:rFonts w:hint="cs"/>
          <w:sz w:val="27"/>
          <w:rtl/>
        </w:rPr>
        <w:t xml:space="preserve"> شيء</w:t>
      </w:r>
      <w:r w:rsidR="00DA325A" w:rsidRPr="00CB554E">
        <w:rPr>
          <w:rFonts w:hint="cs"/>
          <w:sz w:val="27"/>
          <w:rtl/>
        </w:rPr>
        <w:t>ٍ</w:t>
      </w:r>
      <w:r w:rsidRPr="00CB554E">
        <w:rPr>
          <w:rFonts w:hint="cs"/>
          <w:sz w:val="27"/>
          <w:rtl/>
        </w:rPr>
        <w:t xml:space="preserve"> في الشريعة؟ </w:t>
      </w:r>
    </w:p>
    <w:p w:rsidR="00A45FD9" w:rsidRPr="00904FCB" w:rsidRDefault="00A45FD9" w:rsidP="007A21AA">
      <w:pPr>
        <w:spacing w:line="400" w:lineRule="exact"/>
        <w:rPr>
          <w:sz w:val="27"/>
          <w:rtl/>
        </w:rPr>
      </w:pPr>
      <w:r w:rsidRPr="00CB554E">
        <w:rPr>
          <w:rFonts w:hint="cs"/>
          <w:sz w:val="27"/>
          <w:rtl/>
        </w:rPr>
        <w:t>9ـ هل ال</w:t>
      </w:r>
      <w:r w:rsidR="00DA325A" w:rsidRPr="00CB554E">
        <w:rPr>
          <w:rFonts w:hint="cs"/>
          <w:sz w:val="27"/>
          <w:rtl/>
        </w:rPr>
        <w:t>إ</w:t>
      </w:r>
      <w:r w:rsidRPr="00CB554E">
        <w:rPr>
          <w:rFonts w:hint="cs"/>
          <w:sz w:val="27"/>
          <w:rtl/>
        </w:rPr>
        <w:t>طلاقات والعمومات الواردة في القرآن والسن</w:t>
      </w:r>
      <w:r w:rsidR="00DA325A" w:rsidRPr="00CB554E">
        <w:rPr>
          <w:rFonts w:hint="cs"/>
          <w:sz w:val="27"/>
          <w:rtl/>
        </w:rPr>
        <w:t>ّ</w:t>
      </w:r>
      <w:r w:rsidRPr="00CB554E">
        <w:rPr>
          <w:rFonts w:hint="cs"/>
          <w:sz w:val="27"/>
          <w:rtl/>
        </w:rPr>
        <w:t>ة شاملة</w:t>
      </w:r>
      <w:r w:rsidR="00DA325A" w:rsidRPr="00CB554E">
        <w:rPr>
          <w:rFonts w:hint="cs"/>
          <w:sz w:val="27"/>
          <w:rtl/>
        </w:rPr>
        <w:t>ٌ</w:t>
      </w:r>
      <w:r w:rsidRPr="00CB554E">
        <w:rPr>
          <w:rFonts w:hint="cs"/>
          <w:sz w:val="27"/>
          <w:rtl/>
        </w:rPr>
        <w:t xml:space="preserve"> </w:t>
      </w:r>
      <w:r w:rsidR="00DA325A" w:rsidRPr="00CB554E">
        <w:rPr>
          <w:rFonts w:hint="cs"/>
          <w:sz w:val="27"/>
          <w:rtl/>
        </w:rPr>
        <w:t>في عرف العقلاء</w:t>
      </w:r>
      <w:r w:rsidR="00DA325A" w:rsidRPr="00904FCB">
        <w:rPr>
          <w:rFonts w:hint="cs"/>
          <w:sz w:val="27"/>
          <w:rtl/>
        </w:rPr>
        <w:t xml:space="preserve"> </w:t>
      </w:r>
      <w:r w:rsidRPr="00904FCB">
        <w:rPr>
          <w:rFonts w:hint="cs"/>
          <w:sz w:val="27"/>
          <w:rtl/>
        </w:rPr>
        <w:t xml:space="preserve">لمثل هذه الموضوعات أم لا؟ </w:t>
      </w:r>
    </w:p>
    <w:p w:rsidR="00A45FD9" w:rsidRPr="00904FCB" w:rsidRDefault="00A45FD9" w:rsidP="007A21AA">
      <w:pPr>
        <w:spacing w:line="400" w:lineRule="exact"/>
        <w:rPr>
          <w:sz w:val="27"/>
          <w:rtl/>
        </w:rPr>
      </w:pPr>
      <w:r w:rsidRPr="00CB554E">
        <w:rPr>
          <w:rFonts w:hint="cs"/>
          <w:sz w:val="27"/>
          <w:rtl/>
        </w:rPr>
        <w:t>10ـ هل الر</w:t>
      </w:r>
      <w:r w:rsidR="00DA325A" w:rsidRPr="00CB554E">
        <w:rPr>
          <w:rFonts w:hint="cs"/>
          <w:sz w:val="27"/>
          <w:rtl/>
        </w:rPr>
        <w:t>ِّ</w:t>
      </w:r>
      <w:r w:rsidRPr="00CB554E">
        <w:rPr>
          <w:rFonts w:hint="cs"/>
          <w:sz w:val="27"/>
          <w:rtl/>
        </w:rPr>
        <w:t>با الشائع في العصر الحديث يمث</w:t>
      </w:r>
      <w:r w:rsidR="00DA325A" w:rsidRPr="00CB554E">
        <w:rPr>
          <w:rFonts w:hint="cs"/>
          <w:sz w:val="27"/>
          <w:rtl/>
        </w:rPr>
        <w:t>ِّ</w:t>
      </w:r>
      <w:r w:rsidRPr="00CB554E">
        <w:rPr>
          <w:rFonts w:hint="cs"/>
          <w:sz w:val="27"/>
          <w:rtl/>
        </w:rPr>
        <w:t>ل مصداقاً للر</w:t>
      </w:r>
      <w:r w:rsidR="00DA325A" w:rsidRPr="00CB554E">
        <w:rPr>
          <w:rFonts w:hint="cs"/>
          <w:sz w:val="27"/>
          <w:rtl/>
        </w:rPr>
        <w:t>ِّ</w:t>
      </w:r>
      <w:r w:rsidRPr="00CB554E">
        <w:rPr>
          <w:rFonts w:hint="cs"/>
          <w:sz w:val="27"/>
          <w:rtl/>
        </w:rPr>
        <w:t>با المحر</w:t>
      </w:r>
      <w:r w:rsidR="00DA325A" w:rsidRPr="00CB554E">
        <w:rPr>
          <w:rFonts w:hint="cs"/>
          <w:sz w:val="27"/>
          <w:rtl/>
        </w:rPr>
        <w:t>َّ</w:t>
      </w:r>
      <w:r w:rsidRPr="00CB554E">
        <w:rPr>
          <w:rFonts w:hint="cs"/>
          <w:sz w:val="27"/>
          <w:rtl/>
        </w:rPr>
        <w:t>م الذي كان</w:t>
      </w:r>
      <w:r w:rsidRPr="00904FCB">
        <w:rPr>
          <w:rFonts w:hint="cs"/>
          <w:sz w:val="27"/>
          <w:rtl/>
        </w:rPr>
        <w:t xml:space="preserve"> سائداً في صدر الإسلام أم لا؟ وهل طبيعة وآلي</w:t>
      </w:r>
      <w:r w:rsidR="00DA325A" w:rsidRPr="00904FCB">
        <w:rPr>
          <w:rFonts w:hint="cs"/>
          <w:sz w:val="27"/>
          <w:rtl/>
        </w:rPr>
        <w:t>ّ</w:t>
      </w:r>
      <w:r w:rsidRPr="00904FCB">
        <w:rPr>
          <w:rFonts w:hint="cs"/>
          <w:sz w:val="27"/>
          <w:rtl/>
        </w:rPr>
        <w:t>ة الر</w:t>
      </w:r>
      <w:r w:rsidR="00DA325A" w:rsidRPr="00904FCB">
        <w:rPr>
          <w:rFonts w:hint="cs"/>
          <w:sz w:val="27"/>
          <w:rtl/>
        </w:rPr>
        <w:t>ِّ</w:t>
      </w:r>
      <w:r w:rsidRPr="00904FCB">
        <w:rPr>
          <w:rFonts w:hint="cs"/>
          <w:sz w:val="27"/>
          <w:rtl/>
        </w:rPr>
        <w:t>با في العالم المعاصر تشبه طبيعة وآلي</w:t>
      </w:r>
      <w:r w:rsidR="00DA325A" w:rsidRPr="00904FCB">
        <w:rPr>
          <w:rFonts w:hint="cs"/>
          <w:sz w:val="27"/>
          <w:rtl/>
        </w:rPr>
        <w:t>ّ</w:t>
      </w:r>
      <w:r w:rsidRPr="00904FCB">
        <w:rPr>
          <w:rFonts w:hint="cs"/>
          <w:sz w:val="27"/>
          <w:rtl/>
        </w:rPr>
        <w:t>ة الر</w:t>
      </w:r>
      <w:r w:rsidR="00DA325A" w:rsidRPr="00904FCB">
        <w:rPr>
          <w:rFonts w:hint="cs"/>
          <w:sz w:val="27"/>
          <w:rtl/>
        </w:rPr>
        <w:t>ِّ</w:t>
      </w:r>
      <w:r w:rsidRPr="00904FCB">
        <w:rPr>
          <w:rFonts w:hint="cs"/>
          <w:sz w:val="27"/>
          <w:rtl/>
        </w:rPr>
        <w:t>با في العالم القديم، أم أن هناك مجر</w:t>
      </w:r>
      <w:r w:rsidR="00A56B31" w:rsidRPr="00904FCB">
        <w:rPr>
          <w:rFonts w:hint="cs"/>
          <w:sz w:val="27"/>
          <w:rtl/>
        </w:rPr>
        <w:t>ّ</w:t>
      </w:r>
      <w:r w:rsidRPr="00904FCB">
        <w:rPr>
          <w:rFonts w:hint="cs"/>
          <w:sz w:val="27"/>
          <w:rtl/>
        </w:rPr>
        <w:t>د اشتراك لفظي</w:t>
      </w:r>
      <w:r w:rsidR="00A56B31" w:rsidRPr="00904FCB">
        <w:rPr>
          <w:rFonts w:hint="cs"/>
          <w:sz w:val="27"/>
          <w:rtl/>
        </w:rPr>
        <w:t>ّ</w:t>
      </w:r>
      <w:r w:rsidRPr="00904FCB">
        <w:rPr>
          <w:rFonts w:hint="cs"/>
          <w:sz w:val="27"/>
          <w:rtl/>
        </w:rPr>
        <w:t xml:space="preserve"> بين هذين المفهومين؟ </w:t>
      </w:r>
    </w:p>
    <w:p w:rsidR="00A45FD9" w:rsidRPr="00904FCB" w:rsidRDefault="00A45FD9" w:rsidP="007A21AA">
      <w:pPr>
        <w:spacing w:line="400" w:lineRule="exact"/>
        <w:rPr>
          <w:sz w:val="27"/>
          <w:rtl/>
        </w:rPr>
      </w:pPr>
      <w:r w:rsidRPr="00904FCB">
        <w:rPr>
          <w:rFonts w:hint="cs"/>
          <w:sz w:val="27"/>
          <w:rtl/>
        </w:rPr>
        <w:lastRenderedPageBreak/>
        <w:t>لا يحق</w:t>
      </w:r>
      <w:r w:rsidR="00A56B31" w:rsidRPr="00904FCB">
        <w:rPr>
          <w:rFonts w:hint="cs"/>
          <w:sz w:val="27"/>
          <w:rtl/>
        </w:rPr>
        <w:t>ّ</w:t>
      </w:r>
      <w:r w:rsidRPr="00904FCB">
        <w:rPr>
          <w:rFonts w:hint="cs"/>
          <w:sz w:val="27"/>
          <w:rtl/>
        </w:rPr>
        <w:t xml:space="preserve"> للإنسان طرح هذا النوع من الأسئلة في إطار العقلانية الفقهية القائمة، كما لا يستطيع الإجابة عنها</w:t>
      </w:r>
      <w:r w:rsidR="00A56B31" w:rsidRPr="00904FCB">
        <w:rPr>
          <w:rFonts w:hint="cs"/>
          <w:sz w:val="27"/>
          <w:rtl/>
        </w:rPr>
        <w:t>؛</w:t>
      </w:r>
      <w:r w:rsidRPr="00904FCB">
        <w:rPr>
          <w:rFonts w:hint="cs"/>
          <w:sz w:val="27"/>
          <w:rtl/>
        </w:rPr>
        <w:t xml:space="preserve"> فهي من الأمور التي لا صلة لها بالبشر، وي</w:t>
      </w:r>
      <w:r w:rsidR="00A56B31" w:rsidRPr="00904FCB">
        <w:rPr>
          <w:rFonts w:hint="cs"/>
          <w:sz w:val="27"/>
          <w:rtl/>
        </w:rPr>
        <w:t>ُ</w:t>
      </w:r>
      <w:r w:rsidRPr="00904FCB">
        <w:rPr>
          <w:rFonts w:hint="cs"/>
          <w:sz w:val="27"/>
          <w:rtl/>
        </w:rPr>
        <w:t>ع</w:t>
      </w:r>
      <w:r w:rsidR="00A56B31" w:rsidRPr="00904FCB">
        <w:rPr>
          <w:rFonts w:hint="cs"/>
          <w:sz w:val="27"/>
          <w:rtl/>
        </w:rPr>
        <w:t>َ</w:t>
      </w:r>
      <w:r w:rsidRPr="00904FCB">
        <w:rPr>
          <w:rFonts w:hint="cs"/>
          <w:sz w:val="27"/>
          <w:rtl/>
        </w:rPr>
        <w:t>د</w:t>
      </w:r>
      <w:r w:rsidR="00A56B31" w:rsidRPr="00904FCB">
        <w:rPr>
          <w:rFonts w:hint="cs"/>
          <w:sz w:val="27"/>
          <w:rtl/>
        </w:rPr>
        <w:t>ّ</w:t>
      </w:r>
      <w:r w:rsidRPr="00904FCB">
        <w:rPr>
          <w:rFonts w:hint="cs"/>
          <w:sz w:val="27"/>
          <w:rtl/>
        </w:rPr>
        <w:t xml:space="preserve"> طرحها نوعاً من التطف</w:t>
      </w:r>
      <w:r w:rsidR="00A56B31" w:rsidRPr="00904FCB">
        <w:rPr>
          <w:rFonts w:hint="cs"/>
          <w:sz w:val="27"/>
          <w:rtl/>
        </w:rPr>
        <w:t>ُّ</w:t>
      </w:r>
      <w:r w:rsidRPr="00904FCB">
        <w:rPr>
          <w:rFonts w:hint="cs"/>
          <w:sz w:val="27"/>
          <w:rtl/>
        </w:rPr>
        <w:t>ل والتدخ</w:t>
      </w:r>
      <w:r w:rsidR="00A56B31" w:rsidRPr="00904FCB">
        <w:rPr>
          <w:rFonts w:hint="cs"/>
          <w:sz w:val="27"/>
          <w:rtl/>
        </w:rPr>
        <w:t>ُّ</w:t>
      </w:r>
      <w:r w:rsidRPr="00904FCB">
        <w:rPr>
          <w:rFonts w:hint="cs"/>
          <w:sz w:val="27"/>
          <w:rtl/>
        </w:rPr>
        <w:t>ل في شؤون الله، بمعنى أن</w:t>
      </w:r>
      <w:r w:rsidR="00A56B31" w:rsidRPr="00904FCB">
        <w:rPr>
          <w:rFonts w:hint="cs"/>
          <w:sz w:val="27"/>
          <w:rtl/>
        </w:rPr>
        <w:t>ّ</w:t>
      </w:r>
      <w:r w:rsidRPr="00904FCB">
        <w:rPr>
          <w:rFonts w:hint="cs"/>
          <w:sz w:val="27"/>
          <w:rtl/>
        </w:rPr>
        <w:t xml:space="preserve"> هذا النوع من الأسئلة من وظائف ومسؤوليات الشارع الحصرية، وحيث </w:t>
      </w:r>
      <w:r w:rsidR="00A56B31" w:rsidRPr="00904FCB">
        <w:rPr>
          <w:rFonts w:hint="cs"/>
          <w:sz w:val="27"/>
          <w:rtl/>
        </w:rPr>
        <w:t>إ</w:t>
      </w:r>
      <w:r w:rsidRPr="00904FCB">
        <w:rPr>
          <w:rFonts w:hint="cs"/>
          <w:sz w:val="27"/>
          <w:rtl/>
        </w:rPr>
        <w:t>ن الشارع عالم</w:t>
      </w:r>
      <w:r w:rsidR="00A56B31" w:rsidRPr="00904FCB">
        <w:rPr>
          <w:rFonts w:hint="cs"/>
          <w:sz w:val="27"/>
          <w:rtl/>
        </w:rPr>
        <w:t>ٌ</w:t>
      </w:r>
      <w:r w:rsidRPr="00904FCB">
        <w:rPr>
          <w:rFonts w:hint="cs"/>
          <w:sz w:val="27"/>
          <w:rtl/>
        </w:rPr>
        <w:t xml:space="preserve"> بالغيب فلا ش</w:t>
      </w:r>
      <w:r w:rsidR="00A56B31" w:rsidRPr="00904FCB">
        <w:rPr>
          <w:rFonts w:hint="cs"/>
          <w:sz w:val="27"/>
          <w:rtl/>
        </w:rPr>
        <w:t>َ</w:t>
      </w:r>
      <w:r w:rsidRPr="00904FCB">
        <w:rPr>
          <w:rFonts w:hint="cs"/>
          <w:sz w:val="27"/>
          <w:rtl/>
        </w:rPr>
        <w:t>ك</w:t>
      </w:r>
      <w:r w:rsidR="00A56B31" w:rsidRPr="00904FCB">
        <w:rPr>
          <w:rFonts w:hint="cs"/>
          <w:sz w:val="27"/>
          <w:rtl/>
        </w:rPr>
        <w:t>َّ</w:t>
      </w:r>
      <w:r w:rsidRPr="00904FCB">
        <w:rPr>
          <w:rFonts w:hint="cs"/>
          <w:sz w:val="27"/>
          <w:rtl/>
        </w:rPr>
        <w:t xml:space="preserve"> في أن</w:t>
      </w:r>
      <w:r w:rsidR="00A56B31" w:rsidRPr="00904FCB">
        <w:rPr>
          <w:rFonts w:hint="cs"/>
          <w:sz w:val="27"/>
          <w:rtl/>
        </w:rPr>
        <w:t>ّ</w:t>
      </w:r>
      <w:r w:rsidRPr="00904FCB">
        <w:rPr>
          <w:rFonts w:hint="cs"/>
          <w:sz w:val="27"/>
          <w:rtl/>
        </w:rPr>
        <w:t>ه قد أخذ هذه الأمور في حكمه بنظر الاعتبار مسبقاً. وأما تكليفنا كمسلمين فهو أن نتعر</w:t>
      </w:r>
      <w:r w:rsidR="00A56B31" w:rsidRPr="00904FCB">
        <w:rPr>
          <w:rFonts w:hint="cs"/>
          <w:sz w:val="27"/>
          <w:rtl/>
        </w:rPr>
        <w:t>َّ</w:t>
      </w:r>
      <w:r w:rsidRPr="00904FCB">
        <w:rPr>
          <w:rFonts w:hint="cs"/>
          <w:sz w:val="27"/>
          <w:rtl/>
        </w:rPr>
        <w:t>ف على الأحكام الشرعية من خلال الطرق التي حد</w:t>
      </w:r>
      <w:r w:rsidR="00A56B31" w:rsidRPr="00904FCB">
        <w:rPr>
          <w:rFonts w:hint="cs"/>
          <w:sz w:val="27"/>
          <w:rtl/>
        </w:rPr>
        <w:t>َّ</w:t>
      </w:r>
      <w:r w:rsidRPr="00904FCB">
        <w:rPr>
          <w:rFonts w:hint="cs"/>
          <w:sz w:val="27"/>
          <w:rtl/>
        </w:rPr>
        <w:t xml:space="preserve">دها الله تعالى لنا، وأن نعمل على طبقها. </w:t>
      </w:r>
    </w:p>
    <w:p w:rsidR="00A45FD9" w:rsidRPr="00904FCB" w:rsidRDefault="00A45FD9" w:rsidP="007A21AA">
      <w:pPr>
        <w:spacing w:line="400" w:lineRule="exact"/>
        <w:rPr>
          <w:sz w:val="27"/>
        </w:rPr>
      </w:pPr>
      <w:r w:rsidRPr="00904FCB">
        <w:rPr>
          <w:rFonts w:hint="cs"/>
          <w:sz w:val="27"/>
          <w:rtl/>
        </w:rPr>
        <w:t>ب</w:t>
      </w:r>
      <w:r w:rsidR="00A56B31" w:rsidRPr="00904FCB">
        <w:rPr>
          <w:rFonts w:hint="cs"/>
          <w:sz w:val="27"/>
          <w:rtl/>
        </w:rPr>
        <w:t>َ</w:t>
      </w:r>
      <w:r w:rsidRPr="00904FCB">
        <w:rPr>
          <w:rFonts w:hint="cs"/>
          <w:sz w:val="27"/>
          <w:rtl/>
        </w:rPr>
        <w:t>ي</w:t>
      </w:r>
      <w:r w:rsidR="00A56B31" w:rsidRPr="00904FCB">
        <w:rPr>
          <w:rFonts w:hint="cs"/>
          <w:sz w:val="27"/>
          <w:rtl/>
        </w:rPr>
        <w:t>ْ</w:t>
      </w:r>
      <w:r w:rsidRPr="00904FCB">
        <w:rPr>
          <w:rFonts w:hint="cs"/>
          <w:sz w:val="27"/>
          <w:rtl/>
        </w:rPr>
        <w:t>د</w:t>
      </w:r>
      <w:r w:rsidR="00A56B31" w:rsidRPr="00904FCB">
        <w:rPr>
          <w:rFonts w:hint="cs"/>
          <w:sz w:val="27"/>
          <w:rtl/>
        </w:rPr>
        <w:t>َ</w:t>
      </w:r>
      <w:r w:rsidRPr="00904FCB">
        <w:rPr>
          <w:rFonts w:hint="cs"/>
          <w:sz w:val="27"/>
          <w:rtl/>
        </w:rPr>
        <w:t xml:space="preserve"> أن الفقهاء في إطار الفقه التقليدي يضطرون في مقام استنباط حكم الأمور المستح</w:t>
      </w:r>
      <w:r w:rsidR="00A56B31" w:rsidRPr="00904FCB">
        <w:rPr>
          <w:rFonts w:hint="cs"/>
          <w:sz w:val="27"/>
          <w:rtl/>
        </w:rPr>
        <w:t>ْ</w:t>
      </w:r>
      <w:r w:rsidRPr="00904FCB">
        <w:rPr>
          <w:rFonts w:hint="cs"/>
          <w:sz w:val="27"/>
          <w:rtl/>
        </w:rPr>
        <w:t>د</w:t>
      </w:r>
      <w:r w:rsidR="00A56B31" w:rsidRPr="00904FCB">
        <w:rPr>
          <w:rFonts w:hint="cs"/>
          <w:sz w:val="27"/>
          <w:rtl/>
        </w:rPr>
        <w:t>َ</w:t>
      </w:r>
      <w:r w:rsidRPr="00904FCB">
        <w:rPr>
          <w:rFonts w:hint="cs"/>
          <w:sz w:val="27"/>
          <w:rtl/>
        </w:rPr>
        <w:t>ثة إلى تجزئة تلك الأمور</w:t>
      </w:r>
      <w:r w:rsidR="00A56B31" w:rsidRPr="00904FCB">
        <w:rPr>
          <w:rFonts w:hint="cs"/>
          <w:sz w:val="27"/>
          <w:rtl/>
        </w:rPr>
        <w:t>،</w:t>
      </w:r>
      <w:r w:rsidRPr="00904FCB">
        <w:rPr>
          <w:rFonts w:hint="cs"/>
          <w:sz w:val="27"/>
          <w:rtl/>
        </w:rPr>
        <w:t xml:space="preserve"> و</w:t>
      </w:r>
      <w:r w:rsidRPr="00904FCB">
        <w:rPr>
          <w:rFonts w:hint="eastAsia"/>
          <w:sz w:val="27"/>
          <w:rtl/>
        </w:rPr>
        <w:t>«</w:t>
      </w:r>
      <w:r w:rsidRPr="00904FCB">
        <w:rPr>
          <w:rFonts w:hint="cs"/>
          <w:sz w:val="27"/>
          <w:rtl/>
        </w:rPr>
        <w:t>تحويلها</w:t>
      </w:r>
      <w:r w:rsidRPr="00904FCB">
        <w:rPr>
          <w:rFonts w:hint="eastAsia"/>
          <w:sz w:val="27"/>
          <w:rtl/>
        </w:rPr>
        <w:t>»</w:t>
      </w:r>
      <w:r w:rsidRPr="00904FCB">
        <w:rPr>
          <w:sz w:val="27"/>
          <w:vertAlign w:val="superscript"/>
          <w:rtl/>
        </w:rPr>
        <w:t>(</w:t>
      </w:r>
      <w:r w:rsidRPr="00904FCB">
        <w:rPr>
          <w:sz w:val="27"/>
          <w:vertAlign w:val="superscript"/>
          <w:rtl/>
        </w:rPr>
        <w:endnoteReference w:id="12"/>
      </w:r>
      <w:r w:rsidRPr="00904FCB">
        <w:rPr>
          <w:sz w:val="27"/>
          <w:vertAlign w:val="superscript"/>
          <w:rtl/>
        </w:rPr>
        <w:t>)</w:t>
      </w:r>
      <w:r w:rsidRPr="00904FCB">
        <w:rPr>
          <w:rFonts w:hint="cs"/>
          <w:sz w:val="27"/>
          <w:rtl/>
        </w:rPr>
        <w:t xml:space="preserve"> إلى أجزاء مصغ</w:t>
      </w:r>
      <w:r w:rsidR="00A56B31" w:rsidRPr="00904FCB">
        <w:rPr>
          <w:rFonts w:hint="cs"/>
          <w:sz w:val="27"/>
          <w:rtl/>
        </w:rPr>
        <w:t>َّ</w:t>
      </w:r>
      <w:r w:rsidRPr="00904FCB">
        <w:rPr>
          <w:rFonts w:hint="cs"/>
          <w:sz w:val="27"/>
          <w:rtl/>
        </w:rPr>
        <w:t>رة كانت مورد ابتلاء الناس في صدر الإسلام وعصر حضور النبي</w:t>
      </w:r>
      <w:r w:rsidR="00A56B31" w:rsidRPr="00904FCB">
        <w:rPr>
          <w:rFonts w:hint="cs"/>
          <w:sz w:val="27"/>
          <w:rtl/>
        </w:rPr>
        <w:t>ّ</w:t>
      </w:r>
      <w:r w:rsidRPr="00904FCB">
        <w:rPr>
          <w:rFonts w:hint="cs"/>
          <w:sz w:val="27"/>
          <w:rtl/>
        </w:rPr>
        <w:t xml:space="preserve"> (والأئم</w:t>
      </w:r>
      <w:r w:rsidR="00A56B31" w:rsidRPr="00904FCB">
        <w:rPr>
          <w:rFonts w:hint="cs"/>
          <w:sz w:val="27"/>
          <w:rtl/>
        </w:rPr>
        <w:t>ّ</w:t>
      </w:r>
      <w:r w:rsidRPr="00904FCB">
        <w:rPr>
          <w:rFonts w:hint="cs"/>
          <w:sz w:val="27"/>
          <w:rtl/>
        </w:rPr>
        <w:t>ة المعصومين)</w:t>
      </w:r>
      <w:r w:rsidR="00A56B31" w:rsidRPr="00904FCB">
        <w:rPr>
          <w:rFonts w:hint="cs"/>
          <w:sz w:val="27"/>
          <w:rtl/>
        </w:rPr>
        <w:t>،</w:t>
      </w:r>
      <w:r w:rsidRPr="00904FCB">
        <w:rPr>
          <w:rFonts w:hint="cs"/>
          <w:sz w:val="27"/>
          <w:rtl/>
        </w:rPr>
        <w:t xml:space="preserve"> ويوجد حكمها في القرآن والسن</w:t>
      </w:r>
      <w:r w:rsidR="00A56B31" w:rsidRPr="00904FCB">
        <w:rPr>
          <w:rFonts w:hint="cs"/>
          <w:sz w:val="27"/>
          <w:rtl/>
        </w:rPr>
        <w:t>ّ</w:t>
      </w:r>
      <w:r w:rsidRPr="00904FCB">
        <w:rPr>
          <w:rFonts w:hint="cs"/>
          <w:sz w:val="27"/>
          <w:rtl/>
        </w:rPr>
        <w:t>ة. فهؤلاء يسع</w:t>
      </w:r>
      <w:r w:rsidR="00A56B31" w:rsidRPr="00904FCB">
        <w:rPr>
          <w:rFonts w:hint="cs"/>
          <w:sz w:val="27"/>
          <w:rtl/>
        </w:rPr>
        <w:t>َ</w:t>
      </w:r>
      <w:r w:rsidRPr="00904FCB">
        <w:rPr>
          <w:rFonts w:hint="cs"/>
          <w:sz w:val="27"/>
          <w:rtl/>
        </w:rPr>
        <w:t>و</w:t>
      </w:r>
      <w:r w:rsidR="00A56B31" w:rsidRPr="00904FCB">
        <w:rPr>
          <w:rFonts w:hint="cs"/>
          <w:sz w:val="27"/>
          <w:rtl/>
        </w:rPr>
        <w:t>ْ</w:t>
      </w:r>
      <w:r w:rsidRPr="00904FCB">
        <w:rPr>
          <w:rFonts w:hint="cs"/>
          <w:sz w:val="27"/>
          <w:rtl/>
        </w:rPr>
        <w:t>ن ـ من خلال استنباط حكم الأجزاء ـ إلى كشف حكم الكل</w:t>
      </w:r>
      <w:r w:rsidR="00A56B31" w:rsidRPr="00904FCB">
        <w:rPr>
          <w:rFonts w:hint="cs"/>
          <w:sz w:val="27"/>
          <w:rtl/>
        </w:rPr>
        <w:t>ّ</w:t>
      </w:r>
      <w:r w:rsidRPr="00904FCB">
        <w:rPr>
          <w:rFonts w:hint="cs"/>
          <w:sz w:val="27"/>
          <w:rtl/>
        </w:rPr>
        <w:t xml:space="preserve"> أيضا</w:t>
      </w:r>
      <w:r w:rsidRPr="00904FCB">
        <w:rPr>
          <w:rFonts w:hint="cs"/>
          <w:sz w:val="27"/>
          <w:rtl/>
          <w:lang w:bidi="ar-AE"/>
        </w:rPr>
        <w:t>ً</w:t>
      </w:r>
      <w:r w:rsidRPr="00904FCB">
        <w:rPr>
          <w:rFonts w:hint="cs"/>
          <w:sz w:val="27"/>
          <w:rtl/>
        </w:rPr>
        <w:t xml:space="preserve">. </w:t>
      </w:r>
    </w:p>
    <w:p w:rsidR="00A45FD9" w:rsidRPr="00904FCB" w:rsidRDefault="00A56B31" w:rsidP="007A21AA">
      <w:pPr>
        <w:spacing w:line="400" w:lineRule="exact"/>
        <w:rPr>
          <w:sz w:val="27"/>
          <w:rtl/>
        </w:rPr>
      </w:pPr>
      <w:r w:rsidRPr="00904FCB">
        <w:rPr>
          <w:rFonts w:hint="cs"/>
          <w:sz w:val="27"/>
          <w:rtl/>
        </w:rPr>
        <w:t>غير</w:t>
      </w:r>
      <w:r w:rsidR="00A45FD9" w:rsidRPr="00904FCB">
        <w:rPr>
          <w:rFonts w:hint="cs"/>
          <w:sz w:val="27"/>
          <w:rtl/>
        </w:rPr>
        <w:t xml:space="preserve"> أننا هنا نلمس تجاهلاً كاملاً لأمور</w:t>
      </w:r>
      <w:r w:rsidRPr="00904FCB">
        <w:rPr>
          <w:rFonts w:hint="cs"/>
          <w:sz w:val="27"/>
          <w:rtl/>
        </w:rPr>
        <w:t>ٍ</w:t>
      </w:r>
      <w:r w:rsidR="00A45FD9" w:rsidRPr="00904FCB">
        <w:rPr>
          <w:rFonts w:hint="cs"/>
          <w:sz w:val="27"/>
          <w:rtl/>
        </w:rPr>
        <w:t xml:space="preserve"> جوهري</w:t>
      </w:r>
      <w:r w:rsidRPr="00904FCB">
        <w:rPr>
          <w:rFonts w:hint="cs"/>
          <w:sz w:val="27"/>
          <w:rtl/>
        </w:rPr>
        <w:t>ّ</w:t>
      </w:r>
      <w:r w:rsidR="00A45FD9" w:rsidRPr="00904FCB">
        <w:rPr>
          <w:rFonts w:hint="cs"/>
          <w:sz w:val="27"/>
          <w:rtl/>
        </w:rPr>
        <w:t>ة وهام</w:t>
      </w:r>
      <w:r w:rsidRPr="00904FCB">
        <w:rPr>
          <w:rFonts w:hint="cs"/>
          <w:sz w:val="27"/>
          <w:rtl/>
        </w:rPr>
        <w:t>ّ</w:t>
      </w:r>
      <w:r w:rsidR="00A45FD9" w:rsidRPr="00904FCB">
        <w:rPr>
          <w:rFonts w:hint="cs"/>
          <w:sz w:val="27"/>
          <w:rtl/>
        </w:rPr>
        <w:t>ة</w:t>
      </w:r>
      <w:r w:rsidRPr="00904FCB">
        <w:rPr>
          <w:rFonts w:hint="cs"/>
          <w:sz w:val="27"/>
          <w:rtl/>
        </w:rPr>
        <w:t>،</w:t>
      </w:r>
      <w:r w:rsidR="00A45FD9" w:rsidRPr="00904FCB">
        <w:rPr>
          <w:rFonts w:hint="cs"/>
          <w:sz w:val="27"/>
          <w:rtl/>
        </w:rPr>
        <w:t xml:space="preserve"> من قبيل: </w:t>
      </w:r>
    </w:p>
    <w:p w:rsidR="00A45FD9" w:rsidRPr="00CB554E" w:rsidRDefault="00A45FD9" w:rsidP="007A21AA">
      <w:pPr>
        <w:spacing w:line="400" w:lineRule="exact"/>
        <w:rPr>
          <w:sz w:val="27"/>
          <w:rtl/>
        </w:rPr>
      </w:pPr>
      <w:r w:rsidRPr="00CB554E">
        <w:rPr>
          <w:rFonts w:hint="cs"/>
          <w:sz w:val="27"/>
          <w:rtl/>
        </w:rPr>
        <w:t>1ـ إن هذا الكل</w:t>
      </w:r>
      <w:r w:rsidR="00A56B31" w:rsidRPr="00CB554E">
        <w:rPr>
          <w:rFonts w:hint="cs"/>
          <w:sz w:val="27"/>
          <w:rtl/>
        </w:rPr>
        <w:t>ّ</w:t>
      </w:r>
      <w:r w:rsidRPr="00CB554E">
        <w:rPr>
          <w:rFonts w:hint="cs"/>
          <w:sz w:val="27"/>
          <w:rtl/>
        </w:rPr>
        <w:t xml:space="preserve"> قد لا يكون قابلاً للتجزئة. </w:t>
      </w:r>
    </w:p>
    <w:p w:rsidR="00A45FD9" w:rsidRPr="00CB554E" w:rsidRDefault="00A45FD9" w:rsidP="007A21AA">
      <w:pPr>
        <w:spacing w:line="400" w:lineRule="exact"/>
        <w:rPr>
          <w:sz w:val="27"/>
          <w:rtl/>
        </w:rPr>
      </w:pPr>
      <w:r w:rsidRPr="00CB554E">
        <w:rPr>
          <w:rFonts w:hint="cs"/>
          <w:sz w:val="27"/>
          <w:rtl/>
        </w:rPr>
        <w:t xml:space="preserve">2ـ قد لا يمكن فصل ثمار الحداثة عن جذورها. </w:t>
      </w:r>
    </w:p>
    <w:p w:rsidR="00A45FD9" w:rsidRPr="00904FCB" w:rsidRDefault="00A45FD9" w:rsidP="007A21AA">
      <w:pPr>
        <w:spacing w:line="400" w:lineRule="exact"/>
        <w:rPr>
          <w:sz w:val="27"/>
          <w:rtl/>
        </w:rPr>
      </w:pPr>
      <w:r w:rsidRPr="00CB554E">
        <w:rPr>
          <w:rFonts w:hint="cs"/>
          <w:sz w:val="27"/>
          <w:rtl/>
        </w:rPr>
        <w:t>3ـ لا يمكن فصل المؤس</w:t>
      </w:r>
      <w:r w:rsidR="00A56B31" w:rsidRPr="00CB554E">
        <w:rPr>
          <w:rFonts w:hint="cs"/>
          <w:sz w:val="27"/>
          <w:rtl/>
        </w:rPr>
        <w:t>َّ</w:t>
      </w:r>
      <w:r w:rsidRPr="00CB554E">
        <w:rPr>
          <w:rFonts w:hint="cs"/>
          <w:sz w:val="27"/>
          <w:rtl/>
        </w:rPr>
        <w:t>سات الحديثة عن الأخلاق والعقلانية التي قامت تلك</w:t>
      </w:r>
      <w:r w:rsidRPr="00904FCB">
        <w:rPr>
          <w:rFonts w:hint="cs"/>
          <w:sz w:val="27"/>
          <w:rtl/>
        </w:rPr>
        <w:t xml:space="preserve"> المؤس</w:t>
      </w:r>
      <w:r w:rsidR="00A56B31" w:rsidRPr="00904FCB">
        <w:rPr>
          <w:rFonts w:hint="cs"/>
          <w:sz w:val="27"/>
          <w:rtl/>
        </w:rPr>
        <w:t>َّ</w:t>
      </w:r>
      <w:r w:rsidRPr="00904FCB">
        <w:rPr>
          <w:rFonts w:hint="cs"/>
          <w:sz w:val="27"/>
          <w:rtl/>
        </w:rPr>
        <w:t>سات على أساسها، والتي تكون جدوائيتها رهن</w:t>
      </w:r>
      <w:r w:rsidR="00A56B31" w:rsidRPr="00904FCB">
        <w:rPr>
          <w:rFonts w:hint="cs"/>
          <w:sz w:val="27"/>
          <w:rtl/>
        </w:rPr>
        <w:t>اً</w:t>
      </w:r>
      <w:r w:rsidRPr="00904FCB">
        <w:rPr>
          <w:rFonts w:hint="cs"/>
          <w:sz w:val="27"/>
          <w:rtl/>
        </w:rPr>
        <w:t xml:space="preserve"> بإدارتها على أساس تلك الأخلاق والعقلانية. </w:t>
      </w:r>
    </w:p>
    <w:p w:rsidR="00A45FD9" w:rsidRPr="00904FCB" w:rsidRDefault="00A45FD9" w:rsidP="007A21AA">
      <w:pPr>
        <w:spacing w:line="400" w:lineRule="exact"/>
        <w:rPr>
          <w:sz w:val="27"/>
          <w:rtl/>
        </w:rPr>
      </w:pPr>
      <w:r w:rsidRPr="00904FCB">
        <w:rPr>
          <w:rFonts w:hint="cs"/>
          <w:sz w:val="27"/>
          <w:rtl/>
        </w:rPr>
        <w:t>وباختصار</w:t>
      </w:r>
      <w:r w:rsidR="00A56B31" w:rsidRPr="00904FCB">
        <w:rPr>
          <w:rFonts w:hint="cs"/>
          <w:sz w:val="27"/>
          <w:rtl/>
        </w:rPr>
        <w:t>ٍ</w:t>
      </w:r>
      <w:r w:rsidRPr="00904FCB">
        <w:rPr>
          <w:rFonts w:hint="cs"/>
          <w:sz w:val="27"/>
          <w:rtl/>
        </w:rPr>
        <w:t xml:space="preserve">: </w:t>
      </w:r>
    </w:p>
    <w:p w:rsidR="00A45FD9" w:rsidRPr="00904FCB" w:rsidRDefault="00A45FD9" w:rsidP="007A21AA">
      <w:pPr>
        <w:spacing w:line="400" w:lineRule="exact"/>
        <w:rPr>
          <w:sz w:val="27"/>
          <w:rtl/>
        </w:rPr>
      </w:pPr>
      <w:r w:rsidRPr="00CB554E">
        <w:rPr>
          <w:rFonts w:hint="cs"/>
          <w:sz w:val="27"/>
          <w:rtl/>
        </w:rPr>
        <w:t>1ـ في العالم الحديث لا يمكن للفقه التقليدي أن يكون بديلاً عن الأخلاق</w:t>
      </w:r>
      <w:r w:rsidRPr="00904FCB">
        <w:rPr>
          <w:rFonts w:hint="cs"/>
          <w:sz w:val="27"/>
          <w:rtl/>
        </w:rPr>
        <w:t xml:space="preserve"> الاجتماعية. </w:t>
      </w:r>
    </w:p>
    <w:p w:rsidR="00A45FD9" w:rsidRPr="00CB554E" w:rsidRDefault="00A45FD9" w:rsidP="007A21AA">
      <w:pPr>
        <w:spacing w:line="400" w:lineRule="exact"/>
        <w:rPr>
          <w:sz w:val="27"/>
        </w:rPr>
      </w:pPr>
      <w:r w:rsidRPr="00CB554E">
        <w:rPr>
          <w:rFonts w:hint="cs"/>
          <w:sz w:val="27"/>
          <w:rtl/>
        </w:rPr>
        <w:t xml:space="preserve">2ـ لا يمكن اختزال </w:t>
      </w:r>
      <w:r w:rsidRPr="00CB554E">
        <w:rPr>
          <w:rFonts w:hint="eastAsia"/>
          <w:sz w:val="27"/>
          <w:rtl/>
        </w:rPr>
        <w:t>«</w:t>
      </w:r>
      <w:r w:rsidRPr="00CB554E">
        <w:rPr>
          <w:rFonts w:hint="cs"/>
          <w:sz w:val="27"/>
          <w:rtl/>
        </w:rPr>
        <w:t>المجتمع المدني</w:t>
      </w:r>
      <w:r w:rsidRPr="00CB554E">
        <w:rPr>
          <w:rFonts w:hint="eastAsia"/>
          <w:sz w:val="27"/>
          <w:rtl/>
        </w:rPr>
        <w:t>»</w:t>
      </w:r>
      <w:r w:rsidRPr="00CB554E">
        <w:rPr>
          <w:sz w:val="27"/>
          <w:vertAlign w:val="superscript"/>
          <w:rtl/>
        </w:rPr>
        <w:t>(</w:t>
      </w:r>
      <w:r w:rsidRPr="00CB554E">
        <w:rPr>
          <w:sz w:val="27"/>
          <w:vertAlign w:val="superscript"/>
          <w:rtl/>
        </w:rPr>
        <w:endnoteReference w:id="13"/>
      </w:r>
      <w:r w:rsidRPr="00CB554E">
        <w:rPr>
          <w:sz w:val="27"/>
          <w:vertAlign w:val="superscript"/>
          <w:rtl/>
        </w:rPr>
        <w:t>)</w:t>
      </w:r>
      <w:r w:rsidRPr="00CB554E">
        <w:rPr>
          <w:rFonts w:hint="cs"/>
          <w:sz w:val="27"/>
          <w:rtl/>
        </w:rPr>
        <w:t xml:space="preserve"> بـ </w:t>
      </w:r>
      <w:r w:rsidRPr="00CB554E">
        <w:rPr>
          <w:rFonts w:hint="eastAsia"/>
          <w:sz w:val="27"/>
          <w:rtl/>
        </w:rPr>
        <w:t>«</w:t>
      </w:r>
      <w:r w:rsidRPr="00CB554E">
        <w:rPr>
          <w:rFonts w:hint="cs"/>
          <w:sz w:val="27"/>
          <w:rtl/>
        </w:rPr>
        <w:t>مدينة النبي</w:t>
      </w:r>
      <w:r w:rsidR="00A56B31" w:rsidRPr="00CB554E">
        <w:rPr>
          <w:rFonts w:hint="cs"/>
          <w:sz w:val="27"/>
          <w:rtl/>
        </w:rPr>
        <w:t>ّ</w:t>
      </w:r>
      <w:r w:rsidRPr="00CB554E">
        <w:rPr>
          <w:rFonts w:hint="eastAsia"/>
          <w:sz w:val="27"/>
          <w:rtl/>
        </w:rPr>
        <w:t>»</w:t>
      </w:r>
      <w:r w:rsidRPr="00CB554E">
        <w:rPr>
          <w:rFonts w:hint="cs"/>
          <w:sz w:val="27"/>
          <w:rtl/>
        </w:rPr>
        <w:t xml:space="preserve">. </w:t>
      </w:r>
    </w:p>
    <w:p w:rsidR="00A45FD9" w:rsidRPr="00904FCB" w:rsidRDefault="00A45FD9" w:rsidP="007A21AA">
      <w:pPr>
        <w:spacing w:line="400" w:lineRule="exact"/>
        <w:rPr>
          <w:sz w:val="27"/>
          <w:rtl/>
          <w:lang w:bidi="ar-LB"/>
        </w:rPr>
      </w:pPr>
      <w:r w:rsidRPr="00904FCB">
        <w:rPr>
          <w:rFonts w:hint="cs"/>
          <w:sz w:val="27"/>
          <w:rtl/>
        </w:rPr>
        <w:t>هذه فرضي</w:t>
      </w:r>
      <w:r w:rsidR="00A56B31" w:rsidRPr="00904FCB">
        <w:rPr>
          <w:rFonts w:hint="cs"/>
          <w:sz w:val="27"/>
          <w:rtl/>
        </w:rPr>
        <w:t>ّ</w:t>
      </w:r>
      <w:r w:rsidRPr="00904FCB">
        <w:rPr>
          <w:rFonts w:hint="cs"/>
          <w:sz w:val="27"/>
          <w:rtl/>
        </w:rPr>
        <w:t>ات</w:t>
      </w:r>
      <w:r w:rsidR="00A56B31" w:rsidRPr="00904FCB">
        <w:rPr>
          <w:rFonts w:hint="cs"/>
          <w:sz w:val="27"/>
          <w:rtl/>
        </w:rPr>
        <w:t>ٌ</w:t>
      </w:r>
      <w:r w:rsidRPr="00904FCB">
        <w:rPr>
          <w:rFonts w:hint="cs"/>
          <w:sz w:val="27"/>
          <w:rtl/>
        </w:rPr>
        <w:t xml:space="preserve"> جوهرية، ومع ذلك يتم</w:t>
      </w:r>
      <w:r w:rsidR="00A56B31" w:rsidRPr="00904FCB">
        <w:rPr>
          <w:rFonts w:hint="cs"/>
          <w:sz w:val="27"/>
          <w:rtl/>
        </w:rPr>
        <w:t>ّ</w:t>
      </w:r>
      <w:r w:rsidRPr="00904FCB">
        <w:rPr>
          <w:rFonts w:hint="cs"/>
          <w:sz w:val="27"/>
          <w:rtl/>
        </w:rPr>
        <w:t xml:space="preserve"> تجاهلها بالكامل</w:t>
      </w:r>
      <w:r w:rsidR="003C3FAA" w:rsidRPr="00904FCB">
        <w:rPr>
          <w:rFonts w:hint="cs"/>
          <w:sz w:val="27"/>
          <w:rtl/>
        </w:rPr>
        <w:t>.</w:t>
      </w:r>
    </w:p>
    <w:p w:rsidR="00A45FD9" w:rsidRPr="00904FCB" w:rsidRDefault="00A45FD9" w:rsidP="007A21AA">
      <w:pPr>
        <w:spacing w:line="400" w:lineRule="exact"/>
        <w:rPr>
          <w:sz w:val="27"/>
          <w:rtl/>
        </w:rPr>
      </w:pPr>
      <w:r w:rsidRPr="00904FCB">
        <w:rPr>
          <w:rFonts w:hint="cs"/>
          <w:sz w:val="27"/>
          <w:rtl/>
        </w:rPr>
        <w:t>إن هذا النوع من التعاطي مع الموضوعات الجديدة يعكس تجاهل أبعاد الجهات المعيارية (الأخلاقية والحقوقية) لهذه الموضوعات، كما يعب</w:t>
      </w:r>
      <w:r w:rsidR="00A56B31" w:rsidRPr="00904FCB">
        <w:rPr>
          <w:rFonts w:hint="cs"/>
          <w:sz w:val="27"/>
          <w:rtl/>
        </w:rPr>
        <w:t>ّ</w:t>
      </w:r>
      <w:r w:rsidR="003C3FAA" w:rsidRPr="00904FCB">
        <w:rPr>
          <w:rFonts w:hint="cs"/>
          <w:sz w:val="27"/>
          <w:rtl/>
        </w:rPr>
        <w:t>ِ</w:t>
      </w:r>
      <w:r w:rsidRPr="00904FCB">
        <w:rPr>
          <w:rFonts w:hint="cs"/>
          <w:sz w:val="27"/>
          <w:rtl/>
        </w:rPr>
        <w:t>ر أيضاً عن الاعتقاد بتقد</w:t>
      </w:r>
      <w:r w:rsidR="00A56B31" w:rsidRPr="00904FCB">
        <w:rPr>
          <w:rFonts w:hint="cs"/>
          <w:sz w:val="27"/>
          <w:rtl/>
        </w:rPr>
        <w:t>ُّ</w:t>
      </w:r>
      <w:r w:rsidRPr="00904FCB">
        <w:rPr>
          <w:rFonts w:hint="cs"/>
          <w:sz w:val="27"/>
          <w:rtl/>
        </w:rPr>
        <w:t>م الفقه على الأخلاق الاجتماعية، وإحلال الفقه محل</w:t>
      </w:r>
      <w:r w:rsidR="00A56B31" w:rsidRPr="00904FCB">
        <w:rPr>
          <w:rFonts w:hint="cs"/>
          <w:sz w:val="27"/>
          <w:rtl/>
        </w:rPr>
        <w:t>َّ</w:t>
      </w:r>
      <w:r w:rsidRPr="00904FCB">
        <w:rPr>
          <w:rFonts w:hint="cs"/>
          <w:sz w:val="27"/>
          <w:rtl/>
        </w:rPr>
        <w:t xml:space="preserve"> الأخلاق الاجتماعية. يذهب أغلب </w:t>
      </w:r>
      <w:r w:rsidRPr="00904FCB">
        <w:rPr>
          <w:rFonts w:hint="cs"/>
          <w:sz w:val="27"/>
          <w:rtl/>
        </w:rPr>
        <w:lastRenderedPageBreak/>
        <w:t xml:space="preserve">الفقهاء إلى اعتبار </w:t>
      </w:r>
      <w:r w:rsidRPr="00904FCB">
        <w:rPr>
          <w:rFonts w:hint="eastAsia"/>
          <w:sz w:val="27"/>
          <w:rtl/>
        </w:rPr>
        <w:t>«</w:t>
      </w:r>
      <w:r w:rsidRPr="00904FCB">
        <w:rPr>
          <w:rFonts w:hint="cs"/>
          <w:sz w:val="27"/>
          <w:rtl/>
        </w:rPr>
        <w:t>العالم الجديد نسخة</w:t>
      </w:r>
      <w:r w:rsidR="00A56B31" w:rsidRPr="00904FCB">
        <w:rPr>
          <w:rFonts w:hint="cs"/>
          <w:sz w:val="27"/>
          <w:rtl/>
        </w:rPr>
        <w:t>ً</w:t>
      </w:r>
      <w:r w:rsidRPr="00904FCB">
        <w:rPr>
          <w:rFonts w:hint="cs"/>
          <w:sz w:val="27"/>
          <w:rtl/>
        </w:rPr>
        <w:t xml:space="preserve"> مكبّ</w:t>
      </w:r>
      <w:r w:rsidR="009C6E00" w:rsidRPr="00904FCB">
        <w:rPr>
          <w:rFonts w:hint="cs"/>
          <w:sz w:val="27"/>
          <w:rtl/>
        </w:rPr>
        <w:t>َ</w:t>
      </w:r>
      <w:r w:rsidRPr="00904FCB">
        <w:rPr>
          <w:rFonts w:hint="cs"/>
          <w:sz w:val="27"/>
          <w:rtl/>
        </w:rPr>
        <w:t>رة عن العالم القديم</w:t>
      </w:r>
      <w:r w:rsidRPr="00904FCB">
        <w:rPr>
          <w:rFonts w:hint="eastAsia"/>
          <w:sz w:val="27"/>
          <w:rtl/>
        </w:rPr>
        <w:t>»</w:t>
      </w:r>
      <w:r w:rsidRPr="00904FCB">
        <w:rPr>
          <w:sz w:val="27"/>
          <w:vertAlign w:val="superscript"/>
          <w:rtl/>
        </w:rPr>
        <w:t>(</w:t>
      </w:r>
      <w:r w:rsidRPr="00904FCB">
        <w:rPr>
          <w:sz w:val="27"/>
          <w:vertAlign w:val="superscript"/>
          <w:rtl/>
        </w:rPr>
        <w:endnoteReference w:id="14"/>
      </w:r>
      <w:r w:rsidRPr="00904FCB">
        <w:rPr>
          <w:sz w:val="27"/>
          <w:vertAlign w:val="superscript"/>
          <w:rtl/>
        </w:rPr>
        <w:t>)</w:t>
      </w:r>
      <w:r w:rsidRPr="00904FCB">
        <w:rPr>
          <w:rFonts w:hint="cs"/>
          <w:sz w:val="27"/>
          <w:rtl/>
        </w:rPr>
        <w:t>. ومن هنا فإنهم يذهبون إلى القول بأن أسلوب استنباط حكم الموضوعات الجديدة عبارة</w:t>
      </w:r>
      <w:r w:rsidR="009C6E00" w:rsidRPr="00904FCB">
        <w:rPr>
          <w:rFonts w:hint="cs"/>
          <w:sz w:val="27"/>
          <w:rtl/>
        </w:rPr>
        <w:t>ٌ</w:t>
      </w:r>
      <w:r w:rsidRPr="00904FCB">
        <w:rPr>
          <w:rFonts w:hint="cs"/>
          <w:sz w:val="27"/>
          <w:rtl/>
        </w:rPr>
        <w:t xml:space="preserve"> عن تحويل وتنزيل هذه الموضوعات وإسقاطها على الموضوعات التي كانت قائمة</w:t>
      </w:r>
      <w:r w:rsidR="009C6E00" w:rsidRPr="00904FCB">
        <w:rPr>
          <w:rFonts w:hint="cs"/>
          <w:sz w:val="27"/>
          <w:rtl/>
        </w:rPr>
        <w:t>ً</w:t>
      </w:r>
      <w:r w:rsidRPr="00904FCB">
        <w:rPr>
          <w:rFonts w:hint="cs"/>
          <w:sz w:val="27"/>
          <w:rtl/>
        </w:rPr>
        <w:t xml:space="preserve"> في العالم القديم. وهكذا فإن هؤلاء يتجاهلون حقيقة أن العالم الجديد يمتاز بأخلاق</w:t>
      </w:r>
      <w:r w:rsidR="009C6E00" w:rsidRPr="00904FCB">
        <w:rPr>
          <w:rFonts w:hint="cs"/>
          <w:sz w:val="27"/>
          <w:rtl/>
        </w:rPr>
        <w:t>ٍ</w:t>
      </w:r>
      <w:r w:rsidRPr="00904FCB">
        <w:rPr>
          <w:rFonts w:hint="cs"/>
          <w:sz w:val="27"/>
          <w:rtl/>
        </w:rPr>
        <w:t xml:space="preserve"> وعقلانية (منظومة من القيم والمعايير) خاص</w:t>
      </w:r>
      <w:r w:rsidR="009C6E00" w:rsidRPr="00904FCB">
        <w:rPr>
          <w:rFonts w:hint="cs"/>
          <w:sz w:val="27"/>
          <w:rtl/>
        </w:rPr>
        <w:t>ّ</w:t>
      </w:r>
      <w:r w:rsidRPr="00904FCB">
        <w:rPr>
          <w:rFonts w:hint="cs"/>
          <w:sz w:val="27"/>
          <w:rtl/>
        </w:rPr>
        <w:t>ة ومختلفة، وبذلك فإن الاجتهاد والبحث الفقهي بشأن الموضوعات والمسائل الدائرة في هذا العالم إذا لم يقترن بالمعرفة العميقة والتخص</w:t>
      </w:r>
      <w:r w:rsidR="009C6E00" w:rsidRPr="00904FCB">
        <w:rPr>
          <w:rFonts w:hint="cs"/>
          <w:sz w:val="27"/>
          <w:rtl/>
        </w:rPr>
        <w:t>ُّ</w:t>
      </w:r>
      <w:r w:rsidRPr="00904FCB">
        <w:rPr>
          <w:rFonts w:hint="cs"/>
          <w:sz w:val="27"/>
          <w:rtl/>
        </w:rPr>
        <w:t xml:space="preserve">صية بهذه الأخلاق والعقلانية سيفقد اعتباره بالكامل. </w:t>
      </w:r>
    </w:p>
    <w:p w:rsidR="00A45FD9" w:rsidRPr="00904FCB" w:rsidRDefault="009C6E00" w:rsidP="007A21AA">
      <w:pPr>
        <w:spacing w:line="400" w:lineRule="exact"/>
        <w:rPr>
          <w:sz w:val="27"/>
          <w:rtl/>
        </w:rPr>
      </w:pPr>
      <w:r w:rsidRPr="00904FCB">
        <w:rPr>
          <w:rFonts w:hint="cs"/>
          <w:sz w:val="27"/>
          <w:rtl/>
        </w:rPr>
        <w:t>و</w:t>
      </w:r>
      <w:r w:rsidR="00A45FD9" w:rsidRPr="00904FCB">
        <w:rPr>
          <w:rFonts w:hint="cs"/>
          <w:sz w:val="27"/>
          <w:rtl/>
        </w:rPr>
        <w:t>بعبارة</w:t>
      </w:r>
      <w:r w:rsidRPr="00904FCB">
        <w:rPr>
          <w:rFonts w:hint="cs"/>
          <w:sz w:val="27"/>
          <w:rtl/>
        </w:rPr>
        <w:t>ٍ</w:t>
      </w:r>
      <w:r w:rsidR="00A45FD9" w:rsidRPr="00904FCB">
        <w:rPr>
          <w:rFonts w:hint="cs"/>
          <w:sz w:val="27"/>
          <w:rtl/>
        </w:rPr>
        <w:t xml:space="preserve"> أخرى: إن المنهج السائد في الاجتهاد يقوم على القول بأن مشروعية محاصيل الحداثة يتم</w:t>
      </w:r>
      <w:r w:rsidR="0034336B" w:rsidRPr="00904FCB">
        <w:rPr>
          <w:rFonts w:hint="cs"/>
          <w:sz w:val="27"/>
          <w:rtl/>
        </w:rPr>
        <w:t>ّ</w:t>
      </w:r>
      <w:r w:rsidR="00A45FD9" w:rsidRPr="00904FCB">
        <w:rPr>
          <w:rFonts w:hint="cs"/>
          <w:sz w:val="27"/>
          <w:rtl/>
        </w:rPr>
        <w:t xml:space="preserve"> من خلال تذكيتها </w:t>
      </w:r>
      <w:r w:rsidR="00A45FD9" w:rsidRPr="00904FCB">
        <w:rPr>
          <w:rFonts w:hint="eastAsia"/>
          <w:sz w:val="27"/>
          <w:rtl/>
        </w:rPr>
        <w:t>«</w:t>
      </w:r>
      <w:r w:rsidR="00A45FD9" w:rsidRPr="00904FCB">
        <w:rPr>
          <w:rFonts w:hint="cs"/>
          <w:sz w:val="27"/>
          <w:rtl/>
        </w:rPr>
        <w:t>وذبحها على الطريقة الإسلامية</w:t>
      </w:r>
      <w:r w:rsidR="00A45FD9" w:rsidRPr="00904FCB">
        <w:rPr>
          <w:rFonts w:hint="eastAsia"/>
          <w:sz w:val="27"/>
          <w:rtl/>
        </w:rPr>
        <w:t>»</w:t>
      </w:r>
      <w:r w:rsidR="00A45FD9" w:rsidRPr="00904FCB">
        <w:rPr>
          <w:rFonts w:hint="cs"/>
          <w:sz w:val="27"/>
          <w:rtl/>
        </w:rPr>
        <w:t>، والعمل على فصل الثمار عن الجذور. وإن المفاهيم والمقولات الجوهرية في العالم المعاصر</w:t>
      </w:r>
      <w:r w:rsidR="0034336B" w:rsidRPr="00904FCB">
        <w:rPr>
          <w:rFonts w:hint="cs"/>
          <w:sz w:val="27"/>
          <w:rtl/>
        </w:rPr>
        <w:t>؛</w:t>
      </w:r>
      <w:r w:rsidR="00A45FD9" w:rsidRPr="00904FCB">
        <w:rPr>
          <w:rFonts w:hint="cs"/>
          <w:sz w:val="27"/>
          <w:rtl/>
        </w:rPr>
        <w:t xml:space="preserve"> لكي تجد طريقها إلى ساحة الفكر والنشاط الإسلامي، لا ب</w:t>
      </w:r>
      <w:r w:rsidR="0034336B" w:rsidRPr="00904FCB">
        <w:rPr>
          <w:rFonts w:hint="cs"/>
          <w:sz w:val="27"/>
          <w:rtl/>
        </w:rPr>
        <w:t>ُ</w:t>
      </w:r>
      <w:r w:rsidR="00A45FD9" w:rsidRPr="00904FCB">
        <w:rPr>
          <w:rFonts w:hint="cs"/>
          <w:sz w:val="27"/>
          <w:rtl/>
        </w:rPr>
        <w:t>د</w:t>
      </w:r>
      <w:r w:rsidR="0034336B" w:rsidRPr="00904FCB">
        <w:rPr>
          <w:rFonts w:hint="cs"/>
          <w:sz w:val="27"/>
          <w:rtl/>
        </w:rPr>
        <w:t>َّ</w:t>
      </w:r>
      <w:r w:rsidR="00A45FD9" w:rsidRPr="00904FCB">
        <w:rPr>
          <w:rFonts w:hint="cs"/>
          <w:sz w:val="27"/>
          <w:rtl/>
        </w:rPr>
        <w:t xml:space="preserve"> من خفضها إلى المفاهيم المعروفة والسائدة في الثقافة الإسلامية، وبعبارة</w:t>
      </w:r>
      <w:r w:rsidR="0034336B" w:rsidRPr="00904FCB">
        <w:rPr>
          <w:rFonts w:hint="cs"/>
          <w:sz w:val="27"/>
          <w:rtl/>
        </w:rPr>
        <w:t>ٍ</w:t>
      </w:r>
      <w:r w:rsidR="00A45FD9" w:rsidRPr="00904FCB">
        <w:rPr>
          <w:rFonts w:hint="cs"/>
          <w:sz w:val="27"/>
          <w:rtl/>
        </w:rPr>
        <w:t xml:space="preserve"> أخرى: </w:t>
      </w:r>
      <w:r w:rsidR="00A45FD9" w:rsidRPr="00904FCB">
        <w:rPr>
          <w:rFonts w:hint="eastAsia"/>
          <w:sz w:val="27"/>
          <w:rtl/>
        </w:rPr>
        <w:t>«</w:t>
      </w:r>
      <w:r w:rsidR="00A45FD9" w:rsidRPr="00904FCB">
        <w:rPr>
          <w:rFonts w:hint="cs"/>
          <w:sz w:val="27"/>
          <w:rtl/>
        </w:rPr>
        <w:t>لا ب</w:t>
      </w:r>
      <w:r w:rsidR="0034336B" w:rsidRPr="00904FCB">
        <w:rPr>
          <w:rFonts w:hint="cs"/>
          <w:sz w:val="27"/>
          <w:rtl/>
        </w:rPr>
        <w:t>ُ</w:t>
      </w:r>
      <w:r w:rsidR="00A45FD9" w:rsidRPr="00904FCB">
        <w:rPr>
          <w:rFonts w:hint="cs"/>
          <w:sz w:val="27"/>
          <w:rtl/>
        </w:rPr>
        <w:t>د</w:t>
      </w:r>
      <w:r w:rsidR="0034336B" w:rsidRPr="00904FCB">
        <w:rPr>
          <w:rFonts w:hint="cs"/>
          <w:sz w:val="27"/>
          <w:rtl/>
        </w:rPr>
        <w:t>َّ</w:t>
      </w:r>
      <w:r w:rsidR="00A45FD9" w:rsidRPr="00904FCB">
        <w:rPr>
          <w:rFonts w:hint="cs"/>
          <w:sz w:val="27"/>
          <w:rtl/>
        </w:rPr>
        <w:t xml:space="preserve"> من تحريفها</w:t>
      </w:r>
      <w:r w:rsidR="00A45FD9" w:rsidRPr="00904FCB">
        <w:rPr>
          <w:rFonts w:hint="eastAsia"/>
          <w:sz w:val="27"/>
          <w:rtl/>
        </w:rPr>
        <w:t>»</w:t>
      </w:r>
      <w:r w:rsidR="00A45FD9" w:rsidRPr="00904FCB">
        <w:rPr>
          <w:rFonts w:hint="cs"/>
          <w:sz w:val="27"/>
          <w:rtl/>
        </w:rPr>
        <w:t>. فعلى سبيل المثال: يجب أن تتنزل الديمقراطية ما فوق الدينية إلى الديمقراطية الدينية، ورأي الناس من خلال البيعة</w:t>
      </w:r>
      <w:r w:rsidR="0034336B" w:rsidRPr="00904FCB">
        <w:rPr>
          <w:rFonts w:hint="cs"/>
          <w:sz w:val="27"/>
          <w:rtl/>
        </w:rPr>
        <w:t>،</w:t>
      </w:r>
      <w:r w:rsidR="00A45FD9" w:rsidRPr="00904FCB">
        <w:rPr>
          <w:rFonts w:hint="cs"/>
          <w:sz w:val="27"/>
          <w:rtl/>
        </w:rPr>
        <w:t xml:space="preserve"> والتحز</w:t>
      </w:r>
      <w:r w:rsidR="0034336B" w:rsidRPr="00904FCB">
        <w:rPr>
          <w:rFonts w:hint="cs"/>
          <w:sz w:val="27"/>
          <w:rtl/>
        </w:rPr>
        <w:t>ُّ</w:t>
      </w:r>
      <w:r w:rsidR="00A45FD9" w:rsidRPr="00904FCB">
        <w:rPr>
          <w:rFonts w:hint="cs"/>
          <w:sz w:val="27"/>
          <w:rtl/>
        </w:rPr>
        <w:t>ب للأمر بالمعروف والنهي عن المنكر، وأن يتحو</w:t>
      </w:r>
      <w:r w:rsidR="0034336B" w:rsidRPr="00904FCB">
        <w:rPr>
          <w:rFonts w:hint="cs"/>
          <w:sz w:val="27"/>
          <w:rtl/>
        </w:rPr>
        <w:t>ّ</w:t>
      </w:r>
      <w:r w:rsidR="00A45FD9" w:rsidRPr="00904FCB">
        <w:rPr>
          <w:rFonts w:hint="cs"/>
          <w:sz w:val="27"/>
          <w:rtl/>
        </w:rPr>
        <w:t>ل المجتمع المدني إلى مدينة النبي</w:t>
      </w:r>
      <w:r w:rsidR="0034336B" w:rsidRPr="00904FCB">
        <w:rPr>
          <w:rFonts w:hint="cs"/>
          <w:sz w:val="27"/>
          <w:rtl/>
        </w:rPr>
        <w:t>ّ</w:t>
      </w:r>
      <w:r w:rsidR="00A45FD9" w:rsidRPr="00904FCB">
        <w:rPr>
          <w:rFonts w:hint="cs"/>
          <w:sz w:val="27"/>
          <w:rtl/>
        </w:rPr>
        <w:t>، وأن تستبدل حكومة المشروطة (التي تتوق</w:t>
      </w:r>
      <w:r w:rsidR="0034336B" w:rsidRPr="00904FCB">
        <w:rPr>
          <w:rFonts w:hint="cs"/>
          <w:sz w:val="27"/>
          <w:rtl/>
        </w:rPr>
        <w:t>َّ</w:t>
      </w:r>
      <w:r w:rsidR="00A45FD9" w:rsidRPr="00904FCB">
        <w:rPr>
          <w:rFonts w:hint="cs"/>
          <w:sz w:val="27"/>
          <w:rtl/>
        </w:rPr>
        <w:t>ف مشروعي</w:t>
      </w:r>
      <w:r w:rsidR="0034336B" w:rsidRPr="00904FCB">
        <w:rPr>
          <w:rFonts w:hint="cs"/>
          <w:sz w:val="27"/>
          <w:rtl/>
        </w:rPr>
        <w:t>ّ</w:t>
      </w:r>
      <w:r w:rsidR="00A45FD9" w:rsidRPr="00904FCB">
        <w:rPr>
          <w:rFonts w:hint="cs"/>
          <w:sz w:val="27"/>
          <w:rtl/>
        </w:rPr>
        <w:t>تها على انسجام إدارتها مع حقوق الإنسان والق</w:t>
      </w:r>
      <w:r w:rsidR="0034336B" w:rsidRPr="00904FCB">
        <w:rPr>
          <w:rFonts w:hint="cs"/>
          <w:sz w:val="27"/>
          <w:rtl/>
        </w:rPr>
        <w:t>ِ</w:t>
      </w:r>
      <w:r w:rsidR="00A45FD9" w:rsidRPr="00904FCB">
        <w:rPr>
          <w:rFonts w:hint="cs"/>
          <w:sz w:val="27"/>
          <w:rtl/>
        </w:rPr>
        <w:t>ي</w:t>
      </w:r>
      <w:r w:rsidR="0034336B" w:rsidRPr="00904FCB">
        <w:rPr>
          <w:rFonts w:hint="cs"/>
          <w:sz w:val="27"/>
          <w:rtl/>
        </w:rPr>
        <w:t>َ</w:t>
      </w:r>
      <w:r w:rsidR="00A45FD9" w:rsidRPr="00904FCB">
        <w:rPr>
          <w:rFonts w:hint="cs"/>
          <w:sz w:val="27"/>
          <w:rtl/>
        </w:rPr>
        <w:t>م الأخلاقية) بحكومة المشروطة المشروعة (التي تتوق</w:t>
      </w:r>
      <w:r w:rsidR="0034336B" w:rsidRPr="00904FCB">
        <w:rPr>
          <w:rFonts w:hint="cs"/>
          <w:sz w:val="27"/>
          <w:rtl/>
        </w:rPr>
        <w:t>ّ</w:t>
      </w:r>
      <w:r w:rsidR="00A45FD9" w:rsidRPr="00904FCB">
        <w:rPr>
          <w:rFonts w:hint="cs"/>
          <w:sz w:val="27"/>
          <w:rtl/>
        </w:rPr>
        <w:t>ف مشروعي</w:t>
      </w:r>
      <w:r w:rsidR="0034336B" w:rsidRPr="00904FCB">
        <w:rPr>
          <w:rFonts w:hint="cs"/>
          <w:sz w:val="27"/>
          <w:rtl/>
        </w:rPr>
        <w:t>ّ</w:t>
      </w:r>
      <w:r w:rsidR="00A45FD9" w:rsidRPr="00904FCB">
        <w:rPr>
          <w:rFonts w:hint="cs"/>
          <w:sz w:val="27"/>
          <w:rtl/>
        </w:rPr>
        <w:t>تها على تناغم إدارتها مع الفتاوى الفقهية)، وبذلك يتم</w:t>
      </w:r>
      <w:r w:rsidR="0034336B" w:rsidRPr="00904FCB">
        <w:rPr>
          <w:rFonts w:hint="cs"/>
          <w:sz w:val="27"/>
          <w:rtl/>
        </w:rPr>
        <w:t>ّ</w:t>
      </w:r>
      <w:r w:rsidR="00A45FD9" w:rsidRPr="00904FCB">
        <w:rPr>
          <w:rFonts w:hint="cs"/>
          <w:sz w:val="27"/>
          <w:rtl/>
        </w:rPr>
        <w:t xml:space="preserve"> تفريغها عن مضمونها الأخلاقي والعقلاني، فلا يبقى منها سوى قشرة رقيقة. في حين أن هناك تساؤلات لا ب</w:t>
      </w:r>
      <w:r w:rsidR="0034336B" w:rsidRPr="00904FCB">
        <w:rPr>
          <w:rFonts w:hint="cs"/>
          <w:sz w:val="27"/>
          <w:rtl/>
        </w:rPr>
        <w:t>ُ</w:t>
      </w:r>
      <w:r w:rsidR="00A45FD9" w:rsidRPr="00904FCB">
        <w:rPr>
          <w:rFonts w:hint="cs"/>
          <w:sz w:val="27"/>
          <w:rtl/>
        </w:rPr>
        <w:t>د</w:t>
      </w:r>
      <w:r w:rsidR="0034336B" w:rsidRPr="00904FCB">
        <w:rPr>
          <w:rFonts w:hint="cs"/>
          <w:sz w:val="27"/>
          <w:rtl/>
        </w:rPr>
        <w:t>َّ</w:t>
      </w:r>
      <w:r w:rsidR="00A45FD9" w:rsidRPr="00904FCB">
        <w:rPr>
          <w:rFonts w:hint="cs"/>
          <w:sz w:val="27"/>
          <w:rtl/>
        </w:rPr>
        <w:t xml:space="preserve"> من الإجابة عنها قبل ذبح وتحريف هذه المقولات والتمثيل بها. </w:t>
      </w:r>
    </w:p>
    <w:p w:rsidR="00A45FD9" w:rsidRPr="00904FCB" w:rsidRDefault="00A45FD9" w:rsidP="007A21AA">
      <w:pPr>
        <w:spacing w:line="400" w:lineRule="exact"/>
        <w:rPr>
          <w:sz w:val="27"/>
          <w:rtl/>
        </w:rPr>
      </w:pPr>
      <w:r w:rsidRPr="00904FCB">
        <w:rPr>
          <w:rFonts w:hint="cs"/>
          <w:sz w:val="27"/>
          <w:rtl/>
        </w:rPr>
        <w:t>وإن</w:t>
      </w:r>
      <w:r w:rsidR="0034336B" w:rsidRPr="00904FCB">
        <w:rPr>
          <w:rFonts w:hint="cs"/>
          <w:sz w:val="27"/>
          <w:rtl/>
        </w:rPr>
        <w:t>ّ</w:t>
      </w:r>
      <w:r w:rsidRPr="00904FCB">
        <w:rPr>
          <w:rFonts w:hint="cs"/>
          <w:sz w:val="27"/>
          <w:rtl/>
        </w:rPr>
        <w:t xml:space="preserve"> بعض هذه التساؤلات عبارة</w:t>
      </w:r>
      <w:r w:rsidR="0034336B" w:rsidRPr="00904FCB">
        <w:rPr>
          <w:rFonts w:hint="cs"/>
          <w:sz w:val="27"/>
          <w:rtl/>
        </w:rPr>
        <w:t>ٌ</w:t>
      </w:r>
      <w:r w:rsidRPr="00904FCB">
        <w:rPr>
          <w:rFonts w:hint="cs"/>
          <w:sz w:val="27"/>
          <w:rtl/>
        </w:rPr>
        <w:t xml:space="preserve"> عن: </w:t>
      </w:r>
    </w:p>
    <w:p w:rsidR="00A45FD9" w:rsidRPr="00904FCB" w:rsidRDefault="00A45FD9" w:rsidP="007A21AA">
      <w:pPr>
        <w:spacing w:line="400" w:lineRule="exact"/>
        <w:rPr>
          <w:sz w:val="27"/>
          <w:rtl/>
        </w:rPr>
      </w:pPr>
      <w:r w:rsidRPr="00CB554E">
        <w:rPr>
          <w:rFonts w:hint="cs"/>
          <w:sz w:val="27"/>
          <w:rtl/>
        </w:rPr>
        <w:t>1ـ هل تعتبر هذه المقولات أساساً من المقولات الدينية والفقهية، أم أنها تتخطّى</w:t>
      </w:r>
      <w:r w:rsidRPr="00904FCB">
        <w:rPr>
          <w:rFonts w:hint="cs"/>
          <w:sz w:val="27"/>
          <w:rtl/>
        </w:rPr>
        <w:t xml:space="preserve"> الفقه والدين؟ </w:t>
      </w:r>
    </w:p>
    <w:p w:rsidR="00A45FD9" w:rsidRPr="00CB554E" w:rsidRDefault="00A45FD9" w:rsidP="007A21AA">
      <w:pPr>
        <w:spacing w:line="400" w:lineRule="exact"/>
        <w:rPr>
          <w:sz w:val="27"/>
          <w:rtl/>
        </w:rPr>
      </w:pPr>
      <w:r w:rsidRPr="00CB554E">
        <w:rPr>
          <w:rFonts w:hint="cs"/>
          <w:sz w:val="27"/>
          <w:rtl/>
        </w:rPr>
        <w:t>2ـ هل تعتبر دراسة هذه المقولات من صلاحيات الفقه</w:t>
      </w:r>
      <w:r w:rsidR="00E83BB3" w:rsidRPr="00CB554E">
        <w:rPr>
          <w:rFonts w:hint="cs"/>
          <w:sz w:val="27"/>
          <w:rtl/>
        </w:rPr>
        <w:t>؟</w:t>
      </w:r>
      <w:r w:rsidRPr="00CB554E">
        <w:rPr>
          <w:rFonts w:hint="cs"/>
          <w:sz w:val="27"/>
          <w:rtl/>
        </w:rPr>
        <w:t xml:space="preserve"> </w:t>
      </w:r>
    </w:p>
    <w:p w:rsidR="00A45FD9" w:rsidRPr="00904FCB" w:rsidRDefault="00A45FD9" w:rsidP="007A21AA">
      <w:pPr>
        <w:spacing w:line="400" w:lineRule="exact"/>
        <w:rPr>
          <w:sz w:val="27"/>
          <w:rtl/>
        </w:rPr>
      </w:pPr>
      <w:r w:rsidRPr="00CB554E">
        <w:rPr>
          <w:rFonts w:hint="cs"/>
          <w:sz w:val="27"/>
          <w:rtl/>
        </w:rPr>
        <w:t>3ـ هل القيم الأخلاقية والعقلانية الكامنة في جوهر هذه المقولات تعتبر من</w:t>
      </w:r>
      <w:r w:rsidRPr="00904FCB">
        <w:rPr>
          <w:rFonts w:hint="cs"/>
          <w:sz w:val="27"/>
          <w:rtl/>
        </w:rPr>
        <w:t xml:space="preserve"> المسل</w:t>
      </w:r>
      <w:r w:rsidR="00E83BB3" w:rsidRPr="00904FCB">
        <w:rPr>
          <w:rFonts w:hint="cs"/>
          <w:sz w:val="27"/>
          <w:rtl/>
        </w:rPr>
        <w:t>َّ</w:t>
      </w:r>
      <w:r w:rsidRPr="00904FCB">
        <w:rPr>
          <w:rFonts w:hint="cs"/>
          <w:sz w:val="27"/>
          <w:rtl/>
        </w:rPr>
        <w:t>مات والأصول المت</w:t>
      </w:r>
      <w:r w:rsidR="00E83BB3" w:rsidRPr="00904FCB">
        <w:rPr>
          <w:rFonts w:hint="cs"/>
          <w:sz w:val="27"/>
          <w:rtl/>
        </w:rPr>
        <w:t>َّ</w:t>
      </w:r>
      <w:r w:rsidRPr="00904FCB">
        <w:rPr>
          <w:rFonts w:hint="cs"/>
          <w:sz w:val="27"/>
          <w:rtl/>
        </w:rPr>
        <w:t>فق عليها في علم الفقه، أم أنها خاضعة</w:t>
      </w:r>
      <w:r w:rsidR="00E83BB3" w:rsidRPr="00904FCB">
        <w:rPr>
          <w:rFonts w:hint="cs"/>
          <w:sz w:val="27"/>
          <w:rtl/>
        </w:rPr>
        <w:t>ٌ</w:t>
      </w:r>
      <w:r w:rsidRPr="00904FCB">
        <w:rPr>
          <w:rFonts w:hint="cs"/>
          <w:sz w:val="27"/>
          <w:rtl/>
        </w:rPr>
        <w:t xml:space="preserve"> للفتاوى الفقهية؟ </w:t>
      </w:r>
    </w:p>
    <w:p w:rsidR="00A45FD9" w:rsidRPr="00CB554E" w:rsidRDefault="00A45FD9" w:rsidP="007A21AA">
      <w:pPr>
        <w:spacing w:line="400" w:lineRule="exact"/>
        <w:rPr>
          <w:sz w:val="27"/>
          <w:rtl/>
        </w:rPr>
      </w:pPr>
      <w:r w:rsidRPr="00CB554E">
        <w:rPr>
          <w:rFonts w:hint="cs"/>
          <w:sz w:val="27"/>
          <w:rtl/>
        </w:rPr>
        <w:lastRenderedPageBreak/>
        <w:t xml:space="preserve">4ـ هل يجب أصلاً إحراز المشروعية في جميع </w:t>
      </w:r>
      <w:r w:rsidR="00E83BB3" w:rsidRPr="00CB554E">
        <w:rPr>
          <w:rFonts w:hint="cs"/>
          <w:sz w:val="27"/>
          <w:rtl/>
        </w:rPr>
        <w:t>الموارد؟</w:t>
      </w:r>
    </w:p>
    <w:p w:rsidR="00A45FD9" w:rsidRPr="00904FCB" w:rsidRDefault="00A45FD9" w:rsidP="007A21AA">
      <w:pPr>
        <w:spacing w:line="400" w:lineRule="exact"/>
        <w:rPr>
          <w:sz w:val="27"/>
          <w:rtl/>
        </w:rPr>
      </w:pPr>
      <w:r w:rsidRPr="00CB554E">
        <w:rPr>
          <w:rFonts w:hint="cs"/>
          <w:sz w:val="27"/>
          <w:rtl/>
        </w:rPr>
        <w:t xml:space="preserve">5ـ </w:t>
      </w:r>
      <w:r w:rsidR="00E83BB3" w:rsidRPr="00CB554E">
        <w:rPr>
          <w:rFonts w:hint="cs"/>
          <w:sz w:val="27"/>
          <w:rtl/>
        </w:rPr>
        <w:t>وإذا كان الأمر كذلك ف</w:t>
      </w:r>
      <w:r w:rsidRPr="00CB554E">
        <w:rPr>
          <w:rFonts w:hint="cs"/>
          <w:sz w:val="27"/>
          <w:rtl/>
        </w:rPr>
        <w:t>هل إحراز مشروعي</w:t>
      </w:r>
      <w:r w:rsidR="00E83BB3" w:rsidRPr="00CB554E">
        <w:rPr>
          <w:rFonts w:hint="cs"/>
          <w:sz w:val="27"/>
          <w:rtl/>
        </w:rPr>
        <w:t>ّ</w:t>
      </w:r>
      <w:r w:rsidRPr="00CB554E">
        <w:rPr>
          <w:rFonts w:hint="cs"/>
          <w:sz w:val="27"/>
          <w:rtl/>
        </w:rPr>
        <w:t>ة كل</w:t>
      </w:r>
      <w:r w:rsidR="00E83BB3" w:rsidRPr="00CB554E">
        <w:rPr>
          <w:rFonts w:hint="cs"/>
          <w:sz w:val="27"/>
          <w:rtl/>
        </w:rPr>
        <w:t>ّ</w:t>
      </w:r>
      <w:r w:rsidRPr="00CB554E">
        <w:rPr>
          <w:rFonts w:hint="cs"/>
          <w:sz w:val="27"/>
          <w:rtl/>
        </w:rPr>
        <w:t xml:space="preserve"> موضوع إن</w:t>
      </w:r>
      <w:r w:rsidR="00E83BB3" w:rsidRPr="00CB554E">
        <w:rPr>
          <w:rFonts w:hint="cs"/>
          <w:sz w:val="27"/>
          <w:rtl/>
        </w:rPr>
        <w:t>ّ</w:t>
      </w:r>
      <w:r w:rsidRPr="00CB554E">
        <w:rPr>
          <w:rFonts w:hint="cs"/>
          <w:sz w:val="27"/>
          <w:rtl/>
        </w:rPr>
        <w:t>ما تكون</w:t>
      </w:r>
      <w:r w:rsidRPr="00904FCB">
        <w:rPr>
          <w:rFonts w:hint="cs"/>
          <w:sz w:val="27"/>
          <w:rtl/>
        </w:rPr>
        <w:t xml:space="preserve"> ممكنة</w:t>
      </w:r>
      <w:r w:rsidR="00E83BB3" w:rsidRPr="00904FCB">
        <w:rPr>
          <w:rFonts w:hint="cs"/>
          <w:sz w:val="27"/>
          <w:rtl/>
        </w:rPr>
        <w:t>ً</w:t>
      </w:r>
      <w:r w:rsidRPr="00904FCB">
        <w:rPr>
          <w:rFonts w:hint="cs"/>
          <w:sz w:val="27"/>
          <w:rtl/>
        </w:rPr>
        <w:t xml:space="preserve"> من خلال الاستفادة من أسلوب التحقيق في الفقه التقليدي فقط؟ </w:t>
      </w:r>
    </w:p>
    <w:p w:rsidR="00A45FD9" w:rsidRPr="00CB554E" w:rsidRDefault="00A45FD9" w:rsidP="007A21AA">
      <w:pPr>
        <w:spacing w:line="400" w:lineRule="exact"/>
        <w:rPr>
          <w:sz w:val="27"/>
          <w:rtl/>
        </w:rPr>
      </w:pPr>
      <w:r w:rsidRPr="00CB554E">
        <w:rPr>
          <w:rFonts w:hint="cs"/>
          <w:sz w:val="27"/>
          <w:rtl/>
        </w:rPr>
        <w:t xml:space="preserve">6ـ هل المشروعية السياسية والأخلاقية هي ذات المشروعية الدينية؟ </w:t>
      </w:r>
    </w:p>
    <w:p w:rsidR="00A45FD9" w:rsidRPr="00904FCB" w:rsidRDefault="00A45FD9" w:rsidP="007A21AA">
      <w:pPr>
        <w:spacing w:line="400" w:lineRule="exact"/>
        <w:rPr>
          <w:sz w:val="27"/>
          <w:rtl/>
        </w:rPr>
      </w:pPr>
      <w:r w:rsidRPr="00CB554E">
        <w:rPr>
          <w:rFonts w:hint="cs"/>
          <w:sz w:val="27"/>
          <w:rtl/>
        </w:rPr>
        <w:t>7ـ هل تنقسم جميع الأشياء إلى</w:t>
      </w:r>
      <w:r w:rsidR="00E83BB3" w:rsidRPr="00CB554E">
        <w:rPr>
          <w:rFonts w:hint="cs"/>
          <w:sz w:val="27"/>
          <w:rtl/>
        </w:rPr>
        <w:t>:</w:t>
      </w:r>
      <w:r w:rsidRPr="00CB554E">
        <w:rPr>
          <w:rFonts w:hint="cs"/>
          <w:sz w:val="27"/>
          <w:rtl/>
        </w:rPr>
        <w:t xml:space="preserve"> إسلامية</w:t>
      </w:r>
      <w:r w:rsidR="00E83BB3" w:rsidRPr="00CB554E">
        <w:rPr>
          <w:rFonts w:hint="cs"/>
          <w:sz w:val="27"/>
          <w:rtl/>
        </w:rPr>
        <w:t>؛</w:t>
      </w:r>
      <w:r w:rsidRPr="00CB554E">
        <w:rPr>
          <w:rFonts w:hint="cs"/>
          <w:sz w:val="27"/>
          <w:rtl/>
        </w:rPr>
        <w:t xml:space="preserve"> وغير إسلامية، ودينية</w:t>
      </w:r>
      <w:r w:rsidR="00E83BB3" w:rsidRPr="00CB554E">
        <w:rPr>
          <w:rFonts w:hint="cs"/>
          <w:sz w:val="27"/>
          <w:rtl/>
        </w:rPr>
        <w:t>؛</w:t>
      </w:r>
      <w:r w:rsidRPr="00CB554E">
        <w:rPr>
          <w:rFonts w:hint="cs"/>
          <w:sz w:val="27"/>
          <w:rtl/>
        </w:rPr>
        <w:t xml:space="preserve"> وغير دينية</w:t>
      </w:r>
      <w:r w:rsidR="00E83BB3" w:rsidRPr="00CB554E">
        <w:rPr>
          <w:rFonts w:hint="cs"/>
          <w:sz w:val="27"/>
          <w:rtl/>
        </w:rPr>
        <w:t>،</w:t>
      </w:r>
      <w:r w:rsidRPr="00CB554E">
        <w:rPr>
          <w:rFonts w:hint="cs"/>
          <w:sz w:val="27"/>
          <w:rtl/>
        </w:rPr>
        <w:t xml:space="preserve"> أم</w:t>
      </w:r>
      <w:r w:rsidRPr="00904FCB">
        <w:rPr>
          <w:rFonts w:hint="cs"/>
          <w:sz w:val="27"/>
          <w:rtl/>
        </w:rPr>
        <w:t xml:space="preserve"> هناك الكثير من الأمور التي تتخط</w:t>
      </w:r>
      <w:r w:rsidR="00E83BB3" w:rsidRPr="00904FCB">
        <w:rPr>
          <w:rFonts w:hint="cs"/>
          <w:sz w:val="27"/>
          <w:rtl/>
        </w:rPr>
        <w:t>ّ</w:t>
      </w:r>
      <w:r w:rsidRPr="00904FCB">
        <w:rPr>
          <w:rFonts w:hint="cs"/>
          <w:sz w:val="27"/>
          <w:rtl/>
        </w:rPr>
        <w:t xml:space="preserve">ى الحالة الدينية والفقهية؟ </w:t>
      </w:r>
    </w:p>
    <w:p w:rsidR="00A45FD9" w:rsidRPr="00904FCB" w:rsidRDefault="00A45FD9" w:rsidP="007A21AA">
      <w:pPr>
        <w:spacing w:line="400" w:lineRule="exact"/>
        <w:rPr>
          <w:sz w:val="27"/>
        </w:rPr>
      </w:pPr>
      <w:r w:rsidRPr="00904FCB">
        <w:rPr>
          <w:rFonts w:hint="cs"/>
          <w:sz w:val="27"/>
          <w:rtl/>
        </w:rPr>
        <w:t xml:space="preserve">أرى أن العلاقة بين الثمار والجذور الحداثية علاقة </w:t>
      </w:r>
      <w:r w:rsidRPr="00904FCB">
        <w:rPr>
          <w:rFonts w:hint="eastAsia"/>
          <w:sz w:val="27"/>
          <w:rtl/>
        </w:rPr>
        <w:t>«</w:t>
      </w:r>
      <w:r w:rsidRPr="00904FCB">
        <w:rPr>
          <w:rFonts w:hint="cs"/>
          <w:sz w:val="27"/>
          <w:rtl/>
        </w:rPr>
        <w:t>عضوية</w:t>
      </w:r>
      <w:r w:rsidRPr="00904FCB">
        <w:rPr>
          <w:rFonts w:hint="eastAsia"/>
          <w:sz w:val="27"/>
          <w:rtl/>
        </w:rPr>
        <w:t>»</w:t>
      </w:r>
      <w:r w:rsidR="00E83BB3" w:rsidRPr="00904FCB">
        <w:rPr>
          <w:rFonts w:hint="cs"/>
          <w:sz w:val="27"/>
          <w:rtl/>
        </w:rPr>
        <w:t>،</w:t>
      </w:r>
      <w:r w:rsidRPr="00904FCB">
        <w:rPr>
          <w:rFonts w:hint="cs"/>
          <w:sz w:val="27"/>
          <w:rtl/>
        </w:rPr>
        <w:t xml:space="preserve"> وليست علاقة </w:t>
      </w:r>
      <w:r w:rsidRPr="00904FCB">
        <w:rPr>
          <w:rFonts w:hint="eastAsia"/>
          <w:sz w:val="27"/>
          <w:rtl/>
        </w:rPr>
        <w:t>«</w:t>
      </w:r>
      <w:r w:rsidRPr="00904FCB">
        <w:rPr>
          <w:rFonts w:hint="cs"/>
          <w:sz w:val="27"/>
          <w:rtl/>
        </w:rPr>
        <w:t>عرضية</w:t>
      </w:r>
      <w:r w:rsidRPr="00904FCB">
        <w:rPr>
          <w:rFonts w:hint="eastAsia"/>
          <w:sz w:val="27"/>
          <w:rtl/>
        </w:rPr>
        <w:t>»</w:t>
      </w:r>
      <w:r w:rsidRPr="00904FCB">
        <w:rPr>
          <w:rFonts w:hint="cs"/>
          <w:sz w:val="27"/>
          <w:rtl/>
        </w:rPr>
        <w:t xml:space="preserve"> و</w:t>
      </w:r>
      <w:r w:rsidRPr="00904FCB">
        <w:rPr>
          <w:rFonts w:hint="eastAsia"/>
          <w:sz w:val="27"/>
          <w:rtl/>
        </w:rPr>
        <w:t>«</w:t>
      </w:r>
      <w:r w:rsidR="00E83BB3" w:rsidRPr="00904FCB">
        <w:rPr>
          <w:rFonts w:hint="cs"/>
          <w:sz w:val="27"/>
          <w:rtl/>
        </w:rPr>
        <w:t>ا</w:t>
      </w:r>
      <w:r w:rsidRPr="00904FCB">
        <w:rPr>
          <w:rFonts w:hint="cs"/>
          <w:sz w:val="27"/>
          <w:rtl/>
        </w:rPr>
        <w:t>ت</w:t>
      </w:r>
      <w:r w:rsidR="00E83BB3" w:rsidRPr="00904FCB">
        <w:rPr>
          <w:rFonts w:hint="cs"/>
          <w:sz w:val="27"/>
          <w:rtl/>
        </w:rPr>
        <w:t>ّ</w:t>
      </w:r>
      <w:r w:rsidRPr="00904FCB">
        <w:rPr>
          <w:rFonts w:hint="cs"/>
          <w:sz w:val="27"/>
          <w:rtl/>
        </w:rPr>
        <w:t>فاقية</w:t>
      </w:r>
      <w:r w:rsidRPr="00904FCB">
        <w:rPr>
          <w:rFonts w:hint="eastAsia"/>
          <w:sz w:val="27"/>
          <w:rtl/>
        </w:rPr>
        <w:t>»</w:t>
      </w:r>
      <w:r w:rsidRPr="00904FCB">
        <w:rPr>
          <w:rFonts w:hint="cs"/>
          <w:sz w:val="27"/>
          <w:rtl/>
        </w:rPr>
        <w:t>. صحيح</w:t>
      </w:r>
      <w:r w:rsidR="00E83BB3" w:rsidRPr="00904FCB">
        <w:rPr>
          <w:rFonts w:hint="cs"/>
          <w:sz w:val="27"/>
          <w:rtl/>
        </w:rPr>
        <w:t>ٌ</w:t>
      </w:r>
      <w:r w:rsidRPr="00904FCB">
        <w:rPr>
          <w:rFonts w:hint="cs"/>
          <w:sz w:val="27"/>
          <w:rtl/>
        </w:rPr>
        <w:t xml:space="preserve"> أن الحداثة لا ذات (</w:t>
      </w:r>
      <w:r w:rsidRPr="00904FCB">
        <w:rPr>
          <w:sz w:val="22"/>
          <w:szCs w:val="22"/>
        </w:rPr>
        <w:t>essense</w:t>
      </w:r>
      <w:r w:rsidRPr="00904FCB">
        <w:rPr>
          <w:rFonts w:hint="cs"/>
          <w:sz w:val="27"/>
          <w:rtl/>
        </w:rPr>
        <w:t>) لها، ويمكن لها أن تتحق</w:t>
      </w:r>
      <w:r w:rsidR="00E83BB3" w:rsidRPr="00904FCB">
        <w:rPr>
          <w:rFonts w:hint="cs"/>
          <w:sz w:val="27"/>
          <w:rtl/>
        </w:rPr>
        <w:t>َّ</w:t>
      </w:r>
      <w:r w:rsidRPr="00904FCB">
        <w:rPr>
          <w:rFonts w:hint="cs"/>
          <w:sz w:val="27"/>
          <w:rtl/>
        </w:rPr>
        <w:t>ق على أشكال مختلفة ومتنو</w:t>
      </w:r>
      <w:r w:rsidR="00E83BB3" w:rsidRPr="00904FCB">
        <w:rPr>
          <w:rFonts w:hint="cs"/>
          <w:sz w:val="27"/>
          <w:rtl/>
        </w:rPr>
        <w:t>ِّ</w:t>
      </w:r>
      <w:r w:rsidRPr="00904FCB">
        <w:rPr>
          <w:rFonts w:hint="cs"/>
          <w:sz w:val="27"/>
          <w:rtl/>
        </w:rPr>
        <w:t>عة، ب</w:t>
      </w:r>
      <w:r w:rsidR="00E83BB3" w:rsidRPr="00904FCB">
        <w:rPr>
          <w:rFonts w:hint="cs"/>
          <w:sz w:val="27"/>
          <w:rtl/>
        </w:rPr>
        <w:t>َ</w:t>
      </w:r>
      <w:r w:rsidRPr="00904FCB">
        <w:rPr>
          <w:rFonts w:hint="cs"/>
          <w:sz w:val="27"/>
          <w:rtl/>
        </w:rPr>
        <w:t>ي</w:t>
      </w:r>
      <w:r w:rsidR="00E83BB3" w:rsidRPr="00904FCB">
        <w:rPr>
          <w:rFonts w:hint="cs"/>
          <w:sz w:val="27"/>
          <w:rtl/>
        </w:rPr>
        <w:t>ْ</w:t>
      </w:r>
      <w:r w:rsidRPr="00904FCB">
        <w:rPr>
          <w:rFonts w:hint="cs"/>
          <w:sz w:val="27"/>
          <w:rtl/>
        </w:rPr>
        <w:t>د</w:t>
      </w:r>
      <w:r w:rsidR="00E83BB3" w:rsidRPr="00904FCB">
        <w:rPr>
          <w:rFonts w:hint="cs"/>
          <w:sz w:val="27"/>
          <w:rtl/>
        </w:rPr>
        <w:t>َ</w:t>
      </w:r>
      <w:r w:rsidRPr="00904FCB">
        <w:rPr>
          <w:rFonts w:hint="cs"/>
          <w:sz w:val="27"/>
          <w:rtl/>
        </w:rPr>
        <w:t xml:space="preserve"> أن عدم امتلاك الذات لا يساوق ولا يستلزم عدم امتلاك </w:t>
      </w:r>
      <w:r w:rsidRPr="00904FCB">
        <w:rPr>
          <w:rFonts w:hint="eastAsia"/>
          <w:sz w:val="27"/>
          <w:rtl/>
        </w:rPr>
        <w:t>«</w:t>
      </w:r>
      <w:r w:rsidRPr="00904FCB">
        <w:rPr>
          <w:rFonts w:hint="cs"/>
          <w:sz w:val="27"/>
          <w:rtl/>
        </w:rPr>
        <w:t>الذاتي</w:t>
      </w:r>
      <w:r w:rsidR="00E83BB3" w:rsidRPr="00904FCB">
        <w:rPr>
          <w:rFonts w:hint="cs"/>
          <w:sz w:val="27"/>
          <w:rtl/>
        </w:rPr>
        <w:t>ّ</w:t>
      </w:r>
      <w:r w:rsidRPr="00904FCB">
        <w:rPr>
          <w:rFonts w:hint="cs"/>
          <w:sz w:val="27"/>
          <w:rtl/>
        </w:rPr>
        <w:t>ات</w:t>
      </w:r>
      <w:r w:rsidRPr="00904FCB">
        <w:rPr>
          <w:rFonts w:hint="eastAsia"/>
          <w:sz w:val="27"/>
          <w:rtl/>
        </w:rPr>
        <w:t>»</w:t>
      </w:r>
      <w:r w:rsidRPr="00904FCB">
        <w:rPr>
          <w:rFonts w:hint="cs"/>
          <w:sz w:val="27"/>
          <w:rtl/>
        </w:rPr>
        <w:t xml:space="preserve"> (</w:t>
      </w:r>
      <w:r w:rsidRPr="00904FCB">
        <w:rPr>
          <w:sz w:val="22"/>
          <w:szCs w:val="22"/>
        </w:rPr>
        <w:t>nature</w:t>
      </w:r>
      <w:r w:rsidRPr="00904FCB">
        <w:rPr>
          <w:rFonts w:hint="cs"/>
          <w:sz w:val="27"/>
          <w:rtl/>
        </w:rPr>
        <w:t>)، ولا يمكن انتزاع كل</w:t>
      </w:r>
      <w:r w:rsidR="00E83BB3" w:rsidRPr="00904FCB">
        <w:rPr>
          <w:rFonts w:hint="cs"/>
          <w:sz w:val="27"/>
          <w:rtl/>
        </w:rPr>
        <w:t>ّ</w:t>
      </w:r>
      <w:r w:rsidRPr="00904FCB">
        <w:rPr>
          <w:rFonts w:hint="cs"/>
          <w:sz w:val="27"/>
          <w:rtl/>
        </w:rPr>
        <w:t xml:space="preserve"> مفهوم من كل</w:t>
      </w:r>
      <w:r w:rsidR="00E83BB3" w:rsidRPr="00904FCB">
        <w:rPr>
          <w:rFonts w:hint="cs"/>
          <w:sz w:val="27"/>
          <w:rtl/>
        </w:rPr>
        <w:t>ّ</w:t>
      </w:r>
      <w:r w:rsidRPr="00904FCB">
        <w:rPr>
          <w:rFonts w:hint="cs"/>
          <w:sz w:val="27"/>
          <w:rtl/>
        </w:rPr>
        <w:t xml:space="preserve"> مصداق</w:t>
      </w:r>
      <w:r w:rsidR="00E83BB3" w:rsidRPr="00904FCB">
        <w:rPr>
          <w:rFonts w:hint="cs"/>
          <w:sz w:val="27"/>
          <w:rtl/>
        </w:rPr>
        <w:t>،</w:t>
      </w:r>
      <w:r w:rsidRPr="00904FCB">
        <w:rPr>
          <w:rFonts w:hint="cs"/>
          <w:sz w:val="27"/>
          <w:rtl/>
        </w:rPr>
        <w:t xml:space="preserve"> وحمله على أي</w:t>
      </w:r>
      <w:r w:rsidR="00E83BB3" w:rsidRPr="00904FCB">
        <w:rPr>
          <w:rFonts w:hint="cs"/>
          <w:sz w:val="27"/>
          <w:rtl/>
        </w:rPr>
        <w:t>ّ</w:t>
      </w:r>
      <w:r w:rsidRPr="00904FCB">
        <w:rPr>
          <w:rFonts w:hint="cs"/>
          <w:sz w:val="27"/>
          <w:rtl/>
        </w:rPr>
        <w:t xml:space="preserve"> مصداق</w:t>
      </w:r>
      <w:r w:rsidR="00E83BB3" w:rsidRPr="00904FCB">
        <w:rPr>
          <w:rFonts w:hint="cs"/>
          <w:sz w:val="27"/>
          <w:rtl/>
        </w:rPr>
        <w:t>ٍ</w:t>
      </w:r>
      <w:r w:rsidRPr="00904FCB">
        <w:rPr>
          <w:rFonts w:hint="cs"/>
          <w:sz w:val="27"/>
          <w:rtl/>
        </w:rPr>
        <w:t>. إن صدق المفاهيم على المصاديق يتبع في حدّ</w:t>
      </w:r>
      <w:r w:rsidR="00306761" w:rsidRPr="00904FCB">
        <w:rPr>
          <w:rFonts w:hint="cs"/>
          <w:sz w:val="27"/>
          <w:rtl/>
        </w:rPr>
        <w:t>ِ</w:t>
      </w:r>
      <w:r w:rsidRPr="00904FCB">
        <w:rPr>
          <w:rFonts w:hint="cs"/>
          <w:sz w:val="27"/>
          <w:rtl/>
        </w:rPr>
        <w:t xml:space="preserve"> ذاته معايير واقعية ومستقل</w:t>
      </w:r>
      <w:r w:rsidR="00306761" w:rsidRPr="00904FCB">
        <w:rPr>
          <w:rFonts w:hint="cs"/>
          <w:sz w:val="27"/>
          <w:rtl/>
        </w:rPr>
        <w:t>ّ</w:t>
      </w:r>
      <w:r w:rsidRPr="00904FCB">
        <w:rPr>
          <w:rFonts w:hint="cs"/>
          <w:sz w:val="27"/>
          <w:rtl/>
        </w:rPr>
        <w:t>ة</w:t>
      </w:r>
      <w:r w:rsidRPr="00904FCB">
        <w:rPr>
          <w:sz w:val="27"/>
          <w:vertAlign w:val="superscript"/>
          <w:rtl/>
        </w:rPr>
        <w:t>(</w:t>
      </w:r>
      <w:r w:rsidRPr="00904FCB">
        <w:rPr>
          <w:sz w:val="27"/>
          <w:vertAlign w:val="superscript"/>
          <w:rtl/>
        </w:rPr>
        <w:endnoteReference w:id="15"/>
      </w:r>
      <w:r w:rsidRPr="00904FCB">
        <w:rPr>
          <w:sz w:val="27"/>
          <w:vertAlign w:val="superscript"/>
          <w:rtl/>
        </w:rPr>
        <w:t>)</w:t>
      </w:r>
      <w:r w:rsidRPr="00904FCB">
        <w:rPr>
          <w:rFonts w:hint="cs"/>
          <w:sz w:val="27"/>
          <w:rtl/>
        </w:rPr>
        <w:t>، وإن جوهر الحداثة</w:t>
      </w:r>
      <w:r w:rsidR="00306761" w:rsidRPr="00904FCB">
        <w:rPr>
          <w:rFonts w:hint="cs"/>
          <w:sz w:val="27"/>
          <w:rtl/>
        </w:rPr>
        <w:t>،</w:t>
      </w:r>
      <w:r w:rsidRPr="00904FCB">
        <w:rPr>
          <w:rFonts w:hint="cs"/>
          <w:sz w:val="27"/>
          <w:rtl/>
        </w:rPr>
        <w:t xml:space="preserve"> التي هي عبارة عن الأخلاق والعقلانية الحديثة</w:t>
      </w:r>
      <w:r w:rsidR="00306761" w:rsidRPr="00904FCB">
        <w:rPr>
          <w:rFonts w:hint="cs"/>
          <w:sz w:val="27"/>
          <w:rtl/>
        </w:rPr>
        <w:t>،</w:t>
      </w:r>
      <w:r w:rsidRPr="00904FCB">
        <w:rPr>
          <w:rFonts w:hint="cs"/>
          <w:sz w:val="27"/>
          <w:rtl/>
        </w:rPr>
        <w:t xml:space="preserve"> تشترك في جميع أنواعها وأشكالها</w:t>
      </w:r>
      <w:r w:rsidR="00306761" w:rsidRPr="00904FCB">
        <w:rPr>
          <w:rFonts w:hint="cs"/>
          <w:sz w:val="27"/>
          <w:rtl/>
        </w:rPr>
        <w:t>،</w:t>
      </w:r>
      <w:r w:rsidRPr="00904FCB">
        <w:rPr>
          <w:rFonts w:hint="cs"/>
          <w:sz w:val="27"/>
          <w:rtl/>
        </w:rPr>
        <w:t xml:space="preserve"> كما هو الشأن بالنسبة إلى الأديان</w:t>
      </w:r>
      <w:r w:rsidR="00306761" w:rsidRPr="00904FCB">
        <w:rPr>
          <w:rFonts w:hint="cs"/>
          <w:sz w:val="27"/>
          <w:rtl/>
        </w:rPr>
        <w:t>.</w:t>
      </w:r>
      <w:r w:rsidRPr="00904FCB">
        <w:rPr>
          <w:rFonts w:hint="cs"/>
          <w:sz w:val="27"/>
          <w:rtl/>
        </w:rPr>
        <w:t xml:space="preserve"> فهي رغم عدم امتلاكها للذات إلا</w:t>
      </w:r>
      <w:r w:rsidR="00306761" w:rsidRPr="00904FCB">
        <w:rPr>
          <w:rFonts w:hint="cs"/>
          <w:sz w:val="27"/>
          <w:rtl/>
        </w:rPr>
        <w:t>ّ</w:t>
      </w:r>
      <w:r w:rsidRPr="00904FCB">
        <w:rPr>
          <w:rFonts w:hint="cs"/>
          <w:sz w:val="27"/>
          <w:rtl/>
        </w:rPr>
        <w:t xml:space="preserve"> أنها تشتمل على الذاتي والعرضي</w:t>
      </w:r>
      <w:r w:rsidR="00306761" w:rsidRPr="00904FCB">
        <w:rPr>
          <w:rFonts w:hint="cs"/>
          <w:sz w:val="27"/>
          <w:rtl/>
        </w:rPr>
        <w:t>.</w:t>
      </w:r>
      <w:r w:rsidRPr="00904FCB">
        <w:rPr>
          <w:rFonts w:hint="cs"/>
          <w:sz w:val="27"/>
          <w:rtl/>
        </w:rPr>
        <w:t xml:space="preserve"> والشيء الذي يفتقر إلى ذاتي</w:t>
      </w:r>
      <w:r w:rsidR="00306761" w:rsidRPr="00904FCB">
        <w:rPr>
          <w:rFonts w:hint="cs"/>
          <w:sz w:val="27"/>
          <w:rtl/>
        </w:rPr>
        <w:t>ّ</w:t>
      </w:r>
      <w:r w:rsidRPr="00904FCB">
        <w:rPr>
          <w:rFonts w:hint="cs"/>
          <w:sz w:val="27"/>
          <w:rtl/>
        </w:rPr>
        <w:t>ات الدين لا يمكن تسميته ديناً</w:t>
      </w:r>
      <w:r w:rsidR="00306761" w:rsidRPr="00904FCB">
        <w:rPr>
          <w:rFonts w:hint="cs"/>
          <w:sz w:val="27"/>
          <w:rtl/>
        </w:rPr>
        <w:t>.</w:t>
      </w:r>
      <w:r w:rsidRPr="00904FCB">
        <w:rPr>
          <w:rFonts w:hint="cs"/>
          <w:sz w:val="27"/>
          <w:rtl/>
        </w:rPr>
        <w:t xml:space="preserve"> وإن الأنظمة الحكومية الفاقدة لذاتي</w:t>
      </w:r>
      <w:r w:rsidR="00306761" w:rsidRPr="00904FCB">
        <w:rPr>
          <w:rFonts w:hint="cs"/>
          <w:sz w:val="27"/>
          <w:rtl/>
        </w:rPr>
        <w:t>ّ</w:t>
      </w:r>
      <w:r w:rsidRPr="00904FCB">
        <w:rPr>
          <w:rFonts w:hint="cs"/>
          <w:sz w:val="27"/>
          <w:rtl/>
        </w:rPr>
        <w:t>ات الديمقراطية (الأخلاق الديمقراطية) لا تستحق</w:t>
      </w:r>
      <w:r w:rsidR="00306761" w:rsidRPr="00904FCB">
        <w:rPr>
          <w:rFonts w:hint="cs"/>
          <w:sz w:val="27"/>
          <w:rtl/>
        </w:rPr>
        <w:t>ّ</w:t>
      </w:r>
      <w:r w:rsidRPr="00904FCB">
        <w:rPr>
          <w:rFonts w:hint="cs"/>
          <w:sz w:val="27"/>
          <w:rtl/>
        </w:rPr>
        <w:t xml:space="preserve"> أن ت</w:t>
      </w:r>
      <w:r w:rsidR="00306761" w:rsidRPr="00904FCB">
        <w:rPr>
          <w:rFonts w:hint="cs"/>
          <w:sz w:val="27"/>
          <w:rtl/>
        </w:rPr>
        <w:t>ُ</w:t>
      </w:r>
      <w:r w:rsidRPr="00904FCB">
        <w:rPr>
          <w:rFonts w:hint="cs"/>
          <w:sz w:val="27"/>
          <w:rtl/>
        </w:rPr>
        <w:t>سم</w:t>
      </w:r>
      <w:r w:rsidR="00306761" w:rsidRPr="00904FCB">
        <w:rPr>
          <w:rFonts w:hint="cs"/>
          <w:sz w:val="27"/>
          <w:rtl/>
        </w:rPr>
        <w:t>ّ</w:t>
      </w:r>
      <w:r w:rsidRPr="00904FCB">
        <w:rPr>
          <w:rFonts w:hint="cs"/>
          <w:sz w:val="27"/>
          <w:rtl/>
        </w:rPr>
        <w:t>ى ديمقراطية أيضاً، وإلا</w:t>
      </w:r>
      <w:r w:rsidR="00306761" w:rsidRPr="00904FCB">
        <w:rPr>
          <w:rFonts w:hint="cs"/>
          <w:sz w:val="27"/>
          <w:rtl/>
        </w:rPr>
        <w:t>ّ</w:t>
      </w:r>
      <w:r w:rsidRPr="00904FCB">
        <w:rPr>
          <w:rFonts w:hint="cs"/>
          <w:sz w:val="27"/>
          <w:rtl/>
        </w:rPr>
        <w:t xml:space="preserve"> سوف لا يكون هناك أي</w:t>
      </w:r>
      <w:r w:rsidR="00306761" w:rsidRPr="00904FCB">
        <w:rPr>
          <w:rFonts w:hint="cs"/>
          <w:sz w:val="27"/>
          <w:rtl/>
        </w:rPr>
        <w:t>ّ</w:t>
      </w:r>
      <w:r w:rsidRPr="00904FCB">
        <w:rPr>
          <w:rFonts w:hint="cs"/>
          <w:sz w:val="27"/>
          <w:rtl/>
        </w:rPr>
        <w:t xml:space="preserve"> فرق بين الفاشية والديمقراطية أبداً. </w:t>
      </w:r>
    </w:p>
    <w:p w:rsidR="00A45FD9" w:rsidRPr="00904FCB" w:rsidRDefault="00A45FD9" w:rsidP="007A21AA">
      <w:pPr>
        <w:spacing w:line="400" w:lineRule="exact"/>
        <w:rPr>
          <w:sz w:val="27"/>
          <w:rtl/>
        </w:rPr>
      </w:pPr>
      <w:r w:rsidRPr="00904FCB">
        <w:rPr>
          <w:rFonts w:hint="cs"/>
          <w:sz w:val="27"/>
          <w:rtl/>
        </w:rPr>
        <w:t>لست مفك</w:t>
      </w:r>
      <w:r w:rsidR="00306761" w:rsidRPr="00904FCB">
        <w:rPr>
          <w:rFonts w:hint="cs"/>
          <w:sz w:val="27"/>
          <w:rtl/>
        </w:rPr>
        <w:t>ِّ</w:t>
      </w:r>
      <w:r w:rsidRPr="00904FCB">
        <w:rPr>
          <w:rFonts w:hint="cs"/>
          <w:sz w:val="27"/>
          <w:rtl/>
        </w:rPr>
        <w:t>راً ماهوياً، ولكن</w:t>
      </w:r>
      <w:r w:rsidR="00306761" w:rsidRPr="00904FCB">
        <w:rPr>
          <w:rFonts w:hint="cs"/>
          <w:sz w:val="27"/>
          <w:rtl/>
        </w:rPr>
        <w:t>ّ</w:t>
      </w:r>
      <w:r w:rsidRPr="00904FCB">
        <w:rPr>
          <w:rFonts w:hint="cs"/>
          <w:sz w:val="27"/>
          <w:rtl/>
        </w:rPr>
        <w:t xml:space="preserve"> الذي أعرفه هو أن الذي يدّ</w:t>
      </w:r>
      <w:r w:rsidR="00306761" w:rsidRPr="00904FCB">
        <w:rPr>
          <w:rFonts w:hint="cs"/>
          <w:sz w:val="27"/>
          <w:rtl/>
        </w:rPr>
        <w:t>َ</w:t>
      </w:r>
      <w:r w:rsidRPr="00904FCB">
        <w:rPr>
          <w:rFonts w:hint="cs"/>
          <w:sz w:val="27"/>
          <w:rtl/>
        </w:rPr>
        <w:t>عيه خبراء الماهوية هي أن للغرب ذاتاً وماهية وهوية لا تقبل الت</w:t>
      </w:r>
      <w:r w:rsidR="00306761" w:rsidRPr="00904FCB">
        <w:rPr>
          <w:rFonts w:hint="cs"/>
          <w:sz w:val="27"/>
          <w:rtl/>
        </w:rPr>
        <w:t>َّ</w:t>
      </w:r>
      <w:r w:rsidRPr="00904FCB">
        <w:rPr>
          <w:rFonts w:hint="cs"/>
          <w:sz w:val="27"/>
          <w:rtl/>
        </w:rPr>
        <w:t>ج</w:t>
      </w:r>
      <w:r w:rsidR="00306761" w:rsidRPr="00904FCB">
        <w:rPr>
          <w:rFonts w:hint="cs"/>
          <w:sz w:val="27"/>
          <w:rtl/>
        </w:rPr>
        <w:t>ْ</w:t>
      </w:r>
      <w:r w:rsidRPr="00904FCB">
        <w:rPr>
          <w:rFonts w:hint="cs"/>
          <w:sz w:val="27"/>
          <w:rtl/>
        </w:rPr>
        <w:t>ز</w:t>
      </w:r>
      <w:r w:rsidR="00306761" w:rsidRPr="00904FCB">
        <w:rPr>
          <w:rFonts w:hint="cs"/>
          <w:sz w:val="27"/>
          <w:rtl/>
        </w:rPr>
        <w:t>ِئة</w:t>
      </w:r>
      <w:r w:rsidRPr="00904FCB">
        <w:rPr>
          <w:rFonts w:hint="cs"/>
          <w:sz w:val="27"/>
          <w:rtl/>
        </w:rPr>
        <w:t>، وإن</w:t>
      </w:r>
      <w:r w:rsidR="00306761" w:rsidRPr="00904FCB">
        <w:rPr>
          <w:rFonts w:hint="cs"/>
          <w:sz w:val="27"/>
          <w:rtl/>
        </w:rPr>
        <w:t>ّ</w:t>
      </w:r>
      <w:r w:rsidRPr="00904FCB">
        <w:rPr>
          <w:rFonts w:hint="cs"/>
          <w:sz w:val="27"/>
          <w:rtl/>
        </w:rPr>
        <w:t xml:space="preserve"> العلوم والحضارة والتكنولوجيا الغربية لا يمكن فصلها عن دوافع ونوايا مبتكريها ومبدعيها، وليس أمام الشرقي</w:t>
      </w:r>
      <w:r w:rsidR="00306761" w:rsidRPr="00904FCB">
        <w:rPr>
          <w:rFonts w:hint="cs"/>
          <w:sz w:val="27"/>
          <w:rtl/>
        </w:rPr>
        <w:t>ّ</w:t>
      </w:r>
      <w:r w:rsidRPr="00904FCB">
        <w:rPr>
          <w:rFonts w:hint="cs"/>
          <w:sz w:val="27"/>
          <w:rtl/>
        </w:rPr>
        <w:t>ين من خيار</w:t>
      </w:r>
      <w:r w:rsidR="00306761" w:rsidRPr="00904FCB">
        <w:rPr>
          <w:rFonts w:hint="cs"/>
          <w:sz w:val="27"/>
          <w:rtl/>
        </w:rPr>
        <w:t>ٍ</w:t>
      </w:r>
      <w:r w:rsidRPr="00904FCB">
        <w:rPr>
          <w:rFonts w:hint="cs"/>
          <w:sz w:val="27"/>
          <w:rtl/>
        </w:rPr>
        <w:t xml:space="preserve"> سوى اعتناق هذه العلوم والحضارة والتكنولوجيا بالمطلق</w:t>
      </w:r>
      <w:r w:rsidR="00306761" w:rsidRPr="00904FCB">
        <w:rPr>
          <w:rFonts w:hint="cs"/>
          <w:sz w:val="27"/>
          <w:rtl/>
        </w:rPr>
        <w:t>،</w:t>
      </w:r>
      <w:r w:rsidRPr="00904FCB">
        <w:rPr>
          <w:rFonts w:hint="cs"/>
          <w:sz w:val="27"/>
          <w:rtl/>
        </w:rPr>
        <w:t xml:space="preserve"> أو رفضها بالمطلق. إن العلم والحضارة والتكنولوجيا الحديثة قد ترعرعت وتطو</w:t>
      </w:r>
      <w:r w:rsidR="00306761" w:rsidRPr="00904FCB">
        <w:rPr>
          <w:rFonts w:hint="cs"/>
          <w:sz w:val="27"/>
          <w:rtl/>
        </w:rPr>
        <w:t>َّ</w:t>
      </w:r>
      <w:r w:rsidRPr="00904FCB">
        <w:rPr>
          <w:rFonts w:hint="cs"/>
          <w:sz w:val="27"/>
          <w:rtl/>
        </w:rPr>
        <w:t>رت في أحضان تصو</w:t>
      </w:r>
      <w:r w:rsidR="00306761" w:rsidRPr="00904FCB">
        <w:rPr>
          <w:rFonts w:hint="cs"/>
          <w:sz w:val="27"/>
          <w:rtl/>
        </w:rPr>
        <w:t>ُّ</w:t>
      </w:r>
      <w:r w:rsidRPr="00904FCB">
        <w:rPr>
          <w:rFonts w:hint="cs"/>
          <w:sz w:val="27"/>
          <w:rtl/>
        </w:rPr>
        <w:t>ر خاص</w:t>
      </w:r>
      <w:r w:rsidR="00306761" w:rsidRPr="00904FCB">
        <w:rPr>
          <w:rFonts w:hint="cs"/>
          <w:sz w:val="27"/>
          <w:rtl/>
        </w:rPr>
        <w:t>ّ</w:t>
      </w:r>
      <w:r w:rsidRPr="00904FCB">
        <w:rPr>
          <w:rFonts w:hint="cs"/>
          <w:sz w:val="27"/>
          <w:rtl/>
        </w:rPr>
        <w:t xml:space="preserve"> عن الإنسان والعقل والعقلانية والأخلاق الاجتماعية، ولا يمكن نقل هذا الوليد من ذلك الحضن</w:t>
      </w:r>
      <w:r w:rsidR="00306761" w:rsidRPr="00904FCB">
        <w:rPr>
          <w:rFonts w:hint="cs"/>
          <w:sz w:val="27"/>
          <w:rtl/>
        </w:rPr>
        <w:t>،</w:t>
      </w:r>
      <w:r w:rsidRPr="00904FCB">
        <w:rPr>
          <w:rFonts w:hint="cs"/>
          <w:sz w:val="27"/>
          <w:rtl/>
        </w:rPr>
        <w:t xml:space="preserve"> وإيداعه عند مرضعة</w:t>
      </w:r>
      <w:r w:rsidR="00306761" w:rsidRPr="00904FCB">
        <w:rPr>
          <w:rFonts w:hint="cs"/>
          <w:sz w:val="27"/>
          <w:rtl/>
        </w:rPr>
        <w:t>ٍ</w:t>
      </w:r>
      <w:r w:rsidRPr="00904FCB">
        <w:rPr>
          <w:rFonts w:hint="cs"/>
          <w:sz w:val="27"/>
          <w:rtl/>
        </w:rPr>
        <w:t xml:space="preserve"> أخرى. </w:t>
      </w:r>
      <w:r w:rsidR="00306761" w:rsidRPr="00904FCB">
        <w:rPr>
          <w:rFonts w:hint="cs"/>
          <w:sz w:val="27"/>
          <w:rtl/>
        </w:rPr>
        <w:t>و</w:t>
      </w:r>
      <w:r w:rsidRPr="00904FCB">
        <w:rPr>
          <w:rFonts w:hint="cs"/>
          <w:sz w:val="27"/>
          <w:rtl/>
        </w:rPr>
        <w:t>بطبيعة الحال يمكن ـ إلى حد</w:t>
      </w:r>
      <w:r w:rsidR="00306761" w:rsidRPr="00904FCB">
        <w:rPr>
          <w:rFonts w:hint="cs"/>
          <w:sz w:val="27"/>
          <w:rtl/>
        </w:rPr>
        <w:t>ٍّ</w:t>
      </w:r>
      <w:r w:rsidRPr="00904FCB">
        <w:rPr>
          <w:rFonts w:hint="cs"/>
          <w:sz w:val="27"/>
          <w:rtl/>
        </w:rPr>
        <w:t xml:space="preserve"> ما ـ فصل العلم والحضارة والتكنولوجيا لدى الغربي</w:t>
      </w:r>
      <w:r w:rsidR="00306761" w:rsidRPr="00904FCB">
        <w:rPr>
          <w:rFonts w:hint="cs"/>
          <w:sz w:val="27"/>
          <w:rtl/>
        </w:rPr>
        <w:t>ّ</w:t>
      </w:r>
      <w:r w:rsidRPr="00904FCB">
        <w:rPr>
          <w:rFonts w:hint="cs"/>
          <w:sz w:val="27"/>
          <w:rtl/>
        </w:rPr>
        <w:t>ين عن أخلاقهم الفردية، ب</w:t>
      </w:r>
      <w:r w:rsidR="00306761" w:rsidRPr="00904FCB">
        <w:rPr>
          <w:rFonts w:hint="cs"/>
          <w:sz w:val="27"/>
          <w:rtl/>
        </w:rPr>
        <w:t>َ</w:t>
      </w:r>
      <w:r w:rsidRPr="00904FCB">
        <w:rPr>
          <w:rFonts w:hint="cs"/>
          <w:sz w:val="27"/>
          <w:rtl/>
        </w:rPr>
        <w:t>ي</w:t>
      </w:r>
      <w:r w:rsidR="00306761" w:rsidRPr="00904FCB">
        <w:rPr>
          <w:rFonts w:hint="cs"/>
          <w:sz w:val="27"/>
          <w:rtl/>
        </w:rPr>
        <w:t>ْ</w:t>
      </w:r>
      <w:r w:rsidRPr="00904FCB">
        <w:rPr>
          <w:rFonts w:hint="cs"/>
          <w:sz w:val="27"/>
          <w:rtl/>
        </w:rPr>
        <w:t>د</w:t>
      </w:r>
      <w:r w:rsidR="00306761" w:rsidRPr="00904FCB">
        <w:rPr>
          <w:rFonts w:hint="cs"/>
          <w:sz w:val="27"/>
          <w:rtl/>
        </w:rPr>
        <w:t>َ</w:t>
      </w:r>
      <w:r w:rsidRPr="00904FCB">
        <w:rPr>
          <w:rFonts w:hint="cs"/>
          <w:sz w:val="27"/>
          <w:rtl/>
        </w:rPr>
        <w:t xml:space="preserve"> أن المستحيل هو إحلال الفقه محل</w:t>
      </w:r>
      <w:r w:rsidR="00306761" w:rsidRPr="00904FCB">
        <w:rPr>
          <w:rFonts w:hint="cs"/>
          <w:sz w:val="27"/>
          <w:rtl/>
        </w:rPr>
        <w:t>ّ</w:t>
      </w:r>
      <w:r w:rsidRPr="00904FCB">
        <w:rPr>
          <w:rFonts w:hint="cs"/>
          <w:sz w:val="27"/>
          <w:rtl/>
        </w:rPr>
        <w:t xml:space="preserve"> الأخلاق الاجتماعية لدى الغربي</w:t>
      </w:r>
      <w:r w:rsidR="00306761" w:rsidRPr="00904FCB">
        <w:rPr>
          <w:rFonts w:hint="cs"/>
          <w:sz w:val="27"/>
          <w:rtl/>
        </w:rPr>
        <w:t>ّ</w:t>
      </w:r>
      <w:r w:rsidRPr="00904FCB">
        <w:rPr>
          <w:rFonts w:hint="cs"/>
          <w:sz w:val="27"/>
          <w:rtl/>
        </w:rPr>
        <w:t xml:space="preserve">ين. </w:t>
      </w:r>
    </w:p>
    <w:p w:rsidR="00A45FD9" w:rsidRPr="00904FCB" w:rsidRDefault="00306761" w:rsidP="007A21AA">
      <w:pPr>
        <w:spacing w:line="400" w:lineRule="exact"/>
        <w:rPr>
          <w:sz w:val="27"/>
          <w:rtl/>
        </w:rPr>
      </w:pPr>
      <w:r w:rsidRPr="00904FCB">
        <w:rPr>
          <w:rFonts w:hint="cs"/>
          <w:sz w:val="27"/>
          <w:rtl/>
        </w:rPr>
        <w:lastRenderedPageBreak/>
        <w:t>و</w:t>
      </w:r>
      <w:r w:rsidR="00A45FD9" w:rsidRPr="00904FCB">
        <w:rPr>
          <w:rFonts w:hint="cs"/>
          <w:sz w:val="27"/>
          <w:rtl/>
        </w:rPr>
        <w:t>بعبارة</w:t>
      </w:r>
      <w:r w:rsidRPr="00904FCB">
        <w:rPr>
          <w:rFonts w:hint="cs"/>
          <w:sz w:val="27"/>
          <w:rtl/>
        </w:rPr>
        <w:t>ٍ</w:t>
      </w:r>
      <w:r w:rsidR="00A45FD9" w:rsidRPr="00904FCB">
        <w:rPr>
          <w:rFonts w:hint="cs"/>
          <w:sz w:val="27"/>
          <w:rtl/>
        </w:rPr>
        <w:t xml:space="preserve"> أخرى: إن </w:t>
      </w:r>
      <w:r w:rsidRPr="00904FCB">
        <w:rPr>
          <w:rFonts w:hint="cs"/>
          <w:sz w:val="27"/>
          <w:rtl/>
        </w:rPr>
        <w:t>ما</w:t>
      </w:r>
      <w:r w:rsidR="00A45FD9" w:rsidRPr="00904FCB">
        <w:rPr>
          <w:rFonts w:hint="cs"/>
          <w:sz w:val="27"/>
          <w:rtl/>
        </w:rPr>
        <w:t xml:space="preserve"> أريد قوله هو </w:t>
      </w:r>
      <w:r w:rsidRPr="00904FCB">
        <w:rPr>
          <w:rFonts w:hint="cs"/>
          <w:sz w:val="27"/>
          <w:rtl/>
        </w:rPr>
        <w:t>أ</w:t>
      </w:r>
      <w:r w:rsidR="00A45FD9" w:rsidRPr="00904FCB">
        <w:rPr>
          <w:rFonts w:hint="cs"/>
          <w:sz w:val="27"/>
          <w:rtl/>
        </w:rPr>
        <w:t>ننا حت</w:t>
      </w:r>
      <w:r w:rsidRPr="00904FCB">
        <w:rPr>
          <w:rFonts w:hint="cs"/>
          <w:sz w:val="27"/>
          <w:rtl/>
        </w:rPr>
        <w:t>ّ</w:t>
      </w:r>
      <w:r w:rsidR="00A45FD9" w:rsidRPr="00904FCB">
        <w:rPr>
          <w:rFonts w:hint="cs"/>
          <w:sz w:val="27"/>
          <w:rtl/>
        </w:rPr>
        <w:t>ى لو فك</w:t>
      </w:r>
      <w:r w:rsidRPr="00904FCB">
        <w:rPr>
          <w:rFonts w:hint="cs"/>
          <w:sz w:val="27"/>
          <w:rtl/>
        </w:rPr>
        <w:t>َّ</w:t>
      </w:r>
      <w:r w:rsidR="00A45FD9" w:rsidRPr="00904FCB">
        <w:rPr>
          <w:rFonts w:hint="cs"/>
          <w:sz w:val="27"/>
          <w:rtl/>
        </w:rPr>
        <w:t>رنا ماهوياً لا نعدو أن نكون من البشر في الدرجة الأولى، ونحن مسلمون بالدرجة الثانية، وإيراني</w:t>
      </w:r>
      <w:r w:rsidRPr="00904FCB">
        <w:rPr>
          <w:rFonts w:hint="cs"/>
          <w:sz w:val="27"/>
          <w:rtl/>
        </w:rPr>
        <w:t>ّ</w:t>
      </w:r>
      <w:r w:rsidR="00A45FD9" w:rsidRPr="00904FCB">
        <w:rPr>
          <w:rFonts w:hint="cs"/>
          <w:sz w:val="27"/>
          <w:rtl/>
        </w:rPr>
        <w:t>ون وشرقي</w:t>
      </w:r>
      <w:r w:rsidRPr="00904FCB">
        <w:rPr>
          <w:rFonts w:hint="cs"/>
          <w:sz w:val="27"/>
          <w:rtl/>
        </w:rPr>
        <w:t>ّ</w:t>
      </w:r>
      <w:r w:rsidR="00A45FD9" w:rsidRPr="00904FCB">
        <w:rPr>
          <w:rFonts w:hint="cs"/>
          <w:sz w:val="27"/>
          <w:rtl/>
        </w:rPr>
        <w:t>ون بالدرجات التالية، بمعنى أن هويتنا الإنسانية والعقلانية والأخلاقية متقد</w:t>
      </w:r>
      <w:r w:rsidRPr="00904FCB">
        <w:rPr>
          <w:rFonts w:hint="cs"/>
          <w:sz w:val="27"/>
          <w:rtl/>
        </w:rPr>
        <w:t>ّ</w:t>
      </w:r>
      <w:r w:rsidR="00A45FD9" w:rsidRPr="00904FCB">
        <w:rPr>
          <w:rFonts w:hint="cs"/>
          <w:sz w:val="27"/>
          <w:rtl/>
        </w:rPr>
        <w:t>مة على سائر الهوي</w:t>
      </w:r>
      <w:r w:rsidRPr="00904FCB">
        <w:rPr>
          <w:rFonts w:hint="cs"/>
          <w:sz w:val="27"/>
          <w:rtl/>
        </w:rPr>
        <w:t>ّ</w:t>
      </w:r>
      <w:r w:rsidR="00A45FD9" w:rsidRPr="00904FCB">
        <w:rPr>
          <w:rFonts w:hint="cs"/>
          <w:sz w:val="27"/>
          <w:rtl/>
        </w:rPr>
        <w:t>ات التي تفرزنا عن سائر الناس</w:t>
      </w:r>
      <w:r w:rsidRPr="00904FCB">
        <w:rPr>
          <w:rFonts w:hint="cs"/>
          <w:sz w:val="27"/>
          <w:rtl/>
        </w:rPr>
        <w:t>،</w:t>
      </w:r>
      <w:r w:rsidR="00A45FD9" w:rsidRPr="00904FCB">
        <w:rPr>
          <w:rFonts w:hint="cs"/>
          <w:sz w:val="27"/>
          <w:rtl/>
        </w:rPr>
        <w:t xml:space="preserve"> بم</w:t>
      </w:r>
      <w:r w:rsidRPr="00904FCB">
        <w:rPr>
          <w:rFonts w:hint="cs"/>
          <w:sz w:val="27"/>
          <w:rtl/>
        </w:rPr>
        <w:t>َ</w:t>
      </w:r>
      <w:r w:rsidR="00A45FD9" w:rsidRPr="00904FCB">
        <w:rPr>
          <w:rFonts w:hint="cs"/>
          <w:sz w:val="27"/>
          <w:rtl/>
        </w:rPr>
        <w:t>ن</w:t>
      </w:r>
      <w:r w:rsidRPr="00904FCB">
        <w:rPr>
          <w:rFonts w:hint="cs"/>
          <w:sz w:val="27"/>
          <w:rtl/>
        </w:rPr>
        <w:t>ْ</w:t>
      </w:r>
      <w:r w:rsidR="00A45FD9" w:rsidRPr="00904FCB">
        <w:rPr>
          <w:rFonts w:hint="cs"/>
          <w:sz w:val="27"/>
          <w:rtl/>
        </w:rPr>
        <w:t xml:space="preserve"> فيهم الغربي</w:t>
      </w:r>
      <w:r w:rsidR="00807313" w:rsidRPr="00904FCB">
        <w:rPr>
          <w:rFonts w:hint="cs"/>
          <w:sz w:val="27"/>
          <w:rtl/>
        </w:rPr>
        <w:t>ّو</w:t>
      </w:r>
      <w:r w:rsidR="00A45FD9" w:rsidRPr="00904FCB">
        <w:rPr>
          <w:rFonts w:hint="cs"/>
          <w:sz w:val="27"/>
          <w:rtl/>
        </w:rPr>
        <w:t>ن. ولا شيء من هذه الهويات الجزئية والممي</w:t>
      </w:r>
      <w:r w:rsidR="00807313" w:rsidRPr="00904FCB">
        <w:rPr>
          <w:rFonts w:hint="cs"/>
          <w:sz w:val="27"/>
          <w:rtl/>
        </w:rPr>
        <w:t>ّ</w:t>
      </w:r>
      <w:r w:rsidR="00A45FD9" w:rsidRPr="00904FCB">
        <w:rPr>
          <w:rFonts w:hint="cs"/>
          <w:sz w:val="27"/>
          <w:rtl/>
        </w:rPr>
        <w:t>زة يمكنه أن يسد</w:t>
      </w:r>
      <w:r w:rsidR="00807313" w:rsidRPr="00904FCB">
        <w:rPr>
          <w:rFonts w:hint="cs"/>
          <w:sz w:val="27"/>
          <w:rtl/>
        </w:rPr>
        <w:t>ّ</w:t>
      </w:r>
      <w:r w:rsidR="00A45FD9" w:rsidRPr="00904FCB">
        <w:rPr>
          <w:rFonts w:hint="cs"/>
          <w:sz w:val="27"/>
          <w:rtl/>
        </w:rPr>
        <w:t xml:space="preserve"> فراغ تلك الهوي</w:t>
      </w:r>
      <w:r w:rsidR="00807313" w:rsidRPr="00904FCB">
        <w:rPr>
          <w:rFonts w:hint="cs"/>
          <w:sz w:val="27"/>
          <w:rtl/>
        </w:rPr>
        <w:t>ّ</w:t>
      </w:r>
      <w:r w:rsidR="00A45FD9" w:rsidRPr="00904FCB">
        <w:rPr>
          <w:rFonts w:hint="cs"/>
          <w:sz w:val="27"/>
          <w:rtl/>
        </w:rPr>
        <w:t>ة المشتركة. وإن الاعتراف بالهوية الإنسانية</w:t>
      </w:r>
      <w:r w:rsidR="00807313" w:rsidRPr="00904FCB">
        <w:rPr>
          <w:rFonts w:hint="cs"/>
          <w:sz w:val="27"/>
          <w:rtl/>
        </w:rPr>
        <w:t>،</w:t>
      </w:r>
      <w:r w:rsidR="00A45FD9" w:rsidRPr="00904FCB">
        <w:rPr>
          <w:rFonts w:hint="cs"/>
          <w:sz w:val="27"/>
          <w:rtl/>
        </w:rPr>
        <w:t xml:space="preserve"> وتقديمها على سائر الهويات الأخرى</w:t>
      </w:r>
      <w:r w:rsidR="00807313" w:rsidRPr="00904FCB">
        <w:rPr>
          <w:rFonts w:hint="cs"/>
          <w:sz w:val="27"/>
          <w:rtl/>
        </w:rPr>
        <w:t>،</w:t>
      </w:r>
      <w:r w:rsidR="00A45FD9" w:rsidRPr="00904FCB">
        <w:rPr>
          <w:rFonts w:hint="cs"/>
          <w:sz w:val="27"/>
          <w:rtl/>
        </w:rPr>
        <w:t xml:space="preserve"> هو عين الاعتراف باللوازم والمقتضيات المعيارية لتلك الهوية، وعين تقديم هذه المعايير على اللوازم والمقتضيات المعيارية لسائر الهوي</w:t>
      </w:r>
      <w:r w:rsidR="00807313" w:rsidRPr="00904FCB">
        <w:rPr>
          <w:rFonts w:hint="cs"/>
          <w:sz w:val="27"/>
          <w:rtl/>
        </w:rPr>
        <w:t>ّ</w:t>
      </w:r>
      <w:r w:rsidR="00A45FD9" w:rsidRPr="00904FCB">
        <w:rPr>
          <w:rFonts w:hint="cs"/>
          <w:sz w:val="27"/>
          <w:rtl/>
        </w:rPr>
        <w:t>ات الأخرى. وهذا يعني القول بالعقلاني</w:t>
      </w:r>
      <w:r w:rsidR="00807313" w:rsidRPr="00904FCB">
        <w:rPr>
          <w:rFonts w:hint="cs"/>
          <w:sz w:val="27"/>
          <w:rtl/>
        </w:rPr>
        <w:t>ّ</w:t>
      </w:r>
      <w:r w:rsidR="00A45FD9" w:rsidRPr="00904FCB">
        <w:rPr>
          <w:rFonts w:hint="cs"/>
          <w:sz w:val="27"/>
          <w:rtl/>
        </w:rPr>
        <w:t>ة الحديثة والأخلاق الاجتماعية القائمة على تلك العقلانية</w:t>
      </w:r>
      <w:r w:rsidR="00A45FD9" w:rsidRPr="00904FCB">
        <w:rPr>
          <w:sz w:val="27"/>
          <w:vertAlign w:val="superscript"/>
          <w:rtl/>
        </w:rPr>
        <w:t>(</w:t>
      </w:r>
      <w:r w:rsidR="00A45FD9" w:rsidRPr="00904FCB">
        <w:rPr>
          <w:sz w:val="27"/>
          <w:vertAlign w:val="superscript"/>
          <w:rtl/>
        </w:rPr>
        <w:endnoteReference w:id="16"/>
      </w:r>
      <w:r w:rsidR="00A45FD9" w:rsidRPr="00904FCB">
        <w:rPr>
          <w:sz w:val="27"/>
          <w:vertAlign w:val="superscript"/>
          <w:rtl/>
        </w:rPr>
        <w:t>)</w:t>
      </w:r>
      <w:r w:rsidR="00A45FD9" w:rsidRPr="00904FCB">
        <w:rPr>
          <w:rFonts w:hint="cs"/>
          <w:sz w:val="27"/>
          <w:rtl/>
        </w:rPr>
        <w:t xml:space="preserve">. </w:t>
      </w:r>
    </w:p>
    <w:p w:rsidR="00A45FD9" w:rsidRPr="00904FCB" w:rsidRDefault="00A45FD9" w:rsidP="007A21AA">
      <w:pPr>
        <w:spacing w:line="400" w:lineRule="exact"/>
        <w:rPr>
          <w:sz w:val="27"/>
          <w:rtl/>
        </w:rPr>
      </w:pPr>
      <w:r w:rsidRPr="00904FCB">
        <w:rPr>
          <w:rFonts w:hint="cs"/>
          <w:sz w:val="27"/>
          <w:rtl/>
        </w:rPr>
        <w:t>كما أننا لا نعارض توطين الحداثة</w:t>
      </w:r>
      <w:r w:rsidR="00807313" w:rsidRPr="00904FCB">
        <w:rPr>
          <w:rFonts w:hint="cs"/>
          <w:sz w:val="27"/>
          <w:rtl/>
        </w:rPr>
        <w:t>،</w:t>
      </w:r>
      <w:r w:rsidRPr="00904FCB">
        <w:rPr>
          <w:rFonts w:hint="cs"/>
          <w:sz w:val="27"/>
          <w:rtl/>
        </w:rPr>
        <w:t xml:space="preserve"> شرط أن لا يتم</w:t>
      </w:r>
      <w:r w:rsidR="00807313" w:rsidRPr="00904FCB">
        <w:rPr>
          <w:rFonts w:hint="cs"/>
          <w:sz w:val="27"/>
          <w:rtl/>
        </w:rPr>
        <w:t>ّ</w:t>
      </w:r>
      <w:r w:rsidRPr="00904FCB">
        <w:rPr>
          <w:rFonts w:hint="cs"/>
          <w:sz w:val="27"/>
          <w:rtl/>
        </w:rPr>
        <w:t xml:space="preserve"> ذلك من خلال </w:t>
      </w:r>
      <w:r w:rsidRPr="00904FCB">
        <w:rPr>
          <w:rFonts w:hint="eastAsia"/>
          <w:sz w:val="27"/>
          <w:rtl/>
        </w:rPr>
        <w:t>«</w:t>
      </w:r>
      <w:r w:rsidRPr="00904FCB">
        <w:rPr>
          <w:rFonts w:hint="cs"/>
          <w:sz w:val="27"/>
          <w:rtl/>
        </w:rPr>
        <w:t>تذكيتها وذبحها على الطريقة الإسلامية</w:t>
      </w:r>
      <w:r w:rsidRPr="00904FCB">
        <w:rPr>
          <w:rFonts w:hint="eastAsia"/>
          <w:sz w:val="27"/>
          <w:rtl/>
        </w:rPr>
        <w:t>»</w:t>
      </w:r>
      <w:r w:rsidRPr="00904FCB">
        <w:rPr>
          <w:rFonts w:hint="cs"/>
          <w:sz w:val="27"/>
          <w:rtl/>
        </w:rPr>
        <w:t>؛ لأن ذبح الحداثة على الطريقة الإسلامية سوف يحدث نزفاً في الدماء الجارية في الأوردة والشرايين الحيوية لهذه الحداثة، وسوف يؤد</w:t>
      </w:r>
      <w:r w:rsidR="00807313" w:rsidRPr="00904FCB">
        <w:rPr>
          <w:rFonts w:hint="cs"/>
          <w:sz w:val="27"/>
          <w:rtl/>
        </w:rPr>
        <w:t>ّ</w:t>
      </w:r>
      <w:r w:rsidRPr="00904FCB">
        <w:rPr>
          <w:rFonts w:hint="cs"/>
          <w:sz w:val="27"/>
          <w:rtl/>
        </w:rPr>
        <w:t>ي ذلك إلى إزهاق روحها</w:t>
      </w:r>
      <w:r w:rsidR="00807313" w:rsidRPr="00904FCB">
        <w:rPr>
          <w:rFonts w:hint="cs"/>
          <w:sz w:val="27"/>
          <w:rtl/>
        </w:rPr>
        <w:t>،</w:t>
      </w:r>
      <w:r w:rsidRPr="00904FCB">
        <w:rPr>
          <w:rFonts w:hint="cs"/>
          <w:sz w:val="27"/>
          <w:rtl/>
        </w:rPr>
        <w:t xml:space="preserve"> وتفريغها من جوهرها ومضمونها</w:t>
      </w:r>
      <w:r w:rsidRPr="00904FCB">
        <w:rPr>
          <w:sz w:val="27"/>
          <w:vertAlign w:val="superscript"/>
          <w:rtl/>
        </w:rPr>
        <w:t>(</w:t>
      </w:r>
      <w:r w:rsidRPr="00904FCB">
        <w:rPr>
          <w:sz w:val="27"/>
          <w:vertAlign w:val="superscript"/>
          <w:rtl/>
        </w:rPr>
        <w:endnoteReference w:id="17"/>
      </w:r>
      <w:r w:rsidRPr="00904FCB">
        <w:rPr>
          <w:sz w:val="27"/>
          <w:vertAlign w:val="superscript"/>
          <w:rtl/>
        </w:rPr>
        <w:t>)</w:t>
      </w:r>
      <w:r w:rsidRPr="00904FCB">
        <w:rPr>
          <w:rFonts w:hint="cs"/>
          <w:sz w:val="27"/>
          <w:rtl/>
        </w:rPr>
        <w:t xml:space="preserve">. هناك بين التقليد الأعمى للغرب </w:t>
      </w:r>
      <w:r w:rsidR="00807313" w:rsidRPr="00904FCB">
        <w:rPr>
          <w:rFonts w:hint="cs"/>
          <w:sz w:val="27"/>
          <w:rtl/>
        </w:rPr>
        <w:t>و</w:t>
      </w:r>
      <w:r w:rsidRPr="00904FCB">
        <w:rPr>
          <w:rFonts w:hint="cs"/>
          <w:sz w:val="27"/>
          <w:rtl/>
        </w:rPr>
        <w:t>تذكية وذبح الحداثة على الطريقة الإسلامية طريق</w:t>
      </w:r>
      <w:r w:rsidR="00807313" w:rsidRPr="00904FCB">
        <w:rPr>
          <w:rFonts w:hint="cs"/>
          <w:sz w:val="27"/>
          <w:rtl/>
        </w:rPr>
        <w:t>ٌ</w:t>
      </w:r>
      <w:r w:rsidRPr="00904FCB">
        <w:rPr>
          <w:rFonts w:hint="cs"/>
          <w:sz w:val="27"/>
          <w:rtl/>
        </w:rPr>
        <w:t xml:space="preserve"> ثالث</w:t>
      </w:r>
      <w:r w:rsidR="00807313" w:rsidRPr="00904FCB">
        <w:rPr>
          <w:rFonts w:hint="cs"/>
          <w:sz w:val="27"/>
          <w:rtl/>
        </w:rPr>
        <w:t>،</w:t>
      </w:r>
      <w:r w:rsidRPr="00904FCB">
        <w:rPr>
          <w:rFonts w:hint="cs"/>
          <w:sz w:val="27"/>
          <w:rtl/>
        </w:rPr>
        <w:t xml:space="preserve"> يتمث</w:t>
      </w:r>
      <w:r w:rsidR="00807313" w:rsidRPr="00904FCB">
        <w:rPr>
          <w:rFonts w:hint="cs"/>
          <w:sz w:val="27"/>
          <w:rtl/>
        </w:rPr>
        <w:t>َّ</w:t>
      </w:r>
      <w:r w:rsidRPr="00904FCB">
        <w:rPr>
          <w:rFonts w:hint="cs"/>
          <w:sz w:val="27"/>
          <w:rtl/>
        </w:rPr>
        <w:t>ل في التعاطي مع هذه الظاهرة ولوازمها برؤية</w:t>
      </w:r>
      <w:r w:rsidR="00807313" w:rsidRPr="00904FCB">
        <w:rPr>
          <w:rFonts w:hint="cs"/>
          <w:sz w:val="27"/>
          <w:rtl/>
        </w:rPr>
        <w:t>ٍ</w:t>
      </w:r>
      <w:r w:rsidRPr="00904FCB">
        <w:rPr>
          <w:rFonts w:hint="cs"/>
          <w:sz w:val="27"/>
          <w:rtl/>
        </w:rPr>
        <w:t xml:space="preserve"> نقدي</w:t>
      </w:r>
      <w:r w:rsidR="00807313" w:rsidRPr="00904FCB">
        <w:rPr>
          <w:rFonts w:hint="cs"/>
          <w:sz w:val="27"/>
          <w:rtl/>
        </w:rPr>
        <w:t>ّ</w:t>
      </w:r>
      <w:r w:rsidRPr="00904FCB">
        <w:rPr>
          <w:rFonts w:hint="cs"/>
          <w:sz w:val="27"/>
          <w:rtl/>
        </w:rPr>
        <w:t>ة. إلا</w:t>
      </w:r>
      <w:r w:rsidR="00807313" w:rsidRPr="00904FCB">
        <w:rPr>
          <w:rFonts w:hint="cs"/>
          <w:sz w:val="27"/>
          <w:rtl/>
        </w:rPr>
        <w:t>ّ</w:t>
      </w:r>
      <w:r w:rsidRPr="00904FCB">
        <w:rPr>
          <w:rFonts w:hint="cs"/>
          <w:sz w:val="27"/>
          <w:rtl/>
        </w:rPr>
        <w:t xml:space="preserve"> أن</w:t>
      </w:r>
      <w:r w:rsidR="00807313" w:rsidRPr="00904FCB">
        <w:rPr>
          <w:rFonts w:hint="cs"/>
          <w:sz w:val="27"/>
          <w:rtl/>
        </w:rPr>
        <w:t>ّ</w:t>
      </w:r>
      <w:r w:rsidRPr="00904FCB">
        <w:rPr>
          <w:rFonts w:hint="cs"/>
          <w:sz w:val="27"/>
          <w:rtl/>
        </w:rPr>
        <w:t xml:space="preserve"> التعاطي النقدي مع الحداثة يختلف عن التعاطي الانتقائي معها</w:t>
      </w:r>
      <w:r w:rsidR="00807313" w:rsidRPr="00904FCB">
        <w:rPr>
          <w:rFonts w:hint="cs"/>
          <w:sz w:val="27"/>
          <w:rtl/>
        </w:rPr>
        <w:t>،</w:t>
      </w:r>
      <w:r w:rsidRPr="00904FCB">
        <w:rPr>
          <w:rFonts w:hint="cs"/>
          <w:sz w:val="27"/>
          <w:rtl/>
        </w:rPr>
        <w:t xml:space="preserve"> والقائم على الأحكام المسبقة، ويختلف عن فصل الثمار عن الجذور، ويختلف عن النقد الحداثي في ضوء الفهم التقليدي للدين</w:t>
      </w:r>
      <w:r w:rsidRPr="00904FCB">
        <w:rPr>
          <w:sz w:val="27"/>
          <w:vertAlign w:val="superscript"/>
          <w:rtl/>
        </w:rPr>
        <w:t>(</w:t>
      </w:r>
      <w:r w:rsidRPr="00904FCB">
        <w:rPr>
          <w:sz w:val="27"/>
          <w:vertAlign w:val="superscript"/>
          <w:rtl/>
        </w:rPr>
        <w:endnoteReference w:id="18"/>
      </w:r>
      <w:r w:rsidRPr="00904FCB">
        <w:rPr>
          <w:sz w:val="27"/>
          <w:vertAlign w:val="superscript"/>
          <w:rtl/>
        </w:rPr>
        <w:t>)</w:t>
      </w:r>
      <w:r w:rsidRPr="00904FCB">
        <w:rPr>
          <w:rFonts w:hint="cs"/>
          <w:sz w:val="27"/>
          <w:rtl/>
        </w:rPr>
        <w:t>. إن التعاطي النقدي مع الحداثة رهن</w:t>
      </w:r>
      <w:r w:rsidR="00807313" w:rsidRPr="00904FCB">
        <w:rPr>
          <w:rFonts w:hint="cs"/>
          <w:sz w:val="27"/>
          <w:rtl/>
        </w:rPr>
        <w:t>ٌ</w:t>
      </w:r>
      <w:r w:rsidRPr="00904FCB">
        <w:rPr>
          <w:rFonts w:hint="cs"/>
          <w:sz w:val="27"/>
          <w:rtl/>
        </w:rPr>
        <w:t xml:space="preserve"> بمعرفتها معرفة دقيقة وعميقة ومنصفة وحيادية</w:t>
      </w:r>
      <w:r w:rsidR="00807313" w:rsidRPr="00904FCB">
        <w:rPr>
          <w:rFonts w:hint="cs"/>
          <w:sz w:val="27"/>
          <w:rtl/>
        </w:rPr>
        <w:t>،</w:t>
      </w:r>
      <w:r w:rsidRPr="00904FCB">
        <w:rPr>
          <w:rFonts w:hint="cs"/>
          <w:sz w:val="27"/>
          <w:rtl/>
        </w:rPr>
        <w:t xml:space="preserve"> بعيدة عن الحبّ والبغض</w:t>
      </w:r>
      <w:r w:rsidR="00807313" w:rsidRPr="00904FCB">
        <w:rPr>
          <w:rFonts w:hint="cs"/>
          <w:sz w:val="27"/>
          <w:rtl/>
        </w:rPr>
        <w:t>،</w:t>
      </w:r>
      <w:r w:rsidRPr="00904FCB">
        <w:rPr>
          <w:rFonts w:hint="cs"/>
          <w:sz w:val="27"/>
          <w:rtl/>
        </w:rPr>
        <w:t xml:space="preserve"> ودون إصدار أحكام أيديولوجية م</w:t>
      </w:r>
      <w:r w:rsidR="00807313" w:rsidRPr="00904FCB">
        <w:rPr>
          <w:rFonts w:hint="cs"/>
          <w:sz w:val="27"/>
          <w:rtl/>
        </w:rPr>
        <w:t>ُ</w:t>
      </w:r>
      <w:r w:rsidRPr="00904FCB">
        <w:rPr>
          <w:rFonts w:hint="cs"/>
          <w:sz w:val="27"/>
          <w:rtl/>
        </w:rPr>
        <w:t>س</w:t>
      </w:r>
      <w:r w:rsidR="00807313" w:rsidRPr="00904FCB">
        <w:rPr>
          <w:rFonts w:hint="cs"/>
          <w:sz w:val="27"/>
          <w:rtl/>
        </w:rPr>
        <w:t>ْ</w:t>
      </w:r>
      <w:r w:rsidRPr="00904FCB">
        <w:rPr>
          <w:rFonts w:hint="cs"/>
          <w:sz w:val="27"/>
          <w:rtl/>
        </w:rPr>
        <w:t>ب</w:t>
      </w:r>
      <w:r w:rsidR="00807313" w:rsidRPr="00904FCB">
        <w:rPr>
          <w:rFonts w:hint="cs"/>
          <w:sz w:val="27"/>
          <w:rtl/>
        </w:rPr>
        <w:t>َ</w:t>
      </w:r>
      <w:r w:rsidRPr="00904FCB">
        <w:rPr>
          <w:rFonts w:hint="cs"/>
          <w:sz w:val="27"/>
          <w:rtl/>
        </w:rPr>
        <w:t>قة بشأنها</w:t>
      </w:r>
      <w:r w:rsidR="00807313" w:rsidRPr="00904FCB">
        <w:rPr>
          <w:rFonts w:hint="cs"/>
          <w:sz w:val="27"/>
          <w:rtl/>
        </w:rPr>
        <w:t>.</w:t>
      </w:r>
      <w:r w:rsidRPr="00904FCB">
        <w:rPr>
          <w:rFonts w:hint="cs"/>
          <w:sz w:val="27"/>
          <w:rtl/>
        </w:rPr>
        <w:t xml:space="preserve"> وإن</w:t>
      </w:r>
      <w:r w:rsidR="00807313" w:rsidRPr="00904FCB">
        <w:rPr>
          <w:rFonts w:hint="cs"/>
          <w:sz w:val="27"/>
          <w:rtl/>
        </w:rPr>
        <w:t>ّ</w:t>
      </w:r>
      <w:r w:rsidRPr="00904FCB">
        <w:rPr>
          <w:rFonts w:hint="cs"/>
          <w:sz w:val="27"/>
          <w:rtl/>
        </w:rPr>
        <w:t xml:space="preserve"> مثل هذه المعرفة لن تكون ممكنة</w:t>
      </w:r>
      <w:r w:rsidR="00807313" w:rsidRPr="00904FCB">
        <w:rPr>
          <w:rFonts w:hint="cs"/>
          <w:sz w:val="27"/>
          <w:rtl/>
        </w:rPr>
        <w:t>ً</w:t>
      </w:r>
      <w:r w:rsidRPr="00904FCB">
        <w:rPr>
          <w:rFonts w:hint="cs"/>
          <w:sz w:val="27"/>
          <w:rtl/>
        </w:rPr>
        <w:t xml:space="preserve"> إلا</w:t>
      </w:r>
      <w:r w:rsidR="00807313" w:rsidRPr="00904FCB">
        <w:rPr>
          <w:rFonts w:hint="cs"/>
          <w:sz w:val="27"/>
          <w:rtl/>
        </w:rPr>
        <w:t>ّ</w:t>
      </w:r>
      <w:r w:rsidRPr="00904FCB">
        <w:rPr>
          <w:rFonts w:hint="cs"/>
          <w:sz w:val="27"/>
          <w:rtl/>
        </w:rPr>
        <w:t xml:space="preserve"> من خلال معرفة </w:t>
      </w:r>
      <w:r w:rsidRPr="00904FCB">
        <w:rPr>
          <w:rFonts w:hint="eastAsia"/>
          <w:sz w:val="27"/>
          <w:rtl/>
        </w:rPr>
        <w:t>«</w:t>
      </w:r>
      <w:r w:rsidRPr="00904FCB">
        <w:rPr>
          <w:rFonts w:hint="cs"/>
          <w:sz w:val="27"/>
          <w:rtl/>
        </w:rPr>
        <w:t>ذاتيات</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مقو</w:t>
      </w:r>
      <w:r w:rsidR="00807313" w:rsidRPr="00904FCB">
        <w:rPr>
          <w:rFonts w:hint="cs"/>
          <w:sz w:val="27"/>
          <w:rtl/>
        </w:rPr>
        <w:t>ّ</w:t>
      </w:r>
      <w:r w:rsidRPr="00904FCB">
        <w:rPr>
          <w:rFonts w:hint="cs"/>
          <w:sz w:val="27"/>
          <w:rtl/>
        </w:rPr>
        <w:t>مات</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جذور</w:t>
      </w:r>
      <w:r w:rsidRPr="00904FCB">
        <w:rPr>
          <w:rFonts w:hint="eastAsia"/>
          <w:sz w:val="27"/>
          <w:rtl/>
        </w:rPr>
        <w:t>»</w:t>
      </w:r>
      <w:r w:rsidRPr="00904FCB">
        <w:rPr>
          <w:rFonts w:hint="cs"/>
          <w:sz w:val="27"/>
          <w:rtl/>
        </w:rPr>
        <w:t xml:space="preserve"> هذه الحداثة. </w:t>
      </w:r>
    </w:p>
    <w:p w:rsidR="00A45FD9" w:rsidRPr="00904FCB" w:rsidRDefault="00A45FD9" w:rsidP="007A21AA">
      <w:pPr>
        <w:spacing w:line="400" w:lineRule="exact"/>
        <w:rPr>
          <w:sz w:val="27"/>
          <w:rtl/>
        </w:rPr>
      </w:pPr>
    </w:p>
    <w:p w:rsidR="00A45FD9" w:rsidRPr="00904FCB" w:rsidRDefault="00A45FD9" w:rsidP="007A21AA">
      <w:pPr>
        <w:pStyle w:val="31"/>
        <w:spacing w:line="400" w:lineRule="exact"/>
        <w:rPr>
          <w:color w:val="auto"/>
          <w:rtl/>
        </w:rPr>
      </w:pPr>
      <w:r w:rsidRPr="00CB554E">
        <w:rPr>
          <w:rFonts w:hint="cs"/>
          <w:color w:val="auto"/>
          <w:rtl/>
        </w:rPr>
        <w:t>3ـ طرق الحل</w:t>
      </w:r>
      <w:r w:rsidR="00657CF9" w:rsidRPr="00CB554E">
        <w:rPr>
          <w:rFonts w:hint="cs"/>
          <w:color w:val="auto"/>
          <w:rtl/>
        </w:rPr>
        <w:t>ّ</w:t>
      </w:r>
      <w:r w:rsidRPr="00904FCB">
        <w:rPr>
          <w:rFonts w:hint="cs"/>
          <w:color w:val="auto"/>
          <w:rtl/>
        </w:rPr>
        <w:t xml:space="preserve"> التقليدي</w:t>
      </w:r>
      <w:r w:rsidR="00807313" w:rsidRPr="00904FCB">
        <w:rPr>
          <w:rFonts w:hint="cs"/>
          <w:color w:val="auto"/>
          <w:rtl/>
        </w:rPr>
        <w:t>ّ</w:t>
      </w:r>
      <w:r w:rsidRPr="00904FCB">
        <w:rPr>
          <w:rFonts w:hint="cs"/>
          <w:color w:val="auto"/>
          <w:rtl/>
        </w:rPr>
        <w:t>ة في مواجهة تحد</w:t>
      </w:r>
      <w:r w:rsidR="00807313" w:rsidRPr="00904FCB">
        <w:rPr>
          <w:rFonts w:hint="cs"/>
          <w:color w:val="auto"/>
          <w:rtl/>
        </w:rPr>
        <w:t>ِّ</w:t>
      </w:r>
      <w:r w:rsidRPr="00904FCB">
        <w:rPr>
          <w:rFonts w:hint="cs"/>
          <w:color w:val="auto"/>
          <w:rtl/>
        </w:rPr>
        <w:t>يات العصر الحديث</w:t>
      </w:r>
    </w:p>
    <w:p w:rsidR="00A45FD9" w:rsidRPr="00904FCB" w:rsidRDefault="00A45FD9" w:rsidP="007A21AA">
      <w:pPr>
        <w:spacing w:line="400" w:lineRule="exact"/>
        <w:rPr>
          <w:sz w:val="27"/>
          <w:rtl/>
        </w:rPr>
      </w:pPr>
      <w:r w:rsidRPr="00904FCB">
        <w:rPr>
          <w:rFonts w:hint="cs"/>
          <w:sz w:val="27"/>
          <w:rtl/>
        </w:rPr>
        <w:t>لقد دعا التفوّق السريع الذي شهدته المجتمعات الغربية في مختلف الأصعدة، وما شهدته المجتمعات الإسلامية من التخل</w:t>
      </w:r>
      <w:r w:rsidR="00F646E7" w:rsidRPr="00904FCB">
        <w:rPr>
          <w:rFonts w:hint="cs"/>
          <w:sz w:val="27"/>
          <w:rtl/>
        </w:rPr>
        <w:t>ُّ</w:t>
      </w:r>
      <w:r w:rsidRPr="00904FCB">
        <w:rPr>
          <w:rFonts w:hint="cs"/>
          <w:sz w:val="27"/>
          <w:rtl/>
        </w:rPr>
        <w:t>ف والانحطاط، بعض النُخَب الإسلامية إلى الإذعان بوجود خلل</w:t>
      </w:r>
      <w:r w:rsidR="00F646E7" w:rsidRPr="00904FCB">
        <w:rPr>
          <w:rFonts w:hint="cs"/>
          <w:sz w:val="27"/>
          <w:rtl/>
        </w:rPr>
        <w:t>ٍ</w:t>
      </w:r>
      <w:r w:rsidRPr="00904FCB">
        <w:rPr>
          <w:rFonts w:hint="cs"/>
          <w:sz w:val="27"/>
          <w:rtl/>
        </w:rPr>
        <w:t xml:space="preserve"> في موضع معين. وعمد كل</w:t>
      </w:r>
      <w:r w:rsidR="00F646E7" w:rsidRPr="00904FCB">
        <w:rPr>
          <w:rFonts w:hint="cs"/>
          <w:sz w:val="27"/>
          <w:rtl/>
        </w:rPr>
        <w:t>ُّ</w:t>
      </w:r>
      <w:r w:rsidRPr="00904FCB">
        <w:rPr>
          <w:rFonts w:hint="cs"/>
          <w:sz w:val="27"/>
          <w:rtl/>
        </w:rPr>
        <w:t xml:space="preserve"> واحد</w:t>
      </w:r>
      <w:r w:rsidR="00F646E7" w:rsidRPr="00904FCB">
        <w:rPr>
          <w:rFonts w:hint="cs"/>
          <w:sz w:val="27"/>
          <w:rtl/>
        </w:rPr>
        <w:t>ٍ</w:t>
      </w:r>
      <w:r w:rsidRPr="00904FCB">
        <w:rPr>
          <w:rFonts w:hint="cs"/>
          <w:sz w:val="27"/>
          <w:rtl/>
        </w:rPr>
        <w:t xml:space="preserve"> من هؤلاء المصلحين والمجددين إلى إعطاء وصفة لمعالجة ذلك الخلل، الأمر الذي يعب</w:t>
      </w:r>
      <w:r w:rsidR="00F646E7" w:rsidRPr="00904FCB">
        <w:rPr>
          <w:rFonts w:hint="cs"/>
          <w:sz w:val="27"/>
          <w:rtl/>
        </w:rPr>
        <w:t>ِّ</w:t>
      </w:r>
      <w:r w:rsidRPr="00904FCB">
        <w:rPr>
          <w:rFonts w:hint="cs"/>
          <w:sz w:val="27"/>
          <w:rtl/>
        </w:rPr>
        <w:t xml:space="preserve">ر عن إحساسهم بأوجاع المجتمع، </w:t>
      </w:r>
      <w:r w:rsidRPr="00904FCB">
        <w:rPr>
          <w:rFonts w:hint="cs"/>
          <w:sz w:val="27"/>
          <w:rtl/>
        </w:rPr>
        <w:lastRenderedPageBreak/>
        <w:t>كما أنه يحكي في الوقت نفسه عمق إدراكهم لواقع العالم المعاصر، كما يعكس الأساليب التي ينتهجها هؤلاء المصلحون في تشخيص الأمراض</w:t>
      </w:r>
      <w:r w:rsidR="00F646E7" w:rsidRPr="00904FCB">
        <w:rPr>
          <w:rFonts w:hint="cs"/>
          <w:sz w:val="27"/>
          <w:rtl/>
        </w:rPr>
        <w:t>،</w:t>
      </w:r>
      <w:r w:rsidRPr="00904FCB">
        <w:rPr>
          <w:rFonts w:hint="cs"/>
          <w:sz w:val="27"/>
          <w:rtl/>
        </w:rPr>
        <w:t xml:space="preserve"> وطرق معالجتها، وما هي المدارس التي ينتمون إليها، والأ</w:t>
      </w:r>
      <w:r w:rsidR="00F646E7" w:rsidRPr="00904FCB">
        <w:rPr>
          <w:rFonts w:hint="cs"/>
          <w:sz w:val="27"/>
          <w:rtl/>
        </w:rPr>
        <w:t>ُ</w:t>
      </w:r>
      <w:r w:rsidRPr="00904FCB">
        <w:rPr>
          <w:rFonts w:hint="cs"/>
          <w:sz w:val="27"/>
          <w:rtl/>
        </w:rPr>
        <w:t>ط</w:t>
      </w:r>
      <w:r w:rsidR="00F646E7" w:rsidRPr="00904FCB">
        <w:rPr>
          <w:rFonts w:hint="cs"/>
          <w:sz w:val="27"/>
          <w:rtl/>
        </w:rPr>
        <w:t>ُ</w:t>
      </w:r>
      <w:r w:rsidRPr="00904FCB">
        <w:rPr>
          <w:rFonts w:hint="cs"/>
          <w:sz w:val="27"/>
          <w:rtl/>
        </w:rPr>
        <w:t xml:space="preserve">ر الفكرية التي يتبعونها، كما يظهر مستوى وقوفهم على وجوه الاختلاف بين العالم الجديد والعالم القديم. </w:t>
      </w:r>
    </w:p>
    <w:p w:rsidR="00A45FD9" w:rsidRPr="00904FCB" w:rsidRDefault="00A45FD9" w:rsidP="00D731A0">
      <w:pPr>
        <w:spacing w:line="400" w:lineRule="exact"/>
        <w:rPr>
          <w:sz w:val="27"/>
          <w:rtl/>
        </w:rPr>
      </w:pPr>
      <w:r w:rsidRPr="00904FCB">
        <w:rPr>
          <w:rFonts w:hint="cs"/>
          <w:sz w:val="27"/>
          <w:rtl/>
        </w:rPr>
        <w:t>وفي</w:t>
      </w:r>
      <w:r w:rsidR="004853E3" w:rsidRPr="00904FCB">
        <w:rPr>
          <w:rFonts w:hint="cs"/>
          <w:sz w:val="27"/>
          <w:rtl/>
        </w:rPr>
        <w:t xml:space="preserve"> </w:t>
      </w:r>
      <w:r w:rsidRPr="00904FCB">
        <w:rPr>
          <w:rFonts w:hint="cs"/>
          <w:sz w:val="27"/>
          <w:rtl/>
        </w:rPr>
        <w:t>ما يتعلق بكيفية مواجهة الفقه لتحد</w:t>
      </w:r>
      <w:r w:rsidR="004853E3" w:rsidRPr="00904FCB">
        <w:rPr>
          <w:rFonts w:hint="cs"/>
          <w:sz w:val="27"/>
          <w:rtl/>
        </w:rPr>
        <w:t>ّ</w:t>
      </w:r>
      <w:r w:rsidRPr="00904FCB">
        <w:rPr>
          <w:rFonts w:hint="cs"/>
          <w:sz w:val="27"/>
          <w:rtl/>
        </w:rPr>
        <w:t>يات العصر الحديث تم</w:t>
      </w:r>
      <w:r w:rsidR="004853E3" w:rsidRPr="00904FCB">
        <w:rPr>
          <w:rFonts w:hint="cs"/>
          <w:sz w:val="27"/>
          <w:rtl/>
        </w:rPr>
        <w:t>ّ</w:t>
      </w:r>
      <w:r w:rsidRPr="00904FCB">
        <w:rPr>
          <w:rFonts w:hint="cs"/>
          <w:sz w:val="27"/>
          <w:rtl/>
        </w:rPr>
        <w:t xml:space="preserve"> طرح بعض الحلول التي يمكن تصنيفها عبر عنوانين</w:t>
      </w:r>
      <w:r w:rsidR="004853E3" w:rsidRPr="00904FCB">
        <w:rPr>
          <w:rFonts w:hint="cs"/>
          <w:sz w:val="27"/>
          <w:rtl/>
        </w:rPr>
        <w:t>،</w:t>
      </w:r>
      <w:r w:rsidRPr="00904FCB">
        <w:rPr>
          <w:rFonts w:hint="cs"/>
          <w:sz w:val="27"/>
          <w:rtl/>
        </w:rPr>
        <w:t xml:space="preserve"> هما: طرق الحل</w:t>
      </w:r>
      <w:r w:rsidR="004853E3"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التقليدية</w:t>
      </w:r>
      <w:r w:rsidRPr="00904FCB">
        <w:rPr>
          <w:rFonts w:hint="eastAsia"/>
          <w:sz w:val="27"/>
          <w:rtl/>
        </w:rPr>
        <w:t>»</w:t>
      </w:r>
      <w:r w:rsidR="004853E3" w:rsidRPr="00904FCB">
        <w:rPr>
          <w:rFonts w:hint="cs"/>
          <w:sz w:val="27"/>
          <w:rtl/>
        </w:rPr>
        <w:t>؛</w:t>
      </w:r>
      <w:r w:rsidRPr="00904FCB">
        <w:rPr>
          <w:rFonts w:hint="cs"/>
          <w:sz w:val="27"/>
          <w:rtl/>
        </w:rPr>
        <w:t xml:space="preserve"> وطرق الحل</w:t>
      </w:r>
      <w:r w:rsidR="004853E3"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الحديثة</w:t>
      </w:r>
      <w:r w:rsidRPr="00904FCB">
        <w:rPr>
          <w:rFonts w:hint="eastAsia"/>
          <w:sz w:val="27"/>
          <w:rtl/>
        </w:rPr>
        <w:t>»</w:t>
      </w:r>
      <w:r w:rsidRPr="00904FCB">
        <w:rPr>
          <w:rFonts w:hint="cs"/>
          <w:sz w:val="27"/>
          <w:rtl/>
        </w:rPr>
        <w:t xml:space="preserve">. إن الحلول </w:t>
      </w:r>
      <w:r w:rsidRPr="00904FCB">
        <w:rPr>
          <w:rFonts w:hint="eastAsia"/>
          <w:sz w:val="27"/>
          <w:rtl/>
        </w:rPr>
        <w:t>«</w:t>
      </w:r>
      <w:r w:rsidRPr="00904FCB">
        <w:rPr>
          <w:rFonts w:hint="cs"/>
          <w:sz w:val="27"/>
          <w:rtl/>
        </w:rPr>
        <w:t>التقليدية</w:t>
      </w:r>
      <w:r w:rsidRPr="00904FCB">
        <w:rPr>
          <w:rFonts w:hint="eastAsia"/>
          <w:sz w:val="27"/>
          <w:rtl/>
        </w:rPr>
        <w:t>»</w:t>
      </w:r>
      <w:r w:rsidRPr="00904FCB">
        <w:rPr>
          <w:rFonts w:hint="cs"/>
          <w:sz w:val="27"/>
          <w:rtl/>
        </w:rPr>
        <w:t xml:space="preserve"> تنطلق من العقلانية الفقهية</w:t>
      </w:r>
      <w:r w:rsidR="004853E3" w:rsidRPr="00904FCB">
        <w:rPr>
          <w:rFonts w:hint="cs"/>
          <w:sz w:val="27"/>
          <w:rtl/>
        </w:rPr>
        <w:t>،</w:t>
      </w:r>
      <w:r w:rsidRPr="00904FCB">
        <w:rPr>
          <w:rFonts w:hint="cs"/>
          <w:sz w:val="27"/>
          <w:rtl/>
        </w:rPr>
        <w:t xml:space="preserve"> والقواعد المت</w:t>
      </w:r>
      <w:r w:rsidR="004853E3" w:rsidRPr="00904FCB">
        <w:rPr>
          <w:rFonts w:hint="cs"/>
          <w:sz w:val="27"/>
          <w:rtl/>
        </w:rPr>
        <w:t>َّ</w:t>
      </w:r>
      <w:r w:rsidRPr="00904FCB">
        <w:rPr>
          <w:rFonts w:hint="cs"/>
          <w:sz w:val="27"/>
          <w:rtl/>
        </w:rPr>
        <w:t xml:space="preserve">بعة في الاجتهاد المصطلح بوصفها أموراً مفروغاً منها، مكتفية بالاجتهاد في </w:t>
      </w:r>
      <w:r w:rsidRPr="00904FCB">
        <w:rPr>
          <w:rFonts w:hint="eastAsia"/>
          <w:sz w:val="27"/>
          <w:rtl/>
        </w:rPr>
        <w:t>«</w:t>
      </w:r>
      <w:r w:rsidRPr="00904FCB">
        <w:rPr>
          <w:rFonts w:hint="cs"/>
          <w:sz w:val="27"/>
          <w:rtl/>
        </w:rPr>
        <w:t>الفروع</w:t>
      </w:r>
      <w:r w:rsidRPr="00904FCB">
        <w:rPr>
          <w:rFonts w:hint="eastAsia"/>
          <w:sz w:val="27"/>
          <w:rtl/>
        </w:rPr>
        <w:t>»</w:t>
      </w:r>
      <w:r w:rsidRPr="00904FCB">
        <w:rPr>
          <w:rFonts w:hint="cs"/>
          <w:sz w:val="27"/>
          <w:rtl/>
        </w:rPr>
        <w:t>، تاركة</w:t>
      </w:r>
      <w:r w:rsidR="004853E3" w:rsidRPr="00904FCB">
        <w:rPr>
          <w:rFonts w:hint="cs"/>
          <w:sz w:val="27"/>
          <w:rtl/>
        </w:rPr>
        <w:t>ً</w:t>
      </w:r>
      <w:r w:rsidRPr="00904FCB">
        <w:rPr>
          <w:rFonts w:hint="cs"/>
          <w:sz w:val="27"/>
          <w:rtl/>
        </w:rPr>
        <w:t xml:space="preserve"> أخلاق الاجتهاد على حالها. أما طرق الحلول الحديثة فهي تشك</w:t>
      </w:r>
      <w:r w:rsidR="004853E3" w:rsidRPr="00904FCB">
        <w:rPr>
          <w:rFonts w:hint="cs"/>
          <w:sz w:val="27"/>
          <w:rtl/>
        </w:rPr>
        <w:t>ِّ</w:t>
      </w:r>
      <w:r w:rsidRPr="00904FCB">
        <w:rPr>
          <w:rFonts w:hint="cs"/>
          <w:sz w:val="27"/>
          <w:rtl/>
        </w:rPr>
        <w:t>ك في اعتبار هذه الفرضي</w:t>
      </w:r>
      <w:r w:rsidR="004853E3" w:rsidRPr="00904FCB">
        <w:rPr>
          <w:rFonts w:hint="cs"/>
          <w:sz w:val="27"/>
          <w:rtl/>
        </w:rPr>
        <w:t>ّ</w:t>
      </w:r>
      <w:r w:rsidRPr="00904FCB">
        <w:rPr>
          <w:rFonts w:hint="cs"/>
          <w:sz w:val="27"/>
          <w:rtl/>
        </w:rPr>
        <w:t>ات، وتسعى ـ من خلال نقد المنهج التقليدي في الاجتهاد ـ إلى استبدالها بمنهج</w:t>
      </w:r>
      <w:r w:rsidR="004853E3" w:rsidRPr="00904FCB">
        <w:rPr>
          <w:rFonts w:hint="cs"/>
          <w:sz w:val="27"/>
          <w:rtl/>
        </w:rPr>
        <w:t>ٍ</w:t>
      </w:r>
      <w:r w:rsidRPr="00904FCB">
        <w:rPr>
          <w:rFonts w:hint="cs"/>
          <w:sz w:val="27"/>
          <w:rtl/>
        </w:rPr>
        <w:t xml:space="preserve"> جديد، وإن هذه الحلول تنشد العلاج في الاجتهاد في </w:t>
      </w:r>
      <w:r w:rsidRPr="00904FCB">
        <w:rPr>
          <w:rFonts w:hint="eastAsia"/>
          <w:sz w:val="27"/>
          <w:rtl/>
        </w:rPr>
        <w:t>«</w:t>
      </w:r>
      <w:r w:rsidRPr="00904FCB">
        <w:rPr>
          <w:rFonts w:hint="cs"/>
          <w:sz w:val="27"/>
          <w:rtl/>
        </w:rPr>
        <w:t>الأصول</w:t>
      </w:r>
      <w:r w:rsidRPr="00904FCB">
        <w:rPr>
          <w:rFonts w:hint="eastAsia"/>
          <w:sz w:val="27"/>
          <w:rtl/>
        </w:rPr>
        <w:t>»</w:t>
      </w:r>
      <w:r w:rsidRPr="00904FCB">
        <w:rPr>
          <w:rFonts w:hint="cs"/>
          <w:sz w:val="27"/>
          <w:rtl/>
        </w:rPr>
        <w:t xml:space="preserve"> أو الاجتهاد في </w:t>
      </w:r>
      <w:r w:rsidRPr="00904FCB">
        <w:rPr>
          <w:rFonts w:hint="eastAsia"/>
          <w:sz w:val="27"/>
          <w:rtl/>
        </w:rPr>
        <w:t>«</w:t>
      </w:r>
      <w:r w:rsidRPr="00904FCB">
        <w:rPr>
          <w:rFonts w:hint="cs"/>
          <w:sz w:val="27"/>
          <w:rtl/>
        </w:rPr>
        <w:t>أخلاق الاجتهاد</w:t>
      </w:r>
      <w:r w:rsidRPr="00904FCB">
        <w:rPr>
          <w:rFonts w:hint="eastAsia"/>
          <w:sz w:val="27"/>
          <w:rtl/>
        </w:rPr>
        <w:t>»</w:t>
      </w:r>
      <w:r w:rsidRPr="00904FCB">
        <w:rPr>
          <w:rFonts w:hint="cs"/>
          <w:sz w:val="27"/>
          <w:rtl/>
        </w:rPr>
        <w:t xml:space="preserve">. </w:t>
      </w:r>
      <w:r w:rsidR="00D731A0">
        <w:rPr>
          <w:rFonts w:hint="cs"/>
          <w:sz w:val="27"/>
          <w:rtl/>
        </w:rPr>
        <w:t>وهنا</w:t>
      </w:r>
      <w:r w:rsidRPr="00904FCB">
        <w:rPr>
          <w:rFonts w:hint="cs"/>
          <w:sz w:val="27"/>
          <w:rtl/>
        </w:rPr>
        <w:t xml:space="preserve"> سوف نستعرض الحلول التقليدية باختصار</w:t>
      </w:r>
      <w:r w:rsidR="004853E3" w:rsidRPr="00904FCB">
        <w:rPr>
          <w:rFonts w:hint="cs"/>
          <w:sz w:val="27"/>
          <w:rtl/>
        </w:rPr>
        <w:t>ٍ</w:t>
      </w:r>
      <w:r w:rsidRPr="00904FCB">
        <w:rPr>
          <w:sz w:val="27"/>
          <w:vertAlign w:val="superscript"/>
          <w:rtl/>
        </w:rPr>
        <w:t>(</w:t>
      </w:r>
      <w:r w:rsidRPr="00904FCB">
        <w:rPr>
          <w:sz w:val="27"/>
          <w:vertAlign w:val="superscript"/>
          <w:rtl/>
        </w:rPr>
        <w:endnoteReference w:id="19"/>
      </w:r>
      <w:r w:rsidRPr="00904FCB">
        <w:rPr>
          <w:sz w:val="27"/>
          <w:vertAlign w:val="superscript"/>
          <w:rtl/>
        </w:rPr>
        <w:t>)</w:t>
      </w:r>
      <w:r w:rsidRPr="00904FCB">
        <w:rPr>
          <w:rFonts w:hint="cs"/>
          <w:sz w:val="27"/>
          <w:rtl/>
        </w:rPr>
        <w:t>، لننتقل بعد ذلك إلى بيان خصائص العالم الجديد. وأما البحث في بعض الحلول الحديثة فسوف تشك</w:t>
      </w:r>
      <w:r w:rsidR="004853E3" w:rsidRPr="00904FCB">
        <w:rPr>
          <w:rFonts w:hint="cs"/>
          <w:sz w:val="27"/>
          <w:rtl/>
        </w:rPr>
        <w:t>ِّ</w:t>
      </w:r>
      <w:r w:rsidRPr="00904FCB">
        <w:rPr>
          <w:rFonts w:hint="cs"/>
          <w:sz w:val="27"/>
          <w:rtl/>
        </w:rPr>
        <w:t xml:space="preserve">ل موضوعاً </w:t>
      </w:r>
      <w:r w:rsidR="00D45852" w:rsidRPr="00904FCB">
        <w:rPr>
          <w:rFonts w:hint="cs"/>
          <w:sz w:val="27"/>
          <w:rtl/>
        </w:rPr>
        <w:t>لبحوثٍ أخرى</w:t>
      </w:r>
      <w:r w:rsidRPr="00904FCB">
        <w:rPr>
          <w:rFonts w:hint="cs"/>
          <w:sz w:val="27"/>
          <w:rtl/>
        </w:rPr>
        <w:t xml:space="preserve">. </w:t>
      </w:r>
    </w:p>
    <w:p w:rsidR="00A45FD9" w:rsidRPr="00904FCB" w:rsidRDefault="00A45FD9" w:rsidP="007A21AA">
      <w:pPr>
        <w:spacing w:line="400" w:lineRule="exact"/>
        <w:rPr>
          <w:sz w:val="27"/>
          <w:rtl/>
        </w:rPr>
      </w:pPr>
      <w:r w:rsidRPr="00904FCB">
        <w:rPr>
          <w:rFonts w:hint="cs"/>
          <w:sz w:val="27"/>
          <w:rtl/>
        </w:rPr>
        <w:t>أما طريق الحل</w:t>
      </w:r>
      <w:r w:rsidR="004853E3" w:rsidRPr="00904FCB">
        <w:rPr>
          <w:rFonts w:hint="cs"/>
          <w:sz w:val="27"/>
          <w:rtl/>
        </w:rPr>
        <w:t>ّ</w:t>
      </w:r>
      <w:r w:rsidRPr="00904FCB">
        <w:rPr>
          <w:rFonts w:hint="cs"/>
          <w:sz w:val="27"/>
          <w:rtl/>
        </w:rPr>
        <w:t xml:space="preserve"> التقليدي الأول في</w:t>
      </w:r>
      <w:r w:rsidR="004853E3" w:rsidRPr="00904FCB">
        <w:rPr>
          <w:rFonts w:hint="cs"/>
          <w:sz w:val="27"/>
          <w:rtl/>
        </w:rPr>
        <w:t>ك</w:t>
      </w:r>
      <w:r w:rsidRPr="00904FCB">
        <w:rPr>
          <w:rFonts w:hint="cs"/>
          <w:sz w:val="27"/>
          <w:rtl/>
        </w:rPr>
        <w:t>من في التمس</w:t>
      </w:r>
      <w:r w:rsidR="004853E3" w:rsidRPr="00904FCB">
        <w:rPr>
          <w:rFonts w:hint="cs"/>
          <w:sz w:val="27"/>
          <w:rtl/>
        </w:rPr>
        <w:t>ُّ</w:t>
      </w:r>
      <w:r w:rsidRPr="00904FCB">
        <w:rPr>
          <w:rFonts w:hint="cs"/>
          <w:sz w:val="27"/>
          <w:rtl/>
        </w:rPr>
        <w:t xml:space="preserve">ك بـ </w:t>
      </w:r>
      <w:r w:rsidRPr="00904FCB">
        <w:rPr>
          <w:rFonts w:hint="eastAsia"/>
          <w:sz w:val="27"/>
          <w:rtl/>
        </w:rPr>
        <w:t>«</w:t>
      </w:r>
      <w:r w:rsidRPr="00904FCB">
        <w:rPr>
          <w:rFonts w:hint="cs"/>
          <w:sz w:val="27"/>
          <w:rtl/>
        </w:rPr>
        <w:t>العناوين الثانوية</w:t>
      </w:r>
      <w:r w:rsidRPr="00904FCB">
        <w:rPr>
          <w:rFonts w:hint="eastAsia"/>
          <w:sz w:val="27"/>
          <w:rtl/>
        </w:rPr>
        <w:t>»</w:t>
      </w:r>
      <w:r w:rsidRPr="00904FCB">
        <w:rPr>
          <w:rFonts w:hint="cs"/>
          <w:sz w:val="27"/>
          <w:rtl/>
        </w:rPr>
        <w:t xml:space="preserve"> والاهتمام الجاد</w:t>
      </w:r>
      <w:r w:rsidR="004853E3" w:rsidRPr="00904FCB">
        <w:rPr>
          <w:rFonts w:hint="cs"/>
          <w:sz w:val="27"/>
          <w:rtl/>
        </w:rPr>
        <w:t>ّ</w:t>
      </w:r>
      <w:r w:rsidRPr="00904FCB">
        <w:rPr>
          <w:rFonts w:hint="cs"/>
          <w:sz w:val="27"/>
          <w:rtl/>
        </w:rPr>
        <w:t xml:space="preserve"> بـ </w:t>
      </w:r>
      <w:r w:rsidRPr="00904FCB">
        <w:rPr>
          <w:rFonts w:hint="eastAsia"/>
          <w:sz w:val="27"/>
          <w:rtl/>
        </w:rPr>
        <w:t>«</w:t>
      </w:r>
      <w:r w:rsidRPr="00904FCB">
        <w:rPr>
          <w:rFonts w:hint="cs"/>
          <w:sz w:val="27"/>
          <w:rtl/>
        </w:rPr>
        <w:t>الأحكام الثانوية</w:t>
      </w:r>
      <w:r w:rsidRPr="00904FCB">
        <w:rPr>
          <w:rFonts w:hint="eastAsia"/>
          <w:sz w:val="27"/>
          <w:rtl/>
        </w:rPr>
        <w:t>»</w:t>
      </w:r>
      <w:r w:rsidRPr="00904FCB">
        <w:rPr>
          <w:rFonts w:hint="cs"/>
          <w:sz w:val="27"/>
          <w:rtl/>
        </w:rPr>
        <w:t xml:space="preserve">. </w:t>
      </w:r>
      <w:r w:rsidR="004853E3" w:rsidRPr="00904FCB">
        <w:rPr>
          <w:rFonts w:hint="cs"/>
          <w:sz w:val="27"/>
          <w:rtl/>
        </w:rPr>
        <w:t>و</w:t>
      </w:r>
      <w:r w:rsidRPr="00904FCB">
        <w:rPr>
          <w:rFonts w:hint="cs"/>
          <w:sz w:val="27"/>
          <w:rtl/>
        </w:rPr>
        <w:t>يذهب أنصار هذا الحل</w:t>
      </w:r>
      <w:r w:rsidR="004853E3" w:rsidRPr="00904FCB">
        <w:rPr>
          <w:rFonts w:hint="cs"/>
          <w:sz w:val="27"/>
          <w:rtl/>
        </w:rPr>
        <w:t>ّ</w:t>
      </w:r>
      <w:r w:rsidRPr="00904FCB">
        <w:rPr>
          <w:rFonts w:hint="cs"/>
          <w:sz w:val="27"/>
          <w:rtl/>
        </w:rPr>
        <w:t xml:space="preserve"> إلى القول بأن الشارع الإسلامي كان منذ البداية مدركاً لـ </w:t>
      </w:r>
      <w:r w:rsidRPr="00904FCB">
        <w:rPr>
          <w:rFonts w:hint="eastAsia"/>
          <w:sz w:val="27"/>
          <w:rtl/>
        </w:rPr>
        <w:t>«</w:t>
      </w:r>
      <w:r w:rsidRPr="00904FCB">
        <w:rPr>
          <w:rFonts w:hint="cs"/>
          <w:sz w:val="27"/>
          <w:rtl/>
        </w:rPr>
        <w:t>مقتضيات الزمان</w:t>
      </w:r>
      <w:r w:rsidRPr="00904FCB">
        <w:rPr>
          <w:rFonts w:hint="eastAsia"/>
          <w:sz w:val="27"/>
          <w:rtl/>
        </w:rPr>
        <w:t>»</w:t>
      </w:r>
      <w:r w:rsidRPr="00904FCB">
        <w:rPr>
          <w:rFonts w:hint="cs"/>
          <w:sz w:val="27"/>
          <w:rtl/>
        </w:rPr>
        <w:t>، وقد تجلّ</w:t>
      </w:r>
      <w:r w:rsidR="004853E3" w:rsidRPr="00904FCB">
        <w:rPr>
          <w:rFonts w:hint="cs"/>
          <w:sz w:val="27"/>
          <w:rtl/>
        </w:rPr>
        <w:t>َ</w:t>
      </w:r>
      <w:r w:rsidRPr="00904FCB">
        <w:rPr>
          <w:rFonts w:hint="cs"/>
          <w:sz w:val="27"/>
          <w:rtl/>
        </w:rPr>
        <w:t>ت</w:t>
      </w:r>
      <w:r w:rsidR="004853E3" w:rsidRPr="00904FCB">
        <w:rPr>
          <w:rFonts w:hint="cs"/>
          <w:sz w:val="27"/>
          <w:rtl/>
        </w:rPr>
        <w:t>ْ</w:t>
      </w:r>
      <w:r w:rsidRPr="00904FCB">
        <w:rPr>
          <w:rFonts w:hint="cs"/>
          <w:sz w:val="27"/>
          <w:rtl/>
        </w:rPr>
        <w:t xml:space="preserve"> حكمته البالغة في جعل الأحكام الثانوية</w:t>
      </w:r>
      <w:r w:rsidR="004853E3" w:rsidRPr="00904FCB">
        <w:rPr>
          <w:rFonts w:hint="cs"/>
          <w:sz w:val="27"/>
          <w:rtl/>
        </w:rPr>
        <w:t>؛</w:t>
      </w:r>
      <w:r w:rsidRPr="00904FCB">
        <w:rPr>
          <w:rFonts w:hint="cs"/>
          <w:sz w:val="27"/>
          <w:rtl/>
        </w:rPr>
        <w:t xml:space="preserve"> إذ يعتقد هؤلاء أن أحكام الإسلام وإن</w:t>
      </w:r>
      <w:r w:rsidR="004853E3" w:rsidRPr="00904FCB">
        <w:rPr>
          <w:rFonts w:hint="cs"/>
          <w:sz w:val="27"/>
          <w:rtl/>
        </w:rPr>
        <w:t>ْ</w:t>
      </w:r>
      <w:r w:rsidRPr="00904FCB">
        <w:rPr>
          <w:rFonts w:hint="cs"/>
          <w:sz w:val="27"/>
          <w:rtl/>
        </w:rPr>
        <w:t xml:space="preserve"> كانت ثابتة وأبدي</w:t>
      </w:r>
      <w:r w:rsidR="004853E3" w:rsidRPr="00904FCB">
        <w:rPr>
          <w:rFonts w:hint="cs"/>
          <w:sz w:val="27"/>
          <w:rtl/>
        </w:rPr>
        <w:t>ّ</w:t>
      </w:r>
      <w:r w:rsidRPr="00904FCB">
        <w:rPr>
          <w:rFonts w:hint="cs"/>
          <w:sz w:val="27"/>
          <w:rtl/>
        </w:rPr>
        <w:t>ة ولا يطالها التغيير، ولكن</w:t>
      </w:r>
      <w:r w:rsidR="004853E3" w:rsidRPr="00904FCB">
        <w:rPr>
          <w:rFonts w:hint="cs"/>
          <w:sz w:val="27"/>
          <w:rtl/>
        </w:rPr>
        <w:t>ّ</w:t>
      </w:r>
      <w:r w:rsidRPr="00904FCB">
        <w:rPr>
          <w:rFonts w:hint="cs"/>
          <w:sz w:val="27"/>
          <w:rtl/>
        </w:rPr>
        <w:t xml:space="preserve">ها تخلي مكانها عند عروض بعض العناوين الثانوية، من قبيل: </w:t>
      </w:r>
      <w:r w:rsidRPr="00904FCB">
        <w:rPr>
          <w:rFonts w:hint="eastAsia"/>
          <w:sz w:val="27"/>
          <w:rtl/>
        </w:rPr>
        <w:t>«</w:t>
      </w:r>
      <w:r w:rsidRPr="00904FCB">
        <w:rPr>
          <w:rFonts w:hint="cs"/>
          <w:sz w:val="27"/>
          <w:rtl/>
        </w:rPr>
        <w:t>الع</w:t>
      </w:r>
      <w:r w:rsidR="004853E3" w:rsidRPr="00904FCB">
        <w:rPr>
          <w:rFonts w:hint="cs"/>
          <w:sz w:val="27"/>
          <w:rtl/>
        </w:rPr>
        <w:t>ُ</w:t>
      </w:r>
      <w:r w:rsidRPr="00904FCB">
        <w:rPr>
          <w:rFonts w:hint="cs"/>
          <w:sz w:val="27"/>
          <w:rtl/>
        </w:rPr>
        <w:t>س</w:t>
      </w:r>
      <w:r w:rsidR="004853E3" w:rsidRPr="00904FCB">
        <w:rPr>
          <w:rFonts w:hint="cs"/>
          <w:sz w:val="27"/>
          <w:rtl/>
        </w:rPr>
        <w:t>ْ</w:t>
      </w:r>
      <w:r w:rsidRPr="00904FCB">
        <w:rPr>
          <w:rFonts w:hint="cs"/>
          <w:sz w:val="27"/>
          <w:rtl/>
        </w:rPr>
        <w:t>ر</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الح</w:t>
      </w:r>
      <w:r w:rsidR="004853E3" w:rsidRPr="00904FCB">
        <w:rPr>
          <w:rFonts w:hint="cs"/>
          <w:sz w:val="27"/>
          <w:rtl/>
        </w:rPr>
        <w:t>َ</w:t>
      </w:r>
      <w:r w:rsidRPr="00904FCB">
        <w:rPr>
          <w:rFonts w:hint="cs"/>
          <w:sz w:val="27"/>
          <w:rtl/>
        </w:rPr>
        <w:t>ر</w:t>
      </w:r>
      <w:r w:rsidR="004853E3" w:rsidRPr="00904FCB">
        <w:rPr>
          <w:rFonts w:hint="cs"/>
          <w:sz w:val="27"/>
          <w:rtl/>
        </w:rPr>
        <w:t>َ</w:t>
      </w:r>
      <w:r w:rsidRPr="00904FCB">
        <w:rPr>
          <w:rFonts w:hint="cs"/>
          <w:sz w:val="27"/>
          <w:rtl/>
        </w:rPr>
        <w:t>ج</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الض</w:t>
      </w:r>
      <w:r w:rsidR="004853E3" w:rsidRPr="00904FCB">
        <w:rPr>
          <w:rFonts w:hint="cs"/>
          <w:sz w:val="27"/>
          <w:rtl/>
        </w:rPr>
        <w:t>َّ</w:t>
      </w:r>
      <w:r w:rsidRPr="00904FCB">
        <w:rPr>
          <w:rFonts w:hint="cs"/>
          <w:sz w:val="27"/>
          <w:rtl/>
        </w:rPr>
        <w:t>ر</w:t>
      </w:r>
      <w:r w:rsidR="004853E3" w:rsidRPr="00904FCB">
        <w:rPr>
          <w:rFonts w:hint="cs"/>
          <w:sz w:val="27"/>
          <w:rtl/>
        </w:rPr>
        <w:t>َ</w:t>
      </w:r>
      <w:r w:rsidRPr="00904FCB">
        <w:rPr>
          <w:rFonts w:hint="cs"/>
          <w:sz w:val="27"/>
          <w:rtl/>
        </w:rPr>
        <w:t>ر</w:t>
      </w:r>
      <w:r w:rsidRPr="00904FCB">
        <w:rPr>
          <w:rFonts w:hint="eastAsia"/>
          <w:sz w:val="27"/>
          <w:rtl/>
        </w:rPr>
        <w:t>»</w:t>
      </w:r>
      <w:r w:rsidRPr="00904FCB">
        <w:rPr>
          <w:rFonts w:hint="cs"/>
          <w:sz w:val="27"/>
          <w:rtl/>
        </w:rPr>
        <w:t>، وتنحسر مؤق</w:t>
      </w:r>
      <w:r w:rsidR="004853E3" w:rsidRPr="00904FCB">
        <w:rPr>
          <w:rFonts w:hint="cs"/>
          <w:sz w:val="27"/>
          <w:rtl/>
        </w:rPr>
        <w:t>َّ</w:t>
      </w:r>
      <w:r w:rsidRPr="00904FCB">
        <w:rPr>
          <w:rFonts w:hint="cs"/>
          <w:sz w:val="27"/>
          <w:rtl/>
        </w:rPr>
        <w:t>تاً لصالح هذه العناوين. وعلى هذا الأساس فإن وجود الأحكام الثانوية في صلب الشريعة تمنحها القدرة على المناورة والمرونة، وتجعل الفقه حيوي</w:t>
      </w:r>
      <w:r w:rsidR="004853E3" w:rsidRPr="00904FCB">
        <w:rPr>
          <w:rFonts w:hint="cs"/>
          <w:sz w:val="27"/>
          <w:rtl/>
        </w:rPr>
        <w:t>ّ</w:t>
      </w:r>
      <w:r w:rsidRPr="00904FCB">
        <w:rPr>
          <w:rFonts w:hint="cs"/>
          <w:sz w:val="27"/>
          <w:rtl/>
        </w:rPr>
        <w:t>اً ومجدياً عند مواجهة تحد</w:t>
      </w:r>
      <w:r w:rsidR="004853E3" w:rsidRPr="00904FCB">
        <w:rPr>
          <w:rFonts w:hint="cs"/>
          <w:sz w:val="27"/>
          <w:rtl/>
        </w:rPr>
        <w:t>ِّ</w:t>
      </w:r>
      <w:r w:rsidRPr="00904FCB">
        <w:rPr>
          <w:rFonts w:hint="cs"/>
          <w:sz w:val="27"/>
          <w:rtl/>
        </w:rPr>
        <w:t>يات العصر الحديث. إن هذه الأحكام تضمن الثبات والخلود للشريعة من جهة</w:t>
      </w:r>
      <w:r w:rsidR="00850B0C" w:rsidRPr="00904FCB">
        <w:rPr>
          <w:rFonts w:hint="cs"/>
          <w:sz w:val="27"/>
          <w:rtl/>
        </w:rPr>
        <w:t>ٍ</w:t>
      </w:r>
      <w:r w:rsidRPr="00904FCB">
        <w:rPr>
          <w:rFonts w:hint="cs"/>
          <w:sz w:val="27"/>
          <w:rtl/>
        </w:rPr>
        <w:t>، وتحول دون جمود هذه الأحكام وعرقلتها لتقدّ</w:t>
      </w:r>
      <w:r w:rsidR="00850B0C" w:rsidRPr="00904FCB">
        <w:rPr>
          <w:rFonts w:hint="cs"/>
          <w:sz w:val="27"/>
          <w:rtl/>
        </w:rPr>
        <w:t>ُ</w:t>
      </w:r>
      <w:r w:rsidRPr="00904FCB">
        <w:rPr>
          <w:rFonts w:hint="cs"/>
          <w:sz w:val="27"/>
          <w:rtl/>
        </w:rPr>
        <w:t>م المجتمع من جهة</w:t>
      </w:r>
      <w:r w:rsidR="00850B0C" w:rsidRPr="00904FCB">
        <w:rPr>
          <w:rFonts w:hint="cs"/>
          <w:sz w:val="27"/>
          <w:rtl/>
        </w:rPr>
        <w:t>ٍ</w:t>
      </w:r>
      <w:r w:rsidRPr="00904FCB">
        <w:rPr>
          <w:rFonts w:hint="cs"/>
          <w:sz w:val="27"/>
          <w:rtl/>
        </w:rPr>
        <w:t xml:space="preserve"> أخرى</w:t>
      </w:r>
      <w:r w:rsidRPr="00904FCB">
        <w:rPr>
          <w:sz w:val="27"/>
          <w:vertAlign w:val="superscript"/>
          <w:rtl/>
        </w:rPr>
        <w:t>(</w:t>
      </w:r>
      <w:r w:rsidRPr="00904FCB">
        <w:rPr>
          <w:sz w:val="27"/>
          <w:vertAlign w:val="superscript"/>
          <w:rtl/>
        </w:rPr>
        <w:endnoteReference w:id="20"/>
      </w:r>
      <w:r w:rsidRPr="00904FCB">
        <w:rPr>
          <w:sz w:val="27"/>
          <w:vertAlign w:val="superscript"/>
          <w:rtl/>
        </w:rPr>
        <w:t>)</w:t>
      </w:r>
      <w:r w:rsidRPr="00904FCB">
        <w:rPr>
          <w:rFonts w:hint="cs"/>
          <w:sz w:val="27"/>
          <w:rtl/>
        </w:rPr>
        <w:t xml:space="preserve">. </w:t>
      </w:r>
    </w:p>
    <w:p w:rsidR="00850B0C" w:rsidRPr="00904FCB" w:rsidRDefault="00A45FD9" w:rsidP="00113C7A">
      <w:pPr>
        <w:spacing w:line="400" w:lineRule="exact"/>
        <w:rPr>
          <w:sz w:val="27"/>
          <w:rtl/>
        </w:rPr>
      </w:pPr>
      <w:r w:rsidRPr="00904FCB">
        <w:rPr>
          <w:rFonts w:hint="cs"/>
          <w:sz w:val="27"/>
          <w:rtl/>
        </w:rPr>
        <w:t>أما طريقة الحل</w:t>
      </w:r>
      <w:r w:rsidR="00850B0C" w:rsidRPr="00904FCB">
        <w:rPr>
          <w:rFonts w:hint="cs"/>
          <w:sz w:val="27"/>
          <w:rtl/>
        </w:rPr>
        <w:t>ّ</w:t>
      </w:r>
      <w:r w:rsidRPr="00904FCB">
        <w:rPr>
          <w:rFonts w:hint="cs"/>
          <w:sz w:val="27"/>
          <w:rtl/>
        </w:rPr>
        <w:t xml:space="preserve"> الثانية فتعمد إلى تقسيم أحكام الشريعة إلى</w:t>
      </w:r>
      <w:r w:rsidR="00113C7A">
        <w:rPr>
          <w:rFonts w:hint="cs"/>
          <w:sz w:val="27"/>
          <w:rtl/>
        </w:rPr>
        <w:t>:</w:t>
      </w:r>
      <w:r w:rsidRPr="00904FCB">
        <w:rPr>
          <w:rFonts w:hint="cs"/>
          <w:sz w:val="27"/>
          <w:rtl/>
        </w:rPr>
        <w:t xml:space="preserve"> أحكام </w:t>
      </w:r>
      <w:r w:rsidRPr="00904FCB">
        <w:rPr>
          <w:rFonts w:hint="eastAsia"/>
          <w:sz w:val="27"/>
          <w:rtl/>
        </w:rPr>
        <w:t>«</w:t>
      </w:r>
      <w:r w:rsidRPr="00904FCB">
        <w:rPr>
          <w:rFonts w:hint="cs"/>
          <w:sz w:val="27"/>
          <w:rtl/>
        </w:rPr>
        <w:t>ثابتة</w:t>
      </w:r>
      <w:r w:rsidRPr="00904FCB">
        <w:rPr>
          <w:rFonts w:hint="eastAsia"/>
          <w:sz w:val="27"/>
          <w:rtl/>
        </w:rPr>
        <w:t>»</w:t>
      </w:r>
      <w:r w:rsidR="00113C7A">
        <w:rPr>
          <w:rFonts w:hint="cs"/>
          <w:sz w:val="27"/>
          <w:rtl/>
        </w:rPr>
        <w:t>؛</w:t>
      </w:r>
      <w:r w:rsidRPr="00904FCB">
        <w:rPr>
          <w:rFonts w:hint="cs"/>
          <w:sz w:val="27"/>
          <w:rtl/>
        </w:rPr>
        <w:t xml:space="preserve"> و</w:t>
      </w:r>
      <w:r w:rsidRPr="00904FCB">
        <w:rPr>
          <w:rFonts w:hint="eastAsia"/>
          <w:sz w:val="27"/>
          <w:rtl/>
        </w:rPr>
        <w:t>«</w:t>
      </w:r>
      <w:r w:rsidRPr="00904FCB">
        <w:rPr>
          <w:rFonts w:hint="cs"/>
          <w:sz w:val="27"/>
          <w:rtl/>
        </w:rPr>
        <w:t>متغيرة</w:t>
      </w:r>
      <w:r w:rsidRPr="00904FCB">
        <w:rPr>
          <w:rFonts w:hint="eastAsia"/>
          <w:sz w:val="27"/>
          <w:rtl/>
        </w:rPr>
        <w:t>»</w:t>
      </w:r>
      <w:r w:rsidRPr="00904FCB">
        <w:rPr>
          <w:rFonts w:hint="cs"/>
          <w:sz w:val="27"/>
          <w:rtl/>
        </w:rPr>
        <w:t>، وتؤك</w:t>
      </w:r>
      <w:r w:rsidR="00850B0C" w:rsidRPr="00904FCB">
        <w:rPr>
          <w:rFonts w:hint="cs"/>
          <w:sz w:val="27"/>
          <w:rtl/>
        </w:rPr>
        <w:t>ّ</w:t>
      </w:r>
      <w:r w:rsidRPr="00904FCB">
        <w:rPr>
          <w:rFonts w:hint="cs"/>
          <w:sz w:val="27"/>
          <w:rtl/>
        </w:rPr>
        <w:t xml:space="preserve">د على وجود </w:t>
      </w:r>
      <w:r w:rsidRPr="00904FCB">
        <w:rPr>
          <w:rFonts w:hint="eastAsia"/>
          <w:sz w:val="27"/>
          <w:rtl/>
        </w:rPr>
        <w:t>«</w:t>
      </w:r>
      <w:r w:rsidRPr="00904FCB">
        <w:rPr>
          <w:rFonts w:hint="cs"/>
          <w:sz w:val="27"/>
          <w:rtl/>
        </w:rPr>
        <w:t>منطقة الفراغ</w:t>
      </w:r>
      <w:r w:rsidRPr="00904FCB">
        <w:rPr>
          <w:rFonts w:hint="eastAsia"/>
          <w:sz w:val="27"/>
          <w:rtl/>
        </w:rPr>
        <w:t>»</w:t>
      </w:r>
      <w:r w:rsidRPr="00904FCB">
        <w:rPr>
          <w:sz w:val="27"/>
          <w:vertAlign w:val="superscript"/>
          <w:rtl/>
        </w:rPr>
        <w:t>(</w:t>
      </w:r>
      <w:r w:rsidRPr="00904FCB">
        <w:rPr>
          <w:sz w:val="27"/>
          <w:vertAlign w:val="superscript"/>
          <w:rtl/>
        </w:rPr>
        <w:endnoteReference w:id="21"/>
      </w:r>
      <w:r w:rsidRPr="00904FCB">
        <w:rPr>
          <w:sz w:val="27"/>
          <w:vertAlign w:val="superscript"/>
          <w:rtl/>
        </w:rPr>
        <w:t>)</w:t>
      </w:r>
      <w:r w:rsidRPr="00904FCB">
        <w:rPr>
          <w:rFonts w:hint="cs"/>
          <w:sz w:val="27"/>
          <w:rtl/>
        </w:rPr>
        <w:t xml:space="preserve"> في حقل الشريعة، وحق</w:t>
      </w:r>
      <w:r w:rsidR="00850B0C" w:rsidRPr="00904FCB">
        <w:rPr>
          <w:rFonts w:hint="cs"/>
          <w:sz w:val="27"/>
          <w:rtl/>
        </w:rPr>
        <w:t>ّ</w:t>
      </w:r>
      <w:r w:rsidRPr="00904FCB">
        <w:rPr>
          <w:rFonts w:hint="cs"/>
          <w:sz w:val="27"/>
          <w:rtl/>
        </w:rPr>
        <w:t xml:space="preserve"> المجتمع </w:t>
      </w:r>
      <w:r w:rsidRPr="00904FCB">
        <w:rPr>
          <w:rFonts w:hint="cs"/>
          <w:sz w:val="27"/>
          <w:rtl/>
        </w:rPr>
        <w:lastRenderedPageBreak/>
        <w:t>الإسلامي أو الحاكم الإسلامي في ملء هذه المنطقة</w:t>
      </w:r>
      <w:r w:rsidR="00850B0C" w:rsidRPr="00904FCB">
        <w:rPr>
          <w:rFonts w:hint="cs"/>
          <w:sz w:val="27"/>
          <w:rtl/>
        </w:rPr>
        <w:t>،</w:t>
      </w:r>
      <w:r w:rsidRPr="00904FCB">
        <w:rPr>
          <w:rFonts w:hint="cs"/>
          <w:sz w:val="27"/>
          <w:rtl/>
        </w:rPr>
        <w:t xml:space="preserve"> وتسعى من خلال ذلك إلى إزالة الخلأ الحقوقي والمعياري الناشئ </w:t>
      </w:r>
      <w:r w:rsidR="00113C7A">
        <w:rPr>
          <w:rFonts w:hint="cs"/>
          <w:sz w:val="27"/>
          <w:rtl/>
        </w:rPr>
        <w:t>من</w:t>
      </w:r>
      <w:r w:rsidRPr="00904FCB">
        <w:rPr>
          <w:rFonts w:hint="cs"/>
          <w:sz w:val="27"/>
          <w:rtl/>
        </w:rPr>
        <w:t xml:space="preserve"> الاحتكاك بالعالم الحديث</w:t>
      </w:r>
      <w:r w:rsidR="00850B0C" w:rsidRPr="00904FCB">
        <w:rPr>
          <w:rFonts w:hint="cs"/>
          <w:sz w:val="27"/>
          <w:rtl/>
        </w:rPr>
        <w:t>.</w:t>
      </w:r>
    </w:p>
    <w:p w:rsidR="00A45FD9" w:rsidRPr="00904FCB" w:rsidRDefault="00A45FD9" w:rsidP="007A21AA">
      <w:pPr>
        <w:spacing w:line="400" w:lineRule="exact"/>
        <w:rPr>
          <w:sz w:val="27"/>
          <w:rtl/>
        </w:rPr>
      </w:pPr>
      <w:r w:rsidRPr="00904FCB">
        <w:rPr>
          <w:rFonts w:hint="cs"/>
          <w:sz w:val="27"/>
          <w:rtl/>
        </w:rPr>
        <w:t>لقد كانت طريقة الحل الأولى تعمد إلى تقسيم أحكام الإسلام إلى أحكام</w:t>
      </w:r>
      <w:r w:rsidR="00850B0C" w:rsidRPr="00904FCB">
        <w:rPr>
          <w:rFonts w:hint="cs"/>
          <w:sz w:val="27"/>
          <w:rtl/>
        </w:rPr>
        <w:t>ٍ</w:t>
      </w:r>
      <w:r w:rsidRPr="00904FCB">
        <w:rPr>
          <w:rFonts w:hint="cs"/>
          <w:sz w:val="27"/>
          <w:rtl/>
        </w:rPr>
        <w:t xml:space="preserve"> أو</w:t>
      </w:r>
      <w:r w:rsidR="00850B0C" w:rsidRPr="00904FCB">
        <w:rPr>
          <w:rFonts w:hint="cs"/>
          <w:sz w:val="27"/>
          <w:rtl/>
        </w:rPr>
        <w:t>ّ</w:t>
      </w:r>
      <w:r w:rsidRPr="00904FCB">
        <w:rPr>
          <w:rFonts w:hint="cs"/>
          <w:sz w:val="27"/>
          <w:rtl/>
        </w:rPr>
        <w:t>لية وثانوية، وتقوم على تصو</w:t>
      </w:r>
      <w:r w:rsidR="00850B0C" w:rsidRPr="00904FCB">
        <w:rPr>
          <w:rFonts w:hint="cs"/>
          <w:sz w:val="27"/>
          <w:rtl/>
        </w:rPr>
        <w:t>ُّ</w:t>
      </w:r>
      <w:r w:rsidRPr="00904FCB">
        <w:rPr>
          <w:rFonts w:hint="cs"/>
          <w:sz w:val="27"/>
          <w:rtl/>
        </w:rPr>
        <w:t>ر أن التمس</w:t>
      </w:r>
      <w:r w:rsidR="00850B0C" w:rsidRPr="00904FCB">
        <w:rPr>
          <w:rFonts w:hint="cs"/>
          <w:sz w:val="27"/>
          <w:rtl/>
        </w:rPr>
        <w:t>ُّ</w:t>
      </w:r>
      <w:r w:rsidRPr="00904FCB">
        <w:rPr>
          <w:rFonts w:hint="cs"/>
          <w:sz w:val="27"/>
          <w:rtl/>
        </w:rPr>
        <w:t>ك بالأحكام الثانوية يمث</w:t>
      </w:r>
      <w:r w:rsidR="00850B0C" w:rsidRPr="00904FCB">
        <w:rPr>
          <w:rFonts w:hint="cs"/>
          <w:sz w:val="27"/>
          <w:rtl/>
        </w:rPr>
        <w:t>ِّ</w:t>
      </w:r>
      <w:r w:rsidRPr="00904FCB">
        <w:rPr>
          <w:rFonts w:hint="cs"/>
          <w:sz w:val="27"/>
          <w:rtl/>
        </w:rPr>
        <w:t>ل العصا السحرية لحل</w:t>
      </w:r>
      <w:r w:rsidR="00850B0C" w:rsidRPr="00904FCB">
        <w:rPr>
          <w:rFonts w:hint="cs"/>
          <w:sz w:val="27"/>
          <w:rtl/>
        </w:rPr>
        <w:t>ّ</w:t>
      </w:r>
      <w:r w:rsidRPr="00904FCB">
        <w:rPr>
          <w:rFonts w:hint="cs"/>
          <w:sz w:val="27"/>
          <w:rtl/>
        </w:rPr>
        <w:t xml:space="preserve"> جميع المشاكل. أما طريقة الحل</w:t>
      </w:r>
      <w:r w:rsidR="00850B0C" w:rsidRPr="00904FCB">
        <w:rPr>
          <w:rFonts w:hint="cs"/>
          <w:sz w:val="27"/>
          <w:rtl/>
        </w:rPr>
        <w:t>ّ</w:t>
      </w:r>
      <w:r w:rsidRPr="00904FCB">
        <w:rPr>
          <w:rFonts w:hint="cs"/>
          <w:sz w:val="27"/>
          <w:rtl/>
        </w:rPr>
        <w:t xml:space="preserve"> الثانية فتعمد إلى تقسيم أحكام الإسلام إلى قسمين: الإحكام الإلهية</w:t>
      </w:r>
      <w:r w:rsidR="00850B0C" w:rsidRPr="00904FCB">
        <w:rPr>
          <w:rFonts w:hint="cs"/>
          <w:sz w:val="27"/>
          <w:rtl/>
        </w:rPr>
        <w:t>؛</w:t>
      </w:r>
      <w:r w:rsidRPr="00904FCB">
        <w:rPr>
          <w:rFonts w:hint="cs"/>
          <w:sz w:val="27"/>
          <w:rtl/>
        </w:rPr>
        <w:t xml:space="preserve"> والأحكام الحكومية (أو الولائية)</w:t>
      </w:r>
      <w:r w:rsidR="00850B0C" w:rsidRPr="00904FCB">
        <w:rPr>
          <w:rFonts w:hint="cs"/>
          <w:sz w:val="27"/>
          <w:rtl/>
        </w:rPr>
        <w:t>،</w:t>
      </w:r>
      <w:r w:rsidRPr="00904FCB">
        <w:rPr>
          <w:rFonts w:hint="cs"/>
          <w:sz w:val="27"/>
          <w:rtl/>
        </w:rPr>
        <w:t xml:space="preserve"> وتبحث عن طرق العلاج في إقامة الحكومة الإسلامية</w:t>
      </w:r>
      <w:r w:rsidR="00850B0C" w:rsidRPr="00904FCB">
        <w:rPr>
          <w:rFonts w:hint="cs"/>
          <w:sz w:val="27"/>
          <w:rtl/>
        </w:rPr>
        <w:t>،</w:t>
      </w:r>
      <w:r w:rsidRPr="00904FCB">
        <w:rPr>
          <w:rFonts w:hint="cs"/>
          <w:sz w:val="27"/>
          <w:rtl/>
        </w:rPr>
        <w:t xml:space="preserve"> والتمس</w:t>
      </w:r>
      <w:r w:rsidR="00850B0C" w:rsidRPr="00904FCB">
        <w:rPr>
          <w:rFonts w:hint="cs"/>
          <w:sz w:val="27"/>
          <w:rtl/>
        </w:rPr>
        <w:t>ُّ</w:t>
      </w:r>
      <w:r w:rsidRPr="00904FCB">
        <w:rPr>
          <w:rFonts w:hint="cs"/>
          <w:sz w:val="27"/>
          <w:rtl/>
        </w:rPr>
        <w:t xml:space="preserve">ك بالأحكام الحكومية. </w:t>
      </w:r>
    </w:p>
    <w:p w:rsidR="00A45FD9" w:rsidRPr="00904FCB" w:rsidRDefault="00A45FD9" w:rsidP="007A21AA">
      <w:pPr>
        <w:spacing w:line="400" w:lineRule="exact"/>
        <w:rPr>
          <w:sz w:val="27"/>
          <w:rtl/>
        </w:rPr>
      </w:pPr>
      <w:r w:rsidRPr="00904FCB">
        <w:rPr>
          <w:rFonts w:hint="cs"/>
          <w:sz w:val="27"/>
          <w:rtl/>
        </w:rPr>
        <w:t>أما طريقة الحل</w:t>
      </w:r>
      <w:r w:rsidR="00850B0C" w:rsidRPr="00904FCB">
        <w:rPr>
          <w:rFonts w:hint="cs"/>
          <w:sz w:val="27"/>
          <w:rtl/>
        </w:rPr>
        <w:t>ّ</w:t>
      </w:r>
      <w:r w:rsidRPr="00904FCB">
        <w:rPr>
          <w:rFonts w:hint="cs"/>
          <w:sz w:val="27"/>
          <w:rtl/>
        </w:rPr>
        <w:t xml:space="preserve"> الثالثة لمنشأ الأزمة والمشكلة فتكمن في القول بأن هذه الأزمة إنما تنشأ من تجاهل </w:t>
      </w:r>
      <w:r w:rsidRPr="00904FCB">
        <w:rPr>
          <w:rFonts w:hint="eastAsia"/>
          <w:sz w:val="27"/>
          <w:rtl/>
        </w:rPr>
        <w:t>«</w:t>
      </w:r>
      <w:r w:rsidRPr="00904FCB">
        <w:rPr>
          <w:rFonts w:hint="cs"/>
          <w:sz w:val="27"/>
          <w:rtl/>
        </w:rPr>
        <w:t>مقاصد الشريعة</w:t>
      </w:r>
      <w:r w:rsidRPr="00904FCB">
        <w:rPr>
          <w:rFonts w:hint="eastAsia"/>
          <w:sz w:val="27"/>
          <w:rtl/>
        </w:rPr>
        <w:t>»</w:t>
      </w:r>
      <w:r w:rsidRPr="00904FCB">
        <w:rPr>
          <w:rFonts w:hint="cs"/>
          <w:sz w:val="27"/>
          <w:rtl/>
        </w:rPr>
        <w:t xml:space="preserve"> في مقام استنباط الأحكام. يقول أنصار هذه الطريقة: إن </w:t>
      </w:r>
      <w:r w:rsidRPr="00904FCB">
        <w:rPr>
          <w:rFonts w:hint="eastAsia"/>
          <w:sz w:val="27"/>
          <w:rtl/>
        </w:rPr>
        <w:t>«</w:t>
      </w:r>
      <w:r w:rsidRPr="00904FCB">
        <w:rPr>
          <w:rFonts w:hint="cs"/>
          <w:sz w:val="27"/>
          <w:rtl/>
        </w:rPr>
        <w:t>أحكام</w:t>
      </w:r>
      <w:r w:rsidRPr="00904FCB">
        <w:rPr>
          <w:rFonts w:hint="eastAsia"/>
          <w:sz w:val="27"/>
          <w:rtl/>
        </w:rPr>
        <w:t>»</w:t>
      </w:r>
      <w:r w:rsidRPr="00904FCB">
        <w:rPr>
          <w:rFonts w:hint="cs"/>
          <w:sz w:val="27"/>
          <w:rtl/>
        </w:rPr>
        <w:t xml:space="preserve"> الشريعة تابعة</w:t>
      </w:r>
      <w:r w:rsidR="00850B0C" w:rsidRPr="00904FCB">
        <w:rPr>
          <w:rFonts w:hint="cs"/>
          <w:sz w:val="27"/>
          <w:rtl/>
        </w:rPr>
        <w:t>ٌ</w:t>
      </w:r>
      <w:r w:rsidRPr="00904FCB">
        <w:rPr>
          <w:rFonts w:hint="cs"/>
          <w:sz w:val="27"/>
          <w:rtl/>
        </w:rPr>
        <w:t xml:space="preserve"> لـ </w:t>
      </w:r>
      <w:r w:rsidRPr="00904FCB">
        <w:rPr>
          <w:rFonts w:hint="eastAsia"/>
          <w:sz w:val="27"/>
          <w:rtl/>
        </w:rPr>
        <w:t>«</w:t>
      </w:r>
      <w:r w:rsidRPr="00904FCB">
        <w:rPr>
          <w:rFonts w:hint="cs"/>
          <w:sz w:val="27"/>
          <w:rtl/>
        </w:rPr>
        <w:t>مقاصد</w:t>
      </w:r>
      <w:r w:rsidRPr="00904FCB">
        <w:rPr>
          <w:rFonts w:hint="eastAsia"/>
          <w:sz w:val="27"/>
          <w:rtl/>
        </w:rPr>
        <w:t>»</w:t>
      </w:r>
      <w:r w:rsidRPr="00904FCB">
        <w:rPr>
          <w:rFonts w:hint="cs"/>
          <w:sz w:val="27"/>
          <w:rtl/>
        </w:rPr>
        <w:t xml:space="preserve"> الشريعة، وإن الفقهاء إذا كانت لديهم إطلالة على مقاصد الشريعة عند استنباطهم لأحكامها سيحق</w:t>
      </w:r>
      <w:r w:rsidR="00850B0C" w:rsidRPr="00904FCB">
        <w:rPr>
          <w:rFonts w:hint="cs"/>
          <w:sz w:val="27"/>
          <w:rtl/>
        </w:rPr>
        <w:t>ِّ</w:t>
      </w:r>
      <w:r w:rsidRPr="00904FCB">
        <w:rPr>
          <w:rFonts w:hint="cs"/>
          <w:sz w:val="27"/>
          <w:rtl/>
        </w:rPr>
        <w:t>قون نجاحاً ملحوظاً في مواجهة تحد</w:t>
      </w:r>
      <w:r w:rsidR="00850B0C" w:rsidRPr="00904FCB">
        <w:rPr>
          <w:rFonts w:hint="cs"/>
          <w:sz w:val="27"/>
          <w:rtl/>
        </w:rPr>
        <w:t>ِّ</w:t>
      </w:r>
      <w:r w:rsidRPr="00904FCB">
        <w:rPr>
          <w:rFonts w:hint="cs"/>
          <w:sz w:val="27"/>
          <w:rtl/>
        </w:rPr>
        <w:t>يات العصر الحديث. يتمّ التعامل في هذا الحل</w:t>
      </w:r>
      <w:r w:rsidR="00850B0C" w:rsidRPr="00904FCB">
        <w:rPr>
          <w:rFonts w:hint="cs"/>
          <w:sz w:val="27"/>
          <w:rtl/>
        </w:rPr>
        <w:t>ّ</w:t>
      </w:r>
      <w:r w:rsidRPr="00904FCB">
        <w:rPr>
          <w:rFonts w:hint="cs"/>
          <w:sz w:val="27"/>
          <w:rtl/>
        </w:rPr>
        <w:t xml:space="preserve"> مع أحكام الشريعة بوصفها أدوات</w:t>
      </w:r>
      <w:r w:rsidR="00850B0C" w:rsidRPr="00904FCB">
        <w:rPr>
          <w:rFonts w:hint="cs"/>
          <w:sz w:val="27"/>
          <w:rtl/>
        </w:rPr>
        <w:t>ٍ</w:t>
      </w:r>
      <w:r w:rsidRPr="00904FCB">
        <w:rPr>
          <w:rFonts w:hint="cs"/>
          <w:sz w:val="27"/>
          <w:rtl/>
        </w:rPr>
        <w:t xml:space="preserve"> ي</w:t>
      </w:r>
      <w:r w:rsidR="00850B0C" w:rsidRPr="00904FCB">
        <w:rPr>
          <w:rFonts w:hint="cs"/>
          <w:sz w:val="27"/>
          <w:rtl/>
        </w:rPr>
        <w:t>ُ</w:t>
      </w:r>
      <w:r w:rsidRPr="00904FCB">
        <w:rPr>
          <w:rFonts w:hint="cs"/>
          <w:sz w:val="27"/>
          <w:rtl/>
        </w:rPr>
        <w:t>راد منها تحقيق أهداف الشريعة، وبذلك تكون مطلوبية هذه الأحكام بوصفها أدوات، وليس لها أي</w:t>
      </w:r>
      <w:r w:rsidR="00850B0C" w:rsidRPr="00904FCB">
        <w:rPr>
          <w:rFonts w:hint="cs"/>
          <w:sz w:val="27"/>
          <w:rtl/>
        </w:rPr>
        <w:t>ّ</w:t>
      </w:r>
      <w:r w:rsidRPr="00904FCB">
        <w:rPr>
          <w:rFonts w:hint="cs"/>
          <w:sz w:val="27"/>
          <w:rtl/>
        </w:rPr>
        <w:t xml:space="preserve"> مطلوبية أو قيمة ذاتية، بمعنى أن قيمة الأحكام الشرعية ترتبط بتلبيتها لمقاصد الشريعة فقط</w:t>
      </w:r>
      <w:r w:rsidRPr="00904FCB">
        <w:rPr>
          <w:sz w:val="27"/>
          <w:vertAlign w:val="superscript"/>
          <w:rtl/>
        </w:rPr>
        <w:t>(</w:t>
      </w:r>
      <w:r w:rsidRPr="00904FCB">
        <w:rPr>
          <w:sz w:val="27"/>
          <w:vertAlign w:val="superscript"/>
          <w:rtl/>
        </w:rPr>
        <w:endnoteReference w:id="22"/>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904FCB">
        <w:rPr>
          <w:rFonts w:hint="cs"/>
          <w:sz w:val="27"/>
          <w:rtl/>
        </w:rPr>
        <w:t>أما طريقة الحل</w:t>
      </w:r>
      <w:r w:rsidR="00850B0C" w:rsidRPr="00904FCB">
        <w:rPr>
          <w:rFonts w:hint="cs"/>
          <w:sz w:val="27"/>
          <w:rtl/>
        </w:rPr>
        <w:t>ّ</w:t>
      </w:r>
      <w:r w:rsidRPr="00904FCB">
        <w:rPr>
          <w:rFonts w:hint="cs"/>
          <w:sz w:val="27"/>
          <w:rtl/>
        </w:rPr>
        <w:t xml:space="preserve"> الرابعة والأخيرة فتؤك</w:t>
      </w:r>
      <w:r w:rsidR="00850B0C" w:rsidRPr="00904FCB">
        <w:rPr>
          <w:rFonts w:hint="cs"/>
          <w:sz w:val="27"/>
          <w:rtl/>
        </w:rPr>
        <w:t>ِّ</w:t>
      </w:r>
      <w:r w:rsidRPr="00904FCB">
        <w:rPr>
          <w:rFonts w:hint="cs"/>
          <w:sz w:val="27"/>
          <w:rtl/>
        </w:rPr>
        <w:t xml:space="preserve">د على </w:t>
      </w:r>
      <w:r w:rsidRPr="00904FCB">
        <w:rPr>
          <w:rFonts w:hint="eastAsia"/>
          <w:sz w:val="27"/>
          <w:rtl/>
        </w:rPr>
        <w:t>«</w:t>
      </w:r>
      <w:r w:rsidRPr="00904FCB">
        <w:rPr>
          <w:rFonts w:hint="cs"/>
          <w:sz w:val="27"/>
          <w:rtl/>
        </w:rPr>
        <w:t>دور الزمان والمكان في الاجتهاد</w:t>
      </w:r>
      <w:r w:rsidRPr="00904FCB">
        <w:rPr>
          <w:rFonts w:hint="eastAsia"/>
          <w:sz w:val="27"/>
          <w:rtl/>
        </w:rPr>
        <w:t>»</w:t>
      </w:r>
      <w:r w:rsidR="00850B0C" w:rsidRPr="00904FCB">
        <w:rPr>
          <w:rFonts w:hint="cs"/>
          <w:sz w:val="27"/>
          <w:rtl/>
        </w:rPr>
        <w:t xml:space="preserve">، </w:t>
      </w:r>
      <w:r w:rsidRPr="00904FCB">
        <w:rPr>
          <w:rFonts w:hint="cs"/>
          <w:sz w:val="27"/>
          <w:rtl/>
        </w:rPr>
        <w:t>و</w:t>
      </w:r>
      <w:r w:rsidRPr="00904FCB">
        <w:rPr>
          <w:rFonts w:hint="eastAsia"/>
          <w:sz w:val="27"/>
          <w:rtl/>
        </w:rPr>
        <w:t>«</w:t>
      </w:r>
      <w:r w:rsidRPr="00904FCB">
        <w:rPr>
          <w:rFonts w:hint="cs"/>
          <w:sz w:val="27"/>
          <w:rtl/>
        </w:rPr>
        <w:t>تقديم مصلحة النظام على الأحكام الأو</w:t>
      </w:r>
      <w:r w:rsidR="00850B0C" w:rsidRPr="00904FCB">
        <w:rPr>
          <w:rFonts w:hint="cs"/>
          <w:sz w:val="27"/>
          <w:rtl/>
        </w:rPr>
        <w:t>ّ</w:t>
      </w:r>
      <w:r w:rsidRPr="00904FCB">
        <w:rPr>
          <w:rFonts w:hint="cs"/>
          <w:sz w:val="27"/>
          <w:rtl/>
        </w:rPr>
        <w:t>لية والثانوية عند التعارض فيما بينها</w:t>
      </w:r>
      <w:r w:rsidRPr="00904FCB">
        <w:rPr>
          <w:rFonts w:hint="eastAsia"/>
          <w:sz w:val="27"/>
          <w:rtl/>
        </w:rPr>
        <w:t>»</w:t>
      </w:r>
      <w:r w:rsidRPr="00904FCB">
        <w:rPr>
          <w:rFonts w:hint="cs"/>
          <w:sz w:val="27"/>
          <w:rtl/>
        </w:rPr>
        <w:t>. ويقوم هذا الحل</w:t>
      </w:r>
      <w:r w:rsidR="00850B0C" w:rsidRPr="00904FCB">
        <w:rPr>
          <w:rFonts w:hint="cs"/>
          <w:sz w:val="27"/>
          <w:rtl/>
        </w:rPr>
        <w:t>ّ</w:t>
      </w:r>
      <w:r w:rsidRPr="00904FCB">
        <w:rPr>
          <w:rFonts w:hint="cs"/>
          <w:sz w:val="27"/>
          <w:rtl/>
        </w:rPr>
        <w:t xml:space="preserve"> على فرضية أن إخفاق الفقه التقليدي في مواجهة تحديات العصر الحديث ينشأ عن هذين العنصرين الأساسيين: </w:t>
      </w:r>
    </w:p>
    <w:p w:rsidR="00A45FD9" w:rsidRPr="00904FCB" w:rsidRDefault="00A45FD9" w:rsidP="007A21AA">
      <w:pPr>
        <w:spacing w:line="400" w:lineRule="exact"/>
        <w:rPr>
          <w:sz w:val="27"/>
        </w:rPr>
      </w:pPr>
      <w:r w:rsidRPr="00CB554E">
        <w:rPr>
          <w:sz w:val="27"/>
          <w:rtl/>
        </w:rPr>
        <w:t>1ـ الغفلة عن دور الزمان والمكان في الاجتهاد، وتغي</w:t>
      </w:r>
      <w:r w:rsidR="00D65EB1" w:rsidRPr="00CB554E">
        <w:rPr>
          <w:rFonts w:hint="cs"/>
          <w:sz w:val="27"/>
          <w:rtl/>
        </w:rPr>
        <w:t>ُّ</w:t>
      </w:r>
      <w:r w:rsidRPr="00CB554E">
        <w:rPr>
          <w:sz w:val="27"/>
          <w:rtl/>
        </w:rPr>
        <w:t>ر الموضوعات إثر تغي</w:t>
      </w:r>
      <w:r w:rsidR="00D65EB1" w:rsidRPr="00CB554E">
        <w:rPr>
          <w:rFonts w:hint="cs"/>
          <w:sz w:val="27"/>
          <w:rtl/>
        </w:rPr>
        <w:t>ُّ</w:t>
      </w:r>
      <w:r w:rsidRPr="00CB554E">
        <w:rPr>
          <w:sz w:val="27"/>
          <w:rtl/>
        </w:rPr>
        <w:t>ر</w:t>
      </w:r>
      <w:r w:rsidRPr="00904FCB">
        <w:rPr>
          <w:sz w:val="27"/>
          <w:rtl/>
        </w:rPr>
        <w:t xml:space="preserve"> الزمان والمكان. </w:t>
      </w:r>
    </w:p>
    <w:p w:rsidR="00A45FD9" w:rsidRPr="00904FCB" w:rsidRDefault="00657CF9" w:rsidP="007A21AA">
      <w:pPr>
        <w:spacing w:line="400" w:lineRule="exact"/>
        <w:rPr>
          <w:sz w:val="27"/>
          <w:rtl/>
        </w:rPr>
      </w:pPr>
      <w:r w:rsidRPr="00CB554E">
        <w:rPr>
          <w:sz w:val="27"/>
          <w:rtl/>
        </w:rPr>
        <w:t>2</w:t>
      </w:r>
      <w:r w:rsidR="00A45FD9" w:rsidRPr="00CB554E">
        <w:rPr>
          <w:sz w:val="27"/>
          <w:rtl/>
        </w:rPr>
        <w:t>ـ تجاهل أصل تقديم الأهم</w:t>
      </w:r>
      <w:r w:rsidR="00D65EB1" w:rsidRPr="00CB554E">
        <w:rPr>
          <w:rFonts w:hint="cs"/>
          <w:sz w:val="27"/>
          <w:rtl/>
        </w:rPr>
        <w:t>ّ</w:t>
      </w:r>
      <w:r w:rsidR="00A45FD9" w:rsidRPr="00CB554E">
        <w:rPr>
          <w:sz w:val="27"/>
          <w:rtl/>
        </w:rPr>
        <w:t xml:space="preserve"> على المهم</w:t>
      </w:r>
      <w:r w:rsidR="00113C7A" w:rsidRPr="00CB554E">
        <w:rPr>
          <w:rFonts w:hint="cs"/>
          <w:sz w:val="27"/>
          <w:rtl/>
        </w:rPr>
        <w:t>ّ</w:t>
      </w:r>
      <w:r w:rsidR="00A45FD9" w:rsidRPr="00CB554E">
        <w:rPr>
          <w:sz w:val="27"/>
          <w:rtl/>
        </w:rPr>
        <w:t xml:space="preserve"> عند تعارض الأحكام، وأن حفظ النظام</w:t>
      </w:r>
      <w:r w:rsidR="00A45FD9" w:rsidRPr="00904FCB">
        <w:rPr>
          <w:sz w:val="27"/>
          <w:rtl/>
        </w:rPr>
        <w:t xml:space="preserve"> ومصالحه من أهم</w:t>
      </w:r>
      <w:r w:rsidR="00D65EB1" w:rsidRPr="00904FCB">
        <w:rPr>
          <w:rFonts w:hint="cs"/>
          <w:sz w:val="27"/>
          <w:rtl/>
        </w:rPr>
        <w:t>ّ</w:t>
      </w:r>
      <w:r w:rsidR="00A45FD9" w:rsidRPr="00904FCB">
        <w:rPr>
          <w:sz w:val="27"/>
          <w:rtl/>
        </w:rPr>
        <w:t xml:space="preserve"> التكاليف الشرعية عند تعارضها مع سائر الأحكام الشرعية</w:t>
      </w:r>
      <w:r w:rsidR="00D65EB1" w:rsidRPr="00904FCB">
        <w:rPr>
          <w:rFonts w:hint="cs"/>
          <w:sz w:val="27"/>
          <w:rtl/>
        </w:rPr>
        <w:t>، فتُقدَّم</w:t>
      </w:r>
      <w:r w:rsidR="00A45FD9" w:rsidRPr="00904FCB">
        <w:rPr>
          <w:sz w:val="27"/>
          <w:rtl/>
        </w:rPr>
        <w:t xml:space="preserve"> على جميع الأحكام الأولية والثانوية. </w:t>
      </w:r>
    </w:p>
    <w:p w:rsidR="00A45FD9" w:rsidRPr="00904FCB" w:rsidRDefault="00A45FD9" w:rsidP="007A21AA">
      <w:pPr>
        <w:spacing w:line="400" w:lineRule="exact"/>
        <w:rPr>
          <w:sz w:val="27"/>
          <w:rtl/>
        </w:rPr>
      </w:pPr>
      <w:r w:rsidRPr="00904FCB">
        <w:rPr>
          <w:sz w:val="27"/>
          <w:rtl/>
        </w:rPr>
        <w:t>وكما هو واضح</w:t>
      </w:r>
      <w:r w:rsidR="00D65EB1" w:rsidRPr="00904FCB">
        <w:rPr>
          <w:rFonts w:hint="cs"/>
          <w:sz w:val="27"/>
          <w:rtl/>
        </w:rPr>
        <w:t>ٌ</w:t>
      </w:r>
      <w:r w:rsidRPr="00904FCB">
        <w:rPr>
          <w:sz w:val="27"/>
          <w:rtl/>
        </w:rPr>
        <w:t xml:space="preserve"> فإن هذه الحلول تفترض التسليم بالأطر والمباني التي يقوم عليها الفقه التقليدي، ولا تشكل على أخلاق الاجتهاد أو أخلاق البحث والتفكير </w:t>
      </w:r>
      <w:r w:rsidRPr="00904FCB">
        <w:rPr>
          <w:sz w:val="27"/>
          <w:rtl/>
        </w:rPr>
        <w:lastRenderedPageBreak/>
        <w:t xml:space="preserve">الفقهي، وإنما ترى جذور المشكلة في أخطاء الفقهاء في </w:t>
      </w:r>
      <w:r w:rsidRPr="00904FCB">
        <w:rPr>
          <w:rFonts w:hint="eastAsia"/>
          <w:sz w:val="27"/>
          <w:rtl/>
        </w:rPr>
        <w:t>«</w:t>
      </w:r>
      <w:r w:rsidRPr="00904FCB">
        <w:rPr>
          <w:sz w:val="27"/>
          <w:rtl/>
        </w:rPr>
        <w:t>طريقة تطبيق</w:t>
      </w:r>
      <w:r w:rsidRPr="00904FCB">
        <w:rPr>
          <w:rFonts w:hint="eastAsia"/>
          <w:sz w:val="27"/>
          <w:rtl/>
        </w:rPr>
        <w:t>»</w:t>
      </w:r>
      <w:r w:rsidRPr="00904FCB">
        <w:rPr>
          <w:sz w:val="27"/>
          <w:rtl/>
        </w:rPr>
        <w:t xml:space="preserve"> الأصول على الفروع</w:t>
      </w:r>
      <w:r w:rsidR="00D65EB1" w:rsidRPr="00904FCB">
        <w:rPr>
          <w:rFonts w:hint="cs"/>
          <w:sz w:val="27"/>
          <w:rtl/>
        </w:rPr>
        <w:t>،</w:t>
      </w:r>
      <w:r w:rsidRPr="00904FCB">
        <w:rPr>
          <w:sz w:val="27"/>
          <w:rtl/>
        </w:rPr>
        <w:t xml:space="preserve"> أو كيفية إدراج الموضوعات الجديدة تحت العناوين القديمة. وبعبارة</w:t>
      </w:r>
      <w:r w:rsidR="00D65EB1" w:rsidRPr="00904FCB">
        <w:rPr>
          <w:rFonts w:hint="cs"/>
          <w:sz w:val="27"/>
          <w:rtl/>
        </w:rPr>
        <w:t>ٍ</w:t>
      </w:r>
      <w:r w:rsidRPr="00904FCB">
        <w:rPr>
          <w:sz w:val="27"/>
          <w:rtl/>
        </w:rPr>
        <w:t xml:space="preserve"> أخرى: إن هذه الحلول تقرّ بكفاية وشمولية الأصول القديمة، ويقتصر نقدها على </w:t>
      </w:r>
      <w:r w:rsidRPr="00904FCB">
        <w:rPr>
          <w:rFonts w:hint="eastAsia"/>
          <w:sz w:val="27"/>
          <w:rtl/>
        </w:rPr>
        <w:t>«</w:t>
      </w:r>
      <w:r w:rsidRPr="00904FCB">
        <w:rPr>
          <w:sz w:val="27"/>
          <w:rtl/>
        </w:rPr>
        <w:t>الخطأ في التطبيق</w:t>
      </w:r>
      <w:r w:rsidRPr="00904FCB">
        <w:rPr>
          <w:rFonts w:hint="eastAsia"/>
          <w:sz w:val="27"/>
          <w:rtl/>
        </w:rPr>
        <w:t>»</w:t>
      </w:r>
      <w:r w:rsidRPr="00904FCB">
        <w:rPr>
          <w:sz w:val="27"/>
          <w:rtl/>
        </w:rPr>
        <w:t>. فالحلّ الأول يقول: إن إخفاق الفقه التقليدي في مواجهة تحد</w:t>
      </w:r>
      <w:r w:rsidR="00D65EB1" w:rsidRPr="00904FCB">
        <w:rPr>
          <w:rFonts w:hint="cs"/>
          <w:sz w:val="27"/>
          <w:rtl/>
        </w:rPr>
        <w:t>ّ</w:t>
      </w:r>
      <w:r w:rsidRPr="00904FCB">
        <w:rPr>
          <w:sz w:val="27"/>
          <w:rtl/>
        </w:rPr>
        <w:t xml:space="preserve">يات العصر الحديث ناشئ عن قيام الفقهاء بإدراج الموضوعات الجديدة في هامش العناوية </w:t>
      </w:r>
      <w:r w:rsidRPr="00904FCB">
        <w:rPr>
          <w:rFonts w:hint="eastAsia"/>
          <w:sz w:val="27"/>
          <w:rtl/>
        </w:rPr>
        <w:t>«</w:t>
      </w:r>
      <w:r w:rsidRPr="00904FCB">
        <w:rPr>
          <w:sz w:val="27"/>
          <w:rtl/>
        </w:rPr>
        <w:t>الأولية</w:t>
      </w:r>
      <w:r w:rsidRPr="00904FCB">
        <w:rPr>
          <w:rFonts w:hint="eastAsia"/>
          <w:sz w:val="27"/>
          <w:rtl/>
        </w:rPr>
        <w:t>»</w:t>
      </w:r>
      <w:r w:rsidRPr="00904FCB">
        <w:rPr>
          <w:sz w:val="27"/>
          <w:rtl/>
        </w:rPr>
        <w:t>، في حين أن هذه الموضوعات تمث</w:t>
      </w:r>
      <w:r w:rsidR="00D65EB1" w:rsidRPr="00904FCB">
        <w:rPr>
          <w:rFonts w:hint="cs"/>
          <w:sz w:val="27"/>
          <w:rtl/>
        </w:rPr>
        <w:t>ِّ</w:t>
      </w:r>
      <w:r w:rsidRPr="00904FCB">
        <w:rPr>
          <w:sz w:val="27"/>
          <w:rtl/>
        </w:rPr>
        <w:t xml:space="preserve">ل مصاديق للعناوين </w:t>
      </w:r>
      <w:r w:rsidRPr="00904FCB">
        <w:rPr>
          <w:rFonts w:hint="eastAsia"/>
          <w:sz w:val="27"/>
          <w:rtl/>
        </w:rPr>
        <w:t>«</w:t>
      </w:r>
      <w:r w:rsidRPr="00904FCB">
        <w:rPr>
          <w:sz w:val="27"/>
          <w:rtl/>
        </w:rPr>
        <w:t>الثانوية</w:t>
      </w:r>
      <w:r w:rsidRPr="00904FCB">
        <w:rPr>
          <w:rFonts w:hint="eastAsia"/>
          <w:sz w:val="27"/>
          <w:rtl/>
        </w:rPr>
        <w:t>»</w:t>
      </w:r>
      <w:r w:rsidRPr="00904FCB">
        <w:rPr>
          <w:sz w:val="27"/>
          <w:rtl/>
        </w:rPr>
        <w:t xml:space="preserve">، ويجب لذلك إدراجها في هامش العناوين الثانوية، وحمل العناوين الثانوية عليها. </w:t>
      </w:r>
    </w:p>
    <w:p w:rsidR="00A45FD9" w:rsidRPr="00904FCB" w:rsidRDefault="00A45FD9" w:rsidP="007A21AA">
      <w:pPr>
        <w:spacing w:line="400" w:lineRule="exact"/>
        <w:rPr>
          <w:sz w:val="27"/>
          <w:rtl/>
        </w:rPr>
      </w:pPr>
      <w:r w:rsidRPr="00904FCB">
        <w:rPr>
          <w:sz w:val="27"/>
          <w:rtl/>
        </w:rPr>
        <w:t>والحل</w:t>
      </w:r>
      <w:r w:rsidR="00D65EB1" w:rsidRPr="00904FCB">
        <w:rPr>
          <w:rFonts w:hint="cs"/>
          <w:sz w:val="27"/>
          <w:rtl/>
        </w:rPr>
        <w:t>ّ</w:t>
      </w:r>
      <w:r w:rsidRPr="00904FCB">
        <w:rPr>
          <w:sz w:val="27"/>
          <w:rtl/>
        </w:rPr>
        <w:t xml:space="preserve"> الثاني يقول: إن المشكلة تنشأ من أن الفقهاء يدرجون الموضوعات الجديدة ضمن العناوين الأو</w:t>
      </w:r>
      <w:r w:rsidR="00D65EB1" w:rsidRPr="00904FCB">
        <w:rPr>
          <w:rFonts w:hint="cs"/>
          <w:sz w:val="27"/>
          <w:rtl/>
        </w:rPr>
        <w:t>ّ</w:t>
      </w:r>
      <w:r w:rsidRPr="00904FCB">
        <w:rPr>
          <w:sz w:val="27"/>
          <w:rtl/>
        </w:rPr>
        <w:t xml:space="preserve">لية أو الثانوية، ويحملون الأحكام الأولية أو الثانوية عليها، في حين أن هذه الموضوعات تقع في </w:t>
      </w:r>
      <w:r w:rsidRPr="00904FCB">
        <w:rPr>
          <w:rFonts w:hint="eastAsia"/>
          <w:sz w:val="27"/>
          <w:rtl/>
        </w:rPr>
        <w:t>«</w:t>
      </w:r>
      <w:r w:rsidRPr="00904FCB">
        <w:rPr>
          <w:sz w:val="27"/>
          <w:rtl/>
        </w:rPr>
        <w:t>منطقة الفراغ</w:t>
      </w:r>
      <w:r w:rsidRPr="00904FCB">
        <w:rPr>
          <w:rFonts w:hint="eastAsia"/>
          <w:sz w:val="27"/>
          <w:rtl/>
        </w:rPr>
        <w:t>»</w:t>
      </w:r>
      <w:r w:rsidRPr="00904FCB">
        <w:rPr>
          <w:sz w:val="27"/>
          <w:rtl/>
        </w:rPr>
        <w:t>، وإن على المجتمع أو الحاكم الإسلامي أن يحد</w:t>
      </w:r>
      <w:r w:rsidR="00D65EB1" w:rsidRPr="00904FCB">
        <w:rPr>
          <w:rFonts w:hint="cs"/>
          <w:sz w:val="27"/>
          <w:rtl/>
        </w:rPr>
        <w:t>ِّ</w:t>
      </w:r>
      <w:r w:rsidRPr="00904FCB">
        <w:rPr>
          <w:sz w:val="27"/>
          <w:rtl/>
        </w:rPr>
        <w:t xml:space="preserve">د الوظيفة فيها من طريق الحكم الولائي أو الحكم الحكومي. </w:t>
      </w:r>
    </w:p>
    <w:p w:rsidR="00A45FD9" w:rsidRPr="00904FCB" w:rsidRDefault="00A45FD9" w:rsidP="007A21AA">
      <w:pPr>
        <w:spacing w:line="400" w:lineRule="exact"/>
        <w:rPr>
          <w:sz w:val="27"/>
          <w:rtl/>
        </w:rPr>
      </w:pPr>
      <w:r w:rsidRPr="00904FCB">
        <w:rPr>
          <w:sz w:val="27"/>
          <w:rtl/>
        </w:rPr>
        <w:t>وأما طريق الحل</w:t>
      </w:r>
      <w:r w:rsidR="00D65EB1" w:rsidRPr="00904FCB">
        <w:rPr>
          <w:rFonts w:hint="cs"/>
          <w:sz w:val="27"/>
          <w:rtl/>
        </w:rPr>
        <w:t>ّ</w:t>
      </w:r>
      <w:r w:rsidRPr="00904FCB">
        <w:rPr>
          <w:sz w:val="27"/>
          <w:rtl/>
        </w:rPr>
        <w:t xml:space="preserve"> الثالث فيقول: حيث</w:t>
      </w:r>
      <w:r w:rsidR="00D65EB1" w:rsidRPr="00904FCB">
        <w:rPr>
          <w:sz w:val="27"/>
          <w:rtl/>
        </w:rPr>
        <w:t xml:space="preserve"> </w:t>
      </w:r>
      <w:r w:rsidR="00D65EB1" w:rsidRPr="00904FCB">
        <w:rPr>
          <w:rFonts w:hint="cs"/>
          <w:sz w:val="27"/>
          <w:rtl/>
        </w:rPr>
        <w:t>إ</w:t>
      </w:r>
      <w:r w:rsidRPr="00904FCB">
        <w:rPr>
          <w:sz w:val="27"/>
          <w:rtl/>
        </w:rPr>
        <w:t>ن مقاصد الشريعة متقد</w:t>
      </w:r>
      <w:r w:rsidR="00D65EB1" w:rsidRPr="00904FCB">
        <w:rPr>
          <w:rFonts w:hint="cs"/>
          <w:sz w:val="27"/>
          <w:rtl/>
        </w:rPr>
        <w:t>ِّ</w:t>
      </w:r>
      <w:r w:rsidRPr="00904FCB">
        <w:rPr>
          <w:sz w:val="27"/>
          <w:rtl/>
        </w:rPr>
        <w:t xml:space="preserve">مة على أحكام الشريعة، وحيث </w:t>
      </w:r>
      <w:r w:rsidR="00D65EB1" w:rsidRPr="00904FCB">
        <w:rPr>
          <w:rFonts w:hint="cs"/>
          <w:sz w:val="27"/>
          <w:rtl/>
        </w:rPr>
        <w:t>إ</w:t>
      </w:r>
      <w:r w:rsidRPr="00904FCB">
        <w:rPr>
          <w:sz w:val="27"/>
          <w:rtl/>
        </w:rPr>
        <w:t>ن تطبيق هذه الأحكام على الموضوعات الجديدة لا يلب</w:t>
      </w:r>
      <w:r w:rsidRPr="00904FCB">
        <w:rPr>
          <w:rFonts w:hint="cs"/>
          <w:sz w:val="27"/>
          <w:rtl/>
        </w:rPr>
        <w:t>ّ</w:t>
      </w:r>
      <w:r w:rsidRPr="00904FCB">
        <w:rPr>
          <w:sz w:val="27"/>
          <w:rtl/>
        </w:rPr>
        <w:t>ي مقاصد الشريعة، إذن لا</w:t>
      </w:r>
      <w:r w:rsidR="00D65EB1" w:rsidRPr="00904FCB">
        <w:rPr>
          <w:rFonts w:hint="cs"/>
          <w:sz w:val="27"/>
          <w:rtl/>
        </w:rPr>
        <w:t xml:space="preserve"> </w:t>
      </w:r>
      <w:r w:rsidRPr="00904FCB">
        <w:rPr>
          <w:sz w:val="27"/>
          <w:rtl/>
        </w:rPr>
        <w:t>ب</w:t>
      </w:r>
      <w:r w:rsidR="00D65EB1" w:rsidRPr="00904FCB">
        <w:rPr>
          <w:rFonts w:hint="cs"/>
          <w:sz w:val="27"/>
          <w:rtl/>
        </w:rPr>
        <w:t>ُ</w:t>
      </w:r>
      <w:r w:rsidRPr="00904FCB">
        <w:rPr>
          <w:sz w:val="27"/>
          <w:rtl/>
        </w:rPr>
        <w:t>د</w:t>
      </w:r>
      <w:r w:rsidR="00D65EB1" w:rsidRPr="00904FCB">
        <w:rPr>
          <w:rFonts w:hint="cs"/>
          <w:sz w:val="27"/>
          <w:rtl/>
        </w:rPr>
        <w:t>َّ</w:t>
      </w:r>
      <w:r w:rsidRPr="00904FCB">
        <w:rPr>
          <w:sz w:val="27"/>
          <w:rtl/>
        </w:rPr>
        <w:t xml:space="preserve"> من توسيع دائرة الأحكام الشرعية، واعتبار النصوص المبي</w:t>
      </w:r>
      <w:r w:rsidR="00083959" w:rsidRPr="00904FCB">
        <w:rPr>
          <w:rFonts w:hint="cs"/>
          <w:sz w:val="27"/>
          <w:rtl/>
        </w:rPr>
        <w:t>ِّ</w:t>
      </w:r>
      <w:r w:rsidRPr="00904FCB">
        <w:rPr>
          <w:sz w:val="27"/>
          <w:rtl/>
        </w:rPr>
        <w:t>نة لمقاصد الشريعة بوصفها جزءا</w:t>
      </w:r>
      <w:r w:rsidRPr="00904FCB">
        <w:rPr>
          <w:rFonts w:hint="cs"/>
          <w:sz w:val="27"/>
          <w:rtl/>
        </w:rPr>
        <w:t>ً</w:t>
      </w:r>
      <w:r w:rsidRPr="00904FCB">
        <w:rPr>
          <w:sz w:val="27"/>
          <w:rtl/>
        </w:rPr>
        <w:t xml:space="preserve"> من مصادر الأحكام، وتخصيص أحكام الشرع بمقاصد الشريعة. </w:t>
      </w:r>
    </w:p>
    <w:p w:rsidR="00A45FD9" w:rsidRPr="00904FCB" w:rsidRDefault="00083959" w:rsidP="007A21AA">
      <w:pPr>
        <w:spacing w:line="400" w:lineRule="exact"/>
        <w:rPr>
          <w:sz w:val="27"/>
          <w:rtl/>
        </w:rPr>
      </w:pPr>
      <w:r w:rsidRPr="00904FCB">
        <w:rPr>
          <w:rFonts w:hint="cs"/>
          <w:sz w:val="27"/>
          <w:rtl/>
        </w:rPr>
        <w:t xml:space="preserve">ويقوم </w:t>
      </w:r>
      <w:r w:rsidR="00A45FD9" w:rsidRPr="00904FCB">
        <w:rPr>
          <w:sz w:val="27"/>
          <w:rtl/>
        </w:rPr>
        <w:t>الحل</w:t>
      </w:r>
      <w:r w:rsidRPr="00904FCB">
        <w:rPr>
          <w:rFonts w:hint="cs"/>
          <w:sz w:val="27"/>
          <w:rtl/>
        </w:rPr>
        <w:t>ّ</w:t>
      </w:r>
      <w:r w:rsidR="00A45FD9" w:rsidRPr="00904FCB">
        <w:rPr>
          <w:sz w:val="27"/>
          <w:rtl/>
        </w:rPr>
        <w:t xml:space="preserve"> الرابع على فرضية تقول</w:t>
      </w:r>
      <w:r w:rsidR="00A45FD9" w:rsidRPr="00904FCB">
        <w:rPr>
          <w:rFonts w:hint="cs"/>
          <w:sz w:val="27"/>
          <w:rtl/>
        </w:rPr>
        <w:t xml:space="preserve">: </w:t>
      </w:r>
      <w:r w:rsidR="00A45FD9" w:rsidRPr="00904FCB">
        <w:rPr>
          <w:sz w:val="27"/>
          <w:rtl/>
        </w:rPr>
        <w:t>إن إخفاق الفقه التقليدي، وعدم كفاية الاجتهاد المصطلح، ناشئ</w:t>
      </w:r>
      <w:r w:rsidRPr="00904FCB">
        <w:rPr>
          <w:rFonts w:hint="cs"/>
          <w:sz w:val="27"/>
          <w:rtl/>
        </w:rPr>
        <w:t>ٌ</w:t>
      </w:r>
      <w:r w:rsidR="00A45FD9" w:rsidRPr="00904FCB">
        <w:rPr>
          <w:sz w:val="27"/>
          <w:rtl/>
        </w:rPr>
        <w:t xml:space="preserve"> عن خطأ الفقهاء في </w:t>
      </w:r>
      <w:r w:rsidR="00A45FD9" w:rsidRPr="00904FCB">
        <w:rPr>
          <w:rFonts w:hint="eastAsia"/>
          <w:sz w:val="27"/>
          <w:rtl/>
        </w:rPr>
        <w:t>«</w:t>
      </w:r>
      <w:r w:rsidR="00A45FD9" w:rsidRPr="00904FCB">
        <w:rPr>
          <w:sz w:val="27"/>
          <w:rtl/>
        </w:rPr>
        <w:t>تحديد الموضوع</w:t>
      </w:r>
      <w:r w:rsidR="00A45FD9" w:rsidRPr="00904FCB">
        <w:rPr>
          <w:rFonts w:hint="eastAsia"/>
          <w:sz w:val="27"/>
          <w:rtl/>
        </w:rPr>
        <w:t>»</w:t>
      </w:r>
      <w:r w:rsidRPr="00904FCB">
        <w:rPr>
          <w:rFonts w:hint="cs"/>
          <w:sz w:val="27"/>
          <w:rtl/>
        </w:rPr>
        <w:t>،</w:t>
      </w:r>
      <w:r w:rsidR="00A45FD9" w:rsidRPr="00904FCB">
        <w:rPr>
          <w:sz w:val="27"/>
          <w:rtl/>
        </w:rPr>
        <w:t xml:space="preserve"> و</w:t>
      </w:r>
      <w:r w:rsidR="00A45FD9" w:rsidRPr="00904FCB">
        <w:rPr>
          <w:rFonts w:hint="eastAsia"/>
          <w:sz w:val="27"/>
          <w:rtl/>
        </w:rPr>
        <w:t>«</w:t>
      </w:r>
      <w:r w:rsidR="00A45FD9" w:rsidRPr="00904FCB">
        <w:rPr>
          <w:sz w:val="27"/>
          <w:rtl/>
        </w:rPr>
        <w:t>تشخيص المصلحة</w:t>
      </w:r>
      <w:r w:rsidR="00A45FD9" w:rsidRPr="00904FCB">
        <w:rPr>
          <w:rFonts w:hint="eastAsia"/>
          <w:sz w:val="27"/>
          <w:rtl/>
        </w:rPr>
        <w:t>»</w:t>
      </w:r>
      <w:r w:rsidR="00A45FD9" w:rsidRPr="00904FCB">
        <w:rPr>
          <w:sz w:val="27"/>
          <w:rtl/>
        </w:rPr>
        <w:t xml:space="preserve">. </w:t>
      </w:r>
    </w:p>
    <w:p w:rsidR="00A45FD9" w:rsidRPr="00904FCB" w:rsidRDefault="00A45FD9" w:rsidP="007A21AA">
      <w:pPr>
        <w:spacing w:line="400" w:lineRule="exact"/>
        <w:rPr>
          <w:sz w:val="27"/>
          <w:rtl/>
        </w:rPr>
      </w:pPr>
      <w:r w:rsidRPr="00904FCB">
        <w:rPr>
          <w:sz w:val="27"/>
          <w:rtl/>
        </w:rPr>
        <w:t>وبكلمة</w:t>
      </w:r>
      <w:r w:rsidR="00083959" w:rsidRPr="00904FCB">
        <w:rPr>
          <w:rFonts w:hint="cs"/>
          <w:sz w:val="27"/>
          <w:rtl/>
        </w:rPr>
        <w:t>ٍ</w:t>
      </w:r>
      <w:r w:rsidRPr="00904FCB">
        <w:rPr>
          <w:sz w:val="27"/>
          <w:rtl/>
        </w:rPr>
        <w:t xml:space="preserve"> واحدة</w:t>
      </w:r>
      <w:r w:rsidR="00083959" w:rsidRPr="00904FCB">
        <w:rPr>
          <w:rFonts w:hint="cs"/>
          <w:sz w:val="27"/>
          <w:rtl/>
        </w:rPr>
        <w:t>:</w:t>
      </w:r>
      <w:r w:rsidRPr="00904FCB">
        <w:rPr>
          <w:sz w:val="27"/>
          <w:rtl/>
        </w:rPr>
        <w:t xml:space="preserve"> إن هذه الحلول تبقي على العقلانية والأخلاق التي يقوم الفقه على أساسها، ولا تدعو المخلصين إلى إعادة الن</w:t>
      </w:r>
      <w:r w:rsidR="00083959" w:rsidRPr="00904FCB">
        <w:rPr>
          <w:rFonts w:hint="cs"/>
          <w:sz w:val="27"/>
          <w:rtl/>
        </w:rPr>
        <w:t>َّ</w:t>
      </w:r>
      <w:r w:rsidRPr="00904FCB">
        <w:rPr>
          <w:sz w:val="27"/>
          <w:rtl/>
        </w:rPr>
        <w:t>ظ</w:t>
      </w:r>
      <w:r w:rsidR="00083959" w:rsidRPr="00904FCB">
        <w:rPr>
          <w:rFonts w:hint="cs"/>
          <w:sz w:val="27"/>
          <w:rtl/>
        </w:rPr>
        <w:t>َ</w:t>
      </w:r>
      <w:r w:rsidRPr="00904FCB">
        <w:rPr>
          <w:sz w:val="27"/>
          <w:rtl/>
        </w:rPr>
        <w:t>ر في تلك الأسس والمباني. وهذا هو مكمن السرّ في اعتبار هذه الحلول حلولا</w:t>
      </w:r>
      <w:r w:rsidR="00083959" w:rsidRPr="00904FCB">
        <w:rPr>
          <w:rFonts w:hint="cs"/>
          <w:sz w:val="27"/>
          <w:rtl/>
        </w:rPr>
        <w:t>ً</w:t>
      </w:r>
      <w:r w:rsidRPr="00904FCB">
        <w:rPr>
          <w:sz w:val="27"/>
          <w:rtl/>
        </w:rPr>
        <w:t xml:space="preserve"> تقليدية. </w:t>
      </w:r>
    </w:p>
    <w:p w:rsidR="00A45FD9" w:rsidRPr="00904FCB" w:rsidRDefault="00A45FD9" w:rsidP="007A21AA">
      <w:pPr>
        <w:spacing w:line="400" w:lineRule="exact"/>
        <w:rPr>
          <w:sz w:val="27"/>
          <w:rtl/>
        </w:rPr>
      </w:pPr>
      <w:r w:rsidRPr="00904FCB">
        <w:rPr>
          <w:sz w:val="27"/>
          <w:rtl/>
        </w:rPr>
        <w:t xml:space="preserve">وبطبيعة الحال فإن هذه الحلول ـ </w:t>
      </w:r>
      <w:r w:rsidR="00083959" w:rsidRPr="00904FCB">
        <w:rPr>
          <w:rFonts w:hint="cs"/>
          <w:sz w:val="27"/>
          <w:rtl/>
        </w:rPr>
        <w:t>و</w:t>
      </w:r>
      <w:r w:rsidRPr="00904FCB">
        <w:rPr>
          <w:sz w:val="27"/>
          <w:rtl/>
        </w:rPr>
        <w:t>للإنصاف ـ قد وضعت الإصبع على بعض الجراح التي يعاني منها الفقه التقليدي، وتقد</w:t>
      </w:r>
      <w:r w:rsidR="00083959" w:rsidRPr="00904FCB">
        <w:rPr>
          <w:rFonts w:hint="cs"/>
          <w:sz w:val="27"/>
          <w:rtl/>
        </w:rPr>
        <w:t>ِّ</w:t>
      </w:r>
      <w:r w:rsidRPr="00904FCB">
        <w:rPr>
          <w:sz w:val="27"/>
          <w:rtl/>
        </w:rPr>
        <w:t>م بعض الحلول للبرء منها، ولكن</w:t>
      </w:r>
      <w:r w:rsidR="00083959" w:rsidRPr="00904FCB">
        <w:rPr>
          <w:rFonts w:hint="cs"/>
          <w:sz w:val="27"/>
          <w:rtl/>
        </w:rPr>
        <w:t>ّ</w:t>
      </w:r>
      <w:r w:rsidRPr="00904FCB">
        <w:rPr>
          <w:sz w:val="27"/>
          <w:rtl/>
        </w:rPr>
        <w:t>ها لا تقضي على المشكلة الرئيسة والأساسية التي يعاني منها الفقه في مواجهة تحد</w:t>
      </w:r>
      <w:r w:rsidR="00083959" w:rsidRPr="00904FCB">
        <w:rPr>
          <w:rFonts w:hint="cs"/>
          <w:sz w:val="27"/>
          <w:rtl/>
        </w:rPr>
        <w:t>ّ</w:t>
      </w:r>
      <w:r w:rsidRPr="00904FCB">
        <w:rPr>
          <w:sz w:val="27"/>
          <w:rtl/>
        </w:rPr>
        <w:t xml:space="preserve">يات </w:t>
      </w:r>
      <w:r w:rsidRPr="00904FCB">
        <w:rPr>
          <w:sz w:val="27"/>
          <w:rtl/>
        </w:rPr>
        <w:lastRenderedPageBreak/>
        <w:t>العصر الحديث. أرى أن هذه الحلول قد أثبتت فشلها في حل</w:t>
      </w:r>
      <w:r w:rsidR="00083959" w:rsidRPr="00904FCB">
        <w:rPr>
          <w:rFonts w:hint="cs"/>
          <w:sz w:val="27"/>
          <w:rtl/>
        </w:rPr>
        <w:t>ّ</w:t>
      </w:r>
      <w:r w:rsidRPr="00904FCB">
        <w:rPr>
          <w:sz w:val="27"/>
          <w:rtl/>
        </w:rPr>
        <w:t xml:space="preserve"> مشكلة الفقه التقليدي على المستوى العملي، وقد ثبت ذلك من خلال التجربة، إلا</w:t>
      </w:r>
      <w:r w:rsidR="00083959" w:rsidRPr="00904FCB">
        <w:rPr>
          <w:rFonts w:hint="cs"/>
          <w:sz w:val="27"/>
          <w:rtl/>
        </w:rPr>
        <w:t>ّ</w:t>
      </w:r>
      <w:r w:rsidRPr="00904FCB">
        <w:rPr>
          <w:sz w:val="27"/>
          <w:rtl/>
        </w:rPr>
        <w:t xml:space="preserve"> أن نقدها النظري لا يخلو من الفائدة. </w:t>
      </w:r>
    </w:p>
    <w:p w:rsidR="00A45FD9" w:rsidRPr="00904FCB" w:rsidRDefault="00A45FD9" w:rsidP="007A21AA">
      <w:pPr>
        <w:spacing w:line="400" w:lineRule="exact"/>
        <w:rPr>
          <w:sz w:val="27"/>
          <w:rtl/>
        </w:rPr>
      </w:pPr>
      <w:r w:rsidRPr="00904FCB">
        <w:rPr>
          <w:sz w:val="27"/>
          <w:rtl/>
        </w:rPr>
        <w:t>إن الوجه المشترك بين هذه الحلول يكمن في أنها تؤك</w:t>
      </w:r>
      <w:r w:rsidR="00083959" w:rsidRPr="00904FCB">
        <w:rPr>
          <w:rFonts w:hint="cs"/>
          <w:sz w:val="27"/>
          <w:rtl/>
        </w:rPr>
        <w:t>ِّ</w:t>
      </w:r>
      <w:r w:rsidRPr="00904FCB">
        <w:rPr>
          <w:sz w:val="27"/>
          <w:rtl/>
        </w:rPr>
        <w:t xml:space="preserve">د على خطأ الفقهاء في </w:t>
      </w:r>
      <w:r w:rsidRPr="00904FCB">
        <w:rPr>
          <w:rFonts w:hint="eastAsia"/>
          <w:sz w:val="27"/>
          <w:rtl/>
        </w:rPr>
        <w:t>«</w:t>
      </w:r>
      <w:r w:rsidRPr="00904FCB">
        <w:rPr>
          <w:sz w:val="27"/>
          <w:rtl/>
        </w:rPr>
        <w:t>تحديد الموضوع</w:t>
      </w:r>
      <w:r w:rsidRPr="00904FCB">
        <w:rPr>
          <w:rFonts w:hint="eastAsia"/>
          <w:sz w:val="27"/>
          <w:rtl/>
        </w:rPr>
        <w:t>»</w:t>
      </w:r>
      <w:r w:rsidRPr="00904FCB">
        <w:rPr>
          <w:sz w:val="27"/>
          <w:rtl/>
        </w:rPr>
        <w:t xml:space="preserve">، بمعنى أنها تقول: إن الخطأ في </w:t>
      </w:r>
      <w:r w:rsidRPr="00904FCB">
        <w:rPr>
          <w:rFonts w:hint="eastAsia"/>
          <w:sz w:val="27"/>
          <w:rtl/>
        </w:rPr>
        <w:t>«</w:t>
      </w:r>
      <w:r w:rsidRPr="00904FCB">
        <w:rPr>
          <w:sz w:val="27"/>
          <w:rtl/>
        </w:rPr>
        <w:t>معرفة حكم</w:t>
      </w:r>
      <w:r w:rsidRPr="00904FCB">
        <w:rPr>
          <w:rFonts w:hint="eastAsia"/>
          <w:sz w:val="27"/>
          <w:rtl/>
        </w:rPr>
        <w:t>»</w:t>
      </w:r>
      <w:r w:rsidRPr="00904FCB">
        <w:rPr>
          <w:sz w:val="27"/>
          <w:rtl/>
        </w:rPr>
        <w:t xml:space="preserve"> الموضوعات الجديدة ينشأ عن الخطأ في </w:t>
      </w:r>
      <w:r w:rsidRPr="00904FCB">
        <w:rPr>
          <w:rFonts w:hint="eastAsia"/>
          <w:sz w:val="27"/>
          <w:rtl/>
        </w:rPr>
        <w:t>«</w:t>
      </w:r>
      <w:r w:rsidRPr="00904FCB">
        <w:rPr>
          <w:sz w:val="27"/>
          <w:rtl/>
        </w:rPr>
        <w:t>معرفة الموضوع</w:t>
      </w:r>
      <w:r w:rsidRPr="00904FCB">
        <w:rPr>
          <w:rFonts w:hint="eastAsia"/>
          <w:sz w:val="27"/>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ولكن</w:t>
      </w:r>
      <w:r w:rsidR="00083959" w:rsidRPr="00904FCB">
        <w:rPr>
          <w:rFonts w:hint="cs"/>
          <w:sz w:val="27"/>
          <w:rtl/>
        </w:rPr>
        <w:t>ْ</w:t>
      </w:r>
      <w:r w:rsidRPr="00904FCB">
        <w:rPr>
          <w:sz w:val="27"/>
          <w:rtl/>
        </w:rPr>
        <w:t xml:space="preserve"> لنا أن نتساءل: </w:t>
      </w:r>
    </w:p>
    <w:p w:rsidR="00A45FD9" w:rsidRPr="00904FCB" w:rsidRDefault="00A45FD9" w:rsidP="007A21AA">
      <w:pPr>
        <w:spacing w:line="400" w:lineRule="exact"/>
        <w:rPr>
          <w:sz w:val="27"/>
          <w:rtl/>
        </w:rPr>
      </w:pPr>
      <w:r w:rsidRPr="00CB554E">
        <w:rPr>
          <w:sz w:val="27"/>
          <w:rtl/>
        </w:rPr>
        <w:t>1ـ لماذا يعمد الفقهاء ـ ب</w:t>
      </w:r>
      <w:r w:rsidR="00083959" w:rsidRPr="00CB554E">
        <w:rPr>
          <w:rFonts w:hint="cs"/>
          <w:sz w:val="27"/>
          <w:rtl/>
        </w:rPr>
        <w:t>َ</w:t>
      </w:r>
      <w:r w:rsidRPr="00CB554E">
        <w:rPr>
          <w:sz w:val="27"/>
          <w:rtl/>
        </w:rPr>
        <w:t>د</w:t>
      </w:r>
      <w:r w:rsidR="00083959" w:rsidRPr="00CB554E">
        <w:rPr>
          <w:rFonts w:hint="cs"/>
          <w:sz w:val="27"/>
          <w:rtl/>
        </w:rPr>
        <w:t>َ</w:t>
      </w:r>
      <w:r w:rsidRPr="00CB554E">
        <w:rPr>
          <w:sz w:val="27"/>
          <w:rtl/>
        </w:rPr>
        <w:t>لاً من إدراج الموضوعات الجديدة في هامش العناوين</w:t>
      </w:r>
      <w:r w:rsidRPr="00904FCB">
        <w:rPr>
          <w:sz w:val="27"/>
          <w:rtl/>
        </w:rPr>
        <w:t xml:space="preserve"> الثانوية أو منطقة الفراغ، وحمل الأحكام الثانوية أو الحكومية عليها ـ إلى إدراجها في هامش العناوين الأو</w:t>
      </w:r>
      <w:r w:rsidR="00083959" w:rsidRPr="00904FCB">
        <w:rPr>
          <w:rFonts w:hint="cs"/>
          <w:sz w:val="27"/>
          <w:rtl/>
        </w:rPr>
        <w:t>ّ</w:t>
      </w:r>
      <w:r w:rsidRPr="00904FCB">
        <w:rPr>
          <w:sz w:val="27"/>
          <w:rtl/>
        </w:rPr>
        <w:t>لية، ويحملون عليها الأحكام الأو</w:t>
      </w:r>
      <w:r w:rsidR="00083959" w:rsidRPr="00904FCB">
        <w:rPr>
          <w:rFonts w:hint="cs"/>
          <w:sz w:val="27"/>
          <w:rtl/>
        </w:rPr>
        <w:t>ّ</w:t>
      </w:r>
      <w:r w:rsidRPr="00904FCB">
        <w:rPr>
          <w:sz w:val="27"/>
          <w:rtl/>
        </w:rPr>
        <w:t>لية أو الإلهي</w:t>
      </w:r>
      <w:r w:rsidR="00083959" w:rsidRPr="00904FCB">
        <w:rPr>
          <w:rFonts w:hint="cs"/>
          <w:sz w:val="27"/>
          <w:rtl/>
        </w:rPr>
        <w:t>ّ</w:t>
      </w:r>
      <w:r w:rsidRPr="00904FCB">
        <w:rPr>
          <w:sz w:val="27"/>
          <w:rtl/>
        </w:rPr>
        <w:t xml:space="preserve">ة؟ </w:t>
      </w:r>
    </w:p>
    <w:p w:rsidR="00A45FD9" w:rsidRPr="00904FCB" w:rsidRDefault="00A45FD9" w:rsidP="007A21AA">
      <w:pPr>
        <w:spacing w:line="400" w:lineRule="exact"/>
        <w:rPr>
          <w:sz w:val="27"/>
          <w:rtl/>
        </w:rPr>
      </w:pPr>
      <w:r w:rsidRPr="00CB554E">
        <w:rPr>
          <w:sz w:val="27"/>
          <w:rtl/>
        </w:rPr>
        <w:t>2ـ لماذا لا يأخذ الفقهاء مقاصد الشريعة بنظر الاعتبار في استنباط الأحكام</w:t>
      </w:r>
      <w:r w:rsidRPr="00904FCB">
        <w:rPr>
          <w:sz w:val="27"/>
          <w:rtl/>
        </w:rPr>
        <w:t xml:space="preserve"> الشرعية؟ </w:t>
      </w:r>
    </w:p>
    <w:p w:rsidR="00A45FD9" w:rsidRPr="00CB554E" w:rsidRDefault="00A45FD9" w:rsidP="007A21AA">
      <w:pPr>
        <w:spacing w:line="400" w:lineRule="exact"/>
        <w:rPr>
          <w:sz w:val="27"/>
          <w:rtl/>
        </w:rPr>
      </w:pPr>
      <w:r w:rsidRPr="00CB554E">
        <w:rPr>
          <w:sz w:val="27"/>
          <w:rtl/>
        </w:rPr>
        <w:t>3ـ لماذا يخطئ الفقهاء في تشخيص الموضوعات</w:t>
      </w:r>
      <w:r w:rsidR="00083959" w:rsidRPr="00CB554E">
        <w:rPr>
          <w:rFonts w:hint="cs"/>
          <w:sz w:val="27"/>
          <w:rtl/>
        </w:rPr>
        <w:t>،</w:t>
      </w:r>
      <w:r w:rsidRPr="00CB554E">
        <w:rPr>
          <w:sz w:val="27"/>
          <w:rtl/>
        </w:rPr>
        <w:t xml:space="preserve"> وفي تشخيص المصلحة؟ </w:t>
      </w:r>
    </w:p>
    <w:p w:rsidR="00A45FD9" w:rsidRPr="00904FCB" w:rsidRDefault="00A45FD9" w:rsidP="007A21AA">
      <w:pPr>
        <w:spacing w:line="400" w:lineRule="exact"/>
        <w:rPr>
          <w:sz w:val="27"/>
          <w:rtl/>
        </w:rPr>
      </w:pPr>
      <w:r w:rsidRPr="00CB554E">
        <w:rPr>
          <w:sz w:val="27"/>
          <w:rtl/>
        </w:rPr>
        <w:t>4ـ ما هي الخصوصية في الموضوعات الجديدة التي يتم</w:t>
      </w:r>
      <w:r w:rsidR="00083959" w:rsidRPr="00CB554E">
        <w:rPr>
          <w:rFonts w:hint="cs"/>
          <w:sz w:val="27"/>
          <w:rtl/>
        </w:rPr>
        <w:t>ّ</w:t>
      </w:r>
      <w:r w:rsidRPr="00CB554E">
        <w:rPr>
          <w:sz w:val="27"/>
          <w:rtl/>
        </w:rPr>
        <w:t xml:space="preserve"> تجاهلها في البحوث</w:t>
      </w:r>
      <w:r w:rsidRPr="00904FCB">
        <w:rPr>
          <w:sz w:val="27"/>
          <w:rtl/>
        </w:rPr>
        <w:t xml:space="preserve"> الفقهية السائدة؟ </w:t>
      </w:r>
    </w:p>
    <w:p w:rsidR="00A45FD9" w:rsidRPr="00904FCB" w:rsidRDefault="00A45FD9" w:rsidP="007A21AA">
      <w:pPr>
        <w:spacing w:line="400" w:lineRule="exact"/>
        <w:rPr>
          <w:sz w:val="27"/>
          <w:rtl/>
        </w:rPr>
      </w:pPr>
      <w:r w:rsidRPr="00904FCB">
        <w:rPr>
          <w:sz w:val="27"/>
          <w:rtl/>
        </w:rPr>
        <w:t>إن جوابنا عن هذه الأسئلة هو أن الفقهاء في مقام الاجتهاد والبحث الفقهي يتبعون ق</w:t>
      </w:r>
      <w:r w:rsidR="00083959" w:rsidRPr="00904FCB">
        <w:rPr>
          <w:rFonts w:hint="cs"/>
          <w:sz w:val="27"/>
          <w:rtl/>
        </w:rPr>
        <w:t>ِ</w:t>
      </w:r>
      <w:r w:rsidRPr="00904FCB">
        <w:rPr>
          <w:sz w:val="27"/>
          <w:rtl/>
        </w:rPr>
        <w:t>ي</w:t>
      </w:r>
      <w:r w:rsidR="00083959" w:rsidRPr="00904FCB">
        <w:rPr>
          <w:rFonts w:hint="cs"/>
          <w:sz w:val="27"/>
          <w:rtl/>
        </w:rPr>
        <w:t>َ</w:t>
      </w:r>
      <w:r w:rsidRPr="00904FCB">
        <w:rPr>
          <w:sz w:val="27"/>
          <w:rtl/>
        </w:rPr>
        <w:t>ما</w:t>
      </w:r>
      <w:r w:rsidRPr="00904FCB">
        <w:rPr>
          <w:rFonts w:hint="cs"/>
          <w:sz w:val="27"/>
          <w:rtl/>
        </w:rPr>
        <w:t>ً</w:t>
      </w:r>
      <w:r w:rsidRPr="00904FCB">
        <w:rPr>
          <w:sz w:val="27"/>
          <w:rtl/>
        </w:rPr>
        <w:t xml:space="preserve"> ومعايير معرفية وأخلاقية خاص</w:t>
      </w:r>
      <w:r w:rsidR="00083959" w:rsidRPr="00904FCB">
        <w:rPr>
          <w:rFonts w:hint="cs"/>
          <w:sz w:val="27"/>
          <w:rtl/>
        </w:rPr>
        <w:t>ّ</w:t>
      </w:r>
      <w:r w:rsidRPr="00904FCB">
        <w:rPr>
          <w:sz w:val="27"/>
          <w:rtl/>
        </w:rPr>
        <w:t>ة، وإن تلك الق</w:t>
      </w:r>
      <w:r w:rsidR="00083959" w:rsidRPr="00904FCB">
        <w:rPr>
          <w:rFonts w:hint="cs"/>
          <w:sz w:val="27"/>
          <w:rtl/>
        </w:rPr>
        <w:t>ِ</w:t>
      </w:r>
      <w:r w:rsidRPr="00904FCB">
        <w:rPr>
          <w:sz w:val="27"/>
          <w:rtl/>
        </w:rPr>
        <w:t>ي</w:t>
      </w:r>
      <w:r w:rsidR="00083959" w:rsidRPr="00904FCB">
        <w:rPr>
          <w:rFonts w:hint="cs"/>
          <w:sz w:val="27"/>
          <w:rtl/>
        </w:rPr>
        <w:t>َ</w:t>
      </w:r>
      <w:r w:rsidRPr="00904FCB">
        <w:rPr>
          <w:sz w:val="27"/>
          <w:rtl/>
        </w:rPr>
        <w:t>م والمعايير تقول لهم وتطلب منهم فعل ذلك، وإذا كان هناك من إشكال</w:t>
      </w:r>
      <w:r w:rsidR="00083959" w:rsidRPr="00904FCB">
        <w:rPr>
          <w:rFonts w:hint="cs"/>
          <w:sz w:val="27"/>
          <w:rtl/>
        </w:rPr>
        <w:t>ٍ</w:t>
      </w:r>
      <w:r w:rsidRPr="00904FCB">
        <w:rPr>
          <w:sz w:val="27"/>
          <w:rtl/>
        </w:rPr>
        <w:t xml:space="preserve"> فإنه يكمن في تلك الق</w:t>
      </w:r>
      <w:r w:rsidR="00083959" w:rsidRPr="00904FCB">
        <w:rPr>
          <w:rFonts w:hint="cs"/>
          <w:sz w:val="27"/>
          <w:rtl/>
        </w:rPr>
        <w:t>ِ</w:t>
      </w:r>
      <w:r w:rsidRPr="00904FCB">
        <w:rPr>
          <w:sz w:val="27"/>
          <w:rtl/>
        </w:rPr>
        <w:t>ي</w:t>
      </w:r>
      <w:r w:rsidR="00083959" w:rsidRPr="00904FCB">
        <w:rPr>
          <w:rFonts w:hint="cs"/>
          <w:sz w:val="27"/>
          <w:rtl/>
        </w:rPr>
        <w:t>َ</w:t>
      </w:r>
      <w:r w:rsidRPr="00904FCB">
        <w:rPr>
          <w:sz w:val="27"/>
          <w:rtl/>
        </w:rPr>
        <w:t>م والمعايير، وليس في تطبيقها على الموارد الخاص</w:t>
      </w:r>
      <w:r w:rsidR="00083959" w:rsidRPr="00904FCB">
        <w:rPr>
          <w:rFonts w:hint="cs"/>
          <w:sz w:val="27"/>
          <w:rtl/>
        </w:rPr>
        <w:t>ّ</w:t>
      </w:r>
      <w:r w:rsidRPr="00904FCB">
        <w:rPr>
          <w:sz w:val="27"/>
          <w:rtl/>
        </w:rPr>
        <w:t>ة. وعليه فإن الحل</w:t>
      </w:r>
      <w:r w:rsidR="00083959" w:rsidRPr="00904FCB">
        <w:rPr>
          <w:rFonts w:hint="cs"/>
          <w:sz w:val="27"/>
          <w:rtl/>
        </w:rPr>
        <w:t>ّ</w:t>
      </w:r>
      <w:r w:rsidRPr="00904FCB">
        <w:rPr>
          <w:sz w:val="27"/>
          <w:rtl/>
        </w:rPr>
        <w:t xml:space="preserve"> الج</w:t>
      </w:r>
      <w:r w:rsidR="00083959" w:rsidRPr="00904FCB">
        <w:rPr>
          <w:rFonts w:hint="cs"/>
          <w:sz w:val="27"/>
          <w:rtl/>
        </w:rPr>
        <w:t>َ</w:t>
      </w:r>
      <w:r w:rsidRPr="00904FCB">
        <w:rPr>
          <w:sz w:val="27"/>
          <w:rtl/>
        </w:rPr>
        <w:t>ذ</w:t>
      </w:r>
      <w:r w:rsidR="00083959" w:rsidRPr="00904FCB">
        <w:rPr>
          <w:rFonts w:hint="cs"/>
          <w:sz w:val="27"/>
          <w:rtl/>
        </w:rPr>
        <w:t>ْ</w:t>
      </w:r>
      <w:r w:rsidRPr="00904FCB">
        <w:rPr>
          <w:sz w:val="27"/>
          <w:rtl/>
        </w:rPr>
        <w:t xml:space="preserve">ري للمشكلة يكمن في نقد </w:t>
      </w:r>
      <w:r w:rsidRPr="00904FCB">
        <w:rPr>
          <w:rFonts w:hint="eastAsia"/>
          <w:sz w:val="27"/>
          <w:rtl/>
        </w:rPr>
        <w:t>«</w:t>
      </w:r>
      <w:r w:rsidRPr="00904FCB">
        <w:rPr>
          <w:sz w:val="27"/>
          <w:rtl/>
        </w:rPr>
        <w:t>أخلاق الاجتهاد</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العقلانية الفقهية</w:t>
      </w:r>
      <w:r w:rsidRPr="00904FCB">
        <w:rPr>
          <w:rFonts w:hint="eastAsia"/>
          <w:sz w:val="27"/>
          <w:rtl/>
        </w:rPr>
        <w:t>»</w:t>
      </w:r>
      <w:r w:rsidRPr="00904FCB">
        <w:rPr>
          <w:sz w:val="27"/>
          <w:rtl/>
        </w:rPr>
        <w:t>. والمشكلة الرئيسة هي أن العقلانية الفقهية لا تنسجم مع العقلانية العرفية</w:t>
      </w:r>
      <w:r w:rsidR="0004418F" w:rsidRPr="00904FCB">
        <w:rPr>
          <w:rFonts w:hint="cs"/>
          <w:sz w:val="27"/>
          <w:rtl/>
        </w:rPr>
        <w:t>،</w:t>
      </w:r>
      <w:r w:rsidRPr="00904FCB">
        <w:rPr>
          <w:sz w:val="27"/>
          <w:rtl/>
        </w:rPr>
        <w:t xml:space="preserve"> أو أحكام العقل السليم. وعلى </w:t>
      </w:r>
      <w:r w:rsidR="0004418F" w:rsidRPr="00904FCB">
        <w:rPr>
          <w:rFonts w:hint="cs"/>
          <w:sz w:val="27"/>
          <w:rtl/>
        </w:rPr>
        <w:t>أيّ</w:t>
      </w:r>
      <w:r w:rsidRPr="00904FCB">
        <w:rPr>
          <w:sz w:val="27"/>
          <w:rtl/>
        </w:rPr>
        <w:t xml:space="preserve"> حال فإن البحث عن جواب لهذه الأسئلة يحوز على أهم</w:t>
      </w:r>
      <w:r w:rsidR="0004418F" w:rsidRPr="00904FCB">
        <w:rPr>
          <w:rFonts w:hint="cs"/>
          <w:sz w:val="27"/>
          <w:rtl/>
        </w:rPr>
        <w:t>ّ</w:t>
      </w:r>
      <w:r w:rsidRPr="00904FCB">
        <w:rPr>
          <w:sz w:val="27"/>
          <w:rtl/>
        </w:rPr>
        <w:t>ية من ثلاث جهات</w:t>
      </w:r>
      <w:r w:rsidR="0004418F" w:rsidRPr="00904FCB">
        <w:rPr>
          <w:rFonts w:hint="cs"/>
          <w:sz w:val="27"/>
          <w:rtl/>
        </w:rPr>
        <w:t>ٍ</w:t>
      </w:r>
      <w:r w:rsidRPr="00904FCB">
        <w:rPr>
          <w:sz w:val="27"/>
          <w:rtl/>
        </w:rPr>
        <w:t xml:space="preserve">: </w:t>
      </w:r>
    </w:p>
    <w:p w:rsidR="00A45FD9" w:rsidRPr="00904FCB" w:rsidRDefault="00A45FD9" w:rsidP="00E626D2">
      <w:pPr>
        <w:rPr>
          <w:sz w:val="27"/>
          <w:rtl/>
        </w:rPr>
      </w:pPr>
      <w:r w:rsidRPr="00CB554E">
        <w:rPr>
          <w:sz w:val="27"/>
          <w:rtl/>
        </w:rPr>
        <w:t>1ـ إثبات أن المشكلة الرئيسة لا تكمن في ذات الفقه، وإنما تكمن في خارج</w:t>
      </w:r>
      <w:r w:rsidRPr="00904FCB">
        <w:rPr>
          <w:sz w:val="27"/>
          <w:rtl/>
        </w:rPr>
        <w:t xml:space="preserve"> الفقه، أي </w:t>
      </w:r>
      <w:r w:rsidR="0004418F" w:rsidRPr="00904FCB">
        <w:rPr>
          <w:rFonts w:hint="cs"/>
          <w:sz w:val="27"/>
          <w:rtl/>
        </w:rPr>
        <w:t>إ</w:t>
      </w:r>
      <w:r w:rsidRPr="00904FCB">
        <w:rPr>
          <w:sz w:val="27"/>
          <w:rtl/>
        </w:rPr>
        <w:t xml:space="preserve">نها تنشأ من </w:t>
      </w:r>
      <w:r w:rsidRPr="00904FCB">
        <w:rPr>
          <w:rFonts w:hint="eastAsia"/>
          <w:sz w:val="27"/>
          <w:rtl/>
        </w:rPr>
        <w:t>«</w:t>
      </w:r>
      <w:r w:rsidRPr="00904FCB">
        <w:rPr>
          <w:sz w:val="27"/>
          <w:rtl/>
        </w:rPr>
        <w:t>فلسفة الفقه</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أخلاق الاجتهاد</w:t>
      </w:r>
      <w:r w:rsidRPr="00904FCB">
        <w:rPr>
          <w:rFonts w:hint="eastAsia"/>
          <w:sz w:val="27"/>
          <w:rtl/>
        </w:rPr>
        <w:t>»</w:t>
      </w:r>
      <w:r w:rsidRPr="00904FCB">
        <w:rPr>
          <w:sz w:val="27"/>
          <w:rtl/>
        </w:rPr>
        <w:t xml:space="preserve"> أو </w:t>
      </w:r>
      <w:r w:rsidRPr="00904FCB">
        <w:rPr>
          <w:rFonts w:hint="eastAsia"/>
          <w:sz w:val="27"/>
          <w:rtl/>
        </w:rPr>
        <w:t>«</w:t>
      </w:r>
      <w:r w:rsidRPr="00904FCB">
        <w:rPr>
          <w:sz w:val="27"/>
          <w:rtl/>
        </w:rPr>
        <w:t>أخلاق البحث والتفكير الفقهي</w:t>
      </w:r>
      <w:r w:rsidRPr="00904FCB">
        <w:rPr>
          <w:rFonts w:hint="eastAsia"/>
          <w:sz w:val="27"/>
          <w:rtl/>
        </w:rPr>
        <w:t>»</w:t>
      </w:r>
      <w:r w:rsidR="00113C7A">
        <w:rPr>
          <w:rFonts w:hint="cs"/>
          <w:sz w:val="27"/>
          <w:rtl/>
        </w:rPr>
        <w:t>،</w:t>
      </w:r>
      <w:r w:rsidRPr="00904FCB">
        <w:rPr>
          <w:sz w:val="27"/>
          <w:rtl/>
        </w:rPr>
        <w:t xml:space="preserve"> ومن </w:t>
      </w:r>
      <w:r w:rsidRPr="00904FCB">
        <w:rPr>
          <w:rFonts w:hint="eastAsia"/>
          <w:sz w:val="27"/>
          <w:rtl/>
        </w:rPr>
        <w:t>«</w:t>
      </w:r>
      <w:r w:rsidRPr="00904FCB">
        <w:rPr>
          <w:sz w:val="27"/>
          <w:rtl/>
        </w:rPr>
        <w:t>المسل</w:t>
      </w:r>
      <w:r w:rsidR="0004418F" w:rsidRPr="00904FCB">
        <w:rPr>
          <w:rFonts w:hint="cs"/>
          <w:sz w:val="27"/>
          <w:rtl/>
        </w:rPr>
        <w:t>َّ</w:t>
      </w:r>
      <w:r w:rsidRPr="00904FCB">
        <w:rPr>
          <w:sz w:val="27"/>
          <w:rtl/>
        </w:rPr>
        <w:t>مات</w:t>
      </w:r>
      <w:r w:rsidRPr="00904FCB">
        <w:rPr>
          <w:rFonts w:hint="eastAsia"/>
          <w:sz w:val="27"/>
          <w:rtl/>
        </w:rPr>
        <w:t>»</w:t>
      </w:r>
      <w:r w:rsidRPr="00904FCB">
        <w:rPr>
          <w:sz w:val="27"/>
          <w:rtl/>
        </w:rPr>
        <w:t xml:space="preserve"> الفلسفية (المعرفية والأخلاقية) والكلامية التي يقوم عليها الفقه التقليدي</w:t>
      </w:r>
      <w:r w:rsidR="0004418F" w:rsidRPr="00904FCB">
        <w:rPr>
          <w:rFonts w:hint="cs"/>
          <w:sz w:val="27"/>
          <w:rtl/>
        </w:rPr>
        <w:t>.</w:t>
      </w:r>
      <w:r w:rsidRPr="00904FCB">
        <w:rPr>
          <w:sz w:val="27"/>
          <w:rtl/>
        </w:rPr>
        <w:t xml:space="preserve"> ولذلك يجب أن يبدأ العلاج قبل كل</w:t>
      </w:r>
      <w:r w:rsidR="0004418F" w:rsidRPr="00904FCB">
        <w:rPr>
          <w:rFonts w:hint="cs"/>
          <w:sz w:val="27"/>
          <w:rtl/>
        </w:rPr>
        <w:t>ّ</w:t>
      </w:r>
      <w:r w:rsidRPr="00904FCB">
        <w:rPr>
          <w:sz w:val="27"/>
          <w:rtl/>
        </w:rPr>
        <w:t xml:space="preserve"> شيء</w:t>
      </w:r>
      <w:r w:rsidR="0004418F" w:rsidRPr="00904FCB">
        <w:rPr>
          <w:rFonts w:hint="cs"/>
          <w:sz w:val="27"/>
          <w:rtl/>
        </w:rPr>
        <w:t>ٍ</w:t>
      </w:r>
      <w:r w:rsidRPr="00904FCB">
        <w:rPr>
          <w:sz w:val="27"/>
          <w:rtl/>
        </w:rPr>
        <w:t xml:space="preserve"> من هذه المناشئ. </w:t>
      </w:r>
    </w:p>
    <w:p w:rsidR="00A45FD9" w:rsidRPr="00CB554E" w:rsidRDefault="00A45FD9" w:rsidP="00FE3626">
      <w:pPr>
        <w:spacing w:line="400" w:lineRule="exact"/>
        <w:ind w:firstLine="561"/>
        <w:rPr>
          <w:sz w:val="27"/>
          <w:rtl/>
        </w:rPr>
      </w:pPr>
      <w:r w:rsidRPr="00CB554E">
        <w:rPr>
          <w:sz w:val="27"/>
          <w:rtl/>
        </w:rPr>
        <w:lastRenderedPageBreak/>
        <w:t>2ـ إثبات سبب عجز الحلول التقليدية عن معالجة المشكلة بشكل</w:t>
      </w:r>
      <w:r w:rsidR="0004418F" w:rsidRPr="00CB554E">
        <w:rPr>
          <w:rFonts w:hint="cs"/>
          <w:sz w:val="27"/>
          <w:rtl/>
        </w:rPr>
        <w:t>ٍ</w:t>
      </w:r>
      <w:r w:rsidRPr="00CB554E">
        <w:rPr>
          <w:sz w:val="27"/>
          <w:rtl/>
        </w:rPr>
        <w:t xml:space="preserve"> جذري. </w:t>
      </w:r>
    </w:p>
    <w:p w:rsidR="00A45FD9" w:rsidRPr="00904FCB" w:rsidRDefault="00A45FD9" w:rsidP="00FE3626">
      <w:pPr>
        <w:spacing w:line="400" w:lineRule="exact"/>
        <w:ind w:firstLine="561"/>
        <w:rPr>
          <w:sz w:val="27"/>
          <w:rtl/>
        </w:rPr>
      </w:pPr>
      <w:r w:rsidRPr="00CB554E">
        <w:rPr>
          <w:sz w:val="27"/>
          <w:rtl/>
        </w:rPr>
        <w:t xml:space="preserve">3ـ تبرير هذه الحلول، وبيان أسباب حاجة الفقهاء الضرورية إلى </w:t>
      </w:r>
      <w:r w:rsidRPr="00CB554E">
        <w:rPr>
          <w:rFonts w:hint="eastAsia"/>
          <w:sz w:val="27"/>
          <w:rtl/>
        </w:rPr>
        <w:t>«</w:t>
      </w:r>
      <w:r w:rsidRPr="00CB554E">
        <w:rPr>
          <w:sz w:val="27"/>
          <w:rtl/>
        </w:rPr>
        <w:t>تشخيص</w:t>
      </w:r>
      <w:r w:rsidRPr="00904FCB">
        <w:rPr>
          <w:sz w:val="27"/>
          <w:rtl/>
        </w:rPr>
        <w:t xml:space="preserve"> الموضوع</w:t>
      </w:r>
      <w:r w:rsidRPr="00904FCB">
        <w:rPr>
          <w:rFonts w:hint="eastAsia"/>
          <w:sz w:val="27"/>
          <w:rtl/>
        </w:rPr>
        <w:t>»</w:t>
      </w:r>
      <w:r w:rsidRPr="00904FCB">
        <w:rPr>
          <w:sz w:val="27"/>
          <w:rtl/>
        </w:rPr>
        <w:t>، و</w:t>
      </w:r>
      <w:r w:rsidRPr="00904FCB">
        <w:rPr>
          <w:rFonts w:hint="eastAsia"/>
          <w:sz w:val="27"/>
          <w:rtl/>
        </w:rPr>
        <w:t>«</w:t>
      </w:r>
      <w:r w:rsidRPr="00904FCB">
        <w:rPr>
          <w:sz w:val="27"/>
          <w:rtl/>
        </w:rPr>
        <w:t>تقييم المصلحة</w:t>
      </w:r>
      <w:r w:rsidRPr="00904FCB">
        <w:rPr>
          <w:rFonts w:hint="eastAsia"/>
          <w:sz w:val="27"/>
          <w:rtl/>
        </w:rPr>
        <w:t>»</w:t>
      </w:r>
      <w:r w:rsidRPr="00904FCB">
        <w:rPr>
          <w:sz w:val="27"/>
          <w:rtl/>
        </w:rPr>
        <w:t>، و</w:t>
      </w:r>
      <w:r w:rsidRPr="00904FCB">
        <w:rPr>
          <w:rFonts w:hint="eastAsia"/>
          <w:sz w:val="27"/>
          <w:rtl/>
        </w:rPr>
        <w:t>«</w:t>
      </w:r>
      <w:r w:rsidRPr="00904FCB">
        <w:rPr>
          <w:sz w:val="27"/>
          <w:rtl/>
        </w:rPr>
        <w:t>تحديد الغاية</w:t>
      </w:r>
      <w:r w:rsidRPr="00904FCB">
        <w:rPr>
          <w:rFonts w:hint="eastAsia"/>
          <w:sz w:val="27"/>
          <w:rtl/>
        </w:rPr>
        <w:t>»</w:t>
      </w:r>
      <w:r w:rsidRPr="00904FCB">
        <w:rPr>
          <w:sz w:val="27"/>
          <w:rtl/>
        </w:rPr>
        <w:t xml:space="preserve">. ولماذا لا تبحث هذه الأمور الثلاثة بالشكل المطلوب؟ </w:t>
      </w:r>
    </w:p>
    <w:p w:rsidR="00A45FD9" w:rsidRPr="00904FCB" w:rsidRDefault="00A45FD9" w:rsidP="00FE3626">
      <w:pPr>
        <w:spacing w:line="400" w:lineRule="exact"/>
        <w:ind w:firstLine="561"/>
        <w:rPr>
          <w:sz w:val="27"/>
          <w:rtl/>
        </w:rPr>
      </w:pPr>
      <w:r w:rsidRPr="00904FCB">
        <w:rPr>
          <w:sz w:val="27"/>
          <w:rtl/>
        </w:rPr>
        <w:t>إن دراسة هذه الأسئلة تتوق</w:t>
      </w:r>
      <w:r w:rsidR="0004418F" w:rsidRPr="00904FCB">
        <w:rPr>
          <w:rFonts w:hint="cs"/>
          <w:sz w:val="27"/>
          <w:rtl/>
        </w:rPr>
        <w:t>َّ</w:t>
      </w:r>
      <w:r w:rsidRPr="00904FCB">
        <w:rPr>
          <w:sz w:val="27"/>
          <w:rtl/>
        </w:rPr>
        <w:t xml:space="preserve">ف على التحقيق في حقل الموضوعات الثلاثة </w:t>
      </w:r>
      <w:r w:rsidR="0004418F" w:rsidRPr="00904FCB">
        <w:rPr>
          <w:rFonts w:hint="cs"/>
          <w:sz w:val="27"/>
          <w:rtl/>
        </w:rPr>
        <w:t>التالية</w:t>
      </w:r>
      <w:r w:rsidRPr="00904FCB">
        <w:rPr>
          <w:sz w:val="27"/>
          <w:rtl/>
        </w:rPr>
        <w:t xml:space="preserve">: </w:t>
      </w:r>
    </w:p>
    <w:p w:rsidR="00A45FD9" w:rsidRPr="00CB554E" w:rsidRDefault="00A45FD9" w:rsidP="00FE3626">
      <w:pPr>
        <w:spacing w:line="400" w:lineRule="exact"/>
        <w:ind w:firstLine="561"/>
        <w:rPr>
          <w:sz w:val="27"/>
          <w:rtl/>
        </w:rPr>
      </w:pPr>
      <w:r w:rsidRPr="00CB554E">
        <w:rPr>
          <w:sz w:val="27"/>
          <w:rtl/>
        </w:rPr>
        <w:t xml:space="preserve">1ـ طبيعة الاستدلال الفقهي. </w:t>
      </w:r>
    </w:p>
    <w:p w:rsidR="00A45FD9" w:rsidRPr="00CB554E" w:rsidRDefault="00A45FD9" w:rsidP="00FE3626">
      <w:pPr>
        <w:spacing w:line="400" w:lineRule="exact"/>
        <w:ind w:firstLine="561"/>
        <w:rPr>
          <w:sz w:val="27"/>
          <w:rtl/>
        </w:rPr>
      </w:pPr>
      <w:r w:rsidRPr="00CB554E">
        <w:rPr>
          <w:sz w:val="27"/>
          <w:rtl/>
        </w:rPr>
        <w:t xml:space="preserve">2ـ العلاقة بين </w:t>
      </w:r>
      <w:r w:rsidRPr="00CB554E">
        <w:rPr>
          <w:rFonts w:hint="eastAsia"/>
          <w:sz w:val="27"/>
          <w:rtl/>
        </w:rPr>
        <w:t>«</w:t>
      </w:r>
      <w:r w:rsidRPr="00CB554E">
        <w:rPr>
          <w:sz w:val="27"/>
          <w:rtl/>
        </w:rPr>
        <w:t>الحكم</w:t>
      </w:r>
      <w:r w:rsidRPr="00CB554E">
        <w:rPr>
          <w:rFonts w:hint="eastAsia"/>
          <w:sz w:val="27"/>
          <w:rtl/>
        </w:rPr>
        <w:t>»</w:t>
      </w:r>
      <w:r w:rsidRPr="00CB554E">
        <w:rPr>
          <w:sz w:val="27"/>
          <w:rtl/>
        </w:rPr>
        <w:t xml:space="preserve"> و</w:t>
      </w:r>
      <w:r w:rsidRPr="00CB554E">
        <w:rPr>
          <w:rFonts w:hint="eastAsia"/>
          <w:sz w:val="27"/>
          <w:rtl/>
        </w:rPr>
        <w:t>«</w:t>
      </w:r>
      <w:r w:rsidRPr="00CB554E">
        <w:rPr>
          <w:sz w:val="27"/>
          <w:rtl/>
        </w:rPr>
        <w:t>الموضوع</w:t>
      </w:r>
      <w:r w:rsidRPr="00CB554E">
        <w:rPr>
          <w:rFonts w:hint="eastAsia"/>
          <w:sz w:val="27"/>
          <w:rtl/>
        </w:rPr>
        <w:t>»</w:t>
      </w:r>
      <w:r w:rsidRPr="00CB554E">
        <w:rPr>
          <w:sz w:val="27"/>
          <w:rtl/>
        </w:rPr>
        <w:t xml:space="preserve">. </w:t>
      </w:r>
    </w:p>
    <w:p w:rsidR="00A45FD9" w:rsidRPr="00CB554E" w:rsidRDefault="00A45FD9" w:rsidP="00FE3626">
      <w:pPr>
        <w:spacing w:line="400" w:lineRule="exact"/>
        <w:ind w:firstLine="561"/>
        <w:rPr>
          <w:sz w:val="27"/>
          <w:rtl/>
        </w:rPr>
      </w:pPr>
      <w:r w:rsidRPr="00CB554E">
        <w:rPr>
          <w:sz w:val="27"/>
          <w:rtl/>
        </w:rPr>
        <w:t xml:space="preserve">3ـ العلاقة بين </w:t>
      </w:r>
      <w:r w:rsidRPr="00CB554E">
        <w:rPr>
          <w:rFonts w:hint="eastAsia"/>
          <w:sz w:val="27"/>
          <w:rtl/>
        </w:rPr>
        <w:t>«</w:t>
      </w:r>
      <w:r w:rsidRPr="00CB554E">
        <w:rPr>
          <w:sz w:val="27"/>
          <w:rtl/>
        </w:rPr>
        <w:t>تشخيص الحكم</w:t>
      </w:r>
      <w:r w:rsidRPr="00CB554E">
        <w:rPr>
          <w:rFonts w:hint="eastAsia"/>
          <w:sz w:val="27"/>
          <w:rtl/>
        </w:rPr>
        <w:t>»</w:t>
      </w:r>
      <w:r w:rsidRPr="00CB554E">
        <w:rPr>
          <w:sz w:val="27"/>
          <w:rtl/>
        </w:rPr>
        <w:t xml:space="preserve"> و</w:t>
      </w:r>
      <w:r w:rsidRPr="00CB554E">
        <w:rPr>
          <w:rFonts w:hint="eastAsia"/>
          <w:sz w:val="27"/>
          <w:rtl/>
        </w:rPr>
        <w:t>«</w:t>
      </w:r>
      <w:r w:rsidRPr="00CB554E">
        <w:rPr>
          <w:sz w:val="27"/>
          <w:rtl/>
        </w:rPr>
        <w:t>تشخيص الموضوع</w:t>
      </w:r>
      <w:r w:rsidRPr="00CB554E">
        <w:rPr>
          <w:rFonts w:hint="eastAsia"/>
          <w:sz w:val="27"/>
          <w:rtl/>
        </w:rPr>
        <w:t>»</w:t>
      </w:r>
      <w:r w:rsidRPr="00CB554E">
        <w:rPr>
          <w:sz w:val="27"/>
          <w:rtl/>
        </w:rPr>
        <w:t xml:space="preserve">. </w:t>
      </w:r>
    </w:p>
    <w:p w:rsidR="00A45FD9" w:rsidRPr="00904FCB" w:rsidRDefault="00A45FD9" w:rsidP="00FE3626">
      <w:pPr>
        <w:spacing w:line="400" w:lineRule="exact"/>
        <w:ind w:firstLine="561"/>
        <w:rPr>
          <w:sz w:val="27"/>
          <w:rtl/>
        </w:rPr>
      </w:pPr>
      <w:r w:rsidRPr="00904FCB">
        <w:rPr>
          <w:sz w:val="27"/>
          <w:rtl/>
        </w:rPr>
        <w:t>وقد بحثنا في هذه الموضوعات الثلاثة في مقالات</w:t>
      </w:r>
      <w:r w:rsidR="0004418F" w:rsidRPr="00904FCB">
        <w:rPr>
          <w:rFonts w:hint="cs"/>
          <w:sz w:val="27"/>
          <w:rtl/>
        </w:rPr>
        <w:t>ٍ</w:t>
      </w:r>
      <w:r w:rsidRPr="00904FCB">
        <w:rPr>
          <w:sz w:val="27"/>
          <w:rtl/>
        </w:rPr>
        <w:t xml:space="preserve"> أخرى</w:t>
      </w:r>
      <w:r w:rsidRPr="00904FCB">
        <w:rPr>
          <w:sz w:val="27"/>
          <w:vertAlign w:val="superscript"/>
          <w:rtl/>
        </w:rPr>
        <w:t>(</w:t>
      </w:r>
      <w:r w:rsidRPr="00904FCB">
        <w:rPr>
          <w:sz w:val="27"/>
          <w:vertAlign w:val="superscript"/>
          <w:rtl/>
        </w:rPr>
        <w:endnoteReference w:id="23"/>
      </w:r>
      <w:r w:rsidRPr="00904FCB">
        <w:rPr>
          <w:sz w:val="27"/>
          <w:vertAlign w:val="superscript"/>
          <w:rtl/>
        </w:rPr>
        <w:t>)</w:t>
      </w:r>
      <w:r w:rsidRPr="00904FCB">
        <w:rPr>
          <w:sz w:val="27"/>
          <w:rtl/>
        </w:rPr>
        <w:t>. ولكن</w:t>
      </w:r>
      <w:r w:rsidR="0004418F" w:rsidRPr="00904FCB">
        <w:rPr>
          <w:rFonts w:hint="cs"/>
          <w:sz w:val="27"/>
          <w:rtl/>
        </w:rPr>
        <w:t>ْ</w:t>
      </w:r>
      <w:r w:rsidRPr="00904FCB">
        <w:rPr>
          <w:sz w:val="27"/>
          <w:rtl/>
        </w:rPr>
        <w:t xml:space="preserve"> لا ب</w:t>
      </w:r>
      <w:r w:rsidR="0004418F" w:rsidRPr="00904FCB">
        <w:rPr>
          <w:rFonts w:hint="cs"/>
          <w:sz w:val="27"/>
          <w:rtl/>
        </w:rPr>
        <w:t>ُ</w:t>
      </w:r>
      <w:r w:rsidRPr="00904FCB">
        <w:rPr>
          <w:sz w:val="27"/>
          <w:rtl/>
        </w:rPr>
        <w:t>د</w:t>
      </w:r>
      <w:r w:rsidR="0004418F" w:rsidRPr="00904FCB">
        <w:rPr>
          <w:rFonts w:hint="cs"/>
          <w:sz w:val="27"/>
          <w:rtl/>
        </w:rPr>
        <w:t>َّ</w:t>
      </w:r>
      <w:r w:rsidRPr="00904FCB">
        <w:rPr>
          <w:sz w:val="27"/>
          <w:rtl/>
        </w:rPr>
        <w:t xml:space="preserve"> من التأكيد هنا على بعض المسائل، وهي: </w:t>
      </w:r>
    </w:p>
    <w:p w:rsidR="00A45FD9" w:rsidRPr="00904FCB" w:rsidRDefault="00A45FD9" w:rsidP="00FE3626">
      <w:pPr>
        <w:spacing w:line="400" w:lineRule="exact"/>
        <w:ind w:firstLine="561"/>
        <w:rPr>
          <w:sz w:val="27"/>
          <w:rtl/>
        </w:rPr>
      </w:pPr>
      <w:r w:rsidRPr="00CB554E">
        <w:rPr>
          <w:sz w:val="27"/>
          <w:rtl/>
        </w:rPr>
        <w:t>1ـ إن إخفاق وفشل الفقه التقليدي في مواجهة تحد</w:t>
      </w:r>
      <w:r w:rsidR="0004418F" w:rsidRPr="00CB554E">
        <w:rPr>
          <w:rFonts w:hint="cs"/>
          <w:sz w:val="27"/>
          <w:rtl/>
        </w:rPr>
        <w:t>ّ</w:t>
      </w:r>
      <w:r w:rsidRPr="00CB554E">
        <w:rPr>
          <w:sz w:val="27"/>
          <w:rtl/>
        </w:rPr>
        <w:t>يات العصر الحديث لا ينشأ</w:t>
      </w:r>
      <w:r w:rsidRPr="00904FCB">
        <w:rPr>
          <w:sz w:val="27"/>
          <w:rtl/>
        </w:rPr>
        <w:t xml:space="preserve"> دائما</w:t>
      </w:r>
      <w:r w:rsidRPr="00904FCB">
        <w:rPr>
          <w:rFonts w:hint="cs"/>
          <w:sz w:val="27"/>
          <w:rtl/>
        </w:rPr>
        <w:t>ً</w:t>
      </w:r>
      <w:r w:rsidRPr="00904FCB">
        <w:rPr>
          <w:sz w:val="27"/>
          <w:rtl/>
        </w:rPr>
        <w:t xml:space="preserve"> من الخطأ في </w:t>
      </w:r>
      <w:r w:rsidRPr="00904FCB">
        <w:rPr>
          <w:rFonts w:hint="eastAsia"/>
          <w:sz w:val="27"/>
          <w:rtl/>
        </w:rPr>
        <w:t>«</w:t>
      </w:r>
      <w:r w:rsidRPr="00904FCB">
        <w:rPr>
          <w:sz w:val="27"/>
          <w:rtl/>
        </w:rPr>
        <w:t>تحديد الموضوع</w:t>
      </w:r>
      <w:r w:rsidRPr="00904FCB">
        <w:rPr>
          <w:rFonts w:hint="eastAsia"/>
          <w:sz w:val="27"/>
          <w:rtl/>
        </w:rPr>
        <w:t>»</w:t>
      </w:r>
      <w:r w:rsidRPr="00904FCB">
        <w:rPr>
          <w:sz w:val="27"/>
          <w:rtl/>
        </w:rPr>
        <w:t>، وليس هو مجر</w:t>
      </w:r>
      <w:r w:rsidR="0004418F" w:rsidRPr="00904FCB">
        <w:rPr>
          <w:rFonts w:hint="cs"/>
          <w:sz w:val="27"/>
          <w:rtl/>
        </w:rPr>
        <w:t>ّ</w:t>
      </w:r>
      <w:r w:rsidRPr="00904FCB">
        <w:rPr>
          <w:sz w:val="27"/>
          <w:rtl/>
        </w:rPr>
        <w:t xml:space="preserve">د </w:t>
      </w:r>
      <w:r w:rsidRPr="00904FCB">
        <w:rPr>
          <w:rFonts w:hint="eastAsia"/>
          <w:sz w:val="27"/>
          <w:rtl/>
        </w:rPr>
        <w:t>«</w:t>
      </w:r>
      <w:r w:rsidRPr="00904FCB">
        <w:rPr>
          <w:sz w:val="27"/>
          <w:rtl/>
        </w:rPr>
        <w:t>خطأ في التطبيق</w:t>
      </w:r>
      <w:r w:rsidRPr="00904FCB">
        <w:rPr>
          <w:rFonts w:hint="eastAsia"/>
          <w:sz w:val="27"/>
          <w:rtl/>
        </w:rPr>
        <w:t>»</w:t>
      </w:r>
      <w:r w:rsidRPr="00904FCB">
        <w:rPr>
          <w:sz w:val="27"/>
          <w:rtl/>
        </w:rPr>
        <w:t>، وإنما ينشأ في الغالب من الخطأ في تحديد ذات الحكم الشرعي الكل</w:t>
      </w:r>
      <w:r w:rsidR="0004418F" w:rsidRPr="00904FCB">
        <w:rPr>
          <w:rFonts w:hint="cs"/>
          <w:sz w:val="27"/>
          <w:rtl/>
        </w:rPr>
        <w:t>ّ</w:t>
      </w:r>
      <w:r w:rsidRPr="00904FCB">
        <w:rPr>
          <w:sz w:val="27"/>
          <w:rtl/>
        </w:rPr>
        <w:t>ي</w:t>
      </w:r>
      <w:r w:rsidR="0004418F" w:rsidRPr="00904FCB">
        <w:rPr>
          <w:rFonts w:hint="cs"/>
          <w:sz w:val="27"/>
          <w:rtl/>
        </w:rPr>
        <w:t>،</w:t>
      </w:r>
      <w:r w:rsidRPr="00904FCB">
        <w:rPr>
          <w:sz w:val="27"/>
          <w:rtl/>
        </w:rPr>
        <w:t xml:space="preserve"> أو </w:t>
      </w:r>
      <w:r w:rsidR="0004418F" w:rsidRPr="00904FCB">
        <w:rPr>
          <w:rFonts w:hint="cs"/>
          <w:sz w:val="27"/>
          <w:rtl/>
        </w:rPr>
        <w:t>تعيين</w:t>
      </w:r>
      <w:r w:rsidRPr="00904FCB">
        <w:rPr>
          <w:sz w:val="27"/>
          <w:rtl/>
        </w:rPr>
        <w:t xml:space="preserve"> حدوده وقيوده وشروطه. </w:t>
      </w:r>
    </w:p>
    <w:p w:rsidR="00A45FD9" w:rsidRPr="00904FCB" w:rsidRDefault="00A45FD9" w:rsidP="00FE3626">
      <w:pPr>
        <w:spacing w:line="400" w:lineRule="exact"/>
        <w:ind w:firstLine="561"/>
        <w:rPr>
          <w:sz w:val="27"/>
          <w:rtl/>
        </w:rPr>
      </w:pPr>
      <w:r w:rsidRPr="00CB554E">
        <w:rPr>
          <w:sz w:val="27"/>
          <w:rtl/>
        </w:rPr>
        <w:t>2ـ إن الخطأ في تشخيص الموضوعات الجديدة (ثمار ومحاصيل الحداثة) ينشأ</w:t>
      </w:r>
      <w:r w:rsidRPr="00904FCB">
        <w:rPr>
          <w:sz w:val="27"/>
          <w:rtl/>
        </w:rPr>
        <w:t xml:space="preserve"> عادة</w:t>
      </w:r>
      <w:r w:rsidR="0004418F" w:rsidRPr="00904FCB">
        <w:rPr>
          <w:rFonts w:hint="cs"/>
          <w:sz w:val="27"/>
          <w:rtl/>
        </w:rPr>
        <w:t>ً</w:t>
      </w:r>
      <w:r w:rsidRPr="00904FCB">
        <w:rPr>
          <w:sz w:val="27"/>
          <w:rtl/>
        </w:rPr>
        <w:t xml:space="preserve"> من تجاهل العقلانية والأخلاق التي تسود العالم الجديد. </w:t>
      </w:r>
    </w:p>
    <w:p w:rsidR="00A45FD9" w:rsidRPr="00904FCB" w:rsidRDefault="00A45FD9" w:rsidP="00FE3626">
      <w:pPr>
        <w:spacing w:line="400" w:lineRule="exact"/>
        <w:ind w:firstLine="561"/>
        <w:rPr>
          <w:sz w:val="27"/>
          <w:rtl/>
        </w:rPr>
      </w:pPr>
      <w:r w:rsidRPr="00CB554E">
        <w:rPr>
          <w:sz w:val="27"/>
          <w:rtl/>
        </w:rPr>
        <w:t>3ـ إن تحديد الموضوع لا يلعب دوراً في مقام تطبيق الأصول على الفروع</w:t>
      </w:r>
      <w:r w:rsidR="0004418F" w:rsidRPr="00CB554E">
        <w:rPr>
          <w:rFonts w:hint="cs"/>
          <w:sz w:val="27"/>
          <w:rtl/>
        </w:rPr>
        <w:t>،</w:t>
      </w:r>
      <w:r w:rsidRPr="00904FCB">
        <w:rPr>
          <w:sz w:val="27"/>
          <w:rtl/>
        </w:rPr>
        <w:t xml:space="preserve"> والأحكام العام</w:t>
      </w:r>
      <w:r w:rsidR="0004418F" w:rsidRPr="00904FCB">
        <w:rPr>
          <w:rFonts w:hint="cs"/>
          <w:sz w:val="27"/>
          <w:rtl/>
        </w:rPr>
        <w:t>ّ</w:t>
      </w:r>
      <w:r w:rsidRPr="00904FCB">
        <w:rPr>
          <w:sz w:val="27"/>
          <w:rtl/>
        </w:rPr>
        <w:t>ة على مصاديقها</w:t>
      </w:r>
      <w:r w:rsidR="0004418F" w:rsidRPr="00904FCB">
        <w:rPr>
          <w:rFonts w:hint="cs"/>
          <w:sz w:val="27"/>
          <w:rtl/>
        </w:rPr>
        <w:t>،</w:t>
      </w:r>
      <w:r w:rsidRPr="00904FCB">
        <w:rPr>
          <w:sz w:val="27"/>
          <w:rtl/>
        </w:rPr>
        <w:t xml:space="preserve"> فح</w:t>
      </w:r>
      <w:r w:rsidR="0004418F" w:rsidRPr="00904FCB">
        <w:rPr>
          <w:rFonts w:hint="cs"/>
          <w:sz w:val="27"/>
          <w:rtl/>
        </w:rPr>
        <w:t>َ</w:t>
      </w:r>
      <w:r w:rsidRPr="00904FCB">
        <w:rPr>
          <w:sz w:val="27"/>
          <w:rtl/>
        </w:rPr>
        <w:t>س</w:t>
      </w:r>
      <w:r w:rsidR="0004418F" w:rsidRPr="00904FCB">
        <w:rPr>
          <w:rFonts w:hint="cs"/>
          <w:sz w:val="27"/>
          <w:rtl/>
        </w:rPr>
        <w:t>ْ</w:t>
      </w:r>
      <w:r w:rsidRPr="00904FCB">
        <w:rPr>
          <w:sz w:val="27"/>
          <w:rtl/>
        </w:rPr>
        <w:t>ب، بل يلعب د</w:t>
      </w:r>
      <w:r w:rsidR="0004418F" w:rsidRPr="00904FCB">
        <w:rPr>
          <w:rFonts w:hint="cs"/>
          <w:sz w:val="27"/>
          <w:rtl/>
        </w:rPr>
        <w:t>َ</w:t>
      </w:r>
      <w:r w:rsidRPr="00904FCB">
        <w:rPr>
          <w:sz w:val="27"/>
          <w:rtl/>
        </w:rPr>
        <w:t>و</w:t>
      </w:r>
      <w:r w:rsidR="0004418F" w:rsidRPr="00904FCB">
        <w:rPr>
          <w:rFonts w:hint="cs"/>
          <w:sz w:val="27"/>
          <w:rtl/>
        </w:rPr>
        <w:t>ْ</w:t>
      </w:r>
      <w:r w:rsidRPr="00904FCB">
        <w:rPr>
          <w:sz w:val="27"/>
          <w:rtl/>
        </w:rPr>
        <w:t>راً حت</w:t>
      </w:r>
      <w:r w:rsidR="0004418F" w:rsidRPr="00904FCB">
        <w:rPr>
          <w:rFonts w:hint="cs"/>
          <w:sz w:val="27"/>
          <w:rtl/>
        </w:rPr>
        <w:t>ّ</w:t>
      </w:r>
      <w:r w:rsidRPr="00904FCB">
        <w:rPr>
          <w:sz w:val="27"/>
          <w:rtl/>
        </w:rPr>
        <w:t>ى في مقام تشخيص الأحكام الكل</w:t>
      </w:r>
      <w:r w:rsidR="0004418F" w:rsidRPr="00904FCB">
        <w:rPr>
          <w:rFonts w:hint="cs"/>
          <w:sz w:val="27"/>
          <w:rtl/>
        </w:rPr>
        <w:t>ّ</w:t>
      </w:r>
      <w:r w:rsidRPr="00904FCB">
        <w:rPr>
          <w:sz w:val="27"/>
          <w:rtl/>
        </w:rPr>
        <w:t>ية</w:t>
      </w:r>
      <w:r w:rsidR="0004418F" w:rsidRPr="00904FCB">
        <w:rPr>
          <w:rFonts w:hint="cs"/>
          <w:sz w:val="27"/>
          <w:rtl/>
        </w:rPr>
        <w:t>،</w:t>
      </w:r>
      <w:r w:rsidRPr="00904FCB">
        <w:rPr>
          <w:sz w:val="27"/>
          <w:rtl/>
        </w:rPr>
        <w:t xml:space="preserve"> وتحديد ما إذا كانت هذه الأحكام تاريخية أو أنها تتخط</w:t>
      </w:r>
      <w:r w:rsidR="0004418F" w:rsidRPr="00904FCB">
        <w:rPr>
          <w:rFonts w:hint="cs"/>
          <w:sz w:val="27"/>
          <w:rtl/>
        </w:rPr>
        <w:t>ّ</w:t>
      </w:r>
      <w:r w:rsidRPr="00904FCB">
        <w:rPr>
          <w:sz w:val="27"/>
          <w:rtl/>
        </w:rPr>
        <w:t xml:space="preserve">ى التاريخ أيضاً. </w:t>
      </w:r>
    </w:p>
    <w:p w:rsidR="00A45FD9" w:rsidRDefault="00A45FD9" w:rsidP="00FE3626">
      <w:pPr>
        <w:spacing w:line="400" w:lineRule="exact"/>
        <w:ind w:firstLine="561"/>
        <w:rPr>
          <w:sz w:val="27"/>
          <w:rtl/>
        </w:rPr>
      </w:pPr>
      <w:r w:rsidRPr="00CB554E">
        <w:rPr>
          <w:sz w:val="27"/>
          <w:rtl/>
        </w:rPr>
        <w:t>4ـ إن تصحيح هذه الأخطاء يتوق</w:t>
      </w:r>
      <w:r w:rsidR="0004418F" w:rsidRPr="00CB554E">
        <w:rPr>
          <w:rFonts w:hint="cs"/>
          <w:sz w:val="27"/>
          <w:rtl/>
        </w:rPr>
        <w:t>َّ</w:t>
      </w:r>
      <w:r w:rsidRPr="00CB554E">
        <w:rPr>
          <w:sz w:val="27"/>
          <w:rtl/>
        </w:rPr>
        <w:t>ف من جهة</w:t>
      </w:r>
      <w:r w:rsidR="0004418F" w:rsidRPr="00CB554E">
        <w:rPr>
          <w:rFonts w:hint="cs"/>
          <w:sz w:val="27"/>
          <w:rtl/>
        </w:rPr>
        <w:t>ٍ</w:t>
      </w:r>
      <w:r w:rsidRPr="00CB554E">
        <w:rPr>
          <w:sz w:val="27"/>
          <w:rtl/>
        </w:rPr>
        <w:t xml:space="preserve"> على معرفة خصائص العالم</w:t>
      </w:r>
      <w:r w:rsidRPr="00904FCB">
        <w:rPr>
          <w:sz w:val="27"/>
          <w:rtl/>
        </w:rPr>
        <w:t xml:space="preserve"> الجديد، ومن ناحية</w:t>
      </w:r>
      <w:r w:rsidR="0004418F" w:rsidRPr="00904FCB">
        <w:rPr>
          <w:rFonts w:hint="cs"/>
          <w:sz w:val="27"/>
          <w:rtl/>
        </w:rPr>
        <w:t>ٍ</w:t>
      </w:r>
      <w:r w:rsidRPr="00904FCB">
        <w:rPr>
          <w:sz w:val="27"/>
          <w:rtl/>
        </w:rPr>
        <w:t xml:space="preserve"> أخرى يتوق</w:t>
      </w:r>
      <w:r w:rsidR="0004418F" w:rsidRPr="00904FCB">
        <w:rPr>
          <w:rFonts w:hint="cs"/>
          <w:sz w:val="27"/>
          <w:rtl/>
        </w:rPr>
        <w:t>ّ</w:t>
      </w:r>
      <w:r w:rsidRPr="00904FCB">
        <w:rPr>
          <w:sz w:val="27"/>
          <w:rtl/>
        </w:rPr>
        <w:t>ف على نقد المباني ومسل</w:t>
      </w:r>
      <w:r w:rsidR="0004418F" w:rsidRPr="00904FCB">
        <w:rPr>
          <w:rFonts w:hint="cs"/>
          <w:sz w:val="27"/>
          <w:rtl/>
        </w:rPr>
        <w:t>َّ</w:t>
      </w:r>
      <w:r w:rsidRPr="00904FCB">
        <w:rPr>
          <w:sz w:val="27"/>
          <w:rtl/>
        </w:rPr>
        <w:t xml:space="preserve">مات الفقه التقليدي، وتصحيح </w:t>
      </w:r>
      <w:r w:rsidRPr="00904FCB">
        <w:rPr>
          <w:rFonts w:hint="eastAsia"/>
          <w:sz w:val="27"/>
          <w:rtl/>
        </w:rPr>
        <w:t>«</w:t>
      </w:r>
      <w:r w:rsidRPr="00904FCB">
        <w:rPr>
          <w:sz w:val="27"/>
          <w:rtl/>
        </w:rPr>
        <w:t>أخلاق الاجتهاد</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العقلانية الفقهية</w:t>
      </w:r>
      <w:r w:rsidRPr="00904FCB">
        <w:rPr>
          <w:rFonts w:hint="eastAsia"/>
          <w:sz w:val="27"/>
          <w:rtl/>
        </w:rPr>
        <w:t>»</w:t>
      </w:r>
      <w:r w:rsidRPr="00904FCB">
        <w:rPr>
          <w:sz w:val="27"/>
          <w:rtl/>
        </w:rPr>
        <w:t xml:space="preserve">. </w:t>
      </w:r>
    </w:p>
    <w:p w:rsidR="00113C7A" w:rsidRPr="00904FCB" w:rsidRDefault="00113C7A" w:rsidP="00904FCB">
      <w:pPr>
        <w:spacing w:line="420" w:lineRule="exact"/>
        <w:rPr>
          <w:sz w:val="27"/>
          <w:rtl/>
        </w:rPr>
      </w:pPr>
    </w:p>
    <w:p w:rsidR="00A45FD9" w:rsidRPr="00904FCB" w:rsidRDefault="00A45FD9" w:rsidP="007A21AA">
      <w:pPr>
        <w:pStyle w:val="31"/>
        <w:spacing w:line="400" w:lineRule="exact"/>
        <w:rPr>
          <w:color w:val="auto"/>
          <w:rtl/>
          <w:lang w:bidi="fa-IR"/>
        </w:rPr>
      </w:pPr>
      <w:r w:rsidRPr="00CB554E">
        <w:rPr>
          <w:color w:val="auto"/>
          <w:rtl/>
        </w:rPr>
        <w:t>4ـ خصائص</w:t>
      </w:r>
      <w:r w:rsidRPr="00904FCB">
        <w:rPr>
          <w:color w:val="auto"/>
          <w:rtl/>
        </w:rPr>
        <w:t xml:space="preserve"> العالم الجديد</w:t>
      </w:r>
    </w:p>
    <w:p w:rsidR="00A45FD9" w:rsidRPr="00904FCB" w:rsidRDefault="00A45FD9" w:rsidP="007A21AA">
      <w:pPr>
        <w:spacing w:line="400" w:lineRule="exact"/>
        <w:rPr>
          <w:sz w:val="27"/>
          <w:rtl/>
        </w:rPr>
      </w:pPr>
      <w:r w:rsidRPr="00904FCB">
        <w:rPr>
          <w:sz w:val="27"/>
          <w:rtl/>
        </w:rPr>
        <w:t>لقد ع</w:t>
      </w:r>
      <w:r w:rsidR="003116AD" w:rsidRPr="00904FCB">
        <w:rPr>
          <w:sz w:val="27"/>
          <w:rtl/>
        </w:rPr>
        <w:t>رض الدكتور سروش في كتاباته فهرس</w:t>
      </w:r>
      <w:r w:rsidR="003116AD" w:rsidRPr="00904FCB">
        <w:rPr>
          <w:rFonts w:hint="cs"/>
          <w:sz w:val="27"/>
          <w:rtl/>
        </w:rPr>
        <w:t>تاً</w:t>
      </w:r>
      <w:r w:rsidRPr="00904FCB">
        <w:rPr>
          <w:sz w:val="27"/>
          <w:rtl/>
        </w:rPr>
        <w:t xml:space="preserve"> جامع</w:t>
      </w:r>
      <w:r w:rsidR="003116AD" w:rsidRPr="00904FCB">
        <w:rPr>
          <w:rFonts w:hint="cs"/>
          <w:sz w:val="27"/>
          <w:rtl/>
        </w:rPr>
        <w:t>اً</w:t>
      </w:r>
      <w:r w:rsidRPr="00904FCB">
        <w:rPr>
          <w:sz w:val="27"/>
          <w:rtl/>
        </w:rPr>
        <w:t xml:space="preserve"> نسبياً بشأن خصائص </w:t>
      </w:r>
      <w:r w:rsidRPr="00904FCB">
        <w:rPr>
          <w:sz w:val="27"/>
          <w:rtl/>
        </w:rPr>
        <w:lastRenderedPageBreak/>
        <w:t>العالم الجديد</w:t>
      </w:r>
      <w:r w:rsidR="003116AD" w:rsidRPr="00904FCB">
        <w:rPr>
          <w:rFonts w:hint="cs"/>
          <w:sz w:val="27"/>
          <w:rtl/>
        </w:rPr>
        <w:t>؛</w:t>
      </w:r>
      <w:r w:rsidRPr="00904FCB">
        <w:rPr>
          <w:sz w:val="27"/>
          <w:rtl/>
        </w:rPr>
        <w:t xml:space="preserve"> إذ يرى أن العالم الجديد هو نتاج تحو</w:t>
      </w:r>
      <w:r w:rsidR="003116AD" w:rsidRPr="00904FCB">
        <w:rPr>
          <w:rFonts w:hint="cs"/>
          <w:sz w:val="27"/>
          <w:rtl/>
        </w:rPr>
        <w:t>ُّ</w:t>
      </w:r>
      <w:r w:rsidRPr="00904FCB">
        <w:rPr>
          <w:sz w:val="27"/>
          <w:rtl/>
        </w:rPr>
        <w:t xml:space="preserve">ل حاصل بفعل ظهور وتطوّر العلوم الطبيعية، والعلوم الاجتماعية، في المجالات الأربعة </w:t>
      </w:r>
      <w:r w:rsidR="003116AD" w:rsidRPr="00904FCB">
        <w:rPr>
          <w:rFonts w:hint="cs"/>
          <w:sz w:val="27"/>
          <w:rtl/>
        </w:rPr>
        <w:t>التالية</w:t>
      </w:r>
      <w:r w:rsidRPr="00904FCB">
        <w:rPr>
          <w:sz w:val="27"/>
          <w:rtl/>
        </w:rPr>
        <w:t xml:space="preserve">: </w:t>
      </w:r>
      <w:r w:rsidRPr="00904FCB">
        <w:rPr>
          <w:rFonts w:hint="eastAsia"/>
          <w:sz w:val="27"/>
          <w:rtl/>
        </w:rPr>
        <w:t>«</w:t>
      </w:r>
      <w:r w:rsidRPr="00904FCB">
        <w:rPr>
          <w:sz w:val="27"/>
          <w:rtl/>
        </w:rPr>
        <w:t>الأدوات</w:t>
      </w:r>
      <w:r w:rsidRPr="00904FCB">
        <w:rPr>
          <w:rFonts w:hint="eastAsia"/>
          <w:sz w:val="27"/>
          <w:rtl/>
        </w:rPr>
        <w:t>»</w:t>
      </w:r>
      <w:r w:rsidRPr="00904FCB">
        <w:rPr>
          <w:sz w:val="27"/>
          <w:rtl/>
        </w:rPr>
        <w:t>، و</w:t>
      </w:r>
      <w:r w:rsidRPr="00904FCB">
        <w:rPr>
          <w:rFonts w:hint="eastAsia"/>
          <w:sz w:val="27"/>
          <w:rtl/>
        </w:rPr>
        <w:t>«</w:t>
      </w:r>
      <w:r w:rsidRPr="00904FCB">
        <w:rPr>
          <w:sz w:val="27"/>
          <w:rtl/>
        </w:rPr>
        <w:t>الغايات</w:t>
      </w:r>
      <w:r w:rsidRPr="00904FCB">
        <w:rPr>
          <w:rFonts w:hint="eastAsia"/>
          <w:sz w:val="27"/>
          <w:rtl/>
        </w:rPr>
        <w:t>»</w:t>
      </w:r>
      <w:r w:rsidRPr="00904FCB">
        <w:rPr>
          <w:sz w:val="27"/>
          <w:rtl/>
        </w:rPr>
        <w:t>، و</w:t>
      </w:r>
      <w:r w:rsidRPr="00904FCB">
        <w:rPr>
          <w:rFonts w:hint="eastAsia"/>
          <w:sz w:val="27"/>
          <w:rtl/>
        </w:rPr>
        <w:t>«</w:t>
      </w:r>
      <w:r w:rsidRPr="00904FCB">
        <w:rPr>
          <w:sz w:val="27"/>
          <w:rtl/>
        </w:rPr>
        <w:t>المفاهيم</w:t>
      </w:r>
      <w:r w:rsidRPr="00904FCB">
        <w:rPr>
          <w:rFonts w:hint="eastAsia"/>
          <w:sz w:val="27"/>
          <w:rtl/>
        </w:rPr>
        <w:t>»</w:t>
      </w:r>
      <w:r w:rsidRPr="00904FCB">
        <w:rPr>
          <w:sz w:val="27"/>
          <w:rtl/>
        </w:rPr>
        <w:t xml:space="preserve"> (التصو</w:t>
      </w:r>
      <w:r w:rsidR="003116AD" w:rsidRPr="00904FCB">
        <w:rPr>
          <w:rFonts w:hint="cs"/>
          <w:sz w:val="27"/>
          <w:rtl/>
        </w:rPr>
        <w:t>ُّ</w:t>
      </w:r>
      <w:r w:rsidRPr="00904FCB">
        <w:rPr>
          <w:sz w:val="27"/>
          <w:rtl/>
        </w:rPr>
        <w:t>رات)، و</w:t>
      </w:r>
      <w:r w:rsidRPr="00904FCB">
        <w:rPr>
          <w:rFonts w:hint="eastAsia"/>
          <w:sz w:val="27"/>
          <w:rtl/>
        </w:rPr>
        <w:t>«</w:t>
      </w:r>
      <w:r w:rsidRPr="00904FCB">
        <w:rPr>
          <w:sz w:val="27"/>
          <w:rtl/>
        </w:rPr>
        <w:t>المسلمات</w:t>
      </w:r>
      <w:r w:rsidRPr="00904FCB">
        <w:rPr>
          <w:rFonts w:hint="eastAsia"/>
          <w:sz w:val="27"/>
          <w:rtl/>
        </w:rPr>
        <w:t>»</w:t>
      </w:r>
      <w:r w:rsidR="00113C7A">
        <w:rPr>
          <w:sz w:val="27"/>
          <w:rtl/>
        </w:rPr>
        <w:t xml:space="preserve"> (التصديقات)</w:t>
      </w:r>
      <w:r w:rsidRPr="00904FCB">
        <w:rPr>
          <w:sz w:val="27"/>
          <w:vertAlign w:val="superscript"/>
          <w:rtl/>
        </w:rPr>
        <w:t>(</w:t>
      </w:r>
      <w:r w:rsidRPr="00904FCB">
        <w:rPr>
          <w:sz w:val="27"/>
          <w:vertAlign w:val="superscript"/>
          <w:rtl/>
        </w:rPr>
        <w:endnoteReference w:id="24"/>
      </w:r>
      <w:r w:rsidRPr="00904FCB">
        <w:rPr>
          <w:sz w:val="27"/>
          <w:vertAlign w:val="superscript"/>
          <w:rtl/>
        </w:rPr>
        <w:t>)</w:t>
      </w:r>
      <w:r w:rsidRPr="00904FCB">
        <w:rPr>
          <w:sz w:val="27"/>
          <w:rtl/>
        </w:rPr>
        <w:t>. إن العالم الجديد هو عالم الأدوات الجديدة، ب</w:t>
      </w:r>
      <w:r w:rsidR="003116AD" w:rsidRPr="00904FCB">
        <w:rPr>
          <w:rFonts w:hint="cs"/>
          <w:sz w:val="27"/>
          <w:rtl/>
        </w:rPr>
        <w:t>َ</w:t>
      </w:r>
      <w:r w:rsidRPr="00904FCB">
        <w:rPr>
          <w:sz w:val="27"/>
          <w:rtl/>
        </w:rPr>
        <w:t>ي</w:t>
      </w:r>
      <w:r w:rsidR="003116AD" w:rsidRPr="00904FCB">
        <w:rPr>
          <w:rFonts w:hint="cs"/>
          <w:sz w:val="27"/>
          <w:rtl/>
        </w:rPr>
        <w:t>ْ</w:t>
      </w:r>
      <w:r w:rsidRPr="00904FCB">
        <w:rPr>
          <w:sz w:val="27"/>
          <w:rtl/>
        </w:rPr>
        <w:t>د</w:t>
      </w:r>
      <w:r w:rsidR="003116AD" w:rsidRPr="00904FCB">
        <w:rPr>
          <w:rFonts w:hint="cs"/>
          <w:sz w:val="27"/>
          <w:rtl/>
        </w:rPr>
        <w:t>َ</w:t>
      </w:r>
      <w:r w:rsidRPr="00904FCB">
        <w:rPr>
          <w:sz w:val="27"/>
          <w:rtl/>
        </w:rPr>
        <w:t xml:space="preserve"> أن الأدوات ليست عقيمة، وإنما هي منجبة للغايات</w:t>
      </w:r>
      <w:r w:rsidRPr="00904FCB">
        <w:rPr>
          <w:sz w:val="27"/>
          <w:vertAlign w:val="superscript"/>
          <w:rtl/>
        </w:rPr>
        <w:t>(</w:t>
      </w:r>
      <w:r w:rsidRPr="00904FCB">
        <w:rPr>
          <w:sz w:val="27"/>
          <w:vertAlign w:val="superscript"/>
          <w:rtl/>
        </w:rPr>
        <w:endnoteReference w:id="25"/>
      </w:r>
      <w:r w:rsidRPr="00904FCB">
        <w:rPr>
          <w:sz w:val="27"/>
          <w:vertAlign w:val="superscript"/>
          <w:rtl/>
        </w:rPr>
        <w:t>)</w:t>
      </w:r>
      <w:r w:rsidRPr="00904FCB">
        <w:rPr>
          <w:sz w:val="27"/>
          <w:rtl/>
        </w:rPr>
        <w:t>، والتكنولوجيا تصنع الثقافات</w:t>
      </w:r>
      <w:r w:rsidRPr="00904FCB">
        <w:rPr>
          <w:sz w:val="27"/>
          <w:vertAlign w:val="superscript"/>
          <w:rtl/>
        </w:rPr>
        <w:t>(</w:t>
      </w:r>
      <w:r w:rsidRPr="00904FCB">
        <w:rPr>
          <w:sz w:val="27"/>
          <w:vertAlign w:val="superscript"/>
          <w:rtl/>
        </w:rPr>
        <w:endnoteReference w:id="26"/>
      </w:r>
      <w:r w:rsidRPr="00904FCB">
        <w:rPr>
          <w:sz w:val="27"/>
          <w:vertAlign w:val="superscript"/>
          <w:rtl/>
        </w:rPr>
        <w:t>)</w:t>
      </w:r>
      <w:r w:rsidR="003116AD" w:rsidRPr="00904FCB">
        <w:rPr>
          <w:rFonts w:hint="cs"/>
          <w:sz w:val="27"/>
          <w:rtl/>
        </w:rPr>
        <w:t xml:space="preserve">، </w:t>
      </w:r>
      <w:r w:rsidRPr="00904FCB">
        <w:rPr>
          <w:sz w:val="27"/>
          <w:rtl/>
        </w:rPr>
        <w:t>بمعنى أن تغيير الأدوات والأهداف يستتبع حدوث تغيير في المفاهيم (التصو</w:t>
      </w:r>
      <w:r w:rsidR="003116AD" w:rsidRPr="00904FCB">
        <w:rPr>
          <w:rFonts w:hint="cs"/>
          <w:sz w:val="27"/>
          <w:rtl/>
        </w:rPr>
        <w:t>ُّ</w:t>
      </w:r>
      <w:r w:rsidRPr="00904FCB">
        <w:rPr>
          <w:sz w:val="27"/>
          <w:rtl/>
        </w:rPr>
        <w:t>رات) والمسل</w:t>
      </w:r>
      <w:r w:rsidR="003116AD" w:rsidRPr="00904FCB">
        <w:rPr>
          <w:rFonts w:hint="cs"/>
          <w:sz w:val="27"/>
          <w:rtl/>
        </w:rPr>
        <w:t>َّ</w:t>
      </w:r>
      <w:r w:rsidRPr="00904FCB">
        <w:rPr>
          <w:sz w:val="27"/>
          <w:rtl/>
        </w:rPr>
        <w:t>مات (التصديقات) أيضا</w:t>
      </w:r>
      <w:r w:rsidR="003116AD" w:rsidRPr="00904FCB">
        <w:rPr>
          <w:rFonts w:hint="cs"/>
          <w:sz w:val="27"/>
          <w:rtl/>
        </w:rPr>
        <w:t>ً</w:t>
      </w:r>
      <w:r w:rsidRPr="00904FCB">
        <w:rPr>
          <w:sz w:val="27"/>
          <w:vertAlign w:val="superscript"/>
          <w:rtl/>
        </w:rPr>
        <w:t>(</w:t>
      </w:r>
      <w:r w:rsidRPr="00904FCB">
        <w:rPr>
          <w:sz w:val="27"/>
          <w:vertAlign w:val="superscript"/>
          <w:rtl/>
        </w:rPr>
        <w:endnoteReference w:id="27"/>
      </w:r>
      <w:r w:rsidRPr="00904FCB">
        <w:rPr>
          <w:sz w:val="27"/>
          <w:vertAlign w:val="superscript"/>
          <w:rtl/>
        </w:rPr>
        <w:t>)</w:t>
      </w:r>
      <w:r w:rsidRPr="00904FCB">
        <w:rPr>
          <w:sz w:val="27"/>
          <w:rtl/>
        </w:rPr>
        <w:t xml:space="preserve">. إن </w:t>
      </w:r>
      <w:r w:rsidRPr="00904FCB">
        <w:rPr>
          <w:rFonts w:hint="eastAsia"/>
          <w:sz w:val="27"/>
          <w:rtl/>
        </w:rPr>
        <w:t>«</w:t>
      </w:r>
      <w:r w:rsidRPr="00904FCB">
        <w:rPr>
          <w:sz w:val="27"/>
          <w:rtl/>
        </w:rPr>
        <w:t>كل</w:t>
      </w:r>
      <w:r w:rsidR="003116AD" w:rsidRPr="00904FCB">
        <w:rPr>
          <w:rFonts w:hint="cs"/>
          <w:sz w:val="27"/>
          <w:rtl/>
        </w:rPr>
        <w:t>ّ</w:t>
      </w:r>
      <w:r w:rsidRPr="00904FCB">
        <w:rPr>
          <w:sz w:val="27"/>
          <w:rtl/>
        </w:rPr>
        <w:t xml:space="preserve"> مرحلة تشتمل على بديهيات لا يُختلف عليها</w:t>
      </w:r>
      <w:r w:rsidRPr="00904FCB">
        <w:rPr>
          <w:rFonts w:hint="eastAsia"/>
          <w:sz w:val="27"/>
          <w:rtl/>
        </w:rPr>
        <w:t>»</w:t>
      </w:r>
      <w:r w:rsidRPr="00904FCB">
        <w:rPr>
          <w:sz w:val="27"/>
          <w:rtl/>
        </w:rPr>
        <w:t xml:space="preserve">، وإن </w:t>
      </w:r>
      <w:r w:rsidRPr="00904FCB">
        <w:rPr>
          <w:rFonts w:hint="eastAsia"/>
          <w:sz w:val="27"/>
          <w:rtl/>
        </w:rPr>
        <w:t>«</w:t>
      </w:r>
      <w:r w:rsidR="003116AD" w:rsidRPr="00904FCB">
        <w:rPr>
          <w:sz w:val="27"/>
          <w:rtl/>
        </w:rPr>
        <w:t>لك</w:t>
      </w:r>
      <w:r w:rsidR="003116AD" w:rsidRPr="00904FCB">
        <w:rPr>
          <w:rFonts w:hint="cs"/>
          <w:sz w:val="27"/>
          <w:rtl/>
        </w:rPr>
        <w:t xml:space="preserve">لّ </w:t>
      </w:r>
      <w:r w:rsidRPr="00904FCB">
        <w:rPr>
          <w:sz w:val="27"/>
          <w:rtl/>
        </w:rPr>
        <w:t>مرحلة</w:t>
      </w:r>
      <w:r w:rsidR="003116AD" w:rsidRPr="00904FCB">
        <w:rPr>
          <w:rFonts w:hint="cs"/>
          <w:sz w:val="27"/>
          <w:rtl/>
        </w:rPr>
        <w:t>ٍ</w:t>
      </w:r>
      <w:r w:rsidRPr="00904FCB">
        <w:rPr>
          <w:sz w:val="27"/>
          <w:rtl/>
        </w:rPr>
        <w:t xml:space="preserve"> عقلانيتها الخاص</w:t>
      </w:r>
      <w:r w:rsidR="003116AD" w:rsidRPr="00904FCB">
        <w:rPr>
          <w:rFonts w:hint="cs"/>
          <w:sz w:val="27"/>
          <w:rtl/>
        </w:rPr>
        <w:t>ّ</w:t>
      </w:r>
      <w:r w:rsidRPr="00904FCB">
        <w:rPr>
          <w:sz w:val="27"/>
          <w:rtl/>
        </w:rPr>
        <w:t>ة التي تعتبر مسألة بديهية لا تقبل التشكيك</w:t>
      </w:r>
      <w:r w:rsidRPr="00904FCB">
        <w:rPr>
          <w:rFonts w:hint="eastAsia"/>
          <w:sz w:val="27"/>
          <w:rtl/>
        </w:rPr>
        <w:t>»</w:t>
      </w:r>
      <w:r w:rsidRPr="00904FCB">
        <w:rPr>
          <w:sz w:val="27"/>
          <w:vertAlign w:val="superscript"/>
          <w:rtl/>
        </w:rPr>
        <w:t>(</w:t>
      </w:r>
      <w:r w:rsidRPr="00904FCB">
        <w:rPr>
          <w:sz w:val="27"/>
          <w:vertAlign w:val="superscript"/>
          <w:rtl/>
        </w:rPr>
        <w:endnoteReference w:id="28"/>
      </w:r>
      <w:r w:rsidRPr="00904FCB">
        <w:rPr>
          <w:sz w:val="27"/>
          <w:vertAlign w:val="superscript"/>
          <w:rtl/>
        </w:rPr>
        <w:t>)</w:t>
      </w:r>
      <w:r w:rsidRPr="00904FCB">
        <w:rPr>
          <w:sz w:val="27"/>
          <w:rtl/>
        </w:rPr>
        <w:t>. إن علامة الدخول إلى العالم الجديد تكمن في تحو</w:t>
      </w:r>
      <w:r w:rsidR="003116AD" w:rsidRPr="00904FCB">
        <w:rPr>
          <w:rFonts w:hint="cs"/>
          <w:sz w:val="27"/>
          <w:rtl/>
        </w:rPr>
        <w:t>ُّ</w:t>
      </w:r>
      <w:r w:rsidRPr="00904FCB">
        <w:rPr>
          <w:sz w:val="27"/>
          <w:rtl/>
        </w:rPr>
        <w:t>ل الأمور غير الطبيعية إلى أمور</w:t>
      </w:r>
      <w:r w:rsidR="003116AD" w:rsidRPr="00904FCB">
        <w:rPr>
          <w:rFonts w:hint="cs"/>
          <w:sz w:val="27"/>
          <w:rtl/>
        </w:rPr>
        <w:t>ٍ</w:t>
      </w:r>
      <w:r w:rsidRPr="00904FCB">
        <w:rPr>
          <w:sz w:val="27"/>
          <w:rtl/>
        </w:rPr>
        <w:t xml:space="preserve"> طبيعية، وتحو</w:t>
      </w:r>
      <w:r w:rsidR="003116AD" w:rsidRPr="00904FCB">
        <w:rPr>
          <w:rFonts w:hint="cs"/>
          <w:sz w:val="27"/>
          <w:rtl/>
        </w:rPr>
        <w:t>ّ</w:t>
      </w:r>
      <w:r w:rsidRPr="00904FCB">
        <w:rPr>
          <w:sz w:val="27"/>
          <w:rtl/>
        </w:rPr>
        <w:t>ل الاستثناء إلى قاعدة، وتغيير مواضع الأصول والفروع</w:t>
      </w:r>
      <w:r w:rsidRPr="00904FCB">
        <w:rPr>
          <w:sz w:val="27"/>
          <w:vertAlign w:val="superscript"/>
          <w:rtl/>
        </w:rPr>
        <w:t>(</w:t>
      </w:r>
      <w:r w:rsidRPr="00904FCB">
        <w:rPr>
          <w:sz w:val="27"/>
          <w:vertAlign w:val="superscript"/>
          <w:rtl/>
        </w:rPr>
        <w:endnoteReference w:id="29"/>
      </w:r>
      <w:r w:rsidRPr="00904FCB">
        <w:rPr>
          <w:sz w:val="27"/>
          <w:vertAlign w:val="superscript"/>
          <w:rtl/>
        </w:rPr>
        <w:t>)</w:t>
      </w:r>
      <w:r w:rsidRPr="00904FCB">
        <w:rPr>
          <w:sz w:val="27"/>
          <w:rtl/>
        </w:rPr>
        <w:t>. و</w:t>
      </w:r>
      <w:r w:rsidRPr="00904FCB">
        <w:rPr>
          <w:rFonts w:hint="eastAsia"/>
          <w:sz w:val="27"/>
          <w:rtl/>
        </w:rPr>
        <w:t>«</w:t>
      </w:r>
      <w:r w:rsidRPr="00904FCB">
        <w:rPr>
          <w:sz w:val="27"/>
          <w:rtl/>
        </w:rPr>
        <w:t>إذا كان لا</w:t>
      </w:r>
      <w:r w:rsidR="003116AD" w:rsidRPr="00904FCB">
        <w:rPr>
          <w:rFonts w:hint="cs"/>
          <w:sz w:val="27"/>
          <w:rtl/>
        </w:rPr>
        <w:t xml:space="preserve"> </w:t>
      </w:r>
      <w:r w:rsidRPr="00904FCB">
        <w:rPr>
          <w:sz w:val="27"/>
          <w:rtl/>
        </w:rPr>
        <w:t>ب</w:t>
      </w:r>
      <w:r w:rsidR="003116AD" w:rsidRPr="00904FCB">
        <w:rPr>
          <w:rFonts w:hint="cs"/>
          <w:sz w:val="27"/>
          <w:rtl/>
        </w:rPr>
        <w:t>ُ</w:t>
      </w:r>
      <w:r w:rsidRPr="00904FCB">
        <w:rPr>
          <w:sz w:val="27"/>
          <w:rtl/>
        </w:rPr>
        <w:t>د</w:t>
      </w:r>
      <w:r w:rsidR="003116AD" w:rsidRPr="00904FCB">
        <w:rPr>
          <w:rFonts w:hint="cs"/>
          <w:sz w:val="27"/>
          <w:rtl/>
        </w:rPr>
        <w:t>َّ</w:t>
      </w:r>
      <w:r w:rsidRPr="00904FCB">
        <w:rPr>
          <w:sz w:val="27"/>
          <w:rtl/>
        </w:rPr>
        <w:t xml:space="preserve"> من أن يكون هناك اجتهاد فيجب أن يكون في تطبيق أصول الدين على أصول العالم الجديد، وليس في تطبيق فروع الدين على فروع العالم الجديد</w:t>
      </w:r>
      <w:r w:rsidRPr="00904FCB">
        <w:rPr>
          <w:rFonts w:hint="eastAsia"/>
          <w:sz w:val="27"/>
          <w:rtl/>
        </w:rPr>
        <w:t>»</w:t>
      </w:r>
      <w:r w:rsidRPr="00904FCB">
        <w:rPr>
          <w:sz w:val="27"/>
          <w:vertAlign w:val="superscript"/>
          <w:rtl/>
        </w:rPr>
        <w:t>(</w:t>
      </w:r>
      <w:r w:rsidRPr="00904FCB">
        <w:rPr>
          <w:sz w:val="27"/>
          <w:vertAlign w:val="superscript"/>
          <w:rtl/>
        </w:rPr>
        <w:endnoteReference w:id="30"/>
      </w:r>
      <w:r w:rsidRPr="00904FCB">
        <w:rPr>
          <w:sz w:val="27"/>
          <w:vertAlign w:val="superscript"/>
          <w:rtl/>
        </w:rPr>
        <w:t>)</w:t>
      </w:r>
      <w:r w:rsidRPr="00904FCB">
        <w:rPr>
          <w:sz w:val="27"/>
          <w:rtl/>
        </w:rPr>
        <w:t xml:space="preserve">. وإن </w:t>
      </w:r>
      <w:r w:rsidRPr="00904FCB">
        <w:rPr>
          <w:rFonts w:hint="eastAsia"/>
          <w:sz w:val="27"/>
          <w:rtl/>
        </w:rPr>
        <w:t>«</w:t>
      </w:r>
      <w:r w:rsidRPr="00904FCB">
        <w:rPr>
          <w:sz w:val="27"/>
          <w:rtl/>
        </w:rPr>
        <w:t>الفقيه الذي يجهل مسل</w:t>
      </w:r>
      <w:r w:rsidR="003116AD" w:rsidRPr="00904FCB">
        <w:rPr>
          <w:rFonts w:hint="cs"/>
          <w:sz w:val="27"/>
          <w:rtl/>
        </w:rPr>
        <w:t>َّ</w:t>
      </w:r>
      <w:r w:rsidRPr="00904FCB">
        <w:rPr>
          <w:sz w:val="27"/>
          <w:rtl/>
        </w:rPr>
        <w:t>مات وبديهيات الإنسان المعاصر... لن ينجح في إدراك وحل</w:t>
      </w:r>
      <w:r w:rsidR="003116AD" w:rsidRPr="00904FCB">
        <w:rPr>
          <w:rFonts w:hint="cs"/>
          <w:sz w:val="27"/>
          <w:rtl/>
        </w:rPr>
        <w:t>ّ</w:t>
      </w:r>
      <w:r w:rsidRPr="00904FCB">
        <w:rPr>
          <w:sz w:val="27"/>
          <w:rtl/>
        </w:rPr>
        <w:t xml:space="preserve"> المسائل الحقوقية المتأث</w:t>
      </w:r>
      <w:r w:rsidR="003116AD" w:rsidRPr="00904FCB">
        <w:rPr>
          <w:rFonts w:hint="cs"/>
          <w:sz w:val="27"/>
          <w:rtl/>
        </w:rPr>
        <w:t>ِّ</w:t>
      </w:r>
      <w:r w:rsidRPr="00904FCB">
        <w:rPr>
          <w:sz w:val="27"/>
          <w:rtl/>
        </w:rPr>
        <w:t>رة بها أيضاً</w:t>
      </w:r>
      <w:r w:rsidRPr="00904FCB">
        <w:rPr>
          <w:rFonts w:hint="eastAsia"/>
          <w:sz w:val="27"/>
          <w:rtl/>
        </w:rPr>
        <w:t>»</w:t>
      </w:r>
      <w:r w:rsidRPr="00904FCB">
        <w:rPr>
          <w:sz w:val="27"/>
          <w:vertAlign w:val="superscript"/>
          <w:rtl/>
        </w:rPr>
        <w:t>(</w:t>
      </w:r>
      <w:r w:rsidRPr="00904FCB">
        <w:rPr>
          <w:sz w:val="27"/>
          <w:vertAlign w:val="superscript"/>
          <w:rtl/>
        </w:rPr>
        <w:endnoteReference w:id="31"/>
      </w:r>
      <w:r w:rsidRPr="00904FCB">
        <w:rPr>
          <w:sz w:val="27"/>
          <w:vertAlign w:val="superscript"/>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تكمن إحدى أهم</w:t>
      </w:r>
      <w:r w:rsidR="003116AD" w:rsidRPr="00904FCB">
        <w:rPr>
          <w:rFonts w:hint="cs"/>
          <w:sz w:val="27"/>
          <w:rtl/>
        </w:rPr>
        <w:t>ّ</w:t>
      </w:r>
      <w:r w:rsidRPr="00904FCB">
        <w:rPr>
          <w:sz w:val="27"/>
          <w:rtl/>
        </w:rPr>
        <w:t xml:space="preserve"> الاختلافات بين العالم الجديد والعالم القديم في تغيير نظرة الناس إلى العالم</w:t>
      </w:r>
      <w:r w:rsidR="003116AD" w:rsidRPr="00904FCB">
        <w:rPr>
          <w:rFonts w:hint="cs"/>
          <w:sz w:val="27"/>
          <w:rtl/>
        </w:rPr>
        <w:t>؛</w:t>
      </w:r>
      <w:r w:rsidRPr="00904FCB">
        <w:rPr>
          <w:sz w:val="27"/>
          <w:rtl/>
        </w:rPr>
        <w:t xml:space="preserve"> حيث </w:t>
      </w:r>
      <w:r w:rsidR="003116AD" w:rsidRPr="00904FCB">
        <w:rPr>
          <w:rFonts w:hint="cs"/>
          <w:sz w:val="27"/>
          <w:rtl/>
        </w:rPr>
        <w:t>إ</w:t>
      </w:r>
      <w:r w:rsidRPr="00904FCB">
        <w:rPr>
          <w:sz w:val="27"/>
          <w:rtl/>
        </w:rPr>
        <w:t>ن هذه النظرة قد طرأ عليها التغي</w:t>
      </w:r>
      <w:r w:rsidR="003116AD" w:rsidRPr="00904FCB">
        <w:rPr>
          <w:rFonts w:hint="cs"/>
          <w:sz w:val="27"/>
          <w:rtl/>
        </w:rPr>
        <w:t>ُّ</w:t>
      </w:r>
      <w:r w:rsidRPr="00904FCB">
        <w:rPr>
          <w:sz w:val="27"/>
          <w:rtl/>
        </w:rPr>
        <w:t xml:space="preserve">ر من ناحيتين: </w:t>
      </w:r>
    </w:p>
    <w:p w:rsidR="00A45FD9" w:rsidRPr="00904FCB" w:rsidRDefault="00A45FD9" w:rsidP="007A21AA">
      <w:pPr>
        <w:spacing w:line="400" w:lineRule="exact"/>
        <w:rPr>
          <w:sz w:val="27"/>
          <w:rtl/>
        </w:rPr>
      </w:pPr>
      <w:r w:rsidRPr="00904FCB">
        <w:rPr>
          <w:b/>
          <w:bCs/>
          <w:sz w:val="27"/>
          <w:rtl/>
        </w:rPr>
        <w:t>الأولى</w:t>
      </w:r>
      <w:r w:rsidRPr="00904FCB">
        <w:rPr>
          <w:sz w:val="27"/>
          <w:rtl/>
        </w:rPr>
        <w:t xml:space="preserve">: إن نظرة الإنسان الحداثي إلى العالم نظرة </w:t>
      </w:r>
      <w:r w:rsidRPr="00904FCB">
        <w:rPr>
          <w:rFonts w:hint="eastAsia"/>
          <w:sz w:val="27"/>
          <w:rtl/>
        </w:rPr>
        <w:t>«</w:t>
      </w:r>
      <w:r w:rsidRPr="00904FCB">
        <w:rPr>
          <w:sz w:val="27"/>
          <w:rtl/>
        </w:rPr>
        <w:t>آلي</w:t>
      </w:r>
      <w:r w:rsidR="003116AD" w:rsidRPr="00904FCB">
        <w:rPr>
          <w:rFonts w:hint="cs"/>
          <w:sz w:val="27"/>
          <w:rtl/>
        </w:rPr>
        <w:t>ّ</w:t>
      </w:r>
      <w:r w:rsidRPr="00904FCB">
        <w:rPr>
          <w:sz w:val="27"/>
          <w:rtl/>
        </w:rPr>
        <w:t>ة</w:t>
      </w:r>
      <w:r w:rsidRPr="00904FCB">
        <w:rPr>
          <w:rFonts w:hint="eastAsia"/>
          <w:sz w:val="27"/>
          <w:rtl/>
        </w:rPr>
        <w:t>»</w:t>
      </w:r>
      <w:r w:rsidRPr="00904FCB">
        <w:rPr>
          <w:sz w:val="27"/>
          <w:rtl/>
        </w:rPr>
        <w:t xml:space="preserve">. </w:t>
      </w:r>
    </w:p>
    <w:p w:rsidR="00A45FD9" w:rsidRPr="00904FCB" w:rsidRDefault="00A45FD9" w:rsidP="007A21AA">
      <w:pPr>
        <w:spacing w:line="400" w:lineRule="exact"/>
        <w:rPr>
          <w:sz w:val="27"/>
          <w:rtl/>
        </w:rPr>
      </w:pPr>
      <w:r w:rsidRPr="00904FCB">
        <w:rPr>
          <w:b/>
          <w:bCs/>
          <w:sz w:val="27"/>
          <w:rtl/>
        </w:rPr>
        <w:t>الثانية</w:t>
      </w:r>
      <w:r w:rsidRPr="00904FCB">
        <w:rPr>
          <w:sz w:val="27"/>
          <w:rtl/>
        </w:rPr>
        <w:t>: إن الإنسان الحداثي لا ينظر إلى الن</w:t>
      </w:r>
      <w:r w:rsidR="003116AD" w:rsidRPr="00904FCB">
        <w:rPr>
          <w:rFonts w:hint="cs"/>
          <w:sz w:val="27"/>
          <w:rtl/>
        </w:rPr>
        <w:t>َّ</w:t>
      </w:r>
      <w:r w:rsidRPr="00904FCB">
        <w:rPr>
          <w:sz w:val="27"/>
          <w:rtl/>
        </w:rPr>
        <w:t>ظ</w:t>
      </w:r>
      <w:r w:rsidR="003116AD" w:rsidRPr="00904FCB">
        <w:rPr>
          <w:rFonts w:hint="cs"/>
          <w:sz w:val="27"/>
          <w:rtl/>
        </w:rPr>
        <w:t>ْ</w:t>
      </w:r>
      <w:r w:rsidRPr="00904FCB">
        <w:rPr>
          <w:sz w:val="27"/>
          <w:rtl/>
        </w:rPr>
        <w:t>م الموجود بوصفه أفضل أنواع الن</w:t>
      </w:r>
      <w:r w:rsidR="003116AD" w:rsidRPr="00904FCB">
        <w:rPr>
          <w:rFonts w:hint="cs"/>
          <w:sz w:val="27"/>
          <w:rtl/>
        </w:rPr>
        <w:t>َّ</w:t>
      </w:r>
      <w:r w:rsidRPr="00904FCB">
        <w:rPr>
          <w:sz w:val="27"/>
          <w:rtl/>
        </w:rPr>
        <w:t>ظ</w:t>
      </w:r>
      <w:r w:rsidR="003116AD" w:rsidRPr="00904FCB">
        <w:rPr>
          <w:rFonts w:hint="cs"/>
          <w:sz w:val="27"/>
          <w:rtl/>
        </w:rPr>
        <w:t>ْ</w:t>
      </w:r>
      <w:r w:rsidRPr="00904FCB">
        <w:rPr>
          <w:sz w:val="27"/>
          <w:rtl/>
        </w:rPr>
        <w:t>م الممكن، ولذلك لا يقتنع بتفسير العالم كما كان الحال بالنسبة إلى أسلافه، وإن</w:t>
      </w:r>
      <w:r w:rsidR="003A5A42" w:rsidRPr="00904FCB">
        <w:rPr>
          <w:rFonts w:hint="cs"/>
          <w:sz w:val="27"/>
          <w:rtl/>
        </w:rPr>
        <w:t>ّ</w:t>
      </w:r>
      <w:r w:rsidRPr="00904FCB">
        <w:rPr>
          <w:sz w:val="27"/>
          <w:rtl/>
        </w:rPr>
        <w:t>ما يسعى إلى إحداث تغيير</w:t>
      </w:r>
      <w:r w:rsidR="003A5A42" w:rsidRPr="00904FCB">
        <w:rPr>
          <w:rFonts w:hint="cs"/>
          <w:sz w:val="27"/>
          <w:rtl/>
        </w:rPr>
        <w:t>ٍ</w:t>
      </w:r>
      <w:r w:rsidRPr="00904FCB">
        <w:rPr>
          <w:sz w:val="27"/>
          <w:rtl/>
        </w:rPr>
        <w:t xml:space="preserve"> فيه</w:t>
      </w:r>
      <w:r w:rsidRPr="00904FCB">
        <w:rPr>
          <w:sz w:val="27"/>
          <w:vertAlign w:val="superscript"/>
          <w:rtl/>
        </w:rPr>
        <w:t>(</w:t>
      </w:r>
      <w:r w:rsidRPr="00904FCB">
        <w:rPr>
          <w:sz w:val="27"/>
          <w:vertAlign w:val="superscript"/>
          <w:rtl/>
        </w:rPr>
        <w:endnoteReference w:id="32"/>
      </w:r>
      <w:r w:rsidRPr="00904FCB">
        <w:rPr>
          <w:sz w:val="27"/>
          <w:vertAlign w:val="superscript"/>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 xml:space="preserve">أما الفوارق الأخرى بين العالم القديم والعالم الجديد فهي عبارة عن: حلول </w:t>
      </w:r>
      <w:r w:rsidRPr="00904FCB">
        <w:rPr>
          <w:rFonts w:hint="eastAsia"/>
          <w:sz w:val="27"/>
          <w:rtl/>
        </w:rPr>
        <w:t>«</w:t>
      </w:r>
      <w:r w:rsidRPr="00904FCB">
        <w:rPr>
          <w:sz w:val="27"/>
          <w:rtl/>
        </w:rPr>
        <w:t>الإرادة</w:t>
      </w:r>
      <w:r w:rsidRPr="00904FCB">
        <w:rPr>
          <w:rFonts w:hint="eastAsia"/>
          <w:sz w:val="27"/>
          <w:rtl/>
        </w:rPr>
        <w:t>»</w:t>
      </w:r>
      <w:r w:rsidRPr="00904FCB">
        <w:rPr>
          <w:sz w:val="27"/>
          <w:rtl/>
        </w:rPr>
        <w:t xml:space="preserve"> محل</w:t>
      </w:r>
      <w:r w:rsidR="003A5A42" w:rsidRPr="00904FCB">
        <w:rPr>
          <w:rFonts w:hint="cs"/>
          <w:sz w:val="27"/>
          <w:rtl/>
        </w:rPr>
        <w:t>ّ</w:t>
      </w:r>
      <w:r w:rsidRPr="00904FCB">
        <w:rPr>
          <w:sz w:val="27"/>
          <w:rtl/>
        </w:rPr>
        <w:t xml:space="preserve"> </w:t>
      </w:r>
      <w:r w:rsidRPr="00904FCB">
        <w:rPr>
          <w:rFonts w:hint="eastAsia"/>
          <w:sz w:val="27"/>
          <w:rtl/>
        </w:rPr>
        <w:t>«</w:t>
      </w:r>
      <w:r w:rsidRPr="00904FCB">
        <w:rPr>
          <w:sz w:val="27"/>
          <w:rtl/>
        </w:rPr>
        <w:t>الحق</w:t>
      </w:r>
      <w:r w:rsidR="003A5A42" w:rsidRPr="00904FCB">
        <w:rPr>
          <w:rFonts w:hint="cs"/>
          <w:sz w:val="27"/>
          <w:rtl/>
        </w:rPr>
        <w:t>ّ</w:t>
      </w:r>
      <w:r w:rsidRPr="00904FCB">
        <w:rPr>
          <w:rFonts w:hint="eastAsia"/>
          <w:sz w:val="27"/>
          <w:rtl/>
        </w:rPr>
        <w:t>»</w:t>
      </w:r>
      <w:r w:rsidRPr="00904FCB">
        <w:rPr>
          <w:sz w:val="27"/>
          <w:rtl/>
        </w:rPr>
        <w:t xml:space="preserve">، واستبدال </w:t>
      </w:r>
      <w:r w:rsidRPr="00904FCB">
        <w:rPr>
          <w:rFonts w:hint="eastAsia"/>
          <w:sz w:val="27"/>
          <w:rtl/>
        </w:rPr>
        <w:t>«</w:t>
      </w:r>
      <w:r w:rsidRPr="00904FCB">
        <w:rPr>
          <w:sz w:val="27"/>
          <w:rtl/>
        </w:rPr>
        <w:t>محورية التكليف</w:t>
      </w:r>
      <w:r w:rsidRPr="00904FCB">
        <w:rPr>
          <w:rFonts w:hint="eastAsia"/>
          <w:sz w:val="27"/>
          <w:rtl/>
        </w:rPr>
        <w:t>»</w:t>
      </w:r>
      <w:r w:rsidRPr="00904FCB">
        <w:rPr>
          <w:sz w:val="27"/>
          <w:rtl/>
        </w:rPr>
        <w:t xml:space="preserve"> بـ </w:t>
      </w:r>
      <w:r w:rsidRPr="00904FCB">
        <w:rPr>
          <w:rFonts w:hint="eastAsia"/>
          <w:sz w:val="27"/>
          <w:rtl/>
        </w:rPr>
        <w:t>«</w:t>
      </w:r>
      <w:r w:rsidRPr="00904FCB">
        <w:rPr>
          <w:sz w:val="27"/>
          <w:rtl/>
        </w:rPr>
        <w:t>محورية الحق</w:t>
      </w:r>
      <w:r w:rsidR="003A5A42" w:rsidRPr="00904FCB">
        <w:rPr>
          <w:rFonts w:hint="cs"/>
          <w:sz w:val="27"/>
          <w:rtl/>
        </w:rPr>
        <w:t>ّ</w:t>
      </w:r>
      <w:r w:rsidRPr="00904FCB">
        <w:rPr>
          <w:rFonts w:hint="eastAsia"/>
          <w:sz w:val="27"/>
          <w:rtl/>
        </w:rPr>
        <w:t>»</w:t>
      </w:r>
      <w:r w:rsidRPr="00904FCB">
        <w:rPr>
          <w:sz w:val="27"/>
          <w:vertAlign w:val="superscript"/>
          <w:rtl/>
        </w:rPr>
        <w:t>(</w:t>
      </w:r>
      <w:r w:rsidRPr="00904FCB">
        <w:rPr>
          <w:sz w:val="27"/>
          <w:vertAlign w:val="superscript"/>
          <w:rtl/>
        </w:rPr>
        <w:endnoteReference w:id="33"/>
      </w:r>
      <w:r w:rsidRPr="00904FCB">
        <w:rPr>
          <w:sz w:val="27"/>
          <w:vertAlign w:val="superscript"/>
          <w:rtl/>
        </w:rPr>
        <w:t>)</w:t>
      </w:r>
      <w:r w:rsidRPr="00904FCB">
        <w:rPr>
          <w:sz w:val="27"/>
          <w:rtl/>
        </w:rPr>
        <w:t>، على ما سيأتي تفصيله لاحقاً</w:t>
      </w:r>
      <w:r w:rsidR="003A5A42" w:rsidRPr="00904FCB">
        <w:rPr>
          <w:rFonts w:hint="cs"/>
          <w:sz w:val="27"/>
          <w:rtl/>
        </w:rPr>
        <w:t>.</w:t>
      </w:r>
      <w:r w:rsidRPr="00904FCB">
        <w:rPr>
          <w:sz w:val="27"/>
          <w:rtl/>
        </w:rPr>
        <w:t xml:space="preserve"> وه</w:t>
      </w:r>
      <w:r w:rsidR="003A5A42" w:rsidRPr="00904FCB">
        <w:rPr>
          <w:rFonts w:hint="cs"/>
          <w:sz w:val="27"/>
          <w:rtl/>
        </w:rPr>
        <w:t>ك</w:t>
      </w:r>
      <w:r w:rsidRPr="00904FCB">
        <w:rPr>
          <w:sz w:val="27"/>
          <w:rtl/>
        </w:rPr>
        <w:t xml:space="preserve">ذا الأمر بالنسبة إلى إحلال </w:t>
      </w:r>
      <w:r w:rsidRPr="00904FCB">
        <w:rPr>
          <w:rFonts w:hint="eastAsia"/>
          <w:sz w:val="27"/>
          <w:rtl/>
        </w:rPr>
        <w:t>«</w:t>
      </w:r>
      <w:r w:rsidRPr="00904FCB">
        <w:rPr>
          <w:sz w:val="27"/>
          <w:rtl/>
        </w:rPr>
        <w:t>النزعة التشكيكية</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النزعة الظنية</w:t>
      </w:r>
      <w:r w:rsidRPr="00904FCB">
        <w:rPr>
          <w:rFonts w:hint="eastAsia"/>
          <w:sz w:val="27"/>
          <w:rtl/>
        </w:rPr>
        <w:t>»</w:t>
      </w:r>
      <w:r w:rsidRPr="00904FCB">
        <w:rPr>
          <w:sz w:val="27"/>
          <w:rtl/>
        </w:rPr>
        <w:t xml:space="preserve"> محل</w:t>
      </w:r>
      <w:r w:rsidR="003A5A42" w:rsidRPr="00904FCB">
        <w:rPr>
          <w:rFonts w:hint="cs"/>
          <w:sz w:val="27"/>
          <w:rtl/>
        </w:rPr>
        <w:t>ّ</w:t>
      </w:r>
      <w:r w:rsidRPr="00904FCB">
        <w:rPr>
          <w:sz w:val="27"/>
          <w:rtl/>
        </w:rPr>
        <w:t xml:space="preserve"> </w:t>
      </w:r>
      <w:r w:rsidRPr="00904FCB">
        <w:rPr>
          <w:rFonts w:hint="eastAsia"/>
          <w:sz w:val="27"/>
          <w:rtl/>
        </w:rPr>
        <w:t>«</w:t>
      </w:r>
      <w:r w:rsidRPr="00904FCB">
        <w:rPr>
          <w:sz w:val="27"/>
          <w:rtl/>
        </w:rPr>
        <w:t>النزعة اليقينية</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النزعة الجزمية</w:t>
      </w:r>
      <w:r w:rsidRPr="00904FCB">
        <w:rPr>
          <w:rFonts w:hint="eastAsia"/>
          <w:sz w:val="27"/>
          <w:rtl/>
        </w:rPr>
        <w:t>»</w:t>
      </w:r>
      <w:r w:rsidRPr="00904FCB">
        <w:rPr>
          <w:sz w:val="27"/>
          <w:vertAlign w:val="superscript"/>
          <w:rtl/>
        </w:rPr>
        <w:t>(</w:t>
      </w:r>
      <w:r w:rsidRPr="00904FCB">
        <w:rPr>
          <w:sz w:val="27"/>
          <w:vertAlign w:val="superscript"/>
          <w:rtl/>
        </w:rPr>
        <w:endnoteReference w:id="34"/>
      </w:r>
      <w:r w:rsidRPr="00904FCB">
        <w:rPr>
          <w:sz w:val="27"/>
          <w:vertAlign w:val="superscript"/>
          <w:rtl/>
        </w:rPr>
        <w:t>)</w:t>
      </w:r>
      <w:r w:rsidRPr="00904FCB">
        <w:rPr>
          <w:sz w:val="27"/>
          <w:rtl/>
        </w:rPr>
        <w:t xml:space="preserve">، وهكذا </w:t>
      </w:r>
      <w:r w:rsidRPr="00904FCB">
        <w:rPr>
          <w:rFonts w:hint="eastAsia"/>
          <w:sz w:val="27"/>
          <w:rtl/>
        </w:rPr>
        <w:t>«</w:t>
      </w:r>
      <w:r w:rsidRPr="00904FCB">
        <w:rPr>
          <w:sz w:val="27"/>
          <w:rtl/>
        </w:rPr>
        <w:t>العلمانية</w:t>
      </w:r>
      <w:r w:rsidRPr="00904FCB">
        <w:rPr>
          <w:rFonts w:hint="eastAsia"/>
          <w:sz w:val="27"/>
          <w:rtl/>
        </w:rPr>
        <w:t>»</w:t>
      </w:r>
      <w:r w:rsidRPr="00904FCB">
        <w:rPr>
          <w:sz w:val="27"/>
          <w:vertAlign w:val="superscript"/>
          <w:rtl/>
        </w:rPr>
        <w:t>(</w:t>
      </w:r>
      <w:r w:rsidRPr="00904FCB">
        <w:rPr>
          <w:sz w:val="27"/>
          <w:vertAlign w:val="superscript"/>
          <w:rtl/>
        </w:rPr>
        <w:endnoteReference w:id="35"/>
      </w:r>
      <w:r w:rsidRPr="00904FCB">
        <w:rPr>
          <w:sz w:val="27"/>
          <w:vertAlign w:val="superscript"/>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 xml:space="preserve">كما عمد الأستاذ </w:t>
      </w:r>
      <w:r w:rsidRPr="00904FCB">
        <w:rPr>
          <w:rFonts w:hint="cs"/>
          <w:sz w:val="27"/>
          <w:rtl/>
        </w:rPr>
        <w:t xml:space="preserve">مصطفى </w:t>
      </w:r>
      <w:r w:rsidRPr="00904FCB">
        <w:rPr>
          <w:sz w:val="27"/>
          <w:rtl/>
        </w:rPr>
        <w:t>م</w:t>
      </w:r>
      <w:r w:rsidR="003A5A42" w:rsidRPr="00904FCB">
        <w:rPr>
          <w:rFonts w:hint="cs"/>
          <w:sz w:val="27"/>
          <w:rtl/>
        </w:rPr>
        <w:t>َ</w:t>
      </w:r>
      <w:r w:rsidRPr="00904FCB">
        <w:rPr>
          <w:sz w:val="27"/>
          <w:rtl/>
        </w:rPr>
        <w:t>ل</w:t>
      </w:r>
      <w:r w:rsidR="003A5A42" w:rsidRPr="00904FCB">
        <w:rPr>
          <w:rFonts w:hint="cs"/>
          <w:sz w:val="27"/>
          <w:rtl/>
        </w:rPr>
        <w:t>َ</w:t>
      </w:r>
      <w:r w:rsidRPr="00904FCB">
        <w:rPr>
          <w:sz w:val="27"/>
          <w:rtl/>
        </w:rPr>
        <w:t>ك</w:t>
      </w:r>
      <w:r w:rsidR="003A5A42" w:rsidRPr="00904FCB">
        <w:rPr>
          <w:rFonts w:hint="cs"/>
          <w:sz w:val="27"/>
          <w:rtl/>
        </w:rPr>
        <w:t>ْ</w:t>
      </w:r>
      <w:r w:rsidRPr="00904FCB">
        <w:rPr>
          <w:sz w:val="27"/>
          <w:rtl/>
        </w:rPr>
        <w:t>يان ـ في مقال</w:t>
      </w:r>
      <w:r w:rsidR="003A5A42" w:rsidRPr="00904FCB">
        <w:rPr>
          <w:rFonts w:hint="cs"/>
          <w:sz w:val="27"/>
          <w:rtl/>
        </w:rPr>
        <w:t>ٍ</w:t>
      </w:r>
      <w:r w:rsidRPr="00904FCB">
        <w:rPr>
          <w:sz w:val="27"/>
          <w:rtl/>
        </w:rPr>
        <w:t xml:space="preserve"> تفصيلي له تحت عنوان: </w:t>
      </w:r>
      <w:r w:rsidRPr="00904FCB">
        <w:rPr>
          <w:rFonts w:hint="eastAsia"/>
          <w:sz w:val="27"/>
          <w:rtl/>
        </w:rPr>
        <w:t>«</w:t>
      </w:r>
      <w:r w:rsidRPr="00904FCB">
        <w:rPr>
          <w:sz w:val="27"/>
          <w:rtl/>
        </w:rPr>
        <w:t>معنوي</w:t>
      </w:r>
      <w:r w:rsidR="003A5A42" w:rsidRPr="00904FCB">
        <w:rPr>
          <w:rFonts w:hint="cs"/>
          <w:sz w:val="27"/>
          <w:rtl/>
        </w:rPr>
        <w:t>ّ</w:t>
      </w:r>
      <w:r w:rsidRPr="00904FCB">
        <w:rPr>
          <w:sz w:val="27"/>
          <w:rtl/>
        </w:rPr>
        <w:t xml:space="preserve">ت: </w:t>
      </w:r>
      <w:r w:rsidRPr="00904FCB">
        <w:rPr>
          <w:rFonts w:ascii="Mosawi" w:eastAsiaTheme="minorHAnsi" w:hAnsi="Mosawi" w:cs="Abz-3 (Yagut)"/>
          <w:sz w:val="24"/>
          <w:szCs w:val="24"/>
          <w:rtl/>
        </w:rPr>
        <w:t>گوهر</w:t>
      </w:r>
      <w:r w:rsidRPr="00904FCB">
        <w:rPr>
          <w:sz w:val="27"/>
          <w:rtl/>
        </w:rPr>
        <w:t xml:space="preserve"> </w:t>
      </w:r>
      <w:r w:rsidR="003A5A42" w:rsidRPr="00904FCB">
        <w:rPr>
          <w:rFonts w:hint="cs"/>
          <w:sz w:val="27"/>
          <w:rtl/>
        </w:rPr>
        <w:t>أ</w:t>
      </w:r>
      <w:r w:rsidRPr="00904FCB">
        <w:rPr>
          <w:sz w:val="27"/>
          <w:rtl/>
        </w:rPr>
        <w:t>ديان</w:t>
      </w:r>
      <w:r w:rsidRPr="00904FCB">
        <w:rPr>
          <w:rFonts w:hint="eastAsia"/>
          <w:sz w:val="27"/>
          <w:rtl/>
        </w:rPr>
        <w:t>»</w:t>
      </w:r>
      <w:r w:rsidRPr="00904FCB">
        <w:rPr>
          <w:sz w:val="27"/>
          <w:vertAlign w:val="superscript"/>
          <w:rtl/>
        </w:rPr>
        <w:t>(</w:t>
      </w:r>
      <w:r w:rsidRPr="00904FCB">
        <w:rPr>
          <w:sz w:val="27"/>
          <w:vertAlign w:val="superscript"/>
          <w:rtl/>
        </w:rPr>
        <w:endnoteReference w:id="36"/>
      </w:r>
      <w:r w:rsidRPr="00904FCB">
        <w:rPr>
          <w:sz w:val="27"/>
          <w:vertAlign w:val="superscript"/>
          <w:rtl/>
        </w:rPr>
        <w:t>)</w:t>
      </w:r>
      <w:r w:rsidRPr="00904FCB">
        <w:rPr>
          <w:sz w:val="27"/>
          <w:rtl/>
        </w:rPr>
        <w:t xml:space="preserve"> ـ إلى تعداد عناصر الحداثة، من خلال تقسيمها إلى</w:t>
      </w:r>
      <w:r w:rsidR="003A5A42" w:rsidRPr="00904FCB">
        <w:rPr>
          <w:rFonts w:hint="cs"/>
          <w:sz w:val="27"/>
          <w:rtl/>
        </w:rPr>
        <w:t>:</w:t>
      </w:r>
      <w:r w:rsidRPr="00904FCB">
        <w:rPr>
          <w:sz w:val="27"/>
          <w:rtl/>
        </w:rPr>
        <w:t xml:space="preserve"> عناصر حتمية</w:t>
      </w:r>
      <w:r w:rsidR="003A5A42" w:rsidRPr="00904FCB">
        <w:rPr>
          <w:rFonts w:hint="cs"/>
          <w:sz w:val="27"/>
          <w:rtl/>
        </w:rPr>
        <w:t>؛</w:t>
      </w:r>
      <w:r w:rsidRPr="00904FCB">
        <w:rPr>
          <w:sz w:val="27"/>
          <w:rtl/>
        </w:rPr>
        <w:t xml:space="preserve"> وعناصر غير حتمية</w:t>
      </w:r>
      <w:r w:rsidRPr="00904FCB">
        <w:rPr>
          <w:sz w:val="27"/>
          <w:vertAlign w:val="superscript"/>
          <w:rtl/>
        </w:rPr>
        <w:t>(</w:t>
      </w:r>
      <w:r w:rsidRPr="00904FCB">
        <w:rPr>
          <w:sz w:val="27"/>
          <w:vertAlign w:val="superscript"/>
          <w:rtl/>
        </w:rPr>
        <w:endnoteReference w:id="37"/>
      </w:r>
      <w:r w:rsidRPr="00904FCB">
        <w:rPr>
          <w:sz w:val="27"/>
          <w:vertAlign w:val="superscript"/>
          <w:rtl/>
        </w:rPr>
        <w:t>)</w:t>
      </w:r>
      <w:r w:rsidR="003A5A42" w:rsidRPr="00904FCB">
        <w:rPr>
          <w:rFonts w:hint="cs"/>
          <w:sz w:val="27"/>
          <w:rtl/>
        </w:rPr>
        <w:t xml:space="preserve">، </w:t>
      </w:r>
      <w:r w:rsidRPr="00904FCB">
        <w:rPr>
          <w:sz w:val="27"/>
          <w:rtl/>
        </w:rPr>
        <w:t>حيث يذهب إلى القول بأن للحداثة ست</w:t>
      </w:r>
      <w:r w:rsidR="003A5A42" w:rsidRPr="00904FCB">
        <w:rPr>
          <w:rFonts w:hint="cs"/>
          <w:sz w:val="27"/>
          <w:rtl/>
        </w:rPr>
        <w:t>ّ</w:t>
      </w:r>
      <w:r w:rsidRPr="00904FCB">
        <w:rPr>
          <w:sz w:val="27"/>
          <w:rtl/>
        </w:rPr>
        <w:t xml:space="preserve">ة عناصر </w:t>
      </w:r>
      <w:r w:rsidRPr="00904FCB">
        <w:rPr>
          <w:sz w:val="27"/>
          <w:rtl/>
        </w:rPr>
        <w:lastRenderedPageBreak/>
        <w:t xml:space="preserve">حتمية، وهي: </w:t>
      </w:r>
    </w:p>
    <w:p w:rsidR="00A45FD9" w:rsidRPr="00F03AF0" w:rsidRDefault="00A45FD9" w:rsidP="007A21AA">
      <w:pPr>
        <w:spacing w:line="400" w:lineRule="exact"/>
        <w:rPr>
          <w:sz w:val="27"/>
          <w:rtl/>
        </w:rPr>
      </w:pPr>
      <w:r w:rsidRPr="00F03AF0">
        <w:rPr>
          <w:sz w:val="27"/>
          <w:rtl/>
        </w:rPr>
        <w:t>1ـ ات</w:t>
      </w:r>
      <w:r w:rsidR="003A5A42" w:rsidRPr="00F03AF0">
        <w:rPr>
          <w:rFonts w:hint="cs"/>
          <w:sz w:val="27"/>
          <w:rtl/>
        </w:rPr>
        <w:t>ّ</w:t>
      </w:r>
      <w:r w:rsidRPr="00F03AF0">
        <w:rPr>
          <w:sz w:val="27"/>
          <w:rtl/>
        </w:rPr>
        <w:t xml:space="preserve">باع الدليل. </w:t>
      </w:r>
    </w:p>
    <w:p w:rsidR="00A45FD9" w:rsidRPr="00F03AF0" w:rsidRDefault="00A45FD9" w:rsidP="007A21AA">
      <w:pPr>
        <w:spacing w:line="400" w:lineRule="exact"/>
        <w:rPr>
          <w:sz w:val="27"/>
          <w:rtl/>
        </w:rPr>
      </w:pPr>
      <w:r w:rsidRPr="00F03AF0">
        <w:rPr>
          <w:sz w:val="27"/>
          <w:rtl/>
        </w:rPr>
        <w:t xml:space="preserve">2ـ عدم الثقة بالنقل التاريخي. </w:t>
      </w:r>
    </w:p>
    <w:p w:rsidR="00A45FD9" w:rsidRPr="00F03AF0" w:rsidRDefault="00A45FD9" w:rsidP="007A21AA">
      <w:pPr>
        <w:spacing w:line="400" w:lineRule="exact"/>
        <w:rPr>
          <w:sz w:val="27"/>
          <w:rtl/>
        </w:rPr>
      </w:pPr>
      <w:r w:rsidRPr="00F03AF0">
        <w:rPr>
          <w:sz w:val="27"/>
          <w:rtl/>
        </w:rPr>
        <w:t xml:space="preserve">3ـ العلمانية، أو قابلية الإثبات الدنيوي. </w:t>
      </w:r>
    </w:p>
    <w:p w:rsidR="00A45FD9" w:rsidRPr="00F03AF0" w:rsidRDefault="00A45FD9" w:rsidP="007A21AA">
      <w:pPr>
        <w:spacing w:line="400" w:lineRule="exact"/>
        <w:rPr>
          <w:sz w:val="27"/>
          <w:rtl/>
        </w:rPr>
      </w:pPr>
      <w:r w:rsidRPr="00F03AF0">
        <w:rPr>
          <w:sz w:val="27"/>
          <w:rtl/>
        </w:rPr>
        <w:t xml:space="preserve">4ـ انهيار الأنظمة ما بعد الطبيعية الشاملة. </w:t>
      </w:r>
    </w:p>
    <w:p w:rsidR="00A45FD9" w:rsidRPr="00F03AF0" w:rsidRDefault="00A45FD9" w:rsidP="007A21AA">
      <w:pPr>
        <w:spacing w:line="400" w:lineRule="exact"/>
        <w:rPr>
          <w:sz w:val="27"/>
          <w:rtl/>
        </w:rPr>
      </w:pPr>
      <w:r w:rsidRPr="00F03AF0">
        <w:rPr>
          <w:sz w:val="27"/>
          <w:rtl/>
        </w:rPr>
        <w:t xml:space="preserve">5ـ رفع هالة القداسة عن الأشخاص أو الدعوة إلى المساواة. </w:t>
      </w:r>
    </w:p>
    <w:p w:rsidR="00A45FD9" w:rsidRPr="00F03AF0" w:rsidRDefault="00A45FD9" w:rsidP="007A21AA">
      <w:pPr>
        <w:spacing w:line="400" w:lineRule="exact"/>
        <w:rPr>
          <w:sz w:val="27"/>
          <w:rtl/>
        </w:rPr>
      </w:pPr>
      <w:r w:rsidRPr="00F03AF0">
        <w:rPr>
          <w:sz w:val="27"/>
          <w:rtl/>
        </w:rPr>
        <w:t>6ـ فصل الذاتي</w:t>
      </w:r>
      <w:r w:rsidR="003A5A42" w:rsidRPr="00F03AF0">
        <w:rPr>
          <w:rFonts w:hint="cs"/>
          <w:sz w:val="27"/>
          <w:rtl/>
        </w:rPr>
        <w:t>ّ</w:t>
      </w:r>
      <w:r w:rsidRPr="00F03AF0">
        <w:rPr>
          <w:sz w:val="27"/>
          <w:rtl/>
        </w:rPr>
        <w:t>ات عن الع</w:t>
      </w:r>
      <w:r w:rsidR="003A5A42" w:rsidRPr="00F03AF0">
        <w:rPr>
          <w:rFonts w:hint="cs"/>
          <w:sz w:val="27"/>
          <w:rtl/>
        </w:rPr>
        <w:t>َ</w:t>
      </w:r>
      <w:r w:rsidRPr="00F03AF0">
        <w:rPr>
          <w:sz w:val="27"/>
          <w:rtl/>
        </w:rPr>
        <w:t>ر</w:t>
      </w:r>
      <w:r w:rsidR="003A5A42" w:rsidRPr="00F03AF0">
        <w:rPr>
          <w:rFonts w:hint="cs"/>
          <w:sz w:val="27"/>
          <w:rtl/>
        </w:rPr>
        <w:t>َ</w:t>
      </w:r>
      <w:r w:rsidRPr="00F03AF0">
        <w:rPr>
          <w:sz w:val="27"/>
          <w:rtl/>
        </w:rPr>
        <w:t>ضي</w:t>
      </w:r>
      <w:r w:rsidR="003A5A42" w:rsidRPr="00F03AF0">
        <w:rPr>
          <w:rFonts w:hint="cs"/>
          <w:sz w:val="27"/>
          <w:rtl/>
        </w:rPr>
        <w:t>ّ</w:t>
      </w:r>
      <w:r w:rsidRPr="00F03AF0">
        <w:rPr>
          <w:sz w:val="27"/>
          <w:rtl/>
        </w:rPr>
        <w:t>ات، أو الفصل بين الظرف والمظروف</w:t>
      </w:r>
      <w:r w:rsidRPr="00F03AF0">
        <w:rPr>
          <w:sz w:val="27"/>
          <w:vertAlign w:val="superscript"/>
          <w:rtl/>
        </w:rPr>
        <w:t>(</w:t>
      </w:r>
      <w:r w:rsidRPr="00F03AF0">
        <w:rPr>
          <w:sz w:val="27"/>
          <w:vertAlign w:val="superscript"/>
          <w:rtl/>
        </w:rPr>
        <w:endnoteReference w:id="38"/>
      </w:r>
      <w:r w:rsidRPr="00F03AF0">
        <w:rPr>
          <w:sz w:val="27"/>
          <w:vertAlign w:val="superscript"/>
          <w:rtl/>
        </w:rPr>
        <w:t>)</w:t>
      </w:r>
      <w:r w:rsidRPr="00F03AF0">
        <w:rPr>
          <w:sz w:val="27"/>
          <w:rtl/>
        </w:rPr>
        <w:t xml:space="preserve">. </w:t>
      </w:r>
    </w:p>
    <w:p w:rsidR="00A45FD9" w:rsidRPr="00904FCB" w:rsidRDefault="00A45FD9" w:rsidP="007A21AA">
      <w:pPr>
        <w:spacing w:line="400" w:lineRule="exact"/>
        <w:rPr>
          <w:sz w:val="27"/>
          <w:rtl/>
        </w:rPr>
      </w:pPr>
      <w:r w:rsidRPr="00904FCB">
        <w:rPr>
          <w:sz w:val="27"/>
          <w:rtl/>
        </w:rPr>
        <w:t>ويرى الأستاذ م</w:t>
      </w:r>
      <w:r w:rsidR="003A5A42" w:rsidRPr="00904FCB">
        <w:rPr>
          <w:rFonts w:hint="cs"/>
          <w:sz w:val="27"/>
          <w:rtl/>
        </w:rPr>
        <w:t>َ</w:t>
      </w:r>
      <w:r w:rsidRPr="00904FCB">
        <w:rPr>
          <w:sz w:val="27"/>
          <w:rtl/>
        </w:rPr>
        <w:t>ل</w:t>
      </w:r>
      <w:r w:rsidR="003A5A42" w:rsidRPr="00904FCB">
        <w:rPr>
          <w:rFonts w:hint="cs"/>
          <w:sz w:val="27"/>
          <w:rtl/>
        </w:rPr>
        <w:t>َكْ</w:t>
      </w:r>
      <w:r w:rsidRPr="00904FCB">
        <w:rPr>
          <w:sz w:val="27"/>
          <w:rtl/>
        </w:rPr>
        <w:t xml:space="preserve">يان أن </w:t>
      </w:r>
      <w:r w:rsidRPr="00904FCB">
        <w:rPr>
          <w:rFonts w:hint="eastAsia"/>
          <w:sz w:val="27"/>
          <w:rtl/>
        </w:rPr>
        <w:t>«</w:t>
      </w:r>
      <w:r w:rsidR="003A5A42" w:rsidRPr="00904FCB">
        <w:rPr>
          <w:rFonts w:hint="cs"/>
          <w:sz w:val="27"/>
          <w:rtl/>
        </w:rPr>
        <w:t>ا</w:t>
      </w:r>
      <w:r w:rsidRPr="00904FCB">
        <w:rPr>
          <w:sz w:val="27"/>
          <w:rtl/>
        </w:rPr>
        <w:t>لعقلانية</w:t>
      </w:r>
      <w:r w:rsidRPr="00904FCB">
        <w:rPr>
          <w:rFonts w:hint="eastAsia"/>
          <w:sz w:val="27"/>
          <w:rtl/>
        </w:rPr>
        <w:t>»</w:t>
      </w:r>
      <w:r w:rsidRPr="00904FCB">
        <w:rPr>
          <w:sz w:val="27"/>
          <w:rtl/>
        </w:rPr>
        <w:t xml:space="preserve"> من أكبر الخصائص الحتمية في الحداثة</w:t>
      </w:r>
      <w:r w:rsidRPr="00904FCB">
        <w:rPr>
          <w:sz w:val="27"/>
          <w:vertAlign w:val="superscript"/>
          <w:rtl/>
        </w:rPr>
        <w:t>(</w:t>
      </w:r>
      <w:r w:rsidRPr="00904FCB">
        <w:rPr>
          <w:sz w:val="27"/>
          <w:vertAlign w:val="superscript"/>
          <w:rtl/>
        </w:rPr>
        <w:endnoteReference w:id="39"/>
      </w:r>
      <w:r w:rsidRPr="00904FCB">
        <w:rPr>
          <w:sz w:val="27"/>
          <w:vertAlign w:val="superscript"/>
          <w:rtl/>
        </w:rPr>
        <w:t>)</w:t>
      </w:r>
      <w:r w:rsidRPr="00904FCB">
        <w:rPr>
          <w:sz w:val="27"/>
          <w:rtl/>
        </w:rPr>
        <w:t xml:space="preserve">، والعقلانية تساوق </w:t>
      </w:r>
      <w:r w:rsidRPr="00904FCB">
        <w:rPr>
          <w:rFonts w:hint="eastAsia"/>
          <w:sz w:val="27"/>
          <w:rtl/>
        </w:rPr>
        <w:t>«</w:t>
      </w:r>
      <w:r w:rsidRPr="00904FCB">
        <w:rPr>
          <w:sz w:val="27"/>
          <w:rtl/>
        </w:rPr>
        <w:t>إقامة الدليل</w:t>
      </w:r>
      <w:r w:rsidRPr="00904FCB">
        <w:rPr>
          <w:rFonts w:hint="eastAsia"/>
          <w:sz w:val="27"/>
          <w:rtl/>
        </w:rPr>
        <w:t>»</w:t>
      </w:r>
      <w:r w:rsidRPr="00904FCB">
        <w:rPr>
          <w:sz w:val="27"/>
          <w:rtl/>
        </w:rPr>
        <w:t>. وهذا لا ينسجم مع تعب</w:t>
      </w:r>
      <w:r w:rsidR="003A5A42" w:rsidRPr="00904FCB">
        <w:rPr>
          <w:rFonts w:hint="cs"/>
          <w:sz w:val="27"/>
          <w:rtl/>
        </w:rPr>
        <w:t>ُّ</w:t>
      </w:r>
      <w:r w:rsidRPr="00904FCB">
        <w:rPr>
          <w:sz w:val="27"/>
          <w:rtl/>
        </w:rPr>
        <w:t>دية الفهم التقليدي للدين التاريخي</w:t>
      </w:r>
      <w:r w:rsidR="003A5A42" w:rsidRPr="00904FCB">
        <w:rPr>
          <w:rFonts w:hint="cs"/>
          <w:sz w:val="27"/>
          <w:rtl/>
        </w:rPr>
        <w:t>؛</w:t>
      </w:r>
      <w:r w:rsidRPr="00904FCB">
        <w:rPr>
          <w:sz w:val="27"/>
          <w:rtl/>
        </w:rPr>
        <w:t xml:space="preserve"> وذلك لأن الاستدلال لا يتناغم مع التعب</w:t>
      </w:r>
      <w:r w:rsidR="003A5A42" w:rsidRPr="00904FCB">
        <w:rPr>
          <w:rFonts w:hint="cs"/>
          <w:sz w:val="27"/>
          <w:rtl/>
        </w:rPr>
        <w:t>ُّ</w:t>
      </w:r>
      <w:r w:rsidRPr="00904FCB">
        <w:rPr>
          <w:sz w:val="27"/>
          <w:rtl/>
        </w:rPr>
        <w:t>د</w:t>
      </w:r>
      <w:r w:rsidRPr="00904FCB">
        <w:rPr>
          <w:sz w:val="27"/>
          <w:vertAlign w:val="superscript"/>
          <w:rtl/>
        </w:rPr>
        <w:t>(</w:t>
      </w:r>
      <w:r w:rsidRPr="00904FCB">
        <w:rPr>
          <w:sz w:val="27"/>
          <w:vertAlign w:val="superscript"/>
          <w:rtl/>
        </w:rPr>
        <w:endnoteReference w:id="40"/>
      </w:r>
      <w:r w:rsidRPr="00904FCB">
        <w:rPr>
          <w:sz w:val="27"/>
          <w:vertAlign w:val="superscript"/>
          <w:rtl/>
        </w:rPr>
        <w:t>)</w:t>
      </w:r>
      <w:r w:rsidRPr="00904FCB">
        <w:rPr>
          <w:sz w:val="27"/>
          <w:rtl/>
        </w:rPr>
        <w:t>. وإن عدم انسجام التعب</w:t>
      </w:r>
      <w:r w:rsidR="003A5A42" w:rsidRPr="00904FCB">
        <w:rPr>
          <w:rFonts w:hint="cs"/>
          <w:sz w:val="27"/>
          <w:rtl/>
        </w:rPr>
        <w:t>ُّ</w:t>
      </w:r>
      <w:r w:rsidRPr="00904FCB">
        <w:rPr>
          <w:sz w:val="27"/>
          <w:rtl/>
        </w:rPr>
        <w:t>د مع الاستدلال يعود إلى اختلاف الصيغة الصورية لهما. ويرى الأستاذ م</w:t>
      </w:r>
      <w:r w:rsidR="003A5A42" w:rsidRPr="00904FCB">
        <w:rPr>
          <w:rFonts w:hint="cs"/>
          <w:sz w:val="27"/>
          <w:rtl/>
        </w:rPr>
        <w:t>َ</w:t>
      </w:r>
      <w:r w:rsidRPr="00904FCB">
        <w:rPr>
          <w:sz w:val="27"/>
          <w:rtl/>
        </w:rPr>
        <w:t>ل</w:t>
      </w:r>
      <w:r w:rsidR="003A5A42" w:rsidRPr="00904FCB">
        <w:rPr>
          <w:rFonts w:hint="cs"/>
          <w:sz w:val="27"/>
          <w:rtl/>
        </w:rPr>
        <w:t>َ</w:t>
      </w:r>
      <w:r w:rsidRPr="00904FCB">
        <w:rPr>
          <w:sz w:val="27"/>
          <w:rtl/>
        </w:rPr>
        <w:t>ك</w:t>
      </w:r>
      <w:r w:rsidR="003A5A42" w:rsidRPr="00904FCB">
        <w:rPr>
          <w:rFonts w:hint="cs"/>
          <w:sz w:val="27"/>
          <w:rtl/>
        </w:rPr>
        <w:t>ْ</w:t>
      </w:r>
      <w:r w:rsidRPr="00904FCB">
        <w:rPr>
          <w:sz w:val="27"/>
          <w:rtl/>
        </w:rPr>
        <w:t>يان أن الصيغة الصورية للتعب</w:t>
      </w:r>
      <w:r w:rsidR="003A5A42" w:rsidRPr="00904FCB">
        <w:rPr>
          <w:rFonts w:hint="cs"/>
          <w:sz w:val="27"/>
          <w:rtl/>
        </w:rPr>
        <w:t>ُّ</w:t>
      </w:r>
      <w:r w:rsidRPr="00904FCB">
        <w:rPr>
          <w:sz w:val="27"/>
          <w:rtl/>
        </w:rPr>
        <w:t xml:space="preserve">د عبارة عن: </w:t>
      </w:r>
      <w:r w:rsidRPr="00904FCB">
        <w:rPr>
          <w:rFonts w:hint="eastAsia"/>
          <w:sz w:val="27"/>
          <w:rtl/>
        </w:rPr>
        <w:t>«</w:t>
      </w:r>
      <w:r w:rsidRPr="00904FCB">
        <w:rPr>
          <w:sz w:val="27"/>
          <w:rtl/>
        </w:rPr>
        <w:t>إن (أ) هي (ب)</w:t>
      </w:r>
      <w:r w:rsidR="003A5A42" w:rsidRPr="00904FCB">
        <w:rPr>
          <w:rFonts w:hint="cs"/>
          <w:sz w:val="27"/>
          <w:rtl/>
        </w:rPr>
        <w:t>؛</w:t>
      </w:r>
      <w:r w:rsidRPr="00904FCB">
        <w:rPr>
          <w:sz w:val="27"/>
          <w:rtl/>
        </w:rPr>
        <w:t xml:space="preserve"> لأن هذا ما تقوله (</w:t>
      </w:r>
      <w:r w:rsidRPr="00904FCB">
        <w:rPr>
          <w:sz w:val="22"/>
          <w:szCs w:val="22"/>
        </w:rPr>
        <w:t>s</w:t>
      </w:r>
      <w:r w:rsidRPr="00904FCB">
        <w:rPr>
          <w:sz w:val="27"/>
          <w:rtl/>
        </w:rPr>
        <w:t>)</w:t>
      </w:r>
      <w:r w:rsidRPr="00904FCB">
        <w:rPr>
          <w:rFonts w:hint="eastAsia"/>
          <w:sz w:val="27"/>
          <w:rtl/>
        </w:rPr>
        <w:t>»</w:t>
      </w:r>
      <w:r w:rsidRPr="00904FCB">
        <w:rPr>
          <w:sz w:val="27"/>
          <w:rtl/>
        </w:rPr>
        <w:t xml:space="preserve">. في حين أن الصيغة الصورية للاستدلال عبارة عن: </w:t>
      </w:r>
      <w:r w:rsidRPr="00904FCB">
        <w:rPr>
          <w:rFonts w:hint="eastAsia"/>
          <w:sz w:val="27"/>
          <w:rtl/>
        </w:rPr>
        <w:t>«</w:t>
      </w:r>
      <w:r w:rsidRPr="00904FCB">
        <w:rPr>
          <w:sz w:val="27"/>
          <w:rtl/>
        </w:rPr>
        <w:t>إن (أ) هي (ب)، لأن (أ) هي (ج)، و(ج) هي (ب)</w:t>
      </w:r>
      <w:r w:rsidRPr="00904FCB">
        <w:rPr>
          <w:rFonts w:hint="eastAsia"/>
          <w:sz w:val="27"/>
          <w:rtl/>
        </w:rPr>
        <w:t>»</w:t>
      </w:r>
      <w:r w:rsidRPr="00904FCB">
        <w:rPr>
          <w:sz w:val="27"/>
          <w:vertAlign w:val="superscript"/>
          <w:rtl/>
        </w:rPr>
        <w:t>(</w:t>
      </w:r>
      <w:r w:rsidRPr="00904FCB">
        <w:rPr>
          <w:sz w:val="27"/>
          <w:vertAlign w:val="superscript"/>
          <w:rtl/>
        </w:rPr>
        <w:endnoteReference w:id="41"/>
      </w:r>
      <w:r w:rsidRPr="00904FCB">
        <w:rPr>
          <w:sz w:val="27"/>
          <w:vertAlign w:val="superscript"/>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إن عدم الوثوق بالنقل التاريخي يعني أن القضايا التاريخية ليست قطعية، ولا يمكن الحديث عن التاريخ بضرس</w:t>
      </w:r>
      <w:r w:rsidR="003A5A42" w:rsidRPr="00904FCB">
        <w:rPr>
          <w:rFonts w:hint="cs"/>
          <w:sz w:val="27"/>
          <w:rtl/>
        </w:rPr>
        <w:t>ٍ</w:t>
      </w:r>
      <w:r w:rsidRPr="00904FCB">
        <w:rPr>
          <w:sz w:val="27"/>
          <w:rtl/>
        </w:rPr>
        <w:t xml:space="preserve"> قاطع، وهذا لا يعني إلغاء الرؤية التاريخية التي تمث</w:t>
      </w:r>
      <w:r w:rsidR="003A5A42" w:rsidRPr="00904FCB">
        <w:rPr>
          <w:rFonts w:hint="cs"/>
          <w:sz w:val="27"/>
          <w:rtl/>
        </w:rPr>
        <w:t>ِّ</w:t>
      </w:r>
      <w:r w:rsidRPr="00904FCB">
        <w:rPr>
          <w:sz w:val="27"/>
          <w:rtl/>
        </w:rPr>
        <w:t>ل واحدة من الخصائص المعرفية للإنسان المعاصر</w:t>
      </w:r>
      <w:r w:rsidRPr="00904FCB">
        <w:rPr>
          <w:sz w:val="27"/>
          <w:vertAlign w:val="superscript"/>
          <w:rtl/>
        </w:rPr>
        <w:t>(</w:t>
      </w:r>
      <w:r w:rsidRPr="00904FCB">
        <w:rPr>
          <w:sz w:val="27"/>
          <w:vertAlign w:val="superscript"/>
          <w:rtl/>
        </w:rPr>
        <w:endnoteReference w:id="42"/>
      </w:r>
      <w:r w:rsidRPr="00904FCB">
        <w:rPr>
          <w:sz w:val="27"/>
          <w:vertAlign w:val="superscript"/>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 xml:space="preserve">إن العلمانية أو </w:t>
      </w:r>
      <w:r w:rsidRPr="00904FCB">
        <w:rPr>
          <w:rFonts w:hint="eastAsia"/>
          <w:sz w:val="27"/>
          <w:rtl/>
        </w:rPr>
        <w:t>«</w:t>
      </w:r>
      <w:r w:rsidRPr="00904FCB">
        <w:rPr>
          <w:sz w:val="27"/>
          <w:rtl/>
        </w:rPr>
        <w:t>الحلول في المكان واللحظة الراهنة</w:t>
      </w:r>
      <w:r w:rsidRPr="00904FCB">
        <w:rPr>
          <w:rFonts w:hint="eastAsia"/>
          <w:sz w:val="27"/>
          <w:rtl/>
        </w:rPr>
        <w:t>»</w:t>
      </w:r>
      <w:r w:rsidRPr="00904FCB">
        <w:rPr>
          <w:sz w:val="27"/>
          <w:rtl/>
        </w:rPr>
        <w:t xml:space="preserve"> تعني أن طريقة حل</w:t>
      </w:r>
      <w:r w:rsidR="003A5A42" w:rsidRPr="00904FCB">
        <w:rPr>
          <w:rFonts w:hint="cs"/>
          <w:sz w:val="27"/>
          <w:rtl/>
        </w:rPr>
        <w:t>ّ</w:t>
      </w:r>
      <w:r w:rsidRPr="00904FCB">
        <w:rPr>
          <w:sz w:val="27"/>
          <w:rtl/>
        </w:rPr>
        <w:t xml:space="preserve"> المسائل والمشاكل الدنيوية يجب أن يكون بالإمكان اختبارها في هذه الدنيا، وأن تظهر نتائجها في هذه الدنيا أيضا</w:t>
      </w:r>
      <w:r w:rsidRPr="00904FCB">
        <w:rPr>
          <w:rFonts w:hint="cs"/>
          <w:sz w:val="27"/>
          <w:rtl/>
        </w:rPr>
        <w:t>ً</w:t>
      </w:r>
      <w:r w:rsidRPr="00904FCB">
        <w:rPr>
          <w:sz w:val="27"/>
          <w:vertAlign w:val="superscript"/>
          <w:rtl/>
        </w:rPr>
        <w:t>(</w:t>
      </w:r>
      <w:r w:rsidRPr="00904FCB">
        <w:rPr>
          <w:sz w:val="27"/>
          <w:vertAlign w:val="superscript"/>
          <w:rtl/>
        </w:rPr>
        <w:endnoteReference w:id="43"/>
      </w:r>
      <w:r w:rsidRPr="00904FCB">
        <w:rPr>
          <w:sz w:val="27"/>
          <w:vertAlign w:val="superscript"/>
          <w:rtl/>
        </w:rPr>
        <w:t>)</w:t>
      </w:r>
      <w:r w:rsidRPr="00904FCB">
        <w:rPr>
          <w:sz w:val="27"/>
          <w:rtl/>
        </w:rPr>
        <w:t>. وهذه الخصوصية لا تعني إنكار الآخرة، أو تأثير طرق حل</w:t>
      </w:r>
      <w:r w:rsidR="00370E44" w:rsidRPr="00904FCB">
        <w:rPr>
          <w:rFonts w:hint="cs"/>
          <w:sz w:val="27"/>
          <w:rtl/>
        </w:rPr>
        <w:t>ّ</w:t>
      </w:r>
      <w:r w:rsidRPr="00904FCB">
        <w:rPr>
          <w:sz w:val="27"/>
          <w:rtl/>
        </w:rPr>
        <w:t xml:space="preserve"> المسائل والمشاكل الدنيوية في الحياة الأخروية، وإنما تعني أن المختبر الذي يتم</w:t>
      </w:r>
      <w:r w:rsidR="00370E44" w:rsidRPr="00904FCB">
        <w:rPr>
          <w:rFonts w:hint="cs"/>
          <w:sz w:val="27"/>
          <w:rtl/>
        </w:rPr>
        <w:t>ّ</w:t>
      </w:r>
      <w:r w:rsidRPr="00904FCB">
        <w:rPr>
          <w:sz w:val="27"/>
          <w:rtl/>
        </w:rPr>
        <w:t xml:space="preserve"> فيه البتّ بهذه الحلول يكمن في هذه الدنيا</w:t>
      </w:r>
      <w:r w:rsidRPr="00904FCB">
        <w:rPr>
          <w:sz w:val="27"/>
          <w:vertAlign w:val="superscript"/>
          <w:rtl/>
        </w:rPr>
        <w:t>(</w:t>
      </w:r>
      <w:r w:rsidRPr="00904FCB">
        <w:rPr>
          <w:sz w:val="27"/>
          <w:vertAlign w:val="superscript"/>
          <w:rtl/>
        </w:rPr>
        <w:endnoteReference w:id="44"/>
      </w:r>
      <w:r w:rsidRPr="00904FCB">
        <w:rPr>
          <w:sz w:val="27"/>
          <w:vertAlign w:val="superscript"/>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 xml:space="preserve">أما الخصيصة الرابعة للحداثة فتكمن في اهتزاز المذاهب ما بعد الطبيعية التقليدية الجامعة. إن هذه المذاهب تشتمل على خصوصيتين رئيستين، وهما: </w:t>
      </w:r>
    </w:p>
    <w:p w:rsidR="00A45FD9" w:rsidRPr="00904FCB" w:rsidRDefault="00A45FD9" w:rsidP="00904FCB">
      <w:pPr>
        <w:spacing w:line="400" w:lineRule="exact"/>
        <w:rPr>
          <w:sz w:val="27"/>
          <w:rtl/>
        </w:rPr>
      </w:pPr>
      <w:r w:rsidRPr="00904FCB">
        <w:rPr>
          <w:b/>
          <w:bCs/>
          <w:sz w:val="27"/>
          <w:rtl/>
        </w:rPr>
        <w:t>أولاً</w:t>
      </w:r>
      <w:r w:rsidRPr="00904FCB">
        <w:rPr>
          <w:sz w:val="27"/>
          <w:rtl/>
        </w:rPr>
        <w:t>: إنها تقد</w:t>
      </w:r>
      <w:r w:rsidR="00370E44" w:rsidRPr="00904FCB">
        <w:rPr>
          <w:rFonts w:hint="cs"/>
          <w:sz w:val="27"/>
          <w:rtl/>
        </w:rPr>
        <w:t>ّ</w:t>
      </w:r>
      <w:r w:rsidRPr="00904FCB">
        <w:rPr>
          <w:sz w:val="27"/>
          <w:rtl/>
        </w:rPr>
        <w:t>م تفسيراً جامعاً لكل</w:t>
      </w:r>
      <w:r w:rsidR="00370E44" w:rsidRPr="00904FCB">
        <w:rPr>
          <w:rFonts w:hint="cs"/>
          <w:sz w:val="27"/>
          <w:rtl/>
        </w:rPr>
        <w:t>ّ</w:t>
      </w:r>
      <w:r w:rsidRPr="00904FCB">
        <w:rPr>
          <w:sz w:val="27"/>
          <w:rtl/>
        </w:rPr>
        <w:t xml:space="preserve"> شيء، من الحب</w:t>
      </w:r>
      <w:r w:rsidR="00370E44" w:rsidRPr="00904FCB">
        <w:rPr>
          <w:rFonts w:hint="cs"/>
          <w:sz w:val="27"/>
          <w:rtl/>
        </w:rPr>
        <w:t>ّ</w:t>
      </w:r>
      <w:r w:rsidRPr="00904FCB">
        <w:rPr>
          <w:sz w:val="27"/>
          <w:rtl/>
        </w:rPr>
        <w:t xml:space="preserve">ة إلى القبة. </w:t>
      </w:r>
    </w:p>
    <w:p w:rsidR="00A45FD9" w:rsidRPr="00904FCB" w:rsidRDefault="00A45FD9" w:rsidP="00904FCB">
      <w:pPr>
        <w:spacing w:line="400" w:lineRule="exact"/>
        <w:rPr>
          <w:sz w:val="27"/>
          <w:rtl/>
        </w:rPr>
      </w:pPr>
      <w:r w:rsidRPr="00904FCB">
        <w:rPr>
          <w:b/>
          <w:bCs/>
          <w:sz w:val="27"/>
          <w:rtl/>
        </w:rPr>
        <w:t>وثانياً</w:t>
      </w:r>
      <w:r w:rsidRPr="00904FCB">
        <w:rPr>
          <w:sz w:val="27"/>
          <w:rtl/>
        </w:rPr>
        <w:t xml:space="preserve">: إنها تستند إلى </w:t>
      </w:r>
      <w:r w:rsidRPr="00904FCB">
        <w:rPr>
          <w:rFonts w:hint="eastAsia"/>
          <w:sz w:val="27"/>
          <w:rtl/>
        </w:rPr>
        <w:t>«</w:t>
      </w:r>
      <w:r w:rsidRPr="00904FCB">
        <w:rPr>
          <w:sz w:val="27"/>
          <w:rtl/>
        </w:rPr>
        <w:t>العقل الشهودي</w:t>
      </w:r>
      <w:r w:rsidRPr="00904FCB">
        <w:rPr>
          <w:rFonts w:hint="eastAsia"/>
          <w:sz w:val="27"/>
          <w:rtl/>
        </w:rPr>
        <w:t>»</w:t>
      </w:r>
      <w:r w:rsidRPr="00904FCB">
        <w:rPr>
          <w:sz w:val="27"/>
          <w:vertAlign w:val="superscript"/>
          <w:rtl/>
        </w:rPr>
        <w:t>(</w:t>
      </w:r>
      <w:r w:rsidRPr="00904FCB">
        <w:rPr>
          <w:sz w:val="27"/>
          <w:vertAlign w:val="superscript"/>
          <w:rtl/>
        </w:rPr>
        <w:endnoteReference w:id="45"/>
      </w:r>
      <w:r w:rsidRPr="00904FCB">
        <w:rPr>
          <w:sz w:val="27"/>
          <w:vertAlign w:val="superscript"/>
          <w:rtl/>
        </w:rPr>
        <w:t>)</w:t>
      </w:r>
      <w:r w:rsidRPr="00904FCB">
        <w:rPr>
          <w:sz w:val="27"/>
          <w:rtl/>
        </w:rPr>
        <w:t xml:space="preserve"> و</w:t>
      </w:r>
      <w:r w:rsidRPr="00904FCB">
        <w:rPr>
          <w:rFonts w:hint="eastAsia"/>
          <w:sz w:val="27"/>
          <w:rtl/>
        </w:rPr>
        <w:t>«</w:t>
      </w:r>
      <w:r w:rsidRPr="00904FCB">
        <w:rPr>
          <w:sz w:val="27"/>
          <w:rtl/>
        </w:rPr>
        <w:t>الاستدلال</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الأساطير</w:t>
      </w:r>
      <w:r w:rsidRPr="00904FCB">
        <w:rPr>
          <w:rFonts w:hint="eastAsia"/>
          <w:sz w:val="27"/>
          <w:rtl/>
        </w:rPr>
        <w:t>»</w:t>
      </w:r>
      <w:r w:rsidRPr="00904FCB">
        <w:rPr>
          <w:sz w:val="27"/>
          <w:rtl/>
        </w:rPr>
        <w:t xml:space="preserve">، وتستمد </w:t>
      </w:r>
      <w:r w:rsidRPr="00904FCB">
        <w:rPr>
          <w:sz w:val="27"/>
          <w:rtl/>
        </w:rPr>
        <w:lastRenderedPageBreak/>
        <w:t>من جميع هذه القنوات</w:t>
      </w:r>
      <w:r w:rsidRPr="00904FCB">
        <w:rPr>
          <w:sz w:val="27"/>
          <w:vertAlign w:val="superscript"/>
          <w:rtl/>
        </w:rPr>
        <w:t>(</w:t>
      </w:r>
      <w:r w:rsidRPr="00904FCB">
        <w:rPr>
          <w:sz w:val="27"/>
          <w:vertAlign w:val="superscript"/>
          <w:rtl/>
        </w:rPr>
        <w:endnoteReference w:id="46"/>
      </w:r>
      <w:r w:rsidRPr="00904FCB">
        <w:rPr>
          <w:sz w:val="27"/>
          <w:vertAlign w:val="superscript"/>
          <w:rtl/>
        </w:rPr>
        <w:t>)</w:t>
      </w:r>
      <w:r w:rsidRPr="00904FCB">
        <w:rPr>
          <w:sz w:val="27"/>
          <w:rtl/>
        </w:rPr>
        <w:t xml:space="preserve">. </w:t>
      </w:r>
    </w:p>
    <w:p w:rsidR="00A45FD9" w:rsidRPr="00904FCB" w:rsidRDefault="00A45FD9" w:rsidP="00FE3626">
      <w:pPr>
        <w:spacing w:line="380" w:lineRule="exact"/>
        <w:ind w:firstLine="561"/>
        <w:rPr>
          <w:sz w:val="27"/>
          <w:rtl/>
        </w:rPr>
      </w:pPr>
      <w:r w:rsidRPr="00904FCB">
        <w:rPr>
          <w:sz w:val="27"/>
          <w:rtl/>
        </w:rPr>
        <w:t xml:space="preserve">أما الخصوصية الخامسة للحداثة فهي نفي القداسة عن الأشخاص، والمطالبة بالمساوة للجميع. </w:t>
      </w:r>
      <w:r w:rsidRPr="00904FCB">
        <w:rPr>
          <w:rFonts w:hint="eastAsia"/>
          <w:sz w:val="27"/>
          <w:rtl/>
        </w:rPr>
        <w:t>«</w:t>
      </w:r>
      <w:r w:rsidRPr="00904FCB">
        <w:rPr>
          <w:sz w:val="27"/>
          <w:rtl/>
        </w:rPr>
        <w:t>فالحداثة تنظر إلى الجميع بعين</w:t>
      </w:r>
      <w:r w:rsidR="00370E44" w:rsidRPr="00904FCB">
        <w:rPr>
          <w:rFonts w:hint="cs"/>
          <w:sz w:val="27"/>
          <w:rtl/>
        </w:rPr>
        <w:t>ٍ</w:t>
      </w:r>
      <w:r w:rsidRPr="00904FCB">
        <w:rPr>
          <w:sz w:val="27"/>
          <w:rtl/>
        </w:rPr>
        <w:t xml:space="preserve"> واحدة. وهذا هو معنى المساواة بين الجميع. وإن بإمكان كل</w:t>
      </w:r>
      <w:r w:rsidR="00370E44" w:rsidRPr="00904FCB">
        <w:rPr>
          <w:rFonts w:hint="cs"/>
          <w:sz w:val="27"/>
          <w:rtl/>
        </w:rPr>
        <w:t>ّ</w:t>
      </w:r>
      <w:r w:rsidRPr="00904FCB">
        <w:rPr>
          <w:sz w:val="27"/>
          <w:rtl/>
        </w:rPr>
        <w:t xml:space="preserve"> شخص أن يقول ما يريد، فإن</w:t>
      </w:r>
      <w:r w:rsidR="00370E44" w:rsidRPr="00904FCB">
        <w:rPr>
          <w:rFonts w:hint="cs"/>
          <w:sz w:val="27"/>
          <w:rtl/>
        </w:rPr>
        <w:t>ْ</w:t>
      </w:r>
      <w:r w:rsidRPr="00904FCB">
        <w:rPr>
          <w:sz w:val="27"/>
          <w:rtl/>
        </w:rPr>
        <w:t xml:space="preserve"> كان ما يقوله معقولاً أخذنا به، وإن</w:t>
      </w:r>
      <w:r w:rsidR="00370E44" w:rsidRPr="00904FCB">
        <w:rPr>
          <w:rFonts w:hint="cs"/>
          <w:sz w:val="27"/>
          <w:rtl/>
        </w:rPr>
        <w:t>ْ</w:t>
      </w:r>
      <w:r w:rsidRPr="00904FCB">
        <w:rPr>
          <w:sz w:val="27"/>
          <w:rtl/>
        </w:rPr>
        <w:t xml:space="preserve"> لم يكن معقولاً رفضناه</w:t>
      </w:r>
      <w:r w:rsidRPr="00904FCB">
        <w:rPr>
          <w:rFonts w:hint="eastAsia"/>
          <w:sz w:val="27"/>
          <w:rtl/>
        </w:rPr>
        <w:t>»</w:t>
      </w:r>
      <w:r w:rsidRPr="00904FCB">
        <w:rPr>
          <w:sz w:val="27"/>
          <w:vertAlign w:val="superscript"/>
          <w:rtl/>
        </w:rPr>
        <w:t>(</w:t>
      </w:r>
      <w:r w:rsidRPr="00904FCB">
        <w:rPr>
          <w:sz w:val="27"/>
          <w:vertAlign w:val="superscript"/>
          <w:rtl/>
        </w:rPr>
        <w:endnoteReference w:id="47"/>
      </w:r>
      <w:r w:rsidRPr="00904FCB">
        <w:rPr>
          <w:sz w:val="27"/>
          <w:vertAlign w:val="superscript"/>
          <w:rtl/>
        </w:rPr>
        <w:t>)</w:t>
      </w:r>
      <w:r w:rsidRPr="00904FCB">
        <w:rPr>
          <w:sz w:val="27"/>
          <w:rtl/>
        </w:rPr>
        <w:t xml:space="preserve">. </w:t>
      </w:r>
    </w:p>
    <w:p w:rsidR="00A45FD9" w:rsidRPr="00904FCB" w:rsidRDefault="00A45FD9" w:rsidP="00FE3626">
      <w:pPr>
        <w:spacing w:line="380" w:lineRule="exact"/>
        <w:ind w:firstLine="561"/>
        <w:rPr>
          <w:sz w:val="27"/>
          <w:rtl/>
        </w:rPr>
      </w:pPr>
      <w:r w:rsidRPr="00904FCB">
        <w:rPr>
          <w:sz w:val="27"/>
          <w:rtl/>
        </w:rPr>
        <w:t>وبالتالي فإن الخصوصية الحتمية السادسة والأخيرة للحداثة</w:t>
      </w:r>
      <w:r w:rsidR="00370E44" w:rsidRPr="00904FCB">
        <w:rPr>
          <w:rFonts w:hint="cs"/>
          <w:sz w:val="27"/>
          <w:rtl/>
        </w:rPr>
        <w:t xml:space="preserve"> </w:t>
      </w:r>
      <w:r w:rsidRPr="00904FCB">
        <w:rPr>
          <w:sz w:val="27"/>
          <w:rtl/>
        </w:rPr>
        <w:t>عبارة</w:t>
      </w:r>
      <w:r w:rsidR="00370E44" w:rsidRPr="00904FCB">
        <w:rPr>
          <w:rFonts w:hint="cs"/>
          <w:sz w:val="27"/>
          <w:rtl/>
        </w:rPr>
        <w:t>ٌ</w:t>
      </w:r>
      <w:r w:rsidRPr="00904FCB">
        <w:rPr>
          <w:sz w:val="27"/>
          <w:rtl/>
        </w:rPr>
        <w:t xml:space="preserve"> عن اعتبار تاريخية أو عدم تاريخية بعض التعاليم النظرية والأحكام العملية للأديان، وإن هذه الأمور لا دخل لها في سعادة الإنسان وشقائه، وإن الدين للإنسان، وليس الإنسان للدين</w:t>
      </w:r>
      <w:r w:rsidRPr="00904FCB">
        <w:rPr>
          <w:sz w:val="27"/>
          <w:vertAlign w:val="superscript"/>
          <w:rtl/>
        </w:rPr>
        <w:t>(</w:t>
      </w:r>
      <w:r w:rsidRPr="00904FCB">
        <w:rPr>
          <w:sz w:val="27"/>
          <w:vertAlign w:val="superscript"/>
          <w:rtl/>
        </w:rPr>
        <w:endnoteReference w:id="48"/>
      </w:r>
      <w:r w:rsidRPr="00904FCB">
        <w:rPr>
          <w:sz w:val="27"/>
          <w:vertAlign w:val="superscript"/>
          <w:rtl/>
        </w:rPr>
        <w:t>)</w:t>
      </w:r>
      <w:r w:rsidRPr="00904FCB">
        <w:rPr>
          <w:sz w:val="27"/>
          <w:rtl/>
        </w:rPr>
        <w:t xml:space="preserve">. </w:t>
      </w:r>
    </w:p>
    <w:p w:rsidR="00A45FD9" w:rsidRPr="00904FCB" w:rsidRDefault="00A45FD9" w:rsidP="00FE3626">
      <w:pPr>
        <w:spacing w:line="400" w:lineRule="exact"/>
        <w:ind w:firstLine="561"/>
        <w:rPr>
          <w:sz w:val="27"/>
          <w:rtl/>
        </w:rPr>
      </w:pPr>
      <w:r w:rsidRPr="00904FCB">
        <w:rPr>
          <w:sz w:val="27"/>
          <w:rtl/>
        </w:rPr>
        <w:t xml:space="preserve">أرى أن خصائص العالم الجديد الأكثر تأثيراً في فهم واستنباط الأحكام الشرعية عبارة عن: </w:t>
      </w:r>
    </w:p>
    <w:p w:rsidR="00A45FD9" w:rsidRPr="00F03AF0" w:rsidRDefault="00A45FD9" w:rsidP="00FE3626">
      <w:pPr>
        <w:spacing w:line="380" w:lineRule="exact"/>
        <w:ind w:firstLine="561"/>
        <w:rPr>
          <w:sz w:val="27"/>
          <w:rtl/>
        </w:rPr>
      </w:pPr>
      <w:r w:rsidRPr="00F03AF0">
        <w:rPr>
          <w:sz w:val="27"/>
          <w:rtl/>
        </w:rPr>
        <w:t xml:space="preserve">1ـ العلمانية. </w:t>
      </w:r>
    </w:p>
    <w:p w:rsidR="00A45FD9" w:rsidRPr="00F03AF0" w:rsidRDefault="00A45FD9" w:rsidP="00FE3626">
      <w:pPr>
        <w:spacing w:line="380" w:lineRule="exact"/>
        <w:ind w:firstLine="561"/>
        <w:rPr>
          <w:sz w:val="27"/>
          <w:rtl/>
        </w:rPr>
      </w:pPr>
      <w:r w:rsidRPr="00F03AF0">
        <w:rPr>
          <w:sz w:val="27"/>
          <w:rtl/>
        </w:rPr>
        <w:t>2ـ حلول الإرادة محل</w:t>
      </w:r>
      <w:r w:rsidR="00370E44" w:rsidRPr="00F03AF0">
        <w:rPr>
          <w:rFonts w:hint="cs"/>
          <w:sz w:val="27"/>
          <w:rtl/>
        </w:rPr>
        <w:t>ّ</w:t>
      </w:r>
      <w:r w:rsidRPr="00F03AF0">
        <w:rPr>
          <w:sz w:val="27"/>
          <w:rtl/>
        </w:rPr>
        <w:t xml:space="preserve"> الحق</w:t>
      </w:r>
      <w:r w:rsidR="00370E44" w:rsidRPr="00F03AF0">
        <w:rPr>
          <w:rFonts w:hint="cs"/>
          <w:sz w:val="27"/>
          <w:rtl/>
        </w:rPr>
        <w:t>ّ</w:t>
      </w:r>
      <w:r w:rsidRPr="00F03AF0">
        <w:rPr>
          <w:sz w:val="27"/>
          <w:rtl/>
        </w:rPr>
        <w:t xml:space="preserve">. </w:t>
      </w:r>
    </w:p>
    <w:p w:rsidR="00A45FD9" w:rsidRPr="00F03AF0" w:rsidRDefault="00A45FD9" w:rsidP="00FE3626">
      <w:pPr>
        <w:spacing w:line="380" w:lineRule="exact"/>
        <w:ind w:firstLine="561"/>
        <w:rPr>
          <w:sz w:val="27"/>
          <w:rtl/>
        </w:rPr>
      </w:pPr>
      <w:r w:rsidRPr="00F03AF0">
        <w:rPr>
          <w:sz w:val="27"/>
          <w:rtl/>
        </w:rPr>
        <w:t xml:space="preserve">3ـ العقلانية والأخلاق الحديثة. </w:t>
      </w:r>
    </w:p>
    <w:p w:rsidR="00A45FD9" w:rsidRPr="00F03AF0" w:rsidRDefault="00A45FD9" w:rsidP="00FE3626">
      <w:pPr>
        <w:spacing w:line="380" w:lineRule="exact"/>
        <w:ind w:firstLine="561"/>
        <w:rPr>
          <w:sz w:val="27"/>
          <w:rtl/>
        </w:rPr>
      </w:pPr>
      <w:r w:rsidRPr="00F03AF0">
        <w:rPr>
          <w:sz w:val="27"/>
          <w:rtl/>
        </w:rPr>
        <w:t xml:space="preserve">4ـ الاعتقاد بتاريخية جانب من الشريعة. </w:t>
      </w:r>
    </w:p>
    <w:p w:rsidR="00A45FD9" w:rsidRPr="00F03AF0" w:rsidRDefault="00A45FD9" w:rsidP="00FE3626">
      <w:pPr>
        <w:spacing w:line="380" w:lineRule="exact"/>
        <w:ind w:firstLine="561"/>
        <w:rPr>
          <w:sz w:val="27"/>
          <w:rtl/>
        </w:rPr>
      </w:pPr>
      <w:r w:rsidRPr="00F03AF0">
        <w:rPr>
          <w:sz w:val="27"/>
          <w:rtl/>
        </w:rPr>
        <w:t>5ـ إمكانية اختبار المد</w:t>
      </w:r>
      <w:r w:rsidR="00370E44" w:rsidRPr="00F03AF0">
        <w:rPr>
          <w:rFonts w:hint="cs"/>
          <w:sz w:val="27"/>
          <w:rtl/>
        </w:rPr>
        <w:t>َّ</w:t>
      </w:r>
      <w:r w:rsidRPr="00F03AF0">
        <w:rPr>
          <w:sz w:val="27"/>
          <w:rtl/>
        </w:rPr>
        <w:t xml:space="preserve">عيات الدينية دنيوياً. </w:t>
      </w:r>
    </w:p>
    <w:p w:rsidR="00A45FD9" w:rsidRPr="00904FCB" w:rsidRDefault="00A45FD9" w:rsidP="00FE3626">
      <w:pPr>
        <w:spacing w:line="380" w:lineRule="exact"/>
        <w:ind w:firstLine="561"/>
        <w:rPr>
          <w:sz w:val="27"/>
          <w:rtl/>
        </w:rPr>
      </w:pPr>
      <w:r w:rsidRPr="00904FCB">
        <w:rPr>
          <w:sz w:val="27"/>
          <w:rtl/>
        </w:rPr>
        <w:t>وسوف نتناول ضرورة أسلوب الفصل بين الدين التاريخي والدين الذي يتخط</w:t>
      </w:r>
      <w:r w:rsidR="00370E44" w:rsidRPr="00904FCB">
        <w:rPr>
          <w:rFonts w:hint="cs"/>
          <w:sz w:val="27"/>
          <w:rtl/>
        </w:rPr>
        <w:t>ّ</w:t>
      </w:r>
      <w:r w:rsidRPr="00904FCB">
        <w:rPr>
          <w:sz w:val="27"/>
          <w:rtl/>
        </w:rPr>
        <w:t xml:space="preserve">ى التاريخ في </w:t>
      </w:r>
      <w:r w:rsidR="00D45852" w:rsidRPr="00904FCB">
        <w:rPr>
          <w:rFonts w:hint="cs"/>
          <w:sz w:val="27"/>
          <w:rtl/>
        </w:rPr>
        <w:t xml:space="preserve">دراسة لاحقة </w:t>
      </w:r>
      <w:r w:rsidRPr="00904FCB">
        <w:rPr>
          <w:sz w:val="27"/>
          <w:rtl/>
        </w:rPr>
        <w:t>بشكل</w:t>
      </w:r>
      <w:r w:rsidR="00370E44" w:rsidRPr="00904FCB">
        <w:rPr>
          <w:rFonts w:hint="cs"/>
          <w:sz w:val="27"/>
          <w:rtl/>
        </w:rPr>
        <w:t>ٍ</w:t>
      </w:r>
      <w:r w:rsidRPr="00904FCB">
        <w:rPr>
          <w:sz w:val="27"/>
          <w:rtl/>
        </w:rPr>
        <w:t xml:space="preserve"> تفصيلي. أما </w:t>
      </w:r>
      <w:r w:rsidRPr="00904FCB">
        <w:rPr>
          <w:rFonts w:hint="eastAsia"/>
          <w:sz w:val="27"/>
          <w:rtl/>
        </w:rPr>
        <w:t>«</w:t>
      </w:r>
      <w:r w:rsidRPr="00904FCB">
        <w:rPr>
          <w:sz w:val="27"/>
          <w:rtl/>
        </w:rPr>
        <w:t>العلمانية</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حلول الإرادة محل</w:t>
      </w:r>
      <w:r w:rsidR="00370E44" w:rsidRPr="00904FCB">
        <w:rPr>
          <w:rFonts w:hint="cs"/>
          <w:sz w:val="27"/>
          <w:rtl/>
        </w:rPr>
        <w:t>ّ</w:t>
      </w:r>
      <w:r w:rsidRPr="00904FCB">
        <w:rPr>
          <w:sz w:val="27"/>
          <w:rtl/>
        </w:rPr>
        <w:t xml:space="preserve"> الحق</w:t>
      </w:r>
      <w:r w:rsidR="00370E44" w:rsidRPr="00904FCB">
        <w:rPr>
          <w:rFonts w:hint="cs"/>
          <w:sz w:val="27"/>
          <w:rtl/>
        </w:rPr>
        <w:t>ّ</w:t>
      </w:r>
      <w:r w:rsidRPr="00904FCB">
        <w:rPr>
          <w:rFonts w:hint="eastAsia"/>
          <w:sz w:val="27"/>
          <w:rtl/>
        </w:rPr>
        <w:t>»</w:t>
      </w:r>
      <w:r w:rsidRPr="00904FCB">
        <w:rPr>
          <w:sz w:val="27"/>
          <w:rtl/>
        </w:rPr>
        <w:t>، و</w:t>
      </w:r>
      <w:r w:rsidRPr="00904FCB">
        <w:rPr>
          <w:rFonts w:hint="eastAsia"/>
          <w:sz w:val="27"/>
          <w:rtl/>
        </w:rPr>
        <w:t>«</w:t>
      </w:r>
      <w:r w:rsidRPr="00904FCB">
        <w:rPr>
          <w:sz w:val="27"/>
          <w:rtl/>
        </w:rPr>
        <w:t>الأخلاق الحديثة</w:t>
      </w:r>
      <w:r w:rsidRPr="00904FCB">
        <w:rPr>
          <w:rFonts w:hint="eastAsia"/>
          <w:sz w:val="27"/>
          <w:rtl/>
        </w:rPr>
        <w:t>»</w:t>
      </w:r>
      <w:r w:rsidRPr="00904FCB">
        <w:rPr>
          <w:sz w:val="27"/>
          <w:rtl/>
        </w:rPr>
        <w:t xml:space="preserve"> فسوف نتعرّ</w:t>
      </w:r>
      <w:r w:rsidR="00370E44" w:rsidRPr="00904FCB">
        <w:rPr>
          <w:rFonts w:hint="cs"/>
          <w:sz w:val="27"/>
          <w:rtl/>
        </w:rPr>
        <w:t>َ</w:t>
      </w:r>
      <w:r w:rsidRPr="00904FCB">
        <w:rPr>
          <w:sz w:val="27"/>
          <w:rtl/>
        </w:rPr>
        <w:t xml:space="preserve">ض لها </w:t>
      </w:r>
      <w:r w:rsidR="00D45852" w:rsidRPr="00904FCB">
        <w:rPr>
          <w:rFonts w:hint="cs"/>
          <w:sz w:val="27"/>
          <w:rtl/>
        </w:rPr>
        <w:t>لاحقاً</w:t>
      </w:r>
      <w:r w:rsidRPr="00904FCB">
        <w:rPr>
          <w:sz w:val="27"/>
          <w:rtl/>
        </w:rPr>
        <w:t xml:space="preserve">. وأما </w:t>
      </w:r>
      <w:r w:rsidRPr="00904FCB">
        <w:rPr>
          <w:rFonts w:hint="eastAsia"/>
          <w:sz w:val="27"/>
          <w:rtl/>
        </w:rPr>
        <w:t>«</w:t>
      </w:r>
      <w:r w:rsidRPr="00904FCB">
        <w:rPr>
          <w:sz w:val="27"/>
          <w:rtl/>
        </w:rPr>
        <w:t>إمكانية اختبار المد</w:t>
      </w:r>
      <w:r w:rsidR="00370E44" w:rsidRPr="00904FCB">
        <w:rPr>
          <w:rFonts w:hint="cs"/>
          <w:sz w:val="27"/>
          <w:rtl/>
        </w:rPr>
        <w:t>َّ</w:t>
      </w:r>
      <w:r w:rsidRPr="00904FCB">
        <w:rPr>
          <w:sz w:val="27"/>
          <w:rtl/>
        </w:rPr>
        <w:t>عيات الدينية دنيوياً</w:t>
      </w:r>
      <w:r w:rsidRPr="00904FCB">
        <w:rPr>
          <w:rFonts w:hint="eastAsia"/>
          <w:sz w:val="27"/>
          <w:rtl/>
        </w:rPr>
        <w:t>»</w:t>
      </w:r>
      <w:r w:rsidRPr="00904FCB">
        <w:rPr>
          <w:sz w:val="27"/>
          <w:rtl/>
        </w:rPr>
        <w:t xml:space="preserve"> فلن نتعر</w:t>
      </w:r>
      <w:r w:rsidR="00370E44" w:rsidRPr="00904FCB">
        <w:rPr>
          <w:rFonts w:hint="cs"/>
          <w:sz w:val="27"/>
          <w:rtl/>
        </w:rPr>
        <w:t>َّ</w:t>
      </w:r>
      <w:r w:rsidRPr="00904FCB">
        <w:rPr>
          <w:sz w:val="27"/>
          <w:rtl/>
        </w:rPr>
        <w:t>ض لها في هذا الكتاب</w:t>
      </w:r>
      <w:r w:rsidRPr="00904FCB">
        <w:rPr>
          <w:sz w:val="27"/>
          <w:vertAlign w:val="superscript"/>
          <w:rtl/>
        </w:rPr>
        <w:t>(</w:t>
      </w:r>
      <w:r w:rsidRPr="00904FCB">
        <w:rPr>
          <w:sz w:val="27"/>
          <w:vertAlign w:val="superscript"/>
          <w:rtl/>
        </w:rPr>
        <w:endnoteReference w:id="49"/>
      </w:r>
      <w:r w:rsidRPr="00904FCB">
        <w:rPr>
          <w:sz w:val="27"/>
          <w:vertAlign w:val="superscript"/>
          <w:rtl/>
        </w:rPr>
        <w:t>)</w:t>
      </w:r>
      <w:r w:rsidRPr="00904FCB">
        <w:rPr>
          <w:sz w:val="27"/>
          <w:rtl/>
        </w:rPr>
        <w:t>، وإنما نكتفي بالقول</w:t>
      </w:r>
      <w:r w:rsidR="00370E44" w:rsidRPr="00904FCB">
        <w:rPr>
          <w:rFonts w:hint="cs"/>
          <w:sz w:val="27"/>
          <w:rtl/>
        </w:rPr>
        <w:t>:</w:t>
      </w:r>
      <w:r w:rsidRPr="00904FCB">
        <w:rPr>
          <w:sz w:val="27"/>
          <w:rtl/>
        </w:rPr>
        <w:t xml:space="preserve"> إن جوهر هذه الدعوى يمكن تلخيصها بالبيت الشعري الذي يقول فيه حافظ الشيرازي: حيث أسعد اليوم بجن</w:t>
      </w:r>
      <w:r w:rsidR="00370E44" w:rsidRPr="00904FCB">
        <w:rPr>
          <w:rFonts w:hint="cs"/>
          <w:sz w:val="27"/>
          <w:rtl/>
        </w:rPr>
        <w:t>ّ</w:t>
      </w:r>
      <w:r w:rsidRPr="00904FCB">
        <w:rPr>
          <w:sz w:val="27"/>
          <w:rtl/>
        </w:rPr>
        <w:t>ة</w:t>
      </w:r>
      <w:r w:rsidR="00370E44" w:rsidRPr="00904FCB">
        <w:rPr>
          <w:rFonts w:hint="cs"/>
          <w:sz w:val="27"/>
          <w:rtl/>
        </w:rPr>
        <w:t>ٍ</w:t>
      </w:r>
      <w:r w:rsidRPr="00904FCB">
        <w:rPr>
          <w:sz w:val="27"/>
          <w:rtl/>
        </w:rPr>
        <w:t xml:space="preserve"> حاضرة، دعني من حديث جن</w:t>
      </w:r>
      <w:r w:rsidR="00370E44" w:rsidRPr="00904FCB">
        <w:rPr>
          <w:rFonts w:hint="cs"/>
          <w:sz w:val="27"/>
          <w:rtl/>
        </w:rPr>
        <w:t>ّ</w:t>
      </w:r>
      <w:r w:rsidRPr="00904FCB">
        <w:rPr>
          <w:sz w:val="27"/>
          <w:rtl/>
        </w:rPr>
        <w:t>ة</w:t>
      </w:r>
      <w:r w:rsidR="00370E44" w:rsidRPr="00904FCB">
        <w:rPr>
          <w:rFonts w:hint="cs"/>
          <w:sz w:val="27"/>
          <w:rtl/>
        </w:rPr>
        <w:t>ٍ</w:t>
      </w:r>
      <w:r w:rsidRPr="00904FCB">
        <w:rPr>
          <w:sz w:val="27"/>
          <w:rtl/>
        </w:rPr>
        <w:t xml:space="preserve"> مضمونة للزاهد في ح</w:t>
      </w:r>
      <w:r w:rsidR="00370E44" w:rsidRPr="00904FCB">
        <w:rPr>
          <w:rFonts w:hint="cs"/>
          <w:sz w:val="27"/>
          <w:rtl/>
        </w:rPr>
        <w:t>ُ</w:t>
      </w:r>
      <w:r w:rsidRPr="00904FCB">
        <w:rPr>
          <w:sz w:val="27"/>
          <w:rtl/>
        </w:rPr>
        <w:t>ج</w:t>
      </w:r>
      <w:r w:rsidR="00370E44" w:rsidRPr="00904FCB">
        <w:rPr>
          <w:rFonts w:hint="cs"/>
          <w:sz w:val="27"/>
          <w:rtl/>
        </w:rPr>
        <w:t>ُ</w:t>
      </w:r>
      <w:r w:rsidRPr="00904FCB">
        <w:rPr>
          <w:sz w:val="27"/>
          <w:rtl/>
        </w:rPr>
        <w:t>ب الغ</w:t>
      </w:r>
      <w:r w:rsidR="00370E44" w:rsidRPr="00904FCB">
        <w:rPr>
          <w:rFonts w:hint="cs"/>
          <w:sz w:val="27"/>
          <w:rtl/>
        </w:rPr>
        <w:t>َ</w:t>
      </w:r>
      <w:r w:rsidRPr="00904FCB">
        <w:rPr>
          <w:sz w:val="27"/>
          <w:rtl/>
        </w:rPr>
        <w:t>ي</w:t>
      </w:r>
      <w:r w:rsidR="00370E44" w:rsidRPr="00904FCB">
        <w:rPr>
          <w:rFonts w:hint="cs"/>
          <w:sz w:val="27"/>
          <w:rtl/>
        </w:rPr>
        <w:t>ْ</w:t>
      </w:r>
      <w:r w:rsidRPr="00904FCB">
        <w:rPr>
          <w:sz w:val="27"/>
          <w:rtl/>
        </w:rPr>
        <w:t xml:space="preserve">ب. </w:t>
      </w:r>
    </w:p>
    <w:p w:rsidR="00A45FD9" w:rsidRDefault="00370E44" w:rsidP="00FE3626">
      <w:pPr>
        <w:spacing w:line="400" w:lineRule="exact"/>
        <w:ind w:firstLine="561"/>
        <w:rPr>
          <w:sz w:val="27"/>
          <w:rtl/>
        </w:rPr>
      </w:pPr>
      <w:r w:rsidRPr="00904FCB">
        <w:rPr>
          <w:rFonts w:hint="cs"/>
          <w:sz w:val="27"/>
          <w:rtl/>
        </w:rPr>
        <w:t>ومن ال</w:t>
      </w:r>
      <w:r w:rsidR="00A45FD9" w:rsidRPr="00904FCB">
        <w:rPr>
          <w:sz w:val="27"/>
          <w:rtl/>
        </w:rPr>
        <w:t>جدير بالذكر أن</w:t>
      </w:r>
      <w:r w:rsidRPr="00904FCB">
        <w:rPr>
          <w:rFonts w:hint="cs"/>
          <w:sz w:val="27"/>
          <w:rtl/>
        </w:rPr>
        <w:t>ّ</w:t>
      </w:r>
      <w:r w:rsidR="00A45FD9" w:rsidRPr="00904FCB">
        <w:rPr>
          <w:sz w:val="27"/>
          <w:rtl/>
        </w:rPr>
        <w:t xml:space="preserve"> هذه الخصائص ليست على وتيرة</w:t>
      </w:r>
      <w:r w:rsidRPr="00904FCB">
        <w:rPr>
          <w:rFonts w:hint="cs"/>
          <w:sz w:val="27"/>
          <w:rtl/>
        </w:rPr>
        <w:t>ٍ</w:t>
      </w:r>
      <w:r w:rsidR="00A45FD9" w:rsidRPr="00904FCB">
        <w:rPr>
          <w:sz w:val="27"/>
          <w:rtl/>
        </w:rPr>
        <w:t xml:space="preserve"> واحدة من حيث الأهم</w:t>
      </w:r>
      <w:r w:rsidRPr="00904FCB">
        <w:rPr>
          <w:rFonts w:hint="cs"/>
          <w:sz w:val="27"/>
          <w:rtl/>
        </w:rPr>
        <w:t>ّ</w:t>
      </w:r>
      <w:r w:rsidR="00A45FD9" w:rsidRPr="00904FCB">
        <w:rPr>
          <w:sz w:val="27"/>
          <w:rtl/>
        </w:rPr>
        <w:t>ية، وإن</w:t>
      </w:r>
      <w:r w:rsidRPr="00904FCB">
        <w:rPr>
          <w:rFonts w:hint="cs"/>
          <w:sz w:val="27"/>
          <w:rtl/>
        </w:rPr>
        <w:t>ّ</w:t>
      </w:r>
      <w:r w:rsidR="00A45FD9" w:rsidRPr="00904FCB">
        <w:rPr>
          <w:sz w:val="27"/>
          <w:rtl/>
        </w:rPr>
        <w:t xml:space="preserve"> بعضها يُستخ</w:t>
      </w:r>
      <w:r w:rsidRPr="00904FCB">
        <w:rPr>
          <w:rFonts w:hint="cs"/>
          <w:sz w:val="27"/>
          <w:rtl/>
        </w:rPr>
        <w:t>ْ</w:t>
      </w:r>
      <w:r w:rsidR="00A45FD9" w:rsidRPr="00904FCB">
        <w:rPr>
          <w:sz w:val="27"/>
          <w:rtl/>
        </w:rPr>
        <w:t>ر</w:t>
      </w:r>
      <w:r w:rsidRPr="00904FCB">
        <w:rPr>
          <w:rFonts w:hint="cs"/>
          <w:sz w:val="27"/>
          <w:rtl/>
        </w:rPr>
        <w:t>َ</w:t>
      </w:r>
      <w:r w:rsidR="00A45FD9" w:rsidRPr="00904FCB">
        <w:rPr>
          <w:sz w:val="27"/>
          <w:rtl/>
        </w:rPr>
        <w:t>ج وي</w:t>
      </w:r>
      <w:r w:rsidRPr="00904FCB">
        <w:rPr>
          <w:rFonts w:hint="cs"/>
          <w:sz w:val="27"/>
          <w:rtl/>
        </w:rPr>
        <w:t>ُ</w:t>
      </w:r>
      <w:r w:rsidR="00A45FD9" w:rsidRPr="00904FCB">
        <w:rPr>
          <w:sz w:val="27"/>
          <w:rtl/>
        </w:rPr>
        <w:t>ستن</w:t>
      </w:r>
      <w:r w:rsidRPr="00904FCB">
        <w:rPr>
          <w:rFonts w:hint="cs"/>
          <w:sz w:val="27"/>
          <w:rtl/>
        </w:rPr>
        <w:t>ْ</w:t>
      </w:r>
      <w:r w:rsidR="00A45FD9" w:rsidRPr="00904FCB">
        <w:rPr>
          <w:sz w:val="27"/>
          <w:rtl/>
        </w:rPr>
        <w:t>ب</w:t>
      </w:r>
      <w:r w:rsidRPr="00904FCB">
        <w:rPr>
          <w:rFonts w:hint="cs"/>
          <w:sz w:val="27"/>
          <w:rtl/>
        </w:rPr>
        <w:t>َ</w:t>
      </w:r>
      <w:r w:rsidR="00A45FD9" w:rsidRPr="00904FCB">
        <w:rPr>
          <w:sz w:val="27"/>
          <w:rtl/>
        </w:rPr>
        <w:t xml:space="preserve">ط من البعض الآخر. </w:t>
      </w:r>
    </w:p>
    <w:p w:rsidR="00FE3626" w:rsidRPr="00904FCB" w:rsidRDefault="00FE3626" w:rsidP="00904FCB">
      <w:pPr>
        <w:spacing w:line="400" w:lineRule="exact"/>
        <w:rPr>
          <w:sz w:val="27"/>
          <w:rtl/>
        </w:rPr>
      </w:pPr>
    </w:p>
    <w:p w:rsidR="00A45FD9" w:rsidRPr="00904FCB" w:rsidRDefault="00A45FD9" w:rsidP="007A21AA">
      <w:pPr>
        <w:pStyle w:val="31"/>
        <w:spacing w:line="400" w:lineRule="exact"/>
        <w:rPr>
          <w:color w:val="auto"/>
          <w:rtl/>
        </w:rPr>
      </w:pPr>
      <w:r w:rsidRPr="00904FCB">
        <w:rPr>
          <w:rFonts w:hint="cs"/>
          <w:color w:val="auto"/>
          <w:rtl/>
        </w:rPr>
        <w:t>أ</w:t>
      </w:r>
      <w:r w:rsidRPr="00904FCB">
        <w:rPr>
          <w:color w:val="auto"/>
          <w:rtl/>
        </w:rPr>
        <w:t>ـ العلماني</w:t>
      </w:r>
      <w:r w:rsidR="00370E44" w:rsidRPr="00904FCB">
        <w:rPr>
          <w:rFonts w:hint="cs"/>
          <w:color w:val="auto"/>
          <w:rtl/>
        </w:rPr>
        <w:t>ّ</w:t>
      </w:r>
      <w:r w:rsidRPr="00904FCB">
        <w:rPr>
          <w:color w:val="auto"/>
          <w:rtl/>
        </w:rPr>
        <w:t>ة</w:t>
      </w:r>
    </w:p>
    <w:p w:rsidR="00A45FD9" w:rsidRPr="00904FCB" w:rsidRDefault="00A45FD9" w:rsidP="007A21AA">
      <w:pPr>
        <w:spacing w:line="400" w:lineRule="exact"/>
        <w:rPr>
          <w:sz w:val="27"/>
          <w:rtl/>
        </w:rPr>
      </w:pPr>
      <w:r w:rsidRPr="00904FCB">
        <w:rPr>
          <w:rFonts w:hint="cs"/>
          <w:sz w:val="27"/>
          <w:rtl/>
        </w:rPr>
        <w:t>هناك الكثير من التعاريف للعلمانية، ب</w:t>
      </w:r>
      <w:r w:rsidR="00370E44" w:rsidRPr="00904FCB">
        <w:rPr>
          <w:rFonts w:hint="cs"/>
          <w:sz w:val="27"/>
          <w:rtl/>
        </w:rPr>
        <w:t>َ</w:t>
      </w:r>
      <w:r w:rsidRPr="00904FCB">
        <w:rPr>
          <w:rFonts w:hint="cs"/>
          <w:sz w:val="27"/>
          <w:rtl/>
        </w:rPr>
        <w:t>ي</w:t>
      </w:r>
      <w:r w:rsidR="00370E44" w:rsidRPr="00904FCB">
        <w:rPr>
          <w:rFonts w:hint="cs"/>
          <w:sz w:val="27"/>
          <w:rtl/>
        </w:rPr>
        <w:t>ْ</w:t>
      </w:r>
      <w:r w:rsidRPr="00904FCB">
        <w:rPr>
          <w:rFonts w:hint="cs"/>
          <w:sz w:val="27"/>
          <w:rtl/>
        </w:rPr>
        <w:t>د</w:t>
      </w:r>
      <w:r w:rsidR="00370E44" w:rsidRPr="00904FCB">
        <w:rPr>
          <w:rFonts w:hint="cs"/>
          <w:sz w:val="27"/>
          <w:rtl/>
        </w:rPr>
        <w:t>َ</w:t>
      </w:r>
      <w:r w:rsidRPr="00904FCB">
        <w:rPr>
          <w:rFonts w:hint="cs"/>
          <w:sz w:val="27"/>
          <w:rtl/>
        </w:rPr>
        <w:t xml:space="preserve"> أن الدكتور سروش يذهب إلى القول </w:t>
      </w:r>
      <w:r w:rsidRPr="00904FCB">
        <w:rPr>
          <w:rFonts w:hint="cs"/>
          <w:sz w:val="27"/>
          <w:rtl/>
        </w:rPr>
        <w:lastRenderedPageBreak/>
        <w:t>بأن القاسم المشترك بين جميع هذه التعاريف يتمث</w:t>
      </w:r>
      <w:r w:rsidR="00370E44" w:rsidRPr="00904FCB">
        <w:rPr>
          <w:rFonts w:hint="cs"/>
          <w:sz w:val="27"/>
          <w:rtl/>
        </w:rPr>
        <w:t>ّ</w:t>
      </w:r>
      <w:r w:rsidRPr="00904FCB">
        <w:rPr>
          <w:rFonts w:hint="cs"/>
          <w:sz w:val="27"/>
          <w:rtl/>
        </w:rPr>
        <w:t xml:space="preserve">ل بـ </w:t>
      </w:r>
      <w:r w:rsidRPr="00904FCB">
        <w:rPr>
          <w:rFonts w:hint="eastAsia"/>
          <w:sz w:val="27"/>
          <w:rtl/>
        </w:rPr>
        <w:t>«</w:t>
      </w:r>
      <w:r w:rsidRPr="00904FCB">
        <w:rPr>
          <w:rFonts w:hint="cs"/>
          <w:sz w:val="27"/>
          <w:rtl/>
        </w:rPr>
        <w:t>فصل الدين عن الدولة</w:t>
      </w:r>
      <w:r w:rsidRPr="00904FCB">
        <w:rPr>
          <w:rFonts w:hint="eastAsia"/>
          <w:sz w:val="27"/>
          <w:rtl/>
        </w:rPr>
        <w:t>»</w:t>
      </w:r>
      <w:r w:rsidRPr="00904FCB">
        <w:rPr>
          <w:rFonts w:hint="cs"/>
          <w:sz w:val="27"/>
          <w:rtl/>
        </w:rPr>
        <w:t>، رغم أن فصل الدين عن الدولة من أدنى نتائج العلمانية</w:t>
      </w:r>
      <w:r w:rsidRPr="00904FCB">
        <w:rPr>
          <w:sz w:val="27"/>
          <w:vertAlign w:val="superscript"/>
          <w:rtl/>
        </w:rPr>
        <w:t>(</w:t>
      </w:r>
      <w:r w:rsidRPr="00904FCB">
        <w:rPr>
          <w:sz w:val="27"/>
          <w:vertAlign w:val="superscript"/>
          <w:rtl/>
        </w:rPr>
        <w:endnoteReference w:id="50"/>
      </w:r>
      <w:r w:rsidRPr="00904FCB">
        <w:rPr>
          <w:sz w:val="27"/>
          <w:vertAlign w:val="superscript"/>
          <w:rtl/>
        </w:rPr>
        <w:t>)</w:t>
      </w:r>
      <w:r w:rsidRPr="00904FCB">
        <w:rPr>
          <w:rFonts w:hint="cs"/>
          <w:sz w:val="27"/>
          <w:rtl/>
        </w:rPr>
        <w:t>.</w:t>
      </w:r>
      <w:r w:rsidR="009E010B" w:rsidRPr="00904FCB">
        <w:rPr>
          <w:rFonts w:hint="cs"/>
          <w:sz w:val="27"/>
          <w:rtl/>
        </w:rPr>
        <w:t xml:space="preserve"> </w:t>
      </w:r>
      <w:r w:rsidRPr="00904FCB">
        <w:rPr>
          <w:rFonts w:hint="cs"/>
          <w:sz w:val="27"/>
          <w:rtl/>
        </w:rPr>
        <w:t>وأضاف قائلاً: إذا أردنا اختزال ماهي</w:t>
      </w:r>
      <w:r w:rsidR="009E010B" w:rsidRPr="00904FCB">
        <w:rPr>
          <w:rFonts w:hint="cs"/>
          <w:sz w:val="27"/>
          <w:rtl/>
        </w:rPr>
        <w:t>ّ</w:t>
      </w:r>
      <w:r w:rsidRPr="00904FCB">
        <w:rPr>
          <w:rFonts w:hint="cs"/>
          <w:sz w:val="27"/>
          <w:rtl/>
        </w:rPr>
        <w:t>ة العلمانية في ثلاث جمل</w:t>
      </w:r>
      <w:r w:rsidR="009E010B" w:rsidRPr="00904FCB">
        <w:rPr>
          <w:rFonts w:hint="cs"/>
          <w:sz w:val="27"/>
          <w:rtl/>
        </w:rPr>
        <w:t>ٍ</w:t>
      </w:r>
      <w:r w:rsidRPr="00904FCB">
        <w:rPr>
          <w:rFonts w:hint="cs"/>
          <w:sz w:val="27"/>
          <w:rtl/>
        </w:rPr>
        <w:t xml:space="preserve"> أمكن لنا الخروج بهذه النتيجة: </w:t>
      </w:r>
    </w:p>
    <w:p w:rsidR="00A45FD9" w:rsidRPr="00904FCB" w:rsidRDefault="00A45FD9" w:rsidP="007A21AA">
      <w:pPr>
        <w:spacing w:line="400" w:lineRule="exact"/>
        <w:rPr>
          <w:sz w:val="27"/>
          <w:rtl/>
        </w:rPr>
      </w:pPr>
      <w:r w:rsidRPr="00904FCB">
        <w:rPr>
          <w:rFonts w:hint="cs"/>
          <w:sz w:val="27"/>
          <w:rtl/>
        </w:rPr>
        <w:t xml:space="preserve">أـ العمل على طبق الدوافع غير الدينية. </w:t>
      </w:r>
    </w:p>
    <w:p w:rsidR="00A45FD9" w:rsidRPr="00904FCB" w:rsidRDefault="00A45FD9" w:rsidP="007A21AA">
      <w:pPr>
        <w:spacing w:line="400" w:lineRule="exact"/>
        <w:rPr>
          <w:sz w:val="27"/>
          <w:rtl/>
        </w:rPr>
      </w:pPr>
      <w:r w:rsidRPr="00904FCB">
        <w:rPr>
          <w:rFonts w:hint="cs"/>
          <w:sz w:val="27"/>
          <w:rtl/>
        </w:rPr>
        <w:t xml:space="preserve">ب ـ تفسير الكون والحياة والإنسان وفقاً للمفاهيم والمقولات غير الدينية. </w:t>
      </w:r>
    </w:p>
    <w:p w:rsidR="00A45FD9" w:rsidRPr="00904FCB" w:rsidRDefault="00A45FD9" w:rsidP="007A21AA">
      <w:pPr>
        <w:spacing w:line="400" w:lineRule="exact"/>
        <w:rPr>
          <w:sz w:val="27"/>
          <w:rtl/>
        </w:rPr>
      </w:pPr>
      <w:r w:rsidRPr="00904FCB">
        <w:rPr>
          <w:rFonts w:hint="cs"/>
          <w:sz w:val="27"/>
          <w:rtl/>
        </w:rPr>
        <w:t>ج ـ كشف استقلال مقولات من قبيل: العلم والسياسة و... عن الدين</w:t>
      </w:r>
      <w:r w:rsidRPr="00904FCB">
        <w:rPr>
          <w:sz w:val="27"/>
          <w:vertAlign w:val="superscript"/>
          <w:rtl/>
        </w:rPr>
        <w:t>(</w:t>
      </w:r>
      <w:r w:rsidRPr="00904FCB">
        <w:rPr>
          <w:sz w:val="27"/>
          <w:vertAlign w:val="superscript"/>
          <w:rtl/>
        </w:rPr>
        <w:endnoteReference w:id="51"/>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904FCB">
        <w:rPr>
          <w:rFonts w:hint="cs"/>
          <w:sz w:val="27"/>
          <w:rtl/>
        </w:rPr>
        <w:t xml:space="preserve">ينقب الدكتور سروش عن جذور العلمانية في </w:t>
      </w:r>
      <w:r w:rsidRPr="00904FCB">
        <w:rPr>
          <w:rFonts w:hint="eastAsia"/>
          <w:sz w:val="27"/>
          <w:rtl/>
        </w:rPr>
        <w:t>«</w:t>
      </w:r>
      <w:r w:rsidRPr="00904FCB">
        <w:rPr>
          <w:rFonts w:hint="cs"/>
          <w:sz w:val="27"/>
          <w:rtl/>
        </w:rPr>
        <w:t>دوافع</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أفكار</w:t>
      </w:r>
      <w:r w:rsidRPr="00904FCB">
        <w:rPr>
          <w:rFonts w:hint="eastAsia"/>
          <w:sz w:val="27"/>
          <w:rtl/>
        </w:rPr>
        <w:t>»</w:t>
      </w:r>
      <w:r w:rsidRPr="00904FCB">
        <w:rPr>
          <w:rFonts w:hint="cs"/>
          <w:sz w:val="27"/>
          <w:rtl/>
        </w:rPr>
        <w:t xml:space="preserve"> الإنسان، ويذهب إلى الاعتقاد بأن العالم الحديث قد شهد علمنة في الدوافع والأفكار</w:t>
      </w:r>
      <w:r w:rsidRPr="00904FCB">
        <w:rPr>
          <w:sz w:val="27"/>
          <w:vertAlign w:val="superscript"/>
          <w:rtl/>
        </w:rPr>
        <w:t>(</w:t>
      </w:r>
      <w:r w:rsidRPr="00904FCB">
        <w:rPr>
          <w:sz w:val="27"/>
          <w:vertAlign w:val="superscript"/>
          <w:rtl/>
        </w:rPr>
        <w:endnoteReference w:id="52"/>
      </w:r>
      <w:r w:rsidRPr="00904FCB">
        <w:rPr>
          <w:sz w:val="27"/>
          <w:vertAlign w:val="superscript"/>
          <w:rtl/>
        </w:rPr>
        <w:t>)</w:t>
      </w:r>
      <w:r w:rsidR="009E010B" w:rsidRPr="00904FCB">
        <w:rPr>
          <w:rFonts w:hint="cs"/>
          <w:sz w:val="27"/>
          <w:rtl/>
        </w:rPr>
        <w:t>؛</w:t>
      </w:r>
      <w:r w:rsidRPr="00904FCB">
        <w:rPr>
          <w:rFonts w:hint="cs"/>
          <w:sz w:val="27"/>
          <w:rtl/>
        </w:rPr>
        <w:t xml:space="preserve"> إذ يقول: </w:t>
      </w:r>
      <w:r w:rsidRPr="00904FCB">
        <w:rPr>
          <w:rFonts w:hint="eastAsia"/>
          <w:sz w:val="27"/>
          <w:rtl/>
        </w:rPr>
        <w:t>«</w:t>
      </w:r>
      <w:r w:rsidR="009E010B" w:rsidRPr="00904FCB">
        <w:rPr>
          <w:rFonts w:hint="cs"/>
          <w:sz w:val="27"/>
          <w:rtl/>
        </w:rPr>
        <w:t>...</w:t>
      </w:r>
      <w:r w:rsidRPr="00904FCB">
        <w:rPr>
          <w:rFonts w:hint="cs"/>
          <w:sz w:val="27"/>
          <w:rtl/>
        </w:rPr>
        <w:t>إن العلمانية تعني الانتماء إلى هذا العالم، وتعني توجيه الأنظار إلى هذا العالم، وقطعها عن العوالم الأخرى ـ على فرض وجودها ـ</w:t>
      </w:r>
      <w:r w:rsidR="009E010B" w:rsidRPr="00904FCB">
        <w:rPr>
          <w:rFonts w:hint="cs"/>
          <w:sz w:val="27"/>
          <w:rtl/>
        </w:rPr>
        <w:t>،</w:t>
      </w:r>
      <w:r w:rsidRPr="00904FCB">
        <w:rPr>
          <w:rFonts w:hint="cs"/>
          <w:sz w:val="27"/>
          <w:rtl/>
        </w:rPr>
        <w:t xml:space="preserve"> أو الغفلة عن تلك العوالم</w:t>
      </w:r>
      <w:r w:rsidR="009E010B" w:rsidRPr="00904FCB">
        <w:rPr>
          <w:rFonts w:hint="cs"/>
          <w:sz w:val="27"/>
          <w:rtl/>
        </w:rPr>
        <w:t>،</w:t>
      </w:r>
      <w:r w:rsidRPr="00904FCB">
        <w:rPr>
          <w:rFonts w:hint="cs"/>
          <w:sz w:val="27"/>
          <w:rtl/>
        </w:rPr>
        <w:t xml:space="preserve"> سواء أكانت موجودة أم لم تكن موجودة. وإن تلك العوالم لا تتجاوز العالمين، وهما: عالم ما وراء المادة</w:t>
      </w:r>
      <w:r w:rsidR="009E010B" w:rsidRPr="00904FCB">
        <w:rPr>
          <w:rFonts w:hint="cs"/>
          <w:sz w:val="27"/>
          <w:rtl/>
        </w:rPr>
        <w:t>؛</w:t>
      </w:r>
      <w:r w:rsidRPr="00904FCB">
        <w:rPr>
          <w:rFonts w:hint="cs"/>
          <w:sz w:val="27"/>
          <w:rtl/>
        </w:rPr>
        <w:t xml:space="preserve"> وعالم الآخرة</w:t>
      </w:r>
      <w:r w:rsidR="009E010B" w:rsidRPr="00904FCB">
        <w:rPr>
          <w:rFonts w:hint="cs"/>
          <w:sz w:val="27"/>
          <w:rtl/>
        </w:rPr>
        <w:t>.</w:t>
      </w:r>
      <w:r w:rsidRPr="00904FCB">
        <w:rPr>
          <w:rFonts w:hint="cs"/>
          <w:sz w:val="27"/>
          <w:rtl/>
        </w:rPr>
        <w:t>... كما يمكن تصو</w:t>
      </w:r>
      <w:r w:rsidR="009E010B" w:rsidRPr="00904FCB">
        <w:rPr>
          <w:rFonts w:hint="cs"/>
          <w:sz w:val="27"/>
          <w:rtl/>
        </w:rPr>
        <w:t>ُّ</w:t>
      </w:r>
      <w:r w:rsidRPr="00904FCB">
        <w:rPr>
          <w:rFonts w:hint="cs"/>
          <w:sz w:val="27"/>
          <w:rtl/>
        </w:rPr>
        <w:t>ر عالمين آخرين، ويمكن لكل</w:t>
      </w:r>
      <w:r w:rsidR="009E010B" w:rsidRPr="00904FCB">
        <w:rPr>
          <w:rFonts w:hint="cs"/>
          <w:sz w:val="27"/>
          <w:rtl/>
        </w:rPr>
        <w:t>ٍّ</w:t>
      </w:r>
      <w:r w:rsidRPr="00904FCB">
        <w:rPr>
          <w:rFonts w:hint="cs"/>
          <w:sz w:val="27"/>
          <w:rtl/>
        </w:rPr>
        <w:t xml:space="preserve"> منهما أن يترك تأثيراً قاطعاً وحاسماً على أفكارنا</w:t>
      </w:r>
      <w:r w:rsidR="009E010B" w:rsidRPr="00904FCB">
        <w:rPr>
          <w:rFonts w:hint="cs"/>
          <w:sz w:val="27"/>
          <w:rtl/>
        </w:rPr>
        <w:t>،</w:t>
      </w:r>
      <w:r w:rsidRPr="00904FCB">
        <w:rPr>
          <w:rFonts w:hint="cs"/>
          <w:sz w:val="27"/>
          <w:rtl/>
        </w:rPr>
        <w:t xml:space="preserve"> وعلى دوافعنا أيضاً. وعندما نتجاوز هذين العالمين ـ من خلال إنكارهما أو عدم الاهتمام بهما ـ سيغدو عالمنا بطبيعة الحال عالماً أصغر، وعندها سوف تتغي</w:t>
      </w:r>
      <w:r w:rsidR="009E010B" w:rsidRPr="00904FCB">
        <w:rPr>
          <w:rFonts w:hint="cs"/>
          <w:sz w:val="27"/>
          <w:rtl/>
        </w:rPr>
        <w:t>َّ</w:t>
      </w:r>
      <w:r w:rsidRPr="00904FCB">
        <w:rPr>
          <w:rFonts w:hint="cs"/>
          <w:sz w:val="27"/>
          <w:rtl/>
        </w:rPr>
        <w:t>ر دوافعنا، وتتغي</w:t>
      </w:r>
      <w:r w:rsidR="009E010B" w:rsidRPr="00904FCB">
        <w:rPr>
          <w:rFonts w:hint="cs"/>
          <w:sz w:val="27"/>
          <w:rtl/>
        </w:rPr>
        <w:t>َّ</w:t>
      </w:r>
      <w:r w:rsidRPr="00904FCB">
        <w:rPr>
          <w:rFonts w:hint="cs"/>
          <w:sz w:val="27"/>
          <w:rtl/>
        </w:rPr>
        <w:t>ر أفكارنا أيضاً</w:t>
      </w:r>
      <w:r w:rsidRPr="00904FCB">
        <w:rPr>
          <w:rFonts w:hint="eastAsia"/>
          <w:sz w:val="27"/>
          <w:rtl/>
        </w:rPr>
        <w:t>»</w:t>
      </w:r>
      <w:r w:rsidRPr="00904FCB">
        <w:rPr>
          <w:sz w:val="27"/>
          <w:vertAlign w:val="superscript"/>
          <w:rtl/>
        </w:rPr>
        <w:t>(</w:t>
      </w:r>
      <w:r w:rsidRPr="00904FCB">
        <w:rPr>
          <w:sz w:val="27"/>
          <w:vertAlign w:val="superscript"/>
          <w:rtl/>
        </w:rPr>
        <w:endnoteReference w:id="53"/>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904FCB">
        <w:rPr>
          <w:rFonts w:hint="cs"/>
          <w:sz w:val="27"/>
          <w:rtl/>
        </w:rPr>
        <w:t xml:space="preserve">إن علمنة الدوافع تعني </w:t>
      </w:r>
      <w:r w:rsidRPr="00904FCB">
        <w:rPr>
          <w:rFonts w:hint="eastAsia"/>
          <w:sz w:val="27"/>
          <w:rtl/>
        </w:rPr>
        <w:t>«</w:t>
      </w:r>
      <w:r w:rsidRPr="00904FCB">
        <w:rPr>
          <w:rFonts w:hint="cs"/>
          <w:sz w:val="27"/>
          <w:rtl/>
        </w:rPr>
        <w:t>العمل على طبق العقل المحض</w:t>
      </w:r>
      <w:r w:rsidRPr="00904FCB">
        <w:rPr>
          <w:rFonts w:hint="eastAsia"/>
          <w:sz w:val="27"/>
          <w:rtl/>
        </w:rPr>
        <w:t>»</w:t>
      </w:r>
      <w:r w:rsidRPr="00904FCB">
        <w:rPr>
          <w:rFonts w:hint="cs"/>
          <w:sz w:val="27"/>
          <w:rtl/>
        </w:rPr>
        <w:t>، و</w:t>
      </w:r>
      <w:r w:rsidRPr="00904FCB">
        <w:rPr>
          <w:rFonts w:hint="eastAsia"/>
          <w:sz w:val="27"/>
          <w:rtl/>
        </w:rPr>
        <w:t>«</w:t>
      </w:r>
      <w:r w:rsidRPr="00904FCB">
        <w:rPr>
          <w:rFonts w:hint="cs"/>
          <w:sz w:val="27"/>
          <w:rtl/>
        </w:rPr>
        <w:t>جعل أحكام العقل محوراً للحياة</w:t>
      </w:r>
      <w:r w:rsidRPr="00904FCB">
        <w:rPr>
          <w:rFonts w:hint="eastAsia"/>
          <w:sz w:val="27"/>
          <w:rtl/>
        </w:rPr>
        <w:t>»</w:t>
      </w:r>
      <w:r w:rsidRPr="00904FCB">
        <w:rPr>
          <w:rFonts w:hint="cs"/>
          <w:sz w:val="27"/>
          <w:rtl/>
        </w:rPr>
        <w:t>، و</w:t>
      </w:r>
      <w:r w:rsidRPr="00904FCB">
        <w:rPr>
          <w:rFonts w:hint="eastAsia"/>
          <w:sz w:val="27"/>
          <w:rtl/>
        </w:rPr>
        <w:t>«</w:t>
      </w:r>
      <w:r w:rsidRPr="00904FCB">
        <w:rPr>
          <w:rFonts w:hint="cs"/>
          <w:sz w:val="27"/>
          <w:rtl/>
        </w:rPr>
        <w:t>العودة إلى العقل الجمعي</w:t>
      </w:r>
      <w:r w:rsidRPr="00904FCB">
        <w:rPr>
          <w:rFonts w:hint="eastAsia"/>
          <w:sz w:val="27"/>
          <w:rtl/>
        </w:rPr>
        <w:t>»</w:t>
      </w:r>
      <w:r w:rsidRPr="00904FCB">
        <w:rPr>
          <w:sz w:val="27"/>
          <w:vertAlign w:val="superscript"/>
          <w:rtl/>
        </w:rPr>
        <w:t>(</w:t>
      </w:r>
      <w:r w:rsidRPr="00904FCB">
        <w:rPr>
          <w:sz w:val="27"/>
          <w:vertAlign w:val="superscript"/>
          <w:rtl/>
        </w:rPr>
        <w:endnoteReference w:id="54"/>
      </w:r>
      <w:r w:rsidRPr="00904FCB">
        <w:rPr>
          <w:sz w:val="27"/>
          <w:vertAlign w:val="superscript"/>
          <w:rtl/>
        </w:rPr>
        <w:t>)</w:t>
      </w:r>
      <w:r w:rsidRPr="00904FCB">
        <w:rPr>
          <w:rFonts w:hint="cs"/>
          <w:sz w:val="27"/>
          <w:rtl/>
        </w:rPr>
        <w:t xml:space="preserve">. إن علمنة الدوافع لا ينبثق عن الأهواء، ولا يقوم على الجهل، وإنما ينبثق عن منطق أن </w:t>
      </w:r>
      <w:r w:rsidRPr="00904FCB">
        <w:rPr>
          <w:rFonts w:hint="eastAsia"/>
          <w:sz w:val="27"/>
          <w:rtl/>
        </w:rPr>
        <w:t>«</w:t>
      </w:r>
      <w:r w:rsidRPr="00904FCB">
        <w:rPr>
          <w:rFonts w:hint="cs"/>
          <w:sz w:val="27"/>
          <w:rtl/>
        </w:rPr>
        <w:t>العقل البشري يدرك الصالح من الطالح، و</w:t>
      </w:r>
      <w:r w:rsidR="009E010B" w:rsidRPr="00904FCB">
        <w:rPr>
          <w:rFonts w:hint="cs"/>
          <w:sz w:val="27"/>
          <w:rtl/>
        </w:rPr>
        <w:t>أ</w:t>
      </w:r>
      <w:r w:rsidRPr="00904FCB">
        <w:rPr>
          <w:rFonts w:hint="cs"/>
          <w:sz w:val="27"/>
          <w:rtl/>
        </w:rPr>
        <w:t>ن الله قد أمضى حكم العقل، وعليه لا مانع من اكتفاء الإنسان بعقله، وينزع عن ذهنه التفكير بالله</w:t>
      </w:r>
      <w:r w:rsidR="009E010B" w:rsidRPr="00904FCB">
        <w:rPr>
          <w:rFonts w:hint="cs"/>
          <w:sz w:val="27"/>
          <w:rtl/>
        </w:rPr>
        <w:t>،</w:t>
      </w:r>
      <w:r w:rsidRPr="00904FCB">
        <w:rPr>
          <w:rFonts w:hint="cs"/>
          <w:sz w:val="27"/>
          <w:rtl/>
        </w:rPr>
        <w:t xml:space="preserve"> ودين الله</w:t>
      </w:r>
      <w:r w:rsidRPr="00904FCB">
        <w:rPr>
          <w:rFonts w:hint="eastAsia"/>
          <w:sz w:val="27"/>
          <w:rtl/>
        </w:rPr>
        <w:t>»</w:t>
      </w:r>
      <w:r w:rsidRPr="00904FCB">
        <w:rPr>
          <w:sz w:val="27"/>
          <w:vertAlign w:val="superscript"/>
          <w:rtl/>
        </w:rPr>
        <w:t>(</w:t>
      </w:r>
      <w:r w:rsidRPr="00904FCB">
        <w:rPr>
          <w:sz w:val="27"/>
          <w:vertAlign w:val="superscript"/>
          <w:rtl/>
        </w:rPr>
        <w:endnoteReference w:id="55"/>
      </w:r>
      <w:r w:rsidRPr="00904FCB">
        <w:rPr>
          <w:sz w:val="27"/>
          <w:vertAlign w:val="superscript"/>
          <w:rtl/>
        </w:rPr>
        <w:t>)</w:t>
      </w:r>
      <w:r w:rsidRPr="00904FCB">
        <w:rPr>
          <w:rFonts w:hint="cs"/>
          <w:sz w:val="27"/>
          <w:rtl/>
        </w:rPr>
        <w:t xml:space="preserve">. </w:t>
      </w:r>
    </w:p>
    <w:p w:rsidR="009E010B" w:rsidRPr="00904FCB" w:rsidRDefault="00A45FD9" w:rsidP="007A21AA">
      <w:pPr>
        <w:spacing w:line="400" w:lineRule="exact"/>
        <w:rPr>
          <w:sz w:val="27"/>
          <w:rtl/>
        </w:rPr>
      </w:pPr>
      <w:r w:rsidRPr="00904FCB">
        <w:rPr>
          <w:rFonts w:hint="cs"/>
          <w:sz w:val="27"/>
          <w:rtl/>
        </w:rPr>
        <w:t>هناك غموض</w:t>
      </w:r>
      <w:r w:rsidR="009E010B" w:rsidRPr="00904FCB">
        <w:rPr>
          <w:rFonts w:hint="cs"/>
          <w:sz w:val="27"/>
          <w:rtl/>
        </w:rPr>
        <w:t>ٌ</w:t>
      </w:r>
      <w:r w:rsidRPr="00904FCB">
        <w:rPr>
          <w:rFonts w:hint="cs"/>
          <w:sz w:val="27"/>
          <w:rtl/>
        </w:rPr>
        <w:t xml:space="preserve"> حول علمنة الدوافع، ولا</w:t>
      </w:r>
      <w:r w:rsidR="009E010B" w:rsidRPr="00904FCB">
        <w:rPr>
          <w:rFonts w:hint="cs"/>
          <w:sz w:val="27"/>
          <w:rtl/>
        </w:rPr>
        <w:t xml:space="preserve"> </w:t>
      </w:r>
      <w:r w:rsidRPr="00904FCB">
        <w:rPr>
          <w:rFonts w:hint="cs"/>
          <w:sz w:val="27"/>
          <w:rtl/>
        </w:rPr>
        <w:t>ب</w:t>
      </w:r>
      <w:r w:rsidR="009E010B" w:rsidRPr="00904FCB">
        <w:rPr>
          <w:rFonts w:hint="cs"/>
          <w:sz w:val="27"/>
          <w:rtl/>
        </w:rPr>
        <w:t>ُ</w:t>
      </w:r>
      <w:r w:rsidRPr="00904FCB">
        <w:rPr>
          <w:rFonts w:hint="cs"/>
          <w:sz w:val="27"/>
          <w:rtl/>
        </w:rPr>
        <w:t>د</w:t>
      </w:r>
      <w:r w:rsidR="009E010B" w:rsidRPr="00904FCB">
        <w:rPr>
          <w:rFonts w:hint="cs"/>
          <w:sz w:val="27"/>
          <w:rtl/>
        </w:rPr>
        <w:t>َّ</w:t>
      </w:r>
      <w:r w:rsidRPr="00904FCB">
        <w:rPr>
          <w:rFonts w:hint="cs"/>
          <w:sz w:val="27"/>
          <w:rtl/>
        </w:rPr>
        <w:t xml:space="preserve"> من العمل على رفع ذلك الغموض قبل مواصلة البحث</w:t>
      </w:r>
      <w:r w:rsidR="009E010B" w:rsidRPr="00904FCB">
        <w:rPr>
          <w:rFonts w:hint="cs"/>
          <w:sz w:val="27"/>
          <w:rtl/>
        </w:rPr>
        <w:t>.</w:t>
      </w:r>
    </w:p>
    <w:p w:rsidR="00A45FD9" w:rsidRPr="00904FCB" w:rsidRDefault="00A45FD9" w:rsidP="007A21AA">
      <w:pPr>
        <w:spacing w:line="400" w:lineRule="exact"/>
        <w:rPr>
          <w:sz w:val="27"/>
          <w:rtl/>
        </w:rPr>
      </w:pPr>
      <w:r w:rsidRPr="00904FCB">
        <w:rPr>
          <w:rFonts w:hint="cs"/>
          <w:b/>
          <w:bCs/>
          <w:sz w:val="27"/>
          <w:rtl/>
        </w:rPr>
        <w:t>فأو</w:t>
      </w:r>
      <w:r w:rsidR="009E010B" w:rsidRPr="00904FCB">
        <w:rPr>
          <w:rFonts w:hint="cs"/>
          <w:b/>
          <w:bCs/>
          <w:sz w:val="27"/>
          <w:rtl/>
        </w:rPr>
        <w:t>ّ</w:t>
      </w:r>
      <w:r w:rsidRPr="00904FCB">
        <w:rPr>
          <w:rFonts w:hint="cs"/>
          <w:b/>
          <w:bCs/>
          <w:sz w:val="27"/>
          <w:rtl/>
        </w:rPr>
        <w:t>لاً</w:t>
      </w:r>
      <w:r w:rsidR="009E010B" w:rsidRPr="00904FCB">
        <w:rPr>
          <w:rFonts w:hint="cs"/>
          <w:sz w:val="27"/>
          <w:rtl/>
        </w:rPr>
        <w:t>:</w:t>
      </w:r>
      <w:r w:rsidRPr="00904FCB">
        <w:rPr>
          <w:rFonts w:hint="cs"/>
          <w:sz w:val="27"/>
          <w:rtl/>
        </w:rPr>
        <w:t xml:space="preserve"> كما يت</w:t>
      </w:r>
      <w:r w:rsidR="009E010B" w:rsidRPr="00904FCB">
        <w:rPr>
          <w:rFonts w:hint="cs"/>
          <w:sz w:val="27"/>
          <w:rtl/>
        </w:rPr>
        <w:t>ّ</w:t>
      </w:r>
      <w:r w:rsidRPr="00904FCB">
        <w:rPr>
          <w:rFonts w:hint="cs"/>
          <w:sz w:val="27"/>
          <w:rtl/>
        </w:rPr>
        <w:t xml:space="preserve">ضح من كلام الدكتور سروش فإن مراده من علمنة </w:t>
      </w:r>
      <w:r w:rsidRPr="00904FCB">
        <w:rPr>
          <w:rFonts w:hint="eastAsia"/>
          <w:sz w:val="27"/>
          <w:rtl/>
        </w:rPr>
        <w:t>«</w:t>
      </w:r>
      <w:r w:rsidRPr="00904FCB">
        <w:rPr>
          <w:rFonts w:hint="cs"/>
          <w:sz w:val="27"/>
          <w:rtl/>
        </w:rPr>
        <w:t>الدوافع</w:t>
      </w:r>
      <w:r w:rsidRPr="00904FCB">
        <w:rPr>
          <w:rFonts w:hint="eastAsia"/>
          <w:sz w:val="27"/>
          <w:rtl/>
        </w:rPr>
        <w:t>»</w:t>
      </w:r>
      <w:r w:rsidRPr="00904FCB">
        <w:rPr>
          <w:rFonts w:hint="cs"/>
          <w:sz w:val="27"/>
          <w:rtl/>
        </w:rPr>
        <w:t xml:space="preserve"> هو علمنة </w:t>
      </w:r>
      <w:r w:rsidRPr="00904FCB">
        <w:rPr>
          <w:rFonts w:hint="eastAsia"/>
          <w:sz w:val="27"/>
          <w:rtl/>
        </w:rPr>
        <w:t>«</w:t>
      </w:r>
      <w:r w:rsidRPr="00904FCB">
        <w:rPr>
          <w:rFonts w:hint="cs"/>
          <w:sz w:val="27"/>
          <w:rtl/>
        </w:rPr>
        <w:t>الأخلاق</w:t>
      </w:r>
      <w:r w:rsidRPr="00904FCB">
        <w:rPr>
          <w:rFonts w:hint="eastAsia"/>
          <w:sz w:val="27"/>
          <w:rtl/>
        </w:rPr>
        <w:t>»</w:t>
      </w:r>
      <w:r w:rsidR="009E010B" w:rsidRPr="00904FCB">
        <w:rPr>
          <w:rFonts w:hint="cs"/>
          <w:sz w:val="27"/>
          <w:rtl/>
        </w:rPr>
        <w:t>،</w:t>
      </w:r>
      <w:r w:rsidRPr="00904FCB">
        <w:rPr>
          <w:rFonts w:hint="cs"/>
          <w:sz w:val="27"/>
          <w:rtl/>
        </w:rPr>
        <w:t xml:space="preserve"> وليس مجرد علمنة الدوافع. </w:t>
      </w:r>
      <w:r w:rsidR="009E010B" w:rsidRPr="00904FCB">
        <w:rPr>
          <w:rFonts w:hint="cs"/>
          <w:sz w:val="27"/>
          <w:rtl/>
        </w:rPr>
        <w:t>وقد</w:t>
      </w:r>
      <w:r w:rsidRPr="00904FCB">
        <w:rPr>
          <w:rFonts w:hint="cs"/>
          <w:sz w:val="27"/>
          <w:rtl/>
        </w:rPr>
        <w:t xml:space="preserve"> ذكرنا في كتابنا (الدين في ميزان الأخلاق) </w:t>
      </w:r>
      <w:r w:rsidR="009E010B" w:rsidRPr="00904FCB">
        <w:rPr>
          <w:rFonts w:hint="cs"/>
          <w:sz w:val="27"/>
          <w:rtl/>
        </w:rPr>
        <w:t>أ</w:t>
      </w:r>
      <w:r w:rsidRPr="00904FCB">
        <w:rPr>
          <w:rFonts w:hint="cs"/>
          <w:sz w:val="27"/>
          <w:rtl/>
        </w:rPr>
        <w:t xml:space="preserve">ن علمنة الأخلاق تعني علمنة النوايا والدوافع الأخلاقية أيضاً. والأولى تعني أن الحسن والقبح والواجب والمحظور الأخلاقي لا ينبثق عن إرادة وحكم الإله </w:t>
      </w:r>
      <w:r w:rsidRPr="00904FCB">
        <w:rPr>
          <w:rFonts w:hint="cs"/>
          <w:sz w:val="27"/>
          <w:rtl/>
        </w:rPr>
        <w:lastRenderedPageBreak/>
        <w:t>الشارع، ولذلك يمكن التعر</w:t>
      </w:r>
      <w:r w:rsidR="009E010B" w:rsidRPr="00904FCB">
        <w:rPr>
          <w:rFonts w:hint="cs"/>
          <w:sz w:val="27"/>
          <w:rtl/>
        </w:rPr>
        <w:t>ُّ</w:t>
      </w:r>
      <w:r w:rsidRPr="00904FCB">
        <w:rPr>
          <w:rFonts w:hint="cs"/>
          <w:sz w:val="27"/>
          <w:rtl/>
        </w:rPr>
        <w:t>ف عليه من طريق العقل المحض. والثاني يعني أن أخلاقية العمل ليس ر</w:t>
      </w:r>
      <w:r w:rsidR="009E010B" w:rsidRPr="00904FCB">
        <w:rPr>
          <w:rFonts w:hint="cs"/>
          <w:sz w:val="27"/>
          <w:rtl/>
        </w:rPr>
        <w:t>َ</w:t>
      </w:r>
      <w:r w:rsidRPr="00904FCB">
        <w:rPr>
          <w:rFonts w:hint="cs"/>
          <w:sz w:val="27"/>
          <w:rtl/>
        </w:rPr>
        <w:t>ه</w:t>
      </w:r>
      <w:r w:rsidR="009E010B" w:rsidRPr="00904FCB">
        <w:rPr>
          <w:rFonts w:hint="cs"/>
          <w:sz w:val="27"/>
          <w:rtl/>
        </w:rPr>
        <w:t>ْ</w:t>
      </w:r>
      <w:r w:rsidRPr="00904FCB">
        <w:rPr>
          <w:rFonts w:hint="cs"/>
          <w:sz w:val="27"/>
          <w:rtl/>
        </w:rPr>
        <w:t>ناً بامتلاك الدوافع الدينية بالمعنى الخاص</w:t>
      </w:r>
      <w:r w:rsidR="009E010B" w:rsidRPr="00904FCB">
        <w:rPr>
          <w:rFonts w:hint="cs"/>
          <w:sz w:val="27"/>
          <w:rtl/>
        </w:rPr>
        <w:t>ّ</w:t>
      </w:r>
      <w:r w:rsidRPr="00904FCB">
        <w:rPr>
          <w:rFonts w:hint="cs"/>
          <w:sz w:val="27"/>
          <w:rtl/>
        </w:rPr>
        <w:t xml:space="preserve"> للكلمة. إن الدوافع الدينية الخاصة عبارة عن: التقرّب إلى الله، وكسب مرضاته، والحصول على الثواب الأخروي، والدخول إلى الجن</w:t>
      </w:r>
      <w:r w:rsidR="009E010B" w:rsidRPr="00904FCB">
        <w:rPr>
          <w:rFonts w:hint="cs"/>
          <w:sz w:val="27"/>
          <w:rtl/>
        </w:rPr>
        <w:t>ّ</w:t>
      </w:r>
      <w:r w:rsidRPr="00904FCB">
        <w:rPr>
          <w:rFonts w:hint="cs"/>
          <w:sz w:val="27"/>
          <w:rtl/>
        </w:rPr>
        <w:t xml:space="preserve">ة، والخلاص من العذاب الأخروي، والنجاة من النار. </w:t>
      </w:r>
    </w:p>
    <w:p w:rsidR="00A45FD9" w:rsidRPr="00904FCB" w:rsidRDefault="00A45FD9" w:rsidP="007A21AA">
      <w:pPr>
        <w:spacing w:line="400" w:lineRule="exact"/>
        <w:rPr>
          <w:sz w:val="27"/>
          <w:rtl/>
        </w:rPr>
      </w:pPr>
      <w:r w:rsidRPr="00904FCB">
        <w:rPr>
          <w:rFonts w:hint="cs"/>
          <w:sz w:val="27"/>
          <w:rtl/>
        </w:rPr>
        <w:t xml:space="preserve">وعليه يمكن القول: </w:t>
      </w:r>
    </w:p>
    <w:p w:rsidR="00A45FD9" w:rsidRPr="00F03AF0" w:rsidRDefault="00A45FD9" w:rsidP="007A21AA">
      <w:pPr>
        <w:spacing w:line="400" w:lineRule="exact"/>
        <w:rPr>
          <w:sz w:val="27"/>
          <w:rtl/>
        </w:rPr>
      </w:pPr>
      <w:r w:rsidRPr="00F03AF0">
        <w:rPr>
          <w:rFonts w:hint="cs"/>
          <w:sz w:val="27"/>
          <w:rtl/>
        </w:rPr>
        <w:t xml:space="preserve">1ـ إن علمنة الدوافع الأخلاقية تعدّ من تداعيات علمنة الأفكار الأخلاقية. </w:t>
      </w:r>
    </w:p>
    <w:p w:rsidR="00A45FD9" w:rsidRPr="00F03AF0" w:rsidRDefault="00A45FD9" w:rsidP="007A21AA">
      <w:pPr>
        <w:spacing w:line="400" w:lineRule="exact"/>
        <w:rPr>
          <w:sz w:val="27"/>
          <w:rtl/>
        </w:rPr>
      </w:pPr>
      <w:r w:rsidRPr="00F03AF0">
        <w:rPr>
          <w:rFonts w:hint="cs"/>
          <w:sz w:val="27"/>
          <w:rtl/>
        </w:rPr>
        <w:t xml:space="preserve">2ـ إن علمنة الدوفع أخصّ من علمنة الأخلاق. </w:t>
      </w:r>
    </w:p>
    <w:p w:rsidR="00A45FD9" w:rsidRPr="00904FCB" w:rsidRDefault="00A45FD9" w:rsidP="007A21AA">
      <w:pPr>
        <w:spacing w:line="400" w:lineRule="exact"/>
        <w:rPr>
          <w:sz w:val="27"/>
          <w:rtl/>
        </w:rPr>
      </w:pPr>
      <w:r w:rsidRPr="00904FCB">
        <w:rPr>
          <w:rFonts w:hint="cs"/>
          <w:b/>
          <w:bCs/>
          <w:sz w:val="27"/>
          <w:rtl/>
        </w:rPr>
        <w:t>وثانياً</w:t>
      </w:r>
      <w:r w:rsidRPr="00904FCB">
        <w:rPr>
          <w:rFonts w:hint="cs"/>
          <w:sz w:val="27"/>
          <w:rtl/>
        </w:rPr>
        <w:t xml:space="preserve">: إن علمنة التفكير الأخلاقي لا يستلزم تجاهل التعاليم والأحكام الدينية على المستوى العملي، وإنما تعني أن </w:t>
      </w:r>
      <w:r w:rsidR="009E010B" w:rsidRPr="00904FCB">
        <w:rPr>
          <w:rFonts w:hint="cs"/>
          <w:sz w:val="27"/>
          <w:rtl/>
        </w:rPr>
        <w:t xml:space="preserve">أحكام </w:t>
      </w:r>
      <w:r w:rsidRPr="00904FCB">
        <w:rPr>
          <w:rFonts w:hint="cs"/>
          <w:sz w:val="27"/>
          <w:rtl/>
        </w:rPr>
        <w:t>الدين ليست حَكَماً على الأخلاق، وإن الفقه لا يمكنه أن يملأ فراغ الأخلاق، ولا يحل</w:t>
      </w:r>
      <w:r w:rsidR="009E010B" w:rsidRPr="00904FCB">
        <w:rPr>
          <w:rFonts w:hint="cs"/>
          <w:sz w:val="27"/>
          <w:rtl/>
        </w:rPr>
        <w:t>ّ</w:t>
      </w:r>
      <w:r w:rsidRPr="00904FCB">
        <w:rPr>
          <w:rFonts w:hint="cs"/>
          <w:sz w:val="27"/>
          <w:rtl/>
        </w:rPr>
        <w:t xml:space="preserve"> محل</w:t>
      </w:r>
      <w:r w:rsidR="009E010B" w:rsidRPr="00904FCB">
        <w:rPr>
          <w:rFonts w:hint="cs"/>
          <w:sz w:val="27"/>
          <w:rtl/>
        </w:rPr>
        <w:t>ّ</w:t>
      </w:r>
      <w:r w:rsidRPr="00904FCB">
        <w:rPr>
          <w:rFonts w:hint="cs"/>
          <w:sz w:val="27"/>
          <w:rtl/>
        </w:rPr>
        <w:t xml:space="preserve">ها، بل إن حكم الأخلاق هو </w:t>
      </w:r>
      <w:r w:rsidRPr="00904FCB">
        <w:rPr>
          <w:rFonts w:hint="eastAsia"/>
          <w:sz w:val="27"/>
          <w:rtl/>
        </w:rPr>
        <w:t>«</w:t>
      </w:r>
      <w:r w:rsidRPr="00904FCB">
        <w:rPr>
          <w:rFonts w:hint="cs"/>
          <w:sz w:val="27"/>
          <w:rtl/>
        </w:rPr>
        <w:t>الشاهد المثالي</w:t>
      </w:r>
      <w:r w:rsidRPr="00904FCB">
        <w:rPr>
          <w:rFonts w:hint="eastAsia"/>
          <w:sz w:val="27"/>
          <w:rtl/>
        </w:rPr>
        <w:t>»</w:t>
      </w:r>
      <w:r w:rsidR="009E010B" w:rsidRPr="00904FCB">
        <w:rPr>
          <w:rFonts w:hint="cs"/>
          <w:sz w:val="27"/>
          <w:rtl/>
        </w:rPr>
        <w:t>،</w:t>
      </w:r>
      <w:r w:rsidRPr="00904FCB">
        <w:rPr>
          <w:rFonts w:hint="cs"/>
          <w:sz w:val="27"/>
          <w:rtl/>
        </w:rPr>
        <w:t xml:space="preserve"> أو على حد تعبير الدكتور سروش</w:t>
      </w:r>
      <w:r w:rsidR="009E010B" w:rsidRPr="00904FCB">
        <w:rPr>
          <w:rFonts w:hint="cs"/>
          <w:sz w:val="27"/>
          <w:rtl/>
        </w:rPr>
        <w:t xml:space="preserve">: </w:t>
      </w:r>
      <w:r w:rsidRPr="00904FCB">
        <w:rPr>
          <w:rFonts w:hint="cs"/>
          <w:sz w:val="27"/>
          <w:rtl/>
        </w:rPr>
        <w:t xml:space="preserve">هو </w:t>
      </w:r>
      <w:r w:rsidRPr="00904FCB">
        <w:rPr>
          <w:rFonts w:hint="eastAsia"/>
          <w:sz w:val="27"/>
          <w:rtl/>
        </w:rPr>
        <w:t>«</w:t>
      </w:r>
      <w:r w:rsidRPr="00904FCB">
        <w:rPr>
          <w:rFonts w:hint="cs"/>
          <w:sz w:val="27"/>
          <w:rtl/>
        </w:rPr>
        <w:t>العقل الح</w:t>
      </w:r>
      <w:r w:rsidR="009E010B" w:rsidRPr="00904FCB">
        <w:rPr>
          <w:rFonts w:hint="cs"/>
          <w:sz w:val="27"/>
          <w:rtl/>
        </w:rPr>
        <w:t>ُ</w:t>
      </w:r>
      <w:r w:rsidRPr="00904FCB">
        <w:rPr>
          <w:rFonts w:hint="cs"/>
          <w:sz w:val="27"/>
          <w:rtl/>
        </w:rPr>
        <w:t>ر</w:t>
      </w:r>
      <w:r w:rsidR="009E010B" w:rsidRPr="00904FCB">
        <w:rPr>
          <w:rFonts w:hint="cs"/>
          <w:sz w:val="27"/>
          <w:rtl/>
        </w:rPr>
        <w:t>ّ</w:t>
      </w:r>
      <w:r w:rsidRPr="00904FCB">
        <w:rPr>
          <w:rFonts w:hint="eastAsia"/>
          <w:sz w:val="27"/>
          <w:rtl/>
        </w:rPr>
        <w:t>»</w:t>
      </w:r>
      <w:r w:rsidRPr="00904FCB">
        <w:rPr>
          <w:rFonts w:hint="cs"/>
          <w:sz w:val="27"/>
          <w:rtl/>
        </w:rPr>
        <w:t xml:space="preserve">. </w:t>
      </w:r>
    </w:p>
    <w:p w:rsidR="00A45FD9" w:rsidRPr="00904FCB" w:rsidRDefault="00A45FD9" w:rsidP="007A21AA">
      <w:pPr>
        <w:spacing w:line="400" w:lineRule="exact"/>
        <w:rPr>
          <w:sz w:val="27"/>
        </w:rPr>
      </w:pPr>
      <w:r w:rsidRPr="00904FCB">
        <w:rPr>
          <w:rFonts w:hint="cs"/>
          <w:b/>
          <w:bCs/>
          <w:sz w:val="27"/>
          <w:rtl/>
        </w:rPr>
        <w:t>وثالثاً</w:t>
      </w:r>
      <w:r w:rsidRPr="00904FCB">
        <w:rPr>
          <w:rFonts w:hint="cs"/>
          <w:sz w:val="27"/>
          <w:rtl/>
        </w:rPr>
        <w:t>: إن علمنة الدوافع لا تتنافى مع الدين والتدي</w:t>
      </w:r>
      <w:r w:rsidR="009E010B" w:rsidRPr="00904FCB">
        <w:rPr>
          <w:rFonts w:hint="cs"/>
          <w:sz w:val="27"/>
          <w:rtl/>
        </w:rPr>
        <w:t>ُّ</w:t>
      </w:r>
      <w:r w:rsidRPr="00904FCB">
        <w:rPr>
          <w:rFonts w:hint="cs"/>
          <w:sz w:val="27"/>
          <w:rtl/>
        </w:rPr>
        <w:t>ن. وإن الذي يتنافى مع الدين هو نوع</w:t>
      </w:r>
      <w:r w:rsidR="009E010B" w:rsidRPr="00904FCB">
        <w:rPr>
          <w:rFonts w:hint="cs"/>
          <w:sz w:val="27"/>
          <w:rtl/>
        </w:rPr>
        <w:t>ٌ</w:t>
      </w:r>
      <w:r w:rsidRPr="00904FCB">
        <w:rPr>
          <w:rFonts w:hint="cs"/>
          <w:sz w:val="27"/>
          <w:rtl/>
        </w:rPr>
        <w:t xml:space="preserve"> خاص</w:t>
      </w:r>
      <w:r w:rsidR="009E010B" w:rsidRPr="00904FCB">
        <w:rPr>
          <w:rFonts w:hint="cs"/>
          <w:sz w:val="27"/>
          <w:rtl/>
        </w:rPr>
        <w:t>ّ</w:t>
      </w:r>
      <w:r w:rsidRPr="00904FCB">
        <w:rPr>
          <w:rFonts w:hint="cs"/>
          <w:sz w:val="27"/>
          <w:rtl/>
        </w:rPr>
        <w:t xml:space="preserve"> من الدوافع، التي لا تنسجم حت</w:t>
      </w:r>
      <w:r w:rsidR="009E010B" w:rsidRPr="00904FCB">
        <w:rPr>
          <w:rFonts w:hint="cs"/>
          <w:sz w:val="27"/>
          <w:rtl/>
        </w:rPr>
        <w:t>ّ</w:t>
      </w:r>
      <w:r w:rsidRPr="00904FCB">
        <w:rPr>
          <w:rFonts w:hint="cs"/>
          <w:sz w:val="27"/>
          <w:rtl/>
        </w:rPr>
        <w:t>ى مع الأخلاق. تذهب الأديان الإلهية إلى اعتبار الله كائناً أخلاقياً، و</w:t>
      </w:r>
      <w:r w:rsidR="009E010B" w:rsidRPr="00904FCB">
        <w:rPr>
          <w:rFonts w:hint="cs"/>
          <w:sz w:val="27"/>
          <w:rtl/>
        </w:rPr>
        <w:t>أ</w:t>
      </w:r>
      <w:r w:rsidRPr="00904FCB">
        <w:rPr>
          <w:rFonts w:hint="cs"/>
          <w:sz w:val="27"/>
          <w:rtl/>
        </w:rPr>
        <w:t>ن فعله أخلاقي</w:t>
      </w:r>
      <w:r w:rsidR="009E010B" w:rsidRPr="00904FCB">
        <w:rPr>
          <w:rFonts w:hint="cs"/>
          <w:sz w:val="27"/>
          <w:rtl/>
        </w:rPr>
        <w:t>ّ</w:t>
      </w:r>
      <w:r w:rsidRPr="00904FCB">
        <w:rPr>
          <w:rFonts w:hint="cs"/>
          <w:sz w:val="27"/>
          <w:rtl/>
        </w:rPr>
        <w:t xml:space="preserve"> أيضاً، في حين أن دوافع الله في أفعاله لا تكون بدافع التقر</w:t>
      </w:r>
      <w:r w:rsidR="009E010B" w:rsidRPr="00904FCB">
        <w:rPr>
          <w:rFonts w:hint="cs"/>
          <w:sz w:val="27"/>
          <w:rtl/>
        </w:rPr>
        <w:t>ُّ</w:t>
      </w:r>
      <w:r w:rsidRPr="00904FCB">
        <w:rPr>
          <w:rFonts w:hint="cs"/>
          <w:sz w:val="27"/>
          <w:rtl/>
        </w:rPr>
        <w:t>ب من ذاته، أو كسب مرضاة نفسه، أو الحصول على الثواب، والخلاص من العقاب. إن للدافع والني</w:t>
      </w:r>
      <w:r w:rsidR="009E010B" w:rsidRPr="00904FCB">
        <w:rPr>
          <w:rFonts w:hint="cs"/>
          <w:sz w:val="27"/>
          <w:rtl/>
        </w:rPr>
        <w:t>ّ</w:t>
      </w:r>
      <w:r w:rsidRPr="00904FCB">
        <w:rPr>
          <w:rFonts w:hint="cs"/>
          <w:sz w:val="27"/>
          <w:rtl/>
        </w:rPr>
        <w:t>ة أنواعاً ومراتب، وإن أفضل الدوافع من زاوية الدين نفسه هي أن يأتي المرء بالعمل لمجر</w:t>
      </w:r>
      <w:r w:rsidR="009E010B" w:rsidRPr="00904FCB">
        <w:rPr>
          <w:rFonts w:hint="cs"/>
          <w:sz w:val="27"/>
          <w:rtl/>
        </w:rPr>
        <w:t>ّ</w:t>
      </w:r>
      <w:r w:rsidRPr="00904FCB">
        <w:rPr>
          <w:rFonts w:hint="cs"/>
          <w:sz w:val="27"/>
          <w:rtl/>
        </w:rPr>
        <w:t>د ات</w:t>
      </w:r>
      <w:r w:rsidR="009E010B" w:rsidRPr="00904FCB">
        <w:rPr>
          <w:rFonts w:hint="cs"/>
          <w:sz w:val="27"/>
          <w:rtl/>
        </w:rPr>
        <w:t>ّ</w:t>
      </w:r>
      <w:r w:rsidRPr="00904FCB">
        <w:rPr>
          <w:rFonts w:hint="cs"/>
          <w:sz w:val="27"/>
          <w:rtl/>
        </w:rPr>
        <w:t>صافه بالحسن</w:t>
      </w:r>
      <w:r w:rsidR="009E010B" w:rsidRPr="00904FCB">
        <w:rPr>
          <w:rFonts w:hint="cs"/>
          <w:sz w:val="27"/>
          <w:rtl/>
        </w:rPr>
        <w:t>،</w:t>
      </w:r>
      <w:r w:rsidRPr="00904FCB">
        <w:rPr>
          <w:rFonts w:hint="cs"/>
          <w:sz w:val="27"/>
          <w:rtl/>
        </w:rPr>
        <w:t xml:space="preserve"> أو لكونه تكليفاً، أو أن يترك العمل لمجر</w:t>
      </w:r>
      <w:r w:rsidR="009E010B" w:rsidRPr="00904FCB">
        <w:rPr>
          <w:rFonts w:hint="cs"/>
          <w:sz w:val="27"/>
          <w:rtl/>
        </w:rPr>
        <w:t>ّ</w:t>
      </w:r>
      <w:r w:rsidRPr="00904FCB">
        <w:rPr>
          <w:rFonts w:hint="cs"/>
          <w:sz w:val="27"/>
          <w:rtl/>
        </w:rPr>
        <w:t>د ات</w:t>
      </w:r>
      <w:r w:rsidR="009E010B" w:rsidRPr="00904FCB">
        <w:rPr>
          <w:rFonts w:hint="cs"/>
          <w:sz w:val="27"/>
          <w:rtl/>
        </w:rPr>
        <w:t>ّ</w:t>
      </w:r>
      <w:r w:rsidRPr="00904FCB">
        <w:rPr>
          <w:rFonts w:hint="cs"/>
          <w:sz w:val="27"/>
          <w:rtl/>
        </w:rPr>
        <w:t>صافه بالقبح، بمعنى أن يكون ذات الحسن وذات القبح هو المحر</w:t>
      </w:r>
      <w:r w:rsidR="009E010B" w:rsidRPr="00904FCB">
        <w:rPr>
          <w:rFonts w:hint="cs"/>
          <w:sz w:val="27"/>
          <w:rtl/>
        </w:rPr>
        <w:t>ِّ</w:t>
      </w:r>
      <w:r w:rsidRPr="00904FCB">
        <w:rPr>
          <w:rFonts w:hint="cs"/>
          <w:sz w:val="27"/>
          <w:rtl/>
        </w:rPr>
        <w:t>ك، ولا يحتاج لفعل الأمر أو تركه إلى محر</w:t>
      </w:r>
      <w:r w:rsidR="009E010B" w:rsidRPr="00904FCB">
        <w:rPr>
          <w:rFonts w:hint="cs"/>
          <w:sz w:val="27"/>
          <w:rtl/>
        </w:rPr>
        <w:t>ِّ</w:t>
      </w:r>
      <w:r w:rsidRPr="00904FCB">
        <w:rPr>
          <w:rFonts w:hint="cs"/>
          <w:sz w:val="27"/>
          <w:rtl/>
        </w:rPr>
        <w:t xml:space="preserve">ك آخر يُفرض من الخارج. يذهب فلاسفة الأخلاق الوظيفية إلى القول بأن أفضل الدوافع الأخلاقية عبارة عن </w:t>
      </w:r>
      <w:r w:rsidRPr="00904FCB">
        <w:rPr>
          <w:rFonts w:hint="eastAsia"/>
          <w:sz w:val="27"/>
          <w:rtl/>
        </w:rPr>
        <w:t>«</w:t>
      </w:r>
      <w:r w:rsidRPr="00904FCB">
        <w:rPr>
          <w:rFonts w:hint="cs"/>
          <w:sz w:val="27"/>
          <w:rtl/>
        </w:rPr>
        <w:t>الشعور بالمسؤولية</w:t>
      </w:r>
      <w:r w:rsidRPr="00904FCB">
        <w:rPr>
          <w:rFonts w:hint="eastAsia"/>
          <w:sz w:val="27"/>
          <w:rtl/>
        </w:rPr>
        <w:t>»</w:t>
      </w:r>
      <w:r w:rsidRPr="00904FCB">
        <w:rPr>
          <w:sz w:val="27"/>
          <w:vertAlign w:val="superscript"/>
          <w:rtl/>
        </w:rPr>
        <w:t>(</w:t>
      </w:r>
      <w:r w:rsidRPr="00904FCB">
        <w:rPr>
          <w:sz w:val="27"/>
          <w:vertAlign w:val="superscript"/>
          <w:rtl/>
        </w:rPr>
        <w:endnoteReference w:id="56"/>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904FCB">
        <w:rPr>
          <w:rFonts w:hint="cs"/>
          <w:sz w:val="27"/>
          <w:rtl/>
        </w:rPr>
        <w:t xml:space="preserve">إن هذا الدافع هو دافع الأحرار، وإن الأحرار ـ </w:t>
      </w:r>
      <w:r w:rsidR="002F0EB4" w:rsidRPr="00904FCB">
        <w:rPr>
          <w:rFonts w:hint="cs"/>
          <w:sz w:val="27"/>
          <w:rtl/>
        </w:rPr>
        <w:t>وفقاً</w:t>
      </w:r>
      <w:r w:rsidRPr="00904FCB">
        <w:rPr>
          <w:rFonts w:hint="cs"/>
          <w:sz w:val="27"/>
          <w:rtl/>
        </w:rPr>
        <w:t xml:space="preserve"> </w:t>
      </w:r>
      <w:r w:rsidR="002F0EB4" w:rsidRPr="00904FCB">
        <w:rPr>
          <w:rFonts w:hint="cs"/>
          <w:sz w:val="27"/>
          <w:rtl/>
        </w:rPr>
        <w:t>ل</w:t>
      </w:r>
      <w:r w:rsidRPr="00904FCB">
        <w:rPr>
          <w:rFonts w:hint="cs"/>
          <w:sz w:val="27"/>
          <w:rtl/>
        </w:rPr>
        <w:t>فلاسفة الأخلاق من أتباع مدرسة كان</w:t>
      </w:r>
      <w:r w:rsidR="00736226" w:rsidRPr="00904FCB">
        <w:rPr>
          <w:rFonts w:hint="cs"/>
          <w:sz w:val="27"/>
          <w:rtl/>
        </w:rPr>
        <w:t>ْ</w:t>
      </w:r>
      <w:r w:rsidRPr="00904FCB">
        <w:rPr>
          <w:rFonts w:hint="cs"/>
          <w:sz w:val="27"/>
          <w:rtl/>
        </w:rPr>
        <w:t>ت ـ هم العقلاء بشكل</w:t>
      </w:r>
      <w:r w:rsidR="002F0EB4" w:rsidRPr="00904FCB">
        <w:rPr>
          <w:rFonts w:hint="cs"/>
          <w:sz w:val="27"/>
          <w:rtl/>
        </w:rPr>
        <w:t>ٍ</w:t>
      </w:r>
      <w:r w:rsidRPr="00904FCB">
        <w:rPr>
          <w:rFonts w:hint="cs"/>
          <w:sz w:val="27"/>
          <w:rtl/>
        </w:rPr>
        <w:t xml:space="preserve"> كامل أو بالمقدار الكافي، وإن</w:t>
      </w:r>
      <w:r w:rsidR="002F0EB4" w:rsidRPr="00904FCB">
        <w:rPr>
          <w:rFonts w:hint="cs"/>
          <w:sz w:val="27"/>
          <w:rtl/>
        </w:rPr>
        <w:t>ّ</w:t>
      </w:r>
      <w:r w:rsidRPr="00904FCB">
        <w:rPr>
          <w:rFonts w:hint="cs"/>
          <w:sz w:val="27"/>
          <w:rtl/>
        </w:rPr>
        <w:t xml:space="preserve"> مجرد إداركهم للحسن والقبح أو الصواب والخطأ يكفي لتحريكهم نحو القيام بالعمل أو تركه. وهذا الأمر لا يتنافى مع مرضاة الله؛ لأن مرضاة الله في أن يقوم المرء بالعمل على طبق ما يحكم به عقله، وأن يقوم بالفعل الح</w:t>
      </w:r>
      <w:r w:rsidR="002F0EB4" w:rsidRPr="00904FCB">
        <w:rPr>
          <w:rFonts w:hint="cs"/>
          <w:sz w:val="27"/>
          <w:rtl/>
        </w:rPr>
        <w:t>َ</w:t>
      </w:r>
      <w:r w:rsidRPr="00904FCB">
        <w:rPr>
          <w:rFonts w:hint="cs"/>
          <w:sz w:val="27"/>
          <w:rtl/>
        </w:rPr>
        <w:t>س</w:t>
      </w:r>
      <w:r w:rsidR="002F0EB4" w:rsidRPr="00904FCB">
        <w:rPr>
          <w:rFonts w:hint="cs"/>
          <w:sz w:val="27"/>
          <w:rtl/>
        </w:rPr>
        <w:t>َ</w:t>
      </w:r>
      <w:r w:rsidRPr="00904FCB">
        <w:rPr>
          <w:rFonts w:hint="cs"/>
          <w:sz w:val="27"/>
          <w:rtl/>
        </w:rPr>
        <w:t>ن لمجر</w:t>
      </w:r>
      <w:r w:rsidR="002F0EB4" w:rsidRPr="00904FCB">
        <w:rPr>
          <w:rFonts w:hint="cs"/>
          <w:sz w:val="27"/>
          <w:rtl/>
        </w:rPr>
        <w:t>ّ</w:t>
      </w:r>
      <w:r w:rsidRPr="00904FCB">
        <w:rPr>
          <w:rFonts w:hint="cs"/>
          <w:sz w:val="27"/>
          <w:rtl/>
        </w:rPr>
        <w:t>د كونه ح</w:t>
      </w:r>
      <w:r w:rsidR="002F0EB4" w:rsidRPr="00904FCB">
        <w:rPr>
          <w:rFonts w:hint="cs"/>
          <w:sz w:val="27"/>
          <w:rtl/>
        </w:rPr>
        <w:t>َ</w:t>
      </w:r>
      <w:r w:rsidRPr="00904FCB">
        <w:rPr>
          <w:rFonts w:hint="cs"/>
          <w:sz w:val="27"/>
          <w:rtl/>
        </w:rPr>
        <w:t>س</w:t>
      </w:r>
      <w:r w:rsidR="002F0EB4" w:rsidRPr="00904FCB">
        <w:rPr>
          <w:rFonts w:hint="cs"/>
          <w:sz w:val="27"/>
          <w:rtl/>
        </w:rPr>
        <w:t>َ</w:t>
      </w:r>
      <w:r w:rsidRPr="00904FCB">
        <w:rPr>
          <w:rFonts w:hint="cs"/>
          <w:sz w:val="27"/>
          <w:rtl/>
        </w:rPr>
        <w:t xml:space="preserve">ناً، وأن يترك الفعل </w:t>
      </w:r>
      <w:r w:rsidRPr="00904FCB">
        <w:rPr>
          <w:rFonts w:hint="cs"/>
          <w:sz w:val="27"/>
          <w:rtl/>
        </w:rPr>
        <w:lastRenderedPageBreak/>
        <w:t>القبيح لمجر</w:t>
      </w:r>
      <w:r w:rsidR="002F0EB4" w:rsidRPr="00904FCB">
        <w:rPr>
          <w:rFonts w:hint="cs"/>
          <w:sz w:val="27"/>
          <w:rtl/>
        </w:rPr>
        <w:t>ّ</w:t>
      </w:r>
      <w:r w:rsidRPr="00904FCB">
        <w:rPr>
          <w:rFonts w:hint="cs"/>
          <w:sz w:val="27"/>
          <w:rtl/>
        </w:rPr>
        <w:t xml:space="preserve">د كونه قبيحاً. </w:t>
      </w:r>
    </w:p>
    <w:p w:rsidR="00A45FD9" w:rsidRPr="00904FCB" w:rsidRDefault="002F0EB4" w:rsidP="00D45852">
      <w:pPr>
        <w:spacing w:line="400" w:lineRule="exact"/>
        <w:rPr>
          <w:sz w:val="27"/>
          <w:rtl/>
          <w:lang w:bidi="ar-AE"/>
        </w:rPr>
      </w:pPr>
      <w:r w:rsidRPr="00904FCB">
        <w:rPr>
          <w:rFonts w:hint="cs"/>
          <w:b/>
          <w:bCs/>
          <w:sz w:val="27"/>
          <w:rtl/>
        </w:rPr>
        <w:t>و</w:t>
      </w:r>
      <w:r w:rsidR="00A45FD9" w:rsidRPr="00904FCB">
        <w:rPr>
          <w:rFonts w:hint="cs"/>
          <w:b/>
          <w:bCs/>
          <w:sz w:val="27"/>
          <w:rtl/>
        </w:rPr>
        <w:t>رابعاً</w:t>
      </w:r>
      <w:r w:rsidR="00A45FD9" w:rsidRPr="00904FCB">
        <w:rPr>
          <w:rFonts w:hint="cs"/>
          <w:sz w:val="27"/>
          <w:rtl/>
        </w:rPr>
        <w:t>: إن العقل الأخلاقي ـ كما سيت</w:t>
      </w:r>
      <w:r w:rsidRPr="00904FCB">
        <w:rPr>
          <w:rFonts w:hint="cs"/>
          <w:sz w:val="27"/>
          <w:rtl/>
        </w:rPr>
        <w:t>ّ</w:t>
      </w:r>
      <w:r w:rsidR="00A45FD9" w:rsidRPr="00904FCB">
        <w:rPr>
          <w:rFonts w:hint="cs"/>
          <w:sz w:val="27"/>
          <w:rtl/>
        </w:rPr>
        <w:t>ضح ـ يختلف عن العقل المصلحي والنفعي، وإن التنزّل بالعقل العملي إلى مجر</w:t>
      </w:r>
      <w:r w:rsidRPr="00904FCB">
        <w:rPr>
          <w:rFonts w:hint="cs"/>
          <w:sz w:val="27"/>
          <w:rtl/>
        </w:rPr>
        <w:t>ّ</w:t>
      </w:r>
      <w:r w:rsidR="00A45FD9" w:rsidRPr="00904FCB">
        <w:rPr>
          <w:rFonts w:hint="cs"/>
          <w:sz w:val="27"/>
          <w:rtl/>
        </w:rPr>
        <w:t>د عقل نفعي إن</w:t>
      </w:r>
      <w:r w:rsidRPr="00904FCB">
        <w:rPr>
          <w:rFonts w:hint="cs"/>
          <w:sz w:val="27"/>
          <w:rtl/>
        </w:rPr>
        <w:t>ّ</w:t>
      </w:r>
      <w:r w:rsidR="00A45FD9" w:rsidRPr="00904FCB">
        <w:rPr>
          <w:rFonts w:hint="cs"/>
          <w:sz w:val="27"/>
          <w:rtl/>
        </w:rPr>
        <w:t>ما يمث</w:t>
      </w:r>
      <w:r w:rsidRPr="00904FCB">
        <w:rPr>
          <w:rFonts w:hint="cs"/>
          <w:sz w:val="27"/>
          <w:rtl/>
        </w:rPr>
        <w:t>ِّ</w:t>
      </w:r>
      <w:r w:rsidR="00A45FD9" w:rsidRPr="00904FCB">
        <w:rPr>
          <w:rFonts w:hint="cs"/>
          <w:sz w:val="27"/>
          <w:rtl/>
        </w:rPr>
        <w:t xml:space="preserve">ل مجرد واحد من الآراء المطروحة في هذا المجال. </w:t>
      </w:r>
    </w:p>
    <w:p w:rsidR="00A45FD9" w:rsidRPr="00904FCB" w:rsidRDefault="00A45FD9" w:rsidP="00271BDF">
      <w:pPr>
        <w:spacing w:line="400" w:lineRule="exact"/>
        <w:rPr>
          <w:sz w:val="27"/>
          <w:rtl/>
        </w:rPr>
      </w:pPr>
      <w:r w:rsidRPr="00904FCB">
        <w:rPr>
          <w:rFonts w:hint="cs"/>
          <w:sz w:val="27"/>
          <w:rtl/>
        </w:rPr>
        <w:t>إلا</w:t>
      </w:r>
      <w:r w:rsidR="002F0EB4" w:rsidRPr="00904FCB">
        <w:rPr>
          <w:rFonts w:hint="cs"/>
          <w:sz w:val="27"/>
          <w:rtl/>
        </w:rPr>
        <w:t>ّ</w:t>
      </w:r>
      <w:r w:rsidRPr="00904FCB">
        <w:rPr>
          <w:rFonts w:hint="cs"/>
          <w:sz w:val="27"/>
          <w:rtl/>
        </w:rPr>
        <w:t xml:space="preserve"> أن مراد الدكتور سروش من علمنة الأفكار هو علمنة </w:t>
      </w:r>
      <w:r w:rsidRPr="00904FCB">
        <w:rPr>
          <w:rFonts w:hint="eastAsia"/>
          <w:sz w:val="27"/>
          <w:rtl/>
        </w:rPr>
        <w:t>«</w:t>
      </w:r>
      <w:r w:rsidRPr="00904FCB">
        <w:rPr>
          <w:rFonts w:hint="cs"/>
          <w:sz w:val="27"/>
          <w:rtl/>
        </w:rPr>
        <w:t>العقل النظري</w:t>
      </w:r>
      <w:r w:rsidRPr="00904FCB">
        <w:rPr>
          <w:rFonts w:hint="eastAsia"/>
          <w:sz w:val="27"/>
          <w:rtl/>
        </w:rPr>
        <w:t>»</w:t>
      </w:r>
      <w:r w:rsidR="002F0EB4" w:rsidRPr="00904FCB">
        <w:rPr>
          <w:rFonts w:hint="cs"/>
          <w:sz w:val="27"/>
          <w:rtl/>
        </w:rPr>
        <w:t>،</w:t>
      </w:r>
      <w:r w:rsidRPr="00904FCB">
        <w:rPr>
          <w:rFonts w:hint="cs"/>
          <w:sz w:val="27"/>
          <w:rtl/>
        </w:rPr>
        <w:t xml:space="preserve"> وصيرورته ع</w:t>
      </w:r>
      <w:r w:rsidR="00271BDF" w:rsidRPr="00904FCB">
        <w:rPr>
          <w:rFonts w:hint="cs"/>
          <w:sz w:val="27"/>
          <w:rtl/>
        </w:rPr>
        <w:t>ل</w:t>
      </w:r>
      <w:r w:rsidRPr="00904FCB">
        <w:rPr>
          <w:rFonts w:hint="cs"/>
          <w:sz w:val="27"/>
          <w:rtl/>
        </w:rPr>
        <w:t>مياً. وإن صيرورة العقل علمياً تعني أن لا يأتي المرء على ذكر العلل الميتافيزيقية وما وراء الطبيعي عند تفسيره وشرحه للحوادث والظواهر الطبيعية. وإن هذا الأمر</w:t>
      </w:r>
      <w:r w:rsidR="002F0EB4" w:rsidRPr="00904FCB">
        <w:rPr>
          <w:rFonts w:hint="cs"/>
          <w:sz w:val="27"/>
          <w:rtl/>
        </w:rPr>
        <w:t xml:space="preserve"> هو مقتضى الأسلوب العلمي (التجري</w:t>
      </w:r>
      <w:r w:rsidRPr="00904FCB">
        <w:rPr>
          <w:rFonts w:hint="cs"/>
          <w:sz w:val="27"/>
          <w:rtl/>
        </w:rPr>
        <w:t xml:space="preserve">بي)، ودليل على التواضع العلمي. </w:t>
      </w:r>
    </w:p>
    <w:p w:rsidR="00A45FD9" w:rsidRPr="00904FCB" w:rsidRDefault="00A45FD9" w:rsidP="007A21AA">
      <w:pPr>
        <w:spacing w:line="400" w:lineRule="exact"/>
        <w:rPr>
          <w:sz w:val="27"/>
          <w:rtl/>
        </w:rPr>
      </w:pPr>
      <w:r w:rsidRPr="00904FCB">
        <w:rPr>
          <w:rFonts w:hint="cs"/>
          <w:sz w:val="27"/>
          <w:rtl/>
        </w:rPr>
        <w:t xml:space="preserve">إن العلم التجريبي الحديث يعتبر من الناحية الأسلوبية أسلوباً </w:t>
      </w:r>
      <w:r w:rsidRPr="00904FCB">
        <w:rPr>
          <w:rFonts w:hint="eastAsia"/>
          <w:sz w:val="27"/>
          <w:rtl/>
        </w:rPr>
        <w:t>«</w:t>
      </w:r>
      <w:r w:rsidRPr="00904FCB">
        <w:rPr>
          <w:rFonts w:hint="cs"/>
          <w:sz w:val="27"/>
          <w:rtl/>
        </w:rPr>
        <w:t>ماد</w:t>
      </w:r>
      <w:r w:rsidR="002F0EB4" w:rsidRPr="00904FCB">
        <w:rPr>
          <w:rFonts w:hint="cs"/>
          <w:sz w:val="27"/>
          <w:rtl/>
        </w:rPr>
        <w:t>ّ</w:t>
      </w:r>
      <w:r w:rsidRPr="00904FCB">
        <w:rPr>
          <w:rFonts w:hint="cs"/>
          <w:sz w:val="27"/>
          <w:rtl/>
        </w:rPr>
        <w:t>ياً</w:t>
      </w:r>
      <w:r w:rsidRPr="00904FCB">
        <w:rPr>
          <w:rFonts w:hint="eastAsia"/>
          <w:sz w:val="27"/>
          <w:rtl/>
        </w:rPr>
        <w:t>»</w:t>
      </w:r>
      <w:r w:rsidRPr="00904FCB">
        <w:rPr>
          <w:rFonts w:hint="cs"/>
          <w:sz w:val="27"/>
          <w:rtl/>
        </w:rPr>
        <w:t>. وأساساً فإن الاختلاف الهام</w:t>
      </w:r>
      <w:r w:rsidR="002F0EB4" w:rsidRPr="00904FCB">
        <w:rPr>
          <w:rFonts w:hint="cs"/>
          <w:sz w:val="27"/>
          <w:rtl/>
        </w:rPr>
        <w:t>ّ</w:t>
      </w:r>
      <w:r w:rsidRPr="00904FCB">
        <w:rPr>
          <w:rFonts w:hint="cs"/>
          <w:sz w:val="27"/>
          <w:rtl/>
        </w:rPr>
        <w:t xml:space="preserve"> بين العلم التجريبي الحديث والعلم التجريبي ما قبل الحديث يكمن في هذه النقطة: إن علماء عالم ما قبل الحداثة حت</w:t>
      </w:r>
      <w:r w:rsidR="002F0EB4" w:rsidRPr="00904FCB">
        <w:rPr>
          <w:rFonts w:hint="cs"/>
          <w:sz w:val="27"/>
          <w:rtl/>
        </w:rPr>
        <w:t>ّ</w:t>
      </w:r>
      <w:r w:rsidRPr="00904FCB">
        <w:rPr>
          <w:rFonts w:hint="cs"/>
          <w:sz w:val="27"/>
          <w:rtl/>
        </w:rPr>
        <w:t xml:space="preserve">ى </w:t>
      </w:r>
      <w:r w:rsidR="002F0EB4" w:rsidRPr="00904FCB">
        <w:rPr>
          <w:rFonts w:hint="cs"/>
          <w:sz w:val="27"/>
          <w:rtl/>
        </w:rPr>
        <w:t>عندما</w:t>
      </w:r>
      <w:r w:rsidRPr="00904FCB">
        <w:rPr>
          <w:rFonts w:hint="cs"/>
          <w:sz w:val="27"/>
          <w:rtl/>
        </w:rPr>
        <w:t xml:space="preserve"> كانوا يرجعون إلى التجربة فإن</w:t>
      </w:r>
      <w:r w:rsidR="002F0EB4" w:rsidRPr="00904FCB">
        <w:rPr>
          <w:rFonts w:hint="cs"/>
          <w:sz w:val="27"/>
          <w:rtl/>
        </w:rPr>
        <w:t>هم</w:t>
      </w:r>
      <w:r w:rsidRPr="00904FCB">
        <w:rPr>
          <w:rFonts w:hint="cs"/>
          <w:sz w:val="27"/>
          <w:rtl/>
        </w:rPr>
        <w:t xml:space="preserve"> كانوا يبحثون عن </w:t>
      </w:r>
      <w:r w:rsidRPr="00904FCB">
        <w:rPr>
          <w:rFonts w:hint="eastAsia"/>
          <w:sz w:val="27"/>
          <w:rtl/>
        </w:rPr>
        <w:t>«</w:t>
      </w:r>
      <w:r w:rsidRPr="00904FCB">
        <w:rPr>
          <w:rFonts w:hint="cs"/>
          <w:sz w:val="27"/>
          <w:rtl/>
        </w:rPr>
        <w:t>العلل الغائية</w:t>
      </w:r>
      <w:r w:rsidRPr="00904FCB">
        <w:rPr>
          <w:rFonts w:hint="eastAsia"/>
          <w:sz w:val="27"/>
          <w:rtl/>
        </w:rPr>
        <w:t>»</w:t>
      </w:r>
      <w:r w:rsidR="002F0EB4" w:rsidRPr="00904FCB">
        <w:rPr>
          <w:rFonts w:hint="cs"/>
          <w:sz w:val="27"/>
          <w:rtl/>
        </w:rPr>
        <w:t>،</w:t>
      </w:r>
      <w:r w:rsidRPr="00904FCB">
        <w:rPr>
          <w:rFonts w:hint="cs"/>
          <w:sz w:val="27"/>
          <w:rtl/>
        </w:rPr>
        <w:t xml:space="preserve"> وليس عن </w:t>
      </w:r>
      <w:r w:rsidRPr="00904FCB">
        <w:rPr>
          <w:rFonts w:hint="eastAsia"/>
          <w:sz w:val="27"/>
          <w:rtl/>
        </w:rPr>
        <w:t>«</w:t>
      </w:r>
      <w:r w:rsidRPr="00904FCB">
        <w:rPr>
          <w:rFonts w:hint="cs"/>
          <w:sz w:val="27"/>
          <w:rtl/>
        </w:rPr>
        <w:t>العلل الإعدادية</w:t>
      </w:r>
      <w:r w:rsidRPr="00904FCB">
        <w:rPr>
          <w:rFonts w:hint="eastAsia"/>
          <w:sz w:val="27"/>
          <w:rtl/>
        </w:rPr>
        <w:t>»</w:t>
      </w:r>
      <w:r w:rsidRPr="00904FCB">
        <w:rPr>
          <w:rFonts w:hint="cs"/>
          <w:sz w:val="27"/>
          <w:rtl/>
        </w:rPr>
        <w:t>، وإن التفسير الذي تقد</w:t>
      </w:r>
      <w:r w:rsidR="002F0EB4" w:rsidRPr="00904FCB">
        <w:rPr>
          <w:rFonts w:hint="cs"/>
          <w:sz w:val="27"/>
          <w:rtl/>
        </w:rPr>
        <w:t>ِّ</w:t>
      </w:r>
      <w:r w:rsidRPr="00904FCB">
        <w:rPr>
          <w:rFonts w:hint="cs"/>
          <w:sz w:val="27"/>
          <w:rtl/>
        </w:rPr>
        <w:t xml:space="preserve">مه عن الظواهر الطبيعية كان تفسيراً </w:t>
      </w:r>
      <w:r w:rsidRPr="00904FCB">
        <w:rPr>
          <w:rFonts w:hint="eastAsia"/>
          <w:sz w:val="27"/>
          <w:rtl/>
        </w:rPr>
        <w:t>«</w:t>
      </w:r>
      <w:r w:rsidRPr="00904FCB">
        <w:rPr>
          <w:rFonts w:hint="cs"/>
          <w:sz w:val="27"/>
          <w:rtl/>
        </w:rPr>
        <w:t>طبعياً</w:t>
      </w:r>
      <w:r w:rsidRPr="00904FCB">
        <w:rPr>
          <w:rFonts w:hint="eastAsia"/>
          <w:sz w:val="27"/>
          <w:rtl/>
        </w:rPr>
        <w:t>»</w:t>
      </w:r>
      <w:r w:rsidRPr="00904FCB">
        <w:rPr>
          <w:rFonts w:hint="cs"/>
          <w:sz w:val="27"/>
          <w:rtl/>
        </w:rPr>
        <w:t xml:space="preserve">، وليس تفسيراً </w:t>
      </w:r>
      <w:r w:rsidRPr="00904FCB">
        <w:rPr>
          <w:rFonts w:hint="eastAsia"/>
          <w:sz w:val="27"/>
          <w:rtl/>
        </w:rPr>
        <w:t>«</w:t>
      </w:r>
      <w:r w:rsidRPr="00904FCB">
        <w:rPr>
          <w:rFonts w:hint="cs"/>
          <w:sz w:val="27"/>
          <w:rtl/>
        </w:rPr>
        <w:t>ق</w:t>
      </w:r>
      <w:r w:rsidR="002F0EB4" w:rsidRPr="00904FCB">
        <w:rPr>
          <w:rFonts w:hint="cs"/>
          <w:sz w:val="27"/>
          <w:rtl/>
        </w:rPr>
        <w:t>َ</w:t>
      </w:r>
      <w:r w:rsidRPr="00904FCB">
        <w:rPr>
          <w:rFonts w:hint="cs"/>
          <w:sz w:val="27"/>
          <w:rtl/>
        </w:rPr>
        <w:t>س</w:t>
      </w:r>
      <w:r w:rsidR="002F0EB4" w:rsidRPr="00904FCB">
        <w:rPr>
          <w:rFonts w:hint="cs"/>
          <w:sz w:val="27"/>
          <w:rtl/>
        </w:rPr>
        <w:t>ْ</w:t>
      </w:r>
      <w:r w:rsidRPr="00904FCB">
        <w:rPr>
          <w:rFonts w:hint="cs"/>
          <w:sz w:val="27"/>
          <w:rtl/>
        </w:rPr>
        <w:t>رياً</w:t>
      </w:r>
      <w:r w:rsidRPr="00904FCB">
        <w:rPr>
          <w:rFonts w:hint="eastAsia"/>
          <w:sz w:val="27"/>
          <w:rtl/>
        </w:rPr>
        <w:t>»</w:t>
      </w:r>
      <w:r w:rsidR="002F0EB4" w:rsidRPr="00904FCB">
        <w:rPr>
          <w:rFonts w:hint="cs"/>
          <w:sz w:val="27"/>
          <w:rtl/>
        </w:rPr>
        <w:t>،</w:t>
      </w:r>
      <w:r w:rsidRPr="00904FCB">
        <w:rPr>
          <w:rFonts w:hint="cs"/>
          <w:sz w:val="27"/>
          <w:rtl/>
        </w:rPr>
        <w:t xml:space="preserve"> بمعنى أن الذي كان يتمّ في ذلك العلم هو تفسير الحوادث والظواهر من خلال إرجاعها إلى </w:t>
      </w:r>
      <w:r w:rsidRPr="00904FCB">
        <w:rPr>
          <w:rFonts w:hint="eastAsia"/>
          <w:sz w:val="27"/>
          <w:rtl/>
        </w:rPr>
        <w:t>«</w:t>
      </w:r>
      <w:r w:rsidRPr="00904FCB">
        <w:rPr>
          <w:rFonts w:hint="cs"/>
          <w:sz w:val="27"/>
          <w:rtl/>
        </w:rPr>
        <w:t>الطبع</w:t>
      </w:r>
      <w:r w:rsidRPr="00904FCB">
        <w:rPr>
          <w:rFonts w:hint="eastAsia"/>
          <w:sz w:val="27"/>
          <w:rtl/>
        </w:rPr>
        <w:t>»</w:t>
      </w:r>
      <w:r w:rsidRPr="00904FCB">
        <w:rPr>
          <w:rFonts w:hint="cs"/>
          <w:sz w:val="27"/>
          <w:rtl/>
        </w:rPr>
        <w:t xml:space="preserve"> والأداء والغاية أو الموقع الطبيعي للأنواع الطبيعية، وليس من خلال الإرجاع إلى العلل الخارجية والق</w:t>
      </w:r>
      <w:r w:rsidR="002F0EB4" w:rsidRPr="00904FCB">
        <w:rPr>
          <w:rFonts w:hint="cs"/>
          <w:sz w:val="27"/>
          <w:rtl/>
        </w:rPr>
        <w:t>َ</w:t>
      </w:r>
      <w:r w:rsidRPr="00904FCB">
        <w:rPr>
          <w:rFonts w:hint="cs"/>
          <w:sz w:val="27"/>
          <w:rtl/>
        </w:rPr>
        <w:t>س</w:t>
      </w:r>
      <w:r w:rsidR="002F0EB4" w:rsidRPr="00904FCB">
        <w:rPr>
          <w:rFonts w:hint="cs"/>
          <w:sz w:val="27"/>
          <w:rtl/>
        </w:rPr>
        <w:t>ْ</w:t>
      </w:r>
      <w:r w:rsidRPr="00904FCB">
        <w:rPr>
          <w:rFonts w:hint="cs"/>
          <w:sz w:val="27"/>
          <w:rtl/>
        </w:rPr>
        <w:t>رية (الإعدادية) لتلك الحوادث والظواهر. وأما في العلم الحديث فقد حل</w:t>
      </w:r>
      <w:r w:rsidR="002F0EB4" w:rsidRPr="00904FCB">
        <w:rPr>
          <w:rFonts w:hint="cs"/>
          <w:sz w:val="27"/>
          <w:rtl/>
        </w:rPr>
        <w:t>ّ</w:t>
      </w:r>
      <w:r w:rsidRPr="00904FCB">
        <w:rPr>
          <w:rFonts w:hint="cs"/>
          <w:sz w:val="27"/>
          <w:rtl/>
        </w:rPr>
        <w:t xml:space="preserve"> السؤال عن </w:t>
      </w:r>
      <w:r w:rsidRPr="00904FCB">
        <w:rPr>
          <w:rFonts w:hint="eastAsia"/>
          <w:sz w:val="27"/>
          <w:rtl/>
        </w:rPr>
        <w:t>«</w:t>
      </w:r>
      <w:r w:rsidRPr="00904FCB">
        <w:rPr>
          <w:rFonts w:hint="cs"/>
          <w:sz w:val="27"/>
          <w:rtl/>
        </w:rPr>
        <w:t>الكيفية</w:t>
      </w:r>
      <w:r w:rsidRPr="00904FCB">
        <w:rPr>
          <w:rFonts w:hint="eastAsia"/>
          <w:sz w:val="27"/>
          <w:rtl/>
        </w:rPr>
        <w:t>»</w:t>
      </w:r>
      <w:r w:rsidRPr="00904FCB">
        <w:rPr>
          <w:rFonts w:hint="cs"/>
          <w:sz w:val="27"/>
          <w:rtl/>
        </w:rPr>
        <w:t xml:space="preserve"> محل</w:t>
      </w:r>
      <w:r w:rsidR="002F0EB4" w:rsidRPr="00904FCB">
        <w:rPr>
          <w:rFonts w:hint="cs"/>
          <w:sz w:val="27"/>
          <w:rtl/>
        </w:rPr>
        <w:t>ّ</w:t>
      </w:r>
      <w:r w:rsidRPr="00904FCB">
        <w:rPr>
          <w:rFonts w:hint="cs"/>
          <w:sz w:val="27"/>
          <w:rtl/>
        </w:rPr>
        <w:t xml:space="preserve"> السؤال عن </w:t>
      </w:r>
      <w:r w:rsidRPr="00904FCB">
        <w:rPr>
          <w:rFonts w:hint="eastAsia"/>
          <w:sz w:val="27"/>
          <w:rtl/>
        </w:rPr>
        <w:t>«</w:t>
      </w:r>
      <w:r w:rsidRPr="00904FCB">
        <w:rPr>
          <w:rFonts w:hint="cs"/>
          <w:sz w:val="27"/>
          <w:rtl/>
        </w:rPr>
        <w:t>الأسباب</w:t>
      </w:r>
      <w:r w:rsidRPr="00904FCB">
        <w:rPr>
          <w:rFonts w:hint="eastAsia"/>
          <w:sz w:val="27"/>
          <w:rtl/>
        </w:rPr>
        <w:t>»</w:t>
      </w:r>
      <w:r w:rsidRPr="00904FCB">
        <w:rPr>
          <w:rFonts w:hint="cs"/>
          <w:sz w:val="27"/>
          <w:rtl/>
        </w:rPr>
        <w:t>، وصار تفسير الظواهر الطبيعية يتم</w:t>
      </w:r>
      <w:r w:rsidR="002F0EB4" w:rsidRPr="00904FCB">
        <w:rPr>
          <w:rFonts w:hint="cs"/>
          <w:sz w:val="27"/>
          <w:rtl/>
        </w:rPr>
        <w:t>ّ</w:t>
      </w:r>
      <w:r w:rsidRPr="00904FCB">
        <w:rPr>
          <w:rFonts w:hint="cs"/>
          <w:sz w:val="27"/>
          <w:rtl/>
        </w:rPr>
        <w:t xml:space="preserve"> من خلال مجر</w:t>
      </w:r>
      <w:r w:rsidR="002F0EB4" w:rsidRPr="00904FCB">
        <w:rPr>
          <w:rFonts w:hint="cs"/>
          <w:sz w:val="27"/>
          <w:rtl/>
        </w:rPr>
        <w:t>ّ</w:t>
      </w:r>
      <w:r w:rsidRPr="00904FCB">
        <w:rPr>
          <w:rFonts w:hint="cs"/>
          <w:sz w:val="27"/>
          <w:rtl/>
        </w:rPr>
        <w:t>د إرجاعها إلى عللها الإعدادية، وهي العلل التي تكون من جنس الحوادث والظواهر الطبيعية</w:t>
      </w:r>
      <w:r w:rsidR="002F0EB4" w:rsidRPr="00904FCB">
        <w:rPr>
          <w:rFonts w:hint="cs"/>
          <w:sz w:val="27"/>
          <w:rtl/>
        </w:rPr>
        <w:t>،</w:t>
      </w:r>
      <w:r w:rsidRPr="00904FCB">
        <w:rPr>
          <w:rFonts w:hint="cs"/>
          <w:sz w:val="27"/>
          <w:rtl/>
        </w:rPr>
        <w:t xml:space="preserve"> والتي يمكن إخضاعها للتجربة الحس</w:t>
      </w:r>
      <w:r w:rsidR="002F0EB4" w:rsidRPr="00904FCB">
        <w:rPr>
          <w:rFonts w:hint="cs"/>
          <w:sz w:val="27"/>
          <w:rtl/>
        </w:rPr>
        <w:t>ّ</w:t>
      </w:r>
      <w:r w:rsidRPr="00904FCB">
        <w:rPr>
          <w:rFonts w:hint="cs"/>
          <w:sz w:val="27"/>
          <w:rtl/>
        </w:rPr>
        <w:t>ية بشكل</w:t>
      </w:r>
      <w:r w:rsidR="002F0EB4" w:rsidRPr="00904FCB">
        <w:rPr>
          <w:rFonts w:hint="cs"/>
          <w:sz w:val="27"/>
          <w:rtl/>
        </w:rPr>
        <w:t>ٍ</w:t>
      </w:r>
      <w:r w:rsidRPr="00904FCB">
        <w:rPr>
          <w:rFonts w:hint="cs"/>
          <w:sz w:val="27"/>
          <w:rtl/>
        </w:rPr>
        <w:t xml:space="preserve"> مباشر أو غير مباشر. </w:t>
      </w:r>
    </w:p>
    <w:p w:rsidR="00A45FD9" w:rsidRPr="00904FCB" w:rsidRDefault="009826D3" w:rsidP="007A21AA">
      <w:pPr>
        <w:spacing w:line="400" w:lineRule="exact"/>
        <w:rPr>
          <w:sz w:val="27"/>
          <w:rtl/>
        </w:rPr>
      </w:pPr>
      <w:r w:rsidRPr="00904FCB">
        <w:rPr>
          <w:rFonts w:hint="cs"/>
          <w:sz w:val="27"/>
          <w:rtl/>
        </w:rPr>
        <w:t>و</w:t>
      </w:r>
      <w:r w:rsidR="00A45FD9" w:rsidRPr="00904FCB">
        <w:rPr>
          <w:rFonts w:hint="cs"/>
          <w:sz w:val="27"/>
          <w:rtl/>
        </w:rPr>
        <w:t>من أهم</w:t>
      </w:r>
      <w:r w:rsidR="002F0EB4" w:rsidRPr="00904FCB">
        <w:rPr>
          <w:rFonts w:hint="cs"/>
          <w:sz w:val="27"/>
          <w:rtl/>
        </w:rPr>
        <w:t>ّ</w:t>
      </w:r>
      <w:r w:rsidR="00A45FD9" w:rsidRPr="00904FCB">
        <w:rPr>
          <w:rFonts w:hint="cs"/>
          <w:sz w:val="27"/>
          <w:rtl/>
        </w:rPr>
        <w:t xml:space="preserve"> مسل</w:t>
      </w:r>
      <w:r w:rsidR="002F0EB4" w:rsidRPr="00904FCB">
        <w:rPr>
          <w:rFonts w:hint="cs"/>
          <w:sz w:val="27"/>
          <w:rtl/>
        </w:rPr>
        <w:t>َّ</w:t>
      </w:r>
      <w:r w:rsidR="00A45FD9" w:rsidRPr="00904FCB">
        <w:rPr>
          <w:rFonts w:hint="cs"/>
          <w:sz w:val="27"/>
          <w:rtl/>
        </w:rPr>
        <w:t xml:space="preserve">مات الأسلوب العلمي: </w:t>
      </w:r>
    </w:p>
    <w:p w:rsidR="00A45FD9" w:rsidRPr="00F03AF0" w:rsidRDefault="00A45FD9" w:rsidP="007A21AA">
      <w:pPr>
        <w:spacing w:line="400" w:lineRule="exact"/>
        <w:rPr>
          <w:sz w:val="27"/>
          <w:rtl/>
        </w:rPr>
      </w:pPr>
      <w:r w:rsidRPr="00F03AF0">
        <w:rPr>
          <w:rFonts w:hint="cs"/>
          <w:sz w:val="27"/>
          <w:rtl/>
        </w:rPr>
        <w:t xml:space="preserve">1ـ </w:t>
      </w:r>
      <w:r w:rsidR="009826D3" w:rsidRPr="00F03AF0">
        <w:rPr>
          <w:rFonts w:hint="cs"/>
          <w:sz w:val="27"/>
          <w:rtl/>
        </w:rPr>
        <w:t>أ</w:t>
      </w:r>
      <w:r w:rsidRPr="00F03AF0">
        <w:rPr>
          <w:rFonts w:hint="cs"/>
          <w:sz w:val="27"/>
          <w:rtl/>
        </w:rPr>
        <w:t xml:space="preserve">ن مساحة البحث العلمي تنحصر بـ </w:t>
      </w:r>
      <w:r w:rsidRPr="00F03AF0">
        <w:rPr>
          <w:rFonts w:hint="eastAsia"/>
          <w:sz w:val="27"/>
          <w:rtl/>
        </w:rPr>
        <w:t>«</w:t>
      </w:r>
      <w:r w:rsidRPr="00F03AF0">
        <w:rPr>
          <w:rFonts w:hint="cs"/>
          <w:sz w:val="27"/>
          <w:rtl/>
        </w:rPr>
        <w:t>الطبيعة</w:t>
      </w:r>
      <w:r w:rsidRPr="00F03AF0">
        <w:rPr>
          <w:rFonts w:hint="eastAsia"/>
          <w:sz w:val="27"/>
          <w:rtl/>
        </w:rPr>
        <w:t>»</w:t>
      </w:r>
      <w:r w:rsidRPr="00F03AF0">
        <w:rPr>
          <w:rFonts w:hint="cs"/>
          <w:sz w:val="27"/>
          <w:rtl/>
        </w:rPr>
        <w:t xml:space="preserve">. </w:t>
      </w:r>
    </w:p>
    <w:p w:rsidR="00A45FD9" w:rsidRPr="00904FCB" w:rsidRDefault="00A45FD9" w:rsidP="007A21AA">
      <w:pPr>
        <w:spacing w:line="400" w:lineRule="exact"/>
        <w:rPr>
          <w:sz w:val="27"/>
          <w:rtl/>
        </w:rPr>
      </w:pPr>
      <w:r w:rsidRPr="00F03AF0">
        <w:rPr>
          <w:rFonts w:hint="cs"/>
          <w:sz w:val="27"/>
          <w:rtl/>
        </w:rPr>
        <w:t xml:space="preserve">2ـ </w:t>
      </w:r>
      <w:r w:rsidR="009826D3" w:rsidRPr="00F03AF0">
        <w:rPr>
          <w:rFonts w:hint="cs"/>
          <w:sz w:val="27"/>
          <w:rtl/>
        </w:rPr>
        <w:t>أ</w:t>
      </w:r>
      <w:r w:rsidRPr="00F03AF0">
        <w:rPr>
          <w:rFonts w:hint="cs"/>
          <w:sz w:val="27"/>
          <w:rtl/>
        </w:rPr>
        <w:t>ن لكل</w:t>
      </w:r>
      <w:r w:rsidR="009826D3" w:rsidRPr="00F03AF0">
        <w:rPr>
          <w:rFonts w:hint="cs"/>
          <w:sz w:val="27"/>
          <w:rtl/>
        </w:rPr>
        <w:t>ّ</w:t>
      </w:r>
      <w:r w:rsidRPr="00F03AF0">
        <w:rPr>
          <w:rFonts w:hint="cs"/>
          <w:sz w:val="27"/>
          <w:rtl/>
        </w:rPr>
        <w:t xml:space="preserve"> حادثة وظاهرة طبيعية علّة </w:t>
      </w:r>
      <w:r w:rsidRPr="00F03AF0">
        <w:rPr>
          <w:rFonts w:hint="eastAsia"/>
          <w:sz w:val="27"/>
          <w:rtl/>
        </w:rPr>
        <w:t>«</w:t>
      </w:r>
      <w:r w:rsidRPr="00F03AF0">
        <w:rPr>
          <w:rFonts w:hint="cs"/>
          <w:sz w:val="27"/>
          <w:rtl/>
        </w:rPr>
        <w:t>طبيعية</w:t>
      </w:r>
      <w:r w:rsidRPr="00F03AF0">
        <w:rPr>
          <w:rFonts w:hint="eastAsia"/>
          <w:sz w:val="27"/>
          <w:rtl/>
        </w:rPr>
        <w:t>»</w:t>
      </w:r>
      <w:r w:rsidRPr="00F03AF0">
        <w:rPr>
          <w:rFonts w:hint="cs"/>
          <w:sz w:val="27"/>
          <w:rtl/>
        </w:rPr>
        <w:t>، وإن اكتشافها يعتبر غاية</w:t>
      </w:r>
      <w:r w:rsidRPr="00904FCB">
        <w:rPr>
          <w:rFonts w:hint="cs"/>
          <w:sz w:val="27"/>
          <w:rtl/>
        </w:rPr>
        <w:t xml:space="preserve"> للعلم التجريبي. </w:t>
      </w:r>
    </w:p>
    <w:p w:rsidR="00A45FD9" w:rsidRPr="00904FCB" w:rsidRDefault="00A45FD9" w:rsidP="007A21AA">
      <w:pPr>
        <w:spacing w:line="400" w:lineRule="exact"/>
        <w:rPr>
          <w:sz w:val="27"/>
          <w:rtl/>
        </w:rPr>
      </w:pPr>
      <w:r w:rsidRPr="00904FCB">
        <w:rPr>
          <w:rFonts w:hint="cs"/>
          <w:sz w:val="27"/>
          <w:rtl/>
        </w:rPr>
        <w:t xml:space="preserve">إن العلم التجريبي الحديث </w:t>
      </w:r>
      <w:r w:rsidRPr="00904FCB">
        <w:rPr>
          <w:rFonts w:hint="eastAsia"/>
          <w:sz w:val="27"/>
          <w:rtl/>
        </w:rPr>
        <w:t>«</w:t>
      </w:r>
      <w:r w:rsidRPr="00904FCB">
        <w:rPr>
          <w:rFonts w:hint="cs"/>
          <w:sz w:val="27"/>
          <w:rtl/>
        </w:rPr>
        <w:t>العلماني</w:t>
      </w:r>
      <w:r w:rsidRPr="00904FCB">
        <w:rPr>
          <w:rFonts w:hint="eastAsia"/>
          <w:sz w:val="27"/>
          <w:rtl/>
        </w:rPr>
        <w:t>»</w:t>
      </w:r>
      <w:r w:rsidRPr="00904FCB">
        <w:rPr>
          <w:rFonts w:hint="cs"/>
          <w:sz w:val="27"/>
          <w:rtl/>
        </w:rPr>
        <w:t xml:space="preserve"> يعني </w:t>
      </w:r>
      <w:r w:rsidRPr="00904FCB">
        <w:rPr>
          <w:rFonts w:hint="eastAsia"/>
          <w:sz w:val="27"/>
          <w:rtl/>
        </w:rPr>
        <w:t>«</w:t>
      </w:r>
      <w:r w:rsidRPr="00904FCB">
        <w:rPr>
          <w:rFonts w:hint="cs"/>
          <w:sz w:val="27"/>
          <w:rtl/>
        </w:rPr>
        <w:t>ما بعد الديني</w:t>
      </w:r>
      <w:r w:rsidRPr="00904FCB">
        <w:rPr>
          <w:rFonts w:hint="eastAsia"/>
          <w:sz w:val="27"/>
          <w:rtl/>
        </w:rPr>
        <w:t>»</w:t>
      </w:r>
      <w:r w:rsidRPr="00904FCB">
        <w:rPr>
          <w:rFonts w:hint="cs"/>
          <w:sz w:val="27"/>
          <w:rtl/>
        </w:rPr>
        <w:t>، وهو ساكت و</w:t>
      </w:r>
      <w:r w:rsidRPr="00904FCB">
        <w:rPr>
          <w:rFonts w:hint="eastAsia"/>
          <w:sz w:val="27"/>
          <w:rtl/>
        </w:rPr>
        <w:t>«</w:t>
      </w:r>
      <w:r w:rsidRPr="00904FCB">
        <w:rPr>
          <w:rFonts w:hint="cs"/>
          <w:sz w:val="27"/>
          <w:rtl/>
        </w:rPr>
        <w:t>حيادي</w:t>
      </w:r>
      <w:r w:rsidRPr="00904FCB">
        <w:rPr>
          <w:rFonts w:hint="eastAsia"/>
          <w:sz w:val="27"/>
          <w:rtl/>
        </w:rPr>
        <w:t>»</w:t>
      </w:r>
      <w:r w:rsidRPr="00904FCB">
        <w:rPr>
          <w:rFonts w:hint="cs"/>
          <w:sz w:val="27"/>
          <w:rtl/>
        </w:rPr>
        <w:t xml:space="preserve"> تجاه وجود ما وراء الطبيعة والأمور الميتافيزيقية، وتدخ</w:t>
      </w:r>
      <w:r w:rsidR="009826D3" w:rsidRPr="00904FCB">
        <w:rPr>
          <w:rFonts w:hint="cs"/>
          <w:sz w:val="27"/>
          <w:rtl/>
        </w:rPr>
        <w:t>ُّ</w:t>
      </w:r>
      <w:r w:rsidRPr="00904FCB">
        <w:rPr>
          <w:rFonts w:hint="cs"/>
          <w:sz w:val="27"/>
          <w:rtl/>
        </w:rPr>
        <w:t>لها في الطبيعة</w:t>
      </w:r>
      <w:r w:rsidR="009826D3" w:rsidRPr="00904FCB">
        <w:rPr>
          <w:rFonts w:hint="cs"/>
          <w:sz w:val="27"/>
          <w:rtl/>
        </w:rPr>
        <w:t>.</w:t>
      </w:r>
      <w:r w:rsidRPr="00904FCB">
        <w:rPr>
          <w:rFonts w:hint="cs"/>
          <w:sz w:val="27"/>
          <w:rtl/>
        </w:rPr>
        <w:t xml:space="preserve"> وهذا </w:t>
      </w:r>
      <w:r w:rsidRPr="00904FCB">
        <w:rPr>
          <w:rFonts w:hint="cs"/>
          <w:sz w:val="27"/>
          <w:rtl/>
        </w:rPr>
        <w:lastRenderedPageBreak/>
        <w:t>يُشك</w:t>
      </w:r>
      <w:r w:rsidR="009826D3" w:rsidRPr="00904FCB">
        <w:rPr>
          <w:rFonts w:hint="cs"/>
          <w:sz w:val="27"/>
          <w:rtl/>
        </w:rPr>
        <w:t>ّ</w:t>
      </w:r>
      <w:r w:rsidRPr="00904FCB">
        <w:rPr>
          <w:rFonts w:hint="cs"/>
          <w:sz w:val="27"/>
          <w:rtl/>
        </w:rPr>
        <w:t>ل أهم</w:t>
      </w:r>
      <w:r w:rsidR="009826D3" w:rsidRPr="00904FCB">
        <w:rPr>
          <w:rFonts w:hint="cs"/>
          <w:sz w:val="27"/>
          <w:rtl/>
        </w:rPr>
        <w:t>ّ</w:t>
      </w:r>
      <w:r w:rsidRPr="00904FCB">
        <w:rPr>
          <w:rFonts w:hint="cs"/>
          <w:sz w:val="27"/>
          <w:rtl/>
        </w:rPr>
        <w:t xml:space="preserve"> تفاوت بين المادية أو النزعة الطبيعية </w:t>
      </w:r>
      <w:r w:rsidRPr="00904FCB">
        <w:rPr>
          <w:rFonts w:hint="eastAsia"/>
          <w:sz w:val="27"/>
          <w:rtl/>
        </w:rPr>
        <w:t>«</w:t>
      </w:r>
      <w:r w:rsidRPr="00904FCB">
        <w:rPr>
          <w:rFonts w:hint="cs"/>
          <w:sz w:val="27"/>
          <w:rtl/>
        </w:rPr>
        <w:t>الأسلوبية</w:t>
      </w:r>
      <w:r w:rsidRPr="00904FCB">
        <w:rPr>
          <w:rFonts w:hint="eastAsia"/>
          <w:sz w:val="27"/>
          <w:rtl/>
        </w:rPr>
        <w:t>»</w:t>
      </w:r>
      <w:r w:rsidRPr="00904FCB">
        <w:rPr>
          <w:sz w:val="27"/>
          <w:vertAlign w:val="superscript"/>
          <w:rtl/>
        </w:rPr>
        <w:t>(</w:t>
      </w:r>
      <w:r w:rsidRPr="00904FCB">
        <w:rPr>
          <w:sz w:val="27"/>
          <w:vertAlign w:val="superscript"/>
          <w:rtl/>
        </w:rPr>
        <w:endnoteReference w:id="57"/>
      </w:r>
      <w:r w:rsidRPr="00904FCB">
        <w:rPr>
          <w:sz w:val="27"/>
          <w:vertAlign w:val="superscript"/>
          <w:rtl/>
        </w:rPr>
        <w:t>)</w:t>
      </w:r>
      <w:r w:rsidRPr="00904FCB">
        <w:rPr>
          <w:rFonts w:hint="cs"/>
          <w:sz w:val="27"/>
          <w:rtl/>
        </w:rPr>
        <w:t xml:space="preserve"> وبين المادية أو النزعة الطبيعية </w:t>
      </w:r>
      <w:r w:rsidRPr="00904FCB">
        <w:rPr>
          <w:rFonts w:hint="eastAsia"/>
          <w:sz w:val="27"/>
          <w:rtl/>
        </w:rPr>
        <w:t>«</w:t>
      </w:r>
      <w:r w:rsidRPr="00904FCB">
        <w:rPr>
          <w:rFonts w:hint="cs"/>
          <w:sz w:val="27"/>
          <w:rtl/>
        </w:rPr>
        <w:t>الماهوية</w:t>
      </w:r>
      <w:r w:rsidRPr="00904FCB">
        <w:rPr>
          <w:rFonts w:hint="eastAsia"/>
          <w:sz w:val="27"/>
          <w:rtl/>
        </w:rPr>
        <w:t>»</w:t>
      </w:r>
      <w:r w:rsidRPr="00904FCB">
        <w:rPr>
          <w:sz w:val="27"/>
          <w:vertAlign w:val="superscript"/>
          <w:rtl/>
        </w:rPr>
        <w:t>(</w:t>
      </w:r>
      <w:r w:rsidRPr="00904FCB">
        <w:rPr>
          <w:sz w:val="27"/>
          <w:vertAlign w:val="superscript"/>
          <w:rtl/>
        </w:rPr>
        <w:endnoteReference w:id="58"/>
      </w:r>
      <w:r w:rsidRPr="00904FCB">
        <w:rPr>
          <w:sz w:val="27"/>
          <w:vertAlign w:val="superscript"/>
          <w:rtl/>
        </w:rPr>
        <w:t>)</w:t>
      </w:r>
      <w:r w:rsidRPr="00904FCB">
        <w:rPr>
          <w:rFonts w:hint="cs"/>
          <w:sz w:val="27"/>
          <w:rtl/>
        </w:rPr>
        <w:t>. إن المادية الماهوية نظرية فلسفية وميتافيزيقية في حقل الوجود يعتبر على أساسها عالم الوجود مساوياً ومساوقاً لعالم المادة والطبيعة. وبطبيعة الحال يذهب الماديون الماهويون إلى القول بأن هذه النظرية الفلسفية تحظى بدعامة</w:t>
      </w:r>
      <w:r w:rsidR="009826D3" w:rsidRPr="00904FCB">
        <w:rPr>
          <w:rFonts w:hint="cs"/>
          <w:sz w:val="27"/>
          <w:rtl/>
        </w:rPr>
        <w:t>ٍ</w:t>
      </w:r>
      <w:r w:rsidRPr="00904FCB">
        <w:rPr>
          <w:rFonts w:hint="cs"/>
          <w:sz w:val="27"/>
          <w:rtl/>
        </w:rPr>
        <w:t xml:space="preserve"> علمية، ب</w:t>
      </w:r>
      <w:r w:rsidR="009826D3" w:rsidRPr="00904FCB">
        <w:rPr>
          <w:rFonts w:hint="cs"/>
          <w:sz w:val="27"/>
          <w:rtl/>
        </w:rPr>
        <w:t>َ</w:t>
      </w:r>
      <w:r w:rsidRPr="00904FCB">
        <w:rPr>
          <w:rFonts w:hint="cs"/>
          <w:sz w:val="27"/>
          <w:rtl/>
        </w:rPr>
        <w:t>ي</w:t>
      </w:r>
      <w:r w:rsidR="009826D3" w:rsidRPr="00904FCB">
        <w:rPr>
          <w:rFonts w:hint="cs"/>
          <w:sz w:val="27"/>
          <w:rtl/>
        </w:rPr>
        <w:t>ْ</w:t>
      </w:r>
      <w:r w:rsidRPr="00904FCB">
        <w:rPr>
          <w:rFonts w:hint="cs"/>
          <w:sz w:val="27"/>
          <w:rtl/>
        </w:rPr>
        <w:t>د</w:t>
      </w:r>
      <w:r w:rsidR="009826D3" w:rsidRPr="00904FCB">
        <w:rPr>
          <w:rFonts w:hint="cs"/>
          <w:sz w:val="27"/>
          <w:rtl/>
        </w:rPr>
        <w:t>َ</w:t>
      </w:r>
      <w:r w:rsidRPr="00904FCB">
        <w:rPr>
          <w:rFonts w:hint="cs"/>
          <w:sz w:val="27"/>
          <w:rtl/>
        </w:rPr>
        <w:t xml:space="preserve"> أن استنتاج المادية الماهوية (الفلسفية) من المادية الأسلوبية (العلمية) هو نوع من المغالطة؛ إذ هناك بين العلم والفلسفة حائل منطقي</w:t>
      </w:r>
      <w:r w:rsidR="009826D3" w:rsidRPr="00904FCB">
        <w:rPr>
          <w:rFonts w:hint="cs"/>
          <w:sz w:val="27"/>
          <w:rtl/>
        </w:rPr>
        <w:t>،</w:t>
      </w:r>
      <w:r w:rsidRPr="00904FCB">
        <w:rPr>
          <w:rFonts w:hint="cs"/>
          <w:sz w:val="27"/>
          <w:rtl/>
        </w:rPr>
        <w:t xml:space="preserve"> يحول دون تبرير النظريات الفلسفية على أساس المقد</w:t>
      </w:r>
      <w:r w:rsidR="009826D3" w:rsidRPr="00904FCB">
        <w:rPr>
          <w:rFonts w:hint="cs"/>
          <w:sz w:val="27"/>
          <w:rtl/>
        </w:rPr>
        <w:t>ّ</w:t>
      </w:r>
      <w:r w:rsidRPr="00904FCB">
        <w:rPr>
          <w:rFonts w:hint="cs"/>
          <w:sz w:val="27"/>
          <w:rtl/>
        </w:rPr>
        <w:t>مات العلمية المحضة</w:t>
      </w:r>
      <w:r w:rsidR="009826D3" w:rsidRPr="00904FCB">
        <w:rPr>
          <w:rFonts w:hint="cs"/>
          <w:sz w:val="27"/>
          <w:rtl/>
        </w:rPr>
        <w:t>،</w:t>
      </w:r>
      <w:r w:rsidRPr="00904FCB">
        <w:rPr>
          <w:rFonts w:hint="cs"/>
          <w:sz w:val="27"/>
          <w:rtl/>
        </w:rPr>
        <w:t xml:space="preserve"> وبالعكس. </w:t>
      </w:r>
    </w:p>
    <w:p w:rsidR="00A45FD9" w:rsidRPr="00904FCB" w:rsidRDefault="00A45FD9" w:rsidP="007A21AA">
      <w:pPr>
        <w:spacing w:line="400" w:lineRule="exact"/>
        <w:rPr>
          <w:sz w:val="27"/>
          <w:rtl/>
        </w:rPr>
      </w:pPr>
      <w:r w:rsidRPr="00904FCB">
        <w:rPr>
          <w:rFonts w:hint="cs"/>
          <w:sz w:val="27"/>
          <w:rtl/>
        </w:rPr>
        <w:t>إن العلمانية العلمية والماد</w:t>
      </w:r>
      <w:r w:rsidR="009826D3" w:rsidRPr="00904FCB">
        <w:rPr>
          <w:rFonts w:hint="cs"/>
          <w:sz w:val="27"/>
          <w:rtl/>
        </w:rPr>
        <w:t>ّ</w:t>
      </w:r>
      <w:r w:rsidRPr="00904FCB">
        <w:rPr>
          <w:rFonts w:hint="cs"/>
          <w:sz w:val="27"/>
          <w:rtl/>
        </w:rPr>
        <w:t>ية الأسلوبية (العلمية) تنسجم مع الدين والاعتقاد بوجود الله</w:t>
      </w:r>
      <w:r w:rsidR="009826D3" w:rsidRPr="00904FCB">
        <w:rPr>
          <w:rFonts w:hint="cs"/>
          <w:sz w:val="27"/>
          <w:rtl/>
        </w:rPr>
        <w:t xml:space="preserve">، </w:t>
      </w:r>
      <w:r w:rsidRPr="00904FCB">
        <w:rPr>
          <w:rFonts w:hint="cs"/>
          <w:sz w:val="27"/>
          <w:rtl/>
        </w:rPr>
        <w:t>وتدخ</w:t>
      </w:r>
      <w:r w:rsidR="009826D3" w:rsidRPr="00904FCB">
        <w:rPr>
          <w:rFonts w:hint="cs"/>
          <w:sz w:val="27"/>
          <w:rtl/>
        </w:rPr>
        <w:t>ُّ</w:t>
      </w:r>
      <w:r w:rsidRPr="00904FCB">
        <w:rPr>
          <w:rFonts w:hint="cs"/>
          <w:sz w:val="27"/>
          <w:rtl/>
        </w:rPr>
        <w:t>له في خلق الكون</w:t>
      </w:r>
      <w:r w:rsidR="009826D3" w:rsidRPr="00904FCB">
        <w:rPr>
          <w:rFonts w:hint="cs"/>
          <w:sz w:val="27"/>
          <w:rtl/>
        </w:rPr>
        <w:t>،</w:t>
      </w:r>
      <w:r w:rsidRPr="00904FCB">
        <w:rPr>
          <w:rFonts w:hint="cs"/>
          <w:sz w:val="27"/>
          <w:rtl/>
        </w:rPr>
        <w:t xml:space="preserve"> وتبعية الأحداث والظواهر الطبيعية لإرادته ومشيئته، ولا تنفي هذه الأمور. وبهذا المعنى فإن العلم لا يشك</w:t>
      </w:r>
      <w:r w:rsidR="009826D3" w:rsidRPr="00904FCB">
        <w:rPr>
          <w:rFonts w:hint="cs"/>
          <w:sz w:val="27"/>
          <w:rtl/>
        </w:rPr>
        <w:t>ِّ</w:t>
      </w:r>
      <w:r w:rsidRPr="00904FCB">
        <w:rPr>
          <w:rFonts w:hint="cs"/>
          <w:sz w:val="27"/>
          <w:rtl/>
        </w:rPr>
        <w:t>ل منافساً للدين أبداً</w:t>
      </w:r>
      <w:r w:rsidRPr="00904FCB">
        <w:rPr>
          <w:sz w:val="27"/>
          <w:vertAlign w:val="superscript"/>
          <w:rtl/>
        </w:rPr>
        <w:t>(</w:t>
      </w:r>
      <w:r w:rsidRPr="00904FCB">
        <w:rPr>
          <w:sz w:val="27"/>
          <w:vertAlign w:val="superscript"/>
          <w:rtl/>
        </w:rPr>
        <w:endnoteReference w:id="59"/>
      </w:r>
      <w:r w:rsidRPr="00904FCB">
        <w:rPr>
          <w:sz w:val="27"/>
          <w:vertAlign w:val="superscript"/>
          <w:rtl/>
        </w:rPr>
        <w:t>)</w:t>
      </w:r>
      <w:r w:rsidRPr="00904FCB">
        <w:rPr>
          <w:rFonts w:hint="cs"/>
          <w:sz w:val="27"/>
          <w:rtl/>
        </w:rPr>
        <w:t>. أما المادية الماهوية فهي منافسة للدين</w:t>
      </w:r>
      <w:r w:rsidR="009826D3" w:rsidRPr="00904FCB">
        <w:rPr>
          <w:rFonts w:hint="cs"/>
          <w:sz w:val="27"/>
          <w:rtl/>
        </w:rPr>
        <w:t>،</w:t>
      </w:r>
      <w:r w:rsidRPr="00904FCB">
        <w:rPr>
          <w:rFonts w:hint="cs"/>
          <w:sz w:val="27"/>
          <w:rtl/>
        </w:rPr>
        <w:t xml:space="preserve"> بل هي عدو</w:t>
      </w:r>
      <w:r w:rsidR="009826D3" w:rsidRPr="00904FCB">
        <w:rPr>
          <w:rFonts w:hint="cs"/>
          <w:sz w:val="27"/>
          <w:rtl/>
        </w:rPr>
        <w:t>ّ</w:t>
      </w:r>
      <w:r w:rsidRPr="00904FCB">
        <w:rPr>
          <w:rFonts w:hint="cs"/>
          <w:sz w:val="27"/>
          <w:rtl/>
        </w:rPr>
        <w:t>ته، وتحاول الحلول محل</w:t>
      </w:r>
      <w:r w:rsidR="009826D3" w:rsidRPr="00904FCB">
        <w:rPr>
          <w:rFonts w:hint="cs"/>
          <w:sz w:val="27"/>
          <w:rtl/>
        </w:rPr>
        <w:t>ّ</w:t>
      </w:r>
      <w:r w:rsidRPr="00904FCB">
        <w:rPr>
          <w:rFonts w:hint="cs"/>
          <w:sz w:val="27"/>
          <w:rtl/>
        </w:rPr>
        <w:t>ه. ليس للمادية الماهوية صلة</w:t>
      </w:r>
      <w:r w:rsidR="009826D3" w:rsidRPr="00904FCB">
        <w:rPr>
          <w:rFonts w:hint="cs"/>
          <w:sz w:val="27"/>
          <w:rtl/>
        </w:rPr>
        <w:t>ٌ</w:t>
      </w:r>
      <w:r w:rsidRPr="00904FCB">
        <w:rPr>
          <w:rFonts w:hint="cs"/>
          <w:sz w:val="27"/>
          <w:rtl/>
        </w:rPr>
        <w:t xml:space="preserve"> بالعلم التجريبي. </w:t>
      </w:r>
      <w:r w:rsidR="009826D3" w:rsidRPr="00904FCB">
        <w:rPr>
          <w:rFonts w:hint="cs"/>
          <w:sz w:val="27"/>
          <w:rtl/>
        </w:rPr>
        <w:t>و</w:t>
      </w:r>
      <w:r w:rsidRPr="00904FCB">
        <w:rPr>
          <w:rFonts w:hint="cs"/>
          <w:sz w:val="27"/>
          <w:rtl/>
        </w:rPr>
        <w:t>بعبارة</w:t>
      </w:r>
      <w:r w:rsidR="009826D3" w:rsidRPr="00904FCB">
        <w:rPr>
          <w:rFonts w:hint="cs"/>
          <w:sz w:val="27"/>
          <w:rtl/>
        </w:rPr>
        <w:t>ٍ</w:t>
      </w:r>
      <w:r w:rsidRPr="00904FCB">
        <w:rPr>
          <w:rFonts w:hint="cs"/>
          <w:sz w:val="27"/>
          <w:rtl/>
        </w:rPr>
        <w:t xml:space="preserve"> أخرى: إن التفسير العلمي (التجريبي) للحوادث والظواهر الطبيعية متناغ</w:t>
      </w:r>
      <w:r w:rsidR="009826D3" w:rsidRPr="00904FCB">
        <w:rPr>
          <w:rFonts w:hint="cs"/>
          <w:sz w:val="27"/>
          <w:rtl/>
        </w:rPr>
        <w:t>ِ</w:t>
      </w:r>
      <w:r w:rsidRPr="00904FCB">
        <w:rPr>
          <w:rFonts w:hint="cs"/>
          <w:sz w:val="27"/>
          <w:rtl/>
        </w:rPr>
        <w:t>م</w:t>
      </w:r>
      <w:r w:rsidR="009826D3" w:rsidRPr="00904FCB">
        <w:rPr>
          <w:rFonts w:hint="cs"/>
          <w:sz w:val="27"/>
          <w:rtl/>
        </w:rPr>
        <w:t>ٌ</w:t>
      </w:r>
      <w:r w:rsidRPr="00904FCB">
        <w:rPr>
          <w:rFonts w:hint="cs"/>
          <w:sz w:val="27"/>
          <w:rtl/>
        </w:rPr>
        <w:t xml:space="preserve"> مع التفسير الديني لهذه الحوادث والظواهر</w:t>
      </w:r>
      <w:r w:rsidR="009826D3" w:rsidRPr="00904FCB">
        <w:rPr>
          <w:rFonts w:hint="cs"/>
          <w:sz w:val="27"/>
          <w:rtl/>
        </w:rPr>
        <w:t>،</w:t>
      </w:r>
      <w:r w:rsidRPr="00904FCB">
        <w:rPr>
          <w:rFonts w:hint="cs"/>
          <w:sz w:val="27"/>
          <w:rtl/>
        </w:rPr>
        <w:t xml:space="preserve"> ويمكن الجمع بينهما، في حين أن التفسير الماد</w:t>
      </w:r>
      <w:r w:rsidR="009826D3" w:rsidRPr="00904FCB">
        <w:rPr>
          <w:rFonts w:hint="cs"/>
          <w:sz w:val="27"/>
          <w:rtl/>
        </w:rPr>
        <w:t>ّ</w:t>
      </w:r>
      <w:r w:rsidRPr="00904FCB">
        <w:rPr>
          <w:rFonts w:hint="cs"/>
          <w:sz w:val="27"/>
          <w:rtl/>
        </w:rPr>
        <w:t>ي لهذه الحوادث والظواهر ـ الذي هو نوع</w:t>
      </w:r>
      <w:r w:rsidR="009826D3" w:rsidRPr="00904FCB">
        <w:rPr>
          <w:rFonts w:hint="cs"/>
          <w:sz w:val="27"/>
          <w:rtl/>
        </w:rPr>
        <w:t>ٌ</w:t>
      </w:r>
      <w:r w:rsidRPr="00904FCB">
        <w:rPr>
          <w:rFonts w:hint="cs"/>
          <w:sz w:val="27"/>
          <w:rtl/>
        </w:rPr>
        <w:t xml:space="preserve"> من التفسير الفلسفي ـ يتنافى مع تفسيرها الديني، ويعتبر منافساً له. إن المادية الماهوية هي في الحقيقة نوع</w:t>
      </w:r>
      <w:r w:rsidR="009826D3" w:rsidRPr="00904FCB">
        <w:rPr>
          <w:rFonts w:hint="cs"/>
          <w:sz w:val="27"/>
          <w:rtl/>
        </w:rPr>
        <w:t>ٌ</w:t>
      </w:r>
      <w:r w:rsidRPr="00904FCB">
        <w:rPr>
          <w:rFonts w:hint="cs"/>
          <w:sz w:val="27"/>
          <w:rtl/>
        </w:rPr>
        <w:t xml:space="preserve"> من الدين، في حين أن المادية الأسلوبية مقولة</w:t>
      </w:r>
      <w:r w:rsidR="009826D3" w:rsidRPr="00904FCB">
        <w:rPr>
          <w:rFonts w:hint="cs"/>
          <w:sz w:val="27"/>
          <w:rtl/>
        </w:rPr>
        <w:t>ٌ</w:t>
      </w:r>
      <w:r w:rsidRPr="00904FCB">
        <w:rPr>
          <w:rFonts w:hint="cs"/>
          <w:sz w:val="27"/>
          <w:rtl/>
        </w:rPr>
        <w:t xml:space="preserve"> ما فوق دينية. </w:t>
      </w:r>
    </w:p>
    <w:p w:rsidR="00A45FD9" w:rsidRPr="00904FCB" w:rsidRDefault="00A45FD9" w:rsidP="00271BDF">
      <w:pPr>
        <w:spacing w:line="400" w:lineRule="exact"/>
        <w:rPr>
          <w:sz w:val="27"/>
          <w:rtl/>
        </w:rPr>
      </w:pPr>
      <w:r w:rsidRPr="00904FCB">
        <w:rPr>
          <w:rFonts w:hint="cs"/>
          <w:sz w:val="27"/>
          <w:rtl/>
        </w:rPr>
        <w:t>ولا يخفى أن بعض المؤمنين ليس لديه تصو</w:t>
      </w:r>
      <w:r w:rsidR="009826D3" w:rsidRPr="00904FCB">
        <w:rPr>
          <w:rFonts w:hint="cs"/>
          <w:sz w:val="27"/>
          <w:rtl/>
        </w:rPr>
        <w:t>ُّ</w:t>
      </w:r>
      <w:r w:rsidRPr="00904FCB">
        <w:rPr>
          <w:rFonts w:hint="cs"/>
          <w:sz w:val="27"/>
          <w:rtl/>
        </w:rPr>
        <w:t>ر صحيح بشأن العلاقة بين الله والخ</w:t>
      </w:r>
      <w:r w:rsidR="009826D3" w:rsidRPr="00904FCB">
        <w:rPr>
          <w:rFonts w:hint="cs"/>
          <w:sz w:val="27"/>
          <w:rtl/>
        </w:rPr>
        <w:t>َ</w:t>
      </w:r>
      <w:r w:rsidRPr="00904FCB">
        <w:rPr>
          <w:rFonts w:hint="cs"/>
          <w:sz w:val="27"/>
          <w:rtl/>
        </w:rPr>
        <w:t>ل</w:t>
      </w:r>
      <w:r w:rsidR="009826D3" w:rsidRPr="00904FCB">
        <w:rPr>
          <w:rFonts w:hint="cs"/>
          <w:sz w:val="27"/>
          <w:rtl/>
        </w:rPr>
        <w:t>ْ</w:t>
      </w:r>
      <w:r w:rsidRPr="00904FCB">
        <w:rPr>
          <w:rFonts w:hint="cs"/>
          <w:sz w:val="27"/>
          <w:rtl/>
        </w:rPr>
        <w:t>ق</w:t>
      </w:r>
      <w:r w:rsidR="009826D3" w:rsidRPr="00904FCB">
        <w:rPr>
          <w:rFonts w:hint="cs"/>
          <w:sz w:val="27"/>
          <w:rtl/>
        </w:rPr>
        <w:t>؛</w:t>
      </w:r>
      <w:r w:rsidRPr="00904FCB">
        <w:rPr>
          <w:rFonts w:hint="cs"/>
          <w:sz w:val="27"/>
          <w:rtl/>
        </w:rPr>
        <w:t xml:space="preserve"> إذ ير</w:t>
      </w:r>
      <w:r w:rsidR="009826D3" w:rsidRPr="00904FCB">
        <w:rPr>
          <w:rFonts w:hint="cs"/>
          <w:sz w:val="27"/>
          <w:rtl/>
        </w:rPr>
        <w:t>َ</w:t>
      </w:r>
      <w:r w:rsidRPr="00904FCB">
        <w:rPr>
          <w:rFonts w:hint="cs"/>
          <w:sz w:val="27"/>
          <w:rtl/>
        </w:rPr>
        <w:t>و</w:t>
      </w:r>
      <w:r w:rsidR="009826D3" w:rsidRPr="00904FCB">
        <w:rPr>
          <w:rFonts w:hint="cs"/>
          <w:sz w:val="27"/>
          <w:rtl/>
        </w:rPr>
        <w:t>ْ</w:t>
      </w:r>
      <w:r w:rsidRPr="00904FCB">
        <w:rPr>
          <w:rFonts w:hint="cs"/>
          <w:sz w:val="27"/>
          <w:rtl/>
        </w:rPr>
        <w:t xml:space="preserve">ن الله في عرض العلل الطبيعية، ويعتبرونه مثل </w:t>
      </w:r>
      <w:r w:rsidRPr="00904FCB">
        <w:rPr>
          <w:rFonts w:hint="eastAsia"/>
          <w:sz w:val="27"/>
          <w:rtl/>
        </w:rPr>
        <w:t>«</w:t>
      </w:r>
      <w:r w:rsidRPr="00904FCB">
        <w:rPr>
          <w:rFonts w:hint="cs"/>
          <w:sz w:val="27"/>
          <w:rtl/>
        </w:rPr>
        <w:t>نيوتن</w:t>
      </w:r>
      <w:r w:rsidRPr="00904FCB">
        <w:rPr>
          <w:rFonts w:hint="eastAsia"/>
          <w:sz w:val="27"/>
          <w:rtl/>
        </w:rPr>
        <w:t>»</w:t>
      </w:r>
      <w:r w:rsidR="009826D3" w:rsidRPr="00904FCB">
        <w:rPr>
          <w:rFonts w:hint="cs"/>
          <w:sz w:val="27"/>
          <w:rtl/>
        </w:rPr>
        <w:t>؛</w:t>
      </w:r>
      <w:r w:rsidRPr="00904FCB">
        <w:rPr>
          <w:rFonts w:hint="cs"/>
          <w:sz w:val="27"/>
          <w:rtl/>
        </w:rPr>
        <w:t xml:space="preserve"> بوصفه </w:t>
      </w:r>
      <w:r w:rsidRPr="00904FCB">
        <w:rPr>
          <w:rFonts w:hint="eastAsia"/>
          <w:sz w:val="27"/>
          <w:rtl/>
        </w:rPr>
        <w:t>«</w:t>
      </w:r>
      <w:r w:rsidRPr="00904FCB">
        <w:rPr>
          <w:rFonts w:hint="cs"/>
          <w:sz w:val="27"/>
          <w:rtl/>
        </w:rPr>
        <w:t>ساد</w:t>
      </w:r>
      <w:r w:rsidR="009826D3" w:rsidRPr="00904FCB">
        <w:rPr>
          <w:rFonts w:hint="cs"/>
          <w:sz w:val="27"/>
          <w:rtl/>
        </w:rPr>
        <w:t>ّ</w:t>
      </w:r>
      <w:r w:rsidRPr="00904FCB">
        <w:rPr>
          <w:rFonts w:hint="cs"/>
          <w:sz w:val="27"/>
          <w:rtl/>
        </w:rPr>
        <w:t>اً للثغرات</w:t>
      </w:r>
      <w:r w:rsidRPr="00904FCB">
        <w:rPr>
          <w:rFonts w:hint="eastAsia"/>
          <w:sz w:val="27"/>
          <w:rtl/>
        </w:rPr>
        <w:t>»</w:t>
      </w:r>
      <w:r w:rsidR="009826D3" w:rsidRPr="00904FCB">
        <w:rPr>
          <w:rFonts w:hint="cs"/>
          <w:sz w:val="27"/>
          <w:rtl/>
        </w:rPr>
        <w:t>،</w:t>
      </w:r>
      <w:r w:rsidRPr="00904FCB">
        <w:rPr>
          <w:rFonts w:hint="cs"/>
          <w:sz w:val="27"/>
          <w:rtl/>
        </w:rPr>
        <w:t xml:space="preserve"> ومالئاً لفجوات النظريات العلمية. وبذلك يعتبرون التفسير الديني والبيان العلمي شيئا</w:t>
      </w:r>
      <w:r w:rsidR="009826D3" w:rsidRPr="00904FCB">
        <w:rPr>
          <w:rFonts w:hint="cs"/>
          <w:sz w:val="27"/>
          <w:rtl/>
        </w:rPr>
        <w:t>ً</w:t>
      </w:r>
      <w:r w:rsidRPr="00904FCB">
        <w:rPr>
          <w:rFonts w:hint="cs"/>
          <w:sz w:val="27"/>
          <w:rtl/>
        </w:rPr>
        <w:t xml:space="preserve"> واحدا</w:t>
      </w:r>
      <w:r w:rsidR="009826D3" w:rsidRPr="00904FCB">
        <w:rPr>
          <w:rFonts w:hint="cs"/>
          <w:sz w:val="27"/>
          <w:rtl/>
        </w:rPr>
        <w:t>ً</w:t>
      </w:r>
      <w:r w:rsidRPr="00904FCB">
        <w:rPr>
          <w:rFonts w:hint="cs"/>
          <w:sz w:val="27"/>
          <w:rtl/>
        </w:rPr>
        <w:t>، ومع امتلاكهم للتفس</w:t>
      </w:r>
      <w:r w:rsidR="009826D3" w:rsidRPr="00904FCB">
        <w:rPr>
          <w:rFonts w:hint="cs"/>
          <w:sz w:val="27"/>
          <w:rtl/>
        </w:rPr>
        <w:t>ي</w:t>
      </w:r>
      <w:r w:rsidRPr="00904FCB">
        <w:rPr>
          <w:rFonts w:hint="cs"/>
          <w:sz w:val="27"/>
          <w:rtl/>
        </w:rPr>
        <w:t>ر الأو</w:t>
      </w:r>
      <w:r w:rsidR="009826D3" w:rsidRPr="00904FCB">
        <w:rPr>
          <w:rFonts w:hint="cs"/>
          <w:sz w:val="27"/>
          <w:rtl/>
        </w:rPr>
        <w:t>ّ</w:t>
      </w:r>
      <w:r w:rsidRPr="00904FCB">
        <w:rPr>
          <w:rFonts w:hint="cs"/>
          <w:sz w:val="27"/>
          <w:rtl/>
        </w:rPr>
        <w:t>ل لا يجدون حاجة</w:t>
      </w:r>
      <w:r w:rsidR="009826D3" w:rsidRPr="00904FCB">
        <w:rPr>
          <w:rFonts w:hint="cs"/>
          <w:sz w:val="27"/>
          <w:rtl/>
        </w:rPr>
        <w:t>ً</w:t>
      </w:r>
      <w:r w:rsidRPr="00904FCB">
        <w:rPr>
          <w:rFonts w:hint="cs"/>
          <w:sz w:val="27"/>
          <w:rtl/>
        </w:rPr>
        <w:t xml:space="preserve"> لامتلاك التفسير الثاني</w:t>
      </w:r>
      <w:r w:rsidR="009826D3" w:rsidRPr="00904FCB">
        <w:rPr>
          <w:rFonts w:hint="cs"/>
          <w:sz w:val="27"/>
          <w:rtl/>
        </w:rPr>
        <w:t>.</w:t>
      </w:r>
      <w:r w:rsidRPr="00904FCB">
        <w:rPr>
          <w:rFonts w:hint="cs"/>
          <w:sz w:val="27"/>
          <w:rtl/>
        </w:rPr>
        <w:t xml:space="preserve"> والعكس صحيح</w:t>
      </w:r>
      <w:r w:rsidR="009826D3" w:rsidRPr="00904FCB">
        <w:rPr>
          <w:rFonts w:hint="cs"/>
          <w:sz w:val="27"/>
          <w:rtl/>
        </w:rPr>
        <w:t>ٌ</w:t>
      </w:r>
      <w:r w:rsidRPr="00904FCB">
        <w:rPr>
          <w:rFonts w:hint="cs"/>
          <w:sz w:val="27"/>
          <w:rtl/>
        </w:rPr>
        <w:t xml:space="preserve"> أيضا</w:t>
      </w:r>
      <w:r w:rsidR="009826D3" w:rsidRPr="00904FCB">
        <w:rPr>
          <w:rFonts w:hint="cs"/>
          <w:sz w:val="27"/>
          <w:rtl/>
        </w:rPr>
        <w:t>ً</w:t>
      </w:r>
      <w:r w:rsidRPr="00904FCB">
        <w:rPr>
          <w:rFonts w:hint="cs"/>
          <w:sz w:val="27"/>
          <w:rtl/>
        </w:rPr>
        <w:t xml:space="preserve">. إن </w:t>
      </w:r>
      <w:r w:rsidRPr="00904FCB">
        <w:rPr>
          <w:rFonts w:hint="eastAsia"/>
          <w:sz w:val="27"/>
          <w:rtl/>
        </w:rPr>
        <w:t>«</w:t>
      </w:r>
      <w:r w:rsidRPr="00904FCB">
        <w:rPr>
          <w:rFonts w:hint="cs"/>
          <w:sz w:val="27"/>
          <w:rtl/>
        </w:rPr>
        <w:t>إله سدّ الثغرات</w:t>
      </w:r>
      <w:r w:rsidRPr="00904FCB">
        <w:rPr>
          <w:rFonts w:hint="eastAsia"/>
          <w:sz w:val="27"/>
          <w:rtl/>
        </w:rPr>
        <w:t>»</w:t>
      </w:r>
      <w:r w:rsidRPr="00904FCB">
        <w:rPr>
          <w:sz w:val="27"/>
          <w:vertAlign w:val="superscript"/>
          <w:rtl/>
        </w:rPr>
        <w:t>(</w:t>
      </w:r>
      <w:r w:rsidRPr="00904FCB">
        <w:rPr>
          <w:sz w:val="27"/>
          <w:vertAlign w:val="superscript"/>
          <w:rtl/>
        </w:rPr>
        <w:endnoteReference w:id="60"/>
      </w:r>
      <w:r w:rsidRPr="00904FCB">
        <w:rPr>
          <w:sz w:val="27"/>
          <w:vertAlign w:val="superscript"/>
          <w:rtl/>
        </w:rPr>
        <w:t>)</w:t>
      </w:r>
      <w:r w:rsidRPr="00904FCB">
        <w:rPr>
          <w:rFonts w:hint="cs"/>
          <w:sz w:val="27"/>
          <w:rtl/>
        </w:rPr>
        <w:t xml:space="preserve"> ـ بطبيعة الحال ـ سوف ينسحب عن مسرح الحياة تدريجياً مع تقد</w:t>
      </w:r>
      <w:r w:rsidR="009826D3" w:rsidRPr="00904FCB">
        <w:rPr>
          <w:rFonts w:hint="cs"/>
          <w:sz w:val="27"/>
          <w:rtl/>
        </w:rPr>
        <w:t>ُّ</w:t>
      </w:r>
      <w:r w:rsidRPr="00904FCB">
        <w:rPr>
          <w:rFonts w:hint="cs"/>
          <w:sz w:val="27"/>
          <w:rtl/>
        </w:rPr>
        <w:t>م العلوم واكتمال النظري</w:t>
      </w:r>
      <w:r w:rsidR="009826D3" w:rsidRPr="00904FCB">
        <w:rPr>
          <w:rFonts w:hint="cs"/>
          <w:sz w:val="27"/>
          <w:rtl/>
        </w:rPr>
        <w:t>ّ</w:t>
      </w:r>
      <w:r w:rsidRPr="00904FCB">
        <w:rPr>
          <w:rFonts w:hint="cs"/>
          <w:sz w:val="27"/>
          <w:rtl/>
        </w:rPr>
        <w:t>ات العلمية، وسوف يفقد موقعه ودوره في ال</w:t>
      </w:r>
      <w:r w:rsidR="009826D3" w:rsidRPr="00904FCB">
        <w:rPr>
          <w:rFonts w:hint="cs"/>
          <w:sz w:val="27"/>
          <w:rtl/>
        </w:rPr>
        <w:t>إ</w:t>
      </w:r>
      <w:r w:rsidRPr="00904FCB">
        <w:rPr>
          <w:rFonts w:hint="cs"/>
          <w:sz w:val="27"/>
          <w:rtl/>
        </w:rPr>
        <w:t>بداع والخلق المستمر</w:t>
      </w:r>
      <w:r w:rsidR="009826D3" w:rsidRPr="00904FCB">
        <w:rPr>
          <w:rFonts w:hint="cs"/>
          <w:sz w:val="27"/>
          <w:rtl/>
        </w:rPr>
        <w:t>ّ</w:t>
      </w:r>
      <w:r w:rsidRPr="00904FCB">
        <w:rPr>
          <w:rFonts w:hint="cs"/>
          <w:sz w:val="27"/>
          <w:rtl/>
        </w:rPr>
        <w:t>، وبالتالي فإنه عند اكتمال التفسير العلمي بشكل</w:t>
      </w:r>
      <w:r w:rsidR="009826D3" w:rsidRPr="00904FCB">
        <w:rPr>
          <w:rFonts w:hint="cs"/>
          <w:sz w:val="27"/>
          <w:rtl/>
        </w:rPr>
        <w:t>ٍ</w:t>
      </w:r>
      <w:r w:rsidRPr="00904FCB">
        <w:rPr>
          <w:rFonts w:hint="cs"/>
          <w:sz w:val="27"/>
          <w:rtl/>
        </w:rPr>
        <w:t xml:space="preserve"> تام</w:t>
      </w:r>
      <w:r w:rsidR="009826D3" w:rsidRPr="00904FCB">
        <w:rPr>
          <w:rFonts w:hint="cs"/>
          <w:sz w:val="27"/>
          <w:rtl/>
        </w:rPr>
        <w:t>ّ</w:t>
      </w:r>
      <w:r w:rsidRPr="00904FCB">
        <w:rPr>
          <w:rFonts w:hint="cs"/>
          <w:sz w:val="27"/>
          <w:rtl/>
        </w:rPr>
        <w:t xml:space="preserve"> وجامع لما يجري في عالم الطبيعة لا تعود هناك من حاجة</w:t>
      </w:r>
      <w:r w:rsidR="009826D3" w:rsidRPr="00904FCB">
        <w:rPr>
          <w:rFonts w:hint="cs"/>
          <w:sz w:val="27"/>
          <w:rtl/>
        </w:rPr>
        <w:t>ٍ</w:t>
      </w:r>
      <w:r w:rsidRPr="00904FCB">
        <w:rPr>
          <w:rFonts w:hint="cs"/>
          <w:sz w:val="27"/>
          <w:rtl/>
        </w:rPr>
        <w:t xml:space="preserve"> إلى افتراض وجوده. إلا</w:t>
      </w:r>
      <w:r w:rsidR="009826D3" w:rsidRPr="00904FCB">
        <w:rPr>
          <w:rFonts w:hint="cs"/>
          <w:sz w:val="27"/>
          <w:rtl/>
        </w:rPr>
        <w:t>ّ</w:t>
      </w:r>
      <w:r w:rsidRPr="00904FCB">
        <w:rPr>
          <w:rFonts w:hint="cs"/>
          <w:sz w:val="27"/>
          <w:rtl/>
        </w:rPr>
        <w:t xml:space="preserve"> أن هذا الأمر ليس من مقتضيات الأسلوب العلمي، وليس من مقتضيات العلمانية. وإن</w:t>
      </w:r>
      <w:r w:rsidR="009826D3" w:rsidRPr="00904FCB">
        <w:rPr>
          <w:rFonts w:hint="cs"/>
          <w:sz w:val="27"/>
          <w:rtl/>
        </w:rPr>
        <w:t>ّ</w:t>
      </w:r>
      <w:r w:rsidRPr="00904FCB">
        <w:rPr>
          <w:rFonts w:hint="cs"/>
          <w:sz w:val="27"/>
          <w:rtl/>
        </w:rPr>
        <w:t>ما تنشأ هذه المشكلة من تصو</w:t>
      </w:r>
      <w:r w:rsidR="009826D3" w:rsidRPr="00904FCB">
        <w:rPr>
          <w:rFonts w:hint="cs"/>
          <w:sz w:val="27"/>
          <w:rtl/>
        </w:rPr>
        <w:t>ُّ</w:t>
      </w:r>
      <w:r w:rsidRPr="00904FCB">
        <w:rPr>
          <w:rFonts w:hint="cs"/>
          <w:sz w:val="27"/>
          <w:rtl/>
        </w:rPr>
        <w:t>ر خاطئ في</w:t>
      </w:r>
      <w:r w:rsidR="009826D3" w:rsidRPr="00904FCB">
        <w:rPr>
          <w:rFonts w:hint="cs"/>
          <w:sz w:val="27"/>
          <w:rtl/>
        </w:rPr>
        <w:t xml:space="preserve"> </w:t>
      </w:r>
      <w:r w:rsidRPr="00904FCB">
        <w:rPr>
          <w:rFonts w:hint="cs"/>
          <w:sz w:val="27"/>
          <w:rtl/>
        </w:rPr>
        <w:t>ما يتعل</w:t>
      </w:r>
      <w:r w:rsidR="009826D3" w:rsidRPr="00904FCB">
        <w:rPr>
          <w:rFonts w:hint="cs"/>
          <w:sz w:val="27"/>
          <w:rtl/>
        </w:rPr>
        <w:t>َّ</w:t>
      </w:r>
      <w:r w:rsidRPr="00904FCB">
        <w:rPr>
          <w:rFonts w:hint="cs"/>
          <w:sz w:val="27"/>
          <w:rtl/>
        </w:rPr>
        <w:t xml:space="preserve">ق بربط ونسبة التفسير </w:t>
      </w:r>
      <w:r w:rsidRPr="00904FCB">
        <w:rPr>
          <w:rFonts w:hint="cs"/>
          <w:sz w:val="27"/>
          <w:rtl/>
        </w:rPr>
        <w:lastRenderedPageBreak/>
        <w:t xml:space="preserve">العلمي والتفسير الديني في </w:t>
      </w:r>
      <w:r w:rsidR="009826D3" w:rsidRPr="00904FCB">
        <w:rPr>
          <w:rFonts w:hint="cs"/>
          <w:sz w:val="27"/>
          <w:rtl/>
        </w:rPr>
        <w:t>نطاق</w:t>
      </w:r>
      <w:r w:rsidRPr="00904FCB">
        <w:rPr>
          <w:rFonts w:hint="cs"/>
          <w:sz w:val="27"/>
          <w:rtl/>
        </w:rPr>
        <w:t xml:space="preserve"> دور الله في الطبيعة، ويجب عدم تحميل تبعات ذلك </w:t>
      </w:r>
      <w:r w:rsidR="00271BDF">
        <w:rPr>
          <w:rFonts w:hint="cs"/>
          <w:sz w:val="27"/>
          <w:rtl/>
        </w:rPr>
        <w:t>ل</w:t>
      </w:r>
      <w:r w:rsidRPr="00904FCB">
        <w:rPr>
          <w:rFonts w:hint="cs"/>
          <w:sz w:val="27"/>
          <w:rtl/>
        </w:rPr>
        <w:t xml:space="preserve">لتفسير العلمي والعلمانية. </w:t>
      </w:r>
    </w:p>
    <w:p w:rsidR="00A45FD9" w:rsidRPr="00904FCB" w:rsidRDefault="00A45FD9" w:rsidP="007A21AA">
      <w:pPr>
        <w:spacing w:line="400" w:lineRule="exact"/>
        <w:rPr>
          <w:sz w:val="27"/>
          <w:rtl/>
        </w:rPr>
      </w:pPr>
      <w:r w:rsidRPr="00904FCB">
        <w:rPr>
          <w:rFonts w:hint="cs"/>
          <w:sz w:val="27"/>
          <w:rtl/>
        </w:rPr>
        <w:t>يذكر الدكتور سروش عل</w:t>
      </w:r>
      <w:r w:rsidR="009826D3" w:rsidRPr="00904FCB">
        <w:rPr>
          <w:rFonts w:hint="cs"/>
          <w:sz w:val="27"/>
          <w:rtl/>
        </w:rPr>
        <w:t>َّ</w:t>
      </w:r>
      <w:r w:rsidRPr="00904FCB">
        <w:rPr>
          <w:rFonts w:hint="cs"/>
          <w:sz w:val="27"/>
          <w:rtl/>
        </w:rPr>
        <w:t>تين قريبتين للعلمانية السياسة</w:t>
      </w:r>
      <w:r w:rsidR="009826D3" w:rsidRPr="00904FCB">
        <w:rPr>
          <w:rFonts w:hint="cs"/>
          <w:sz w:val="27"/>
          <w:rtl/>
        </w:rPr>
        <w:t>، وهما</w:t>
      </w:r>
      <w:r w:rsidRPr="00904FCB">
        <w:rPr>
          <w:rFonts w:hint="cs"/>
          <w:sz w:val="27"/>
          <w:rtl/>
        </w:rPr>
        <w:t xml:space="preserve">: </w:t>
      </w:r>
    </w:p>
    <w:p w:rsidR="00A45FD9" w:rsidRPr="00F03AF0" w:rsidRDefault="00A45FD9" w:rsidP="007A21AA">
      <w:pPr>
        <w:spacing w:line="400" w:lineRule="exact"/>
        <w:rPr>
          <w:sz w:val="27"/>
          <w:rtl/>
        </w:rPr>
      </w:pPr>
      <w:r w:rsidRPr="00F03AF0">
        <w:rPr>
          <w:rFonts w:hint="cs"/>
          <w:sz w:val="27"/>
          <w:rtl/>
        </w:rPr>
        <w:t xml:space="preserve">1ـ ظهور التفكير العلمي المسبوق بالعقلانية الجديدة. </w:t>
      </w:r>
    </w:p>
    <w:p w:rsidR="00A45FD9" w:rsidRPr="00904FCB" w:rsidRDefault="00A45FD9" w:rsidP="007A21AA">
      <w:pPr>
        <w:spacing w:line="400" w:lineRule="exact"/>
        <w:rPr>
          <w:sz w:val="27"/>
          <w:rtl/>
        </w:rPr>
      </w:pPr>
      <w:r w:rsidRPr="00F03AF0">
        <w:rPr>
          <w:rFonts w:hint="cs"/>
          <w:sz w:val="27"/>
          <w:rtl/>
        </w:rPr>
        <w:t>2ـ التغيير والتحوّ</w:t>
      </w:r>
      <w:r w:rsidR="009826D3" w:rsidRPr="00F03AF0">
        <w:rPr>
          <w:rFonts w:hint="cs"/>
          <w:sz w:val="27"/>
          <w:rtl/>
        </w:rPr>
        <w:t>ُ</w:t>
      </w:r>
      <w:r w:rsidRPr="00F03AF0">
        <w:rPr>
          <w:rFonts w:hint="cs"/>
          <w:sz w:val="27"/>
          <w:rtl/>
        </w:rPr>
        <w:t>ل الحاصل في المفهوم والنسبة بين الحق</w:t>
      </w:r>
      <w:r w:rsidR="009826D3" w:rsidRPr="00F03AF0">
        <w:rPr>
          <w:rFonts w:hint="cs"/>
          <w:sz w:val="27"/>
          <w:rtl/>
        </w:rPr>
        <w:t>ّ</w:t>
      </w:r>
      <w:r w:rsidRPr="00F03AF0">
        <w:rPr>
          <w:rFonts w:hint="cs"/>
          <w:sz w:val="27"/>
          <w:rtl/>
        </w:rPr>
        <w:t xml:space="preserve"> والتكليف في العالم</w:t>
      </w:r>
      <w:r w:rsidRPr="00904FCB">
        <w:rPr>
          <w:rFonts w:hint="cs"/>
          <w:sz w:val="27"/>
          <w:rtl/>
        </w:rPr>
        <w:t xml:space="preserve"> المعاصر</w:t>
      </w:r>
      <w:r w:rsidRPr="00904FCB">
        <w:rPr>
          <w:sz w:val="27"/>
          <w:vertAlign w:val="superscript"/>
          <w:rtl/>
        </w:rPr>
        <w:t>(</w:t>
      </w:r>
      <w:r w:rsidRPr="00904FCB">
        <w:rPr>
          <w:sz w:val="27"/>
          <w:vertAlign w:val="superscript"/>
          <w:rtl/>
        </w:rPr>
        <w:endnoteReference w:id="61"/>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904FCB">
        <w:rPr>
          <w:rFonts w:hint="cs"/>
          <w:sz w:val="27"/>
          <w:rtl/>
        </w:rPr>
        <w:t>ولكن</w:t>
      </w:r>
      <w:r w:rsidR="009826D3" w:rsidRPr="00904FCB">
        <w:rPr>
          <w:rFonts w:hint="cs"/>
          <w:sz w:val="27"/>
          <w:rtl/>
        </w:rPr>
        <w:t>ّ</w:t>
      </w:r>
      <w:r w:rsidRPr="00904FCB">
        <w:rPr>
          <w:rFonts w:hint="cs"/>
          <w:sz w:val="27"/>
          <w:rtl/>
        </w:rPr>
        <w:t>ه يرى أن علمنة أفكار الإنسان كانت مقارنة لظهور الفلسفة الإغريقية. وإن جهود الفلاسفة لعرض التفسير الفلسفي للكون والإنسان إنما يمث</w:t>
      </w:r>
      <w:r w:rsidR="00045669" w:rsidRPr="00904FCB">
        <w:rPr>
          <w:rFonts w:hint="cs"/>
          <w:sz w:val="27"/>
          <w:rtl/>
        </w:rPr>
        <w:t>ِّ</w:t>
      </w:r>
      <w:r w:rsidRPr="00904FCB">
        <w:rPr>
          <w:rFonts w:hint="cs"/>
          <w:sz w:val="27"/>
          <w:rtl/>
        </w:rPr>
        <w:t>ل في الحقيقة العلة البعيدة وعل</w:t>
      </w:r>
      <w:r w:rsidR="00045669" w:rsidRPr="00904FCB">
        <w:rPr>
          <w:rFonts w:hint="cs"/>
          <w:sz w:val="27"/>
          <w:rtl/>
        </w:rPr>
        <w:t>ّ</w:t>
      </w:r>
      <w:r w:rsidRPr="00904FCB">
        <w:rPr>
          <w:rFonts w:hint="cs"/>
          <w:sz w:val="27"/>
          <w:rtl/>
        </w:rPr>
        <w:t>ة العلل للعلمانية الفكري</w:t>
      </w:r>
      <w:r w:rsidR="00045669" w:rsidRPr="00904FCB">
        <w:rPr>
          <w:rFonts w:hint="cs"/>
          <w:sz w:val="27"/>
          <w:rtl/>
        </w:rPr>
        <w:t>ّ</w:t>
      </w:r>
      <w:r w:rsidRPr="00904FCB">
        <w:rPr>
          <w:rFonts w:hint="cs"/>
          <w:sz w:val="27"/>
          <w:rtl/>
        </w:rPr>
        <w:t>ة. يذهب الدكتور سروش إلى الاعتقاد بأن الفلاسفة قد عملوا على إيجاد العلمانية الفكرية في أذهان الناس، وأحل</w:t>
      </w:r>
      <w:r w:rsidR="00045669" w:rsidRPr="00904FCB">
        <w:rPr>
          <w:rFonts w:hint="cs"/>
          <w:sz w:val="27"/>
          <w:rtl/>
        </w:rPr>
        <w:t>ّ</w:t>
      </w:r>
      <w:r w:rsidRPr="00904FCB">
        <w:rPr>
          <w:rFonts w:hint="cs"/>
          <w:sz w:val="27"/>
          <w:rtl/>
        </w:rPr>
        <w:t>وا النظام الفكري العلماني محل</w:t>
      </w:r>
      <w:r w:rsidR="00045669" w:rsidRPr="00904FCB">
        <w:rPr>
          <w:rFonts w:hint="cs"/>
          <w:sz w:val="27"/>
          <w:rtl/>
        </w:rPr>
        <w:t>ّ</w:t>
      </w:r>
      <w:r w:rsidRPr="00904FCB">
        <w:rPr>
          <w:rFonts w:hint="cs"/>
          <w:sz w:val="27"/>
          <w:rtl/>
        </w:rPr>
        <w:t xml:space="preserve"> النظام الفكري الديني</w:t>
      </w:r>
      <w:r w:rsidR="00045669" w:rsidRPr="00904FCB">
        <w:rPr>
          <w:rFonts w:hint="cs"/>
          <w:sz w:val="27"/>
          <w:rtl/>
        </w:rPr>
        <w:t xml:space="preserve">، </w:t>
      </w:r>
      <w:r w:rsidRPr="00904FCB">
        <w:rPr>
          <w:rFonts w:hint="cs"/>
          <w:sz w:val="27"/>
          <w:rtl/>
        </w:rPr>
        <w:t>من خلال إتيانهم بمفهومين فلسفيين هام</w:t>
      </w:r>
      <w:r w:rsidR="00045669" w:rsidRPr="00904FCB">
        <w:rPr>
          <w:rFonts w:hint="cs"/>
          <w:sz w:val="27"/>
          <w:rtl/>
        </w:rPr>
        <w:t>ّ</w:t>
      </w:r>
      <w:r w:rsidRPr="00904FCB">
        <w:rPr>
          <w:rFonts w:hint="cs"/>
          <w:sz w:val="27"/>
          <w:rtl/>
        </w:rPr>
        <w:t xml:space="preserve">ين، وهما؛ </w:t>
      </w:r>
      <w:r w:rsidRPr="00904FCB">
        <w:rPr>
          <w:rFonts w:hint="cs"/>
          <w:b/>
          <w:bCs/>
          <w:sz w:val="27"/>
          <w:rtl/>
        </w:rPr>
        <w:t>أولاً</w:t>
      </w:r>
      <w:r w:rsidRPr="00904FCB">
        <w:rPr>
          <w:rFonts w:hint="cs"/>
          <w:sz w:val="27"/>
          <w:rtl/>
        </w:rPr>
        <w:t xml:space="preserve">: مفهوم </w:t>
      </w:r>
      <w:r w:rsidRPr="00904FCB">
        <w:rPr>
          <w:rFonts w:hint="eastAsia"/>
          <w:sz w:val="27"/>
          <w:rtl/>
        </w:rPr>
        <w:t>«</w:t>
      </w:r>
      <w:r w:rsidRPr="00904FCB">
        <w:rPr>
          <w:rFonts w:hint="cs"/>
          <w:sz w:val="27"/>
          <w:rtl/>
        </w:rPr>
        <w:t>الذات</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الطبيعة</w:t>
      </w:r>
      <w:r w:rsidRPr="00904FCB">
        <w:rPr>
          <w:rFonts w:hint="eastAsia"/>
          <w:sz w:val="27"/>
          <w:rtl/>
        </w:rPr>
        <w:t>»</w:t>
      </w:r>
      <w:r w:rsidRPr="00904FCB">
        <w:rPr>
          <w:rFonts w:hint="cs"/>
          <w:sz w:val="27"/>
          <w:rtl/>
        </w:rPr>
        <w:t>، وإحلالهما محل</w:t>
      </w:r>
      <w:r w:rsidR="00045669"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الاستحقاق</w:t>
      </w:r>
      <w:r w:rsidRPr="00904FCB">
        <w:rPr>
          <w:rFonts w:hint="eastAsia"/>
          <w:sz w:val="27"/>
          <w:rtl/>
        </w:rPr>
        <w:t>»</w:t>
      </w:r>
      <w:r w:rsidRPr="00904FCB">
        <w:rPr>
          <w:rFonts w:hint="cs"/>
          <w:sz w:val="27"/>
          <w:rtl/>
        </w:rPr>
        <w:t xml:space="preserve">. </w:t>
      </w:r>
      <w:r w:rsidRPr="00904FCB">
        <w:rPr>
          <w:rFonts w:hint="cs"/>
          <w:b/>
          <w:bCs/>
          <w:sz w:val="27"/>
          <w:rtl/>
        </w:rPr>
        <w:t>وثانياً</w:t>
      </w:r>
      <w:r w:rsidRPr="00904FCB">
        <w:rPr>
          <w:rFonts w:hint="cs"/>
          <w:sz w:val="27"/>
          <w:rtl/>
        </w:rPr>
        <w:t xml:space="preserve">: مفهوم </w:t>
      </w:r>
      <w:r w:rsidRPr="00904FCB">
        <w:rPr>
          <w:rFonts w:hint="eastAsia"/>
          <w:sz w:val="27"/>
          <w:rtl/>
        </w:rPr>
        <w:t>«</w:t>
      </w:r>
      <w:r w:rsidRPr="00904FCB">
        <w:rPr>
          <w:rFonts w:hint="cs"/>
          <w:sz w:val="27"/>
          <w:rtl/>
        </w:rPr>
        <w:t>العل</w:t>
      </w:r>
      <w:r w:rsidR="00045669" w:rsidRPr="00904FCB">
        <w:rPr>
          <w:rFonts w:hint="cs"/>
          <w:sz w:val="27"/>
          <w:rtl/>
        </w:rPr>
        <w:t>ّ</w:t>
      </w:r>
      <w:r w:rsidRPr="00904FCB">
        <w:rPr>
          <w:rFonts w:hint="cs"/>
          <w:sz w:val="27"/>
          <w:rtl/>
        </w:rPr>
        <w:t>ية</w:t>
      </w:r>
      <w:r w:rsidRPr="00904FCB">
        <w:rPr>
          <w:rFonts w:hint="eastAsia"/>
          <w:sz w:val="27"/>
          <w:rtl/>
        </w:rPr>
        <w:t>»</w:t>
      </w:r>
      <w:r w:rsidRPr="00904FCB">
        <w:rPr>
          <w:sz w:val="27"/>
          <w:vertAlign w:val="superscript"/>
          <w:rtl/>
        </w:rPr>
        <w:t>(</w:t>
      </w:r>
      <w:r w:rsidRPr="00904FCB">
        <w:rPr>
          <w:sz w:val="27"/>
          <w:vertAlign w:val="superscript"/>
          <w:rtl/>
        </w:rPr>
        <w:endnoteReference w:id="62"/>
      </w:r>
      <w:r w:rsidRPr="00904FCB">
        <w:rPr>
          <w:sz w:val="27"/>
          <w:vertAlign w:val="superscript"/>
          <w:rtl/>
        </w:rPr>
        <w:t>)</w:t>
      </w:r>
      <w:r w:rsidRPr="00904FCB">
        <w:rPr>
          <w:rFonts w:hint="cs"/>
          <w:sz w:val="27"/>
          <w:rtl/>
        </w:rPr>
        <w:t xml:space="preserve">. </w:t>
      </w:r>
    </w:p>
    <w:p w:rsidR="00A45FD9" w:rsidRPr="00904FCB" w:rsidRDefault="00A45FD9" w:rsidP="00271BDF">
      <w:pPr>
        <w:spacing w:line="400" w:lineRule="exact"/>
        <w:rPr>
          <w:sz w:val="27"/>
          <w:rtl/>
          <w:lang w:bidi="ar-LB"/>
        </w:rPr>
      </w:pPr>
      <w:r w:rsidRPr="00904FCB">
        <w:rPr>
          <w:rFonts w:hint="cs"/>
          <w:sz w:val="27"/>
          <w:rtl/>
        </w:rPr>
        <w:t xml:space="preserve">يقول الدكتور سروش: </w:t>
      </w:r>
      <w:r w:rsidRPr="00904FCB">
        <w:rPr>
          <w:rFonts w:hint="eastAsia"/>
          <w:sz w:val="27"/>
          <w:rtl/>
        </w:rPr>
        <w:t>«</w:t>
      </w:r>
      <w:r w:rsidRPr="00904FCB">
        <w:rPr>
          <w:rFonts w:hint="cs"/>
          <w:sz w:val="27"/>
          <w:rtl/>
        </w:rPr>
        <w:t>منذ أن ظهر الحُس</w:t>
      </w:r>
      <w:r w:rsidR="00045669" w:rsidRPr="00904FCB">
        <w:rPr>
          <w:rFonts w:hint="cs"/>
          <w:sz w:val="27"/>
          <w:rtl/>
        </w:rPr>
        <w:t>ْ</w:t>
      </w:r>
      <w:r w:rsidRPr="00904FCB">
        <w:rPr>
          <w:rFonts w:hint="cs"/>
          <w:sz w:val="27"/>
          <w:rtl/>
        </w:rPr>
        <w:t>ن والق</w:t>
      </w:r>
      <w:r w:rsidR="00045669" w:rsidRPr="00904FCB">
        <w:rPr>
          <w:rFonts w:hint="cs"/>
          <w:sz w:val="27"/>
          <w:rtl/>
        </w:rPr>
        <w:t>ُ</w:t>
      </w:r>
      <w:r w:rsidRPr="00904FCB">
        <w:rPr>
          <w:rFonts w:hint="cs"/>
          <w:sz w:val="27"/>
          <w:rtl/>
        </w:rPr>
        <w:t>ب</w:t>
      </w:r>
      <w:r w:rsidR="00045669" w:rsidRPr="00904FCB">
        <w:rPr>
          <w:rFonts w:hint="cs"/>
          <w:sz w:val="27"/>
          <w:rtl/>
        </w:rPr>
        <w:t>ْ</w:t>
      </w:r>
      <w:r w:rsidRPr="00904FCB">
        <w:rPr>
          <w:rFonts w:hint="cs"/>
          <w:sz w:val="27"/>
          <w:rtl/>
        </w:rPr>
        <w:t>ح الذاتي أضح</w:t>
      </w:r>
      <w:r w:rsidR="00045669" w:rsidRPr="00904FCB">
        <w:rPr>
          <w:rFonts w:hint="cs"/>
          <w:sz w:val="27"/>
          <w:rtl/>
        </w:rPr>
        <w:t>َ</w:t>
      </w:r>
      <w:r w:rsidRPr="00904FCB">
        <w:rPr>
          <w:rFonts w:hint="cs"/>
          <w:sz w:val="27"/>
          <w:rtl/>
        </w:rPr>
        <w:t>ت</w:t>
      </w:r>
      <w:r w:rsidR="00045669" w:rsidRPr="00904FCB">
        <w:rPr>
          <w:rFonts w:hint="cs"/>
          <w:sz w:val="27"/>
          <w:rtl/>
        </w:rPr>
        <w:t>ْ</w:t>
      </w:r>
      <w:r w:rsidRPr="00904FCB">
        <w:rPr>
          <w:rFonts w:hint="cs"/>
          <w:sz w:val="27"/>
          <w:rtl/>
        </w:rPr>
        <w:t xml:space="preserve"> الأخلاق مستغنية عن الله، وعاد</w:t>
      </w:r>
      <w:r w:rsidR="00045669" w:rsidRPr="00904FCB">
        <w:rPr>
          <w:rFonts w:hint="cs"/>
          <w:sz w:val="27"/>
          <w:rtl/>
        </w:rPr>
        <w:t>َ</w:t>
      </w:r>
      <w:r w:rsidRPr="00904FCB">
        <w:rPr>
          <w:rFonts w:hint="cs"/>
          <w:sz w:val="27"/>
          <w:rtl/>
        </w:rPr>
        <w:t>ت</w:t>
      </w:r>
      <w:r w:rsidR="00045669" w:rsidRPr="00904FCB">
        <w:rPr>
          <w:rFonts w:hint="cs"/>
          <w:sz w:val="27"/>
          <w:rtl/>
        </w:rPr>
        <w:t>ْ</w:t>
      </w:r>
      <w:r w:rsidRPr="00904FCB">
        <w:rPr>
          <w:rFonts w:hint="cs"/>
          <w:sz w:val="27"/>
          <w:rtl/>
        </w:rPr>
        <w:t xml:space="preserve"> الق</w:t>
      </w:r>
      <w:r w:rsidR="00045669" w:rsidRPr="00904FCB">
        <w:rPr>
          <w:rFonts w:hint="cs"/>
          <w:sz w:val="27"/>
          <w:rtl/>
        </w:rPr>
        <w:t>ِ</w:t>
      </w:r>
      <w:r w:rsidRPr="00904FCB">
        <w:rPr>
          <w:rFonts w:hint="cs"/>
          <w:sz w:val="27"/>
          <w:rtl/>
        </w:rPr>
        <w:t xml:space="preserve">يَم إلى ذات الأفعال، وليس إلى رفض الله وقبوله. وما </w:t>
      </w:r>
      <w:r w:rsidR="00271BDF">
        <w:rPr>
          <w:rFonts w:hint="cs"/>
          <w:sz w:val="27"/>
          <w:rtl/>
        </w:rPr>
        <w:t>إ</w:t>
      </w:r>
      <w:r w:rsidRPr="00904FCB">
        <w:rPr>
          <w:rFonts w:hint="cs"/>
          <w:sz w:val="27"/>
          <w:rtl/>
        </w:rPr>
        <w:t>ن</w:t>
      </w:r>
      <w:r w:rsidR="00271BDF">
        <w:rPr>
          <w:rFonts w:hint="cs"/>
          <w:sz w:val="27"/>
          <w:rtl/>
        </w:rPr>
        <w:t>ْ</w:t>
      </w:r>
      <w:r w:rsidRPr="00904FCB">
        <w:rPr>
          <w:rFonts w:hint="cs"/>
          <w:sz w:val="27"/>
          <w:rtl/>
        </w:rPr>
        <w:t xml:space="preserve"> استقر</w:t>
      </w:r>
      <w:r w:rsidR="00045669" w:rsidRPr="00904FCB">
        <w:rPr>
          <w:rFonts w:hint="cs"/>
          <w:sz w:val="27"/>
          <w:rtl/>
        </w:rPr>
        <w:t>ّ</w:t>
      </w:r>
      <w:r w:rsidRPr="00904FCB">
        <w:rPr>
          <w:rFonts w:hint="cs"/>
          <w:sz w:val="27"/>
          <w:rtl/>
        </w:rPr>
        <w:t xml:space="preserve"> مفهوم </w:t>
      </w:r>
      <w:r w:rsidRPr="00904FCB">
        <w:rPr>
          <w:rFonts w:hint="eastAsia"/>
          <w:sz w:val="27"/>
          <w:rtl/>
        </w:rPr>
        <w:t>«</w:t>
      </w:r>
      <w:r w:rsidRPr="00904FCB">
        <w:rPr>
          <w:rFonts w:hint="cs"/>
          <w:sz w:val="27"/>
          <w:rtl/>
        </w:rPr>
        <w:t>الطبيعة</w:t>
      </w:r>
      <w:r w:rsidRPr="00904FCB">
        <w:rPr>
          <w:rFonts w:hint="eastAsia"/>
          <w:sz w:val="27"/>
          <w:rtl/>
        </w:rPr>
        <w:t>»</w:t>
      </w:r>
      <w:r w:rsidRPr="00904FCB">
        <w:rPr>
          <w:rFonts w:hint="cs"/>
          <w:sz w:val="27"/>
          <w:rtl/>
        </w:rPr>
        <w:t xml:space="preserve"> حت</w:t>
      </w:r>
      <w:r w:rsidR="00045669" w:rsidRPr="00904FCB">
        <w:rPr>
          <w:rFonts w:hint="cs"/>
          <w:sz w:val="27"/>
          <w:rtl/>
        </w:rPr>
        <w:t>ّ</w:t>
      </w:r>
      <w:r w:rsidRPr="00904FCB">
        <w:rPr>
          <w:rFonts w:hint="cs"/>
          <w:sz w:val="27"/>
          <w:rtl/>
        </w:rPr>
        <w:t>ى أفسح المجال للعل</w:t>
      </w:r>
      <w:r w:rsidR="00045669" w:rsidRPr="00904FCB">
        <w:rPr>
          <w:rFonts w:hint="cs"/>
          <w:sz w:val="27"/>
          <w:rtl/>
        </w:rPr>
        <w:t>ّ</w:t>
      </w:r>
      <w:r w:rsidRPr="00904FCB">
        <w:rPr>
          <w:rFonts w:hint="cs"/>
          <w:sz w:val="27"/>
          <w:rtl/>
        </w:rPr>
        <w:t>ية والحقوق الطبيعية والفطرية لتقف في وجه التكاليف</w:t>
      </w:r>
      <w:r w:rsidRPr="00904FCB">
        <w:rPr>
          <w:sz w:val="27"/>
          <w:vertAlign w:val="superscript"/>
          <w:rtl/>
        </w:rPr>
        <w:t>(</w:t>
      </w:r>
      <w:r w:rsidRPr="00904FCB">
        <w:rPr>
          <w:sz w:val="27"/>
          <w:vertAlign w:val="superscript"/>
          <w:rtl/>
        </w:rPr>
        <w:endnoteReference w:id="63"/>
      </w:r>
      <w:r w:rsidRPr="00904FCB">
        <w:rPr>
          <w:sz w:val="27"/>
          <w:vertAlign w:val="superscript"/>
          <w:rtl/>
        </w:rPr>
        <w:t>)</w:t>
      </w:r>
      <w:r w:rsidRPr="00904FCB">
        <w:rPr>
          <w:rFonts w:hint="cs"/>
          <w:sz w:val="27"/>
          <w:rtl/>
        </w:rPr>
        <w:t>...</w:t>
      </w:r>
      <w:r w:rsidR="00045669" w:rsidRPr="00904FCB">
        <w:rPr>
          <w:rFonts w:hint="cs"/>
          <w:sz w:val="27"/>
          <w:rtl/>
        </w:rPr>
        <w:t>.</w:t>
      </w:r>
      <w:r w:rsidRPr="00904FCB">
        <w:rPr>
          <w:rFonts w:hint="cs"/>
          <w:sz w:val="27"/>
          <w:rtl/>
        </w:rPr>
        <w:t xml:space="preserve"> علينا أن لا نستهين بظهور مفاهيم من قبيل: </w:t>
      </w:r>
      <w:r w:rsidRPr="00904FCB">
        <w:rPr>
          <w:rFonts w:hint="eastAsia"/>
          <w:sz w:val="27"/>
          <w:rtl/>
        </w:rPr>
        <w:t>«</w:t>
      </w:r>
      <w:r w:rsidR="00045669" w:rsidRPr="00904FCB">
        <w:rPr>
          <w:rFonts w:hint="cs"/>
          <w:sz w:val="27"/>
          <w:rtl/>
        </w:rPr>
        <w:t>ا</w:t>
      </w:r>
      <w:r w:rsidRPr="00904FCB">
        <w:rPr>
          <w:rFonts w:hint="cs"/>
          <w:sz w:val="27"/>
          <w:rtl/>
        </w:rPr>
        <w:t>لذات</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الطبيعة</w:t>
      </w:r>
      <w:r w:rsidRPr="00904FCB">
        <w:rPr>
          <w:rFonts w:hint="eastAsia"/>
          <w:sz w:val="27"/>
          <w:rtl/>
        </w:rPr>
        <w:t>»</w:t>
      </w:r>
      <w:r w:rsidR="00045669" w:rsidRPr="00904FCB">
        <w:rPr>
          <w:rFonts w:hint="cs"/>
          <w:sz w:val="27"/>
          <w:rtl/>
        </w:rPr>
        <w:t>،</w:t>
      </w:r>
      <w:r w:rsidRPr="00904FCB">
        <w:rPr>
          <w:rFonts w:hint="cs"/>
          <w:sz w:val="27"/>
          <w:rtl/>
        </w:rPr>
        <w:t xml:space="preserve"> ودورهما في خلق اللاديني</w:t>
      </w:r>
      <w:r w:rsidR="00045669" w:rsidRPr="00904FCB">
        <w:rPr>
          <w:rFonts w:hint="cs"/>
          <w:sz w:val="27"/>
          <w:rtl/>
        </w:rPr>
        <w:t>ّ</w:t>
      </w:r>
      <w:r w:rsidRPr="00904FCB">
        <w:rPr>
          <w:rFonts w:hint="cs"/>
          <w:sz w:val="27"/>
          <w:rtl/>
        </w:rPr>
        <w:t>ة الفكرية. إن كل</w:t>
      </w:r>
      <w:r w:rsidR="00045669" w:rsidRPr="00904FCB">
        <w:rPr>
          <w:rFonts w:hint="cs"/>
          <w:sz w:val="27"/>
          <w:rtl/>
        </w:rPr>
        <w:t>ّ</w:t>
      </w:r>
      <w:r w:rsidRPr="00904FCB">
        <w:rPr>
          <w:rFonts w:hint="cs"/>
          <w:sz w:val="27"/>
          <w:rtl/>
        </w:rPr>
        <w:t xml:space="preserve"> ما كانت له ماهية ذاتية لا يمكن أن يكون دينيا</w:t>
      </w:r>
      <w:r w:rsidR="00045669" w:rsidRPr="00904FCB">
        <w:rPr>
          <w:rFonts w:hint="cs"/>
          <w:sz w:val="27"/>
          <w:rtl/>
        </w:rPr>
        <w:t>ً</w:t>
      </w:r>
      <w:r w:rsidRPr="00904FCB">
        <w:rPr>
          <w:rFonts w:hint="cs"/>
          <w:sz w:val="27"/>
          <w:rtl/>
        </w:rPr>
        <w:t xml:space="preserve"> من الناحية الذاتية؛ إذ لا يمكن للشيء الواحد أن تكون له ماهي</w:t>
      </w:r>
      <w:r w:rsidR="00045669" w:rsidRPr="00904FCB">
        <w:rPr>
          <w:rFonts w:hint="cs"/>
          <w:sz w:val="27"/>
          <w:rtl/>
        </w:rPr>
        <w:t>ّ</w:t>
      </w:r>
      <w:r w:rsidRPr="00904FCB">
        <w:rPr>
          <w:rFonts w:hint="cs"/>
          <w:sz w:val="27"/>
          <w:rtl/>
        </w:rPr>
        <w:t>تان وذاتان... وهكذا ولد التفكير العلماني، بمعنى التفسير المستقل</w:t>
      </w:r>
      <w:r w:rsidR="00045669" w:rsidRPr="00904FCB">
        <w:rPr>
          <w:rFonts w:hint="cs"/>
          <w:sz w:val="27"/>
          <w:rtl/>
        </w:rPr>
        <w:t>ّ</w:t>
      </w:r>
      <w:r w:rsidRPr="00904FCB">
        <w:rPr>
          <w:rFonts w:hint="cs"/>
          <w:sz w:val="27"/>
          <w:rtl/>
        </w:rPr>
        <w:t xml:space="preserve"> للأمور الأخلاقية والطبيعية، دون اللجوء إلى الله، ولم يكن قد بقي بين هذا التفكير والوصول إلى علمانية المجتمع سوى خطوة</w:t>
      </w:r>
      <w:r w:rsidR="00045669" w:rsidRPr="00904FCB">
        <w:rPr>
          <w:rFonts w:hint="cs"/>
          <w:sz w:val="27"/>
          <w:rtl/>
        </w:rPr>
        <w:t>ٍ</w:t>
      </w:r>
      <w:r w:rsidRPr="00904FCB">
        <w:rPr>
          <w:rFonts w:hint="cs"/>
          <w:sz w:val="27"/>
          <w:rtl/>
        </w:rPr>
        <w:t xml:space="preserve"> واحدة، وهي الخطوة التي تمّ</w:t>
      </w:r>
      <w:r w:rsidR="00045669" w:rsidRPr="00904FCB">
        <w:rPr>
          <w:rFonts w:hint="cs"/>
          <w:sz w:val="27"/>
          <w:rtl/>
        </w:rPr>
        <w:t>َ</w:t>
      </w:r>
      <w:r w:rsidRPr="00904FCB">
        <w:rPr>
          <w:rFonts w:hint="cs"/>
          <w:sz w:val="27"/>
          <w:rtl/>
        </w:rPr>
        <w:t xml:space="preserve"> اتخاذها في القرون الأخيرة</w:t>
      </w:r>
      <w:r w:rsidRPr="00904FCB">
        <w:rPr>
          <w:rFonts w:hint="eastAsia"/>
          <w:sz w:val="27"/>
          <w:rtl/>
        </w:rPr>
        <w:t>»</w:t>
      </w:r>
      <w:r w:rsidRPr="00904FCB">
        <w:rPr>
          <w:sz w:val="27"/>
          <w:vertAlign w:val="superscript"/>
          <w:rtl/>
        </w:rPr>
        <w:t>(</w:t>
      </w:r>
      <w:r w:rsidRPr="00904FCB">
        <w:rPr>
          <w:sz w:val="27"/>
          <w:vertAlign w:val="superscript"/>
          <w:rtl/>
        </w:rPr>
        <w:endnoteReference w:id="64"/>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tl/>
        </w:rPr>
      </w:pPr>
      <w:r w:rsidRPr="00904FCB">
        <w:rPr>
          <w:rFonts w:hint="cs"/>
          <w:sz w:val="27"/>
          <w:rtl/>
        </w:rPr>
        <w:t xml:space="preserve">نرى أنه لا ينبغي أن نعتبر مفهوم </w:t>
      </w:r>
      <w:r w:rsidRPr="00904FCB">
        <w:rPr>
          <w:rFonts w:hint="eastAsia"/>
          <w:sz w:val="27"/>
          <w:rtl/>
        </w:rPr>
        <w:t>«</w:t>
      </w:r>
      <w:r w:rsidRPr="00904FCB">
        <w:rPr>
          <w:rFonts w:hint="cs"/>
          <w:sz w:val="27"/>
          <w:rtl/>
        </w:rPr>
        <w:t>الذات</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الطبيعة</w:t>
      </w:r>
      <w:r w:rsidRPr="00904FCB">
        <w:rPr>
          <w:rFonts w:hint="eastAsia"/>
          <w:sz w:val="27"/>
          <w:rtl/>
        </w:rPr>
        <w:t>»</w:t>
      </w:r>
      <w:r w:rsidRPr="00904FCB">
        <w:rPr>
          <w:rFonts w:hint="cs"/>
          <w:sz w:val="27"/>
          <w:rtl/>
        </w:rPr>
        <w:t xml:space="preserve"> (</w:t>
      </w:r>
      <w:r w:rsidRPr="00904FCB">
        <w:rPr>
          <w:rFonts w:asciiTheme="majorBidi" w:hAnsiTheme="majorBidi" w:cstheme="majorBidi"/>
          <w:sz w:val="22"/>
          <w:szCs w:val="22"/>
        </w:rPr>
        <w:t>nature</w:t>
      </w:r>
      <w:r w:rsidRPr="00904FCB">
        <w:rPr>
          <w:rFonts w:hint="cs"/>
          <w:sz w:val="27"/>
          <w:rtl/>
        </w:rPr>
        <w:t xml:space="preserve">) مساوقاً لمفهوم </w:t>
      </w:r>
      <w:r w:rsidRPr="00904FCB">
        <w:rPr>
          <w:rFonts w:hint="eastAsia"/>
          <w:sz w:val="27"/>
          <w:rtl/>
        </w:rPr>
        <w:t>«</w:t>
      </w:r>
      <w:r w:rsidRPr="00904FCB">
        <w:rPr>
          <w:rFonts w:hint="cs"/>
          <w:sz w:val="27"/>
          <w:rtl/>
        </w:rPr>
        <w:t>الماهية</w:t>
      </w:r>
      <w:r w:rsidRPr="00904FCB">
        <w:rPr>
          <w:rFonts w:hint="eastAsia"/>
          <w:sz w:val="27"/>
          <w:rtl/>
        </w:rPr>
        <w:t>»</w:t>
      </w:r>
      <w:r w:rsidRPr="00904FCB">
        <w:rPr>
          <w:rFonts w:hint="cs"/>
          <w:sz w:val="27"/>
          <w:rtl/>
        </w:rPr>
        <w:t xml:space="preserve"> (</w:t>
      </w:r>
      <w:r w:rsidRPr="00904FCB">
        <w:rPr>
          <w:rFonts w:asciiTheme="majorBidi" w:hAnsiTheme="majorBidi" w:cstheme="majorBidi"/>
          <w:sz w:val="22"/>
          <w:szCs w:val="22"/>
        </w:rPr>
        <w:t>essense</w:t>
      </w:r>
      <w:r w:rsidRPr="00904FCB">
        <w:rPr>
          <w:rFonts w:hint="cs"/>
          <w:sz w:val="27"/>
          <w:rtl/>
        </w:rPr>
        <w:t>) بالمعنى الأرسطي للكلمة؛ لأن العلمانية الفلسفية ليست خاصة بالفلاسفة الأرسطيين أو الباحثين في الماهية</w:t>
      </w:r>
      <w:r w:rsidR="000A248D" w:rsidRPr="00904FCB">
        <w:rPr>
          <w:rFonts w:hint="cs"/>
          <w:sz w:val="27"/>
          <w:rtl/>
        </w:rPr>
        <w:t>.</w:t>
      </w:r>
      <w:r w:rsidRPr="00904FCB">
        <w:rPr>
          <w:rFonts w:hint="cs"/>
          <w:sz w:val="27"/>
          <w:rtl/>
        </w:rPr>
        <w:t xml:space="preserve"> وإن الإسمانيين (</w:t>
      </w:r>
      <w:r w:rsidRPr="00904FCB">
        <w:rPr>
          <w:rFonts w:asciiTheme="majorBidi" w:hAnsiTheme="majorBidi" w:cstheme="majorBidi"/>
          <w:sz w:val="22"/>
          <w:szCs w:val="22"/>
        </w:rPr>
        <w:t>nominalists</w:t>
      </w:r>
      <w:r w:rsidR="00271BDF">
        <w:rPr>
          <w:rFonts w:hint="cs"/>
          <w:sz w:val="27"/>
          <w:rtl/>
        </w:rPr>
        <w:t>)</w:t>
      </w:r>
      <w:r w:rsidRPr="00904FCB">
        <w:rPr>
          <w:sz w:val="27"/>
          <w:vertAlign w:val="superscript"/>
          <w:rtl/>
        </w:rPr>
        <w:t>(</w:t>
      </w:r>
      <w:r w:rsidRPr="00904FCB">
        <w:rPr>
          <w:sz w:val="27"/>
          <w:vertAlign w:val="superscript"/>
          <w:rtl/>
        </w:rPr>
        <w:endnoteReference w:id="65"/>
      </w:r>
      <w:r w:rsidRPr="00904FCB">
        <w:rPr>
          <w:sz w:val="27"/>
          <w:vertAlign w:val="superscript"/>
          <w:rtl/>
        </w:rPr>
        <w:t>)</w:t>
      </w:r>
      <w:r w:rsidRPr="00904FCB">
        <w:rPr>
          <w:rFonts w:hint="cs"/>
          <w:sz w:val="27"/>
          <w:rtl/>
        </w:rPr>
        <w:t xml:space="preserve">، وأتباع </w:t>
      </w:r>
      <w:r w:rsidRPr="00904FCB">
        <w:rPr>
          <w:rFonts w:hint="cs"/>
          <w:sz w:val="27"/>
          <w:rtl/>
        </w:rPr>
        <w:lastRenderedPageBreak/>
        <w:t>فيتكنشتاين (أنصار نظرية التشابه الأسري)</w:t>
      </w:r>
      <w:r w:rsidR="000A248D" w:rsidRPr="00904FCB">
        <w:rPr>
          <w:rFonts w:hint="cs"/>
          <w:sz w:val="27"/>
          <w:rtl/>
        </w:rPr>
        <w:t>،</w:t>
      </w:r>
      <w:r w:rsidRPr="00904FCB">
        <w:rPr>
          <w:rFonts w:hint="cs"/>
          <w:sz w:val="27"/>
          <w:rtl/>
        </w:rPr>
        <w:t xml:space="preserve"> وغيرهم مم</w:t>
      </w:r>
      <w:r w:rsidR="000A248D" w:rsidRPr="00904FCB">
        <w:rPr>
          <w:rFonts w:hint="cs"/>
          <w:sz w:val="27"/>
          <w:rtl/>
        </w:rPr>
        <w:t>َّ</w:t>
      </w:r>
      <w:r w:rsidRPr="00904FCB">
        <w:rPr>
          <w:rFonts w:hint="cs"/>
          <w:sz w:val="27"/>
          <w:rtl/>
        </w:rPr>
        <w:t>ن</w:t>
      </w:r>
      <w:r w:rsidR="000A248D" w:rsidRPr="00904FCB">
        <w:rPr>
          <w:rFonts w:hint="cs"/>
          <w:sz w:val="27"/>
          <w:rtl/>
        </w:rPr>
        <w:t>ْ</w:t>
      </w:r>
      <w:r w:rsidRPr="00904FCB">
        <w:rPr>
          <w:rFonts w:hint="cs"/>
          <w:sz w:val="27"/>
          <w:rtl/>
        </w:rPr>
        <w:t xml:space="preserve"> ينكر الماهية بالمعنى الأرسطي للكلمة، هم علماني</w:t>
      </w:r>
      <w:r w:rsidR="000A248D" w:rsidRPr="00904FCB">
        <w:rPr>
          <w:rFonts w:hint="cs"/>
          <w:sz w:val="27"/>
          <w:rtl/>
        </w:rPr>
        <w:t>ّ</w:t>
      </w:r>
      <w:r w:rsidRPr="00904FCB">
        <w:rPr>
          <w:rFonts w:hint="cs"/>
          <w:sz w:val="27"/>
          <w:rtl/>
        </w:rPr>
        <w:t>ون بنفس النسبة أيضاً. باعتقادنا إن من مسل</w:t>
      </w:r>
      <w:r w:rsidR="000A248D" w:rsidRPr="00904FCB">
        <w:rPr>
          <w:rFonts w:hint="cs"/>
          <w:sz w:val="27"/>
          <w:rtl/>
        </w:rPr>
        <w:t>َّ</w:t>
      </w:r>
      <w:r w:rsidRPr="00904FCB">
        <w:rPr>
          <w:rFonts w:hint="cs"/>
          <w:sz w:val="27"/>
          <w:rtl/>
        </w:rPr>
        <w:t xml:space="preserve">مات الجوهرية للتفكير الفلسفي القول بأن </w:t>
      </w:r>
      <w:r w:rsidRPr="00904FCB">
        <w:rPr>
          <w:rFonts w:hint="eastAsia"/>
          <w:sz w:val="27"/>
          <w:rtl/>
        </w:rPr>
        <w:t>«</w:t>
      </w:r>
      <w:r w:rsidRPr="00904FCB">
        <w:rPr>
          <w:rFonts w:hint="cs"/>
          <w:sz w:val="27"/>
          <w:rtl/>
        </w:rPr>
        <w:t>عالم الواقع أوسع من عالم الوجود</w:t>
      </w:r>
      <w:r w:rsidRPr="00904FCB">
        <w:rPr>
          <w:rFonts w:hint="eastAsia"/>
          <w:sz w:val="27"/>
          <w:rtl/>
        </w:rPr>
        <w:t>»</w:t>
      </w:r>
      <w:r w:rsidRPr="00904FCB">
        <w:rPr>
          <w:rFonts w:hint="cs"/>
          <w:sz w:val="27"/>
          <w:rtl/>
        </w:rPr>
        <w:t>، و</w:t>
      </w:r>
      <w:r w:rsidR="000A248D" w:rsidRPr="00904FCB">
        <w:rPr>
          <w:rFonts w:hint="cs"/>
          <w:sz w:val="27"/>
          <w:rtl/>
        </w:rPr>
        <w:t>أ</w:t>
      </w:r>
      <w:r w:rsidRPr="00904FCB">
        <w:rPr>
          <w:rFonts w:hint="cs"/>
          <w:sz w:val="27"/>
          <w:rtl/>
        </w:rPr>
        <w:t xml:space="preserve">ن هناك الكثير من الأمور </w:t>
      </w:r>
      <w:r w:rsidRPr="00904FCB">
        <w:rPr>
          <w:rFonts w:hint="eastAsia"/>
          <w:sz w:val="27"/>
          <w:rtl/>
        </w:rPr>
        <w:t>«</w:t>
      </w:r>
      <w:r w:rsidRPr="00904FCB">
        <w:rPr>
          <w:rFonts w:hint="cs"/>
          <w:sz w:val="27"/>
          <w:rtl/>
        </w:rPr>
        <w:t>الواقعية</w:t>
      </w:r>
      <w:r w:rsidRPr="00904FCB">
        <w:rPr>
          <w:rFonts w:hint="eastAsia"/>
          <w:sz w:val="27"/>
          <w:rtl/>
        </w:rPr>
        <w:t>»</w:t>
      </w:r>
      <w:r w:rsidRPr="00904FCB">
        <w:rPr>
          <w:rFonts w:hint="cs"/>
          <w:sz w:val="27"/>
          <w:rtl/>
        </w:rPr>
        <w:t xml:space="preserve"> التي لا </w:t>
      </w:r>
      <w:r w:rsidRPr="00904FCB">
        <w:rPr>
          <w:rFonts w:hint="eastAsia"/>
          <w:sz w:val="27"/>
          <w:rtl/>
        </w:rPr>
        <w:t>«</w:t>
      </w:r>
      <w:r w:rsidRPr="00904FCB">
        <w:rPr>
          <w:rFonts w:hint="cs"/>
          <w:sz w:val="27"/>
          <w:rtl/>
        </w:rPr>
        <w:t>وجود</w:t>
      </w:r>
      <w:r w:rsidRPr="00904FCB">
        <w:rPr>
          <w:rFonts w:hint="eastAsia"/>
          <w:sz w:val="27"/>
          <w:rtl/>
        </w:rPr>
        <w:t>»</w:t>
      </w:r>
      <w:r w:rsidRPr="00904FCB">
        <w:rPr>
          <w:rFonts w:hint="cs"/>
          <w:sz w:val="27"/>
          <w:rtl/>
        </w:rPr>
        <w:t xml:space="preserve"> لها، و</w:t>
      </w:r>
      <w:r w:rsidR="000A248D" w:rsidRPr="00904FCB">
        <w:rPr>
          <w:rFonts w:hint="cs"/>
          <w:sz w:val="27"/>
          <w:rtl/>
        </w:rPr>
        <w:t>أ</w:t>
      </w:r>
      <w:r w:rsidRPr="00904FCB">
        <w:rPr>
          <w:rFonts w:hint="cs"/>
          <w:sz w:val="27"/>
          <w:rtl/>
        </w:rPr>
        <w:t>ن الفرد عندما يفك</w:t>
      </w:r>
      <w:r w:rsidR="000A248D" w:rsidRPr="00904FCB">
        <w:rPr>
          <w:rFonts w:hint="cs"/>
          <w:sz w:val="27"/>
          <w:rtl/>
        </w:rPr>
        <w:t>ّ</w:t>
      </w:r>
      <w:r w:rsidRPr="00904FCB">
        <w:rPr>
          <w:rFonts w:hint="cs"/>
          <w:sz w:val="27"/>
          <w:rtl/>
        </w:rPr>
        <w:t>ر في بنية الواقعية من خلال الأساليب الفلسفية يدرك أن هذه البنية تشتمل على لوازم ومقتضيات (معيارية وغير معيارية) تعتبر من صفاته الضرورية</w:t>
      </w:r>
      <w:r w:rsidR="000A248D" w:rsidRPr="00904FCB">
        <w:rPr>
          <w:rFonts w:hint="cs"/>
          <w:sz w:val="27"/>
          <w:rtl/>
        </w:rPr>
        <w:t>،</w:t>
      </w:r>
      <w:r w:rsidRPr="00904FCB">
        <w:rPr>
          <w:rFonts w:hint="cs"/>
          <w:sz w:val="27"/>
          <w:rtl/>
        </w:rPr>
        <w:t xml:space="preserve"> ومن جملة مقوّماته، وأن بالإمكان التعر</w:t>
      </w:r>
      <w:r w:rsidR="000A248D" w:rsidRPr="00904FCB">
        <w:rPr>
          <w:rFonts w:hint="cs"/>
          <w:sz w:val="27"/>
          <w:rtl/>
        </w:rPr>
        <w:t>ُّ</w:t>
      </w:r>
      <w:r w:rsidRPr="00904FCB">
        <w:rPr>
          <w:rFonts w:hint="cs"/>
          <w:sz w:val="27"/>
          <w:rtl/>
        </w:rPr>
        <w:t>ف عليها بغض</w:t>
      </w:r>
      <w:r w:rsidR="000A248D" w:rsidRPr="00904FCB">
        <w:rPr>
          <w:rFonts w:hint="cs"/>
          <w:sz w:val="27"/>
          <w:rtl/>
        </w:rPr>
        <w:t>ّ</w:t>
      </w:r>
      <w:r w:rsidRPr="00904FCB">
        <w:rPr>
          <w:rFonts w:hint="cs"/>
          <w:sz w:val="27"/>
          <w:rtl/>
        </w:rPr>
        <w:t xml:space="preserve"> النظر عن الأمور الع</w:t>
      </w:r>
      <w:r w:rsidR="000A248D" w:rsidRPr="00904FCB">
        <w:rPr>
          <w:rFonts w:hint="cs"/>
          <w:sz w:val="27"/>
          <w:rtl/>
        </w:rPr>
        <w:t>َ</w:t>
      </w:r>
      <w:r w:rsidRPr="00904FCB">
        <w:rPr>
          <w:rFonts w:hint="cs"/>
          <w:sz w:val="27"/>
          <w:rtl/>
        </w:rPr>
        <w:t>ر</w:t>
      </w:r>
      <w:r w:rsidR="000A248D" w:rsidRPr="00904FCB">
        <w:rPr>
          <w:rFonts w:hint="cs"/>
          <w:sz w:val="27"/>
          <w:rtl/>
        </w:rPr>
        <w:t>َ</w:t>
      </w:r>
      <w:r w:rsidRPr="00904FCB">
        <w:rPr>
          <w:rFonts w:hint="cs"/>
          <w:sz w:val="27"/>
          <w:rtl/>
        </w:rPr>
        <w:t>ضية، ومن خلال التأم</w:t>
      </w:r>
      <w:r w:rsidR="000A248D" w:rsidRPr="00904FCB">
        <w:rPr>
          <w:rFonts w:hint="cs"/>
          <w:sz w:val="27"/>
          <w:rtl/>
        </w:rPr>
        <w:t>ُّ</w:t>
      </w:r>
      <w:r w:rsidRPr="00904FCB">
        <w:rPr>
          <w:rFonts w:hint="cs"/>
          <w:sz w:val="27"/>
          <w:rtl/>
        </w:rPr>
        <w:t xml:space="preserve">ل في مورد ذات هذه البنية، دون الرجوع إلى الوحي والنصوص الدينية، وانتزاعها من موصوفها وحملها عليه. </w:t>
      </w:r>
    </w:p>
    <w:p w:rsidR="00A45FD9" w:rsidRPr="00904FCB" w:rsidRDefault="00A45FD9" w:rsidP="007A21AA">
      <w:pPr>
        <w:spacing w:line="400" w:lineRule="exact"/>
        <w:rPr>
          <w:sz w:val="27"/>
          <w:rtl/>
        </w:rPr>
      </w:pPr>
      <w:r w:rsidRPr="00904FCB">
        <w:rPr>
          <w:rFonts w:hint="cs"/>
          <w:sz w:val="27"/>
          <w:rtl/>
        </w:rPr>
        <w:t xml:space="preserve">إن الفلاسفة الأرسطيين ينسبون هذه اللوازم والمقتضيات إلى </w:t>
      </w:r>
      <w:r w:rsidRPr="00904FCB">
        <w:rPr>
          <w:rFonts w:hint="eastAsia"/>
          <w:sz w:val="27"/>
          <w:rtl/>
        </w:rPr>
        <w:t>«</w:t>
      </w:r>
      <w:r w:rsidRPr="00904FCB">
        <w:rPr>
          <w:rFonts w:hint="cs"/>
          <w:sz w:val="27"/>
          <w:rtl/>
        </w:rPr>
        <w:t>ماهية</w:t>
      </w:r>
      <w:r w:rsidRPr="00904FCB">
        <w:rPr>
          <w:rFonts w:hint="eastAsia"/>
          <w:sz w:val="27"/>
          <w:rtl/>
        </w:rPr>
        <w:t>»</w:t>
      </w:r>
      <w:r w:rsidRPr="00904FCB">
        <w:rPr>
          <w:rFonts w:hint="cs"/>
          <w:sz w:val="27"/>
          <w:rtl/>
        </w:rPr>
        <w:t xml:space="preserve"> الأشياء، أما الآخرون فينسبونها إلى </w:t>
      </w:r>
      <w:r w:rsidRPr="00904FCB">
        <w:rPr>
          <w:rFonts w:hint="eastAsia"/>
          <w:sz w:val="27"/>
          <w:rtl/>
        </w:rPr>
        <w:t>«</w:t>
      </w:r>
      <w:r w:rsidRPr="00904FCB">
        <w:rPr>
          <w:rFonts w:hint="cs"/>
          <w:sz w:val="27"/>
          <w:rtl/>
        </w:rPr>
        <w:t>الواقعية</w:t>
      </w:r>
      <w:r w:rsidRPr="00904FCB">
        <w:rPr>
          <w:rFonts w:hint="eastAsia"/>
          <w:sz w:val="27"/>
          <w:rtl/>
        </w:rPr>
        <w:t>»</w:t>
      </w:r>
      <w:r w:rsidRPr="00904FCB">
        <w:rPr>
          <w:rFonts w:hint="cs"/>
          <w:sz w:val="27"/>
          <w:rtl/>
        </w:rPr>
        <w:t>. وعليه يجب القول</w:t>
      </w:r>
      <w:r w:rsidR="000A248D" w:rsidRPr="00904FCB">
        <w:rPr>
          <w:rFonts w:hint="cs"/>
          <w:sz w:val="27"/>
          <w:rtl/>
        </w:rPr>
        <w:t>:</w:t>
      </w:r>
      <w:r w:rsidRPr="00904FCB">
        <w:rPr>
          <w:rFonts w:hint="cs"/>
          <w:sz w:val="27"/>
          <w:rtl/>
        </w:rPr>
        <w:t xml:space="preserve"> إن العلمانية الفلسفية عبارة عن: </w:t>
      </w:r>
    </w:p>
    <w:p w:rsidR="00A45FD9" w:rsidRPr="00904FCB" w:rsidRDefault="00A45FD9" w:rsidP="007A21AA">
      <w:pPr>
        <w:spacing w:line="400" w:lineRule="exact"/>
        <w:rPr>
          <w:sz w:val="27"/>
          <w:rtl/>
        </w:rPr>
      </w:pPr>
      <w:r w:rsidRPr="00F03AF0">
        <w:rPr>
          <w:rFonts w:hint="cs"/>
          <w:sz w:val="27"/>
          <w:rtl/>
        </w:rPr>
        <w:t xml:space="preserve">1ـ القول بوجود </w:t>
      </w:r>
      <w:r w:rsidRPr="00F03AF0">
        <w:rPr>
          <w:rFonts w:hint="eastAsia"/>
          <w:sz w:val="27"/>
          <w:rtl/>
        </w:rPr>
        <w:t>«</w:t>
      </w:r>
      <w:r w:rsidRPr="00F03AF0">
        <w:rPr>
          <w:rFonts w:hint="cs"/>
          <w:sz w:val="27"/>
          <w:rtl/>
        </w:rPr>
        <w:t>الأوصاف</w:t>
      </w:r>
      <w:r w:rsidRPr="00F03AF0">
        <w:rPr>
          <w:rFonts w:hint="eastAsia"/>
          <w:sz w:val="27"/>
          <w:rtl/>
        </w:rPr>
        <w:t>»</w:t>
      </w:r>
      <w:r w:rsidRPr="00F03AF0">
        <w:rPr>
          <w:rFonts w:hint="cs"/>
          <w:sz w:val="27"/>
          <w:rtl/>
        </w:rPr>
        <w:t xml:space="preserve"> الذاتية، و</w:t>
      </w:r>
      <w:r w:rsidRPr="00F03AF0">
        <w:rPr>
          <w:rFonts w:hint="eastAsia"/>
          <w:sz w:val="27"/>
          <w:rtl/>
        </w:rPr>
        <w:t>«</w:t>
      </w:r>
      <w:r w:rsidRPr="00F03AF0">
        <w:rPr>
          <w:rFonts w:hint="cs"/>
          <w:sz w:val="27"/>
          <w:rtl/>
        </w:rPr>
        <w:t>الروابط</w:t>
      </w:r>
      <w:r w:rsidRPr="00F03AF0">
        <w:rPr>
          <w:rFonts w:hint="eastAsia"/>
          <w:sz w:val="27"/>
          <w:rtl/>
        </w:rPr>
        <w:t>»</w:t>
      </w:r>
      <w:r w:rsidRPr="00F03AF0">
        <w:rPr>
          <w:rFonts w:hint="cs"/>
          <w:sz w:val="27"/>
          <w:rtl/>
        </w:rPr>
        <w:t xml:space="preserve"> الضرورية والمستقل</w:t>
      </w:r>
      <w:r w:rsidR="000A248D" w:rsidRPr="00F03AF0">
        <w:rPr>
          <w:rFonts w:hint="cs"/>
          <w:sz w:val="27"/>
          <w:rtl/>
        </w:rPr>
        <w:t>ّ</w:t>
      </w:r>
      <w:r w:rsidRPr="00F03AF0">
        <w:rPr>
          <w:rFonts w:hint="cs"/>
          <w:sz w:val="27"/>
          <w:rtl/>
        </w:rPr>
        <w:t>ة عن إرداة</w:t>
      </w:r>
      <w:r w:rsidRPr="00904FCB">
        <w:rPr>
          <w:rFonts w:hint="cs"/>
          <w:sz w:val="27"/>
          <w:rtl/>
        </w:rPr>
        <w:t xml:space="preserve"> الله، ضمن ظواهر العالم. </w:t>
      </w:r>
    </w:p>
    <w:p w:rsidR="00A45FD9" w:rsidRPr="00904FCB" w:rsidRDefault="00A45FD9" w:rsidP="007A21AA">
      <w:pPr>
        <w:spacing w:line="400" w:lineRule="exact"/>
        <w:rPr>
          <w:sz w:val="27"/>
          <w:rtl/>
        </w:rPr>
      </w:pPr>
      <w:r w:rsidRPr="00F03AF0">
        <w:rPr>
          <w:rFonts w:hint="cs"/>
          <w:sz w:val="27"/>
          <w:rtl/>
        </w:rPr>
        <w:t>2ـ القول بإمكان التعر</w:t>
      </w:r>
      <w:r w:rsidR="000A248D" w:rsidRPr="00F03AF0">
        <w:rPr>
          <w:rFonts w:hint="cs"/>
          <w:sz w:val="27"/>
          <w:rtl/>
        </w:rPr>
        <w:t>ُّ</w:t>
      </w:r>
      <w:r w:rsidRPr="00F03AF0">
        <w:rPr>
          <w:rFonts w:hint="cs"/>
          <w:sz w:val="27"/>
          <w:rtl/>
        </w:rPr>
        <w:t>ف على هذه الأوصاف والروابط، دون الرجوع إلى الوحي</w:t>
      </w:r>
      <w:r w:rsidRPr="00904FCB">
        <w:rPr>
          <w:rFonts w:hint="cs"/>
          <w:sz w:val="27"/>
          <w:rtl/>
        </w:rPr>
        <w:t xml:space="preserve"> والنصوص الدينية</w:t>
      </w:r>
      <w:r w:rsidRPr="00904FCB">
        <w:rPr>
          <w:sz w:val="27"/>
          <w:vertAlign w:val="superscript"/>
          <w:rtl/>
        </w:rPr>
        <w:t>(</w:t>
      </w:r>
      <w:r w:rsidRPr="00904FCB">
        <w:rPr>
          <w:sz w:val="27"/>
          <w:vertAlign w:val="superscript"/>
          <w:rtl/>
        </w:rPr>
        <w:endnoteReference w:id="66"/>
      </w:r>
      <w:r w:rsidRPr="00904FCB">
        <w:rPr>
          <w:sz w:val="27"/>
          <w:vertAlign w:val="superscript"/>
          <w:rtl/>
        </w:rPr>
        <w:t>)</w:t>
      </w:r>
      <w:r w:rsidRPr="00904FCB">
        <w:rPr>
          <w:rFonts w:hint="cs"/>
          <w:sz w:val="27"/>
          <w:rtl/>
        </w:rPr>
        <w:t xml:space="preserve">. </w:t>
      </w:r>
    </w:p>
    <w:p w:rsidR="00A45FD9" w:rsidRPr="00904FCB" w:rsidRDefault="00A45FD9" w:rsidP="007A21AA">
      <w:pPr>
        <w:spacing w:line="400" w:lineRule="exact"/>
        <w:rPr>
          <w:sz w:val="27"/>
        </w:rPr>
      </w:pPr>
      <w:r w:rsidRPr="00904FCB">
        <w:rPr>
          <w:rFonts w:hint="cs"/>
          <w:sz w:val="27"/>
          <w:rtl/>
        </w:rPr>
        <w:t>وبطبيعة الحال فإن الفلاسفة الإغريقيين وأتباعهم من المسلمين وغير المسلمين إنما ينسبون هذه الأوصاف والروابط إلى ماهي</w:t>
      </w:r>
      <w:r w:rsidR="000A248D" w:rsidRPr="00904FCB">
        <w:rPr>
          <w:rFonts w:hint="cs"/>
          <w:sz w:val="27"/>
          <w:rtl/>
        </w:rPr>
        <w:t>ّ</w:t>
      </w:r>
      <w:r w:rsidRPr="00904FCB">
        <w:rPr>
          <w:rFonts w:hint="cs"/>
          <w:sz w:val="27"/>
          <w:rtl/>
        </w:rPr>
        <w:t>ة الأشياء، إلا</w:t>
      </w:r>
      <w:r w:rsidR="000A248D" w:rsidRPr="00904FCB">
        <w:rPr>
          <w:rFonts w:hint="cs"/>
          <w:sz w:val="27"/>
          <w:rtl/>
        </w:rPr>
        <w:t>ّ</w:t>
      </w:r>
      <w:r w:rsidRPr="00904FCB">
        <w:rPr>
          <w:rFonts w:hint="cs"/>
          <w:sz w:val="27"/>
          <w:rtl/>
        </w:rPr>
        <w:t xml:space="preserve"> أن الفلاسفة الذين لا يقولون بالماهية يمكنهم الالتزام بوجود مثل هذه الأوصاف الذاتي</w:t>
      </w:r>
      <w:r w:rsidR="000A248D" w:rsidRPr="00904FCB">
        <w:rPr>
          <w:rFonts w:hint="cs"/>
          <w:sz w:val="27"/>
          <w:rtl/>
        </w:rPr>
        <w:t>ّ</w:t>
      </w:r>
      <w:r w:rsidRPr="00904FCB">
        <w:rPr>
          <w:rFonts w:hint="cs"/>
          <w:sz w:val="27"/>
          <w:rtl/>
        </w:rPr>
        <w:t>ة والروابط الضرورية أيضا</w:t>
      </w:r>
      <w:r w:rsidR="000A248D" w:rsidRPr="00904FCB">
        <w:rPr>
          <w:rFonts w:hint="cs"/>
          <w:sz w:val="27"/>
          <w:rtl/>
        </w:rPr>
        <w:t>ً</w:t>
      </w:r>
      <w:r w:rsidRPr="00904FCB">
        <w:rPr>
          <w:sz w:val="27"/>
          <w:vertAlign w:val="superscript"/>
          <w:rtl/>
        </w:rPr>
        <w:t>(</w:t>
      </w:r>
      <w:r w:rsidRPr="00904FCB">
        <w:rPr>
          <w:sz w:val="27"/>
          <w:vertAlign w:val="superscript"/>
          <w:rtl/>
        </w:rPr>
        <w:endnoteReference w:id="67"/>
      </w:r>
      <w:r w:rsidRPr="00904FCB">
        <w:rPr>
          <w:sz w:val="27"/>
          <w:vertAlign w:val="superscript"/>
          <w:rtl/>
        </w:rPr>
        <w:t>)</w:t>
      </w:r>
      <w:r w:rsidRPr="00904FCB">
        <w:rPr>
          <w:rFonts w:hint="cs"/>
          <w:sz w:val="27"/>
          <w:rtl/>
        </w:rPr>
        <w:t>. بل ربما أمكن القول</w:t>
      </w:r>
      <w:r w:rsidR="000A248D" w:rsidRPr="00904FCB">
        <w:rPr>
          <w:rFonts w:hint="cs"/>
          <w:sz w:val="27"/>
          <w:rtl/>
        </w:rPr>
        <w:t>:</w:t>
      </w:r>
      <w:r w:rsidRPr="00904FCB">
        <w:rPr>
          <w:rFonts w:hint="cs"/>
          <w:sz w:val="27"/>
          <w:rtl/>
        </w:rPr>
        <w:t xml:space="preserve"> إن معنى الضرورة والذاتية في هذا التعريف ليس سوى الاستقلال الوجودي والمعرفي عن إرادة الإله الشارع (الدين)، بمعنى أن </w:t>
      </w:r>
      <w:r w:rsidRPr="00904FCB">
        <w:rPr>
          <w:rFonts w:hint="eastAsia"/>
          <w:sz w:val="27"/>
          <w:rtl/>
        </w:rPr>
        <w:t>«</w:t>
      </w:r>
      <w:r w:rsidRPr="00904FCB">
        <w:rPr>
          <w:rFonts w:hint="cs"/>
          <w:sz w:val="27"/>
          <w:rtl/>
        </w:rPr>
        <w:t>الضرورة</w:t>
      </w:r>
      <w:r w:rsidRPr="00904FCB">
        <w:rPr>
          <w:rFonts w:hint="eastAsia"/>
          <w:sz w:val="27"/>
          <w:rtl/>
        </w:rPr>
        <w:t>»</w:t>
      </w:r>
      <w:r w:rsidRPr="00904FCB">
        <w:rPr>
          <w:rFonts w:hint="cs"/>
          <w:sz w:val="27"/>
          <w:rtl/>
        </w:rPr>
        <w:t xml:space="preserve"> و</w:t>
      </w:r>
      <w:r w:rsidRPr="00904FCB">
        <w:rPr>
          <w:rFonts w:hint="eastAsia"/>
          <w:sz w:val="27"/>
          <w:rtl/>
        </w:rPr>
        <w:t>«</w:t>
      </w:r>
      <w:r w:rsidRPr="00904FCB">
        <w:rPr>
          <w:rFonts w:hint="cs"/>
          <w:sz w:val="27"/>
          <w:rtl/>
        </w:rPr>
        <w:t>الذات</w:t>
      </w:r>
      <w:r w:rsidRPr="00904FCB">
        <w:rPr>
          <w:rFonts w:hint="eastAsia"/>
          <w:sz w:val="27"/>
          <w:rtl/>
        </w:rPr>
        <w:t>»</w:t>
      </w:r>
      <w:r w:rsidRPr="00904FCB">
        <w:rPr>
          <w:rFonts w:hint="cs"/>
          <w:sz w:val="27"/>
          <w:rtl/>
        </w:rPr>
        <w:t xml:space="preserve"> هنا تساوق عبارة </w:t>
      </w:r>
      <w:r w:rsidRPr="00904FCB">
        <w:rPr>
          <w:rFonts w:hint="eastAsia"/>
          <w:sz w:val="27"/>
          <w:rtl/>
        </w:rPr>
        <w:t>«</w:t>
      </w:r>
      <w:r w:rsidRPr="00904FCB">
        <w:rPr>
          <w:rFonts w:hint="cs"/>
          <w:sz w:val="27"/>
          <w:rtl/>
        </w:rPr>
        <w:t>في حد</w:t>
      </w:r>
      <w:r w:rsidR="000A248D" w:rsidRPr="00904FCB">
        <w:rPr>
          <w:rFonts w:hint="cs"/>
          <w:sz w:val="27"/>
          <w:rtl/>
        </w:rPr>
        <w:t>ّ</w:t>
      </w:r>
      <w:r w:rsidRPr="00904FCB">
        <w:rPr>
          <w:rFonts w:hint="cs"/>
          <w:sz w:val="27"/>
          <w:rtl/>
        </w:rPr>
        <w:t xml:space="preserve"> نفسه</w:t>
      </w:r>
      <w:r w:rsidRPr="00904FCB">
        <w:rPr>
          <w:rFonts w:hint="eastAsia"/>
          <w:sz w:val="27"/>
          <w:rtl/>
        </w:rPr>
        <w:t>»</w:t>
      </w:r>
      <w:r w:rsidR="000A248D" w:rsidRPr="00904FCB">
        <w:rPr>
          <w:rFonts w:hint="cs"/>
          <w:sz w:val="27"/>
          <w:rtl/>
        </w:rPr>
        <w:t>،</w:t>
      </w:r>
      <w:r w:rsidRPr="00904FCB">
        <w:rPr>
          <w:rFonts w:hint="cs"/>
          <w:sz w:val="27"/>
          <w:rtl/>
        </w:rPr>
        <w:t xml:space="preserve"> أو </w:t>
      </w:r>
      <w:r w:rsidRPr="00904FCB">
        <w:rPr>
          <w:rFonts w:hint="eastAsia"/>
          <w:sz w:val="27"/>
          <w:rtl/>
        </w:rPr>
        <w:t>«</w:t>
      </w:r>
      <w:r w:rsidRPr="00904FCB">
        <w:rPr>
          <w:rFonts w:hint="cs"/>
          <w:sz w:val="27"/>
          <w:rtl/>
        </w:rPr>
        <w:t>بما هو هو</w:t>
      </w:r>
      <w:r w:rsidRPr="00904FCB">
        <w:rPr>
          <w:rFonts w:hint="eastAsia"/>
          <w:sz w:val="27"/>
          <w:rtl/>
        </w:rPr>
        <w:t>»</w:t>
      </w:r>
      <w:r w:rsidRPr="00904FCB">
        <w:rPr>
          <w:rFonts w:hint="cs"/>
          <w:sz w:val="27"/>
          <w:rtl/>
        </w:rPr>
        <w:t>. إن المراد هو أننا عندما نأخذ (أ) بما هي (أ) بنظر الاعتبار، وبغض</w:t>
      </w:r>
      <w:r w:rsidR="000A248D" w:rsidRPr="00904FCB">
        <w:rPr>
          <w:rFonts w:hint="cs"/>
          <w:sz w:val="27"/>
          <w:rtl/>
        </w:rPr>
        <w:t>ّ</w:t>
      </w:r>
      <w:r w:rsidRPr="00904FCB">
        <w:rPr>
          <w:rFonts w:hint="cs"/>
          <w:sz w:val="27"/>
          <w:rtl/>
        </w:rPr>
        <w:t xml:space="preserve"> النظر عن ربطها ونسبتها إلى الدين والإله، نجد أن (أ) تشتمل على وصف (ب)</w:t>
      </w:r>
      <w:r w:rsidR="000A248D" w:rsidRPr="00904FCB">
        <w:rPr>
          <w:rFonts w:hint="cs"/>
          <w:sz w:val="27"/>
          <w:rtl/>
        </w:rPr>
        <w:t>؛</w:t>
      </w:r>
      <w:r w:rsidRPr="00904FCB">
        <w:rPr>
          <w:rFonts w:hint="cs"/>
          <w:sz w:val="27"/>
          <w:rtl/>
        </w:rPr>
        <w:t xml:space="preserve"> أو عندما نأخذ (أ) و(ب) بنظر الاعتبار</w:t>
      </w:r>
      <w:r w:rsidR="000A248D" w:rsidRPr="00904FCB">
        <w:rPr>
          <w:rFonts w:hint="cs"/>
          <w:sz w:val="27"/>
          <w:rtl/>
        </w:rPr>
        <w:t>،</w:t>
      </w:r>
      <w:r w:rsidRPr="00904FCB">
        <w:rPr>
          <w:rFonts w:hint="cs"/>
          <w:sz w:val="27"/>
          <w:rtl/>
        </w:rPr>
        <w:t xml:space="preserve"> وبغض</w:t>
      </w:r>
      <w:r w:rsidR="000A248D" w:rsidRPr="00904FCB">
        <w:rPr>
          <w:rFonts w:hint="cs"/>
          <w:sz w:val="27"/>
          <w:rtl/>
        </w:rPr>
        <w:t>ّ</w:t>
      </w:r>
      <w:r w:rsidRPr="00904FCB">
        <w:rPr>
          <w:rFonts w:hint="cs"/>
          <w:sz w:val="27"/>
          <w:rtl/>
        </w:rPr>
        <w:t xml:space="preserve"> النظر عن ربطهما ونسبتهما إلى الدين والإله، ندرك أن بينهما رابطة ضرورية. وعليه فإن القول بوجود الذاتيات (الأوصاف، والروابط واللوازم الذاتية) لا يستلزم القول </w:t>
      </w:r>
      <w:r w:rsidRPr="00904FCB">
        <w:rPr>
          <w:rFonts w:hint="cs"/>
          <w:sz w:val="27"/>
          <w:rtl/>
        </w:rPr>
        <w:lastRenderedPageBreak/>
        <w:t>بوجود الذات (</w:t>
      </w:r>
      <w:r w:rsidRPr="00904FCB">
        <w:rPr>
          <w:rFonts w:asciiTheme="majorBidi" w:hAnsiTheme="majorBidi" w:cstheme="majorBidi"/>
          <w:sz w:val="22"/>
          <w:szCs w:val="22"/>
        </w:rPr>
        <w:t>essence</w:t>
      </w:r>
      <w:r w:rsidRPr="00904FCB">
        <w:rPr>
          <w:rFonts w:hint="cs"/>
          <w:sz w:val="27"/>
          <w:rtl/>
        </w:rPr>
        <w:t xml:space="preserve">)، ولا يعتبر أصالة الماهية أمراً مفروغاً عنه. </w:t>
      </w:r>
    </w:p>
    <w:p w:rsidR="00A45FD9" w:rsidRPr="00904FCB" w:rsidRDefault="00A45FD9" w:rsidP="007A21AA">
      <w:pPr>
        <w:spacing w:line="400" w:lineRule="exact"/>
        <w:rPr>
          <w:sz w:val="27"/>
        </w:rPr>
      </w:pPr>
      <w:r w:rsidRPr="00904FCB">
        <w:rPr>
          <w:sz w:val="27"/>
          <w:rtl/>
        </w:rPr>
        <w:t>فعلى سبيل المثال</w:t>
      </w:r>
      <w:r w:rsidR="000A248D" w:rsidRPr="00904FCB">
        <w:rPr>
          <w:rFonts w:hint="cs"/>
          <w:sz w:val="27"/>
          <w:rtl/>
        </w:rPr>
        <w:t>:</w:t>
      </w:r>
      <w:r w:rsidRPr="00904FCB">
        <w:rPr>
          <w:sz w:val="27"/>
          <w:rtl/>
        </w:rPr>
        <w:t xml:space="preserve"> يمكن لكم أن تأخذوا حُس</w:t>
      </w:r>
      <w:r w:rsidR="000A248D" w:rsidRPr="00904FCB">
        <w:rPr>
          <w:rFonts w:hint="cs"/>
          <w:sz w:val="27"/>
          <w:rtl/>
        </w:rPr>
        <w:t>ْ</w:t>
      </w:r>
      <w:r w:rsidRPr="00904FCB">
        <w:rPr>
          <w:sz w:val="27"/>
          <w:rtl/>
        </w:rPr>
        <w:t>ن وق</w:t>
      </w:r>
      <w:r w:rsidR="000A248D" w:rsidRPr="00904FCB">
        <w:rPr>
          <w:rFonts w:hint="cs"/>
          <w:sz w:val="27"/>
          <w:rtl/>
        </w:rPr>
        <w:t>ُ</w:t>
      </w:r>
      <w:r w:rsidRPr="00904FCB">
        <w:rPr>
          <w:sz w:val="27"/>
          <w:rtl/>
        </w:rPr>
        <w:t>ب</w:t>
      </w:r>
      <w:r w:rsidR="000A248D" w:rsidRPr="00904FCB">
        <w:rPr>
          <w:rFonts w:hint="cs"/>
          <w:sz w:val="27"/>
          <w:rtl/>
        </w:rPr>
        <w:t>ْ</w:t>
      </w:r>
      <w:r w:rsidRPr="00904FCB">
        <w:rPr>
          <w:sz w:val="27"/>
          <w:rtl/>
        </w:rPr>
        <w:t>ح الأفعال بنظر الاعتبار. عندما يقول فيلسوف</w:t>
      </w:r>
      <w:r w:rsidR="000A248D" w:rsidRPr="00904FCB">
        <w:rPr>
          <w:rFonts w:hint="cs"/>
          <w:sz w:val="27"/>
          <w:rtl/>
        </w:rPr>
        <w:t>ٌ</w:t>
      </w:r>
      <w:r w:rsidRPr="00904FCB">
        <w:rPr>
          <w:sz w:val="27"/>
          <w:rtl/>
        </w:rPr>
        <w:t xml:space="preserve">: </w:t>
      </w:r>
      <w:r w:rsidRPr="00904FCB">
        <w:rPr>
          <w:rFonts w:hint="eastAsia"/>
          <w:sz w:val="27"/>
          <w:rtl/>
        </w:rPr>
        <w:t>«</w:t>
      </w:r>
      <w:r w:rsidRPr="00904FCB">
        <w:rPr>
          <w:sz w:val="27"/>
          <w:rtl/>
        </w:rPr>
        <w:t>إن العدل ح</w:t>
      </w:r>
      <w:r w:rsidR="000A248D" w:rsidRPr="00904FCB">
        <w:rPr>
          <w:rFonts w:hint="cs"/>
          <w:sz w:val="27"/>
          <w:rtl/>
        </w:rPr>
        <w:t>َ</w:t>
      </w:r>
      <w:r w:rsidRPr="00904FCB">
        <w:rPr>
          <w:sz w:val="27"/>
          <w:rtl/>
        </w:rPr>
        <w:t>س</w:t>
      </w:r>
      <w:r w:rsidR="000A248D" w:rsidRPr="00904FCB">
        <w:rPr>
          <w:rFonts w:hint="cs"/>
          <w:sz w:val="27"/>
          <w:rtl/>
        </w:rPr>
        <w:t>َ</w:t>
      </w:r>
      <w:r w:rsidRPr="00904FCB">
        <w:rPr>
          <w:sz w:val="27"/>
          <w:rtl/>
        </w:rPr>
        <w:t>ن لذاته</w:t>
      </w:r>
      <w:r w:rsidRPr="00904FCB">
        <w:rPr>
          <w:rFonts w:hint="eastAsia"/>
          <w:sz w:val="27"/>
          <w:rtl/>
        </w:rPr>
        <w:t>»</w:t>
      </w:r>
      <w:r w:rsidRPr="00904FCB">
        <w:rPr>
          <w:sz w:val="27"/>
          <w:rtl/>
        </w:rPr>
        <w:t>، و</w:t>
      </w:r>
      <w:r w:rsidRPr="00904FCB">
        <w:rPr>
          <w:rFonts w:hint="eastAsia"/>
          <w:sz w:val="27"/>
          <w:rtl/>
        </w:rPr>
        <w:t>«</w:t>
      </w:r>
      <w:r w:rsidRPr="00904FCB">
        <w:rPr>
          <w:sz w:val="27"/>
          <w:rtl/>
        </w:rPr>
        <w:t>إن الظلم قبيح لذاته</w:t>
      </w:r>
      <w:r w:rsidRPr="00904FCB">
        <w:rPr>
          <w:rFonts w:hint="eastAsia"/>
          <w:sz w:val="27"/>
          <w:rtl/>
        </w:rPr>
        <w:t>»</w:t>
      </w:r>
      <w:r w:rsidR="000A248D" w:rsidRPr="00904FCB">
        <w:rPr>
          <w:rFonts w:hint="cs"/>
          <w:sz w:val="27"/>
          <w:rtl/>
        </w:rPr>
        <w:t>،</w:t>
      </w:r>
      <w:r w:rsidRPr="00904FCB">
        <w:rPr>
          <w:sz w:val="27"/>
          <w:rtl/>
        </w:rPr>
        <w:t xml:space="preserve"> لا يعني بالضرورة أن للعدل والظلم والحُسن والق</w:t>
      </w:r>
      <w:r w:rsidR="00F454F6" w:rsidRPr="00904FCB">
        <w:rPr>
          <w:rFonts w:hint="cs"/>
          <w:sz w:val="27"/>
          <w:rtl/>
        </w:rPr>
        <w:t>ُ</w:t>
      </w:r>
      <w:r w:rsidRPr="00904FCB">
        <w:rPr>
          <w:sz w:val="27"/>
          <w:rtl/>
        </w:rPr>
        <w:t xml:space="preserve">بح </w:t>
      </w:r>
      <w:r w:rsidRPr="00904FCB">
        <w:rPr>
          <w:rFonts w:hint="eastAsia"/>
          <w:sz w:val="27"/>
          <w:rtl/>
        </w:rPr>
        <w:t>«</w:t>
      </w:r>
      <w:r w:rsidRPr="00904FCB">
        <w:rPr>
          <w:sz w:val="27"/>
          <w:rtl/>
        </w:rPr>
        <w:t>ماهية</w:t>
      </w:r>
      <w:r w:rsidRPr="00904FCB">
        <w:rPr>
          <w:rFonts w:hint="eastAsia"/>
          <w:sz w:val="27"/>
          <w:rtl/>
        </w:rPr>
        <w:t>»</w:t>
      </w:r>
      <w:r w:rsidRPr="00904FCB">
        <w:rPr>
          <w:sz w:val="27"/>
          <w:rtl/>
        </w:rPr>
        <w:t xml:space="preserve"> بالمعنى الأرسطي للكلمة، وأن الحُسن والق</w:t>
      </w:r>
      <w:r w:rsidR="00F454F6" w:rsidRPr="00904FCB">
        <w:rPr>
          <w:rFonts w:hint="cs"/>
          <w:sz w:val="27"/>
          <w:rtl/>
        </w:rPr>
        <w:t>ُ</w:t>
      </w:r>
      <w:r w:rsidRPr="00904FCB">
        <w:rPr>
          <w:sz w:val="27"/>
          <w:rtl/>
        </w:rPr>
        <w:t>بح جزء من ذات العدل والظلم</w:t>
      </w:r>
      <w:r w:rsidR="00F454F6" w:rsidRPr="00904FCB">
        <w:rPr>
          <w:rFonts w:hint="cs"/>
          <w:sz w:val="27"/>
          <w:rtl/>
        </w:rPr>
        <w:t>،</w:t>
      </w:r>
      <w:r w:rsidRPr="00904FCB">
        <w:rPr>
          <w:sz w:val="27"/>
          <w:rtl/>
        </w:rPr>
        <w:t xml:space="preserve"> أو من لوازمهما الذاتية</w:t>
      </w:r>
      <w:r w:rsidR="00F454F6" w:rsidRPr="00904FCB">
        <w:rPr>
          <w:rFonts w:hint="cs"/>
          <w:sz w:val="27"/>
          <w:rtl/>
        </w:rPr>
        <w:t>،</w:t>
      </w:r>
      <w:r w:rsidRPr="00904FCB">
        <w:rPr>
          <w:sz w:val="27"/>
          <w:rtl/>
        </w:rPr>
        <w:t xml:space="preserve"> بل قد يكون مراده أننا عندما نفك</w:t>
      </w:r>
      <w:r w:rsidR="00F454F6" w:rsidRPr="00904FCB">
        <w:rPr>
          <w:rFonts w:hint="cs"/>
          <w:sz w:val="27"/>
          <w:rtl/>
        </w:rPr>
        <w:t>ّ</w:t>
      </w:r>
      <w:r w:rsidRPr="00904FCB">
        <w:rPr>
          <w:sz w:val="27"/>
          <w:rtl/>
        </w:rPr>
        <w:t>ر في العدل والظلم من الزاوية الأخلاقية، ونأخذ هذين المفهومين ـ بغض</w:t>
      </w:r>
      <w:r w:rsidR="00F454F6" w:rsidRPr="00904FCB">
        <w:rPr>
          <w:rFonts w:hint="cs"/>
          <w:sz w:val="27"/>
          <w:rtl/>
        </w:rPr>
        <w:t>ّ</w:t>
      </w:r>
      <w:r w:rsidRPr="00904FCB">
        <w:rPr>
          <w:sz w:val="27"/>
          <w:rtl/>
        </w:rPr>
        <w:t xml:space="preserve"> النظر عن جميع القيود والخصائص الأخرى التي يمكن أن تقترن بهما ـ بنظر الاعتبار، نجد طبقاً للتجربة أو الشهود الأخلاقي استحالة فصل الحُسن عن العدل، والق</w:t>
      </w:r>
      <w:r w:rsidR="00F454F6" w:rsidRPr="00904FCB">
        <w:rPr>
          <w:rFonts w:hint="cs"/>
          <w:sz w:val="27"/>
          <w:rtl/>
        </w:rPr>
        <w:t>ُ</w:t>
      </w:r>
      <w:r w:rsidRPr="00904FCB">
        <w:rPr>
          <w:sz w:val="27"/>
          <w:rtl/>
        </w:rPr>
        <w:t>بح عن الظلم، بمعنى أننا لا نستطيع العثور على مورد</w:t>
      </w:r>
      <w:r w:rsidR="00F454F6" w:rsidRPr="00904FCB">
        <w:rPr>
          <w:rFonts w:hint="cs"/>
          <w:sz w:val="27"/>
          <w:rtl/>
        </w:rPr>
        <w:t>ٍ</w:t>
      </w:r>
      <w:r w:rsidRPr="00904FCB">
        <w:rPr>
          <w:sz w:val="27"/>
          <w:rtl/>
        </w:rPr>
        <w:t xml:space="preserve"> يكون فيه العدل قبيحاً والظلم حسناً. كما يمكن لذلك الفيلسوف الأخلاق أن يكون مراده أننا نجد في العدل من حيث هو عدل</w:t>
      </w:r>
      <w:r w:rsidR="00F454F6" w:rsidRPr="00904FCB">
        <w:rPr>
          <w:rFonts w:hint="cs"/>
          <w:sz w:val="27"/>
          <w:rtl/>
        </w:rPr>
        <w:t>ٌ</w:t>
      </w:r>
      <w:r w:rsidRPr="00904FCB">
        <w:rPr>
          <w:sz w:val="27"/>
          <w:rtl/>
        </w:rPr>
        <w:t>، وفي الظلم من حيث هو ظلم</w:t>
      </w:r>
      <w:r w:rsidR="00F454F6" w:rsidRPr="00904FCB">
        <w:rPr>
          <w:rFonts w:hint="cs"/>
          <w:sz w:val="27"/>
          <w:rtl/>
        </w:rPr>
        <w:t>ٌ،</w:t>
      </w:r>
      <w:r w:rsidRPr="00904FCB">
        <w:rPr>
          <w:sz w:val="27"/>
          <w:rtl/>
        </w:rPr>
        <w:t xml:space="preserve"> خصائص تدعو كل</w:t>
      </w:r>
      <w:r w:rsidR="00F454F6" w:rsidRPr="00904FCB">
        <w:rPr>
          <w:rFonts w:hint="cs"/>
          <w:sz w:val="27"/>
          <w:rtl/>
        </w:rPr>
        <w:t>ّ</w:t>
      </w:r>
      <w:r w:rsidRPr="00904FCB">
        <w:rPr>
          <w:sz w:val="27"/>
          <w:rtl/>
        </w:rPr>
        <w:t xml:space="preserve"> عاقل إلى اعتبار وصف الحُسن للعدل، واعتبار وصف الق</w:t>
      </w:r>
      <w:r w:rsidR="00F454F6" w:rsidRPr="00904FCB">
        <w:rPr>
          <w:rFonts w:hint="cs"/>
          <w:sz w:val="27"/>
          <w:rtl/>
        </w:rPr>
        <w:t>ُ</w:t>
      </w:r>
      <w:r w:rsidRPr="00904FCB">
        <w:rPr>
          <w:sz w:val="27"/>
          <w:rtl/>
        </w:rPr>
        <w:t>بح للظلم، دون أن يكون هذا الاعتبار مستنداً إلى النصوص الدينية، ولا يأخذ تبريراته من الأدل</w:t>
      </w:r>
      <w:r w:rsidR="00F454F6" w:rsidRPr="00904FCB">
        <w:rPr>
          <w:rFonts w:hint="cs"/>
          <w:sz w:val="27"/>
          <w:rtl/>
        </w:rPr>
        <w:t>ّ</w:t>
      </w:r>
      <w:r w:rsidRPr="00904FCB">
        <w:rPr>
          <w:sz w:val="27"/>
          <w:rtl/>
        </w:rPr>
        <w:t>ة الدينية، وإن</w:t>
      </w:r>
      <w:r w:rsidR="00F454F6" w:rsidRPr="00904FCB">
        <w:rPr>
          <w:rFonts w:hint="cs"/>
          <w:sz w:val="27"/>
          <w:rtl/>
        </w:rPr>
        <w:t>ّ</w:t>
      </w:r>
      <w:r w:rsidRPr="00904FCB">
        <w:rPr>
          <w:sz w:val="27"/>
          <w:rtl/>
        </w:rPr>
        <w:t xml:space="preserve"> حجية هذا الاعتبار لا تُستمد</w:t>
      </w:r>
      <w:r w:rsidR="00F454F6" w:rsidRPr="00904FCB">
        <w:rPr>
          <w:rFonts w:hint="cs"/>
          <w:sz w:val="27"/>
          <w:rtl/>
        </w:rPr>
        <w:t>ّ</w:t>
      </w:r>
      <w:r w:rsidRPr="00904FCB">
        <w:rPr>
          <w:sz w:val="27"/>
          <w:rtl/>
        </w:rPr>
        <w:t xml:space="preserve"> من الإله الشارع. وعليه فإن القول بالحسن والقبح الذاتي للأفعال ينسجم مع مختلف الآراء الميتافيزيقية المتنو</w:t>
      </w:r>
      <w:r w:rsidR="00F454F6" w:rsidRPr="00904FCB">
        <w:rPr>
          <w:rFonts w:hint="cs"/>
          <w:sz w:val="27"/>
          <w:rtl/>
        </w:rPr>
        <w:t>ِّ</w:t>
      </w:r>
      <w:r w:rsidRPr="00904FCB">
        <w:rPr>
          <w:sz w:val="27"/>
          <w:rtl/>
        </w:rPr>
        <w:t>عة، والتي يمث</w:t>
      </w:r>
      <w:r w:rsidR="00F454F6" w:rsidRPr="00904FCB">
        <w:rPr>
          <w:rFonts w:hint="cs"/>
          <w:sz w:val="27"/>
          <w:rtl/>
        </w:rPr>
        <w:t>ِّ</w:t>
      </w:r>
      <w:r w:rsidRPr="00904FCB">
        <w:rPr>
          <w:sz w:val="27"/>
          <w:rtl/>
        </w:rPr>
        <w:t xml:space="preserve">ل الميتافيزيق الأرسطي واحداً منها. </w:t>
      </w:r>
    </w:p>
    <w:p w:rsidR="00A45FD9" w:rsidRPr="00904FCB" w:rsidRDefault="00A45FD9" w:rsidP="007A21AA">
      <w:pPr>
        <w:spacing w:line="400" w:lineRule="exact"/>
        <w:rPr>
          <w:sz w:val="27"/>
          <w:rtl/>
        </w:rPr>
      </w:pPr>
      <w:r w:rsidRPr="00904FCB">
        <w:rPr>
          <w:sz w:val="27"/>
          <w:rtl/>
        </w:rPr>
        <w:t>وبعبارة</w:t>
      </w:r>
      <w:r w:rsidR="00F454F6" w:rsidRPr="00904FCB">
        <w:rPr>
          <w:rFonts w:hint="cs"/>
          <w:sz w:val="27"/>
          <w:rtl/>
        </w:rPr>
        <w:t>ٍ</w:t>
      </w:r>
      <w:r w:rsidRPr="00904FCB">
        <w:rPr>
          <w:sz w:val="27"/>
          <w:rtl/>
        </w:rPr>
        <w:t xml:space="preserve"> أخرى: يمكن القول</w:t>
      </w:r>
      <w:r w:rsidR="00F454F6" w:rsidRPr="00904FCB">
        <w:rPr>
          <w:rFonts w:hint="cs"/>
          <w:sz w:val="27"/>
          <w:rtl/>
        </w:rPr>
        <w:t>:</w:t>
      </w:r>
      <w:r w:rsidRPr="00904FCB">
        <w:rPr>
          <w:sz w:val="27"/>
          <w:rtl/>
        </w:rPr>
        <w:t xml:space="preserve"> إن العدل والظلم (والحُسن والق</w:t>
      </w:r>
      <w:r w:rsidR="00F454F6" w:rsidRPr="00904FCB">
        <w:rPr>
          <w:rFonts w:hint="cs"/>
          <w:sz w:val="27"/>
          <w:rtl/>
        </w:rPr>
        <w:t>ُ</w:t>
      </w:r>
      <w:r w:rsidRPr="00904FCB">
        <w:rPr>
          <w:sz w:val="27"/>
          <w:rtl/>
        </w:rPr>
        <w:t xml:space="preserve">بح) لا </w:t>
      </w:r>
      <w:r w:rsidRPr="00904FCB">
        <w:rPr>
          <w:rFonts w:hint="eastAsia"/>
          <w:sz w:val="27"/>
          <w:rtl/>
        </w:rPr>
        <w:t>«</w:t>
      </w:r>
      <w:r w:rsidRPr="00904FCB">
        <w:rPr>
          <w:sz w:val="27"/>
          <w:rtl/>
        </w:rPr>
        <w:t>ذات</w:t>
      </w:r>
      <w:r w:rsidRPr="00904FCB">
        <w:rPr>
          <w:rFonts w:hint="eastAsia"/>
          <w:sz w:val="27"/>
          <w:rtl/>
        </w:rPr>
        <w:t>»</w:t>
      </w:r>
      <w:r w:rsidRPr="00904FCB">
        <w:rPr>
          <w:sz w:val="27"/>
          <w:rtl/>
        </w:rPr>
        <w:t xml:space="preserve"> لهما، ولكن</w:t>
      </w:r>
      <w:r w:rsidR="00F454F6" w:rsidRPr="00904FCB">
        <w:rPr>
          <w:rFonts w:hint="cs"/>
          <w:sz w:val="27"/>
          <w:rtl/>
        </w:rPr>
        <w:t>ْ</w:t>
      </w:r>
      <w:r w:rsidRPr="00904FCB">
        <w:rPr>
          <w:sz w:val="27"/>
          <w:rtl/>
        </w:rPr>
        <w:t xml:space="preserve"> لهما </w:t>
      </w:r>
      <w:r w:rsidRPr="00904FCB">
        <w:rPr>
          <w:rFonts w:hint="eastAsia"/>
          <w:sz w:val="27"/>
          <w:rtl/>
        </w:rPr>
        <w:t>«</w:t>
      </w:r>
      <w:r w:rsidRPr="00904FCB">
        <w:rPr>
          <w:sz w:val="27"/>
          <w:rtl/>
        </w:rPr>
        <w:t>ذاتيات</w:t>
      </w:r>
      <w:r w:rsidRPr="00904FCB">
        <w:rPr>
          <w:rFonts w:hint="eastAsia"/>
          <w:sz w:val="27"/>
          <w:rtl/>
        </w:rPr>
        <w:t>»</w:t>
      </w:r>
      <w:r w:rsidR="00F454F6" w:rsidRPr="00904FCB">
        <w:rPr>
          <w:rFonts w:hint="cs"/>
          <w:sz w:val="27"/>
          <w:rtl/>
        </w:rPr>
        <w:t>؛</w:t>
      </w:r>
      <w:r w:rsidRPr="00904FCB">
        <w:rPr>
          <w:sz w:val="27"/>
          <w:rtl/>
        </w:rPr>
        <w:t xml:space="preserve"> إذ يمكن لشيئين أن لا تكون لهما ماهي</w:t>
      </w:r>
      <w:r w:rsidR="00F454F6" w:rsidRPr="00904FCB">
        <w:rPr>
          <w:rFonts w:hint="cs"/>
          <w:sz w:val="27"/>
          <w:rtl/>
        </w:rPr>
        <w:t>ّ</w:t>
      </w:r>
      <w:r w:rsidRPr="00904FCB">
        <w:rPr>
          <w:sz w:val="27"/>
          <w:rtl/>
        </w:rPr>
        <w:t>ة (أو لا يكون لهما وجود أصلاً)</w:t>
      </w:r>
      <w:r w:rsidR="00F454F6" w:rsidRPr="00904FCB">
        <w:rPr>
          <w:rFonts w:hint="cs"/>
          <w:sz w:val="27"/>
          <w:rtl/>
        </w:rPr>
        <w:t>،</w:t>
      </w:r>
      <w:r w:rsidRPr="00904FCB">
        <w:rPr>
          <w:sz w:val="27"/>
          <w:rtl/>
        </w:rPr>
        <w:t xml:space="preserve"> ومع ذلك يكون هناك بينهما ارتباط</w:t>
      </w:r>
      <w:r w:rsidR="00F454F6" w:rsidRPr="00904FCB">
        <w:rPr>
          <w:rFonts w:hint="cs"/>
          <w:sz w:val="27"/>
          <w:rtl/>
        </w:rPr>
        <w:t>ٌ</w:t>
      </w:r>
      <w:r w:rsidRPr="00904FCB">
        <w:rPr>
          <w:sz w:val="27"/>
          <w:rtl/>
        </w:rPr>
        <w:t xml:space="preserve"> وثيق. فنحن ـ على سبيل المثال ـ على يقين من أن الوجود والعدم لا يمكن أن يجتمعا أبداً، ولا يمكن لهما أن يرتفعا أبداً. وإن هذه العلاقة بين الوجود والعدم علاقة</w:t>
      </w:r>
      <w:r w:rsidR="00F454F6" w:rsidRPr="00904FCB">
        <w:rPr>
          <w:rFonts w:hint="cs"/>
          <w:sz w:val="27"/>
          <w:rtl/>
        </w:rPr>
        <w:t>ٌ</w:t>
      </w:r>
      <w:r w:rsidRPr="00904FCB">
        <w:rPr>
          <w:sz w:val="27"/>
          <w:rtl/>
        </w:rPr>
        <w:t xml:space="preserve"> واقعية، وليست مجر</w:t>
      </w:r>
      <w:r w:rsidR="00F454F6" w:rsidRPr="00904FCB">
        <w:rPr>
          <w:rFonts w:hint="cs"/>
          <w:sz w:val="27"/>
          <w:rtl/>
        </w:rPr>
        <w:t>ّ</w:t>
      </w:r>
      <w:r w:rsidRPr="00904FCB">
        <w:rPr>
          <w:sz w:val="27"/>
          <w:rtl/>
        </w:rPr>
        <w:t>د علاقة تصو</w:t>
      </w:r>
      <w:r w:rsidR="00F454F6" w:rsidRPr="00904FCB">
        <w:rPr>
          <w:rFonts w:hint="cs"/>
          <w:sz w:val="27"/>
          <w:rtl/>
        </w:rPr>
        <w:t>ُّ</w:t>
      </w:r>
      <w:r w:rsidRPr="00904FCB">
        <w:rPr>
          <w:sz w:val="27"/>
          <w:rtl/>
        </w:rPr>
        <w:t>رية واعتبارية أو تواضعية. إلا</w:t>
      </w:r>
      <w:r w:rsidR="00F454F6" w:rsidRPr="00904FCB">
        <w:rPr>
          <w:rFonts w:hint="cs"/>
          <w:sz w:val="27"/>
          <w:rtl/>
        </w:rPr>
        <w:t>ّ</w:t>
      </w:r>
      <w:r w:rsidRPr="00904FCB">
        <w:rPr>
          <w:sz w:val="27"/>
          <w:rtl/>
        </w:rPr>
        <w:t xml:space="preserve"> أن صدق أصل عدم التناقض لا يتوق</w:t>
      </w:r>
      <w:r w:rsidR="00F454F6" w:rsidRPr="00904FCB">
        <w:rPr>
          <w:rFonts w:hint="cs"/>
          <w:sz w:val="27"/>
          <w:rtl/>
        </w:rPr>
        <w:t>َّ</w:t>
      </w:r>
      <w:r w:rsidRPr="00904FCB">
        <w:rPr>
          <w:sz w:val="27"/>
          <w:rtl/>
        </w:rPr>
        <w:t>ف على وجود العالم</w:t>
      </w:r>
      <w:r w:rsidR="00F454F6" w:rsidRPr="00904FCB">
        <w:rPr>
          <w:rFonts w:hint="cs"/>
          <w:sz w:val="27"/>
          <w:rtl/>
        </w:rPr>
        <w:t>،</w:t>
      </w:r>
      <w:r w:rsidRPr="00904FCB">
        <w:rPr>
          <w:sz w:val="27"/>
          <w:rtl/>
        </w:rPr>
        <w:t xml:space="preserve"> أو افتراض الماهية للوجود والعدم. إننا عندما نتحدّث عن ذات الوجود وذات العدم لا نريد بذلك ماهية أو طبيعة الوجود والعدم بالمعنى الأرسطي للكلمة (</w:t>
      </w:r>
      <w:r w:rsidRPr="00904FCB">
        <w:rPr>
          <w:rFonts w:asciiTheme="majorBidi" w:hAnsiTheme="majorBidi" w:cstheme="majorBidi"/>
          <w:sz w:val="22"/>
          <w:szCs w:val="22"/>
        </w:rPr>
        <w:t>essense</w:t>
      </w:r>
      <w:r w:rsidRPr="00904FCB">
        <w:rPr>
          <w:sz w:val="27"/>
          <w:rtl/>
        </w:rPr>
        <w:t>)، بل نريد بذلك الطبيعة (</w:t>
      </w:r>
      <w:r w:rsidRPr="00904FCB">
        <w:rPr>
          <w:rFonts w:asciiTheme="majorBidi" w:hAnsiTheme="majorBidi" w:cstheme="majorBidi"/>
          <w:sz w:val="22"/>
          <w:szCs w:val="22"/>
        </w:rPr>
        <w:t>nature</w:t>
      </w:r>
      <w:r w:rsidRPr="00904FCB">
        <w:rPr>
          <w:sz w:val="27"/>
          <w:rtl/>
        </w:rPr>
        <w:t xml:space="preserve">) بالمعنى العام للكلمة. </w:t>
      </w:r>
      <w:r w:rsidR="00F454F6" w:rsidRPr="00904FCB">
        <w:rPr>
          <w:rFonts w:hint="cs"/>
          <w:sz w:val="27"/>
          <w:rtl/>
        </w:rPr>
        <w:t>و</w:t>
      </w:r>
      <w:r w:rsidRPr="00904FCB">
        <w:rPr>
          <w:sz w:val="27"/>
          <w:rtl/>
        </w:rPr>
        <w:t>بعبارة</w:t>
      </w:r>
      <w:r w:rsidR="00F454F6" w:rsidRPr="00904FCB">
        <w:rPr>
          <w:rFonts w:hint="cs"/>
          <w:sz w:val="27"/>
          <w:rtl/>
        </w:rPr>
        <w:t>ٍ</w:t>
      </w:r>
      <w:r w:rsidRPr="00904FCB">
        <w:rPr>
          <w:sz w:val="27"/>
          <w:rtl/>
        </w:rPr>
        <w:t xml:space="preserve"> أخرى: إن الوجود من حيث هو وجود</w:t>
      </w:r>
      <w:r w:rsidR="00F454F6" w:rsidRPr="00904FCB">
        <w:rPr>
          <w:rFonts w:hint="cs"/>
          <w:sz w:val="27"/>
          <w:rtl/>
        </w:rPr>
        <w:t>ٌ</w:t>
      </w:r>
      <w:r w:rsidRPr="00904FCB">
        <w:rPr>
          <w:sz w:val="27"/>
          <w:rtl/>
        </w:rPr>
        <w:t>، وإن العدم من حيث هو عدم</w:t>
      </w:r>
      <w:r w:rsidR="00F454F6" w:rsidRPr="00904FCB">
        <w:rPr>
          <w:rFonts w:hint="cs"/>
          <w:sz w:val="27"/>
          <w:rtl/>
        </w:rPr>
        <w:t>ٌ</w:t>
      </w:r>
      <w:r w:rsidRPr="00904FCB">
        <w:rPr>
          <w:sz w:val="27"/>
          <w:rtl/>
        </w:rPr>
        <w:t xml:space="preserve">، لهما أوصاف وخصائص وروابط واقعية وغير </w:t>
      </w:r>
      <w:r w:rsidRPr="00904FCB">
        <w:rPr>
          <w:sz w:val="27"/>
          <w:rtl/>
        </w:rPr>
        <w:lastRenderedPageBreak/>
        <w:t xml:space="preserve">قابلة للفصل والانفكاك، بحيث: </w:t>
      </w:r>
    </w:p>
    <w:p w:rsidR="00A45FD9" w:rsidRPr="00F03AF0" w:rsidRDefault="00A45FD9" w:rsidP="007A21AA">
      <w:pPr>
        <w:spacing w:line="400" w:lineRule="exact"/>
        <w:rPr>
          <w:sz w:val="27"/>
          <w:rtl/>
        </w:rPr>
      </w:pPr>
      <w:r w:rsidRPr="00F03AF0">
        <w:rPr>
          <w:sz w:val="27"/>
          <w:rtl/>
        </w:rPr>
        <w:t>1ـ حت</w:t>
      </w:r>
      <w:r w:rsidR="00F454F6" w:rsidRPr="00F03AF0">
        <w:rPr>
          <w:rFonts w:hint="cs"/>
          <w:sz w:val="27"/>
          <w:rtl/>
        </w:rPr>
        <w:t>ّ</w:t>
      </w:r>
      <w:r w:rsidRPr="00F03AF0">
        <w:rPr>
          <w:sz w:val="27"/>
          <w:rtl/>
        </w:rPr>
        <w:t>ى الله لا يستطيع أن يسلب تلك الخصائص</w:t>
      </w:r>
      <w:r w:rsidR="00F454F6" w:rsidRPr="00F03AF0">
        <w:rPr>
          <w:rFonts w:hint="cs"/>
          <w:sz w:val="27"/>
          <w:rtl/>
        </w:rPr>
        <w:t>،</w:t>
      </w:r>
      <w:r w:rsidRPr="00F03AF0">
        <w:rPr>
          <w:sz w:val="27"/>
          <w:rtl/>
        </w:rPr>
        <w:t xml:space="preserve"> أو أن يعمد إلى تغييرها. </w:t>
      </w:r>
    </w:p>
    <w:p w:rsidR="00A45FD9" w:rsidRPr="00904FCB" w:rsidRDefault="00A45FD9" w:rsidP="007A21AA">
      <w:pPr>
        <w:spacing w:line="400" w:lineRule="exact"/>
        <w:rPr>
          <w:sz w:val="27"/>
          <w:rtl/>
        </w:rPr>
      </w:pPr>
      <w:r w:rsidRPr="00F03AF0">
        <w:rPr>
          <w:sz w:val="27"/>
          <w:rtl/>
        </w:rPr>
        <w:t>2ـ أن إدراك وتصديق تلك الخصائص والعلاقات لا يتوق</w:t>
      </w:r>
      <w:r w:rsidR="00F454F6" w:rsidRPr="00F03AF0">
        <w:rPr>
          <w:rFonts w:hint="cs"/>
          <w:sz w:val="27"/>
          <w:rtl/>
        </w:rPr>
        <w:t>َّ</w:t>
      </w:r>
      <w:r w:rsidRPr="00F03AF0">
        <w:rPr>
          <w:sz w:val="27"/>
          <w:rtl/>
        </w:rPr>
        <w:t>ف على الرجوع إلى</w:t>
      </w:r>
      <w:r w:rsidRPr="00904FCB">
        <w:rPr>
          <w:sz w:val="27"/>
          <w:rtl/>
        </w:rPr>
        <w:t xml:space="preserve"> الوحي والنصوص الدينية</w:t>
      </w:r>
      <w:r w:rsidRPr="00904FCB">
        <w:rPr>
          <w:sz w:val="27"/>
          <w:vertAlign w:val="superscript"/>
          <w:rtl/>
        </w:rPr>
        <w:t>(</w:t>
      </w:r>
      <w:r w:rsidRPr="00904FCB">
        <w:rPr>
          <w:sz w:val="27"/>
          <w:vertAlign w:val="superscript"/>
          <w:rtl/>
        </w:rPr>
        <w:endnoteReference w:id="68"/>
      </w:r>
      <w:r w:rsidRPr="00904FCB">
        <w:rPr>
          <w:sz w:val="27"/>
          <w:vertAlign w:val="superscript"/>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وعليه فإن القول بالذات والماهية والإسمانية أو الواقعية في باب المفاهيم الكل</w:t>
      </w:r>
      <w:r w:rsidR="00447946" w:rsidRPr="00904FCB">
        <w:rPr>
          <w:rFonts w:hint="cs"/>
          <w:sz w:val="27"/>
          <w:rtl/>
        </w:rPr>
        <w:t>ّ</w:t>
      </w:r>
      <w:r w:rsidRPr="00904FCB">
        <w:rPr>
          <w:sz w:val="27"/>
          <w:rtl/>
        </w:rPr>
        <w:t>ية ليس له صلة</w:t>
      </w:r>
      <w:r w:rsidR="00447946" w:rsidRPr="00904FCB">
        <w:rPr>
          <w:rFonts w:hint="cs"/>
          <w:sz w:val="27"/>
          <w:rtl/>
        </w:rPr>
        <w:t>ٌ</w:t>
      </w:r>
      <w:r w:rsidRPr="00904FCB">
        <w:rPr>
          <w:sz w:val="27"/>
          <w:rtl/>
        </w:rPr>
        <w:t xml:space="preserve"> وثيقة بالقول بالعلمانية أو نفيها؛ إذ يمكن إنكار وجود الكل</w:t>
      </w:r>
      <w:r w:rsidR="00447946" w:rsidRPr="00904FCB">
        <w:rPr>
          <w:rFonts w:hint="cs"/>
          <w:sz w:val="27"/>
          <w:rtl/>
        </w:rPr>
        <w:t>ّ</w:t>
      </w:r>
      <w:r w:rsidRPr="00904FCB">
        <w:rPr>
          <w:sz w:val="27"/>
          <w:rtl/>
        </w:rPr>
        <w:t>يات في الذهن والخارج (الإسمانية)، والقول في الوقت نفسه بوجود الرابطة الكلية (والضرورية والمستقل</w:t>
      </w:r>
      <w:r w:rsidR="00447946" w:rsidRPr="00904FCB">
        <w:rPr>
          <w:rFonts w:hint="cs"/>
          <w:sz w:val="27"/>
          <w:rtl/>
        </w:rPr>
        <w:t>ّ</w:t>
      </w:r>
      <w:r w:rsidRPr="00904FCB">
        <w:rPr>
          <w:sz w:val="27"/>
          <w:rtl/>
        </w:rPr>
        <w:t>ة عن إرادة الله، والقابلة للمعرفة من طريق العقل والتجربة) بين مصاديق الكل</w:t>
      </w:r>
      <w:r w:rsidR="00447946" w:rsidRPr="00904FCB">
        <w:rPr>
          <w:rFonts w:hint="cs"/>
          <w:sz w:val="27"/>
          <w:rtl/>
        </w:rPr>
        <w:t>ّ</w:t>
      </w:r>
      <w:r w:rsidRPr="00904FCB">
        <w:rPr>
          <w:sz w:val="27"/>
          <w:rtl/>
        </w:rPr>
        <w:t>يات (العلمانية الفلسفية). والمهم</w:t>
      </w:r>
      <w:r w:rsidR="00447946" w:rsidRPr="00904FCB">
        <w:rPr>
          <w:rFonts w:hint="cs"/>
          <w:sz w:val="27"/>
          <w:rtl/>
        </w:rPr>
        <w:t>ّ</w:t>
      </w:r>
      <w:r w:rsidRPr="00904FCB">
        <w:rPr>
          <w:sz w:val="27"/>
          <w:rtl/>
        </w:rPr>
        <w:t xml:space="preserve"> هو الق</w:t>
      </w:r>
      <w:r w:rsidR="00D45852" w:rsidRPr="00904FCB">
        <w:rPr>
          <w:rFonts w:hint="cs"/>
          <w:sz w:val="27"/>
          <w:rtl/>
        </w:rPr>
        <w:t>ب</w:t>
      </w:r>
      <w:r w:rsidRPr="00904FCB">
        <w:rPr>
          <w:sz w:val="27"/>
          <w:rtl/>
        </w:rPr>
        <w:t>ول أو إنكار الذاتي</w:t>
      </w:r>
      <w:r w:rsidR="00447946" w:rsidRPr="00904FCB">
        <w:rPr>
          <w:rFonts w:hint="cs"/>
          <w:sz w:val="27"/>
          <w:rtl/>
        </w:rPr>
        <w:t>ّ</w:t>
      </w:r>
      <w:r w:rsidRPr="00904FCB">
        <w:rPr>
          <w:sz w:val="27"/>
          <w:rtl/>
        </w:rPr>
        <w:t>ات والروابط الضرورية</w:t>
      </w:r>
      <w:r w:rsidRPr="00904FCB">
        <w:rPr>
          <w:sz w:val="27"/>
          <w:vertAlign w:val="superscript"/>
          <w:rtl/>
        </w:rPr>
        <w:t>(</w:t>
      </w:r>
      <w:r w:rsidRPr="00904FCB">
        <w:rPr>
          <w:sz w:val="27"/>
          <w:vertAlign w:val="superscript"/>
          <w:rtl/>
        </w:rPr>
        <w:endnoteReference w:id="69"/>
      </w:r>
      <w:r w:rsidRPr="00904FCB">
        <w:rPr>
          <w:sz w:val="27"/>
          <w:vertAlign w:val="superscript"/>
          <w:rtl/>
        </w:rPr>
        <w:t>)</w:t>
      </w:r>
      <w:r w:rsidRPr="00904FCB">
        <w:rPr>
          <w:sz w:val="27"/>
          <w:rtl/>
        </w:rPr>
        <w:t xml:space="preserve">. </w:t>
      </w:r>
    </w:p>
    <w:p w:rsidR="00A45FD9" w:rsidRPr="00904FCB" w:rsidRDefault="00A45FD9" w:rsidP="007A21AA">
      <w:pPr>
        <w:spacing w:line="400" w:lineRule="exact"/>
        <w:rPr>
          <w:sz w:val="27"/>
          <w:rtl/>
        </w:rPr>
      </w:pPr>
      <w:r w:rsidRPr="00904FCB">
        <w:rPr>
          <w:sz w:val="27"/>
          <w:rtl/>
        </w:rPr>
        <w:t>هناك في عالم الوجود الكثير من الواقعيات أو الروابط التي تتخط</w:t>
      </w:r>
      <w:r w:rsidR="00654B3A" w:rsidRPr="00904FCB">
        <w:rPr>
          <w:rFonts w:hint="cs"/>
          <w:sz w:val="27"/>
          <w:rtl/>
        </w:rPr>
        <w:t>ّ</w:t>
      </w:r>
      <w:r w:rsidRPr="00904FCB">
        <w:rPr>
          <w:sz w:val="27"/>
          <w:rtl/>
        </w:rPr>
        <w:t xml:space="preserve">ى الدين على المستوى </w:t>
      </w:r>
      <w:r w:rsidRPr="00904FCB">
        <w:rPr>
          <w:rFonts w:hint="eastAsia"/>
          <w:sz w:val="27"/>
          <w:rtl/>
        </w:rPr>
        <w:t>«</w:t>
      </w:r>
      <w:r w:rsidRPr="00904FCB">
        <w:rPr>
          <w:sz w:val="27"/>
          <w:rtl/>
        </w:rPr>
        <w:t>الثبوتي</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الإثباتي</w:t>
      </w:r>
      <w:r w:rsidRPr="00904FCB">
        <w:rPr>
          <w:rFonts w:hint="eastAsia"/>
          <w:sz w:val="27"/>
          <w:rtl/>
        </w:rPr>
        <w:t>»</w:t>
      </w:r>
      <w:r w:rsidRPr="00904FCB">
        <w:rPr>
          <w:sz w:val="27"/>
          <w:rtl/>
        </w:rPr>
        <w:t>، بمعنى أن واقعيتها وعينيتها غير مرتبطة بالله</w:t>
      </w:r>
      <w:r w:rsidR="00654B3A" w:rsidRPr="00904FCB">
        <w:rPr>
          <w:rFonts w:hint="cs"/>
          <w:sz w:val="27"/>
          <w:rtl/>
        </w:rPr>
        <w:t>،</w:t>
      </w:r>
      <w:r w:rsidRPr="00904FCB">
        <w:rPr>
          <w:sz w:val="27"/>
          <w:rtl/>
        </w:rPr>
        <w:t xml:space="preserve"> وهكذا معرفتها لا تتوق</w:t>
      </w:r>
      <w:r w:rsidR="00654B3A" w:rsidRPr="00904FCB">
        <w:rPr>
          <w:rFonts w:hint="cs"/>
          <w:sz w:val="27"/>
          <w:rtl/>
        </w:rPr>
        <w:t>َّ</w:t>
      </w:r>
      <w:r w:rsidRPr="00904FCB">
        <w:rPr>
          <w:sz w:val="27"/>
          <w:rtl/>
        </w:rPr>
        <w:t>ف على الرجوع إلى النصوص الدينية</w:t>
      </w:r>
      <w:r w:rsidR="00654B3A" w:rsidRPr="00904FCB">
        <w:rPr>
          <w:rFonts w:hint="cs"/>
          <w:sz w:val="27"/>
          <w:rtl/>
        </w:rPr>
        <w:t>،</w:t>
      </w:r>
      <w:r w:rsidRPr="00904FCB">
        <w:rPr>
          <w:sz w:val="27"/>
          <w:rtl/>
        </w:rPr>
        <w:t xml:space="preserve"> وإن العقل والتجربة الإنسانية غني</w:t>
      </w:r>
      <w:r w:rsidR="00654B3A" w:rsidRPr="00904FCB">
        <w:rPr>
          <w:rFonts w:hint="cs"/>
          <w:sz w:val="27"/>
          <w:rtl/>
        </w:rPr>
        <w:t>ّ</w:t>
      </w:r>
      <w:r w:rsidRPr="00904FCB">
        <w:rPr>
          <w:sz w:val="27"/>
          <w:rtl/>
        </w:rPr>
        <w:t>ة</w:t>
      </w:r>
      <w:r w:rsidR="00654B3A" w:rsidRPr="00904FCB">
        <w:rPr>
          <w:rFonts w:hint="cs"/>
          <w:sz w:val="27"/>
          <w:rtl/>
        </w:rPr>
        <w:t>ٌ</w:t>
      </w:r>
      <w:r w:rsidRPr="00904FCB">
        <w:rPr>
          <w:sz w:val="27"/>
          <w:rtl/>
        </w:rPr>
        <w:t xml:space="preserve"> عن الوحي والشرع في إدراك هذه الواقعيات. </w:t>
      </w:r>
    </w:p>
    <w:p w:rsidR="00654B3A" w:rsidRPr="00904FCB" w:rsidRDefault="00654B3A" w:rsidP="00850887">
      <w:pPr>
        <w:spacing w:line="400" w:lineRule="exact"/>
        <w:ind w:firstLine="561"/>
        <w:rPr>
          <w:sz w:val="27"/>
          <w:rtl/>
        </w:rPr>
      </w:pPr>
      <w:r w:rsidRPr="00904FCB">
        <w:rPr>
          <w:rFonts w:hint="cs"/>
          <w:sz w:val="27"/>
          <w:rtl/>
        </w:rPr>
        <w:t>ومضافاً</w:t>
      </w:r>
      <w:r w:rsidR="00A45FD9" w:rsidRPr="00904FCB">
        <w:rPr>
          <w:sz w:val="27"/>
          <w:rtl/>
        </w:rPr>
        <w:t xml:space="preserve"> </w:t>
      </w:r>
      <w:r w:rsidRPr="00904FCB">
        <w:rPr>
          <w:rFonts w:hint="cs"/>
          <w:sz w:val="27"/>
          <w:rtl/>
        </w:rPr>
        <w:t>إ</w:t>
      </w:r>
      <w:r w:rsidR="00A45FD9" w:rsidRPr="00904FCB">
        <w:rPr>
          <w:sz w:val="27"/>
          <w:rtl/>
        </w:rPr>
        <w:t>لى ذلك يبدو لنا أن العلمانية الفلسفية (الميتافيزيقية) بالمعنى المتقد</w:t>
      </w:r>
      <w:r w:rsidRPr="00904FCB">
        <w:rPr>
          <w:rFonts w:hint="cs"/>
          <w:sz w:val="27"/>
          <w:rtl/>
        </w:rPr>
        <w:t>ِّ</w:t>
      </w:r>
      <w:r w:rsidR="00A45FD9" w:rsidRPr="00904FCB">
        <w:rPr>
          <w:sz w:val="27"/>
          <w:rtl/>
        </w:rPr>
        <w:t>م لا تشك</w:t>
      </w:r>
      <w:r w:rsidRPr="00904FCB">
        <w:rPr>
          <w:rFonts w:hint="cs"/>
          <w:sz w:val="27"/>
          <w:rtl/>
        </w:rPr>
        <w:t>ِّ</w:t>
      </w:r>
      <w:r w:rsidR="00A45FD9" w:rsidRPr="00904FCB">
        <w:rPr>
          <w:sz w:val="27"/>
          <w:rtl/>
        </w:rPr>
        <w:t>ل لوحدها العل</w:t>
      </w:r>
      <w:r w:rsidRPr="00904FCB">
        <w:rPr>
          <w:rFonts w:hint="cs"/>
          <w:sz w:val="27"/>
          <w:rtl/>
        </w:rPr>
        <w:t>ّ</w:t>
      </w:r>
      <w:r w:rsidR="00A45FD9" w:rsidRPr="00904FCB">
        <w:rPr>
          <w:sz w:val="27"/>
          <w:rtl/>
        </w:rPr>
        <w:t>ة البعيدة للعلمانية السياسية؛ إذ يمكن للفرد أن يقول بالذات والماهية</w:t>
      </w:r>
      <w:r w:rsidRPr="00904FCB">
        <w:rPr>
          <w:rFonts w:hint="cs"/>
          <w:sz w:val="27"/>
          <w:rtl/>
        </w:rPr>
        <w:t>،</w:t>
      </w:r>
      <w:r w:rsidR="00A45FD9" w:rsidRPr="00904FCB">
        <w:rPr>
          <w:sz w:val="27"/>
          <w:rtl/>
        </w:rPr>
        <w:t xml:space="preserve"> أو يقبل بأن للأشياء لوازم ذاتية غير قابلة للانفكاك ومستقل</w:t>
      </w:r>
      <w:r w:rsidRPr="00904FCB">
        <w:rPr>
          <w:rFonts w:hint="cs"/>
          <w:sz w:val="27"/>
          <w:rtl/>
        </w:rPr>
        <w:t>ّ</w:t>
      </w:r>
      <w:r w:rsidR="00A45FD9" w:rsidRPr="00904FCB">
        <w:rPr>
          <w:sz w:val="27"/>
          <w:rtl/>
        </w:rPr>
        <w:t>ة عن إرادة الله، ويد</w:t>
      </w:r>
      <w:r w:rsidRPr="00904FCB">
        <w:rPr>
          <w:rFonts w:hint="cs"/>
          <w:sz w:val="27"/>
          <w:rtl/>
        </w:rPr>
        <w:t>َّ</w:t>
      </w:r>
      <w:r w:rsidR="00A45FD9" w:rsidRPr="00904FCB">
        <w:rPr>
          <w:sz w:val="27"/>
          <w:rtl/>
        </w:rPr>
        <w:t xml:space="preserve">عي في الوقت نفسه أن </w:t>
      </w:r>
      <w:r w:rsidRPr="00904FCB">
        <w:rPr>
          <w:rFonts w:hint="eastAsia"/>
          <w:sz w:val="27"/>
          <w:rtl/>
        </w:rPr>
        <w:t>«</w:t>
      </w:r>
      <w:r w:rsidR="00A45FD9" w:rsidRPr="00904FCB">
        <w:rPr>
          <w:sz w:val="27"/>
          <w:rtl/>
        </w:rPr>
        <w:t>معرف</w:t>
      </w:r>
      <w:r w:rsidRPr="00904FCB">
        <w:rPr>
          <w:sz w:val="27"/>
          <w:rtl/>
        </w:rPr>
        <w:t>ة</w:t>
      </w:r>
      <w:r w:rsidRPr="00904FCB">
        <w:rPr>
          <w:rFonts w:hint="eastAsia"/>
          <w:sz w:val="27"/>
          <w:rtl/>
        </w:rPr>
        <w:t>»</w:t>
      </w:r>
      <w:r w:rsidR="00A45FD9" w:rsidRPr="00904FCB">
        <w:rPr>
          <w:sz w:val="27"/>
          <w:rtl/>
        </w:rPr>
        <w:t xml:space="preserve"> ذات وماهية الأشياء أو </w:t>
      </w:r>
      <w:r w:rsidR="00A45FD9" w:rsidRPr="00904FCB">
        <w:rPr>
          <w:rFonts w:hint="eastAsia"/>
          <w:sz w:val="27"/>
          <w:rtl/>
        </w:rPr>
        <w:t>«</w:t>
      </w:r>
      <w:r w:rsidR="00A45FD9" w:rsidRPr="00904FCB">
        <w:rPr>
          <w:sz w:val="27"/>
          <w:rtl/>
        </w:rPr>
        <w:t>معرفة</w:t>
      </w:r>
      <w:r w:rsidR="00A45FD9" w:rsidRPr="00904FCB">
        <w:rPr>
          <w:rFonts w:hint="eastAsia"/>
          <w:sz w:val="27"/>
          <w:rtl/>
        </w:rPr>
        <w:t>»</w:t>
      </w:r>
      <w:r w:rsidR="00A45FD9" w:rsidRPr="00904FCB">
        <w:rPr>
          <w:sz w:val="27"/>
          <w:rtl/>
        </w:rPr>
        <w:t xml:space="preserve"> اللوازم الذاتية والماهوية للأشياء بمعنى أن التصديق بوجودها من طريق العقل المستقل</w:t>
      </w:r>
      <w:r w:rsidRPr="00904FCB">
        <w:rPr>
          <w:rFonts w:hint="cs"/>
          <w:sz w:val="27"/>
          <w:rtl/>
        </w:rPr>
        <w:t>ّ</w:t>
      </w:r>
      <w:r w:rsidR="00A45FD9" w:rsidRPr="00904FCB">
        <w:rPr>
          <w:sz w:val="27"/>
          <w:rtl/>
        </w:rPr>
        <w:t xml:space="preserve"> عن الشرع وبمساعدة التجربة البشرية غير ممكنة</w:t>
      </w:r>
      <w:r w:rsidRPr="00904FCB">
        <w:rPr>
          <w:rFonts w:hint="cs"/>
          <w:sz w:val="27"/>
          <w:rtl/>
        </w:rPr>
        <w:t>ٍ</w:t>
      </w:r>
      <w:r w:rsidR="00A45FD9" w:rsidRPr="00904FCB">
        <w:rPr>
          <w:sz w:val="27"/>
          <w:rtl/>
        </w:rPr>
        <w:t xml:space="preserve"> للإنسان، ولا</w:t>
      </w:r>
      <w:r w:rsidRPr="00904FCB">
        <w:rPr>
          <w:rFonts w:hint="cs"/>
          <w:sz w:val="27"/>
          <w:rtl/>
        </w:rPr>
        <w:t xml:space="preserve"> </w:t>
      </w:r>
      <w:r w:rsidR="00A45FD9" w:rsidRPr="00904FCB">
        <w:rPr>
          <w:sz w:val="27"/>
          <w:rtl/>
        </w:rPr>
        <w:t>ب</w:t>
      </w:r>
      <w:r w:rsidRPr="00904FCB">
        <w:rPr>
          <w:rFonts w:hint="cs"/>
          <w:sz w:val="27"/>
          <w:rtl/>
        </w:rPr>
        <w:t>ُ</w:t>
      </w:r>
      <w:r w:rsidR="00A45FD9" w:rsidRPr="00904FCB">
        <w:rPr>
          <w:sz w:val="27"/>
          <w:rtl/>
        </w:rPr>
        <w:t>د</w:t>
      </w:r>
      <w:r w:rsidRPr="00904FCB">
        <w:rPr>
          <w:rFonts w:hint="cs"/>
          <w:sz w:val="27"/>
          <w:rtl/>
        </w:rPr>
        <w:t>َّ</w:t>
      </w:r>
      <w:r w:rsidR="00A45FD9" w:rsidRPr="00904FCB">
        <w:rPr>
          <w:sz w:val="27"/>
          <w:rtl/>
        </w:rPr>
        <w:t xml:space="preserve"> في ذلك من الرجوع </w:t>
      </w:r>
      <w:r w:rsidRPr="00904FCB">
        <w:rPr>
          <w:rFonts w:hint="cs"/>
          <w:sz w:val="27"/>
          <w:rtl/>
        </w:rPr>
        <w:t>إلى ا</w:t>
      </w:r>
      <w:r w:rsidR="00A45FD9" w:rsidRPr="00904FCB">
        <w:rPr>
          <w:sz w:val="27"/>
          <w:rtl/>
        </w:rPr>
        <w:t>لوحي والنصوص الدينية (الأشعرية الحديثة</w:t>
      </w:r>
      <w:r w:rsidRPr="00904FCB">
        <w:rPr>
          <w:rFonts w:hint="cs"/>
          <w:sz w:val="27"/>
          <w:rtl/>
        </w:rPr>
        <w:t>،</w:t>
      </w:r>
      <w:r w:rsidR="00A45FD9" w:rsidRPr="00904FCB">
        <w:rPr>
          <w:sz w:val="27"/>
          <w:rtl/>
        </w:rPr>
        <w:t xml:space="preserve"> أو ما بعد الحديثة</w:t>
      </w:r>
      <w:r w:rsidRPr="00904FCB">
        <w:rPr>
          <w:rFonts w:hint="cs"/>
          <w:sz w:val="27"/>
          <w:rtl/>
        </w:rPr>
        <w:t>،</w:t>
      </w:r>
      <w:r w:rsidR="00A45FD9" w:rsidRPr="00904FCB">
        <w:rPr>
          <w:sz w:val="27"/>
          <w:rtl/>
        </w:rPr>
        <w:t xml:space="preserve"> </w:t>
      </w:r>
      <w:r w:rsidR="00A45FD9" w:rsidRPr="00904FCB">
        <w:rPr>
          <w:rFonts w:hint="cs"/>
          <w:sz w:val="27"/>
          <w:rtl/>
        </w:rPr>
        <w:t>أو</w:t>
      </w:r>
      <w:r w:rsidR="00A45FD9" w:rsidRPr="00904FCB">
        <w:rPr>
          <w:sz w:val="27"/>
          <w:rtl/>
        </w:rPr>
        <w:t xml:space="preserve"> الأصولية الدينية). إن العلمانية السياسية وإن</w:t>
      </w:r>
      <w:r w:rsidRPr="00904FCB">
        <w:rPr>
          <w:rFonts w:hint="cs"/>
          <w:sz w:val="27"/>
          <w:rtl/>
        </w:rPr>
        <w:t>ْ</w:t>
      </w:r>
      <w:r w:rsidR="00A45FD9" w:rsidRPr="00904FCB">
        <w:rPr>
          <w:sz w:val="27"/>
          <w:rtl/>
        </w:rPr>
        <w:t xml:space="preserve"> كانت وليدة العلمانية الفلسفية، إلا</w:t>
      </w:r>
      <w:r w:rsidRPr="00904FCB">
        <w:rPr>
          <w:rFonts w:hint="cs"/>
          <w:sz w:val="27"/>
          <w:rtl/>
        </w:rPr>
        <w:t>ّ</w:t>
      </w:r>
      <w:r w:rsidR="00A45FD9" w:rsidRPr="00904FCB">
        <w:rPr>
          <w:sz w:val="27"/>
          <w:rtl/>
        </w:rPr>
        <w:t xml:space="preserve"> أن هذه الوليدة هي ثمرة التلاقح بين الميتافيزيقا الفلسفية والمعرفة الفلسفية الحديثة. وهذه المسألة هي التي توض</w:t>
      </w:r>
      <w:r w:rsidRPr="00904FCB">
        <w:rPr>
          <w:rFonts w:hint="cs"/>
          <w:sz w:val="27"/>
          <w:rtl/>
        </w:rPr>
        <w:t>ِّ</w:t>
      </w:r>
      <w:r w:rsidR="00A45FD9" w:rsidRPr="00904FCB">
        <w:rPr>
          <w:sz w:val="27"/>
          <w:rtl/>
        </w:rPr>
        <w:t>ح السر</w:t>
      </w:r>
      <w:r w:rsidRPr="00904FCB">
        <w:rPr>
          <w:rFonts w:hint="cs"/>
          <w:sz w:val="27"/>
          <w:rtl/>
        </w:rPr>
        <w:t>ّ</w:t>
      </w:r>
      <w:r w:rsidR="00A45FD9" w:rsidRPr="00904FCB">
        <w:rPr>
          <w:sz w:val="27"/>
          <w:rtl/>
        </w:rPr>
        <w:t xml:space="preserve"> الكامن في أن العلمانية النظري</w:t>
      </w:r>
      <w:r w:rsidRPr="00904FCB">
        <w:rPr>
          <w:rFonts w:hint="cs"/>
          <w:sz w:val="27"/>
          <w:rtl/>
        </w:rPr>
        <w:t>ّ</w:t>
      </w:r>
      <w:r w:rsidR="00A45FD9" w:rsidRPr="00904FCB">
        <w:rPr>
          <w:sz w:val="27"/>
          <w:rtl/>
        </w:rPr>
        <w:t>ة ـ التي بدأ</w:t>
      </w:r>
      <w:r w:rsidRPr="00904FCB">
        <w:rPr>
          <w:rFonts w:hint="cs"/>
          <w:sz w:val="27"/>
          <w:rtl/>
        </w:rPr>
        <w:t>َ</w:t>
      </w:r>
      <w:r w:rsidR="00A45FD9" w:rsidRPr="00904FCB">
        <w:rPr>
          <w:sz w:val="27"/>
          <w:rtl/>
        </w:rPr>
        <w:t>ت</w:t>
      </w:r>
      <w:r w:rsidRPr="00904FCB">
        <w:rPr>
          <w:rFonts w:hint="cs"/>
          <w:sz w:val="27"/>
          <w:rtl/>
        </w:rPr>
        <w:t>ْ</w:t>
      </w:r>
      <w:r w:rsidR="00A45FD9" w:rsidRPr="00904FCB">
        <w:rPr>
          <w:sz w:val="27"/>
          <w:rtl/>
        </w:rPr>
        <w:t xml:space="preserve"> من الفلسفة الإغريقية ـ لم تثمر في الحقل السياسي إلا</w:t>
      </w:r>
      <w:r w:rsidRPr="00904FCB">
        <w:rPr>
          <w:rFonts w:hint="cs"/>
          <w:sz w:val="27"/>
          <w:rtl/>
        </w:rPr>
        <w:t>ّ</w:t>
      </w:r>
      <w:r w:rsidR="00A45FD9" w:rsidRPr="00904FCB">
        <w:rPr>
          <w:sz w:val="27"/>
          <w:rtl/>
        </w:rPr>
        <w:t xml:space="preserve"> بعد مضي</w:t>
      </w:r>
      <w:r w:rsidRPr="00904FCB">
        <w:rPr>
          <w:rFonts w:hint="cs"/>
          <w:sz w:val="27"/>
          <w:rtl/>
        </w:rPr>
        <w:t>ّ</w:t>
      </w:r>
      <w:r w:rsidR="00A45FD9" w:rsidRPr="00904FCB">
        <w:rPr>
          <w:sz w:val="27"/>
          <w:rtl/>
        </w:rPr>
        <w:t xml:space="preserve"> ما يقرب من عشرين قرناً، حيث أفض</w:t>
      </w:r>
      <w:r w:rsidRPr="00904FCB">
        <w:rPr>
          <w:rFonts w:hint="cs"/>
          <w:sz w:val="27"/>
          <w:rtl/>
        </w:rPr>
        <w:t>َ</w:t>
      </w:r>
      <w:r w:rsidR="00A45FD9" w:rsidRPr="00904FCB">
        <w:rPr>
          <w:sz w:val="27"/>
          <w:rtl/>
        </w:rPr>
        <w:t>ت</w:t>
      </w:r>
      <w:r w:rsidRPr="00904FCB">
        <w:rPr>
          <w:rFonts w:hint="cs"/>
          <w:sz w:val="27"/>
          <w:rtl/>
        </w:rPr>
        <w:t>ْ</w:t>
      </w:r>
      <w:r w:rsidR="00A45FD9" w:rsidRPr="00904FCB">
        <w:rPr>
          <w:sz w:val="27"/>
          <w:rtl/>
        </w:rPr>
        <w:t xml:space="preserve"> إلى العلمانية السياسية</w:t>
      </w:r>
      <w:r w:rsidRPr="00904FCB">
        <w:rPr>
          <w:sz w:val="27"/>
          <w:rtl/>
        </w:rPr>
        <w:t>.</w:t>
      </w:r>
    </w:p>
    <w:p w:rsidR="00A45FD9" w:rsidRPr="00904FCB" w:rsidRDefault="00A45FD9" w:rsidP="00850887">
      <w:pPr>
        <w:spacing w:line="400" w:lineRule="exact"/>
        <w:rPr>
          <w:sz w:val="27"/>
          <w:rtl/>
        </w:rPr>
      </w:pPr>
      <w:r w:rsidRPr="00904FCB">
        <w:rPr>
          <w:sz w:val="27"/>
          <w:rtl/>
        </w:rPr>
        <w:lastRenderedPageBreak/>
        <w:t xml:space="preserve">وعليه يجدر بنا ـ من خلال النظر في هذه الملاحظات ـ أن نعرف العلمانية النظرية (الفلسفية) على النحو </w:t>
      </w:r>
      <w:r w:rsidR="00654B3A" w:rsidRPr="00904FCB">
        <w:rPr>
          <w:rFonts w:hint="cs"/>
          <w:sz w:val="27"/>
          <w:rtl/>
        </w:rPr>
        <w:t>التالي</w:t>
      </w:r>
      <w:r w:rsidRPr="00904FCB">
        <w:rPr>
          <w:sz w:val="27"/>
          <w:rtl/>
        </w:rPr>
        <w:t>: إن هذه العلمانية من الناحية الدينية لا هي مذمومة</w:t>
      </w:r>
      <w:r w:rsidR="00755C4F" w:rsidRPr="00904FCB">
        <w:rPr>
          <w:rFonts w:hint="cs"/>
          <w:sz w:val="27"/>
          <w:rtl/>
        </w:rPr>
        <w:t>،</w:t>
      </w:r>
      <w:r w:rsidRPr="00904FCB">
        <w:rPr>
          <w:sz w:val="27"/>
          <w:rtl/>
        </w:rPr>
        <w:t xml:space="preserve"> ولا هي مرفوضة، ولا تعد</w:t>
      </w:r>
      <w:r w:rsidR="00755C4F" w:rsidRPr="00904FCB">
        <w:rPr>
          <w:rFonts w:hint="cs"/>
          <w:sz w:val="27"/>
          <w:rtl/>
        </w:rPr>
        <w:t>ّ</w:t>
      </w:r>
      <w:r w:rsidRPr="00904FCB">
        <w:rPr>
          <w:sz w:val="27"/>
          <w:rtl/>
        </w:rPr>
        <w:t xml:space="preserve"> مصداقاً من مصاديق الإلحاد. إن هذه العلمانية لا تنافس الدين ولا تحل</w:t>
      </w:r>
      <w:r w:rsidR="00755C4F" w:rsidRPr="00904FCB">
        <w:rPr>
          <w:rFonts w:hint="cs"/>
          <w:sz w:val="27"/>
          <w:rtl/>
        </w:rPr>
        <w:t>ّ</w:t>
      </w:r>
      <w:r w:rsidRPr="00904FCB">
        <w:rPr>
          <w:sz w:val="27"/>
          <w:rtl/>
        </w:rPr>
        <w:t xml:space="preserve"> محله. وهذه حقيقة يجب الإقرار بها. وبطبيعة الحال هناك م</w:t>
      </w:r>
      <w:r w:rsidR="00755C4F" w:rsidRPr="00904FCB">
        <w:rPr>
          <w:rFonts w:hint="cs"/>
          <w:sz w:val="27"/>
          <w:rtl/>
        </w:rPr>
        <w:t>َ</w:t>
      </w:r>
      <w:r w:rsidRPr="00904FCB">
        <w:rPr>
          <w:sz w:val="27"/>
          <w:rtl/>
        </w:rPr>
        <w:t>ن</w:t>
      </w:r>
      <w:r w:rsidR="00755C4F" w:rsidRPr="00904FCB">
        <w:rPr>
          <w:rFonts w:hint="cs"/>
          <w:sz w:val="27"/>
          <w:rtl/>
        </w:rPr>
        <w:t>ْ</w:t>
      </w:r>
      <w:r w:rsidRPr="00904FCB">
        <w:rPr>
          <w:sz w:val="27"/>
          <w:rtl/>
        </w:rPr>
        <w:t xml:space="preserve"> كان </w:t>
      </w:r>
      <w:r w:rsidR="00755C4F" w:rsidRPr="00904FCB">
        <w:rPr>
          <w:rFonts w:hint="cs"/>
          <w:sz w:val="27"/>
          <w:rtl/>
        </w:rPr>
        <w:t xml:space="preserve">ـ </w:t>
      </w:r>
      <w:r w:rsidRPr="00904FCB">
        <w:rPr>
          <w:sz w:val="27"/>
          <w:rtl/>
        </w:rPr>
        <w:t>ولا يزال</w:t>
      </w:r>
      <w:r w:rsidR="00755C4F" w:rsidRPr="00904FCB">
        <w:rPr>
          <w:rFonts w:hint="cs"/>
          <w:sz w:val="27"/>
          <w:rtl/>
        </w:rPr>
        <w:t xml:space="preserve"> ـ</w:t>
      </w:r>
      <w:r w:rsidRPr="00904FCB">
        <w:rPr>
          <w:sz w:val="27"/>
          <w:rtl/>
        </w:rPr>
        <w:t xml:space="preserve"> يتصو</w:t>
      </w:r>
      <w:r w:rsidR="00755C4F" w:rsidRPr="00904FCB">
        <w:rPr>
          <w:rFonts w:hint="cs"/>
          <w:sz w:val="27"/>
          <w:rtl/>
        </w:rPr>
        <w:t>َّ</w:t>
      </w:r>
      <w:r w:rsidRPr="00904FCB">
        <w:rPr>
          <w:sz w:val="27"/>
          <w:rtl/>
        </w:rPr>
        <w:t xml:space="preserve">ر مخطئاً أن جميع </w:t>
      </w:r>
      <w:r w:rsidRPr="00904FCB">
        <w:rPr>
          <w:rFonts w:hint="eastAsia"/>
          <w:sz w:val="27"/>
          <w:rtl/>
        </w:rPr>
        <w:t>«</w:t>
      </w:r>
      <w:r w:rsidRPr="00904FCB">
        <w:rPr>
          <w:sz w:val="27"/>
          <w:rtl/>
        </w:rPr>
        <w:t>الواقعيات</w:t>
      </w:r>
      <w:r w:rsidRPr="00904FCB">
        <w:rPr>
          <w:rFonts w:hint="eastAsia"/>
          <w:sz w:val="27"/>
          <w:rtl/>
        </w:rPr>
        <w:t>»</w:t>
      </w:r>
      <w:r w:rsidRPr="00904FCB">
        <w:rPr>
          <w:sz w:val="27"/>
          <w:rtl/>
        </w:rPr>
        <w:t xml:space="preserve"> هي دينية على المستوى الثبوتي أو الإثباتي</w:t>
      </w:r>
      <w:r w:rsidR="00755C4F" w:rsidRPr="00904FCB">
        <w:rPr>
          <w:rFonts w:hint="cs"/>
          <w:sz w:val="27"/>
          <w:rtl/>
        </w:rPr>
        <w:t>.</w:t>
      </w:r>
      <w:r w:rsidRPr="00904FCB">
        <w:rPr>
          <w:sz w:val="27"/>
          <w:rtl/>
        </w:rPr>
        <w:t xml:space="preserve"> إلا</w:t>
      </w:r>
      <w:r w:rsidR="00755C4F" w:rsidRPr="00904FCB">
        <w:rPr>
          <w:rFonts w:hint="cs"/>
          <w:sz w:val="27"/>
          <w:rtl/>
        </w:rPr>
        <w:t>ّ</w:t>
      </w:r>
      <w:r w:rsidRPr="00904FCB">
        <w:rPr>
          <w:sz w:val="27"/>
          <w:rtl/>
        </w:rPr>
        <w:t xml:space="preserve"> أن هذا التصو</w:t>
      </w:r>
      <w:r w:rsidR="00755C4F" w:rsidRPr="00904FCB">
        <w:rPr>
          <w:rFonts w:hint="cs"/>
          <w:sz w:val="27"/>
          <w:rtl/>
        </w:rPr>
        <w:t>ُّ</w:t>
      </w:r>
      <w:r w:rsidRPr="00904FCB">
        <w:rPr>
          <w:sz w:val="27"/>
          <w:rtl/>
        </w:rPr>
        <w:t>ر الخاطئ يجب أن لا يجبرنا على الاستسلام لما يقولون، فنقد</w:t>
      </w:r>
      <w:r w:rsidR="00755C4F" w:rsidRPr="00904FCB">
        <w:rPr>
          <w:rFonts w:hint="cs"/>
          <w:sz w:val="27"/>
          <w:rtl/>
        </w:rPr>
        <w:t>ِّ</w:t>
      </w:r>
      <w:r w:rsidRPr="00904FCB">
        <w:rPr>
          <w:sz w:val="27"/>
          <w:rtl/>
        </w:rPr>
        <w:t>م بذلك صورة خاطئة عن العلمانية. من وجهة نظرنا إن هذا النوع من العلمانية لا ينافي التفكير الديني</w:t>
      </w:r>
      <w:r w:rsidR="00755C4F" w:rsidRPr="00904FCB">
        <w:rPr>
          <w:rFonts w:hint="cs"/>
          <w:sz w:val="27"/>
          <w:rtl/>
        </w:rPr>
        <w:t>،</w:t>
      </w:r>
      <w:r w:rsidRPr="00904FCB">
        <w:rPr>
          <w:sz w:val="27"/>
          <w:rtl/>
        </w:rPr>
        <w:t xml:space="preserve"> ولا يتعارض مع السلوك الديني. بل الأمر على العكس من ذلك</w:t>
      </w:r>
      <w:r w:rsidR="00755C4F" w:rsidRPr="00904FCB">
        <w:rPr>
          <w:rFonts w:hint="cs"/>
          <w:sz w:val="27"/>
          <w:rtl/>
        </w:rPr>
        <w:t>،</w:t>
      </w:r>
      <w:r w:rsidRPr="00904FCB">
        <w:rPr>
          <w:sz w:val="27"/>
          <w:rtl/>
        </w:rPr>
        <w:t xml:space="preserve"> فإن القول بها يشك</w:t>
      </w:r>
      <w:r w:rsidR="00755C4F" w:rsidRPr="00904FCB">
        <w:rPr>
          <w:rFonts w:hint="cs"/>
          <w:sz w:val="27"/>
          <w:rtl/>
        </w:rPr>
        <w:t>ِّ</w:t>
      </w:r>
      <w:r w:rsidRPr="00904FCB">
        <w:rPr>
          <w:sz w:val="27"/>
          <w:rtl/>
        </w:rPr>
        <w:t>ل مقد</w:t>
      </w:r>
      <w:r w:rsidR="00755C4F" w:rsidRPr="00904FCB">
        <w:rPr>
          <w:rFonts w:hint="cs"/>
          <w:sz w:val="27"/>
          <w:rtl/>
        </w:rPr>
        <w:t>ّ</w:t>
      </w:r>
      <w:r w:rsidRPr="00904FCB">
        <w:rPr>
          <w:sz w:val="27"/>
          <w:rtl/>
        </w:rPr>
        <w:t>مة ضرورية لفهم الدين بشكل</w:t>
      </w:r>
      <w:r w:rsidR="00755C4F" w:rsidRPr="00904FCB">
        <w:rPr>
          <w:rFonts w:hint="cs"/>
          <w:sz w:val="27"/>
          <w:rtl/>
        </w:rPr>
        <w:t>ٍ</w:t>
      </w:r>
      <w:r w:rsidRPr="00904FCB">
        <w:rPr>
          <w:sz w:val="27"/>
          <w:rtl/>
        </w:rPr>
        <w:t xml:space="preserve"> صحيح، والعمل الصائب به ت</w:t>
      </w:r>
      <w:r w:rsidR="00755C4F" w:rsidRPr="00904FCB">
        <w:rPr>
          <w:rFonts w:hint="cs"/>
          <w:sz w:val="27"/>
          <w:rtl/>
        </w:rPr>
        <w:t>َ</w:t>
      </w:r>
      <w:r w:rsidRPr="00904FCB">
        <w:rPr>
          <w:sz w:val="27"/>
          <w:rtl/>
        </w:rPr>
        <w:t>ب</w:t>
      </w:r>
      <w:r w:rsidR="00755C4F" w:rsidRPr="00904FCB">
        <w:rPr>
          <w:rFonts w:hint="cs"/>
          <w:sz w:val="27"/>
          <w:rtl/>
        </w:rPr>
        <w:t>َ</w:t>
      </w:r>
      <w:r w:rsidRPr="00904FCB">
        <w:rPr>
          <w:sz w:val="27"/>
          <w:rtl/>
        </w:rPr>
        <w:t>عاً لذلك. إن هذا النوع من العلمانية يوف</w:t>
      </w:r>
      <w:r w:rsidR="00755C4F" w:rsidRPr="00904FCB">
        <w:rPr>
          <w:rFonts w:hint="cs"/>
          <w:sz w:val="27"/>
          <w:rtl/>
        </w:rPr>
        <w:t>ِّ</w:t>
      </w:r>
      <w:r w:rsidRPr="00904FCB">
        <w:rPr>
          <w:sz w:val="27"/>
          <w:rtl/>
        </w:rPr>
        <w:t>ر في الحقيقة الإطار العقلاني لفهم أصول الدين وفروعه، وإن القول بها لا يستلزم نفي الرؤية الدينية للوجود، ولا يحول دون ات</w:t>
      </w:r>
      <w:r w:rsidR="00755C4F" w:rsidRPr="00904FCB">
        <w:rPr>
          <w:rFonts w:hint="cs"/>
          <w:sz w:val="27"/>
          <w:rtl/>
        </w:rPr>
        <w:t>ّ</w:t>
      </w:r>
      <w:r w:rsidRPr="00904FCB">
        <w:rPr>
          <w:sz w:val="27"/>
          <w:rtl/>
        </w:rPr>
        <w:t>باع الأخلاق الدينية. بل على العكس؛ إذ يمكن القول</w:t>
      </w:r>
      <w:r w:rsidR="00755C4F" w:rsidRPr="00904FCB">
        <w:rPr>
          <w:rFonts w:hint="cs"/>
          <w:sz w:val="27"/>
          <w:rtl/>
        </w:rPr>
        <w:t>:</w:t>
      </w:r>
      <w:r w:rsidRPr="00904FCB">
        <w:rPr>
          <w:sz w:val="27"/>
          <w:rtl/>
        </w:rPr>
        <w:t xml:space="preserve"> لو أن شخصاً ألغى هذا النوع من العلمانية لن يكون لديه أي</w:t>
      </w:r>
      <w:r w:rsidR="007B6738" w:rsidRPr="00904FCB">
        <w:rPr>
          <w:rFonts w:hint="cs"/>
          <w:sz w:val="27"/>
          <w:rtl/>
        </w:rPr>
        <w:t>ّ</w:t>
      </w:r>
      <w:r w:rsidRPr="00904FCB">
        <w:rPr>
          <w:sz w:val="27"/>
          <w:rtl/>
        </w:rPr>
        <w:t xml:space="preserve"> معيار للفصل بين الدين والخرافة، ولن يكون لديه أي</w:t>
      </w:r>
      <w:r w:rsidR="007B6738" w:rsidRPr="00904FCB">
        <w:rPr>
          <w:rFonts w:hint="cs"/>
          <w:sz w:val="27"/>
          <w:rtl/>
        </w:rPr>
        <w:t>ّ</w:t>
      </w:r>
      <w:r w:rsidRPr="00904FCB">
        <w:rPr>
          <w:sz w:val="27"/>
          <w:rtl/>
        </w:rPr>
        <w:t xml:space="preserve"> أداة للحيلولة دون تسرّ</w:t>
      </w:r>
      <w:r w:rsidR="007B6738" w:rsidRPr="00904FCB">
        <w:rPr>
          <w:rFonts w:hint="cs"/>
          <w:sz w:val="27"/>
          <w:rtl/>
        </w:rPr>
        <w:t>ُ</w:t>
      </w:r>
      <w:r w:rsidRPr="00904FCB">
        <w:rPr>
          <w:sz w:val="27"/>
          <w:rtl/>
        </w:rPr>
        <w:t>ب الخرافات إلى ساحة الفكر الديني، ولن يكون لديه معيار لنقد التنظير للاستبداد والعنف من خلال التمس</w:t>
      </w:r>
      <w:r w:rsidR="007B6738" w:rsidRPr="00904FCB">
        <w:rPr>
          <w:rFonts w:hint="cs"/>
          <w:sz w:val="27"/>
          <w:rtl/>
        </w:rPr>
        <w:t>ُّ</w:t>
      </w:r>
      <w:r w:rsidRPr="00904FCB">
        <w:rPr>
          <w:sz w:val="27"/>
          <w:rtl/>
        </w:rPr>
        <w:t xml:space="preserve">ك بالتعاليم الدينية. </w:t>
      </w:r>
    </w:p>
    <w:p w:rsidR="00850887" w:rsidRDefault="00A45FD9" w:rsidP="00850887">
      <w:pPr>
        <w:spacing w:line="400" w:lineRule="exact"/>
        <w:ind w:firstLine="561"/>
        <w:rPr>
          <w:sz w:val="27"/>
          <w:rtl/>
        </w:rPr>
      </w:pPr>
      <w:r w:rsidRPr="00904FCB">
        <w:rPr>
          <w:sz w:val="27"/>
          <w:rtl/>
        </w:rPr>
        <w:t>نعم</w:t>
      </w:r>
      <w:r w:rsidR="007B6738" w:rsidRPr="00904FCB">
        <w:rPr>
          <w:rFonts w:hint="cs"/>
          <w:sz w:val="27"/>
          <w:rtl/>
        </w:rPr>
        <w:t>،</w:t>
      </w:r>
      <w:r w:rsidRPr="00904FCB">
        <w:rPr>
          <w:sz w:val="27"/>
          <w:rtl/>
        </w:rPr>
        <w:t xml:space="preserve"> لو أن شخصاً أحل</w:t>
      </w:r>
      <w:r w:rsidR="004F52F7" w:rsidRPr="00904FCB">
        <w:rPr>
          <w:rFonts w:hint="cs"/>
          <w:sz w:val="27"/>
          <w:rtl/>
        </w:rPr>
        <w:t>ّ</w:t>
      </w:r>
      <w:r w:rsidRPr="00904FCB">
        <w:rPr>
          <w:sz w:val="27"/>
          <w:rtl/>
        </w:rPr>
        <w:t xml:space="preserve"> التفسير الفلسفي أو العلمي والأخلاق العلمانية محل</w:t>
      </w:r>
      <w:r w:rsidR="004F52F7" w:rsidRPr="00904FCB">
        <w:rPr>
          <w:rFonts w:hint="cs"/>
          <w:sz w:val="27"/>
          <w:rtl/>
        </w:rPr>
        <w:t>ّ</w:t>
      </w:r>
      <w:r w:rsidRPr="00904FCB">
        <w:rPr>
          <w:sz w:val="27"/>
          <w:rtl/>
        </w:rPr>
        <w:t xml:space="preserve"> التفسير الديني والأخلاق الدينية فعندها سيكون قد أحل</w:t>
      </w:r>
      <w:r w:rsidR="004F52F7" w:rsidRPr="00904FCB">
        <w:rPr>
          <w:rFonts w:hint="cs"/>
          <w:sz w:val="27"/>
          <w:rtl/>
        </w:rPr>
        <w:t>ّ</w:t>
      </w:r>
      <w:r w:rsidRPr="00904FCB">
        <w:rPr>
          <w:sz w:val="27"/>
          <w:rtl/>
        </w:rPr>
        <w:t xml:space="preserve"> الإلحاد محل</w:t>
      </w:r>
      <w:r w:rsidR="004F52F7" w:rsidRPr="00904FCB">
        <w:rPr>
          <w:rFonts w:hint="cs"/>
          <w:sz w:val="27"/>
          <w:rtl/>
        </w:rPr>
        <w:t>ّ</w:t>
      </w:r>
      <w:r w:rsidRPr="00904FCB">
        <w:rPr>
          <w:sz w:val="27"/>
          <w:rtl/>
        </w:rPr>
        <w:t xml:space="preserve"> الدين. إلا</w:t>
      </w:r>
      <w:r w:rsidR="004F52F7" w:rsidRPr="00904FCB">
        <w:rPr>
          <w:rFonts w:hint="cs"/>
          <w:sz w:val="27"/>
          <w:rtl/>
        </w:rPr>
        <w:t>ّ</w:t>
      </w:r>
      <w:r w:rsidRPr="00904FCB">
        <w:rPr>
          <w:sz w:val="27"/>
          <w:rtl/>
        </w:rPr>
        <w:t xml:space="preserve"> أن العلمانية يمكن أن تعني </w:t>
      </w:r>
      <w:r w:rsidRPr="00904FCB">
        <w:rPr>
          <w:rFonts w:hint="eastAsia"/>
          <w:sz w:val="27"/>
          <w:rtl/>
        </w:rPr>
        <w:t>«</w:t>
      </w:r>
      <w:r w:rsidRPr="00904FCB">
        <w:rPr>
          <w:sz w:val="27"/>
          <w:rtl/>
        </w:rPr>
        <w:t>تقد</w:t>
      </w:r>
      <w:r w:rsidR="004F52F7" w:rsidRPr="00904FCB">
        <w:rPr>
          <w:rFonts w:hint="cs"/>
          <w:sz w:val="27"/>
          <w:rtl/>
        </w:rPr>
        <w:t>ّ</w:t>
      </w:r>
      <w:r w:rsidRPr="00904FCB">
        <w:rPr>
          <w:sz w:val="27"/>
          <w:rtl/>
        </w:rPr>
        <w:t>م</w:t>
      </w:r>
      <w:r w:rsidRPr="00904FCB">
        <w:rPr>
          <w:rFonts w:hint="eastAsia"/>
          <w:sz w:val="27"/>
          <w:rtl/>
        </w:rPr>
        <w:t>»</w:t>
      </w:r>
      <w:r w:rsidRPr="00904FCB">
        <w:rPr>
          <w:sz w:val="27"/>
          <w:rtl/>
        </w:rPr>
        <w:t xml:space="preserve"> التفسير الفلسفي على التفسير الديني، و</w:t>
      </w:r>
      <w:r w:rsidRPr="00904FCB">
        <w:rPr>
          <w:rFonts w:hint="eastAsia"/>
          <w:sz w:val="27"/>
          <w:rtl/>
        </w:rPr>
        <w:t>«</w:t>
      </w:r>
      <w:r w:rsidRPr="00904FCB">
        <w:rPr>
          <w:sz w:val="27"/>
          <w:rtl/>
        </w:rPr>
        <w:t>استقلال</w:t>
      </w:r>
      <w:r w:rsidRPr="00904FCB">
        <w:rPr>
          <w:rFonts w:hint="eastAsia"/>
          <w:sz w:val="27"/>
          <w:rtl/>
        </w:rPr>
        <w:t>»</w:t>
      </w:r>
      <w:r w:rsidRPr="00904FCB">
        <w:rPr>
          <w:sz w:val="27"/>
          <w:rtl/>
        </w:rPr>
        <w:t xml:space="preserve"> التفسير العلمي عن التفسير الديني، و</w:t>
      </w:r>
      <w:r w:rsidRPr="00904FCB">
        <w:rPr>
          <w:rFonts w:hint="eastAsia"/>
          <w:sz w:val="27"/>
          <w:rtl/>
        </w:rPr>
        <w:t>«</w:t>
      </w:r>
      <w:r w:rsidRPr="00904FCB">
        <w:rPr>
          <w:sz w:val="27"/>
          <w:rtl/>
        </w:rPr>
        <w:t>تقد</w:t>
      </w:r>
      <w:r w:rsidR="004F52F7" w:rsidRPr="00904FCB">
        <w:rPr>
          <w:rFonts w:hint="cs"/>
          <w:sz w:val="27"/>
          <w:rtl/>
        </w:rPr>
        <w:t>ّ</w:t>
      </w:r>
      <w:r w:rsidRPr="00904FCB">
        <w:rPr>
          <w:sz w:val="27"/>
          <w:rtl/>
        </w:rPr>
        <w:t>م</w:t>
      </w:r>
      <w:r w:rsidRPr="00904FCB">
        <w:rPr>
          <w:rFonts w:hint="eastAsia"/>
          <w:sz w:val="27"/>
          <w:rtl/>
        </w:rPr>
        <w:t>»</w:t>
      </w:r>
      <w:r w:rsidRPr="00904FCB">
        <w:rPr>
          <w:sz w:val="27"/>
          <w:rtl/>
        </w:rPr>
        <w:t xml:space="preserve"> الأخلاق العلمانية على الأخلاق الدينية</w:t>
      </w:r>
      <w:r w:rsidRPr="00904FCB">
        <w:rPr>
          <w:sz w:val="27"/>
          <w:vertAlign w:val="superscript"/>
          <w:rtl/>
        </w:rPr>
        <w:t>(</w:t>
      </w:r>
      <w:r w:rsidRPr="00904FCB">
        <w:rPr>
          <w:sz w:val="27"/>
          <w:vertAlign w:val="superscript"/>
          <w:rtl/>
        </w:rPr>
        <w:endnoteReference w:id="70"/>
      </w:r>
      <w:r w:rsidRPr="00904FCB">
        <w:rPr>
          <w:sz w:val="27"/>
          <w:vertAlign w:val="superscript"/>
          <w:rtl/>
        </w:rPr>
        <w:t>)</w:t>
      </w:r>
      <w:r w:rsidR="00850887">
        <w:rPr>
          <w:rFonts w:hint="cs"/>
          <w:sz w:val="27"/>
          <w:rtl/>
        </w:rPr>
        <w:t>.</w:t>
      </w:r>
    </w:p>
    <w:p w:rsidR="00850887" w:rsidRDefault="00A45FD9" w:rsidP="00850887">
      <w:pPr>
        <w:spacing w:line="400" w:lineRule="exact"/>
        <w:ind w:firstLine="561"/>
        <w:rPr>
          <w:sz w:val="27"/>
          <w:rtl/>
        </w:rPr>
      </w:pPr>
      <w:r w:rsidRPr="00904FCB">
        <w:rPr>
          <w:sz w:val="27"/>
          <w:rtl/>
        </w:rPr>
        <w:t>كما تحدّث الدكتور سروش عن مقولة</w:t>
      </w:r>
      <w:r w:rsidR="004F52F7" w:rsidRPr="00904FCB">
        <w:rPr>
          <w:rFonts w:hint="cs"/>
          <w:sz w:val="27"/>
          <w:rtl/>
        </w:rPr>
        <w:t>ٍ</w:t>
      </w:r>
      <w:r w:rsidRPr="00904FCB">
        <w:rPr>
          <w:sz w:val="27"/>
          <w:rtl/>
        </w:rPr>
        <w:t xml:space="preserve"> أخرى باسم </w:t>
      </w:r>
      <w:r w:rsidR="004F52F7" w:rsidRPr="00904FCB">
        <w:rPr>
          <w:rFonts w:hint="cs"/>
          <w:sz w:val="27"/>
          <w:rtl/>
        </w:rPr>
        <w:t>(</w:t>
      </w:r>
      <w:r w:rsidRPr="00904FCB">
        <w:rPr>
          <w:sz w:val="27"/>
          <w:rtl/>
        </w:rPr>
        <w:t>الدين العلماني</w:t>
      </w:r>
      <w:r w:rsidR="004F52F7" w:rsidRPr="00904FCB">
        <w:rPr>
          <w:rFonts w:hint="cs"/>
          <w:sz w:val="27"/>
          <w:rtl/>
        </w:rPr>
        <w:t>)،</w:t>
      </w:r>
      <w:r w:rsidRPr="00904FCB">
        <w:rPr>
          <w:sz w:val="27"/>
          <w:rtl/>
        </w:rPr>
        <w:t xml:space="preserve"> أو </w:t>
      </w:r>
      <w:r w:rsidR="004F52F7" w:rsidRPr="00904FCB">
        <w:rPr>
          <w:rFonts w:hint="cs"/>
          <w:sz w:val="27"/>
          <w:rtl/>
        </w:rPr>
        <w:t>(</w:t>
      </w:r>
      <w:r w:rsidRPr="00904FCB">
        <w:rPr>
          <w:sz w:val="27"/>
          <w:rtl/>
        </w:rPr>
        <w:t>علمنة الدين</w:t>
      </w:r>
      <w:r w:rsidR="004F52F7" w:rsidRPr="00904FCB">
        <w:rPr>
          <w:rFonts w:hint="cs"/>
          <w:sz w:val="27"/>
          <w:rtl/>
        </w:rPr>
        <w:t>)</w:t>
      </w:r>
      <w:r w:rsidRPr="00904FCB">
        <w:rPr>
          <w:sz w:val="27"/>
          <w:rtl/>
        </w:rPr>
        <w:t xml:space="preserve"> أيضاً. إن علمنة الدين تعني دنيوية الدين</w:t>
      </w:r>
      <w:r w:rsidR="004F52F7" w:rsidRPr="00904FCB">
        <w:rPr>
          <w:rFonts w:hint="cs"/>
          <w:sz w:val="27"/>
          <w:rtl/>
        </w:rPr>
        <w:t>،</w:t>
      </w:r>
      <w:r w:rsidRPr="00904FCB">
        <w:rPr>
          <w:sz w:val="27"/>
          <w:rtl/>
        </w:rPr>
        <w:t xml:space="preserve"> أو صيرورة الدين دنيوياً</w:t>
      </w:r>
      <w:r w:rsidR="004F52F7" w:rsidRPr="00904FCB">
        <w:rPr>
          <w:rFonts w:hint="cs"/>
          <w:sz w:val="27"/>
          <w:rtl/>
        </w:rPr>
        <w:t>،</w:t>
      </w:r>
      <w:r w:rsidRPr="00904FCB">
        <w:rPr>
          <w:sz w:val="27"/>
          <w:rtl/>
        </w:rPr>
        <w:t xml:space="preserve"> أو أدلجة الدين</w:t>
      </w:r>
      <w:r w:rsidRPr="00904FCB">
        <w:rPr>
          <w:sz w:val="27"/>
          <w:vertAlign w:val="superscript"/>
          <w:rtl/>
        </w:rPr>
        <w:t>(</w:t>
      </w:r>
      <w:r w:rsidRPr="00904FCB">
        <w:rPr>
          <w:sz w:val="27"/>
          <w:vertAlign w:val="superscript"/>
          <w:rtl/>
        </w:rPr>
        <w:endnoteReference w:id="71"/>
      </w:r>
      <w:r w:rsidRPr="00904FCB">
        <w:rPr>
          <w:sz w:val="27"/>
          <w:vertAlign w:val="superscript"/>
          <w:rtl/>
        </w:rPr>
        <w:t>)</w:t>
      </w:r>
      <w:r w:rsidRPr="00904FCB">
        <w:rPr>
          <w:sz w:val="27"/>
          <w:rtl/>
        </w:rPr>
        <w:t>. إن الدين العلماني يعني الغفلة عن ذكر الله والحياة بعد الموت</w:t>
      </w:r>
      <w:r w:rsidR="004F52F7" w:rsidRPr="00904FCB">
        <w:rPr>
          <w:rFonts w:hint="cs"/>
          <w:sz w:val="27"/>
          <w:rtl/>
        </w:rPr>
        <w:t>،</w:t>
      </w:r>
      <w:r w:rsidRPr="00904FCB">
        <w:rPr>
          <w:sz w:val="27"/>
          <w:rtl/>
        </w:rPr>
        <w:t xml:space="preserve"> والقناعة بالحياة الدنيا أيضاً. وبذلك يكون العلمانيون مصداقاً لما ورد في القرآن</w:t>
      </w:r>
      <w:r w:rsidR="004F52F7" w:rsidRPr="00904FCB">
        <w:rPr>
          <w:rFonts w:hint="cs"/>
          <w:sz w:val="27"/>
          <w:rtl/>
        </w:rPr>
        <w:t>،</w:t>
      </w:r>
      <w:r w:rsidRPr="00904FCB">
        <w:rPr>
          <w:sz w:val="27"/>
          <w:rtl/>
        </w:rPr>
        <w:t xml:space="preserve"> حيث يقول: </w:t>
      </w:r>
      <w:r w:rsidR="004F52F7" w:rsidRPr="00904FCB">
        <w:rPr>
          <w:rFonts w:ascii="Mosawi" w:hAnsi="Mosawi" w:cs="Mosawi"/>
          <w:sz w:val="24"/>
          <w:szCs w:val="24"/>
          <w:rtl/>
        </w:rPr>
        <w:t>﴿</w:t>
      </w:r>
      <w:r w:rsidR="004F52F7" w:rsidRPr="00904FCB">
        <w:rPr>
          <w:b/>
          <w:bCs/>
          <w:sz w:val="27"/>
          <w:rtl/>
        </w:rPr>
        <w:t>يَعْلَمُونَ ظَاهِر</w:t>
      </w:r>
      <w:r w:rsidRPr="00904FCB">
        <w:rPr>
          <w:b/>
          <w:bCs/>
          <w:sz w:val="27"/>
          <w:rtl/>
        </w:rPr>
        <w:t>ا</w:t>
      </w:r>
      <w:r w:rsidR="004F52F7" w:rsidRPr="00904FCB">
        <w:rPr>
          <w:rFonts w:hint="cs"/>
          <w:b/>
          <w:bCs/>
          <w:sz w:val="27"/>
          <w:rtl/>
        </w:rPr>
        <w:t>ً</w:t>
      </w:r>
      <w:r w:rsidR="004F52F7" w:rsidRPr="00904FCB">
        <w:rPr>
          <w:b/>
          <w:bCs/>
          <w:sz w:val="27"/>
          <w:rtl/>
        </w:rPr>
        <w:t xml:space="preserve"> مِن</w:t>
      </w:r>
      <w:r w:rsidR="004F52F7" w:rsidRPr="00904FCB">
        <w:rPr>
          <w:rFonts w:hint="cs"/>
          <w:b/>
          <w:bCs/>
          <w:sz w:val="27"/>
          <w:rtl/>
        </w:rPr>
        <w:t>َ</w:t>
      </w:r>
      <w:r w:rsidR="004F52F7" w:rsidRPr="00904FCB">
        <w:rPr>
          <w:b/>
          <w:bCs/>
          <w:sz w:val="27"/>
          <w:rtl/>
        </w:rPr>
        <w:t xml:space="preserve"> الحَيَاةِ الدُّنْيَا وَهُمْ عَن</w:t>
      </w:r>
      <w:r w:rsidR="004F52F7" w:rsidRPr="00904FCB">
        <w:rPr>
          <w:rFonts w:hint="cs"/>
          <w:b/>
          <w:bCs/>
          <w:sz w:val="27"/>
          <w:rtl/>
        </w:rPr>
        <w:t>ِ</w:t>
      </w:r>
      <w:r w:rsidRPr="00904FCB">
        <w:rPr>
          <w:b/>
          <w:bCs/>
          <w:sz w:val="27"/>
          <w:rtl/>
        </w:rPr>
        <w:t xml:space="preserve"> الآخِرَةِ هُمْ غَافِلُونَ</w:t>
      </w:r>
      <w:r w:rsidR="004F52F7" w:rsidRPr="00904FCB">
        <w:rPr>
          <w:rFonts w:ascii="Mosawi" w:hAnsi="Mosawi" w:cs="Mosawi"/>
          <w:sz w:val="24"/>
          <w:szCs w:val="24"/>
          <w:rtl/>
        </w:rPr>
        <w:t>﴾</w:t>
      </w:r>
      <w:r w:rsidR="00A83418" w:rsidRPr="00904FCB">
        <w:rPr>
          <w:rFonts w:hint="cs"/>
          <w:sz w:val="27"/>
          <w:rtl/>
        </w:rPr>
        <w:t xml:space="preserve"> (</w:t>
      </w:r>
      <w:r w:rsidR="00A83418" w:rsidRPr="00F03AF0">
        <w:rPr>
          <w:rFonts w:hint="cs"/>
          <w:sz w:val="27"/>
          <w:rtl/>
        </w:rPr>
        <w:t>الروم: 7)</w:t>
      </w:r>
      <w:r w:rsidRPr="00F03AF0">
        <w:rPr>
          <w:sz w:val="27"/>
          <w:rtl/>
        </w:rPr>
        <w:t>.</w:t>
      </w:r>
      <w:r w:rsidRPr="00904FCB">
        <w:rPr>
          <w:sz w:val="27"/>
          <w:rtl/>
        </w:rPr>
        <w:t xml:space="preserve"> ولكن ينبغي الالتفات إلى أنه لا يوجد أي</w:t>
      </w:r>
      <w:r w:rsidR="004F52F7" w:rsidRPr="00904FCB">
        <w:rPr>
          <w:rFonts w:hint="cs"/>
          <w:sz w:val="27"/>
          <w:rtl/>
        </w:rPr>
        <w:t>ُّ</w:t>
      </w:r>
      <w:r w:rsidRPr="00904FCB">
        <w:rPr>
          <w:sz w:val="27"/>
          <w:rtl/>
        </w:rPr>
        <w:t xml:space="preserve"> تلازم منطقي بين هذا النوع من العلمانية </w:t>
      </w:r>
      <w:r w:rsidRPr="00904FCB">
        <w:rPr>
          <w:sz w:val="27"/>
          <w:rtl/>
        </w:rPr>
        <w:lastRenderedPageBreak/>
        <w:t>والعلمانية الفلسفية والعلمية بالمعنى المتقد</w:t>
      </w:r>
      <w:r w:rsidR="004F52F7" w:rsidRPr="00904FCB">
        <w:rPr>
          <w:rFonts w:hint="cs"/>
          <w:sz w:val="27"/>
          <w:rtl/>
        </w:rPr>
        <w:t>ّ</w:t>
      </w:r>
      <w:r w:rsidRPr="00904FCB">
        <w:rPr>
          <w:sz w:val="27"/>
          <w:rtl/>
        </w:rPr>
        <w:t xml:space="preserve">م. سوف نعمد في كتابنا (أخلاق دينداري) إلى تقسيم العلمانية إلى نوعين: علمانية </w:t>
      </w:r>
      <w:r w:rsidRPr="00904FCB">
        <w:rPr>
          <w:rFonts w:hint="eastAsia"/>
          <w:sz w:val="27"/>
          <w:rtl/>
        </w:rPr>
        <w:t>«</w:t>
      </w:r>
      <w:r w:rsidRPr="00904FCB">
        <w:rPr>
          <w:sz w:val="27"/>
          <w:rtl/>
        </w:rPr>
        <w:t>معتدلة</w:t>
      </w:r>
      <w:r w:rsidRPr="00904FCB">
        <w:rPr>
          <w:rFonts w:hint="eastAsia"/>
          <w:sz w:val="27"/>
          <w:rtl/>
        </w:rPr>
        <w:t>»</w:t>
      </w:r>
      <w:r w:rsidR="00D315ED" w:rsidRPr="00904FCB">
        <w:rPr>
          <w:rFonts w:hint="cs"/>
          <w:sz w:val="27"/>
          <w:rtl/>
        </w:rPr>
        <w:t>؛</w:t>
      </w:r>
      <w:r w:rsidRPr="00904FCB">
        <w:rPr>
          <w:sz w:val="27"/>
          <w:rtl/>
        </w:rPr>
        <w:t xml:space="preserve"> وعلمانية </w:t>
      </w:r>
      <w:r w:rsidRPr="00904FCB">
        <w:rPr>
          <w:rFonts w:hint="eastAsia"/>
          <w:sz w:val="27"/>
          <w:rtl/>
        </w:rPr>
        <w:t>«</w:t>
      </w:r>
      <w:r w:rsidRPr="00904FCB">
        <w:rPr>
          <w:sz w:val="27"/>
          <w:rtl/>
        </w:rPr>
        <w:t>متطرّفة</w:t>
      </w:r>
      <w:r w:rsidRPr="00904FCB">
        <w:rPr>
          <w:rFonts w:hint="eastAsia"/>
          <w:sz w:val="27"/>
          <w:rtl/>
        </w:rPr>
        <w:t>»</w:t>
      </w:r>
      <w:r w:rsidRPr="00904FCB">
        <w:rPr>
          <w:sz w:val="27"/>
          <w:rtl/>
        </w:rPr>
        <w:t>، ونرى ضرورة الفصل بين هذين النوعين من العلمانية</w:t>
      </w:r>
      <w:r w:rsidR="00D315ED" w:rsidRPr="00904FCB">
        <w:rPr>
          <w:rFonts w:hint="cs"/>
          <w:sz w:val="27"/>
          <w:rtl/>
        </w:rPr>
        <w:t>؛</w:t>
      </w:r>
      <w:r w:rsidRPr="00904FCB">
        <w:rPr>
          <w:sz w:val="27"/>
          <w:rtl/>
        </w:rPr>
        <w:t xml:space="preserve"> لتكوين حكم</w:t>
      </w:r>
      <w:r w:rsidR="00D315ED" w:rsidRPr="00904FCB">
        <w:rPr>
          <w:rFonts w:hint="cs"/>
          <w:sz w:val="27"/>
          <w:rtl/>
        </w:rPr>
        <w:t>ٍ</w:t>
      </w:r>
      <w:r w:rsidRPr="00904FCB">
        <w:rPr>
          <w:sz w:val="27"/>
          <w:rtl/>
        </w:rPr>
        <w:t xml:space="preserve"> واقعي ومنصف بشأن العلمانية</w:t>
      </w:r>
      <w:r w:rsidRPr="00904FCB">
        <w:rPr>
          <w:sz w:val="27"/>
          <w:vertAlign w:val="superscript"/>
          <w:rtl/>
        </w:rPr>
        <w:t>(</w:t>
      </w:r>
      <w:r w:rsidRPr="00904FCB">
        <w:rPr>
          <w:sz w:val="27"/>
          <w:vertAlign w:val="superscript"/>
          <w:rtl/>
        </w:rPr>
        <w:endnoteReference w:id="72"/>
      </w:r>
      <w:r w:rsidRPr="00904FCB">
        <w:rPr>
          <w:sz w:val="27"/>
          <w:vertAlign w:val="superscript"/>
          <w:rtl/>
        </w:rPr>
        <w:t>)</w:t>
      </w:r>
      <w:r w:rsidR="00850887">
        <w:rPr>
          <w:sz w:val="27"/>
          <w:rtl/>
        </w:rPr>
        <w:t>.</w:t>
      </w:r>
    </w:p>
    <w:p w:rsidR="00A45FD9" w:rsidRPr="00904FCB" w:rsidRDefault="00A45FD9" w:rsidP="00850887">
      <w:pPr>
        <w:spacing w:line="400" w:lineRule="exact"/>
        <w:ind w:firstLine="561"/>
        <w:rPr>
          <w:sz w:val="27"/>
          <w:rtl/>
        </w:rPr>
      </w:pPr>
      <w:r w:rsidRPr="00904FCB">
        <w:rPr>
          <w:sz w:val="27"/>
          <w:rtl/>
        </w:rPr>
        <w:t>بادر الدكتور سروش بعد تقسيمه التدي</w:t>
      </w:r>
      <w:r w:rsidR="00D315ED" w:rsidRPr="00904FCB">
        <w:rPr>
          <w:rFonts w:hint="cs"/>
          <w:sz w:val="27"/>
          <w:rtl/>
        </w:rPr>
        <w:t>ُّ</w:t>
      </w:r>
      <w:r w:rsidRPr="00904FCB">
        <w:rPr>
          <w:sz w:val="27"/>
          <w:rtl/>
        </w:rPr>
        <w:t>ن إلى ثلاثة أنواع</w:t>
      </w:r>
      <w:r w:rsidR="00D315ED" w:rsidRPr="00904FCB">
        <w:rPr>
          <w:rFonts w:hint="cs"/>
          <w:sz w:val="27"/>
          <w:rtl/>
        </w:rPr>
        <w:t>،</w:t>
      </w:r>
      <w:r w:rsidRPr="00904FCB">
        <w:rPr>
          <w:sz w:val="27"/>
          <w:rtl/>
        </w:rPr>
        <w:t xml:space="preserve"> أو ثلاثة مستويات: </w:t>
      </w:r>
      <w:r w:rsidRPr="00904FCB">
        <w:rPr>
          <w:rFonts w:hint="eastAsia"/>
          <w:sz w:val="27"/>
          <w:rtl/>
        </w:rPr>
        <w:t>«</w:t>
      </w:r>
      <w:r w:rsidRPr="00904FCB">
        <w:rPr>
          <w:sz w:val="27"/>
          <w:rtl/>
        </w:rPr>
        <w:t>تدي</w:t>
      </w:r>
      <w:r w:rsidR="00D315ED" w:rsidRPr="00904FCB">
        <w:rPr>
          <w:rFonts w:hint="cs"/>
          <w:sz w:val="27"/>
          <w:rtl/>
        </w:rPr>
        <w:t>ُّ</w:t>
      </w:r>
      <w:r w:rsidRPr="00904FCB">
        <w:rPr>
          <w:sz w:val="27"/>
          <w:rtl/>
        </w:rPr>
        <w:t>ن المعيشة</w:t>
      </w:r>
      <w:r w:rsidRPr="00904FCB">
        <w:rPr>
          <w:rFonts w:hint="eastAsia"/>
          <w:sz w:val="27"/>
          <w:rtl/>
        </w:rPr>
        <w:t>»</w:t>
      </w:r>
      <w:r w:rsidR="00D315ED" w:rsidRPr="00904FCB">
        <w:rPr>
          <w:rFonts w:hint="cs"/>
          <w:sz w:val="27"/>
          <w:rtl/>
        </w:rPr>
        <w:t>؛</w:t>
      </w:r>
      <w:r w:rsidRPr="00904FCB">
        <w:rPr>
          <w:sz w:val="27"/>
          <w:rtl/>
        </w:rPr>
        <w:t xml:space="preserve"> و</w:t>
      </w:r>
      <w:r w:rsidRPr="00904FCB">
        <w:rPr>
          <w:rFonts w:hint="eastAsia"/>
          <w:sz w:val="27"/>
          <w:rtl/>
        </w:rPr>
        <w:t>«</w:t>
      </w:r>
      <w:r w:rsidRPr="00904FCB">
        <w:rPr>
          <w:sz w:val="27"/>
          <w:rtl/>
        </w:rPr>
        <w:t>تدي</w:t>
      </w:r>
      <w:r w:rsidR="00D315ED" w:rsidRPr="00904FCB">
        <w:rPr>
          <w:rFonts w:hint="cs"/>
          <w:sz w:val="27"/>
          <w:rtl/>
        </w:rPr>
        <w:t>ُّ</w:t>
      </w:r>
      <w:r w:rsidRPr="00904FCB">
        <w:rPr>
          <w:sz w:val="27"/>
          <w:rtl/>
        </w:rPr>
        <w:t>ن المعرفة</w:t>
      </w:r>
      <w:r w:rsidRPr="00904FCB">
        <w:rPr>
          <w:rFonts w:hint="eastAsia"/>
          <w:sz w:val="27"/>
          <w:rtl/>
        </w:rPr>
        <w:t>»</w:t>
      </w:r>
      <w:r w:rsidR="00D315ED" w:rsidRPr="00904FCB">
        <w:rPr>
          <w:rFonts w:hint="cs"/>
          <w:sz w:val="27"/>
          <w:rtl/>
        </w:rPr>
        <w:t>؛</w:t>
      </w:r>
      <w:r w:rsidRPr="00904FCB">
        <w:rPr>
          <w:sz w:val="27"/>
          <w:rtl/>
        </w:rPr>
        <w:t xml:space="preserve"> و</w:t>
      </w:r>
      <w:r w:rsidRPr="00904FCB">
        <w:rPr>
          <w:rFonts w:hint="eastAsia"/>
          <w:sz w:val="27"/>
          <w:rtl/>
        </w:rPr>
        <w:t>«</w:t>
      </w:r>
      <w:r w:rsidRPr="00904FCB">
        <w:rPr>
          <w:sz w:val="27"/>
          <w:rtl/>
        </w:rPr>
        <w:t>تدين التجربة</w:t>
      </w:r>
      <w:r w:rsidRPr="00904FCB">
        <w:rPr>
          <w:rFonts w:hint="eastAsia"/>
          <w:sz w:val="27"/>
          <w:rtl/>
        </w:rPr>
        <w:t>»</w:t>
      </w:r>
      <w:r w:rsidRPr="00904FCB">
        <w:rPr>
          <w:sz w:val="27"/>
          <w:rtl/>
        </w:rPr>
        <w:t>، إلى البحث عن نسبة أنواع التدي</w:t>
      </w:r>
      <w:r w:rsidR="00D315ED" w:rsidRPr="00904FCB">
        <w:rPr>
          <w:rFonts w:hint="cs"/>
          <w:sz w:val="27"/>
          <w:rtl/>
        </w:rPr>
        <w:t>ُّ</w:t>
      </w:r>
      <w:r w:rsidRPr="00904FCB">
        <w:rPr>
          <w:sz w:val="27"/>
          <w:rtl/>
        </w:rPr>
        <w:t>ن إلى العالم المعاصر. وذهب إلى القول بأن المتدي</w:t>
      </w:r>
      <w:r w:rsidR="00D315ED" w:rsidRPr="00904FCB">
        <w:rPr>
          <w:rFonts w:hint="cs"/>
          <w:sz w:val="27"/>
          <w:rtl/>
        </w:rPr>
        <w:t>ِّ</w:t>
      </w:r>
      <w:r w:rsidRPr="00904FCB">
        <w:rPr>
          <w:sz w:val="27"/>
          <w:rtl/>
        </w:rPr>
        <w:t>نين من القسم الأول يبسّ</w:t>
      </w:r>
      <w:r w:rsidR="00D315ED" w:rsidRPr="00904FCB">
        <w:rPr>
          <w:rFonts w:hint="cs"/>
          <w:sz w:val="27"/>
          <w:rtl/>
        </w:rPr>
        <w:t>ِ</w:t>
      </w:r>
      <w:r w:rsidRPr="00904FCB">
        <w:rPr>
          <w:sz w:val="27"/>
          <w:rtl/>
        </w:rPr>
        <w:t xml:space="preserve">طون المسألة في تعاملهم مع العالم المعاصر، معتبرين العالم الحديث مجرّد ركام من المسائل والمشاكل العملية الجديدة التي يمكن العثور على الإجابة المناسبة عنها من خلال الرجوع إلى الفقه التقليدي. </w:t>
      </w:r>
    </w:p>
    <w:p w:rsidR="00A45FD9" w:rsidRPr="00904FCB" w:rsidRDefault="00A45FD9" w:rsidP="007A21AA">
      <w:pPr>
        <w:spacing w:line="400" w:lineRule="exact"/>
        <w:rPr>
          <w:sz w:val="27"/>
          <w:rtl/>
        </w:rPr>
      </w:pPr>
      <w:r w:rsidRPr="00904FCB">
        <w:rPr>
          <w:sz w:val="27"/>
          <w:rtl/>
        </w:rPr>
        <w:t xml:space="preserve">وقد كتب في نقد هذا التوجّه قائلاً: </w:t>
      </w:r>
      <w:r w:rsidRPr="00904FCB">
        <w:rPr>
          <w:rFonts w:hint="eastAsia"/>
          <w:sz w:val="27"/>
          <w:rtl/>
        </w:rPr>
        <w:t>«</w:t>
      </w:r>
      <w:r w:rsidRPr="00904FCB">
        <w:rPr>
          <w:sz w:val="27"/>
          <w:rtl/>
        </w:rPr>
        <w:t>إن التدي</w:t>
      </w:r>
      <w:r w:rsidR="00D315ED" w:rsidRPr="00904FCB">
        <w:rPr>
          <w:rFonts w:hint="cs"/>
          <w:sz w:val="27"/>
          <w:rtl/>
        </w:rPr>
        <w:t>ُّ</w:t>
      </w:r>
      <w:r w:rsidRPr="00904FCB">
        <w:rPr>
          <w:sz w:val="27"/>
          <w:rtl/>
        </w:rPr>
        <w:t>ن في العالم المعاصر في الواقع ليس على مثل هذه السهولة والبساطة. فليس من السهل على الإنسان أن يقول: أنا أوافق على التكنولوجيا والصناعة في هذا العالم، وأنسجم مع ما توص</w:t>
      </w:r>
      <w:r w:rsidR="00D315ED" w:rsidRPr="00904FCB">
        <w:rPr>
          <w:rFonts w:hint="cs"/>
          <w:sz w:val="27"/>
          <w:rtl/>
        </w:rPr>
        <w:t>َّ</w:t>
      </w:r>
      <w:r w:rsidRPr="00904FCB">
        <w:rPr>
          <w:sz w:val="27"/>
          <w:rtl/>
        </w:rPr>
        <w:t>ل إليه العلم الحديث، وأستفيد من مؤس</w:t>
      </w:r>
      <w:r w:rsidR="00D315ED" w:rsidRPr="00904FCB">
        <w:rPr>
          <w:rFonts w:hint="cs"/>
          <w:sz w:val="27"/>
          <w:rtl/>
        </w:rPr>
        <w:t>ّ</w:t>
      </w:r>
      <w:r w:rsidRPr="00904FCB">
        <w:rPr>
          <w:sz w:val="27"/>
          <w:rtl/>
        </w:rPr>
        <w:t>سات الحضارة الجديدة</w:t>
      </w:r>
      <w:r w:rsidR="00D315ED" w:rsidRPr="00904FCB">
        <w:rPr>
          <w:rFonts w:hint="cs"/>
          <w:sz w:val="27"/>
          <w:rtl/>
        </w:rPr>
        <w:t>،</w:t>
      </w:r>
      <w:r w:rsidRPr="00904FCB">
        <w:rPr>
          <w:sz w:val="27"/>
          <w:rtl/>
        </w:rPr>
        <w:t xml:space="preserve"> من قبيل: المصارف والجامعات والبرلمان وما إلى ذلك، وفي الوقت نفسه أبقى على تدي</w:t>
      </w:r>
      <w:r w:rsidR="00D315ED" w:rsidRPr="00904FCB">
        <w:rPr>
          <w:rFonts w:hint="cs"/>
          <w:sz w:val="27"/>
          <w:rtl/>
        </w:rPr>
        <w:t>ُّ</w:t>
      </w:r>
      <w:r w:rsidRPr="00904FCB">
        <w:rPr>
          <w:sz w:val="27"/>
          <w:rtl/>
        </w:rPr>
        <w:t>ني في هذه الحياة، وأثابر على إقامة الصلاة والصوم والحج</w:t>
      </w:r>
      <w:r w:rsidR="00D315ED" w:rsidRPr="00904FCB">
        <w:rPr>
          <w:rFonts w:hint="cs"/>
          <w:sz w:val="27"/>
          <w:rtl/>
        </w:rPr>
        <w:t>ّ</w:t>
      </w:r>
      <w:r w:rsidRPr="00904FCB">
        <w:rPr>
          <w:sz w:val="27"/>
          <w:rtl/>
        </w:rPr>
        <w:t>، وأمتنع عن أكل اللحوم المحرّ</w:t>
      </w:r>
      <w:r w:rsidR="00D315ED" w:rsidRPr="00904FCB">
        <w:rPr>
          <w:rFonts w:hint="cs"/>
          <w:sz w:val="27"/>
          <w:rtl/>
        </w:rPr>
        <w:t>َ</w:t>
      </w:r>
      <w:r w:rsidRPr="00904FCB">
        <w:rPr>
          <w:sz w:val="27"/>
          <w:rtl/>
        </w:rPr>
        <w:t>مة</w:t>
      </w:r>
      <w:r w:rsidR="00D315ED" w:rsidRPr="00904FCB">
        <w:rPr>
          <w:rFonts w:hint="cs"/>
          <w:sz w:val="27"/>
          <w:rtl/>
        </w:rPr>
        <w:t>،</w:t>
      </w:r>
      <w:r w:rsidRPr="00904FCB">
        <w:rPr>
          <w:sz w:val="27"/>
          <w:rtl/>
        </w:rPr>
        <w:t xml:space="preserve"> وما إلى ذلك. لو أمكن للفرد أن يط</w:t>
      </w:r>
      <w:r w:rsidR="00D315ED" w:rsidRPr="00904FCB">
        <w:rPr>
          <w:rFonts w:hint="cs"/>
          <w:sz w:val="27"/>
          <w:rtl/>
        </w:rPr>
        <w:t>َّ</w:t>
      </w:r>
      <w:r w:rsidRPr="00904FCB">
        <w:rPr>
          <w:sz w:val="27"/>
          <w:rtl/>
        </w:rPr>
        <w:t>لع على جميع تضاعيف التدي</w:t>
      </w:r>
      <w:r w:rsidR="00D315ED" w:rsidRPr="00904FCB">
        <w:rPr>
          <w:rFonts w:hint="cs"/>
          <w:sz w:val="27"/>
          <w:rtl/>
        </w:rPr>
        <w:t>ُّ</w:t>
      </w:r>
      <w:r w:rsidRPr="00904FCB">
        <w:rPr>
          <w:sz w:val="27"/>
          <w:rtl/>
        </w:rPr>
        <w:t>ن وجميع منعطفات الحداثة سيدرك مدى صعوبة تعريف الحياة الدينية في العالم المعاصر. ولو أن المستنيرين الدينيين تأم</w:t>
      </w:r>
      <w:r w:rsidR="00D315ED" w:rsidRPr="00904FCB">
        <w:rPr>
          <w:rFonts w:hint="cs"/>
          <w:sz w:val="27"/>
          <w:rtl/>
        </w:rPr>
        <w:t>َّ</w:t>
      </w:r>
      <w:r w:rsidRPr="00904FCB">
        <w:rPr>
          <w:sz w:val="27"/>
          <w:rtl/>
        </w:rPr>
        <w:t>لوا في نسبة الدين إلى العالم المعاصر فإنهم سوف يرك</w:t>
      </w:r>
      <w:r w:rsidR="00D315ED" w:rsidRPr="00904FCB">
        <w:rPr>
          <w:rFonts w:hint="cs"/>
          <w:sz w:val="27"/>
          <w:rtl/>
        </w:rPr>
        <w:t>ِّ</w:t>
      </w:r>
      <w:r w:rsidRPr="00904FCB">
        <w:rPr>
          <w:sz w:val="27"/>
          <w:rtl/>
        </w:rPr>
        <w:t>زون في الغالب على النوعين الآخرين من أنواع التدي</w:t>
      </w:r>
      <w:r w:rsidR="00D315ED" w:rsidRPr="00904FCB">
        <w:rPr>
          <w:rFonts w:hint="cs"/>
          <w:sz w:val="27"/>
          <w:rtl/>
        </w:rPr>
        <w:t>ُّ</w:t>
      </w:r>
      <w:r w:rsidRPr="00904FCB">
        <w:rPr>
          <w:sz w:val="27"/>
          <w:rtl/>
        </w:rPr>
        <w:t>ن، دون هذا النوع الذي نطلق عليه تديّ</w:t>
      </w:r>
      <w:r w:rsidR="00D315ED" w:rsidRPr="00904FCB">
        <w:rPr>
          <w:rFonts w:hint="cs"/>
          <w:sz w:val="27"/>
          <w:rtl/>
        </w:rPr>
        <w:t>ُ</w:t>
      </w:r>
      <w:r w:rsidRPr="00904FCB">
        <w:rPr>
          <w:sz w:val="27"/>
          <w:rtl/>
        </w:rPr>
        <w:t>ن المعيشة</w:t>
      </w:r>
      <w:r w:rsidRPr="00904FCB">
        <w:rPr>
          <w:rFonts w:hint="eastAsia"/>
          <w:sz w:val="27"/>
          <w:rtl/>
        </w:rPr>
        <w:t>»</w:t>
      </w:r>
      <w:r w:rsidRPr="00904FCB">
        <w:rPr>
          <w:sz w:val="27"/>
          <w:vertAlign w:val="superscript"/>
          <w:rtl/>
        </w:rPr>
        <w:t>(</w:t>
      </w:r>
      <w:r w:rsidRPr="00904FCB">
        <w:rPr>
          <w:sz w:val="27"/>
          <w:vertAlign w:val="superscript"/>
          <w:rtl/>
        </w:rPr>
        <w:endnoteReference w:id="73"/>
      </w:r>
      <w:r w:rsidRPr="00904FCB">
        <w:rPr>
          <w:sz w:val="27"/>
          <w:vertAlign w:val="superscript"/>
          <w:rtl/>
        </w:rPr>
        <w:t>)</w:t>
      </w:r>
      <w:r w:rsidRPr="00904FCB">
        <w:rPr>
          <w:sz w:val="27"/>
          <w:rtl/>
        </w:rPr>
        <w:t xml:space="preserve">. </w:t>
      </w:r>
    </w:p>
    <w:p w:rsidR="005D6395" w:rsidRPr="00904FCB" w:rsidRDefault="00A45FD9" w:rsidP="007A21AA">
      <w:pPr>
        <w:spacing w:line="400" w:lineRule="exact"/>
        <w:rPr>
          <w:sz w:val="27"/>
          <w:rtl/>
        </w:rPr>
      </w:pPr>
      <w:r w:rsidRPr="00904FCB">
        <w:rPr>
          <w:sz w:val="27"/>
          <w:rtl/>
        </w:rPr>
        <w:t>وبالنسبة لي فإن عملية تبسيط صورة المسألة في</w:t>
      </w:r>
      <w:r w:rsidR="00D315ED" w:rsidRPr="00904FCB">
        <w:rPr>
          <w:rFonts w:hint="cs"/>
          <w:sz w:val="27"/>
          <w:rtl/>
        </w:rPr>
        <w:t xml:space="preserve"> </w:t>
      </w:r>
      <w:r w:rsidRPr="00904FCB">
        <w:rPr>
          <w:sz w:val="27"/>
          <w:rtl/>
        </w:rPr>
        <w:t>ما يتعل</w:t>
      </w:r>
      <w:r w:rsidR="00D315ED" w:rsidRPr="00904FCB">
        <w:rPr>
          <w:rFonts w:hint="cs"/>
          <w:sz w:val="27"/>
          <w:rtl/>
        </w:rPr>
        <w:t>َّ</w:t>
      </w:r>
      <w:r w:rsidRPr="00904FCB">
        <w:rPr>
          <w:sz w:val="27"/>
          <w:rtl/>
        </w:rPr>
        <w:t>ق بنسبة الدين إلى العالم المعاصر تحدث في جميع المستويات والمراحل الثلاث</w:t>
      </w:r>
      <w:r w:rsidR="003E3AC6" w:rsidRPr="00904FCB">
        <w:rPr>
          <w:rFonts w:hint="cs"/>
          <w:sz w:val="27"/>
          <w:rtl/>
        </w:rPr>
        <w:t>ة</w:t>
      </w:r>
      <w:r w:rsidRPr="00904FCB">
        <w:rPr>
          <w:sz w:val="27"/>
          <w:rtl/>
        </w:rPr>
        <w:t xml:space="preserve"> المتقد</w:t>
      </w:r>
      <w:r w:rsidR="00D315ED" w:rsidRPr="00904FCB">
        <w:rPr>
          <w:rFonts w:hint="cs"/>
          <w:sz w:val="27"/>
          <w:rtl/>
        </w:rPr>
        <w:t>ّ</w:t>
      </w:r>
      <w:r w:rsidR="003E3AC6" w:rsidRPr="00904FCB">
        <w:rPr>
          <w:rFonts w:hint="cs"/>
          <w:sz w:val="27"/>
          <w:rtl/>
        </w:rPr>
        <w:t>ِ</w:t>
      </w:r>
      <w:r w:rsidRPr="00904FCB">
        <w:rPr>
          <w:sz w:val="27"/>
          <w:rtl/>
        </w:rPr>
        <w:t>مة</w:t>
      </w:r>
      <w:r w:rsidR="005D6395" w:rsidRPr="00904FCB">
        <w:rPr>
          <w:sz w:val="27"/>
          <w:rtl/>
        </w:rPr>
        <w:t>:</w:t>
      </w:r>
    </w:p>
    <w:p w:rsidR="005D6395" w:rsidRPr="00904FCB" w:rsidRDefault="00A45FD9" w:rsidP="007A21AA">
      <w:pPr>
        <w:spacing w:line="400" w:lineRule="exact"/>
        <w:rPr>
          <w:sz w:val="27"/>
          <w:rtl/>
        </w:rPr>
      </w:pPr>
      <w:r w:rsidRPr="00904FCB">
        <w:rPr>
          <w:b/>
          <w:bCs/>
          <w:sz w:val="27"/>
          <w:rtl/>
        </w:rPr>
        <w:t>المرحلة الأولى</w:t>
      </w:r>
      <w:r w:rsidRPr="00904FCB">
        <w:rPr>
          <w:sz w:val="27"/>
          <w:rtl/>
        </w:rPr>
        <w:t xml:space="preserve"> هي التي أشار </w:t>
      </w:r>
      <w:r w:rsidR="003E3AC6" w:rsidRPr="00904FCB">
        <w:rPr>
          <w:rFonts w:hint="cs"/>
          <w:sz w:val="27"/>
          <w:rtl/>
        </w:rPr>
        <w:t>إلي</w:t>
      </w:r>
      <w:r w:rsidRPr="00904FCB">
        <w:rPr>
          <w:sz w:val="27"/>
          <w:rtl/>
        </w:rPr>
        <w:t>ها الدكتور سروش، بمعنى تنزيل الدين إلى مستوى الفقه والشريعة، وتجاهل ربط ونسبة المستويات والطبقات الأخرى من التدي</w:t>
      </w:r>
      <w:r w:rsidR="003E3AC6" w:rsidRPr="00904FCB">
        <w:rPr>
          <w:rFonts w:hint="cs"/>
          <w:sz w:val="27"/>
          <w:rtl/>
        </w:rPr>
        <w:t>ُّ</w:t>
      </w:r>
      <w:r w:rsidRPr="00904FCB">
        <w:rPr>
          <w:sz w:val="27"/>
          <w:rtl/>
        </w:rPr>
        <w:t xml:space="preserve">ن </w:t>
      </w:r>
      <w:r w:rsidR="005D6395" w:rsidRPr="00904FCB">
        <w:rPr>
          <w:rFonts w:hint="cs"/>
          <w:sz w:val="27"/>
          <w:rtl/>
        </w:rPr>
        <w:t>ب</w:t>
      </w:r>
      <w:r w:rsidRPr="00904FCB">
        <w:rPr>
          <w:sz w:val="27"/>
          <w:rtl/>
        </w:rPr>
        <w:t>العالم الحديث</w:t>
      </w:r>
      <w:r w:rsidR="005D6395" w:rsidRPr="00904FCB">
        <w:rPr>
          <w:sz w:val="27"/>
          <w:rtl/>
        </w:rPr>
        <w:t>.</w:t>
      </w:r>
    </w:p>
    <w:p w:rsidR="005D6395" w:rsidRPr="00904FCB" w:rsidRDefault="00A45FD9" w:rsidP="007A21AA">
      <w:pPr>
        <w:spacing w:line="400" w:lineRule="exact"/>
        <w:rPr>
          <w:sz w:val="27"/>
          <w:rtl/>
        </w:rPr>
      </w:pPr>
      <w:r w:rsidRPr="00904FCB">
        <w:rPr>
          <w:b/>
          <w:bCs/>
          <w:sz w:val="27"/>
          <w:rtl/>
        </w:rPr>
        <w:t>أما المرحلة الثانية</w:t>
      </w:r>
      <w:r w:rsidRPr="00904FCB">
        <w:rPr>
          <w:sz w:val="27"/>
          <w:rtl/>
        </w:rPr>
        <w:t xml:space="preserve"> من التبسيط فتحدث في دائرة الفقه</w:t>
      </w:r>
      <w:r w:rsidR="005D6395" w:rsidRPr="00904FCB">
        <w:rPr>
          <w:rFonts w:hint="cs"/>
          <w:sz w:val="27"/>
          <w:rtl/>
        </w:rPr>
        <w:t>،</w:t>
      </w:r>
      <w:r w:rsidRPr="00904FCB">
        <w:rPr>
          <w:sz w:val="27"/>
          <w:rtl/>
        </w:rPr>
        <w:t xml:space="preserve"> وعلى مستوى تدي</w:t>
      </w:r>
      <w:r w:rsidR="00271BDF">
        <w:rPr>
          <w:rFonts w:hint="cs"/>
          <w:sz w:val="27"/>
          <w:rtl/>
        </w:rPr>
        <w:t>ُّ</w:t>
      </w:r>
      <w:r w:rsidRPr="00904FCB">
        <w:rPr>
          <w:sz w:val="27"/>
          <w:rtl/>
        </w:rPr>
        <w:t xml:space="preserve">ن </w:t>
      </w:r>
      <w:r w:rsidRPr="00904FCB">
        <w:rPr>
          <w:sz w:val="27"/>
          <w:rtl/>
        </w:rPr>
        <w:lastRenderedPageBreak/>
        <w:t>المعيشة</w:t>
      </w:r>
      <w:r w:rsidR="005D6395" w:rsidRPr="00904FCB">
        <w:rPr>
          <w:rFonts w:hint="cs"/>
          <w:sz w:val="27"/>
          <w:rtl/>
        </w:rPr>
        <w:t>.</w:t>
      </w:r>
      <w:r w:rsidRPr="00904FCB">
        <w:rPr>
          <w:sz w:val="27"/>
          <w:rtl/>
        </w:rPr>
        <w:t xml:space="preserve"> وإن هذا النوع من التبسيط</w:t>
      </w:r>
      <w:r w:rsidR="00271BDF">
        <w:rPr>
          <w:rFonts w:hint="cs"/>
          <w:sz w:val="27"/>
          <w:rtl/>
        </w:rPr>
        <w:t>،</w:t>
      </w:r>
      <w:r w:rsidRPr="00904FCB">
        <w:rPr>
          <w:sz w:val="27"/>
          <w:rtl/>
        </w:rPr>
        <w:t xml:space="preserve"> الذي يتناسب مع بحثنا الراهن بشكل</w:t>
      </w:r>
      <w:r w:rsidR="005D6395" w:rsidRPr="00904FCB">
        <w:rPr>
          <w:rFonts w:hint="cs"/>
          <w:sz w:val="27"/>
          <w:rtl/>
        </w:rPr>
        <w:t>ٍ</w:t>
      </w:r>
      <w:r w:rsidRPr="00904FCB">
        <w:rPr>
          <w:sz w:val="27"/>
          <w:rtl/>
        </w:rPr>
        <w:t xml:space="preserve"> تام</w:t>
      </w:r>
      <w:r w:rsidR="00271BDF">
        <w:rPr>
          <w:rFonts w:hint="cs"/>
          <w:sz w:val="27"/>
          <w:rtl/>
        </w:rPr>
        <w:t>ّ،</w:t>
      </w:r>
      <w:r w:rsidRPr="00904FCB">
        <w:rPr>
          <w:sz w:val="27"/>
          <w:rtl/>
        </w:rPr>
        <w:t xml:space="preserve"> عبارة عن تجاهل </w:t>
      </w:r>
      <w:r w:rsidRPr="00904FCB">
        <w:rPr>
          <w:rFonts w:hint="eastAsia"/>
          <w:sz w:val="27"/>
          <w:rtl/>
        </w:rPr>
        <w:t>«</w:t>
      </w:r>
      <w:r w:rsidRPr="00904FCB">
        <w:rPr>
          <w:sz w:val="27"/>
          <w:rtl/>
        </w:rPr>
        <w:t>العقلانية</w:t>
      </w:r>
      <w:r w:rsidRPr="00904FCB">
        <w:rPr>
          <w:rFonts w:hint="eastAsia"/>
          <w:sz w:val="27"/>
          <w:rtl/>
        </w:rPr>
        <w:t>»</w:t>
      </w:r>
      <w:r w:rsidRPr="00904FCB">
        <w:rPr>
          <w:sz w:val="27"/>
          <w:rtl/>
        </w:rPr>
        <w:t xml:space="preserve"> و</w:t>
      </w:r>
      <w:r w:rsidRPr="00904FCB">
        <w:rPr>
          <w:rFonts w:hint="eastAsia"/>
          <w:sz w:val="27"/>
          <w:rtl/>
        </w:rPr>
        <w:t>«</w:t>
      </w:r>
      <w:r w:rsidRPr="00904FCB">
        <w:rPr>
          <w:sz w:val="27"/>
          <w:rtl/>
        </w:rPr>
        <w:t>الأخلاقية</w:t>
      </w:r>
      <w:r w:rsidRPr="00904FCB">
        <w:rPr>
          <w:rFonts w:hint="eastAsia"/>
          <w:sz w:val="27"/>
          <w:rtl/>
        </w:rPr>
        <w:t>»</w:t>
      </w:r>
      <w:r w:rsidRPr="00904FCB">
        <w:rPr>
          <w:sz w:val="27"/>
          <w:rtl/>
        </w:rPr>
        <w:t xml:space="preserve"> التي تقوم عليها الصناعة والتكنولوجيا والمؤس</w:t>
      </w:r>
      <w:r w:rsidR="005D6395" w:rsidRPr="00904FCB">
        <w:rPr>
          <w:rFonts w:hint="cs"/>
          <w:sz w:val="27"/>
          <w:rtl/>
        </w:rPr>
        <w:t>ّ</w:t>
      </w:r>
      <w:r w:rsidRPr="00904FCB">
        <w:rPr>
          <w:sz w:val="27"/>
          <w:rtl/>
        </w:rPr>
        <w:t>سات الاجتماعية الحديثة، من قبيل: البنك والجامعة والبرلمان وما إلى ذلك، والسعي إلى إحلال الفقه والعقلانية الفقهية التقليدية محل</w:t>
      </w:r>
      <w:r w:rsidR="005D6395" w:rsidRPr="00904FCB">
        <w:rPr>
          <w:rFonts w:hint="cs"/>
          <w:sz w:val="27"/>
          <w:rtl/>
        </w:rPr>
        <w:t>ّ</w:t>
      </w:r>
      <w:r w:rsidRPr="00904FCB">
        <w:rPr>
          <w:sz w:val="27"/>
          <w:rtl/>
        </w:rPr>
        <w:t xml:space="preserve"> هذه الأخلاق والعقلانية</w:t>
      </w:r>
      <w:r w:rsidR="005D6395" w:rsidRPr="00904FCB">
        <w:rPr>
          <w:sz w:val="27"/>
          <w:rtl/>
        </w:rPr>
        <w:t>.</w:t>
      </w:r>
    </w:p>
    <w:p w:rsidR="00A45FD9" w:rsidRPr="00904FCB" w:rsidRDefault="00A45FD9" w:rsidP="007A21AA">
      <w:pPr>
        <w:spacing w:line="400" w:lineRule="exact"/>
        <w:rPr>
          <w:sz w:val="27"/>
          <w:rtl/>
        </w:rPr>
      </w:pPr>
      <w:r w:rsidRPr="00904FCB">
        <w:rPr>
          <w:b/>
          <w:bCs/>
          <w:sz w:val="27"/>
          <w:rtl/>
        </w:rPr>
        <w:t>أما المرحلة الثالثة</w:t>
      </w:r>
      <w:r w:rsidRPr="00904FCB">
        <w:rPr>
          <w:sz w:val="27"/>
          <w:rtl/>
        </w:rPr>
        <w:t xml:space="preserve"> من التبسيط فتحدث في دائرة الفقه</w:t>
      </w:r>
      <w:r w:rsidR="005D6395" w:rsidRPr="00904FCB">
        <w:rPr>
          <w:rFonts w:hint="cs"/>
          <w:sz w:val="27"/>
          <w:rtl/>
        </w:rPr>
        <w:t>،</w:t>
      </w:r>
      <w:r w:rsidRPr="00904FCB">
        <w:rPr>
          <w:sz w:val="27"/>
          <w:rtl/>
        </w:rPr>
        <w:t xml:space="preserve"> وعلى يد الفقهاء، وهي عبارة عن تنزيل الموضوعات المرك</w:t>
      </w:r>
      <w:r w:rsidR="005D6395" w:rsidRPr="00904FCB">
        <w:rPr>
          <w:rFonts w:hint="cs"/>
          <w:sz w:val="27"/>
          <w:rtl/>
        </w:rPr>
        <w:t>َّ</w:t>
      </w:r>
      <w:r w:rsidRPr="00904FCB">
        <w:rPr>
          <w:sz w:val="27"/>
          <w:rtl/>
        </w:rPr>
        <w:t>بة إلى الموضوعات البسيطة</w:t>
      </w:r>
      <w:r w:rsidR="005D6395" w:rsidRPr="00904FCB">
        <w:rPr>
          <w:rFonts w:hint="cs"/>
          <w:sz w:val="27"/>
          <w:rtl/>
        </w:rPr>
        <w:t>،</w:t>
      </w:r>
      <w:r w:rsidRPr="00904FCB">
        <w:rPr>
          <w:sz w:val="27"/>
          <w:rtl/>
        </w:rPr>
        <w:t xml:space="preserve"> والعمل على استنباط أحكام الموضوعات المعق</w:t>
      </w:r>
      <w:r w:rsidR="005D6395" w:rsidRPr="00904FCB">
        <w:rPr>
          <w:rFonts w:hint="cs"/>
          <w:sz w:val="27"/>
          <w:rtl/>
        </w:rPr>
        <w:t>َّ</w:t>
      </w:r>
      <w:r w:rsidRPr="00904FCB">
        <w:rPr>
          <w:sz w:val="27"/>
          <w:rtl/>
        </w:rPr>
        <w:t>دة من خلال استنتاج حكم أجزاء تلك الموضوعات. وكما رأينا يمكن اعتبار هذين النوعين من التبسيط منشأ</w:t>
      </w:r>
      <w:r w:rsidR="005D6395" w:rsidRPr="00904FCB">
        <w:rPr>
          <w:rFonts w:hint="cs"/>
          <w:sz w:val="27"/>
          <w:rtl/>
        </w:rPr>
        <w:t>ً</w:t>
      </w:r>
      <w:r w:rsidRPr="00904FCB">
        <w:rPr>
          <w:sz w:val="27"/>
          <w:rtl/>
        </w:rPr>
        <w:t xml:space="preserve"> للكثير من الأزمات السياسية والاجتماعية في البلدان الإسلامية. </w:t>
      </w:r>
    </w:p>
    <w:p w:rsidR="00A45FD9" w:rsidRPr="00904FCB" w:rsidRDefault="00A45FD9" w:rsidP="007A21AA">
      <w:pPr>
        <w:spacing w:line="400" w:lineRule="exact"/>
        <w:rPr>
          <w:sz w:val="27"/>
          <w:rtl/>
        </w:rPr>
      </w:pPr>
      <w:r w:rsidRPr="00904FCB">
        <w:rPr>
          <w:sz w:val="27"/>
          <w:rtl/>
        </w:rPr>
        <w:t>لو أدرك المتدي</w:t>
      </w:r>
      <w:r w:rsidR="005D6395" w:rsidRPr="00904FCB">
        <w:rPr>
          <w:rFonts w:hint="cs"/>
          <w:sz w:val="27"/>
          <w:rtl/>
        </w:rPr>
        <w:t>ِّ</w:t>
      </w:r>
      <w:r w:rsidRPr="00904FCB">
        <w:rPr>
          <w:sz w:val="27"/>
          <w:rtl/>
        </w:rPr>
        <w:t>نون المنتمون إلى التدين المعيشي أن المسائل والمشاكل العملية في العالم الحديث إنما يمكن حل</w:t>
      </w:r>
      <w:r w:rsidR="005D6395" w:rsidRPr="00904FCB">
        <w:rPr>
          <w:rFonts w:hint="cs"/>
          <w:sz w:val="27"/>
          <w:rtl/>
        </w:rPr>
        <w:t>ُّ</w:t>
      </w:r>
      <w:r w:rsidRPr="00904FCB">
        <w:rPr>
          <w:sz w:val="27"/>
          <w:rtl/>
        </w:rPr>
        <w:t>ها على أساس العقلانية والأخلاق المتناسبة مع هذه الدنيا، عندها لن يضطروا إلى الاختيار بين العيش في العالم الجديد أو العيش في العالم القديم، وسيدرك جيدا</w:t>
      </w:r>
      <w:r w:rsidR="005D6395" w:rsidRPr="00904FCB">
        <w:rPr>
          <w:rFonts w:hint="cs"/>
          <w:sz w:val="27"/>
          <w:rtl/>
        </w:rPr>
        <w:t>ً</w:t>
      </w:r>
      <w:r w:rsidRPr="00904FCB">
        <w:rPr>
          <w:sz w:val="27"/>
          <w:rtl/>
        </w:rPr>
        <w:t xml:space="preserve"> استحالة إدارة العالم الجديد من خلال الفقه التقليدي؛ فإن هذا الفقه يعجز حت</w:t>
      </w:r>
      <w:r w:rsidR="005D6395" w:rsidRPr="00904FCB">
        <w:rPr>
          <w:rFonts w:hint="cs"/>
          <w:sz w:val="27"/>
          <w:rtl/>
        </w:rPr>
        <w:t>ّ</w:t>
      </w:r>
      <w:r w:rsidRPr="00904FCB">
        <w:rPr>
          <w:sz w:val="27"/>
          <w:rtl/>
        </w:rPr>
        <w:t>ى عن الإجابة عن الأسئلة المعيارية في العالم الجديد</w:t>
      </w:r>
      <w:r w:rsidR="005D6395" w:rsidRPr="00904FCB">
        <w:rPr>
          <w:rFonts w:hint="cs"/>
          <w:sz w:val="27"/>
          <w:rtl/>
        </w:rPr>
        <w:t>،</w:t>
      </w:r>
      <w:r w:rsidRPr="00904FCB">
        <w:rPr>
          <w:sz w:val="27"/>
          <w:rtl/>
        </w:rPr>
        <w:t xml:space="preserve"> وحل</w:t>
      </w:r>
      <w:r w:rsidR="00FD431C" w:rsidRPr="00904FCB">
        <w:rPr>
          <w:rFonts w:hint="cs"/>
          <w:sz w:val="27"/>
          <w:rtl/>
        </w:rPr>
        <w:t>ّ</w:t>
      </w:r>
      <w:r w:rsidRPr="00904FCB">
        <w:rPr>
          <w:sz w:val="27"/>
          <w:rtl/>
        </w:rPr>
        <w:t xml:space="preserve"> وفصل المعضلات المعيارية في هذه الدنيا، فضلا</w:t>
      </w:r>
      <w:r w:rsidR="005D6395" w:rsidRPr="00904FCB">
        <w:rPr>
          <w:rFonts w:hint="cs"/>
          <w:sz w:val="27"/>
          <w:rtl/>
        </w:rPr>
        <w:t>ً</w:t>
      </w:r>
      <w:r w:rsidRPr="00904FCB">
        <w:rPr>
          <w:sz w:val="27"/>
          <w:rtl/>
        </w:rPr>
        <w:t xml:space="preserve"> عن المشكلات غير المعيارية لهذا العالم الخارجة عن دائرة الفقه والمساحة الفقهية التخص</w:t>
      </w:r>
      <w:r w:rsidR="00FD431C" w:rsidRPr="00904FCB">
        <w:rPr>
          <w:rFonts w:hint="cs"/>
          <w:sz w:val="27"/>
          <w:rtl/>
        </w:rPr>
        <w:t>ُّ</w:t>
      </w:r>
      <w:r w:rsidRPr="00904FCB">
        <w:rPr>
          <w:sz w:val="27"/>
          <w:rtl/>
        </w:rPr>
        <w:t>صية. إن المشاكل العملية التي يعاني منها الإنسان في العالم المعاصر هي مشاكل تتخط</w:t>
      </w:r>
      <w:r w:rsidR="00FD431C" w:rsidRPr="00904FCB">
        <w:rPr>
          <w:rFonts w:hint="cs"/>
          <w:sz w:val="27"/>
          <w:rtl/>
        </w:rPr>
        <w:t>ّ</w:t>
      </w:r>
      <w:r w:rsidRPr="00904FCB">
        <w:rPr>
          <w:sz w:val="27"/>
          <w:rtl/>
        </w:rPr>
        <w:t>ى الفقه، بل تتجاوز الدين، وعليه يكون الرجوع إلى الدين والفقه من أجل العثور على حل</w:t>
      </w:r>
      <w:r w:rsidR="00FD431C" w:rsidRPr="00904FCB">
        <w:rPr>
          <w:rFonts w:hint="cs"/>
          <w:sz w:val="27"/>
          <w:rtl/>
        </w:rPr>
        <w:t>ٍّ</w:t>
      </w:r>
      <w:r w:rsidRPr="00904FCB">
        <w:rPr>
          <w:sz w:val="27"/>
          <w:rtl/>
        </w:rPr>
        <w:t xml:space="preserve"> لها كم</w:t>
      </w:r>
      <w:r w:rsidR="00FD431C" w:rsidRPr="00904FCB">
        <w:rPr>
          <w:rFonts w:hint="cs"/>
          <w:sz w:val="27"/>
          <w:rtl/>
        </w:rPr>
        <w:t>َ</w:t>
      </w:r>
      <w:r w:rsidRPr="00904FCB">
        <w:rPr>
          <w:sz w:val="27"/>
          <w:rtl/>
        </w:rPr>
        <w:t>ن</w:t>
      </w:r>
      <w:r w:rsidR="00FD431C" w:rsidRPr="00904FCB">
        <w:rPr>
          <w:rFonts w:hint="cs"/>
          <w:sz w:val="27"/>
          <w:rtl/>
        </w:rPr>
        <w:t>ْ</w:t>
      </w:r>
      <w:r w:rsidRPr="00904FCB">
        <w:rPr>
          <w:sz w:val="27"/>
          <w:rtl/>
        </w:rPr>
        <w:t xml:space="preserve"> يبحث عن الماء في السراب. </w:t>
      </w:r>
    </w:p>
    <w:p w:rsidR="0009334C" w:rsidRPr="00904FCB" w:rsidRDefault="00A45FD9" w:rsidP="007A21AA">
      <w:pPr>
        <w:spacing w:line="400" w:lineRule="exact"/>
        <w:rPr>
          <w:rtl/>
        </w:rPr>
      </w:pPr>
      <w:r w:rsidRPr="00904FCB">
        <w:rPr>
          <w:rtl/>
        </w:rPr>
        <w:t>نعم</w:t>
      </w:r>
      <w:r w:rsidR="00FD431C" w:rsidRPr="00904FCB">
        <w:rPr>
          <w:rFonts w:hint="cs"/>
          <w:rtl/>
        </w:rPr>
        <w:t>،</w:t>
      </w:r>
      <w:r w:rsidRPr="00904FCB">
        <w:rPr>
          <w:rtl/>
        </w:rPr>
        <w:t xml:space="preserve"> إن</w:t>
      </w:r>
      <w:r w:rsidR="00FD431C" w:rsidRPr="00904FCB">
        <w:rPr>
          <w:rFonts w:hint="cs"/>
          <w:rtl/>
        </w:rPr>
        <w:t>ّ</w:t>
      </w:r>
      <w:r w:rsidRPr="00904FCB">
        <w:rPr>
          <w:rtl/>
        </w:rPr>
        <w:t xml:space="preserve"> لدى المتدي</w:t>
      </w:r>
      <w:r w:rsidR="00FD431C" w:rsidRPr="00904FCB">
        <w:rPr>
          <w:rFonts w:hint="cs"/>
          <w:rtl/>
        </w:rPr>
        <w:t>ِّ</w:t>
      </w:r>
      <w:r w:rsidRPr="00904FCB">
        <w:rPr>
          <w:rtl/>
        </w:rPr>
        <w:t>نين في هذه الدنيا الحديثة وظائف وتكاليف شرعية، وإن الإله الشارع قد وضع لسكان هذه الدنيا واجبات ومحر</w:t>
      </w:r>
      <w:r w:rsidR="00FD431C" w:rsidRPr="00904FCB">
        <w:rPr>
          <w:rFonts w:hint="cs"/>
          <w:rtl/>
        </w:rPr>
        <w:t>َّ</w:t>
      </w:r>
      <w:r w:rsidRPr="00904FCB">
        <w:rPr>
          <w:rtl/>
        </w:rPr>
        <w:t>مات لا ب</w:t>
      </w:r>
      <w:r w:rsidR="00FD431C" w:rsidRPr="00904FCB">
        <w:rPr>
          <w:rFonts w:hint="cs"/>
          <w:rtl/>
        </w:rPr>
        <w:t>ُ</w:t>
      </w:r>
      <w:r w:rsidRPr="00904FCB">
        <w:rPr>
          <w:rtl/>
        </w:rPr>
        <w:t>د</w:t>
      </w:r>
      <w:r w:rsidR="00FD431C" w:rsidRPr="00904FCB">
        <w:rPr>
          <w:rFonts w:hint="cs"/>
          <w:rtl/>
        </w:rPr>
        <w:t>َّ</w:t>
      </w:r>
      <w:r w:rsidRPr="00904FCB">
        <w:rPr>
          <w:rtl/>
        </w:rPr>
        <w:t xml:space="preserve"> من الرجوع إلى الفقه للتعر</w:t>
      </w:r>
      <w:r w:rsidR="00FD431C" w:rsidRPr="00904FCB">
        <w:rPr>
          <w:rFonts w:hint="cs"/>
          <w:rtl/>
        </w:rPr>
        <w:t>ُّ</w:t>
      </w:r>
      <w:r w:rsidRPr="00904FCB">
        <w:rPr>
          <w:rtl/>
        </w:rPr>
        <w:t>ف عليها</w:t>
      </w:r>
      <w:r w:rsidRPr="00904FCB">
        <w:rPr>
          <w:vertAlign w:val="superscript"/>
          <w:rtl/>
        </w:rPr>
        <w:t>(</w:t>
      </w:r>
      <w:r w:rsidRPr="00904FCB">
        <w:rPr>
          <w:vertAlign w:val="superscript"/>
          <w:rtl/>
        </w:rPr>
        <w:endnoteReference w:id="74"/>
      </w:r>
      <w:r w:rsidRPr="00904FCB">
        <w:rPr>
          <w:vertAlign w:val="superscript"/>
          <w:rtl/>
        </w:rPr>
        <w:t>)</w:t>
      </w:r>
      <w:r w:rsidRPr="00904FCB">
        <w:rPr>
          <w:rtl/>
        </w:rPr>
        <w:t>. إلا</w:t>
      </w:r>
      <w:r w:rsidR="00FD431C" w:rsidRPr="00904FCB">
        <w:rPr>
          <w:rFonts w:hint="cs"/>
          <w:rtl/>
        </w:rPr>
        <w:t>ّ</w:t>
      </w:r>
      <w:r w:rsidRPr="00904FCB">
        <w:rPr>
          <w:rtl/>
        </w:rPr>
        <w:t xml:space="preserve"> أن الفقه الراهن لا يلب</w:t>
      </w:r>
      <w:r w:rsidR="00FD431C" w:rsidRPr="00904FCB">
        <w:rPr>
          <w:rFonts w:hint="cs"/>
          <w:rtl/>
        </w:rPr>
        <w:t>ّ</w:t>
      </w:r>
      <w:r w:rsidRPr="00904FCB">
        <w:rPr>
          <w:rtl/>
        </w:rPr>
        <w:t>ي حت</w:t>
      </w:r>
      <w:r w:rsidR="00FD431C" w:rsidRPr="00904FCB">
        <w:rPr>
          <w:rFonts w:hint="cs"/>
          <w:rtl/>
        </w:rPr>
        <w:t>ّ</w:t>
      </w:r>
      <w:r w:rsidRPr="00904FCB">
        <w:rPr>
          <w:rtl/>
        </w:rPr>
        <w:t>ى هذا المستوى من الحاجة؛ لأن الذين يجتهدون في ظل</w:t>
      </w:r>
      <w:r w:rsidR="00FD431C" w:rsidRPr="00904FCB">
        <w:rPr>
          <w:rFonts w:hint="cs"/>
          <w:rtl/>
        </w:rPr>
        <w:t>ّ</w:t>
      </w:r>
      <w:r w:rsidRPr="00904FCB">
        <w:rPr>
          <w:rtl/>
        </w:rPr>
        <w:t xml:space="preserve"> الفقه التقليدي لا يحملون هموم التماهي بين فتاو</w:t>
      </w:r>
      <w:r w:rsidR="00FD431C" w:rsidRPr="00904FCB">
        <w:rPr>
          <w:rFonts w:hint="cs"/>
          <w:rtl/>
        </w:rPr>
        <w:t>ا</w:t>
      </w:r>
      <w:r w:rsidRPr="00904FCB">
        <w:rPr>
          <w:rtl/>
        </w:rPr>
        <w:t>هم والق</w:t>
      </w:r>
      <w:r w:rsidR="00FD431C" w:rsidRPr="00904FCB">
        <w:rPr>
          <w:rFonts w:hint="cs"/>
          <w:rtl/>
        </w:rPr>
        <w:t>ِ</w:t>
      </w:r>
      <w:r w:rsidRPr="00904FCB">
        <w:rPr>
          <w:rtl/>
        </w:rPr>
        <w:t>ي</w:t>
      </w:r>
      <w:r w:rsidR="00FD431C" w:rsidRPr="00904FCB">
        <w:rPr>
          <w:rFonts w:hint="cs"/>
          <w:rtl/>
        </w:rPr>
        <w:t>َ</w:t>
      </w:r>
      <w:r w:rsidRPr="00904FCB">
        <w:rPr>
          <w:rtl/>
        </w:rPr>
        <w:t>م الأخلاقية، ولا يحملون هم</w:t>
      </w:r>
      <w:r w:rsidR="00FD431C" w:rsidRPr="00904FCB">
        <w:rPr>
          <w:rFonts w:hint="cs"/>
          <w:rtl/>
        </w:rPr>
        <w:t>َّ</w:t>
      </w:r>
      <w:r w:rsidRPr="00904FCB">
        <w:rPr>
          <w:rtl/>
        </w:rPr>
        <w:t xml:space="preserve"> الفصل بين أحكام </w:t>
      </w:r>
      <w:r w:rsidRPr="00904FCB">
        <w:rPr>
          <w:rFonts w:hint="eastAsia"/>
          <w:rtl/>
        </w:rPr>
        <w:t>«</w:t>
      </w:r>
      <w:r w:rsidRPr="00904FCB">
        <w:rPr>
          <w:rtl/>
        </w:rPr>
        <w:t>الدين المطلق</w:t>
      </w:r>
      <w:r w:rsidRPr="00904FCB">
        <w:rPr>
          <w:rFonts w:hint="eastAsia"/>
          <w:rtl/>
        </w:rPr>
        <w:t>»</w:t>
      </w:r>
      <w:r w:rsidRPr="00904FCB">
        <w:rPr>
          <w:rtl/>
        </w:rPr>
        <w:t xml:space="preserve"> وأحكام </w:t>
      </w:r>
      <w:r w:rsidRPr="00904FCB">
        <w:rPr>
          <w:rFonts w:hint="eastAsia"/>
          <w:rtl/>
        </w:rPr>
        <w:t>«</w:t>
      </w:r>
      <w:r w:rsidRPr="00904FCB">
        <w:rPr>
          <w:rtl/>
        </w:rPr>
        <w:t>الدين المطبّق</w:t>
      </w:r>
      <w:r w:rsidRPr="00904FCB">
        <w:rPr>
          <w:rFonts w:hint="eastAsia"/>
          <w:rtl/>
        </w:rPr>
        <w:t>»</w:t>
      </w:r>
      <w:r w:rsidRPr="00904FCB">
        <w:rPr>
          <w:rtl/>
        </w:rPr>
        <w:t xml:space="preserve"> على العالم القديم. وعليه فإن المتدي</w:t>
      </w:r>
      <w:r w:rsidR="00FD431C" w:rsidRPr="00904FCB">
        <w:rPr>
          <w:rFonts w:hint="cs"/>
          <w:rtl/>
        </w:rPr>
        <w:t>ِّ</w:t>
      </w:r>
      <w:r w:rsidRPr="00904FCB">
        <w:rPr>
          <w:rtl/>
        </w:rPr>
        <w:t xml:space="preserve">نين في دائرة </w:t>
      </w:r>
      <w:r w:rsidRPr="00904FCB">
        <w:rPr>
          <w:rFonts w:hint="eastAsia"/>
          <w:rtl/>
        </w:rPr>
        <w:t>«</w:t>
      </w:r>
      <w:r w:rsidRPr="00904FCB">
        <w:rPr>
          <w:rtl/>
        </w:rPr>
        <w:t>التدي</w:t>
      </w:r>
      <w:r w:rsidR="00FD431C" w:rsidRPr="00904FCB">
        <w:rPr>
          <w:rFonts w:hint="cs"/>
          <w:rtl/>
        </w:rPr>
        <w:t>ُّ</w:t>
      </w:r>
      <w:r w:rsidRPr="00904FCB">
        <w:rPr>
          <w:rtl/>
        </w:rPr>
        <w:t>ن المعيشي</w:t>
      </w:r>
      <w:r w:rsidRPr="00904FCB">
        <w:rPr>
          <w:rFonts w:hint="eastAsia"/>
          <w:rtl/>
        </w:rPr>
        <w:t>»</w:t>
      </w:r>
      <w:r w:rsidRPr="00904FCB">
        <w:rPr>
          <w:rtl/>
        </w:rPr>
        <w:t xml:space="preserve"> ـ كسائر طبقات التدي</w:t>
      </w:r>
      <w:r w:rsidR="00FD431C" w:rsidRPr="00904FCB">
        <w:rPr>
          <w:rFonts w:hint="cs"/>
          <w:rtl/>
        </w:rPr>
        <w:t>ُّ</w:t>
      </w:r>
      <w:r w:rsidRPr="00904FCB">
        <w:rPr>
          <w:rtl/>
        </w:rPr>
        <w:t>ن الأخرى ـ يواجهون أزمة</w:t>
      </w:r>
      <w:r w:rsidR="00FD431C" w:rsidRPr="00904FCB">
        <w:rPr>
          <w:rFonts w:hint="cs"/>
          <w:rtl/>
        </w:rPr>
        <w:t>ً</w:t>
      </w:r>
      <w:r w:rsidRPr="00904FCB">
        <w:rPr>
          <w:rtl/>
        </w:rPr>
        <w:t xml:space="preserve"> في العالم الحديث، وإن الحل</w:t>
      </w:r>
      <w:r w:rsidR="00FD431C" w:rsidRPr="00904FCB">
        <w:rPr>
          <w:rFonts w:hint="cs"/>
          <w:rtl/>
        </w:rPr>
        <w:t>َّ</w:t>
      </w:r>
      <w:r w:rsidRPr="00904FCB">
        <w:rPr>
          <w:rtl/>
        </w:rPr>
        <w:t xml:space="preserve"> الأنسب لاحتواء هذه </w:t>
      </w:r>
      <w:r w:rsidRPr="00904FCB">
        <w:rPr>
          <w:rtl/>
        </w:rPr>
        <w:lastRenderedPageBreak/>
        <w:t>الأزمة يكمن في القول بتقديم الأخلاق على الدين (والفقه)، وتقديم شريعة العقل على شريعة النقل</w:t>
      </w:r>
      <w:r w:rsidRPr="00904FCB">
        <w:rPr>
          <w:vertAlign w:val="superscript"/>
          <w:rtl/>
        </w:rPr>
        <w:t>(</w:t>
      </w:r>
      <w:r w:rsidRPr="00904FCB">
        <w:rPr>
          <w:vertAlign w:val="superscript"/>
          <w:rtl/>
        </w:rPr>
        <w:endnoteReference w:id="75"/>
      </w:r>
      <w:r w:rsidRPr="00904FCB">
        <w:rPr>
          <w:vertAlign w:val="superscript"/>
          <w:rtl/>
        </w:rPr>
        <w:t>)</w:t>
      </w:r>
      <w:r w:rsidRPr="00904FCB">
        <w:rPr>
          <w:rtl/>
        </w:rPr>
        <w:t>.</w:t>
      </w:r>
    </w:p>
    <w:p w:rsidR="00FA793B" w:rsidRPr="00904FCB" w:rsidRDefault="00FA793B" w:rsidP="007A21AA">
      <w:pPr>
        <w:spacing w:line="400" w:lineRule="exact"/>
        <w:rPr>
          <w:rtl/>
        </w:rPr>
      </w:pPr>
    </w:p>
    <w:p w:rsidR="0009334C" w:rsidRPr="00904FCB" w:rsidRDefault="00FA793B" w:rsidP="00B66617">
      <w:pPr>
        <w:spacing w:line="400" w:lineRule="exact"/>
        <w:ind w:firstLine="0"/>
        <w:jc w:val="right"/>
        <w:rPr>
          <w:b/>
          <w:bCs/>
          <w:rtl/>
        </w:rPr>
      </w:pPr>
      <w:r w:rsidRPr="00904FCB">
        <w:rPr>
          <w:rFonts w:hint="cs"/>
          <w:b/>
          <w:bCs/>
          <w:rtl/>
        </w:rPr>
        <w:t>ـ يتبع ـ</w:t>
      </w:r>
    </w:p>
    <w:p w:rsidR="002D56B8" w:rsidRPr="00904FCB" w:rsidRDefault="002D56B8" w:rsidP="007A21AA">
      <w:pPr>
        <w:spacing w:line="400" w:lineRule="exact"/>
        <w:rPr>
          <w:rtl/>
        </w:rPr>
      </w:pPr>
    </w:p>
    <w:p w:rsidR="00E94E45" w:rsidRPr="00904FCB" w:rsidRDefault="00E94E45"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t>الهوامش</w:t>
      </w:r>
    </w:p>
    <w:p w:rsidR="00711BBB" w:rsidRPr="00904FCB" w:rsidRDefault="00711BBB" w:rsidP="007A21AA">
      <w:pPr>
        <w:pStyle w:val="34"/>
        <w:autoSpaceDE w:val="0"/>
        <w:autoSpaceDN w:val="0"/>
        <w:adjustRightInd w:val="0"/>
        <w:spacing w:line="400" w:lineRule="exact"/>
        <w:ind w:firstLine="0"/>
        <w:rPr>
          <w:rFonts w:cs="K Sina"/>
          <w:sz w:val="26"/>
          <w:rtl/>
          <w:lang w:eastAsia="ar-SA"/>
        </w:rPr>
        <w:sectPr w:rsidR="00711BBB" w:rsidRPr="00904FCB"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Fonts w:cs="AL-Mateen"/>
          <w:b/>
          <w:sz w:val="32"/>
          <w:szCs w:val="48"/>
          <w:rtl/>
        </w:rPr>
        <w:lastRenderedPageBreak/>
        <w:br w:type="page"/>
      </w:r>
    </w:p>
    <w:p w:rsidR="00E83C22" w:rsidRPr="00904FCB" w:rsidRDefault="00E83C22" w:rsidP="007A21AA">
      <w:pPr>
        <w:spacing w:line="400" w:lineRule="exact"/>
        <w:rPr>
          <w:rtl/>
        </w:rPr>
        <w:sectPr w:rsidR="00E83C22" w:rsidRPr="00904FCB"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sz w:val="24"/>
          <w:szCs w:val="23"/>
          <w:rtl/>
        </w:rPr>
      </w:pPr>
    </w:p>
    <w:p w:rsidR="00E83C22" w:rsidRPr="00904FCB" w:rsidRDefault="00E83C22" w:rsidP="007A21AA">
      <w:pPr>
        <w:spacing w:line="400" w:lineRule="exact"/>
        <w:rPr>
          <w:rtl/>
        </w:rPr>
      </w:pPr>
    </w:p>
    <w:p w:rsidR="00E83C22" w:rsidRPr="00904FCB" w:rsidRDefault="0051752E" w:rsidP="00E626D2">
      <w:pPr>
        <w:pStyle w:val="10"/>
        <w:spacing w:line="240" w:lineRule="auto"/>
        <w:rPr>
          <w:rtl/>
          <w:lang w:bidi="ar-AE"/>
        </w:rPr>
      </w:pPr>
      <w:bookmarkStart w:id="11" w:name="_Toc435577173"/>
      <w:r w:rsidRPr="00904FCB">
        <w:rPr>
          <w:rFonts w:hint="cs"/>
          <w:rtl/>
          <w:lang w:bidi="ar-AE"/>
        </w:rPr>
        <w:t>(</w:t>
      </w:r>
      <w:r w:rsidR="00BF56C8" w:rsidRPr="00904FCB">
        <w:rPr>
          <w:rFonts w:hint="cs"/>
          <w:rtl/>
          <w:lang w:bidi="ar-AE"/>
        </w:rPr>
        <w:t>كتب الضلال</w:t>
      </w:r>
      <w:r w:rsidRPr="00904FCB">
        <w:rPr>
          <w:rFonts w:hint="cs"/>
          <w:rtl/>
          <w:lang w:bidi="ar-AE"/>
        </w:rPr>
        <w:t>)</w:t>
      </w:r>
      <w:r w:rsidR="00BF56C8" w:rsidRPr="00904FCB">
        <w:rPr>
          <w:rFonts w:hint="cs"/>
          <w:rtl/>
          <w:lang w:bidi="ar-AE"/>
        </w:rPr>
        <w:t xml:space="preserve"> وحُرِّية التعبير</w:t>
      </w:r>
      <w:bookmarkEnd w:id="11"/>
    </w:p>
    <w:p w:rsidR="00E83C22" w:rsidRPr="00904FCB" w:rsidRDefault="00E83C22" w:rsidP="007A21AA">
      <w:pPr>
        <w:spacing w:line="400" w:lineRule="exact"/>
        <w:rPr>
          <w:rtl/>
        </w:rPr>
      </w:pPr>
    </w:p>
    <w:p w:rsidR="00E83C22" w:rsidRPr="00904FCB" w:rsidRDefault="00F85A73" w:rsidP="007A21AA">
      <w:pPr>
        <w:pStyle w:val="Author"/>
        <w:spacing w:line="400" w:lineRule="exact"/>
        <w:rPr>
          <w:rtl/>
        </w:rPr>
      </w:pPr>
      <w:bookmarkStart w:id="12" w:name="_Toc435577174"/>
      <w:r>
        <w:rPr>
          <w:rFonts w:hint="cs"/>
          <w:rtl/>
          <w:lang w:bidi="ar-AE"/>
        </w:rPr>
        <w:t>الشيخ مرتضى مطهّ</w:t>
      </w:r>
      <w:r w:rsidR="00BF56C8" w:rsidRPr="00904FCB">
        <w:rPr>
          <w:rFonts w:hint="cs"/>
          <w:rtl/>
          <w:lang w:bidi="ar-AE"/>
        </w:rPr>
        <w:t>ري</w:t>
      </w:r>
      <w:r w:rsidR="00527634" w:rsidRPr="00904FCB">
        <w:rPr>
          <w:rFonts w:cs="Taher" w:hint="cs"/>
          <w:vertAlign w:val="superscript"/>
          <w:rtl/>
        </w:rPr>
        <w:t>(</w:t>
      </w:r>
      <w:r w:rsidR="00527634" w:rsidRPr="00904FCB">
        <w:rPr>
          <w:rFonts w:cs="Taher"/>
          <w:vertAlign w:val="superscript"/>
          <w:rtl/>
        </w:rPr>
        <w:footnoteReference w:customMarkFollows="1" w:id="3"/>
        <w:t>*)</w:t>
      </w:r>
      <w:bookmarkEnd w:id="12"/>
    </w:p>
    <w:p w:rsidR="00E83C22" w:rsidRPr="00904FCB" w:rsidRDefault="00E83C22" w:rsidP="0088376B">
      <w:pPr>
        <w:pStyle w:val="Author"/>
        <w:spacing w:line="400" w:lineRule="exact"/>
        <w:ind w:right="28"/>
        <w:rPr>
          <w:rtl/>
        </w:rPr>
      </w:pPr>
      <w:bookmarkStart w:id="13" w:name="_Toc435577175"/>
      <w:r w:rsidRPr="00904FCB">
        <w:rPr>
          <w:rFonts w:hint="cs"/>
          <w:rtl/>
        </w:rPr>
        <w:t xml:space="preserve">ترجمة: </w:t>
      </w:r>
      <w:r w:rsidR="0051752E" w:rsidRPr="00904FCB">
        <w:rPr>
          <w:rFonts w:hint="cs"/>
          <w:rtl/>
          <w:lang w:bidi="ar-AE"/>
        </w:rPr>
        <w:t>وسيم حيدر</w:t>
      </w:r>
      <w:bookmarkEnd w:id="13"/>
    </w:p>
    <w:p w:rsidR="00E83C22" w:rsidRPr="00904FCB" w:rsidRDefault="00E83C22" w:rsidP="007A21AA">
      <w:pPr>
        <w:spacing w:line="400" w:lineRule="exact"/>
        <w:rPr>
          <w:sz w:val="14"/>
          <w:szCs w:val="13"/>
          <w:rtl/>
        </w:rPr>
      </w:pPr>
    </w:p>
    <w:p w:rsidR="00BF56C8" w:rsidRPr="00904FCB" w:rsidRDefault="00BF56C8" w:rsidP="007A21AA">
      <w:pPr>
        <w:pStyle w:val="31"/>
        <w:spacing w:line="400" w:lineRule="exact"/>
        <w:rPr>
          <w:color w:val="auto"/>
          <w:rtl/>
          <w:lang w:bidi="ar-AE"/>
        </w:rPr>
      </w:pPr>
      <w:r w:rsidRPr="00904FCB">
        <w:rPr>
          <w:rFonts w:hint="cs"/>
          <w:color w:val="auto"/>
          <w:rtl/>
          <w:lang w:bidi="ar-AE"/>
        </w:rPr>
        <w:t>تعريف كتب الضلال</w:t>
      </w:r>
    </w:p>
    <w:p w:rsidR="00BF56C8" w:rsidRPr="00904FCB" w:rsidRDefault="00BF56C8" w:rsidP="00B74A01">
      <w:pPr>
        <w:spacing w:line="420" w:lineRule="exact"/>
        <w:rPr>
          <w:sz w:val="27"/>
          <w:rtl/>
          <w:lang w:bidi="ar-AE"/>
        </w:rPr>
      </w:pPr>
      <w:r w:rsidRPr="00904FCB">
        <w:rPr>
          <w:rFonts w:hint="cs"/>
          <w:sz w:val="27"/>
          <w:rtl/>
          <w:lang w:bidi="ar-AE"/>
        </w:rPr>
        <w:t xml:space="preserve">ما هو تعريف </w:t>
      </w:r>
      <w:r w:rsidRPr="00904FCB">
        <w:rPr>
          <w:rFonts w:hint="eastAsia"/>
          <w:sz w:val="27"/>
          <w:rtl/>
        </w:rPr>
        <w:t>«</w:t>
      </w:r>
      <w:r w:rsidRPr="00904FCB">
        <w:rPr>
          <w:rFonts w:hint="cs"/>
          <w:sz w:val="27"/>
          <w:rtl/>
          <w:lang w:bidi="ar-AE"/>
        </w:rPr>
        <w:t>كتب الضلال</w:t>
      </w:r>
      <w:r w:rsidRPr="00904FCB">
        <w:rPr>
          <w:rFonts w:hint="eastAsia"/>
          <w:sz w:val="27"/>
          <w:rtl/>
        </w:rPr>
        <w:t>»</w:t>
      </w:r>
      <w:r w:rsidRPr="00904FCB">
        <w:rPr>
          <w:rFonts w:hint="cs"/>
          <w:sz w:val="27"/>
          <w:rtl/>
          <w:lang w:bidi="ar-AE"/>
        </w:rPr>
        <w:t xml:space="preserve">؟ قد يقال: إن المراد من </w:t>
      </w:r>
      <w:r w:rsidRPr="00904FCB">
        <w:rPr>
          <w:rFonts w:hint="eastAsia"/>
          <w:sz w:val="27"/>
          <w:rtl/>
        </w:rPr>
        <w:t>«</w:t>
      </w:r>
      <w:r w:rsidRPr="00904FCB">
        <w:rPr>
          <w:rFonts w:hint="cs"/>
          <w:sz w:val="27"/>
          <w:rtl/>
          <w:lang w:bidi="ar-AE"/>
        </w:rPr>
        <w:t>كتب الضلال</w:t>
      </w:r>
      <w:r w:rsidRPr="00904FCB">
        <w:rPr>
          <w:rFonts w:hint="eastAsia"/>
          <w:sz w:val="27"/>
          <w:rtl/>
        </w:rPr>
        <w:t>»</w:t>
      </w:r>
      <w:r w:rsidRPr="00904FCB">
        <w:rPr>
          <w:rFonts w:hint="cs"/>
          <w:sz w:val="27"/>
          <w:rtl/>
          <w:lang w:bidi="ar-AE"/>
        </w:rPr>
        <w:t xml:space="preserve"> الكتب المشتملة على مضامين باطلة وخاطئة في حدّ ذاتها. ولكن لا ش</w:t>
      </w:r>
      <w:r w:rsidR="00B76A05" w:rsidRPr="00904FCB">
        <w:rPr>
          <w:rFonts w:hint="cs"/>
          <w:sz w:val="27"/>
          <w:rtl/>
          <w:lang w:bidi="ar-AE"/>
        </w:rPr>
        <w:t>َ</w:t>
      </w:r>
      <w:r w:rsidRPr="00904FCB">
        <w:rPr>
          <w:rFonts w:hint="cs"/>
          <w:sz w:val="27"/>
          <w:rtl/>
          <w:lang w:bidi="ar-AE"/>
        </w:rPr>
        <w:t>ك</w:t>
      </w:r>
      <w:r w:rsidR="00B76A05" w:rsidRPr="00904FCB">
        <w:rPr>
          <w:rFonts w:hint="cs"/>
          <w:sz w:val="27"/>
          <w:rtl/>
          <w:lang w:bidi="ar-AE"/>
        </w:rPr>
        <w:t>َّ</w:t>
      </w:r>
      <w:r w:rsidRPr="00904FCB">
        <w:rPr>
          <w:rFonts w:hint="cs"/>
          <w:sz w:val="27"/>
          <w:rtl/>
          <w:lang w:bidi="ar-AE"/>
        </w:rPr>
        <w:t xml:space="preserve"> في أن هذا المقدار ليس هو المراد</w:t>
      </w:r>
      <w:r w:rsidR="00B76A05" w:rsidRPr="00904FCB">
        <w:rPr>
          <w:rFonts w:hint="cs"/>
          <w:sz w:val="27"/>
          <w:rtl/>
          <w:lang w:bidi="ar-AE"/>
        </w:rPr>
        <w:t xml:space="preserve">؛ إذ </w:t>
      </w:r>
      <w:r w:rsidRPr="00904FCB">
        <w:rPr>
          <w:rFonts w:hint="cs"/>
          <w:sz w:val="27"/>
          <w:rtl/>
          <w:lang w:bidi="ar-AE"/>
        </w:rPr>
        <w:t xml:space="preserve">لا يمكن </w:t>
      </w:r>
      <w:r w:rsidR="00B76A05" w:rsidRPr="00904FCB">
        <w:rPr>
          <w:rFonts w:hint="cs"/>
          <w:sz w:val="27"/>
          <w:rtl/>
          <w:lang w:bidi="ar-AE"/>
        </w:rPr>
        <w:t>إ</w:t>
      </w:r>
      <w:r w:rsidRPr="00904FCB">
        <w:rPr>
          <w:rFonts w:hint="cs"/>
          <w:sz w:val="27"/>
          <w:rtl/>
          <w:lang w:bidi="ar-AE"/>
        </w:rPr>
        <w:t xml:space="preserve">طلاق مصطلح </w:t>
      </w:r>
      <w:r w:rsidRPr="00904FCB">
        <w:rPr>
          <w:rFonts w:hint="eastAsia"/>
          <w:sz w:val="27"/>
          <w:rtl/>
        </w:rPr>
        <w:t>«</w:t>
      </w:r>
      <w:r w:rsidRPr="00904FCB">
        <w:rPr>
          <w:rFonts w:hint="cs"/>
          <w:sz w:val="27"/>
          <w:rtl/>
          <w:lang w:bidi="ar-AE"/>
        </w:rPr>
        <w:t>كتب الضلال</w:t>
      </w:r>
      <w:r w:rsidRPr="00904FCB">
        <w:rPr>
          <w:rFonts w:hint="eastAsia"/>
          <w:sz w:val="27"/>
          <w:rtl/>
        </w:rPr>
        <w:t>»</w:t>
      </w:r>
      <w:r w:rsidRPr="00904FCB">
        <w:rPr>
          <w:rFonts w:hint="cs"/>
          <w:sz w:val="27"/>
          <w:rtl/>
          <w:lang w:bidi="ar-AE"/>
        </w:rPr>
        <w:t xml:space="preserve"> على كل</w:t>
      </w:r>
      <w:r w:rsidR="00B76A05" w:rsidRPr="00904FCB">
        <w:rPr>
          <w:rFonts w:hint="cs"/>
          <w:sz w:val="27"/>
          <w:rtl/>
          <w:lang w:bidi="ar-AE"/>
        </w:rPr>
        <w:t>ّ</w:t>
      </w:r>
      <w:r w:rsidRPr="00904FCB">
        <w:rPr>
          <w:rFonts w:hint="cs"/>
          <w:sz w:val="27"/>
          <w:rtl/>
          <w:lang w:bidi="ar-AE"/>
        </w:rPr>
        <w:t xml:space="preserve"> مسألة</w:t>
      </w:r>
      <w:r w:rsidR="00B76A05" w:rsidRPr="00904FCB">
        <w:rPr>
          <w:rFonts w:hint="cs"/>
          <w:sz w:val="27"/>
          <w:rtl/>
          <w:lang w:bidi="ar-AE"/>
        </w:rPr>
        <w:t>ٍ</w:t>
      </w:r>
      <w:r w:rsidRPr="00904FCB">
        <w:rPr>
          <w:rFonts w:hint="cs"/>
          <w:sz w:val="27"/>
          <w:rtl/>
          <w:lang w:bidi="ar-AE"/>
        </w:rPr>
        <w:t xml:space="preserve"> خاطئة</w:t>
      </w:r>
      <w:r w:rsidR="00B76A05" w:rsidRPr="00904FCB">
        <w:rPr>
          <w:rFonts w:hint="cs"/>
          <w:sz w:val="27"/>
          <w:rtl/>
          <w:lang w:bidi="ar-AE"/>
        </w:rPr>
        <w:t>.</w:t>
      </w:r>
      <w:r w:rsidRPr="00904FCB">
        <w:rPr>
          <w:rFonts w:hint="cs"/>
          <w:sz w:val="27"/>
          <w:rtl/>
          <w:lang w:bidi="ar-AE"/>
        </w:rPr>
        <w:t xml:space="preserve"> </w:t>
      </w:r>
      <w:r w:rsidR="00B76A05" w:rsidRPr="00904FCB">
        <w:rPr>
          <w:rFonts w:hint="cs"/>
          <w:sz w:val="27"/>
          <w:rtl/>
          <w:lang w:bidi="ar-AE"/>
        </w:rPr>
        <w:t>ف</w:t>
      </w:r>
      <w:r w:rsidRPr="00904FCB">
        <w:rPr>
          <w:rFonts w:hint="cs"/>
          <w:sz w:val="27"/>
          <w:rtl/>
          <w:lang w:bidi="ar-AE"/>
        </w:rPr>
        <w:t>لو كان الكتاب مشتملاً على بعض المسائل المخالفة للمذهب، ولكنه لا يتمتع بتلك القوّة على التأثير في أفكار الآخرين</w:t>
      </w:r>
      <w:r w:rsidR="00B76A05" w:rsidRPr="00904FCB">
        <w:rPr>
          <w:rFonts w:hint="cs"/>
          <w:sz w:val="27"/>
          <w:rtl/>
          <w:lang w:bidi="ar-AE"/>
        </w:rPr>
        <w:t>،</w:t>
      </w:r>
      <w:r w:rsidRPr="00904FCB">
        <w:rPr>
          <w:rFonts w:hint="cs"/>
          <w:sz w:val="27"/>
          <w:rtl/>
          <w:lang w:bidi="ar-AE"/>
        </w:rPr>
        <w:t xml:space="preserve"> وإضلالها وحرفها عن الحق</w:t>
      </w:r>
      <w:r w:rsidR="00B76A05" w:rsidRPr="00904FCB">
        <w:rPr>
          <w:rFonts w:hint="cs"/>
          <w:sz w:val="27"/>
          <w:rtl/>
          <w:lang w:bidi="ar-AE"/>
        </w:rPr>
        <w:t>ّ</w:t>
      </w:r>
      <w:r w:rsidRPr="00904FCB">
        <w:rPr>
          <w:rFonts w:hint="cs"/>
          <w:sz w:val="27"/>
          <w:rtl/>
          <w:lang w:bidi="ar-AE"/>
        </w:rPr>
        <w:t>، بمعنى أنه من السخف والهزال بحيث لا يمتلك القدرة على التأثير في أفكار الأشخاص، فهو وإن</w:t>
      </w:r>
      <w:r w:rsidR="00B76A05" w:rsidRPr="00904FCB">
        <w:rPr>
          <w:rFonts w:hint="cs"/>
          <w:sz w:val="27"/>
          <w:rtl/>
          <w:lang w:bidi="ar-AE"/>
        </w:rPr>
        <w:t>ْ</w:t>
      </w:r>
      <w:r w:rsidRPr="00904FCB">
        <w:rPr>
          <w:rFonts w:hint="cs"/>
          <w:sz w:val="27"/>
          <w:rtl/>
          <w:lang w:bidi="ar-AE"/>
        </w:rPr>
        <w:t xml:space="preserve"> كان باطلاً ومن الضلال في حدّ</w:t>
      </w:r>
      <w:r w:rsidR="00B76A05" w:rsidRPr="00904FCB">
        <w:rPr>
          <w:rFonts w:hint="cs"/>
          <w:sz w:val="27"/>
          <w:rtl/>
          <w:lang w:bidi="ar-AE"/>
        </w:rPr>
        <w:t>ِ</w:t>
      </w:r>
      <w:r w:rsidRPr="00904FCB">
        <w:rPr>
          <w:rFonts w:hint="cs"/>
          <w:sz w:val="27"/>
          <w:rtl/>
          <w:lang w:bidi="ar-AE"/>
        </w:rPr>
        <w:t xml:space="preserve"> ذاته، ولكنه غير م</w:t>
      </w:r>
      <w:r w:rsidR="00B76A05" w:rsidRPr="00904FCB">
        <w:rPr>
          <w:rFonts w:hint="cs"/>
          <w:sz w:val="27"/>
          <w:rtl/>
          <w:lang w:bidi="ar-AE"/>
        </w:rPr>
        <w:t>ُ</w:t>
      </w:r>
      <w:r w:rsidRPr="00904FCB">
        <w:rPr>
          <w:rFonts w:hint="cs"/>
          <w:sz w:val="27"/>
          <w:rtl/>
          <w:lang w:bidi="ar-AE"/>
        </w:rPr>
        <w:t>ض</w:t>
      </w:r>
      <w:r w:rsidR="00B76A05" w:rsidRPr="00904FCB">
        <w:rPr>
          <w:rFonts w:hint="cs"/>
          <w:sz w:val="27"/>
          <w:rtl/>
          <w:lang w:bidi="ar-AE"/>
        </w:rPr>
        <w:t>ِ</w:t>
      </w:r>
      <w:r w:rsidRPr="00904FCB">
        <w:rPr>
          <w:rFonts w:hint="cs"/>
          <w:sz w:val="27"/>
          <w:rtl/>
          <w:lang w:bidi="ar-AE"/>
        </w:rPr>
        <w:t>لّ</w:t>
      </w:r>
      <w:r w:rsidR="00B76A05" w:rsidRPr="00904FCB">
        <w:rPr>
          <w:rFonts w:hint="cs"/>
          <w:sz w:val="27"/>
          <w:rtl/>
          <w:lang w:bidi="ar-AE"/>
        </w:rPr>
        <w:t>ٍ،</w:t>
      </w:r>
      <w:r w:rsidRPr="00904FCB">
        <w:rPr>
          <w:rFonts w:hint="cs"/>
          <w:sz w:val="27"/>
          <w:rtl/>
          <w:lang w:bidi="ar-AE"/>
        </w:rPr>
        <w:t xml:space="preserve"> </w:t>
      </w:r>
      <w:r w:rsidR="00B76A05" w:rsidRPr="00904FCB">
        <w:rPr>
          <w:rFonts w:hint="cs"/>
          <w:sz w:val="27"/>
          <w:rtl/>
          <w:lang w:bidi="ar-AE"/>
        </w:rPr>
        <w:t>وليس</w:t>
      </w:r>
      <w:r w:rsidRPr="00904FCB">
        <w:rPr>
          <w:rFonts w:hint="cs"/>
          <w:sz w:val="27"/>
          <w:rtl/>
          <w:lang w:bidi="ar-AE"/>
        </w:rPr>
        <w:t xml:space="preserve"> من دليل</w:t>
      </w:r>
      <w:r w:rsidR="00B76A05" w:rsidRPr="00904FCB">
        <w:rPr>
          <w:rFonts w:hint="cs"/>
          <w:sz w:val="27"/>
          <w:rtl/>
          <w:lang w:bidi="ar-AE"/>
        </w:rPr>
        <w:t>ٍ</w:t>
      </w:r>
      <w:r w:rsidRPr="00904FCB">
        <w:rPr>
          <w:rFonts w:hint="cs"/>
          <w:sz w:val="27"/>
          <w:rtl/>
          <w:lang w:bidi="ar-AE"/>
        </w:rPr>
        <w:t xml:space="preserve"> على حرمة حفظ هذا النوع من الكتب. </w:t>
      </w:r>
    </w:p>
    <w:p w:rsidR="00BF56C8" w:rsidRPr="00904FCB" w:rsidRDefault="00BF56C8" w:rsidP="00B74A01">
      <w:pPr>
        <w:spacing w:line="420" w:lineRule="exact"/>
        <w:rPr>
          <w:sz w:val="27"/>
          <w:rtl/>
          <w:lang w:bidi="ar-AE"/>
        </w:rPr>
      </w:pPr>
      <w:r w:rsidRPr="00904FCB">
        <w:rPr>
          <w:rFonts w:hint="cs"/>
          <w:sz w:val="27"/>
          <w:rtl/>
          <w:lang w:bidi="ar-AE"/>
        </w:rPr>
        <w:t>هناك م</w:t>
      </w:r>
      <w:r w:rsidR="00B76A05" w:rsidRPr="00904FCB">
        <w:rPr>
          <w:rFonts w:hint="cs"/>
          <w:sz w:val="27"/>
          <w:rtl/>
          <w:lang w:bidi="ar-AE"/>
        </w:rPr>
        <w:t>َ</w:t>
      </w:r>
      <w:r w:rsidRPr="00904FCB">
        <w:rPr>
          <w:rFonts w:hint="cs"/>
          <w:sz w:val="27"/>
          <w:rtl/>
          <w:lang w:bidi="ar-AE"/>
        </w:rPr>
        <w:t>ن</w:t>
      </w:r>
      <w:r w:rsidR="00B76A05" w:rsidRPr="00904FCB">
        <w:rPr>
          <w:rFonts w:hint="cs"/>
          <w:sz w:val="27"/>
          <w:rtl/>
          <w:lang w:bidi="ar-AE"/>
        </w:rPr>
        <w:t>ْ</w:t>
      </w:r>
      <w:r w:rsidRPr="00904FCB">
        <w:rPr>
          <w:rFonts w:hint="cs"/>
          <w:sz w:val="27"/>
          <w:rtl/>
          <w:lang w:bidi="ar-AE"/>
        </w:rPr>
        <w:t xml:space="preserve"> يمثّ</w:t>
      </w:r>
      <w:r w:rsidR="00B76A05" w:rsidRPr="00904FCB">
        <w:rPr>
          <w:rFonts w:hint="cs"/>
          <w:sz w:val="27"/>
          <w:rtl/>
          <w:lang w:bidi="ar-AE"/>
        </w:rPr>
        <w:t>ِ</w:t>
      </w:r>
      <w:r w:rsidRPr="00904FCB">
        <w:rPr>
          <w:rFonts w:hint="cs"/>
          <w:sz w:val="27"/>
          <w:rtl/>
          <w:lang w:bidi="ar-AE"/>
        </w:rPr>
        <w:t>ل لكتب الضلال بكتب البهائية، ولا سيّ</w:t>
      </w:r>
      <w:r w:rsidR="00B76A05" w:rsidRPr="00904FCB">
        <w:rPr>
          <w:rFonts w:hint="cs"/>
          <w:sz w:val="27"/>
          <w:rtl/>
          <w:lang w:bidi="ar-AE"/>
        </w:rPr>
        <w:t>َ</w:t>
      </w:r>
      <w:r w:rsidRPr="00904FCB">
        <w:rPr>
          <w:rFonts w:hint="cs"/>
          <w:sz w:val="27"/>
          <w:rtl/>
          <w:lang w:bidi="ar-AE"/>
        </w:rPr>
        <w:t>ما كتب الباب نفسه، ويقول: إن هذه الكتب وإن</w:t>
      </w:r>
      <w:r w:rsidR="00B76A05" w:rsidRPr="00904FCB">
        <w:rPr>
          <w:rFonts w:hint="cs"/>
          <w:sz w:val="27"/>
          <w:rtl/>
          <w:lang w:bidi="ar-AE"/>
        </w:rPr>
        <w:t>ْ</w:t>
      </w:r>
      <w:r w:rsidRPr="00904FCB">
        <w:rPr>
          <w:rFonts w:hint="cs"/>
          <w:sz w:val="27"/>
          <w:rtl/>
          <w:lang w:bidi="ar-AE"/>
        </w:rPr>
        <w:t xml:space="preserve"> كانت من الضلالة في حدّ ذاتها، بمعنى أن مضمونها هو الضلال بعينه، ولكن</w:t>
      </w:r>
      <w:r w:rsidR="00B76A05" w:rsidRPr="00904FCB">
        <w:rPr>
          <w:rFonts w:hint="cs"/>
          <w:sz w:val="27"/>
          <w:rtl/>
          <w:lang w:bidi="ar-AE"/>
        </w:rPr>
        <w:t>ّ</w:t>
      </w:r>
      <w:r w:rsidRPr="00904FCB">
        <w:rPr>
          <w:rFonts w:hint="cs"/>
          <w:sz w:val="27"/>
          <w:rtl/>
          <w:lang w:bidi="ar-AE"/>
        </w:rPr>
        <w:t xml:space="preserve"> هذا المضمون من السخف والهشاشة وعدم التماسك بحيث لا يتمتع بأيّ قدرة</w:t>
      </w:r>
      <w:r w:rsidR="00B76A05" w:rsidRPr="00904FCB">
        <w:rPr>
          <w:rFonts w:hint="cs"/>
          <w:sz w:val="27"/>
          <w:rtl/>
          <w:lang w:bidi="ar-AE"/>
        </w:rPr>
        <w:t>ٍ</w:t>
      </w:r>
      <w:r w:rsidRPr="00904FCB">
        <w:rPr>
          <w:rFonts w:hint="cs"/>
          <w:sz w:val="27"/>
          <w:rtl/>
          <w:lang w:bidi="ar-AE"/>
        </w:rPr>
        <w:t xml:space="preserve"> على الإضلال. </w:t>
      </w:r>
    </w:p>
    <w:p w:rsidR="00BF56C8" w:rsidRPr="00904FCB" w:rsidRDefault="00BF56C8" w:rsidP="00B74A01">
      <w:pPr>
        <w:spacing w:line="420" w:lineRule="exact"/>
        <w:rPr>
          <w:sz w:val="27"/>
          <w:rtl/>
          <w:lang w:bidi="ar-AE"/>
        </w:rPr>
      </w:pPr>
      <w:r w:rsidRPr="00904FCB">
        <w:rPr>
          <w:rFonts w:hint="cs"/>
          <w:sz w:val="27"/>
          <w:rtl/>
          <w:lang w:bidi="ar-AE"/>
        </w:rPr>
        <w:t>وعليه فإن المراد من كتب الضلال هي الكتب التي تؤثّ</w:t>
      </w:r>
      <w:r w:rsidR="00B76A05" w:rsidRPr="00904FCB">
        <w:rPr>
          <w:rFonts w:hint="cs"/>
          <w:sz w:val="27"/>
          <w:rtl/>
          <w:lang w:bidi="ar-AE"/>
        </w:rPr>
        <w:t>ِ</w:t>
      </w:r>
      <w:r w:rsidRPr="00904FCB">
        <w:rPr>
          <w:rFonts w:hint="cs"/>
          <w:sz w:val="27"/>
          <w:rtl/>
          <w:lang w:bidi="ar-AE"/>
        </w:rPr>
        <w:t>ر بحسب الواقع على أفكار بعض الأشخاص. ويضيفون إلى هذا قيداً آخر</w:t>
      </w:r>
      <w:r w:rsidR="00B85CBD" w:rsidRPr="00904FCB">
        <w:rPr>
          <w:rFonts w:hint="cs"/>
          <w:sz w:val="27"/>
          <w:rtl/>
          <w:lang w:bidi="ar-AE"/>
        </w:rPr>
        <w:t>،</w:t>
      </w:r>
      <w:r w:rsidRPr="00904FCB">
        <w:rPr>
          <w:rFonts w:hint="cs"/>
          <w:sz w:val="27"/>
          <w:rtl/>
          <w:lang w:bidi="ar-AE"/>
        </w:rPr>
        <w:t xml:space="preserve"> وهو القول بأن حرمة حفظ هذا </w:t>
      </w:r>
      <w:r w:rsidRPr="00904FCB">
        <w:rPr>
          <w:rFonts w:hint="cs"/>
          <w:sz w:val="27"/>
          <w:rtl/>
          <w:lang w:bidi="ar-AE"/>
        </w:rPr>
        <w:lastRenderedPageBreak/>
        <w:t>النوع من الكتب إن</w:t>
      </w:r>
      <w:r w:rsidR="00B85CBD" w:rsidRPr="00904FCB">
        <w:rPr>
          <w:rFonts w:hint="cs"/>
          <w:sz w:val="27"/>
          <w:rtl/>
          <w:lang w:bidi="ar-AE"/>
        </w:rPr>
        <w:t>ّ</w:t>
      </w:r>
      <w:r w:rsidRPr="00904FCB">
        <w:rPr>
          <w:rFonts w:hint="cs"/>
          <w:sz w:val="27"/>
          <w:rtl/>
          <w:lang w:bidi="ar-AE"/>
        </w:rPr>
        <w:t>ما تثبت في حق</w:t>
      </w:r>
      <w:r w:rsidR="00B85CBD" w:rsidRPr="00904FCB">
        <w:rPr>
          <w:rFonts w:hint="cs"/>
          <w:sz w:val="27"/>
          <w:rtl/>
          <w:lang w:bidi="ar-AE"/>
        </w:rPr>
        <w:t>ّ</w:t>
      </w:r>
      <w:r w:rsidRPr="00904FCB">
        <w:rPr>
          <w:rFonts w:hint="cs"/>
          <w:sz w:val="27"/>
          <w:rtl/>
          <w:lang w:bidi="ar-AE"/>
        </w:rPr>
        <w:t xml:space="preserve"> الشخص الذي لا يمتلك القدرة على نقدها، أما القادر على نقدها وإثبات بطلانها فلا حرمة عليه في حفظها</w:t>
      </w:r>
      <w:r w:rsidR="00B85CBD" w:rsidRPr="00904FCB">
        <w:rPr>
          <w:rFonts w:hint="cs"/>
          <w:sz w:val="27"/>
          <w:rtl/>
          <w:lang w:bidi="ar-AE"/>
        </w:rPr>
        <w:t>.</w:t>
      </w:r>
      <w:r w:rsidRPr="00904FCB">
        <w:rPr>
          <w:rFonts w:hint="cs"/>
          <w:sz w:val="27"/>
          <w:rtl/>
          <w:lang w:bidi="ar-AE"/>
        </w:rPr>
        <w:t xml:space="preserve"> ولذلك يسمح كاف</w:t>
      </w:r>
      <w:r w:rsidR="00B85CBD" w:rsidRPr="00904FCB">
        <w:rPr>
          <w:rFonts w:hint="cs"/>
          <w:sz w:val="27"/>
          <w:rtl/>
          <w:lang w:bidi="ar-AE"/>
        </w:rPr>
        <w:t>ّ</w:t>
      </w:r>
      <w:r w:rsidRPr="00904FCB">
        <w:rPr>
          <w:rFonts w:hint="cs"/>
          <w:sz w:val="27"/>
          <w:rtl/>
          <w:lang w:bidi="ar-AE"/>
        </w:rPr>
        <w:t>ة العلماء لأنفسهم بشراء وحفظ كل</w:t>
      </w:r>
      <w:r w:rsidR="00B85CBD" w:rsidRPr="00904FCB">
        <w:rPr>
          <w:rFonts w:hint="cs"/>
          <w:sz w:val="27"/>
          <w:rtl/>
          <w:lang w:bidi="ar-AE"/>
        </w:rPr>
        <w:t>ّ</w:t>
      </w:r>
      <w:r w:rsidRPr="00904FCB">
        <w:rPr>
          <w:rFonts w:hint="cs"/>
          <w:sz w:val="27"/>
          <w:rtl/>
          <w:lang w:bidi="ar-AE"/>
        </w:rPr>
        <w:t xml:space="preserve"> كتاب</w:t>
      </w:r>
      <w:r w:rsidR="00B85CBD" w:rsidRPr="00904FCB">
        <w:rPr>
          <w:rFonts w:hint="cs"/>
          <w:sz w:val="27"/>
          <w:rtl/>
          <w:lang w:bidi="ar-AE"/>
        </w:rPr>
        <w:t>ٍ</w:t>
      </w:r>
      <w:r w:rsidRPr="00904FCB">
        <w:rPr>
          <w:rFonts w:hint="cs"/>
          <w:sz w:val="27"/>
          <w:rtl/>
          <w:lang w:bidi="ar-AE"/>
        </w:rPr>
        <w:t xml:space="preserve">. </w:t>
      </w:r>
    </w:p>
    <w:p w:rsidR="00BF56C8" w:rsidRPr="00904FCB" w:rsidRDefault="00BF56C8" w:rsidP="00E626D2">
      <w:pPr>
        <w:spacing w:line="420" w:lineRule="exact"/>
        <w:rPr>
          <w:sz w:val="27"/>
          <w:rtl/>
          <w:lang w:bidi="ar-AE"/>
        </w:rPr>
      </w:pPr>
      <w:r w:rsidRPr="00904FCB">
        <w:rPr>
          <w:rFonts w:hint="cs"/>
          <w:sz w:val="27"/>
          <w:rtl/>
          <w:lang w:bidi="ar-AE"/>
        </w:rPr>
        <w:t>وإذا قال شخص</w:t>
      </w:r>
      <w:r w:rsidR="00B85CBD" w:rsidRPr="00904FCB">
        <w:rPr>
          <w:rFonts w:hint="cs"/>
          <w:sz w:val="27"/>
          <w:rtl/>
          <w:lang w:bidi="ar-AE"/>
        </w:rPr>
        <w:t>ٌ</w:t>
      </w:r>
      <w:r w:rsidRPr="00904FCB">
        <w:rPr>
          <w:rFonts w:hint="cs"/>
          <w:sz w:val="27"/>
          <w:rtl/>
          <w:lang w:bidi="ar-AE"/>
        </w:rPr>
        <w:t xml:space="preserve"> بحرمة حفظ كتب الضلال لم يقتصر قول</w:t>
      </w:r>
      <w:r w:rsidR="00B85CBD" w:rsidRPr="00904FCB">
        <w:rPr>
          <w:rFonts w:hint="cs"/>
          <w:sz w:val="27"/>
          <w:rtl/>
          <w:lang w:bidi="ar-AE"/>
        </w:rPr>
        <w:t>ُه بهذه الح</w:t>
      </w:r>
      <w:r w:rsidRPr="00904FCB">
        <w:rPr>
          <w:rFonts w:hint="cs"/>
          <w:sz w:val="27"/>
          <w:rtl/>
          <w:lang w:bidi="ar-AE"/>
        </w:rPr>
        <w:t>رمة على حفظ هذا النوع من الكتب في مكتبته الخاصّة، بل سوف يشمل هذا الحكم شراء هذه الكتب وبيعها</w:t>
      </w:r>
      <w:r w:rsidR="00B85CBD" w:rsidRPr="00904FCB">
        <w:rPr>
          <w:rFonts w:hint="cs"/>
          <w:sz w:val="27"/>
          <w:rtl/>
          <w:lang w:bidi="ar-AE"/>
        </w:rPr>
        <w:t>،</w:t>
      </w:r>
      <w:r w:rsidRPr="00904FCB">
        <w:rPr>
          <w:rFonts w:hint="cs"/>
          <w:sz w:val="27"/>
          <w:rtl/>
          <w:lang w:bidi="ar-AE"/>
        </w:rPr>
        <w:t xml:space="preserve"> وطباعتها</w:t>
      </w:r>
      <w:r w:rsidR="00B85CBD" w:rsidRPr="00904FCB">
        <w:rPr>
          <w:rFonts w:hint="cs"/>
          <w:sz w:val="27"/>
          <w:rtl/>
          <w:lang w:bidi="ar-AE"/>
        </w:rPr>
        <w:t>،</w:t>
      </w:r>
      <w:r w:rsidRPr="00904FCB">
        <w:rPr>
          <w:rFonts w:hint="cs"/>
          <w:sz w:val="27"/>
          <w:rtl/>
          <w:lang w:bidi="ar-AE"/>
        </w:rPr>
        <w:t xml:space="preserve"> ونشرها وتوزيعها</w:t>
      </w:r>
      <w:r w:rsidR="00B85CBD" w:rsidRPr="00904FCB">
        <w:rPr>
          <w:rFonts w:hint="cs"/>
          <w:sz w:val="27"/>
          <w:rtl/>
          <w:lang w:bidi="ar-AE"/>
        </w:rPr>
        <w:t>،</w:t>
      </w:r>
      <w:r w:rsidRPr="00904FCB">
        <w:rPr>
          <w:rFonts w:hint="cs"/>
          <w:sz w:val="27"/>
          <w:rtl/>
          <w:lang w:bidi="ar-AE"/>
        </w:rPr>
        <w:t xml:space="preserve"> والترويج والدعاية لها أيضاً. </w:t>
      </w:r>
    </w:p>
    <w:p w:rsidR="00B85CBD" w:rsidRPr="00904FCB" w:rsidRDefault="00BF56C8" w:rsidP="00E626D2">
      <w:pPr>
        <w:spacing w:line="420" w:lineRule="exact"/>
        <w:rPr>
          <w:sz w:val="27"/>
          <w:rtl/>
          <w:lang w:bidi="ar-AE"/>
        </w:rPr>
      </w:pPr>
      <w:r w:rsidRPr="00904FCB">
        <w:rPr>
          <w:rFonts w:hint="cs"/>
          <w:sz w:val="27"/>
          <w:rtl/>
          <w:lang w:bidi="ar-AE"/>
        </w:rPr>
        <w:t>ولكن</w:t>
      </w:r>
      <w:r w:rsidR="00B85CBD" w:rsidRPr="00904FCB">
        <w:rPr>
          <w:rFonts w:hint="cs"/>
          <w:sz w:val="27"/>
          <w:rtl/>
          <w:lang w:bidi="ar-AE"/>
        </w:rPr>
        <w:t>ْ ما هو الدليل على هذه الح</w:t>
      </w:r>
      <w:r w:rsidRPr="00904FCB">
        <w:rPr>
          <w:rFonts w:hint="cs"/>
          <w:sz w:val="27"/>
          <w:rtl/>
          <w:lang w:bidi="ar-AE"/>
        </w:rPr>
        <w:t xml:space="preserve">رمة؟ </w:t>
      </w:r>
      <w:r w:rsidR="00B85CBD" w:rsidRPr="00904FCB">
        <w:rPr>
          <w:rFonts w:hint="cs"/>
          <w:sz w:val="27"/>
          <w:rtl/>
          <w:lang w:bidi="ar-AE"/>
        </w:rPr>
        <w:t>و</w:t>
      </w:r>
      <w:r w:rsidRPr="00904FCB">
        <w:rPr>
          <w:rFonts w:hint="cs"/>
          <w:sz w:val="27"/>
          <w:rtl/>
          <w:lang w:bidi="ar-AE"/>
        </w:rPr>
        <w:t>هل هناك دليل على إثبات هذه الحرمة من القرآن والسن</w:t>
      </w:r>
      <w:r w:rsidR="00B85CBD" w:rsidRPr="00904FCB">
        <w:rPr>
          <w:rFonts w:hint="cs"/>
          <w:sz w:val="27"/>
          <w:rtl/>
          <w:lang w:bidi="ar-AE"/>
        </w:rPr>
        <w:t>ّ</w:t>
      </w:r>
      <w:r w:rsidRPr="00904FCB">
        <w:rPr>
          <w:rFonts w:hint="cs"/>
          <w:sz w:val="27"/>
          <w:rtl/>
          <w:lang w:bidi="ar-AE"/>
        </w:rPr>
        <w:t>ة</w:t>
      </w:r>
      <w:r w:rsidR="00B85CBD" w:rsidRPr="00904FCB">
        <w:rPr>
          <w:rFonts w:hint="cs"/>
          <w:sz w:val="27"/>
          <w:rtl/>
          <w:lang w:bidi="ar-AE"/>
        </w:rPr>
        <w:t xml:space="preserve"> </w:t>
      </w:r>
      <w:r w:rsidRPr="00904FCB">
        <w:rPr>
          <w:rFonts w:hint="cs"/>
          <w:sz w:val="27"/>
          <w:rtl/>
          <w:lang w:bidi="ar-AE"/>
        </w:rPr>
        <w:t>أم هو مجرّد اجتهاد</w:t>
      </w:r>
      <w:r w:rsidR="00B85CBD" w:rsidRPr="00904FCB">
        <w:rPr>
          <w:rFonts w:hint="cs"/>
          <w:sz w:val="27"/>
          <w:rtl/>
          <w:lang w:bidi="ar-AE"/>
        </w:rPr>
        <w:t>ٍ</w:t>
      </w:r>
      <w:r w:rsidRPr="00904FCB">
        <w:rPr>
          <w:rFonts w:hint="cs"/>
          <w:sz w:val="27"/>
          <w:rtl/>
          <w:lang w:bidi="ar-AE"/>
        </w:rPr>
        <w:t xml:space="preserve"> قائم على بعض الاستحسانات العقلية</w:t>
      </w:r>
      <w:r w:rsidR="00B85CBD" w:rsidRPr="00904FCB">
        <w:rPr>
          <w:rFonts w:hint="cs"/>
          <w:sz w:val="27"/>
          <w:rtl/>
          <w:lang w:bidi="ar-AE"/>
        </w:rPr>
        <w:t>؟</w:t>
      </w:r>
    </w:p>
    <w:p w:rsidR="00BF56C8" w:rsidRPr="00904FCB" w:rsidRDefault="00BF56C8" w:rsidP="00E626D2">
      <w:pPr>
        <w:spacing w:line="420" w:lineRule="exact"/>
        <w:rPr>
          <w:sz w:val="27"/>
          <w:rtl/>
          <w:lang w:bidi="ar-AE"/>
        </w:rPr>
      </w:pPr>
      <w:r w:rsidRPr="00904FCB">
        <w:rPr>
          <w:rFonts w:hint="cs"/>
          <w:sz w:val="27"/>
          <w:rtl/>
          <w:lang w:bidi="ar-AE"/>
        </w:rPr>
        <w:t>ليس هناك آية</w:t>
      </w:r>
      <w:r w:rsidR="00B85CBD" w:rsidRPr="00904FCB">
        <w:rPr>
          <w:rFonts w:hint="cs"/>
          <w:sz w:val="27"/>
          <w:rtl/>
          <w:lang w:bidi="ar-AE"/>
        </w:rPr>
        <w:t>ٌ أو رواية صريحة في إثبات ح</w:t>
      </w:r>
      <w:r w:rsidRPr="00904FCB">
        <w:rPr>
          <w:rFonts w:hint="cs"/>
          <w:sz w:val="27"/>
          <w:rtl/>
          <w:lang w:bidi="ar-AE"/>
        </w:rPr>
        <w:t>رمة حفظ كتب الضلال. ب</w:t>
      </w:r>
      <w:r w:rsidR="00B85CBD" w:rsidRPr="00904FCB">
        <w:rPr>
          <w:rFonts w:hint="cs"/>
          <w:sz w:val="27"/>
          <w:rtl/>
          <w:lang w:bidi="ar-AE"/>
        </w:rPr>
        <w:t>َ</w:t>
      </w:r>
      <w:r w:rsidRPr="00904FCB">
        <w:rPr>
          <w:rFonts w:hint="cs"/>
          <w:sz w:val="27"/>
          <w:rtl/>
          <w:lang w:bidi="ar-AE"/>
        </w:rPr>
        <w:t>ي</w:t>
      </w:r>
      <w:r w:rsidR="00B85CBD" w:rsidRPr="00904FCB">
        <w:rPr>
          <w:rFonts w:hint="cs"/>
          <w:sz w:val="27"/>
          <w:rtl/>
          <w:lang w:bidi="ar-AE"/>
        </w:rPr>
        <w:t>ْ</w:t>
      </w:r>
      <w:r w:rsidRPr="00904FCB">
        <w:rPr>
          <w:rFonts w:hint="cs"/>
          <w:sz w:val="27"/>
          <w:rtl/>
          <w:lang w:bidi="ar-AE"/>
        </w:rPr>
        <w:t>د</w:t>
      </w:r>
      <w:r w:rsidR="00B85CBD" w:rsidRPr="00904FCB">
        <w:rPr>
          <w:rFonts w:hint="cs"/>
          <w:sz w:val="27"/>
          <w:rtl/>
          <w:lang w:bidi="ar-AE"/>
        </w:rPr>
        <w:t>َ</w:t>
      </w:r>
      <w:r w:rsidRPr="00904FCB">
        <w:rPr>
          <w:rFonts w:hint="cs"/>
          <w:sz w:val="27"/>
          <w:rtl/>
          <w:lang w:bidi="ar-AE"/>
        </w:rPr>
        <w:t xml:space="preserve"> أن الذين ذهبوا إلى القول بهذا الحكم قد استندوا في إثباته إلى بعض الآيات القرآنية</w:t>
      </w:r>
      <w:r w:rsidR="00B85CBD" w:rsidRPr="00904FCB">
        <w:rPr>
          <w:rFonts w:hint="cs"/>
          <w:sz w:val="27"/>
          <w:rtl/>
          <w:lang w:bidi="ar-AE"/>
        </w:rPr>
        <w:t>،</w:t>
      </w:r>
      <w:r w:rsidRPr="00904FCB">
        <w:rPr>
          <w:rFonts w:hint="cs"/>
          <w:sz w:val="27"/>
          <w:rtl/>
          <w:lang w:bidi="ar-AE"/>
        </w:rPr>
        <w:t xml:space="preserve"> التي يمكن القول بأن إجماع الفقهاء قائم</w:t>
      </w:r>
      <w:r w:rsidR="00B85CBD" w:rsidRPr="00904FCB">
        <w:rPr>
          <w:rFonts w:hint="cs"/>
          <w:sz w:val="27"/>
          <w:rtl/>
          <w:lang w:bidi="ar-AE"/>
        </w:rPr>
        <w:t>ٌ</w:t>
      </w:r>
      <w:r w:rsidRPr="00904FCB">
        <w:rPr>
          <w:rFonts w:hint="cs"/>
          <w:sz w:val="27"/>
          <w:rtl/>
          <w:lang w:bidi="ar-AE"/>
        </w:rPr>
        <w:t xml:space="preserve"> على عدم دلالتها على ما ذهبوا إليه.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الآيات التي استدلّ بها</w:t>
      </w:r>
      <w:r w:rsidR="00B85CBD" w:rsidRPr="00904FCB">
        <w:rPr>
          <w:rFonts w:hint="cs"/>
          <w:color w:val="auto"/>
          <w:rtl/>
          <w:lang w:bidi="ar-AE"/>
        </w:rPr>
        <w:t>،</w:t>
      </w:r>
      <w:r w:rsidRPr="00904FCB">
        <w:rPr>
          <w:rFonts w:hint="cs"/>
          <w:color w:val="auto"/>
          <w:rtl/>
          <w:lang w:bidi="ar-AE"/>
        </w:rPr>
        <w:t xml:space="preserve"> ومناقشتها</w:t>
      </w:r>
    </w:p>
    <w:p w:rsidR="00BF56C8" w:rsidRPr="00904FCB" w:rsidRDefault="00BF56C8" w:rsidP="007A21AA">
      <w:pPr>
        <w:pStyle w:val="31"/>
        <w:spacing w:line="400" w:lineRule="exact"/>
        <w:rPr>
          <w:color w:val="auto"/>
          <w:rtl/>
          <w:lang w:bidi="ar-AE"/>
        </w:rPr>
      </w:pPr>
      <w:r w:rsidRPr="005A3484">
        <w:rPr>
          <w:rFonts w:hint="cs"/>
          <w:color w:val="auto"/>
          <w:rtl/>
          <w:lang w:bidi="ar-AE"/>
        </w:rPr>
        <w:t xml:space="preserve">1ـ </w:t>
      </w:r>
      <w:r w:rsidR="00B85CBD" w:rsidRPr="005A3484">
        <w:rPr>
          <w:rFonts w:hint="cs"/>
          <w:color w:val="auto"/>
          <w:rtl/>
          <w:lang w:bidi="ar-AE"/>
        </w:rPr>
        <w:t>اجتناب</w:t>
      </w:r>
      <w:r w:rsidR="00B85CBD" w:rsidRPr="00904FCB">
        <w:rPr>
          <w:rFonts w:hint="cs"/>
          <w:color w:val="auto"/>
          <w:rtl/>
          <w:lang w:bidi="ar-AE"/>
        </w:rPr>
        <w:t xml:space="preserve"> قول الزور</w:t>
      </w:r>
    </w:p>
    <w:p w:rsidR="00BF56C8" w:rsidRPr="00904FCB" w:rsidRDefault="00BB5CE4" w:rsidP="00B74A01">
      <w:pPr>
        <w:spacing w:line="420" w:lineRule="exact"/>
        <w:rPr>
          <w:sz w:val="27"/>
          <w:rtl/>
          <w:lang w:bidi="ar-AE"/>
        </w:rPr>
      </w:pPr>
      <w:r w:rsidRPr="00904FCB">
        <w:rPr>
          <w:rFonts w:hint="cs"/>
          <w:sz w:val="27"/>
          <w:rtl/>
          <w:lang w:bidi="ar-AE"/>
        </w:rPr>
        <w:t>يقول</w:t>
      </w:r>
      <w:r w:rsidR="00BF56C8" w:rsidRPr="00904FCB">
        <w:rPr>
          <w:rFonts w:hint="cs"/>
          <w:sz w:val="27"/>
          <w:rtl/>
          <w:lang w:bidi="ar-AE"/>
        </w:rPr>
        <w:t xml:space="preserve"> تعالى: </w:t>
      </w:r>
      <w:r w:rsidR="00BF56C8" w:rsidRPr="00904FCB">
        <w:rPr>
          <w:rFonts w:ascii="Mosawi" w:hAnsi="Mosawi" w:cs="Mosawi"/>
          <w:sz w:val="24"/>
          <w:szCs w:val="24"/>
          <w:rtl/>
        </w:rPr>
        <w:t>﴿</w:t>
      </w:r>
      <w:r w:rsidR="00BF56C8" w:rsidRPr="00904FCB">
        <w:rPr>
          <w:b/>
          <w:bCs/>
          <w:sz w:val="27"/>
          <w:rtl/>
        </w:rPr>
        <w:t>وَاجْتَنِبُوا قَوْلَ الزُّورِ</w:t>
      </w:r>
      <w:r w:rsidR="00BF56C8" w:rsidRPr="00904FCB">
        <w:rPr>
          <w:rFonts w:ascii="Mosawi" w:hAnsi="Mosawi" w:cs="Mosawi"/>
          <w:sz w:val="24"/>
          <w:szCs w:val="24"/>
          <w:rtl/>
        </w:rPr>
        <w:t>﴾</w:t>
      </w:r>
      <w:r w:rsidR="00BF56C8" w:rsidRPr="00904FCB">
        <w:rPr>
          <w:rFonts w:hint="cs"/>
          <w:sz w:val="27"/>
          <w:rtl/>
          <w:lang w:bidi="ar-AE"/>
        </w:rPr>
        <w:t xml:space="preserve"> (الحجّ</w:t>
      </w:r>
      <w:r w:rsidR="00BF56C8" w:rsidRPr="005A3484">
        <w:rPr>
          <w:rFonts w:hint="cs"/>
          <w:sz w:val="27"/>
          <w:rtl/>
          <w:lang w:bidi="ar-AE"/>
        </w:rPr>
        <w:t>: 30)</w:t>
      </w:r>
      <w:r w:rsidR="00BF56C8" w:rsidRPr="00904FCB">
        <w:rPr>
          <w:rFonts w:hint="cs"/>
          <w:sz w:val="27"/>
          <w:rtl/>
          <w:lang w:bidi="ar-AE"/>
        </w:rPr>
        <w:t>. والزور يعني الكلام الباطل، والاجتناب يعني الابتعاد عن ذلك الكلام الباطل</w:t>
      </w:r>
      <w:r w:rsidRPr="00904FCB">
        <w:rPr>
          <w:rFonts w:hint="cs"/>
          <w:sz w:val="27"/>
          <w:rtl/>
          <w:lang w:bidi="ar-AE"/>
        </w:rPr>
        <w:t>،</w:t>
      </w:r>
      <w:r w:rsidR="00BF56C8" w:rsidRPr="00904FCB">
        <w:rPr>
          <w:rFonts w:hint="cs"/>
          <w:sz w:val="27"/>
          <w:rtl/>
          <w:lang w:bidi="ar-AE"/>
        </w:rPr>
        <w:t xml:space="preserve"> أي</w:t>
      </w:r>
      <w:r w:rsidRPr="00904FCB">
        <w:rPr>
          <w:rFonts w:hint="cs"/>
          <w:sz w:val="27"/>
          <w:rtl/>
          <w:lang w:bidi="ar-AE"/>
        </w:rPr>
        <w:t>ّ</w:t>
      </w:r>
      <w:r w:rsidR="00BF56C8" w:rsidRPr="00904FCB">
        <w:rPr>
          <w:rFonts w:hint="cs"/>
          <w:sz w:val="27"/>
          <w:rtl/>
          <w:lang w:bidi="ar-AE"/>
        </w:rPr>
        <w:t>اً كان نوعه. فعلينا أن نجتنب الكذب والباطل بجميع أشكاله</w:t>
      </w:r>
      <w:r w:rsidRPr="00904FCB">
        <w:rPr>
          <w:rFonts w:hint="cs"/>
          <w:sz w:val="27"/>
          <w:rtl/>
          <w:lang w:bidi="ar-AE"/>
        </w:rPr>
        <w:t>،</w:t>
      </w:r>
      <w:r w:rsidR="00BF56C8" w:rsidRPr="00904FCB">
        <w:rPr>
          <w:rFonts w:hint="cs"/>
          <w:sz w:val="27"/>
          <w:rtl/>
          <w:lang w:bidi="ar-AE"/>
        </w:rPr>
        <w:t xml:space="preserve"> سواء أكان كلاماً منطوقاً أ</w:t>
      </w:r>
      <w:r w:rsidRPr="00904FCB">
        <w:rPr>
          <w:rFonts w:hint="cs"/>
          <w:sz w:val="27"/>
          <w:rtl/>
          <w:lang w:bidi="ar-AE"/>
        </w:rPr>
        <w:t>م</w:t>
      </w:r>
      <w:r w:rsidR="00BF56C8" w:rsidRPr="00904FCB">
        <w:rPr>
          <w:rFonts w:hint="cs"/>
          <w:sz w:val="27"/>
          <w:rtl/>
          <w:lang w:bidi="ar-AE"/>
        </w:rPr>
        <w:t xml:space="preserve"> مكتوباً</w:t>
      </w:r>
      <w:r w:rsidRPr="00904FCB">
        <w:rPr>
          <w:rFonts w:hint="cs"/>
          <w:sz w:val="27"/>
          <w:rtl/>
          <w:lang w:bidi="ar-AE"/>
        </w:rPr>
        <w:t>.</w:t>
      </w:r>
      <w:r w:rsidR="00BF56C8" w:rsidRPr="00904FCB">
        <w:rPr>
          <w:rFonts w:hint="cs"/>
          <w:sz w:val="27"/>
          <w:rtl/>
          <w:lang w:bidi="ar-AE"/>
        </w:rPr>
        <w:t xml:space="preserve"> وحيث </w:t>
      </w:r>
      <w:r w:rsidRPr="00904FCB">
        <w:rPr>
          <w:rFonts w:hint="cs"/>
          <w:sz w:val="27"/>
          <w:rtl/>
          <w:lang w:bidi="ar-AE"/>
        </w:rPr>
        <w:t>إ</w:t>
      </w:r>
      <w:r w:rsidR="00BF56C8" w:rsidRPr="00904FCB">
        <w:rPr>
          <w:rFonts w:hint="cs"/>
          <w:sz w:val="27"/>
          <w:rtl/>
          <w:lang w:bidi="ar-AE"/>
        </w:rPr>
        <w:t xml:space="preserve">ن كتب الضلال تشتمل على الباطل يجب اجتنابها والابتعاد عنها أيضاً. </w:t>
      </w:r>
    </w:p>
    <w:p w:rsidR="00BF56C8" w:rsidRPr="00904FCB" w:rsidRDefault="00BF56C8" w:rsidP="00B74A01">
      <w:pPr>
        <w:spacing w:line="420" w:lineRule="exact"/>
        <w:rPr>
          <w:sz w:val="27"/>
          <w:rtl/>
          <w:lang w:bidi="ar-AE"/>
        </w:rPr>
      </w:pPr>
      <w:r w:rsidRPr="00904FCB">
        <w:rPr>
          <w:rFonts w:hint="cs"/>
          <w:sz w:val="27"/>
          <w:rtl/>
          <w:lang w:bidi="ar-AE"/>
        </w:rPr>
        <w:t>وقد أ</w:t>
      </w:r>
      <w:r w:rsidR="00BB5CE4" w:rsidRPr="00904FCB">
        <w:rPr>
          <w:rFonts w:hint="cs"/>
          <w:sz w:val="27"/>
          <w:rtl/>
          <w:lang w:bidi="ar-AE"/>
        </w:rPr>
        <w:t>ُ</w:t>
      </w:r>
      <w:r w:rsidRPr="00904FCB">
        <w:rPr>
          <w:rFonts w:hint="cs"/>
          <w:sz w:val="27"/>
          <w:rtl/>
          <w:lang w:bidi="ar-AE"/>
        </w:rPr>
        <w:t xml:space="preserve">جيب عن ذلك بأن معنى قوله تعالى: </w:t>
      </w:r>
      <w:r w:rsidRPr="00904FCB">
        <w:rPr>
          <w:rFonts w:ascii="Mosawi" w:hAnsi="Mosawi" w:cs="Mosawi"/>
          <w:sz w:val="24"/>
          <w:szCs w:val="24"/>
          <w:rtl/>
        </w:rPr>
        <w:t>﴿</w:t>
      </w:r>
      <w:r w:rsidRPr="00904FCB">
        <w:rPr>
          <w:b/>
          <w:bCs/>
          <w:sz w:val="27"/>
          <w:rtl/>
        </w:rPr>
        <w:t>وَاجْتَنِبُوا قَوْلَ الزُّورِ</w:t>
      </w:r>
      <w:r w:rsidRPr="00904FCB">
        <w:rPr>
          <w:rFonts w:ascii="Mosawi" w:hAnsi="Mosawi" w:cs="Mosawi"/>
          <w:sz w:val="24"/>
          <w:szCs w:val="24"/>
          <w:rtl/>
        </w:rPr>
        <w:t>﴾</w:t>
      </w:r>
      <w:r w:rsidRPr="00904FCB">
        <w:rPr>
          <w:rFonts w:hint="cs"/>
          <w:sz w:val="27"/>
          <w:rtl/>
          <w:lang w:bidi="ar-AE"/>
        </w:rPr>
        <w:t xml:space="preserve"> توجيه الكلام إلى المخاط</w:t>
      </w:r>
      <w:r w:rsidR="00BB5CE4" w:rsidRPr="00904FCB">
        <w:rPr>
          <w:rFonts w:hint="cs"/>
          <w:sz w:val="27"/>
          <w:rtl/>
          <w:lang w:bidi="ar-AE"/>
        </w:rPr>
        <w:t>َ</w:t>
      </w:r>
      <w:r w:rsidRPr="00904FCB">
        <w:rPr>
          <w:rFonts w:hint="cs"/>
          <w:sz w:val="27"/>
          <w:rtl/>
          <w:lang w:bidi="ar-AE"/>
        </w:rPr>
        <w:t>ب بأن لا يتكل</w:t>
      </w:r>
      <w:r w:rsidR="00BB5CE4" w:rsidRPr="00904FCB">
        <w:rPr>
          <w:rFonts w:hint="cs"/>
          <w:sz w:val="27"/>
          <w:rtl/>
          <w:lang w:bidi="ar-AE"/>
        </w:rPr>
        <w:t>َّ</w:t>
      </w:r>
      <w:r w:rsidRPr="00904FCB">
        <w:rPr>
          <w:rFonts w:hint="cs"/>
          <w:sz w:val="27"/>
          <w:rtl/>
          <w:lang w:bidi="ar-AE"/>
        </w:rPr>
        <w:t>م بكلام</w:t>
      </w:r>
      <w:r w:rsidR="00BB5CE4" w:rsidRPr="00904FCB">
        <w:rPr>
          <w:rFonts w:hint="cs"/>
          <w:sz w:val="27"/>
          <w:rtl/>
          <w:lang w:bidi="ar-AE"/>
        </w:rPr>
        <w:t>ٍ</w:t>
      </w:r>
      <w:r w:rsidRPr="00904FCB">
        <w:rPr>
          <w:rFonts w:hint="cs"/>
          <w:sz w:val="27"/>
          <w:rtl/>
          <w:lang w:bidi="ar-AE"/>
        </w:rPr>
        <w:t xml:space="preserve"> باطل</w:t>
      </w:r>
      <w:r w:rsidR="00BB5CE4" w:rsidRPr="00904FCB">
        <w:rPr>
          <w:rFonts w:hint="cs"/>
          <w:sz w:val="27"/>
          <w:rtl/>
          <w:lang w:bidi="ar-AE"/>
        </w:rPr>
        <w:t>.</w:t>
      </w:r>
      <w:r w:rsidRPr="00904FCB">
        <w:rPr>
          <w:rFonts w:hint="cs"/>
          <w:sz w:val="27"/>
          <w:rtl/>
          <w:lang w:bidi="ar-AE"/>
        </w:rPr>
        <w:t xml:space="preserve"> وعليه فإن </w:t>
      </w:r>
      <w:r w:rsidRPr="00904FCB">
        <w:rPr>
          <w:rFonts w:hint="eastAsia"/>
          <w:sz w:val="27"/>
          <w:rtl/>
        </w:rPr>
        <w:t>«</w:t>
      </w:r>
      <w:r w:rsidRPr="00904FCB">
        <w:rPr>
          <w:rFonts w:hint="cs"/>
          <w:sz w:val="27"/>
          <w:rtl/>
          <w:lang w:bidi="ar-AE"/>
        </w:rPr>
        <w:t>الاجتناب</w:t>
      </w:r>
      <w:r w:rsidRPr="00904FCB">
        <w:rPr>
          <w:rFonts w:hint="eastAsia"/>
          <w:sz w:val="27"/>
          <w:rtl/>
        </w:rPr>
        <w:t>»</w:t>
      </w:r>
      <w:r w:rsidRPr="00904FCB">
        <w:rPr>
          <w:rFonts w:hint="cs"/>
          <w:sz w:val="27"/>
          <w:rtl/>
          <w:lang w:bidi="ar-AE"/>
        </w:rPr>
        <w:t xml:space="preserve"> في هذه الآية ناظر</w:t>
      </w:r>
      <w:r w:rsidR="00BB5CE4" w:rsidRPr="00904FCB">
        <w:rPr>
          <w:rFonts w:hint="cs"/>
          <w:sz w:val="27"/>
          <w:rtl/>
          <w:lang w:bidi="ar-AE"/>
        </w:rPr>
        <w:t>ٌ</w:t>
      </w:r>
      <w:r w:rsidRPr="00904FCB">
        <w:rPr>
          <w:rFonts w:hint="cs"/>
          <w:sz w:val="27"/>
          <w:rtl/>
          <w:lang w:bidi="ar-AE"/>
        </w:rPr>
        <w:t xml:space="preserve"> إلى صدور الباطل من المكل</w:t>
      </w:r>
      <w:r w:rsidR="00BB5CE4" w:rsidRPr="00904FCB">
        <w:rPr>
          <w:rFonts w:hint="cs"/>
          <w:sz w:val="27"/>
          <w:rtl/>
          <w:lang w:bidi="ar-AE"/>
        </w:rPr>
        <w:t>َّ</w:t>
      </w:r>
      <w:r w:rsidRPr="00904FCB">
        <w:rPr>
          <w:rFonts w:hint="cs"/>
          <w:sz w:val="27"/>
          <w:rtl/>
          <w:lang w:bidi="ar-AE"/>
        </w:rPr>
        <w:t>ف، وأن عليه أن لا يقول أو يكتب ما ينطوي على الباطل</w:t>
      </w:r>
      <w:r w:rsidR="00BB5CE4" w:rsidRPr="00904FCB">
        <w:rPr>
          <w:rFonts w:hint="cs"/>
          <w:sz w:val="27"/>
          <w:rtl/>
          <w:lang w:bidi="ar-AE"/>
        </w:rPr>
        <w:t>.</w:t>
      </w:r>
      <w:r w:rsidRPr="00904FCB">
        <w:rPr>
          <w:rFonts w:hint="cs"/>
          <w:sz w:val="27"/>
          <w:rtl/>
          <w:lang w:bidi="ar-AE"/>
        </w:rPr>
        <w:t xml:space="preserve"> وهذا أجنبي</w:t>
      </w:r>
      <w:r w:rsidR="00BB5CE4" w:rsidRPr="00904FCB">
        <w:rPr>
          <w:rFonts w:hint="cs"/>
          <w:sz w:val="27"/>
          <w:rtl/>
          <w:lang w:bidi="ar-AE"/>
        </w:rPr>
        <w:t>ٌّ</w:t>
      </w:r>
      <w:r w:rsidRPr="00904FCB">
        <w:rPr>
          <w:rFonts w:hint="cs"/>
          <w:sz w:val="27"/>
          <w:rtl/>
          <w:lang w:bidi="ar-AE"/>
        </w:rPr>
        <w:t xml:space="preserve"> عن حفظ الكلام أو الكتاب الباطل الصادر عن الآخرين.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5A3484">
        <w:rPr>
          <w:rFonts w:hint="cs"/>
          <w:color w:val="auto"/>
          <w:rtl/>
          <w:lang w:bidi="ar-AE"/>
        </w:rPr>
        <w:t xml:space="preserve">2ـ </w:t>
      </w:r>
      <w:r w:rsidR="00B85CBD" w:rsidRPr="005A3484">
        <w:rPr>
          <w:rFonts w:hint="cs"/>
          <w:color w:val="auto"/>
          <w:rtl/>
          <w:lang w:bidi="ar-AE"/>
        </w:rPr>
        <w:t>شراء</w:t>
      </w:r>
      <w:r w:rsidR="00B85CBD" w:rsidRPr="00904FCB">
        <w:rPr>
          <w:rFonts w:hint="cs"/>
          <w:color w:val="auto"/>
          <w:rtl/>
          <w:lang w:bidi="ar-AE"/>
        </w:rPr>
        <w:t xml:space="preserve"> لهو الحديث</w:t>
      </w:r>
    </w:p>
    <w:p w:rsidR="00BF56C8" w:rsidRPr="00904FCB" w:rsidRDefault="00BB5CE4" w:rsidP="00E626D2">
      <w:pPr>
        <w:rPr>
          <w:sz w:val="27"/>
          <w:rtl/>
          <w:lang w:bidi="ar-AE"/>
        </w:rPr>
      </w:pPr>
      <w:r w:rsidRPr="00904FCB">
        <w:rPr>
          <w:rFonts w:hint="cs"/>
          <w:sz w:val="27"/>
          <w:rtl/>
          <w:lang w:bidi="ar-AE"/>
        </w:rPr>
        <w:t>يقول</w:t>
      </w:r>
      <w:r w:rsidR="00BF56C8" w:rsidRPr="00904FCB">
        <w:rPr>
          <w:rFonts w:hint="cs"/>
          <w:sz w:val="27"/>
          <w:rtl/>
          <w:lang w:bidi="ar-AE"/>
        </w:rPr>
        <w:t xml:space="preserve"> تعالى: </w:t>
      </w:r>
      <w:r w:rsidR="00BF56C8" w:rsidRPr="00904FCB">
        <w:rPr>
          <w:rFonts w:ascii="Mosawi" w:hAnsi="Mosawi" w:cs="Mosawi"/>
          <w:sz w:val="24"/>
          <w:szCs w:val="24"/>
          <w:rtl/>
        </w:rPr>
        <w:t>﴿</w:t>
      </w:r>
      <w:r w:rsidRPr="00904FCB">
        <w:rPr>
          <w:b/>
          <w:bCs/>
          <w:sz w:val="27"/>
          <w:rtl/>
        </w:rPr>
        <w:t>وَمِن</w:t>
      </w:r>
      <w:r w:rsidRPr="00904FCB">
        <w:rPr>
          <w:rFonts w:hint="cs"/>
          <w:b/>
          <w:bCs/>
          <w:sz w:val="27"/>
          <w:rtl/>
        </w:rPr>
        <w:t>َ</w:t>
      </w:r>
      <w:r w:rsidR="00BF56C8" w:rsidRPr="00904FCB">
        <w:rPr>
          <w:b/>
          <w:bCs/>
          <w:sz w:val="27"/>
          <w:rtl/>
        </w:rPr>
        <w:t xml:space="preserve"> النَّاسِ مَنْ يَشْتَرِي لَهْوَ الْحَدِ</w:t>
      </w:r>
      <w:r w:rsidRPr="00904FCB">
        <w:rPr>
          <w:b/>
          <w:bCs/>
          <w:sz w:val="27"/>
          <w:rtl/>
        </w:rPr>
        <w:t>يثِ لِيُضِلَّ عَنْ سَبِيلِ الل</w:t>
      </w:r>
      <w:r w:rsidR="00BF56C8" w:rsidRPr="00904FCB">
        <w:rPr>
          <w:b/>
          <w:bCs/>
          <w:sz w:val="27"/>
          <w:rtl/>
        </w:rPr>
        <w:t>هِ</w:t>
      </w:r>
      <w:r w:rsidR="00BF56C8" w:rsidRPr="00904FCB">
        <w:rPr>
          <w:rFonts w:ascii="Mosawi" w:hAnsi="Mosawi" w:cs="Mosawi"/>
          <w:sz w:val="24"/>
          <w:szCs w:val="24"/>
          <w:rtl/>
        </w:rPr>
        <w:t>﴾</w:t>
      </w:r>
      <w:r w:rsidR="00BF56C8" w:rsidRPr="00904FCB">
        <w:rPr>
          <w:rFonts w:hint="cs"/>
          <w:sz w:val="27"/>
          <w:rtl/>
          <w:lang w:bidi="ar-AE"/>
        </w:rPr>
        <w:t xml:space="preserve"> (لقمان: </w:t>
      </w:r>
      <w:r w:rsidR="00BF56C8" w:rsidRPr="005A3484">
        <w:rPr>
          <w:rFonts w:hint="cs"/>
          <w:sz w:val="27"/>
          <w:rtl/>
          <w:lang w:bidi="ar-AE"/>
        </w:rPr>
        <w:lastRenderedPageBreak/>
        <w:t>6).</w:t>
      </w:r>
      <w:r w:rsidR="00BF56C8" w:rsidRPr="00904FCB">
        <w:rPr>
          <w:rFonts w:hint="cs"/>
          <w:sz w:val="27"/>
          <w:rtl/>
          <w:lang w:bidi="ar-AE"/>
        </w:rPr>
        <w:t xml:space="preserve"> قال المفسّ</w:t>
      </w:r>
      <w:r w:rsidRPr="00904FCB">
        <w:rPr>
          <w:rFonts w:hint="cs"/>
          <w:sz w:val="27"/>
          <w:rtl/>
          <w:lang w:bidi="ar-AE"/>
        </w:rPr>
        <w:t>ِ</w:t>
      </w:r>
      <w:r w:rsidR="00BF56C8" w:rsidRPr="00904FCB">
        <w:rPr>
          <w:rFonts w:hint="cs"/>
          <w:sz w:val="27"/>
          <w:rtl/>
          <w:lang w:bidi="ar-AE"/>
        </w:rPr>
        <w:t>رون</w:t>
      </w:r>
      <w:r w:rsidRPr="00904FCB">
        <w:rPr>
          <w:rFonts w:hint="cs"/>
          <w:sz w:val="27"/>
          <w:rtl/>
          <w:lang w:bidi="ar-AE"/>
        </w:rPr>
        <w:t>:</w:t>
      </w:r>
      <w:r w:rsidR="00BF56C8" w:rsidRPr="00904FCB">
        <w:rPr>
          <w:rFonts w:hint="cs"/>
          <w:sz w:val="27"/>
          <w:rtl/>
          <w:lang w:bidi="ar-AE"/>
        </w:rPr>
        <w:t xml:space="preserve"> إن هذه الآية ناظرة</w:t>
      </w:r>
      <w:r w:rsidRPr="00904FCB">
        <w:rPr>
          <w:rFonts w:hint="cs"/>
          <w:sz w:val="27"/>
          <w:rtl/>
          <w:lang w:bidi="ar-AE"/>
        </w:rPr>
        <w:t>ٌ</w:t>
      </w:r>
      <w:r w:rsidR="00BF56C8" w:rsidRPr="00904FCB">
        <w:rPr>
          <w:rFonts w:hint="cs"/>
          <w:sz w:val="27"/>
          <w:rtl/>
          <w:lang w:bidi="ar-AE"/>
        </w:rPr>
        <w:t xml:space="preserve"> إلى تي</w:t>
      </w:r>
      <w:r w:rsidRPr="00904FCB">
        <w:rPr>
          <w:rFonts w:hint="cs"/>
          <w:sz w:val="27"/>
          <w:rtl/>
          <w:lang w:bidi="ar-AE"/>
        </w:rPr>
        <w:t>ّ</w:t>
      </w:r>
      <w:r w:rsidR="00BF56C8" w:rsidRPr="00904FCB">
        <w:rPr>
          <w:rFonts w:hint="cs"/>
          <w:sz w:val="27"/>
          <w:rtl/>
          <w:lang w:bidi="ar-AE"/>
        </w:rPr>
        <w:t>ار</w:t>
      </w:r>
      <w:r w:rsidRPr="00904FCB">
        <w:rPr>
          <w:rFonts w:hint="cs"/>
          <w:sz w:val="27"/>
          <w:rtl/>
          <w:lang w:bidi="ar-AE"/>
        </w:rPr>
        <w:t>ٍ</w:t>
      </w:r>
      <w:r w:rsidR="00BF56C8" w:rsidRPr="00904FCB">
        <w:rPr>
          <w:rFonts w:hint="cs"/>
          <w:sz w:val="27"/>
          <w:rtl/>
          <w:lang w:bidi="ar-AE"/>
        </w:rPr>
        <w:t xml:space="preserve"> ظهر في مكة بعد نزول القرآن، حيث وجد المشركون أن القرآن يجتذب الناس إلى سماعه، وكان هناك رجل</w:t>
      </w:r>
      <w:r w:rsidRPr="00904FCB">
        <w:rPr>
          <w:rFonts w:hint="cs"/>
          <w:sz w:val="27"/>
          <w:rtl/>
          <w:lang w:bidi="ar-AE"/>
        </w:rPr>
        <w:t>ٌ</w:t>
      </w:r>
      <w:r w:rsidR="00BF56C8" w:rsidRPr="00904FCB">
        <w:rPr>
          <w:rFonts w:hint="cs"/>
          <w:sz w:val="27"/>
          <w:rtl/>
          <w:lang w:bidi="ar-AE"/>
        </w:rPr>
        <w:t xml:space="preserve"> يُدعى النضر بن الحارث ـ وكان من الطبقة التي يصطلح عليها في العصر الراهن بطبقة المثق</w:t>
      </w:r>
      <w:r w:rsidRPr="00904FCB">
        <w:rPr>
          <w:rFonts w:hint="cs"/>
          <w:sz w:val="27"/>
          <w:rtl/>
          <w:lang w:bidi="ar-AE"/>
        </w:rPr>
        <w:t>َّ</w:t>
      </w:r>
      <w:r w:rsidR="00BF56C8" w:rsidRPr="00904FCB">
        <w:rPr>
          <w:rFonts w:hint="cs"/>
          <w:sz w:val="27"/>
          <w:rtl/>
          <w:lang w:bidi="ar-AE"/>
        </w:rPr>
        <w:t>فين في مك</w:t>
      </w:r>
      <w:r w:rsidRPr="00904FCB">
        <w:rPr>
          <w:rFonts w:hint="cs"/>
          <w:sz w:val="27"/>
          <w:rtl/>
          <w:lang w:bidi="ar-AE"/>
        </w:rPr>
        <w:t>ّ</w:t>
      </w:r>
      <w:r w:rsidR="00BF56C8" w:rsidRPr="00904FCB">
        <w:rPr>
          <w:rFonts w:hint="cs"/>
          <w:sz w:val="27"/>
          <w:rtl/>
          <w:lang w:bidi="ar-AE"/>
        </w:rPr>
        <w:t>ة، وكانت له أسفار</w:t>
      </w:r>
      <w:r w:rsidRPr="00904FCB">
        <w:rPr>
          <w:rFonts w:hint="cs"/>
          <w:sz w:val="27"/>
          <w:rtl/>
          <w:lang w:bidi="ar-AE"/>
        </w:rPr>
        <w:t>ٌ</w:t>
      </w:r>
      <w:r w:rsidR="00BF56C8" w:rsidRPr="00904FCB">
        <w:rPr>
          <w:rFonts w:hint="cs"/>
          <w:sz w:val="27"/>
          <w:rtl/>
          <w:lang w:bidi="ar-AE"/>
        </w:rPr>
        <w:t xml:space="preserve"> إلى إيران وروما ـ قال: إن محمّداً قد خدع الناس بهذه القصص التي جاء بها، وأضاف النضر: إن بإمكانه أن يأتي بمثل هذه القصص. وحيث كان على معرفة باللغة الفارسية فقد شدّ الرحال إلى إيران</w:t>
      </w:r>
      <w:r w:rsidRPr="00904FCB">
        <w:rPr>
          <w:rFonts w:hint="cs"/>
          <w:sz w:val="27"/>
          <w:rtl/>
          <w:lang w:bidi="ar-AE"/>
        </w:rPr>
        <w:t>،</w:t>
      </w:r>
      <w:r w:rsidR="00BF56C8" w:rsidRPr="00904FCB">
        <w:rPr>
          <w:rFonts w:hint="cs"/>
          <w:sz w:val="27"/>
          <w:rtl/>
          <w:lang w:bidi="ar-AE"/>
        </w:rPr>
        <w:t xml:space="preserve"> واقتنى مجموعة من تلك الكتب التي تشك</w:t>
      </w:r>
      <w:r w:rsidRPr="00904FCB">
        <w:rPr>
          <w:rFonts w:hint="cs"/>
          <w:sz w:val="27"/>
          <w:rtl/>
          <w:lang w:bidi="ar-AE"/>
        </w:rPr>
        <w:t>ِّ</w:t>
      </w:r>
      <w:r w:rsidR="00BF56C8" w:rsidRPr="00904FCB">
        <w:rPr>
          <w:rFonts w:hint="cs"/>
          <w:sz w:val="27"/>
          <w:rtl/>
          <w:lang w:bidi="ar-AE"/>
        </w:rPr>
        <w:t>ل مصدراً لكتب اللاهوت وأخبار الملوك والملاحم الفارسية، من قبيل</w:t>
      </w:r>
      <w:r w:rsidRPr="00904FCB">
        <w:rPr>
          <w:rFonts w:hint="cs"/>
          <w:sz w:val="27"/>
          <w:rtl/>
          <w:lang w:bidi="ar-AE"/>
        </w:rPr>
        <w:t>:</w:t>
      </w:r>
      <w:r w:rsidR="00BF56C8" w:rsidRPr="00904FCB">
        <w:rPr>
          <w:rFonts w:hint="cs"/>
          <w:sz w:val="27"/>
          <w:rtl/>
          <w:lang w:bidi="ar-AE"/>
        </w:rPr>
        <w:t xml:space="preserve"> قصّة رستم وإسفنديار وما إلى ذلك</w:t>
      </w:r>
      <w:r w:rsidRPr="00904FCB">
        <w:rPr>
          <w:rFonts w:hint="cs"/>
          <w:sz w:val="27"/>
          <w:rtl/>
          <w:lang w:bidi="ar-AE"/>
        </w:rPr>
        <w:t>،</w:t>
      </w:r>
      <w:r w:rsidR="00BF56C8" w:rsidRPr="00904FCB">
        <w:rPr>
          <w:rFonts w:hint="cs"/>
          <w:sz w:val="27"/>
          <w:rtl/>
          <w:lang w:bidi="ar-AE"/>
        </w:rPr>
        <w:t xml:space="preserve"> ثمّ عاد بها إلى مك</w:t>
      </w:r>
      <w:r w:rsidRPr="00904FCB">
        <w:rPr>
          <w:rFonts w:hint="cs"/>
          <w:sz w:val="27"/>
          <w:rtl/>
          <w:lang w:bidi="ar-AE"/>
        </w:rPr>
        <w:t>ّ</w:t>
      </w:r>
      <w:r w:rsidR="00BF56C8" w:rsidRPr="00904FCB">
        <w:rPr>
          <w:rFonts w:hint="cs"/>
          <w:sz w:val="27"/>
          <w:rtl/>
          <w:lang w:bidi="ar-AE"/>
        </w:rPr>
        <w:t>ة</w:t>
      </w:r>
      <w:r w:rsidRPr="00904FCB">
        <w:rPr>
          <w:rFonts w:hint="cs"/>
          <w:sz w:val="27"/>
          <w:rtl/>
          <w:lang w:bidi="ar-AE"/>
        </w:rPr>
        <w:t>،</w:t>
      </w:r>
      <w:r w:rsidR="00BF56C8" w:rsidRPr="00904FCB">
        <w:rPr>
          <w:rFonts w:hint="cs"/>
          <w:sz w:val="27"/>
          <w:rtl/>
          <w:lang w:bidi="ar-AE"/>
        </w:rPr>
        <w:t xml:space="preserve"> وأخذ يلقيها على مسامع الناس</w:t>
      </w:r>
      <w:r w:rsidRPr="00904FCB">
        <w:rPr>
          <w:rFonts w:hint="cs"/>
          <w:sz w:val="27"/>
          <w:rtl/>
          <w:lang w:bidi="ar-AE"/>
        </w:rPr>
        <w:t>،</w:t>
      </w:r>
      <w:r w:rsidR="00BF56C8" w:rsidRPr="00904FCB">
        <w:rPr>
          <w:rFonts w:hint="cs"/>
          <w:sz w:val="27"/>
          <w:rtl/>
          <w:lang w:bidi="ar-AE"/>
        </w:rPr>
        <w:t xml:space="preserve"> وتحلّق حوله عدد</w:t>
      </w:r>
      <w:r w:rsidRPr="00904FCB">
        <w:rPr>
          <w:rFonts w:hint="cs"/>
          <w:sz w:val="27"/>
          <w:rtl/>
          <w:lang w:bidi="ar-AE"/>
        </w:rPr>
        <w:t>ٌ</w:t>
      </w:r>
      <w:r w:rsidR="00BF56C8" w:rsidRPr="00904FCB">
        <w:rPr>
          <w:rFonts w:hint="cs"/>
          <w:sz w:val="27"/>
          <w:rtl/>
          <w:lang w:bidi="ar-AE"/>
        </w:rPr>
        <w:t xml:space="preserve"> منهم، فنزل القرآن بهذه الآية</w:t>
      </w:r>
      <w:r w:rsidRPr="00904FCB">
        <w:rPr>
          <w:rFonts w:hint="cs"/>
          <w:sz w:val="27"/>
          <w:rtl/>
          <w:lang w:bidi="ar-AE"/>
        </w:rPr>
        <w:t>؛</w:t>
      </w:r>
      <w:r w:rsidR="00BF56C8" w:rsidRPr="00904FCB">
        <w:rPr>
          <w:rFonts w:hint="cs"/>
          <w:sz w:val="27"/>
          <w:rtl/>
          <w:lang w:bidi="ar-AE"/>
        </w:rPr>
        <w:t xml:space="preserve"> لبيان أن هناك من الناس م</w:t>
      </w:r>
      <w:r w:rsidRPr="00904FCB">
        <w:rPr>
          <w:rFonts w:hint="cs"/>
          <w:sz w:val="27"/>
          <w:rtl/>
          <w:lang w:bidi="ar-AE"/>
        </w:rPr>
        <w:t>َ</w:t>
      </w:r>
      <w:r w:rsidR="00BF56C8" w:rsidRPr="00904FCB">
        <w:rPr>
          <w:rFonts w:hint="cs"/>
          <w:sz w:val="27"/>
          <w:rtl/>
          <w:lang w:bidi="ar-AE"/>
        </w:rPr>
        <w:t>ن</w:t>
      </w:r>
      <w:r w:rsidRPr="00904FCB">
        <w:rPr>
          <w:rFonts w:hint="cs"/>
          <w:sz w:val="27"/>
          <w:rtl/>
          <w:lang w:bidi="ar-AE"/>
        </w:rPr>
        <w:t>ْ</w:t>
      </w:r>
      <w:r w:rsidR="00BF56C8" w:rsidRPr="00904FCB">
        <w:rPr>
          <w:rFonts w:hint="cs"/>
          <w:sz w:val="27"/>
          <w:rtl/>
          <w:lang w:bidi="ar-AE"/>
        </w:rPr>
        <w:t xml:space="preserve"> يشتري من الكلام ما لا نفع فيه غير إلهاء الناس عن ذكر الله. </w:t>
      </w:r>
    </w:p>
    <w:p w:rsidR="00BF56C8" w:rsidRPr="00904FCB" w:rsidRDefault="00BF56C8" w:rsidP="00E626D2">
      <w:pPr>
        <w:rPr>
          <w:sz w:val="27"/>
          <w:rtl/>
          <w:lang w:bidi="ar-AE"/>
        </w:rPr>
      </w:pPr>
      <w:r w:rsidRPr="00904FCB">
        <w:rPr>
          <w:rFonts w:hint="cs"/>
          <w:sz w:val="27"/>
          <w:rtl/>
          <w:lang w:bidi="ar-AE"/>
        </w:rPr>
        <w:t>فإذا أ</w:t>
      </w:r>
      <w:r w:rsidR="00BB5CE4" w:rsidRPr="00904FCB">
        <w:rPr>
          <w:rFonts w:hint="cs"/>
          <w:sz w:val="27"/>
          <w:rtl/>
          <w:lang w:bidi="ar-AE"/>
        </w:rPr>
        <w:t>ُ</w:t>
      </w:r>
      <w:r w:rsidRPr="00904FCB">
        <w:rPr>
          <w:rFonts w:hint="cs"/>
          <w:sz w:val="27"/>
          <w:rtl/>
          <w:lang w:bidi="ar-AE"/>
        </w:rPr>
        <w:t>ضيف إلى اللهو ما يترت</w:t>
      </w:r>
      <w:r w:rsidR="00BB5CE4" w:rsidRPr="00904FCB">
        <w:rPr>
          <w:rFonts w:hint="cs"/>
          <w:sz w:val="27"/>
          <w:rtl/>
          <w:lang w:bidi="ar-AE"/>
        </w:rPr>
        <w:t>َّ</w:t>
      </w:r>
      <w:r w:rsidRPr="00904FCB">
        <w:rPr>
          <w:rFonts w:hint="cs"/>
          <w:sz w:val="27"/>
          <w:rtl/>
          <w:lang w:bidi="ar-AE"/>
        </w:rPr>
        <w:t xml:space="preserve">ب عليه من الإضرار زاد ذلك </w:t>
      </w:r>
      <w:r w:rsidR="00BB5CE4" w:rsidRPr="00904FCB">
        <w:rPr>
          <w:rFonts w:hint="cs"/>
          <w:sz w:val="27"/>
          <w:rtl/>
          <w:lang w:bidi="ar-AE"/>
        </w:rPr>
        <w:t>في</w:t>
      </w:r>
      <w:r w:rsidRPr="00904FCB">
        <w:rPr>
          <w:rFonts w:hint="cs"/>
          <w:sz w:val="27"/>
          <w:rtl/>
          <w:lang w:bidi="ar-AE"/>
        </w:rPr>
        <w:t xml:space="preserve"> الطين ب</w:t>
      </w:r>
      <w:r w:rsidR="00BB5CE4" w:rsidRPr="00904FCB">
        <w:rPr>
          <w:rFonts w:hint="cs"/>
          <w:sz w:val="27"/>
          <w:rtl/>
          <w:lang w:bidi="ar-AE"/>
        </w:rPr>
        <w:t>ِ</w:t>
      </w:r>
      <w:r w:rsidRPr="00904FCB">
        <w:rPr>
          <w:rFonts w:hint="cs"/>
          <w:sz w:val="27"/>
          <w:rtl/>
          <w:lang w:bidi="ar-AE"/>
        </w:rPr>
        <w:t>لّ</w:t>
      </w:r>
      <w:r w:rsidR="00BB5CE4" w:rsidRPr="00904FCB">
        <w:rPr>
          <w:rFonts w:hint="cs"/>
          <w:sz w:val="27"/>
          <w:rtl/>
          <w:lang w:bidi="ar-AE"/>
        </w:rPr>
        <w:t>َ</w:t>
      </w:r>
      <w:r w:rsidRPr="00904FCB">
        <w:rPr>
          <w:rFonts w:hint="cs"/>
          <w:sz w:val="27"/>
          <w:rtl/>
          <w:lang w:bidi="ar-AE"/>
        </w:rPr>
        <w:t>ة</w:t>
      </w:r>
      <w:r w:rsidR="00BB5CE4" w:rsidRPr="00904FCB">
        <w:rPr>
          <w:rFonts w:hint="cs"/>
          <w:sz w:val="27"/>
          <w:rtl/>
          <w:lang w:bidi="ar-AE"/>
        </w:rPr>
        <w:t>ً</w:t>
      </w:r>
      <w:r w:rsidRPr="00904FCB">
        <w:rPr>
          <w:rFonts w:hint="cs"/>
          <w:sz w:val="27"/>
          <w:rtl/>
          <w:lang w:bidi="ar-AE"/>
        </w:rPr>
        <w:t>. وإن الموسيقى إنما كانت في نظر الإسلام لهواً؛ لأنها لا تشتمل على غير الإلهاء</w:t>
      </w:r>
      <w:r w:rsidRPr="00904FCB">
        <w:rPr>
          <w:sz w:val="27"/>
          <w:vertAlign w:val="superscript"/>
          <w:rtl/>
          <w:lang w:bidi="ar-AE"/>
        </w:rPr>
        <w:t>(</w:t>
      </w:r>
      <w:r w:rsidRPr="00904FCB">
        <w:rPr>
          <w:rStyle w:val="ac"/>
          <w:sz w:val="27"/>
          <w:rtl/>
          <w:lang w:bidi="ar-AE"/>
        </w:rPr>
        <w:endnoteReference w:id="76"/>
      </w:r>
      <w:r w:rsidRPr="00904FCB">
        <w:rPr>
          <w:sz w:val="27"/>
          <w:vertAlign w:val="superscript"/>
          <w:rtl/>
          <w:lang w:bidi="ar-AE"/>
        </w:rPr>
        <w:t>)</w:t>
      </w:r>
      <w:r w:rsidRPr="00904FCB">
        <w:rPr>
          <w:rFonts w:hint="cs"/>
          <w:sz w:val="27"/>
          <w:rtl/>
          <w:lang w:bidi="ar-AE"/>
        </w:rPr>
        <w:t xml:space="preserve">. </w:t>
      </w:r>
    </w:p>
    <w:p w:rsidR="00BF56C8" w:rsidRPr="00904FCB" w:rsidRDefault="00BF56C8" w:rsidP="00E626D2">
      <w:pPr>
        <w:rPr>
          <w:sz w:val="27"/>
          <w:rtl/>
          <w:lang w:bidi="ar-AE"/>
        </w:rPr>
      </w:pPr>
      <w:r w:rsidRPr="00904FCB">
        <w:rPr>
          <w:rFonts w:hint="cs"/>
          <w:sz w:val="27"/>
          <w:rtl/>
          <w:lang w:bidi="ar-AE"/>
        </w:rPr>
        <w:t>وعليه فإن القرآن الكريم يقول: إن هؤلاء إنما يشترون قصص اللهو التي تحول دون توجيه الناس إلى التقرّ</w:t>
      </w:r>
      <w:r w:rsidR="00BB5CE4" w:rsidRPr="00904FCB">
        <w:rPr>
          <w:rFonts w:hint="cs"/>
          <w:sz w:val="27"/>
          <w:rtl/>
          <w:lang w:bidi="ar-AE"/>
        </w:rPr>
        <w:t>ُ</w:t>
      </w:r>
      <w:r w:rsidRPr="00904FCB">
        <w:rPr>
          <w:rFonts w:hint="cs"/>
          <w:sz w:val="27"/>
          <w:rtl/>
          <w:lang w:bidi="ar-AE"/>
        </w:rPr>
        <w:t>ب من الله، على العكس من كلمات القرآن التي لا تحتوي على غير ما يقرّ</w:t>
      </w:r>
      <w:r w:rsidR="00BB5CE4" w:rsidRPr="00904FCB">
        <w:rPr>
          <w:rFonts w:hint="cs"/>
          <w:sz w:val="27"/>
          <w:rtl/>
          <w:lang w:bidi="ar-AE"/>
        </w:rPr>
        <w:t>ِ</w:t>
      </w:r>
      <w:r w:rsidRPr="00904FCB">
        <w:rPr>
          <w:rFonts w:hint="cs"/>
          <w:sz w:val="27"/>
          <w:rtl/>
          <w:lang w:bidi="ar-AE"/>
        </w:rPr>
        <w:t xml:space="preserve">ب الناس من الله. </w:t>
      </w:r>
    </w:p>
    <w:p w:rsidR="00BF56C8" w:rsidRPr="00904FCB" w:rsidRDefault="00BF56C8" w:rsidP="00E626D2">
      <w:pPr>
        <w:rPr>
          <w:sz w:val="27"/>
          <w:rtl/>
          <w:lang w:bidi="ar-AE"/>
        </w:rPr>
      </w:pPr>
      <w:r w:rsidRPr="00904FCB">
        <w:rPr>
          <w:rFonts w:hint="cs"/>
          <w:sz w:val="27"/>
          <w:rtl/>
          <w:lang w:bidi="ar-AE"/>
        </w:rPr>
        <w:t>وعليه قيل في تقريب الاستدلال بهذه الآية: إنها تتحدث عن كتب الضلال، وإن</w:t>
      </w:r>
      <w:r w:rsidR="00BB5CE4" w:rsidRPr="00904FCB">
        <w:rPr>
          <w:rFonts w:hint="cs"/>
          <w:sz w:val="27"/>
          <w:rtl/>
          <w:lang w:bidi="ar-AE"/>
        </w:rPr>
        <w:t>ّ</w:t>
      </w:r>
      <w:r w:rsidRPr="00904FCB">
        <w:rPr>
          <w:rFonts w:hint="cs"/>
          <w:sz w:val="27"/>
          <w:rtl/>
          <w:lang w:bidi="ar-AE"/>
        </w:rPr>
        <w:t xml:space="preserve"> القرآن قد حرّ</w:t>
      </w:r>
      <w:r w:rsidR="00BB5CE4" w:rsidRPr="00904FCB">
        <w:rPr>
          <w:rFonts w:hint="cs"/>
          <w:sz w:val="27"/>
          <w:rtl/>
          <w:lang w:bidi="ar-AE"/>
        </w:rPr>
        <w:t>َ</w:t>
      </w:r>
      <w:r w:rsidRPr="00904FCB">
        <w:rPr>
          <w:rFonts w:hint="cs"/>
          <w:sz w:val="27"/>
          <w:rtl/>
          <w:lang w:bidi="ar-AE"/>
        </w:rPr>
        <w:t xml:space="preserve">م فيها شراء كتب الضلال. </w:t>
      </w:r>
    </w:p>
    <w:p w:rsidR="00BF56C8" w:rsidRPr="00904FCB" w:rsidRDefault="00BF56C8" w:rsidP="00E626D2">
      <w:pPr>
        <w:spacing w:line="380" w:lineRule="exact"/>
        <w:rPr>
          <w:sz w:val="27"/>
          <w:rtl/>
          <w:lang w:bidi="ar-AE"/>
        </w:rPr>
      </w:pPr>
      <w:r w:rsidRPr="00904FCB">
        <w:rPr>
          <w:rFonts w:hint="cs"/>
          <w:sz w:val="27"/>
          <w:rtl/>
          <w:lang w:bidi="ar-AE"/>
        </w:rPr>
        <w:t>وقد أجاب الفقهاء عن هذه الآية بالقول: إننا لا نستطيع أن نستفيد من هذه الآية حرمة حفظ كتب الضلال</w:t>
      </w:r>
      <w:r w:rsidR="005E4987" w:rsidRPr="00904FCB">
        <w:rPr>
          <w:rFonts w:hint="cs"/>
          <w:sz w:val="27"/>
          <w:rtl/>
          <w:lang w:bidi="ar-AE"/>
        </w:rPr>
        <w:t>؛</w:t>
      </w:r>
      <w:r w:rsidRPr="00904FCB">
        <w:rPr>
          <w:rFonts w:hint="cs"/>
          <w:sz w:val="27"/>
          <w:rtl/>
          <w:lang w:bidi="ar-AE"/>
        </w:rPr>
        <w:t xml:space="preserve"> فإن هذه الآية إنما هي في وارد انتقاد عمل</w:t>
      </w:r>
      <w:r w:rsidR="005E4987" w:rsidRPr="00904FCB">
        <w:rPr>
          <w:rFonts w:hint="cs"/>
          <w:sz w:val="27"/>
          <w:rtl/>
          <w:lang w:bidi="ar-AE"/>
        </w:rPr>
        <w:t>ٍ</w:t>
      </w:r>
      <w:r w:rsidRPr="00904FCB">
        <w:rPr>
          <w:rFonts w:hint="cs"/>
          <w:sz w:val="27"/>
          <w:rtl/>
          <w:lang w:bidi="ar-AE"/>
        </w:rPr>
        <w:t xml:space="preserve"> معيّن</w:t>
      </w:r>
      <w:r w:rsidR="005E4987" w:rsidRPr="00904FCB">
        <w:rPr>
          <w:rFonts w:hint="cs"/>
          <w:sz w:val="27"/>
          <w:rtl/>
          <w:lang w:bidi="ar-AE"/>
        </w:rPr>
        <w:t>، وهو</w:t>
      </w:r>
      <w:r w:rsidRPr="00904FCB">
        <w:rPr>
          <w:rFonts w:hint="cs"/>
          <w:sz w:val="27"/>
          <w:rtl/>
          <w:lang w:bidi="ar-AE"/>
        </w:rPr>
        <w:t xml:space="preserve"> </w:t>
      </w:r>
      <w:r w:rsidR="005E4987" w:rsidRPr="00904FCB">
        <w:rPr>
          <w:rFonts w:hint="cs"/>
          <w:sz w:val="27"/>
          <w:rtl/>
          <w:lang w:bidi="ar-AE"/>
        </w:rPr>
        <w:t>اقتناء</w:t>
      </w:r>
      <w:r w:rsidRPr="00904FCB">
        <w:rPr>
          <w:rFonts w:hint="cs"/>
          <w:sz w:val="27"/>
          <w:rtl/>
          <w:lang w:bidi="ar-AE"/>
        </w:rPr>
        <w:t xml:space="preserve"> هذا النوع من الكتب</w:t>
      </w:r>
      <w:r w:rsidR="005E4987" w:rsidRPr="00904FCB">
        <w:rPr>
          <w:rFonts w:hint="cs"/>
          <w:sz w:val="27"/>
          <w:rtl/>
          <w:lang w:bidi="ar-AE"/>
        </w:rPr>
        <w:t>؛</w:t>
      </w:r>
      <w:r w:rsidRPr="00904FCB">
        <w:rPr>
          <w:rFonts w:hint="cs"/>
          <w:sz w:val="27"/>
          <w:rtl/>
          <w:lang w:bidi="ar-AE"/>
        </w:rPr>
        <w:t xml:space="preserve"> بغية إلهاء الناس وصدّ</w:t>
      </w:r>
      <w:r w:rsidR="005E4987" w:rsidRPr="00904FCB">
        <w:rPr>
          <w:rFonts w:hint="cs"/>
          <w:sz w:val="27"/>
          <w:rtl/>
          <w:lang w:bidi="ar-AE"/>
        </w:rPr>
        <w:t>ِ</w:t>
      </w:r>
      <w:r w:rsidRPr="00904FCB">
        <w:rPr>
          <w:rFonts w:hint="cs"/>
          <w:sz w:val="27"/>
          <w:rtl/>
          <w:lang w:bidi="ar-AE"/>
        </w:rPr>
        <w:t>هم عن ذكر الله. ولا ش</w:t>
      </w:r>
      <w:r w:rsidR="005E4987" w:rsidRPr="00904FCB">
        <w:rPr>
          <w:rFonts w:hint="cs"/>
          <w:sz w:val="27"/>
          <w:rtl/>
          <w:lang w:bidi="ar-AE"/>
        </w:rPr>
        <w:t>َ</w:t>
      </w:r>
      <w:r w:rsidRPr="00904FCB">
        <w:rPr>
          <w:rFonts w:hint="cs"/>
          <w:sz w:val="27"/>
          <w:rtl/>
          <w:lang w:bidi="ar-AE"/>
        </w:rPr>
        <w:t>ك</w:t>
      </w:r>
      <w:r w:rsidR="005E4987" w:rsidRPr="00904FCB">
        <w:rPr>
          <w:rFonts w:hint="cs"/>
          <w:sz w:val="27"/>
          <w:rtl/>
          <w:lang w:bidi="ar-AE"/>
        </w:rPr>
        <w:t>َّ</w:t>
      </w:r>
      <w:r w:rsidRPr="00904FCB">
        <w:rPr>
          <w:rFonts w:hint="cs"/>
          <w:sz w:val="27"/>
          <w:rtl/>
          <w:lang w:bidi="ar-AE"/>
        </w:rPr>
        <w:t xml:space="preserve"> في حرمة العمل الذي يُل</w:t>
      </w:r>
      <w:r w:rsidR="005E4987" w:rsidRPr="00904FCB">
        <w:rPr>
          <w:rFonts w:hint="cs"/>
          <w:sz w:val="27"/>
          <w:rtl/>
          <w:lang w:bidi="ar-AE"/>
        </w:rPr>
        <w:t>ْ</w:t>
      </w:r>
      <w:r w:rsidRPr="00904FCB">
        <w:rPr>
          <w:rFonts w:hint="cs"/>
          <w:sz w:val="27"/>
          <w:rtl/>
          <w:lang w:bidi="ar-AE"/>
        </w:rPr>
        <w:t>هي الناس عن ذكر الله</w:t>
      </w:r>
      <w:r w:rsidR="005E4987" w:rsidRPr="00904FCB">
        <w:rPr>
          <w:rFonts w:hint="cs"/>
          <w:sz w:val="27"/>
          <w:rtl/>
          <w:lang w:bidi="ar-AE"/>
        </w:rPr>
        <w:t>،</w:t>
      </w:r>
      <w:r w:rsidRPr="00904FCB">
        <w:rPr>
          <w:rFonts w:hint="cs"/>
          <w:sz w:val="27"/>
          <w:rtl/>
          <w:lang w:bidi="ar-AE"/>
        </w:rPr>
        <w:t xml:space="preserve"> حت</w:t>
      </w:r>
      <w:r w:rsidR="005E4987" w:rsidRPr="00904FCB">
        <w:rPr>
          <w:rFonts w:hint="cs"/>
          <w:sz w:val="27"/>
          <w:rtl/>
          <w:lang w:bidi="ar-AE"/>
        </w:rPr>
        <w:t>ّ</w:t>
      </w:r>
      <w:r w:rsidRPr="00904FCB">
        <w:rPr>
          <w:rFonts w:hint="cs"/>
          <w:sz w:val="27"/>
          <w:rtl/>
          <w:lang w:bidi="ar-AE"/>
        </w:rPr>
        <w:t>ى إذا كان من خلال الكتب التي لا تعتبر من كتب الضلال، بل كانت من كتب الهداية. وعليه فإن القرآن إن</w:t>
      </w:r>
      <w:r w:rsidR="005E4987" w:rsidRPr="00904FCB">
        <w:rPr>
          <w:rFonts w:hint="cs"/>
          <w:sz w:val="27"/>
          <w:rtl/>
          <w:lang w:bidi="ar-AE"/>
        </w:rPr>
        <w:t>ّ</w:t>
      </w:r>
      <w:r w:rsidRPr="00904FCB">
        <w:rPr>
          <w:rFonts w:hint="cs"/>
          <w:sz w:val="27"/>
          <w:rtl/>
          <w:lang w:bidi="ar-AE"/>
        </w:rPr>
        <w:t>ما ينهى في هذه الآية عن نوع</w:t>
      </w:r>
      <w:r w:rsidR="005E4987" w:rsidRPr="00904FCB">
        <w:rPr>
          <w:rFonts w:hint="cs"/>
          <w:sz w:val="27"/>
          <w:rtl/>
          <w:lang w:bidi="ar-AE"/>
        </w:rPr>
        <w:t>ٍ</w:t>
      </w:r>
      <w:r w:rsidRPr="00904FCB">
        <w:rPr>
          <w:rFonts w:hint="cs"/>
          <w:sz w:val="27"/>
          <w:rtl/>
          <w:lang w:bidi="ar-AE"/>
        </w:rPr>
        <w:t xml:space="preserve"> من العمل ينطوي على إلهاء الناس وحرفهم عن سبيل الله والتقرّب منه. ولا ش</w:t>
      </w:r>
      <w:r w:rsidR="005E4987" w:rsidRPr="00904FCB">
        <w:rPr>
          <w:rFonts w:hint="cs"/>
          <w:sz w:val="27"/>
          <w:rtl/>
          <w:lang w:bidi="ar-AE"/>
        </w:rPr>
        <w:t>َ</w:t>
      </w:r>
      <w:r w:rsidRPr="00904FCB">
        <w:rPr>
          <w:rFonts w:hint="cs"/>
          <w:sz w:val="27"/>
          <w:rtl/>
          <w:lang w:bidi="ar-AE"/>
        </w:rPr>
        <w:t>ك</w:t>
      </w:r>
      <w:r w:rsidR="005E4987" w:rsidRPr="00904FCB">
        <w:rPr>
          <w:rFonts w:hint="cs"/>
          <w:sz w:val="27"/>
          <w:rtl/>
          <w:lang w:bidi="ar-AE"/>
        </w:rPr>
        <w:t>َّ</w:t>
      </w:r>
      <w:r w:rsidRPr="00904FCB">
        <w:rPr>
          <w:rFonts w:hint="cs"/>
          <w:sz w:val="27"/>
          <w:rtl/>
          <w:lang w:bidi="ar-AE"/>
        </w:rPr>
        <w:t xml:space="preserve"> في حرمة هذا العمل</w:t>
      </w:r>
      <w:r w:rsidR="005E4987" w:rsidRPr="00904FCB">
        <w:rPr>
          <w:rFonts w:hint="cs"/>
          <w:sz w:val="27"/>
          <w:rtl/>
          <w:lang w:bidi="ar-AE"/>
        </w:rPr>
        <w:t>،</w:t>
      </w:r>
      <w:r w:rsidRPr="00904FCB">
        <w:rPr>
          <w:rFonts w:hint="cs"/>
          <w:sz w:val="27"/>
          <w:rtl/>
          <w:lang w:bidi="ar-AE"/>
        </w:rPr>
        <w:t xml:space="preserve"> سواء أكان من خلال لهو الحديث أ</w:t>
      </w:r>
      <w:r w:rsidR="005E4987" w:rsidRPr="00904FCB">
        <w:rPr>
          <w:rFonts w:hint="cs"/>
          <w:sz w:val="27"/>
          <w:rtl/>
          <w:lang w:bidi="ar-AE"/>
        </w:rPr>
        <w:t>م</w:t>
      </w:r>
      <w:r w:rsidRPr="00904FCB">
        <w:rPr>
          <w:rFonts w:hint="cs"/>
          <w:sz w:val="27"/>
          <w:rtl/>
          <w:lang w:bidi="ar-AE"/>
        </w:rPr>
        <w:t xml:space="preserve"> غير</w:t>
      </w:r>
      <w:r w:rsidR="005E4987" w:rsidRPr="00904FCB">
        <w:rPr>
          <w:rFonts w:hint="cs"/>
          <w:sz w:val="27"/>
          <w:rtl/>
          <w:lang w:bidi="ar-AE"/>
        </w:rPr>
        <w:t>ه</w:t>
      </w:r>
      <w:r w:rsidRPr="00904FCB">
        <w:rPr>
          <w:rFonts w:hint="cs"/>
          <w:sz w:val="27"/>
          <w:rtl/>
          <w:lang w:bidi="ar-AE"/>
        </w:rPr>
        <w:t xml:space="preserve">. </w:t>
      </w:r>
    </w:p>
    <w:p w:rsidR="00BF56C8" w:rsidRPr="00904FCB" w:rsidRDefault="00BF56C8" w:rsidP="00E626D2">
      <w:pPr>
        <w:spacing w:line="380" w:lineRule="exact"/>
        <w:rPr>
          <w:sz w:val="27"/>
          <w:rtl/>
          <w:lang w:bidi="ar-AE"/>
        </w:rPr>
      </w:pPr>
      <w:r w:rsidRPr="00904FCB">
        <w:rPr>
          <w:rFonts w:hint="cs"/>
          <w:sz w:val="27"/>
          <w:rtl/>
          <w:lang w:bidi="ar-AE"/>
        </w:rPr>
        <w:t>هاتان آيتان تمّ الاستناد إليهما</w:t>
      </w:r>
      <w:r w:rsidR="005E4987" w:rsidRPr="00904FCB">
        <w:rPr>
          <w:rFonts w:hint="cs"/>
          <w:sz w:val="27"/>
          <w:rtl/>
          <w:lang w:bidi="ar-AE"/>
        </w:rPr>
        <w:t>.</w:t>
      </w:r>
      <w:r w:rsidRPr="00904FCB">
        <w:rPr>
          <w:rFonts w:hint="cs"/>
          <w:sz w:val="27"/>
          <w:rtl/>
          <w:lang w:bidi="ar-AE"/>
        </w:rPr>
        <w:t xml:space="preserve"> وقد اكتفيت</w:t>
      </w:r>
      <w:r w:rsidR="005E4987" w:rsidRPr="00904FCB">
        <w:rPr>
          <w:rFonts w:hint="cs"/>
          <w:sz w:val="27"/>
          <w:rtl/>
          <w:lang w:bidi="ar-AE"/>
        </w:rPr>
        <w:t>ُ</w:t>
      </w:r>
      <w:r w:rsidRPr="00904FCB">
        <w:rPr>
          <w:rFonts w:hint="cs"/>
          <w:sz w:val="27"/>
          <w:rtl/>
          <w:lang w:bidi="ar-AE"/>
        </w:rPr>
        <w:t xml:space="preserve"> بمجرّ</w:t>
      </w:r>
      <w:r w:rsidR="005E4987" w:rsidRPr="00904FCB">
        <w:rPr>
          <w:rFonts w:hint="cs"/>
          <w:sz w:val="27"/>
          <w:rtl/>
          <w:lang w:bidi="ar-AE"/>
        </w:rPr>
        <w:t>َ</w:t>
      </w:r>
      <w:r w:rsidRPr="00904FCB">
        <w:rPr>
          <w:rFonts w:hint="cs"/>
          <w:sz w:val="27"/>
          <w:rtl/>
          <w:lang w:bidi="ar-AE"/>
        </w:rPr>
        <w:t>د نقلهما</w:t>
      </w:r>
      <w:r w:rsidR="005E4987" w:rsidRPr="00904FCB">
        <w:rPr>
          <w:rFonts w:hint="cs"/>
          <w:sz w:val="27"/>
          <w:rtl/>
          <w:lang w:bidi="ar-AE"/>
        </w:rPr>
        <w:t>.</w:t>
      </w:r>
      <w:r w:rsidRPr="00904FCB">
        <w:rPr>
          <w:rFonts w:hint="cs"/>
          <w:sz w:val="27"/>
          <w:rtl/>
          <w:lang w:bidi="ar-AE"/>
        </w:rPr>
        <w:t xml:space="preserve"> وقد ردّ الفقهاء دلالتهما على المدّ</w:t>
      </w:r>
      <w:r w:rsidR="005E4987" w:rsidRPr="00904FCB">
        <w:rPr>
          <w:rFonts w:hint="cs"/>
          <w:sz w:val="27"/>
          <w:rtl/>
          <w:lang w:bidi="ar-AE"/>
        </w:rPr>
        <w:t>َ</w:t>
      </w:r>
      <w:r w:rsidRPr="00904FCB">
        <w:rPr>
          <w:rFonts w:hint="cs"/>
          <w:sz w:val="27"/>
          <w:rtl/>
          <w:lang w:bidi="ar-AE"/>
        </w:rPr>
        <w:t xml:space="preserve">عى، وقالوا بعدم إمكان الاستدلال بهما على حرمة حفظ كتب الضلال. </w:t>
      </w:r>
    </w:p>
    <w:p w:rsidR="00BF56C8" w:rsidRPr="00904FCB" w:rsidRDefault="00BF56C8" w:rsidP="007A21AA">
      <w:pPr>
        <w:pStyle w:val="31"/>
        <w:spacing w:line="400" w:lineRule="exact"/>
        <w:rPr>
          <w:color w:val="auto"/>
          <w:rtl/>
          <w:lang w:bidi="ar-AE"/>
        </w:rPr>
      </w:pPr>
      <w:r w:rsidRPr="00904FCB">
        <w:rPr>
          <w:rFonts w:hint="cs"/>
          <w:color w:val="auto"/>
          <w:rtl/>
          <w:lang w:bidi="ar-AE"/>
        </w:rPr>
        <w:lastRenderedPageBreak/>
        <w:t>الروايات التي استدلّ بها على حرمة حفظ كتب الضلال</w:t>
      </w:r>
      <w:r w:rsidR="005E4987" w:rsidRPr="00904FCB">
        <w:rPr>
          <w:rFonts w:hint="cs"/>
          <w:color w:val="auto"/>
          <w:rtl/>
          <w:lang w:bidi="ar-AE"/>
        </w:rPr>
        <w:t>،</w:t>
      </w:r>
      <w:r w:rsidRPr="00904FCB">
        <w:rPr>
          <w:rFonts w:hint="cs"/>
          <w:color w:val="auto"/>
          <w:rtl/>
          <w:lang w:bidi="ar-AE"/>
        </w:rPr>
        <w:t xml:space="preserve"> ومناقشتها</w:t>
      </w:r>
    </w:p>
    <w:p w:rsidR="00BF56C8" w:rsidRPr="00904FCB" w:rsidRDefault="00BF56C8" w:rsidP="007A21AA">
      <w:pPr>
        <w:pStyle w:val="31"/>
        <w:spacing w:line="400" w:lineRule="exact"/>
        <w:rPr>
          <w:color w:val="auto"/>
          <w:rtl/>
          <w:lang w:bidi="ar-AE"/>
        </w:rPr>
      </w:pPr>
      <w:r w:rsidRPr="005A3484">
        <w:rPr>
          <w:rFonts w:hint="cs"/>
          <w:color w:val="auto"/>
          <w:rtl/>
          <w:lang w:bidi="ar-AE"/>
        </w:rPr>
        <w:t>1ـ قص</w:t>
      </w:r>
      <w:r w:rsidR="005E4987" w:rsidRPr="005A3484">
        <w:rPr>
          <w:rFonts w:hint="cs"/>
          <w:color w:val="auto"/>
          <w:rtl/>
          <w:lang w:bidi="ar-AE"/>
        </w:rPr>
        <w:t>ّ</w:t>
      </w:r>
      <w:r w:rsidRPr="005A3484">
        <w:rPr>
          <w:rFonts w:hint="cs"/>
          <w:color w:val="auto"/>
          <w:rtl/>
          <w:lang w:bidi="ar-AE"/>
        </w:rPr>
        <w:t>ة</w:t>
      </w:r>
      <w:r w:rsidRPr="00904FCB">
        <w:rPr>
          <w:rFonts w:hint="cs"/>
          <w:color w:val="auto"/>
          <w:rtl/>
          <w:lang w:bidi="ar-AE"/>
        </w:rPr>
        <w:t xml:space="preserve"> عبد الملك بن أعين والإمام الصادق</w:t>
      </w:r>
      <w:r w:rsidR="001C1A2A" w:rsidRPr="00904FCB">
        <w:rPr>
          <w:rFonts w:cs="Mosawi" w:hint="cs"/>
          <w:color w:val="auto"/>
          <w:szCs w:val="22"/>
          <w:rtl/>
          <w:lang w:bidi="ar-AE"/>
        </w:rPr>
        <w:t>×</w:t>
      </w:r>
    </w:p>
    <w:p w:rsidR="00BF56C8" w:rsidRPr="00904FCB" w:rsidRDefault="00BF56C8" w:rsidP="007066D1">
      <w:pPr>
        <w:spacing w:line="420" w:lineRule="exact"/>
        <w:ind w:firstLine="561"/>
        <w:rPr>
          <w:sz w:val="27"/>
          <w:rtl/>
          <w:lang w:bidi="ar-AE"/>
        </w:rPr>
      </w:pPr>
      <w:r w:rsidRPr="00904FCB">
        <w:rPr>
          <w:rFonts w:hint="cs"/>
          <w:sz w:val="27"/>
          <w:rtl/>
          <w:lang w:bidi="ar-AE"/>
        </w:rPr>
        <w:t>أما الأحاديث التي استدل</w:t>
      </w:r>
      <w:r w:rsidR="005E4987" w:rsidRPr="00904FCB">
        <w:rPr>
          <w:rFonts w:hint="cs"/>
          <w:sz w:val="27"/>
          <w:rtl/>
          <w:lang w:bidi="ar-AE"/>
        </w:rPr>
        <w:t>ّ</w:t>
      </w:r>
      <w:r w:rsidRPr="00904FCB">
        <w:rPr>
          <w:rFonts w:hint="cs"/>
          <w:sz w:val="27"/>
          <w:rtl/>
          <w:lang w:bidi="ar-AE"/>
        </w:rPr>
        <w:t xml:space="preserve"> بها على إثبات حرمة حفظ كتب الضلال فهي الأحاديث التي لم ت</w:t>
      </w:r>
      <w:r w:rsidR="005E4987" w:rsidRPr="00904FCB">
        <w:rPr>
          <w:rFonts w:hint="cs"/>
          <w:sz w:val="27"/>
          <w:rtl/>
          <w:lang w:bidi="ar-AE"/>
        </w:rPr>
        <w:t>َ</w:t>
      </w:r>
      <w:r w:rsidRPr="00904FCB">
        <w:rPr>
          <w:rFonts w:hint="cs"/>
          <w:sz w:val="27"/>
          <w:rtl/>
          <w:lang w:bidi="ar-AE"/>
        </w:rPr>
        <w:t>ر</w:t>
      </w:r>
      <w:r w:rsidR="005E4987" w:rsidRPr="00904FCB">
        <w:rPr>
          <w:rFonts w:hint="cs"/>
          <w:sz w:val="27"/>
          <w:rtl/>
          <w:lang w:bidi="ar-AE"/>
        </w:rPr>
        <w:t>ِ</w:t>
      </w:r>
      <w:r w:rsidRPr="00904FCB">
        <w:rPr>
          <w:rFonts w:hint="cs"/>
          <w:sz w:val="27"/>
          <w:rtl/>
          <w:lang w:bidi="ar-AE"/>
        </w:rPr>
        <w:t>د</w:t>
      </w:r>
      <w:r w:rsidR="005E4987" w:rsidRPr="00904FCB">
        <w:rPr>
          <w:rFonts w:hint="cs"/>
          <w:sz w:val="27"/>
          <w:rtl/>
          <w:lang w:bidi="ar-AE"/>
        </w:rPr>
        <w:t>ْ</w:t>
      </w:r>
      <w:r w:rsidRPr="00904FCB">
        <w:rPr>
          <w:rFonts w:hint="cs"/>
          <w:sz w:val="27"/>
          <w:rtl/>
          <w:lang w:bidi="ar-AE"/>
        </w:rPr>
        <w:t xml:space="preserve"> في خصوص هذه المسألة، وإنما يُستفاد حكم هذه المسألة من عمومات بعض الأحاديث، ومن جملتها</w:t>
      </w:r>
      <w:r w:rsidR="005E4987" w:rsidRPr="00904FCB">
        <w:rPr>
          <w:rFonts w:hint="cs"/>
          <w:sz w:val="27"/>
          <w:rtl/>
          <w:lang w:bidi="ar-AE"/>
        </w:rPr>
        <w:t>:</w:t>
      </w:r>
      <w:r w:rsidRPr="00904FCB">
        <w:rPr>
          <w:rFonts w:hint="cs"/>
          <w:sz w:val="27"/>
          <w:rtl/>
          <w:lang w:bidi="ar-AE"/>
        </w:rPr>
        <w:t xml:space="preserve"> ما ورد في باب التنجيم، لا بمعنى علم التنجيم الرياضي الذي يرصد ظواهر من قبيل: الخسوف والكسوف وما إلى ذلك، بل المراد هنا من التنجيم ما يقوم به البعض من تقرير ظواهر الس</w:t>
      </w:r>
      <w:r w:rsidR="005E4987" w:rsidRPr="00904FCB">
        <w:rPr>
          <w:rFonts w:hint="cs"/>
          <w:sz w:val="27"/>
          <w:rtl/>
          <w:lang w:bidi="ar-AE"/>
        </w:rPr>
        <w:t>َّ</w:t>
      </w:r>
      <w:r w:rsidRPr="00904FCB">
        <w:rPr>
          <w:rFonts w:hint="cs"/>
          <w:sz w:val="27"/>
          <w:rtl/>
          <w:lang w:bidi="ar-AE"/>
        </w:rPr>
        <w:t>ع</w:t>
      </w:r>
      <w:r w:rsidR="005E4987" w:rsidRPr="00904FCB">
        <w:rPr>
          <w:rFonts w:hint="cs"/>
          <w:sz w:val="27"/>
          <w:rtl/>
          <w:lang w:bidi="ar-AE"/>
        </w:rPr>
        <w:t>ْ</w:t>
      </w:r>
      <w:r w:rsidRPr="00904FCB">
        <w:rPr>
          <w:rFonts w:hint="cs"/>
          <w:sz w:val="27"/>
          <w:rtl/>
          <w:lang w:bidi="ar-AE"/>
        </w:rPr>
        <w:t>د والن</w:t>
      </w:r>
      <w:r w:rsidR="005E4987" w:rsidRPr="00904FCB">
        <w:rPr>
          <w:rFonts w:hint="cs"/>
          <w:sz w:val="27"/>
          <w:rtl/>
          <w:lang w:bidi="ar-AE"/>
        </w:rPr>
        <w:t>َّ</w:t>
      </w:r>
      <w:r w:rsidRPr="00904FCB">
        <w:rPr>
          <w:rFonts w:hint="cs"/>
          <w:sz w:val="27"/>
          <w:rtl/>
          <w:lang w:bidi="ar-AE"/>
        </w:rPr>
        <w:t>ح</w:t>
      </w:r>
      <w:r w:rsidR="005E4987" w:rsidRPr="00904FCB">
        <w:rPr>
          <w:rFonts w:hint="cs"/>
          <w:sz w:val="27"/>
          <w:rtl/>
          <w:lang w:bidi="ar-AE"/>
        </w:rPr>
        <w:t>ْ</w:t>
      </w:r>
      <w:r w:rsidRPr="00904FCB">
        <w:rPr>
          <w:rFonts w:hint="cs"/>
          <w:sz w:val="27"/>
          <w:rtl/>
          <w:lang w:bidi="ar-AE"/>
        </w:rPr>
        <w:t>س وأمثال ذلك، وهذا هو التنجيم المحرّ</w:t>
      </w:r>
      <w:r w:rsidR="005E4987" w:rsidRPr="00904FCB">
        <w:rPr>
          <w:rFonts w:hint="cs"/>
          <w:sz w:val="27"/>
          <w:rtl/>
          <w:lang w:bidi="ar-AE"/>
        </w:rPr>
        <w:t>َ</w:t>
      </w:r>
      <w:r w:rsidRPr="00904FCB">
        <w:rPr>
          <w:rFonts w:hint="cs"/>
          <w:sz w:val="27"/>
          <w:rtl/>
          <w:lang w:bidi="ar-AE"/>
        </w:rPr>
        <w:t>م</w:t>
      </w:r>
      <w:r w:rsidR="005E4987" w:rsidRPr="00904FCB">
        <w:rPr>
          <w:rFonts w:hint="cs"/>
          <w:sz w:val="27"/>
          <w:rtl/>
          <w:lang w:bidi="ar-AE"/>
        </w:rPr>
        <w:t>،</w:t>
      </w:r>
      <w:r w:rsidRPr="00904FCB">
        <w:rPr>
          <w:rFonts w:hint="cs"/>
          <w:sz w:val="27"/>
          <w:rtl/>
          <w:lang w:bidi="ar-AE"/>
        </w:rPr>
        <w:t xml:space="preserve"> دون التنجيم الرياضي. </w:t>
      </w:r>
    </w:p>
    <w:p w:rsidR="00BF56C8" w:rsidRPr="00904FCB" w:rsidRDefault="00BF56C8" w:rsidP="007066D1">
      <w:pPr>
        <w:spacing w:line="410" w:lineRule="exact"/>
        <w:ind w:firstLine="561"/>
        <w:rPr>
          <w:sz w:val="27"/>
          <w:rtl/>
          <w:lang w:bidi="ar-AE"/>
        </w:rPr>
      </w:pPr>
      <w:r w:rsidRPr="00904FCB">
        <w:rPr>
          <w:rFonts w:hint="cs"/>
          <w:sz w:val="27"/>
          <w:rtl/>
          <w:lang w:bidi="ar-AE"/>
        </w:rPr>
        <w:t>فقد ورد في كتب الحديث أن عبد الملك بن أعين ـ أخو زرارة بن أعين</w:t>
      </w:r>
      <w:r w:rsidRPr="00904FCB">
        <w:rPr>
          <w:sz w:val="27"/>
          <w:vertAlign w:val="superscript"/>
          <w:rtl/>
          <w:lang w:bidi="ar-AE"/>
        </w:rPr>
        <w:t>(</w:t>
      </w:r>
      <w:r w:rsidRPr="00904FCB">
        <w:rPr>
          <w:rStyle w:val="ac"/>
          <w:sz w:val="27"/>
          <w:rtl/>
          <w:lang w:bidi="ar-AE"/>
        </w:rPr>
        <w:endnoteReference w:id="77"/>
      </w:r>
      <w:r w:rsidRPr="00904FCB">
        <w:rPr>
          <w:sz w:val="27"/>
          <w:vertAlign w:val="superscript"/>
          <w:rtl/>
          <w:lang w:bidi="ar-AE"/>
        </w:rPr>
        <w:t>)</w:t>
      </w:r>
      <w:r w:rsidRPr="00904FCB">
        <w:rPr>
          <w:rFonts w:hint="cs"/>
          <w:sz w:val="27"/>
          <w:rtl/>
          <w:lang w:bidi="ar-AE"/>
        </w:rPr>
        <w:t xml:space="preserve"> ـ دخل على الإمام الصادق</w:t>
      </w:r>
      <w:r w:rsidR="001C1A2A" w:rsidRPr="00904FCB">
        <w:rPr>
          <w:rFonts w:cs="Mosawi" w:hint="cs"/>
          <w:sz w:val="27"/>
          <w:szCs w:val="22"/>
          <w:rtl/>
          <w:lang w:bidi="ar-AE"/>
        </w:rPr>
        <w:t>×</w:t>
      </w:r>
      <w:r w:rsidRPr="00904FCB">
        <w:rPr>
          <w:rFonts w:hint="cs"/>
          <w:sz w:val="27"/>
          <w:rtl/>
          <w:lang w:bidi="ar-AE"/>
        </w:rPr>
        <w:t xml:space="preserve">، وقال له: </w:t>
      </w:r>
      <w:r w:rsidRPr="00904FCB">
        <w:rPr>
          <w:rFonts w:hint="eastAsia"/>
          <w:sz w:val="27"/>
          <w:rtl/>
        </w:rPr>
        <w:t>«</w:t>
      </w:r>
      <w:r w:rsidRPr="00904FCB">
        <w:rPr>
          <w:rFonts w:hint="cs"/>
          <w:sz w:val="27"/>
          <w:rtl/>
          <w:lang w:bidi="ar-AE"/>
        </w:rPr>
        <w:t>إن</w:t>
      </w:r>
      <w:r w:rsidR="009F1CE7" w:rsidRPr="00904FCB">
        <w:rPr>
          <w:rFonts w:hint="cs"/>
          <w:sz w:val="27"/>
          <w:rtl/>
          <w:lang w:bidi="ar-AE"/>
        </w:rPr>
        <w:t>ّ</w:t>
      </w:r>
      <w:r w:rsidRPr="00904FCB">
        <w:rPr>
          <w:rFonts w:hint="cs"/>
          <w:sz w:val="27"/>
          <w:rtl/>
          <w:lang w:bidi="ar-AE"/>
        </w:rPr>
        <w:t>ي قد ابت</w:t>
      </w:r>
      <w:r w:rsidR="009F1CE7" w:rsidRPr="00904FCB">
        <w:rPr>
          <w:rFonts w:hint="cs"/>
          <w:sz w:val="27"/>
          <w:rtl/>
          <w:lang w:bidi="ar-AE"/>
        </w:rPr>
        <w:t>ُ</w:t>
      </w:r>
      <w:r w:rsidRPr="00904FCB">
        <w:rPr>
          <w:rFonts w:hint="cs"/>
          <w:sz w:val="27"/>
          <w:rtl/>
          <w:lang w:bidi="ar-AE"/>
        </w:rPr>
        <w:t>ليت بهذا العلم</w:t>
      </w:r>
      <w:r w:rsidR="009F1CE7" w:rsidRPr="00904FCB">
        <w:rPr>
          <w:rFonts w:hint="cs"/>
          <w:sz w:val="27"/>
          <w:rtl/>
          <w:lang w:bidi="ar-AE"/>
        </w:rPr>
        <w:t>،</w:t>
      </w:r>
      <w:r w:rsidRPr="00904FCB">
        <w:rPr>
          <w:rFonts w:ascii="Traditional Arabic" w:hAnsi="Traditional Arabic"/>
          <w:b/>
          <w:bCs/>
          <w:sz w:val="27"/>
          <w:rtl/>
          <w:lang w:bidi="ar-AE"/>
        </w:rPr>
        <w:t xml:space="preserve"> </w:t>
      </w:r>
      <w:r w:rsidRPr="00904FCB">
        <w:rPr>
          <w:sz w:val="27"/>
          <w:rtl/>
          <w:lang w:bidi="ar-AE"/>
        </w:rPr>
        <w:t>ف</w:t>
      </w:r>
      <w:r w:rsidRPr="00904FCB">
        <w:rPr>
          <w:rFonts w:hint="cs"/>
          <w:sz w:val="27"/>
          <w:rtl/>
          <w:lang w:bidi="ar-AE"/>
        </w:rPr>
        <w:t>أ</w:t>
      </w:r>
      <w:r w:rsidRPr="00904FCB">
        <w:rPr>
          <w:sz w:val="27"/>
          <w:rtl/>
          <w:lang w:bidi="ar-AE"/>
        </w:rPr>
        <w:t>ريد الحاجة، فإذا نظرت إلى الطالع ورأيت الطالع الشر</w:t>
      </w:r>
      <w:r w:rsidR="009F1CE7" w:rsidRPr="00904FCB">
        <w:rPr>
          <w:rFonts w:hint="cs"/>
          <w:sz w:val="27"/>
          <w:rtl/>
          <w:lang w:bidi="ar-AE"/>
        </w:rPr>
        <w:t>ّ</w:t>
      </w:r>
      <w:r w:rsidRPr="00904FCB">
        <w:rPr>
          <w:sz w:val="27"/>
          <w:rtl/>
          <w:lang w:bidi="ar-AE"/>
        </w:rPr>
        <w:t xml:space="preserve"> جلست</w:t>
      </w:r>
      <w:r w:rsidR="009F1CE7" w:rsidRPr="00904FCB">
        <w:rPr>
          <w:rFonts w:hint="cs"/>
          <w:sz w:val="27"/>
          <w:rtl/>
          <w:lang w:bidi="ar-AE"/>
        </w:rPr>
        <w:t>ُ</w:t>
      </w:r>
      <w:r w:rsidRPr="00904FCB">
        <w:rPr>
          <w:sz w:val="27"/>
          <w:rtl/>
          <w:lang w:bidi="ar-AE"/>
        </w:rPr>
        <w:t xml:space="preserve"> ولم أذهب فيها، وإذا رأيت الطالع الخير ذهبت في الحاجة، فقال لي: تقضي؟ قلت: نعم، قال: أحرق كتبك</w:t>
      </w:r>
      <w:r w:rsidRPr="00904FCB">
        <w:rPr>
          <w:rFonts w:hint="eastAsia"/>
          <w:sz w:val="27"/>
          <w:rtl/>
        </w:rPr>
        <w:t>»</w:t>
      </w:r>
      <w:r w:rsidRPr="00904FCB">
        <w:rPr>
          <w:sz w:val="27"/>
          <w:vertAlign w:val="superscript"/>
          <w:rtl/>
          <w:lang w:bidi="ar-AE"/>
        </w:rPr>
        <w:t>(</w:t>
      </w:r>
      <w:r w:rsidRPr="00904FCB">
        <w:rPr>
          <w:rStyle w:val="ac"/>
          <w:sz w:val="27"/>
          <w:rtl/>
          <w:lang w:bidi="ar-AE"/>
        </w:rPr>
        <w:endnoteReference w:id="78"/>
      </w:r>
      <w:r w:rsidRPr="00904FCB">
        <w:rPr>
          <w:sz w:val="27"/>
          <w:vertAlign w:val="superscript"/>
          <w:rtl/>
          <w:lang w:bidi="ar-AE"/>
        </w:rPr>
        <w:t>)</w:t>
      </w:r>
      <w:r w:rsidRPr="00904FCB">
        <w:rPr>
          <w:rFonts w:hint="cs"/>
          <w:sz w:val="27"/>
          <w:rtl/>
          <w:lang w:bidi="ar-AE"/>
        </w:rPr>
        <w:t>. فلم يكن منه كسائر الشيعة الملتزمين بأوامر الإمام إلا</w:t>
      </w:r>
      <w:r w:rsidR="009F1CE7" w:rsidRPr="00904FCB">
        <w:rPr>
          <w:rFonts w:hint="cs"/>
          <w:sz w:val="27"/>
          <w:rtl/>
          <w:lang w:bidi="ar-AE"/>
        </w:rPr>
        <w:t>ّ</w:t>
      </w:r>
      <w:r w:rsidRPr="00904FCB">
        <w:rPr>
          <w:rFonts w:hint="cs"/>
          <w:sz w:val="27"/>
          <w:rtl/>
          <w:lang w:bidi="ar-AE"/>
        </w:rPr>
        <w:t xml:space="preserve"> أن امتثل لأمر الإمام</w:t>
      </w:r>
      <w:r w:rsidR="009F1CE7" w:rsidRPr="00904FCB">
        <w:rPr>
          <w:rFonts w:hint="cs"/>
          <w:sz w:val="27"/>
          <w:rtl/>
          <w:lang w:bidi="ar-AE"/>
        </w:rPr>
        <w:t>،</w:t>
      </w:r>
      <w:r w:rsidRPr="00904FCB">
        <w:rPr>
          <w:rFonts w:hint="cs"/>
          <w:sz w:val="27"/>
          <w:rtl/>
          <w:lang w:bidi="ar-AE"/>
        </w:rPr>
        <w:t xml:space="preserve"> وقام بحرق جميع ما عنده من كتب التنجيم. </w:t>
      </w:r>
    </w:p>
    <w:p w:rsidR="00BF56C8" w:rsidRPr="00904FCB" w:rsidRDefault="00BF56C8" w:rsidP="007066D1">
      <w:pPr>
        <w:spacing w:line="420" w:lineRule="exact"/>
        <w:ind w:firstLine="561"/>
        <w:rPr>
          <w:sz w:val="27"/>
          <w:rtl/>
          <w:lang w:bidi="ar-AE"/>
        </w:rPr>
      </w:pPr>
      <w:r w:rsidRPr="00904FCB">
        <w:rPr>
          <w:rFonts w:hint="cs"/>
          <w:sz w:val="27"/>
          <w:rtl/>
          <w:lang w:bidi="ar-AE"/>
        </w:rPr>
        <w:t>قيل: حيث إن كتباً مثل</w:t>
      </w:r>
      <w:r w:rsidR="009F1CE7" w:rsidRPr="00904FCB">
        <w:rPr>
          <w:rFonts w:hint="cs"/>
          <w:sz w:val="27"/>
          <w:rtl/>
          <w:lang w:bidi="ar-AE"/>
        </w:rPr>
        <w:t>:</w:t>
      </w:r>
      <w:r w:rsidRPr="00904FCB">
        <w:rPr>
          <w:rFonts w:hint="cs"/>
          <w:sz w:val="27"/>
          <w:rtl/>
          <w:lang w:bidi="ar-AE"/>
        </w:rPr>
        <w:t xml:space="preserve"> كتب التنجيم تشتمل على أحكام مضلّ</w:t>
      </w:r>
      <w:r w:rsidR="009F1CE7" w:rsidRPr="00904FCB">
        <w:rPr>
          <w:rFonts w:hint="cs"/>
          <w:sz w:val="27"/>
          <w:rtl/>
          <w:lang w:bidi="ar-AE"/>
        </w:rPr>
        <w:t>َ</w:t>
      </w:r>
      <w:r w:rsidRPr="00904FCB">
        <w:rPr>
          <w:rFonts w:hint="cs"/>
          <w:sz w:val="27"/>
          <w:rtl/>
          <w:lang w:bidi="ar-AE"/>
        </w:rPr>
        <w:t>ة أمر الإمام الصادق</w:t>
      </w:r>
      <w:r w:rsidR="001C1A2A" w:rsidRPr="00904FCB">
        <w:rPr>
          <w:rFonts w:cs="Mosawi" w:hint="cs"/>
          <w:sz w:val="27"/>
          <w:szCs w:val="22"/>
          <w:rtl/>
          <w:lang w:bidi="ar-AE"/>
        </w:rPr>
        <w:t>×</w:t>
      </w:r>
      <w:r w:rsidRPr="00904FCB">
        <w:rPr>
          <w:rFonts w:hint="cs"/>
          <w:sz w:val="27"/>
          <w:rtl/>
          <w:lang w:bidi="ar-AE"/>
        </w:rPr>
        <w:t xml:space="preserve"> بإتلافها. </w:t>
      </w:r>
      <w:r w:rsidR="009F1CE7" w:rsidRPr="00904FCB">
        <w:rPr>
          <w:rFonts w:hint="cs"/>
          <w:sz w:val="27"/>
          <w:rtl/>
          <w:lang w:bidi="ar-AE"/>
        </w:rPr>
        <w:t>وعليه ي</w:t>
      </w:r>
      <w:r w:rsidRPr="00904FCB">
        <w:rPr>
          <w:rFonts w:hint="cs"/>
          <w:sz w:val="27"/>
          <w:rtl/>
          <w:lang w:bidi="ar-AE"/>
        </w:rPr>
        <w:t xml:space="preserve">مكن لنا تعميم هذا الحكم </w:t>
      </w:r>
      <w:r w:rsidR="009F1CE7" w:rsidRPr="00904FCB">
        <w:rPr>
          <w:rFonts w:hint="cs"/>
          <w:sz w:val="27"/>
          <w:rtl/>
          <w:lang w:bidi="ar-AE"/>
        </w:rPr>
        <w:t>إ</w:t>
      </w:r>
      <w:r w:rsidRPr="00904FCB">
        <w:rPr>
          <w:rFonts w:hint="cs"/>
          <w:sz w:val="27"/>
          <w:rtl/>
          <w:lang w:bidi="ar-AE"/>
        </w:rPr>
        <w:t>لى كل</w:t>
      </w:r>
      <w:r w:rsidR="009F1CE7" w:rsidRPr="00904FCB">
        <w:rPr>
          <w:rFonts w:hint="cs"/>
          <w:sz w:val="27"/>
          <w:rtl/>
          <w:lang w:bidi="ar-AE"/>
        </w:rPr>
        <w:t>ّ</w:t>
      </w:r>
      <w:r w:rsidRPr="00904FCB">
        <w:rPr>
          <w:rFonts w:hint="cs"/>
          <w:sz w:val="27"/>
          <w:rtl/>
          <w:lang w:bidi="ar-AE"/>
        </w:rPr>
        <w:t xml:space="preserve"> كتاب</w:t>
      </w:r>
      <w:r w:rsidR="009F1CE7" w:rsidRPr="00904FCB">
        <w:rPr>
          <w:rFonts w:hint="cs"/>
          <w:sz w:val="27"/>
          <w:rtl/>
          <w:lang w:bidi="ar-AE"/>
        </w:rPr>
        <w:t>ٍ</w:t>
      </w:r>
      <w:r w:rsidRPr="00904FCB">
        <w:rPr>
          <w:rFonts w:hint="cs"/>
          <w:sz w:val="27"/>
          <w:rtl/>
          <w:lang w:bidi="ar-AE"/>
        </w:rPr>
        <w:t xml:space="preserve"> يشتمل على ضلال</w:t>
      </w:r>
      <w:r w:rsidR="009F1CE7" w:rsidRPr="00904FCB">
        <w:rPr>
          <w:rFonts w:hint="cs"/>
          <w:sz w:val="27"/>
          <w:rtl/>
          <w:lang w:bidi="ar-AE"/>
        </w:rPr>
        <w:t>ٍ</w:t>
      </w:r>
      <w:r w:rsidRPr="00904FCB">
        <w:rPr>
          <w:rFonts w:hint="cs"/>
          <w:sz w:val="27"/>
          <w:rtl/>
          <w:lang w:bidi="ar-AE"/>
        </w:rPr>
        <w:t xml:space="preserve">. </w:t>
      </w:r>
    </w:p>
    <w:p w:rsidR="00BF56C8" w:rsidRPr="00904FCB" w:rsidRDefault="00BF56C8" w:rsidP="00B74A01">
      <w:pPr>
        <w:spacing w:line="420" w:lineRule="exact"/>
        <w:rPr>
          <w:sz w:val="27"/>
          <w:rtl/>
          <w:lang w:bidi="ar-AE"/>
        </w:rPr>
      </w:pPr>
      <w:r w:rsidRPr="00904FCB">
        <w:rPr>
          <w:rFonts w:hint="cs"/>
          <w:sz w:val="27"/>
          <w:rtl/>
          <w:lang w:bidi="ar-AE"/>
        </w:rPr>
        <w:t>وقد أجاب الفقهاء عن ذلك بأن هذه الرواية لا تدلّ على المطلوب</w:t>
      </w:r>
      <w:r w:rsidR="009F1CE7" w:rsidRPr="00904FCB">
        <w:rPr>
          <w:rFonts w:hint="cs"/>
          <w:sz w:val="27"/>
          <w:rtl/>
          <w:lang w:bidi="ar-AE"/>
        </w:rPr>
        <w:t>؛</w:t>
      </w:r>
      <w:r w:rsidRPr="00904FCB">
        <w:rPr>
          <w:rFonts w:hint="cs"/>
          <w:sz w:val="27"/>
          <w:rtl/>
          <w:lang w:bidi="ar-AE"/>
        </w:rPr>
        <w:t xml:space="preserve"> وذلك لأن الإمام الصادق</w:t>
      </w:r>
      <w:r w:rsidR="001C1A2A" w:rsidRPr="00904FCB">
        <w:rPr>
          <w:rFonts w:cs="Mosawi" w:hint="cs"/>
          <w:sz w:val="27"/>
          <w:szCs w:val="22"/>
          <w:rtl/>
          <w:lang w:bidi="ar-AE"/>
        </w:rPr>
        <w:t>×</w:t>
      </w:r>
      <w:r w:rsidRPr="00904FCB">
        <w:rPr>
          <w:rFonts w:hint="cs"/>
          <w:sz w:val="27"/>
          <w:rtl/>
          <w:lang w:bidi="ar-AE"/>
        </w:rPr>
        <w:t xml:space="preserve"> قد سأل فيها عبد الملك قائلاً: </w:t>
      </w:r>
      <w:r w:rsidRPr="00904FCB">
        <w:rPr>
          <w:rFonts w:hint="eastAsia"/>
          <w:sz w:val="27"/>
          <w:rtl/>
        </w:rPr>
        <w:t>«</w:t>
      </w:r>
      <w:r w:rsidRPr="00904FCB">
        <w:rPr>
          <w:rFonts w:hint="cs"/>
          <w:sz w:val="27"/>
          <w:rtl/>
          <w:lang w:bidi="ar-AE"/>
        </w:rPr>
        <w:t>أتقضي؟</w:t>
      </w:r>
      <w:r w:rsidRPr="00904FCB">
        <w:rPr>
          <w:rFonts w:hint="eastAsia"/>
          <w:sz w:val="27"/>
          <w:rtl/>
        </w:rPr>
        <w:t>»</w:t>
      </w:r>
      <w:r w:rsidR="009F1CE7" w:rsidRPr="00904FCB">
        <w:rPr>
          <w:rFonts w:hint="cs"/>
          <w:sz w:val="27"/>
          <w:rtl/>
        </w:rPr>
        <w:t>،</w:t>
      </w:r>
      <w:r w:rsidRPr="00904FCB">
        <w:rPr>
          <w:rFonts w:hint="cs"/>
          <w:sz w:val="27"/>
          <w:rtl/>
          <w:lang w:bidi="ar-AE"/>
        </w:rPr>
        <w:t xml:space="preserve"> بمعنى</w:t>
      </w:r>
      <w:r w:rsidR="009F1CE7" w:rsidRPr="00904FCB">
        <w:rPr>
          <w:rFonts w:hint="cs"/>
          <w:sz w:val="27"/>
          <w:rtl/>
          <w:lang w:bidi="ar-AE"/>
        </w:rPr>
        <w:t>:</w:t>
      </w:r>
      <w:r w:rsidRPr="00904FCB">
        <w:rPr>
          <w:rFonts w:hint="cs"/>
          <w:sz w:val="27"/>
          <w:rtl/>
          <w:lang w:bidi="ar-AE"/>
        </w:rPr>
        <w:t xml:space="preserve"> أتحكم على طبق ما ي</w:t>
      </w:r>
      <w:r w:rsidR="009F1CE7" w:rsidRPr="00904FCB">
        <w:rPr>
          <w:rFonts w:hint="cs"/>
          <w:sz w:val="27"/>
          <w:rtl/>
          <w:lang w:bidi="ar-AE"/>
        </w:rPr>
        <w:t>َ</w:t>
      </w:r>
      <w:r w:rsidRPr="00904FCB">
        <w:rPr>
          <w:rFonts w:hint="cs"/>
          <w:sz w:val="27"/>
          <w:rtl/>
          <w:lang w:bidi="ar-AE"/>
        </w:rPr>
        <w:t>ر</w:t>
      </w:r>
      <w:r w:rsidR="009F1CE7" w:rsidRPr="00904FCB">
        <w:rPr>
          <w:rFonts w:hint="cs"/>
          <w:sz w:val="27"/>
          <w:rtl/>
          <w:lang w:bidi="ar-AE"/>
        </w:rPr>
        <w:t>ِ</w:t>
      </w:r>
      <w:r w:rsidRPr="00904FCB">
        <w:rPr>
          <w:rFonts w:hint="cs"/>
          <w:sz w:val="27"/>
          <w:rtl/>
          <w:lang w:bidi="ar-AE"/>
        </w:rPr>
        <w:t>د</w:t>
      </w:r>
      <w:r w:rsidR="009F1CE7" w:rsidRPr="00904FCB">
        <w:rPr>
          <w:rFonts w:hint="cs"/>
          <w:sz w:val="27"/>
          <w:rtl/>
          <w:lang w:bidi="ar-AE"/>
        </w:rPr>
        <w:t>ُ</w:t>
      </w:r>
      <w:r w:rsidRPr="00904FCB">
        <w:rPr>
          <w:rFonts w:hint="cs"/>
          <w:sz w:val="27"/>
          <w:rtl/>
          <w:lang w:bidi="ar-AE"/>
        </w:rPr>
        <w:t xml:space="preserve"> في تلك الكتب أم لا؟ وعندما أجاب عبد الملك بالإيجاب أدرك الإمام أنه قد ابت</w:t>
      </w:r>
      <w:r w:rsidR="009F1CE7" w:rsidRPr="00904FCB">
        <w:rPr>
          <w:rFonts w:hint="cs"/>
          <w:sz w:val="27"/>
          <w:rtl/>
          <w:lang w:bidi="ar-AE"/>
        </w:rPr>
        <w:t>ُ</w:t>
      </w:r>
      <w:r w:rsidRPr="00904FCB">
        <w:rPr>
          <w:rFonts w:hint="cs"/>
          <w:sz w:val="27"/>
          <w:rtl/>
          <w:lang w:bidi="ar-AE"/>
        </w:rPr>
        <w:t>لي بمرض</w:t>
      </w:r>
      <w:r w:rsidR="009F1CE7" w:rsidRPr="00904FCB">
        <w:rPr>
          <w:rFonts w:hint="cs"/>
          <w:sz w:val="27"/>
          <w:rtl/>
          <w:lang w:bidi="ar-AE"/>
        </w:rPr>
        <w:t>ٍ</w:t>
      </w:r>
      <w:r w:rsidRPr="00904FCB">
        <w:rPr>
          <w:rFonts w:hint="cs"/>
          <w:sz w:val="27"/>
          <w:rtl/>
          <w:lang w:bidi="ar-AE"/>
        </w:rPr>
        <w:t xml:space="preserve"> لا أمل له بالشفاء منه إلا</w:t>
      </w:r>
      <w:r w:rsidR="009F1CE7" w:rsidRPr="00904FCB">
        <w:rPr>
          <w:rFonts w:hint="cs"/>
          <w:sz w:val="27"/>
          <w:rtl/>
          <w:lang w:bidi="ar-AE"/>
        </w:rPr>
        <w:t>ّ</w:t>
      </w:r>
      <w:r w:rsidRPr="00904FCB">
        <w:rPr>
          <w:rFonts w:hint="cs"/>
          <w:sz w:val="27"/>
          <w:rtl/>
          <w:lang w:bidi="ar-AE"/>
        </w:rPr>
        <w:t xml:space="preserve"> من خلال </w:t>
      </w:r>
      <w:r w:rsidR="009F1CE7" w:rsidRPr="00904FCB">
        <w:rPr>
          <w:rFonts w:hint="cs"/>
          <w:sz w:val="27"/>
          <w:rtl/>
          <w:lang w:bidi="ar-AE"/>
        </w:rPr>
        <w:t>إ</w:t>
      </w:r>
      <w:r w:rsidRPr="00904FCB">
        <w:rPr>
          <w:rFonts w:hint="cs"/>
          <w:sz w:val="27"/>
          <w:rtl/>
          <w:lang w:bidi="ar-AE"/>
        </w:rPr>
        <w:t>تلاف تلك الكتب وإبعادها عنه</w:t>
      </w:r>
      <w:r w:rsidR="009F1CE7" w:rsidRPr="00904FCB">
        <w:rPr>
          <w:rFonts w:hint="cs"/>
          <w:sz w:val="27"/>
          <w:rtl/>
          <w:lang w:bidi="ar-AE"/>
        </w:rPr>
        <w:t>.</w:t>
      </w:r>
      <w:r w:rsidRPr="00904FCB">
        <w:rPr>
          <w:rFonts w:hint="cs"/>
          <w:sz w:val="27"/>
          <w:rtl/>
          <w:lang w:bidi="ar-AE"/>
        </w:rPr>
        <w:t xml:space="preserve"> ولو أن عبد الملك كان قد راجع طبيباً نفسي</w:t>
      </w:r>
      <w:r w:rsidR="009F1CE7" w:rsidRPr="00904FCB">
        <w:rPr>
          <w:rFonts w:hint="cs"/>
          <w:sz w:val="27"/>
          <w:rtl/>
          <w:lang w:bidi="ar-AE"/>
        </w:rPr>
        <w:t>ّ</w:t>
      </w:r>
      <w:r w:rsidRPr="00904FCB">
        <w:rPr>
          <w:rFonts w:hint="cs"/>
          <w:sz w:val="27"/>
          <w:rtl/>
          <w:lang w:bidi="ar-AE"/>
        </w:rPr>
        <w:t>اً لوصف له نفس العلاج الذي وصفه الإمام له. وعليه لو ك</w:t>
      </w:r>
      <w:r w:rsidR="009F1CE7" w:rsidRPr="00904FCB">
        <w:rPr>
          <w:rFonts w:hint="cs"/>
          <w:sz w:val="27"/>
          <w:rtl/>
          <w:lang w:bidi="ar-AE"/>
        </w:rPr>
        <w:t>ا</w:t>
      </w:r>
      <w:r w:rsidRPr="00904FCB">
        <w:rPr>
          <w:rFonts w:hint="cs"/>
          <w:sz w:val="27"/>
          <w:rtl/>
          <w:lang w:bidi="ar-AE"/>
        </w:rPr>
        <w:t xml:space="preserve">ن عبد الملك بن أعين ـ بوصفه عالماً </w:t>
      </w:r>
      <w:r w:rsidR="009F1CE7" w:rsidRPr="00904FCB">
        <w:rPr>
          <w:rFonts w:hint="cs"/>
          <w:sz w:val="27"/>
          <w:rtl/>
          <w:lang w:bidi="ar-AE"/>
        </w:rPr>
        <w:t xml:space="preserve">ـ </w:t>
      </w:r>
      <w:r w:rsidRPr="00904FCB">
        <w:rPr>
          <w:rFonts w:hint="cs"/>
          <w:sz w:val="27"/>
          <w:rtl/>
          <w:lang w:bidi="ar-AE"/>
        </w:rPr>
        <w:t>يقتني جميع أنواع الكتب بحيادي</w:t>
      </w:r>
      <w:r w:rsidR="009F1CE7" w:rsidRPr="00904FCB">
        <w:rPr>
          <w:rFonts w:hint="cs"/>
          <w:sz w:val="27"/>
          <w:rtl/>
          <w:lang w:bidi="ar-AE"/>
        </w:rPr>
        <w:t>ّ</w:t>
      </w:r>
      <w:r w:rsidRPr="00904FCB">
        <w:rPr>
          <w:rFonts w:hint="cs"/>
          <w:sz w:val="27"/>
          <w:rtl/>
          <w:lang w:bidi="ar-AE"/>
        </w:rPr>
        <w:t>ة</w:t>
      </w:r>
      <w:r w:rsidR="009F1CE7" w:rsidRPr="00904FCB">
        <w:rPr>
          <w:rFonts w:hint="cs"/>
          <w:sz w:val="27"/>
          <w:rtl/>
          <w:lang w:bidi="ar-AE"/>
        </w:rPr>
        <w:t>ٍ</w:t>
      </w:r>
      <w:r w:rsidRPr="00904FCB">
        <w:rPr>
          <w:rFonts w:hint="cs"/>
          <w:sz w:val="27"/>
          <w:rtl/>
          <w:lang w:bidi="ar-AE"/>
        </w:rPr>
        <w:t xml:space="preserve"> علمي</w:t>
      </w:r>
      <w:r w:rsidR="009F1CE7" w:rsidRPr="00904FCB">
        <w:rPr>
          <w:rFonts w:hint="cs"/>
          <w:sz w:val="27"/>
          <w:rtl/>
          <w:lang w:bidi="ar-AE"/>
        </w:rPr>
        <w:t>ّ</w:t>
      </w:r>
      <w:r w:rsidRPr="00904FCB">
        <w:rPr>
          <w:rFonts w:hint="cs"/>
          <w:sz w:val="27"/>
          <w:rtl/>
          <w:lang w:bidi="ar-AE"/>
        </w:rPr>
        <w:t>ة تامّة</w:t>
      </w:r>
      <w:r w:rsidR="009F1CE7" w:rsidRPr="00904FCB">
        <w:rPr>
          <w:rFonts w:hint="cs"/>
          <w:sz w:val="27"/>
          <w:rtl/>
          <w:lang w:bidi="ar-AE"/>
        </w:rPr>
        <w:t>،</w:t>
      </w:r>
      <w:r w:rsidRPr="00904FCB">
        <w:rPr>
          <w:rFonts w:hint="cs"/>
          <w:sz w:val="27"/>
          <w:rtl/>
          <w:lang w:bidi="ar-AE"/>
        </w:rPr>
        <w:t xml:space="preserve"> دون أن يتأث</w:t>
      </w:r>
      <w:r w:rsidR="009F1CE7" w:rsidRPr="00904FCB">
        <w:rPr>
          <w:rFonts w:hint="cs"/>
          <w:sz w:val="27"/>
          <w:rtl/>
          <w:lang w:bidi="ar-AE"/>
        </w:rPr>
        <w:t>َّ</w:t>
      </w:r>
      <w:r w:rsidRPr="00904FCB">
        <w:rPr>
          <w:rFonts w:hint="cs"/>
          <w:sz w:val="27"/>
          <w:rtl/>
          <w:lang w:bidi="ar-AE"/>
        </w:rPr>
        <w:t>ر بها إلى ذلك الحدّ</w:t>
      </w:r>
      <w:r w:rsidR="009F1CE7" w:rsidRPr="00904FCB">
        <w:rPr>
          <w:rFonts w:hint="cs"/>
          <w:sz w:val="27"/>
          <w:rtl/>
          <w:lang w:bidi="ar-AE"/>
        </w:rPr>
        <w:t>،</w:t>
      </w:r>
      <w:r w:rsidRPr="00904FCB">
        <w:rPr>
          <w:rFonts w:hint="cs"/>
          <w:sz w:val="27"/>
          <w:rtl/>
          <w:lang w:bidi="ar-AE"/>
        </w:rPr>
        <w:t xml:space="preserve"> لما أمره الإمام الصادق</w:t>
      </w:r>
      <w:r w:rsidR="001C1A2A" w:rsidRPr="00904FCB">
        <w:rPr>
          <w:rFonts w:cs="Mosawi" w:hint="cs"/>
          <w:sz w:val="27"/>
          <w:szCs w:val="22"/>
          <w:rtl/>
          <w:lang w:bidi="ar-AE"/>
        </w:rPr>
        <w:t>×</w:t>
      </w:r>
      <w:r w:rsidRPr="00904FCB">
        <w:rPr>
          <w:rFonts w:hint="cs"/>
          <w:sz w:val="27"/>
          <w:rtl/>
          <w:lang w:bidi="ar-AE"/>
        </w:rPr>
        <w:t xml:space="preserve"> بحرقها. وعليه لا يمكن لنا أن نستنبط التعميم من هذا المورد الخاص</w:t>
      </w:r>
      <w:r w:rsidR="009F1CE7" w:rsidRPr="00904FCB">
        <w:rPr>
          <w:rFonts w:hint="cs"/>
          <w:sz w:val="27"/>
          <w:rtl/>
          <w:lang w:bidi="ar-AE"/>
        </w:rPr>
        <w:t>ّ</w:t>
      </w:r>
      <w:r w:rsidRPr="00904FCB">
        <w:rPr>
          <w:rFonts w:hint="cs"/>
          <w:sz w:val="27"/>
          <w:rtl/>
          <w:lang w:bidi="ar-AE"/>
        </w:rPr>
        <w:t xml:space="preserve">. </w:t>
      </w:r>
    </w:p>
    <w:p w:rsidR="00BF56C8" w:rsidRPr="00904FCB" w:rsidRDefault="00BF56C8" w:rsidP="007A21AA">
      <w:pPr>
        <w:pStyle w:val="31"/>
        <w:spacing w:line="400" w:lineRule="exact"/>
        <w:rPr>
          <w:color w:val="auto"/>
          <w:rtl/>
          <w:lang w:bidi="ar-AE"/>
        </w:rPr>
      </w:pPr>
      <w:r w:rsidRPr="005A3484">
        <w:rPr>
          <w:rFonts w:hint="cs"/>
          <w:color w:val="auto"/>
          <w:rtl/>
          <w:lang w:bidi="ar-AE"/>
        </w:rPr>
        <w:lastRenderedPageBreak/>
        <w:t>2ـ حديث</w:t>
      </w:r>
      <w:r w:rsidRPr="00904FCB">
        <w:rPr>
          <w:rFonts w:hint="cs"/>
          <w:color w:val="auto"/>
          <w:rtl/>
          <w:lang w:bidi="ar-AE"/>
        </w:rPr>
        <w:t xml:space="preserve"> الإمام الصادق</w:t>
      </w:r>
      <w:r w:rsidR="001C1A2A" w:rsidRPr="005A3484">
        <w:rPr>
          <w:rFonts w:cs="Mosawi" w:hint="cs"/>
          <w:color w:val="auto"/>
          <w:sz w:val="24"/>
          <w:szCs w:val="24"/>
          <w:rtl/>
          <w:lang w:bidi="ar-AE"/>
        </w:rPr>
        <w:t>×</w:t>
      </w:r>
      <w:r w:rsidR="009F1CE7" w:rsidRPr="00904FCB">
        <w:rPr>
          <w:rFonts w:hint="cs"/>
          <w:color w:val="auto"/>
          <w:rtl/>
          <w:lang w:bidi="ar-AE"/>
        </w:rPr>
        <w:t>،</w:t>
      </w:r>
      <w:r w:rsidRPr="00904FCB">
        <w:rPr>
          <w:rFonts w:hint="cs"/>
          <w:color w:val="auto"/>
          <w:rtl/>
          <w:lang w:bidi="ar-AE"/>
        </w:rPr>
        <w:t xml:space="preserve"> أو الدليل العقلي</w:t>
      </w:r>
    </w:p>
    <w:p w:rsidR="00BF56C8" w:rsidRPr="00904FCB" w:rsidRDefault="00BF56C8" w:rsidP="007A21AA">
      <w:pPr>
        <w:spacing w:line="400" w:lineRule="exact"/>
        <w:rPr>
          <w:sz w:val="27"/>
          <w:rtl/>
          <w:lang w:bidi="ar-AE"/>
        </w:rPr>
      </w:pPr>
      <w:r w:rsidRPr="00904FCB">
        <w:rPr>
          <w:rFonts w:hint="cs"/>
          <w:sz w:val="27"/>
          <w:rtl/>
          <w:lang w:bidi="ar-AE"/>
        </w:rPr>
        <w:t>أما الدليل الآخر الذي يسوقونه فهو في الحقيقة إرجاع إلى حكم العقل في هذا الشأن. وهذا الدليل عبارة</w:t>
      </w:r>
      <w:r w:rsidR="009F1CE7" w:rsidRPr="00904FCB">
        <w:rPr>
          <w:rFonts w:hint="cs"/>
          <w:sz w:val="27"/>
          <w:rtl/>
          <w:lang w:bidi="ar-AE"/>
        </w:rPr>
        <w:t>ٌ</w:t>
      </w:r>
      <w:r w:rsidRPr="00904FCB">
        <w:rPr>
          <w:rFonts w:hint="cs"/>
          <w:sz w:val="27"/>
          <w:rtl/>
          <w:lang w:bidi="ar-AE"/>
        </w:rPr>
        <w:t xml:space="preserve"> عن رواية معروفة بين الفقهاء بـ </w:t>
      </w:r>
      <w:r w:rsidRPr="00904FCB">
        <w:rPr>
          <w:rFonts w:hint="eastAsia"/>
          <w:sz w:val="27"/>
          <w:rtl/>
        </w:rPr>
        <w:t>«</w:t>
      </w:r>
      <w:r w:rsidRPr="00904FCB">
        <w:rPr>
          <w:rFonts w:hint="cs"/>
          <w:sz w:val="27"/>
          <w:rtl/>
          <w:lang w:bidi="ar-AE"/>
        </w:rPr>
        <w:t>رواية تحف العقول</w:t>
      </w:r>
      <w:r w:rsidRPr="00904FCB">
        <w:rPr>
          <w:rFonts w:hint="eastAsia"/>
          <w:sz w:val="27"/>
          <w:rtl/>
        </w:rPr>
        <w:t>»</w:t>
      </w:r>
      <w:r w:rsidRPr="00904FCB">
        <w:rPr>
          <w:sz w:val="27"/>
          <w:vertAlign w:val="superscript"/>
          <w:rtl/>
          <w:lang w:bidi="ar-AE"/>
        </w:rPr>
        <w:t>(</w:t>
      </w:r>
      <w:r w:rsidRPr="00904FCB">
        <w:rPr>
          <w:rStyle w:val="ac"/>
          <w:sz w:val="27"/>
          <w:rtl/>
          <w:lang w:bidi="ar-AE"/>
        </w:rPr>
        <w:endnoteReference w:id="79"/>
      </w:r>
      <w:r w:rsidRPr="00904FCB">
        <w:rPr>
          <w:sz w:val="27"/>
          <w:vertAlign w:val="superscript"/>
          <w:rtl/>
          <w:lang w:bidi="ar-AE"/>
        </w:rPr>
        <w:t>)</w:t>
      </w:r>
      <w:r w:rsidR="009F1CE7" w:rsidRPr="00904FCB">
        <w:rPr>
          <w:rFonts w:hint="cs"/>
          <w:sz w:val="27"/>
          <w:rtl/>
          <w:lang w:bidi="ar-AE"/>
        </w:rPr>
        <w:t>،</w:t>
      </w:r>
      <w:r w:rsidRPr="00904FCB">
        <w:rPr>
          <w:rFonts w:hint="cs"/>
          <w:sz w:val="27"/>
          <w:rtl/>
          <w:lang w:bidi="ar-AE"/>
        </w:rPr>
        <w:t xml:space="preserve"> وهي رواية تفصيلية عن الإمام الصادق</w:t>
      </w:r>
      <w:r w:rsidR="001C1A2A" w:rsidRPr="00904FCB">
        <w:rPr>
          <w:rFonts w:cs="Mosawi" w:hint="cs"/>
          <w:sz w:val="27"/>
          <w:szCs w:val="22"/>
          <w:rtl/>
          <w:lang w:bidi="ar-AE"/>
        </w:rPr>
        <w:t>×</w:t>
      </w:r>
      <w:r w:rsidR="009F1CE7" w:rsidRPr="00904FCB">
        <w:rPr>
          <w:rFonts w:hint="cs"/>
          <w:sz w:val="27"/>
          <w:rtl/>
          <w:lang w:bidi="ar-AE"/>
        </w:rPr>
        <w:t>،</w:t>
      </w:r>
      <w:r w:rsidRPr="00904FCB">
        <w:rPr>
          <w:rFonts w:hint="cs"/>
          <w:sz w:val="27"/>
          <w:rtl/>
          <w:lang w:bidi="ar-AE"/>
        </w:rPr>
        <w:t xml:space="preserve"> زاخرة بالمعاني</w:t>
      </w:r>
      <w:r w:rsidR="009F1CE7" w:rsidRPr="00904FCB">
        <w:rPr>
          <w:rFonts w:hint="cs"/>
          <w:sz w:val="27"/>
          <w:rtl/>
          <w:lang w:bidi="ar-AE"/>
        </w:rPr>
        <w:t>.</w:t>
      </w:r>
      <w:r w:rsidRPr="00904FCB">
        <w:rPr>
          <w:rFonts w:hint="cs"/>
          <w:sz w:val="27"/>
          <w:rtl/>
          <w:lang w:bidi="ar-AE"/>
        </w:rPr>
        <w:t xml:space="preserve"> وقد تعرّض فيها الإمام إلى الوجوه والطرق العامة للتكسّ</w:t>
      </w:r>
      <w:r w:rsidR="009F1CE7" w:rsidRPr="00904FCB">
        <w:rPr>
          <w:rFonts w:hint="cs"/>
          <w:sz w:val="27"/>
          <w:rtl/>
          <w:lang w:bidi="ar-AE"/>
        </w:rPr>
        <w:t>ُ</w:t>
      </w:r>
      <w:r w:rsidRPr="00904FCB">
        <w:rPr>
          <w:rFonts w:hint="cs"/>
          <w:sz w:val="27"/>
          <w:rtl/>
          <w:lang w:bidi="ar-AE"/>
        </w:rPr>
        <w:t>ب، وما هي الطرق الحلال</w:t>
      </w:r>
      <w:r w:rsidR="009F1CE7" w:rsidRPr="00904FCB">
        <w:rPr>
          <w:rFonts w:hint="cs"/>
          <w:sz w:val="27"/>
          <w:rtl/>
          <w:lang w:bidi="ar-AE"/>
        </w:rPr>
        <w:t xml:space="preserve">؟ </w:t>
      </w:r>
      <w:r w:rsidRPr="00904FCB">
        <w:rPr>
          <w:rFonts w:hint="cs"/>
          <w:sz w:val="27"/>
          <w:rtl/>
          <w:lang w:bidi="ar-AE"/>
        </w:rPr>
        <w:t>وما هي الطرق الحرام في ذلك</w:t>
      </w:r>
      <w:r w:rsidR="009F1CE7" w:rsidRPr="00904FCB">
        <w:rPr>
          <w:rFonts w:hint="cs"/>
          <w:sz w:val="27"/>
          <w:rtl/>
          <w:lang w:bidi="ar-AE"/>
        </w:rPr>
        <w:t>؟</w:t>
      </w:r>
      <w:r w:rsidRPr="00904FCB">
        <w:rPr>
          <w:rFonts w:hint="cs"/>
          <w:sz w:val="27"/>
          <w:rtl/>
          <w:lang w:bidi="ar-AE"/>
        </w:rPr>
        <w:t xml:space="preserve"> فقال الإمام في حقل الصناعات: إن الحكم فيها تابع</w:t>
      </w:r>
      <w:r w:rsidR="009F1CE7" w:rsidRPr="00904FCB">
        <w:rPr>
          <w:rFonts w:hint="cs"/>
          <w:sz w:val="27"/>
          <w:rtl/>
          <w:lang w:bidi="ar-AE"/>
        </w:rPr>
        <w:t>ٌ</w:t>
      </w:r>
      <w:r w:rsidRPr="00904FCB">
        <w:rPr>
          <w:rFonts w:hint="cs"/>
          <w:sz w:val="27"/>
          <w:rtl/>
          <w:lang w:bidi="ar-AE"/>
        </w:rPr>
        <w:t xml:space="preserve"> للأثر المترت</w:t>
      </w:r>
      <w:r w:rsidR="009F1CE7" w:rsidRPr="00904FCB">
        <w:rPr>
          <w:rFonts w:hint="cs"/>
          <w:sz w:val="27"/>
          <w:rtl/>
          <w:lang w:bidi="ar-AE"/>
        </w:rPr>
        <w:t>ِّ</w:t>
      </w:r>
      <w:r w:rsidRPr="00904FCB">
        <w:rPr>
          <w:rFonts w:hint="cs"/>
          <w:sz w:val="27"/>
          <w:rtl/>
          <w:lang w:bidi="ar-AE"/>
        </w:rPr>
        <w:t>ب عليها</w:t>
      </w:r>
      <w:r w:rsidR="009F1CE7" w:rsidRPr="00904FCB">
        <w:rPr>
          <w:rFonts w:hint="cs"/>
          <w:sz w:val="27"/>
          <w:rtl/>
          <w:lang w:bidi="ar-AE"/>
        </w:rPr>
        <w:t>؛</w:t>
      </w:r>
      <w:r w:rsidRPr="00904FCB">
        <w:rPr>
          <w:rFonts w:hint="cs"/>
          <w:sz w:val="27"/>
          <w:rtl/>
          <w:lang w:bidi="ar-AE"/>
        </w:rPr>
        <w:t xml:space="preserve"> فالصناعة التي لا يكون لها من آثار ونتائج غير الفساد فهي حرام</w:t>
      </w:r>
      <w:r w:rsidR="009F1CE7" w:rsidRPr="00904FCB">
        <w:rPr>
          <w:rFonts w:hint="cs"/>
          <w:sz w:val="27"/>
          <w:rtl/>
          <w:lang w:bidi="ar-AE"/>
        </w:rPr>
        <w:t>ٌ؛</w:t>
      </w:r>
      <w:r w:rsidRPr="00904FCB">
        <w:rPr>
          <w:rFonts w:hint="cs"/>
          <w:sz w:val="27"/>
          <w:rtl/>
          <w:lang w:bidi="ar-AE"/>
        </w:rPr>
        <w:t xml:space="preserve"> وعليه فإن الصناعة التي يُستنتج منها أمور جيّدة وحسنة فهي حلال</w:t>
      </w:r>
      <w:r w:rsidR="009F1CE7" w:rsidRPr="00904FCB">
        <w:rPr>
          <w:rFonts w:hint="cs"/>
          <w:sz w:val="27"/>
          <w:rtl/>
          <w:lang w:bidi="ar-AE"/>
        </w:rPr>
        <w:t>؛</w:t>
      </w:r>
      <w:r w:rsidRPr="00904FCB">
        <w:rPr>
          <w:rFonts w:hint="cs"/>
          <w:sz w:val="27"/>
          <w:rtl/>
          <w:lang w:bidi="ar-AE"/>
        </w:rPr>
        <w:t xml:space="preserve"> وإن</w:t>
      </w:r>
      <w:r w:rsidR="009F1CE7" w:rsidRPr="00904FCB">
        <w:rPr>
          <w:rFonts w:hint="cs"/>
          <w:sz w:val="27"/>
          <w:rtl/>
          <w:lang w:bidi="ar-AE"/>
        </w:rPr>
        <w:t>ْ</w:t>
      </w:r>
      <w:r w:rsidRPr="00904FCB">
        <w:rPr>
          <w:rFonts w:hint="cs"/>
          <w:sz w:val="27"/>
          <w:rtl/>
          <w:lang w:bidi="ar-AE"/>
        </w:rPr>
        <w:t xml:space="preserve"> اشتملت على آثار حسنة وسيئة فهي حلال</w:t>
      </w:r>
      <w:r w:rsidR="009F1CE7" w:rsidRPr="00904FCB">
        <w:rPr>
          <w:rFonts w:hint="cs"/>
          <w:sz w:val="27"/>
          <w:rtl/>
          <w:lang w:bidi="ar-AE"/>
        </w:rPr>
        <w:t>ٌ</w:t>
      </w:r>
      <w:r w:rsidRPr="00904FCB">
        <w:rPr>
          <w:rFonts w:hint="cs"/>
          <w:sz w:val="27"/>
          <w:rtl/>
          <w:lang w:bidi="ar-AE"/>
        </w:rPr>
        <w:t xml:space="preserve"> أيضاً. وفي ذلك يقول الإمام: </w:t>
      </w:r>
      <w:r w:rsidRPr="00904FCB">
        <w:rPr>
          <w:rFonts w:hint="eastAsia"/>
          <w:sz w:val="27"/>
          <w:rtl/>
        </w:rPr>
        <w:t>«</w:t>
      </w:r>
      <w:r w:rsidRPr="00904FCB">
        <w:rPr>
          <w:rFonts w:hint="cs"/>
          <w:sz w:val="27"/>
          <w:rtl/>
          <w:lang w:bidi="ar-AE"/>
        </w:rPr>
        <w:t>إن</w:t>
      </w:r>
      <w:r w:rsidR="009F1CE7" w:rsidRPr="00904FCB">
        <w:rPr>
          <w:rFonts w:hint="cs"/>
          <w:sz w:val="27"/>
          <w:rtl/>
          <w:lang w:bidi="ar-AE"/>
        </w:rPr>
        <w:t>ّ</w:t>
      </w:r>
      <w:r w:rsidRPr="00904FCB">
        <w:rPr>
          <w:rFonts w:hint="cs"/>
          <w:sz w:val="27"/>
          <w:rtl/>
          <w:lang w:bidi="ar-AE"/>
        </w:rPr>
        <w:t>ما حرّ</w:t>
      </w:r>
      <w:r w:rsidR="009F1CE7" w:rsidRPr="00904FCB">
        <w:rPr>
          <w:rFonts w:hint="cs"/>
          <w:sz w:val="27"/>
          <w:rtl/>
          <w:lang w:bidi="ar-AE"/>
        </w:rPr>
        <w:t>َ</w:t>
      </w:r>
      <w:r w:rsidRPr="00904FCB">
        <w:rPr>
          <w:rFonts w:hint="cs"/>
          <w:sz w:val="27"/>
          <w:rtl/>
          <w:lang w:bidi="ar-AE"/>
        </w:rPr>
        <w:t>م الله الصناعة التي حرام كلها</w:t>
      </w:r>
      <w:r w:rsidR="009F1CE7" w:rsidRPr="00904FCB">
        <w:rPr>
          <w:rFonts w:hint="cs"/>
          <w:sz w:val="27"/>
          <w:rtl/>
          <w:lang w:bidi="ar-AE"/>
        </w:rPr>
        <w:t>،</w:t>
      </w:r>
      <w:r w:rsidRPr="00904FCB">
        <w:rPr>
          <w:rFonts w:hint="cs"/>
          <w:sz w:val="27"/>
          <w:rtl/>
          <w:lang w:bidi="ar-AE"/>
        </w:rPr>
        <w:t xml:space="preserve"> التي يجيء منها الفساد محضاً</w:t>
      </w:r>
      <w:r w:rsidRPr="00904FCB">
        <w:rPr>
          <w:rFonts w:hint="eastAsia"/>
          <w:sz w:val="27"/>
          <w:rtl/>
        </w:rPr>
        <w:t>»</w:t>
      </w:r>
      <w:r w:rsidRPr="00904FCB">
        <w:rPr>
          <w:rFonts w:hint="cs"/>
          <w:sz w:val="27"/>
          <w:rtl/>
          <w:lang w:bidi="ar-AE"/>
        </w:rPr>
        <w:t xml:space="preserve">، وقال قبل ذلك: </w:t>
      </w:r>
      <w:r w:rsidRPr="00904FCB">
        <w:rPr>
          <w:rFonts w:hint="eastAsia"/>
          <w:sz w:val="27"/>
          <w:rtl/>
        </w:rPr>
        <w:t>«</w:t>
      </w:r>
      <w:r w:rsidRPr="00904FCB">
        <w:rPr>
          <w:rFonts w:hint="cs"/>
          <w:sz w:val="27"/>
          <w:rtl/>
          <w:lang w:bidi="ar-AE"/>
        </w:rPr>
        <w:t>أو ما يقوى به الكفر</w:t>
      </w:r>
      <w:r w:rsidRPr="00904FCB">
        <w:rPr>
          <w:rFonts w:hint="eastAsia"/>
          <w:sz w:val="27"/>
          <w:rtl/>
        </w:rPr>
        <w:t>»</w:t>
      </w:r>
      <w:r w:rsidRPr="00904FCB">
        <w:rPr>
          <w:sz w:val="27"/>
          <w:vertAlign w:val="superscript"/>
          <w:rtl/>
          <w:lang w:bidi="ar-AE"/>
        </w:rPr>
        <w:t>(</w:t>
      </w:r>
      <w:r w:rsidRPr="00904FCB">
        <w:rPr>
          <w:rStyle w:val="ac"/>
          <w:sz w:val="27"/>
          <w:rtl/>
          <w:lang w:bidi="ar-AE"/>
        </w:rPr>
        <w:endnoteReference w:id="80"/>
      </w:r>
      <w:r w:rsidRPr="00904FCB">
        <w:rPr>
          <w:sz w:val="27"/>
          <w:vertAlign w:val="superscript"/>
          <w:rtl/>
          <w:lang w:bidi="ar-AE"/>
        </w:rPr>
        <w:t>)</w:t>
      </w:r>
      <w:r w:rsidRPr="00904FCB">
        <w:rPr>
          <w:rFonts w:hint="cs"/>
          <w:sz w:val="27"/>
          <w:rtl/>
          <w:lang w:bidi="ar-AE"/>
        </w:rPr>
        <w:t xml:space="preserve">. </w:t>
      </w:r>
    </w:p>
    <w:p w:rsidR="00BF56C8" w:rsidRPr="00904FCB" w:rsidRDefault="00BF56C8" w:rsidP="007A21AA">
      <w:pPr>
        <w:spacing w:line="400" w:lineRule="exact"/>
        <w:rPr>
          <w:sz w:val="27"/>
          <w:rtl/>
          <w:lang w:bidi="ar-AE"/>
        </w:rPr>
      </w:pPr>
      <w:r w:rsidRPr="00904FCB">
        <w:rPr>
          <w:rFonts w:hint="cs"/>
          <w:sz w:val="27"/>
          <w:rtl/>
          <w:lang w:bidi="ar-AE"/>
        </w:rPr>
        <w:t>وبطبيعة الحال فإن هذه الرواية لا تتحدّ</w:t>
      </w:r>
      <w:r w:rsidR="009F1CE7" w:rsidRPr="00904FCB">
        <w:rPr>
          <w:rFonts w:hint="cs"/>
          <w:sz w:val="27"/>
          <w:rtl/>
          <w:lang w:bidi="ar-AE"/>
        </w:rPr>
        <w:t>َ</w:t>
      </w:r>
      <w:r w:rsidRPr="00904FCB">
        <w:rPr>
          <w:rFonts w:hint="cs"/>
          <w:sz w:val="27"/>
          <w:rtl/>
          <w:lang w:bidi="ar-AE"/>
        </w:rPr>
        <w:t>ث عن خصوص كتب الضلال أو غيرها</w:t>
      </w:r>
      <w:r w:rsidR="009F1CE7" w:rsidRPr="00904FCB">
        <w:rPr>
          <w:rFonts w:hint="cs"/>
          <w:sz w:val="27"/>
          <w:rtl/>
          <w:lang w:bidi="ar-AE"/>
        </w:rPr>
        <w:t>،</w:t>
      </w:r>
      <w:r w:rsidRPr="00904FCB">
        <w:rPr>
          <w:rFonts w:hint="cs"/>
          <w:sz w:val="27"/>
          <w:rtl/>
          <w:lang w:bidi="ar-AE"/>
        </w:rPr>
        <w:t xml:space="preserve"> إلا أن المستدلّ بها يستنبط منها العموم</w:t>
      </w:r>
      <w:r w:rsidR="009F1CE7" w:rsidRPr="00904FCB">
        <w:rPr>
          <w:rFonts w:hint="cs"/>
          <w:sz w:val="27"/>
          <w:rtl/>
          <w:lang w:bidi="ar-AE"/>
        </w:rPr>
        <w:t>،</w:t>
      </w:r>
      <w:r w:rsidRPr="00904FCB">
        <w:rPr>
          <w:rFonts w:hint="cs"/>
          <w:sz w:val="27"/>
          <w:rtl/>
          <w:lang w:bidi="ar-AE"/>
        </w:rPr>
        <w:t xml:space="preserve"> بحيث يشمل هذا الحكم اقتناء كتب الضلال أيضاً، بتقريب أن الرواية تقول</w:t>
      </w:r>
      <w:r w:rsidR="009F1CE7" w:rsidRPr="00904FCB">
        <w:rPr>
          <w:rFonts w:hint="cs"/>
          <w:sz w:val="27"/>
          <w:rtl/>
          <w:lang w:bidi="ar-AE"/>
        </w:rPr>
        <w:t>:</w:t>
      </w:r>
      <w:r w:rsidRPr="00904FCB">
        <w:rPr>
          <w:rFonts w:hint="cs"/>
          <w:sz w:val="27"/>
          <w:rtl/>
          <w:lang w:bidi="ar-AE"/>
        </w:rPr>
        <w:t xml:space="preserve"> إن كل صناعة لا ينتج منها غير الفساد أو تقوّي الكفر فهي حرام. وحيث </w:t>
      </w:r>
      <w:r w:rsidR="009F1CE7" w:rsidRPr="00904FCB">
        <w:rPr>
          <w:rFonts w:hint="cs"/>
          <w:sz w:val="27"/>
          <w:rtl/>
          <w:lang w:bidi="ar-AE"/>
        </w:rPr>
        <w:t>إ</w:t>
      </w:r>
      <w:r w:rsidRPr="00904FCB">
        <w:rPr>
          <w:rFonts w:hint="cs"/>
          <w:sz w:val="27"/>
          <w:rtl/>
          <w:lang w:bidi="ar-AE"/>
        </w:rPr>
        <w:t>ن تأليف الكتب صناعة وعمل فإنه طبقاً لهذه الرواية إذا كان مشتملاً على مجرّ</w:t>
      </w:r>
      <w:r w:rsidR="009F1CE7" w:rsidRPr="00904FCB">
        <w:rPr>
          <w:rFonts w:hint="cs"/>
          <w:sz w:val="27"/>
          <w:rtl/>
          <w:lang w:bidi="ar-AE"/>
        </w:rPr>
        <w:t>َ</w:t>
      </w:r>
      <w:r w:rsidRPr="00904FCB">
        <w:rPr>
          <w:rFonts w:hint="cs"/>
          <w:sz w:val="27"/>
          <w:rtl/>
          <w:lang w:bidi="ar-AE"/>
        </w:rPr>
        <w:t>د الفساد فهو حرام</w:t>
      </w:r>
      <w:r w:rsidR="009F1CE7" w:rsidRPr="00904FCB">
        <w:rPr>
          <w:rFonts w:hint="cs"/>
          <w:sz w:val="27"/>
          <w:rtl/>
          <w:lang w:bidi="ar-AE"/>
        </w:rPr>
        <w:t>ٌ</w:t>
      </w:r>
      <w:r w:rsidRPr="00904FCB">
        <w:rPr>
          <w:rFonts w:hint="cs"/>
          <w:sz w:val="27"/>
          <w:rtl/>
          <w:lang w:bidi="ar-AE"/>
        </w:rPr>
        <w:t xml:space="preserve">، ولذلك يحرم نشر هذا النوع من الكتب وتوزيعها وشراؤها وحفظها أيضاً. </w:t>
      </w:r>
    </w:p>
    <w:p w:rsidR="00BF56C8" w:rsidRPr="00904FCB" w:rsidRDefault="00BF56C8" w:rsidP="007A21AA">
      <w:pPr>
        <w:spacing w:line="400" w:lineRule="exact"/>
        <w:rPr>
          <w:sz w:val="27"/>
          <w:rtl/>
          <w:lang w:bidi="ar-AE"/>
        </w:rPr>
      </w:pPr>
      <w:r w:rsidRPr="00904FCB">
        <w:rPr>
          <w:rFonts w:hint="cs"/>
          <w:sz w:val="27"/>
          <w:rtl/>
          <w:lang w:bidi="ar-AE"/>
        </w:rPr>
        <w:t>إن هذا المنطق يقر</w:t>
      </w:r>
      <w:r w:rsidR="009F1CE7" w:rsidRPr="00904FCB">
        <w:rPr>
          <w:rFonts w:hint="cs"/>
          <w:sz w:val="27"/>
          <w:rtl/>
          <w:lang w:bidi="ar-AE"/>
        </w:rPr>
        <w:t>ِّ</w:t>
      </w:r>
      <w:r w:rsidRPr="00904FCB">
        <w:rPr>
          <w:rFonts w:hint="cs"/>
          <w:sz w:val="27"/>
          <w:rtl/>
          <w:lang w:bidi="ar-AE"/>
        </w:rPr>
        <w:t>بنا من الاستدلال العقلي الذي يمكن لنا ـ حت</w:t>
      </w:r>
      <w:r w:rsidR="009F1CE7" w:rsidRPr="00904FCB">
        <w:rPr>
          <w:rFonts w:hint="cs"/>
          <w:sz w:val="27"/>
          <w:rtl/>
          <w:lang w:bidi="ar-AE"/>
        </w:rPr>
        <w:t>ّ</w:t>
      </w:r>
      <w:r w:rsidRPr="00904FCB">
        <w:rPr>
          <w:rFonts w:hint="cs"/>
          <w:sz w:val="27"/>
          <w:rtl/>
          <w:lang w:bidi="ar-AE"/>
        </w:rPr>
        <w:t>ى مع عدم وجود حديث</w:t>
      </w:r>
      <w:r w:rsidR="009F1CE7" w:rsidRPr="00904FCB">
        <w:rPr>
          <w:rFonts w:hint="cs"/>
          <w:sz w:val="27"/>
          <w:rtl/>
          <w:lang w:bidi="ar-AE"/>
        </w:rPr>
        <w:t>ٍ</w:t>
      </w:r>
      <w:r w:rsidRPr="00904FCB">
        <w:rPr>
          <w:rFonts w:hint="cs"/>
          <w:sz w:val="27"/>
          <w:rtl/>
          <w:lang w:bidi="ar-AE"/>
        </w:rPr>
        <w:t xml:space="preserve"> ـ أن نستند إليه</w:t>
      </w:r>
      <w:r w:rsidR="009F1CE7" w:rsidRPr="00904FCB">
        <w:rPr>
          <w:rFonts w:hint="cs"/>
          <w:sz w:val="27"/>
          <w:rtl/>
          <w:lang w:bidi="ar-AE"/>
        </w:rPr>
        <w:t>.</w:t>
      </w:r>
      <w:r w:rsidRPr="00904FCB">
        <w:rPr>
          <w:rFonts w:hint="cs"/>
          <w:sz w:val="27"/>
          <w:rtl/>
          <w:lang w:bidi="ar-AE"/>
        </w:rPr>
        <w:t xml:space="preserve"> وهذا أساساً هو موضع البحث</w:t>
      </w:r>
      <w:r w:rsidR="009F1CE7" w:rsidRPr="00904FCB">
        <w:rPr>
          <w:rFonts w:hint="cs"/>
          <w:sz w:val="27"/>
          <w:rtl/>
          <w:lang w:bidi="ar-AE"/>
        </w:rPr>
        <w:t>.</w:t>
      </w:r>
      <w:r w:rsidRPr="00904FCB">
        <w:rPr>
          <w:rFonts w:hint="cs"/>
          <w:sz w:val="27"/>
          <w:rtl/>
          <w:lang w:bidi="ar-AE"/>
        </w:rPr>
        <w:t xml:space="preserve"> و</w:t>
      </w:r>
      <w:r w:rsidR="009F1CE7" w:rsidRPr="00904FCB">
        <w:rPr>
          <w:rFonts w:hint="cs"/>
          <w:sz w:val="27"/>
          <w:rtl/>
          <w:lang w:bidi="ar-AE"/>
        </w:rPr>
        <w:t>إ</w:t>
      </w:r>
      <w:r w:rsidRPr="00904FCB">
        <w:rPr>
          <w:rFonts w:hint="cs"/>
          <w:sz w:val="27"/>
          <w:rtl/>
          <w:lang w:bidi="ar-AE"/>
        </w:rPr>
        <w:t>ن الفقهاء الذين استدلوا على حرمة حفظ كتب الضلال إنما بحثوا هذه الحرمة من الناحية العقلية، وقالوا بعدم وجود ضرورة إلى الاستدلال على حرمة حفظ كتب الضلال بالآيات أو الروايات، بل يكفي في ذلك الاستناد إلى حكم العقل بحرمة كل</w:t>
      </w:r>
      <w:r w:rsidR="009F1CE7" w:rsidRPr="00904FCB">
        <w:rPr>
          <w:rFonts w:hint="cs"/>
          <w:sz w:val="27"/>
          <w:rtl/>
          <w:lang w:bidi="ar-AE"/>
        </w:rPr>
        <w:t>ّ</w:t>
      </w:r>
      <w:r w:rsidRPr="00904FCB">
        <w:rPr>
          <w:rFonts w:hint="cs"/>
          <w:sz w:val="27"/>
          <w:rtl/>
          <w:lang w:bidi="ar-AE"/>
        </w:rPr>
        <w:t xml:space="preserve"> عمل</w:t>
      </w:r>
      <w:r w:rsidR="009F1CE7" w:rsidRPr="00904FCB">
        <w:rPr>
          <w:rFonts w:hint="cs"/>
          <w:sz w:val="27"/>
          <w:rtl/>
          <w:lang w:bidi="ar-AE"/>
        </w:rPr>
        <w:t>ٍ</w:t>
      </w:r>
      <w:r w:rsidRPr="00904FCB">
        <w:rPr>
          <w:rFonts w:hint="cs"/>
          <w:sz w:val="27"/>
          <w:rtl/>
          <w:lang w:bidi="ar-AE"/>
        </w:rPr>
        <w:t xml:space="preserve"> لا ينتج منه غير الفساد</w:t>
      </w:r>
      <w:r w:rsidR="009F1CE7" w:rsidRPr="00904FCB">
        <w:rPr>
          <w:rFonts w:hint="cs"/>
          <w:sz w:val="27"/>
          <w:rtl/>
          <w:lang w:bidi="ar-AE"/>
        </w:rPr>
        <w:t>.</w:t>
      </w:r>
      <w:r w:rsidRPr="00904FCB">
        <w:rPr>
          <w:rFonts w:hint="cs"/>
          <w:sz w:val="27"/>
          <w:rtl/>
          <w:lang w:bidi="ar-AE"/>
        </w:rPr>
        <w:t xml:space="preserve"> وحفظ كتب الضلال ليس سوى حفظ</w:t>
      </w:r>
      <w:r w:rsidR="009F1CE7" w:rsidRPr="00904FCB">
        <w:rPr>
          <w:rFonts w:hint="cs"/>
          <w:sz w:val="27"/>
          <w:rtl/>
          <w:lang w:bidi="ar-AE"/>
        </w:rPr>
        <w:t>ٍ</w:t>
      </w:r>
      <w:r w:rsidRPr="00904FCB">
        <w:rPr>
          <w:rFonts w:hint="cs"/>
          <w:sz w:val="27"/>
          <w:rtl/>
          <w:lang w:bidi="ar-AE"/>
        </w:rPr>
        <w:t xml:space="preserve"> لماد</w:t>
      </w:r>
      <w:r w:rsidR="009F1CE7" w:rsidRPr="00904FCB">
        <w:rPr>
          <w:rFonts w:hint="cs"/>
          <w:sz w:val="27"/>
          <w:rtl/>
          <w:lang w:bidi="ar-AE"/>
        </w:rPr>
        <w:t>ّ</w:t>
      </w:r>
      <w:r w:rsidRPr="00904FCB">
        <w:rPr>
          <w:rFonts w:hint="cs"/>
          <w:sz w:val="27"/>
          <w:rtl/>
          <w:lang w:bidi="ar-AE"/>
        </w:rPr>
        <w:t>ة الفساد فيحرم حفظها إذن. وإن</w:t>
      </w:r>
      <w:r w:rsidR="009F1CE7" w:rsidRPr="00904FCB">
        <w:rPr>
          <w:rFonts w:hint="cs"/>
          <w:sz w:val="27"/>
          <w:rtl/>
          <w:lang w:bidi="ar-AE"/>
        </w:rPr>
        <w:t>ّ</w:t>
      </w:r>
      <w:r w:rsidRPr="00904FCB">
        <w:rPr>
          <w:rFonts w:hint="cs"/>
          <w:sz w:val="27"/>
          <w:rtl/>
          <w:lang w:bidi="ar-AE"/>
        </w:rPr>
        <w:t xml:space="preserve"> نشرها ليس سوى نشر لمادة الفساد فيحرم نشرها أيضاً.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نماذج من كتب الضلال</w:t>
      </w:r>
    </w:p>
    <w:p w:rsidR="009F1CE7" w:rsidRPr="00904FCB" w:rsidRDefault="00BF56C8" w:rsidP="0051752E">
      <w:pPr>
        <w:spacing w:line="400" w:lineRule="exact"/>
        <w:rPr>
          <w:sz w:val="27"/>
          <w:rtl/>
          <w:lang w:bidi="ar-AE"/>
        </w:rPr>
      </w:pPr>
      <w:r w:rsidRPr="00904FCB">
        <w:rPr>
          <w:rFonts w:hint="cs"/>
          <w:sz w:val="27"/>
          <w:rtl/>
          <w:lang w:bidi="ar-AE"/>
        </w:rPr>
        <w:t>في</w:t>
      </w:r>
      <w:r w:rsidR="009F1CE7" w:rsidRPr="00904FCB">
        <w:rPr>
          <w:rFonts w:hint="cs"/>
          <w:sz w:val="27"/>
          <w:rtl/>
          <w:lang w:bidi="ar-AE"/>
        </w:rPr>
        <w:t xml:space="preserve"> </w:t>
      </w:r>
      <w:r w:rsidRPr="00904FCB">
        <w:rPr>
          <w:rFonts w:hint="cs"/>
          <w:sz w:val="27"/>
          <w:rtl/>
          <w:lang w:bidi="ar-AE"/>
        </w:rPr>
        <w:t>ما يتعل</w:t>
      </w:r>
      <w:r w:rsidR="009F1CE7" w:rsidRPr="00904FCB">
        <w:rPr>
          <w:rFonts w:hint="cs"/>
          <w:sz w:val="27"/>
          <w:rtl/>
          <w:lang w:bidi="ar-AE"/>
        </w:rPr>
        <w:t>َّ</w:t>
      </w:r>
      <w:r w:rsidRPr="00904FCB">
        <w:rPr>
          <w:rFonts w:hint="cs"/>
          <w:sz w:val="27"/>
          <w:rtl/>
          <w:lang w:bidi="ar-AE"/>
        </w:rPr>
        <w:t xml:space="preserve">ق ببعض الكتب الواضح فسادها بالنسبة إلى جميع الناس ـ سواء </w:t>
      </w:r>
      <w:r w:rsidRPr="00904FCB">
        <w:rPr>
          <w:rFonts w:hint="cs"/>
          <w:sz w:val="27"/>
          <w:rtl/>
          <w:lang w:bidi="ar-AE"/>
        </w:rPr>
        <w:lastRenderedPageBreak/>
        <w:t>أكانوا من المتدي</w:t>
      </w:r>
      <w:r w:rsidR="009F1CE7" w:rsidRPr="00904FCB">
        <w:rPr>
          <w:rFonts w:hint="cs"/>
          <w:sz w:val="27"/>
          <w:rtl/>
          <w:lang w:bidi="ar-AE"/>
        </w:rPr>
        <w:t>ِّ</w:t>
      </w:r>
      <w:r w:rsidRPr="00904FCB">
        <w:rPr>
          <w:rFonts w:hint="cs"/>
          <w:sz w:val="27"/>
          <w:rtl/>
          <w:lang w:bidi="ar-AE"/>
        </w:rPr>
        <w:t>نين أم غير المتدي</w:t>
      </w:r>
      <w:r w:rsidR="009F1CE7" w:rsidRPr="00904FCB">
        <w:rPr>
          <w:rFonts w:hint="cs"/>
          <w:sz w:val="27"/>
          <w:rtl/>
          <w:lang w:bidi="ar-AE"/>
        </w:rPr>
        <w:t>ِّ</w:t>
      </w:r>
      <w:r w:rsidRPr="00904FCB">
        <w:rPr>
          <w:rFonts w:hint="cs"/>
          <w:sz w:val="27"/>
          <w:rtl/>
          <w:lang w:bidi="ar-AE"/>
        </w:rPr>
        <w:t>نين ـ فإن الحكم بشأنها واضح</w:t>
      </w:r>
      <w:r w:rsidR="009F1CE7" w:rsidRPr="00904FCB">
        <w:rPr>
          <w:rFonts w:hint="cs"/>
          <w:sz w:val="27"/>
          <w:rtl/>
          <w:lang w:bidi="ar-AE"/>
        </w:rPr>
        <w:t>ٌ</w:t>
      </w:r>
      <w:r w:rsidRPr="00904FCB">
        <w:rPr>
          <w:rFonts w:hint="cs"/>
          <w:sz w:val="27"/>
          <w:rtl/>
          <w:lang w:bidi="ar-AE"/>
        </w:rPr>
        <w:t xml:space="preserve"> [وهو ضرورة حظرها]</w:t>
      </w:r>
      <w:r w:rsidR="009F1CE7" w:rsidRPr="00904FCB">
        <w:rPr>
          <w:rFonts w:hint="cs"/>
          <w:sz w:val="27"/>
          <w:rtl/>
          <w:lang w:bidi="ar-AE"/>
        </w:rPr>
        <w:t>.</w:t>
      </w:r>
      <w:r w:rsidRPr="00904FCB">
        <w:rPr>
          <w:rFonts w:hint="cs"/>
          <w:sz w:val="27"/>
          <w:rtl/>
          <w:lang w:bidi="ar-AE"/>
        </w:rPr>
        <w:t xml:space="preserve"> وربما كان هذا الحكم مُج</w:t>
      </w:r>
      <w:r w:rsidR="007066D1">
        <w:rPr>
          <w:rFonts w:hint="cs"/>
          <w:sz w:val="27"/>
          <w:rtl/>
          <w:lang w:bidi="ar-AE"/>
        </w:rPr>
        <w:t>ْ</w:t>
      </w:r>
      <w:r w:rsidRPr="00904FCB">
        <w:rPr>
          <w:rFonts w:hint="cs"/>
          <w:sz w:val="27"/>
          <w:rtl/>
          <w:lang w:bidi="ar-AE"/>
        </w:rPr>
        <w:t>م</w:t>
      </w:r>
      <w:r w:rsidR="009F1CE7" w:rsidRPr="00904FCB">
        <w:rPr>
          <w:rFonts w:hint="cs"/>
          <w:sz w:val="27"/>
          <w:rtl/>
          <w:lang w:bidi="ar-AE"/>
        </w:rPr>
        <w:t>َ</w:t>
      </w:r>
      <w:r w:rsidRPr="00904FCB">
        <w:rPr>
          <w:rFonts w:hint="cs"/>
          <w:sz w:val="27"/>
          <w:rtl/>
          <w:lang w:bidi="ar-AE"/>
        </w:rPr>
        <w:t>ع</w:t>
      </w:r>
      <w:r w:rsidR="009F1CE7" w:rsidRPr="00904FCB">
        <w:rPr>
          <w:rFonts w:hint="cs"/>
          <w:sz w:val="27"/>
          <w:rtl/>
          <w:lang w:bidi="ar-AE"/>
        </w:rPr>
        <w:t>اً</w:t>
      </w:r>
      <w:r w:rsidRPr="00904FCB">
        <w:rPr>
          <w:rFonts w:hint="cs"/>
          <w:sz w:val="27"/>
          <w:rtl/>
          <w:lang w:bidi="ar-AE"/>
        </w:rPr>
        <w:t xml:space="preserve"> عليه من قبل جميع عقلاء العالم، سواء في ذلك المتدي</w:t>
      </w:r>
      <w:r w:rsidR="009F1CE7" w:rsidRPr="00904FCB">
        <w:rPr>
          <w:rFonts w:hint="cs"/>
          <w:sz w:val="27"/>
          <w:rtl/>
          <w:lang w:bidi="ar-AE"/>
        </w:rPr>
        <w:t>ِّ</w:t>
      </w:r>
      <w:r w:rsidRPr="00904FCB">
        <w:rPr>
          <w:rFonts w:hint="cs"/>
          <w:sz w:val="27"/>
          <w:rtl/>
          <w:lang w:bidi="ar-AE"/>
        </w:rPr>
        <w:t>نين وغيرهم</w:t>
      </w:r>
      <w:r w:rsidR="009F1CE7" w:rsidRPr="00904FCB">
        <w:rPr>
          <w:rFonts w:hint="cs"/>
          <w:sz w:val="27"/>
          <w:rtl/>
          <w:lang w:bidi="ar-AE"/>
        </w:rPr>
        <w:t>. وذلك</w:t>
      </w:r>
      <w:r w:rsidRPr="00904FCB">
        <w:rPr>
          <w:rFonts w:hint="cs"/>
          <w:sz w:val="27"/>
          <w:rtl/>
          <w:lang w:bidi="ar-AE"/>
        </w:rPr>
        <w:t xml:space="preserve"> من قبيل</w:t>
      </w:r>
      <w:r w:rsidR="009F1CE7" w:rsidRPr="00904FCB">
        <w:rPr>
          <w:rFonts w:hint="cs"/>
          <w:sz w:val="27"/>
          <w:rtl/>
          <w:lang w:bidi="ar-AE"/>
        </w:rPr>
        <w:t>:</w:t>
      </w:r>
      <w:r w:rsidRPr="00904FCB">
        <w:rPr>
          <w:rFonts w:hint="cs"/>
          <w:sz w:val="27"/>
          <w:rtl/>
          <w:lang w:bidi="ar-AE"/>
        </w:rPr>
        <w:t xml:space="preserve"> كتابة مقالة تهدف إلى إفساد الشباب ـ من الفتيان والفتيات ـ</w:t>
      </w:r>
      <w:r w:rsidR="009F1CE7" w:rsidRPr="00904FCB">
        <w:rPr>
          <w:rFonts w:hint="cs"/>
          <w:sz w:val="27"/>
          <w:rtl/>
          <w:lang w:bidi="ar-AE"/>
        </w:rPr>
        <w:t>،</w:t>
      </w:r>
      <w:r w:rsidRPr="00904FCB">
        <w:rPr>
          <w:rFonts w:hint="cs"/>
          <w:sz w:val="27"/>
          <w:rtl/>
          <w:lang w:bidi="ar-AE"/>
        </w:rPr>
        <w:t xml:space="preserve"> مع أنها لا تتعرّ</w:t>
      </w:r>
      <w:r w:rsidR="009F1CE7" w:rsidRPr="00904FCB">
        <w:rPr>
          <w:rFonts w:hint="cs"/>
          <w:sz w:val="27"/>
          <w:rtl/>
          <w:lang w:bidi="ar-AE"/>
        </w:rPr>
        <w:t>َ</w:t>
      </w:r>
      <w:r w:rsidRPr="00904FCB">
        <w:rPr>
          <w:rFonts w:hint="cs"/>
          <w:sz w:val="27"/>
          <w:rtl/>
          <w:lang w:bidi="ar-AE"/>
        </w:rPr>
        <w:t>ض إلى الأديان والعقائد، كتلك التي تدعو اليافعين إلى التهت</w:t>
      </w:r>
      <w:r w:rsidR="009F1CE7" w:rsidRPr="00904FCB">
        <w:rPr>
          <w:rFonts w:hint="cs"/>
          <w:sz w:val="27"/>
          <w:rtl/>
          <w:lang w:bidi="ar-AE"/>
        </w:rPr>
        <w:t>ُّ</w:t>
      </w:r>
      <w:r w:rsidRPr="00904FCB">
        <w:rPr>
          <w:rFonts w:hint="cs"/>
          <w:sz w:val="27"/>
          <w:rtl/>
          <w:lang w:bidi="ar-AE"/>
        </w:rPr>
        <w:t>ك والتحل</w:t>
      </w:r>
      <w:r w:rsidR="009F1CE7" w:rsidRPr="00904FCB">
        <w:rPr>
          <w:rFonts w:hint="cs"/>
          <w:sz w:val="27"/>
          <w:rtl/>
          <w:lang w:bidi="ar-AE"/>
        </w:rPr>
        <w:t>ُّ</w:t>
      </w:r>
      <w:r w:rsidRPr="00904FCB">
        <w:rPr>
          <w:rFonts w:hint="cs"/>
          <w:sz w:val="27"/>
          <w:rtl/>
          <w:lang w:bidi="ar-AE"/>
        </w:rPr>
        <w:t xml:space="preserve">ل الجنسي! </w:t>
      </w:r>
    </w:p>
    <w:p w:rsidR="000F30CB" w:rsidRPr="00904FCB" w:rsidRDefault="00BF56C8" w:rsidP="007A21AA">
      <w:pPr>
        <w:spacing w:line="400" w:lineRule="exact"/>
        <w:rPr>
          <w:sz w:val="27"/>
          <w:rtl/>
          <w:lang w:bidi="ar-AE"/>
        </w:rPr>
      </w:pPr>
      <w:r w:rsidRPr="00904FCB">
        <w:rPr>
          <w:rFonts w:hint="cs"/>
          <w:sz w:val="27"/>
          <w:rtl/>
          <w:lang w:bidi="ar-AE"/>
        </w:rPr>
        <w:t xml:space="preserve">لقد قرأت في مقدّمة كتاب </w:t>
      </w:r>
      <w:r w:rsidRPr="00904FCB">
        <w:rPr>
          <w:rFonts w:hint="eastAsia"/>
          <w:sz w:val="27"/>
          <w:rtl/>
        </w:rPr>
        <w:t>«</w:t>
      </w:r>
      <w:r w:rsidRPr="00904FCB">
        <w:rPr>
          <w:rFonts w:hint="cs"/>
          <w:sz w:val="27"/>
          <w:rtl/>
          <w:lang w:bidi="ar-AE"/>
        </w:rPr>
        <w:t>فتنة</w:t>
      </w:r>
      <w:r w:rsidRPr="00904FCB">
        <w:rPr>
          <w:rFonts w:hint="eastAsia"/>
          <w:sz w:val="27"/>
          <w:rtl/>
        </w:rPr>
        <w:t>»</w:t>
      </w:r>
      <w:r w:rsidR="009F1CE7" w:rsidRPr="00904FCB">
        <w:rPr>
          <w:rFonts w:hint="cs"/>
          <w:sz w:val="27"/>
          <w:rtl/>
        </w:rPr>
        <w:t>،</w:t>
      </w:r>
      <w:r w:rsidRPr="00904FCB">
        <w:rPr>
          <w:rFonts w:hint="cs"/>
          <w:sz w:val="27"/>
          <w:rtl/>
          <w:lang w:bidi="ar-AE"/>
        </w:rPr>
        <w:t xml:space="preserve"> لمؤل</w:t>
      </w:r>
      <w:r w:rsidR="009F1CE7" w:rsidRPr="00904FCB">
        <w:rPr>
          <w:rFonts w:hint="cs"/>
          <w:sz w:val="27"/>
          <w:rtl/>
          <w:lang w:bidi="ar-AE"/>
        </w:rPr>
        <w:t>ِّ</w:t>
      </w:r>
      <w:r w:rsidRPr="00904FCB">
        <w:rPr>
          <w:rFonts w:hint="cs"/>
          <w:sz w:val="27"/>
          <w:rtl/>
          <w:lang w:bidi="ar-AE"/>
        </w:rPr>
        <w:t>فه علي الدشتي، أنه يعترف بأن سي</w:t>
      </w:r>
      <w:r w:rsidR="009F1CE7" w:rsidRPr="00904FCB">
        <w:rPr>
          <w:rFonts w:hint="cs"/>
          <w:sz w:val="27"/>
          <w:rtl/>
          <w:lang w:bidi="ar-AE"/>
        </w:rPr>
        <w:t>ِّ</w:t>
      </w:r>
      <w:r w:rsidRPr="00904FCB">
        <w:rPr>
          <w:rFonts w:hint="cs"/>
          <w:sz w:val="27"/>
          <w:rtl/>
          <w:lang w:bidi="ar-AE"/>
        </w:rPr>
        <w:t>دة ذكرت له أنها قد اشترت هذا الكتاب أربع مرّات، وفي كل مرّة يختلسه زوجها ويُب</w:t>
      </w:r>
      <w:r w:rsidR="009F1CE7" w:rsidRPr="00904FCB">
        <w:rPr>
          <w:rFonts w:hint="cs"/>
          <w:sz w:val="27"/>
          <w:rtl/>
          <w:lang w:bidi="ar-AE"/>
        </w:rPr>
        <w:t>ْ</w:t>
      </w:r>
      <w:r w:rsidRPr="00904FCB">
        <w:rPr>
          <w:rFonts w:hint="cs"/>
          <w:sz w:val="27"/>
          <w:rtl/>
          <w:lang w:bidi="ar-AE"/>
        </w:rPr>
        <w:t>عده عنها؛ لاعتقاده بأن هذا النوع من الكتب يُفسد السي</w:t>
      </w:r>
      <w:r w:rsidR="009F1CE7" w:rsidRPr="00904FCB">
        <w:rPr>
          <w:rFonts w:hint="cs"/>
          <w:sz w:val="27"/>
          <w:rtl/>
          <w:lang w:bidi="ar-AE"/>
        </w:rPr>
        <w:t>ِّ</w:t>
      </w:r>
      <w:r w:rsidRPr="00904FCB">
        <w:rPr>
          <w:rFonts w:hint="cs"/>
          <w:sz w:val="27"/>
          <w:rtl/>
          <w:lang w:bidi="ar-AE"/>
        </w:rPr>
        <w:t>دات المتزوّ</w:t>
      </w:r>
      <w:r w:rsidR="009F1CE7" w:rsidRPr="00904FCB">
        <w:rPr>
          <w:rFonts w:hint="cs"/>
          <w:sz w:val="27"/>
          <w:rtl/>
          <w:lang w:bidi="ar-AE"/>
        </w:rPr>
        <w:t>ِ</w:t>
      </w:r>
      <w:r w:rsidRPr="00904FCB">
        <w:rPr>
          <w:rFonts w:hint="cs"/>
          <w:sz w:val="27"/>
          <w:rtl/>
          <w:lang w:bidi="ar-AE"/>
        </w:rPr>
        <w:t>جات! وهو محقّ</w:t>
      </w:r>
      <w:r w:rsidR="000F30CB" w:rsidRPr="00904FCB">
        <w:rPr>
          <w:rFonts w:hint="cs"/>
          <w:sz w:val="27"/>
          <w:rtl/>
          <w:lang w:bidi="ar-AE"/>
        </w:rPr>
        <w:t>ٌ</w:t>
      </w:r>
      <w:r w:rsidRPr="00904FCB">
        <w:rPr>
          <w:rFonts w:hint="cs"/>
          <w:sz w:val="27"/>
          <w:rtl/>
          <w:lang w:bidi="ar-AE"/>
        </w:rPr>
        <w:t xml:space="preserve"> في ذلك. وعليه لو س</w:t>
      </w:r>
      <w:r w:rsidR="000F30CB" w:rsidRPr="00904FCB">
        <w:rPr>
          <w:rFonts w:hint="cs"/>
          <w:sz w:val="27"/>
          <w:rtl/>
          <w:lang w:bidi="ar-AE"/>
        </w:rPr>
        <w:t>َ</w:t>
      </w:r>
      <w:r w:rsidRPr="00904FCB">
        <w:rPr>
          <w:rFonts w:hint="cs"/>
          <w:sz w:val="27"/>
          <w:rtl/>
          <w:lang w:bidi="ar-AE"/>
        </w:rPr>
        <w:t>أ</w:t>
      </w:r>
      <w:r w:rsidR="000F30CB" w:rsidRPr="00904FCB">
        <w:rPr>
          <w:rFonts w:hint="cs"/>
          <w:sz w:val="27"/>
          <w:rtl/>
          <w:lang w:bidi="ar-AE"/>
        </w:rPr>
        <w:t>َ</w:t>
      </w:r>
      <w:r w:rsidRPr="00904FCB">
        <w:rPr>
          <w:rFonts w:hint="cs"/>
          <w:sz w:val="27"/>
          <w:rtl/>
          <w:lang w:bidi="ar-AE"/>
        </w:rPr>
        <w:t>ل</w:t>
      </w:r>
      <w:r w:rsidR="000F30CB" w:rsidRPr="00904FCB">
        <w:rPr>
          <w:rFonts w:hint="cs"/>
          <w:sz w:val="27"/>
          <w:rtl/>
          <w:lang w:bidi="ar-AE"/>
        </w:rPr>
        <w:t>َ</w:t>
      </w:r>
      <w:r w:rsidRPr="00904FCB">
        <w:rPr>
          <w:rFonts w:hint="cs"/>
          <w:sz w:val="27"/>
          <w:rtl/>
          <w:lang w:bidi="ar-AE"/>
        </w:rPr>
        <w:t>نا شخص</w:t>
      </w:r>
      <w:r w:rsidR="000F30CB" w:rsidRPr="00904FCB">
        <w:rPr>
          <w:rFonts w:hint="cs"/>
          <w:sz w:val="27"/>
          <w:rtl/>
          <w:lang w:bidi="ar-AE"/>
        </w:rPr>
        <w:t>ٌ</w:t>
      </w:r>
      <w:r w:rsidRPr="00904FCB">
        <w:rPr>
          <w:rFonts w:hint="cs"/>
          <w:sz w:val="27"/>
          <w:rtl/>
          <w:lang w:bidi="ar-AE"/>
        </w:rPr>
        <w:t xml:space="preserve"> عن حكم هذا النوع من الكتب والمقالات التي تنشر في الكثير من المجلات والصحف، من قبيل: مجل</w:t>
      </w:r>
      <w:r w:rsidR="000F30CB" w:rsidRPr="00904FCB">
        <w:rPr>
          <w:rFonts w:hint="cs"/>
          <w:sz w:val="27"/>
          <w:rtl/>
          <w:lang w:bidi="ar-AE"/>
        </w:rPr>
        <w:t>ّ</w:t>
      </w:r>
      <w:r w:rsidRPr="00904FCB">
        <w:rPr>
          <w:rFonts w:hint="cs"/>
          <w:sz w:val="27"/>
          <w:rtl/>
          <w:lang w:bidi="ar-AE"/>
        </w:rPr>
        <w:t>ة (زن روز)</w:t>
      </w:r>
      <w:r w:rsidRPr="00904FCB">
        <w:rPr>
          <w:sz w:val="27"/>
          <w:vertAlign w:val="superscript"/>
          <w:rtl/>
          <w:lang w:bidi="ar-AE"/>
        </w:rPr>
        <w:t>(</w:t>
      </w:r>
      <w:r w:rsidRPr="00904FCB">
        <w:rPr>
          <w:rStyle w:val="ac"/>
          <w:sz w:val="27"/>
          <w:rtl/>
          <w:lang w:bidi="ar-AE"/>
        </w:rPr>
        <w:endnoteReference w:id="81"/>
      </w:r>
      <w:r w:rsidRPr="00904FCB">
        <w:rPr>
          <w:sz w:val="27"/>
          <w:vertAlign w:val="superscript"/>
          <w:rtl/>
          <w:lang w:bidi="ar-AE"/>
        </w:rPr>
        <w:t>)</w:t>
      </w:r>
      <w:r w:rsidRPr="00904FCB">
        <w:rPr>
          <w:rFonts w:hint="cs"/>
          <w:sz w:val="27"/>
          <w:rtl/>
          <w:lang w:bidi="ar-AE"/>
        </w:rPr>
        <w:t>، و(اطلاعات جوانان)</w:t>
      </w:r>
      <w:r w:rsidRPr="00904FCB">
        <w:rPr>
          <w:sz w:val="27"/>
          <w:vertAlign w:val="superscript"/>
          <w:rtl/>
          <w:lang w:bidi="ar-AE"/>
        </w:rPr>
        <w:t>(</w:t>
      </w:r>
      <w:r w:rsidRPr="00904FCB">
        <w:rPr>
          <w:rStyle w:val="ac"/>
          <w:sz w:val="27"/>
          <w:rtl/>
          <w:lang w:bidi="ar-AE"/>
        </w:rPr>
        <w:endnoteReference w:id="82"/>
      </w:r>
      <w:r w:rsidRPr="00904FCB">
        <w:rPr>
          <w:sz w:val="27"/>
          <w:vertAlign w:val="superscript"/>
          <w:rtl/>
          <w:lang w:bidi="ar-AE"/>
        </w:rPr>
        <w:t>)</w:t>
      </w:r>
      <w:r w:rsidRPr="00904FCB">
        <w:rPr>
          <w:rFonts w:hint="cs"/>
          <w:sz w:val="27"/>
          <w:rtl/>
          <w:lang w:bidi="ar-AE"/>
        </w:rPr>
        <w:t>، والتي تهدف إلى تقويض بناء الأسر</w:t>
      </w:r>
      <w:r w:rsidR="000F30CB" w:rsidRPr="00904FCB">
        <w:rPr>
          <w:rFonts w:hint="cs"/>
          <w:sz w:val="27"/>
          <w:rtl/>
          <w:lang w:bidi="ar-AE"/>
        </w:rPr>
        <w:t>؟</w:t>
      </w:r>
      <w:r w:rsidRPr="00904FCB">
        <w:rPr>
          <w:rFonts w:hint="cs"/>
          <w:sz w:val="27"/>
          <w:rtl/>
          <w:lang w:bidi="ar-AE"/>
        </w:rPr>
        <w:t xml:space="preserve"> و</w:t>
      </w:r>
      <w:r w:rsidR="000F30CB" w:rsidRPr="00904FCB">
        <w:rPr>
          <w:rFonts w:hint="cs"/>
          <w:sz w:val="27"/>
          <w:rtl/>
          <w:lang w:bidi="ar-AE"/>
        </w:rPr>
        <w:t>عمّ</w:t>
      </w:r>
      <w:r w:rsidRPr="00904FCB">
        <w:rPr>
          <w:rFonts w:hint="cs"/>
          <w:sz w:val="27"/>
          <w:rtl/>
          <w:lang w:bidi="ar-AE"/>
        </w:rPr>
        <w:t>ا إذا كانت مثل هذه الكتابات حرام</w:t>
      </w:r>
      <w:r w:rsidR="000F30CB" w:rsidRPr="00904FCB">
        <w:rPr>
          <w:rFonts w:hint="cs"/>
          <w:sz w:val="27"/>
          <w:rtl/>
          <w:lang w:bidi="ar-AE"/>
        </w:rPr>
        <w:t>اً</w:t>
      </w:r>
      <w:r w:rsidRPr="00904FCB">
        <w:rPr>
          <w:rFonts w:hint="cs"/>
          <w:sz w:val="27"/>
          <w:rtl/>
          <w:lang w:bidi="ar-AE"/>
        </w:rPr>
        <w:t xml:space="preserve"> أم حلال</w:t>
      </w:r>
      <w:r w:rsidR="000F30CB" w:rsidRPr="00904FCB">
        <w:rPr>
          <w:rFonts w:hint="cs"/>
          <w:sz w:val="27"/>
          <w:rtl/>
          <w:lang w:bidi="ar-AE"/>
        </w:rPr>
        <w:t>اً</w:t>
      </w:r>
      <w:r w:rsidRPr="00904FCB">
        <w:rPr>
          <w:rFonts w:hint="cs"/>
          <w:sz w:val="27"/>
          <w:rtl/>
          <w:lang w:bidi="ar-AE"/>
        </w:rPr>
        <w:t xml:space="preserve">؟ </w:t>
      </w:r>
      <w:r w:rsidR="000F30CB" w:rsidRPr="00904FCB">
        <w:rPr>
          <w:rFonts w:hint="cs"/>
          <w:sz w:val="27"/>
          <w:rtl/>
          <w:lang w:bidi="ar-AE"/>
        </w:rPr>
        <w:t>ف</w:t>
      </w:r>
      <w:r w:rsidRPr="00904FCB">
        <w:rPr>
          <w:rFonts w:hint="cs"/>
          <w:sz w:val="27"/>
          <w:rtl/>
          <w:lang w:bidi="ar-AE"/>
        </w:rPr>
        <w:t>هل نحتاج في بيان حكمها إلى الاستشهاد بآية</w:t>
      </w:r>
      <w:r w:rsidR="000F30CB" w:rsidRPr="00904FCB">
        <w:rPr>
          <w:rFonts w:hint="cs"/>
          <w:sz w:val="27"/>
          <w:rtl/>
          <w:lang w:bidi="ar-AE"/>
        </w:rPr>
        <w:t>ٍ</w:t>
      </w:r>
      <w:r w:rsidRPr="00904FCB">
        <w:rPr>
          <w:rFonts w:hint="cs"/>
          <w:sz w:val="27"/>
          <w:rtl/>
          <w:lang w:bidi="ar-AE"/>
        </w:rPr>
        <w:t xml:space="preserve"> أو رواية بعينها</w:t>
      </w:r>
      <w:r w:rsidR="000F30CB" w:rsidRPr="00904FCB">
        <w:rPr>
          <w:rFonts w:hint="cs"/>
          <w:sz w:val="27"/>
          <w:rtl/>
          <w:lang w:bidi="ar-AE"/>
        </w:rPr>
        <w:t>؟</w:t>
      </w:r>
    </w:p>
    <w:p w:rsidR="00BF56C8" w:rsidRPr="00904FCB" w:rsidRDefault="00BF56C8" w:rsidP="007066D1">
      <w:pPr>
        <w:spacing w:line="400" w:lineRule="exact"/>
        <w:rPr>
          <w:sz w:val="27"/>
          <w:rtl/>
          <w:lang w:bidi="ar-AE"/>
        </w:rPr>
      </w:pPr>
      <w:r w:rsidRPr="00904FCB">
        <w:rPr>
          <w:rFonts w:hint="cs"/>
          <w:sz w:val="27"/>
          <w:rtl/>
          <w:lang w:bidi="ar-AE"/>
        </w:rPr>
        <w:t>كلا، لسنا بحاجة</w:t>
      </w:r>
      <w:r w:rsidR="000F30CB" w:rsidRPr="00904FCB">
        <w:rPr>
          <w:rFonts w:hint="cs"/>
          <w:sz w:val="27"/>
          <w:rtl/>
          <w:lang w:bidi="ar-AE"/>
        </w:rPr>
        <w:t>ٍ</w:t>
      </w:r>
      <w:r w:rsidRPr="00904FCB">
        <w:rPr>
          <w:rFonts w:hint="cs"/>
          <w:sz w:val="27"/>
          <w:rtl/>
          <w:lang w:bidi="ar-AE"/>
        </w:rPr>
        <w:t xml:space="preserve"> إلى ذلك؛ لعلمنا من خلال ما نعرفه من جوهر الدين وحكم العقل </w:t>
      </w:r>
      <w:r w:rsidR="000F30CB" w:rsidRPr="00904FCB">
        <w:rPr>
          <w:rFonts w:hint="cs"/>
          <w:sz w:val="27"/>
          <w:rtl/>
          <w:lang w:bidi="ar-AE"/>
        </w:rPr>
        <w:t>ب</w:t>
      </w:r>
      <w:r w:rsidRPr="00904FCB">
        <w:rPr>
          <w:rFonts w:hint="cs"/>
          <w:sz w:val="27"/>
          <w:rtl/>
          <w:lang w:bidi="ar-AE"/>
        </w:rPr>
        <w:t>الحرمة</w:t>
      </w:r>
      <w:r w:rsidR="000F30CB" w:rsidRPr="00904FCB">
        <w:rPr>
          <w:rFonts w:hint="cs"/>
          <w:sz w:val="27"/>
          <w:rtl/>
          <w:lang w:bidi="ar-AE"/>
        </w:rPr>
        <w:t>.</w:t>
      </w:r>
      <w:r w:rsidRPr="00904FCB">
        <w:rPr>
          <w:rFonts w:hint="cs"/>
          <w:sz w:val="27"/>
          <w:rtl/>
          <w:lang w:bidi="ar-AE"/>
        </w:rPr>
        <w:t xml:space="preserve"> ولذلك لا نتردّ</w:t>
      </w:r>
      <w:r w:rsidR="000F30CB" w:rsidRPr="00904FCB">
        <w:rPr>
          <w:rFonts w:hint="cs"/>
          <w:sz w:val="27"/>
          <w:rtl/>
          <w:lang w:bidi="ar-AE"/>
        </w:rPr>
        <w:t>َ</w:t>
      </w:r>
      <w:r w:rsidRPr="00904FCB">
        <w:rPr>
          <w:rFonts w:hint="cs"/>
          <w:sz w:val="27"/>
          <w:rtl/>
          <w:lang w:bidi="ar-AE"/>
        </w:rPr>
        <w:t>د في بيان حرمة مثل هذه الأمور. فالعقل لا يقول هنا بحرية التعبير، وأن بإمكان الشخص أن يكتب كل</w:t>
      </w:r>
      <w:r w:rsidR="000F30CB" w:rsidRPr="00904FCB">
        <w:rPr>
          <w:rFonts w:hint="cs"/>
          <w:sz w:val="27"/>
          <w:rtl/>
          <w:lang w:bidi="ar-AE"/>
        </w:rPr>
        <w:t>ّ</w:t>
      </w:r>
      <w:r w:rsidRPr="00904FCB">
        <w:rPr>
          <w:rFonts w:hint="cs"/>
          <w:sz w:val="27"/>
          <w:rtl/>
          <w:lang w:bidi="ar-AE"/>
        </w:rPr>
        <w:t xml:space="preserve"> ما يحلو له تحت ذريعة أن</w:t>
      </w:r>
      <w:r w:rsidR="000F30CB" w:rsidRPr="00904FCB">
        <w:rPr>
          <w:rFonts w:hint="cs"/>
          <w:sz w:val="27"/>
          <w:rtl/>
          <w:lang w:bidi="ar-AE"/>
        </w:rPr>
        <w:t>ّ</w:t>
      </w:r>
      <w:r w:rsidRPr="00904FCB">
        <w:rPr>
          <w:rFonts w:hint="cs"/>
          <w:sz w:val="27"/>
          <w:rtl/>
          <w:lang w:bidi="ar-AE"/>
        </w:rPr>
        <w:t xml:space="preserve">ه لم يجبر الآخرين </w:t>
      </w:r>
      <w:r w:rsidR="007066D1">
        <w:rPr>
          <w:rFonts w:hint="cs"/>
          <w:sz w:val="27"/>
          <w:rtl/>
          <w:lang w:bidi="ar-AE"/>
        </w:rPr>
        <w:t xml:space="preserve">على </w:t>
      </w:r>
      <w:r w:rsidRPr="00904FCB">
        <w:rPr>
          <w:rFonts w:hint="cs"/>
          <w:sz w:val="27"/>
          <w:rtl/>
          <w:lang w:bidi="ar-AE"/>
        </w:rPr>
        <w:t>تطبيق ما دعا إليه، وأن على الأغرار من الفتيان والفتيات أن يشحذوا تفكيرهم وعقولهم</w:t>
      </w:r>
      <w:r w:rsidR="000F30CB" w:rsidRPr="00904FCB">
        <w:rPr>
          <w:rFonts w:hint="cs"/>
          <w:sz w:val="27"/>
          <w:rtl/>
          <w:lang w:bidi="ar-AE"/>
        </w:rPr>
        <w:t>،</w:t>
      </w:r>
      <w:r w:rsidRPr="00904FCB">
        <w:rPr>
          <w:rFonts w:hint="cs"/>
          <w:sz w:val="27"/>
          <w:rtl/>
          <w:lang w:bidi="ar-AE"/>
        </w:rPr>
        <w:t xml:space="preserve"> ولا يقعوا تحت تأثير هذا النوع من الكتب، أو أن على تلك السيدة المتزوّ</w:t>
      </w:r>
      <w:r w:rsidR="000F30CB" w:rsidRPr="00904FCB">
        <w:rPr>
          <w:rFonts w:hint="cs"/>
          <w:sz w:val="27"/>
          <w:rtl/>
          <w:lang w:bidi="ar-AE"/>
        </w:rPr>
        <w:t>ِ</w:t>
      </w:r>
      <w:r w:rsidRPr="00904FCB">
        <w:rPr>
          <w:rFonts w:hint="cs"/>
          <w:sz w:val="27"/>
          <w:rtl/>
          <w:lang w:bidi="ar-AE"/>
        </w:rPr>
        <w:t>جة أن تتمت</w:t>
      </w:r>
      <w:r w:rsidR="000F30CB" w:rsidRPr="00904FCB">
        <w:rPr>
          <w:rFonts w:hint="cs"/>
          <w:sz w:val="27"/>
          <w:rtl/>
          <w:lang w:bidi="ar-AE"/>
        </w:rPr>
        <w:t>َّ</w:t>
      </w:r>
      <w:r w:rsidRPr="00904FCB">
        <w:rPr>
          <w:rFonts w:hint="cs"/>
          <w:sz w:val="27"/>
          <w:rtl/>
          <w:lang w:bidi="ar-AE"/>
        </w:rPr>
        <w:t>ع بالمستوى الكافي من المناعة التي تحول دون سقوطها في الفاحشة</w:t>
      </w:r>
      <w:r w:rsidR="000F30CB" w:rsidRPr="00904FCB">
        <w:rPr>
          <w:rFonts w:hint="cs"/>
          <w:sz w:val="27"/>
          <w:rtl/>
          <w:lang w:bidi="ar-AE"/>
        </w:rPr>
        <w:t>؛</w:t>
      </w:r>
      <w:r w:rsidRPr="00904FCB">
        <w:rPr>
          <w:rFonts w:hint="cs"/>
          <w:sz w:val="27"/>
          <w:rtl/>
          <w:lang w:bidi="ar-AE"/>
        </w:rPr>
        <w:t xml:space="preserve"> [فإن هذا المنطق هو ذات المنطق القائل: رماه في البحر وقال له: إي</w:t>
      </w:r>
      <w:r w:rsidR="000F30CB" w:rsidRPr="00904FCB">
        <w:rPr>
          <w:rFonts w:hint="cs"/>
          <w:sz w:val="27"/>
          <w:rtl/>
          <w:lang w:bidi="ar-AE"/>
        </w:rPr>
        <w:t>ّ</w:t>
      </w:r>
      <w:r w:rsidRPr="00904FCB">
        <w:rPr>
          <w:rFonts w:hint="cs"/>
          <w:sz w:val="27"/>
          <w:rtl/>
          <w:lang w:bidi="ar-AE"/>
        </w:rPr>
        <w:t>اك</w:t>
      </w:r>
      <w:r w:rsidR="000F30CB" w:rsidRPr="00904FCB">
        <w:rPr>
          <w:rFonts w:hint="cs"/>
          <w:sz w:val="27"/>
          <w:rtl/>
          <w:lang w:bidi="ar-AE"/>
        </w:rPr>
        <w:t>َ</w:t>
      </w:r>
      <w:r w:rsidRPr="00904FCB">
        <w:rPr>
          <w:rFonts w:hint="cs"/>
          <w:sz w:val="27"/>
          <w:rtl/>
          <w:lang w:bidi="ar-AE"/>
        </w:rPr>
        <w:t xml:space="preserve"> أن تبتلّ بالماء]</w:t>
      </w:r>
      <w:r w:rsidRPr="00904FCB">
        <w:rPr>
          <w:sz w:val="27"/>
          <w:vertAlign w:val="superscript"/>
          <w:rtl/>
          <w:lang w:bidi="ar-AE"/>
        </w:rPr>
        <w:t>(</w:t>
      </w:r>
      <w:r w:rsidRPr="00904FCB">
        <w:rPr>
          <w:rStyle w:val="ac"/>
          <w:sz w:val="27"/>
          <w:rtl/>
          <w:lang w:bidi="ar-AE"/>
        </w:rPr>
        <w:endnoteReference w:id="83"/>
      </w:r>
      <w:r w:rsidRPr="00904FCB">
        <w:rPr>
          <w:sz w:val="27"/>
          <w:vertAlign w:val="superscript"/>
          <w:rtl/>
          <w:lang w:bidi="ar-AE"/>
        </w:rPr>
        <w:t>)</w:t>
      </w:r>
      <w:r w:rsidRPr="00904FCB">
        <w:rPr>
          <w:rFonts w:hint="cs"/>
          <w:sz w:val="27"/>
          <w:rtl/>
          <w:lang w:bidi="ar-AE"/>
        </w:rPr>
        <w:t xml:space="preserve">. </w:t>
      </w:r>
    </w:p>
    <w:p w:rsidR="00BF56C8" w:rsidRPr="00904FCB" w:rsidRDefault="00BF56C8" w:rsidP="007A21AA">
      <w:pPr>
        <w:spacing w:line="400" w:lineRule="exact"/>
        <w:rPr>
          <w:sz w:val="27"/>
          <w:rtl/>
          <w:lang w:bidi="ar-AE"/>
        </w:rPr>
      </w:pPr>
      <w:r w:rsidRPr="00904FCB">
        <w:rPr>
          <w:rFonts w:hint="cs"/>
          <w:sz w:val="27"/>
          <w:rtl/>
          <w:lang w:bidi="ar-AE"/>
        </w:rPr>
        <w:t>وعليه فإن الجواب عن هذا السؤال هو: ليس جميع الأفراد على مستوى واحد من التفكير، ولا ش</w:t>
      </w:r>
      <w:r w:rsidR="000F30CB" w:rsidRPr="00904FCB">
        <w:rPr>
          <w:rFonts w:hint="cs"/>
          <w:sz w:val="27"/>
          <w:rtl/>
          <w:lang w:bidi="ar-AE"/>
        </w:rPr>
        <w:t>َ</w:t>
      </w:r>
      <w:r w:rsidRPr="00904FCB">
        <w:rPr>
          <w:rFonts w:hint="cs"/>
          <w:sz w:val="27"/>
          <w:rtl/>
          <w:lang w:bidi="ar-AE"/>
        </w:rPr>
        <w:t>ك</w:t>
      </w:r>
      <w:r w:rsidR="000F30CB" w:rsidRPr="00904FCB">
        <w:rPr>
          <w:rFonts w:hint="cs"/>
          <w:sz w:val="27"/>
          <w:rtl/>
          <w:lang w:bidi="ar-AE"/>
        </w:rPr>
        <w:t>َّ</w:t>
      </w:r>
      <w:r w:rsidRPr="00904FCB">
        <w:rPr>
          <w:rFonts w:hint="cs"/>
          <w:sz w:val="27"/>
          <w:rtl/>
          <w:lang w:bidi="ar-AE"/>
        </w:rPr>
        <w:t xml:space="preserve"> في تأثير الذين يتمت</w:t>
      </w:r>
      <w:r w:rsidR="000F30CB" w:rsidRPr="00904FCB">
        <w:rPr>
          <w:rFonts w:hint="cs"/>
          <w:sz w:val="27"/>
          <w:rtl/>
          <w:lang w:bidi="ar-AE"/>
        </w:rPr>
        <w:t>َّ</w:t>
      </w:r>
      <w:r w:rsidRPr="00904FCB">
        <w:rPr>
          <w:rFonts w:hint="cs"/>
          <w:sz w:val="27"/>
          <w:rtl/>
          <w:lang w:bidi="ar-AE"/>
        </w:rPr>
        <w:t>عون بالمستويات العليا من التفكير على الذين لا يمتلكون غير المستوى القليل من الخبرة والعلم والتجربة والقدرة على التحليل. فلنفترض أننا نعيش في مجتمع مخالف للدين</w:t>
      </w:r>
      <w:r w:rsidR="000F30CB" w:rsidRPr="00904FCB">
        <w:rPr>
          <w:rFonts w:hint="cs"/>
          <w:sz w:val="27"/>
          <w:rtl/>
          <w:lang w:bidi="ar-AE"/>
        </w:rPr>
        <w:t>؛</w:t>
      </w:r>
      <w:r w:rsidRPr="00904FCB">
        <w:rPr>
          <w:rFonts w:hint="cs"/>
          <w:sz w:val="27"/>
          <w:rtl/>
          <w:lang w:bidi="ar-AE"/>
        </w:rPr>
        <w:t xml:space="preserve"> لاعتقاده بأن الدين يعيق تقد</w:t>
      </w:r>
      <w:r w:rsidR="000F30CB" w:rsidRPr="00904FCB">
        <w:rPr>
          <w:rFonts w:hint="cs"/>
          <w:sz w:val="27"/>
          <w:rtl/>
          <w:lang w:bidi="ar-AE"/>
        </w:rPr>
        <w:t>ُّ</w:t>
      </w:r>
      <w:r w:rsidRPr="00904FCB">
        <w:rPr>
          <w:rFonts w:hint="cs"/>
          <w:sz w:val="27"/>
          <w:rtl/>
          <w:lang w:bidi="ar-AE"/>
        </w:rPr>
        <w:t>م المجتمع نحو السعادة والرفاه، كما نشاهد ذلك لدى البعض</w:t>
      </w:r>
      <w:r w:rsidR="000F30CB" w:rsidRPr="00904FCB">
        <w:rPr>
          <w:rFonts w:hint="cs"/>
          <w:sz w:val="27"/>
          <w:rtl/>
          <w:lang w:bidi="ar-AE"/>
        </w:rPr>
        <w:t>،</w:t>
      </w:r>
      <w:r w:rsidRPr="00904FCB">
        <w:rPr>
          <w:rFonts w:hint="cs"/>
          <w:sz w:val="27"/>
          <w:rtl/>
          <w:lang w:bidi="ar-AE"/>
        </w:rPr>
        <w:t xml:space="preserve"> حيث يقول بأن الدين إنما يشك</w:t>
      </w:r>
      <w:r w:rsidR="000F30CB" w:rsidRPr="00904FCB">
        <w:rPr>
          <w:rFonts w:hint="cs"/>
          <w:sz w:val="27"/>
          <w:rtl/>
          <w:lang w:bidi="ar-AE"/>
        </w:rPr>
        <w:t>ِّ</w:t>
      </w:r>
      <w:r w:rsidRPr="00904FCB">
        <w:rPr>
          <w:rFonts w:hint="cs"/>
          <w:sz w:val="27"/>
          <w:rtl/>
          <w:lang w:bidi="ar-AE"/>
        </w:rPr>
        <w:t>ل دعامة ورافعة لبعض الأنظمة الفاسدة والجائرة</w:t>
      </w:r>
      <w:r w:rsidR="000F30CB" w:rsidRPr="00904FCB">
        <w:rPr>
          <w:rFonts w:hint="cs"/>
          <w:sz w:val="27"/>
          <w:rtl/>
          <w:lang w:bidi="ar-AE"/>
        </w:rPr>
        <w:t>،</w:t>
      </w:r>
      <w:r w:rsidRPr="00904FCB">
        <w:rPr>
          <w:rFonts w:hint="cs"/>
          <w:sz w:val="27"/>
          <w:rtl/>
          <w:lang w:bidi="ar-AE"/>
        </w:rPr>
        <w:t xml:space="preserve"> فهل سيسمح هؤلاء بكتابة </w:t>
      </w:r>
      <w:r w:rsidRPr="00904FCB">
        <w:rPr>
          <w:rFonts w:hint="cs"/>
          <w:sz w:val="27"/>
          <w:rtl/>
          <w:lang w:bidi="ar-AE"/>
        </w:rPr>
        <w:lastRenderedPageBreak/>
        <w:t>المقالات والكتب الدينية أم أنهم سيعملون على حظرها؟ لا ش</w:t>
      </w:r>
      <w:r w:rsidR="000F30CB" w:rsidRPr="00904FCB">
        <w:rPr>
          <w:rFonts w:hint="cs"/>
          <w:sz w:val="27"/>
          <w:rtl/>
          <w:lang w:bidi="ar-AE"/>
        </w:rPr>
        <w:t>َ</w:t>
      </w:r>
      <w:r w:rsidRPr="00904FCB">
        <w:rPr>
          <w:rFonts w:hint="cs"/>
          <w:sz w:val="27"/>
          <w:rtl/>
          <w:lang w:bidi="ar-AE"/>
        </w:rPr>
        <w:t>ك</w:t>
      </w:r>
      <w:r w:rsidR="000F30CB" w:rsidRPr="00904FCB">
        <w:rPr>
          <w:rFonts w:hint="cs"/>
          <w:sz w:val="27"/>
          <w:rtl/>
          <w:lang w:bidi="ar-AE"/>
        </w:rPr>
        <w:t>َّ</w:t>
      </w:r>
      <w:r w:rsidRPr="00904FCB">
        <w:rPr>
          <w:rFonts w:hint="cs"/>
          <w:sz w:val="27"/>
          <w:rtl/>
          <w:lang w:bidi="ar-AE"/>
        </w:rPr>
        <w:t xml:space="preserve"> في أنهم سيحظرونها. ولا يتذرّ</w:t>
      </w:r>
      <w:r w:rsidR="000F30CB" w:rsidRPr="00904FCB">
        <w:rPr>
          <w:rFonts w:hint="cs"/>
          <w:sz w:val="27"/>
          <w:rtl/>
          <w:lang w:bidi="ar-AE"/>
        </w:rPr>
        <w:t>َ</w:t>
      </w:r>
      <w:r w:rsidRPr="00904FCB">
        <w:rPr>
          <w:rFonts w:hint="cs"/>
          <w:sz w:val="27"/>
          <w:rtl/>
          <w:lang w:bidi="ar-AE"/>
        </w:rPr>
        <w:t>عون بح</w:t>
      </w:r>
      <w:r w:rsidR="000F30CB" w:rsidRPr="00904FCB">
        <w:rPr>
          <w:rFonts w:hint="cs"/>
          <w:sz w:val="27"/>
          <w:rtl/>
          <w:lang w:bidi="ar-AE"/>
        </w:rPr>
        <w:t>ُ</w:t>
      </w:r>
      <w:r w:rsidRPr="00904FCB">
        <w:rPr>
          <w:rFonts w:hint="cs"/>
          <w:sz w:val="27"/>
          <w:rtl/>
          <w:lang w:bidi="ar-AE"/>
        </w:rPr>
        <w:t>ر</w:t>
      </w:r>
      <w:r w:rsidR="000F30CB" w:rsidRPr="00904FCB">
        <w:rPr>
          <w:rFonts w:hint="cs"/>
          <w:sz w:val="27"/>
          <w:rtl/>
          <w:lang w:bidi="ar-AE"/>
        </w:rPr>
        <w:t>ِّ</w:t>
      </w:r>
      <w:r w:rsidRPr="00904FCB">
        <w:rPr>
          <w:rFonts w:hint="cs"/>
          <w:sz w:val="27"/>
          <w:rtl/>
          <w:lang w:bidi="ar-AE"/>
        </w:rPr>
        <w:t>ية التعبير، وأن الشباب عليهم أن يتجن</w:t>
      </w:r>
      <w:r w:rsidR="000F30CB" w:rsidRPr="00904FCB">
        <w:rPr>
          <w:rFonts w:hint="cs"/>
          <w:sz w:val="27"/>
          <w:rtl/>
          <w:lang w:bidi="ar-AE"/>
        </w:rPr>
        <w:t>َّ</w:t>
      </w:r>
      <w:r w:rsidRPr="00904FCB">
        <w:rPr>
          <w:rFonts w:hint="cs"/>
          <w:sz w:val="27"/>
          <w:rtl/>
          <w:lang w:bidi="ar-AE"/>
        </w:rPr>
        <w:t>بوا أضرار الكتب الدينية بإرادتهم وقدرتهم الفكرية والعقلية. فهؤلاء يعتبرون أنفسهم أصحاب رسالة تهدف إلى بناء المجتمع</w:t>
      </w:r>
      <w:r w:rsidR="000F30CB" w:rsidRPr="00904FCB">
        <w:rPr>
          <w:rFonts w:hint="cs"/>
          <w:sz w:val="27"/>
          <w:rtl/>
          <w:lang w:bidi="ar-AE"/>
        </w:rPr>
        <w:t>،</w:t>
      </w:r>
      <w:r w:rsidRPr="00904FCB">
        <w:rPr>
          <w:rFonts w:hint="cs"/>
          <w:sz w:val="27"/>
          <w:rtl/>
          <w:lang w:bidi="ar-AE"/>
        </w:rPr>
        <w:t xml:space="preserve"> وإيصاله إلى السعادة، ويرى في الكتب الدينية عائقاً يحول دون تحقيق هذه الرسالة التي رسمها لنفسه، وعليه فإنه سيحرّ</w:t>
      </w:r>
      <w:r w:rsidR="000F30CB" w:rsidRPr="00904FCB">
        <w:rPr>
          <w:rFonts w:hint="cs"/>
          <w:sz w:val="27"/>
          <w:rtl/>
          <w:lang w:bidi="ar-AE"/>
        </w:rPr>
        <w:t>ِ</w:t>
      </w:r>
      <w:r w:rsidRPr="00904FCB">
        <w:rPr>
          <w:rFonts w:hint="cs"/>
          <w:sz w:val="27"/>
          <w:rtl/>
          <w:lang w:bidi="ar-AE"/>
        </w:rPr>
        <w:t>م نشر هذا النوع من الكتب واقتنائها، وسوف يأمر بحرقها وإتلافها. وعليه لا أتصو</w:t>
      </w:r>
      <w:r w:rsidR="000F30CB" w:rsidRPr="00904FCB">
        <w:rPr>
          <w:rFonts w:hint="cs"/>
          <w:sz w:val="27"/>
          <w:rtl/>
          <w:lang w:bidi="ar-AE"/>
        </w:rPr>
        <w:t>َّ</w:t>
      </w:r>
      <w:r w:rsidRPr="00904FCB">
        <w:rPr>
          <w:rFonts w:hint="cs"/>
          <w:sz w:val="27"/>
          <w:rtl/>
          <w:lang w:bidi="ar-AE"/>
        </w:rPr>
        <w:t>ر شخصاً مبدئي</w:t>
      </w:r>
      <w:r w:rsidR="000F30CB" w:rsidRPr="00904FCB">
        <w:rPr>
          <w:rFonts w:hint="cs"/>
          <w:sz w:val="27"/>
          <w:rtl/>
          <w:lang w:bidi="ar-AE"/>
        </w:rPr>
        <w:t>ّ</w:t>
      </w:r>
      <w:r w:rsidRPr="00904FCB">
        <w:rPr>
          <w:rFonts w:hint="cs"/>
          <w:sz w:val="27"/>
          <w:rtl/>
          <w:lang w:bidi="ar-AE"/>
        </w:rPr>
        <w:t>اً وصاحب عقيدة ـ سواء أكان من أتباع المؤس</w:t>
      </w:r>
      <w:r w:rsidR="000F30CB" w:rsidRPr="00904FCB">
        <w:rPr>
          <w:rFonts w:hint="cs"/>
          <w:sz w:val="27"/>
          <w:rtl/>
          <w:lang w:bidi="ar-AE"/>
        </w:rPr>
        <w:t>ّ</w:t>
      </w:r>
      <w:r w:rsidRPr="00904FCB">
        <w:rPr>
          <w:rFonts w:hint="cs"/>
          <w:sz w:val="27"/>
          <w:rtl/>
          <w:lang w:bidi="ar-AE"/>
        </w:rPr>
        <w:t>سة الديني</w:t>
      </w:r>
      <w:r w:rsidR="000F30CB" w:rsidRPr="00904FCB">
        <w:rPr>
          <w:rFonts w:hint="cs"/>
          <w:sz w:val="27"/>
          <w:rtl/>
          <w:lang w:bidi="ar-AE"/>
        </w:rPr>
        <w:t>ّ</w:t>
      </w:r>
      <w:r w:rsidRPr="00904FCB">
        <w:rPr>
          <w:rFonts w:hint="cs"/>
          <w:sz w:val="27"/>
          <w:rtl/>
          <w:lang w:bidi="ar-AE"/>
        </w:rPr>
        <w:t>ة أو المؤس</w:t>
      </w:r>
      <w:r w:rsidR="000F30CB" w:rsidRPr="00904FCB">
        <w:rPr>
          <w:rFonts w:hint="cs"/>
          <w:sz w:val="27"/>
          <w:rtl/>
          <w:lang w:bidi="ar-AE"/>
        </w:rPr>
        <w:t>ّ</w:t>
      </w:r>
      <w:r w:rsidRPr="00904FCB">
        <w:rPr>
          <w:rFonts w:hint="cs"/>
          <w:sz w:val="27"/>
          <w:rtl/>
          <w:lang w:bidi="ar-AE"/>
        </w:rPr>
        <w:t>سة الإلحادي</w:t>
      </w:r>
      <w:r w:rsidR="000F30CB" w:rsidRPr="00904FCB">
        <w:rPr>
          <w:rFonts w:hint="cs"/>
          <w:sz w:val="27"/>
          <w:rtl/>
          <w:lang w:bidi="ar-AE"/>
        </w:rPr>
        <w:t>ّ</w:t>
      </w:r>
      <w:r w:rsidRPr="00904FCB">
        <w:rPr>
          <w:rFonts w:hint="cs"/>
          <w:sz w:val="27"/>
          <w:rtl/>
          <w:lang w:bidi="ar-AE"/>
        </w:rPr>
        <w:t>ة ـ يرى بعض الأفكار الفاسدة من وجهة نظره مئة بالمئة، ومع ذلك يسمح بانتشارها والمحافظة عليها تحت عنوان ح</w:t>
      </w:r>
      <w:r w:rsidR="000A4050" w:rsidRPr="00904FCB">
        <w:rPr>
          <w:rFonts w:hint="cs"/>
          <w:sz w:val="27"/>
          <w:rtl/>
          <w:lang w:bidi="ar-AE"/>
        </w:rPr>
        <w:t>ُ</w:t>
      </w:r>
      <w:r w:rsidRPr="00904FCB">
        <w:rPr>
          <w:rFonts w:hint="cs"/>
          <w:sz w:val="27"/>
          <w:rtl/>
          <w:lang w:bidi="ar-AE"/>
        </w:rPr>
        <w:t>ر</w:t>
      </w:r>
      <w:r w:rsidR="000A4050" w:rsidRPr="00904FCB">
        <w:rPr>
          <w:rFonts w:hint="cs"/>
          <w:sz w:val="27"/>
          <w:rtl/>
          <w:lang w:bidi="ar-AE"/>
        </w:rPr>
        <w:t>ِّ</w:t>
      </w:r>
      <w:r w:rsidRPr="00904FCB">
        <w:rPr>
          <w:rFonts w:hint="cs"/>
          <w:sz w:val="27"/>
          <w:rtl/>
          <w:lang w:bidi="ar-AE"/>
        </w:rPr>
        <w:t xml:space="preserve">ية التعبير والمعتقد.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 xml:space="preserve">بيان المسألة </w:t>
      </w:r>
      <w:r w:rsidR="000A4050" w:rsidRPr="00904FCB">
        <w:rPr>
          <w:rFonts w:hint="cs"/>
          <w:color w:val="auto"/>
          <w:rtl/>
          <w:lang w:bidi="ar-AE"/>
        </w:rPr>
        <w:t>ب</w:t>
      </w:r>
      <w:r w:rsidRPr="00904FCB">
        <w:rPr>
          <w:rFonts w:hint="cs"/>
          <w:color w:val="auto"/>
          <w:rtl/>
          <w:lang w:bidi="ar-AE"/>
        </w:rPr>
        <w:t>شكل</w:t>
      </w:r>
      <w:r w:rsidR="000A4050" w:rsidRPr="00904FCB">
        <w:rPr>
          <w:rFonts w:hint="cs"/>
          <w:color w:val="auto"/>
          <w:rtl/>
          <w:lang w:bidi="ar-AE"/>
        </w:rPr>
        <w:t>ٍ</w:t>
      </w:r>
      <w:r w:rsidRPr="00904FCB">
        <w:rPr>
          <w:rFonts w:hint="cs"/>
          <w:color w:val="auto"/>
          <w:rtl/>
          <w:lang w:bidi="ar-AE"/>
        </w:rPr>
        <w:t xml:space="preserve"> آخر</w:t>
      </w:r>
    </w:p>
    <w:p w:rsidR="00BF56C8" w:rsidRPr="00904FCB" w:rsidRDefault="00BF56C8" w:rsidP="007A21AA">
      <w:pPr>
        <w:spacing w:line="400" w:lineRule="exact"/>
        <w:rPr>
          <w:sz w:val="27"/>
          <w:rtl/>
          <w:lang w:bidi="ar-AE"/>
        </w:rPr>
      </w:pPr>
      <w:r w:rsidRPr="00904FCB">
        <w:rPr>
          <w:rFonts w:hint="cs"/>
          <w:sz w:val="27"/>
          <w:rtl/>
          <w:lang w:bidi="ar-AE"/>
        </w:rPr>
        <w:t>وعليه إذا كان لنا من كلام</w:t>
      </w:r>
      <w:r w:rsidR="000A4050" w:rsidRPr="00904FCB">
        <w:rPr>
          <w:rFonts w:hint="cs"/>
          <w:sz w:val="27"/>
          <w:rtl/>
          <w:lang w:bidi="ar-AE"/>
        </w:rPr>
        <w:t>ٍ</w:t>
      </w:r>
      <w:r w:rsidRPr="00904FCB">
        <w:rPr>
          <w:rFonts w:hint="cs"/>
          <w:sz w:val="27"/>
          <w:rtl/>
          <w:lang w:bidi="ar-AE"/>
        </w:rPr>
        <w:t xml:space="preserve"> بشأن كتب الضلال فإن</w:t>
      </w:r>
      <w:r w:rsidR="000A4050" w:rsidRPr="00904FCB">
        <w:rPr>
          <w:rFonts w:hint="cs"/>
          <w:sz w:val="27"/>
          <w:rtl/>
          <w:lang w:bidi="ar-AE"/>
        </w:rPr>
        <w:t>ّ</w:t>
      </w:r>
      <w:r w:rsidRPr="00904FCB">
        <w:rPr>
          <w:rFonts w:hint="cs"/>
          <w:sz w:val="27"/>
          <w:rtl/>
          <w:lang w:bidi="ar-AE"/>
        </w:rPr>
        <w:t xml:space="preserve"> كلامنا سيقتصر على الأفكار وكتب الضلال التي تكون كتابتها وحفظها وتوزيعها ونشرها ـ بسبب إضلالها</w:t>
      </w:r>
      <w:r w:rsidR="00527E12">
        <w:rPr>
          <w:rFonts w:hint="cs"/>
          <w:sz w:val="27"/>
          <w:rtl/>
          <w:lang w:bidi="ar-AE"/>
        </w:rPr>
        <w:t xml:space="preserve"> </w:t>
      </w:r>
      <w:r w:rsidRPr="00904FCB">
        <w:rPr>
          <w:rFonts w:hint="cs"/>
          <w:sz w:val="27"/>
          <w:rtl/>
          <w:lang w:bidi="ar-AE"/>
        </w:rPr>
        <w:t>ـ حراماً. ولكن</w:t>
      </w:r>
      <w:r w:rsidR="000A4050" w:rsidRPr="00904FCB">
        <w:rPr>
          <w:rFonts w:hint="cs"/>
          <w:sz w:val="27"/>
          <w:rtl/>
          <w:lang w:bidi="ar-AE"/>
        </w:rPr>
        <w:t>ْ</w:t>
      </w:r>
      <w:r w:rsidRPr="00904FCB">
        <w:rPr>
          <w:rFonts w:hint="cs"/>
          <w:sz w:val="27"/>
          <w:rtl/>
          <w:lang w:bidi="ar-AE"/>
        </w:rPr>
        <w:t xml:space="preserve"> بطبيعة الحال يوجد هنا أمر</w:t>
      </w:r>
      <w:r w:rsidR="000A4050" w:rsidRPr="00904FCB">
        <w:rPr>
          <w:rFonts w:hint="cs"/>
          <w:sz w:val="27"/>
          <w:rtl/>
          <w:lang w:bidi="ar-AE"/>
        </w:rPr>
        <w:t>ٌ</w:t>
      </w:r>
      <w:r w:rsidRPr="00904FCB">
        <w:rPr>
          <w:rFonts w:hint="cs"/>
          <w:sz w:val="27"/>
          <w:rtl/>
          <w:lang w:bidi="ar-AE"/>
        </w:rPr>
        <w:t xml:space="preserve"> آخر، وهو أن هذا الأمر يخصّ تلك الكتب التي يعترف مؤل</w:t>
      </w:r>
      <w:r w:rsidR="000A4050" w:rsidRPr="00904FCB">
        <w:rPr>
          <w:rFonts w:hint="cs"/>
          <w:sz w:val="27"/>
          <w:rtl/>
          <w:lang w:bidi="ar-AE"/>
        </w:rPr>
        <w:t>ِّ</w:t>
      </w:r>
      <w:r w:rsidRPr="00904FCB">
        <w:rPr>
          <w:rFonts w:hint="cs"/>
          <w:sz w:val="27"/>
          <w:rtl/>
          <w:lang w:bidi="ar-AE"/>
        </w:rPr>
        <w:t>فوها بأنها تؤد</w:t>
      </w:r>
      <w:r w:rsidR="000A4050" w:rsidRPr="00904FCB">
        <w:rPr>
          <w:rFonts w:hint="cs"/>
          <w:sz w:val="27"/>
          <w:rtl/>
          <w:lang w:bidi="ar-AE"/>
        </w:rPr>
        <w:t>ّ</w:t>
      </w:r>
      <w:r w:rsidRPr="00904FCB">
        <w:rPr>
          <w:rFonts w:hint="cs"/>
          <w:sz w:val="27"/>
          <w:rtl/>
          <w:lang w:bidi="ar-AE"/>
        </w:rPr>
        <w:t>ي إلى الضلال والانحراف، كما هو الشأن بالنسبة إلى هذه المقالات التي تدعو إلى التهت</w:t>
      </w:r>
      <w:r w:rsidR="000A4050" w:rsidRPr="00904FCB">
        <w:rPr>
          <w:rFonts w:hint="cs"/>
          <w:sz w:val="27"/>
          <w:rtl/>
          <w:lang w:bidi="ar-AE"/>
        </w:rPr>
        <w:t>ُّ</w:t>
      </w:r>
      <w:r w:rsidRPr="00904FCB">
        <w:rPr>
          <w:rFonts w:hint="cs"/>
          <w:sz w:val="27"/>
          <w:rtl/>
          <w:lang w:bidi="ar-AE"/>
        </w:rPr>
        <w:t>ك والإباحية، وعليه تكون كتابتها محرّ</w:t>
      </w:r>
      <w:r w:rsidR="000A4050" w:rsidRPr="00904FCB">
        <w:rPr>
          <w:rFonts w:hint="cs"/>
          <w:sz w:val="27"/>
          <w:rtl/>
          <w:lang w:bidi="ar-AE"/>
        </w:rPr>
        <w:t>َ</w:t>
      </w:r>
      <w:r w:rsidRPr="00904FCB">
        <w:rPr>
          <w:rFonts w:hint="cs"/>
          <w:sz w:val="27"/>
          <w:rtl/>
          <w:lang w:bidi="ar-AE"/>
        </w:rPr>
        <w:t>مة، وكذلك نشرها وتوزيعها واقتناؤها وحفظها، سواء</w:t>
      </w:r>
      <w:r w:rsidR="000A4050" w:rsidRPr="00904FCB">
        <w:rPr>
          <w:rFonts w:hint="cs"/>
          <w:sz w:val="27"/>
          <w:rtl/>
          <w:lang w:bidi="ar-AE"/>
        </w:rPr>
        <w:t>ٌ</w:t>
      </w:r>
      <w:r w:rsidRPr="00904FCB">
        <w:rPr>
          <w:rFonts w:hint="cs"/>
          <w:sz w:val="27"/>
          <w:rtl/>
          <w:lang w:bidi="ar-AE"/>
        </w:rPr>
        <w:t xml:space="preserve"> أكنت أنا م</w:t>
      </w:r>
      <w:r w:rsidR="000A4050" w:rsidRPr="00904FCB">
        <w:rPr>
          <w:rFonts w:hint="cs"/>
          <w:sz w:val="27"/>
          <w:rtl/>
          <w:lang w:bidi="ar-AE"/>
        </w:rPr>
        <w:t>َ</w:t>
      </w:r>
      <w:r w:rsidRPr="00904FCB">
        <w:rPr>
          <w:rFonts w:hint="cs"/>
          <w:sz w:val="27"/>
          <w:rtl/>
          <w:lang w:bidi="ar-AE"/>
        </w:rPr>
        <w:t>ن</w:t>
      </w:r>
      <w:r w:rsidR="000A4050" w:rsidRPr="00904FCB">
        <w:rPr>
          <w:rFonts w:hint="cs"/>
          <w:sz w:val="27"/>
          <w:rtl/>
          <w:lang w:bidi="ar-AE"/>
        </w:rPr>
        <w:t>ْ</w:t>
      </w:r>
      <w:r w:rsidRPr="00904FCB">
        <w:rPr>
          <w:rFonts w:hint="cs"/>
          <w:sz w:val="27"/>
          <w:rtl/>
          <w:lang w:bidi="ar-AE"/>
        </w:rPr>
        <w:t xml:space="preserve"> يكتبها أو غيري، وأنه لا ب</w:t>
      </w:r>
      <w:r w:rsidR="000A4050" w:rsidRPr="00904FCB">
        <w:rPr>
          <w:rFonts w:hint="cs"/>
          <w:sz w:val="27"/>
          <w:rtl/>
          <w:lang w:bidi="ar-AE"/>
        </w:rPr>
        <w:t>ُ</w:t>
      </w:r>
      <w:r w:rsidRPr="00904FCB">
        <w:rPr>
          <w:rFonts w:hint="cs"/>
          <w:sz w:val="27"/>
          <w:rtl/>
          <w:lang w:bidi="ar-AE"/>
        </w:rPr>
        <w:t>د</w:t>
      </w:r>
      <w:r w:rsidR="000A4050" w:rsidRPr="00904FCB">
        <w:rPr>
          <w:rFonts w:hint="cs"/>
          <w:sz w:val="27"/>
          <w:rtl/>
          <w:lang w:bidi="ar-AE"/>
        </w:rPr>
        <w:t>َّ</w:t>
      </w:r>
      <w:r w:rsidRPr="00904FCB">
        <w:rPr>
          <w:rFonts w:hint="cs"/>
          <w:sz w:val="27"/>
          <w:rtl/>
          <w:lang w:bidi="ar-AE"/>
        </w:rPr>
        <w:t xml:space="preserve"> من حظرها ومنعها، أو أن لا أسمح ـ في الحد</w:t>
      </w:r>
      <w:r w:rsidR="000A4050" w:rsidRPr="00904FCB">
        <w:rPr>
          <w:rFonts w:hint="cs"/>
          <w:sz w:val="27"/>
          <w:rtl/>
          <w:lang w:bidi="ar-AE"/>
        </w:rPr>
        <w:t>ّ</w:t>
      </w:r>
      <w:r w:rsidRPr="00904FCB">
        <w:rPr>
          <w:rFonts w:hint="cs"/>
          <w:sz w:val="27"/>
          <w:rtl/>
          <w:lang w:bidi="ar-AE"/>
        </w:rPr>
        <w:t xml:space="preserve"> الأدنى ـ بدخول هذا النوع من الكتب والمجلات والصحف إلى بيتي. </w:t>
      </w:r>
    </w:p>
    <w:p w:rsidR="00BF56C8" w:rsidRPr="00904FCB" w:rsidRDefault="00BF56C8" w:rsidP="007A21AA">
      <w:pPr>
        <w:spacing w:line="400" w:lineRule="exact"/>
        <w:rPr>
          <w:sz w:val="27"/>
          <w:rtl/>
          <w:lang w:bidi="ar-AE"/>
        </w:rPr>
      </w:pPr>
      <w:r w:rsidRPr="00904FCB">
        <w:rPr>
          <w:rFonts w:hint="cs"/>
          <w:sz w:val="27"/>
          <w:rtl/>
          <w:lang w:bidi="ar-AE"/>
        </w:rPr>
        <w:t>ولكن</w:t>
      </w:r>
      <w:r w:rsidR="000A4050" w:rsidRPr="00904FCB">
        <w:rPr>
          <w:rFonts w:hint="cs"/>
          <w:sz w:val="27"/>
          <w:rtl/>
          <w:lang w:bidi="ar-AE"/>
        </w:rPr>
        <w:t>ْ</w:t>
      </w:r>
      <w:r w:rsidRPr="00904FCB">
        <w:rPr>
          <w:rFonts w:hint="cs"/>
          <w:sz w:val="27"/>
          <w:rtl/>
          <w:lang w:bidi="ar-AE"/>
        </w:rPr>
        <w:t xml:space="preserve"> قد يقال</w:t>
      </w:r>
      <w:r w:rsidR="000A4050" w:rsidRPr="00904FCB">
        <w:rPr>
          <w:rFonts w:hint="cs"/>
          <w:sz w:val="27"/>
          <w:rtl/>
          <w:lang w:bidi="ar-AE"/>
        </w:rPr>
        <w:t>:</w:t>
      </w:r>
      <w:r w:rsidRPr="00904FCB">
        <w:rPr>
          <w:rFonts w:hint="cs"/>
          <w:sz w:val="27"/>
          <w:rtl/>
          <w:lang w:bidi="ar-AE"/>
        </w:rPr>
        <w:t xml:space="preserve"> إن الأمر قد يكون بحيث </w:t>
      </w:r>
      <w:r w:rsidR="000A4050" w:rsidRPr="00904FCB">
        <w:rPr>
          <w:rFonts w:hint="cs"/>
          <w:sz w:val="27"/>
          <w:rtl/>
          <w:lang w:bidi="ar-AE"/>
        </w:rPr>
        <w:t>إ</w:t>
      </w:r>
      <w:r w:rsidRPr="00904FCB">
        <w:rPr>
          <w:rFonts w:hint="cs"/>
          <w:sz w:val="27"/>
          <w:rtl/>
          <w:lang w:bidi="ar-AE"/>
        </w:rPr>
        <w:t>ن ما تراه من كتب الضلال لا يراه كاتب</w:t>
      </w:r>
      <w:r w:rsidR="000A4050" w:rsidRPr="00904FCB">
        <w:rPr>
          <w:rFonts w:hint="cs"/>
          <w:sz w:val="27"/>
          <w:rtl/>
          <w:lang w:bidi="ar-AE"/>
        </w:rPr>
        <w:t>ُ</w:t>
      </w:r>
      <w:r w:rsidRPr="00904FCB">
        <w:rPr>
          <w:rFonts w:hint="cs"/>
          <w:sz w:val="27"/>
          <w:rtl/>
          <w:lang w:bidi="ar-AE"/>
        </w:rPr>
        <w:t>ها كذلك، بل يرى ما تدعو إليه هو الضلال</w:t>
      </w:r>
      <w:r w:rsidR="000A4050" w:rsidRPr="00904FCB">
        <w:rPr>
          <w:rFonts w:hint="cs"/>
          <w:sz w:val="27"/>
          <w:rtl/>
          <w:lang w:bidi="ar-AE"/>
        </w:rPr>
        <w:t>.</w:t>
      </w:r>
      <w:r w:rsidRPr="00904FCB">
        <w:rPr>
          <w:rFonts w:hint="cs"/>
          <w:sz w:val="27"/>
          <w:rtl/>
          <w:lang w:bidi="ar-AE"/>
        </w:rPr>
        <w:t xml:space="preserve"> وعليه كما ترى أن مصلحة المجتمع تكمن في عدم نشر هذه الأفكار يرى الآخر أن المصلحة تكمن في نشرها. وعليه كيف يكون الحكم بشأن حظر الكتب التي يؤل</w:t>
      </w:r>
      <w:r w:rsidR="000A4050" w:rsidRPr="00904FCB">
        <w:rPr>
          <w:rFonts w:hint="cs"/>
          <w:sz w:val="27"/>
          <w:rtl/>
          <w:lang w:bidi="ar-AE"/>
        </w:rPr>
        <w:t>ِّ</w:t>
      </w:r>
      <w:r w:rsidRPr="00904FCB">
        <w:rPr>
          <w:rFonts w:hint="cs"/>
          <w:sz w:val="27"/>
          <w:rtl/>
          <w:lang w:bidi="ar-AE"/>
        </w:rPr>
        <w:t>فها أصحابها لا بقصد الإضلال، وإنما بقصد هداية الناس وإصلاح أمورهم، وأنت تراها مضل</w:t>
      </w:r>
      <w:r w:rsidR="000A4050" w:rsidRPr="00904FCB">
        <w:rPr>
          <w:rFonts w:hint="cs"/>
          <w:sz w:val="27"/>
          <w:rtl/>
          <w:lang w:bidi="ar-AE"/>
        </w:rPr>
        <w:t>ّ</w:t>
      </w:r>
      <w:r w:rsidRPr="00904FCB">
        <w:rPr>
          <w:rFonts w:hint="cs"/>
          <w:sz w:val="27"/>
          <w:rtl/>
          <w:lang w:bidi="ar-AE"/>
        </w:rPr>
        <w:t>ة؟ هل يحق</w:t>
      </w:r>
      <w:r w:rsidR="000A4050" w:rsidRPr="00904FCB">
        <w:rPr>
          <w:rFonts w:hint="cs"/>
          <w:sz w:val="27"/>
          <w:rtl/>
          <w:lang w:bidi="ar-AE"/>
        </w:rPr>
        <w:t>ّ</w:t>
      </w:r>
      <w:r w:rsidRPr="00904FCB">
        <w:rPr>
          <w:rFonts w:hint="cs"/>
          <w:sz w:val="27"/>
          <w:rtl/>
          <w:lang w:bidi="ar-AE"/>
        </w:rPr>
        <w:t xml:space="preserve"> لك أن تحول دون بيان رأيه إذا قدر</w:t>
      </w:r>
      <w:r w:rsidR="000A4050" w:rsidRPr="00904FCB">
        <w:rPr>
          <w:rFonts w:hint="cs"/>
          <w:sz w:val="27"/>
          <w:rtl/>
          <w:lang w:bidi="ar-AE"/>
        </w:rPr>
        <w:t>ْ</w:t>
      </w:r>
      <w:r w:rsidRPr="00904FCB">
        <w:rPr>
          <w:rFonts w:hint="cs"/>
          <w:sz w:val="27"/>
          <w:rtl/>
          <w:lang w:bidi="ar-AE"/>
        </w:rPr>
        <w:t>ت</w:t>
      </w:r>
      <w:r w:rsidR="000A4050" w:rsidRPr="00904FCB">
        <w:rPr>
          <w:rFonts w:hint="cs"/>
          <w:sz w:val="27"/>
          <w:rtl/>
          <w:lang w:bidi="ar-AE"/>
        </w:rPr>
        <w:t>َ</w:t>
      </w:r>
      <w:r w:rsidRPr="00904FCB">
        <w:rPr>
          <w:rFonts w:hint="cs"/>
          <w:sz w:val="27"/>
          <w:rtl/>
          <w:lang w:bidi="ar-AE"/>
        </w:rPr>
        <w:t xml:space="preserve"> على ذلك أم لا؟ في مثل هذه الحالة يكون للمسألة وجه</w:t>
      </w:r>
      <w:r w:rsidR="000A4050" w:rsidRPr="00904FCB">
        <w:rPr>
          <w:rFonts w:hint="cs"/>
          <w:sz w:val="27"/>
          <w:rtl/>
          <w:lang w:bidi="ar-AE"/>
        </w:rPr>
        <w:t>ٌ</w:t>
      </w:r>
      <w:r w:rsidRPr="00904FCB">
        <w:rPr>
          <w:rFonts w:hint="cs"/>
          <w:sz w:val="27"/>
          <w:rtl/>
          <w:lang w:bidi="ar-AE"/>
        </w:rPr>
        <w:t xml:space="preserve"> آخر. </w:t>
      </w:r>
    </w:p>
    <w:p w:rsidR="00BF56C8" w:rsidRPr="00904FCB" w:rsidRDefault="00BF56C8" w:rsidP="007A21AA">
      <w:pPr>
        <w:spacing w:line="400" w:lineRule="exact"/>
        <w:rPr>
          <w:sz w:val="27"/>
          <w:rtl/>
          <w:lang w:bidi="ar-AE"/>
        </w:rPr>
      </w:pPr>
      <w:r w:rsidRPr="00904FCB">
        <w:rPr>
          <w:rFonts w:hint="cs"/>
          <w:sz w:val="27"/>
          <w:rtl/>
          <w:lang w:bidi="ar-AE"/>
        </w:rPr>
        <w:lastRenderedPageBreak/>
        <w:t>إن هذه المسألة لم يتمّ طرحها في كتب الفقهاء على هذا النحو، لنتحدث عن الأحكام التي أصدروها بهذا الشأن. وإن</w:t>
      </w:r>
      <w:r w:rsidR="000A4050" w:rsidRPr="00904FCB">
        <w:rPr>
          <w:rFonts w:hint="cs"/>
          <w:sz w:val="27"/>
          <w:rtl/>
          <w:lang w:bidi="ar-AE"/>
        </w:rPr>
        <w:t>ّ</w:t>
      </w:r>
      <w:r w:rsidRPr="00904FCB">
        <w:rPr>
          <w:rFonts w:hint="cs"/>
          <w:sz w:val="27"/>
          <w:rtl/>
          <w:lang w:bidi="ar-AE"/>
        </w:rPr>
        <w:t>ما بحثوها من زاوية الشخص الذي يكتب شيئاً يقتنيه أو يكتبه غيره أو يقتنيه وهو يعلم بأنه من الضلال. وأما إذا كان الآخر يراه من الهداية فقد ذكرنا أنه لا يوجد لدينا نصّ</w:t>
      </w:r>
      <w:r w:rsidR="000A4050" w:rsidRPr="00904FCB">
        <w:rPr>
          <w:rFonts w:hint="cs"/>
          <w:sz w:val="27"/>
          <w:rtl/>
          <w:lang w:bidi="ar-AE"/>
        </w:rPr>
        <w:t>ٌ</w:t>
      </w:r>
      <w:r w:rsidRPr="00904FCB">
        <w:rPr>
          <w:rFonts w:hint="cs"/>
          <w:sz w:val="27"/>
          <w:rtl/>
          <w:lang w:bidi="ar-AE"/>
        </w:rPr>
        <w:t xml:space="preserve"> خاص</w:t>
      </w:r>
      <w:r w:rsidR="000A4050" w:rsidRPr="00904FCB">
        <w:rPr>
          <w:rFonts w:hint="cs"/>
          <w:sz w:val="27"/>
          <w:rtl/>
          <w:lang w:bidi="ar-AE"/>
        </w:rPr>
        <w:t>ّ</w:t>
      </w:r>
      <w:r w:rsidRPr="00904FCB">
        <w:rPr>
          <w:rFonts w:hint="cs"/>
          <w:sz w:val="27"/>
          <w:rtl/>
          <w:lang w:bidi="ar-AE"/>
        </w:rPr>
        <w:t xml:space="preserve"> بشأنه، وإن</w:t>
      </w:r>
      <w:r w:rsidR="000A4050" w:rsidRPr="00904FCB">
        <w:rPr>
          <w:rFonts w:hint="cs"/>
          <w:sz w:val="27"/>
          <w:rtl/>
          <w:lang w:bidi="ar-AE"/>
        </w:rPr>
        <w:t>ّ</w:t>
      </w:r>
      <w:r w:rsidRPr="00904FCB">
        <w:rPr>
          <w:rFonts w:hint="cs"/>
          <w:sz w:val="27"/>
          <w:rtl/>
          <w:lang w:bidi="ar-AE"/>
        </w:rPr>
        <w:t xml:space="preserve"> كل ما بأيدينا لا يعدو الاستحسانات العقلية.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الجواب</w:t>
      </w:r>
    </w:p>
    <w:p w:rsidR="000A4050" w:rsidRPr="00904FCB" w:rsidRDefault="00BF56C8" w:rsidP="007A21AA">
      <w:pPr>
        <w:spacing w:line="400" w:lineRule="exact"/>
        <w:rPr>
          <w:sz w:val="27"/>
          <w:rtl/>
          <w:lang w:bidi="ar-AE"/>
        </w:rPr>
      </w:pPr>
      <w:r w:rsidRPr="00904FCB">
        <w:rPr>
          <w:rFonts w:hint="cs"/>
          <w:sz w:val="27"/>
          <w:rtl/>
          <w:lang w:bidi="ar-AE"/>
        </w:rPr>
        <w:t>أرى في</w:t>
      </w:r>
      <w:r w:rsidR="000A4050" w:rsidRPr="00904FCB">
        <w:rPr>
          <w:rFonts w:hint="cs"/>
          <w:sz w:val="27"/>
          <w:rtl/>
          <w:lang w:bidi="ar-AE"/>
        </w:rPr>
        <w:t xml:space="preserve"> </w:t>
      </w:r>
      <w:r w:rsidRPr="00904FCB">
        <w:rPr>
          <w:rFonts w:hint="cs"/>
          <w:sz w:val="27"/>
          <w:rtl/>
          <w:lang w:bidi="ar-AE"/>
        </w:rPr>
        <w:t>ما نحن فيه ضرورة التفكيك والفصل بين جهتين، وهما</w:t>
      </w:r>
      <w:r w:rsidR="000A4050" w:rsidRPr="00904FCB">
        <w:rPr>
          <w:rFonts w:hint="cs"/>
          <w:sz w:val="27"/>
          <w:rtl/>
          <w:lang w:bidi="ar-AE"/>
        </w:rPr>
        <w:t>:</w:t>
      </w:r>
    </w:p>
    <w:p w:rsidR="00BF56C8" w:rsidRPr="00904FCB" w:rsidRDefault="00BF56C8" w:rsidP="007A21AA">
      <w:pPr>
        <w:spacing w:line="400" w:lineRule="exact"/>
        <w:rPr>
          <w:sz w:val="27"/>
          <w:rtl/>
          <w:lang w:bidi="ar-AE"/>
        </w:rPr>
      </w:pPr>
      <w:r w:rsidRPr="00904FCB">
        <w:rPr>
          <w:rFonts w:hint="cs"/>
          <w:b/>
          <w:bCs/>
          <w:sz w:val="27"/>
          <w:rtl/>
          <w:lang w:bidi="ar-AE"/>
        </w:rPr>
        <w:t>أو</w:t>
      </w:r>
      <w:r w:rsidR="000A4050" w:rsidRPr="00904FCB">
        <w:rPr>
          <w:rFonts w:hint="cs"/>
          <w:b/>
          <w:bCs/>
          <w:sz w:val="27"/>
          <w:rtl/>
          <w:lang w:bidi="ar-AE"/>
        </w:rPr>
        <w:t>ّ</w:t>
      </w:r>
      <w:r w:rsidRPr="00904FCB">
        <w:rPr>
          <w:rFonts w:hint="cs"/>
          <w:b/>
          <w:bCs/>
          <w:sz w:val="27"/>
          <w:rtl/>
          <w:lang w:bidi="ar-AE"/>
        </w:rPr>
        <w:t>لاً</w:t>
      </w:r>
      <w:r w:rsidR="000A4050" w:rsidRPr="00904FCB">
        <w:rPr>
          <w:rFonts w:hint="cs"/>
          <w:sz w:val="27"/>
          <w:rtl/>
          <w:lang w:bidi="ar-AE"/>
        </w:rPr>
        <w:t>:</w:t>
      </w:r>
      <w:r w:rsidRPr="00904FCB">
        <w:rPr>
          <w:rFonts w:hint="cs"/>
          <w:sz w:val="27"/>
          <w:rtl/>
          <w:lang w:bidi="ar-AE"/>
        </w:rPr>
        <w:t xml:space="preserve"> أن نحافظ على الشريحة الضعيفة من أبناء الأم</w:t>
      </w:r>
      <w:r w:rsidR="000A4050" w:rsidRPr="00904FCB">
        <w:rPr>
          <w:rFonts w:hint="cs"/>
          <w:sz w:val="27"/>
          <w:rtl/>
          <w:lang w:bidi="ar-AE"/>
        </w:rPr>
        <w:t>ّ</w:t>
      </w:r>
      <w:r w:rsidRPr="00904FCB">
        <w:rPr>
          <w:rFonts w:hint="cs"/>
          <w:sz w:val="27"/>
          <w:rtl/>
          <w:lang w:bidi="ar-AE"/>
        </w:rPr>
        <w:t>ة من التأثّ</w:t>
      </w:r>
      <w:r w:rsidR="000A4050" w:rsidRPr="00904FCB">
        <w:rPr>
          <w:rFonts w:hint="cs"/>
          <w:sz w:val="27"/>
          <w:rtl/>
          <w:lang w:bidi="ar-AE"/>
        </w:rPr>
        <w:t>ُ</w:t>
      </w:r>
      <w:r w:rsidRPr="00904FCB">
        <w:rPr>
          <w:rFonts w:hint="cs"/>
          <w:sz w:val="27"/>
          <w:rtl/>
          <w:lang w:bidi="ar-AE"/>
        </w:rPr>
        <w:t>ر بهذا النوع من الأفكار. فعلى سبيل المثال: حيت يتمت</w:t>
      </w:r>
      <w:r w:rsidR="000A4050" w:rsidRPr="00904FCB">
        <w:rPr>
          <w:rFonts w:hint="cs"/>
          <w:sz w:val="27"/>
          <w:rtl/>
          <w:lang w:bidi="ar-AE"/>
        </w:rPr>
        <w:t>ّ</w:t>
      </w:r>
      <w:r w:rsidRPr="00904FCB">
        <w:rPr>
          <w:rFonts w:hint="cs"/>
          <w:sz w:val="27"/>
          <w:rtl/>
          <w:lang w:bidi="ar-AE"/>
        </w:rPr>
        <w:t>ع الشخص منا بتجربة عالية وفكر متين بعد قطعه سلسلة من المراحل العلمية يدرك أن ولده اليافع لا يمتلك القدرة على التحليل والنقد، ولذلك فإنه سرعان ما يتأث</w:t>
      </w:r>
      <w:r w:rsidR="000A4050" w:rsidRPr="00904FCB">
        <w:rPr>
          <w:rFonts w:hint="cs"/>
          <w:sz w:val="27"/>
          <w:rtl/>
          <w:lang w:bidi="ar-AE"/>
        </w:rPr>
        <w:t>ّ</w:t>
      </w:r>
      <w:r w:rsidRPr="00904FCB">
        <w:rPr>
          <w:rFonts w:hint="cs"/>
          <w:sz w:val="27"/>
          <w:rtl/>
          <w:lang w:bidi="ar-AE"/>
        </w:rPr>
        <w:t>ر بالمسائل التي تعرض عليه بشدّة</w:t>
      </w:r>
      <w:r w:rsidR="000A4050" w:rsidRPr="00904FCB">
        <w:rPr>
          <w:rFonts w:hint="cs"/>
          <w:sz w:val="27"/>
          <w:rtl/>
          <w:lang w:bidi="ar-AE"/>
        </w:rPr>
        <w:t>ٍ</w:t>
      </w:r>
      <w:r w:rsidR="00527E12">
        <w:rPr>
          <w:rFonts w:hint="cs"/>
          <w:sz w:val="27"/>
          <w:rtl/>
          <w:lang w:bidi="ar-AE"/>
        </w:rPr>
        <w:t xml:space="preserve">، ولربما </w:t>
      </w:r>
      <w:r w:rsidRPr="00904FCB">
        <w:rPr>
          <w:rFonts w:hint="cs"/>
          <w:sz w:val="27"/>
          <w:rtl/>
          <w:lang w:bidi="ar-AE"/>
        </w:rPr>
        <w:t>يأتي عليه يوم يعتريه الندم فيه</w:t>
      </w:r>
      <w:r w:rsidR="000A4050" w:rsidRPr="00904FCB">
        <w:rPr>
          <w:rFonts w:hint="cs"/>
          <w:sz w:val="27"/>
          <w:rtl/>
          <w:lang w:bidi="ar-AE"/>
        </w:rPr>
        <w:t>،</w:t>
      </w:r>
      <w:r w:rsidRPr="00904FCB">
        <w:rPr>
          <w:rFonts w:hint="cs"/>
          <w:sz w:val="27"/>
          <w:rtl/>
          <w:lang w:bidi="ar-AE"/>
        </w:rPr>
        <w:t xml:space="preserve"> ولكن</w:t>
      </w:r>
      <w:r w:rsidR="000A4050" w:rsidRPr="00904FCB">
        <w:rPr>
          <w:rFonts w:hint="cs"/>
          <w:sz w:val="27"/>
          <w:rtl/>
          <w:lang w:bidi="ar-AE"/>
        </w:rPr>
        <w:t>ْ</w:t>
      </w:r>
      <w:r w:rsidRPr="00904FCB">
        <w:rPr>
          <w:rFonts w:hint="cs"/>
          <w:sz w:val="27"/>
          <w:rtl/>
          <w:lang w:bidi="ar-AE"/>
        </w:rPr>
        <w:t xml:space="preserve"> لات حين مندم</w:t>
      </w:r>
      <w:r w:rsidR="000A4050" w:rsidRPr="00904FCB">
        <w:rPr>
          <w:rFonts w:hint="cs"/>
          <w:sz w:val="27"/>
          <w:rtl/>
          <w:lang w:bidi="ar-AE"/>
        </w:rPr>
        <w:t>ٍ.</w:t>
      </w:r>
      <w:r w:rsidRPr="00904FCB">
        <w:rPr>
          <w:rFonts w:hint="cs"/>
          <w:sz w:val="27"/>
          <w:rtl/>
          <w:lang w:bidi="ar-AE"/>
        </w:rPr>
        <w:t xml:space="preserve"> ومن الطبيعي هنا أن يرى ذلك الشخص نفسه مسؤولاً في الحفاظ على ولده من هذه الأخطار</w:t>
      </w:r>
      <w:r w:rsidR="000A4050" w:rsidRPr="00904FCB">
        <w:rPr>
          <w:rFonts w:hint="cs"/>
          <w:sz w:val="27"/>
          <w:rtl/>
          <w:lang w:bidi="ar-AE"/>
        </w:rPr>
        <w:t>،</w:t>
      </w:r>
      <w:r w:rsidRPr="00904FCB">
        <w:rPr>
          <w:rFonts w:hint="cs"/>
          <w:sz w:val="27"/>
          <w:rtl/>
          <w:lang w:bidi="ar-AE"/>
        </w:rPr>
        <w:t xml:space="preserve"> التي هي من وجهة نظره أمراض</w:t>
      </w:r>
      <w:r w:rsidR="000A4050" w:rsidRPr="00904FCB">
        <w:rPr>
          <w:rFonts w:hint="cs"/>
          <w:sz w:val="27"/>
          <w:rtl/>
          <w:lang w:bidi="ar-AE"/>
        </w:rPr>
        <w:t>ٌ</w:t>
      </w:r>
      <w:r w:rsidRPr="00904FCB">
        <w:rPr>
          <w:rFonts w:hint="cs"/>
          <w:sz w:val="27"/>
          <w:rtl/>
          <w:lang w:bidi="ar-AE"/>
        </w:rPr>
        <w:t xml:space="preserve"> فكري</w:t>
      </w:r>
      <w:r w:rsidR="003A35A1" w:rsidRPr="00904FCB">
        <w:rPr>
          <w:rFonts w:hint="cs"/>
          <w:sz w:val="27"/>
          <w:rtl/>
          <w:lang w:bidi="ar-AE"/>
        </w:rPr>
        <w:t>ّ</w:t>
      </w:r>
      <w:r w:rsidRPr="00904FCB">
        <w:rPr>
          <w:rFonts w:hint="cs"/>
          <w:sz w:val="27"/>
          <w:rtl/>
          <w:lang w:bidi="ar-AE"/>
        </w:rPr>
        <w:t>ة وروحي</w:t>
      </w:r>
      <w:r w:rsidR="003A35A1" w:rsidRPr="00904FCB">
        <w:rPr>
          <w:rFonts w:hint="cs"/>
          <w:sz w:val="27"/>
          <w:rtl/>
          <w:lang w:bidi="ar-AE"/>
        </w:rPr>
        <w:t>ّ</w:t>
      </w:r>
      <w:r w:rsidRPr="00904FCB">
        <w:rPr>
          <w:rFonts w:hint="cs"/>
          <w:sz w:val="27"/>
          <w:rtl/>
          <w:lang w:bidi="ar-AE"/>
        </w:rPr>
        <w:t xml:space="preserve">ة. </w:t>
      </w:r>
    </w:p>
    <w:p w:rsidR="00BF56C8" w:rsidRPr="00904FCB" w:rsidRDefault="00BF56C8" w:rsidP="007A21AA">
      <w:pPr>
        <w:spacing w:line="400" w:lineRule="exact"/>
        <w:rPr>
          <w:sz w:val="27"/>
          <w:rtl/>
          <w:lang w:bidi="ar-AE"/>
        </w:rPr>
      </w:pPr>
      <w:r w:rsidRPr="00904FCB">
        <w:rPr>
          <w:rFonts w:hint="cs"/>
          <w:sz w:val="27"/>
          <w:rtl/>
          <w:lang w:bidi="ar-AE"/>
        </w:rPr>
        <w:t>ولكن</w:t>
      </w:r>
      <w:r w:rsidR="003A35A1" w:rsidRPr="00904FCB">
        <w:rPr>
          <w:rFonts w:hint="cs"/>
          <w:sz w:val="27"/>
          <w:rtl/>
          <w:lang w:bidi="ar-AE"/>
        </w:rPr>
        <w:t>ّ</w:t>
      </w:r>
      <w:r w:rsidRPr="00904FCB">
        <w:rPr>
          <w:rFonts w:hint="cs"/>
          <w:sz w:val="27"/>
          <w:rtl/>
          <w:lang w:bidi="ar-AE"/>
        </w:rPr>
        <w:t xml:space="preserve"> الذين يمتلكون القدرة والاستقلال الفكري ـ كما صرّ</w:t>
      </w:r>
      <w:r w:rsidR="003A35A1" w:rsidRPr="00904FCB">
        <w:rPr>
          <w:rFonts w:hint="cs"/>
          <w:sz w:val="27"/>
          <w:rtl/>
          <w:lang w:bidi="ar-AE"/>
        </w:rPr>
        <w:t>َ</w:t>
      </w:r>
      <w:r w:rsidRPr="00904FCB">
        <w:rPr>
          <w:rFonts w:hint="cs"/>
          <w:sz w:val="27"/>
          <w:rtl/>
          <w:lang w:bidi="ar-AE"/>
        </w:rPr>
        <w:t>ح الفقهاء في بيان أصل المسألة ـ</w:t>
      </w:r>
      <w:r w:rsidR="003A35A1" w:rsidRPr="00904FCB">
        <w:rPr>
          <w:rFonts w:hint="cs"/>
          <w:sz w:val="27"/>
          <w:rtl/>
          <w:lang w:bidi="ar-AE"/>
        </w:rPr>
        <w:t xml:space="preserve">، </w:t>
      </w:r>
      <w:r w:rsidRPr="00904FCB">
        <w:rPr>
          <w:rFonts w:hint="cs"/>
          <w:sz w:val="27"/>
          <w:rtl/>
          <w:lang w:bidi="ar-AE"/>
        </w:rPr>
        <w:t>ويمتلكون ملكة الاجتهاد والقدرة على النقد والتحليل، فإن الأفكار المخالفة لن تشك</w:t>
      </w:r>
      <w:r w:rsidR="003A35A1" w:rsidRPr="00904FCB">
        <w:rPr>
          <w:rFonts w:hint="cs"/>
          <w:sz w:val="27"/>
          <w:rtl/>
          <w:lang w:bidi="ar-AE"/>
        </w:rPr>
        <w:t>ِّ</w:t>
      </w:r>
      <w:r w:rsidRPr="00904FCB">
        <w:rPr>
          <w:rFonts w:hint="cs"/>
          <w:sz w:val="27"/>
          <w:rtl/>
          <w:lang w:bidi="ar-AE"/>
        </w:rPr>
        <w:t>ل خ</w:t>
      </w:r>
      <w:r w:rsidR="003A35A1" w:rsidRPr="00904FCB">
        <w:rPr>
          <w:rFonts w:hint="cs"/>
          <w:sz w:val="27"/>
          <w:rtl/>
          <w:lang w:bidi="ar-AE"/>
        </w:rPr>
        <w:t>َ</w:t>
      </w:r>
      <w:r w:rsidRPr="00904FCB">
        <w:rPr>
          <w:rFonts w:hint="cs"/>
          <w:sz w:val="27"/>
          <w:rtl/>
          <w:lang w:bidi="ar-AE"/>
        </w:rPr>
        <w:t>ط</w:t>
      </w:r>
      <w:r w:rsidR="003A35A1" w:rsidRPr="00904FCB">
        <w:rPr>
          <w:rFonts w:hint="cs"/>
          <w:sz w:val="27"/>
          <w:rtl/>
          <w:lang w:bidi="ar-AE"/>
        </w:rPr>
        <w:t>َ</w:t>
      </w:r>
      <w:r w:rsidRPr="00904FCB">
        <w:rPr>
          <w:rFonts w:hint="cs"/>
          <w:sz w:val="27"/>
          <w:rtl/>
          <w:lang w:bidi="ar-AE"/>
        </w:rPr>
        <w:t>راً عليهم، بل هي ضرورية ولا ب</w:t>
      </w:r>
      <w:r w:rsidR="003A35A1" w:rsidRPr="00904FCB">
        <w:rPr>
          <w:rFonts w:hint="cs"/>
          <w:sz w:val="27"/>
          <w:rtl/>
          <w:lang w:bidi="ar-AE"/>
        </w:rPr>
        <w:t>ُ</w:t>
      </w:r>
      <w:r w:rsidRPr="00904FCB">
        <w:rPr>
          <w:rFonts w:hint="cs"/>
          <w:sz w:val="27"/>
          <w:rtl/>
          <w:lang w:bidi="ar-AE"/>
        </w:rPr>
        <w:t>دّ</w:t>
      </w:r>
      <w:r w:rsidR="003A35A1" w:rsidRPr="00904FCB">
        <w:rPr>
          <w:rFonts w:hint="cs"/>
          <w:sz w:val="27"/>
          <w:rtl/>
          <w:lang w:bidi="ar-AE"/>
        </w:rPr>
        <w:t>َ</w:t>
      </w:r>
      <w:r w:rsidRPr="00904FCB">
        <w:rPr>
          <w:rFonts w:hint="cs"/>
          <w:sz w:val="27"/>
          <w:rtl/>
          <w:lang w:bidi="ar-AE"/>
        </w:rPr>
        <w:t xml:space="preserve"> منها لشحذ أفكارهم والتصد</w:t>
      </w:r>
      <w:r w:rsidR="003A35A1" w:rsidRPr="00904FCB">
        <w:rPr>
          <w:rFonts w:hint="cs"/>
          <w:sz w:val="27"/>
          <w:rtl/>
          <w:lang w:bidi="ar-AE"/>
        </w:rPr>
        <w:t>ّ</w:t>
      </w:r>
      <w:r w:rsidRPr="00904FCB">
        <w:rPr>
          <w:rFonts w:hint="cs"/>
          <w:sz w:val="27"/>
          <w:rtl/>
          <w:lang w:bidi="ar-AE"/>
        </w:rPr>
        <w:t>ي لها (ومن المناسب أن نبحث هذه الموارد بالموازين العقلية)</w:t>
      </w:r>
      <w:r w:rsidR="003A35A1" w:rsidRPr="00904FCB">
        <w:rPr>
          <w:rFonts w:hint="cs"/>
          <w:sz w:val="27"/>
          <w:rtl/>
          <w:lang w:bidi="ar-AE"/>
        </w:rPr>
        <w:t>؛</w:t>
      </w:r>
      <w:r w:rsidRPr="00904FCB">
        <w:rPr>
          <w:rFonts w:hint="cs"/>
          <w:sz w:val="27"/>
          <w:rtl/>
          <w:lang w:bidi="ar-AE"/>
        </w:rPr>
        <w:t xml:space="preserve"> فإن وجود الأفكار المخالفة ه</w:t>
      </w:r>
      <w:r w:rsidR="003A35A1" w:rsidRPr="00904FCB">
        <w:rPr>
          <w:rFonts w:hint="cs"/>
          <w:sz w:val="27"/>
          <w:rtl/>
          <w:lang w:bidi="ar-AE"/>
        </w:rPr>
        <w:t>و</w:t>
      </w:r>
      <w:r w:rsidRPr="00904FCB">
        <w:rPr>
          <w:rFonts w:hint="cs"/>
          <w:sz w:val="27"/>
          <w:rtl/>
          <w:lang w:bidi="ar-AE"/>
        </w:rPr>
        <w:t xml:space="preserve"> ال</w:t>
      </w:r>
      <w:r w:rsidR="003A35A1" w:rsidRPr="00904FCB">
        <w:rPr>
          <w:rFonts w:hint="cs"/>
          <w:sz w:val="27"/>
          <w:rtl/>
          <w:lang w:bidi="ar-AE"/>
        </w:rPr>
        <w:t>ذ</w:t>
      </w:r>
      <w:r w:rsidRPr="00904FCB">
        <w:rPr>
          <w:rFonts w:hint="cs"/>
          <w:sz w:val="27"/>
          <w:rtl/>
          <w:lang w:bidi="ar-AE"/>
        </w:rPr>
        <w:t xml:space="preserve">ي </w:t>
      </w:r>
      <w:r w:rsidR="003A35A1" w:rsidRPr="00904FCB">
        <w:rPr>
          <w:rFonts w:hint="cs"/>
          <w:sz w:val="27"/>
          <w:rtl/>
          <w:lang w:bidi="ar-AE"/>
        </w:rPr>
        <w:t>ي</w:t>
      </w:r>
      <w:r w:rsidRPr="00904FCB">
        <w:rPr>
          <w:rFonts w:hint="cs"/>
          <w:sz w:val="27"/>
          <w:rtl/>
          <w:lang w:bidi="ar-AE"/>
        </w:rPr>
        <w:t>ؤد</w:t>
      </w:r>
      <w:r w:rsidR="003A35A1" w:rsidRPr="00904FCB">
        <w:rPr>
          <w:rFonts w:hint="cs"/>
          <w:sz w:val="27"/>
          <w:rtl/>
          <w:lang w:bidi="ar-AE"/>
        </w:rPr>
        <w:t>ّ</w:t>
      </w:r>
      <w:r w:rsidRPr="00904FCB">
        <w:rPr>
          <w:rFonts w:hint="cs"/>
          <w:sz w:val="27"/>
          <w:rtl/>
          <w:lang w:bidi="ar-AE"/>
        </w:rPr>
        <w:t>ي إلى التقد</w:t>
      </w:r>
      <w:r w:rsidR="003A35A1" w:rsidRPr="00904FCB">
        <w:rPr>
          <w:rFonts w:hint="cs"/>
          <w:sz w:val="27"/>
          <w:rtl/>
          <w:lang w:bidi="ar-AE"/>
        </w:rPr>
        <w:t>ُّ</w:t>
      </w:r>
      <w:r w:rsidRPr="00904FCB">
        <w:rPr>
          <w:rFonts w:hint="cs"/>
          <w:sz w:val="27"/>
          <w:rtl/>
          <w:lang w:bidi="ar-AE"/>
        </w:rPr>
        <w:t>م والرقي</w:t>
      </w:r>
      <w:r w:rsidR="003A35A1" w:rsidRPr="00904FCB">
        <w:rPr>
          <w:rFonts w:hint="cs"/>
          <w:sz w:val="27"/>
          <w:rtl/>
          <w:lang w:bidi="ar-AE"/>
        </w:rPr>
        <w:t>ّ</w:t>
      </w:r>
      <w:r w:rsidRPr="00904FCB">
        <w:rPr>
          <w:rFonts w:hint="cs"/>
          <w:sz w:val="27"/>
          <w:rtl/>
          <w:lang w:bidi="ar-AE"/>
        </w:rPr>
        <w:t xml:space="preserve"> في الوصول إلى الحقيقة</w:t>
      </w:r>
      <w:r w:rsidR="003A35A1" w:rsidRPr="00904FCB">
        <w:rPr>
          <w:rFonts w:hint="cs"/>
          <w:sz w:val="27"/>
          <w:rtl/>
          <w:lang w:bidi="ar-AE"/>
        </w:rPr>
        <w:t>،</w:t>
      </w:r>
      <w:r w:rsidRPr="00904FCB">
        <w:rPr>
          <w:rFonts w:hint="cs"/>
          <w:sz w:val="27"/>
          <w:rtl/>
          <w:lang w:bidi="ar-AE"/>
        </w:rPr>
        <w:t xml:space="preserve"> فقد أثبتت التجارب التاريخية أن الفكر إذا انطوى على جانب</w:t>
      </w:r>
      <w:r w:rsidR="003A35A1" w:rsidRPr="00904FCB">
        <w:rPr>
          <w:rFonts w:hint="cs"/>
          <w:sz w:val="27"/>
          <w:rtl/>
          <w:lang w:bidi="ar-AE"/>
        </w:rPr>
        <w:t>ٍ</w:t>
      </w:r>
      <w:r w:rsidRPr="00904FCB">
        <w:rPr>
          <w:rFonts w:hint="cs"/>
          <w:sz w:val="27"/>
          <w:rtl/>
          <w:lang w:bidi="ar-AE"/>
        </w:rPr>
        <w:t xml:space="preserve"> من الحقيقة فإنه سيغدو أقوى وأمتن من خلال مواجهته للأفكار المخالفة، تماماً كما هو الأمر بالنسبة إلى الكائنات الحي</w:t>
      </w:r>
      <w:r w:rsidR="003A35A1" w:rsidRPr="00904FCB">
        <w:rPr>
          <w:rFonts w:hint="cs"/>
          <w:sz w:val="27"/>
          <w:rtl/>
          <w:lang w:bidi="ar-AE"/>
        </w:rPr>
        <w:t>ّ</w:t>
      </w:r>
      <w:r w:rsidRPr="00904FCB">
        <w:rPr>
          <w:rFonts w:hint="cs"/>
          <w:sz w:val="27"/>
          <w:rtl/>
          <w:lang w:bidi="ar-AE"/>
        </w:rPr>
        <w:t>ة من النبات والحيوان وجسم الإنسان</w:t>
      </w:r>
      <w:r w:rsidR="003A35A1" w:rsidRPr="00904FCB">
        <w:rPr>
          <w:rFonts w:hint="cs"/>
          <w:sz w:val="27"/>
          <w:rtl/>
          <w:lang w:bidi="ar-AE"/>
        </w:rPr>
        <w:t>،</w:t>
      </w:r>
      <w:r w:rsidRPr="00904FCB">
        <w:rPr>
          <w:rFonts w:hint="cs"/>
          <w:sz w:val="27"/>
          <w:rtl/>
          <w:lang w:bidi="ar-AE"/>
        </w:rPr>
        <w:t xml:space="preserve"> حيث يغدو أكثر مناعة عند تعرّ</w:t>
      </w:r>
      <w:r w:rsidR="003A35A1" w:rsidRPr="00904FCB">
        <w:rPr>
          <w:rFonts w:hint="cs"/>
          <w:sz w:val="27"/>
          <w:rtl/>
          <w:lang w:bidi="ar-AE"/>
        </w:rPr>
        <w:t>ُ</w:t>
      </w:r>
      <w:r w:rsidRPr="00904FCB">
        <w:rPr>
          <w:rFonts w:hint="cs"/>
          <w:sz w:val="27"/>
          <w:rtl/>
          <w:lang w:bidi="ar-AE"/>
        </w:rPr>
        <w:t xml:space="preserve">ضه للآفات والمخاطر. </w:t>
      </w:r>
    </w:p>
    <w:p w:rsidR="00BF56C8" w:rsidRPr="00904FCB" w:rsidRDefault="00BF56C8" w:rsidP="00527E12">
      <w:pPr>
        <w:spacing w:line="400" w:lineRule="exact"/>
        <w:rPr>
          <w:sz w:val="27"/>
          <w:rtl/>
          <w:lang w:bidi="ar-AE"/>
        </w:rPr>
      </w:pPr>
      <w:r w:rsidRPr="00904FCB">
        <w:rPr>
          <w:rFonts w:hint="cs"/>
          <w:sz w:val="27"/>
          <w:rtl/>
          <w:lang w:bidi="ar-AE"/>
        </w:rPr>
        <w:t>وهكذا الأمر بالنسبة إلى فكر الإنسان</w:t>
      </w:r>
      <w:r w:rsidR="003A35A1" w:rsidRPr="00904FCB">
        <w:rPr>
          <w:rFonts w:hint="cs"/>
          <w:sz w:val="27"/>
          <w:rtl/>
          <w:lang w:bidi="ar-AE"/>
        </w:rPr>
        <w:t>.</w:t>
      </w:r>
      <w:r w:rsidRPr="00904FCB">
        <w:rPr>
          <w:rFonts w:hint="cs"/>
          <w:sz w:val="27"/>
          <w:rtl/>
          <w:lang w:bidi="ar-AE"/>
        </w:rPr>
        <w:t xml:space="preserve"> فإذا كان لدى الفرد فكر</w:t>
      </w:r>
      <w:r w:rsidR="003A35A1" w:rsidRPr="00904FCB">
        <w:rPr>
          <w:rFonts w:hint="cs"/>
          <w:sz w:val="27"/>
          <w:rtl/>
          <w:lang w:bidi="ar-AE"/>
        </w:rPr>
        <w:t>ٌ</w:t>
      </w:r>
      <w:r w:rsidRPr="00904FCB">
        <w:rPr>
          <w:rFonts w:hint="cs"/>
          <w:sz w:val="27"/>
          <w:rtl/>
          <w:lang w:bidi="ar-AE"/>
        </w:rPr>
        <w:t xml:space="preserve"> حي</w:t>
      </w:r>
      <w:r w:rsidR="003A35A1" w:rsidRPr="00904FCB">
        <w:rPr>
          <w:rFonts w:hint="cs"/>
          <w:sz w:val="27"/>
          <w:rtl/>
          <w:lang w:bidi="ar-AE"/>
        </w:rPr>
        <w:t>ّ</w:t>
      </w:r>
      <w:r w:rsidRPr="00904FCB">
        <w:rPr>
          <w:rFonts w:hint="cs"/>
          <w:sz w:val="27"/>
          <w:rtl/>
          <w:lang w:bidi="ar-AE"/>
        </w:rPr>
        <w:t xml:space="preserve"> وعقيدة حيوية فإنها كلما واجهت الأفكار المخالفة ستغدو أكثر قو</w:t>
      </w:r>
      <w:r w:rsidR="003A35A1" w:rsidRPr="00904FCB">
        <w:rPr>
          <w:rFonts w:hint="cs"/>
          <w:sz w:val="27"/>
          <w:rtl/>
          <w:lang w:bidi="ar-AE"/>
        </w:rPr>
        <w:t>ّ</w:t>
      </w:r>
      <w:r w:rsidRPr="00904FCB">
        <w:rPr>
          <w:rFonts w:hint="cs"/>
          <w:sz w:val="27"/>
          <w:rtl/>
          <w:lang w:bidi="ar-AE"/>
        </w:rPr>
        <w:t>ة</w:t>
      </w:r>
      <w:r w:rsidR="003A35A1" w:rsidRPr="00904FCB">
        <w:rPr>
          <w:rFonts w:hint="cs"/>
          <w:sz w:val="27"/>
          <w:rtl/>
          <w:lang w:bidi="ar-AE"/>
        </w:rPr>
        <w:t>ً</w:t>
      </w:r>
      <w:r w:rsidRPr="00904FCB">
        <w:rPr>
          <w:rFonts w:hint="cs"/>
          <w:sz w:val="27"/>
          <w:rtl/>
          <w:lang w:bidi="ar-AE"/>
        </w:rPr>
        <w:t xml:space="preserve"> ومنعة وحصانة. </w:t>
      </w:r>
      <w:r w:rsidRPr="00904FCB">
        <w:rPr>
          <w:rFonts w:hint="cs"/>
          <w:sz w:val="27"/>
          <w:rtl/>
          <w:lang w:bidi="ar-AE"/>
        </w:rPr>
        <w:lastRenderedPageBreak/>
        <w:t>وهذا الأمر بطبيعة الحال يقوم على منظومة</w:t>
      </w:r>
      <w:r w:rsidR="003A35A1" w:rsidRPr="00904FCB">
        <w:rPr>
          <w:rFonts w:hint="cs"/>
          <w:sz w:val="27"/>
          <w:rtl/>
          <w:lang w:bidi="ar-AE"/>
        </w:rPr>
        <w:t>ٍ.</w:t>
      </w:r>
      <w:r w:rsidRPr="00904FCB">
        <w:rPr>
          <w:rFonts w:hint="cs"/>
          <w:sz w:val="27"/>
          <w:rtl/>
          <w:lang w:bidi="ar-AE"/>
        </w:rPr>
        <w:t xml:space="preserve"> فالعقيدة الضعيفة تنهار </w:t>
      </w:r>
      <w:r w:rsidR="00527E12">
        <w:rPr>
          <w:rFonts w:hint="cs"/>
          <w:sz w:val="27"/>
          <w:rtl/>
          <w:lang w:bidi="ar-AE"/>
        </w:rPr>
        <w:t>في</w:t>
      </w:r>
      <w:r w:rsidRPr="00904FCB">
        <w:rPr>
          <w:rFonts w:hint="cs"/>
          <w:sz w:val="27"/>
          <w:rtl/>
          <w:lang w:bidi="ar-AE"/>
        </w:rPr>
        <w:t xml:space="preserve"> أو</w:t>
      </w:r>
      <w:r w:rsidR="003A35A1" w:rsidRPr="00904FCB">
        <w:rPr>
          <w:rFonts w:hint="cs"/>
          <w:sz w:val="27"/>
          <w:rtl/>
          <w:lang w:bidi="ar-AE"/>
        </w:rPr>
        <w:t>ّ</w:t>
      </w:r>
      <w:r w:rsidRPr="00904FCB">
        <w:rPr>
          <w:rFonts w:hint="cs"/>
          <w:sz w:val="27"/>
          <w:rtl/>
          <w:lang w:bidi="ar-AE"/>
        </w:rPr>
        <w:t>ل مواجهة</w:t>
      </w:r>
      <w:r w:rsidR="003A35A1" w:rsidRPr="00904FCB">
        <w:rPr>
          <w:rFonts w:hint="cs"/>
          <w:sz w:val="27"/>
          <w:rtl/>
          <w:lang w:bidi="ar-AE"/>
        </w:rPr>
        <w:t>.</w:t>
      </w:r>
      <w:r w:rsidRPr="00904FCB">
        <w:rPr>
          <w:rFonts w:hint="cs"/>
          <w:sz w:val="27"/>
          <w:rtl/>
          <w:lang w:bidi="ar-AE"/>
        </w:rPr>
        <w:t xml:space="preserve"> وبشكل</w:t>
      </w:r>
      <w:r w:rsidR="003A35A1" w:rsidRPr="00904FCB">
        <w:rPr>
          <w:rFonts w:hint="cs"/>
          <w:sz w:val="27"/>
          <w:rtl/>
          <w:lang w:bidi="ar-AE"/>
        </w:rPr>
        <w:t>ٍ</w:t>
      </w:r>
      <w:r w:rsidRPr="00904FCB">
        <w:rPr>
          <w:rFonts w:hint="cs"/>
          <w:sz w:val="27"/>
          <w:rtl/>
          <w:lang w:bidi="ar-AE"/>
        </w:rPr>
        <w:t xml:space="preserve"> عام</w:t>
      </w:r>
      <w:r w:rsidR="003A35A1" w:rsidRPr="00904FCB">
        <w:rPr>
          <w:rFonts w:hint="cs"/>
          <w:sz w:val="27"/>
          <w:rtl/>
          <w:lang w:bidi="ar-AE"/>
        </w:rPr>
        <w:t>ّ</w:t>
      </w:r>
      <w:r w:rsidRPr="00904FCB">
        <w:rPr>
          <w:rFonts w:hint="cs"/>
          <w:sz w:val="27"/>
          <w:rtl/>
          <w:lang w:bidi="ar-AE"/>
        </w:rPr>
        <w:t xml:space="preserve"> فإن وجود الفكر المخالف يعمل على تقوية الفكر الحق</w:t>
      </w:r>
      <w:r w:rsidR="003A35A1" w:rsidRPr="00904FCB">
        <w:rPr>
          <w:rFonts w:hint="cs"/>
          <w:sz w:val="27"/>
          <w:rtl/>
          <w:lang w:bidi="ar-AE"/>
        </w:rPr>
        <w:t>ّ</w:t>
      </w:r>
      <w:r w:rsidRPr="00904FCB">
        <w:rPr>
          <w:rFonts w:hint="cs"/>
          <w:sz w:val="27"/>
          <w:rtl/>
          <w:lang w:bidi="ar-AE"/>
        </w:rPr>
        <w:t>، لا أنه يؤدّي إلى زواله. لا ينبغي للحق</w:t>
      </w:r>
      <w:r w:rsidR="003A35A1" w:rsidRPr="00904FCB">
        <w:rPr>
          <w:rFonts w:hint="cs"/>
          <w:sz w:val="27"/>
          <w:rtl/>
          <w:lang w:bidi="ar-AE"/>
        </w:rPr>
        <w:t>ّ</w:t>
      </w:r>
      <w:r w:rsidRPr="00904FCB">
        <w:rPr>
          <w:rFonts w:hint="cs"/>
          <w:sz w:val="27"/>
          <w:rtl/>
          <w:lang w:bidi="ar-AE"/>
        </w:rPr>
        <w:t xml:space="preserve"> أن يخشى من مواجهة الباطل. وبعكس ذلك عندما لا يو</w:t>
      </w:r>
      <w:r w:rsidR="00527E12">
        <w:rPr>
          <w:rFonts w:hint="cs"/>
          <w:sz w:val="27"/>
          <w:rtl/>
          <w:lang w:bidi="ar-AE"/>
        </w:rPr>
        <w:t>ا</w:t>
      </w:r>
      <w:r w:rsidRPr="00904FCB">
        <w:rPr>
          <w:rFonts w:hint="cs"/>
          <w:sz w:val="27"/>
          <w:rtl/>
          <w:lang w:bidi="ar-AE"/>
        </w:rPr>
        <w:t>جه الفكر فكراً مخالفاً ومعارضاً فإنه سيغدو مثل الماء الراكد الذي يغطيه الع</w:t>
      </w:r>
      <w:r w:rsidR="003A35A1" w:rsidRPr="00904FCB">
        <w:rPr>
          <w:rFonts w:hint="cs"/>
          <w:sz w:val="27"/>
          <w:rtl/>
          <w:lang w:bidi="ar-AE"/>
        </w:rPr>
        <w:t>َ</w:t>
      </w:r>
      <w:r w:rsidRPr="00904FCB">
        <w:rPr>
          <w:rFonts w:hint="cs"/>
          <w:sz w:val="27"/>
          <w:rtl/>
          <w:lang w:bidi="ar-AE"/>
        </w:rPr>
        <w:t>ف</w:t>
      </w:r>
      <w:r w:rsidR="003A35A1" w:rsidRPr="00904FCB">
        <w:rPr>
          <w:rFonts w:hint="cs"/>
          <w:sz w:val="27"/>
          <w:rtl/>
          <w:lang w:bidi="ar-AE"/>
        </w:rPr>
        <w:t>َ</w:t>
      </w:r>
      <w:r w:rsidRPr="00904FCB">
        <w:rPr>
          <w:rFonts w:hint="cs"/>
          <w:sz w:val="27"/>
          <w:rtl/>
          <w:lang w:bidi="ar-AE"/>
        </w:rPr>
        <w:t>ن بالتدريج</w:t>
      </w:r>
      <w:r w:rsidR="003A35A1" w:rsidRPr="00904FCB">
        <w:rPr>
          <w:rFonts w:hint="cs"/>
          <w:sz w:val="27"/>
          <w:rtl/>
          <w:lang w:bidi="ar-AE"/>
        </w:rPr>
        <w:t>،</w:t>
      </w:r>
      <w:r w:rsidRPr="00904FCB">
        <w:rPr>
          <w:rFonts w:hint="cs"/>
          <w:sz w:val="27"/>
          <w:rtl/>
          <w:lang w:bidi="ar-AE"/>
        </w:rPr>
        <w:t xml:space="preserve"> وتنمو على سطحه الطحالب وغيرها من الشوائب الأخرى</w:t>
      </w:r>
      <w:r w:rsidR="003A35A1" w:rsidRPr="00904FCB">
        <w:rPr>
          <w:rFonts w:hint="cs"/>
          <w:sz w:val="27"/>
          <w:rtl/>
          <w:lang w:bidi="ar-AE"/>
        </w:rPr>
        <w:t>،</w:t>
      </w:r>
      <w:r w:rsidRPr="00904FCB">
        <w:rPr>
          <w:rFonts w:hint="cs"/>
          <w:sz w:val="27"/>
          <w:rtl/>
          <w:lang w:bidi="ar-AE"/>
        </w:rPr>
        <w:t xml:space="preserve"> حت</w:t>
      </w:r>
      <w:r w:rsidR="003A35A1" w:rsidRPr="00904FCB">
        <w:rPr>
          <w:rFonts w:hint="cs"/>
          <w:sz w:val="27"/>
          <w:rtl/>
          <w:lang w:bidi="ar-AE"/>
        </w:rPr>
        <w:t>ّ</w:t>
      </w:r>
      <w:r w:rsidRPr="00904FCB">
        <w:rPr>
          <w:rFonts w:hint="cs"/>
          <w:sz w:val="27"/>
          <w:rtl/>
          <w:lang w:bidi="ar-AE"/>
        </w:rPr>
        <w:t>ى تغيّ</w:t>
      </w:r>
      <w:r w:rsidR="003A35A1" w:rsidRPr="00904FCB">
        <w:rPr>
          <w:rFonts w:hint="cs"/>
          <w:sz w:val="27"/>
          <w:rtl/>
          <w:lang w:bidi="ar-AE"/>
        </w:rPr>
        <w:t>ِ</w:t>
      </w:r>
      <w:r w:rsidRPr="00904FCB">
        <w:rPr>
          <w:rFonts w:hint="cs"/>
          <w:sz w:val="27"/>
          <w:rtl/>
          <w:lang w:bidi="ar-AE"/>
        </w:rPr>
        <w:t>ر ماهيته تماماً. وقد ذكرنا ذلك مراراً</w:t>
      </w:r>
      <w:r w:rsidR="003A35A1" w:rsidRPr="00904FCB">
        <w:rPr>
          <w:rFonts w:hint="cs"/>
          <w:sz w:val="27"/>
          <w:rtl/>
          <w:lang w:bidi="ar-AE"/>
        </w:rPr>
        <w:t>،</w:t>
      </w:r>
      <w:r w:rsidRPr="00904FCB">
        <w:rPr>
          <w:rFonts w:hint="cs"/>
          <w:sz w:val="27"/>
          <w:rtl/>
          <w:lang w:bidi="ar-AE"/>
        </w:rPr>
        <w:t xml:space="preserve"> سواء عندما كنا ندرس في قم أو عندما انتقلنا إلى طهران لنشر المعارف والعلوم.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خدمة الكسروي غير المقصودة</w:t>
      </w:r>
    </w:p>
    <w:p w:rsidR="00BF56C8" w:rsidRPr="00904FCB" w:rsidRDefault="00BF56C8" w:rsidP="007A21AA">
      <w:pPr>
        <w:spacing w:line="400" w:lineRule="exact"/>
        <w:rPr>
          <w:sz w:val="27"/>
          <w:rtl/>
          <w:lang w:bidi="ar-AE"/>
        </w:rPr>
      </w:pPr>
      <w:r w:rsidRPr="00904FCB">
        <w:rPr>
          <w:rFonts w:hint="cs"/>
          <w:sz w:val="27"/>
          <w:rtl/>
          <w:lang w:bidi="ar-AE"/>
        </w:rPr>
        <w:t>لقد كان الكسر</w:t>
      </w:r>
      <w:r w:rsidR="003A35A1" w:rsidRPr="00904FCB">
        <w:rPr>
          <w:rFonts w:hint="cs"/>
          <w:sz w:val="27"/>
          <w:rtl/>
          <w:lang w:bidi="ar-AE"/>
        </w:rPr>
        <w:t>و</w:t>
      </w:r>
      <w:r w:rsidRPr="00904FCB">
        <w:rPr>
          <w:rFonts w:hint="cs"/>
          <w:sz w:val="27"/>
          <w:rtl/>
          <w:lang w:bidi="ar-AE"/>
        </w:rPr>
        <w:t>ي عدو</w:t>
      </w:r>
      <w:r w:rsidR="003A35A1" w:rsidRPr="00904FCB">
        <w:rPr>
          <w:rFonts w:hint="cs"/>
          <w:sz w:val="27"/>
          <w:rtl/>
          <w:lang w:bidi="ar-AE"/>
        </w:rPr>
        <w:t>ّ</w:t>
      </w:r>
      <w:r w:rsidRPr="00904FCB">
        <w:rPr>
          <w:rFonts w:hint="cs"/>
          <w:sz w:val="27"/>
          <w:rtl/>
          <w:lang w:bidi="ar-AE"/>
        </w:rPr>
        <w:t>اً للتشيّع، وكان يسبّ أئم</w:t>
      </w:r>
      <w:r w:rsidR="003A35A1" w:rsidRPr="00904FCB">
        <w:rPr>
          <w:rFonts w:hint="cs"/>
          <w:sz w:val="27"/>
          <w:rtl/>
          <w:lang w:bidi="ar-AE"/>
        </w:rPr>
        <w:t>ّ</w:t>
      </w:r>
      <w:r w:rsidRPr="00904FCB">
        <w:rPr>
          <w:rFonts w:hint="cs"/>
          <w:sz w:val="27"/>
          <w:rtl/>
          <w:lang w:bidi="ar-AE"/>
        </w:rPr>
        <w:t>ة الشيعة جهاراً</w:t>
      </w:r>
      <w:r w:rsidR="003A35A1" w:rsidRPr="00904FCB">
        <w:rPr>
          <w:rFonts w:hint="cs"/>
          <w:sz w:val="27"/>
          <w:rtl/>
          <w:lang w:bidi="ar-AE"/>
        </w:rPr>
        <w:t>.</w:t>
      </w:r>
      <w:r w:rsidRPr="00904FCB">
        <w:rPr>
          <w:rFonts w:hint="cs"/>
          <w:sz w:val="27"/>
          <w:rtl/>
          <w:lang w:bidi="ar-AE"/>
        </w:rPr>
        <w:t xml:space="preserve"> وليس هناك من ش</w:t>
      </w:r>
      <w:r w:rsidR="003A35A1" w:rsidRPr="00904FCB">
        <w:rPr>
          <w:rFonts w:hint="cs"/>
          <w:sz w:val="27"/>
          <w:rtl/>
          <w:lang w:bidi="ar-AE"/>
        </w:rPr>
        <w:t>َ</w:t>
      </w:r>
      <w:r w:rsidRPr="00904FCB">
        <w:rPr>
          <w:rFonts w:hint="cs"/>
          <w:sz w:val="27"/>
          <w:rtl/>
          <w:lang w:bidi="ar-AE"/>
        </w:rPr>
        <w:t>ك</w:t>
      </w:r>
      <w:r w:rsidR="003A35A1" w:rsidRPr="00904FCB">
        <w:rPr>
          <w:rFonts w:hint="cs"/>
          <w:sz w:val="27"/>
          <w:rtl/>
          <w:lang w:bidi="ar-AE"/>
        </w:rPr>
        <w:t>ٍّ</w:t>
      </w:r>
      <w:r w:rsidRPr="00904FCB">
        <w:rPr>
          <w:rFonts w:hint="cs"/>
          <w:sz w:val="27"/>
          <w:rtl/>
          <w:lang w:bidi="ar-AE"/>
        </w:rPr>
        <w:t xml:space="preserve"> في أنه قد أضرّ بالشيعة</w:t>
      </w:r>
      <w:r w:rsidR="003A35A1" w:rsidRPr="00904FCB">
        <w:rPr>
          <w:rFonts w:hint="cs"/>
          <w:sz w:val="27"/>
          <w:rtl/>
          <w:lang w:bidi="ar-AE"/>
        </w:rPr>
        <w:t>،</w:t>
      </w:r>
      <w:r w:rsidRPr="00904FCB">
        <w:rPr>
          <w:rFonts w:hint="cs"/>
          <w:sz w:val="27"/>
          <w:rtl/>
          <w:lang w:bidi="ar-AE"/>
        </w:rPr>
        <w:t xml:space="preserve"> بمعنى أنه تسبّ</w:t>
      </w:r>
      <w:r w:rsidR="003A35A1" w:rsidRPr="00904FCB">
        <w:rPr>
          <w:rFonts w:hint="cs"/>
          <w:sz w:val="27"/>
          <w:rtl/>
          <w:lang w:bidi="ar-AE"/>
        </w:rPr>
        <w:t>َ</w:t>
      </w:r>
      <w:r w:rsidRPr="00904FCB">
        <w:rPr>
          <w:rFonts w:hint="cs"/>
          <w:sz w:val="27"/>
          <w:rtl/>
          <w:lang w:bidi="ar-AE"/>
        </w:rPr>
        <w:t>ب في خروج شرذمة</w:t>
      </w:r>
      <w:r w:rsidR="003A35A1" w:rsidRPr="00904FCB">
        <w:rPr>
          <w:rFonts w:hint="cs"/>
          <w:sz w:val="27"/>
          <w:rtl/>
          <w:lang w:bidi="ar-AE"/>
        </w:rPr>
        <w:t>ٍ</w:t>
      </w:r>
      <w:r w:rsidRPr="00904FCB">
        <w:rPr>
          <w:rFonts w:hint="cs"/>
          <w:sz w:val="27"/>
          <w:rtl/>
          <w:lang w:bidi="ar-AE"/>
        </w:rPr>
        <w:t xml:space="preserve"> قليلة من رحاب التشيّ</w:t>
      </w:r>
      <w:r w:rsidR="003A35A1" w:rsidRPr="00904FCB">
        <w:rPr>
          <w:rFonts w:hint="cs"/>
          <w:sz w:val="27"/>
          <w:rtl/>
          <w:lang w:bidi="ar-AE"/>
        </w:rPr>
        <w:t>ُ</w:t>
      </w:r>
      <w:r w:rsidRPr="00904FCB">
        <w:rPr>
          <w:rFonts w:hint="cs"/>
          <w:sz w:val="27"/>
          <w:rtl/>
          <w:lang w:bidi="ar-AE"/>
        </w:rPr>
        <w:t>ع</w:t>
      </w:r>
      <w:r w:rsidR="003A35A1" w:rsidRPr="00904FCB">
        <w:rPr>
          <w:rFonts w:hint="cs"/>
          <w:sz w:val="27"/>
          <w:rtl/>
          <w:lang w:bidi="ar-AE"/>
        </w:rPr>
        <w:t>.</w:t>
      </w:r>
      <w:r w:rsidRPr="00904FCB">
        <w:rPr>
          <w:rFonts w:hint="cs"/>
          <w:sz w:val="27"/>
          <w:rtl/>
          <w:lang w:bidi="ar-AE"/>
        </w:rPr>
        <w:t xml:space="preserve"> ولكن</w:t>
      </w:r>
      <w:r w:rsidR="003A35A1" w:rsidRPr="00904FCB">
        <w:rPr>
          <w:rFonts w:hint="cs"/>
          <w:sz w:val="27"/>
          <w:rtl/>
          <w:lang w:bidi="ar-AE"/>
        </w:rPr>
        <w:t>َّ</w:t>
      </w:r>
      <w:r w:rsidRPr="00904FCB">
        <w:rPr>
          <w:rFonts w:hint="cs"/>
          <w:sz w:val="27"/>
          <w:rtl/>
          <w:lang w:bidi="ar-AE"/>
        </w:rPr>
        <w:t>ني أرى أننا إذا أجرينا حساباً وجرداً دقيقاً سنرى أن المنافع التي ترت</w:t>
      </w:r>
      <w:r w:rsidR="003A35A1" w:rsidRPr="00904FCB">
        <w:rPr>
          <w:rFonts w:hint="cs"/>
          <w:sz w:val="27"/>
          <w:rtl/>
          <w:lang w:bidi="ar-AE"/>
        </w:rPr>
        <w:t>َّ</w:t>
      </w:r>
      <w:r w:rsidRPr="00904FCB">
        <w:rPr>
          <w:rFonts w:hint="cs"/>
          <w:sz w:val="27"/>
          <w:rtl/>
          <w:lang w:bidi="ar-AE"/>
        </w:rPr>
        <w:t>بت على حركة الكسروي تفوق الأضرار التي ترت</w:t>
      </w:r>
      <w:r w:rsidR="003A35A1" w:rsidRPr="00904FCB">
        <w:rPr>
          <w:rFonts w:hint="cs"/>
          <w:sz w:val="27"/>
          <w:rtl/>
          <w:lang w:bidi="ar-AE"/>
        </w:rPr>
        <w:t>َّ</w:t>
      </w:r>
      <w:r w:rsidRPr="00904FCB">
        <w:rPr>
          <w:rFonts w:hint="cs"/>
          <w:sz w:val="27"/>
          <w:rtl/>
          <w:lang w:bidi="ar-AE"/>
        </w:rPr>
        <w:t>بت عليها، بمعنى أن كتب الكسروي هي التي حفّ</w:t>
      </w:r>
      <w:r w:rsidR="003A35A1" w:rsidRPr="00904FCB">
        <w:rPr>
          <w:rFonts w:hint="cs"/>
          <w:sz w:val="27"/>
          <w:rtl/>
          <w:lang w:bidi="ar-AE"/>
        </w:rPr>
        <w:t>َ</w:t>
      </w:r>
      <w:r w:rsidRPr="00904FCB">
        <w:rPr>
          <w:rFonts w:hint="cs"/>
          <w:sz w:val="27"/>
          <w:rtl/>
          <w:lang w:bidi="ar-AE"/>
        </w:rPr>
        <w:t>زت علماء الشيعة إلى إخراج الأفكار الشيعي</w:t>
      </w:r>
      <w:r w:rsidR="003A35A1" w:rsidRPr="00904FCB">
        <w:rPr>
          <w:rFonts w:hint="cs"/>
          <w:sz w:val="27"/>
          <w:rtl/>
          <w:lang w:bidi="ar-AE"/>
        </w:rPr>
        <w:t>ّ</w:t>
      </w:r>
      <w:r w:rsidRPr="00904FCB">
        <w:rPr>
          <w:rFonts w:hint="cs"/>
          <w:sz w:val="27"/>
          <w:rtl/>
          <w:lang w:bidi="ar-AE"/>
        </w:rPr>
        <w:t>ة التي مضى عليها ما يقرب من الأربعة قرون أو أكثر، واختلط فيها الغث</w:t>
      </w:r>
      <w:r w:rsidR="003A35A1" w:rsidRPr="00904FCB">
        <w:rPr>
          <w:rFonts w:hint="cs"/>
          <w:sz w:val="27"/>
          <w:rtl/>
          <w:lang w:bidi="ar-AE"/>
        </w:rPr>
        <w:t>ّ</w:t>
      </w:r>
      <w:r w:rsidRPr="00904FCB">
        <w:rPr>
          <w:rFonts w:hint="cs"/>
          <w:sz w:val="27"/>
          <w:rtl/>
          <w:lang w:bidi="ar-AE"/>
        </w:rPr>
        <w:t xml:space="preserve"> بالسمين</w:t>
      </w:r>
      <w:r w:rsidR="003A35A1" w:rsidRPr="00904FCB">
        <w:rPr>
          <w:rFonts w:hint="cs"/>
          <w:sz w:val="27"/>
          <w:rtl/>
          <w:lang w:bidi="ar-AE"/>
        </w:rPr>
        <w:t>؛</w:t>
      </w:r>
      <w:r w:rsidRPr="00904FCB">
        <w:rPr>
          <w:rFonts w:hint="cs"/>
          <w:sz w:val="27"/>
          <w:rtl/>
          <w:lang w:bidi="ar-AE"/>
        </w:rPr>
        <w:t xml:space="preserve"> لينفضوا الغبار المتراكم فوقها، بل </w:t>
      </w:r>
      <w:r w:rsidR="003A35A1" w:rsidRPr="00904FCB">
        <w:rPr>
          <w:rFonts w:hint="cs"/>
          <w:sz w:val="27"/>
          <w:rtl/>
          <w:lang w:bidi="ar-AE"/>
        </w:rPr>
        <w:t>إ</w:t>
      </w:r>
      <w:r w:rsidRPr="00904FCB">
        <w:rPr>
          <w:rFonts w:hint="cs"/>
          <w:sz w:val="27"/>
          <w:rtl/>
          <w:lang w:bidi="ar-AE"/>
        </w:rPr>
        <w:t>ن تلك الأفكار قد أصبحت مثل تلك البركة ذات الماء الراكد والآسن</w:t>
      </w:r>
      <w:r w:rsidR="003A35A1" w:rsidRPr="00904FCB">
        <w:rPr>
          <w:rFonts w:hint="cs"/>
          <w:sz w:val="27"/>
          <w:rtl/>
          <w:lang w:bidi="ar-AE"/>
        </w:rPr>
        <w:t>،</w:t>
      </w:r>
      <w:r w:rsidRPr="00904FCB">
        <w:rPr>
          <w:rFonts w:hint="cs"/>
          <w:sz w:val="27"/>
          <w:rtl/>
          <w:lang w:bidi="ar-AE"/>
        </w:rPr>
        <w:t xml:space="preserve"> وكان العوام من الشيعة ير</w:t>
      </w:r>
      <w:r w:rsidR="003A35A1" w:rsidRPr="00904FCB">
        <w:rPr>
          <w:rFonts w:hint="cs"/>
          <w:sz w:val="27"/>
          <w:rtl/>
          <w:lang w:bidi="ar-AE"/>
        </w:rPr>
        <w:t>َ</w:t>
      </w:r>
      <w:r w:rsidRPr="00904FCB">
        <w:rPr>
          <w:rFonts w:hint="cs"/>
          <w:sz w:val="27"/>
          <w:rtl/>
          <w:lang w:bidi="ar-AE"/>
        </w:rPr>
        <w:t>و</w:t>
      </w:r>
      <w:r w:rsidR="003A35A1" w:rsidRPr="00904FCB">
        <w:rPr>
          <w:rFonts w:hint="cs"/>
          <w:sz w:val="27"/>
          <w:rtl/>
          <w:lang w:bidi="ar-AE"/>
        </w:rPr>
        <w:t>ْ</w:t>
      </w:r>
      <w:r w:rsidRPr="00904FCB">
        <w:rPr>
          <w:rFonts w:hint="cs"/>
          <w:sz w:val="27"/>
          <w:rtl/>
          <w:lang w:bidi="ar-AE"/>
        </w:rPr>
        <w:t>نها هي التشيّ</w:t>
      </w:r>
      <w:r w:rsidR="003A35A1" w:rsidRPr="00904FCB">
        <w:rPr>
          <w:rFonts w:hint="cs"/>
          <w:sz w:val="27"/>
          <w:rtl/>
          <w:lang w:bidi="ar-AE"/>
        </w:rPr>
        <w:t>ُ</w:t>
      </w:r>
      <w:r w:rsidRPr="00904FCB">
        <w:rPr>
          <w:rFonts w:hint="cs"/>
          <w:sz w:val="27"/>
          <w:rtl/>
          <w:lang w:bidi="ar-AE"/>
        </w:rPr>
        <w:t>ع الصحيح والأصيل</w:t>
      </w:r>
      <w:r w:rsidR="003A35A1" w:rsidRPr="00904FCB">
        <w:rPr>
          <w:rFonts w:hint="cs"/>
          <w:sz w:val="27"/>
          <w:rtl/>
          <w:lang w:bidi="ar-AE"/>
        </w:rPr>
        <w:t>،</w:t>
      </w:r>
      <w:r w:rsidRPr="00904FCB">
        <w:rPr>
          <w:rFonts w:hint="cs"/>
          <w:sz w:val="27"/>
          <w:rtl/>
          <w:lang w:bidi="ar-AE"/>
        </w:rPr>
        <w:t xml:space="preserve"> مع أنها مليئة بالشوائب والزوائد</w:t>
      </w:r>
      <w:r w:rsidR="003A35A1" w:rsidRPr="00904FCB">
        <w:rPr>
          <w:rFonts w:hint="cs"/>
          <w:sz w:val="27"/>
          <w:rtl/>
          <w:lang w:bidi="ar-AE"/>
        </w:rPr>
        <w:t>،</w:t>
      </w:r>
      <w:r w:rsidRPr="00904FCB">
        <w:rPr>
          <w:rFonts w:hint="cs"/>
          <w:sz w:val="27"/>
          <w:rtl/>
          <w:lang w:bidi="ar-AE"/>
        </w:rPr>
        <w:t xml:space="preserve"> فقام بعض العلماء المحق</w:t>
      </w:r>
      <w:r w:rsidR="003A35A1" w:rsidRPr="00904FCB">
        <w:rPr>
          <w:rFonts w:hint="cs"/>
          <w:sz w:val="27"/>
          <w:rtl/>
          <w:lang w:bidi="ar-AE"/>
        </w:rPr>
        <w:t>ِّ</w:t>
      </w:r>
      <w:r w:rsidRPr="00904FCB">
        <w:rPr>
          <w:rFonts w:hint="cs"/>
          <w:sz w:val="27"/>
          <w:rtl/>
          <w:lang w:bidi="ar-AE"/>
        </w:rPr>
        <w:t xml:space="preserve">قين </w:t>
      </w:r>
      <w:r w:rsidR="003A35A1" w:rsidRPr="00904FCB">
        <w:rPr>
          <w:rFonts w:hint="cs"/>
          <w:sz w:val="27"/>
          <w:rtl/>
          <w:lang w:bidi="ar-AE"/>
        </w:rPr>
        <w:t xml:space="preserve">ـ </w:t>
      </w:r>
      <w:r w:rsidRPr="00904FCB">
        <w:rPr>
          <w:rFonts w:hint="cs"/>
          <w:sz w:val="27"/>
          <w:rtl/>
          <w:lang w:bidi="ar-AE"/>
        </w:rPr>
        <w:t xml:space="preserve">في معرض الردّ على الكسروي </w:t>
      </w:r>
      <w:r w:rsidR="003A35A1" w:rsidRPr="00904FCB">
        <w:rPr>
          <w:rFonts w:hint="cs"/>
          <w:sz w:val="27"/>
          <w:rtl/>
          <w:lang w:bidi="ar-AE"/>
        </w:rPr>
        <w:t>ـ ب</w:t>
      </w:r>
      <w:r w:rsidRPr="00904FCB">
        <w:rPr>
          <w:rFonts w:hint="cs"/>
          <w:sz w:val="27"/>
          <w:rtl/>
          <w:lang w:bidi="ar-AE"/>
        </w:rPr>
        <w:t>تشذيب تلك الأفكار</w:t>
      </w:r>
      <w:r w:rsidR="003A35A1" w:rsidRPr="00904FCB">
        <w:rPr>
          <w:rFonts w:hint="cs"/>
          <w:sz w:val="27"/>
          <w:rtl/>
          <w:lang w:bidi="ar-AE"/>
        </w:rPr>
        <w:t>،</w:t>
      </w:r>
      <w:r w:rsidRPr="00904FCB">
        <w:rPr>
          <w:rFonts w:hint="cs"/>
          <w:sz w:val="27"/>
          <w:rtl/>
          <w:lang w:bidi="ar-AE"/>
        </w:rPr>
        <w:t xml:space="preserve"> وتأليف كتب في غاية الروعة والسموّ والأصالة في موضوع تنقيح العقائد. وبطبيعة الحال فإن هذا الكلام لا يعني تحسين صورة الكسروي</w:t>
      </w:r>
      <w:r w:rsidR="003A35A1" w:rsidRPr="00904FCB">
        <w:rPr>
          <w:rFonts w:hint="cs"/>
          <w:sz w:val="27"/>
          <w:rtl/>
          <w:lang w:bidi="ar-AE"/>
        </w:rPr>
        <w:t>،</w:t>
      </w:r>
      <w:r w:rsidRPr="00904FCB">
        <w:rPr>
          <w:rFonts w:hint="cs"/>
          <w:sz w:val="27"/>
          <w:rtl/>
          <w:lang w:bidi="ar-AE"/>
        </w:rPr>
        <w:t xml:space="preserve"> والدعوة إلى نشر أفكاره والتعرّ</w:t>
      </w:r>
      <w:r w:rsidR="003A35A1" w:rsidRPr="00904FCB">
        <w:rPr>
          <w:rFonts w:hint="cs"/>
          <w:sz w:val="27"/>
          <w:rtl/>
          <w:lang w:bidi="ar-AE"/>
        </w:rPr>
        <w:t>ُ</w:t>
      </w:r>
      <w:r w:rsidRPr="00904FCB">
        <w:rPr>
          <w:rFonts w:hint="cs"/>
          <w:sz w:val="27"/>
          <w:rtl/>
          <w:lang w:bidi="ar-AE"/>
        </w:rPr>
        <w:t>ض لها، وإن</w:t>
      </w:r>
      <w:r w:rsidR="003A35A1" w:rsidRPr="00904FCB">
        <w:rPr>
          <w:rFonts w:hint="cs"/>
          <w:sz w:val="27"/>
          <w:rtl/>
          <w:lang w:bidi="ar-AE"/>
        </w:rPr>
        <w:t>ّ</w:t>
      </w:r>
      <w:r w:rsidRPr="00904FCB">
        <w:rPr>
          <w:rFonts w:hint="cs"/>
          <w:sz w:val="27"/>
          <w:rtl/>
          <w:lang w:bidi="ar-AE"/>
        </w:rPr>
        <w:t xml:space="preserve">ما </w:t>
      </w:r>
      <w:r w:rsidR="00BB46E5" w:rsidRPr="00904FCB">
        <w:rPr>
          <w:rFonts w:hint="cs"/>
          <w:sz w:val="27"/>
          <w:rtl/>
          <w:lang w:bidi="ar-AE"/>
        </w:rPr>
        <w:t>المراد تأكيد أ</w:t>
      </w:r>
      <w:r w:rsidRPr="00904FCB">
        <w:rPr>
          <w:rFonts w:hint="cs"/>
          <w:sz w:val="27"/>
          <w:rtl/>
          <w:lang w:bidi="ar-AE"/>
        </w:rPr>
        <w:t>ن فائدة هذا النوع من الأفكار هي من قبيل</w:t>
      </w:r>
      <w:r w:rsidR="00BB46E5" w:rsidRPr="00904FCB">
        <w:rPr>
          <w:rFonts w:hint="cs"/>
          <w:sz w:val="27"/>
          <w:rtl/>
          <w:lang w:bidi="ar-AE"/>
        </w:rPr>
        <w:t>:</w:t>
      </w:r>
      <w:r w:rsidRPr="00904FCB">
        <w:rPr>
          <w:rFonts w:hint="cs"/>
          <w:sz w:val="27"/>
          <w:rtl/>
          <w:lang w:bidi="ar-AE"/>
        </w:rPr>
        <w:t xml:space="preserve"> فائدة بعض الأمراض والآفات</w:t>
      </w:r>
      <w:r w:rsidR="00BB46E5" w:rsidRPr="00904FCB">
        <w:rPr>
          <w:rFonts w:hint="cs"/>
          <w:sz w:val="27"/>
          <w:rtl/>
          <w:lang w:bidi="ar-AE"/>
        </w:rPr>
        <w:t>،</w:t>
      </w:r>
      <w:r w:rsidRPr="00904FCB">
        <w:rPr>
          <w:rFonts w:hint="cs"/>
          <w:sz w:val="27"/>
          <w:rtl/>
          <w:lang w:bidi="ar-AE"/>
        </w:rPr>
        <w:t xml:space="preserve"> التي إذا ظهر</w:t>
      </w:r>
      <w:r w:rsidR="00BB46E5" w:rsidRPr="00904FCB">
        <w:rPr>
          <w:rFonts w:hint="cs"/>
          <w:sz w:val="27"/>
          <w:rtl/>
          <w:lang w:bidi="ar-AE"/>
        </w:rPr>
        <w:t>َ</w:t>
      </w:r>
      <w:r w:rsidRPr="00904FCB">
        <w:rPr>
          <w:rFonts w:hint="cs"/>
          <w:sz w:val="27"/>
          <w:rtl/>
          <w:lang w:bidi="ar-AE"/>
        </w:rPr>
        <w:t>ت</w:t>
      </w:r>
      <w:r w:rsidR="00BB46E5" w:rsidRPr="00904FCB">
        <w:rPr>
          <w:rFonts w:hint="cs"/>
          <w:sz w:val="27"/>
          <w:rtl/>
          <w:lang w:bidi="ar-AE"/>
        </w:rPr>
        <w:t>ْ</w:t>
      </w:r>
      <w:r w:rsidRPr="00904FCB">
        <w:rPr>
          <w:rFonts w:hint="cs"/>
          <w:sz w:val="27"/>
          <w:rtl/>
          <w:lang w:bidi="ar-AE"/>
        </w:rPr>
        <w:t xml:space="preserve"> فإنها تحفّز الأطباء على تشمير السواعد للبحث عن العلاج والدواء.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الاختلاف والتنوّ</w:t>
      </w:r>
      <w:r w:rsidR="00BB46E5" w:rsidRPr="00904FCB">
        <w:rPr>
          <w:rFonts w:hint="cs"/>
          <w:color w:val="auto"/>
          <w:rtl/>
          <w:lang w:bidi="ar-AE"/>
        </w:rPr>
        <w:t>ُ</w:t>
      </w:r>
      <w:r w:rsidRPr="00904FCB">
        <w:rPr>
          <w:rFonts w:hint="cs"/>
          <w:color w:val="auto"/>
          <w:rtl/>
          <w:lang w:bidi="ar-AE"/>
        </w:rPr>
        <w:t>ع ملازم للتطوّ</w:t>
      </w:r>
      <w:r w:rsidR="00BB46E5" w:rsidRPr="00904FCB">
        <w:rPr>
          <w:rFonts w:hint="cs"/>
          <w:color w:val="auto"/>
          <w:rtl/>
          <w:lang w:bidi="ar-AE"/>
        </w:rPr>
        <w:t>ُ</w:t>
      </w:r>
      <w:r w:rsidRPr="00904FCB">
        <w:rPr>
          <w:rFonts w:hint="cs"/>
          <w:color w:val="auto"/>
          <w:rtl/>
          <w:lang w:bidi="ar-AE"/>
        </w:rPr>
        <w:t>ر</w:t>
      </w:r>
    </w:p>
    <w:p w:rsidR="00BF56C8" w:rsidRPr="00904FCB" w:rsidRDefault="00BF56C8" w:rsidP="007A21AA">
      <w:pPr>
        <w:spacing w:line="400" w:lineRule="exact"/>
        <w:rPr>
          <w:sz w:val="27"/>
          <w:rtl/>
          <w:lang w:bidi="ar-AE"/>
        </w:rPr>
      </w:pPr>
      <w:r w:rsidRPr="00904FCB">
        <w:rPr>
          <w:rFonts w:hint="cs"/>
          <w:sz w:val="27"/>
          <w:rtl/>
          <w:lang w:bidi="ar-AE"/>
        </w:rPr>
        <w:t xml:space="preserve">وحتى في الأجواء التي تخلو من وجود المخالف يجب علينا أن نختلق الظروف </w:t>
      </w:r>
      <w:r w:rsidRPr="00904FCB">
        <w:rPr>
          <w:rFonts w:hint="cs"/>
          <w:sz w:val="27"/>
          <w:rtl/>
          <w:lang w:bidi="ar-AE"/>
        </w:rPr>
        <w:lastRenderedPageBreak/>
        <w:t>المشتملة على مخالف</w:t>
      </w:r>
      <w:r w:rsidR="00BB46E5" w:rsidRPr="00904FCB">
        <w:rPr>
          <w:rFonts w:hint="cs"/>
          <w:sz w:val="27"/>
          <w:rtl/>
          <w:lang w:bidi="ar-AE"/>
        </w:rPr>
        <w:t>ٍ</w:t>
      </w:r>
      <w:r w:rsidRPr="00904FCB">
        <w:rPr>
          <w:rFonts w:hint="cs"/>
          <w:sz w:val="27"/>
          <w:rtl/>
          <w:lang w:bidi="ar-AE"/>
        </w:rPr>
        <w:t xml:space="preserve"> مصطنع</w:t>
      </w:r>
      <w:r w:rsidR="00BB46E5" w:rsidRPr="00904FCB">
        <w:rPr>
          <w:rFonts w:hint="cs"/>
          <w:sz w:val="27"/>
          <w:rtl/>
          <w:lang w:bidi="ar-AE"/>
        </w:rPr>
        <w:t>؛</w:t>
      </w:r>
      <w:r w:rsidRPr="00904FCB">
        <w:rPr>
          <w:rFonts w:hint="cs"/>
          <w:sz w:val="27"/>
          <w:rtl/>
          <w:lang w:bidi="ar-AE"/>
        </w:rPr>
        <w:t xml:space="preserve"> لما في ذلك من النفع لتنقيح وإصلاح الأفكار والعقائد الصحيحة. وبشكل</w:t>
      </w:r>
      <w:r w:rsidR="00BB46E5" w:rsidRPr="00904FCB">
        <w:rPr>
          <w:rFonts w:hint="cs"/>
          <w:sz w:val="27"/>
          <w:rtl/>
          <w:lang w:bidi="ar-AE"/>
        </w:rPr>
        <w:t>ٍ</w:t>
      </w:r>
      <w:r w:rsidRPr="00904FCB">
        <w:rPr>
          <w:rFonts w:hint="cs"/>
          <w:sz w:val="27"/>
          <w:rtl/>
          <w:lang w:bidi="ar-AE"/>
        </w:rPr>
        <w:t xml:space="preserve"> عام</w:t>
      </w:r>
      <w:r w:rsidR="00BB46E5" w:rsidRPr="00904FCB">
        <w:rPr>
          <w:rFonts w:hint="cs"/>
          <w:sz w:val="27"/>
          <w:rtl/>
          <w:lang w:bidi="ar-AE"/>
        </w:rPr>
        <w:t>ّ</w:t>
      </w:r>
      <w:r w:rsidRPr="00904FCB">
        <w:rPr>
          <w:rFonts w:hint="cs"/>
          <w:sz w:val="27"/>
          <w:rtl/>
          <w:lang w:bidi="ar-AE"/>
        </w:rPr>
        <w:t xml:space="preserve"> فإن الاختلاف والتنوّ</w:t>
      </w:r>
      <w:r w:rsidR="00BB46E5" w:rsidRPr="00904FCB">
        <w:rPr>
          <w:rFonts w:hint="cs"/>
          <w:sz w:val="27"/>
          <w:rtl/>
          <w:lang w:bidi="ar-AE"/>
        </w:rPr>
        <w:t>ُ</w:t>
      </w:r>
      <w:r w:rsidRPr="00904FCB">
        <w:rPr>
          <w:rFonts w:hint="cs"/>
          <w:sz w:val="27"/>
          <w:rtl/>
          <w:lang w:bidi="ar-AE"/>
        </w:rPr>
        <w:t>ع مفيد للتقدّ</w:t>
      </w:r>
      <w:r w:rsidR="00BB46E5" w:rsidRPr="00904FCB">
        <w:rPr>
          <w:rFonts w:hint="cs"/>
          <w:sz w:val="27"/>
          <w:rtl/>
          <w:lang w:bidi="ar-AE"/>
        </w:rPr>
        <w:t>ُ</w:t>
      </w:r>
      <w:r w:rsidRPr="00904FCB">
        <w:rPr>
          <w:rFonts w:hint="cs"/>
          <w:sz w:val="27"/>
          <w:rtl/>
          <w:lang w:bidi="ar-AE"/>
        </w:rPr>
        <w:t>م والتطوّ</w:t>
      </w:r>
      <w:r w:rsidR="00BB46E5" w:rsidRPr="00904FCB">
        <w:rPr>
          <w:rFonts w:hint="cs"/>
          <w:sz w:val="27"/>
          <w:rtl/>
          <w:lang w:bidi="ar-AE"/>
        </w:rPr>
        <w:t>ُ</w:t>
      </w:r>
      <w:r w:rsidRPr="00904FCB">
        <w:rPr>
          <w:rFonts w:hint="cs"/>
          <w:sz w:val="27"/>
          <w:rtl/>
          <w:lang w:bidi="ar-AE"/>
        </w:rPr>
        <w:t>ر. وفي البلدان والدول الديمقراطية</w:t>
      </w:r>
      <w:r w:rsidR="00BB46E5" w:rsidRPr="00904FCB">
        <w:rPr>
          <w:rFonts w:hint="cs"/>
          <w:sz w:val="27"/>
          <w:rtl/>
          <w:lang w:bidi="ar-AE"/>
        </w:rPr>
        <w:t>،</w:t>
      </w:r>
      <w:r w:rsidRPr="00904FCB">
        <w:rPr>
          <w:rFonts w:hint="cs"/>
          <w:sz w:val="27"/>
          <w:rtl/>
          <w:lang w:bidi="ar-AE"/>
        </w:rPr>
        <w:t xml:space="preserve"> حيث نشاهد التأسيس لظاهرة الأكثرية والأقل</w:t>
      </w:r>
      <w:r w:rsidR="00BB46E5" w:rsidRPr="00904FCB">
        <w:rPr>
          <w:rFonts w:hint="cs"/>
          <w:sz w:val="27"/>
          <w:rtl/>
          <w:lang w:bidi="ar-AE"/>
        </w:rPr>
        <w:t>ّ</w:t>
      </w:r>
      <w:r w:rsidRPr="00904FCB">
        <w:rPr>
          <w:rFonts w:hint="cs"/>
          <w:sz w:val="27"/>
          <w:rtl/>
          <w:lang w:bidi="ar-AE"/>
        </w:rPr>
        <w:t>ية</w:t>
      </w:r>
      <w:r w:rsidR="00BB46E5" w:rsidRPr="00904FCB">
        <w:rPr>
          <w:rFonts w:hint="cs"/>
          <w:sz w:val="27"/>
          <w:rtl/>
          <w:lang w:bidi="ar-AE"/>
        </w:rPr>
        <w:t>،</w:t>
      </w:r>
      <w:r w:rsidRPr="00904FCB">
        <w:rPr>
          <w:rFonts w:hint="cs"/>
          <w:sz w:val="27"/>
          <w:rtl/>
          <w:lang w:bidi="ar-AE"/>
        </w:rPr>
        <w:t xml:space="preserve"> إذا كانت هذه الأكثرية والأقليّة حقيقية سيكون وجود الأقلية نافعاً ومفيداً للأكثرية، وليس مفيداً للأقل</w:t>
      </w:r>
      <w:r w:rsidR="00BB46E5" w:rsidRPr="00904FCB">
        <w:rPr>
          <w:rFonts w:hint="cs"/>
          <w:sz w:val="27"/>
          <w:rtl/>
          <w:lang w:bidi="ar-AE"/>
        </w:rPr>
        <w:t>ّ</w:t>
      </w:r>
      <w:r w:rsidRPr="00904FCB">
        <w:rPr>
          <w:rFonts w:hint="cs"/>
          <w:sz w:val="27"/>
          <w:rtl/>
          <w:lang w:bidi="ar-AE"/>
        </w:rPr>
        <w:t>ية فقط، بل إن وجود الأقل</w:t>
      </w:r>
      <w:r w:rsidR="00BB46E5" w:rsidRPr="00904FCB">
        <w:rPr>
          <w:rFonts w:hint="cs"/>
          <w:sz w:val="27"/>
          <w:rtl/>
          <w:lang w:bidi="ar-AE"/>
        </w:rPr>
        <w:t>ّ</w:t>
      </w:r>
      <w:r w:rsidRPr="00904FCB">
        <w:rPr>
          <w:rFonts w:hint="cs"/>
          <w:sz w:val="27"/>
          <w:rtl/>
          <w:lang w:bidi="ar-AE"/>
        </w:rPr>
        <w:t>ية المعارضة والمخالفة ينطوي على منفعة</w:t>
      </w:r>
      <w:r w:rsidR="00BB46E5" w:rsidRPr="00904FCB">
        <w:rPr>
          <w:rFonts w:hint="cs"/>
          <w:sz w:val="27"/>
          <w:rtl/>
          <w:lang w:bidi="ar-AE"/>
        </w:rPr>
        <w:t>ٍ</w:t>
      </w:r>
      <w:r w:rsidRPr="00904FCB">
        <w:rPr>
          <w:rFonts w:hint="cs"/>
          <w:sz w:val="27"/>
          <w:rtl/>
          <w:lang w:bidi="ar-AE"/>
        </w:rPr>
        <w:t xml:space="preserve"> لمصلحة المجتمع بأسره. </w:t>
      </w:r>
    </w:p>
    <w:p w:rsidR="00BF56C8" w:rsidRPr="00904FCB" w:rsidRDefault="00BF56C8" w:rsidP="007A21AA">
      <w:pPr>
        <w:spacing w:line="400" w:lineRule="exact"/>
        <w:rPr>
          <w:sz w:val="27"/>
          <w:rtl/>
          <w:lang w:bidi="ar-AE"/>
        </w:rPr>
      </w:pPr>
      <w:r w:rsidRPr="00904FCB">
        <w:rPr>
          <w:rFonts w:hint="cs"/>
          <w:sz w:val="27"/>
          <w:rtl/>
          <w:lang w:bidi="ar-AE"/>
        </w:rPr>
        <w:t>وعليه يجب علينا تحصين عقائد عامّة المسلمين</w:t>
      </w:r>
      <w:r w:rsidR="00BB46E5" w:rsidRPr="00904FCB">
        <w:rPr>
          <w:rFonts w:hint="cs"/>
          <w:sz w:val="27"/>
          <w:rtl/>
          <w:lang w:bidi="ar-AE"/>
        </w:rPr>
        <w:t>،</w:t>
      </w:r>
      <w:r w:rsidRPr="00904FCB">
        <w:rPr>
          <w:rFonts w:hint="cs"/>
          <w:sz w:val="27"/>
          <w:rtl/>
          <w:lang w:bidi="ar-AE"/>
        </w:rPr>
        <w:t xml:space="preserve"> والمحافظة عليها وحمايتها، وإبعاد الأفراد الذين يعانون من الضعف</w:t>
      </w:r>
      <w:r w:rsidR="00BB46E5" w:rsidRPr="00904FCB">
        <w:rPr>
          <w:rFonts w:hint="cs"/>
          <w:sz w:val="27"/>
          <w:rtl/>
          <w:lang w:bidi="ar-AE"/>
        </w:rPr>
        <w:t>،</w:t>
      </w:r>
      <w:r w:rsidRPr="00904FCB">
        <w:rPr>
          <w:rFonts w:hint="cs"/>
          <w:sz w:val="27"/>
          <w:rtl/>
          <w:lang w:bidi="ar-AE"/>
        </w:rPr>
        <w:t xml:space="preserve"> ولا تكون لديهم القدرة والطاقة على مقاومة الأفكار المخالفة، والعمل على تعزيز المناعة عندهم، حت</w:t>
      </w:r>
      <w:r w:rsidR="00BB46E5" w:rsidRPr="00904FCB">
        <w:rPr>
          <w:rFonts w:hint="cs"/>
          <w:sz w:val="27"/>
          <w:rtl/>
          <w:lang w:bidi="ar-AE"/>
        </w:rPr>
        <w:t>ّ</w:t>
      </w:r>
      <w:r w:rsidRPr="00904FCB">
        <w:rPr>
          <w:rFonts w:hint="cs"/>
          <w:sz w:val="27"/>
          <w:rtl/>
          <w:lang w:bidi="ar-AE"/>
        </w:rPr>
        <w:t>ى إذا اكتسبوا تلك القدرة والمناعة والحصانة الروحية والنفسية أج</w:t>
      </w:r>
      <w:r w:rsidR="00BB46E5" w:rsidRPr="00904FCB">
        <w:rPr>
          <w:rFonts w:hint="cs"/>
          <w:sz w:val="27"/>
          <w:rtl/>
          <w:lang w:bidi="ar-AE"/>
        </w:rPr>
        <w:t>َ</w:t>
      </w:r>
      <w:r w:rsidRPr="00904FCB">
        <w:rPr>
          <w:rFonts w:hint="cs"/>
          <w:sz w:val="27"/>
          <w:rtl/>
          <w:lang w:bidi="ar-AE"/>
        </w:rPr>
        <w:t>ز</w:t>
      </w:r>
      <w:r w:rsidR="00BB46E5" w:rsidRPr="00904FCB">
        <w:rPr>
          <w:rFonts w:hint="cs"/>
          <w:sz w:val="27"/>
          <w:rtl/>
          <w:lang w:bidi="ar-AE"/>
        </w:rPr>
        <w:t>ْ</w:t>
      </w:r>
      <w:r w:rsidRPr="00904FCB">
        <w:rPr>
          <w:rFonts w:hint="cs"/>
          <w:sz w:val="27"/>
          <w:rtl/>
          <w:lang w:bidi="ar-AE"/>
        </w:rPr>
        <w:t>نا لهم الاحتكاك بتلك الأفكار المخالفة. وفي الوقت نفسه علينا أن لا نمنع شخص</w:t>
      </w:r>
      <w:r w:rsidR="00BB46E5" w:rsidRPr="00904FCB">
        <w:rPr>
          <w:rFonts w:hint="cs"/>
          <w:sz w:val="27"/>
          <w:rtl/>
          <w:lang w:bidi="ar-AE"/>
        </w:rPr>
        <w:t>اً</w:t>
      </w:r>
      <w:r w:rsidRPr="00904FCB">
        <w:rPr>
          <w:rFonts w:hint="cs"/>
          <w:sz w:val="27"/>
          <w:rtl/>
          <w:lang w:bidi="ar-AE"/>
        </w:rPr>
        <w:t xml:space="preserve"> من إبداء رأيه</w:t>
      </w:r>
      <w:r w:rsidR="00BB46E5" w:rsidRPr="00904FCB">
        <w:rPr>
          <w:rFonts w:hint="cs"/>
          <w:sz w:val="27"/>
          <w:rtl/>
          <w:lang w:bidi="ar-AE"/>
        </w:rPr>
        <w:t>،</w:t>
      </w:r>
      <w:r w:rsidRPr="00904FCB">
        <w:rPr>
          <w:rFonts w:hint="cs"/>
          <w:sz w:val="27"/>
          <w:rtl/>
          <w:lang w:bidi="ar-AE"/>
        </w:rPr>
        <w:t xml:space="preserve"> حت</w:t>
      </w:r>
      <w:r w:rsidR="00BB46E5" w:rsidRPr="00904FCB">
        <w:rPr>
          <w:rFonts w:hint="cs"/>
          <w:sz w:val="27"/>
          <w:rtl/>
          <w:lang w:bidi="ar-AE"/>
        </w:rPr>
        <w:t>ّ</w:t>
      </w:r>
      <w:r w:rsidRPr="00904FCB">
        <w:rPr>
          <w:rFonts w:hint="cs"/>
          <w:sz w:val="27"/>
          <w:rtl/>
          <w:lang w:bidi="ar-AE"/>
        </w:rPr>
        <w:t>ى إذا كان مخالفاً فيه للحالة السائدة</w:t>
      </w:r>
      <w:r w:rsidR="00BB46E5" w:rsidRPr="00904FCB">
        <w:rPr>
          <w:rFonts w:hint="cs"/>
          <w:sz w:val="27"/>
          <w:rtl/>
          <w:lang w:bidi="ar-AE"/>
        </w:rPr>
        <w:t>؛</w:t>
      </w:r>
      <w:r w:rsidRPr="00904FCB">
        <w:rPr>
          <w:rFonts w:hint="cs"/>
          <w:sz w:val="27"/>
          <w:rtl/>
          <w:lang w:bidi="ar-AE"/>
        </w:rPr>
        <w:t xml:space="preserve"> إذ لا يوجد دليل</w:t>
      </w:r>
      <w:r w:rsidR="00527E12">
        <w:rPr>
          <w:rFonts w:hint="cs"/>
          <w:sz w:val="27"/>
          <w:rtl/>
          <w:lang w:bidi="ar-AE"/>
        </w:rPr>
        <w:t>ٌ</w:t>
      </w:r>
      <w:r w:rsidRPr="00904FCB">
        <w:rPr>
          <w:rFonts w:hint="cs"/>
          <w:sz w:val="27"/>
          <w:rtl/>
          <w:lang w:bidi="ar-AE"/>
        </w:rPr>
        <w:t xml:space="preserve"> على منع شخص من إظهار ما يعتقده.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منهج تعزيز الثقة بالنفس</w:t>
      </w:r>
    </w:p>
    <w:p w:rsidR="00BF56C8" w:rsidRPr="00904FCB" w:rsidRDefault="00BF56C8" w:rsidP="007A21AA">
      <w:pPr>
        <w:spacing w:line="400" w:lineRule="exact"/>
        <w:rPr>
          <w:sz w:val="27"/>
          <w:rtl/>
          <w:lang w:bidi="ar-AE"/>
        </w:rPr>
      </w:pPr>
      <w:r w:rsidRPr="00904FCB">
        <w:rPr>
          <w:rFonts w:hint="cs"/>
          <w:sz w:val="27"/>
          <w:rtl/>
          <w:lang w:bidi="ar-AE"/>
        </w:rPr>
        <w:t>علينا أن نتبع منهج تعزيز الثقة بالنفس</w:t>
      </w:r>
      <w:r w:rsidR="00BB46E5" w:rsidRPr="00904FCB">
        <w:rPr>
          <w:rFonts w:hint="cs"/>
          <w:sz w:val="27"/>
          <w:rtl/>
          <w:lang w:bidi="ar-AE"/>
        </w:rPr>
        <w:t>،</w:t>
      </w:r>
      <w:r w:rsidRPr="00904FCB">
        <w:rPr>
          <w:rFonts w:hint="cs"/>
          <w:sz w:val="27"/>
          <w:rtl/>
          <w:lang w:bidi="ar-AE"/>
        </w:rPr>
        <w:t xml:space="preserve"> ورفع مستوى جهاز المناعة</w:t>
      </w:r>
      <w:r w:rsidR="00BB46E5" w:rsidRPr="00904FCB">
        <w:rPr>
          <w:rFonts w:hint="cs"/>
          <w:sz w:val="27"/>
          <w:rtl/>
          <w:lang w:bidi="ar-AE"/>
        </w:rPr>
        <w:t>،</w:t>
      </w:r>
      <w:r w:rsidRPr="00904FCB">
        <w:rPr>
          <w:rFonts w:hint="cs"/>
          <w:sz w:val="27"/>
          <w:rtl/>
          <w:lang w:bidi="ar-AE"/>
        </w:rPr>
        <w:t xml:space="preserve"> لا أن نتبع منهج التحس</w:t>
      </w:r>
      <w:r w:rsidR="00BB46E5" w:rsidRPr="00904FCB">
        <w:rPr>
          <w:rFonts w:hint="cs"/>
          <w:sz w:val="27"/>
          <w:rtl/>
          <w:lang w:bidi="ar-AE"/>
        </w:rPr>
        <w:t>ُّ</w:t>
      </w:r>
      <w:r w:rsidRPr="00904FCB">
        <w:rPr>
          <w:rFonts w:hint="cs"/>
          <w:sz w:val="27"/>
          <w:rtl/>
          <w:lang w:bidi="ar-AE"/>
        </w:rPr>
        <w:t>س والوسوسة</w:t>
      </w:r>
      <w:r w:rsidR="00BB46E5" w:rsidRPr="00904FCB">
        <w:rPr>
          <w:rFonts w:hint="cs"/>
          <w:sz w:val="27"/>
          <w:rtl/>
          <w:lang w:bidi="ar-AE"/>
        </w:rPr>
        <w:t>.</w:t>
      </w:r>
      <w:r w:rsidRPr="00904FCB">
        <w:rPr>
          <w:rFonts w:hint="cs"/>
          <w:sz w:val="27"/>
          <w:rtl/>
          <w:lang w:bidi="ar-AE"/>
        </w:rPr>
        <w:t xml:space="preserve"> وهذا بالضبط هو الذي ينصح به الأطباء. فأحياناً يتمّ الحفاظ على صحّة الطفل من خلال إبعاده عن الأجواء الملوّثة، وتكون نتيجة ذلك انهيار صح</w:t>
      </w:r>
      <w:r w:rsidR="00BB46E5" w:rsidRPr="00904FCB">
        <w:rPr>
          <w:rFonts w:hint="cs"/>
          <w:sz w:val="27"/>
          <w:rtl/>
          <w:lang w:bidi="ar-AE"/>
        </w:rPr>
        <w:t>ّ</w:t>
      </w:r>
      <w:r w:rsidRPr="00904FCB">
        <w:rPr>
          <w:rFonts w:hint="cs"/>
          <w:sz w:val="27"/>
          <w:rtl/>
          <w:lang w:bidi="ar-AE"/>
        </w:rPr>
        <w:t>ة الطفل واعتلالها عند أدنى مواجهة للم</w:t>
      </w:r>
      <w:r w:rsidR="00BB46E5" w:rsidRPr="00904FCB">
        <w:rPr>
          <w:rFonts w:hint="cs"/>
          <w:sz w:val="27"/>
          <w:rtl/>
          <w:lang w:bidi="ar-AE"/>
        </w:rPr>
        <w:t>ي</w:t>
      </w:r>
      <w:r w:rsidRPr="00904FCB">
        <w:rPr>
          <w:rFonts w:hint="cs"/>
          <w:sz w:val="27"/>
          <w:rtl/>
          <w:lang w:bidi="ar-AE"/>
        </w:rPr>
        <w:t>كروبات</w:t>
      </w:r>
      <w:r w:rsidR="00BB46E5" w:rsidRPr="00904FCB">
        <w:rPr>
          <w:rFonts w:hint="cs"/>
          <w:sz w:val="27"/>
          <w:rtl/>
          <w:lang w:bidi="ar-AE"/>
        </w:rPr>
        <w:t>،</w:t>
      </w:r>
      <w:r w:rsidRPr="00904FCB">
        <w:rPr>
          <w:rFonts w:hint="cs"/>
          <w:sz w:val="27"/>
          <w:rtl/>
          <w:lang w:bidi="ar-AE"/>
        </w:rPr>
        <w:t xml:space="preserve"> وقد يؤدّي الأمر إلى موته</w:t>
      </w:r>
      <w:r w:rsidR="00BB46E5" w:rsidRPr="00904FCB">
        <w:rPr>
          <w:rFonts w:hint="cs"/>
          <w:sz w:val="27"/>
          <w:rtl/>
          <w:lang w:bidi="ar-AE"/>
        </w:rPr>
        <w:t>؛</w:t>
      </w:r>
      <w:r w:rsidRPr="00904FCB">
        <w:rPr>
          <w:rFonts w:hint="cs"/>
          <w:sz w:val="27"/>
          <w:rtl/>
          <w:lang w:bidi="ar-AE"/>
        </w:rPr>
        <w:t xml:space="preserve"> وأحياناً يتمّ التساهل من هذه الناحية</w:t>
      </w:r>
      <w:r w:rsidR="00527E12">
        <w:rPr>
          <w:rFonts w:hint="cs"/>
          <w:sz w:val="27"/>
          <w:rtl/>
          <w:lang w:bidi="ar-AE"/>
        </w:rPr>
        <w:t>،</w:t>
      </w:r>
      <w:r w:rsidRPr="00904FCB">
        <w:rPr>
          <w:rFonts w:hint="cs"/>
          <w:sz w:val="27"/>
          <w:rtl/>
          <w:lang w:bidi="ar-AE"/>
        </w:rPr>
        <w:t xml:space="preserve"> حيث يتعرّ</w:t>
      </w:r>
      <w:r w:rsidR="00BB46E5" w:rsidRPr="00904FCB">
        <w:rPr>
          <w:rFonts w:hint="cs"/>
          <w:sz w:val="27"/>
          <w:rtl/>
          <w:lang w:bidi="ar-AE"/>
        </w:rPr>
        <w:t>َ</w:t>
      </w:r>
      <w:r w:rsidRPr="00904FCB">
        <w:rPr>
          <w:rFonts w:hint="cs"/>
          <w:sz w:val="27"/>
          <w:rtl/>
          <w:lang w:bidi="ar-AE"/>
        </w:rPr>
        <w:t>ض الطفل لبعض الأوبئة</w:t>
      </w:r>
      <w:r w:rsidR="00527E12">
        <w:rPr>
          <w:rFonts w:hint="cs"/>
          <w:sz w:val="27"/>
          <w:rtl/>
          <w:lang w:bidi="ar-AE"/>
        </w:rPr>
        <w:t>،</w:t>
      </w:r>
      <w:r w:rsidRPr="00904FCB">
        <w:rPr>
          <w:rFonts w:hint="cs"/>
          <w:sz w:val="27"/>
          <w:rtl/>
          <w:lang w:bidi="ar-AE"/>
        </w:rPr>
        <w:t xml:space="preserve"> من خلال إعطائه هامشاً من الحر</w:t>
      </w:r>
      <w:r w:rsidR="00BB46E5" w:rsidRPr="00904FCB">
        <w:rPr>
          <w:rFonts w:hint="cs"/>
          <w:sz w:val="27"/>
          <w:rtl/>
          <w:lang w:bidi="ar-AE"/>
        </w:rPr>
        <w:t>ّ</w:t>
      </w:r>
      <w:r w:rsidRPr="00904FCB">
        <w:rPr>
          <w:rFonts w:hint="cs"/>
          <w:sz w:val="27"/>
          <w:rtl/>
          <w:lang w:bidi="ar-AE"/>
        </w:rPr>
        <w:t>ية للعبث في الأتربة والحشائش؛ فيكتسب بذلك مناعة تجعله مقاوماً للم</w:t>
      </w:r>
      <w:r w:rsidR="00BB46E5" w:rsidRPr="00904FCB">
        <w:rPr>
          <w:rFonts w:hint="cs"/>
          <w:sz w:val="27"/>
          <w:rtl/>
          <w:lang w:bidi="ar-AE"/>
        </w:rPr>
        <w:t>ي</w:t>
      </w:r>
      <w:r w:rsidRPr="00904FCB">
        <w:rPr>
          <w:rFonts w:hint="cs"/>
          <w:sz w:val="27"/>
          <w:rtl/>
          <w:lang w:bidi="ar-AE"/>
        </w:rPr>
        <w:t>كروبات المضرّة. فما لم تكن هناك نسبة من الم</w:t>
      </w:r>
      <w:r w:rsidR="00BB46E5" w:rsidRPr="00904FCB">
        <w:rPr>
          <w:rFonts w:hint="cs"/>
          <w:sz w:val="27"/>
          <w:rtl/>
          <w:lang w:bidi="ar-AE"/>
        </w:rPr>
        <w:t>ي</w:t>
      </w:r>
      <w:r w:rsidRPr="00904FCB">
        <w:rPr>
          <w:rFonts w:hint="cs"/>
          <w:sz w:val="27"/>
          <w:rtl/>
          <w:lang w:bidi="ar-AE"/>
        </w:rPr>
        <w:t>كروبات الضارّة لا يحصل الطفل على مقاومة لهذه الم</w:t>
      </w:r>
      <w:r w:rsidR="00BB46E5" w:rsidRPr="00904FCB">
        <w:rPr>
          <w:rFonts w:hint="cs"/>
          <w:sz w:val="27"/>
          <w:rtl/>
          <w:lang w:bidi="ar-AE"/>
        </w:rPr>
        <w:t>ي</w:t>
      </w:r>
      <w:r w:rsidRPr="00904FCB">
        <w:rPr>
          <w:rFonts w:hint="cs"/>
          <w:sz w:val="27"/>
          <w:rtl/>
          <w:lang w:bidi="ar-AE"/>
        </w:rPr>
        <w:t xml:space="preserve">كروبات. </w:t>
      </w:r>
    </w:p>
    <w:p w:rsidR="00BF56C8" w:rsidRPr="00904FCB" w:rsidRDefault="00BF56C8" w:rsidP="007A21AA">
      <w:pPr>
        <w:spacing w:line="400" w:lineRule="exact"/>
        <w:rPr>
          <w:sz w:val="27"/>
          <w:rtl/>
          <w:lang w:bidi="ar-AE"/>
        </w:rPr>
      </w:pPr>
      <w:r w:rsidRPr="00904FCB">
        <w:rPr>
          <w:rFonts w:hint="cs"/>
          <w:sz w:val="27"/>
          <w:rtl/>
          <w:lang w:bidi="ar-AE"/>
        </w:rPr>
        <w:t>وفي هذا السياق قد استمعت قبل سنوات إلى محاضرة</w:t>
      </w:r>
      <w:r w:rsidR="00BB46E5" w:rsidRPr="00904FCB">
        <w:rPr>
          <w:rFonts w:hint="cs"/>
          <w:sz w:val="27"/>
          <w:rtl/>
          <w:lang w:bidi="ar-AE"/>
        </w:rPr>
        <w:t>ٍ</w:t>
      </w:r>
      <w:r w:rsidRPr="00904FCB">
        <w:rPr>
          <w:rFonts w:hint="cs"/>
          <w:sz w:val="27"/>
          <w:rtl/>
          <w:lang w:bidi="ar-AE"/>
        </w:rPr>
        <w:t xml:space="preserve"> لفضيلة الدكتور محمد قريب من المذياع، وقد تحدّ</w:t>
      </w:r>
      <w:r w:rsidR="00BB46E5" w:rsidRPr="00904FCB">
        <w:rPr>
          <w:rFonts w:hint="cs"/>
          <w:sz w:val="27"/>
          <w:rtl/>
          <w:lang w:bidi="ar-AE"/>
        </w:rPr>
        <w:t>َ</w:t>
      </w:r>
      <w:r w:rsidRPr="00904FCB">
        <w:rPr>
          <w:rFonts w:hint="cs"/>
          <w:sz w:val="27"/>
          <w:rtl/>
          <w:lang w:bidi="ar-AE"/>
        </w:rPr>
        <w:t>ث فيها عن أضرار مياه الأنابيب، وقال بأن هذه الظاهرة الحضارية والصحية قد تسب</w:t>
      </w:r>
      <w:r w:rsidR="00BB46E5" w:rsidRPr="00904FCB">
        <w:rPr>
          <w:rFonts w:hint="cs"/>
          <w:sz w:val="27"/>
          <w:rtl/>
          <w:lang w:bidi="ar-AE"/>
        </w:rPr>
        <w:t>َّ</w:t>
      </w:r>
      <w:r w:rsidRPr="00904FCB">
        <w:rPr>
          <w:rFonts w:hint="cs"/>
          <w:sz w:val="27"/>
          <w:rtl/>
          <w:lang w:bidi="ar-AE"/>
        </w:rPr>
        <w:t>بت في رفع أعداد الإصابة بشلل الأطفال؛ لأن الأطفال الذين اعتادوا شرب الماء النقي الخالي من الم</w:t>
      </w:r>
      <w:r w:rsidR="00BB46E5" w:rsidRPr="00904FCB">
        <w:rPr>
          <w:rFonts w:hint="cs"/>
          <w:sz w:val="27"/>
          <w:rtl/>
          <w:lang w:bidi="ar-AE"/>
        </w:rPr>
        <w:t>ي</w:t>
      </w:r>
      <w:r w:rsidRPr="00904FCB">
        <w:rPr>
          <w:rFonts w:hint="cs"/>
          <w:sz w:val="27"/>
          <w:rtl/>
          <w:lang w:bidi="ar-AE"/>
        </w:rPr>
        <w:t>كروبات تماماً قد ضعف</w:t>
      </w:r>
      <w:r w:rsidR="00524BF6" w:rsidRPr="00904FCB">
        <w:rPr>
          <w:rFonts w:hint="cs"/>
          <w:sz w:val="27"/>
          <w:rtl/>
          <w:lang w:bidi="ar-AE"/>
        </w:rPr>
        <w:t>ت</w:t>
      </w:r>
      <w:r w:rsidRPr="00904FCB">
        <w:rPr>
          <w:rFonts w:hint="cs"/>
          <w:sz w:val="27"/>
          <w:rtl/>
          <w:lang w:bidi="ar-AE"/>
        </w:rPr>
        <w:t xml:space="preserve"> المناعة عندهم </w:t>
      </w:r>
      <w:r w:rsidRPr="00904FCB">
        <w:rPr>
          <w:rFonts w:hint="cs"/>
          <w:sz w:val="27"/>
          <w:rtl/>
          <w:lang w:bidi="ar-AE"/>
        </w:rPr>
        <w:lastRenderedPageBreak/>
        <w:t>بالقياس إلى أترابهم الذين واصلوا شرب المياه من الأنهار والقنوات مباشرة. وهذا ما أك</w:t>
      </w:r>
      <w:r w:rsidR="00524BF6" w:rsidRPr="00904FCB">
        <w:rPr>
          <w:rFonts w:hint="cs"/>
          <w:sz w:val="27"/>
          <w:rtl/>
          <w:lang w:bidi="ar-AE"/>
        </w:rPr>
        <w:t>َّ</w:t>
      </w:r>
      <w:r w:rsidRPr="00904FCB">
        <w:rPr>
          <w:rFonts w:hint="cs"/>
          <w:sz w:val="27"/>
          <w:rtl/>
          <w:lang w:bidi="ar-AE"/>
        </w:rPr>
        <w:t>د عليه الدكتور ألكسس كارل</w:t>
      </w:r>
      <w:r w:rsidR="00524BF6" w:rsidRPr="00904FCB">
        <w:rPr>
          <w:rFonts w:hint="cs"/>
          <w:sz w:val="27"/>
          <w:rtl/>
          <w:lang w:bidi="ar-AE"/>
        </w:rPr>
        <w:t>،</w:t>
      </w:r>
      <w:r w:rsidRPr="00904FCB">
        <w:rPr>
          <w:rFonts w:hint="cs"/>
          <w:sz w:val="27"/>
          <w:rtl/>
          <w:lang w:bidi="ar-AE"/>
        </w:rPr>
        <w:t xml:space="preserve"> في كتابه </w:t>
      </w:r>
      <w:r w:rsidRPr="00904FCB">
        <w:rPr>
          <w:rFonts w:hint="eastAsia"/>
          <w:sz w:val="27"/>
          <w:rtl/>
        </w:rPr>
        <w:t>«</w:t>
      </w:r>
      <w:r w:rsidRPr="00904FCB">
        <w:rPr>
          <w:rFonts w:hint="cs"/>
          <w:sz w:val="27"/>
          <w:rtl/>
          <w:lang w:bidi="ar-AE"/>
        </w:rPr>
        <w:t>الإنسان ذلك المجهول</w:t>
      </w:r>
      <w:r w:rsidRPr="00904FCB">
        <w:rPr>
          <w:rFonts w:hint="eastAsia"/>
          <w:sz w:val="27"/>
          <w:rtl/>
        </w:rPr>
        <w:t>»</w:t>
      </w:r>
      <w:r w:rsidR="00524BF6" w:rsidRPr="00904FCB">
        <w:rPr>
          <w:rFonts w:hint="cs"/>
          <w:sz w:val="27"/>
          <w:rtl/>
        </w:rPr>
        <w:t>،</w:t>
      </w:r>
      <w:r w:rsidRPr="00904FCB">
        <w:rPr>
          <w:rFonts w:hint="cs"/>
          <w:sz w:val="27"/>
          <w:rtl/>
          <w:lang w:bidi="ar-AE"/>
        </w:rPr>
        <w:t xml:space="preserve"> حيث تحدث عن الأمور الصحيّة</w:t>
      </w:r>
      <w:r w:rsidR="00524BF6" w:rsidRPr="00904FCB">
        <w:rPr>
          <w:rFonts w:hint="cs"/>
          <w:sz w:val="27"/>
          <w:rtl/>
          <w:lang w:bidi="ar-AE"/>
        </w:rPr>
        <w:t>.</w:t>
      </w:r>
      <w:r w:rsidRPr="00904FCB">
        <w:rPr>
          <w:rFonts w:hint="cs"/>
          <w:sz w:val="27"/>
          <w:rtl/>
          <w:lang w:bidi="ar-AE"/>
        </w:rPr>
        <w:t xml:space="preserve"> فقد نصح بعدم رعاية الجوانب الصح</w:t>
      </w:r>
      <w:r w:rsidR="00524BF6" w:rsidRPr="00904FCB">
        <w:rPr>
          <w:rFonts w:hint="cs"/>
          <w:sz w:val="27"/>
          <w:rtl/>
          <w:lang w:bidi="ar-AE"/>
        </w:rPr>
        <w:t>ّ</w:t>
      </w:r>
      <w:r w:rsidRPr="00904FCB">
        <w:rPr>
          <w:rFonts w:hint="cs"/>
          <w:sz w:val="27"/>
          <w:rtl/>
          <w:lang w:bidi="ar-AE"/>
        </w:rPr>
        <w:t>ية على أساس الابتعاد عن الم</w:t>
      </w:r>
      <w:r w:rsidR="00524BF6" w:rsidRPr="00904FCB">
        <w:rPr>
          <w:rFonts w:hint="cs"/>
          <w:sz w:val="27"/>
          <w:rtl/>
          <w:lang w:bidi="ar-AE"/>
        </w:rPr>
        <w:t>ي</w:t>
      </w:r>
      <w:r w:rsidRPr="00904FCB">
        <w:rPr>
          <w:rFonts w:hint="cs"/>
          <w:sz w:val="27"/>
          <w:rtl/>
          <w:lang w:bidi="ar-AE"/>
        </w:rPr>
        <w:t>كروبات، بل على أساس تقوية جهاز المناعة. وفي هذا السياق تحدّ</w:t>
      </w:r>
      <w:r w:rsidR="00524BF6" w:rsidRPr="00904FCB">
        <w:rPr>
          <w:rFonts w:hint="cs"/>
          <w:sz w:val="27"/>
          <w:rtl/>
          <w:lang w:bidi="ar-AE"/>
        </w:rPr>
        <w:t>َ</w:t>
      </w:r>
      <w:r w:rsidRPr="00904FCB">
        <w:rPr>
          <w:rFonts w:hint="cs"/>
          <w:sz w:val="27"/>
          <w:rtl/>
          <w:lang w:bidi="ar-AE"/>
        </w:rPr>
        <w:t>ث عن مخاطر الحضارة قائلاً: إن الحضارة البشرية الراهنة تقود الإنسان إلى الضعف</w:t>
      </w:r>
      <w:r w:rsidR="00524BF6" w:rsidRPr="00904FCB">
        <w:rPr>
          <w:rFonts w:hint="cs"/>
          <w:sz w:val="27"/>
          <w:rtl/>
          <w:lang w:bidi="ar-AE"/>
        </w:rPr>
        <w:t>،</w:t>
      </w:r>
      <w:r w:rsidRPr="00904FCB">
        <w:rPr>
          <w:rFonts w:hint="cs"/>
          <w:sz w:val="27"/>
          <w:rtl/>
          <w:lang w:bidi="ar-AE"/>
        </w:rPr>
        <w:t xml:space="preserve"> للأسف الشديد، حيث تنتج أفراداً ضعافاً في مواجهة الطبيعة. </w:t>
      </w:r>
    </w:p>
    <w:p w:rsidR="00524BF6" w:rsidRPr="00904FCB" w:rsidRDefault="00BF56C8" w:rsidP="007A21AA">
      <w:pPr>
        <w:spacing w:line="400" w:lineRule="exact"/>
        <w:rPr>
          <w:sz w:val="27"/>
          <w:rtl/>
          <w:lang w:bidi="ar-AE"/>
        </w:rPr>
      </w:pPr>
      <w:r w:rsidRPr="00904FCB">
        <w:rPr>
          <w:rFonts w:hint="cs"/>
          <w:sz w:val="27"/>
          <w:rtl/>
          <w:lang w:bidi="ar-AE"/>
        </w:rPr>
        <w:t>نفس هذا القانون يصدق بالنسبة إلى المسائل الروحية أيضاً. ففي حدود السماح لأنفسكم ولولدكم بالتعرّ</w:t>
      </w:r>
      <w:r w:rsidR="00524BF6" w:rsidRPr="00904FCB">
        <w:rPr>
          <w:rFonts w:hint="cs"/>
          <w:sz w:val="27"/>
          <w:rtl/>
          <w:lang w:bidi="ar-AE"/>
        </w:rPr>
        <w:t>ُ</w:t>
      </w:r>
      <w:r w:rsidRPr="00904FCB">
        <w:rPr>
          <w:rFonts w:hint="cs"/>
          <w:sz w:val="27"/>
          <w:rtl/>
          <w:lang w:bidi="ar-AE"/>
        </w:rPr>
        <w:t xml:space="preserve">ض للأمراض يمكن أن تسمح لنفسك ولولدك بالتعرّض للأفكار الضارّة، </w:t>
      </w:r>
      <w:r w:rsidR="00524BF6" w:rsidRPr="00904FCB">
        <w:rPr>
          <w:rFonts w:hint="cs"/>
          <w:sz w:val="27"/>
          <w:rtl/>
          <w:lang w:bidi="ar-AE"/>
        </w:rPr>
        <w:t>وب</w:t>
      </w:r>
      <w:r w:rsidRPr="00904FCB">
        <w:rPr>
          <w:rFonts w:hint="cs"/>
          <w:sz w:val="27"/>
          <w:rtl/>
          <w:lang w:bidi="ar-AE"/>
        </w:rPr>
        <w:t>ذات النسبة التي تر</w:t>
      </w:r>
      <w:r w:rsidR="00524BF6" w:rsidRPr="00904FCB">
        <w:rPr>
          <w:rFonts w:hint="cs"/>
          <w:sz w:val="27"/>
          <w:rtl/>
          <w:lang w:bidi="ar-AE"/>
        </w:rPr>
        <w:t>َ</w:t>
      </w:r>
      <w:r w:rsidRPr="00904FCB">
        <w:rPr>
          <w:rFonts w:hint="cs"/>
          <w:sz w:val="27"/>
          <w:rtl/>
          <w:lang w:bidi="ar-AE"/>
        </w:rPr>
        <w:t>و</w:t>
      </w:r>
      <w:r w:rsidR="00524BF6" w:rsidRPr="00904FCB">
        <w:rPr>
          <w:rFonts w:hint="cs"/>
          <w:sz w:val="27"/>
          <w:rtl/>
          <w:lang w:bidi="ar-AE"/>
        </w:rPr>
        <w:t>ْ</w:t>
      </w:r>
      <w:r w:rsidRPr="00904FCB">
        <w:rPr>
          <w:rFonts w:hint="cs"/>
          <w:sz w:val="27"/>
          <w:rtl/>
          <w:lang w:bidi="ar-AE"/>
        </w:rPr>
        <w:t xml:space="preserve">ن فيها ضرورة الابتعاد عن الأمراض عليك أن تبتعد عن الأفكار الضارّة أيضاً. وعليه لا يبدو أن الفرد إذا حافظ على هذا المستوى من الاعتدال في التعاطي مع الأفكار الباطلة </w:t>
      </w:r>
      <w:r w:rsidR="00524BF6" w:rsidRPr="00904FCB">
        <w:rPr>
          <w:rFonts w:hint="cs"/>
          <w:sz w:val="27"/>
          <w:rtl/>
          <w:lang w:bidi="ar-AE"/>
        </w:rPr>
        <w:t xml:space="preserve">يكون </w:t>
      </w:r>
      <w:r w:rsidRPr="00904FCB">
        <w:rPr>
          <w:rFonts w:hint="cs"/>
          <w:sz w:val="27"/>
          <w:rtl/>
          <w:lang w:bidi="ar-AE"/>
        </w:rPr>
        <w:t>قد ارتكب ما يخالف المنطق</w:t>
      </w:r>
      <w:r w:rsidR="00524BF6" w:rsidRPr="00904FCB">
        <w:rPr>
          <w:rFonts w:hint="cs"/>
          <w:sz w:val="27"/>
          <w:rtl/>
          <w:lang w:bidi="ar-AE"/>
        </w:rPr>
        <w:t>.</w:t>
      </w:r>
    </w:p>
    <w:p w:rsidR="00524BF6" w:rsidRPr="00904FCB" w:rsidRDefault="00BF56C8" w:rsidP="007A21AA">
      <w:pPr>
        <w:spacing w:line="400" w:lineRule="exact"/>
        <w:rPr>
          <w:sz w:val="27"/>
          <w:rtl/>
          <w:lang w:bidi="ar-AE"/>
        </w:rPr>
      </w:pPr>
      <w:r w:rsidRPr="00904FCB">
        <w:rPr>
          <w:rFonts w:hint="cs"/>
          <w:sz w:val="27"/>
          <w:rtl/>
          <w:lang w:bidi="ar-AE"/>
        </w:rPr>
        <w:t xml:space="preserve">وأرى في ما قلناه كفاية في الحديث </w:t>
      </w:r>
      <w:r w:rsidR="00524BF6" w:rsidRPr="00904FCB">
        <w:rPr>
          <w:rFonts w:hint="cs"/>
          <w:sz w:val="27"/>
          <w:rtl/>
          <w:lang w:bidi="ar-AE"/>
        </w:rPr>
        <w:t>عن</w:t>
      </w:r>
      <w:r w:rsidRPr="00904FCB">
        <w:rPr>
          <w:rFonts w:hint="cs"/>
          <w:sz w:val="27"/>
          <w:rtl/>
          <w:lang w:bidi="ar-AE"/>
        </w:rPr>
        <w:t xml:space="preserve"> كتب الضلال. </w:t>
      </w:r>
    </w:p>
    <w:p w:rsidR="00BF56C8" w:rsidRPr="00904FCB" w:rsidRDefault="00BF56C8" w:rsidP="007A21AA">
      <w:pPr>
        <w:spacing w:line="400" w:lineRule="exact"/>
        <w:rPr>
          <w:sz w:val="27"/>
          <w:rtl/>
          <w:lang w:bidi="ar-AE"/>
        </w:rPr>
      </w:pPr>
      <w:r w:rsidRPr="00904FCB">
        <w:rPr>
          <w:rFonts w:hint="cs"/>
          <w:sz w:val="27"/>
          <w:rtl/>
          <w:lang w:bidi="ar-AE"/>
        </w:rPr>
        <w:t>وقد تقدّم أن ذكرنا أنه لا يوجد في القرآن والسن</w:t>
      </w:r>
      <w:r w:rsidR="00524BF6" w:rsidRPr="00904FCB">
        <w:rPr>
          <w:rFonts w:hint="cs"/>
          <w:sz w:val="27"/>
          <w:rtl/>
          <w:lang w:bidi="ar-AE"/>
        </w:rPr>
        <w:t>ّ</w:t>
      </w:r>
      <w:r w:rsidRPr="00904FCB">
        <w:rPr>
          <w:rFonts w:hint="cs"/>
          <w:sz w:val="27"/>
          <w:rtl/>
          <w:lang w:bidi="ar-AE"/>
        </w:rPr>
        <w:t>ة نصّ</w:t>
      </w:r>
      <w:r w:rsidR="00524BF6" w:rsidRPr="00904FCB">
        <w:rPr>
          <w:rFonts w:hint="cs"/>
          <w:sz w:val="27"/>
          <w:rtl/>
          <w:lang w:bidi="ar-AE"/>
        </w:rPr>
        <w:t>ٌ</w:t>
      </w:r>
      <w:r w:rsidRPr="00904FCB">
        <w:rPr>
          <w:rFonts w:hint="cs"/>
          <w:sz w:val="27"/>
          <w:rtl/>
          <w:lang w:bidi="ar-AE"/>
        </w:rPr>
        <w:t xml:space="preserve"> صريح وقاطع [في هذا الموضوع] غير ما تقدّ</w:t>
      </w:r>
      <w:r w:rsidR="00524BF6" w:rsidRPr="00904FCB">
        <w:rPr>
          <w:rFonts w:hint="cs"/>
          <w:sz w:val="27"/>
          <w:rtl/>
          <w:lang w:bidi="ar-AE"/>
        </w:rPr>
        <w:t>َ</w:t>
      </w:r>
      <w:r w:rsidRPr="00904FCB">
        <w:rPr>
          <w:rFonts w:hint="cs"/>
          <w:sz w:val="27"/>
          <w:rtl/>
          <w:lang w:bidi="ar-AE"/>
        </w:rPr>
        <w:t>م ذكره.</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مسألة محاكم تفتيش الأفكار</w:t>
      </w:r>
    </w:p>
    <w:p w:rsidR="00BF56C8" w:rsidRPr="00904FCB" w:rsidRDefault="00BF56C8" w:rsidP="007A21AA">
      <w:pPr>
        <w:spacing w:line="400" w:lineRule="exact"/>
        <w:rPr>
          <w:sz w:val="27"/>
          <w:rtl/>
          <w:lang w:bidi="ar-AE"/>
        </w:rPr>
      </w:pPr>
      <w:r w:rsidRPr="00904FCB">
        <w:rPr>
          <w:rFonts w:hint="cs"/>
          <w:sz w:val="27"/>
          <w:rtl/>
          <w:lang w:bidi="ar-AE"/>
        </w:rPr>
        <w:t>أما المسألة الأخرى فهي مسألة محاكم التفتيش والتجس</w:t>
      </w:r>
      <w:r w:rsidR="00524BF6" w:rsidRPr="00904FCB">
        <w:rPr>
          <w:rFonts w:hint="cs"/>
          <w:sz w:val="27"/>
          <w:rtl/>
          <w:lang w:bidi="ar-AE"/>
        </w:rPr>
        <w:t>ُّ</w:t>
      </w:r>
      <w:r w:rsidRPr="00904FCB">
        <w:rPr>
          <w:rFonts w:hint="cs"/>
          <w:sz w:val="27"/>
          <w:rtl/>
          <w:lang w:bidi="ar-AE"/>
        </w:rPr>
        <w:t>س على معتقدات وأفكار الأشخاص. وهذه المسألة لا تحتاج إلى مزيد</w:t>
      </w:r>
      <w:r w:rsidR="00524BF6" w:rsidRPr="00904FCB">
        <w:rPr>
          <w:rFonts w:hint="cs"/>
          <w:sz w:val="27"/>
          <w:rtl/>
          <w:lang w:bidi="ar-AE"/>
        </w:rPr>
        <w:t>ٍ</w:t>
      </w:r>
      <w:r w:rsidRPr="00904FCB">
        <w:rPr>
          <w:rFonts w:hint="cs"/>
          <w:sz w:val="27"/>
          <w:rtl/>
          <w:lang w:bidi="ar-AE"/>
        </w:rPr>
        <w:t xml:space="preserve"> من البحث. والقدر المتيق</w:t>
      </w:r>
      <w:r w:rsidR="00524BF6" w:rsidRPr="00904FCB">
        <w:rPr>
          <w:rFonts w:hint="cs"/>
          <w:sz w:val="27"/>
          <w:rtl/>
          <w:lang w:bidi="ar-AE"/>
        </w:rPr>
        <w:t>َّ</w:t>
      </w:r>
      <w:r w:rsidRPr="00904FCB">
        <w:rPr>
          <w:rFonts w:hint="cs"/>
          <w:sz w:val="27"/>
          <w:rtl/>
          <w:lang w:bidi="ar-AE"/>
        </w:rPr>
        <w:t>ن أن الإسلام يمنع من القيام بأي</w:t>
      </w:r>
      <w:r w:rsidR="00524BF6" w:rsidRPr="00904FCB">
        <w:rPr>
          <w:rFonts w:hint="cs"/>
          <w:sz w:val="27"/>
          <w:rtl/>
          <w:lang w:bidi="ar-AE"/>
        </w:rPr>
        <w:t>ّ</w:t>
      </w:r>
      <w:r w:rsidRPr="00904FCB">
        <w:rPr>
          <w:rFonts w:hint="cs"/>
          <w:sz w:val="27"/>
          <w:rtl/>
          <w:lang w:bidi="ar-AE"/>
        </w:rPr>
        <w:t xml:space="preserve"> نوع</w:t>
      </w:r>
      <w:r w:rsidR="00524BF6" w:rsidRPr="00904FCB">
        <w:rPr>
          <w:rFonts w:hint="cs"/>
          <w:sz w:val="27"/>
          <w:rtl/>
          <w:lang w:bidi="ar-AE"/>
        </w:rPr>
        <w:t>ٍ</w:t>
      </w:r>
      <w:r w:rsidRPr="00904FCB">
        <w:rPr>
          <w:rFonts w:hint="cs"/>
          <w:sz w:val="27"/>
          <w:rtl/>
          <w:lang w:bidi="ar-AE"/>
        </w:rPr>
        <w:t xml:space="preserve"> من أنواع التجس</w:t>
      </w:r>
      <w:r w:rsidR="00524BF6" w:rsidRPr="00904FCB">
        <w:rPr>
          <w:rFonts w:hint="cs"/>
          <w:sz w:val="27"/>
          <w:rtl/>
          <w:lang w:bidi="ar-AE"/>
        </w:rPr>
        <w:t>ُّ</w:t>
      </w:r>
      <w:r w:rsidRPr="00904FCB">
        <w:rPr>
          <w:rFonts w:hint="cs"/>
          <w:sz w:val="27"/>
          <w:rtl/>
          <w:lang w:bidi="ar-AE"/>
        </w:rPr>
        <w:t>س والتفتيش عن عقائد الآخرين وأفكارهم. وهذه المسألة من المسائل الواضحة والصريحة</w:t>
      </w:r>
      <w:r w:rsidR="00524BF6" w:rsidRPr="00904FCB">
        <w:rPr>
          <w:rFonts w:hint="cs"/>
          <w:sz w:val="27"/>
          <w:rtl/>
          <w:lang w:bidi="ar-AE"/>
        </w:rPr>
        <w:t>؛</w:t>
      </w:r>
      <w:r w:rsidRPr="00904FCB">
        <w:rPr>
          <w:rFonts w:hint="cs"/>
          <w:sz w:val="27"/>
          <w:rtl/>
          <w:lang w:bidi="ar-AE"/>
        </w:rPr>
        <w:t xml:space="preserve"> إذ يقول تعالى في محكم كتابه الكريم: </w:t>
      </w:r>
      <w:r w:rsidRPr="00904FCB">
        <w:rPr>
          <w:rFonts w:ascii="Mosawi" w:hAnsi="Mosawi" w:cs="Mosawi"/>
          <w:sz w:val="24"/>
          <w:szCs w:val="24"/>
          <w:rtl/>
        </w:rPr>
        <w:t>﴿</w:t>
      </w:r>
      <w:r w:rsidRPr="00904FCB">
        <w:rPr>
          <w:b/>
          <w:bCs/>
          <w:sz w:val="27"/>
          <w:rtl/>
        </w:rPr>
        <w:t>وَلاَ تَقُولُوا لِمَنْ أَلْقَى إِلَي</w:t>
      </w:r>
      <w:r w:rsidR="00524BF6" w:rsidRPr="00904FCB">
        <w:rPr>
          <w:b/>
          <w:bCs/>
          <w:sz w:val="27"/>
          <w:rtl/>
        </w:rPr>
        <w:t>ْكُمْ السَّلاَمَ لَسْتَ مُؤْمِن</w:t>
      </w:r>
      <w:r w:rsidRPr="00904FCB">
        <w:rPr>
          <w:b/>
          <w:bCs/>
          <w:sz w:val="27"/>
          <w:rtl/>
        </w:rPr>
        <w:t>ا</w:t>
      </w:r>
      <w:r w:rsidR="00524BF6" w:rsidRPr="00904FCB">
        <w:rPr>
          <w:rFonts w:hint="cs"/>
          <w:b/>
          <w:bCs/>
          <w:sz w:val="27"/>
          <w:rtl/>
        </w:rPr>
        <w:t>ً</w:t>
      </w:r>
      <w:r w:rsidRPr="00904FCB">
        <w:rPr>
          <w:rFonts w:ascii="Mosawi" w:hAnsi="Mosawi" w:cs="Mosawi"/>
          <w:sz w:val="24"/>
          <w:szCs w:val="24"/>
          <w:rtl/>
        </w:rPr>
        <w:t>﴾</w:t>
      </w:r>
      <w:r w:rsidRPr="00904FCB">
        <w:rPr>
          <w:rFonts w:hint="cs"/>
          <w:sz w:val="27"/>
          <w:rtl/>
          <w:lang w:bidi="ar-AE"/>
        </w:rPr>
        <w:t xml:space="preserve"> (</w:t>
      </w:r>
      <w:r w:rsidRPr="00736BD3">
        <w:rPr>
          <w:rFonts w:hint="cs"/>
          <w:sz w:val="27"/>
          <w:rtl/>
          <w:lang w:bidi="ar-AE"/>
        </w:rPr>
        <w:t>النساء: 94</w:t>
      </w:r>
      <w:r w:rsidRPr="00904FCB">
        <w:rPr>
          <w:rFonts w:hint="cs"/>
          <w:sz w:val="27"/>
          <w:rtl/>
          <w:lang w:bidi="ar-AE"/>
        </w:rPr>
        <w:t>). فيكفي الفرد أن يقول</w:t>
      </w:r>
      <w:r w:rsidR="00524BF6" w:rsidRPr="00904FCB">
        <w:rPr>
          <w:rFonts w:hint="cs"/>
          <w:sz w:val="27"/>
          <w:rtl/>
          <w:lang w:bidi="ar-AE"/>
        </w:rPr>
        <w:t>:</w:t>
      </w:r>
      <w:r w:rsidRPr="00904FCB">
        <w:rPr>
          <w:rFonts w:hint="cs"/>
          <w:sz w:val="27"/>
          <w:rtl/>
          <w:lang w:bidi="ar-AE"/>
        </w:rPr>
        <w:t xml:space="preserve"> إني مسلم حت</w:t>
      </w:r>
      <w:r w:rsidR="00524BF6" w:rsidRPr="00904FCB">
        <w:rPr>
          <w:rFonts w:hint="cs"/>
          <w:sz w:val="27"/>
          <w:rtl/>
          <w:lang w:bidi="ar-AE"/>
        </w:rPr>
        <w:t>ّ</w:t>
      </w:r>
      <w:r w:rsidRPr="00904FCB">
        <w:rPr>
          <w:rFonts w:hint="cs"/>
          <w:sz w:val="27"/>
          <w:rtl/>
          <w:lang w:bidi="ar-AE"/>
        </w:rPr>
        <w:t>ى يحقن دمه، ولا يجوز لنا ات</w:t>
      </w:r>
      <w:r w:rsidR="00524BF6" w:rsidRPr="00904FCB">
        <w:rPr>
          <w:rFonts w:hint="cs"/>
          <w:sz w:val="27"/>
          <w:rtl/>
          <w:lang w:bidi="ar-AE"/>
        </w:rPr>
        <w:t>ّ</w:t>
      </w:r>
      <w:r w:rsidRPr="00904FCB">
        <w:rPr>
          <w:rFonts w:hint="cs"/>
          <w:sz w:val="27"/>
          <w:rtl/>
          <w:lang w:bidi="ar-AE"/>
        </w:rPr>
        <w:t>هامه بعدم الإسلام انطلاقاً من سوء الظن</w:t>
      </w:r>
      <w:r w:rsidR="00524BF6" w:rsidRPr="00904FCB">
        <w:rPr>
          <w:rFonts w:hint="cs"/>
          <w:sz w:val="27"/>
          <w:rtl/>
          <w:lang w:bidi="ar-AE"/>
        </w:rPr>
        <w:t>ّ</w:t>
      </w:r>
      <w:r w:rsidRPr="00904FCB">
        <w:rPr>
          <w:rFonts w:hint="cs"/>
          <w:sz w:val="27"/>
          <w:rtl/>
          <w:lang w:bidi="ar-AE"/>
        </w:rPr>
        <w:t>. وخير دليل على ذلك وجود المنافقين في المدينة المنوّرة في عصر النبي الأكرم</w:t>
      </w:r>
      <w:r w:rsidR="00635E51" w:rsidRPr="00904FCB">
        <w:rPr>
          <w:rFonts w:cs="Mosawi" w:hint="cs"/>
          <w:sz w:val="27"/>
          <w:szCs w:val="22"/>
          <w:rtl/>
          <w:lang w:bidi="ar-AE"/>
        </w:rPr>
        <w:t>|</w:t>
      </w:r>
      <w:r w:rsidRPr="00904FCB">
        <w:rPr>
          <w:rFonts w:hint="cs"/>
          <w:sz w:val="27"/>
          <w:rtl/>
          <w:lang w:bidi="ar-AE"/>
        </w:rPr>
        <w:t>. فقد عمد القرآن الكريم إلى الإشارة إلى وجود هؤلاء المنافقين ـ دون أن يسمّ</w:t>
      </w:r>
      <w:r w:rsidR="00524BF6" w:rsidRPr="00904FCB">
        <w:rPr>
          <w:rFonts w:hint="cs"/>
          <w:sz w:val="27"/>
          <w:rtl/>
          <w:lang w:bidi="ar-AE"/>
        </w:rPr>
        <w:t>ِ</w:t>
      </w:r>
      <w:r w:rsidRPr="00904FCB">
        <w:rPr>
          <w:rFonts w:hint="cs"/>
          <w:sz w:val="27"/>
          <w:rtl/>
          <w:lang w:bidi="ar-AE"/>
        </w:rPr>
        <w:t>يهم ـ</w:t>
      </w:r>
      <w:r w:rsidR="00B326B6" w:rsidRPr="00904FCB">
        <w:rPr>
          <w:rFonts w:hint="cs"/>
          <w:sz w:val="27"/>
          <w:rtl/>
          <w:lang w:bidi="ar-AE"/>
        </w:rPr>
        <w:t>،</w:t>
      </w:r>
      <w:r w:rsidRPr="00904FCB">
        <w:rPr>
          <w:rFonts w:hint="cs"/>
          <w:sz w:val="27"/>
          <w:rtl/>
          <w:lang w:bidi="ar-AE"/>
        </w:rPr>
        <w:t xml:space="preserve"> حيث يعيشون بأعداد</w:t>
      </w:r>
      <w:r w:rsidR="00524BF6" w:rsidRPr="00904FCB">
        <w:rPr>
          <w:rFonts w:hint="cs"/>
          <w:sz w:val="27"/>
          <w:rtl/>
          <w:lang w:bidi="ar-AE"/>
        </w:rPr>
        <w:t>ٍ</w:t>
      </w:r>
      <w:r w:rsidRPr="00904FCB">
        <w:rPr>
          <w:rFonts w:hint="cs"/>
          <w:sz w:val="27"/>
          <w:rtl/>
          <w:lang w:bidi="ar-AE"/>
        </w:rPr>
        <w:t xml:space="preserve"> كبيرة بين المسلمين، يتظاهرون بالإسلام</w:t>
      </w:r>
      <w:r w:rsidR="00B326B6" w:rsidRPr="00904FCB">
        <w:rPr>
          <w:rFonts w:hint="cs"/>
          <w:sz w:val="27"/>
          <w:rtl/>
          <w:lang w:bidi="ar-AE"/>
        </w:rPr>
        <w:t>،</w:t>
      </w:r>
      <w:r w:rsidRPr="00904FCB">
        <w:rPr>
          <w:rFonts w:hint="cs"/>
          <w:sz w:val="27"/>
          <w:rtl/>
          <w:lang w:bidi="ar-AE"/>
        </w:rPr>
        <w:t xml:space="preserve"> ويحضرون الصلاة جماعة في المسجد، ويتعامل معهم المسلمون بوصفهم من المسلمين</w:t>
      </w:r>
      <w:r w:rsidR="00B326B6" w:rsidRPr="00904FCB">
        <w:rPr>
          <w:rFonts w:hint="cs"/>
          <w:sz w:val="27"/>
          <w:rtl/>
          <w:lang w:bidi="ar-AE"/>
        </w:rPr>
        <w:t>،</w:t>
      </w:r>
      <w:r w:rsidRPr="00904FCB">
        <w:rPr>
          <w:rFonts w:hint="cs"/>
          <w:sz w:val="27"/>
          <w:rtl/>
          <w:lang w:bidi="ar-AE"/>
        </w:rPr>
        <w:t xml:space="preserve"> </w:t>
      </w:r>
      <w:r w:rsidRPr="00904FCB">
        <w:rPr>
          <w:rFonts w:hint="cs"/>
          <w:sz w:val="27"/>
          <w:rtl/>
          <w:lang w:bidi="ar-AE"/>
        </w:rPr>
        <w:lastRenderedPageBreak/>
        <w:t>مع أنهم في حقيقة أمرهم لا يريدون الخير للمسلمين</w:t>
      </w:r>
      <w:r w:rsidR="00B326B6" w:rsidRPr="00904FCB">
        <w:rPr>
          <w:rFonts w:hint="cs"/>
          <w:sz w:val="27"/>
          <w:rtl/>
          <w:lang w:bidi="ar-AE"/>
        </w:rPr>
        <w:t>،</w:t>
      </w:r>
      <w:r w:rsidRPr="00904FCB">
        <w:rPr>
          <w:rFonts w:hint="cs"/>
          <w:sz w:val="27"/>
          <w:rtl/>
          <w:lang w:bidi="ar-AE"/>
        </w:rPr>
        <w:t xml:space="preserve"> وكان يتمن</w:t>
      </w:r>
      <w:r w:rsidR="00B326B6" w:rsidRPr="00904FCB">
        <w:rPr>
          <w:rFonts w:hint="cs"/>
          <w:sz w:val="27"/>
          <w:rtl/>
          <w:lang w:bidi="ar-AE"/>
        </w:rPr>
        <w:t>َّ</w:t>
      </w:r>
      <w:r w:rsidRPr="00904FCB">
        <w:rPr>
          <w:rFonts w:hint="cs"/>
          <w:sz w:val="27"/>
          <w:rtl/>
          <w:lang w:bidi="ar-AE"/>
        </w:rPr>
        <w:t>ون غ</w:t>
      </w:r>
      <w:r w:rsidR="00B326B6" w:rsidRPr="00904FCB">
        <w:rPr>
          <w:rFonts w:hint="cs"/>
          <w:sz w:val="27"/>
          <w:rtl/>
          <w:lang w:bidi="ar-AE"/>
        </w:rPr>
        <w:t>َ</w:t>
      </w:r>
      <w:r w:rsidRPr="00904FCB">
        <w:rPr>
          <w:rFonts w:hint="cs"/>
          <w:sz w:val="27"/>
          <w:rtl/>
          <w:lang w:bidi="ar-AE"/>
        </w:rPr>
        <w:t>ل</w:t>
      </w:r>
      <w:r w:rsidR="00B326B6" w:rsidRPr="00904FCB">
        <w:rPr>
          <w:rFonts w:hint="cs"/>
          <w:sz w:val="27"/>
          <w:rtl/>
          <w:lang w:bidi="ar-AE"/>
        </w:rPr>
        <w:t>َ</w:t>
      </w:r>
      <w:r w:rsidRPr="00904FCB">
        <w:rPr>
          <w:rFonts w:hint="cs"/>
          <w:sz w:val="27"/>
          <w:rtl/>
          <w:lang w:bidi="ar-AE"/>
        </w:rPr>
        <w:t>بة الكفار على المسلمين في جميع الظروف</w:t>
      </w:r>
      <w:r w:rsidR="00B326B6" w:rsidRPr="00904FCB">
        <w:rPr>
          <w:rFonts w:hint="cs"/>
          <w:sz w:val="27"/>
          <w:rtl/>
          <w:lang w:bidi="ar-AE"/>
        </w:rPr>
        <w:t>،</w:t>
      </w:r>
      <w:r w:rsidRPr="00904FCB">
        <w:rPr>
          <w:rFonts w:hint="cs"/>
          <w:sz w:val="27"/>
          <w:rtl/>
          <w:lang w:bidi="ar-AE"/>
        </w:rPr>
        <w:t xml:space="preserve"> وحت</w:t>
      </w:r>
      <w:r w:rsidR="00B326B6" w:rsidRPr="00904FCB">
        <w:rPr>
          <w:rFonts w:hint="cs"/>
          <w:sz w:val="27"/>
          <w:rtl/>
          <w:lang w:bidi="ar-AE"/>
        </w:rPr>
        <w:t>ّ</w:t>
      </w:r>
      <w:r w:rsidRPr="00904FCB">
        <w:rPr>
          <w:rFonts w:hint="cs"/>
          <w:sz w:val="27"/>
          <w:rtl/>
          <w:lang w:bidi="ar-AE"/>
        </w:rPr>
        <w:t>ى في الحروب. فكانوا في واقع الأمر من الكف</w:t>
      </w:r>
      <w:r w:rsidR="00B326B6" w:rsidRPr="00904FCB">
        <w:rPr>
          <w:rFonts w:hint="cs"/>
          <w:sz w:val="27"/>
          <w:rtl/>
          <w:lang w:bidi="ar-AE"/>
        </w:rPr>
        <w:t>ّ</w:t>
      </w:r>
      <w:r w:rsidRPr="00904FCB">
        <w:rPr>
          <w:rFonts w:hint="cs"/>
          <w:sz w:val="27"/>
          <w:rtl/>
          <w:lang w:bidi="ar-AE"/>
        </w:rPr>
        <w:t>ار. والقرآن يعمل من جهة</w:t>
      </w:r>
      <w:r w:rsidR="00B326B6" w:rsidRPr="00904FCB">
        <w:rPr>
          <w:rFonts w:hint="cs"/>
          <w:sz w:val="27"/>
          <w:rtl/>
          <w:lang w:bidi="ar-AE"/>
        </w:rPr>
        <w:t>ٍ</w:t>
      </w:r>
      <w:r w:rsidRPr="00904FCB">
        <w:rPr>
          <w:rFonts w:hint="cs"/>
          <w:sz w:val="27"/>
          <w:rtl/>
          <w:lang w:bidi="ar-AE"/>
        </w:rPr>
        <w:t xml:space="preserve"> على تحذير المسلمين من خطر هذه الشريحة</w:t>
      </w:r>
      <w:r w:rsidR="00B326B6" w:rsidRPr="00904FCB">
        <w:rPr>
          <w:rFonts w:hint="cs"/>
          <w:sz w:val="27"/>
          <w:rtl/>
          <w:lang w:bidi="ar-AE"/>
        </w:rPr>
        <w:t>،</w:t>
      </w:r>
      <w:r w:rsidRPr="00904FCB">
        <w:rPr>
          <w:rFonts w:hint="cs"/>
          <w:sz w:val="27"/>
          <w:rtl/>
          <w:lang w:bidi="ar-AE"/>
        </w:rPr>
        <w:t xml:space="preserve"> ويبي</w:t>
      </w:r>
      <w:r w:rsidR="00B326B6" w:rsidRPr="00904FCB">
        <w:rPr>
          <w:rFonts w:hint="cs"/>
          <w:sz w:val="27"/>
          <w:rtl/>
          <w:lang w:bidi="ar-AE"/>
        </w:rPr>
        <w:t>ِِّ</w:t>
      </w:r>
      <w:r w:rsidRPr="00904FCB">
        <w:rPr>
          <w:rFonts w:hint="cs"/>
          <w:sz w:val="27"/>
          <w:rtl/>
          <w:lang w:bidi="ar-AE"/>
        </w:rPr>
        <w:t>ن أن مصيرهم سيكون أسوأ من مصير الكفار</w:t>
      </w:r>
      <w:r w:rsidR="00B326B6" w:rsidRPr="00904FCB">
        <w:rPr>
          <w:rFonts w:hint="cs"/>
          <w:sz w:val="27"/>
          <w:rtl/>
          <w:lang w:bidi="ar-AE"/>
        </w:rPr>
        <w:t>؛</w:t>
      </w:r>
      <w:r w:rsidRPr="00904FCB">
        <w:rPr>
          <w:rFonts w:hint="cs"/>
          <w:sz w:val="27"/>
          <w:rtl/>
          <w:lang w:bidi="ar-AE"/>
        </w:rPr>
        <w:t xml:space="preserve"> إذ يقول تعالى: </w:t>
      </w:r>
      <w:r w:rsidRPr="00904FCB">
        <w:rPr>
          <w:rFonts w:ascii="Mosawi" w:hAnsi="Mosawi" w:cs="Mosawi"/>
          <w:sz w:val="24"/>
          <w:szCs w:val="24"/>
          <w:rtl/>
        </w:rPr>
        <w:t>﴿</w:t>
      </w:r>
      <w:r w:rsidRPr="00904FCB">
        <w:rPr>
          <w:b/>
          <w:bCs/>
          <w:sz w:val="27"/>
          <w:rtl/>
        </w:rPr>
        <w:t>إِنَّ الْمُنَافِقِينَ فِي الدَّرْكِ الأَسْفَلِ مِنْ النَّارِ</w:t>
      </w:r>
      <w:r w:rsidRPr="00904FCB">
        <w:rPr>
          <w:rFonts w:ascii="Mosawi" w:hAnsi="Mosawi" w:cs="Mosawi"/>
          <w:sz w:val="24"/>
          <w:szCs w:val="24"/>
          <w:rtl/>
        </w:rPr>
        <w:t>﴾</w:t>
      </w:r>
      <w:r w:rsidRPr="00904FCB">
        <w:rPr>
          <w:rFonts w:hint="cs"/>
          <w:sz w:val="27"/>
          <w:rtl/>
          <w:lang w:bidi="ar-AE"/>
        </w:rPr>
        <w:t xml:space="preserve"> (</w:t>
      </w:r>
      <w:r w:rsidRPr="00736BD3">
        <w:rPr>
          <w:rFonts w:hint="cs"/>
          <w:sz w:val="27"/>
          <w:rtl/>
          <w:lang w:bidi="ar-AE"/>
        </w:rPr>
        <w:t>النساء: 145</w:t>
      </w:r>
      <w:r w:rsidRPr="00904FCB">
        <w:rPr>
          <w:rFonts w:hint="cs"/>
          <w:sz w:val="27"/>
          <w:rtl/>
          <w:lang w:bidi="ar-AE"/>
        </w:rPr>
        <w:t>). وفي الوقت نفسه كان المسلمون طبقاً لتعاليم القرآن والإسلام لا يت</w:t>
      </w:r>
      <w:r w:rsidR="00B326B6" w:rsidRPr="00904FCB">
        <w:rPr>
          <w:rFonts w:hint="cs"/>
          <w:sz w:val="27"/>
          <w:rtl/>
          <w:lang w:bidi="ar-AE"/>
        </w:rPr>
        <w:t>َّ</w:t>
      </w:r>
      <w:r w:rsidRPr="00904FCB">
        <w:rPr>
          <w:rFonts w:hint="cs"/>
          <w:sz w:val="27"/>
          <w:rtl/>
          <w:lang w:bidi="ar-AE"/>
        </w:rPr>
        <w:t>همون مسلماً أظهر الإسلام ونطق بالشهادتين ويقول</w:t>
      </w:r>
      <w:r w:rsidR="00B326B6" w:rsidRPr="00904FCB">
        <w:rPr>
          <w:rFonts w:hint="cs"/>
          <w:sz w:val="27"/>
          <w:rtl/>
          <w:lang w:bidi="ar-AE"/>
        </w:rPr>
        <w:t>:</w:t>
      </w:r>
      <w:r w:rsidRPr="00904FCB">
        <w:rPr>
          <w:rFonts w:hint="cs"/>
          <w:sz w:val="27"/>
          <w:rtl/>
          <w:lang w:bidi="ar-AE"/>
        </w:rPr>
        <w:t xml:space="preserve"> إني من المسلمين، ولا يجيزون لأنفسهم البحث عن عقيدته، بل كانوا يكتفون منه بالظاهر. نعم</w:t>
      </w:r>
      <w:r w:rsidR="00B326B6" w:rsidRPr="00904FCB">
        <w:rPr>
          <w:rFonts w:hint="cs"/>
          <w:sz w:val="27"/>
          <w:rtl/>
          <w:lang w:bidi="ar-AE"/>
        </w:rPr>
        <w:t>،</w:t>
      </w:r>
      <w:r w:rsidRPr="00904FCB">
        <w:rPr>
          <w:rFonts w:hint="cs"/>
          <w:sz w:val="27"/>
          <w:rtl/>
          <w:lang w:bidi="ar-AE"/>
        </w:rPr>
        <w:t xml:space="preserve"> لا يجوز لنا </w:t>
      </w:r>
      <w:r w:rsidR="00B326B6" w:rsidRPr="00904FCB">
        <w:rPr>
          <w:rFonts w:hint="cs"/>
          <w:sz w:val="27"/>
          <w:rtl/>
          <w:lang w:bidi="ar-AE"/>
        </w:rPr>
        <w:t>أ</w:t>
      </w:r>
      <w:r w:rsidRPr="00904FCB">
        <w:rPr>
          <w:rFonts w:hint="cs"/>
          <w:sz w:val="27"/>
          <w:rtl/>
          <w:lang w:bidi="ar-AE"/>
        </w:rPr>
        <w:t>ن نخرج شخصاً عن ر</w:t>
      </w:r>
      <w:r w:rsidR="00B326B6" w:rsidRPr="00904FCB">
        <w:rPr>
          <w:rFonts w:hint="cs"/>
          <w:sz w:val="27"/>
          <w:rtl/>
          <w:lang w:bidi="ar-AE"/>
        </w:rPr>
        <w:t>ِ</w:t>
      </w:r>
      <w:r w:rsidRPr="00904FCB">
        <w:rPr>
          <w:rFonts w:hint="cs"/>
          <w:sz w:val="27"/>
          <w:rtl/>
          <w:lang w:bidi="ar-AE"/>
        </w:rPr>
        <w:t>ب</w:t>
      </w:r>
      <w:r w:rsidR="00B326B6" w:rsidRPr="00904FCB">
        <w:rPr>
          <w:rFonts w:hint="cs"/>
          <w:sz w:val="27"/>
          <w:rtl/>
          <w:lang w:bidi="ar-AE"/>
        </w:rPr>
        <w:t>ْ</w:t>
      </w:r>
      <w:r w:rsidRPr="00904FCB">
        <w:rPr>
          <w:rFonts w:hint="cs"/>
          <w:sz w:val="27"/>
          <w:rtl/>
          <w:lang w:bidi="ar-AE"/>
        </w:rPr>
        <w:t>قة الإسلام إلا</w:t>
      </w:r>
      <w:r w:rsidR="00B326B6" w:rsidRPr="00904FCB">
        <w:rPr>
          <w:rFonts w:hint="cs"/>
          <w:sz w:val="27"/>
          <w:rtl/>
          <w:lang w:bidi="ar-AE"/>
        </w:rPr>
        <w:t>ّ</w:t>
      </w:r>
      <w:r w:rsidRPr="00904FCB">
        <w:rPr>
          <w:rFonts w:hint="cs"/>
          <w:sz w:val="27"/>
          <w:rtl/>
          <w:lang w:bidi="ar-AE"/>
        </w:rPr>
        <w:t xml:space="preserve"> إذا صدر عنه ما يخالف صريح الإسلام. </w:t>
      </w:r>
    </w:p>
    <w:p w:rsidR="00BF56C8" w:rsidRPr="00904FCB" w:rsidRDefault="00BF56C8" w:rsidP="007A21AA">
      <w:pPr>
        <w:spacing w:line="400" w:lineRule="exact"/>
        <w:rPr>
          <w:sz w:val="27"/>
          <w:rtl/>
          <w:lang w:bidi="ar-AE"/>
        </w:rPr>
      </w:pPr>
    </w:p>
    <w:p w:rsidR="00BF56C8" w:rsidRPr="00904FCB" w:rsidRDefault="00BF56C8" w:rsidP="007A21AA">
      <w:pPr>
        <w:pStyle w:val="31"/>
        <w:spacing w:line="400" w:lineRule="exact"/>
        <w:rPr>
          <w:color w:val="auto"/>
          <w:rtl/>
          <w:lang w:bidi="ar-AE"/>
        </w:rPr>
      </w:pPr>
      <w:r w:rsidRPr="00904FCB">
        <w:rPr>
          <w:rFonts w:hint="cs"/>
          <w:color w:val="auto"/>
          <w:rtl/>
          <w:lang w:bidi="ar-AE"/>
        </w:rPr>
        <w:t xml:space="preserve">تغيير تعريف </w:t>
      </w:r>
      <w:r w:rsidRPr="00904FCB">
        <w:rPr>
          <w:rFonts w:hint="eastAsia"/>
          <w:color w:val="auto"/>
          <w:rtl/>
        </w:rPr>
        <w:t>«</w:t>
      </w:r>
      <w:r w:rsidRPr="00904FCB">
        <w:rPr>
          <w:rFonts w:hint="cs"/>
          <w:color w:val="auto"/>
          <w:rtl/>
          <w:lang w:bidi="ar-AE"/>
        </w:rPr>
        <w:t>الح</w:t>
      </w:r>
      <w:r w:rsidR="00B326B6" w:rsidRPr="00904FCB">
        <w:rPr>
          <w:rFonts w:hint="cs"/>
          <w:color w:val="auto"/>
          <w:rtl/>
          <w:lang w:bidi="ar-AE"/>
        </w:rPr>
        <w:t>ُ</w:t>
      </w:r>
      <w:r w:rsidRPr="00904FCB">
        <w:rPr>
          <w:rFonts w:hint="cs"/>
          <w:color w:val="auto"/>
          <w:rtl/>
          <w:lang w:bidi="ar-AE"/>
        </w:rPr>
        <w:t>ر</w:t>
      </w:r>
      <w:r w:rsidR="00B326B6" w:rsidRPr="00904FCB">
        <w:rPr>
          <w:rFonts w:hint="cs"/>
          <w:color w:val="auto"/>
          <w:rtl/>
          <w:lang w:bidi="ar-AE"/>
        </w:rPr>
        <w:t>ِّ</w:t>
      </w:r>
      <w:r w:rsidRPr="00904FCB">
        <w:rPr>
          <w:rFonts w:hint="cs"/>
          <w:color w:val="auto"/>
          <w:rtl/>
          <w:lang w:bidi="ar-AE"/>
        </w:rPr>
        <w:t>ية</w:t>
      </w:r>
      <w:r w:rsidRPr="00904FCB">
        <w:rPr>
          <w:rFonts w:hint="eastAsia"/>
          <w:color w:val="auto"/>
          <w:rtl/>
        </w:rPr>
        <w:t>»</w:t>
      </w:r>
      <w:r w:rsidRPr="00904FCB">
        <w:rPr>
          <w:rFonts w:hint="cs"/>
          <w:color w:val="auto"/>
          <w:rtl/>
          <w:lang w:bidi="ar-AE"/>
        </w:rPr>
        <w:t xml:space="preserve"> في المرحلة الأخيرة</w:t>
      </w:r>
    </w:p>
    <w:p w:rsidR="00BF56C8" w:rsidRPr="00904FCB" w:rsidRDefault="00BF56C8" w:rsidP="007A21AA">
      <w:pPr>
        <w:spacing w:line="400" w:lineRule="exact"/>
        <w:rPr>
          <w:sz w:val="27"/>
          <w:rtl/>
          <w:lang w:bidi="ar-AE"/>
        </w:rPr>
      </w:pPr>
      <w:r w:rsidRPr="00904FCB">
        <w:rPr>
          <w:rFonts w:hint="cs"/>
          <w:sz w:val="27"/>
          <w:rtl/>
          <w:lang w:bidi="ar-AE"/>
        </w:rPr>
        <w:t>لقد تمّ التأكيد في العالم الغربي في القرن</w:t>
      </w:r>
      <w:r w:rsidR="00B326B6" w:rsidRPr="00904FCB">
        <w:rPr>
          <w:rFonts w:hint="cs"/>
          <w:sz w:val="27"/>
          <w:rtl/>
          <w:lang w:bidi="ar-AE"/>
        </w:rPr>
        <w:t>ين</w:t>
      </w:r>
      <w:r w:rsidRPr="00904FCB">
        <w:rPr>
          <w:rFonts w:hint="cs"/>
          <w:sz w:val="27"/>
          <w:rtl/>
          <w:lang w:bidi="ar-AE"/>
        </w:rPr>
        <w:t xml:space="preserve"> السابع </w:t>
      </w:r>
      <w:r w:rsidR="00B326B6" w:rsidRPr="00904FCB">
        <w:rPr>
          <w:rFonts w:hint="cs"/>
          <w:sz w:val="27"/>
          <w:rtl/>
          <w:lang w:bidi="ar-AE"/>
        </w:rPr>
        <w:t xml:space="preserve">والثامن </w:t>
      </w:r>
      <w:r w:rsidRPr="00904FCB">
        <w:rPr>
          <w:rFonts w:hint="cs"/>
          <w:sz w:val="27"/>
          <w:rtl/>
          <w:lang w:bidi="ar-AE"/>
        </w:rPr>
        <w:t>عشر للميلاد على مسألة الح</w:t>
      </w:r>
      <w:r w:rsidR="00B326B6" w:rsidRPr="00904FCB">
        <w:rPr>
          <w:rFonts w:hint="cs"/>
          <w:sz w:val="27"/>
          <w:rtl/>
          <w:lang w:bidi="ar-AE"/>
        </w:rPr>
        <w:t>ُ</w:t>
      </w:r>
      <w:r w:rsidRPr="00904FCB">
        <w:rPr>
          <w:rFonts w:hint="cs"/>
          <w:sz w:val="27"/>
          <w:rtl/>
          <w:lang w:bidi="ar-AE"/>
        </w:rPr>
        <w:t>ر</w:t>
      </w:r>
      <w:r w:rsidR="00B326B6" w:rsidRPr="00904FCB">
        <w:rPr>
          <w:rFonts w:hint="cs"/>
          <w:sz w:val="27"/>
          <w:rtl/>
          <w:lang w:bidi="ar-AE"/>
        </w:rPr>
        <w:t>ِّ</w:t>
      </w:r>
      <w:r w:rsidRPr="00904FCB">
        <w:rPr>
          <w:rFonts w:hint="cs"/>
          <w:sz w:val="27"/>
          <w:rtl/>
          <w:lang w:bidi="ar-AE"/>
        </w:rPr>
        <w:t>يّة الفردية إلى حدٍّ كبير</w:t>
      </w:r>
      <w:r w:rsidR="00B326B6" w:rsidRPr="00904FCB">
        <w:rPr>
          <w:rFonts w:hint="cs"/>
          <w:sz w:val="27"/>
          <w:rtl/>
          <w:lang w:bidi="ar-AE"/>
        </w:rPr>
        <w:t xml:space="preserve">، </w:t>
      </w:r>
      <w:r w:rsidRPr="00904FCB">
        <w:rPr>
          <w:rFonts w:hint="cs"/>
          <w:sz w:val="27"/>
          <w:rtl/>
          <w:lang w:bidi="ar-AE"/>
        </w:rPr>
        <w:t>حت</w:t>
      </w:r>
      <w:r w:rsidR="00B326B6" w:rsidRPr="00904FCB">
        <w:rPr>
          <w:rFonts w:hint="cs"/>
          <w:sz w:val="27"/>
          <w:rtl/>
          <w:lang w:bidi="ar-AE"/>
        </w:rPr>
        <w:t>ّ</w:t>
      </w:r>
      <w:r w:rsidRPr="00904FCB">
        <w:rPr>
          <w:rFonts w:hint="cs"/>
          <w:sz w:val="27"/>
          <w:rtl/>
          <w:lang w:bidi="ar-AE"/>
        </w:rPr>
        <w:t>ى ذهبوا إلى القول باستحالة أن يكون هناك ما يمكن له أن يحدّ من ح</w:t>
      </w:r>
      <w:r w:rsidR="00B326B6" w:rsidRPr="00904FCB">
        <w:rPr>
          <w:rFonts w:hint="cs"/>
          <w:sz w:val="27"/>
          <w:rtl/>
          <w:lang w:bidi="ar-AE"/>
        </w:rPr>
        <w:t>ُ</w:t>
      </w:r>
      <w:r w:rsidRPr="00904FCB">
        <w:rPr>
          <w:rFonts w:hint="cs"/>
          <w:sz w:val="27"/>
          <w:rtl/>
          <w:lang w:bidi="ar-AE"/>
        </w:rPr>
        <w:t>ر</w:t>
      </w:r>
      <w:r w:rsidR="00B326B6" w:rsidRPr="00904FCB">
        <w:rPr>
          <w:rFonts w:hint="cs"/>
          <w:sz w:val="27"/>
          <w:rtl/>
          <w:lang w:bidi="ar-AE"/>
        </w:rPr>
        <w:t>ِّ</w:t>
      </w:r>
      <w:r w:rsidRPr="00904FCB">
        <w:rPr>
          <w:rFonts w:hint="cs"/>
          <w:sz w:val="27"/>
          <w:rtl/>
          <w:lang w:bidi="ar-AE"/>
        </w:rPr>
        <w:t>يّة الفرد. فكانوا يعرّ</w:t>
      </w:r>
      <w:r w:rsidR="00B326B6" w:rsidRPr="00904FCB">
        <w:rPr>
          <w:rFonts w:hint="cs"/>
          <w:sz w:val="27"/>
          <w:rtl/>
          <w:lang w:bidi="ar-AE"/>
        </w:rPr>
        <w:t>ِ</w:t>
      </w:r>
      <w:r w:rsidRPr="00904FCB">
        <w:rPr>
          <w:rFonts w:hint="cs"/>
          <w:sz w:val="27"/>
          <w:rtl/>
          <w:lang w:bidi="ar-AE"/>
        </w:rPr>
        <w:t>فون الحرية بالقول: إنها تعني عدم وجود ما يمنع الحركات الإنسانية</w:t>
      </w:r>
      <w:r w:rsidR="00B326B6" w:rsidRPr="00904FCB">
        <w:rPr>
          <w:rFonts w:hint="cs"/>
          <w:sz w:val="27"/>
          <w:rtl/>
          <w:lang w:bidi="ar-AE"/>
        </w:rPr>
        <w:t>،</w:t>
      </w:r>
      <w:r w:rsidRPr="00904FCB">
        <w:rPr>
          <w:rFonts w:hint="cs"/>
          <w:sz w:val="27"/>
          <w:rtl/>
          <w:lang w:bidi="ar-AE"/>
        </w:rPr>
        <w:t xml:space="preserve"> أي</w:t>
      </w:r>
      <w:r w:rsidR="00B326B6" w:rsidRPr="00904FCB">
        <w:rPr>
          <w:rFonts w:hint="cs"/>
          <w:sz w:val="27"/>
          <w:rtl/>
          <w:lang w:bidi="ar-AE"/>
        </w:rPr>
        <w:t>ّ</w:t>
      </w:r>
      <w:r w:rsidRPr="00904FCB">
        <w:rPr>
          <w:rFonts w:hint="cs"/>
          <w:sz w:val="27"/>
          <w:rtl/>
          <w:lang w:bidi="ar-AE"/>
        </w:rPr>
        <w:t>اً كان مضمونها. وبطبيعة الحال كان ذلك بمثابة ردّة فعل</w:t>
      </w:r>
      <w:r w:rsidR="00B326B6" w:rsidRPr="00904FCB">
        <w:rPr>
          <w:rFonts w:hint="cs"/>
          <w:sz w:val="27"/>
          <w:rtl/>
          <w:lang w:bidi="ar-AE"/>
        </w:rPr>
        <w:t>ٍ</w:t>
      </w:r>
      <w:r w:rsidRPr="00904FCB">
        <w:rPr>
          <w:rFonts w:hint="cs"/>
          <w:sz w:val="27"/>
          <w:rtl/>
          <w:lang w:bidi="ar-AE"/>
        </w:rPr>
        <w:t xml:space="preserve"> على أجواء الكبت السياسي والمذهبي الشديد. من هنا ضي</w:t>
      </w:r>
      <w:r w:rsidR="00B326B6" w:rsidRPr="00904FCB">
        <w:rPr>
          <w:rFonts w:hint="cs"/>
          <w:sz w:val="27"/>
          <w:rtl/>
          <w:lang w:bidi="ar-AE"/>
        </w:rPr>
        <w:t>َّ</w:t>
      </w:r>
      <w:r w:rsidRPr="00904FCB">
        <w:rPr>
          <w:rFonts w:hint="cs"/>
          <w:sz w:val="27"/>
          <w:rtl/>
          <w:lang w:bidi="ar-AE"/>
        </w:rPr>
        <w:t>قوا دائرة محدودية الحرية الفردية، وقالوا بأنها لا يحدّها إلا</w:t>
      </w:r>
      <w:r w:rsidR="00B326B6" w:rsidRPr="00904FCB">
        <w:rPr>
          <w:rFonts w:hint="cs"/>
          <w:sz w:val="27"/>
          <w:rtl/>
          <w:lang w:bidi="ar-AE"/>
        </w:rPr>
        <w:t>ّ</w:t>
      </w:r>
      <w:r w:rsidRPr="00904FCB">
        <w:rPr>
          <w:rFonts w:hint="cs"/>
          <w:sz w:val="27"/>
          <w:rtl/>
          <w:lang w:bidi="ar-AE"/>
        </w:rPr>
        <w:t xml:space="preserve"> ح</w:t>
      </w:r>
      <w:r w:rsidR="00B326B6" w:rsidRPr="00904FCB">
        <w:rPr>
          <w:rFonts w:hint="cs"/>
          <w:sz w:val="27"/>
          <w:rtl/>
          <w:lang w:bidi="ar-AE"/>
        </w:rPr>
        <w:t>ُ</w:t>
      </w:r>
      <w:r w:rsidRPr="00904FCB">
        <w:rPr>
          <w:rFonts w:hint="cs"/>
          <w:sz w:val="27"/>
          <w:rtl/>
          <w:lang w:bidi="ar-AE"/>
        </w:rPr>
        <w:t>ر</w:t>
      </w:r>
      <w:r w:rsidR="00B326B6" w:rsidRPr="00904FCB">
        <w:rPr>
          <w:rFonts w:hint="cs"/>
          <w:sz w:val="27"/>
          <w:rtl/>
          <w:lang w:bidi="ar-AE"/>
        </w:rPr>
        <w:t>ِّ</w:t>
      </w:r>
      <w:r w:rsidRPr="00904FCB">
        <w:rPr>
          <w:rFonts w:hint="cs"/>
          <w:sz w:val="27"/>
          <w:rtl/>
          <w:lang w:bidi="ar-AE"/>
        </w:rPr>
        <w:t>ية الآخرين</w:t>
      </w:r>
      <w:r w:rsidR="005756F2" w:rsidRPr="00904FCB">
        <w:rPr>
          <w:rFonts w:hint="cs"/>
          <w:sz w:val="27"/>
          <w:rtl/>
          <w:lang w:bidi="ar-AE"/>
        </w:rPr>
        <w:t>؛ لأن إضرار حُرِّيتي بحُرِّيتك هو إضرار بالحُرِّية.</w:t>
      </w:r>
      <w:r w:rsidRPr="00904FCB">
        <w:rPr>
          <w:rFonts w:hint="cs"/>
          <w:sz w:val="27"/>
          <w:rtl/>
          <w:lang w:bidi="ar-AE"/>
        </w:rPr>
        <w:t xml:space="preserve"> فإذا كانت 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يتي تعرّض 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ية الآخر للتقييد وجب تحديدها، ول</w:t>
      </w:r>
      <w:r w:rsidR="005756F2" w:rsidRPr="00904FCB">
        <w:rPr>
          <w:rFonts w:hint="cs"/>
          <w:sz w:val="27"/>
          <w:rtl/>
          <w:lang w:bidi="ar-AE"/>
        </w:rPr>
        <w:t>ا</w:t>
      </w:r>
      <w:r w:rsidRPr="00904FCB">
        <w:rPr>
          <w:rFonts w:hint="cs"/>
          <w:sz w:val="27"/>
          <w:rtl/>
          <w:lang w:bidi="ar-AE"/>
        </w:rPr>
        <w:t xml:space="preserve"> يمكن لأي شيء آخر أن يحدّ</w:t>
      </w:r>
      <w:r w:rsidR="00B326B6" w:rsidRPr="00904FCB">
        <w:rPr>
          <w:rFonts w:hint="cs"/>
          <w:sz w:val="27"/>
          <w:rtl/>
          <w:lang w:bidi="ar-AE"/>
        </w:rPr>
        <w:t>َ</w:t>
      </w:r>
      <w:r w:rsidRPr="00904FCB">
        <w:rPr>
          <w:rFonts w:hint="cs"/>
          <w:sz w:val="27"/>
          <w:rtl/>
          <w:lang w:bidi="ar-AE"/>
        </w:rPr>
        <w:t>ها، وإلا</w:t>
      </w:r>
      <w:r w:rsidR="00B326B6" w:rsidRPr="00904FCB">
        <w:rPr>
          <w:rFonts w:hint="cs"/>
          <w:sz w:val="27"/>
          <w:rtl/>
          <w:lang w:bidi="ar-AE"/>
        </w:rPr>
        <w:t>ّ</w:t>
      </w:r>
      <w:r w:rsidRPr="00904FCB">
        <w:rPr>
          <w:rFonts w:hint="cs"/>
          <w:sz w:val="27"/>
          <w:rtl/>
          <w:lang w:bidi="ar-AE"/>
        </w:rPr>
        <w:t xml:space="preserve"> كان في الأمر ترجيح بلا مرجّح. وعليه فالح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ية هي التي من شأنها أن تقيّ</w:t>
      </w:r>
      <w:r w:rsidR="005756F2" w:rsidRPr="00904FCB">
        <w:rPr>
          <w:rFonts w:hint="cs"/>
          <w:sz w:val="27"/>
          <w:rtl/>
          <w:lang w:bidi="ar-AE"/>
        </w:rPr>
        <w:t>ِ</w:t>
      </w:r>
      <w:r w:rsidRPr="00904FCB">
        <w:rPr>
          <w:rFonts w:hint="cs"/>
          <w:sz w:val="27"/>
          <w:rtl/>
          <w:lang w:bidi="ar-AE"/>
        </w:rPr>
        <w:t>د الح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ية، ولا يمكن لأي</w:t>
      </w:r>
      <w:r w:rsidR="005756F2" w:rsidRPr="00904FCB">
        <w:rPr>
          <w:rFonts w:hint="cs"/>
          <w:sz w:val="27"/>
          <w:rtl/>
          <w:lang w:bidi="ar-AE"/>
        </w:rPr>
        <w:t>ّ</w:t>
      </w:r>
      <w:r w:rsidRPr="00904FCB">
        <w:rPr>
          <w:rFonts w:hint="cs"/>
          <w:sz w:val="27"/>
          <w:rtl/>
          <w:lang w:bidi="ar-AE"/>
        </w:rPr>
        <w:t xml:space="preserve"> شيء آخر غير الح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ية أن يحدّها. وقد أضف</w:t>
      </w:r>
      <w:r w:rsidR="005756F2" w:rsidRPr="00904FCB">
        <w:rPr>
          <w:rFonts w:hint="cs"/>
          <w:sz w:val="27"/>
          <w:rtl/>
          <w:lang w:bidi="ar-AE"/>
        </w:rPr>
        <w:t>َ</w:t>
      </w:r>
      <w:r w:rsidRPr="00904FCB">
        <w:rPr>
          <w:rFonts w:hint="cs"/>
          <w:sz w:val="27"/>
          <w:rtl/>
          <w:lang w:bidi="ar-AE"/>
        </w:rPr>
        <w:t>و</w:t>
      </w:r>
      <w:r w:rsidR="005756F2" w:rsidRPr="00904FCB">
        <w:rPr>
          <w:rFonts w:hint="cs"/>
          <w:sz w:val="27"/>
          <w:rtl/>
          <w:lang w:bidi="ar-AE"/>
        </w:rPr>
        <w:t>ْ</w:t>
      </w:r>
      <w:r w:rsidRPr="00904FCB">
        <w:rPr>
          <w:rFonts w:hint="cs"/>
          <w:sz w:val="27"/>
          <w:rtl/>
          <w:lang w:bidi="ar-AE"/>
        </w:rPr>
        <w:t>ا على الح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ية هالة</w:t>
      </w:r>
      <w:r w:rsidR="005756F2" w:rsidRPr="00904FCB">
        <w:rPr>
          <w:rFonts w:hint="cs"/>
          <w:sz w:val="27"/>
          <w:rtl/>
          <w:lang w:bidi="ar-AE"/>
        </w:rPr>
        <w:t>ً</w:t>
      </w:r>
      <w:r w:rsidRPr="00904FCB">
        <w:rPr>
          <w:rFonts w:hint="cs"/>
          <w:sz w:val="27"/>
          <w:rtl/>
          <w:lang w:bidi="ar-AE"/>
        </w:rPr>
        <w:t xml:space="preserve"> كبيرة من التقديس لا حدّ</w:t>
      </w:r>
      <w:r w:rsidR="005756F2" w:rsidRPr="00904FCB">
        <w:rPr>
          <w:rFonts w:hint="cs"/>
          <w:sz w:val="27"/>
          <w:rtl/>
          <w:lang w:bidi="ar-AE"/>
        </w:rPr>
        <w:t>َ</w:t>
      </w:r>
      <w:r w:rsidRPr="00904FCB">
        <w:rPr>
          <w:rFonts w:hint="cs"/>
          <w:sz w:val="27"/>
          <w:rtl/>
          <w:lang w:bidi="ar-AE"/>
        </w:rPr>
        <w:t xml:space="preserve"> لها، وأيّ 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ية تلك التي عرّ</w:t>
      </w:r>
      <w:r w:rsidR="005756F2" w:rsidRPr="00904FCB">
        <w:rPr>
          <w:rFonts w:hint="cs"/>
          <w:sz w:val="27"/>
          <w:rtl/>
          <w:lang w:bidi="ar-AE"/>
        </w:rPr>
        <w:t>َ</w:t>
      </w:r>
      <w:r w:rsidRPr="00904FCB">
        <w:rPr>
          <w:rFonts w:hint="cs"/>
          <w:sz w:val="27"/>
          <w:rtl/>
          <w:lang w:bidi="ar-AE"/>
        </w:rPr>
        <w:t xml:space="preserve">فوها؟! </w:t>
      </w:r>
      <w:r w:rsidR="0074638D" w:rsidRPr="00904FCB">
        <w:rPr>
          <w:rFonts w:hint="cs"/>
          <w:sz w:val="27"/>
          <w:rtl/>
          <w:lang w:bidi="ar-AE"/>
        </w:rPr>
        <w:t xml:space="preserve">إنّها </w:t>
      </w:r>
      <w:r w:rsidRPr="00904FCB">
        <w:rPr>
          <w:rFonts w:hint="cs"/>
          <w:sz w:val="27"/>
          <w:rtl/>
          <w:lang w:bidi="ar-AE"/>
        </w:rPr>
        <w:t>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ية الأهواء والر</w:t>
      </w:r>
      <w:r w:rsidR="0074638D" w:rsidRPr="00904FCB">
        <w:rPr>
          <w:rFonts w:hint="cs"/>
          <w:sz w:val="27"/>
          <w:rtl/>
          <w:lang w:bidi="ar-AE"/>
        </w:rPr>
        <w:t>َّ</w:t>
      </w:r>
      <w:r w:rsidRPr="00904FCB">
        <w:rPr>
          <w:rFonts w:hint="cs"/>
          <w:sz w:val="27"/>
          <w:rtl/>
          <w:lang w:bidi="ar-AE"/>
        </w:rPr>
        <w:t>غ</w:t>
      </w:r>
      <w:r w:rsidR="0074638D" w:rsidRPr="00904FCB">
        <w:rPr>
          <w:rFonts w:hint="cs"/>
          <w:sz w:val="27"/>
          <w:rtl/>
          <w:lang w:bidi="ar-AE"/>
        </w:rPr>
        <w:t>َ</w:t>
      </w:r>
      <w:r w:rsidRPr="00904FCB">
        <w:rPr>
          <w:rFonts w:hint="cs"/>
          <w:sz w:val="27"/>
          <w:rtl/>
          <w:lang w:bidi="ar-AE"/>
        </w:rPr>
        <w:t>بات والشهوات المنفلتة! إلا</w:t>
      </w:r>
      <w:r w:rsidR="005756F2" w:rsidRPr="00904FCB">
        <w:rPr>
          <w:rFonts w:hint="cs"/>
          <w:sz w:val="27"/>
          <w:rtl/>
          <w:lang w:bidi="ar-AE"/>
        </w:rPr>
        <w:t>ّ</w:t>
      </w:r>
      <w:r w:rsidRPr="00904FCB">
        <w:rPr>
          <w:rFonts w:hint="cs"/>
          <w:sz w:val="27"/>
          <w:rtl/>
          <w:lang w:bidi="ar-AE"/>
        </w:rPr>
        <w:t xml:space="preserve"> أن هذه الح</w:t>
      </w:r>
      <w:r w:rsidR="005756F2" w:rsidRPr="00904FCB">
        <w:rPr>
          <w:rFonts w:hint="cs"/>
          <w:sz w:val="27"/>
          <w:rtl/>
          <w:lang w:bidi="ar-AE"/>
        </w:rPr>
        <w:t>ُ</w:t>
      </w:r>
      <w:r w:rsidRPr="00904FCB">
        <w:rPr>
          <w:rFonts w:hint="cs"/>
          <w:sz w:val="27"/>
          <w:rtl/>
          <w:lang w:bidi="ar-AE"/>
        </w:rPr>
        <w:t>ر</w:t>
      </w:r>
      <w:r w:rsidR="005756F2" w:rsidRPr="00904FCB">
        <w:rPr>
          <w:rFonts w:hint="cs"/>
          <w:sz w:val="27"/>
          <w:rtl/>
          <w:lang w:bidi="ar-AE"/>
        </w:rPr>
        <w:t>ِّ</w:t>
      </w:r>
      <w:r w:rsidRPr="00904FCB">
        <w:rPr>
          <w:rFonts w:hint="cs"/>
          <w:sz w:val="27"/>
          <w:rtl/>
          <w:lang w:bidi="ar-AE"/>
        </w:rPr>
        <w:t xml:space="preserve">ية المنفلتة إنما كانت ردّة فعل على ذلك الكبت السياسي والمذهبي الشديد. </w:t>
      </w:r>
    </w:p>
    <w:p w:rsidR="00BF56C8" w:rsidRPr="00904FCB" w:rsidRDefault="00BF56C8" w:rsidP="007A21AA">
      <w:pPr>
        <w:spacing w:line="400" w:lineRule="exact"/>
        <w:rPr>
          <w:sz w:val="27"/>
          <w:rtl/>
          <w:lang w:bidi="ar-AE"/>
        </w:rPr>
      </w:pPr>
      <w:r w:rsidRPr="00904FCB">
        <w:rPr>
          <w:rFonts w:hint="cs"/>
          <w:sz w:val="27"/>
          <w:rtl/>
          <w:lang w:bidi="ar-AE"/>
        </w:rPr>
        <w:t>ولكن</w:t>
      </w:r>
      <w:r w:rsidR="0074638D" w:rsidRPr="00904FCB">
        <w:rPr>
          <w:rFonts w:hint="cs"/>
          <w:sz w:val="27"/>
          <w:rtl/>
          <w:lang w:bidi="ar-AE"/>
        </w:rPr>
        <w:t>ْ</w:t>
      </w:r>
      <w:r w:rsidRPr="00904FCB">
        <w:rPr>
          <w:rFonts w:hint="cs"/>
          <w:sz w:val="27"/>
          <w:rtl/>
          <w:lang w:bidi="ar-AE"/>
        </w:rPr>
        <w:t xml:space="preserve"> منذ أن ظهر تيار الفكر والعقيدة، ورأى بعض المصلحين أن المسؤولية ملقاة على عاتقه في إصلاح المجتمع، لم يع</w:t>
      </w:r>
      <w:r w:rsidR="0074638D" w:rsidRPr="00904FCB">
        <w:rPr>
          <w:rFonts w:hint="cs"/>
          <w:sz w:val="27"/>
          <w:rtl/>
          <w:lang w:bidi="ar-AE"/>
        </w:rPr>
        <w:t>ُ</w:t>
      </w:r>
      <w:r w:rsidRPr="00904FCB">
        <w:rPr>
          <w:rFonts w:hint="cs"/>
          <w:sz w:val="27"/>
          <w:rtl/>
          <w:lang w:bidi="ar-AE"/>
        </w:rPr>
        <w:t>د</w:t>
      </w:r>
      <w:r w:rsidR="0074638D" w:rsidRPr="00904FCB">
        <w:rPr>
          <w:rFonts w:hint="cs"/>
          <w:sz w:val="27"/>
          <w:rtl/>
          <w:lang w:bidi="ar-AE"/>
        </w:rPr>
        <w:t>ْ</w:t>
      </w:r>
      <w:r w:rsidRPr="00904FCB">
        <w:rPr>
          <w:rFonts w:hint="cs"/>
          <w:sz w:val="27"/>
          <w:rtl/>
          <w:lang w:bidi="ar-AE"/>
        </w:rPr>
        <w:t xml:space="preserve"> للح</w:t>
      </w:r>
      <w:r w:rsidR="0074638D" w:rsidRPr="00904FCB">
        <w:rPr>
          <w:rFonts w:hint="cs"/>
          <w:sz w:val="27"/>
          <w:rtl/>
          <w:lang w:bidi="ar-AE"/>
        </w:rPr>
        <w:t>ُ</w:t>
      </w:r>
      <w:r w:rsidRPr="00904FCB">
        <w:rPr>
          <w:rFonts w:hint="cs"/>
          <w:sz w:val="27"/>
          <w:rtl/>
          <w:lang w:bidi="ar-AE"/>
        </w:rPr>
        <w:t>ر</w:t>
      </w:r>
      <w:r w:rsidR="0074638D" w:rsidRPr="00904FCB">
        <w:rPr>
          <w:rFonts w:hint="cs"/>
          <w:sz w:val="27"/>
          <w:rtl/>
          <w:lang w:bidi="ar-AE"/>
        </w:rPr>
        <w:t>ِّ</w:t>
      </w:r>
      <w:r w:rsidRPr="00904FCB">
        <w:rPr>
          <w:rFonts w:hint="cs"/>
          <w:sz w:val="27"/>
          <w:rtl/>
          <w:lang w:bidi="ar-AE"/>
        </w:rPr>
        <w:t>ية الفردية ذلك الزخم بينهم. فهل هناك اليوم تيار اجتماعي عام</w:t>
      </w:r>
      <w:r w:rsidR="0074638D" w:rsidRPr="00904FCB">
        <w:rPr>
          <w:rFonts w:hint="cs"/>
          <w:sz w:val="27"/>
          <w:rtl/>
          <w:lang w:bidi="ar-AE"/>
        </w:rPr>
        <w:t>ّ</w:t>
      </w:r>
      <w:r w:rsidRPr="00904FCB">
        <w:rPr>
          <w:rFonts w:hint="cs"/>
          <w:sz w:val="27"/>
          <w:rtl/>
          <w:lang w:bidi="ar-AE"/>
        </w:rPr>
        <w:t xml:space="preserve"> ـ من قبيل</w:t>
      </w:r>
      <w:r w:rsidR="0074638D" w:rsidRPr="00904FCB">
        <w:rPr>
          <w:rFonts w:hint="cs"/>
          <w:sz w:val="27"/>
          <w:rtl/>
          <w:lang w:bidi="ar-AE"/>
        </w:rPr>
        <w:t>:</w:t>
      </w:r>
      <w:r w:rsidRPr="00904FCB">
        <w:rPr>
          <w:rFonts w:hint="cs"/>
          <w:sz w:val="27"/>
          <w:rtl/>
          <w:lang w:bidi="ar-AE"/>
        </w:rPr>
        <w:t xml:space="preserve"> ما كانت المذاهب تراه ملقى على عاتقها، حيث ترى أنها حاملة لرسالة إلى البشرية، وترى أن سعادة البشرية رهن</w:t>
      </w:r>
      <w:r w:rsidR="0074638D" w:rsidRPr="00904FCB">
        <w:rPr>
          <w:rFonts w:hint="cs"/>
          <w:sz w:val="27"/>
          <w:rtl/>
          <w:lang w:bidi="ar-AE"/>
        </w:rPr>
        <w:t>ٌ</w:t>
      </w:r>
      <w:r w:rsidRPr="00904FCB">
        <w:rPr>
          <w:rFonts w:hint="cs"/>
          <w:sz w:val="27"/>
          <w:rtl/>
          <w:lang w:bidi="ar-AE"/>
        </w:rPr>
        <w:t xml:space="preserve"> بتطبيق تلك </w:t>
      </w:r>
      <w:r w:rsidRPr="00904FCB">
        <w:rPr>
          <w:rFonts w:hint="cs"/>
          <w:sz w:val="27"/>
          <w:rtl/>
          <w:lang w:bidi="ar-AE"/>
        </w:rPr>
        <w:lastRenderedPageBreak/>
        <w:t>الرسالة ـ لا يعتقد بوجوب فرض بعض الحدود والقيود على الح</w:t>
      </w:r>
      <w:r w:rsidR="0074638D" w:rsidRPr="00904FCB">
        <w:rPr>
          <w:rFonts w:hint="cs"/>
          <w:sz w:val="27"/>
          <w:rtl/>
          <w:lang w:bidi="ar-AE"/>
        </w:rPr>
        <w:t>ُ</w:t>
      </w:r>
      <w:r w:rsidRPr="00904FCB">
        <w:rPr>
          <w:rFonts w:hint="cs"/>
          <w:sz w:val="27"/>
          <w:rtl/>
          <w:lang w:bidi="ar-AE"/>
        </w:rPr>
        <w:t>ر</w:t>
      </w:r>
      <w:r w:rsidR="0074638D" w:rsidRPr="00904FCB">
        <w:rPr>
          <w:rFonts w:hint="cs"/>
          <w:sz w:val="27"/>
          <w:rtl/>
          <w:lang w:bidi="ar-AE"/>
        </w:rPr>
        <w:t>ِّ</w:t>
      </w:r>
      <w:r w:rsidRPr="00904FCB">
        <w:rPr>
          <w:rFonts w:hint="cs"/>
          <w:sz w:val="27"/>
          <w:rtl/>
          <w:lang w:bidi="ar-AE"/>
        </w:rPr>
        <w:t>يات الفردية، ب</w:t>
      </w:r>
      <w:r w:rsidR="0074638D" w:rsidRPr="00904FCB">
        <w:rPr>
          <w:rFonts w:hint="cs"/>
          <w:sz w:val="27"/>
          <w:rtl/>
          <w:lang w:bidi="ar-AE"/>
        </w:rPr>
        <w:t>َ</w:t>
      </w:r>
      <w:r w:rsidRPr="00904FCB">
        <w:rPr>
          <w:rFonts w:hint="cs"/>
          <w:sz w:val="27"/>
          <w:rtl/>
          <w:lang w:bidi="ar-AE"/>
        </w:rPr>
        <w:t>ي</w:t>
      </w:r>
      <w:r w:rsidR="0074638D" w:rsidRPr="00904FCB">
        <w:rPr>
          <w:rFonts w:hint="cs"/>
          <w:sz w:val="27"/>
          <w:rtl/>
          <w:lang w:bidi="ar-AE"/>
        </w:rPr>
        <w:t>ْ</w:t>
      </w:r>
      <w:r w:rsidRPr="00904FCB">
        <w:rPr>
          <w:rFonts w:hint="cs"/>
          <w:sz w:val="27"/>
          <w:rtl/>
          <w:lang w:bidi="ar-AE"/>
        </w:rPr>
        <w:t>د</w:t>
      </w:r>
      <w:r w:rsidR="0074638D" w:rsidRPr="00904FCB">
        <w:rPr>
          <w:rFonts w:hint="cs"/>
          <w:sz w:val="27"/>
          <w:rtl/>
          <w:lang w:bidi="ar-AE"/>
        </w:rPr>
        <w:t>َ</w:t>
      </w:r>
      <w:r w:rsidRPr="00904FCB">
        <w:rPr>
          <w:rFonts w:hint="cs"/>
          <w:sz w:val="27"/>
          <w:rtl/>
          <w:lang w:bidi="ar-AE"/>
        </w:rPr>
        <w:t xml:space="preserve"> أن تلك القيود والحدود إنما تفرض على رغبات الأفراد</w:t>
      </w:r>
      <w:r w:rsidR="0074638D" w:rsidRPr="00904FCB">
        <w:rPr>
          <w:rFonts w:hint="cs"/>
          <w:sz w:val="27"/>
          <w:rtl/>
          <w:lang w:bidi="ar-AE"/>
        </w:rPr>
        <w:t>،</w:t>
      </w:r>
      <w:r w:rsidRPr="00904FCB">
        <w:rPr>
          <w:rFonts w:hint="cs"/>
          <w:sz w:val="27"/>
          <w:rtl/>
          <w:lang w:bidi="ar-AE"/>
        </w:rPr>
        <w:t xml:space="preserve"> لا على سعادتهم. فالفرد لا يدرك ولا يمكن لعقله أن يستوعب أن صلاحه وصلاح الناس يكمن في تقييد هذا النوع من الح</w:t>
      </w:r>
      <w:r w:rsidR="0074638D" w:rsidRPr="00904FCB">
        <w:rPr>
          <w:rFonts w:hint="cs"/>
          <w:sz w:val="27"/>
          <w:rtl/>
          <w:lang w:bidi="ar-AE"/>
        </w:rPr>
        <w:t>ُ</w:t>
      </w:r>
      <w:r w:rsidRPr="00904FCB">
        <w:rPr>
          <w:rFonts w:hint="cs"/>
          <w:sz w:val="27"/>
          <w:rtl/>
          <w:lang w:bidi="ar-AE"/>
        </w:rPr>
        <w:t>ر</w:t>
      </w:r>
      <w:r w:rsidR="0074638D" w:rsidRPr="00904FCB">
        <w:rPr>
          <w:rFonts w:hint="cs"/>
          <w:sz w:val="27"/>
          <w:rtl/>
          <w:lang w:bidi="ar-AE"/>
        </w:rPr>
        <w:t>ِّ</w:t>
      </w:r>
      <w:r w:rsidRPr="00904FCB">
        <w:rPr>
          <w:rFonts w:hint="cs"/>
          <w:sz w:val="27"/>
          <w:rtl/>
          <w:lang w:bidi="ar-AE"/>
        </w:rPr>
        <w:t xml:space="preserve">يات. </w:t>
      </w:r>
    </w:p>
    <w:p w:rsidR="00BF56C8" w:rsidRPr="00904FCB" w:rsidRDefault="00BF56C8" w:rsidP="007A21AA">
      <w:pPr>
        <w:spacing w:line="400" w:lineRule="exact"/>
        <w:rPr>
          <w:sz w:val="27"/>
          <w:rtl/>
          <w:lang w:bidi="ar-AE"/>
        </w:rPr>
      </w:pPr>
      <w:r w:rsidRPr="00904FCB">
        <w:rPr>
          <w:rFonts w:hint="cs"/>
          <w:sz w:val="27"/>
          <w:rtl/>
          <w:lang w:bidi="ar-AE"/>
        </w:rPr>
        <w:t>من هنا فقد اختلفت تعاريف الح</w:t>
      </w:r>
      <w:r w:rsidR="0074638D" w:rsidRPr="00904FCB">
        <w:rPr>
          <w:rFonts w:hint="cs"/>
          <w:sz w:val="27"/>
          <w:rtl/>
          <w:lang w:bidi="ar-AE"/>
        </w:rPr>
        <w:t>ُ</w:t>
      </w:r>
      <w:r w:rsidRPr="00904FCB">
        <w:rPr>
          <w:rFonts w:hint="cs"/>
          <w:sz w:val="27"/>
          <w:rtl/>
          <w:lang w:bidi="ar-AE"/>
        </w:rPr>
        <w:t>ر</w:t>
      </w:r>
      <w:r w:rsidR="0074638D" w:rsidRPr="00904FCB">
        <w:rPr>
          <w:rFonts w:hint="cs"/>
          <w:sz w:val="27"/>
          <w:rtl/>
          <w:lang w:bidi="ar-AE"/>
        </w:rPr>
        <w:t>ِّ</w:t>
      </w:r>
      <w:r w:rsidRPr="00904FCB">
        <w:rPr>
          <w:rFonts w:hint="cs"/>
          <w:sz w:val="27"/>
          <w:rtl/>
          <w:lang w:bidi="ar-AE"/>
        </w:rPr>
        <w:t>ية في المراحل اللاحقة، فلم يعودوا يقولون: إن الح</w:t>
      </w:r>
      <w:r w:rsidR="0074638D" w:rsidRPr="00904FCB">
        <w:rPr>
          <w:rFonts w:hint="cs"/>
          <w:sz w:val="27"/>
          <w:rtl/>
          <w:lang w:bidi="ar-AE"/>
        </w:rPr>
        <w:t>ُ</w:t>
      </w:r>
      <w:r w:rsidRPr="00904FCB">
        <w:rPr>
          <w:rFonts w:hint="cs"/>
          <w:sz w:val="27"/>
          <w:rtl/>
          <w:lang w:bidi="ar-AE"/>
        </w:rPr>
        <w:t>ر</w:t>
      </w:r>
      <w:r w:rsidR="0074638D" w:rsidRPr="00904FCB">
        <w:rPr>
          <w:rFonts w:hint="cs"/>
          <w:sz w:val="27"/>
          <w:rtl/>
          <w:lang w:bidi="ar-AE"/>
        </w:rPr>
        <w:t>ِّ</w:t>
      </w:r>
      <w:r w:rsidRPr="00904FCB">
        <w:rPr>
          <w:rFonts w:hint="cs"/>
          <w:sz w:val="27"/>
          <w:rtl/>
          <w:lang w:bidi="ar-AE"/>
        </w:rPr>
        <w:t>ية تعني عدم وجود الموانع أمام الحركات، أو عدم وجود الموانع في مواجهة الرغبات، وإن</w:t>
      </w:r>
      <w:r w:rsidR="0074638D" w:rsidRPr="00904FCB">
        <w:rPr>
          <w:rFonts w:hint="cs"/>
          <w:sz w:val="27"/>
          <w:rtl/>
          <w:lang w:bidi="ar-AE"/>
        </w:rPr>
        <w:t>ْ</w:t>
      </w:r>
      <w:r w:rsidRPr="00904FCB">
        <w:rPr>
          <w:rFonts w:hint="cs"/>
          <w:sz w:val="27"/>
          <w:rtl/>
          <w:lang w:bidi="ar-AE"/>
        </w:rPr>
        <w:t xml:space="preserve"> أخذوا يعرّ</w:t>
      </w:r>
      <w:r w:rsidR="0074638D" w:rsidRPr="00904FCB">
        <w:rPr>
          <w:rFonts w:hint="cs"/>
          <w:sz w:val="27"/>
          <w:rtl/>
          <w:lang w:bidi="ar-AE"/>
        </w:rPr>
        <w:t>ِ</w:t>
      </w:r>
      <w:r w:rsidRPr="00904FCB">
        <w:rPr>
          <w:rFonts w:hint="cs"/>
          <w:sz w:val="27"/>
          <w:rtl/>
          <w:lang w:bidi="ar-AE"/>
        </w:rPr>
        <w:t>فون الح</w:t>
      </w:r>
      <w:r w:rsidR="0074638D" w:rsidRPr="00904FCB">
        <w:rPr>
          <w:rFonts w:hint="cs"/>
          <w:sz w:val="27"/>
          <w:rtl/>
          <w:lang w:bidi="ar-AE"/>
        </w:rPr>
        <w:t>ُ</w:t>
      </w:r>
      <w:r w:rsidRPr="00904FCB">
        <w:rPr>
          <w:rFonts w:hint="cs"/>
          <w:sz w:val="27"/>
          <w:rtl/>
          <w:lang w:bidi="ar-AE"/>
        </w:rPr>
        <w:t>ر</w:t>
      </w:r>
      <w:r w:rsidR="0074638D" w:rsidRPr="00904FCB">
        <w:rPr>
          <w:rFonts w:hint="cs"/>
          <w:sz w:val="27"/>
          <w:rtl/>
          <w:lang w:bidi="ar-AE"/>
        </w:rPr>
        <w:t>ِّ</w:t>
      </w:r>
      <w:r w:rsidRPr="00904FCB">
        <w:rPr>
          <w:rFonts w:hint="cs"/>
          <w:sz w:val="27"/>
          <w:rtl/>
          <w:lang w:bidi="ar-AE"/>
        </w:rPr>
        <w:t>ية بأنها عدم وجود الموانع أمام الظروف التي من شأنها ضمان سعادة الإنسان في المستقبل. أفهل تقوم رغبات ومطالب جميع الأفراد على أساس ضمان السعادة لمستقل البشرية؟ كلا</w:t>
      </w:r>
      <w:r w:rsidR="0074638D" w:rsidRPr="00904FCB">
        <w:rPr>
          <w:rFonts w:hint="cs"/>
          <w:sz w:val="27"/>
          <w:rtl/>
          <w:lang w:bidi="ar-AE"/>
        </w:rPr>
        <w:t>ّ</w:t>
      </w:r>
      <w:r w:rsidRPr="00904FCB">
        <w:rPr>
          <w:rFonts w:hint="cs"/>
          <w:sz w:val="27"/>
          <w:rtl/>
          <w:lang w:bidi="ar-AE"/>
        </w:rPr>
        <w:t>، ليس الأمر كذلك. إنما الذي يضمن السعادة للبشرية في المستقبل هو عدم وجود الموانع أمام ما من شأنه أن يضمن تلك السعادة. يمكن لكم العمل على هذه المسألة لتر</w:t>
      </w:r>
      <w:r w:rsidR="0074638D" w:rsidRPr="00904FCB">
        <w:rPr>
          <w:rFonts w:hint="cs"/>
          <w:sz w:val="27"/>
          <w:rtl/>
          <w:lang w:bidi="ar-AE"/>
        </w:rPr>
        <w:t>َ</w:t>
      </w:r>
      <w:r w:rsidRPr="00904FCB">
        <w:rPr>
          <w:rFonts w:hint="cs"/>
          <w:sz w:val="27"/>
          <w:rtl/>
          <w:lang w:bidi="ar-AE"/>
        </w:rPr>
        <w:t>و</w:t>
      </w:r>
      <w:r w:rsidR="0074638D" w:rsidRPr="00904FCB">
        <w:rPr>
          <w:rFonts w:hint="cs"/>
          <w:sz w:val="27"/>
          <w:rtl/>
          <w:lang w:bidi="ar-AE"/>
        </w:rPr>
        <w:t>ْ</w:t>
      </w:r>
      <w:r w:rsidRPr="00904FCB">
        <w:rPr>
          <w:rFonts w:hint="cs"/>
          <w:sz w:val="27"/>
          <w:rtl/>
          <w:lang w:bidi="ar-AE"/>
        </w:rPr>
        <w:t>ا</w:t>
      </w:r>
      <w:r w:rsidR="0074638D" w:rsidRPr="00904FCB">
        <w:rPr>
          <w:rFonts w:hint="cs"/>
          <w:sz w:val="27"/>
          <w:rtl/>
          <w:lang w:bidi="ar-AE"/>
        </w:rPr>
        <w:t xml:space="preserve"> هل </w:t>
      </w:r>
      <w:r w:rsidRPr="00904FCB">
        <w:rPr>
          <w:rFonts w:hint="cs"/>
          <w:sz w:val="27"/>
          <w:rtl/>
          <w:lang w:bidi="ar-AE"/>
        </w:rPr>
        <w:t xml:space="preserve">أن العقائد والتيارات الراهنة، </w:t>
      </w:r>
      <w:r w:rsidR="0074638D" w:rsidRPr="00904FCB">
        <w:rPr>
          <w:rFonts w:hint="cs"/>
          <w:sz w:val="27"/>
          <w:rtl/>
          <w:lang w:bidi="ar-AE"/>
        </w:rPr>
        <w:t>ومن</w:t>
      </w:r>
      <w:r w:rsidRPr="00904FCB">
        <w:rPr>
          <w:rFonts w:hint="cs"/>
          <w:sz w:val="27"/>
          <w:rtl/>
          <w:lang w:bidi="ar-AE"/>
        </w:rPr>
        <w:t>ها العقائد العام</w:t>
      </w:r>
      <w:r w:rsidR="0074638D" w:rsidRPr="00904FCB">
        <w:rPr>
          <w:rFonts w:hint="cs"/>
          <w:sz w:val="27"/>
          <w:rtl/>
          <w:lang w:bidi="ar-AE"/>
        </w:rPr>
        <w:t>ّ</w:t>
      </w:r>
      <w:r w:rsidRPr="00904FCB">
        <w:rPr>
          <w:rFonts w:hint="cs"/>
          <w:sz w:val="27"/>
          <w:rtl/>
          <w:lang w:bidi="ar-AE"/>
        </w:rPr>
        <w:t>ة والبشرية والرسالة التاريخية الراهنة (والتي لا علاقة لها بالدين)</w:t>
      </w:r>
      <w:r w:rsidR="0074638D" w:rsidRPr="00904FCB">
        <w:rPr>
          <w:rFonts w:hint="cs"/>
          <w:sz w:val="27"/>
          <w:rtl/>
          <w:lang w:bidi="ar-AE"/>
        </w:rPr>
        <w:t>،</w:t>
      </w:r>
      <w:r w:rsidRPr="00904FCB">
        <w:rPr>
          <w:rFonts w:hint="cs"/>
          <w:sz w:val="27"/>
          <w:rtl/>
          <w:lang w:bidi="ar-AE"/>
        </w:rPr>
        <w:t xml:space="preserve"> تعيد نفس التعريف الذي كان سائداً في القرن الثامن عشر للميلاد بشأن ح</w:t>
      </w:r>
      <w:r w:rsidR="0074638D" w:rsidRPr="00904FCB">
        <w:rPr>
          <w:rFonts w:hint="cs"/>
          <w:sz w:val="27"/>
          <w:rtl/>
          <w:lang w:bidi="ar-AE"/>
        </w:rPr>
        <w:t>ُ</w:t>
      </w:r>
      <w:r w:rsidRPr="00904FCB">
        <w:rPr>
          <w:rFonts w:hint="cs"/>
          <w:sz w:val="27"/>
          <w:rtl/>
          <w:lang w:bidi="ar-AE"/>
        </w:rPr>
        <w:t>ر</w:t>
      </w:r>
      <w:r w:rsidR="0074638D" w:rsidRPr="00904FCB">
        <w:rPr>
          <w:rFonts w:hint="cs"/>
          <w:sz w:val="27"/>
          <w:rtl/>
          <w:lang w:bidi="ar-AE"/>
        </w:rPr>
        <w:t>ِّ</w:t>
      </w:r>
      <w:r w:rsidRPr="00904FCB">
        <w:rPr>
          <w:rFonts w:hint="cs"/>
          <w:sz w:val="27"/>
          <w:rtl/>
          <w:lang w:bidi="ar-AE"/>
        </w:rPr>
        <w:t>ية العقيدة، التي كانت تمث</w:t>
      </w:r>
      <w:r w:rsidR="0074638D" w:rsidRPr="00904FCB">
        <w:rPr>
          <w:rFonts w:hint="cs"/>
          <w:sz w:val="27"/>
          <w:rtl/>
          <w:lang w:bidi="ar-AE"/>
        </w:rPr>
        <w:t>ِّ</w:t>
      </w:r>
      <w:r w:rsidRPr="00904FCB">
        <w:rPr>
          <w:rFonts w:hint="cs"/>
          <w:sz w:val="27"/>
          <w:rtl/>
          <w:lang w:bidi="ar-AE"/>
        </w:rPr>
        <w:t>ل ردّة فعل</w:t>
      </w:r>
      <w:r w:rsidR="0074638D" w:rsidRPr="00904FCB">
        <w:rPr>
          <w:rFonts w:hint="cs"/>
          <w:sz w:val="27"/>
          <w:rtl/>
          <w:lang w:bidi="ar-AE"/>
        </w:rPr>
        <w:t>ٍ</w:t>
      </w:r>
      <w:r w:rsidRPr="00904FCB">
        <w:rPr>
          <w:rFonts w:hint="cs"/>
          <w:sz w:val="27"/>
          <w:rtl/>
          <w:lang w:bidi="ar-AE"/>
        </w:rPr>
        <w:t xml:space="preserve"> طبيعية على أجواء الكبت السياسي والمذهبي، والتي أوصلت الناس إلى حدّ الانفجار</w:t>
      </w:r>
      <w:r w:rsidR="00471B5C" w:rsidRPr="00904FCB">
        <w:rPr>
          <w:rFonts w:hint="cs"/>
          <w:sz w:val="27"/>
          <w:rtl/>
          <w:lang w:bidi="ar-AE"/>
        </w:rPr>
        <w:t>،</w:t>
      </w:r>
      <w:r w:rsidRPr="00904FCB">
        <w:rPr>
          <w:rFonts w:hint="cs"/>
          <w:sz w:val="27"/>
          <w:rtl/>
          <w:lang w:bidi="ar-AE"/>
        </w:rPr>
        <w:t xml:space="preserve"> أو أننا نقوم اليوم باجترار كلامهم؟ اليوم نرى البلدان التي تحمل على عاتقها رسالة تمنح مواطنيها بعض الح</w:t>
      </w:r>
      <w:r w:rsidR="00471B5C" w:rsidRPr="00904FCB">
        <w:rPr>
          <w:rFonts w:hint="cs"/>
          <w:sz w:val="27"/>
          <w:rtl/>
          <w:lang w:bidi="ar-AE"/>
        </w:rPr>
        <w:t>ُ</w:t>
      </w:r>
      <w:r w:rsidRPr="00904FCB">
        <w:rPr>
          <w:rFonts w:hint="cs"/>
          <w:sz w:val="27"/>
          <w:rtl/>
          <w:lang w:bidi="ar-AE"/>
        </w:rPr>
        <w:t>ر</w:t>
      </w:r>
      <w:r w:rsidR="00471B5C" w:rsidRPr="00904FCB">
        <w:rPr>
          <w:rFonts w:hint="cs"/>
          <w:sz w:val="27"/>
          <w:rtl/>
          <w:lang w:bidi="ar-AE"/>
        </w:rPr>
        <w:t>ِّ</w:t>
      </w:r>
      <w:r w:rsidRPr="00904FCB">
        <w:rPr>
          <w:rFonts w:hint="cs"/>
          <w:sz w:val="27"/>
          <w:rtl/>
          <w:lang w:bidi="ar-AE"/>
        </w:rPr>
        <w:t xml:space="preserve">يات، </w:t>
      </w:r>
      <w:r w:rsidR="00471B5C" w:rsidRPr="00904FCB">
        <w:rPr>
          <w:rFonts w:hint="cs"/>
          <w:sz w:val="27"/>
          <w:rtl/>
          <w:lang w:bidi="ar-AE"/>
        </w:rPr>
        <w:t>وفي الوقت نفسه</w:t>
      </w:r>
      <w:r w:rsidRPr="00904FCB">
        <w:rPr>
          <w:rFonts w:hint="cs"/>
          <w:sz w:val="27"/>
          <w:rtl/>
          <w:lang w:bidi="ar-AE"/>
        </w:rPr>
        <w:t xml:space="preserve"> تشرف على مراقبة كل</w:t>
      </w:r>
      <w:r w:rsidR="00471B5C" w:rsidRPr="00904FCB">
        <w:rPr>
          <w:rFonts w:hint="cs"/>
          <w:sz w:val="27"/>
          <w:rtl/>
          <w:lang w:bidi="ar-AE"/>
        </w:rPr>
        <w:t>ّ</w:t>
      </w:r>
      <w:r w:rsidRPr="00904FCB">
        <w:rPr>
          <w:rFonts w:hint="cs"/>
          <w:sz w:val="27"/>
          <w:rtl/>
          <w:lang w:bidi="ar-AE"/>
        </w:rPr>
        <w:t xml:space="preserve"> شيء</w:t>
      </w:r>
      <w:r w:rsidR="00471B5C" w:rsidRPr="00904FCB">
        <w:rPr>
          <w:rFonts w:hint="cs"/>
          <w:sz w:val="27"/>
          <w:rtl/>
          <w:lang w:bidi="ar-AE"/>
        </w:rPr>
        <w:t>ٍ</w:t>
      </w:r>
      <w:r w:rsidRPr="00904FCB">
        <w:rPr>
          <w:rFonts w:hint="cs"/>
          <w:sz w:val="27"/>
          <w:rtl/>
          <w:lang w:bidi="ar-AE"/>
        </w:rPr>
        <w:t>، ابتداء</w:t>
      </w:r>
      <w:r w:rsidR="00471B5C" w:rsidRPr="00904FCB">
        <w:rPr>
          <w:rFonts w:hint="cs"/>
          <w:sz w:val="27"/>
          <w:rtl/>
          <w:lang w:bidi="ar-AE"/>
        </w:rPr>
        <w:t>ً</w:t>
      </w:r>
      <w:r w:rsidRPr="00904FCB">
        <w:rPr>
          <w:rFonts w:hint="cs"/>
          <w:sz w:val="27"/>
          <w:rtl/>
          <w:lang w:bidi="ar-AE"/>
        </w:rPr>
        <w:t xml:space="preserve"> من دور السينما، وصولاً إلى الموسيقى. </w:t>
      </w:r>
      <w:r w:rsidR="00471B5C" w:rsidRPr="00904FCB">
        <w:rPr>
          <w:rFonts w:hint="cs"/>
          <w:sz w:val="27"/>
          <w:rtl/>
          <w:lang w:bidi="ar-AE"/>
        </w:rPr>
        <w:t xml:space="preserve">فالذين يريدون الخير يقولون: </w:t>
      </w:r>
      <w:r w:rsidRPr="00904FCB">
        <w:rPr>
          <w:rFonts w:hint="cs"/>
          <w:sz w:val="27"/>
          <w:rtl/>
          <w:lang w:bidi="ar-AE"/>
        </w:rPr>
        <w:t xml:space="preserve">يمكن توجيه السينما والموسيقى والكتاب وما إلى ذلك لما يخدم مصالح الناس. </w:t>
      </w:r>
      <w:r w:rsidR="0051752E" w:rsidRPr="00904FCB">
        <w:rPr>
          <w:rFonts w:hint="cs"/>
          <w:sz w:val="27"/>
          <w:rtl/>
          <w:lang w:bidi="ar-AE"/>
        </w:rPr>
        <w:t>وإذا كانوا لا يوافقون هذه الأمور، لكنّهم</w:t>
      </w:r>
      <w:r w:rsidRPr="00904FCB">
        <w:rPr>
          <w:rFonts w:hint="cs"/>
          <w:sz w:val="27"/>
          <w:rtl/>
          <w:lang w:bidi="ar-AE"/>
        </w:rPr>
        <w:t xml:space="preserve"> لا يمنعونها ولا يرفضونها. </w:t>
      </w:r>
    </w:p>
    <w:p w:rsidR="00BF56C8" w:rsidRPr="00904FCB" w:rsidRDefault="00BF56C8" w:rsidP="007A21AA">
      <w:pPr>
        <w:spacing w:line="400" w:lineRule="exact"/>
        <w:rPr>
          <w:sz w:val="27"/>
          <w:rtl/>
          <w:lang w:bidi="ar-AE"/>
        </w:rPr>
      </w:pPr>
      <w:r w:rsidRPr="00904FCB">
        <w:rPr>
          <w:rFonts w:hint="cs"/>
          <w:sz w:val="27"/>
          <w:rtl/>
          <w:lang w:bidi="ar-AE"/>
        </w:rPr>
        <w:t>من أين للشخص اليافع</w:t>
      </w:r>
      <w:r w:rsidR="00527E12">
        <w:rPr>
          <w:rFonts w:hint="cs"/>
          <w:sz w:val="27"/>
          <w:rtl/>
          <w:lang w:bidi="ar-AE"/>
        </w:rPr>
        <w:t>،</w:t>
      </w:r>
      <w:r w:rsidRPr="00904FCB">
        <w:rPr>
          <w:rFonts w:hint="cs"/>
          <w:sz w:val="27"/>
          <w:rtl/>
          <w:lang w:bidi="ar-AE"/>
        </w:rPr>
        <w:t xml:space="preserve"> البالغ ثمانية عشر عاماً</w:t>
      </w:r>
      <w:r w:rsidR="00527E12">
        <w:rPr>
          <w:rFonts w:hint="cs"/>
          <w:sz w:val="27"/>
          <w:rtl/>
          <w:lang w:bidi="ar-AE"/>
        </w:rPr>
        <w:t>،</w:t>
      </w:r>
      <w:r w:rsidRPr="00904FCB">
        <w:rPr>
          <w:rFonts w:hint="cs"/>
          <w:sz w:val="27"/>
          <w:rtl/>
          <w:lang w:bidi="ar-AE"/>
        </w:rPr>
        <w:t xml:space="preserve"> أن يعرف مضمون العرض السينمائي الذي يريد مشاهدته، أو محتوى الكتاب الذي ينوي قراءته؟ من هنا يرى قادة المجتمع لأنفسهم هذا المقدار من الحق</w:t>
      </w:r>
      <w:r w:rsidR="00471B5C" w:rsidRPr="00904FCB">
        <w:rPr>
          <w:rFonts w:hint="cs"/>
          <w:sz w:val="27"/>
          <w:rtl/>
          <w:lang w:bidi="ar-AE"/>
        </w:rPr>
        <w:t>ّ</w:t>
      </w:r>
      <w:r w:rsidRPr="00904FCB">
        <w:rPr>
          <w:rFonts w:hint="cs"/>
          <w:sz w:val="27"/>
          <w:rtl/>
          <w:lang w:bidi="ar-AE"/>
        </w:rPr>
        <w:t xml:space="preserve"> والولاية القانونية</w:t>
      </w:r>
      <w:r w:rsidR="00471B5C" w:rsidRPr="00904FCB">
        <w:rPr>
          <w:rFonts w:hint="cs"/>
          <w:sz w:val="27"/>
          <w:rtl/>
          <w:lang w:bidi="ar-AE"/>
        </w:rPr>
        <w:t>؛</w:t>
      </w:r>
      <w:r w:rsidRPr="00904FCB">
        <w:rPr>
          <w:rFonts w:hint="cs"/>
          <w:sz w:val="27"/>
          <w:rtl/>
          <w:lang w:bidi="ar-AE"/>
        </w:rPr>
        <w:t xml:space="preserve"> ليتولوا مهمة القيمومة لضمان مصالح الناس. فإذا أمكن لهذا التي</w:t>
      </w:r>
      <w:r w:rsidR="00471B5C" w:rsidRPr="00904FCB">
        <w:rPr>
          <w:rFonts w:hint="cs"/>
          <w:sz w:val="27"/>
          <w:rtl/>
          <w:lang w:bidi="ar-AE"/>
        </w:rPr>
        <w:t>ّ</w:t>
      </w:r>
      <w:r w:rsidRPr="00904FCB">
        <w:rPr>
          <w:rFonts w:hint="cs"/>
          <w:sz w:val="27"/>
          <w:rtl/>
          <w:lang w:bidi="ar-AE"/>
        </w:rPr>
        <w:t>ار البشري أن يقوم بهذا النوع من القوامة ألا يحقّ للتي</w:t>
      </w:r>
      <w:r w:rsidR="00471B5C" w:rsidRPr="00904FCB">
        <w:rPr>
          <w:rFonts w:hint="cs"/>
          <w:sz w:val="27"/>
          <w:rtl/>
          <w:lang w:bidi="ar-AE"/>
        </w:rPr>
        <w:t>ّ</w:t>
      </w:r>
      <w:r w:rsidRPr="00904FCB">
        <w:rPr>
          <w:rFonts w:hint="cs"/>
          <w:sz w:val="27"/>
          <w:rtl/>
          <w:lang w:bidi="ar-AE"/>
        </w:rPr>
        <w:t>ار الإلهي أن يرى لنفسه مثل هذه الولاية والقيمومة؟ وأن يرى لنفسه الحق</w:t>
      </w:r>
      <w:r w:rsidR="00471B5C" w:rsidRPr="00904FCB">
        <w:rPr>
          <w:rFonts w:hint="cs"/>
          <w:sz w:val="27"/>
          <w:rtl/>
          <w:lang w:bidi="ar-AE"/>
        </w:rPr>
        <w:t>ّ</w:t>
      </w:r>
      <w:r w:rsidRPr="00904FCB">
        <w:rPr>
          <w:rFonts w:hint="cs"/>
          <w:sz w:val="27"/>
          <w:rtl/>
          <w:lang w:bidi="ar-AE"/>
        </w:rPr>
        <w:t xml:space="preserve"> في إصلاح البشر بما يعود بالنفع عليه، لا بالشكل الذي يريده استجابة لرغباته </w:t>
      </w:r>
      <w:r w:rsidRPr="00904FCB">
        <w:rPr>
          <w:rFonts w:hint="cs"/>
          <w:sz w:val="27"/>
          <w:rtl/>
          <w:lang w:bidi="ar-AE"/>
        </w:rPr>
        <w:lastRenderedPageBreak/>
        <w:t>وأهوائه تحت ذريعة القول بأنه ح</w:t>
      </w:r>
      <w:r w:rsidR="00471B5C" w:rsidRPr="00904FCB">
        <w:rPr>
          <w:rFonts w:hint="cs"/>
          <w:sz w:val="27"/>
          <w:rtl/>
          <w:lang w:bidi="ar-AE"/>
        </w:rPr>
        <w:t>ُ</w:t>
      </w:r>
      <w:r w:rsidRPr="00904FCB">
        <w:rPr>
          <w:rFonts w:hint="cs"/>
          <w:sz w:val="27"/>
          <w:rtl/>
          <w:lang w:bidi="ar-AE"/>
        </w:rPr>
        <w:t>رّ</w:t>
      </w:r>
      <w:r w:rsidR="00471B5C" w:rsidRPr="00904FCB">
        <w:rPr>
          <w:rFonts w:hint="cs"/>
          <w:sz w:val="27"/>
          <w:rtl/>
          <w:lang w:bidi="ar-AE"/>
        </w:rPr>
        <w:t>ٌ</w:t>
      </w:r>
      <w:r w:rsidRPr="00904FCB">
        <w:rPr>
          <w:rFonts w:hint="cs"/>
          <w:sz w:val="27"/>
          <w:rtl/>
          <w:lang w:bidi="ar-AE"/>
        </w:rPr>
        <w:t xml:space="preserve">؟ </w:t>
      </w:r>
    </w:p>
    <w:p w:rsidR="00BF56C8" w:rsidRPr="00904FCB" w:rsidRDefault="00BF56C8" w:rsidP="007A21AA">
      <w:pPr>
        <w:spacing w:line="400" w:lineRule="exact"/>
        <w:rPr>
          <w:sz w:val="27"/>
          <w:rtl/>
          <w:lang w:bidi="ar-AE"/>
        </w:rPr>
      </w:pPr>
    </w:p>
    <w:p w:rsidR="00BF56C8" w:rsidRPr="00904FCB" w:rsidRDefault="00BF56C8" w:rsidP="00527E12">
      <w:pPr>
        <w:pStyle w:val="31"/>
        <w:spacing w:line="400" w:lineRule="exact"/>
        <w:rPr>
          <w:color w:val="auto"/>
          <w:rtl/>
          <w:lang w:bidi="ar-AE"/>
        </w:rPr>
      </w:pPr>
      <w:r w:rsidRPr="00904FCB">
        <w:rPr>
          <w:rFonts w:hint="cs"/>
          <w:color w:val="auto"/>
          <w:rtl/>
          <w:lang w:bidi="ar-AE"/>
        </w:rPr>
        <w:t>سؤال</w:t>
      </w:r>
      <w:r w:rsidR="00527E12">
        <w:rPr>
          <w:rFonts w:hint="cs"/>
          <w:color w:val="auto"/>
          <w:rtl/>
          <w:lang w:bidi="ar-AE"/>
        </w:rPr>
        <w:t>ٌ</w:t>
      </w:r>
      <w:r w:rsidRPr="00904FCB">
        <w:rPr>
          <w:rFonts w:hint="cs"/>
          <w:color w:val="auto"/>
          <w:rtl/>
          <w:lang w:bidi="ar-AE"/>
        </w:rPr>
        <w:t xml:space="preserve"> وجواب</w:t>
      </w:r>
      <w:r w:rsidR="0051752E" w:rsidRPr="00904FCB">
        <w:rPr>
          <w:rFonts w:hint="cs"/>
          <w:color w:val="auto"/>
          <w:rtl/>
          <w:lang w:bidi="ar-AE"/>
        </w:rPr>
        <w:t xml:space="preserve"> (حوار</w:t>
      </w:r>
      <w:r w:rsidR="00527E12">
        <w:rPr>
          <w:rFonts w:hint="cs"/>
          <w:color w:val="auto"/>
          <w:rtl/>
          <w:lang w:bidi="ar-AE"/>
        </w:rPr>
        <w:t>ٌ</w:t>
      </w:r>
      <w:r w:rsidR="0051752E" w:rsidRPr="00904FCB">
        <w:rPr>
          <w:rFonts w:hint="cs"/>
          <w:color w:val="auto"/>
          <w:rtl/>
          <w:lang w:bidi="ar-AE"/>
        </w:rPr>
        <w:t xml:space="preserve"> مع الشيخ مطه</w:t>
      </w:r>
      <w:r w:rsidR="00527E12">
        <w:rPr>
          <w:rFonts w:hint="cs"/>
          <w:color w:val="auto"/>
          <w:rtl/>
          <w:lang w:bidi="ar-AE"/>
        </w:rPr>
        <w:t>َّ</w:t>
      </w:r>
      <w:r w:rsidR="0051752E" w:rsidRPr="00904FCB">
        <w:rPr>
          <w:rFonts w:hint="cs"/>
          <w:color w:val="auto"/>
          <w:rtl/>
          <w:lang w:bidi="ar-AE"/>
        </w:rPr>
        <w:t>ري)</w:t>
      </w:r>
    </w:p>
    <w:p w:rsidR="00BF56C8" w:rsidRPr="00904FCB" w:rsidRDefault="00205088" w:rsidP="007A21AA">
      <w:pPr>
        <w:spacing w:line="400" w:lineRule="exact"/>
        <w:rPr>
          <w:b/>
          <w:bCs/>
          <w:sz w:val="27"/>
          <w:rtl/>
          <w:lang w:bidi="ar-AE"/>
        </w:rPr>
      </w:pPr>
      <w:r w:rsidRPr="00904FCB">
        <w:rPr>
          <w:b/>
          <w:bCs/>
          <w:sz w:val="24"/>
          <w:szCs w:val="24"/>
        </w:rPr>
        <w:sym w:font="AGA Arabesque" w:char="F05F"/>
      </w:r>
      <w:r w:rsidRPr="00904FCB">
        <w:rPr>
          <w:rFonts w:hint="cs"/>
          <w:b/>
          <w:bCs/>
          <w:sz w:val="27"/>
          <w:rtl/>
          <w:lang w:bidi="ar-AE"/>
        </w:rPr>
        <w:t xml:space="preserve"> </w:t>
      </w:r>
      <w:r w:rsidR="00BF56C8" w:rsidRPr="00904FCB">
        <w:rPr>
          <w:rFonts w:hint="cs"/>
          <w:b/>
          <w:bCs/>
          <w:sz w:val="27"/>
          <w:rtl/>
          <w:lang w:bidi="ar-AE"/>
        </w:rPr>
        <w:t>إن</w:t>
      </w:r>
      <w:r w:rsidRPr="00904FCB">
        <w:rPr>
          <w:rFonts w:hint="cs"/>
          <w:b/>
          <w:bCs/>
          <w:sz w:val="27"/>
          <w:rtl/>
          <w:lang w:bidi="ar-AE"/>
        </w:rPr>
        <w:t>ّ</w:t>
      </w:r>
      <w:r w:rsidR="00BF56C8" w:rsidRPr="00904FCB">
        <w:rPr>
          <w:rFonts w:hint="cs"/>
          <w:b/>
          <w:bCs/>
          <w:sz w:val="27"/>
          <w:rtl/>
          <w:lang w:bidi="ar-AE"/>
        </w:rPr>
        <w:t xml:space="preserve"> الخرافات التي تنتشر في كل</w:t>
      </w:r>
      <w:r w:rsidRPr="00904FCB">
        <w:rPr>
          <w:rFonts w:hint="cs"/>
          <w:b/>
          <w:bCs/>
          <w:sz w:val="27"/>
          <w:rtl/>
          <w:lang w:bidi="ar-AE"/>
        </w:rPr>
        <w:t>ّ</w:t>
      </w:r>
      <w:r w:rsidR="00BF56C8" w:rsidRPr="00904FCB">
        <w:rPr>
          <w:rFonts w:hint="cs"/>
          <w:b/>
          <w:bCs/>
          <w:sz w:val="27"/>
          <w:rtl/>
          <w:lang w:bidi="ar-AE"/>
        </w:rPr>
        <w:t xml:space="preserve"> مجتمع تؤد</w:t>
      </w:r>
      <w:r w:rsidRPr="00904FCB">
        <w:rPr>
          <w:rFonts w:hint="cs"/>
          <w:b/>
          <w:bCs/>
          <w:sz w:val="27"/>
          <w:rtl/>
          <w:lang w:bidi="ar-AE"/>
        </w:rPr>
        <w:t>ّ</w:t>
      </w:r>
      <w:r w:rsidR="00BF56C8" w:rsidRPr="00904FCB">
        <w:rPr>
          <w:rFonts w:hint="cs"/>
          <w:b/>
          <w:bCs/>
          <w:sz w:val="27"/>
          <w:rtl/>
          <w:lang w:bidi="ar-AE"/>
        </w:rPr>
        <w:t xml:space="preserve">ي بأفراده إلى الضلال. فهل الخرافات التي يكتبها بعض المسلمين تعدّ من كتب الضلال؟ وهل يجوز الاحتفاظ بها واقتناؤها؟ </w:t>
      </w:r>
    </w:p>
    <w:p w:rsidR="00BF56C8" w:rsidRPr="00904FCB" w:rsidRDefault="00205088" w:rsidP="007A21AA">
      <w:pPr>
        <w:spacing w:line="400" w:lineRule="exact"/>
        <w:rPr>
          <w:sz w:val="27"/>
          <w:rtl/>
          <w:lang w:bidi="ar-AE"/>
        </w:rPr>
      </w:pPr>
      <w:r w:rsidRPr="00904FCB">
        <w:rPr>
          <w:rFonts w:hint="cs"/>
          <w:sz w:val="24"/>
          <w:szCs w:val="24"/>
        </w:rPr>
        <w:sym w:font="AGA Arabesque" w:char="F05E"/>
      </w:r>
      <w:r w:rsidRPr="00904FCB">
        <w:rPr>
          <w:rFonts w:hint="cs"/>
          <w:sz w:val="27"/>
          <w:rtl/>
          <w:lang w:bidi="ar-AE"/>
        </w:rPr>
        <w:t xml:space="preserve"> </w:t>
      </w:r>
      <w:r w:rsidR="00BF56C8" w:rsidRPr="00904FCB">
        <w:rPr>
          <w:rFonts w:hint="cs"/>
          <w:sz w:val="27"/>
          <w:rtl/>
          <w:lang w:bidi="ar-AE"/>
        </w:rPr>
        <w:t>إن الإجابة عن هذا السؤال واضحة</w:t>
      </w:r>
      <w:r w:rsidRPr="00904FCB">
        <w:rPr>
          <w:rFonts w:hint="cs"/>
          <w:sz w:val="27"/>
          <w:rtl/>
          <w:lang w:bidi="ar-AE"/>
        </w:rPr>
        <w:t>ٌ</w:t>
      </w:r>
      <w:r w:rsidR="00BF56C8" w:rsidRPr="00904FCB">
        <w:rPr>
          <w:rFonts w:hint="cs"/>
          <w:sz w:val="27"/>
          <w:rtl/>
          <w:lang w:bidi="ar-AE"/>
        </w:rPr>
        <w:t xml:space="preserve">. فإن </w:t>
      </w:r>
      <w:r w:rsidR="00BF56C8" w:rsidRPr="00904FCB">
        <w:rPr>
          <w:rFonts w:hint="eastAsia"/>
          <w:sz w:val="27"/>
          <w:rtl/>
        </w:rPr>
        <w:t>«</w:t>
      </w:r>
      <w:r w:rsidR="00BF56C8" w:rsidRPr="00904FCB">
        <w:rPr>
          <w:rFonts w:hint="cs"/>
          <w:sz w:val="27"/>
          <w:rtl/>
          <w:lang w:bidi="ar-AE"/>
        </w:rPr>
        <w:t>التعميم</w:t>
      </w:r>
      <w:r w:rsidR="00BF56C8" w:rsidRPr="00904FCB">
        <w:rPr>
          <w:rFonts w:hint="eastAsia"/>
          <w:sz w:val="27"/>
          <w:rtl/>
        </w:rPr>
        <w:t>»</w:t>
      </w:r>
      <w:r w:rsidR="00BF56C8" w:rsidRPr="00904FCB">
        <w:rPr>
          <w:rFonts w:hint="cs"/>
          <w:sz w:val="27"/>
          <w:rtl/>
          <w:lang w:bidi="ar-AE"/>
        </w:rPr>
        <w:t xml:space="preserve"> الذي تقولونه لا يختلف عن </w:t>
      </w:r>
      <w:r w:rsidR="00BF56C8" w:rsidRPr="00904FCB">
        <w:rPr>
          <w:rFonts w:hint="eastAsia"/>
          <w:sz w:val="27"/>
          <w:rtl/>
        </w:rPr>
        <w:t>«</w:t>
      </w:r>
      <w:r w:rsidR="00BF56C8" w:rsidRPr="00904FCB">
        <w:rPr>
          <w:rFonts w:hint="cs"/>
          <w:sz w:val="27"/>
          <w:rtl/>
          <w:lang w:bidi="ar-AE"/>
        </w:rPr>
        <w:t>التعميم</w:t>
      </w:r>
      <w:r w:rsidR="00BF56C8" w:rsidRPr="00904FCB">
        <w:rPr>
          <w:rFonts w:hint="eastAsia"/>
          <w:sz w:val="27"/>
          <w:rtl/>
        </w:rPr>
        <w:t>»</w:t>
      </w:r>
      <w:r w:rsidR="00BF56C8" w:rsidRPr="00904FCB">
        <w:rPr>
          <w:rFonts w:hint="cs"/>
          <w:sz w:val="27"/>
          <w:rtl/>
          <w:lang w:bidi="ar-AE"/>
        </w:rPr>
        <w:t xml:space="preserve"> الذي ذكرناه. فكل</w:t>
      </w:r>
      <w:r w:rsidRPr="00904FCB">
        <w:rPr>
          <w:rFonts w:hint="cs"/>
          <w:sz w:val="27"/>
          <w:rtl/>
          <w:lang w:bidi="ar-AE"/>
        </w:rPr>
        <w:t>ّ</w:t>
      </w:r>
      <w:r w:rsidR="00BF56C8" w:rsidRPr="00904FCB">
        <w:rPr>
          <w:rFonts w:hint="cs"/>
          <w:sz w:val="27"/>
          <w:rtl/>
          <w:lang w:bidi="ar-AE"/>
        </w:rPr>
        <w:t xml:space="preserve"> كتاب</w:t>
      </w:r>
      <w:r w:rsidRPr="00904FCB">
        <w:rPr>
          <w:rFonts w:hint="cs"/>
          <w:sz w:val="27"/>
          <w:rtl/>
          <w:lang w:bidi="ar-AE"/>
        </w:rPr>
        <w:t>ٍ</w:t>
      </w:r>
      <w:r w:rsidR="00BF56C8" w:rsidRPr="00904FCB">
        <w:rPr>
          <w:rFonts w:hint="cs"/>
          <w:sz w:val="27"/>
          <w:rtl/>
          <w:lang w:bidi="ar-AE"/>
        </w:rPr>
        <w:t xml:space="preserve"> يؤدّي إلى الضلال والانحراف عن الفكر الإسلامي الأصيل هو من كتب الضلال، سواء لبس مسوح المعارضة للإسلام أو لبس مسوح الإسلام</w:t>
      </w:r>
      <w:r w:rsidRPr="00904FCB">
        <w:rPr>
          <w:rFonts w:hint="cs"/>
          <w:sz w:val="27"/>
          <w:rtl/>
          <w:lang w:bidi="ar-AE"/>
        </w:rPr>
        <w:t>،</w:t>
      </w:r>
      <w:r w:rsidR="00BF56C8" w:rsidRPr="00904FCB">
        <w:rPr>
          <w:rFonts w:hint="cs"/>
          <w:sz w:val="27"/>
          <w:rtl/>
          <w:lang w:bidi="ar-AE"/>
        </w:rPr>
        <w:t xml:space="preserve"> بل إن كتب الضلال التي تلبس مسوح الإسلام أشد</w:t>
      </w:r>
      <w:r w:rsidRPr="00904FCB">
        <w:rPr>
          <w:rFonts w:hint="cs"/>
          <w:sz w:val="27"/>
          <w:rtl/>
          <w:lang w:bidi="ar-AE"/>
        </w:rPr>
        <w:t>ّ</w:t>
      </w:r>
      <w:r w:rsidR="00BF56C8" w:rsidRPr="00904FCB">
        <w:rPr>
          <w:rFonts w:hint="cs"/>
          <w:sz w:val="27"/>
          <w:rtl/>
          <w:lang w:bidi="ar-AE"/>
        </w:rPr>
        <w:t xml:space="preserve"> خ</w:t>
      </w:r>
      <w:r w:rsidRPr="00904FCB">
        <w:rPr>
          <w:rFonts w:hint="cs"/>
          <w:sz w:val="27"/>
          <w:rtl/>
          <w:lang w:bidi="ar-AE"/>
        </w:rPr>
        <w:t>َ</w:t>
      </w:r>
      <w:r w:rsidR="00BF56C8" w:rsidRPr="00904FCB">
        <w:rPr>
          <w:rFonts w:hint="cs"/>
          <w:sz w:val="27"/>
          <w:rtl/>
          <w:lang w:bidi="ar-AE"/>
        </w:rPr>
        <w:t>ط</w:t>
      </w:r>
      <w:r w:rsidRPr="00904FCB">
        <w:rPr>
          <w:rFonts w:hint="cs"/>
          <w:sz w:val="27"/>
          <w:rtl/>
          <w:lang w:bidi="ar-AE"/>
        </w:rPr>
        <w:t>َ</w:t>
      </w:r>
      <w:r w:rsidR="00BF56C8" w:rsidRPr="00904FCB">
        <w:rPr>
          <w:rFonts w:hint="cs"/>
          <w:sz w:val="27"/>
          <w:rtl/>
          <w:lang w:bidi="ar-AE"/>
        </w:rPr>
        <w:t>راً من الكتب التي تصرّح بانتمائها المناوئ للإسلام</w:t>
      </w:r>
      <w:r w:rsidRPr="00904FCB">
        <w:rPr>
          <w:rFonts w:hint="cs"/>
          <w:sz w:val="27"/>
          <w:rtl/>
          <w:lang w:bidi="ar-AE"/>
        </w:rPr>
        <w:t>.</w:t>
      </w:r>
      <w:r w:rsidR="00BF56C8" w:rsidRPr="00904FCB">
        <w:rPr>
          <w:rFonts w:hint="cs"/>
          <w:sz w:val="27"/>
          <w:rtl/>
          <w:lang w:bidi="ar-AE"/>
        </w:rPr>
        <w:t xml:space="preserve"> وعليه لا أرى أي</w:t>
      </w:r>
      <w:r w:rsidRPr="00904FCB">
        <w:rPr>
          <w:rFonts w:hint="cs"/>
          <w:sz w:val="27"/>
          <w:rtl/>
          <w:lang w:bidi="ar-AE"/>
        </w:rPr>
        <w:t>َّ</w:t>
      </w:r>
      <w:r w:rsidR="00BF56C8" w:rsidRPr="00904FCB">
        <w:rPr>
          <w:rFonts w:hint="cs"/>
          <w:sz w:val="27"/>
          <w:rtl/>
          <w:lang w:bidi="ar-AE"/>
        </w:rPr>
        <w:t xml:space="preserve"> فرق بينهما من هذه الناحية. غاية ما هنالك أن تحديد الموضوع وتعيين المصداق ليس من مهام</w:t>
      </w:r>
      <w:r w:rsidRPr="00904FCB">
        <w:rPr>
          <w:rFonts w:hint="cs"/>
          <w:sz w:val="27"/>
          <w:rtl/>
          <w:lang w:bidi="ar-AE"/>
        </w:rPr>
        <w:t>ّ</w:t>
      </w:r>
      <w:r w:rsidR="00BF56C8" w:rsidRPr="00904FCB">
        <w:rPr>
          <w:rFonts w:hint="cs"/>
          <w:sz w:val="27"/>
          <w:rtl/>
          <w:lang w:bidi="ar-AE"/>
        </w:rPr>
        <w:t xml:space="preserve"> الفقيه ـ كما هو معروف ـ</w:t>
      </w:r>
      <w:r w:rsidRPr="00904FCB">
        <w:rPr>
          <w:rFonts w:hint="cs"/>
          <w:sz w:val="27"/>
          <w:rtl/>
          <w:lang w:bidi="ar-AE"/>
        </w:rPr>
        <w:t>،</w:t>
      </w:r>
      <w:r w:rsidR="00BF56C8" w:rsidRPr="00904FCB">
        <w:rPr>
          <w:rFonts w:hint="cs"/>
          <w:sz w:val="27"/>
          <w:rtl/>
          <w:lang w:bidi="ar-AE"/>
        </w:rPr>
        <w:t xml:space="preserve"> فلا يستطيع الفقيه أن يضع يده على كتاب</w:t>
      </w:r>
      <w:r w:rsidRPr="00904FCB">
        <w:rPr>
          <w:rFonts w:hint="cs"/>
          <w:sz w:val="27"/>
          <w:rtl/>
          <w:lang w:bidi="ar-AE"/>
        </w:rPr>
        <w:t>ٍ</w:t>
      </w:r>
      <w:r w:rsidR="00BF56C8" w:rsidRPr="00904FCB">
        <w:rPr>
          <w:rFonts w:hint="cs"/>
          <w:sz w:val="27"/>
          <w:rtl/>
          <w:lang w:bidi="ar-AE"/>
        </w:rPr>
        <w:t xml:space="preserve"> معيّ</w:t>
      </w:r>
      <w:r w:rsidRPr="00904FCB">
        <w:rPr>
          <w:rFonts w:hint="cs"/>
          <w:sz w:val="27"/>
          <w:rtl/>
          <w:lang w:bidi="ar-AE"/>
        </w:rPr>
        <w:t>َ</w:t>
      </w:r>
      <w:r w:rsidR="00BF56C8" w:rsidRPr="00904FCB">
        <w:rPr>
          <w:rFonts w:hint="cs"/>
          <w:sz w:val="27"/>
          <w:rtl/>
          <w:lang w:bidi="ar-AE"/>
        </w:rPr>
        <w:t>ن ويقول: هذا الكتاب من كتب الضلال</w:t>
      </w:r>
      <w:r w:rsidRPr="00904FCB">
        <w:rPr>
          <w:rFonts w:hint="cs"/>
          <w:sz w:val="27"/>
          <w:rtl/>
          <w:lang w:bidi="ar-AE"/>
        </w:rPr>
        <w:t>،</w:t>
      </w:r>
      <w:r w:rsidR="00BF56C8" w:rsidRPr="00904FCB">
        <w:rPr>
          <w:rFonts w:hint="cs"/>
          <w:sz w:val="27"/>
          <w:rtl/>
          <w:lang w:bidi="ar-AE"/>
        </w:rPr>
        <w:t xml:space="preserve"> أو ليس من كتب الضلال. وإنما تحديد ذلك يقع على المختص</w:t>
      </w:r>
      <w:r w:rsidRPr="00904FCB">
        <w:rPr>
          <w:rFonts w:hint="cs"/>
          <w:sz w:val="27"/>
          <w:rtl/>
          <w:lang w:bidi="ar-AE"/>
        </w:rPr>
        <w:t>ّ</w:t>
      </w:r>
      <w:r w:rsidR="00BF56C8" w:rsidRPr="00904FCB">
        <w:rPr>
          <w:rFonts w:hint="cs"/>
          <w:sz w:val="27"/>
          <w:rtl/>
          <w:lang w:bidi="ar-AE"/>
        </w:rPr>
        <w:t xml:space="preserve"> في تلك الجهة</w:t>
      </w:r>
      <w:r w:rsidRPr="00904FCB">
        <w:rPr>
          <w:rFonts w:hint="cs"/>
          <w:sz w:val="27"/>
          <w:rtl/>
          <w:lang w:bidi="ar-AE"/>
        </w:rPr>
        <w:t xml:space="preserve">، </w:t>
      </w:r>
      <w:r w:rsidR="00BF56C8" w:rsidRPr="00904FCB">
        <w:rPr>
          <w:rFonts w:hint="cs"/>
          <w:sz w:val="27"/>
          <w:rtl/>
          <w:lang w:bidi="ar-AE"/>
        </w:rPr>
        <w:t>والمط</w:t>
      </w:r>
      <w:r w:rsidRPr="00904FCB">
        <w:rPr>
          <w:rFonts w:hint="cs"/>
          <w:sz w:val="27"/>
          <w:rtl/>
          <w:lang w:bidi="ar-AE"/>
        </w:rPr>
        <w:t>َّ</w:t>
      </w:r>
      <w:r w:rsidR="00BF56C8" w:rsidRPr="00904FCB">
        <w:rPr>
          <w:rFonts w:hint="cs"/>
          <w:sz w:val="27"/>
          <w:rtl/>
          <w:lang w:bidi="ar-AE"/>
        </w:rPr>
        <w:t>لع عليها بشكل</w:t>
      </w:r>
      <w:r w:rsidRPr="00904FCB">
        <w:rPr>
          <w:rFonts w:hint="cs"/>
          <w:sz w:val="27"/>
          <w:rtl/>
          <w:lang w:bidi="ar-AE"/>
        </w:rPr>
        <w:t>ٍ</w:t>
      </w:r>
      <w:r w:rsidR="00BF56C8" w:rsidRPr="00904FCB">
        <w:rPr>
          <w:rFonts w:hint="cs"/>
          <w:sz w:val="27"/>
          <w:rtl/>
          <w:lang w:bidi="ar-AE"/>
        </w:rPr>
        <w:t xml:space="preserve"> كامل. إلا</w:t>
      </w:r>
      <w:r w:rsidRPr="00904FCB">
        <w:rPr>
          <w:rFonts w:hint="cs"/>
          <w:sz w:val="27"/>
          <w:rtl/>
          <w:lang w:bidi="ar-AE"/>
        </w:rPr>
        <w:t>ّ</w:t>
      </w:r>
      <w:r w:rsidR="00BF56C8" w:rsidRPr="00904FCB">
        <w:rPr>
          <w:rFonts w:hint="cs"/>
          <w:sz w:val="27"/>
          <w:rtl/>
          <w:lang w:bidi="ar-AE"/>
        </w:rPr>
        <w:t xml:space="preserve"> أن الحكم الذي يصدره الفقيه بشكل</w:t>
      </w:r>
      <w:r w:rsidRPr="00904FCB">
        <w:rPr>
          <w:rFonts w:hint="cs"/>
          <w:sz w:val="27"/>
          <w:rtl/>
          <w:lang w:bidi="ar-AE"/>
        </w:rPr>
        <w:t>ٍ</w:t>
      </w:r>
      <w:r w:rsidR="00BF56C8" w:rsidRPr="00904FCB">
        <w:rPr>
          <w:rFonts w:hint="cs"/>
          <w:sz w:val="27"/>
          <w:rtl/>
          <w:lang w:bidi="ar-AE"/>
        </w:rPr>
        <w:t xml:space="preserve"> عام</w:t>
      </w:r>
      <w:r w:rsidRPr="00904FCB">
        <w:rPr>
          <w:rFonts w:hint="cs"/>
          <w:sz w:val="27"/>
          <w:rtl/>
          <w:lang w:bidi="ar-AE"/>
        </w:rPr>
        <w:t>ّ</w:t>
      </w:r>
      <w:r w:rsidR="00BF56C8" w:rsidRPr="00904FCB">
        <w:rPr>
          <w:rFonts w:hint="cs"/>
          <w:sz w:val="27"/>
          <w:rtl/>
          <w:lang w:bidi="ar-AE"/>
        </w:rPr>
        <w:t xml:space="preserve"> هو هذا: </w:t>
      </w:r>
      <w:r w:rsidR="00BF56C8" w:rsidRPr="00904FCB">
        <w:rPr>
          <w:rFonts w:hint="eastAsia"/>
          <w:sz w:val="27"/>
          <w:rtl/>
        </w:rPr>
        <w:t>«</w:t>
      </w:r>
      <w:r w:rsidR="00BF56C8" w:rsidRPr="00904FCB">
        <w:rPr>
          <w:rFonts w:hint="cs"/>
          <w:sz w:val="27"/>
          <w:rtl/>
          <w:lang w:bidi="ar-AE"/>
        </w:rPr>
        <w:t>كل</w:t>
      </w:r>
      <w:r w:rsidRPr="00904FCB">
        <w:rPr>
          <w:rFonts w:hint="cs"/>
          <w:sz w:val="27"/>
          <w:rtl/>
          <w:lang w:bidi="ar-AE"/>
        </w:rPr>
        <w:t>ّ</w:t>
      </w:r>
      <w:r w:rsidR="00BF56C8" w:rsidRPr="00904FCB">
        <w:rPr>
          <w:rFonts w:hint="cs"/>
          <w:sz w:val="27"/>
          <w:rtl/>
          <w:lang w:bidi="ar-AE"/>
        </w:rPr>
        <w:t xml:space="preserve"> كتاب يؤد</w:t>
      </w:r>
      <w:r w:rsidRPr="00904FCB">
        <w:rPr>
          <w:rFonts w:hint="cs"/>
          <w:sz w:val="27"/>
          <w:rtl/>
          <w:lang w:bidi="ar-AE"/>
        </w:rPr>
        <w:t>ّ</w:t>
      </w:r>
      <w:r w:rsidR="00BF56C8" w:rsidRPr="00904FCB">
        <w:rPr>
          <w:rFonts w:hint="cs"/>
          <w:sz w:val="27"/>
          <w:rtl/>
          <w:lang w:bidi="ar-AE"/>
        </w:rPr>
        <w:t>ي إلى الانحراف [هو من كتب الضلال، سواء</w:t>
      </w:r>
      <w:r w:rsidRPr="00904FCB">
        <w:rPr>
          <w:rFonts w:hint="cs"/>
          <w:sz w:val="27"/>
          <w:rtl/>
          <w:lang w:bidi="ar-AE"/>
        </w:rPr>
        <w:t>ٌ</w:t>
      </w:r>
      <w:r w:rsidR="00BF56C8" w:rsidRPr="00904FCB">
        <w:rPr>
          <w:rFonts w:hint="cs"/>
          <w:sz w:val="27"/>
          <w:rtl/>
          <w:lang w:bidi="ar-AE"/>
        </w:rPr>
        <w:t>] كتب بدوافع خيّ</w:t>
      </w:r>
      <w:r w:rsidRPr="00904FCB">
        <w:rPr>
          <w:rFonts w:hint="cs"/>
          <w:sz w:val="27"/>
          <w:rtl/>
          <w:lang w:bidi="ar-AE"/>
        </w:rPr>
        <w:t>ِ</w:t>
      </w:r>
      <w:r w:rsidR="00BF56C8" w:rsidRPr="00904FCB">
        <w:rPr>
          <w:rFonts w:hint="cs"/>
          <w:sz w:val="27"/>
          <w:rtl/>
          <w:lang w:bidi="ar-AE"/>
        </w:rPr>
        <w:t>رة أم بدوافع شريرة، وسواء لبس ثوب الناصح والمؤيّ</w:t>
      </w:r>
      <w:r w:rsidRPr="00904FCB">
        <w:rPr>
          <w:rFonts w:hint="cs"/>
          <w:sz w:val="27"/>
          <w:rtl/>
          <w:lang w:bidi="ar-AE"/>
        </w:rPr>
        <w:t>ِ</w:t>
      </w:r>
      <w:r w:rsidR="00BF56C8" w:rsidRPr="00904FCB">
        <w:rPr>
          <w:rFonts w:hint="cs"/>
          <w:sz w:val="27"/>
          <w:rtl/>
          <w:lang w:bidi="ar-AE"/>
        </w:rPr>
        <w:t>د أم ثوب العدو</w:t>
      </w:r>
      <w:r w:rsidRPr="00904FCB">
        <w:rPr>
          <w:rFonts w:hint="cs"/>
          <w:sz w:val="27"/>
          <w:rtl/>
          <w:lang w:bidi="ar-AE"/>
        </w:rPr>
        <w:t>ّ</w:t>
      </w:r>
      <w:r w:rsidR="00BF56C8" w:rsidRPr="00904FCB">
        <w:rPr>
          <w:rFonts w:hint="cs"/>
          <w:sz w:val="27"/>
          <w:rtl/>
          <w:lang w:bidi="ar-AE"/>
        </w:rPr>
        <w:t xml:space="preserve"> والمناوئ، فكل</w:t>
      </w:r>
      <w:r w:rsidRPr="00904FCB">
        <w:rPr>
          <w:rFonts w:hint="cs"/>
          <w:sz w:val="27"/>
          <w:rtl/>
          <w:lang w:bidi="ar-AE"/>
        </w:rPr>
        <w:t>ُّ</w:t>
      </w:r>
      <w:r w:rsidR="00BF56C8" w:rsidRPr="00904FCB">
        <w:rPr>
          <w:rFonts w:hint="cs"/>
          <w:sz w:val="27"/>
          <w:rtl/>
          <w:lang w:bidi="ar-AE"/>
        </w:rPr>
        <w:t>ها مشمولة</w:t>
      </w:r>
      <w:r w:rsidRPr="00904FCB">
        <w:rPr>
          <w:rFonts w:hint="cs"/>
          <w:sz w:val="27"/>
          <w:rtl/>
          <w:lang w:bidi="ar-AE"/>
        </w:rPr>
        <w:t>ٌ</w:t>
      </w:r>
      <w:r w:rsidR="00BF56C8" w:rsidRPr="00904FCB">
        <w:rPr>
          <w:rFonts w:hint="cs"/>
          <w:sz w:val="27"/>
          <w:rtl/>
          <w:lang w:bidi="ar-AE"/>
        </w:rPr>
        <w:t xml:space="preserve"> لحكم هذا الفقيه. </w:t>
      </w:r>
    </w:p>
    <w:p w:rsidR="00BF56C8" w:rsidRPr="00904FCB" w:rsidRDefault="00205088" w:rsidP="007A21AA">
      <w:pPr>
        <w:spacing w:line="400" w:lineRule="exact"/>
        <w:rPr>
          <w:b/>
          <w:bCs/>
          <w:sz w:val="27"/>
          <w:rtl/>
          <w:lang w:bidi="ar-AE"/>
        </w:rPr>
      </w:pPr>
      <w:r w:rsidRPr="00904FCB">
        <w:rPr>
          <w:b/>
          <w:bCs/>
          <w:sz w:val="24"/>
          <w:szCs w:val="24"/>
        </w:rPr>
        <w:sym w:font="AGA Arabesque" w:char="F05F"/>
      </w:r>
      <w:r w:rsidRPr="00904FCB">
        <w:rPr>
          <w:rFonts w:hint="cs"/>
          <w:b/>
          <w:bCs/>
          <w:sz w:val="27"/>
          <w:rtl/>
          <w:lang w:bidi="ar-AE"/>
        </w:rPr>
        <w:t xml:space="preserve"> </w:t>
      </w:r>
      <w:r w:rsidR="00BF56C8" w:rsidRPr="00904FCB">
        <w:rPr>
          <w:rFonts w:hint="cs"/>
          <w:b/>
          <w:bCs/>
          <w:sz w:val="27"/>
          <w:rtl/>
          <w:lang w:bidi="ar-AE"/>
        </w:rPr>
        <w:t>الذي فهمناه من مجموع كلام سماحة الأستاذ الشيخ المطهري في مستهل</w:t>
      </w:r>
      <w:r w:rsidR="00FC6D12" w:rsidRPr="00904FCB">
        <w:rPr>
          <w:rFonts w:hint="cs"/>
          <w:b/>
          <w:bCs/>
          <w:sz w:val="27"/>
          <w:rtl/>
          <w:lang w:bidi="ar-AE"/>
        </w:rPr>
        <w:t>ّ</w:t>
      </w:r>
      <w:r w:rsidR="00BF56C8" w:rsidRPr="00904FCB">
        <w:rPr>
          <w:rFonts w:hint="cs"/>
          <w:b/>
          <w:bCs/>
          <w:sz w:val="27"/>
          <w:rtl/>
          <w:lang w:bidi="ar-AE"/>
        </w:rPr>
        <w:t xml:space="preserve"> الكلام أنه لا يوجد دليل</w:t>
      </w:r>
      <w:r w:rsidR="00FC6D12" w:rsidRPr="00904FCB">
        <w:rPr>
          <w:rFonts w:hint="cs"/>
          <w:b/>
          <w:bCs/>
          <w:sz w:val="27"/>
          <w:rtl/>
          <w:lang w:bidi="ar-AE"/>
        </w:rPr>
        <w:t>ٌ</w:t>
      </w:r>
      <w:r w:rsidR="00BF56C8" w:rsidRPr="00904FCB">
        <w:rPr>
          <w:rFonts w:hint="cs"/>
          <w:b/>
          <w:bCs/>
          <w:sz w:val="27"/>
          <w:rtl/>
          <w:lang w:bidi="ar-AE"/>
        </w:rPr>
        <w:t xml:space="preserve"> نقلي</w:t>
      </w:r>
      <w:r w:rsidR="00FC6D12" w:rsidRPr="00904FCB">
        <w:rPr>
          <w:rFonts w:hint="cs"/>
          <w:b/>
          <w:bCs/>
          <w:sz w:val="27"/>
          <w:rtl/>
          <w:lang w:bidi="ar-AE"/>
        </w:rPr>
        <w:t>ّ</w:t>
      </w:r>
      <w:r w:rsidR="00BF56C8" w:rsidRPr="00904FCB">
        <w:rPr>
          <w:rFonts w:hint="cs"/>
          <w:b/>
          <w:bCs/>
          <w:sz w:val="27"/>
          <w:rtl/>
          <w:lang w:bidi="ar-AE"/>
        </w:rPr>
        <w:t xml:space="preserve"> صريح على حرمة حفظ كتب الضلال، ب</w:t>
      </w:r>
      <w:r w:rsidR="00FC6D12" w:rsidRPr="00904FCB">
        <w:rPr>
          <w:rFonts w:hint="cs"/>
          <w:b/>
          <w:bCs/>
          <w:sz w:val="27"/>
          <w:rtl/>
          <w:lang w:bidi="ar-AE"/>
        </w:rPr>
        <w:t>َ</w:t>
      </w:r>
      <w:r w:rsidR="00BF56C8" w:rsidRPr="00904FCB">
        <w:rPr>
          <w:rFonts w:hint="cs"/>
          <w:b/>
          <w:bCs/>
          <w:sz w:val="27"/>
          <w:rtl/>
          <w:lang w:bidi="ar-AE"/>
        </w:rPr>
        <w:t>ي</w:t>
      </w:r>
      <w:r w:rsidR="00FC6D12" w:rsidRPr="00904FCB">
        <w:rPr>
          <w:rFonts w:hint="cs"/>
          <w:b/>
          <w:bCs/>
          <w:sz w:val="27"/>
          <w:rtl/>
          <w:lang w:bidi="ar-AE"/>
        </w:rPr>
        <w:t>ْ</w:t>
      </w:r>
      <w:r w:rsidR="00BF56C8" w:rsidRPr="00904FCB">
        <w:rPr>
          <w:rFonts w:hint="cs"/>
          <w:b/>
          <w:bCs/>
          <w:sz w:val="27"/>
          <w:rtl/>
          <w:lang w:bidi="ar-AE"/>
        </w:rPr>
        <w:t>د</w:t>
      </w:r>
      <w:r w:rsidR="00FC6D12" w:rsidRPr="00904FCB">
        <w:rPr>
          <w:rFonts w:hint="cs"/>
          <w:b/>
          <w:bCs/>
          <w:sz w:val="27"/>
          <w:rtl/>
          <w:lang w:bidi="ar-AE"/>
        </w:rPr>
        <w:t>َ</w:t>
      </w:r>
      <w:r w:rsidR="00BF56C8" w:rsidRPr="00904FCB">
        <w:rPr>
          <w:rFonts w:hint="cs"/>
          <w:b/>
          <w:bCs/>
          <w:sz w:val="27"/>
          <w:rtl/>
          <w:lang w:bidi="ar-AE"/>
        </w:rPr>
        <w:t xml:space="preserve"> أن الأدلة العقلية تحكم بالوقوف ضد أيّ شيء</w:t>
      </w:r>
      <w:r w:rsidR="00FC6D12" w:rsidRPr="00904FCB">
        <w:rPr>
          <w:rFonts w:hint="cs"/>
          <w:b/>
          <w:bCs/>
          <w:sz w:val="27"/>
          <w:rtl/>
          <w:lang w:bidi="ar-AE"/>
        </w:rPr>
        <w:t>ٍ</w:t>
      </w:r>
      <w:r w:rsidR="00BF56C8" w:rsidRPr="00904FCB">
        <w:rPr>
          <w:rFonts w:hint="cs"/>
          <w:b/>
          <w:bCs/>
          <w:sz w:val="27"/>
          <w:rtl/>
          <w:lang w:bidi="ar-AE"/>
        </w:rPr>
        <w:t xml:space="preserve"> يضرّ بوضع المجتمع. وبطبيعة الحال كان القسم الأخير من كلامه يصبّ في تأييد القسم الأو</w:t>
      </w:r>
      <w:r w:rsidR="00FC6D12" w:rsidRPr="00904FCB">
        <w:rPr>
          <w:rFonts w:hint="cs"/>
          <w:b/>
          <w:bCs/>
          <w:sz w:val="27"/>
          <w:rtl/>
          <w:lang w:bidi="ar-AE"/>
        </w:rPr>
        <w:t>ّ</w:t>
      </w:r>
      <w:r w:rsidR="00BF56C8" w:rsidRPr="00904FCB">
        <w:rPr>
          <w:rFonts w:hint="cs"/>
          <w:b/>
          <w:bCs/>
          <w:sz w:val="27"/>
          <w:rtl/>
          <w:lang w:bidi="ar-AE"/>
        </w:rPr>
        <w:t>ل. وعليه ينحصر الكلام في تحديد ما هو المضرّ، وم</w:t>
      </w:r>
      <w:r w:rsidR="00FC6D12" w:rsidRPr="00904FCB">
        <w:rPr>
          <w:rFonts w:hint="cs"/>
          <w:b/>
          <w:bCs/>
          <w:sz w:val="27"/>
          <w:rtl/>
          <w:lang w:bidi="ar-AE"/>
        </w:rPr>
        <w:t>َ</w:t>
      </w:r>
      <w:r w:rsidR="00BF56C8" w:rsidRPr="00904FCB">
        <w:rPr>
          <w:rFonts w:hint="cs"/>
          <w:b/>
          <w:bCs/>
          <w:sz w:val="27"/>
          <w:rtl/>
          <w:lang w:bidi="ar-AE"/>
        </w:rPr>
        <w:t>ن</w:t>
      </w:r>
      <w:r w:rsidR="00FC6D12" w:rsidRPr="00904FCB">
        <w:rPr>
          <w:rFonts w:hint="cs"/>
          <w:b/>
          <w:bCs/>
          <w:sz w:val="27"/>
          <w:rtl/>
          <w:lang w:bidi="ar-AE"/>
        </w:rPr>
        <w:t>ْ</w:t>
      </w:r>
      <w:r w:rsidR="00BF56C8" w:rsidRPr="00904FCB">
        <w:rPr>
          <w:rFonts w:hint="cs"/>
          <w:b/>
          <w:bCs/>
          <w:sz w:val="27"/>
          <w:rtl/>
          <w:lang w:bidi="ar-AE"/>
        </w:rPr>
        <w:t xml:space="preserve"> يضرّ. والذي نراه عادة</w:t>
      </w:r>
      <w:r w:rsidR="00FC6D12" w:rsidRPr="00904FCB">
        <w:rPr>
          <w:rFonts w:hint="cs"/>
          <w:b/>
          <w:bCs/>
          <w:sz w:val="27"/>
          <w:rtl/>
          <w:lang w:bidi="ar-AE"/>
        </w:rPr>
        <w:t>ً</w:t>
      </w:r>
      <w:r w:rsidR="00BF56C8" w:rsidRPr="00904FCB">
        <w:rPr>
          <w:rFonts w:hint="cs"/>
          <w:b/>
          <w:bCs/>
          <w:sz w:val="27"/>
          <w:rtl/>
          <w:lang w:bidi="ar-AE"/>
        </w:rPr>
        <w:t xml:space="preserve"> هو أن الحكومات قبل تسنّ</w:t>
      </w:r>
      <w:r w:rsidR="00FC6D12" w:rsidRPr="00904FCB">
        <w:rPr>
          <w:rFonts w:hint="cs"/>
          <w:b/>
          <w:bCs/>
          <w:sz w:val="27"/>
          <w:rtl/>
          <w:lang w:bidi="ar-AE"/>
        </w:rPr>
        <w:t>ُ</w:t>
      </w:r>
      <w:r w:rsidR="00BF56C8" w:rsidRPr="00904FCB">
        <w:rPr>
          <w:rFonts w:hint="cs"/>
          <w:b/>
          <w:bCs/>
          <w:sz w:val="27"/>
          <w:rtl/>
          <w:lang w:bidi="ar-AE"/>
        </w:rPr>
        <w:t>م السلطة تنحاز إلى الح</w:t>
      </w:r>
      <w:r w:rsidR="00FC6D12" w:rsidRPr="00904FCB">
        <w:rPr>
          <w:rFonts w:hint="cs"/>
          <w:b/>
          <w:bCs/>
          <w:sz w:val="27"/>
          <w:rtl/>
          <w:lang w:bidi="ar-AE"/>
        </w:rPr>
        <w:t>ُ</w:t>
      </w:r>
      <w:r w:rsidR="00BF56C8" w:rsidRPr="00904FCB">
        <w:rPr>
          <w:rFonts w:hint="cs"/>
          <w:b/>
          <w:bCs/>
          <w:sz w:val="27"/>
          <w:rtl/>
          <w:lang w:bidi="ar-AE"/>
        </w:rPr>
        <w:t>ر</w:t>
      </w:r>
      <w:r w:rsidR="00FC6D12" w:rsidRPr="00904FCB">
        <w:rPr>
          <w:rFonts w:hint="cs"/>
          <w:b/>
          <w:bCs/>
          <w:sz w:val="27"/>
          <w:rtl/>
          <w:lang w:bidi="ar-AE"/>
        </w:rPr>
        <w:t>ِّ</w:t>
      </w:r>
      <w:r w:rsidR="00BF56C8" w:rsidRPr="00904FCB">
        <w:rPr>
          <w:rFonts w:hint="cs"/>
          <w:b/>
          <w:bCs/>
          <w:sz w:val="27"/>
          <w:rtl/>
          <w:lang w:bidi="ar-AE"/>
        </w:rPr>
        <w:t>يات، وبعد أن تمسك بالسلطة تتخل</w:t>
      </w:r>
      <w:r w:rsidR="00FC6D12" w:rsidRPr="00904FCB">
        <w:rPr>
          <w:rFonts w:hint="cs"/>
          <w:b/>
          <w:bCs/>
          <w:sz w:val="27"/>
          <w:rtl/>
          <w:lang w:bidi="ar-AE"/>
        </w:rPr>
        <w:t>ّ</w:t>
      </w:r>
      <w:r w:rsidR="00BF56C8" w:rsidRPr="00904FCB">
        <w:rPr>
          <w:rFonts w:hint="cs"/>
          <w:b/>
          <w:bCs/>
          <w:sz w:val="27"/>
          <w:rtl/>
          <w:lang w:bidi="ar-AE"/>
        </w:rPr>
        <w:t>ى عن هذا الانحياز تدريجياً</w:t>
      </w:r>
      <w:r w:rsidR="00FC6D12" w:rsidRPr="00904FCB">
        <w:rPr>
          <w:rFonts w:hint="cs"/>
          <w:b/>
          <w:bCs/>
          <w:sz w:val="27"/>
          <w:rtl/>
          <w:lang w:bidi="ar-AE"/>
        </w:rPr>
        <w:t>.</w:t>
      </w:r>
      <w:r w:rsidR="00BF56C8" w:rsidRPr="00904FCB">
        <w:rPr>
          <w:rFonts w:hint="cs"/>
          <w:b/>
          <w:bCs/>
          <w:sz w:val="27"/>
          <w:rtl/>
          <w:lang w:bidi="ar-AE"/>
        </w:rPr>
        <w:t xml:space="preserve"> وحيث يعتقدون أن</w:t>
      </w:r>
      <w:r w:rsidR="00FC6D12" w:rsidRPr="00904FCB">
        <w:rPr>
          <w:rFonts w:hint="cs"/>
          <w:b/>
          <w:bCs/>
          <w:sz w:val="27"/>
          <w:rtl/>
          <w:lang w:bidi="ar-AE"/>
        </w:rPr>
        <w:t>ّ</w:t>
      </w:r>
      <w:r w:rsidR="00BF56C8" w:rsidRPr="00904FCB">
        <w:rPr>
          <w:rFonts w:hint="cs"/>
          <w:b/>
          <w:bCs/>
          <w:sz w:val="27"/>
          <w:rtl/>
          <w:lang w:bidi="ar-AE"/>
        </w:rPr>
        <w:t>هم على الحق</w:t>
      </w:r>
      <w:r w:rsidR="00FC6D12" w:rsidRPr="00904FCB">
        <w:rPr>
          <w:rFonts w:hint="cs"/>
          <w:b/>
          <w:bCs/>
          <w:sz w:val="27"/>
          <w:rtl/>
          <w:lang w:bidi="ar-AE"/>
        </w:rPr>
        <w:t>ّ</w:t>
      </w:r>
      <w:r w:rsidR="00BF56C8" w:rsidRPr="00904FCB">
        <w:rPr>
          <w:rFonts w:hint="cs"/>
          <w:b/>
          <w:bCs/>
          <w:sz w:val="27"/>
          <w:rtl/>
          <w:lang w:bidi="ar-AE"/>
        </w:rPr>
        <w:t xml:space="preserve"> وغيرهم على الباطل، وحيث </w:t>
      </w:r>
      <w:r w:rsidR="00FC6D12" w:rsidRPr="00904FCB">
        <w:rPr>
          <w:rFonts w:hint="cs"/>
          <w:b/>
          <w:bCs/>
          <w:sz w:val="27"/>
          <w:rtl/>
          <w:lang w:bidi="ar-AE"/>
        </w:rPr>
        <w:t>إن الباطل مضرٌّ،</w:t>
      </w:r>
      <w:r w:rsidR="00BF56C8" w:rsidRPr="00904FCB">
        <w:rPr>
          <w:rFonts w:hint="cs"/>
          <w:b/>
          <w:bCs/>
          <w:sz w:val="27"/>
          <w:rtl/>
          <w:lang w:bidi="ar-AE"/>
        </w:rPr>
        <w:t xml:space="preserve"> فيجب الوقوف بوجه المخالف</w:t>
      </w:r>
      <w:r w:rsidR="00FC6D12" w:rsidRPr="00904FCB">
        <w:rPr>
          <w:rFonts w:hint="cs"/>
          <w:b/>
          <w:bCs/>
          <w:sz w:val="27"/>
          <w:rtl/>
          <w:lang w:bidi="ar-AE"/>
        </w:rPr>
        <w:t>،</w:t>
      </w:r>
      <w:r w:rsidR="00BF56C8" w:rsidRPr="00904FCB">
        <w:rPr>
          <w:rFonts w:hint="cs"/>
          <w:b/>
          <w:bCs/>
          <w:sz w:val="27"/>
          <w:rtl/>
          <w:lang w:bidi="ar-AE"/>
        </w:rPr>
        <w:t xml:space="preserve"> والمنع من نشر أفكاره</w:t>
      </w:r>
      <w:r w:rsidR="00FC6D12" w:rsidRPr="00904FCB">
        <w:rPr>
          <w:rFonts w:hint="cs"/>
          <w:b/>
          <w:bCs/>
          <w:sz w:val="27"/>
          <w:rtl/>
          <w:lang w:bidi="ar-AE"/>
        </w:rPr>
        <w:t>.</w:t>
      </w:r>
      <w:r w:rsidR="00BF56C8" w:rsidRPr="00904FCB">
        <w:rPr>
          <w:rFonts w:hint="cs"/>
          <w:b/>
          <w:bCs/>
          <w:sz w:val="27"/>
          <w:rtl/>
          <w:lang w:bidi="ar-AE"/>
        </w:rPr>
        <w:t xml:space="preserve"> وكل</w:t>
      </w:r>
      <w:r w:rsidR="00FC6D12" w:rsidRPr="00904FCB">
        <w:rPr>
          <w:rFonts w:hint="cs"/>
          <w:b/>
          <w:bCs/>
          <w:sz w:val="27"/>
          <w:rtl/>
          <w:lang w:bidi="ar-AE"/>
        </w:rPr>
        <w:t>ّ</w:t>
      </w:r>
      <w:r w:rsidR="00BF56C8" w:rsidRPr="00904FCB">
        <w:rPr>
          <w:rFonts w:hint="cs"/>
          <w:b/>
          <w:bCs/>
          <w:sz w:val="27"/>
          <w:rtl/>
          <w:lang w:bidi="ar-AE"/>
        </w:rPr>
        <w:t xml:space="preserve">ما كانت السلطة أكثر استبداداً كانت أشدّ </w:t>
      </w:r>
      <w:r w:rsidR="00BF56C8" w:rsidRPr="00904FCB">
        <w:rPr>
          <w:rFonts w:hint="cs"/>
          <w:b/>
          <w:bCs/>
          <w:sz w:val="27"/>
          <w:rtl/>
          <w:lang w:bidi="ar-AE"/>
        </w:rPr>
        <w:lastRenderedPageBreak/>
        <w:t>قسوةً في مواجهة م</w:t>
      </w:r>
      <w:r w:rsidR="00FC6D12" w:rsidRPr="00904FCB">
        <w:rPr>
          <w:rFonts w:hint="cs"/>
          <w:b/>
          <w:bCs/>
          <w:sz w:val="27"/>
          <w:rtl/>
          <w:lang w:bidi="ar-AE"/>
        </w:rPr>
        <w:t>َ</w:t>
      </w:r>
      <w:r w:rsidR="00BF56C8" w:rsidRPr="00904FCB">
        <w:rPr>
          <w:rFonts w:hint="cs"/>
          <w:b/>
          <w:bCs/>
          <w:sz w:val="27"/>
          <w:rtl/>
          <w:lang w:bidi="ar-AE"/>
        </w:rPr>
        <w:t>ن</w:t>
      </w:r>
      <w:r w:rsidR="00FC6D12" w:rsidRPr="00904FCB">
        <w:rPr>
          <w:rFonts w:hint="cs"/>
          <w:b/>
          <w:bCs/>
          <w:sz w:val="27"/>
          <w:rtl/>
          <w:lang w:bidi="ar-AE"/>
        </w:rPr>
        <w:t>ْ</w:t>
      </w:r>
      <w:r w:rsidR="00BF56C8" w:rsidRPr="00904FCB">
        <w:rPr>
          <w:rFonts w:hint="cs"/>
          <w:b/>
          <w:bCs/>
          <w:sz w:val="27"/>
          <w:rtl/>
          <w:lang w:bidi="ar-AE"/>
        </w:rPr>
        <w:t xml:space="preserve"> يخالفه</w:t>
      </w:r>
      <w:r w:rsidR="00FC6D12" w:rsidRPr="00904FCB">
        <w:rPr>
          <w:rFonts w:hint="cs"/>
          <w:b/>
          <w:bCs/>
          <w:sz w:val="27"/>
          <w:rtl/>
          <w:lang w:bidi="ar-AE"/>
        </w:rPr>
        <w:t>ا</w:t>
      </w:r>
      <w:r w:rsidR="00BF56C8" w:rsidRPr="00904FCB">
        <w:rPr>
          <w:rFonts w:hint="cs"/>
          <w:b/>
          <w:bCs/>
          <w:sz w:val="27"/>
          <w:rtl/>
          <w:lang w:bidi="ar-AE"/>
        </w:rPr>
        <w:t xml:space="preserve"> الرأي</w:t>
      </w:r>
      <w:r w:rsidR="00FC6D12" w:rsidRPr="00904FCB">
        <w:rPr>
          <w:rFonts w:hint="cs"/>
          <w:b/>
          <w:bCs/>
          <w:sz w:val="27"/>
          <w:rtl/>
          <w:lang w:bidi="ar-AE"/>
        </w:rPr>
        <w:t>.</w:t>
      </w:r>
      <w:r w:rsidR="00BF56C8" w:rsidRPr="00904FCB">
        <w:rPr>
          <w:rFonts w:hint="cs"/>
          <w:b/>
          <w:bCs/>
          <w:sz w:val="27"/>
          <w:rtl/>
          <w:lang w:bidi="ar-AE"/>
        </w:rPr>
        <w:t xml:space="preserve"> كما حصل ذلك بالنسبة إلى الكنيسة في العصور الوسطى. </w:t>
      </w:r>
      <w:r w:rsidR="00FC6D12" w:rsidRPr="00904FCB">
        <w:rPr>
          <w:rFonts w:hint="cs"/>
          <w:b/>
          <w:bCs/>
          <w:sz w:val="27"/>
          <w:rtl/>
          <w:lang w:bidi="ar-AE"/>
        </w:rPr>
        <w:t>و</w:t>
      </w:r>
      <w:r w:rsidR="00BF56C8" w:rsidRPr="00904FCB">
        <w:rPr>
          <w:rFonts w:hint="cs"/>
          <w:b/>
          <w:bCs/>
          <w:sz w:val="27"/>
          <w:rtl/>
          <w:lang w:bidi="ar-AE"/>
        </w:rPr>
        <w:t>خلاصة القول</w:t>
      </w:r>
      <w:r w:rsidR="00FC6D12" w:rsidRPr="00904FCB">
        <w:rPr>
          <w:rFonts w:hint="cs"/>
          <w:b/>
          <w:bCs/>
          <w:sz w:val="27"/>
          <w:rtl/>
          <w:lang w:bidi="ar-AE"/>
        </w:rPr>
        <w:t>:</w:t>
      </w:r>
      <w:r w:rsidR="00BF56C8" w:rsidRPr="00904FCB">
        <w:rPr>
          <w:rFonts w:hint="cs"/>
          <w:b/>
          <w:bCs/>
          <w:sz w:val="27"/>
          <w:rtl/>
          <w:lang w:bidi="ar-AE"/>
        </w:rPr>
        <w:t xml:space="preserve"> إنهم إن</w:t>
      </w:r>
      <w:r w:rsidR="00FC6D12" w:rsidRPr="00904FCB">
        <w:rPr>
          <w:rFonts w:hint="cs"/>
          <w:b/>
          <w:bCs/>
          <w:sz w:val="27"/>
          <w:rtl/>
          <w:lang w:bidi="ar-AE"/>
        </w:rPr>
        <w:t>ّ</w:t>
      </w:r>
      <w:r w:rsidR="00BF56C8" w:rsidRPr="00904FCB">
        <w:rPr>
          <w:rFonts w:hint="cs"/>
          <w:b/>
          <w:bCs/>
          <w:sz w:val="27"/>
          <w:rtl/>
          <w:lang w:bidi="ar-AE"/>
        </w:rPr>
        <w:t>ما يسعون إلى حفظ مصالحهم. والذي أراه هو ضرورة أن تُم</w:t>
      </w:r>
      <w:r w:rsidR="00FC6D12" w:rsidRPr="00904FCB">
        <w:rPr>
          <w:rFonts w:hint="cs"/>
          <w:b/>
          <w:bCs/>
          <w:sz w:val="27"/>
          <w:rtl/>
          <w:lang w:bidi="ar-AE"/>
        </w:rPr>
        <w:t>ْ</w:t>
      </w:r>
      <w:r w:rsidR="00BF56C8" w:rsidRPr="00904FCB">
        <w:rPr>
          <w:rFonts w:hint="cs"/>
          <w:b/>
          <w:bCs/>
          <w:sz w:val="27"/>
          <w:rtl/>
          <w:lang w:bidi="ar-AE"/>
        </w:rPr>
        <w:t>ن</w:t>
      </w:r>
      <w:r w:rsidR="00FC6D12" w:rsidRPr="00904FCB">
        <w:rPr>
          <w:rFonts w:hint="cs"/>
          <w:b/>
          <w:bCs/>
          <w:sz w:val="27"/>
          <w:rtl/>
          <w:lang w:bidi="ar-AE"/>
        </w:rPr>
        <w:t>َ</w:t>
      </w:r>
      <w:r w:rsidR="00BF56C8" w:rsidRPr="00904FCB">
        <w:rPr>
          <w:rFonts w:hint="cs"/>
          <w:b/>
          <w:bCs/>
          <w:sz w:val="27"/>
          <w:rtl/>
          <w:lang w:bidi="ar-AE"/>
        </w:rPr>
        <w:t>ح الح</w:t>
      </w:r>
      <w:r w:rsidR="00FC6D12" w:rsidRPr="00904FCB">
        <w:rPr>
          <w:rFonts w:hint="cs"/>
          <w:b/>
          <w:bCs/>
          <w:sz w:val="27"/>
          <w:rtl/>
          <w:lang w:bidi="ar-AE"/>
        </w:rPr>
        <w:t>ُ</w:t>
      </w:r>
      <w:r w:rsidR="00BF56C8" w:rsidRPr="00904FCB">
        <w:rPr>
          <w:rFonts w:hint="cs"/>
          <w:b/>
          <w:bCs/>
          <w:sz w:val="27"/>
          <w:rtl/>
          <w:lang w:bidi="ar-AE"/>
        </w:rPr>
        <w:t>ر</w:t>
      </w:r>
      <w:r w:rsidR="00FC6D12" w:rsidRPr="00904FCB">
        <w:rPr>
          <w:rFonts w:hint="cs"/>
          <w:b/>
          <w:bCs/>
          <w:sz w:val="27"/>
          <w:rtl/>
          <w:lang w:bidi="ar-AE"/>
        </w:rPr>
        <w:t>ِّ</w:t>
      </w:r>
      <w:r w:rsidR="00BF56C8" w:rsidRPr="00904FCB">
        <w:rPr>
          <w:rFonts w:hint="cs"/>
          <w:b/>
          <w:bCs/>
          <w:sz w:val="27"/>
          <w:rtl/>
          <w:lang w:bidi="ar-AE"/>
        </w:rPr>
        <w:t>ية لجميع الأفراد في بيان آرائهم وأفكارهم، وأنه لا ب</w:t>
      </w:r>
      <w:r w:rsidR="00FC6D12" w:rsidRPr="00904FCB">
        <w:rPr>
          <w:rFonts w:hint="cs"/>
          <w:b/>
          <w:bCs/>
          <w:sz w:val="27"/>
          <w:rtl/>
          <w:lang w:bidi="ar-AE"/>
        </w:rPr>
        <w:t>ُ</w:t>
      </w:r>
      <w:r w:rsidR="00BF56C8" w:rsidRPr="00904FCB">
        <w:rPr>
          <w:rFonts w:hint="cs"/>
          <w:b/>
          <w:bCs/>
          <w:sz w:val="27"/>
          <w:rtl/>
          <w:lang w:bidi="ar-AE"/>
        </w:rPr>
        <w:t>د</w:t>
      </w:r>
      <w:r w:rsidR="00FC6D12" w:rsidRPr="00904FCB">
        <w:rPr>
          <w:rFonts w:hint="cs"/>
          <w:b/>
          <w:bCs/>
          <w:sz w:val="27"/>
          <w:rtl/>
          <w:lang w:bidi="ar-AE"/>
        </w:rPr>
        <w:t>َّ</w:t>
      </w:r>
      <w:r w:rsidR="00BF56C8" w:rsidRPr="00904FCB">
        <w:rPr>
          <w:rFonts w:hint="cs"/>
          <w:b/>
          <w:bCs/>
          <w:sz w:val="27"/>
          <w:rtl/>
          <w:lang w:bidi="ar-AE"/>
        </w:rPr>
        <w:t xml:space="preserve"> من مواجهة الأفكار الباطلة بمنطق</w:t>
      </w:r>
      <w:r w:rsidR="00FC6D12" w:rsidRPr="00904FCB">
        <w:rPr>
          <w:rFonts w:hint="cs"/>
          <w:b/>
          <w:bCs/>
          <w:sz w:val="27"/>
          <w:rtl/>
          <w:lang w:bidi="ar-AE"/>
        </w:rPr>
        <w:t>ٍ</w:t>
      </w:r>
      <w:r w:rsidR="00BF56C8" w:rsidRPr="00904FCB">
        <w:rPr>
          <w:rFonts w:hint="cs"/>
          <w:b/>
          <w:bCs/>
          <w:sz w:val="27"/>
          <w:rtl/>
          <w:lang w:bidi="ar-AE"/>
        </w:rPr>
        <w:t xml:space="preserve"> صحيح، لا بمنعه من النشر. </w:t>
      </w:r>
    </w:p>
    <w:p w:rsidR="00BF56C8" w:rsidRPr="00904FCB" w:rsidRDefault="00205088" w:rsidP="0086186E">
      <w:pPr>
        <w:spacing w:line="400" w:lineRule="exact"/>
        <w:rPr>
          <w:sz w:val="27"/>
          <w:rtl/>
          <w:lang w:bidi="ar-AE"/>
        </w:rPr>
      </w:pPr>
      <w:r w:rsidRPr="00904FCB">
        <w:rPr>
          <w:rFonts w:hint="cs"/>
          <w:sz w:val="24"/>
          <w:szCs w:val="24"/>
        </w:rPr>
        <w:sym w:font="AGA Arabesque" w:char="F05E"/>
      </w:r>
      <w:r w:rsidRPr="00904FCB">
        <w:rPr>
          <w:rFonts w:hint="cs"/>
          <w:sz w:val="27"/>
          <w:rtl/>
          <w:lang w:bidi="ar-AE"/>
        </w:rPr>
        <w:t xml:space="preserve"> </w:t>
      </w:r>
      <w:r w:rsidR="0086186E">
        <w:rPr>
          <w:rFonts w:hint="cs"/>
          <w:sz w:val="27"/>
          <w:rtl/>
          <w:lang w:bidi="ar-AE"/>
        </w:rPr>
        <w:t>لم أعرف بشكلٍ</w:t>
      </w:r>
      <w:r w:rsidR="00BF56C8" w:rsidRPr="00904FCB">
        <w:rPr>
          <w:rFonts w:hint="cs"/>
          <w:sz w:val="27"/>
          <w:rtl/>
          <w:lang w:bidi="ar-AE"/>
        </w:rPr>
        <w:t xml:space="preserve"> دقيق أيّ</w:t>
      </w:r>
      <w:r w:rsidR="00FC6D12" w:rsidRPr="00904FCB">
        <w:rPr>
          <w:rFonts w:hint="cs"/>
          <w:sz w:val="27"/>
          <w:rtl/>
          <w:lang w:bidi="ar-AE"/>
        </w:rPr>
        <w:t>َ</w:t>
      </w:r>
      <w:r w:rsidR="00BF56C8" w:rsidRPr="00904FCB">
        <w:rPr>
          <w:rFonts w:hint="cs"/>
          <w:sz w:val="27"/>
          <w:rtl/>
          <w:lang w:bidi="ar-AE"/>
        </w:rPr>
        <w:t xml:space="preserve"> موضع من كلام السيد المهندس [كتيرائي] يختلف مع أيّ موضع</w:t>
      </w:r>
      <w:r w:rsidR="00FC6D12" w:rsidRPr="00904FCB">
        <w:rPr>
          <w:rFonts w:hint="cs"/>
          <w:sz w:val="27"/>
          <w:rtl/>
          <w:lang w:bidi="ar-AE"/>
        </w:rPr>
        <w:t>ٍ</w:t>
      </w:r>
      <w:r w:rsidR="00BF56C8" w:rsidRPr="00904FCB">
        <w:rPr>
          <w:rFonts w:hint="cs"/>
          <w:sz w:val="27"/>
          <w:rtl/>
          <w:lang w:bidi="ar-AE"/>
        </w:rPr>
        <w:t xml:space="preserve"> من كلامي. فما هي علاقة ماهي</w:t>
      </w:r>
      <w:r w:rsidR="00FC6D12" w:rsidRPr="00904FCB">
        <w:rPr>
          <w:rFonts w:hint="cs"/>
          <w:sz w:val="27"/>
          <w:rtl/>
          <w:lang w:bidi="ar-AE"/>
        </w:rPr>
        <w:t>ّ</w:t>
      </w:r>
      <w:r w:rsidR="00BF56C8" w:rsidRPr="00904FCB">
        <w:rPr>
          <w:rFonts w:hint="cs"/>
          <w:sz w:val="27"/>
          <w:rtl/>
          <w:lang w:bidi="ar-AE"/>
        </w:rPr>
        <w:t>ة الحكومات بما نحن فيه؟ فنحن نقرّ بأن الأقل</w:t>
      </w:r>
      <w:r w:rsidR="00FC6D12" w:rsidRPr="00904FCB">
        <w:rPr>
          <w:rFonts w:hint="cs"/>
          <w:sz w:val="27"/>
          <w:rtl/>
          <w:lang w:bidi="ar-AE"/>
        </w:rPr>
        <w:t>ّ</w:t>
      </w:r>
      <w:r w:rsidR="00BF56C8" w:rsidRPr="00904FCB">
        <w:rPr>
          <w:rFonts w:hint="cs"/>
          <w:sz w:val="27"/>
          <w:rtl/>
          <w:lang w:bidi="ar-AE"/>
        </w:rPr>
        <w:t>يات قبل الاستيلاء على السلطة تتبجّ</w:t>
      </w:r>
      <w:r w:rsidR="00FC6D12" w:rsidRPr="00904FCB">
        <w:rPr>
          <w:rFonts w:hint="cs"/>
          <w:sz w:val="27"/>
          <w:rtl/>
          <w:lang w:bidi="ar-AE"/>
        </w:rPr>
        <w:t>َ</w:t>
      </w:r>
      <w:r w:rsidR="00BF56C8" w:rsidRPr="00904FCB">
        <w:rPr>
          <w:rFonts w:hint="cs"/>
          <w:sz w:val="27"/>
          <w:rtl/>
          <w:lang w:bidi="ar-AE"/>
        </w:rPr>
        <w:t>ح كذباً بالعدالة والح</w:t>
      </w:r>
      <w:r w:rsidR="00FC6D12" w:rsidRPr="00904FCB">
        <w:rPr>
          <w:rFonts w:hint="cs"/>
          <w:sz w:val="27"/>
          <w:rtl/>
          <w:lang w:bidi="ar-AE"/>
        </w:rPr>
        <w:t>ُ</w:t>
      </w:r>
      <w:r w:rsidR="00BF56C8" w:rsidRPr="00904FCB">
        <w:rPr>
          <w:rFonts w:hint="cs"/>
          <w:sz w:val="27"/>
          <w:rtl/>
          <w:lang w:bidi="ar-AE"/>
        </w:rPr>
        <w:t>ر</w:t>
      </w:r>
      <w:r w:rsidR="00FC6D12" w:rsidRPr="00904FCB">
        <w:rPr>
          <w:rFonts w:hint="cs"/>
          <w:sz w:val="27"/>
          <w:rtl/>
          <w:lang w:bidi="ar-AE"/>
        </w:rPr>
        <w:t>ِّ</w:t>
      </w:r>
      <w:r w:rsidR="00BF56C8" w:rsidRPr="00904FCB">
        <w:rPr>
          <w:rFonts w:hint="cs"/>
          <w:sz w:val="27"/>
          <w:rtl/>
          <w:lang w:bidi="ar-AE"/>
        </w:rPr>
        <w:t xml:space="preserve">ية، </w:t>
      </w:r>
      <w:r w:rsidR="00FC6D12" w:rsidRPr="00904FCB">
        <w:rPr>
          <w:rFonts w:hint="cs"/>
          <w:sz w:val="27"/>
          <w:rtl/>
          <w:lang w:bidi="ar-AE"/>
        </w:rPr>
        <w:t>و</w:t>
      </w:r>
      <w:r w:rsidR="00BF56C8" w:rsidRPr="00904FCB">
        <w:rPr>
          <w:rFonts w:hint="cs"/>
          <w:sz w:val="27"/>
          <w:rtl/>
          <w:lang w:bidi="ar-AE"/>
        </w:rPr>
        <w:t xml:space="preserve">ما </w:t>
      </w:r>
      <w:r w:rsidR="00FC6D12" w:rsidRPr="00904FCB">
        <w:rPr>
          <w:rFonts w:hint="cs"/>
          <w:sz w:val="27"/>
          <w:rtl/>
          <w:lang w:bidi="ar-AE"/>
        </w:rPr>
        <w:t>إ</w:t>
      </w:r>
      <w:r w:rsidR="00BF56C8" w:rsidRPr="00904FCB">
        <w:rPr>
          <w:rFonts w:hint="cs"/>
          <w:sz w:val="27"/>
          <w:rtl/>
          <w:lang w:bidi="ar-AE"/>
        </w:rPr>
        <w:t>ن تستولي على السلطة حت</w:t>
      </w:r>
      <w:r w:rsidR="00FC6D12" w:rsidRPr="00904FCB">
        <w:rPr>
          <w:rFonts w:hint="cs"/>
          <w:sz w:val="27"/>
          <w:rtl/>
          <w:lang w:bidi="ar-AE"/>
        </w:rPr>
        <w:t>ّ</w:t>
      </w:r>
      <w:r w:rsidR="00BF56C8" w:rsidRPr="00904FCB">
        <w:rPr>
          <w:rFonts w:hint="cs"/>
          <w:sz w:val="27"/>
          <w:rtl/>
          <w:lang w:bidi="ar-AE"/>
        </w:rPr>
        <w:t>ى تكون من ألدّ الخصوم للح</w:t>
      </w:r>
      <w:r w:rsidR="00FC6D12" w:rsidRPr="00904FCB">
        <w:rPr>
          <w:rFonts w:hint="cs"/>
          <w:sz w:val="27"/>
          <w:rtl/>
          <w:lang w:bidi="ar-AE"/>
        </w:rPr>
        <w:t>ُ</w:t>
      </w:r>
      <w:r w:rsidR="00BF56C8" w:rsidRPr="00904FCB">
        <w:rPr>
          <w:rFonts w:hint="cs"/>
          <w:sz w:val="27"/>
          <w:rtl/>
          <w:lang w:bidi="ar-AE"/>
        </w:rPr>
        <w:t>ر</w:t>
      </w:r>
      <w:r w:rsidR="00FC6D12" w:rsidRPr="00904FCB">
        <w:rPr>
          <w:rFonts w:hint="cs"/>
          <w:sz w:val="27"/>
          <w:rtl/>
          <w:lang w:bidi="ar-AE"/>
        </w:rPr>
        <w:t>ِّ</w:t>
      </w:r>
      <w:r w:rsidR="00BF56C8" w:rsidRPr="00904FCB">
        <w:rPr>
          <w:rFonts w:hint="cs"/>
          <w:sz w:val="27"/>
          <w:rtl/>
          <w:lang w:bidi="ar-AE"/>
        </w:rPr>
        <w:t>ية والعدالة</w:t>
      </w:r>
      <w:r w:rsidR="00FC6D12" w:rsidRPr="00904FCB">
        <w:rPr>
          <w:rFonts w:hint="cs"/>
          <w:sz w:val="27"/>
          <w:rtl/>
          <w:lang w:bidi="ar-AE"/>
        </w:rPr>
        <w:t>.</w:t>
      </w:r>
      <w:r w:rsidR="00BF56C8" w:rsidRPr="00904FCB">
        <w:rPr>
          <w:rFonts w:hint="cs"/>
          <w:sz w:val="27"/>
          <w:rtl/>
          <w:lang w:bidi="ar-AE"/>
        </w:rPr>
        <w:t xml:space="preserve"> ولكن</w:t>
      </w:r>
      <w:r w:rsidR="00FC6D12" w:rsidRPr="00904FCB">
        <w:rPr>
          <w:rFonts w:hint="cs"/>
          <w:sz w:val="27"/>
          <w:rtl/>
          <w:lang w:bidi="ar-AE"/>
        </w:rPr>
        <w:t>ْ</w:t>
      </w:r>
      <w:r w:rsidR="00BF56C8" w:rsidRPr="00904FCB">
        <w:rPr>
          <w:rFonts w:hint="cs"/>
          <w:sz w:val="27"/>
          <w:rtl/>
          <w:lang w:bidi="ar-AE"/>
        </w:rPr>
        <w:t xml:space="preserve"> ما هي علاقة ذلك بموضوع بحثنا؟ فنحن إنما نبحث المسألة من زاوية</w:t>
      </w:r>
      <w:r w:rsidR="00FC6D12" w:rsidRPr="00904FCB">
        <w:rPr>
          <w:rFonts w:hint="cs"/>
          <w:sz w:val="27"/>
          <w:rtl/>
          <w:lang w:bidi="ar-AE"/>
        </w:rPr>
        <w:t>ٍ</w:t>
      </w:r>
      <w:r w:rsidR="00BF56C8" w:rsidRPr="00904FCB">
        <w:rPr>
          <w:rFonts w:hint="cs"/>
          <w:sz w:val="27"/>
          <w:rtl/>
          <w:lang w:bidi="ar-AE"/>
        </w:rPr>
        <w:t xml:space="preserve"> دينية. والبحث الديني يتعاطى مع الأمر وجداني</w:t>
      </w:r>
      <w:r w:rsidR="00FC6D12" w:rsidRPr="00904FCB">
        <w:rPr>
          <w:rFonts w:hint="cs"/>
          <w:sz w:val="27"/>
          <w:rtl/>
          <w:lang w:bidi="ar-AE"/>
        </w:rPr>
        <w:t>ّ</w:t>
      </w:r>
      <w:r w:rsidR="00BF56C8" w:rsidRPr="00904FCB">
        <w:rPr>
          <w:rFonts w:hint="cs"/>
          <w:sz w:val="27"/>
          <w:rtl/>
          <w:lang w:bidi="ar-AE"/>
        </w:rPr>
        <w:t>اً. نحن نريد أن نرى جلي</w:t>
      </w:r>
      <w:r w:rsidR="00FC6D12" w:rsidRPr="00904FCB">
        <w:rPr>
          <w:rFonts w:hint="cs"/>
          <w:sz w:val="27"/>
          <w:rtl/>
          <w:lang w:bidi="ar-AE"/>
        </w:rPr>
        <w:t>ّ</w:t>
      </w:r>
      <w:r w:rsidR="00BF56C8" w:rsidRPr="00904FCB">
        <w:rPr>
          <w:rFonts w:hint="cs"/>
          <w:sz w:val="27"/>
          <w:rtl/>
          <w:lang w:bidi="ar-AE"/>
        </w:rPr>
        <w:t>ة الأمر من خلال وجداننا الديني. لنفترض أننا الآن في سدّة الحكم والسلطة، وأردنا أن نحكّ</w:t>
      </w:r>
      <w:r w:rsidR="00FC6D12" w:rsidRPr="00904FCB">
        <w:rPr>
          <w:rFonts w:hint="cs"/>
          <w:sz w:val="27"/>
          <w:rtl/>
          <w:lang w:bidi="ar-AE"/>
        </w:rPr>
        <w:t>ِ</w:t>
      </w:r>
      <w:r w:rsidR="00BF56C8" w:rsidRPr="00904FCB">
        <w:rPr>
          <w:rFonts w:hint="cs"/>
          <w:sz w:val="27"/>
          <w:rtl/>
          <w:lang w:bidi="ar-AE"/>
        </w:rPr>
        <w:t>م الوجدان الديني في هذا الأمر، كيف سيكون تصرّ</w:t>
      </w:r>
      <w:r w:rsidR="00FC6D12" w:rsidRPr="00904FCB">
        <w:rPr>
          <w:rFonts w:hint="cs"/>
          <w:sz w:val="27"/>
          <w:rtl/>
          <w:lang w:bidi="ar-AE"/>
        </w:rPr>
        <w:t>ُ</w:t>
      </w:r>
      <w:r w:rsidR="00BF56C8" w:rsidRPr="00904FCB">
        <w:rPr>
          <w:rFonts w:hint="cs"/>
          <w:sz w:val="27"/>
          <w:rtl/>
          <w:lang w:bidi="ar-AE"/>
        </w:rPr>
        <w:t>فنا</w:t>
      </w:r>
      <w:r w:rsidR="0086186E">
        <w:rPr>
          <w:rFonts w:hint="cs"/>
          <w:sz w:val="27"/>
          <w:rtl/>
          <w:lang w:bidi="ar-AE"/>
        </w:rPr>
        <w:t>؟</w:t>
      </w:r>
      <w:r w:rsidR="00BF56C8" w:rsidRPr="00904FCB">
        <w:rPr>
          <w:rFonts w:hint="cs"/>
          <w:sz w:val="27"/>
          <w:rtl/>
          <w:lang w:bidi="ar-AE"/>
        </w:rPr>
        <w:t xml:space="preserve"> أو حيث نحن الآن</w:t>
      </w:r>
      <w:r w:rsidR="00FC6D12" w:rsidRPr="00904FCB">
        <w:rPr>
          <w:rFonts w:hint="cs"/>
          <w:sz w:val="27"/>
          <w:rtl/>
          <w:lang w:bidi="ar-AE"/>
        </w:rPr>
        <w:t>؛</w:t>
      </w:r>
      <w:r w:rsidR="00BF56C8" w:rsidRPr="00904FCB">
        <w:rPr>
          <w:rFonts w:hint="cs"/>
          <w:sz w:val="27"/>
          <w:rtl/>
          <w:lang w:bidi="ar-AE"/>
        </w:rPr>
        <w:t xml:space="preserve"> إذ نتمت</w:t>
      </w:r>
      <w:r w:rsidR="00FC6D12" w:rsidRPr="00904FCB">
        <w:rPr>
          <w:rFonts w:hint="cs"/>
          <w:sz w:val="27"/>
          <w:rtl/>
          <w:lang w:bidi="ar-AE"/>
        </w:rPr>
        <w:t>َّ</w:t>
      </w:r>
      <w:r w:rsidR="00BF56C8" w:rsidRPr="00904FCB">
        <w:rPr>
          <w:rFonts w:hint="cs"/>
          <w:sz w:val="27"/>
          <w:rtl/>
          <w:lang w:bidi="ar-AE"/>
        </w:rPr>
        <w:t>ع بهامش</w:t>
      </w:r>
      <w:r w:rsidR="00FC6D12" w:rsidRPr="00904FCB">
        <w:rPr>
          <w:rFonts w:hint="cs"/>
          <w:sz w:val="27"/>
          <w:rtl/>
          <w:lang w:bidi="ar-AE"/>
        </w:rPr>
        <w:t>ٍ</w:t>
      </w:r>
      <w:r w:rsidR="00BF56C8" w:rsidRPr="00904FCB">
        <w:rPr>
          <w:rFonts w:hint="cs"/>
          <w:sz w:val="27"/>
          <w:rtl/>
          <w:lang w:bidi="ar-AE"/>
        </w:rPr>
        <w:t xml:space="preserve"> من السلطة، كيف ينبغي أن نتصرّ</w:t>
      </w:r>
      <w:r w:rsidR="00FC6D12" w:rsidRPr="00904FCB">
        <w:rPr>
          <w:rFonts w:hint="cs"/>
          <w:sz w:val="27"/>
          <w:rtl/>
          <w:lang w:bidi="ar-AE"/>
        </w:rPr>
        <w:t>َ</w:t>
      </w:r>
      <w:r w:rsidR="00BF56C8" w:rsidRPr="00904FCB">
        <w:rPr>
          <w:rFonts w:hint="cs"/>
          <w:sz w:val="27"/>
          <w:rtl/>
          <w:lang w:bidi="ar-AE"/>
        </w:rPr>
        <w:t>ف؟ وأم</w:t>
      </w:r>
      <w:r w:rsidR="00FC6D12" w:rsidRPr="00904FCB">
        <w:rPr>
          <w:rFonts w:hint="cs"/>
          <w:sz w:val="27"/>
          <w:rtl/>
          <w:lang w:bidi="ar-AE"/>
        </w:rPr>
        <w:t>ّ</w:t>
      </w:r>
      <w:r w:rsidR="00BF56C8" w:rsidRPr="00904FCB">
        <w:rPr>
          <w:rFonts w:hint="cs"/>
          <w:sz w:val="27"/>
          <w:rtl/>
          <w:lang w:bidi="ar-AE"/>
        </w:rPr>
        <w:t>ا إذا كن</w:t>
      </w:r>
      <w:r w:rsidR="00FC6D12" w:rsidRPr="00904FCB">
        <w:rPr>
          <w:rFonts w:hint="cs"/>
          <w:sz w:val="27"/>
          <w:rtl/>
          <w:lang w:bidi="ar-AE"/>
        </w:rPr>
        <w:t>ّ</w:t>
      </w:r>
      <w:r w:rsidR="00BF56C8" w:rsidRPr="00904FCB">
        <w:rPr>
          <w:rFonts w:hint="cs"/>
          <w:sz w:val="27"/>
          <w:rtl/>
          <w:lang w:bidi="ar-AE"/>
        </w:rPr>
        <w:t>ا نعلم في قرارة أنفسنا بأننا نكذب</w:t>
      </w:r>
      <w:r w:rsidR="00FC6D12" w:rsidRPr="00904FCB">
        <w:rPr>
          <w:rFonts w:hint="cs"/>
          <w:sz w:val="27"/>
          <w:rtl/>
          <w:lang w:bidi="ar-AE"/>
        </w:rPr>
        <w:t>؛</w:t>
      </w:r>
      <w:r w:rsidR="00BF56C8" w:rsidRPr="00904FCB">
        <w:rPr>
          <w:rFonts w:hint="cs"/>
          <w:sz w:val="27"/>
          <w:rtl/>
          <w:lang w:bidi="ar-AE"/>
        </w:rPr>
        <w:t xml:space="preserve"> إذ نفوه بهذه الكلمات في الوقت الراهن، وعندما نستلم السلطة غداً سيكون سلوكنا على خلاف ما كن</w:t>
      </w:r>
      <w:r w:rsidR="00FC6D12" w:rsidRPr="00904FCB">
        <w:rPr>
          <w:rFonts w:hint="cs"/>
          <w:sz w:val="27"/>
          <w:rtl/>
          <w:lang w:bidi="ar-AE"/>
        </w:rPr>
        <w:t>ّ</w:t>
      </w:r>
      <w:r w:rsidR="00BF56C8" w:rsidRPr="00904FCB">
        <w:rPr>
          <w:rFonts w:hint="cs"/>
          <w:sz w:val="27"/>
          <w:rtl/>
          <w:lang w:bidi="ar-AE"/>
        </w:rPr>
        <w:t>ا نقوله، فعندها سيت</w:t>
      </w:r>
      <w:r w:rsidR="00FC6D12" w:rsidRPr="00904FCB">
        <w:rPr>
          <w:rFonts w:hint="cs"/>
          <w:sz w:val="27"/>
          <w:rtl/>
          <w:lang w:bidi="ar-AE"/>
        </w:rPr>
        <w:t>ّ</w:t>
      </w:r>
      <w:r w:rsidR="00BF56C8" w:rsidRPr="00904FCB">
        <w:rPr>
          <w:rFonts w:hint="cs"/>
          <w:sz w:val="27"/>
          <w:rtl/>
          <w:lang w:bidi="ar-AE"/>
        </w:rPr>
        <w:t>ضح أن معالجتنا من أو</w:t>
      </w:r>
      <w:r w:rsidR="00FC6D12" w:rsidRPr="00904FCB">
        <w:rPr>
          <w:rFonts w:hint="cs"/>
          <w:sz w:val="27"/>
          <w:rtl/>
          <w:lang w:bidi="ar-AE"/>
        </w:rPr>
        <w:t>ّ</w:t>
      </w:r>
      <w:r w:rsidR="00BF56C8" w:rsidRPr="00904FCB">
        <w:rPr>
          <w:rFonts w:hint="cs"/>
          <w:sz w:val="27"/>
          <w:rtl/>
          <w:lang w:bidi="ar-AE"/>
        </w:rPr>
        <w:t>ل الأمر لم تكن دينية</w:t>
      </w:r>
      <w:r w:rsidR="00FC6D12" w:rsidRPr="00904FCB">
        <w:rPr>
          <w:rFonts w:hint="cs"/>
          <w:sz w:val="27"/>
          <w:rtl/>
          <w:lang w:bidi="ar-AE"/>
        </w:rPr>
        <w:t>ً</w:t>
      </w:r>
      <w:r w:rsidR="00BF56C8" w:rsidRPr="00904FCB">
        <w:rPr>
          <w:rFonts w:hint="cs"/>
          <w:sz w:val="27"/>
          <w:rtl/>
          <w:lang w:bidi="ar-AE"/>
        </w:rPr>
        <w:t xml:space="preserve"> أبداً. </w:t>
      </w:r>
    </w:p>
    <w:p w:rsidR="00FC6D12" w:rsidRPr="00904FCB" w:rsidRDefault="00BF56C8" w:rsidP="007A21AA">
      <w:pPr>
        <w:spacing w:line="400" w:lineRule="exact"/>
        <w:rPr>
          <w:sz w:val="27"/>
          <w:rtl/>
          <w:lang w:bidi="ar-AE"/>
        </w:rPr>
      </w:pPr>
      <w:r w:rsidRPr="00904FCB">
        <w:rPr>
          <w:rFonts w:hint="cs"/>
          <w:sz w:val="27"/>
          <w:rtl/>
          <w:lang w:bidi="ar-AE"/>
        </w:rPr>
        <w:t>وأما بالنسبة إلى الشقّ الآخر فقد ذكرت أن علينا عندما نقع بين حالتين: حالة الهرج والمرج الفكري</w:t>
      </w:r>
      <w:r w:rsidR="00FC6D12" w:rsidRPr="00904FCB">
        <w:rPr>
          <w:rFonts w:hint="cs"/>
          <w:sz w:val="27"/>
          <w:rtl/>
          <w:lang w:bidi="ar-AE"/>
        </w:rPr>
        <w:t>؛</w:t>
      </w:r>
      <w:r w:rsidRPr="00904FCB">
        <w:rPr>
          <w:rFonts w:hint="cs"/>
          <w:sz w:val="27"/>
          <w:rtl/>
          <w:lang w:bidi="ar-AE"/>
        </w:rPr>
        <w:t xml:space="preserve"> وحالة المنع المطلق من حرية التعبير، أن ننتهج طريقاً وسطاً [يحول من جهة</w:t>
      </w:r>
      <w:r w:rsidR="00FC6D12" w:rsidRPr="00904FCB">
        <w:rPr>
          <w:rFonts w:hint="cs"/>
          <w:sz w:val="27"/>
          <w:rtl/>
          <w:lang w:bidi="ar-AE"/>
        </w:rPr>
        <w:t>ٍ</w:t>
      </w:r>
      <w:r w:rsidRPr="00904FCB">
        <w:rPr>
          <w:rFonts w:hint="cs"/>
          <w:sz w:val="27"/>
          <w:rtl/>
          <w:lang w:bidi="ar-AE"/>
        </w:rPr>
        <w:t xml:space="preserve"> دون الهرج والمرج الفكري]، ولا يمنع في الوقت نفسه من إعطاء المخالف كامل 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في إبداء رأيه والتعبير عن معتقده</w:t>
      </w:r>
      <w:r w:rsidR="00FC6D12" w:rsidRPr="00904FCB">
        <w:rPr>
          <w:rFonts w:hint="cs"/>
          <w:sz w:val="27"/>
          <w:rtl/>
          <w:lang w:bidi="ar-AE"/>
        </w:rPr>
        <w:t>.</w:t>
      </w:r>
    </w:p>
    <w:p w:rsidR="00BF56C8" w:rsidRPr="00904FCB" w:rsidRDefault="00BF56C8" w:rsidP="007A21AA">
      <w:pPr>
        <w:spacing w:line="400" w:lineRule="exact"/>
        <w:rPr>
          <w:sz w:val="27"/>
          <w:rtl/>
          <w:lang w:bidi="ar-AE"/>
        </w:rPr>
      </w:pPr>
      <w:r w:rsidRPr="00904FCB">
        <w:rPr>
          <w:rFonts w:hint="cs"/>
          <w:sz w:val="27"/>
          <w:rtl/>
          <w:lang w:bidi="ar-AE"/>
        </w:rPr>
        <w:t>سبق لي أن ذكر</w:t>
      </w:r>
      <w:r w:rsidR="00FC6D12" w:rsidRPr="00904FCB">
        <w:rPr>
          <w:rFonts w:hint="cs"/>
          <w:sz w:val="27"/>
          <w:rtl/>
          <w:lang w:bidi="ar-AE"/>
        </w:rPr>
        <w:t>تُ</w:t>
      </w:r>
      <w:r w:rsidRPr="00904FCB">
        <w:rPr>
          <w:rFonts w:hint="cs"/>
          <w:sz w:val="27"/>
          <w:rtl/>
          <w:lang w:bidi="ar-AE"/>
        </w:rPr>
        <w:t xml:space="preserve"> في ندوات</w:t>
      </w:r>
      <w:r w:rsidR="00FC6D12" w:rsidRPr="00904FCB">
        <w:rPr>
          <w:rFonts w:hint="cs"/>
          <w:sz w:val="27"/>
          <w:rtl/>
          <w:lang w:bidi="ar-AE"/>
        </w:rPr>
        <w:t>ٍ</w:t>
      </w:r>
      <w:r w:rsidRPr="00904FCB">
        <w:rPr>
          <w:rFonts w:hint="cs"/>
          <w:sz w:val="27"/>
          <w:rtl/>
          <w:lang w:bidi="ar-AE"/>
        </w:rPr>
        <w:t xml:space="preserve"> سابقة أنني لا أعتقد بالح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بوصفها حق</w:t>
      </w:r>
      <w:r w:rsidR="00FC6D12" w:rsidRPr="00904FCB">
        <w:rPr>
          <w:rFonts w:hint="cs"/>
          <w:sz w:val="27"/>
          <w:rtl/>
          <w:lang w:bidi="ar-AE"/>
        </w:rPr>
        <w:t>ّ</w:t>
      </w:r>
      <w:r w:rsidRPr="00904FCB">
        <w:rPr>
          <w:rFonts w:hint="cs"/>
          <w:sz w:val="27"/>
          <w:rtl/>
          <w:lang w:bidi="ar-AE"/>
        </w:rPr>
        <w:t>اً فردياً</w:t>
      </w:r>
      <w:r w:rsidR="00FC6D12" w:rsidRPr="00904FCB">
        <w:rPr>
          <w:rFonts w:hint="cs"/>
          <w:sz w:val="27"/>
          <w:rtl/>
          <w:lang w:bidi="ar-AE"/>
        </w:rPr>
        <w:t>، أي</w:t>
      </w:r>
      <w:r w:rsidRPr="00904FCB">
        <w:rPr>
          <w:rFonts w:hint="cs"/>
          <w:sz w:val="27"/>
          <w:rtl/>
          <w:lang w:bidi="ar-AE"/>
        </w:rPr>
        <w:t xml:space="preserve"> يثبت للفرد الحق</w:t>
      </w:r>
      <w:r w:rsidR="00FC6D12" w:rsidRPr="00904FCB">
        <w:rPr>
          <w:rFonts w:hint="cs"/>
          <w:sz w:val="27"/>
          <w:rtl/>
          <w:lang w:bidi="ar-AE"/>
        </w:rPr>
        <w:t>ّ</w:t>
      </w:r>
      <w:r w:rsidRPr="00904FCB">
        <w:rPr>
          <w:rFonts w:hint="cs"/>
          <w:sz w:val="27"/>
          <w:rtl/>
          <w:lang w:bidi="ar-AE"/>
        </w:rPr>
        <w:t xml:space="preserve"> في أن يفعل كل</w:t>
      </w:r>
      <w:r w:rsidR="00FC6D12" w:rsidRPr="00904FCB">
        <w:rPr>
          <w:rFonts w:hint="cs"/>
          <w:sz w:val="27"/>
          <w:rtl/>
          <w:lang w:bidi="ar-AE"/>
        </w:rPr>
        <w:t>ّ</w:t>
      </w:r>
      <w:r w:rsidRPr="00904FCB">
        <w:rPr>
          <w:rFonts w:hint="cs"/>
          <w:sz w:val="27"/>
          <w:rtl/>
          <w:lang w:bidi="ar-AE"/>
        </w:rPr>
        <w:t xml:space="preserve"> ما تمليه عليه رغبته، إن</w:t>
      </w:r>
      <w:r w:rsidR="00FC6D12" w:rsidRPr="00904FCB">
        <w:rPr>
          <w:rFonts w:hint="cs"/>
          <w:sz w:val="27"/>
          <w:rtl/>
          <w:lang w:bidi="ar-AE"/>
        </w:rPr>
        <w:t>ّ</w:t>
      </w:r>
      <w:r w:rsidRPr="00904FCB">
        <w:rPr>
          <w:rFonts w:hint="cs"/>
          <w:sz w:val="27"/>
          <w:rtl/>
          <w:lang w:bidi="ar-AE"/>
        </w:rPr>
        <w:t>ما 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التي ألتزم بها هي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تطوير الطاقات في إطار التكامل</w:t>
      </w:r>
      <w:r w:rsidR="00FC6D12" w:rsidRPr="00904FCB">
        <w:rPr>
          <w:rFonts w:hint="cs"/>
          <w:sz w:val="27"/>
          <w:rtl/>
          <w:lang w:bidi="ar-AE"/>
        </w:rPr>
        <w:t>.</w:t>
      </w:r>
      <w:r w:rsidRPr="00904FCB">
        <w:rPr>
          <w:rFonts w:hint="cs"/>
          <w:sz w:val="27"/>
          <w:rtl/>
          <w:lang w:bidi="ar-AE"/>
        </w:rPr>
        <w:t xml:space="preserve"> وهذا هو مكمن الاختلاف في وجهات النظر أحياناً. وأحياناً تنحصر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الطاقات من أجل التقدّ</w:t>
      </w:r>
      <w:r w:rsidR="00FC6D12" w:rsidRPr="00904FCB">
        <w:rPr>
          <w:rFonts w:hint="cs"/>
          <w:sz w:val="27"/>
          <w:rtl/>
          <w:lang w:bidi="ar-AE"/>
        </w:rPr>
        <w:t>ُ</w:t>
      </w:r>
      <w:r w:rsidRPr="00904FCB">
        <w:rPr>
          <w:rFonts w:hint="cs"/>
          <w:sz w:val="27"/>
          <w:rtl/>
          <w:lang w:bidi="ar-AE"/>
        </w:rPr>
        <w:t>م والتكامل بمكافحة 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يات الفردية والشخصية</w:t>
      </w:r>
      <w:r w:rsidR="00FC6D12" w:rsidRPr="00904FCB">
        <w:rPr>
          <w:rFonts w:hint="cs"/>
          <w:sz w:val="27"/>
          <w:rtl/>
          <w:lang w:bidi="ar-AE"/>
        </w:rPr>
        <w:t>؛</w:t>
      </w:r>
      <w:r w:rsidRPr="00904FCB">
        <w:rPr>
          <w:rFonts w:hint="cs"/>
          <w:sz w:val="27"/>
          <w:rtl/>
          <w:lang w:bidi="ar-AE"/>
        </w:rPr>
        <w:t xml:space="preserve"> فإن هذه العقائد التي تقيّ</w:t>
      </w:r>
      <w:r w:rsidR="00FC6D12" w:rsidRPr="00904FCB">
        <w:rPr>
          <w:rFonts w:hint="cs"/>
          <w:sz w:val="27"/>
          <w:rtl/>
          <w:lang w:bidi="ar-AE"/>
        </w:rPr>
        <w:t>ِ</w:t>
      </w:r>
      <w:r w:rsidRPr="00904FCB">
        <w:rPr>
          <w:rFonts w:hint="cs"/>
          <w:sz w:val="27"/>
          <w:rtl/>
          <w:lang w:bidi="ar-AE"/>
        </w:rPr>
        <w:t>د الأفراد بالأغلال يجب العمل على قطعها من أجل تحرير الطاقات. وعليه فإني معتقد</w:t>
      </w:r>
      <w:r w:rsidR="00FC6D12" w:rsidRPr="00904FCB">
        <w:rPr>
          <w:rFonts w:hint="cs"/>
          <w:sz w:val="27"/>
          <w:rtl/>
          <w:lang w:bidi="ar-AE"/>
        </w:rPr>
        <w:t>ٌ</w:t>
      </w:r>
      <w:r w:rsidRPr="00904FCB">
        <w:rPr>
          <w:rFonts w:hint="cs"/>
          <w:sz w:val="27"/>
          <w:rtl/>
          <w:lang w:bidi="ar-AE"/>
        </w:rPr>
        <w:t xml:space="preserve"> بالح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في</w:t>
      </w:r>
      <w:r w:rsidR="00FC6D12" w:rsidRPr="00904FCB">
        <w:rPr>
          <w:rFonts w:hint="cs"/>
          <w:sz w:val="27"/>
          <w:rtl/>
          <w:lang w:bidi="ar-AE"/>
        </w:rPr>
        <w:t xml:space="preserve"> </w:t>
      </w:r>
      <w:r w:rsidRPr="00904FCB">
        <w:rPr>
          <w:rFonts w:hint="cs"/>
          <w:sz w:val="27"/>
          <w:rtl/>
          <w:lang w:bidi="ar-AE"/>
        </w:rPr>
        <w:t>ما يتعل</w:t>
      </w:r>
      <w:r w:rsidR="00FC6D12" w:rsidRPr="00904FCB">
        <w:rPr>
          <w:rFonts w:hint="cs"/>
          <w:sz w:val="27"/>
          <w:rtl/>
          <w:lang w:bidi="ar-AE"/>
        </w:rPr>
        <w:t>َّ</w:t>
      </w:r>
      <w:r w:rsidRPr="00904FCB">
        <w:rPr>
          <w:rFonts w:hint="cs"/>
          <w:sz w:val="27"/>
          <w:rtl/>
          <w:lang w:bidi="ar-AE"/>
        </w:rPr>
        <w:t>ق بالمسار العام للمصالح الاجتماعية، وتظهير الشخصيات الصحيحة، دون القول بأني بشر</w:t>
      </w:r>
      <w:r w:rsidR="00FC6D12" w:rsidRPr="00904FCB">
        <w:rPr>
          <w:rFonts w:hint="cs"/>
          <w:sz w:val="27"/>
          <w:rtl/>
          <w:lang w:bidi="ar-AE"/>
        </w:rPr>
        <w:t>ٌ،</w:t>
      </w:r>
      <w:r w:rsidRPr="00904FCB">
        <w:rPr>
          <w:rFonts w:hint="cs"/>
          <w:sz w:val="27"/>
          <w:rtl/>
          <w:lang w:bidi="ar-AE"/>
        </w:rPr>
        <w:t xml:space="preserve"> وأن </w:t>
      </w:r>
      <w:r w:rsidRPr="00904FCB">
        <w:rPr>
          <w:rFonts w:hint="cs"/>
          <w:sz w:val="27"/>
          <w:rtl/>
          <w:lang w:bidi="ar-AE"/>
        </w:rPr>
        <w:lastRenderedPageBreak/>
        <w:t>حيثيّتي الإنساني</w:t>
      </w:r>
      <w:r w:rsidR="00FC6D12" w:rsidRPr="00904FCB">
        <w:rPr>
          <w:rFonts w:hint="cs"/>
          <w:sz w:val="27"/>
          <w:rtl/>
          <w:lang w:bidi="ar-AE"/>
        </w:rPr>
        <w:t>ّ</w:t>
      </w:r>
      <w:r w:rsidRPr="00904FCB">
        <w:rPr>
          <w:rFonts w:hint="cs"/>
          <w:sz w:val="27"/>
          <w:rtl/>
          <w:lang w:bidi="ar-AE"/>
        </w:rPr>
        <w:t>ة تدعوني إلى تلبية جميع رغباتي</w:t>
      </w:r>
      <w:r w:rsidR="00FC6D12" w:rsidRPr="00904FCB">
        <w:rPr>
          <w:rFonts w:hint="cs"/>
          <w:sz w:val="27"/>
          <w:rtl/>
          <w:lang w:bidi="ar-AE"/>
        </w:rPr>
        <w:t>،</w:t>
      </w:r>
      <w:r w:rsidRPr="00904FCB">
        <w:rPr>
          <w:rFonts w:hint="cs"/>
          <w:sz w:val="27"/>
          <w:rtl/>
          <w:lang w:bidi="ar-AE"/>
        </w:rPr>
        <w:t xml:space="preserve"> والعمل بكل</w:t>
      </w:r>
      <w:r w:rsidR="00FC6D12" w:rsidRPr="00904FCB">
        <w:rPr>
          <w:rFonts w:hint="cs"/>
          <w:sz w:val="27"/>
          <w:rtl/>
          <w:lang w:bidi="ar-AE"/>
        </w:rPr>
        <w:t>ّ</w:t>
      </w:r>
      <w:r w:rsidRPr="00904FCB">
        <w:rPr>
          <w:rFonts w:hint="cs"/>
          <w:sz w:val="27"/>
          <w:rtl/>
          <w:lang w:bidi="ar-AE"/>
        </w:rPr>
        <w:t xml:space="preserve"> ما أشتهي؛ لأني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 فهذا كلام</w:t>
      </w:r>
      <w:r w:rsidR="00FC6D12" w:rsidRPr="00904FCB">
        <w:rPr>
          <w:rFonts w:hint="cs"/>
          <w:sz w:val="27"/>
          <w:rtl/>
          <w:lang w:bidi="ar-AE"/>
        </w:rPr>
        <w:t>ٌ</w:t>
      </w:r>
      <w:r w:rsidRPr="00904FCB">
        <w:rPr>
          <w:rFonts w:hint="cs"/>
          <w:sz w:val="27"/>
          <w:rtl/>
          <w:lang w:bidi="ar-AE"/>
        </w:rPr>
        <w:t xml:space="preserve"> فارغ! ليس من الصحيح أن نقول بأن الفرد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 xml:space="preserve"> في حدود رغباته الشخصية، بل 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يجب أن تكون في إطار تكامل الفرد وتكامل المجتمع. وأما أن يتذرّ</w:t>
      </w:r>
      <w:r w:rsidR="00FC6D12" w:rsidRPr="00904FCB">
        <w:rPr>
          <w:rFonts w:hint="cs"/>
          <w:sz w:val="27"/>
          <w:rtl/>
          <w:lang w:bidi="ar-AE"/>
        </w:rPr>
        <w:t>َ</w:t>
      </w:r>
      <w:r w:rsidRPr="00904FCB">
        <w:rPr>
          <w:rFonts w:hint="cs"/>
          <w:sz w:val="27"/>
          <w:rtl/>
          <w:lang w:bidi="ar-AE"/>
        </w:rPr>
        <w:t>ع شخص</w:t>
      </w:r>
      <w:r w:rsidR="00FC6D12" w:rsidRPr="00904FCB">
        <w:rPr>
          <w:rFonts w:hint="cs"/>
          <w:sz w:val="27"/>
          <w:rtl/>
          <w:lang w:bidi="ar-AE"/>
        </w:rPr>
        <w:t>ٌ</w:t>
      </w:r>
      <w:r w:rsidRPr="00904FCB">
        <w:rPr>
          <w:rFonts w:hint="cs"/>
          <w:sz w:val="27"/>
          <w:rtl/>
          <w:lang w:bidi="ar-AE"/>
        </w:rPr>
        <w:t xml:space="preserve"> بهذه الكلمات أم لا يتذرّ</w:t>
      </w:r>
      <w:r w:rsidR="00FC6D12" w:rsidRPr="00904FCB">
        <w:rPr>
          <w:rFonts w:hint="cs"/>
          <w:sz w:val="27"/>
          <w:rtl/>
          <w:lang w:bidi="ar-AE"/>
        </w:rPr>
        <w:t>َ</w:t>
      </w:r>
      <w:r w:rsidRPr="00904FCB">
        <w:rPr>
          <w:rFonts w:hint="cs"/>
          <w:sz w:val="27"/>
          <w:rtl/>
          <w:lang w:bidi="ar-AE"/>
        </w:rPr>
        <w:t>ع بها فهو خارج عن محلّ</w:t>
      </w:r>
      <w:r w:rsidR="00FC6D12" w:rsidRPr="00904FCB">
        <w:rPr>
          <w:rFonts w:hint="cs"/>
          <w:sz w:val="27"/>
          <w:rtl/>
          <w:lang w:bidi="ar-AE"/>
        </w:rPr>
        <w:t>ِ</w:t>
      </w:r>
      <w:r w:rsidRPr="00904FCB">
        <w:rPr>
          <w:rFonts w:hint="cs"/>
          <w:sz w:val="27"/>
          <w:rtl/>
          <w:lang w:bidi="ar-AE"/>
        </w:rPr>
        <w:t xml:space="preserve"> بحثنا</w:t>
      </w:r>
      <w:r w:rsidR="00FC6D12" w:rsidRPr="00904FCB">
        <w:rPr>
          <w:rFonts w:hint="cs"/>
          <w:sz w:val="27"/>
          <w:rtl/>
          <w:lang w:bidi="ar-AE"/>
        </w:rPr>
        <w:t>،</w:t>
      </w:r>
      <w:r w:rsidRPr="00904FCB">
        <w:rPr>
          <w:rFonts w:hint="cs"/>
          <w:sz w:val="27"/>
          <w:rtl/>
          <w:lang w:bidi="ar-AE"/>
        </w:rPr>
        <w:t xml:space="preserve"> فإنما نبحث في المسائل على المستوى الوجداني. نحن نريد ـ بحسب مصطلحاتنا الحوزوية ـ أن نبحث القضية في مقام الثبوت، لا في مقام الإثبات</w:t>
      </w:r>
      <w:r w:rsidR="00FC6D12" w:rsidRPr="00904FCB">
        <w:rPr>
          <w:rFonts w:hint="cs"/>
          <w:sz w:val="27"/>
          <w:rtl/>
          <w:lang w:bidi="ar-AE"/>
        </w:rPr>
        <w:t>،</w:t>
      </w:r>
      <w:r w:rsidRPr="00904FCB">
        <w:rPr>
          <w:rFonts w:hint="cs"/>
          <w:sz w:val="27"/>
          <w:rtl/>
          <w:lang w:bidi="ar-AE"/>
        </w:rPr>
        <w:t xml:space="preserve"> وما إذا كان الذي يقول هذا الشيء صادقاً أم كاذباً؟ وإنما نريد الوصول إلى واقع المسألة</w:t>
      </w:r>
      <w:r w:rsidR="00FC6D12" w:rsidRPr="00904FCB">
        <w:rPr>
          <w:rFonts w:hint="cs"/>
          <w:sz w:val="27"/>
          <w:rtl/>
          <w:lang w:bidi="ar-AE"/>
        </w:rPr>
        <w:t>،</w:t>
      </w:r>
      <w:r w:rsidRPr="00904FCB">
        <w:rPr>
          <w:rFonts w:hint="cs"/>
          <w:sz w:val="27"/>
          <w:rtl/>
          <w:lang w:bidi="ar-AE"/>
        </w:rPr>
        <w:t xml:space="preserve"> وما هو الشيء الذي يجب أن يكون الإنسان فيه ح</w:t>
      </w:r>
      <w:r w:rsidR="00FC6D12" w:rsidRPr="00904FCB">
        <w:rPr>
          <w:rFonts w:hint="cs"/>
          <w:sz w:val="27"/>
          <w:rtl/>
          <w:lang w:bidi="ar-AE"/>
        </w:rPr>
        <w:t>ُ</w:t>
      </w:r>
      <w:r w:rsidRPr="00904FCB">
        <w:rPr>
          <w:rFonts w:hint="cs"/>
          <w:sz w:val="27"/>
          <w:rtl/>
          <w:lang w:bidi="ar-AE"/>
        </w:rPr>
        <w:t>رّاً؟ ولو أردنا أن نستلهم وجداننا لنمنح البشر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 xml:space="preserve">ية حقيقيّة </w:t>
      </w:r>
      <w:r w:rsidR="00FC6D12" w:rsidRPr="00904FCB">
        <w:rPr>
          <w:rFonts w:hint="cs"/>
          <w:sz w:val="27"/>
          <w:rtl/>
          <w:lang w:bidi="ar-AE"/>
        </w:rPr>
        <w:t>ف</w:t>
      </w:r>
      <w:r w:rsidRPr="00904FCB">
        <w:rPr>
          <w:rFonts w:hint="cs"/>
          <w:sz w:val="27"/>
          <w:rtl/>
          <w:lang w:bidi="ar-AE"/>
        </w:rPr>
        <w:t>كيف يجب أن نمنحها لهم؟ نحن نقول</w:t>
      </w:r>
      <w:r w:rsidR="00FC6D12" w:rsidRPr="00904FCB">
        <w:rPr>
          <w:rFonts w:hint="cs"/>
          <w:sz w:val="27"/>
          <w:rtl/>
          <w:lang w:bidi="ar-AE"/>
        </w:rPr>
        <w:t xml:space="preserve">: </w:t>
      </w:r>
      <w:r w:rsidRPr="00904FCB">
        <w:rPr>
          <w:rFonts w:hint="cs"/>
          <w:sz w:val="27"/>
          <w:rtl/>
          <w:lang w:bidi="ar-AE"/>
        </w:rPr>
        <w:t>لا ب</w:t>
      </w:r>
      <w:r w:rsidR="00FC6D12" w:rsidRPr="00904FCB">
        <w:rPr>
          <w:rFonts w:hint="cs"/>
          <w:sz w:val="27"/>
          <w:rtl/>
          <w:lang w:bidi="ar-AE"/>
        </w:rPr>
        <w:t>ُ</w:t>
      </w:r>
      <w:r w:rsidRPr="00904FCB">
        <w:rPr>
          <w:rFonts w:hint="cs"/>
          <w:sz w:val="27"/>
          <w:rtl/>
          <w:lang w:bidi="ar-AE"/>
        </w:rPr>
        <w:t>دّ</w:t>
      </w:r>
      <w:r w:rsidR="00FC6D12" w:rsidRPr="00904FCB">
        <w:rPr>
          <w:rFonts w:hint="cs"/>
          <w:sz w:val="27"/>
          <w:rtl/>
          <w:lang w:bidi="ar-AE"/>
        </w:rPr>
        <w:t>َ</w:t>
      </w:r>
      <w:r w:rsidRPr="00904FCB">
        <w:rPr>
          <w:rFonts w:hint="cs"/>
          <w:sz w:val="27"/>
          <w:rtl/>
          <w:lang w:bidi="ar-AE"/>
        </w:rPr>
        <w:t xml:space="preserve"> من إعطاء 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في إطار المصالح الإنسانية السامية</w:t>
      </w:r>
      <w:r w:rsidR="00FC6D12" w:rsidRPr="00904FCB">
        <w:rPr>
          <w:rFonts w:hint="cs"/>
          <w:sz w:val="27"/>
          <w:rtl/>
          <w:lang w:bidi="ar-AE"/>
        </w:rPr>
        <w:t>،</w:t>
      </w:r>
      <w:r w:rsidRPr="00904FCB">
        <w:rPr>
          <w:rFonts w:hint="cs"/>
          <w:sz w:val="27"/>
          <w:rtl/>
          <w:lang w:bidi="ar-AE"/>
        </w:rPr>
        <w:t xml:space="preserve"> وفي مسار مصالح الفرد</w:t>
      </w:r>
      <w:r w:rsidR="00FC6D12" w:rsidRPr="00904FCB">
        <w:rPr>
          <w:rFonts w:hint="cs"/>
          <w:sz w:val="27"/>
          <w:rtl/>
          <w:lang w:bidi="ar-AE"/>
        </w:rPr>
        <w:t>؛</w:t>
      </w:r>
      <w:r w:rsidRPr="00904FCB">
        <w:rPr>
          <w:rFonts w:hint="cs"/>
          <w:sz w:val="27"/>
          <w:rtl/>
          <w:lang w:bidi="ar-AE"/>
        </w:rPr>
        <w:t xml:space="preserve"> فإن مصلحة الفرد تدعو إلى تحديد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يّته. فليس مجرّ</w:t>
      </w:r>
      <w:r w:rsidR="00FC6D12" w:rsidRPr="00904FCB">
        <w:rPr>
          <w:rFonts w:hint="cs"/>
          <w:sz w:val="27"/>
          <w:rtl/>
          <w:lang w:bidi="ar-AE"/>
        </w:rPr>
        <w:t>َ</w:t>
      </w:r>
      <w:r w:rsidRPr="00904FCB">
        <w:rPr>
          <w:rFonts w:hint="cs"/>
          <w:sz w:val="27"/>
          <w:rtl/>
          <w:lang w:bidi="ar-AE"/>
        </w:rPr>
        <w:t>د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يات الآخرين [هي التي تحدّ من حريّة الفرد]، بل إن المصالح الاجتماعية تحدّ من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الأفراد أيضاً</w:t>
      </w:r>
      <w:r w:rsidR="00FC6D12" w:rsidRPr="00904FCB">
        <w:rPr>
          <w:rFonts w:hint="cs"/>
          <w:sz w:val="27"/>
          <w:rtl/>
          <w:lang w:bidi="ar-AE"/>
        </w:rPr>
        <w:t>،</w:t>
      </w:r>
      <w:r w:rsidRPr="00904FCB">
        <w:rPr>
          <w:rFonts w:hint="cs"/>
          <w:sz w:val="27"/>
          <w:rtl/>
          <w:lang w:bidi="ar-AE"/>
        </w:rPr>
        <w:t xml:space="preserve"> وحت</w:t>
      </w:r>
      <w:r w:rsidR="00FC6D12" w:rsidRPr="00904FCB">
        <w:rPr>
          <w:rFonts w:hint="cs"/>
          <w:sz w:val="27"/>
          <w:rtl/>
          <w:lang w:bidi="ar-AE"/>
        </w:rPr>
        <w:t>ّ</w:t>
      </w:r>
      <w:r w:rsidRPr="00904FCB">
        <w:rPr>
          <w:rFonts w:hint="cs"/>
          <w:sz w:val="27"/>
          <w:rtl/>
          <w:lang w:bidi="ar-AE"/>
        </w:rPr>
        <w:t>ى مصالح الجيل القادم تحدّ من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 xml:space="preserve">ية هذا الجيل. </w:t>
      </w:r>
    </w:p>
    <w:p w:rsidR="00BF56C8" w:rsidRPr="00904FCB" w:rsidRDefault="00BF56C8" w:rsidP="007A21AA">
      <w:pPr>
        <w:spacing w:line="400" w:lineRule="exact"/>
        <w:rPr>
          <w:sz w:val="27"/>
          <w:rtl/>
          <w:lang w:bidi="ar-AE"/>
        </w:rPr>
      </w:pPr>
      <w:r w:rsidRPr="00904FCB">
        <w:rPr>
          <w:rFonts w:hint="cs"/>
          <w:sz w:val="27"/>
          <w:rtl/>
          <w:lang w:bidi="ar-AE"/>
        </w:rPr>
        <w:t>هناك م</w:t>
      </w:r>
      <w:r w:rsidR="00FC6D12" w:rsidRPr="00904FCB">
        <w:rPr>
          <w:rFonts w:hint="cs"/>
          <w:sz w:val="27"/>
          <w:rtl/>
          <w:lang w:bidi="ar-AE"/>
        </w:rPr>
        <w:t>َ</w:t>
      </w:r>
      <w:r w:rsidRPr="00904FCB">
        <w:rPr>
          <w:rFonts w:hint="cs"/>
          <w:sz w:val="27"/>
          <w:rtl/>
          <w:lang w:bidi="ar-AE"/>
        </w:rPr>
        <w:t>ن</w:t>
      </w:r>
      <w:r w:rsidR="00FC6D12" w:rsidRPr="00904FCB">
        <w:rPr>
          <w:rFonts w:hint="cs"/>
          <w:sz w:val="27"/>
          <w:rtl/>
          <w:lang w:bidi="ar-AE"/>
        </w:rPr>
        <w:t>ْ</w:t>
      </w:r>
      <w:r w:rsidRPr="00904FCB">
        <w:rPr>
          <w:rFonts w:hint="cs"/>
          <w:sz w:val="27"/>
          <w:rtl/>
          <w:lang w:bidi="ar-AE"/>
        </w:rPr>
        <w:t xml:space="preserve"> يتحدّ</w:t>
      </w:r>
      <w:r w:rsidR="00FC6D12" w:rsidRPr="00904FCB">
        <w:rPr>
          <w:rFonts w:hint="cs"/>
          <w:sz w:val="27"/>
          <w:rtl/>
          <w:lang w:bidi="ar-AE"/>
        </w:rPr>
        <w:t>َ</w:t>
      </w:r>
      <w:r w:rsidRPr="00904FCB">
        <w:rPr>
          <w:rFonts w:hint="cs"/>
          <w:sz w:val="27"/>
          <w:rtl/>
          <w:lang w:bidi="ar-AE"/>
        </w:rPr>
        <w:t>ث بكلام</w:t>
      </w:r>
      <w:r w:rsidR="00FC6D12" w:rsidRPr="00904FCB">
        <w:rPr>
          <w:rFonts w:hint="cs"/>
          <w:sz w:val="27"/>
          <w:rtl/>
          <w:lang w:bidi="ar-AE"/>
        </w:rPr>
        <w:t>ٍ</w:t>
      </w:r>
      <w:r w:rsidRPr="00904FCB">
        <w:rPr>
          <w:rFonts w:hint="cs"/>
          <w:sz w:val="27"/>
          <w:rtl/>
          <w:lang w:bidi="ar-AE"/>
        </w:rPr>
        <w:t xml:space="preserve"> لا يمكن أن يصحّ في المسائل الدينية</w:t>
      </w:r>
      <w:r w:rsidR="00FC6D12" w:rsidRPr="00904FCB">
        <w:rPr>
          <w:rFonts w:hint="cs"/>
          <w:sz w:val="27"/>
          <w:rtl/>
          <w:lang w:bidi="ar-AE"/>
        </w:rPr>
        <w:t>؛</w:t>
      </w:r>
      <w:r w:rsidRPr="00904FCB">
        <w:rPr>
          <w:rFonts w:hint="cs"/>
          <w:sz w:val="27"/>
          <w:rtl/>
          <w:lang w:bidi="ar-AE"/>
        </w:rPr>
        <w:t xml:space="preserve"> إذ يقول: إن</w:t>
      </w:r>
      <w:r w:rsidR="00FC6D12" w:rsidRPr="00904FCB">
        <w:rPr>
          <w:rFonts w:hint="cs"/>
          <w:sz w:val="27"/>
          <w:rtl/>
          <w:lang w:bidi="ar-AE"/>
        </w:rPr>
        <w:t>ّ</w:t>
      </w:r>
      <w:r w:rsidRPr="00904FCB">
        <w:rPr>
          <w:rFonts w:hint="cs"/>
          <w:sz w:val="27"/>
          <w:rtl/>
          <w:lang w:bidi="ar-AE"/>
        </w:rPr>
        <w:t xml:space="preserve"> ما تقوله صحيح</w:t>
      </w:r>
      <w:r w:rsidR="00FC6D12" w:rsidRPr="00904FCB">
        <w:rPr>
          <w:rFonts w:hint="cs"/>
          <w:sz w:val="27"/>
          <w:rtl/>
          <w:lang w:bidi="ar-AE"/>
        </w:rPr>
        <w:t>ٌ</w:t>
      </w:r>
      <w:r w:rsidRPr="00904FCB">
        <w:rPr>
          <w:rFonts w:hint="cs"/>
          <w:sz w:val="27"/>
          <w:rtl/>
          <w:lang w:bidi="ar-AE"/>
        </w:rPr>
        <w:t>، ولكن</w:t>
      </w:r>
      <w:r w:rsidR="00FC6D12" w:rsidRPr="00904FCB">
        <w:rPr>
          <w:rFonts w:hint="cs"/>
          <w:sz w:val="27"/>
          <w:rtl/>
          <w:lang w:bidi="ar-AE"/>
        </w:rPr>
        <w:t>ْ</w:t>
      </w:r>
      <w:r w:rsidRPr="00904FCB">
        <w:rPr>
          <w:rFonts w:hint="cs"/>
          <w:sz w:val="27"/>
          <w:rtl/>
          <w:lang w:bidi="ar-AE"/>
        </w:rPr>
        <w:t xml:space="preserve"> م</w:t>
      </w:r>
      <w:r w:rsidR="00FC6D12" w:rsidRPr="00904FCB">
        <w:rPr>
          <w:rFonts w:hint="cs"/>
          <w:sz w:val="27"/>
          <w:rtl/>
          <w:lang w:bidi="ar-AE"/>
        </w:rPr>
        <w:t>َ</w:t>
      </w:r>
      <w:r w:rsidRPr="00904FCB">
        <w:rPr>
          <w:rFonts w:hint="cs"/>
          <w:sz w:val="27"/>
          <w:rtl/>
          <w:lang w:bidi="ar-AE"/>
        </w:rPr>
        <w:t>ن</w:t>
      </w:r>
      <w:r w:rsidR="00FC6D12" w:rsidRPr="00904FCB">
        <w:rPr>
          <w:rFonts w:hint="cs"/>
          <w:sz w:val="27"/>
          <w:rtl/>
          <w:lang w:bidi="ar-AE"/>
        </w:rPr>
        <w:t>ْ</w:t>
      </w:r>
      <w:r w:rsidRPr="00904FCB">
        <w:rPr>
          <w:rFonts w:hint="cs"/>
          <w:sz w:val="27"/>
          <w:rtl/>
          <w:lang w:bidi="ar-AE"/>
        </w:rPr>
        <w:t xml:space="preserve"> يضمن أن</w:t>
      </w:r>
      <w:r w:rsidR="00FC6D12" w:rsidRPr="00904FCB">
        <w:rPr>
          <w:rFonts w:hint="cs"/>
          <w:sz w:val="27"/>
          <w:rtl/>
          <w:lang w:bidi="ar-AE"/>
        </w:rPr>
        <w:t>ّ</w:t>
      </w:r>
      <w:r w:rsidRPr="00904FCB">
        <w:rPr>
          <w:rFonts w:hint="cs"/>
          <w:sz w:val="27"/>
          <w:rtl/>
          <w:lang w:bidi="ar-AE"/>
        </w:rPr>
        <w:t>ك لا تخطئ؛ فإن الإنسان يجوز عليه الخطأ، فأنت لا يمكن لك أن تد</w:t>
      </w:r>
      <w:r w:rsidR="00FC6D12" w:rsidRPr="00904FCB">
        <w:rPr>
          <w:rFonts w:hint="cs"/>
          <w:sz w:val="27"/>
          <w:rtl/>
          <w:lang w:bidi="ar-AE"/>
        </w:rPr>
        <w:t>ّ</w:t>
      </w:r>
      <w:r w:rsidRPr="00904FCB">
        <w:rPr>
          <w:rFonts w:hint="cs"/>
          <w:sz w:val="27"/>
          <w:rtl/>
          <w:lang w:bidi="ar-AE"/>
        </w:rPr>
        <w:t>عي امتلاك الحقيقة المطلقة. وهذا ما أقوله بالنسبة إلى المسالك والتي</w:t>
      </w:r>
      <w:r w:rsidR="00FC6D12" w:rsidRPr="00904FCB">
        <w:rPr>
          <w:rFonts w:hint="cs"/>
          <w:sz w:val="27"/>
          <w:rtl/>
          <w:lang w:bidi="ar-AE"/>
        </w:rPr>
        <w:t>ّ</w:t>
      </w:r>
      <w:r w:rsidRPr="00904FCB">
        <w:rPr>
          <w:rFonts w:hint="cs"/>
          <w:sz w:val="27"/>
          <w:rtl/>
          <w:lang w:bidi="ar-AE"/>
        </w:rPr>
        <w:t>ارات البشرية أيضاً. يحق</w:t>
      </w:r>
      <w:r w:rsidR="00FC6D12" w:rsidRPr="00904FCB">
        <w:rPr>
          <w:rFonts w:hint="cs"/>
          <w:sz w:val="27"/>
          <w:rtl/>
          <w:lang w:bidi="ar-AE"/>
        </w:rPr>
        <w:t>ّ</w:t>
      </w:r>
      <w:r w:rsidRPr="00904FCB">
        <w:rPr>
          <w:rFonts w:hint="cs"/>
          <w:sz w:val="27"/>
          <w:rtl/>
          <w:lang w:bidi="ar-AE"/>
        </w:rPr>
        <w:t xml:space="preserve"> لك أن لا تقبل من</w:t>
      </w:r>
      <w:r w:rsidR="00FC6D12" w:rsidRPr="00904FCB">
        <w:rPr>
          <w:rFonts w:hint="cs"/>
          <w:sz w:val="27"/>
          <w:rtl/>
          <w:lang w:bidi="ar-AE"/>
        </w:rPr>
        <w:t>ّ</w:t>
      </w:r>
      <w:r w:rsidRPr="00904FCB">
        <w:rPr>
          <w:rFonts w:hint="cs"/>
          <w:sz w:val="27"/>
          <w:rtl/>
          <w:lang w:bidi="ar-AE"/>
        </w:rPr>
        <w:t>ي اد</w:t>
      </w:r>
      <w:r w:rsidR="00FC6D12" w:rsidRPr="00904FCB">
        <w:rPr>
          <w:rFonts w:hint="cs"/>
          <w:sz w:val="27"/>
          <w:rtl/>
          <w:lang w:bidi="ar-AE"/>
        </w:rPr>
        <w:t>ّ</w:t>
      </w:r>
      <w:r w:rsidRPr="00904FCB">
        <w:rPr>
          <w:rFonts w:hint="cs"/>
          <w:sz w:val="27"/>
          <w:rtl/>
          <w:lang w:bidi="ar-AE"/>
        </w:rPr>
        <w:t>عائي المفاجئ بأني قد توصّ</w:t>
      </w:r>
      <w:r w:rsidR="00FC6D12" w:rsidRPr="00904FCB">
        <w:rPr>
          <w:rFonts w:hint="cs"/>
          <w:sz w:val="27"/>
          <w:rtl/>
          <w:lang w:bidi="ar-AE"/>
        </w:rPr>
        <w:t>َ</w:t>
      </w:r>
      <w:r w:rsidRPr="00904FCB">
        <w:rPr>
          <w:rFonts w:hint="cs"/>
          <w:sz w:val="27"/>
          <w:rtl/>
          <w:lang w:bidi="ar-AE"/>
        </w:rPr>
        <w:t>ل</w:t>
      </w:r>
      <w:r w:rsidR="00FC6D12" w:rsidRPr="00904FCB">
        <w:rPr>
          <w:rFonts w:hint="cs"/>
          <w:sz w:val="27"/>
          <w:rtl/>
          <w:lang w:bidi="ar-AE"/>
        </w:rPr>
        <w:t>ْ</w:t>
      </w:r>
      <w:r w:rsidRPr="00904FCB">
        <w:rPr>
          <w:rFonts w:hint="cs"/>
          <w:sz w:val="27"/>
          <w:rtl/>
          <w:lang w:bidi="ar-AE"/>
        </w:rPr>
        <w:t>ت</w:t>
      </w:r>
      <w:r w:rsidR="00FC6D12" w:rsidRPr="00904FCB">
        <w:rPr>
          <w:rFonts w:hint="cs"/>
          <w:sz w:val="27"/>
          <w:rtl/>
          <w:lang w:bidi="ar-AE"/>
        </w:rPr>
        <w:t>ُ</w:t>
      </w:r>
      <w:r w:rsidRPr="00904FCB">
        <w:rPr>
          <w:rFonts w:hint="cs"/>
          <w:sz w:val="27"/>
          <w:rtl/>
          <w:lang w:bidi="ar-AE"/>
        </w:rPr>
        <w:t xml:space="preserve"> إلى التعرّ</w:t>
      </w:r>
      <w:r w:rsidR="00FC6D12" w:rsidRPr="00904FCB">
        <w:rPr>
          <w:rFonts w:hint="cs"/>
          <w:sz w:val="27"/>
          <w:rtl/>
          <w:lang w:bidi="ar-AE"/>
        </w:rPr>
        <w:t>ُ</w:t>
      </w:r>
      <w:r w:rsidRPr="00904FCB">
        <w:rPr>
          <w:rFonts w:hint="cs"/>
          <w:sz w:val="27"/>
          <w:rtl/>
          <w:lang w:bidi="ar-AE"/>
        </w:rPr>
        <w:t>ف على مصالح البشر من أو</w:t>
      </w:r>
      <w:r w:rsidR="00FC6D12" w:rsidRPr="00904FCB">
        <w:rPr>
          <w:rFonts w:hint="cs"/>
          <w:sz w:val="27"/>
          <w:rtl/>
          <w:lang w:bidi="ar-AE"/>
        </w:rPr>
        <w:t>ّ</w:t>
      </w:r>
      <w:r w:rsidRPr="00904FCB">
        <w:rPr>
          <w:rFonts w:hint="cs"/>
          <w:sz w:val="27"/>
          <w:rtl/>
          <w:lang w:bidi="ar-AE"/>
        </w:rPr>
        <w:t>ل العالم إلى آخره</w:t>
      </w:r>
      <w:r w:rsidR="00FC6D12" w:rsidRPr="00904FCB">
        <w:rPr>
          <w:rFonts w:hint="cs"/>
          <w:sz w:val="27"/>
          <w:rtl/>
          <w:lang w:bidi="ar-AE"/>
        </w:rPr>
        <w:t>،</w:t>
      </w:r>
      <w:r w:rsidRPr="00904FCB">
        <w:rPr>
          <w:rFonts w:hint="cs"/>
          <w:sz w:val="27"/>
          <w:rtl/>
          <w:lang w:bidi="ar-AE"/>
        </w:rPr>
        <w:t xml:space="preserve"> ب</w:t>
      </w:r>
      <w:r w:rsidR="00FC6D12" w:rsidRPr="00904FCB">
        <w:rPr>
          <w:rFonts w:hint="cs"/>
          <w:sz w:val="27"/>
          <w:rtl/>
          <w:lang w:bidi="ar-AE"/>
        </w:rPr>
        <w:t>َ</w:t>
      </w:r>
      <w:r w:rsidRPr="00904FCB">
        <w:rPr>
          <w:rFonts w:hint="cs"/>
          <w:sz w:val="27"/>
          <w:rtl/>
          <w:lang w:bidi="ar-AE"/>
        </w:rPr>
        <w:t>ي</w:t>
      </w:r>
      <w:r w:rsidR="00FC6D12" w:rsidRPr="00904FCB">
        <w:rPr>
          <w:rFonts w:hint="cs"/>
          <w:sz w:val="27"/>
          <w:rtl/>
          <w:lang w:bidi="ar-AE"/>
        </w:rPr>
        <w:t>ْ</w:t>
      </w:r>
      <w:r w:rsidRPr="00904FCB">
        <w:rPr>
          <w:rFonts w:hint="cs"/>
          <w:sz w:val="27"/>
          <w:rtl/>
          <w:lang w:bidi="ar-AE"/>
        </w:rPr>
        <w:t>د</w:t>
      </w:r>
      <w:r w:rsidR="00FC6D12" w:rsidRPr="00904FCB">
        <w:rPr>
          <w:rFonts w:hint="cs"/>
          <w:sz w:val="27"/>
          <w:rtl/>
          <w:lang w:bidi="ar-AE"/>
        </w:rPr>
        <w:t>َ</w:t>
      </w:r>
      <w:r w:rsidRPr="00904FCB">
        <w:rPr>
          <w:rFonts w:hint="cs"/>
          <w:sz w:val="27"/>
          <w:rtl/>
          <w:lang w:bidi="ar-AE"/>
        </w:rPr>
        <w:t xml:space="preserve"> أن الذي أريد قوله هو: كيف يمكن التعامل مع حقيقة ما يقوله الدين السماوي النازل من عند الله ـ بشأن ضرورة الحفاظ على 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يات ـ بوصفه نازلاً من عند الله؟ فهل يكون حق</w:t>
      </w:r>
      <w:r w:rsidR="00FC6D12" w:rsidRPr="00904FCB">
        <w:rPr>
          <w:rFonts w:hint="cs"/>
          <w:sz w:val="27"/>
          <w:rtl/>
          <w:lang w:bidi="ar-AE"/>
        </w:rPr>
        <w:t>ّ</w:t>
      </w:r>
      <w:r w:rsidRPr="00904FCB">
        <w:rPr>
          <w:rFonts w:hint="cs"/>
          <w:sz w:val="27"/>
          <w:rtl/>
          <w:lang w:bidi="ar-AE"/>
        </w:rPr>
        <w:t>اً ومن عند الله عندما يمنح الأفراد 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يّتهم الفردية أم يكون من عند الله عندما يأخذ المصالح العامة للناس بنظر الاعتبار في الحاضر والمستقبل؟ أنا أقول: إنه في الحالة الثانية من عند الله. وإذا كان من عند الله يجب أن يمنح 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المطلقة للرغبات والإرادات، بل عليه أن يريد الح</w:t>
      </w:r>
      <w:r w:rsidR="00FC6D12" w:rsidRPr="00904FCB">
        <w:rPr>
          <w:rFonts w:hint="cs"/>
          <w:sz w:val="27"/>
          <w:rtl/>
          <w:lang w:bidi="ar-AE"/>
        </w:rPr>
        <w:t>ُ</w:t>
      </w:r>
      <w:r w:rsidRPr="00904FCB">
        <w:rPr>
          <w:rFonts w:hint="cs"/>
          <w:sz w:val="27"/>
          <w:rtl/>
          <w:lang w:bidi="ar-AE"/>
        </w:rPr>
        <w:t>ر</w:t>
      </w:r>
      <w:r w:rsidR="00FC6D12" w:rsidRPr="00904FCB">
        <w:rPr>
          <w:rFonts w:hint="cs"/>
          <w:sz w:val="27"/>
          <w:rtl/>
          <w:lang w:bidi="ar-AE"/>
        </w:rPr>
        <w:t>ِّ</w:t>
      </w:r>
      <w:r w:rsidRPr="00904FCB">
        <w:rPr>
          <w:rFonts w:hint="cs"/>
          <w:sz w:val="27"/>
          <w:rtl/>
          <w:lang w:bidi="ar-AE"/>
        </w:rPr>
        <w:t>ية في إطار تكامل الإنسان، وإن</w:t>
      </w:r>
      <w:r w:rsidR="00FC6D12" w:rsidRPr="00904FCB">
        <w:rPr>
          <w:rFonts w:hint="cs"/>
          <w:sz w:val="27"/>
          <w:rtl/>
          <w:lang w:bidi="ar-AE"/>
        </w:rPr>
        <w:t>ْ</w:t>
      </w:r>
      <w:r w:rsidRPr="00904FCB">
        <w:rPr>
          <w:rFonts w:hint="cs"/>
          <w:sz w:val="27"/>
          <w:rtl/>
          <w:lang w:bidi="ar-AE"/>
        </w:rPr>
        <w:t xml:space="preserve"> كانت على خلاف الرغبات الفردية أحياناً. </w:t>
      </w:r>
    </w:p>
    <w:p w:rsidR="00BF56C8" w:rsidRPr="00904FCB" w:rsidRDefault="00BF56C8" w:rsidP="007A21AA">
      <w:pPr>
        <w:spacing w:line="400" w:lineRule="exact"/>
        <w:rPr>
          <w:sz w:val="27"/>
          <w:rtl/>
          <w:lang w:bidi="ar-AE"/>
        </w:rPr>
      </w:pPr>
      <w:r w:rsidRPr="00904FCB">
        <w:rPr>
          <w:rFonts w:hint="cs"/>
          <w:sz w:val="27"/>
          <w:rtl/>
          <w:lang w:bidi="ar-AE"/>
        </w:rPr>
        <w:t>إن</w:t>
      </w:r>
      <w:r w:rsidR="00FC6D12" w:rsidRPr="00904FCB">
        <w:rPr>
          <w:rFonts w:hint="cs"/>
          <w:sz w:val="27"/>
          <w:rtl/>
          <w:lang w:bidi="ar-AE"/>
        </w:rPr>
        <w:t>ّ</w:t>
      </w:r>
      <w:r w:rsidRPr="00904FCB">
        <w:rPr>
          <w:rFonts w:hint="cs"/>
          <w:sz w:val="27"/>
          <w:rtl/>
          <w:lang w:bidi="ar-AE"/>
        </w:rPr>
        <w:t xml:space="preserve"> ما قلته من ضرورة وجود القطب المخالف في المجتمع لا يقتصر على </w:t>
      </w:r>
      <w:r w:rsidRPr="00904FCB">
        <w:rPr>
          <w:rFonts w:hint="eastAsia"/>
          <w:sz w:val="27"/>
          <w:rtl/>
        </w:rPr>
        <w:t>«</w:t>
      </w:r>
      <w:r w:rsidRPr="00904FCB">
        <w:rPr>
          <w:rFonts w:hint="cs"/>
          <w:sz w:val="27"/>
          <w:rtl/>
          <w:lang w:bidi="ar-AE"/>
        </w:rPr>
        <w:t>الحق</w:t>
      </w:r>
      <w:r w:rsidR="00FC6D12" w:rsidRPr="00904FCB">
        <w:rPr>
          <w:rFonts w:hint="cs"/>
          <w:sz w:val="27"/>
          <w:rtl/>
          <w:lang w:bidi="ar-AE"/>
        </w:rPr>
        <w:t>ّ</w:t>
      </w:r>
      <w:r w:rsidRPr="00904FCB">
        <w:rPr>
          <w:rFonts w:hint="cs"/>
          <w:sz w:val="27"/>
          <w:rtl/>
          <w:lang w:bidi="ar-AE"/>
        </w:rPr>
        <w:t xml:space="preserve"> الفردي</w:t>
      </w:r>
      <w:r w:rsidRPr="00904FCB">
        <w:rPr>
          <w:rFonts w:hint="eastAsia"/>
          <w:sz w:val="27"/>
          <w:rtl/>
        </w:rPr>
        <w:t>»</w:t>
      </w:r>
      <w:r w:rsidRPr="00904FCB">
        <w:rPr>
          <w:rFonts w:hint="cs"/>
          <w:sz w:val="27"/>
          <w:rtl/>
          <w:lang w:bidi="ar-AE"/>
        </w:rPr>
        <w:t>، فهو على كل</w:t>
      </w:r>
      <w:r w:rsidR="00FC6D12" w:rsidRPr="00904FCB">
        <w:rPr>
          <w:rFonts w:hint="cs"/>
          <w:sz w:val="27"/>
          <w:rtl/>
          <w:lang w:bidi="ar-AE"/>
        </w:rPr>
        <w:t>ّ</w:t>
      </w:r>
      <w:r w:rsidRPr="00904FCB">
        <w:rPr>
          <w:rFonts w:hint="cs"/>
          <w:sz w:val="27"/>
          <w:rtl/>
          <w:lang w:bidi="ar-AE"/>
        </w:rPr>
        <w:t xml:space="preserve"> حال</w:t>
      </w:r>
      <w:r w:rsidR="00FC6D12" w:rsidRPr="00904FCB">
        <w:rPr>
          <w:rFonts w:hint="cs"/>
          <w:sz w:val="27"/>
          <w:rtl/>
          <w:lang w:bidi="ar-AE"/>
        </w:rPr>
        <w:t>ٍ</w:t>
      </w:r>
      <w:r w:rsidRPr="00904FCB">
        <w:rPr>
          <w:rFonts w:hint="cs"/>
          <w:sz w:val="27"/>
          <w:rtl/>
          <w:lang w:bidi="ar-AE"/>
        </w:rPr>
        <w:t xml:space="preserve"> واحد من أفراد المجتمع</w:t>
      </w:r>
      <w:r w:rsidR="00FC6D12" w:rsidRPr="00904FCB">
        <w:rPr>
          <w:rFonts w:hint="cs"/>
          <w:sz w:val="27"/>
          <w:rtl/>
          <w:lang w:bidi="ar-AE"/>
        </w:rPr>
        <w:t>،</w:t>
      </w:r>
      <w:r w:rsidRPr="00904FCB">
        <w:rPr>
          <w:rFonts w:hint="cs"/>
          <w:sz w:val="27"/>
          <w:rtl/>
          <w:lang w:bidi="ar-AE"/>
        </w:rPr>
        <w:t xml:space="preserve"> ويحق</w:t>
      </w:r>
      <w:r w:rsidR="00FC6D12" w:rsidRPr="00904FCB">
        <w:rPr>
          <w:rFonts w:hint="cs"/>
          <w:sz w:val="27"/>
          <w:rtl/>
          <w:lang w:bidi="ar-AE"/>
        </w:rPr>
        <w:t>ّ</w:t>
      </w:r>
      <w:r w:rsidRPr="00904FCB">
        <w:rPr>
          <w:rFonts w:hint="cs"/>
          <w:sz w:val="27"/>
          <w:rtl/>
          <w:lang w:bidi="ar-AE"/>
        </w:rPr>
        <w:t xml:space="preserve"> له التعبير عن رأيه، بل </w:t>
      </w:r>
      <w:r w:rsidRPr="00904FCB">
        <w:rPr>
          <w:rFonts w:hint="cs"/>
          <w:sz w:val="27"/>
          <w:rtl/>
          <w:lang w:bidi="ar-AE"/>
        </w:rPr>
        <w:lastRenderedPageBreak/>
        <w:t>الذي أعنيه هو أن وجود القطب المخالف ضروري حت</w:t>
      </w:r>
      <w:r w:rsidR="00FC6D12" w:rsidRPr="00904FCB">
        <w:rPr>
          <w:rFonts w:hint="cs"/>
          <w:sz w:val="27"/>
          <w:rtl/>
          <w:lang w:bidi="ar-AE"/>
        </w:rPr>
        <w:t>ّ</w:t>
      </w:r>
      <w:r w:rsidRPr="00904FCB">
        <w:rPr>
          <w:rFonts w:hint="cs"/>
          <w:sz w:val="27"/>
          <w:rtl/>
          <w:lang w:bidi="ar-AE"/>
        </w:rPr>
        <w:t>ى بالنسبة إلى مصالح البشرية</w:t>
      </w:r>
      <w:r w:rsidR="00FC6D12" w:rsidRPr="00904FCB">
        <w:rPr>
          <w:rFonts w:hint="cs"/>
          <w:sz w:val="27"/>
          <w:rtl/>
          <w:lang w:bidi="ar-AE"/>
        </w:rPr>
        <w:t>.</w:t>
      </w:r>
      <w:r w:rsidRPr="00904FCB">
        <w:rPr>
          <w:rFonts w:hint="cs"/>
          <w:sz w:val="27"/>
          <w:rtl/>
          <w:lang w:bidi="ar-AE"/>
        </w:rPr>
        <w:t xml:space="preserve"> كما أن القرآن الكريم يعترف بالاختلاف والتنوّ</w:t>
      </w:r>
      <w:r w:rsidR="00FC6D12" w:rsidRPr="00904FCB">
        <w:rPr>
          <w:rFonts w:hint="cs"/>
          <w:sz w:val="27"/>
          <w:rtl/>
          <w:lang w:bidi="ar-AE"/>
        </w:rPr>
        <w:t>ُ</w:t>
      </w:r>
      <w:r w:rsidRPr="00904FCB">
        <w:rPr>
          <w:rFonts w:hint="cs"/>
          <w:sz w:val="27"/>
          <w:rtl/>
          <w:lang w:bidi="ar-AE"/>
        </w:rPr>
        <w:t>ع</w:t>
      </w:r>
      <w:r w:rsidR="00FC6D12" w:rsidRPr="00904FCB">
        <w:rPr>
          <w:rFonts w:hint="cs"/>
          <w:sz w:val="27"/>
          <w:rtl/>
          <w:lang w:bidi="ar-AE"/>
        </w:rPr>
        <w:t>.</w:t>
      </w:r>
      <w:r w:rsidRPr="00904FCB">
        <w:rPr>
          <w:rFonts w:hint="cs"/>
          <w:sz w:val="27"/>
          <w:rtl/>
          <w:lang w:bidi="ar-AE"/>
        </w:rPr>
        <w:t xml:space="preserve"> ويقال</w:t>
      </w:r>
      <w:r w:rsidR="00FC6D12" w:rsidRPr="00904FCB">
        <w:rPr>
          <w:rFonts w:hint="cs"/>
          <w:sz w:val="27"/>
          <w:rtl/>
          <w:lang w:bidi="ar-AE"/>
        </w:rPr>
        <w:t>:</w:t>
      </w:r>
      <w:r w:rsidRPr="00904FCB">
        <w:rPr>
          <w:rFonts w:hint="cs"/>
          <w:sz w:val="27"/>
          <w:rtl/>
          <w:lang w:bidi="ar-AE"/>
        </w:rPr>
        <w:t xml:space="preserve"> إن هذا هو م</w:t>
      </w:r>
      <w:r w:rsidR="00FC6D12" w:rsidRPr="00904FCB">
        <w:rPr>
          <w:rFonts w:hint="cs"/>
          <w:sz w:val="27"/>
          <w:rtl/>
          <w:lang w:bidi="ar-AE"/>
        </w:rPr>
        <w:t>َ</w:t>
      </w:r>
      <w:r w:rsidRPr="00904FCB">
        <w:rPr>
          <w:rFonts w:hint="cs"/>
          <w:sz w:val="27"/>
          <w:rtl/>
          <w:lang w:bidi="ar-AE"/>
        </w:rPr>
        <w:t>ك</w:t>
      </w:r>
      <w:r w:rsidR="00FC6D12" w:rsidRPr="00904FCB">
        <w:rPr>
          <w:rFonts w:hint="cs"/>
          <w:sz w:val="27"/>
          <w:rtl/>
          <w:lang w:bidi="ar-AE"/>
        </w:rPr>
        <w:t>ْ</w:t>
      </w:r>
      <w:r w:rsidRPr="00904FCB">
        <w:rPr>
          <w:rFonts w:hint="cs"/>
          <w:sz w:val="27"/>
          <w:rtl/>
          <w:lang w:bidi="ar-AE"/>
        </w:rPr>
        <w:t>م</w:t>
      </w:r>
      <w:r w:rsidR="00FC6D12" w:rsidRPr="00904FCB">
        <w:rPr>
          <w:rFonts w:hint="cs"/>
          <w:sz w:val="27"/>
          <w:rtl/>
          <w:lang w:bidi="ar-AE"/>
        </w:rPr>
        <w:t>َ</w:t>
      </w:r>
      <w:r w:rsidRPr="00904FCB">
        <w:rPr>
          <w:rFonts w:hint="cs"/>
          <w:sz w:val="27"/>
          <w:rtl/>
          <w:lang w:bidi="ar-AE"/>
        </w:rPr>
        <w:t>ن الفلسفة في ذلك. فالقرآن يؤك</w:t>
      </w:r>
      <w:r w:rsidR="00FC6D12" w:rsidRPr="00904FCB">
        <w:rPr>
          <w:rFonts w:hint="cs"/>
          <w:sz w:val="27"/>
          <w:rtl/>
          <w:lang w:bidi="ar-AE"/>
        </w:rPr>
        <w:t>ِّ</w:t>
      </w:r>
      <w:r w:rsidRPr="00904FCB">
        <w:rPr>
          <w:rFonts w:hint="cs"/>
          <w:sz w:val="27"/>
          <w:rtl/>
          <w:lang w:bidi="ar-AE"/>
        </w:rPr>
        <w:t>د على مسألة الاختلاف بين الناس</w:t>
      </w:r>
      <w:r w:rsidR="00FC6D12" w:rsidRPr="00904FCB">
        <w:rPr>
          <w:rFonts w:hint="cs"/>
          <w:sz w:val="27"/>
          <w:rtl/>
          <w:lang w:bidi="ar-AE"/>
        </w:rPr>
        <w:t>،</w:t>
      </w:r>
      <w:r w:rsidRPr="00904FCB">
        <w:rPr>
          <w:rFonts w:hint="cs"/>
          <w:sz w:val="27"/>
          <w:rtl/>
          <w:lang w:bidi="ar-AE"/>
        </w:rPr>
        <w:t xml:space="preserve"> ويرى أنها ضرورية؛ فلولا الاختلاف لما كان هناك تضارب</w:t>
      </w:r>
      <w:r w:rsidR="00FC6D12" w:rsidRPr="00904FCB">
        <w:rPr>
          <w:rFonts w:hint="cs"/>
          <w:sz w:val="27"/>
          <w:rtl/>
          <w:lang w:bidi="ar-AE"/>
        </w:rPr>
        <w:t>ٌ</w:t>
      </w:r>
      <w:r w:rsidRPr="00904FCB">
        <w:rPr>
          <w:rFonts w:hint="cs"/>
          <w:sz w:val="27"/>
          <w:rtl/>
          <w:lang w:bidi="ar-AE"/>
        </w:rPr>
        <w:t xml:space="preserve"> بين الآراء والعقائد، ولولا هذا التضارب لما شهدنا هناك تقدّ</w:t>
      </w:r>
      <w:r w:rsidR="00FC6D12" w:rsidRPr="00904FCB">
        <w:rPr>
          <w:rFonts w:hint="cs"/>
          <w:sz w:val="27"/>
          <w:rtl/>
          <w:lang w:bidi="ar-AE"/>
        </w:rPr>
        <w:t>ُ</w:t>
      </w:r>
      <w:r w:rsidRPr="00904FCB">
        <w:rPr>
          <w:rFonts w:hint="cs"/>
          <w:sz w:val="27"/>
          <w:rtl/>
          <w:lang w:bidi="ar-AE"/>
        </w:rPr>
        <w:t>ماً أو تطويراً في العقائد، أو أنها لا تبقى محافظة على حيويتها وبريقها وعنفوانها في الحدّ الأدنى. وأنا إنما أقول ذلك قاطعاً وجازماً: كل</w:t>
      </w:r>
      <w:r w:rsidR="00FC6D12" w:rsidRPr="00904FCB">
        <w:rPr>
          <w:rFonts w:hint="cs"/>
          <w:sz w:val="27"/>
          <w:rtl/>
          <w:lang w:bidi="ar-AE"/>
        </w:rPr>
        <w:t>ّ</w:t>
      </w:r>
      <w:r w:rsidRPr="00904FCB">
        <w:rPr>
          <w:rFonts w:hint="cs"/>
          <w:sz w:val="27"/>
          <w:rtl/>
          <w:lang w:bidi="ar-AE"/>
        </w:rPr>
        <w:t>ما أبعد القطب المخالف عن العقيدة آلت العقيدة بنفسها إلى الفساد</w:t>
      </w:r>
      <w:r w:rsidR="00FC6D12" w:rsidRPr="00904FCB">
        <w:rPr>
          <w:rFonts w:hint="cs"/>
          <w:sz w:val="27"/>
          <w:rtl/>
          <w:lang w:bidi="ar-AE"/>
        </w:rPr>
        <w:t>،</w:t>
      </w:r>
      <w:r w:rsidRPr="00904FCB">
        <w:rPr>
          <w:rFonts w:hint="cs"/>
          <w:sz w:val="27"/>
          <w:rtl/>
          <w:lang w:bidi="ar-AE"/>
        </w:rPr>
        <w:t xml:space="preserve"> بمعنى أن العوام من الناس سوف يستحوذون على هذه العقيدة</w:t>
      </w:r>
      <w:r w:rsidR="00FC6D12" w:rsidRPr="00904FCB">
        <w:rPr>
          <w:rFonts w:hint="cs"/>
          <w:sz w:val="27"/>
          <w:rtl/>
          <w:lang w:bidi="ar-AE"/>
        </w:rPr>
        <w:t>،</w:t>
      </w:r>
      <w:r w:rsidRPr="00904FCB">
        <w:rPr>
          <w:rFonts w:hint="cs"/>
          <w:sz w:val="27"/>
          <w:rtl/>
          <w:lang w:bidi="ar-AE"/>
        </w:rPr>
        <w:t xml:space="preserve"> و</w:t>
      </w:r>
      <w:r w:rsidR="00FC6D12" w:rsidRPr="00904FCB">
        <w:rPr>
          <w:rFonts w:hint="cs"/>
          <w:sz w:val="27"/>
          <w:rtl/>
          <w:lang w:bidi="ar-AE"/>
        </w:rPr>
        <w:t>ي</w:t>
      </w:r>
      <w:r w:rsidRPr="00904FCB">
        <w:rPr>
          <w:rFonts w:hint="cs"/>
          <w:sz w:val="27"/>
          <w:rtl/>
          <w:lang w:bidi="ar-AE"/>
        </w:rPr>
        <w:t>نسجون حولها من خيالاتهم الواهية</w:t>
      </w:r>
      <w:r w:rsidR="00FC6D12" w:rsidRPr="00904FCB">
        <w:rPr>
          <w:rFonts w:hint="cs"/>
          <w:sz w:val="27"/>
          <w:rtl/>
          <w:lang w:bidi="ar-AE"/>
        </w:rPr>
        <w:t>،</w:t>
      </w:r>
      <w:r w:rsidRPr="00904FCB">
        <w:rPr>
          <w:rFonts w:hint="cs"/>
          <w:sz w:val="27"/>
          <w:rtl/>
          <w:lang w:bidi="ar-AE"/>
        </w:rPr>
        <w:t xml:space="preserve"> حت</w:t>
      </w:r>
      <w:r w:rsidR="00FC6D12" w:rsidRPr="00904FCB">
        <w:rPr>
          <w:rFonts w:hint="cs"/>
          <w:sz w:val="27"/>
          <w:rtl/>
          <w:lang w:bidi="ar-AE"/>
        </w:rPr>
        <w:t>ّ</w:t>
      </w:r>
      <w:r w:rsidRPr="00904FCB">
        <w:rPr>
          <w:rFonts w:hint="cs"/>
          <w:sz w:val="27"/>
          <w:rtl/>
          <w:lang w:bidi="ar-AE"/>
        </w:rPr>
        <w:t>ى تفقد العقيدة بهاءها ورونقها. وبذلك يُس</w:t>
      </w:r>
      <w:r w:rsidR="00FC6D12" w:rsidRPr="00904FCB">
        <w:rPr>
          <w:rFonts w:hint="cs"/>
          <w:sz w:val="27"/>
          <w:rtl/>
          <w:lang w:bidi="ar-AE"/>
        </w:rPr>
        <w:t>ْ</w:t>
      </w:r>
      <w:r w:rsidRPr="00904FCB">
        <w:rPr>
          <w:rFonts w:hint="cs"/>
          <w:sz w:val="27"/>
          <w:rtl/>
          <w:lang w:bidi="ar-AE"/>
        </w:rPr>
        <w:t>ه</w:t>
      </w:r>
      <w:r w:rsidR="00FC6D12" w:rsidRPr="00904FCB">
        <w:rPr>
          <w:rFonts w:hint="cs"/>
          <w:sz w:val="27"/>
          <w:rtl/>
          <w:lang w:bidi="ar-AE"/>
        </w:rPr>
        <w:t>ِ</w:t>
      </w:r>
      <w:r w:rsidRPr="00904FCB">
        <w:rPr>
          <w:rFonts w:hint="cs"/>
          <w:sz w:val="27"/>
          <w:rtl/>
          <w:lang w:bidi="ar-AE"/>
        </w:rPr>
        <w:t>م أنصار العقيدة في تقويضها</w:t>
      </w:r>
      <w:r w:rsidR="00FC6D12" w:rsidRPr="00904FCB">
        <w:rPr>
          <w:rFonts w:hint="cs"/>
          <w:sz w:val="27"/>
          <w:rtl/>
          <w:lang w:bidi="ar-AE"/>
        </w:rPr>
        <w:t>.</w:t>
      </w:r>
      <w:r w:rsidRPr="00904FCB">
        <w:rPr>
          <w:rFonts w:hint="cs"/>
          <w:sz w:val="27"/>
          <w:rtl/>
          <w:lang w:bidi="ar-AE"/>
        </w:rPr>
        <w:t xml:space="preserve"> ولطالما كان ضرر أنصار العقيدة عليها أشد</w:t>
      </w:r>
      <w:r w:rsidR="00FC6D12" w:rsidRPr="00904FCB">
        <w:rPr>
          <w:rFonts w:hint="cs"/>
          <w:sz w:val="27"/>
          <w:rtl/>
          <w:lang w:bidi="ar-AE"/>
        </w:rPr>
        <w:t>ّ</w:t>
      </w:r>
      <w:r w:rsidRPr="00904FCB">
        <w:rPr>
          <w:rFonts w:hint="cs"/>
          <w:sz w:val="27"/>
          <w:rtl/>
          <w:lang w:bidi="ar-AE"/>
        </w:rPr>
        <w:t xml:space="preserve"> من ضرر أعدائها ومخالفيها. وقد ذكرت</w:t>
      </w:r>
      <w:r w:rsidR="00FC6D12" w:rsidRPr="00904FCB">
        <w:rPr>
          <w:rFonts w:hint="cs"/>
          <w:sz w:val="27"/>
          <w:rtl/>
          <w:lang w:bidi="ar-AE"/>
        </w:rPr>
        <w:t>ُ</w:t>
      </w:r>
      <w:r w:rsidRPr="00904FCB">
        <w:rPr>
          <w:rFonts w:hint="cs"/>
          <w:sz w:val="27"/>
          <w:rtl/>
          <w:lang w:bidi="ar-AE"/>
        </w:rPr>
        <w:t xml:space="preserve"> ذلك في مقالات </w:t>
      </w:r>
      <w:r w:rsidRPr="00904FCB">
        <w:rPr>
          <w:rFonts w:hint="eastAsia"/>
          <w:sz w:val="27"/>
          <w:rtl/>
        </w:rPr>
        <w:t>«</w:t>
      </w:r>
      <w:r w:rsidRPr="00904FCB">
        <w:rPr>
          <w:rFonts w:hint="cs"/>
          <w:sz w:val="27"/>
          <w:rtl/>
          <w:lang w:bidi="ar-AE"/>
        </w:rPr>
        <w:t>المرأة في الحقوق الإسلامية</w:t>
      </w:r>
      <w:r w:rsidRPr="00904FCB">
        <w:rPr>
          <w:rFonts w:hint="eastAsia"/>
          <w:sz w:val="27"/>
          <w:rtl/>
        </w:rPr>
        <w:t>»</w:t>
      </w:r>
      <w:r w:rsidRPr="00904FCB">
        <w:rPr>
          <w:sz w:val="27"/>
          <w:vertAlign w:val="superscript"/>
          <w:rtl/>
          <w:lang w:bidi="ar-AE"/>
        </w:rPr>
        <w:t>(</w:t>
      </w:r>
      <w:r w:rsidRPr="00904FCB">
        <w:rPr>
          <w:rStyle w:val="ac"/>
          <w:sz w:val="27"/>
          <w:rtl/>
          <w:lang w:bidi="ar-AE"/>
        </w:rPr>
        <w:endnoteReference w:id="84"/>
      </w:r>
      <w:r w:rsidRPr="00904FCB">
        <w:rPr>
          <w:sz w:val="27"/>
          <w:vertAlign w:val="superscript"/>
          <w:rtl/>
          <w:lang w:bidi="ar-AE"/>
        </w:rPr>
        <w:t>)</w:t>
      </w:r>
      <w:r w:rsidRPr="00904FCB">
        <w:rPr>
          <w:rFonts w:hint="cs"/>
          <w:sz w:val="27"/>
          <w:rtl/>
          <w:lang w:bidi="ar-AE"/>
        </w:rPr>
        <w:t xml:space="preserve"> في الكثير من المواضع. </w:t>
      </w:r>
    </w:p>
    <w:p w:rsidR="00E83C22" w:rsidRPr="00904FCB" w:rsidRDefault="00BF56C8" w:rsidP="007A21AA">
      <w:pPr>
        <w:spacing w:line="400" w:lineRule="exact"/>
        <w:rPr>
          <w:rtl/>
        </w:rPr>
      </w:pPr>
      <w:r w:rsidRPr="00904FCB">
        <w:rPr>
          <w:rFonts w:hint="cs"/>
          <w:rtl/>
          <w:lang w:bidi="ar-AE"/>
        </w:rPr>
        <w:t>وعليه فإن وجود القطب المخالف ضروري</w:t>
      </w:r>
      <w:r w:rsidR="00FC6D12" w:rsidRPr="00904FCB">
        <w:rPr>
          <w:rFonts w:hint="cs"/>
          <w:rtl/>
          <w:lang w:bidi="ar-AE"/>
        </w:rPr>
        <w:t xml:space="preserve">، </w:t>
      </w:r>
      <w:r w:rsidRPr="00904FCB">
        <w:rPr>
          <w:rFonts w:hint="cs"/>
          <w:rtl/>
          <w:lang w:bidi="ar-AE"/>
        </w:rPr>
        <w:t>حت</w:t>
      </w:r>
      <w:r w:rsidR="00FC6D12" w:rsidRPr="00904FCB">
        <w:rPr>
          <w:rFonts w:hint="cs"/>
          <w:rtl/>
          <w:lang w:bidi="ar-AE"/>
        </w:rPr>
        <w:t>ّ</w:t>
      </w:r>
      <w:r w:rsidRPr="00904FCB">
        <w:rPr>
          <w:rFonts w:hint="cs"/>
          <w:rtl/>
          <w:lang w:bidi="ar-AE"/>
        </w:rPr>
        <w:t>ى من ناحية المصالح العامة. ولكن</w:t>
      </w:r>
      <w:r w:rsidR="00FC6D12" w:rsidRPr="00904FCB">
        <w:rPr>
          <w:rFonts w:hint="cs"/>
          <w:rtl/>
          <w:lang w:bidi="ar-AE"/>
        </w:rPr>
        <w:t>ّ</w:t>
      </w:r>
      <w:r w:rsidRPr="00904FCB">
        <w:rPr>
          <w:rFonts w:hint="cs"/>
          <w:rtl/>
          <w:lang w:bidi="ar-AE"/>
        </w:rPr>
        <w:t>نا في الوقت نفسه لسنا من الأنبياء</w:t>
      </w:r>
      <w:r w:rsidR="00FC6D12" w:rsidRPr="00904FCB">
        <w:rPr>
          <w:rFonts w:hint="cs"/>
          <w:rtl/>
          <w:lang w:bidi="ar-AE"/>
        </w:rPr>
        <w:t>.</w:t>
      </w:r>
      <w:r w:rsidRPr="00904FCB">
        <w:rPr>
          <w:rFonts w:hint="cs"/>
          <w:rtl/>
          <w:lang w:bidi="ar-AE"/>
        </w:rPr>
        <w:t xml:space="preserve"> فإذا كن</w:t>
      </w:r>
      <w:r w:rsidR="00FC6D12" w:rsidRPr="00904FCB">
        <w:rPr>
          <w:rFonts w:hint="cs"/>
          <w:rtl/>
          <w:lang w:bidi="ar-AE"/>
        </w:rPr>
        <w:t>ّ</w:t>
      </w:r>
      <w:r w:rsidRPr="00904FCB">
        <w:rPr>
          <w:rFonts w:hint="cs"/>
          <w:rtl/>
          <w:lang w:bidi="ar-AE"/>
        </w:rPr>
        <w:t>ا من المؤمنين برسالة النبي</w:t>
      </w:r>
      <w:r w:rsidR="00FC6D12" w:rsidRPr="00904FCB">
        <w:rPr>
          <w:rFonts w:hint="cs"/>
          <w:rtl/>
          <w:lang w:bidi="ar-AE"/>
        </w:rPr>
        <w:t>ّ</w:t>
      </w:r>
      <w:r w:rsidRPr="00904FCB">
        <w:rPr>
          <w:rFonts w:hint="cs"/>
          <w:rtl/>
          <w:lang w:bidi="ar-AE"/>
        </w:rPr>
        <w:t xml:space="preserve"> الأكرم</w:t>
      </w:r>
      <w:r w:rsidR="00635E51" w:rsidRPr="00904FCB">
        <w:rPr>
          <w:rFonts w:cs="Mosawi" w:hint="cs"/>
          <w:szCs w:val="22"/>
          <w:rtl/>
          <w:lang w:bidi="ar-AE"/>
        </w:rPr>
        <w:t>|</w:t>
      </w:r>
      <w:r w:rsidRPr="00904FCB">
        <w:rPr>
          <w:rFonts w:hint="cs"/>
          <w:rtl/>
          <w:lang w:bidi="ar-AE"/>
        </w:rPr>
        <w:t>، ونعتبرها حق</w:t>
      </w:r>
      <w:r w:rsidR="00FC6D12" w:rsidRPr="00904FCB">
        <w:rPr>
          <w:rFonts w:hint="cs"/>
          <w:rtl/>
          <w:lang w:bidi="ar-AE"/>
        </w:rPr>
        <w:t>ّ</w:t>
      </w:r>
      <w:r w:rsidRPr="00904FCB">
        <w:rPr>
          <w:rFonts w:hint="cs"/>
          <w:rtl/>
          <w:lang w:bidi="ar-AE"/>
        </w:rPr>
        <w:t>اً، يجب علينا أن نؤمن بهذا المقدار من الحدود أيضاً.</w:t>
      </w:r>
    </w:p>
    <w:p w:rsidR="00E83C22" w:rsidRPr="00904FCB" w:rsidRDefault="00E83C22" w:rsidP="007A21AA">
      <w:pPr>
        <w:spacing w:line="400" w:lineRule="exact"/>
        <w:rPr>
          <w:rtl/>
        </w:rPr>
      </w:pPr>
    </w:p>
    <w:p w:rsidR="00E83C22" w:rsidRDefault="00E83C22" w:rsidP="007A21AA">
      <w:pPr>
        <w:spacing w:line="400" w:lineRule="exact"/>
        <w:rPr>
          <w:rtl/>
          <w:lang w:bidi="ar-LB"/>
        </w:rPr>
      </w:pPr>
    </w:p>
    <w:p w:rsidR="00D17991" w:rsidRDefault="00D17991" w:rsidP="007A21AA">
      <w:pPr>
        <w:spacing w:line="400" w:lineRule="exact"/>
        <w:rPr>
          <w:rtl/>
          <w:lang w:bidi="ar-LB"/>
        </w:rPr>
      </w:pPr>
    </w:p>
    <w:p w:rsidR="00D17991" w:rsidRDefault="00D17991" w:rsidP="007A21AA">
      <w:pPr>
        <w:spacing w:line="400" w:lineRule="exact"/>
        <w:rPr>
          <w:rtl/>
          <w:lang w:bidi="ar-LB"/>
        </w:rPr>
      </w:pPr>
    </w:p>
    <w:p w:rsidR="00D17991" w:rsidRDefault="00D17991" w:rsidP="007A21AA">
      <w:pPr>
        <w:spacing w:line="400" w:lineRule="exact"/>
        <w:rPr>
          <w:rtl/>
          <w:lang w:bidi="ar-LB"/>
        </w:rPr>
      </w:pPr>
    </w:p>
    <w:p w:rsidR="00D17991" w:rsidRDefault="00D17991" w:rsidP="007A21AA">
      <w:pPr>
        <w:spacing w:line="400" w:lineRule="exact"/>
        <w:rPr>
          <w:rtl/>
          <w:lang w:bidi="ar-LB"/>
        </w:rPr>
      </w:pPr>
    </w:p>
    <w:p w:rsidR="00D17991" w:rsidRDefault="00D17991" w:rsidP="007A21AA">
      <w:pPr>
        <w:spacing w:line="400" w:lineRule="exact"/>
        <w:rPr>
          <w:rtl/>
          <w:lang w:bidi="ar-LB"/>
        </w:rPr>
      </w:pPr>
    </w:p>
    <w:p w:rsidR="00D17991" w:rsidRDefault="00D17991" w:rsidP="007A21AA">
      <w:pPr>
        <w:spacing w:line="400" w:lineRule="exact"/>
        <w:rPr>
          <w:rtl/>
          <w:lang w:bidi="ar-LB"/>
        </w:rPr>
      </w:pPr>
    </w:p>
    <w:p w:rsidR="00D17991" w:rsidRDefault="00D17991" w:rsidP="007A21AA">
      <w:pPr>
        <w:spacing w:line="400" w:lineRule="exact"/>
        <w:rPr>
          <w:rtl/>
          <w:lang w:bidi="ar-LB"/>
        </w:rPr>
      </w:pPr>
    </w:p>
    <w:p w:rsidR="00D17991" w:rsidRDefault="00D17991" w:rsidP="007A21AA">
      <w:pPr>
        <w:spacing w:line="400" w:lineRule="exact"/>
        <w:rPr>
          <w:rtl/>
          <w:lang w:bidi="ar-LB"/>
        </w:rPr>
      </w:pPr>
    </w:p>
    <w:p w:rsidR="00D17991" w:rsidRDefault="00D17991" w:rsidP="007A21AA">
      <w:pPr>
        <w:spacing w:line="400" w:lineRule="exact"/>
        <w:rPr>
          <w:rtl/>
          <w:lang w:bidi="ar-LB"/>
        </w:rPr>
      </w:pPr>
    </w:p>
    <w:p w:rsidR="00D17991" w:rsidRPr="00904FCB" w:rsidRDefault="00D17991" w:rsidP="007A21AA">
      <w:pPr>
        <w:spacing w:line="400" w:lineRule="exact"/>
        <w:rPr>
          <w:rtl/>
          <w:lang w:bidi="ar-LB"/>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FA793B" w:rsidP="008D5CB3">
      <w:pPr>
        <w:pStyle w:val="10"/>
        <w:spacing w:line="240" w:lineRule="auto"/>
        <w:rPr>
          <w:rtl/>
        </w:rPr>
      </w:pPr>
      <w:bookmarkStart w:id="14" w:name="_Toc435577176"/>
      <w:r w:rsidRPr="00904FCB">
        <w:rPr>
          <w:rtl/>
        </w:rPr>
        <w:t>المبادئ الفكرية للس</w:t>
      </w:r>
      <w:r w:rsidR="00841968" w:rsidRPr="00904FCB">
        <w:rPr>
          <w:rFonts w:hint="cs"/>
          <w:rtl/>
        </w:rPr>
        <w:t>َّ</w:t>
      </w:r>
      <w:r w:rsidRPr="00904FCB">
        <w:rPr>
          <w:rtl/>
        </w:rPr>
        <w:t>ل</w:t>
      </w:r>
      <w:r w:rsidR="00841968" w:rsidRPr="00904FCB">
        <w:rPr>
          <w:rFonts w:hint="cs"/>
          <w:rtl/>
        </w:rPr>
        <w:t>َ</w:t>
      </w:r>
      <w:r w:rsidRPr="00904FCB">
        <w:rPr>
          <w:rtl/>
        </w:rPr>
        <w:t>فية</w:t>
      </w:r>
      <w:r w:rsidRPr="00904FCB">
        <w:t xml:space="preserve"> </w:t>
      </w:r>
      <w:r w:rsidRPr="00904FCB">
        <w:rPr>
          <w:rtl/>
        </w:rPr>
        <w:t>الجهادية</w:t>
      </w:r>
      <w:bookmarkEnd w:id="14"/>
    </w:p>
    <w:p w:rsidR="00FA793B" w:rsidRPr="00904FCB" w:rsidRDefault="00FA793B" w:rsidP="00544400">
      <w:pPr>
        <w:spacing w:line="240" w:lineRule="auto"/>
        <w:ind w:firstLine="0"/>
        <w:jc w:val="center"/>
        <w:rPr>
          <w:rFonts w:cs="Ya-Ali"/>
          <w:sz w:val="32"/>
          <w:szCs w:val="31"/>
          <w:rtl/>
        </w:rPr>
      </w:pPr>
      <w:r w:rsidRPr="00904FCB">
        <w:rPr>
          <w:rFonts w:cs="Ya-Ali" w:hint="cs"/>
          <w:sz w:val="32"/>
          <w:szCs w:val="31"/>
          <w:rtl/>
        </w:rPr>
        <w:t>ـ القسم الأوّل ـ</w:t>
      </w:r>
    </w:p>
    <w:p w:rsidR="00E83C22" w:rsidRPr="00904FCB" w:rsidRDefault="00E83C22" w:rsidP="007A21AA">
      <w:pPr>
        <w:spacing w:line="400" w:lineRule="exact"/>
        <w:rPr>
          <w:rtl/>
        </w:rPr>
      </w:pPr>
    </w:p>
    <w:p w:rsidR="00E83C22" w:rsidRPr="00904FCB" w:rsidRDefault="0051752E" w:rsidP="007A21AA">
      <w:pPr>
        <w:pStyle w:val="Author"/>
        <w:spacing w:line="400" w:lineRule="exact"/>
        <w:rPr>
          <w:rtl/>
        </w:rPr>
      </w:pPr>
      <w:bookmarkStart w:id="15" w:name="_Toc435577177"/>
      <w:r w:rsidRPr="00904FCB">
        <w:rPr>
          <w:rFonts w:hint="cs"/>
          <w:rtl/>
          <w:lang w:bidi="fa-IR"/>
        </w:rPr>
        <w:t xml:space="preserve">د. </w:t>
      </w:r>
      <w:r w:rsidR="00FA793B" w:rsidRPr="00904FCB">
        <w:rPr>
          <w:rFonts w:hint="cs"/>
          <w:rtl/>
          <w:lang w:bidi="fa-IR"/>
        </w:rPr>
        <w:t>السيد</w:t>
      </w:r>
      <w:r w:rsidR="00FA793B" w:rsidRPr="00904FCB">
        <w:rPr>
          <w:rtl/>
          <w:lang w:bidi="ar-LB"/>
        </w:rPr>
        <w:t xml:space="preserve"> </w:t>
      </w:r>
      <w:r w:rsidR="00FA793B" w:rsidRPr="00904FCB">
        <w:rPr>
          <w:rFonts w:hint="cs"/>
          <w:rtl/>
          <w:lang w:bidi="ar-LB"/>
        </w:rPr>
        <w:t>أ</w:t>
      </w:r>
      <w:r w:rsidR="00FA793B" w:rsidRPr="00904FCB">
        <w:rPr>
          <w:rtl/>
          <w:lang w:bidi="ar-LB"/>
        </w:rPr>
        <w:t>حمد سادات</w:t>
      </w:r>
      <w:r w:rsidR="00527634" w:rsidRPr="00904FCB">
        <w:rPr>
          <w:rFonts w:cs="Taher" w:hint="cs"/>
          <w:vertAlign w:val="superscript"/>
          <w:rtl/>
        </w:rPr>
        <w:t>(</w:t>
      </w:r>
      <w:r w:rsidR="00527634" w:rsidRPr="00904FCB">
        <w:rPr>
          <w:rFonts w:cs="Taher"/>
          <w:vertAlign w:val="superscript"/>
          <w:rtl/>
        </w:rPr>
        <w:footnoteReference w:customMarkFollows="1" w:id="4"/>
        <w:t>*)</w:t>
      </w:r>
      <w:bookmarkEnd w:id="15"/>
    </w:p>
    <w:p w:rsidR="00A45FD9" w:rsidRPr="00904FCB" w:rsidRDefault="00A45FD9" w:rsidP="0051752E">
      <w:pPr>
        <w:spacing w:line="400" w:lineRule="exact"/>
        <w:ind w:firstLine="0"/>
        <w:rPr>
          <w:rFonts w:ascii="Arial" w:hAnsi="Arial"/>
          <w:b/>
          <w:bCs/>
          <w:sz w:val="27"/>
        </w:rPr>
      </w:pPr>
    </w:p>
    <w:p w:rsidR="00A45FD9" w:rsidRPr="00904FCB" w:rsidRDefault="00A45FD9" w:rsidP="007A21AA">
      <w:pPr>
        <w:pStyle w:val="31"/>
        <w:spacing w:line="400" w:lineRule="exact"/>
        <w:rPr>
          <w:color w:val="auto"/>
          <w:rtl/>
        </w:rPr>
      </w:pPr>
      <w:r w:rsidRPr="00904FCB">
        <w:rPr>
          <w:color w:val="auto"/>
          <w:rtl/>
        </w:rPr>
        <w:t xml:space="preserve">تمهيد </w:t>
      </w:r>
    </w:p>
    <w:p w:rsidR="00A45FD9" w:rsidRPr="00904FCB" w:rsidRDefault="00A45FD9" w:rsidP="00B74A01">
      <w:pPr>
        <w:spacing w:line="420" w:lineRule="exact"/>
        <w:rPr>
          <w:rFonts w:ascii="Arial" w:hAnsi="Arial"/>
          <w:sz w:val="27"/>
          <w:rtl/>
        </w:rPr>
      </w:pPr>
      <w:r w:rsidRPr="00904FCB">
        <w:rPr>
          <w:rFonts w:ascii="Arial" w:hAnsi="Arial"/>
          <w:sz w:val="27"/>
          <w:rtl/>
        </w:rPr>
        <w:t>ظهر في العصر الحديث ما يعرف بالسلفية الجهادية، وهو مصطلح أطلق منذ نهاية الثمانينيات على بعض جماعات الإسلام السياسي التي تتبن</w:t>
      </w:r>
      <w:r w:rsidR="00C152AA" w:rsidRPr="00904FCB">
        <w:rPr>
          <w:rFonts w:ascii="Arial" w:hAnsi="Arial" w:hint="cs"/>
          <w:sz w:val="27"/>
          <w:rtl/>
        </w:rPr>
        <w:t>ّ</w:t>
      </w:r>
      <w:r w:rsidRPr="00904FCB">
        <w:rPr>
          <w:rFonts w:ascii="Arial" w:hAnsi="Arial"/>
          <w:sz w:val="27"/>
          <w:rtl/>
        </w:rPr>
        <w:t>ى الجهاد منهجاً للتغيير</w:t>
      </w:r>
      <w:r w:rsidR="00C152AA" w:rsidRPr="00904FCB">
        <w:rPr>
          <w:rFonts w:ascii="Arial" w:hAnsi="Arial" w:hint="cs"/>
          <w:sz w:val="27"/>
          <w:rtl/>
        </w:rPr>
        <w:t>.</w:t>
      </w:r>
      <w:r w:rsidRPr="00904FCB">
        <w:rPr>
          <w:rFonts w:ascii="Arial" w:hAnsi="Arial"/>
          <w:sz w:val="27"/>
          <w:rtl/>
        </w:rPr>
        <w:t xml:space="preserve"> ويعلن هذا التيار أن الجهاد أحد أركانه، وأن الجهاد الذي يجب وجوباً عينياً على المسلمين يتم</w:t>
      </w:r>
      <w:r w:rsidR="00C152AA" w:rsidRPr="00904FCB">
        <w:rPr>
          <w:rFonts w:ascii="Arial" w:hAnsi="Arial" w:hint="cs"/>
          <w:sz w:val="27"/>
          <w:rtl/>
        </w:rPr>
        <w:t>ّ</w:t>
      </w:r>
      <w:r w:rsidRPr="00904FCB">
        <w:rPr>
          <w:rFonts w:ascii="Arial" w:hAnsi="Arial"/>
          <w:sz w:val="27"/>
          <w:rtl/>
        </w:rPr>
        <w:t xml:space="preserve"> تطبيقه ضد</w:t>
      </w:r>
      <w:r w:rsidR="00C152AA" w:rsidRPr="00904FCB">
        <w:rPr>
          <w:rFonts w:ascii="Arial" w:hAnsi="Arial" w:hint="cs"/>
          <w:sz w:val="27"/>
          <w:rtl/>
        </w:rPr>
        <w:t>ّ</w:t>
      </w:r>
      <w:r w:rsidRPr="00904FCB">
        <w:rPr>
          <w:rFonts w:ascii="Arial" w:hAnsi="Arial"/>
          <w:sz w:val="27"/>
          <w:rtl/>
        </w:rPr>
        <w:t xml:space="preserve"> العدو المحتل</w:t>
      </w:r>
      <w:r w:rsidR="00C152AA" w:rsidRPr="00904FCB">
        <w:rPr>
          <w:rFonts w:ascii="Arial" w:hAnsi="Arial" w:hint="cs"/>
          <w:sz w:val="27"/>
          <w:rtl/>
        </w:rPr>
        <w:t>ّ</w:t>
      </w:r>
      <w:r w:rsidRPr="00904FCB">
        <w:rPr>
          <w:rFonts w:ascii="Arial" w:hAnsi="Arial"/>
          <w:sz w:val="27"/>
          <w:rtl/>
        </w:rPr>
        <w:t xml:space="preserve"> وضد</w:t>
      </w:r>
      <w:r w:rsidR="00C152AA" w:rsidRPr="00904FCB">
        <w:rPr>
          <w:rFonts w:ascii="Arial" w:hAnsi="Arial" w:hint="cs"/>
          <w:sz w:val="27"/>
          <w:rtl/>
        </w:rPr>
        <w:t>ّ</w:t>
      </w:r>
      <w:r w:rsidRPr="00904FCB">
        <w:rPr>
          <w:rFonts w:ascii="Arial" w:hAnsi="Arial"/>
          <w:sz w:val="27"/>
          <w:rtl/>
        </w:rPr>
        <w:t xml:space="preserve"> النظام الحاكم المبد</w:t>
      </w:r>
      <w:r w:rsidR="00C152AA" w:rsidRPr="00904FCB">
        <w:rPr>
          <w:rFonts w:ascii="Arial" w:hAnsi="Arial" w:hint="cs"/>
          <w:sz w:val="27"/>
          <w:rtl/>
        </w:rPr>
        <w:t>ِّ</w:t>
      </w:r>
      <w:r w:rsidRPr="00904FCB">
        <w:rPr>
          <w:rFonts w:ascii="Arial" w:hAnsi="Arial"/>
          <w:sz w:val="27"/>
          <w:rtl/>
        </w:rPr>
        <w:t>ل للشريعة الإسلامية</w:t>
      </w:r>
      <w:r w:rsidR="00C152AA" w:rsidRPr="00904FCB">
        <w:rPr>
          <w:rFonts w:ascii="Arial" w:hAnsi="Arial" w:hint="cs"/>
          <w:sz w:val="27"/>
          <w:rtl/>
        </w:rPr>
        <w:t>،</w:t>
      </w:r>
      <w:r w:rsidRPr="00904FCB">
        <w:rPr>
          <w:rFonts w:ascii="Arial" w:hAnsi="Arial"/>
          <w:sz w:val="27"/>
          <w:rtl/>
        </w:rPr>
        <w:t xml:space="preserve"> و</w:t>
      </w:r>
      <w:r w:rsidR="00C152AA" w:rsidRPr="00904FCB">
        <w:rPr>
          <w:rFonts w:ascii="Arial" w:hAnsi="Arial" w:hint="cs"/>
          <w:sz w:val="27"/>
          <w:rtl/>
        </w:rPr>
        <w:t xml:space="preserve">الذي </w:t>
      </w:r>
      <w:r w:rsidRPr="00904FCB">
        <w:rPr>
          <w:rFonts w:ascii="Arial" w:hAnsi="Arial"/>
          <w:sz w:val="27"/>
          <w:rtl/>
        </w:rPr>
        <w:t>يحكم بالقوانين الوضعية</w:t>
      </w:r>
      <w:r w:rsidR="00C152AA" w:rsidRPr="00904FCB">
        <w:rPr>
          <w:rFonts w:ascii="Arial" w:hAnsi="Arial" w:hint="cs"/>
          <w:sz w:val="27"/>
          <w:rtl/>
        </w:rPr>
        <w:t>،</w:t>
      </w:r>
      <w:r w:rsidRPr="00904FCB">
        <w:rPr>
          <w:rFonts w:ascii="Arial" w:hAnsi="Arial"/>
          <w:sz w:val="27"/>
          <w:rtl/>
        </w:rPr>
        <w:t xml:space="preserve"> أو النظام المبال</w:t>
      </w:r>
      <w:r w:rsidR="00C152AA" w:rsidRPr="00904FCB">
        <w:rPr>
          <w:rFonts w:ascii="Arial" w:hAnsi="Arial" w:hint="cs"/>
          <w:sz w:val="27"/>
          <w:rtl/>
        </w:rPr>
        <w:t>ِ</w:t>
      </w:r>
      <w:r w:rsidRPr="00904FCB">
        <w:rPr>
          <w:rFonts w:ascii="Arial" w:hAnsi="Arial"/>
          <w:sz w:val="27"/>
          <w:rtl/>
        </w:rPr>
        <w:t xml:space="preserve">غ في الظلم والقهر. </w:t>
      </w:r>
    </w:p>
    <w:p w:rsidR="00A45FD9" w:rsidRPr="00904FCB" w:rsidRDefault="00A45FD9" w:rsidP="00544400">
      <w:pPr>
        <w:spacing w:line="420" w:lineRule="exact"/>
        <w:ind w:firstLine="561"/>
        <w:rPr>
          <w:rFonts w:ascii="Arial" w:hAnsi="Arial"/>
          <w:sz w:val="27"/>
          <w:rtl/>
        </w:rPr>
      </w:pPr>
      <w:r w:rsidRPr="00904FCB">
        <w:rPr>
          <w:rFonts w:ascii="Arial" w:hAnsi="Arial"/>
          <w:sz w:val="27"/>
          <w:rtl/>
        </w:rPr>
        <w:t xml:space="preserve">ومن أشهر الجماعات التي تنتمي للمنهج </w:t>
      </w:r>
      <w:r w:rsidR="00C152AA" w:rsidRPr="00904FCB">
        <w:rPr>
          <w:rFonts w:ascii="Arial" w:hAnsi="Arial" w:hint="cs"/>
          <w:sz w:val="27"/>
          <w:rtl/>
        </w:rPr>
        <w:t>المذكور</w:t>
      </w:r>
      <w:r w:rsidR="007A19D2" w:rsidRPr="00904FCB">
        <w:rPr>
          <w:rFonts w:ascii="Arial" w:hAnsi="Arial" w:hint="cs"/>
          <w:sz w:val="27"/>
          <w:rtl/>
        </w:rPr>
        <w:t>:</w:t>
      </w:r>
      <w:r w:rsidRPr="00904FCB">
        <w:rPr>
          <w:rFonts w:ascii="Arial" w:hAnsi="Arial"/>
          <w:sz w:val="27"/>
          <w:rtl/>
        </w:rPr>
        <w:t xml:space="preserve"> جماعة أنصار بيت المقدس</w:t>
      </w:r>
      <w:r w:rsidR="007A19D2" w:rsidRPr="00904FCB">
        <w:rPr>
          <w:rFonts w:ascii="Arial" w:hAnsi="Arial" w:hint="cs"/>
          <w:sz w:val="27"/>
          <w:rtl/>
        </w:rPr>
        <w:t>؛</w:t>
      </w:r>
      <w:r w:rsidRPr="00904FCB">
        <w:rPr>
          <w:rFonts w:ascii="Arial" w:hAnsi="Arial"/>
          <w:sz w:val="27"/>
          <w:rtl/>
        </w:rPr>
        <w:t xml:space="preserve"> والقاعدة</w:t>
      </w:r>
      <w:r w:rsidR="007A19D2" w:rsidRPr="00904FCB">
        <w:rPr>
          <w:rFonts w:ascii="Arial" w:hAnsi="Arial" w:hint="cs"/>
          <w:sz w:val="27"/>
          <w:rtl/>
        </w:rPr>
        <w:t>؛</w:t>
      </w:r>
      <w:r w:rsidRPr="00904FCB">
        <w:rPr>
          <w:rFonts w:ascii="Arial" w:hAnsi="Arial"/>
          <w:sz w:val="27"/>
          <w:rtl/>
        </w:rPr>
        <w:t xml:space="preserve"> وحركة طالبان</w:t>
      </w:r>
      <w:r w:rsidR="007A19D2" w:rsidRPr="00904FCB">
        <w:rPr>
          <w:rFonts w:ascii="Arial" w:hAnsi="Arial" w:hint="cs"/>
          <w:sz w:val="27"/>
          <w:rtl/>
        </w:rPr>
        <w:t>؛</w:t>
      </w:r>
      <w:r w:rsidRPr="00904FCB">
        <w:rPr>
          <w:rFonts w:ascii="Arial" w:hAnsi="Arial"/>
          <w:sz w:val="27"/>
          <w:rtl/>
        </w:rPr>
        <w:t xml:space="preserve"> والدولة الإسلامية في العراق والشام «داعش»، وجبهة النصرة</w:t>
      </w:r>
      <w:r w:rsidR="007A19D2" w:rsidRPr="00904FCB">
        <w:rPr>
          <w:rFonts w:ascii="Arial" w:hAnsi="Arial" w:hint="cs"/>
          <w:sz w:val="27"/>
          <w:rtl/>
        </w:rPr>
        <w:t>؛</w:t>
      </w:r>
      <w:r w:rsidRPr="00904FCB">
        <w:rPr>
          <w:rFonts w:ascii="Arial" w:hAnsi="Arial" w:hint="cs"/>
          <w:sz w:val="27"/>
          <w:rtl/>
        </w:rPr>
        <w:t xml:space="preserve"> و</w:t>
      </w:r>
      <w:r w:rsidRPr="00904FCB">
        <w:rPr>
          <w:rFonts w:ascii="Arial" w:hAnsi="Arial"/>
          <w:sz w:val="27"/>
          <w:rtl/>
        </w:rPr>
        <w:t xml:space="preserve">جماعة </w:t>
      </w:r>
      <w:r w:rsidR="007A19D2" w:rsidRPr="00904FCB">
        <w:rPr>
          <w:rFonts w:ascii="Arial" w:hAnsi="Arial" w:hint="cs"/>
          <w:sz w:val="27"/>
          <w:rtl/>
        </w:rPr>
        <w:t>ال</w:t>
      </w:r>
      <w:r w:rsidRPr="00904FCB">
        <w:rPr>
          <w:rFonts w:ascii="Arial" w:hAnsi="Arial"/>
          <w:sz w:val="27"/>
          <w:rtl/>
        </w:rPr>
        <w:t>شباب المجاهدين في الصومال</w:t>
      </w:r>
      <w:r w:rsidR="007A19D2" w:rsidRPr="00904FCB">
        <w:rPr>
          <w:rFonts w:ascii="Arial" w:hAnsi="Arial" w:hint="cs"/>
          <w:sz w:val="27"/>
          <w:rtl/>
        </w:rPr>
        <w:t>؛</w:t>
      </w:r>
      <w:r w:rsidRPr="00904FCB">
        <w:rPr>
          <w:rFonts w:ascii="Arial" w:hAnsi="Arial"/>
          <w:sz w:val="27"/>
          <w:rtl/>
        </w:rPr>
        <w:t xml:space="preserve"> وجماعة أنصار الشريعة في تونس</w:t>
      </w:r>
      <w:r w:rsidRPr="00904FCB">
        <w:rPr>
          <w:rFonts w:ascii="Arial" w:hAnsi="Arial" w:hint="cs"/>
          <w:sz w:val="27"/>
          <w:rtl/>
        </w:rPr>
        <w:t xml:space="preserve"> وليبيا</w:t>
      </w:r>
      <w:r w:rsidRPr="00904FCB">
        <w:rPr>
          <w:rFonts w:ascii="Arial" w:hAnsi="Arial"/>
          <w:sz w:val="27"/>
          <w:rtl/>
        </w:rPr>
        <w:t xml:space="preserve">. </w:t>
      </w:r>
    </w:p>
    <w:p w:rsidR="007A19D2" w:rsidRPr="00904FCB" w:rsidRDefault="00A45FD9" w:rsidP="007A21AA">
      <w:pPr>
        <w:spacing w:line="400" w:lineRule="exact"/>
        <w:rPr>
          <w:rFonts w:ascii="Arial" w:hAnsi="Arial"/>
          <w:sz w:val="27"/>
          <w:rtl/>
        </w:rPr>
      </w:pPr>
      <w:r w:rsidRPr="00904FCB">
        <w:rPr>
          <w:rFonts w:ascii="Arial" w:hAnsi="Arial"/>
          <w:sz w:val="27"/>
          <w:rtl/>
        </w:rPr>
        <w:t>تنبع أهم</w:t>
      </w:r>
      <w:r w:rsidR="007A19D2" w:rsidRPr="00904FCB">
        <w:rPr>
          <w:rFonts w:ascii="Arial" w:hAnsi="Arial" w:hint="cs"/>
          <w:sz w:val="27"/>
          <w:rtl/>
        </w:rPr>
        <w:t>ّ</w:t>
      </w:r>
      <w:r w:rsidRPr="00904FCB">
        <w:rPr>
          <w:rFonts w:ascii="Arial" w:hAnsi="Arial"/>
          <w:sz w:val="27"/>
          <w:rtl/>
        </w:rPr>
        <w:t>ية هذه الدراسة من أهم</w:t>
      </w:r>
      <w:r w:rsidR="007A19D2" w:rsidRPr="00904FCB">
        <w:rPr>
          <w:rFonts w:ascii="Arial" w:hAnsi="Arial" w:hint="cs"/>
          <w:sz w:val="27"/>
          <w:rtl/>
        </w:rPr>
        <w:t>ّ</w:t>
      </w:r>
      <w:r w:rsidRPr="00904FCB">
        <w:rPr>
          <w:rFonts w:ascii="Arial" w:hAnsi="Arial"/>
          <w:sz w:val="27"/>
          <w:rtl/>
        </w:rPr>
        <w:t xml:space="preserve">ية دراسة </w:t>
      </w:r>
      <w:r w:rsidR="007A19D2" w:rsidRPr="00904FCB">
        <w:rPr>
          <w:rFonts w:ascii="Arial" w:hAnsi="Arial" w:hint="cs"/>
          <w:sz w:val="27"/>
          <w:rtl/>
        </w:rPr>
        <w:t>أ</w:t>
      </w:r>
      <w:r w:rsidRPr="00904FCB">
        <w:rPr>
          <w:rFonts w:ascii="Arial" w:hAnsi="Arial"/>
          <w:sz w:val="27"/>
          <w:rtl/>
        </w:rPr>
        <w:t xml:space="preserve">فكار ومبادئ </w:t>
      </w:r>
      <w:r w:rsidR="007A19D2" w:rsidRPr="00904FCB">
        <w:rPr>
          <w:rFonts w:ascii="Arial" w:hAnsi="Arial" w:hint="cs"/>
          <w:sz w:val="27"/>
          <w:rtl/>
        </w:rPr>
        <w:t>ا</w:t>
      </w:r>
      <w:r w:rsidRPr="00904FCB">
        <w:rPr>
          <w:rFonts w:ascii="Arial" w:hAnsi="Arial"/>
          <w:sz w:val="27"/>
          <w:rtl/>
        </w:rPr>
        <w:t>لتيارات السلفية الجهادية بشكل</w:t>
      </w:r>
      <w:r w:rsidR="007A19D2" w:rsidRPr="00904FCB">
        <w:rPr>
          <w:rFonts w:ascii="Arial" w:hAnsi="Arial" w:hint="cs"/>
          <w:sz w:val="27"/>
          <w:rtl/>
        </w:rPr>
        <w:t>ٍ</w:t>
      </w:r>
      <w:r w:rsidRPr="00904FCB">
        <w:rPr>
          <w:rFonts w:ascii="Arial" w:hAnsi="Arial"/>
          <w:sz w:val="27"/>
          <w:rtl/>
        </w:rPr>
        <w:t xml:space="preserve"> عام على الصعيد المحل</w:t>
      </w:r>
      <w:r w:rsidR="007A19D2" w:rsidRPr="00904FCB">
        <w:rPr>
          <w:rFonts w:ascii="Arial" w:hAnsi="Arial" w:hint="cs"/>
          <w:sz w:val="27"/>
          <w:rtl/>
        </w:rPr>
        <w:t>ّ</w:t>
      </w:r>
      <w:r w:rsidRPr="00904FCB">
        <w:rPr>
          <w:rFonts w:ascii="Arial" w:hAnsi="Arial"/>
          <w:sz w:val="27"/>
          <w:rtl/>
        </w:rPr>
        <w:t xml:space="preserve">ي والإقليمي والدولي، بما </w:t>
      </w:r>
      <w:r w:rsidR="007A19D2" w:rsidRPr="00904FCB">
        <w:rPr>
          <w:rFonts w:ascii="Arial" w:hAnsi="Arial" w:hint="cs"/>
          <w:sz w:val="27"/>
          <w:rtl/>
        </w:rPr>
        <w:t>أ</w:t>
      </w:r>
      <w:r w:rsidRPr="00904FCB">
        <w:rPr>
          <w:rFonts w:ascii="Arial" w:hAnsi="Arial"/>
          <w:sz w:val="27"/>
          <w:rtl/>
        </w:rPr>
        <w:t>ن مصطلح السلفية الجهادية مثبت في الأدبيات الجهادية نفسها منذ سنوات، وتحديداً منذ ثمانينيات القرن العشرين عند الرموز الأساسيين الذين يحملون لواء هذا الخط</w:t>
      </w:r>
      <w:r w:rsidR="007A19D2" w:rsidRPr="00904FCB">
        <w:rPr>
          <w:rFonts w:ascii="Arial" w:hAnsi="Arial" w:hint="cs"/>
          <w:sz w:val="27"/>
          <w:rtl/>
        </w:rPr>
        <w:t>ّ</w:t>
      </w:r>
      <w:r w:rsidRPr="00904FCB">
        <w:rPr>
          <w:rFonts w:ascii="Arial" w:hAnsi="Arial"/>
          <w:sz w:val="27"/>
          <w:rtl/>
        </w:rPr>
        <w:t xml:space="preserve"> المتشد</w:t>
      </w:r>
      <w:r w:rsidR="007A19D2" w:rsidRPr="00904FCB">
        <w:rPr>
          <w:rFonts w:ascii="Arial" w:hAnsi="Arial" w:hint="cs"/>
          <w:sz w:val="27"/>
          <w:rtl/>
        </w:rPr>
        <w:t>ِّ</w:t>
      </w:r>
      <w:r w:rsidRPr="00904FCB">
        <w:rPr>
          <w:rFonts w:ascii="Arial" w:hAnsi="Arial"/>
          <w:sz w:val="27"/>
          <w:rtl/>
        </w:rPr>
        <w:t>د ويمث</w:t>
      </w:r>
      <w:r w:rsidR="007A19D2" w:rsidRPr="00904FCB">
        <w:rPr>
          <w:rFonts w:ascii="Arial" w:hAnsi="Arial" w:hint="cs"/>
          <w:sz w:val="27"/>
          <w:rtl/>
        </w:rPr>
        <w:t>ِّ</w:t>
      </w:r>
      <w:r w:rsidRPr="00904FCB">
        <w:rPr>
          <w:rFonts w:ascii="Arial" w:hAnsi="Arial"/>
          <w:sz w:val="27"/>
          <w:rtl/>
        </w:rPr>
        <w:t>لونه، مثل</w:t>
      </w:r>
      <w:r w:rsidR="007A19D2" w:rsidRPr="00904FCB">
        <w:rPr>
          <w:rFonts w:ascii="Arial" w:hAnsi="Arial" w:hint="cs"/>
          <w:sz w:val="27"/>
          <w:rtl/>
        </w:rPr>
        <w:t>:</w:t>
      </w:r>
      <w:r w:rsidRPr="00904FCB">
        <w:rPr>
          <w:rFonts w:ascii="Arial" w:hAnsi="Arial"/>
          <w:sz w:val="27"/>
          <w:rtl/>
        </w:rPr>
        <w:t xml:space="preserve"> أبو محمد المقدسي، عبد القادر عبد العزيز (سي</w:t>
      </w:r>
      <w:r w:rsidR="007A19D2" w:rsidRPr="00904FCB">
        <w:rPr>
          <w:rFonts w:ascii="Arial" w:hAnsi="Arial" w:hint="cs"/>
          <w:sz w:val="27"/>
          <w:rtl/>
        </w:rPr>
        <w:t>ّ</w:t>
      </w:r>
      <w:r w:rsidRPr="00904FCB">
        <w:rPr>
          <w:rFonts w:ascii="Arial" w:hAnsi="Arial"/>
          <w:sz w:val="27"/>
          <w:rtl/>
        </w:rPr>
        <w:t xml:space="preserve">د إمام)، أبو قتادة الفلسطيني، أبو </w:t>
      </w:r>
      <w:r w:rsidRPr="00904FCB">
        <w:rPr>
          <w:rFonts w:ascii="Arial" w:hAnsi="Arial"/>
          <w:sz w:val="27"/>
          <w:rtl/>
        </w:rPr>
        <w:lastRenderedPageBreak/>
        <w:t>مصعب السوري، أيمن الظواهري، وإن</w:t>
      </w:r>
      <w:r w:rsidR="007A19D2" w:rsidRPr="00904FCB">
        <w:rPr>
          <w:rFonts w:ascii="Arial" w:hAnsi="Arial" w:hint="cs"/>
          <w:sz w:val="27"/>
          <w:rtl/>
        </w:rPr>
        <w:t>ْ</w:t>
      </w:r>
      <w:r w:rsidRPr="00904FCB">
        <w:rPr>
          <w:rFonts w:ascii="Arial" w:hAnsi="Arial"/>
          <w:sz w:val="27"/>
          <w:rtl/>
        </w:rPr>
        <w:t xml:space="preserve"> كانت صياغاته النظرية الأولى تم</w:t>
      </w:r>
      <w:r w:rsidR="007A19D2" w:rsidRPr="00904FCB">
        <w:rPr>
          <w:rFonts w:ascii="Arial" w:hAnsi="Arial" w:hint="cs"/>
          <w:sz w:val="27"/>
          <w:rtl/>
        </w:rPr>
        <w:t>ّ</w:t>
      </w:r>
      <w:r w:rsidRPr="00904FCB">
        <w:rPr>
          <w:rFonts w:ascii="Arial" w:hAnsi="Arial"/>
          <w:sz w:val="27"/>
          <w:rtl/>
        </w:rPr>
        <w:t>ت في مصر في الستينيات على يد سيد قطب. إن أدبيات التيارات السلفية الجهادية زاخرة بشرح مكانة الجهاد المتقد</w:t>
      </w:r>
      <w:r w:rsidR="007A19D2" w:rsidRPr="00904FCB">
        <w:rPr>
          <w:rFonts w:ascii="Arial" w:hAnsi="Arial" w:hint="cs"/>
          <w:sz w:val="27"/>
          <w:rtl/>
        </w:rPr>
        <w:t>ّ</w:t>
      </w:r>
      <w:r w:rsidRPr="00904FCB">
        <w:rPr>
          <w:rFonts w:ascii="Arial" w:hAnsi="Arial"/>
          <w:sz w:val="27"/>
          <w:rtl/>
        </w:rPr>
        <w:t>مة عندها، سواء في التنظير أو في الممارسات العملية</w:t>
      </w:r>
      <w:r w:rsidR="007A19D2" w:rsidRPr="00904FCB">
        <w:rPr>
          <w:rFonts w:ascii="Arial" w:hAnsi="Arial" w:hint="cs"/>
          <w:sz w:val="27"/>
          <w:rtl/>
        </w:rPr>
        <w:t>.</w:t>
      </w:r>
      <w:r w:rsidRPr="00904FCB">
        <w:rPr>
          <w:rFonts w:ascii="Arial" w:hAnsi="Arial"/>
          <w:sz w:val="27"/>
          <w:rtl/>
        </w:rPr>
        <w:t xml:space="preserve"> ويستند أتباع تلك التيارات إلى أقوال ابن تيمية وابن القي</w:t>
      </w:r>
      <w:r w:rsidR="007A19D2" w:rsidRPr="00904FCB">
        <w:rPr>
          <w:rFonts w:ascii="Arial" w:hAnsi="Arial" w:hint="cs"/>
          <w:sz w:val="27"/>
          <w:rtl/>
        </w:rPr>
        <w:t>ِّ</w:t>
      </w:r>
      <w:r w:rsidRPr="00904FCB">
        <w:rPr>
          <w:rFonts w:ascii="Arial" w:hAnsi="Arial"/>
          <w:sz w:val="27"/>
          <w:rtl/>
        </w:rPr>
        <w:t>م الجوزية</w:t>
      </w:r>
      <w:r w:rsidR="007A19D2" w:rsidRPr="00904FCB">
        <w:rPr>
          <w:rFonts w:ascii="Arial" w:hAnsi="Arial" w:hint="cs"/>
          <w:sz w:val="27"/>
          <w:rtl/>
        </w:rPr>
        <w:t>.</w:t>
      </w:r>
      <w:r w:rsidRPr="00904FCB">
        <w:rPr>
          <w:rFonts w:ascii="Arial" w:hAnsi="Arial"/>
          <w:sz w:val="27"/>
          <w:rtl/>
        </w:rPr>
        <w:t xml:space="preserve"> وينقل سيد قطب في كتابه معالم في الطريق ما لخ</w:t>
      </w:r>
      <w:r w:rsidR="007A19D2" w:rsidRPr="00904FCB">
        <w:rPr>
          <w:rFonts w:ascii="Arial" w:hAnsi="Arial" w:hint="cs"/>
          <w:sz w:val="27"/>
          <w:rtl/>
        </w:rPr>
        <w:t>ّ</w:t>
      </w:r>
      <w:r w:rsidRPr="00904FCB">
        <w:rPr>
          <w:rFonts w:ascii="Arial" w:hAnsi="Arial"/>
          <w:sz w:val="27"/>
          <w:rtl/>
        </w:rPr>
        <w:t>صه ابن القي</w:t>
      </w:r>
      <w:r w:rsidR="007A19D2" w:rsidRPr="00904FCB">
        <w:rPr>
          <w:rFonts w:ascii="Arial" w:hAnsi="Arial" w:hint="cs"/>
          <w:sz w:val="27"/>
          <w:rtl/>
        </w:rPr>
        <w:t>ِّ</w:t>
      </w:r>
      <w:r w:rsidRPr="00904FCB">
        <w:rPr>
          <w:rFonts w:ascii="Arial" w:hAnsi="Arial"/>
          <w:sz w:val="27"/>
          <w:rtl/>
        </w:rPr>
        <w:t>م عن سياق الجهاد في الإسلام في كتابه زاد المعاد</w:t>
      </w:r>
      <w:r w:rsidR="007A19D2" w:rsidRPr="00904FCB">
        <w:rPr>
          <w:rFonts w:ascii="Arial" w:hAnsi="Arial"/>
          <w:sz w:val="27"/>
          <w:rtl/>
        </w:rPr>
        <w:t>.</w:t>
      </w:r>
    </w:p>
    <w:p w:rsidR="00A45FD9" w:rsidRPr="00904FCB" w:rsidRDefault="007A19D2" w:rsidP="007A21AA">
      <w:pPr>
        <w:spacing w:line="400" w:lineRule="exact"/>
        <w:rPr>
          <w:rFonts w:ascii="Arial" w:hAnsi="Arial"/>
          <w:sz w:val="27"/>
          <w:rtl/>
        </w:rPr>
      </w:pPr>
      <w:r w:rsidRPr="00904FCB">
        <w:rPr>
          <w:rFonts w:ascii="Arial" w:hAnsi="Arial" w:hint="cs"/>
          <w:sz w:val="27"/>
          <w:rtl/>
        </w:rPr>
        <w:t>و</w:t>
      </w:r>
      <w:r w:rsidR="00A45FD9" w:rsidRPr="00904FCB">
        <w:rPr>
          <w:rFonts w:ascii="Arial" w:hAnsi="Arial"/>
          <w:sz w:val="27"/>
          <w:rtl/>
        </w:rPr>
        <w:t>يتبين من خطاب التيارات السلفية الجهادية أنها تسعى لأهداف تعتبرها سامية</w:t>
      </w:r>
      <w:r w:rsidRPr="00904FCB">
        <w:rPr>
          <w:rFonts w:ascii="Arial" w:hAnsi="Arial" w:hint="cs"/>
          <w:sz w:val="27"/>
          <w:rtl/>
        </w:rPr>
        <w:t>ً؛</w:t>
      </w:r>
      <w:r w:rsidR="00A45FD9" w:rsidRPr="00904FCB">
        <w:rPr>
          <w:rFonts w:ascii="Arial" w:hAnsi="Arial"/>
          <w:sz w:val="27"/>
          <w:rtl/>
        </w:rPr>
        <w:t xml:space="preserve"> لكونها تتعل</w:t>
      </w:r>
      <w:r w:rsidRPr="00904FCB">
        <w:rPr>
          <w:rFonts w:ascii="Arial" w:hAnsi="Arial" w:hint="cs"/>
          <w:sz w:val="27"/>
          <w:rtl/>
        </w:rPr>
        <w:t>َّ</w:t>
      </w:r>
      <w:r w:rsidR="00A45FD9" w:rsidRPr="00904FCB">
        <w:rPr>
          <w:rFonts w:ascii="Arial" w:hAnsi="Arial"/>
          <w:sz w:val="27"/>
          <w:rtl/>
        </w:rPr>
        <w:t>ق بإحقاق أمر الله</w:t>
      </w:r>
      <w:r w:rsidRPr="00904FCB">
        <w:rPr>
          <w:rFonts w:ascii="Arial" w:hAnsi="Arial" w:hint="cs"/>
          <w:sz w:val="27"/>
          <w:rtl/>
        </w:rPr>
        <w:t>،</w:t>
      </w:r>
      <w:r w:rsidR="00A45FD9" w:rsidRPr="00904FCB">
        <w:rPr>
          <w:rFonts w:ascii="Arial" w:hAnsi="Arial"/>
          <w:sz w:val="27"/>
          <w:rtl/>
        </w:rPr>
        <w:t xml:space="preserve"> وتطبيق شريعته</w:t>
      </w:r>
      <w:r w:rsidRPr="00904FCB">
        <w:rPr>
          <w:rFonts w:ascii="Arial" w:hAnsi="Arial" w:hint="cs"/>
          <w:sz w:val="27"/>
          <w:rtl/>
        </w:rPr>
        <w:t>،</w:t>
      </w:r>
      <w:r w:rsidR="00A45FD9" w:rsidRPr="00904FCB">
        <w:rPr>
          <w:rFonts w:ascii="Arial" w:hAnsi="Arial"/>
          <w:sz w:val="27"/>
          <w:rtl/>
        </w:rPr>
        <w:t xml:space="preserve"> والجهاد في سبيله</w:t>
      </w:r>
      <w:r w:rsidRPr="00904FCB">
        <w:rPr>
          <w:rFonts w:ascii="Arial" w:hAnsi="Arial" w:hint="cs"/>
          <w:sz w:val="27"/>
          <w:rtl/>
        </w:rPr>
        <w:t>؛</w:t>
      </w:r>
      <w:r w:rsidR="00A45FD9" w:rsidRPr="00904FCB">
        <w:rPr>
          <w:rFonts w:ascii="Arial" w:hAnsi="Arial"/>
          <w:sz w:val="27"/>
          <w:rtl/>
        </w:rPr>
        <w:t xml:space="preserve"> لتحقيق مرضاته</w:t>
      </w:r>
      <w:r w:rsidRPr="00904FCB">
        <w:rPr>
          <w:rFonts w:ascii="Arial" w:hAnsi="Arial" w:hint="cs"/>
          <w:sz w:val="27"/>
          <w:rtl/>
        </w:rPr>
        <w:t>،</w:t>
      </w:r>
      <w:r w:rsidR="00A45FD9" w:rsidRPr="00904FCB">
        <w:rPr>
          <w:rFonts w:ascii="Arial" w:hAnsi="Arial"/>
          <w:sz w:val="27"/>
          <w:rtl/>
        </w:rPr>
        <w:t xml:space="preserve"> والفوز بجن</w:t>
      </w:r>
      <w:r w:rsidRPr="00904FCB">
        <w:rPr>
          <w:rFonts w:ascii="Arial" w:hAnsi="Arial" w:hint="cs"/>
          <w:sz w:val="27"/>
          <w:rtl/>
        </w:rPr>
        <w:t>ّ</w:t>
      </w:r>
      <w:r w:rsidR="00A45FD9" w:rsidRPr="00904FCB">
        <w:rPr>
          <w:rFonts w:ascii="Arial" w:hAnsi="Arial"/>
          <w:sz w:val="27"/>
          <w:rtl/>
        </w:rPr>
        <w:t>ته</w:t>
      </w:r>
      <w:r w:rsidRPr="00904FCB">
        <w:rPr>
          <w:rFonts w:ascii="Arial" w:hAnsi="Arial" w:hint="cs"/>
          <w:sz w:val="27"/>
          <w:rtl/>
        </w:rPr>
        <w:t>،</w:t>
      </w:r>
      <w:r w:rsidR="00A45FD9" w:rsidRPr="00904FCB">
        <w:rPr>
          <w:rFonts w:ascii="Arial" w:hAnsi="Arial"/>
          <w:sz w:val="27"/>
          <w:rtl/>
        </w:rPr>
        <w:t xml:space="preserve"> وتجن</w:t>
      </w:r>
      <w:r w:rsidRPr="00904FCB">
        <w:rPr>
          <w:rFonts w:ascii="Arial" w:hAnsi="Arial" w:hint="cs"/>
          <w:sz w:val="27"/>
          <w:rtl/>
        </w:rPr>
        <w:t>ُّ</w:t>
      </w:r>
      <w:r w:rsidR="00A45FD9" w:rsidRPr="00904FCB">
        <w:rPr>
          <w:rFonts w:ascii="Arial" w:hAnsi="Arial"/>
          <w:sz w:val="27"/>
          <w:rtl/>
        </w:rPr>
        <w:t>ب غضبه</w:t>
      </w:r>
      <w:r w:rsidRPr="00904FCB">
        <w:rPr>
          <w:rFonts w:ascii="Arial" w:hAnsi="Arial" w:hint="cs"/>
          <w:sz w:val="27"/>
          <w:rtl/>
        </w:rPr>
        <w:t>.</w:t>
      </w:r>
      <w:r w:rsidR="00A45FD9" w:rsidRPr="00904FCB">
        <w:rPr>
          <w:rFonts w:ascii="Arial" w:hAnsi="Arial"/>
          <w:sz w:val="27"/>
          <w:rtl/>
        </w:rPr>
        <w:t xml:space="preserve"> وير</w:t>
      </w:r>
      <w:r w:rsidRPr="00904FCB">
        <w:rPr>
          <w:rFonts w:ascii="Arial" w:hAnsi="Arial" w:hint="cs"/>
          <w:sz w:val="27"/>
          <w:rtl/>
        </w:rPr>
        <w:t>َ</w:t>
      </w:r>
      <w:r w:rsidR="00A45FD9" w:rsidRPr="00904FCB">
        <w:rPr>
          <w:rFonts w:ascii="Arial" w:hAnsi="Arial"/>
          <w:sz w:val="27"/>
          <w:rtl/>
        </w:rPr>
        <w:t>و</w:t>
      </w:r>
      <w:r w:rsidRPr="00904FCB">
        <w:rPr>
          <w:rFonts w:ascii="Arial" w:hAnsi="Arial" w:hint="cs"/>
          <w:sz w:val="27"/>
          <w:rtl/>
        </w:rPr>
        <w:t>ْ</w:t>
      </w:r>
      <w:r w:rsidR="00A45FD9" w:rsidRPr="00904FCB">
        <w:rPr>
          <w:rFonts w:ascii="Arial" w:hAnsi="Arial"/>
          <w:sz w:val="27"/>
          <w:rtl/>
        </w:rPr>
        <w:t>ن أنهم لتحقيق ذلك لا ب</w:t>
      </w:r>
      <w:r w:rsidRPr="00904FCB">
        <w:rPr>
          <w:rFonts w:ascii="Arial" w:hAnsi="Arial" w:hint="cs"/>
          <w:sz w:val="27"/>
          <w:rtl/>
        </w:rPr>
        <w:t>ُ</w:t>
      </w:r>
      <w:r w:rsidR="00A45FD9" w:rsidRPr="00904FCB">
        <w:rPr>
          <w:rFonts w:ascii="Arial" w:hAnsi="Arial"/>
          <w:sz w:val="27"/>
          <w:rtl/>
        </w:rPr>
        <w:t>د</w:t>
      </w:r>
      <w:r w:rsidRPr="00904FCB">
        <w:rPr>
          <w:rFonts w:ascii="Arial" w:hAnsi="Arial" w:hint="cs"/>
          <w:sz w:val="27"/>
          <w:rtl/>
        </w:rPr>
        <w:t>َّ</w:t>
      </w:r>
      <w:r w:rsidR="00A45FD9" w:rsidRPr="00904FCB">
        <w:rPr>
          <w:rFonts w:ascii="Arial" w:hAnsi="Arial"/>
          <w:sz w:val="27"/>
          <w:rtl/>
        </w:rPr>
        <w:t xml:space="preserve"> من تنفيذ الأوامر ال</w:t>
      </w:r>
      <w:r w:rsidR="00A45FD9" w:rsidRPr="00904FCB">
        <w:rPr>
          <w:rFonts w:ascii="Arial" w:hAnsi="Arial" w:hint="cs"/>
          <w:sz w:val="27"/>
          <w:rtl/>
        </w:rPr>
        <w:t>إ</w:t>
      </w:r>
      <w:r w:rsidR="00A45FD9" w:rsidRPr="00904FCB">
        <w:rPr>
          <w:rFonts w:ascii="Arial" w:hAnsi="Arial"/>
          <w:sz w:val="27"/>
          <w:rtl/>
        </w:rPr>
        <w:t>لهية الواضحة. لقد سعى منظ</w:t>
      </w:r>
      <w:r w:rsidRPr="00904FCB">
        <w:rPr>
          <w:rFonts w:ascii="Arial" w:hAnsi="Arial" w:hint="cs"/>
          <w:sz w:val="27"/>
          <w:rtl/>
        </w:rPr>
        <w:t>ِّ</w:t>
      </w:r>
      <w:r w:rsidR="00A45FD9" w:rsidRPr="00904FCB">
        <w:rPr>
          <w:rFonts w:ascii="Arial" w:hAnsi="Arial"/>
          <w:sz w:val="27"/>
          <w:rtl/>
        </w:rPr>
        <w:t>رو هذه التي</w:t>
      </w:r>
      <w:r w:rsidRPr="00904FCB">
        <w:rPr>
          <w:rFonts w:ascii="Arial" w:hAnsi="Arial" w:hint="cs"/>
          <w:sz w:val="27"/>
          <w:rtl/>
        </w:rPr>
        <w:t>ّ</w:t>
      </w:r>
      <w:r w:rsidR="00A45FD9" w:rsidRPr="00904FCB">
        <w:rPr>
          <w:rFonts w:ascii="Arial" w:hAnsi="Arial"/>
          <w:sz w:val="27"/>
          <w:rtl/>
        </w:rPr>
        <w:t>ارات إلى تأصيل بعض المفاهيم (كالحاكمية لله، وجاهلية المجتمع، وكفراني</w:t>
      </w:r>
      <w:r w:rsidRPr="00904FCB">
        <w:rPr>
          <w:rFonts w:ascii="Arial" w:hAnsi="Arial" w:hint="cs"/>
          <w:sz w:val="27"/>
          <w:rtl/>
        </w:rPr>
        <w:t>ّ</w:t>
      </w:r>
      <w:r w:rsidR="00A45FD9" w:rsidRPr="00904FCB">
        <w:rPr>
          <w:rFonts w:ascii="Arial" w:hAnsi="Arial"/>
          <w:sz w:val="27"/>
          <w:rtl/>
        </w:rPr>
        <w:t>ة النظم، والجهاد) من خلال إقامة الدلائل النقلية والعقلية عليها، وتوظيف كل</w:t>
      </w:r>
      <w:r w:rsidRPr="00904FCB">
        <w:rPr>
          <w:rFonts w:ascii="Arial" w:hAnsi="Arial" w:hint="cs"/>
          <w:sz w:val="27"/>
          <w:rtl/>
        </w:rPr>
        <w:t>ّ</w:t>
      </w:r>
      <w:r w:rsidR="00A45FD9" w:rsidRPr="00904FCB">
        <w:rPr>
          <w:rFonts w:ascii="Arial" w:hAnsi="Arial"/>
          <w:sz w:val="27"/>
          <w:rtl/>
        </w:rPr>
        <w:t xml:space="preserve"> المرجعيات العقائدية والفقهية</w:t>
      </w:r>
      <w:r w:rsidRPr="00904FCB">
        <w:rPr>
          <w:rFonts w:ascii="Arial" w:hAnsi="Arial" w:hint="cs"/>
          <w:sz w:val="27"/>
          <w:rtl/>
        </w:rPr>
        <w:t>؛</w:t>
      </w:r>
      <w:r w:rsidR="00A45FD9" w:rsidRPr="00904FCB">
        <w:rPr>
          <w:rFonts w:ascii="Arial" w:hAnsi="Arial"/>
          <w:sz w:val="27"/>
          <w:rtl/>
        </w:rPr>
        <w:t xml:space="preserve"> لبناء منظومتهم الفكرية على المستوى النظري</w:t>
      </w:r>
      <w:r w:rsidRPr="00904FCB">
        <w:rPr>
          <w:rFonts w:ascii="Arial" w:hAnsi="Arial" w:hint="cs"/>
          <w:sz w:val="27"/>
          <w:rtl/>
        </w:rPr>
        <w:t>،</w:t>
      </w:r>
      <w:r w:rsidR="00A45FD9" w:rsidRPr="00904FCB">
        <w:rPr>
          <w:rFonts w:ascii="Arial" w:hAnsi="Arial"/>
          <w:sz w:val="27"/>
          <w:rtl/>
        </w:rPr>
        <w:t xml:space="preserve"> والانطلاق إلى المستوى العملي الجهادي. </w:t>
      </w:r>
    </w:p>
    <w:p w:rsidR="007A19D2" w:rsidRPr="00904FCB" w:rsidRDefault="00A45FD9" w:rsidP="007A21AA">
      <w:pPr>
        <w:spacing w:line="400" w:lineRule="exact"/>
        <w:rPr>
          <w:rFonts w:ascii="Arial" w:hAnsi="Arial"/>
          <w:sz w:val="27"/>
          <w:rtl/>
        </w:rPr>
      </w:pPr>
      <w:r w:rsidRPr="00904FCB">
        <w:rPr>
          <w:rFonts w:ascii="Arial" w:hAnsi="Arial"/>
          <w:sz w:val="27"/>
          <w:rtl/>
        </w:rPr>
        <w:t>إن الجماعات السلفية الجهادية استحضر</w:t>
      </w:r>
      <w:r w:rsidR="007A19D2" w:rsidRPr="00904FCB">
        <w:rPr>
          <w:rFonts w:ascii="Arial" w:hAnsi="Arial" w:hint="cs"/>
          <w:sz w:val="27"/>
          <w:rtl/>
        </w:rPr>
        <w:t>َ</w:t>
      </w:r>
      <w:r w:rsidRPr="00904FCB">
        <w:rPr>
          <w:rFonts w:ascii="Arial" w:hAnsi="Arial"/>
          <w:sz w:val="27"/>
          <w:rtl/>
        </w:rPr>
        <w:t>ت</w:t>
      </w:r>
      <w:r w:rsidR="007A19D2" w:rsidRPr="00904FCB">
        <w:rPr>
          <w:rFonts w:ascii="Arial" w:hAnsi="Arial" w:hint="cs"/>
          <w:sz w:val="27"/>
          <w:rtl/>
        </w:rPr>
        <w:t>ْ</w:t>
      </w:r>
      <w:r w:rsidRPr="00904FCB">
        <w:rPr>
          <w:rFonts w:ascii="Arial" w:hAnsi="Arial"/>
          <w:sz w:val="27"/>
          <w:rtl/>
        </w:rPr>
        <w:t xml:space="preserve"> ما يكفي من الفتاوى من المذاهب الإسلامية السن</w:t>
      </w:r>
      <w:r w:rsidR="007A19D2" w:rsidRPr="00904FCB">
        <w:rPr>
          <w:rFonts w:ascii="Arial" w:hAnsi="Arial" w:hint="cs"/>
          <w:sz w:val="27"/>
          <w:rtl/>
        </w:rPr>
        <w:t>ّ</w:t>
      </w:r>
      <w:r w:rsidRPr="00904FCB">
        <w:rPr>
          <w:rFonts w:ascii="Arial" w:hAnsi="Arial"/>
          <w:sz w:val="27"/>
          <w:rtl/>
        </w:rPr>
        <w:t>ية ال</w:t>
      </w:r>
      <w:r w:rsidR="007A19D2" w:rsidRPr="00904FCB">
        <w:rPr>
          <w:rFonts w:ascii="Arial" w:hAnsi="Arial" w:hint="cs"/>
          <w:sz w:val="27"/>
          <w:rtl/>
        </w:rPr>
        <w:t>أ</w:t>
      </w:r>
      <w:r w:rsidRPr="00904FCB">
        <w:rPr>
          <w:rFonts w:ascii="Arial" w:hAnsi="Arial"/>
          <w:sz w:val="27"/>
          <w:rtl/>
        </w:rPr>
        <w:t>ربعة لتأكيد مشروعيتها في قتال م</w:t>
      </w:r>
      <w:r w:rsidR="007A19D2" w:rsidRPr="00904FCB">
        <w:rPr>
          <w:rFonts w:ascii="Arial" w:hAnsi="Arial" w:hint="cs"/>
          <w:sz w:val="27"/>
          <w:rtl/>
        </w:rPr>
        <w:t>َ</w:t>
      </w:r>
      <w:r w:rsidRPr="00904FCB">
        <w:rPr>
          <w:rFonts w:ascii="Arial" w:hAnsi="Arial"/>
          <w:sz w:val="27"/>
          <w:rtl/>
        </w:rPr>
        <w:t>ن</w:t>
      </w:r>
      <w:r w:rsidR="007A19D2" w:rsidRPr="00904FCB">
        <w:rPr>
          <w:rFonts w:ascii="Arial" w:hAnsi="Arial" w:hint="cs"/>
          <w:sz w:val="27"/>
          <w:rtl/>
        </w:rPr>
        <w:t>ْ</w:t>
      </w:r>
      <w:r w:rsidRPr="00904FCB">
        <w:rPr>
          <w:rFonts w:ascii="Arial" w:hAnsi="Arial"/>
          <w:sz w:val="27"/>
          <w:rtl/>
        </w:rPr>
        <w:t xml:space="preserve"> تصفهم بالكف</w:t>
      </w:r>
      <w:r w:rsidR="007A19D2" w:rsidRPr="00904FCB">
        <w:rPr>
          <w:rFonts w:ascii="Arial" w:hAnsi="Arial" w:hint="cs"/>
          <w:sz w:val="27"/>
          <w:rtl/>
        </w:rPr>
        <w:t>ّ</w:t>
      </w:r>
      <w:r w:rsidRPr="00904FCB">
        <w:rPr>
          <w:rFonts w:ascii="Arial" w:hAnsi="Arial"/>
          <w:sz w:val="27"/>
          <w:rtl/>
        </w:rPr>
        <w:t>ار أو م</w:t>
      </w:r>
      <w:r w:rsidR="007A19D2" w:rsidRPr="00904FCB">
        <w:rPr>
          <w:rFonts w:ascii="Arial" w:hAnsi="Arial" w:hint="cs"/>
          <w:sz w:val="27"/>
          <w:rtl/>
        </w:rPr>
        <w:t>َ</w:t>
      </w:r>
      <w:r w:rsidRPr="00904FCB">
        <w:rPr>
          <w:rFonts w:ascii="Arial" w:hAnsi="Arial"/>
          <w:sz w:val="27"/>
          <w:rtl/>
        </w:rPr>
        <w:t>ن</w:t>
      </w:r>
      <w:r w:rsidR="007A19D2" w:rsidRPr="00904FCB">
        <w:rPr>
          <w:rFonts w:ascii="Arial" w:hAnsi="Arial" w:hint="cs"/>
          <w:sz w:val="27"/>
          <w:rtl/>
        </w:rPr>
        <w:t>ْ</w:t>
      </w:r>
      <w:r w:rsidRPr="00904FCB">
        <w:rPr>
          <w:rFonts w:ascii="Arial" w:hAnsi="Arial"/>
          <w:sz w:val="27"/>
          <w:rtl/>
        </w:rPr>
        <w:t xml:space="preserve"> تنعتهم بالش</w:t>
      </w:r>
      <w:r w:rsidR="007A19D2" w:rsidRPr="00904FCB">
        <w:rPr>
          <w:rFonts w:ascii="Arial" w:hAnsi="Arial" w:hint="cs"/>
          <w:sz w:val="27"/>
          <w:rtl/>
        </w:rPr>
        <w:t>ِّ</w:t>
      </w:r>
      <w:r w:rsidRPr="00904FCB">
        <w:rPr>
          <w:rFonts w:ascii="Arial" w:hAnsi="Arial"/>
          <w:sz w:val="27"/>
          <w:rtl/>
        </w:rPr>
        <w:t>ر</w:t>
      </w:r>
      <w:r w:rsidR="007A19D2" w:rsidRPr="00904FCB">
        <w:rPr>
          <w:rFonts w:ascii="Arial" w:hAnsi="Arial" w:hint="cs"/>
          <w:sz w:val="27"/>
          <w:rtl/>
        </w:rPr>
        <w:t>ْ</w:t>
      </w:r>
      <w:r w:rsidRPr="00904FCB">
        <w:rPr>
          <w:rFonts w:ascii="Arial" w:hAnsi="Arial"/>
          <w:sz w:val="27"/>
          <w:rtl/>
        </w:rPr>
        <w:t>ك، سواء كانوا داخل البلاد الإسلامية أو خارجها، وذلك في إطار الجهاد الابتدائي</w:t>
      </w:r>
      <w:r w:rsidR="007A19D2" w:rsidRPr="00904FCB">
        <w:rPr>
          <w:rFonts w:ascii="Arial" w:hAnsi="Arial" w:hint="cs"/>
          <w:sz w:val="27"/>
          <w:rtl/>
        </w:rPr>
        <w:t>.</w:t>
      </w:r>
      <w:r w:rsidRPr="00904FCB">
        <w:rPr>
          <w:rFonts w:ascii="Arial" w:hAnsi="Arial"/>
          <w:sz w:val="27"/>
          <w:rtl/>
        </w:rPr>
        <w:t xml:space="preserve"> واعتبرت أن مجر</w:t>
      </w:r>
      <w:r w:rsidR="007A19D2" w:rsidRPr="00904FCB">
        <w:rPr>
          <w:rFonts w:ascii="Arial" w:hAnsi="Arial" w:hint="cs"/>
          <w:sz w:val="27"/>
          <w:rtl/>
        </w:rPr>
        <w:t>َّ</w:t>
      </w:r>
      <w:r w:rsidRPr="00904FCB">
        <w:rPr>
          <w:rFonts w:ascii="Arial" w:hAnsi="Arial"/>
          <w:sz w:val="27"/>
          <w:rtl/>
        </w:rPr>
        <w:t>د كفرهم أو شركهم كاف</w:t>
      </w:r>
      <w:r w:rsidR="007A19D2" w:rsidRPr="00904FCB">
        <w:rPr>
          <w:rFonts w:ascii="Arial" w:hAnsi="Arial" w:hint="cs"/>
          <w:sz w:val="27"/>
          <w:rtl/>
        </w:rPr>
        <w:t>ٍ</w:t>
      </w:r>
      <w:r w:rsidRPr="00904FCB">
        <w:rPr>
          <w:rFonts w:ascii="Arial" w:hAnsi="Arial"/>
          <w:sz w:val="27"/>
          <w:rtl/>
        </w:rPr>
        <w:t xml:space="preserve"> لتبرير شن</w:t>
      </w:r>
      <w:r w:rsidR="007A19D2" w:rsidRPr="00904FCB">
        <w:rPr>
          <w:rFonts w:ascii="Arial" w:hAnsi="Arial" w:hint="cs"/>
          <w:sz w:val="27"/>
          <w:rtl/>
        </w:rPr>
        <w:t>ّ</w:t>
      </w:r>
      <w:r w:rsidRPr="00904FCB">
        <w:rPr>
          <w:rFonts w:ascii="Arial" w:hAnsi="Arial"/>
          <w:sz w:val="27"/>
          <w:rtl/>
        </w:rPr>
        <w:t xml:space="preserve"> الحرب عليهم</w:t>
      </w:r>
      <w:r w:rsidR="007A19D2" w:rsidRPr="00904FCB">
        <w:rPr>
          <w:rFonts w:ascii="Arial" w:hAnsi="Arial" w:hint="cs"/>
          <w:sz w:val="27"/>
          <w:rtl/>
        </w:rPr>
        <w:t>،</w:t>
      </w:r>
      <w:r w:rsidRPr="00904FCB">
        <w:rPr>
          <w:rFonts w:ascii="Arial" w:hAnsi="Arial"/>
          <w:sz w:val="27"/>
          <w:rtl/>
        </w:rPr>
        <w:t xml:space="preserve"> وإدخالهم في الإسلام، ولا يشترط قيامهم بأعمال عدائي</w:t>
      </w:r>
      <w:r w:rsidR="007A19D2" w:rsidRPr="00904FCB">
        <w:rPr>
          <w:rFonts w:ascii="Arial" w:hAnsi="Arial" w:hint="cs"/>
          <w:sz w:val="27"/>
          <w:rtl/>
        </w:rPr>
        <w:t>ّ</w:t>
      </w:r>
      <w:r w:rsidRPr="00904FCB">
        <w:rPr>
          <w:rFonts w:ascii="Arial" w:hAnsi="Arial"/>
          <w:sz w:val="27"/>
          <w:rtl/>
        </w:rPr>
        <w:t>ة ضد</w:t>
      </w:r>
      <w:r w:rsidR="007A19D2" w:rsidRPr="00904FCB">
        <w:rPr>
          <w:rFonts w:ascii="Arial" w:hAnsi="Arial" w:hint="cs"/>
          <w:sz w:val="27"/>
          <w:rtl/>
        </w:rPr>
        <w:t>ّ</w:t>
      </w:r>
      <w:r w:rsidRPr="00904FCB">
        <w:rPr>
          <w:rFonts w:ascii="Arial" w:hAnsi="Arial"/>
          <w:sz w:val="27"/>
          <w:rtl/>
        </w:rPr>
        <w:t xml:space="preserve"> المسلمين. بناءً عليه فإن السلفيين الجهاديين ير</w:t>
      </w:r>
      <w:r w:rsidR="007A19D2" w:rsidRPr="00904FCB">
        <w:rPr>
          <w:rFonts w:ascii="Arial" w:hAnsi="Arial" w:hint="cs"/>
          <w:sz w:val="27"/>
          <w:rtl/>
        </w:rPr>
        <w:t>َ</w:t>
      </w:r>
      <w:r w:rsidRPr="00904FCB">
        <w:rPr>
          <w:rFonts w:ascii="Arial" w:hAnsi="Arial"/>
          <w:sz w:val="27"/>
          <w:rtl/>
        </w:rPr>
        <w:t>و</w:t>
      </w:r>
      <w:r w:rsidR="007A19D2" w:rsidRPr="00904FCB">
        <w:rPr>
          <w:rFonts w:ascii="Arial" w:hAnsi="Arial" w:hint="cs"/>
          <w:sz w:val="27"/>
          <w:rtl/>
        </w:rPr>
        <w:t>ْ</w:t>
      </w:r>
      <w:r w:rsidRPr="00904FCB">
        <w:rPr>
          <w:rFonts w:ascii="Arial" w:hAnsi="Arial"/>
          <w:sz w:val="27"/>
          <w:rtl/>
        </w:rPr>
        <w:t>ن أنه إذا وجب قتالهم (الكف</w:t>
      </w:r>
      <w:r w:rsidR="007A19D2" w:rsidRPr="00904FCB">
        <w:rPr>
          <w:rFonts w:ascii="Arial" w:hAnsi="Arial" w:hint="cs"/>
          <w:sz w:val="27"/>
          <w:rtl/>
        </w:rPr>
        <w:t>ّ</w:t>
      </w:r>
      <w:r w:rsidRPr="00904FCB">
        <w:rPr>
          <w:rFonts w:ascii="Arial" w:hAnsi="Arial"/>
          <w:sz w:val="27"/>
          <w:rtl/>
        </w:rPr>
        <w:t>ار والمشركين) من أجل إدخالهم في الإسلام فإن قتالهم بسبب عدوانهم على المسلمين يكون أوجب، وكذلك الأمر من أجل دفع شرورهم عن الإسلام والمسلمين</w:t>
      </w:r>
      <w:r w:rsidR="007A19D2" w:rsidRPr="00904FCB">
        <w:rPr>
          <w:rFonts w:ascii="Arial" w:hAnsi="Arial"/>
          <w:sz w:val="27"/>
          <w:rtl/>
        </w:rPr>
        <w:t>.</w:t>
      </w:r>
    </w:p>
    <w:p w:rsidR="00A45FD9" w:rsidRPr="00904FCB" w:rsidRDefault="007A19D2" w:rsidP="007A21AA">
      <w:pPr>
        <w:spacing w:line="400" w:lineRule="exact"/>
        <w:rPr>
          <w:rFonts w:ascii="Arial" w:hAnsi="Arial"/>
          <w:sz w:val="27"/>
          <w:rtl/>
          <w:lang w:bidi="fa-IR"/>
        </w:rPr>
      </w:pPr>
      <w:r w:rsidRPr="00904FCB">
        <w:rPr>
          <w:rFonts w:ascii="Arial" w:hAnsi="Arial" w:hint="cs"/>
          <w:sz w:val="27"/>
          <w:rtl/>
        </w:rPr>
        <w:t>و</w:t>
      </w:r>
      <w:r w:rsidR="00A45FD9" w:rsidRPr="00904FCB">
        <w:rPr>
          <w:rFonts w:ascii="Arial" w:hAnsi="Arial"/>
          <w:sz w:val="27"/>
          <w:rtl/>
          <w:lang w:bidi="fa-IR"/>
        </w:rPr>
        <w:t>الهدف الأساس لهذه الدراسة هو الإجابة ع</w:t>
      </w:r>
      <w:r w:rsidRPr="00904FCB">
        <w:rPr>
          <w:rFonts w:ascii="Arial" w:hAnsi="Arial" w:hint="cs"/>
          <w:sz w:val="27"/>
          <w:rtl/>
          <w:lang w:bidi="fa-IR"/>
        </w:rPr>
        <w:t>ن</w:t>
      </w:r>
      <w:r w:rsidR="00A45FD9" w:rsidRPr="00904FCB">
        <w:rPr>
          <w:rFonts w:ascii="Arial" w:hAnsi="Arial"/>
          <w:sz w:val="27"/>
          <w:rtl/>
          <w:lang w:bidi="fa-IR"/>
        </w:rPr>
        <w:t xml:space="preserve"> عدد من التساؤلات، منها: </w:t>
      </w:r>
    </w:p>
    <w:p w:rsidR="00A45FD9" w:rsidRPr="00904FCB" w:rsidRDefault="00A45FD9" w:rsidP="007A21AA">
      <w:pPr>
        <w:spacing w:line="400" w:lineRule="exact"/>
        <w:rPr>
          <w:lang w:bidi="fa-IR"/>
        </w:rPr>
      </w:pPr>
      <w:r w:rsidRPr="00904FCB">
        <w:rPr>
          <w:rFonts w:hint="cs"/>
          <w:rtl/>
          <w:lang w:bidi="fa-IR"/>
        </w:rPr>
        <w:t xml:space="preserve">ـ </w:t>
      </w:r>
      <w:r w:rsidRPr="00904FCB">
        <w:rPr>
          <w:rtl/>
          <w:lang w:bidi="fa-IR"/>
        </w:rPr>
        <w:t xml:space="preserve">ما هي المرتكزات الفكرية التي استند اليها </w:t>
      </w:r>
      <w:r w:rsidR="007A19D2" w:rsidRPr="00904FCB">
        <w:rPr>
          <w:rFonts w:hint="cs"/>
          <w:rtl/>
          <w:lang w:bidi="fa-IR"/>
        </w:rPr>
        <w:t>أ</w:t>
      </w:r>
      <w:r w:rsidRPr="00904FCB">
        <w:rPr>
          <w:rtl/>
          <w:lang w:bidi="fa-IR"/>
        </w:rPr>
        <w:t>تباع السلفية الجهادية</w:t>
      </w:r>
      <w:r w:rsidR="007A19D2" w:rsidRPr="00904FCB">
        <w:rPr>
          <w:rFonts w:hint="cs"/>
          <w:rtl/>
          <w:lang w:bidi="fa-IR"/>
        </w:rPr>
        <w:t>؛</w:t>
      </w:r>
      <w:r w:rsidRPr="00904FCB">
        <w:rPr>
          <w:rtl/>
          <w:lang w:bidi="fa-IR"/>
        </w:rPr>
        <w:t xml:space="preserve"> لتبرير أعمالهم</w:t>
      </w:r>
      <w:r w:rsidR="007A19D2" w:rsidRPr="00904FCB">
        <w:rPr>
          <w:rFonts w:hint="cs"/>
          <w:rtl/>
          <w:lang w:bidi="fa-IR"/>
        </w:rPr>
        <w:t>؟</w:t>
      </w:r>
      <w:r w:rsidRPr="00904FCB">
        <w:rPr>
          <w:rtl/>
          <w:lang w:bidi="fa-IR"/>
        </w:rPr>
        <w:t xml:space="preserve"> </w:t>
      </w:r>
    </w:p>
    <w:p w:rsidR="00A45FD9" w:rsidRPr="00904FCB" w:rsidRDefault="00A45FD9" w:rsidP="007A21AA">
      <w:pPr>
        <w:spacing w:line="400" w:lineRule="exact"/>
        <w:rPr>
          <w:lang w:bidi="fa-IR"/>
        </w:rPr>
      </w:pPr>
      <w:r w:rsidRPr="00904FCB">
        <w:rPr>
          <w:rFonts w:hint="cs"/>
          <w:rtl/>
          <w:lang w:bidi="fa-IR"/>
        </w:rPr>
        <w:t xml:space="preserve">ـ </w:t>
      </w:r>
      <w:r w:rsidRPr="00904FCB">
        <w:rPr>
          <w:rtl/>
          <w:lang w:bidi="fa-IR"/>
        </w:rPr>
        <w:t>م</w:t>
      </w:r>
      <w:r w:rsidR="007A19D2" w:rsidRPr="00904FCB">
        <w:rPr>
          <w:rFonts w:hint="cs"/>
          <w:rtl/>
          <w:lang w:bidi="fa-IR"/>
        </w:rPr>
        <w:t>َ</w:t>
      </w:r>
      <w:r w:rsidRPr="00904FCB">
        <w:rPr>
          <w:rtl/>
          <w:lang w:bidi="fa-IR"/>
        </w:rPr>
        <w:t>ن</w:t>
      </w:r>
      <w:r w:rsidR="007A19D2" w:rsidRPr="00904FCB">
        <w:rPr>
          <w:rFonts w:hint="cs"/>
          <w:rtl/>
          <w:lang w:bidi="fa-IR"/>
        </w:rPr>
        <w:t>ْ</w:t>
      </w:r>
      <w:r w:rsidRPr="00904FCB">
        <w:rPr>
          <w:rtl/>
          <w:lang w:bidi="fa-IR"/>
        </w:rPr>
        <w:t xml:space="preserve"> هي الشخصيات التي صاغت تلك ال</w:t>
      </w:r>
      <w:r w:rsidR="007A19D2" w:rsidRPr="00904FCB">
        <w:rPr>
          <w:rFonts w:hint="cs"/>
          <w:rtl/>
          <w:lang w:bidi="fa-IR"/>
        </w:rPr>
        <w:t>أ</w:t>
      </w:r>
      <w:r w:rsidRPr="00904FCB">
        <w:rPr>
          <w:rtl/>
          <w:lang w:bidi="fa-IR"/>
        </w:rPr>
        <w:t>فكار</w:t>
      </w:r>
      <w:r w:rsidR="007A19D2" w:rsidRPr="00904FCB">
        <w:rPr>
          <w:rFonts w:hint="cs"/>
          <w:rtl/>
          <w:lang w:bidi="fa-IR"/>
        </w:rPr>
        <w:t>،</w:t>
      </w:r>
      <w:r w:rsidRPr="00904FCB">
        <w:rPr>
          <w:rtl/>
          <w:lang w:bidi="fa-IR"/>
        </w:rPr>
        <w:t xml:space="preserve"> واستطاعت تجنيد الشباب المسلمين من كل</w:t>
      </w:r>
      <w:r w:rsidR="007A19D2" w:rsidRPr="00904FCB">
        <w:rPr>
          <w:rFonts w:hint="cs"/>
          <w:rtl/>
          <w:lang w:bidi="fa-IR"/>
        </w:rPr>
        <w:t>ّ</w:t>
      </w:r>
      <w:r w:rsidRPr="00904FCB">
        <w:rPr>
          <w:rtl/>
          <w:lang w:bidi="fa-IR"/>
        </w:rPr>
        <w:t xml:space="preserve"> أنحاء العالم</w:t>
      </w:r>
      <w:r w:rsidR="007A19D2" w:rsidRPr="00904FCB">
        <w:rPr>
          <w:rFonts w:hint="cs"/>
          <w:rtl/>
          <w:lang w:bidi="fa-IR"/>
        </w:rPr>
        <w:t>،</w:t>
      </w:r>
      <w:r w:rsidRPr="00904FCB">
        <w:rPr>
          <w:rtl/>
          <w:lang w:bidi="fa-IR"/>
        </w:rPr>
        <w:t xml:space="preserve"> وخاضت بهم </w:t>
      </w:r>
      <w:r w:rsidRPr="00904FCB">
        <w:rPr>
          <w:rtl/>
          <w:lang w:bidi="ar-LB"/>
        </w:rPr>
        <w:t>ال</w:t>
      </w:r>
      <w:r w:rsidRPr="00904FCB">
        <w:rPr>
          <w:rtl/>
          <w:lang w:bidi="fa-IR"/>
        </w:rPr>
        <w:t>معارك على أكثر من جبهة</w:t>
      </w:r>
      <w:r w:rsidR="007A19D2" w:rsidRPr="00904FCB">
        <w:rPr>
          <w:rFonts w:hint="cs"/>
          <w:rtl/>
          <w:lang w:bidi="fa-IR"/>
        </w:rPr>
        <w:t>ٍ،</w:t>
      </w:r>
      <w:r w:rsidRPr="00904FCB">
        <w:rPr>
          <w:rtl/>
          <w:lang w:bidi="fa-IR"/>
        </w:rPr>
        <w:t xml:space="preserve"> وفي غير مكان</w:t>
      </w:r>
      <w:r w:rsidR="007A19D2" w:rsidRPr="00904FCB">
        <w:rPr>
          <w:rFonts w:hint="cs"/>
          <w:rtl/>
          <w:lang w:bidi="fa-IR"/>
        </w:rPr>
        <w:t>؟</w:t>
      </w:r>
      <w:r w:rsidRPr="00904FCB">
        <w:rPr>
          <w:rtl/>
          <w:lang w:bidi="fa-IR"/>
        </w:rPr>
        <w:t xml:space="preserve"> </w:t>
      </w:r>
    </w:p>
    <w:p w:rsidR="00A45FD9" w:rsidRPr="00904FCB" w:rsidRDefault="00A45FD9" w:rsidP="007A21AA">
      <w:pPr>
        <w:spacing w:line="400" w:lineRule="exact"/>
        <w:rPr>
          <w:lang w:bidi="fa-IR"/>
        </w:rPr>
      </w:pPr>
      <w:r w:rsidRPr="00904FCB">
        <w:rPr>
          <w:rFonts w:hint="cs"/>
          <w:rtl/>
          <w:lang w:bidi="fa-IR"/>
        </w:rPr>
        <w:lastRenderedPageBreak/>
        <w:t xml:space="preserve">ـ </w:t>
      </w:r>
      <w:r w:rsidRPr="00904FCB">
        <w:rPr>
          <w:rtl/>
          <w:lang w:bidi="fa-IR"/>
        </w:rPr>
        <w:t>كيف استطاعت السلفية الجهادية تطويع النصوص الدينية</w:t>
      </w:r>
      <w:r w:rsidR="007A19D2" w:rsidRPr="00904FCB">
        <w:rPr>
          <w:rFonts w:hint="cs"/>
          <w:rtl/>
          <w:lang w:bidi="fa-IR"/>
        </w:rPr>
        <w:t>؛</w:t>
      </w:r>
      <w:r w:rsidRPr="00904FCB">
        <w:rPr>
          <w:rtl/>
          <w:lang w:bidi="fa-IR"/>
        </w:rPr>
        <w:t xml:space="preserve"> خدمة</w:t>
      </w:r>
      <w:r w:rsidR="007A19D2" w:rsidRPr="00904FCB">
        <w:rPr>
          <w:rFonts w:hint="cs"/>
          <w:rtl/>
          <w:lang w:bidi="fa-IR"/>
        </w:rPr>
        <w:t>ً</w:t>
      </w:r>
      <w:r w:rsidRPr="00904FCB">
        <w:rPr>
          <w:rtl/>
          <w:lang w:bidi="fa-IR"/>
        </w:rPr>
        <w:t xml:space="preserve"> لأغراضها</w:t>
      </w:r>
      <w:r w:rsidR="007A19D2" w:rsidRPr="00904FCB">
        <w:rPr>
          <w:rFonts w:hint="cs"/>
          <w:rtl/>
          <w:lang w:bidi="fa-IR"/>
        </w:rPr>
        <w:t>؟</w:t>
      </w:r>
      <w:r w:rsidRPr="00904FCB">
        <w:rPr>
          <w:rtl/>
          <w:lang w:bidi="fa-IR"/>
        </w:rPr>
        <w:t xml:space="preserve"> </w:t>
      </w:r>
    </w:p>
    <w:p w:rsidR="00A45FD9" w:rsidRPr="00904FCB" w:rsidRDefault="00A45FD9" w:rsidP="007A21AA">
      <w:pPr>
        <w:spacing w:line="400" w:lineRule="exact"/>
        <w:rPr>
          <w:lang w:bidi="fa-IR"/>
        </w:rPr>
      </w:pPr>
      <w:r w:rsidRPr="00904FCB">
        <w:rPr>
          <w:rFonts w:hint="cs"/>
          <w:rtl/>
          <w:lang w:bidi="fa-IR"/>
        </w:rPr>
        <w:t xml:space="preserve">ـ </w:t>
      </w:r>
      <w:r w:rsidRPr="00904FCB">
        <w:rPr>
          <w:rtl/>
          <w:lang w:bidi="fa-IR"/>
        </w:rPr>
        <w:t>هل للسلفية الجهادية تفسير</w:t>
      </w:r>
      <w:r w:rsidR="007A19D2" w:rsidRPr="00904FCB">
        <w:rPr>
          <w:rFonts w:hint="cs"/>
          <w:rtl/>
          <w:lang w:bidi="fa-IR"/>
        </w:rPr>
        <w:t>ٌ</w:t>
      </w:r>
      <w:r w:rsidRPr="00904FCB">
        <w:rPr>
          <w:rtl/>
          <w:lang w:bidi="fa-IR"/>
        </w:rPr>
        <w:t xml:space="preserve"> واحد للنص</w:t>
      </w:r>
      <w:r w:rsidR="007A19D2" w:rsidRPr="00904FCB">
        <w:rPr>
          <w:rFonts w:hint="cs"/>
          <w:rtl/>
          <w:lang w:bidi="fa-IR"/>
        </w:rPr>
        <w:t>ّ</w:t>
      </w:r>
      <w:r w:rsidRPr="00904FCB">
        <w:rPr>
          <w:rtl/>
          <w:lang w:bidi="fa-IR"/>
        </w:rPr>
        <w:t xml:space="preserve"> الديني</w:t>
      </w:r>
      <w:r w:rsidR="007A19D2" w:rsidRPr="00904FCB">
        <w:rPr>
          <w:rFonts w:hint="cs"/>
          <w:rtl/>
          <w:lang w:bidi="fa-IR"/>
        </w:rPr>
        <w:t>؟</w:t>
      </w:r>
      <w:r w:rsidRPr="00904FCB">
        <w:rPr>
          <w:rtl/>
          <w:lang w:bidi="fa-IR"/>
        </w:rPr>
        <w:t xml:space="preserve"> </w:t>
      </w:r>
      <w:r w:rsidR="007A19D2" w:rsidRPr="00904FCB">
        <w:rPr>
          <w:rFonts w:hint="cs"/>
          <w:rtl/>
          <w:lang w:bidi="fa-IR"/>
        </w:rPr>
        <w:t>و</w:t>
      </w:r>
      <w:r w:rsidRPr="00904FCB">
        <w:rPr>
          <w:rtl/>
          <w:lang w:bidi="fa-IR"/>
        </w:rPr>
        <w:t xml:space="preserve">ما هي </w:t>
      </w:r>
      <w:r w:rsidR="007A19D2" w:rsidRPr="00904FCB">
        <w:rPr>
          <w:rFonts w:hint="cs"/>
          <w:rtl/>
          <w:lang w:bidi="fa-IR"/>
        </w:rPr>
        <w:t>أ</w:t>
      </w:r>
      <w:r w:rsidRPr="00904FCB">
        <w:rPr>
          <w:rtl/>
          <w:lang w:bidi="fa-IR"/>
        </w:rPr>
        <w:t>نواع تلك الحركات المحاربة</w:t>
      </w:r>
      <w:r w:rsidR="007A19D2" w:rsidRPr="00904FCB">
        <w:rPr>
          <w:rFonts w:hint="cs"/>
          <w:rtl/>
          <w:lang w:bidi="fa-IR"/>
        </w:rPr>
        <w:t>؟</w:t>
      </w:r>
    </w:p>
    <w:p w:rsidR="00A45FD9" w:rsidRPr="00904FCB" w:rsidRDefault="00A45FD9" w:rsidP="007A21AA">
      <w:pPr>
        <w:spacing w:line="400" w:lineRule="exact"/>
        <w:rPr>
          <w:lang w:bidi="fa-IR"/>
        </w:rPr>
      </w:pPr>
      <w:r w:rsidRPr="00904FCB">
        <w:rPr>
          <w:rFonts w:hint="cs"/>
          <w:rtl/>
          <w:lang w:bidi="fa-IR"/>
        </w:rPr>
        <w:t xml:space="preserve">ـ </w:t>
      </w:r>
      <w:r w:rsidRPr="00904FCB">
        <w:rPr>
          <w:rtl/>
          <w:lang w:bidi="fa-IR"/>
        </w:rPr>
        <w:t>ماذا عن</w:t>
      </w:r>
      <w:r w:rsidR="007A19D2" w:rsidRPr="00904FCB">
        <w:rPr>
          <w:rFonts w:hint="cs"/>
          <w:rtl/>
          <w:lang w:bidi="fa-IR"/>
        </w:rPr>
        <w:t>َ</w:t>
      </w:r>
      <w:r w:rsidRPr="00904FCB">
        <w:rPr>
          <w:rtl/>
          <w:lang w:bidi="fa-IR"/>
        </w:rPr>
        <w:t>ت</w:t>
      </w:r>
      <w:r w:rsidR="007A19D2" w:rsidRPr="00904FCB">
        <w:rPr>
          <w:rFonts w:hint="cs"/>
          <w:rtl/>
          <w:lang w:bidi="fa-IR"/>
        </w:rPr>
        <w:t>ْ</w:t>
      </w:r>
      <w:r w:rsidRPr="00904FCB">
        <w:rPr>
          <w:rtl/>
          <w:lang w:bidi="fa-IR"/>
        </w:rPr>
        <w:t xml:space="preserve"> السلفية الجهادية بالحاكمية</w:t>
      </w:r>
      <w:r w:rsidR="007A19D2" w:rsidRPr="00904FCB">
        <w:rPr>
          <w:rFonts w:hint="cs"/>
          <w:rtl/>
          <w:lang w:bidi="fa-IR"/>
        </w:rPr>
        <w:t>،</w:t>
      </w:r>
      <w:r w:rsidRPr="00904FCB">
        <w:rPr>
          <w:rtl/>
          <w:lang w:bidi="fa-IR"/>
        </w:rPr>
        <w:t xml:space="preserve"> وجاهلية المجتمعات الإسلامية</w:t>
      </w:r>
      <w:r w:rsidR="007A19D2" w:rsidRPr="00904FCB">
        <w:rPr>
          <w:rFonts w:hint="cs"/>
          <w:rtl/>
          <w:lang w:bidi="fa-IR"/>
        </w:rPr>
        <w:t>،</w:t>
      </w:r>
      <w:r w:rsidRPr="00904FCB">
        <w:rPr>
          <w:rtl/>
          <w:lang w:bidi="fa-IR"/>
        </w:rPr>
        <w:t xml:space="preserve"> وكفراني</w:t>
      </w:r>
      <w:r w:rsidR="007A19D2" w:rsidRPr="00904FCB">
        <w:rPr>
          <w:rFonts w:hint="cs"/>
          <w:rtl/>
          <w:lang w:bidi="fa-IR"/>
        </w:rPr>
        <w:t>ّ</w:t>
      </w:r>
      <w:r w:rsidRPr="00904FCB">
        <w:rPr>
          <w:rtl/>
          <w:lang w:bidi="fa-IR"/>
        </w:rPr>
        <w:t>ة النظم الحاكمة</w:t>
      </w:r>
      <w:r w:rsidR="007A19D2" w:rsidRPr="00904FCB">
        <w:rPr>
          <w:rFonts w:hint="cs"/>
          <w:rtl/>
          <w:lang w:bidi="fa-IR"/>
        </w:rPr>
        <w:t>؟</w:t>
      </w:r>
      <w:r w:rsidRPr="00904FCB">
        <w:rPr>
          <w:rtl/>
          <w:lang w:bidi="fa-IR"/>
        </w:rPr>
        <w:t xml:space="preserve"> وما هي </w:t>
      </w:r>
      <w:r w:rsidRPr="00904FCB">
        <w:rPr>
          <w:rtl/>
        </w:rPr>
        <w:t>غايات الجهاد</w:t>
      </w:r>
      <w:r w:rsidRPr="00904FCB">
        <w:rPr>
          <w:rtl/>
          <w:lang w:bidi="fa-IR"/>
        </w:rPr>
        <w:t xml:space="preserve"> عندها</w:t>
      </w:r>
      <w:r w:rsidR="007A19D2" w:rsidRPr="00904FCB">
        <w:rPr>
          <w:rFonts w:hint="cs"/>
          <w:rtl/>
          <w:lang w:bidi="fa-IR"/>
        </w:rPr>
        <w:t>؟</w:t>
      </w:r>
      <w:r w:rsidRPr="00904FCB">
        <w:rPr>
          <w:rtl/>
          <w:lang w:bidi="fa-IR"/>
        </w:rPr>
        <w:t xml:space="preserve"> </w:t>
      </w:r>
    </w:p>
    <w:p w:rsidR="00A45FD9" w:rsidRPr="00904FCB" w:rsidRDefault="00A45FD9" w:rsidP="007A21AA">
      <w:pPr>
        <w:spacing w:line="400" w:lineRule="exact"/>
        <w:rPr>
          <w:rFonts w:ascii="Arial" w:hAnsi="Arial"/>
          <w:sz w:val="27"/>
          <w:rtl/>
          <w:lang w:bidi="fa-IR"/>
        </w:rPr>
      </w:pPr>
      <w:r w:rsidRPr="00904FCB">
        <w:rPr>
          <w:rFonts w:ascii="Arial" w:hAnsi="Arial" w:hint="cs"/>
          <w:sz w:val="27"/>
          <w:rtl/>
          <w:lang w:bidi="fa-IR"/>
        </w:rPr>
        <w:t>ولم</w:t>
      </w:r>
      <w:r w:rsidR="007A19D2" w:rsidRPr="00904FCB">
        <w:rPr>
          <w:rFonts w:ascii="Arial" w:hAnsi="Arial" w:hint="cs"/>
          <w:sz w:val="27"/>
          <w:rtl/>
          <w:lang w:bidi="fa-IR"/>
        </w:rPr>
        <w:t>ّ</w:t>
      </w:r>
      <w:r w:rsidRPr="00904FCB">
        <w:rPr>
          <w:rFonts w:ascii="Arial" w:hAnsi="Arial" w:hint="cs"/>
          <w:sz w:val="27"/>
          <w:rtl/>
          <w:lang w:bidi="fa-IR"/>
        </w:rPr>
        <w:t>ا</w:t>
      </w:r>
      <w:r w:rsidRPr="00904FCB">
        <w:rPr>
          <w:rFonts w:ascii="Arial" w:hAnsi="Arial"/>
          <w:sz w:val="27"/>
          <w:rtl/>
          <w:lang w:bidi="fa-IR"/>
        </w:rPr>
        <w:t xml:space="preserve"> </w:t>
      </w:r>
      <w:r w:rsidRPr="00904FCB">
        <w:rPr>
          <w:rFonts w:ascii="Arial" w:hAnsi="Arial" w:hint="cs"/>
          <w:sz w:val="27"/>
          <w:rtl/>
          <w:lang w:bidi="fa-IR"/>
        </w:rPr>
        <w:t>كان</w:t>
      </w:r>
      <w:r w:rsidRPr="00904FCB">
        <w:rPr>
          <w:rFonts w:ascii="Arial" w:hAnsi="Arial"/>
          <w:sz w:val="27"/>
          <w:rtl/>
          <w:lang w:bidi="fa-IR"/>
        </w:rPr>
        <w:t xml:space="preserve"> </w:t>
      </w:r>
      <w:r w:rsidRPr="00904FCB">
        <w:rPr>
          <w:rFonts w:ascii="Arial" w:hAnsi="Arial" w:hint="cs"/>
          <w:sz w:val="27"/>
          <w:rtl/>
          <w:lang w:bidi="fa-IR"/>
        </w:rPr>
        <w:t>الكثير</w:t>
      </w:r>
      <w:r w:rsidRPr="00904FCB">
        <w:rPr>
          <w:rFonts w:ascii="Arial" w:hAnsi="Arial"/>
          <w:sz w:val="27"/>
          <w:rtl/>
          <w:lang w:bidi="fa-IR"/>
        </w:rPr>
        <w:t xml:space="preserve"> </w:t>
      </w:r>
      <w:r w:rsidRPr="00904FCB">
        <w:rPr>
          <w:rFonts w:ascii="Arial" w:hAnsi="Arial" w:hint="cs"/>
          <w:sz w:val="27"/>
          <w:rtl/>
          <w:lang w:bidi="fa-IR"/>
        </w:rPr>
        <w:t>من</w:t>
      </w:r>
      <w:r w:rsidRPr="00904FCB">
        <w:rPr>
          <w:rFonts w:ascii="Arial" w:hAnsi="Arial"/>
          <w:sz w:val="27"/>
          <w:rtl/>
          <w:lang w:bidi="fa-IR"/>
        </w:rPr>
        <w:t xml:space="preserve"> </w:t>
      </w:r>
      <w:r w:rsidRPr="00904FCB">
        <w:rPr>
          <w:rFonts w:ascii="Arial" w:hAnsi="Arial" w:hint="cs"/>
          <w:sz w:val="27"/>
          <w:rtl/>
          <w:lang w:bidi="fa-IR"/>
        </w:rPr>
        <w:t>النتاجات</w:t>
      </w:r>
      <w:r w:rsidRPr="00904FCB">
        <w:rPr>
          <w:rFonts w:ascii="Arial" w:hAnsi="Arial"/>
          <w:sz w:val="27"/>
          <w:rtl/>
          <w:lang w:bidi="fa-IR"/>
        </w:rPr>
        <w:t xml:space="preserve"> </w:t>
      </w:r>
      <w:r w:rsidRPr="00904FCB">
        <w:rPr>
          <w:rFonts w:ascii="Arial" w:hAnsi="Arial" w:hint="cs"/>
          <w:sz w:val="27"/>
          <w:rtl/>
          <w:lang w:bidi="fa-IR"/>
        </w:rPr>
        <w:t>الفكرية</w:t>
      </w:r>
      <w:r w:rsidRPr="00904FCB">
        <w:rPr>
          <w:rFonts w:ascii="Arial" w:hAnsi="Arial"/>
          <w:sz w:val="27"/>
          <w:rtl/>
          <w:lang w:bidi="fa-IR"/>
        </w:rPr>
        <w:t xml:space="preserve"> </w:t>
      </w:r>
      <w:r w:rsidRPr="00904FCB">
        <w:rPr>
          <w:rFonts w:ascii="Arial" w:hAnsi="Arial" w:hint="cs"/>
          <w:sz w:val="27"/>
          <w:rtl/>
          <w:lang w:bidi="fa-IR"/>
        </w:rPr>
        <w:t>للحركات</w:t>
      </w:r>
      <w:r w:rsidRPr="00904FCB">
        <w:rPr>
          <w:rFonts w:ascii="Arial" w:hAnsi="Arial"/>
          <w:sz w:val="27"/>
          <w:rtl/>
          <w:lang w:bidi="fa-IR"/>
        </w:rPr>
        <w:t xml:space="preserve"> </w:t>
      </w:r>
      <w:r w:rsidRPr="00904FCB">
        <w:rPr>
          <w:rFonts w:ascii="Arial" w:hAnsi="Arial" w:hint="cs"/>
          <w:sz w:val="27"/>
          <w:rtl/>
          <w:lang w:bidi="fa-IR"/>
        </w:rPr>
        <w:t>السلفية</w:t>
      </w:r>
      <w:r w:rsidRPr="00904FCB">
        <w:rPr>
          <w:rFonts w:ascii="Arial" w:hAnsi="Arial"/>
          <w:sz w:val="27"/>
          <w:rtl/>
          <w:lang w:bidi="fa-IR"/>
        </w:rPr>
        <w:t xml:space="preserve"> </w:t>
      </w:r>
      <w:r w:rsidRPr="00904FCB">
        <w:rPr>
          <w:rFonts w:ascii="Arial" w:hAnsi="Arial" w:hint="cs"/>
          <w:sz w:val="27"/>
          <w:rtl/>
          <w:lang w:bidi="fa-IR"/>
        </w:rPr>
        <w:t>التكفيرية محظورا</w:t>
      </w:r>
      <w:r w:rsidR="007A19D2" w:rsidRPr="00904FCB">
        <w:rPr>
          <w:rFonts w:ascii="Arial" w:hAnsi="Arial" w:hint="cs"/>
          <w:sz w:val="27"/>
          <w:rtl/>
          <w:lang w:bidi="fa-IR"/>
        </w:rPr>
        <w:t>ً</w:t>
      </w:r>
      <w:r w:rsidRPr="00904FCB">
        <w:rPr>
          <w:rFonts w:ascii="Arial" w:hAnsi="Arial"/>
          <w:sz w:val="27"/>
          <w:rtl/>
          <w:lang w:bidi="fa-IR"/>
        </w:rPr>
        <w:t xml:space="preserve"> </w:t>
      </w:r>
      <w:r w:rsidRPr="00904FCB">
        <w:rPr>
          <w:rFonts w:ascii="Arial" w:hAnsi="Arial" w:hint="cs"/>
          <w:sz w:val="27"/>
          <w:rtl/>
          <w:lang w:bidi="fa-IR"/>
        </w:rPr>
        <w:t>من</w:t>
      </w:r>
      <w:r w:rsidRPr="00904FCB">
        <w:rPr>
          <w:rFonts w:ascii="Arial" w:hAnsi="Arial"/>
          <w:sz w:val="27"/>
          <w:rtl/>
          <w:lang w:bidi="fa-IR"/>
        </w:rPr>
        <w:t xml:space="preserve"> </w:t>
      </w:r>
      <w:r w:rsidRPr="00904FCB">
        <w:rPr>
          <w:rFonts w:ascii="Arial" w:hAnsi="Arial" w:hint="cs"/>
          <w:sz w:val="27"/>
          <w:rtl/>
          <w:lang w:bidi="fa-IR"/>
        </w:rPr>
        <w:t xml:space="preserve">النشر، </w:t>
      </w:r>
      <w:r w:rsidR="007A19D2" w:rsidRPr="00904FCB">
        <w:rPr>
          <w:rFonts w:ascii="Arial" w:hAnsi="Arial" w:hint="cs"/>
          <w:sz w:val="27"/>
          <w:rtl/>
          <w:lang w:bidi="fa-IR"/>
        </w:rPr>
        <w:t>حتّى غدا</w:t>
      </w:r>
      <w:r w:rsidRPr="00904FCB">
        <w:rPr>
          <w:rFonts w:ascii="Arial" w:hAnsi="Arial"/>
          <w:sz w:val="27"/>
          <w:rtl/>
          <w:lang w:bidi="fa-IR"/>
        </w:rPr>
        <w:t xml:space="preserve"> </w:t>
      </w:r>
      <w:r w:rsidRPr="00904FCB">
        <w:rPr>
          <w:rFonts w:ascii="Arial" w:hAnsi="Arial" w:hint="cs"/>
          <w:sz w:val="27"/>
          <w:rtl/>
          <w:lang w:bidi="fa-IR"/>
        </w:rPr>
        <w:t>ال</w:t>
      </w:r>
      <w:r w:rsidR="007A19D2" w:rsidRPr="00904FCB">
        <w:rPr>
          <w:rFonts w:ascii="Arial" w:hAnsi="Arial" w:hint="cs"/>
          <w:sz w:val="27"/>
          <w:rtl/>
          <w:lang w:bidi="fa-IR"/>
        </w:rPr>
        <w:t>إ</w:t>
      </w:r>
      <w:r w:rsidRPr="00904FCB">
        <w:rPr>
          <w:rFonts w:ascii="Arial" w:hAnsi="Arial" w:hint="cs"/>
          <w:sz w:val="27"/>
          <w:rtl/>
          <w:lang w:bidi="fa-IR"/>
        </w:rPr>
        <w:t>نترنت</w:t>
      </w:r>
      <w:r w:rsidRPr="00904FCB">
        <w:rPr>
          <w:rFonts w:ascii="Arial" w:hAnsi="Arial"/>
          <w:sz w:val="27"/>
          <w:rtl/>
          <w:lang w:bidi="fa-IR"/>
        </w:rPr>
        <w:t xml:space="preserve"> </w:t>
      </w:r>
      <w:r w:rsidRPr="00904FCB">
        <w:rPr>
          <w:rFonts w:ascii="Arial" w:hAnsi="Arial" w:hint="cs"/>
          <w:sz w:val="27"/>
          <w:rtl/>
          <w:lang w:bidi="fa-IR"/>
        </w:rPr>
        <w:t>سبيلاً</w:t>
      </w:r>
      <w:r w:rsidRPr="00904FCB">
        <w:rPr>
          <w:rFonts w:ascii="Arial" w:hAnsi="Arial"/>
          <w:sz w:val="27"/>
          <w:rtl/>
          <w:lang w:bidi="fa-IR"/>
        </w:rPr>
        <w:t xml:space="preserve"> </w:t>
      </w:r>
      <w:r w:rsidRPr="00904FCB">
        <w:rPr>
          <w:rFonts w:ascii="Arial" w:hAnsi="Arial" w:hint="cs"/>
          <w:sz w:val="27"/>
          <w:rtl/>
          <w:lang w:bidi="fa-IR"/>
        </w:rPr>
        <w:t>شبه</w:t>
      </w:r>
      <w:r w:rsidRPr="00904FCB">
        <w:rPr>
          <w:rFonts w:ascii="Arial" w:hAnsi="Arial"/>
          <w:sz w:val="27"/>
          <w:rtl/>
          <w:lang w:bidi="fa-IR"/>
        </w:rPr>
        <w:t xml:space="preserve"> </w:t>
      </w:r>
      <w:r w:rsidRPr="00904FCB">
        <w:rPr>
          <w:rFonts w:ascii="Arial" w:hAnsi="Arial" w:hint="cs"/>
          <w:sz w:val="27"/>
          <w:rtl/>
          <w:lang w:bidi="fa-IR"/>
        </w:rPr>
        <w:t>وحيد</w:t>
      </w:r>
      <w:r w:rsidRPr="00904FCB">
        <w:rPr>
          <w:rFonts w:ascii="Arial" w:hAnsi="Arial"/>
          <w:sz w:val="27"/>
          <w:rtl/>
          <w:lang w:bidi="fa-IR"/>
        </w:rPr>
        <w:t xml:space="preserve"> </w:t>
      </w:r>
      <w:r w:rsidRPr="00904FCB">
        <w:rPr>
          <w:rFonts w:ascii="Arial" w:hAnsi="Arial" w:hint="cs"/>
          <w:sz w:val="27"/>
          <w:rtl/>
          <w:lang w:bidi="fa-IR"/>
        </w:rPr>
        <w:t>لتوس</w:t>
      </w:r>
      <w:r w:rsidR="007A19D2" w:rsidRPr="00904FCB">
        <w:rPr>
          <w:rFonts w:ascii="Arial" w:hAnsi="Arial" w:hint="cs"/>
          <w:sz w:val="27"/>
          <w:rtl/>
          <w:lang w:bidi="fa-IR"/>
        </w:rPr>
        <w:t>ّ</w:t>
      </w:r>
      <w:r w:rsidRPr="00904FCB">
        <w:rPr>
          <w:rFonts w:ascii="Arial" w:hAnsi="Arial" w:hint="cs"/>
          <w:sz w:val="27"/>
          <w:rtl/>
          <w:lang w:bidi="fa-IR"/>
        </w:rPr>
        <w:t>ع</w:t>
      </w:r>
      <w:r w:rsidRPr="00904FCB">
        <w:rPr>
          <w:rFonts w:ascii="Arial" w:hAnsi="Arial"/>
          <w:sz w:val="27"/>
          <w:rtl/>
          <w:lang w:bidi="fa-IR"/>
        </w:rPr>
        <w:t xml:space="preserve"> </w:t>
      </w:r>
      <w:r w:rsidRPr="00904FCB">
        <w:rPr>
          <w:rFonts w:ascii="Arial" w:hAnsi="Arial" w:hint="cs"/>
          <w:sz w:val="27"/>
          <w:rtl/>
          <w:lang w:bidi="fa-IR"/>
        </w:rPr>
        <w:t>تلك</w:t>
      </w:r>
      <w:r w:rsidRPr="00904FCB">
        <w:rPr>
          <w:rFonts w:ascii="Arial" w:hAnsi="Arial"/>
          <w:sz w:val="27"/>
          <w:rtl/>
          <w:lang w:bidi="fa-IR"/>
        </w:rPr>
        <w:t xml:space="preserve"> </w:t>
      </w:r>
      <w:r w:rsidRPr="00904FCB">
        <w:rPr>
          <w:rFonts w:ascii="Arial" w:hAnsi="Arial" w:hint="cs"/>
          <w:sz w:val="27"/>
          <w:rtl/>
          <w:lang w:bidi="fa-IR"/>
        </w:rPr>
        <w:t>الحركات</w:t>
      </w:r>
      <w:r w:rsidRPr="00904FCB">
        <w:rPr>
          <w:rFonts w:ascii="Arial" w:hAnsi="Arial"/>
          <w:sz w:val="27"/>
          <w:rtl/>
          <w:lang w:bidi="fa-IR"/>
        </w:rPr>
        <w:t xml:space="preserve"> </w:t>
      </w:r>
      <w:r w:rsidRPr="00904FCB">
        <w:rPr>
          <w:rFonts w:ascii="Arial" w:hAnsi="Arial" w:hint="cs"/>
          <w:sz w:val="27"/>
          <w:rtl/>
          <w:lang w:bidi="fa-IR"/>
        </w:rPr>
        <w:t>وانتشارها، فإن</w:t>
      </w:r>
      <w:r w:rsidR="007A19D2" w:rsidRPr="00904FCB">
        <w:rPr>
          <w:rFonts w:ascii="Arial" w:hAnsi="Arial" w:hint="cs"/>
          <w:sz w:val="27"/>
          <w:rtl/>
          <w:lang w:bidi="fa-IR"/>
        </w:rPr>
        <w:t>ّ</w:t>
      </w:r>
      <w:r w:rsidRPr="00904FCB">
        <w:rPr>
          <w:rFonts w:ascii="Arial" w:hAnsi="Arial"/>
          <w:sz w:val="27"/>
          <w:rtl/>
          <w:lang w:bidi="fa-IR"/>
        </w:rPr>
        <w:t xml:space="preserve"> </w:t>
      </w:r>
      <w:r w:rsidRPr="00904FCB">
        <w:rPr>
          <w:rFonts w:ascii="Arial" w:hAnsi="Arial" w:hint="cs"/>
          <w:sz w:val="27"/>
          <w:rtl/>
          <w:lang w:bidi="fa-IR"/>
        </w:rPr>
        <w:t>اللجوء</w:t>
      </w:r>
      <w:r w:rsidRPr="00904FCB">
        <w:rPr>
          <w:rFonts w:ascii="Arial" w:hAnsi="Arial"/>
          <w:sz w:val="27"/>
          <w:rtl/>
          <w:lang w:bidi="fa-IR"/>
        </w:rPr>
        <w:t xml:space="preserve"> </w:t>
      </w:r>
      <w:r w:rsidRPr="00904FCB">
        <w:rPr>
          <w:rFonts w:ascii="Arial" w:hAnsi="Arial" w:hint="cs"/>
          <w:sz w:val="27"/>
          <w:rtl/>
          <w:lang w:bidi="fa-IR"/>
        </w:rPr>
        <w:t>إلى</w:t>
      </w:r>
      <w:r w:rsidRPr="00904FCB">
        <w:rPr>
          <w:rFonts w:ascii="Arial" w:hAnsi="Arial"/>
          <w:sz w:val="27"/>
          <w:rtl/>
          <w:lang w:bidi="fa-IR"/>
        </w:rPr>
        <w:t xml:space="preserve"> </w:t>
      </w:r>
      <w:r w:rsidRPr="00904FCB">
        <w:rPr>
          <w:rFonts w:ascii="Arial" w:hAnsi="Arial" w:hint="cs"/>
          <w:sz w:val="27"/>
          <w:rtl/>
          <w:lang w:bidi="fa-IR"/>
        </w:rPr>
        <w:t>الإنترنت</w:t>
      </w:r>
      <w:r w:rsidRPr="00904FCB">
        <w:rPr>
          <w:rFonts w:ascii="Arial" w:hAnsi="Arial"/>
          <w:sz w:val="27"/>
          <w:rtl/>
          <w:lang w:bidi="fa-IR"/>
        </w:rPr>
        <w:t xml:space="preserve"> </w:t>
      </w:r>
      <w:r w:rsidRPr="00904FCB">
        <w:rPr>
          <w:rFonts w:ascii="Arial" w:hAnsi="Arial" w:hint="cs"/>
          <w:sz w:val="27"/>
          <w:rtl/>
          <w:lang w:bidi="fa-IR"/>
        </w:rPr>
        <w:t>كان</w:t>
      </w:r>
      <w:r w:rsidRPr="00904FCB">
        <w:rPr>
          <w:rFonts w:ascii="Arial" w:hAnsi="Arial"/>
          <w:sz w:val="27"/>
          <w:rtl/>
          <w:lang w:bidi="fa-IR"/>
        </w:rPr>
        <w:t xml:space="preserve"> </w:t>
      </w:r>
      <w:r w:rsidRPr="00904FCB">
        <w:rPr>
          <w:rFonts w:ascii="Arial" w:hAnsi="Arial" w:hint="cs"/>
          <w:sz w:val="27"/>
          <w:rtl/>
          <w:lang w:bidi="fa-IR"/>
        </w:rPr>
        <w:t>ضروريا</w:t>
      </w:r>
      <w:r w:rsidR="007A19D2" w:rsidRPr="00904FCB">
        <w:rPr>
          <w:rFonts w:ascii="Arial" w:hAnsi="Arial" w:hint="cs"/>
          <w:sz w:val="27"/>
          <w:rtl/>
          <w:lang w:bidi="fa-IR"/>
        </w:rPr>
        <w:t>ً</w:t>
      </w:r>
      <w:r w:rsidRPr="00904FCB">
        <w:rPr>
          <w:rFonts w:ascii="Arial" w:hAnsi="Arial"/>
          <w:sz w:val="27"/>
          <w:rtl/>
          <w:lang w:bidi="fa-IR"/>
        </w:rPr>
        <w:t xml:space="preserve"> </w:t>
      </w:r>
      <w:r w:rsidRPr="00904FCB">
        <w:rPr>
          <w:rFonts w:ascii="Arial" w:hAnsi="Arial" w:hint="cs"/>
          <w:sz w:val="27"/>
          <w:rtl/>
          <w:lang w:bidi="fa-IR"/>
        </w:rPr>
        <w:t>للحصول</w:t>
      </w:r>
      <w:r w:rsidRPr="00904FCB">
        <w:rPr>
          <w:rFonts w:ascii="Arial" w:hAnsi="Arial"/>
          <w:sz w:val="27"/>
          <w:rtl/>
          <w:lang w:bidi="fa-IR"/>
        </w:rPr>
        <w:t xml:space="preserve"> </w:t>
      </w:r>
      <w:r w:rsidRPr="00904FCB">
        <w:rPr>
          <w:rFonts w:ascii="Arial" w:hAnsi="Arial" w:hint="cs"/>
          <w:sz w:val="27"/>
          <w:rtl/>
          <w:lang w:bidi="fa-IR"/>
        </w:rPr>
        <w:t>على</w:t>
      </w:r>
      <w:r w:rsidRPr="00904FCB">
        <w:rPr>
          <w:rFonts w:ascii="Arial" w:hAnsi="Arial"/>
          <w:sz w:val="27"/>
          <w:rtl/>
          <w:lang w:bidi="fa-IR"/>
        </w:rPr>
        <w:t xml:space="preserve"> </w:t>
      </w:r>
      <w:r w:rsidRPr="00904FCB">
        <w:rPr>
          <w:rFonts w:ascii="Arial" w:hAnsi="Arial" w:hint="cs"/>
          <w:sz w:val="27"/>
          <w:rtl/>
          <w:lang w:bidi="fa-IR"/>
        </w:rPr>
        <w:t>مراجع</w:t>
      </w:r>
      <w:r w:rsidRPr="00904FCB">
        <w:rPr>
          <w:rFonts w:ascii="Arial" w:hAnsi="Arial"/>
          <w:sz w:val="27"/>
          <w:rtl/>
          <w:lang w:bidi="fa-IR"/>
        </w:rPr>
        <w:t xml:space="preserve"> </w:t>
      </w:r>
      <w:r w:rsidRPr="00904FCB">
        <w:rPr>
          <w:rFonts w:ascii="Arial" w:hAnsi="Arial" w:hint="cs"/>
          <w:sz w:val="27"/>
          <w:rtl/>
          <w:lang w:bidi="fa-IR"/>
        </w:rPr>
        <w:t>سلفية</w:t>
      </w:r>
      <w:r w:rsidRPr="00904FCB">
        <w:rPr>
          <w:rFonts w:ascii="Arial" w:hAnsi="Arial"/>
          <w:sz w:val="27"/>
          <w:rtl/>
          <w:lang w:bidi="fa-IR"/>
        </w:rPr>
        <w:t xml:space="preserve"> </w:t>
      </w:r>
      <w:r w:rsidRPr="00904FCB">
        <w:rPr>
          <w:rFonts w:ascii="Arial" w:hAnsi="Arial" w:hint="cs"/>
          <w:sz w:val="27"/>
          <w:rtl/>
          <w:lang w:bidi="fa-IR"/>
        </w:rPr>
        <w:t>تكفيرية، بما</w:t>
      </w:r>
      <w:r w:rsidRPr="00904FCB">
        <w:rPr>
          <w:rFonts w:ascii="Arial" w:hAnsi="Arial"/>
          <w:sz w:val="27"/>
          <w:rtl/>
          <w:lang w:bidi="fa-IR"/>
        </w:rPr>
        <w:t xml:space="preserve"> </w:t>
      </w:r>
      <w:r w:rsidRPr="00904FCB">
        <w:rPr>
          <w:rFonts w:ascii="Arial" w:hAnsi="Arial" w:hint="cs"/>
          <w:sz w:val="27"/>
          <w:rtl/>
          <w:lang w:bidi="fa-IR"/>
        </w:rPr>
        <w:t>يوف</w:t>
      </w:r>
      <w:r w:rsidR="007A19D2" w:rsidRPr="00904FCB">
        <w:rPr>
          <w:rFonts w:ascii="Arial" w:hAnsi="Arial" w:hint="cs"/>
          <w:sz w:val="27"/>
          <w:rtl/>
          <w:lang w:bidi="fa-IR"/>
        </w:rPr>
        <w:t>ِّ</w:t>
      </w:r>
      <w:r w:rsidRPr="00904FCB">
        <w:rPr>
          <w:rFonts w:ascii="Arial" w:hAnsi="Arial" w:hint="cs"/>
          <w:sz w:val="27"/>
          <w:rtl/>
          <w:lang w:bidi="fa-IR"/>
        </w:rPr>
        <w:t>ر</w:t>
      </w:r>
      <w:r w:rsidRPr="00904FCB">
        <w:rPr>
          <w:rFonts w:ascii="Arial" w:hAnsi="Arial"/>
          <w:sz w:val="27"/>
          <w:rtl/>
          <w:lang w:bidi="fa-IR"/>
        </w:rPr>
        <w:t xml:space="preserve"> </w:t>
      </w:r>
      <w:r w:rsidRPr="00904FCB">
        <w:rPr>
          <w:rFonts w:ascii="Arial" w:hAnsi="Arial" w:hint="cs"/>
          <w:sz w:val="27"/>
          <w:rtl/>
          <w:lang w:bidi="fa-IR"/>
        </w:rPr>
        <w:t>فهما</w:t>
      </w:r>
      <w:r w:rsidR="007A19D2" w:rsidRPr="00904FCB">
        <w:rPr>
          <w:rFonts w:ascii="Arial" w:hAnsi="Arial" w:hint="cs"/>
          <w:sz w:val="27"/>
          <w:rtl/>
          <w:lang w:bidi="fa-IR"/>
        </w:rPr>
        <w:t>ً</w:t>
      </w:r>
      <w:r w:rsidRPr="00904FCB">
        <w:rPr>
          <w:rFonts w:ascii="Arial" w:hAnsi="Arial"/>
          <w:sz w:val="27"/>
          <w:rtl/>
          <w:lang w:bidi="fa-IR"/>
        </w:rPr>
        <w:t xml:space="preserve"> </w:t>
      </w:r>
      <w:r w:rsidRPr="00904FCB">
        <w:rPr>
          <w:rFonts w:ascii="Arial" w:hAnsi="Arial" w:hint="cs"/>
          <w:sz w:val="27"/>
          <w:rtl/>
          <w:lang w:bidi="fa-IR"/>
        </w:rPr>
        <w:t>صحيحا</w:t>
      </w:r>
      <w:r w:rsidR="007A19D2" w:rsidRPr="00904FCB">
        <w:rPr>
          <w:rFonts w:ascii="Arial" w:hAnsi="Arial" w:hint="cs"/>
          <w:sz w:val="27"/>
          <w:rtl/>
          <w:lang w:bidi="fa-IR"/>
        </w:rPr>
        <w:t xml:space="preserve">ً </w:t>
      </w:r>
      <w:r w:rsidRPr="00904FCB">
        <w:rPr>
          <w:rFonts w:ascii="Arial" w:hAnsi="Arial" w:hint="cs"/>
          <w:sz w:val="27"/>
          <w:rtl/>
          <w:lang w:bidi="fa-IR"/>
        </w:rPr>
        <w:t>لهذه</w:t>
      </w:r>
      <w:r w:rsidRPr="00904FCB">
        <w:rPr>
          <w:rFonts w:ascii="Arial" w:hAnsi="Arial"/>
          <w:sz w:val="27"/>
          <w:rtl/>
          <w:lang w:bidi="fa-IR"/>
        </w:rPr>
        <w:t xml:space="preserve"> </w:t>
      </w:r>
      <w:r w:rsidRPr="00904FCB">
        <w:rPr>
          <w:rFonts w:ascii="Arial" w:hAnsi="Arial" w:hint="cs"/>
          <w:sz w:val="27"/>
          <w:rtl/>
          <w:lang w:bidi="fa-IR"/>
        </w:rPr>
        <w:t>الاتجاهات</w:t>
      </w:r>
      <w:r w:rsidRPr="00904FCB">
        <w:rPr>
          <w:rFonts w:ascii="Arial" w:hAnsi="Arial"/>
          <w:sz w:val="27"/>
          <w:rtl/>
          <w:lang w:bidi="fa-IR"/>
        </w:rPr>
        <w:t xml:space="preserve">. </w:t>
      </w:r>
    </w:p>
    <w:p w:rsidR="00A45FD9" w:rsidRPr="00904FCB" w:rsidRDefault="00A45FD9" w:rsidP="007A21AA">
      <w:pPr>
        <w:spacing w:line="400" w:lineRule="exact"/>
        <w:rPr>
          <w:rFonts w:ascii="Arial" w:hAnsi="Arial"/>
          <w:sz w:val="27"/>
          <w:lang w:bidi="fa-IR"/>
        </w:rPr>
      </w:pPr>
    </w:p>
    <w:p w:rsidR="00A45FD9" w:rsidRPr="00904FCB" w:rsidRDefault="00A45FD9" w:rsidP="007A21AA">
      <w:pPr>
        <w:pStyle w:val="31"/>
        <w:spacing w:line="400" w:lineRule="exact"/>
        <w:rPr>
          <w:color w:val="auto"/>
        </w:rPr>
      </w:pPr>
      <w:r w:rsidRPr="00904FCB">
        <w:rPr>
          <w:color w:val="auto"/>
          <w:rtl/>
        </w:rPr>
        <w:t>مقد</w:t>
      </w:r>
      <w:r w:rsidRPr="00904FCB">
        <w:rPr>
          <w:rFonts w:hint="cs"/>
          <w:color w:val="auto"/>
          <w:rtl/>
        </w:rPr>
        <w:t>ّ</w:t>
      </w:r>
      <w:r w:rsidRPr="00904FCB">
        <w:rPr>
          <w:color w:val="auto"/>
          <w:rtl/>
        </w:rPr>
        <w:t xml:space="preserve">مة </w:t>
      </w:r>
    </w:p>
    <w:p w:rsidR="00A45FD9" w:rsidRPr="00904FCB" w:rsidRDefault="00A45FD9" w:rsidP="007A21AA">
      <w:pPr>
        <w:spacing w:line="400" w:lineRule="exact"/>
        <w:rPr>
          <w:rFonts w:ascii="Arial" w:hAnsi="Arial"/>
          <w:sz w:val="27"/>
          <w:rtl/>
        </w:rPr>
      </w:pPr>
      <w:r w:rsidRPr="00904FCB">
        <w:rPr>
          <w:rFonts w:ascii="Arial" w:hAnsi="Arial"/>
          <w:sz w:val="27"/>
          <w:rtl/>
        </w:rPr>
        <w:t>يحتل</w:t>
      </w:r>
      <w:r w:rsidR="007A19D2" w:rsidRPr="00904FCB">
        <w:rPr>
          <w:rFonts w:ascii="Arial" w:hAnsi="Arial" w:hint="cs"/>
          <w:sz w:val="27"/>
          <w:rtl/>
        </w:rPr>
        <w:t>ّ</w:t>
      </w:r>
      <w:r w:rsidRPr="00904FCB">
        <w:rPr>
          <w:rFonts w:ascii="Arial" w:hAnsi="Arial"/>
          <w:sz w:val="27"/>
          <w:rtl/>
        </w:rPr>
        <w:t xml:space="preserve"> الجهاد ضد</w:t>
      </w:r>
      <w:r w:rsidR="007A19D2" w:rsidRPr="00904FCB">
        <w:rPr>
          <w:rFonts w:ascii="Arial" w:hAnsi="Arial" w:hint="cs"/>
          <w:sz w:val="27"/>
          <w:rtl/>
        </w:rPr>
        <w:t>ّ</w:t>
      </w:r>
      <w:r w:rsidRPr="00904FCB">
        <w:rPr>
          <w:rFonts w:ascii="Arial" w:hAnsi="Arial"/>
          <w:sz w:val="27"/>
          <w:rtl/>
        </w:rPr>
        <w:t xml:space="preserve"> المشركين والكف</w:t>
      </w:r>
      <w:r w:rsidR="007A19D2" w:rsidRPr="00904FCB">
        <w:rPr>
          <w:rFonts w:ascii="Arial" w:hAnsi="Arial" w:hint="cs"/>
          <w:sz w:val="27"/>
          <w:rtl/>
        </w:rPr>
        <w:t>ّ</w:t>
      </w:r>
      <w:r w:rsidRPr="00904FCB">
        <w:rPr>
          <w:rFonts w:ascii="Arial" w:hAnsi="Arial"/>
          <w:sz w:val="27"/>
          <w:rtl/>
        </w:rPr>
        <w:t>ار أولوية في فكر الجماعات السلفية الجهادية</w:t>
      </w:r>
      <w:r w:rsidR="007A19D2" w:rsidRPr="00904FCB">
        <w:rPr>
          <w:rFonts w:ascii="Arial" w:hAnsi="Arial" w:hint="cs"/>
          <w:sz w:val="27"/>
          <w:rtl/>
        </w:rPr>
        <w:t>.</w:t>
      </w:r>
      <w:r w:rsidRPr="00904FCB">
        <w:rPr>
          <w:rFonts w:ascii="Arial" w:hAnsi="Arial"/>
          <w:sz w:val="27"/>
          <w:rtl/>
        </w:rPr>
        <w:t xml:space="preserve"> ولذلك قاموا بجمع الآيات القرآنية والأحاديث النبوية التي تعطي مشروعية لقتالهم</w:t>
      </w:r>
      <w:r w:rsidR="007A19D2" w:rsidRPr="00904FCB">
        <w:rPr>
          <w:rFonts w:ascii="Arial" w:hAnsi="Arial" w:hint="cs"/>
          <w:sz w:val="27"/>
          <w:rtl/>
        </w:rPr>
        <w:t xml:space="preserve">، </w:t>
      </w:r>
      <w:r w:rsidRPr="00904FCB">
        <w:rPr>
          <w:rFonts w:ascii="Arial" w:hAnsi="Arial"/>
          <w:sz w:val="27"/>
          <w:rtl/>
        </w:rPr>
        <w:t>فقالوا بأن العلماء</w:t>
      </w:r>
      <w:r w:rsidR="007A19D2" w:rsidRPr="00904FCB">
        <w:rPr>
          <w:rFonts w:ascii="Arial" w:hAnsi="Arial" w:hint="cs"/>
          <w:sz w:val="27"/>
          <w:rtl/>
        </w:rPr>
        <w:t>،</w:t>
      </w:r>
      <w:r w:rsidRPr="00904FCB">
        <w:rPr>
          <w:rFonts w:ascii="Arial" w:hAnsi="Arial"/>
          <w:sz w:val="27"/>
          <w:rtl/>
        </w:rPr>
        <w:t xml:space="preserve"> س</w:t>
      </w:r>
      <w:r w:rsidR="007A19D2" w:rsidRPr="00904FCB">
        <w:rPr>
          <w:rFonts w:ascii="Arial" w:hAnsi="Arial" w:hint="cs"/>
          <w:sz w:val="27"/>
          <w:rtl/>
        </w:rPr>
        <w:t>َ</w:t>
      </w:r>
      <w:r w:rsidRPr="00904FCB">
        <w:rPr>
          <w:rFonts w:ascii="Arial" w:hAnsi="Arial"/>
          <w:sz w:val="27"/>
          <w:rtl/>
        </w:rPr>
        <w:t>ل</w:t>
      </w:r>
      <w:r w:rsidR="007A19D2" w:rsidRPr="00904FCB">
        <w:rPr>
          <w:rFonts w:ascii="Arial" w:hAnsi="Arial" w:hint="cs"/>
          <w:sz w:val="27"/>
          <w:rtl/>
        </w:rPr>
        <w:t>َ</w:t>
      </w:r>
      <w:r w:rsidRPr="00904FCB">
        <w:rPr>
          <w:rFonts w:ascii="Arial" w:hAnsi="Arial"/>
          <w:sz w:val="27"/>
          <w:rtl/>
        </w:rPr>
        <w:t>فاً وخ</w:t>
      </w:r>
      <w:r w:rsidR="007A19D2" w:rsidRPr="00904FCB">
        <w:rPr>
          <w:rFonts w:ascii="Arial" w:hAnsi="Arial" w:hint="cs"/>
          <w:sz w:val="27"/>
          <w:rtl/>
        </w:rPr>
        <w:t>َ</w:t>
      </w:r>
      <w:r w:rsidRPr="00904FCB">
        <w:rPr>
          <w:rFonts w:ascii="Arial" w:hAnsi="Arial"/>
          <w:sz w:val="27"/>
          <w:rtl/>
        </w:rPr>
        <w:t>ل</w:t>
      </w:r>
      <w:r w:rsidR="007A19D2" w:rsidRPr="00904FCB">
        <w:rPr>
          <w:rFonts w:ascii="Arial" w:hAnsi="Arial" w:hint="cs"/>
          <w:sz w:val="27"/>
          <w:rtl/>
        </w:rPr>
        <w:t>َ</w:t>
      </w:r>
      <w:r w:rsidRPr="00904FCB">
        <w:rPr>
          <w:rFonts w:ascii="Arial" w:hAnsi="Arial"/>
          <w:sz w:val="27"/>
          <w:rtl/>
        </w:rPr>
        <w:t>فاً</w:t>
      </w:r>
      <w:r w:rsidR="007A19D2" w:rsidRPr="00904FCB">
        <w:rPr>
          <w:rFonts w:ascii="Arial" w:hAnsi="Arial" w:hint="cs"/>
          <w:sz w:val="27"/>
          <w:rtl/>
        </w:rPr>
        <w:t>،</w:t>
      </w:r>
      <w:r w:rsidRPr="00904FCB">
        <w:rPr>
          <w:rFonts w:ascii="Arial" w:hAnsi="Arial"/>
          <w:sz w:val="27"/>
          <w:rtl/>
        </w:rPr>
        <w:t xml:space="preserve"> ات</w:t>
      </w:r>
      <w:r w:rsidR="007A19D2" w:rsidRPr="00904FCB">
        <w:rPr>
          <w:rFonts w:ascii="Arial" w:hAnsi="Arial" w:hint="cs"/>
          <w:sz w:val="27"/>
          <w:rtl/>
        </w:rPr>
        <w:t>َّ</w:t>
      </w:r>
      <w:r w:rsidRPr="00904FCB">
        <w:rPr>
          <w:rFonts w:ascii="Arial" w:hAnsi="Arial"/>
          <w:sz w:val="27"/>
          <w:rtl/>
        </w:rPr>
        <w:t>فقوا على وجوب قتال أهل الكفر ما تواف</w:t>
      </w:r>
      <w:r w:rsidR="007A19D2" w:rsidRPr="00904FCB">
        <w:rPr>
          <w:rFonts w:ascii="Arial" w:hAnsi="Arial" w:hint="cs"/>
          <w:sz w:val="27"/>
          <w:rtl/>
        </w:rPr>
        <w:t>َ</w:t>
      </w:r>
      <w:r w:rsidRPr="00904FCB">
        <w:rPr>
          <w:rFonts w:ascii="Arial" w:hAnsi="Arial"/>
          <w:sz w:val="27"/>
          <w:rtl/>
        </w:rPr>
        <w:t>ر</w:t>
      </w:r>
      <w:r w:rsidR="007A19D2" w:rsidRPr="00904FCB">
        <w:rPr>
          <w:rFonts w:ascii="Arial" w:hAnsi="Arial" w:hint="cs"/>
          <w:sz w:val="27"/>
          <w:rtl/>
        </w:rPr>
        <w:t>َ</w:t>
      </w:r>
      <w:r w:rsidRPr="00904FCB">
        <w:rPr>
          <w:rFonts w:ascii="Arial" w:hAnsi="Arial"/>
          <w:sz w:val="27"/>
          <w:rtl/>
        </w:rPr>
        <w:t>ت</w:t>
      </w:r>
      <w:r w:rsidR="007A19D2" w:rsidRPr="00904FCB">
        <w:rPr>
          <w:rFonts w:ascii="Arial" w:hAnsi="Arial" w:hint="cs"/>
          <w:sz w:val="27"/>
          <w:rtl/>
        </w:rPr>
        <w:t>ْ</w:t>
      </w:r>
      <w:r w:rsidRPr="00904FCB">
        <w:rPr>
          <w:rFonts w:ascii="Arial" w:hAnsi="Arial"/>
          <w:sz w:val="27"/>
          <w:rtl/>
        </w:rPr>
        <w:t xml:space="preserve"> القدرة على ذلك</w:t>
      </w:r>
      <w:r w:rsidR="007A19D2" w:rsidRPr="00904FCB">
        <w:rPr>
          <w:rFonts w:ascii="Arial" w:hAnsi="Arial" w:hint="cs"/>
          <w:sz w:val="27"/>
          <w:rtl/>
        </w:rPr>
        <w:t>.</w:t>
      </w:r>
      <w:r w:rsidRPr="00904FCB">
        <w:rPr>
          <w:rFonts w:ascii="Arial" w:hAnsi="Arial"/>
          <w:sz w:val="27"/>
          <w:rtl/>
        </w:rPr>
        <w:t xml:space="preserve"> ويستشهدون بجملة من الآيات القرآنية الكريمة</w:t>
      </w:r>
      <w:r w:rsidR="007A19D2" w:rsidRPr="00904FCB">
        <w:rPr>
          <w:rFonts w:ascii="Arial" w:hAnsi="Arial" w:hint="cs"/>
          <w:sz w:val="27"/>
          <w:rtl/>
        </w:rPr>
        <w:t>،</w:t>
      </w:r>
      <w:r w:rsidRPr="00904FCB">
        <w:rPr>
          <w:rFonts w:ascii="Arial" w:hAnsi="Arial"/>
          <w:sz w:val="27"/>
          <w:rtl/>
        </w:rPr>
        <w:t xml:space="preserve"> منها: </w:t>
      </w:r>
    </w:p>
    <w:p w:rsidR="00A45FD9" w:rsidRPr="00904FCB" w:rsidRDefault="00A45FD9" w:rsidP="007A21AA">
      <w:pPr>
        <w:tabs>
          <w:tab w:val="left" w:pos="4940"/>
        </w:tabs>
        <w:spacing w:line="400" w:lineRule="exact"/>
        <w:rPr>
          <w:rFonts w:ascii="Arial" w:hAnsi="Arial"/>
          <w:sz w:val="27"/>
          <w:rtl/>
        </w:rPr>
      </w:pPr>
      <w:r w:rsidRPr="00904FCB">
        <w:rPr>
          <w:rFonts w:ascii="Arial" w:hAnsi="Arial"/>
          <w:sz w:val="27"/>
          <w:rtl/>
        </w:rPr>
        <w:t xml:space="preserve"> ـ </w:t>
      </w:r>
      <w:r w:rsidRPr="00904FCB">
        <w:rPr>
          <w:rFonts w:ascii="Mosawi" w:hAnsi="Mosawi" w:cs="Mosawi"/>
          <w:sz w:val="24"/>
          <w:szCs w:val="24"/>
          <w:rtl/>
        </w:rPr>
        <w:t>﴿</w:t>
      </w:r>
      <w:r w:rsidR="007A19D2" w:rsidRPr="00904FCB">
        <w:rPr>
          <w:b/>
          <w:bCs/>
          <w:sz w:val="27"/>
          <w:rtl/>
        </w:rPr>
        <w:t>وَقَاتِلُوهُمْ حَتَّى لاَ تَكُونَ فِتْنَةٌ وَيَكُونَ الدِّينُ للهِ فَإِنْ انتَهَوْا فَلاَ عُدْوَانَ إِلاَّ عَلَى الظَّالِمِينَ</w:t>
      </w:r>
      <w:r w:rsidRPr="00904FCB">
        <w:rPr>
          <w:rFonts w:ascii="Mosawi" w:hAnsi="Mosawi" w:cs="Mosawi"/>
          <w:sz w:val="24"/>
          <w:szCs w:val="24"/>
          <w:rtl/>
        </w:rPr>
        <w:t>﴾</w:t>
      </w:r>
      <w:r w:rsidRPr="00904FCB">
        <w:rPr>
          <w:rFonts w:ascii="Mosawi" w:hAnsi="Mosawi" w:hint="cs"/>
          <w:sz w:val="27"/>
          <w:rtl/>
        </w:rPr>
        <w:t xml:space="preserve"> (</w:t>
      </w:r>
      <w:r w:rsidRPr="00736BD3">
        <w:rPr>
          <w:rFonts w:ascii="Mosawi" w:hAnsi="Mosawi" w:hint="cs"/>
          <w:sz w:val="27"/>
          <w:rtl/>
        </w:rPr>
        <w:t>البقرة: 193</w:t>
      </w:r>
      <w:r w:rsidRPr="00904FCB">
        <w:rPr>
          <w:rFonts w:ascii="Mosawi" w:hAnsi="Mosawi" w:hint="cs"/>
          <w:sz w:val="27"/>
          <w:rtl/>
        </w:rPr>
        <w:t>)</w:t>
      </w:r>
      <w:r w:rsidRPr="00904FCB">
        <w:rPr>
          <w:rFonts w:ascii="Arial" w:hAnsi="Arial"/>
          <w:sz w:val="27"/>
          <w:rtl/>
        </w:rPr>
        <w:t xml:space="preserve">. </w:t>
      </w:r>
    </w:p>
    <w:p w:rsidR="00A45FD9" w:rsidRPr="00904FCB" w:rsidRDefault="00A45FD9" w:rsidP="007A21AA">
      <w:pPr>
        <w:tabs>
          <w:tab w:val="left" w:pos="4940"/>
        </w:tabs>
        <w:spacing w:line="400" w:lineRule="exact"/>
        <w:rPr>
          <w:rFonts w:ascii="Arial" w:hAnsi="Arial"/>
          <w:sz w:val="27"/>
          <w:rtl/>
        </w:rPr>
      </w:pPr>
      <w:r w:rsidRPr="00904FCB">
        <w:rPr>
          <w:rFonts w:ascii="Arial" w:hAnsi="Arial"/>
          <w:sz w:val="27"/>
          <w:rtl/>
        </w:rPr>
        <w:t xml:space="preserve"> ـ </w:t>
      </w:r>
      <w:r w:rsidRPr="00904FCB">
        <w:rPr>
          <w:rFonts w:ascii="Mosawi" w:hAnsi="Mosawi" w:cs="Mosawi"/>
          <w:sz w:val="24"/>
          <w:szCs w:val="24"/>
          <w:rtl/>
        </w:rPr>
        <w:t>﴿</w:t>
      </w:r>
      <w:r w:rsidR="007A19D2" w:rsidRPr="00904FCB">
        <w:rPr>
          <w:b/>
          <w:bCs/>
          <w:sz w:val="27"/>
          <w:rtl/>
        </w:rPr>
        <w:t>وَقَاتِلُوا الْمُشْرِكِينَ كَافَّةً كَمَا يُقَاتِلُونَكُمْ كَافَّةً</w:t>
      </w:r>
      <w:r w:rsidRPr="00904FCB">
        <w:rPr>
          <w:rFonts w:ascii="Mosawi" w:hAnsi="Mosawi" w:cs="Mosawi"/>
          <w:sz w:val="24"/>
          <w:szCs w:val="24"/>
          <w:rtl/>
        </w:rPr>
        <w:t>﴾</w:t>
      </w:r>
      <w:r w:rsidRPr="00904FCB">
        <w:rPr>
          <w:rFonts w:ascii="Mosawi" w:hAnsi="Mosawi" w:hint="cs"/>
          <w:sz w:val="27"/>
          <w:rtl/>
        </w:rPr>
        <w:t xml:space="preserve"> (التوبة: </w:t>
      </w:r>
      <w:r w:rsidRPr="00736BD3">
        <w:rPr>
          <w:rFonts w:ascii="Mosawi" w:hAnsi="Mosawi" w:hint="cs"/>
          <w:sz w:val="27"/>
          <w:rtl/>
        </w:rPr>
        <w:t>36</w:t>
      </w:r>
      <w:r w:rsidRPr="00904FCB">
        <w:rPr>
          <w:rFonts w:ascii="Mosawi" w:hAnsi="Mosawi" w:hint="cs"/>
          <w:sz w:val="27"/>
          <w:rtl/>
        </w:rPr>
        <w:t>)</w:t>
      </w:r>
      <w:r w:rsidRPr="00904FCB">
        <w:rPr>
          <w:rFonts w:ascii="Mosawi" w:hAnsi="Mosawi"/>
          <w:sz w:val="27"/>
          <w:rtl/>
        </w:rPr>
        <w:t xml:space="preserve">. </w:t>
      </w:r>
    </w:p>
    <w:p w:rsidR="00A45FD9" w:rsidRPr="00904FCB" w:rsidRDefault="00A45FD9" w:rsidP="007A21AA">
      <w:pPr>
        <w:tabs>
          <w:tab w:val="left" w:pos="4940"/>
        </w:tabs>
        <w:spacing w:line="400" w:lineRule="exact"/>
        <w:rPr>
          <w:rFonts w:ascii="Arial" w:hAnsi="Arial"/>
          <w:sz w:val="27"/>
          <w:rtl/>
        </w:rPr>
      </w:pPr>
      <w:r w:rsidRPr="00904FCB">
        <w:rPr>
          <w:rFonts w:ascii="Arial" w:hAnsi="Arial"/>
          <w:sz w:val="27"/>
          <w:rtl/>
        </w:rPr>
        <w:t xml:space="preserve"> ـ </w:t>
      </w:r>
      <w:r w:rsidRPr="00904FCB">
        <w:rPr>
          <w:rFonts w:ascii="Mosawi" w:hAnsi="Mosawi" w:cs="Mosawi"/>
          <w:sz w:val="24"/>
          <w:szCs w:val="24"/>
          <w:rtl/>
        </w:rPr>
        <w:t>﴿</w:t>
      </w:r>
      <w:r w:rsidR="004A6D21" w:rsidRPr="00904FCB">
        <w:rPr>
          <w:b/>
          <w:bCs/>
          <w:sz w:val="27"/>
          <w:rtl/>
        </w:rPr>
        <w:t>لاَ يُكَلِّفُ اللهُ نَفْساً إِلاَّ وُسْعَهَا</w:t>
      </w:r>
      <w:r w:rsidRPr="00904FCB">
        <w:rPr>
          <w:rFonts w:ascii="Mosawi" w:hAnsi="Mosawi" w:cs="Mosawi"/>
          <w:sz w:val="24"/>
          <w:szCs w:val="24"/>
          <w:rtl/>
        </w:rPr>
        <w:t>﴾</w:t>
      </w:r>
      <w:r w:rsidRPr="00904FCB">
        <w:rPr>
          <w:rFonts w:ascii="Mosawi" w:hAnsi="Mosawi" w:hint="cs"/>
          <w:sz w:val="27"/>
          <w:rtl/>
        </w:rPr>
        <w:t xml:space="preserve"> (البقرة: </w:t>
      </w:r>
      <w:r w:rsidRPr="00736BD3">
        <w:rPr>
          <w:rFonts w:ascii="Mosawi" w:hAnsi="Mosawi" w:hint="cs"/>
          <w:sz w:val="27"/>
          <w:rtl/>
        </w:rPr>
        <w:t>286</w:t>
      </w:r>
      <w:r w:rsidRPr="00904FCB">
        <w:rPr>
          <w:rFonts w:ascii="Mosawi" w:hAnsi="Mosawi" w:hint="cs"/>
          <w:sz w:val="27"/>
          <w:rtl/>
        </w:rPr>
        <w:t>)</w:t>
      </w:r>
      <w:r w:rsidRPr="00904FCB">
        <w:rPr>
          <w:rFonts w:ascii="Mosawi" w:hAnsi="Mosawi"/>
          <w:sz w:val="27"/>
          <w:rtl/>
        </w:rPr>
        <w:t xml:space="preserve">. </w:t>
      </w:r>
    </w:p>
    <w:p w:rsidR="00A45FD9" w:rsidRPr="00904FCB" w:rsidRDefault="00A45FD9" w:rsidP="007A21AA">
      <w:pPr>
        <w:tabs>
          <w:tab w:val="left" w:pos="4940"/>
        </w:tabs>
        <w:spacing w:line="400" w:lineRule="exact"/>
        <w:rPr>
          <w:rFonts w:ascii="Arial" w:hAnsi="Arial"/>
          <w:sz w:val="27"/>
          <w:rtl/>
        </w:rPr>
      </w:pPr>
      <w:r w:rsidRPr="00904FCB">
        <w:rPr>
          <w:rFonts w:ascii="Arial" w:hAnsi="Arial"/>
          <w:sz w:val="27"/>
          <w:rtl/>
        </w:rPr>
        <w:t xml:space="preserve"> ـ </w:t>
      </w:r>
      <w:r w:rsidRPr="00904FCB">
        <w:rPr>
          <w:rFonts w:ascii="Mosawi" w:hAnsi="Mosawi" w:cs="Mosawi"/>
          <w:sz w:val="24"/>
          <w:szCs w:val="24"/>
          <w:rtl/>
        </w:rPr>
        <w:t>﴿</w:t>
      </w:r>
      <w:r w:rsidR="004A6D21" w:rsidRPr="00904FCB">
        <w:rPr>
          <w:b/>
          <w:bCs/>
          <w:sz w:val="27"/>
          <w:rtl/>
        </w:rPr>
        <w:t>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sidRPr="00904FCB">
        <w:rPr>
          <w:rFonts w:ascii="Mosawi" w:hAnsi="Mosawi" w:cs="Mosawi"/>
          <w:sz w:val="24"/>
          <w:szCs w:val="24"/>
          <w:rtl/>
        </w:rPr>
        <w:t>﴾</w:t>
      </w:r>
      <w:r w:rsidRPr="00904FCB">
        <w:rPr>
          <w:rFonts w:ascii="Mosawi" w:hAnsi="Mosawi" w:hint="cs"/>
          <w:sz w:val="27"/>
          <w:rtl/>
        </w:rPr>
        <w:t xml:space="preserve"> (الأنفال: </w:t>
      </w:r>
      <w:r w:rsidRPr="00736BD3">
        <w:rPr>
          <w:rFonts w:ascii="Mosawi" w:hAnsi="Mosawi" w:hint="cs"/>
          <w:sz w:val="27"/>
          <w:rtl/>
        </w:rPr>
        <w:t>60</w:t>
      </w:r>
      <w:r w:rsidRPr="00904FCB">
        <w:rPr>
          <w:rFonts w:ascii="Mosawi" w:hAnsi="Mosawi" w:hint="cs"/>
          <w:sz w:val="27"/>
          <w:rtl/>
        </w:rPr>
        <w:t>)</w:t>
      </w:r>
      <w:r w:rsidRPr="00904FCB">
        <w:rPr>
          <w:rFonts w:ascii="Mosawi" w:hAnsi="Mosawi"/>
          <w:sz w:val="27"/>
          <w:rtl/>
        </w:rPr>
        <w:t>.</w:t>
      </w:r>
      <w:r w:rsidRPr="00904FCB">
        <w:rPr>
          <w:rFonts w:ascii="Arial" w:hAnsi="Arial"/>
          <w:sz w:val="27"/>
          <w:rtl/>
        </w:rPr>
        <w:t xml:space="preserve"> </w:t>
      </w:r>
    </w:p>
    <w:p w:rsidR="00A45FD9" w:rsidRPr="00904FCB" w:rsidRDefault="00A45FD9" w:rsidP="007A21AA">
      <w:pPr>
        <w:tabs>
          <w:tab w:val="left" w:pos="4940"/>
        </w:tabs>
        <w:spacing w:line="400" w:lineRule="exact"/>
        <w:rPr>
          <w:rFonts w:ascii="Arial" w:hAnsi="Arial"/>
          <w:sz w:val="27"/>
          <w:rtl/>
        </w:rPr>
      </w:pPr>
      <w:r w:rsidRPr="00904FCB">
        <w:rPr>
          <w:rFonts w:ascii="Arial" w:hAnsi="Arial"/>
          <w:sz w:val="27"/>
          <w:rtl/>
        </w:rPr>
        <w:t xml:space="preserve"> ـ </w:t>
      </w:r>
      <w:r w:rsidRPr="00904FCB">
        <w:rPr>
          <w:rFonts w:ascii="Mosawi" w:hAnsi="Mosawi" w:cs="Mosawi"/>
          <w:sz w:val="24"/>
          <w:szCs w:val="24"/>
          <w:rtl/>
        </w:rPr>
        <w:t>﴿</w:t>
      </w:r>
      <w:r w:rsidR="004A6D21" w:rsidRPr="00904FCB">
        <w:rPr>
          <w:b/>
          <w:bCs/>
          <w:sz w:val="27"/>
          <w:rtl/>
        </w:rPr>
        <w:t>فَإِذَا انسَلَخَ الأَشْهُرُ الْحُرُمُ فَاقْتُلُوا الْمُشْرِكِينَ حَيْثُ وَجَدْتُمُوهُمْ</w:t>
      </w:r>
      <w:r w:rsidRPr="00904FCB">
        <w:rPr>
          <w:rFonts w:ascii="Mosawi" w:hAnsi="Mosawi" w:cs="Mosawi"/>
          <w:sz w:val="24"/>
          <w:szCs w:val="24"/>
          <w:rtl/>
        </w:rPr>
        <w:t>﴾</w:t>
      </w:r>
      <w:r w:rsidRPr="00904FCB">
        <w:rPr>
          <w:rFonts w:ascii="Arial" w:hAnsi="Arial" w:hint="cs"/>
          <w:sz w:val="27"/>
          <w:rtl/>
        </w:rPr>
        <w:t xml:space="preserve"> (التوبة: </w:t>
      </w:r>
      <w:r w:rsidRPr="00736BD3">
        <w:rPr>
          <w:rFonts w:ascii="Arial" w:hAnsi="Arial" w:hint="cs"/>
          <w:sz w:val="27"/>
          <w:rtl/>
        </w:rPr>
        <w:t>5)</w:t>
      </w:r>
      <w:r w:rsidRPr="00736BD3">
        <w:rPr>
          <w:rFonts w:ascii="Arial" w:hAnsi="Arial"/>
          <w:sz w:val="27"/>
          <w:rtl/>
        </w:rPr>
        <w:t>.</w:t>
      </w:r>
      <w:r w:rsidRPr="00904FCB">
        <w:rPr>
          <w:rFonts w:ascii="Arial" w:hAnsi="Arial"/>
          <w:sz w:val="27"/>
          <w:rtl/>
        </w:rPr>
        <w:t xml:space="preserve"> </w:t>
      </w:r>
    </w:p>
    <w:p w:rsidR="00A45FD9" w:rsidRPr="00904FCB" w:rsidRDefault="00A45FD9" w:rsidP="007A21AA">
      <w:pPr>
        <w:tabs>
          <w:tab w:val="left" w:pos="4940"/>
        </w:tabs>
        <w:spacing w:line="400" w:lineRule="exact"/>
        <w:rPr>
          <w:rFonts w:ascii="Arial" w:hAnsi="Arial"/>
          <w:sz w:val="27"/>
          <w:rtl/>
        </w:rPr>
      </w:pPr>
      <w:r w:rsidRPr="00904FCB">
        <w:rPr>
          <w:rFonts w:ascii="Arial" w:hAnsi="Arial"/>
          <w:sz w:val="27"/>
          <w:rtl/>
        </w:rPr>
        <w:t xml:space="preserve"> ـ </w:t>
      </w:r>
      <w:r w:rsidRPr="00904FCB">
        <w:rPr>
          <w:rFonts w:ascii="Mosawi" w:hAnsi="Mosawi" w:cs="Mosawi"/>
          <w:sz w:val="24"/>
          <w:szCs w:val="24"/>
          <w:rtl/>
        </w:rPr>
        <w:t>﴿</w:t>
      </w:r>
      <w:r w:rsidR="004A6D21" w:rsidRPr="00904FCB">
        <w:rPr>
          <w:b/>
          <w:bCs/>
          <w:sz w:val="27"/>
          <w:rtl/>
        </w:rPr>
        <w:t>وَقَاتِلُوهُمْ حَتَّى لاَ تَكُونَ فِتْنَةٌ وَيَكُونَ الدِّينُ كُلُّهُ للهِ</w:t>
      </w:r>
      <w:r w:rsidRPr="00904FCB">
        <w:rPr>
          <w:rFonts w:ascii="Mosawi" w:hAnsi="Mosawi" w:cs="Mosawi"/>
          <w:sz w:val="24"/>
          <w:szCs w:val="24"/>
          <w:rtl/>
        </w:rPr>
        <w:t>﴾</w:t>
      </w:r>
      <w:r w:rsidRPr="00904FCB">
        <w:rPr>
          <w:rFonts w:ascii="Arial" w:hAnsi="Arial" w:hint="cs"/>
          <w:sz w:val="27"/>
          <w:rtl/>
        </w:rPr>
        <w:t xml:space="preserve"> (الأنفال: </w:t>
      </w:r>
      <w:r w:rsidRPr="00736BD3">
        <w:rPr>
          <w:rFonts w:ascii="Arial" w:hAnsi="Arial" w:hint="cs"/>
          <w:sz w:val="27"/>
          <w:rtl/>
        </w:rPr>
        <w:t>39</w:t>
      </w:r>
      <w:r w:rsidRPr="00904FCB">
        <w:rPr>
          <w:rFonts w:ascii="Arial" w:hAnsi="Arial" w:hint="cs"/>
          <w:sz w:val="27"/>
          <w:rtl/>
        </w:rPr>
        <w:t>)</w:t>
      </w:r>
      <w:r w:rsidRPr="00904FCB">
        <w:rPr>
          <w:rFonts w:ascii="Arial" w:hAnsi="Arial"/>
          <w:sz w:val="27"/>
          <w:rtl/>
        </w:rPr>
        <w:t xml:space="preserve">. </w:t>
      </w:r>
    </w:p>
    <w:p w:rsidR="00A45FD9" w:rsidRPr="00904FCB" w:rsidRDefault="00A45FD9" w:rsidP="007A21AA">
      <w:pPr>
        <w:tabs>
          <w:tab w:val="left" w:pos="4940"/>
        </w:tabs>
        <w:spacing w:line="400" w:lineRule="exact"/>
        <w:rPr>
          <w:rFonts w:ascii="Arial" w:hAnsi="Arial"/>
          <w:sz w:val="27"/>
          <w:rtl/>
        </w:rPr>
      </w:pPr>
      <w:r w:rsidRPr="00904FCB">
        <w:rPr>
          <w:rFonts w:ascii="Arial" w:hAnsi="Arial"/>
          <w:sz w:val="27"/>
          <w:rtl/>
        </w:rPr>
        <w:t xml:space="preserve"> ـ </w:t>
      </w:r>
      <w:r w:rsidRPr="00904FCB">
        <w:rPr>
          <w:rFonts w:ascii="Mosawi" w:hAnsi="Mosawi" w:cs="Mosawi"/>
          <w:sz w:val="24"/>
          <w:szCs w:val="24"/>
          <w:rtl/>
        </w:rPr>
        <w:t>﴿</w:t>
      </w:r>
      <w:r w:rsidR="004A6D21" w:rsidRPr="00904FCB">
        <w:rPr>
          <w:b/>
          <w:bCs/>
          <w:sz w:val="27"/>
          <w:rtl/>
        </w:rPr>
        <w:t xml:space="preserve">قَاتِلُوا الَّذِينَ لاَ يُؤْمِنُونَ بِاللهِ وَلاَ بِالْيَوْمِ الآخِرِ وَلاَ يُحَرِّمُونَ مَا حَرَّمَ اللهُ وَرَسُولُهُ وَلاَ يَدِينُونَ دِينَ الْحَقِّ مِنْ الَّذِينَ أُوتُوا الْكِتَابَ حَتَّى يُعْطُوا الْجِزْيَةَ عَنْ يَدٍ وَهُمْ </w:t>
      </w:r>
      <w:r w:rsidR="004A6D21" w:rsidRPr="00904FCB">
        <w:rPr>
          <w:b/>
          <w:bCs/>
          <w:sz w:val="27"/>
          <w:rtl/>
        </w:rPr>
        <w:lastRenderedPageBreak/>
        <w:t>صَاغِرُونَ</w:t>
      </w:r>
      <w:r w:rsidRPr="00904FCB">
        <w:rPr>
          <w:rFonts w:ascii="Mosawi" w:hAnsi="Mosawi" w:cs="Mosawi"/>
          <w:sz w:val="24"/>
          <w:szCs w:val="24"/>
          <w:rtl/>
        </w:rPr>
        <w:t>﴾</w:t>
      </w:r>
      <w:r w:rsidRPr="00904FCB">
        <w:rPr>
          <w:rFonts w:ascii="Arial" w:hAnsi="Arial" w:hint="cs"/>
          <w:sz w:val="27"/>
          <w:rtl/>
        </w:rPr>
        <w:t xml:space="preserve"> (التوبة: </w:t>
      </w:r>
      <w:r w:rsidRPr="00B13398">
        <w:rPr>
          <w:rFonts w:ascii="Arial" w:hAnsi="Arial" w:hint="cs"/>
          <w:sz w:val="27"/>
          <w:rtl/>
        </w:rPr>
        <w:t>29</w:t>
      </w:r>
      <w:r w:rsidRPr="00904FCB">
        <w:rPr>
          <w:rFonts w:ascii="Arial" w:hAnsi="Arial" w:hint="cs"/>
          <w:sz w:val="27"/>
          <w:rtl/>
        </w:rPr>
        <w:t>)</w:t>
      </w:r>
      <w:r w:rsidRPr="00904FCB">
        <w:rPr>
          <w:rFonts w:ascii="Arial" w:hAnsi="Arial"/>
          <w:sz w:val="27"/>
          <w:rtl/>
        </w:rPr>
        <w:t xml:space="preserve">. </w:t>
      </w:r>
    </w:p>
    <w:p w:rsidR="004A6D21" w:rsidRPr="00904FCB" w:rsidRDefault="00A45FD9" w:rsidP="007A21AA">
      <w:pPr>
        <w:tabs>
          <w:tab w:val="left" w:pos="4940"/>
        </w:tabs>
        <w:spacing w:line="400" w:lineRule="exact"/>
        <w:rPr>
          <w:rFonts w:ascii="Arial" w:hAnsi="Arial"/>
          <w:sz w:val="27"/>
          <w:rtl/>
        </w:rPr>
      </w:pPr>
      <w:r w:rsidRPr="00904FCB">
        <w:rPr>
          <w:rFonts w:ascii="Arial" w:hAnsi="Arial"/>
          <w:sz w:val="27"/>
          <w:rtl/>
        </w:rPr>
        <w:t>ويصن</w:t>
      </w:r>
      <w:r w:rsidR="004A6D21" w:rsidRPr="00904FCB">
        <w:rPr>
          <w:rFonts w:ascii="Arial" w:hAnsi="Arial" w:hint="cs"/>
          <w:sz w:val="27"/>
          <w:rtl/>
        </w:rPr>
        <w:t>ِّ</w:t>
      </w:r>
      <w:r w:rsidRPr="00904FCB">
        <w:rPr>
          <w:rFonts w:ascii="Arial" w:hAnsi="Arial"/>
          <w:sz w:val="27"/>
          <w:rtl/>
        </w:rPr>
        <w:t xml:space="preserve">ف </w:t>
      </w:r>
      <w:r w:rsidR="004A6D21" w:rsidRPr="00904FCB">
        <w:rPr>
          <w:rFonts w:ascii="Arial" w:hAnsi="Arial" w:hint="cs"/>
          <w:sz w:val="27"/>
          <w:rtl/>
        </w:rPr>
        <w:t>أ</w:t>
      </w:r>
      <w:r w:rsidRPr="00904FCB">
        <w:rPr>
          <w:rFonts w:ascii="Arial" w:hAnsi="Arial"/>
          <w:sz w:val="27"/>
          <w:rtl/>
        </w:rPr>
        <w:t xml:space="preserve">تباع السلفية الجهادية الكافرين ضمن </w:t>
      </w:r>
      <w:r w:rsidR="004A6D21" w:rsidRPr="00904FCB">
        <w:rPr>
          <w:rFonts w:ascii="Arial" w:hAnsi="Arial" w:hint="cs"/>
          <w:sz w:val="27"/>
          <w:rtl/>
        </w:rPr>
        <w:t>فئتين</w:t>
      </w:r>
      <w:r w:rsidRPr="00904FCB">
        <w:rPr>
          <w:rFonts w:ascii="Arial" w:hAnsi="Arial"/>
          <w:sz w:val="27"/>
          <w:rtl/>
        </w:rPr>
        <w:t xml:space="preserve">: </w:t>
      </w:r>
      <w:r w:rsidRPr="00904FCB">
        <w:rPr>
          <w:rFonts w:hint="eastAsia"/>
          <w:sz w:val="27"/>
          <w:rtl/>
        </w:rPr>
        <w:t>«</w:t>
      </w:r>
      <w:r w:rsidRPr="00904FCB">
        <w:rPr>
          <w:rFonts w:ascii="Arial" w:hAnsi="Arial"/>
          <w:sz w:val="27"/>
          <w:rtl/>
        </w:rPr>
        <w:t>فإن الكافر إم</w:t>
      </w:r>
      <w:r w:rsidR="004A6D21" w:rsidRPr="00904FCB">
        <w:rPr>
          <w:rFonts w:ascii="Arial" w:hAnsi="Arial" w:hint="cs"/>
          <w:sz w:val="27"/>
          <w:rtl/>
        </w:rPr>
        <w:t>ّ</w:t>
      </w:r>
      <w:r w:rsidRPr="00904FCB">
        <w:rPr>
          <w:rFonts w:ascii="Arial" w:hAnsi="Arial"/>
          <w:sz w:val="27"/>
          <w:rtl/>
        </w:rPr>
        <w:t>ا أن يكون معاه</w:t>
      </w:r>
      <w:r w:rsidR="004A6D21" w:rsidRPr="00904FCB">
        <w:rPr>
          <w:rFonts w:ascii="Arial" w:hAnsi="Arial" w:hint="cs"/>
          <w:sz w:val="27"/>
          <w:rtl/>
        </w:rPr>
        <w:t>َ</w:t>
      </w:r>
      <w:r w:rsidRPr="00904FCB">
        <w:rPr>
          <w:rFonts w:ascii="Arial" w:hAnsi="Arial"/>
          <w:sz w:val="27"/>
          <w:rtl/>
        </w:rPr>
        <w:t>داً</w:t>
      </w:r>
      <w:r w:rsidR="004A6D21" w:rsidRPr="00904FCB">
        <w:rPr>
          <w:rFonts w:ascii="Arial" w:hAnsi="Arial" w:hint="cs"/>
          <w:sz w:val="27"/>
          <w:rtl/>
        </w:rPr>
        <w:t>؛</w:t>
      </w:r>
      <w:r w:rsidRPr="00904FCB">
        <w:rPr>
          <w:rFonts w:ascii="Arial" w:hAnsi="Arial"/>
          <w:sz w:val="27"/>
          <w:rtl/>
        </w:rPr>
        <w:t xml:space="preserve"> أو غير معاه</w:t>
      </w:r>
      <w:r w:rsidR="004A6D21" w:rsidRPr="00904FCB">
        <w:rPr>
          <w:rFonts w:ascii="Arial" w:hAnsi="Arial" w:hint="cs"/>
          <w:sz w:val="27"/>
          <w:rtl/>
        </w:rPr>
        <w:t>َ</w:t>
      </w:r>
      <w:r w:rsidRPr="00904FCB">
        <w:rPr>
          <w:rFonts w:ascii="Arial" w:hAnsi="Arial"/>
          <w:sz w:val="27"/>
          <w:rtl/>
        </w:rPr>
        <w:t>د</w:t>
      </w:r>
      <w:r w:rsidR="004A6D21" w:rsidRPr="00904FCB">
        <w:rPr>
          <w:rFonts w:ascii="Arial" w:hAnsi="Arial" w:hint="cs"/>
          <w:sz w:val="27"/>
          <w:rtl/>
        </w:rPr>
        <w:t>.</w:t>
      </w:r>
      <w:r w:rsidRPr="00904FCB">
        <w:rPr>
          <w:rFonts w:ascii="Arial" w:hAnsi="Arial"/>
          <w:sz w:val="27"/>
          <w:rtl/>
        </w:rPr>
        <w:t xml:space="preserve"> فإن</w:t>
      </w:r>
      <w:r w:rsidR="004A6D21" w:rsidRPr="00904FCB">
        <w:rPr>
          <w:rFonts w:ascii="Arial" w:hAnsi="Arial" w:hint="cs"/>
          <w:sz w:val="27"/>
          <w:rtl/>
        </w:rPr>
        <w:t>ْ</w:t>
      </w:r>
      <w:r w:rsidRPr="00904FCB">
        <w:rPr>
          <w:rFonts w:ascii="Arial" w:hAnsi="Arial"/>
          <w:sz w:val="27"/>
          <w:rtl/>
        </w:rPr>
        <w:t xml:space="preserve"> كان غير معاه</w:t>
      </w:r>
      <w:r w:rsidR="004A6D21" w:rsidRPr="00904FCB">
        <w:rPr>
          <w:rFonts w:ascii="Arial" w:hAnsi="Arial" w:hint="cs"/>
          <w:sz w:val="27"/>
          <w:rtl/>
        </w:rPr>
        <w:t>َ</w:t>
      </w:r>
      <w:r w:rsidRPr="00904FCB">
        <w:rPr>
          <w:rFonts w:ascii="Arial" w:hAnsi="Arial"/>
          <w:sz w:val="27"/>
          <w:rtl/>
        </w:rPr>
        <w:t>د فهو مباح الدم والمال</w:t>
      </w:r>
      <w:r w:rsidR="004A6D21" w:rsidRPr="00904FCB">
        <w:rPr>
          <w:rFonts w:ascii="Arial" w:hAnsi="Arial" w:hint="cs"/>
          <w:sz w:val="27"/>
          <w:rtl/>
        </w:rPr>
        <w:t>؛</w:t>
      </w:r>
      <w:r w:rsidRPr="00904FCB">
        <w:rPr>
          <w:rFonts w:ascii="Arial" w:hAnsi="Arial"/>
          <w:sz w:val="27"/>
          <w:rtl/>
        </w:rPr>
        <w:t xml:space="preserve"> وإن</w:t>
      </w:r>
      <w:r w:rsidR="004A6D21" w:rsidRPr="00904FCB">
        <w:rPr>
          <w:rFonts w:ascii="Arial" w:hAnsi="Arial" w:hint="cs"/>
          <w:sz w:val="27"/>
          <w:rtl/>
        </w:rPr>
        <w:t>ْ</w:t>
      </w:r>
      <w:r w:rsidRPr="00904FCB">
        <w:rPr>
          <w:rFonts w:ascii="Arial" w:hAnsi="Arial"/>
          <w:sz w:val="27"/>
          <w:rtl/>
        </w:rPr>
        <w:t xml:space="preserve"> كان معاه</w:t>
      </w:r>
      <w:r w:rsidR="00544400">
        <w:rPr>
          <w:rFonts w:ascii="Arial" w:hAnsi="Arial" w:hint="cs"/>
          <w:sz w:val="27"/>
          <w:rtl/>
        </w:rPr>
        <w:t>َ</w:t>
      </w:r>
      <w:r w:rsidRPr="00904FCB">
        <w:rPr>
          <w:rFonts w:ascii="Arial" w:hAnsi="Arial"/>
          <w:sz w:val="27"/>
          <w:rtl/>
        </w:rPr>
        <w:t>داً فإن العهد يعصم دمه فترة العهد</w:t>
      </w:r>
      <w:r w:rsidR="004A6D21" w:rsidRPr="00904FCB">
        <w:rPr>
          <w:rFonts w:ascii="Arial" w:hAnsi="Arial" w:hint="cs"/>
          <w:sz w:val="27"/>
          <w:rtl/>
        </w:rPr>
        <w:t>،</w:t>
      </w:r>
      <w:r w:rsidRPr="00904FCB">
        <w:rPr>
          <w:rFonts w:ascii="Arial" w:hAnsi="Arial"/>
          <w:sz w:val="27"/>
          <w:rtl/>
        </w:rPr>
        <w:t xml:space="preserve"> ولا تزول عصمة دمه إلا</w:t>
      </w:r>
      <w:r w:rsidR="004A6D21" w:rsidRPr="00904FCB">
        <w:rPr>
          <w:rFonts w:ascii="Arial" w:hAnsi="Arial" w:hint="cs"/>
          <w:sz w:val="27"/>
          <w:rtl/>
        </w:rPr>
        <w:t>ّ</w:t>
      </w:r>
      <w:r w:rsidRPr="00904FCB">
        <w:rPr>
          <w:rFonts w:ascii="Arial" w:hAnsi="Arial"/>
          <w:sz w:val="27"/>
          <w:rtl/>
        </w:rPr>
        <w:t xml:space="preserve"> بزوال العهد</w:t>
      </w:r>
      <w:r w:rsidR="004A6D21" w:rsidRPr="00904FCB">
        <w:rPr>
          <w:rFonts w:ascii="Arial" w:hAnsi="Arial" w:hint="cs"/>
          <w:sz w:val="27"/>
          <w:rtl/>
        </w:rPr>
        <w:t xml:space="preserve">، </w:t>
      </w:r>
      <w:r w:rsidRPr="00904FCB">
        <w:rPr>
          <w:rFonts w:ascii="Arial" w:hAnsi="Arial"/>
          <w:sz w:val="27"/>
          <w:rtl/>
        </w:rPr>
        <w:t>أو أن يقوم هو بنقض العهد</w:t>
      </w:r>
      <w:r w:rsidR="004A6D21" w:rsidRPr="00904FCB">
        <w:rPr>
          <w:rFonts w:ascii="Arial" w:hAnsi="Arial" w:hint="cs"/>
          <w:sz w:val="27"/>
          <w:rtl/>
        </w:rPr>
        <w:t>،</w:t>
      </w:r>
      <w:r w:rsidRPr="00904FCB">
        <w:rPr>
          <w:rFonts w:ascii="Arial" w:hAnsi="Arial"/>
          <w:sz w:val="27"/>
          <w:rtl/>
        </w:rPr>
        <w:t xml:space="preserve"> أو أن ينبذ إليهم عهدهم</w:t>
      </w:r>
      <w:r w:rsidR="004A6D21" w:rsidRPr="00904FCB">
        <w:rPr>
          <w:rFonts w:ascii="Arial" w:hAnsi="Arial"/>
          <w:sz w:val="27"/>
          <w:rtl/>
        </w:rPr>
        <w:t>.</w:t>
      </w:r>
    </w:p>
    <w:p w:rsidR="004A6D21" w:rsidRPr="00904FCB" w:rsidRDefault="00A45FD9" w:rsidP="007A21AA">
      <w:pPr>
        <w:tabs>
          <w:tab w:val="left" w:pos="4940"/>
        </w:tabs>
        <w:spacing w:line="400" w:lineRule="exact"/>
        <w:rPr>
          <w:rFonts w:ascii="Arial" w:hAnsi="Arial"/>
          <w:sz w:val="27"/>
          <w:rtl/>
        </w:rPr>
      </w:pPr>
      <w:r w:rsidRPr="00904FCB">
        <w:rPr>
          <w:rFonts w:ascii="Arial" w:hAnsi="Arial"/>
          <w:sz w:val="27"/>
          <w:rtl/>
        </w:rPr>
        <w:t>وقال الرسول</w:t>
      </w:r>
      <w:r w:rsidR="00635E51" w:rsidRPr="00904FCB">
        <w:rPr>
          <w:rFonts w:ascii="Arial" w:hAnsi="Arial" w:cs="Mosawi"/>
          <w:sz w:val="27"/>
          <w:szCs w:val="22"/>
          <w:rtl/>
        </w:rPr>
        <w:t>|</w:t>
      </w:r>
      <w:r w:rsidRPr="00904FCB">
        <w:rPr>
          <w:rFonts w:ascii="Arial" w:hAnsi="Arial"/>
          <w:sz w:val="27"/>
          <w:rtl/>
        </w:rPr>
        <w:t>: أمرت أن أقاتل الناس حت</w:t>
      </w:r>
      <w:r w:rsidR="004A6D21" w:rsidRPr="00904FCB">
        <w:rPr>
          <w:rFonts w:ascii="Arial" w:hAnsi="Arial" w:hint="cs"/>
          <w:sz w:val="27"/>
          <w:rtl/>
        </w:rPr>
        <w:t>ّ</w:t>
      </w:r>
      <w:r w:rsidRPr="00904FCB">
        <w:rPr>
          <w:rFonts w:ascii="Arial" w:hAnsi="Arial"/>
          <w:sz w:val="27"/>
          <w:rtl/>
        </w:rPr>
        <w:t>ى يشهدوا أن لا إله إلا</w:t>
      </w:r>
      <w:r w:rsidR="004A6D21" w:rsidRPr="00904FCB">
        <w:rPr>
          <w:rFonts w:ascii="Arial" w:hAnsi="Arial" w:hint="cs"/>
          <w:sz w:val="27"/>
          <w:rtl/>
        </w:rPr>
        <w:t>ّ</w:t>
      </w:r>
      <w:r w:rsidRPr="00904FCB">
        <w:rPr>
          <w:rFonts w:ascii="Arial" w:hAnsi="Arial"/>
          <w:sz w:val="27"/>
          <w:rtl/>
        </w:rPr>
        <w:t xml:space="preserve"> الله</w:t>
      </w:r>
      <w:r w:rsidR="004A6D21" w:rsidRPr="00904FCB">
        <w:rPr>
          <w:rFonts w:ascii="Arial" w:hAnsi="Arial" w:hint="cs"/>
          <w:sz w:val="27"/>
          <w:rtl/>
        </w:rPr>
        <w:t>،</w:t>
      </w:r>
      <w:r w:rsidRPr="00904FCB">
        <w:rPr>
          <w:rFonts w:ascii="Arial" w:hAnsi="Arial"/>
          <w:sz w:val="27"/>
          <w:rtl/>
        </w:rPr>
        <w:t xml:space="preserve"> وأن محمداً رسول الله</w:t>
      </w:r>
      <w:r w:rsidR="004A6D21" w:rsidRPr="00904FCB">
        <w:rPr>
          <w:rFonts w:ascii="Arial" w:hAnsi="Arial" w:hint="cs"/>
          <w:sz w:val="27"/>
          <w:rtl/>
        </w:rPr>
        <w:t>،</w:t>
      </w:r>
      <w:r w:rsidRPr="00904FCB">
        <w:rPr>
          <w:rFonts w:ascii="Arial" w:hAnsi="Arial"/>
          <w:sz w:val="27"/>
          <w:rtl/>
        </w:rPr>
        <w:t xml:space="preserve"> ويقيموا الصلاة</w:t>
      </w:r>
      <w:r w:rsidR="004A6D21" w:rsidRPr="00904FCB">
        <w:rPr>
          <w:rFonts w:ascii="Arial" w:hAnsi="Arial" w:hint="cs"/>
          <w:sz w:val="27"/>
          <w:rtl/>
        </w:rPr>
        <w:t>،</w:t>
      </w:r>
      <w:r w:rsidRPr="00904FCB">
        <w:rPr>
          <w:rFonts w:ascii="Arial" w:hAnsi="Arial"/>
          <w:sz w:val="27"/>
          <w:rtl/>
        </w:rPr>
        <w:t xml:space="preserve"> ويؤتوا الزكاة، فإذا فعلوا ذلك عصموا من</w:t>
      </w:r>
      <w:r w:rsidR="004A6D21" w:rsidRPr="00904FCB">
        <w:rPr>
          <w:rFonts w:ascii="Arial" w:hAnsi="Arial" w:hint="cs"/>
          <w:sz w:val="27"/>
          <w:rtl/>
        </w:rPr>
        <w:t>ّ</w:t>
      </w:r>
      <w:r w:rsidRPr="00904FCB">
        <w:rPr>
          <w:rFonts w:ascii="Arial" w:hAnsi="Arial"/>
          <w:sz w:val="27"/>
          <w:rtl/>
        </w:rPr>
        <w:t>ي دماءهم وأموالهم إلا</w:t>
      </w:r>
      <w:r w:rsidR="004A6D21" w:rsidRPr="00904FCB">
        <w:rPr>
          <w:rFonts w:ascii="Arial" w:hAnsi="Arial" w:hint="cs"/>
          <w:sz w:val="27"/>
          <w:rtl/>
        </w:rPr>
        <w:t>ّ</w:t>
      </w:r>
      <w:r w:rsidRPr="00904FCB">
        <w:rPr>
          <w:rFonts w:ascii="Arial" w:hAnsi="Arial"/>
          <w:sz w:val="27"/>
          <w:rtl/>
        </w:rPr>
        <w:t xml:space="preserve"> بحق</w:t>
      </w:r>
      <w:r w:rsidR="004A6D21" w:rsidRPr="00904FCB">
        <w:rPr>
          <w:rFonts w:ascii="Arial" w:hAnsi="Arial" w:hint="cs"/>
          <w:sz w:val="27"/>
          <w:rtl/>
        </w:rPr>
        <w:t>ّ</w:t>
      </w:r>
      <w:r w:rsidRPr="00904FCB">
        <w:rPr>
          <w:rFonts w:ascii="Arial" w:hAnsi="Arial"/>
          <w:sz w:val="27"/>
          <w:rtl/>
        </w:rPr>
        <w:t xml:space="preserve"> الإسلام</w:t>
      </w:r>
      <w:r w:rsidR="004A6D21" w:rsidRPr="00904FCB">
        <w:rPr>
          <w:rFonts w:ascii="Arial" w:hAnsi="Arial" w:hint="cs"/>
          <w:sz w:val="27"/>
          <w:rtl/>
        </w:rPr>
        <w:t>،</w:t>
      </w:r>
      <w:r w:rsidRPr="00904FCB">
        <w:rPr>
          <w:rFonts w:ascii="Arial" w:hAnsi="Arial"/>
          <w:sz w:val="27"/>
          <w:rtl/>
        </w:rPr>
        <w:t xml:space="preserve"> وحسابهم على الله</w:t>
      </w:r>
      <w:r w:rsidR="004A6D21" w:rsidRPr="00904FCB">
        <w:rPr>
          <w:sz w:val="27"/>
          <w:vertAlign w:val="superscript"/>
          <w:rtl/>
        </w:rPr>
        <w:t>(</w:t>
      </w:r>
      <w:r w:rsidR="004A6D21" w:rsidRPr="00904FCB">
        <w:rPr>
          <w:sz w:val="27"/>
          <w:vertAlign w:val="superscript"/>
          <w:rtl/>
        </w:rPr>
        <w:endnoteReference w:id="85"/>
      </w:r>
      <w:r w:rsidR="004A6D21" w:rsidRPr="00904FCB">
        <w:rPr>
          <w:sz w:val="27"/>
          <w:vertAlign w:val="superscript"/>
          <w:rtl/>
        </w:rPr>
        <w:t>)</w:t>
      </w:r>
      <w:r w:rsidR="004A6D21" w:rsidRPr="00904FCB">
        <w:rPr>
          <w:rFonts w:ascii="Arial" w:hAnsi="Arial"/>
          <w:sz w:val="27"/>
          <w:rtl/>
        </w:rPr>
        <w:t>.</w:t>
      </w:r>
    </w:p>
    <w:p w:rsidR="004A6D21" w:rsidRPr="00904FCB" w:rsidRDefault="00A45FD9" w:rsidP="007A21AA">
      <w:pPr>
        <w:tabs>
          <w:tab w:val="left" w:pos="4940"/>
        </w:tabs>
        <w:spacing w:line="400" w:lineRule="exact"/>
        <w:rPr>
          <w:rFonts w:ascii="Arial" w:hAnsi="Arial"/>
          <w:sz w:val="27"/>
          <w:rtl/>
        </w:rPr>
      </w:pPr>
      <w:r w:rsidRPr="00904FCB">
        <w:rPr>
          <w:rFonts w:ascii="Arial" w:hAnsi="Arial"/>
          <w:sz w:val="27"/>
          <w:rtl/>
        </w:rPr>
        <w:t>وقال</w:t>
      </w:r>
      <w:r w:rsidR="00635E51" w:rsidRPr="00904FCB">
        <w:rPr>
          <w:rFonts w:ascii="Arial" w:hAnsi="Arial" w:cs="Mosawi"/>
          <w:sz w:val="27"/>
          <w:szCs w:val="22"/>
          <w:rtl/>
        </w:rPr>
        <w:t>|</w:t>
      </w:r>
      <w:r w:rsidRPr="00904FCB">
        <w:rPr>
          <w:rFonts w:ascii="Arial" w:hAnsi="Arial"/>
          <w:sz w:val="27"/>
          <w:rtl/>
        </w:rPr>
        <w:t>: اغزوا باسم الله</w:t>
      </w:r>
      <w:r w:rsidR="004A6D21" w:rsidRPr="00904FCB">
        <w:rPr>
          <w:rFonts w:ascii="Arial" w:hAnsi="Arial" w:hint="cs"/>
          <w:sz w:val="27"/>
          <w:rtl/>
        </w:rPr>
        <w:t>،</w:t>
      </w:r>
      <w:r w:rsidRPr="00904FCB">
        <w:rPr>
          <w:rFonts w:ascii="Arial" w:hAnsi="Arial"/>
          <w:sz w:val="27"/>
          <w:rtl/>
        </w:rPr>
        <w:t xml:space="preserve"> في سبيل الله</w:t>
      </w:r>
      <w:r w:rsidR="004A6D21" w:rsidRPr="00904FCB">
        <w:rPr>
          <w:rFonts w:ascii="Arial" w:hAnsi="Arial" w:hint="cs"/>
          <w:sz w:val="27"/>
          <w:rtl/>
        </w:rPr>
        <w:t>،</w:t>
      </w:r>
      <w:r w:rsidRPr="00904FCB">
        <w:rPr>
          <w:rFonts w:ascii="Arial" w:hAnsi="Arial"/>
          <w:sz w:val="27"/>
          <w:rtl/>
        </w:rPr>
        <w:t xml:space="preserve"> قاتلوا م</w:t>
      </w:r>
      <w:r w:rsidR="004A6D21" w:rsidRPr="00904FCB">
        <w:rPr>
          <w:rFonts w:ascii="Arial" w:hAnsi="Arial" w:hint="cs"/>
          <w:sz w:val="27"/>
          <w:rtl/>
        </w:rPr>
        <w:t>َ</w:t>
      </w:r>
      <w:r w:rsidRPr="00904FCB">
        <w:rPr>
          <w:rFonts w:ascii="Arial" w:hAnsi="Arial"/>
          <w:sz w:val="27"/>
          <w:rtl/>
        </w:rPr>
        <w:t>ن</w:t>
      </w:r>
      <w:r w:rsidR="004A6D21" w:rsidRPr="00904FCB">
        <w:rPr>
          <w:rFonts w:ascii="Arial" w:hAnsi="Arial" w:hint="cs"/>
          <w:sz w:val="27"/>
          <w:rtl/>
        </w:rPr>
        <w:t>ْ</w:t>
      </w:r>
      <w:r w:rsidRPr="00904FCB">
        <w:rPr>
          <w:rFonts w:ascii="Arial" w:hAnsi="Arial"/>
          <w:sz w:val="27"/>
          <w:rtl/>
        </w:rPr>
        <w:t xml:space="preserve"> كفر بالله</w:t>
      </w:r>
      <w:r w:rsidR="004A6D21" w:rsidRPr="00904FCB">
        <w:rPr>
          <w:sz w:val="27"/>
          <w:vertAlign w:val="superscript"/>
          <w:rtl/>
        </w:rPr>
        <w:t>(</w:t>
      </w:r>
      <w:r w:rsidR="004A6D21" w:rsidRPr="00904FCB">
        <w:rPr>
          <w:sz w:val="27"/>
          <w:vertAlign w:val="superscript"/>
          <w:rtl/>
        </w:rPr>
        <w:endnoteReference w:id="86"/>
      </w:r>
      <w:r w:rsidR="004A6D21" w:rsidRPr="00904FCB">
        <w:rPr>
          <w:sz w:val="27"/>
          <w:vertAlign w:val="superscript"/>
          <w:rtl/>
        </w:rPr>
        <w:t>)</w:t>
      </w:r>
      <w:r w:rsidR="004A6D21" w:rsidRPr="00904FCB">
        <w:rPr>
          <w:rFonts w:ascii="Arial" w:hAnsi="Arial"/>
          <w:sz w:val="27"/>
          <w:rtl/>
        </w:rPr>
        <w:t>.</w:t>
      </w:r>
    </w:p>
    <w:p w:rsidR="00A45FD9" w:rsidRPr="00904FCB" w:rsidRDefault="00A45FD9" w:rsidP="007A21AA">
      <w:pPr>
        <w:tabs>
          <w:tab w:val="left" w:pos="4940"/>
        </w:tabs>
        <w:spacing w:line="400" w:lineRule="exact"/>
        <w:rPr>
          <w:rFonts w:ascii="Arial" w:hAnsi="Arial"/>
          <w:sz w:val="27"/>
          <w:rtl/>
          <w:lang w:bidi="fa-IR"/>
        </w:rPr>
      </w:pPr>
      <w:r w:rsidRPr="00904FCB">
        <w:rPr>
          <w:rFonts w:ascii="Arial" w:hAnsi="Arial"/>
          <w:sz w:val="27"/>
          <w:rtl/>
        </w:rPr>
        <w:t>وهذه النصوص وغيرها تبيّ</w:t>
      </w:r>
      <w:r w:rsidR="004A6D21" w:rsidRPr="00904FCB">
        <w:rPr>
          <w:rFonts w:ascii="Arial" w:hAnsi="Arial" w:hint="cs"/>
          <w:sz w:val="27"/>
          <w:rtl/>
        </w:rPr>
        <w:t>ِ</w:t>
      </w:r>
      <w:r w:rsidRPr="00904FCB">
        <w:rPr>
          <w:rFonts w:ascii="Arial" w:hAnsi="Arial"/>
          <w:sz w:val="27"/>
          <w:rtl/>
        </w:rPr>
        <w:t>ن بجلاء</w:t>
      </w:r>
      <w:r w:rsidR="004A6D21" w:rsidRPr="00904FCB">
        <w:rPr>
          <w:rFonts w:ascii="Arial" w:hAnsi="Arial" w:hint="cs"/>
          <w:sz w:val="27"/>
          <w:rtl/>
        </w:rPr>
        <w:t>ٍ</w:t>
      </w:r>
      <w:r w:rsidRPr="00904FCB">
        <w:rPr>
          <w:rFonts w:ascii="Arial" w:hAnsi="Arial"/>
          <w:sz w:val="27"/>
          <w:rtl/>
        </w:rPr>
        <w:t xml:space="preserve"> أن عل</w:t>
      </w:r>
      <w:r w:rsidR="004A6D21" w:rsidRPr="00904FCB">
        <w:rPr>
          <w:rFonts w:ascii="Arial" w:hAnsi="Arial" w:hint="cs"/>
          <w:sz w:val="27"/>
          <w:rtl/>
        </w:rPr>
        <w:t>ّ</w:t>
      </w:r>
      <w:r w:rsidRPr="00904FCB">
        <w:rPr>
          <w:rFonts w:ascii="Arial" w:hAnsi="Arial"/>
          <w:sz w:val="27"/>
          <w:rtl/>
        </w:rPr>
        <w:t>ة قتال الكفار هي كفرهم</w:t>
      </w:r>
      <w:r w:rsidR="004A6D21" w:rsidRPr="00904FCB">
        <w:rPr>
          <w:rFonts w:ascii="Arial" w:hAnsi="Arial" w:hint="cs"/>
          <w:sz w:val="27"/>
          <w:rtl/>
        </w:rPr>
        <w:t>،</w:t>
      </w:r>
      <w:r w:rsidRPr="00904FCB">
        <w:rPr>
          <w:rFonts w:ascii="Arial" w:hAnsi="Arial"/>
          <w:sz w:val="27"/>
          <w:rtl/>
        </w:rPr>
        <w:t xml:space="preserve"> فقد رتبت الآيات والأحاديث القتال على كونهم كفاراً</w:t>
      </w:r>
      <w:r w:rsidR="004A6D21" w:rsidRPr="00904FCB">
        <w:rPr>
          <w:rFonts w:ascii="Arial" w:hAnsi="Arial" w:hint="cs"/>
          <w:sz w:val="27"/>
          <w:rtl/>
        </w:rPr>
        <w:t>.</w:t>
      </w:r>
      <w:r w:rsidRPr="00904FCB">
        <w:rPr>
          <w:rFonts w:ascii="Arial" w:hAnsi="Arial"/>
          <w:sz w:val="27"/>
          <w:rtl/>
        </w:rPr>
        <w:t xml:space="preserve"> قال القرافي: ظواهر النصوص تقتضي ترتيب القتال على الكفر والشرك... وترتيب الحكم على الوصف يدل</w:t>
      </w:r>
      <w:r w:rsidR="004A6D21" w:rsidRPr="00904FCB">
        <w:rPr>
          <w:rFonts w:ascii="Arial" w:hAnsi="Arial" w:hint="cs"/>
          <w:sz w:val="27"/>
          <w:rtl/>
        </w:rPr>
        <w:t>ّ</w:t>
      </w:r>
      <w:r w:rsidRPr="00904FCB">
        <w:rPr>
          <w:rFonts w:ascii="Arial" w:hAnsi="Arial"/>
          <w:sz w:val="27"/>
          <w:rtl/>
        </w:rPr>
        <w:t xml:space="preserve"> على عِلِّيَة ذلك الوصف لذلك الحكم</w:t>
      </w:r>
      <w:r w:rsidR="004A6D21" w:rsidRPr="00904FCB">
        <w:rPr>
          <w:rFonts w:ascii="Arial" w:hAnsi="Arial" w:hint="cs"/>
          <w:sz w:val="27"/>
          <w:rtl/>
        </w:rPr>
        <w:t>،</w:t>
      </w:r>
      <w:r w:rsidRPr="00904FCB">
        <w:rPr>
          <w:rFonts w:ascii="Arial" w:hAnsi="Arial"/>
          <w:sz w:val="27"/>
          <w:rtl/>
        </w:rPr>
        <w:t xml:space="preserve"> وعدم عِلِّية غيره</w:t>
      </w:r>
      <w:r w:rsidR="00B32A16" w:rsidRPr="00904FCB">
        <w:rPr>
          <w:sz w:val="27"/>
          <w:vertAlign w:val="superscript"/>
          <w:rtl/>
        </w:rPr>
        <w:t>(</w:t>
      </w:r>
      <w:r w:rsidR="00B32A16" w:rsidRPr="00904FCB">
        <w:rPr>
          <w:sz w:val="27"/>
          <w:vertAlign w:val="superscript"/>
          <w:rtl/>
        </w:rPr>
        <w:endnoteReference w:id="87"/>
      </w:r>
      <w:r w:rsidR="00B32A16" w:rsidRPr="00904FCB">
        <w:rPr>
          <w:sz w:val="27"/>
          <w:vertAlign w:val="superscript"/>
          <w:rtl/>
        </w:rPr>
        <w:t>)</w:t>
      </w:r>
      <w:r w:rsidRPr="00904FCB">
        <w:rPr>
          <w:rFonts w:hint="eastAsia"/>
          <w:sz w:val="27"/>
          <w:rtl/>
        </w:rPr>
        <w:t>»</w:t>
      </w:r>
      <w:r w:rsidRPr="00904FCB">
        <w:rPr>
          <w:sz w:val="27"/>
          <w:vertAlign w:val="superscript"/>
          <w:rtl/>
        </w:rPr>
        <w:t>(</w:t>
      </w:r>
      <w:r w:rsidRPr="00904FCB">
        <w:rPr>
          <w:sz w:val="27"/>
          <w:vertAlign w:val="superscript"/>
          <w:rtl/>
        </w:rPr>
        <w:endnoteReference w:id="88"/>
      </w:r>
      <w:r w:rsidRPr="00904FCB">
        <w:rPr>
          <w:sz w:val="27"/>
          <w:vertAlign w:val="superscript"/>
          <w:rtl/>
        </w:rPr>
        <w:t>)</w:t>
      </w:r>
      <w:r w:rsidRPr="00904FCB">
        <w:rPr>
          <w:rFonts w:ascii="Arial" w:hAnsi="Arial"/>
          <w:sz w:val="27"/>
          <w:rtl/>
        </w:rPr>
        <w:t xml:space="preserve">. </w:t>
      </w:r>
    </w:p>
    <w:p w:rsidR="00A45FD9" w:rsidRPr="00904FCB" w:rsidRDefault="00A45FD9" w:rsidP="007A21AA">
      <w:pPr>
        <w:tabs>
          <w:tab w:val="left" w:pos="4940"/>
        </w:tabs>
        <w:spacing w:line="400" w:lineRule="exact"/>
        <w:rPr>
          <w:rFonts w:ascii="Arial" w:hAnsi="Arial"/>
          <w:sz w:val="27"/>
          <w:rtl/>
        </w:rPr>
      </w:pPr>
    </w:p>
    <w:p w:rsidR="00A45FD9" w:rsidRPr="00904FCB" w:rsidRDefault="00A45FD9" w:rsidP="007A21AA">
      <w:pPr>
        <w:pStyle w:val="31"/>
        <w:spacing w:line="400" w:lineRule="exact"/>
        <w:rPr>
          <w:color w:val="auto"/>
        </w:rPr>
      </w:pPr>
      <w:r w:rsidRPr="00904FCB">
        <w:rPr>
          <w:color w:val="auto"/>
          <w:rtl/>
        </w:rPr>
        <w:t xml:space="preserve">تعريف المصطلحات </w:t>
      </w:r>
    </w:p>
    <w:p w:rsidR="00A45FD9" w:rsidRPr="00904FCB" w:rsidRDefault="00A45FD9" w:rsidP="007A21AA">
      <w:pPr>
        <w:pStyle w:val="31"/>
        <w:spacing w:line="400" w:lineRule="exact"/>
        <w:rPr>
          <w:color w:val="auto"/>
          <w:rtl/>
          <w:lang w:bidi="ar-LB"/>
        </w:rPr>
      </w:pPr>
      <w:r w:rsidRPr="00904FCB">
        <w:rPr>
          <w:color w:val="auto"/>
          <w:rtl/>
          <w:lang w:bidi="ar-LB"/>
        </w:rPr>
        <w:t>أ</w:t>
      </w:r>
      <w:r w:rsidRPr="00904FCB">
        <w:rPr>
          <w:rFonts w:hint="cs"/>
          <w:color w:val="auto"/>
          <w:rtl/>
          <w:lang w:bidi="ar-LB"/>
        </w:rPr>
        <w:t xml:space="preserve">ـ </w:t>
      </w:r>
      <w:r w:rsidRPr="00904FCB">
        <w:rPr>
          <w:color w:val="auto"/>
          <w:rtl/>
          <w:lang w:bidi="ar-EG"/>
        </w:rPr>
        <w:t xml:space="preserve">الجهاد </w:t>
      </w:r>
    </w:p>
    <w:p w:rsidR="00A45FD9" w:rsidRPr="00904FCB" w:rsidRDefault="00A45FD9" w:rsidP="007A21AA">
      <w:pPr>
        <w:spacing w:line="400" w:lineRule="exact"/>
        <w:rPr>
          <w:rStyle w:val="arcontent"/>
          <w:rFonts w:ascii="Arial" w:hAnsi="Arial" w:cs="AL-Mohanad"/>
          <w:sz w:val="27"/>
          <w:rtl/>
        </w:rPr>
      </w:pPr>
      <w:r w:rsidRPr="00904FCB">
        <w:rPr>
          <w:sz w:val="27"/>
          <w:rtl/>
          <w:lang w:bidi="ar-EG"/>
        </w:rPr>
        <w:t>الجهاد من الجهد لغة</w:t>
      </w:r>
      <w:r w:rsidR="0081645E" w:rsidRPr="00904FCB">
        <w:rPr>
          <w:rFonts w:hint="cs"/>
          <w:sz w:val="27"/>
          <w:rtl/>
          <w:lang w:bidi="ar-EG"/>
        </w:rPr>
        <w:t>ً</w:t>
      </w:r>
      <w:r w:rsidRPr="00904FCB">
        <w:rPr>
          <w:sz w:val="27"/>
          <w:rtl/>
          <w:lang w:bidi="ar-EG"/>
        </w:rPr>
        <w:t>، و</w:t>
      </w:r>
      <w:r w:rsidR="0081645E" w:rsidRPr="00904FCB">
        <w:rPr>
          <w:rFonts w:hint="eastAsia"/>
          <w:sz w:val="27"/>
          <w:rtl/>
          <w:lang w:bidi="ar-EG"/>
        </w:rPr>
        <w:t>«</w:t>
      </w:r>
      <w:r w:rsidRPr="00904FCB">
        <w:rPr>
          <w:rStyle w:val="arcontent"/>
          <w:rFonts w:ascii="Arial" w:hAnsi="Arial" w:cs="AL-Mohanad"/>
          <w:sz w:val="27"/>
          <w:rtl/>
        </w:rPr>
        <w:t>الجَهْدُ والجُهْدُ: الطاقة، تقول: اجْهَد جَهْدَك؛ وقيل: الجَهْد المشق</w:t>
      </w:r>
      <w:r w:rsidR="0081645E" w:rsidRPr="00904FCB">
        <w:rPr>
          <w:rStyle w:val="arcontent"/>
          <w:rFonts w:ascii="Arial" w:hAnsi="Arial" w:cs="AL-Mohanad" w:hint="cs"/>
          <w:sz w:val="27"/>
          <w:rtl/>
        </w:rPr>
        <w:t>ّ</w:t>
      </w:r>
      <w:r w:rsidRPr="00904FCB">
        <w:rPr>
          <w:rStyle w:val="arcontent"/>
          <w:rFonts w:ascii="Arial" w:hAnsi="Arial" w:cs="AL-Mohanad"/>
          <w:sz w:val="27"/>
          <w:rtl/>
        </w:rPr>
        <w:t>ة</w:t>
      </w:r>
      <w:r w:rsidR="0081645E" w:rsidRPr="00904FCB">
        <w:rPr>
          <w:rStyle w:val="arcontent"/>
          <w:rFonts w:ascii="Arial" w:hAnsi="Arial" w:cs="AL-Mohanad" w:hint="cs"/>
          <w:sz w:val="27"/>
          <w:rtl/>
        </w:rPr>
        <w:t>،</w:t>
      </w:r>
      <w:r w:rsidRPr="00904FCB">
        <w:rPr>
          <w:rStyle w:val="arcontent"/>
          <w:rFonts w:ascii="Arial" w:hAnsi="Arial" w:cs="AL-Mohanad"/>
          <w:sz w:val="27"/>
          <w:rtl/>
        </w:rPr>
        <w:t xml:space="preserve"> والجُهْد الطاقة. الليث: الجَهْدُ ما جَهَد الإِنسان من مرض أو أَم</w:t>
      </w:r>
      <w:r w:rsidR="0081645E" w:rsidRPr="00904FCB">
        <w:rPr>
          <w:rStyle w:val="arcontent"/>
          <w:rFonts w:ascii="Arial" w:hAnsi="Arial" w:cs="AL-Mohanad" w:hint="cs"/>
          <w:sz w:val="27"/>
          <w:rtl/>
        </w:rPr>
        <w:t>ْ</w:t>
      </w:r>
      <w:r w:rsidRPr="00904FCB">
        <w:rPr>
          <w:rStyle w:val="arcontent"/>
          <w:rFonts w:ascii="Arial" w:hAnsi="Arial" w:cs="AL-Mohanad"/>
          <w:sz w:val="27"/>
          <w:rtl/>
        </w:rPr>
        <w:t>ر شاق، فهو مجهود؛ قال: والجُهْد لغة</w:t>
      </w:r>
      <w:r w:rsidR="0081645E" w:rsidRPr="00904FCB">
        <w:rPr>
          <w:rStyle w:val="arcontent"/>
          <w:rFonts w:ascii="Arial" w:hAnsi="Arial" w:cs="AL-Mohanad" w:hint="cs"/>
          <w:sz w:val="27"/>
          <w:rtl/>
        </w:rPr>
        <w:t>ً</w:t>
      </w:r>
      <w:r w:rsidRPr="00904FCB">
        <w:rPr>
          <w:rStyle w:val="arcontent"/>
          <w:rFonts w:ascii="Arial" w:hAnsi="Arial" w:cs="AL-Mohanad"/>
          <w:sz w:val="27"/>
          <w:rtl/>
        </w:rPr>
        <w:t xml:space="preserve"> بهذا المعنى.</w:t>
      </w:r>
      <w:r w:rsidR="0081645E" w:rsidRPr="00904FCB">
        <w:rPr>
          <w:rStyle w:val="arcontent"/>
          <w:rFonts w:ascii="Arial" w:hAnsi="Arial" w:cs="AL-Mohanad"/>
          <w:sz w:val="27"/>
          <w:rtl/>
        </w:rPr>
        <w:t>... وجاهَدَ العدوَّ مُجاهَدة وج</w:t>
      </w:r>
      <w:r w:rsidR="00B62EC4">
        <w:rPr>
          <w:rStyle w:val="arcontent"/>
          <w:rFonts w:ascii="Arial" w:hAnsi="Arial" w:cs="AL-Mohanad"/>
          <w:sz w:val="27"/>
          <w:rtl/>
        </w:rPr>
        <w:t>هاداً: قاتله وجاه</w:t>
      </w:r>
      <w:r w:rsidRPr="00904FCB">
        <w:rPr>
          <w:rStyle w:val="arcontent"/>
          <w:rFonts w:ascii="Arial" w:hAnsi="Arial" w:cs="AL-Mohanad"/>
          <w:sz w:val="27"/>
          <w:rtl/>
        </w:rPr>
        <w:t>د في سبيل الله. وفي الحديث: لا هِج</w:t>
      </w:r>
      <w:r w:rsidR="0081645E" w:rsidRPr="00904FCB">
        <w:rPr>
          <w:rStyle w:val="arcontent"/>
          <w:rFonts w:ascii="Arial" w:hAnsi="Arial" w:cs="AL-Mohanad" w:hint="cs"/>
          <w:sz w:val="27"/>
          <w:rtl/>
        </w:rPr>
        <w:t>ْ</w:t>
      </w:r>
      <w:r w:rsidRPr="00904FCB">
        <w:rPr>
          <w:rStyle w:val="arcontent"/>
          <w:rFonts w:ascii="Arial" w:hAnsi="Arial" w:cs="AL-Mohanad"/>
          <w:sz w:val="27"/>
          <w:rtl/>
        </w:rPr>
        <w:t>رة بعد الفتح ولكن</w:t>
      </w:r>
      <w:r w:rsidR="0081645E" w:rsidRPr="00904FCB">
        <w:rPr>
          <w:rStyle w:val="arcontent"/>
          <w:rFonts w:ascii="Arial" w:hAnsi="Arial" w:cs="AL-Mohanad" w:hint="cs"/>
          <w:sz w:val="27"/>
          <w:rtl/>
        </w:rPr>
        <w:t>ْ</w:t>
      </w:r>
      <w:r w:rsidR="0081645E" w:rsidRPr="00904FCB">
        <w:rPr>
          <w:rStyle w:val="arcontent"/>
          <w:rFonts w:ascii="Arial" w:hAnsi="Arial" w:cs="AL-Mohanad"/>
          <w:sz w:val="27"/>
          <w:rtl/>
        </w:rPr>
        <w:t xml:space="preserve"> جهاد ون</w:t>
      </w:r>
      <w:r w:rsidRPr="00904FCB">
        <w:rPr>
          <w:rStyle w:val="arcontent"/>
          <w:rFonts w:ascii="Arial" w:hAnsi="Arial" w:cs="AL-Mohanad"/>
          <w:sz w:val="27"/>
          <w:rtl/>
        </w:rPr>
        <w:t xml:space="preserve">يَّةٌ؛ </w:t>
      </w:r>
      <w:r w:rsidRPr="00904FCB">
        <w:rPr>
          <w:sz w:val="27"/>
          <w:rtl/>
          <w:lang w:bidi="ar-EG"/>
        </w:rPr>
        <w:t xml:space="preserve">الجهاد </w:t>
      </w:r>
      <w:r w:rsidR="00B62EC4">
        <w:rPr>
          <w:rStyle w:val="arcontent"/>
          <w:rFonts w:ascii="Arial" w:hAnsi="Arial" w:cs="AL-Mohanad"/>
          <w:sz w:val="27"/>
          <w:rtl/>
        </w:rPr>
        <w:t>محاربة الأ</w:t>
      </w:r>
      <w:r w:rsidRPr="00904FCB">
        <w:rPr>
          <w:rStyle w:val="arcontent"/>
          <w:rFonts w:ascii="Arial" w:hAnsi="Arial" w:cs="AL-Mohanad"/>
          <w:sz w:val="27"/>
          <w:rtl/>
        </w:rPr>
        <w:t>عداء، وهو المبالغة واستفراغ ما في الوسع والطاقة من قول أو فعل، وا</w:t>
      </w:r>
      <w:r w:rsidR="0081645E" w:rsidRPr="00904FCB">
        <w:rPr>
          <w:rStyle w:val="arcontent"/>
          <w:rFonts w:ascii="Arial" w:hAnsi="Arial" w:cs="AL-Mohanad"/>
          <w:sz w:val="27"/>
          <w:rtl/>
        </w:rPr>
        <w:t xml:space="preserve">لمراد بالنية إخلاص العمل لله أي </w:t>
      </w:r>
      <w:r w:rsidR="0081645E" w:rsidRPr="00904FCB">
        <w:rPr>
          <w:rStyle w:val="arcontent"/>
          <w:rFonts w:ascii="Arial" w:hAnsi="Arial" w:cs="AL-Mohanad" w:hint="cs"/>
          <w:sz w:val="27"/>
          <w:rtl/>
        </w:rPr>
        <w:t>إ</w:t>
      </w:r>
      <w:r w:rsidRPr="00904FCB">
        <w:rPr>
          <w:rStyle w:val="arcontent"/>
          <w:rFonts w:ascii="Arial" w:hAnsi="Arial" w:cs="AL-Mohanad"/>
          <w:sz w:val="27"/>
          <w:rtl/>
        </w:rPr>
        <w:t>نه لم يب</w:t>
      </w:r>
      <w:r w:rsidR="0081645E" w:rsidRPr="00904FCB">
        <w:rPr>
          <w:rStyle w:val="arcontent"/>
          <w:rFonts w:ascii="Arial" w:hAnsi="Arial" w:cs="AL-Mohanad" w:hint="cs"/>
          <w:sz w:val="27"/>
          <w:rtl/>
        </w:rPr>
        <w:t>ْ</w:t>
      </w:r>
      <w:r w:rsidRPr="00904FCB">
        <w:rPr>
          <w:rStyle w:val="arcontent"/>
          <w:rFonts w:ascii="Arial" w:hAnsi="Arial" w:cs="AL-Mohanad"/>
          <w:sz w:val="27"/>
          <w:rtl/>
        </w:rPr>
        <w:t>ق</w:t>
      </w:r>
      <w:r w:rsidR="0081645E" w:rsidRPr="00904FCB">
        <w:rPr>
          <w:rStyle w:val="arcontent"/>
          <w:rFonts w:ascii="Arial" w:hAnsi="Arial" w:cs="AL-Mohanad" w:hint="cs"/>
          <w:sz w:val="27"/>
          <w:rtl/>
        </w:rPr>
        <w:t>َ</w:t>
      </w:r>
      <w:r w:rsidR="0081645E" w:rsidRPr="00904FCB">
        <w:rPr>
          <w:rStyle w:val="arcontent"/>
          <w:rFonts w:ascii="Arial" w:hAnsi="Arial" w:cs="AL-Mohanad"/>
          <w:sz w:val="27"/>
          <w:rtl/>
        </w:rPr>
        <w:t xml:space="preserve"> بعد فتح مكة هجرة</w:t>
      </w:r>
      <w:r w:rsidR="00B62EC4">
        <w:rPr>
          <w:rStyle w:val="arcontent"/>
          <w:rFonts w:ascii="Arial" w:hAnsi="Arial" w:cs="AL-Mohanad" w:hint="cs"/>
          <w:sz w:val="27"/>
          <w:rtl/>
        </w:rPr>
        <w:t>؛</w:t>
      </w:r>
      <w:r w:rsidR="0081645E" w:rsidRPr="00904FCB">
        <w:rPr>
          <w:rStyle w:val="arcontent"/>
          <w:rFonts w:ascii="Arial" w:hAnsi="Arial" w:cs="AL-Mohanad"/>
          <w:sz w:val="27"/>
          <w:rtl/>
        </w:rPr>
        <w:t xml:space="preserve"> لأنها قد صارت دار إسلام، وإنما هو الإ</w:t>
      </w:r>
      <w:r w:rsidRPr="00904FCB">
        <w:rPr>
          <w:rStyle w:val="arcontent"/>
          <w:rFonts w:ascii="Arial" w:hAnsi="Arial" w:cs="AL-Mohanad"/>
          <w:sz w:val="27"/>
          <w:rtl/>
        </w:rPr>
        <w:t xml:space="preserve">خلاص في </w:t>
      </w:r>
      <w:r w:rsidRPr="00904FCB">
        <w:rPr>
          <w:sz w:val="27"/>
          <w:rtl/>
          <w:lang w:bidi="ar-EG"/>
        </w:rPr>
        <w:t xml:space="preserve">الجهاد </w:t>
      </w:r>
      <w:r w:rsidRPr="00904FCB">
        <w:rPr>
          <w:rStyle w:val="arcontent"/>
          <w:rFonts w:ascii="Arial" w:hAnsi="Arial" w:cs="AL-Mohanad"/>
          <w:sz w:val="27"/>
          <w:rtl/>
        </w:rPr>
        <w:t>وقتال الكف</w:t>
      </w:r>
      <w:r w:rsidR="0081645E" w:rsidRPr="00904FCB">
        <w:rPr>
          <w:rStyle w:val="arcontent"/>
          <w:rFonts w:ascii="Arial" w:hAnsi="Arial" w:cs="AL-Mohanad" w:hint="cs"/>
          <w:sz w:val="27"/>
          <w:rtl/>
        </w:rPr>
        <w:t>ّ</w:t>
      </w:r>
      <w:r w:rsidRPr="00904FCB">
        <w:rPr>
          <w:rStyle w:val="arcontent"/>
          <w:rFonts w:ascii="Arial" w:hAnsi="Arial" w:cs="AL-Mohanad"/>
          <w:sz w:val="27"/>
          <w:rtl/>
        </w:rPr>
        <w:t>ار</w:t>
      </w:r>
      <w:r w:rsidRPr="00904FCB">
        <w:rPr>
          <w:rFonts w:hint="eastAsia"/>
          <w:sz w:val="27"/>
          <w:rtl/>
        </w:rPr>
        <w:t>»</w:t>
      </w:r>
      <w:r w:rsidRPr="00904FCB">
        <w:rPr>
          <w:sz w:val="27"/>
          <w:vertAlign w:val="superscript"/>
          <w:rtl/>
        </w:rPr>
        <w:t>(</w:t>
      </w:r>
      <w:r w:rsidRPr="00904FCB">
        <w:rPr>
          <w:sz w:val="27"/>
          <w:vertAlign w:val="superscript"/>
          <w:rtl/>
        </w:rPr>
        <w:endnoteReference w:id="89"/>
      </w:r>
      <w:r w:rsidRPr="00904FCB">
        <w:rPr>
          <w:sz w:val="27"/>
          <w:vertAlign w:val="superscript"/>
          <w:rtl/>
        </w:rPr>
        <w:t>)</w:t>
      </w:r>
      <w:r w:rsidRPr="00904FCB">
        <w:rPr>
          <w:rStyle w:val="arcontent"/>
          <w:rFonts w:ascii="Arial" w:hAnsi="Arial" w:cs="AL-Mohanad"/>
          <w:sz w:val="27"/>
          <w:rtl/>
        </w:rPr>
        <w:t xml:space="preserve">. </w:t>
      </w:r>
    </w:p>
    <w:p w:rsidR="00A45FD9" w:rsidRPr="00904FCB" w:rsidRDefault="00A45FD9" w:rsidP="007A21AA">
      <w:pPr>
        <w:spacing w:line="400" w:lineRule="exact"/>
        <w:rPr>
          <w:sz w:val="27"/>
          <w:lang w:bidi="ar-EG"/>
        </w:rPr>
      </w:pPr>
      <w:r w:rsidRPr="00904FCB">
        <w:rPr>
          <w:sz w:val="27"/>
          <w:rtl/>
          <w:lang w:bidi="ar-EG"/>
        </w:rPr>
        <w:t xml:space="preserve">ويقول </w:t>
      </w:r>
      <w:r w:rsidR="0081645E" w:rsidRPr="00904FCB">
        <w:rPr>
          <w:rFonts w:hint="cs"/>
          <w:sz w:val="27"/>
          <w:rtl/>
          <w:lang w:bidi="ar-EG"/>
        </w:rPr>
        <w:t>ا</w:t>
      </w:r>
      <w:r w:rsidRPr="00904FCB">
        <w:rPr>
          <w:sz w:val="27"/>
          <w:rtl/>
          <w:lang w:bidi="ar-EG"/>
        </w:rPr>
        <w:t xml:space="preserve">بن فارس: </w:t>
      </w:r>
      <w:r w:rsidRPr="00904FCB">
        <w:rPr>
          <w:rFonts w:hint="eastAsia"/>
          <w:sz w:val="27"/>
          <w:rtl/>
          <w:lang w:bidi="ar-EG"/>
        </w:rPr>
        <w:t>«</w:t>
      </w:r>
      <w:r w:rsidRPr="00904FCB">
        <w:rPr>
          <w:sz w:val="27"/>
          <w:rtl/>
          <w:lang w:bidi="ar-EG"/>
        </w:rPr>
        <w:t>الجَهْدُ والجُهْدُ: الطاقةُ. وقرئ: والذين لا يَجِدون إلا</w:t>
      </w:r>
      <w:r w:rsidR="0081645E" w:rsidRPr="00904FCB">
        <w:rPr>
          <w:rFonts w:hint="cs"/>
          <w:sz w:val="27"/>
          <w:rtl/>
          <w:lang w:bidi="ar-EG"/>
        </w:rPr>
        <w:t>ّ</w:t>
      </w:r>
      <w:r w:rsidRPr="00904FCB">
        <w:rPr>
          <w:sz w:val="27"/>
          <w:rtl/>
          <w:lang w:bidi="ar-EG"/>
        </w:rPr>
        <w:t xml:space="preserve"> جَهْدَهُمْ وجُهْدَهُمْ. قال الفر</w:t>
      </w:r>
      <w:r w:rsidR="0081645E" w:rsidRPr="00904FCB">
        <w:rPr>
          <w:rFonts w:hint="cs"/>
          <w:sz w:val="27"/>
          <w:rtl/>
          <w:lang w:bidi="ar-EG"/>
        </w:rPr>
        <w:t>ّ</w:t>
      </w:r>
      <w:r w:rsidRPr="00904FCB">
        <w:rPr>
          <w:sz w:val="27"/>
          <w:rtl/>
          <w:lang w:bidi="ar-EG"/>
        </w:rPr>
        <w:t>اء: الجُهْدُ بالضم</w:t>
      </w:r>
      <w:r w:rsidR="0081645E" w:rsidRPr="00904FCB">
        <w:rPr>
          <w:rFonts w:hint="cs"/>
          <w:sz w:val="27"/>
          <w:rtl/>
          <w:lang w:bidi="ar-EG"/>
        </w:rPr>
        <w:t>ّ</w:t>
      </w:r>
      <w:r w:rsidRPr="00904FCB">
        <w:rPr>
          <w:sz w:val="27"/>
          <w:rtl/>
          <w:lang w:bidi="ar-EG"/>
        </w:rPr>
        <w:t xml:space="preserve"> الطاقةُ. والجَهْدُ بالفتح من قولك: اجْهَدْ جَهْدَكَ في هذا الأمر، أي ابلُغ غايتك. </w:t>
      </w:r>
    </w:p>
    <w:p w:rsidR="00A45FD9" w:rsidRPr="00904FCB" w:rsidRDefault="00A45FD9" w:rsidP="007A21AA">
      <w:pPr>
        <w:spacing w:line="400" w:lineRule="exact"/>
        <w:rPr>
          <w:rFonts w:ascii="Arial" w:hAnsi="Arial"/>
          <w:sz w:val="27"/>
          <w:rtl/>
          <w:lang w:bidi="ar-EG"/>
        </w:rPr>
      </w:pPr>
      <w:r w:rsidRPr="00904FCB">
        <w:rPr>
          <w:rFonts w:ascii="Arial" w:hAnsi="Arial"/>
          <w:sz w:val="27"/>
          <w:rtl/>
          <w:lang w:bidi="ar-EG"/>
        </w:rPr>
        <w:lastRenderedPageBreak/>
        <w:t>ولا يقال اجْهَدْ جُهْدَكَ. والجَهْدُ المشقَّةُ. يقال: جَهَدَ دابته وأَجْهَدَها إذا حمل عليها في السير فوق طاقتها. وجَهَدَ الرجل في كذا أي جَدَّ فيه وبالغ</w:t>
      </w:r>
      <w:r w:rsidRPr="00904FCB">
        <w:rPr>
          <w:rFonts w:hint="eastAsia"/>
          <w:sz w:val="27"/>
          <w:rtl/>
        </w:rPr>
        <w:t>»</w:t>
      </w:r>
      <w:r w:rsidRPr="00904FCB">
        <w:rPr>
          <w:sz w:val="27"/>
          <w:vertAlign w:val="superscript"/>
          <w:rtl/>
        </w:rPr>
        <w:t>(</w:t>
      </w:r>
      <w:r w:rsidRPr="00904FCB">
        <w:rPr>
          <w:sz w:val="27"/>
          <w:vertAlign w:val="superscript"/>
          <w:rtl/>
        </w:rPr>
        <w:endnoteReference w:id="90"/>
      </w:r>
      <w:r w:rsidRPr="00904FCB">
        <w:rPr>
          <w:sz w:val="27"/>
          <w:vertAlign w:val="superscript"/>
          <w:rtl/>
        </w:rPr>
        <w:t>)</w:t>
      </w:r>
      <w:r w:rsidRPr="00904FCB">
        <w:rPr>
          <w:rFonts w:ascii="Arial" w:hAnsi="Arial"/>
          <w:sz w:val="27"/>
          <w:rtl/>
          <w:lang w:bidi="ar-EG"/>
        </w:rPr>
        <w:t xml:space="preserve">؛ قال تعالى: </w:t>
      </w:r>
      <w:r w:rsidR="00FB484B" w:rsidRPr="00904FCB">
        <w:rPr>
          <w:rFonts w:ascii="Mosawi" w:hAnsi="Mosawi" w:cs="Mosawi"/>
          <w:sz w:val="24"/>
          <w:szCs w:val="24"/>
          <w:rtl/>
        </w:rPr>
        <w:t>﴿</w:t>
      </w:r>
      <w:r w:rsidRPr="00904FCB">
        <w:rPr>
          <w:rFonts w:ascii="Arial" w:hAnsi="Arial"/>
          <w:b/>
          <w:bCs/>
          <w:sz w:val="27"/>
          <w:rtl/>
          <w:lang w:bidi="ar-EG"/>
        </w:rPr>
        <w:fldChar w:fldCharType="begin"/>
      </w:r>
      <w:r w:rsidRPr="00904FCB">
        <w:rPr>
          <w:rFonts w:ascii="Arial" w:hAnsi="Arial"/>
          <w:b/>
          <w:bCs/>
          <w:sz w:val="27"/>
        </w:rPr>
        <w:instrText>xe "30:</w:instrText>
      </w:r>
      <w:r w:rsidRPr="00904FCB">
        <w:rPr>
          <w:rFonts w:ascii="Arial" w:hAnsi="Arial"/>
          <w:b/>
          <w:bCs/>
          <w:sz w:val="27"/>
          <w:rtl/>
        </w:rPr>
        <w:instrText>الذين يلمزون المطوعين من المؤمنين في الصدقات والذين لا يجدون</w:instrText>
      </w:r>
      <w:r w:rsidRPr="00904FCB">
        <w:rPr>
          <w:rFonts w:ascii="Arial" w:hAnsi="Arial"/>
          <w:b/>
          <w:bCs/>
          <w:sz w:val="27"/>
        </w:rPr>
        <w:instrText>" \y1 \b</w:instrText>
      </w:r>
      <w:r w:rsidRPr="00904FCB">
        <w:rPr>
          <w:rFonts w:ascii="Arial" w:hAnsi="Arial"/>
          <w:b/>
          <w:bCs/>
          <w:sz w:val="27"/>
          <w:rtl/>
          <w:lang w:bidi="ar-EG"/>
        </w:rPr>
        <w:fldChar w:fldCharType="end"/>
      </w:r>
      <w:r w:rsidRPr="00904FCB">
        <w:rPr>
          <w:rFonts w:ascii="Arial" w:hAnsi="Arial"/>
          <w:b/>
          <w:bCs/>
          <w:sz w:val="27"/>
          <w:rtl/>
        </w:rPr>
        <w:t>وَالَّذِينَ لاَ يَجِدُونَ إلا</w:t>
      </w:r>
      <w:r w:rsidRPr="00904FCB">
        <w:rPr>
          <w:rFonts w:ascii="Arial" w:hAnsi="Arial" w:hint="cs"/>
          <w:b/>
          <w:bCs/>
          <w:sz w:val="27"/>
          <w:rtl/>
        </w:rPr>
        <w:t>ّ</w:t>
      </w:r>
      <w:r w:rsidR="0081645E" w:rsidRPr="00904FCB">
        <w:rPr>
          <w:rFonts w:ascii="Arial" w:hAnsi="Arial" w:hint="cs"/>
          <w:b/>
          <w:bCs/>
          <w:sz w:val="27"/>
          <w:rtl/>
        </w:rPr>
        <w:t>َ</w:t>
      </w:r>
      <w:r w:rsidRPr="00904FCB">
        <w:rPr>
          <w:rFonts w:ascii="Arial" w:hAnsi="Arial"/>
          <w:b/>
          <w:bCs/>
          <w:sz w:val="27"/>
          <w:rtl/>
        </w:rPr>
        <w:t xml:space="preserve"> جُهْدَهُمْ</w:t>
      </w:r>
      <w:r w:rsidR="00FB484B" w:rsidRPr="00904FCB">
        <w:rPr>
          <w:rFonts w:ascii="Mosawi" w:hAnsi="Mosawi" w:cs="Mosawi"/>
          <w:sz w:val="24"/>
          <w:szCs w:val="24"/>
          <w:rtl/>
        </w:rPr>
        <w:t>﴾</w:t>
      </w:r>
      <w:r w:rsidRPr="00904FCB">
        <w:rPr>
          <w:rFonts w:ascii="Arial" w:hAnsi="Arial" w:hint="cs"/>
          <w:sz w:val="27"/>
          <w:rtl/>
        </w:rPr>
        <w:t xml:space="preserve"> (التوبة: </w:t>
      </w:r>
      <w:r w:rsidRPr="00B13398">
        <w:rPr>
          <w:rFonts w:ascii="Arial" w:hAnsi="Arial" w:hint="cs"/>
          <w:sz w:val="27"/>
          <w:rtl/>
        </w:rPr>
        <w:t>79</w:t>
      </w:r>
      <w:r w:rsidRPr="00904FCB">
        <w:rPr>
          <w:rFonts w:ascii="Arial" w:hAnsi="Arial" w:hint="cs"/>
          <w:sz w:val="27"/>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tl/>
        </w:rPr>
      </w:pPr>
      <w:r w:rsidRPr="00904FCB">
        <w:rPr>
          <w:rStyle w:val="a6"/>
          <w:rFonts w:ascii="Arial" w:hAnsi="Arial" w:cs="AL-Mohanad"/>
          <w:sz w:val="27"/>
          <w:rtl/>
        </w:rPr>
        <w:t xml:space="preserve">أما مصطلح </w:t>
      </w:r>
      <w:r w:rsidRPr="00904FCB">
        <w:rPr>
          <w:rFonts w:hint="eastAsia"/>
          <w:sz w:val="27"/>
          <w:rtl/>
        </w:rPr>
        <w:t>«</w:t>
      </w:r>
      <w:r w:rsidRPr="00904FCB">
        <w:rPr>
          <w:rStyle w:val="a6"/>
          <w:rFonts w:ascii="Arial" w:hAnsi="Arial" w:cs="AL-Mohanad"/>
          <w:sz w:val="27"/>
          <w:rtl/>
        </w:rPr>
        <w:t>الجهاد</w:t>
      </w:r>
      <w:r w:rsidRPr="00904FCB">
        <w:rPr>
          <w:rFonts w:hint="eastAsia"/>
          <w:sz w:val="27"/>
          <w:rtl/>
        </w:rPr>
        <w:t>»</w:t>
      </w:r>
      <w:r w:rsidRPr="00904FCB">
        <w:rPr>
          <w:rStyle w:val="a6"/>
          <w:rFonts w:ascii="Arial" w:hAnsi="Arial" w:cs="AL-Mohanad"/>
          <w:sz w:val="27"/>
          <w:rtl/>
        </w:rPr>
        <w:t xml:space="preserve"> فقد أحيط بملابسات</w:t>
      </w:r>
      <w:r w:rsidR="0081645E" w:rsidRPr="00904FCB">
        <w:rPr>
          <w:rStyle w:val="a6"/>
          <w:rFonts w:ascii="Arial" w:hAnsi="Arial" w:cs="AL-Mohanad" w:hint="cs"/>
          <w:sz w:val="27"/>
          <w:rtl/>
        </w:rPr>
        <w:t>ٍ</w:t>
      </w:r>
      <w:r w:rsidRPr="00904FCB">
        <w:rPr>
          <w:rStyle w:val="a6"/>
          <w:rFonts w:ascii="Arial" w:hAnsi="Arial" w:cs="AL-Mohanad"/>
          <w:sz w:val="27"/>
          <w:rtl/>
        </w:rPr>
        <w:t xml:space="preserve"> </w:t>
      </w:r>
      <w:r w:rsidRPr="00904FCB">
        <w:rPr>
          <w:rStyle w:val="a6"/>
          <w:rFonts w:ascii="Arial" w:hAnsi="Arial" w:cs="AL-Mohanad"/>
          <w:sz w:val="27"/>
          <w:rtl/>
          <w:lang w:bidi="ar-LB"/>
        </w:rPr>
        <w:t>عد</w:t>
      </w:r>
      <w:r w:rsidR="0081645E" w:rsidRPr="00904FCB">
        <w:rPr>
          <w:rStyle w:val="a6"/>
          <w:rFonts w:ascii="Arial" w:hAnsi="Arial" w:cs="AL-Mohanad" w:hint="cs"/>
          <w:sz w:val="27"/>
          <w:rtl/>
          <w:lang w:bidi="ar-LB"/>
        </w:rPr>
        <w:t>ّ</w:t>
      </w:r>
      <w:r w:rsidRPr="00904FCB">
        <w:rPr>
          <w:rStyle w:val="a6"/>
          <w:rFonts w:ascii="Arial" w:hAnsi="Arial" w:cs="AL-Mohanad"/>
          <w:sz w:val="27"/>
          <w:rtl/>
          <w:lang w:bidi="ar-LB"/>
        </w:rPr>
        <w:t>ة</w:t>
      </w:r>
      <w:r w:rsidRPr="00904FCB">
        <w:rPr>
          <w:rStyle w:val="a6"/>
          <w:rFonts w:ascii="Arial" w:hAnsi="Arial" w:cs="AL-Mohanad"/>
          <w:sz w:val="27"/>
          <w:rtl/>
        </w:rPr>
        <w:t xml:space="preserve"> نجم</w:t>
      </w:r>
      <w:r w:rsidR="0081645E" w:rsidRPr="00904FCB">
        <w:rPr>
          <w:rStyle w:val="a6"/>
          <w:rFonts w:ascii="Arial" w:hAnsi="Arial" w:cs="AL-Mohanad" w:hint="cs"/>
          <w:sz w:val="27"/>
          <w:rtl/>
        </w:rPr>
        <w:t>َ</w:t>
      </w:r>
      <w:r w:rsidRPr="00904FCB">
        <w:rPr>
          <w:rStyle w:val="a6"/>
          <w:rFonts w:ascii="Arial" w:hAnsi="Arial" w:cs="AL-Mohanad"/>
          <w:sz w:val="27"/>
          <w:rtl/>
        </w:rPr>
        <w:t>ت</w:t>
      </w:r>
      <w:r w:rsidR="0081645E" w:rsidRPr="00904FCB">
        <w:rPr>
          <w:rStyle w:val="a6"/>
          <w:rFonts w:ascii="Arial" w:hAnsi="Arial" w:cs="AL-Mohanad" w:hint="cs"/>
          <w:sz w:val="27"/>
          <w:rtl/>
        </w:rPr>
        <w:t>ْ</w:t>
      </w:r>
      <w:r w:rsidRPr="00904FCB">
        <w:rPr>
          <w:rStyle w:val="a6"/>
          <w:rFonts w:ascii="Arial" w:hAnsi="Arial" w:cs="AL-Mohanad"/>
          <w:sz w:val="27"/>
          <w:rtl/>
        </w:rPr>
        <w:t xml:space="preserve"> عن إضافات مختلفة عبر التاريخ إلى المعنى الأو</w:t>
      </w:r>
      <w:r w:rsidR="0081645E" w:rsidRPr="00904FCB">
        <w:rPr>
          <w:rStyle w:val="a6"/>
          <w:rFonts w:ascii="Arial" w:hAnsi="Arial" w:cs="AL-Mohanad" w:hint="cs"/>
          <w:sz w:val="27"/>
          <w:rtl/>
        </w:rPr>
        <w:t>ّ</w:t>
      </w:r>
      <w:r w:rsidRPr="00904FCB">
        <w:rPr>
          <w:rStyle w:val="a6"/>
          <w:rFonts w:ascii="Arial" w:hAnsi="Arial" w:cs="AL-Mohanad"/>
          <w:sz w:val="27"/>
          <w:rtl/>
        </w:rPr>
        <w:t>لي لأصل المدلول اللغوي لهذه الكلمة (الجهاد)</w:t>
      </w:r>
      <w:r w:rsidR="0081645E" w:rsidRPr="00904FCB">
        <w:rPr>
          <w:rStyle w:val="a6"/>
          <w:rFonts w:ascii="Arial" w:hAnsi="Arial" w:cs="AL-Mohanad" w:hint="cs"/>
          <w:sz w:val="27"/>
          <w:rtl/>
        </w:rPr>
        <w:t>؛</w:t>
      </w:r>
      <w:r w:rsidRPr="00904FCB">
        <w:rPr>
          <w:rStyle w:val="a6"/>
          <w:rFonts w:ascii="Arial" w:hAnsi="Arial" w:cs="AL-Mohanad"/>
          <w:sz w:val="27"/>
          <w:rtl/>
        </w:rPr>
        <w:t xml:space="preserve"> إذ كان في استعمالاته الأولى يشير إلى: </w:t>
      </w:r>
      <w:r w:rsidRPr="00904FCB">
        <w:rPr>
          <w:rFonts w:ascii="Arial" w:hAnsi="Arial"/>
          <w:sz w:val="27"/>
          <w:rtl/>
        </w:rPr>
        <w:t>الأرض المستوية أنبتت أو لم تنبت، والصحراء، والأرض الصلبة</w:t>
      </w:r>
      <w:r w:rsidRPr="00904FCB">
        <w:rPr>
          <w:rStyle w:val="a6"/>
          <w:rFonts w:ascii="Arial" w:hAnsi="Arial" w:cs="AL-Mohanad"/>
          <w:sz w:val="27"/>
          <w:rtl/>
        </w:rPr>
        <w:t>... وإلى بذل الجهد للوصول إلى هدف</w:t>
      </w:r>
      <w:r w:rsidR="0081645E" w:rsidRPr="00904FCB">
        <w:rPr>
          <w:rStyle w:val="a6"/>
          <w:rFonts w:ascii="Arial" w:hAnsi="Arial" w:cs="AL-Mohanad" w:hint="cs"/>
          <w:sz w:val="27"/>
          <w:rtl/>
        </w:rPr>
        <w:t>ٍ</w:t>
      </w:r>
      <w:r w:rsidRPr="00904FCB">
        <w:rPr>
          <w:rStyle w:val="a6"/>
          <w:rFonts w:ascii="Arial" w:hAnsi="Arial" w:cs="AL-Mohanad"/>
          <w:sz w:val="27"/>
          <w:rtl/>
        </w:rPr>
        <w:t xml:space="preserve"> ما... فبات مصطلحاً يشير إلى رزمة من الأعمال التي تتطل</w:t>
      </w:r>
      <w:r w:rsidR="0081645E" w:rsidRPr="00904FCB">
        <w:rPr>
          <w:rStyle w:val="a6"/>
          <w:rFonts w:ascii="Arial" w:hAnsi="Arial" w:cs="AL-Mohanad" w:hint="cs"/>
          <w:sz w:val="27"/>
          <w:rtl/>
        </w:rPr>
        <w:t>َّ</w:t>
      </w:r>
      <w:r w:rsidRPr="00904FCB">
        <w:rPr>
          <w:rStyle w:val="a6"/>
          <w:rFonts w:ascii="Arial" w:hAnsi="Arial" w:cs="AL-Mohanad"/>
          <w:sz w:val="27"/>
          <w:rtl/>
        </w:rPr>
        <w:t>ب الك</w:t>
      </w:r>
      <w:r w:rsidR="0081645E" w:rsidRPr="00904FCB">
        <w:rPr>
          <w:rStyle w:val="a6"/>
          <w:rFonts w:ascii="Arial" w:hAnsi="Arial" w:cs="AL-Mohanad" w:hint="cs"/>
          <w:sz w:val="27"/>
          <w:rtl/>
        </w:rPr>
        <w:t>ّ</w:t>
      </w:r>
      <w:r w:rsidRPr="00904FCB">
        <w:rPr>
          <w:rStyle w:val="a6"/>
          <w:rFonts w:ascii="Arial" w:hAnsi="Arial" w:cs="AL-Mohanad"/>
          <w:sz w:val="27"/>
          <w:rtl/>
        </w:rPr>
        <w:t>د</w:t>
      </w:r>
      <w:r w:rsidR="0081645E" w:rsidRPr="00904FCB">
        <w:rPr>
          <w:rStyle w:val="a6"/>
          <w:rFonts w:ascii="Arial" w:hAnsi="Arial" w:cs="AL-Mohanad" w:hint="cs"/>
          <w:sz w:val="27"/>
          <w:rtl/>
        </w:rPr>
        <w:t>َ</w:t>
      </w:r>
      <w:r w:rsidRPr="00904FCB">
        <w:rPr>
          <w:rStyle w:val="a6"/>
          <w:rFonts w:ascii="Arial" w:hAnsi="Arial" w:cs="AL-Mohanad"/>
          <w:sz w:val="27"/>
          <w:rtl/>
        </w:rPr>
        <w:t xml:space="preserve"> والتعب، تشمل الجهاد بالمال والنفس. قال تعالى:</w:t>
      </w:r>
      <w:r w:rsidRPr="00904FCB">
        <w:rPr>
          <w:rStyle w:val="a6"/>
          <w:rFonts w:ascii="Arial" w:hAnsi="Arial"/>
          <w:b w:val="0"/>
          <w:bCs/>
          <w:sz w:val="27"/>
          <w:rtl/>
        </w:rPr>
        <w:t xml:space="preserve"> </w:t>
      </w:r>
      <w:r w:rsidRPr="00904FCB">
        <w:rPr>
          <w:rFonts w:ascii="Mosawi" w:hAnsi="Mosawi" w:cs="Mosawi"/>
          <w:sz w:val="24"/>
          <w:szCs w:val="24"/>
          <w:rtl/>
        </w:rPr>
        <w:t>﴿</w:t>
      </w:r>
      <w:r w:rsidRPr="00904FCB">
        <w:rPr>
          <w:rFonts w:ascii="Arial" w:hAnsi="Arial"/>
          <w:b/>
          <w:bCs/>
          <w:sz w:val="27"/>
          <w:rtl/>
        </w:rPr>
        <w:t>إِنَّ</w:t>
      </w:r>
      <w:r w:rsidR="0081645E" w:rsidRPr="00904FCB">
        <w:rPr>
          <w:rFonts w:ascii="Arial" w:hAnsi="Arial"/>
          <w:b/>
          <w:bCs/>
          <w:sz w:val="27"/>
          <w:rtl/>
        </w:rPr>
        <w:t xml:space="preserve"> الَّذِينَ آمَنُواْ وَهَاجَرُوا وَجَاهَدُوا</w:t>
      </w:r>
      <w:r w:rsidRPr="00904FCB">
        <w:rPr>
          <w:rFonts w:ascii="Arial" w:hAnsi="Arial"/>
          <w:b/>
          <w:bCs/>
          <w:sz w:val="27"/>
          <w:rtl/>
        </w:rPr>
        <w:t xml:space="preserve"> بِأَمْوَالِهِمْ وَأَنفُسِهِمْ فِي سَبِيلِ </w:t>
      </w:r>
      <w:r w:rsidR="0081645E" w:rsidRPr="00904FCB">
        <w:rPr>
          <w:rFonts w:ascii="Arial" w:hAnsi="Arial"/>
          <w:b/>
          <w:bCs/>
          <w:sz w:val="27"/>
          <w:rtl/>
        </w:rPr>
        <w:t>ال</w:t>
      </w:r>
      <w:r w:rsidR="0081645E" w:rsidRPr="00904FCB">
        <w:rPr>
          <w:rFonts w:ascii="Arial" w:hAnsi="Arial" w:hint="cs"/>
          <w:b/>
          <w:bCs/>
          <w:sz w:val="27"/>
          <w:rtl/>
        </w:rPr>
        <w:t>ل</w:t>
      </w:r>
      <w:r w:rsidR="0081645E" w:rsidRPr="00904FCB">
        <w:rPr>
          <w:rFonts w:ascii="Arial" w:hAnsi="Arial"/>
          <w:b/>
          <w:bCs/>
          <w:sz w:val="27"/>
          <w:rtl/>
        </w:rPr>
        <w:t>هِ وَالَّذِينَ آوَو</w:t>
      </w:r>
      <w:r w:rsidR="00B62EC4">
        <w:rPr>
          <w:rFonts w:ascii="Arial" w:hAnsi="Arial" w:hint="cs"/>
          <w:b/>
          <w:bCs/>
          <w:sz w:val="27"/>
          <w:rtl/>
        </w:rPr>
        <w:t>ْ</w:t>
      </w:r>
      <w:r w:rsidR="00B62EC4">
        <w:rPr>
          <w:rFonts w:ascii="Arial" w:hAnsi="Arial"/>
          <w:b/>
          <w:bCs/>
          <w:sz w:val="27"/>
          <w:rtl/>
        </w:rPr>
        <w:t>ا و</w:t>
      </w:r>
      <w:r w:rsidR="00B62EC4">
        <w:rPr>
          <w:rFonts w:ascii="Arial" w:hAnsi="Arial" w:hint="cs"/>
          <w:b/>
          <w:bCs/>
          <w:sz w:val="27"/>
          <w:rtl/>
        </w:rPr>
        <w:t>َ</w:t>
      </w:r>
      <w:r w:rsidR="0081645E" w:rsidRPr="00904FCB">
        <w:rPr>
          <w:rFonts w:ascii="Arial" w:hAnsi="Arial"/>
          <w:b/>
          <w:bCs/>
          <w:sz w:val="27"/>
          <w:rtl/>
        </w:rPr>
        <w:t>نَصَرُوا</w:t>
      </w:r>
      <w:r w:rsidRPr="00904FCB">
        <w:rPr>
          <w:rFonts w:ascii="Arial" w:hAnsi="Arial"/>
          <w:b/>
          <w:bCs/>
          <w:sz w:val="27"/>
          <w:rtl/>
        </w:rPr>
        <w:t xml:space="preserve"> أُوْلَئِكَ بَعْضُهُمْ أَوْلِيَاء بَعْضٍ</w:t>
      </w:r>
      <w:r w:rsidRPr="00904FCB">
        <w:rPr>
          <w:rFonts w:ascii="Mosawi" w:hAnsi="Mosawi" w:cs="Mosawi"/>
          <w:sz w:val="24"/>
          <w:szCs w:val="24"/>
          <w:rtl/>
        </w:rPr>
        <w:t>﴾</w:t>
      </w:r>
      <w:r w:rsidRPr="00904FCB">
        <w:rPr>
          <w:rFonts w:ascii="Arial" w:hAnsi="Arial" w:hint="cs"/>
          <w:sz w:val="27"/>
          <w:rtl/>
        </w:rPr>
        <w:t xml:space="preserve"> (الأنفال: </w:t>
      </w:r>
      <w:r w:rsidRPr="00B13398">
        <w:rPr>
          <w:rFonts w:ascii="Arial" w:hAnsi="Arial" w:hint="cs"/>
          <w:sz w:val="27"/>
          <w:rtl/>
        </w:rPr>
        <w:t>72</w:t>
      </w:r>
      <w:r w:rsidRPr="00904FCB">
        <w:rPr>
          <w:rStyle w:val="a6"/>
          <w:rFonts w:ascii="Arial" w:hAnsi="Arial" w:cs="AL-Mohanad" w:hint="cs"/>
          <w:sz w:val="27"/>
          <w:rtl/>
        </w:rPr>
        <w:t>)</w:t>
      </w:r>
      <w:r w:rsidR="0081645E" w:rsidRPr="00904FCB">
        <w:rPr>
          <w:rStyle w:val="a6"/>
          <w:rFonts w:ascii="Arial" w:hAnsi="Arial" w:cs="AL-Mohanad" w:hint="cs"/>
          <w:sz w:val="27"/>
          <w:rtl/>
        </w:rPr>
        <w:t>،</w:t>
      </w:r>
      <w:r w:rsidRPr="00904FCB">
        <w:rPr>
          <w:rStyle w:val="a6"/>
          <w:rFonts w:ascii="Arial" w:hAnsi="Arial" w:cs="AL-Mohanad"/>
          <w:sz w:val="27"/>
          <w:rtl/>
        </w:rPr>
        <w:t xml:space="preserve"> ويقول عز</w:t>
      </w:r>
      <w:r w:rsidR="00FB484B" w:rsidRPr="00904FCB">
        <w:rPr>
          <w:rStyle w:val="a6"/>
          <w:rFonts w:ascii="Arial" w:hAnsi="Arial" w:cs="AL-Mohanad" w:hint="cs"/>
          <w:sz w:val="27"/>
          <w:rtl/>
        </w:rPr>
        <w:t>َّ</w:t>
      </w:r>
      <w:r w:rsidRPr="00904FCB">
        <w:rPr>
          <w:rStyle w:val="a6"/>
          <w:rFonts w:ascii="Arial" w:hAnsi="Arial" w:cs="AL-Mohanad"/>
          <w:sz w:val="27"/>
          <w:rtl/>
        </w:rPr>
        <w:t xml:space="preserve"> وجل</w:t>
      </w:r>
      <w:r w:rsidR="00FB484B" w:rsidRPr="00904FCB">
        <w:rPr>
          <w:rStyle w:val="a6"/>
          <w:rFonts w:ascii="Arial" w:hAnsi="Arial" w:cs="AL-Mohanad" w:hint="cs"/>
          <w:sz w:val="27"/>
          <w:rtl/>
        </w:rPr>
        <w:t>َّ</w:t>
      </w:r>
      <w:r w:rsidRPr="00904FCB">
        <w:rPr>
          <w:rStyle w:val="a6"/>
          <w:rFonts w:ascii="Arial" w:hAnsi="Arial" w:cs="AL-Mohanad"/>
          <w:sz w:val="27"/>
          <w:rtl/>
        </w:rPr>
        <w:t xml:space="preserve"> أيضاً:</w:t>
      </w:r>
      <w:r w:rsidRPr="00904FCB">
        <w:rPr>
          <w:rStyle w:val="a6"/>
          <w:rFonts w:ascii="Arial" w:hAnsi="Arial"/>
          <w:b w:val="0"/>
          <w:bCs/>
          <w:sz w:val="27"/>
          <w:rtl/>
        </w:rPr>
        <w:t xml:space="preserve"> </w:t>
      </w:r>
      <w:r w:rsidRPr="00904FCB">
        <w:rPr>
          <w:rFonts w:ascii="Mosawi" w:hAnsi="Mosawi" w:cs="Mosawi"/>
          <w:sz w:val="24"/>
          <w:szCs w:val="24"/>
          <w:rtl/>
        </w:rPr>
        <w:t>﴿</w:t>
      </w:r>
      <w:r w:rsidR="0081645E" w:rsidRPr="00904FCB">
        <w:rPr>
          <w:rFonts w:ascii="Arial" w:hAnsi="Arial"/>
          <w:b/>
          <w:bCs/>
          <w:sz w:val="27"/>
          <w:rtl/>
        </w:rPr>
        <w:t>الَّذِينَ آمَنُوا وَهَاجَرُوا وَجَاهَدُوا فِي سَبِيلِ الل</w:t>
      </w:r>
      <w:r w:rsidRPr="00904FCB">
        <w:rPr>
          <w:rFonts w:ascii="Arial" w:hAnsi="Arial"/>
          <w:b/>
          <w:bCs/>
          <w:sz w:val="27"/>
          <w:rtl/>
        </w:rPr>
        <w:t>هِ بِأَمْوَالِهِمْ وَأَنفُسِه</w:t>
      </w:r>
      <w:r w:rsidR="0081645E" w:rsidRPr="00904FCB">
        <w:rPr>
          <w:rFonts w:ascii="Arial" w:hAnsi="Arial"/>
          <w:b/>
          <w:bCs/>
          <w:sz w:val="27"/>
          <w:rtl/>
        </w:rPr>
        <w:t>ِمْ أَعْظَمُ دَرَجَةً عِندَ الل</w:t>
      </w:r>
      <w:r w:rsidRPr="00904FCB">
        <w:rPr>
          <w:rFonts w:ascii="Arial" w:hAnsi="Arial"/>
          <w:b/>
          <w:bCs/>
          <w:sz w:val="27"/>
          <w:rtl/>
        </w:rPr>
        <w:t>هِ وَأُوْلَئِكَ هُمُ الْفَائِزُونَ</w:t>
      </w:r>
      <w:r w:rsidRPr="00904FCB">
        <w:rPr>
          <w:rFonts w:ascii="Mosawi" w:hAnsi="Mosawi" w:cs="Mosawi"/>
          <w:sz w:val="24"/>
          <w:szCs w:val="24"/>
          <w:rtl/>
        </w:rPr>
        <w:t>﴾</w:t>
      </w:r>
      <w:r w:rsidRPr="00904FCB">
        <w:rPr>
          <w:rFonts w:ascii="Arial" w:hAnsi="Arial" w:hint="cs"/>
          <w:sz w:val="27"/>
          <w:rtl/>
        </w:rPr>
        <w:t xml:space="preserve"> (التوبة: </w:t>
      </w:r>
      <w:r w:rsidRPr="00B13398">
        <w:rPr>
          <w:rFonts w:ascii="Arial" w:hAnsi="Arial" w:hint="cs"/>
          <w:sz w:val="27"/>
          <w:rtl/>
        </w:rPr>
        <w:t>20</w:t>
      </w:r>
      <w:r w:rsidRPr="00904FCB">
        <w:rPr>
          <w:rFonts w:ascii="Arial" w:hAnsi="Arial" w:hint="cs"/>
          <w:sz w:val="27"/>
          <w:rtl/>
        </w:rPr>
        <w:t>)</w:t>
      </w:r>
      <w:r w:rsidRPr="00904FCB">
        <w:rPr>
          <w:rFonts w:ascii="Arial" w:hAnsi="Arial"/>
          <w:sz w:val="27"/>
          <w:rtl/>
        </w:rPr>
        <w:t xml:space="preserve">. </w:t>
      </w:r>
    </w:p>
    <w:p w:rsidR="00A45FD9" w:rsidRPr="00904FCB" w:rsidRDefault="0081645E" w:rsidP="007A21AA">
      <w:pPr>
        <w:spacing w:line="400" w:lineRule="exact"/>
        <w:rPr>
          <w:rStyle w:val="a6"/>
          <w:rFonts w:ascii="Arial" w:hAnsi="Arial" w:cs="AL-Mohanad"/>
          <w:sz w:val="27"/>
          <w:rtl/>
          <w:lang w:bidi="fa-IR"/>
        </w:rPr>
      </w:pPr>
      <w:r w:rsidRPr="00904FCB">
        <w:rPr>
          <w:rStyle w:val="a6"/>
          <w:rFonts w:ascii="Arial" w:hAnsi="Arial" w:cs="AL-Mohanad" w:hint="cs"/>
          <w:sz w:val="27"/>
          <w:rtl/>
        </w:rPr>
        <w:t>ويتّضح</w:t>
      </w:r>
      <w:r w:rsidR="00A45FD9" w:rsidRPr="00904FCB">
        <w:rPr>
          <w:rStyle w:val="a6"/>
          <w:rFonts w:ascii="Arial" w:hAnsi="Arial" w:cs="AL-Mohanad"/>
          <w:sz w:val="27"/>
          <w:rtl/>
        </w:rPr>
        <w:t xml:space="preserve"> من الآيتين أن الدعوة إلى الإسلام كانت تتضم</w:t>
      </w:r>
      <w:r w:rsidRPr="00904FCB">
        <w:rPr>
          <w:rStyle w:val="a6"/>
          <w:rFonts w:ascii="Arial" w:hAnsi="Arial" w:cs="AL-Mohanad" w:hint="cs"/>
          <w:sz w:val="27"/>
          <w:rtl/>
        </w:rPr>
        <w:t>َّ</w:t>
      </w:r>
      <w:r w:rsidR="00A45FD9" w:rsidRPr="00904FCB">
        <w:rPr>
          <w:rStyle w:val="a6"/>
          <w:rFonts w:ascii="Arial" w:hAnsi="Arial" w:cs="AL-Mohanad"/>
          <w:sz w:val="27"/>
          <w:rtl/>
        </w:rPr>
        <w:t>ن الدعوة إلى بذل للجهد في سبيل الله</w:t>
      </w:r>
      <w:r w:rsidRPr="00904FCB">
        <w:rPr>
          <w:rStyle w:val="a6"/>
          <w:rFonts w:ascii="Arial" w:hAnsi="Arial" w:cs="AL-Mohanad" w:hint="cs"/>
          <w:sz w:val="27"/>
          <w:rtl/>
        </w:rPr>
        <w:t>؛</w:t>
      </w:r>
      <w:r w:rsidR="00A45FD9" w:rsidRPr="00904FCB">
        <w:rPr>
          <w:rStyle w:val="a6"/>
          <w:rFonts w:ascii="Arial" w:hAnsi="Arial" w:cs="AL-Mohanad"/>
          <w:sz w:val="27"/>
          <w:rtl/>
        </w:rPr>
        <w:t xml:space="preserve"> للوصول إلى رضوانه عز</w:t>
      </w:r>
      <w:r w:rsidRPr="00904FCB">
        <w:rPr>
          <w:rStyle w:val="a6"/>
          <w:rFonts w:ascii="Arial" w:hAnsi="Arial" w:cs="AL-Mohanad" w:hint="cs"/>
          <w:sz w:val="27"/>
          <w:rtl/>
        </w:rPr>
        <w:t>َّ</w:t>
      </w:r>
      <w:r w:rsidR="00A45FD9" w:rsidRPr="00904FCB">
        <w:rPr>
          <w:rStyle w:val="a6"/>
          <w:rFonts w:ascii="Arial" w:hAnsi="Arial" w:cs="AL-Mohanad"/>
          <w:sz w:val="27"/>
          <w:rtl/>
        </w:rPr>
        <w:t xml:space="preserve"> وجل</w:t>
      </w:r>
      <w:r w:rsidRPr="00904FCB">
        <w:rPr>
          <w:rStyle w:val="a6"/>
          <w:rFonts w:ascii="Arial" w:hAnsi="Arial" w:cs="AL-Mohanad" w:hint="cs"/>
          <w:sz w:val="27"/>
          <w:rtl/>
        </w:rPr>
        <w:t>َّ</w:t>
      </w:r>
      <w:r w:rsidR="00A45FD9" w:rsidRPr="00904FCB">
        <w:rPr>
          <w:rStyle w:val="a6"/>
          <w:rFonts w:ascii="Arial" w:hAnsi="Arial" w:cs="AL-Mohanad"/>
          <w:sz w:val="27"/>
          <w:rtl/>
        </w:rPr>
        <w:t>، ولم يتم</w:t>
      </w:r>
      <w:r w:rsidR="00B62EC4">
        <w:rPr>
          <w:rStyle w:val="a6"/>
          <w:rFonts w:ascii="Arial" w:hAnsi="Arial" w:cs="AL-Mohanad" w:hint="cs"/>
          <w:sz w:val="27"/>
          <w:rtl/>
        </w:rPr>
        <w:t>َّ</w:t>
      </w:r>
      <w:r w:rsidR="00A45FD9" w:rsidRPr="00904FCB">
        <w:rPr>
          <w:rStyle w:val="a6"/>
          <w:rFonts w:ascii="Arial" w:hAnsi="Arial" w:cs="AL-Mohanad"/>
          <w:sz w:val="27"/>
          <w:rtl/>
        </w:rPr>
        <w:t xml:space="preserve"> حصر المعنى بالحرب</w:t>
      </w:r>
      <w:r w:rsidRPr="00904FCB">
        <w:rPr>
          <w:rStyle w:val="a6"/>
          <w:rFonts w:ascii="Arial" w:hAnsi="Arial" w:cs="AL-Mohanad" w:hint="cs"/>
          <w:sz w:val="27"/>
          <w:rtl/>
        </w:rPr>
        <w:t>؛</w:t>
      </w:r>
      <w:r w:rsidR="00A45FD9" w:rsidRPr="00904FCB">
        <w:rPr>
          <w:rStyle w:val="a6"/>
          <w:rFonts w:ascii="Arial" w:hAnsi="Arial" w:cs="AL-Mohanad"/>
          <w:sz w:val="27"/>
          <w:rtl/>
        </w:rPr>
        <w:t xml:space="preserve"> إذ قدّمت المساهمة المالية في سبيل إحداث التغيير الاجتماعي المطلوب على الجهاد بالنفس. </w:t>
      </w:r>
    </w:p>
    <w:p w:rsidR="00A45FD9" w:rsidRPr="00904FCB" w:rsidRDefault="00A45FD9" w:rsidP="007A21AA">
      <w:pPr>
        <w:spacing w:line="400" w:lineRule="exact"/>
        <w:rPr>
          <w:rStyle w:val="a6"/>
          <w:rFonts w:ascii="Arial" w:hAnsi="Arial"/>
          <w:b w:val="0"/>
          <w:bCs/>
          <w:sz w:val="27"/>
          <w:rtl/>
          <w:lang w:bidi="fa-IR"/>
        </w:rPr>
      </w:pPr>
    </w:p>
    <w:p w:rsidR="00A45FD9" w:rsidRPr="00904FCB" w:rsidRDefault="00A45FD9" w:rsidP="007A21AA">
      <w:pPr>
        <w:pStyle w:val="31"/>
        <w:spacing w:line="400" w:lineRule="exact"/>
        <w:rPr>
          <w:color w:val="auto"/>
        </w:rPr>
      </w:pPr>
      <w:r w:rsidRPr="00904FCB">
        <w:rPr>
          <w:rFonts w:hint="cs"/>
          <w:color w:val="auto"/>
          <w:rtl/>
        </w:rPr>
        <w:t xml:space="preserve">ب ـ </w:t>
      </w:r>
      <w:r w:rsidRPr="00904FCB">
        <w:rPr>
          <w:color w:val="auto"/>
          <w:rtl/>
        </w:rPr>
        <w:t>مفهوم الس</w:t>
      </w:r>
      <w:r w:rsidR="00841968" w:rsidRPr="00904FCB">
        <w:rPr>
          <w:rFonts w:hint="cs"/>
          <w:color w:val="auto"/>
          <w:rtl/>
        </w:rPr>
        <w:t>َّ</w:t>
      </w:r>
      <w:r w:rsidRPr="00904FCB">
        <w:rPr>
          <w:color w:val="auto"/>
          <w:rtl/>
        </w:rPr>
        <w:t>ل</w:t>
      </w:r>
      <w:r w:rsidR="00841968" w:rsidRPr="00904FCB">
        <w:rPr>
          <w:rFonts w:hint="cs"/>
          <w:color w:val="auto"/>
          <w:rtl/>
        </w:rPr>
        <w:t>َ</w:t>
      </w:r>
      <w:r w:rsidRPr="00904FCB">
        <w:rPr>
          <w:color w:val="auto"/>
          <w:rtl/>
        </w:rPr>
        <w:t>فية</w:t>
      </w:r>
    </w:p>
    <w:p w:rsidR="00A45FD9" w:rsidRPr="00904FCB" w:rsidRDefault="00A45FD9" w:rsidP="007A21AA">
      <w:pPr>
        <w:spacing w:line="400" w:lineRule="exact"/>
        <w:rPr>
          <w:rFonts w:ascii="Arial" w:hAnsi="Arial"/>
          <w:sz w:val="27"/>
        </w:rPr>
      </w:pPr>
      <w:r w:rsidRPr="00904FCB">
        <w:rPr>
          <w:rFonts w:ascii="Arial" w:hAnsi="Arial"/>
          <w:sz w:val="27"/>
          <w:rtl/>
        </w:rPr>
        <w:t>إن مفهوم السلفية ي</w:t>
      </w:r>
      <w:r w:rsidR="0081645E" w:rsidRPr="00904FCB">
        <w:rPr>
          <w:rFonts w:ascii="Arial" w:hAnsi="Arial" w:hint="cs"/>
          <w:sz w:val="27"/>
          <w:rtl/>
        </w:rPr>
        <w:t>ُ</w:t>
      </w:r>
      <w:r w:rsidRPr="00904FCB">
        <w:rPr>
          <w:rFonts w:ascii="Arial" w:hAnsi="Arial"/>
          <w:sz w:val="27"/>
          <w:rtl/>
        </w:rPr>
        <w:t>ع</w:t>
      </w:r>
      <w:r w:rsidR="0081645E" w:rsidRPr="00904FCB">
        <w:rPr>
          <w:rFonts w:ascii="Arial" w:hAnsi="Arial" w:hint="cs"/>
          <w:sz w:val="27"/>
          <w:rtl/>
        </w:rPr>
        <w:t>َ</w:t>
      </w:r>
      <w:r w:rsidRPr="00904FCB">
        <w:rPr>
          <w:rFonts w:ascii="Arial" w:hAnsi="Arial"/>
          <w:sz w:val="27"/>
          <w:rtl/>
        </w:rPr>
        <w:t>د</w:t>
      </w:r>
      <w:r w:rsidR="0081645E" w:rsidRPr="00904FCB">
        <w:rPr>
          <w:rFonts w:ascii="Arial" w:hAnsi="Arial" w:hint="cs"/>
          <w:sz w:val="27"/>
          <w:rtl/>
        </w:rPr>
        <w:t>ّ</w:t>
      </w:r>
      <w:r w:rsidRPr="00904FCB">
        <w:rPr>
          <w:rFonts w:ascii="Arial" w:hAnsi="Arial"/>
          <w:sz w:val="27"/>
          <w:rtl/>
        </w:rPr>
        <w:t xml:space="preserve"> من المفاهيم التي تحتاج إلى دراسات</w:t>
      </w:r>
      <w:r w:rsidR="0081645E" w:rsidRPr="00904FCB">
        <w:rPr>
          <w:rFonts w:ascii="Arial" w:hAnsi="Arial" w:hint="cs"/>
          <w:sz w:val="27"/>
          <w:rtl/>
        </w:rPr>
        <w:t>ٍ</w:t>
      </w:r>
      <w:r w:rsidRPr="00904FCB">
        <w:rPr>
          <w:rFonts w:ascii="Arial" w:hAnsi="Arial"/>
          <w:sz w:val="27"/>
          <w:rtl/>
        </w:rPr>
        <w:t xml:space="preserve"> كافية لتحديد جذوره التاريخية، والمجالات المتعد</w:t>
      </w:r>
      <w:r w:rsidR="0081645E" w:rsidRPr="00904FCB">
        <w:rPr>
          <w:rFonts w:ascii="Arial" w:hAnsi="Arial" w:hint="cs"/>
          <w:sz w:val="27"/>
          <w:rtl/>
        </w:rPr>
        <w:t>ِّ</w:t>
      </w:r>
      <w:r w:rsidRPr="00904FCB">
        <w:rPr>
          <w:rFonts w:ascii="Arial" w:hAnsi="Arial"/>
          <w:sz w:val="27"/>
          <w:rtl/>
        </w:rPr>
        <w:t>دة التي تم</w:t>
      </w:r>
      <w:r w:rsidR="0081645E" w:rsidRPr="00904FCB">
        <w:rPr>
          <w:rFonts w:ascii="Arial" w:hAnsi="Arial" w:hint="cs"/>
          <w:sz w:val="27"/>
          <w:rtl/>
        </w:rPr>
        <w:t>ّ</w:t>
      </w:r>
      <w:r w:rsidRPr="00904FCB">
        <w:rPr>
          <w:rFonts w:ascii="Arial" w:hAnsi="Arial"/>
          <w:sz w:val="27"/>
          <w:rtl/>
        </w:rPr>
        <w:t xml:space="preserve"> استخدامه فيها، وكيفية تطو</w:t>
      </w:r>
      <w:r w:rsidR="0081645E" w:rsidRPr="00904FCB">
        <w:rPr>
          <w:rFonts w:ascii="Arial" w:hAnsi="Arial" w:hint="cs"/>
          <w:sz w:val="27"/>
          <w:rtl/>
        </w:rPr>
        <w:t>ّ</w:t>
      </w:r>
      <w:r w:rsidRPr="00904FCB">
        <w:rPr>
          <w:rFonts w:ascii="Arial" w:hAnsi="Arial"/>
          <w:sz w:val="27"/>
          <w:rtl/>
        </w:rPr>
        <w:t>ر مض</w:t>
      </w:r>
      <w:r w:rsidR="0081645E" w:rsidRPr="00904FCB">
        <w:rPr>
          <w:rFonts w:ascii="Arial" w:hAnsi="Arial" w:hint="cs"/>
          <w:sz w:val="27"/>
          <w:rtl/>
        </w:rPr>
        <w:t>م</w:t>
      </w:r>
      <w:r w:rsidRPr="00904FCB">
        <w:rPr>
          <w:rFonts w:ascii="Arial" w:hAnsi="Arial"/>
          <w:sz w:val="27"/>
          <w:rtl/>
        </w:rPr>
        <w:t xml:space="preserve">ونه منذ نشأته </w:t>
      </w:r>
      <w:r w:rsidR="0081645E" w:rsidRPr="00904FCB">
        <w:rPr>
          <w:rFonts w:ascii="Arial" w:hAnsi="Arial" w:hint="cs"/>
          <w:sz w:val="27"/>
          <w:rtl/>
        </w:rPr>
        <w:t>إلى اليوم</w:t>
      </w:r>
      <w:r w:rsidRPr="00904FCB">
        <w:rPr>
          <w:rFonts w:ascii="Arial" w:hAnsi="Arial"/>
          <w:sz w:val="27"/>
          <w:rtl/>
        </w:rPr>
        <w:t xml:space="preserve">. </w:t>
      </w:r>
    </w:p>
    <w:p w:rsidR="0081645E" w:rsidRPr="00904FCB" w:rsidRDefault="00A45FD9" w:rsidP="007A21AA">
      <w:pPr>
        <w:spacing w:line="400" w:lineRule="exact"/>
        <w:rPr>
          <w:rFonts w:ascii="Arial" w:hAnsi="Arial"/>
          <w:sz w:val="27"/>
          <w:rtl/>
        </w:rPr>
      </w:pPr>
      <w:r w:rsidRPr="00904FCB">
        <w:rPr>
          <w:rFonts w:ascii="Arial" w:hAnsi="Arial"/>
          <w:sz w:val="27"/>
        </w:rPr>
        <w:t xml:space="preserve"> </w:t>
      </w:r>
      <w:r w:rsidRPr="00904FCB">
        <w:rPr>
          <w:rFonts w:ascii="Arial" w:hAnsi="Arial"/>
          <w:sz w:val="27"/>
          <w:rtl/>
          <w:lang w:bidi="ar-LB"/>
        </w:rPr>
        <w:t xml:space="preserve">يقول ابن منظور </w:t>
      </w:r>
      <w:r w:rsidRPr="00904FCB">
        <w:rPr>
          <w:rFonts w:ascii="Arial" w:hAnsi="Arial"/>
          <w:sz w:val="27"/>
          <w:rtl/>
        </w:rPr>
        <w:t xml:space="preserve">في مادة سلف: </w:t>
      </w:r>
      <w:r w:rsidRPr="00904FCB">
        <w:rPr>
          <w:rFonts w:hint="eastAsia"/>
          <w:sz w:val="27"/>
          <w:rtl/>
        </w:rPr>
        <w:t>«</w:t>
      </w:r>
      <w:r w:rsidRPr="00904FCB">
        <w:rPr>
          <w:rFonts w:ascii="Arial" w:hAnsi="Arial"/>
          <w:sz w:val="27"/>
          <w:rtl/>
        </w:rPr>
        <w:t>سلف يسلف سلفاً وسلوفاً: تقد</w:t>
      </w:r>
      <w:r w:rsidR="0081645E" w:rsidRPr="00904FCB">
        <w:rPr>
          <w:rFonts w:ascii="Arial" w:hAnsi="Arial" w:hint="cs"/>
          <w:sz w:val="27"/>
          <w:rtl/>
        </w:rPr>
        <w:t>ّ</w:t>
      </w:r>
      <w:r w:rsidRPr="00904FCB">
        <w:rPr>
          <w:rFonts w:ascii="Arial" w:hAnsi="Arial"/>
          <w:sz w:val="27"/>
          <w:rtl/>
        </w:rPr>
        <w:t>م، والسالف: المتقدم</w:t>
      </w:r>
      <w:r w:rsidR="0081645E" w:rsidRPr="00904FCB">
        <w:rPr>
          <w:rFonts w:ascii="Arial" w:hAnsi="Arial" w:hint="cs"/>
          <w:sz w:val="27"/>
          <w:rtl/>
        </w:rPr>
        <w:t>.</w:t>
      </w:r>
      <w:r w:rsidRPr="00904FCB">
        <w:rPr>
          <w:rFonts w:ascii="Arial" w:hAnsi="Arial"/>
          <w:sz w:val="27"/>
          <w:rtl/>
        </w:rPr>
        <w:t xml:space="preserve"> والسلف والسليف والسلفة</w:t>
      </w:r>
      <w:r w:rsidR="0081645E" w:rsidRPr="00904FCB">
        <w:rPr>
          <w:rFonts w:ascii="Arial" w:hAnsi="Arial" w:hint="cs"/>
          <w:sz w:val="27"/>
          <w:rtl/>
        </w:rPr>
        <w:t>:</w:t>
      </w:r>
      <w:r w:rsidRPr="00904FCB">
        <w:rPr>
          <w:rFonts w:ascii="Arial" w:hAnsi="Arial"/>
          <w:sz w:val="27"/>
          <w:rtl/>
        </w:rPr>
        <w:t xml:space="preserve"> الجماعة المتقد</w:t>
      </w:r>
      <w:r w:rsidR="0081645E" w:rsidRPr="00904FCB">
        <w:rPr>
          <w:rFonts w:ascii="Arial" w:hAnsi="Arial" w:hint="cs"/>
          <w:sz w:val="27"/>
          <w:rtl/>
        </w:rPr>
        <w:t>ِّ</w:t>
      </w:r>
      <w:r w:rsidRPr="00904FCB">
        <w:rPr>
          <w:rFonts w:ascii="Arial" w:hAnsi="Arial"/>
          <w:sz w:val="27"/>
          <w:rtl/>
        </w:rPr>
        <w:t>مون</w:t>
      </w:r>
      <w:r w:rsidR="0081645E" w:rsidRPr="00904FCB">
        <w:rPr>
          <w:rFonts w:ascii="Arial" w:hAnsi="Arial" w:hint="cs"/>
          <w:sz w:val="27"/>
          <w:rtl/>
        </w:rPr>
        <w:t>.</w:t>
      </w:r>
      <w:r w:rsidRPr="00904FCB">
        <w:rPr>
          <w:rFonts w:ascii="Arial" w:hAnsi="Arial"/>
          <w:sz w:val="27"/>
          <w:rtl/>
        </w:rPr>
        <w:t xml:space="preserve"> وقوله عز</w:t>
      </w:r>
      <w:r w:rsidR="0081645E" w:rsidRPr="00904FCB">
        <w:rPr>
          <w:rFonts w:ascii="Arial" w:hAnsi="Arial" w:hint="cs"/>
          <w:sz w:val="27"/>
          <w:rtl/>
        </w:rPr>
        <w:t>َّ</w:t>
      </w:r>
      <w:r w:rsidRPr="00904FCB">
        <w:rPr>
          <w:rFonts w:ascii="Arial" w:hAnsi="Arial"/>
          <w:sz w:val="27"/>
          <w:rtl/>
        </w:rPr>
        <w:t xml:space="preserve"> وجل</w:t>
      </w:r>
      <w:r w:rsidR="0081645E" w:rsidRPr="00904FCB">
        <w:rPr>
          <w:rFonts w:ascii="Arial" w:hAnsi="Arial" w:hint="cs"/>
          <w:sz w:val="27"/>
          <w:rtl/>
        </w:rPr>
        <w:t>َّ</w:t>
      </w:r>
      <w:r w:rsidRPr="00904FCB">
        <w:rPr>
          <w:rFonts w:ascii="Arial" w:hAnsi="Arial"/>
          <w:sz w:val="27"/>
          <w:rtl/>
        </w:rPr>
        <w:t xml:space="preserve">: </w:t>
      </w:r>
      <w:r w:rsidR="0081645E" w:rsidRPr="00904FCB">
        <w:rPr>
          <w:rFonts w:ascii="Mosawi" w:hAnsi="Mosawi" w:cs="Mosawi"/>
          <w:sz w:val="24"/>
          <w:szCs w:val="24"/>
          <w:rtl/>
        </w:rPr>
        <w:t>﴿</w:t>
      </w:r>
      <w:r w:rsidR="0081645E" w:rsidRPr="00904FCB">
        <w:rPr>
          <w:b/>
          <w:bCs/>
          <w:sz w:val="27"/>
          <w:rtl/>
        </w:rPr>
        <w:t>فَجَعَلْنَاهُمْ سَلَفاً وَمَثَلاً لِلآخِرِينَ</w:t>
      </w:r>
      <w:r w:rsidR="0081645E" w:rsidRPr="00904FCB">
        <w:rPr>
          <w:rFonts w:ascii="Mosawi" w:hAnsi="Mosawi" w:cs="Mosawi"/>
          <w:sz w:val="24"/>
          <w:szCs w:val="24"/>
          <w:rtl/>
        </w:rPr>
        <w:t>﴾</w:t>
      </w:r>
      <w:r w:rsidRPr="00904FCB">
        <w:rPr>
          <w:rFonts w:ascii="Arial" w:hAnsi="Arial"/>
          <w:sz w:val="27"/>
          <w:rtl/>
        </w:rPr>
        <w:t>. والقوم السلاف: المتقد</w:t>
      </w:r>
      <w:r w:rsidR="0081645E" w:rsidRPr="00904FCB">
        <w:rPr>
          <w:rFonts w:ascii="Arial" w:hAnsi="Arial" w:hint="cs"/>
          <w:sz w:val="27"/>
          <w:rtl/>
        </w:rPr>
        <w:t>ِّ</w:t>
      </w:r>
      <w:r w:rsidRPr="00904FCB">
        <w:rPr>
          <w:rFonts w:ascii="Arial" w:hAnsi="Arial"/>
          <w:sz w:val="27"/>
          <w:rtl/>
        </w:rPr>
        <w:t>مون. وسلف الرجل: آباؤه المتقد</w:t>
      </w:r>
      <w:r w:rsidR="0081645E" w:rsidRPr="00904FCB">
        <w:rPr>
          <w:rFonts w:ascii="Arial" w:hAnsi="Arial" w:hint="cs"/>
          <w:sz w:val="27"/>
          <w:rtl/>
        </w:rPr>
        <w:t>ِّ</w:t>
      </w:r>
      <w:r w:rsidRPr="00904FCB">
        <w:rPr>
          <w:rFonts w:ascii="Arial" w:hAnsi="Arial"/>
          <w:sz w:val="27"/>
          <w:rtl/>
        </w:rPr>
        <w:t>مون، والجمع أسلاف وسلاف... والسلف أيضا</w:t>
      </w:r>
      <w:r w:rsidR="0081645E" w:rsidRPr="00904FCB">
        <w:rPr>
          <w:rFonts w:ascii="Arial" w:hAnsi="Arial" w:hint="cs"/>
          <w:sz w:val="27"/>
          <w:rtl/>
        </w:rPr>
        <w:t>ً</w:t>
      </w:r>
      <w:r w:rsidRPr="00904FCB">
        <w:rPr>
          <w:rFonts w:ascii="Arial" w:hAnsi="Arial"/>
          <w:sz w:val="27"/>
          <w:rtl/>
        </w:rPr>
        <w:t>: م</w:t>
      </w:r>
      <w:r w:rsidR="0081645E" w:rsidRPr="00904FCB">
        <w:rPr>
          <w:rFonts w:ascii="Arial" w:hAnsi="Arial" w:hint="cs"/>
          <w:sz w:val="27"/>
          <w:rtl/>
        </w:rPr>
        <w:t>َ</w:t>
      </w:r>
      <w:r w:rsidRPr="00904FCB">
        <w:rPr>
          <w:rFonts w:ascii="Arial" w:hAnsi="Arial"/>
          <w:sz w:val="27"/>
          <w:rtl/>
        </w:rPr>
        <w:t>ن</w:t>
      </w:r>
      <w:r w:rsidR="0081645E" w:rsidRPr="00904FCB">
        <w:rPr>
          <w:rFonts w:ascii="Arial" w:hAnsi="Arial" w:hint="cs"/>
          <w:sz w:val="27"/>
          <w:rtl/>
        </w:rPr>
        <w:t>ْ</w:t>
      </w:r>
      <w:r w:rsidRPr="00904FCB">
        <w:rPr>
          <w:rFonts w:ascii="Arial" w:hAnsi="Arial"/>
          <w:sz w:val="27"/>
          <w:rtl/>
        </w:rPr>
        <w:t xml:space="preserve"> تقد</w:t>
      </w:r>
      <w:r w:rsidR="0081645E" w:rsidRPr="00904FCB">
        <w:rPr>
          <w:rFonts w:ascii="Arial" w:hAnsi="Arial" w:hint="cs"/>
          <w:sz w:val="27"/>
          <w:rtl/>
        </w:rPr>
        <w:t>َّ</w:t>
      </w:r>
      <w:r w:rsidRPr="00904FCB">
        <w:rPr>
          <w:rFonts w:ascii="Arial" w:hAnsi="Arial"/>
          <w:sz w:val="27"/>
          <w:rtl/>
        </w:rPr>
        <w:t>م من آبائك وذوي قرابتك الذين هم فوقك في السن</w:t>
      </w:r>
      <w:r w:rsidR="0081645E" w:rsidRPr="00904FCB">
        <w:rPr>
          <w:rFonts w:ascii="Arial" w:hAnsi="Arial" w:hint="cs"/>
          <w:sz w:val="27"/>
          <w:rtl/>
        </w:rPr>
        <w:t>ّ</w:t>
      </w:r>
      <w:r w:rsidRPr="00904FCB">
        <w:rPr>
          <w:rFonts w:ascii="Arial" w:hAnsi="Arial"/>
          <w:sz w:val="27"/>
          <w:rtl/>
        </w:rPr>
        <w:t xml:space="preserve"> والفضل، وأحدهم سالف</w:t>
      </w:r>
      <w:r w:rsidR="0081645E" w:rsidRPr="00904FCB">
        <w:rPr>
          <w:rFonts w:ascii="Arial" w:hAnsi="Arial" w:hint="cs"/>
          <w:sz w:val="27"/>
          <w:rtl/>
        </w:rPr>
        <w:t>ٌ</w:t>
      </w:r>
      <w:r w:rsidRPr="00904FCB">
        <w:rPr>
          <w:rFonts w:ascii="Arial" w:hAnsi="Arial"/>
          <w:sz w:val="27"/>
          <w:rtl/>
        </w:rPr>
        <w:t>. وقيل</w:t>
      </w:r>
      <w:r w:rsidR="0081645E" w:rsidRPr="00904FCB">
        <w:rPr>
          <w:rFonts w:ascii="Arial" w:hAnsi="Arial" w:hint="cs"/>
          <w:sz w:val="27"/>
          <w:rtl/>
        </w:rPr>
        <w:t>:</w:t>
      </w:r>
      <w:r w:rsidRPr="00904FCB">
        <w:rPr>
          <w:rFonts w:ascii="Arial" w:hAnsi="Arial"/>
          <w:sz w:val="27"/>
          <w:rtl/>
        </w:rPr>
        <w:t xml:space="preserve"> سلف الإنسان م</w:t>
      </w:r>
      <w:r w:rsidR="0081645E" w:rsidRPr="00904FCB">
        <w:rPr>
          <w:rFonts w:ascii="Arial" w:hAnsi="Arial" w:hint="cs"/>
          <w:sz w:val="27"/>
          <w:rtl/>
        </w:rPr>
        <w:t>َ</w:t>
      </w:r>
      <w:r w:rsidRPr="00904FCB">
        <w:rPr>
          <w:rFonts w:ascii="Arial" w:hAnsi="Arial"/>
          <w:sz w:val="27"/>
          <w:rtl/>
        </w:rPr>
        <w:t>ن</w:t>
      </w:r>
      <w:r w:rsidR="0081645E" w:rsidRPr="00904FCB">
        <w:rPr>
          <w:rFonts w:ascii="Arial" w:hAnsi="Arial" w:hint="cs"/>
          <w:sz w:val="27"/>
          <w:rtl/>
        </w:rPr>
        <w:t>ْ</w:t>
      </w:r>
      <w:r w:rsidRPr="00904FCB">
        <w:rPr>
          <w:rFonts w:ascii="Arial" w:hAnsi="Arial"/>
          <w:sz w:val="27"/>
          <w:rtl/>
        </w:rPr>
        <w:t xml:space="preserve"> تقد</w:t>
      </w:r>
      <w:r w:rsidR="0081645E" w:rsidRPr="00904FCB">
        <w:rPr>
          <w:rFonts w:ascii="Arial" w:hAnsi="Arial" w:hint="cs"/>
          <w:sz w:val="27"/>
          <w:rtl/>
        </w:rPr>
        <w:t>َّ</w:t>
      </w:r>
      <w:r w:rsidRPr="00904FCB">
        <w:rPr>
          <w:rFonts w:ascii="Arial" w:hAnsi="Arial"/>
          <w:sz w:val="27"/>
          <w:rtl/>
        </w:rPr>
        <w:t>مه بالمو</w:t>
      </w:r>
      <w:r w:rsidR="00B62EC4">
        <w:rPr>
          <w:rFonts w:ascii="Arial" w:hAnsi="Arial"/>
          <w:sz w:val="27"/>
          <w:rtl/>
        </w:rPr>
        <w:t xml:space="preserve">ت من آبائه وذوي قرابته، ولهذا </w:t>
      </w:r>
      <w:r w:rsidR="00B62EC4">
        <w:rPr>
          <w:rFonts w:ascii="Arial" w:hAnsi="Arial" w:hint="cs"/>
          <w:sz w:val="27"/>
          <w:rtl/>
        </w:rPr>
        <w:t>سُمِّ</w:t>
      </w:r>
      <w:r w:rsidRPr="00904FCB">
        <w:rPr>
          <w:rFonts w:ascii="Arial" w:hAnsi="Arial"/>
          <w:sz w:val="27"/>
          <w:rtl/>
        </w:rPr>
        <w:t>ي الصدر الأول من التابعين السلف الصالح</w:t>
      </w:r>
      <w:r w:rsidRPr="00904FCB">
        <w:rPr>
          <w:rFonts w:hint="eastAsia"/>
          <w:sz w:val="27"/>
          <w:rtl/>
        </w:rPr>
        <w:t>»</w:t>
      </w:r>
      <w:r w:rsidRPr="00904FCB">
        <w:rPr>
          <w:sz w:val="27"/>
          <w:vertAlign w:val="superscript"/>
          <w:rtl/>
        </w:rPr>
        <w:t>(</w:t>
      </w:r>
      <w:r w:rsidRPr="00904FCB">
        <w:rPr>
          <w:sz w:val="27"/>
          <w:vertAlign w:val="superscript"/>
          <w:rtl/>
        </w:rPr>
        <w:endnoteReference w:id="91"/>
      </w:r>
      <w:r w:rsidRPr="00904FCB">
        <w:rPr>
          <w:sz w:val="27"/>
          <w:vertAlign w:val="superscript"/>
          <w:rtl/>
        </w:rPr>
        <w:t>)</w:t>
      </w:r>
      <w:r w:rsidR="0081645E" w:rsidRPr="00904FCB">
        <w:rPr>
          <w:rFonts w:ascii="Arial" w:hAnsi="Arial"/>
          <w:sz w:val="27"/>
          <w:rtl/>
        </w:rPr>
        <w:t>.</w:t>
      </w:r>
    </w:p>
    <w:p w:rsidR="0081645E" w:rsidRPr="00904FCB" w:rsidRDefault="00A45FD9" w:rsidP="007A21AA">
      <w:pPr>
        <w:spacing w:line="400" w:lineRule="exact"/>
        <w:rPr>
          <w:rFonts w:ascii="Arial" w:hAnsi="Arial"/>
          <w:sz w:val="27"/>
          <w:rtl/>
          <w:lang w:bidi="ar-JO"/>
        </w:rPr>
      </w:pPr>
      <w:r w:rsidRPr="00904FCB">
        <w:rPr>
          <w:rFonts w:ascii="Arial" w:hAnsi="Arial"/>
          <w:sz w:val="27"/>
          <w:rtl/>
        </w:rPr>
        <w:lastRenderedPageBreak/>
        <w:t>وعليه فإن مفهوم السلفية</w:t>
      </w:r>
      <w:r w:rsidRPr="00904FCB">
        <w:rPr>
          <w:rFonts w:ascii="Arial" w:hAnsi="Arial"/>
          <w:sz w:val="27"/>
          <w:rtl/>
          <w:lang w:bidi="ar-JO"/>
        </w:rPr>
        <w:t xml:space="preserve"> </w:t>
      </w:r>
      <w:r w:rsidRPr="00904FCB">
        <w:rPr>
          <w:rFonts w:hint="eastAsia"/>
          <w:sz w:val="27"/>
          <w:rtl/>
          <w:lang w:bidi="ar-JO"/>
        </w:rPr>
        <w:t>«</w:t>
      </w:r>
      <w:r w:rsidRPr="00904FCB">
        <w:rPr>
          <w:rFonts w:ascii="Arial" w:hAnsi="Arial"/>
          <w:sz w:val="27"/>
          <w:rtl/>
          <w:lang w:bidi="ar-JO"/>
        </w:rPr>
        <w:t>مصطلح ينسحب على الماضي بالكامل، متحصنا</w:t>
      </w:r>
      <w:r w:rsidR="0081645E" w:rsidRPr="00904FCB">
        <w:rPr>
          <w:rFonts w:ascii="Arial" w:hAnsi="Arial" w:hint="cs"/>
          <w:sz w:val="27"/>
          <w:rtl/>
          <w:lang w:bidi="ar-JO"/>
        </w:rPr>
        <w:t>ً</w:t>
      </w:r>
      <w:r w:rsidRPr="00904FCB">
        <w:rPr>
          <w:rFonts w:ascii="Arial" w:hAnsi="Arial"/>
          <w:sz w:val="27"/>
          <w:rtl/>
          <w:lang w:bidi="ar-JO"/>
        </w:rPr>
        <w:t xml:space="preserve"> بمشروعية موضوعية تقع في صلب التعبير التاريخي السلف الصالح الصيغة الأكثر شيوعاً في المؤلفات والكتب</w:t>
      </w:r>
      <w:r w:rsidR="0081645E" w:rsidRPr="00904FCB">
        <w:rPr>
          <w:rFonts w:ascii="Arial" w:hAnsi="Arial" w:hint="cs"/>
          <w:sz w:val="27"/>
          <w:rtl/>
          <w:lang w:bidi="ar-JO"/>
        </w:rPr>
        <w:t>،</w:t>
      </w:r>
      <w:r w:rsidRPr="00904FCB">
        <w:rPr>
          <w:rFonts w:ascii="Arial" w:hAnsi="Arial"/>
          <w:sz w:val="27"/>
          <w:rtl/>
          <w:lang w:bidi="ar-JO"/>
        </w:rPr>
        <w:t xml:space="preserve"> والأشد</w:t>
      </w:r>
      <w:r w:rsidR="0081645E" w:rsidRPr="00904FCB">
        <w:rPr>
          <w:rFonts w:ascii="Arial" w:hAnsi="Arial" w:hint="cs"/>
          <w:sz w:val="27"/>
          <w:rtl/>
          <w:lang w:bidi="ar-JO"/>
        </w:rPr>
        <w:t>ّ</w:t>
      </w:r>
      <w:r w:rsidRPr="00904FCB">
        <w:rPr>
          <w:rFonts w:ascii="Arial" w:hAnsi="Arial"/>
          <w:sz w:val="27"/>
          <w:rtl/>
          <w:lang w:bidi="ar-JO"/>
        </w:rPr>
        <w:t xml:space="preserve"> تداولاً على ألسنة الفقهاء والمحد</w:t>
      </w:r>
      <w:r w:rsidR="0081645E" w:rsidRPr="00904FCB">
        <w:rPr>
          <w:rFonts w:ascii="Arial" w:hAnsi="Arial" w:hint="cs"/>
          <w:sz w:val="27"/>
          <w:rtl/>
          <w:lang w:bidi="ar-JO"/>
        </w:rPr>
        <w:t>ِّ</w:t>
      </w:r>
      <w:r w:rsidRPr="00904FCB">
        <w:rPr>
          <w:rFonts w:ascii="Arial" w:hAnsi="Arial"/>
          <w:sz w:val="27"/>
          <w:rtl/>
          <w:lang w:bidi="ar-JO"/>
        </w:rPr>
        <w:t>ثين، وبالتالي فإن أي حديث عنها سيعني قطعاً التوج</w:t>
      </w:r>
      <w:r w:rsidR="0081645E" w:rsidRPr="00904FCB">
        <w:rPr>
          <w:rFonts w:ascii="Arial" w:hAnsi="Arial" w:hint="cs"/>
          <w:sz w:val="27"/>
          <w:rtl/>
          <w:lang w:bidi="ar-JO"/>
        </w:rPr>
        <w:t>ُّ</w:t>
      </w:r>
      <w:r w:rsidRPr="00904FCB">
        <w:rPr>
          <w:rFonts w:ascii="Arial" w:hAnsi="Arial"/>
          <w:sz w:val="27"/>
          <w:rtl/>
          <w:lang w:bidi="ar-JO"/>
        </w:rPr>
        <w:t>ه نحو الماضي</w:t>
      </w:r>
      <w:r w:rsidR="0081645E" w:rsidRPr="00904FCB">
        <w:rPr>
          <w:rFonts w:ascii="Arial" w:hAnsi="Arial" w:hint="cs"/>
          <w:sz w:val="27"/>
          <w:rtl/>
          <w:lang w:bidi="ar-JO"/>
        </w:rPr>
        <w:t>،</w:t>
      </w:r>
      <w:r w:rsidRPr="00904FCB">
        <w:rPr>
          <w:rFonts w:ascii="Arial" w:hAnsi="Arial"/>
          <w:sz w:val="27"/>
          <w:rtl/>
          <w:lang w:bidi="ar-JO"/>
        </w:rPr>
        <w:t xml:space="preserve"> والتعل</w:t>
      </w:r>
      <w:r w:rsidR="0081645E" w:rsidRPr="00904FCB">
        <w:rPr>
          <w:rFonts w:ascii="Arial" w:hAnsi="Arial" w:hint="cs"/>
          <w:sz w:val="27"/>
          <w:rtl/>
          <w:lang w:bidi="ar-JO"/>
        </w:rPr>
        <w:t>ُّ</w:t>
      </w:r>
      <w:r w:rsidRPr="00904FCB">
        <w:rPr>
          <w:rFonts w:ascii="Arial" w:hAnsi="Arial"/>
          <w:sz w:val="27"/>
          <w:rtl/>
          <w:lang w:bidi="ar-JO"/>
        </w:rPr>
        <w:t>م منه</w:t>
      </w:r>
      <w:r w:rsidR="0081645E" w:rsidRPr="00904FCB">
        <w:rPr>
          <w:rFonts w:ascii="Arial" w:hAnsi="Arial" w:hint="cs"/>
          <w:sz w:val="27"/>
          <w:rtl/>
          <w:lang w:bidi="ar-JO"/>
        </w:rPr>
        <w:t>،</w:t>
      </w:r>
      <w:r w:rsidRPr="00904FCB">
        <w:rPr>
          <w:rFonts w:ascii="Arial" w:hAnsi="Arial"/>
          <w:sz w:val="27"/>
          <w:rtl/>
          <w:lang w:bidi="ar-JO"/>
        </w:rPr>
        <w:t xml:space="preserve"> والأخذ به</w:t>
      </w:r>
      <w:r w:rsidRPr="00904FCB">
        <w:rPr>
          <w:rFonts w:hint="eastAsia"/>
          <w:sz w:val="27"/>
          <w:rtl/>
        </w:rPr>
        <w:t>»</w:t>
      </w:r>
      <w:r w:rsidRPr="00904FCB">
        <w:rPr>
          <w:sz w:val="27"/>
          <w:vertAlign w:val="superscript"/>
          <w:rtl/>
        </w:rPr>
        <w:t>(</w:t>
      </w:r>
      <w:r w:rsidRPr="00904FCB">
        <w:rPr>
          <w:sz w:val="27"/>
          <w:vertAlign w:val="superscript"/>
          <w:rtl/>
        </w:rPr>
        <w:endnoteReference w:id="92"/>
      </w:r>
      <w:r w:rsidRPr="00904FCB">
        <w:rPr>
          <w:sz w:val="27"/>
          <w:vertAlign w:val="superscript"/>
          <w:rtl/>
        </w:rPr>
        <w:t>)</w:t>
      </w:r>
      <w:r w:rsidR="0081645E" w:rsidRPr="00904FCB">
        <w:rPr>
          <w:rFonts w:ascii="Arial" w:hAnsi="Arial"/>
          <w:sz w:val="27"/>
          <w:rtl/>
          <w:lang w:bidi="ar-JO"/>
        </w:rPr>
        <w:t>.</w:t>
      </w:r>
    </w:p>
    <w:p w:rsidR="00A45FD9" w:rsidRPr="00904FCB" w:rsidRDefault="00A45FD9" w:rsidP="007A21AA">
      <w:pPr>
        <w:spacing w:line="400" w:lineRule="exact"/>
        <w:rPr>
          <w:rFonts w:ascii="Arial" w:hAnsi="Arial"/>
          <w:sz w:val="27"/>
          <w:rtl/>
          <w:lang w:bidi="ar-LB"/>
        </w:rPr>
      </w:pPr>
      <w:r w:rsidRPr="00904FCB">
        <w:rPr>
          <w:rFonts w:ascii="Arial" w:hAnsi="Arial"/>
          <w:sz w:val="27"/>
          <w:rtl/>
          <w:lang w:bidi="ar-JO"/>
        </w:rPr>
        <w:t xml:space="preserve">ويعرّف الشيخ أحمد السكندري في كتابه </w:t>
      </w:r>
      <w:r w:rsidRPr="00904FCB">
        <w:rPr>
          <w:rFonts w:hint="eastAsia"/>
          <w:sz w:val="27"/>
          <w:rtl/>
          <w:lang w:bidi="ar-JO"/>
        </w:rPr>
        <w:t>«</w:t>
      </w:r>
      <w:r w:rsidRPr="00904FCB">
        <w:rPr>
          <w:rFonts w:ascii="Arial" w:hAnsi="Arial"/>
          <w:sz w:val="27"/>
          <w:rtl/>
          <w:lang w:bidi="ar-JO"/>
        </w:rPr>
        <w:t>السلفية</w:t>
      </w:r>
      <w:r w:rsidR="00B62EC4">
        <w:rPr>
          <w:rFonts w:ascii="Arial" w:hAnsi="Arial" w:hint="cs"/>
          <w:sz w:val="27"/>
          <w:rtl/>
          <w:lang w:bidi="ar-JO"/>
        </w:rPr>
        <w:t>،</w:t>
      </w:r>
      <w:r w:rsidRPr="00904FCB">
        <w:rPr>
          <w:rFonts w:ascii="Arial" w:hAnsi="Arial"/>
          <w:sz w:val="27"/>
          <w:rtl/>
          <w:lang w:bidi="ar-JO"/>
        </w:rPr>
        <w:t xml:space="preserve"> قواعد وأصول</w:t>
      </w:r>
      <w:r w:rsidRPr="00904FCB">
        <w:rPr>
          <w:rFonts w:hint="eastAsia"/>
          <w:sz w:val="27"/>
          <w:rtl/>
        </w:rPr>
        <w:t>»</w:t>
      </w:r>
      <w:r w:rsidRPr="00904FCB">
        <w:rPr>
          <w:rFonts w:ascii="Arial" w:hAnsi="Arial"/>
          <w:sz w:val="27"/>
          <w:rtl/>
          <w:lang w:bidi="ar-JO"/>
        </w:rPr>
        <w:t xml:space="preserve"> </w:t>
      </w:r>
      <w:r w:rsidRPr="00904FCB">
        <w:rPr>
          <w:rFonts w:ascii="Arial" w:hAnsi="Arial"/>
          <w:sz w:val="27"/>
          <w:rtl/>
        </w:rPr>
        <w:t>السلف بأنهم:</w:t>
      </w:r>
      <w:r w:rsidRPr="00904FCB">
        <w:rPr>
          <w:rFonts w:ascii="Arial" w:hAnsi="Arial"/>
          <w:b/>
          <w:bCs/>
          <w:sz w:val="27"/>
          <w:rtl/>
        </w:rPr>
        <w:t xml:space="preserve"> </w:t>
      </w:r>
      <w:r w:rsidRPr="00904FCB">
        <w:rPr>
          <w:rFonts w:hint="eastAsia"/>
          <w:sz w:val="27"/>
          <w:rtl/>
        </w:rPr>
        <w:t>«</w:t>
      </w:r>
      <w:r w:rsidRPr="00904FCB">
        <w:rPr>
          <w:rFonts w:ascii="Arial" w:hAnsi="Arial"/>
          <w:sz w:val="27"/>
          <w:rtl/>
        </w:rPr>
        <w:t>الصحابة، والتابعون، وتابعوهم من أهل القرون الخيرية الثلاثة الأول، عدا أهل البدع</w:t>
      </w:r>
      <w:r w:rsidR="00194D1A" w:rsidRPr="00904FCB">
        <w:rPr>
          <w:rFonts w:ascii="Arial" w:hAnsi="Arial" w:hint="cs"/>
          <w:sz w:val="27"/>
          <w:rtl/>
        </w:rPr>
        <w:t>،</w:t>
      </w:r>
      <w:r w:rsidRPr="00904FCB">
        <w:rPr>
          <w:rFonts w:ascii="Arial" w:hAnsi="Arial"/>
          <w:sz w:val="27"/>
          <w:rtl/>
        </w:rPr>
        <w:t xml:space="preserve"> كالخوارج، والمعتزلة، والقدرية، والجهمية، وغيرهم من فرق الضلالة. والسلفيون هم الذين يعتقدون معتقد السلف الصالح رضي الله عنهم، وينتهجون منهج الس</w:t>
      </w:r>
      <w:r w:rsidR="00194D1A" w:rsidRPr="00904FCB">
        <w:rPr>
          <w:rFonts w:ascii="Arial" w:hAnsi="Arial" w:hint="cs"/>
          <w:sz w:val="27"/>
          <w:rtl/>
        </w:rPr>
        <w:t>َّ</w:t>
      </w:r>
      <w:r w:rsidRPr="00904FCB">
        <w:rPr>
          <w:rFonts w:ascii="Arial" w:hAnsi="Arial"/>
          <w:sz w:val="27"/>
          <w:rtl/>
        </w:rPr>
        <w:t>ل</w:t>
      </w:r>
      <w:r w:rsidR="00194D1A" w:rsidRPr="00904FCB">
        <w:rPr>
          <w:rFonts w:ascii="Arial" w:hAnsi="Arial" w:hint="cs"/>
          <w:sz w:val="27"/>
          <w:rtl/>
        </w:rPr>
        <w:t>َ</w:t>
      </w:r>
      <w:r w:rsidRPr="00904FCB">
        <w:rPr>
          <w:rFonts w:ascii="Arial" w:hAnsi="Arial"/>
          <w:sz w:val="27"/>
          <w:rtl/>
        </w:rPr>
        <w:t>ف في فهم الكتاب والسنة</w:t>
      </w:r>
      <w:r w:rsidRPr="00904FCB">
        <w:rPr>
          <w:rFonts w:hint="eastAsia"/>
          <w:sz w:val="27"/>
          <w:rtl/>
        </w:rPr>
        <w:t>»</w:t>
      </w:r>
      <w:r w:rsidRPr="00904FCB">
        <w:rPr>
          <w:sz w:val="27"/>
          <w:vertAlign w:val="superscript"/>
          <w:rtl/>
        </w:rPr>
        <w:t>(</w:t>
      </w:r>
      <w:r w:rsidRPr="00904FCB">
        <w:rPr>
          <w:sz w:val="27"/>
          <w:vertAlign w:val="superscript"/>
          <w:rtl/>
        </w:rPr>
        <w:endnoteReference w:id="93"/>
      </w:r>
      <w:r w:rsidRPr="00904FCB">
        <w:rPr>
          <w:sz w:val="27"/>
          <w:vertAlign w:val="superscript"/>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tl/>
          <w:lang w:bidi="fa-IR"/>
        </w:rPr>
      </w:pPr>
      <w:r w:rsidRPr="00904FCB">
        <w:rPr>
          <w:rFonts w:ascii="Arial" w:hAnsi="Arial"/>
          <w:sz w:val="27"/>
          <w:rtl/>
        </w:rPr>
        <w:t xml:space="preserve"> </w:t>
      </w:r>
      <w:r w:rsidRPr="00904FCB">
        <w:rPr>
          <w:rFonts w:ascii="Arial" w:hAnsi="Arial"/>
          <w:sz w:val="27"/>
          <w:rtl/>
          <w:lang w:bidi="fa-IR"/>
        </w:rPr>
        <w:t>السلفية هي منهج إسلامي يدعو إلى فهم الكتاب والسن</w:t>
      </w:r>
      <w:r w:rsidR="00194D1A" w:rsidRPr="00904FCB">
        <w:rPr>
          <w:rFonts w:ascii="Arial" w:hAnsi="Arial" w:hint="cs"/>
          <w:sz w:val="27"/>
          <w:rtl/>
          <w:lang w:bidi="fa-IR"/>
        </w:rPr>
        <w:t>ّ</w:t>
      </w:r>
      <w:r w:rsidRPr="00904FCB">
        <w:rPr>
          <w:rFonts w:ascii="Arial" w:hAnsi="Arial"/>
          <w:sz w:val="27"/>
          <w:rtl/>
          <w:lang w:bidi="fa-IR"/>
        </w:rPr>
        <w:t>ة بفهم سلف الأم</w:t>
      </w:r>
      <w:r w:rsidR="00194D1A" w:rsidRPr="00904FCB">
        <w:rPr>
          <w:rFonts w:ascii="Arial" w:hAnsi="Arial" w:hint="cs"/>
          <w:sz w:val="27"/>
          <w:rtl/>
          <w:lang w:bidi="fa-IR"/>
        </w:rPr>
        <w:t>ّ</w:t>
      </w:r>
      <w:r w:rsidRPr="00904FCB">
        <w:rPr>
          <w:rFonts w:ascii="Arial" w:hAnsi="Arial"/>
          <w:sz w:val="27"/>
          <w:rtl/>
          <w:lang w:bidi="fa-IR"/>
        </w:rPr>
        <w:t>ة</w:t>
      </w:r>
      <w:r w:rsidR="00194D1A" w:rsidRPr="00904FCB">
        <w:rPr>
          <w:rFonts w:ascii="Arial" w:hAnsi="Arial" w:hint="cs"/>
          <w:sz w:val="27"/>
          <w:rtl/>
          <w:lang w:bidi="fa-IR"/>
        </w:rPr>
        <w:t>،</w:t>
      </w:r>
      <w:r w:rsidRPr="00904FCB">
        <w:rPr>
          <w:rFonts w:ascii="Arial" w:hAnsi="Arial"/>
          <w:sz w:val="27"/>
          <w:rtl/>
          <w:lang w:bidi="fa-IR"/>
        </w:rPr>
        <w:t xml:space="preserve"> وهم الصحابة والتابعون وتابعو التابعين</w:t>
      </w:r>
      <w:r w:rsidR="00194D1A" w:rsidRPr="00904FCB">
        <w:rPr>
          <w:rFonts w:ascii="Arial" w:hAnsi="Arial" w:hint="cs"/>
          <w:sz w:val="27"/>
          <w:rtl/>
          <w:lang w:bidi="fa-IR"/>
        </w:rPr>
        <w:t>،</w:t>
      </w:r>
      <w:r w:rsidRPr="00904FCB">
        <w:rPr>
          <w:rFonts w:ascii="Arial" w:hAnsi="Arial"/>
          <w:sz w:val="27"/>
          <w:rtl/>
          <w:lang w:bidi="fa-IR"/>
        </w:rPr>
        <w:t xml:space="preserve"> باعتباره يمث</w:t>
      </w:r>
      <w:r w:rsidR="00194D1A" w:rsidRPr="00904FCB">
        <w:rPr>
          <w:rFonts w:ascii="Arial" w:hAnsi="Arial" w:hint="cs"/>
          <w:sz w:val="27"/>
          <w:rtl/>
          <w:lang w:bidi="fa-IR"/>
        </w:rPr>
        <w:t>ِّ</w:t>
      </w:r>
      <w:r w:rsidRPr="00904FCB">
        <w:rPr>
          <w:rFonts w:ascii="Arial" w:hAnsi="Arial"/>
          <w:sz w:val="27"/>
          <w:rtl/>
          <w:lang w:bidi="fa-IR"/>
        </w:rPr>
        <w:t>ل نهج الإسلام الأصيل</w:t>
      </w:r>
      <w:r w:rsidR="00194D1A" w:rsidRPr="00904FCB">
        <w:rPr>
          <w:rFonts w:ascii="Arial" w:hAnsi="Arial" w:hint="cs"/>
          <w:sz w:val="27"/>
          <w:rtl/>
          <w:lang w:bidi="fa-IR"/>
        </w:rPr>
        <w:t>،</w:t>
      </w:r>
      <w:r w:rsidRPr="00904FCB">
        <w:rPr>
          <w:rFonts w:ascii="Arial" w:hAnsi="Arial"/>
          <w:sz w:val="27"/>
          <w:rtl/>
          <w:lang w:bidi="fa-IR"/>
        </w:rPr>
        <w:t xml:space="preserve"> والتمس</w:t>
      </w:r>
      <w:r w:rsidR="00194D1A" w:rsidRPr="00904FCB">
        <w:rPr>
          <w:rFonts w:ascii="Arial" w:hAnsi="Arial" w:hint="cs"/>
          <w:sz w:val="27"/>
          <w:rtl/>
          <w:lang w:bidi="fa-IR"/>
        </w:rPr>
        <w:t>ُّ</w:t>
      </w:r>
      <w:r w:rsidRPr="00904FCB">
        <w:rPr>
          <w:rFonts w:ascii="Arial" w:hAnsi="Arial"/>
          <w:sz w:val="27"/>
          <w:rtl/>
          <w:lang w:bidi="fa-IR"/>
        </w:rPr>
        <w:t>ك بأخذ الأحكام من القرآن الكريم والأحاديث الصحيحة</w:t>
      </w:r>
      <w:r w:rsidR="00194D1A" w:rsidRPr="00904FCB">
        <w:rPr>
          <w:rFonts w:ascii="Arial" w:hAnsi="Arial" w:hint="cs"/>
          <w:sz w:val="27"/>
          <w:rtl/>
          <w:lang w:bidi="fa-IR"/>
        </w:rPr>
        <w:t>،</w:t>
      </w:r>
      <w:r w:rsidRPr="00904FCB">
        <w:rPr>
          <w:rFonts w:ascii="Arial" w:hAnsi="Arial"/>
          <w:sz w:val="27"/>
          <w:rtl/>
          <w:lang w:bidi="fa-IR"/>
        </w:rPr>
        <w:t xml:space="preserve"> ويبتعد عن كل</w:t>
      </w:r>
      <w:r w:rsidR="00194D1A" w:rsidRPr="00904FCB">
        <w:rPr>
          <w:rFonts w:ascii="Arial" w:hAnsi="Arial" w:hint="cs"/>
          <w:sz w:val="27"/>
          <w:rtl/>
          <w:lang w:bidi="fa-IR"/>
        </w:rPr>
        <w:t>ّ</w:t>
      </w:r>
      <w:r w:rsidRPr="00904FCB">
        <w:rPr>
          <w:rFonts w:ascii="Arial" w:hAnsi="Arial"/>
          <w:sz w:val="27"/>
          <w:rtl/>
          <w:lang w:bidi="fa-IR"/>
        </w:rPr>
        <w:t xml:space="preserve"> المدخلات الغريبة عن روح الإسلام وتعاليمه، والتمس</w:t>
      </w:r>
      <w:r w:rsidR="00194D1A" w:rsidRPr="00904FCB">
        <w:rPr>
          <w:rFonts w:ascii="Arial" w:hAnsi="Arial" w:hint="cs"/>
          <w:sz w:val="27"/>
          <w:rtl/>
          <w:lang w:bidi="fa-IR"/>
        </w:rPr>
        <w:t>ّ</w:t>
      </w:r>
      <w:r w:rsidRPr="00904FCB">
        <w:rPr>
          <w:rFonts w:ascii="Arial" w:hAnsi="Arial"/>
          <w:sz w:val="27"/>
          <w:rtl/>
          <w:lang w:bidi="fa-IR"/>
        </w:rPr>
        <w:t>ك بما نقل عن السلف. وهي تمث</w:t>
      </w:r>
      <w:r w:rsidR="00194D1A" w:rsidRPr="00904FCB">
        <w:rPr>
          <w:rFonts w:ascii="Arial" w:hAnsi="Arial" w:hint="cs"/>
          <w:sz w:val="27"/>
          <w:rtl/>
          <w:lang w:bidi="fa-IR"/>
        </w:rPr>
        <w:t>ّ</w:t>
      </w:r>
      <w:r w:rsidRPr="00904FCB">
        <w:rPr>
          <w:rFonts w:ascii="Arial" w:hAnsi="Arial"/>
          <w:sz w:val="27"/>
          <w:rtl/>
          <w:lang w:bidi="fa-IR"/>
        </w:rPr>
        <w:t>ل في إحدى جوانبها إحدى التيارات الإسلامية العقائدية في مقابلة الفرق الإسلامية الأخرى</w:t>
      </w:r>
      <w:r w:rsidRPr="00904FCB">
        <w:rPr>
          <w:sz w:val="27"/>
          <w:vertAlign w:val="superscript"/>
          <w:rtl/>
        </w:rPr>
        <w:t>(</w:t>
      </w:r>
      <w:r w:rsidRPr="00904FCB">
        <w:rPr>
          <w:sz w:val="27"/>
          <w:vertAlign w:val="superscript"/>
          <w:rtl/>
        </w:rPr>
        <w:endnoteReference w:id="94"/>
      </w:r>
      <w:r w:rsidRPr="00904FCB">
        <w:rPr>
          <w:sz w:val="27"/>
          <w:vertAlign w:val="superscript"/>
          <w:rtl/>
        </w:rPr>
        <w:t>)</w:t>
      </w:r>
      <w:r w:rsidRPr="00904FCB">
        <w:rPr>
          <w:rFonts w:ascii="Arial" w:hAnsi="Arial"/>
          <w:sz w:val="27"/>
          <w:rtl/>
          <w:lang w:bidi="fa-IR"/>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lang w:bidi="fa-IR"/>
        </w:rPr>
        <w:t>وفي جانبها الآخر المعاصر تمث</w:t>
      </w:r>
      <w:r w:rsidR="00194D1A" w:rsidRPr="00904FCB">
        <w:rPr>
          <w:rFonts w:ascii="Arial" w:hAnsi="Arial" w:hint="cs"/>
          <w:sz w:val="27"/>
          <w:rtl/>
          <w:lang w:bidi="fa-IR"/>
        </w:rPr>
        <w:t>ِّ</w:t>
      </w:r>
      <w:r w:rsidRPr="00904FCB">
        <w:rPr>
          <w:rFonts w:ascii="Arial" w:hAnsi="Arial"/>
          <w:sz w:val="27"/>
          <w:rtl/>
          <w:lang w:bidi="fa-IR"/>
        </w:rPr>
        <w:t>ل السلفية مدرسة</w:t>
      </w:r>
      <w:r w:rsidR="00194D1A" w:rsidRPr="00904FCB">
        <w:rPr>
          <w:rFonts w:ascii="Arial" w:hAnsi="Arial" w:hint="cs"/>
          <w:sz w:val="27"/>
          <w:rtl/>
          <w:lang w:bidi="fa-IR"/>
        </w:rPr>
        <w:t>ً</w:t>
      </w:r>
      <w:r w:rsidRPr="00904FCB">
        <w:rPr>
          <w:rFonts w:ascii="Arial" w:hAnsi="Arial"/>
          <w:sz w:val="27"/>
          <w:rtl/>
          <w:lang w:bidi="fa-IR"/>
        </w:rPr>
        <w:t xml:space="preserve"> من المدارس الفكرية الحركية السنية التي تستهدف إصلاح أنظمة الحكم والمجتمع والحياة عموماً إلى ما يتوافق مع النظام الشرعي الإسلامي بح</w:t>
      </w:r>
      <w:r w:rsidR="00194D1A" w:rsidRPr="00904FCB">
        <w:rPr>
          <w:rFonts w:ascii="Arial" w:hAnsi="Arial" w:hint="cs"/>
          <w:sz w:val="27"/>
          <w:rtl/>
          <w:lang w:bidi="fa-IR"/>
        </w:rPr>
        <w:t>َ</w:t>
      </w:r>
      <w:r w:rsidRPr="00904FCB">
        <w:rPr>
          <w:rFonts w:ascii="Arial" w:hAnsi="Arial"/>
          <w:sz w:val="27"/>
          <w:rtl/>
          <w:lang w:bidi="fa-IR"/>
        </w:rPr>
        <w:t>س</w:t>
      </w:r>
      <w:r w:rsidR="00194D1A" w:rsidRPr="00904FCB">
        <w:rPr>
          <w:rFonts w:ascii="Arial" w:hAnsi="Arial" w:hint="cs"/>
          <w:sz w:val="27"/>
          <w:rtl/>
          <w:lang w:bidi="fa-IR"/>
        </w:rPr>
        <w:t>َ</w:t>
      </w:r>
      <w:r w:rsidRPr="00904FCB">
        <w:rPr>
          <w:rFonts w:ascii="Arial" w:hAnsi="Arial"/>
          <w:sz w:val="27"/>
          <w:rtl/>
          <w:lang w:bidi="fa-IR"/>
        </w:rPr>
        <w:t>ب</w:t>
      </w:r>
      <w:r w:rsidR="00194D1A" w:rsidRPr="00904FCB">
        <w:rPr>
          <w:rFonts w:ascii="Arial" w:hAnsi="Arial" w:hint="cs"/>
          <w:sz w:val="27"/>
          <w:rtl/>
          <w:lang w:bidi="fa-IR"/>
        </w:rPr>
        <w:t>ْ</w:t>
      </w:r>
      <w:r w:rsidRPr="00904FCB">
        <w:rPr>
          <w:rFonts w:ascii="Arial" w:hAnsi="Arial"/>
          <w:sz w:val="27"/>
          <w:rtl/>
          <w:lang w:bidi="fa-IR"/>
        </w:rPr>
        <w:t xml:space="preserve"> ما ير</w:t>
      </w:r>
      <w:r w:rsidR="00194D1A" w:rsidRPr="00904FCB">
        <w:rPr>
          <w:rFonts w:ascii="Arial" w:hAnsi="Arial" w:hint="cs"/>
          <w:sz w:val="27"/>
          <w:rtl/>
          <w:lang w:bidi="fa-IR"/>
        </w:rPr>
        <w:t>َ</w:t>
      </w:r>
      <w:r w:rsidRPr="00904FCB">
        <w:rPr>
          <w:rFonts w:ascii="Arial" w:hAnsi="Arial"/>
          <w:sz w:val="27"/>
          <w:rtl/>
          <w:lang w:bidi="fa-IR"/>
        </w:rPr>
        <w:t>و</w:t>
      </w:r>
      <w:r w:rsidR="00194D1A" w:rsidRPr="00904FCB">
        <w:rPr>
          <w:rFonts w:ascii="Arial" w:hAnsi="Arial" w:hint="cs"/>
          <w:sz w:val="27"/>
          <w:rtl/>
          <w:lang w:bidi="fa-IR"/>
        </w:rPr>
        <w:t>ْ</w:t>
      </w:r>
      <w:r w:rsidRPr="00904FCB">
        <w:rPr>
          <w:rFonts w:ascii="Arial" w:hAnsi="Arial"/>
          <w:sz w:val="27"/>
          <w:rtl/>
          <w:lang w:bidi="fa-IR"/>
        </w:rPr>
        <w:t>نه. برزت بمصطلحها هذا على يد أحمد بن تيمية في القرن الثامن الهجري</w:t>
      </w:r>
      <w:r w:rsidR="00194D1A" w:rsidRPr="00904FCB">
        <w:rPr>
          <w:rFonts w:ascii="Arial" w:hAnsi="Arial" w:hint="cs"/>
          <w:sz w:val="27"/>
          <w:rtl/>
          <w:lang w:bidi="fa-IR"/>
        </w:rPr>
        <w:t>،</w:t>
      </w:r>
      <w:r w:rsidRPr="00904FCB">
        <w:rPr>
          <w:rFonts w:ascii="Arial" w:hAnsi="Arial"/>
          <w:sz w:val="27"/>
          <w:rtl/>
          <w:lang w:bidi="fa-IR"/>
        </w:rPr>
        <w:t xml:space="preserve"> وقام محمد بن عبد الوهاب بإحياء هذا المصطلح من جديد</w:t>
      </w:r>
      <w:r w:rsidR="00194D1A" w:rsidRPr="00904FCB">
        <w:rPr>
          <w:rFonts w:ascii="Arial" w:hAnsi="Arial" w:hint="cs"/>
          <w:sz w:val="27"/>
          <w:rtl/>
          <w:lang w:bidi="fa-IR"/>
        </w:rPr>
        <w:t>ٍ</w:t>
      </w:r>
      <w:r w:rsidRPr="00904FCB">
        <w:rPr>
          <w:rFonts w:ascii="Arial" w:hAnsi="Arial"/>
          <w:sz w:val="27"/>
          <w:rtl/>
          <w:lang w:bidi="fa-IR"/>
        </w:rPr>
        <w:t xml:space="preserve"> في منطقة نجد في القرن الثاني عشر الهجري</w:t>
      </w:r>
      <w:r w:rsidR="00194D1A" w:rsidRPr="00904FCB">
        <w:rPr>
          <w:rFonts w:ascii="Arial" w:hAnsi="Arial" w:hint="cs"/>
          <w:sz w:val="27"/>
          <w:rtl/>
          <w:lang w:bidi="fa-IR"/>
        </w:rPr>
        <w:t>،</w:t>
      </w:r>
      <w:r w:rsidRPr="00904FCB">
        <w:rPr>
          <w:rFonts w:ascii="Arial" w:hAnsi="Arial"/>
          <w:sz w:val="27"/>
          <w:rtl/>
          <w:lang w:bidi="fa-IR"/>
        </w:rPr>
        <w:t xml:space="preserve"> </w:t>
      </w:r>
      <w:r w:rsidR="00194D1A" w:rsidRPr="00904FCB">
        <w:rPr>
          <w:rFonts w:ascii="Arial" w:hAnsi="Arial" w:hint="cs"/>
          <w:sz w:val="27"/>
          <w:rtl/>
          <w:lang w:bidi="fa-IR"/>
        </w:rPr>
        <w:t>وقد</w:t>
      </w:r>
      <w:r w:rsidRPr="00904FCB">
        <w:rPr>
          <w:rFonts w:ascii="Arial" w:hAnsi="Arial"/>
          <w:sz w:val="27"/>
          <w:rtl/>
          <w:lang w:bidi="fa-IR"/>
        </w:rPr>
        <w:t xml:space="preserve"> كانت الحركة الوه</w:t>
      </w:r>
      <w:r w:rsidR="00194D1A" w:rsidRPr="00904FCB">
        <w:rPr>
          <w:rFonts w:ascii="Arial" w:hAnsi="Arial" w:hint="cs"/>
          <w:sz w:val="27"/>
          <w:rtl/>
          <w:lang w:bidi="fa-IR"/>
        </w:rPr>
        <w:t>ّ</w:t>
      </w:r>
      <w:r w:rsidRPr="00904FCB">
        <w:rPr>
          <w:rFonts w:ascii="Arial" w:hAnsi="Arial"/>
          <w:sz w:val="27"/>
          <w:rtl/>
          <w:lang w:bidi="fa-IR"/>
        </w:rPr>
        <w:t>ابية التي أس</w:t>
      </w:r>
      <w:r w:rsidR="00194D1A" w:rsidRPr="00904FCB">
        <w:rPr>
          <w:rFonts w:ascii="Arial" w:hAnsi="Arial" w:hint="cs"/>
          <w:sz w:val="27"/>
          <w:rtl/>
          <w:lang w:bidi="fa-IR"/>
        </w:rPr>
        <w:t>َّ</w:t>
      </w:r>
      <w:r w:rsidRPr="00904FCB">
        <w:rPr>
          <w:rFonts w:ascii="Arial" w:hAnsi="Arial"/>
          <w:sz w:val="27"/>
          <w:rtl/>
          <w:lang w:bidi="fa-IR"/>
        </w:rPr>
        <w:t>سها من أبرز ممث</w:t>
      </w:r>
      <w:r w:rsidR="00194D1A" w:rsidRPr="00904FCB">
        <w:rPr>
          <w:rFonts w:ascii="Arial" w:hAnsi="Arial" w:hint="cs"/>
          <w:sz w:val="27"/>
          <w:rtl/>
          <w:lang w:bidi="fa-IR"/>
        </w:rPr>
        <w:t>ِّ</w:t>
      </w:r>
      <w:r w:rsidRPr="00904FCB">
        <w:rPr>
          <w:rFonts w:ascii="Arial" w:hAnsi="Arial"/>
          <w:sz w:val="27"/>
          <w:rtl/>
          <w:lang w:bidi="fa-IR"/>
        </w:rPr>
        <w:t>لي هذه المدرسة في العصر الحديث. ومن أهم</w:t>
      </w:r>
      <w:r w:rsidR="00194D1A" w:rsidRPr="00904FCB">
        <w:rPr>
          <w:rFonts w:ascii="Arial" w:hAnsi="Arial" w:hint="cs"/>
          <w:sz w:val="27"/>
          <w:rtl/>
          <w:lang w:bidi="fa-IR"/>
        </w:rPr>
        <w:t>ّ</w:t>
      </w:r>
      <w:r w:rsidRPr="00904FCB">
        <w:rPr>
          <w:rFonts w:ascii="Arial" w:hAnsi="Arial"/>
          <w:sz w:val="27"/>
          <w:rtl/>
          <w:lang w:bidi="fa-IR"/>
        </w:rPr>
        <w:t xml:space="preserve"> أعلامهم: عبد العزيز بن باز</w:t>
      </w:r>
      <w:r w:rsidR="00194D1A" w:rsidRPr="00904FCB">
        <w:rPr>
          <w:rFonts w:ascii="Arial" w:hAnsi="Arial" w:hint="cs"/>
          <w:sz w:val="27"/>
          <w:rtl/>
          <w:lang w:bidi="fa-IR"/>
        </w:rPr>
        <w:t>،</w:t>
      </w:r>
      <w:r w:rsidRPr="00904FCB">
        <w:rPr>
          <w:rFonts w:ascii="Arial" w:hAnsi="Arial"/>
          <w:sz w:val="27"/>
          <w:rtl/>
          <w:lang w:bidi="fa-IR"/>
        </w:rPr>
        <w:t xml:space="preserve"> ومحمد ناصر الدين الألباني</w:t>
      </w:r>
      <w:r w:rsidR="00194D1A" w:rsidRPr="00904FCB">
        <w:rPr>
          <w:rFonts w:ascii="Arial" w:hAnsi="Arial" w:hint="cs"/>
          <w:sz w:val="27"/>
          <w:rtl/>
          <w:lang w:bidi="fa-IR"/>
        </w:rPr>
        <w:t>،</w:t>
      </w:r>
      <w:r w:rsidRPr="00904FCB">
        <w:rPr>
          <w:rFonts w:ascii="Arial" w:hAnsi="Arial"/>
          <w:sz w:val="27"/>
          <w:rtl/>
          <w:lang w:bidi="fa-IR"/>
        </w:rPr>
        <w:t xml:space="preserve"> ومحمد بن صالح بن عثيمين</w:t>
      </w:r>
      <w:r w:rsidR="00194D1A" w:rsidRPr="00904FCB">
        <w:rPr>
          <w:rFonts w:ascii="Arial" w:hAnsi="Arial" w:hint="cs"/>
          <w:sz w:val="27"/>
          <w:rtl/>
          <w:lang w:bidi="fa-IR"/>
        </w:rPr>
        <w:t>،</w:t>
      </w:r>
      <w:r w:rsidRPr="00904FCB">
        <w:rPr>
          <w:rFonts w:ascii="Arial" w:hAnsi="Arial"/>
          <w:sz w:val="27"/>
          <w:rtl/>
          <w:lang w:bidi="fa-IR"/>
        </w:rPr>
        <w:t xml:space="preserve"> ويعقوب الباحسين. </w:t>
      </w:r>
    </w:p>
    <w:p w:rsidR="00841968" w:rsidRPr="00904FCB" w:rsidRDefault="00A45FD9" w:rsidP="007A21AA">
      <w:pPr>
        <w:spacing w:line="400" w:lineRule="exact"/>
        <w:rPr>
          <w:rFonts w:ascii="Arial" w:hAnsi="Arial"/>
          <w:sz w:val="27"/>
          <w:rtl/>
        </w:rPr>
      </w:pPr>
      <w:r w:rsidRPr="00904FCB">
        <w:rPr>
          <w:rFonts w:ascii="Arial" w:hAnsi="Arial"/>
          <w:sz w:val="27"/>
          <w:rtl/>
        </w:rPr>
        <w:t xml:space="preserve"> ويرى الدكتور رضوان السيد أن </w:t>
      </w:r>
      <w:r w:rsidRPr="00904FCB">
        <w:rPr>
          <w:rFonts w:hint="eastAsia"/>
          <w:sz w:val="27"/>
          <w:rtl/>
        </w:rPr>
        <w:t>«</w:t>
      </w:r>
      <w:r w:rsidRPr="00904FCB">
        <w:rPr>
          <w:rFonts w:ascii="Arial" w:hAnsi="Arial"/>
          <w:sz w:val="27"/>
          <w:rtl/>
        </w:rPr>
        <w:t>السلفية تيار عقدي إسلامي، يهدف في الأصل إلى تصحيح العقيدة والعبادة، وتنقيتهما وتنقية اعتقادات المسلم وممارساته من البدع الموروثة والطارئة. وكما كان الإمام أحمد بن حنبل في القديم، على سبيل المثال، أحد أعلام السلفية الكبار، لكن</w:t>
      </w:r>
      <w:r w:rsidR="00BD3DBD" w:rsidRPr="00904FCB">
        <w:rPr>
          <w:rFonts w:ascii="Arial" w:hAnsi="Arial" w:hint="cs"/>
          <w:sz w:val="27"/>
          <w:rtl/>
        </w:rPr>
        <w:t>ّ</w:t>
      </w:r>
      <w:r w:rsidRPr="00904FCB">
        <w:rPr>
          <w:rFonts w:ascii="Arial" w:hAnsi="Arial"/>
          <w:sz w:val="27"/>
          <w:rtl/>
        </w:rPr>
        <w:t xml:space="preserve">ها ما كانت مقصورة عليه، فكذلك الأمر </w:t>
      </w:r>
      <w:r w:rsidRPr="00904FCB">
        <w:rPr>
          <w:rFonts w:ascii="Arial" w:hAnsi="Arial"/>
          <w:sz w:val="27"/>
          <w:rtl/>
        </w:rPr>
        <w:lastRenderedPageBreak/>
        <w:t>في الأزمنة الحديثة والمعاصرة</w:t>
      </w:r>
      <w:r w:rsidR="00841968" w:rsidRPr="00904FCB">
        <w:rPr>
          <w:rFonts w:ascii="Arial" w:hAnsi="Arial" w:hint="cs"/>
          <w:sz w:val="27"/>
          <w:rtl/>
        </w:rPr>
        <w:t>؛</w:t>
      </w:r>
      <w:r w:rsidRPr="00904FCB">
        <w:rPr>
          <w:rFonts w:ascii="Arial" w:hAnsi="Arial"/>
          <w:sz w:val="27"/>
          <w:rtl/>
        </w:rPr>
        <w:t xml:space="preserve"> إذ كان الشيخ محمد بن عبد الوه</w:t>
      </w:r>
      <w:r w:rsidR="00841968" w:rsidRPr="00904FCB">
        <w:rPr>
          <w:rFonts w:ascii="Arial" w:hAnsi="Arial" w:hint="cs"/>
          <w:sz w:val="27"/>
          <w:rtl/>
        </w:rPr>
        <w:t>ّ</w:t>
      </w:r>
      <w:r w:rsidRPr="00904FCB">
        <w:rPr>
          <w:rFonts w:ascii="Arial" w:hAnsi="Arial"/>
          <w:sz w:val="27"/>
          <w:rtl/>
        </w:rPr>
        <w:t>اب ع</w:t>
      </w:r>
      <w:r w:rsidR="00841968" w:rsidRPr="00904FCB">
        <w:rPr>
          <w:rFonts w:ascii="Arial" w:hAnsi="Arial" w:hint="cs"/>
          <w:sz w:val="27"/>
          <w:rtl/>
        </w:rPr>
        <w:t>َ</w:t>
      </w:r>
      <w:r w:rsidRPr="00904FCB">
        <w:rPr>
          <w:rFonts w:ascii="Arial" w:hAnsi="Arial"/>
          <w:sz w:val="27"/>
          <w:rtl/>
        </w:rPr>
        <w:t>ل</w:t>
      </w:r>
      <w:r w:rsidR="00841968" w:rsidRPr="00904FCB">
        <w:rPr>
          <w:rFonts w:ascii="Arial" w:hAnsi="Arial" w:hint="cs"/>
          <w:sz w:val="27"/>
          <w:rtl/>
        </w:rPr>
        <w:t>َ</w:t>
      </w:r>
      <w:r w:rsidRPr="00904FCB">
        <w:rPr>
          <w:rFonts w:ascii="Arial" w:hAnsi="Arial"/>
          <w:sz w:val="27"/>
          <w:rtl/>
        </w:rPr>
        <w:t>ماً من أعلام السلفية في نجد وشبه الجزيرة العربية</w:t>
      </w:r>
      <w:r w:rsidR="00841968" w:rsidRPr="00904FCB">
        <w:rPr>
          <w:rFonts w:ascii="Arial" w:hAnsi="Arial" w:hint="cs"/>
          <w:sz w:val="27"/>
          <w:rtl/>
        </w:rPr>
        <w:t>،</w:t>
      </w:r>
      <w:r w:rsidRPr="00904FCB">
        <w:rPr>
          <w:rFonts w:ascii="Arial" w:hAnsi="Arial"/>
          <w:sz w:val="27"/>
          <w:rtl/>
        </w:rPr>
        <w:t xml:space="preserve"> ب</w:t>
      </w:r>
      <w:r w:rsidR="00841968" w:rsidRPr="00904FCB">
        <w:rPr>
          <w:rFonts w:ascii="Arial" w:hAnsi="Arial" w:hint="cs"/>
          <w:sz w:val="27"/>
          <w:rtl/>
        </w:rPr>
        <w:t>َ</w:t>
      </w:r>
      <w:r w:rsidRPr="00904FCB">
        <w:rPr>
          <w:rFonts w:ascii="Arial" w:hAnsi="Arial"/>
          <w:sz w:val="27"/>
          <w:rtl/>
        </w:rPr>
        <w:t>ي</w:t>
      </w:r>
      <w:r w:rsidR="00841968" w:rsidRPr="00904FCB">
        <w:rPr>
          <w:rFonts w:ascii="Arial" w:hAnsi="Arial" w:hint="cs"/>
          <w:sz w:val="27"/>
          <w:rtl/>
        </w:rPr>
        <w:t>ْ</w:t>
      </w:r>
      <w:r w:rsidRPr="00904FCB">
        <w:rPr>
          <w:rFonts w:ascii="Arial" w:hAnsi="Arial"/>
          <w:sz w:val="27"/>
          <w:rtl/>
        </w:rPr>
        <w:t>د</w:t>
      </w:r>
      <w:r w:rsidR="00841968" w:rsidRPr="00904FCB">
        <w:rPr>
          <w:rFonts w:ascii="Arial" w:hAnsi="Arial" w:hint="cs"/>
          <w:sz w:val="27"/>
          <w:rtl/>
        </w:rPr>
        <w:t>َ</w:t>
      </w:r>
      <w:r w:rsidRPr="00904FCB">
        <w:rPr>
          <w:rFonts w:ascii="Arial" w:hAnsi="Arial"/>
          <w:sz w:val="27"/>
          <w:rtl/>
        </w:rPr>
        <w:t xml:space="preserve"> أن السلفية ما اقتصرت على نجد والجزيرة، بل انتشرت في القرنين الأخيرين في الحجاز واليمن وأفريقيا والهند والمغرب ومصر والشام</w:t>
      </w:r>
      <w:r w:rsidRPr="00904FCB">
        <w:rPr>
          <w:rFonts w:hint="eastAsia"/>
          <w:sz w:val="27"/>
          <w:rtl/>
        </w:rPr>
        <w:t>»</w:t>
      </w:r>
      <w:r w:rsidRPr="00904FCB">
        <w:rPr>
          <w:sz w:val="27"/>
          <w:vertAlign w:val="superscript"/>
          <w:rtl/>
        </w:rPr>
        <w:t>(</w:t>
      </w:r>
      <w:r w:rsidRPr="00904FCB">
        <w:rPr>
          <w:sz w:val="27"/>
          <w:vertAlign w:val="superscript"/>
          <w:rtl/>
        </w:rPr>
        <w:endnoteReference w:id="95"/>
      </w:r>
      <w:r w:rsidRPr="00904FCB">
        <w:rPr>
          <w:sz w:val="27"/>
          <w:vertAlign w:val="superscript"/>
          <w:rtl/>
        </w:rPr>
        <w:t>)</w:t>
      </w:r>
      <w:r w:rsidR="00841968" w:rsidRPr="00904FCB">
        <w:rPr>
          <w:rFonts w:ascii="Arial" w:hAnsi="Arial"/>
          <w:sz w:val="27"/>
          <w:rtl/>
        </w:rPr>
        <w:t>.</w:t>
      </w:r>
    </w:p>
    <w:p w:rsidR="00A45FD9" w:rsidRPr="00904FCB" w:rsidRDefault="00841968" w:rsidP="007A21AA">
      <w:pPr>
        <w:spacing w:line="400" w:lineRule="exact"/>
        <w:rPr>
          <w:rFonts w:ascii="Arial" w:hAnsi="Arial"/>
          <w:sz w:val="27"/>
          <w:rtl/>
        </w:rPr>
      </w:pPr>
      <w:r w:rsidRPr="00904FCB">
        <w:rPr>
          <w:rFonts w:ascii="Arial" w:hAnsi="Arial" w:hint="cs"/>
          <w:sz w:val="27"/>
          <w:rtl/>
        </w:rPr>
        <w:t>و</w:t>
      </w:r>
      <w:r w:rsidR="00A45FD9" w:rsidRPr="00904FCB">
        <w:rPr>
          <w:rFonts w:ascii="Arial" w:hAnsi="Arial"/>
          <w:sz w:val="27"/>
          <w:rtl/>
        </w:rPr>
        <w:t xml:space="preserve">يرى آخرون أن مسمَّى الحركة السلفية </w:t>
      </w:r>
      <w:r w:rsidR="00A45FD9" w:rsidRPr="00904FCB">
        <w:rPr>
          <w:rFonts w:hint="eastAsia"/>
          <w:sz w:val="27"/>
          <w:rtl/>
        </w:rPr>
        <w:t>«</w:t>
      </w:r>
      <w:r w:rsidR="00A45FD9" w:rsidRPr="00904FCB">
        <w:rPr>
          <w:rFonts w:ascii="Arial" w:hAnsi="Arial"/>
          <w:sz w:val="27"/>
          <w:rtl/>
        </w:rPr>
        <w:t>يعني المدرسة الن</w:t>
      </w:r>
      <w:r w:rsidRPr="00904FCB">
        <w:rPr>
          <w:rFonts w:ascii="Arial" w:hAnsi="Arial" w:hint="cs"/>
          <w:sz w:val="27"/>
          <w:rtl/>
        </w:rPr>
        <w:t>َّ</w:t>
      </w:r>
      <w:r w:rsidR="00A45FD9" w:rsidRPr="00904FCB">
        <w:rPr>
          <w:rFonts w:ascii="Arial" w:hAnsi="Arial"/>
          <w:sz w:val="27"/>
          <w:rtl/>
        </w:rPr>
        <w:t>ج</w:t>
      </w:r>
      <w:r w:rsidRPr="00904FCB">
        <w:rPr>
          <w:rFonts w:ascii="Arial" w:hAnsi="Arial" w:hint="cs"/>
          <w:sz w:val="27"/>
          <w:rtl/>
        </w:rPr>
        <w:t>ْ</w:t>
      </w:r>
      <w:r w:rsidR="00A45FD9" w:rsidRPr="00904FCB">
        <w:rPr>
          <w:rFonts w:ascii="Arial" w:hAnsi="Arial"/>
          <w:sz w:val="27"/>
          <w:rtl/>
        </w:rPr>
        <w:t>دية ذات الجذور الحنبلية، التي أس</w:t>
      </w:r>
      <w:r w:rsidRPr="00904FCB">
        <w:rPr>
          <w:rFonts w:ascii="Arial" w:hAnsi="Arial" w:hint="cs"/>
          <w:sz w:val="27"/>
          <w:rtl/>
        </w:rPr>
        <w:t>َّ</w:t>
      </w:r>
      <w:r w:rsidR="00A45FD9" w:rsidRPr="00904FCB">
        <w:rPr>
          <w:rFonts w:ascii="Arial" w:hAnsi="Arial"/>
          <w:sz w:val="27"/>
          <w:rtl/>
        </w:rPr>
        <w:t>سها الشيخ محمد بن عبد الوهاب في نجد</w:t>
      </w:r>
      <w:r w:rsidR="00A45FD9" w:rsidRPr="00904FCB">
        <w:rPr>
          <w:rFonts w:hint="eastAsia"/>
          <w:sz w:val="27"/>
          <w:rtl/>
        </w:rPr>
        <w:t>»</w:t>
      </w:r>
      <w:r w:rsidR="00A45FD9" w:rsidRPr="00904FCB">
        <w:rPr>
          <w:sz w:val="27"/>
          <w:vertAlign w:val="superscript"/>
          <w:rtl/>
        </w:rPr>
        <w:t>(</w:t>
      </w:r>
      <w:r w:rsidR="00A45FD9" w:rsidRPr="00904FCB">
        <w:rPr>
          <w:sz w:val="27"/>
          <w:vertAlign w:val="superscript"/>
          <w:rtl/>
        </w:rPr>
        <w:endnoteReference w:id="96"/>
      </w:r>
      <w:r w:rsidR="00A45FD9" w:rsidRPr="00904FCB">
        <w:rPr>
          <w:sz w:val="27"/>
          <w:vertAlign w:val="superscript"/>
          <w:rtl/>
        </w:rPr>
        <w:t>)</w:t>
      </w:r>
      <w:r w:rsidR="00A45FD9" w:rsidRPr="00904FCB">
        <w:rPr>
          <w:rFonts w:ascii="Arial" w:hAnsi="Arial"/>
          <w:sz w:val="27"/>
          <w:rtl/>
        </w:rPr>
        <w:t xml:space="preserve">. </w:t>
      </w:r>
    </w:p>
    <w:p w:rsidR="00A45FD9" w:rsidRPr="00904FCB" w:rsidRDefault="00A45FD9" w:rsidP="007A21AA">
      <w:pPr>
        <w:spacing w:line="400" w:lineRule="exact"/>
        <w:rPr>
          <w:rFonts w:ascii="Arial" w:hAnsi="Arial"/>
          <w:sz w:val="27"/>
          <w:rtl/>
        </w:rPr>
      </w:pPr>
    </w:p>
    <w:p w:rsidR="00A45FD9" w:rsidRPr="00904FCB" w:rsidRDefault="00A45FD9" w:rsidP="007A21AA">
      <w:pPr>
        <w:pStyle w:val="31"/>
        <w:spacing w:line="400" w:lineRule="exact"/>
        <w:rPr>
          <w:color w:val="auto"/>
        </w:rPr>
      </w:pPr>
      <w:r w:rsidRPr="00904FCB">
        <w:rPr>
          <w:color w:val="auto"/>
          <w:rtl/>
        </w:rPr>
        <w:t>أنواع الس</w:t>
      </w:r>
      <w:r w:rsidR="00841968" w:rsidRPr="00904FCB">
        <w:rPr>
          <w:rFonts w:hint="cs"/>
          <w:color w:val="auto"/>
          <w:rtl/>
        </w:rPr>
        <w:t>َّ</w:t>
      </w:r>
      <w:r w:rsidRPr="00904FCB">
        <w:rPr>
          <w:color w:val="auto"/>
          <w:rtl/>
        </w:rPr>
        <w:t>ل</w:t>
      </w:r>
      <w:r w:rsidR="00841968" w:rsidRPr="00904FCB">
        <w:rPr>
          <w:rFonts w:hint="cs"/>
          <w:color w:val="auto"/>
          <w:rtl/>
        </w:rPr>
        <w:t>َ</w:t>
      </w:r>
      <w:r w:rsidRPr="00904FCB">
        <w:rPr>
          <w:color w:val="auto"/>
          <w:rtl/>
        </w:rPr>
        <w:t>فية</w:t>
      </w:r>
    </w:p>
    <w:p w:rsidR="00A45FD9" w:rsidRPr="00904FCB" w:rsidRDefault="00A45FD9" w:rsidP="007A21AA">
      <w:pPr>
        <w:spacing w:line="400" w:lineRule="exact"/>
        <w:rPr>
          <w:rFonts w:ascii="Arial" w:hAnsi="Arial"/>
          <w:sz w:val="27"/>
          <w:rtl/>
        </w:rPr>
      </w:pPr>
      <w:r w:rsidRPr="00904FCB">
        <w:rPr>
          <w:rFonts w:ascii="Arial" w:hAnsi="Arial"/>
          <w:sz w:val="27"/>
          <w:rtl/>
        </w:rPr>
        <w:t>تعتبر السعو</w:t>
      </w:r>
      <w:r w:rsidRPr="00904FCB">
        <w:rPr>
          <w:rFonts w:ascii="Arial" w:hAnsi="Arial"/>
          <w:sz w:val="27"/>
          <w:rtl/>
          <w:lang w:bidi="ar-LB"/>
        </w:rPr>
        <w:t xml:space="preserve">دية </w:t>
      </w:r>
      <w:r w:rsidRPr="00904FCB">
        <w:rPr>
          <w:rFonts w:ascii="Arial" w:hAnsi="Arial"/>
          <w:sz w:val="27"/>
          <w:rtl/>
        </w:rPr>
        <w:t>المعقل الرئيس للدعوة السلفية المعاصرة، منذ تأسيسها الأول (في القرن السابع عشر)</w:t>
      </w:r>
      <w:r w:rsidR="00841968" w:rsidRPr="00904FCB">
        <w:rPr>
          <w:rFonts w:ascii="Arial" w:hAnsi="Arial" w:hint="cs"/>
          <w:sz w:val="27"/>
          <w:rtl/>
        </w:rPr>
        <w:t>،</w:t>
      </w:r>
      <w:r w:rsidRPr="00904FCB">
        <w:rPr>
          <w:rFonts w:ascii="Arial" w:hAnsi="Arial"/>
          <w:sz w:val="27"/>
          <w:rtl/>
        </w:rPr>
        <w:t xml:space="preserve"> والثاني (بداية القرن العشرين)، حين تزاوجت الدعوة بالدولة، واستثمر الحك</w:t>
      </w:r>
      <w:r w:rsidR="00841968" w:rsidRPr="00904FCB">
        <w:rPr>
          <w:rFonts w:ascii="Arial" w:hAnsi="Arial" w:hint="cs"/>
          <w:sz w:val="27"/>
          <w:rtl/>
        </w:rPr>
        <w:t>ّ</w:t>
      </w:r>
      <w:r w:rsidRPr="00904FCB">
        <w:rPr>
          <w:rFonts w:ascii="Arial" w:hAnsi="Arial"/>
          <w:sz w:val="27"/>
          <w:rtl/>
        </w:rPr>
        <w:t>ام ذلك خلال النصف الأول من القرن العشرين في توحيد الأراضي السعودية تحت غطاء الشرعية الدينية، ما أدّى إلى توزيع المجالين السياسي والديني بين حك</w:t>
      </w:r>
      <w:r w:rsidR="00841968" w:rsidRPr="00904FCB">
        <w:rPr>
          <w:rFonts w:ascii="Arial" w:hAnsi="Arial" w:hint="cs"/>
          <w:sz w:val="27"/>
          <w:rtl/>
        </w:rPr>
        <w:t>ّ</w:t>
      </w:r>
      <w:r w:rsidRPr="00904FCB">
        <w:rPr>
          <w:rFonts w:ascii="Arial" w:hAnsi="Arial"/>
          <w:sz w:val="27"/>
          <w:rtl/>
        </w:rPr>
        <w:t>ام السعودية وعلماء السلفية</w:t>
      </w:r>
      <w:r w:rsidRPr="00904FCB">
        <w:rPr>
          <w:sz w:val="27"/>
          <w:vertAlign w:val="superscript"/>
          <w:rtl/>
        </w:rPr>
        <w:t>(</w:t>
      </w:r>
      <w:r w:rsidRPr="00904FCB">
        <w:rPr>
          <w:sz w:val="27"/>
          <w:vertAlign w:val="superscript"/>
          <w:rtl/>
        </w:rPr>
        <w:endnoteReference w:id="97"/>
      </w:r>
      <w:r w:rsidRPr="00904FCB">
        <w:rPr>
          <w:sz w:val="27"/>
          <w:vertAlign w:val="superscript"/>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rPr>
        <w:t>تتميّز السلفية في السعودية بطابع</w:t>
      </w:r>
      <w:r w:rsidR="00841968" w:rsidRPr="00904FCB">
        <w:rPr>
          <w:rFonts w:ascii="Arial" w:hAnsi="Arial" w:hint="cs"/>
          <w:sz w:val="27"/>
          <w:rtl/>
        </w:rPr>
        <w:t>ٍ</w:t>
      </w:r>
      <w:r w:rsidRPr="00904FCB">
        <w:rPr>
          <w:rFonts w:ascii="Arial" w:hAnsi="Arial"/>
          <w:sz w:val="27"/>
          <w:rtl/>
        </w:rPr>
        <w:t xml:space="preserve"> فريد، مقارنةً بالدول الأخرى، فإن</w:t>
      </w:r>
      <w:r w:rsidR="00841968" w:rsidRPr="00904FCB">
        <w:rPr>
          <w:rFonts w:ascii="Arial" w:hAnsi="Arial" w:hint="cs"/>
          <w:sz w:val="27"/>
          <w:rtl/>
        </w:rPr>
        <w:t>ْ</w:t>
      </w:r>
      <w:r w:rsidRPr="00904FCB">
        <w:rPr>
          <w:rFonts w:ascii="Arial" w:hAnsi="Arial"/>
          <w:sz w:val="27"/>
          <w:rtl/>
        </w:rPr>
        <w:t xml:space="preserve"> لم يكن هنالك دستور مكتوب للمملكة فإنّ ذلك يعود </w:t>
      </w:r>
      <w:r w:rsidR="00841968" w:rsidRPr="00904FCB">
        <w:rPr>
          <w:rFonts w:ascii="Arial" w:hAnsi="Arial" w:hint="cs"/>
          <w:sz w:val="27"/>
          <w:rtl/>
        </w:rPr>
        <w:t>إلى ال</w:t>
      </w:r>
      <w:r w:rsidRPr="00904FCB">
        <w:rPr>
          <w:rFonts w:ascii="Arial" w:hAnsi="Arial"/>
          <w:sz w:val="27"/>
          <w:rtl/>
        </w:rPr>
        <w:t>علاقة الخاص</w:t>
      </w:r>
      <w:r w:rsidR="00841968" w:rsidRPr="00904FCB">
        <w:rPr>
          <w:rFonts w:ascii="Arial" w:hAnsi="Arial" w:hint="cs"/>
          <w:sz w:val="27"/>
          <w:rtl/>
        </w:rPr>
        <w:t>ّ</w:t>
      </w:r>
      <w:r w:rsidRPr="00904FCB">
        <w:rPr>
          <w:rFonts w:ascii="Arial" w:hAnsi="Arial"/>
          <w:sz w:val="27"/>
          <w:rtl/>
        </w:rPr>
        <w:t xml:space="preserve">ة بين الدين والدولة، وتحديداً الدعوة السلفية، منذ لحظة ميلاد الدولة الحديثة في العام </w:t>
      </w:r>
      <w:r w:rsidRPr="00B13398">
        <w:rPr>
          <w:rFonts w:ascii="Arial" w:hAnsi="Arial"/>
          <w:sz w:val="27"/>
          <w:rtl/>
        </w:rPr>
        <w:t>1744</w:t>
      </w:r>
      <w:r w:rsidR="00841968" w:rsidRPr="00904FCB">
        <w:rPr>
          <w:rFonts w:ascii="Arial" w:hAnsi="Arial" w:hint="cs"/>
          <w:sz w:val="27"/>
          <w:rtl/>
        </w:rPr>
        <w:t>؛</w:t>
      </w:r>
      <w:r w:rsidRPr="00904FCB">
        <w:rPr>
          <w:rFonts w:ascii="Arial" w:hAnsi="Arial"/>
          <w:sz w:val="27"/>
          <w:rtl/>
        </w:rPr>
        <w:t xml:space="preserve"> إذ تكوّ</w:t>
      </w:r>
      <w:r w:rsidR="00841968" w:rsidRPr="00904FCB">
        <w:rPr>
          <w:rFonts w:ascii="Arial" w:hAnsi="Arial" w:hint="cs"/>
          <w:sz w:val="27"/>
          <w:rtl/>
        </w:rPr>
        <w:t>َ</w:t>
      </w:r>
      <w:r w:rsidRPr="00904FCB">
        <w:rPr>
          <w:rFonts w:ascii="Arial" w:hAnsi="Arial"/>
          <w:sz w:val="27"/>
          <w:rtl/>
        </w:rPr>
        <w:t>ن</w:t>
      </w:r>
      <w:r w:rsidR="00841968" w:rsidRPr="00904FCB">
        <w:rPr>
          <w:rFonts w:ascii="Arial" w:hAnsi="Arial" w:hint="cs"/>
          <w:sz w:val="27"/>
          <w:rtl/>
        </w:rPr>
        <w:t>َ</w:t>
      </w:r>
      <w:r w:rsidRPr="00904FCB">
        <w:rPr>
          <w:rFonts w:ascii="Arial" w:hAnsi="Arial"/>
          <w:sz w:val="27"/>
          <w:rtl/>
        </w:rPr>
        <w:t>ت</w:t>
      </w:r>
      <w:r w:rsidR="00841968" w:rsidRPr="00904FCB">
        <w:rPr>
          <w:rFonts w:ascii="Arial" w:hAnsi="Arial" w:hint="cs"/>
          <w:sz w:val="27"/>
          <w:rtl/>
        </w:rPr>
        <w:t>ْ</w:t>
      </w:r>
      <w:r w:rsidRPr="00904FCB">
        <w:rPr>
          <w:rFonts w:ascii="Arial" w:hAnsi="Arial"/>
          <w:sz w:val="27"/>
          <w:rtl/>
        </w:rPr>
        <w:t xml:space="preserve"> الدولة واكتسب</w:t>
      </w:r>
      <w:r w:rsidR="00841968" w:rsidRPr="00904FCB">
        <w:rPr>
          <w:rFonts w:ascii="Arial" w:hAnsi="Arial" w:hint="cs"/>
          <w:sz w:val="27"/>
          <w:rtl/>
        </w:rPr>
        <w:t>َ</w:t>
      </w:r>
      <w:r w:rsidRPr="00904FCB">
        <w:rPr>
          <w:rFonts w:ascii="Arial" w:hAnsi="Arial"/>
          <w:sz w:val="27"/>
          <w:rtl/>
        </w:rPr>
        <w:t>ت</w:t>
      </w:r>
      <w:r w:rsidR="00841968" w:rsidRPr="00904FCB">
        <w:rPr>
          <w:rFonts w:ascii="Arial" w:hAnsi="Arial" w:hint="cs"/>
          <w:sz w:val="27"/>
          <w:rtl/>
        </w:rPr>
        <w:t>ْ</w:t>
      </w:r>
      <w:r w:rsidRPr="00904FCB">
        <w:rPr>
          <w:rFonts w:ascii="Arial" w:hAnsi="Arial"/>
          <w:sz w:val="27"/>
          <w:rtl/>
        </w:rPr>
        <w:t xml:space="preserve"> شرعيتها بتزاوج حكم محمد بن سعود ودعوة محمد بن عبد الوه</w:t>
      </w:r>
      <w:r w:rsidR="00841968" w:rsidRPr="00904FCB">
        <w:rPr>
          <w:rFonts w:ascii="Arial" w:hAnsi="Arial" w:hint="cs"/>
          <w:sz w:val="27"/>
          <w:rtl/>
        </w:rPr>
        <w:t>ّ</w:t>
      </w:r>
      <w:r w:rsidRPr="00904FCB">
        <w:rPr>
          <w:rFonts w:ascii="Arial" w:hAnsi="Arial"/>
          <w:sz w:val="27"/>
          <w:rtl/>
        </w:rPr>
        <w:t>اب، وأصبحت الدعوة السلفية ـ الوهابية مكوّ</w:t>
      </w:r>
      <w:r w:rsidR="00841968" w:rsidRPr="00904FCB">
        <w:rPr>
          <w:rFonts w:ascii="Arial" w:hAnsi="Arial" w:hint="cs"/>
          <w:sz w:val="27"/>
          <w:rtl/>
        </w:rPr>
        <w:t>ِ</w:t>
      </w:r>
      <w:r w:rsidRPr="00904FCB">
        <w:rPr>
          <w:rFonts w:ascii="Arial" w:hAnsi="Arial"/>
          <w:sz w:val="27"/>
          <w:rtl/>
        </w:rPr>
        <w:t>ناً أساسياً من مكوّ</w:t>
      </w:r>
      <w:r w:rsidR="00841968" w:rsidRPr="00904FCB">
        <w:rPr>
          <w:rFonts w:ascii="Arial" w:hAnsi="Arial" w:hint="cs"/>
          <w:sz w:val="27"/>
          <w:rtl/>
        </w:rPr>
        <w:t>ِ</w:t>
      </w:r>
      <w:r w:rsidRPr="00904FCB">
        <w:rPr>
          <w:rFonts w:ascii="Arial" w:hAnsi="Arial"/>
          <w:sz w:val="27"/>
          <w:rtl/>
        </w:rPr>
        <w:t>نات الدولة وشخصي</w:t>
      </w:r>
      <w:r w:rsidR="00841968" w:rsidRPr="00904FCB">
        <w:rPr>
          <w:rFonts w:ascii="Arial" w:hAnsi="Arial" w:hint="cs"/>
          <w:sz w:val="27"/>
          <w:rtl/>
        </w:rPr>
        <w:t>ّ</w:t>
      </w:r>
      <w:r w:rsidRPr="00904FCB">
        <w:rPr>
          <w:rFonts w:ascii="Arial" w:hAnsi="Arial"/>
          <w:sz w:val="27"/>
          <w:rtl/>
        </w:rPr>
        <w:t>تها السياسية والتاريخية، وعاملاً مهمّاً في تطو</w:t>
      </w:r>
      <w:r w:rsidR="00841968" w:rsidRPr="00904FCB">
        <w:rPr>
          <w:rFonts w:ascii="Arial" w:hAnsi="Arial" w:hint="cs"/>
          <w:sz w:val="27"/>
          <w:rtl/>
        </w:rPr>
        <w:t>ُّ</w:t>
      </w:r>
      <w:r w:rsidRPr="00904FCB">
        <w:rPr>
          <w:rFonts w:ascii="Arial" w:hAnsi="Arial"/>
          <w:sz w:val="27"/>
          <w:rtl/>
        </w:rPr>
        <w:t xml:space="preserve">رها ووحدتها السياسية. </w:t>
      </w:r>
    </w:p>
    <w:p w:rsidR="00A45FD9" w:rsidRPr="00904FCB" w:rsidRDefault="00A45FD9" w:rsidP="007A21AA">
      <w:pPr>
        <w:spacing w:line="400" w:lineRule="exact"/>
        <w:rPr>
          <w:rFonts w:ascii="Arial" w:hAnsi="Arial"/>
          <w:sz w:val="27"/>
          <w:rtl/>
        </w:rPr>
      </w:pPr>
      <w:r w:rsidRPr="00904FCB">
        <w:rPr>
          <w:rFonts w:ascii="Arial" w:hAnsi="Arial"/>
          <w:sz w:val="27"/>
          <w:rtl/>
        </w:rPr>
        <w:t xml:space="preserve"> </w:t>
      </w:r>
      <w:r w:rsidR="00841968" w:rsidRPr="00904FCB">
        <w:rPr>
          <w:rFonts w:ascii="Arial" w:hAnsi="Arial" w:hint="cs"/>
          <w:sz w:val="27"/>
          <w:rtl/>
        </w:rPr>
        <w:t>و</w:t>
      </w:r>
      <w:r w:rsidRPr="00904FCB">
        <w:rPr>
          <w:rFonts w:ascii="Arial" w:hAnsi="Arial"/>
          <w:sz w:val="27"/>
          <w:rtl/>
        </w:rPr>
        <w:t xml:space="preserve">لم تختلف </w:t>
      </w:r>
      <w:r w:rsidR="00841968" w:rsidRPr="00904FCB">
        <w:rPr>
          <w:rFonts w:ascii="Arial" w:hAnsi="Arial"/>
          <w:sz w:val="27"/>
          <w:rtl/>
        </w:rPr>
        <w:t xml:space="preserve">الحال </w:t>
      </w:r>
      <w:r w:rsidRPr="00904FCB">
        <w:rPr>
          <w:rFonts w:ascii="Arial" w:hAnsi="Arial"/>
          <w:sz w:val="27"/>
          <w:rtl/>
        </w:rPr>
        <w:t>مع الميلاد الثاني للدولة في بداية القرن العشرين على يد عبد العزيز بن سعود</w:t>
      </w:r>
      <w:r w:rsidR="00841968" w:rsidRPr="00904FCB">
        <w:rPr>
          <w:rFonts w:ascii="Arial" w:hAnsi="Arial" w:hint="cs"/>
          <w:sz w:val="27"/>
          <w:rtl/>
        </w:rPr>
        <w:t>؛</w:t>
      </w:r>
      <w:r w:rsidRPr="00904FCB">
        <w:rPr>
          <w:rFonts w:ascii="Arial" w:hAnsi="Arial"/>
          <w:sz w:val="27"/>
          <w:rtl/>
        </w:rPr>
        <w:t xml:space="preserve"> إذ استعان بشيوخ الدعوة السلفية</w:t>
      </w:r>
      <w:r w:rsidR="00841968" w:rsidRPr="00904FCB">
        <w:rPr>
          <w:rFonts w:ascii="Arial" w:hAnsi="Arial" w:hint="cs"/>
          <w:sz w:val="27"/>
          <w:rtl/>
        </w:rPr>
        <w:t>؛</w:t>
      </w:r>
      <w:r w:rsidRPr="00904FCB">
        <w:rPr>
          <w:rFonts w:ascii="Arial" w:hAnsi="Arial"/>
          <w:sz w:val="27"/>
          <w:rtl/>
        </w:rPr>
        <w:t xml:space="preserve"> لبسط سيطرته وسلطته، ومواجهة خصومه، وتعزيز شرعيته السياسية والدينية</w:t>
      </w:r>
      <w:r w:rsidR="00841968" w:rsidRPr="00904FCB">
        <w:rPr>
          <w:rFonts w:ascii="Arial" w:hAnsi="Arial" w:hint="cs"/>
          <w:sz w:val="27"/>
          <w:rtl/>
        </w:rPr>
        <w:t>.</w:t>
      </w:r>
      <w:r w:rsidRPr="00904FCB">
        <w:rPr>
          <w:rFonts w:ascii="Arial" w:hAnsi="Arial"/>
          <w:sz w:val="27"/>
          <w:rtl/>
        </w:rPr>
        <w:t xml:space="preserve"> وتكرّ</w:t>
      </w:r>
      <w:r w:rsidR="00841968" w:rsidRPr="00904FCB">
        <w:rPr>
          <w:rFonts w:ascii="Arial" w:hAnsi="Arial" w:hint="cs"/>
          <w:sz w:val="27"/>
          <w:rtl/>
        </w:rPr>
        <w:t>َ</w:t>
      </w:r>
      <w:r w:rsidRPr="00904FCB">
        <w:rPr>
          <w:rFonts w:ascii="Arial" w:hAnsi="Arial"/>
          <w:sz w:val="27"/>
          <w:rtl/>
        </w:rPr>
        <w:t>ست الس</w:t>
      </w:r>
      <w:r w:rsidR="00841968" w:rsidRPr="00904FCB">
        <w:rPr>
          <w:rFonts w:ascii="Arial" w:hAnsi="Arial" w:hint="cs"/>
          <w:sz w:val="27"/>
          <w:rtl/>
        </w:rPr>
        <w:t>َّ</w:t>
      </w:r>
      <w:r w:rsidRPr="00904FCB">
        <w:rPr>
          <w:rFonts w:ascii="Arial" w:hAnsi="Arial"/>
          <w:sz w:val="27"/>
          <w:rtl/>
        </w:rPr>
        <w:t>ل</w:t>
      </w:r>
      <w:r w:rsidR="00841968" w:rsidRPr="00904FCB">
        <w:rPr>
          <w:rFonts w:ascii="Arial" w:hAnsi="Arial" w:hint="cs"/>
          <w:sz w:val="27"/>
          <w:rtl/>
        </w:rPr>
        <w:t>َ</w:t>
      </w:r>
      <w:r w:rsidRPr="00904FCB">
        <w:rPr>
          <w:rFonts w:ascii="Arial" w:hAnsi="Arial"/>
          <w:sz w:val="27"/>
          <w:rtl/>
        </w:rPr>
        <w:t xml:space="preserve">فية بوصفها الأيديولوجيا الواقعية للدولة السعودية، فأصبحت المذهب السائد في مختلف شؤون الحياة التعليمية والاجتماعية والثقافية والدينية. </w:t>
      </w:r>
    </w:p>
    <w:p w:rsidR="00A45FD9" w:rsidRPr="00904FCB" w:rsidRDefault="00A45FD9" w:rsidP="007A21AA">
      <w:pPr>
        <w:spacing w:line="400" w:lineRule="exact"/>
        <w:rPr>
          <w:rFonts w:ascii="Arial" w:hAnsi="Arial"/>
          <w:sz w:val="27"/>
          <w:rtl/>
        </w:rPr>
      </w:pPr>
      <w:r w:rsidRPr="00904FCB">
        <w:rPr>
          <w:rFonts w:ascii="Arial" w:hAnsi="Arial"/>
          <w:sz w:val="27"/>
          <w:rtl/>
        </w:rPr>
        <w:t xml:space="preserve"> تُرك للدعوة السلفية سلطة الهيمنة على المجال الديني والتأثير </w:t>
      </w:r>
      <w:r w:rsidR="00841968" w:rsidRPr="00904FCB">
        <w:rPr>
          <w:rFonts w:ascii="Arial" w:hAnsi="Arial" w:hint="cs"/>
          <w:sz w:val="27"/>
          <w:rtl/>
        </w:rPr>
        <w:t>في المجال</w:t>
      </w:r>
      <w:r w:rsidRPr="00904FCB">
        <w:rPr>
          <w:rFonts w:ascii="Arial" w:hAnsi="Arial"/>
          <w:sz w:val="27"/>
          <w:rtl/>
        </w:rPr>
        <w:t xml:space="preserve"> الاجتماعي، وتسييره بما يتوافق مع عقائدها ومبادئها ومواقفها الدينية، فيما ساعدت </w:t>
      </w:r>
      <w:r w:rsidRPr="00904FCB">
        <w:rPr>
          <w:rFonts w:ascii="Arial" w:hAnsi="Arial"/>
          <w:sz w:val="27"/>
          <w:rtl/>
        </w:rPr>
        <w:lastRenderedPageBreak/>
        <w:t xml:space="preserve">الدعوة السلفية خلال العقود السبعة الأولى من القرن العشرين على تثبيت الشرعية الدينية للدولة، والتخلّي عن </w:t>
      </w:r>
      <w:r w:rsidRPr="00904FCB">
        <w:rPr>
          <w:rFonts w:hint="eastAsia"/>
          <w:sz w:val="27"/>
          <w:rtl/>
        </w:rPr>
        <w:t>«</w:t>
      </w:r>
      <w:r w:rsidRPr="00904FCB">
        <w:rPr>
          <w:rFonts w:ascii="Arial" w:hAnsi="Arial"/>
          <w:sz w:val="27"/>
          <w:rtl/>
        </w:rPr>
        <w:t>المجال السياسي</w:t>
      </w:r>
      <w:r w:rsidRPr="00904FCB">
        <w:rPr>
          <w:rFonts w:hint="eastAsia"/>
          <w:sz w:val="27"/>
          <w:rtl/>
        </w:rPr>
        <w:t>»</w:t>
      </w:r>
      <w:r w:rsidRPr="00904FCB">
        <w:rPr>
          <w:rFonts w:ascii="Arial" w:hAnsi="Arial"/>
          <w:sz w:val="27"/>
          <w:rtl/>
        </w:rPr>
        <w:t xml:space="preserve"> لآل سعود، وخضعت ديناميكية الدولة والحكم لمبدأ تقاسم الأدوار السياسية والدينية بين ذر</w:t>
      </w:r>
      <w:r w:rsidR="00841968" w:rsidRPr="00904FCB">
        <w:rPr>
          <w:rFonts w:ascii="Arial" w:hAnsi="Arial" w:hint="cs"/>
          <w:sz w:val="27"/>
          <w:rtl/>
        </w:rPr>
        <w:t>ّ</w:t>
      </w:r>
      <w:r w:rsidRPr="00904FCB">
        <w:rPr>
          <w:rFonts w:ascii="Arial" w:hAnsi="Arial"/>
          <w:sz w:val="27"/>
          <w:rtl/>
        </w:rPr>
        <w:t>ية محمد بن سعود وذر</w:t>
      </w:r>
      <w:r w:rsidR="00841968" w:rsidRPr="00904FCB">
        <w:rPr>
          <w:rFonts w:ascii="Arial" w:hAnsi="Arial" w:hint="cs"/>
          <w:sz w:val="27"/>
          <w:rtl/>
        </w:rPr>
        <w:t>ّ</w:t>
      </w:r>
      <w:r w:rsidR="00B62EC4">
        <w:rPr>
          <w:rFonts w:ascii="Arial" w:hAnsi="Arial"/>
          <w:sz w:val="27"/>
          <w:rtl/>
        </w:rPr>
        <w:t>ية محمد بن عبد الوهاب وأتباعه</w:t>
      </w:r>
      <w:r w:rsidRPr="00904FCB">
        <w:rPr>
          <w:sz w:val="27"/>
          <w:vertAlign w:val="superscript"/>
          <w:rtl/>
        </w:rPr>
        <w:t>(</w:t>
      </w:r>
      <w:r w:rsidRPr="00904FCB">
        <w:rPr>
          <w:sz w:val="27"/>
          <w:vertAlign w:val="superscript"/>
          <w:rtl/>
        </w:rPr>
        <w:endnoteReference w:id="98"/>
      </w:r>
      <w:r w:rsidRPr="00904FCB">
        <w:rPr>
          <w:sz w:val="27"/>
          <w:vertAlign w:val="superscript"/>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lang w:bidi="ar-JO"/>
        </w:rPr>
        <w:t>ليس ثم</w:t>
      </w:r>
      <w:r w:rsidR="00841968" w:rsidRPr="00904FCB">
        <w:rPr>
          <w:rFonts w:ascii="Arial" w:hAnsi="Arial" w:hint="cs"/>
          <w:sz w:val="27"/>
          <w:rtl/>
          <w:lang w:bidi="ar-JO"/>
        </w:rPr>
        <w:t>ّ</w:t>
      </w:r>
      <w:r w:rsidRPr="00904FCB">
        <w:rPr>
          <w:rFonts w:ascii="Arial" w:hAnsi="Arial"/>
          <w:sz w:val="27"/>
          <w:rtl/>
          <w:lang w:bidi="ar-JO"/>
        </w:rPr>
        <w:t xml:space="preserve">ة سلفية واحدة، بل </w:t>
      </w:r>
      <w:r w:rsidRPr="00904FCB">
        <w:rPr>
          <w:rFonts w:ascii="Arial" w:hAnsi="Arial"/>
          <w:sz w:val="27"/>
          <w:rtl/>
        </w:rPr>
        <w:t>سلفيات عد</w:t>
      </w:r>
      <w:r w:rsidR="00841968" w:rsidRPr="00904FCB">
        <w:rPr>
          <w:rFonts w:ascii="Arial" w:hAnsi="Arial" w:hint="cs"/>
          <w:sz w:val="27"/>
          <w:rtl/>
        </w:rPr>
        <w:t>ّ</w:t>
      </w:r>
      <w:r w:rsidRPr="00904FCB">
        <w:rPr>
          <w:rFonts w:ascii="Arial" w:hAnsi="Arial"/>
          <w:sz w:val="27"/>
          <w:rtl/>
        </w:rPr>
        <w:t>ة</w:t>
      </w:r>
      <w:r w:rsidR="00841968" w:rsidRPr="00904FCB">
        <w:rPr>
          <w:rFonts w:ascii="Arial" w:hAnsi="Arial" w:hint="cs"/>
          <w:sz w:val="27"/>
          <w:rtl/>
        </w:rPr>
        <w:t>،</w:t>
      </w:r>
      <w:r w:rsidRPr="00904FCB">
        <w:rPr>
          <w:rFonts w:ascii="Arial" w:hAnsi="Arial"/>
          <w:sz w:val="27"/>
          <w:rtl/>
        </w:rPr>
        <w:t xml:space="preserve"> مع مسم</w:t>
      </w:r>
      <w:r w:rsidR="00841968" w:rsidRPr="00904FCB">
        <w:rPr>
          <w:rFonts w:ascii="Arial" w:hAnsi="Arial" w:hint="cs"/>
          <w:sz w:val="27"/>
          <w:rtl/>
        </w:rPr>
        <w:t>َّ</w:t>
      </w:r>
      <w:r w:rsidRPr="00904FCB">
        <w:rPr>
          <w:rFonts w:ascii="Arial" w:hAnsi="Arial"/>
          <w:sz w:val="27"/>
          <w:rtl/>
        </w:rPr>
        <w:t xml:space="preserve">يات متنوعة: </w:t>
      </w:r>
      <w:r w:rsidRPr="00904FCB">
        <w:rPr>
          <w:rFonts w:hint="eastAsia"/>
          <w:sz w:val="27"/>
          <w:rtl/>
        </w:rPr>
        <w:t>«</w:t>
      </w:r>
      <w:r w:rsidRPr="00904FCB">
        <w:rPr>
          <w:rFonts w:ascii="Arial" w:hAnsi="Arial"/>
          <w:sz w:val="27"/>
          <w:rtl/>
        </w:rPr>
        <w:t>منها التقليدي، ومنها الإصلاحي، ومنها الجهادي النظري، ومنها الجهادي التكفيري. ومن هنا صعوبة التصنيف والتقسيم التي هي في النهاية مجر</w:t>
      </w:r>
      <w:r w:rsidR="00841968" w:rsidRPr="00904FCB">
        <w:rPr>
          <w:rFonts w:ascii="Arial" w:hAnsi="Arial" w:hint="cs"/>
          <w:sz w:val="27"/>
          <w:rtl/>
        </w:rPr>
        <w:t>ّ</w:t>
      </w:r>
      <w:r w:rsidRPr="00904FCB">
        <w:rPr>
          <w:rFonts w:ascii="Arial" w:hAnsi="Arial"/>
          <w:sz w:val="27"/>
          <w:rtl/>
        </w:rPr>
        <w:t>د محاولة منهجية يقتضيها البحث</w:t>
      </w:r>
      <w:r w:rsidR="00841968" w:rsidRPr="00904FCB">
        <w:rPr>
          <w:rFonts w:ascii="Arial" w:hAnsi="Arial" w:hint="cs"/>
          <w:sz w:val="27"/>
          <w:rtl/>
        </w:rPr>
        <w:t>؛</w:t>
      </w:r>
      <w:r w:rsidRPr="00904FCB">
        <w:rPr>
          <w:rFonts w:ascii="Arial" w:hAnsi="Arial"/>
          <w:sz w:val="27"/>
          <w:rtl/>
        </w:rPr>
        <w:t xml:space="preserve"> لفهم الظاهرة</w:t>
      </w:r>
      <w:r w:rsidR="00841968" w:rsidRPr="00904FCB">
        <w:rPr>
          <w:rFonts w:ascii="Arial" w:hAnsi="Arial" w:hint="cs"/>
          <w:sz w:val="27"/>
          <w:rtl/>
        </w:rPr>
        <w:t>،</w:t>
      </w:r>
      <w:r w:rsidRPr="00904FCB">
        <w:rPr>
          <w:rFonts w:ascii="Arial" w:hAnsi="Arial"/>
          <w:sz w:val="27"/>
          <w:rtl/>
        </w:rPr>
        <w:t xml:space="preserve"> وتسهيل دراستها وتحليلها</w:t>
      </w:r>
      <w:r w:rsidR="00841968" w:rsidRPr="00904FCB">
        <w:rPr>
          <w:rFonts w:ascii="Arial" w:hAnsi="Arial" w:hint="cs"/>
          <w:sz w:val="27"/>
          <w:rtl/>
        </w:rPr>
        <w:t>؛</w:t>
      </w:r>
      <w:r w:rsidRPr="00904FCB">
        <w:rPr>
          <w:rFonts w:ascii="Arial" w:hAnsi="Arial"/>
          <w:sz w:val="27"/>
          <w:rtl/>
        </w:rPr>
        <w:t xml:space="preserve"> ليتيسّر نقدها وتحديد الطريقة التي يجب التعامل بها معها</w:t>
      </w:r>
      <w:r w:rsidRPr="00904FCB">
        <w:rPr>
          <w:rFonts w:hint="eastAsia"/>
          <w:sz w:val="27"/>
          <w:rtl/>
        </w:rPr>
        <w:t>»</w:t>
      </w:r>
      <w:r w:rsidRPr="00904FCB">
        <w:rPr>
          <w:sz w:val="27"/>
          <w:vertAlign w:val="superscript"/>
          <w:rtl/>
        </w:rPr>
        <w:t>(</w:t>
      </w:r>
      <w:r w:rsidRPr="00904FCB">
        <w:rPr>
          <w:sz w:val="27"/>
          <w:vertAlign w:val="superscript"/>
          <w:rtl/>
        </w:rPr>
        <w:endnoteReference w:id="99"/>
      </w:r>
      <w:r w:rsidRPr="00904FCB">
        <w:rPr>
          <w:sz w:val="27"/>
          <w:vertAlign w:val="superscript"/>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rPr>
        <w:t>وهناك تقسيمات أخرى لأنواع الس</w:t>
      </w:r>
      <w:r w:rsidR="00841968" w:rsidRPr="00904FCB">
        <w:rPr>
          <w:rFonts w:ascii="Arial" w:hAnsi="Arial" w:hint="cs"/>
          <w:sz w:val="27"/>
          <w:rtl/>
        </w:rPr>
        <w:t>َّ</w:t>
      </w:r>
      <w:r w:rsidRPr="00904FCB">
        <w:rPr>
          <w:rFonts w:ascii="Arial" w:hAnsi="Arial"/>
          <w:sz w:val="27"/>
          <w:rtl/>
        </w:rPr>
        <w:t>ل</w:t>
      </w:r>
      <w:r w:rsidR="00841968" w:rsidRPr="00904FCB">
        <w:rPr>
          <w:rFonts w:ascii="Arial" w:hAnsi="Arial" w:hint="cs"/>
          <w:sz w:val="27"/>
          <w:rtl/>
        </w:rPr>
        <w:t>َ</w:t>
      </w:r>
      <w:r w:rsidRPr="00904FCB">
        <w:rPr>
          <w:rFonts w:ascii="Arial" w:hAnsi="Arial"/>
          <w:sz w:val="27"/>
          <w:rtl/>
        </w:rPr>
        <w:t>فية</w:t>
      </w:r>
      <w:r w:rsidRPr="00904FCB">
        <w:rPr>
          <w:sz w:val="27"/>
          <w:vertAlign w:val="superscript"/>
          <w:rtl/>
        </w:rPr>
        <w:t>(</w:t>
      </w:r>
      <w:r w:rsidRPr="00904FCB">
        <w:rPr>
          <w:sz w:val="27"/>
          <w:vertAlign w:val="superscript"/>
          <w:rtl/>
        </w:rPr>
        <w:endnoteReference w:id="100"/>
      </w:r>
      <w:r w:rsidRPr="00904FCB">
        <w:rPr>
          <w:sz w:val="27"/>
          <w:vertAlign w:val="superscript"/>
          <w:rtl/>
        </w:rPr>
        <w:t>)</w:t>
      </w:r>
      <w:r w:rsidR="00841968" w:rsidRPr="00904FCB">
        <w:rPr>
          <w:rFonts w:ascii="Arial" w:hAnsi="Arial" w:hint="cs"/>
          <w:sz w:val="27"/>
          <w:rtl/>
        </w:rPr>
        <w:t>،</w:t>
      </w:r>
      <w:r w:rsidRPr="00904FCB">
        <w:rPr>
          <w:rFonts w:ascii="Arial" w:hAnsi="Arial"/>
          <w:sz w:val="27"/>
          <w:rtl/>
        </w:rPr>
        <w:t xml:space="preserve"> منها</w:t>
      </w:r>
      <w:r w:rsidR="00841968" w:rsidRPr="00904FCB">
        <w:rPr>
          <w:rFonts w:ascii="Arial" w:hAnsi="Arial" w:hint="cs"/>
          <w:sz w:val="27"/>
          <w:rtl/>
        </w:rPr>
        <w:t>:</w:t>
      </w:r>
      <w:r w:rsidRPr="00904FCB">
        <w:rPr>
          <w:rFonts w:ascii="Arial" w:hAnsi="Arial"/>
          <w:sz w:val="27"/>
          <w:rtl/>
        </w:rPr>
        <w:t xml:space="preserve"> التاريخية أو التقليدية، والتي ارتبطت بتيار </w:t>
      </w:r>
      <w:r w:rsidRPr="00904FCB">
        <w:rPr>
          <w:rFonts w:hint="eastAsia"/>
          <w:sz w:val="27"/>
          <w:rtl/>
        </w:rPr>
        <w:t>«</w:t>
      </w:r>
      <w:r w:rsidRPr="00904FCB">
        <w:rPr>
          <w:rFonts w:ascii="Arial" w:hAnsi="Arial"/>
          <w:sz w:val="27"/>
          <w:rtl/>
        </w:rPr>
        <w:t>أهل السنّة والجماعة، أو أهل الحديث، والذي ات</w:t>
      </w:r>
      <w:r w:rsidR="00841968" w:rsidRPr="00904FCB">
        <w:rPr>
          <w:rFonts w:ascii="Arial" w:hAnsi="Arial" w:hint="cs"/>
          <w:sz w:val="27"/>
          <w:rtl/>
        </w:rPr>
        <w:t>َّ</w:t>
      </w:r>
      <w:r w:rsidRPr="00904FCB">
        <w:rPr>
          <w:rFonts w:ascii="Arial" w:hAnsi="Arial"/>
          <w:sz w:val="27"/>
          <w:rtl/>
        </w:rPr>
        <w:t>ضحت معالمه من خلال الاختلاف الفكري الذي دار مع أهل العقل، أو أهل الرأي من أهل الكلام والفلاسفة والمناطقة، حول المرجعية الشرعية في تأويل النص</w:t>
      </w:r>
      <w:r w:rsidR="00841968" w:rsidRPr="00904FCB">
        <w:rPr>
          <w:rFonts w:ascii="Arial" w:hAnsi="Arial" w:hint="cs"/>
          <w:sz w:val="27"/>
          <w:rtl/>
        </w:rPr>
        <w:t>ّ</w:t>
      </w:r>
      <w:r w:rsidRPr="00904FCB">
        <w:rPr>
          <w:rFonts w:ascii="Arial" w:hAnsi="Arial"/>
          <w:sz w:val="27"/>
          <w:rtl/>
        </w:rPr>
        <w:t xml:space="preserve"> القرآني والحديث بعد وفاة الرسول، حيث رأى الفريق الأو</w:t>
      </w:r>
      <w:r w:rsidR="00841968" w:rsidRPr="00904FCB">
        <w:rPr>
          <w:rFonts w:ascii="Arial" w:hAnsi="Arial" w:hint="cs"/>
          <w:sz w:val="27"/>
          <w:rtl/>
        </w:rPr>
        <w:t>ّ</w:t>
      </w:r>
      <w:r w:rsidRPr="00904FCB">
        <w:rPr>
          <w:rFonts w:ascii="Arial" w:hAnsi="Arial"/>
          <w:sz w:val="27"/>
          <w:rtl/>
        </w:rPr>
        <w:t>ل أن الس</w:t>
      </w:r>
      <w:r w:rsidR="00841968" w:rsidRPr="00904FCB">
        <w:rPr>
          <w:rFonts w:ascii="Arial" w:hAnsi="Arial" w:hint="cs"/>
          <w:sz w:val="27"/>
          <w:rtl/>
        </w:rPr>
        <w:t>َّ</w:t>
      </w:r>
      <w:r w:rsidRPr="00904FCB">
        <w:rPr>
          <w:rFonts w:ascii="Arial" w:hAnsi="Arial"/>
          <w:sz w:val="27"/>
          <w:rtl/>
        </w:rPr>
        <w:t>ل</w:t>
      </w:r>
      <w:r w:rsidR="00841968" w:rsidRPr="00904FCB">
        <w:rPr>
          <w:rFonts w:ascii="Arial" w:hAnsi="Arial" w:hint="cs"/>
          <w:sz w:val="27"/>
          <w:rtl/>
        </w:rPr>
        <w:t>َ</w:t>
      </w:r>
      <w:r w:rsidRPr="00904FCB">
        <w:rPr>
          <w:rFonts w:ascii="Arial" w:hAnsi="Arial"/>
          <w:sz w:val="27"/>
          <w:rtl/>
        </w:rPr>
        <w:t>ف أصحاب النبي</w:t>
      </w:r>
      <w:r w:rsidR="00841968" w:rsidRPr="00904FCB">
        <w:rPr>
          <w:rFonts w:ascii="Arial" w:hAnsi="Arial" w:hint="cs"/>
          <w:sz w:val="27"/>
          <w:rtl/>
        </w:rPr>
        <w:t>ّ</w:t>
      </w:r>
      <w:r w:rsidRPr="00904FCB">
        <w:rPr>
          <w:rFonts w:ascii="Arial" w:hAnsi="Arial"/>
          <w:sz w:val="27"/>
          <w:rtl/>
        </w:rPr>
        <w:t xml:space="preserve"> هم الوحيدون أصحاب هذا الحق</w:t>
      </w:r>
      <w:r w:rsidR="00841968" w:rsidRPr="00904FCB">
        <w:rPr>
          <w:rFonts w:ascii="Arial" w:hAnsi="Arial" w:hint="cs"/>
          <w:sz w:val="27"/>
          <w:rtl/>
        </w:rPr>
        <w:t>ّ</w:t>
      </w:r>
      <w:r w:rsidRPr="00904FCB">
        <w:rPr>
          <w:rFonts w:ascii="Arial" w:hAnsi="Arial"/>
          <w:sz w:val="27"/>
          <w:rtl/>
        </w:rPr>
        <w:t>، وعلى الخ</w:t>
      </w:r>
      <w:r w:rsidR="00841968" w:rsidRPr="00904FCB">
        <w:rPr>
          <w:rFonts w:ascii="Arial" w:hAnsi="Arial" w:hint="cs"/>
          <w:sz w:val="27"/>
          <w:rtl/>
        </w:rPr>
        <w:t>َ</w:t>
      </w:r>
      <w:r w:rsidRPr="00904FCB">
        <w:rPr>
          <w:rFonts w:ascii="Arial" w:hAnsi="Arial"/>
          <w:sz w:val="27"/>
          <w:rtl/>
        </w:rPr>
        <w:t>ل</w:t>
      </w:r>
      <w:r w:rsidR="00841968" w:rsidRPr="00904FCB">
        <w:rPr>
          <w:rFonts w:ascii="Arial" w:hAnsi="Arial" w:hint="cs"/>
          <w:sz w:val="27"/>
          <w:rtl/>
        </w:rPr>
        <w:t>َ</w:t>
      </w:r>
      <w:r w:rsidRPr="00904FCB">
        <w:rPr>
          <w:rFonts w:ascii="Arial" w:hAnsi="Arial"/>
          <w:sz w:val="27"/>
          <w:rtl/>
        </w:rPr>
        <w:t xml:space="preserve">ف الرجوع </w:t>
      </w:r>
      <w:r w:rsidR="00841968" w:rsidRPr="00904FCB">
        <w:rPr>
          <w:rFonts w:ascii="Arial" w:hAnsi="Arial" w:hint="cs"/>
          <w:sz w:val="27"/>
          <w:rtl/>
        </w:rPr>
        <w:t>إ</w:t>
      </w:r>
      <w:r w:rsidRPr="00904FCB">
        <w:rPr>
          <w:rFonts w:ascii="Arial" w:hAnsi="Arial"/>
          <w:sz w:val="27"/>
          <w:rtl/>
        </w:rPr>
        <w:t>ليهم كأصل</w:t>
      </w:r>
      <w:r w:rsidR="00841968" w:rsidRPr="00904FCB">
        <w:rPr>
          <w:rFonts w:ascii="Arial" w:hAnsi="Arial" w:hint="cs"/>
          <w:sz w:val="27"/>
          <w:rtl/>
        </w:rPr>
        <w:t>ٍ</w:t>
      </w:r>
      <w:r w:rsidRPr="00904FCB">
        <w:rPr>
          <w:rFonts w:ascii="Arial" w:hAnsi="Arial"/>
          <w:sz w:val="27"/>
          <w:rtl/>
        </w:rPr>
        <w:t xml:space="preserve"> في الفهم والسلوك</w:t>
      </w:r>
      <w:r w:rsidRPr="00904FCB">
        <w:rPr>
          <w:rFonts w:hint="eastAsia"/>
          <w:sz w:val="27"/>
          <w:rtl/>
        </w:rPr>
        <w:t>»</w:t>
      </w:r>
      <w:r w:rsidRPr="00904FCB">
        <w:rPr>
          <w:sz w:val="27"/>
          <w:vertAlign w:val="superscript"/>
          <w:rtl/>
        </w:rPr>
        <w:t>(</w:t>
      </w:r>
      <w:r w:rsidRPr="00904FCB">
        <w:rPr>
          <w:sz w:val="27"/>
          <w:vertAlign w:val="superscript"/>
          <w:rtl/>
        </w:rPr>
        <w:endnoteReference w:id="101"/>
      </w:r>
      <w:r w:rsidRPr="00904FCB">
        <w:rPr>
          <w:sz w:val="27"/>
          <w:vertAlign w:val="superscript"/>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tl/>
        </w:rPr>
      </w:pPr>
    </w:p>
    <w:p w:rsidR="00A45FD9" w:rsidRPr="00904FCB" w:rsidRDefault="00A45FD9" w:rsidP="007A21AA">
      <w:pPr>
        <w:pStyle w:val="31"/>
        <w:spacing w:line="400" w:lineRule="exact"/>
        <w:rPr>
          <w:color w:val="auto"/>
          <w:rtl/>
          <w:lang w:bidi="fa-IR"/>
        </w:rPr>
      </w:pPr>
      <w:r w:rsidRPr="00904FCB">
        <w:rPr>
          <w:rFonts w:hint="cs"/>
          <w:color w:val="auto"/>
          <w:rtl/>
          <w:lang w:bidi="fa-IR"/>
        </w:rPr>
        <w:t>ال</w:t>
      </w:r>
      <w:r w:rsidRPr="00904FCB">
        <w:rPr>
          <w:color w:val="auto"/>
          <w:rtl/>
          <w:lang w:bidi="fa-IR"/>
        </w:rPr>
        <w:t>س</w:t>
      </w:r>
      <w:r w:rsidR="00841968" w:rsidRPr="00904FCB">
        <w:rPr>
          <w:rFonts w:hint="cs"/>
          <w:color w:val="auto"/>
          <w:rtl/>
          <w:lang w:bidi="fa-IR"/>
        </w:rPr>
        <w:t>َّ</w:t>
      </w:r>
      <w:r w:rsidRPr="00904FCB">
        <w:rPr>
          <w:color w:val="auto"/>
          <w:rtl/>
          <w:lang w:bidi="fa-IR"/>
        </w:rPr>
        <w:t>ل</w:t>
      </w:r>
      <w:r w:rsidR="00841968" w:rsidRPr="00904FCB">
        <w:rPr>
          <w:rFonts w:hint="cs"/>
          <w:color w:val="auto"/>
          <w:rtl/>
          <w:lang w:bidi="fa-IR"/>
        </w:rPr>
        <w:t>َ</w:t>
      </w:r>
      <w:r w:rsidRPr="00904FCB">
        <w:rPr>
          <w:color w:val="auto"/>
          <w:rtl/>
          <w:lang w:bidi="fa-IR"/>
        </w:rPr>
        <w:t xml:space="preserve">فية الجهادية </w:t>
      </w:r>
    </w:p>
    <w:p w:rsidR="00A45FD9" w:rsidRPr="00904FCB" w:rsidRDefault="00A45FD9" w:rsidP="007A21AA">
      <w:pPr>
        <w:spacing w:line="400" w:lineRule="exact"/>
        <w:rPr>
          <w:rFonts w:ascii="Arial" w:hAnsi="Arial"/>
          <w:sz w:val="27"/>
          <w:rtl/>
        </w:rPr>
      </w:pPr>
      <w:r w:rsidRPr="00904FCB">
        <w:rPr>
          <w:rFonts w:ascii="Arial" w:hAnsi="Arial"/>
          <w:sz w:val="27"/>
          <w:rtl/>
        </w:rPr>
        <w:t xml:space="preserve">شهد الربع الأول من القرن المنصرم (العام </w:t>
      </w:r>
      <w:r w:rsidRPr="00B13398">
        <w:rPr>
          <w:rFonts w:ascii="Arial" w:hAnsi="Arial"/>
          <w:sz w:val="27"/>
          <w:rtl/>
        </w:rPr>
        <w:t>1928</w:t>
      </w:r>
      <w:r w:rsidRPr="00904FCB">
        <w:rPr>
          <w:rFonts w:ascii="Arial" w:hAnsi="Arial"/>
          <w:sz w:val="27"/>
          <w:rtl/>
        </w:rPr>
        <w:t xml:space="preserve"> تحديدا</w:t>
      </w:r>
      <w:r w:rsidR="00C57958" w:rsidRPr="00904FCB">
        <w:rPr>
          <w:rFonts w:ascii="Arial" w:hAnsi="Arial" w:hint="cs"/>
          <w:sz w:val="27"/>
          <w:rtl/>
        </w:rPr>
        <w:t>ً</w:t>
      </w:r>
      <w:r w:rsidRPr="00904FCB">
        <w:rPr>
          <w:rFonts w:ascii="Arial" w:hAnsi="Arial"/>
          <w:sz w:val="27"/>
          <w:rtl/>
        </w:rPr>
        <w:t>) ولادة حركة الإخوان المسلمين</w:t>
      </w:r>
      <w:r w:rsidRPr="00904FCB">
        <w:rPr>
          <w:sz w:val="27"/>
          <w:vertAlign w:val="superscript"/>
          <w:rtl/>
        </w:rPr>
        <w:t>(</w:t>
      </w:r>
      <w:r w:rsidRPr="00904FCB">
        <w:rPr>
          <w:sz w:val="27"/>
          <w:vertAlign w:val="superscript"/>
          <w:rtl/>
        </w:rPr>
        <w:endnoteReference w:id="102"/>
      </w:r>
      <w:r w:rsidRPr="00904FCB">
        <w:rPr>
          <w:sz w:val="27"/>
          <w:vertAlign w:val="superscript"/>
          <w:rtl/>
        </w:rPr>
        <w:t>)</w:t>
      </w:r>
      <w:r w:rsidR="00C57958" w:rsidRPr="00904FCB">
        <w:rPr>
          <w:rFonts w:ascii="Arial" w:hAnsi="Arial" w:hint="cs"/>
          <w:sz w:val="27"/>
          <w:rtl/>
        </w:rPr>
        <w:t>،</w:t>
      </w:r>
      <w:r w:rsidRPr="00904FCB">
        <w:rPr>
          <w:rFonts w:ascii="Arial" w:hAnsi="Arial"/>
          <w:sz w:val="27"/>
          <w:rtl/>
        </w:rPr>
        <w:t xml:space="preserve"> وهي جماعة إسلامية قد</w:t>
      </w:r>
      <w:r w:rsidR="00C57958" w:rsidRPr="00904FCB">
        <w:rPr>
          <w:rFonts w:ascii="Arial" w:hAnsi="Arial" w:hint="cs"/>
          <w:sz w:val="27"/>
          <w:rtl/>
        </w:rPr>
        <w:t>َّ</w:t>
      </w:r>
      <w:r w:rsidR="00C57958" w:rsidRPr="00904FCB">
        <w:rPr>
          <w:rFonts w:ascii="Arial" w:hAnsi="Arial"/>
          <w:sz w:val="27"/>
          <w:rtl/>
        </w:rPr>
        <w:t>م</w:t>
      </w:r>
      <w:r w:rsidR="00C57958" w:rsidRPr="00904FCB">
        <w:rPr>
          <w:rFonts w:ascii="Arial" w:hAnsi="Arial" w:hint="cs"/>
          <w:sz w:val="27"/>
          <w:rtl/>
        </w:rPr>
        <w:t>َ</w:t>
      </w:r>
      <w:r w:rsidRPr="00904FCB">
        <w:rPr>
          <w:rFonts w:ascii="Arial" w:hAnsi="Arial"/>
          <w:sz w:val="27"/>
          <w:rtl/>
        </w:rPr>
        <w:t>ت</w:t>
      </w:r>
      <w:r w:rsidR="00C57958" w:rsidRPr="00904FCB">
        <w:rPr>
          <w:rFonts w:ascii="Arial" w:hAnsi="Arial" w:hint="cs"/>
          <w:sz w:val="27"/>
          <w:rtl/>
        </w:rPr>
        <w:t>ْ</w:t>
      </w:r>
      <w:r w:rsidRPr="00904FCB">
        <w:rPr>
          <w:rFonts w:ascii="Arial" w:hAnsi="Arial"/>
          <w:sz w:val="27"/>
          <w:rtl/>
        </w:rPr>
        <w:t xml:space="preserve"> نفسها بأنها حركة إصلاحية شاملة</w:t>
      </w:r>
      <w:r w:rsidR="00C57958" w:rsidRPr="00904FCB">
        <w:rPr>
          <w:rFonts w:ascii="Arial" w:hAnsi="Arial" w:hint="cs"/>
          <w:sz w:val="27"/>
          <w:rtl/>
        </w:rPr>
        <w:t>،</w:t>
      </w:r>
      <w:r w:rsidRPr="00904FCB">
        <w:rPr>
          <w:rFonts w:ascii="Arial" w:hAnsi="Arial"/>
          <w:sz w:val="27"/>
          <w:rtl/>
        </w:rPr>
        <w:t xml:space="preserve"> وطرحت مشروعاً (فكرياً ـ سياسياً) بديلاً عن الأنظمة والأيديولوجيات السائدة، من شيوعية ورأسمالية، واقترحت العودة إلى الإسلام باعتباره الحل</w:t>
      </w:r>
      <w:r w:rsidR="00C57958" w:rsidRPr="00904FCB">
        <w:rPr>
          <w:rFonts w:ascii="Arial" w:hAnsi="Arial" w:hint="cs"/>
          <w:sz w:val="27"/>
          <w:rtl/>
        </w:rPr>
        <w:t>ّ.</w:t>
      </w:r>
      <w:r w:rsidRPr="00904FCB">
        <w:rPr>
          <w:rFonts w:ascii="Arial" w:hAnsi="Arial"/>
          <w:sz w:val="27"/>
          <w:rtl/>
        </w:rPr>
        <w:t xml:space="preserve"> </w:t>
      </w:r>
      <w:r w:rsidRPr="00904FCB">
        <w:rPr>
          <w:rFonts w:hint="eastAsia"/>
          <w:sz w:val="27"/>
          <w:rtl/>
        </w:rPr>
        <w:t>«</w:t>
      </w:r>
      <w:r w:rsidRPr="00904FCB">
        <w:rPr>
          <w:rFonts w:ascii="Arial" w:hAnsi="Arial"/>
          <w:sz w:val="27"/>
          <w:rtl/>
        </w:rPr>
        <w:t>فالعالم كل</w:t>
      </w:r>
      <w:r w:rsidR="00C57958" w:rsidRPr="00904FCB">
        <w:rPr>
          <w:rFonts w:ascii="Arial" w:hAnsi="Arial" w:hint="cs"/>
          <w:sz w:val="27"/>
          <w:rtl/>
        </w:rPr>
        <w:t>ّ</w:t>
      </w:r>
      <w:r w:rsidRPr="00904FCB">
        <w:rPr>
          <w:rFonts w:ascii="Arial" w:hAnsi="Arial"/>
          <w:sz w:val="27"/>
          <w:rtl/>
        </w:rPr>
        <w:t>ه حائر مضطرب، وكل</w:t>
      </w:r>
      <w:r w:rsidR="00C57958" w:rsidRPr="00904FCB">
        <w:rPr>
          <w:rFonts w:ascii="Arial" w:hAnsi="Arial" w:hint="cs"/>
          <w:sz w:val="27"/>
          <w:rtl/>
        </w:rPr>
        <w:t>ّ</w:t>
      </w:r>
      <w:r w:rsidRPr="00904FCB">
        <w:rPr>
          <w:rFonts w:ascii="Arial" w:hAnsi="Arial"/>
          <w:sz w:val="27"/>
          <w:rtl/>
        </w:rPr>
        <w:t xml:space="preserve"> ما فيه من النظم قد عجز عن علاجه، ولا دواء له إلا</w:t>
      </w:r>
      <w:r w:rsidR="00C57958" w:rsidRPr="00904FCB">
        <w:rPr>
          <w:rFonts w:ascii="Arial" w:hAnsi="Arial" w:hint="cs"/>
          <w:sz w:val="27"/>
          <w:rtl/>
        </w:rPr>
        <w:t>ّ</w:t>
      </w:r>
      <w:r w:rsidRPr="00904FCB">
        <w:rPr>
          <w:rFonts w:ascii="Arial" w:hAnsi="Arial"/>
          <w:sz w:val="27"/>
          <w:rtl/>
        </w:rPr>
        <w:t xml:space="preserve"> بالإسلام</w:t>
      </w:r>
      <w:r w:rsidR="00C57958" w:rsidRPr="00904FCB">
        <w:rPr>
          <w:rFonts w:ascii="Arial" w:hAnsi="Arial" w:hint="cs"/>
          <w:sz w:val="27"/>
          <w:rtl/>
        </w:rPr>
        <w:t>.</w:t>
      </w:r>
      <w:r w:rsidRPr="00904FCB">
        <w:rPr>
          <w:rFonts w:ascii="Arial" w:hAnsi="Arial"/>
          <w:sz w:val="27"/>
          <w:rtl/>
        </w:rPr>
        <w:t xml:space="preserve"> فالإسلام رسالة عالمية فيها حل</w:t>
      </w:r>
      <w:r w:rsidR="00C57958" w:rsidRPr="00904FCB">
        <w:rPr>
          <w:rFonts w:ascii="Arial" w:hAnsi="Arial" w:hint="cs"/>
          <w:sz w:val="27"/>
          <w:rtl/>
        </w:rPr>
        <w:t>ٌّ</w:t>
      </w:r>
      <w:r w:rsidRPr="00904FCB">
        <w:rPr>
          <w:rFonts w:ascii="Arial" w:hAnsi="Arial"/>
          <w:sz w:val="27"/>
          <w:rtl/>
        </w:rPr>
        <w:t xml:space="preserve"> لجميع المشاكل والويلات التي كانت الحضارة الرأسمالية والاشتراكية وراءها. إنه قادر</w:t>
      </w:r>
      <w:r w:rsidR="00C57958" w:rsidRPr="00904FCB">
        <w:rPr>
          <w:rFonts w:ascii="Arial" w:hAnsi="Arial" w:hint="cs"/>
          <w:sz w:val="27"/>
          <w:rtl/>
        </w:rPr>
        <w:t>ٌ</w:t>
      </w:r>
      <w:r w:rsidRPr="00904FCB">
        <w:rPr>
          <w:rFonts w:ascii="Arial" w:hAnsi="Arial"/>
          <w:sz w:val="27"/>
          <w:rtl/>
        </w:rPr>
        <w:t xml:space="preserve"> على الوقوف في وجه هذه الموجة الطاغية من الماد</w:t>
      </w:r>
      <w:r w:rsidR="00C57958" w:rsidRPr="00904FCB">
        <w:rPr>
          <w:rFonts w:ascii="Arial" w:hAnsi="Arial" w:hint="cs"/>
          <w:sz w:val="27"/>
          <w:rtl/>
        </w:rPr>
        <w:t>ّ</w:t>
      </w:r>
      <w:r w:rsidRPr="00904FCB">
        <w:rPr>
          <w:rFonts w:ascii="Arial" w:hAnsi="Arial"/>
          <w:sz w:val="27"/>
          <w:rtl/>
        </w:rPr>
        <w:t>ة التي جرفت الشعوب الإسلامية، فأبعدتها عن زعامة الإسلام</w:t>
      </w:r>
      <w:r w:rsidR="00C57958" w:rsidRPr="00904FCB">
        <w:rPr>
          <w:rFonts w:ascii="Arial" w:hAnsi="Arial" w:hint="cs"/>
          <w:sz w:val="27"/>
          <w:rtl/>
        </w:rPr>
        <w:t>،</w:t>
      </w:r>
      <w:r w:rsidRPr="00904FCB">
        <w:rPr>
          <w:rFonts w:ascii="Arial" w:hAnsi="Arial"/>
          <w:sz w:val="27"/>
          <w:rtl/>
        </w:rPr>
        <w:t xml:space="preserve"> وهداية القرآن</w:t>
      </w:r>
      <w:r w:rsidRPr="00904FCB">
        <w:rPr>
          <w:rFonts w:hint="eastAsia"/>
          <w:sz w:val="27"/>
          <w:rtl/>
        </w:rPr>
        <w:t>»</w:t>
      </w:r>
      <w:r w:rsidRPr="00904FCB">
        <w:rPr>
          <w:sz w:val="27"/>
          <w:vertAlign w:val="superscript"/>
          <w:rtl/>
        </w:rPr>
        <w:t>(</w:t>
      </w:r>
      <w:r w:rsidRPr="00904FCB">
        <w:rPr>
          <w:sz w:val="27"/>
          <w:vertAlign w:val="superscript"/>
          <w:rtl/>
        </w:rPr>
        <w:endnoteReference w:id="103"/>
      </w:r>
      <w:r w:rsidRPr="00904FCB">
        <w:rPr>
          <w:sz w:val="27"/>
          <w:vertAlign w:val="superscript"/>
          <w:rtl/>
        </w:rPr>
        <w:t>)</w:t>
      </w:r>
      <w:r w:rsidRPr="00904FCB">
        <w:rPr>
          <w:rFonts w:ascii="Arial" w:hAnsi="Arial"/>
          <w:sz w:val="27"/>
          <w:rtl/>
        </w:rPr>
        <w:t xml:space="preserve">. </w:t>
      </w:r>
    </w:p>
    <w:p w:rsidR="00A45FD9" w:rsidRPr="00904FCB" w:rsidRDefault="00A45FD9" w:rsidP="00B62EC4">
      <w:pPr>
        <w:spacing w:line="400" w:lineRule="exact"/>
        <w:rPr>
          <w:rFonts w:ascii="Arial" w:hAnsi="Arial"/>
          <w:sz w:val="27"/>
          <w:rtl/>
        </w:rPr>
      </w:pPr>
      <w:r w:rsidRPr="00904FCB">
        <w:rPr>
          <w:rFonts w:ascii="Arial" w:hAnsi="Arial"/>
          <w:sz w:val="27"/>
          <w:rtl/>
        </w:rPr>
        <w:t xml:space="preserve">وفي سنة </w:t>
      </w:r>
      <w:r w:rsidRPr="00B13398">
        <w:rPr>
          <w:rFonts w:ascii="Arial" w:hAnsi="Arial"/>
          <w:sz w:val="27"/>
          <w:rtl/>
        </w:rPr>
        <w:t>1939</w:t>
      </w:r>
      <w:r w:rsidRPr="00904FCB">
        <w:rPr>
          <w:rFonts w:ascii="Arial" w:hAnsi="Arial"/>
          <w:sz w:val="27"/>
          <w:rtl/>
        </w:rPr>
        <w:t xml:space="preserve"> أنشأ حسن البنّا تنظيماً عسكري</w:t>
      </w:r>
      <w:r w:rsidR="00C57958" w:rsidRPr="00904FCB">
        <w:rPr>
          <w:rFonts w:ascii="Arial" w:hAnsi="Arial" w:hint="cs"/>
          <w:sz w:val="27"/>
          <w:rtl/>
        </w:rPr>
        <w:t>ّ</w:t>
      </w:r>
      <w:r w:rsidRPr="00904FCB">
        <w:rPr>
          <w:rFonts w:ascii="Arial" w:hAnsi="Arial"/>
          <w:sz w:val="27"/>
          <w:rtl/>
        </w:rPr>
        <w:t>اً سر</w:t>
      </w:r>
      <w:r w:rsidR="00C57958" w:rsidRPr="00904FCB">
        <w:rPr>
          <w:rFonts w:ascii="Arial" w:hAnsi="Arial" w:hint="cs"/>
          <w:sz w:val="27"/>
          <w:rtl/>
        </w:rPr>
        <w:t>ّ</w:t>
      </w:r>
      <w:r w:rsidRPr="00904FCB">
        <w:rPr>
          <w:rFonts w:ascii="Arial" w:hAnsi="Arial"/>
          <w:sz w:val="27"/>
          <w:rtl/>
        </w:rPr>
        <w:t>ي</w:t>
      </w:r>
      <w:r w:rsidR="00C57958" w:rsidRPr="00904FCB">
        <w:rPr>
          <w:rFonts w:ascii="Arial" w:hAnsi="Arial" w:hint="cs"/>
          <w:sz w:val="27"/>
          <w:rtl/>
        </w:rPr>
        <w:t>ّ</w:t>
      </w:r>
      <w:r w:rsidRPr="00904FCB">
        <w:rPr>
          <w:rFonts w:ascii="Arial" w:hAnsi="Arial"/>
          <w:sz w:val="27"/>
          <w:rtl/>
        </w:rPr>
        <w:t xml:space="preserve">اً تابعاً لجماعة الإخوان </w:t>
      </w:r>
      <w:r w:rsidRPr="00904FCB">
        <w:rPr>
          <w:rFonts w:ascii="Arial" w:hAnsi="Arial"/>
          <w:sz w:val="27"/>
          <w:rtl/>
        </w:rPr>
        <w:lastRenderedPageBreak/>
        <w:t xml:space="preserve">المسلمين أطلق عليه اسم </w:t>
      </w:r>
      <w:r w:rsidRPr="00904FCB">
        <w:rPr>
          <w:rFonts w:hint="eastAsia"/>
          <w:sz w:val="27"/>
          <w:rtl/>
        </w:rPr>
        <w:t>«</w:t>
      </w:r>
      <w:r w:rsidRPr="00904FCB">
        <w:rPr>
          <w:rFonts w:ascii="Arial" w:hAnsi="Arial"/>
          <w:sz w:val="27"/>
          <w:rtl/>
        </w:rPr>
        <w:t>النظام الخاص</w:t>
      </w:r>
      <w:r w:rsidR="00C57958" w:rsidRPr="00904FCB">
        <w:rPr>
          <w:rFonts w:ascii="Arial" w:hAnsi="Arial" w:hint="cs"/>
          <w:sz w:val="27"/>
          <w:rtl/>
        </w:rPr>
        <w:t>ّ</w:t>
      </w:r>
      <w:r w:rsidRPr="00904FCB">
        <w:rPr>
          <w:rFonts w:hint="eastAsia"/>
          <w:sz w:val="27"/>
          <w:rtl/>
        </w:rPr>
        <w:t>»</w:t>
      </w:r>
      <w:r w:rsidR="00C57958" w:rsidRPr="00904FCB">
        <w:rPr>
          <w:rFonts w:ascii="Arial" w:hAnsi="Arial" w:hint="cs"/>
          <w:sz w:val="27"/>
          <w:rtl/>
        </w:rPr>
        <w:t>.</w:t>
      </w:r>
      <w:r w:rsidRPr="00904FCB">
        <w:rPr>
          <w:rFonts w:ascii="Arial" w:hAnsi="Arial"/>
          <w:sz w:val="27"/>
          <w:rtl/>
        </w:rPr>
        <w:t xml:space="preserve"> وكان من أهدافه </w:t>
      </w:r>
      <w:r w:rsidRPr="00904FCB">
        <w:rPr>
          <w:rFonts w:hint="eastAsia"/>
          <w:sz w:val="27"/>
          <w:rtl/>
        </w:rPr>
        <w:t>«</w:t>
      </w:r>
      <w:r w:rsidRPr="00904FCB">
        <w:rPr>
          <w:rFonts w:ascii="Arial" w:hAnsi="Arial"/>
          <w:sz w:val="27"/>
          <w:rtl/>
        </w:rPr>
        <w:t>الجهاد ضد</w:t>
      </w:r>
      <w:r w:rsidR="00C57958" w:rsidRPr="00904FCB">
        <w:rPr>
          <w:rFonts w:ascii="Arial" w:hAnsi="Arial" w:hint="cs"/>
          <w:sz w:val="27"/>
          <w:rtl/>
        </w:rPr>
        <w:t>ّ</w:t>
      </w:r>
      <w:r w:rsidRPr="00904FCB">
        <w:rPr>
          <w:rFonts w:ascii="Arial" w:hAnsi="Arial"/>
          <w:sz w:val="27"/>
          <w:rtl/>
        </w:rPr>
        <w:t xml:space="preserve"> الاستعمار الأوروبي، والقيام بالعمليات الفدائية ضد</w:t>
      </w:r>
      <w:r w:rsidR="00C57958" w:rsidRPr="00904FCB">
        <w:rPr>
          <w:rFonts w:ascii="Arial" w:hAnsi="Arial" w:hint="cs"/>
          <w:sz w:val="27"/>
          <w:rtl/>
        </w:rPr>
        <w:t>ّ</w:t>
      </w:r>
      <w:r w:rsidRPr="00904FCB">
        <w:rPr>
          <w:rFonts w:ascii="Arial" w:hAnsi="Arial"/>
          <w:sz w:val="27"/>
          <w:rtl/>
        </w:rPr>
        <w:t xml:space="preserve"> أولئك المستعمرين. وبعد العام </w:t>
      </w:r>
      <w:r w:rsidRPr="00B13398">
        <w:rPr>
          <w:rFonts w:ascii="Arial" w:hAnsi="Arial"/>
          <w:sz w:val="27"/>
          <w:rtl/>
        </w:rPr>
        <w:t>1946</w:t>
      </w:r>
      <w:r w:rsidRPr="00904FCB">
        <w:rPr>
          <w:rFonts w:ascii="Arial" w:hAnsi="Arial"/>
          <w:sz w:val="27"/>
          <w:rtl/>
        </w:rPr>
        <w:t>، ومع تصاعد الهجرات اليهودية إلى أرض فلسطين</w:t>
      </w:r>
      <w:r w:rsidR="00C57958" w:rsidRPr="00904FCB">
        <w:rPr>
          <w:rFonts w:ascii="Arial" w:hAnsi="Arial" w:hint="cs"/>
          <w:sz w:val="27"/>
          <w:rtl/>
        </w:rPr>
        <w:t>،</w:t>
      </w:r>
      <w:r w:rsidRPr="00904FCB">
        <w:rPr>
          <w:rFonts w:ascii="Arial" w:hAnsi="Arial"/>
          <w:sz w:val="27"/>
          <w:rtl/>
        </w:rPr>
        <w:t xml:space="preserve"> جعل النظام الخاص</w:t>
      </w:r>
      <w:r w:rsidR="00C57958" w:rsidRPr="00904FCB">
        <w:rPr>
          <w:rFonts w:ascii="Arial" w:hAnsi="Arial" w:hint="cs"/>
          <w:sz w:val="27"/>
          <w:rtl/>
        </w:rPr>
        <w:t>ّ</w:t>
      </w:r>
      <w:r w:rsidRPr="00904FCB">
        <w:rPr>
          <w:rFonts w:ascii="Arial" w:hAnsi="Arial"/>
          <w:sz w:val="27"/>
          <w:rtl/>
        </w:rPr>
        <w:t xml:space="preserve"> قضية فلسطين من أهم</w:t>
      </w:r>
      <w:r w:rsidR="00C57958" w:rsidRPr="00904FCB">
        <w:rPr>
          <w:rFonts w:ascii="Arial" w:hAnsi="Arial" w:hint="cs"/>
          <w:sz w:val="27"/>
          <w:rtl/>
        </w:rPr>
        <w:t>ّ</w:t>
      </w:r>
      <w:r w:rsidRPr="00904FCB">
        <w:rPr>
          <w:rFonts w:ascii="Arial" w:hAnsi="Arial"/>
          <w:sz w:val="27"/>
          <w:rtl/>
        </w:rPr>
        <w:t xml:space="preserve"> أهدافه وأعماله</w:t>
      </w:r>
      <w:r w:rsidRPr="00904FCB">
        <w:rPr>
          <w:rFonts w:hint="eastAsia"/>
          <w:sz w:val="27"/>
          <w:rtl/>
        </w:rPr>
        <w:t>»</w:t>
      </w:r>
      <w:r w:rsidRPr="00904FCB">
        <w:rPr>
          <w:sz w:val="27"/>
          <w:vertAlign w:val="superscript"/>
          <w:rtl/>
        </w:rPr>
        <w:t>(</w:t>
      </w:r>
      <w:r w:rsidRPr="00904FCB">
        <w:rPr>
          <w:sz w:val="27"/>
          <w:vertAlign w:val="superscript"/>
          <w:rtl/>
        </w:rPr>
        <w:endnoteReference w:id="104"/>
      </w:r>
      <w:r w:rsidRPr="00904FCB">
        <w:rPr>
          <w:sz w:val="27"/>
          <w:vertAlign w:val="superscript"/>
          <w:rtl/>
        </w:rPr>
        <w:t>)</w:t>
      </w:r>
      <w:r w:rsidRPr="00904FCB">
        <w:rPr>
          <w:rFonts w:ascii="Arial" w:hAnsi="Arial"/>
          <w:sz w:val="27"/>
          <w:rtl/>
        </w:rPr>
        <w:t>. وقد لعب مسل</w:t>
      </w:r>
      <w:r w:rsidR="00C57958" w:rsidRPr="00904FCB">
        <w:rPr>
          <w:rFonts w:ascii="Arial" w:hAnsi="Arial" w:hint="cs"/>
          <w:sz w:val="27"/>
          <w:rtl/>
        </w:rPr>
        <w:t>َّ</w:t>
      </w:r>
      <w:r w:rsidRPr="00904FCB">
        <w:rPr>
          <w:rFonts w:ascii="Arial" w:hAnsi="Arial"/>
          <w:sz w:val="27"/>
          <w:rtl/>
        </w:rPr>
        <w:t>حو الجماعة (التنظيم الخاص</w:t>
      </w:r>
      <w:r w:rsidR="00C57958" w:rsidRPr="00904FCB">
        <w:rPr>
          <w:rFonts w:ascii="Arial" w:hAnsi="Arial" w:hint="cs"/>
          <w:sz w:val="27"/>
          <w:rtl/>
        </w:rPr>
        <w:t>ّ</w:t>
      </w:r>
      <w:r w:rsidRPr="00904FCB">
        <w:rPr>
          <w:rFonts w:ascii="Arial" w:hAnsi="Arial"/>
          <w:sz w:val="27"/>
          <w:rtl/>
        </w:rPr>
        <w:t xml:space="preserve">) دوراً إلى جانب الجيش النظامي المصري في حرب فلسطين في العام </w:t>
      </w:r>
      <w:r w:rsidRPr="00B13398">
        <w:rPr>
          <w:rFonts w:ascii="Arial" w:hAnsi="Arial"/>
          <w:sz w:val="27"/>
          <w:rtl/>
        </w:rPr>
        <w:t>1948</w:t>
      </w:r>
      <w:r w:rsidRPr="00904FCB">
        <w:rPr>
          <w:rFonts w:ascii="Arial" w:hAnsi="Arial"/>
          <w:sz w:val="27"/>
          <w:rtl/>
        </w:rPr>
        <w:t xml:space="preserve">، بعد أن قامت الحكومة المصرية </w:t>
      </w:r>
      <w:r w:rsidR="00C57958" w:rsidRPr="00904FCB">
        <w:rPr>
          <w:rFonts w:ascii="Arial" w:hAnsi="Arial"/>
          <w:sz w:val="27"/>
          <w:rtl/>
        </w:rPr>
        <w:t>بالتصريح للإخوان المسلمين رسميّ</w:t>
      </w:r>
      <w:r w:rsidRPr="00904FCB">
        <w:rPr>
          <w:rFonts w:ascii="Arial" w:hAnsi="Arial"/>
          <w:sz w:val="27"/>
          <w:rtl/>
        </w:rPr>
        <w:t>ا</w:t>
      </w:r>
      <w:r w:rsidR="00C57958" w:rsidRPr="00904FCB">
        <w:rPr>
          <w:rFonts w:ascii="Arial" w:hAnsi="Arial" w:hint="cs"/>
          <w:sz w:val="27"/>
          <w:rtl/>
        </w:rPr>
        <w:t>ً</w:t>
      </w:r>
      <w:r w:rsidRPr="00904FCB">
        <w:rPr>
          <w:rFonts w:ascii="Arial" w:hAnsi="Arial"/>
          <w:sz w:val="27"/>
          <w:rtl/>
        </w:rPr>
        <w:t xml:space="preserve"> بجمع الأسلحة، وحشد المتطو</w:t>
      </w:r>
      <w:r w:rsidR="00C57958" w:rsidRPr="00904FCB">
        <w:rPr>
          <w:rFonts w:ascii="Arial" w:hAnsi="Arial" w:hint="cs"/>
          <w:sz w:val="27"/>
          <w:rtl/>
        </w:rPr>
        <w:t>ِّ</w:t>
      </w:r>
      <w:r w:rsidRPr="00904FCB">
        <w:rPr>
          <w:rFonts w:ascii="Arial" w:hAnsi="Arial"/>
          <w:sz w:val="27"/>
          <w:rtl/>
        </w:rPr>
        <w:t>عين، وتكوين مراكز تدريب لهم على مختلف الأسلحة، وتسفيرهم إلى فلسطين</w:t>
      </w:r>
      <w:r w:rsidR="00C57958" w:rsidRPr="00904FCB">
        <w:rPr>
          <w:rFonts w:ascii="Arial" w:hAnsi="Arial" w:hint="cs"/>
          <w:sz w:val="27"/>
          <w:rtl/>
        </w:rPr>
        <w:t>.</w:t>
      </w:r>
      <w:r w:rsidRPr="00904FCB">
        <w:rPr>
          <w:rFonts w:ascii="Arial" w:hAnsi="Arial"/>
          <w:sz w:val="27"/>
          <w:rtl/>
        </w:rPr>
        <w:t xml:space="preserve"> وفي </w:t>
      </w:r>
      <w:r w:rsidRPr="00B13398">
        <w:rPr>
          <w:rFonts w:ascii="Arial" w:hAnsi="Arial"/>
          <w:sz w:val="27"/>
          <w:rtl/>
        </w:rPr>
        <w:t>14</w:t>
      </w:r>
      <w:r w:rsidRPr="00904FCB">
        <w:rPr>
          <w:rFonts w:ascii="Arial" w:hAnsi="Arial"/>
          <w:sz w:val="27"/>
          <w:rtl/>
        </w:rPr>
        <w:t xml:space="preserve"> أبريل/ نيسان </w:t>
      </w:r>
      <w:r w:rsidRPr="00B13398">
        <w:rPr>
          <w:rFonts w:ascii="Arial" w:hAnsi="Arial"/>
          <w:sz w:val="27"/>
          <w:rtl/>
        </w:rPr>
        <w:t>1948</w:t>
      </w:r>
      <w:r w:rsidRPr="00904FCB">
        <w:rPr>
          <w:rFonts w:ascii="Arial" w:hAnsi="Arial"/>
          <w:sz w:val="27"/>
          <w:rtl/>
        </w:rPr>
        <w:t xml:space="preserve"> كانت </w:t>
      </w:r>
      <w:r w:rsidRPr="00904FCB">
        <w:rPr>
          <w:rFonts w:hint="eastAsia"/>
          <w:sz w:val="27"/>
          <w:rtl/>
        </w:rPr>
        <w:t>«</w:t>
      </w:r>
      <w:r w:rsidRPr="00904FCB">
        <w:rPr>
          <w:rFonts w:ascii="Arial" w:hAnsi="Arial"/>
          <w:sz w:val="27"/>
          <w:rtl/>
        </w:rPr>
        <w:t>أو</w:t>
      </w:r>
      <w:r w:rsidR="00C57958" w:rsidRPr="00904FCB">
        <w:rPr>
          <w:rFonts w:ascii="Arial" w:hAnsi="Arial" w:hint="cs"/>
          <w:sz w:val="27"/>
          <w:rtl/>
        </w:rPr>
        <w:t>ّ</w:t>
      </w:r>
      <w:r w:rsidRPr="00904FCB">
        <w:rPr>
          <w:rFonts w:ascii="Arial" w:hAnsi="Arial"/>
          <w:sz w:val="27"/>
          <w:rtl/>
        </w:rPr>
        <w:t>ل معركة للإخوان في فلسطين</w:t>
      </w:r>
      <w:r w:rsidRPr="00904FCB">
        <w:rPr>
          <w:rFonts w:hint="eastAsia"/>
          <w:sz w:val="27"/>
          <w:rtl/>
        </w:rPr>
        <w:t>»</w:t>
      </w:r>
      <w:r w:rsidRPr="00904FCB">
        <w:rPr>
          <w:sz w:val="27"/>
          <w:vertAlign w:val="superscript"/>
          <w:rtl/>
        </w:rPr>
        <w:t>(</w:t>
      </w:r>
      <w:r w:rsidRPr="00904FCB">
        <w:rPr>
          <w:sz w:val="27"/>
          <w:vertAlign w:val="superscript"/>
          <w:rtl/>
        </w:rPr>
        <w:endnoteReference w:id="105"/>
      </w:r>
      <w:r w:rsidRPr="00904FCB">
        <w:rPr>
          <w:sz w:val="27"/>
          <w:vertAlign w:val="superscript"/>
          <w:rtl/>
        </w:rPr>
        <w:t>)</w:t>
      </w:r>
      <w:r w:rsidRPr="00904FCB">
        <w:rPr>
          <w:rFonts w:ascii="Arial" w:hAnsi="Arial"/>
          <w:sz w:val="27"/>
          <w:rtl/>
        </w:rPr>
        <w:t>، فلم</w:t>
      </w:r>
      <w:r w:rsidR="00C57958" w:rsidRPr="00904FCB">
        <w:rPr>
          <w:rFonts w:ascii="Arial" w:hAnsi="Arial" w:hint="cs"/>
          <w:sz w:val="27"/>
          <w:rtl/>
        </w:rPr>
        <w:t>ّ</w:t>
      </w:r>
      <w:r w:rsidRPr="00904FCB">
        <w:rPr>
          <w:rFonts w:ascii="Arial" w:hAnsi="Arial"/>
          <w:sz w:val="27"/>
          <w:rtl/>
        </w:rPr>
        <w:t>ا جاء شهر مايو/ أيار من ذلك العام، ومع إنهاء الإنجليز انتدابهم على فلسطين</w:t>
      </w:r>
      <w:r w:rsidR="00C57958" w:rsidRPr="00904FCB">
        <w:rPr>
          <w:rFonts w:ascii="Arial" w:hAnsi="Arial" w:hint="cs"/>
          <w:sz w:val="27"/>
          <w:rtl/>
        </w:rPr>
        <w:t>،</w:t>
      </w:r>
      <w:r w:rsidRPr="00904FCB">
        <w:rPr>
          <w:rFonts w:ascii="Arial" w:hAnsi="Arial"/>
          <w:sz w:val="27"/>
          <w:rtl/>
        </w:rPr>
        <w:t xml:space="preserve"> </w:t>
      </w:r>
      <w:r w:rsidRPr="00904FCB">
        <w:rPr>
          <w:rFonts w:hint="eastAsia"/>
          <w:sz w:val="27"/>
          <w:rtl/>
        </w:rPr>
        <w:t>«</w:t>
      </w:r>
      <w:r w:rsidRPr="00904FCB">
        <w:rPr>
          <w:rFonts w:ascii="Arial" w:hAnsi="Arial"/>
          <w:sz w:val="27"/>
          <w:rtl/>
        </w:rPr>
        <w:t>ظن</w:t>
      </w:r>
      <w:r w:rsidR="00C57958" w:rsidRPr="00904FCB">
        <w:rPr>
          <w:rFonts w:ascii="Arial" w:hAnsi="Arial" w:hint="cs"/>
          <w:sz w:val="27"/>
          <w:rtl/>
        </w:rPr>
        <w:t>ّ</w:t>
      </w:r>
      <w:r w:rsidRPr="00904FCB">
        <w:rPr>
          <w:rFonts w:ascii="Arial" w:hAnsi="Arial"/>
          <w:sz w:val="27"/>
          <w:rtl/>
        </w:rPr>
        <w:t xml:space="preserve"> الإخوان أن عهد التضييق والإرهاب قد انتهى بانسحاب الإنجليز، و</w:t>
      </w:r>
      <w:r w:rsidR="00C57958" w:rsidRPr="00904FCB">
        <w:rPr>
          <w:rFonts w:ascii="Arial" w:hAnsi="Arial" w:hint="cs"/>
          <w:sz w:val="27"/>
          <w:rtl/>
        </w:rPr>
        <w:t>أ</w:t>
      </w:r>
      <w:r w:rsidRPr="00904FCB">
        <w:rPr>
          <w:rFonts w:ascii="Arial" w:hAnsi="Arial"/>
          <w:sz w:val="27"/>
          <w:rtl/>
        </w:rPr>
        <w:t>نهم يستطيعون الآن إدخال قو</w:t>
      </w:r>
      <w:r w:rsidR="00C57958" w:rsidRPr="00904FCB">
        <w:rPr>
          <w:rFonts w:ascii="Arial" w:hAnsi="Arial" w:hint="cs"/>
          <w:sz w:val="27"/>
          <w:rtl/>
        </w:rPr>
        <w:t>ّ</w:t>
      </w:r>
      <w:r w:rsidRPr="00904FCB">
        <w:rPr>
          <w:rFonts w:ascii="Arial" w:hAnsi="Arial"/>
          <w:sz w:val="27"/>
          <w:rtl/>
        </w:rPr>
        <w:t>اتهم دون خوف</w:t>
      </w:r>
      <w:r w:rsidR="00C57958" w:rsidRPr="00904FCB">
        <w:rPr>
          <w:rFonts w:ascii="Arial" w:hAnsi="Arial" w:hint="cs"/>
          <w:sz w:val="27"/>
          <w:rtl/>
        </w:rPr>
        <w:t>ٍ</w:t>
      </w:r>
      <w:r w:rsidRPr="00904FCB">
        <w:rPr>
          <w:rFonts w:ascii="Arial" w:hAnsi="Arial"/>
          <w:sz w:val="27"/>
          <w:rtl/>
        </w:rPr>
        <w:t xml:space="preserve"> أو و</w:t>
      </w:r>
      <w:r w:rsidR="00C57958" w:rsidRPr="00904FCB">
        <w:rPr>
          <w:rFonts w:ascii="Arial" w:hAnsi="Arial" w:hint="cs"/>
          <w:sz w:val="27"/>
          <w:rtl/>
        </w:rPr>
        <w:t>َ</w:t>
      </w:r>
      <w:r w:rsidRPr="00904FCB">
        <w:rPr>
          <w:rFonts w:ascii="Arial" w:hAnsi="Arial"/>
          <w:sz w:val="27"/>
          <w:rtl/>
        </w:rPr>
        <w:t>ج</w:t>
      </w:r>
      <w:r w:rsidR="00C57958" w:rsidRPr="00904FCB">
        <w:rPr>
          <w:rFonts w:ascii="Arial" w:hAnsi="Arial" w:hint="cs"/>
          <w:sz w:val="27"/>
          <w:rtl/>
        </w:rPr>
        <w:t>َ</w:t>
      </w:r>
      <w:r w:rsidRPr="00904FCB">
        <w:rPr>
          <w:rFonts w:ascii="Arial" w:hAnsi="Arial"/>
          <w:sz w:val="27"/>
          <w:rtl/>
        </w:rPr>
        <w:t>ل</w:t>
      </w:r>
      <w:r w:rsidR="00C57958" w:rsidRPr="00904FCB">
        <w:rPr>
          <w:rFonts w:ascii="Arial" w:hAnsi="Arial" w:hint="cs"/>
          <w:sz w:val="27"/>
          <w:rtl/>
        </w:rPr>
        <w:t>،</w:t>
      </w:r>
      <w:r w:rsidRPr="00904FCB">
        <w:rPr>
          <w:rFonts w:ascii="Arial" w:hAnsi="Arial"/>
          <w:sz w:val="27"/>
          <w:rtl/>
        </w:rPr>
        <w:t xml:space="preserve"> وأن الوقت قد آن ليفي مرشدهم العظيم بوعده</w:t>
      </w:r>
      <w:r w:rsidR="00C57958" w:rsidRPr="00904FCB">
        <w:rPr>
          <w:rFonts w:ascii="Arial" w:hAnsi="Arial" w:hint="cs"/>
          <w:sz w:val="27"/>
          <w:rtl/>
        </w:rPr>
        <w:t>،</w:t>
      </w:r>
      <w:r w:rsidRPr="00904FCB">
        <w:rPr>
          <w:rFonts w:ascii="Arial" w:hAnsi="Arial"/>
          <w:sz w:val="27"/>
          <w:rtl/>
        </w:rPr>
        <w:t xml:space="preserve"> فيدخل فلسطين عشرة آلاف مقاتل كدفعة</w:t>
      </w:r>
      <w:r w:rsidR="00C57958" w:rsidRPr="00904FCB">
        <w:rPr>
          <w:rFonts w:ascii="Arial" w:hAnsi="Arial" w:hint="cs"/>
          <w:sz w:val="27"/>
          <w:rtl/>
        </w:rPr>
        <w:t>ٍ</w:t>
      </w:r>
      <w:r w:rsidRPr="00904FCB">
        <w:rPr>
          <w:rFonts w:ascii="Arial" w:hAnsi="Arial"/>
          <w:sz w:val="27"/>
          <w:rtl/>
        </w:rPr>
        <w:t xml:space="preserve"> أولى.... ظن</w:t>
      </w:r>
      <w:r w:rsidR="00C57958" w:rsidRPr="00904FCB">
        <w:rPr>
          <w:rFonts w:ascii="Arial" w:hAnsi="Arial" w:hint="cs"/>
          <w:sz w:val="27"/>
          <w:rtl/>
        </w:rPr>
        <w:t>ّ</w:t>
      </w:r>
      <w:r w:rsidRPr="00904FCB">
        <w:rPr>
          <w:rFonts w:ascii="Arial" w:hAnsi="Arial"/>
          <w:sz w:val="27"/>
          <w:rtl/>
        </w:rPr>
        <w:t xml:space="preserve"> الإخوان ذلك</w:t>
      </w:r>
      <w:r w:rsidR="00C57958" w:rsidRPr="00904FCB">
        <w:rPr>
          <w:rFonts w:ascii="Arial" w:hAnsi="Arial" w:hint="cs"/>
          <w:sz w:val="27"/>
          <w:rtl/>
        </w:rPr>
        <w:t>،</w:t>
      </w:r>
      <w:r w:rsidRPr="00904FCB">
        <w:rPr>
          <w:rFonts w:ascii="Arial" w:hAnsi="Arial"/>
          <w:sz w:val="27"/>
          <w:rtl/>
        </w:rPr>
        <w:t xml:space="preserve"> ولكن جاءت الحوادث لتخلف ظن</w:t>
      </w:r>
      <w:r w:rsidR="00C57958" w:rsidRPr="00904FCB">
        <w:rPr>
          <w:rFonts w:ascii="Arial" w:hAnsi="Arial" w:hint="cs"/>
          <w:sz w:val="27"/>
          <w:rtl/>
        </w:rPr>
        <w:t>َّ</w:t>
      </w:r>
      <w:r w:rsidRPr="00904FCB">
        <w:rPr>
          <w:rFonts w:ascii="Arial" w:hAnsi="Arial"/>
          <w:sz w:val="27"/>
          <w:rtl/>
        </w:rPr>
        <w:t>هم</w:t>
      </w:r>
      <w:r w:rsidR="00C57958" w:rsidRPr="00904FCB">
        <w:rPr>
          <w:rFonts w:ascii="Arial" w:hAnsi="Arial" w:hint="cs"/>
          <w:sz w:val="27"/>
          <w:rtl/>
        </w:rPr>
        <w:t>،</w:t>
      </w:r>
      <w:r w:rsidRPr="00904FCB">
        <w:rPr>
          <w:rFonts w:ascii="Arial" w:hAnsi="Arial"/>
          <w:sz w:val="27"/>
          <w:rtl/>
        </w:rPr>
        <w:t xml:space="preserve"> وتقنعهم بأن سياسة الإنجليز باقية</w:t>
      </w:r>
      <w:r w:rsidR="00C57958" w:rsidRPr="00904FCB">
        <w:rPr>
          <w:rFonts w:ascii="Arial" w:hAnsi="Arial" w:hint="cs"/>
          <w:sz w:val="27"/>
          <w:rtl/>
        </w:rPr>
        <w:t>ٌ</w:t>
      </w:r>
      <w:r w:rsidRPr="00904FCB">
        <w:rPr>
          <w:rFonts w:ascii="Arial" w:hAnsi="Arial"/>
          <w:sz w:val="27"/>
          <w:rtl/>
        </w:rPr>
        <w:t xml:space="preserve"> و</w:t>
      </w:r>
      <w:r w:rsidR="00C57958" w:rsidRPr="00904FCB">
        <w:rPr>
          <w:rFonts w:ascii="Arial" w:hAnsi="Arial" w:hint="cs"/>
          <w:sz w:val="27"/>
          <w:rtl/>
        </w:rPr>
        <w:t>إ</w:t>
      </w:r>
      <w:r w:rsidRPr="00904FCB">
        <w:rPr>
          <w:rFonts w:ascii="Arial" w:hAnsi="Arial"/>
          <w:sz w:val="27"/>
          <w:rtl/>
        </w:rPr>
        <w:t>ن</w:t>
      </w:r>
      <w:r w:rsidR="00B62EC4">
        <w:rPr>
          <w:rFonts w:ascii="Arial" w:hAnsi="Arial" w:hint="cs"/>
          <w:sz w:val="27"/>
          <w:rtl/>
        </w:rPr>
        <w:t>ْ</w:t>
      </w:r>
      <w:r w:rsidRPr="00904FCB">
        <w:rPr>
          <w:rFonts w:ascii="Arial" w:hAnsi="Arial"/>
          <w:sz w:val="27"/>
          <w:rtl/>
        </w:rPr>
        <w:t xml:space="preserve"> انسح</w:t>
      </w:r>
      <w:r w:rsidR="00C57958" w:rsidRPr="00904FCB">
        <w:rPr>
          <w:rFonts w:ascii="Arial" w:hAnsi="Arial" w:hint="cs"/>
          <w:sz w:val="27"/>
          <w:rtl/>
        </w:rPr>
        <w:t>َ</w:t>
      </w:r>
      <w:r w:rsidRPr="00904FCB">
        <w:rPr>
          <w:rFonts w:ascii="Arial" w:hAnsi="Arial"/>
          <w:sz w:val="27"/>
          <w:rtl/>
        </w:rPr>
        <w:t>ب</w:t>
      </w:r>
      <w:r w:rsidR="00C57958" w:rsidRPr="00904FCB">
        <w:rPr>
          <w:rFonts w:ascii="Arial" w:hAnsi="Arial" w:hint="cs"/>
          <w:sz w:val="27"/>
          <w:rtl/>
        </w:rPr>
        <w:t>َ</w:t>
      </w:r>
      <w:r w:rsidRPr="00904FCB">
        <w:rPr>
          <w:rFonts w:ascii="Arial" w:hAnsi="Arial"/>
          <w:sz w:val="27"/>
          <w:rtl/>
        </w:rPr>
        <w:t xml:space="preserve"> جنودهم من الميدان</w:t>
      </w:r>
      <w:r w:rsidR="00C57958" w:rsidRPr="00904FCB">
        <w:rPr>
          <w:rFonts w:ascii="Arial" w:hAnsi="Arial"/>
          <w:sz w:val="27"/>
          <w:rtl/>
        </w:rPr>
        <w:t>..</w:t>
      </w:r>
      <w:r w:rsidR="00C57958" w:rsidRPr="00904FCB">
        <w:rPr>
          <w:rFonts w:ascii="Arial" w:hAnsi="Arial" w:hint="cs"/>
          <w:sz w:val="27"/>
          <w:rtl/>
        </w:rPr>
        <w:t>.</w:t>
      </w:r>
      <w:r w:rsidR="00C57958" w:rsidRPr="00904FCB">
        <w:rPr>
          <w:rFonts w:hint="eastAsia"/>
          <w:sz w:val="27"/>
          <w:rtl/>
        </w:rPr>
        <w:t>»</w:t>
      </w:r>
      <w:r w:rsidRPr="00904FCB">
        <w:rPr>
          <w:sz w:val="27"/>
          <w:vertAlign w:val="superscript"/>
          <w:rtl/>
        </w:rPr>
        <w:t>(</w:t>
      </w:r>
      <w:r w:rsidRPr="00904FCB">
        <w:rPr>
          <w:sz w:val="27"/>
          <w:vertAlign w:val="superscript"/>
          <w:rtl/>
        </w:rPr>
        <w:endnoteReference w:id="106"/>
      </w:r>
      <w:r w:rsidRPr="00904FCB">
        <w:rPr>
          <w:sz w:val="27"/>
          <w:vertAlign w:val="superscript"/>
          <w:rtl/>
        </w:rPr>
        <w:t>)</w:t>
      </w:r>
      <w:r w:rsidRPr="00904FCB">
        <w:rPr>
          <w:rFonts w:ascii="Arial" w:hAnsi="Arial"/>
          <w:sz w:val="27"/>
          <w:rtl/>
        </w:rPr>
        <w:t>. وفي هذا المجال يقول محمد مهدي عاكف</w:t>
      </w:r>
      <w:r w:rsidR="00C57958" w:rsidRPr="00904FCB">
        <w:rPr>
          <w:rFonts w:ascii="Arial" w:hAnsi="Arial" w:hint="cs"/>
          <w:sz w:val="27"/>
          <w:rtl/>
        </w:rPr>
        <w:t>،</w:t>
      </w:r>
      <w:r w:rsidRPr="00904FCB">
        <w:rPr>
          <w:rFonts w:ascii="Arial" w:hAnsi="Arial"/>
          <w:sz w:val="27"/>
          <w:rtl/>
        </w:rPr>
        <w:t xml:space="preserve"> الذي كان مرشد</w:t>
      </w:r>
      <w:r w:rsidR="00C57958" w:rsidRPr="00904FCB">
        <w:rPr>
          <w:rFonts w:ascii="Arial" w:hAnsi="Arial" w:hint="cs"/>
          <w:sz w:val="27"/>
          <w:rtl/>
        </w:rPr>
        <w:t>اً</w:t>
      </w:r>
      <w:r w:rsidRPr="00904FCB">
        <w:rPr>
          <w:rFonts w:ascii="Arial" w:hAnsi="Arial"/>
          <w:sz w:val="27"/>
          <w:rtl/>
        </w:rPr>
        <w:t xml:space="preserve"> للجماعة</w:t>
      </w:r>
      <w:r w:rsidR="00C57958" w:rsidRPr="00904FCB">
        <w:rPr>
          <w:rFonts w:ascii="Arial" w:hAnsi="Arial" w:hint="cs"/>
          <w:sz w:val="27"/>
          <w:rtl/>
        </w:rPr>
        <w:t>:</w:t>
      </w:r>
      <w:r w:rsidRPr="00904FCB">
        <w:rPr>
          <w:rFonts w:ascii="Arial" w:hAnsi="Arial"/>
          <w:sz w:val="27"/>
          <w:rtl/>
        </w:rPr>
        <w:t xml:space="preserve"> </w:t>
      </w:r>
      <w:r w:rsidRPr="00904FCB">
        <w:rPr>
          <w:rFonts w:hint="eastAsia"/>
          <w:sz w:val="27"/>
          <w:rtl/>
        </w:rPr>
        <w:t>«</w:t>
      </w:r>
      <w:r w:rsidRPr="00904FCB">
        <w:rPr>
          <w:rFonts w:ascii="Arial" w:hAnsi="Arial"/>
          <w:sz w:val="27"/>
          <w:rtl/>
        </w:rPr>
        <w:t>إن مشاركة الجماعة في حرب فلسطين كان لها الدور الأساس في قرار حل</w:t>
      </w:r>
      <w:r w:rsidR="00C57958" w:rsidRPr="00904FCB">
        <w:rPr>
          <w:rFonts w:ascii="Arial" w:hAnsi="Arial" w:hint="cs"/>
          <w:sz w:val="27"/>
          <w:rtl/>
        </w:rPr>
        <w:t>ّ</w:t>
      </w:r>
      <w:r w:rsidRPr="00904FCB">
        <w:rPr>
          <w:rFonts w:ascii="Arial" w:hAnsi="Arial"/>
          <w:sz w:val="27"/>
          <w:rtl/>
        </w:rPr>
        <w:t xml:space="preserve"> الجماعة</w:t>
      </w:r>
      <w:r w:rsidR="00C57958" w:rsidRPr="00904FCB">
        <w:rPr>
          <w:rFonts w:ascii="Arial" w:hAnsi="Arial" w:hint="cs"/>
          <w:sz w:val="27"/>
          <w:rtl/>
        </w:rPr>
        <w:t>.</w:t>
      </w:r>
      <w:r w:rsidRPr="00904FCB">
        <w:rPr>
          <w:rFonts w:ascii="Arial" w:hAnsi="Arial"/>
          <w:sz w:val="27"/>
          <w:rtl/>
        </w:rPr>
        <w:t xml:space="preserve"> فبعد هزيمة الجيوش العربية قر</w:t>
      </w:r>
      <w:r w:rsidR="00C57958" w:rsidRPr="00904FCB">
        <w:rPr>
          <w:rFonts w:ascii="Arial" w:hAnsi="Arial" w:hint="cs"/>
          <w:sz w:val="27"/>
          <w:rtl/>
        </w:rPr>
        <w:t>َّ</w:t>
      </w:r>
      <w:r w:rsidRPr="00904FCB">
        <w:rPr>
          <w:rFonts w:ascii="Arial" w:hAnsi="Arial"/>
          <w:sz w:val="27"/>
          <w:rtl/>
        </w:rPr>
        <w:t>ر القصر الحاكم في مصر حل</w:t>
      </w:r>
      <w:r w:rsidR="00C57958" w:rsidRPr="00904FCB">
        <w:rPr>
          <w:rFonts w:ascii="Arial" w:hAnsi="Arial" w:hint="cs"/>
          <w:sz w:val="27"/>
          <w:rtl/>
        </w:rPr>
        <w:t>َّ</w:t>
      </w:r>
      <w:r w:rsidRPr="00904FCB">
        <w:rPr>
          <w:rFonts w:ascii="Arial" w:hAnsi="Arial"/>
          <w:sz w:val="27"/>
          <w:rtl/>
        </w:rPr>
        <w:t xml:space="preserve"> جماعة الإخوان المسلمين</w:t>
      </w:r>
      <w:r w:rsidR="00C57958" w:rsidRPr="00904FCB">
        <w:rPr>
          <w:rFonts w:ascii="Arial" w:hAnsi="Arial" w:hint="cs"/>
          <w:sz w:val="27"/>
          <w:rtl/>
        </w:rPr>
        <w:t>،</w:t>
      </w:r>
      <w:r w:rsidRPr="00904FCB">
        <w:rPr>
          <w:rFonts w:ascii="Arial" w:hAnsi="Arial"/>
          <w:sz w:val="27"/>
          <w:rtl/>
        </w:rPr>
        <w:t xml:space="preserve"> واعتقال جميع الإخوان</w:t>
      </w:r>
      <w:r w:rsidR="00C57958" w:rsidRPr="00904FCB">
        <w:rPr>
          <w:rFonts w:ascii="Arial" w:hAnsi="Arial" w:hint="cs"/>
          <w:sz w:val="27"/>
          <w:rtl/>
        </w:rPr>
        <w:t>.</w:t>
      </w:r>
      <w:r w:rsidRPr="00904FCB">
        <w:rPr>
          <w:rFonts w:ascii="Arial" w:hAnsi="Arial"/>
          <w:sz w:val="27"/>
          <w:rtl/>
        </w:rPr>
        <w:t xml:space="preserve"> وقام الجيش المصري باعتقال مجاهدي الإخوان من فلسطين حت</w:t>
      </w:r>
      <w:r w:rsidR="00C57958" w:rsidRPr="00904FCB">
        <w:rPr>
          <w:rFonts w:ascii="Arial" w:hAnsi="Arial" w:hint="cs"/>
          <w:sz w:val="27"/>
          <w:rtl/>
        </w:rPr>
        <w:t>ّ</w:t>
      </w:r>
      <w:r w:rsidRPr="00904FCB">
        <w:rPr>
          <w:rFonts w:ascii="Arial" w:hAnsi="Arial"/>
          <w:sz w:val="27"/>
          <w:rtl/>
        </w:rPr>
        <w:t>ى مصر، وذلك بتدبير من سفراء إنجلترا وأميركا وفرنسا</w:t>
      </w:r>
      <w:r w:rsidR="00C57958" w:rsidRPr="00904FCB">
        <w:rPr>
          <w:rFonts w:ascii="Arial" w:hAnsi="Arial" w:hint="cs"/>
          <w:sz w:val="27"/>
          <w:rtl/>
        </w:rPr>
        <w:t>،</w:t>
      </w:r>
      <w:r w:rsidRPr="00904FCB">
        <w:rPr>
          <w:rFonts w:ascii="Arial" w:hAnsi="Arial"/>
          <w:sz w:val="27"/>
          <w:rtl/>
        </w:rPr>
        <w:t xml:space="preserve"> الذين طلبوا ذلك من النقراشي حين اجتمعوا به في مدينة فايد بمحافظة الإسماعيلية، بح</w:t>
      </w:r>
      <w:r w:rsidR="00C57958" w:rsidRPr="00904FCB">
        <w:rPr>
          <w:rFonts w:ascii="Arial" w:hAnsi="Arial" w:hint="cs"/>
          <w:sz w:val="27"/>
          <w:rtl/>
        </w:rPr>
        <w:t>َ</w:t>
      </w:r>
      <w:r w:rsidRPr="00904FCB">
        <w:rPr>
          <w:rFonts w:ascii="Arial" w:hAnsi="Arial"/>
          <w:sz w:val="27"/>
          <w:rtl/>
        </w:rPr>
        <w:t>س</w:t>
      </w:r>
      <w:r w:rsidR="00C57958" w:rsidRPr="00904FCB">
        <w:rPr>
          <w:rFonts w:ascii="Arial" w:hAnsi="Arial" w:hint="cs"/>
          <w:sz w:val="27"/>
          <w:rtl/>
        </w:rPr>
        <w:t>َ</w:t>
      </w:r>
      <w:r w:rsidRPr="00904FCB">
        <w:rPr>
          <w:rFonts w:ascii="Arial" w:hAnsi="Arial"/>
          <w:sz w:val="27"/>
          <w:rtl/>
        </w:rPr>
        <w:t>ب ما كشفت عنه المحاكمات لاحقاً، وات</w:t>
      </w:r>
      <w:r w:rsidR="00C57958" w:rsidRPr="00904FCB">
        <w:rPr>
          <w:rFonts w:ascii="Arial" w:hAnsi="Arial" w:hint="cs"/>
          <w:sz w:val="27"/>
          <w:rtl/>
        </w:rPr>
        <w:t>ّ</w:t>
      </w:r>
      <w:r w:rsidRPr="00904FCB">
        <w:rPr>
          <w:rFonts w:ascii="Arial" w:hAnsi="Arial"/>
          <w:sz w:val="27"/>
          <w:rtl/>
        </w:rPr>
        <w:t>هموا الجماعة وقتها بحرق محلا</w:t>
      </w:r>
      <w:r w:rsidR="00C57958" w:rsidRPr="00904FCB">
        <w:rPr>
          <w:rFonts w:ascii="Arial" w:hAnsi="Arial" w:hint="cs"/>
          <w:sz w:val="27"/>
          <w:rtl/>
        </w:rPr>
        <w:t>ّ</w:t>
      </w:r>
      <w:r w:rsidRPr="00904FCB">
        <w:rPr>
          <w:rFonts w:ascii="Arial" w:hAnsi="Arial"/>
          <w:sz w:val="27"/>
          <w:rtl/>
        </w:rPr>
        <w:t>ت اليهود الكبيرة</w:t>
      </w:r>
      <w:r w:rsidR="00C57958" w:rsidRPr="00904FCB">
        <w:rPr>
          <w:rFonts w:ascii="Arial" w:hAnsi="Arial" w:hint="cs"/>
          <w:sz w:val="27"/>
          <w:rtl/>
        </w:rPr>
        <w:t>،</w:t>
      </w:r>
      <w:r w:rsidRPr="00904FCB">
        <w:rPr>
          <w:rFonts w:ascii="Arial" w:hAnsi="Arial"/>
          <w:sz w:val="27"/>
          <w:rtl/>
        </w:rPr>
        <w:t xml:space="preserve"> مثل</w:t>
      </w:r>
      <w:r w:rsidR="00C57958" w:rsidRPr="00904FCB">
        <w:rPr>
          <w:rFonts w:ascii="Arial" w:hAnsi="Arial" w:hint="cs"/>
          <w:sz w:val="27"/>
          <w:rtl/>
        </w:rPr>
        <w:t>:</w:t>
      </w:r>
      <w:r w:rsidRPr="00904FCB">
        <w:rPr>
          <w:rFonts w:ascii="Arial" w:hAnsi="Arial"/>
          <w:sz w:val="27"/>
          <w:rtl/>
        </w:rPr>
        <w:t xml:space="preserve"> </w:t>
      </w:r>
      <w:r w:rsidRPr="00904FCB">
        <w:rPr>
          <w:rFonts w:hint="eastAsia"/>
          <w:sz w:val="27"/>
          <w:rtl/>
        </w:rPr>
        <w:t>«</w:t>
      </w:r>
      <w:r w:rsidRPr="00904FCB">
        <w:rPr>
          <w:rFonts w:ascii="Arial" w:hAnsi="Arial"/>
          <w:sz w:val="27"/>
          <w:rtl/>
        </w:rPr>
        <w:t>شيكوريل</w:t>
      </w:r>
      <w:r w:rsidRPr="00904FCB">
        <w:rPr>
          <w:rFonts w:hint="eastAsia"/>
          <w:sz w:val="27"/>
          <w:rtl/>
        </w:rPr>
        <w:t>»</w:t>
      </w:r>
      <w:r w:rsidRPr="00904FCB">
        <w:rPr>
          <w:rFonts w:ascii="Arial" w:hAnsi="Arial"/>
          <w:sz w:val="27"/>
          <w:rtl/>
        </w:rPr>
        <w:t>، على الرغم من أن هذه الأحداث تور</w:t>
      </w:r>
      <w:r w:rsidR="00C57958" w:rsidRPr="00904FCB">
        <w:rPr>
          <w:rFonts w:ascii="Arial" w:hAnsi="Arial" w:hint="cs"/>
          <w:sz w:val="27"/>
          <w:rtl/>
        </w:rPr>
        <w:t>َّ</w:t>
      </w:r>
      <w:r w:rsidRPr="00904FCB">
        <w:rPr>
          <w:rFonts w:ascii="Arial" w:hAnsi="Arial"/>
          <w:sz w:val="27"/>
          <w:rtl/>
        </w:rPr>
        <w:t>ط فيها الاحتلال</w:t>
      </w:r>
      <w:r w:rsidR="00C57958" w:rsidRPr="00904FCB">
        <w:rPr>
          <w:rFonts w:ascii="Arial" w:hAnsi="Arial" w:hint="cs"/>
          <w:sz w:val="27"/>
          <w:rtl/>
        </w:rPr>
        <w:t>؛</w:t>
      </w:r>
      <w:r w:rsidRPr="00904FCB">
        <w:rPr>
          <w:rFonts w:ascii="Arial" w:hAnsi="Arial"/>
          <w:sz w:val="27"/>
          <w:rtl/>
        </w:rPr>
        <w:t xml:space="preserve"> لتأليب القصر على جماعة الإخوان المسلمين</w:t>
      </w:r>
      <w:r w:rsidRPr="00904FCB">
        <w:rPr>
          <w:rFonts w:hint="eastAsia"/>
          <w:sz w:val="27"/>
          <w:rtl/>
        </w:rPr>
        <w:t>»</w:t>
      </w:r>
      <w:r w:rsidRPr="00904FCB">
        <w:rPr>
          <w:sz w:val="27"/>
          <w:vertAlign w:val="superscript"/>
          <w:rtl/>
        </w:rPr>
        <w:t>(</w:t>
      </w:r>
      <w:r w:rsidRPr="00904FCB">
        <w:rPr>
          <w:sz w:val="27"/>
          <w:vertAlign w:val="superscript"/>
          <w:rtl/>
        </w:rPr>
        <w:endnoteReference w:id="107"/>
      </w:r>
      <w:r w:rsidRPr="00904FCB">
        <w:rPr>
          <w:sz w:val="27"/>
          <w:vertAlign w:val="superscript"/>
          <w:rtl/>
        </w:rPr>
        <w:t>)</w:t>
      </w:r>
      <w:r w:rsidRPr="00904FCB">
        <w:rPr>
          <w:rFonts w:ascii="Arial" w:hAnsi="Arial"/>
          <w:sz w:val="27"/>
          <w:rtl/>
        </w:rPr>
        <w:t xml:space="preserve">. </w:t>
      </w:r>
    </w:p>
    <w:p w:rsidR="00D60784" w:rsidRPr="00904FCB" w:rsidRDefault="00A45FD9" w:rsidP="007A21AA">
      <w:pPr>
        <w:spacing w:line="400" w:lineRule="exact"/>
        <w:rPr>
          <w:rFonts w:ascii="Arial" w:hAnsi="Arial"/>
          <w:sz w:val="27"/>
          <w:rtl/>
        </w:rPr>
      </w:pPr>
      <w:r w:rsidRPr="00904FCB">
        <w:rPr>
          <w:rFonts w:ascii="Arial" w:hAnsi="Arial"/>
          <w:sz w:val="27"/>
          <w:rtl/>
        </w:rPr>
        <w:t>يقول محمد مهدي عاكف عن دور الجهاز الخاص</w:t>
      </w:r>
      <w:r w:rsidR="00D60784" w:rsidRPr="00904FCB">
        <w:rPr>
          <w:rFonts w:ascii="Arial" w:hAnsi="Arial" w:hint="cs"/>
          <w:sz w:val="27"/>
          <w:rtl/>
        </w:rPr>
        <w:t>ّ</w:t>
      </w:r>
      <w:r w:rsidRPr="00904FCB">
        <w:rPr>
          <w:rFonts w:ascii="Arial" w:hAnsi="Arial"/>
          <w:sz w:val="27"/>
          <w:rtl/>
        </w:rPr>
        <w:t xml:space="preserve"> ومهم</w:t>
      </w:r>
      <w:r w:rsidR="00D60784" w:rsidRPr="00904FCB">
        <w:rPr>
          <w:rFonts w:ascii="Arial" w:hAnsi="Arial" w:hint="cs"/>
          <w:sz w:val="27"/>
          <w:rtl/>
        </w:rPr>
        <w:t>ّ</w:t>
      </w:r>
      <w:r w:rsidRPr="00904FCB">
        <w:rPr>
          <w:rFonts w:ascii="Arial" w:hAnsi="Arial"/>
          <w:sz w:val="27"/>
          <w:rtl/>
        </w:rPr>
        <w:t>اته</w:t>
      </w:r>
      <w:r w:rsidR="00D60784" w:rsidRPr="00904FCB">
        <w:rPr>
          <w:rFonts w:ascii="Arial" w:hAnsi="Arial" w:hint="cs"/>
          <w:sz w:val="27"/>
          <w:rtl/>
        </w:rPr>
        <w:t>:</w:t>
      </w:r>
      <w:r w:rsidRPr="00904FCB">
        <w:rPr>
          <w:rFonts w:ascii="Arial" w:hAnsi="Arial"/>
          <w:sz w:val="27"/>
          <w:rtl/>
        </w:rPr>
        <w:t xml:space="preserve"> إنه كان يترك</w:t>
      </w:r>
      <w:r w:rsidR="00D60784" w:rsidRPr="00904FCB">
        <w:rPr>
          <w:rFonts w:ascii="Arial" w:hAnsi="Arial" w:hint="cs"/>
          <w:sz w:val="27"/>
          <w:rtl/>
        </w:rPr>
        <w:t>ّ</w:t>
      </w:r>
      <w:r w:rsidRPr="00904FCB">
        <w:rPr>
          <w:rFonts w:ascii="Arial" w:hAnsi="Arial"/>
          <w:sz w:val="27"/>
          <w:rtl/>
        </w:rPr>
        <w:t xml:space="preserve">ز على </w:t>
      </w:r>
      <w:r w:rsidRPr="00904FCB">
        <w:rPr>
          <w:rFonts w:hint="eastAsia"/>
          <w:sz w:val="27"/>
          <w:rtl/>
        </w:rPr>
        <w:t>«</w:t>
      </w:r>
      <w:r w:rsidRPr="00904FCB">
        <w:rPr>
          <w:rFonts w:ascii="Arial" w:hAnsi="Arial"/>
          <w:sz w:val="27"/>
          <w:rtl/>
        </w:rPr>
        <w:t>إعداد نخبة منتقاة من الإخوان للقيام بمهم</w:t>
      </w:r>
      <w:r w:rsidR="00D60784" w:rsidRPr="00904FCB">
        <w:rPr>
          <w:rFonts w:ascii="Arial" w:hAnsi="Arial" w:hint="cs"/>
          <w:sz w:val="27"/>
          <w:rtl/>
        </w:rPr>
        <w:t>ّ</w:t>
      </w:r>
      <w:r w:rsidRPr="00904FCB">
        <w:rPr>
          <w:rFonts w:ascii="Arial" w:hAnsi="Arial"/>
          <w:sz w:val="27"/>
          <w:rtl/>
        </w:rPr>
        <w:t>ات</w:t>
      </w:r>
      <w:r w:rsidR="00D60784" w:rsidRPr="00904FCB">
        <w:rPr>
          <w:rFonts w:ascii="Arial" w:hAnsi="Arial" w:hint="cs"/>
          <w:sz w:val="27"/>
          <w:rtl/>
        </w:rPr>
        <w:t>ٍ</w:t>
      </w:r>
      <w:r w:rsidRPr="00904FCB">
        <w:rPr>
          <w:rFonts w:ascii="Arial" w:hAnsi="Arial"/>
          <w:sz w:val="27"/>
          <w:rtl/>
        </w:rPr>
        <w:t xml:space="preserve"> خاص</w:t>
      </w:r>
      <w:r w:rsidR="00D60784" w:rsidRPr="00904FCB">
        <w:rPr>
          <w:rFonts w:ascii="Arial" w:hAnsi="Arial" w:hint="cs"/>
          <w:sz w:val="27"/>
          <w:rtl/>
        </w:rPr>
        <w:t>ّ</w:t>
      </w:r>
      <w:r w:rsidRPr="00904FCB">
        <w:rPr>
          <w:rFonts w:ascii="Arial" w:hAnsi="Arial"/>
          <w:sz w:val="27"/>
          <w:rtl/>
        </w:rPr>
        <w:t>ة، والتدريب على العمليات العسكرية ضد</w:t>
      </w:r>
      <w:r w:rsidR="00D60784" w:rsidRPr="00904FCB">
        <w:rPr>
          <w:rFonts w:ascii="Arial" w:hAnsi="Arial" w:hint="cs"/>
          <w:sz w:val="27"/>
          <w:rtl/>
        </w:rPr>
        <w:t>ّ</w:t>
      </w:r>
      <w:r w:rsidRPr="00904FCB">
        <w:rPr>
          <w:rFonts w:ascii="Arial" w:hAnsi="Arial"/>
          <w:sz w:val="27"/>
          <w:rtl/>
        </w:rPr>
        <w:t xml:space="preserve"> العدو الخارجي، وذلك لمصلحة مصر</w:t>
      </w:r>
      <w:r w:rsidR="00D60784" w:rsidRPr="00904FCB">
        <w:rPr>
          <w:rFonts w:ascii="Arial" w:hAnsi="Arial" w:hint="cs"/>
          <w:sz w:val="27"/>
          <w:rtl/>
        </w:rPr>
        <w:t>،</w:t>
      </w:r>
      <w:r w:rsidRPr="00904FCB">
        <w:rPr>
          <w:rFonts w:ascii="Arial" w:hAnsi="Arial"/>
          <w:sz w:val="27"/>
          <w:rtl/>
        </w:rPr>
        <w:t xml:space="preserve"> وليس ضد</w:t>
      </w:r>
      <w:r w:rsidR="00D60784" w:rsidRPr="00904FCB">
        <w:rPr>
          <w:rFonts w:ascii="Arial" w:hAnsi="Arial" w:hint="cs"/>
          <w:sz w:val="27"/>
          <w:rtl/>
        </w:rPr>
        <w:t>ّ</w:t>
      </w:r>
      <w:r w:rsidRPr="00904FCB">
        <w:rPr>
          <w:rFonts w:ascii="Arial" w:hAnsi="Arial"/>
          <w:sz w:val="27"/>
          <w:rtl/>
        </w:rPr>
        <w:t xml:space="preserve"> الداخل</w:t>
      </w:r>
      <w:r w:rsidRPr="00904FCB">
        <w:rPr>
          <w:rFonts w:hint="eastAsia"/>
          <w:sz w:val="27"/>
          <w:rtl/>
        </w:rPr>
        <w:t>»</w:t>
      </w:r>
      <w:r w:rsidRPr="00904FCB">
        <w:rPr>
          <w:sz w:val="27"/>
          <w:vertAlign w:val="superscript"/>
          <w:rtl/>
        </w:rPr>
        <w:t>(</w:t>
      </w:r>
      <w:r w:rsidRPr="00904FCB">
        <w:rPr>
          <w:sz w:val="27"/>
          <w:vertAlign w:val="superscript"/>
          <w:rtl/>
        </w:rPr>
        <w:endnoteReference w:id="108"/>
      </w:r>
      <w:r w:rsidRPr="00904FCB">
        <w:rPr>
          <w:sz w:val="27"/>
          <w:vertAlign w:val="superscript"/>
          <w:rtl/>
        </w:rPr>
        <w:t>)</w:t>
      </w:r>
      <w:r w:rsidRPr="00904FCB">
        <w:rPr>
          <w:rFonts w:ascii="Arial" w:hAnsi="Arial"/>
          <w:sz w:val="27"/>
          <w:rtl/>
        </w:rPr>
        <w:t xml:space="preserve">، </w:t>
      </w:r>
      <w:r w:rsidR="00D60784" w:rsidRPr="00904FCB">
        <w:rPr>
          <w:rFonts w:ascii="Arial" w:hAnsi="Arial" w:hint="cs"/>
          <w:sz w:val="27"/>
          <w:rtl/>
        </w:rPr>
        <w:t>إ</w:t>
      </w:r>
      <w:r w:rsidRPr="00904FCB">
        <w:rPr>
          <w:rFonts w:ascii="Arial" w:hAnsi="Arial"/>
          <w:sz w:val="27"/>
          <w:rtl/>
        </w:rPr>
        <w:t>لا</w:t>
      </w:r>
      <w:r w:rsidR="00D60784" w:rsidRPr="00904FCB">
        <w:rPr>
          <w:rFonts w:ascii="Arial" w:hAnsi="Arial" w:hint="cs"/>
          <w:sz w:val="27"/>
          <w:rtl/>
        </w:rPr>
        <w:t>ّ</w:t>
      </w:r>
      <w:r w:rsidRPr="00904FCB">
        <w:rPr>
          <w:rFonts w:ascii="Arial" w:hAnsi="Arial"/>
          <w:sz w:val="27"/>
          <w:rtl/>
        </w:rPr>
        <w:t xml:space="preserve"> أن ذلك لم يتم</w:t>
      </w:r>
      <w:r w:rsidR="00D60784" w:rsidRPr="00904FCB">
        <w:rPr>
          <w:rFonts w:ascii="Arial" w:hAnsi="Arial" w:hint="cs"/>
          <w:sz w:val="27"/>
          <w:rtl/>
        </w:rPr>
        <w:t>ّ</w:t>
      </w:r>
      <w:r w:rsidRPr="00904FCB">
        <w:rPr>
          <w:rFonts w:ascii="Arial" w:hAnsi="Arial"/>
          <w:sz w:val="27"/>
          <w:rtl/>
        </w:rPr>
        <w:t xml:space="preserve"> التقي</w:t>
      </w:r>
      <w:r w:rsidR="00D60784" w:rsidRPr="00904FCB">
        <w:rPr>
          <w:rFonts w:ascii="Arial" w:hAnsi="Arial" w:hint="cs"/>
          <w:sz w:val="27"/>
          <w:rtl/>
        </w:rPr>
        <w:t>ُّ</w:t>
      </w:r>
      <w:r w:rsidRPr="00904FCB">
        <w:rPr>
          <w:rFonts w:ascii="Arial" w:hAnsi="Arial"/>
          <w:sz w:val="27"/>
          <w:rtl/>
        </w:rPr>
        <w:t>د به من قبل المولجين بمتابعة نشاطاته العملانية</w:t>
      </w:r>
      <w:r w:rsidR="00D60784" w:rsidRPr="00904FCB">
        <w:rPr>
          <w:rFonts w:ascii="Arial" w:hAnsi="Arial" w:hint="cs"/>
          <w:sz w:val="27"/>
          <w:rtl/>
        </w:rPr>
        <w:t>،</w:t>
      </w:r>
      <w:r w:rsidRPr="00904FCB">
        <w:rPr>
          <w:rFonts w:ascii="Arial" w:hAnsi="Arial"/>
          <w:sz w:val="27"/>
          <w:rtl/>
        </w:rPr>
        <w:t xml:space="preserve"> فأصبح </w:t>
      </w:r>
      <w:r w:rsidRPr="00904FCB">
        <w:rPr>
          <w:rFonts w:hint="eastAsia"/>
          <w:sz w:val="27"/>
          <w:rtl/>
        </w:rPr>
        <w:t>«</w:t>
      </w:r>
      <w:r w:rsidRPr="00904FCB">
        <w:rPr>
          <w:rFonts w:ascii="Arial" w:hAnsi="Arial"/>
          <w:sz w:val="27"/>
          <w:rtl/>
        </w:rPr>
        <w:t xml:space="preserve">النظام </w:t>
      </w:r>
      <w:r w:rsidRPr="00904FCB">
        <w:rPr>
          <w:rFonts w:ascii="Arial" w:hAnsi="Arial"/>
          <w:sz w:val="27"/>
          <w:rtl/>
        </w:rPr>
        <w:lastRenderedPageBreak/>
        <w:t>الخاص</w:t>
      </w:r>
      <w:r w:rsidR="00D60784" w:rsidRPr="00904FCB">
        <w:rPr>
          <w:rFonts w:ascii="Arial" w:hAnsi="Arial" w:hint="cs"/>
          <w:sz w:val="27"/>
          <w:rtl/>
        </w:rPr>
        <w:t>ّ</w:t>
      </w:r>
      <w:r w:rsidRPr="00904FCB">
        <w:rPr>
          <w:rFonts w:ascii="Arial" w:hAnsi="Arial"/>
          <w:sz w:val="27"/>
          <w:rtl/>
        </w:rPr>
        <w:t xml:space="preserve"> هو التنظيم فوق التنظيم، وازدادت قو</w:t>
      </w:r>
      <w:r w:rsidR="00D60784" w:rsidRPr="00904FCB">
        <w:rPr>
          <w:rFonts w:ascii="Arial" w:hAnsi="Arial" w:hint="cs"/>
          <w:sz w:val="27"/>
          <w:rtl/>
        </w:rPr>
        <w:t>ّ</w:t>
      </w:r>
      <w:r w:rsidRPr="00904FCB">
        <w:rPr>
          <w:rFonts w:ascii="Arial" w:hAnsi="Arial"/>
          <w:sz w:val="27"/>
          <w:rtl/>
        </w:rPr>
        <w:t>ته مع تدف</w:t>
      </w:r>
      <w:r w:rsidR="00D60784" w:rsidRPr="00904FCB">
        <w:rPr>
          <w:rFonts w:ascii="Arial" w:hAnsi="Arial" w:hint="cs"/>
          <w:sz w:val="27"/>
          <w:rtl/>
        </w:rPr>
        <w:t>ُّ</w:t>
      </w:r>
      <w:r w:rsidRPr="00904FCB">
        <w:rPr>
          <w:rFonts w:ascii="Arial" w:hAnsi="Arial"/>
          <w:sz w:val="27"/>
          <w:rtl/>
        </w:rPr>
        <w:t>ق الإخوان العائدين من حرب فلسطين، وتوث</w:t>
      </w:r>
      <w:r w:rsidR="00D60784" w:rsidRPr="00904FCB">
        <w:rPr>
          <w:rFonts w:ascii="Arial" w:hAnsi="Arial" w:hint="cs"/>
          <w:sz w:val="27"/>
          <w:rtl/>
        </w:rPr>
        <w:t>ُّ</w:t>
      </w:r>
      <w:r w:rsidRPr="00904FCB">
        <w:rPr>
          <w:rFonts w:ascii="Arial" w:hAnsi="Arial"/>
          <w:sz w:val="27"/>
          <w:rtl/>
        </w:rPr>
        <w:t>ق الصلات مع ضباط</w:t>
      </w:r>
      <w:r w:rsidR="00D60784" w:rsidRPr="00904FCB">
        <w:rPr>
          <w:rFonts w:ascii="Arial" w:hAnsi="Arial" w:hint="cs"/>
          <w:sz w:val="27"/>
          <w:rtl/>
        </w:rPr>
        <w:t>ٍ</w:t>
      </w:r>
      <w:r w:rsidRPr="00904FCB">
        <w:rPr>
          <w:rFonts w:ascii="Arial" w:hAnsi="Arial"/>
          <w:sz w:val="27"/>
          <w:rtl/>
        </w:rPr>
        <w:t xml:space="preserve"> في الجيش كانوا في الحرب على الجبهة أيضاً. وليس صدفة </w:t>
      </w:r>
      <w:r w:rsidR="00D60784" w:rsidRPr="00904FCB">
        <w:rPr>
          <w:rFonts w:ascii="Arial" w:hAnsi="Arial" w:hint="cs"/>
          <w:sz w:val="27"/>
          <w:rtl/>
        </w:rPr>
        <w:t>أ</w:t>
      </w:r>
      <w:r w:rsidRPr="00904FCB">
        <w:rPr>
          <w:rFonts w:ascii="Arial" w:hAnsi="Arial"/>
          <w:sz w:val="27"/>
          <w:rtl/>
        </w:rPr>
        <w:t>ن يكون معظم الضب</w:t>
      </w:r>
      <w:r w:rsidR="00D60784" w:rsidRPr="00904FCB">
        <w:rPr>
          <w:rFonts w:ascii="Arial" w:hAnsi="Arial" w:hint="cs"/>
          <w:sz w:val="27"/>
          <w:rtl/>
        </w:rPr>
        <w:t>ّ</w:t>
      </w:r>
      <w:r w:rsidRPr="00904FCB">
        <w:rPr>
          <w:rFonts w:ascii="Arial" w:hAnsi="Arial"/>
          <w:sz w:val="27"/>
          <w:rtl/>
        </w:rPr>
        <w:t>اط الأحرار (بم</w:t>
      </w:r>
      <w:r w:rsidR="00D60784" w:rsidRPr="00904FCB">
        <w:rPr>
          <w:rFonts w:ascii="Arial" w:hAnsi="Arial" w:hint="cs"/>
          <w:sz w:val="27"/>
          <w:rtl/>
        </w:rPr>
        <w:t>َ</w:t>
      </w:r>
      <w:r w:rsidRPr="00904FCB">
        <w:rPr>
          <w:rFonts w:ascii="Arial" w:hAnsi="Arial"/>
          <w:sz w:val="27"/>
          <w:rtl/>
        </w:rPr>
        <w:t>ن</w:t>
      </w:r>
      <w:r w:rsidR="00D60784" w:rsidRPr="00904FCB">
        <w:rPr>
          <w:rFonts w:ascii="Arial" w:hAnsi="Arial" w:hint="cs"/>
          <w:sz w:val="27"/>
          <w:rtl/>
        </w:rPr>
        <w:t>ْ</w:t>
      </w:r>
      <w:r w:rsidRPr="00904FCB">
        <w:rPr>
          <w:rFonts w:ascii="Arial" w:hAnsi="Arial"/>
          <w:sz w:val="27"/>
          <w:rtl/>
        </w:rPr>
        <w:t xml:space="preserve"> فيهم عبد الناصر والسادات) قد انتمى في وقت</w:t>
      </w:r>
      <w:r w:rsidR="00D60784" w:rsidRPr="00904FCB">
        <w:rPr>
          <w:rFonts w:ascii="Arial" w:hAnsi="Arial" w:hint="cs"/>
          <w:sz w:val="27"/>
          <w:rtl/>
        </w:rPr>
        <w:t>ٍ</w:t>
      </w:r>
      <w:r w:rsidRPr="00904FCB">
        <w:rPr>
          <w:rFonts w:ascii="Arial" w:hAnsi="Arial"/>
          <w:sz w:val="27"/>
          <w:rtl/>
        </w:rPr>
        <w:t xml:space="preserve"> ما إلى النظام الخاص</w:t>
      </w:r>
      <w:r w:rsidR="00D60784" w:rsidRPr="00904FCB">
        <w:rPr>
          <w:rFonts w:ascii="Arial" w:hAnsi="Arial" w:hint="cs"/>
          <w:sz w:val="27"/>
          <w:rtl/>
        </w:rPr>
        <w:t>ّ</w:t>
      </w:r>
      <w:r w:rsidRPr="00904FCB">
        <w:rPr>
          <w:rFonts w:ascii="Arial" w:hAnsi="Arial"/>
          <w:sz w:val="27"/>
          <w:rtl/>
        </w:rPr>
        <w:t xml:space="preserve"> للإخوان</w:t>
      </w:r>
      <w:r w:rsidR="00D60784" w:rsidRPr="00904FCB">
        <w:rPr>
          <w:rFonts w:ascii="Arial" w:hAnsi="Arial" w:hint="cs"/>
          <w:sz w:val="27"/>
          <w:rtl/>
        </w:rPr>
        <w:t>.</w:t>
      </w:r>
      <w:r w:rsidRPr="00904FCB">
        <w:rPr>
          <w:rFonts w:ascii="Arial" w:hAnsi="Arial"/>
          <w:sz w:val="27"/>
          <w:rtl/>
        </w:rPr>
        <w:t xml:space="preserve"> وكان طبيعياً </w:t>
      </w:r>
      <w:r w:rsidR="00D60784" w:rsidRPr="00904FCB">
        <w:rPr>
          <w:rFonts w:ascii="Arial" w:hAnsi="Arial" w:hint="cs"/>
          <w:sz w:val="27"/>
          <w:rtl/>
        </w:rPr>
        <w:t>أ</w:t>
      </w:r>
      <w:r w:rsidRPr="00904FCB">
        <w:rPr>
          <w:rFonts w:ascii="Arial" w:hAnsi="Arial"/>
          <w:sz w:val="27"/>
          <w:rtl/>
        </w:rPr>
        <w:t>ن يلجأ هذا التشكيل العسكري السر</w:t>
      </w:r>
      <w:r w:rsidR="00D60784" w:rsidRPr="00904FCB">
        <w:rPr>
          <w:rFonts w:ascii="Arial" w:hAnsi="Arial" w:hint="cs"/>
          <w:sz w:val="27"/>
          <w:rtl/>
        </w:rPr>
        <w:t>ّ</w:t>
      </w:r>
      <w:r w:rsidRPr="00904FCB">
        <w:rPr>
          <w:rFonts w:ascii="Arial" w:hAnsi="Arial"/>
          <w:sz w:val="27"/>
          <w:rtl/>
        </w:rPr>
        <w:t>ي إلى العنف كوسيلة</w:t>
      </w:r>
      <w:r w:rsidR="00D60784" w:rsidRPr="00904FCB">
        <w:rPr>
          <w:rFonts w:ascii="Arial" w:hAnsi="Arial" w:hint="cs"/>
          <w:sz w:val="27"/>
          <w:rtl/>
        </w:rPr>
        <w:t>ٍ</w:t>
      </w:r>
      <w:r w:rsidRPr="00904FCB">
        <w:rPr>
          <w:rFonts w:ascii="Arial" w:hAnsi="Arial"/>
          <w:sz w:val="27"/>
          <w:rtl/>
        </w:rPr>
        <w:t xml:space="preserve"> سياسية نابعة من تكوينه ومن قواه وقو</w:t>
      </w:r>
      <w:r w:rsidR="00D60784" w:rsidRPr="00904FCB">
        <w:rPr>
          <w:rFonts w:ascii="Arial" w:hAnsi="Arial" w:hint="cs"/>
          <w:sz w:val="27"/>
          <w:rtl/>
        </w:rPr>
        <w:t>ّ</w:t>
      </w:r>
      <w:r w:rsidRPr="00904FCB">
        <w:rPr>
          <w:rFonts w:ascii="Arial" w:hAnsi="Arial"/>
          <w:sz w:val="27"/>
          <w:rtl/>
        </w:rPr>
        <w:t>ته، كغيره من مثل هكذا تشكيلات في العالم.</w:t>
      </w:r>
      <w:r w:rsidR="00D60784" w:rsidRPr="00904FCB">
        <w:rPr>
          <w:rFonts w:ascii="Arial" w:hAnsi="Arial" w:hint="cs"/>
          <w:sz w:val="27"/>
          <w:rtl/>
        </w:rPr>
        <w:t>.</w:t>
      </w:r>
      <w:r w:rsidRPr="00904FCB">
        <w:rPr>
          <w:rFonts w:ascii="Arial" w:hAnsi="Arial"/>
          <w:sz w:val="27"/>
          <w:rtl/>
        </w:rPr>
        <w:t>. ويلفت الانتباه هنا موقف الشهيد حسن البن</w:t>
      </w:r>
      <w:r w:rsidR="00D60784" w:rsidRPr="00904FCB">
        <w:rPr>
          <w:rFonts w:ascii="Arial" w:hAnsi="Arial" w:hint="cs"/>
          <w:sz w:val="27"/>
          <w:rtl/>
        </w:rPr>
        <w:t>ّ</w:t>
      </w:r>
      <w:r w:rsidRPr="00904FCB">
        <w:rPr>
          <w:rFonts w:ascii="Arial" w:hAnsi="Arial"/>
          <w:sz w:val="27"/>
          <w:rtl/>
        </w:rPr>
        <w:t>ا في تعليقه على عمليات الاغتيال والتفجير التي قام بها النظام الخاص</w:t>
      </w:r>
      <w:r w:rsidR="00D60784" w:rsidRPr="00904FCB">
        <w:rPr>
          <w:rFonts w:ascii="Arial" w:hAnsi="Arial" w:hint="cs"/>
          <w:sz w:val="27"/>
          <w:rtl/>
        </w:rPr>
        <w:t>ّ</w:t>
      </w:r>
      <w:r w:rsidRPr="00904FCB">
        <w:rPr>
          <w:rFonts w:ascii="Arial" w:hAnsi="Arial"/>
          <w:sz w:val="27"/>
          <w:rtl/>
        </w:rPr>
        <w:t xml:space="preserve"> (في عامي </w:t>
      </w:r>
      <w:r w:rsidRPr="00B13398">
        <w:rPr>
          <w:rFonts w:ascii="Arial" w:hAnsi="Arial"/>
          <w:sz w:val="27"/>
          <w:rtl/>
        </w:rPr>
        <w:t>1948</w:t>
      </w:r>
      <w:r w:rsidRPr="00904FCB">
        <w:rPr>
          <w:rFonts w:ascii="Arial" w:hAnsi="Arial"/>
          <w:sz w:val="27"/>
          <w:rtl/>
        </w:rPr>
        <w:t xml:space="preserve"> </w:t>
      </w:r>
      <w:r w:rsidRPr="00B13398">
        <w:rPr>
          <w:rFonts w:ascii="Arial" w:hAnsi="Arial"/>
          <w:sz w:val="27"/>
          <w:rtl/>
        </w:rPr>
        <w:t>و1949</w:t>
      </w:r>
      <w:r w:rsidRPr="00904FCB">
        <w:rPr>
          <w:rFonts w:ascii="Arial" w:hAnsi="Arial"/>
          <w:sz w:val="27"/>
          <w:rtl/>
        </w:rPr>
        <w:t>)</w:t>
      </w:r>
      <w:r w:rsidR="00D60784" w:rsidRPr="00904FCB">
        <w:rPr>
          <w:rFonts w:ascii="Arial" w:hAnsi="Arial" w:hint="cs"/>
          <w:sz w:val="27"/>
          <w:rtl/>
        </w:rPr>
        <w:t>،</w:t>
      </w:r>
      <w:r w:rsidRPr="00904FCB">
        <w:rPr>
          <w:rFonts w:ascii="Arial" w:hAnsi="Arial"/>
          <w:sz w:val="27"/>
          <w:rtl/>
        </w:rPr>
        <w:t xml:space="preserve"> حين قال كلمته الشهيرة: ليسوا إخواناً</w:t>
      </w:r>
      <w:r w:rsidR="00D60784" w:rsidRPr="00904FCB">
        <w:rPr>
          <w:rFonts w:ascii="Arial" w:hAnsi="Arial" w:hint="cs"/>
          <w:sz w:val="27"/>
          <w:rtl/>
        </w:rPr>
        <w:t>،</w:t>
      </w:r>
      <w:r w:rsidRPr="00904FCB">
        <w:rPr>
          <w:rFonts w:ascii="Arial" w:hAnsi="Arial"/>
          <w:sz w:val="27"/>
          <w:rtl/>
        </w:rPr>
        <w:t xml:space="preserve"> وليسوا مسلمين..</w:t>
      </w:r>
      <w:r w:rsidR="00D60784" w:rsidRPr="00904FCB">
        <w:rPr>
          <w:rFonts w:ascii="Arial" w:hAnsi="Arial" w:hint="cs"/>
          <w:sz w:val="27"/>
          <w:rtl/>
        </w:rPr>
        <w:t>.</w:t>
      </w:r>
      <w:r w:rsidRPr="00904FCB">
        <w:rPr>
          <w:rFonts w:hint="eastAsia"/>
          <w:sz w:val="27"/>
          <w:rtl/>
        </w:rPr>
        <w:t>»</w:t>
      </w:r>
      <w:r w:rsidRPr="00904FCB">
        <w:rPr>
          <w:sz w:val="27"/>
          <w:vertAlign w:val="superscript"/>
          <w:rtl/>
        </w:rPr>
        <w:t>(</w:t>
      </w:r>
      <w:r w:rsidRPr="00904FCB">
        <w:rPr>
          <w:sz w:val="27"/>
          <w:vertAlign w:val="superscript"/>
          <w:rtl/>
        </w:rPr>
        <w:endnoteReference w:id="109"/>
      </w:r>
      <w:r w:rsidRPr="00904FCB">
        <w:rPr>
          <w:sz w:val="27"/>
          <w:vertAlign w:val="superscript"/>
          <w:rtl/>
        </w:rPr>
        <w:t>)</w:t>
      </w:r>
      <w:r w:rsidR="00D60784" w:rsidRPr="00904FCB">
        <w:rPr>
          <w:rFonts w:ascii="Arial" w:hAnsi="Arial" w:hint="cs"/>
          <w:sz w:val="27"/>
          <w:rtl/>
        </w:rPr>
        <w:t>.</w:t>
      </w:r>
    </w:p>
    <w:p w:rsidR="00D60784" w:rsidRPr="00904FCB" w:rsidRDefault="00A45FD9" w:rsidP="00424452">
      <w:pPr>
        <w:spacing w:line="400" w:lineRule="exact"/>
        <w:ind w:firstLine="561"/>
        <w:rPr>
          <w:rFonts w:ascii="Arial" w:hAnsi="Arial"/>
          <w:sz w:val="27"/>
          <w:rtl/>
        </w:rPr>
      </w:pPr>
      <w:r w:rsidRPr="00904FCB">
        <w:rPr>
          <w:rFonts w:ascii="Arial" w:hAnsi="Arial"/>
          <w:sz w:val="27"/>
          <w:rtl/>
        </w:rPr>
        <w:t>وعن ظروف تلك المرحلة يشرح محمد مهدي عاكف قائلا</w:t>
      </w:r>
      <w:r w:rsidR="00D60784" w:rsidRPr="00904FCB">
        <w:rPr>
          <w:rFonts w:ascii="Arial" w:hAnsi="Arial" w:hint="cs"/>
          <w:sz w:val="27"/>
          <w:rtl/>
        </w:rPr>
        <w:t>ً</w:t>
      </w:r>
      <w:r w:rsidRPr="00904FCB">
        <w:rPr>
          <w:rFonts w:ascii="Arial" w:hAnsi="Arial"/>
          <w:sz w:val="27"/>
          <w:rtl/>
        </w:rPr>
        <w:t xml:space="preserve">: </w:t>
      </w:r>
      <w:r w:rsidRPr="00904FCB">
        <w:rPr>
          <w:rFonts w:hint="eastAsia"/>
          <w:sz w:val="27"/>
          <w:rtl/>
        </w:rPr>
        <w:t>«</w:t>
      </w:r>
      <w:r w:rsidRPr="00904FCB">
        <w:rPr>
          <w:rFonts w:ascii="Arial" w:hAnsi="Arial"/>
          <w:sz w:val="27"/>
          <w:rtl/>
        </w:rPr>
        <w:t>النظام الخاص</w:t>
      </w:r>
      <w:r w:rsidR="00D60784" w:rsidRPr="00904FCB">
        <w:rPr>
          <w:rFonts w:ascii="Arial" w:hAnsi="Arial" w:hint="cs"/>
          <w:sz w:val="27"/>
          <w:rtl/>
        </w:rPr>
        <w:t>ّ</w:t>
      </w:r>
      <w:r w:rsidRPr="00904FCB">
        <w:rPr>
          <w:rFonts w:ascii="Arial" w:hAnsi="Arial"/>
          <w:sz w:val="27"/>
          <w:rtl/>
        </w:rPr>
        <w:t xml:space="preserve"> تم</w:t>
      </w:r>
      <w:r w:rsidR="00D60784" w:rsidRPr="00904FCB">
        <w:rPr>
          <w:rFonts w:ascii="Arial" w:hAnsi="Arial" w:hint="cs"/>
          <w:sz w:val="27"/>
          <w:rtl/>
        </w:rPr>
        <w:t>ّ</w:t>
      </w:r>
      <w:r w:rsidRPr="00904FCB">
        <w:rPr>
          <w:rFonts w:ascii="Arial" w:hAnsi="Arial"/>
          <w:sz w:val="27"/>
          <w:rtl/>
        </w:rPr>
        <w:t xml:space="preserve"> كشفه بشكل</w:t>
      </w:r>
      <w:r w:rsidR="00D60784" w:rsidRPr="00904FCB">
        <w:rPr>
          <w:rFonts w:ascii="Arial" w:hAnsi="Arial" w:hint="cs"/>
          <w:sz w:val="27"/>
          <w:rtl/>
        </w:rPr>
        <w:t>ٍ</w:t>
      </w:r>
      <w:r w:rsidRPr="00904FCB">
        <w:rPr>
          <w:rFonts w:ascii="Arial" w:hAnsi="Arial"/>
          <w:sz w:val="27"/>
          <w:rtl/>
        </w:rPr>
        <w:t xml:space="preserve"> كبير في المحاكمات التي قد</w:t>
      </w:r>
      <w:r w:rsidR="00D60784" w:rsidRPr="00904FCB">
        <w:rPr>
          <w:rFonts w:ascii="Arial" w:hAnsi="Arial" w:hint="cs"/>
          <w:sz w:val="27"/>
          <w:rtl/>
        </w:rPr>
        <w:t>ّ</w:t>
      </w:r>
      <w:r w:rsidRPr="00904FCB">
        <w:rPr>
          <w:rFonts w:ascii="Arial" w:hAnsi="Arial"/>
          <w:sz w:val="27"/>
          <w:rtl/>
        </w:rPr>
        <w:t xml:space="preserve">مت لها الجماعة في عام </w:t>
      </w:r>
      <w:r w:rsidRPr="00B13398">
        <w:rPr>
          <w:rFonts w:ascii="Arial" w:hAnsi="Arial"/>
          <w:sz w:val="27"/>
          <w:rtl/>
        </w:rPr>
        <w:t>1949</w:t>
      </w:r>
      <w:r w:rsidR="00D60784" w:rsidRPr="00904FCB">
        <w:rPr>
          <w:rFonts w:ascii="Arial" w:hAnsi="Arial" w:hint="cs"/>
          <w:sz w:val="27"/>
          <w:rtl/>
        </w:rPr>
        <w:t>،</w:t>
      </w:r>
      <w:r w:rsidRPr="00904FCB">
        <w:rPr>
          <w:rFonts w:ascii="Arial" w:hAnsi="Arial"/>
          <w:sz w:val="27"/>
          <w:rtl/>
        </w:rPr>
        <w:t xml:space="preserve"> في الوقت الذي لم تكن كاف</w:t>
      </w:r>
      <w:r w:rsidR="00D60784" w:rsidRPr="00904FCB">
        <w:rPr>
          <w:rFonts w:ascii="Arial" w:hAnsi="Arial" w:hint="cs"/>
          <w:sz w:val="27"/>
          <w:rtl/>
        </w:rPr>
        <w:t>ّ</w:t>
      </w:r>
      <w:r w:rsidRPr="00904FCB">
        <w:rPr>
          <w:rFonts w:ascii="Arial" w:hAnsi="Arial"/>
          <w:sz w:val="27"/>
          <w:rtl/>
        </w:rPr>
        <w:t>ة قيادات الجماعة تعلم بأمر هذا التنظيم الخاص</w:t>
      </w:r>
      <w:r w:rsidR="00D60784" w:rsidRPr="00904FCB">
        <w:rPr>
          <w:rFonts w:ascii="Arial" w:hAnsi="Arial" w:hint="cs"/>
          <w:sz w:val="27"/>
          <w:rtl/>
        </w:rPr>
        <w:t>ّ</w:t>
      </w:r>
      <w:r w:rsidRPr="00904FCB">
        <w:rPr>
          <w:rFonts w:ascii="Arial" w:hAnsi="Arial"/>
          <w:sz w:val="27"/>
          <w:rtl/>
        </w:rPr>
        <w:t>، ما تسب</w:t>
      </w:r>
      <w:r w:rsidR="00D60784" w:rsidRPr="00904FCB">
        <w:rPr>
          <w:rFonts w:ascii="Arial" w:hAnsi="Arial" w:hint="cs"/>
          <w:sz w:val="27"/>
          <w:rtl/>
        </w:rPr>
        <w:t>َّ</w:t>
      </w:r>
      <w:r w:rsidRPr="00904FCB">
        <w:rPr>
          <w:rFonts w:ascii="Arial" w:hAnsi="Arial"/>
          <w:sz w:val="27"/>
          <w:rtl/>
        </w:rPr>
        <w:t>ب في أزمة بعد كشفه في ما أطلق عليه ثنائية القيادة</w:t>
      </w:r>
      <w:r w:rsidR="00D60784" w:rsidRPr="00904FCB">
        <w:rPr>
          <w:rFonts w:ascii="Arial" w:hAnsi="Arial" w:hint="cs"/>
          <w:sz w:val="27"/>
          <w:rtl/>
        </w:rPr>
        <w:t>.</w:t>
      </w:r>
      <w:r w:rsidRPr="00904FCB">
        <w:rPr>
          <w:rFonts w:ascii="Arial" w:hAnsi="Arial"/>
          <w:sz w:val="27"/>
          <w:rtl/>
        </w:rPr>
        <w:t xml:space="preserve"> لذلك قر</w:t>
      </w:r>
      <w:r w:rsidR="00D60784" w:rsidRPr="00904FCB">
        <w:rPr>
          <w:rFonts w:ascii="Arial" w:hAnsi="Arial" w:hint="cs"/>
          <w:sz w:val="27"/>
          <w:rtl/>
        </w:rPr>
        <w:t>َّ</w:t>
      </w:r>
      <w:r w:rsidRPr="00904FCB">
        <w:rPr>
          <w:rFonts w:ascii="Arial" w:hAnsi="Arial"/>
          <w:sz w:val="27"/>
          <w:rtl/>
        </w:rPr>
        <w:t>ر الهضيبي إعادة تشكيله، وجعل قيادته مركزي</w:t>
      </w:r>
      <w:r w:rsidR="00D60784" w:rsidRPr="00904FCB">
        <w:rPr>
          <w:rFonts w:ascii="Arial" w:hAnsi="Arial" w:hint="cs"/>
          <w:sz w:val="27"/>
          <w:rtl/>
        </w:rPr>
        <w:t>ّ</w:t>
      </w:r>
      <w:r w:rsidRPr="00904FCB">
        <w:rPr>
          <w:rFonts w:ascii="Arial" w:hAnsi="Arial"/>
          <w:sz w:val="27"/>
          <w:rtl/>
        </w:rPr>
        <w:t>ة تتبع مكتب الإرشاد والمكاتب الإدارية للجماعة بالمحافظات المختلفة</w:t>
      </w:r>
      <w:r w:rsidR="00D60784" w:rsidRPr="00904FCB">
        <w:rPr>
          <w:rFonts w:ascii="Arial" w:hAnsi="Arial" w:hint="cs"/>
          <w:sz w:val="27"/>
          <w:rtl/>
        </w:rPr>
        <w:t>.</w:t>
      </w:r>
      <w:r w:rsidRPr="00904FCB">
        <w:rPr>
          <w:rFonts w:ascii="Arial" w:hAnsi="Arial"/>
          <w:sz w:val="27"/>
          <w:rtl/>
        </w:rPr>
        <w:t xml:space="preserve"> وهذا ما أي</w:t>
      </w:r>
      <w:r w:rsidR="00D60784" w:rsidRPr="00904FCB">
        <w:rPr>
          <w:rFonts w:ascii="Arial" w:hAnsi="Arial" w:hint="cs"/>
          <w:sz w:val="27"/>
          <w:rtl/>
        </w:rPr>
        <w:t>َّ</w:t>
      </w:r>
      <w:r w:rsidRPr="00904FCB">
        <w:rPr>
          <w:rFonts w:ascii="Arial" w:hAnsi="Arial"/>
          <w:sz w:val="27"/>
          <w:rtl/>
        </w:rPr>
        <w:t>د</w:t>
      </w:r>
      <w:r w:rsidR="00D60784" w:rsidRPr="00904FCB">
        <w:rPr>
          <w:rFonts w:ascii="Arial" w:hAnsi="Arial" w:hint="cs"/>
          <w:sz w:val="27"/>
          <w:rtl/>
        </w:rPr>
        <w:t>َ</w:t>
      </w:r>
      <w:r w:rsidRPr="00904FCB">
        <w:rPr>
          <w:rFonts w:ascii="Arial" w:hAnsi="Arial"/>
          <w:sz w:val="27"/>
          <w:rtl/>
        </w:rPr>
        <w:t>ت</w:t>
      </w:r>
      <w:r w:rsidR="00D60784" w:rsidRPr="00904FCB">
        <w:rPr>
          <w:rFonts w:ascii="Arial" w:hAnsi="Arial" w:hint="cs"/>
          <w:sz w:val="27"/>
          <w:rtl/>
        </w:rPr>
        <w:t>ْ</w:t>
      </w:r>
      <w:r w:rsidRPr="00904FCB">
        <w:rPr>
          <w:rFonts w:ascii="Arial" w:hAnsi="Arial"/>
          <w:sz w:val="27"/>
          <w:rtl/>
        </w:rPr>
        <w:t>ه أغلبية القيادات</w:t>
      </w:r>
      <w:r w:rsidR="00D60784" w:rsidRPr="00904FCB">
        <w:rPr>
          <w:rFonts w:ascii="Arial" w:hAnsi="Arial" w:hint="cs"/>
          <w:sz w:val="27"/>
          <w:rtl/>
        </w:rPr>
        <w:t>.</w:t>
      </w:r>
      <w:r w:rsidRPr="00904FCB">
        <w:rPr>
          <w:rFonts w:ascii="Arial" w:hAnsi="Arial"/>
          <w:sz w:val="27"/>
          <w:rtl/>
        </w:rPr>
        <w:t xml:space="preserve"> وبعدها بعام</w:t>
      </w:r>
      <w:r w:rsidR="00D60784" w:rsidRPr="00904FCB">
        <w:rPr>
          <w:rFonts w:ascii="Arial" w:hAnsi="Arial" w:hint="cs"/>
          <w:sz w:val="27"/>
          <w:rtl/>
        </w:rPr>
        <w:t>ٍ</w:t>
      </w:r>
      <w:r w:rsidRPr="00904FCB">
        <w:rPr>
          <w:rFonts w:ascii="Arial" w:hAnsi="Arial"/>
          <w:sz w:val="27"/>
          <w:rtl/>
        </w:rPr>
        <w:t xml:space="preserve"> ألغاه المستشار حسن الهضيبي بشكل</w:t>
      </w:r>
      <w:r w:rsidR="00D60784" w:rsidRPr="00904FCB">
        <w:rPr>
          <w:rFonts w:ascii="Arial" w:hAnsi="Arial" w:hint="cs"/>
          <w:sz w:val="27"/>
          <w:rtl/>
        </w:rPr>
        <w:t>ٍ</w:t>
      </w:r>
      <w:r w:rsidRPr="00904FCB">
        <w:rPr>
          <w:rFonts w:ascii="Arial" w:hAnsi="Arial"/>
          <w:sz w:val="27"/>
          <w:rtl/>
        </w:rPr>
        <w:t xml:space="preserve"> كامل</w:t>
      </w:r>
      <w:r w:rsidR="00D60784" w:rsidRPr="00904FCB">
        <w:rPr>
          <w:rFonts w:ascii="Arial" w:hAnsi="Arial" w:hint="cs"/>
          <w:sz w:val="27"/>
          <w:rtl/>
        </w:rPr>
        <w:t xml:space="preserve">، </w:t>
      </w:r>
      <w:r w:rsidRPr="00904FCB">
        <w:rPr>
          <w:rFonts w:ascii="Arial" w:hAnsi="Arial"/>
          <w:sz w:val="27"/>
          <w:rtl/>
        </w:rPr>
        <w:t>على أساس أنه كان نظاماً سر</w:t>
      </w:r>
      <w:r w:rsidR="00D60784" w:rsidRPr="00904FCB">
        <w:rPr>
          <w:rFonts w:ascii="Arial" w:hAnsi="Arial" w:hint="cs"/>
          <w:sz w:val="27"/>
          <w:rtl/>
        </w:rPr>
        <w:t>ّ</w:t>
      </w:r>
      <w:r w:rsidRPr="00904FCB">
        <w:rPr>
          <w:rFonts w:ascii="Arial" w:hAnsi="Arial"/>
          <w:sz w:val="27"/>
          <w:rtl/>
        </w:rPr>
        <w:t>يّاً</w:t>
      </w:r>
      <w:r w:rsidR="00D60784" w:rsidRPr="00904FCB">
        <w:rPr>
          <w:rFonts w:ascii="Arial" w:hAnsi="Arial" w:hint="cs"/>
          <w:sz w:val="27"/>
          <w:rtl/>
        </w:rPr>
        <w:t>،</w:t>
      </w:r>
      <w:r w:rsidRPr="00904FCB">
        <w:rPr>
          <w:rFonts w:ascii="Arial" w:hAnsi="Arial"/>
          <w:sz w:val="27"/>
          <w:rtl/>
        </w:rPr>
        <w:t xml:space="preserve"> ولا يعرفه إلا</w:t>
      </w:r>
      <w:r w:rsidR="00D60784" w:rsidRPr="00904FCB">
        <w:rPr>
          <w:rFonts w:ascii="Arial" w:hAnsi="Arial" w:hint="cs"/>
          <w:sz w:val="27"/>
          <w:rtl/>
        </w:rPr>
        <w:t>ّ</w:t>
      </w:r>
      <w:r w:rsidRPr="00904FCB">
        <w:rPr>
          <w:rFonts w:ascii="Arial" w:hAnsi="Arial"/>
          <w:sz w:val="27"/>
          <w:rtl/>
        </w:rPr>
        <w:t xml:space="preserve"> القليل، ومهم</w:t>
      </w:r>
      <w:r w:rsidR="00D60784" w:rsidRPr="00904FCB">
        <w:rPr>
          <w:rFonts w:ascii="Arial" w:hAnsi="Arial" w:hint="cs"/>
          <w:sz w:val="27"/>
          <w:rtl/>
        </w:rPr>
        <w:t>ّ</w:t>
      </w:r>
      <w:r w:rsidRPr="00904FCB">
        <w:rPr>
          <w:rFonts w:ascii="Arial" w:hAnsi="Arial"/>
          <w:sz w:val="27"/>
          <w:rtl/>
        </w:rPr>
        <w:t>ته انتهت</w:t>
      </w:r>
      <w:r w:rsidR="00D60784" w:rsidRPr="00904FCB">
        <w:rPr>
          <w:rFonts w:ascii="Arial" w:hAnsi="Arial" w:hint="cs"/>
          <w:sz w:val="27"/>
          <w:rtl/>
        </w:rPr>
        <w:t>؛</w:t>
      </w:r>
      <w:r w:rsidRPr="00904FCB">
        <w:rPr>
          <w:rFonts w:ascii="Arial" w:hAnsi="Arial"/>
          <w:sz w:val="27"/>
          <w:rtl/>
        </w:rPr>
        <w:t xml:space="preserve"> لأنه تم</w:t>
      </w:r>
      <w:r w:rsidR="00D60784" w:rsidRPr="00904FCB">
        <w:rPr>
          <w:rFonts w:ascii="Arial" w:hAnsi="Arial" w:hint="cs"/>
          <w:sz w:val="27"/>
          <w:rtl/>
        </w:rPr>
        <w:t>ّ</w:t>
      </w:r>
      <w:r w:rsidRPr="00904FCB">
        <w:rPr>
          <w:rFonts w:ascii="Arial" w:hAnsi="Arial"/>
          <w:sz w:val="27"/>
          <w:rtl/>
        </w:rPr>
        <w:t xml:space="preserve"> إنشاء جهاز علني يدعى الجهاز الوطني لتدريب الناس على الأعمال العسكرية</w:t>
      </w:r>
      <w:r w:rsidR="00D60784" w:rsidRPr="00904FCB">
        <w:rPr>
          <w:rFonts w:ascii="Arial" w:hAnsi="Arial" w:hint="cs"/>
          <w:sz w:val="27"/>
          <w:rtl/>
        </w:rPr>
        <w:t>؛</w:t>
      </w:r>
      <w:r w:rsidRPr="00904FCB">
        <w:rPr>
          <w:rFonts w:ascii="Arial" w:hAnsi="Arial"/>
          <w:sz w:val="27"/>
          <w:rtl/>
        </w:rPr>
        <w:t xml:space="preserve"> للدفاع عن البلاد</w:t>
      </w:r>
      <w:r w:rsidRPr="00904FCB">
        <w:rPr>
          <w:rFonts w:hint="eastAsia"/>
          <w:sz w:val="27"/>
          <w:rtl/>
        </w:rPr>
        <w:t>»</w:t>
      </w:r>
      <w:r w:rsidRPr="00904FCB">
        <w:rPr>
          <w:sz w:val="27"/>
          <w:vertAlign w:val="superscript"/>
          <w:rtl/>
        </w:rPr>
        <w:t>(</w:t>
      </w:r>
      <w:r w:rsidRPr="00904FCB">
        <w:rPr>
          <w:sz w:val="27"/>
          <w:vertAlign w:val="superscript"/>
          <w:rtl/>
        </w:rPr>
        <w:endnoteReference w:id="110"/>
      </w:r>
      <w:r w:rsidRPr="00904FCB">
        <w:rPr>
          <w:sz w:val="27"/>
          <w:vertAlign w:val="superscript"/>
          <w:rtl/>
        </w:rPr>
        <w:t>)</w:t>
      </w:r>
      <w:r w:rsidR="00D60784" w:rsidRPr="00904FCB">
        <w:rPr>
          <w:rFonts w:ascii="Arial" w:hAnsi="Arial"/>
          <w:sz w:val="27"/>
          <w:rtl/>
        </w:rPr>
        <w:t>.</w:t>
      </w:r>
    </w:p>
    <w:p w:rsidR="00D60784" w:rsidRPr="00904FCB" w:rsidRDefault="00A45FD9" w:rsidP="00424452">
      <w:pPr>
        <w:spacing w:line="400" w:lineRule="exact"/>
        <w:ind w:firstLine="561"/>
        <w:rPr>
          <w:rFonts w:ascii="Arial" w:hAnsi="Arial"/>
          <w:sz w:val="27"/>
          <w:rtl/>
        </w:rPr>
      </w:pPr>
      <w:r w:rsidRPr="00904FCB">
        <w:rPr>
          <w:rFonts w:ascii="Arial" w:hAnsi="Arial"/>
          <w:sz w:val="27"/>
          <w:rtl/>
        </w:rPr>
        <w:t xml:space="preserve">وعن دور عبد الرحمن السندي، قائد هذا التنظيم، قال عاكف: </w:t>
      </w:r>
      <w:r w:rsidRPr="00904FCB">
        <w:rPr>
          <w:rFonts w:hint="eastAsia"/>
          <w:sz w:val="27"/>
          <w:rtl/>
        </w:rPr>
        <w:t>«</w:t>
      </w:r>
      <w:r w:rsidRPr="00904FCB">
        <w:rPr>
          <w:rFonts w:ascii="Arial" w:hAnsi="Arial"/>
          <w:sz w:val="27"/>
          <w:rtl/>
        </w:rPr>
        <w:t>إن السندي كان من أخلص وأنشط الإخوان، لذلك قام البن</w:t>
      </w:r>
      <w:r w:rsidR="00B62EC4">
        <w:rPr>
          <w:rFonts w:ascii="Arial" w:hAnsi="Arial" w:hint="cs"/>
          <w:sz w:val="27"/>
          <w:rtl/>
        </w:rPr>
        <w:t>ّ</w:t>
      </w:r>
      <w:r w:rsidRPr="00904FCB">
        <w:rPr>
          <w:rFonts w:ascii="Arial" w:hAnsi="Arial"/>
          <w:sz w:val="27"/>
          <w:rtl/>
        </w:rPr>
        <w:t>ا بتكليفه بقيادة هذا التنظيم، إلا</w:t>
      </w:r>
      <w:r w:rsidR="00D60784" w:rsidRPr="00904FCB">
        <w:rPr>
          <w:rFonts w:ascii="Arial" w:hAnsi="Arial" w:hint="cs"/>
          <w:sz w:val="27"/>
          <w:rtl/>
        </w:rPr>
        <w:t>ّ</w:t>
      </w:r>
      <w:r w:rsidRPr="00904FCB">
        <w:rPr>
          <w:rFonts w:ascii="Arial" w:hAnsi="Arial"/>
          <w:sz w:val="27"/>
          <w:rtl/>
        </w:rPr>
        <w:t xml:space="preserve"> أنه بعد إعادة تشكيل هذا الجهاز على يد الأستاذ الهضيبي أقاله</w:t>
      </w:r>
      <w:r w:rsidR="00D60784" w:rsidRPr="00904FCB">
        <w:rPr>
          <w:rFonts w:ascii="Arial" w:hAnsi="Arial" w:hint="cs"/>
          <w:sz w:val="27"/>
          <w:rtl/>
        </w:rPr>
        <w:t xml:space="preserve">، </w:t>
      </w:r>
      <w:r w:rsidRPr="00904FCB">
        <w:rPr>
          <w:rFonts w:ascii="Arial" w:hAnsi="Arial"/>
          <w:sz w:val="27"/>
          <w:rtl/>
        </w:rPr>
        <w:t>وعيَّن مكانه الأستاذ أحمد حسنين، وتمر</w:t>
      </w:r>
      <w:r w:rsidR="00D60784" w:rsidRPr="00904FCB">
        <w:rPr>
          <w:rFonts w:ascii="Arial" w:hAnsi="Arial" w:hint="cs"/>
          <w:sz w:val="27"/>
          <w:rtl/>
        </w:rPr>
        <w:t>ّ</w:t>
      </w:r>
      <w:r w:rsidRPr="00904FCB">
        <w:rPr>
          <w:rFonts w:ascii="Arial" w:hAnsi="Arial"/>
          <w:sz w:val="27"/>
          <w:rtl/>
        </w:rPr>
        <w:t>د وقتها السندي وأحد مساعديه</w:t>
      </w:r>
      <w:r w:rsidR="00D60784" w:rsidRPr="00904FCB">
        <w:rPr>
          <w:rFonts w:ascii="Arial" w:hAnsi="Arial" w:hint="cs"/>
          <w:sz w:val="27"/>
          <w:rtl/>
        </w:rPr>
        <w:t>،</w:t>
      </w:r>
      <w:r w:rsidR="00B62EC4">
        <w:rPr>
          <w:rFonts w:ascii="Arial" w:hAnsi="Arial"/>
          <w:sz w:val="27"/>
          <w:rtl/>
        </w:rPr>
        <w:t xml:space="preserve"> و</w:t>
      </w:r>
      <w:r w:rsidRPr="00904FCB">
        <w:rPr>
          <w:rFonts w:ascii="Arial" w:hAnsi="Arial"/>
          <w:sz w:val="27"/>
          <w:rtl/>
        </w:rPr>
        <w:t>ي</w:t>
      </w:r>
      <w:r w:rsidR="00D60784" w:rsidRPr="00904FCB">
        <w:rPr>
          <w:rFonts w:ascii="Arial" w:hAnsi="Arial" w:hint="cs"/>
          <w:sz w:val="27"/>
          <w:rtl/>
        </w:rPr>
        <w:t>ُ</w:t>
      </w:r>
      <w:r w:rsidRPr="00904FCB">
        <w:rPr>
          <w:rFonts w:ascii="Arial" w:hAnsi="Arial"/>
          <w:sz w:val="27"/>
          <w:rtl/>
        </w:rPr>
        <w:t>د</w:t>
      </w:r>
      <w:r w:rsidR="00D60784" w:rsidRPr="00904FCB">
        <w:rPr>
          <w:rFonts w:ascii="Arial" w:hAnsi="Arial" w:hint="cs"/>
          <w:sz w:val="27"/>
          <w:rtl/>
        </w:rPr>
        <w:t>ْ</w:t>
      </w:r>
      <w:r w:rsidRPr="00904FCB">
        <w:rPr>
          <w:rFonts w:ascii="Arial" w:hAnsi="Arial"/>
          <w:sz w:val="27"/>
          <w:rtl/>
        </w:rPr>
        <w:t>عى أحمد زكي، فجاء أحد الإخوان إلى عاكف، وكان وقتها مسؤولاً عن قسم الطلاب والقسم الرياضي، وقال له: إن السندي وزكي كانا مسؤولين مهم</w:t>
      </w:r>
      <w:r w:rsidR="00D60784" w:rsidRPr="00904FCB">
        <w:rPr>
          <w:rFonts w:ascii="Arial" w:hAnsi="Arial" w:hint="cs"/>
          <w:sz w:val="27"/>
          <w:rtl/>
        </w:rPr>
        <w:t>ّ</w:t>
      </w:r>
      <w:r w:rsidRPr="00904FCB">
        <w:rPr>
          <w:rFonts w:ascii="Arial" w:hAnsi="Arial"/>
          <w:sz w:val="27"/>
          <w:rtl/>
        </w:rPr>
        <w:t>ين بالجماعة</w:t>
      </w:r>
      <w:r w:rsidR="00D60784" w:rsidRPr="00904FCB">
        <w:rPr>
          <w:rFonts w:ascii="Arial" w:hAnsi="Arial" w:hint="cs"/>
          <w:sz w:val="27"/>
          <w:rtl/>
        </w:rPr>
        <w:t>،</w:t>
      </w:r>
      <w:r w:rsidRPr="00904FCB">
        <w:rPr>
          <w:rFonts w:ascii="Arial" w:hAnsi="Arial"/>
          <w:sz w:val="27"/>
          <w:rtl/>
        </w:rPr>
        <w:t xml:space="preserve"> والإخوان لا يعرفونهم</w:t>
      </w:r>
      <w:r w:rsidR="00D60784" w:rsidRPr="00904FCB">
        <w:rPr>
          <w:rFonts w:ascii="Arial" w:hAnsi="Arial" w:hint="cs"/>
          <w:sz w:val="27"/>
          <w:rtl/>
        </w:rPr>
        <w:t>،</w:t>
      </w:r>
      <w:r w:rsidRPr="00904FCB">
        <w:rPr>
          <w:rFonts w:ascii="Arial" w:hAnsi="Arial"/>
          <w:sz w:val="27"/>
          <w:rtl/>
        </w:rPr>
        <w:t xml:space="preserve"> ونريد أن نظهرهم، فقال عاكف: نأتي بأحمد زكي مسؤولا</w:t>
      </w:r>
      <w:r w:rsidR="00D60784" w:rsidRPr="00904FCB">
        <w:rPr>
          <w:rFonts w:ascii="Arial" w:hAnsi="Arial" w:hint="cs"/>
          <w:sz w:val="27"/>
          <w:rtl/>
        </w:rPr>
        <w:t>ً</w:t>
      </w:r>
      <w:r w:rsidRPr="00904FCB">
        <w:rPr>
          <w:rFonts w:ascii="Arial" w:hAnsi="Arial"/>
          <w:sz w:val="27"/>
          <w:rtl/>
        </w:rPr>
        <w:t xml:space="preserve"> لقسم الطلاب</w:t>
      </w:r>
      <w:r w:rsidR="00D60784" w:rsidRPr="00904FCB">
        <w:rPr>
          <w:rFonts w:ascii="Arial" w:hAnsi="Arial" w:hint="cs"/>
          <w:sz w:val="27"/>
          <w:rtl/>
        </w:rPr>
        <w:t>؛</w:t>
      </w:r>
      <w:r w:rsidRPr="00904FCB">
        <w:rPr>
          <w:rFonts w:ascii="Arial" w:hAnsi="Arial"/>
          <w:sz w:val="27"/>
          <w:rtl/>
        </w:rPr>
        <w:t xml:space="preserve"> لأنه كان مدر</w:t>
      </w:r>
      <w:r w:rsidR="00D60784" w:rsidRPr="00904FCB">
        <w:rPr>
          <w:rFonts w:ascii="Arial" w:hAnsi="Arial" w:hint="cs"/>
          <w:sz w:val="27"/>
          <w:rtl/>
        </w:rPr>
        <w:t>ِّ</w:t>
      </w:r>
      <w:r w:rsidRPr="00904FCB">
        <w:rPr>
          <w:rFonts w:ascii="Arial" w:hAnsi="Arial"/>
          <w:sz w:val="27"/>
          <w:rtl/>
        </w:rPr>
        <w:t>ساً</w:t>
      </w:r>
      <w:r w:rsidR="00D60784" w:rsidRPr="00904FCB">
        <w:rPr>
          <w:rFonts w:ascii="Arial" w:hAnsi="Arial" w:hint="cs"/>
          <w:sz w:val="27"/>
          <w:rtl/>
        </w:rPr>
        <w:t>،</w:t>
      </w:r>
      <w:r w:rsidRPr="00904FCB">
        <w:rPr>
          <w:rFonts w:ascii="Arial" w:hAnsi="Arial"/>
          <w:sz w:val="27"/>
          <w:rtl/>
        </w:rPr>
        <w:t xml:space="preserve"> ونضع السندي مسؤولاً لقسم الرياضة، وقال عاكف: وظل</w:t>
      </w:r>
      <w:r w:rsidR="00D60784" w:rsidRPr="00904FCB">
        <w:rPr>
          <w:rFonts w:ascii="Arial" w:hAnsi="Arial" w:hint="cs"/>
          <w:sz w:val="27"/>
          <w:rtl/>
        </w:rPr>
        <w:t>َ</w:t>
      </w:r>
      <w:r w:rsidRPr="00904FCB">
        <w:rPr>
          <w:rFonts w:ascii="Arial" w:hAnsi="Arial"/>
          <w:sz w:val="27"/>
          <w:rtl/>
        </w:rPr>
        <w:t>ل</w:t>
      </w:r>
      <w:r w:rsidR="00D60784" w:rsidRPr="00904FCB">
        <w:rPr>
          <w:rFonts w:ascii="Arial" w:hAnsi="Arial" w:hint="cs"/>
          <w:sz w:val="27"/>
          <w:rtl/>
        </w:rPr>
        <w:t>ْ</w:t>
      </w:r>
      <w:r w:rsidRPr="00904FCB">
        <w:rPr>
          <w:rFonts w:ascii="Arial" w:hAnsi="Arial"/>
          <w:sz w:val="27"/>
          <w:rtl/>
        </w:rPr>
        <w:t>ت</w:t>
      </w:r>
      <w:r w:rsidR="00D60784" w:rsidRPr="00904FCB">
        <w:rPr>
          <w:rFonts w:ascii="Arial" w:hAnsi="Arial" w:hint="cs"/>
          <w:sz w:val="27"/>
          <w:rtl/>
        </w:rPr>
        <w:t>ُ</w:t>
      </w:r>
      <w:r w:rsidRPr="00904FCB">
        <w:rPr>
          <w:rFonts w:ascii="Arial" w:hAnsi="Arial"/>
          <w:sz w:val="27"/>
          <w:rtl/>
        </w:rPr>
        <w:t xml:space="preserve"> أنا وكيلاً للقسمين</w:t>
      </w:r>
      <w:r w:rsidR="00D60784" w:rsidRPr="00904FCB">
        <w:rPr>
          <w:rFonts w:ascii="Arial" w:hAnsi="Arial" w:hint="cs"/>
          <w:sz w:val="27"/>
          <w:rtl/>
        </w:rPr>
        <w:t>،</w:t>
      </w:r>
      <w:r w:rsidRPr="00904FCB">
        <w:rPr>
          <w:rFonts w:ascii="Arial" w:hAnsi="Arial"/>
          <w:sz w:val="27"/>
          <w:rtl/>
        </w:rPr>
        <w:t xml:space="preserve"> إلا</w:t>
      </w:r>
      <w:r w:rsidR="00D60784" w:rsidRPr="00904FCB">
        <w:rPr>
          <w:rFonts w:ascii="Arial" w:hAnsi="Arial" w:hint="cs"/>
          <w:sz w:val="27"/>
          <w:rtl/>
        </w:rPr>
        <w:t>ّ</w:t>
      </w:r>
      <w:r w:rsidRPr="00904FCB">
        <w:rPr>
          <w:rFonts w:ascii="Arial" w:hAnsi="Arial"/>
          <w:sz w:val="27"/>
          <w:rtl/>
        </w:rPr>
        <w:t xml:space="preserve"> أنهما لم يصمدا</w:t>
      </w:r>
      <w:r w:rsidR="00D60784" w:rsidRPr="00904FCB">
        <w:rPr>
          <w:rFonts w:ascii="Arial" w:hAnsi="Arial" w:hint="cs"/>
          <w:sz w:val="27"/>
          <w:rtl/>
        </w:rPr>
        <w:t>،</w:t>
      </w:r>
      <w:r w:rsidRPr="00904FCB">
        <w:rPr>
          <w:rFonts w:ascii="Arial" w:hAnsi="Arial"/>
          <w:sz w:val="27"/>
          <w:rtl/>
        </w:rPr>
        <w:t xml:space="preserve"> وعز</w:t>
      </w:r>
      <w:r w:rsidR="00D60784" w:rsidRPr="00904FCB">
        <w:rPr>
          <w:rFonts w:ascii="Arial" w:hAnsi="Arial" w:hint="cs"/>
          <w:sz w:val="27"/>
          <w:rtl/>
        </w:rPr>
        <w:t>ّ</w:t>
      </w:r>
      <w:r w:rsidRPr="00904FCB">
        <w:rPr>
          <w:rFonts w:ascii="Arial" w:hAnsi="Arial"/>
          <w:sz w:val="27"/>
          <w:rtl/>
        </w:rPr>
        <w:t xml:space="preserve"> عليه</w:t>
      </w:r>
      <w:r w:rsidR="00D60784" w:rsidRPr="00904FCB">
        <w:rPr>
          <w:rFonts w:ascii="Arial" w:hAnsi="Arial" w:hint="cs"/>
          <w:sz w:val="27"/>
          <w:rtl/>
        </w:rPr>
        <w:t>م</w:t>
      </w:r>
      <w:r w:rsidRPr="00904FCB">
        <w:rPr>
          <w:rFonts w:ascii="Arial" w:hAnsi="Arial"/>
          <w:sz w:val="27"/>
          <w:rtl/>
        </w:rPr>
        <w:t>ا التعامل مع الهضيبي</w:t>
      </w:r>
      <w:r w:rsidR="00D60784" w:rsidRPr="00904FCB">
        <w:rPr>
          <w:rFonts w:ascii="Arial" w:hAnsi="Arial" w:hint="cs"/>
          <w:sz w:val="27"/>
          <w:rtl/>
        </w:rPr>
        <w:t>،</w:t>
      </w:r>
      <w:r w:rsidRPr="00904FCB">
        <w:rPr>
          <w:rFonts w:ascii="Arial" w:hAnsi="Arial"/>
          <w:sz w:val="27"/>
          <w:rtl/>
        </w:rPr>
        <w:t xml:space="preserve"> وتمر</w:t>
      </w:r>
      <w:r w:rsidR="00D60784" w:rsidRPr="00904FCB">
        <w:rPr>
          <w:rFonts w:ascii="Arial" w:hAnsi="Arial" w:hint="cs"/>
          <w:sz w:val="27"/>
          <w:rtl/>
        </w:rPr>
        <w:t>ّ</w:t>
      </w:r>
      <w:r w:rsidRPr="00904FCB">
        <w:rPr>
          <w:rFonts w:ascii="Arial" w:hAnsi="Arial"/>
          <w:sz w:val="27"/>
          <w:rtl/>
        </w:rPr>
        <w:t>دا عليه</w:t>
      </w:r>
      <w:r w:rsidRPr="00904FCB">
        <w:rPr>
          <w:rFonts w:hint="eastAsia"/>
          <w:sz w:val="27"/>
          <w:rtl/>
        </w:rPr>
        <w:t>»</w:t>
      </w:r>
      <w:r w:rsidRPr="00904FCB">
        <w:rPr>
          <w:sz w:val="27"/>
          <w:vertAlign w:val="superscript"/>
          <w:rtl/>
        </w:rPr>
        <w:t>(</w:t>
      </w:r>
      <w:r w:rsidRPr="00904FCB">
        <w:rPr>
          <w:sz w:val="27"/>
          <w:vertAlign w:val="superscript"/>
          <w:rtl/>
        </w:rPr>
        <w:endnoteReference w:id="111"/>
      </w:r>
      <w:r w:rsidRPr="00904FCB">
        <w:rPr>
          <w:sz w:val="27"/>
          <w:vertAlign w:val="superscript"/>
          <w:rtl/>
        </w:rPr>
        <w:t>)</w:t>
      </w:r>
      <w:r w:rsidR="00D60784" w:rsidRPr="00904FCB">
        <w:rPr>
          <w:rFonts w:ascii="Arial" w:hAnsi="Arial"/>
          <w:sz w:val="27"/>
          <w:rtl/>
        </w:rPr>
        <w:t>.</w:t>
      </w:r>
    </w:p>
    <w:p w:rsidR="00D60784" w:rsidRPr="00904FCB" w:rsidRDefault="00A45FD9" w:rsidP="007A21AA">
      <w:pPr>
        <w:spacing w:line="400" w:lineRule="exact"/>
        <w:rPr>
          <w:rFonts w:ascii="Arial" w:hAnsi="Arial"/>
          <w:sz w:val="27"/>
          <w:rtl/>
        </w:rPr>
      </w:pPr>
      <w:r w:rsidRPr="00904FCB">
        <w:rPr>
          <w:rFonts w:ascii="Arial" w:hAnsi="Arial"/>
          <w:sz w:val="27"/>
          <w:rtl/>
        </w:rPr>
        <w:lastRenderedPageBreak/>
        <w:t xml:space="preserve">ويبدو واضحاً ما آل </w:t>
      </w:r>
      <w:r w:rsidR="00D60784" w:rsidRPr="00904FCB">
        <w:rPr>
          <w:rFonts w:ascii="Arial" w:hAnsi="Arial" w:hint="cs"/>
          <w:sz w:val="27"/>
          <w:rtl/>
        </w:rPr>
        <w:t>إ</w:t>
      </w:r>
      <w:r w:rsidRPr="00904FCB">
        <w:rPr>
          <w:rFonts w:ascii="Arial" w:hAnsi="Arial"/>
          <w:sz w:val="27"/>
          <w:rtl/>
        </w:rPr>
        <w:t>ليه وضع جماعة الإخوان المسلمين بعد اغتيال البن</w:t>
      </w:r>
      <w:r w:rsidR="00D60784" w:rsidRPr="00904FCB">
        <w:rPr>
          <w:rFonts w:ascii="Arial" w:hAnsi="Arial" w:hint="cs"/>
          <w:sz w:val="27"/>
          <w:rtl/>
        </w:rPr>
        <w:t>ّ</w:t>
      </w:r>
      <w:r w:rsidRPr="00904FCB">
        <w:rPr>
          <w:rFonts w:ascii="Arial" w:hAnsi="Arial"/>
          <w:sz w:val="27"/>
          <w:rtl/>
        </w:rPr>
        <w:t xml:space="preserve">ا سنة </w:t>
      </w:r>
      <w:r w:rsidRPr="00B13398">
        <w:rPr>
          <w:rFonts w:ascii="Arial" w:hAnsi="Arial"/>
          <w:sz w:val="27"/>
          <w:rtl/>
        </w:rPr>
        <w:t>1949</w:t>
      </w:r>
      <w:r w:rsidR="00D60784" w:rsidRPr="00904FCB">
        <w:rPr>
          <w:rFonts w:ascii="Arial" w:hAnsi="Arial" w:hint="cs"/>
          <w:sz w:val="27"/>
          <w:rtl/>
        </w:rPr>
        <w:t>؛</w:t>
      </w:r>
      <w:r w:rsidRPr="00904FCB">
        <w:rPr>
          <w:rFonts w:ascii="Arial" w:hAnsi="Arial"/>
          <w:sz w:val="27"/>
          <w:rtl/>
        </w:rPr>
        <w:t xml:space="preserve"> إذ عاشت فترة ارتباك وضياع قيادي</w:t>
      </w:r>
      <w:r w:rsidR="00D60784" w:rsidRPr="00904FCB">
        <w:rPr>
          <w:rFonts w:ascii="Arial" w:hAnsi="Arial" w:hint="cs"/>
          <w:sz w:val="27"/>
          <w:rtl/>
        </w:rPr>
        <w:t>،</w:t>
      </w:r>
      <w:r w:rsidRPr="00904FCB">
        <w:rPr>
          <w:rFonts w:ascii="Arial" w:hAnsi="Arial"/>
          <w:sz w:val="27"/>
          <w:rtl/>
        </w:rPr>
        <w:t xml:space="preserve"> تمك</w:t>
      </w:r>
      <w:r w:rsidR="00D60784" w:rsidRPr="00904FCB">
        <w:rPr>
          <w:rFonts w:ascii="Arial" w:hAnsi="Arial" w:hint="cs"/>
          <w:sz w:val="27"/>
          <w:rtl/>
        </w:rPr>
        <w:t>َّ</w:t>
      </w:r>
      <w:r w:rsidRPr="00904FCB">
        <w:rPr>
          <w:rFonts w:ascii="Arial" w:hAnsi="Arial"/>
          <w:sz w:val="27"/>
          <w:rtl/>
        </w:rPr>
        <w:t>ن خلالها الضباط الأحرار من استغلال حالة التشو</w:t>
      </w:r>
      <w:r w:rsidR="00D60784" w:rsidRPr="00904FCB">
        <w:rPr>
          <w:rFonts w:ascii="Arial" w:hAnsi="Arial" w:hint="cs"/>
          <w:sz w:val="27"/>
          <w:rtl/>
        </w:rPr>
        <w:t>ّ</w:t>
      </w:r>
      <w:r w:rsidRPr="00904FCB">
        <w:rPr>
          <w:rFonts w:ascii="Arial" w:hAnsi="Arial"/>
          <w:sz w:val="27"/>
          <w:rtl/>
        </w:rPr>
        <w:t>ش الإخواني</w:t>
      </w:r>
      <w:r w:rsidR="00D60784" w:rsidRPr="00904FCB">
        <w:rPr>
          <w:rFonts w:ascii="Arial" w:hAnsi="Arial" w:hint="cs"/>
          <w:sz w:val="27"/>
          <w:rtl/>
        </w:rPr>
        <w:t>،</w:t>
      </w:r>
      <w:r w:rsidRPr="00904FCB">
        <w:rPr>
          <w:rFonts w:ascii="Arial" w:hAnsi="Arial"/>
          <w:sz w:val="27"/>
          <w:rtl/>
        </w:rPr>
        <w:t xml:space="preserve"> فأزاحوهم عن </w:t>
      </w:r>
      <w:r w:rsidRPr="00904FCB">
        <w:rPr>
          <w:rFonts w:hint="eastAsia"/>
          <w:sz w:val="27"/>
          <w:rtl/>
        </w:rPr>
        <w:t>«</w:t>
      </w:r>
      <w:r w:rsidRPr="00904FCB">
        <w:rPr>
          <w:rFonts w:ascii="Arial" w:hAnsi="Arial"/>
          <w:sz w:val="27"/>
          <w:rtl/>
        </w:rPr>
        <w:t>المسرح السياسي عبر حملة قمع واضطهاد رهيبة</w:t>
      </w:r>
      <w:r w:rsidRPr="00904FCB">
        <w:rPr>
          <w:rFonts w:hint="eastAsia"/>
          <w:sz w:val="27"/>
          <w:rtl/>
        </w:rPr>
        <w:t>»</w:t>
      </w:r>
      <w:r w:rsidRPr="00904FCB">
        <w:rPr>
          <w:rFonts w:ascii="Arial" w:hAnsi="Arial"/>
          <w:sz w:val="27"/>
          <w:rtl/>
        </w:rPr>
        <w:t xml:space="preserve"> (اعتقالات </w:t>
      </w:r>
      <w:r w:rsidRPr="00B13398">
        <w:rPr>
          <w:rFonts w:ascii="Arial" w:hAnsi="Arial"/>
          <w:sz w:val="27"/>
          <w:rtl/>
        </w:rPr>
        <w:t>1954</w:t>
      </w:r>
      <w:r w:rsidRPr="00904FCB">
        <w:rPr>
          <w:rFonts w:ascii="Arial" w:hAnsi="Arial"/>
          <w:sz w:val="27"/>
          <w:rtl/>
        </w:rPr>
        <w:t xml:space="preserve"> الأولى</w:t>
      </w:r>
      <w:r w:rsidR="00D60784" w:rsidRPr="00904FCB">
        <w:rPr>
          <w:rFonts w:ascii="Arial" w:hAnsi="Arial" w:hint="cs"/>
          <w:sz w:val="27"/>
          <w:rtl/>
        </w:rPr>
        <w:t>،</w:t>
      </w:r>
      <w:r w:rsidRPr="00904FCB">
        <w:rPr>
          <w:rFonts w:ascii="Arial" w:hAnsi="Arial"/>
          <w:sz w:val="27"/>
          <w:rtl/>
        </w:rPr>
        <w:t xml:space="preserve"> ثم </w:t>
      </w:r>
      <w:r w:rsidRPr="00B13398">
        <w:rPr>
          <w:rFonts w:ascii="Arial" w:hAnsi="Arial"/>
          <w:sz w:val="27"/>
          <w:rtl/>
        </w:rPr>
        <w:t>1958</w:t>
      </w:r>
      <w:r w:rsidRPr="00904FCB">
        <w:rPr>
          <w:rFonts w:ascii="Arial" w:hAnsi="Arial"/>
          <w:sz w:val="27"/>
          <w:rtl/>
        </w:rPr>
        <w:t xml:space="preserve">، وصولاً إلى حملة </w:t>
      </w:r>
      <w:r w:rsidRPr="00B13398">
        <w:rPr>
          <w:rFonts w:ascii="Arial" w:hAnsi="Arial"/>
          <w:sz w:val="27"/>
          <w:rtl/>
        </w:rPr>
        <w:t>1964</w:t>
      </w:r>
      <w:r w:rsidRPr="00904FCB">
        <w:rPr>
          <w:rFonts w:ascii="Arial" w:hAnsi="Arial"/>
          <w:sz w:val="27"/>
          <w:rtl/>
        </w:rPr>
        <w:t xml:space="preserve"> ـ </w:t>
      </w:r>
      <w:r w:rsidRPr="00B13398">
        <w:rPr>
          <w:rFonts w:ascii="Arial" w:hAnsi="Arial"/>
          <w:sz w:val="27"/>
          <w:rtl/>
        </w:rPr>
        <w:t>1965</w:t>
      </w:r>
      <w:r w:rsidR="00D60784" w:rsidRPr="00904FCB">
        <w:rPr>
          <w:rFonts w:ascii="Arial" w:hAnsi="Arial" w:hint="cs"/>
          <w:sz w:val="27"/>
          <w:rtl/>
        </w:rPr>
        <w:t>،</w:t>
      </w:r>
      <w:r w:rsidRPr="00904FCB">
        <w:rPr>
          <w:rFonts w:ascii="Arial" w:hAnsi="Arial"/>
          <w:sz w:val="27"/>
          <w:rtl/>
        </w:rPr>
        <w:t xml:space="preserve"> التي انتهت بإعدام سي</w:t>
      </w:r>
      <w:r w:rsidR="00D60784" w:rsidRPr="00904FCB">
        <w:rPr>
          <w:rFonts w:ascii="Arial" w:hAnsi="Arial" w:hint="cs"/>
          <w:sz w:val="27"/>
          <w:rtl/>
        </w:rPr>
        <w:t>ّ</w:t>
      </w:r>
      <w:r w:rsidRPr="00904FCB">
        <w:rPr>
          <w:rFonts w:ascii="Arial" w:hAnsi="Arial"/>
          <w:sz w:val="27"/>
          <w:rtl/>
        </w:rPr>
        <w:t xml:space="preserve">د قطب ورفاقه في أغسطس/ آب </w:t>
      </w:r>
      <w:r w:rsidRPr="00B13398">
        <w:rPr>
          <w:rFonts w:ascii="Arial" w:hAnsi="Arial"/>
          <w:sz w:val="27"/>
          <w:rtl/>
        </w:rPr>
        <w:t>1966</w:t>
      </w:r>
      <w:r w:rsidRPr="00904FCB">
        <w:rPr>
          <w:rFonts w:ascii="Arial" w:hAnsi="Arial"/>
          <w:sz w:val="27"/>
          <w:rtl/>
        </w:rPr>
        <w:t>)</w:t>
      </w:r>
      <w:r w:rsidRPr="00904FCB">
        <w:rPr>
          <w:sz w:val="27"/>
          <w:vertAlign w:val="superscript"/>
          <w:rtl/>
        </w:rPr>
        <w:t>(</w:t>
      </w:r>
      <w:r w:rsidRPr="00904FCB">
        <w:rPr>
          <w:sz w:val="27"/>
          <w:vertAlign w:val="superscript"/>
          <w:rtl/>
        </w:rPr>
        <w:endnoteReference w:id="112"/>
      </w:r>
      <w:r w:rsidRPr="00904FCB">
        <w:rPr>
          <w:sz w:val="27"/>
          <w:vertAlign w:val="superscript"/>
          <w:rtl/>
        </w:rPr>
        <w:t>)</w:t>
      </w:r>
      <w:r w:rsidR="00D60784" w:rsidRPr="00904FCB">
        <w:rPr>
          <w:rFonts w:ascii="Arial" w:hAnsi="Arial"/>
          <w:sz w:val="27"/>
          <w:rtl/>
        </w:rPr>
        <w:t>.</w:t>
      </w:r>
    </w:p>
    <w:p w:rsidR="00A45FD9" w:rsidRPr="00904FCB" w:rsidRDefault="00A45FD9" w:rsidP="007A21AA">
      <w:pPr>
        <w:spacing w:line="400" w:lineRule="exact"/>
        <w:rPr>
          <w:rFonts w:ascii="Arial" w:hAnsi="Arial"/>
          <w:sz w:val="27"/>
          <w:rtl/>
        </w:rPr>
      </w:pPr>
      <w:r w:rsidRPr="00904FCB">
        <w:rPr>
          <w:rFonts w:ascii="Arial" w:hAnsi="Arial"/>
          <w:sz w:val="27"/>
          <w:rtl/>
        </w:rPr>
        <w:t xml:space="preserve">وعن أحداث العام </w:t>
      </w:r>
      <w:r w:rsidRPr="006333E0">
        <w:rPr>
          <w:rFonts w:ascii="Arial" w:hAnsi="Arial" w:cs="Ya-Ali"/>
          <w:sz w:val="27"/>
          <w:rtl/>
        </w:rPr>
        <w:t>1954</w:t>
      </w:r>
      <w:r w:rsidR="00D60784" w:rsidRPr="00904FCB">
        <w:rPr>
          <w:rFonts w:ascii="Arial" w:hAnsi="Arial" w:hint="cs"/>
          <w:sz w:val="27"/>
          <w:rtl/>
        </w:rPr>
        <w:t>،</w:t>
      </w:r>
      <w:r w:rsidRPr="00904FCB">
        <w:rPr>
          <w:rFonts w:ascii="Arial" w:hAnsi="Arial"/>
          <w:sz w:val="27"/>
          <w:rtl/>
        </w:rPr>
        <w:t xml:space="preserve"> والتي ات</w:t>
      </w:r>
      <w:r w:rsidR="00D60784" w:rsidRPr="00904FCB">
        <w:rPr>
          <w:rFonts w:ascii="Arial" w:hAnsi="Arial" w:hint="cs"/>
          <w:sz w:val="27"/>
          <w:rtl/>
        </w:rPr>
        <w:t>ّ</w:t>
      </w:r>
      <w:r w:rsidRPr="00904FCB">
        <w:rPr>
          <w:rFonts w:ascii="Arial" w:hAnsi="Arial"/>
          <w:sz w:val="27"/>
          <w:rtl/>
        </w:rPr>
        <w:t>همت فيها جماعة الإخوان المسلمين بإعادة إحياء التنظيم الخاص</w:t>
      </w:r>
      <w:r w:rsidR="00D60784" w:rsidRPr="00904FCB">
        <w:rPr>
          <w:rFonts w:ascii="Arial" w:hAnsi="Arial" w:hint="cs"/>
          <w:sz w:val="27"/>
          <w:rtl/>
        </w:rPr>
        <w:t>ّ،</w:t>
      </w:r>
      <w:r w:rsidRPr="00904FCB">
        <w:rPr>
          <w:rFonts w:ascii="Arial" w:hAnsi="Arial"/>
          <w:sz w:val="27"/>
          <w:rtl/>
        </w:rPr>
        <w:t xml:space="preserve"> قال عاكف: </w:t>
      </w:r>
      <w:r w:rsidRPr="00904FCB">
        <w:rPr>
          <w:rFonts w:hint="eastAsia"/>
          <w:sz w:val="27"/>
          <w:rtl/>
        </w:rPr>
        <w:t>«</w:t>
      </w:r>
      <w:r w:rsidRPr="00904FCB">
        <w:rPr>
          <w:rFonts w:ascii="Arial" w:hAnsi="Arial"/>
          <w:sz w:val="27"/>
          <w:rtl/>
        </w:rPr>
        <w:t>عرضت على الجماعة عد</w:t>
      </w:r>
      <w:r w:rsidR="00D60784" w:rsidRPr="00904FCB">
        <w:rPr>
          <w:rFonts w:ascii="Arial" w:hAnsi="Arial" w:hint="cs"/>
          <w:sz w:val="27"/>
          <w:rtl/>
        </w:rPr>
        <w:t>ّ</w:t>
      </w:r>
      <w:r w:rsidRPr="00904FCB">
        <w:rPr>
          <w:rFonts w:ascii="Arial" w:hAnsi="Arial"/>
          <w:sz w:val="27"/>
          <w:rtl/>
        </w:rPr>
        <w:t>ة قضايا، وكان لا ب</w:t>
      </w:r>
      <w:r w:rsidR="00D60784" w:rsidRPr="00904FCB">
        <w:rPr>
          <w:rFonts w:ascii="Arial" w:hAnsi="Arial" w:hint="cs"/>
          <w:sz w:val="27"/>
          <w:rtl/>
        </w:rPr>
        <w:t>ُ</w:t>
      </w:r>
      <w:r w:rsidRPr="00904FCB">
        <w:rPr>
          <w:rFonts w:ascii="Arial" w:hAnsi="Arial"/>
          <w:sz w:val="27"/>
          <w:rtl/>
        </w:rPr>
        <w:t>د</w:t>
      </w:r>
      <w:r w:rsidR="00D60784" w:rsidRPr="00904FCB">
        <w:rPr>
          <w:rFonts w:ascii="Arial" w:hAnsi="Arial" w:hint="cs"/>
          <w:sz w:val="27"/>
          <w:rtl/>
        </w:rPr>
        <w:t>َّ</w:t>
      </w:r>
      <w:r w:rsidRPr="00904FCB">
        <w:rPr>
          <w:rFonts w:ascii="Arial" w:hAnsi="Arial"/>
          <w:sz w:val="27"/>
          <w:rtl/>
        </w:rPr>
        <w:t xml:space="preserve"> من قرار</w:t>
      </w:r>
      <w:r w:rsidR="00D60784" w:rsidRPr="00904FCB">
        <w:rPr>
          <w:rFonts w:ascii="Arial" w:hAnsi="Arial" w:hint="cs"/>
          <w:sz w:val="27"/>
          <w:rtl/>
        </w:rPr>
        <w:t xml:space="preserve">، </w:t>
      </w:r>
      <w:r w:rsidRPr="00904FCB">
        <w:rPr>
          <w:rFonts w:ascii="Arial" w:hAnsi="Arial"/>
          <w:sz w:val="27"/>
          <w:rtl/>
        </w:rPr>
        <w:t>مثل</w:t>
      </w:r>
      <w:r w:rsidR="00D60784" w:rsidRPr="00904FCB">
        <w:rPr>
          <w:rFonts w:ascii="Arial" w:hAnsi="Arial" w:hint="cs"/>
          <w:sz w:val="27"/>
          <w:rtl/>
        </w:rPr>
        <w:t>:</w:t>
      </w:r>
      <w:r w:rsidRPr="00904FCB">
        <w:rPr>
          <w:rFonts w:ascii="Arial" w:hAnsi="Arial"/>
          <w:sz w:val="27"/>
          <w:rtl/>
        </w:rPr>
        <w:t xml:space="preserve"> المشاركة في حربي الجزائر وفلسطين، وكانت مصر في هذا الوقت قبلة للعرب في الشد</w:t>
      </w:r>
      <w:r w:rsidR="00D60784" w:rsidRPr="00904FCB">
        <w:rPr>
          <w:rFonts w:ascii="Arial" w:hAnsi="Arial" w:hint="cs"/>
          <w:sz w:val="27"/>
          <w:rtl/>
        </w:rPr>
        <w:t>ّ</w:t>
      </w:r>
      <w:r w:rsidRPr="00904FCB">
        <w:rPr>
          <w:rFonts w:ascii="Arial" w:hAnsi="Arial"/>
          <w:sz w:val="27"/>
          <w:rtl/>
        </w:rPr>
        <w:t>ة، فتشاورنا بيننا إذا نودي للجهاد ماذا نفعل</w:t>
      </w:r>
      <w:r w:rsidR="00D60784" w:rsidRPr="00904FCB">
        <w:rPr>
          <w:rFonts w:ascii="Arial" w:hAnsi="Arial" w:hint="cs"/>
          <w:sz w:val="27"/>
          <w:rtl/>
        </w:rPr>
        <w:t>؟</w:t>
      </w:r>
      <w:r w:rsidRPr="00904FCB">
        <w:rPr>
          <w:rFonts w:ascii="Arial" w:hAnsi="Arial"/>
          <w:sz w:val="27"/>
          <w:rtl/>
        </w:rPr>
        <w:t xml:space="preserve"> فتم</w:t>
      </w:r>
      <w:r w:rsidR="00D60784" w:rsidRPr="00904FCB">
        <w:rPr>
          <w:rFonts w:ascii="Arial" w:hAnsi="Arial" w:hint="cs"/>
          <w:sz w:val="27"/>
          <w:rtl/>
        </w:rPr>
        <w:t>ّ</w:t>
      </w:r>
      <w:r w:rsidRPr="00904FCB">
        <w:rPr>
          <w:rFonts w:ascii="Arial" w:hAnsi="Arial"/>
          <w:sz w:val="27"/>
          <w:rtl/>
        </w:rPr>
        <w:t xml:space="preserve"> تشكيل ما يسم</w:t>
      </w:r>
      <w:r w:rsidR="00D60784" w:rsidRPr="00904FCB">
        <w:rPr>
          <w:rFonts w:ascii="Arial" w:hAnsi="Arial" w:hint="cs"/>
          <w:sz w:val="27"/>
          <w:rtl/>
        </w:rPr>
        <w:t>ّ</w:t>
      </w:r>
      <w:r w:rsidRPr="00904FCB">
        <w:rPr>
          <w:rFonts w:ascii="Arial" w:hAnsi="Arial"/>
          <w:sz w:val="27"/>
          <w:rtl/>
        </w:rPr>
        <w:t>ى بالفصائل</w:t>
      </w:r>
      <w:r w:rsidR="00D60784" w:rsidRPr="00904FCB">
        <w:rPr>
          <w:rFonts w:ascii="Arial" w:hAnsi="Arial" w:hint="cs"/>
          <w:sz w:val="27"/>
          <w:rtl/>
        </w:rPr>
        <w:t>،</w:t>
      </w:r>
      <w:r w:rsidRPr="00904FCB">
        <w:rPr>
          <w:rFonts w:ascii="Arial" w:hAnsi="Arial"/>
          <w:sz w:val="27"/>
          <w:rtl/>
        </w:rPr>
        <w:t xml:space="preserve"> التي يضم</w:t>
      </w:r>
      <w:r w:rsidR="00D60784" w:rsidRPr="00904FCB">
        <w:rPr>
          <w:rFonts w:ascii="Arial" w:hAnsi="Arial" w:hint="cs"/>
          <w:sz w:val="27"/>
          <w:rtl/>
        </w:rPr>
        <w:t>ّ</w:t>
      </w:r>
      <w:r w:rsidRPr="00904FCB">
        <w:rPr>
          <w:rFonts w:ascii="Arial" w:hAnsi="Arial"/>
          <w:sz w:val="27"/>
          <w:rtl/>
        </w:rPr>
        <w:t xml:space="preserve"> كل</w:t>
      </w:r>
      <w:r w:rsidR="00D60784" w:rsidRPr="00904FCB">
        <w:rPr>
          <w:rFonts w:ascii="Arial" w:hAnsi="Arial" w:hint="cs"/>
          <w:sz w:val="27"/>
          <w:rtl/>
        </w:rPr>
        <w:t>ٌّ</w:t>
      </w:r>
      <w:r w:rsidRPr="00904FCB">
        <w:rPr>
          <w:rFonts w:ascii="Arial" w:hAnsi="Arial"/>
          <w:sz w:val="27"/>
          <w:rtl/>
        </w:rPr>
        <w:t xml:space="preserve"> منها </w:t>
      </w:r>
      <w:r w:rsidRPr="006333E0">
        <w:rPr>
          <w:rFonts w:ascii="Arial" w:hAnsi="Arial" w:cs="Ya-Ali"/>
          <w:sz w:val="27"/>
          <w:rtl/>
        </w:rPr>
        <w:t>40</w:t>
      </w:r>
      <w:r w:rsidRPr="00904FCB">
        <w:rPr>
          <w:rFonts w:ascii="Arial" w:hAnsi="Arial"/>
          <w:sz w:val="27"/>
          <w:rtl/>
        </w:rPr>
        <w:t xml:space="preserve"> شخصاً، ولم تكن سر</w:t>
      </w:r>
      <w:r w:rsidR="00D60784" w:rsidRPr="00904FCB">
        <w:rPr>
          <w:rFonts w:ascii="Arial" w:hAnsi="Arial" w:hint="cs"/>
          <w:sz w:val="27"/>
          <w:rtl/>
        </w:rPr>
        <w:t>ّ</w:t>
      </w:r>
      <w:r w:rsidRPr="00904FCB">
        <w:rPr>
          <w:rFonts w:ascii="Arial" w:hAnsi="Arial"/>
          <w:sz w:val="27"/>
          <w:rtl/>
        </w:rPr>
        <w:t>ية</w:t>
      </w:r>
      <w:r w:rsidR="00D60784" w:rsidRPr="00904FCB">
        <w:rPr>
          <w:rFonts w:ascii="Arial" w:hAnsi="Arial" w:hint="cs"/>
          <w:sz w:val="27"/>
          <w:rtl/>
        </w:rPr>
        <w:t>،</w:t>
      </w:r>
      <w:r w:rsidRPr="00904FCB">
        <w:rPr>
          <w:rFonts w:ascii="Arial" w:hAnsi="Arial"/>
          <w:sz w:val="27"/>
          <w:rtl/>
        </w:rPr>
        <w:t xml:space="preserve"> بل عبارة عن أشخاص تدر</w:t>
      </w:r>
      <w:r w:rsidR="00D60784" w:rsidRPr="00904FCB">
        <w:rPr>
          <w:rFonts w:ascii="Arial" w:hAnsi="Arial" w:hint="cs"/>
          <w:sz w:val="27"/>
          <w:rtl/>
        </w:rPr>
        <w:t>َّ</w:t>
      </w:r>
      <w:r w:rsidRPr="00904FCB">
        <w:rPr>
          <w:rFonts w:ascii="Arial" w:hAnsi="Arial"/>
          <w:sz w:val="27"/>
          <w:rtl/>
        </w:rPr>
        <w:t>بوا في جهاز الحرس الوطني</w:t>
      </w:r>
      <w:r w:rsidR="00D60784" w:rsidRPr="00904FCB">
        <w:rPr>
          <w:rFonts w:ascii="Arial" w:hAnsi="Arial" w:hint="cs"/>
          <w:sz w:val="27"/>
          <w:rtl/>
        </w:rPr>
        <w:t xml:space="preserve">، </w:t>
      </w:r>
      <w:r w:rsidRPr="00904FCB">
        <w:rPr>
          <w:rFonts w:ascii="Arial" w:hAnsi="Arial"/>
          <w:sz w:val="27"/>
          <w:rtl/>
        </w:rPr>
        <w:t>وتم</w:t>
      </w:r>
      <w:r w:rsidR="00D60784" w:rsidRPr="00904FCB">
        <w:rPr>
          <w:rFonts w:ascii="Arial" w:hAnsi="Arial" w:hint="cs"/>
          <w:sz w:val="27"/>
          <w:rtl/>
        </w:rPr>
        <w:t>ّ</w:t>
      </w:r>
      <w:r w:rsidRPr="00904FCB">
        <w:rPr>
          <w:rFonts w:ascii="Arial" w:hAnsi="Arial"/>
          <w:sz w:val="27"/>
          <w:rtl/>
        </w:rPr>
        <w:t xml:space="preserve"> </w:t>
      </w:r>
      <w:r w:rsidR="0051752E" w:rsidRPr="00904FCB">
        <w:rPr>
          <w:rFonts w:ascii="Arial" w:hAnsi="Arial"/>
          <w:sz w:val="27"/>
          <w:rtl/>
        </w:rPr>
        <w:t>ت</w:t>
      </w:r>
      <w:r w:rsidR="0051752E" w:rsidRPr="00904FCB">
        <w:rPr>
          <w:rFonts w:ascii="Arial" w:hAnsi="Arial" w:hint="cs"/>
          <w:sz w:val="27"/>
          <w:rtl/>
        </w:rPr>
        <w:t>دريب</w:t>
      </w:r>
      <w:r w:rsidRPr="00904FCB">
        <w:rPr>
          <w:rFonts w:ascii="Arial" w:hAnsi="Arial"/>
          <w:sz w:val="27"/>
          <w:rtl/>
        </w:rPr>
        <w:t>هم</w:t>
      </w:r>
      <w:r w:rsidR="0051752E" w:rsidRPr="00904FCB">
        <w:rPr>
          <w:rFonts w:ascii="Arial" w:hAnsi="Arial"/>
          <w:sz w:val="27"/>
          <w:rtl/>
        </w:rPr>
        <w:t xml:space="preserve"> </w:t>
      </w:r>
      <w:r w:rsidR="0051752E" w:rsidRPr="00904FCB">
        <w:rPr>
          <w:rFonts w:ascii="Arial" w:hAnsi="Arial" w:hint="cs"/>
          <w:sz w:val="27"/>
          <w:rtl/>
        </w:rPr>
        <w:t>على</w:t>
      </w:r>
      <w:r w:rsidRPr="00904FCB">
        <w:rPr>
          <w:rFonts w:ascii="Arial" w:hAnsi="Arial"/>
          <w:sz w:val="27"/>
          <w:rtl/>
        </w:rPr>
        <w:t xml:space="preserve"> أسلحة مختلفة</w:t>
      </w:r>
      <w:r w:rsidR="00D60784" w:rsidRPr="00904FCB">
        <w:rPr>
          <w:rFonts w:ascii="Arial" w:hAnsi="Arial" w:hint="cs"/>
          <w:sz w:val="27"/>
          <w:rtl/>
        </w:rPr>
        <w:t>،</w:t>
      </w:r>
      <w:r w:rsidRPr="00904FCB">
        <w:rPr>
          <w:rFonts w:ascii="Arial" w:hAnsi="Arial"/>
          <w:sz w:val="27"/>
          <w:rtl/>
        </w:rPr>
        <w:t xml:space="preserve"> حتى يكونوا على أهبة الاستعداد لنداء الجهاد</w:t>
      </w:r>
      <w:r w:rsidRPr="00904FCB">
        <w:rPr>
          <w:rFonts w:hint="eastAsia"/>
          <w:sz w:val="27"/>
          <w:rtl/>
        </w:rPr>
        <w:t>»</w:t>
      </w:r>
      <w:r w:rsidRPr="00904FCB">
        <w:rPr>
          <w:sz w:val="27"/>
          <w:vertAlign w:val="superscript"/>
          <w:rtl/>
        </w:rPr>
        <w:t>(</w:t>
      </w:r>
      <w:r w:rsidRPr="00904FCB">
        <w:rPr>
          <w:sz w:val="27"/>
          <w:vertAlign w:val="superscript"/>
          <w:rtl/>
        </w:rPr>
        <w:endnoteReference w:id="113"/>
      </w:r>
      <w:r w:rsidRPr="00904FCB">
        <w:rPr>
          <w:sz w:val="27"/>
          <w:vertAlign w:val="superscript"/>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Pr>
      </w:pPr>
      <w:r w:rsidRPr="00904FCB">
        <w:rPr>
          <w:rFonts w:ascii="Arial" w:hAnsi="Arial"/>
          <w:sz w:val="27"/>
          <w:rtl/>
        </w:rPr>
        <w:t>وإذا كان حسن البنّا هو المؤس</w:t>
      </w:r>
      <w:r w:rsidR="00D60784" w:rsidRPr="00904FCB">
        <w:rPr>
          <w:rFonts w:ascii="Arial" w:hAnsi="Arial" w:hint="cs"/>
          <w:sz w:val="27"/>
          <w:rtl/>
        </w:rPr>
        <w:t>ِّ</w:t>
      </w:r>
      <w:r w:rsidRPr="00904FCB">
        <w:rPr>
          <w:rFonts w:ascii="Arial" w:hAnsi="Arial"/>
          <w:sz w:val="27"/>
          <w:rtl/>
        </w:rPr>
        <w:t>س لجماعة الإخوان المسلمين فإن</w:t>
      </w:r>
      <w:r w:rsidR="00D60784" w:rsidRPr="00904FCB">
        <w:rPr>
          <w:rFonts w:ascii="Arial" w:hAnsi="Arial" w:hint="cs"/>
          <w:sz w:val="27"/>
          <w:rtl/>
        </w:rPr>
        <w:t>ّ</w:t>
      </w:r>
      <w:r w:rsidRPr="00904FCB">
        <w:rPr>
          <w:rFonts w:ascii="Arial" w:hAnsi="Arial"/>
          <w:sz w:val="27"/>
          <w:rtl/>
        </w:rPr>
        <w:t xml:space="preserve"> سي</w:t>
      </w:r>
      <w:r w:rsidR="00D60784" w:rsidRPr="00904FCB">
        <w:rPr>
          <w:rFonts w:ascii="Arial" w:hAnsi="Arial" w:hint="cs"/>
          <w:sz w:val="27"/>
          <w:rtl/>
        </w:rPr>
        <w:t>ّ</w:t>
      </w:r>
      <w:r w:rsidRPr="00904FCB">
        <w:rPr>
          <w:rFonts w:ascii="Arial" w:hAnsi="Arial"/>
          <w:sz w:val="27"/>
          <w:rtl/>
        </w:rPr>
        <w:t>د قطب (الذي التحق بالجماعة بعد سنوات</w:t>
      </w:r>
      <w:r w:rsidR="00D60784" w:rsidRPr="00904FCB">
        <w:rPr>
          <w:rFonts w:ascii="Arial" w:hAnsi="Arial" w:hint="cs"/>
          <w:sz w:val="27"/>
          <w:rtl/>
        </w:rPr>
        <w:t>ٍ</w:t>
      </w:r>
      <w:r w:rsidRPr="00904FCB">
        <w:rPr>
          <w:rFonts w:ascii="Arial" w:hAnsi="Arial"/>
          <w:sz w:val="27"/>
          <w:rtl/>
        </w:rPr>
        <w:t xml:space="preserve"> عد</w:t>
      </w:r>
      <w:r w:rsidR="00D60784" w:rsidRPr="00904FCB">
        <w:rPr>
          <w:rFonts w:ascii="Arial" w:hAnsi="Arial" w:hint="cs"/>
          <w:sz w:val="27"/>
          <w:rtl/>
        </w:rPr>
        <w:t>ّ</w:t>
      </w:r>
      <w:r w:rsidRPr="00904FCB">
        <w:rPr>
          <w:rFonts w:ascii="Arial" w:hAnsi="Arial"/>
          <w:sz w:val="27"/>
          <w:rtl/>
        </w:rPr>
        <w:t>ة من اغتيال البنّا</w:t>
      </w:r>
      <w:r w:rsidRPr="00904FCB">
        <w:rPr>
          <w:sz w:val="27"/>
          <w:vertAlign w:val="superscript"/>
          <w:rtl/>
        </w:rPr>
        <w:t>(</w:t>
      </w:r>
      <w:r w:rsidRPr="00904FCB">
        <w:rPr>
          <w:sz w:val="27"/>
          <w:vertAlign w:val="superscript"/>
          <w:rtl/>
        </w:rPr>
        <w:endnoteReference w:id="114"/>
      </w:r>
      <w:r w:rsidRPr="00904FCB">
        <w:rPr>
          <w:sz w:val="27"/>
          <w:vertAlign w:val="superscript"/>
          <w:rtl/>
        </w:rPr>
        <w:t>)</w:t>
      </w:r>
      <w:r w:rsidRPr="00904FCB">
        <w:rPr>
          <w:rFonts w:ascii="Arial" w:hAnsi="Arial"/>
          <w:sz w:val="27"/>
          <w:rtl/>
        </w:rPr>
        <w:t>) يعتبر القائد الفكري والمجد</w:t>
      </w:r>
      <w:r w:rsidR="00D60784" w:rsidRPr="00904FCB">
        <w:rPr>
          <w:rFonts w:ascii="Arial" w:hAnsi="Arial" w:hint="cs"/>
          <w:sz w:val="27"/>
          <w:rtl/>
        </w:rPr>
        <w:t>ِّ</w:t>
      </w:r>
      <w:r w:rsidRPr="00904FCB">
        <w:rPr>
          <w:rFonts w:ascii="Arial" w:hAnsi="Arial"/>
          <w:sz w:val="27"/>
          <w:rtl/>
        </w:rPr>
        <w:t>د الأبرز في حياة تلك الجماعة</w:t>
      </w:r>
      <w:r w:rsidR="00D60784" w:rsidRPr="00904FCB">
        <w:rPr>
          <w:rFonts w:ascii="Arial" w:hAnsi="Arial" w:hint="cs"/>
          <w:sz w:val="27"/>
          <w:rtl/>
        </w:rPr>
        <w:t>.</w:t>
      </w:r>
      <w:r w:rsidRPr="00904FCB">
        <w:rPr>
          <w:rFonts w:ascii="Arial" w:hAnsi="Arial"/>
          <w:sz w:val="27"/>
          <w:rtl/>
        </w:rPr>
        <w:t xml:space="preserve"> فقطب سافر إلى أميركا عام </w:t>
      </w:r>
      <w:r w:rsidRPr="00B13398">
        <w:rPr>
          <w:rFonts w:ascii="Arial" w:hAnsi="Arial"/>
          <w:sz w:val="27"/>
          <w:rtl/>
        </w:rPr>
        <w:t>1948</w:t>
      </w:r>
      <w:r w:rsidRPr="00904FCB">
        <w:rPr>
          <w:rFonts w:ascii="Arial" w:hAnsi="Arial"/>
          <w:sz w:val="27"/>
          <w:rtl/>
        </w:rPr>
        <w:t xml:space="preserve"> في إطار بعثة</w:t>
      </w:r>
      <w:r w:rsidR="00D60784" w:rsidRPr="00904FCB">
        <w:rPr>
          <w:rFonts w:ascii="Arial" w:hAnsi="Arial" w:hint="cs"/>
          <w:sz w:val="27"/>
          <w:rtl/>
        </w:rPr>
        <w:t>ٍ</w:t>
      </w:r>
      <w:r w:rsidRPr="00904FCB">
        <w:rPr>
          <w:rFonts w:ascii="Arial" w:hAnsi="Arial"/>
          <w:sz w:val="27"/>
          <w:rtl/>
        </w:rPr>
        <w:t xml:space="preserve"> علمية من وزارة المعارف</w:t>
      </w:r>
      <w:r w:rsidR="00D60784" w:rsidRPr="00904FCB">
        <w:rPr>
          <w:rFonts w:ascii="Arial" w:hAnsi="Arial" w:hint="cs"/>
          <w:sz w:val="27"/>
          <w:rtl/>
        </w:rPr>
        <w:t>؛</w:t>
      </w:r>
      <w:r w:rsidRPr="00904FCB">
        <w:rPr>
          <w:rFonts w:ascii="Arial" w:hAnsi="Arial"/>
          <w:sz w:val="27"/>
          <w:rtl/>
        </w:rPr>
        <w:t xml:space="preserve"> للتخص</w:t>
      </w:r>
      <w:r w:rsidR="00D60784" w:rsidRPr="00904FCB">
        <w:rPr>
          <w:rFonts w:ascii="Arial" w:hAnsi="Arial" w:hint="cs"/>
          <w:sz w:val="27"/>
          <w:rtl/>
        </w:rPr>
        <w:t>ُّ</w:t>
      </w:r>
      <w:r w:rsidRPr="00904FCB">
        <w:rPr>
          <w:rFonts w:ascii="Arial" w:hAnsi="Arial"/>
          <w:sz w:val="27"/>
          <w:rtl/>
        </w:rPr>
        <w:t>ص في التربية وأصول المناهج</w:t>
      </w:r>
      <w:r w:rsidR="00D60784" w:rsidRPr="00904FCB">
        <w:rPr>
          <w:rFonts w:ascii="Arial" w:hAnsi="Arial" w:hint="cs"/>
          <w:sz w:val="27"/>
          <w:rtl/>
        </w:rPr>
        <w:t>. و</w:t>
      </w:r>
      <w:r w:rsidRPr="00904FCB">
        <w:rPr>
          <w:rFonts w:ascii="Arial" w:hAnsi="Arial"/>
          <w:sz w:val="27"/>
          <w:rtl/>
        </w:rPr>
        <w:t xml:space="preserve">يرى صلاح الخالدي أن </w:t>
      </w:r>
      <w:r w:rsidRPr="00904FCB">
        <w:rPr>
          <w:rFonts w:hint="eastAsia"/>
          <w:sz w:val="27"/>
          <w:rtl/>
        </w:rPr>
        <w:t>«</w:t>
      </w:r>
      <w:r w:rsidRPr="00904FCB">
        <w:rPr>
          <w:rFonts w:ascii="Arial" w:hAnsi="Arial"/>
          <w:sz w:val="27"/>
          <w:rtl/>
        </w:rPr>
        <w:t>الهدف الحقيقي لتلك البعثة كان غسل دماغ سي</w:t>
      </w:r>
      <w:r w:rsidR="00D60784" w:rsidRPr="00904FCB">
        <w:rPr>
          <w:rFonts w:ascii="Arial" w:hAnsi="Arial" w:hint="cs"/>
          <w:sz w:val="27"/>
          <w:rtl/>
        </w:rPr>
        <w:t>ّ</w:t>
      </w:r>
      <w:r w:rsidRPr="00904FCB">
        <w:rPr>
          <w:rFonts w:ascii="Arial" w:hAnsi="Arial"/>
          <w:sz w:val="27"/>
          <w:rtl/>
        </w:rPr>
        <w:t>د قطب</w:t>
      </w:r>
      <w:r w:rsidR="00D60784" w:rsidRPr="00904FCB">
        <w:rPr>
          <w:rFonts w:ascii="Arial" w:hAnsi="Arial" w:hint="cs"/>
          <w:sz w:val="27"/>
          <w:rtl/>
        </w:rPr>
        <w:t>،</w:t>
      </w:r>
      <w:r w:rsidRPr="00904FCB">
        <w:rPr>
          <w:rFonts w:ascii="Arial" w:hAnsi="Arial"/>
          <w:sz w:val="27"/>
          <w:rtl/>
        </w:rPr>
        <w:t xml:space="preserve"> وإقناعه بمناهج الحياة الأميركية</w:t>
      </w:r>
      <w:r w:rsidRPr="00904FCB">
        <w:rPr>
          <w:rFonts w:hint="eastAsia"/>
          <w:sz w:val="27"/>
          <w:rtl/>
        </w:rPr>
        <w:t>»</w:t>
      </w:r>
      <w:r w:rsidR="00D60784" w:rsidRPr="00904FCB">
        <w:rPr>
          <w:rFonts w:ascii="Arial" w:hAnsi="Arial" w:hint="cs"/>
          <w:sz w:val="27"/>
          <w:rtl/>
        </w:rPr>
        <w:t>؛</w:t>
      </w:r>
      <w:r w:rsidRPr="00904FCB">
        <w:rPr>
          <w:rFonts w:ascii="Arial" w:hAnsi="Arial"/>
          <w:sz w:val="27"/>
          <w:rtl/>
        </w:rPr>
        <w:t xml:space="preserve"> ليعود إلى مصر ـ كما عاد الكثير من المبعوثين ـ داعية</w:t>
      </w:r>
      <w:r w:rsidR="00D60784" w:rsidRPr="00904FCB">
        <w:rPr>
          <w:rFonts w:ascii="Arial" w:hAnsi="Arial" w:hint="cs"/>
          <w:sz w:val="27"/>
          <w:rtl/>
        </w:rPr>
        <w:t>ً</w:t>
      </w:r>
      <w:r w:rsidRPr="00904FCB">
        <w:rPr>
          <w:rFonts w:ascii="Arial" w:hAnsi="Arial"/>
          <w:sz w:val="27"/>
          <w:rtl/>
        </w:rPr>
        <w:t xml:space="preserve"> لأميركا</w:t>
      </w:r>
      <w:r w:rsidR="00D60784" w:rsidRPr="00904FCB">
        <w:rPr>
          <w:rFonts w:ascii="Arial" w:hAnsi="Arial" w:hint="cs"/>
          <w:sz w:val="27"/>
          <w:rtl/>
        </w:rPr>
        <w:t>،</w:t>
      </w:r>
      <w:r w:rsidRPr="00904FCB">
        <w:rPr>
          <w:rFonts w:ascii="Arial" w:hAnsi="Arial"/>
          <w:sz w:val="27"/>
          <w:rtl/>
        </w:rPr>
        <w:t xml:space="preserve"> ومبش</w:t>
      </w:r>
      <w:r w:rsidR="00D60784" w:rsidRPr="00904FCB">
        <w:rPr>
          <w:rFonts w:ascii="Arial" w:hAnsi="Arial" w:hint="cs"/>
          <w:sz w:val="27"/>
          <w:rtl/>
        </w:rPr>
        <w:t>ِّ</w:t>
      </w:r>
      <w:r w:rsidRPr="00904FCB">
        <w:rPr>
          <w:rFonts w:ascii="Arial" w:hAnsi="Arial"/>
          <w:sz w:val="27"/>
          <w:rtl/>
        </w:rPr>
        <w:t>راً بحياتها وق</w:t>
      </w:r>
      <w:r w:rsidR="00D60784" w:rsidRPr="00904FCB">
        <w:rPr>
          <w:rFonts w:ascii="Arial" w:hAnsi="Arial" w:hint="cs"/>
          <w:sz w:val="27"/>
          <w:rtl/>
        </w:rPr>
        <w:t>ِ</w:t>
      </w:r>
      <w:r w:rsidRPr="00904FCB">
        <w:rPr>
          <w:rFonts w:ascii="Arial" w:hAnsi="Arial"/>
          <w:sz w:val="27"/>
          <w:rtl/>
        </w:rPr>
        <w:t>ي</w:t>
      </w:r>
      <w:r w:rsidR="00D60784" w:rsidRPr="00904FCB">
        <w:rPr>
          <w:rFonts w:ascii="Arial" w:hAnsi="Arial" w:hint="cs"/>
          <w:sz w:val="27"/>
          <w:rtl/>
        </w:rPr>
        <w:t>َ</w:t>
      </w:r>
      <w:r w:rsidRPr="00904FCB">
        <w:rPr>
          <w:rFonts w:ascii="Arial" w:hAnsi="Arial"/>
          <w:sz w:val="27"/>
          <w:rtl/>
        </w:rPr>
        <w:t>مها وأعرافها وسلوكها! لكن</w:t>
      </w:r>
      <w:r w:rsidR="00D60784" w:rsidRPr="00904FCB">
        <w:rPr>
          <w:rFonts w:ascii="Arial" w:hAnsi="Arial" w:hint="cs"/>
          <w:sz w:val="27"/>
          <w:rtl/>
        </w:rPr>
        <w:t>ّ</w:t>
      </w:r>
      <w:r w:rsidRPr="00904FCB">
        <w:rPr>
          <w:rFonts w:ascii="Arial" w:hAnsi="Arial"/>
          <w:sz w:val="27"/>
          <w:rtl/>
        </w:rPr>
        <w:t xml:space="preserve"> الله ثب</w:t>
      </w:r>
      <w:r w:rsidR="00D60784" w:rsidRPr="00904FCB">
        <w:rPr>
          <w:rFonts w:ascii="Arial" w:hAnsi="Arial" w:hint="cs"/>
          <w:sz w:val="27"/>
          <w:rtl/>
        </w:rPr>
        <w:t>َّ</w:t>
      </w:r>
      <w:r w:rsidRPr="00904FCB">
        <w:rPr>
          <w:rFonts w:ascii="Arial" w:hAnsi="Arial"/>
          <w:sz w:val="27"/>
          <w:rtl/>
        </w:rPr>
        <w:t>ته على الإسلام..</w:t>
      </w:r>
      <w:r w:rsidR="00D60784" w:rsidRPr="00904FCB">
        <w:rPr>
          <w:rFonts w:ascii="Arial" w:hAnsi="Arial" w:hint="cs"/>
          <w:sz w:val="27"/>
          <w:rtl/>
        </w:rPr>
        <w:t>.</w:t>
      </w:r>
      <w:r w:rsidRPr="00904FCB">
        <w:rPr>
          <w:rFonts w:ascii="Arial" w:hAnsi="Arial"/>
          <w:sz w:val="27"/>
          <w:rtl/>
        </w:rPr>
        <w:t xml:space="preserve"> وقد أقام في أميركا سنتين كاملتين، من أغسطس/ آب </w:t>
      </w:r>
      <w:r w:rsidRPr="00B13398">
        <w:rPr>
          <w:rFonts w:ascii="Arial" w:hAnsi="Arial"/>
          <w:sz w:val="27"/>
          <w:rtl/>
        </w:rPr>
        <w:t>1948</w:t>
      </w:r>
      <w:r w:rsidRPr="00904FCB">
        <w:rPr>
          <w:rFonts w:ascii="Arial" w:hAnsi="Arial"/>
          <w:sz w:val="27"/>
          <w:rtl/>
        </w:rPr>
        <w:t xml:space="preserve"> إلى أغسطس/ آب </w:t>
      </w:r>
      <w:r w:rsidRPr="00B13398">
        <w:rPr>
          <w:rFonts w:ascii="Arial" w:hAnsi="Arial" w:hint="cs"/>
          <w:sz w:val="27"/>
          <w:rtl/>
        </w:rPr>
        <w:t>1950</w:t>
      </w:r>
      <w:r w:rsidRPr="00904FCB">
        <w:rPr>
          <w:rFonts w:ascii="Arial" w:hAnsi="Arial" w:hint="cs"/>
          <w:sz w:val="27"/>
          <w:rtl/>
        </w:rPr>
        <w:t>، ولما</w:t>
      </w:r>
      <w:r w:rsidRPr="00904FCB">
        <w:rPr>
          <w:rFonts w:ascii="Arial" w:hAnsi="Arial"/>
          <w:sz w:val="27"/>
          <w:rtl/>
        </w:rPr>
        <w:t xml:space="preserve"> </w:t>
      </w:r>
      <w:r w:rsidRPr="00904FCB">
        <w:rPr>
          <w:rFonts w:ascii="Arial" w:hAnsi="Arial" w:hint="cs"/>
          <w:sz w:val="27"/>
          <w:rtl/>
        </w:rPr>
        <w:t>عاد</w:t>
      </w:r>
      <w:r w:rsidRPr="00904FCB">
        <w:rPr>
          <w:rFonts w:ascii="Arial" w:hAnsi="Arial"/>
          <w:sz w:val="27"/>
          <w:rtl/>
        </w:rPr>
        <w:t xml:space="preserve"> </w:t>
      </w:r>
      <w:r w:rsidRPr="00904FCB">
        <w:rPr>
          <w:rFonts w:ascii="Arial" w:hAnsi="Arial" w:hint="cs"/>
          <w:sz w:val="27"/>
          <w:rtl/>
        </w:rPr>
        <w:t>إلى</w:t>
      </w:r>
      <w:r w:rsidRPr="00904FCB">
        <w:rPr>
          <w:rFonts w:ascii="Arial" w:hAnsi="Arial"/>
          <w:sz w:val="27"/>
          <w:rtl/>
        </w:rPr>
        <w:t xml:space="preserve"> </w:t>
      </w:r>
      <w:r w:rsidRPr="00904FCB">
        <w:rPr>
          <w:rFonts w:ascii="Arial" w:hAnsi="Arial" w:hint="cs"/>
          <w:sz w:val="27"/>
          <w:rtl/>
        </w:rPr>
        <w:t>مصر</w:t>
      </w:r>
      <w:r w:rsidRPr="00904FCB">
        <w:rPr>
          <w:rFonts w:ascii="Arial" w:hAnsi="Arial"/>
          <w:sz w:val="27"/>
          <w:rtl/>
        </w:rPr>
        <w:t xml:space="preserve"> </w:t>
      </w:r>
      <w:r w:rsidRPr="00904FCB">
        <w:rPr>
          <w:rFonts w:ascii="Arial" w:hAnsi="Arial" w:hint="cs"/>
          <w:sz w:val="27"/>
          <w:rtl/>
        </w:rPr>
        <w:t>جعل</w:t>
      </w:r>
      <w:r w:rsidRPr="00904FCB">
        <w:rPr>
          <w:rFonts w:ascii="Arial" w:hAnsi="Arial"/>
          <w:sz w:val="27"/>
          <w:rtl/>
        </w:rPr>
        <w:t xml:space="preserve"> </w:t>
      </w:r>
      <w:r w:rsidRPr="00904FCB">
        <w:rPr>
          <w:rFonts w:ascii="Arial" w:hAnsi="Arial" w:hint="cs"/>
          <w:sz w:val="27"/>
          <w:rtl/>
        </w:rPr>
        <w:t>مهم</w:t>
      </w:r>
      <w:r w:rsidR="00D60784" w:rsidRPr="00904FCB">
        <w:rPr>
          <w:rFonts w:ascii="Arial" w:hAnsi="Arial" w:hint="cs"/>
          <w:sz w:val="27"/>
          <w:rtl/>
        </w:rPr>
        <w:t>ّ</w:t>
      </w:r>
      <w:r w:rsidRPr="00904FCB">
        <w:rPr>
          <w:rFonts w:ascii="Arial" w:hAnsi="Arial" w:hint="cs"/>
          <w:sz w:val="27"/>
          <w:rtl/>
        </w:rPr>
        <w:t>ته</w:t>
      </w:r>
      <w:r w:rsidRPr="00904FCB">
        <w:rPr>
          <w:rFonts w:ascii="Arial" w:hAnsi="Arial"/>
          <w:sz w:val="27"/>
          <w:rtl/>
        </w:rPr>
        <w:t xml:space="preserve"> </w:t>
      </w:r>
      <w:r w:rsidRPr="00904FCB">
        <w:rPr>
          <w:rFonts w:ascii="Arial" w:hAnsi="Arial" w:hint="cs"/>
          <w:sz w:val="27"/>
          <w:rtl/>
        </w:rPr>
        <w:t>الوقو</w:t>
      </w:r>
      <w:r w:rsidRPr="00904FCB">
        <w:rPr>
          <w:rFonts w:ascii="Arial" w:hAnsi="Arial"/>
          <w:sz w:val="27"/>
          <w:rtl/>
        </w:rPr>
        <w:t>ف أمام المخط</w:t>
      </w:r>
      <w:r w:rsidR="00D60784" w:rsidRPr="00904FCB">
        <w:rPr>
          <w:rFonts w:ascii="Arial" w:hAnsi="Arial" w:hint="cs"/>
          <w:sz w:val="27"/>
          <w:rtl/>
        </w:rPr>
        <w:t>َّ</w:t>
      </w:r>
      <w:r w:rsidRPr="00904FCB">
        <w:rPr>
          <w:rFonts w:ascii="Arial" w:hAnsi="Arial"/>
          <w:sz w:val="27"/>
          <w:rtl/>
        </w:rPr>
        <w:t>طات الأميركية لاحتواء المنطقة، والهيمنة عليها، واستعمارها ثقافياً وفكرياً واقتصادياً وسياسياً وإعلامياً وسلوكياً، يُحذ</w:t>
      </w:r>
      <w:r w:rsidR="00D60784" w:rsidRPr="00904FCB">
        <w:rPr>
          <w:rFonts w:ascii="Arial" w:hAnsi="Arial" w:hint="cs"/>
          <w:sz w:val="27"/>
          <w:rtl/>
        </w:rPr>
        <w:t>ِّ</w:t>
      </w:r>
      <w:r w:rsidRPr="00904FCB">
        <w:rPr>
          <w:rFonts w:ascii="Arial" w:hAnsi="Arial"/>
          <w:sz w:val="27"/>
          <w:rtl/>
        </w:rPr>
        <w:t>ر من التبعية لها، ويدعو إلى الانحياز إلى الإسلام</w:t>
      </w:r>
      <w:r w:rsidR="00D60784" w:rsidRPr="00904FCB">
        <w:rPr>
          <w:rFonts w:ascii="Arial" w:hAnsi="Arial" w:hint="cs"/>
          <w:sz w:val="27"/>
          <w:rtl/>
        </w:rPr>
        <w:t>،</w:t>
      </w:r>
      <w:r w:rsidRPr="00904FCB">
        <w:rPr>
          <w:rFonts w:ascii="Arial" w:hAnsi="Arial"/>
          <w:sz w:val="27"/>
          <w:rtl/>
        </w:rPr>
        <w:t xml:space="preserve"> وتطبيقه بصدق</w:t>
      </w:r>
      <w:r w:rsidR="00D60784" w:rsidRPr="00904FCB">
        <w:rPr>
          <w:rFonts w:ascii="Arial" w:hAnsi="Arial" w:hint="cs"/>
          <w:sz w:val="27"/>
          <w:rtl/>
        </w:rPr>
        <w:t>ٍ</w:t>
      </w:r>
      <w:r w:rsidRPr="00904FCB">
        <w:rPr>
          <w:rFonts w:ascii="Arial" w:hAnsi="Arial"/>
          <w:sz w:val="27"/>
          <w:rtl/>
        </w:rPr>
        <w:t>، والانطلاق منه لمواجهة أميركا وغيرها من الأعداء</w:t>
      </w:r>
      <w:r w:rsidRPr="00904FCB">
        <w:rPr>
          <w:rFonts w:hint="eastAsia"/>
          <w:sz w:val="27"/>
          <w:rtl/>
        </w:rPr>
        <w:t>»</w:t>
      </w:r>
      <w:r w:rsidRPr="00904FCB">
        <w:rPr>
          <w:sz w:val="27"/>
          <w:vertAlign w:val="superscript"/>
          <w:rtl/>
        </w:rPr>
        <w:t>(</w:t>
      </w:r>
      <w:r w:rsidRPr="00904FCB">
        <w:rPr>
          <w:sz w:val="27"/>
          <w:vertAlign w:val="superscript"/>
          <w:rtl/>
        </w:rPr>
        <w:endnoteReference w:id="115"/>
      </w:r>
      <w:r w:rsidRPr="00904FCB">
        <w:rPr>
          <w:sz w:val="27"/>
          <w:vertAlign w:val="superscript"/>
          <w:rtl/>
        </w:rPr>
        <w:t>)</w:t>
      </w:r>
      <w:r w:rsidRPr="00904FCB">
        <w:rPr>
          <w:rFonts w:ascii="Arial" w:hAnsi="Arial"/>
          <w:sz w:val="27"/>
          <w:rtl/>
        </w:rPr>
        <w:t xml:space="preserve">. </w:t>
      </w:r>
    </w:p>
    <w:p w:rsidR="00A45FD9" w:rsidRPr="00904FCB" w:rsidRDefault="00424452" w:rsidP="007A21AA">
      <w:pPr>
        <w:spacing w:line="400" w:lineRule="exact"/>
        <w:rPr>
          <w:rFonts w:ascii="Arial" w:hAnsi="Arial"/>
          <w:sz w:val="27"/>
          <w:rtl/>
        </w:rPr>
      </w:pPr>
      <w:r>
        <w:rPr>
          <w:rFonts w:ascii="Arial" w:hAnsi="Arial" w:hint="cs"/>
          <w:sz w:val="27"/>
          <w:rtl/>
        </w:rPr>
        <w:t>إ</w:t>
      </w:r>
      <w:r w:rsidR="00A45FD9" w:rsidRPr="00904FCB">
        <w:rPr>
          <w:rFonts w:ascii="Arial" w:hAnsi="Arial"/>
          <w:sz w:val="27"/>
          <w:rtl/>
        </w:rPr>
        <w:t>ذن لم ينبهر سي</w:t>
      </w:r>
      <w:r w:rsidR="00D60784" w:rsidRPr="00904FCB">
        <w:rPr>
          <w:rFonts w:ascii="Arial" w:hAnsi="Arial" w:hint="cs"/>
          <w:sz w:val="27"/>
          <w:rtl/>
        </w:rPr>
        <w:t>ّ</w:t>
      </w:r>
      <w:r w:rsidR="00A45FD9" w:rsidRPr="00904FCB">
        <w:rPr>
          <w:rFonts w:ascii="Arial" w:hAnsi="Arial"/>
          <w:sz w:val="27"/>
          <w:rtl/>
        </w:rPr>
        <w:t>د قطب بالحضارة الأميركية</w:t>
      </w:r>
      <w:r w:rsidR="00D60784" w:rsidRPr="00904FCB">
        <w:rPr>
          <w:rFonts w:ascii="Arial" w:hAnsi="Arial" w:hint="cs"/>
          <w:sz w:val="27"/>
          <w:rtl/>
        </w:rPr>
        <w:t>،</w:t>
      </w:r>
      <w:r w:rsidR="00A45FD9" w:rsidRPr="00904FCB">
        <w:rPr>
          <w:rFonts w:ascii="Arial" w:hAnsi="Arial"/>
          <w:sz w:val="27"/>
          <w:rtl/>
        </w:rPr>
        <w:t xml:space="preserve"> ووجدها خالية من أي</w:t>
      </w:r>
      <w:r w:rsidR="00D60784" w:rsidRPr="00904FCB">
        <w:rPr>
          <w:rFonts w:ascii="Arial" w:hAnsi="Arial" w:hint="cs"/>
          <w:sz w:val="27"/>
          <w:rtl/>
        </w:rPr>
        <w:t>ّ</w:t>
      </w:r>
      <w:r w:rsidR="00A45FD9" w:rsidRPr="00904FCB">
        <w:rPr>
          <w:rFonts w:ascii="Arial" w:hAnsi="Arial"/>
          <w:sz w:val="27"/>
          <w:rtl/>
        </w:rPr>
        <w:t xml:space="preserve"> مذهب</w:t>
      </w:r>
      <w:r w:rsidR="00D60784" w:rsidRPr="00904FCB">
        <w:rPr>
          <w:rFonts w:ascii="Arial" w:hAnsi="Arial" w:hint="cs"/>
          <w:sz w:val="27"/>
          <w:rtl/>
        </w:rPr>
        <w:t>ٍ</w:t>
      </w:r>
      <w:r w:rsidR="00A45FD9" w:rsidRPr="00904FCB">
        <w:rPr>
          <w:rFonts w:ascii="Arial" w:hAnsi="Arial"/>
          <w:sz w:val="27"/>
          <w:rtl/>
        </w:rPr>
        <w:t xml:space="preserve"> أو ق</w:t>
      </w:r>
      <w:r w:rsidR="00D60784" w:rsidRPr="00904FCB">
        <w:rPr>
          <w:rFonts w:ascii="Arial" w:hAnsi="Arial" w:hint="cs"/>
          <w:sz w:val="27"/>
          <w:rtl/>
        </w:rPr>
        <w:t>ِ</w:t>
      </w:r>
      <w:r w:rsidR="00A45FD9" w:rsidRPr="00904FCB">
        <w:rPr>
          <w:rFonts w:ascii="Arial" w:hAnsi="Arial"/>
          <w:sz w:val="27"/>
          <w:rtl/>
        </w:rPr>
        <w:t>ي</w:t>
      </w:r>
      <w:r w:rsidR="00D60784" w:rsidRPr="00904FCB">
        <w:rPr>
          <w:rFonts w:ascii="Arial" w:hAnsi="Arial" w:hint="cs"/>
          <w:sz w:val="27"/>
          <w:rtl/>
        </w:rPr>
        <w:t>َ</w:t>
      </w:r>
      <w:r w:rsidR="00A45FD9" w:rsidRPr="00904FCB">
        <w:rPr>
          <w:rFonts w:ascii="Arial" w:hAnsi="Arial"/>
          <w:sz w:val="27"/>
          <w:rtl/>
        </w:rPr>
        <w:t>م جديدة</w:t>
      </w:r>
      <w:r w:rsidR="00D60784" w:rsidRPr="00904FCB">
        <w:rPr>
          <w:rFonts w:ascii="Arial" w:hAnsi="Arial" w:hint="cs"/>
          <w:sz w:val="27"/>
          <w:rtl/>
        </w:rPr>
        <w:t>. ويقول</w:t>
      </w:r>
      <w:r w:rsidR="00A45FD9" w:rsidRPr="00904FCB">
        <w:rPr>
          <w:rFonts w:ascii="Arial" w:hAnsi="Arial"/>
          <w:sz w:val="27"/>
          <w:rtl/>
        </w:rPr>
        <w:t xml:space="preserve">: </w:t>
      </w:r>
      <w:r w:rsidR="00A45FD9" w:rsidRPr="00904FCB">
        <w:rPr>
          <w:rFonts w:hint="eastAsia"/>
          <w:sz w:val="27"/>
          <w:rtl/>
        </w:rPr>
        <w:t>«</w:t>
      </w:r>
      <w:r w:rsidR="00A45FD9" w:rsidRPr="00904FCB">
        <w:rPr>
          <w:rFonts w:ascii="Arial" w:hAnsi="Arial"/>
          <w:sz w:val="27"/>
          <w:rtl/>
        </w:rPr>
        <w:t xml:space="preserve">بعض هؤلاء كانوا يواجهوننا ـ نحن القلائل المنتسبين إلى الإسلام </w:t>
      </w:r>
      <w:r w:rsidR="00A45FD9" w:rsidRPr="00904FCB">
        <w:rPr>
          <w:rFonts w:ascii="Arial" w:hAnsi="Arial"/>
          <w:sz w:val="27"/>
          <w:rtl/>
        </w:rPr>
        <w:lastRenderedPageBreak/>
        <w:t>ـ في أميركا ـ في السنوات التي قضيت</w:t>
      </w:r>
      <w:r w:rsidR="00D60784" w:rsidRPr="00904FCB">
        <w:rPr>
          <w:rFonts w:ascii="Arial" w:hAnsi="Arial" w:hint="cs"/>
          <w:sz w:val="27"/>
          <w:rtl/>
        </w:rPr>
        <w:t>ُ</w:t>
      </w:r>
      <w:r w:rsidR="00A45FD9" w:rsidRPr="00904FCB">
        <w:rPr>
          <w:rFonts w:ascii="Arial" w:hAnsi="Arial"/>
          <w:sz w:val="27"/>
          <w:rtl/>
        </w:rPr>
        <w:t>ها هناك ـ</w:t>
      </w:r>
      <w:r w:rsidR="00D60784" w:rsidRPr="00904FCB">
        <w:rPr>
          <w:rFonts w:ascii="Arial" w:hAnsi="Arial" w:hint="cs"/>
          <w:sz w:val="27"/>
          <w:rtl/>
        </w:rPr>
        <w:t>.</w:t>
      </w:r>
      <w:r w:rsidR="00A45FD9" w:rsidRPr="00904FCB">
        <w:rPr>
          <w:rFonts w:ascii="Arial" w:hAnsi="Arial"/>
          <w:sz w:val="27"/>
          <w:rtl/>
        </w:rPr>
        <w:t xml:space="preserve"> وكان بعضنا يت</w:t>
      </w:r>
      <w:r w:rsidR="00D60784" w:rsidRPr="00904FCB">
        <w:rPr>
          <w:rFonts w:ascii="Arial" w:hAnsi="Arial" w:hint="cs"/>
          <w:sz w:val="27"/>
          <w:rtl/>
        </w:rPr>
        <w:t>ّ</w:t>
      </w:r>
      <w:r w:rsidR="00A45FD9" w:rsidRPr="00904FCB">
        <w:rPr>
          <w:rFonts w:ascii="Arial" w:hAnsi="Arial"/>
          <w:sz w:val="27"/>
          <w:rtl/>
        </w:rPr>
        <w:t>خذ موقف الدفاع والتبرير... وكنت</w:t>
      </w:r>
      <w:r w:rsidR="00D60784" w:rsidRPr="00904FCB">
        <w:rPr>
          <w:rFonts w:ascii="Arial" w:hAnsi="Arial" w:hint="cs"/>
          <w:sz w:val="27"/>
          <w:rtl/>
        </w:rPr>
        <w:t>ُ</w:t>
      </w:r>
      <w:r w:rsidR="00A45FD9" w:rsidRPr="00904FCB">
        <w:rPr>
          <w:rFonts w:ascii="Arial" w:hAnsi="Arial"/>
          <w:sz w:val="27"/>
          <w:rtl/>
        </w:rPr>
        <w:t xml:space="preserve"> على العكس أت</w:t>
      </w:r>
      <w:r w:rsidR="00D60784" w:rsidRPr="00904FCB">
        <w:rPr>
          <w:rFonts w:ascii="Arial" w:hAnsi="Arial" w:hint="cs"/>
          <w:sz w:val="27"/>
          <w:rtl/>
        </w:rPr>
        <w:t>َّ</w:t>
      </w:r>
      <w:r w:rsidR="00A45FD9" w:rsidRPr="00904FCB">
        <w:rPr>
          <w:rFonts w:ascii="Arial" w:hAnsi="Arial"/>
          <w:sz w:val="27"/>
          <w:rtl/>
        </w:rPr>
        <w:t>خذ موقف المهاجم للجاهلية الغربية..</w:t>
      </w:r>
      <w:r w:rsidR="00D60784" w:rsidRPr="00904FCB">
        <w:rPr>
          <w:rFonts w:ascii="Arial" w:hAnsi="Arial" w:hint="cs"/>
          <w:sz w:val="27"/>
          <w:rtl/>
        </w:rPr>
        <w:t>.،</w:t>
      </w:r>
      <w:r w:rsidR="00A45FD9" w:rsidRPr="00904FCB">
        <w:rPr>
          <w:rFonts w:ascii="Arial" w:hAnsi="Arial"/>
          <w:sz w:val="27"/>
          <w:rtl/>
        </w:rPr>
        <w:t xml:space="preserve"> سواء في معتقداتها الدينية المهلهلة، أو في أوضاعها الاجتماعية والاقتصادية والأخلاقية المؤذية... وكانت هذه حقائق نواجهها في واقع الحياة الغربية... وهي حقائق كانت تخجل أصحابها حين تعرض في ضوء الإسلام...</w:t>
      </w:r>
      <w:r w:rsidR="00A45FD9" w:rsidRPr="00904FCB">
        <w:rPr>
          <w:rFonts w:hint="eastAsia"/>
          <w:sz w:val="27"/>
          <w:rtl/>
        </w:rPr>
        <w:t>»</w:t>
      </w:r>
      <w:r w:rsidR="00A45FD9" w:rsidRPr="00904FCB">
        <w:rPr>
          <w:sz w:val="27"/>
          <w:vertAlign w:val="superscript"/>
          <w:rtl/>
        </w:rPr>
        <w:t>(</w:t>
      </w:r>
      <w:r w:rsidR="00A45FD9" w:rsidRPr="00904FCB">
        <w:rPr>
          <w:sz w:val="27"/>
          <w:vertAlign w:val="superscript"/>
          <w:rtl/>
        </w:rPr>
        <w:endnoteReference w:id="116"/>
      </w:r>
      <w:r w:rsidR="00A45FD9" w:rsidRPr="00904FCB">
        <w:rPr>
          <w:sz w:val="27"/>
          <w:vertAlign w:val="superscript"/>
          <w:rtl/>
        </w:rPr>
        <w:t>)</w:t>
      </w:r>
      <w:r w:rsidR="00A45FD9" w:rsidRPr="00904FCB">
        <w:rPr>
          <w:rFonts w:ascii="Arial" w:hAnsi="Arial"/>
          <w:sz w:val="27"/>
          <w:rtl/>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rPr>
        <w:t>لقد وجد سي</w:t>
      </w:r>
      <w:r w:rsidR="00D60784" w:rsidRPr="00904FCB">
        <w:rPr>
          <w:rFonts w:ascii="Arial" w:hAnsi="Arial" w:hint="cs"/>
          <w:sz w:val="27"/>
          <w:rtl/>
        </w:rPr>
        <w:t>ّ</w:t>
      </w:r>
      <w:r w:rsidRPr="00904FCB">
        <w:rPr>
          <w:rFonts w:ascii="Arial" w:hAnsi="Arial"/>
          <w:sz w:val="27"/>
          <w:rtl/>
        </w:rPr>
        <w:t>د قطب ضال</w:t>
      </w:r>
      <w:r w:rsidR="00D60784" w:rsidRPr="00904FCB">
        <w:rPr>
          <w:rFonts w:ascii="Arial" w:hAnsi="Arial" w:hint="cs"/>
          <w:sz w:val="27"/>
          <w:rtl/>
        </w:rPr>
        <w:t>ّ</w:t>
      </w:r>
      <w:r w:rsidRPr="00904FCB">
        <w:rPr>
          <w:rFonts w:ascii="Arial" w:hAnsi="Arial"/>
          <w:sz w:val="27"/>
          <w:rtl/>
        </w:rPr>
        <w:t>ته في الدراسات الاجتماعية المستندة إلى القرآن الكريم</w:t>
      </w:r>
      <w:r w:rsidR="00D60784" w:rsidRPr="00904FCB">
        <w:rPr>
          <w:rFonts w:ascii="Arial" w:hAnsi="Arial" w:hint="cs"/>
          <w:sz w:val="27"/>
          <w:rtl/>
        </w:rPr>
        <w:t>،</w:t>
      </w:r>
      <w:r w:rsidRPr="00904FCB">
        <w:rPr>
          <w:rFonts w:ascii="Arial" w:hAnsi="Arial"/>
          <w:sz w:val="27"/>
          <w:rtl/>
        </w:rPr>
        <w:t xml:space="preserve"> حيث اتجه إليها </w:t>
      </w:r>
      <w:r w:rsidRPr="00904FCB">
        <w:rPr>
          <w:rFonts w:hint="eastAsia"/>
          <w:sz w:val="27"/>
          <w:rtl/>
        </w:rPr>
        <w:t>«</w:t>
      </w:r>
      <w:r w:rsidRPr="00904FCB">
        <w:rPr>
          <w:rFonts w:ascii="Arial" w:hAnsi="Arial"/>
          <w:sz w:val="27"/>
          <w:rtl/>
        </w:rPr>
        <w:t>بعد فترة الضياع الفكري والصراع النفسي بين التيارات الثقافية الغربية</w:t>
      </w:r>
      <w:r w:rsidR="00D60784" w:rsidRPr="00904FCB">
        <w:rPr>
          <w:rFonts w:ascii="Arial" w:hAnsi="Arial" w:hint="cs"/>
          <w:sz w:val="27"/>
          <w:rtl/>
        </w:rPr>
        <w:t>.</w:t>
      </w:r>
      <w:r w:rsidRPr="00904FCB">
        <w:rPr>
          <w:rFonts w:ascii="Arial" w:hAnsi="Arial"/>
          <w:sz w:val="27"/>
          <w:rtl/>
        </w:rPr>
        <w:t xml:space="preserve"> ويصف قطب هذه الحالة بأنها اعتر</w:t>
      </w:r>
      <w:r w:rsidR="00D60784" w:rsidRPr="00904FCB">
        <w:rPr>
          <w:rFonts w:ascii="Arial" w:hAnsi="Arial" w:hint="cs"/>
          <w:sz w:val="27"/>
          <w:rtl/>
        </w:rPr>
        <w:t>َ</w:t>
      </w:r>
      <w:r w:rsidRPr="00904FCB">
        <w:rPr>
          <w:rFonts w:ascii="Arial" w:hAnsi="Arial"/>
          <w:sz w:val="27"/>
          <w:rtl/>
        </w:rPr>
        <w:t>ت</w:t>
      </w:r>
      <w:r w:rsidR="00D60784" w:rsidRPr="00904FCB">
        <w:rPr>
          <w:rFonts w:ascii="Arial" w:hAnsi="Arial" w:hint="cs"/>
          <w:sz w:val="27"/>
          <w:rtl/>
        </w:rPr>
        <w:t>ْ</w:t>
      </w:r>
      <w:r w:rsidRPr="00904FCB">
        <w:rPr>
          <w:rFonts w:ascii="Arial" w:hAnsi="Arial"/>
          <w:sz w:val="27"/>
          <w:rtl/>
        </w:rPr>
        <w:t xml:space="preserve"> معظم أبناء الوطن</w:t>
      </w:r>
      <w:r w:rsidR="00D60784" w:rsidRPr="00904FCB">
        <w:rPr>
          <w:rFonts w:ascii="Arial" w:hAnsi="Arial" w:hint="cs"/>
          <w:sz w:val="27"/>
          <w:rtl/>
        </w:rPr>
        <w:t>؛</w:t>
      </w:r>
      <w:r w:rsidRPr="00904FCB">
        <w:rPr>
          <w:rFonts w:ascii="Arial" w:hAnsi="Arial"/>
          <w:sz w:val="27"/>
          <w:rtl/>
        </w:rPr>
        <w:t xml:space="preserve"> نتيجة للغزو الأوروبي المطلق. ولكن</w:t>
      </w:r>
      <w:r w:rsidR="00D60784" w:rsidRPr="00904FCB">
        <w:rPr>
          <w:rFonts w:ascii="Arial" w:hAnsi="Arial" w:hint="cs"/>
          <w:sz w:val="27"/>
          <w:rtl/>
        </w:rPr>
        <w:t>ّ</w:t>
      </w:r>
      <w:r w:rsidRPr="00904FCB">
        <w:rPr>
          <w:rFonts w:ascii="Arial" w:hAnsi="Arial"/>
          <w:sz w:val="27"/>
          <w:rtl/>
        </w:rPr>
        <w:t xml:space="preserve"> المرور بها مك</w:t>
      </w:r>
      <w:r w:rsidR="00D60784" w:rsidRPr="00904FCB">
        <w:rPr>
          <w:rFonts w:ascii="Arial" w:hAnsi="Arial" w:hint="cs"/>
          <w:sz w:val="27"/>
          <w:rtl/>
        </w:rPr>
        <w:t>َّ</w:t>
      </w:r>
      <w:r w:rsidRPr="00904FCB">
        <w:rPr>
          <w:rFonts w:ascii="Arial" w:hAnsi="Arial"/>
          <w:sz w:val="27"/>
          <w:rtl/>
        </w:rPr>
        <w:t>نه من رفض النظريات الاجتماعية الغربية، بل إنه رفض أن يستمد</w:t>
      </w:r>
      <w:r w:rsidR="00D60784" w:rsidRPr="00904FCB">
        <w:rPr>
          <w:rFonts w:ascii="Arial" w:hAnsi="Arial" w:hint="cs"/>
          <w:sz w:val="27"/>
          <w:rtl/>
        </w:rPr>
        <w:t>ّ</w:t>
      </w:r>
      <w:r w:rsidRPr="00904FCB">
        <w:rPr>
          <w:rFonts w:ascii="Arial" w:hAnsi="Arial"/>
          <w:sz w:val="27"/>
          <w:rtl/>
        </w:rPr>
        <w:t xml:space="preserve"> التصو</w:t>
      </w:r>
      <w:r w:rsidR="00D60784" w:rsidRPr="00904FCB">
        <w:rPr>
          <w:rFonts w:ascii="Arial" w:hAnsi="Arial" w:hint="cs"/>
          <w:sz w:val="27"/>
          <w:rtl/>
        </w:rPr>
        <w:t>ُّ</w:t>
      </w:r>
      <w:r w:rsidRPr="00904FCB">
        <w:rPr>
          <w:rFonts w:ascii="Arial" w:hAnsi="Arial"/>
          <w:sz w:val="27"/>
          <w:rtl/>
        </w:rPr>
        <w:t>ر الإسلامي المتكامل عن الألوهية والكون والحياة والإنسان من ابن سينا وابن رشد والفارابي وغيرهم</w:t>
      </w:r>
      <w:r w:rsidR="00D60784" w:rsidRPr="00904FCB">
        <w:rPr>
          <w:rFonts w:ascii="Arial" w:hAnsi="Arial" w:hint="cs"/>
          <w:sz w:val="27"/>
          <w:rtl/>
        </w:rPr>
        <w:t>؛</w:t>
      </w:r>
      <w:r w:rsidRPr="00904FCB">
        <w:rPr>
          <w:rFonts w:ascii="Arial" w:hAnsi="Arial"/>
          <w:sz w:val="27"/>
          <w:rtl/>
        </w:rPr>
        <w:t xml:space="preserve"> لأن فلسفتهم </w:t>
      </w:r>
      <w:r w:rsidR="00D60784" w:rsidRPr="00904FCB">
        <w:rPr>
          <w:rFonts w:ascii="Arial" w:hAnsi="Arial" w:hint="cs"/>
          <w:sz w:val="27"/>
          <w:rtl/>
        </w:rPr>
        <w:t>ـ</w:t>
      </w:r>
      <w:r w:rsidRPr="00904FCB">
        <w:rPr>
          <w:rFonts w:ascii="Arial" w:hAnsi="Arial"/>
          <w:sz w:val="27"/>
          <w:rtl/>
        </w:rPr>
        <w:t xml:space="preserve"> في رأيه </w:t>
      </w:r>
      <w:r w:rsidRPr="00904FCB">
        <w:rPr>
          <w:rFonts w:ascii="Arial" w:hAnsi="Arial" w:hint="cs"/>
          <w:sz w:val="27"/>
          <w:rtl/>
        </w:rPr>
        <w:t>ـ</w:t>
      </w:r>
      <w:r w:rsidRPr="00904FCB">
        <w:rPr>
          <w:rFonts w:ascii="Arial" w:hAnsi="Arial"/>
          <w:sz w:val="27"/>
          <w:rtl/>
        </w:rPr>
        <w:t xml:space="preserve"> ظلال للفلسفة الإغريقية</w:t>
      </w:r>
      <w:r w:rsidRPr="00904FCB">
        <w:rPr>
          <w:rFonts w:hint="eastAsia"/>
          <w:sz w:val="27"/>
          <w:rtl/>
        </w:rPr>
        <w:t>»</w:t>
      </w:r>
      <w:r w:rsidRPr="00904FCB">
        <w:rPr>
          <w:sz w:val="27"/>
          <w:vertAlign w:val="superscript"/>
          <w:rtl/>
        </w:rPr>
        <w:t>(</w:t>
      </w:r>
      <w:r w:rsidRPr="00904FCB">
        <w:rPr>
          <w:sz w:val="27"/>
          <w:vertAlign w:val="superscript"/>
          <w:rtl/>
        </w:rPr>
        <w:endnoteReference w:id="117"/>
      </w:r>
      <w:r w:rsidRPr="00904FCB">
        <w:rPr>
          <w:sz w:val="27"/>
          <w:vertAlign w:val="superscript"/>
          <w:rtl/>
        </w:rPr>
        <w:t>)</w:t>
      </w:r>
      <w:r w:rsidRPr="00904FCB">
        <w:rPr>
          <w:rFonts w:ascii="Arial" w:hAnsi="Arial"/>
          <w:sz w:val="27"/>
          <w:rtl/>
        </w:rPr>
        <w:t xml:space="preserve">. </w:t>
      </w:r>
    </w:p>
    <w:p w:rsidR="00A45FD9" w:rsidRPr="00904FCB" w:rsidRDefault="00D60784" w:rsidP="007A21AA">
      <w:pPr>
        <w:spacing w:line="400" w:lineRule="exact"/>
        <w:rPr>
          <w:rFonts w:ascii="Arial" w:hAnsi="Arial"/>
          <w:sz w:val="27"/>
          <w:rtl/>
        </w:rPr>
      </w:pPr>
      <w:r w:rsidRPr="00904FCB">
        <w:rPr>
          <w:rFonts w:ascii="Arial" w:hAnsi="Arial" w:hint="cs"/>
          <w:sz w:val="27"/>
          <w:rtl/>
        </w:rPr>
        <w:t>إ</w:t>
      </w:r>
      <w:r w:rsidR="00A45FD9" w:rsidRPr="00904FCB">
        <w:rPr>
          <w:rFonts w:ascii="Arial" w:hAnsi="Arial"/>
          <w:sz w:val="27"/>
          <w:rtl/>
        </w:rPr>
        <w:t>لا</w:t>
      </w:r>
      <w:r w:rsidRPr="00904FCB">
        <w:rPr>
          <w:rFonts w:ascii="Arial" w:hAnsi="Arial" w:hint="cs"/>
          <w:sz w:val="27"/>
          <w:rtl/>
        </w:rPr>
        <w:t>ّ</w:t>
      </w:r>
      <w:r w:rsidR="00A45FD9" w:rsidRPr="00904FCB">
        <w:rPr>
          <w:rFonts w:ascii="Arial" w:hAnsi="Arial"/>
          <w:sz w:val="27"/>
          <w:rtl/>
        </w:rPr>
        <w:t xml:space="preserve"> أن قطب ات</w:t>
      </w:r>
      <w:r w:rsidRPr="00904FCB">
        <w:rPr>
          <w:rFonts w:ascii="Arial" w:hAnsi="Arial" w:hint="cs"/>
          <w:sz w:val="27"/>
          <w:rtl/>
        </w:rPr>
        <w:t>َّ</w:t>
      </w:r>
      <w:r w:rsidR="00A45FD9" w:rsidRPr="00904FCB">
        <w:rPr>
          <w:rFonts w:ascii="Arial" w:hAnsi="Arial"/>
          <w:sz w:val="27"/>
          <w:rtl/>
        </w:rPr>
        <w:t>جه نحو الفكر الس</w:t>
      </w:r>
      <w:r w:rsidRPr="00904FCB">
        <w:rPr>
          <w:rFonts w:ascii="Arial" w:hAnsi="Arial" w:hint="cs"/>
          <w:sz w:val="27"/>
          <w:rtl/>
        </w:rPr>
        <w:t>َّ</w:t>
      </w:r>
      <w:r w:rsidR="00A45FD9" w:rsidRPr="00904FCB">
        <w:rPr>
          <w:rFonts w:ascii="Arial" w:hAnsi="Arial"/>
          <w:sz w:val="27"/>
          <w:rtl/>
        </w:rPr>
        <w:t>ل</w:t>
      </w:r>
      <w:r w:rsidRPr="00904FCB">
        <w:rPr>
          <w:rFonts w:ascii="Arial" w:hAnsi="Arial" w:hint="cs"/>
          <w:sz w:val="27"/>
          <w:rtl/>
        </w:rPr>
        <w:t>َ</w:t>
      </w:r>
      <w:r w:rsidR="00A45FD9" w:rsidRPr="00904FCB">
        <w:rPr>
          <w:rFonts w:ascii="Arial" w:hAnsi="Arial"/>
          <w:sz w:val="27"/>
          <w:rtl/>
        </w:rPr>
        <w:t>في الوه</w:t>
      </w:r>
      <w:r w:rsidRPr="00904FCB">
        <w:rPr>
          <w:rFonts w:ascii="Arial" w:hAnsi="Arial" w:hint="cs"/>
          <w:sz w:val="27"/>
          <w:rtl/>
        </w:rPr>
        <w:t>ّ</w:t>
      </w:r>
      <w:r w:rsidR="00A45FD9" w:rsidRPr="00904FCB">
        <w:rPr>
          <w:rFonts w:ascii="Arial" w:hAnsi="Arial"/>
          <w:sz w:val="27"/>
          <w:rtl/>
        </w:rPr>
        <w:t>ابي</w:t>
      </w:r>
      <w:r w:rsidRPr="00904FCB">
        <w:rPr>
          <w:rFonts w:ascii="Arial" w:hAnsi="Arial" w:hint="cs"/>
          <w:sz w:val="27"/>
          <w:rtl/>
        </w:rPr>
        <w:t>،</w:t>
      </w:r>
      <w:r w:rsidR="00A45FD9" w:rsidRPr="00904FCB">
        <w:rPr>
          <w:rFonts w:ascii="Arial" w:hAnsi="Arial"/>
          <w:sz w:val="27"/>
          <w:rtl/>
        </w:rPr>
        <w:t xml:space="preserve"> مستلهماً منه بعض مضامينه المتشد</w:t>
      </w:r>
      <w:r w:rsidRPr="00904FCB">
        <w:rPr>
          <w:rFonts w:ascii="Arial" w:hAnsi="Arial" w:hint="cs"/>
          <w:sz w:val="27"/>
          <w:rtl/>
        </w:rPr>
        <w:t>ِّ</w:t>
      </w:r>
      <w:r w:rsidR="00A45FD9" w:rsidRPr="00904FCB">
        <w:rPr>
          <w:rFonts w:ascii="Arial" w:hAnsi="Arial"/>
          <w:sz w:val="27"/>
          <w:rtl/>
        </w:rPr>
        <w:t xml:space="preserve">دة في النواحي الفكرية، خصوصاً </w:t>
      </w:r>
      <w:r w:rsidR="00A45FD9" w:rsidRPr="00904FCB">
        <w:rPr>
          <w:rFonts w:hint="eastAsia"/>
          <w:sz w:val="27"/>
          <w:rtl/>
        </w:rPr>
        <w:t>«</w:t>
      </w:r>
      <w:r w:rsidR="00A45FD9" w:rsidRPr="00904FCB">
        <w:rPr>
          <w:rFonts w:ascii="Arial" w:hAnsi="Arial"/>
          <w:sz w:val="27"/>
          <w:rtl/>
        </w:rPr>
        <w:t>مفهوم الولاء والبراء</w:t>
      </w:r>
      <w:r w:rsidRPr="00904FCB">
        <w:rPr>
          <w:rFonts w:ascii="Arial" w:hAnsi="Arial" w:hint="cs"/>
          <w:sz w:val="27"/>
          <w:rtl/>
        </w:rPr>
        <w:t>.</w:t>
      </w:r>
      <w:r w:rsidR="00A45FD9" w:rsidRPr="00904FCB">
        <w:rPr>
          <w:rFonts w:ascii="Arial" w:hAnsi="Arial"/>
          <w:sz w:val="27"/>
          <w:rtl/>
        </w:rPr>
        <w:t xml:space="preserve"> واستحضر بعض فتاوى ابن تيمية وابن القي</w:t>
      </w:r>
      <w:r w:rsidRPr="00904FCB">
        <w:rPr>
          <w:rFonts w:ascii="Arial" w:hAnsi="Arial" w:hint="cs"/>
          <w:sz w:val="27"/>
          <w:rtl/>
        </w:rPr>
        <w:t>ِّ</w:t>
      </w:r>
      <w:r w:rsidR="00A45FD9" w:rsidRPr="00904FCB">
        <w:rPr>
          <w:rFonts w:ascii="Arial" w:hAnsi="Arial"/>
          <w:sz w:val="27"/>
          <w:rtl/>
        </w:rPr>
        <w:t>م الجوزية، و</w:t>
      </w:r>
      <w:r w:rsidRPr="00904FCB">
        <w:rPr>
          <w:rFonts w:ascii="Arial" w:hAnsi="Arial" w:hint="cs"/>
          <w:sz w:val="27"/>
          <w:rtl/>
        </w:rPr>
        <w:t>أ</w:t>
      </w:r>
      <w:r w:rsidR="00A45FD9" w:rsidRPr="00904FCB">
        <w:rPr>
          <w:rFonts w:ascii="Arial" w:hAnsi="Arial"/>
          <w:sz w:val="27"/>
          <w:rtl/>
        </w:rPr>
        <w:t xml:space="preserve">ضاف </w:t>
      </w:r>
      <w:r w:rsidRPr="00904FCB">
        <w:rPr>
          <w:rFonts w:ascii="Arial" w:hAnsi="Arial" w:hint="cs"/>
          <w:sz w:val="27"/>
          <w:rtl/>
        </w:rPr>
        <w:t>إ</w:t>
      </w:r>
      <w:r w:rsidR="00A45FD9" w:rsidRPr="00904FCB">
        <w:rPr>
          <w:rFonts w:ascii="Arial" w:hAnsi="Arial"/>
          <w:sz w:val="27"/>
          <w:rtl/>
        </w:rPr>
        <w:t>ليها بعض المفاهيم التي رو</w:t>
      </w:r>
      <w:r w:rsidRPr="00904FCB">
        <w:rPr>
          <w:rFonts w:ascii="Arial" w:hAnsi="Arial" w:hint="cs"/>
          <w:sz w:val="27"/>
          <w:rtl/>
        </w:rPr>
        <w:t>َّ</w:t>
      </w:r>
      <w:r w:rsidR="00A45FD9" w:rsidRPr="00904FCB">
        <w:rPr>
          <w:rFonts w:ascii="Arial" w:hAnsi="Arial"/>
          <w:sz w:val="27"/>
          <w:rtl/>
        </w:rPr>
        <w:t xml:space="preserve">ج لها </w:t>
      </w:r>
      <w:r w:rsidRPr="00904FCB">
        <w:rPr>
          <w:rFonts w:ascii="Arial" w:hAnsi="Arial" w:hint="cs"/>
          <w:sz w:val="27"/>
          <w:rtl/>
        </w:rPr>
        <w:t>أ</w:t>
      </w:r>
      <w:r w:rsidR="00A45FD9" w:rsidRPr="00904FCB">
        <w:rPr>
          <w:rFonts w:ascii="Arial" w:hAnsi="Arial"/>
          <w:sz w:val="27"/>
          <w:rtl/>
        </w:rPr>
        <w:t>بو الأعلى المودودي، مثل</w:t>
      </w:r>
      <w:r w:rsidRPr="00904FCB">
        <w:rPr>
          <w:rFonts w:ascii="Arial" w:hAnsi="Arial" w:hint="cs"/>
          <w:sz w:val="27"/>
          <w:rtl/>
        </w:rPr>
        <w:t>:</w:t>
      </w:r>
      <w:r w:rsidR="00A45FD9" w:rsidRPr="00904FCB">
        <w:rPr>
          <w:rFonts w:ascii="Arial" w:hAnsi="Arial"/>
          <w:sz w:val="27"/>
          <w:rtl/>
        </w:rPr>
        <w:t xml:space="preserve"> جاهلية المجتمعات</w:t>
      </w:r>
      <w:r w:rsidRPr="00904FCB">
        <w:rPr>
          <w:rFonts w:ascii="Arial" w:hAnsi="Arial" w:hint="cs"/>
          <w:sz w:val="27"/>
          <w:rtl/>
        </w:rPr>
        <w:t>،</w:t>
      </w:r>
      <w:r w:rsidR="00A45FD9" w:rsidRPr="00904FCB">
        <w:rPr>
          <w:rFonts w:ascii="Arial" w:hAnsi="Arial"/>
          <w:sz w:val="27"/>
          <w:rtl/>
        </w:rPr>
        <w:t xml:space="preserve"> وحاكمية الله</w:t>
      </w:r>
      <w:r w:rsidRPr="00904FCB">
        <w:rPr>
          <w:rFonts w:ascii="Arial" w:hAnsi="Arial" w:hint="cs"/>
          <w:sz w:val="27"/>
          <w:rtl/>
        </w:rPr>
        <w:t>،</w:t>
      </w:r>
      <w:r w:rsidR="00A45FD9" w:rsidRPr="00904FCB">
        <w:rPr>
          <w:rFonts w:ascii="Arial" w:hAnsi="Arial"/>
          <w:sz w:val="27"/>
          <w:rtl/>
        </w:rPr>
        <w:t xml:space="preserve"> </w:t>
      </w:r>
      <w:r w:rsidRPr="00904FCB">
        <w:rPr>
          <w:rFonts w:ascii="Arial" w:hAnsi="Arial" w:hint="cs"/>
          <w:sz w:val="27"/>
          <w:rtl/>
        </w:rPr>
        <w:t>و</w:t>
      </w:r>
      <w:r w:rsidR="00A45FD9" w:rsidRPr="00904FCB">
        <w:rPr>
          <w:rFonts w:ascii="Arial" w:hAnsi="Arial"/>
          <w:sz w:val="27"/>
          <w:rtl/>
        </w:rPr>
        <w:t xml:space="preserve">عمل على تأصيلها في الفكر الإخواني، وقام بنشر أفكار المودودي في العالم العربي، بعد </w:t>
      </w:r>
      <w:r w:rsidRPr="00904FCB">
        <w:rPr>
          <w:rFonts w:ascii="Arial" w:hAnsi="Arial" w:hint="cs"/>
          <w:sz w:val="27"/>
          <w:rtl/>
        </w:rPr>
        <w:t>أ</w:t>
      </w:r>
      <w:r w:rsidR="00A45FD9" w:rsidRPr="00904FCB">
        <w:rPr>
          <w:rFonts w:ascii="Arial" w:hAnsi="Arial"/>
          <w:sz w:val="27"/>
          <w:rtl/>
        </w:rPr>
        <w:t>ن ترجم له كتاب (ماذا خسر العالم بتخل</w:t>
      </w:r>
      <w:r w:rsidRPr="00904FCB">
        <w:rPr>
          <w:rFonts w:ascii="Arial" w:hAnsi="Arial" w:hint="cs"/>
          <w:sz w:val="27"/>
          <w:rtl/>
        </w:rPr>
        <w:t>ُّ</w:t>
      </w:r>
      <w:r w:rsidR="00A45FD9" w:rsidRPr="00904FCB">
        <w:rPr>
          <w:rFonts w:ascii="Arial" w:hAnsi="Arial"/>
          <w:sz w:val="27"/>
          <w:rtl/>
        </w:rPr>
        <w:t>ف المسلمين؟)</w:t>
      </w:r>
      <w:r w:rsidRPr="00904FCB">
        <w:rPr>
          <w:rFonts w:ascii="Arial" w:hAnsi="Arial" w:hint="cs"/>
          <w:sz w:val="27"/>
          <w:rtl/>
        </w:rPr>
        <w:t>،</w:t>
      </w:r>
      <w:r w:rsidR="00A45FD9" w:rsidRPr="00904FCB">
        <w:rPr>
          <w:rFonts w:ascii="Arial" w:hAnsi="Arial"/>
          <w:sz w:val="27"/>
          <w:rtl/>
        </w:rPr>
        <w:t xml:space="preserve"> ودعا إلى الرجوع إلى الله، الذي له صورة</w:t>
      </w:r>
      <w:r w:rsidRPr="00904FCB">
        <w:rPr>
          <w:rFonts w:ascii="Arial" w:hAnsi="Arial" w:hint="cs"/>
          <w:sz w:val="27"/>
          <w:rtl/>
        </w:rPr>
        <w:t>ٌ</w:t>
      </w:r>
      <w:r w:rsidR="00A45FD9" w:rsidRPr="00904FCB">
        <w:rPr>
          <w:rFonts w:ascii="Arial" w:hAnsi="Arial"/>
          <w:sz w:val="27"/>
          <w:rtl/>
        </w:rPr>
        <w:t xml:space="preserve"> واحدة</w:t>
      </w:r>
      <w:r w:rsidR="00A45FD9" w:rsidRPr="00904FCB">
        <w:rPr>
          <w:rFonts w:hint="eastAsia"/>
          <w:sz w:val="27"/>
          <w:rtl/>
        </w:rPr>
        <w:t>»</w:t>
      </w:r>
      <w:r w:rsidR="00A45FD9" w:rsidRPr="00904FCB">
        <w:rPr>
          <w:sz w:val="27"/>
          <w:vertAlign w:val="superscript"/>
          <w:rtl/>
        </w:rPr>
        <w:t>(</w:t>
      </w:r>
      <w:r w:rsidR="00A45FD9" w:rsidRPr="00904FCB">
        <w:rPr>
          <w:sz w:val="27"/>
          <w:vertAlign w:val="superscript"/>
          <w:rtl/>
        </w:rPr>
        <w:endnoteReference w:id="118"/>
      </w:r>
      <w:r w:rsidR="00A45FD9" w:rsidRPr="00904FCB">
        <w:rPr>
          <w:sz w:val="27"/>
          <w:vertAlign w:val="superscript"/>
          <w:rtl/>
        </w:rPr>
        <w:t>)</w:t>
      </w:r>
      <w:r w:rsidR="00A45FD9" w:rsidRPr="00904FCB">
        <w:rPr>
          <w:rFonts w:ascii="Arial" w:hAnsi="Arial"/>
          <w:sz w:val="27"/>
          <w:rtl/>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rPr>
        <w:t>ورأى سي</w:t>
      </w:r>
      <w:r w:rsidR="00D60784" w:rsidRPr="00904FCB">
        <w:rPr>
          <w:rFonts w:ascii="Arial" w:hAnsi="Arial" w:hint="cs"/>
          <w:sz w:val="27"/>
          <w:rtl/>
        </w:rPr>
        <w:t>ّ</w:t>
      </w:r>
      <w:r w:rsidRPr="00904FCB">
        <w:rPr>
          <w:rFonts w:ascii="Arial" w:hAnsi="Arial"/>
          <w:sz w:val="27"/>
          <w:rtl/>
        </w:rPr>
        <w:t>د قطب أن الشعب الأميركي يدفع ثمن المادية</w:t>
      </w:r>
      <w:r w:rsidR="00D60784" w:rsidRPr="00904FCB">
        <w:rPr>
          <w:rFonts w:ascii="Arial" w:hAnsi="Arial" w:hint="cs"/>
          <w:sz w:val="27"/>
          <w:rtl/>
        </w:rPr>
        <w:t>،</w:t>
      </w:r>
      <w:r w:rsidRPr="00904FCB">
        <w:rPr>
          <w:rFonts w:ascii="Arial" w:hAnsi="Arial"/>
          <w:sz w:val="27"/>
          <w:rtl/>
        </w:rPr>
        <w:t xml:space="preserve"> وأنه يعيش عقوبة الفطرة</w:t>
      </w:r>
      <w:r w:rsidR="00D60784" w:rsidRPr="00904FCB">
        <w:rPr>
          <w:rFonts w:ascii="Arial" w:hAnsi="Arial" w:hint="cs"/>
          <w:sz w:val="27"/>
          <w:rtl/>
        </w:rPr>
        <w:t>.</w:t>
      </w:r>
      <w:r w:rsidRPr="00904FCB">
        <w:rPr>
          <w:rFonts w:ascii="Arial" w:hAnsi="Arial"/>
          <w:sz w:val="27"/>
          <w:rtl/>
        </w:rPr>
        <w:t xml:space="preserve"> فاستخدم ذلك الواقع نموذجاً لكل</w:t>
      </w:r>
      <w:r w:rsidR="00D60784" w:rsidRPr="00904FCB">
        <w:rPr>
          <w:rFonts w:ascii="Arial" w:hAnsi="Arial" w:hint="cs"/>
          <w:sz w:val="27"/>
          <w:rtl/>
        </w:rPr>
        <w:t>ّ</w:t>
      </w:r>
      <w:r w:rsidRPr="00904FCB">
        <w:rPr>
          <w:rFonts w:ascii="Arial" w:hAnsi="Arial"/>
          <w:sz w:val="27"/>
          <w:rtl/>
        </w:rPr>
        <w:t xml:space="preserve"> م</w:t>
      </w:r>
      <w:r w:rsidR="00D60784" w:rsidRPr="00904FCB">
        <w:rPr>
          <w:rFonts w:ascii="Arial" w:hAnsi="Arial" w:hint="cs"/>
          <w:sz w:val="27"/>
          <w:rtl/>
        </w:rPr>
        <w:t>َ</w:t>
      </w:r>
      <w:r w:rsidRPr="00904FCB">
        <w:rPr>
          <w:rFonts w:ascii="Arial" w:hAnsi="Arial"/>
          <w:sz w:val="27"/>
          <w:rtl/>
        </w:rPr>
        <w:t>ن</w:t>
      </w:r>
      <w:r w:rsidR="00D60784" w:rsidRPr="00904FCB">
        <w:rPr>
          <w:rFonts w:ascii="Arial" w:hAnsi="Arial" w:hint="cs"/>
          <w:sz w:val="27"/>
          <w:rtl/>
        </w:rPr>
        <w:t>ْ</w:t>
      </w:r>
      <w:r w:rsidRPr="00904FCB">
        <w:rPr>
          <w:rFonts w:ascii="Arial" w:hAnsi="Arial"/>
          <w:sz w:val="27"/>
          <w:rtl/>
        </w:rPr>
        <w:t xml:space="preserve"> </w:t>
      </w:r>
      <w:r w:rsidRPr="00904FCB">
        <w:rPr>
          <w:rFonts w:ascii="Arial" w:hAnsi="Arial"/>
          <w:sz w:val="27"/>
          <w:rtl/>
          <w:lang w:bidi="ar-LB"/>
        </w:rPr>
        <w:t>خ</w:t>
      </w:r>
      <w:r w:rsidRPr="00904FCB">
        <w:rPr>
          <w:rFonts w:ascii="Arial" w:hAnsi="Arial"/>
          <w:sz w:val="27"/>
          <w:rtl/>
        </w:rPr>
        <w:t>رج عن منهج الله</w:t>
      </w:r>
      <w:r w:rsidR="00D60784" w:rsidRPr="00904FCB">
        <w:rPr>
          <w:rFonts w:ascii="Arial" w:hAnsi="Arial" w:hint="cs"/>
          <w:sz w:val="27"/>
          <w:rtl/>
        </w:rPr>
        <w:t>،</w:t>
      </w:r>
      <w:r w:rsidRPr="00904FCB">
        <w:rPr>
          <w:rFonts w:ascii="Arial" w:hAnsi="Arial"/>
          <w:sz w:val="27"/>
          <w:rtl/>
        </w:rPr>
        <w:t xml:space="preserve"> وات</w:t>
      </w:r>
      <w:r w:rsidR="00D60784" w:rsidRPr="00904FCB">
        <w:rPr>
          <w:rFonts w:ascii="Arial" w:hAnsi="Arial" w:hint="cs"/>
          <w:sz w:val="27"/>
          <w:rtl/>
        </w:rPr>
        <w:t>َّ</w:t>
      </w:r>
      <w:r w:rsidRPr="00904FCB">
        <w:rPr>
          <w:rFonts w:ascii="Arial" w:hAnsi="Arial"/>
          <w:sz w:val="27"/>
          <w:rtl/>
        </w:rPr>
        <w:t>بع هواه</w:t>
      </w:r>
      <w:r w:rsidR="00D60784" w:rsidRPr="00904FCB">
        <w:rPr>
          <w:rFonts w:ascii="Arial" w:hAnsi="Arial" w:hint="cs"/>
          <w:sz w:val="27"/>
          <w:rtl/>
        </w:rPr>
        <w:t>.</w:t>
      </w:r>
      <w:r w:rsidRPr="00904FCB">
        <w:rPr>
          <w:rFonts w:ascii="Arial" w:hAnsi="Arial"/>
          <w:sz w:val="27"/>
          <w:rtl/>
        </w:rPr>
        <w:t xml:space="preserve"> وصار يُحَذِّر الناس من هذا الطريق، ويبص</w:t>
      </w:r>
      <w:r w:rsidR="00D60784" w:rsidRPr="00904FCB">
        <w:rPr>
          <w:rFonts w:ascii="Arial" w:hAnsi="Arial" w:hint="cs"/>
          <w:sz w:val="27"/>
          <w:rtl/>
        </w:rPr>
        <w:t>ِّ</w:t>
      </w:r>
      <w:r w:rsidRPr="00904FCB">
        <w:rPr>
          <w:rFonts w:ascii="Arial" w:hAnsi="Arial"/>
          <w:sz w:val="27"/>
          <w:rtl/>
        </w:rPr>
        <w:t>رهم ببشاعة المصير</w:t>
      </w:r>
      <w:r w:rsidR="00D60784" w:rsidRPr="00904FCB">
        <w:rPr>
          <w:rFonts w:ascii="Arial" w:hAnsi="Arial" w:hint="cs"/>
          <w:sz w:val="27"/>
          <w:rtl/>
        </w:rPr>
        <w:t>،</w:t>
      </w:r>
      <w:r w:rsidRPr="00904FCB">
        <w:rPr>
          <w:rFonts w:ascii="Arial" w:hAnsi="Arial"/>
          <w:sz w:val="27"/>
          <w:rtl/>
        </w:rPr>
        <w:t xml:space="preserve"> ويقول</w:t>
      </w:r>
      <w:r w:rsidR="00D60784" w:rsidRPr="00904FCB">
        <w:rPr>
          <w:rFonts w:ascii="Arial" w:hAnsi="Arial" w:hint="cs"/>
          <w:sz w:val="27"/>
          <w:rtl/>
        </w:rPr>
        <w:t>:</w:t>
      </w:r>
      <w:r w:rsidRPr="00904FCB">
        <w:rPr>
          <w:rFonts w:ascii="Arial" w:hAnsi="Arial"/>
          <w:sz w:val="27"/>
          <w:rtl/>
        </w:rPr>
        <w:t xml:space="preserve"> إنه </w:t>
      </w:r>
      <w:r w:rsidRPr="00904FCB">
        <w:rPr>
          <w:rFonts w:hint="eastAsia"/>
          <w:sz w:val="27"/>
          <w:rtl/>
        </w:rPr>
        <w:t>«</w:t>
      </w:r>
      <w:r w:rsidRPr="00904FCB">
        <w:rPr>
          <w:rFonts w:ascii="Arial" w:hAnsi="Arial"/>
          <w:sz w:val="27"/>
          <w:rtl/>
        </w:rPr>
        <w:t>لا ب</w:t>
      </w:r>
      <w:r w:rsidR="00D60784" w:rsidRPr="00904FCB">
        <w:rPr>
          <w:rFonts w:ascii="Arial" w:hAnsi="Arial" w:hint="cs"/>
          <w:sz w:val="27"/>
          <w:rtl/>
        </w:rPr>
        <w:t>ُ</w:t>
      </w:r>
      <w:r w:rsidRPr="00904FCB">
        <w:rPr>
          <w:rFonts w:ascii="Arial" w:hAnsi="Arial"/>
          <w:sz w:val="27"/>
          <w:rtl/>
        </w:rPr>
        <w:t>د</w:t>
      </w:r>
      <w:r w:rsidR="00D60784" w:rsidRPr="00904FCB">
        <w:rPr>
          <w:rFonts w:ascii="Arial" w:hAnsi="Arial" w:hint="cs"/>
          <w:sz w:val="27"/>
          <w:rtl/>
        </w:rPr>
        <w:t>َّ</w:t>
      </w:r>
      <w:r w:rsidRPr="00904FCB">
        <w:rPr>
          <w:rFonts w:ascii="Arial" w:hAnsi="Arial"/>
          <w:sz w:val="27"/>
          <w:rtl/>
        </w:rPr>
        <w:t xml:space="preserve"> من قيادة للبشرية جديدة... إن قيادة الرجل الغربي للبشرية قد أوش</w:t>
      </w:r>
      <w:r w:rsidR="00D60784" w:rsidRPr="00904FCB">
        <w:rPr>
          <w:rFonts w:ascii="Arial" w:hAnsi="Arial" w:hint="cs"/>
          <w:sz w:val="27"/>
          <w:rtl/>
        </w:rPr>
        <w:t>َ</w:t>
      </w:r>
      <w:r w:rsidRPr="00904FCB">
        <w:rPr>
          <w:rFonts w:ascii="Arial" w:hAnsi="Arial"/>
          <w:sz w:val="27"/>
          <w:rtl/>
        </w:rPr>
        <w:t>ك</w:t>
      </w:r>
      <w:r w:rsidR="00D60784" w:rsidRPr="00904FCB">
        <w:rPr>
          <w:rFonts w:ascii="Arial" w:hAnsi="Arial" w:hint="cs"/>
          <w:sz w:val="27"/>
          <w:rtl/>
        </w:rPr>
        <w:t>َ</w:t>
      </w:r>
      <w:r w:rsidRPr="00904FCB">
        <w:rPr>
          <w:rFonts w:ascii="Arial" w:hAnsi="Arial"/>
          <w:sz w:val="27"/>
          <w:rtl/>
        </w:rPr>
        <w:t>ت</w:t>
      </w:r>
      <w:r w:rsidR="00D60784" w:rsidRPr="00904FCB">
        <w:rPr>
          <w:rFonts w:ascii="Arial" w:hAnsi="Arial" w:hint="cs"/>
          <w:sz w:val="27"/>
          <w:rtl/>
        </w:rPr>
        <w:t>ْ</w:t>
      </w:r>
      <w:r w:rsidRPr="00904FCB">
        <w:rPr>
          <w:rFonts w:ascii="Arial" w:hAnsi="Arial"/>
          <w:sz w:val="27"/>
          <w:rtl/>
        </w:rPr>
        <w:t xml:space="preserve"> على الزوال.. لا لأن الحضارة الغربية قد أفلس</w:t>
      </w:r>
      <w:r w:rsidR="00D60784" w:rsidRPr="00904FCB">
        <w:rPr>
          <w:rFonts w:ascii="Arial" w:hAnsi="Arial" w:hint="cs"/>
          <w:sz w:val="27"/>
          <w:rtl/>
        </w:rPr>
        <w:t>َ</w:t>
      </w:r>
      <w:r w:rsidRPr="00904FCB">
        <w:rPr>
          <w:rFonts w:ascii="Arial" w:hAnsi="Arial"/>
          <w:sz w:val="27"/>
          <w:rtl/>
        </w:rPr>
        <w:t>ت</w:t>
      </w:r>
      <w:r w:rsidR="00D60784" w:rsidRPr="00904FCB">
        <w:rPr>
          <w:rFonts w:ascii="Arial" w:hAnsi="Arial" w:hint="cs"/>
          <w:sz w:val="27"/>
          <w:rtl/>
        </w:rPr>
        <w:t>ْ</w:t>
      </w:r>
      <w:r w:rsidRPr="00904FCB">
        <w:rPr>
          <w:rFonts w:ascii="Arial" w:hAnsi="Arial"/>
          <w:sz w:val="27"/>
          <w:rtl/>
        </w:rPr>
        <w:t xml:space="preserve"> ماد</w:t>
      </w:r>
      <w:r w:rsidR="00D60784" w:rsidRPr="00904FCB">
        <w:rPr>
          <w:rFonts w:ascii="Arial" w:hAnsi="Arial" w:hint="cs"/>
          <w:sz w:val="27"/>
          <w:rtl/>
        </w:rPr>
        <w:t>ّ</w:t>
      </w:r>
      <w:r w:rsidRPr="00904FCB">
        <w:rPr>
          <w:rFonts w:ascii="Arial" w:hAnsi="Arial"/>
          <w:sz w:val="27"/>
          <w:rtl/>
        </w:rPr>
        <w:t>ياً</w:t>
      </w:r>
      <w:r w:rsidR="00D60784" w:rsidRPr="00904FCB">
        <w:rPr>
          <w:rFonts w:ascii="Arial" w:hAnsi="Arial" w:hint="cs"/>
          <w:sz w:val="27"/>
          <w:rtl/>
        </w:rPr>
        <w:t>،</w:t>
      </w:r>
      <w:r w:rsidRPr="00904FCB">
        <w:rPr>
          <w:rFonts w:ascii="Arial" w:hAnsi="Arial"/>
          <w:sz w:val="27"/>
          <w:rtl/>
        </w:rPr>
        <w:t xml:space="preserve"> أو ضعفت من ناحية القوة الاقتصادية والعسكرية..</w:t>
      </w:r>
      <w:r w:rsidR="00D60784" w:rsidRPr="00904FCB">
        <w:rPr>
          <w:rFonts w:ascii="Arial" w:hAnsi="Arial" w:hint="cs"/>
          <w:sz w:val="27"/>
          <w:rtl/>
        </w:rPr>
        <w:t>.،</w:t>
      </w:r>
      <w:r w:rsidRPr="00904FCB">
        <w:rPr>
          <w:rFonts w:ascii="Arial" w:hAnsi="Arial"/>
          <w:sz w:val="27"/>
          <w:rtl/>
        </w:rPr>
        <w:t xml:space="preserve"> ولكن</w:t>
      </w:r>
      <w:r w:rsidR="00D60784" w:rsidRPr="00904FCB">
        <w:rPr>
          <w:rFonts w:ascii="Arial" w:hAnsi="Arial" w:hint="cs"/>
          <w:sz w:val="27"/>
          <w:rtl/>
        </w:rPr>
        <w:t>ْ</w:t>
      </w:r>
      <w:r w:rsidRPr="00904FCB">
        <w:rPr>
          <w:rFonts w:ascii="Arial" w:hAnsi="Arial"/>
          <w:sz w:val="27"/>
          <w:rtl/>
        </w:rPr>
        <w:t xml:space="preserve"> لأن النظام الغربي قد انتهى دوره</w:t>
      </w:r>
      <w:r w:rsidR="00D60784" w:rsidRPr="00904FCB">
        <w:rPr>
          <w:rFonts w:ascii="Arial" w:hAnsi="Arial" w:hint="cs"/>
          <w:sz w:val="27"/>
          <w:rtl/>
        </w:rPr>
        <w:t>؛</w:t>
      </w:r>
      <w:r w:rsidRPr="00904FCB">
        <w:rPr>
          <w:rFonts w:ascii="Arial" w:hAnsi="Arial"/>
          <w:sz w:val="27"/>
          <w:rtl/>
        </w:rPr>
        <w:t xml:space="preserve"> لأنه لم يعد يملك رصيداً من الق</w:t>
      </w:r>
      <w:r w:rsidR="00D60784" w:rsidRPr="00904FCB">
        <w:rPr>
          <w:rFonts w:ascii="Arial" w:hAnsi="Arial" w:hint="cs"/>
          <w:sz w:val="27"/>
          <w:rtl/>
        </w:rPr>
        <w:t>ِ</w:t>
      </w:r>
      <w:r w:rsidRPr="00904FCB">
        <w:rPr>
          <w:rFonts w:ascii="Arial" w:hAnsi="Arial"/>
          <w:sz w:val="27"/>
          <w:rtl/>
        </w:rPr>
        <w:t>ي</w:t>
      </w:r>
      <w:r w:rsidR="00D60784" w:rsidRPr="00904FCB">
        <w:rPr>
          <w:rFonts w:ascii="Arial" w:hAnsi="Arial" w:hint="cs"/>
          <w:sz w:val="27"/>
          <w:rtl/>
        </w:rPr>
        <w:t>َ</w:t>
      </w:r>
      <w:r w:rsidRPr="00904FCB">
        <w:rPr>
          <w:rFonts w:ascii="Arial" w:hAnsi="Arial"/>
          <w:sz w:val="27"/>
          <w:rtl/>
        </w:rPr>
        <w:t>م يسمح له بالقيادة</w:t>
      </w:r>
      <w:r w:rsidRPr="00904FCB">
        <w:rPr>
          <w:rFonts w:hint="eastAsia"/>
          <w:sz w:val="27"/>
          <w:rtl/>
        </w:rPr>
        <w:t>»</w:t>
      </w:r>
      <w:r w:rsidRPr="00904FCB">
        <w:rPr>
          <w:sz w:val="27"/>
          <w:vertAlign w:val="superscript"/>
          <w:rtl/>
        </w:rPr>
        <w:t>(</w:t>
      </w:r>
      <w:r w:rsidRPr="00904FCB">
        <w:rPr>
          <w:sz w:val="27"/>
          <w:vertAlign w:val="superscript"/>
          <w:rtl/>
        </w:rPr>
        <w:endnoteReference w:id="119"/>
      </w:r>
      <w:r w:rsidRPr="00904FCB">
        <w:rPr>
          <w:sz w:val="27"/>
          <w:vertAlign w:val="superscript"/>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rPr>
        <w:t>ولم ي</w:t>
      </w:r>
      <w:r w:rsidR="00D60784" w:rsidRPr="00904FCB">
        <w:rPr>
          <w:rFonts w:ascii="Arial" w:hAnsi="Arial" w:hint="cs"/>
          <w:sz w:val="27"/>
          <w:rtl/>
        </w:rPr>
        <w:t>َ</w:t>
      </w:r>
      <w:r w:rsidRPr="00904FCB">
        <w:rPr>
          <w:rFonts w:ascii="Arial" w:hAnsi="Arial"/>
          <w:sz w:val="27"/>
          <w:rtl/>
        </w:rPr>
        <w:t>ر</w:t>
      </w:r>
      <w:r w:rsidR="00D60784" w:rsidRPr="00904FCB">
        <w:rPr>
          <w:rFonts w:ascii="Arial" w:hAnsi="Arial" w:hint="cs"/>
          <w:sz w:val="27"/>
          <w:rtl/>
        </w:rPr>
        <w:t>َ</w:t>
      </w:r>
      <w:r w:rsidRPr="00904FCB">
        <w:rPr>
          <w:rFonts w:ascii="Arial" w:hAnsi="Arial"/>
          <w:sz w:val="27"/>
          <w:rtl/>
        </w:rPr>
        <w:t xml:space="preserve"> سي</w:t>
      </w:r>
      <w:r w:rsidR="00D60784" w:rsidRPr="00904FCB">
        <w:rPr>
          <w:rFonts w:ascii="Arial" w:hAnsi="Arial" w:hint="cs"/>
          <w:sz w:val="27"/>
          <w:rtl/>
        </w:rPr>
        <w:t>ّ</w:t>
      </w:r>
      <w:r w:rsidRPr="00904FCB">
        <w:rPr>
          <w:rFonts w:ascii="Arial" w:hAnsi="Arial"/>
          <w:sz w:val="27"/>
          <w:rtl/>
        </w:rPr>
        <w:t xml:space="preserve">د قطب أن المعسكر الاشتراكي الشرقي آنذاك كان أفضل حالاً </w:t>
      </w:r>
      <w:r w:rsidRPr="00904FCB">
        <w:rPr>
          <w:rFonts w:ascii="Arial" w:hAnsi="Arial"/>
          <w:sz w:val="27"/>
          <w:rtl/>
        </w:rPr>
        <w:lastRenderedPageBreak/>
        <w:t>من المجتمعات الليبرالية الغربية</w:t>
      </w:r>
      <w:r w:rsidR="00D60784" w:rsidRPr="00904FCB">
        <w:rPr>
          <w:rFonts w:ascii="Arial" w:hAnsi="Arial" w:hint="cs"/>
          <w:sz w:val="27"/>
          <w:rtl/>
        </w:rPr>
        <w:t xml:space="preserve">. </w:t>
      </w:r>
      <w:r w:rsidRPr="00904FCB">
        <w:rPr>
          <w:rFonts w:hint="eastAsia"/>
          <w:sz w:val="27"/>
          <w:rtl/>
        </w:rPr>
        <w:t>«</w:t>
      </w:r>
      <w:r w:rsidRPr="00904FCB">
        <w:rPr>
          <w:rFonts w:ascii="Arial" w:hAnsi="Arial"/>
          <w:sz w:val="27"/>
          <w:rtl/>
        </w:rPr>
        <w:t>...فالنظريات ال</w:t>
      </w:r>
      <w:r w:rsidR="00D60784" w:rsidRPr="00904FCB">
        <w:rPr>
          <w:rFonts w:ascii="Arial" w:hAnsi="Arial" w:hint="cs"/>
          <w:sz w:val="27"/>
          <w:rtl/>
        </w:rPr>
        <w:t>ا</w:t>
      </w:r>
      <w:r w:rsidRPr="00904FCB">
        <w:rPr>
          <w:rFonts w:ascii="Arial" w:hAnsi="Arial"/>
          <w:sz w:val="27"/>
          <w:rtl/>
        </w:rPr>
        <w:t>جتماعية</w:t>
      </w:r>
      <w:r w:rsidR="00D60784" w:rsidRPr="00904FCB">
        <w:rPr>
          <w:rFonts w:ascii="Arial" w:hAnsi="Arial" w:hint="cs"/>
          <w:sz w:val="27"/>
          <w:rtl/>
        </w:rPr>
        <w:t>،</w:t>
      </w:r>
      <w:r w:rsidRPr="00904FCB">
        <w:rPr>
          <w:rFonts w:ascii="Arial" w:hAnsi="Arial"/>
          <w:sz w:val="27"/>
          <w:rtl/>
        </w:rPr>
        <w:t xml:space="preserve"> وفي مقد</w:t>
      </w:r>
      <w:r w:rsidR="00D60784" w:rsidRPr="00904FCB">
        <w:rPr>
          <w:rFonts w:ascii="Arial" w:hAnsi="Arial" w:hint="cs"/>
          <w:sz w:val="27"/>
          <w:rtl/>
        </w:rPr>
        <w:t>ّ</w:t>
      </w:r>
      <w:r w:rsidRPr="00904FCB">
        <w:rPr>
          <w:rFonts w:ascii="Arial" w:hAnsi="Arial"/>
          <w:sz w:val="27"/>
          <w:rtl/>
        </w:rPr>
        <w:t>متها الماركسية</w:t>
      </w:r>
      <w:r w:rsidR="00D60784" w:rsidRPr="00904FCB">
        <w:rPr>
          <w:rFonts w:ascii="Arial" w:hAnsi="Arial" w:hint="cs"/>
          <w:sz w:val="27"/>
          <w:rtl/>
        </w:rPr>
        <w:t>،</w:t>
      </w:r>
      <w:r w:rsidRPr="00904FCB">
        <w:rPr>
          <w:rFonts w:ascii="Arial" w:hAnsi="Arial"/>
          <w:sz w:val="27"/>
          <w:rtl/>
        </w:rPr>
        <w:t xml:space="preserve"> التي اجتذبت في أو</w:t>
      </w:r>
      <w:r w:rsidR="00D60784" w:rsidRPr="00904FCB">
        <w:rPr>
          <w:rFonts w:ascii="Arial" w:hAnsi="Arial" w:hint="cs"/>
          <w:sz w:val="27"/>
          <w:rtl/>
        </w:rPr>
        <w:t>ّ</w:t>
      </w:r>
      <w:r w:rsidRPr="00904FCB">
        <w:rPr>
          <w:rFonts w:ascii="Arial" w:hAnsi="Arial"/>
          <w:sz w:val="27"/>
          <w:rtl/>
        </w:rPr>
        <w:t>ل عهدها عدداً كبيراً في الشرق</w:t>
      </w:r>
      <w:r w:rsidR="00D60784" w:rsidRPr="00904FCB">
        <w:rPr>
          <w:rFonts w:ascii="Arial" w:hAnsi="Arial" w:hint="cs"/>
          <w:sz w:val="27"/>
          <w:rtl/>
        </w:rPr>
        <w:t>،</w:t>
      </w:r>
      <w:r w:rsidRPr="00904FCB">
        <w:rPr>
          <w:rFonts w:ascii="Arial" w:hAnsi="Arial"/>
          <w:sz w:val="27"/>
          <w:rtl/>
        </w:rPr>
        <w:t xml:space="preserve"> وفي الغرب نفسه</w:t>
      </w:r>
      <w:r w:rsidR="00D60784" w:rsidRPr="00904FCB">
        <w:rPr>
          <w:rFonts w:ascii="Arial" w:hAnsi="Arial" w:hint="cs"/>
          <w:sz w:val="27"/>
          <w:rtl/>
        </w:rPr>
        <w:t>؛</w:t>
      </w:r>
      <w:r w:rsidRPr="00904FCB">
        <w:rPr>
          <w:rFonts w:ascii="Arial" w:hAnsi="Arial"/>
          <w:sz w:val="27"/>
          <w:rtl/>
        </w:rPr>
        <w:t xml:space="preserve"> باعتبارها مذهباً يحمل طابع العقيدة، قد تراجعت هي ال</w:t>
      </w:r>
      <w:r w:rsidR="00D60784" w:rsidRPr="00904FCB">
        <w:rPr>
          <w:rFonts w:ascii="Arial" w:hAnsi="Arial" w:hint="cs"/>
          <w:sz w:val="27"/>
          <w:rtl/>
        </w:rPr>
        <w:t>أ</w:t>
      </w:r>
      <w:r w:rsidRPr="00904FCB">
        <w:rPr>
          <w:rFonts w:ascii="Arial" w:hAnsi="Arial"/>
          <w:sz w:val="27"/>
          <w:rtl/>
        </w:rPr>
        <w:t>خرى تراجعاً واضحاً من ناحية الفكرة</w:t>
      </w:r>
      <w:r w:rsidR="00D60784" w:rsidRPr="00904FCB">
        <w:rPr>
          <w:rFonts w:ascii="Arial" w:hAnsi="Arial" w:hint="cs"/>
          <w:sz w:val="27"/>
          <w:rtl/>
        </w:rPr>
        <w:t>،</w:t>
      </w:r>
      <w:r w:rsidRPr="00904FCB">
        <w:rPr>
          <w:rFonts w:ascii="Arial" w:hAnsi="Arial"/>
          <w:sz w:val="27"/>
          <w:rtl/>
        </w:rPr>
        <w:t xml:space="preserve"> حتى لتكاد تنحصر الآن في الدولة و</w:t>
      </w:r>
      <w:r w:rsidR="00D60784" w:rsidRPr="00904FCB">
        <w:rPr>
          <w:rFonts w:ascii="Arial" w:hAnsi="Arial" w:hint="cs"/>
          <w:sz w:val="27"/>
          <w:rtl/>
        </w:rPr>
        <w:t>أن</w:t>
      </w:r>
      <w:r w:rsidRPr="00904FCB">
        <w:rPr>
          <w:rFonts w:ascii="Arial" w:hAnsi="Arial"/>
          <w:sz w:val="27"/>
          <w:rtl/>
        </w:rPr>
        <w:t>ظمتها التي تبتعد ب</w:t>
      </w:r>
      <w:r w:rsidR="00D60784" w:rsidRPr="00904FCB">
        <w:rPr>
          <w:rFonts w:ascii="Arial" w:hAnsi="Arial" w:hint="cs"/>
          <w:sz w:val="27"/>
          <w:rtl/>
        </w:rPr>
        <w:t>ُ</w:t>
      </w:r>
      <w:r w:rsidRPr="00904FCB">
        <w:rPr>
          <w:rFonts w:ascii="Arial" w:hAnsi="Arial"/>
          <w:sz w:val="27"/>
          <w:rtl/>
        </w:rPr>
        <w:t>ع</w:t>
      </w:r>
      <w:r w:rsidR="00D60784" w:rsidRPr="00904FCB">
        <w:rPr>
          <w:rFonts w:ascii="Arial" w:hAnsi="Arial" w:hint="cs"/>
          <w:sz w:val="27"/>
          <w:rtl/>
        </w:rPr>
        <w:t>ْ</w:t>
      </w:r>
      <w:r w:rsidRPr="00904FCB">
        <w:rPr>
          <w:rFonts w:ascii="Arial" w:hAnsi="Arial"/>
          <w:sz w:val="27"/>
          <w:rtl/>
        </w:rPr>
        <w:t>داً كبيراً عن أصول المذهب.</w:t>
      </w:r>
      <w:r w:rsidR="00D60784" w:rsidRPr="00904FCB">
        <w:rPr>
          <w:rFonts w:ascii="Arial" w:hAnsi="Arial" w:hint="cs"/>
          <w:sz w:val="27"/>
          <w:rtl/>
        </w:rPr>
        <w:t>.</w:t>
      </w:r>
      <w:r w:rsidRPr="00904FCB">
        <w:rPr>
          <w:rFonts w:ascii="Arial" w:hAnsi="Arial"/>
          <w:sz w:val="27"/>
          <w:rtl/>
        </w:rPr>
        <w:t>. وهي على العموم تناهض طبيعة الفطرة البشرية ومقتضياتها</w:t>
      </w:r>
      <w:r w:rsidR="00D60784" w:rsidRPr="00904FCB">
        <w:rPr>
          <w:rFonts w:ascii="Arial" w:hAnsi="Arial" w:hint="cs"/>
          <w:sz w:val="27"/>
          <w:rtl/>
        </w:rPr>
        <w:t>،</w:t>
      </w:r>
      <w:r w:rsidRPr="00904FCB">
        <w:rPr>
          <w:rFonts w:ascii="Arial" w:hAnsi="Arial"/>
          <w:sz w:val="27"/>
          <w:rtl/>
        </w:rPr>
        <w:t xml:space="preserve"> ولا تنمو </w:t>
      </w:r>
      <w:r w:rsidR="00D60784" w:rsidRPr="00904FCB">
        <w:rPr>
          <w:rFonts w:ascii="Arial" w:hAnsi="Arial" w:hint="cs"/>
          <w:sz w:val="27"/>
          <w:rtl/>
        </w:rPr>
        <w:t>إ</w:t>
      </w:r>
      <w:r w:rsidRPr="00904FCB">
        <w:rPr>
          <w:rFonts w:ascii="Arial" w:hAnsi="Arial"/>
          <w:sz w:val="27"/>
          <w:rtl/>
        </w:rPr>
        <w:t>لا</w:t>
      </w:r>
      <w:r w:rsidR="00D60784" w:rsidRPr="00904FCB">
        <w:rPr>
          <w:rFonts w:ascii="Arial" w:hAnsi="Arial" w:hint="cs"/>
          <w:sz w:val="27"/>
          <w:rtl/>
        </w:rPr>
        <w:t>ّ</w:t>
      </w:r>
      <w:r w:rsidRPr="00904FCB">
        <w:rPr>
          <w:rFonts w:ascii="Arial" w:hAnsi="Arial"/>
          <w:sz w:val="27"/>
          <w:rtl/>
        </w:rPr>
        <w:t xml:space="preserve"> في بيئة</w:t>
      </w:r>
      <w:r w:rsidR="00D60784" w:rsidRPr="00904FCB">
        <w:rPr>
          <w:rFonts w:ascii="Arial" w:hAnsi="Arial" w:hint="cs"/>
          <w:sz w:val="27"/>
          <w:rtl/>
        </w:rPr>
        <w:t>ٍ</w:t>
      </w:r>
      <w:r w:rsidRPr="00904FCB">
        <w:rPr>
          <w:rFonts w:ascii="Arial" w:hAnsi="Arial"/>
          <w:sz w:val="27"/>
          <w:rtl/>
        </w:rPr>
        <w:t xml:space="preserve"> محط</w:t>
      </w:r>
      <w:r w:rsidR="00D60784" w:rsidRPr="00904FCB">
        <w:rPr>
          <w:rFonts w:ascii="Arial" w:hAnsi="Arial" w:hint="cs"/>
          <w:sz w:val="27"/>
          <w:rtl/>
        </w:rPr>
        <w:t>ّ</w:t>
      </w:r>
      <w:r w:rsidRPr="00904FCB">
        <w:rPr>
          <w:rFonts w:ascii="Arial" w:hAnsi="Arial"/>
          <w:sz w:val="27"/>
          <w:rtl/>
        </w:rPr>
        <w:t>مة، أو في بيئة ألفت النظام الدكتاتوري فترات طويلة...</w:t>
      </w:r>
      <w:r w:rsidRPr="00904FCB">
        <w:rPr>
          <w:rFonts w:hint="eastAsia"/>
          <w:sz w:val="27"/>
          <w:rtl/>
        </w:rPr>
        <w:t>»</w:t>
      </w:r>
      <w:r w:rsidRPr="00904FCB">
        <w:rPr>
          <w:sz w:val="27"/>
          <w:vertAlign w:val="superscript"/>
          <w:rtl/>
        </w:rPr>
        <w:t>(</w:t>
      </w:r>
      <w:r w:rsidRPr="00904FCB">
        <w:rPr>
          <w:sz w:val="27"/>
          <w:vertAlign w:val="superscript"/>
          <w:rtl/>
        </w:rPr>
        <w:endnoteReference w:id="120"/>
      </w:r>
      <w:r w:rsidRPr="00904FCB">
        <w:rPr>
          <w:sz w:val="27"/>
          <w:vertAlign w:val="superscript"/>
          <w:rtl/>
        </w:rPr>
        <w:t>)</w:t>
      </w:r>
      <w:r w:rsidRPr="00904FCB">
        <w:rPr>
          <w:rFonts w:ascii="Arial" w:hAnsi="Arial"/>
          <w:sz w:val="27"/>
          <w:rtl/>
        </w:rPr>
        <w:t xml:space="preserve">. </w:t>
      </w:r>
    </w:p>
    <w:p w:rsidR="00A45FD9" w:rsidRPr="00904FCB" w:rsidRDefault="00D60784" w:rsidP="007A21AA">
      <w:pPr>
        <w:spacing w:line="400" w:lineRule="exact"/>
        <w:rPr>
          <w:rFonts w:ascii="Arial" w:hAnsi="Arial"/>
          <w:sz w:val="27"/>
          <w:rtl/>
        </w:rPr>
      </w:pPr>
      <w:r w:rsidRPr="00904FCB">
        <w:rPr>
          <w:rFonts w:ascii="Arial" w:hAnsi="Arial" w:hint="cs"/>
          <w:sz w:val="27"/>
          <w:rtl/>
        </w:rPr>
        <w:t>و</w:t>
      </w:r>
      <w:r w:rsidR="00A45FD9" w:rsidRPr="00904FCB">
        <w:rPr>
          <w:rFonts w:ascii="Arial" w:hAnsi="Arial"/>
          <w:sz w:val="27"/>
          <w:rtl/>
        </w:rPr>
        <w:t>على هذا الأساس</w:t>
      </w:r>
      <w:r w:rsidRPr="00904FCB">
        <w:rPr>
          <w:rFonts w:ascii="Arial" w:hAnsi="Arial" w:hint="cs"/>
          <w:sz w:val="27"/>
          <w:rtl/>
        </w:rPr>
        <w:t>؛</w:t>
      </w:r>
      <w:r w:rsidR="00A45FD9" w:rsidRPr="00904FCB">
        <w:rPr>
          <w:rFonts w:ascii="Arial" w:hAnsi="Arial"/>
          <w:sz w:val="27"/>
          <w:rtl/>
        </w:rPr>
        <w:t xml:space="preserve"> وبسبب الفشل في النظامين الغربي والشرقي، قال سي</w:t>
      </w:r>
      <w:r w:rsidRPr="00904FCB">
        <w:rPr>
          <w:rFonts w:ascii="Arial" w:hAnsi="Arial" w:hint="cs"/>
          <w:sz w:val="27"/>
          <w:rtl/>
        </w:rPr>
        <w:t>ّ</w:t>
      </w:r>
      <w:r w:rsidR="00A45FD9" w:rsidRPr="00904FCB">
        <w:rPr>
          <w:rFonts w:ascii="Arial" w:hAnsi="Arial"/>
          <w:sz w:val="27"/>
          <w:rtl/>
        </w:rPr>
        <w:t>د قطب</w:t>
      </w:r>
      <w:r w:rsidRPr="00904FCB">
        <w:rPr>
          <w:rFonts w:ascii="Arial" w:hAnsi="Arial" w:hint="cs"/>
          <w:sz w:val="27"/>
          <w:rtl/>
        </w:rPr>
        <w:t>:</w:t>
      </w:r>
      <w:r w:rsidR="00A45FD9" w:rsidRPr="00904FCB">
        <w:rPr>
          <w:rFonts w:ascii="Arial" w:hAnsi="Arial"/>
          <w:sz w:val="27"/>
          <w:rtl/>
        </w:rPr>
        <w:t xml:space="preserve"> إن الحل</w:t>
      </w:r>
      <w:r w:rsidRPr="00904FCB">
        <w:rPr>
          <w:rFonts w:ascii="Arial" w:hAnsi="Arial" w:hint="cs"/>
          <w:sz w:val="27"/>
          <w:rtl/>
        </w:rPr>
        <w:t>ّ</w:t>
      </w:r>
      <w:r w:rsidR="00A45FD9" w:rsidRPr="00904FCB">
        <w:rPr>
          <w:rFonts w:ascii="Arial" w:hAnsi="Arial"/>
          <w:sz w:val="27"/>
          <w:rtl/>
        </w:rPr>
        <w:t xml:space="preserve"> يكمن في الإسلام</w:t>
      </w:r>
      <w:r w:rsidRPr="00904FCB">
        <w:rPr>
          <w:rFonts w:ascii="Arial" w:hAnsi="Arial" w:hint="cs"/>
          <w:sz w:val="27"/>
          <w:rtl/>
        </w:rPr>
        <w:t>؛</w:t>
      </w:r>
      <w:r w:rsidR="00A45FD9" w:rsidRPr="00904FCB">
        <w:rPr>
          <w:rFonts w:ascii="Arial" w:hAnsi="Arial"/>
          <w:sz w:val="27"/>
          <w:rtl/>
        </w:rPr>
        <w:t xml:space="preserve"> لأنه لا ب</w:t>
      </w:r>
      <w:r w:rsidRPr="00904FCB">
        <w:rPr>
          <w:rFonts w:ascii="Arial" w:hAnsi="Arial" w:hint="cs"/>
          <w:sz w:val="27"/>
          <w:rtl/>
        </w:rPr>
        <w:t>ُ</w:t>
      </w:r>
      <w:r w:rsidR="00A45FD9" w:rsidRPr="00904FCB">
        <w:rPr>
          <w:rFonts w:ascii="Arial" w:hAnsi="Arial"/>
          <w:sz w:val="27"/>
          <w:rtl/>
        </w:rPr>
        <w:t>د</w:t>
      </w:r>
      <w:r w:rsidRPr="00904FCB">
        <w:rPr>
          <w:rFonts w:ascii="Arial" w:hAnsi="Arial" w:hint="cs"/>
          <w:sz w:val="27"/>
          <w:rtl/>
        </w:rPr>
        <w:t>َّ</w:t>
      </w:r>
      <w:r w:rsidR="00A45FD9" w:rsidRPr="00904FCB">
        <w:rPr>
          <w:rFonts w:ascii="Arial" w:hAnsi="Arial"/>
          <w:sz w:val="27"/>
          <w:rtl/>
        </w:rPr>
        <w:t xml:space="preserve"> من قيادة تمتلك الق</w:t>
      </w:r>
      <w:r w:rsidRPr="00904FCB">
        <w:rPr>
          <w:rFonts w:ascii="Arial" w:hAnsi="Arial" w:hint="cs"/>
          <w:sz w:val="27"/>
          <w:rtl/>
        </w:rPr>
        <w:t>ِ</w:t>
      </w:r>
      <w:r w:rsidR="00A45FD9" w:rsidRPr="00904FCB">
        <w:rPr>
          <w:rFonts w:ascii="Arial" w:hAnsi="Arial"/>
          <w:sz w:val="27"/>
          <w:rtl/>
        </w:rPr>
        <w:t>ي</w:t>
      </w:r>
      <w:r w:rsidRPr="00904FCB">
        <w:rPr>
          <w:rFonts w:ascii="Arial" w:hAnsi="Arial" w:hint="cs"/>
          <w:sz w:val="27"/>
          <w:rtl/>
        </w:rPr>
        <w:t>َ</w:t>
      </w:r>
      <w:r w:rsidR="00A45FD9" w:rsidRPr="00904FCB">
        <w:rPr>
          <w:rFonts w:ascii="Arial" w:hAnsi="Arial"/>
          <w:sz w:val="27"/>
          <w:rtl/>
        </w:rPr>
        <w:t>م التي تجعلها تحرص على الاستفادة من ال</w:t>
      </w:r>
      <w:r w:rsidRPr="00904FCB">
        <w:rPr>
          <w:rFonts w:ascii="Arial" w:hAnsi="Arial" w:hint="cs"/>
          <w:sz w:val="27"/>
          <w:rtl/>
        </w:rPr>
        <w:t>إ</w:t>
      </w:r>
      <w:r w:rsidR="00A45FD9" w:rsidRPr="00904FCB">
        <w:rPr>
          <w:rFonts w:ascii="Arial" w:hAnsi="Arial"/>
          <w:sz w:val="27"/>
          <w:rtl/>
        </w:rPr>
        <w:t xml:space="preserve">بداع المادي الذي </w:t>
      </w:r>
      <w:r w:rsidRPr="00904FCB">
        <w:rPr>
          <w:rFonts w:ascii="Arial" w:hAnsi="Arial" w:hint="cs"/>
          <w:sz w:val="27"/>
          <w:rtl/>
        </w:rPr>
        <w:t>أ</w:t>
      </w:r>
      <w:r w:rsidR="00A45FD9" w:rsidRPr="00904FCB">
        <w:rPr>
          <w:rFonts w:ascii="Arial" w:hAnsi="Arial"/>
          <w:sz w:val="27"/>
          <w:rtl/>
        </w:rPr>
        <w:t>نتجته العبقرية الأوروبية</w:t>
      </w:r>
      <w:r w:rsidRPr="00904FCB">
        <w:rPr>
          <w:rFonts w:ascii="Arial" w:hAnsi="Arial" w:hint="cs"/>
          <w:sz w:val="27"/>
          <w:rtl/>
        </w:rPr>
        <w:t>،</w:t>
      </w:r>
      <w:r w:rsidR="00A45FD9" w:rsidRPr="00904FCB">
        <w:rPr>
          <w:rFonts w:ascii="Arial" w:hAnsi="Arial"/>
          <w:sz w:val="27"/>
          <w:rtl/>
        </w:rPr>
        <w:t xml:space="preserve"> و</w:t>
      </w:r>
      <w:r w:rsidRPr="00904FCB">
        <w:rPr>
          <w:rFonts w:hint="eastAsia"/>
          <w:sz w:val="27"/>
          <w:rtl/>
        </w:rPr>
        <w:t>«</w:t>
      </w:r>
      <w:r w:rsidR="00A45FD9" w:rsidRPr="00904FCB">
        <w:rPr>
          <w:rFonts w:ascii="Arial" w:hAnsi="Arial"/>
          <w:sz w:val="27"/>
          <w:rtl/>
        </w:rPr>
        <w:t xml:space="preserve">تزود البشرية بقيم جديدة جدّة كاملة </w:t>
      </w:r>
      <w:r w:rsidRPr="00904FCB">
        <w:rPr>
          <w:rFonts w:ascii="Arial" w:hAnsi="Arial" w:hint="cs"/>
          <w:sz w:val="27"/>
          <w:rtl/>
        </w:rPr>
        <w:t xml:space="preserve">ـ </w:t>
      </w:r>
      <w:r w:rsidR="00A45FD9" w:rsidRPr="00904FCB">
        <w:rPr>
          <w:rFonts w:ascii="Arial" w:hAnsi="Arial"/>
          <w:sz w:val="27"/>
          <w:rtl/>
        </w:rPr>
        <w:t>بالقياس إلى ما عرفته البشرية ـ</w:t>
      </w:r>
      <w:r w:rsidRPr="00904FCB">
        <w:rPr>
          <w:rFonts w:ascii="Arial" w:hAnsi="Arial" w:hint="cs"/>
          <w:sz w:val="27"/>
          <w:rtl/>
        </w:rPr>
        <w:t>،</w:t>
      </w:r>
      <w:r w:rsidR="00A45FD9" w:rsidRPr="00904FCB">
        <w:rPr>
          <w:rFonts w:ascii="Arial" w:hAnsi="Arial"/>
          <w:sz w:val="27"/>
          <w:rtl/>
        </w:rPr>
        <w:t xml:space="preserve"> وبمنهج أصيل و</w:t>
      </w:r>
      <w:r w:rsidRPr="00904FCB">
        <w:rPr>
          <w:rFonts w:ascii="Arial" w:hAnsi="Arial" w:hint="cs"/>
          <w:sz w:val="27"/>
          <w:rtl/>
        </w:rPr>
        <w:t>إ</w:t>
      </w:r>
      <w:r w:rsidR="00A45FD9" w:rsidRPr="00904FCB">
        <w:rPr>
          <w:rFonts w:ascii="Arial" w:hAnsi="Arial"/>
          <w:sz w:val="27"/>
          <w:rtl/>
        </w:rPr>
        <w:t>يجابي وواقعي في الوقت ذاته. والإسلام وحده هو الذي يملك تلك القيم</w:t>
      </w:r>
      <w:r w:rsidRPr="00904FCB">
        <w:rPr>
          <w:rFonts w:ascii="Arial" w:hAnsi="Arial" w:hint="cs"/>
          <w:sz w:val="27"/>
          <w:rtl/>
        </w:rPr>
        <w:t>،</w:t>
      </w:r>
      <w:r w:rsidR="00A45FD9" w:rsidRPr="00904FCB">
        <w:rPr>
          <w:rFonts w:ascii="Arial" w:hAnsi="Arial"/>
          <w:sz w:val="27"/>
          <w:rtl/>
        </w:rPr>
        <w:t xml:space="preserve"> وهذا المنهج</w:t>
      </w:r>
      <w:r w:rsidR="00A45FD9" w:rsidRPr="00904FCB">
        <w:rPr>
          <w:rFonts w:hint="eastAsia"/>
          <w:sz w:val="27"/>
          <w:rtl/>
        </w:rPr>
        <w:t>»</w:t>
      </w:r>
      <w:r w:rsidR="00A45FD9" w:rsidRPr="00904FCB">
        <w:rPr>
          <w:sz w:val="27"/>
          <w:vertAlign w:val="superscript"/>
          <w:rtl/>
        </w:rPr>
        <w:t>(</w:t>
      </w:r>
      <w:r w:rsidR="00A45FD9" w:rsidRPr="00904FCB">
        <w:rPr>
          <w:sz w:val="27"/>
          <w:vertAlign w:val="superscript"/>
          <w:rtl/>
        </w:rPr>
        <w:endnoteReference w:id="121"/>
      </w:r>
      <w:r w:rsidR="00A45FD9" w:rsidRPr="00904FCB">
        <w:rPr>
          <w:sz w:val="27"/>
          <w:vertAlign w:val="superscript"/>
          <w:rtl/>
        </w:rPr>
        <w:t>)</w:t>
      </w:r>
      <w:r w:rsidRPr="00904FCB">
        <w:rPr>
          <w:rFonts w:ascii="Arial" w:hAnsi="Arial"/>
          <w:sz w:val="27"/>
          <w:rtl/>
        </w:rPr>
        <w:t>...</w:t>
      </w:r>
      <w:r w:rsidRPr="00904FCB">
        <w:rPr>
          <w:rFonts w:ascii="Arial" w:hAnsi="Arial" w:hint="cs"/>
          <w:sz w:val="27"/>
          <w:rtl/>
        </w:rPr>
        <w:t xml:space="preserve"> </w:t>
      </w:r>
      <w:r w:rsidR="00A45FD9" w:rsidRPr="00904FCB">
        <w:rPr>
          <w:rFonts w:ascii="Arial" w:hAnsi="Arial"/>
          <w:sz w:val="27"/>
          <w:rtl/>
        </w:rPr>
        <w:t xml:space="preserve">كما </w:t>
      </w:r>
      <w:r w:rsidRPr="00904FCB">
        <w:rPr>
          <w:rFonts w:ascii="Arial" w:hAnsi="Arial" w:hint="cs"/>
          <w:sz w:val="27"/>
          <w:rtl/>
        </w:rPr>
        <w:t>أ</w:t>
      </w:r>
      <w:r w:rsidR="00A45FD9" w:rsidRPr="00904FCB">
        <w:rPr>
          <w:rFonts w:ascii="Arial" w:hAnsi="Arial"/>
          <w:sz w:val="27"/>
          <w:rtl/>
        </w:rPr>
        <w:t xml:space="preserve">ن اعتماد المنهج الإسلامي الصحيح يتيح </w:t>
      </w:r>
      <w:r w:rsidRPr="00904FCB">
        <w:rPr>
          <w:rFonts w:ascii="Arial" w:hAnsi="Arial" w:hint="cs"/>
          <w:sz w:val="27"/>
          <w:rtl/>
        </w:rPr>
        <w:t>إ</w:t>
      </w:r>
      <w:r w:rsidR="00A45FD9" w:rsidRPr="00904FCB">
        <w:rPr>
          <w:rFonts w:ascii="Arial" w:hAnsi="Arial"/>
          <w:sz w:val="27"/>
          <w:rtl/>
        </w:rPr>
        <w:t>خراج البشرية من جاهليتها</w:t>
      </w:r>
      <w:r w:rsidRPr="00904FCB">
        <w:rPr>
          <w:rFonts w:ascii="Arial" w:hAnsi="Arial" w:hint="cs"/>
          <w:sz w:val="27"/>
          <w:rtl/>
        </w:rPr>
        <w:t>،</w:t>
      </w:r>
      <w:r w:rsidR="00A45FD9" w:rsidRPr="00904FCB">
        <w:rPr>
          <w:rFonts w:ascii="Arial" w:hAnsi="Arial"/>
          <w:sz w:val="27"/>
          <w:rtl/>
        </w:rPr>
        <w:t xml:space="preserve"> من خلال </w:t>
      </w:r>
      <w:r w:rsidR="00A45FD9" w:rsidRPr="00904FCB">
        <w:rPr>
          <w:rFonts w:hint="eastAsia"/>
          <w:sz w:val="27"/>
          <w:rtl/>
        </w:rPr>
        <w:t>«</w:t>
      </w:r>
      <w:r w:rsidR="00A45FD9" w:rsidRPr="00904FCB">
        <w:rPr>
          <w:rFonts w:ascii="Arial" w:hAnsi="Arial"/>
          <w:sz w:val="27"/>
          <w:rtl/>
        </w:rPr>
        <w:t>العودة بالحياة كل</w:t>
      </w:r>
      <w:r w:rsidRPr="00904FCB">
        <w:rPr>
          <w:rFonts w:ascii="Arial" w:hAnsi="Arial" w:hint="cs"/>
          <w:sz w:val="27"/>
          <w:rtl/>
        </w:rPr>
        <w:t>ّ</w:t>
      </w:r>
      <w:r w:rsidR="00A45FD9" w:rsidRPr="00904FCB">
        <w:rPr>
          <w:rFonts w:ascii="Arial" w:hAnsi="Arial"/>
          <w:sz w:val="27"/>
          <w:rtl/>
        </w:rPr>
        <w:t xml:space="preserve">ها إلى منهج الله الذي رسمه للبشرية في كتابه الكريم. </w:t>
      </w:r>
      <w:r w:rsidRPr="00904FCB">
        <w:rPr>
          <w:rFonts w:ascii="Arial" w:hAnsi="Arial" w:hint="cs"/>
          <w:sz w:val="27"/>
          <w:rtl/>
        </w:rPr>
        <w:t>إ</w:t>
      </w:r>
      <w:r w:rsidR="00A45FD9" w:rsidRPr="00904FCB">
        <w:rPr>
          <w:rFonts w:ascii="Arial" w:hAnsi="Arial"/>
          <w:sz w:val="27"/>
          <w:rtl/>
        </w:rPr>
        <w:t>نه تحكيم هذا الكتاب وحده في حياتها، و</w:t>
      </w:r>
      <w:r w:rsidRPr="00904FCB">
        <w:rPr>
          <w:rFonts w:ascii="Arial" w:hAnsi="Arial" w:hint="cs"/>
          <w:sz w:val="27"/>
          <w:rtl/>
        </w:rPr>
        <w:t>إ</w:t>
      </w:r>
      <w:r w:rsidR="00A45FD9" w:rsidRPr="00904FCB">
        <w:rPr>
          <w:rFonts w:ascii="Arial" w:hAnsi="Arial"/>
          <w:sz w:val="27"/>
          <w:rtl/>
        </w:rPr>
        <w:t>لا</w:t>
      </w:r>
      <w:r w:rsidRPr="00904FCB">
        <w:rPr>
          <w:rFonts w:ascii="Arial" w:hAnsi="Arial" w:hint="cs"/>
          <w:sz w:val="27"/>
          <w:rtl/>
        </w:rPr>
        <w:t>ّ</w:t>
      </w:r>
      <w:r w:rsidR="00A45FD9" w:rsidRPr="00904FCB">
        <w:rPr>
          <w:rFonts w:ascii="Arial" w:hAnsi="Arial"/>
          <w:sz w:val="27"/>
          <w:rtl/>
        </w:rPr>
        <w:t xml:space="preserve"> فهو الفساد في الأرض</w:t>
      </w:r>
      <w:r w:rsidRPr="00904FCB">
        <w:rPr>
          <w:rFonts w:ascii="Arial" w:hAnsi="Arial" w:hint="cs"/>
          <w:sz w:val="27"/>
          <w:rtl/>
        </w:rPr>
        <w:t>،</w:t>
      </w:r>
      <w:r w:rsidR="00A45FD9" w:rsidRPr="00904FCB">
        <w:rPr>
          <w:rFonts w:ascii="Arial" w:hAnsi="Arial"/>
          <w:sz w:val="27"/>
          <w:rtl/>
        </w:rPr>
        <w:t xml:space="preserve"> والشقاوة للناس</w:t>
      </w:r>
      <w:r w:rsidR="00A45FD9" w:rsidRPr="00904FCB">
        <w:rPr>
          <w:rFonts w:hint="eastAsia"/>
          <w:sz w:val="27"/>
          <w:rtl/>
        </w:rPr>
        <w:t>»</w:t>
      </w:r>
      <w:r w:rsidR="00A45FD9" w:rsidRPr="00904FCB">
        <w:rPr>
          <w:sz w:val="27"/>
          <w:vertAlign w:val="superscript"/>
          <w:rtl/>
        </w:rPr>
        <w:t>(</w:t>
      </w:r>
      <w:r w:rsidR="00A45FD9" w:rsidRPr="00904FCB">
        <w:rPr>
          <w:sz w:val="27"/>
          <w:vertAlign w:val="superscript"/>
          <w:rtl/>
        </w:rPr>
        <w:endnoteReference w:id="122"/>
      </w:r>
      <w:r w:rsidR="00A45FD9" w:rsidRPr="00904FCB">
        <w:rPr>
          <w:sz w:val="27"/>
          <w:vertAlign w:val="superscript"/>
          <w:rtl/>
        </w:rPr>
        <w:t>)</w:t>
      </w:r>
      <w:r w:rsidR="00A45FD9" w:rsidRPr="00904FCB">
        <w:rPr>
          <w:rFonts w:ascii="Arial" w:hAnsi="Arial"/>
          <w:sz w:val="27"/>
          <w:rtl/>
        </w:rPr>
        <w:t>... فإبعاد الإسلام عن قيادة البشرية جمعاء فيه ظلم</w:t>
      </w:r>
      <w:r w:rsidRPr="00904FCB">
        <w:rPr>
          <w:rFonts w:ascii="Arial" w:hAnsi="Arial" w:hint="cs"/>
          <w:sz w:val="27"/>
          <w:rtl/>
        </w:rPr>
        <w:t>ٌ</w:t>
      </w:r>
      <w:r w:rsidR="00A45FD9" w:rsidRPr="00904FCB">
        <w:rPr>
          <w:rFonts w:ascii="Arial" w:hAnsi="Arial"/>
          <w:sz w:val="27"/>
          <w:rtl/>
        </w:rPr>
        <w:t xml:space="preserve"> كبير يرتكب بحق</w:t>
      </w:r>
      <w:r w:rsidRPr="00904FCB">
        <w:rPr>
          <w:rFonts w:ascii="Arial" w:hAnsi="Arial" w:hint="cs"/>
          <w:sz w:val="27"/>
          <w:rtl/>
        </w:rPr>
        <w:t>ّ</w:t>
      </w:r>
      <w:r w:rsidR="00A45FD9" w:rsidRPr="00904FCB">
        <w:rPr>
          <w:rFonts w:ascii="Arial" w:hAnsi="Arial"/>
          <w:sz w:val="27"/>
          <w:rtl/>
        </w:rPr>
        <w:t xml:space="preserve"> العباد في كل</w:t>
      </w:r>
      <w:r w:rsidRPr="00904FCB">
        <w:rPr>
          <w:rFonts w:ascii="Arial" w:hAnsi="Arial" w:hint="cs"/>
          <w:sz w:val="27"/>
          <w:rtl/>
        </w:rPr>
        <w:t>ّ</w:t>
      </w:r>
      <w:r w:rsidR="00A45FD9" w:rsidRPr="00904FCB">
        <w:rPr>
          <w:rFonts w:ascii="Arial" w:hAnsi="Arial"/>
          <w:sz w:val="27"/>
          <w:rtl/>
        </w:rPr>
        <w:t xml:space="preserve"> أنحاء المعمورة، وهو السبب الكامن وراء الن</w:t>
      </w:r>
      <w:r w:rsidRPr="00904FCB">
        <w:rPr>
          <w:rFonts w:ascii="Arial" w:hAnsi="Arial" w:hint="cs"/>
          <w:sz w:val="27"/>
          <w:rtl/>
        </w:rPr>
        <w:t>َّ</w:t>
      </w:r>
      <w:r w:rsidR="00A45FD9" w:rsidRPr="00904FCB">
        <w:rPr>
          <w:rFonts w:ascii="Arial" w:hAnsi="Arial"/>
          <w:sz w:val="27"/>
          <w:rtl/>
        </w:rPr>
        <w:t>ك</w:t>
      </w:r>
      <w:r w:rsidRPr="00904FCB">
        <w:rPr>
          <w:rFonts w:ascii="Arial" w:hAnsi="Arial" w:hint="cs"/>
          <w:sz w:val="27"/>
          <w:rtl/>
        </w:rPr>
        <w:t>َ</w:t>
      </w:r>
      <w:r w:rsidR="00A45FD9" w:rsidRPr="00904FCB">
        <w:rPr>
          <w:rFonts w:ascii="Arial" w:hAnsi="Arial"/>
          <w:sz w:val="27"/>
          <w:rtl/>
        </w:rPr>
        <w:t xml:space="preserve">بات التي تجتاح الأرض. </w:t>
      </w:r>
    </w:p>
    <w:p w:rsidR="00A45FD9" w:rsidRPr="00904FCB" w:rsidRDefault="00A45FD9" w:rsidP="007A21AA">
      <w:pPr>
        <w:spacing w:line="400" w:lineRule="exact"/>
        <w:rPr>
          <w:rFonts w:ascii="Arial" w:hAnsi="Arial"/>
          <w:sz w:val="27"/>
          <w:rtl/>
          <w:lang w:bidi="ar-LB"/>
        </w:rPr>
      </w:pPr>
      <w:r w:rsidRPr="00904FCB">
        <w:rPr>
          <w:rFonts w:ascii="Arial" w:hAnsi="Arial"/>
          <w:sz w:val="27"/>
          <w:rtl/>
        </w:rPr>
        <w:t xml:space="preserve">ويختتم قطب كتابه </w:t>
      </w:r>
      <w:r w:rsidRPr="00904FCB">
        <w:rPr>
          <w:rFonts w:hint="eastAsia"/>
          <w:sz w:val="27"/>
          <w:rtl/>
        </w:rPr>
        <w:t>«</w:t>
      </w:r>
      <w:r w:rsidRPr="00904FCB">
        <w:rPr>
          <w:rFonts w:ascii="Arial" w:hAnsi="Arial"/>
          <w:sz w:val="27"/>
          <w:rtl/>
        </w:rPr>
        <w:t>العدالة الاجتماعية في الإسلام</w:t>
      </w:r>
      <w:r w:rsidRPr="00904FCB">
        <w:rPr>
          <w:rFonts w:hint="eastAsia"/>
          <w:sz w:val="27"/>
          <w:rtl/>
        </w:rPr>
        <w:t>»</w:t>
      </w:r>
      <w:r w:rsidRPr="00904FCB">
        <w:rPr>
          <w:rFonts w:ascii="Arial" w:hAnsi="Arial"/>
          <w:sz w:val="27"/>
          <w:rtl/>
        </w:rPr>
        <w:t xml:space="preserve"> بهذه النبوءة: </w:t>
      </w:r>
      <w:r w:rsidRPr="00904FCB">
        <w:rPr>
          <w:rFonts w:hint="eastAsia"/>
          <w:sz w:val="27"/>
          <w:rtl/>
        </w:rPr>
        <w:t>«</w:t>
      </w:r>
      <w:r w:rsidRPr="00904FCB">
        <w:rPr>
          <w:rFonts w:ascii="Arial" w:hAnsi="Arial"/>
          <w:sz w:val="27"/>
          <w:rtl/>
        </w:rPr>
        <w:t>إن الصراع الحقيقي في المستقبل لن يكون بين الرأسمالية والشيوعية... ولكن</w:t>
      </w:r>
      <w:r w:rsidR="00D60784" w:rsidRPr="00904FCB">
        <w:rPr>
          <w:rFonts w:ascii="Arial" w:hAnsi="Arial" w:hint="cs"/>
          <w:sz w:val="27"/>
          <w:rtl/>
        </w:rPr>
        <w:t>ّ</w:t>
      </w:r>
      <w:r w:rsidRPr="00904FCB">
        <w:rPr>
          <w:rFonts w:ascii="Arial" w:hAnsi="Arial"/>
          <w:sz w:val="27"/>
          <w:rtl/>
        </w:rPr>
        <w:t>ه سيكون بين الماد</w:t>
      </w:r>
      <w:r w:rsidR="00D60784" w:rsidRPr="00904FCB">
        <w:rPr>
          <w:rFonts w:ascii="Arial" w:hAnsi="Arial" w:hint="cs"/>
          <w:sz w:val="27"/>
          <w:rtl/>
        </w:rPr>
        <w:t>ّ</w:t>
      </w:r>
      <w:r w:rsidRPr="00904FCB">
        <w:rPr>
          <w:rFonts w:ascii="Arial" w:hAnsi="Arial"/>
          <w:sz w:val="27"/>
          <w:rtl/>
        </w:rPr>
        <w:t>ية المتمث</w:t>
      </w:r>
      <w:r w:rsidR="00D60784" w:rsidRPr="00904FCB">
        <w:rPr>
          <w:rFonts w:ascii="Arial" w:hAnsi="Arial" w:hint="cs"/>
          <w:sz w:val="27"/>
          <w:rtl/>
        </w:rPr>
        <w:t>ِّ</w:t>
      </w:r>
      <w:r w:rsidRPr="00904FCB">
        <w:rPr>
          <w:rFonts w:ascii="Arial" w:hAnsi="Arial"/>
          <w:sz w:val="27"/>
          <w:rtl/>
        </w:rPr>
        <w:t>لة في الأرض كل</w:t>
      </w:r>
      <w:r w:rsidR="00D60784" w:rsidRPr="00904FCB">
        <w:rPr>
          <w:rFonts w:ascii="Arial" w:hAnsi="Arial" w:hint="cs"/>
          <w:sz w:val="27"/>
          <w:rtl/>
        </w:rPr>
        <w:t>ّ</w:t>
      </w:r>
      <w:r w:rsidRPr="00904FCB">
        <w:rPr>
          <w:rFonts w:ascii="Arial" w:hAnsi="Arial"/>
          <w:sz w:val="27"/>
          <w:rtl/>
        </w:rPr>
        <w:t>ها وبين الإسلام، أو بتعبير</w:t>
      </w:r>
      <w:r w:rsidR="00D60784" w:rsidRPr="00904FCB">
        <w:rPr>
          <w:rFonts w:ascii="Arial" w:hAnsi="Arial" w:hint="cs"/>
          <w:sz w:val="27"/>
          <w:rtl/>
        </w:rPr>
        <w:t>ٍ</w:t>
      </w:r>
      <w:r w:rsidRPr="00904FCB">
        <w:rPr>
          <w:rFonts w:ascii="Arial" w:hAnsi="Arial"/>
          <w:sz w:val="27"/>
          <w:rtl/>
        </w:rPr>
        <w:t xml:space="preserve"> أصح</w:t>
      </w:r>
      <w:r w:rsidR="00D60784" w:rsidRPr="00904FCB">
        <w:rPr>
          <w:rFonts w:ascii="Arial" w:hAnsi="Arial" w:hint="cs"/>
          <w:sz w:val="27"/>
          <w:rtl/>
        </w:rPr>
        <w:t>ّ</w:t>
      </w:r>
      <w:r w:rsidRPr="00904FCB">
        <w:rPr>
          <w:rFonts w:ascii="Arial" w:hAnsi="Arial"/>
          <w:sz w:val="27"/>
          <w:rtl/>
        </w:rPr>
        <w:t xml:space="preserve"> و</w:t>
      </w:r>
      <w:r w:rsidR="00D60784" w:rsidRPr="00904FCB">
        <w:rPr>
          <w:rFonts w:ascii="Arial" w:hAnsi="Arial" w:hint="cs"/>
          <w:sz w:val="27"/>
          <w:rtl/>
        </w:rPr>
        <w:t>أ</w:t>
      </w:r>
      <w:r w:rsidRPr="00904FCB">
        <w:rPr>
          <w:rFonts w:ascii="Arial" w:hAnsi="Arial"/>
          <w:sz w:val="27"/>
          <w:rtl/>
        </w:rPr>
        <w:t>دق</w:t>
      </w:r>
      <w:r w:rsidR="00D60784" w:rsidRPr="00904FCB">
        <w:rPr>
          <w:rFonts w:ascii="Arial" w:hAnsi="Arial" w:hint="cs"/>
          <w:sz w:val="27"/>
          <w:rtl/>
        </w:rPr>
        <w:t>ّ:</w:t>
      </w:r>
      <w:r w:rsidRPr="00904FCB">
        <w:rPr>
          <w:rFonts w:ascii="Arial" w:hAnsi="Arial"/>
          <w:sz w:val="27"/>
          <w:rtl/>
        </w:rPr>
        <w:t xml:space="preserve"> سيكون بين النظام الذي يجعل العبودية لله وحده... وبين سائر الأنظمة الأرضية</w:t>
      </w:r>
      <w:r w:rsidR="00D60784" w:rsidRPr="00904FCB">
        <w:rPr>
          <w:rFonts w:ascii="Arial" w:hAnsi="Arial" w:hint="cs"/>
          <w:sz w:val="27"/>
          <w:rtl/>
        </w:rPr>
        <w:t>،</w:t>
      </w:r>
      <w:r w:rsidRPr="00904FCB">
        <w:rPr>
          <w:rFonts w:ascii="Arial" w:hAnsi="Arial"/>
          <w:sz w:val="27"/>
          <w:rtl/>
        </w:rPr>
        <w:t xml:space="preserve"> التي تقوم على أساس من عبودية العباد للعباد</w:t>
      </w:r>
      <w:r w:rsidRPr="00904FCB">
        <w:rPr>
          <w:rFonts w:hint="eastAsia"/>
          <w:sz w:val="27"/>
          <w:rtl/>
        </w:rPr>
        <w:t>»</w:t>
      </w:r>
      <w:r w:rsidRPr="00904FCB">
        <w:rPr>
          <w:sz w:val="27"/>
          <w:vertAlign w:val="superscript"/>
          <w:rtl/>
        </w:rPr>
        <w:t>(</w:t>
      </w:r>
      <w:r w:rsidRPr="00904FCB">
        <w:rPr>
          <w:sz w:val="27"/>
          <w:vertAlign w:val="superscript"/>
          <w:rtl/>
        </w:rPr>
        <w:endnoteReference w:id="123"/>
      </w:r>
      <w:r w:rsidRPr="00904FCB">
        <w:rPr>
          <w:sz w:val="27"/>
          <w:vertAlign w:val="superscript"/>
          <w:rtl/>
        </w:rPr>
        <w:t>)</w:t>
      </w:r>
      <w:r w:rsidR="00073545" w:rsidRPr="00904FCB">
        <w:rPr>
          <w:rFonts w:ascii="Arial" w:hAnsi="Arial" w:hint="cs"/>
          <w:sz w:val="27"/>
          <w:rtl/>
          <w:lang w:bidi="ar-LB"/>
        </w:rPr>
        <w:t>.</w:t>
      </w:r>
    </w:p>
    <w:p w:rsidR="00A45FD9" w:rsidRPr="00904FCB" w:rsidRDefault="00A45FD9" w:rsidP="00424452">
      <w:pPr>
        <w:spacing w:line="400" w:lineRule="exact"/>
        <w:ind w:firstLine="561"/>
        <w:rPr>
          <w:rFonts w:ascii="Arial" w:hAnsi="Arial"/>
          <w:sz w:val="27"/>
        </w:rPr>
      </w:pPr>
      <w:r w:rsidRPr="00904FCB">
        <w:rPr>
          <w:rFonts w:ascii="Arial" w:hAnsi="Arial"/>
          <w:sz w:val="27"/>
          <w:rtl/>
        </w:rPr>
        <w:t>كذلك فإن سيد قطب يعتبر من أوائل منظ</w:t>
      </w:r>
      <w:r w:rsidR="00D60784" w:rsidRPr="00904FCB">
        <w:rPr>
          <w:rFonts w:ascii="Arial" w:hAnsi="Arial" w:hint="cs"/>
          <w:sz w:val="27"/>
          <w:rtl/>
        </w:rPr>
        <w:t>ِّ</w:t>
      </w:r>
      <w:r w:rsidRPr="00904FCB">
        <w:rPr>
          <w:rFonts w:ascii="Arial" w:hAnsi="Arial"/>
          <w:sz w:val="27"/>
          <w:rtl/>
        </w:rPr>
        <w:t>ري فكر الس</w:t>
      </w:r>
      <w:r w:rsidR="00D60784" w:rsidRPr="00904FCB">
        <w:rPr>
          <w:rFonts w:ascii="Arial" w:hAnsi="Arial" w:hint="cs"/>
          <w:sz w:val="27"/>
          <w:rtl/>
        </w:rPr>
        <w:t>َّ</w:t>
      </w:r>
      <w:r w:rsidRPr="00904FCB">
        <w:rPr>
          <w:rFonts w:ascii="Arial" w:hAnsi="Arial"/>
          <w:sz w:val="27"/>
          <w:rtl/>
        </w:rPr>
        <w:t>ل</w:t>
      </w:r>
      <w:r w:rsidR="00D60784" w:rsidRPr="00904FCB">
        <w:rPr>
          <w:rFonts w:ascii="Arial" w:hAnsi="Arial" w:hint="cs"/>
          <w:sz w:val="27"/>
          <w:rtl/>
        </w:rPr>
        <w:t>َ</w:t>
      </w:r>
      <w:r w:rsidRPr="00904FCB">
        <w:rPr>
          <w:rFonts w:ascii="Arial" w:hAnsi="Arial"/>
          <w:sz w:val="27"/>
          <w:rtl/>
        </w:rPr>
        <w:t>فية الجهادية</w:t>
      </w:r>
      <w:r w:rsidR="00D60784" w:rsidRPr="00904FCB">
        <w:rPr>
          <w:rFonts w:ascii="Arial" w:hAnsi="Arial" w:hint="cs"/>
          <w:sz w:val="27"/>
          <w:rtl/>
        </w:rPr>
        <w:t>،</w:t>
      </w:r>
      <w:r w:rsidRPr="00904FCB">
        <w:rPr>
          <w:rFonts w:ascii="Arial" w:hAnsi="Arial"/>
          <w:sz w:val="27"/>
          <w:rtl/>
        </w:rPr>
        <w:t xml:space="preserve"> وذلك منذ ستينيات القرن العشرين</w:t>
      </w:r>
      <w:r w:rsidR="00073545" w:rsidRPr="00904FCB">
        <w:rPr>
          <w:rFonts w:ascii="Arial" w:hAnsi="Arial" w:hint="cs"/>
          <w:sz w:val="27"/>
          <w:rtl/>
        </w:rPr>
        <w:t>،</w:t>
      </w:r>
      <w:r w:rsidRPr="00904FCB">
        <w:rPr>
          <w:rFonts w:ascii="Arial" w:hAnsi="Arial"/>
          <w:sz w:val="27"/>
          <w:rtl/>
        </w:rPr>
        <w:t xml:space="preserve"> حيث تبلورت تلك الأفكار في السجون المصرية</w:t>
      </w:r>
      <w:r w:rsidR="00073545" w:rsidRPr="00904FCB">
        <w:rPr>
          <w:rFonts w:ascii="Arial" w:hAnsi="Arial" w:hint="cs"/>
          <w:sz w:val="27"/>
          <w:rtl/>
        </w:rPr>
        <w:t>.</w:t>
      </w:r>
      <w:r w:rsidRPr="00904FCB">
        <w:rPr>
          <w:rFonts w:ascii="Arial" w:hAnsi="Arial"/>
          <w:sz w:val="27"/>
          <w:rtl/>
        </w:rPr>
        <w:t xml:space="preserve"> </w:t>
      </w:r>
      <w:r w:rsidRPr="00904FCB">
        <w:rPr>
          <w:rFonts w:hint="eastAsia"/>
          <w:sz w:val="27"/>
          <w:rtl/>
        </w:rPr>
        <w:t>«</w:t>
      </w:r>
      <w:r w:rsidRPr="00904FCB">
        <w:rPr>
          <w:rFonts w:ascii="Arial" w:hAnsi="Arial"/>
          <w:sz w:val="27"/>
          <w:rtl/>
        </w:rPr>
        <w:t>وبسبب التعذيب الرهيب (الذي صار مضرب الأمثال في</w:t>
      </w:r>
      <w:r w:rsidRPr="00904FCB">
        <w:rPr>
          <w:rFonts w:ascii="Arial" w:hAnsi="Arial"/>
          <w:sz w:val="27"/>
        </w:rPr>
        <w:t xml:space="preserve"> </w:t>
      </w:r>
      <w:r w:rsidRPr="00904FCB">
        <w:rPr>
          <w:rFonts w:ascii="Arial" w:hAnsi="Arial"/>
          <w:sz w:val="27"/>
          <w:rtl/>
        </w:rPr>
        <w:t>العالم</w:t>
      </w:r>
      <w:r w:rsidR="00073545" w:rsidRPr="00904FCB">
        <w:rPr>
          <w:rFonts w:ascii="Arial" w:hAnsi="Arial"/>
          <w:sz w:val="27"/>
          <w:rtl/>
        </w:rPr>
        <w:t>)</w:t>
      </w:r>
      <w:r w:rsidR="00073545" w:rsidRPr="00904FCB">
        <w:rPr>
          <w:rFonts w:ascii="Arial" w:hAnsi="Arial" w:hint="cs"/>
          <w:sz w:val="27"/>
          <w:rtl/>
        </w:rPr>
        <w:t>.</w:t>
      </w:r>
      <w:r w:rsidRPr="00904FCB">
        <w:rPr>
          <w:rFonts w:ascii="Arial" w:hAnsi="Arial"/>
          <w:sz w:val="27"/>
          <w:rtl/>
        </w:rPr>
        <w:t>..</w:t>
      </w:r>
      <w:r w:rsidR="00073545" w:rsidRPr="00904FCB">
        <w:rPr>
          <w:rFonts w:ascii="Arial" w:hAnsi="Arial" w:hint="cs"/>
          <w:sz w:val="27"/>
          <w:rtl/>
        </w:rPr>
        <w:t>،</w:t>
      </w:r>
      <w:r w:rsidRPr="00904FCB">
        <w:rPr>
          <w:rFonts w:ascii="Arial" w:hAnsi="Arial"/>
          <w:sz w:val="27"/>
          <w:rtl/>
        </w:rPr>
        <w:t xml:space="preserve"> والإرهاب الذي مارسته السلطة ضد الإخوان وعائلاتهم، نم</w:t>
      </w:r>
      <w:r w:rsidR="00073545" w:rsidRPr="00904FCB">
        <w:rPr>
          <w:rFonts w:ascii="Arial" w:hAnsi="Arial" w:hint="cs"/>
          <w:sz w:val="27"/>
          <w:rtl/>
        </w:rPr>
        <w:t>َ</w:t>
      </w:r>
      <w:r w:rsidRPr="00904FCB">
        <w:rPr>
          <w:rFonts w:ascii="Arial" w:hAnsi="Arial"/>
          <w:sz w:val="27"/>
          <w:rtl/>
        </w:rPr>
        <w:t>ت</w:t>
      </w:r>
      <w:r w:rsidR="00073545" w:rsidRPr="00904FCB">
        <w:rPr>
          <w:rFonts w:ascii="Arial" w:hAnsi="Arial" w:hint="cs"/>
          <w:sz w:val="27"/>
          <w:rtl/>
        </w:rPr>
        <w:t>ْ</w:t>
      </w:r>
      <w:r w:rsidRPr="00904FCB">
        <w:rPr>
          <w:rFonts w:ascii="Arial" w:hAnsi="Arial"/>
          <w:sz w:val="27"/>
        </w:rPr>
        <w:t xml:space="preserve"> </w:t>
      </w:r>
      <w:r w:rsidRPr="00904FCB">
        <w:rPr>
          <w:rFonts w:ascii="Arial" w:hAnsi="Arial"/>
          <w:sz w:val="27"/>
          <w:rtl/>
        </w:rPr>
        <w:t>وتطو</w:t>
      </w:r>
      <w:r w:rsidR="00073545" w:rsidRPr="00904FCB">
        <w:rPr>
          <w:rFonts w:ascii="Arial" w:hAnsi="Arial" w:hint="cs"/>
          <w:sz w:val="27"/>
          <w:rtl/>
        </w:rPr>
        <w:t>َّ</w:t>
      </w:r>
      <w:r w:rsidRPr="00904FCB">
        <w:rPr>
          <w:rFonts w:ascii="Arial" w:hAnsi="Arial"/>
          <w:sz w:val="27"/>
          <w:rtl/>
        </w:rPr>
        <w:t>ر</w:t>
      </w:r>
      <w:r w:rsidR="00073545" w:rsidRPr="00904FCB">
        <w:rPr>
          <w:rFonts w:ascii="Arial" w:hAnsi="Arial" w:hint="cs"/>
          <w:sz w:val="27"/>
          <w:rtl/>
        </w:rPr>
        <w:t>َ</w:t>
      </w:r>
      <w:r w:rsidRPr="00904FCB">
        <w:rPr>
          <w:rFonts w:ascii="Arial" w:hAnsi="Arial"/>
          <w:sz w:val="27"/>
          <w:rtl/>
        </w:rPr>
        <w:t>ت</w:t>
      </w:r>
      <w:r w:rsidR="00073545" w:rsidRPr="00904FCB">
        <w:rPr>
          <w:rFonts w:ascii="Arial" w:hAnsi="Arial" w:hint="cs"/>
          <w:sz w:val="27"/>
          <w:rtl/>
        </w:rPr>
        <w:t>ْ</w:t>
      </w:r>
      <w:r w:rsidRPr="00904FCB">
        <w:rPr>
          <w:rFonts w:ascii="Arial" w:hAnsi="Arial"/>
          <w:sz w:val="27"/>
          <w:rtl/>
        </w:rPr>
        <w:t xml:space="preserve"> أفكار الرد</w:t>
      </w:r>
      <w:r w:rsidR="00073545" w:rsidRPr="00904FCB">
        <w:rPr>
          <w:rFonts w:ascii="Arial" w:hAnsi="Arial" w:hint="cs"/>
          <w:sz w:val="27"/>
          <w:rtl/>
        </w:rPr>
        <w:t>ّ</w:t>
      </w:r>
      <w:r w:rsidRPr="00904FCB">
        <w:rPr>
          <w:rFonts w:ascii="Arial" w:hAnsi="Arial"/>
          <w:sz w:val="27"/>
          <w:rtl/>
        </w:rPr>
        <w:t xml:space="preserve"> على العنف </w:t>
      </w:r>
      <w:r w:rsidRPr="00904FCB">
        <w:rPr>
          <w:rFonts w:ascii="Arial" w:hAnsi="Arial"/>
          <w:sz w:val="27"/>
          <w:rtl/>
        </w:rPr>
        <w:lastRenderedPageBreak/>
        <w:t>بالعنف، وصولاً إلى استعادة فكر ابن تيمي</w:t>
      </w:r>
      <w:r w:rsidR="00073545" w:rsidRPr="00904FCB">
        <w:rPr>
          <w:rFonts w:ascii="Arial" w:hAnsi="Arial" w:hint="cs"/>
          <w:sz w:val="27"/>
          <w:rtl/>
        </w:rPr>
        <w:t>ّ</w:t>
      </w:r>
      <w:r w:rsidRPr="00904FCB">
        <w:rPr>
          <w:rFonts w:ascii="Arial" w:hAnsi="Arial"/>
          <w:sz w:val="27"/>
          <w:rtl/>
        </w:rPr>
        <w:t>ة حول الجهاد</w:t>
      </w:r>
      <w:r w:rsidRPr="00904FCB">
        <w:rPr>
          <w:rFonts w:ascii="Arial" w:hAnsi="Arial"/>
          <w:sz w:val="27"/>
        </w:rPr>
        <w:t xml:space="preserve"> </w:t>
      </w:r>
      <w:r w:rsidRPr="00904FCB">
        <w:rPr>
          <w:rFonts w:ascii="Arial" w:hAnsi="Arial"/>
          <w:sz w:val="27"/>
          <w:rtl/>
        </w:rPr>
        <w:t>ضد</w:t>
      </w:r>
      <w:r w:rsidR="00073545" w:rsidRPr="00904FCB">
        <w:rPr>
          <w:rFonts w:ascii="Arial" w:hAnsi="Arial" w:hint="cs"/>
          <w:sz w:val="27"/>
          <w:rtl/>
        </w:rPr>
        <w:t>ّ</w:t>
      </w:r>
      <w:r w:rsidRPr="00904FCB">
        <w:rPr>
          <w:rFonts w:ascii="Arial" w:hAnsi="Arial"/>
          <w:sz w:val="27"/>
          <w:rtl/>
        </w:rPr>
        <w:t xml:space="preserve"> الحك</w:t>
      </w:r>
      <w:r w:rsidR="00073545" w:rsidRPr="00904FCB">
        <w:rPr>
          <w:rFonts w:ascii="Arial" w:hAnsi="Arial" w:hint="cs"/>
          <w:sz w:val="27"/>
          <w:rtl/>
        </w:rPr>
        <w:t>ّ</w:t>
      </w:r>
      <w:r w:rsidRPr="00904FCB">
        <w:rPr>
          <w:rFonts w:ascii="Arial" w:hAnsi="Arial"/>
          <w:sz w:val="27"/>
          <w:rtl/>
        </w:rPr>
        <w:t>ام الك</w:t>
      </w:r>
      <w:r w:rsidR="00073545" w:rsidRPr="00904FCB">
        <w:rPr>
          <w:rFonts w:ascii="Arial" w:hAnsi="Arial" w:hint="cs"/>
          <w:sz w:val="27"/>
          <w:rtl/>
        </w:rPr>
        <w:t>َ</w:t>
      </w:r>
      <w:r w:rsidRPr="00904FCB">
        <w:rPr>
          <w:rFonts w:ascii="Arial" w:hAnsi="Arial"/>
          <w:sz w:val="27"/>
          <w:rtl/>
        </w:rPr>
        <w:t>ف</w:t>
      </w:r>
      <w:r w:rsidR="00073545" w:rsidRPr="00904FCB">
        <w:rPr>
          <w:rFonts w:ascii="Arial" w:hAnsi="Arial" w:hint="cs"/>
          <w:sz w:val="27"/>
          <w:rtl/>
        </w:rPr>
        <w:t>َ</w:t>
      </w:r>
      <w:r w:rsidRPr="00904FCB">
        <w:rPr>
          <w:rFonts w:ascii="Arial" w:hAnsi="Arial"/>
          <w:sz w:val="27"/>
          <w:rtl/>
        </w:rPr>
        <w:t>رة... في الفترة نفسها كان فكر المودودي حول الحاكمية الإلهية، وحول</w:t>
      </w:r>
      <w:r w:rsidRPr="00904FCB">
        <w:rPr>
          <w:rFonts w:ascii="Arial" w:hAnsi="Arial"/>
          <w:sz w:val="27"/>
        </w:rPr>
        <w:t xml:space="preserve"> </w:t>
      </w:r>
      <w:r w:rsidRPr="00904FCB">
        <w:rPr>
          <w:rFonts w:ascii="Arial" w:hAnsi="Arial"/>
          <w:sz w:val="27"/>
          <w:rtl/>
        </w:rPr>
        <w:t>تقسيم العالم إلى</w:t>
      </w:r>
      <w:r w:rsidR="00073545" w:rsidRPr="00904FCB">
        <w:rPr>
          <w:rFonts w:ascii="Arial" w:hAnsi="Arial" w:hint="cs"/>
          <w:sz w:val="27"/>
          <w:rtl/>
        </w:rPr>
        <w:t xml:space="preserve">: </w:t>
      </w:r>
      <w:r w:rsidRPr="00904FCB">
        <w:rPr>
          <w:rFonts w:ascii="Arial" w:hAnsi="Arial"/>
          <w:sz w:val="27"/>
          <w:rtl/>
        </w:rPr>
        <w:t>دار إسلام</w:t>
      </w:r>
      <w:r w:rsidR="00073545" w:rsidRPr="00904FCB">
        <w:rPr>
          <w:rFonts w:ascii="Arial" w:hAnsi="Arial" w:hint="cs"/>
          <w:sz w:val="27"/>
          <w:rtl/>
        </w:rPr>
        <w:t>؛</w:t>
      </w:r>
      <w:r w:rsidRPr="00904FCB">
        <w:rPr>
          <w:rFonts w:ascii="Arial" w:hAnsi="Arial"/>
          <w:sz w:val="27"/>
          <w:rtl/>
        </w:rPr>
        <w:t xml:space="preserve"> ودار كفر وحرب، وحول الجهاد ضد</w:t>
      </w:r>
      <w:r w:rsidR="00073545" w:rsidRPr="00904FCB">
        <w:rPr>
          <w:rFonts w:ascii="Arial" w:hAnsi="Arial" w:hint="cs"/>
          <w:sz w:val="27"/>
          <w:rtl/>
        </w:rPr>
        <w:t>ّ</w:t>
      </w:r>
      <w:r w:rsidRPr="00904FCB">
        <w:rPr>
          <w:rFonts w:ascii="Arial" w:hAnsi="Arial"/>
          <w:sz w:val="27"/>
          <w:rtl/>
        </w:rPr>
        <w:t xml:space="preserve"> م</w:t>
      </w:r>
      <w:r w:rsidR="00073545" w:rsidRPr="00904FCB">
        <w:rPr>
          <w:rFonts w:ascii="Arial" w:hAnsi="Arial" w:hint="cs"/>
          <w:sz w:val="27"/>
          <w:rtl/>
        </w:rPr>
        <w:t>َ</w:t>
      </w:r>
      <w:r w:rsidRPr="00904FCB">
        <w:rPr>
          <w:rFonts w:ascii="Arial" w:hAnsi="Arial"/>
          <w:sz w:val="27"/>
          <w:rtl/>
        </w:rPr>
        <w:t>ن</w:t>
      </w:r>
      <w:r w:rsidR="00073545" w:rsidRPr="00904FCB">
        <w:rPr>
          <w:rFonts w:ascii="Arial" w:hAnsi="Arial" w:hint="cs"/>
          <w:sz w:val="27"/>
          <w:rtl/>
        </w:rPr>
        <w:t>ْ</w:t>
      </w:r>
      <w:r w:rsidRPr="00904FCB">
        <w:rPr>
          <w:rFonts w:ascii="Arial" w:hAnsi="Arial"/>
          <w:sz w:val="27"/>
          <w:rtl/>
        </w:rPr>
        <w:t xml:space="preserve"> لا يحكم بما أنزل</w:t>
      </w:r>
      <w:r w:rsidRPr="00904FCB">
        <w:rPr>
          <w:rFonts w:ascii="Arial" w:hAnsi="Arial"/>
          <w:sz w:val="27"/>
        </w:rPr>
        <w:t xml:space="preserve"> </w:t>
      </w:r>
      <w:r w:rsidRPr="00904FCB">
        <w:rPr>
          <w:rFonts w:ascii="Arial" w:hAnsi="Arial"/>
          <w:sz w:val="27"/>
          <w:rtl/>
        </w:rPr>
        <w:t xml:space="preserve">الله، </w:t>
      </w:r>
      <w:r w:rsidR="00073545" w:rsidRPr="00904FCB">
        <w:rPr>
          <w:rFonts w:ascii="Arial" w:hAnsi="Arial"/>
          <w:sz w:val="27"/>
          <w:rtl/>
        </w:rPr>
        <w:t>والذي</w:t>
      </w:r>
      <w:r w:rsidR="00073545" w:rsidRPr="00904FCB">
        <w:rPr>
          <w:rFonts w:ascii="Arial" w:hAnsi="Arial" w:hint="cs"/>
          <w:sz w:val="27"/>
          <w:rtl/>
        </w:rPr>
        <w:t xml:space="preserve"> </w:t>
      </w:r>
      <w:r w:rsidRPr="00904FCB">
        <w:rPr>
          <w:rFonts w:ascii="Arial" w:hAnsi="Arial"/>
          <w:sz w:val="27"/>
          <w:rtl/>
        </w:rPr>
        <w:t>حمل س</w:t>
      </w:r>
      <w:r w:rsidR="00073545" w:rsidRPr="00904FCB">
        <w:rPr>
          <w:rFonts w:ascii="Arial" w:hAnsi="Arial" w:hint="cs"/>
          <w:sz w:val="27"/>
          <w:rtl/>
        </w:rPr>
        <w:t>ِ</w:t>
      </w:r>
      <w:r w:rsidRPr="00904FCB">
        <w:rPr>
          <w:rFonts w:ascii="Arial" w:hAnsi="Arial"/>
          <w:sz w:val="27"/>
          <w:rtl/>
        </w:rPr>
        <w:t>مة قومية باكستانية خاص</w:t>
      </w:r>
      <w:r w:rsidR="00073545" w:rsidRPr="00904FCB">
        <w:rPr>
          <w:rFonts w:ascii="Arial" w:hAnsi="Arial" w:hint="cs"/>
          <w:sz w:val="27"/>
          <w:rtl/>
        </w:rPr>
        <w:t>ّ</w:t>
      </w:r>
      <w:r w:rsidRPr="00904FCB">
        <w:rPr>
          <w:rFonts w:ascii="Arial" w:hAnsi="Arial"/>
          <w:sz w:val="27"/>
          <w:rtl/>
        </w:rPr>
        <w:t>ة بالتجربة ضد</w:t>
      </w:r>
      <w:r w:rsidR="00073545" w:rsidRPr="00904FCB">
        <w:rPr>
          <w:rFonts w:ascii="Arial" w:hAnsi="Arial" w:hint="cs"/>
          <w:sz w:val="27"/>
          <w:rtl/>
        </w:rPr>
        <w:t>ّ</w:t>
      </w:r>
      <w:r w:rsidRPr="00904FCB">
        <w:rPr>
          <w:rFonts w:ascii="Arial" w:hAnsi="Arial"/>
          <w:sz w:val="27"/>
          <w:rtl/>
        </w:rPr>
        <w:t xml:space="preserve"> الهندوس وضد</w:t>
      </w:r>
      <w:r w:rsidR="00073545" w:rsidRPr="00904FCB">
        <w:rPr>
          <w:rFonts w:ascii="Arial" w:hAnsi="Arial" w:hint="cs"/>
          <w:sz w:val="27"/>
          <w:rtl/>
        </w:rPr>
        <w:t>ّ</w:t>
      </w:r>
      <w:r w:rsidRPr="00904FCB">
        <w:rPr>
          <w:rFonts w:ascii="Arial" w:hAnsi="Arial"/>
          <w:sz w:val="27"/>
          <w:rtl/>
        </w:rPr>
        <w:t xml:space="preserve"> الآخر، المختلف</w:t>
      </w:r>
      <w:r w:rsidR="00073545" w:rsidRPr="00904FCB">
        <w:rPr>
          <w:rFonts w:ascii="Arial" w:hAnsi="Arial" w:hint="cs"/>
          <w:sz w:val="27"/>
          <w:rtl/>
        </w:rPr>
        <w:t xml:space="preserve"> </w:t>
      </w:r>
      <w:r w:rsidRPr="00904FCB">
        <w:rPr>
          <w:rFonts w:ascii="Arial" w:hAnsi="Arial"/>
          <w:sz w:val="27"/>
          <w:rtl/>
        </w:rPr>
        <w:t>والمعادي للإسلام</w:t>
      </w:r>
      <w:r w:rsidR="00073545" w:rsidRPr="00904FCB">
        <w:rPr>
          <w:rFonts w:ascii="Arial" w:hAnsi="Arial" w:hint="cs"/>
          <w:sz w:val="27"/>
          <w:rtl/>
        </w:rPr>
        <w:t xml:space="preserve">... </w:t>
      </w:r>
      <w:r w:rsidRPr="00904FCB">
        <w:rPr>
          <w:rFonts w:ascii="Arial" w:hAnsi="Arial"/>
          <w:sz w:val="27"/>
          <w:rtl/>
        </w:rPr>
        <w:t>كان هذا الفكر يُقرأ ويُدرس في حلقات السجون المصرية</w:t>
      </w:r>
      <w:r w:rsidR="00073545" w:rsidRPr="00904FCB">
        <w:rPr>
          <w:rFonts w:ascii="Arial" w:hAnsi="Arial" w:hint="cs"/>
          <w:sz w:val="27"/>
          <w:rtl/>
        </w:rPr>
        <w:t>،</w:t>
      </w:r>
      <w:r w:rsidRPr="00904FCB">
        <w:rPr>
          <w:rFonts w:ascii="Arial" w:hAnsi="Arial"/>
          <w:sz w:val="27"/>
          <w:rtl/>
        </w:rPr>
        <w:t xml:space="preserve"> ويمتزج</w:t>
      </w:r>
      <w:r w:rsidR="00073545" w:rsidRPr="00904FCB">
        <w:rPr>
          <w:rFonts w:ascii="Arial" w:hAnsi="Arial"/>
          <w:sz w:val="27"/>
        </w:rPr>
        <w:t xml:space="preserve"> </w:t>
      </w:r>
      <w:r w:rsidRPr="00904FCB">
        <w:rPr>
          <w:rFonts w:ascii="Arial" w:hAnsi="Arial"/>
          <w:sz w:val="27"/>
          <w:rtl/>
        </w:rPr>
        <w:t>بمرارة المساجين وعذاباتهم</w:t>
      </w:r>
      <w:r w:rsidRPr="00904FCB">
        <w:rPr>
          <w:rFonts w:hint="eastAsia"/>
          <w:sz w:val="27"/>
          <w:rtl/>
        </w:rPr>
        <w:t>»</w:t>
      </w:r>
      <w:r w:rsidR="00073545" w:rsidRPr="00904FCB">
        <w:rPr>
          <w:sz w:val="27"/>
          <w:vertAlign w:val="superscript"/>
          <w:rtl/>
        </w:rPr>
        <w:t>(</w:t>
      </w:r>
      <w:r w:rsidR="00073545" w:rsidRPr="00904FCB">
        <w:rPr>
          <w:sz w:val="27"/>
          <w:vertAlign w:val="superscript"/>
          <w:rtl/>
        </w:rPr>
        <w:endnoteReference w:id="124"/>
      </w:r>
      <w:r w:rsidR="00073545" w:rsidRPr="00904FCB">
        <w:rPr>
          <w:sz w:val="27"/>
          <w:vertAlign w:val="superscript"/>
          <w:rtl/>
        </w:rPr>
        <w:t>)</w:t>
      </w:r>
      <w:r w:rsidRPr="00904FCB">
        <w:rPr>
          <w:rFonts w:ascii="Arial" w:hAnsi="Arial"/>
          <w:sz w:val="27"/>
          <w:rtl/>
        </w:rPr>
        <w:t xml:space="preserve">. </w:t>
      </w:r>
    </w:p>
    <w:p w:rsidR="00A45FD9" w:rsidRPr="00904FCB" w:rsidRDefault="00A45FD9" w:rsidP="00424452">
      <w:pPr>
        <w:spacing w:line="420" w:lineRule="exact"/>
        <w:ind w:firstLine="561"/>
        <w:rPr>
          <w:rFonts w:ascii="Arial" w:hAnsi="Arial"/>
          <w:sz w:val="27"/>
          <w:rtl/>
          <w:lang w:bidi="ar-JO"/>
        </w:rPr>
      </w:pPr>
      <w:r w:rsidRPr="00904FCB">
        <w:rPr>
          <w:rFonts w:ascii="Arial" w:hAnsi="Arial"/>
          <w:sz w:val="27"/>
          <w:rtl/>
          <w:lang w:bidi="ar-JO"/>
        </w:rPr>
        <w:t xml:space="preserve">لقد طغى في وسائل الإعلام مصطلح </w:t>
      </w:r>
      <w:r w:rsidRPr="00904FCB">
        <w:rPr>
          <w:rFonts w:hint="eastAsia"/>
          <w:sz w:val="27"/>
          <w:rtl/>
          <w:lang w:bidi="ar-JO"/>
        </w:rPr>
        <w:t>«</w:t>
      </w:r>
      <w:r w:rsidRPr="00904FCB">
        <w:rPr>
          <w:rFonts w:ascii="Arial" w:hAnsi="Arial"/>
          <w:sz w:val="27"/>
          <w:rtl/>
          <w:lang w:bidi="ar-JO"/>
        </w:rPr>
        <w:t>السلفية الجهادية</w:t>
      </w:r>
      <w:r w:rsidRPr="00904FCB">
        <w:rPr>
          <w:rFonts w:hint="eastAsia"/>
          <w:sz w:val="27"/>
          <w:rtl/>
        </w:rPr>
        <w:t>»</w:t>
      </w:r>
      <w:r w:rsidRPr="00904FCB">
        <w:rPr>
          <w:rFonts w:ascii="Arial" w:hAnsi="Arial"/>
          <w:sz w:val="27"/>
          <w:rtl/>
          <w:lang w:bidi="ar-JO"/>
        </w:rPr>
        <w:t xml:space="preserve"> للتدليل على التيار الجهادي العالمي، إلا</w:t>
      </w:r>
      <w:r w:rsidR="00F51009" w:rsidRPr="00904FCB">
        <w:rPr>
          <w:rFonts w:ascii="Arial" w:hAnsi="Arial" w:hint="cs"/>
          <w:sz w:val="27"/>
          <w:rtl/>
          <w:lang w:bidi="ar-JO"/>
        </w:rPr>
        <w:t>ّ</w:t>
      </w:r>
      <w:r w:rsidRPr="00904FCB">
        <w:rPr>
          <w:rFonts w:ascii="Arial" w:hAnsi="Arial"/>
          <w:sz w:val="27"/>
          <w:rtl/>
          <w:lang w:bidi="ar-JO"/>
        </w:rPr>
        <w:t xml:space="preserve"> </w:t>
      </w:r>
      <w:r w:rsidR="00F51009" w:rsidRPr="00904FCB">
        <w:rPr>
          <w:rFonts w:ascii="Arial" w:hAnsi="Arial" w:hint="cs"/>
          <w:sz w:val="27"/>
          <w:rtl/>
          <w:lang w:bidi="ar-JO"/>
        </w:rPr>
        <w:t>أ</w:t>
      </w:r>
      <w:r w:rsidRPr="00904FCB">
        <w:rPr>
          <w:rFonts w:ascii="Arial" w:hAnsi="Arial"/>
          <w:sz w:val="27"/>
          <w:rtl/>
          <w:lang w:bidi="ar-JO"/>
        </w:rPr>
        <w:t>ن أصحابه لا ير</w:t>
      </w:r>
      <w:r w:rsidR="00F51009" w:rsidRPr="00904FCB">
        <w:rPr>
          <w:rFonts w:ascii="Arial" w:hAnsi="Arial" w:hint="cs"/>
          <w:sz w:val="27"/>
          <w:rtl/>
          <w:lang w:bidi="ar-JO"/>
        </w:rPr>
        <w:t>َ</w:t>
      </w:r>
      <w:r w:rsidRPr="00904FCB">
        <w:rPr>
          <w:rFonts w:ascii="Arial" w:hAnsi="Arial"/>
          <w:sz w:val="27"/>
          <w:rtl/>
          <w:lang w:bidi="ar-JO"/>
        </w:rPr>
        <w:t>و</w:t>
      </w:r>
      <w:r w:rsidR="00F51009" w:rsidRPr="00904FCB">
        <w:rPr>
          <w:rFonts w:ascii="Arial" w:hAnsi="Arial" w:hint="cs"/>
          <w:sz w:val="27"/>
          <w:rtl/>
          <w:lang w:bidi="ar-JO"/>
        </w:rPr>
        <w:t>ْ</w:t>
      </w:r>
      <w:r w:rsidRPr="00904FCB">
        <w:rPr>
          <w:rFonts w:ascii="Arial" w:hAnsi="Arial"/>
          <w:sz w:val="27"/>
          <w:rtl/>
          <w:lang w:bidi="ar-JO"/>
        </w:rPr>
        <w:t>نه دقيقاً، خصوصاً أن ترويجه ينطوي على حصر له في أطر</w:t>
      </w:r>
      <w:r w:rsidR="00F51009" w:rsidRPr="00904FCB">
        <w:rPr>
          <w:rFonts w:ascii="Arial" w:hAnsi="Arial" w:hint="cs"/>
          <w:sz w:val="27"/>
          <w:rtl/>
          <w:lang w:bidi="ar-JO"/>
        </w:rPr>
        <w:t>ٍ</w:t>
      </w:r>
      <w:r w:rsidRPr="00904FCB">
        <w:rPr>
          <w:rFonts w:ascii="Arial" w:hAnsi="Arial"/>
          <w:sz w:val="27"/>
          <w:rtl/>
          <w:lang w:bidi="ar-JO"/>
        </w:rPr>
        <w:t xml:space="preserve"> ضي</w:t>
      </w:r>
      <w:r w:rsidR="00F51009" w:rsidRPr="00904FCB">
        <w:rPr>
          <w:rFonts w:ascii="Arial" w:hAnsi="Arial" w:hint="cs"/>
          <w:sz w:val="27"/>
          <w:rtl/>
          <w:lang w:bidi="ar-JO"/>
        </w:rPr>
        <w:t>ِّ</w:t>
      </w:r>
      <w:r w:rsidRPr="00904FCB">
        <w:rPr>
          <w:rFonts w:ascii="Arial" w:hAnsi="Arial"/>
          <w:sz w:val="27"/>
          <w:rtl/>
          <w:lang w:bidi="ar-JO"/>
        </w:rPr>
        <w:t>قة، وهم و</w:t>
      </w:r>
      <w:r w:rsidR="00F51009" w:rsidRPr="00904FCB">
        <w:rPr>
          <w:rFonts w:ascii="Arial" w:hAnsi="Arial" w:hint="cs"/>
          <w:sz w:val="27"/>
          <w:rtl/>
          <w:lang w:bidi="ar-JO"/>
        </w:rPr>
        <w:t>إ</w:t>
      </w:r>
      <w:r w:rsidRPr="00904FCB">
        <w:rPr>
          <w:rFonts w:ascii="Arial" w:hAnsi="Arial"/>
          <w:sz w:val="27"/>
          <w:rtl/>
          <w:lang w:bidi="ar-JO"/>
        </w:rPr>
        <w:t>ن</w:t>
      </w:r>
      <w:r w:rsidR="00424452">
        <w:rPr>
          <w:rFonts w:ascii="Arial" w:hAnsi="Arial" w:hint="cs"/>
          <w:sz w:val="27"/>
          <w:rtl/>
          <w:lang w:bidi="ar-JO"/>
        </w:rPr>
        <w:t>ْ</w:t>
      </w:r>
      <w:r w:rsidRPr="00904FCB">
        <w:rPr>
          <w:rFonts w:ascii="Arial" w:hAnsi="Arial"/>
          <w:sz w:val="27"/>
          <w:rtl/>
          <w:lang w:bidi="ar-JO"/>
        </w:rPr>
        <w:t xml:space="preserve"> كانوا يعترفون بأن الوهابية تمث</w:t>
      </w:r>
      <w:r w:rsidR="00F51009" w:rsidRPr="00904FCB">
        <w:rPr>
          <w:rFonts w:ascii="Arial" w:hAnsi="Arial" w:hint="cs"/>
          <w:sz w:val="27"/>
          <w:rtl/>
          <w:lang w:bidi="ar-JO"/>
        </w:rPr>
        <w:t>ِّ</w:t>
      </w:r>
      <w:r w:rsidRPr="00904FCB">
        <w:rPr>
          <w:rFonts w:ascii="Arial" w:hAnsi="Arial"/>
          <w:sz w:val="27"/>
          <w:rtl/>
          <w:lang w:bidi="ar-JO"/>
        </w:rPr>
        <w:t xml:space="preserve">ل أحد المصادر الشرعية والتاريخية للفكر الجهادي العالمي، </w:t>
      </w:r>
      <w:r w:rsidR="00F51009" w:rsidRPr="00904FCB">
        <w:rPr>
          <w:rFonts w:ascii="Arial" w:hAnsi="Arial" w:hint="cs"/>
          <w:sz w:val="27"/>
          <w:rtl/>
          <w:lang w:bidi="ar-JO"/>
        </w:rPr>
        <w:t>إ</w:t>
      </w:r>
      <w:r w:rsidRPr="00904FCB">
        <w:rPr>
          <w:rFonts w:ascii="Arial" w:hAnsi="Arial"/>
          <w:sz w:val="27"/>
          <w:rtl/>
          <w:lang w:bidi="ar-JO"/>
        </w:rPr>
        <w:t>لا</w:t>
      </w:r>
      <w:r w:rsidR="00F51009" w:rsidRPr="00904FCB">
        <w:rPr>
          <w:rFonts w:ascii="Arial" w:hAnsi="Arial" w:hint="cs"/>
          <w:sz w:val="27"/>
          <w:rtl/>
          <w:lang w:bidi="ar-JO"/>
        </w:rPr>
        <w:t>ّ</w:t>
      </w:r>
      <w:r w:rsidRPr="00904FCB">
        <w:rPr>
          <w:rFonts w:ascii="Arial" w:hAnsi="Arial"/>
          <w:sz w:val="27"/>
          <w:rtl/>
          <w:lang w:bidi="ar-JO"/>
        </w:rPr>
        <w:t xml:space="preserve"> </w:t>
      </w:r>
      <w:r w:rsidR="00F51009" w:rsidRPr="00904FCB">
        <w:rPr>
          <w:rFonts w:ascii="Arial" w:hAnsi="Arial" w:hint="cs"/>
          <w:sz w:val="27"/>
          <w:rtl/>
          <w:lang w:bidi="ar-JO"/>
        </w:rPr>
        <w:t>أنّ</w:t>
      </w:r>
      <w:r w:rsidRPr="00904FCB">
        <w:rPr>
          <w:rFonts w:ascii="Arial" w:hAnsi="Arial"/>
          <w:sz w:val="27"/>
          <w:rtl/>
          <w:lang w:bidi="ar-JO"/>
        </w:rPr>
        <w:t>ها ليست المصدر الوحيد له</w:t>
      </w:r>
      <w:r w:rsidR="00F51009" w:rsidRPr="00904FCB">
        <w:rPr>
          <w:rFonts w:ascii="Arial" w:hAnsi="Arial" w:hint="cs"/>
          <w:sz w:val="27"/>
          <w:rtl/>
          <w:lang w:bidi="ar-JO"/>
        </w:rPr>
        <w:t>.</w:t>
      </w:r>
      <w:r w:rsidRPr="00904FCB">
        <w:rPr>
          <w:rFonts w:ascii="Arial" w:hAnsi="Arial"/>
          <w:sz w:val="27"/>
          <w:rtl/>
          <w:lang w:bidi="ar-JO"/>
        </w:rPr>
        <w:t xml:space="preserve"> وبناءً عليه </w:t>
      </w:r>
      <w:r w:rsidRPr="00904FCB">
        <w:rPr>
          <w:rFonts w:hint="eastAsia"/>
          <w:sz w:val="27"/>
          <w:rtl/>
          <w:lang w:bidi="ar-JO"/>
        </w:rPr>
        <w:t>«</w:t>
      </w:r>
      <w:r w:rsidRPr="00904FCB">
        <w:rPr>
          <w:rFonts w:ascii="Arial" w:hAnsi="Arial"/>
          <w:sz w:val="27"/>
          <w:rtl/>
          <w:lang w:bidi="ar-JO"/>
        </w:rPr>
        <w:t>ليست الس</w:t>
      </w:r>
      <w:r w:rsidR="00F51009" w:rsidRPr="00904FCB">
        <w:rPr>
          <w:rFonts w:ascii="Arial" w:hAnsi="Arial" w:hint="cs"/>
          <w:sz w:val="27"/>
          <w:rtl/>
          <w:lang w:bidi="ar-JO"/>
        </w:rPr>
        <w:t>َّ</w:t>
      </w:r>
      <w:r w:rsidRPr="00904FCB">
        <w:rPr>
          <w:rFonts w:ascii="Arial" w:hAnsi="Arial"/>
          <w:sz w:val="27"/>
          <w:rtl/>
          <w:lang w:bidi="ar-JO"/>
        </w:rPr>
        <w:t>ل</w:t>
      </w:r>
      <w:r w:rsidR="00F51009" w:rsidRPr="00904FCB">
        <w:rPr>
          <w:rFonts w:ascii="Arial" w:hAnsi="Arial" w:hint="cs"/>
          <w:sz w:val="27"/>
          <w:rtl/>
          <w:lang w:bidi="ar-JO"/>
        </w:rPr>
        <w:t>َ</w:t>
      </w:r>
      <w:r w:rsidRPr="00904FCB">
        <w:rPr>
          <w:rFonts w:ascii="Arial" w:hAnsi="Arial"/>
          <w:sz w:val="27"/>
          <w:rtl/>
          <w:lang w:bidi="ar-JO"/>
        </w:rPr>
        <w:t>فية الوهابية الجهادية هي التيار الجهادي العالمي</w:t>
      </w:r>
      <w:r w:rsidR="00F51009" w:rsidRPr="00904FCB">
        <w:rPr>
          <w:rFonts w:ascii="Arial" w:hAnsi="Arial" w:hint="cs"/>
          <w:sz w:val="27"/>
          <w:rtl/>
          <w:lang w:bidi="ar-JO"/>
        </w:rPr>
        <w:t>،</w:t>
      </w:r>
      <w:r w:rsidRPr="00904FCB">
        <w:rPr>
          <w:rFonts w:ascii="Arial" w:hAnsi="Arial"/>
          <w:sz w:val="27"/>
          <w:rtl/>
          <w:lang w:bidi="ar-JO"/>
        </w:rPr>
        <w:t xml:space="preserve"> ولا هي المخو</w:t>
      </w:r>
      <w:r w:rsidR="00F51009" w:rsidRPr="00904FCB">
        <w:rPr>
          <w:rFonts w:ascii="Arial" w:hAnsi="Arial" w:hint="cs"/>
          <w:sz w:val="27"/>
          <w:rtl/>
          <w:lang w:bidi="ar-JO"/>
        </w:rPr>
        <w:t>َّ</w:t>
      </w:r>
      <w:r w:rsidRPr="00904FCB">
        <w:rPr>
          <w:rFonts w:ascii="Arial" w:hAnsi="Arial"/>
          <w:sz w:val="27"/>
          <w:rtl/>
          <w:lang w:bidi="ar-JO"/>
        </w:rPr>
        <w:t>لة التحد</w:t>
      </w:r>
      <w:r w:rsidR="00F51009" w:rsidRPr="00904FCB">
        <w:rPr>
          <w:rFonts w:ascii="Arial" w:hAnsi="Arial" w:hint="cs"/>
          <w:sz w:val="27"/>
          <w:rtl/>
          <w:lang w:bidi="ar-JO"/>
        </w:rPr>
        <w:t>ُّ</w:t>
      </w:r>
      <w:r w:rsidRPr="00904FCB">
        <w:rPr>
          <w:rFonts w:ascii="Arial" w:hAnsi="Arial"/>
          <w:sz w:val="27"/>
          <w:rtl/>
          <w:lang w:bidi="ar-JO"/>
        </w:rPr>
        <w:t>ث باسمه</w:t>
      </w:r>
      <w:r w:rsidR="00F51009" w:rsidRPr="00904FCB">
        <w:rPr>
          <w:rFonts w:ascii="Arial" w:hAnsi="Arial" w:hint="cs"/>
          <w:sz w:val="27"/>
          <w:rtl/>
          <w:lang w:bidi="ar-JO"/>
        </w:rPr>
        <w:t>.</w:t>
      </w:r>
      <w:r w:rsidRPr="00904FCB">
        <w:rPr>
          <w:rFonts w:ascii="Arial" w:hAnsi="Arial"/>
          <w:sz w:val="27"/>
          <w:rtl/>
          <w:lang w:bidi="ar-JO"/>
        </w:rPr>
        <w:t xml:space="preserve"> كما أن التيار الجهادي أوسع، في مرجعياته ومكو</w:t>
      </w:r>
      <w:r w:rsidR="00F51009" w:rsidRPr="00904FCB">
        <w:rPr>
          <w:rFonts w:ascii="Arial" w:hAnsi="Arial" w:hint="cs"/>
          <w:sz w:val="27"/>
          <w:rtl/>
          <w:lang w:bidi="ar-JO"/>
        </w:rPr>
        <w:t>ّ</w:t>
      </w:r>
      <w:r w:rsidRPr="00904FCB">
        <w:rPr>
          <w:rFonts w:ascii="Arial" w:hAnsi="Arial"/>
          <w:sz w:val="27"/>
          <w:rtl/>
          <w:lang w:bidi="ar-JO"/>
        </w:rPr>
        <w:t>ناته، من أي</w:t>
      </w:r>
      <w:r w:rsidR="00F51009" w:rsidRPr="00904FCB">
        <w:rPr>
          <w:rFonts w:ascii="Arial" w:hAnsi="Arial" w:hint="cs"/>
          <w:sz w:val="27"/>
          <w:rtl/>
          <w:lang w:bidi="ar-JO"/>
        </w:rPr>
        <w:t>ّ</w:t>
      </w:r>
      <w:r w:rsidRPr="00904FCB">
        <w:rPr>
          <w:rFonts w:ascii="Arial" w:hAnsi="Arial"/>
          <w:sz w:val="27"/>
          <w:rtl/>
          <w:lang w:bidi="ar-JO"/>
        </w:rPr>
        <w:t xml:space="preserve"> مرجعية منفصلة. والحقيقة أن التصاق تعبير الس</w:t>
      </w:r>
      <w:r w:rsidR="00F51009" w:rsidRPr="00904FCB">
        <w:rPr>
          <w:rFonts w:ascii="Arial" w:hAnsi="Arial" w:hint="cs"/>
          <w:sz w:val="27"/>
          <w:rtl/>
          <w:lang w:bidi="ar-JO"/>
        </w:rPr>
        <w:t>َّ</w:t>
      </w:r>
      <w:r w:rsidRPr="00904FCB">
        <w:rPr>
          <w:rFonts w:ascii="Arial" w:hAnsi="Arial"/>
          <w:sz w:val="27"/>
          <w:rtl/>
          <w:lang w:bidi="ar-JO"/>
        </w:rPr>
        <w:t>ل</w:t>
      </w:r>
      <w:r w:rsidR="00F51009" w:rsidRPr="00904FCB">
        <w:rPr>
          <w:rFonts w:ascii="Arial" w:hAnsi="Arial" w:hint="cs"/>
          <w:sz w:val="27"/>
          <w:rtl/>
          <w:lang w:bidi="ar-JO"/>
        </w:rPr>
        <w:t>َ</w:t>
      </w:r>
      <w:r w:rsidRPr="00904FCB">
        <w:rPr>
          <w:rFonts w:ascii="Arial" w:hAnsi="Arial"/>
          <w:sz w:val="27"/>
          <w:rtl/>
          <w:lang w:bidi="ar-JO"/>
        </w:rPr>
        <w:t>فية بالتيار الجهادي العالمي يمكن رد</w:t>
      </w:r>
      <w:r w:rsidR="00F51009" w:rsidRPr="00904FCB">
        <w:rPr>
          <w:rFonts w:ascii="Arial" w:hAnsi="Arial" w:hint="cs"/>
          <w:sz w:val="27"/>
          <w:rtl/>
          <w:lang w:bidi="ar-JO"/>
        </w:rPr>
        <w:t>ُّ</w:t>
      </w:r>
      <w:r w:rsidRPr="00904FCB">
        <w:rPr>
          <w:rFonts w:ascii="Arial" w:hAnsi="Arial"/>
          <w:sz w:val="27"/>
          <w:rtl/>
          <w:lang w:bidi="ar-JO"/>
        </w:rPr>
        <w:t>ه إلى عد</w:t>
      </w:r>
      <w:r w:rsidR="00F51009" w:rsidRPr="00904FCB">
        <w:rPr>
          <w:rFonts w:ascii="Arial" w:hAnsi="Arial" w:hint="cs"/>
          <w:sz w:val="27"/>
          <w:rtl/>
          <w:lang w:bidi="ar-JO"/>
        </w:rPr>
        <w:t>ّ</w:t>
      </w:r>
      <w:r w:rsidRPr="00904FCB">
        <w:rPr>
          <w:rFonts w:ascii="Arial" w:hAnsi="Arial"/>
          <w:sz w:val="27"/>
          <w:rtl/>
          <w:lang w:bidi="ar-JO"/>
        </w:rPr>
        <w:t>ة أسباب</w:t>
      </w:r>
      <w:r w:rsidR="00F51009" w:rsidRPr="00904FCB">
        <w:rPr>
          <w:rFonts w:ascii="Arial" w:hAnsi="Arial" w:hint="cs"/>
          <w:sz w:val="27"/>
          <w:rtl/>
          <w:lang w:bidi="ar-JO"/>
        </w:rPr>
        <w:t>،</w:t>
      </w:r>
      <w:r w:rsidRPr="00904FCB">
        <w:rPr>
          <w:rFonts w:ascii="Arial" w:hAnsi="Arial"/>
          <w:sz w:val="27"/>
          <w:rtl/>
          <w:lang w:bidi="ar-JO"/>
        </w:rPr>
        <w:t xml:space="preserve"> منها: </w:t>
      </w:r>
    </w:p>
    <w:p w:rsidR="00A45FD9" w:rsidRPr="00904FCB" w:rsidRDefault="00A45FD9" w:rsidP="00424452">
      <w:pPr>
        <w:widowControl/>
        <w:numPr>
          <w:ilvl w:val="1"/>
          <w:numId w:val="14"/>
        </w:numPr>
        <w:tabs>
          <w:tab w:val="num" w:pos="270"/>
        </w:tabs>
        <w:spacing w:line="420" w:lineRule="exact"/>
        <w:ind w:firstLine="561"/>
        <w:rPr>
          <w:rFonts w:ascii="Arial" w:hAnsi="Arial"/>
          <w:sz w:val="27"/>
          <w:lang w:bidi="ar-JO"/>
        </w:rPr>
      </w:pPr>
      <w:r w:rsidRPr="00904FCB">
        <w:rPr>
          <w:rFonts w:ascii="Arial" w:hAnsi="Arial" w:hint="cs"/>
          <w:sz w:val="27"/>
          <w:rtl/>
          <w:lang w:bidi="ar-JO"/>
        </w:rPr>
        <w:t xml:space="preserve"> </w:t>
      </w:r>
      <w:r w:rsidRPr="00904FCB">
        <w:rPr>
          <w:rFonts w:hint="eastAsia"/>
          <w:sz w:val="27"/>
          <w:rtl/>
          <w:lang w:bidi="ar-JO"/>
        </w:rPr>
        <w:t>«</w:t>
      </w:r>
      <w:r w:rsidRPr="00904FCB">
        <w:rPr>
          <w:rFonts w:ascii="Arial" w:hAnsi="Arial"/>
          <w:sz w:val="27"/>
          <w:rtl/>
          <w:lang w:bidi="ar-JO"/>
        </w:rPr>
        <w:t>كثرة منتسبيه من الجزيرة العربية</w:t>
      </w:r>
      <w:r w:rsidR="00F51009" w:rsidRPr="00904FCB">
        <w:rPr>
          <w:rFonts w:ascii="Arial" w:hAnsi="Arial" w:hint="cs"/>
          <w:sz w:val="27"/>
          <w:rtl/>
          <w:lang w:bidi="ar-JO"/>
        </w:rPr>
        <w:t>،</w:t>
      </w:r>
      <w:r w:rsidRPr="00904FCB">
        <w:rPr>
          <w:rFonts w:ascii="Arial" w:hAnsi="Arial"/>
          <w:sz w:val="27"/>
          <w:rtl/>
          <w:lang w:bidi="ar-JO"/>
        </w:rPr>
        <w:t xml:space="preserve"> وخاص</w:t>
      </w:r>
      <w:r w:rsidR="00F51009" w:rsidRPr="00904FCB">
        <w:rPr>
          <w:rFonts w:ascii="Arial" w:hAnsi="Arial" w:hint="cs"/>
          <w:sz w:val="27"/>
          <w:rtl/>
          <w:lang w:bidi="ar-JO"/>
        </w:rPr>
        <w:t>ّ</w:t>
      </w:r>
      <w:r w:rsidRPr="00904FCB">
        <w:rPr>
          <w:rFonts w:ascii="Arial" w:hAnsi="Arial"/>
          <w:sz w:val="27"/>
          <w:rtl/>
          <w:lang w:bidi="ar-JO"/>
        </w:rPr>
        <w:t>ة من السعودية، إثر دخول الدولة على خط</w:t>
      </w:r>
      <w:r w:rsidR="00F51009" w:rsidRPr="00904FCB">
        <w:rPr>
          <w:rFonts w:ascii="Arial" w:hAnsi="Arial" w:hint="cs"/>
          <w:sz w:val="27"/>
          <w:rtl/>
          <w:lang w:bidi="ar-JO"/>
        </w:rPr>
        <w:t>ّ</w:t>
      </w:r>
      <w:r w:rsidRPr="00904FCB">
        <w:rPr>
          <w:rFonts w:ascii="Arial" w:hAnsi="Arial"/>
          <w:sz w:val="27"/>
          <w:rtl/>
          <w:lang w:bidi="ar-JO"/>
        </w:rPr>
        <w:t xml:space="preserve"> الجهاد الأفغاني الأو</w:t>
      </w:r>
      <w:r w:rsidR="00F51009" w:rsidRPr="00904FCB">
        <w:rPr>
          <w:rFonts w:ascii="Arial" w:hAnsi="Arial" w:hint="cs"/>
          <w:sz w:val="27"/>
          <w:rtl/>
          <w:lang w:bidi="ar-JO"/>
        </w:rPr>
        <w:t>ّ</w:t>
      </w:r>
      <w:r w:rsidRPr="00904FCB">
        <w:rPr>
          <w:rFonts w:ascii="Arial" w:hAnsi="Arial"/>
          <w:sz w:val="27"/>
          <w:rtl/>
          <w:lang w:bidi="ar-JO"/>
        </w:rPr>
        <w:t>ل</w:t>
      </w:r>
      <w:r w:rsidRPr="00904FCB">
        <w:rPr>
          <w:sz w:val="27"/>
          <w:vertAlign w:val="superscript"/>
          <w:rtl/>
        </w:rPr>
        <w:t>(</w:t>
      </w:r>
      <w:r w:rsidRPr="00904FCB">
        <w:rPr>
          <w:sz w:val="27"/>
          <w:vertAlign w:val="superscript"/>
          <w:rtl/>
        </w:rPr>
        <w:endnoteReference w:id="125"/>
      </w:r>
      <w:r w:rsidRPr="00904FCB">
        <w:rPr>
          <w:sz w:val="27"/>
          <w:vertAlign w:val="superscript"/>
          <w:rtl/>
        </w:rPr>
        <w:t>)</w:t>
      </w:r>
      <w:r w:rsidR="00F51009" w:rsidRPr="00904FCB">
        <w:rPr>
          <w:rFonts w:ascii="Arial" w:hAnsi="Arial" w:hint="cs"/>
          <w:sz w:val="27"/>
          <w:rtl/>
        </w:rPr>
        <w:t>،</w:t>
      </w:r>
      <w:r w:rsidRPr="00904FCB">
        <w:rPr>
          <w:rFonts w:ascii="Arial" w:hAnsi="Arial"/>
          <w:sz w:val="27"/>
          <w:rtl/>
          <w:lang w:bidi="ar-JO"/>
        </w:rPr>
        <w:t xml:space="preserve"> ودعمها لعديد القوى المنخرطة فيه</w:t>
      </w:r>
      <w:r w:rsidR="00F51009" w:rsidRPr="00904FCB">
        <w:rPr>
          <w:rFonts w:ascii="Arial" w:hAnsi="Arial" w:hint="cs"/>
          <w:sz w:val="27"/>
          <w:rtl/>
          <w:lang w:bidi="ar-JO"/>
        </w:rPr>
        <w:t>،</w:t>
      </w:r>
      <w:r w:rsidRPr="00904FCB">
        <w:rPr>
          <w:rFonts w:ascii="Arial" w:hAnsi="Arial"/>
          <w:sz w:val="27"/>
          <w:rtl/>
          <w:lang w:bidi="ar-JO"/>
        </w:rPr>
        <w:t xml:space="preserve"> وتوفير الغطاء الماد</w:t>
      </w:r>
      <w:r w:rsidR="00F51009" w:rsidRPr="00904FCB">
        <w:rPr>
          <w:rFonts w:ascii="Arial" w:hAnsi="Arial" w:hint="cs"/>
          <w:sz w:val="27"/>
          <w:rtl/>
          <w:lang w:bidi="ar-JO"/>
        </w:rPr>
        <w:t>ّ</w:t>
      </w:r>
      <w:r w:rsidRPr="00904FCB">
        <w:rPr>
          <w:rFonts w:ascii="Arial" w:hAnsi="Arial"/>
          <w:sz w:val="27"/>
          <w:rtl/>
          <w:lang w:bidi="ar-JO"/>
        </w:rPr>
        <w:t>ي والإعلامي له</w:t>
      </w:r>
      <w:r w:rsidR="00F51009" w:rsidRPr="00904FCB">
        <w:rPr>
          <w:rFonts w:ascii="Arial" w:hAnsi="Arial" w:hint="cs"/>
          <w:sz w:val="27"/>
          <w:rtl/>
          <w:lang w:bidi="ar-JO"/>
        </w:rPr>
        <w:t>،</w:t>
      </w:r>
      <w:r w:rsidRPr="00904FCB">
        <w:rPr>
          <w:rFonts w:ascii="Arial" w:hAnsi="Arial"/>
          <w:sz w:val="27"/>
          <w:rtl/>
          <w:lang w:bidi="ar-JO"/>
        </w:rPr>
        <w:t xml:space="preserve"> وحت</w:t>
      </w:r>
      <w:r w:rsidR="00F51009" w:rsidRPr="00904FCB">
        <w:rPr>
          <w:rFonts w:ascii="Arial" w:hAnsi="Arial" w:hint="cs"/>
          <w:sz w:val="27"/>
          <w:rtl/>
          <w:lang w:bidi="ar-JO"/>
        </w:rPr>
        <w:t>ّ</w:t>
      </w:r>
      <w:r w:rsidRPr="00904FCB">
        <w:rPr>
          <w:rFonts w:ascii="Arial" w:hAnsi="Arial"/>
          <w:sz w:val="27"/>
          <w:rtl/>
          <w:lang w:bidi="ar-JO"/>
        </w:rPr>
        <w:t xml:space="preserve">ى الشرعي. </w:t>
      </w:r>
    </w:p>
    <w:p w:rsidR="00A45FD9" w:rsidRPr="00904FCB" w:rsidRDefault="00A45FD9" w:rsidP="00424452">
      <w:pPr>
        <w:widowControl/>
        <w:numPr>
          <w:ilvl w:val="1"/>
          <w:numId w:val="14"/>
        </w:numPr>
        <w:tabs>
          <w:tab w:val="num" w:pos="-1756"/>
        </w:tabs>
        <w:spacing w:line="420" w:lineRule="exact"/>
        <w:ind w:firstLine="561"/>
        <w:rPr>
          <w:rFonts w:ascii="Arial" w:hAnsi="Arial"/>
          <w:sz w:val="27"/>
          <w:lang w:bidi="ar-JO"/>
        </w:rPr>
      </w:pPr>
      <w:r w:rsidRPr="00904FCB">
        <w:rPr>
          <w:rFonts w:ascii="Arial" w:hAnsi="Arial"/>
          <w:sz w:val="27"/>
          <w:rtl/>
          <w:lang w:bidi="ar-JO"/>
        </w:rPr>
        <w:t>تبن</w:t>
      </w:r>
      <w:r w:rsidR="00F51009" w:rsidRPr="00904FCB">
        <w:rPr>
          <w:rFonts w:ascii="Arial" w:hAnsi="Arial" w:hint="cs"/>
          <w:sz w:val="27"/>
          <w:rtl/>
          <w:lang w:bidi="ar-JO"/>
        </w:rPr>
        <w:t>ّ</w:t>
      </w:r>
      <w:r w:rsidRPr="00904FCB">
        <w:rPr>
          <w:rFonts w:ascii="Arial" w:hAnsi="Arial"/>
          <w:sz w:val="27"/>
          <w:rtl/>
          <w:lang w:bidi="ar-JO"/>
        </w:rPr>
        <w:t>ي الكثير من علماء السعودية للمشروع الجهادي</w:t>
      </w:r>
      <w:r w:rsidR="00F51009" w:rsidRPr="00904FCB">
        <w:rPr>
          <w:rFonts w:ascii="Arial" w:hAnsi="Arial" w:hint="cs"/>
          <w:sz w:val="27"/>
          <w:rtl/>
          <w:lang w:bidi="ar-JO"/>
        </w:rPr>
        <w:t>،</w:t>
      </w:r>
      <w:r w:rsidRPr="00904FCB">
        <w:rPr>
          <w:rFonts w:ascii="Arial" w:hAnsi="Arial"/>
          <w:sz w:val="27"/>
          <w:rtl/>
          <w:lang w:bidi="ar-JO"/>
        </w:rPr>
        <w:t xml:space="preserve"> مم</w:t>
      </w:r>
      <w:r w:rsidR="00F51009" w:rsidRPr="00904FCB">
        <w:rPr>
          <w:rFonts w:ascii="Arial" w:hAnsi="Arial" w:hint="cs"/>
          <w:sz w:val="27"/>
          <w:rtl/>
          <w:lang w:bidi="ar-JO"/>
        </w:rPr>
        <w:t>َّ</w:t>
      </w:r>
      <w:r w:rsidRPr="00904FCB">
        <w:rPr>
          <w:rFonts w:ascii="Arial" w:hAnsi="Arial"/>
          <w:sz w:val="27"/>
          <w:rtl/>
          <w:lang w:bidi="ar-JO"/>
        </w:rPr>
        <w:t>ن</w:t>
      </w:r>
      <w:r w:rsidR="00F51009" w:rsidRPr="00904FCB">
        <w:rPr>
          <w:rFonts w:ascii="Arial" w:hAnsi="Arial" w:hint="cs"/>
          <w:sz w:val="27"/>
          <w:rtl/>
          <w:lang w:bidi="ar-JO"/>
        </w:rPr>
        <w:t>ْ</w:t>
      </w:r>
      <w:r w:rsidRPr="00904FCB">
        <w:rPr>
          <w:rFonts w:ascii="Arial" w:hAnsi="Arial"/>
          <w:sz w:val="27"/>
          <w:rtl/>
          <w:lang w:bidi="ar-JO"/>
        </w:rPr>
        <w:t xml:space="preserve"> ذاع صيتهم في الأوساط الجهادية والإعلامية. </w:t>
      </w:r>
    </w:p>
    <w:p w:rsidR="00A45FD9" w:rsidRPr="00904FCB" w:rsidRDefault="00A45FD9" w:rsidP="00424452">
      <w:pPr>
        <w:spacing w:line="420" w:lineRule="exact"/>
        <w:ind w:firstLine="561"/>
        <w:rPr>
          <w:rFonts w:ascii="Arial" w:hAnsi="Arial"/>
          <w:sz w:val="27"/>
          <w:lang w:bidi="ar-LB"/>
        </w:rPr>
      </w:pPr>
      <w:r w:rsidRPr="00904FCB">
        <w:rPr>
          <w:rFonts w:ascii="Arial" w:hAnsi="Arial"/>
          <w:sz w:val="27"/>
          <w:rtl/>
          <w:lang w:bidi="ar-JO"/>
        </w:rPr>
        <w:t>والحقيقة أن</w:t>
      </w:r>
      <w:r w:rsidRPr="00904FCB">
        <w:rPr>
          <w:rFonts w:ascii="Arial" w:hAnsi="Arial"/>
          <w:b/>
          <w:bCs/>
          <w:sz w:val="27"/>
          <w:rtl/>
        </w:rPr>
        <w:t xml:space="preserve"> </w:t>
      </w:r>
      <w:r w:rsidRPr="00904FCB">
        <w:rPr>
          <w:rFonts w:ascii="Arial" w:hAnsi="Arial"/>
          <w:sz w:val="27"/>
          <w:rtl/>
        </w:rPr>
        <w:t>اهتمام الجهاديين بالوه</w:t>
      </w:r>
      <w:r w:rsidR="00D709B2" w:rsidRPr="00904FCB">
        <w:rPr>
          <w:rFonts w:ascii="Arial" w:hAnsi="Arial" w:hint="cs"/>
          <w:sz w:val="27"/>
          <w:rtl/>
        </w:rPr>
        <w:t>ّ</w:t>
      </w:r>
      <w:r w:rsidRPr="00904FCB">
        <w:rPr>
          <w:rFonts w:ascii="Arial" w:hAnsi="Arial"/>
          <w:sz w:val="27"/>
          <w:rtl/>
        </w:rPr>
        <w:t>ابية (دعوة الشيخ محمد بن عبد الوه</w:t>
      </w:r>
      <w:r w:rsidR="00D709B2" w:rsidRPr="00904FCB">
        <w:rPr>
          <w:rFonts w:ascii="Arial" w:hAnsi="Arial" w:hint="cs"/>
          <w:sz w:val="27"/>
          <w:rtl/>
        </w:rPr>
        <w:t>ّ</w:t>
      </w:r>
      <w:r w:rsidRPr="00904FCB">
        <w:rPr>
          <w:rFonts w:ascii="Arial" w:hAnsi="Arial"/>
          <w:sz w:val="27"/>
          <w:rtl/>
        </w:rPr>
        <w:t>اب)</w:t>
      </w:r>
      <w:r w:rsidR="00D709B2" w:rsidRPr="00904FCB">
        <w:rPr>
          <w:rFonts w:ascii="Arial" w:hAnsi="Arial" w:hint="cs"/>
          <w:sz w:val="27"/>
          <w:rtl/>
        </w:rPr>
        <w:t>،</w:t>
      </w:r>
      <w:r w:rsidRPr="00904FCB">
        <w:rPr>
          <w:rFonts w:ascii="Arial" w:hAnsi="Arial"/>
          <w:sz w:val="27"/>
          <w:rtl/>
        </w:rPr>
        <w:t xml:space="preserve"> والتركيز على تراثها، برز بشكل لافت</w:t>
      </w:r>
      <w:r w:rsidR="00D709B2" w:rsidRPr="00904FCB">
        <w:rPr>
          <w:rFonts w:ascii="Arial" w:hAnsi="Arial" w:hint="cs"/>
          <w:sz w:val="27"/>
          <w:rtl/>
        </w:rPr>
        <w:t>ٍ</w:t>
      </w:r>
      <w:r w:rsidRPr="00904FCB">
        <w:rPr>
          <w:rFonts w:ascii="Arial" w:hAnsi="Arial"/>
          <w:sz w:val="27"/>
          <w:rtl/>
        </w:rPr>
        <w:t xml:space="preserve"> عقب أحداث سبتمبر/ أيلول </w:t>
      </w:r>
      <w:r w:rsidRPr="00B13398">
        <w:rPr>
          <w:rFonts w:ascii="Arial" w:hAnsi="Arial"/>
          <w:sz w:val="27"/>
          <w:rtl/>
        </w:rPr>
        <w:t>2001</w:t>
      </w:r>
      <w:r w:rsidR="00D709B2" w:rsidRPr="00904FCB">
        <w:rPr>
          <w:rFonts w:ascii="Arial" w:hAnsi="Arial" w:hint="cs"/>
          <w:sz w:val="27"/>
          <w:rtl/>
        </w:rPr>
        <w:t>،</w:t>
      </w:r>
      <w:r w:rsidRPr="00904FCB">
        <w:rPr>
          <w:rFonts w:ascii="Arial" w:hAnsi="Arial"/>
          <w:sz w:val="27"/>
          <w:rtl/>
        </w:rPr>
        <w:t xml:space="preserve"> وما تبعها من دخول شيوخ نجديين على الخط</w:t>
      </w:r>
      <w:r w:rsidR="00D709B2" w:rsidRPr="00904FCB">
        <w:rPr>
          <w:rFonts w:ascii="Arial" w:hAnsi="Arial" w:hint="cs"/>
          <w:sz w:val="27"/>
          <w:rtl/>
        </w:rPr>
        <w:t>ّ</w:t>
      </w:r>
      <w:r w:rsidRPr="00904FCB">
        <w:rPr>
          <w:rFonts w:ascii="Arial" w:hAnsi="Arial"/>
          <w:sz w:val="27"/>
          <w:rtl/>
        </w:rPr>
        <w:t xml:space="preserve"> الجهادي</w:t>
      </w:r>
      <w:r w:rsidR="00D709B2" w:rsidRPr="00904FCB">
        <w:rPr>
          <w:rFonts w:ascii="Arial" w:hAnsi="Arial" w:hint="cs"/>
          <w:sz w:val="27"/>
          <w:rtl/>
        </w:rPr>
        <w:t>؛</w:t>
      </w:r>
      <w:r w:rsidRPr="00904FCB">
        <w:rPr>
          <w:rFonts w:ascii="Arial" w:hAnsi="Arial"/>
          <w:sz w:val="27"/>
          <w:rtl/>
        </w:rPr>
        <w:t xml:space="preserve"> إذ كان لهؤلاء اهتمام بالغ بتراث أئم</w:t>
      </w:r>
      <w:r w:rsidR="00042453" w:rsidRPr="00904FCB">
        <w:rPr>
          <w:rFonts w:ascii="Arial" w:hAnsi="Arial" w:hint="cs"/>
          <w:sz w:val="27"/>
          <w:rtl/>
        </w:rPr>
        <w:t>ّ</w:t>
      </w:r>
      <w:r w:rsidRPr="00904FCB">
        <w:rPr>
          <w:rFonts w:ascii="Arial" w:hAnsi="Arial"/>
          <w:sz w:val="27"/>
          <w:rtl/>
        </w:rPr>
        <w:t>ة الدعوة النجدية</w:t>
      </w:r>
      <w:r w:rsidR="00D709B2" w:rsidRPr="00904FCB">
        <w:rPr>
          <w:rFonts w:ascii="Arial" w:hAnsi="Arial" w:hint="cs"/>
          <w:sz w:val="27"/>
          <w:rtl/>
        </w:rPr>
        <w:t>،</w:t>
      </w:r>
      <w:r w:rsidRPr="00904FCB">
        <w:rPr>
          <w:rFonts w:ascii="Arial" w:hAnsi="Arial"/>
          <w:sz w:val="27"/>
          <w:rtl/>
        </w:rPr>
        <w:t xml:space="preserve"> خصوصاً علي الخضير وأحمد الخالدي</w:t>
      </w:r>
      <w:r w:rsidR="00D709B2" w:rsidRPr="00904FCB">
        <w:rPr>
          <w:rFonts w:ascii="Arial" w:hAnsi="Arial" w:hint="cs"/>
          <w:sz w:val="27"/>
          <w:rtl/>
        </w:rPr>
        <w:t>،</w:t>
      </w:r>
      <w:r w:rsidRPr="00904FCB">
        <w:rPr>
          <w:rFonts w:ascii="Arial" w:hAnsi="Arial"/>
          <w:sz w:val="27"/>
          <w:rtl/>
        </w:rPr>
        <w:t xml:space="preserve"> حيث تعج</w:t>
      </w:r>
      <w:r w:rsidR="00D709B2" w:rsidRPr="00904FCB">
        <w:rPr>
          <w:rFonts w:ascii="Arial" w:hAnsi="Arial" w:hint="cs"/>
          <w:sz w:val="27"/>
          <w:rtl/>
        </w:rPr>
        <w:t>ّ</w:t>
      </w:r>
      <w:r w:rsidRPr="00904FCB">
        <w:rPr>
          <w:rFonts w:ascii="Arial" w:hAnsi="Arial"/>
          <w:sz w:val="27"/>
          <w:rtl/>
        </w:rPr>
        <w:t xml:space="preserve"> مؤل</w:t>
      </w:r>
      <w:r w:rsidR="00D709B2" w:rsidRPr="00904FCB">
        <w:rPr>
          <w:rFonts w:ascii="Arial" w:hAnsi="Arial" w:hint="cs"/>
          <w:sz w:val="27"/>
          <w:rtl/>
        </w:rPr>
        <w:t>َّ</w:t>
      </w:r>
      <w:r w:rsidRPr="00904FCB">
        <w:rPr>
          <w:rFonts w:ascii="Arial" w:hAnsi="Arial"/>
          <w:sz w:val="27"/>
          <w:rtl/>
        </w:rPr>
        <w:t>فاتهما بكثرة الإحالات (إلى) والنقل (عن) تراث أئم</w:t>
      </w:r>
      <w:r w:rsidR="00D709B2" w:rsidRPr="00904FCB">
        <w:rPr>
          <w:rFonts w:ascii="Arial" w:hAnsi="Arial" w:hint="cs"/>
          <w:sz w:val="27"/>
          <w:rtl/>
        </w:rPr>
        <w:t>ّ</w:t>
      </w:r>
      <w:r w:rsidRPr="00904FCB">
        <w:rPr>
          <w:rFonts w:ascii="Arial" w:hAnsi="Arial"/>
          <w:sz w:val="27"/>
          <w:rtl/>
        </w:rPr>
        <w:t>ة الدعوة</w:t>
      </w:r>
      <w:r w:rsidR="00D709B2" w:rsidRPr="00904FCB">
        <w:rPr>
          <w:rFonts w:ascii="Arial" w:hAnsi="Arial" w:hint="cs"/>
          <w:sz w:val="27"/>
          <w:rtl/>
        </w:rPr>
        <w:t>،</w:t>
      </w:r>
      <w:r w:rsidRPr="00904FCB">
        <w:rPr>
          <w:rFonts w:ascii="Arial" w:hAnsi="Arial"/>
          <w:sz w:val="27"/>
          <w:rtl/>
        </w:rPr>
        <w:t xml:space="preserve"> مم</w:t>
      </w:r>
      <w:r w:rsidR="00D709B2" w:rsidRPr="00904FCB">
        <w:rPr>
          <w:rFonts w:ascii="Arial" w:hAnsi="Arial" w:hint="cs"/>
          <w:sz w:val="27"/>
          <w:rtl/>
        </w:rPr>
        <w:t>ّ</w:t>
      </w:r>
      <w:r w:rsidRPr="00904FCB">
        <w:rPr>
          <w:rFonts w:ascii="Arial" w:hAnsi="Arial"/>
          <w:sz w:val="27"/>
          <w:rtl/>
        </w:rPr>
        <w:t>ا ينبئ عن استظهارهما لتلك الرسائل</w:t>
      </w:r>
      <w:r w:rsidR="00042453" w:rsidRPr="00904FCB">
        <w:rPr>
          <w:rFonts w:ascii="Arial" w:hAnsi="Arial"/>
          <w:sz w:val="27"/>
          <w:rtl/>
        </w:rPr>
        <w:t>.</w:t>
      </w:r>
    </w:p>
    <w:p w:rsidR="00A45FD9" w:rsidRPr="00904FCB" w:rsidRDefault="00A45FD9" w:rsidP="007A21AA">
      <w:pPr>
        <w:widowControl/>
        <w:numPr>
          <w:ilvl w:val="1"/>
          <w:numId w:val="14"/>
        </w:numPr>
        <w:tabs>
          <w:tab w:val="num" w:pos="764"/>
        </w:tabs>
        <w:spacing w:line="400" w:lineRule="exact"/>
        <w:rPr>
          <w:rFonts w:ascii="Arial" w:hAnsi="Arial"/>
          <w:sz w:val="27"/>
          <w:lang w:bidi="ar-JO"/>
        </w:rPr>
      </w:pPr>
      <w:r w:rsidRPr="00904FCB">
        <w:rPr>
          <w:rFonts w:ascii="Arial" w:hAnsi="Arial"/>
          <w:sz w:val="27"/>
          <w:rtl/>
          <w:lang w:bidi="ar-JO"/>
        </w:rPr>
        <w:lastRenderedPageBreak/>
        <w:t>الاسترشاد بالدعوة الس</w:t>
      </w:r>
      <w:r w:rsidR="00042453" w:rsidRPr="00904FCB">
        <w:rPr>
          <w:rFonts w:ascii="Arial" w:hAnsi="Arial" w:hint="cs"/>
          <w:sz w:val="27"/>
          <w:rtl/>
          <w:lang w:bidi="ar-JO"/>
        </w:rPr>
        <w:t>َّ</w:t>
      </w:r>
      <w:r w:rsidRPr="00904FCB">
        <w:rPr>
          <w:rFonts w:ascii="Arial" w:hAnsi="Arial"/>
          <w:sz w:val="27"/>
          <w:rtl/>
          <w:lang w:bidi="ar-JO"/>
        </w:rPr>
        <w:t>ل</w:t>
      </w:r>
      <w:r w:rsidR="00042453" w:rsidRPr="00904FCB">
        <w:rPr>
          <w:rFonts w:ascii="Arial" w:hAnsi="Arial" w:hint="cs"/>
          <w:sz w:val="27"/>
          <w:rtl/>
          <w:lang w:bidi="ar-JO"/>
        </w:rPr>
        <w:t>َ</w:t>
      </w:r>
      <w:r w:rsidRPr="00904FCB">
        <w:rPr>
          <w:rFonts w:ascii="Arial" w:hAnsi="Arial"/>
          <w:sz w:val="27"/>
          <w:rtl/>
          <w:lang w:bidi="ar-JO"/>
        </w:rPr>
        <w:t>فية الوه</w:t>
      </w:r>
      <w:r w:rsidR="00042453" w:rsidRPr="00904FCB">
        <w:rPr>
          <w:rFonts w:ascii="Arial" w:hAnsi="Arial" w:hint="cs"/>
          <w:sz w:val="27"/>
          <w:rtl/>
          <w:lang w:bidi="ar-JO"/>
        </w:rPr>
        <w:t>ّ</w:t>
      </w:r>
      <w:r w:rsidRPr="00904FCB">
        <w:rPr>
          <w:rFonts w:ascii="Arial" w:hAnsi="Arial"/>
          <w:sz w:val="27"/>
          <w:rtl/>
          <w:lang w:bidi="ar-JO"/>
        </w:rPr>
        <w:t>ابية كمنهج</w:t>
      </w:r>
      <w:r w:rsidR="00042453" w:rsidRPr="00904FCB">
        <w:rPr>
          <w:rFonts w:ascii="Arial" w:hAnsi="Arial" w:hint="cs"/>
          <w:sz w:val="27"/>
          <w:rtl/>
          <w:lang w:bidi="ar-JO"/>
        </w:rPr>
        <w:t>ٍ</w:t>
      </w:r>
      <w:r w:rsidRPr="00904FCB">
        <w:rPr>
          <w:rFonts w:ascii="Arial" w:hAnsi="Arial"/>
          <w:sz w:val="27"/>
          <w:rtl/>
          <w:lang w:bidi="ar-JO"/>
        </w:rPr>
        <w:t xml:space="preserve"> علمي وعملي، والنظر إلى كتاب التوحيد لمحمد بن عبد الوه</w:t>
      </w:r>
      <w:r w:rsidR="00042453" w:rsidRPr="00904FCB">
        <w:rPr>
          <w:rFonts w:ascii="Arial" w:hAnsi="Arial" w:hint="cs"/>
          <w:sz w:val="27"/>
          <w:rtl/>
          <w:lang w:bidi="ar-JO"/>
        </w:rPr>
        <w:t>ّ</w:t>
      </w:r>
      <w:r w:rsidRPr="00904FCB">
        <w:rPr>
          <w:rFonts w:ascii="Arial" w:hAnsi="Arial"/>
          <w:sz w:val="27"/>
          <w:rtl/>
          <w:lang w:bidi="ar-JO"/>
        </w:rPr>
        <w:t>اب كأحد المراجع الرئيسة للتيار الجهادي العالمي</w:t>
      </w:r>
      <w:r w:rsidR="00042453" w:rsidRPr="00904FCB">
        <w:rPr>
          <w:rFonts w:ascii="Arial" w:hAnsi="Arial" w:hint="cs"/>
          <w:sz w:val="27"/>
          <w:rtl/>
          <w:lang w:bidi="ar-JO"/>
        </w:rPr>
        <w:t>،</w:t>
      </w:r>
      <w:r w:rsidRPr="00904FCB">
        <w:rPr>
          <w:rFonts w:ascii="Arial" w:hAnsi="Arial"/>
          <w:sz w:val="27"/>
          <w:rtl/>
          <w:lang w:bidi="ar-JO"/>
        </w:rPr>
        <w:t xml:space="preserve"> ومن بعده </w:t>
      </w:r>
      <w:r w:rsidRPr="00904FCB">
        <w:rPr>
          <w:rFonts w:ascii="Arial" w:hAnsi="Arial"/>
          <w:sz w:val="27"/>
          <w:rtl/>
        </w:rPr>
        <w:t>رسائل</w:t>
      </w:r>
      <w:r w:rsidRPr="00904FCB">
        <w:rPr>
          <w:rFonts w:ascii="Arial" w:hAnsi="Arial"/>
          <w:b/>
          <w:bCs/>
          <w:sz w:val="27"/>
          <w:rtl/>
        </w:rPr>
        <w:t xml:space="preserve"> </w:t>
      </w:r>
      <w:r w:rsidRPr="00904FCB">
        <w:rPr>
          <w:rFonts w:ascii="Arial" w:hAnsi="Arial"/>
          <w:sz w:val="27"/>
          <w:rtl/>
          <w:lang w:bidi="ar-JO"/>
        </w:rPr>
        <w:t>أئم</w:t>
      </w:r>
      <w:r w:rsidR="00042453" w:rsidRPr="00904FCB">
        <w:rPr>
          <w:rFonts w:ascii="Arial" w:hAnsi="Arial" w:hint="cs"/>
          <w:sz w:val="27"/>
          <w:rtl/>
          <w:lang w:bidi="ar-JO"/>
        </w:rPr>
        <w:t>ّ</w:t>
      </w:r>
      <w:r w:rsidRPr="00904FCB">
        <w:rPr>
          <w:rFonts w:ascii="Arial" w:hAnsi="Arial"/>
          <w:sz w:val="27"/>
          <w:rtl/>
          <w:lang w:bidi="ar-JO"/>
        </w:rPr>
        <w:t>ة الدعوة النجدية</w:t>
      </w:r>
      <w:r w:rsidR="00042453" w:rsidRPr="00904FCB">
        <w:rPr>
          <w:rFonts w:ascii="Arial" w:hAnsi="Arial" w:hint="cs"/>
          <w:sz w:val="27"/>
          <w:rtl/>
          <w:lang w:bidi="ar-JO"/>
        </w:rPr>
        <w:t>،</w:t>
      </w:r>
      <w:r w:rsidRPr="00904FCB">
        <w:rPr>
          <w:rFonts w:ascii="Arial" w:hAnsi="Arial"/>
          <w:sz w:val="27"/>
          <w:rtl/>
          <w:lang w:bidi="ar-JO"/>
        </w:rPr>
        <w:t xml:space="preserve"> </w:t>
      </w:r>
      <w:r w:rsidR="00042453" w:rsidRPr="00904FCB">
        <w:rPr>
          <w:rFonts w:ascii="Arial" w:hAnsi="Arial" w:hint="cs"/>
          <w:sz w:val="27"/>
          <w:rtl/>
          <w:lang w:bidi="ar-JO"/>
        </w:rPr>
        <w:t>و</w:t>
      </w:r>
      <w:r w:rsidRPr="00904FCB">
        <w:rPr>
          <w:rFonts w:ascii="Arial" w:hAnsi="Arial"/>
          <w:sz w:val="27"/>
          <w:rtl/>
          <w:lang w:bidi="ar-JO"/>
        </w:rPr>
        <w:t>خاص</w:t>
      </w:r>
      <w:r w:rsidR="00042453" w:rsidRPr="00904FCB">
        <w:rPr>
          <w:rFonts w:ascii="Arial" w:hAnsi="Arial" w:hint="cs"/>
          <w:sz w:val="27"/>
          <w:rtl/>
          <w:lang w:bidi="ar-JO"/>
        </w:rPr>
        <w:t>ّ</w:t>
      </w:r>
      <w:r w:rsidRPr="00904FCB">
        <w:rPr>
          <w:rFonts w:ascii="Arial" w:hAnsi="Arial"/>
          <w:sz w:val="27"/>
          <w:rtl/>
          <w:lang w:bidi="ar-JO"/>
        </w:rPr>
        <w:t>ة الدرر السني</w:t>
      </w:r>
      <w:r w:rsidR="00042453" w:rsidRPr="00904FCB">
        <w:rPr>
          <w:rFonts w:ascii="Arial" w:hAnsi="Arial" w:hint="cs"/>
          <w:sz w:val="27"/>
          <w:rtl/>
          <w:lang w:bidi="ar-JO"/>
        </w:rPr>
        <w:t>ّ</w:t>
      </w:r>
      <w:r w:rsidRPr="00904FCB">
        <w:rPr>
          <w:rFonts w:ascii="Arial" w:hAnsi="Arial"/>
          <w:sz w:val="27"/>
          <w:rtl/>
          <w:lang w:bidi="ar-JO"/>
        </w:rPr>
        <w:t>ة</w:t>
      </w:r>
      <w:r w:rsidR="00042453" w:rsidRPr="00904FCB">
        <w:rPr>
          <w:rFonts w:ascii="Arial" w:hAnsi="Arial" w:hint="cs"/>
          <w:sz w:val="27"/>
          <w:rtl/>
          <w:lang w:bidi="ar-JO"/>
        </w:rPr>
        <w:t>.</w:t>
      </w:r>
      <w:r w:rsidRPr="00904FCB">
        <w:rPr>
          <w:rFonts w:ascii="Arial" w:hAnsi="Arial"/>
          <w:sz w:val="27"/>
          <w:rtl/>
          <w:lang w:bidi="ar-JO"/>
        </w:rPr>
        <w:t xml:space="preserve"> فبعد الجهاد الأفغاني أضحى التراث الوه</w:t>
      </w:r>
      <w:r w:rsidR="00042453" w:rsidRPr="00904FCB">
        <w:rPr>
          <w:rFonts w:ascii="Arial" w:hAnsi="Arial" w:hint="cs"/>
          <w:sz w:val="27"/>
          <w:rtl/>
          <w:lang w:bidi="ar-JO"/>
        </w:rPr>
        <w:t>ّ</w:t>
      </w:r>
      <w:r w:rsidRPr="00904FCB">
        <w:rPr>
          <w:rFonts w:ascii="Arial" w:hAnsi="Arial"/>
          <w:sz w:val="27"/>
          <w:rtl/>
          <w:lang w:bidi="ar-JO"/>
        </w:rPr>
        <w:t>ابي مصدراً رئيساً أ</w:t>
      </w:r>
      <w:r w:rsidR="00042453" w:rsidRPr="00904FCB">
        <w:rPr>
          <w:rFonts w:ascii="Arial" w:hAnsi="Arial" w:hint="cs"/>
          <w:sz w:val="27"/>
          <w:rtl/>
          <w:lang w:bidi="ar-JO"/>
        </w:rPr>
        <w:t>ُ</w:t>
      </w:r>
      <w:r w:rsidRPr="00904FCB">
        <w:rPr>
          <w:rFonts w:ascii="Arial" w:hAnsi="Arial"/>
          <w:sz w:val="27"/>
          <w:rtl/>
          <w:lang w:bidi="ar-JO"/>
        </w:rPr>
        <w:t>ضيف إلى مصادر التراث المعرفي الجهادي</w:t>
      </w:r>
      <w:r w:rsidR="00042453" w:rsidRPr="00904FCB">
        <w:rPr>
          <w:rFonts w:ascii="Arial" w:hAnsi="Arial" w:hint="cs"/>
          <w:sz w:val="27"/>
          <w:rtl/>
          <w:lang w:bidi="ar-JO"/>
        </w:rPr>
        <w:t>،</w:t>
      </w:r>
      <w:r w:rsidRPr="00904FCB">
        <w:rPr>
          <w:rFonts w:ascii="Arial" w:hAnsi="Arial"/>
          <w:sz w:val="27"/>
          <w:rtl/>
          <w:lang w:bidi="ar-JO"/>
        </w:rPr>
        <w:t xml:space="preserve"> ممث</w:t>
      </w:r>
      <w:r w:rsidR="00042453" w:rsidRPr="00904FCB">
        <w:rPr>
          <w:rFonts w:ascii="Arial" w:hAnsi="Arial" w:hint="cs"/>
          <w:sz w:val="27"/>
          <w:rtl/>
          <w:lang w:bidi="ar-JO"/>
        </w:rPr>
        <w:t>ّ</w:t>
      </w:r>
      <w:r w:rsidRPr="00904FCB">
        <w:rPr>
          <w:rFonts w:ascii="Arial" w:hAnsi="Arial"/>
          <w:sz w:val="27"/>
          <w:rtl/>
          <w:lang w:bidi="ar-JO"/>
        </w:rPr>
        <w:t>لاً بفتاوى ابن تيمية وتلاميذه</w:t>
      </w:r>
      <w:r w:rsidR="00042453" w:rsidRPr="00904FCB">
        <w:rPr>
          <w:rFonts w:ascii="Arial" w:hAnsi="Arial" w:hint="cs"/>
          <w:sz w:val="27"/>
          <w:rtl/>
          <w:lang w:bidi="ar-JO"/>
        </w:rPr>
        <w:t>،</w:t>
      </w:r>
      <w:r w:rsidRPr="00904FCB">
        <w:rPr>
          <w:rFonts w:ascii="Arial" w:hAnsi="Arial"/>
          <w:sz w:val="27"/>
          <w:rtl/>
          <w:lang w:bidi="ar-JO"/>
        </w:rPr>
        <w:t xml:space="preserve"> وسي</w:t>
      </w:r>
      <w:r w:rsidR="00042453" w:rsidRPr="00904FCB">
        <w:rPr>
          <w:rFonts w:ascii="Arial" w:hAnsi="Arial" w:hint="cs"/>
          <w:sz w:val="27"/>
          <w:rtl/>
          <w:lang w:bidi="ar-JO"/>
        </w:rPr>
        <w:t>ّ</w:t>
      </w:r>
      <w:r w:rsidRPr="00904FCB">
        <w:rPr>
          <w:rFonts w:ascii="Arial" w:hAnsi="Arial"/>
          <w:sz w:val="27"/>
          <w:rtl/>
          <w:lang w:bidi="ar-JO"/>
        </w:rPr>
        <w:t>د قطب</w:t>
      </w:r>
      <w:r w:rsidR="00042453" w:rsidRPr="00904FCB">
        <w:rPr>
          <w:rFonts w:ascii="Arial" w:hAnsi="Arial" w:hint="cs"/>
          <w:sz w:val="27"/>
          <w:rtl/>
          <w:lang w:bidi="ar-JO"/>
        </w:rPr>
        <w:t>،</w:t>
      </w:r>
      <w:r w:rsidRPr="00904FCB">
        <w:rPr>
          <w:rFonts w:ascii="Arial" w:hAnsi="Arial"/>
          <w:sz w:val="27"/>
          <w:rtl/>
          <w:lang w:bidi="ar-JO"/>
        </w:rPr>
        <w:t xml:space="preserve"> ومحمد قطب</w:t>
      </w:r>
      <w:r w:rsidR="005C58D0" w:rsidRPr="00904FCB">
        <w:rPr>
          <w:rFonts w:ascii="Arial" w:hAnsi="Arial" w:hint="cs"/>
          <w:sz w:val="27"/>
          <w:rtl/>
          <w:lang w:bidi="ar-JO"/>
        </w:rPr>
        <w:t>،</w:t>
      </w:r>
      <w:r w:rsidRPr="00904FCB">
        <w:rPr>
          <w:rFonts w:ascii="Arial" w:hAnsi="Arial"/>
          <w:sz w:val="27"/>
          <w:rtl/>
          <w:lang w:bidi="ar-JO"/>
        </w:rPr>
        <w:t xml:space="preserve"> وعبد الله عز</w:t>
      </w:r>
      <w:r w:rsidR="005C58D0" w:rsidRPr="00904FCB">
        <w:rPr>
          <w:rFonts w:ascii="Arial" w:hAnsi="Arial" w:hint="cs"/>
          <w:sz w:val="27"/>
          <w:rtl/>
          <w:lang w:bidi="ar-JO"/>
        </w:rPr>
        <w:t>ّ</w:t>
      </w:r>
      <w:r w:rsidRPr="00904FCB">
        <w:rPr>
          <w:rFonts w:ascii="Arial" w:hAnsi="Arial"/>
          <w:sz w:val="27"/>
          <w:rtl/>
          <w:lang w:bidi="ar-JO"/>
        </w:rPr>
        <w:t>ام</w:t>
      </w:r>
      <w:r w:rsidRPr="00904FCB">
        <w:rPr>
          <w:rFonts w:hint="eastAsia"/>
          <w:sz w:val="27"/>
          <w:rtl/>
        </w:rPr>
        <w:t>»</w:t>
      </w:r>
      <w:r w:rsidRPr="00904FCB">
        <w:rPr>
          <w:sz w:val="27"/>
          <w:vertAlign w:val="superscript"/>
          <w:rtl/>
        </w:rPr>
        <w:t>(</w:t>
      </w:r>
      <w:r w:rsidRPr="00904FCB">
        <w:rPr>
          <w:sz w:val="27"/>
          <w:vertAlign w:val="superscript"/>
          <w:rtl/>
        </w:rPr>
        <w:endnoteReference w:id="126"/>
      </w:r>
      <w:r w:rsidRPr="00904FCB">
        <w:rPr>
          <w:sz w:val="27"/>
          <w:vertAlign w:val="superscript"/>
          <w:rtl/>
        </w:rPr>
        <w:t>)</w:t>
      </w:r>
      <w:r w:rsidRPr="00904FCB">
        <w:rPr>
          <w:rFonts w:ascii="Arial" w:hAnsi="Arial"/>
          <w:sz w:val="27"/>
          <w:rtl/>
          <w:lang w:bidi="ar-JO"/>
        </w:rPr>
        <w:t xml:space="preserve">. </w:t>
      </w:r>
    </w:p>
    <w:p w:rsidR="00A45FD9" w:rsidRPr="00904FCB" w:rsidRDefault="00A45FD9" w:rsidP="007A21AA">
      <w:pPr>
        <w:spacing w:line="400" w:lineRule="exact"/>
        <w:rPr>
          <w:rFonts w:ascii="Arial" w:hAnsi="Arial"/>
          <w:sz w:val="27"/>
        </w:rPr>
      </w:pPr>
      <w:r w:rsidRPr="00904FCB">
        <w:rPr>
          <w:rFonts w:ascii="Arial" w:hAnsi="Arial"/>
          <w:sz w:val="27"/>
          <w:rtl/>
        </w:rPr>
        <w:t>يشير أبو محمد المقدسي</w:t>
      </w:r>
      <w:r w:rsidRPr="00904FCB">
        <w:rPr>
          <w:rFonts w:ascii="Arial" w:hAnsi="Arial"/>
          <w:sz w:val="27"/>
          <w:rtl/>
          <w:lang w:bidi="ar-JO"/>
        </w:rPr>
        <w:t xml:space="preserve"> إلى مسألة التسمية</w:t>
      </w:r>
      <w:r w:rsidR="005C58D0" w:rsidRPr="00904FCB">
        <w:rPr>
          <w:rFonts w:ascii="Arial" w:hAnsi="Arial" w:hint="cs"/>
          <w:sz w:val="27"/>
          <w:rtl/>
          <w:lang w:bidi="ar-JO"/>
        </w:rPr>
        <w:t>،</w:t>
      </w:r>
      <w:r w:rsidRPr="00904FCB">
        <w:rPr>
          <w:rFonts w:ascii="Arial" w:hAnsi="Arial"/>
          <w:sz w:val="27"/>
          <w:rtl/>
          <w:lang w:bidi="ar-JO"/>
        </w:rPr>
        <w:t xml:space="preserve"> وعلاقة هذا المصطلح بالجماعات السلفية الجهادية الأخرى، </w:t>
      </w:r>
      <w:r w:rsidRPr="00904FCB">
        <w:rPr>
          <w:rFonts w:ascii="Arial" w:hAnsi="Arial"/>
          <w:sz w:val="27"/>
          <w:rtl/>
          <w:lang w:bidi="ar-LB"/>
        </w:rPr>
        <w:t>فيقول بأ</w:t>
      </w:r>
      <w:r w:rsidRPr="00904FCB">
        <w:rPr>
          <w:rFonts w:ascii="Arial" w:hAnsi="Arial"/>
          <w:sz w:val="27"/>
          <w:rtl/>
          <w:lang w:bidi="ar-JO"/>
        </w:rPr>
        <w:t>ن تلك التسمية كانت ن</w:t>
      </w:r>
      <w:r w:rsidR="005C58D0" w:rsidRPr="00904FCB">
        <w:rPr>
          <w:rFonts w:ascii="Arial" w:hAnsi="Arial" w:hint="cs"/>
          <w:sz w:val="27"/>
          <w:rtl/>
          <w:lang w:bidi="ar-JO"/>
        </w:rPr>
        <w:t>َ</w:t>
      </w:r>
      <w:r w:rsidRPr="00904FCB">
        <w:rPr>
          <w:rFonts w:ascii="Arial" w:hAnsi="Arial"/>
          <w:sz w:val="27"/>
          <w:rtl/>
          <w:lang w:bidi="ar-JO"/>
        </w:rPr>
        <w:t>ع</w:t>
      </w:r>
      <w:r w:rsidR="005C58D0" w:rsidRPr="00904FCB">
        <w:rPr>
          <w:rFonts w:ascii="Arial" w:hAnsi="Arial" w:hint="cs"/>
          <w:sz w:val="27"/>
          <w:rtl/>
          <w:lang w:bidi="ar-JO"/>
        </w:rPr>
        <w:t>ْ</w:t>
      </w:r>
      <w:r w:rsidRPr="00904FCB">
        <w:rPr>
          <w:rFonts w:ascii="Arial" w:hAnsi="Arial"/>
          <w:sz w:val="27"/>
          <w:rtl/>
          <w:lang w:bidi="ar-JO"/>
        </w:rPr>
        <w:t>تاً أطلقه الناس عليهم</w:t>
      </w:r>
      <w:r w:rsidR="005C58D0" w:rsidRPr="00904FCB">
        <w:rPr>
          <w:rFonts w:ascii="Arial" w:hAnsi="Arial" w:hint="cs"/>
          <w:sz w:val="27"/>
          <w:rtl/>
          <w:lang w:bidi="ar-JO"/>
        </w:rPr>
        <w:t>؛</w:t>
      </w:r>
      <w:r w:rsidRPr="00904FCB">
        <w:rPr>
          <w:rFonts w:ascii="Arial" w:hAnsi="Arial"/>
          <w:sz w:val="27"/>
          <w:rtl/>
          <w:lang w:bidi="ar-JO"/>
        </w:rPr>
        <w:t xml:space="preserve"> بسبب </w:t>
      </w:r>
      <w:r w:rsidRPr="00904FCB">
        <w:rPr>
          <w:rFonts w:hint="eastAsia"/>
          <w:sz w:val="27"/>
          <w:rtl/>
          <w:lang w:bidi="ar-JO"/>
        </w:rPr>
        <w:t>«</w:t>
      </w:r>
      <w:r w:rsidRPr="00904FCB">
        <w:rPr>
          <w:rFonts w:ascii="Arial" w:hAnsi="Arial"/>
          <w:sz w:val="27"/>
          <w:rtl/>
          <w:lang w:bidi="ar-JO"/>
        </w:rPr>
        <w:t>تمس</w:t>
      </w:r>
      <w:r w:rsidR="005C58D0" w:rsidRPr="00904FCB">
        <w:rPr>
          <w:rFonts w:ascii="Arial" w:hAnsi="Arial" w:hint="cs"/>
          <w:sz w:val="27"/>
          <w:rtl/>
          <w:lang w:bidi="ar-JO"/>
        </w:rPr>
        <w:t>ُّ</w:t>
      </w:r>
      <w:r w:rsidRPr="00904FCB">
        <w:rPr>
          <w:rFonts w:ascii="Arial" w:hAnsi="Arial"/>
          <w:sz w:val="27"/>
          <w:rtl/>
          <w:lang w:bidi="ar-JO"/>
        </w:rPr>
        <w:t xml:space="preserve">كهم </w:t>
      </w:r>
      <w:r w:rsidRPr="00904FCB">
        <w:rPr>
          <w:rFonts w:ascii="Arial" w:hAnsi="Arial"/>
          <w:sz w:val="27"/>
          <w:rtl/>
        </w:rPr>
        <w:t>بما كان عليه الس</w:t>
      </w:r>
      <w:r w:rsidR="005C58D0" w:rsidRPr="00904FCB">
        <w:rPr>
          <w:rFonts w:ascii="Arial" w:hAnsi="Arial" w:hint="cs"/>
          <w:sz w:val="27"/>
          <w:rtl/>
        </w:rPr>
        <w:t>َّ</w:t>
      </w:r>
      <w:r w:rsidRPr="00904FCB">
        <w:rPr>
          <w:rFonts w:ascii="Arial" w:hAnsi="Arial"/>
          <w:sz w:val="27"/>
          <w:rtl/>
        </w:rPr>
        <w:t>ل</w:t>
      </w:r>
      <w:r w:rsidR="005C58D0" w:rsidRPr="00904FCB">
        <w:rPr>
          <w:rFonts w:ascii="Arial" w:hAnsi="Arial" w:hint="cs"/>
          <w:sz w:val="27"/>
          <w:rtl/>
        </w:rPr>
        <w:t>َ</w:t>
      </w:r>
      <w:r w:rsidRPr="00904FCB">
        <w:rPr>
          <w:rFonts w:ascii="Arial" w:hAnsi="Arial"/>
          <w:sz w:val="27"/>
          <w:rtl/>
        </w:rPr>
        <w:t>ف الصالح من الاعتقاد والعمل والجهاد</w:t>
      </w:r>
      <w:r w:rsidR="005C58D0" w:rsidRPr="00904FCB">
        <w:rPr>
          <w:rFonts w:ascii="Arial" w:hAnsi="Arial" w:hint="cs"/>
          <w:sz w:val="27"/>
          <w:rtl/>
        </w:rPr>
        <w:t>.</w:t>
      </w:r>
      <w:r w:rsidRPr="00904FCB">
        <w:rPr>
          <w:rFonts w:ascii="Arial" w:hAnsi="Arial"/>
          <w:sz w:val="27"/>
          <w:rtl/>
        </w:rPr>
        <w:t xml:space="preserve"> فالس</w:t>
      </w:r>
      <w:r w:rsidR="005C58D0" w:rsidRPr="00904FCB">
        <w:rPr>
          <w:rFonts w:ascii="Arial" w:hAnsi="Arial" w:hint="cs"/>
          <w:sz w:val="27"/>
          <w:rtl/>
        </w:rPr>
        <w:t>َّ</w:t>
      </w:r>
      <w:r w:rsidRPr="00904FCB">
        <w:rPr>
          <w:rFonts w:ascii="Arial" w:hAnsi="Arial"/>
          <w:sz w:val="27"/>
          <w:rtl/>
        </w:rPr>
        <w:t>ل</w:t>
      </w:r>
      <w:r w:rsidR="005C58D0" w:rsidRPr="00904FCB">
        <w:rPr>
          <w:rFonts w:ascii="Arial" w:hAnsi="Arial" w:hint="cs"/>
          <w:sz w:val="27"/>
          <w:rtl/>
        </w:rPr>
        <w:t>َ</w:t>
      </w:r>
      <w:r w:rsidRPr="00904FCB">
        <w:rPr>
          <w:rFonts w:ascii="Arial" w:hAnsi="Arial"/>
          <w:sz w:val="27"/>
          <w:rtl/>
        </w:rPr>
        <w:t>فية الجهادية تي</w:t>
      </w:r>
      <w:r w:rsidR="005C58D0" w:rsidRPr="00904FCB">
        <w:rPr>
          <w:rFonts w:ascii="Arial" w:hAnsi="Arial" w:hint="cs"/>
          <w:sz w:val="27"/>
          <w:rtl/>
        </w:rPr>
        <w:t>ّ</w:t>
      </w:r>
      <w:r w:rsidRPr="00904FCB">
        <w:rPr>
          <w:rFonts w:ascii="Arial" w:hAnsi="Arial"/>
          <w:sz w:val="27"/>
          <w:rtl/>
        </w:rPr>
        <w:t>ار</w:t>
      </w:r>
      <w:r w:rsidR="005C58D0" w:rsidRPr="00904FCB">
        <w:rPr>
          <w:rFonts w:ascii="Arial" w:hAnsi="Arial" w:hint="cs"/>
          <w:sz w:val="27"/>
          <w:rtl/>
        </w:rPr>
        <w:t>ٌ</w:t>
      </w:r>
      <w:r w:rsidRPr="00904FCB">
        <w:rPr>
          <w:rFonts w:ascii="Arial" w:hAnsi="Arial"/>
          <w:sz w:val="27"/>
          <w:rtl/>
        </w:rPr>
        <w:t xml:space="preserve"> يجمع بين الدعوة إلى التوحيد بشموليته والجهاد لأجل ذلك في</w:t>
      </w:r>
      <w:r w:rsidRPr="00904FCB">
        <w:rPr>
          <w:rFonts w:ascii="Arial" w:hAnsi="Arial"/>
          <w:sz w:val="27"/>
        </w:rPr>
        <w:t xml:space="preserve"> </w:t>
      </w:r>
      <w:r w:rsidRPr="00904FCB">
        <w:rPr>
          <w:rFonts w:ascii="Arial" w:hAnsi="Arial"/>
          <w:sz w:val="27"/>
          <w:rtl/>
        </w:rPr>
        <w:t>آن</w:t>
      </w:r>
      <w:r w:rsidR="006C7034" w:rsidRPr="00904FCB">
        <w:rPr>
          <w:rFonts w:ascii="Arial" w:hAnsi="Arial" w:hint="cs"/>
          <w:sz w:val="27"/>
          <w:rtl/>
        </w:rPr>
        <w:t>ٍ</w:t>
      </w:r>
      <w:r w:rsidRPr="00904FCB">
        <w:rPr>
          <w:rFonts w:ascii="Arial" w:hAnsi="Arial"/>
          <w:sz w:val="27"/>
          <w:rtl/>
        </w:rPr>
        <w:t xml:space="preserve"> واحد، أو ق</w:t>
      </w:r>
      <w:r w:rsidR="006C7034" w:rsidRPr="00904FCB">
        <w:rPr>
          <w:rFonts w:ascii="Arial" w:hAnsi="Arial" w:hint="cs"/>
          <w:sz w:val="27"/>
          <w:rtl/>
        </w:rPr>
        <w:t>ُ</w:t>
      </w:r>
      <w:r w:rsidRPr="00904FCB">
        <w:rPr>
          <w:rFonts w:ascii="Arial" w:hAnsi="Arial"/>
          <w:sz w:val="27"/>
          <w:rtl/>
        </w:rPr>
        <w:t>ل</w:t>
      </w:r>
      <w:r w:rsidR="006C7034" w:rsidRPr="00904FCB">
        <w:rPr>
          <w:rFonts w:ascii="Arial" w:hAnsi="Arial" w:hint="cs"/>
          <w:sz w:val="27"/>
          <w:rtl/>
        </w:rPr>
        <w:t>ْ:</w:t>
      </w:r>
      <w:r w:rsidRPr="00904FCB">
        <w:rPr>
          <w:rFonts w:ascii="Arial" w:hAnsi="Arial"/>
          <w:sz w:val="27"/>
          <w:rtl/>
        </w:rPr>
        <w:t xml:space="preserve"> هو تي</w:t>
      </w:r>
      <w:r w:rsidR="006C7034" w:rsidRPr="00904FCB">
        <w:rPr>
          <w:rFonts w:ascii="Arial" w:hAnsi="Arial" w:hint="cs"/>
          <w:sz w:val="27"/>
          <w:rtl/>
        </w:rPr>
        <w:t>ّ</w:t>
      </w:r>
      <w:r w:rsidRPr="00904FCB">
        <w:rPr>
          <w:rFonts w:ascii="Arial" w:hAnsi="Arial"/>
          <w:sz w:val="27"/>
          <w:rtl/>
        </w:rPr>
        <w:t>ار</w:t>
      </w:r>
      <w:r w:rsidR="006C7034" w:rsidRPr="00904FCB">
        <w:rPr>
          <w:rFonts w:ascii="Arial" w:hAnsi="Arial" w:hint="cs"/>
          <w:sz w:val="27"/>
          <w:rtl/>
        </w:rPr>
        <w:t>ٌ</w:t>
      </w:r>
      <w:r w:rsidRPr="00904FCB">
        <w:rPr>
          <w:rFonts w:ascii="Arial" w:hAnsi="Arial"/>
          <w:sz w:val="27"/>
          <w:rtl/>
        </w:rPr>
        <w:t xml:space="preserve"> يسعى لتحقيق التوحيد بجهاد الطواغيت</w:t>
      </w:r>
      <w:r w:rsidR="006C7034" w:rsidRPr="00904FCB">
        <w:rPr>
          <w:rFonts w:ascii="Arial" w:hAnsi="Arial" w:hint="cs"/>
          <w:sz w:val="27"/>
          <w:rtl/>
        </w:rPr>
        <w:t>.</w:t>
      </w:r>
      <w:r w:rsidRPr="00904FCB">
        <w:rPr>
          <w:rFonts w:ascii="Arial" w:hAnsi="Arial"/>
          <w:sz w:val="27"/>
          <w:rtl/>
        </w:rPr>
        <w:t>.. فهذه هي هوية التيار السلفي الجهادي</w:t>
      </w:r>
      <w:r w:rsidR="006C7034" w:rsidRPr="00904FCB">
        <w:rPr>
          <w:rFonts w:ascii="Arial" w:hAnsi="Arial" w:hint="cs"/>
          <w:sz w:val="27"/>
          <w:rtl/>
        </w:rPr>
        <w:t>،</w:t>
      </w:r>
      <w:r w:rsidRPr="00904FCB">
        <w:rPr>
          <w:rFonts w:ascii="Arial" w:hAnsi="Arial"/>
          <w:sz w:val="27"/>
          <w:rtl/>
        </w:rPr>
        <w:t xml:space="preserve"> والتي تمي</w:t>
      </w:r>
      <w:r w:rsidR="006C7034" w:rsidRPr="00904FCB">
        <w:rPr>
          <w:rFonts w:ascii="Arial" w:hAnsi="Arial" w:hint="cs"/>
          <w:sz w:val="27"/>
          <w:rtl/>
        </w:rPr>
        <w:t>ِّ</w:t>
      </w:r>
      <w:r w:rsidRPr="00904FCB">
        <w:rPr>
          <w:rFonts w:ascii="Arial" w:hAnsi="Arial"/>
          <w:sz w:val="27"/>
          <w:rtl/>
        </w:rPr>
        <w:t>زه عن سائر الحركات الدعوية والجهادية</w:t>
      </w:r>
      <w:r w:rsidRPr="00904FCB">
        <w:rPr>
          <w:rFonts w:hint="eastAsia"/>
          <w:sz w:val="27"/>
          <w:rtl/>
        </w:rPr>
        <w:t>»</w:t>
      </w:r>
      <w:r w:rsidRPr="00904FCB">
        <w:rPr>
          <w:sz w:val="27"/>
          <w:vertAlign w:val="superscript"/>
          <w:rtl/>
        </w:rPr>
        <w:t>(</w:t>
      </w:r>
      <w:r w:rsidRPr="00904FCB">
        <w:rPr>
          <w:sz w:val="27"/>
          <w:vertAlign w:val="superscript"/>
          <w:rtl/>
        </w:rPr>
        <w:endnoteReference w:id="127"/>
      </w:r>
      <w:r w:rsidRPr="00904FCB">
        <w:rPr>
          <w:sz w:val="27"/>
          <w:vertAlign w:val="superscript"/>
          <w:rtl/>
        </w:rPr>
        <w:t>)</w:t>
      </w:r>
      <w:r w:rsidRPr="00904FCB">
        <w:rPr>
          <w:rFonts w:ascii="Arial" w:hAnsi="Arial"/>
          <w:sz w:val="27"/>
          <w:rtl/>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rPr>
        <w:t xml:space="preserve"> وهكذا يظهر من كلام المقدسي أن التيار السلفي </w:t>
      </w:r>
      <w:r w:rsidRPr="00904FCB">
        <w:rPr>
          <w:rFonts w:hint="eastAsia"/>
          <w:sz w:val="27"/>
          <w:rtl/>
        </w:rPr>
        <w:t>«</w:t>
      </w:r>
      <w:r w:rsidRPr="00904FCB">
        <w:rPr>
          <w:rFonts w:ascii="Arial" w:hAnsi="Arial"/>
          <w:sz w:val="27"/>
          <w:rtl/>
        </w:rPr>
        <w:t>يخالف هؤلاء وأولئك، ومن أجل ذلك فهو يدعو إلى التوحيد بشموليته وفي كل</w:t>
      </w:r>
      <w:r w:rsidR="006C7034" w:rsidRPr="00904FCB">
        <w:rPr>
          <w:rFonts w:ascii="Arial" w:hAnsi="Arial" w:hint="cs"/>
          <w:sz w:val="27"/>
          <w:rtl/>
        </w:rPr>
        <w:t>ّ</w:t>
      </w:r>
      <w:r w:rsidRPr="00904FCB">
        <w:rPr>
          <w:rFonts w:ascii="Arial" w:hAnsi="Arial"/>
          <w:sz w:val="27"/>
          <w:rtl/>
        </w:rPr>
        <w:t xml:space="preserve"> مكان</w:t>
      </w:r>
      <w:r w:rsidR="006C7034" w:rsidRPr="00904FCB">
        <w:rPr>
          <w:rFonts w:ascii="Arial" w:hAnsi="Arial" w:hint="cs"/>
          <w:sz w:val="27"/>
          <w:rtl/>
        </w:rPr>
        <w:t>ٍ</w:t>
      </w:r>
      <w:r w:rsidRPr="00904FCB">
        <w:rPr>
          <w:rFonts w:ascii="Arial" w:hAnsi="Arial"/>
          <w:sz w:val="27"/>
          <w:rtl/>
        </w:rPr>
        <w:t>، فحيث وجد الخلق شرعت</w:t>
      </w:r>
      <w:r w:rsidRPr="00904FCB">
        <w:rPr>
          <w:rFonts w:ascii="Arial" w:hAnsi="Arial"/>
          <w:b/>
          <w:bCs/>
          <w:sz w:val="27"/>
          <w:rtl/>
        </w:rPr>
        <w:t xml:space="preserve"> </w:t>
      </w:r>
      <w:r w:rsidRPr="00904FCB">
        <w:rPr>
          <w:rFonts w:ascii="Arial" w:hAnsi="Arial"/>
          <w:sz w:val="27"/>
          <w:rtl/>
        </w:rPr>
        <w:t>دعوتهم إلى التوحيد بشموليته، وحيث وجدت هذه الدعوة وجد الجهاد من أجلها وفي سبيلها... ولذلك فأنت ترى أن</w:t>
      </w:r>
      <w:r w:rsidRPr="00904FCB">
        <w:rPr>
          <w:rFonts w:ascii="Arial" w:hAnsi="Arial"/>
          <w:sz w:val="27"/>
        </w:rPr>
        <w:t xml:space="preserve"> </w:t>
      </w:r>
      <w:r w:rsidRPr="00904FCB">
        <w:rPr>
          <w:rFonts w:ascii="Arial" w:hAnsi="Arial"/>
          <w:sz w:val="27"/>
          <w:rtl/>
        </w:rPr>
        <w:t>هذا التي</w:t>
      </w:r>
      <w:r w:rsidR="006C7034" w:rsidRPr="00904FCB">
        <w:rPr>
          <w:rFonts w:ascii="Arial" w:hAnsi="Arial" w:hint="cs"/>
          <w:sz w:val="27"/>
          <w:rtl/>
        </w:rPr>
        <w:t>ّ</w:t>
      </w:r>
      <w:r w:rsidRPr="00904FCB">
        <w:rPr>
          <w:rFonts w:ascii="Arial" w:hAnsi="Arial"/>
          <w:sz w:val="27"/>
          <w:rtl/>
        </w:rPr>
        <w:t>ار لا يحصر جهاده في بقعة معينة من الأرض من منطلقات قومية أو أرضية، بل ميدانه هي الأرض كل</w:t>
      </w:r>
      <w:r w:rsidR="006C7034" w:rsidRPr="00904FCB">
        <w:rPr>
          <w:rFonts w:ascii="Arial" w:hAnsi="Arial" w:hint="cs"/>
          <w:sz w:val="27"/>
          <w:rtl/>
        </w:rPr>
        <w:t>ّ</w:t>
      </w:r>
      <w:r w:rsidRPr="00904FCB">
        <w:rPr>
          <w:rFonts w:ascii="Arial" w:hAnsi="Arial"/>
          <w:sz w:val="27"/>
          <w:rtl/>
        </w:rPr>
        <w:t>ها، فتجد أبناءه يجاهدون في شت</w:t>
      </w:r>
      <w:r w:rsidR="006C7034" w:rsidRPr="00904FCB">
        <w:rPr>
          <w:rFonts w:ascii="Arial" w:hAnsi="Arial" w:hint="cs"/>
          <w:sz w:val="27"/>
          <w:rtl/>
        </w:rPr>
        <w:t>ّ</w:t>
      </w:r>
      <w:r w:rsidRPr="00904FCB">
        <w:rPr>
          <w:rFonts w:ascii="Arial" w:hAnsi="Arial"/>
          <w:sz w:val="27"/>
          <w:rtl/>
        </w:rPr>
        <w:t>ى بقاع الأرض... فرق بين</w:t>
      </w:r>
      <w:r w:rsidRPr="00904FCB">
        <w:rPr>
          <w:rFonts w:ascii="Arial" w:hAnsi="Arial"/>
          <w:sz w:val="27"/>
        </w:rPr>
        <w:t xml:space="preserve"> </w:t>
      </w:r>
      <w:r w:rsidRPr="00904FCB">
        <w:rPr>
          <w:rFonts w:ascii="Arial" w:hAnsi="Arial"/>
          <w:sz w:val="27"/>
          <w:rtl/>
        </w:rPr>
        <w:t>الاجتهادات النابعة من السياسة الشرعية وبين الثوابت والأصول النابعة عن الوطنية أو نحوها من الموازين الجاهلية</w:t>
      </w:r>
      <w:r w:rsidRPr="00904FCB">
        <w:rPr>
          <w:rFonts w:hint="eastAsia"/>
          <w:sz w:val="27"/>
          <w:rtl/>
        </w:rPr>
        <w:t>»</w:t>
      </w:r>
      <w:r w:rsidRPr="00904FCB">
        <w:rPr>
          <w:sz w:val="27"/>
          <w:vertAlign w:val="superscript"/>
          <w:rtl/>
        </w:rPr>
        <w:t>(</w:t>
      </w:r>
      <w:r w:rsidRPr="00904FCB">
        <w:rPr>
          <w:sz w:val="27"/>
          <w:vertAlign w:val="superscript"/>
          <w:rtl/>
        </w:rPr>
        <w:endnoteReference w:id="128"/>
      </w:r>
      <w:r w:rsidRPr="00904FCB">
        <w:rPr>
          <w:sz w:val="27"/>
          <w:vertAlign w:val="superscript"/>
          <w:rtl/>
        </w:rPr>
        <w:t>)</w:t>
      </w:r>
      <w:r w:rsidRPr="00904FCB">
        <w:rPr>
          <w:rFonts w:ascii="Arial" w:hAnsi="Arial"/>
          <w:sz w:val="27"/>
          <w:rtl/>
        </w:rPr>
        <w:t xml:space="preserve">. </w:t>
      </w:r>
    </w:p>
    <w:p w:rsidR="00A45FD9" w:rsidRPr="00904FCB" w:rsidRDefault="00A45FD9" w:rsidP="00A67B3A">
      <w:pPr>
        <w:spacing w:line="400" w:lineRule="exact"/>
        <w:rPr>
          <w:rStyle w:val="a6"/>
          <w:rFonts w:ascii="Arial" w:hAnsi="Arial"/>
          <w:b w:val="0"/>
          <w:bCs/>
          <w:sz w:val="27"/>
          <w:rtl/>
        </w:rPr>
      </w:pPr>
      <w:r w:rsidRPr="00904FCB">
        <w:rPr>
          <w:rFonts w:ascii="Arial" w:hAnsi="Arial"/>
          <w:sz w:val="27"/>
          <w:rtl/>
        </w:rPr>
        <w:t>يتبين مم</w:t>
      </w:r>
      <w:r w:rsidR="006C7034" w:rsidRPr="00904FCB">
        <w:rPr>
          <w:rFonts w:ascii="Arial" w:hAnsi="Arial" w:hint="cs"/>
          <w:sz w:val="27"/>
          <w:rtl/>
        </w:rPr>
        <w:t>ّ</w:t>
      </w:r>
      <w:r w:rsidRPr="00904FCB">
        <w:rPr>
          <w:rFonts w:ascii="Arial" w:hAnsi="Arial"/>
          <w:sz w:val="27"/>
          <w:rtl/>
        </w:rPr>
        <w:t>ا تقد</w:t>
      </w:r>
      <w:r w:rsidR="006C7034" w:rsidRPr="00904FCB">
        <w:rPr>
          <w:rFonts w:ascii="Arial" w:hAnsi="Arial" w:hint="cs"/>
          <w:sz w:val="27"/>
          <w:rtl/>
        </w:rPr>
        <w:t>َّ</w:t>
      </w:r>
      <w:r w:rsidRPr="00904FCB">
        <w:rPr>
          <w:rFonts w:ascii="Arial" w:hAnsi="Arial"/>
          <w:sz w:val="27"/>
          <w:rtl/>
        </w:rPr>
        <w:t>م أن هناك تأث</w:t>
      </w:r>
      <w:r w:rsidR="006C7034" w:rsidRPr="00904FCB">
        <w:rPr>
          <w:rFonts w:ascii="Arial" w:hAnsi="Arial" w:hint="cs"/>
          <w:sz w:val="27"/>
          <w:rtl/>
        </w:rPr>
        <w:t>ُّ</w:t>
      </w:r>
      <w:r w:rsidRPr="00904FCB">
        <w:rPr>
          <w:rFonts w:ascii="Arial" w:hAnsi="Arial"/>
          <w:sz w:val="27"/>
          <w:rtl/>
        </w:rPr>
        <w:t>راً وتأثيراً متبادلاً ما بين الجماعات الإسلامية الناشطة في الميدان السياسي خلال القرن المنصرم</w:t>
      </w:r>
      <w:r w:rsidR="006C7034" w:rsidRPr="00904FCB">
        <w:rPr>
          <w:rFonts w:ascii="Arial" w:hAnsi="Arial" w:hint="cs"/>
          <w:sz w:val="27"/>
          <w:rtl/>
        </w:rPr>
        <w:t>.</w:t>
      </w:r>
      <w:r w:rsidRPr="00904FCB">
        <w:rPr>
          <w:rFonts w:ascii="Arial" w:hAnsi="Arial"/>
          <w:sz w:val="27"/>
          <w:rtl/>
        </w:rPr>
        <w:t xml:space="preserve"> وتظهر بصمات الشيخ حسن البنا واضحة في كل</w:t>
      </w:r>
      <w:r w:rsidR="006C7034" w:rsidRPr="00904FCB">
        <w:rPr>
          <w:rFonts w:ascii="Arial" w:hAnsi="Arial" w:hint="cs"/>
          <w:sz w:val="27"/>
          <w:rtl/>
        </w:rPr>
        <w:t>ّ</w:t>
      </w:r>
      <w:r w:rsidRPr="00904FCB">
        <w:rPr>
          <w:rFonts w:ascii="Arial" w:hAnsi="Arial"/>
          <w:sz w:val="27"/>
          <w:rtl/>
        </w:rPr>
        <w:t xml:space="preserve"> التنظيمات السياسية الإسلامية (على الصعد التنظيمية والمنطلقات الفكرية)</w:t>
      </w:r>
      <w:r w:rsidR="006C7034" w:rsidRPr="00904FCB">
        <w:rPr>
          <w:rFonts w:ascii="Arial" w:hAnsi="Arial" w:hint="cs"/>
          <w:sz w:val="27"/>
          <w:rtl/>
        </w:rPr>
        <w:t>.</w:t>
      </w:r>
      <w:r w:rsidRPr="00904FCB">
        <w:rPr>
          <w:rFonts w:ascii="Arial" w:hAnsi="Arial"/>
          <w:sz w:val="27"/>
          <w:rtl/>
        </w:rPr>
        <w:t xml:space="preserve"> كما أن أفكار وآراء أب</w:t>
      </w:r>
      <w:r w:rsidR="00A67B3A">
        <w:rPr>
          <w:rFonts w:ascii="Arial" w:hAnsi="Arial" w:hint="cs"/>
          <w:sz w:val="27"/>
          <w:rtl/>
        </w:rPr>
        <w:t>ي</w:t>
      </w:r>
      <w:r w:rsidRPr="00904FCB">
        <w:rPr>
          <w:rFonts w:ascii="Arial" w:hAnsi="Arial"/>
          <w:sz w:val="27"/>
          <w:rtl/>
        </w:rPr>
        <w:t xml:space="preserve"> الأعلى المودودي</w:t>
      </w:r>
      <w:r w:rsidRPr="00904FCB">
        <w:rPr>
          <w:sz w:val="27"/>
          <w:vertAlign w:val="superscript"/>
          <w:rtl/>
        </w:rPr>
        <w:t>(</w:t>
      </w:r>
      <w:r w:rsidRPr="00904FCB">
        <w:rPr>
          <w:sz w:val="27"/>
          <w:vertAlign w:val="superscript"/>
          <w:rtl/>
        </w:rPr>
        <w:endnoteReference w:id="129"/>
      </w:r>
      <w:r w:rsidRPr="00904FCB">
        <w:rPr>
          <w:sz w:val="27"/>
          <w:vertAlign w:val="superscript"/>
          <w:rtl/>
        </w:rPr>
        <w:t>)</w:t>
      </w:r>
      <w:r w:rsidRPr="00904FCB">
        <w:rPr>
          <w:rFonts w:ascii="Arial" w:hAnsi="Arial"/>
          <w:sz w:val="27"/>
          <w:rtl/>
        </w:rPr>
        <w:t xml:space="preserve"> كانت بمثابة المدماك الأساس الذي ب</w:t>
      </w:r>
      <w:r w:rsidR="006C7034" w:rsidRPr="00904FCB">
        <w:rPr>
          <w:rFonts w:ascii="Arial" w:hAnsi="Arial" w:hint="cs"/>
          <w:sz w:val="27"/>
          <w:rtl/>
        </w:rPr>
        <w:t>ُ</w:t>
      </w:r>
      <w:r w:rsidRPr="00904FCB">
        <w:rPr>
          <w:rFonts w:ascii="Arial" w:hAnsi="Arial"/>
          <w:sz w:val="27"/>
          <w:rtl/>
        </w:rPr>
        <w:t xml:space="preserve">نيت عليه تلك الجماعات. يقول الدكتور حسن الترابي في معرض تحليله للعودة إلى الدين: </w:t>
      </w:r>
      <w:r w:rsidRPr="00904FCB">
        <w:rPr>
          <w:rFonts w:hint="eastAsia"/>
          <w:sz w:val="27"/>
          <w:rtl/>
        </w:rPr>
        <w:t>«</w:t>
      </w:r>
      <w:r w:rsidRPr="00904FCB">
        <w:rPr>
          <w:rFonts w:ascii="Arial" w:hAnsi="Arial"/>
          <w:sz w:val="27"/>
          <w:rtl/>
        </w:rPr>
        <w:t>فانبعثت جماعات في كل</w:t>
      </w:r>
      <w:r w:rsidR="006C7034" w:rsidRPr="00904FCB">
        <w:rPr>
          <w:rFonts w:ascii="Arial" w:hAnsi="Arial" w:hint="cs"/>
          <w:sz w:val="27"/>
          <w:rtl/>
        </w:rPr>
        <w:t>ٍّ</w:t>
      </w:r>
      <w:r w:rsidRPr="00904FCB">
        <w:rPr>
          <w:rFonts w:ascii="Arial" w:hAnsi="Arial"/>
          <w:sz w:val="27"/>
          <w:rtl/>
        </w:rPr>
        <w:t xml:space="preserve"> من بلاد الإسلام تنشد إحياء الإيمان بالتزكية والتذكير، أو إشاعة الفقه بالعلم أو الاجتهاد، أو تنشيط العمل الإسلامي في بعض جوانب الحياة، وكان ذلك أكمل ما كان في دعوة الإمام الشهيد </w:t>
      </w:r>
      <w:r w:rsidRPr="00904FCB">
        <w:rPr>
          <w:rFonts w:ascii="Arial" w:hAnsi="Arial"/>
          <w:sz w:val="27"/>
          <w:rtl/>
        </w:rPr>
        <w:lastRenderedPageBreak/>
        <w:t>حسن البن</w:t>
      </w:r>
      <w:r w:rsidR="006C7034" w:rsidRPr="00904FCB">
        <w:rPr>
          <w:rFonts w:ascii="Arial" w:hAnsi="Arial" w:hint="cs"/>
          <w:sz w:val="27"/>
          <w:rtl/>
        </w:rPr>
        <w:t>ّ</w:t>
      </w:r>
      <w:r w:rsidRPr="00904FCB">
        <w:rPr>
          <w:rFonts w:ascii="Arial" w:hAnsi="Arial"/>
          <w:sz w:val="27"/>
          <w:rtl/>
        </w:rPr>
        <w:t>ا وحركة الإخوان المسلمين في مصر</w:t>
      </w:r>
      <w:r w:rsidR="006C7034" w:rsidRPr="00904FCB">
        <w:rPr>
          <w:rFonts w:ascii="Arial" w:hAnsi="Arial" w:hint="cs"/>
          <w:sz w:val="27"/>
          <w:rtl/>
        </w:rPr>
        <w:t>،</w:t>
      </w:r>
      <w:r w:rsidRPr="00904FCB">
        <w:rPr>
          <w:rFonts w:ascii="Arial" w:hAnsi="Arial"/>
          <w:sz w:val="27"/>
          <w:rtl/>
        </w:rPr>
        <w:t xml:space="preserve"> وفي دعوة الإمام أبي الأعلى المودودي وحركة الجماعة الإسلامية في شبه القارة الهندي</w:t>
      </w:r>
      <w:r w:rsidR="006C7034" w:rsidRPr="00904FCB">
        <w:rPr>
          <w:rFonts w:ascii="Arial" w:hAnsi="Arial" w:hint="cs"/>
          <w:sz w:val="27"/>
          <w:rtl/>
        </w:rPr>
        <w:t>ّ</w:t>
      </w:r>
      <w:r w:rsidRPr="00904FCB">
        <w:rPr>
          <w:rFonts w:ascii="Arial" w:hAnsi="Arial"/>
          <w:sz w:val="27"/>
          <w:rtl/>
        </w:rPr>
        <w:t xml:space="preserve">ة. لقد كانتا حركتين استهدفتا </w:t>
      </w:r>
      <w:r w:rsidR="0051752E" w:rsidRPr="00904FCB">
        <w:rPr>
          <w:rFonts w:ascii="Arial" w:hAnsi="Arial" w:hint="cs"/>
          <w:sz w:val="27"/>
          <w:rtl/>
        </w:rPr>
        <w:t>مختلف</w:t>
      </w:r>
      <w:r w:rsidRPr="00904FCB">
        <w:rPr>
          <w:rFonts w:ascii="Arial" w:hAnsi="Arial"/>
          <w:sz w:val="27"/>
          <w:rtl/>
        </w:rPr>
        <w:t xml:space="preserve"> أهداف الدين، وأتم</w:t>
      </w:r>
      <w:r w:rsidR="006C7034" w:rsidRPr="00904FCB">
        <w:rPr>
          <w:rFonts w:ascii="Arial" w:hAnsi="Arial" w:hint="cs"/>
          <w:sz w:val="27"/>
          <w:rtl/>
        </w:rPr>
        <w:t>ّ</w:t>
      </w:r>
      <w:r w:rsidRPr="00904FCB">
        <w:rPr>
          <w:rFonts w:ascii="Arial" w:hAnsi="Arial"/>
          <w:sz w:val="27"/>
          <w:rtl/>
        </w:rPr>
        <w:t>تا وظيفة الإرشاد بالبناء الحركي، وأتم</w:t>
      </w:r>
      <w:r w:rsidR="006C7034" w:rsidRPr="00904FCB">
        <w:rPr>
          <w:rFonts w:ascii="Arial" w:hAnsi="Arial" w:hint="cs"/>
          <w:sz w:val="27"/>
          <w:rtl/>
        </w:rPr>
        <w:t>ّ</w:t>
      </w:r>
      <w:r w:rsidRPr="00904FCB">
        <w:rPr>
          <w:rFonts w:ascii="Arial" w:hAnsi="Arial"/>
          <w:sz w:val="27"/>
          <w:rtl/>
        </w:rPr>
        <w:t>تا التعبئة بالتربية</w:t>
      </w:r>
      <w:r w:rsidR="006C7034" w:rsidRPr="00904FCB">
        <w:rPr>
          <w:rFonts w:ascii="Arial" w:hAnsi="Arial" w:hint="cs"/>
          <w:sz w:val="27"/>
          <w:rtl/>
        </w:rPr>
        <w:t>.</w:t>
      </w:r>
      <w:r w:rsidRPr="00904FCB">
        <w:rPr>
          <w:rFonts w:ascii="Arial" w:hAnsi="Arial"/>
          <w:sz w:val="27"/>
          <w:rtl/>
        </w:rPr>
        <w:t xml:space="preserve"> وتداعى مع هاتين الحركتين أئم</w:t>
      </w:r>
      <w:r w:rsidR="006C7034" w:rsidRPr="00904FCB">
        <w:rPr>
          <w:rFonts w:ascii="Arial" w:hAnsi="Arial" w:hint="cs"/>
          <w:sz w:val="27"/>
          <w:rtl/>
        </w:rPr>
        <w:t>ّ</w:t>
      </w:r>
      <w:r w:rsidRPr="00904FCB">
        <w:rPr>
          <w:rFonts w:ascii="Arial" w:hAnsi="Arial"/>
          <w:sz w:val="27"/>
          <w:rtl/>
        </w:rPr>
        <w:t>ة وجماعات في بلاد</w:t>
      </w:r>
      <w:r w:rsidR="006C7034" w:rsidRPr="00904FCB">
        <w:rPr>
          <w:rFonts w:ascii="Arial" w:hAnsi="Arial" w:hint="cs"/>
          <w:sz w:val="27"/>
          <w:rtl/>
        </w:rPr>
        <w:t>ٍ</w:t>
      </w:r>
      <w:r w:rsidRPr="00904FCB">
        <w:rPr>
          <w:rFonts w:ascii="Arial" w:hAnsi="Arial"/>
          <w:sz w:val="27"/>
          <w:rtl/>
        </w:rPr>
        <w:t xml:space="preserve"> شت</w:t>
      </w:r>
      <w:r w:rsidR="006C7034" w:rsidRPr="00904FCB">
        <w:rPr>
          <w:rFonts w:ascii="Arial" w:hAnsi="Arial" w:hint="cs"/>
          <w:sz w:val="27"/>
          <w:rtl/>
        </w:rPr>
        <w:t>ّ</w:t>
      </w:r>
      <w:r w:rsidRPr="00904FCB">
        <w:rPr>
          <w:rFonts w:ascii="Arial" w:hAnsi="Arial"/>
          <w:sz w:val="27"/>
          <w:rtl/>
        </w:rPr>
        <w:t>ى</w:t>
      </w:r>
      <w:r w:rsidR="006C7034" w:rsidRPr="00904FCB">
        <w:rPr>
          <w:rFonts w:ascii="Arial" w:hAnsi="Arial" w:hint="cs"/>
          <w:sz w:val="27"/>
          <w:rtl/>
        </w:rPr>
        <w:t>.</w:t>
      </w:r>
      <w:r w:rsidRPr="00904FCB">
        <w:rPr>
          <w:rFonts w:ascii="Arial" w:hAnsi="Arial"/>
          <w:sz w:val="27"/>
          <w:rtl/>
        </w:rPr>
        <w:t xml:space="preserve"> وقد أعطى هاتين المحاولتين ب</w:t>
      </w:r>
      <w:r w:rsidR="006C7034" w:rsidRPr="00904FCB">
        <w:rPr>
          <w:rFonts w:ascii="Arial" w:hAnsi="Arial" w:hint="cs"/>
          <w:sz w:val="27"/>
          <w:rtl/>
        </w:rPr>
        <w:t>ُ</w:t>
      </w:r>
      <w:r w:rsidRPr="00904FCB">
        <w:rPr>
          <w:rFonts w:ascii="Arial" w:hAnsi="Arial"/>
          <w:sz w:val="27"/>
          <w:rtl/>
        </w:rPr>
        <w:t>ع</w:t>
      </w:r>
      <w:r w:rsidR="006C7034" w:rsidRPr="00904FCB">
        <w:rPr>
          <w:rFonts w:ascii="Arial" w:hAnsi="Arial" w:hint="cs"/>
          <w:sz w:val="27"/>
          <w:rtl/>
        </w:rPr>
        <w:t>ْ</w:t>
      </w:r>
      <w:r w:rsidRPr="00904FCB">
        <w:rPr>
          <w:rFonts w:ascii="Arial" w:hAnsi="Arial"/>
          <w:sz w:val="27"/>
          <w:rtl/>
        </w:rPr>
        <w:t>داً أكثر تأصيلاً ودق</w:t>
      </w:r>
      <w:r w:rsidR="006C7034" w:rsidRPr="00904FCB">
        <w:rPr>
          <w:rFonts w:ascii="Arial" w:hAnsi="Arial" w:hint="cs"/>
          <w:sz w:val="27"/>
          <w:rtl/>
        </w:rPr>
        <w:t>ّ</w:t>
      </w:r>
      <w:r w:rsidRPr="00904FCB">
        <w:rPr>
          <w:rFonts w:ascii="Arial" w:hAnsi="Arial"/>
          <w:sz w:val="27"/>
          <w:rtl/>
        </w:rPr>
        <w:t>ة</w:t>
      </w:r>
      <w:r w:rsidR="006C7034" w:rsidRPr="00904FCB">
        <w:rPr>
          <w:rFonts w:ascii="Arial" w:hAnsi="Arial" w:hint="cs"/>
          <w:sz w:val="27"/>
          <w:rtl/>
        </w:rPr>
        <w:t>ً</w:t>
      </w:r>
      <w:r w:rsidRPr="00904FCB">
        <w:rPr>
          <w:rFonts w:ascii="Arial" w:hAnsi="Arial"/>
          <w:sz w:val="27"/>
          <w:rtl/>
        </w:rPr>
        <w:t xml:space="preserve"> وشمولاً على الحركات والتنظيمات الإسلامية المعاصرة سي</w:t>
      </w:r>
      <w:r w:rsidR="006C7034" w:rsidRPr="00904FCB">
        <w:rPr>
          <w:rFonts w:ascii="Arial" w:hAnsi="Arial" w:hint="cs"/>
          <w:sz w:val="27"/>
          <w:rtl/>
        </w:rPr>
        <w:t>ّ</w:t>
      </w:r>
      <w:r w:rsidRPr="00904FCB">
        <w:rPr>
          <w:rFonts w:ascii="Arial" w:hAnsi="Arial"/>
          <w:sz w:val="27"/>
          <w:rtl/>
        </w:rPr>
        <w:t>د قطب (</w:t>
      </w:r>
      <w:r w:rsidRPr="00B13398">
        <w:rPr>
          <w:rFonts w:ascii="Arial" w:hAnsi="Arial"/>
          <w:sz w:val="27"/>
          <w:rtl/>
        </w:rPr>
        <w:t>1906</w:t>
      </w:r>
      <w:r w:rsidRPr="00904FCB">
        <w:rPr>
          <w:rFonts w:ascii="Arial" w:hAnsi="Arial"/>
          <w:sz w:val="27"/>
          <w:rtl/>
        </w:rPr>
        <w:t xml:space="preserve"> ـ </w:t>
      </w:r>
      <w:r w:rsidRPr="00B13398">
        <w:rPr>
          <w:rFonts w:ascii="Arial" w:hAnsi="Arial"/>
          <w:sz w:val="27"/>
          <w:rtl/>
        </w:rPr>
        <w:t>1966</w:t>
      </w:r>
      <w:r w:rsidRPr="00904FCB">
        <w:rPr>
          <w:rFonts w:ascii="Arial" w:hAnsi="Arial"/>
          <w:sz w:val="27"/>
          <w:rtl/>
        </w:rPr>
        <w:t>)</w:t>
      </w:r>
      <w:r w:rsidR="006C7034" w:rsidRPr="00904FCB">
        <w:rPr>
          <w:rFonts w:ascii="Arial" w:hAnsi="Arial" w:hint="cs"/>
          <w:sz w:val="27"/>
          <w:rtl/>
        </w:rPr>
        <w:t>،</w:t>
      </w:r>
      <w:r w:rsidRPr="00904FCB">
        <w:rPr>
          <w:rFonts w:ascii="Arial" w:hAnsi="Arial"/>
          <w:sz w:val="27"/>
          <w:rtl/>
        </w:rPr>
        <w:t xml:space="preserve"> الذي منح حركات الإسلام السياسي سنداً فكرياً</w:t>
      </w:r>
      <w:r w:rsidR="006C7034" w:rsidRPr="00904FCB">
        <w:rPr>
          <w:rFonts w:ascii="Arial" w:hAnsi="Arial" w:hint="cs"/>
          <w:sz w:val="27"/>
          <w:rtl/>
        </w:rPr>
        <w:t>،</w:t>
      </w:r>
      <w:r w:rsidRPr="00904FCB">
        <w:rPr>
          <w:rFonts w:ascii="Arial" w:hAnsi="Arial"/>
          <w:sz w:val="27"/>
          <w:rtl/>
        </w:rPr>
        <w:t xml:space="preserve"> ومدداً حركياً، حيث أصبح كتابه (معالم في الطريق) هو دستور العمل عند الجماعات الإسلامية المعاصرة</w:t>
      </w:r>
      <w:r w:rsidRPr="00904FCB">
        <w:rPr>
          <w:rFonts w:hint="eastAsia"/>
          <w:sz w:val="27"/>
          <w:rtl/>
        </w:rPr>
        <w:t>»</w:t>
      </w:r>
      <w:r w:rsidRPr="00904FCB">
        <w:rPr>
          <w:sz w:val="27"/>
          <w:vertAlign w:val="superscript"/>
          <w:rtl/>
        </w:rPr>
        <w:t>(</w:t>
      </w:r>
      <w:r w:rsidRPr="00904FCB">
        <w:rPr>
          <w:sz w:val="27"/>
          <w:vertAlign w:val="superscript"/>
          <w:rtl/>
        </w:rPr>
        <w:endnoteReference w:id="130"/>
      </w:r>
      <w:r w:rsidRPr="00904FCB">
        <w:rPr>
          <w:sz w:val="27"/>
          <w:vertAlign w:val="superscript"/>
          <w:rtl/>
        </w:rPr>
        <w:t>)</w:t>
      </w:r>
      <w:r w:rsidRPr="00904FCB">
        <w:rPr>
          <w:rFonts w:ascii="Arial" w:hAnsi="Arial"/>
          <w:sz w:val="27"/>
          <w:rtl/>
        </w:rPr>
        <w:t xml:space="preserve">. </w:t>
      </w:r>
    </w:p>
    <w:p w:rsidR="00FB484B" w:rsidRPr="00904FCB" w:rsidRDefault="00FB484B" w:rsidP="007A21AA">
      <w:pPr>
        <w:spacing w:line="400" w:lineRule="exact"/>
        <w:rPr>
          <w:rStyle w:val="a6"/>
          <w:rFonts w:ascii="Arial" w:hAnsi="Arial"/>
          <w:b w:val="0"/>
          <w:bCs/>
          <w:sz w:val="27"/>
          <w:rtl/>
        </w:rPr>
      </w:pPr>
    </w:p>
    <w:p w:rsidR="00A45FD9" w:rsidRPr="00904FCB" w:rsidRDefault="00A45FD9" w:rsidP="007A21AA">
      <w:pPr>
        <w:pStyle w:val="31"/>
        <w:spacing w:line="400" w:lineRule="exact"/>
        <w:rPr>
          <w:color w:val="auto"/>
          <w:rtl/>
          <w:lang w:bidi="ar-EG"/>
        </w:rPr>
      </w:pPr>
      <w:r w:rsidRPr="00904FCB">
        <w:rPr>
          <w:color w:val="auto"/>
          <w:rtl/>
          <w:lang w:bidi="ar-EG"/>
        </w:rPr>
        <w:t>تعريف الجهاد عند الس</w:t>
      </w:r>
      <w:r w:rsidR="006C7034" w:rsidRPr="00904FCB">
        <w:rPr>
          <w:rFonts w:hint="cs"/>
          <w:color w:val="auto"/>
          <w:rtl/>
          <w:lang w:bidi="ar-EG"/>
        </w:rPr>
        <w:t>َّ</w:t>
      </w:r>
      <w:r w:rsidRPr="00904FCB">
        <w:rPr>
          <w:color w:val="auto"/>
          <w:rtl/>
          <w:lang w:bidi="ar-EG"/>
        </w:rPr>
        <w:t>ل</w:t>
      </w:r>
      <w:r w:rsidR="006C7034" w:rsidRPr="00904FCB">
        <w:rPr>
          <w:rFonts w:hint="cs"/>
          <w:color w:val="auto"/>
          <w:rtl/>
          <w:lang w:bidi="ar-EG"/>
        </w:rPr>
        <w:t>َ</w:t>
      </w:r>
      <w:r w:rsidRPr="00904FCB">
        <w:rPr>
          <w:color w:val="auto"/>
          <w:rtl/>
          <w:lang w:bidi="ar-EG"/>
        </w:rPr>
        <w:t>فية الجهادية</w:t>
      </w:r>
    </w:p>
    <w:p w:rsidR="006C7034" w:rsidRPr="00904FCB" w:rsidRDefault="00A45FD9" w:rsidP="007A21AA">
      <w:pPr>
        <w:spacing w:line="400" w:lineRule="exact"/>
        <w:rPr>
          <w:rFonts w:ascii="Arial" w:hAnsi="Arial"/>
          <w:sz w:val="27"/>
          <w:rtl/>
        </w:rPr>
      </w:pPr>
      <w:r w:rsidRPr="00904FCB">
        <w:rPr>
          <w:rFonts w:ascii="Arial" w:hAnsi="Arial"/>
          <w:sz w:val="27"/>
          <w:rtl/>
          <w:lang w:bidi="fa-IR"/>
        </w:rPr>
        <w:t>يعتقد عبد الله عز</w:t>
      </w:r>
      <w:r w:rsidR="006C7034" w:rsidRPr="00904FCB">
        <w:rPr>
          <w:rFonts w:ascii="Arial" w:hAnsi="Arial" w:hint="cs"/>
          <w:sz w:val="27"/>
          <w:rtl/>
          <w:lang w:bidi="fa-IR"/>
        </w:rPr>
        <w:t>ّ</w:t>
      </w:r>
      <w:r w:rsidRPr="00904FCB">
        <w:rPr>
          <w:rFonts w:ascii="Arial" w:hAnsi="Arial"/>
          <w:sz w:val="27"/>
          <w:rtl/>
          <w:lang w:bidi="fa-IR"/>
        </w:rPr>
        <w:t>ام (وهو من كبار منظ</w:t>
      </w:r>
      <w:r w:rsidR="006C7034" w:rsidRPr="00904FCB">
        <w:rPr>
          <w:rFonts w:ascii="Arial" w:hAnsi="Arial" w:hint="cs"/>
          <w:sz w:val="27"/>
          <w:rtl/>
          <w:lang w:bidi="fa-IR"/>
        </w:rPr>
        <w:t>ِّ</w:t>
      </w:r>
      <w:r w:rsidRPr="00904FCB">
        <w:rPr>
          <w:rFonts w:ascii="Arial" w:hAnsi="Arial"/>
          <w:sz w:val="27"/>
          <w:rtl/>
          <w:lang w:bidi="fa-IR"/>
        </w:rPr>
        <w:t>ري الس</w:t>
      </w:r>
      <w:r w:rsidR="006C7034" w:rsidRPr="00904FCB">
        <w:rPr>
          <w:rFonts w:ascii="Arial" w:hAnsi="Arial" w:hint="cs"/>
          <w:sz w:val="27"/>
          <w:rtl/>
          <w:lang w:bidi="fa-IR"/>
        </w:rPr>
        <w:t>َّ</w:t>
      </w:r>
      <w:r w:rsidRPr="00904FCB">
        <w:rPr>
          <w:rFonts w:ascii="Arial" w:hAnsi="Arial"/>
          <w:sz w:val="27"/>
          <w:rtl/>
          <w:lang w:bidi="fa-IR"/>
        </w:rPr>
        <w:t>ل</w:t>
      </w:r>
      <w:r w:rsidR="006C7034" w:rsidRPr="00904FCB">
        <w:rPr>
          <w:rFonts w:ascii="Arial" w:hAnsi="Arial" w:hint="cs"/>
          <w:sz w:val="27"/>
          <w:rtl/>
          <w:lang w:bidi="fa-IR"/>
        </w:rPr>
        <w:t>َ</w:t>
      </w:r>
      <w:r w:rsidRPr="00904FCB">
        <w:rPr>
          <w:rFonts w:ascii="Arial" w:hAnsi="Arial"/>
          <w:sz w:val="27"/>
          <w:rtl/>
          <w:lang w:bidi="fa-IR"/>
        </w:rPr>
        <w:t>فية الجهادية) أن ال</w:t>
      </w:r>
      <w:r w:rsidRPr="00904FCB">
        <w:rPr>
          <w:rFonts w:ascii="Arial" w:hAnsi="Arial"/>
          <w:sz w:val="27"/>
          <w:rtl/>
        </w:rPr>
        <w:t>فقهاء الأربعة عند المسلمين السن</w:t>
      </w:r>
      <w:r w:rsidR="006C7034" w:rsidRPr="00904FCB">
        <w:rPr>
          <w:rFonts w:ascii="Arial" w:hAnsi="Arial" w:hint="cs"/>
          <w:sz w:val="27"/>
          <w:rtl/>
        </w:rPr>
        <w:t>ّ</w:t>
      </w:r>
      <w:r w:rsidRPr="00904FCB">
        <w:rPr>
          <w:rFonts w:ascii="Arial" w:hAnsi="Arial"/>
          <w:sz w:val="27"/>
          <w:rtl/>
        </w:rPr>
        <w:t>ة مت</w:t>
      </w:r>
      <w:r w:rsidR="006C7034" w:rsidRPr="00904FCB">
        <w:rPr>
          <w:rFonts w:ascii="Arial" w:hAnsi="Arial" w:hint="cs"/>
          <w:sz w:val="27"/>
          <w:rtl/>
        </w:rPr>
        <w:t>َّ</w:t>
      </w:r>
      <w:r w:rsidRPr="00904FCB">
        <w:rPr>
          <w:rFonts w:ascii="Arial" w:hAnsi="Arial"/>
          <w:sz w:val="27"/>
          <w:rtl/>
        </w:rPr>
        <w:t>فقون بأن الجهاد هو القتال والع</w:t>
      </w:r>
      <w:r w:rsidR="006C7034" w:rsidRPr="00904FCB">
        <w:rPr>
          <w:rFonts w:ascii="Arial" w:hAnsi="Arial" w:hint="cs"/>
          <w:sz w:val="27"/>
          <w:rtl/>
        </w:rPr>
        <w:t>َ</w:t>
      </w:r>
      <w:r w:rsidRPr="00904FCB">
        <w:rPr>
          <w:rFonts w:ascii="Arial" w:hAnsi="Arial"/>
          <w:sz w:val="27"/>
          <w:rtl/>
        </w:rPr>
        <w:t>و</w:t>
      </w:r>
      <w:r w:rsidR="006C7034" w:rsidRPr="00904FCB">
        <w:rPr>
          <w:rFonts w:ascii="Arial" w:hAnsi="Arial" w:hint="cs"/>
          <w:sz w:val="27"/>
          <w:rtl/>
        </w:rPr>
        <w:t>ْ</w:t>
      </w:r>
      <w:r w:rsidRPr="00904FCB">
        <w:rPr>
          <w:rFonts w:ascii="Arial" w:hAnsi="Arial"/>
          <w:sz w:val="27"/>
          <w:rtl/>
        </w:rPr>
        <w:t>ن فيه</w:t>
      </w:r>
      <w:r w:rsidR="006C7034" w:rsidRPr="00904FCB">
        <w:rPr>
          <w:rFonts w:ascii="Arial" w:hAnsi="Arial" w:hint="cs"/>
          <w:sz w:val="27"/>
          <w:rtl/>
        </w:rPr>
        <w:t>.</w:t>
      </w:r>
    </w:p>
    <w:p w:rsidR="006C7034" w:rsidRPr="00904FCB" w:rsidRDefault="00A45FD9" w:rsidP="007A21AA">
      <w:pPr>
        <w:spacing w:line="400" w:lineRule="exact"/>
        <w:rPr>
          <w:rFonts w:ascii="Arial" w:hAnsi="Arial"/>
          <w:sz w:val="27"/>
          <w:rtl/>
        </w:rPr>
      </w:pPr>
      <w:r w:rsidRPr="00904FCB">
        <w:rPr>
          <w:rFonts w:ascii="Arial" w:hAnsi="Arial"/>
          <w:sz w:val="27"/>
          <w:rtl/>
        </w:rPr>
        <w:t>فالحنفية ير</w:t>
      </w:r>
      <w:r w:rsidR="006C7034" w:rsidRPr="00904FCB">
        <w:rPr>
          <w:rFonts w:ascii="Arial" w:hAnsi="Arial" w:hint="cs"/>
          <w:sz w:val="27"/>
          <w:rtl/>
        </w:rPr>
        <w:t>َ</w:t>
      </w:r>
      <w:r w:rsidRPr="00904FCB">
        <w:rPr>
          <w:rFonts w:ascii="Arial" w:hAnsi="Arial"/>
          <w:sz w:val="27"/>
          <w:rtl/>
        </w:rPr>
        <w:t>و</w:t>
      </w:r>
      <w:r w:rsidR="006C7034" w:rsidRPr="00904FCB">
        <w:rPr>
          <w:rFonts w:ascii="Arial" w:hAnsi="Arial" w:hint="cs"/>
          <w:sz w:val="27"/>
          <w:rtl/>
        </w:rPr>
        <w:t>ْ</w:t>
      </w:r>
      <w:r w:rsidRPr="00904FCB">
        <w:rPr>
          <w:rFonts w:ascii="Arial" w:hAnsi="Arial"/>
          <w:sz w:val="27"/>
          <w:rtl/>
        </w:rPr>
        <w:t xml:space="preserve">ن أن الجهاد هو </w:t>
      </w:r>
      <w:r w:rsidRPr="00904FCB">
        <w:rPr>
          <w:rFonts w:hint="eastAsia"/>
          <w:sz w:val="27"/>
          <w:rtl/>
        </w:rPr>
        <w:t>«</w:t>
      </w:r>
      <w:r w:rsidRPr="00904FCB">
        <w:rPr>
          <w:rFonts w:ascii="Arial" w:hAnsi="Arial"/>
          <w:sz w:val="27"/>
          <w:rtl/>
        </w:rPr>
        <w:t>دعوة الكف</w:t>
      </w:r>
      <w:r w:rsidR="006C7034" w:rsidRPr="00904FCB">
        <w:rPr>
          <w:rFonts w:ascii="Arial" w:hAnsi="Arial" w:hint="cs"/>
          <w:sz w:val="27"/>
          <w:rtl/>
        </w:rPr>
        <w:t>ّ</w:t>
      </w:r>
      <w:r w:rsidRPr="00904FCB">
        <w:rPr>
          <w:rFonts w:ascii="Arial" w:hAnsi="Arial"/>
          <w:sz w:val="27"/>
          <w:rtl/>
        </w:rPr>
        <w:t>ار إلى الدين الحق</w:t>
      </w:r>
      <w:r w:rsidR="006C7034" w:rsidRPr="00904FCB">
        <w:rPr>
          <w:rFonts w:ascii="Arial" w:hAnsi="Arial" w:hint="cs"/>
          <w:sz w:val="27"/>
          <w:rtl/>
        </w:rPr>
        <w:t>ّ،</w:t>
      </w:r>
      <w:r w:rsidRPr="00904FCB">
        <w:rPr>
          <w:rFonts w:ascii="Arial" w:hAnsi="Arial"/>
          <w:sz w:val="27"/>
          <w:rtl/>
        </w:rPr>
        <w:t xml:space="preserve"> وقتالهم إن</w:t>
      </w:r>
      <w:r w:rsidR="006C7034" w:rsidRPr="00904FCB">
        <w:rPr>
          <w:rFonts w:ascii="Arial" w:hAnsi="Arial" w:hint="cs"/>
          <w:sz w:val="27"/>
          <w:rtl/>
        </w:rPr>
        <w:t>ْ</w:t>
      </w:r>
      <w:r w:rsidRPr="00904FCB">
        <w:rPr>
          <w:rFonts w:ascii="Arial" w:hAnsi="Arial"/>
          <w:sz w:val="27"/>
          <w:rtl/>
        </w:rPr>
        <w:t xml:space="preserve"> لم يقبلوا</w:t>
      </w:r>
      <w:r w:rsidRPr="00904FCB">
        <w:rPr>
          <w:rFonts w:hint="eastAsia"/>
          <w:sz w:val="27"/>
          <w:rtl/>
        </w:rPr>
        <w:t>»</w:t>
      </w:r>
      <w:r w:rsidRPr="00904FCB">
        <w:rPr>
          <w:sz w:val="27"/>
          <w:vertAlign w:val="superscript"/>
          <w:rtl/>
        </w:rPr>
        <w:t>(</w:t>
      </w:r>
      <w:r w:rsidRPr="00904FCB">
        <w:rPr>
          <w:sz w:val="27"/>
          <w:vertAlign w:val="superscript"/>
          <w:rtl/>
        </w:rPr>
        <w:endnoteReference w:id="131"/>
      </w:r>
      <w:r w:rsidRPr="00904FCB">
        <w:rPr>
          <w:sz w:val="27"/>
          <w:vertAlign w:val="superscript"/>
          <w:rtl/>
        </w:rPr>
        <w:t>)</w:t>
      </w:r>
      <w:r w:rsidRPr="00904FCB">
        <w:rPr>
          <w:rFonts w:ascii="Arial" w:hAnsi="Arial"/>
          <w:sz w:val="27"/>
          <w:rtl/>
        </w:rPr>
        <w:t xml:space="preserve">، وهو </w:t>
      </w:r>
      <w:r w:rsidRPr="00904FCB">
        <w:rPr>
          <w:rFonts w:hint="eastAsia"/>
          <w:sz w:val="27"/>
          <w:rtl/>
        </w:rPr>
        <w:t>«</w:t>
      </w:r>
      <w:r w:rsidRPr="00904FCB">
        <w:rPr>
          <w:rFonts w:ascii="Arial" w:hAnsi="Arial"/>
          <w:sz w:val="27"/>
          <w:rtl/>
        </w:rPr>
        <w:t>بذل الوسع والطاقة بالقتال في سبيل الله عز</w:t>
      </w:r>
      <w:r w:rsidR="006C7034" w:rsidRPr="00904FCB">
        <w:rPr>
          <w:rFonts w:ascii="Arial" w:hAnsi="Arial" w:hint="cs"/>
          <w:sz w:val="27"/>
          <w:rtl/>
        </w:rPr>
        <w:t>َّ</w:t>
      </w:r>
      <w:r w:rsidRPr="00904FCB">
        <w:rPr>
          <w:rFonts w:ascii="Arial" w:hAnsi="Arial"/>
          <w:sz w:val="27"/>
          <w:rtl/>
        </w:rPr>
        <w:t xml:space="preserve"> وجل</w:t>
      </w:r>
      <w:r w:rsidR="006C7034" w:rsidRPr="00904FCB">
        <w:rPr>
          <w:rFonts w:ascii="Arial" w:hAnsi="Arial" w:hint="cs"/>
          <w:sz w:val="27"/>
          <w:rtl/>
        </w:rPr>
        <w:t>َّ</w:t>
      </w:r>
      <w:r w:rsidRPr="00904FCB">
        <w:rPr>
          <w:rFonts w:ascii="Arial" w:hAnsi="Arial"/>
          <w:sz w:val="27"/>
          <w:rtl/>
        </w:rPr>
        <w:t xml:space="preserve"> بالنفس واللسان وغير ذلك</w:t>
      </w:r>
      <w:r w:rsidRPr="00904FCB">
        <w:rPr>
          <w:rFonts w:hint="eastAsia"/>
          <w:sz w:val="27"/>
          <w:rtl/>
        </w:rPr>
        <w:t>»</w:t>
      </w:r>
      <w:r w:rsidRPr="00904FCB">
        <w:rPr>
          <w:sz w:val="27"/>
          <w:vertAlign w:val="superscript"/>
          <w:rtl/>
        </w:rPr>
        <w:t>(</w:t>
      </w:r>
      <w:r w:rsidRPr="00904FCB">
        <w:rPr>
          <w:sz w:val="27"/>
          <w:vertAlign w:val="superscript"/>
          <w:rtl/>
        </w:rPr>
        <w:endnoteReference w:id="132"/>
      </w:r>
      <w:r w:rsidRPr="00904FCB">
        <w:rPr>
          <w:sz w:val="27"/>
          <w:vertAlign w:val="superscript"/>
          <w:rtl/>
        </w:rPr>
        <w:t>)</w:t>
      </w:r>
      <w:r w:rsidR="006C7034" w:rsidRPr="00904FCB">
        <w:rPr>
          <w:rFonts w:ascii="Arial" w:hAnsi="Arial"/>
          <w:sz w:val="27"/>
          <w:rtl/>
        </w:rPr>
        <w:t>.</w:t>
      </w:r>
    </w:p>
    <w:p w:rsidR="006C7034" w:rsidRPr="00904FCB" w:rsidRDefault="00A45FD9" w:rsidP="007A21AA">
      <w:pPr>
        <w:spacing w:line="400" w:lineRule="exact"/>
        <w:rPr>
          <w:rFonts w:ascii="Arial" w:hAnsi="Arial"/>
          <w:sz w:val="27"/>
          <w:rtl/>
        </w:rPr>
      </w:pPr>
      <w:r w:rsidRPr="00904FCB">
        <w:rPr>
          <w:rFonts w:ascii="Arial" w:hAnsi="Arial"/>
          <w:sz w:val="27"/>
          <w:rtl/>
        </w:rPr>
        <w:t xml:space="preserve">وأما عند المالكية فهو </w:t>
      </w:r>
      <w:r w:rsidRPr="00904FCB">
        <w:rPr>
          <w:rFonts w:hint="eastAsia"/>
          <w:sz w:val="27"/>
          <w:rtl/>
        </w:rPr>
        <w:t>«</w:t>
      </w:r>
      <w:r w:rsidRPr="00904FCB">
        <w:rPr>
          <w:rFonts w:ascii="Arial" w:hAnsi="Arial"/>
          <w:sz w:val="27"/>
          <w:rtl/>
        </w:rPr>
        <w:t>قتال المسلم كافراً غير ذي عهد</w:t>
      </w:r>
      <w:r w:rsidR="006C7034" w:rsidRPr="00904FCB">
        <w:rPr>
          <w:rFonts w:ascii="Arial" w:hAnsi="Arial" w:hint="cs"/>
          <w:sz w:val="27"/>
          <w:rtl/>
        </w:rPr>
        <w:t>ٍ؛</w:t>
      </w:r>
      <w:r w:rsidRPr="00904FCB">
        <w:rPr>
          <w:rFonts w:ascii="Arial" w:hAnsi="Arial"/>
          <w:sz w:val="27"/>
          <w:rtl/>
        </w:rPr>
        <w:t xml:space="preserve"> لإعلاء كلمة الله أو حضوره له أو دخوله أرضه</w:t>
      </w:r>
      <w:r w:rsidRPr="00904FCB">
        <w:rPr>
          <w:rFonts w:hint="eastAsia"/>
          <w:sz w:val="27"/>
          <w:rtl/>
        </w:rPr>
        <w:t>»</w:t>
      </w:r>
      <w:r w:rsidRPr="00904FCB">
        <w:rPr>
          <w:sz w:val="27"/>
          <w:vertAlign w:val="superscript"/>
          <w:rtl/>
        </w:rPr>
        <w:t>(</w:t>
      </w:r>
      <w:r w:rsidRPr="00904FCB">
        <w:rPr>
          <w:sz w:val="27"/>
          <w:vertAlign w:val="superscript"/>
          <w:rtl/>
        </w:rPr>
        <w:endnoteReference w:id="133"/>
      </w:r>
      <w:r w:rsidRPr="00904FCB">
        <w:rPr>
          <w:sz w:val="27"/>
          <w:vertAlign w:val="superscript"/>
          <w:rtl/>
        </w:rPr>
        <w:t>)</w:t>
      </w:r>
      <w:r w:rsidR="006C7034" w:rsidRPr="00904FCB">
        <w:rPr>
          <w:rFonts w:ascii="Arial" w:hAnsi="Arial"/>
          <w:sz w:val="27"/>
          <w:rtl/>
        </w:rPr>
        <w:t>.</w:t>
      </w:r>
    </w:p>
    <w:p w:rsidR="006C7034" w:rsidRPr="00904FCB" w:rsidRDefault="00A45FD9" w:rsidP="007A21AA">
      <w:pPr>
        <w:spacing w:line="400" w:lineRule="exact"/>
        <w:rPr>
          <w:rFonts w:ascii="Arial" w:hAnsi="Arial"/>
          <w:sz w:val="27"/>
          <w:rtl/>
        </w:rPr>
      </w:pPr>
      <w:r w:rsidRPr="00904FCB">
        <w:rPr>
          <w:rFonts w:ascii="Arial" w:hAnsi="Arial"/>
          <w:sz w:val="27"/>
          <w:rtl/>
        </w:rPr>
        <w:t xml:space="preserve">وعند الشافعية هو </w:t>
      </w:r>
      <w:r w:rsidRPr="00904FCB">
        <w:rPr>
          <w:rFonts w:hint="eastAsia"/>
          <w:sz w:val="27"/>
          <w:rtl/>
        </w:rPr>
        <w:t>«</w:t>
      </w:r>
      <w:r w:rsidRPr="00904FCB">
        <w:rPr>
          <w:rFonts w:ascii="Arial" w:hAnsi="Arial"/>
          <w:sz w:val="27"/>
          <w:rtl/>
        </w:rPr>
        <w:t>القتال في سبيل الله</w:t>
      </w:r>
      <w:r w:rsidRPr="00904FCB">
        <w:rPr>
          <w:rFonts w:hint="eastAsia"/>
          <w:sz w:val="27"/>
          <w:rtl/>
        </w:rPr>
        <w:t>»</w:t>
      </w:r>
      <w:r w:rsidRPr="00904FCB">
        <w:rPr>
          <w:sz w:val="27"/>
          <w:vertAlign w:val="superscript"/>
          <w:rtl/>
        </w:rPr>
        <w:t>(</w:t>
      </w:r>
      <w:r w:rsidRPr="00904FCB">
        <w:rPr>
          <w:sz w:val="27"/>
          <w:vertAlign w:val="superscript"/>
          <w:rtl/>
        </w:rPr>
        <w:endnoteReference w:id="134"/>
      </w:r>
      <w:r w:rsidRPr="00904FCB">
        <w:rPr>
          <w:sz w:val="27"/>
          <w:vertAlign w:val="superscript"/>
          <w:rtl/>
        </w:rPr>
        <w:t>)</w:t>
      </w:r>
      <w:r w:rsidRPr="00904FCB">
        <w:rPr>
          <w:rFonts w:ascii="Arial" w:hAnsi="Arial"/>
          <w:sz w:val="27"/>
          <w:rtl/>
        </w:rPr>
        <w:t xml:space="preserve">، وأيضاً </w:t>
      </w:r>
      <w:r w:rsidRPr="00904FCB">
        <w:rPr>
          <w:rFonts w:hint="eastAsia"/>
          <w:sz w:val="27"/>
          <w:rtl/>
        </w:rPr>
        <w:t>«</w:t>
      </w:r>
      <w:r w:rsidRPr="00904FCB">
        <w:rPr>
          <w:rFonts w:ascii="Arial" w:hAnsi="Arial"/>
          <w:sz w:val="27"/>
          <w:rtl/>
        </w:rPr>
        <w:t>بذل الجهد في قتال الكف</w:t>
      </w:r>
      <w:r w:rsidR="006C7034" w:rsidRPr="00904FCB">
        <w:rPr>
          <w:rFonts w:ascii="Arial" w:hAnsi="Arial" w:hint="cs"/>
          <w:sz w:val="27"/>
          <w:rtl/>
        </w:rPr>
        <w:t>ّ</w:t>
      </w:r>
      <w:r w:rsidRPr="00904FCB">
        <w:rPr>
          <w:rFonts w:ascii="Arial" w:hAnsi="Arial"/>
          <w:sz w:val="27"/>
          <w:rtl/>
        </w:rPr>
        <w:t>ار</w:t>
      </w:r>
      <w:r w:rsidRPr="00904FCB">
        <w:rPr>
          <w:rFonts w:hint="eastAsia"/>
          <w:sz w:val="27"/>
          <w:rtl/>
        </w:rPr>
        <w:t>»</w:t>
      </w:r>
      <w:r w:rsidRPr="00904FCB">
        <w:rPr>
          <w:sz w:val="27"/>
          <w:vertAlign w:val="superscript"/>
          <w:rtl/>
        </w:rPr>
        <w:t>(</w:t>
      </w:r>
      <w:r w:rsidRPr="00904FCB">
        <w:rPr>
          <w:sz w:val="27"/>
          <w:vertAlign w:val="superscript"/>
          <w:rtl/>
        </w:rPr>
        <w:endnoteReference w:id="135"/>
      </w:r>
      <w:r w:rsidRPr="00904FCB">
        <w:rPr>
          <w:sz w:val="27"/>
          <w:vertAlign w:val="superscript"/>
          <w:rtl/>
        </w:rPr>
        <w:t>)</w:t>
      </w:r>
      <w:r w:rsidR="006C7034" w:rsidRPr="00904FCB">
        <w:rPr>
          <w:rFonts w:ascii="Arial" w:hAnsi="Arial"/>
          <w:sz w:val="27"/>
          <w:rtl/>
        </w:rPr>
        <w:t>.</w:t>
      </w:r>
    </w:p>
    <w:p w:rsidR="00A45FD9" w:rsidRPr="00904FCB" w:rsidRDefault="00A45FD9" w:rsidP="00A67B3A">
      <w:pPr>
        <w:spacing w:line="400" w:lineRule="exact"/>
        <w:rPr>
          <w:rFonts w:ascii="Arial" w:hAnsi="Arial"/>
          <w:sz w:val="27"/>
        </w:rPr>
      </w:pPr>
      <w:r w:rsidRPr="00904FCB">
        <w:rPr>
          <w:rFonts w:ascii="Arial" w:hAnsi="Arial"/>
          <w:sz w:val="27"/>
          <w:rtl/>
        </w:rPr>
        <w:t>وأما الحن</w:t>
      </w:r>
      <w:r w:rsidR="00A67B3A">
        <w:rPr>
          <w:rFonts w:ascii="Arial" w:hAnsi="Arial" w:hint="cs"/>
          <w:sz w:val="27"/>
          <w:rtl/>
        </w:rPr>
        <w:t>ابل</w:t>
      </w:r>
      <w:r w:rsidRPr="00904FCB">
        <w:rPr>
          <w:rFonts w:ascii="Arial" w:hAnsi="Arial"/>
          <w:sz w:val="27"/>
          <w:rtl/>
        </w:rPr>
        <w:t>ة فير</w:t>
      </w:r>
      <w:r w:rsidR="006C7034" w:rsidRPr="00904FCB">
        <w:rPr>
          <w:rFonts w:ascii="Arial" w:hAnsi="Arial" w:hint="cs"/>
          <w:sz w:val="27"/>
          <w:rtl/>
        </w:rPr>
        <w:t>َ</w:t>
      </w:r>
      <w:r w:rsidRPr="00904FCB">
        <w:rPr>
          <w:rFonts w:ascii="Arial" w:hAnsi="Arial"/>
          <w:sz w:val="27"/>
          <w:rtl/>
        </w:rPr>
        <w:t>و</w:t>
      </w:r>
      <w:r w:rsidR="006C7034" w:rsidRPr="00904FCB">
        <w:rPr>
          <w:rFonts w:ascii="Arial" w:hAnsi="Arial" w:hint="cs"/>
          <w:sz w:val="27"/>
          <w:rtl/>
        </w:rPr>
        <w:t>ْ</w:t>
      </w:r>
      <w:r w:rsidRPr="00904FCB">
        <w:rPr>
          <w:rFonts w:ascii="Arial" w:hAnsi="Arial"/>
          <w:sz w:val="27"/>
          <w:rtl/>
        </w:rPr>
        <w:t xml:space="preserve">ن أنه </w:t>
      </w:r>
      <w:r w:rsidRPr="00904FCB">
        <w:rPr>
          <w:rFonts w:hint="eastAsia"/>
          <w:sz w:val="27"/>
          <w:rtl/>
        </w:rPr>
        <w:t>«</w:t>
      </w:r>
      <w:r w:rsidRPr="00904FCB">
        <w:rPr>
          <w:rFonts w:ascii="Arial" w:hAnsi="Arial"/>
          <w:sz w:val="27"/>
          <w:rtl/>
        </w:rPr>
        <w:t>القتال وبذل الوسع منه لإعلاء كلمة الله تعالى</w:t>
      </w:r>
      <w:r w:rsidRPr="00904FCB">
        <w:rPr>
          <w:rFonts w:hint="eastAsia"/>
          <w:sz w:val="27"/>
          <w:rtl/>
        </w:rPr>
        <w:t>»</w:t>
      </w:r>
      <w:r w:rsidRPr="00904FCB">
        <w:rPr>
          <w:sz w:val="27"/>
          <w:vertAlign w:val="superscript"/>
          <w:rtl/>
        </w:rPr>
        <w:t>(</w:t>
      </w:r>
      <w:r w:rsidRPr="00904FCB">
        <w:rPr>
          <w:sz w:val="27"/>
          <w:vertAlign w:val="superscript"/>
          <w:rtl/>
        </w:rPr>
        <w:endnoteReference w:id="136"/>
      </w:r>
      <w:r w:rsidRPr="00904FCB">
        <w:rPr>
          <w:sz w:val="27"/>
          <w:vertAlign w:val="superscript"/>
          <w:rtl/>
        </w:rPr>
        <w:t>)</w:t>
      </w:r>
      <w:r w:rsidRPr="00904FCB">
        <w:rPr>
          <w:rFonts w:ascii="Arial" w:hAnsi="Arial"/>
          <w:sz w:val="27"/>
          <w:rtl/>
        </w:rPr>
        <w:t xml:space="preserve">. </w:t>
      </w:r>
      <w:r w:rsidRPr="00904FCB">
        <w:rPr>
          <w:rFonts w:ascii="Arial" w:hAnsi="Arial"/>
          <w:sz w:val="27"/>
          <w:rtl/>
          <w:lang w:bidi="ar-EG"/>
        </w:rPr>
        <w:t xml:space="preserve">وهو أيضا </w:t>
      </w:r>
      <w:r w:rsidRPr="00904FCB">
        <w:rPr>
          <w:rFonts w:hint="eastAsia"/>
          <w:sz w:val="27"/>
          <w:rtl/>
          <w:lang w:bidi="ar-EG"/>
        </w:rPr>
        <w:t>«</w:t>
      </w:r>
      <w:r w:rsidRPr="00904FCB">
        <w:rPr>
          <w:rFonts w:ascii="Arial" w:hAnsi="Arial"/>
          <w:sz w:val="27"/>
          <w:rtl/>
          <w:lang w:bidi="ar-EG"/>
        </w:rPr>
        <w:t>بذل الوسع ـ وهو القدرة ـ في حصول محبوب الحق</w:t>
      </w:r>
      <w:r w:rsidR="006C7034" w:rsidRPr="00904FCB">
        <w:rPr>
          <w:rFonts w:ascii="Arial" w:hAnsi="Arial" w:hint="cs"/>
          <w:sz w:val="27"/>
          <w:rtl/>
          <w:lang w:bidi="ar-EG"/>
        </w:rPr>
        <w:t>ّ،</w:t>
      </w:r>
      <w:r w:rsidRPr="00904FCB">
        <w:rPr>
          <w:rFonts w:ascii="Arial" w:hAnsi="Arial"/>
          <w:sz w:val="27"/>
          <w:rtl/>
          <w:lang w:bidi="ar-EG"/>
        </w:rPr>
        <w:t xml:space="preserve"> ودفع ما يكرهه الحق</w:t>
      </w:r>
      <w:r w:rsidRPr="00904FCB">
        <w:rPr>
          <w:rFonts w:hint="eastAsia"/>
          <w:sz w:val="27"/>
          <w:rtl/>
        </w:rPr>
        <w:t>»</w:t>
      </w:r>
      <w:r w:rsidRPr="00904FCB">
        <w:rPr>
          <w:sz w:val="27"/>
          <w:vertAlign w:val="superscript"/>
          <w:rtl/>
        </w:rPr>
        <w:t>(</w:t>
      </w:r>
      <w:r w:rsidRPr="00904FCB">
        <w:rPr>
          <w:sz w:val="27"/>
          <w:vertAlign w:val="superscript"/>
          <w:rtl/>
        </w:rPr>
        <w:endnoteReference w:id="137"/>
      </w:r>
      <w:r w:rsidRPr="00904FCB">
        <w:rPr>
          <w:sz w:val="27"/>
          <w:vertAlign w:val="superscript"/>
          <w:rtl/>
        </w:rPr>
        <w:t>)</w:t>
      </w:r>
      <w:r w:rsidRPr="00904FCB">
        <w:rPr>
          <w:rFonts w:hint="eastAsia"/>
          <w:sz w:val="27"/>
          <w:rtl/>
        </w:rPr>
        <w:t>»</w:t>
      </w:r>
      <w:r w:rsidRPr="00904FCB">
        <w:rPr>
          <w:sz w:val="27"/>
          <w:vertAlign w:val="superscript"/>
          <w:rtl/>
        </w:rPr>
        <w:t>(</w:t>
      </w:r>
      <w:r w:rsidRPr="00904FCB">
        <w:rPr>
          <w:sz w:val="27"/>
          <w:vertAlign w:val="superscript"/>
          <w:rtl/>
        </w:rPr>
        <w:endnoteReference w:id="138"/>
      </w:r>
      <w:r w:rsidRPr="00904FCB">
        <w:rPr>
          <w:sz w:val="27"/>
          <w:vertAlign w:val="superscript"/>
          <w:rtl/>
        </w:rPr>
        <w:t>)</w:t>
      </w:r>
      <w:r w:rsidRPr="00904FCB">
        <w:rPr>
          <w:rFonts w:ascii="Arial" w:hAnsi="Arial"/>
          <w:sz w:val="27"/>
          <w:rtl/>
          <w:lang w:bidi="ar-EG"/>
        </w:rPr>
        <w:t xml:space="preserve">. </w:t>
      </w:r>
    </w:p>
    <w:p w:rsidR="00A45FD9" w:rsidRPr="00904FCB" w:rsidRDefault="00A45FD9" w:rsidP="007A21AA">
      <w:pPr>
        <w:spacing w:line="400" w:lineRule="exact"/>
        <w:rPr>
          <w:rFonts w:ascii="Arial" w:hAnsi="Arial"/>
          <w:sz w:val="27"/>
          <w:rtl/>
          <w:lang w:bidi="ar-EG"/>
        </w:rPr>
      </w:pPr>
      <w:r w:rsidRPr="00904FCB">
        <w:rPr>
          <w:rFonts w:ascii="Arial" w:hAnsi="Arial"/>
          <w:sz w:val="27"/>
          <w:rtl/>
        </w:rPr>
        <w:t>وهكذا يظهر مما تقد</w:t>
      </w:r>
      <w:r w:rsidR="00B77B70" w:rsidRPr="00904FCB">
        <w:rPr>
          <w:rFonts w:ascii="Arial" w:hAnsi="Arial" w:hint="cs"/>
          <w:sz w:val="27"/>
          <w:rtl/>
        </w:rPr>
        <w:t>َّ</w:t>
      </w:r>
      <w:r w:rsidRPr="00904FCB">
        <w:rPr>
          <w:rFonts w:ascii="Arial" w:hAnsi="Arial"/>
          <w:sz w:val="27"/>
          <w:rtl/>
        </w:rPr>
        <w:t>م أن مصطلح الجهاد عند فقهاء السن</w:t>
      </w:r>
      <w:r w:rsidR="00B77B70" w:rsidRPr="00904FCB">
        <w:rPr>
          <w:rFonts w:ascii="Arial" w:hAnsi="Arial" w:hint="cs"/>
          <w:sz w:val="27"/>
          <w:rtl/>
        </w:rPr>
        <w:t>ّ</w:t>
      </w:r>
      <w:r w:rsidRPr="00904FCB">
        <w:rPr>
          <w:rFonts w:ascii="Arial" w:hAnsi="Arial"/>
          <w:sz w:val="27"/>
          <w:rtl/>
        </w:rPr>
        <w:t>ة الأوائل كان محصوراً بالقتال في سبيل الله. أما عند بعض المتأخ</w:t>
      </w:r>
      <w:r w:rsidR="00B77B70" w:rsidRPr="00904FCB">
        <w:rPr>
          <w:rFonts w:ascii="Arial" w:hAnsi="Arial" w:hint="cs"/>
          <w:sz w:val="27"/>
          <w:rtl/>
        </w:rPr>
        <w:t>ِّ</w:t>
      </w:r>
      <w:r w:rsidRPr="00904FCB">
        <w:rPr>
          <w:rFonts w:ascii="Arial" w:hAnsi="Arial"/>
          <w:sz w:val="27"/>
          <w:rtl/>
        </w:rPr>
        <w:t>رين منهم ف</w:t>
      </w:r>
      <w:r w:rsidRPr="00904FCB">
        <w:rPr>
          <w:rFonts w:ascii="Arial" w:hAnsi="Arial"/>
          <w:sz w:val="27"/>
          <w:rtl/>
          <w:lang w:bidi="ar-EG"/>
        </w:rPr>
        <w:t xml:space="preserve">هو </w:t>
      </w:r>
      <w:r w:rsidRPr="00904FCB">
        <w:rPr>
          <w:rFonts w:hint="eastAsia"/>
          <w:sz w:val="27"/>
          <w:rtl/>
          <w:lang w:bidi="ar-EG"/>
        </w:rPr>
        <w:t>«</w:t>
      </w:r>
      <w:r w:rsidRPr="00904FCB">
        <w:rPr>
          <w:rFonts w:ascii="Arial" w:hAnsi="Arial"/>
          <w:sz w:val="27"/>
          <w:rtl/>
          <w:lang w:bidi="ar-EG"/>
        </w:rPr>
        <w:t>بذل الجهد والكفاح بالوسائل الس</w:t>
      </w:r>
      <w:r w:rsidR="00B77B70" w:rsidRPr="00904FCB">
        <w:rPr>
          <w:rFonts w:ascii="Arial" w:hAnsi="Arial" w:hint="cs"/>
          <w:sz w:val="27"/>
          <w:rtl/>
          <w:lang w:bidi="ar-EG"/>
        </w:rPr>
        <w:t>ِّ</w:t>
      </w:r>
      <w:r w:rsidRPr="00904FCB">
        <w:rPr>
          <w:rFonts w:ascii="Arial" w:hAnsi="Arial"/>
          <w:sz w:val="27"/>
          <w:rtl/>
          <w:lang w:bidi="ar-EG"/>
        </w:rPr>
        <w:t>ل</w:t>
      </w:r>
      <w:r w:rsidR="00B77B70" w:rsidRPr="00904FCB">
        <w:rPr>
          <w:rFonts w:ascii="Arial" w:hAnsi="Arial" w:hint="cs"/>
          <w:sz w:val="27"/>
          <w:rtl/>
          <w:lang w:bidi="ar-EG"/>
        </w:rPr>
        <w:t>ْ</w:t>
      </w:r>
      <w:r w:rsidRPr="00904FCB">
        <w:rPr>
          <w:rFonts w:ascii="Arial" w:hAnsi="Arial"/>
          <w:sz w:val="27"/>
          <w:rtl/>
          <w:lang w:bidi="ar-EG"/>
        </w:rPr>
        <w:t>مية أو</w:t>
      </w:r>
      <w:r w:rsidR="00B77B70" w:rsidRPr="00904FCB">
        <w:rPr>
          <w:rFonts w:ascii="Arial" w:hAnsi="Arial" w:hint="cs"/>
          <w:sz w:val="27"/>
          <w:rtl/>
          <w:lang w:bidi="ar-EG"/>
        </w:rPr>
        <w:t>ّ</w:t>
      </w:r>
      <w:r w:rsidRPr="00904FCB">
        <w:rPr>
          <w:rFonts w:ascii="Arial" w:hAnsi="Arial"/>
          <w:sz w:val="27"/>
          <w:rtl/>
          <w:lang w:bidi="ar-EG"/>
        </w:rPr>
        <w:t>لاً، ثم</w:t>
      </w:r>
      <w:r w:rsidR="00B77B70" w:rsidRPr="00904FCB">
        <w:rPr>
          <w:rFonts w:ascii="Arial" w:hAnsi="Arial" w:hint="cs"/>
          <w:sz w:val="27"/>
          <w:rtl/>
          <w:lang w:bidi="ar-EG"/>
        </w:rPr>
        <w:t>ّ</w:t>
      </w:r>
      <w:r w:rsidRPr="00904FCB">
        <w:rPr>
          <w:rFonts w:ascii="Arial" w:hAnsi="Arial"/>
          <w:sz w:val="27"/>
          <w:rtl/>
          <w:lang w:bidi="ar-EG"/>
        </w:rPr>
        <w:t xml:space="preserve"> عند اقتضاء الأمر للمحافظة على الدعاة</w:t>
      </w:r>
      <w:r w:rsidR="00B77B70" w:rsidRPr="00904FCB">
        <w:rPr>
          <w:rFonts w:ascii="Arial" w:hAnsi="Arial" w:hint="cs"/>
          <w:sz w:val="27"/>
          <w:rtl/>
          <w:lang w:bidi="ar-EG"/>
        </w:rPr>
        <w:t>،</w:t>
      </w:r>
      <w:r w:rsidRPr="00904FCB">
        <w:rPr>
          <w:rFonts w:ascii="Arial" w:hAnsi="Arial"/>
          <w:sz w:val="27"/>
          <w:rtl/>
          <w:lang w:bidi="ar-EG"/>
        </w:rPr>
        <w:t xml:space="preserve"> وتحصين البلاد</w:t>
      </w:r>
      <w:r w:rsidR="00B77B70" w:rsidRPr="00904FCB">
        <w:rPr>
          <w:rFonts w:ascii="Arial" w:hAnsi="Arial" w:hint="cs"/>
          <w:sz w:val="27"/>
          <w:rtl/>
          <w:lang w:bidi="ar-EG"/>
        </w:rPr>
        <w:t>،</w:t>
      </w:r>
      <w:r w:rsidRPr="00904FCB">
        <w:rPr>
          <w:rFonts w:ascii="Arial" w:hAnsi="Arial"/>
          <w:sz w:val="27"/>
          <w:rtl/>
          <w:lang w:bidi="ar-EG"/>
        </w:rPr>
        <w:t xml:space="preserve"> ي</w:t>
      </w:r>
      <w:r w:rsidR="00B77B70" w:rsidRPr="00904FCB">
        <w:rPr>
          <w:rFonts w:ascii="Arial" w:hAnsi="Arial" w:hint="cs"/>
          <w:sz w:val="27"/>
          <w:rtl/>
          <w:lang w:bidi="ar-EG"/>
        </w:rPr>
        <w:t>ُ</w:t>
      </w:r>
      <w:r w:rsidRPr="00904FCB">
        <w:rPr>
          <w:rFonts w:ascii="Arial" w:hAnsi="Arial"/>
          <w:sz w:val="27"/>
          <w:rtl/>
          <w:lang w:bidi="ar-EG"/>
        </w:rPr>
        <w:t>ل</w:t>
      </w:r>
      <w:r w:rsidR="00B77B70" w:rsidRPr="00904FCB">
        <w:rPr>
          <w:rFonts w:ascii="Arial" w:hAnsi="Arial" w:hint="cs"/>
          <w:sz w:val="27"/>
          <w:rtl/>
          <w:lang w:bidi="ar-EG"/>
        </w:rPr>
        <w:t>ْ</w:t>
      </w:r>
      <w:r w:rsidRPr="00904FCB">
        <w:rPr>
          <w:rFonts w:ascii="Arial" w:hAnsi="Arial"/>
          <w:sz w:val="27"/>
          <w:rtl/>
          <w:lang w:bidi="ar-EG"/>
        </w:rPr>
        <w:t>ج</w:t>
      </w:r>
      <w:r w:rsidR="00B77B70" w:rsidRPr="00904FCB">
        <w:rPr>
          <w:rFonts w:ascii="Arial" w:hAnsi="Arial" w:hint="cs"/>
          <w:sz w:val="27"/>
          <w:rtl/>
          <w:lang w:bidi="ar-EG"/>
        </w:rPr>
        <w:t>َ</w:t>
      </w:r>
      <w:r w:rsidRPr="00904FCB">
        <w:rPr>
          <w:rFonts w:ascii="Arial" w:hAnsi="Arial"/>
          <w:sz w:val="27"/>
          <w:rtl/>
          <w:lang w:bidi="ar-EG"/>
        </w:rPr>
        <w:t>أ إلى القتال</w:t>
      </w:r>
      <w:r w:rsidR="00B77B70" w:rsidRPr="00904FCB">
        <w:rPr>
          <w:rFonts w:ascii="Arial" w:hAnsi="Arial" w:hint="cs"/>
          <w:sz w:val="27"/>
          <w:rtl/>
          <w:lang w:bidi="ar-EG"/>
        </w:rPr>
        <w:t>؛</w:t>
      </w:r>
      <w:r w:rsidRPr="00904FCB">
        <w:rPr>
          <w:rFonts w:ascii="Arial" w:hAnsi="Arial"/>
          <w:sz w:val="27"/>
          <w:rtl/>
          <w:lang w:bidi="ar-EG"/>
        </w:rPr>
        <w:t xml:space="preserve"> لتحقيق السعادة الشاملة للبشرية في دنياهم </w:t>
      </w:r>
      <w:r w:rsidRPr="00904FCB">
        <w:rPr>
          <w:rFonts w:ascii="Arial" w:hAnsi="Arial"/>
          <w:sz w:val="27"/>
          <w:rtl/>
          <w:lang w:bidi="ar-EG"/>
        </w:rPr>
        <w:lastRenderedPageBreak/>
        <w:t>وآخرتهم</w:t>
      </w:r>
      <w:r w:rsidR="00B77B70" w:rsidRPr="00904FCB">
        <w:rPr>
          <w:rFonts w:ascii="Arial" w:hAnsi="Arial" w:hint="cs"/>
          <w:sz w:val="27"/>
          <w:rtl/>
          <w:lang w:bidi="ar-EG"/>
        </w:rPr>
        <w:t>،</w:t>
      </w:r>
      <w:r w:rsidRPr="00904FCB">
        <w:rPr>
          <w:rFonts w:ascii="Arial" w:hAnsi="Arial"/>
          <w:sz w:val="27"/>
          <w:rtl/>
          <w:lang w:bidi="ar-EG"/>
        </w:rPr>
        <w:t xml:space="preserve"> كما ارتضاها الإله الحكيم</w:t>
      </w:r>
      <w:r w:rsidR="00B77B70" w:rsidRPr="00904FCB">
        <w:rPr>
          <w:rFonts w:ascii="Arial" w:hAnsi="Arial" w:hint="cs"/>
          <w:sz w:val="27"/>
          <w:rtl/>
          <w:lang w:bidi="ar-EG"/>
        </w:rPr>
        <w:t xml:space="preserve">. </w:t>
      </w:r>
      <w:r w:rsidRPr="00904FCB">
        <w:rPr>
          <w:rFonts w:ascii="Arial" w:hAnsi="Arial"/>
          <w:sz w:val="27"/>
          <w:rtl/>
          <w:lang w:bidi="ar-EG"/>
        </w:rPr>
        <w:t>وكل</w:t>
      </w:r>
      <w:r w:rsidR="00B77B70" w:rsidRPr="00904FCB">
        <w:rPr>
          <w:rFonts w:ascii="Arial" w:hAnsi="Arial" w:hint="cs"/>
          <w:sz w:val="27"/>
          <w:rtl/>
          <w:lang w:bidi="ar-EG"/>
        </w:rPr>
        <w:t>ُّ</w:t>
      </w:r>
      <w:r w:rsidRPr="00904FCB">
        <w:rPr>
          <w:rFonts w:ascii="Arial" w:hAnsi="Arial"/>
          <w:sz w:val="27"/>
          <w:rtl/>
          <w:lang w:bidi="ar-EG"/>
        </w:rPr>
        <w:t xml:space="preserve"> جهد</w:t>
      </w:r>
      <w:r w:rsidR="00B77B70" w:rsidRPr="00904FCB">
        <w:rPr>
          <w:rFonts w:ascii="Arial" w:hAnsi="Arial" w:hint="cs"/>
          <w:sz w:val="27"/>
          <w:rtl/>
          <w:lang w:bidi="ar-EG"/>
        </w:rPr>
        <w:t>ٍ</w:t>
      </w:r>
      <w:r w:rsidRPr="00904FCB">
        <w:rPr>
          <w:rFonts w:ascii="Arial" w:hAnsi="Arial"/>
          <w:sz w:val="27"/>
          <w:rtl/>
          <w:lang w:bidi="ar-EG"/>
        </w:rPr>
        <w:t xml:space="preserve"> ي</w:t>
      </w:r>
      <w:r w:rsidR="00B77B70" w:rsidRPr="00904FCB">
        <w:rPr>
          <w:rFonts w:ascii="Arial" w:hAnsi="Arial" w:hint="cs"/>
          <w:sz w:val="27"/>
          <w:rtl/>
          <w:lang w:bidi="ar-EG"/>
        </w:rPr>
        <w:t>ُ</w:t>
      </w:r>
      <w:r w:rsidRPr="00904FCB">
        <w:rPr>
          <w:rFonts w:ascii="Arial" w:hAnsi="Arial"/>
          <w:sz w:val="27"/>
          <w:rtl/>
          <w:lang w:bidi="ar-EG"/>
        </w:rPr>
        <w:t>ب</w:t>
      </w:r>
      <w:r w:rsidR="00B77B70" w:rsidRPr="00904FCB">
        <w:rPr>
          <w:rFonts w:ascii="Arial" w:hAnsi="Arial" w:hint="cs"/>
          <w:sz w:val="27"/>
          <w:rtl/>
          <w:lang w:bidi="ar-EG"/>
        </w:rPr>
        <w:t>ْ</w:t>
      </w:r>
      <w:r w:rsidRPr="00904FCB">
        <w:rPr>
          <w:rFonts w:ascii="Arial" w:hAnsi="Arial"/>
          <w:sz w:val="27"/>
          <w:rtl/>
          <w:lang w:bidi="ar-EG"/>
        </w:rPr>
        <w:t>ذ</w:t>
      </w:r>
      <w:r w:rsidR="00B77B70" w:rsidRPr="00904FCB">
        <w:rPr>
          <w:rFonts w:ascii="Arial" w:hAnsi="Arial" w:hint="cs"/>
          <w:sz w:val="27"/>
          <w:rtl/>
          <w:lang w:bidi="ar-EG"/>
        </w:rPr>
        <w:t>َ</w:t>
      </w:r>
      <w:r w:rsidRPr="00904FCB">
        <w:rPr>
          <w:rFonts w:ascii="Arial" w:hAnsi="Arial"/>
          <w:sz w:val="27"/>
          <w:rtl/>
          <w:lang w:bidi="ar-EG"/>
        </w:rPr>
        <w:t>ل في هذا المضمار فهو في سبيل الله وحده، ولإرضائه فقط</w:t>
      </w:r>
      <w:r w:rsidRPr="00904FCB">
        <w:rPr>
          <w:rFonts w:hint="eastAsia"/>
          <w:sz w:val="27"/>
          <w:rtl/>
        </w:rPr>
        <w:t>»</w:t>
      </w:r>
      <w:r w:rsidRPr="00904FCB">
        <w:rPr>
          <w:sz w:val="27"/>
          <w:vertAlign w:val="superscript"/>
          <w:rtl/>
        </w:rPr>
        <w:t>(</w:t>
      </w:r>
      <w:r w:rsidRPr="00904FCB">
        <w:rPr>
          <w:sz w:val="27"/>
          <w:vertAlign w:val="superscript"/>
          <w:rtl/>
        </w:rPr>
        <w:endnoteReference w:id="139"/>
      </w:r>
      <w:r w:rsidRPr="00904FCB">
        <w:rPr>
          <w:sz w:val="27"/>
          <w:vertAlign w:val="superscript"/>
          <w:rtl/>
        </w:rPr>
        <w:t>)</w:t>
      </w:r>
      <w:r w:rsidRPr="00904FCB">
        <w:rPr>
          <w:rFonts w:ascii="Arial" w:hAnsi="Arial"/>
          <w:sz w:val="27"/>
          <w:rtl/>
          <w:lang w:bidi="ar-EG"/>
        </w:rPr>
        <w:t xml:space="preserve">. </w:t>
      </w:r>
    </w:p>
    <w:p w:rsidR="00A45FD9" w:rsidRPr="00904FCB" w:rsidRDefault="00A45FD9" w:rsidP="007A21AA">
      <w:pPr>
        <w:spacing w:line="400" w:lineRule="exact"/>
        <w:rPr>
          <w:rFonts w:ascii="Arial" w:hAnsi="Arial"/>
          <w:sz w:val="27"/>
          <w:rtl/>
          <w:lang w:bidi="ar-EG"/>
        </w:rPr>
      </w:pPr>
      <w:r w:rsidRPr="00904FCB">
        <w:rPr>
          <w:rFonts w:ascii="Arial" w:hAnsi="Arial"/>
          <w:sz w:val="27"/>
          <w:rtl/>
          <w:lang w:bidi="ar-EG"/>
        </w:rPr>
        <w:t>كما أنهم ير</w:t>
      </w:r>
      <w:r w:rsidR="00B77B70" w:rsidRPr="00904FCB">
        <w:rPr>
          <w:rFonts w:ascii="Arial" w:hAnsi="Arial" w:hint="cs"/>
          <w:sz w:val="27"/>
          <w:rtl/>
          <w:lang w:bidi="ar-EG"/>
        </w:rPr>
        <w:t>َ</w:t>
      </w:r>
      <w:r w:rsidRPr="00904FCB">
        <w:rPr>
          <w:rFonts w:ascii="Arial" w:hAnsi="Arial"/>
          <w:sz w:val="27"/>
          <w:rtl/>
          <w:lang w:bidi="ar-EG"/>
        </w:rPr>
        <w:t>و</w:t>
      </w:r>
      <w:r w:rsidR="00B77B70" w:rsidRPr="00904FCB">
        <w:rPr>
          <w:rFonts w:ascii="Arial" w:hAnsi="Arial" w:hint="cs"/>
          <w:sz w:val="27"/>
          <w:rtl/>
          <w:lang w:bidi="ar-EG"/>
        </w:rPr>
        <w:t>ْ</w:t>
      </w:r>
      <w:r w:rsidRPr="00904FCB">
        <w:rPr>
          <w:rFonts w:ascii="Arial" w:hAnsi="Arial"/>
          <w:sz w:val="27"/>
          <w:rtl/>
          <w:lang w:bidi="ar-EG"/>
        </w:rPr>
        <w:t xml:space="preserve">ن أن الجهاد </w:t>
      </w:r>
      <w:r w:rsidRPr="00904FCB">
        <w:rPr>
          <w:rFonts w:hint="eastAsia"/>
          <w:sz w:val="27"/>
          <w:rtl/>
          <w:lang w:bidi="ar-EG"/>
        </w:rPr>
        <w:t>«</w:t>
      </w:r>
      <w:r w:rsidRPr="00904FCB">
        <w:rPr>
          <w:rFonts w:ascii="Arial" w:hAnsi="Arial"/>
          <w:sz w:val="27"/>
          <w:rtl/>
          <w:lang w:bidi="ar-EG"/>
        </w:rPr>
        <w:t>فرض</w:t>
      </w:r>
      <w:r w:rsidR="00B77B70" w:rsidRPr="00904FCB">
        <w:rPr>
          <w:rFonts w:ascii="Arial" w:hAnsi="Arial" w:hint="cs"/>
          <w:sz w:val="27"/>
          <w:rtl/>
          <w:lang w:bidi="ar-EG"/>
        </w:rPr>
        <w:t>ٌ</w:t>
      </w:r>
      <w:r w:rsidRPr="00904FCB">
        <w:rPr>
          <w:rFonts w:ascii="Arial" w:hAnsi="Arial"/>
          <w:sz w:val="27"/>
          <w:rtl/>
          <w:lang w:bidi="ar-EG"/>
        </w:rPr>
        <w:t xml:space="preserve"> على المسلمين لنصرة الإسلام بعد وجود مقتضياته من قبل العدو</w:t>
      </w:r>
      <w:r w:rsidR="00B77B70" w:rsidRPr="00904FCB">
        <w:rPr>
          <w:rFonts w:ascii="Arial" w:hAnsi="Arial" w:hint="cs"/>
          <w:sz w:val="27"/>
          <w:rtl/>
          <w:lang w:bidi="ar-EG"/>
        </w:rPr>
        <w:t>ّ،</w:t>
      </w:r>
      <w:r w:rsidRPr="00904FCB">
        <w:rPr>
          <w:rFonts w:ascii="Arial" w:hAnsi="Arial"/>
          <w:sz w:val="27"/>
          <w:rtl/>
          <w:lang w:bidi="ar-EG"/>
        </w:rPr>
        <w:t xml:space="preserve"> بخلاف الحرب</w:t>
      </w:r>
      <w:r w:rsidR="00B77B70" w:rsidRPr="00904FCB">
        <w:rPr>
          <w:rFonts w:ascii="Arial" w:hAnsi="Arial" w:hint="cs"/>
          <w:sz w:val="27"/>
          <w:rtl/>
          <w:lang w:bidi="ar-EG"/>
        </w:rPr>
        <w:t>،</w:t>
      </w:r>
      <w:r w:rsidRPr="00904FCB">
        <w:rPr>
          <w:rFonts w:ascii="Arial" w:hAnsi="Arial"/>
          <w:sz w:val="27"/>
          <w:rtl/>
          <w:lang w:bidi="ar-EG"/>
        </w:rPr>
        <w:t xml:space="preserve"> فقد تكون للعدوان</w:t>
      </w:r>
      <w:r w:rsidR="00B77B70" w:rsidRPr="00904FCB">
        <w:rPr>
          <w:rFonts w:ascii="Arial" w:hAnsi="Arial" w:hint="cs"/>
          <w:sz w:val="27"/>
          <w:rtl/>
          <w:lang w:bidi="ar-EG"/>
        </w:rPr>
        <w:t>.</w:t>
      </w:r>
      <w:r w:rsidRPr="00904FCB">
        <w:rPr>
          <w:rFonts w:ascii="Arial" w:hAnsi="Arial"/>
          <w:sz w:val="27"/>
          <w:rtl/>
          <w:lang w:bidi="ar-EG"/>
        </w:rPr>
        <w:t xml:space="preserve"> ولهذا فضّ</w:t>
      </w:r>
      <w:r w:rsidR="00B77B70" w:rsidRPr="00904FCB">
        <w:rPr>
          <w:rFonts w:ascii="Arial" w:hAnsi="Arial" w:hint="cs"/>
          <w:sz w:val="27"/>
          <w:rtl/>
          <w:lang w:bidi="ar-EG"/>
        </w:rPr>
        <w:t>َ</w:t>
      </w:r>
      <w:r w:rsidRPr="00904FCB">
        <w:rPr>
          <w:rFonts w:ascii="Arial" w:hAnsi="Arial"/>
          <w:sz w:val="27"/>
          <w:rtl/>
          <w:lang w:bidi="ar-EG"/>
        </w:rPr>
        <w:t>ل الإسلام كلمة جهاد ع</w:t>
      </w:r>
      <w:r w:rsidR="00B77B70" w:rsidRPr="00904FCB">
        <w:rPr>
          <w:rFonts w:ascii="Arial" w:hAnsi="Arial" w:hint="cs"/>
          <w:sz w:val="27"/>
          <w:rtl/>
          <w:lang w:bidi="ar-EG"/>
        </w:rPr>
        <w:t>لى</w:t>
      </w:r>
      <w:r w:rsidRPr="00904FCB">
        <w:rPr>
          <w:rFonts w:ascii="Arial" w:hAnsi="Arial"/>
          <w:sz w:val="27"/>
          <w:rtl/>
          <w:lang w:bidi="ar-EG"/>
        </w:rPr>
        <w:t xml:space="preserve"> كلمة حرب</w:t>
      </w:r>
      <w:r w:rsidR="00B77B70" w:rsidRPr="00904FCB">
        <w:rPr>
          <w:rFonts w:ascii="Arial" w:hAnsi="Arial" w:hint="cs"/>
          <w:sz w:val="27"/>
          <w:rtl/>
          <w:lang w:bidi="ar-EG"/>
        </w:rPr>
        <w:t>.</w:t>
      </w:r>
      <w:r w:rsidRPr="00904FCB">
        <w:rPr>
          <w:rFonts w:ascii="Arial" w:hAnsi="Arial"/>
          <w:sz w:val="27"/>
          <w:rtl/>
          <w:lang w:bidi="ar-EG"/>
        </w:rPr>
        <w:t xml:space="preserve"> فالجهاد إذن كلمة</w:t>
      </w:r>
      <w:r w:rsidR="00B77B70" w:rsidRPr="00904FCB">
        <w:rPr>
          <w:rFonts w:ascii="Arial" w:hAnsi="Arial" w:hint="cs"/>
          <w:sz w:val="27"/>
          <w:rtl/>
          <w:lang w:bidi="ar-EG"/>
        </w:rPr>
        <w:t>ٌ</w:t>
      </w:r>
      <w:r w:rsidRPr="00904FCB">
        <w:rPr>
          <w:rFonts w:ascii="Arial" w:hAnsi="Arial"/>
          <w:sz w:val="27"/>
          <w:rtl/>
          <w:lang w:bidi="ar-EG"/>
        </w:rPr>
        <w:t xml:space="preserve"> إسلامية</w:t>
      </w:r>
      <w:r w:rsidRPr="00904FCB">
        <w:rPr>
          <w:rFonts w:hint="eastAsia"/>
          <w:sz w:val="27"/>
          <w:rtl/>
        </w:rPr>
        <w:t>»</w:t>
      </w:r>
      <w:r w:rsidRPr="00904FCB">
        <w:rPr>
          <w:sz w:val="27"/>
          <w:vertAlign w:val="superscript"/>
          <w:rtl/>
        </w:rPr>
        <w:t>(</w:t>
      </w:r>
      <w:r w:rsidRPr="00904FCB">
        <w:rPr>
          <w:sz w:val="27"/>
          <w:vertAlign w:val="superscript"/>
          <w:rtl/>
        </w:rPr>
        <w:endnoteReference w:id="140"/>
      </w:r>
      <w:r w:rsidRPr="00904FCB">
        <w:rPr>
          <w:sz w:val="27"/>
          <w:vertAlign w:val="superscript"/>
          <w:rtl/>
        </w:rPr>
        <w:t>)</w:t>
      </w:r>
      <w:r w:rsidRPr="00904FCB">
        <w:rPr>
          <w:rFonts w:ascii="Arial" w:hAnsi="Arial"/>
          <w:sz w:val="27"/>
          <w:rtl/>
          <w:lang w:bidi="ar-EG"/>
        </w:rPr>
        <w:t xml:space="preserve">. </w:t>
      </w:r>
    </w:p>
    <w:p w:rsidR="00A45FD9" w:rsidRPr="00904FCB" w:rsidRDefault="00A45FD9" w:rsidP="007A21AA">
      <w:pPr>
        <w:spacing w:line="400" w:lineRule="exact"/>
        <w:rPr>
          <w:rFonts w:ascii="Arial" w:hAnsi="Arial"/>
          <w:sz w:val="27"/>
          <w:rtl/>
          <w:lang w:bidi="ar-EG"/>
        </w:rPr>
      </w:pPr>
      <w:r w:rsidRPr="00904FCB">
        <w:rPr>
          <w:rFonts w:ascii="Arial" w:hAnsi="Arial"/>
          <w:sz w:val="27"/>
          <w:rtl/>
          <w:lang w:bidi="ar-EG"/>
        </w:rPr>
        <w:t>في المقابل فإن الدوائر الغربية تقوم بإطلاق معان</w:t>
      </w:r>
      <w:r w:rsidR="00B77B70" w:rsidRPr="00904FCB">
        <w:rPr>
          <w:rFonts w:ascii="Arial" w:hAnsi="Arial" w:hint="cs"/>
          <w:sz w:val="27"/>
          <w:rtl/>
          <w:lang w:bidi="ar-EG"/>
        </w:rPr>
        <w:t>ٍ</w:t>
      </w:r>
      <w:r w:rsidRPr="00904FCB">
        <w:rPr>
          <w:rFonts w:ascii="Arial" w:hAnsi="Arial"/>
          <w:sz w:val="27"/>
          <w:rtl/>
          <w:lang w:bidi="ar-EG"/>
        </w:rPr>
        <w:t xml:space="preserve"> أخرى للجهاد</w:t>
      </w:r>
      <w:r w:rsidR="00B77B70" w:rsidRPr="00904FCB">
        <w:rPr>
          <w:rFonts w:ascii="Arial" w:hAnsi="Arial" w:hint="cs"/>
          <w:sz w:val="27"/>
          <w:rtl/>
          <w:lang w:bidi="ar-EG"/>
        </w:rPr>
        <w:t>؛</w:t>
      </w:r>
      <w:r w:rsidRPr="00904FCB">
        <w:rPr>
          <w:rFonts w:ascii="Arial" w:hAnsi="Arial"/>
          <w:sz w:val="27"/>
          <w:rtl/>
          <w:lang w:bidi="ar-EG"/>
        </w:rPr>
        <w:t xml:space="preserve"> بسبب جهلها أو تجاهلها للمنظور الإسلامي</w:t>
      </w:r>
      <w:r w:rsidR="00B77B70" w:rsidRPr="00904FCB">
        <w:rPr>
          <w:rFonts w:ascii="Arial" w:hAnsi="Arial" w:hint="cs"/>
          <w:sz w:val="27"/>
          <w:rtl/>
          <w:lang w:bidi="ar-EG"/>
        </w:rPr>
        <w:t>.</w:t>
      </w:r>
      <w:r w:rsidRPr="00904FCB">
        <w:rPr>
          <w:rFonts w:ascii="Arial" w:hAnsi="Arial"/>
          <w:sz w:val="27"/>
          <w:rtl/>
          <w:lang w:bidi="ar-EG"/>
        </w:rPr>
        <w:t xml:space="preserve"> هذا ما يؤك</w:t>
      </w:r>
      <w:r w:rsidR="00B77B70" w:rsidRPr="00904FCB">
        <w:rPr>
          <w:rFonts w:ascii="Arial" w:hAnsi="Arial" w:hint="cs"/>
          <w:sz w:val="27"/>
          <w:rtl/>
          <w:lang w:bidi="ar-EG"/>
        </w:rPr>
        <w:t>ِّ</w:t>
      </w:r>
      <w:r w:rsidRPr="00904FCB">
        <w:rPr>
          <w:rFonts w:ascii="Arial" w:hAnsi="Arial"/>
          <w:sz w:val="27"/>
          <w:rtl/>
          <w:lang w:bidi="ar-EG"/>
        </w:rPr>
        <w:t>ده فهمي هويدي</w:t>
      </w:r>
      <w:r w:rsidR="00B77B70" w:rsidRPr="00904FCB">
        <w:rPr>
          <w:rFonts w:ascii="Arial" w:hAnsi="Arial" w:hint="cs"/>
          <w:sz w:val="27"/>
          <w:rtl/>
          <w:lang w:bidi="ar-EG"/>
        </w:rPr>
        <w:t>،</w:t>
      </w:r>
      <w:r w:rsidRPr="00904FCB">
        <w:rPr>
          <w:rFonts w:ascii="Arial" w:hAnsi="Arial"/>
          <w:sz w:val="27"/>
          <w:rtl/>
          <w:lang w:bidi="ar-EG"/>
        </w:rPr>
        <w:t xml:space="preserve"> إذ يقول: </w:t>
      </w:r>
      <w:r w:rsidRPr="00904FCB">
        <w:rPr>
          <w:rFonts w:hint="eastAsia"/>
          <w:sz w:val="27"/>
          <w:rtl/>
          <w:lang w:bidi="ar-EG"/>
        </w:rPr>
        <w:t>«</w:t>
      </w:r>
      <w:r w:rsidRPr="00904FCB">
        <w:rPr>
          <w:rFonts w:ascii="Arial" w:hAnsi="Arial"/>
          <w:sz w:val="27"/>
          <w:rtl/>
          <w:lang w:bidi="ar-EG"/>
        </w:rPr>
        <w:t>هناك عبارات ومفردات محم</w:t>
      </w:r>
      <w:r w:rsidR="00B77B70" w:rsidRPr="00904FCB">
        <w:rPr>
          <w:rFonts w:ascii="Arial" w:hAnsi="Arial" w:hint="cs"/>
          <w:sz w:val="27"/>
          <w:rtl/>
          <w:lang w:bidi="ar-EG"/>
        </w:rPr>
        <w:t>َّ</w:t>
      </w:r>
      <w:r w:rsidRPr="00904FCB">
        <w:rPr>
          <w:rFonts w:ascii="Arial" w:hAnsi="Arial"/>
          <w:sz w:val="27"/>
          <w:rtl/>
          <w:lang w:bidi="ar-EG"/>
        </w:rPr>
        <w:t>لة في ذهن المسلم بأبعاد</w:t>
      </w:r>
      <w:r w:rsidR="00B77B70" w:rsidRPr="00904FCB">
        <w:rPr>
          <w:rFonts w:ascii="Arial" w:hAnsi="Arial" w:hint="cs"/>
          <w:sz w:val="27"/>
          <w:rtl/>
          <w:lang w:bidi="ar-EG"/>
        </w:rPr>
        <w:t>ٍ</w:t>
      </w:r>
      <w:r w:rsidRPr="00904FCB">
        <w:rPr>
          <w:rFonts w:ascii="Arial" w:hAnsi="Arial"/>
          <w:sz w:val="27"/>
          <w:rtl/>
          <w:lang w:bidi="ar-EG"/>
        </w:rPr>
        <w:t xml:space="preserve"> إيمانية يعجز غير المسلم ـ الغربي</w:t>
      </w:r>
      <w:r w:rsidR="00B77B70" w:rsidRPr="00904FCB">
        <w:rPr>
          <w:rFonts w:ascii="Arial" w:hAnsi="Arial" w:hint="cs"/>
          <w:sz w:val="27"/>
          <w:rtl/>
          <w:lang w:bidi="ar-EG"/>
        </w:rPr>
        <w:t>ّ</w:t>
      </w:r>
      <w:r w:rsidRPr="00904FCB">
        <w:rPr>
          <w:rFonts w:ascii="Arial" w:hAnsi="Arial"/>
          <w:sz w:val="27"/>
          <w:rtl/>
          <w:lang w:bidi="ar-EG"/>
        </w:rPr>
        <w:t>ون بوجه</w:t>
      </w:r>
      <w:r w:rsidR="00B77B70" w:rsidRPr="00904FCB">
        <w:rPr>
          <w:rFonts w:ascii="Arial" w:hAnsi="Arial" w:hint="cs"/>
          <w:sz w:val="27"/>
          <w:rtl/>
          <w:lang w:bidi="ar-EG"/>
        </w:rPr>
        <w:t>ٍ</w:t>
      </w:r>
      <w:r w:rsidRPr="00904FCB">
        <w:rPr>
          <w:rFonts w:ascii="Arial" w:hAnsi="Arial"/>
          <w:sz w:val="27"/>
          <w:rtl/>
          <w:lang w:bidi="ar-EG"/>
        </w:rPr>
        <w:t xml:space="preserve"> أخص</w:t>
      </w:r>
      <w:r w:rsidR="00B77B70" w:rsidRPr="00904FCB">
        <w:rPr>
          <w:rFonts w:ascii="Arial" w:hAnsi="Arial" w:hint="cs"/>
          <w:sz w:val="27"/>
          <w:rtl/>
          <w:lang w:bidi="ar-EG"/>
        </w:rPr>
        <w:t>ّ</w:t>
      </w:r>
      <w:r w:rsidRPr="00904FCB">
        <w:rPr>
          <w:rFonts w:ascii="Arial" w:hAnsi="Arial"/>
          <w:sz w:val="27"/>
          <w:rtl/>
          <w:lang w:bidi="ar-EG"/>
        </w:rPr>
        <w:t xml:space="preserve"> ـ عن إدراكها، بحيث </w:t>
      </w:r>
      <w:r w:rsidR="00B77B70" w:rsidRPr="00904FCB">
        <w:rPr>
          <w:rFonts w:ascii="Arial" w:hAnsi="Arial" w:hint="cs"/>
          <w:sz w:val="27"/>
          <w:rtl/>
          <w:lang w:bidi="ar-EG"/>
        </w:rPr>
        <w:t>إ</w:t>
      </w:r>
      <w:r w:rsidRPr="00904FCB">
        <w:rPr>
          <w:rFonts w:ascii="Arial" w:hAnsi="Arial"/>
          <w:sz w:val="27"/>
          <w:rtl/>
          <w:lang w:bidi="ar-EG"/>
        </w:rPr>
        <w:t>ن استخدامها قد يعطي انطباعاً معي</w:t>
      </w:r>
      <w:r w:rsidR="00B77B70" w:rsidRPr="00904FCB">
        <w:rPr>
          <w:rFonts w:ascii="Arial" w:hAnsi="Arial" w:hint="cs"/>
          <w:sz w:val="27"/>
          <w:rtl/>
          <w:lang w:bidi="ar-EG"/>
        </w:rPr>
        <w:t>َّ</w:t>
      </w:r>
      <w:r w:rsidRPr="00904FCB">
        <w:rPr>
          <w:rFonts w:ascii="Arial" w:hAnsi="Arial"/>
          <w:sz w:val="27"/>
          <w:rtl/>
          <w:lang w:bidi="ar-EG"/>
        </w:rPr>
        <w:t>ناً عند المسلم، وانطباعاً آخر ـ قد يكون سلبي</w:t>
      </w:r>
      <w:r w:rsidR="00B77B70" w:rsidRPr="00904FCB">
        <w:rPr>
          <w:rFonts w:ascii="Arial" w:hAnsi="Arial" w:hint="cs"/>
          <w:sz w:val="27"/>
          <w:rtl/>
          <w:lang w:bidi="ar-EG"/>
        </w:rPr>
        <w:t>ّ</w:t>
      </w:r>
      <w:r w:rsidRPr="00904FCB">
        <w:rPr>
          <w:rFonts w:ascii="Arial" w:hAnsi="Arial"/>
          <w:sz w:val="27"/>
          <w:rtl/>
          <w:lang w:bidi="ar-EG"/>
        </w:rPr>
        <w:t>اً ـ عند أولئك الغرباء والمستغربين... ومن تلك المفردات التي لا يستطيع الغربي أن يستوعبها ويقرأها قراءة</w:t>
      </w:r>
      <w:r w:rsidR="00B77B70" w:rsidRPr="00904FCB">
        <w:rPr>
          <w:rFonts w:ascii="Arial" w:hAnsi="Arial" w:hint="cs"/>
          <w:sz w:val="27"/>
          <w:rtl/>
          <w:lang w:bidi="ar-EG"/>
        </w:rPr>
        <w:t>ً</w:t>
      </w:r>
      <w:r w:rsidRPr="00904FCB">
        <w:rPr>
          <w:rFonts w:ascii="Arial" w:hAnsi="Arial"/>
          <w:sz w:val="27"/>
          <w:rtl/>
          <w:lang w:bidi="ar-EG"/>
        </w:rPr>
        <w:t xml:space="preserve"> صحيحة كلمة (الجهاد) أو (الفتح)... والجهاد عند العقل الغربي فكرة غريبة وغير مفهومة، وهو في أحسن الفروض لا يزيد عن كونه حربا</w:t>
      </w:r>
      <w:r w:rsidR="00B77B70" w:rsidRPr="00904FCB">
        <w:rPr>
          <w:rFonts w:ascii="Arial" w:hAnsi="Arial" w:hint="cs"/>
          <w:sz w:val="27"/>
          <w:rtl/>
          <w:lang w:bidi="ar-EG"/>
        </w:rPr>
        <w:t>ً</w:t>
      </w:r>
      <w:r w:rsidRPr="00904FCB">
        <w:rPr>
          <w:rFonts w:ascii="Arial" w:hAnsi="Arial"/>
          <w:sz w:val="27"/>
          <w:rtl/>
          <w:lang w:bidi="ar-EG"/>
        </w:rPr>
        <w:t xml:space="preserve"> مقد</w:t>
      </w:r>
      <w:r w:rsidR="00B77B70" w:rsidRPr="00904FCB">
        <w:rPr>
          <w:rFonts w:ascii="Arial" w:hAnsi="Arial" w:hint="cs"/>
          <w:sz w:val="27"/>
          <w:rtl/>
          <w:lang w:bidi="ar-EG"/>
        </w:rPr>
        <w:t>ّ</w:t>
      </w:r>
      <w:r w:rsidRPr="00904FCB">
        <w:rPr>
          <w:rFonts w:ascii="Arial" w:hAnsi="Arial"/>
          <w:sz w:val="27"/>
          <w:rtl/>
          <w:lang w:bidi="ar-EG"/>
        </w:rPr>
        <w:t>سة</w:t>
      </w:r>
      <w:r w:rsidR="00B77B70" w:rsidRPr="00904FCB">
        <w:rPr>
          <w:rFonts w:ascii="Arial" w:hAnsi="Arial" w:hint="cs"/>
          <w:sz w:val="27"/>
          <w:rtl/>
          <w:lang w:bidi="ar-EG"/>
        </w:rPr>
        <w:t xml:space="preserve"> </w:t>
      </w:r>
      <w:r w:rsidRPr="00904FCB">
        <w:rPr>
          <w:rFonts w:ascii="Arial" w:hAnsi="Arial"/>
          <w:sz w:val="27"/>
          <w:rtl/>
          <w:lang w:bidi="ar-EG"/>
        </w:rPr>
        <w:t>(</w:t>
      </w:r>
      <w:r w:rsidRPr="00904FCB">
        <w:rPr>
          <w:rFonts w:asciiTheme="majorBidi" w:hAnsiTheme="majorBidi" w:cstheme="majorBidi"/>
          <w:sz w:val="22"/>
          <w:szCs w:val="22"/>
        </w:rPr>
        <w:t>Holy war</w:t>
      </w:r>
      <w:r w:rsidRPr="00904FCB">
        <w:rPr>
          <w:rFonts w:ascii="Arial" w:hAnsi="Arial"/>
          <w:sz w:val="27"/>
          <w:rtl/>
          <w:lang w:bidi="ar-EG"/>
        </w:rPr>
        <w:t>)... إن كلمة جهاد، أو مجاهد، لا تجد ترجمة حقيقية لها في اللغتين الإنجليزية والفرنسية، الأمر الذي حدا بالكت</w:t>
      </w:r>
      <w:r w:rsidR="003B25AD" w:rsidRPr="00904FCB">
        <w:rPr>
          <w:rFonts w:ascii="Arial" w:hAnsi="Arial" w:hint="cs"/>
          <w:sz w:val="27"/>
          <w:rtl/>
          <w:lang w:bidi="ar-EG"/>
        </w:rPr>
        <w:t>ّ</w:t>
      </w:r>
      <w:r w:rsidRPr="00904FCB">
        <w:rPr>
          <w:rFonts w:ascii="Arial" w:hAnsi="Arial"/>
          <w:sz w:val="27"/>
          <w:rtl/>
          <w:lang w:bidi="ar-EG"/>
        </w:rPr>
        <w:t>اب المنصفين إلى أن يستخدموا الكلمة العربية ذاتها مكتوبة</w:t>
      </w:r>
      <w:r w:rsidR="003B25AD" w:rsidRPr="00904FCB">
        <w:rPr>
          <w:rFonts w:ascii="Arial" w:hAnsi="Arial" w:hint="cs"/>
          <w:sz w:val="27"/>
          <w:rtl/>
          <w:lang w:bidi="ar-EG"/>
        </w:rPr>
        <w:t>ً</w:t>
      </w:r>
      <w:r w:rsidRPr="00904FCB">
        <w:rPr>
          <w:rFonts w:ascii="Arial" w:hAnsi="Arial"/>
          <w:sz w:val="27"/>
          <w:rtl/>
          <w:lang w:bidi="ar-EG"/>
        </w:rPr>
        <w:t xml:space="preserve"> بالحروف اللاتينية</w:t>
      </w:r>
      <w:r w:rsidR="003B25AD" w:rsidRPr="00904FCB">
        <w:rPr>
          <w:rFonts w:ascii="Arial" w:hAnsi="Arial" w:hint="cs"/>
          <w:sz w:val="27"/>
          <w:rtl/>
          <w:lang w:bidi="ar-EG"/>
        </w:rPr>
        <w:t>.</w:t>
      </w:r>
      <w:r w:rsidRPr="00904FCB">
        <w:rPr>
          <w:rFonts w:ascii="Arial" w:hAnsi="Arial"/>
          <w:sz w:val="27"/>
          <w:rtl/>
          <w:lang w:bidi="ar-EG"/>
        </w:rPr>
        <w:t xml:space="preserve"> فالجهاد يتمي</w:t>
      </w:r>
      <w:r w:rsidR="003B25AD" w:rsidRPr="00904FCB">
        <w:rPr>
          <w:rFonts w:ascii="Arial" w:hAnsi="Arial" w:hint="cs"/>
          <w:sz w:val="27"/>
          <w:rtl/>
          <w:lang w:bidi="ar-EG"/>
        </w:rPr>
        <w:t>َّ</w:t>
      </w:r>
      <w:r w:rsidRPr="00904FCB">
        <w:rPr>
          <w:rFonts w:ascii="Arial" w:hAnsi="Arial"/>
          <w:sz w:val="27"/>
          <w:rtl/>
          <w:lang w:bidi="ar-EG"/>
        </w:rPr>
        <w:t>ز عن القتال والنضال بتعد</w:t>
      </w:r>
      <w:r w:rsidR="003B25AD" w:rsidRPr="00904FCB">
        <w:rPr>
          <w:rFonts w:ascii="Arial" w:hAnsi="Arial" w:hint="cs"/>
          <w:sz w:val="27"/>
          <w:rtl/>
          <w:lang w:bidi="ar-EG"/>
        </w:rPr>
        <w:t>ُّ</w:t>
      </w:r>
      <w:r w:rsidRPr="00904FCB">
        <w:rPr>
          <w:rFonts w:ascii="Arial" w:hAnsi="Arial"/>
          <w:sz w:val="27"/>
          <w:rtl/>
          <w:lang w:bidi="ar-EG"/>
        </w:rPr>
        <w:t>د صوره</w:t>
      </w:r>
      <w:r w:rsidR="003B25AD" w:rsidRPr="00904FCB">
        <w:rPr>
          <w:rFonts w:ascii="Arial" w:hAnsi="Arial" w:hint="cs"/>
          <w:sz w:val="27"/>
          <w:rtl/>
          <w:lang w:bidi="ar-EG"/>
        </w:rPr>
        <w:t>،</w:t>
      </w:r>
      <w:r w:rsidRPr="00904FCB">
        <w:rPr>
          <w:rFonts w:ascii="Arial" w:hAnsi="Arial"/>
          <w:sz w:val="27"/>
          <w:rtl/>
          <w:lang w:bidi="ar-EG"/>
        </w:rPr>
        <w:t xml:space="preserve"> وبأنه في سبيل الله. أما القتال أو النضال فقد يكون </w:t>
      </w:r>
      <w:r w:rsidR="003B25AD" w:rsidRPr="00904FCB">
        <w:rPr>
          <w:rFonts w:ascii="Arial" w:hAnsi="Arial" w:hint="cs"/>
          <w:sz w:val="27"/>
          <w:rtl/>
          <w:lang w:bidi="ar-EG"/>
        </w:rPr>
        <w:t xml:space="preserve">في </w:t>
      </w:r>
      <w:r w:rsidRPr="00904FCB">
        <w:rPr>
          <w:rFonts w:ascii="Arial" w:hAnsi="Arial"/>
          <w:sz w:val="27"/>
          <w:rtl/>
          <w:lang w:bidi="ar-EG"/>
        </w:rPr>
        <w:t>أي</w:t>
      </w:r>
      <w:r w:rsidR="003B25AD" w:rsidRPr="00904FCB">
        <w:rPr>
          <w:rFonts w:ascii="Arial" w:hAnsi="Arial" w:hint="cs"/>
          <w:sz w:val="27"/>
          <w:rtl/>
          <w:lang w:bidi="ar-EG"/>
        </w:rPr>
        <w:t>ّ</w:t>
      </w:r>
      <w:r w:rsidRPr="00904FCB">
        <w:rPr>
          <w:rFonts w:ascii="Arial" w:hAnsi="Arial"/>
          <w:sz w:val="27"/>
          <w:rtl/>
          <w:lang w:bidi="ar-EG"/>
        </w:rPr>
        <w:t xml:space="preserve"> سبيل</w:t>
      </w:r>
      <w:r w:rsidR="003B25AD" w:rsidRPr="00904FCB">
        <w:rPr>
          <w:rFonts w:ascii="Arial" w:hAnsi="Arial" w:hint="cs"/>
          <w:sz w:val="27"/>
          <w:rtl/>
          <w:lang w:bidi="ar-EG"/>
        </w:rPr>
        <w:t>ٍ</w:t>
      </w:r>
      <w:r w:rsidRPr="00904FCB">
        <w:rPr>
          <w:rFonts w:ascii="Arial" w:hAnsi="Arial"/>
          <w:sz w:val="27"/>
          <w:rtl/>
          <w:lang w:bidi="ar-EG"/>
        </w:rPr>
        <w:t xml:space="preserve"> آخر، ولا ينتقص منه شيئاً، بينما الجهاد يفقد مضمونه، ويفقد مشروعيته، إذا لم يكن في سبيل الله</w:t>
      </w:r>
      <w:r w:rsidRPr="00904FCB">
        <w:rPr>
          <w:rFonts w:hint="eastAsia"/>
          <w:sz w:val="27"/>
          <w:rtl/>
        </w:rPr>
        <w:t>»</w:t>
      </w:r>
      <w:r w:rsidRPr="00904FCB">
        <w:rPr>
          <w:sz w:val="27"/>
          <w:vertAlign w:val="superscript"/>
          <w:rtl/>
        </w:rPr>
        <w:t>(</w:t>
      </w:r>
      <w:r w:rsidRPr="00904FCB">
        <w:rPr>
          <w:sz w:val="27"/>
          <w:vertAlign w:val="superscript"/>
          <w:rtl/>
        </w:rPr>
        <w:endnoteReference w:id="141"/>
      </w:r>
      <w:r w:rsidRPr="00904FCB">
        <w:rPr>
          <w:sz w:val="27"/>
          <w:vertAlign w:val="superscript"/>
          <w:rtl/>
        </w:rPr>
        <w:t>)</w:t>
      </w:r>
      <w:r w:rsidRPr="00904FCB">
        <w:rPr>
          <w:rFonts w:ascii="Arial" w:hAnsi="Arial"/>
          <w:sz w:val="27"/>
          <w:rtl/>
          <w:lang w:bidi="ar-EG"/>
        </w:rPr>
        <w:t xml:space="preserve">. </w:t>
      </w:r>
    </w:p>
    <w:p w:rsidR="00A45FD9" w:rsidRPr="00904FCB" w:rsidRDefault="00A45FD9" w:rsidP="007A21AA">
      <w:pPr>
        <w:spacing w:line="400" w:lineRule="exact"/>
        <w:rPr>
          <w:rFonts w:ascii="Arial" w:hAnsi="Arial"/>
          <w:sz w:val="27"/>
          <w:lang w:bidi="ar-EG"/>
        </w:rPr>
      </w:pPr>
      <w:r w:rsidRPr="00904FCB">
        <w:rPr>
          <w:rFonts w:ascii="Arial" w:hAnsi="Arial"/>
          <w:sz w:val="27"/>
          <w:rtl/>
          <w:lang w:bidi="ar-EG"/>
        </w:rPr>
        <w:t>الحال أن ث</w:t>
      </w:r>
      <w:r w:rsidR="003B25AD" w:rsidRPr="00904FCB">
        <w:rPr>
          <w:rFonts w:ascii="Arial" w:hAnsi="Arial" w:hint="cs"/>
          <w:sz w:val="27"/>
          <w:rtl/>
          <w:lang w:bidi="ar-EG"/>
        </w:rPr>
        <w:t>َ</w:t>
      </w:r>
      <w:r w:rsidRPr="00904FCB">
        <w:rPr>
          <w:rFonts w:ascii="Arial" w:hAnsi="Arial"/>
          <w:sz w:val="27"/>
          <w:rtl/>
          <w:lang w:bidi="ar-EG"/>
        </w:rPr>
        <w:t>م</w:t>
      </w:r>
      <w:r w:rsidR="003B25AD" w:rsidRPr="00904FCB">
        <w:rPr>
          <w:rFonts w:ascii="Arial" w:hAnsi="Arial" w:hint="cs"/>
          <w:sz w:val="27"/>
          <w:rtl/>
          <w:lang w:bidi="ar-EG"/>
        </w:rPr>
        <w:t>َّ</w:t>
      </w:r>
      <w:r w:rsidRPr="00904FCB">
        <w:rPr>
          <w:rFonts w:ascii="Arial" w:hAnsi="Arial"/>
          <w:sz w:val="27"/>
          <w:rtl/>
          <w:lang w:bidi="ar-EG"/>
        </w:rPr>
        <w:t>ة اختلافات جوهرية بين الجهاد والإرهاب، من حيث المقصد والمفهوم والأسباب والحقيقة والمشروعية</w:t>
      </w:r>
      <w:r w:rsidR="003B25AD" w:rsidRPr="00904FCB">
        <w:rPr>
          <w:rFonts w:ascii="Arial" w:hAnsi="Arial" w:hint="cs"/>
          <w:sz w:val="27"/>
          <w:rtl/>
          <w:lang w:bidi="ar-EG"/>
        </w:rPr>
        <w:t>.</w:t>
      </w:r>
      <w:r w:rsidRPr="00904FCB">
        <w:rPr>
          <w:rFonts w:ascii="Arial" w:hAnsi="Arial"/>
          <w:sz w:val="27"/>
          <w:rtl/>
          <w:lang w:bidi="ar-EG"/>
        </w:rPr>
        <w:t xml:space="preserve"> فالجهاد يصبح</w:t>
      </w:r>
      <w:r w:rsidR="003B25AD" w:rsidRPr="00904FCB">
        <w:rPr>
          <w:rFonts w:ascii="Arial" w:hAnsi="Arial" w:hint="cs"/>
          <w:sz w:val="27"/>
          <w:rtl/>
          <w:lang w:bidi="ar-EG"/>
        </w:rPr>
        <w:t xml:space="preserve"> ـ</w:t>
      </w:r>
      <w:r w:rsidRPr="00904FCB">
        <w:rPr>
          <w:rFonts w:ascii="Arial" w:hAnsi="Arial"/>
          <w:sz w:val="27"/>
          <w:rtl/>
          <w:lang w:bidi="ar-EG"/>
        </w:rPr>
        <w:t xml:space="preserve"> في بعض الأحيان ـ واجبا</w:t>
      </w:r>
      <w:r w:rsidR="003B25AD" w:rsidRPr="00904FCB">
        <w:rPr>
          <w:rFonts w:ascii="Arial" w:hAnsi="Arial" w:hint="cs"/>
          <w:sz w:val="27"/>
          <w:rtl/>
          <w:lang w:bidi="ar-EG"/>
        </w:rPr>
        <w:t>ً،</w:t>
      </w:r>
      <w:r w:rsidRPr="00904FCB">
        <w:rPr>
          <w:rFonts w:ascii="Arial" w:hAnsi="Arial"/>
          <w:sz w:val="27"/>
          <w:rtl/>
          <w:lang w:bidi="ar-EG"/>
        </w:rPr>
        <w:t xml:space="preserve"> في حين أن الإرهاب محرّ</w:t>
      </w:r>
      <w:r w:rsidR="003B25AD" w:rsidRPr="00904FCB">
        <w:rPr>
          <w:rFonts w:ascii="Arial" w:hAnsi="Arial" w:hint="cs"/>
          <w:sz w:val="27"/>
          <w:rtl/>
          <w:lang w:bidi="ar-EG"/>
        </w:rPr>
        <w:t>َ</w:t>
      </w:r>
      <w:r w:rsidRPr="00904FCB">
        <w:rPr>
          <w:rFonts w:ascii="Arial" w:hAnsi="Arial"/>
          <w:sz w:val="27"/>
          <w:rtl/>
          <w:lang w:bidi="ar-EG"/>
        </w:rPr>
        <w:t>م</w:t>
      </w:r>
      <w:r w:rsidR="003B25AD" w:rsidRPr="00904FCB">
        <w:rPr>
          <w:rFonts w:ascii="Arial" w:hAnsi="Arial" w:hint="cs"/>
          <w:sz w:val="27"/>
          <w:rtl/>
          <w:lang w:bidi="ar-EG"/>
        </w:rPr>
        <w:t>ٌ</w:t>
      </w:r>
      <w:r w:rsidRPr="00904FCB">
        <w:rPr>
          <w:rFonts w:ascii="Arial" w:hAnsi="Arial"/>
          <w:sz w:val="27"/>
          <w:rtl/>
          <w:lang w:bidi="ar-EG"/>
        </w:rPr>
        <w:t xml:space="preserve"> في كل</w:t>
      </w:r>
      <w:r w:rsidR="003B25AD" w:rsidRPr="00904FCB">
        <w:rPr>
          <w:rFonts w:ascii="Arial" w:hAnsi="Arial" w:hint="cs"/>
          <w:sz w:val="27"/>
          <w:rtl/>
          <w:lang w:bidi="ar-EG"/>
        </w:rPr>
        <w:t>ّ</w:t>
      </w:r>
      <w:r w:rsidRPr="00904FCB">
        <w:rPr>
          <w:rFonts w:ascii="Arial" w:hAnsi="Arial"/>
          <w:sz w:val="27"/>
          <w:rtl/>
          <w:lang w:bidi="ar-EG"/>
        </w:rPr>
        <w:t xml:space="preserve"> حالاته وظروفه</w:t>
      </w:r>
      <w:r w:rsidR="003B25AD" w:rsidRPr="00904FCB">
        <w:rPr>
          <w:rFonts w:ascii="Arial" w:hAnsi="Arial" w:hint="cs"/>
          <w:sz w:val="27"/>
          <w:rtl/>
          <w:lang w:bidi="ar-EG"/>
        </w:rPr>
        <w:t>.</w:t>
      </w:r>
      <w:r w:rsidRPr="00904FCB">
        <w:rPr>
          <w:rFonts w:ascii="Arial" w:hAnsi="Arial"/>
          <w:sz w:val="27"/>
          <w:rtl/>
          <w:lang w:bidi="ar-EG"/>
        </w:rPr>
        <w:t xml:space="preserve"> </w:t>
      </w:r>
      <w:r w:rsidRPr="00904FCB">
        <w:rPr>
          <w:rFonts w:ascii="Arial" w:hAnsi="Arial"/>
          <w:sz w:val="27"/>
          <w:rtl/>
        </w:rPr>
        <w:t>فا</w:t>
      </w:r>
      <w:r w:rsidRPr="00904FCB">
        <w:rPr>
          <w:rFonts w:ascii="Arial" w:hAnsi="Arial"/>
          <w:sz w:val="27"/>
          <w:rtl/>
          <w:lang w:bidi="ar-EG"/>
        </w:rPr>
        <w:t>لإرهاب يتضم</w:t>
      </w:r>
      <w:r w:rsidR="003B25AD" w:rsidRPr="00904FCB">
        <w:rPr>
          <w:rFonts w:ascii="Arial" w:hAnsi="Arial" w:hint="cs"/>
          <w:sz w:val="27"/>
          <w:rtl/>
          <w:lang w:bidi="ar-EG"/>
        </w:rPr>
        <w:t>َّ</w:t>
      </w:r>
      <w:r w:rsidRPr="00904FCB">
        <w:rPr>
          <w:rFonts w:ascii="Arial" w:hAnsi="Arial"/>
          <w:sz w:val="27"/>
          <w:rtl/>
          <w:lang w:bidi="ar-EG"/>
        </w:rPr>
        <w:t>ن معاني العدوان</w:t>
      </w:r>
      <w:r w:rsidR="003B25AD" w:rsidRPr="00904FCB">
        <w:rPr>
          <w:rFonts w:ascii="Arial" w:hAnsi="Arial" w:hint="cs"/>
          <w:sz w:val="27"/>
          <w:rtl/>
          <w:lang w:bidi="ar-EG"/>
        </w:rPr>
        <w:t>،</w:t>
      </w:r>
      <w:r w:rsidRPr="00904FCB">
        <w:rPr>
          <w:rFonts w:ascii="Arial" w:hAnsi="Arial"/>
          <w:sz w:val="27"/>
          <w:rtl/>
          <w:lang w:bidi="ar-EG"/>
        </w:rPr>
        <w:t xml:space="preserve"> وترويع المواطنين الآمنين</w:t>
      </w:r>
      <w:r w:rsidR="003B25AD" w:rsidRPr="00904FCB">
        <w:rPr>
          <w:rFonts w:ascii="Arial" w:hAnsi="Arial" w:hint="cs"/>
          <w:sz w:val="27"/>
          <w:rtl/>
          <w:lang w:bidi="ar-EG"/>
        </w:rPr>
        <w:t>،</w:t>
      </w:r>
      <w:r w:rsidRPr="00904FCB">
        <w:rPr>
          <w:rFonts w:ascii="Arial" w:hAnsi="Arial"/>
          <w:sz w:val="27"/>
          <w:rtl/>
          <w:lang w:bidi="ar-EG"/>
        </w:rPr>
        <w:t xml:space="preserve"> وتدمير المصالح ومقو</w:t>
      </w:r>
      <w:r w:rsidR="003B25AD" w:rsidRPr="00904FCB">
        <w:rPr>
          <w:rFonts w:ascii="Arial" w:hAnsi="Arial" w:hint="cs"/>
          <w:sz w:val="27"/>
          <w:rtl/>
          <w:lang w:bidi="ar-EG"/>
        </w:rPr>
        <w:t>ّ</w:t>
      </w:r>
      <w:r w:rsidRPr="00904FCB">
        <w:rPr>
          <w:rFonts w:ascii="Arial" w:hAnsi="Arial"/>
          <w:sz w:val="27"/>
          <w:rtl/>
          <w:lang w:bidi="ar-EG"/>
        </w:rPr>
        <w:t>مات الحياة، والاعتداء على الأموال أو الأعراض والكرامات... إنه، باختصار</w:t>
      </w:r>
      <w:r w:rsidR="003B25AD" w:rsidRPr="00904FCB">
        <w:rPr>
          <w:rFonts w:ascii="Arial" w:hAnsi="Arial" w:hint="cs"/>
          <w:sz w:val="27"/>
          <w:rtl/>
          <w:lang w:bidi="ar-EG"/>
        </w:rPr>
        <w:t>ٍ</w:t>
      </w:r>
      <w:r w:rsidRPr="00904FCB">
        <w:rPr>
          <w:rFonts w:ascii="Arial" w:hAnsi="Arial"/>
          <w:sz w:val="27"/>
          <w:rtl/>
          <w:lang w:bidi="ar-EG"/>
        </w:rPr>
        <w:t>، فساد</w:t>
      </w:r>
      <w:r w:rsidR="003B25AD" w:rsidRPr="00904FCB">
        <w:rPr>
          <w:rFonts w:ascii="Arial" w:hAnsi="Arial" w:hint="cs"/>
          <w:sz w:val="27"/>
          <w:rtl/>
          <w:lang w:bidi="ar-EG"/>
        </w:rPr>
        <w:t>ٌ</w:t>
      </w:r>
      <w:r w:rsidRPr="00904FCB">
        <w:rPr>
          <w:rFonts w:ascii="Arial" w:hAnsi="Arial"/>
          <w:sz w:val="27"/>
          <w:rtl/>
          <w:lang w:bidi="ar-EG"/>
        </w:rPr>
        <w:t xml:space="preserve"> في الأرض. </w:t>
      </w:r>
    </w:p>
    <w:p w:rsidR="00A45FD9" w:rsidRPr="00904FCB" w:rsidRDefault="00A45FD9" w:rsidP="007A21AA">
      <w:pPr>
        <w:spacing w:line="400" w:lineRule="exact"/>
        <w:rPr>
          <w:rtl/>
          <w:lang w:bidi="ar-EG"/>
        </w:rPr>
      </w:pPr>
      <w:r w:rsidRPr="00904FCB">
        <w:rPr>
          <w:rtl/>
          <w:lang w:bidi="ar-EG"/>
        </w:rPr>
        <w:t xml:space="preserve"> أما الجهاد فيسعى للدفاع عن المسلمين وحفظ كرامتهم الإنسانية، والدفاع عن أعراضهم وأموالهم وأوطانهم</w:t>
      </w:r>
      <w:r w:rsidR="003B25AD" w:rsidRPr="00904FCB">
        <w:rPr>
          <w:rFonts w:hint="cs"/>
          <w:rtl/>
          <w:lang w:bidi="ar-EG"/>
        </w:rPr>
        <w:t>،</w:t>
      </w:r>
      <w:r w:rsidRPr="00904FCB">
        <w:rPr>
          <w:rtl/>
          <w:lang w:bidi="ar-EG"/>
        </w:rPr>
        <w:t xml:space="preserve"> وتوفير حياة</w:t>
      </w:r>
      <w:r w:rsidR="003B25AD" w:rsidRPr="00904FCB">
        <w:rPr>
          <w:rFonts w:hint="cs"/>
          <w:rtl/>
          <w:lang w:bidi="ar-EG"/>
        </w:rPr>
        <w:t>ٍ</w:t>
      </w:r>
      <w:r w:rsidRPr="00904FCB">
        <w:rPr>
          <w:rtl/>
          <w:lang w:bidi="ar-EG"/>
        </w:rPr>
        <w:t xml:space="preserve"> حر</w:t>
      </w:r>
      <w:r w:rsidR="003B25AD" w:rsidRPr="00904FCB">
        <w:rPr>
          <w:rFonts w:hint="cs"/>
          <w:rtl/>
          <w:lang w:bidi="ar-EG"/>
        </w:rPr>
        <w:t>ّ</w:t>
      </w:r>
      <w:r w:rsidRPr="00904FCB">
        <w:rPr>
          <w:rtl/>
          <w:lang w:bidi="ar-EG"/>
        </w:rPr>
        <w:t>ة كريمة لهم، وإنقاذ المظلومين، وتحرير البلاد من أيدي الغاصبين والمحتلين... فالإسلام لم ي</w:t>
      </w:r>
      <w:r w:rsidR="003B25AD" w:rsidRPr="00904FCB">
        <w:rPr>
          <w:rFonts w:hint="cs"/>
          <w:rtl/>
          <w:lang w:bidi="ar-EG"/>
        </w:rPr>
        <w:t>ُ</w:t>
      </w:r>
      <w:r w:rsidRPr="00904FCB">
        <w:rPr>
          <w:rtl/>
          <w:lang w:bidi="ar-EG"/>
        </w:rPr>
        <w:t>ج</w:t>
      </w:r>
      <w:r w:rsidR="003B25AD" w:rsidRPr="00904FCB">
        <w:rPr>
          <w:rFonts w:hint="cs"/>
          <w:rtl/>
          <w:lang w:bidi="ar-EG"/>
        </w:rPr>
        <w:t>ِ</w:t>
      </w:r>
      <w:r w:rsidRPr="00904FCB">
        <w:rPr>
          <w:rtl/>
          <w:lang w:bidi="ar-EG"/>
        </w:rPr>
        <w:t>ز</w:t>
      </w:r>
      <w:r w:rsidR="003B25AD" w:rsidRPr="00904FCB">
        <w:rPr>
          <w:rFonts w:hint="cs"/>
          <w:rtl/>
          <w:lang w:bidi="ar-EG"/>
        </w:rPr>
        <w:t>ْ</w:t>
      </w:r>
      <w:r w:rsidRPr="00904FCB">
        <w:rPr>
          <w:rtl/>
          <w:lang w:bidi="ar-EG"/>
        </w:rPr>
        <w:t xml:space="preserve"> لأتباعه الاعتداء على </w:t>
      </w:r>
      <w:r w:rsidRPr="00904FCB">
        <w:rPr>
          <w:rtl/>
          <w:lang w:bidi="ar-EG"/>
        </w:rPr>
        <w:lastRenderedPageBreak/>
        <w:t>أحد</w:t>
      </w:r>
      <w:r w:rsidR="003B25AD" w:rsidRPr="00904FCB">
        <w:rPr>
          <w:rFonts w:hint="cs"/>
          <w:rtl/>
          <w:lang w:bidi="ar-EG"/>
        </w:rPr>
        <w:t>ٍ،</w:t>
      </w:r>
      <w:r w:rsidRPr="00904FCB">
        <w:rPr>
          <w:rtl/>
          <w:lang w:bidi="ar-EG"/>
        </w:rPr>
        <w:t xml:space="preserve"> ولم يسوّ</w:t>
      </w:r>
      <w:r w:rsidR="003B25AD" w:rsidRPr="00904FCB">
        <w:rPr>
          <w:rFonts w:hint="cs"/>
          <w:rtl/>
          <w:lang w:bidi="ar-EG"/>
        </w:rPr>
        <w:t>ِ</w:t>
      </w:r>
      <w:r w:rsidRPr="00904FCB">
        <w:rPr>
          <w:rtl/>
          <w:lang w:bidi="ar-EG"/>
        </w:rPr>
        <w:t>غ للمسلمين ترويع الناس الآمنين، وأن يبد</w:t>
      </w:r>
      <w:r w:rsidR="003B25AD" w:rsidRPr="00904FCB">
        <w:rPr>
          <w:rFonts w:hint="cs"/>
          <w:rtl/>
          <w:lang w:bidi="ar-EG"/>
        </w:rPr>
        <w:t>أ</w:t>
      </w:r>
      <w:r w:rsidRPr="00904FCB">
        <w:rPr>
          <w:rtl/>
          <w:lang w:bidi="ar-EG"/>
        </w:rPr>
        <w:t>وا غيرهم بحرب</w:t>
      </w:r>
      <w:r w:rsidR="003B25AD" w:rsidRPr="00904FCB">
        <w:rPr>
          <w:rFonts w:hint="cs"/>
          <w:rtl/>
          <w:lang w:bidi="ar-EG"/>
        </w:rPr>
        <w:t>ٍ</w:t>
      </w:r>
      <w:r w:rsidRPr="00904FCB">
        <w:rPr>
          <w:rtl/>
          <w:lang w:bidi="ar-EG"/>
        </w:rPr>
        <w:t xml:space="preserve"> أو عدوان، أما إذا ما تعر</w:t>
      </w:r>
      <w:r w:rsidR="003B25AD" w:rsidRPr="00904FCB">
        <w:rPr>
          <w:rFonts w:hint="cs"/>
          <w:rtl/>
          <w:lang w:bidi="ar-EG"/>
        </w:rPr>
        <w:t>َّ</w:t>
      </w:r>
      <w:r w:rsidRPr="00904FCB">
        <w:rPr>
          <w:rtl/>
          <w:lang w:bidi="ar-EG"/>
        </w:rPr>
        <w:t>ضت بلادهم للاعتداء فقد أمرهم بالجهاد والقتال، ولذلك طلب منهم إعداد العدد والعد</w:t>
      </w:r>
      <w:r w:rsidR="003B25AD" w:rsidRPr="00904FCB">
        <w:rPr>
          <w:rFonts w:hint="cs"/>
          <w:rtl/>
          <w:lang w:bidi="ar-EG"/>
        </w:rPr>
        <w:t>ّ</w:t>
      </w:r>
      <w:r w:rsidRPr="00904FCB">
        <w:rPr>
          <w:rtl/>
          <w:lang w:bidi="ar-EG"/>
        </w:rPr>
        <w:t>ة لمواجهة أي</w:t>
      </w:r>
      <w:r w:rsidR="003B25AD" w:rsidRPr="00904FCB">
        <w:rPr>
          <w:rFonts w:hint="cs"/>
          <w:rtl/>
          <w:lang w:bidi="ar-EG"/>
        </w:rPr>
        <w:t>ّ</w:t>
      </w:r>
      <w:r w:rsidRPr="00904FCB">
        <w:rPr>
          <w:rtl/>
          <w:lang w:bidi="ar-EG"/>
        </w:rPr>
        <w:t xml:space="preserve"> عدوان</w:t>
      </w:r>
      <w:r w:rsidR="003B25AD" w:rsidRPr="00904FCB">
        <w:rPr>
          <w:rFonts w:hint="cs"/>
          <w:rtl/>
          <w:lang w:bidi="ar-EG"/>
        </w:rPr>
        <w:t>ٍ،</w:t>
      </w:r>
      <w:r w:rsidRPr="00904FCB">
        <w:rPr>
          <w:rtl/>
          <w:lang w:bidi="ar-EG"/>
        </w:rPr>
        <w:t xml:space="preserve"> والدفاع عن مقد</w:t>
      </w:r>
      <w:r w:rsidR="003B25AD" w:rsidRPr="00904FCB">
        <w:rPr>
          <w:rFonts w:hint="cs"/>
          <w:rtl/>
          <w:lang w:bidi="ar-EG"/>
        </w:rPr>
        <w:t>َّ</w:t>
      </w:r>
      <w:r w:rsidRPr="00904FCB">
        <w:rPr>
          <w:rtl/>
          <w:lang w:bidi="ar-EG"/>
        </w:rPr>
        <w:t>ساتهم ومقد</w:t>
      </w:r>
      <w:r w:rsidR="003B25AD" w:rsidRPr="00904FCB">
        <w:rPr>
          <w:rFonts w:hint="cs"/>
          <w:rtl/>
          <w:lang w:bidi="ar-EG"/>
        </w:rPr>
        <w:t>َّ</w:t>
      </w:r>
      <w:r w:rsidRPr="00904FCB">
        <w:rPr>
          <w:rtl/>
          <w:lang w:bidi="ar-EG"/>
        </w:rPr>
        <w:t xml:space="preserve">راتهم وأنفسهم. </w:t>
      </w:r>
    </w:p>
    <w:p w:rsidR="00A45FD9" w:rsidRPr="00904FCB" w:rsidRDefault="00A45FD9" w:rsidP="00A67B3A">
      <w:pPr>
        <w:spacing w:line="400" w:lineRule="exact"/>
        <w:rPr>
          <w:spacing w:val="-10"/>
          <w:rtl/>
          <w:lang w:bidi="ar-EG"/>
        </w:rPr>
      </w:pPr>
      <w:r w:rsidRPr="00904FCB">
        <w:rPr>
          <w:rtl/>
          <w:lang w:bidi="ar-EG"/>
        </w:rPr>
        <w:t xml:space="preserve"> إن الجهاد في الإسلام يعني مناصرة الحق</w:t>
      </w:r>
      <w:r w:rsidR="00571353" w:rsidRPr="00904FCB">
        <w:rPr>
          <w:rFonts w:hint="cs"/>
          <w:rtl/>
          <w:lang w:bidi="ar-EG"/>
        </w:rPr>
        <w:t>ّ</w:t>
      </w:r>
      <w:r w:rsidRPr="00904FCB">
        <w:rPr>
          <w:rtl/>
          <w:lang w:bidi="ar-EG"/>
        </w:rPr>
        <w:t>، وقتال الظلم</w:t>
      </w:r>
      <w:r w:rsidR="00571353" w:rsidRPr="00904FCB">
        <w:rPr>
          <w:rFonts w:hint="cs"/>
          <w:rtl/>
          <w:lang w:bidi="ar-EG"/>
        </w:rPr>
        <w:t>؛</w:t>
      </w:r>
      <w:r w:rsidRPr="00904FCB">
        <w:rPr>
          <w:rtl/>
          <w:lang w:bidi="ar-EG"/>
        </w:rPr>
        <w:t xml:space="preserve"> لإقرار العدل واسترجاع الحقوق، وتحقيق السلام وتعميم الأمن والرحمة التي أرسل من أجلها النبي</w:t>
      </w:r>
      <w:r w:rsidR="00571353" w:rsidRPr="00904FCB">
        <w:rPr>
          <w:rFonts w:hint="cs"/>
          <w:rtl/>
          <w:lang w:bidi="ar-EG"/>
        </w:rPr>
        <w:t>ّ</w:t>
      </w:r>
      <w:r w:rsidRPr="00904FCB">
        <w:rPr>
          <w:rtl/>
          <w:lang w:bidi="ar-EG"/>
        </w:rPr>
        <w:t xml:space="preserve"> محمد</w:t>
      </w:r>
      <w:r w:rsidR="00635E51" w:rsidRPr="00904FCB">
        <w:rPr>
          <w:rFonts w:cs="Mosawi"/>
          <w:szCs w:val="22"/>
          <w:rtl/>
          <w:lang w:bidi="ar-EG"/>
        </w:rPr>
        <w:t>|</w:t>
      </w:r>
      <w:r w:rsidRPr="00904FCB">
        <w:rPr>
          <w:rtl/>
          <w:lang w:bidi="ar-LB"/>
        </w:rPr>
        <w:t xml:space="preserve"> </w:t>
      </w:r>
      <w:r w:rsidRPr="00904FCB">
        <w:rPr>
          <w:rtl/>
          <w:lang w:bidi="ar-EG"/>
        </w:rPr>
        <w:t>للعالمين، وإخراج الناس من ظلمات القهر إلى النور... وهذا كل</w:t>
      </w:r>
      <w:r w:rsidR="00571353" w:rsidRPr="00904FCB">
        <w:rPr>
          <w:rFonts w:hint="cs"/>
          <w:rtl/>
          <w:lang w:bidi="ar-EG"/>
        </w:rPr>
        <w:t>ّ</w:t>
      </w:r>
      <w:r w:rsidRPr="00904FCB">
        <w:rPr>
          <w:rtl/>
          <w:lang w:bidi="ar-EG"/>
        </w:rPr>
        <w:t>ه يقضي على الإرهاب بكل</w:t>
      </w:r>
      <w:r w:rsidR="00571353" w:rsidRPr="00904FCB">
        <w:rPr>
          <w:rFonts w:hint="cs"/>
          <w:rtl/>
          <w:lang w:bidi="ar-EG"/>
        </w:rPr>
        <w:t>ّ</w:t>
      </w:r>
      <w:r w:rsidRPr="00904FCB">
        <w:rPr>
          <w:rtl/>
          <w:lang w:bidi="ar-EG"/>
        </w:rPr>
        <w:t xml:space="preserve"> صوره</w:t>
      </w:r>
      <w:r w:rsidR="00571353" w:rsidRPr="00904FCB">
        <w:rPr>
          <w:rFonts w:hint="cs"/>
          <w:rtl/>
          <w:lang w:bidi="ar-EG"/>
        </w:rPr>
        <w:t>.</w:t>
      </w:r>
      <w:r w:rsidRPr="00904FCB">
        <w:rPr>
          <w:rtl/>
          <w:lang w:bidi="ar-EG"/>
        </w:rPr>
        <w:t xml:space="preserve"> فـ</w:t>
      </w:r>
      <w:r w:rsidR="002D56B8" w:rsidRPr="00904FCB">
        <w:rPr>
          <w:rFonts w:hint="cs"/>
          <w:rtl/>
          <w:lang w:bidi="ar-EG"/>
        </w:rPr>
        <w:t xml:space="preserve"> </w:t>
      </w:r>
      <w:r w:rsidR="00A67B3A" w:rsidRPr="00904FCB">
        <w:rPr>
          <w:rFonts w:hint="eastAsia"/>
          <w:rtl/>
        </w:rPr>
        <w:t>«</w:t>
      </w:r>
      <w:r w:rsidRPr="00904FCB">
        <w:rPr>
          <w:spacing w:val="-10"/>
          <w:rtl/>
          <w:lang w:bidi="ar-EG"/>
        </w:rPr>
        <w:t>الجهاد في سبيل الله فريضة</w:t>
      </w:r>
      <w:r w:rsidR="00571353" w:rsidRPr="00904FCB">
        <w:rPr>
          <w:rFonts w:hint="cs"/>
          <w:spacing w:val="-10"/>
          <w:rtl/>
          <w:lang w:bidi="ar-EG"/>
        </w:rPr>
        <w:t>ٌ</w:t>
      </w:r>
      <w:r w:rsidRPr="00904FCB">
        <w:rPr>
          <w:spacing w:val="-10"/>
          <w:rtl/>
          <w:lang w:bidi="ar-EG"/>
        </w:rPr>
        <w:t xml:space="preserve"> شرعية، وإرهاب الآمنين جريمة</w:t>
      </w:r>
      <w:r w:rsidR="00571353" w:rsidRPr="00904FCB">
        <w:rPr>
          <w:rFonts w:hint="cs"/>
          <w:spacing w:val="-10"/>
          <w:rtl/>
          <w:lang w:bidi="ar-EG"/>
        </w:rPr>
        <w:t>ٌ</w:t>
      </w:r>
      <w:r w:rsidRPr="00904FCB">
        <w:rPr>
          <w:spacing w:val="-10"/>
          <w:rtl/>
          <w:lang w:bidi="ar-EG"/>
        </w:rPr>
        <w:t xml:space="preserve"> ضد</w:t>
      </w:r>
      <w:r w:rsidR="00571353" w:rsidRPr="00904FCB">
        <w:rPr>
          <w:rFonts w:hint="cs"/>
          <w:spacing w:val="-10"/>
          <w:rtl/>
          <w:lang w:bidi="ar-EG"/>
        </w:rPr>
        <w:t>ّ</w:t>
      </w:r>
      <w:r w:rsidRPr="00904FCB">
        <w:rPr>
          <w:spacing w:val="-10"/>
          <w:rtl/>
          <w:lang w:bidi="ar-EG"/>
        </w:rPr>
        <w:t xml:space="preserve"> البشرية</w:t>
      </w:r>
      <w:r w:rsidR="00571353" w:rsidRPr="00904FCB">
        <w:rPr>
          <w:rFonts w:hint="cs"/>
          <w:spacing w:val="-10"/>
          <w:rtl/>
          <w:lang w:bidi="ar-EG"/>
        </w:rPr>
        <w:t>.</w:t>
      </w:r>
      <w:r w:rsidRPr="00904FCB">
        <w:rPr>
          <w:spacing w:val="-10"/>
          <w:rtl/>
          <w:lang w:bidi="ar-EG"/>
        </w:rPr>
        <w:t xml:space="preserve"> الجهاد مشروع</w:t>
      </w:r>
      <w:r w:rsidR="00571353" w:rsidRPr="00904FCB">
        <w:rPr>
          <w:rFonts w:hint="cs"/>
          <w:spacing w:val="-10"/>
          <w:rtl/>
          <w:lang w:bidi="ar-EG"/>
        </w:rPr>
        <w:t>ٌ</w:t>
      </w:r>
      <w:r w:rsidRPr="00904FCB">
        <w:rPr>
          <w:spacing w:val="-10"/>
          <w:rtl/>
          <w:lang w:bidi="ar-EG"/>
        </w:rPr>
        <w:t>، والإرهاب بمعنى العدوان ممنوع</w:t>
      </w:r>
      <w:r w:rsidR="00571353" w:rsidRPr="00904FCB">
        <w:rPr>
          <w:rFonts w:hint="cs"/>
          <w:spacing w:val="-10"/>
          <w:rtl/>
          <w:lang w:bidi="ar-EG"/>
        </w:rPr>
        <w:t>ٌ.</w:t>
      </w:r>
      <w:r w:rsidRPr="00904FCB">
        <w:rPr>
          <w:spacing w:val="-10"/>
          <w:rtl/>
          <w:lang w:bidi="ar-EG"/>
        </w:rPr>
        <w:t xml:space="preserve"> وشت</w:t>
      </w:r>
      <w:r w:rsidR="00571353" w:rsidRPr="00904FCB">
        <w:rPr>
          <w:rFonts w:hint="cs"/>
          <w:spacing w:val="-10"/>
          <w:rtl/>
          <w:lang w:bidi="ar-EG"/>
        </w:rPr>
        <w:t>ّ</w:t>
      </w:r>
      <w:r w:rsidRPr="00904FCB">
        <w:rPr>
          <w:spacing w:val="-10"/>
          <w:rtl/>
          <w:lang w:bidi="ar-EG"/>
        </w:rPr>
        <w:t xml:space="preserve">ان </w:t>
      </w:r>
      <w:r w:rsidR="00B3105B">
        <w:rPr>
          <w:rFonts w:hint="cs"/>
          <w:spacing w:val="-10"/>
          <w:rtl/>
          <w:lang w:bidi="ar-EG"/>
        </w:rPr>
        <w:t xml:space="preserve">ما </w:t>
      </w:r>
      <w:r w:rsidRPr="00904FCB">
        <w:rPr>
          <w:spacing w:val="-10"/>
          <w:rtl/>
          <w:lang w:bidi="ar-EG"/>
        </w:rPr>
        <w:t>بينهما</w:t>
      </w:r>
      <w:r w:rsidR="00571353" w:rsidRPr="00904FCB">
        <w:rPr>
          <w:rFonts w:hint="cs"/>
          <w:spacing w:val="-10"/>
          <w:rtl/>
          <w:lang w:bidi="ar-EG"/>
        </w:rPr>
        <w:t>.</w:t>
      </w:r>
      <w:r w:rsidRPr="00904FCB">
        <w:rPr>
          <w:spacing w:val="-10"/>
          <w:rtl/>
          <w:lang w:bidi="ar-EG"/>
        </w:rPr>
        <w:t xml:space="preserve"> والله</w:t>
      </w:r>
      <w:r w:rsidR="00571353" w:rsidRPr="00904FCB">
        <w:rPr>
          <w:rFonts w:hint="cs"/>
          <w:spacing w:val="-10"/>
          <w:rtl/>
          <w:lang w:bidi="ar-EG"/>
        </w:rPr>
        <w:t>ُ</w:t>
      </w:r>
      <w:r w:rsidRPr="00904FCB">
        <w:rPr>
          <w:spacing w:val="-10"/>
          <w:rtl/>
          <w:lang w:bidi="ar-EG"/>
        </w:rPr>
        <w:t xml:space="preserve"> جل</w:t>
      </w:r>
      <w:r w:rsidR="00571353" w:rsidRPr="00904FCB">
        <w:rPr>
          <w:rFonts w:hint="cs"/>
          <w:spacing w:val="-10"/>
          <w:rtl/>
          <w:lang w:bidi="ar-EG"/>
        </w:rPr>
        <w:t>َّ</w:t>
      </w:r>
      <w:r w:rsidRPr="00904FCB">
        <w:rPr>
          <w:spacing w:val="-10"/>
          <w:rtl/>
          <w:lang w:bidi="ar-EG"/>
        </w:rPr>
        <w:t xml:space="preserve"> جلاله أعلم</w:t>
      </w:r>
      <w:r w:rsidRPr="00904FCB">
        <w:rPr>
          <w:rFonts w:hint="eastAsia"/>
          <w:rtl/>
        </w:rPr>
        <w:t>»</w:t>
      </w:r>
      <w:r w:rsidRPr="00904FCB">
        <w:rPr>
          <w:vertAlign w:val="superscript"/>
          <w:rtl/>
        </w:rPr>
        <w:t>(</w:t>
      </w:r>
      <w:r w:rsidRPr="00904FCB">
        <w:rPr>
          <w:vertAlign w:val="superscript"/>
          <w:rtl/>
        </w:rPr>
        <w:endnoteReference w:id="142"/>
      </w:r>
      <w:r w:rsidRPr="00904FCB">
        <w:rPr>
          <w:vertAlign w:val="superscript"/>
          <w:rtl/>
        </w:rPr>
        <w:t>)</w:t>
      </w:r>
      <w:r w:rsidRPr="00904FCB">
        <w:rPr>
          <w:spacing w:val="-10"/>
          <w:rtl/>
          <w:lang w:bidi="ar-EG"/>
        </w:rPr>
        <w:t xml:space="preserve">. </w:t>
      </w:r>
    </w:p>
    <w:p w:rsidR="00A45FD9" w:rsidRPr="00904FCB" w:rsidRDefault="00A45FD9" w:rsidP="007A21AA">
      <w:pPr>
        <w:spacing w:line="400" w:lineRule="exact"/>
        <w:rPr>
          <w:b/>
          <w:bCs/>
          <w:rtl/>
        </w:rPr>
      </w:pPr>
      <w:r w:rsidRPr="00904FCB">
        <w:rPr>
          <w:spacing w:val="-10"/>
          <w:rtl/>
          <w:lang w:bidi="ar-EG"/>
        </w:rPr>
        <w:t>إذن فإن طبيعة الأفعال بأهدافها وأدواتها، وهي من المحد</w:t>
      </w:r>
      <w:r w:rsidR="00571353" w:rsidRPr="00904FCB">
        <w:rPr>
          <w:rFonts w:hint="cs"/>
          <w:spacing w:val="-10"/>
          <w:rtl/>
          <w:lang w:bidi="ar-EG"/>
        </w:rPr>
        <w:t>ِّ</w:t>
      </w:r>
      <w:r w:rsidRPr="00904FCB">
        <w:rPr>
          <w:spacing w:val="-10"/>
          <w:rtl/>
          <w:lang w:bidi="ar-EG"/>
        </w:rPr>
        <w:t>دات الأساسية لمعرفة وتصنيف الأعمال الجهادية المحمودة، وتم</w:t>
      </w:r>
      <w:r w:rsidR="00571353" w:rsidRPr="00904FCB">
        <w:rPr>
          <w:rFonts w:hint="cs"/>
          <w:spacing w:val="-10"/>
          <w:rtl/>
          <w:lang w:bidi="ar-EG"/>
        </w:rPr>
        <w:t>ي</w:t>
      </w:r>
      <w:r w:rsidRPr="00904FCB">
        <w:rPr>
          <w:spacing w:val="-10"/>
          <w:rtl/>
          <w:lang w:bidi="ar-EG"/>
        </w:rPr>
        <w:t>يزها عن تلك الإرهابية المذمومة، وذلك بغض</w:t>
      </w:r>
      <w:r w:rsidR="00571353" w:rsidRPr="00904FCB">
        <w:rPr>
          <w:rFonts w:hint="cs"/>
          <w:spacing w:val="-10"/>
          <w:rtl/>
          <w:lang w:bidi="ar-EG"/>
        </w:rPr>
        <w:t>ّ</w:t>
      </w:r>
      <w:r w:rsidRPr="00904FCB">
        <w:rPr>
          <w:spacing w:val="-10"/>
          <w:rtl/>
          <w:lang w:bidi="ar-EG"/>
        </w:rPr>
        <w:t xml:space="preserve"> النظر عن الجهة المنف</w:t>
      </w:r>
      <w:r w:rsidR="00571353" w:rsidRPr="00904FCB">
        <w:rPr>
          <w:rFonts w:hint="cs"/>
          <w:spacing w:val="-10"/>
          <w:rtl/>
          <w:lang w:bidi="ar-EG"/>
        </w:rPr>
        <w:t>ِّ</w:t>
      </w:r>
      <w:r w:rsidRPr="00904FCB">
        <w:rPr>
          <w:spacing w:val="-10"/>
          <w:rtl/>
          <w:lang w:bidi="ar-EG"/>
        </w:rPr>
        <w:t>ذة لتلك الأفعال، وما إذا كان العنوان إسلامياً أو علمانياً، رسمياً حكومياً أو منظ</w:t>
      </w:r>
      <w:r w:rsidR="00571353" w:rsidRPr="00904FCB">
        <w:rPr>
          <w:rFonts w:hint="cs"/>
          <w:spacing w:val="-10"/>
          <w:rtl/>
          <w:lang w:bidi="ar-EG"/>
        </w:rPr>
        <w:t>ّ</w:t>
      </w:r>
      <w:r w:rsidRPr="00904FCB">
        <w:rPr>
          <w:spacing w:val="-10"/>
          <w:rtl/>
          <w:lang w:bidi="ar-EG"/>
        </w:rPr>
        <w:t>مات مسل</w:t>
      </w:r>
      <w:r w:rsidR="00571353" w:rsidRPr="00904FCB">
        <w:rPr>
          <w:rFonts w:hint="cs"/>
          <w:spacing w:val="-10"/>
          <w:rtl/>
          <w:lang w:bidi="ar-EG"/>
        </w:rPr>
        <w:t>َّ</w:t>
      </w:r>
      <w:r w:rsidRPr="00904FCB">
        <w:rPr>
          <w:spacing w:val="-10"/>
          <w:rtl/>
          <w:lang w:bidi="ar-EG"/>
        </w:rPr>
        <w:t>حة... فإذا استهدفت قوات عسكرية تابعة للاحتلال (في العراق وفلسطين وأفغانستان وجنوبي لبنان...) فإن العمل يدخل، بلا لبس، في خانة الجهاد..</w:t>
      </w:r>
      <w:r w:rsidR="00A718D8" w:rsidRPr="00904FCB">
        <w:rPr>
          <w:rFonts w:hint="cs"/>
          <w:spacing w:val="-10"/>
          <w:rtl/>
          <w:lang w:bidi="ar-EG"/>
        </w:rPr>
        <w:t>.</w:t>
      </w:r>
      <w:r w:rsidRPr="00904FCB">
        <w:rPr>
          <w:spacing w:val="-10"/>
          <w:rtl/>
          <w:lang w:bidi="ar-EG"/>
        </w:rPr>
        <w:t xml:space="preserve"> أم</w:t>
      </w:r>
      <w:r w:rsidR="00A718D8" w:rsidRPr="00904FCB">
        <w:rPr>
          <w:rFonts w:hint="cs"/>
          <w:spacing w:val="-10"/>
          <w:rtl/>
          <w:lang w:bidi="ar-EG"/>
        </w:rPr>
        <w:t>ّ</w:t>
      </w:r>
      <w:r w:rsidRPr="00904FCB">
        <w:rPr>
          <w:spacing w:val="-10"/>
          <w:rtl/>
          <w:lang w:bidi="ar-EG"/>
        </w:rPr>
        <w:t>ا إذا كان الهدف تعم</w:t>
      </w:r>
      <w:r w:rsidR="00A718D8" w:rsidRPr="00904FCB">
        <w:rPr>
          <w:rFonts w:hint="cs"/>
          <w:spacing w:val="-10"/>
          <w:rtl/>
          <w:lang w:bidi="ar-EG"/>
        </w:rPr>
        <w:t>ُّ</w:t>
      </w:r>
      <w:r w:rsidRPr="00904FCB">
        <w:rPr>
          <w:spacing w:val="-10"/>
          <w:rtl/>
          <w:lang w:bidi="ar-EG"/>
        </w:rPr>
        <w:t>د تحقيق إصابات في صفوف المدنيين فهو، بلا ش</w:t>
      </w:r>
      <w:r w:rsidR="00A718D8" w:rsidRPr="00904FCB">
        <w:rPr>
          <w:rFonts w:hint="cs"/>
          <w:spacing w:val="-10"/>
          <w:rtl/>
          <w:lang w:bidi="ar-EG"/>
        </w:rPr>
        <w:t>َ</w:t>
      </w:r>
      <w:r w:rsidRPr="00904FCB">
        <w:rPr>
          <w:spacing w:val="-10"/>
          <w:rtl/>
          <w:lang w:bidi="ar-EG"/>
        </w:rPr>
        <w:t>ك</w:t>
      </w:r>
      <w:r w:rsidR="00A718D8" w:rsidRPr="00904FCB">
        <w:rPr>
          <w:rFonts w:hint="cs"/>
          <w:spacing w:val="-10"/>
          <w:rtl/>
          <w:lang w:bidi="ar-EG"/>
        </w:rPr>
        <w:t>ِّ</w:t>
      </w:r>
      <w:r w:rsidRPr="00904FCB">
        <w:rPr>
          <w:spacing w:val="-10"/>
          <w:rtl/>
          <w:lang w:bidi="ar-EG"/>
        </w:rPr>
        <w:t>، عمل</w:t>
      </w:r>
      <w:r w:rsidR="00A718D8" w:rsidRPr="00904FCB">
        <w:rPr>
          <w:rFonts w:hint="cs"/>
          <w:spacing w:val="-10"/>
          <w:rtl/>
          <w:lang w:bidi="ar-EG"/>
        </w:rPr>
        <w:t>ٌ</w:t>
      </w:r>
      <w:r w:rsidRPr="00904FCB">
        <w:rPr>
          <w:spacing w:val="-10"/>
          <w:rtl/>
          <w:lang w:bidi="ar-EG"/>
        </w:rPr>
        <w:t xml:space="preserve"> إرهابي. </w:t>
      </w:r>
    </w:p>
    <w:p w:rsidR="00A45FD9" w:rsidRPr="00904FCB" w:rsidRDefault="00A718D8" w:rsidP="007A21AA">
      <w:pPr>
        <w:spacing w:line="400" w:lineRule="exact"/>
        <w:rPr>
          <w:rtl/>
        </w:rPr>
      </w:pPr>
      <w:r w:rsidRPr="00904FCB">
        <w:rPr>
          <w:rFonts w:hint="cs"/>
          <w:rtl/>
        </w:rPr>
        <w:t>و</w:t>
      </w:r>
      <w:r w:rsidR="00A45FD9" w:rsidRPr="00904FCB">
        <w:rPr>
          <w:rtl/>
        </w:rPr>
        <w:t>من نافل القول</w:t>
      </w:r>
      <w:r w:rsidRPr="00904FCB">
        <w:rPr>
          <w:rFonts w:hint="cs"/>
          <w:rtl/>
        </w:rPr>
        <w:t>:</w:t>
      </w:r>
      <w:r w:rsidR="00A45FD9" w:rsidRPr="00904FCB">
        <w:rPr>
          <w:rtl/>
        </w:rPr>
        <w:t xml:space="preserve"> </w:t>
      </w:r>
      <w:r w:rsidRPr="00904FCB">
        <w:rPr>
          <w:rFonts w:hint="cs"/>
          <w:rtl/>
        </w:rPr>
        <w:t>إ</w:t>
      </w:r>
      <w:r w:rsidR="00A45FD9" w:rsidRPr="00904FCB">
        <w:rPr>
          <w:rtl/>
        </w:rPr>
        <w:t>ن أدبيات التيارات السلفية الجهادية زاخرة</w:t>
      </w:r>
      <w:r w:rsidRPr="00904FCB">
        <w:rPr>
          <w:rFonts w:hint="cs"/>
          <w:rtl/>
        </w:rPr>
        <w:t>ٌ</w:t>
      </w:r>
      <w:r w:rsidR="00A45FD9" w:rsidRPr="00904FCB">
        <w:rPr>
          <w:rtl/>
        </w:rPr>
        <w:t xml:space="preserve"> بشرح مكانة الجهاد المتقد</w:t>
      </w:r>
      <w:r w:rsidRPr="00904FCB">
        <w:rPr>
          <w:rFonts w:hint="cs"/>
          <w:rtl/>
        </w:rPr>
        <w:t>ِّ</w:t>
      </w:r>
      <w:r w:rsidR="00A45FD9" w:rsidRPr="00904FCB">
        <w:rPr>
          <w:rtl/>
        </w:rPr>
        <w:t>مة عندها، سواء في التنظير أو في الممارسات العملية</w:t>
      </w:r>
      <w:r w:rsidRPr="00904FCB">
        <w:rPr>
          <w:rFonts w:hint="cs"/>
          <w:rtl/>
        </w:rPr>
        <w:t>.</w:t>
      </w:r>
      <w:r w:rsidR="00A45FD9" w:rsidRPr="00904FCB">
        <w:rPr>
          <w:rtl/>
        </w:rPr>
        <w:t xml:space="preserve"> ويستند أتباع تلك التي</w:t>
      </w:r>
      <w:r w:rsidRPr="00904FCB">
        <w:rPr>
          <w:rFonts w:hint="cs"/>
          <w:rtl/>
        </w:rPr>
        <w:t>ّ</w:t>
      </w:r>
      <w:r w:rsidR="00A45FD9" w:rsidRPr="00904FCB">
        <w:rPr>
          <w:rtl/>
        </w:rPr>
        <w:t>ارات إلى أقوال ابن تيمية وابن القي</w:t>
      </w:r>
      <w:r w:rsidRPr="00904FCB">
        <w:rPr>
          <w:rFonts w:hint="cs"/>
          <w:rtl/>
        </w:rPr>
        <w:t>ِّ</w:t>
      </w:r>
      <w:r w:rsidR="00A45FD9" w:rsidRPr="00904FCB">
        <w:rPr>
          <w:rtl/>
        </w:rPr>
        <w:t>م الجوزية</w:t>
      </w:r>
      <w:r w:rsidRPr="00904FCB">
        <w:rPr>
          <w:rFonts w:hint="cs"/>
          <w:rtl/>
        </w:rPr>
        <w:t>.</w:t>
      </w:r>
      <w:r w:rsidR="00A45FD9" w:rsidRPr="00904FCB">
        <w:rPr>
          <w:rtl/>
        </w:rPr>
        <w:t xml:space="preserve"> وينقل سي</w:t>
      </w:r>
      <w:r w:rsidRPr="00904FCB">
        <w:rPr>
          <w:rFonts w:hint="cs"/>
          <w:rtl/>
        </w:rPr>
        <w:t>ّ</w:t>
      </w:r>
      <w:r w:rsidR="00A45FD9" w:rsidRPr="00904FCB">
        <w:rPr>
          <w:rtl/>
        </w:rPr>
        <w:t>د قطب في كتابه معالم في الطريق ما لخ</w:t>
      </w:r>
      <w:r w:rsidRPr="00904FCB">
        <w:rPr>
          <w:rFonts w:hint="cs"/>
          <w:rtl/>
        </w:rPr>
        <w:t>ّ</w:t>
      </w:r>
      <w:r w:rsidR="00A45FD9" w:rsidRPr="00904FCB">
        <w:rPr>
          <w:rtl/>
        </w:rPr>
        <w:t>صه ابن القي</w:t>
      </w:r>
      <w:r w:rsidRPr="00904FCB">
        <w:rPr>
          <w:rFonts w:hint="cs"/>
          <w:rtl/>
        </w:rPr>
        <w:t>ِّ</w:t>
      </w:r>
      <w:r w:rsidR="00A45FD9" w:rsidRPr="00904FCB">
        <w:rPr>
          <w:rtl/>
        </w:rPr>
        <w:t>م عن سياق الجهاد في الإسلام في كتابه زاد المعاد</w:t>
      </w:r>
      <w:r w:rsidR="00A45FD9" w:rsidRPr="00904FCB">
        <w:rPr>
          <w:vertAlign w:val="superscript"/>
          <w:rtl/>
        </w:rPr>
        <w:t>(</w:t>
      </w:r>
      <w:r w:rsidR="00A45FD9" w:rsidRPr="00904FCB">
        <w:rPr>
          <w:vertAlign w:val="superscript"/>
          <w:rtl/>
        </w:rPr>
        <w:endnoteReference w:id="143"/>
      </w:r>
      <w:r w:rsidR="00A45FD9" w:rsidRPr="00904FCB">
        <w:rPr>
          <w:vertAlign w:val="superscript"/>
          <w:rtl/>
        </w:rPr>
        <w:t>)</w:t>
      </w:r>
      <w:r w:rsidR="00A45FD9" w:rsidRPr="00904FCB">
        <w:rPr>
          <w:rtl/>
        </w:rPr>
        <w:t xml:space="preserve">. </w:t>
      </w:r>
    </w:p>
    <w:p w:rsidR="00A45FD9" w:rsidRPr="00904FCB" w:rsidRDefault="00A45FD9" w:rsidP="007A21AA">
      <w:pPr>
        <w:spacing w:line="400" w:lineRule="exact"/>
        <w:rPr>
          <w:rtl/>
        </w:rPr>
      </w:pPr>
      <w:r w:rsidRPr="00904FCB">
        <w:rPr>
          <w:rtl/>
        </w:rPr>
        <w:t>بدوره يقول عبد</w:t>
      </w:r>
      <w:r w:rsidR="00A718D8" w:rsidRPr="00904FCB">
        <w:rPr>
          <w:rFonts w:hint="cs"/>
          <w:rtl/>
        </w:rPr>
        <w:t xml:space="preserve"> </w:t>
      </w:r>
      <w:r w:rsidRPr="00904FCB">
        <w:rPr>
          <w:rtl/>
        </w:rPr>
        <w:t>الله عز</w:t>
      </w:r>
      <w:r w:rsidR="00A718D8" w:rsidRPr="00904FCB">
        <w:rPr>
          <w:rFonts w:hint="cs"/>
          <w:rtl/>
        </w:rPr>
        <w:t>ّ</w:t>
      </w:r>
      <w:r w:rsidRPr="00904FCB">
        <w:rPr>
          <w:rtl/>
        </w:rPr>
        <w:t xml:space="preserve">ام: </w:t>
      </w:r>
      <w:r w:rsidRPr="00904FCB">
        <w:rPr>
          <w:rFonts w:hint="eastAsia"/>
          <w:rtl/>
        </w:rPr>
        <w:t>«</w:t>
      </w:r>
      <w:r w:rsidRPr="00904FCB">
        <w:rPr>
          <w:rtl/>
        </w:rPr>
        <w:t>إن الجهاد أعظم</w:t>
      </w:r>
      <w:r w:rsidR="00A718D8" w:rsidRPr="00904FCB">
        <w:rPr>
          <w:rFonts w:hint="cs"/>
          <w:rtl/>
        </w:rPr>
        <w:t>ُ</w:t>
      </w:r>
      <w:r w:rsidRPr="00904FCB">
        <w:rPr>
          <w:rtl/>
        </w:rPr>
        <w:t xml:space="preserve"> عبادة</w:t>
      </w:r>
      <w:r w:rsidR="00A718D8" w:rsidRPr="00904FCB">
        <w:rPr>
          <w:rFonts w:hint="cs"/>
          <w:rtl/>
        </w:rPr>
        <w:t>ٍ.</w:t>
      </w:r>
      <w:r w:rsidRPr="00904FCB">
        <w:rPr>
          <w:rtl/>
        </w:rPr>
        <w:t xml:space="preserve"> فإذا كان الجهاد فرض كفاية فلا يوجد في فروض الكفاية أفضل منه</w:t>
      </w:r>
      <w:r w:rsidR="00A718D8" w:rsidRPr="00904FCB">
        <w:rPr>
          <w:rFonts w:hint="cs"/>
          <w:rtl/>
        </w:rPr>
        <w:t>.</w:t>
      </w:r>
      <w:r w:rsidRPr="00904FCB">
        <w:rPr>
          <w:rtl/>
        </w:rPr>
        <w:t xml:space="preserve"> ويقول الإمام أحمد: ليس من أعمال البر</w:t>
      </w:r>
      <w:r w:rsidR="00A718D8" w:rsidRPr="00904FCB">
        <w:rPr>
          <w:rFonts w:hint="cs"/>
          <w:rtl/>
        </w:rPr>
        <w:t>ّ</w:t>
      </w:r>
      <w:r w:rsidRPr="00904FCB">
        <w:rPr>
          <w:rtl/>
        </w:rPr>
        <w:t xml:space="preserve"> أفضل من الجهاد في سبيل الله. وإذا كان فرض عين فهو مقد</w:t>
      </w:r>
      <w:r w:rsidR="00A718D8" w:rsidRPr="00904FCB">
        <w:rPr>
          <w:rFonts w:hint="cs"/>
          <w:rtl/>
        </w:rPr>
        <w:t>َّ</w:t>
      </w:r>
      <w:r w:rsidRPr="00904FCB">
        <w:rPr>
          <w:rtl/>
        </w:rPr>
        <w:t>م على كل</w:t>
      </w:r>
      <w:r w:rsidR="00A718D8" w:rsidRPr="00904FCB">
        <w:rPr>
          <w:rFonts w:hint="cs"/>
          <w:rtl/>
        </w:rPr>
        <w:t>ّ</w:t>
      </w:r>
      <w:r w:rsidRPr="00904FCB">
        <w:rPr>
          <w:rtl/>
        </w:rPr>
        <w:t xml:space="preserve"> الفروض</w:t>
      </w:r>
      <w:r w:rsidR="00A718D8" w:rsidRPr="00904FCB">
        <w:rPr>
          <w:rFonts w:hint="cs"/>
          <w:rtl/>
        </w:rPr>
        <w:t>،</w:t>
      </w:r>
      <w:r w:rsidRPr="00904FCB">
        <w:rPr>
          <w:rtl/>
        </w:rPr>
        <w:t xml:space="preserve"> إلا</w:t>
      </w:r>
      <w:r w:rsidR="00A718D8" w:rsidRPr="00904FCB">
        <w:rPr>
          <w:rFonts w:hint="cs"/>
          <w:rtl/>
        </w:rPr>
        <w:t>ّ</w:t>
      </w:r>
      <w:r w:rsidRPr="00904FCB">
        <w:rPr>
          <w:rtl/>
        </w:rPr>
        <w:t xml:space="preserve"> الصلاة</w:t>
      </w:r>
      <w:r w:rsidRPr="00904FCB">
        <w:rPr>
          <w:rFonts w:hint="eastAsia"/>
          <w:rtl/>
        </w:rPr>
        <w:t>»</w:t>
      </w:r>
      <w:r w:rsidRPr="00904FCB">
        <w:rPr>
          <w:vertAlign w:val="superscript"/>
          <w:rtl/>
        </w:rPr>
        <w:t>(</w:t>
      </w:r>
      <w:r w:rsidRPr="00904FCB">
        <w:rPr>
          <w:vertAlign w:val="superscript"/>
          <w:rtl/>
        </w:rPr>
        <w:endnoteReference w:id="144"/>
      </w:r>
      <w:r w:rsidRPr="00904FCB">
        <w:rPr>
          <w:vertAlign w:val="superscript"/>
          <w:rtl/>
        </w:rPr>
        <w:t>)</w:t>
      </w:r>
      <w:r w:rsidRPr="00904FCB">
        <w:rPr>
          <w:rtl/>
        </w:rPr>
        <w:t>. ويضيف عز</w:t>
      </w:r>
      <w:r w:rsidR="00A718D8" w:rsidRPr="00904FCB">
        <w:rPr>
          <w:rFonts w:hint="cs"/>
          <w:rtl/>
        </w:rPr>
        <w:t>ّ</w:t>
      </w:r>
      <w:r w:rsidRPr="00904FCB">
        <w:rPr>
          <w:rtl/>
        </w:rPr>
        <w:t>ام</w:t>
      </w:r>
      <w:r w:rsidRPr="00904FCB">
        <w:rPr>
          <w:rFonts w:hint="cs"/>
          <w:rtl/>
        </w:rPr>
        <w:t>:</w:t>
      </w:r>
      <w:r w:rsidRPr="00904FCB">
        <w:rPr>
          <w:rtl/>
        </w:rPr>
        <w:t xml:space="preserve"> </w:t>
      </w:r>
      <w:r w:rsidRPr="00904FCB">
        <w:rPr>
          <w:rFonts w:hint="eastAsia"/>
          <w:rtl/>
        </w:rPr>
        <w:t>«</w:t>
      </w:r>
      <w:r w:rsidRPr="00904FCB">
        <w:rPr>
          <w:rtl/>
        </w:rPr>
        <w:t>والجهاد إذا أصبح فرض عين لا يؤخ</w:t>
      </w:r>
      <w:r w:rsidR="00A718D8" w:rsidRPr="00904FCB">
        <w:rPr>
          <w:rFonts w:hint="cs"/>
          <w:rtl/>
        </w:rPr>
        <w:t>َّ</w:t>
      </w:r>
      <w:r w:rsidRPr="00904FCB">
        <w:rPr>
          <w:rtl/>
        </w:rPr>
        <w:t>ر، أما الصيام فيباح الإفطار في رمضان من أجل الجهاد، ولقد أفطر رسول الله</w:t>
      </w:r>
      <w:r w:rsidR="00635E51" w:rsidRPr="00904FCB">
        <w:rPr>
          <w:rFonts w:cs="Mosawi"/>
          <w:szCs w:val="22"/>
          <w:rtl/>
        </w:rPr>
        <w:t>|</w:t>
      </w:r>
      <w:r w:rsidRPr="00904FCB">
        <w:rPr>
          <w:rtl/>
        </w:rPr>
        <w:t xml:space="preserve"> يوم فتح مك</w:t>
      </w:r>
      <w:r w:rsidR="00A718D8" w:rsidRPr="00904FCB">
        <w:rPr>
          <w:rFonts w:hint="cs"/>
          <w:rtl/>
        </w:rPr>
        <w:t>ّ</w:t>
      </w:r>
      <w:r w:rsidRPr="00904FCB">
        <w:rPr>
          <w:rtl/>
        </w:rPr>
        <w:t>ة</w:t>
      </w:r>
      <w:r w:rsidR="00A718D8" w:rsidRPr="00904FCB">
        <w:rPr>
          <w:rFonts w:hint="cs"/>
          <w:rtl/>
        </w:rPr>
        <w:t>،</w:t>
      </w:r>
      <w:r w:rsidRPr="00904FCB">
        <w:rPr>
          <w:rtl/>
        </w:rPr>
        <w:t xml:space="preserve"> حت</w:t>
      </w:r>
      <w:r w:rsidR="00A718D8" w:rsidRPr="00904FCB">
        <w:rPr>
          <w:rFonts w:hint="cs"/>
          <w:rtl/>
        </w:rPr>
        <w:t>ّ</w:t>
      </w:r>
      <w:r w:rsidRPr="00904FCB">
        <w:rPr>
          <w:rtl/>
        </w:rPr>
        <w:t>ى إذا بلغ كراع ال</w:t>
      </w:r>
      <w:r w:rsidR="00A718D8" w:rsidRPr="00904FCB">
        <w:rPr>
          <w:rFonts w:hint="cs"/>
          <w:rtl/>
        </w:rPr>
        <w:t>غ</w:t>
      </w:r>
      <w:r w:rsidRPr="00904FCB">
        <w:rPr>
          <w:rtl/>
        </w:rPr>
        <w:t>ميم أو عند عسفان حمل كأسا</w:t>
      </w:r>
      <w:r w:rsidR="00A718D8" w:rsidRPr="00904FCB">
        <w:rPr>
          <w:rFonts w:hint="cs"/>
          <w:rtl/>
        </w:rPr>
        <w:t>ً</w:t>
      </w:r>
      <w:r w:rsidRPr="00904FCB">
        <w:rPr>
          <w:rtl/>
        </w:rPr>
        <w:t xml:space="preserve"> من الماء ـ وكان الوقت بعد العصر ـ فشرب</w:t>
      </w:r>
      <w:r w:rsidR="00635E51" w:rsidRPr="00904FCB">
        <w:rPr>
          <w:rFonts w:cs="Mosawi"/>
          <w:szCs w:val="22"/>
          <w:rtl/>
        </w:rPr>
        <w:t>|</w:t>
      </w:r>
      <w:r w:rsidRPr="00904FCB">
        <w:rPr>
          <w:rtl/>
        </w:rPr>
        <w:t xml:space="preserve"> أمام الناس، وقال: إن</w:t>
      </w:r>
      <w:r w:rsidR="00A718D8" w:rsidRPr="00904FCB">
        <w:rPr>
          <w:rFonts w:hint="cs"/>
          <w:rtl/>
        </w:rPr>
        <w:t>ّ</w:t>
      </w:r>
      <w:r w:rsidRPr="00904FCB">
        <w:rPr>
          <w:rtl/>
        </w:rPr>
        <w:t>كم مصبحو عدو</w:t>
      </w:r>
      <w:r w:rsidR="00A718D8" w:rsidRPr="00904FCB">
        <w:rPr>
          <w:rFonts w:hint="cs"/>
          <w:rtl/>
        </w:rPr>
        <w:t>ّ</w:t>
      </w:r>
      <w:r w:rsidRPr="00904FCB">
        <w:rPr>
          <w:rtl/>
        </w:rPr>
        <w:t>كم</w:t>
      </w:r>
      <w:r w:rsidR="00A718D8" w:rsidRPr="00904FCB">
        <w:rPr>
          <w:rFonts w:hint="cs"/>
          <w:rtl/>
        </w:rPr>
        <w:t>،</w:t>
      </w:r>
      <w:r w:rsidRPr="00904FCB">
        <w:rPr>
          <w:rtl/>
        </w:rPr>
        <w:t xml:space="preserve"> والفطر أقوى </w:t>
      </w:r>
      <w:r w:rsidRPr="00904FCB">
        <w:rPr>
          <w:rtl/>
        </w:rPr>
        <w:lastRenderedPageBreak/>
        <w:t>لكم</w:t>
      </w:r>
      <w:r w:rsidR="00A718D8" w:rsidRPr="00904FCB">
        <w:rPr>
          <w:rFonts w:hint="cs"/>
          <w:rtl/>
        </w:rPr>
        <w:t>.</w:t>
      </w:r>
      <w:r w:rsidRPr="00904FCB">
        <w:rPr>
          <w:rtl/>
        </w:rPr>
        <w:t xml:space="preserve"> وبلغه أن بعض الصحابة لم يفطروا</w:t>
      </w:r>
      <w:r w:rsidR="00A718D8" w:rsidRPr="00904FCB">
        <w:rPr>
          <w:rFonts w:hint="cs"/>
          <w:rtl/>
        </w:rPr>
        <w:t>،</w:t>
      </w:r>
      <w:r w:rsidRPr="00904FCB">
        <w:rPr>
          <w:rtl/>
        </w:rPr>
        <w:t xml:space="preserve"> فقال: أولئك الع</w:t>
      </w:r>
      <w:r w:rsidR="00A718D8" w:rsidRPr="00904FCB">
        <w:rPr>
          <w:rFonts w:hint="cs"/>
          <w:rtl/>
        </w:rPr>
        <w:t>ُ</w:t>
      </w:r>
      <w:r w:rsidRPr="00904FCB">
        <w:rPr>
          <w:rtl/>
        </w:rPr>
        <w:t>صاة</w:t>
      </w:r>
      <w:r w:rsidR="00A718D8" w:rsidRPr="00904FCB">
        <w:rPr>
          <w:rFonts w:hint="cs"/>
          <w:rtl/>
        </w:rPr>
        <w:t>.</w:t>
      </w:r>
      <w:r w:rsidRPr="00904FCB">
        <w:rPr>
          <w:rtl/>
        </w:rPr>
        <w:t>.. أولئك العصاة</w:t>
      </w:r>
      <w:r w:rsidRPr="00904FCB">
        <w:rPr>
          <w:rFonts w:hint="eastAsia"/>
          <w:rtl/>
        </w:rPr>
        <w:t>»</w:t>
      </w:r>
      <w:r w:rsidRPr="00904FCB">
        <w:rPr>
          <w:rtl/>
        </w:rPr>
        <w:t>... ولا ش</w:t>
      </w:r>
      <w:r w:rsidR="00A718D8" w:rsidRPr="00904FCB">
        <w:rPr>
          <w:rFonts w:hint="cs"/>
          <w:rtl/>
        </w:rPr>
        <w:t>َ</w:t>
      </w:r>
      <w:r w:rsidRPr="00904FCB">
        <w:rPr>
          <w:rtl/>
        </w:rPr>
        <w:t>ك</w:t>
      </w:r>
      <w:r w:rsidR="00A718D8" w:rsidRPr="00904FCB">
        <w:rPr>
          <w:rFonts w:hint="cs"/>
          <w:rtl/>
        </w:rPr>
        <w:t>َّ</w:t>
      </w:r>
      <w:r w:rsidRPr="00904FCB">
        <w:rPr>
          <w:rtl/>
        </w:rPr>
        <w:t xml:space="preserve"> أنه إذا تعارض الجهاد مع الصيام يقد</w:t>
      </w:r>
      <w:r w:rsidR="00A718D8" w:rsidRPr="00904FCB">
        <w:rPr>
          <w:rFonts w:hint="cs"/>
          <w:rtl/>
        </w:rPr>
        <w:t>َّ</w:t>
      </w:r>
      <w:r w:rsidRPr="00904FCB">
        <w:rPr>
          <w:rtl/>
        </w:rPr>
        <w:t>م الجهاد</w:t>
      </w:r>
      <w:r w:rsidR="00A718D8" w:rsidRPr="00904FCB">
        <w:rPr>
          <w:rFonts w:hint="cs"/>
          <w:rtl/>
        </w:rPr>
        <w:t>.</w:t>
      </w:r>
      <w:r w:rsidRPr="00904FCB">
        <w:rPr>
          <w:rtl/>
        </w:rPr>
        <w:t xml:space="preserve"> هذا بات</w:t>
      </w:r>
      <w:r w:rsidR="00A718D8" w:rsidRPr="00904FCB">
        <w:rPr>
          <w:rFonts w:hint="cs"/>
          <w:rtl/>
        </w:rPr>
        <w:t>ّ</w:t>
      </w:r>
      <w:r w:rsidRPr="00904FCB">
        <w:rPr>
          <w:rtl/>
        </w:rPr>
        <w:t>فاق الأئم</w:t>
      </w:r>
      <w:r w:rsidR="00A718D8" w:rsidRPr="00904FCB">
        <w:rPr>
          <w:rFonts w:hint="cs"/>
          <w:rtl/>
        </w:rPr>
        <w:t>ّ</w:t>
      </w:r>
      <w:r w:rsidRPr="00904FCB">
        <w:rPr>
          <w:rtl/>
        </w:rPr>
        <w:t>ة</w:t>
      </w:r>
      <w:r w:rsidRPr="00904FCB">
        <w:rPr>
          <w:rFonts w:hint="eastAsia"/>
          <w:rtl/>
        </w:rPr>
        <w:t>»</w:t>
      </w:r>
      <w:r w:rsidRPr="00904FCB">
        <w:rPr>
          <w:vertAlign w:val="superscript"/>
          <w:rtl/>
        </w:rPr>
        <w:t>(</w:t>
      </w:r>
      <w:r w:rsidRPr="00904FCB">
        <w:rPr>
          <w:vertAlign w:val="superscript"/>
          <w:rtl/>
        </w:rPr>
        <w:endnoteReference w:id="145"/>
      </w:r>
      <w:r w:rsidRPr="00904FCB">
        <w:rPr>
          <w:vertAlign w:val="superscript"/>
          <w:rtl/>
        </w:rPr>
        <w:t>)</w:t>
      </w:r>
      <w:r w:rsidRPr="00904FCB">
        <w:rPr>
          <w:rtl/>
        </w:rPr>
        <w:t xml:space="preserve">. </w:t>
      </w:r>
    </w:p>
    <w:p w:rsidR="00A45FD9" w:rsidRPr="00904FCB" w:rsidRDefault="00A45FD9" w:rsidP="007A21AA">
      <w:pPr>
        <w:spacing w:line="400" w:lineRule="exact"/>
        <w:rPr>
          <w:rtl/>
        </w:rPr>
      </w:pPr>
      <w:r w:rsidRPr="00904FCB">
        <w:rPr>
          <w:rtl/>
        </w:rPr>
        <w:t>ويضيف عز</w:t>
      </w:r>
      <w:r w:rsidR="00A718D8" w:rsidRPr="00904FCB">
        <w:rPr>
          <w:rFonts w:hint="cs"/>
          <w:rtl/>
        </w:rPr>
        <w:t>ّ</w:t>
      </w:r>
      <w:r w:rsidRPr="00904FCB">
        <w:rPr>
          <w:rtl/>
        </w:rPr>
        <w:t xml:space="preserve">ام: </w:t>
      </w:r>
      <w:r w:rsidRPr="00904FCB">
        <w:rPr>
          <w:rFonts w:hint="eastAsia"/>
          <w:rtl/>
        </w:rPr>
        <w:t>«</w:t>
      </w:r>
      <w:r w:rsidRPr="00904FCB">
        <w:rPr>
          <w:rtl/>
        </w:rPr>
        <w:t>ات</w:t>
      </w:r>
      <w:r w:rsidR="00A718D8" w:rsidRPr="00904FCB">
        <w:rPr>
          <w:rFonts w:hint="cs"/>
          <w:rtl/>
        </w:rPr>
        <w:t>ّ</w:t>
      </w:r>
      <w:r w:rsidRPr="00904FCB">
        <w:rPr>
          <w:rtl/>
        </w:rPr>
        <w:t>فقت الأم</w:t>
      </w:r>
      <w:r w:rsidR="00A718D8" w:rsidRPr="00904FCB">
        <w:rPr>
          <w:rFonts w:hint="cs"/>
          <w:rtl/>
        </w:rPr>
        <w:t>ّ</w:t>
      </w:r>
      <w:r w:rsidRPr="00904FCB">
        <w:rPr>
          <w:rtl/>
        </w:rPr>
        <w:t>ة على أن الجهاد إذا تعيّن، يعني</w:t>
      </w:r>
      <w:r w:rsidR="00A718D8" w:rsidRPr="00904FCB">
        <w:rPr>
          <w:rFonts w:hint="cs"/>
          <w:rtl/>
        </w:rPr>
        <w:t>:</w:t>
      </w:r>
      <w:r w:rsidRPr="00904FCB">
        <w:rPr>
          <w:rtl/>
        </w:rPr>
        <w:t xml:space="preserve"> إذا أصبح فرض عين</w:t>
      </w:r>
      <w:r w:rsidR="00A718D8" w:rsidRPr="00904FCB">
        <w:rPr>
          <w:rFonts w:hint="cs"/>
          <w:rtl/>
        </w:rPr>
        <w:t>ٍ،</w:t>
      </w:r>
      <w:r w:rsidRPr="00904FCB">
        <w:rPr>
          <w:rtl/>
        </w:rPr>
        <w:t xml:space="preserve"> يقد</w:t>
      </w:r>
      <w:r w:rsidR="00A718D8" w:rsidRPr="00904FCB">
        <w:rPr>
          <w:rFonts w:hint="cs"/>
          <w:rtl/>
        </w:rPr>
        <w:t>َّ</w:t>
      </w:r>
      <w:r w:rsidRPr="00904FCB">
        <w:rPr>
          <w:rtl/>
        </w:rPr>
        <w:t>م على حج</w:t>
      </w:r>
      <w:r w:rsidR="00A718D8" w:rsidRPr="00904FCB">
        <w:rPr>
          <w:rFonts w:hint="cs"/>
          <w:rtl/>
        </w:rPr>
        <w:t>ّ</w:t>
      </w:r>
      <w:r w:rsidRPr="00904FCB">
        <w:rPr>
          <w:rtl/>
        </w:rPr>
        <w:t xml:space="preserve"> الفريضة</w:t>
      </w:r>
      <w:r w:rsidR="00A718D8" w:rsidRPr="00904FCB">
        <w:rPr>
          <w:rFonts w:hint="cs"/>
          <w:rtl/>
        </w:rPr>
        <w:t>.</w:t>
      </w:r>
      <w:r w:rsidRPr="00904FCB">
        <w:rPr>
          <w:rtl/>
        </w:rPr>
        <w:t xml:space="preserve"> وقال: والجهاد المتعي</w:t>
      </w:r>
      <w:r w:rsidR="00A718D8" w:rsidRPr="00904FCB">
        <w:rPr>
          <w:rFonts w:hint="cs"/>
          <w:rtl/>
        </w:rPr>
        <w:t>ِّ</w:t>
      </w:r>
      <w:r w:rsidRPr="00904FCB">
        <w:rPr>
          <w:rtl/>
        </w:rPr>
        <w:t>ن مقد</w:t>
      </w:r>
      <w:r w:rsidR="00A718D8" w:rsidRPr="00904FCB">
        <w:rPr>
          <w:rFonts w:hint="cs"/>
          <w:rtl/>
        </w:rPr>
        <w:t>َّ</w:t>
      </w:r>
      <w:r w:rsidRPr="00904FCB">
        <w:rPr>
          <w:rtl/>
        </w:rPr>
        <w:t>م على حج</w:t>
      </w:r>
      <w:r w:rsidR="00A718D8" w:rsidRPr="00904FCB">
        <w:rPr>
          <w:rFonts w:hint="cs"/>
          <w:rtl/>
        </w:rPr>
        <w:t>ّ</w:t>
      </w:r>
      <w:r w:rsidRPr="00904FCB">
        <w:rPr>
          <w:rtl/>
        </w:rPr>
        <w:t xml:space="preserve"> الفرض إجماعاً ـ يعني بالإجماع ـ</w:t>
      </w:r>
      <w:r w:rsidR="00A718D8" w:rsidRPr="00904FCB">
        <w:rPr>
          <w:rFonts w:hint="cs"/>
          <w:rtl/>
        </w:rPr>
        <w:t>،</w:t>
      </w:r>
      <w:r w:rsidRPr="00904FCB">
        <w:rPr>
          <w:rtl/>
        </w:rPr>
        <w:t xml:space="preserve"> وهو مقد</w:t>
      </w:r>
      <w:r w:rsidR="00A718D8" w:rsidRPr="00904FCB">
        <w:rPr>
          <w:rFonts w:hint="cs"/>
          <w:rtl/>
        </w:rPr>
        <w:t>َّ</w:t>
      </w:r>
      <w:r w:rsidRPr="00904FCB">
        <w:rPr>
          <w:rtl/>
        </w:rPr>
        <w:t>م على الصيام</w:t>
      </w:r>
      <w:r w:rsidR="00A718D8" w:rsidRPr="00904FCB">
        <w:rPr>
          <w:rFonts w:hint="cs"/>
          <w:rtl/>
        </w:rPr>
        <w:t>،</w:t>
      </w:r>
      <w:r w:rsidRPr="00904FCB">
        <w:rPr>
          <w:rtl/>
        </w:rPr>
        <w:t xml:space="preserve"> ومقد</w:t>
      </w:r>
      <w:r w:rsidR="00A718D8" w:rsidRPr="00904FCB">
        <w:rPr>
          <w:rFonts w:hint="cs"/>
          <w:rtl/>
        </w:rPr>
        <w:t>َّ</w:t>
      </w:r>
      <w:r w:rsidRPr="00904FCB">
        <w:rPr>
          <w:rtl/>
        </w:rPr>
        <w:t>م على الحج</w:t>
      </w:r>
      <w:r w:rsidR="00A718D8" w:rsidRPr="00904FCB">
        <w:rPr>
          <w:rFonts w:hint="cs"/>
          <w:rtl/>
        </w:rPr>
        <w:t>ّ،</w:t>
      </w:r>
      <w:r w:rsidRPr="00904FCB">
        <w:rPr>
          <w:rtl/>
        </w:rPr>
        <w:t xml:space="preserve"> ومقد</w:t>
      </w:r>
      <w:r w:rsidR="00A718D8" w:rsidRPr="00904FCB">
        <w:rPr>
          <w:rFonts w:hint="cs"/>
          <w:rtl/>
        </w:rPr>
        <w:t>َّ</w:t>
      </w:r>
      <w:r w:rsidRPr="00904FCB">
        <w:rPr>
          <w:rtl/>
        </w:rPr>
        <w:t>م على الصلاة</w:t>
      </w:r>
      <w:r w:rsidR="00A718D8" w:rsidRPr="00904FCB">
        <w:rPr>
          <w:rFonts w:hint="cs"/>
          <w:rtl/>
        </w:rPr>
        <w:t>؛</w:t>
      </w:r>
      <w:r w:rsidRPr="00904FCB">
        <w:rPr>
          <w:rtl/>
        </w:rPr>
        <w:t xml:space="preserve"> لأنك إن</w:t>
      </w:r>
      <w:r w:rsidR="00A718D8" w:rsidRPr="00904FCB">
        <w:rPr>
          <w:rFonts w:hint="cs"/>
          <w:rtl/>
        </w:rPr>
        <w:t>ْ</w:t>
      </w:r>
      <w:r w:rsidRPr="00904FCB">
        <w:rPr>
          <w:rtl/>
        </w:rPr>
        <w:t xml:space="preserve"> أرد</w:t>
      </w:r>
      <w:r w:rsidR="00A718D8" w:rsidRPr="00904FCB">
        <w:rPr>
          <w:rFonts w:hint="cs"/>
          <w:rtl/>
        </w:rPr>
        <w:t>ْ</w:t>
      </w:r>
      <w:r w:rsidRPr="00904FCB">
        <w:rPr>
          <w:rtl/>
        </w:rPr>
        <w:t>ت</w:t>
      </w:r>
      <w:r w:rsidR="00A718D8" w:rsidRPr="00904FCB">
        <w:rPr>
          <w:rFonts w:hint="cs"/>
          <w:rtl/>
        </w:rPr>
        <w:t>َ</w:t>
      </w:r>
      <w:r w:rsidRPr="00904FCB">
        <w:rPr>
          <w:rtl/>
        </w:rPr>
        <w:t xml:space="preserve"> معركة</w:t>
      </w:r>
      <w:r w:rsidR="00A718D8" w:rsidRPr="00904FCB">
        <w:rPr>
          <w:rFonts w:hint="cs"/>
          <w:rtl/>
        </w:rPr>
        <w:t>ً</w:t>
      </w:r>
      <w:r w:rsidRPr="00904FCB">
        <w:rPr>
          <w:rtl/>
        </w:rPr>
        <w:t xml:space="preserve"> في وقت الظهر تؤخ</w:t>
      </w:r>
      <w:r w:rsidR="00A718D8" w:rsidRPr="00904FCB">
        <w:rPr>
          <w:rFonts w:hint="cs"/>
          <w:rtl/>
        </w:rPr>
        <w:t>ِّ</w:t>
      </w:r>
      <w:r w:rsidRPr="00904FCB">
        <w:rPr>
          <w:rtl/>
        </w:rPr>
        <w:t>ر الظهر إلى وقت العصر، أو تقد</w:t>
      </w:r>
      <w:r w:rsidR="00A718D8" w:rsidRPr="00904FCB">
        <w:rPr>
          <w:rFonts w:hint="cs"/>
          <w:rtl/>
        </w:rPr>
        <w:t>ِّ</w:t>
      </w:r>
      <w:r w:rsidRPr="00904FCB">
        <w:rPr>
          <w:rtl/>
        </w:rPr>
        <w:t>م العصر إلى وقت الظهر، وتجمع الصلوات من أجل الجهاد</w:t>
      </w:r>
      <w:r w:rsidR="00A718D8" w:rsidRPr="00904FCB">
        <w:rPr>
          <w:rFonts w:hint="cs"/>
          <w:rtl/>
        </w:rPr>
        <w:t>.</w:t>
      </w:r>
      <w:r w:rsidRPr="00904FCB">
        <w:rPr>
          <w:rtl/>
        </w:rPr>
        <w:t xml:space="preserve"> ولقد فات رسول الله</w:t>
      </w:r>
      <w:r w:rsidR="00635E51" w:rsidRPr="00904FCB">
        <w:rPr>
          <w:rFonts w:cs="Mosawi"/>
          <w:szCs w:val="22"/>
          <w:rtl/>
        </w:rPr>
        <w:t>|</w:t>
      </w:r>
      <w:r w:rsidRPr="00904FCB">
        <w:rPr>
          <w:rtl/>
        </w:rPr>
        <w:t xml:space="preserve"> صلاة العصر يوم الخندق قال: ملأ الله قبورهم وبيوتهم ناراً شغلونا عن الصلاة الوسطى... والجهاد ـ فرض العين ـ مقد</w:t>
      </w:r>
      <w:r w:rsidR="00A718D8" w:rsidRPr="00904FCB">
        <w:rPr>
          <w:rFonts w:hint="cs"/>
          <w:rtl/>
        </w:rPr>
        <w:t>َّ</w:t>
      </w:r>
      <w:r w:rsidRPr="00904FCB">
        <w:rPr>
          <w:rtl/>
        </w:rPr>
        <w:t>م على كل</w:t>
      </w:r>
      <w:r w:rsidR="00A718D8" w:rsidRPr="00904FCB">
        <w:rPr>
          <w:rFonts w:hint="cs"/>
          <w:rtl/>
        </w:rPr>
        <w:t>ّ</w:t>
      </w:r>
      <w:r w:rsidRPr="00904FCB">
        <w:rPr>
          <w:rtl/>
        </w:rPr>
        <w:t xml:space="preserve"> الفروض إذا تعارض</w:t>
      </w:r>
      <w:r w:rsidR="00A718D8" w:rsidRPr="00904FCB">
        <w:rPr>
          <w:rFonts w:hint="cs"/>
          <w:rtl/>
        </w:rPr>
        <w:t>َ</w:t>
      </w:r>
      <w:r w:rsidRPr="00904FCB">
        <w:rPr>
          <w:rtl/>
        </w:rPr>
        <w:t>ت</w:t>
      </w:r>
      <w:r w:rsidR="00A718D8" w:rsidRPr="00904FCB">
        <w:rPr>
          <w:rFonts w:hint="cs"/>
          <w:rtl/>
        </w:rPr>
        <w:t>ْ</w:t>
      </w:r>
      <w:r w:rsidRPr="00904FCB">
        <w:rPr>
          <w:rtl/>
        </w:rPr>
        <w:t xml:space="preserve"> معه</w:t>
      </w:r>
      <w:r w:rsidRPr="00904FCB">
        <w:rPr>
          <w:rFonts w:hint="eastAsia"/>
          <w:rtl/>
        </w:rPr>
        <w:t>»</w:t>
      </w:r>
      <w:r w:rsidRPr="00904FCB">
        <w:rPr>
          <w:vertAlign w:val="superscript"/>
          <w:rtl/>
        </w:rPr>
        <w:t>(</w:t>
      </w:r>
      <w:r w:rsidRPr="00904FCB">
        <w:rPr>
          <w:vertAlign w:val="superscript"/>
          <w:rtl/>
        </w:rPr>
        <w:endnoteReference w:id="146"/>
      </w:r>
      <w:r w:rsidRPr="00904FCB">
        <w:rPr>
          <w:vertAlign w:val="superscript"/>
          <w:rtl/>
        </w:rPr>
        <w:t>)</w:t>
      </w:r>
      <w:r w:rsidRPr="00904FCB">
        <w:rPr>
          <w:rtl/>
        </w:rPr>
        <w:t xml:space="preserve">. </w:t>
      </w:r>
    </w:p>
    <w:p w:rsidR="00A45FD9" w:rsidRPr="00904FCB" w:rsidRDefault="00A45FD9" w:rsidP="007A21AA">
      <w:pPr>
        <w:spacing w:line="400" w:lineRule="exact"/>
        <w:rPr>
          <w:rFonts w:ascii="Arial" w:hAnsi="Arial"/>
          <w:sz w:val="27"/>
          <w:rtl/>
        </w:rPr>
      </w:pPr>
      <w:r w:rsidRPr="00904FCB">
        <w:rPr>
          <w:rFonts w:ascii="Arial" w:hAnsi="Arial"/>
          <w:sz w:val="27"/>
          <w:rtl/>
        </w:rPr>
        <w:t>بعد هذه المقد</w:t>
      </w:r>
      <w:r w:rsidR="00A718D8" w:rsidRPr="00904FCB">
        <w:rPr>
          <w:rFonts w:ascii="Arial" w:hAnsi="Arial" w:hint="cs"/>
          <w:sz w:val="27"/>
          <w:rtl/>
        </w:rPr>
        <w:t>ّ</w:t>
      </w:r>
      <w:r w:rsidRPr="00904FCB">
        <w:rPr>
          <w:rFonts w:ascii="Arial" w:hAnsi="Arial"/>
          <w:sz w:val="27"/>
          <w:rtl/>
        </w:rPr>
        <w:t>مات يتساءل عز</w:t>
      </w:r>
      <w:r w:rsidR="00A718D8" w:rsidRPr="00904FCB">
        <w:rPr>
          <w:rFonts w:ascii="Arial" w:hAnsi="Arial" w:hint="cs"/>
          <w:sz w:val="27"/>
          <w:rtl/>
        </w:rPr>
        <w:t>ّ</w:t>
      </w:r>
      <w:r w:rsidRPr="00904FCB">
        <w:rPr>
          <w:rFonts w:ascii="Arial" w:hAnsi="Arial"/>
          <w:sz w:val="27"/>
          <w:rtl/>
        </w:rPr>
        <w:t>ام: متى وأين وكيف يصبح الجهاد فرضاً لا يمكن تأجيله</w:t>
      </w:r>
      <w:r w:rsidR="00A718D8" w:rsidRPr="00904FCB">
        <w:rPr>
          <w:rFonts w:ascii="Arial" w:hAnsi="Arial" w:hint="cs"/>
          <w:sz w:val="27"/>
          <w:rtl/>
        </w:rPr>
        <w:t>،</w:t>
      </w:r>
      <w:r w:rsidRPr="00904FCB">
        <w:rPr>
          <w:rFonts w:ascii="Arial" w:hAnsi="Arial"/>
          <w:sz w:val="27"/>
          <w:rtl/>
        </w:rPr>
        <w:t xml:space="preserve"> ويتقد</w:t>
      </w:r>
      <w:r w:rsidR="00A718D8" w:rsidRPr="00904FCB">
        <w:rPr>
          <w:rFonts w:ascii="Arial" w:hAnsi="Arial" w:hint="cs"/>
          <w:sz w:val="27"/>
          <w:rtl/>
        </w:rPr>
        <w:t>َّ</w:t>
      </w:r>
      <w:r w:rsidRPr="00904FCB">
        <w:rPr>
          <w:rFonts w:ascii="Arial" w:hAnsi="Arial"/>
          <w:sz w:val="27"/>
          <w:rtl/>
        </w:rPr>
        <w:t>م على غيره من الواجبات الدينية؟ هل الوضع الذي تمر</w:t>
      </w:r>
      <w:r w:rsidR="00A718D8" w:rsidRPr="00904FCB">
        <w:rPr>
          <w:rFonts w:ascii="Arial" w:hAnsi="Arial" w:hint="cs"/>
          <w:sz w:val="27"/>
          <w:rtl/>
        </w:rPr>
        <w:t>ّ</w:t>
      </w:r>
      <w:r w:rsidRPr="00904FCB">
        <w:rPr>
          <w:rFonts w:ascii="Arial" w:hAnsi="Arial"/>
          <w:sz w:val="27"/>
          <w:rtl/>
        </w:rPr>
        <w:t xml:space="preserve"> به بلاد المسلمين من أفغانستان إلى فلسطين</w:t>
      </w:r>
      <w:r w:rsidR="00A718D8" w:rsidRPr="00904FCB">
        <w:rPr>
          <w:rFonts w:ascii="Arial" w:hAnsi="Arial" w:hint="cs"/>
          <w:sz w:val="27"/>
          <w:rtl/>
        </w:rPr>
        <w:t>،</w:t>
      </w:r>
      <w:r w:rsidRPr="00904FCB">
        <w:rPr>
          <w:rFonts w:ascii="Arial" w:hAnsi="Arial"/>
          <w:sz w:val="27"/>
          <w:rtl/>
        </w:rPr>
        <w:t xml:space="preserve"> ثم</w:t>
      </w:r>
      <w:r w:rsidR="00A718D8" w:rsidRPr="00904FCB">
        <w:rPr>
          <w:rFonts w:ascii="Arial" w:hAnsi="Arial" w:hint="cs"/>
          <w:sz w:val="27"/>
          <w:rtl/>
        </w:rPr>
        <w:t>ّ</w:t>
      </w:r>
      <w:r w:rsidRPr="00904FCB">
        <w:rPr>
          <w:rFonts w:ascii="Arial" w:hAnsi="Arial"/>
          <w:sz w:val="27"/>
          <w:rtl/>
        </w:rPr>
        <w:t xml:space="preserve"> إلى الفل</w:t>
      </w:r>
      <w:r w:rsidR="00207404" w:rsidRPr="00904FCB">
        <w:rPr>
          <w:rFonts w:ascii="Arial" w:hAnsi="Arial" w:hint="cs"/>
          <w:sz w:val="27"/>
          <w:rtl/>
        </w:rPr>
        <w:t>ي</w:t>
      </w:r>
      <w:r w:rsidRPr="00904FCB">
        <w:rPr>
          <w:rFonts w:ascii="Arial" w:hAnsi="Arial"/>
          <w:sz w:val="27"/>
          <w:rtl/>
        </w:rPr>
        <w:t>بين وغيرها</w:t>
      </w:r>
      <w:r w:rsidR="00207404" w:rsidRPr="00904FCB">
        <w:rPr>
          <w:rFonts w:ascii="Arial" w:hAnsi="Arial" w:hint="cs"/>
          <w:sz w:val="27"/>
          <w:rtl/>
        </w:rPr>
        <w:t>،</w:t>
      </w:r>
      <w:r w:rsidRPr="00904FCB">
        <w:rPr>
          <w:rFonts w:ascii="Arial" w:hAnsi="Arial"/>
          <w:sz w:val="27"/>
          <w:rtl/>
        </w:rPr>
        <w:t xml:space="preserve"> يقتضي اعتبار الجهاد فرض عين؟ </w:t>
      </w:r>
    </w:p>
    <w:p w:rsidR="00A45FD9" w:rsidRPr="00904FCB" w:rsidRDefault="00A45FD9" w:rsidP="007A21AA">
      <w:pPr>
        <w:spacing w:line="400" w:lineRule="exact"/>
        <w:rPr>
          <w:rFonts w:ascii="Arial" w:hAnsi="Arial"/>
          <w:sz w:val="27"/>
          <w:rtl/>
        </w:rPr>
      </w:pPr>
      <w:r w:rsidRPr="00904FCB">
        <w:rPr>
          <w:rFonts w:ascii="Arial" w:hAnsi="Arial"/>
          <w:sz w:val="27"/>
          <w:rtl/>
        </w:rPr>
        <w:t xml:space="preserve">وعن ذلك يجيب: </w:t>
      </w:r>
      <w:r w:rsidRPr="00904FCB">
        <w:rPr>
          <w:rFonts w:hint="eastAsia"/>
          <w:sz w:val="27"/>
          <w:rtl/>
        </w:rPr>
        <w:t>«</w:t>
      </w:r>
      <w:r w:rsidRPr="00904FCB">
        <w:rPr>
          <w:rFonts w:ascii="Arial" w:hAnsi="Arial"/>
          <w:sz w:val="27"/>
          <w:rtl/>
        </w:rPr>
        <w:t>بقدر اط</w:t>
      </w:r>
      <w:r w:rsidR="00207404" w:rsidRPr="00904FCB">
        <w:rPr>
          <w:rFonts w:ascii="Arial" w:hAnsi="Arial" w:hint="cs"/>
          <w:sz w:val="27"/>
          <w:rtl/>
        </w:rPr>
        <w:t>ّ</w:t>
      </w:r>
      <w:r w:rsidRPr="00904FCB">
        <w:rPr>
          <w:rFonts w:ascii="Arial" w:hAnsi="Arial"/>
          <w:sz w:val="27"/>
          <w:rtl/>
        </w:rPr>
        <w:t>لاعي في كتب الحديث والتفسير والفقه ـ منذ أن بدأت</w:t>
      </w:r>
      <w:r w:rsidR="00207404" w:rsidRPr="00904FCB">
        <w:rPr>
          <w:rFonts w:ascii="Arial" w:hAnsi="Arial" w:hint="cs"/>
          <w:sz w:val="27"/>
          <w:rtl/>
        </w:rPr>
        <w:t>ُ</w:t>
      </w:r>
      <w:r w:rsidRPr="00904FCB">
        <w:rPr>
          <w:rFonts w:ascii="Arial" w:hAnsi="Arial"/>
          <w:sz w:val="27"/>
          <w:rtl/>
        </w:rPr>
        <w:t xml:space="preserve"> كتابة الحديث والفقه والتفسير ـ ما رأي</w:t>
      </w:r>
      <w:r w:rsidR="00207404" w:rsidRPr="00904FCB">
        <w:rPr>
          <w:rFonts w:ascii="Arial" w:hAnsi="Arial" w:hint="cs"/>
          <w:sz w:val="27"/>
          <w:rtl/>
        </w:rPr>
        <w:t>ْ</w:t>
      </w:r>
      <w:r w:rsidRPr="00904FCB">
        <w:rPr>
          <w:rFonts w:ascii="Arial" w:hAnsi="Arial"/>
          <w:sz w:val="27"/>
          <w:rtl/>
        </w:rPr>
        <w:t>ت</w:t>
      </w:r>
      <w:r w:rsidR="00207404" w:rsidRPr="00904FCB">
        <w:rPr>
          <w:rFonts w:ascii="Arial" w:hAnsi="Arial" w:hint="cs"/>
          <w:sz w:val="27"/>
          <w:rtl/>
        </w:rPr>
        <w:t>ُ</w:t>
      </w:r>
      <w:r w:rsidRPr="00904FCB">
        <w:rPr>
          <w:rFonts w:ascii="Arial" w:hAnsi="Arial"/>
          <w:sz w:val="27"/>
          <w:rtl/>
        </w:rPr>
        <w:t xml:space="preserve"> كتاباً من الصدر الأول إلى يومنا هذا إلا</w:t>
      </w:r>
      <w:r w:rsidR="00207404" w:rsidRPr="00904FCB">
        <w:rPr>
          <w:rFonts w:ascii="Arial" w:hAnsi="Arial" w:hint="cs"/>
          <w:sz w:val="27"/>
          <w:rtl/>
        </w:rPr>
        <w:t>ّ</w:t>
      </w:r>
      <w:r w:rsidRPr="00904FCB">
        <w:rPr>
          <w:rFonts w:ascii="Arial" w:hAnsi="Arial"/>
          <w:sz w:val="27"/>
          <w:rtl/>
        </w:rPr>
        <w:t xml:space="preserve"> وينص</w:t>
      </w:r>
      <w:r w:rsidR="00207404" w:rsidRPr="00904FCB">
        <w:rPr>
          <w:rFonts w:ascii="Arial" w:hAnsi="Arial" w:hint="cs"/>
          <w:sz w:val="27"/>
          <w:rtl/>
        </w:rPr>
        <w:t>ّ</w:t>
      </w:r>
      <w:r w:rsidRPr="00904FCB">
        <w:rPr>
          <w:rFonts w:ascii="Arial" w:hAnsi="Arial"/>
          <w:sz w:val="27"/>
          <w:rtl/>
        </w:rPr>
        <w:t xml:space="preserve"> على أن الجهاد يصبح فرض عين في حالات</w:t>
      </w:r>
      <w:r w:rsidR="00207404" w:rsidRPr="00904FCB">
        <w:rPr>
          <w:rFonts w:ascii="Arial" w:hAnsi="Arial" w:hint="cs"/>
          <w:sz w:val="27"/>
          <w:rtl/>
        </w:rPr>
        <w:t>ٍ،</w:t>
      </w:r>
      <w:r w:rsidRPr="00904FCB">
        <w:rPr>
          <w:rFonts w:ascii="Arial" w:hAnsi="Arial"/>
          <w:sz w:val="27"/>
          <w:rtl/>
        </w:rPr>
        <w:t xml:space="preserve"> منها: إذا دخل العدو</w:t>
      </w:r>
      <w:r w:rsidR="00207404" w:rsidRPr="00904FCB">
        <w:rPr>
          <w:rFonts w:ascii="Arial" w:hAnsi="Arial" w:hint="cs"/>
          <w:sz w:val="27"/>
          <w:rtl/>
        </w:rPr>
        <w:t>ّ</w:t>
      </w:r>
      <w:r w:rsidRPr="00904FCB">
        <w:rPr>
          <w:rFonts w:ascii="Arial" w:hAnsi="Arial"/>
          <w:sz w:val="27"/>
          <w:rtl/>
        </w:rPr>
        <w:t xml:space="preserve"> أرض الإسلام..</w:t>
      </w:r>
      <w:r w:rsidR="00207404" w:rsidRPr="00904FCB">
        <w:rPr>
          <w:rFonts w:ascii="Arial" w:hAnsi="Arial" w:hint="cs"/>
          <w:sz w:val="27"/>
          <w:rtl/>
        </w:rPr>
        <w:t>.</w:t>
      </w:r>
      <w:r w:rsidRPr="00904FCB">
        <w:rPr>
          <w:rFonts w:ascii="Arial" w:hAnsi="Arial"/>
          <w:sz w:val="27"/>
          <w:rtl/>
        </w:rPr>
        <w:t xml:space="preserve"> اليهود دخلوا فلسطين</w:t>
      </w:r>
      <w:r w:rsidR="00207404" w:rsidRPr="00904FCB">
        <w:rPr>
          <w:rFonts w:ascii="Arial" w:hAnsi="Arial" w:hint="cs"/>
          <w:sz w:val="27"/>
          <w:rtl/>
        </w:rPr>
        <w:t>،</w:t>
      </w:r>
      <w:r w:rsidRPr="00904FCB">
        <w:rPr>
          <w:rFonts w:ascii="Arial" w:hAnsi="Arial"/>
          <w:sz w:val="27"/>
          <w:rtl/>
        </w:rPr>
        <w:t xml:space="preserve"> فالجهاد فرض عين..</w:t>
      </w:r>
      <w:r w:rsidR="00207404" w:rsidRPr="00904FCB">
        <w:rPr>
          <w:rFonts w:ascii="Arial" w:hAnsi="Arial" w:hint="cs"/>
          <w:sz w:val="27"/>
          <w:rtl/>
        </w:rPr>
        <w:t>.</w:t>
      </w:r>
      <w:r w:rsidRPr="00904FCB">
        <w:rPr>
          <w:rFonts w:ascii="Arial" w:hAnsi="Arial"/>
          <w:sz w:val="27"/>
          <w:rtl/>
        </w:rPr>
        <w:t xml:space="preserve"> ودخل الروس أفغانستان، أو الشيوعي</w:t>
      </w:r>
      <w:r w:rsidR="00207404" w:rsidRPr="00904FCB">
        <w:rPr>
          <w:rFonts w:ascii="Arial" w:hAnsi="Arial" w:hint="cs"/>
          <w:sz w:val="27"/>
          <w:rtl/>
        </w:rPr>
        <w:t>ّ</w:t>
      </w:r>
      <w:r w:rsidRPr="00904FCB">
        <w:rPr>
          <w:rFonts w:ascii="Arial" w:hAnsi="Arial"/>
          <w:sz w:val="27"/>
          <w:rtl/>
        </w:rPr>
        <w:t>ون دخلوا أفغانستان، إذن الجهاد فرض عين في أفغانستان، بل ليس الجهاد فرض عين عندما دخل الروس أفغانستان، بل الجهاد فرض عين منذ أن سقطت الأندلس بيد النصارى، ولم يتغي</w:t>
      </w:r>
      <w:r w:rsidR="00207404" w:rsidRPr="00904FCB">
        <w:rPr>
          <w:rFonts w:ascii="Arial" w:hAnsi="Arial" w:hint="cs"/>
          <w:sz w:val="27"/>
          <w:rtl/>
        </w:rPr>
        <w:t>َّ</w:t>
      </w:r>
      <w:r w:rsidRPr="00904FCB">
        <w:rPr>
          <w:rFonts w:ascii="Arial" w:hAnsi="Arial"/>
          <w:sz w:val="27"/>
          <w:rtl/>
        </w:rPr>
        <w:t>ر هذا الحكم إلى يومنا هذا</w:t>
      </w:r>
      <w:r w:rsidRPr="00904FCB">
        <w:rPr>
          <w:rFonts w:hint="eastAsia"/>
          <w:sz w:val="27"/>
          <w:rtl/>
        </w:rPr>
        <w:t>»</w:t>
      </w:r>
      <w:r w:rsidRPr="00904FCB">
        <w:rPr>
          <w:sz w:val="27"/>
          <w:vertAlign w:val="superscript"/>
          <w:rtl/>
        </w:rPr>
        <w:t>(</w:t>
      </w:r>
      <w:r w:rsidRPr="00904FCB">
        <w:rPr>
          <w:sz w:val="27"/>
          <w:vertAlign w:val="superscript"/>
          <w:rtl/>
        </w:rPr>
        <w:endnoteReference w:id="147"/>
      </w:r>
      <w:r w:rsidRPr="00904FCB">
        <w:rPr>
          <w:sz w:val="27"/>
          <w:vertAlign w:val="superscript"/>
          <w:rtl/>
        </w:rPr>
        <w:t>)</w:t>
      </w:r>
      <w:r w:rsidRPr="00904FCB">
        <w:rPr>
          <w:rFonts w:ascii="Arial" w:hAnsi="Arial"/>
          <w:sz w:val="27"/>
          <w:rtl/>
        </w:rPr>
        <w:t xml:space="preserve">. </w:t>
      </w:r>
    </w:p>
    <w:p w:rsidR="00095B7A" w:rsidRPr="00904FCB" w:rsidRDefault="00A45FD9" w:rsidP="007A21AA">
      <w:pPr>
        <w:keepNext/>
        <w:spacing w:line="400" w:lineRule="exact"/>
        <w:rPr>
          <w:rFonts w:ascii="Arial" w:hAnsi="Arial"/>
          <w:kern w:val="32"/>
          <w:sz w:val="27"/>
          <w:rtl/>
        </w:rPr>
      </w:pPr>
      <w:r w:rsidRPr="00904FCB">
        <w:rPr>
          <w:rFonts w:ascii="Arial" w:hAnsi="Arial"/>
          <w:kern w:val="32"/>
          <w:sz w:val="27"/>
          <w:rtl/>
        </w:rPr>
        <w:t>وكما ورد سابقاً، كان ابن تيمي</w:t>
      </w:r>
      <w:r w:rsidR="00207404" w:rsidRPr="00904FCB">
        <w:rPr>
          <w:rFonts w:ascii="Arial" w:hAnsi="Arial" w:hint="cs"/>
          <w:kern w:val="32"/>
          <w:sz w:val="27"/>
          <w:rtl/>
        </w:rPr>
        <w:t>ّ</w:t>
      </w:r>
      <w:r w:rsidRPr="00904FCB">
        <w:rPr>
          <w:rFonts w:ascii="Arial" w:hAnsi="Arial"/>
          <w:kern w:val="32"/>
          <w:sz w:val="27"/>
          <w:rtl/>
        </w:rPr>
        <w:t>ة من أهم</w:t>
      </w:r>
      <w:r w:rsidR="00207404" w:rsidRPr="00904FCB">
        <w:rPr>
          <w:rFonts w:ascii="Arial" w:hAnsi="Arial" w:hint="cs"/>
          <w:kern w:val="32"/>
          <w:sz w:val="27"/>
          <w:rtl/>
        </w:rPr>
        <w:t>ّ</w:t>
      </w:r>
      <w:r w:rsidRPr="00904FCB">
        <w:rPr>
          <w:rFonts w:ascii="Arial" w:hAnsi="Arial"/>
          <w:kern w:val="32"/>
          <w:sz w:val="27"/>
          <w:rtl/>
        </w:rPr>
        <w:t xml:space="preserve"> المراجع المعتمدة لدى التيارات السلفية الجهادية، حيث استلهموا فتاو</w:t>
      </w:r>
      <w:r w:rsidR="00207404" w:rsidRPr="00904FCB">
        <w:rPr>
          <w:rFonts w:ascii="Arial" w:hAnsi="Arial" w:hint="cs"/>
          <w:kern w:val="32"/>
          <w:sz w:val="27"/>
          <w:rtl/>
        </w:rPr>
        <w:t>ا</w:t>
      </w:r>
      <w:r w:rsidRPr="00904FCB">
        <w:rPr>
          <w:rFonts w:ascii="Arial" w:hAnsi="Arial"/>
          <w:kern w:val="32"/>
          <w:sz w:val="27"/>
          <w:rtl/>
        </w:rPr>
        <w:t>ه بما يتعل</w:t>
      </w:r>
      <w:r w:rsidR="00207404" w:rsidRPr="00904FCB">
        <w:rPr>
          <w:rFonts w:ascii="Arial" w:hAnsi="Arial" w:hint="cs"/>
          <w:kern w:val="32"/>
          <w:sz w:val="27"/>
          <w:rtl/>
        </w:rPr>
        <w:t>َّ</w:t>
      </w:r>
      <w:r w:rsidRPr="00904FCB">
        <w:rPr>
          <w:rFonts w:ascii="Arial" w:hAnsi="Arial"/>
          <w:kern w:val="32"/>
          <w:sz w:val="27"/>
          <w:rtl/>
        </w:rPr>
        <w:t>ق بشريعة الياسق</w:t>
      </w:r>
      <w:r w:rsidRPr="00904FCB">
        <w:rPr>
          <w:sz w:val="27"/>
          <w:vertAlign w:val="superscript"/>
          <w:rtl/>
        </w:rPr>
        <w:t>(</w:t>
      </w:r>
      <w:r w:rsidRPr="00904FCB">
        <w:rPr>
          <w:sz w:val="27"/>
          <w:vertAlign w:val="superscript"/>
          <w:rtl/>
        </w:rPr>
        <w:endnoteReference w:id="148"/>
      </w:r>
      <w:r w:rsidRPr="00904FCB">
        <w:rPr>
          <w:sz w:val="27"/>
          <w:vertAlign w:val="superscript"/>
          <w:rtl/>
        </w:rPr>
        <w:t>)</w:t>
      </w:r>
      <w:r w:rsidRPr="00904FCB">
        <w:rPr>
          <w:rFonts w:ascii="Arial" w:hAnsi="Arial"/>
          <w:kern w:val="32"/>
          <w:sz w:val="27"/>
          <w:rtl/>
        </w:rPr>
        <w:t xml:space="preserve"> التي كانت معتمدة من قبل المغول (التتار)</w:t>
      </w:r>
      <w:r w:rsidR="00207404" w:rsidRPr="00904FCB">
        <w:rPr>
          <w:rFonts w:ascii="Arial" w:hAnsi="Arial" w:hint="cs"/>
          <w:kern w:val="32"/>
          <w:sz w:val="27"/>
          <w:rtl/>
        </w:rPr>
        <w:t>،</w:t>
      </w:r>
      <w:r w:rsidRPr="00904FCB">
        <w:rPr>
          <w:rFonts w:ascii="Arial" w:hAnsi="Arial"/>
          <w:kern w:val="32"/>
          <w:sz w:val="27"/>
          <w:rtl/>
        </w:rPr>
        <w:t xml:space="preserve"> والدساتير الحالية في الدول الإسلامية، فتساءلوا عن </w:t>
      </w:r>
      <w:r w:rsidRPr="00904FCB">
        <w:rPr>
          <w:rFonts w:ascii="Arial" w:hAnsi="Arial"/>
          <w:noProof/>
          <w:kern w:val="32"/>
          <w:sz w:val="27"/>
          <w:rtl/>
        </w:rPr>
        <w:t>الفرق بين ياسق التتار والياسق العصري</w:t>
      </w:r>
      <w:r w:rsidR="00207404" w:rsidRPr="00904FCB">
        <w:rPr>
          <w:rFonts w:ascii="Arial" w:hAnsi="Arial" w:hint="cs"/>
          <w:noProof/>
          <w:kern w:val="32"/>
          <w:sz w:val="27"/>
          <w:rtl/>
        </w:rPr>
        <w:t>،</w:t>
      </w:r>
      <w:r w:rsidRPr="00904FCB">
        <w:rPr>
          <w:rFonts w:ascii="Arial" w:hAnsi="Arial"/>
          <w:noProof/>
          <w:kern w:val="32"/>
          <w:sz w:val="27"/>
          <w:rtl/>
        </w:rPr>
        <w:t xml:space="preserve"> ورأ</w:t>
      </w:r>
      <w:r w:rsidR="00207404" w:rsidRPr="00904FCB">
        <w:rPr>
          <w:rFonts w:ascii="Arial" w:hAnsi="Arial" w:hint="cs"/>
          <w:noProof/>
          <w:kern w:val="32"/>
          <w:sz w:val="27"/>
          <w:rtl/>
        </w:rPr>
        <w:t>َ</w:t>
      </w:r>
      <w:r w:rsidRPr="00904FCB">
        <w:rPr>
          <w:rFonts w:ascii="Arial" w:hAnsi="Arial"/>
          <w:noProof/>
          <w:kern w:val="32"/>
          <w:sz w:val="27"/>
          <w:rtl/>
        </w:rPr>
        <w:t>و</w:t>
      </w:r>
      <w:r w:rsidR="00207404" w:rsidRPr="00904FCB">
        <w:rPr>
          <w:rFonts w:ascii="Arial" w:hAnsi="Arial" w:hint="cs"/>
          <w:noProof/>
          <w:kern w:val="32"/>
          <w:sz w:val="27"/>
          <w:rtl/>
        </w:rPr>
        <w:t>ْ</w:t>
      </w:r>
      <w:r w:rsidRPr="00904FCB">
        <w:rPr>
          <w:rFonts w:ascii="Arial" w:hAnsi="Arial"/>
          <w:noProof/>
          <w:kern w:val="32"/>
          <w:sz w:val="27"/>
          <w:rtl/>
        </w:rPr>
        <w:t xml:space="preserve">ا </w:t>
      </w:r>
      <w:r w:rsidR="00207404" w:rsidRPr="00904FCB">
        <w:rPr>
          <w:rFonts w:ascii="Arial" w:hAnsi="Arial" w:hint="cs"/>
          <w:noProof/>
          <w:kern w:val="32"/>
          <w:sz w:val="27"/>
          <w:rtl/>
        </w:rPr>
        <w:t>أ</w:t>
      </w:r>
      <w:r w:rsidRPr="00904FCB">
        <w:rPr>
          <w:rFonts w:ascii="Arial" w:hAnsi="Arial"/>
          <w:noProof/>
          <w:kern w:val="32"/>
          <w:sz w:val="27"/>
          <w:rtl/>
        </w:rPr>
        <w:t>ن</w:t>
      </w:r>
      <w:r w:rsidR="00207404" w:rsidRPr="00904FCB">
        <w:rPr>
          <w:rFonts w:ascii="Arial" w:hAnsi="Arial" w:hint="cs"/>
          <w:noProof/>
          <w:kern w:val="32"/>
          <w:sz w:val="27"/>
          <w:rtl/>
        </w:rPr>
        <w:t>ّ</w:t>
      </w:r>
      <w:r w:rsidRPr="00904FCB">
        <w:rPr>
          <w:rFonts w:ascii="Arial" w:hAnsi="Arial"/>
          <w:noProof/>
          <w:kern w:val="32"/>
          <w:sz w:val="27"/>
          <w:rtl/>
        </w:rPr>
        <w:t xml:space="preserve">ه </w:t>
      </w:r>
      <w:r w:rsidRPr="00904FCB">
        <w:rPr>
          <w:rFonts w:hint="eastAsia"/>
          <w:sz w:val="27"/>
          <w:rtl/>
        </w:rPr>
        <w:t>«</w:t>
      </w:r>
      <w:r w:rsidRPr="00904FCB">
        <w:rPr>
          <w:rFonts w:ascii="Arial" w:hAnsi="Arial"/>
          <w:noProof/>
          <w:kern w:val="32"/>
          <w:sz w:val="27"/>
          <w:rtl/>
          <w:lang w:eastAsia="fr-FR"/>
        </w:rPr>
        <w:t xml:space="preserve">لا فرق بين دستور وقوانين البلدان المنتسبة للإسلام اليوم وبين ياسق التتار... </w:t>
      </w:r>
      <w:r w:rsidRPr="00904FCB">
        <w:rPr>
          <w:rFonts w:ascii="Arial" w:hAnsi="Arial"/>
          <w:noProof/>
          <w:kern w:val="32"/>
          <w:sz w:val="27"/>
          <w:rtl/>
        </w:rPr>
        <w:t>وما أشبه الليلة بالبارحة</w:t>
      </w:r>
      <w:r w:rsidR="00207404" w:rsidRPr="00904FCB">
        <w:rPr>
          <w:rFonts w:ascii="Arial" w:hAnsi="Arial" w:hint="cs"/>
          <w:noProof/>
          <w:kern w:val="32"/>
          <w:sz w:val="27"/>
          <w:rtl/>
        </w:rPr>
        <w:t>،</w:t>
      </w:r>
      <w:r w:rsidRPr="00904FCB">
        <w:rPr>
          <w:rFonts w:ascii="Arial" w:hAnsi="Arial"/>
          <w:noProof/>
          <w:kern w:val="32"/>
          <w:sz w:val="27"/>
          <w:rtl/>
        </w:rPr>
        <w:t xml:space="preserve"> فها هو ياسق طغاة العصر... الدستو</w:t>
      </w:r>
      <w:r w:rsidR="00207404" w:rsidRPr="00904FCB">
        <w:rPr>
          <w:rFonts w:ascii="Arial" w:hAnsi="Arial"/>
          <w:noProof/>
          <w:kern w:val="32"/>
          <w:sz w:val="27"/>
          <w:rtl/>
        </w:rPr>
        <w:t>ر ومصادره نفس مصادر ياسق التتار</w:t>
      </w:r>
      <w:r w:rsidRPr="00904FCB">
        <w:rPr>
          <w:rFonts w:ascii="Arial" w:hAnsi="Arial" w:hint="cs"/>
          <w:noProof/>
          <w:kern w:val="32"/>
          <w:sz w:val="27"/>
          <w:rtl/>
        </w:rPr>
        <w:t>...</w:t>
      </w:r>
      <w:r w:rsidRPr="00904FCB">
        <w:rPr>
          <w:rFonts w:ascii="Arial" w:hAnsi="Arial"/>
          <w:noProof/>
          <w:kern w:val="32"/>
          <w:sz w:val="27"/>
          <w:rtl/>
        </w:rPr>
        <w:t xml:space="preserve"> شرائع وقوانين النصارى واليهود </w:t>
      </w:r>
      <w:r w:rsidRPr="00904FCB">
        <w:rPr>
          <w:rFonts w:ascii="Arial" w:hAnsi="Arial"/>
          <w:noProof/>
          <w:kern w:val="32"/>
          <w:sz w:val="27"/>
          <w:rtl/>
        </w:rPr>
        <w:lastRenderedPageBreak/>
        <w:t>والهوى والاستحسان والعرف الفاسد.</w:t>
      </w:r>
      <w:r w:rsidR="00207404" w:rsidRPr="00904FCB">
        <w:rPr>
          <w:rFonts w:ascii="Arial" w:hAnsi="Arial" w:hint="cs"/>
          <w:noProof/>
          <w:kern w:val="32"/>
          <w:sz w:val="27"/>
          <w:rtl/>
        </w:rPr>
        <w:t>.</w:t>
      </w:r>
      <w:r w:rsidRPr="00904FCB">
        <w:rPr>
          <w:rFonts w:ascii="Arial" w:hAnsi="Arial"/>
          <w:noProof/>
          <w:kern w:val="32"/>
          <w:sz w:val="27"/>
          <w:rtl/>
        </w:rPr>
        <w:t>. وبعض ما يتخي</w:t>
      </w:r>
      <w:r w:rsidR="00207404" w:rsidRPr="00904FCB">
        <w:rPr>
          <w:rFonts w:ascii="Arial" w:hAnsi="Arial" w:hint="cs"/>
          <w:noProof/>
          <w:kern w:val="32"/>
          <w:sz w:val="27"/>
          <w:rtl/>
        </w:rPr>
        <w:t>َّ</w:t>
      </w:r>
      <w:r w:rsidRPr="00904FCB">
        <w:rPr>
          <w:rFonts w:ascii="Arial" w:hAnsi="Arial"/>
          <w:noProof/>
          <w:kern w:val="32"/>
          <w:sz w:val="27"/>
          <w:rtl/>
        </w:rPr>
        <w:t>رون من الشريعة الإسلامية</w:t>
      </w:r>
      <w:r w:rsidRPr="00904FCB">
        <w:rPr>
          <w:rFonts w:ascii="Arial" w:hAnsi="Arial" w:hint="cs"/>
          <w:noProof/>
          <w:kern w:val="32"/>
          <w:sz w:val="27"/>
          <w:rtl/>
        </w:rPr>
        <w:t>...</w:t>
      </w:r>
      <w:r w:rsidRPr="00904FCB">
        <w:rPr>
          <w:rFonts w:hint="eastAsia"/>
          <w:sz w:val="27"/>
          <w:rtl/>
        </w:rPr>
        <w:t>»</w:t>
      </w:r>
      <w:r w:rsidRPr="00904FCB">
        <w:rPr>
          <w:sz w:val="27"/>
          <w:vertAlign w:val="superscript"/>
          <w:rtl/>
        </w:rPr>
        <w:t>(</w:t>
      </w:r>
      <w:r w:rsidRPr="00904FCB">
        <w:rPr>
          <w:sz w:val="27"/>
          <w:vertAlign w:val="superscript"/>
          <w:rtl/>
        </w:rPr>
        <w:endnoteReference w:id="149"/>
      </w:r>
      <w:r w:rsidRPr="00904FCB">
        <w:rPr>
          <w:sz w:val="27"/>
          <w:vertAlign w:val="superscript"/>
          <w:rtl/>
        </w:rPr>
        <w:t>)</w:t>
      </w:r>
      <w:r w:rsidRPr="00904FCB">
        <w:rPr>
          <w:rFonts w:ascii="Arial" w:hAnsi="Arial"/>
          <w:noProof/>
          <w:kern w:val="32"/>
          <w:sz w:val="27"/>
          <w:rtl/>
        </w:rPr>
        <w:t xml:space="preserve">. </w:t>
      </w:r>
      <w:r w:rsidRPr="00904FCB">
        <w:rPr>
          <w:rFonts w:ascii="Arial" w:hAnsi="Arial"/>
          <w:kern w:val="32"/>
          <w:sz w:val="27"/>
          <w:rtl/>
          <w:lang w:bidi="fa-IR"/>
        </w:rPr>
        <w:t xml:space="preserve">واعتبروا </w:t>
      </w:r>
      <w:r w:rsidRPr="00904FCB">
        <w:rPr>
          <w:rFonts w:ascii="Arial" w:hAnsi="Arial"/>
          <w:kern w:val="32"/>
          <w:sz w:val="27"/>
          <w:rtl/>
        </w:rPr>
        <w:t>أن الأنظمة السائدة في الدول الإسلامية مثيل</w:t>
      </w:r>
      <w:r w:rsidR="00207404" w:rsidRPr="00904FCB">
        <w:rPr>
          <w:rFonts w:ascii="Arial" w:hAnsi="Arial" w:hint="cs"/>
          <w:kern w:val="32"/>
          <w:sz w:val="27"/>
          <w:rtl/>
        </w:rPr>
        <w:t>ٌ</w:t>
      </w:r>
      <w:r w:rsidRPr="00904FCB">
        <w:rPr>
          <w:rFonts w:ascii="Arial" w:hAnsi="Arial"/>
          <w:kern w:val="32"/>
          <w:sz w:val="27"/>
          <w:rtl/>
        </w:rPr>
        <w:t xml:space="preserve"> لنظام التتار</w:t>
      </w:r>
      <w:r w:rsidR="00207404" w:rsidRPr="00904FCB">
        <w:rPr>
          <w:rFonts w:ascii="Arial" w:hAnsi="Arial" w:hint="cs"/>
          <w:kern w:val="32"/>
          <w:sz w:val="27"/>
          <w:rtl/>
        </w:rPr>
        <w:t>،</w:t>
      </w:r>
      <w:r w:rsidRPr="00904FCB">
        <w:rPr>
          <w:rFonts w:ascii="Arial" w:hAnsi="Arial"/>
          <w:kern w:val="32"/>
          <w:sz w:val="27"/>
          <w:rtl/>
        </w:rPr>
        <w:t xml:space="preserve"> بل أشد</w:t>
      </w:r>
      <w:r w:rsidR="00207404" w:rsidRPr="00904FCB">
        <w:rPr>
          <w:rFonts w:ascii="Arial" w:hAnsi="Arial" w:hint="cs"/>
          <w:kern w:val="32"/>
          <w:sz w:val="27"/>
          <w:rtl/>
        </w:rPr>
        <w:t>ّ</w:t>
      </w:r>
      <w:r w:rsidRPr="00904FCB">
        <w:rPr>
          <w:rFonts w:ascii="Arial" w:hAnsi="Arial"/>
          <w:kern w:val="32"/>
          <w:sz w:val="27"/>
          <w:rtl/>
        </w:rPr>
        <w:t>، والقوانين المطب</w:t>
      </w:r>
      <w:r w:rsidR="00207404" w:rsidRPr="00904FCB">
        <w:rPr>
          <w:rFonts w:ascii="Arial" w:hAnsi="Arial" w:hint="cs"/>
          <w:kern w:val="32"/>
          <w:sz w:val="27"/>
          <w:rtl/>
        </w:rPr>
        <w:t>َّ</w:t>
      </w:r>
      <w:r w:rsidRPr="00904FCB">
        <w:rPr>
          <w:rFonts w:ascii="Arial" w:hAnsi="Arial"/>
          <w:kern w:val="32"/>
          <w:sz w:val="27"/>
          <w:rtl/>
        </w:rPr>
        <w:t>قة مثل (الياسق)</w:t>
      </w:r>
      <w:r w:rsidR="00207404" w:rsidRPr="00904FCB">
        <w:rPr>
          <w:rFonts w:ascii="Arial" w:hAnsi="Arial" w:hint="cs"/>
          <w:kern w:val="32"/>
          <w:sz w:val="27"/>
          <w:rtl/>
        </w:rPr>
        <w:t>،</w:t>
      </w:r>
      <w:r w:rsidRPr="00904FCB">
        <w:rPr>
          <w:rFonts w:ascii="Arial" w:hAnsi="Arial"/>
          <w:kern w:val="32"/>
          <w:sz w:val="27"/>
          <w:rtl/>
        </w:rPr>
        <w:t xml:space="preserve"> بل أدهى وأمر</w:t>
      </w:r>
      <w:r w:rsidR="00207404" w:rsidRPr="00904FCB">
        <w:rPr>
          <w:rFonts w:ascii="Arial" w:hAnsi="Arial" w:hint="cs"/>
          <w:kern w:val="32"/>
          <w:sz w:val="27"/>
          <w:rtl/>
        </w:rPr>
        <w:t>ّ.</w:t>
      </w:r>
      <w:r w:rsidRPr="00904FCB">
        <w:rPr>
          <w:rFonts w:ascii="Arial" w:hAnsi="Arial"/>
          <w:kern w:val="32"/>
          <w:sz w:val="27"/>
          <w:rtl/>
        </w:rPr>
        <w:t xml:space="preserve"> وفي هذا المجال </w:t>
      </w:r>
      <w:r w:rsidR="00207404" w:rsidRPr="00904FCB">
        <w:rPr>
          <w:rFonts w:ascii="Arial" w:hAnsi="Arial" w:hint="cs"/>
          <w:kern w:val="32"/>
          <w:sz w:val="27"/>
          <w:rtl/>
        </w:rPr>
        <w:t>يقول</w:t>
      </w:r>
      <w:r w:rsidRPr="00904FCB">
        <w:rPr>
          <w:rFonts w:ascii="Arial" w:hAnsi="Arial"/>
          <w:kern w:val="32"/>
          <w:sz w:val="27"/>
          <w:rtl/>
        </w:rPr>
        <w:t xml:space="preserve"> محمد عبد</w:t>
      </w:r>
      <w:r w:rsidR="00207404" w:rsidRPr="00904FCB">
        <w:rPr>
          <w:rFonts w:ascii="Arial" w:hAnsi="Arial" w:hint="cs"/>
          <w:kern w:val="32"/>
          <w:sz w:val="27"/>
          <w:rtl/>
        </w:rPr>
        <w:t xml:space="preserve"> </w:t>
      </w:r>
      <w:r w:rsidRPr="00904FCB">
        <w:rPr>
          <w:rFonts w:ascii="Arial" w:hAnsi="Arial"/>
          <w:kern w:val="32"/>
          <w:sz w:val="27"/>
          <w:rtl/>
        </w:rPr>
        <w:t>السلام فرج</w:t>
      </w:r>
      <w:r w:rsidRPr="00904FCB">
        <w:rPr>
          <w:sz w:val="27"/>
          <w:vertAlign w:val="superscript"/>
          <w:rtl/>
        </w:rPr>
        <w:t>(</w:t>
      </w:r>
      <w:r w:rsidRPr="00904FCB">
        <w:rPr>
          <w:sz w:val="27"/>
          <w:vertAlign w:val="superscript"/>
          <w:rtl/>
        </w:rPr>
        <w:endnoteReference w:id="150"/>
      </w:r>
      <w:r w:rsidRPr="00904FCB">
        <w:rPr>
          <w:sz w:val="27"/>
          <w:vertAlign w:val="superscript"/>
          <w:rtl/>
        </w:rPr>
        <w:t>)</w:t>
      </w:r>
      <w:r w:rsidRPr="00904FCB">
        <w:rPr>
          <w:rFonts w:ascii="Arial" w:hAnsi="Arial"/>
          <w:kern w:val="32"/>
          <w:sz w:val="27"/>
          <w:rtl/>
        </w:rPr>
        <w:t xml:space="preserve"> في كتابه </w:t>
      </w:r>
      <w:r w:rsidRPr="00904FCB">
        <w:rPr>
          <w:rFonts w:hint="eastAsia"/>
          <w:sz w:val="27"/>
          <w:rtl/>
        </w:rPr>
        <w:t>«</w:t>
      </w:r>
      <w:r w:rsidRPr="00904FCB">
        <w:rPr>
          <w:rFonts w:ascii="Arial" w:hAnsi="Arial"/>
          <w:kern w:val="32"/>
          <w:sz w:val="27"/>
          <w:rtl/>
        </w:rPr>
        <w:t>الفريضة الغائبة</w:t>
      </w:r>
      <w:r w:rsidRPr="00904FCB">
        <w:rPr>
          <w:rFonts w:hint="eastAsia"/>
          <w:sz w:val="27"/>
          <w:rtl/>
        </w:rPr>
        <w:t>»</w:t>
      </w:r>
      <w:r w:rsidRPr="00904FCB">
        <w:rPr>
          <w:rFonts w:ascii="Arial" w:hAnsi="Arial"/>
          <w:kern w:val="32"/>
          <w:sz w:val="27"/>
          <w:rtl/>
          <w:lang w:bidi="fa-IR"/>
        </w:rPr>
        <w:t xml:space="preserve">: </w:t>
      </w:r>
      <w:r w:rsidRPr="00904FCB">
        <w:rPr>
          <w:rFonts w:hint="eastAsia"/>
          <w:sz w:val="27"/>
          <w:rtl/>
          <w:lang w:bidi="fa-IR"/>
        </w:rPr>
        <w:t>«</w:t>
      </w:r>
      <w:r w:rsidR="00207404" w:rsidRPr="00904FCB">
        <w:rPr>
          <w:rFonts w:ascii="Arial" w:hAnsi="Arial"/>
          <w:kern w:val="32"/>
          <w:sz w:val="27"/>
          <w:rtl/>
          <w:lang w:bidi="fa-IR"/>
        </w:rPr>
        <w:t>...</w:t>
      </w:r>
      <w:r w:rsidRPr="00904FCB">
        <w:rPr>
          <w:rFonts w:ascii="Arial" w:hAnsi="Arial"/>
          <w:kern w:val="32"/>
          <w:sz w:val="27"/>
          <w:rtl/>
        </w:rPr>
        <w:t>وفي سؤال</w:t>
      </w:r>
      <w:r w:rsidR="00207404" w:rsidRPr="00904FCB">
        <w:rPr>
          <w:rFonts w:ascii="Arial" w:hAnsi="Arial" w:hint="cs"/>
          <w:kern w:val="32"/>
          <w:sz w:val="27"/>
          <w:rtl/>
        </w:rPr>
        <w:t>ٍ</w:t>
      </w:r>
      <w:r w:rsidRPr="00904FCB">
        <w:rPr>
          <w:rFonts w:ascii="Arial" w:hAnsi="Arial"/>
          <w:kern w:val="32"/>
          <w:sz w:val="27"/>
          <w:rtl/>
        </w:rPr>
        <w:t xml:space="preserve"> موج</w:t>
      </w:r>
      <w:r w:rsidR="00207404" w:rsidRPr="00904FCB">
        <w:rPr>
          <w:rFonts w:ascii="Arial" w:hAnsi="Arial" w:hint="cs"/>
          <w:kern w:val="32"/>
          <w:sz w:val="27"/>
          <w:rtl/>
        </w:rPr>
        <w:t>َّ</w:t>
      </w:r>
      <w:r w:rsidRPr="00904FCB">
        <w:rPr>
          <w:rFonts w:ascii="Arial" w:hAnsi="Arial"/>
          <w:kern w:val="32"/>
          <w:sz w:val="27"/>
          <w:rtl/>
        </w:rPr>
        <w:t>ه إلى شيخ الإسلام ابن تيمية من مسلم</w:t>
      </w:r>
      <w:r w:rsidR="00207404" w:rsidRPr="00904FCB">
        <w:rPr>
          <w:rFonts w:ascii="Arial" w:hAnsi="Arial" w:hint="cs"/>
          <w:kern w:val="32"/>
          <w:sz w:val="27"/>
          <w:rtl/>
        </w:rPr>
        <w:t>ٍ</w:t>
      </w:r>
      <w:r w:rsidRPr="00904FCB">
        <w:rPr>
          <w:rFonts w:ascii="Arial" w:hAnsi="Arial"/>
          <w:kern w:val="32"/>
          <w:sz w:val="27"/>
          <w:rtl/>
        </w:rPr>
        <w:t xml:space="preserve"> غيور..</w:t>
      </w:r>
      <w:r w:rsidR="00207404" w:rsidRPr="00904FCB">
        <w:rPr>
          <w:rFonts w:ascii="Arial" w:hAnsi="Arial" w:hint="cs"/>
          <w:kern w:val="32"/>
          <w:sz w:val="27"/>
          <w:rtl/>
        </w:rPr>
        <w:t>.</w:t>
      </w:r>
      <w:r w:rsidRPr="00904FCB">
        <w:rPr>
          <w:rFonts w:ascii="Arial" w:hAnsi="Arial"/>
          <w:kern w:val="32"/>
          <w:sz w:val="27"/>
          <w:rtl/>
        </w:rPr>
        <w:t xml:space="preserve"> يقول السائل</w:t>
      </w:r>
      <w:r w:rsidR="00207404" w:rsidRPr="00904FCB">
        <w:rPr>
          <w:rFonts w:ascii="Arial" w:hAnsi="Arial" w:hint="cs"/>
          <w:kern w:val="32"/>
          <w:sz w:val="27"/>
          <w:rtl/>
        </w:rPr>
        <w:t>،</w:t>
      </w:r>
      <w:r w:rsidRPr="00904FCB">
        <w:rPr>
          <w:rFonts w:ascii="Arial" w:hAnsi="Arial"/>
          <w:kern w:val="32"/>
          <w:sz w:val="27"/>
          <w:rtl/>
        </w:rPr>
        <w:t xml:space="preserve"> واصفاً حالهم للإمام: </w:t>
      </w:r>
      <w:r w:rsidR="00207404" w:rsidRPr="00904FCB">
        <w:rPr>
          <w:rFonts w:hint="eastAsia"/>
          <w:sz w:val="27"/>
          <w:rtl/>
          <w:lang w:bidi="fa-IR"/>
        </w:rPr>
        <w:t>«</w:t>
      </w:r>
      <w:r w:rsidRPr="00904FCB">
        <w:rPr>
          <w:rFonts w:ascii="Arial" w:hAnsi="Arial"/>
          <w:kern w:val="32"/>
          <w:sz w:val="27"/>
          <w:rtl/>
        </w:rPr>
        <w:t>هؤلاء التتار الذين يقدمون إلى الشام مرة بعد مرة</w:t>
      </w:r>
      <w:r w:rsidR="00095B7A" w:rsidRPr="00904FCB">
        <w:rPr>
          <w:rFonts w:ascii="Arial" w:hAnsi="Arial" w:hint="cs"/>
          <w:kern w:val="32"/>
          <w:sz w:val="27"/>
          <w:rtl/>
        </w:rPr>
        <w:t>،</w:t>
      </w:r>
      <w:r w:rsidRPr="00904FCB">
        <w:rPr>
          <w:rFonts w:ascii="Arial" w:hAnsi="Arial"/>
          <w:kern w:val="32"/>
          <w:sz w:val="27"/>
          <w:rtl/>
        </w:rPr>
        <w:t xml:space="preserve"> وقد تكل</w:t>
      </w:r>
      <w:r w:rsidR="00095B7A" w:rsidRPr="00904FCB">
        <w:rPr>
          <w:rFonts w:ascii="Arial" w:hAnsi="Arial" w:hint="cs"/>
          <w:kern w:val="32"/>
          <w:sz w:val="27"/>
          <w:rtl/>
        </w:rPr>
        <w:t>َّ</w:t>
      </w:r>
      <w:r w:rsidRPr="00904FCB">
        <w:rPr>
          <w:rFonts w:ascii="Arial" w:hAnsi="Arial"/>
          <w:kern w:val="32"/>
          <w:sz w:val="27"/>
          <w:rtl/>
        </w:rPr>
        <w:t>موا بالشهادتين</w:t>
      </w:r>
      <w:r w:rsidR="00095B7A" w:rsidRPr="00904FCB">
        <w:rPr>
          <w:rFonts w:ascii="Arial" w:hAnsi="Arial" w:hint="cs"/>
          <w:kern w:val="32"/>
          <w:sz w:val="27"/>
          <w:rtl/>
        </w:rPr>
        <w:t>،</w:t>
      </w:r>
      <w:r w:rsidRPr="00904FCB">
        <w:rPr>
          <w:rFonts w:ascii="Arial" w:hAnsi="Arial"/>
          <w:kern w:val="32"/>
          <w:sz w:val="27"/>
          <w:rtl/>
        </w:rPr>
        <w:t xml:space="preserve"> ولم يبقوا على الكفر الذي كانوا عليه في أول الأمر، فهل يجب قتالهم؟ وما حكم م</w:t>
      </w:r>
      <w:r w:rsidR="00095B7A" w:rsidRPr="00904FCB">
        <w:rPr>
          <w:rFonts w:ascii="Arial" w:hAnsi="Arial" w:hint="cs"/>
          <w:kern w:val="32"/>
          <w:sz w:val="27"/>
          <w:rtl/>
        </w:rPr>
        <w:t>َ</w:t>
      </w:r>
      <w:r w:rsidRPr="00904FCB">
        <w:rPr>
          <w:rFonts w:ascii="Arial" w:hAnsi="Arial"/>
          <w:kern w:val="32"/>
          <w:sz w:val="27"/>
          <w:rtl/>
        </w:rPr>
        <w:t>ن</w:t>
      </w:r>
      <w:r w:rsidR="00095B7A" w:rsidRPr="00904FCB">
        <w:rPr>
          <w:rFonts w:ascii="Arial" w:hAnsi="Arial" w:hint="cs"/>
          <w:kern w:val="32"/>
          <w:sz w:val="27"/>
          <w:rtl/>
        </w:rPr>
        <w:t>ْ</w:t>
      </w:r>
      <w:r w:rsidRPr="00904FCB">
        <w:rPr>
          <w:rFonts w:ascii="Arial" w:hAnsi="Arial"/>
          <w:kern w:val="32"/>
          <w:sz w:val="27"/>
          <w:rtl/>
        </w:rPr>
        <w:t xml:space="preserve"> قد أخرجوه معهم كرهاً</w:t>
      </w:r>
      <w:r w:rsidR="00095B7A" w:rsidRPr="00904FCB">
        <w:rPr>
          <w:rFonts w:ascii="Arial" w:hAnsi="Arial" w:hint="cs"/>
          <w:kern w:val="32"/>
          <w:sz w:val="27"/>
          <w:rtl/>
        </w:rPr>
        <w:t>،</w:t>
      </w:r>
      <w:r w:rsidRPr="00904FCB">
        <w:rPr>
          <w:rFonts w:ascii="Arial" w:hAnsi="Arial"/>
          <w:kern w:val="32"/>
          <w:sz w:val="27"/>
          <w:rtl/>
        </w:rPr>
        <w:t xml:space="preserve"> أي </w:t>
      </w:r>
      <w:r w:rsidR="00095B7A" w:rsidRPr="00904FCB">
        <w:rPr>
          <w:rFonts w:ascii="Arial" w:hAnsi="Arial" w:hint="cs"/>
          <w:kern w:val="32"/>
          <w:sz w:val="27"/>
          <w:rtl/>
        </w:rPr>
        <w:t>إ</w:t>
      </w:r>
      <w:r w:rsidRPr="00904FCB">
        <w:rPr>
          <w:rFonts w:ascii="Arial" w:hAnsi="Arial"/>
          <w:kern w:val="32"/>
          <w:sz w:val="27"/>
          <w:rtl/>
        </w:rPr>
        <w:t>نهم يضم</w:t>
      </w:r>
      <w:r w:rsidR="00095B7A" w:rsidRPr="00904FCB">
        <w:rPr>
          <w:rFonts w:ascii="Arial" w:hAnsi="Arial" w:hint="cs"/>
          <w:kern w:val="32"/>
          <w:sz w:val="27"/>
          <w:rtl/>
        </w:rPr>
        <w:t>ّ</w:t>
      </w:r>
      <w:r w:rsidRPr="00904FCB">
        <w:rPr>
          <w:rFonts w:ascii="Arial" w:hAnsi="Arial"/>
          <w:kern w:val="32"/>
          <w:sz w:val="27"/>
          <w:rtl/>
        </w:rPr>
        <w:t xml:space="preserve">ون المسلمين إلى صفوف جيشهم كرهاً... </w:t>
      </w:r>
      <w:r w:rsidR="00095B7A" w:rsidRPr="00904FCB">
        <w:rPr>
          <w:rFonts w:ascii="Arial" w:hAnsi="Arial" w:hint="cs"/>
          <w:kern w:val="32"/>
          <w:sz w:val="27"/>
          <w:rtl/>
        </w:rPr>
        <w:t>(</w:t>
      </w:r>
      <w:r w:rsidRPr="00904FCB">
        <w:rPr>
          <w:rFonts w:ascii="Arial" w:hAnsi="Arial"/>
          <w:kern w:val="32"/>
          <w:sz w:val="27"/>
          <w:rtl/>
        </w:rPr>
        <w:t>التجنيد الإجباري</w:t>
      </w:r>
      <w:r w:rsidR="00095B7A" w:rsidRPr="00904FCB">
        <w:rPr>
          <w:rFonts w:ascii="Arial" w:hAnsi="Arial" w:hint="cs"/>
          <w:kern w:val="32"/>
          <w:sz w:val="27"/>
          <w:rtl/>
        </w:rPr>
        <w:t>)</w:t>
      </w:r>
      <w:r w:rsidRPr="00904FCB">
        <w:rPr>
          <w:rFonts w:ascii="Arial" w:hAnsi="Arial"/>
          <w:kern w:val="32"/>
          <w:sz w:val="27"/>
          <w:rtl/>
        </w:rPr>
        <w:t>؟ وما حكم م</w:t>
      </w:r>
      <w:r w:rsidR="00095B7A" w:rsidRPr="00904FCB">
        <w:rPr>
          <w:rFonts w:ascii="Arial" w:hAnsi="Arial" w:hint="cs"/>
          <w:kern w:val="32"/>
          <w:sz w:val="27"/>
          <w:rtl/>
        </w:rPr>
        <w:t>َ</w:t>
      </w:r>
      <w:r w:rsidRPr="00904FCB">
        <w:rPr>
          <w:rFonts w:ascii="Arial" w:hAnsi="Arial"/>
          <w:kern w:val="32"/>
          <w:sz w:val="27"/>
          <w:rtl/>
        </w:rPr>
        <w:t>ن</w:t>
      </w:r>
      <w:r w:rsidR="00095B7A" w:rsidRPr="00904FCB">
        <w:rPr>
          <w:rFonts w:ascii="Arial" w:hAnsi="Arial" w:hint="cs"/>
          <w:kern w:val="32"/>
          <w:sz w:val="27"/>
          <w:rtl/>
        </w:rPr>
        <w:t>ْ</w:t>
      </w:r>
      <w:r w:rsidRPr="00904FCB">
        <w:rPr>
          <w:rFonts w:ascii="Arial" w:hAnsi="Arial"/>
          <w:kern w:val="32"/>
          <w:sz w:val="27"/>
          <w:rtl/>
        </w:rPr>
        <w:t xml:space="preserve"> يكون مع عسكرهم من المنتسبين إلى العلم والفقه والتصو</w:t>
      </w:r>
      <w:r w:rsidR="00095B7A" w:rsidRPr="00904FCB">
        <w:rPr>
          <w:rFonts w:ascii="Arial" w:hAnsi="Arial" w:hint="cs"/>
          <w:kern w:val="32"/>
          <w:sz w:val="27"/>
          <w:rtl/>
        </w:rPr>
        <w:t>ُّ</w:t>
      </w:r>
      <w:r w:rsidRPr="00904FCB">
        <w:rPr>
          <w:rFonts w:ascii="Arial" w:hAnsi="Arial"/>
          <w:kern w:val="32"/>
          <w:sz w:val="27"/>
          <w:rtl/>
        </w:rPr>
        <w:t>ف ونحو ذلك؟ وما يقال في</w:t>
      </w:r>
      <w:r w:rsidR="00095B7A" w:rsidRPr="00904FCB">
        <w:rPr>
          <w:rFonts w:ascii="Arial" w:hAnsi="Arial" w:hint="cs"/>
          <w:kern w:val="32"/>
          <w:sz w:val="27"/>
          <w:rtl/>
        </w:rPr>
        <w:t xml:space="preserve"> </w:t>
      </w:r>
      <w:r w:rsidRPr="00904FCB">
        <w:rPr>
          <w:rFonts w:ascii="Arial" w:hAnsi="Arial"/>
          <w:kern w:val="32"/>
          <w:sz w:val="27"/>
          <w:rtl/>
        </w:rPr>
        <w:t>م</w:t>
      </w:r>
      <w:r w:rsidR="00095B7A" w:rsidRPr="00904FCB">
        <w:rPr>
          <w:rFonts w:ascii="Arial" w:hAnsi="Arial" w:hint="cs"/>
          <w:kern w:val="32"/>
          <w:sz w:val="27"/>
          <w:rtl/>
        </w:rPr>
        <w:t>َ</w:t>
      </w:r>
      <w:r w:rsidRPr="00904FCB">
        <w:rPr>
          <w:rFonts w:ascii="Arial" w:hAnsi="Arial"/>
          <w:kern w:val="32"/>
          <w:sz w:val="27"/>
          <w:rtl/>
        </w:rPr>
        <w:t>ن</w:t>
      </w:r>
      <w:r w:rsidR="00095B7A" w:rsidRPr="00904FCB">
        <w:rPr>
          <w:rFonts w:ascii="Arial" w:hAnsi="Arial" w:hint="cs"/>
          <w:kern w:val="32"/>
          <w:sz w:val="27"/>
          <w:rtl/>
        </w:rPr>
        <w:t>ْ</w:t>
      </w:r>
      <w:r w:rsidRPr="00904FCB">
        <w:rPr>
          <w:rFonts w:ascii="Arial" w:hAnsi="Arial"/>
          <w:kern w:val="32"/>
          <w:sz w:val="27"/>
          <w:rtl/>
        </w:rPr>
        <w:t xml:space="preserve"> زعم أن</w:t>
      </w:r>
      <w:r w:rsidR="00095B7A" w:rsidRPr="00904FCB">
        <w:rPr>
          <w:rFonts w:ascii="Arial" w:hAnsi="Arial" w:hint="cs"/>
          <w:kern w:val="32"/>
          <w:sz w:val="27"/>
          <w:rtl/>
        </w:rPr>
        <w:t>ّ</w:t>
      </w:r>
      <w:r w:rsidRPr="00904FCB">
        <w:rPr>
          <w:rFonts w:ascii="Arial" w:hAnsi="Arial"/>
          <w:kern w:val="32"/>
          <w:sz w:val="27"/>
          <w:rtl/>
        </w:rPr>
        <w:t>هم مسلمون والمقاتلون لهم مسلمون</w:t>
      </w:r>
      <w:r w:rsidR="00095B7A" w:rsidRPr="00904FCB">
        <w:rPr>
          <w:rFonts w:ascii="Arial" w:hAnsi="Arial" w:hint="cs"/>
          <w:kern w:val="32"/>
          <w:sz w:val="27"/>
          <w:rtl/>
        </w:rPr>
        <w:t>،</w:t>
      </w:r>
      <w:r w:rsidRPr="00904FCB">
        <w:rPr>
          <w:rFonts w:ascii="Arial" w:hAnsi="Arial"/>
          <w:kern w:val="32"/>
          <w:sz w:val="27"/>
          <w:rtl/>
        </w:rPr>
        <w:t xml:space="preserve"> وكل</w:t>
      </w:r>
      <w:r w:rsidR="00095B7A" w:rsidRPr="00904FCB">
        <w:rPr>
          <w:rFonts w:ascii="Arial" w:hAnsi="Arial" w:hint="cs"/>
          <w:kern w:val="32"/>
          <w:sz w:val="27"/>
          <w:rtl/>
        </w:rPr>
        <w:t>ا</w:t>
      </w:r>
      <w:r w:rsidRPr="00904FCB">
        <w:rPr>
          <w:rFonts w:ascii="Arial" w:hAnsi="Arial"/>
          <w:kern w:val="32"/>
          <w:sz w:val="27"/>
          <w:rtl/>
        </w:rPr>
        <w:t>هما ظالم</w:t>
      </w:r>
      <w:r w:rsidR="00095B7A" w:rsidRPr="00904FCB">
        <w:rPr>
          <w:rFonts w:ascii="Arial" w:hAnsi="Arial" w:hint="cs"/>
          <w:kern w:val="32"/>
          <w:sz w:val="27"/>
          <w:rtl/>
        </w:rPr>
        <w:t>ٌ،</w:t>
      </w:r>
      <w:r w:rsidRPr="00904FCB">
        <w:rPr>
          <w:rFonts w:ascii="Arial" w:hAnsi="Arial"/>
          <w:kern w:val="32"/>
          <w:sz w:val="27"/>
          <w:rtl/>
        </w:rPr>
        <w:t xml:space="preserve"> فلا يقاتل مع أحدهما...</w:t>
      </w:r>
      <w:r w:rsidR="00095B7A" w:rsidRPr="00904FCB">
        <w:rPr>
          <w:rFonts w:hint="eastAsia"/>
          <w:sz w:val="27"/>
          <w:rtl/>
        </w:rPr>
        <w:t>»</w:t>
      </w:r>
      <w:r w:rsidR="00095B7A" w:rsidRPr="00904FCB">
        <w:rPr>
          <w:sz w:val="27"/>
          <w:vertAlign w:val="superscript"/>
          <w:rtl/>
        </w:rPr>
        <w:t>(</w:t>
      </w:r>
      <w:r w:rsidR="00095B7A" w:rsidRPr="00904FCB">
        <w:rPr>
          <w:sz w:val="27"/>
          <w:vertAlign w:val="superscript"/>
          <w:rtl/>
        </w:rPr>
        <w:endnoteReference w:id="151"/>
      </w:r>
      <w:r w:rsidR="00095B7A" w:rsidRPr="00904FCB">
        <w:rPr>
          <w:sz w:val="27"/>
          <w:vertAlign w:val="superscript"/>
          <w:rtl/>
        </w:rPr>
        <w:t>)</w:t>
      </w:r>
      <w:r w:rsidR="00095B7A" w:rsidRPr="00904FCB">
        <w:rPr>
          <w:rFonts w:ascii="Arial" w:hAnsi="Arial" w:hint="cs"/>
          <w:kern w:val="32"/>
          <w:sz w:val="27"/>
          <w:rtl/>
        </w:rPr>
        <w:t>.</w:t>
      </w:r>
      <w:r w:rsidRPr="00904FCB">
        <w:rPr>
          <w:rFonts w:ascii="Arial" w:hAnsi="Arial"/>
          <w:kern w:val="32"/>
          <w:sz w:val="27"/>
          <w:rtl/>
        </w:rPr>
        <w:t xml:space="preserve"> وهي نفس الشبهة الموجودة الآن</w:t>
      </w:r>
      <w:r w:rsidR="00B3105B">
        <w:rPr>
          <w:rFonts w:ascii="Arial" w:hAnsi="Arial" w:hint="cs"/>
          <w:kern w:val="32"/>
          <w:sz w:val="27"/>
          <w:rtl/>
        </w:rPr>
        <w:t>،</w:t>
      </w:r>
      <w:r w:rsidRPr="00904FCB">
        <w:rPr>
          <w:rFonts w:ascii="Arial" w:hAnsi="Arial"/>
          <w:kern w:val="32"/>
          <w:sz w:val="27"/>
          <w:rtl/>
        </w:rPr>
        <w:t xml:space="preserve"> وسوف يتم</w:t>
      </w:r>
      <w:r w:rsidR="00095B7A" w:rsidRPr="00904FCB">
        <w:rPr>
          <w:rFonts w:ascii="Arial" w:hAnsi="Arial" w:hint="cs"/>
          <w:kern w:val="32"/>
          <w:sz w:val="27"/>
          <w:rtl/>
        </w:rPr>
        <w:t>ّ</w:t>
      </w:r>
      <w:r w:rsidRPr="00904FCB">
        <w:rPr>
          <w:rFonts w:ascii="Arial" w:hAnsi="Arial"/>
          <w:kern w:val="32"/>
          <w:sz w:val="27"/>
          <w:rtl/>
        </w:rPr>
        <w:t xml:space="preserve"> توضيحها إن</w:t>
      </w:r>
      <w:r w:rsidR="00B3105B">
        <w:rPr>
          <w:rFonts w:ascii="Arial" w:hAnsi="Arial" w:hint="cs"/>
          <w:kern w:val="32"/>
          <w:sz w:val="27"/>
          <w:rtl/>
        </w:rPr>
        <w:t>ْ</w:t>
      </w:r>
      <w:r w:rsidRPr="00904FCB">
        <w:rPr>
          <w:rFonts w:ascii="Arial" w:hAnsi="Arial"/>
          <w:kern w:val="32"/>
          <w:sz w:val="27"/>
          <w:rtl/>
        </w:rPr>
        <w:t xml:space="preserve"> شاء الله</w:t>
      </w:r>
      <w:r w:rsidR="00095B7A" w:rsidRPr="00904FCB">
        <w:rPr>
          <w:rFonts w:ascii="Arial" w:hAnsi="Arial"/>
          <w:kern w:val="32"/>
          <w:sz w:val="27"/>
          <w:rtl/>
        </w:rPr>
        <w:t>.</w:t>
      </w:r>
    </w:p>
    <w:p w:rsidR="00A45FD9" w:rsidRPr="00904FCB" w:rsidRDefault="00A45FD9" w:rsidP="007A21AA">
      <w:pPr>
        <w:keepNext/>
        <w:spacing w:line="400" w:lineRule="exact"/>
        <w:rPr>
          <w:rFonts w:ascii="Arial" w:hAnsi="Arial"/>
          <w:kern w:val="32"/>
          <w:sz w:val="27"/>
          <w:rtl/>
        </w:rPr>
      </w:pPr>
      <w:r w:rsidRPr="00904FCB">
        <w:rPr>
          <w:rFonts w:ascii="Arial" w:hAnsi="Arial"/>
          <w:kern w:val="32"/>
          <w:sz w:val="27"/>
          <w:rtl/>
        </w:rPr>
        <w:t xml:space="preserve">ويقول ابن تيمية في وصف التتار: </w:t>
      </w:r>
      <w:r w:rsidRPr="00904FCB">
        <w:rPr>
          <w:rFonts w:hint="eastAsia"/>
          <w:sz w:val="27"/>
          <w:rtl/>
        </w:rPr>
        <w:t>«</w:t>
      </w:r>
      <w:r w:rsidRPr="00904FCB">
        <w:rPr>
          <w:rFonts w:ascii="Arial" w:hAnsi="Arial"/>
          <w:kern w:val="32"/>
          <w:sz w:val="27"/>
          <w:rtl/>
        </w:rPr>
        <w:t>ولم يكن معهم في دولتهم مولى لهم إلا</w:t>
      </w:r>
      <w:r w:rsidR="00B963FC" w:rsidRPr="00904FCB">
        <w:rPr>
          <w:rFonts w:ascii="Arial" w:hAnsi="Arial" w:hint="cs"/>
          <w:kern w:val="32"/>
          <w:sz w:val="27"/>
          <w:rtl/>
        </w:rPr>
        <w:t>ّ</w:t>
      </w:r>
      <w:r w:rsidRPr="00904FCB">
        <w:rPr>
          <w:rFonts w:ascii="Arial" w:hAnsi="Arial"/>
          <w:kern w:val="32"/>
          <w:sz w:val="27"/>
          <w:rtl/>
        </w:rPr>
        <w:t xml:space="preserve"> م</w:t>
      </w:r>
      <w:r w:rsidR="00B963FC" w:rsidRPr="00904FCB">
        <w:rPr>
          <w:rFonts w:ascii="Arial" w:hAnsi="Arial" w:hint="cs"/>
          <w:kern w:val="32"/>
          <w:sz w:val="27"/>
          <w:rtl/>
        </w:rPr>
        <w:t>َ</w:t>
      </w:r>
      <w:r w:rsidRPr="00904FCB">
        <w:rPr>
          <w:rFonts w:ascii="Arial" w:hAnsi="Arial"/>
          <w:kern w:val="32"/>
          <w:sz w:val="27"/>
          <w:rtl/>
        </w:rPr>
        <w:t>ن</w:t>
      </w:r>
      <w:r w:rsidR="00B963FC" w:rsidRPr="00904FCB">
        <w:rPr>
          <w:rFonts w:ascii="Arial" w:hAnsi="Arial" w:hint="cs"/>
          <w:kern w:val="32"/>
          <w:sz w:val="27"/>
          <w:rtl/>
        </w:rPr>
        <w:t>ْ</w:t>
      </w:r>
      <w:r w:rsidRPr="00904FCB">
        <w:rPr>
          <w:rFonts w:ascii="Arial" w:hAnsi="Arial"/>
          <w:kern w:val="32"/>
          <w:sz w:val="27"/>
          <w:rtl/>
        </w:rPr>
        <w:t xml:space="preserve"> كان من شر</w:t>
      </w:r>
      <w:r w:rsidR="00B963FC" w:rsidRPr="00904FCB">
        <w:rPr>
          <w:rFonts w:ascii="Arial" w:hAnsi="Arial" w:hint="cs"/>
          <w:kern w:val="32"/>
          <w:sz w:val="27"/>
          <w:rtl/>
        </w:rPr>
        <w:t>ّ</w:t>
      </w:r>
      <w:r w:rsidRPr="00904FCB">
        <w:rPr>
          <w:rFonts w:ascii="Arial" w:hAnsi="Arial"/>
          <w:kern w:val="32"/>
          <w:sz w:val="27"/>
          <w:rtl/>
        </w:rPr>
        <w:t xml:space="preserve"> الخلق</w:t>
      </w:r>
      <w:r w:rsidR="00B963FC" w:rsidRPr="00904FCB">
        <w:rPr>
          <w:rFonts w:ascii="Arial" w:hAnsi="Arial" w:hint="cs"/>
          <w:kern w:val="32"/>
          <w:sz w:val="27"/>
          <w:rtl/>
        </w:rPr>
        <w:t>؛</w:t>
      </w:r>
      <w:r w:rsidRPr="00904FCB">
        <w:rPr>
          <w:rFonts w:ascii="Arial" w:hAnsi="Arial"/>
          <w:kern w:val="32"/>
          <w:sz w:val="27"/>
          <w:rtl/>
        </w:rPr>
        <w:t xml:space="preserve"> إما زنديق منافق لا يعتقد دين الإسلام في الباطن ـ أي </w:t>
      </w:r>
      <w:r w:rsidR="00B963FC" w:rsidRPr="00904FCB">
        <w:rPr>
          <w:rFonts w:ascii="Arial" w:hAnsi="Arial" w:hint="cs"/>
          <w:kern w:val="32"/>
          <w:sz w:val="27"/>
          <w:rtl/>
        </w:rPr>
        <w:t>إ</w:t>
      </w:r>
      <w:r w:rsidRPr="00904FCB">
        <w:rPr>
          <w:rFonts w:ascii="Arial" w:hAnsi="Arial"/>
          <w:kern w:val="32"/>
          <w:sz w:val="27"/>
          <w:rtl/>
        </w:rPr>
        <w:t>ن</w:t>
      </w:r>
      <w:r w:rsidR="00B963FC" w:rsidRPr="00904FCB">
        <w:rPr>
          <w:rFonts w:ascii="Arial" w:hAnsi="Arial" w:hint="cs"/>
          <w:kern w:val="32"/>
          <w:sz w:val="27"/>
          <w:rtl/>
        </w:rPr>
        <w:t>ه</w:t>
      </w:r>
      <w:r w:rsidRPr="00904FCB">
        <w:rPr>
          <w:rFonts w:ascii="Arial" w:hAnsi="Arial"/>
          <w:kern w:val="32"/>
          <w:sz w:val="27"/>
          <w:rtl/>
        </w:rPr>
        <w:t xml:space="preserve"> يظهر الإسلام ـ</w:t>
      </w:r>
      <w:r w:rsidR="00B963FC" w:rsidRPr="00904FCB">
        <w:rPr>
          <w:rFonts w:ascii="Arial" w:hAnsi="Arial" w:hint="cs"/>
          <w:kern w:val="32"/>
          <w:sz w:val="27"/>
          <w:rtl/>
        </w:rPr>
        <w:t>؛</w:t>
      </w:r>
      <w:r w:rsidRPr="00904FCB">
        <w:rPr>
          <w:rFonts w:ascii="Arial" w:hAnsi="Arial"/>
          <w:kern w:val="32"/>
          <w:sz w:val="27"/>
          <w:rtl/>
        </w:rPr>
        <w:t xml:space="preserve"> وإما من هؤلاء م</w:t>
      </w:r>
      <w:r w:rsidR="00B963FC" w:rsidRPr="00904FCB">
        <w:rPr>
          <w:rFonts w:ascii="Arial" w:hAnsi="Arial" w:hint="cs"/>
          <w:kern w:val="32"/>
          <w:sz w:val="27"/>
          <w:rtl/>
        </w:rPr>
        <w:t>َ</w:t>
      </w:r>
      <w:r w:rsidRPr="00904FCB">
        <w:rPr>
          <w:rFonts w:ascii="Arial" w:hAnsi="Arial"/>
          <w:kern w:val="32"/>
          <w:sz w:val="27"/>
          <w:rtl/>
        </w:rPr>
        <w:t>ن</w:t>
      </w:r>
      <w:r w:rsidR="00B963FC" w:rsidRPr="00904FCB">
        <w:rPr>
          <w:rFonts w:ascii="Arial" w:hAnsi="Arial" w:hint="cs"/>
          <w:kern w:val="32"/>
          <w:sz w:val="27"/>
          <w:rtl/>
        </w:rPr>
        <w:t>ْ</w:t>
      </w:r>
      <w:r w:rsidRPr="00904FCB">
        <w:rPr>
          <w:rFonts w:ascii="Arial" w:hAnsi="Arial"/>
          <w:kern w:val="32"/>
          <w:sz w:val="27"/>
          <w:rtl/>
        </w:rPr>
        <w:t xml:space="preserve"> هو شر</w:t>
      </w:r>
      <w:r w:rsidR="00B963FC" w:rsidRPr="00904FCB">
        <w:rPr>
          <w:rFonts w:ascii="Arial" w:hAnsi="Arial" w:hint="cs"/>
          <w:kern w:val="32"/>
          <w:sz w:val="27"/>
          <w:rtl/>
        </w:rPr>
        <w:t>ّ</w:t>
      </w:r>
      <w:r w:rsidRPr="00904FCB">
        <w:rPr>
          <w:rFonts w:ascii="Arial" w:hAnsi="Arial"/>
          <w:kern w:val="32"/>
          <w:sz w:val="27"/>
          <w:rtl/>
        </w:rPr>
        <w:t xml:space="preserve"> أهل الب</w:t>
      </w:r>
      <w:r w:rsidR="00B963FC" w:rsidRPr="00904FCB">
        <w:rPr>
          <w:rFonts w:ascii="Arial" w:hAnsi="Arial" w:hint="cs"/>
          <w:kern w:val="32"/>
          <w:sz w:val="27"/>
          <w:rtl/>
        </w:rPr>
        <w:t>ِ</w:t>
      </w:r>
      <w:r w:rsidRPr="00904FCB">
        <w:rPr>
          <w:rFonts w:ascii="Arial" w:hAnsi="Arial"/>
          <w:kern w:val="32"/>
          <w:sz w:val="27"/>
          <w:rtl/>
        </w:rPr>
        <w:t>د</w:t>
      </w:r>
      <w:r w:rsidR="00B963FC" w:rsidRPr="00904FCB">
        <w:rPr>
          <w:rFonts w:ascii="Arial" w:hAnsi="Arial" w:hint="cs"/>
          <w:kern w:val="32"/>
          <w:sz w:val="27"/>
          <w:rtl/>
        </w:rPr>
        <w:t>َ</w:t>
      </w:r>
      <w:r w:rsidRPr="00904FCB">
        <w:rPr>
          <w:rFonts w:ascii="Arial" w:hAnsi="Arial"/>
          <w:kern w:val="32"/>
          <w:sz w:val="27"/>
          <w:rtl/>
        </w:rPr>
        <w:t>ع</w:t>
      </w:r>
      <w:r w:rsidR="00B963FC" w:rsidRPr="00904FCB">
        <w:rPr>
          <w:rFonts w:ascii="Arial" w:hAnsi="Arial" w:hint="cs"/>
          <w:kern w:val="32"/>
          <w:sz w:val="27"/>
          <w:rtl/>
        </w:rPr>
        <w:t>،</w:t>
      </w:r>
      <w:r w:rsidRPr="00904FCB">
        <w:rPr>
          <w:rFonts w:ascii="Arial" w:hAnsi="Arial"/>
          <w:kern w:val="32"/>
          <w:sz w:val="27"/>
          <w:rtl/>
        </w:rPr>
        <w:t xml:space="preserve"> كالرافضة والجهمية والاتجارية ونحوه ـ وهم أصحاب البدع ـ</w:t>
      </w:r>
      <w:r w:rsidR="00B963FC" w:rsidRPr="00904FCB">
        <w:rPr>
          <w:rFonts w:ascii="Arial" w:hAnsi="Arial" w:hint="cs"/>
          <w:kern w:val="32"/>
          <w:sz w:val="27"/>
          <w:rtl/>
        </w:rPr>
        <w:t>؛</w:t>
      </w:r>
      <w:r w:rsidRPr="00904FCB">
        <w:rPr>
          <w:rFonts w:ascii="Arial" w:hAnsi="Arial"/>
          <w:kern w:val="32"/>
          <w:sz w:val="27"/>
          <w:rtl/>
        </w:rPr>
        <w:t xml:space="preserve"> وإما من أفجر الناس و</w:t>
      </w:r>
      <w:r w:rsidR="00B963FC" w:rsidRPr="00904FCB">
        <w:rPr>
          <w:rFonts w:ascii="Arial" w:hAnsi="Arial" w:hint="cs"/>
          <w:kern w:val="32"/>
          <w:sz w:val="27"/>
          <w:rtl/>
        </w:rPr>
        <w:t>أ</w:t>
      </w:r>
      <w:r w:rsidRPr="00904FCB">
        <w:rPr>
          <w:rFonts w:ascii="Arial" w:hAnsi="Arial"/>
          <w:kern w:val="32"/>
          <w:sz w:val="27"/>
          <w:rtl/>
        </w:rPr>
        <w:t>فسقهم</w:t>
      </w:r>
      <w:r w:rsidR="00B963FC" w:rsidRPr="00904FCB">
        <w:rPr>
          <w:rFonts w:ascii="Arial" w:hAnsi="Arial" w:hint="cs"/>
          <w:kern w:val="32"/>
          <w:sz w:val="27"/>
          <w:rtl/>
        </w:rPr>
        <w:t>،</w:t>
      </w:r>
      <w:r w:rsidRPr="00904FCB">
        <w:rPr>
          <w:rFonts w:ascii="Arial" w:hAnsi="Arial"/>
          <w:kern w:val="32"/>
          <w:sz w:val="27"/>
          <w:rtl/>
        </w:rPr>
        <w:t xml:space="preserve"> وهم في بلادهم مع تمك</w:t>
      </w:r>
      <w:r w:rsidR="00B963FC" w:rsidRPr="00904FCB">
        <w:rPr>
          <w:rFonts w:ascii="Arial" w:hAnsi="Arial" w:hint="cs"/>
          <w:kern w:val="32"/>
          <w:sz w:val="27"/>
          <w:rtl/>
        </w:rPr>
        <w:t>ُّ</w:t>
      </w:r>
      <w:r w:rsidRPr="00904FCB">
        <w:rPr>
          <w:rFonts w:ascii="Arial" w:hAnsi="Arial"/>
          <w:kern w:val="32"/>
          <w:sz w:val="27"/>
          <w:rtl/>
        </w:rPr>
        <w:t>نهم لا يحج</w:t>
      </w:r>
      <w:r w:rsidR="00B963FC" w:rsidRPr="00904FCB">
        <w:rPr>
          <w:rFonts w:ascii="Arial" w:hAnsi="Arial" w:hint="cs"/>
          <w:kern w:val="32"/>
          <w:sz w:val="27"/>
          <w:rtl/>
        </w:rPr>
        <w:t>ّ</w:t>
      </w:r>
      <w:r w:rsidRPr="00904FCB">
        <w:rPr>
          <w:rFonts w:ascii="Arial" w:hAnsi="Arial"/>
          <w:kern w:val="32"/>
          <w:sz w:val="27"/>
          <w:rtl/>
        </w:rPr>
        <w:t>ون البيت العتيق</w:t>
      </w:r>
      <w:r w:rsidR="00B963FC" w:rsidRPr="00904FCB">
        <w:rPr>
          <w:rFonts w:ascii="Arial" w:hAnsi="Arial" w:hint="cs"/>
          <w:kern w:val="32"/>
          <w:sz w:val="27"/>
          <w:rtl/>
        </w:rPr>
        <w:t>،</w:t>
      </w:r>
      <w:r w:rsidRPr="00904FCB">
        <w:rPr>
          <w:rFonts w:ascii="Arial" w:hAnsi="Arial"/>
          <w:kern w:val="32"/>
          <w:sz w:val="27"/>
          <w:rtl/>
        </w:rPr>
        <w:t xml:space="preserve"> وإن</w:t>
      </w:r>
      <w:r w:rsidR="00B963FC" w:rsidRPr="00904FCB">
        <w:rPr>
          <w:rFonts w:ascii="Arial" w:hAnsi="Arial" w:hint="cs"/>
          <w:kern w:val="32"/>
          <w:sz w:val="27"/>
          <w:rtl/>
        </w:rPr>
        <w:t>ْ</w:t>
      </w:r>
      <w:r w:rsidRPr="00904FCB">
        <w:rPr>
          <w:rFonts w:ascii="Arial" w:hAnsi="Arial"/>
          <w:kern w:val="32"/>
          <w:sz w:val="27"/>
          <w:rtl/>
        </w:rPr>
        <w:t xml:space="preserve"> كان فيهم م</w:t>
      </w:r>
      <w:r w:rsidR="00B963FC" w:rsidRPr="00904FCB">
        <w:rPr>
          <w:rFonts w:ascii="Arial" w:hAnsi="Arial" w:hint="cs"/>
          <w:kern w:val="32"/>
          <w:sz w:val="27"/>
          <w:rtl/>
        </w:rPr>
        <w:t>َ</w:t>
      </w:r>
      <w:r w:rsidRPr="00904FCB">
        <w:rPr>
          <w:rFonts w:ascii="Arial" w:hAnsi="Arial"/>
          <w:kern w:val="32"/>
          <w:sz w:val="27"/>
          <w:rtl/>
        </w:rPr>
        <w:t>ن</w:t>
      </w:r>
      <w:r w:rsidR="00B963FC" w:rsidRPr="00904FCB">
        <w:rPr>
          <w:rFonts w:ascii="Arial" w:hAnsi="Arial" w:hint="cs"/>
          <w:kern w:val="32"/>
          <w:sz w:val="27"/>
          <w:rtl/>
        </w:rPr>
        <w:t>ْ</w:t>
      </w:r>
      <w:r w:rsidRPr="00904FCB">
        <w:rPr>
          <w:rFonts w:ascii="Arial" w:hAnsi="Arial"/>
          <w:kern w:val="32"/>
          <w:sz w:val="27"/>
          <w:rtl/>
        </w:rPr>
        <w:t xml:space="preserve"> يصل</w:t>
      </w:r>
      <w:r w:rsidR="00B963FC" w:rsidRPr="00904FCB">
        <w:rPr>
          <w:rFonts w:ascii="Arial" w:hAnsi="Arial" w:hint="cs"/>
          <w:kern w:val="32"/>
          <w:sz w:val="27"/>
          <w:rtl/>
        </w:rPr>
        <w:t>ّ</w:t>
      </w:r>
      <w:r w:rsidRPr="00904FCB">
        <w:rPr>
          <w:rFonts w:ascii="Arial" w:hAnsi="Arial"/>
          <w:kern w:val="32"/>
          <w:sz w:val="27"/>
          <w:rtl/>
        </w:rPr>
        <w:t>ي ويصوم</w:t>
      </w:r>
      <w:r w:rsidR="00B963FC" w:rsidRPr="00904FCB">
        <w:rPr>
          <w:rFonts w:ascii="Arial" w:hAnsi="Arial" w:hint="cs"/>
          <w:kern w:val="32"/>
          <w:sz w:val="27"/>
          <w:rtl/>
        </w:rPr>
        <w:t>،</w:t>
      </w:r>
      <w:r w:rsidRPr="00904FCB">
        <w:rPr>
          <w:rFonts w:ascii="Arial" w:hAnsi="Arial"/>
          <w:kern w:val="32"/>
          <w:sz w:val="27"/>
          <w:rtl/>
        </w:rPr>
        <w:t xml:space="preserve"> فليس الغالب عليهم إقامة الصلاة وإيتاء الزكاة</w:t>
      </w:r>
      <w:r w:rsidR="00B963FC" w:rsidRPr="00904FCB">
        <w:rPr>
          <w:rFonts w:ascii="Arial" w:hAnsi="Arial" w:hint="cs"/>
          <w:kern w:val="32"/>
          <w:sz w:val="27"/>
          <w:rtl/>
        </w:rPr>
        <w:t>.</w:t>
      </w:r>
      <w:r w:rsidRPr="00904FCB">
        <w:rPr>
          <w:rFonts w:ascii="Arial" w:hAnsi="Arial"/>
          <w:kern w:val="32"/>
          <w:sz w:val="27"/>
          <w:rtl/>
        </w:rPr>
        <w:t>.. أليس ذلك هو الكائن؟</w:t>
      </w:r>
      <w:r w:rsidR="00B963FC" w:rsidRPr="00904FCB">
        <w:rPr>
          <w:rFonts w:ascii="Arial" w:hAnsi="Arial" w:hint="cs"/>
          <w:kern w:val="32"/>
          <w:sz w:val="27"/>
          <w:rtl/>
        </w:rPr>
        <w:t>!</w:t>
      </w:r>
      <w:r w:rsidRPr="00904FCB">
        <w:rPr>
          <w:rFonts w:ascii="Arial" w:hAnsi="Arial"/>
          <w:kern w:val="32"/>
          <w:sz w:val="27"/>
          <w:rtl/>
        </w:rPr>
        <w:t xml:space="preserve"> وهم يقاتلون على ملك جنكيز خان (اسم ملكهم)</w:t>
      </w:r>
      <w:r w:rsidR="00B963FC" w:rsidRPr="00904FCB">
        <w:rPr>
          <w:rFonts w:ascii="Arial" w:hAnsi="Arial" w:hint="cs"/>
          <w:kern w:val="32"/>
          <w:sz w:val="27"/>
          <w:rtl/>
        </w:rPr>
        <w:t>،</w:t>
      </w:r>
      <w:r w:rsidRPr="00904FCB">
        <w:rPr>
          <w:rFonts w:ascii="Arial" w:hAnsi="Arial"/>
          <w:kern w:val="32"/>
          <w:sz w:val="27"/>
          <w:rtl/>
        </w:rPr>
        <w:t xml:space="preserve"> فم</w:t>
      </w:r>
      <w:r w:rsidR="00B963FC" w:rsidRPr="00904FCB">
        <w:rPr>
          <w:rFonts w:ascii="Arial" w:hAnsi="Arial" w:hint="cs"/>
          <w:kern w:val="32"/>
          <w:sz w:val="27"/>
          <w:rtl/>
        </w:rPr>
        <w:t>َ</w:t>
      </w:r>
      <w:r w:rsidRPr="00904FCB">
        <w:rPr>
          <w:rFonts w:ascii="Arial" w:hAnsi="Arial"/>
          <w:kern w:val="32"/>
          <w:sz w:val="27"/>
          <w:rtl/>
        </w:rPr>
        <w:t>ن</w:t>
      </w:r>
      <w:r w:rsidR="00B963FC" w:rsidRPr="00904FCB">
        <w:rPr>
          <w:rFonts w:ascii="Arial" w:hAnsi="Arial" w:hint="cs"/>
          <w:kern w:val="32"/>
          <w:sz w:val="27"/>
          <w:rtl/>
        </w:rPr>
        <w:t>ْ</w:t>
      </w:r>
      <w:r w:rsidRPr="00904FCB">
        <w:rPr>
          <w:rFonts w:ascii="Arial" w:hAnsi="Arial"/>
          <w:kern w:val="32"/>
          <w:sz w:val="27"/>
          <w:rtl/>
        </w:rPr>
        <w:t xml:space="preserve"> دخل في طاعتهم جعلوه ولي</w:t>
      </w:r>
      <w:r w:rsidR="00B963FC" w:rsidRPr="00904FCB">
        <w:rPr>
          <w:rFonts w:ascii="Arial" w:hAnsi="Arial" w:hint="cs"/>
          <w:kern w:val="32"/>
          <w:sz w:val="27"/>
          <w:rtl/>
        </w:rPr>
        <w:t>ّ</w:t>
      </w:r>
      <w:r w:rsidRPr="00904FCB">
        <w:rPr>
          <w:rFonts w:ascii="Arial" w:hAnsi="Arial"/>
          <w:kern w:val="32"/>
          <w:sz w:val="27"/>
          <w:rtl/>
        </w:rPr>
        <w:t>هم وإن</w:t>
      </w:r>
      <w:r w:rsidR="00B963FC" w:rsidRPr="00904FCB">
        <w:rPr>
          <w:rFonts w:ascii="Arial" w:hAnsi="Arial" w:hint="cs"/>
          <w:kern w:val="32"/>
          <w:sz w:val="27"/>
          <w:rtl/>
        </w:rPr>
        <w:t>ْ</w:t>
      </w:r>
      <w:r w:rsidRPr="00904FCB">
        <w:rPr>
          <w:rFonts w:ascii="Arial" w:hAnsi="Arial"/>
          <w:kern w:val="32"/>
          <w:sz w:val="27"/>
          <w:rtl/>
        </w:rPr>
        <w:t xml:space="preserve"> كان كافراً، وم</w:t>
      </w:r>
      <w:r w:rsidR="00B963FC" w:rsidRPr="00904FCB">
        <w:rPr>
          <w:rFonts w:ascii="Arial" w:hAnsi="Arial" w:hint="cs"/>
          <w:kern w:val="32"/>
          <w:sz w:val="27"/>
          <w:rtl/>
        </w:rPr>
        <w:t>َ</w:t>
      </w:r>
      <w:r w:rsidRPr="00904FCB">
        <w:rPr>
          <w:rFonts w:ascii="Arial" w:hAnsi="Arial"/>
          <w:kern w:val="32"/>
          <w:sz w:val="27"/>
          <w:rtl/>
        </w:rPr>
        <w:t>ن</w:t>
      </w:r>
      <w:r w:rsidR="00B963FC" w:rsidRPr="00904FCB">
        <w:rPr>
          <w:rFonts w:ascii="Arial" w:hAnsi="Arial" w:hint="cs"/>
          <w:kern w:val="32"/>
          <w:sz w:val="27"/>
          <w:rtl/>
        </w:rPr>
        <w:t>ْ</w:t>
      </w:r>
      <w:r w:rsidRPr="00904FCB">
        <w:rPr>
          <w:rFonts w:ascii="Arial" w:hAnsi="Arial"/>
          <w:kern w:val="32"/>
          <w:sz w:val="27"/>
          <w:rtl/>
        </w:rPr>
        <w:t xml:space="preserve"> خرج عن ذلك جعلوه عدو</w:t>
      </w:r>
      <w:r w:rsidR="00B963FC" w:rsidRPr="00904FCB">
        <w:rPr>
          <w:rFonts w:ascii="Arial" w:hAnsi="Arial" w:hint="cs"/>
          <w:kern w:val="32"/>
          <w:sz w:val="27"/>
          <w:rtl/>
        </w:rPr>
        <w:t>ّ</w:t>
      </w:r>
      <w:r w:rsidRPr="00904FCB">
        <w:rPr>
          <w:rFonts w:ascii="Arial" w:hAnsi="Arial"/>
          <w:kern w:val="32"/>
          <w:sz w:val="27"/>
          <w:rtl/>
        </w:rPr>
        <w:t>اً لهم وإن</w:t>
      </w:r>
      <w:r w:rsidR="00B963FC" w:rsidRPr="00904FCB">
        <w:rPr>
          <w:rFonts w:ascii="Arial" w:hAnsi="Arial" w:hint="cs"/>
          <w:kern w:val="32"/>
          <w:sz w:val="27"/>
          <w:rtl/>
        </w:rPr>
        <w:t>ْ</w:t>
      </w:r>
      <w:r w:rsidRPr="00904FCB">
        <w:rPr>
          <w:rFonts w:ascii="Arial" w:hAnsi="Arial"/>
          <w:kern w:val="32"/>
          <w:sz w:val="27"/>
          <w:rtl/>
        </w:rPr>
        <w:t xml:space="preserve"> كان من خيار المسلمين، لا يقاتلون على الإسلام</w:t>
      </w:r>
      <w:r w:rsidR="00B963FC" w:rsidRPr="00904FCB">
        <w:rPr>
          <w:rFonts w:ascii="Arial" w:hAnsi="Arial" w:hint="cs"/>
          <w:kern w:val="32"/>
          <w:sz w:val="27"/>
          <w:rtl/>
        </w:rPr>
        <w:t>،</w:t>
      </w:r>
      <w:r w:rsidRPr="00904FCB">
        <w:rPr>
          <w:rFonts w:ascii="Arial" w:hAnsi="Arial"/>
          <w:kern w:val="32"/>
          <w:sz w:val="27"/>
          <w:rtl/>
        </w:rPr>
        <w:t xml:space="preserve"> ولا يضعون الجزية والصغار</w:t>
      </w:r>
      <w:r w:rsidR="00B963FC" w:rsidRPr="00904FCB">
        <w:rPr>
          <w:rFonts w:ascii="Arial" w:hAnsi="Arial" w:hint="cs"/>
          <w:kern w:val="32"/>
          <w:sz w:val="27"/>
          <w:rtl/>
        </w:rPr>
        <w:t>،</w:t>
      </w:r>
      <w:r w:rsidRPr="00904FCB">
        <w:rPr>
          <w:rFonts w:ascii="Arial" w:hAnsi="Arial"/>
          <w:kern w:val="32"/>
          <w:sz w:val="27"/>
          <w:rtl/>
        </w:rPr>
        <w:t xml:space="preserve"> بل غاية كثير من المسلمين منهم من أكابر أمرائهم ووزرائهم أن يكون المسلم عندهم كم</w:t>
      </w:r>
      <w:r w:rsidR="00B963FC" w:rsidRPr="00904FCB">
        <w:rPr>
          <w:rFonts w:ascii="Arial" w:hAnsi="Arial" w:hint="cs"/>
          <w:kern w:val="32"/>
          <w:sz w:val="27"/>
          <w:rtl/>
        </w:rPr>
        <w:t>َ</w:t>
      </w:r>
      <w:r w:rsidRPr="00904FCB">
        <w:rPr>
          <w:rFonts w:ascii="Arial" w:hAnsi="Arial"/>
          <w:kern w:val="32"/>
          <w:sz w:val="27"/>
          <w:rtl/>
        </w:rPr>
        <w:t>ن</w:t>
      </w:r>
      <w:r w:rsidR="00B963FC" w:rsidRPr="00904FCB">
        <w:rPr>
          <w:rFonts w:ascii="Arial" w:hAnsi="Arial" w:hint="cs"/>
          <w:kern w:val="32"/>
          <w:sz w:val="27"/>
          <w:rtl/>
        </w:rPr>
        <w:t>ْ</w:t>
      </w:r>
      <w:r w:rsidRPr="00904FCB">
        <w:rPr>
          <w:rFonts w:ascii="Arial" w:hAnsi="Arial"/>
          <w:kern w:val="32"/>
          <w:sz w:val="27"/>
          <w:rtl/>
        </w:rPr>
        <w:t xml:space="preserve"> يعظ</w:t>
      </w:r>
      <w:r w:rsidR="00B963FC" w:rsidRPr="00904FCB">
        <w:rPr>
          <w:rFonts w:ascii="Arial" w:hAnsi="Arial" w:hint="cs"/>
          <w:kern w:val="32"/>
          <w:sz w:val="27"/>
          <w:rtl/>
        </w:rPr>
        <w:t>ِّ</w:t>
      </w:r>
      <w:r w:rsidRPr="00904FCB">
        <w:rPr>
          <w:rFonts w:ascii="Arial" w:hAnsi="Arial"/>
          <w:kern w:val="32"/>
          <w:sz w:val="27"/>
          <w:rtl/>
        </w:rPr>
        <w:t>مونه من المشركين من اليهود والنصارى..</w:t>
      </w:r>
      <w:r w:rsidR="00B963FC" w:rsidRPr="00904FCB">
        <w:rPr>
          <w:rFonts w:ascii="Arial" w:hAnsi="Arial" w:hint="cs"/>
          <w:kern w:val="32"/>
          <w:sz w:val="27"/>
          <w:rtl/>
        </w:rPr>
        <w:t>.</w:t>
      </w:r>
      <w:r w:rsidR="00B963FC" w:rsidRPr="00904FCB">
        <w:rPr>
          <w:sz w:val="27"/>
          <w:vertAlign w:val="superscript"/>
          <w:rtl/>
        </w:rPr>
        <w:t>(</w:t>
      </w:r>
      <w:r w:rsidR="00B963FC" w:rsidRPr="00904FCB">
        <w:rPr>
          <w:sz w:val="27"/>
          <w:vertAlign w:val="superscript"/>
          <w:rtl/>
        </w:rPr>
        <w:endnoteReference w:id="152"/>
      </w:r>
      <w:r w:rsidR="00B963FC" w:rsidRPr="00904FCB">
        <w:rPr>
          <w:sz w:val="27"/>
          <w:vertAlign w:val="superscript"/>
          <w:rtl/>
        </w:rPr>
        <w:t>)</w:t>
      </w:r>
      <w:r w:rsidRPr="00904FCB">
        <w:rPr>
          <w:rFonts w:ascii="Arial" w:hAnsi="Arial"/>
          <w:kern w:val="32"/>
          <w:sz w:val="27"/>
          <w:rtl/>
        </w:rPr>
        <w:t>. ملحوظة: أليست هذه الصفات هي الصفات نفسها لحك</w:t>
      </w:r>
      <w:r w:rsidR="00B3105B">
        <w:rPr>
          <w:rFonts w:ascii="Arial" w:hAnsi="Arial" w:hint="cs"/>
          <w:kern w:val="32"/>
          <w:sz w:val="27"/>
          <w:rtl/>
        </w:rPr>
        <w:t>ّ</w:t>
      </w:r>
      <w:r w:rsidRPr="00904FCB">
        <w:rPr>
          <w:rFonts w:ascii="Arial" w:hAnsi="Arial"/>
          <w:kern w:val="32"/>
          <w:sz w:val="27"/>
          <w:rtl/>
        </w:rPr>
        <w:t>ام العصر هم وحاشيتهم الموالية لهم الذين عظموا أمر الحكام أكثر من تعظيمهم لخالقهم؟</w:t>
      </w:r>
      <w:r w:rsidRPr="00904FCB">
        <w:rPr>
          <w:rFonts w:hint="eastAsia"/>
          <w:sz w:val="27"/>
          <w:rtl/>
        </w:rPr>
        <w:t>»</w:t>
      </w:r>
      <w:r w:rsidRPr="00904FCB">
        <w:rPr>
          <w:sz w:val="27"/>
          <w:vertAlign w:val="superscript"/>
          <w:rtl/>
        </w:rPr>
        <w:t>(</w:t>
      </w:r>
      <w:r w:rsidRPr="00904FCB">
        <w:rPr>
          <w:sz w:val="27"/>
          <w:vertAlign w:val="superscript"/>
          <w:rtl/>
        </w:rPr>
        <w:endnoteReference w:id="153"/>
      </w:r>
      <w:r w:rsidRPr="00904FCB">
        <w:rPr>
          <w:sz w:val="27"/>
          <w:vertAlign w:val="superscript"/>
          <w:rtl/>
        </w:rPr>
        <w:t>)</w:t>
      </w:r>
      <w:r w:rsidR="003776AC" w:rsidRPr="00904FCB">
        <w:rPr>
          <w:rFonts w:ascii="Arial" w:hAnsi="Arial"/>
          <w:kern w:val="32"/>
          <w:sz w:val="27"/>
          <w:rtl/>
        </w:rPr>
        <w:t>.</w:t>
      </w:r>
      <w:r w:rsidRPr="00904FCB">
        <w:rPr>
          <w:rFonts w:ascii="Arial" w:hAnsi="Arial"/>
          <w:b/>
          <w:bCs/>
          <w:kern w:val="32"/>
          <w:sz w:val="27"/>
          <w:rtl/>
        </w:rPr>
        <w:t xml:space="preserve"> </w:t>
      </w:r>
    </w:p>
    <w:p w:rsidR="00A45FD9" w:rsidRPr="00904FCB" w:rsidRDefault="00A45FD9" w:rsidP="0077746D">
      <w:pPr>
        <w:spacing w:line="400" w:lineRule="exact"/>
        <w:rPr>
          <w:rFonts w:ascii="Arial" w:hAnsi="Arial"/>
          <w:sz w:val="27"/>
          <w:rtl/>
        </w:rPr>
      </w:pPr>
      <w:r w:rsidRPr="00904FCB">
        <w:rPr>
          <w:rFonts w:ascii="Arial" w:hAnsi="Arial"/>
          <w:sz w:val="27"/>
          <w:rtl/>
        </w:rPr>
        <w:t>ويتابع فرج حول ما يتعل</w:t>
      </w:r>
      <w:r w:rsidR="003776AC" w:rsidRPr="00904FCB">
        <w:rPr>
          <w:rFonts w:ascii="Arial" w:hAnsi="Arial" w:hint="cs"/>
          <w:sz w:val="27"/>
          <w:rtl/>
        </w:rPr>
        <w:t>َّ</w:t>
      </w:r>
      <w:r w:rsidRPr="00904FCB">
        <w:rPr>
          <w:rFonts w:ascii="Arial" w:hAnsi="Arial"/>
          <w:sz w:val="27"/>
          <w:rtl/>
        </w:rPr>
        <w:t xml:space="preserve">ق بحكم قتال الحكام: </w:t>
      </w:r>
      <w:r w:rsidRPr="00904FCB">
        <w:rPr>
          <w:rFonts w:hint="eastAsia"/>
          <w:sz w:val="27"/>
          <w:rtl/>
        </w:rPr>
        <w:t>«</w:t>
      </w:r>
      <w:r w:rsidRPr="00904FCB">
        <w:rPr>
          <w:rFonts w:ascii="Arial" w:hAnsi="Arial"/>
          <w:sz w:val="27"/>
          <w:rtl/>
        </w:rPr>
        <w:t xml:space="preserve">يقول ابن تيمية في ص </w:t>
      </w:r>
      <w:r w:rsidRPr="008C1FBD">
        <w:rPr>
          <w:rFonts w:ascii="Arial" w:hAnsi="Arial"/>
          <w:sz w:val="27"/>
          <w:rtl/>
        </w:rPr>
        <w:t>298</w:t>
      </w:r>
      <w:r w:rsidRPr="00904FCB">
        <w:rPr>
          <w:rFonts w:ascii="Arial" w:hAnsi="Arial"/>
          <w:sz w:val="27"/>
          <w:rtl/>
        </w:rPr>
        <w:t xml:space="preserve"> مسألة </w:t>
      </w:r>
      <w:r w:rsidRPr="008C1FBD">
        <w:rPr>
          <w:rFonts w:ascii="Arial" w:hAnsi="Arial"/>
          <w:sz w:val="27"/>
          <w:rtl/>
        </w:rPr>
        <w:t>217</w:t>
      </w:r>
      <w:r w:rsidRPr="00904FCB">
        <w:rPr>
          <w:rFonts w:ascii="Arial" w:hAnsi="Arial"/>
          <w:sz w:val="27"/>
          <w:rtl/>
        </w:rPr>
        <w:t>: قتال التتار الذين قدموا إلى بلاد الشام واجب</w:t>
      </w:r>
      <w:r w:rsidR="003776AC" w:rsidRPr="00904FCB">
        <w:rPr>
          <w:rFonts w:ascii="Arial" w:hAnsi="Arial" w:hint="cs"/>
          <w:sz w:val="27"/>
          <w:rtl/>
        </w:rPr>
        <w:t>ٌ</w:t>
      </w:r>
      <w:r w:rsidRPr="00904FCB">
        <w:rPr>
          <w:rFonts w:ascii="Arial" w:hAnsi="Arial"/>
          <w:sz w:val="27"/>
          <w:rtl/>
        </w:rPr>
        <w:t xml:space="preserve"> بالكتاب والسن</w:t>
      </w:r>
      <w:r w:rsidR="003776AC" w:rsidRPr="00904FCB">
        <w:rPr>
          <w:rFonts w:ascii="Arial" w:hAnsi="Arial" w:hint="cs"/>
          <w:sz w:val="27"/>
          <w:rtl/>
        </w:rPr>
        <w:t>ّ</w:t>
      </w:r>
      <w:r w:rsidRPr="00904FCB">
        <w:rPr>
          <w:rFonts w:ascii="Arial" w:hAnsi="Arial"/>
          <w:sz w:val="27"/>
          <w:rtl/>
        </w:rPr>
        <w:t>ة</w:t>
      </w:r>
      <w:r w:rsidR="003776AC" w:rsidRPr="00904FCB">
        <w:rPr>
          <w:rFonts w:ascii="Arial" w:hAnsi="Arial" w:hint="cs"/>
          <w:sz w:val="27"/>
          <w:rtl/>
        </w:rPr>
        <w:t>؛</w:t>
      </w:r>
      <w:r w:rsidRPr="00904FCB">
        <w:rPr>
          <w:rFonts w:ascii="Arial" w:hAnsi="Arial"/>
          <w:sz w:val="27"/>
          <w:rtl/>
        </w:rPr>
        <w:t xml:space="preserve"> فإن الله يقول في القرآن: </w:t>
      </w:r>
      <w:r w:rsidR="003776AC" w:rsidRPr="00904FCB">
        <w:rPr>
          <w:rFonts w:ascii="Mosawi" w:hAnsi="Mosawi" w:cs="Mosawi"/>
          <w:sz w:val="24"/>
          <w:szCs w:val="24"/>
          <w:rtl/>
        </w:rPr>
        <w:t>﴿</w:t>
      </w:r>
      <w:r w:rsidR="003776AC" w:rsidRPr="00904FCB">
        <w:rPr>
          <w:b/>
          <w:bCs/>
          <w:sz w:val="27"/>
          <w:rtl/>
        </w:rPr>
        <w:t>وَقَاتِلُوهُمْ حَتَّى لاَ تَكُونَ فِتْنَةٌ وَيَكُونَ الدِّينُ كُلُّهُ للهِ</w:t>
      </w:r>
      <w:r w:rsidR="003776AC" w:rsidRPr="00904FCB">
        <w:rPr>
          <w:rFonts w:ascii="Mosawi" w:hAnsi="Mosawi" w:cs="Mosawi"/>
          <w:sz w:val="24"/>
          <w:szCs w:val="24"/>
          <w:rtl/>
        </w:rPr>
        <w:t>﴾</w:t>
      </w:r>
      <w:r w:rsidR="003776AC" w:rsidRPr="00904FCB">
        <w:rPr>
          <w:rFonts w:ascii="Arial" w:hAnsi="Arial" w:hint="cs"/>
          <w:sz w:val="27"/>
          <w:rtl/>
        </w:rPr>
        <w:t>،</w:t>
      </w:r>
      <w:r w:rsidRPr="00904FCB">
        <w:rPr>
          <w:rFonts w:ascii="Arial" w:hAnsi="Arial"/>
          <w:sz w:val="27"/>
          <w:rtl/>
        </w:rPr>
        <w:t xml:space="preserve"> والدين هو </w:t>
      </w:r>
      <w:r w:rsidRPr="00904FCB">
        <w:rPr>
          <w:rFonts w:ascii="Arial" w:hAnsi="Arial"/>
          <w:sz w:val="27"/>
          <w:rtl/>
        </w:rPr>
        <w:lastRenderedPageBreak/>
        <w:t>الطاعة</w:t>
      </w:r>
      <w:r w:rsidR="003776AC" w:rsidRPr="00904FCB">
        <w:rPr>
          <w:rFonts w:ascii="Arial" w:hAnsi="Arial" w:hint="cs"/>
          <w:sz w:val="27"/>
          <w:rtl/>
        </w:rPr>
        <w:t>،</w:t>
      </w:r>
      <w:r w:rsidRPr="00904FCB">
        <w:rPr>
          <w:rFonts w:ascii="Arial" w:hAnsi="Arial"/>
          <w:sz w:val="27"/>
          <w:rtl/>
        </w:rPr>
        <w:t xml:space="preserve"> فإذا كان بعض الدين لله وبعضه لغير الله وجب القتال</w:t>
      </w:r>
      <w:r w:rsidR="003776AC" w:rsidRPr="00904FCB">
        <w:rPr>
          <w:rFonts w:ascii="Arial" w:hAnsi="Arial" w:hint="cs"/>
          <w:sz w:val="27"/>
          <w:rtl/>
        </w:rPr>
        <w:t>؛</w:t>
      </w:r>
      <w:r w:rsidRPr="00904FCB">
        <w:rPr>
          <w:rFonts w:ascii="Arial" w:hAnsi="Arial"/>
          <w:sz w:val="27"/>
          <w:rtl/>
        </w:rPr>
        <w:t xml:space="preserve"> حت</w:t>
      </w:r>
      <w:r w:rsidR="003776AC" w:rsidRPr="00904FCB">
        <w:rPr>
          <w:rFonts w:ascii="Arial" w:hAnsi="Arial" w:hint="cs"/>
          <w:sz w:val="27"/>
          <w:rtl/>
        </w:rPr>
        <w:t>ّ</w:t>
      </w:r>
      <w:r w:rsidRPr="00904FCB">
        <w:rPr>
          <w:rFonts w:ascii="Arial" w:hAnsi="Arial"/>
          <w:sz w:val="27"/>
          <w:rtl/>
        </w:rPr>
        <w:t>ى يكون الدين كله لله</w:t>
      </w:r>
      <w:r w:rsidR="003776AC" w:rsidRPr="00904FCB">
        <w:rPr>
          <w:rFonts w:ascii="Arial" w:hAnsi="Arial" w:hint="cs"/>
          <w:sz w:val="27"/>
          <w:rtl/>
        </w:rPr>
        <w:t>.</w:t>
      </w:r>
      <w:r w:rsidRPr="00904FCB">
        <w:rPr>
          <w:rFonts w:ascii="Arial" w:hAnsi="Arial"/>
          <w:sz w:val="27"/>
          <w:rtl/>
        </w:rPr>
        <w:t xml:space="preserve"> ولهذا قال تعالى: </w:t>
      </w:r>
      <w:r w:rsidR="003776AC" w:rsidRPr="00904FCB">
        <w:rPr>
          <w:rFonts w:ascii="Mosawi" w:hAnsi="Mosawi" w:cs="Mosawi"/>
          <w:sz w:val="24"/>
          <w:szCs w:val="24"/>
          <w:rtl/>
        </w:rPr>
        <w:t>﴿</w:t>
      </w:r>
      <w:r w:rsidR="003776AC" w:rsidRPr="00904FCB">
        <w:rPr>
          <w:b/>
          <w:bCs/>
          <w:sz w:val="27"/>
          <w:rtl/>
        </w:rPr>
        <w:t xml:space="preserve">يَا أَيُّهَا الَّذِينَ آمَنُوا اتَّقُوا اللهَ وَذَرُوا مَا بَقِيَ مِنْ الرِّبَا إِنْ كُنتُمْ مُؤْمِنِينَ </w:t>
      </w:r>
      <w:r w:rsidR="00B3105B">
        <w:rPr>
          <w:rFonts w:hint="cs"/>
          <w:b/>
          <w:bCs/>
          <w:sz w:val="27"/>
          <w:rtl/>
        </w:rPr>
        <w:t>*</w:t>
      </w:r>
      <w:r w:rsidR="003776AC" w:rsidRPr="00904FCB">
        <w:rPr>
          <w:b/>
          <w:bCs/>
          <w:sz w:val="27"/>
          <w:rtl/>
        </w:rPr>
        <w:t xml:space="preserve"> فَإِنْ لَمْ تَفْعَلُوا فَأْذَنُوا بِحَرْبٍ مِنْ اللهِ وَرَسُولِهِ</w:t>
      </w:r>
      <w:r w:rsidR="003776AC" w:rsidRPr="00904FCB">
        <w:rPr>
          <w:rFonts w:ascii="Mosawi" w:hAnsi="Mosawi" w:cs="Mosawi"/>
          <w:sz w:val="24"/>
          <w:szCs w:val="24"/>
          <w:rtl/>
        </w:rPr>
        <w:t>﴾</w:t>
      </w:r>
      <w:r w:rsidR="00B3105B">
        <w:rPr>
          <w:rFonts w:ascii="Arial" w:hAnsi="Arial" w:hint="cs"/>
          <w:sz w:val="27"/>
          <w:rtl/>
        </w:rPr>
        <w:t xml:space="preserve"> (البقرة: </w:t>
      </w:r>
      <w:r w:rsidR="00B3105B" w:rsidRPr="008C1FBD">
        <w:rPr>
          <w:rFonts w:ascii="Arial" w:hAnsi="Arial" w:hint="cs"/>
          <w:sz w:val="27"/>
          <w:rtl/>
        </w:rPr>
        <w:t>278 ـ 279</w:t>
      </w:r>
      <w:r w:rsidR="00B3105B">
        <w:rPr>
          <w:rFonts w:ascii="Arial" w:hAnsi="Arial" w:hint="cs"/>
          <w:sz w:val="27"/>
          <w:rtl/>
        </w:rPr>
        <w:t>)</w:t>
      </w:r>
      <w:r w:rsidR="003776AC" w:rsidRPr="00904FCB">
        <w:rPr>
          <w:rFonts w:ascii="Arial" w:hAnsi="Arial" w:hint="cs"/>
          <w:sz w:val="27"/>
          <w:rtl/>
        </w:rPr>
        <w:t xml:space="preserve">. </w:t>
      </w:r>
      <w:r w:rsidRPr="00904FCB">
        <w:rPr>
          <w:rFonts w:ascii="Arial" w:hAnsi="Arial"/>
          <w:sz w:val="27"/>
          <w:rtl/>
        </w:rPr>
        <w:t>وهذه الآية نزلت في أهل الطائف لما دخلوا في الإسلام</w:t>
      </w:r>
      <w:r w:rsidR="003776AC" w:rsidRPr="00904FCB">
        <w:rPr>
          <w:rFonts w:ascii="Arial" w:hAnsi="Arial" w:hint="cs"/>
          <w:sz w:val="27"/>
          <w:rtl/>
        </w:rPr>
        <w:t>،</w:t>
      </w:r>
      <w:r w:rsidRPr="00904FCB">
        <w:rPr>
          <w:rFonts w:ascii="Arial" w:hAnsi="Arial"/>
          <w:sz w:val="27"/>
          <w:rtl/>
        </w:rPr>
        <w:t xml:space="preserve"> والتزموا الصلاة والصيام</w:t>
      </w:r>
      <w:r w:rsidR="003776AC" w:rsidRPr="00904FCB">
        <w:rPr>
          <w:rFonts w:ascii="Arial" w:hAnsi="Arial" w:hint="cs"/>
          <w:sz w:val="27"/>
          <w:rtl/>
        </w:rPr>
        <w:t>،</w:t>
      </w:r>
      <w:r w:rsidRPr="00904FCB">
        <w:rPr>
          <w:rFonts w:ascii="Arial" w:hAnsi="Arial"/>
          <w:sz w:val="27"/>
          <w:rtl/>
        </w:rPr>
        <w:t xml:space="preserve"> وامتنعوا عن ترك الر</w:t>
      </w:r>
      <w:r w:rsidR="003776AC" w:rsidRPr="00904FCB">
        <w:rPr>
          <w:rFonts w:ascii="Arial" w:hAnsi="Arial" w:hint="cs"/>
          <w:sz w:val="27"/>
          <w:rtl/>
        </w:rPr>
        <w:t>ِّ</w:t>
      </w:r>
      <w:r w:rsidRPr="00904FCB">
        <w:rPr>
          <w:rFonts w:ascii="Arial" w:hAnsi="Arial"/>
          <w:sz w:val="27"/>
          <w:rtl/>
        </w:rPr>
        <w:t>با.</w:t>
      </w:r>
      <w:r w:rsidR="003776AC" w:rsidRPr="00904FCB">
        <w:rPr>
          <w:rFonts w:ascii="Arial" w:hAnsi="Arial" w:hint="cs"/>
          <w:sz w:val="27"/>
          <w:rtl/>
        </w:rPr>
        <w:t>.</w:t>
      </w:r>
      <w:r w:rsidRPr="00904FCB">
        <w:rPr>
          <w:rFonts w:ascii="Arial" w:hAnsi="Arial"/>
          <w:sz w:val="27"/>
          <w:rtl/>
        </w:rPr>
        <w:t>. بيّ</w:t>
      </w:r>
      <w:r w:rsidR="003776AC" w:rsidRPr="00904FCB">
        <w:rPr>
          <w:rFonts w:ascii="Arial" w:hAnsi="Arial" w:hint="cs"/>
          <w:sz w:val="27"/>
          <w:rtl/>
        </w:rPr>
        <w:t>َ</w:t>
      </w:r>
      <w:r w:rsidRPr="00904FCB">
        <w:rPr>
          <w:rFonts w:ascii="Arial" w:hAnsi="Arial"/>
          <w:sz w:val="27"/>
          <w:rtl/>
        </w:rPr>
        <w:t xml:space="preserve">ن الله </w:t>
      </w:r>
      <w:r w:rsidR="003776AC" w:rsidRPr="00904FCB">
        <w:rPr>
          <w:rFonts w:ascii="Arial" w:hAnsi="Arial" w:hint="cs"/>
          <w:sz w:val="27"/>
          <w:rtl/>
        </w:rPr>
        <w:t>أ</w:t>
      </w:r>
      <w:r w:rsidRPr="00904FCB">
        <w:rPr>
          <w:rFonts w:ascii="Arial" w:hAnsi="Arial"/>
          <w:sz w:val="27"/>
          <w:rtl/>
        </w:rPr>
        <w:t>نهم محاربون لله ولرسوله</w:t>
      </w:r>
      <w:r w:rsidR="003776AC" w:rsidRPr="00904FCB">
        <w:rPr>
          <w:rFonts w:ascii="Arial" w:hAnsi="Arial" w:hint="cs"/>
          <w:sz w:val="27"/>
          <w:rtl/>
        </w:rPr>
        <w:t>،</w:t>
      </w:r>
      <w:r w:rsidRPr="00904FCB">
        <w:rPr>
          <w:rFonts w:ascii="Arial" w:hAnsi="Arial"/>
          <w:sz w:val="27"/>
          <w:rtl/>
        </w:rPr>
        <w:t xml:space="preserve"> فإذا كان هؤلاء محاربين لله ولرسوله يجب جهادهم فكيف بم</w:t>
      </w:r>
      <w:r w:rsidR="003776AC" w:rsidRPr="00904FCB">
        <w:rPr>
          <w:rFonts w:ascii="Arial" w:hAnsi="Arial" w:hint="cs"/>
          <w:sz w:val="27"/>
          <w:rtl/>
        </w:rPr>
        <w:t>َ</w:t>
      </w:r>
      <w:r w:rsidRPr="00904FCB">
        <w:rPr>
          <w:rFonts w:ascii="Arial" w:hAnsi="Arial"/>
          <w:sz w:val="27"/>
          <w:rtl/>
        </w:rPr>
        <w:t>ن</w:t>
      </w:r>
      <w:r w:rsidR="003776AC" w:rsidRPr="00904FCB">
        <w:rPr>
          <w:rFonts w:ascii="Arial" w:hAnsi="Arial" w:hint="cs"/>
          <w:sz w:val="27"/>
          <w:rtl/>
        </w:rPr>
        <w:t>ْ</w:t>
      </w:r>
      <w:r w:rsidRPr="00904FCB">
        <w:rPr>
          <w:rFonts w:ascii="Arial" w:hAnsi="Arial"/>
          <w:sz w:val="27"/>
          <w:rtl/>
        </w:rPr>
        <w:t xml:space="preserve"> يترك كثيراً من شرائع الإسلام أو أكثرها</w:t>
      </w:r>
      <w:r w:rsidR="003776AC" w:rsidRPr="00904FCB">
        <w:rPr>
          <w:rFonts w:ascii="Arial" w:hAnsi="Arial" w:hint="cs"/>
          <w:sz w:val="27"/>
          <w:rtl/>
        </w:rPr>
        <w:t>،</w:t>
      </w:r>
      <w:r w:rsidRPr="00904FCB">
        <w:rPr>
          <w:rFonts w:ascii="Arial" w:hAnsi="Arial"/>
          <w:sz w:val="27"/>
          <w:rtl/>
        </w:rPr>
        <w:t xml:space="preserve"> كالتتار؟</w:t>
      </w:r>
      <w:r w:rsidR="003776AC" w:rsidRPr="00904FCB">
        <w:rPr>
          <w:rFonts w:ascii="Arial" w:hAnsi="Arial" w:hint="cs"/>
          <w:sz w:val="27"/>
          <w:rtl/>
        </w:rPr>
        <w:t>!</w:t>
      </w:r>
      <w:r w:rsidRPr="00904FCB">
        <w:rPr>
          <w:rFonts w:ascii="Arial" w:hAnsi="Arial"/>
          <w:sz w:val="27"/>
          <w:rtl/>
        </w:rPr>
        <w:t xml:space="preserve"> وقد ات</w:t>
      </w:r>
      <w:r w:rsidR="003776AC" w:rsidRPr="00904FCB">
        <w:rPr>
          <w:rFonts w:ascii="Arial" w:hAnsi="Arial" w:hint="cs"/>
          <w:sz w:val="27"/>
          <w:rtl/>
        </w:rPr>
        <w:t>ّ</w:t>
      </w:r>
      <w:r w:rsidRPr="00904FCB">
        <w:rPr>
          <w:rFonts w:ascii="Arial" w:hAnsi="Arial"/>
          <w:sz w:val="27"/>
          <w:rtl/>
        </w:rPr>
        <w:t>فق علماء المسلمين على أن الطائفة الممتنعة إذا امتنعت عن بعض الواجبات الإسلامية الظاهرة فإنه يجب قتالهم، وإذا تكل</w:t>
      </w:r>
      <w:r w:rsidR="003776AC" w:rsidRPr="00904FCB">
        <w:rPr>
          <w:rFonts w:ascii="Arial" w:hAnsi="Arial" w:hint="cs"/>
          <w:sz w:val="27"/>
          <w:rtl/>
        </w:rPr>
        <w:t>َّ</w:t>
      </w:r>
      <w:r w:rsidRPr="00904FCB">
        <w:rPr>
          <w:rFonts w:ascii="Arial" w:hAnsi="Arial"/>
          <w:sz w:val="27"/>
          <w:rtl/>
        </w:rPr>
        <w:t>موا بالشهادتين وامتنعوا عن الصلاة والزكاة أو صيام شهر رمضان أو حج</w:t>
      </w:r>
      <w:r w:rsidR="003776AC" w:rsidRPr="00904FCB">
        <w:rPr>
          <w:rFonts w:ascii="Arial" w:hAnsi="Arial" w:hint="cs"/>
          <w:sz w:val="27"/>
          <w:rtl/>
        </w:rPr>
        <w:t>ّ</w:t>
      </w:r>
      <w:r w:rsidRPr="00904FCB">
        <w:rPr>
          <w:rFonts w:ascii="Arial" w:hAnsi="Arial"/>
          <w:sz w:val="27"/>
          <w:rtl/>
        </w:rPr>
        <w:t xml:space="preserve"> البيت العتيق أو عن الحكم بينهم بالكتاب والسن</w:t>
      </w:r>
      <w:r w:rsidR="003776AC" w:rsidRPr="00904FCB">
        <w:rPr>
          <w:rFonts w:ascii="Arial" w:hAnsi="Arial" w:hint="cs"/>
          <w:sz w:val="27"/>
          <w:rtl/>
        </w:rPr>
        <w:t>ّ</w:t>
      </w:r>
      <w:r w:rsidRPr="00904FCB">
        <w:rPr>
          <w:rFonts w:ascii="Arial" w:hAnsi="Arial"/>
          <w:sz w:val="27"/>
          <w:rtl/>
        </w:rPr>
        <w:t>ة أو عن تحريم الفواحش أو الخمر أو نكاح ذوات المحارم أو استحلال ذوات النفوس والأموال بغير الحق</w:t>
      </w:r>
      <w:r w:rsidR="003776AC" w:rsidRPr="00904FCB">
        <w:rPr>
          <w:rFonts w:ascii="Arial" w:hAnsi="Arial" w:hint="cs"/>
          <w:sz w:val="27"/>
          <w:rtl/>
        </w:rPr>
        <w:t>ّ</w:t>
      </w:r>
      <w:r w:rsidRPr="00904FCB">
        <w:rPr>
          <w:rFonts w:ascii="Arial" w:hAnsi="Arial"/>
          <w:sz w:val="27"/>
          <w:rtl/>
        </w:rPr>
        <w:t xml:space="preserve"> أو الر</w:t>
      </w:r>
      <w:r w:rsidR="003776AC" w:rsidRPr="00904FCB">
        <w:rPr>
          <w:rFonts w:ascii="Arial" w:hAnsi="Arial" w:hint="cs"/>
          <w:sz w:val="27"/>
          <w:rtl/>
        </w:rPr>
        <w:t>ِّ</w:t>
      </w:r>
      <w:r w:rsidRPr="00904FCB">
        <w:rPr>
          <w:rFonts w:ascii="Arial" w:hAnsi="Arial"/>
          <w:sz w:val="27"/>
          <w:rtl/>
        </w:rPr>
        <w:t>با أو الميسر أو الجهاد للكفار أو عن ضربهم الج</w:t>
      </w:r>
      <w:r w:rsidR="003776AC" w:rsidRPr="00904FCB">
        <w:rPr>
          <w:rFonts w:ascii="Arial" w:hAnsi="Arial" w:hint="cs"/>
          <w:sz w:val="27"/>
          <w:rtl/>
        </w:rPr>
        <w:t>ِ</w:t>
      </w:r>
      <w:r w:rsidRPr="00904FCB">
        <w:rPr>
          <w:rFonts w:ascii="Arial" w:hAnsi="Arial"/>
          <w:sz w:val="27"/>
          <w:rtl/>
        </w:rPr>
        <w:t>ز</w:t>
      </w:r>
      <w:r w:rsidR="003776AC" w:rsidRPr="00904FCB">
        <w:rPr>
          <w:rFonts w:ascii="Arial" w:hAnsi="Arial" w:hint="cs"/>
          <w:sz w:val="27"/>
          <w:rtl/>
        </w:rPr>
        <w:t>ْ</w:t>
      </w:r>
      <w:r w:rsidRPr="00904FCB">
        <w:rPr>
          <w:rFonts w:ascii="Arial" w:hAnsi="Arial"/>
          <w:sz w:val="27"/>
          <w:rtl/>
        </w:rPr>
        <w:t>ية على أهل الكتاب ونحو ذلك من شرائع الإسلام... فإنهم ي</w:t>
      </w:r>
      <w:r w:rsidR="003776AC" w:rsidRPr="00904FCB">
        <w:rPr>
          <w:rFonts w:ascii="Arial" w:hAnsi="Arial" w:hint="cs"/>
          <w:sz w:val="27"/>
          <w:rtl/>
        </w:rPr>
        <w:t>ُ</w:t>
      </w:r>
      <w:r w:rsidRPr="00904FCB">
        <w:rPr>
          <w:rFonts w:ascii="Arial" w:hAnsi="Arial"/>
          <w:sz w:val="27"/>
          <w:rtl/>
        </w:rPr>
        <w:t>قات</w:t>
      </w:r>
      <w:r w:rsidR="003776AC" w:rsidRPr="00904FCB">
        <w:rPr>
          <w:rFonts w:ascii="Arial" w:hAnsi="Arial" w:hint="cs"/>
          <w:sz w:val="27"/>
          <w:rtl/>
        </w:rPr>
        <w:t>َ</w:t>
      </w:r>
      <w:r w:rsidRPr="00904FCB">
        <w:rPr>
          <w:rFonts w:ascii="Arial" w:hAnsi="Arial"/>
          <w:sz w:val="27"/>
          <w:rtl/>
        </w:rPr>
        <w:t>لون عليها</w:t>
      </w:r>
      <w:r w:rsidR="003776AC" w:rsidRPr="00904FCB">
        <w:rPr>
          <w:rFonts w:ascii="Arial" w:hAnsi="Arial" w:hint="cs"/>
          <w:sz w:val="27"/>
          <w:rtl/>
        </w:rPr>
        <w:t>؛</w:t>
      </w:r>
      <w:r w:rsidRPr="00904FCB">
        <w:rPr>
          <w:rFonts w:ascii="Arial" w:hAnsi="Arial"/>
          <w:sz w:val="27"/>
          <w:rtl/>
        </w:rPr>
        <w:t xml:space="preserve"> حت</w:t>
      </w:r>
      <w:r w:rsidR="003776AC" w:rsidRPr="00904FCB">
        <w:rPr>
          <w:rFonts w:ascii="Arial" w:hAnsi="Arial" w:hint="cs"/>
          <w:sz w:val="27"/>
          <w:rtl/>
        </w:rPr>
        <w:t>ّ</w:t>
      </w:r>
      <w:r w:rsidRPr="00904FCB">
        <w:rPr>
          <w:rFonts w:ascii="Arial" w:hAnsi="Arial"/>
          <w:sz w:val="27"/>
          <w:rtl/>
        </w:rPr>
        <w:t>ى يكون الدين كل</w:t>
      </w:r>
      <w:r w:rsidR="003776AC" w:rsidRPr="00904FCB">
        <w:rPr>
          <w:rFonts w:ascii="Arial" w:hAnsi="Arial" w:hint="cs"/>
          <w:sz w:val="27"/>
          <w:rtl/>
        </w:rPr>
        <w:t>ُّ</w:t>
      </w:r>
      <w:r w:rsidRPr="00904FCB">
        <w:rPr>
          <w:rFonts w:ascii="Arial" w:hAnsi="Arial"/>
          <w:sz w:val="27"/>
          <w:rtl/>
        </w:rPr>
        <w:t>ه لله</w:t>
      </w:r>
      <w:r w:rsidR="003776AC" w:rsidRPr="00904FCB">
        <w:rPr>
          <w:rFonts w:ascii="Arial" w:hAnsi="Arial" w:hint="cs"/>
          <w:sz w:val="27"/>
          <w:rtl/>
        </w:rPr>
        <w:t xml:space="preserve">. </w:t>
      </w:r>
      <w:r w:rsidRPr="00904FCB">
        <w:rPr>
          <w:rFonts w:ascii="Arial" w:hAnsi="Arial"/>
          <w:sz w:val="27"/>
          <w:rtl/>
        </w:rPr>
        <w:t>وقد ثبت في الصحيحين أن عمر لما ناظر أبا بكر في مانعي الزكاة، قال له أبو بكر: كيف لا أقاتل م</w:t>
      </w:r>
      <w:r w:rsidR="003776AC" w:rsidRPr="00904FCB">
        <w:rPr>
          <w:rFonts w:ascii="Arial" w:hAnsi="Arial" w:hint="cs"/>
          <w:sz w:val="27"/>
          <w:rtl/>
        </w:rPr>
        <w:t>َ</w:t>
      </w:r>
      <w:r w:rsidRPr="00904FCB">
        <w:rPr>
          <w:rFonts w:ascii="Arial" w:hAnsi="Arial"/>
          <w:sz w:val="27"/>
          <w:rtl/>
        </w:rPr>
        <w:t>ن</w:t>
      </w:r>
      <w:r w:rsidR="003776AC" w:rsidRPr="00904FCB">
        <w:rPr>
          <w:rFonts w:ascii="Arial" w:hAnsi="Arial" w:hint="cs"/>
          <w:sz w:val="27"/>
          <w:rtl/>
        </w:rPr>
        <w:t>ْ</w:t>
      </w:r>
      <w:r w:rsidRPr="00904FCB">
        <w:rPr>
          <w:rFonts w:ascii="Arial" w:hAnsi="Arial"/>
          <w:sz w:val="27"/>
          <w:rtl/>
        </w:rPr>
        <w:t xml:space="preserve"> ترك الحقوق التي أوجبها الله ورسوله وإن</w:t>
      </w:r>
      <w:r w:rsidR="003776AC" w:rsidRPr="00904FCB">
        <w:rPr>
          <w:rFonts w:ascii="Arial" w:hAnsi="Arial" w:hint="cs"/>
          <w:sz w:val="27"/>
          <w:rtl/>
        </w:rPr>
        <w:t>ْ</w:t>
      </w:r>
      <w:r w:rsidRPr="00904FCB">
        <w:rPr>
          <w:rFonts w:ascii="Arial" w:hAnsi="Arial"/>
          <w:sz w:val="27"/>
          <w:rtl/>
        </w:rPr>
        <w:t xml:space="preserve"> كان قد </w:t>
      </w:r>
      <w:r w:rsidR="003776AC" w:rsidRPr="00904FCB">
        <w:rPr>
          <w:rFonts w:ascii="Arial" w:hAnsi="Arial" w:hint="cs"/>
          <w:sz w:val="27"/>
          <w:rtl/>
        </w:rPr>
        <w:t>أ</w:t>
      </w:r>
      <w:r w:rsidRPr="00904FCB">
        <w:rPr>
          <w:rFonts w:ascii="Arial" w:hAnsi="Arial"/>
          <w:sz w:val="27"/>
          <w:rtl/>
        </w:rPr>
        <w:t>سلم</w:t>
      </w:r>
      <w:r w:rsidR="003776AC" w:rsidRPr="00904FCB">
        <w:rPr>
          <w:rFonts w:ascii="Arial" w:hAnsi="Arial" w:hint="cs"/>
          <w:sz w:val="27"/>
          <w:rtl/>
        </w:rPr>
        <w:t xml:space="preserve">، </w:t>
      </w:r>
      <w:r w:rsidRPr="00904FCB">
        <w:rPr>
          <w:rFonts w:ascii="Arial" w:hAnsi="Arial"/>
          <w:sz w:val="27"/>
          <w:rtl/>
        </w:rPr>
        <w:t>كالزكاة؟ وقال له: فإن</w:t>
      </w:r>
      <w:r w:rsidR="00E704EC">
        <w:rPr>
          <w:rFonts w:ascii="Arial" w:hAnsi="Arial" w:hint="cs"/>
          <w:sz w:val="27"/>
          <w:rtl/>
        </w:rPr>
        <w:t>ّ</w:t>
      </w:r>
      <w:r w:rsidRPr="00904FCB">
        <w:rPr>
          <w:rFonts w:ascii="Arial" w:hAnsi="Arial"/>
          <w:sz w:val="27"/>
          <w:rtl/>
        </w:rPr>
        <w:t xml:space="preserve"> الزكاة من حق</w:t>
      </w:r>
      <w:r w:rsidR="003776AC" w:rsidRPr="00904FCB">
        <w:rPr>
          <w:rFonts w:ascii="Arial" w:hAnsi="Arial" w:hint="cs"/>
          <w:sz w:val="27"/>
          <w:rtl/>
        </w:rPr>
        <w:t>ِّ</w:t>
      </w:r>
      <w:r w:rsidRPr="00904FCB">
        <w:rPr>
          <w:rFonts w:ascii="Arial" w:hAnsi="Arial"/>
          <w:sz w:val="27"/>
          <w:rtl/>
        </w:rPr>
        <w:t>ها</w:t>
      </w:r>
      <w:r w:rsidR="003776AC" w:rsidRPr="00904FCB">
        <w:rPr>
          <w:rFonts w:ascii="Arial" w:hAnsi="Arial" w:hint="cs"/>
          <w:sz w:val="27"/>
          <w:rtl/>
        </w:rPr>
        <w:t>،</w:t>
      </w:r>
      <w:r w:rsidRPr="00904FCB">
        <w:rPr>
          <w:rFonts w:ascii="Arial" w:hAnsi="Arial"/>
          <w:sz w:val="27"/>
          <w:rtl/>
        </w:rPr>
        <w:t xml:space="preserve"> والله</w:t>
      </w:r>
      <w:r w:rsidR="003776AC" w:rsidRPr="00904FCB">
        <w:rPr>
          <w:rFonts w:ascii="Arial" w:hAnsi="Arial" w:hint="cs"/>
          <w:sz w:val="27"/>
          <w:rtl/>
        </w:rPr>
        <w:t>ِ</w:t>
      </w:r>
      <w:r w:rsidRPr="00904FCB">
        <w:rPr>
          <w:rFonts w:ascii="Arial" w:hAnsi="Arial"/>
          <w:sz w:val="27"/>
          <w:rtl/>
        </w:rPr>
        <w:t xml:space="preserve"> لو منعوني عقال بعير كانوا يؤد</w:t>
      </w:r>
      <w:r w:rsidR="003776AC" w:rsidRPr="00904FCB">
        <w:rPr>
          <w:rFonts w:ascii="Arial" w:hAnsi="Arial" w:hint="cs"/>
          <w:sz w:val="27"/>
          <w:rtl/>
        </w:rPr>
        <w:t>ّ</w:t>
      </w:r>
      <w:r w:rsidRPr="00904FCB">
        <w:rPr>
          <w:rFonts w:ascii="Arial" w:hAnsi="Arial"/>
          <w:sz w:val="27"/>
          <w:rtl/>
        </w:rPr>
        <w:t>ونها لرسول الله</w:t>
      </w:r>
      <w:r w:rsidR="00635E51" w:rsidRPr="00904FCB">
        <w:rPr>
          <w:rFonts w:ascii="Arial" w:hAnsi="Arial" w:cs="Mosawi" w:hint="cs"/>
          <w:sz w:val="27"/>
          <w:szCs w:val="22"/>
          <w:rtl/>
        </w:rPr>
        <w:t>|</w:t>
      </w:r>
      <w:r w:rsidRPr="00904FCB">
        <w:rPr>
          <w:rFonts w:ascii="Arial" w:hAnsi="Arial"/>
          <w:sz w:val="27"/>
          <w:rtl/>
        </w:rPr>
        <w:t xml:space="preserve"> لقاتلتهم على منعها، قال عمر: فما هو إلا</w:t>
      </w:r>
      <w:r w:rsidR="003776AC" w:rsidRPr="00904FCB">
        <w:rPr>
          <w:rFonts w:ascii="Arial" w:hAnsi="Arial" w:hint="cs"/>
          <w:sz w:val="27"/>
          <w:rtl/>
        </w:rPr>
        <w:t>ّ</w:t>
      </w:r>
      <w:r w:rsidRPr="00904FCB">
        <w:rPr>
          <w:rFonts w:ascii="Arial" w:hAnsi="Arial"/>
          <w:sz w:val="27"/>
          <w:rtl/>
        </w:rPr>
        <w:t xml:space="preserve"> أن</w:t>
      </w:r>
      <w:r w:rsidR="003776AC" w:rsidRPr="00904FCB">
        <w:rPr>
          <w:rFonts w:ascii="Arial" w:hAnsi="Arial" w:hint="cs"/>
          <w:sz w:val="27"/>
          <w:rtl/>
        </w:rPr>
        <w:t>ْ</w:t>
      </w:r>
      <w:r w:rsidRPr="00904FCB">
        <w:rPr>
          <w:rFonts w:ascii="Arial" w:hAnsi="Arial"/>
          <w:sz w:val="27"/>
          <w:rtl/>
        </w:rPr>
        <w:t xml:space="preserve"> رأي</w:t>
      </w:r>
      <w:r w:rsidR="003776AC" w:rsidRPr="00904FCB">
        <w:rPr>
          <w:rFonts w:ascii="Arial" w:hAnsi="Arial" w:hint="cs"/>
          <w:sz w:val="27"/>
          <w:rtl/>
        </w:rPr>
        <w:t>ْ</w:t>
      </w:r>
      <w:r w:rsidRPr="00904FCB">
        <w:rPr>
          <w:rFonts w:ascii="Arial" w:hAnsi="Arial"/>
          <w:sz w:val="27"/>
          <w:rtl/>
        </w:rPr>
        <w:t>ت</w:t>
      </w:r>
      <w:r w:rsidR="003776AC" w:rsidRPr="00904FCB">
        <w:rPr>
          <w:rFonts w:ascii="Arial" w:hAnsi="Arial" w:hint="cs"/>
          <w:sz w:val="27"/>
          <w:rtl/>
        </w:rPr>
        <w:t>ُ</w:t>
      </w:r>
      <w:r w:rsidRPr="00904FCB">
        <w:rPr>
          <w:rFonts w:ascii="Arial" w:hAnsi="Arial"/>
          <w:sz w:val="27"/>
          <w:rtl/>
        </w:rPr>
        <w:t xml:space="preserve"> قد شرح الله صدر أب</w:t>
      </w:r>
      <w:r w:rsidR="003776AC" w:rsidRPr="00904FCB">
        <w:rPr>
          <w:rFonts w:ascii="Arial" w:hAnsi="Arial" w:hint="cs"/>
          <w:sz w:val="27"/>
          <w:rtl/>
        </w:rPr>
        <w:t>ي</w:t>
      </w:r>
      <w:r w:rsidRPr="00904FCB">
        <w:rPr>
          <w:rFonts w:ascii="Arial" w:hAnsi="Arial"/>
          <w:sz w:val="27"/>
          <w:rtl/>
        </w:rPr>
        <w:t xml:space="preserve"> بكر للقتال</w:t>
      </w:r>
      <w:r w:rsidR="003776AC" w:rsidRPr="00904FCB">
        <w:rPr>
          <w:rFonts w:ascii="Arial" w:hAnsi="Arial" w:hint="cs"/>
          <w:sz w:val="27"/>
          <w:rtl/>
        </w:rPr>
        <w:t>،</w:t>
      </w:r>
      <w:r w:rsidRPr="00904FCB">
        <w:rPr>
          <w:rFonts w:ascii="Arial" w:hAnsi="Arial"/>
          <w:sz w:val="27"/>
          <w:rtl/>
        </w:rPr>
        <w:t xml:space="preserve"> فعلم</w:t>
      </w:r>
      <w:r w:rsidR="003776AC" w:rsidRPr="00904FCB">
        <w:rPr>
          <w:rFonts w:ascii="Arial" w:hAnsi="Arial" w:hint="cs"/>
          <w:sz w:val="27"/>
          <w:rtl/>
        </w:rPr>
        <w:t>ْ</w:t>
      </w:r>
      <w:r w:rsidRPr="00904FCB">
        <w:rPr>
          <w:rFonts w:ascii="Arial" w:hAnsi="Arial"/>
          <w:sz w:val="27"/>
          <w:rtl/>
        </w:rPr>
        <w:t>ت</w:t>
      </w:r>
      <w:r w:rsidR="003776AC" w:rsidRPr="00904FCB">
        <w:rPr>
          <w:rFonts w:ascii="Arial" w:hAnsi="Arial" w:hint="cs"/>
          <w:sz w:val="27"/>
          <w:rtl/>
        </w:rPr>
        <w:t>ُ</w:t>
      </w:r>
      <w:r w:rsidRPr="00904FCB">
        <w:rPr>
          <w:rFonts w:ascii="Arial" w:hAnsi="Arial"/>
          <w:sz w:val="27"/>
          <w:rtl/>
        </w:rPr>
        <w:t xml:space="preserve"> أن</w:t>
      </w:r>
      <w:r w:rsidR="003776AC" w:rsidRPr="00904FCB">
        <w:rPr>
          <w:rFonts w:ascii="Arial" w:hAnsi="Arial" w:hint="cs"/>
          <w:sz w:val="27"/>
          <w:rtl/>
        </w:rPr>
        <w:t>ّ</w:t>
      </w:r>
      <w:r w:rsidRPr="00904FCB">
        <w:rPr>
          <w:rFonts w:ascii="Arial" w:hAnsi="Arial"/>
          <w:sz w:val="27"/>
          <w:rtl/>
        </w:rPr>
        <w:t>ه الحق</w:t>
      </w:r>
      <w:r w:rsidR="003776AC" w:rsidRPr="00904FCB">
        <w:rPr>
          <w:rFonts w:ascii="Arial" w:hAnsi="Arial" w:hint="cs"/>
          <w:sz w:val="27"/>
          <w:rtl/>
        </w:rPr>
        <w:t>ّ</w:t>
      </w:r>
      <w:r w:rsidRPr="00904FCB">
        <w:rPr>
          <w:rFonts w:ascii="Arial" w:hAnsi="Arial"/>
          <w:sz w:val="27"/>
          <w:rtl/>
        </w:rPr>
        <w:t>. وقد ثبت في الصحيح غير مر</w:t>
      </w:r>
      <w:r w:rsidR="003776AC" w:rsidRPr="00904FCB">
        <w:rPr>
          <w:rFonts w:ascii="Arial" w:hAnsi="Arial" w:hint="cs"/>
          <w:sz w:val="27"/>
          <w:rtl/>
        </w:rPr>
        <w:t>ّ</w:t>
      </w:r>
      <w:r w:rsidRPr="00904FCB">
        <w:rPr>
          <w:rFonts w:ascii="Arial" w:hAnsi="Arial"/>
          <w:sz w:val="27"/>
          <w:rtl/>
        </w:rPr>
        <w:t>ة</w:t>
      </w:r>
      <w:r w:rsidR="003776AC" w:rsidRPr="00904FCB">
        <w:rPr>
          <w:rFonts w:ascii="Arial" w:hAnsi="Arial" w:hint="cs"/>
          <w:sz w:val="27"/>
          <w:rtl/>
        </w:rPr>
        <w:t>ٍ</w:t>
      </w:r>
      <w:r w:rsidRPr="00904FCB">
        <w:rPr>
          <w:rFonts w:ascii="Arial" w:hAnsi="Arial"/>
          <w:sz w:val="27"/>
          <w:rtl/>
        </w:rPr>
        <w:t xml:space="preserve"> أن النبي</w:t>
      </w:r>
      <w:r w:rsidR="003776AC" w:rsidRPr="00904FCB">
        <w:rPr>
          <w:rFonts w:ascii="Arial" w:hAnsi="Arial" w:hint="cs"/>
          <w:sz w:val="27"/>
          <w:rtl/>
        </w:rPr>
        <w:t>ّ</w:t>
      </w:r>
      <w:r w:rsidR="00635E51" w:rsidRPr="00904FCB">
        <w:rPr>
          <w:rFonts w:ascii="Arial" w:hAnsi="Arial" w:cs="Mosawi"/>
          <w:sz w:val="27"/>
          <w:szCs w:val="22"/>
          <w:rtl/>
        </w:rPr>
        <w:t>|</w:t>
      </w:r>
      <w:r w:rsidRPr="00904FCB">
        <w:rPr>
          <w:rFonts w:ascii="Arial" w:hAnsi="Arial"/>
          <w:sz w:val="27"/>
          <w:rtl/>
        </w:rPr>
        <w:t xml:space="preserve"> ذكر الخوارج</w:t>
      </w:r>
      <w:r w:rsidR="003776AC" w:rsidRPr="00904FCB">
        <w:rPr>
          <w:rFonts w:ascii="Arial" w:hAnsi="Arial" w:hint="cs"/>
          <w:sz w:val="27"/>
          <w:rtl/>
        </w:rPr>
        <w:t>،</w:t>
      </w:r>
      <w:r w:rsidRPr="00904FCB">
        <w:rPr>
          <w:rFonts w:ascii="Arial" w:hAnsi="Arial"/>
          <w:sz w:val="27"/>
          <w:rtl/>
        </w:rPr>
        <w:t xml:space="preserve"> وقال فيهم</w:t>
      </w:r>
      <w:r w:rsidR="003776AC" w:rsidRPr="00904FCB">
        <w:rPr>
          <w:rFonts w:ascii="Arial" w:hAnsi="Arial" w:hint="cs"/>
          <w:sz w:val="27"/>
          <w:rtl/>
        </w:rPr>
        <w:t>:</w:t>
      </w:r>
      <w:r w:rsidRPr="00904FCB">
        <w:rPr>
          <w:rFonts w:ascii="Arial" w:hAnsi="Arial"/>
          <w:sz w:val="27"/>
          <w:rtl/>
        </w:rPr>
        <w:t xml:space="preserve"> </w:t>
      </w:r>
      <w:r w:rsidR="003776AC" w:rsidRPr="00904FCB">
        <w:rPr>
          <w:rFonts w:hint="eastAsia"/>
          <w:sz w:val="27"/>
          <w:rtl/>
        </w:rPr>
        <w:t>«</w:t>
      </w:r>
      <w:r w:rsidRPr="00904FCB">
        <w:rPr>
          <w:rFonts w:ascii="Arial" w:hAnsi="Arial"/>
          <w:sz w:val="27"/>
          <w:rtl/>
        </w:rPr>
        <w:t>يحقر أحدكم صلاته مع صلاتهم</w:t>
      </w:r>
      <w:r w:rsidR="003776AC" w:rsidRPr="00904FCB">
        <w:rPr>
          <w:rFonts w:ascii="Arial" w:hAnsi="Arial" w:hint="cs"/>
          <w:sz w:val="27"/>
          <w:rtl/>
        </w:rPr>
        <w:t>،</w:t>
      </w:r>
      <w:r w:rsidRPr="00904FCB">
        <w:rPr>
          <w:rFonts w:ascii="Arial" w:hAnsi="Arial"/>
          <w:sz w:val="27"/>
          <w:rtl/>
        </w:rPr>
        <w:t xml:space="preserve"> وصيامه مع صيامهم</w:t>
      </w:r>
      <w:r w:rsidR="003776AC" w:rsidRPr="00904FCB">
        <w:rPr>
          <w:rFonts w:ascii="Arial" w:hAnsi="Arial" w:hint="cs"/>
          <w:sz w:val="27"/>
          <w:rtl/>
        </w:rPr>
        <w:t>،</w:t>
      </w:r>
      <w:r w:rsidRPr="00904FCB">
        <w:rPr>
          <w:rFonts w:ascii="Arial" w:hAnsi="Arial"/>
          <w:sz w:val="27"/>
          <w:rtl/>
        </w:rPr>
        <w:t xml:space="preserve"> وقراءته مع قراءتهم</w:t>
      </w:r>
      <w:r w:rsidR="003776AC" w:rsidRPr="00904FCB">
        <w:rPr>
          <w:rFonts w:ascii="Arial" w:hAnsi="Arial" w:hint="cs"/>
          <w:sz w:val="27"/>
          <w:rtl/>
        </w:rPr>
        <w:t>،</w:t>
      </w:r>
      <w:r w:rsidRPr="00904FCB">
        <w:rPr>
          <w:rFonts w:ascii="Arial" w:hAnsi="Arial"/>
          <w:sz w:val="27"/>
          <w:rtl/>
        </w:rPr>
        <w:t xml:space="preserve"> يقرأون القرآن لا يجاوز حناجرهم</w:t>
      </w:r>
      <w:r w:rsidR="003776AC" w:rsidRPr="00904FCB">
        <w:rPr>
          <w:rFonts w:ascii="Arial" w:hAnsi="Arial" w:hint="cs"/>
          <w:sz w:val="27"/>
          <w:rtl/>
        </w:rPr>
        <w:t>،</w:t>
      </w:r>
      <w:r w:rsidRPr="00904FCB">
        <w:rPr>
          <w:rFonts w:ascii="Arial" w:hAnsi="Arial"/>
          <w:sz w:val="27"/>
          <w:rtl/>
        </w:rPr>
        <w:t xml:space="preserve"> يمرقون من الإسلام كما يمرق السهم من الرمية</w:t>
      </w:r>
      <w:r w:rsidR="003776AC" w:rsidRPr="00904FCB">
        <w:rPr>
          <w:rFonts w:ascii="Arial" w:hAnsi="Arial" w:hint="cs"/>
          <w:sz w:val="27"/>
          <w:rtl/>
        </w:rPr>
        <w:t>،</w:t>
      </w:r>
      <w:r w:rsidRPr="00904FCB">
        <w:rPr>
          <w:rFonts w:ascii="Arial" w:hAnsi="Arial"/>
          <w:sz w:val="27"/>
          <w:rtl/>
        </w:rPr>
        <w:t xml:space="preserve"> أينما لقيتموهم فاقتلوهم</w:t>
      </w:r>
      <w:r w:rsidR="003776AC" w:rsidRPr="00904FCB">
        <w:rPr>
          <w:rFonts w:ascii="Arial" w:hAnsi="Arial" w:hint="cs"/>
          <w:sz w:val="27"/>
          <w:rtl/>
        </w:rPr>
        <w:t>؛</w:t>
      </w:r>
      <w:r w:rsidRPr="00904FCB">
        <w:rPr>
          <w:rFonts w:ascii="Arial" w:hAnsi="Arial"/>
          <w:sz w:val="27"/>
          <w:rtl/>
        </w:rPr>
        <w:t xml:space="preserve"> فإن</w:t>
      </w:r>
      <w:r w:rsidR="003776AC" w:rsidRPr="00904FCB">
        <w:rPr>
          <w:rFonts w:ascii="Arial" w:hAnsi="Arial" w:hint="cs"/>
          <w:sz w:val="27"/>
          <w:rtl/>
        </w:rPr>
        <w:t>ّ</w:t>
      </w:r>
      <w:r w:rsidRPr="00904FCB">
        <w:rPr>
          <w:rFonts w:ascii="Arial" w:hAnsi="Arial"/>
          <w:sz w:val="27"/>
          <w:rtl/>
        </w:rPr>
        <w:t xml:space="preserve"> في قتلهم أجراً عند الله لم</w:t>
      </w:r>
      <w:r w:rsidR="003776AC" w:rsidRPr="00904FCB">
        <w:rPr>
          <w:rFonts w:ascii="Arial" w:hAnsi="Arial" w:hint="cs"/>
          <w:sz w:val="27"/>
          <w:rtl/>
        </w:rPr>
        <w:t>َ</w:t>
      </w:r>
      <w:r w:rsidRPr="00904FCB">
        <w:rPr>
          <w:rFonts w:ascii="Arial" w:hAnsi="Arial"/>
          <w:sz w:val="27"/>
          <w:rtl/>
        </w:rPr>
        <w:t>ن</w:t>
      </w:r>
      <w:r w:rsidR="003776AC" w:rsidRPr="00904FCB">
        <w:rPr>
          <w:rFonts w:ascii="Arial" w:hAnsi="Arial" w:hint="cs"/>
          <w:sz w:val="27"/>
          <w:rtl/>
        </w:rPr>
        <w:t>ْ</w:t>
      </w:r>
      <w:r w:rsidRPr="00904FCB">
        <w:rPr>
          <w:rFonts w:ascii="Arial" w:hAnsi="Arial"/>
          <w:sz w:val="27"/>
          <w:rtl/>
        </w:rPr>
        <w:t xml:space="preserve"> قتلهم يوم القيامة</w:t>
      </w:r>
      <w:r w:rsidR="003776AC" w:rsidRPr="00904FCB">
        <w:rPr>
          <w:rFonts w:ascii="Arial" w:hAnsi="Arial" w:hint="cs"/>
          <w:sz w:val="27"/>
          <w:rtl/>
        </w:rPr>
        <w:t>.</w:t>
      </w:r>
      <w:r w:rsidRPr="00904FCB">
        <w:rPr>
          <w:rFonts w:ascii="Arial" w:hAnsi="Arial"/>
          <w:sz w:val="27"/>
          <w:rtl/>
        </w:rPr>
        <w:t xml:space="preserve"> ل</w:t>
      </w:r>
      <w:r w:rsidR="003776AC" w:rsidRPr="00904FCB">
        <w:rPr>
          <w:rFonts w:ascii="Arial" w:hAnsi="Arial" w:hint="cs"/>
          <w:sz w:val="27"/>
          <w:rtl/>
        </w:rPr>
        <w:t>ئ</w:t>
      </w:r>
      <w:r w:rsidRPr="00904FCB">
        <w:rPr>
          <w:rFonts w:ascii="Arial" w:hAnsi="Arial"/>
          <w:sz w:val="27"/>
          <w:rtl/>
        </w:rPr>
        <w:t xml:space="preserve">ن </w:t>
      </w:r>
      <w:r w:rsidR="003776AC" w:rsidRPr="00904FCB">
        <w:rPr>
          <w:rFonts w:ascii="Arial" w:hAnsi="Arial" w:hint="cs"/>
          <w:sz w:val="27"/>
          <w:rtl/>
        </w:rPr>
        <w:t>أ</w:t>
      </w:r>
      <w:r w:rsidRPr="00904FCB">
        <w:rPr>
          <w:rFonts w:ascii="Arial" w:hAnsi="Arial"/>
          <w:sz w:val="27"/>
          <w:rtl/>
        </w:rPr>
        <w:t>دركتهم ل</w:t>
      </w:r>
      <w:r w:rsidR="003776AC" w:rsidRPr="00904FCB">
        <w:rPr>
          <w:rFonts w:ascii="Arial" w:hAnsi="Arial" w:hint="cs"/>
          <w:sz w:val="27"/>
          <w:rtl/>
        </w:rPr>
        <w:t>أ</w:t>
      </w:r>
      <w:r w:rsidRPr="00904FCB">
        <w:rPr>
          <w:rFonts w:ascii="Arial" w:hAnsi="Arial"/>
          <w:sz w:val="27"/>
          <w:rtl/>
        </w:rPr>
        <w:t>قتلنهم قتل عاد</w:t>
      </w:r>
      <w:r w:rsidR="003776AC" w:rsidRPr="00904FCB">
        <w:rPr>
          <w:rFonts w:hint="eastAsia"/>
          <w:sz w:val="27"/>
          <w:rtl/>
        </w:rPr>
        <w:t>»</w:t>
      </w:r>
      <w:r w:rsidRPr="00904FCB">
        <w:rPr>
          <w:rFonts w:ascii="Arial" w:hAnsi="Arial"/>
          <w:sz w:val="27"/>
          <w:rtl/>
        </w:rPr>
        <w:t>. وقد ات</w:t>
      </w:r>
      <w:r w:rsidR="003776AC" w:rsidRPr="00904FCB">
        <w:rPr>
          <w:rFonts w:ascii="Arial" w:hAnsi="Arial" w:hint="cs"/>
          <w:sz w:val="27"/>
          <w:rtl/>
        </w:rPr>
        <w:t>ّ</w:t>
      </w:r>
      <w:r w:rsidRPr="00904FCB">
        <w:rPr>
          <w:rFonts w:ascii="Arial" w:hAnsi="Arial"/>
          <w:sz w:val="27"/>
          <w:rtl/>
        </w:rPr>
        <w:t>فق الس</w:t>
      </w:r>
      <w:r w:rsidR="003776AC" w:rsidRPr="00904FCB">
        <w:rPr>
          <w:rFonts w:ascii="Arial" w:hAnsi="Arial" w:hint="cs"/>
          <w:sz w:val="27"/>
          <w:rtl/>
        </w:rPr>
        <w:t>َّ</w:t>
      </w:r>
      <w:r w:rsidRPr="00904FCB">
        <w:rPr>
          <w:rFonts w:ascii="Arial" w:hAnsi="Arial"/>
          <w:sz w:val="27"/>
          <w:rtl/>
        </w:rPr>
        <w:t>ل</w:t>
      </w:r>
      <w:r w:rsidR="003776AC" w:rsidRPr="00904FCB">
        <w:rPr>
          <w:rFonts w:ascii="Arial" w:hAnsi="Arial" w:hint="cs"/>
          <w:sz w:val="27"/>
          <w:rtl/>
        </w:rPr>
        <w:t>َ</w:t>
      </w:r>
      <w:r w:rsidRPr="00904FCB">
        <w:rPr>
          <w:rFonts w:ascii="Arial" w:hAnsi="Arial"/>
          <w:sz w:val="27"/>
          <w:rtl/>
        </w:rPr>
        <w:t>ف والأئمة على قتال هؤلاء</w:t>
      </w:r>
      <w:r w:rsidR="003776AC" w:rsidRPr="00904FCB">
        <w:rPr>
          <w:rFonts w:ascii="Arial" w:hAnsi="Arial" w:hint="cs"/>
          <w:sz w:val="27"/>
          <w:rtl/>
        </w:rPr>
        <w:t>،</w:t>
      </w:r>
      <w:r w:rsidRPr="00904FCB">
        <w:rPr>
          <w:rFonts w:ascii="Arial" w:hAnsi="Arial"/>
          <w:sz w:val="27"/>
          <w:rtl/>
        </w:rPr>
        <w:t xml:space="preserve"> وأول م</w:t>
      </w:r>
      <w:r w:rsidR="003776AC" w:rsidRPr="00904FCB">
        <w:rPr>
          <w:rFonts w:ascii="Arial" w:hAnsi="Arial" w:hint="cs"/>
          <w:sz w:val="27"/>
          <w:rtl/>
        </w:rPr>
        <w:t>َ</w:t>
      </w:r>
      <w:r w:rsidRPr="00904FCB">
        <w:rPr>
          <w:rFonts w:ascii="Arial" w:hAnsi="Arial"/>
          <w:sz w:val="27"/>
          <w:rtl/>
        </w:rPr>
        <w:t>ن</w:t>
      </w:r>
      <w:r w:rsidR="003776AC" w:rsidRPr="00904FCB">
        <w:rPr>
          <w:rFonts w:ascii="Arial" w:hAnsi="Arial" w:hint="cs"/>
          <w:sz w:val="27"/>
          <w:rtl/>
        </w:rPr>
        <w:t>ْ</w:t>
      </w:r>
      <w:r w:rsidRPr="00904FCB">
        <w:rPr>
          <w:rFonts w:ascii="Arial" w:hAnsi="Arial"/>
          <w:sz w:val="27"/>
          <w:rtl/>
        </w:rPr>
        <w:t xml:space="preserve"> قاتلهم علي</w:t>
      </w:r>
      <w:r w:rsidR="003776AC" w:rsidRPr="00904FCB">
        <w:rPr>
          <w:rFonts w:ascii="Arial" w:hAnsi="Arial" w:hint="cs"/>
          <w:sz w:val="27"/>
          <w:rtl/>
        </w:rPr>
        <w:t>ّ</w:t>
      </w:r>
      <w:r w:rsidRPr="00904FCB">
        <w:rPr>
          <w:rFonts w:ascii="Arial" w:hAnsi="Arial"/>
          <w:sz w:val="27"/>
          <w:rtl/>
        </w:rPr>
        <w:t xml:space="preserve"> بن أب</w:t>
      </w:r>
      <w:r w:rsidR="003776AC" w:rsidRPr="00904FCB">
        <w:rPr>
          <w:rFonts w:ascii="Arial" w:hAnsi="Arial" w:hint="cs"/>
          <w:sz w:val="27"/>
          <w:rtl/>
        </w:rPr>
        <w:t>ي</w:t>
      </w:r>
      <w:r w:rsidRPr="00904FCB">
        <w:rPr>
          <w:rFonts w:ascii="Arial" w:hAnsi="Arial"/>
          <w:sz w:val="27"/>
          <w:rtl/>
        </w:rPr>
        <w:t xml:space="preserve"> طالب</w:t>
      </w:r>
      <w:r w:rsidR="003776AC" w:rsidRPr="00904FCB">
        <w:rPr>
          <w:rFonts w:ascii="Arial" w:hAnsi="Arial" w:hint="cs"/>
          <w:sz w:val="27"/>
          <w:rtl/>
        </w:rPr>
        <w:t xml:space="preserve"> (رضي الله عنه)، </w:t>
      </w:r>
      <w:r w:rsidRPr="00904FCB">
        <w:rPr>
          <w:rFonts w:ascii="Arial" w:hAnsi="Arial"/>
          <w:sz w:val="27"/>
          <w:rtl/>
        </w:rPr>
        <w:t xml:space="preserve">وما زال المسلمون </w:t>
      </w:r>
      <w:r w:rsidR="0077746D">
        <w:rPr>
          <w:rFonts w:ascii="Arial" w:hAnsi="Arial" w:hint="cs"/>
          <w:sz w:val="27"/>
          <w:rtl/>
        </w:rPr>
        <w:t xml:space="preserve">يقاتلون </w:t>
      </w:r>
      <w:r w:rsidRPr="00904FCB">
        <w:rPr>
          <w:rFonts w:ascii="Arial" w:hAnsi="Arial"/>
          <w:sz w:val="27"/>
          <w:rtl/>
        </w:rPr>
        <w:t>في صدر خلافة بني أمي</w:t>
      </w:r>
      <w:r w:rsidR="003776AC" w:rsidRPr="00904FCB">
        <w:rPr>
          <w:rFonts w:ascii="Arial" w:hAnsi="Arial" w:hint="cs"/>
          <w:sz w:val="27"/>
          <w:rtl/>
        </w:rPr>
        <w:t>ّ</w:t>
      </w:r>
      <w:r w:rsidRPr="00904FCB">
        <w:rPr>
          <w:rFonts w:ascii="Arial" w:hAnsi="Arial"/>
          <w:sz w:val="27"/>
          <w:rtl/>
        </w:rPr>
        <w:t>ة وبني العباس مع الأمرا</w:t>
      </w:r>
      <w:r w:rsidR="0077746D">
        <w:rPr>
          <w:rFonts w:ascii="Arial" w:hAnsi="Arial" w:hint="cs"/>
          <w:sz w:val="27"/>
          <w:rtl/>
        </w:rPr>
        <w:t>ء</w:t>
      </w:r>
      <w:r w:rsidRPr="00904FCB">
        <w:rPr>
          <w:rFonts w:ascii="Arial" w:hAnsi="Arial"/>
          <w:sz w:val="27"/>
          <w:rtl/>
        </w:rPr>
        <w:t xml:space="preserve"> و</w:t>
      </w:r>
      <w:r w:rsidR="003776AC" w:rsidRPr="00904FCB">
        <w:rPr>
          <w:rFonts w:ascii="Arial" w:hAnsi="Arial" w:hint="cs"/>
          <w:sz w:val="27"/>
          <w:rtl/>
        </w:rPr>
        <w:t>إ</w:t>
      </w:r>
      <w:r w:rsidRPr="00904FCB">
        <w:rPr>
          <w:rFonts w:ascii="Arial" w:hAnsi="Arial"/>
          <w:sz w:val="27"/>
          <w:rtl/>
        </w:rPr>
        <w:t>ن</w:t>
      </w:r>
      <w:r w:rsidR="003776AC" w:rsidRPr="00904FCB">
        <w:rPr>
          <w:rFonts w:ascii="Arial" w:hAnsi="Arial" w:hint="cs"/>
          <w:sz w:val="27"/>
          <w:rtl/>
        </w:rPr>
        <w:t>ْ</w:t>
      </w:r>
      <w:r w:rsidRPr="00904FCB">
        <w:rPr>
          <w:rFonts w:ascii="Arial" w:hAnsi="Arial"/>
          <w:sz w:val="27"/>
          <w:rtl/>
        </w:rPr>
        <w:t xml:space="preserve"> كانوا ظلمة</w:t>
      </w:r>
      <w:r w:rsidR="003776AC" w:rsidRPr="00904FCB">
        <w:rPr>
          <w:rFonts w:ascii="Arial" w:hAnsi="Arial" w:hint="cs"/>
          <w:sz w:val="27"/>
          <w:rtl/>
        </w:rPr>
        <w:t>ً</w:t>
      </w:r>
      <w:r w:rsidRPr="00904FCB">
        <w:rPr>
          <w:rFonts w:ascii="Arial" w:hAnsi="Arial"/>
          <w:sz w:val="27"/>
          <w:rtl/>
        </w:rPr>
        <w:t xml:space="preserve"> </w:t>
      </w:r>
      <w:r w:rsidR="0077746D">
        <w:rPr>
          <w:rFonts w:ascii="Arial" w:hAnsi="Arial" w:hint="cs"/>
          <w:sz w:val="27"/>
          <w:rtl/>
        </w:rPr>
        <w:t xml:space="preserve">ـ </w:t>
      </w:r>
      <w:r w:rsidRPr="00904FCB">
        <w:rPr>
          <w:rFonts w:ascii="Arial" w:hAnsi="Arial"/>
          <w:sz w:val="27"/>
          <w:rtl/>
        </w:rPr>
        <w:t>كان الحج</w:t>
      </w:r>
      <w:r w:rsidR="0077746D">
        <w:rPr>
          <w:rFonts w:ascii="Arial" w:hAnsi="Arial" w:hint="cs"/>
          <w:sz w:val="27"/>
          <w:rtl/>
        </w:rPr>
        <w:t>ّ</w:t>
      </w:r>
      <w:r w:rsidRPr="00904FCB">
        <w:rPr>
          <w:rFonts w:ascii="Arial" w:hAnsi="Arial"/>
          <w:sz w:val="27"/>
          <w:rtl/>
        </w:rPr>
        <w:t>اج ونوابه مم</w:t>
      </w:r>
      <w:r w:rsidR="003776AC" w:rsidRPr="00904FCB">
        <w:rPr>
          <w:rFonts w:ascii="Arial" w:hAnsi="Arial" w:hint="cs"/>
          <w:sz w:val="27"/>
          <w:rtl/>
        </w:rPr>
        <w:t>َّ</w:t>
      </w:r>
      <w:r w:rsidRPr="00904FCB">
        <w:rPr>
          <w:rFonts w:ascii="Arial" w:hAnsi="Arial"/>
          <w:sz w:val="27"/>
          <w:rtl/>
        </w:rPr>
        <w:t>ن</w:t>
      </w:r>
      <w:r w:rsidR="003776AC" w:rsidRPr="00904FCB">
        <w:rPr>
          <w:rFonts w:ascii="Arial" w:hAnsi="Arial" w:hint="cs"/>
          <w:sz w:val="27"/>
          <w:rtl/>
        </w:rPr>
        <w:t>ْ</w:t>
      </w:r>
      <w:r w:rsidRPr="00904FCB">
        <w:rPr>
          <w:rFonts w:ascii="Arial" w:hAnsi="Arial"/>
          <w:sz w:val="27"/>
          <w:rtl/>
        </w:rPr>
        <w:t xml:space="preserve"> يقاتلونه</w:t>
      </w:r>
      <w:r w:rsidR="0077746D">
        <w:rPr>
          <w:rFonts w:ascii="Arial" w:hAnsi="Arial" w:hint="cs"/>
          <w:sz w:val="27"/>
          <w:rtl/>
        </w:rPr>
        <w:t>م ـ</w:t>
      </w:r>
      <w:r w:rsidR="003776AC" w:rsidRPr="00904FCB">
        <w:rPr>
          <w:rFonts w:ascii="Arial" w:hAnsi="Arial" w:hint="cs"/>
          <w:sz w:val="27"/>
          <w:rtl/>
        </w:rPr>
        <w:t>،</w:t>
      </w:r>
      <w:r w:rsidRPr="00904FCB">
        <w:rPr>
          <w:rFonts w:ascii="Arial" w:hAnsi="Arial"/>
          <w:sz w:val="27"/>
          <w:rtl/>
        </w:rPr>
        <w:t xml:space="preserve"> فكل</w:t>
      </w:r>
      <w:r w:rsidR="003776AC" w:rsidRPr="00904FCB">
        <w:rPr>
          <w:rFonts w:ascii="Arial" w:hAnsi="Arial" w:hint="cs"/>
          <w:sz w:val="27"/>
          <w:rtl/>
        </w:rPr>
        <w:t>ّ</w:t>
      </w:r>
      <w:r w:rsidRPr="00904FCB">
        <w:rPr>
          <w:rFonts w:ascii="Arial" w:hAnsi="Arial"/>
          <w:sz w:val="27"/>
          <w:rtl/>
        </w:rPr>
        <w:t xml:space="preserve"> أئمة المسلمين يأمرون بقتالهم</w:t>
      </w:r>
      <w:r w:rsidR="00913A6F" w:rsidRPr="00904FCB">
        <w:rPr>
          <w:rFonts w:ascii="Arial" w:hAnsi="Arial" w:hint="cs"/>
          <w:sz w:val="27"/>
          <w:rtl/>
        </w:rPr>
        <w:t>.</w:t>
      </w:r>
      <w:r w:rsidRPr="00904FCB">
        <w:rPr>
          <w:rFonts w:ascii="Arial" w:hAnsi="Arial"/>
          <w:sz w:val="27"/>
          <w:rtl/>
        </w:rPr>
        <w:t xml:space="preserve"> التتار وأشباههم (أمثال حك</w:t>
      </w:r>
      <w:r w:rsidR="003776AC" w:rsidRPr="00904FCB">
        <w:rPr>
          <w:rFonts w:ascii="Arial" w:hAnsi="Arial" w:hint="cs"/>
          <w:sz w:val="27"/>
          <w:rtl/>
        </w:rPr>
        <w:t>ّ</w:t>
      </w:r>
      <w:r w:rsidRPr="00904FCB">
        <w:rPr>
          <w:rFonts w:ascii="Arial" w:hAnsi="Arial"/>
          <w:sz w:val="27"/>
          <w:rtl/>
        </w:rPr>
        <w:t>ام اليوم) أعظم خروجاً عن شريعة الإسلام من مانعي الزكاة والخوارج من أهل الطائف الذين امتنعوا عن ترك الر</w:t>
      </w:r>
      <w:r w:rsidR="00913A6F" w:rsidRPr="00904FCB">
        <w:rPr>
          <w:rFonts w:ascii="Arial" w:hAnsi="Arial" w:hint="cs"/>
          <w:sz w:val="27"/>
          <w:rtl/>
        </w:rPr>
        <w:t>ِّ</w:t>
      </w:r>
      <w:r w:rsidRPr="00904FCB">
        <w:rPr>
          <w:rFonts w:ascii="Arial" w:hAnsi="Arial"/>
          <w:sz w:val="27"/>
          <w:rtl/>
        </w:rPr>
        <w:t>با</w:t>
      </w:r>
      <w:r w:rsidR="00913A6F" w:rsidRPr="00904FCB">
        <w:rPr>
          <w:rFonts w:ascii="Arial" w:hAnsi="Arial" w:hint="cs"/>
          <w:sz w:val="27"/>
          <w:rtl/>
        </w:rPr>
        <w:t>.</w:t>
      </w:r>
      <w:r w:rsidRPr="00904FCB">
        <w:rPr>
          <w:rFonts w:ascii="Arial" w:hAnsi="Arial"/>
          <w:sz w:val="27"/>
          <w:rtl/>
        </w:rPr>
        <w:t xml:space="preserve"> فم</w:t>
      </w:r>
      <w:r w:rsidR="00913A6F" w:rsidRPr="00904FCB">
        <w:rPr>
          <w:rFonts w:ascii="Arial" w:hAnsi="Arial" w:hint="cs"/>
          <w:sz w:val="27"/>
          <w:rtl/>
        </w:rPr>
        <w:t>َ</w:t>
      </w:r>
      <w:r w:rsidRPr="00904FCB">
        <w:rPr>
          <w:rFonts w:ascii="Arial" w:hAnsi="Arial"/>
          <w:sz w:val="27"/>
          <w:rtl/>
        </w:rPr>
        <w:t>ن</w:t>
      </w:r>
      <w:r w:rsidR="00913A6F" w:rsidRPr="00904FCB">
        <w:rPr>
          <w:rFonts w:ascii="Arial" w:hAnsi="Arial" w:hint="cs"/>
          <w:sz w:val="27"/>
          <w:rtl/>
        </w:rPr>
        <w:t>ْ</w:t>
      </w:r>
      <w:r w:rsidRPr="00904FCB">
        <w:rPr>
          <w:rFonts w:ascii="Arial" w:hAnsi="Arial"/>
          <w:sz w:val="27"/>
          <w:rtl/>
        </w:rPr>
        <w:t xml:space="preserve"> </w:t>
      </w:r>
      <w:r w:rsidRPr="00904FCB">
        <w:rPr>
          <w:rFonts w:ascii="Arial" w:hAnsi="Arial"/>
          <w:sz w:val="27"/>
          <w:rtl/>
        </w:rPr>
        <w:lastRenderedPageBreak/>
        <w:t>شك في قتالهم فهو أجهل الناس بدين الإسلام</w:t>
      </w:r>
      <w:r w:rsidR="00913A6F" w:rsidRPr="00904FCB">
        <w:rPr>
          <w:rFonts w:ascii="Arial" w:hAnsi="Arial" w:hint="cs"/>
          <w:sz w:val="27"/>
          <w:rtl/>
        </w:rPr>
        <w:t>.</w:t>
      </w:r>
      <w:r w:rsidRPr="00904FCB">
        <w:rPr>
          <w:rFonts w:ascii="Arial" w:hAnsi="Arial"/>
          <w:sz w:val="27"/>
          <w:rtl/>
        </w:rPr>
        <w:t xml:space="preserve"> وحيث وجب قتالهم قوتلوا</w:t>
      </w:r>
      <w:r w:rsidR="00913A6F" w:rsidRPr="00904FCB">
        <w:rPr>
          <w:rFonts w:ascii="Arial" w:hAnsi="Arial" w:hint="cs"/>
          <w:sz w:val="27"/>
          <w:rtl/>
        </w:rPr>
        <w:t>،</w:t>
      </w:r>
      <w:r w:rsidRPr="00904FCB">
        <w:rPr>
          <w:rFonts w:ascii="Arial" w:hAnsi="Arial"/>
          <w:sz w:val="27"/>
          <w:rtl/>
        </w:rPr>
        <w:t xml:space="preserve"> وإن</w:t>
      </w:r>
      <w:r w:rsidR="00913A6F" w:rsidRPr="00904FCB">
        <w:rPr>
          <w:rFonts w:ascii="Arial" w:hAnsi="Arial" w:hint="cs"/>
          <w:sz w:val="27"/>
          <w:rtl/>
        </w:rPr>
        <w:t>ْ</w:t>
      </w:r>
      <w:r w:rsidRPr="00904FCB">
        <w:rPr>
          <w:rFonts w:ascii="Arial" w:hAnsi="Arial"/>
          <w:sz w:val="27"/>
          <w:rtl/>
        </w:rPr>
        <w:t xml:space="preserve"> كان فيهم المكره</w:t>
      </w:r>
      <w:r w:rsidRPr="00904FCB">
        <w:rPr>
          <w:rFonts w:hint="eastAsia"/>
          <w:sz w:val="27"/>
          <w:rtl/>
        </w:rPr>
        <w:t>»</w:t>
      </w:r>
      <w:r w:rsidRPr="00904FCB">
        <w:rPr>
          <w:sz w:val="27"/>
          <w:vertAlign w:val="superscript"/>
          <w:rtl/>
        </w:rPr>
        <w:t>(</w:t>
      </w:r>
      <w:r w:rsidRPr="00904FCB">
        <w:rPr>
          <w:sz w:val="27"/>
          <w:vertAlign w:val="superscript"/>
          <w:rtl/>
        </w:rPr>
        <w:endnoteReference w:id="154"/>
      </w:r>
      <w:r w:rsidRPr="00904FCB">
        <w:rPr>
          <w:sz w:val="27"/>
          <w:vertAlign w:val="superscript"/>
          <w:rtl/>
        </w:rPr>
        <w:t>)</w:t>
      </w:r>
      <w:r w:rsidRPr="00904FCB">
        <w:rPr>
          <w:rFonts w:ascii="Arial" w:hAnsi="Arial"/>
          <w:sz w:val="27"/>
          <w:rtl/>
        </w:rPr>
        <w:t xml:space="preserve">. </w:t>
      </w:r>
    </w:p>
    <w:p w:rsidR="00A45FD9" w:rsidRPr="00904FCB" w:rsidRDefault="00A45FD9" w:rsidP="00B74A01">
      <w:pPr>
        <w:spacing w:line="400" w:lineRule="exact"/>
        <w:rPr>
          <w:rFonts w:ascii="Arial" w:hAnsi="Arial"/>
          <w:sz w:val="27"/>
          <w:rtl/>
        </w:rPr>
      </w:pPr>
      <w:r w:rsidRPr="00904FCB">
        <w:rPr>
          <w:rFonts w:ascii="Arial" w:hAnsi="Arial"/>
          <w:sz w:val="27"/>
          <w:rtl/>
        </w:rPr>
        <w:t>وهكذا استحضر فرج التاريخ</w:t>
      </w:r>
      <w:r w:rsidR="00913A6F" w:rsidRPr="00904FCB">
        <w:rPr>
          <w:rFonts w:ascii="Arial" w:hAnsi="Arial" w:hint="cs"/>
          <w:sz w:val="27"/>
          <w:rtl/>
        </w:rPr>
        <w:t>،</w:t>
      </w:r>
      <w:r w:rsidRPr="00904FCB">
        <w:rPr>
          <w:rFonts w:ascii="Arial" w:hAnsi="Arial"/>
          <w:sz w:val="27"/>
          <w:rtl/>
        </w:rPr>
        <w:t xml:space="preserve"> وأسقطه على الحاضر، فرأى أن أي</w:t>
      </w:r>
      <w:r w:rsidR="00913A6F" w:rsidRPr="00904FCB">
        <w:rPr>
          <w:rFonts w:ascii="Arial" w:hAnsi="Arial" w:hint="cs"/>
          <w:sz w:val="27"/>
          <w:rtl/>
        </w:rPr>
        <w:t>ّ</w:t>
      </w:r>
      <w:r w:rsidRPr="00904FCB">
        <w:rPr>
          <w:rFonts w:ascii="Arial" w:hAnsi="Arial"/>
          <w:sz w:val="27"/>
          <w:rtl/>
        </w:rPr>
        <w:t xml:space="preserve"> فئة</w:t>
      </w:r>
      <w:r w:rsidR="00913A6F" w:rsidRPr="00904FCB">
        <w:rPr>
          <w:rFonts w:ascii="Arial" w:hAnsi="Arial" w:hint="cs"/>
          <w:sz w:val="27"/>
          <w:rtl/>
        </w:rPr>
        <w:t>ٍ</w:t>
      </w:r>
      <w:r w:rsidRPr="00904FCB">
        <w:rPr>
          <w:rFonts w:ascii="Arial" w:hAnsi="Arial"/>
          <w:sz w:val="27"/>
          <w:rtl/>
        </w:rPr>
        <w:t xml:space="preserve"> اجتماعية لا تمارس الشعائر الإسلامية</w:t>
      </w:r>
      <w:r w:rsidR="00913A6F" w:rsidRPr="00904FCB">
        <w:rPr>
          <w:rFonts w:ascii="Arial" w:hAnsi="Arial" w:hint="cs"/>
          <w:sz w:val="27"/>
          <w:rtl/>
        </w:rPr>
        <w:t>،</w:t>
      </w:r>
      <w:r w:rsidRPr="00904FCB">
        <w:rPr>
          <w:rFonts w:ascii="Arial" w:hAnsi="Arial"/>
          <w:sz w:val="27"/>
          <w:rtl/>
        </w:rPr>
        <w:t xml:space="preserve"> من صلاة</w:t>
      </w:r>
      <w:r w:rsidR="00913A6F" w:rsidRPr="00904FCB">
        <w:rPr>
          <w:rFonts w:ascii="Arial" w:hAnsi="Arial" w:hint="cs"/>
          <w:sz w:val="27"/>
          <w:rtl/>
        </w:rPr>
        <w:t>ٍ</w:t>
      </w:r>
      <w:r w:rsidRPr="00904FCB">
        <w:rPr>
          <w:rFonts w:ascii="Arial" w:hAnsi="Arial"/>
          <w:sz w:val="27"/>
          <w:rtl/>
        </w:rPr>
        <w:t xml:space="preserve"> وصوم وزكاة وحج</w:t>
      </w:r>
      <w:r w:rsidR="00913A6F" w:rsidRPr="00904FCB">
        <w:rPr>
          <w:rFonts w:ascii="Arial" w:hAnsi="Arial" w:hint="cs"/>
          <w:sz w:val="27"/>
          <w:rtl/>
        </w:rPr>
        <w:t>ّ</w:t>
      </w:r>
      <w:r w:rsidRPr="00904FCB">
        <w:rPr>
          <w:rFonts w:ascii="Arial" w:hAnsi="Arial"/>
          <w:sz w:val="27"/>
          <w:rtl/>
          <w:lang w:bidi="ar-LB"/>
        </w:rPr>
        <w:t xml:space="preserve">، </w:t>
      </w:r>
      <w:r w:rsidRPr="00904FCB">
        <w:rPr>
          <w:rFonts w:ascii="Arial" w:hAnsi="Arial"/>
          <w:sz w:val="27"/>
          <w:rtl/>
        </w:rPr>
        <w:t>فإنه يجب قتالها</w:t>
      </w:r>
      <w:r w:rsidR="00913A6F" w:rsidRPr="00904FCB">
        <w:rPr>
          <w:rFonts w:ascii="Arial" w:hAnsi="Arial" w:hint="cs"/>
          <w:sz w:val="27"/>
          <w:rtl/>
        </w:rPr>
        <w:t>،</w:t>
      </w:r>
      <w:r w:rsidRPr="00904FCB">
        <w:rPr>
          <w:rFonts w:ascii="Arial" w:hAnsi="Arial"/>
          <w:sz w:val="27"/>
          <w:rtl/>
        </w:rPr>
        <w:t xml:space="preserve"> حت</w:t>
      </w:r>
      <w:r w:rsidR="00913A6F" w:rsidRPr="00904FCB">
        <w:rPr>
          <w:rFonts w:ascii="Arial" w:hAnsi="Arial" w:hint="cs"/>
          <w:sz w:val="27"/>
          <w:rtl/>
        </w:rPr>
        <w:t>ّ</w:t>
      </w:r>
      <w:r w:rsidRPr="00904FCB">
        <w:rPr>
          <w:rFonts w:ascii="Arial" w:hAnsi="Arial"/>
          <w:sz w:val="27"/>
          <w:rtl/>
        </w:rPr>
        <w:t>ى وإن</w:t>
      </w:r>
      <w:r w:rsidR="00913A6F" w:rsidRPr="00904FCB">
        <w:rPr>
          <w:rFonts w:ascii="Arial" w:hAnsi="Arial" w:hint="cs"/>
          <w:sz w:val="27"/>
          <w:rtl/>
        </w:rPr>
        <w:t>ْ</w:t>
      </w:r>
      <w:r w:rsidRPr="00904FCB">
        <w:rPr>
          <w:rFonts w:ascii="Arial" w:hAnsi="Arial"/>
          <w:sz w:val="27"/>
          <w:rtl/>
        </w:rPr>
        <w:t xml:space="preserve"> نطق أفرادها بالشهادتين</w:t>
      </w:r>
      <w:r w:rsidR="00913A6F" w:rsidRPr="00904FCB">
        <w:rPr>
          <w:rFonts w:ascii="Arial" w:hAnsi="Arial" w:hint="cs"/>
          <w:sz w:val="27"/>
          <w:rtl/>
        </w:rPr>
        <w:t>؛</w:t>
      </w:r>
      <w:r w:rsidRPr="00904FCB">
        <w:rPr>
          <w:rFonts w:ascii="Arial" w:hAnsi="Arial"/>
          <w:sz w:val="27"/>
          <w:rtl/>
        </w:rPr>
        <w:t xml:space="preserve"> لأن التلف</w:t>
      </w:r>
      <w:r w:rsidR="00913A6F" w:rsidRPr="00904FCB">
        <w:rPr>
          <w:rFonts w:ascii="Arial" w:hAnsi="Arial" w:hint="cs"/>
          <w:sz w:val="27"/>
          <w:rtl/>
        </w:rPr>
        <w:t>ُّ</w:t>
      </w:r>
      <w:r w:rsidRPr="00904FCB">
        <w:rPr>
          <w:rFonts w:ascii="Arial" w:hAnsi="Arial"/>
          <w:sz w:val="27"/>
          <w:rtl/>
        </w:rPr>
        <w:t>ظ فقط لا يعني شيئاً إذا ما اقترن مع إهمال الواجبات الدينية وارتكاب الموبقات. كذلك فإنه لا يكفي القيام بالطقوس الدينية الظاهرة فقط لاعتبار المجتمع مسلماً يعيش حالة</w:t>
      </w:r>
      <w:r w:rsidR="00913A6F" w:rsidRPr="00904FCB">
        <w:rPr>
          <w:rFonts w:ascii="Arial" w:hAnsi="Arial" w:hint="cs"/>
          <w:sz w:val="27"/>
          <w:rtl/>
        </w:rPr>
        <w:t>ً</w:t>
      </w:r>
      <w:r w:rsidRPr="00904FCB">
        <w:rPr>
          <w:rFonts w:ascii="Arial" w:hAnsi="Arial"/>
          <w:sz w:val="27"/>
          <w:rtl/>
        </w:rPr>
        <w:t xml:space="preserve"> إيمانية، فالامتناع عن تطبيق الأحكام الشرعية الإسلامية في ظل</w:t>
      </w:r>
      <w:r w:rsidR="00913A6F" w:rsidRPr="00904FCB">
        <w:rPr>
          <w:rFonts w:ascii="Arial" w:hAnsi="Arial" w:hint="cs"/>
          <w:sz w:val="27"/>
          <w:rtl/>
        </w:rPr>
        <w:t>ّ</w:t>
      </w:r>
      <w:r w:rsidRPr="00904FCB">
        <w:rPr>
          <w:rFonts w:ascii="Arial" w:hAnsi="Arial"/>
          <w:sz w:val="27"/>
          <w:rtl/>
        </w:rPr>
        <w:t xml:space="preserve"> الدولة الحديثة يجعل المجتمع مجتمعاً جاهلي</w:t>
      </w:r>
      <w:r w:rsidR="00913A6F" w:rsidRPr="00904FCB">
        <w:rPr>
          <w:rFonts w:ascii="Arial" w:hAnsi="Arial" w:hint="cs"/>
          <w:sz w:val="27"/>
          <w:rtl/>
        </w:rPr>
        <w:t>ّ</w:t>
      </w:r>
      <w:r w:rsidRPr="00904FCB">
        <w:rPr>
          <w:rFonts w:ascii="Arial" w:hAnsi="Arial"/>
          <w:sz w:val="27"/>
          <w:rtl/>
        </w:rPr>
        <w:t>اً</w:t>
      </w:r>
      <w:r w:rsidR="00913A6F" w:rsidRPr="00904FCB">
        <w:rPr>
          <w:rFonts w:ascii="Arial" w:hAnsi="Arial" w:hint="cs"/>
          <w:sz w:val="27"/>
          <w:rtl/>
        </w:rPr>
        <w:t>،</w:t>
      </w:r>
      <w:r w:rsidRPr="00904FCB">
        <w:rPr>
          <w:rFonts w:ascii="Arial" w:hAnsi="Arial"/>
          <w:sz w:val="27"/>
          <w:rtl/>
        </w:rPr>
        <w:t xml:space="preserve"> لا ب</w:t>
      </w:r>
      <w:r w:rsidR="00913A6F" w:rsidRPr="00904FCB">
        <w:rPr>
          <w:rFonts w:ascii="Arial" w:hAnsi="Arial" w:hint="cs"/>
          <w:sz w:val="27"/>
          <w:rtl/>
        </w:rPr>
        <w:t>ُ</w:t>
      </w:r>
      <w:r w:rsidRPr="00904FCB">
        <w:rPr>
          <w:rFonts w:ascii="Arial" w:hAnsi="Arial"/>
          <w:sz w:val="27"/>
          <w:rtl/>
        </w:rPr>
        <w:t>د</w:t>
      </w:r>
      <w:r w:rsidR="00913A6F" w:rsidRPr="00904FCB">
        <w:rPr>
          <w:rFonts w:ascii="Arial" w:hAnsi="Arial" w:hint="cs"/>
          <w:sz w:val="27"/>
          <w:rtl/>
        </w:rPr>
        <w:t>َّ</w:t>
      </w:r>
      <w:r w:rsidRPr="00904FCB">
        <w:rPr>
          <w:rFonts w:ascii="Arial" w:hAnsi="Arial"/>
          <w:sz w:val="27"/>
          <w:rtl/>
        </w:rPr>
        <w:t xml:space="preserve"> من العمل لإعادته إلى جاد</w:t>
      </w:r>
      <w:r w:rsidR="00913A6F" w:rsidRPr="00904FCB">
        <w:rPr>
          <w:rFonts w:ascii="Arial" w:hAnsi="Arial" w:hint="cs"/>
          <w:sz w:val="27"/>
          <w:rtl/>
        </w:rPr>
        <w:t>ّ</w:t>
      </w:r>
      <w:r w:rsidRPr="00904FCB">
        <w:rPr>
          <w:rFonts w:ascii="Arial" w:hAnsi="Arial"/>
          <w:sz w:val="27"/>
          <w:rtl/>
        </w:rPr>
        <w:t xml:space="preserve">ة الصواب عن طريق الجهاد. </w:t>
      </w:r>
    </w:p>
    <w:p w:rsidR="00913A6F" w:rsidRPr="00904FCB" w:rsidRDefault="00913A6F" w:rsidP="00E33C1F">
      <w:pPr>
        <w:spacing w:line="400" w:lineRule="exact"/>
        <w:rPr>
          <w:rtl/>
        </w:rPr>
      </w:pPr>
      <w:r w:rsidRPr="00904FCB">
        <w:rPr>
          <w:rFonts w:hint="cs"/>
          <w:rtl/>
        </w:rPr>
        <w:t>و</w:t>
      </w:r>
      <w:r w:rsidR="00A45FD9" w:rsidRPr="00904FCB">
        <w:rPr>
          <w:rtl/>
        </w:rPr>
        <w:t>في هذا المجال يقول</w:t>
      </w:r>
      <w:r w:rsidR="00A45FD9" w:rsidRPr="00904FCB">
        <w:rPr>
          <w:rtl/>
          <w:lang w:bidi="ar-LB"/>
        </w:rPr>
        <w:t xml:space="preserve"> عبد القادر بن عبد العزيز في كتابه المعروف </w:t>
      </w:r>
      <w:r w:rsidR="00A45FD9" w:rsidRPr="00904FCB">
        <w:rPr>
          <w:rFonts w:hint="eastAsia"/>
          <w:rtl/>
          <w:lang w:bidi="ar-LB"/>
        </w:rPr>
        <w:t>«</w:t>
      </w:r>
      <w:r w:rsidR="00A45FD9" w:rsidRPr="00904FCB">
        <w:rPr>
          <w:rtl/>
          <w:lang w:bidi="ar-LB"/>
        </w:rPr>
        <w:t xml:space="preserve">رسالة العمدة في </w:t>
      </w:r>
      <w:r w:rsidR="00E704EC">
        <w:rPr>
          <w:rFonts w:hint="cs"/>
          <w:rtl/>
          <w:lang w:bidi="ar-LB"/>
        </w:rPr>
        <w:t>إ</w:t>
      </w:r>
      <w:r w:rsidR="00A45FD9" w:rsidRPr="00904FCB">
        <w:rPr>
          <w:rtl/>
          <w:lang w:bidi="ar-LB"/>
        </w:rPr>
        <w:t>عداد العد</w:t>
      </w:r>
      <w:r w:rsidRPr="00904FCB">
        <w:rPr>
          <w:rFonts w:hint="cs"/>
          <w:rtl/>
          <w:lang w:bidi="ar-LB"/>
        </w:rPr>
        <w:t>ّ</w:t>
      </w:r>
      <w:r w:rsidR="00A45FD9" w:rsidRPr="00904FCB">
        <w:rPr>
          <w:rtl/>
          <w:lang w:bidi="ar-LB"/>
        </w:rPr>
        <w:t>ة</w:t>
      </w:r>
      <w:r w:rsidR="00A45FD9" w:rsidRPr="00904FCB">
        <w:rPr>
          <w:rFonts w:hint="eastAsia"/>
          <w:rtl/>
        </w:rPr>
        <w:t>»</w:t>
      </w:r>
      <w:r w:rsidR="00A45FD9" w:rsidRPr="00904FCB">
        <w:rPr>
          <w:rtl/>
          <w:lang w:bidi="ar-LB"/>
        </w:rPr>
        <w:t xml:space="preserve">: </w:t>
      </w:r>
      <w:r w:rsidR="00A45FD9" w:rsidRPr="00904FCB">
        <w:rPr>
          <w:rFonts w:hint="eastAsia"/>
          <w:rtl/>
          <w:lang w:bidi="ar-LB"/>
        </w:rPr>
        <w:t>«</w:t>
      </w:r>
      <w:r w:rsidR="00A45FD9" w:rsidRPr="00904FCB">
        <w:rPr>
          <w:rtl/>
        </w:rPr>
        <w:t>الجهاد في سبيل الله لم</w:t>
      </w:r>
      <w:r w:rsidRPr="00904FCB">
        <w:rPr>
          <w:rFonts w:hint="cs"/>
          <w:rtl/>
        </w:rPr>
        <w:t>َ</w:t>
      </w:r>
      <w:r w:rsidR="00A45FD9" w:rsidRPr="00904FCB">
        <w:rPr>
          <w:rtl/>
        </w:rPr>
        <w:t>ن</w:t>
      </w:r>
      <w:r w:rsidRPr="00904FCB">
        <w:rPr>
          <w:rFonts w:hint="cs"/>
          <w:rtl/>
        </w:rPr>
        <w:t>ْ</w:t>
      </w:r>
      <w:r w:rsidR="00A45FD9" w:rsidRPr="00904FCB">
        <w:rPr>
          <w:rtl/>
        </w:rPr>
        <w:t xml:space="preserve"> عاند وأبَى قبول دعوة الإسلام</w:t>
      </w:r>
      <w:r w:rsidR="00A45FD9" w:rsidRPr="00904FCB">
        <w:rPr>
          <w:rFonts w:hint="eastAsia"/>
          <w:rtl/>
        </w:rPr>
        <w:t>»</w:t>
      </w:r>
      <w:r w:rsidR="00A45FD9" w:rsidRPr="00904FCB">
        <w:rPr>
          <w:vertAlign w:val="superscript"/>
          <w:rtl/>
        </w:rPr>
        <w:t>(</w:t>
      </w:r>
      <w:r w:rsidR="00A45FD9" w:rsidRPr="00904FCB">
        <w:rPr>
          <w:vertAlign w:val="superscript"/>
          <w:rtl/>
        </w:rPr>
        <w:endnoteReference w:id="155"/>
      </w:r>
      <w:r w:rsidR="00A45FD9" w:rsidRPr="00904FCB">
        <w:rPr>
          <w:vertAlign w:val="superscript"/>
          <w:rtl/>
        </w:rPr>
        <w:t>)</w:t>
      </w:r>
      <w:r w:rsidR="00A45FD9" w:rsidRPr="00904FCB">
        <w:rPr>
          <w:rtl/>
        </w:rPr>
        <w:t>. ويستشهد</w:t>
      </w:r>
      <w:r w:rsidR="00A45FD9" w:rsidRPr="00904FCB">
        <w:rPr>
          <w:rtl/>
          <w:lang w:bidi="ar-LB"/>
        </w:rPr>
        <w:t xml:space="preserve"> </w:t>
      </w:r>
      <w:r w:rsidRPr="00904FCB">
        <w:rPr>
          <w:rFonts w:hint="cs"/>
          <w:rtl/>
          <w:lang w:bidi="ar-LB"/>
        </w:rPr>
        <w:t>ا</w:t>
      </w:r>
      <w:r w:rsidR="00A45FD9" w:rsidRPr="00904FCB">
        <w:rPr>
          <w:rtl/>
          <w:lang w:bidi="ar-LB"/>
        </w:rPr>
        <w:t>بن عبد العزيز</w:t>
      </w:r>
      <w:r w:rsidR="00A45FD9" w:rsidRPr="00904FCB">
        <w:rPr>
          <w:rtl/>
        </w:rPr>
        <w:t xml:space="preserve"> بقوله تعالى: </w:t>
      </w:r>
      <w:r w:rsidR="00A45FD9" w:rsidRPr="00904FCB">
        <w:rPr>
          <w:rFonts w:ascii="Mosawi" w:hAnsi="Mosawi" w:cs="Mosawi"/>
          <w:sz w:val="24"/>
          <w:szCs w:val="24"/>
          <w:rtl/>
        </w:rPr>
        <w:t>﴿</w:t>
      </w:r>
      <w:r w:rsidR="00A45FD9" w:rsidRPr="00904FCB">
        <w:rPr>
          <w:b/>
          <w:bCs/>
          <w:rtl/>
        </w:rPr>
        <w:t>فَاقْتُلُوا الْمُشْرِكِينَ حَيْثُ وَجَدْتُمُوهُمْ</w:t>
      </w:r>
      <w:r w:rsidR="00A45FD9" w:rsidRPr="00904FCB">
        <w:rPr>
          <w:rFonts w:ascii="Mosawi" w:hAnsi="Mosawi" w:cs="Mosawi"/>
          <w:sz w:val="24"/>
          <w:szCs w:val="24"/>
          <w:rtl/>
        </w:rPr>
        <w:t>﴾</w:t>
      </w:r>
      <w:r w:rsidR="00A45FD9" w:rsidRPr="00904FCB">
        <w:rPr>
          <w:rFonts w:hint="cs"/>
          <w:rtl/>
        </w:rPr>
        <w:t xml:space="preserve"> (التوبة</w:t>
      </w:r>
      <w:r w:rsidR="00A45FD9" w:rsidRPr="008C1FBD">
        <w:rPr>
          <w:rFonts w:hint="cs"/>
          <w:rtl/>
        </w:rPr>
        <w:t>: 5)</w:t>
      </w:r>
      <w:r w:rsidRPr="008C1FBD">
        <w:rPr>
          <w:rFonts w:hint="cs"/>
          <w:rtl/>
        </w:rPr>
        <w:t xml:space="preserve">. </w:t>
      </w:r>
      <w:r w:rsidR="00A45FD9" w:rsidRPr="00904FCB">
        <w:rPr>
          <w:rtl/>
        </w:rPr>
        <w:t>ويستحضر حديثاً مروي</w:t>
      </w:r>
      <w:r w:rsidRPr="00904FCB">
        <w:rPr>
          <w:rFonts w:hint="cs"/>
          <w:rtl/>
        </w:rPr>
        <w:t>ّ</w:t>
      </w:r>
      <w:r w:rsidR="00A45FD9" w:rsidRPr="00904FCB">
        <w:rPr>
          <w:rtl/>
        </w:rPr>
        <w:t xml:space="preserve">اً عن مسلم يقول فيه: </w:t>
      </w:r>
      <w:r w:rsidR="00A45FD9" w:rsidRPr="00904FCB">
        <w:rPr>
          <w:rFonts w:hint="eastAsia"/>
          <w:rtl/>
        </w:rPr>
        <w:t>«</w:t>
      </w:r>
      <w:r w:rsidR="00A45FD9" w:rsidRPr="00904FCB">
        <w:rPr>
          <w:rtl/>
        </w:rPr>
        <w:t>قال الله تعالى لنبي</w:t>
      </w:r>
      <w:r w:rsidRPr="00904FCB">
        <w:rPr>
          <w:rFonts w:hint="cs"/>
          <w:rtl/>
        </w:rPr>
        <w:t>ِّ</w:t>
      </w:r>
      <w:r w:rsidR="00A45FD9" w:rsidRPr="00904FCB">
        <w:rPr>
          <w:rtl/>
        </w:rPr>
        <w:t>ه</w:t>
      </w:r>
      <w:r w:rsidR="00635E51" w:rsidRPr="00904FCB">
        <w:rPr>
          <w:rFonts w:cs="Mosawi" w:hint="cs"/>
          <w:szCs w:val="22"/>
          <w:rtl/>
        </w:rPr>
        <w:t>|</w:t>
      </w:r>
      <w:r w:rsidR="00A45FD9" w:rsidRPr="00904FCB">
        <w:rPr>
          <w:rtl/>
        </w:rPr>
        <w:t>: إن</w:t>
      </w:r>
      <w:r w:rsidRPr="00904FCB">
        <w:rPr>
          <w:rFonts w:hint="cs"/>
          <w:rtl/>
        </w:rPr>
        <w:t>ّ</w:t>
      </w:r>
      <w:r w:rsidR="00A45FD9" w:rsidRPr="00904FCB">
        <w:rPr>
          <w:rtl/>
        </w:rPr>
        <w:t>ما بعثت</w:t>
      </w:r>
      <w:r w:rsidRPr="00904FCB">
        <w:rPr>
          <w:rFonts w:hint="cs"/>
          <w:rtl/>
        </w:rPr>
        <w:t>ُ</w:t>
      </w:r>
      <w:r w:rsidR="00A45FD9" w:rsidRPr="00904FCB">
        <w:rPr>
          <w:rtl/>
        </w:rPr>
        <w:t>ك لأبتليك، وأبتلي بك... إلى قوله: استخرجهم كما أخرجوك، واغ</w:t>
      </w:r>
      <w:r w:rsidR="00E33C1F">
        <w:rPr>
          <w:rFonts w:hint="cs"/>
          <w:rtl/>
        </w:rPr>
        <w:t>ْ</w:t>
      </w:r>
      <w:r w:rsidR="00A45FD9" w:rsidRPr="00904FCB">
        <w:rPr>
          <w:rtl/>
        </w:rPr>
        <w:t>ز</w:t>
      </w:r>
      <w:r w:rsidR="00E33C1F">
        <w:rPr>
          <w:rFonts w:hint="cs"/>
          <w:rtl/>
        </w:rPr>
        <w:t>ُ</w:t>
      </w:r>
      <w:r w:rsidR="00A45FD9" w:rsidRPr="00904FCB">
        <w:rPr>
          <w:rtl/>
        </w:rPr>
        <w:t xml:space="preserve">هم </w:t>
      </w:r>
      <w:r w:rsidR="00E33C1F">
        <w:rPr>
          <w:rFonts w:hint="cs"/>
          <w:rtl/>
        </w:rPr>
        <w:t>يُ</w:t>
      </w:r>
      <w:r w:rsidR="00A45FD9" w:rsidRPr="00904FCB">
        <w:rPr>
          <w:rtl/>
        </w:rPr>
        <w:t>غ</w:t>
      </w:r>
      <w:r w:rsidR="00E33C1F">
        <w:rPr>
          <w:rFonts w:hint="cs"/>
          <w:rtl/>
        </w:rPr>
        <w:t>ْ</w:t>
      </w:r>
      <w:r w:rsidR="00A45FD9" w:rsidRPr="00904FCB">
        <w:rPr>
          <w:rtl/>
        </w:rPr>
        <w:t>ز</w:t>
      </w:r>
      <w:r w:rsidR="00E33C1F">
        <w:rPr>
          <w:rFonts w:hint="cs"/>
          <w:rtl/>
        </w:rPr>
        <w:t>َ ب</w:t>
      </w:r>
      <w:r w:rsidR="00A45FD9" w:rsidRPr="00904FCB">
        <w:rPr>
          <w:rtl/>
        </w:rPr>
        <w:t>ك، وأنفق فسننفق عليك، وابعث جيشاً نبعث خمسة مثله: وقاتل بم</w:t>
      </w:r>
      <w:r w:rsidRPr="00904FCB">
        <w:rPr>
          <w:rFonts w:hint="cs"/>
          <w:rtl/>
        </w:rPr>
        <w:t>َ</w:t>
      </w:r>
      <w:r w:rsidR="00A45FD9" w:rsidRPr="00904FCB">
        <w:rPr>
          <w:rtl/>
        </w:rPr>
        <w:t>ن</w:t>
      </w:r>
      <w:r w:rsidRPr="00904FCB">
        <w:rPr>
          <w:rFonts w:hint="cs"/>
          <w:rtl/>
        </w:rPr>
        <w:t>ْ</w:t>
      </w:r>
      <w:r w:rsidR="00A45FD9" w:rsidRPr="00904FCB">
        <w:rPr>
          <w:rtl/>
        </w:rPr>
        <w:t xml:space="preserve"> أطاعك م</w:t>
      </w:r>
      <w:r w:rsidRPr="00904FCB">
        <w:rPr>
          <w:rFonts w:hint="cs"/>
          <w:rtl/>
        </w:rPr>
        <w:t>َ</w:t>
      </w:r>
      <w:r w:rsidR="00A45FD9" w:rsidRPr="00904FCB">
        <w:rPr>
          <w:rtl/>
        </w:rPr>
        <w:t>ن</w:t>
      </w:r>
      <w:r w:rsidRPr="00904FCB">
        <w:rPr>
          <w:rFonts w:hint="cs"/>
          <w:rtl/>
        </w:rPr>
        <w:t>ْ</w:t>
      </w:r>
      <w:r w:rsidR="00A45FD9" w:rsidRPr="00904FCB">
        <w:rPr>
          <w:rtl/>
        </w:rPr>
        <w:t xml:space="preserve"> عصاك</w:t>
      </w:r>
      <w:r w:rsidR="00A45FD9" w:rsidRPr="00904FCB">
        <w:rPr>
          <w:rFonts w:hint="eastAsia"/>
          <w:rtl/>
        </w:rPr>
        <w:t>»</w:t>
      </w:r>
      <w:r w:rsidR="00A45FD9" w:rsidRPr="00904FCB">
        <w:rPr>
          <w:vertAlign w:val="superscript"/>
          <w:rtl/>
        </w:rPr>
        <w:t>(</w:t>
      </w:r>
      <w:r w:rsidR="00A45FD9" w:rsidRPr="00904FCB">
        <w:rPr>
          <w:vertAlign w:val="superscript"/>
          <w:rtl/>
        </w:rPr>
        <w:endnoteReference w:id="156"/>
      </w:r>
      <w:r w:rsidR="00A45FD9" w:rsidRPr="00904FCB">
        <w:rPr>
          <w:vertAlign w:val="superscript"/>
          <w:rtl/>
        </w:rPr>
        <w:t>)</w:t>
      </w:r>
      <w:r w:rsidR="00A45FD9" w:rsidRPr="00904FCB">
        <w:rPr>
          <w:rtl/>
        </w:rPr>
        <w:t xml:space="preserve">. وينقل حديثاً آخر عن ابن عمر ذكر فيه: </w:t>
      </w:r>
      <w:r w:rsidR="00A45FD9" w:rsidRPr="00904FCB">
        <w:rPr>
          <w:rFonts w:hint="eastAsia"/>
          <w:rtl/>
        </w:rPr>
        <w:t>«</w:t>
      </w:r>
      <w:r w:rsidR="00A45FD9" w:rsidRPr="00904FCB">
        <w:rPr>
          <w:rtl/>
        </w:rPr>
        <w:t>قال رسول الله</w:t>
      </w:r>
      <w:r w:rsidR="00635E51" w:rsidRPr="00904FCB">
        <w:rPr>
          <w:rFonts w:cs="Mosawi" w:hint="cs"/>
          <w:szCs w:val="22"/>
          <w:rtl/>
        </w:rPr>
        <w:t>|</w:t>
      </w:r>
      <w:r w:rsidR="00A45FD9" w:rsidRPr="00904FCB">
        <w:rPr>
          <w:rtl/>
        </w:rPr>
        <w:t>: أمرت أن أقاتل الناس حت</w:t>
      </w:r>
      <w:r w:rsidRPr="00904FCB">
        <w:rPr>
          <w:rFonts w:hint="cs"/>
          <w:rtl/>
        </w:rPr>
        <w:t>ّ</w:t>
      </w:r>
      <w:r w:rsidR="00A45FD9" w:rsidRPr="00904FCB">
        <w:rPr>
          <w:rtl/>
        </w:rPr>
        <w:t>ى يشهدوا أن لا إله إلا</w:t>
      </w:r>
      <w:r w:rsidRPr="00904FCB">
        <w:rPr>
          <w:rFonts w:hint="cs"/>
          <w:rtl/>
        </w:rPr>
        <w:t>ّ</w:t>
      </w:r>
      <w:r w:rsidR="00A45FD9" w:rsidRPr="00904FCB">
        <w:rPr>
          <w:rtl/>
        </w:rPr>
        <w:t xml:space="preserve"> الله</w:t>
      </w:r>
      <w:r w:rsidRPr="00904FCB">
        <w:rPr>
          <w:rFonts w:hint="cs"/>
          <w:rtl/>
        </w:rPr>
        <w:t>،</w:t>
      </w:r>
      <w:r w:rsidR="00A45FD9" w:rsidRPr="00904FCB">
        <w:rPr>
          <w:rtl/>
        </w:rPr>
        <w:t xml:space="preserve"> وأن محمداً رسول الله</w:t>
      </w:r>
      <w:r w:rsidRPr="00904FCB">
        <w:rPr>
          <w:rFonts w:hint="cs"/>
          <w:rtl/>
        </w:rPr>
        <w:t>،</w:t>
      </w:r>
      <w:r w:rsidR="00A45FD9" w:rsidRPr="00904FCB">
        <w:rPr>
          <w:rtl/>
        </w:rPr>
        <w:t xml:space="preserve"> ويقيموا الصلاة</w:t>
      </w:r>
      <w:r w:rsidRPr="00904FCB">
        <w:rPr>
          <w:rFonts w:hint="cs"/>
          <w:rtl/>
        </w:rPr>
        <w:t>،</w:t>
      </w:r>
      <w:r w:rsidR="00A45FD9" w:rsidRPr="00904FCB">
        <w:rPr>
          <w:rtl/>
        </w:rPr>
        <w:t xml:space="preserve"> ويؤتوا الزكاة، فإذا فعلوا ذلك عصموا من</w:t>
      </w:r>
      <w:r w:rsidRPr="00904FCB">
        <w:rPr>
          <w:rFonts w:hint="cs"/>
          <w:rtl/>
        </w:rPr>
        <w:t>ّ</w:t>
      </w:r>
      <w:r w:rsidR="00A45FD9" w:rsidRPr="00904FCB">
        <w:rPr>
          <w:rtl/>
        </w:rPr>
        <w:t>ي دما</w:t>
      </w:r>
      <w:r w:rsidR="00E704EC">
        <w:rPr>
          <w:rFonts w:hint="cs"/>
          <w:rtl/>
        </w:rPr>
        <w:t>ء</w:t>
      </w:r>
      <w:r w:rsidR="00A45FD9" w:rsidRPr="00904FCB">
        <w:rPr>
          <w:rtl/>
        </w:rPr>
        <w:t>هم وأموالهم إلا</w:t>
      </w:r>
      <w:r w:rsidRPr="00904FCB">
        <w:rPr>
          <w:rFonts w:hint="cs"/>
          <w:rtl/>
        </w:rPr>
        <w:t>ّ</w:t>
      </w:r>
      <w:r w:rsidR="00A45FD9" w:rsidRPr="00904FCB">
        <w:rPr>
          <w:rtl/>
        </w:rPr>
        <w:t xml:space="preserve"> بحق</w:t>
      </w:r>
      <w:r w:rsidRPr="00904FCB">
        <w:rPr>
          <w:rFonts w:hint="cs"/>
          <w:rtl/>
        </w:rPr>
        <w:t>ّ</w:t>
      </w:r>
      <w:r w:rsidR="00A45FD9" w:rsidRPr="00904FCB">
        <w:rPr>
          <w:rtl/>
        </w:rPr>
        <w:t xml:space="preserve"> الإسلام</w:t>
      </w:r>
      <w:r w:rsidRPr="00904FCB">
        <w:rPr>
          <w:rFonts w:hint="cs"/>
          <w:rtl/>
        </w:rPr>
        <w:t>،</w:t>
      </w:r>
      <w:r w:rsidR="00A45FD9" w:rsidRPr="00904FCB">
        <w:rPr>
          <w:rtl/>
        </w:rPr>
        <w:t xml:space="preserve"> وحسابهم على الله تعالى</w:t>
      </w:r>
      <w:r w:rsidR="00A45FD9" w:rsidRPr="00904FCB">
        <w:rPr>
          <w:rFonts w:hint="eastAsia"/>
          <w:rtl/>
        </w:rPr>
        <w:t>»</w:t>
      </w:r>
      <w:r w:rsidR="00A45FD9" w:rsidRPr="00904FCB">
        <w:rPr>
          <w:vertAlign w:val="superscript"/>
          <w:rtl/>
        </w:rPr>
        <w:t>(</w:t>
      </w:r>
      <w:r w:rsidR="00A45FD9" w:rsidRPr="00904FCB">
        <w:rPr>
          <w:vertAlign w:val="superscript"/>
          <w:rtl/>
        </w:rPr>
        <w:endnoteReference w:id="157"/>
      </w:r>
      <w:r w:rsidR="00A45FD9" w:rsidRPr="00904FCB">
        <w:rPr>
          <w:vertAlign w:val="superscript"/>
          <w:rtl/>
        </w:rPr>
        <w:t>)</w:t>
      </w:r>
      <w:r w:rsidRPr="00904FCB">
        <w:rPr>
          <w:rtl/>
        </w:rPr>
        <w:t>.</w:t>
      </w:r>
    </w:p>
    <w:p w:rsidR="002D56B8" w:rsidRPr="00904FCB" w:rsidRDefault="00A45FD9" w:rsidP="00B74A01">
      <w:pPr>
        <w:spacing w:line="400" w:lineRule="exact"/>
        <w:rPr>
          <w:rtl/>
        </w:rPr>
      </w:pPr>
      <w:r w:rsidRPr="00904FCB">
        <w:rPr>
          <w:rtl/>
        </w:rPr>
        <w:t xml:space="preserve">ويخلص </w:t>
      </w:r>
      <w:r w:rsidR="00913A6F" w:rsidRPr="00904FCB">
        <w:rPr>
          <w:rFonts w:hint="cs"/>
          <w:rtl/>
        </w:rPr>
        <w:t>ا</w:t>
      </w:r>
      <w:r w:rsidRPr="00904FCB">
        <w:rPr>
          <w:rtl/>
        </w:rPr>
        <w:t>بن عبد العزيز إلى الاستنتاج بأن الرسول الأكرم</w:t>
      </w:r>
      <w:r w:rsidR="00635E51" w:rsidRPr="00904FCB">
        <w:rPr>
          <w:rFonts w:cs="Mosawi"/>
          <w:szCs w:val="22"/>
          <w:rtl/>
        </w:rPr>
        <w:t>|</w:t>
      </w:r>
      <w:r w:rsidRPr="00904FCB">
        <w:rPr>
          <w:rtl/>
        </w:rPr>
        <w:t xml:space="preserve"> مأمور</w:t>
      </w:r>
      <w:r w:rsidR="00913A6F" w:rsidRPr="00904FCB">
        <w:rPr>
          <w:rFonts w:hint="cs"/>
          <w:rtl/>
        </w:rPr>
        <w:t>ٌ</w:t>
      </w:r>
      <w:r w:rsidRPr="00904FCB">
        <w:rPr>
          <w:rtl/>
        </w:rPr>
        <w:t xml:space="preserve"> بقتال الناس كاف</w:t>
      </w:r>
      <w:r w:rsidR="00913A6F" w:rsidRPr="00904FCB">
        <w:rPr>
          <w:rFonts w:hint="cs"/>
          <w:rtl/>
        </w:rPr>
        <w:t>ّ</w:t>
      </w:r>
      <w:r w:rsidRPr="00904FCB">
        <w:rPr>
          <w:rtl/>
        </w:rPr>
        <w:t>ة ما لم يؤمنوا بالله حق</w:t>
      </w:r>
      <w:r w:rsidR="00913A6F" w:rsidRPr="00904FCB">
        <w:rPr>
          <w:rFonts w:hint="cs"/>
          <w:rtl/>
        </w:rPr>
        <w:t>ّ</w:t>
      </w:r>
      <w:r w:rsidRPr="00904FCB">
        <w:rPr>
          <w:rtl/>
        </w:rPr>
        <w:t xml:space="preserve"> الإيمان</w:t>
      </w:r>
      <w:r w:rsidR="00913A6F" w:rsidRPr="00904FCB">
        <w:rPr>
          <w:rFonts w:hint="cs"/>
          <w:rtl/>
        </w:rPr>
        <w:t>.</w:t>
      </w:r>
      <w:r w:rsidRPr="00904FCB">
        <w:rPr>
          <w:rtl/>
        </w:rPr>
        <w:t xml:space="preserve"> كما </w:t>
      </w:r>
      <w:r w:rsidRPr="00904FCB">
        <w:rPr>
          <w:rtl/>
          <w:lang w:bidi="ar-LB"/>
        </w:rPr>
        <w:t>يؤك</w:t>
      </w:r>
      <w:r w:rsidR="00913A6F" w:rsidRPr="00904FCB">
        <w:rPr>
          <w:rFonts w:hint="cs"/>
          <w:rtl/>
          <w:lang w:bidi="ar-LB"/>
        </w:rPr>
        <w:t>ِّ</w:t>
      </w:r>
      <w:r w:rsidRPr="00904FCB">
        <w:rPr>
          <w:rtl/>
          <w:lang w:bidi="ar-LB"/>
        </w:rPr>
        <w:t xml:space="preserve">د </w:t>
      </w:r>
      <w:r w:rsidR="00E704EC">
        <w:rPr>
          <w:rFonts w:hint="cs"/>
          <w:rtl/>
          <w:lang w:bidi="ar-LB"/>
        </w:rPr>
        <w:t>ا</w:t>
      </w:r>
      <w:r w:rsidRPr="00904FCB">
        <w:rPr>
          <w:rtl/>
          <w:lang w:bidi="ar-LB"/>
        </w:rPr>
        <w:t>بن عبد العزيز على حتمية هلاك الكافرين</w:t>
      </w:r>
      <w:r w:rsidRPr="00904FCB">
        <w:rPr>
          <w:vertAlign w:val="superscript"/>
          <w:rtl/>
        </w:rPr>
        <w:t>(</w:t>
      </w:r>
      <w:r w:rsidRPr="00904FCB">
        <w:rPr>
          <w:vertAlign w:val="superscript"/>
          <w:rtl/>
        </w:rPr>
        <w:endnoteReference w:id="158"/>
      </w:r>
      <w:r w:rsidRPr="00904FCB">
        <w:rPr>
          <w:vertAlign w:val="superscript"/>
          <w:rtl/>
        </w:rPr>
        <w:t>)</w:t>
      </w:r>
      <w:r w:rsidRPr="00904FCB">
        <w:rPr>
          <w:rtl/>
        </w:rPr>
        <w:t>.</w:t>
      </w:r>
    </w:p>
    <w:p w:rsidR="00B74A01" w:rsidRPr="00904FCB" w:rsidRDefault="00B74A01" w:rsidP="00B74A01">
      <w:pPr>
        <w:spacing w:line="400" w:lineRule="exact"/>
        <w:rPr>
          <w:rtl/>
        </w:rPr>
      </w:pPr>
    </w:p>
    <w:p w:rsidR="00E83C22" w:rsidRDefault="002D56B8" w:rsidP="00B74A01">
      <w:pPr>
        <w:spacing w:line="400" w:lineRule="exact"/>
        <w:ind w:firstLine="0"/>
        <w:jc w:val="right"/>
        <w:rPr>
          <w:b/>
          <w:bCs/>
          <w:rtl/>
        </w:rPr>
      </w:pPr>
      <w:r w:rsidRPr="00904FCB">
        <w:rPr>
          <w:rFonts w:hint="cs"/>
          <w:b/>
          <w:bCs/>
          <w:rtl/>
        </w:rPr>
        <w:t>ـ يتبع ـ</w:t>
      </w:r>
    </w:p>
    <w:p w:rsidR="00E704EC" w:rsidRDefault="00E704EC" w:rsidP="00B74A01">
      <w:pPr>
        <w:spacing w:line="400" w:lineRule="exact"/>
        <w:ind w:firstLine="0"/>
        <w:jc w:val="right"/>
        <w:rPr>
          <w:b/>
          <w:bCs/>
          <w:rtl/>
        </w:rPr>
      </w:pPr>
    </w:p>
    <w:p w:rsidR="00E704EC" w:rsidRPr="00904FCB" w:rsidRDefault="00E704EC" w:rsidP="00B74A01">
      <w:pPr>
        <w:spacing w:line="400" w:lineRule="exact"/>
        <w:ind w:firstLine="0"/>
        <w:jc w:val="right"/>
        <w:rPr>
          <w:b/>
          <w:bCs/>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391D7D" w:rsidP="008D5CB3">
      <w:pPr>
        <w:pStyle w:val="10"/>
        <w:spacing w:line="240" w:lineRule="auto"/>
        <w:rPr>
          <w:rtl/>
        </w:rPr>
      </w:pPr>
      <w:bookmarkStart w:id="16" w:name="_Toc435577178"/>
      <w:r w:rsidRPr="00904FCB">
        <w:rPr>
          <w:rFonts w:hint="cs"/>
          <w:rtl/>
        </w:rPr>
        <w:t>الاتّجاهات الفقهية حول أهليّة المرأة لتولّي السلطة</w:t>
      </w:r>
      <w:bookmarkEnd w:id="16"/>
    </w:p>
    <w:p w:rsidR="00E83C22" w:rsidRPr="00904FCB" w:rsidRDefault="00391D7D" w:rsidP="008D5CB3">
      <w:pPr>
        <w:pStyle w:val="10"/>
        <w:spacing w:line="240" w:lineRule="auto"/>
        <w:rPr>
          <w:sz w:val="26"/>
          <w:szCs w:val="42"/>
          <w:rtl/>
        </w:rPr>
      </w:pPr>
      <w:bookmarkStart w:id="17" w:name="_Toc435577179"/>
      <w:r w:rsidRPr="00904FCB">
        <w:rPr>
          <w:rFonts w:hint="cs"/>
          <w:sz w:val="26"/>
          <w:szCs w:val="42"/>
          <w:rtl/>
        </w:rPr>
        <w:t>منظورٌ تحليلي نقدي مقارن</w:t>
      </w:r>
      <w:bookmarkEnd w:id="17"/>
    </w:p>
    <w:p w:rsidR="00E83C22" w:rsidRPr="00904FCB" w:rsidRDefault="00E83C22" w:rsidP="007A21AA">
      <w:pPr>
        <w:spacing w:line="400" w:lineRule="exact"/>
        <w:rPr>
          <w:rtl/>
        </w:rPr>
      </w:pPr>
    </w:p>
    <w:p w:rsidR="00E83C22" w:rsidRPr="00904FCB" w:rsidRDefault="0051752E" w:rsidP="007A21AA">
      <w:pPr>
        <w:pStyle w:val="Author"/>
        <w:spacing w:line="400" w:lineRule="exact"/>
        <w:rPr>
          <w:rtl/>
        </w:rPr>
      </w:pPr>
      <w:bookmarkStart w:id="18" w:name="_Toc435577180"/>
      <w:r w:rsidRPr="00904FCB">
        <w:rPr>
          <w:rFonts w:hint="cs"/>
          <w:rtl/>
        </w:rPr>
        <w:t xml:space="preserve">أ. </w:t>
      </w:r>
      <w:r w:rsidR="00391D7D" w:rsidRPr="00904FCB">
        <w:rPr>
          <w:rFonts w:hint="cs"/>
          <w:rtl/>
        </w:rPr>
        <w:t>مشتاق بن موسى اللواتي</w:t>
      </w:r>
      <w:r w:rsidR="00527634" w:rsidRPr="00904FCB">
        <w:rPr>
          <w:rFonts w:cs="Taher" w:hint="cs"/>
          <w:vertAlign w:val="superscript"/>
          <w:rtl/>
        </w:rPr>
        <w:t>(</w:t>
      </w:r>
      <w:r w:rsidR="00527634" w:rsidRPr="00904FCB">
        <w:rPr>
          <w:rFonts w:cs="Taher"/>
          <w:vertAlign w:val="superscript"/>
          <w:rtl/>
        </w:rPr>
        <w:footnoteReference w:customMarkFollows="1" w:id="5"/>
        <w:t>*)</w:t>
      </w:r>
      <w:bookmarkEnd w:id="18"/>
    </w:p>
    <w:p w:rsidR="00E83C22" w:rsidRPr="00904FCB" w:rsidRDefault="00E83C22" w:rsidP="007A21AA">
      <w:pPr>
        <w:spacing w:line="400" w:lineRule="exact"/>
        <w:rPr>
          <w:rtl/>
        </w:rPr>
      </w:pPr>
    </w:p>
    <w:p w:rsidR="00E83C22" w:rsidRPr="00904FCB" w:rsidRDefault="00391D7D" w:rsidP="007A21AA">
      <w:pPr>
        <w:pStyle w:val="31"/>
        <w:spacing w:line="400" w:lineRule="exact"/>
        <w:rPr>
          <w:color w:val="auto"/>
          <w:rtl/>
        </w:rPr>
      </w:pPr>
      <w:r w:rsidRPr="00904FCB">
        <w:rPr>
          <w:rFonts w:hint="cs"/>
          <w:color w:val="auto"/>
          <w:rtl/>
        </w:rPr>
        <w:t>مقدّمة</w:t>
      </w:r>
    </w:p>
    <w:p w:rsidR="00644408" w:rsidRPr="00904FCB" w:rsidRDefault="00644408" w:rsidP="002244FE">
      <w:pPr>
        <w:spacing w:line="420" w:lineRule="exact"/>
        <w:ind w:firstLine="561"/>
        <w:rPr>
          <w:rFonts w:ascii="Tahoma" w:hAnsi="Tahoma"/>
          <w:sz w:val="27"/>
          <w:rtl/>
        </w:rPr>
      </w:pPr>
      <w:r w:rsidRPr="00904FCB">
        <w:rPr>
          <w:rFonts w:ascii="Tahoma" w:hAnsi="Tahoma" w:hint="cs"/>
          <w:sz w:val="27"/>
          <w:rtl/>
        </w:rPr>
        <w:t xml:space="preserve">يذهب أغلب فقهاء المسلمين </w:t>
      </w:r>
      <w:r w:rsidR="00BC52AF" w:rsidRPr="00904FCB">
        <w:rPr>
          <w:rFonts w:ascii="Tahoma" w:hAnsi="Tahoma" w:hint="cs"/>
          <w:sz w:val="27"/>
          <w:rtl/>
        </w:rPr>
        <w:t>إ</w:t>
      </w:r>
      <w:r w:rsidRPr="00904FCB">
        <w:rPr>
          <w:rFonts w:ascii="Tahoma" w:hAnsi="Tahoma" w:hint="cs"/>
          <w:sz w:val="27"/>
          <w:rtl/>
        </w:rPr>
        <w:t>لى عدم أهلي</w:t>
      </w:r>
      <w:r w:rsidR="00BC52AF" w:rsidRPr="00904FCB">
        <w:rPr>
          <w:rFonts w:ascii="Tahoma" w:hAnsi="Tahoma" w:hint="cs"/>
          <w:sz w:val="27"/>
          <w:rtl/>
        </w:rPr>
        <w:t>ّ</w:t>
      </w:r>
      <w:r w:rsidRPr="00904FCB">
        <w:rPr>
          <w:rFonts w:ascii="Tahoma" w:hAnsi="Tahoma" w:hint="cs"/>
          <w:sz w:val="27"/>
          <w:rtl/>
        </w:rPr>
        <w:t>ة المرأة لتول</w:t>
      </w:r>
      <w:r w:rsidR="00BC52AF" w:rsidRPr="00904FCB">
        <w:rPr>
          <w:rFonts w:ascii="Tahoma" w:hAnsi="Tahoma" w:hint="cs"/>
          <w:sz w:val="27"/>
          <w:rtl/>
        </w:rPr>
        <w:t>ّ</w:t>
      </w:r>
      <w:r w:rsidRPr="00904FCB">
        <w:rPr>
          <w:rFonts w:ascii="Tahoma" w:hAnsi="Tahoma" w:hint="cs"/>
          <w:sz w:val="27"/>
          <w:rtl/>
        </w:rPr>
        <w:t>ي وظائف السلطة. ولهذا اشترطوا في</w:t>
      </w:r>
      <w:r w:rsidR="00BC52AF" w:rsidRPr="00904FCB">
        <w:rPr>
          <w:rFonts w:ascii="Tahoma" w:hAnsi="Tahoma" w:hint="cs"/>
          <w:sz w:val="27"/>
          <w:rtl/>
        </w:rPr>
        <w:t xml:space="preserve"> </w:t>
      </w:r>
      <w:r w:rsidRPr="00904FCB">
        <w:rPr>
          <w:rFonts w:ascii="Tahoma" w:hAnsi="Tahoma" w:hint="cs"/>
          <w:sz w:val="27"/>
          <w:rtl/>
        </w:rPr>
        <w:t>م</w:t>
      </w:r>
      <w:r w:rsidR="00BC52AF" w:rsidRPr="00904FCB">
        <w:rPr>
          <w:rFonts w:ascii="Tahoma" w:hAnsi="Tahoma" w:hint="cs"/>
          <w:sz w:val="27"/>
          <w:rtl/>
        </w:rPr>
        <w:t>َ</w:t>
      </w:r>
      <w:r w:rsidRPr="00904FCB">
        <w:rPr>
          <w:rFonts w:ascii="Tahoma" w:hAnsi="Tahoma" w:hint="cs"/>
          <w:sz w:val="27"/>
          <w:rtl/>
        </w:rPr>
        <w:t>ن</w:t>
      </w:r>
      <w:r w:rsidR="00BC52AF" w:rsidRPr="00904FCB">
        <w:rPr>
          <w:rFonts w:ascii="Tahoma" w:hAnsi="Tahoma" w:hint="cs"/>
          <w:sz w:val="27"/>
          <w:rtl/>
        </w:rPr>
        <w:t>ْ</w:t>
      </w:r>
      <w:r w:rsidRPr="00904FCB">
        <w:rPr>
          <w:rFonts w:ascii="Tahoma" w:hAnsi="Tahoma" w:hint="cs"/>
          <w:sz w:val="27"/>
          <w:rtl/>
        </w:rPr>
        <w:t xml:space="preserve"> يتول</w:t>
      </w:r>
      <w:r w:rsidR="00BC52AF" w:rsidRPr="00904FCB">
        <w:rPr>
          <w:rFonts w:ascii="Tahoma" w:hAnsi="Tahoma" w:hint="cs"/>
          <w:sz w:val="27"/>
          <w:rtl/>
        </w:rPr>
        <w:t>ّ</w:t>
      </w:r>
      <w:r w:rsidRPr="00904FCB">
        <w:rPr>
          <w:rFonts w:ascii="Tahoma" w:hAnsi="Tahoma" w:hint="cs"/>
          <w:sz w:val="27"/>
          <w:rtl/>
        </w:rPr>
        <w:t>ى الحكم أو رئاسة الدولة أن يكون رجلا</w:t>
      </w:r>
      <w:r w:rsidR="00BC52AF" w:rsidRPr="00904FCB">
        <w:rPr>
          <w:rFonts w:ascii="Tahoma" w:hAnsi="Tahoma" w:hint="cs"/>
          <w:sz w:val="27"/>
          <w:rtl/>
        </w:rPr>
        <w:t>ً</w:t>
      </w:r>
      <w:r w:rsidRPr="00904FCB">
        <w:rPr>
          <w:rFonts w:ascii="Tahoma" w:hAnsi="Tahoma" w:hint="cs"/>
          <w:sz w:val="27"/>
          <w:rtl/>
        </w:rPr>
        <w:t xml:space="preserve">. </w:t>
      </w:r>
    </w:p>
    <w:p w:rsidR="00644408" w:rsidRPr="00904FCB" w:rsidRDefault="00644408" w:rsidP="002244FE">
      <w:pPr>
        <w:spacing w:line="420" w:lineRule="exact"/>
        <w:ind w:firstLine="561"/>
        <w:rPr>
          <w:rFonts w:ascii="Tahoma" w:hAnsi="Tahoma"/>
          <w:sz w:val="27"/>
        </w:rPr>
      </w:pPr>
      <w:r w:rsidRPr="00904FCB">
        <w:rPr>
          <w:rFonts w:ascii="Tahoma" w:hAnsi="Tahoma" w:hint="cs"/>
          <w:sz w:val="27"/>
          <w:rtl/>
        </w:rPr>
        <w:t>وأكد كثير</w:t>
      </w:r>
      <w:r w:rsidR="00BC52AF" w:rsidRPr="00904FCB">
        <w:rPr>
          <w:rFonts w:ascii="Tahoma" w:hAnsi="Tahoma" w:hint="cs"/>
          <w:sz w:val="27"/>
          <w:rtl/>
        </w:rPr>
        <w:t>ٌ</w:t>
      </w:r>
      <w:r w:rsidRPr="00904FCB">
        <w:rPr>
          <w:rFonts w:ascii="Tahoma" w:hAnsi="Tahoma" w:hint="cs"/>
          <w:sz w:val="27"/>
          <w:rtl/>
        </w:rPr>
        <w:t xml:space="preserve"> من الفقهاء والمفك</w:t>
      </w:r>
      <w:r w:rsidR="00BC52AF" w:rsidRPr="00904FCB">
        <w:rPr>
          <w:rFonts w:ascii="Tahoma" w:hAnsi="Tahoma" w:hint="cs"/>
          <w:sz w:val="27"/>
          <w:rtl/>
        </w:rPr>
        <w:t>ِّ</w:t>
      </w:r>
      <w:r w:rsidRPr="00904FCB">
        <w:rPr>
          <w:rFonts w:ascii="Tahoma" w:hAnsi="Tahoma" w:hint="cs"/>
          <w:sz w:val="27"/>
          <w:rtl/>
        </w:rPr>
        <w:t>رين، قديما</w:t>
      </w:r>
      <w:r w:rsidR="00BC52AF" w:rsidRPr="00904FCB">
        <w:rPr>
          <w:rFonts w:ascii="Tahoma" w:hAnsi="Tahoma" w:hint="cs"/>
          <w:sz w:val="27"/>
          <w:rtl/>
        </w:rPr>
        <w:t>ً</w:t>
      </w:r>
      <w:r w:rsidRPr="00904FCB">
        <w:rPr>
          <w:rFonts w:ascii="Tahoma" w:hAnsi="Tahoma" w:hint="cs"/>
          <w:sz w:val="27"/>
          <w:rtl/>
        </w:rPr>
        <w:t xml:space="preserve"> وحديثا</w:t>
      </w:r>
      <w:r w:rsidR="00BC52AF" w:rsidRPr="00904FCB">
        <w:rPr>
          <w:rFonts w:ascii="Tahoma" w:hAnsi="Tahoma" w:hint="cs"/>
          <w:sz w:val="27"/>
          <w:rtl/>
        </w:rPr>
        <w:t>ً،</w:t>
      </w:r>
      <w:r w:rsidRPr="00904FCB">
        <w:rPr>
          <w:rFonts w:ascii="Tahoma" w:hAnsi="Tahoma" w:hint="cs"/>
          <w:sz w:val="27"/>
          <w:rtl/>
        </w:rPr>
        <w:t xml:space="preserve"> على اشتراط الرجولة في</w:t>
      </w:r>
      <w:r w:rsidR="00BC52AF" w:rsidRPr="00904FCB">
        <w:rPr>
          <w:rFonts w:ascii="Tahoma" w:hAnsi="Tahoma" w:hint="cs"/>
          <w:sz w:val="27"/>
          <w:rtl/>
        </w:rPr>
        <w:t xml:space="preserve"> </w:t>
      </w:r>
      <w:r w:rsidRPr="00904FCB">
        <w:rPr>
          <w:rFonts w:ascii="Tahoma" w:hAnsi="Tahoma" w:hint="cs"/>
          <w:sz w:val="27"/>
          <w:rtl/>
        </w:rPr>
        <w:t>م</w:t>
      </w:r>
      <w:r w:rsidR="00BC52AF" w:rsidRPr="00904FCB">
        <w:rPr>
          <w:rFonts w:ascii="Tahoma" w:hAnsi="Tahoma" w:hint="cs"/>
          <w:sz w:val="27"/>
          <w:rtl/>
        </w:rPr>
        <w:t>َ</w:t>
      </w:r>
      <w:r w:rsidRPr="00904FCB">
        <w:rPr>
          <w:rFonts w:ascii="Tahoma" w:hAnsi="Tahoma" w:hint="cs"/>
          <w:sz w:val="27"/>
          <w:rtl/>
        </w:rPr>
        <w:t>ن</w:t>
      </w:r>
      <w:r w:rsidR="00BC52AF" w:rsidRPr="00904FCB">
        <w:rPr>
          <w:rFonts w:ascii="Tahoma" w:hAnsi="Tahoma" w:hint="cs"/>
          <w:sz w:val="27"/>
          <w:rtl/>
        </w:rPr>
        <w:t>ْ</w:t>
      </w:r>
      <w:r w:rsidRPr="00904FCB">
        <w:rPr>
          <w:rFonts w:ascii="Tahoma" w:hAnsi="Tahoma" w:hint="cs"/>
          <w:sz w:val="27"/>
          <w:rtl/>
        </w:rPr>
        <w:t xml:space="preserve"> يزاول القضاء</w:t>
      </w:r>
      <w:r w:rsidR="00BC52AF" w:rsidRPr="00904FCB">
        <w:rPr>
          <w:rFonts w:ascii="Tahoma" w:hAnsi="Tahoma" w:hint="cs"/>
          <w:sz w:val="27"/>
          <w:rtl/>
        </w:rPr>
        <w:t>،</w:t>
      </w:r>
      <w:r w:rsidRPr="00904FCB">
        <w:rPr>
          <w:rFonts w:ascii="Tahoma" w:hAnsi="Tahoma" w:hint="cs"/>
          <w:sz w:val="27"/>
          <w:rtl/>
        </w:rPr>
        <w:t xml:space="preserve"> ويتولى سائر مناصب الولاية. </w:t>
      </w:r>
    </w:p>
    <w:p w:rsidR="00644408" w:rsidRPr="00904FCB" w:rsidRDefault="00644408" w:rsidP="002244FE">
      <w:pPr>
        <w:spacing w:line="420" w:lineRule="exact"/>
        <w:ind w:firstLine="561"/>
        <w:rPr>
          <w:sz w:val="27"/>
          <w:rtl/>
          <w:lang w:bidi="ar-OM"/>
        </w:rPr>
      </w:pPr>
      <w:r w:rsidRPr="00904FCB">
        <w:rPr>
          <w:rFonts w:hint="cs"/>
          <w:sz w:val="27"/>
          <w:rtl/>
          <w:lang w:bidi="ar-OM"/>
        </w:rPr>
        <w:t>وفي ضو</w:t>
      </w:r>
      <w:r w:rsidR="000E5B47" w:rsidRPr="00904FCB">
        <w:rPr>
          <w:rFonts w:hint="cs"/>
          <w:sz w:val="27"/>
          <w:rtl/>
          <w:lang w:bidi="ar-OM"/>
        </w:rPr>
        <w:t>ء ذلك</w:t>
      </w:r>
      <w:r w:rsidRPr="00904FCB">
        <w:rPr>
          <w:rFonts w:hint="cs"/>
          <w:sz w:val="27"/>
          <w:rtl/>
          <w:lang w:bidi="ar-OM"/>
        </w:rPr>
        <w:t xml:space="preserve"> فإن المرأة وإن</w:t>
      </w:r>
      <w:r w:rsidR="000E5B47" w:rsidRPr="00904FCB">
        <w:rPr>
          <w:rFonts w:hint="cs"/>
          <w:sz w:val="27"/>
          <w:rtl/>
          <w:lang w:bidi="ar-OM"/>
        </w:rPr>
        <w:t>ْ</w:t>
      </w:r>
      <w:r w:rsidRPr="00904FCB">
        <w:rPr>
          <w:rFonts w:hint="cs"/>
          <w:sz w:val="27"/>
          <w:rtl/>
          <w:lang w:bidi="ar-OM"/>
        </w:rPr>
        <w:t xml:space="preserve"> توافرت فيها الشروط العام</w:t>
      </w:r>
      <w:r w:rsidR="000E5B47" w:rsidRPr="00904FCB">
        <w:rPr>
          <w:rFonts w:hint="cs"/>
          <w:sz w:val="27"/>
          <w:rtl/>
          <w:lang w:bidi="ar-OM"/>
        </w:rPr>
        <w:t>ّ</w:t>
      </w:r>
      <w:r w:rsidRPr="00904FCB">
        <w:rPr>
          <w:rFonts w:hint="cs"/>
          <w:sz w:val="27"/>
          <w:rtl/>
          <w:lang w:bidi="ar-OM"/>
        </w:rPr>
        <w:t>ة</w:t>
      </w:r>
      <w:r w:rsidR="000E5B47" w:rsidRPr="00904FCB">
        <w:rPr>
          <w:rFonts w:hint="cs"/>
          <w:sz w:val="27"/>
          <w:rtl/>
          <w:lang w:bidi="ar-OM"/>
        </w:rPr>
        <w:t xml:space="preserve">، </w:t>
      </w:r>
      <w:r w:rsidRPr="00904FCB">
        <w:rPr>
          <w:rFonts w:hint="cs"/>
          <w:sz w:val="27"/>
          <w:rtl/>
          <w:lang w:bidi="ar-OM"/>
        </w:rPr>
        <w:t>الراجعة إلى الكفاءة والجدارة والاستقامة، وحاز</w:t>
      </w:r>
      <w:r w:rsidR="000E5B47" w:rsidRPr="00904FCB">
        <w:rPr>
          <w:rFonts w:hint="cs"/>
          <w:sz w:val="27"/>
          <w:rtl/>
          <w:lang w:bidi="ar-OM"/>
        </w:rPr>
        <w:t>َ</w:t>
      </w:r>
      <w:r w:rsidRPr="00904FCB">
        <w:rPr>
          <w:rFonts w:hint="cs"/>
          <w:sz w:val="27"/>
          <w:rtl/>
          <w:lang w:bidi="ar-OM"/>
        </w:rPr>
        <w:t>ت</w:t>
      </w:r>
      <w:r w:rsidR="000E5B47" w:rsidRPr="00904FCB">
        <w:rPr>
          <w:rFonts w:hint="cs"/>
          <w:sz w:val="27"/>
          <w:rtl/>
          <w:lang w:bidi="ar-OM"/>
        </w:rPr>
        <w:t>ْ</w:t>
      </w:r>
      <w:r w:rsidRPr="00904FCB">
        <w:rPr>
          <w:rFonts w:hint="cs"/>
          <w:sz w:val="27"/>
          <w:rtl/>
          <w:lang w:bidi="ar-OM"/>
        </w:rPr>
        <w:t xml:space="preserve"> في دراساتها العلمية والشرعية على درجة الاجتهاد المطلق، فإنها</w:t>
      </w:r>
      <w:r w:rsidR="000E5B47" w:rsidRPr="00904FCB">
        <w:rPr>
          <w:rFonts w:hint="cs"/>
          <w:sz w:val="27"/>
          <w:rtl/>
          <w:lang w:bidi="ar-OM"/>
        </w:rPr>
        <w:t>؛</w:t>
      </w:r>
      <w:r w:rsidRPr="00904FCB">
        <w:rPr>
          <w:rFonts w:hint="cs"/>
          <w:sz w:val="27"/>
          <w:rtl/>
          <w:lang w:bidi="ar-OM"/>
        </w:rPr>
        <w:t xml:space="preserve"> بحكم كونها امرأة</w:t>
      </w:r>
      <w:r w:rsidR="000E5B47" w:rsidRPr="00904FCB">
        <w:rPr>
          <w:rFonts w:hint="cs"/>
          <w:sz w:val="27"/>
          <w:rtl/>
          <w:lang w:bidi="ar-OM"/>
        </w:rPr>
        <w:t>ً،</w:t>
      </w:r>
      <w:r w:rsidRPr="00904FCB">
        <w:rPr>
          <w:rFonts w:hint="cs"/>
          <w:sz w:val="27"/>
          <w:rtl/>
          <w:lang w:bidi="ar-OM"/>
        </w:rPr>
        <w:t xml:space="preserve"> لا يجوز لها </w:t>
      </w:r>
      <w:r w:rsidR="000E5B47" w:rsidRPr="00904FCB">
        <w:rPr>
          <w:rFonts w:hint="cs"/>
          <w:sz w:val="27"/>
          <w:rtl/>
          <w:lang w:bidi="ar-OM"/>
        </w:rPr>
        <w:t>أ</w:t>
      </w:r>
      <w:r w:rsidRPr="00904FCB">
        <w:rPr>
          <w:rFonts w:hint="cs"/>
          <w:sz w:val="27"/>
          <w:rtl/>
          <w:lang w:bidi="ar-OM"/>
        </w:rPr>
        <w:t>ن تتول</w:t>
      </w:r>
      <w:r w:rsidR="000E5B47" w:rsidRPr="00904FCB">
        <w:rPr>
          <w:rFonts w:hint="cs"/>
          <w:sz w:val="27"/>
          <w:rtl/>
          <w:lang w:bidi="ar-OM"/>
        </w:rPr>
        <w:t>ّ</w:t>
      </w:r>
      <w:r w:rsidRPr="00904FCB">
        <w:rPr>
          <w:rFonts w:hint="cs"/>
          <w:sz w:val="27"/>
          <w:rtl/>
          <w:lang w:bidi="ar-OM"/>
        </w:rPr>
        <w:t>ى مناصب السلطة والولاية</w:t>
      </w:r>
      <w:r w:rsidR="000E5B47" w:rsidRPr="00904FCB">
        <w:rPr>
          <w:rFonts w:hint="cs"/>
          <w:sz w:val="27"/>
          <w:rtl/>
          <w:lang w:bidi="ar-OM"/>
        </w:rPr>
        <w:t>،</w:t>
      </w:r>
      <w:r w:rsidRPr="00904FCB">
        <w:rPr>
          <w:rFonts w:hint="cs"/>
          <w:sz w:val="27"/>
          <w:rtl/>
          <w:lang w:bidi="ar-OM"/>
        </w:rPr>
        <w:t xml:space="preserve"> كرئاسة الدولة والقضاء وما شاكل. </w:t>
      </w:r>
    </w:p>
    <w:p w:rsidR="00644408" w:rsidRPr="00904FCB" w:rsidRDefault="00644408" w:rsidP="002244FE">
      <w:pPr>
        <w:spacing w:line="420" w:lineRule="exact"/>
        <w:ind w:firstLine="561"/>
        <w:rPr>
          <w:sz w:val="27"/>
          <w:rtl/>
          <w:lang w:bidi="ar-OM"/>
        </w:rPr>
      </w:pPr>
      <w:r w:rsidRPr="00904FCB">
        <w:rPr>
          <w:rFonts w:hint="cs"/>
          <w:sz w:val="27"/>
          <w:rtl/>
          <w:lang w:bidi="ar-OM"/>
        </w:rPr>
        <w:t>وهناك اتجاه</w:t>
      </w:r>
      <w:r w:rsidR="000E5B47" w:rsidRPr="00904FCB">
        <w:rPr>
          <w:rFonts w:hint="cs"/>
          <w:sz w:val="27"/>
          <w:rtl/>
          <w:lang w:bidi="ar-OM"/>
        </w:rPr>
        <w:t>ٌ</w:t>
      </w:r>
      <w:r w:rsidRPr="00904FCB">
        <w:rPr>
          <w:rFonts w:hint="cs"/>
          <w:sz w:val="27"/>
          <w:rtl/>
          <w:lang w:bidi="ar-OM"/>
        </w:rPr>
        <w:t xml:space="preserve"> فقهي</w:t>
      </w:r>
      <w:r w:rsidR="000E5B47" w:rsidRPr="00904FCB">
        <w:rPr>
          <w:rFonts w:hint="cs"/>
          <w:sz w:val="27"/>
          <w:rtl/>
          <w:lang w:bidi="ar-OM"/>
        </w:rPr>
        <w:t>ّ</w:t>
      </w:r>
      <w:r w:rsidRPr="00904FCB">
        <w:rPr>
          <w:rFonts w:hint="cs"/>
          <w:sz w:val="27"/>
          <w:rtl/>
          <w:lang w:bidi="ar-OM"/>
        </w:rPr>
        <w:t xml:space="preserve"> آخر</w:t>
      </w:r>
      <w:r w:rsidR="000E5B47" w:rsidRPr="00904FCB">
        <w:rPr>
          <w:rFonts w:hint="cs"/>
          <w:sz w:val="27"/>
          <w:rtl/>
          <w:lang w:bidi="ar-OM"/>
        </w:rPr>
        <w:t>،</w:t>
      </w:r>
      <w:r w:rsidRPr="00904FCB">
        <w:rPr>
          <w:rFonts w:hint="cs"/>
          <w:sz w:val="27"/>
          <w:rtl/>
          <w:lang w:bidi="ar-OM"/>
        </w:rPr>
        <w:t xml:space="preserve"> وإن</w:t>
      </w:r>
      <w:r w:rsidR="000E5B47" w:rsidRPr="00904FCB">
        <w:rPr>
          <w:rFonts w:hint="cs"/>
          <w:sz w:val="27"/>
          <w:rtl/>
          <w:lang w:bidi="ar-OM"/>
        </w:rPr>
        <w:t>ْ</w:t>
      </w:r>
      <w:r w:rsidRPr="00904FCB">
        <w:rPr>
          <w:rFonts w:hint="cs"/>
          <w:sz w:val="27"/>
          <w:rtl/>
          <w:lang w:bidi="ar-OM"/>
        </w:rPr>
        <w:t xml:space="preserve"> كان محدودا</w:t>
      </w:r>
      <w:r w:rsidR="000E5B47" w:rsidRPr="00904FCB">
        <w:rPr>
          <w:rFonts w:hint="cs"/>
          <w:sz w:val="27"/>
          <w:rtl/>
          <w:lang w:bidi="ar-OM"/>
        </w:rPr>
        <w:t>ً</w:t>
      </w:r>
      <w:r w:rsidRPr="00904FCB">
        <w:rPr>
          <w:rFonts w:hint="cs"/>
          <w:sz w:val="27"/>
          <w:rtl/>
          <w:lang w:bidi="ar-OM"/>
        </w:rPr>
        <w:t>، أجرى مراجعة</w:t>
      </w:r>
      <w:r w:rsidR="000E5B47" w:rsidRPr="00904FCB">
        <w:rPr>
          <w:rFonts w:hint="cs"/>
          <w:sz w:val="27"/>
          <w:rtl/>
          <w:lang w:bidi="ar-OM"/>
        </w:rPr>
        <w:t>ً</w:t>
      </w:r>
      <w:r w:rsidRPr="00904FCB">
        <w:rPr>
          <w:rFonts w:hint="cs"/>
          <w:sz w:val="27"/>
          <w:rtl/>
          <w:lang w:bidi="ar-OM"/>
        </w:rPr>
        <w:t xml:space="preserve"> نقدية للتأصيلات الفقهية السائدة في هذه القضية</w:t>
      </w:r>
      <w:r w:rsidR="000E5B47" w:rsidRPr="00904FCB">
        <w:rPr>
          <w:rFonts w:hint="cs"/>
          <w:sz w:val="27"/>
          <w:rtl/>
          <w:lang w:bidi="ar-OM"/>
        </w:rPr>
        <w:t>،</w:t>
      </w:r>
      <w:r w:rsidRPr="00904FCB">
        <w:rPr>
          <w:rFonts w:hint="cs"/>
          <w:sz w:val="27"/>
          <w:rtl/>
          <w:lang w:bidi="ar-OM"/>
        </w:rPr>
        <w:t xml:space="preserve"> وأعاد النظر فيها</w:t>
      </w:r>
      <w:r w:rsidR="000E5B47" w:rsidRPr="00904FCB">
        <w:rPr>
          <w:rFonts w:hint="cs"/>
          <w:sz w:val="27"/>
          <w:rtl/>
          <w:lang w:bidi="ar-OM"/>
        </w:rPr>
        <w:t>،</w:t>
      </w:r>
      <w:r w:rsidRPr="00904FCB">
        <w:rPr>
          <w:rFonts w:hint="cs"/>
          <w:sz w:val="27"/>
          <w:rtl/>
          <w:lang w:bidi="ar-OM"/>
        </w:rPr>
        <w:t xml:space="preserve"> وانتهى </w:t>
      </w:r>
      <w:r w:rsidR="000E5B47" w:rsidRPr="00904FCB">
        <w:rPr>
          <w:rFonts w:hint="cs"/>
          <w:sz w:val="27"/>
          <w:rtl/>
          <w:lang w:bidi="ar-OM"/>
        </w:rPr>
        <w:t>إ</w:t>
      </w:r>
      <w:r w:rsidRPr="00904FCB">
        <w:rPr>
          <w:rFonts w:hint="cs"/>
          <w:sz w:val="27"/>
          <w:rtl/>
          <w:lang w:bidi="ar-OM"/>
        </w:rPr>
        <w:t>لى مشروعية أن تتول</w:t>
      </w:r>
      <w:r w:rsidR="000E5B47" w:rsidRPr="00904FCB">
        <w:rPr>
          <w:rFonts w:hint="cs"/>
          <w:sz w:val="27"/>
          <w:rtl/>
          <w:lang w:bidi="ar-OM"/>
        </w:rPr>
        <w:t>ّى</w:t>
      </w:r>
      <w:r w:rsidRPr="00904FCB">
        <w:rPr>
          <w:rFonts w:hint="cs"/>
          <w:sz w:val="27"/>
          <w:rtl/>
          <w:lang w:bidi="ar-OM"/>
        </w:rPr>
        <w:t xml:space="preserve"> المرأة بعض مناصب الولاية</w:t>
      </w:r>
      <w:r w:rsidR="000E5B47" w:rsidRPr="00904FCB">
        <w:rPr>
          <w:rFonts w:hint="cs"/>
          <w:sz w:val="27"/>
          <w:rtl/>
          <w:lang w:bidi="ar-OM"/>
        </w:rPr>
        <w:t>،</w:t>
      </w:r>
      <w:r w:rsidRPr="00904FCB">
        <w:rPr>
          <w:rFonts w:hint="cs"/>
          <w:sz w:val="27"/>
          <w:rtl/>
          <w:lang w:bidi="ar-OM"/>
        </w:rPr>
        <w:t xml:space="preserve"> سواء بشكل</w:t>
      </w:r>
      <w:r w:rsidR="000E5B47" w:rsidRPr="00904FCB">
        <w:rPr>
          <w:rFonts w:hint="cs"/>
          <w:sz w:val="27"/>
          <w:rtl/>
          <w:lang w:bidi="ar-OM"/>
        </w:rPr>
        <w:t>ٍ</w:t>
      </w:r>
      <w:r w:rsidRPr="00904FCB">
        <w:rPr>
          <w:rFonts w:hint="cs"/>
          <w:sz w:val="27"/>
          <w:rtl/>
          <w:lang w:bidi="ar-OM"/>
        </w:rPr>
        <w:t xml:space="preserve"> كل</w:t>
      </w:r>
      <w:r w:rsidR="000E5B47" w:rsidRPr="00904FCB">
        <w:rPr>
          <w:rFonts w:hint="cs"/>
          <w:sz w:val="27"/>
          <w:rtl/>
          <w:lang w:bidi="ar-OM"/>
        </w:rPr>
        <w:t>ّ</w:t>
      </w:r>
      <w:r w:rsidRPr="00904FCB">
        <w:rPr>
          <w:rFonts w:hint="cs"/>
          <w:sz w:val="27"/>
          <w:rtl/>
          <w:lang w:bidi="ar-OM"/>
        </w:rPr>
        <w:t xml:space="preserve">ي أو جزئي. </w:t>
      </w:r>
    </w:p>
    <w:p w:rsidR="000E5B47" w:rsidRPr="00904FCB" w:rsidRDefault="00644408" w:rsidP="002244FE">
      <w:pPr>
        <w:spacing w:line="420" w:lineRule="exact"/>
        <w:ind w:firstLine="561"/>
        <w:rPr>
          <w:sz w:val="27"/>
          <w:rtl/>
          <w:lang w:bidi="ar-OM"/>
        </w:rPr>
      </w:pPr>
      <w:r w:rsidRPr="00904FCB">
        <w:rPr>
          <w:rFonts w:hint="cs"/>
          <w:sz w:val="27"/>
          <w:rtl/>
          <w:lang w:bidi="ar-OM"/>
        </w:rPr>
        <w:t xml:space="preserve"> وثم</w:t>
      </w:r>
      <w:r w:rsidR="000E5B47" w:rsidRPr="00904FCB">
        <w:rPr>
          <w:rFonts w:hint="cs"/>
          <w:sz w:val="27"/>
          <w:rtl/>
          <w:lang w:bidi="ar-OM"/>
        </w:rPr>
        <w:t>ّ</w:t>
      </w:r>
      <w:r w:rsidRPr="00904FCB">
        <w:rPr>
          <w:rFonts w:hint="cs"/>
          <w:sz w:val="27"/>
          <w:rtl/>
          <w:lang w:bidi="ar-OM"/>
        </w:rPr>
        <w:t>ة اتجاه بحثي جديد لدى فريق من الفقهاء والمفك</w:t>
      </w:r>
      <w:r w:rsidR="000E5B47" w:rsidRPr="00904FCB">
        <w:rPr>
          <w:rFonts w:hint="cs"/>
          <w:sz w:val="27"/>
          <w:rtl/>
          <w:lang w:bidi="ar-OM"/>
        </w:rPr>
        <w:t>ِّ</w:t>
      </w:r>
      <w:r w:rsidRPr="00904FCB">
        <w:rPr>
          <w:rFonts w:hint="cs"/>
          <w:sz w:val="27"/>
          <w:rtl/>
          <w:lang w:bidi="ar-OM"/>
        </w:rPr>
        <w:t>رين آخذ في التشك</w:t>
      </w:r>
      <w:r w:rsidR="000E5B47" w:rsidRPr="00904FCB">
        <w:rPr>
          <w:rFonts w:hint="cs"/>
          <w:sz w:val="27"/>
          <w:rtl/>
          <w:lang w:bidi="ar-OM"/>
        </w:rPr>
        <w:t>ُّ</w:t>
      </w:r>
      <w:r w:rsidRPr="00904FCB">
        <w:rPr>
          <w:rFonts w:hint="cs"/>
          <w:sz w:val="27"/>
          <w:rtl/>
          <w:lang w:bidi="ar-OM"/>
        </w:rPr>
        <w:t>ل والتبلور، يحمل نظرة</w:t>
      </w:r>
      <w:r w:rsidR="000E5B47" w:rsidRPr="00904FCB">
        <w:rPr>
          <w:rFonts w:hint="cs"/>
          <w:sz w:val="27"/>
          <w:rtl/>
          <w:lang w:bidi="ar-OM"/>
        </w:rPr>
        <w:t>ً</w:t>
      </w:r>
      <w:r w:rsidRPr="00904FCB">
        <w:rPr>
          <w:rFonts w:hint="cs"/>
          <w:sz w:val="27"/>
          <w:rtl/>
          <w:lang w:bidi="ar-OM"/>
        </w:rPr>
        <w:t xml:space="preserve"> مغايرة</w:t>
      </w:r>
      <w:r w:rsidR="000E5B47" w:rsidRPr="00904FCB">
        <w:rPr>
          <w:rFonts w:hint="cs"/>
          <w:sz w:val="27"/>
          <w:rtl/>
          <w:lang w:bidi="ar-OM"/>
        </w:rPr>
        <w:t>،</w:t>
      </w:r>
      <w:r w:rsidRPr="00904FCB">
        <w:rPr>
          <w:rFonts w:hint="cs"/>
          <w:sz w:val="27"/>
          <w:rtl/>
          <w:lang w:bidi="ar-OM"/>
        </w:rPr>
        <w:t xml:space="preserve"> فلا يميز في هذه القضية بين الرجل والمرأة، ويرى أهلية المرأة لتول</w:t>
      </w:r>
      <w:r w:rsidR="000E5B47" w:rsidRPr="00904FCB">
        <w:rPr>
          <w:rFonts w:hint="cs"/>
          <w:sz w:val="27"/>
          <w:rtl/>
          <w:lang w:bidi="ar-OM"/>
        </w:rPr>
        <w:t>ّ</w:t>
      </w:r>
      <w:r w:rsidRPr="00904FCB">
        <w:rPr>
          <w:rFonts w:hint="cs"/>
          <w:sz w:val="27"/>
          <w:rtl/>
          <w:lang w:bidi="ar-OM"/>
        </w:rPr>
        <w:t xml:space="preserve">ي جميع مناصب السلطة فيما إذا أحرزت </w:t>
      </w:r>
      <w:r w:rsidR="000E5B47" w:rsidRPr="00904FCB">
        <w:rPr>
          <w:rFonts w:hint="cs"/>
          <w:sz w:val="27"/>
          <w:rtl/>
          <w:lang w:bidi="ar-OM"/>
        </w:rPr>
        <w:t>الشروط</w:t>
      </w:r>
      <w:r w:rsidRPr="00904FCB">
        <w:rPr>
          <w:rFonts w:hint="cs"/>
          <w:sz w:val="27"/>
          <w:rtl/>
          <w:lang w:bidi="ar-OM"/>
        </w:rPr>
        <w:t xml:space="preserve"> العامة التي تؤه</w:t>
      </w:r>
      <w:r w:rsidR="000E5B47" w:rsidRPr="00904FCB">
        <w:rPr>
          <w:rFonts w:hint="cs"/>
          <w:sz w:val="27"/>
          <w:rtl/>
          <w:lang w:bidi="ar-OM"/>
        </w:rPr>
        <w:t>ِّ</w:t>
      </w:r>
      <w:r w:rsidRPr="00904FCB">
        <w:rPr>
          <w:rFonts w:hint="cs"/>
          <w:sz w:val="27"/>
          <w:rtl/>
          <w:lang w:bidi="ar-OM"/>
        </w:rPr>
        <w:t>لها لذلك</w:t>
      </w:r>
      <w:r w:rsidR="000E5B47" w:rsidRPr="00904FCB">
        <w:rPr>
          <w:rFonts w:hint="cs"/>
          <w:sz w:val="27"/>
          <w:rtl/>
          <w:lang w:bidi="ar-OM"/>
        </w:rPr>
        <w:t>.</w:t>
      </w:r>
    </w:p>
    <w:p w:rsidR="00644408" w:rsidRPr="00904FCB" w:rsidRDefault="00644408" w:rsidP="008D5CB3">
      <w:pPr>
        <w:spacing w:line="400" w:lineRule="exact"/>
        <w:rPr>
          <w:sz w:val="27"/>
          <w:rtl/>
          <w:lang w:bidi="ar-OM"/>
        </w:rPr>
      </w:pPr>
      <w:r w:rsidRPr="00904FCB">
        <w:rPr>
          <w:rFonts w:hint="cs"/>
          <w:sz w:val="27"/>
          <w:rtl/>
          <w:lang w:bidi="ar-OM"/>
        </w:rPr>
        <w:lastRenderedPageBreak/>
        <w:t>ومع التطو</w:t>
      </w:r>
      <w:r w:rsidR="000E5B47" w:rsidRPr="00904FCB">
        <w:rPr>
          <w:rFonts w:hint="cs"/>
          <w:sz w:val="27"/>
          <w:rtl/>
          <w:lang w:bidi="ar-OM"/>
        </w:rPr>
        <w:t>ّ</w:t>
      </w:r>
      <w:r w:rsidRPr="00904FCB">
        <w:rPr>
          <w:rFonts w:hint="cs"/>
          <w:sz w:val="27"/>
          <w:rtl/>
          <w:lang w:bidi="ar-OM"/>
        </w:rPr>
        <w:t>ر الذي يحرزه البحث في هذه القضية ف</w:t>
      </w:r>
      <w:r w:rsidR="000E5B47" w:rsidRPr="00904FCB">
        <w:rPr>
          <w:rFonts w:hint="cs"/>
          <w:sz w:val="27"/>
          <w:rtl/>
          <w:lang w:bidi="ar-OM"/>
        </w:rPr>
        <w:t>إ</w:t>
      </w:r>
      <w:r w:rsidRPr="00904FCB">
        <w:rPr>
          <w:rFonts w:hint="cs"/>
          <w:sz w:val="27"/>
          <w:rtl/>
          <w:lang w:bidi="ar-OM"/>
        </w:rPr>
        <w:t>نه لا يزال مث</w:t>
      </w:r>
      <w:r w:rsidR="000E5B47" w:rsidRPr="00904FCB">
        <w:rPr>
          <w:rFonts w:hint="cs"/>
          <w:sz w:val="27"/>
          <w:rtl/>
          <w:lang w:bidi="ar-OM"/>
        </w:rPr>
        <w:t>ْ</w:t>
      </w:r>
      <w:r w:rsidRPr="00904FCB">
        <w:rPr>
          <w:rFonts w:hint="cs"/>
          <w:sz w:val="27"/>
          <w:rtl/>
          <w:lang w:bidi="ar-OM"/>
        </w:rPr>
        <w:t>ق</w:t>
      </w:r>
      <w:r w:rsidR="000E5B47" w:rsidRPr="00904FCB">
        <w:rPr>
          <w:rFonts w:hint="cs"/>
          <w:sz w:val="27"/>
          <w:rtl/>
          <w:lang w:bidi="ar-OM"/>
        </w:rPr>
        <w:t>َ</w:t>
      </w:r>
      <w:r w:rsidRPr="00904FCB">
        <w:rPr>
          <w:rFonts w:hint="cs"/>
          <w:sz w:val="27"/>
          <w:rtl/>
          <w:lang w:bidi="ar-OM"/>
        </w:rPr>
        <w:t>لا</w:t>
      </w:r>
      <w:r w:rsidR="000E5B47" w:rsidRPr="00904FCB">
        <w:rPr>
          <w:rFonts w:hint="cs"/>
          <w:sz w:val="27"/>
          <w:rtl/>
          <w:lang w:bidi="ar-OM"/>
        </w:rPr>
        <w:t>ً</w:t>
      </w:r>
      <w:r w:rsidRPr="00904FCB">
        <w:rPr>
          <w:rFonts w:hint="cs"/>
          <w:sz w:val="27"/>
          <w:rtl/>
          <w:lang w:bidi="ar-OM"/>
        </w:rPr>
        <w:t xml:space="preserve"> بتراكمات النظرة الثقافية والاجتماعية والفقهية التاريخية. </w:t>
      </w:r>
    </w:p>
    <w:p w:rsidR="00644408" w:rsidRPr="00904FCB" w:rsidRDefault="00644408" w:rsidP="008D5CB3">
      <w:pPr>
        <w:spacing w:line="380" w:lineRule="exact"/>
        <w:rPr>
          <w:rFonts w:ascii="Tahoma" w:hAnsi="Tahoma"/>
          <w:sz w:val="27"/>
          <w:rtl/>
          <w:lang w:bidi="ar-OM"/>
        </w:rPr>
      </w:pPr>
      <w:r w:rsidRPr="00904FCB">
        <w:rPr>
          <w:rFonts w:hint="cs"/>
          <w:sz w:val="27"/>
          <w:rtl/>
          <w:lang w:bidi="ar-OM"/>
        </w:rPr>
        <w:t>وقد يظن</w:t>
      </w:r>
      <w:r w:rsidR="000E5B47" w:rsidRPr="00904FCB">
        <w:rPr>
          <w:rFonts w:hint="cs"/>
          <w:sz w:val="27"/>
          <w:rtl/>
          <w:lang w:bidi="ar-OM"/>
        </w:rPr>
        <w:t>ّ</w:t>
      </w:r>
      <w:r w:rsidRPr="00904FCB">
        <w:rPr>
          <w:rFonts w:hint="cs"/>
          <w:sz w:val="27"/>
          <w:rtl/>
          <w:lang w:bidi="ar-OM"/>
        </w:rPr>
        <w:t xml:space="preserve"> </w:t>
      </w:r>
      <w:r w:rsidR="000E5B47" w:rsidRPr="00904FCB">
        <w:rPr>
          <w:rFonts w:hint="cs"/>
          <w:sz w:val="27"/>
          <w:rtl/>
          <w:lang w:bidi="ar-OM"/>
        </w:rPr>
        <w:t>ال</w:t>
      </w:r>
      <w:r w:rsidRPr="00904FCB">
        <w:rPr>
          <w:rFonts w:hint="cs"/>
          <w:sz w:val="27"/>
          <w:rtl/>
          <w:lang w:bidi="ar-OM"/>
        </w:rPr>
        <w:t xml:space="preserve">بعض </w:t>
      </w:r>
      <w:r w:rsidR="000E5B47" w:rsidRPr="00904FCB">
        <w:rPr>
          <w:rFonts w:hint="cs"/>
          <w:sz w:val="27"/>
          <w:rtl/>
          <w:lang w:bidi="ar-OM"/>
        </w:rPr>
        <w:t>أ</w:t>
      </w:r>
      <w:r w:rsidRPr="00904FCB">
        <w:rPr>
          <w:rFonts w:hint="cs"/>
          <w:sz w:val="27"/>
          <w:rtl/>
          <w:lang w:bidi="ar-OM"/>
        </w:rPr>
        <w:t>ن طرح هذه المسألة جديد</w:t>
      </w:r>
      <w:r w:rsidR="000E5B47" w:rsidRPr="00904FCB">
        <w:rPr>
          <w:rFonts w:hint="cs"/>
          <w:sz w:val="27"/>
          <w:rtl/>
          <w:lang w:bidi="ar-OM"/>
        </w:rPr>
        <w:t>ٌ</w:t>
      </w:r>
      <w:r w:rsidRPr="00904FCB">
        <w:rPr>
          <w:rFonts w:hint="cs"/>
          <w:sz w:val="27"/>
          <w:rtl/>
          <w:lang w:bidi="ar-OM"/>
        </w:rPr>
        <w:t xml:space="preserve"> في بحوث الفقه عند المسلمين</w:t>
      </w:r>
      <w:r w:rsidR="000E5B47" w:rsidRPr="00904FCB">
        <w:rPr>
          <w:rFonts w:hint="cs"/>
          <w:sz w:val="27"/>
          <w:rtl/>
          <w:lang w:bidi="ar-OM"/>
        </w:rPr>
        <w:t>؛</w:t>
      </w:r>
      <w:r w:rsidRPr="00904FCB">
        <w:rPr>
          <w:rFonts w:hint="cs"/>
          <w:sz w:val="27"/>
          <w:rtl/>
          <w:lang w:bidi="ar-OM"/>
        </w:rPr>
        <w:t xml:space="preserve"> وذلك بسبب الانفتاح الفكري</w:t>
      </w:r>
      <w:r w:rsidR="000E5B47" w:rsidRPr="00904FCB">
        <w:rPr>
          <w:rFonts w:hint="cs"/>
          <w:sz w:val="27"/>
          <w:rtl/>
          <w:lang w:bidi="ar-OM"/>
        </w:rPr>
        <w:t>،</w:t>
      </w:r>
      <w:r w:rsidRPr="00904FCB">
        <w:rPr>
          <w:rFonts w:hint="cs"/>
          <w:sz w:val="27"/>
          <w:rtl/>
          <w:lang w:bidi="ar-OM"/>
        </w:rPr>
        <w:t xml:space="preserve"> ونتيجة التطو</w:t>
      </w:r>
      <w:r w:rsidR="000E5B47" w:rsidRPr="00904FCB">
        <w:rPr>
          <w:rFonts w:hint="cs"/>
          <w:sz w:val="27"/>
          <w:rtl/>
          <w:lang w:bidi="ar-OM"/>
        </w:rPr>
        <w:t>ّ</w:t>
      </w:r>
      <w:r w:rsidRPr="00904FCB">
        <w:rPr>
          <w:rFonts w:hint="cs"/>
          <w:sz w:val="27"/>
          <w:rtl/>
          <w:lang w:bidi="ar-OM"/>
        </w:rPr>
        <w:t>ر الاجتماعي والسياسي</w:t>
      </w:r>
      <w:r w:rsidR="000E5B47" w:rsidRPr="00904FCB">
        <w:rPr>
          <w:rFonts w:hint="cs"/>
          <w:sz w:val="27"/>
          <w:rtl/>
          <w:lang w:bidi="ar-OM"/>
        </w:rPr>
        <w:t>،</w:t>
      </w:r>
      <w:r w:rsidRPr="00904FCB">
        <w:rPr>
          <w:rFonts w:hint="cs"/>
          <w:sz w:val="27"/>
          <w:rtl/>
          <w:lang w:bidi="ar-OM"/>
        </w:rPr>
        <w:t xml:space="preserve"> وتقد</w:t>
      </w:r>
      <w:r w:rsidR="000E5B47" w:rsidRPr="00904FCB">
        <w:rPr>
          <w:rFonts w:hint="cs"/>
          <w:sz w:val="27"/>
          <w:rtl/>
          <w:lang w:bidi="ar-OM"/>
        </w:rPr>
        <w:t>ُّ</w:t>
      </w:r>
      <w:r w:rsidRPr="00904FCB">
        <w:rPr>
          <w:rFonts w:hint="cs"/>
          <w:sz w:val="27"/>
          <w:rtl/>
          <w:lang w:bidi="ar-OM"/>
        </w:rPr>
        <w:t>م الفكر الحقوقي في هذا العصر. ولكن</w:t>
      </w:r>
      <w:r w:rsidR="000E5B47" w:rsidRPr="00904FCB">
        <w:rPr>
          <w:rFonts w:hint="cs"/>
          <w:sz w:val="27"/>
          <w:rtl/>
          <w:lang w:bidi="ar-OM"/>
        </w:rPr>
        <w:t>ّ</w:t>
      </w:r>
      <w:r w:rsidRPr="00904FCB">
        <w:rPr>
          <w:rFonts w:hint="cs"/>
          <w:sz w:val="27"/>
          <w:rtl/>
          <w:lang w:bidi="ar-OM"/>
        </w:rPr>
        <w:t xml:space="preserve"> الواقع ـ ومع عدم إغفال أهم</w:t>
      </w:r>
      <w:r w:rsidR="000E5B47" w:rsidRPr="00904FCB">
        <w:rPr>
          <w:rFonts w:hint="cs"/>
          <w:sz w:val="27"/>
          <w:rtl/>
          <w:lang w:bidi="ar-OM"/>
        </w:rPr>
        <w:t>ّ</w:t>
      </w:r>
      <w:r w:rsidRPr="00904FCB">
        <w:rPr>
          <w:rFonts w:hint="cs"/>
          <w:sz w:val="27"/>
          <w:rtl/>
          <w:lang w:bidi="ar-OM"/>
        </w:rPr>
        <w:t xml:space="preserve">ية تأثير العوامل السابقة ـ </w:t>
      </w:r>
      <w:r w:rsidR="000E5B47" w:rsidRPr="00904FCB">
        <w:rPr>
          <w:rFonts w:hint="cs"/>
          <w:sz w:val="27"/>
          <w:rtl/>
          <w:lang w:bidi="ar-OM"/>
        </w:rPr>
        <w:t>أ</w:t>
      </w:r>
      <w:r w:rsidRPr="00904FCB">
        <w:rPr>
          <w:rFonts w:hint="cs"/>
          <w:sz w:val="27"/>
          <w:rtl/>
          <w:lang w:bidi="ar-OM"/>
        </w:rPr>
        <w:t>ن فقهاء المسلمين بحثوا هذه المسألة منذ القدم</w:t>
      </w:r>
      <w:r w:rsidR="000E5B47" w:rsidRPr="00904FCB">
        <w:rPr>
          <w:rFonts w:hint="cs"/>
          <w:sz w:val="27"/>
          <w:rtl/>
          <w:lang w:bidi="ar-OM"/>
        </w:rPr>
        <w:t>،</w:t>
      </w:r>
      <w:r w:rsidRPr="00904FCB">
        <w:rPr>
          <w:rFonts w:hint="cs"/>
          <w:sz w:val="27"/>
          <w:rtl/>
          <w:lang w:bidi="ar-OM"/>
        </w:rPr>
        <w:t xml:space="preserve"> ووقع الخلاف بينهم حولها، كما هو الحال في بقية المسائل الفقهية، كما سيت</w:t>
      </w:r>
      <w:r w:rsidR="000E5B47" w:rsidRPr="00904FCB">
        <w:rPr>
          <w:rFonts w:hint="cs"/>
          <w:sz w:val="27"/>
          <w:rtl/>
          <w:lang w:bidi="ar-OM"/>
        </w:rPr>
        <w:t>ّ</w:t>
      </w:r>
      <w:r w:rsidRPr="00904FCB">
        <w:rPr>
          <w:rFonts w:hint="cs"/>
          <w:sz w:val="27"/>
          <w:rtl/>
          <w:lang w:bidi="ar-OM"/>
        </w:rPr>
        <w:t xml:space="preserve">ضح من البحث. </w:t>
      </w:r>
    </w:p>
    <w:p w:rsidR="00644408" w:rsidRPr="00904FCB" w:rsidRDefault="00644408" w:rsidP="007A21AA">
      <w:pPr>
        <w:spacing w:line="400" w:lineRule="exact"/>
        <w:rPr>
          <w:rFonts w:ascii="Tahoma" w:hAnsi="Tahoma"/>
          <w:sz w:val="27"/>
          <w:rtl/>
        </w:rPr>
      </w:pPr>
    </w:p>
    <w:p w:rsidR="00644408" w:rsidRPr="00904FCB" w:rsidRDefault="00644408" w:rsidP="007A21AA">
      <w:pPr>
        <w:pStyle w:val="31"/>
        <w:spacing w:line="400" w:lineRule="exact"/>
        <w:rPr>
          <w:color w:val="auto"/>
          <w:rtl/>
        </w:rPr>
      </w:pPr>
      <w:r w:rsidRPr="00904FCB">
        <w:rPr>
          <w:rFonts w:hint="cs"/>
          <w:color w:val="auto"/>
          <w:rtl/>
        </w:rPr>
        <w:t xml:space="preserve">أبرز الاتجاهات الفقهية حول القضية </w:t>
      </w:r>
    </w:p>
    <w:p w:rsidR="00644408" w:rsidRPr="00904FCB" w:rsidRDefault="00644408" w:rsidP="008D5CB3">
      <w:pPr>
        <w:spacing w:line="380" w:lineRule="exact"/>
        <w:rPr>
          <w:rFonts w:ascii="Tahoma" w:hAnsi="Tahoma"/>
          <w:sz w:val="27"/>
          <w:rtl/>
        </w:rPr>
      </w:pPr>
      <w:r w:rsidRPr="00904FCB">
        <w:rPr>
          <w:rFonts w:hint="cs"/>
          <w:sz w:val="27"/>
          <w:rtl/>
          <w:lang w:bidi="ar-OM"/>
        </w:rPr>
        <w:t>ولأغراض هذا البحث تم</w:t>
      </w:r>
      <w:r w:rsidR="000E5B47" w:rsidRPr="00904FCB">
        <w:rPr>
          <w:rFonts w:hint="cs"/>
          <w:sz w:val="27"/>
          <w:rtl/>
          <w:lang w:bidi="ar-OM"/>
        </w:rPr>
        <w:t>ّ</w:t>
      </w:r>
      <w:r w:rsidRPr="00904FCB">
        <w:rPr>
          <w:rFonts w:hint="cs"/>
          <w:sz w:val="27"/>
          <w:rtl/>
          <w:lang w:bidi="ar-OM"/>
        </w:rPr>
        <w:t xml:space="preserve"> تقسيم ات</w:t>
      </w:r>
      <w:r w:rsidR="000E5B47" w:rsidRPr="00904FCB">
        <w:rPr>
          <w:rFonts w:hint="cs"/>
          <w:sz w:val="27"/>
          <w:rtl/>
          <w:lang w:bidi="ar-OM"/>
        </w:rPr>
        <w:t>ّ</w:t>
      </w:r>
      <w:r w:rsidRPr="00904FCB">
        <w:rPr>
          <w:rFonts w:hint="cs"/>
          <w:sz w:val="27"/>
          <w:rtl/>
          <w:lang w:bidi="ar-OM"/>
        </w:rPr>
        <w:t>جاهات الفقهاء والمفك</w:t>
      </w:r>
      <w:r w:rsidR="000E5B47" w:rsidRPr="00904FCB">
        <w:rPr>
          <w:rFonts w:hint="cs"/>
          <w:sz w:val="27"/>
          <w:rtl/>
          <w:lang w:bidi="ar-OM"/>
        </w:rPr>
        <w:t>ِّ</w:t>
      </w:r>
      <w:r w:rsidRPr="00904FCB">
        <w:rPr>
          <w:rFonts w:hint="cs"/>
          <w:sz w:val="27"/>
          <w:rtl/>
          <w:lang w:bidi="ar-OM"/>
        </w:rPr>
        <w:t xml:space="preserve">رين المسلمين حول هذه القضية </w:t>
      </w:r>
      <w:r w:rsidR="000E5B47" w:rsidRPr="00904FCB">
        <w:rPr>
          <w:rFonts w:hint="cs"/>
          <w:sz w:val="27"/>
          <w:rtl/>
          <w:lang w:bidi="ar-OM"/>
        </w:rPr>
        <w:t>إ</w:t>
      </w:r>
      <w:r w:rsidRPr="00904FCB">
        <w:rPr>
          <w:rFonts w:hint="cs"/>
          <w:sz w:val="27"/>
          <w:rtl/>
          <w:lang w:bidi="ar-OM"/>
        </w:rPr>
        <w:t>لى ثلاثة ات</w:t>
      </w:r>
      <w:r w:rsidR="000E5B47" w:rsidRPr="00904FCB">
        <w:rPr>
          <w:rFonts w:hint="cs"/>
          <w:sz w:val="27"/>
          <w:rtl/>
          <w:lang w:bidi="ar-OM"/>
        </w:rPr>
        <w:t>ّ</w:t>
      </w:r>
      <w:r w:rsidRPr="00904FCB">
        <w:rPr>
          <w:rFonts w:hint="cs"/>
          <w:sz w:val="27"/>
          <w:rtl/>
          <w:lang w:bidi="ar-OM"/>
        </w:rPr>
        <w:t>جاهات</w:t>
      </w:r>
      <w:r w:rsidR="000E5B47" w:rsidRPr="00904FCB">
        <w:rPr>
          <w:rFonts w:hint="cs"/>
          <w:sz w:val="27"/>
          <w:rtl/>
          <w:lang w:bidi="ar-OM"/>
        </w:rPr>
        <w:t>،</w:t>
      </w:r>
      <w:r w:rsidRPr="00904FCB">
        <w:rPr>
          <w:rFonts w:hint="cs"/>
          <w:sz w:val="27"/>
          <w:rtl/>
          <w:lang w:bidi="ar-OM"/>
        </w:rPr>
        <w:t xml:space="preserve"> وهي: </w:t>
      </w:r>
    </w:p>
    <w:p w:rsidR="00644408" w:rsidRPr="00904FCB" w:rsidRDefault="00644408" w:rsidP="008D5CB3">
      <w:pPr>
        <w:spacing w:line="380" w:lineRule="exact"/>
        <w:rPr>
          <w:rFonts w:ascii="Tahoma" w:hAnsi="Tahoma"/>
          <w:sz w:val="27"/>
          <w:rtl/>
        </w:rPr>
      </w:pPr>
      <w:r w:rsidRPr="00904FCB">
        <w:rPr>
          <w:rFonts w:ascii="Tahoma" w:hAnsi="Tahoma" w:hint="cs"/>
          <w:b/>
          <w:bCs/>
          <w:sz w:val="27"/>
          <w:rtl/>
        </w:rPr>
        <w:t>الأول</w:t>
      </w:r>
      <w:r w:rsidRPr="00904FCB">
        <w:rPr>
          <w:rFonts w:ascii="Tahoma" w:hAnsi="Tahoma" w:hint="cs"/>
          <w:sz w:val="27"/>
          <w:rtl/>
        </w:rPr>
        <w:t>: حرمة تول</w:t>
      </w:r>
      <w:r w:rsidR="000E5B47" w:rsidRPr="00904FCB">
        <w:rPr>
          <w:rFonts w:ascii="Tahoma" w:hAnsi="Tahoma" w:hint="cs"/>
          <w:sz w:val="27"/>
          <w:rtl/>
        </w:rPr>
        <w:t>ّ</w:t>
      </w:r>
      <w:r w:rsidRPr="00904FCB">
        <w:rPr>
          <w:rFonts w:ascii="Tahoma" w:hAnsi="Tahoma" w:hint="cs"/>
          <w:sz w:val="27"/>
          <w:rtl/>
        </w:rPr>
        <w:t xml:space="preserve">ي المرأة جميع مناصب السلطة. </w:t>
      </w:r>
    </w:p>
    <w:p w:rsidR="00644408" w:rsidRPr="00904FCB" w:rsidRDefault="00644408" w:rsidP="008D5CB3">
      <w:pPr>
        <w:spacing w:line="380" w:lineRule="exact"/>
        <w:rPr>
          <w:sz w:val="27"/>
          <w:rtl/>
          <w:lang w:bidi="ar-OM"/>
        </w:rPr>
      </w:pPr>
      <w:r w:rsidRPr="00904FCB">
        <w:rPr>
          <w:rFonts w:ascii="Tahoma" w:hAnsi="Tahoma" w:hint="cs"/>
          <w:b/>
          <w:bCs/>
          <w:sz w:val="27"/>
          <w:rtl/>
        </w:rPr>
        <w:t>الثاني</w:t>
      </w:r>
      <w:r w:rsidRPr="00904FCB">
        <w:rPr>
          <w:rFonts w:ascii="Tahoma" w:hAnsi="Tahoma" w:hint="cs"/>
          <w:sz w:val="27"/>
          <w:rtl/>
        </w:rPr>
        <w:t xml:space="preserve">: </w:t>
      </w:r>
      <w:r w:rsidRPr="00904FCB">
        <w:rPr>
          <w:rFonts w:hint="cs"/>
          <w:sz w:val="27"/>
          <w:rtl/>
          <w:lang w:bidi="ar-OM"/>
        </w:rPr>
        <w:t>مشروعية تول</w:t>
      </w:r>
      <w:r w:rsidR="000E5B47" w:rsidRPr="00904FCB">
        <w:rPr>
          <w:rFonts w:hint="cs"/>
          <w:sz w:val="27"/>
          <w:rtl/>
          <w:lang w:bidi="ar-OM"/>
        </w:rPr>
        <w:t>ّ</w:t>
      </w:r>
      <w:r w:rsidRPr="00904FCB">
        <w:rPr>
          <w:rFonts w:hint="cs"/>
          <w:sz w:val="27"/>
          <w:rtl/>
          <w:lang w:bidi="ar-OM"/>
        </w:rPr>
        <w:t>ي المرأة بعض المناصب</w:t>
      </w:r>
      <w:r w:rsidR="000E5B47" w:rsidRPr="00904FCB">
        <w:rPr>
          <w:rFonts w:hint="cs"/>
          <w:sz w:val="27"/>
          <w:rtl/>
          <w:lang w:bidi="ar-OM"/>
        </w:rPr>
        <w:t>،</w:t>
      </w:r>
      <w:r w:rsidRPr="00904FCB">
        <w:rPr>
          <w:rFonts w:hint="cs"/>
          <w:sz w:val="27"/>
          <w:rtl/>
          <w:lang w:bidi="ar-OM"/>
        </w:rPr>
        <w:t xml:space="preserve"> مع بعض القيود. </w:t>
      </w:r>
    </w:p>
    <w:p w:rsidR="00644408" w:rsidRPr="00904FCB" w:rsidRDefault="00644408" w:rsidP="008D5CB3">
      <w:pPr>
        <w:spacing w:line="380" w:lineRule="exact"/>
        <w:rPr>
          <w:rFonts w:ascii="Tahoma" w:hAnsi="Tahoma"/>
          <w:sz w:val="27"/>
          <w:rtl/>
          <w:lang w:bidi="ar-OM"/>
        </w:rPr>
      </w:pPr>
      <w:r w:rsidRPr="00904FCB">
        <w:rPr>
          <w:rFonts w:ascii="Tahoma" w:hAnsi="Tahoma" w:hint="cs"/>
          <w:b/>
          <w:bCs/>
          <w:sz w:val="27"/>
          <w:rtl/>
        </w:rPr>
        <w:t>الثالث</w:t>
      </w:r>
      <w:r w:rsidRPr="00904FCB">
        <w:rPr>
          <w:rFonts w:ascii="Tahoma" w:hAnsi="Tahoma" w:hint="cs"/>
          <w:sz w:val="27"/>
          <w:rtl/>
        </w:rPr>
        <w:t xml:space="preserve">: </w:t>
      </w:r>
      <w:r w:rsidRPr="00904FCB">
        <w:rPr>
          <w:rFonts w:hint="cs"/>
          <w:sz w:val="27"/>
          <w:rtl/>
          <w:lang w:bidi="ar-OM"/>
        </w:rPr>
        <w:t>أهلي</w:t>
      </w:r>
      <w:r w:rsidR="000E5B47" w:rsidRPr="00904FCB">
        <w:rPr>
          <w:rFonts w:hint="cs"/>
          <w:sz w:val="27"/>
          <w:rtl/>
          <w:lang w:bidi="ar-OM"/>
        </w:rPr>
        <w:t>ّ</w:t>
      </w:r>
      <w:r w:rsidRPr="00904FCB">
        <w:rPr>
          <w:rFonts w:hint="cs"/>
          <w:sz w:val="27"/>
          <w:rtl/>
          <w:lang w:bidi="ar-OM"/>
        </w:rPr>
        <w:t>ة المرأة لتول</w:t>
      </w:r>
      <w:r w:rsidR="000E5B47" w:rsidRPr="00904FCB">
        <w:rPr>
          <w:rFonts w:hint="cs"/>
          <w:sz w:val="27"/>
          <w:rtl/>
          <w:lang w:bidi="ar-OM"/>
        </w:rPr>
        <w:t>ّ</w:t>
      </w:r>
      <w:r w:rsidRPr="00904FCB">
        <w:rPr>
          <w:rFonts w:hint="cs"/>
          <w:sz w:val="27"/>
          <w:rtl/>
          <w:lang w:bidi="ar-OM"/>
        </w:rPr>
        <w:t xml:space="preserve">ي جميع مناصب السلطة. </w:t>
      </w:r>
    </w:p>
    <w:p w:rsidR="00644408" w:rsidRPr="00904FCB" w:rsidRDefault="00644408" w:rsidP="008D5CB3">
      <w:pPr>
        <w:spacing w:line="380" w:lineRule="exact"/>
        <w:rPr>
          <w:rFonts w:ascii="Tahoma" w:hAnsi="Tahoma"/>
          <w:sz w:val="27"/>
          <w:rtl/>
        </w:rPr>
      </w:pPr>
      <w:r w:rsidRPr="00904FCB">
        <w:rPr>
          <w:rFonts w:hint="cs"/>
          <w:sz w:val="27"/>
          <w:rtl/>
          <w:lang w:bidi="ar-OM"/>
        </w:rPr>
        <w:t>وسنتناول هذه الاتجاهات الاجتهادية بشيء</w:t>
      </w:r>
      <w:r w:rsidR="000E5B47" w:rsidRPr="00904FCB">
        <w:rPr>
          <w:rFonts w:hint="cs"/>
          <w:sz w:val="27"/>
          <w:rtl/>
          <w:lang w:bidi="ar-OM"/>
        </w:rPr>
        <w:t>ٍ</w:t>
      </w:r>
      <w:r w:rsidRPr="00904FCB">
        <w:rPr>
          <w:rFonts w:hint="cs"/>
          <w:sz w:val="27"/>
          <w:rtl/>
          <w:lang w:bidi="ar-OM"/>
        </w:rPr>
        <w:t xml:space="preserve"> من التفصيل في</w:t>
      </w:r>
      <w:r w:rsidR="000E5B47" w:rsidRPr="00904FCB">
        <w:rPr>
          <w:rFonts w:hint="cs"/>
          <w:sz w:val="27"/>
          <w:rtl/>
          <w:lang w:bidi="ar-OM"/>
        </w:rPr>
        <w:t xml:space="preserve"> </w:t>
      </w:r>
      <w:r w:rsidRPr="00904FCB">
        <w:rPr>
          <w:rFonts w:hint="cs"/>
          <w:sz w:val="27"/>
          <w:rtl/>
          <w:lang w:bidi="ar-OM"/>
        </w:rPr>
        <w:t xml:space="preserve">ما يلي: </w:t>
      </w:r>
    </w:p>
    <w:p w:rsidR="00644408" w:rsidRPr="00904FCB" w:rsidRDefault="00644408" w:rsidP="007A21AA">
      <w:pPr>
        <w:spacing w:line="400" w:lineRule="exact"/>
        <w:rPr>
          <w:rFonts w:ascii="Tahoma" w:hAnsi="Tahoma"/>
          <w:sz w:val="27"/>
          <w:rtl/>
        </w:rPr>
      </w:pPr>
    </w:p>
    <w:p w:rsidR="00644408" w:rsidRPr="00904FCB" w:rsidRDefault="00644408" w:rsidP="007A21AA">
      <w:pPr>
        <w:pStyle w:val="31"/>
        <w:spacing w:line="400" w:lineRule="exact"/>
        <w:rPr>
          <w:color w:val="auto"/>
          <w:rtl/>
          <w:lang w:bidi="ar-OM"/>
        </w:rPr>
      </w:pPr>
      <w:r w:rsidRPr="00DF101A">
        <w:rPr>
          <w:rFonts w:hint="cs"/>
          <w:color w:val="auto"/>
          <w:rtl/>
          <w:lang w:bidi="ar-OM"/>
        </w:rPr>
        <w:t>1ـ حرمة</w:t>
      </w:r>
      <w:r w:rsidRPr="00904FCB">
        <w:rPr>
          <w:rFonts w:hint="cs"/>
          <w:color w:val="auto"/>
          <w:rtl/>
          <w:lang w:bidi="ar-OM"/>
        </w:rPr>
        <w:t xml:space="preserve"> تول</w:t>
      </w:r>
      <w:r w:rsidR="000E5B47" w:rsidRPr="00904FCB">
        <w:rPr>
          <w:rFonts w:hint="cs"/>
          <w:color w:val="auto"/>
          <w:rtl/>
          <w:lang w:bidi="ar-OM"/>
        </w:rPr>
        <w:t>ّ</w:t>
      </w:r>
      <w:r w:rsidRPr="00904FCB">
        <w:rPr>
          <w:rFonts w:hint="cs"/>
          <w:color w:val="auto"/>
          <w:rtl/>
          <w:lang w:bidi="ar-OM"/>
        </w:rPr>
        <w:t xml:space="preserve">ي المرأة جميع مناصب السلطة </w:t>
      </w:r>
    </w:p>
    <w:p w:rsidR="00644408" w:rsidRPr="00904FCB" w:rsidRDefault="00644408" w:rsidP="008D5CB3">
      <w:pPr>
        <w:spacing w:line="380" w:lineRule="exact"/>
        <w:rPr>
          <w:sz w:val="27"/>
          <w:rtl/>
          <w:lang w:bidi="ar-OM"/>
        </w:rPr>
      </w:pPr>
      <w:r w:rsidRPr="00904FCB">
        <w:rPr>
          <w:rFonts w:hint="cs"/>
          <w:sz w:val="27"/>
          <w:rtl/>
          <w:lang w:bidi="ar-OM"/>
        </w:rPr>
        <w:t>يرى أصحاب هذا ال</w:t>
      </w:r>
      <w:r w:rsidR="000E5B47" w:rsidRPr="00904FCB">
        <w:rPr>
          <w:rFonts w:hint="cs"/>
          <w:sz w:val="27"/>
          <w:rtl/>
          <w:lang w:bidi="ar-OM"/>
        </w:rPr>
        <w:t>ا</w:t>
      </w:r>
      <w:r w:rsidRPr="00904FCB">
        <w:rPr>
          <w:rFonts w:hint="cs"/>
          <w:sz w:val="27"/>
          <w:rtl/>
          <w:lang w:bidi="ar-OM"/>
        </w:rPr>
        <w:t>تجاه حرمة تول</w:t>
      </w:r>
      <w:r w:rsidR="000E5B47" w:rsidRPr="00904FCB">
        <w:rPr>
          <w:rFonts w:hint="cs"/>
          <w:sz w:val="27"/>
          <w:rtl/>
          <w:lang w:bidi="ar-OM"/>
        </w:rPr>
        <w:t>ّ</w:t>
      </w:r>
      <w:r w:rsidRPr="00904FCB">
        <w:rPr>
          <w:rFonts w:hint="cs"/>
          <w:sz w:val="27"/>
          <w:rtl/>
          <w:lang w:bidi="ar-OM"/>
        </w:rPr>
        <w:t>ي المرأة أي</w:t>
      </w:r>
      <w:r w:rsidR="000E5B47" w:rsidRPr="00904FCB">
        <w:rPr>
          <w:rFonts w:hint="cs"/>
          <w:sz w:val="27"/>
          <w:rtl/>
          <w:lang w:bidi="ar-OM"/>
        </w:rPr>
        <w:t>ّ</w:t>
      </w:r>
      <w:r w:rsidRPr="00904FCB">
        <w:rPr>
          <w:rFonts w:hint="cs"/>
          <w:sz w:val="27"/>
          <w:rtl/>
          <w:lang w:bidi="ar-OM"/>
        </w:rPr>
        <w:t>ا</w:t>
      </w:r>
      <w:r w:rsidR="000E5B47" w:rsidRPr="00904FCB">
        <w:rPr>
          <w:rFonts w:hint="cs"/>
          <w:sz w:val="27"/>
          <w:rtl/>
          <w:lang w:bidi="ar-OM"/>
        </w:rPr>
        <w:t>ً</w:t>
      </w:r>
      <w:r w:rsidRPr="00904FCB">
        <w:rPr>
          <w:rFonts w:hint="cs"/>
          <w:sz w:val="27"/>
          <w:rtl/>
          <w:lang w:bidi="ar-OM"/>
        </w:rPr>
        <w:t xml:space="preserve"> من مناصب الولاية والسلطة في الدولة، سواء على مستوى الخلافة والولاية العامة ورئاسة الدولة أو القضاء أو الدخول في المجالس النيابية. والولاية العامة هي السلطة الملزمة في شأن من شؤون الجماعة</w:t>
      </w:r>
      <w:r w:rsidR="000E5B47" w:rsidRPr="00904FCB">
        <w:rPr>
          <w:rFonts w:hint="cs"/>
          <w:sz w:val="27"/>
          <w:rtl/>
          <w:lang w:bidi="ar-OM"/>
        </w:rPr>
        <w:t>،</w:t>
      </w:r>
      <w:r w:rsidRPr="00904FCB">
        <w:rPr>
          <w:rFonts w:hint="cs"/>
          <w:sz w:val="27"/>
          <w:rtl/>
          <w:lang w:bidi="ar-OM"/>
        </w:rPr>
        <w:t xml:space="preserve"> كولاية القوانين والفصل في الخصومات وتنفيذ الأحكام والهيمنة على القائمين بذلك، وح</w:t>
      </w:r>
      <w:r w:rsidR="000E5B47" w:rsidRPr="00904FCB">
        <w:rPr>
          <w:rFonts w:hint="cs"/>
          <w:sz w:val="27"/>
          <w:rtl/>
          <w:lang w:bidi="ar-OM"/>
        </w:rPr>
        <w:t>َ</w:t>
      </w:r>
      <w:r w:rsidRPr="00904FCB">
        <w:rPr>
          <w:rFonts w:hint="cs"/>
          <w:sz w:val="27"/>
          <w:rtl/>
          <w:lang w:bidi="ar-OM"/>
        </w:rPr>
        <w:t>س</w:t>
      </w:r>
      <w:r w:rsidR="000E5B47" w:rsidRPr="00904FCB">
        <w:rPr>
          <w:rFonts w:hint="cs"/>
          <w:sz w:val="27"/>
          <w:rtl/>
          <w:lang w:bidi="ar-OM"/>
        </w:rPr>
        <w:t>ْ</w:t>
      </w:r>
      <w:r w:rsidRPr="00904FCB">
        <w:rPr>
          <w:rFonts w:hint="cs"/>
          <w:sz w:val="27"/>
          <w:rtl/>
          <w:lang w:bidi="ar-OM"/>
        </w:rPr>
        <w:t>ب التعبير الفقهي الحديث</w:t>
      </w:r>
      <w:r w:rsidR="000E5B47" w:rsidRPr="00904FCB">
        <w:rPr>
          <w:rFonts w:hint="cs"/>
          <w:sz w:val="27"/>
          <w:rtl/>
          <w:lang w:bidi="ar-OM"/>
        </w:rPr>
        <w:t>:</w:t>
      </w:r>
      <w:r w:rsidRPr="00904FCB">
        <w:rPr>
          <w:rFonts w:hint="cs"/>
          <w:sz w:val="27"/>
          <w:rtl/>
          <w:lang w:bidi="ar-OM"/>
        </w:rPr>
        <w:t xml:space="preserve"> القيام بأعمال الولاية في إحدى السلطات الثلاث التشريعية والقضائية والتنفيذية</w:t>
      </w:r>
      <w:r w:rsidRPr="00904FCB">
        <w:rPr>
          <w:rFonts w:hint="cs"/>
          <w:sz w:val="27"/>
          <w:vertAlign w:val="superscript"/>
          <w:rtl/>
        </w:rPr>
        <w:t>(</w:t>
      </w:r>
      <w:r w:rsidRPr="00904FCB">
        <w:rPr>
          <w:rStyle w:val="ac"/>
          <w:sz w:val="27"/>
          <w:rtl/>
        </w:rPr>
        <w:endnoteReference w:id="159"/>
      </w:r>
      <w:r w:rsidRPr="00904FCB">
        <w:rPr>
          <w:rFonts w:hint="cs"/>
          <w:sz w:val="27"/>
          <w:vertAlign w:val="superscript"/>
          <w:rtl/>
        </w:rPr>
        <w:t>)</w:t>
      </w:r>
      <w:r w:rsidRPr="00904FCB">
        <w:rPr>
          <w:rFonts w:hint="cs"/>
          <w:sz w:val="27"/>
          <w:rtl/>
          <w:lang w:bidi="ar-OM"/>
        </w:rPr>
        <w:t>.</w:t>
      </w:r>
    </w:p>
    <w:p w:rsidR="00644408" w:rsidRPr="00904FCB" w:rsidRDefault="00644408" w:rsidP="007A21AA">
      <w:pPr>
        <w:spacing w:line="400" w:lineRule="exact"/>
        <w:rPr>
          <w:rFonts w:ascii="Tahoma" w:hAnsi="Tahoma"/>
          <w:sz w:val="27"/>
          <w:rtl/>
        </w:rPr>
      </w:pPr>
      <w:r w:rsidRPr="00904FCB">
        <w:rPr>
          <w:rFonts w:hint="cs"/>
          <w:sz w:val="27"/>
          <w:rtl/>
          <w:lang w:bidi="ar-OM"/>
        </w:rPr>
        <w:t>وتتجل</w:t>
      </w:r>
      <w:r w:rsidR="000E5B47" w:rsidRPr="00904FCB">
        <w:rPr>
          <w:rFonts w:hint="cs"/>
          <w:sz w:val="27"/>
          <w:rtl/>
          <w:lang w:bidi="ar-OM"/>
        </w:rPr>
        <w:t>ّ</w:t>
      </w:r>
      <w:r w:rsidRPr="00904FCB">
        <w:rPr>
          <w:rFonts w:hint="cs"/>
          <w:sz w:val="27"/>
          <w:rtl/>
          <w:lang w:bidi="ar-OM"/>
        </w:rPr>
        <w:t xml:space="preserve">ى نظرة هذا الاتجاه في التفصيل التالي: </w:t>
      </w:r>
    </w:p>
    <w:p w:rsidR="00644408" w:rsidRPr="00904FCB" w:rsidRDefault="00644408" w:rsidP="007A21AA">
      <w:pPr>
        <w:spacing w:line="400" w:lineRule="exact"/>
        <w:rPr>
          <w:rFonts w:ascii="Tahoma" w:hAnsi="Tahoma"/>
          <w:sz w:val="27"/>
          <w:rtl/>
        </w:rPr>
      </w:pPr>
    </w:p>
    <w:p w:rsidR="00644408" w:rsidRPr="00904FCB" w:rsidRDefault="00644408" w:rsidP="007A21AA">
      <w:pPr>
        <w:pStyle w:val="31"/>
        <w:spacing w:line="400" w:lineRule="exact"/>
        <w:rPr>
          <w:color w:val="auto"/>
          <w:rtl/>
          <w:lang w:bidi="ar-OM"/>
        </w:rPr>
      </w:pPr>
      <w:r w:rsidRPr="00904FCB">
        <w:rPr>
          <w:rFonts w:hint="cs"/>
          <w:color w:val="auto"/>
          <w:rtl/>
          <w:lang w:bidi="ar-OM"/>
        </w:rPr>
        <w:t xml:space="preserve">أـ حرمة تولي المرأة للحكم أو رئاسة الدولة </w:t>
      </w:r>
    </w:p>
    <w:p w:rsidR="00644408" w:rsidRPr="00904FCB" w:rsidRDefault="00644408" w:rsidP="008D5CB3">
      <w:pPr>
        <w:spacing w:line="380" w:lineRule="exact"/>
        <w:rPr>
          <w:sz w:val="27"/>
          <w:rtl/>
          <w:lang w:bidi="ar-OM"/>
        </w:rPr>
      </w:pPr>
      <w:r w:rsidRPr="00904FCB">
        <w:rPr>
          <w:rFonts w:hint="cs"/>
          <w:sz w:val="27"/>
          <w:rtl/>
          <w:lang w:bidi="ar-OM"/>
        </w:rPr>
        <w:t xml:space="preserve"> يذكر الفقيه الظاهري ابن حزم(</w:t>
      </w:r>
      <w:r w:rsidRPr="00DF101A">
        <w:rPr>
          <w:rFonts w:hint="cs"/>
          <w:sz w:val="27"/>
          <w:rtl/>
          <w:lang w:bidi="ar-OM"/>
        </w:rPr>
        <w:t>456هـ</w:t>
      </w:r>
      <w:r w:rsidRPr="00904FCB">
        <w:rPr>
          <w:rFonts w:hint="cs"/>
          <w:sz w:val="27"/>
          <w:rtl/>
          <w:lang w:bidi="ar-OM"/>
        </w:rPr>
        <w:t xml:space="preserve">) في </w:t>
      </w:r>
      <w:r w:rsidRPr="00904FCB">
        <w:rPr>
          <w:rFonts w:hint="eastAsia"/>
          <w:sz w:val="27"/>
          <w:rtl/>
          <w:lang w:bidi="ar-OM"/>
        </w:rPr>
        <w:t>«</w:t>
      </w:r>
      <w:r w:rsidRPr="00904FCB">
        <w:rPr>
          <w:rFonts w:hint="cs"/>
          <w:sz w:val="27"/>
          <w:rtl/>
          <w:lang w:bidi="ar-OM"/>
        </w:rPr>
        <w:t>الفصل</w:t>
      </w:r>
      <w:r w:rsidRPr="00904FCB">
        <w:rPr>
          <w:rFonts w:hint="eastAsia"/>
          <w:sz w:val="27"/>
          <w:rtl/>
        </w:rPr>
        <w:t>»</w:t>
      </w:r>
      <w:r w:rsidRPr="00904FCB">
        <w:rPr>
          <w:rFonts w:hint="cs"/>
          <w:sz w:val="27"/>
          <w:rtl/>
          <w:lang w:bidi="ar-OM"/>
        </w:rPr>
        <w:t xml:space="preserve"> بأن جميع فرق </w:t>
      </w:r>
      <w:r w:rsidR="0090253A" w:rsidRPr="00904FCB">
        <w:rPr>
          <w:rFonts w:hint="cs"/>
          <w:sz w:val="27"/>
          <w:rtl/>
          <w:lang w:bidi="ar-OM"/>
        </w:rPr>
        <w:t>أ</w:t>
      </w:r>
      <w:r w:rsidRPr="00904FCB">
        <w:rPr>
          <w:rFonts w:hint="cs"/>
          <w:sz w:val="27"/>
          <w:rtl/>
          <w:lang w:bidi="ar-OM"/>
        </w:rPr>
        <w:t xml:space="preserve">هل </w:t>
      </w:r>
      <w:r w:rsidRPr="00904FCB">
        <w:rPr>
          <w:rFonts w:hint="cs"/>
          <w:sz w:val="27"/>
          <w:rtl/>
          <w:lang w:bidi="ar-OM"/>
        </w:rPr>
        <w:lastRenderedPageBreak/>
        <w:t xml:space="preserve">القبلة ليس منهم </w:t>
      </w:r>
      <w:r w:rsidR="0090253A" w:rsidRPr="00904FCB">
        <w:rPr>
          <w:rFonts w:hint="cs"/>
          <w:sz w:val="27"/>
          <w:rtl/>
          <w:lang w:bidi="ar-OM"/>
        </w:rPr>
        <w:t>أ</w:t>
      </w:r>
      <w:r w:rsidRPr="00904FCB">
        <w:rPr>
          <w:rFonts w:hint="cs"/>
          <w:sz w:val="27"/>
          <w:rtl/>
          <w:lang w:bidi="ar-OM"/>
        </w:rPr>
        <w:t>حد يجيز إمامة امر</w:t>
      </w:r>
      <w:r w:rsidR="0090253A" w:rsidRPr="00904FCB">
        <w:rPr>
          <w:rFonts w:hint="cs"/>
          <w:sz w:val="27"/>
          <w:rtl/>
          <w:lang w:bidi="ar-OM"/>
        </w:rPr>
        <w:t>أ</w:t>
      </w:r>
      <w:r w:rsidRPr="00904FCB">
        <w:rPr>
          <w:rFonts w:hint="cs"/>
          <w:sz w:val="27"/>
          <w:rtl/>
          <w:lang w:bidi="ar-OM"/>
        </w:rPr>
        <w:t>ة</w:t>
      </w:r>
      <w:r w:rsidRPr="00904FCB">
        <w:rPr>
          <w:rFonts w:hint="cs"/>
          <w:sz w:val="27"/>
          <w:vertAlign w:val="superscript"/>
          <w:rtl/>
        </w:rPr>
        <w:t>(</w:t>
      </w:r>
      <w:r w:rsidRPr="00904FCB">
        <w:rPr>
          <w:rStyle w:val="ac"/>
          <w:sz w:val="27"/>
          <w:rtl/>
        </w:rPr>
        <w:endnoteReference w:id="160"/>
      </w:r>
      <w:r w:rsidRPr="00904FCB">
        <w:rPr>
          <w:rFonts w:hint="cs"/>
          <w:sz w:val="27"/>
          <w:vertAlign w:val="superscript"/>
          <w:rtl/>
        </w:rPr>
        <w:t>)</w:t>
      </w:r>
      <w:r w:rsidRPr="00904FCB">
        <w:rPr>
          <w:rFonts w:hint="cs"/>
          <w:sz w:val="27"/>
          <w:rtl/>
          <w:lang w:bidi="ar-OM"/>
        </w:rPr>
        <w:t xml:space="preserve">. </w:t>
      </w:r>
    </w:p>
    <w:p w:rsidR="00644408" w:rsidRPr="00904FCB" w:rsidRDefault="00644408" w:rsidP="002244FE">
      <w:pPr>
        <w:spacing w:line="400" w:lineRule="exact"/>
        <w:rPr>
          <w:sz w:val="27"/>
          <w:rtl/>
          <w:lang w:bidi="ar-OM"/>
        </w:rPr>
      </w:pPr>
      <w:r w:rsidRPr="00904FCB">
        <w:rPr>
          <w:rFonts w:hint="cs"/>
          <w:sz w:val="27"/>
          <w:rtl/>
          <w:lang w:bidi="ar-OM"/>
        </w:rPr>
        <w:t>في حين أشار البغدادي(</w:t>
      </w:r>
      <w:r w:rsidRPr="00DF101A">
        <w:rPr>
          <w:rFonts w:hint="cs"/>
          <w:sz w:val="27"/>
          <w:rtl/>
          <w:lang w:bidi="ar-OM"/>
        </w:rPr>
        <w:t>429هـ</w:t>
      </w:r>
      <w:r w:rsidRPr="00904FCB">
        <w:rPr>
          <w:rFonts w:hint="cs"/>
          <w:sz w:val="27"/>
          <w:rtl/>
          <w:lang w:bidi="ar-OM"/>
        </w:rPr>
        <w:t xml:space="preserve">) </w:t>
      </w:r>
      <w:r w:rsidR="0090253A" w:rsidRPr="00904FCB">
        <w:rPr>
          <w:rFonts w:hint="cs"/>
          <w:sz w:val="27"/>
          <w:rtl/>
          <w:lang w:bidi="ar-OM"/>
        </w:rPr>
        <w:t>إلى أ</w:t>
      </w:r>
      <w:r w:rsidRPr="00904FCB">
        <w:rPr>
          <w:rFonts w:hint="cs"/>
          <w:sz w:val="27"/>
          <w:rtl/>
          <w:lang w:bidi="ar-OM"/>
        </w:rPr>
        <w:t xml:space="preserve">ن فرقة الشبيبية من الخوارج </w:t>
      </w:r>
      <w:r w:rsidRPr="00904FCB">
        <w:rPr>
          <w:sz w:val="27"/>
          <w:rtl/>
          <w:lang w:bidi="ar-OM"/>
        </w:rPr>
        <w:t>ـ</w:t>
      </w:r>
      <w:r w:rsidRPr="00904FCB">
        <w:rPr>
          <w:rFonts w:hint="cs"/>
          <w:sz w:val="27"/>
          <w:rtl/>
          <w:lang w:bidi="ar-OM"/>
        </w:rPr>
        <w:t xml:space="preserve"> ح</w:t>
      </w:r>
      <w:r w:rsidR="0090253A" w:rsidRPr="00904FCB">
        <w:rPr>
          <w:rFonts w:hint="cs"/>
          <w:sz w:val="27"/>
          <w:rtl/>
          <w:lang w:bidi="ar-OM"/>
        </w:rPr>
        <w:t>َ</w:t>
      </w:r>
      <w:r w:rsidRPr="00904FCB">
        <w:rPr>
          <w:rFonts w:hint="cs"/>
          <w:sz w:val="27"/>
          <w:rtl/>
          <w:lang w:bidi="ar-OM"/>
        </w:rPr>
        <w:t>س</w:t>
      </w:r>
      <w:r w:rsidR="0090253A" w:rsidRPr="00904FCB">
        <w:rPr>
          <w:rFonts w:hint="cs"/>
          <w:sz w:val="27"/>
          <w:rtl/>
          <w:lang w:bidi="ar-OM"/>
        </w:rPr>
        <w:t>ْ</w:t>
      </w:r>
      <w:r w:rsidRPr="00904FCB">
        <w:rPr>
          <w:rFonts w:hint="cs"/>
          <w:sz w:val="27"/>
          <w:rtl/>
          <w:lang w:bidi="ar-OM"/>
        </w:rPr>
        <w:t>ب تعبير مؤر</w:t>
      </w:r>
      <w:r w:rsidR="0090253A" w:rsidRPr="00904FCB">
        <w:rPr>
          <w:rFonts w:hint="cs"/>
          <w:sz w:val="27"/>
          <w:rtl/>
          <w:lang w:bidi="ar-OM"/>
        </w:rPr>
        <w:t>ِّ</w:t>
      </w:r>
      <w:r w:rsidRPr="00904FCB">
        <w:rPr>
          <w:rFonts w:hint="cs"/>
          <w:sz w:val="27"/>
          <w:rtl/>
          <w:lang w:bidi="ar-OM"/>
        </w:rPr>
        <w:t>خي الفرق ـ</w:t>
      </w:r>
      <w:r w:rsidR="0090253A" w:rsidRPr="00904FCB">
        <w:rPr>
          <w:rFonts w:hint="cs"/>
          <w:sz w:val="27"/>
          <w:rtl/>
          <w:lang w:bidi="ar-OM"/>
        </w:rPr>
        <w:t>،</w:t>
      </w:r>
      <w:r w:rsidRPr="00904FCB">
        <w:rPr>
          <w:rFonts w:hint="cs"/>
          <w:sz w:val="27"/>
          <w:rtl/>
          <w:lang w:bidi="ar-OM"/>
        </w:rPr>
        <w:t xml:space="preserve"> </w:t>
      </w:r>
      <w:r w:rsidR="0090253A" w:rsidRPr="00904FCB">
        <w:rPr>
          <w:rFonts w:hint="cs"/>
          <w:sz w:val="27"/>
          <w:rtl/>
          <w:lang w:bidi="ar-OM"/>
        </w:rPr>
        <w:t>المنسوبة</w:t>
      </w:r>
      <w:r w:rsidRPr="00904FCB">
        <w:rPr>
          <w:rFonts w:hint="cs"/>
          <w:sz w:val="27"/>
          <w:rtl/>
          <w:lang w:bidi="ar-OM"/>
        </w:rPr>
        <w:t xml:space="preserve"> إلى شبيب بن يزيد، أجازت إمامة المرأة إذا قامت بأمورهم</w:t>
      </w:r>
      <w:r w:rsidR="0090253A" w:rsidRPr="00904FCB">
        <w:rPr>
          <w:rFonts w:hint="cs"/>
          <w:sz w:val="27"/>
          <w:rtl/>
          <w:lang w:bidi="ar-OM"/>
        </w:rPr>
        <w:t>،</w:t>
      </w:r>
      <w:r w:rsidRPr="00904FCB">
        <w:rPr>
          <w:rFonts w:hint="cs"/>
          <w:sz w:val="27"/>
          <w:rtl/>
          <w:lang w:bidi="ar-OM"/>
        </w:rPr>
        <w:t xml:space="preserve"> وخرجت على مخالفيهم. وزعموا </w:t>
      </w:r>
      <w:r w:rsidR="0090253A" w:rsidRPr="00904FCB">
        <w:rPr>
          <w:rFonts w:hint="cs"/>
          <w:sz w:val="27"/>
          <w:rtl/>
          <w:lang w:bidi="ar-OM"/>
        </w:rPr>
        <w:t>أ</w:t>
      </w:r>
      <w:r w:rsidRPr="00904FCB">
        <w:rPr>
          <w:rFonts w:hint="cs"/>
          <w:sz w:val="27"/>
          <w:rtl/>
          <w:lang w:bidi="ar-OM"/>
        </w:rPr>
        <w:t>ن</w:t>
      </w:r>
      <w:r w:rsidR="0090253A" w:rsidRPr="00904FCB">
        <w:rPr>
          <w:rFonts w:hint="cs"/>
          <w:sz w:val="27"/>
          <w:rtl/>
          <w:lang w:bidi="ar-OM"/>
        </w:rPr>
        <w:t>ّ</w:t>
      </w:r>
      <w:r w:rsidRPr="00904FCB">
        <w:rPr>
          <w:rFonts w:hint="cs"/>
          <w:sz w:val="27"/>
          <w:rtl/>
          <w:lang w:bidi="ar-OM"/>
        </w:rPr>
        <w:t xml:space="preserve"> غزالة أم</w:t>
      </w:r>
      <w:r w:rsidR="0090253A" w:rsidRPr="00904FCB">
        <w:rPr>
          <w:rFonts w:hint="cs"/>
          <w:sz w:val="27"/>
          <w:rtl/>
          <w:lang w:bidi="ar-OM"/>
        </w:rPr>
        <w:t>ّ</w:t>
      </w:r>
      <w:r w:rsidRPr="00904FCB">
        <w:rPr>
          <w:rFonts w:hint="cs"/>
          <w:sz w:val="27"/>
          <w:rtl/>
          <w:lang w:bidi="ar-OM"/>
        </w:rPr>
        <w:t xml:space="preserve"> شبيب، أو زوجته، كانت الإمام بعد قتله</w:t>
      </w:r>
      <w:r w:rsidR="0090253A" w:rsidRPr="00904FCB">
        <w:rPr>
          <w:rFonts w:hint="cs"/>
          <w:sz w:val="27"/>
          <w:rtl/>
          <w:lang w:bidi="ar-OM"/>
        </w:rPr>
        <w:t>،</w:t>
      </w:r>
      <w:r w:rsidRPr="00904FCB">
        <w:rPr>
          <w:rFonts w:hint="cs"/>
          <w:sz w:val="27"/>
          <w:rtl/>
          <w:lang w:bidi="ar-OM"/>
        </w:rPr>
        <w:t xml:space="preserve"> إلى أن ق</w:t>
      </w:r>
      <w:r w:rsidR="0090253A" w:rsidRPr="00904FCB">
        <w:rPr>
          <w:rFonts w:hint="cs"/>
          <w:sz w:val="27"/>
          <w:rtl/>
          <w:lang w:bidi="ar-OM"/>
        </w:rPr>
        <w:t>ُ</w:t>
      </w:r>
      <w:r w:rsidRPr="00904FCB">
        <w:rPr>
          <w:rFonts w:hint="cs"/>
          <w:sz w:val="27"/>
          <w:rtl/>
          <w:lang w:bidi="ar-OM"/>
        </w:rPr>
        <w:t>تلت. واستدل</w:t>
      </w:r>
      <w:r w:rsidR="0090253A" w:rsidRPr="00904FCB">
        <w:rPr>
          <w:rFonts w:hint="cs"/>
          <w:sz w:val="27"/>
          <w:rtl/>
          <w:lang w:bidi="ar-OM"/>
        </w:rPr>
        <w:t>ّ</w:t>
      </w:r>
      <w:r w:rsidRPr="00904FCB">
        <w:rPr>
          <w:rFonts w:hint="cs"/>
          <w:sz w:val="27"/>
          <w:rtl/>
          <w:lang w:bidi="ar-OM"/>
        </w:rPr>
        <w:t>وا على ذلك بأن شبيبا</w:t>
      </w:r>
      <w:r w:rsidR="0090253A" w:rsidRPr="00904FCB">
        <w:rPr>
          <w:rFonts w:hint="cs"/>
          <w:sz w:val="27"/>
          <w:rtl/>
          <w:lang w:bidi="ar-OM"/>
        </w:rPr>
        <w:t>ً</w:t>
      </w:r>
      <w:r w:rsidRPr="00904FCB">
        <w:rPr>
          <w:rFonts w:hint="cs"/>
          <w:sz w:val="27"/>
          <w:rtl/>
          <w:lang w:bidi="ar-OM"/>
        </w:rPr>
        <w:t xml:space="preserve"> لما دخل الكوفة أقام أم</w:t>
      </w:r>
      <w:r w:rsidR="0090253A" w:rsidRPr="00904FCB">
        <w:rPr>
          <w:rFonts w:hint="cs"/>
          <w:sz w:val="27"/>
          <w:rtl/>
          <w:lang w:bidi="ar-OM"/>
        </w:rPr>
        <w:t>َّ</w:t>
      </w:r>
      <w:r w:rsidRPr="00904FCB">
        <w:rPr>
          <w:rFonts w:hint="cs"/>
          <w:sz w:val="27"/>
          <w:rtl/>
          <w:lang w:bidi="ar-OM"/>
        </w:rPr>
        <w:t>ه على منبر الكوفة حت</w:t>
      </w:r>
      <w:r w:rsidR="0090253A" w:rsidRPr="00904FCB">
        <w:rPr>
          <w:rFonts w:hint="cs"/>
          <w:sz w:val="27"/>
          <w:rtl/>
          <w:lang w:bidi="ar-OM"/>
        </w:rPr>
        <w:t>ّ</w:t>
      </w:r>
      <w:r w:rsidRPr="00904FCB">
        <w:rPr>
          <w:rFonts w:hint="cs"/>
          <w:sz w:val="27"/>
          <w:rtl/>
          <w:lang w:bidi="ar-OM"/>
        </w:rPr>
        <w:t>ى خطبت</w:t>
      </w:r>
      <w:r w:rsidRPr="00904FCB">
        <w:rPr>
          <w:rFonts w:hint="cs"/>
          <w:sz w:val="27"/>
          <w:vertAlign w:val="superscript"/>
          <w:rtl/>
        </w:rPr>
        <w:t>(</w:t>
      </w:r>
      <w:r w:rsidRPr="00904FCB">
        <w:rPr>
          <w:rStyle w:val="ac"/>
          <w:sz w:val="27"/>
          <w:rtl/>
        </w:rPr>
        <w:endnoteReference w:id="161"/>
      </w:r>
      <w:r w:rsidRPr="00904FCB">
        <w:rPr>
          <w:rFonts w:hint="cs"/>
          <w:sz w:val="27"/>
          <w:vertAlign w:val="superscript"/>
          <w:rtl/>
        </w:rPr>
        <w:t>)</w:t>
      </w:r>
      <w:r w:rsidRPr="00904FCB">
        <w:rPr>
          <w:rFonts w:hint="cs"/>
          <w:sz w:val="27"/>
          <w:rtl/>
          <w:lang w:bidi="ar-OM"/>
        </w:rPr>
        <w:t xml:space="preserve">. </w:t>
      </w:r>
    </w:p>
    <w:p w:rsidR="0090253A" w:rsidRPr="00904FCB" w:rsidRDefault="00644408" w:rsidP="007A21AA">
      <w:pPr>
        <w:spacing w:line="400" w:lineRule="exact"/>
        <w:rPr>
          <w:sz w:val="27"/>
          <w:rtl/>
          <w:lang w:bidi="ar-OM"/>
        </w:rPr>
      </w:pPr>
      <w:r w:rsidRPr="00904FCB">
        <w:rPr>
          <w:rFonts w:hint="cs"/>
          <w:sz w:val="27"/>
          <w:rtl/>
          <w:lang w:bidi="ar-OM"/>
        </w:rPr>
        <w:t xml:space="preserve">وهذه الواقعة </w:t>
      </w:r>
      <w:r w:rsidRPr="00904FCB">
        <w:rPr>
          <w:sz w:val="27"/>
          <w:rtl/>
          <w:lang w:bidi="ar-OM"/>
        </w:rPr>
        <w:t>ـ</w:t>
      </w:r>
      <w:r w:rsidRPr="00904FCB">
        <w:rPr>
          <w:rFonts w:hint="cs"/>
          <w:sz w:val="27"/>
          <w:rtl/>
          <w:lang w:bidi="ar-OM"/>
        </w:rPr>
        <w:t xml:space="preserve"> إن</w:t>
      </w:r>
      <w:r w:rsidR="0090253A" w:rsidRPr="00904FCB">
        <w:rPr>
          <w:rFonts w:hint="cs"/>
          <w:sz w:val="27"/>
          <w:rtl/>
          <w:lang w:bidi="ar-OM"/>
        </w:rPr>
        <w:t>ْ</w:t>
      </w:r>
      <w:r w:rsidRPr="00904FCB">
        <w:rPr>
          <w:rFonts w:hint="cs"/>
          <w:sz w:val="27"/>
          <w:rtl/>
          <w:lang w:bidi="ar-OM"/>
        </w:rPr>
        <w:t xml:space="preserve"> صح</w:t>
      </w:r>
      <w:r w:rsidR="0090253A" w:rsidRPr="00904FCB">
        <w:rPr>
          <w:rFonts w:hint="cs"/>
          <w:sz w:val="27"/>
          <w:rtl/>
          <w:lang w:bidi="ar-OM"/>
        </w:rPr>
        <w:t>َّ</w:t>
      </w:r>
      <w:r w:rsidRPr="00904FCB">
        <w:rPr>
          <w:rFonts w:hint="cs"/>
          <w:sz w:val="27"/>
          <w:rtl/>
          <w:lang w:bidi="ar-OM"/>
        </w:rPr>
        <w:t>ت</w:t>
      </w:r>
      <w:r w:rsidR="0090253A" w:rsidRPr="00904FCB">
        <w:rPr>
          <w:rFonts w:hint="cs"/>
          <w:sz w:val="27"/>
          <w:rtl/>
          <w:lang w:bidi="ar-OM"/>
        </w:rPr>
        <w:t>ْ</w:t>
      </w:r>
      <w:r w:rsidRPr="00904FCB">
        <w:rPr>
          <w:rFonts w:hint="cs"/>
          <w:sz w:val="27"/>
          <w:rtl/>
          <w:lang w:bidi="ar-OM"/>
        </w:rPr>
        <w:t xml:space="preserve"> ـ فربما كانت في ظروف استثنائية اقتض</w:t>
      </w:r>
      <w:r w:rsidR="0090253A" w:rsidRPr="00904FCB">
        <w:rPr>
          <w:rFonts w:hint="cs"/>
          <w:sz w:val="27"/>
          <w:rtl/>
          <w:lang w:bidi="ar-OM"/>
        </w:rPr>
        <w:t>َ</w:t>
      </w:r>
      <w:r w:rsidRPr="00904FCB">
        <w:rPr>
          <w:rFonts w:hint="cs"/>
          <w:sz w:val="27"/>
          <w:rtl/>
          <w:lang w:bidi="ar-OM"/>
        </w:rPr>
        <w:t>ت</w:t>
      </w:r>
      <w:r w:rsidR="0090253A" w:rsidRPr="00904FCB">
        <w:rPr>
          <w:rFonts w:hint="cs"/>
          <w:sz w:val="27"/>
          <w:rtl/>
          <w:lang w:bidi="ar-OM"/>
        </w:rPr>
        <w:t>ْ</w:t>
      </w:r>
      <w:r w:rsidRPr="00904FCB">
        <w:rPr>
          <w:rFonts w:hint="cs"/>
          <w:sz w:val="27"/>
          <w:rtl/>
          <w:lang w:bidi="ar-OM"/>
        </w:rPr>
        <w:t xml:space="preserve"> منها أن تتول</w:t>
      </w:r>
      <w:r w:rsidR="0090253A" w:rsidRPr="00904FCB">
        <w:rPr>
          <w:rFonts w:hint="cs"/>
          <w:sz w:val="27"/>
          <w:rtl/>
          <w:lang w:bidi="ar-OM"/>
        </w:rPr>
        <w:t>ّ</w:t>
      </w:r>
      <w:r w:rsidRPr="00904FCB">
        <w:rPr>
          <w:rFonts w:hint="cs"/>
          <w:sz w:val="27"/>
          <w:rtl/>
          <w:lang w:bidi="ar-OM"/>
        </w:rPr>
        <w:t>ى بعض الأدوار القيادية أثناء القتال، وبالأخص</w:t>
      </w:r>
      <w:r w:rsidR="0090253A" w:rsidRPr="00904FCB">
        <w:rPr>
          <w:rFonts w:hint="cs"/>
          <w:sz w:val="27"/>
          <w:rtl/>
          <w:lang w:bidi="ar-OM"/>
        </w:rPr>
        <w:t>ّ</w:t>
      </w:r>
      <w:r w:rsidRPr="00904FCB">
        <w:rPr>
          <w:rFonts w:hint="cs"/>
          <w:sz w:val="27"/>
          <w:rtl/>
          <w:lang w:bidi="ar-OM"/>
        </w:rPr>
        <w:t xml:space="preserve"> بعد مقتل شبيب، زوجها أو ولدها. واستسهل بعض مؤر</w:t>
      </w:r>
      <w:r w:rsidR="0090253A" w:rsidRPr="00904FCB">
        <w:rPr>
          <w:rFonts w:hint="cs"/>
          <w:sz w:val="27"/>
          <w:rtl/>
          <w:lang w:bidi="ar-OM"/>
        </w:rPr>
        <w:t>ِّ</w:t>
      </w:r>
      <w:r w:rsidRPr="00904FCB">
        <w:rPr>
          <w:rFonts w:hint="cs"/>
          <w:sz w:val="27"/>
          <w:rtl/>
          <w:lang w:bidi="ar-OM"/>
        </w:rPr>
        <w:t>خي الفرق أن يستنتجوا منها مقالة</w:t>
      </w:r>
      <w:r w:rsidR="0090253A" w:rsidRPr="00904FCB">
        <w:rPr>
          <w:rFonts w:hint="cs"/>
          <w:sz w:val="27"/>
          <w:rtl/>
          <w:lang w:bidi="ar-OM"/>
        </w:rPr>
        <w:t>ً</w:t>
      </w:r>
      <w:r w:rsidRPr="00904FCB">
        <w:rPr>
          <w:rFonts w:hint="cs"/>
          <w:sz w:val="27"/>
          <w:rtl/>
          <w:lang w:bidi="ar-OM"/>
        </w:rPr>
        <w:t xml:space="preserve"> ت</w:t>
      </w:r>
      <w:r w:rsidR="0090253A" w:rsidRPr="00904FCB">
        <w:rPr>
          <w:rFonts w:hint="cs"/>
          <w:sz w:val="27"/>
          <w:rtl/>
          <w:lang w:bidi="ar-OM"/>
        </w:rPr>
        <w:t>ُ</w:t>
      </w:r>
      <w:r w:rsidRPr="00904FCB">
        <w:rPr>
          <w:rFonts w:hint="cs"/>
          <w:sz w:val="27"/>
          <w:rtl/>
          <w:lang w:bidi="ar-OM"/>
        </w:rPr>
        <w:t>ضاف إلى سائر ما قيل فيهم ـ على عادة بعضهم ـ</w:t>
      </w:r>
      <w:r w:rsidR="0090253A" w:rsidRPr="00904FCB">
        <w:rPr>
          <w:rFonts w:hint="cs"/>
          <w:sz w:val="27"/>
          <w:rtl/>
          <w:lang w:bidi="ar-OM"/>
        </w:rPr>
        <w:t>،</w:t>
      </w:r>
      <w:r w:rsidRPr="00904FCB">
        <w:rPr>
          <w:rFonts w:hint="cs"/>
          <w:sz w:val="27"/>
          <w:rtl/>
          <w:lang w:bidi="ar-OM"/>
        </w:rPr>
        <w:t xml:space="preserve"> </w:t>
      </w:r>
      <w:r w:rsidR="0090253A" w:rsidRPr="00904FCB">
        <w:rPr>
          <w:rFonts w:hint="cs"/>
          <w:sz w:val="27"/>
          <w:rtl/>
          <w:lang w:bidi="ar-OM"/>
        </w:rPr>
        <w:t>و</w:t>
      </w:r>
      <w:r w:rsidRPr="00904FCB">
        <w:rPr>
          <w:rFonts w:hint="cs"/>
          <w:sz w:val="27"/>
          <w:rtl/>
          <w:lang w:bidi="ar-OM"/>
        </w:rPr>
        <w:t>لا سي</w:t>
      </w:r>
      <w:r w:rsidR="0090253A" w:rsidRPr="00904FCB">
        <w:rPr>
          <w:rFonts w:hint="cs"/>
          <w:sz w:val="27"/>
          <w:rtl/>
          <w:lang w:bidi="ar-OM"/>
        </w:rPr>
        <w:t>َّ</w:t>
      </w:r>
      <w:r w:rsidRPr="00904FCB">
        <w:rPr>
          <w:rFonts w:hint="cs"/>
          <w:sz w:val="27"/>
          <w:rtl/>
          <w:lang w:bidi="ar-OM"/>
        </w:rPr>
        <w:t>ما عند حديثهم عم</w:t>
      </w:r>
      <w:r w:rsidR="0090253A" w:rsidRPr="00904FCB">
        <w:rPr>
          <w:rFonts w:hint="cs"/>
          <w:sz w:val="27"/>
          <w:rtl/>
          <w:lang w:bidi="ar-OM"/>
        </w:rPr>
        <w:t>َّ</w:t>
      </w:r>
      <w:r w:rsidRPr="00904FCB">
        <w:rPr>
          <w:rFonts w:hint="cs"/>
          <w:sz w:val="27"/>
          <w:rtl/>
          <w:lang w:bidi="ar-OM"/>
        </w:rPr>
        <w:t>ن</w:t>
      </w:r>
      <w:r w:rsidR="0090253A" w:rsidRPr="00904FCB">
        <w:rPr>
          <w:rFonts w:hint="cs"/>
          <w:sz w:val="27"/>
          <w:rtl/>
          <w:lang w:bidi="ar-OM"/>
        </w:rPr>
        <w:t>ْ</w:t>
      </w:r>
      <w:r w:rsidRPr="00904FCB">
        <w:rPr>
          <w:rFonts w:hint="cs"/>
          <w:sz w:val="27"/>
          <w:rtl/>
          <w:lang w:bidi="ar-OM"/>
        </w:rPr>
        <w:t xml:space="preserve"> يخالفهم في الفكر</w:t>
      </w:r>
      <w:r w:rsidR="0090253A"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وأي</w:t>
      </w:r>
      <w:r w:rsidR="0090253A" w:rsidRPr="00904FCB">
        <w:rPr>
          <w:rFonts w:hint="cs"/>
          <w:sz w:val="27"/>
          <w:rtl/>
          <w:lang w:bidi="ar-OM"/>
        </w:rPr>
        <w:t>َّ</w:t>
      </w:r>
      <w:r w:rsidRPr="00904FCB">
        <w:rPr>
          <w:rFonts w:hint="cs"/>
          <w:sz w:val="27"/>
          <w:rtl/>
          <w:lang w:bidi="ar-OM"/>
        </w:rPr>
        <w:t>ا</w:t>
      </w:r>
      <w:r w:rsidR="0090253A" w:rsidRPr="00904FCB">
        <w:rPr>
          <w:rFonts w:hint="cs"/>
          <w:sz w:val="27"/>
          <w:rtl/>
          <w:lang w:bidi="ar-OM"/>
        </w:rPr>
        <w:t>ً</w:t>
      </w:r>
      <w:r w:rsidRPr="00904FCB">
        <w:rPr>
          <w:rFonts w:hint="cs"/>
          <w:sz w:val="27"/>
          <w:rtl/>
          <w:lang w:bidi="ar-OM"/>
        </w:rPr>
        <w:t xml:space="preserve"> كان فإننا نستبعد وقوع ما ذكره البغدادي إلا</w:t>
      </w:r>
      <w:r w:rsidR="0090253A" w:rsidRPr="00904FCB">
        <w:rPr>
          <w:rFonts w:hint="cs"/>
          <w:sz w:val="27"/>
          <w:rtl/>
          <w:lang w:bidi="ar-OM"/>
        </w:rPr>
        <w:t>ّ</w:t>
      </w:r>
      <w:r w:rsidRPr="00904FCB">
        <w:rPr>
          <w:rFonts w:hint="cs"/>
          <w:sz w:val="27"/>
          <w:rtl/>
          <w:lang w:bidi="ar-OM"/>
        </w:rPr>
        <w:t xml:space="preserve"> ضمن التفسير </w:t>
      </w:r>
      <w:r w:rsidR="0090253A" w:rsidRPr="00904FCB">
        <w:rPr>
          <w:rFonts w:hint="cs"/>
          <w:sz w:val="27"/>
          <w:rtl/>
          <w:lang w:bidi="ar-OM"/>
        </w:rPr>
        <w:t>المتقدِّم</w:t>
      </w:r>
      <w:r w:rsidRPr="00904FCB">
        <w:rPr>
          <w:rFonts w:hint="cs"/>
          <w:sz w:val="27"/>
          <w:rtl/>
          <w:lang w:bidi="ar-OM"/>
        </w:rPr>
        <w:t>، أو من قبيل</w:t>
      </w:r>
      <w:r w:rsidR="0090253A" w:rsidRPr="00904FCB">
        <w:rPr>
          <w:rFonts w:hint="cs"/>
          <w:sz w:val="27"/>
          <w:rtl/>
          <w:lang w:bidi="ar-OM"/>
        </w:rPr>
        <w:t>:</w:t>
      </w:r>
      <w:r w:rsidRPr="00904FCB">
        <w:rPr>
          <w:rFonts w:hint="cs"/>
          <w:sz w:val="27"/>
          <w:rtl/>
          <w:lang w:bidi="ar-OM"/>
        </w:rPr>
        <w:t xml:space="preserve"> التعامل معه كأمر</w:t>
      </w:r>
      <w:r w:rsidR="0090253A" w:rsidRPr="00904FCB">
        <w:rPr>
          <w:rFonts w:hint="cs"/>
          <w:sz w:val="27"/>
          <w:rtl/>
          <w:lang w:bidi="ar-OM"/>
        </w:rPr>
        <w:t>ٍ</w:t>
      </w:r>
      <w:r w:rsidRPr="00904FCB">
        <w:rPr>
          <w:rFonts w:hint="cs"/>
          <w:sz w:val="27"/>
          <w:rtl/>
          <w:lang w:bidi="ar-OM"/>
        </w:rPr>
        <w:t xml:space="preserve"> واقع</w:t>
      </w:r>
      <w:r w:rsidR="0090253A" w:rsidRPr="00904FCB">
        <w:rPr>
          <w:rFonts w:hint="cs"/>
          <w:sz w:val="27"/>
          <w:rtl/>
          <w:lang w:bidi="ar-OM"/>
        </w:rPr>
        <w:t>؛</w:t>
      </w:r>
      <w:r w:rsidRPr="00904FCB">
        <w:rPr>
          <w:rFonts w:hint="cs"/>
          <w:sz w:val="27"/>
          <w:rtl/>
          <w:lang w:bidi="ar-OM"/>
        </w:rPr>
        <w:t xml:space="preserve"> لأنه ليس من السهل أن يتقب</w:t>
      </w:r>
      <w:r w:rsidR="0090253A" w:rsidRPr="00904FCB">
        <w:rPr>
          <w:rFonts w:hint="cs"/>
          <w:sz w:val="27"/>
          <w:rtl/>
          <w:lang w:bidi="ar-OM"/>
        </w:rPr>
        <w:t>َّ</w:t>
      </w:r>
      <w:r w:rsidRPr="00904FCB">
        <w:rPr>
          <w:rFonts w:hint="cs"/>
          <w:sz w:val="27"/>
          <w:rtl/>
          <w:lang w:bidi="ar-OM"/>
        </w:rPr>
        <w:t>ل المجتمع آنذاك أن تتول</w:t>
      </w:r>
      <w:r w:rsidR="0090253A" w:rsidRPr="00904FCB">
        <w:rPr>
          <w:rFonts w:hint="cs"/>
          <w:sz w:val="27"/>
          <w:rtl/>
          <w:lang w:bidi="ar-OM"/>
        </w:rPr>
        <w:t>ّ</w:t>
      </w:r>
      <w:r w:rsidRPr="00904FCB">
        <w:rPr>
          <w:rFonts w:hint="cs"/>
          <w:sz w:val="27"/>
          <w:rtl/>
          <w:lang w:bidi="ar-OM"/>
        </w:rPr>
        <w:t>ى إمامتهم امرأة</w:t>
      </w:r>
      <w:r w:rsidR="0090253A" w:rsidRPr="00904FCB">
        <w:rPr>
          <w:rFonts w:hint="cs"/>
          <w:sz w:val="27"/>
          <w:rtl/>
          <w:lang w:bidi="ar-OM"/>
        </w:rPr>
        <w:t>،</w:t>
      </w:r>
      <w:r w:rsidRPr="00904FCB">
        <w:rPr>
          <w:rFonts w:hint="cs"/>
          <w:sz w:val="27"/>
          <w:rtl/>
          <w:lang w:bidi="ar-OM"/>
        </w:rPr>
        <w:t xml:space="preserve"> ومن الصعوبة أن يمر</w:t>
      </w:r>
      <w:r w:rsidR="0090253A" w:rsidRPr="00904FCB">
        <w:rPr>
          <w:rFonts w:hint="cs"/>
          <w:sz w:val="27"/>
          <w:rtl/>
          <w:lang w:bidi="ar-OM"/>
        </w:rPr>
        <w:t>ّ</w:t>
      </w:r>
      <w:r w:rsidRPr="00904FCB">
        <w:rPr>
          <w:rFonts w:hint="cs"/>
          <w:sz w:val="27"/>
          <w:rtl/>
          <w:lang w:bidi="ar-OM"/>
        </w:rPr>
        <w:t xml:space="preserve"> ح</w:t>
      </w:r>
      <w:r w:rsidR="0090253A" w:rsidRPr="00904FCB">
        <w:rPr>
          <w:rFonts w:hint="cs"/>
          <w:sz w:val="27"/>
          <w:rtl/>
          <w:lang w:bidi="ar-OM"/>
        </w:rPr>
        <w:t>َ</w:t>
      </w:r>
      <w:r w:rsidRPr="00904FCB">
        <w:rPr>
          <w:rFonts w:hint="cs"/>
          <w:sz w:val="27"/>
          <w:rtl/>
          <w:lang w:bidi="ar-OM"/>
        </w:rPr>
        <w:t>د</w:t>
      </w:r>
      <w:r w:rsidR="0090253A" w:rsidRPr="00904FCB">
        <w:rPr>
          <w:rFonts w:hint="cs"/>
          <w:sz w:val="27"/>
          <w:rtl/>
          <w:lang w:bidi="ar-OM"/>
        </w:rPr>
        <w:t>َ</w:t>
      </w:r>
      <w:r w:rsidRPr="00904FCB">
        <w:rPr>
          <w:rFonts w:hint="cs"/>
          <w:sz w:val="27"/>
          <w:rtl/>
          <w:lang w:bidi="ar-OM"/>
        </w:rPr>
        <w:t>ث</w:t>
      </w:r>
      <w:r w:rsidR="0090253A" w:rsidRPr="00904FCB">
        <w:rPr>
          <w:rFonts w:hint="cs"/>
          <w:sz w:val="27"/>
          <w:rtl/>
          <w:lang w:bidi="ar-OM"/>
        </w:rPr>
        <w:t>ٌ</w:t>
      </w:r>
      <w:r w:rsidRPr="00904FCB">
        <w:rPr>
          <w:rFonts w:hint="cs"/>
          <w:sz w:val="27"/>
          <w:rtl/>
          <w:lang w:bidi="ar-OM"/>
        </w:rPr>
        <w:t xml:space="preserve"> كهذا دون أن يواج</w:t>
      </w:r>
      <w:r w:rsidR="0090253A" w:rsidRPr="00904FCB">
        <w:rPr>
          <w:rFonts w:hint="cs"/>
          <w:sz w:val="27"/>
          <w:rtl/>
          <w:lang w:bidi="ar-OM"/>
        </w:rPr>
        <w:t>َ</w:t>
      </w:r>
      <w:r w:rsidRPr="00904FCB">
        <w:rPr>
          <w:rFonts w:hint="cs"/>
          <w:sz w:val="27"/>
          <w:rtl/>
          <w:lang w:bidi="ar-OM"/>
        </w:rPr>
        <w:t>ه بالمعارضة والج</w:t>
      </w:r>
      <w:r w:rsidR="0090253A" w:rsidRPr="00904FCB">
        <w:rPr>
          <w:rFonts w:hint="cs"/>
          <w:sz w:val="27"/>
          <w:rtl/>
          <w:lang w:bidi="ar-OM"/>
        </w:rPr>
        <w:t>َ</w:t>
      </w:r>
      <w:r w:rsidRPr="00904FCB">
        <w:rPr>
          <w:rFonts w:hint="cs"/>
          <w:sz w:val="27"/>
          <w:rtl/>
          <w:lang w:bidi="ar-OM"/>
        </w:rPr>
        <w:t>د</w:t>
      </w:r>
      <w:r w:rsidR="0090253A" w:rsidRPr="00904FCB">
        <w:rPr>
          <w:rFonts w:hint="cs"/>
          <w:sz w:val="27"/>
          <w:rtl/>
          <w:lang w:bidi="ar-OM"/>
        </w:rPr>
        <w:t>َ</w:t>
      </w:r>
      <w:r w:rsidRPr="00904FCB">
        <w:rPr>
          <w:rFonts w:hint="cs"/>
          <w:sz w:val="27"/>
          <w:rtl/>
          <w:lang w:bidi="ar-OM"/>
        </w:rPr>
        <w:t>ل</w:t>
      </w:r>
      <w:r w:rsidR="0090253A" w:rsidRPr="00904FCB">
        <w:rPr>
          <w:rFonts w:hint="cs"/>
          <w:sz w:val="27"/>
          <w:rtl/>
          <w:lang w:bidi="ar-OM"/>
        </w:rPr>
        <w:t>،</w:t>
      </w:r>
      <w:r w:rsidRPr="00904FCB">
        <w:rPr>
          <w:rFonts w:hint="cs"/>
          <w:sz w:val="27"/>
          <w:rtl/>
          <w:lang w:bidi="ar-OM"/>
        </w:rPr>
        <w:t xml:space="preserve"> ويفرز التوت</w:t>
      </w:r>
      <w:r w:rsidR="0090253A" w:rsidRPr="00904FCB">
        <w:rPr>
          <w:rFonts w:hint="cs"/>
          <w:sz w:val="27"/>
          <w:rtl/>
          <w:lang w:bidi="ar-OM"/>
        </w:rPr>
        <w:t>ُّ</w:t>
      </w:r>
      <w:r w:rsidRPr="00904FCB">
        <w:rPr>
          <w:rFonts w:hint="cs"/>
          <w:sz w:val="27"/>
          <w:rtl/>
          <w:lang w:bidi="ar-OM"/>
        </w:rPr>
        <w:t xml:space="preserve">رات. </w:t>
      </w:r>
    </w:p>
    <w:p w:rsidR="00644408" w:rsidRPr="00904FCB" w:rsidRDefault="00644408" w:rsidP="007A21AA">
      <w:pPr>
        <w:spacing w:line="400" w:lineRule="exact"/>
        <w:rPr>
          <w:sz w:val="27"/>
          <w:rtl/>
          <w:lang w:bidi="ar-OM"/>
        </w:rPr>
      </w:pPr>
      <w:r w:rsidRPr="00904FCB">
        <w:rPr>
          <w:rFonts w:hint="cs"/>
          <w:sz w:val="27"/>
          <w:rtl/>
          <w:lang w:bidi="ar-OM"/>
        </w:rPr>
        <w:t>وعلى العموم فقد أرجع هذا الاتجاه منع المرأة من تول</w:t>
      </w:r>
      <w:r w:rsidR="0090253A" w:rsidRPr="00904FCB">
        <w:rPr>
          <w:rFonts w:hint="cs"/>
          <w:sz w:val="27"/>
          <w:rtl/>
          <w:lang w:bidi="ar-OM"/>
        </w:rPr>
        <w:t>ّ</w:t>
      </w:r>
      <w:r w:rsidRPr="00904FCB">
        <w:rPr>
          <w:rFonts w:hint="cs"/>
          <w:sz w:val="27"/>
          <w:rtl/>
          <w:lang w:bidi="ar-OM"/>
        </w:rPr>
        <w:t>ي السلطة إلى عدد</w:t>
      </w:r>
      <w:r w:rsidR="0090253A" w:rsidRPr="00904FCB">
        <w:rPr>
          <w:rFonts w:hint="cs"/>
          <w:sz w:val="27"/>
          <w:rtl/>
          <w:lang w:bidi="ar-OM"/>
        </w:rPr>
        <w:t>ٍ</w:t>
      </w:r>
      <w:r w:rsidRPr="00904FCB">
        <w:rPr>
          <w:rFonts w:hint="cs"/>
          <w:sz w:val="27"/>
          <w:rtl/>
          <w:lang w:bidi="ar-OM"/>
        </w:rPr>
        <w:t xml:space="preserve"> من العوامل</w:t>
      </w:r>
      <w:r w:rsidR="0090253A" w:rsidRPr="00904FCB">
        <w:rPr>
          <w:rFonts w:hint="cs"/>
          <w:sz w:val="27"/>
          <w:rtl/>
          <w:lang w:bidi="ar-OM"/>
        </w:rPr>
        <w:t>؛</w:t>
      </w:r>
      <w:r w:rsidRPr="00904FCB">
        <w:rPr>
          <w:rFonts w:hint="cs"/>
          <w:sz w:val="27"/>
          <w:rtl/>
          <w:lang w:bidi="ar-OM"/>
        </w:rPr>
        <w:t xml:space="preserve"> بعضها شرعية</w:t>
      </w:r>
      <w:r w:rsidR="0090253A" w:rsidRPr="00904FCB">
        <w:rPr>
          <w:rFonts w:hint="cs"/>
          <w:sz w:val="27"/>
          <w:rtl/>
          <w:lang w:bidi="ar-OM"/>
        </w:rPr>
        <w:t>؛</w:t>
      </w:r>
      <w:r w:rsidRPr="00904FCB">
        <w:rPr>
          <w:rFonts w:hint="cs"/>
          <w:sz w:val="27"/>
          <w:rtl/>
          <w:lang w:bidi="ar-OM"/>
        </w:rPr>
        <w:t xml:space="preserve"> وبعضها ثقافية</w:t>
      </w:r>
      <w:r w:rsidR="0090253A" w:rsidRPr="00904FCB">
        <w:rPr>
          <w:rFonts w:hint="cs"/>
          <w:sz w:val="27"/>
          <w:rtl/>
          <w:lang w:bidi="ar-OM"/>
        </w:rPr>
        <w:t>،</w:t>
      </w:r>
      <w:r w:rsidRPr="00904FCB">
        <w:rPr>
          <w:rFonts w:hint="cs"/>
          <w:sz w:val="27"/>
          <w:rtl/>
          <w:lang w:bidi="ar-OM"/>
        </w:rPr>
        <w:t xml:space="preserve"> من قبيل</w:t>
      </w:r>
      <w:r w:rsidR="0090253A" w:rsidRPr="00904FCB">
        <w:rPr>
          <w:rFonts w:hint="cs"/>
          <w:sz w:val="27"/>
          <w:rtl/>
          <w:lang w:bidi="ar-OM"/>
        </w:rPr>
        <w:t>:</w:t>
      </w:r>
      <w:r w:rsidRPr="00904FCB">
        <w:rPr>
          <w:rFonts w:hint="cs"/>
          <w:sz w:val="27"/>
          <w:rtl/>
          <w:lang w:bidi="ar-OM"/>
        </w:rPr>
        <w:t xml:space="preserve"> النظرة التي ترى ضعف القدرات العقلية والفكرية والجسمية لدى المرأة. وأي</w:t>
      </w:r>
      <w:r w:rsidR="0090253A" w:rsidRPr="00904FCB">
        <w:rPr>
          <w:rFonts w:hint="cs"/>
          <w:sz w:val="27"/>
          <w:rtl/>
          <w:lang w:bidi="ar-OM"/>
        </w:rPr>
        <w:t>َّ</w:t>
      </w:r>
      <w:r w:rsidRPr="00904FCB">
        <w:rPr>
          <w:rFonts w:hint="cs"/>
          <w:sz w:val="27"/>
          <w:rtl/>
          <w:lang w:bidi="ar-OM"/>
        </w:rPr>
        <w:t>دوا هذه النظرة ببعض النصوص الدينية ـ ح</w:t>
      </w:r>
      <w:r w:rsidR="0090253A" w:rsidRPr="00904FCB">
        <w:rPr>
          <w:rFonts w:hint="cs"/>
          <w:sz w:val="27"/>
          <w:rtl/>
          <w:lang w:bidi="ar-OM"/>
        </w:rPr>
        <w:t>َ</w:t>
      </w:r>
      <w:r w:rsidRPr="00904FCB">
        <w:rPr>
          <w:rFonts w:hint="cs"/>
          <w:sz w:val="27"/>
          <w:rtl/>
          <w:lang w:bidi="ar-OM"/>
        </w:rPr>
        <w:t>س</w:t>
      </w:r>
      <w:r w:rsidR="0090253A" w:rsidRPr="00904FCB">
        <w:rPr>
          <w:rFonts w:hint="cs"/>
          <w:sz w:val="27"/>
          <w:rtl/>
          <w:lang w:bidi="ar-OM"/>
        </w:rPr>
        <w:t>ْ</w:t>
      </w:r>
      <w:r w:rsidRPr="00904FCB">
        <w:rPr>
          <w:rFonts w:hint="cs"/>
          <w:sz w:val="27"/>
          <w:rtl/>
          <w:lang w:bidi="ar-OM"/>
        </w:rPr>
        <w:t>ب فهمهم وقراءتهم لها ـ</w:t>
      </w:r>
      <w:r w:rsidR="0090253A" w:rsidRPr="00904FCB">
        <w:rPr>
          <w:rFonts w:hint="cs"/>
          <w:sz w:val="27"/>
          <w:rtl/>
          <w:lang w:bidi="ar-OM"/>
        </w:rPr>
        <w:t>، وهو</w:t>
      </w:r>
      <w:r w:rsidRPr="00904FCB">
        <w:rPr>
          <w:rFonts w:hint="cs"/>
          <w:sz w:val="27"/>
          <w:rtl/>
          <w:lang w:bidi="ar-OM"/>
        </w:rPr>
        <w:t xml:space="preserve"> الأمر الذي سنتناوله في بحث</w:t>
      </w:r>
      <w:r w:rsidR="0090253A" w:rsidRPr="00904FCB">
        <w:rPr>
          <w:rFonts w:hint="cs"/>
          <w:sz w:val="27"/>
          <w:rtl/>
          <w:lang w:bidi="ar-OM"/>
        </w:rPr>
        <w:t>ٍ</w:t>
      </w:r>
      <w:r w:rsidRPr="00904FCB">
        <w:rPr>
          <w:rFonts w:hint="cs"/>
          <w:sz w:val="27"/>
          <w:rtl/>
          <w:lang w:bidi="ar-OM"/>
        </w:rPr>
        <w:t xml:space="preserve"> مستقل</w:t>
      </w:r>
      <w:r w:rsidR="0090253A" w:rsidRPr="00904FCB">
        <w:rPr>
          <w:rFonts w:hint="cs"/>
          <w:sz w:val="27"/>
          <w:rtl/>
          <w:lang w:bidi="ar-OM"/>
        </w:rPr>
        <w:t>ّ</w:t>
      </w:r>
      <w:r w:rsidRPr="00904FCB">
        <w:rPr>
          <w:rFonts w:hint="cs"/>
          <w:sz w:val="27"/>
          <w:rtl/>
          <w:lang w:bidi="ar-OM"/>
        </w:rPr>
        <w:t xml:space="preserve"> </w:t>
      </w:r>
      <w:r w:rsidR="0090253A" w:rsidRPr="00904FCB">
        <w:rPr>
          <w:rFonts w:hint="cs"/>
          <w:sz w:val="27"/>
          <w:rtl/>
          <w:lang w:bidi="ar-OM"/>
        </w:rPr>
        <w:t>إ</w:t>
      </w:r>
      <w:r w:rsidRPr="00904FCB">
        <w:rPr>
          <w:rFonts w:hint="cs"/>
          <w:sz w:val="27"/>
          <w:rtl/>
          <w:lang w:bidi="ar-OM"/>
        </w:rPr>
        <w:t>ن</w:t>
      </w:r>
      <w:r w:rsidR="0090253A" w:rsidRPr="00904FCB">
        <w:rPr>
          <w:rFonts w:hint="cs"/>
          <w:sz w:val="27"/>
          <w:rtl/>
          <w:lang w:bidi="ar-OM"/>
        </w:rPr>
        <w:t>ْ</w:t>
      </w:r>
      <w:r w:rsidRPr="00904FCB">
        <w:rPr>
          <w:rFonts w:hint="cs"/>
          <w:sz w:val="27"/>
          <w:rtl/>
          <w:lang w:bidi="ar-OM"/>
        </w:rPr>
        <w:t xml:space="preserve"> شاء الله تعالى. </w:t>
      </w:r>
    </w:p>
    <w:p w:rsidR="00644408" w:rsidRPr="00904FCB" w:rsidRDefault="00644408" w:rsidP="007A21AA">
      <w:pPr>
        <w:spacing w:line="400" w:lineRule="exact"/>
        <w:rPr>
          <w:rFonts w:ascii="Tahoma" w:hAnsi="Tahoma"/>
          <w:sz w:val="27"/>
          <w:rtl/>
        </w:rPr>
      </w:pPr>
      <w:r w:rsidRPr="00904FCB">
        <w:rPr>
          <w:rFonts w:hint="cs"/>
          <w:sz w:val="27"/>
          <w:rtl/>
          <w:lang w:bidi="ar-OM"/>
        </w:rPr>
        <w:t>فبينما رأى الماوردي الشافعي(</w:t>
      </w:r>
      <w:r w:rsidRPr="00DF101A">
        <w:rPr>
          <w:rFonts w:hint="cs"/>
          <w:sz w:val="27"/>
          <w:rtl/>
          <w:lang w:bidi="ar-OM"/>
        </w:rPr>
        <w:t>450هـ</w:t>
      </w:r>
      <w:r w:rsidRPr="00904FCB">
        <w:rPr>
          <w:rFonts w:hint="cs"/>
          <w:sz w:val="27"/>
          <w:rtl/>
          <w:lang w:bidi="ar-OM"/>
        </w:rPr>
        <w:t>) عدم جواز تول</w:t>
      </w:r>
      <w:r w:rsidR="0090253A" w:rsidRPr="00904FCB">
        <w:rPr>
          <w:rFonts w:hint="cs"/>
          <w:sz w:val="27"/>
          <w:rtl/>
          <w:lang w:bidi="ar-OM"/>
        </w:rPr>
        <w:t>ّ</w:t>
      </w:r>
      <w:r w:rsidRPr="00904FCB">
        <w:rPr>
          <w:rFonts w:hint="cs"/>
          <w:sz w:val="27"/>
          <w:rtl/>
          <w:lang w:bidi="ar-OM"/>
        </w:rPr>
        <w:t>ي المرأة مناصب الولاية لنقص</w:t>
      </w:r>
      <w:r w:rsidRPr="00904FCB">
        <w:rPr>
          <w:sz w:val="27"/>
          <w:rtl/>
          <w:lang w:bidi="ar-OM"/>
        </w:rPr>
        <w:t xml:space="preserve"> النساء عن رتب الولايات</w:t>
      </w:r>
      <w:r w:rsidRPr="00904FCB">
        <w:rPr>
          <w:rFonts w:hint="cs"/>
          <w:sz w:val="27"/>
          <w:vertAlign w:val="superscript"/>
          <w:rtl/>
        </w:rPr>
        <w:t>(</w:t>
      </w:r>
      <w:r w:rsidRPr="00904FCB">
        <w:rPr>
          <w:rStyle w:val="ac"/>
          <w:sz w:val="27"/>
          <w:rtl/>
        </w:rPr>
        <w:endnoteReference w:id="162"/>
      </w:r>
      <w:r w:rsidRPr="00904FCB">
        <w:rPr>
          <w:rFonts w:hint="cs"/>
          <w:sz w:val="27"/>
          <w:vertAlign w:val="superscript"/>
          <w:rtl/>
        </w:rPr>
        <w:t>)</w:t>
      </w:r>
      <w:r w:rsidR="0090253A" w:rsidRPr="00904FCB">
        <w:rPr>
          <w:rFonts w:hint="cs"/>
          <w:sz w:val="27"/>
          <w:rtl/>
          <w:lang w:bidi="ar-OM"/>
        </w:rPr>
        <w:t xml:space="preserve"> </w:t>
      </w:r>
      <w:r w:rsidRPr="00904FCB">
        <w:rPr>
          <w:sz w:val="27"/>
          <w:rtl/>
          <w:lang w:bidi="ar-OM"/>
        </w:rPr>
        <w:t>ق</w:t>
      </w:r>
      <w:r w:rsidRPr="00904FCB">
        <w:rPr>
          <w:rFonts w:hint="cs"/>
          <w:sz w:val="27"/>
          <w:rtl/>
          <w:lang w:bidi="ar-OM"/>
        </w:rPr>
        <w:t>ر</w:t>
      </w:r>
      <w:r w:rsidR="0090253A" w:rsidRPr="00904FCB">
        <w:rPr>
          <w:rFonts w:hint="cs"/>
          <w:sz w:val="27"/>
          <w:rtl/>
          <w:lang w:bidi="ar-OM"/>
        </w:rPr>
        <w:t>َّ</w:t>
      </w:r>
      <w:r w:rsidRPr="00904FCB">
        <w:rPr>
          <w:sz w:val="27"/>
          <w:rtl/>
          <w:lang w:bidi="ar-OM"/>
        </w:rPr>
        <w:t>ر</w:t>
      </w:r>
      <w:r w:rsidRPr="00904FCB">
        <w:rPr>
          <w:rFonts w:hint="cs"/>
          <w:sz w:val="27"/>
          <w:rtl/>
          <w:lang w:bidi="ar-OM"/>
        </w:rPr>
        <w:t xml:space="preserve"> العضد </w:t>
      </w:r>
      <w:r w:rsidRPr="00904FCB">
        <w:rPr>
          <w:sz w:val="27"/>
          <w:rtl/>
          <w:lang w:bidi="ar-OM"/>
        </w:rPr>
        <w:t>الإيجي(</w:t>
      </w:r>
      <w:r w:rsidRPr="00DF101A">
        <w:rPr>
          <w:sz w:val="27"/>
          <w:rtl/>
          <w:lang w:bidi="ar-OM"/>
        </w:rPr>
        <w:t>756</w:t>
      </w:r>
      <w:r w:rsidRPr="00DF101A">
        <w:rPr>
          <w:rFonts w:hint="cs"/>
          <w:sz w:val="27"/>
          <w:rtl/>
          <w:lang w:bidi="ar-OM"/>
        </w:rPr>
        <w:t>هـ</w:t>
      </w:r>
      <w:r w:rsidRPr="00904FCB">
        <w:rPr>
          <w:rFonts w:hint="cs"/>
          <w:sz w:val="27"/>
          <w:rtl/>
          <w:lang w:bidi="ar-OM"/>
        </w:rPr>
        <w:t>)</w:t>
      </w:r>
      <w:r w:rsidRPr="00904FCB">
        <w:rPr>
          <w:sz w:val="27"/>
          <w:rtl/>
          <w:lang w:bidi="ar-OM"/>
        </w:rPr>
        <w:t xml:space="preserve"> </w:t>
      </w:r>
      <w:r w:rsidRPr="00904FCB">
        <w:rPr>
          <w:rFonts w:hint="cs"/>
          <w:sz w:val="27"/>
          <w:rtl/>
          <w:lang w:bidi="ar-OM"/>
        </w:rPr>
        <w:t>أن</w:t>
      </w:r>
      <w:r w:rsidRPr="00904FCB">
        <w:rPr>
          <w:sz w:val="27"/>
          <w:rtl/>
          <w:lang w:bidi="ar-OM"/>
        </w:rPr>
        <w:t xml:space="preserve"> النساء ناقصات عقل ودين</w:t>
      </w:r>
      <w:r w:rsidRPr="00904FCB">
        <w:rPr>
          <w:rFonts w:hint="cs"/>
          <w:sz w:val="27"/>
          <w:vertAlign w:val="superscript"/>
          <w:rtl/>
        </w:rPr>
        <w:t>(</w:t>
      </w:r>
      <w:r w:rsidRPr="00904FCB">
        <w:rPr>
          <w:rStyle w:val="ac"/>
          <w:sz w:val="27"/>
          <w:rtl/>
        </w:rPr>
        <w:endnoteReference w:id="163"/>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وفي العصر الحديث تبن</w:t>
      </w:r>
      <w:r w:rsidR="0090253A" w:rsidRPr="00904FCB">
        <w:rPr>
          <w:rFonts w:hint="cs"/>
          <w:sz w:val="27"/>
          <w:rtl/>
          <w:lang w:bidi="ar-OM"/>
        </w:rPr>
        <w:t>ّ</w:t>
      </w:r>
      <w:r w:rsidRPr="00904FCB">
        <w:rPr>
          <w:rFonts w:hint="cs"/>
          <w:sz w:val="27"/>
          <w:rtl/>
          <w:lang w:bidi="ar-OM"/>
        </w:rPr>
        <w:t>ى عدد</w:t>
      </w:r>
      <w:r w:rsidR="0090253A" w:rsidRPr="00904FCB">
        <w:rPr>
          <w:rFonts w:hint="cs"/>
          <w:sz w:val="27"/>
          <w:rtl/>
          <w:lang w:bidi="ar-OM"/>
        </w:rPr>
        <w:t>ٌ</w:t>
      </w:r>
      <w:r w:rsidRPr="00904FCB">
        <w:rPr>
          <w:rFonts w:hint="cs"/>
          <w:sz w:val="27"/>
          <w:rtl/>
          <w:lang w:bidi="ar-OM"/>
        </w:rPr>
        <w:t xml:space="preserve"> من الباحثين ذات المضمون</w:t>
      </w:r>
      <w:r w:rsidR="0090253A" w:rsidRPr="00904FCB">
        <w:rPr>
          <w:rFonts w:hint="cs"/>
          <w:sz w:val="27"/>
          <w:rtl/>
          <w:lang w:bidi="ar-OM"/>
        </w:rPr>
        <w:t>،</w:t>
      </w:r>
      <w:r w:rsidRPr="00904FCB">
        <w:rPr>
          <w:rFonts w:hint="cs"/>
          <w:sz w:val="27"/>
          <w:rtl/>
          <w:lang w:bidi="ar-OM"/>
        </w:rPr>
        <w:t xml:space="preserve"> و</w:t>
      </w:r>
      <w:r w:rsidR="0090253A" w:rsidRPr="00904FCB">
        <w:rPr>
          <w:rFonts w:hint="cs"/>
          <w:sz w:val="27"/>
          <w:rtl/>
          <w:lang w:bidi="ar-OM"/>
        </w:rPr>
        <w:t>إ</w:t>
      </w:r>
      <w:r w:rsidRPr="00904FCB">
        <w:rPr>
          <w:rFonts w:hint="cs"/>
          <w:sz w:val="27"/>
          <w:rtl/>
          <w:lang w:bidi="ar-OM"/>
        </w:rPr>
        <w:t>ن</w:t>
      </w:r>
      <w:r w:rsidR="0090253A" w:rsidRPr="00904FCB">
        <w:rPr>
          <w:rFonts w:hint="cs"/>
          <w:sz w:val="27"/>
          <w:rtl/>
          <w:lang w:bidi="ar-OM"/>
        </w:rPr>
        <w:t>ْ</w:t>
      </w:r>
      <w:r w:rsidRPr="00904FCB">
        <w:rPr>
          <w:rFonts w:hint="cs"/>
          <w:sz w:val="27"/>
          <w:rtl/>
          <w:lang w:bidi="ar-OM"/>
        </w:rPr>
        <w:t xml:space="preserve"> اختلفت أدبياتهم. فقد عل</w:t>
      </w:r>
      <w:r w:rsidR="0090253A" w:rsidRPr="00904FCB">
        <w:rPr>
          <w:rFonts w:hint="cs"/>
          <w:sz w:val="27"/>
          <w:rtl/>
          <w:lang w:bidi="ar-OM"/>
        </w:rPr>
        <w:t>َّ</w:t>
      </w:r>
      <w:r w:rsidRPr="00904FCB">
        <w:rPr>
          <w:rFonts w:hint="cs"/>
          <w:sz w:val="27"/>
          <w:rtl/>
          <w:lang w:bidi="ar-OM"/>
        </w:rPr>
        <w:t xml:space="preserve">لوا اشتراط </w:t>
      </w:r>
      <w:r w:rsidRPr="00904FCB">
        <w:rPr>
          <w:sz w:val="27"/>
          <w:rtl/>
          <w:lang w:bidi="ar-OM"/>
        </w:rPr>
        <w:t xml:space="preserve">الذكورة </w:t>
      </w:r>
      <w:r w:rsidRPr="00904FCB">
        <w:rPr>
          <w:rFonts w:hint="cs"/>
          <w:sz w:val="27"/>
          <w:rtl/>
          <w:lang w:bidi="ar-OM"/>
        </w:rPr>
        <w:t>في رئاسة الدولة العليا</w:t>
      </w:r>
      <w:r w:rsidR="0090253A" w:rsidRPr="00904FCB">
        <w:rPr>
          <w:rFonts w:hint="cs"/>
          <w:sz w:val="27"/>
          <w:rtl/>
          <w:lang w:bidi="ar-OM"/>
        </w:rPr>
        <w:t>؛</w:t>
      </w:r>
      <w:r w:rsidRPr="00904FCB">
        <w:rPr>
          <w:rFonts w:hint="cs"/>
          <w:sz w:val="27"/>
          <w:rtl/>
          <w:lang w:bidi="ar-OM"/>
        </w:rPr>
        <w:t xml:space="preserve"> نظراً لأن رئيس الدولة في الإسلام له صلاحيات واسعة خطيرة الآثار والنتائج</w:t>
      </w:r>
      <w:r w:rsidR="0090253A" w:rsidRPr="00904FCB">
        <w:rPr>
          <w:rFonts w:hint="cs"/>
          <w:sz w:val="27"/>
          <w:rtl/>
          <w:lang w:bidi="ar-OM"/>
        </w:rPr>
        <w:t>،</w:t>
      </w:r>
      <w:r w:rsidRPr="00904FCB">
        <w:rPr>
          <w:rFonts w:hint="cs"/>
          <w:sz w:val="27"/>
          <w:rtl/>
          <w:lang w:bidi="ar-OM"/>
        </w:rPr>
        <w:t xml:space="preserve"> فهو الذي يعلن الحرب</w:t>
      </w:r>
      <w:r w:rsidR="0090253A" w:rsidRPr="00904FCB">
        <w:rPr>
          <w:rFonts w:hint="cs"/>
          <w:sz w:val="27"/>
          <w:rtl/>
          <w:lang w:bidi="ar-OM"/>
        </w:rPr>
        <w:t>،</w:t>
      </w:r>
      <w:r w:rsidRPr="00904FCB">
        <w:rPr>
          <w:rFonts w:hint="cs"/>
          <w:sz w:val="27"/>
          <w:rtl/>
          <w:lang w:bidi="ar-OM"/>
        </w:rPr>
        <w:t xml:space="preserve"> ويقود الجيش</w:t>
      </w:r>
      <w:r w:rsidR="0090253A" w:rsidRPr="00904FCB">
        <w:rPr>
          <w:rFonts w:hint="cs"/>
          <w:sz w:val="27"/>
          <w:rtl/>
          <w:lang w:bidi="ar-OM"/>
        </w:rPr>
        <w:t>،</w:t>
      </w:r>
      <w:r w:rsidRPr="00904FCB">
        <w:rPr>
          <w:rFonts w:hint="cs"/>
          <w:sz w:val="27"/>
          <w:rtl/>
          <w:lang w:bidi="ar-OM"/>
        </w:rPr>
        <w:t xml:space="preserve"> ويقر</w:t>
      </w:r>
      <w:r w:rsidR="0090253A" w:rsidRPr="00904FCB">
        <w:rPr>
          <w:rFonts w:hint="cs"/>
          <w:sz w:val="27"/>
          <w:rtl/>
          <w:lang w:bidi="ar-OM"/>
        </w:rPr>
        <w:t>ِّ</w:t>
      </w:r>
      <w:r w:rsidRPr="00904FCB">
        <w:rPr>
          <w:rFonts w:hint="cs"/>
          <w:sz w:val="27"/>
          <w:rtl/>
          <w:lang w:bidi="ar-OM"/>
        </w:rPr>
        <w:t>ر الس</w:t>
      </w:r>
      <w:r w:rsidR="0090253A" w:rsidRPr="00904FCB">
        <w:rPr>
          <w:rFonts w:hint="cs"/>
          <w:sz w:val="27"/>
          <w:rtl/>
          <w:lang w:bidi="ar-OM"/>
        </w:rPr>
        <w:t>ِّ</w:t>
      </w:r>
      <w:r w:rsidRPr="00904FCB">
        <w:rPr>
          <w:rFonts w:hint="cs"/>
          <w:sz w:val="27"/>
          <w:rtl/>
          <w:lang w:bidi="ar-OM"/>
        </w:rPr>
        <w:t>ل</w:t>
      </w:r>
      <w:r w:rsidR="0090253A" w:rsidRPr="00904FCB">
        <w:rPr>
          <w:rFonts w:hint="cs"/>
          <w:sz w:val="27"/>
          <w:rtl/>
          <w:lang w:bidi="ar-OM"/>
        </w:rPr>
        <w:t>ْ</w:t>
      </w:r>
      <w:r w:rsidRPr="00904FCB">
        <w:rPr>
          <w:rFonts w:hint="cs"/>
          <w:sz w:val="27"/>
          <w:rtl/>
          <w:lang w:bidi="ar-OM"/>
        </w:rPr>
        <w:t>م والمهادنة أو الحرب بعد استشارة أهل الحل</w:t>
      </w:r>
      <w:r w:rsidR="0090253A" w:rsidRPr="00904FCB">
        <w:rPr>
          <w:rFonts w:hint="cs"/>
          <w:sz w:val="27"/>
          <w:rtl/>
          <w:lang w:bidi="ar-OM"/>
        </w:rPr>
        <w:t>ّ</w:t>
      </w:r>
      <w:r w:rsidRPr="00904FCB">
        <w:rPr>
          <w:rFonts w:hint="cs"/>
          <w:sz w:val="27"/>
          <w:rtl/>
          <w:lang w:bidi="ar-OM"/>
        </w:rPr>
        <w:t xml:space="preserve"> والعقد</w:t>
      </w:r>
      <w:r w:rsidR="0090253A" w:rsidRPr="00904FCB">
        <w:rPr>
          <w:rFonts w:hint="cs"/>
          <w:sz w:val="27"/>
          <w:rtl/>
          <w:lang w:bidi="ar-OM"/>
        </w:rPr>
        <w:t>،</w:t>
      </w:r>
      <w:r w:rsidRPr="00904FCB">
        <w:rPr>
          <w:rFonts w:hint="cs"/>
          <w:sz w:val="27"/>
          <w:rtl/>
          <w:lang w:bidi="ar-OM"/>
        </w:rPr>
        <w:t xml:space="preserve"> ويتولى خطابة </w:t>
      </w:r>
      <w:r w:rsidRPr="00904FCB">
        <w:rPr>
          <w:rFonts w:hint="cs"/>
          <w:sz w:val="27"/>
          <w:rtl/>
          <w:lang w:bidi="ar-OM"/>
        </w:rPr>
        <w:lastRenderedPageBreak/>
        <w:t>الجمعة</w:t>
      </w:r>
      <w:r w:rsidR="0090253A" w:rsidRPr="00904FCB">
        <w:rPr>
          <w:rFonts w:hint="cs"/>
          <w:sz w:val="27"/>
          <w:rtl/>
          <w:lang w:bidi="ar-OM"/>
        </w:rPr>
        <w:t>،</w:t>
      </w:r>
      <w:r w:rsidRPr="00904FCB">
        <w:rPr>
          <w:rFonts w:hint="cs"/>
          <w:sz w:val="27"/>
          <w:rtl/>
          <w:lang w:bidi="ar-OM"/>
        </w:rPr>
        <w:t xml:space="preserve"> وإمامة الناس في الصلوات</w:t>
      </w:r>
      <w:r w:rsidR="0090253A" w:rsidRPr="00904FCB">
        <w:rPr>
          <w:rFonts w:hint="cs"/>
          <w:sz w:val="27"/>
          <w:rtl/>
          <w:lang w:bidi="ar-OM"/>
        </w:rPr>
        <w:t>،</w:t>
      </w:r>
      <w:r w:rsidRPr="00904FCB">
        <w:rPr>
          <w:rFonts w:hint="cs"/>
          <w:sz w:val="27"/>
          <w:rtl/>
          <w:lang w:bidi="ar-OM"/>
        </w:rPr>
        <w:t xml:space="preserve"> والقضاء في الخصومات</w:t>
      </w:r>
      <w:r w:rsidR="0090253A" w:rsidRPr="00904FCB">
        <w:rPr>
          <w:rFonts w:hint="cs"/>
          <w:sz w:val="27"/>
          <w:rtl/>
          <w:lang w:bidi="ar-OM"/>
        </w:rPr>
        <w:t>.</w:t>
      </w:r>
      <w:r w:rsidRPr="00904FCB">
        <w:rPr>
          <w:rFonts w:hint="cs"/>
          <w:sz w:val="27"/>
          <w:rtl/>
          <w:lang w:bidi="ar-OM"/>
        </w:rPr>
        <w:t xml:space="preserve"> وهذه الوظائف الخطيرة لا تت</w:t>
      </w:r>
      <w:r w:rsidR="0090253A" w:rsidRPr="00904FCB">
        <w:rPr>
          <w:rFonts w:hint="cs"/>
          <w:sz w:val="27"/>
          <w:rtl/>
          <w:lang w:bidi="ar-OM"/>
        </w:rPr>
        <w:t>َّ</w:t>
      </w:r>
      <w:r w:rsidRPr="00904FCB">
        <w:rPr>
          <w:rFonts w:hint="cs"/>
          <w:sz w:val="27"/>
          <w:rtl/>
          <w:lang w:bidi="ar-OM"/>
        </w:rPr>
        <w:t>فق مع تكوين المرأة النفسي والعاطفي</w:t>
      </w:r>
      <w:r w:rsidR="0090253A" w:rsidRPr="00904FCB">
        <w:rPr>
          <w:rFonts w:hint="cs"/>
          <w:sz w:val="27"/>
          <w:rtl/>
          <w:lang w:bidi="ar-OM"/>
        </w:rPr>
        <w:t>،</w:t>
      </w:r>
      <w:r w:rsidRPr="00904FCB">
        <w:rPr>
          <w:rFonts w:hint="cs"/>
          <w:sz w:val="27"/>
          <w:rtl/>
          <w:lang w:bidi="ar-OM"/>
        </w:rPr>
        <w:t xml:space="preserve"> بل حت</w:t>
      </w:r>
      <w:r w:rsidR="0090253A" w:rsidRPr="00904FCB">
        <w:rPr>
          <w:rFonts w:hint="cs"/>
          <w:sz w:val="27"/>
          <w:rtl/>
          <w:lang w:bidi="ar-OM"/>
        </w:rPr>
        <w:t>ّ</w:t>
      </w:r>
      <w:r w:rsidRPr="00904FCB">
        <w:rPr>
          <w:rFonts w:hint="cs"/>
          <w:sz w:val="27"/>
          <w:rtl/>
          <w:lang w:bidi="ar-OM"/>
        </w:rPr>
        <w:t>ى الجسمي ـ ح</w:t>
      </w:r>
      <w:r w:rsidR="0090253A" w:rsidRPr="00904FCB">
        <w:rPr>
          <w:rFonts w:hint="cs"/>
          <w:sz w:val="27"/>
          <w:rtl/>
          <w:lang w:bidi="ar-OM"/>
        </w:rPr>
        <w:t>َ</w:t>
      </w:r>
      <w:r w:rsidRPr="00904FCB">
        <w:rPr>
          <w:rFonts w:hint="cs"/>
          <w:sz w:val="27"/>
          <w:rtl/>
          <w:lang w:bidi="ar-OM"/>
        </w:rPr>
        <w:t>س</w:t>
      </w:r>
      <w:r w:rsidR="0090253A" w:rsidRPr="00904FCB">
        <w:rPr>
          <w:rFonts w:hint="cs"/>
          <w:sz w:val="27"/>
          <w:rtl/>
          <w:lang w:bidi="ar-OM"/>
        </w:rPr>
        <w:t>ْ</w:t>
      </w:r>
      <w:r w:rsidRPr="00904FCB">
        <w:rPr>
          <w:rFonts w:hint="cs"/>
          <w:sz w:val="27"/>
          <w:rtl/>
          <w:lang w:bidi="ar-OM"/>
        </w:rPr>
        <w:t>ب بعضهم ـ</w:t>
      </w:r>
      <w:r w:rsidRPr="00904FCB">
        <w:rPr>
          <w:rFonts w:hint="cs"/>
          <w:sz w:val="27"/>
          <w:vertAlign w:val="superscript"/>
          <w:rtl/>
        </w:rPr>
        <w:t>(</w:t>
      </w:r>
      <w:r w:rsidRPr="00904FCB">
        <w:rPr>
          <w:rStyle w:val="ac"/>
          <w:sz w:val="27"/>
          <w:rtl/>
        </w:rPr>
        <w:endnoteReference w:id="164"/>
      </w:r>
      <w:r w:rsidRPr="00904FCB">
        <w:rPr>
          <w:rFonts w:hint="cs"/>
          <w:sz w:val="27"/>
          <w:vertAlign w:val="superscript"/>
          <w:rtl/>
        </w:rPr>
        <w:t>)</w:t>
      </w:r>
      <w:r w:rsidRPr="00904FCB">
        <w:rPr>
          <w:rFonts w:hint="cs"/>
          <w:sz w:val="27"/>
          <w:rtl/>
          <w:lang w:bidi="ar-OM"/>
        </w:rPr>
        <w:t>. ولأن المرأة إنسانة عاطفية أكثر من الرجل لذلك أ</w:t>
      </w:r>
      <w:r w:rsidR="0011213F" w:rsidRPr="00904FCB">
        <w:rPr>
          <w:rFonts w:hint="cs"/>
          <w:sz w:val="27"/>
          <w:rtl/>
          <w:lang w:bidi="ar-OM"/>
        </w:rPr>
        <w:t>ُ</w:t>
      </w:r>
      <w:r w:rsidRPr="00904FCB">
        <w:rPr>
          <w:rFonts w:hint="cs"/>
          <w:sz w:val="27"/>
          <w:rtl/>
          <w:lang w:bidi="ar-OM"/>
        </w:rPr>
        <w:t>عفيت في منطق الإسلام من المسؤوليات الثقيلة</w:t>
      </w:r>
      <w:r w:rsidR="0011213F" w:rsidRPr="00904FCB">
        <w:rPr>
          <w:rFonts w:hint="cs"/>
          <w:sz w:val="27"/>
          <w:rtl/>
          <w:lang w:bidi="ar-OM"/>
        </w:rPr>
        <w:t>،</w:t>
      </w:r>
      <w:r w:rsidRPr="00904FCB">
        <w:rPr>
          <w:rFonts w:hint="cs"/>
          <w:sz w:val="27"/>
          <w:rtl/>
          <w:lang w:bidi="ar-OM"/>
        </w:rPr>
        <w:t xml:space="preserve"> وأ</w:t>
      </w:r>
      <w:r w:rsidR="0011213F" w:rsidRPr="00904FCB">
        <w:rPr>
          <w:rFonts w:hint="cs"/>
          <w:sz w:val="27"/>
          <w:rtl/>
          <w:lang w:bidi="ar-OM"/>
        </w:rPr>
        <w:t>ُ</w:t>
      </w:r>
      <w:r w:rsidRPr="00904FCB">
        <w:rPr>
          <w:rFonts w:hint="cs"/>
          <w:sz w:val="27"/>
          <w:rtl/>
          <w:lang w:bidi="ar-OM"/>
        </w:rPr>
        <w:t>وكل كل</w:t>
      </w:r>
      <w:r w:rsidR="0011213F" w:rsidRPr="00904FCB">
        <w:rPr>
          <w:rFonts w:hint="cs"/>
          <w:sz w:val="27"/>
          <w:rtl/>
          <w:lang w:bidi="ar-OM"/>
        </w:rPr>
        <w:t>ُّ</w:t>
      </w:r>
      <w:r w:rsidRPr="00904FCB">
        <w:rPr>
          <w:rFonts w:hint="cs"/>
          <w:sz w:val="27"/>
          <w:rtl/>
          <w:lang w:bidi="ar-OM"/>
        </w:rPr>
        <w:t xml:space="preserve"> ذلك إلى الرجل</w:t>
      </w:r>
      <w:r w:rsidR="0011213F" w:rsidRPr="00904FCB">
        <w:rPr>
          <w:rFonts w:hint="cs"/>
          <w:sz w:val="27"/>
          <w:rtl/>
          <w:lang w:bidi="ar-OM"/>
        </w:rPr>
        <w:t>؛</w:t>
      </w:r>
      <w:r w:rsidRPr="00904FCB">
        <w:rPr>
          <w:rFonts w:hint="cs"/>
          <w:sz w:val="27"/>
          <w:rtl/>
          <w:lang w:bidi="ar-OM"/>
        </w:rPr>
        <w:t xml:space="preserve"> باعتباره قادرا</w:t>
      </w:r>
      <w:r w:rsidR="0011213F" w:rsidRPr="00904FCB">
        <w:rPr>
          <w:rFonts w:hint="cs"/>
          <w:sz w:val="27"/>
          <w:rtl/>
          <w:lang w:bidi="ar-OM"/>
        </w:rPr>
        <w:t>ً؛</w:t>
      </w:r>
      <w:r w:rsidRPr="00904FCB">
        <w:rPr>
          <w:rFonts w:hint="cs"/>
          <w:sz w:val="27"/>
          <w:rtl/>
          <w:lang w:bidi="ar-OM"/>
        </w:rPr>
        <w:t xml:space="preserve"> بحكم خلقته وصلابة تكوينه</w:t>
      </w:r>
      <w:r w:rsidR="0011213F" w:rsidRPr="00904FCB">
        <w:rPr>
          <w:rFonts w:hint="cs"/>
          <w:sz w:val="27"/>
          <w:rtl/>
          <w:lang w:bidi="ar-OM"/>
        </w:rPr>
        <w:t>،</w:t>
      </w:r>
      <w:r w:rsidRPr="00904FCB">
        <w:rPr>
          <w:rFonts w:hint="cs"/>
          <w:sz w:val="27"/>
          <w:rtl/>
          <w:lang w:bidi="ar-OM"/>
        </w:rPr>
        <w:t xml:space="preserve"> على القيام بالأعمال الخ</w:t>
      </w:r>
      <w:r w:rsidR="0011213F" w:rsidRPr="00904FCB">
        <w:rPr>
          <w:rFonts w:hint="cs"/>
          <w:sz w:val="27"/>
          <w:rtl/>
          <w:lang w:bidi="ar-OM"/>
        </w:rPr>
        <w:t>َ</w:t>
      </w:r>
      <w:r w:rsidRPr="00904FCB">
        <w:rPr>
          <w:rFonts w:hint="cs"/>
          <w:sz w:val="27"/>
          <w:rtl/>
          <w:lang w:bidi="ar-OM"/>
        </w:rPr>
        <w:t>ش</w:t>
      </w:r>
      <w:r w:rsidR="0011213F" w:rsidRPr="00904FCB">
        <w:rPr>
          <w:rFonts w:hint="cs"/>
          <w:sz w:val="27"/>
          <w:rtl/>
          <w:lang w:bidi="ar-OM"/>
        </w:rPr>
        <w:t>ِ</w:t>
      </w:r>
      <w:r w:rsidRPr="00904FCB">
        <w:rPr>
          <w:rFonts w:hint="cs"/>
          <w:sz w:val="27"/>
          <w:rtl/>
          <w:lang w:bidi="ar-OM"/>
        </w:rPr>
        <w:t>نة والمهم</w:t>
      </w:r>
      <w:r w:rsidR="0011213F" w:rsidRPr="00904FCB">
        <w:rPr>
          <w:rFonts w:hint="cs"/>
          <w:sz w:val="27"/>
          <w:rtl/>
          <w:lang w:bidi="ar-OM"/>
        </w:rPr>
        <w:t>ّ</w:t>
      </w:r>
      <w:r w:rsidRPr="00904FCB">
        <w:rPr>
          <w:rFonts w:hint="cs"/>
          <w:sz w:val="27"/>
          <w:rtl/>
          <w:lang w:bidi="ar-OM"/>
        </w:rPr>
        <w:t>ات الثقيلة. ولذلك أ</w:t>
      </w:r>
      <w:r w:rsidR="0011213F" w:rsidRPr="00904FCB">
        <w:rPr>
          <w:rFonts w:hint="cs"/>
          <w:sz w:val="27"/>
          <w:rtl/>
          <w:lang w:bidi="ar-OM"/>
        </w:rPr>
        <w:t>ُ</w:t>
      </w:r>
      <w:r w:rsidRPr="00904FCB">
        <w:rPr>
          <w:rFonts w:hint="cs"/>
          <w:sz w:val="27"/>
          <w:rtl/>
          <w:lang w:bidi="ar-OM"/>
        </w:rPr>
        <w:t>نيطت إليه الرئاسة العليا للأمة والبلاد</w:t>
      </w:r>
      <w:r w:rsidRPr="00904FCB">
        <w:rPr>
          <w:rFonts w:hint="cs"/>
          <w:sz w:val="27"/>
          <w:vertAlign w:val="superscript"/>
          <w:rtl/>
        </w:rPr>
        <w:t>(</w:t>
      </w:r>
      <w:r w:rsidRPr="00904FCB">
        <w:rPr>
          <w:rStyle w:val="ac"/>
          <w:sz w:val="27"/>
          <w:rtl/>
        </w:rPr>
        <w:endnoteReference w:id="165"/>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rFonts w:ascii="Tahoma" w:hAnsi="Tahoma"/>
          <w:sz w:val="27"/>
          <w:rtl/>
        </w:rPr>
      </w:pPr>
      <w:r w:rsidRPr="00904FCB">
        <w:rPr>
          <w:rFonts w:hint="cs"/>
          <w:sz w:val="27"/>
          <w:rtl/>
          <w:lang w:bidi="ar-OM"/>
        </w:rPr>
        <w:t>والرجل أقدر من المرأة وأكفأ</w:t>
      </w:r>
      <w:r w:rsidR="0011213F" w:rsidRPr="00904FCB">
        <w:rPr>
          <w:rFonts w:hint="cs"/>
          <w:sz w:val="27"/>
          <w:rtl/>
          <w:lang w:bidi="ar-OM"/>
        </w:rPr>
        <w:t>،</w:t>
      </w:r>
      <w:r w:rsidRPr="00904FCB">
        <w:rPr>
          <w:rFonts w:hint="cs"/>
          <w:sz w:val="27"/>
          <w:rtl/>
          <w:lang w:bidi="ar-OM"/>
        </w:rPr>
        <w:t xml:space="preserve"> وهو مقد</w:t>
      </w:r>
      <w:r w:rsidR="0011213F" w:rsidRPr="00904FCB">
        <w:rPr>
          <w:rFonts w:hint="cs"/>
          <w:sz w:val="27"/>
          <w:rtl/>
          <w:lang w:bidi="ar-OM"/>
        </w:rPr>
        <w:t>َّ</w:t>
      </w:r>
      <w:r w:rsidRPr="00904FCB">
        <w:rPr>
          <w:rFonts w:hint="cs"/>
          <w:sz w:val="27"/>
          <w:rtl/>
          <w:lang w:bidi="ar-OM"/>
        </w:rPr>
        <w:t>م</w:t>
      </w:r>
      <w:r w:rsidR="0011213F" w:rsidRPr="00904FCB">
        <w:rPr>
          <w:rFonts w:hint="cs"/>
          <w:sz w:val="27"/>
          <w:rtl/>
          <w:lang w:bidi="ar-OM"/>
        </w:rPr>
        <w:t>ٌ</w:t>
      </w:r>
      <w:r w:rsidRPr="00904FCB">
        <w:rPr>
          <w:rFonts w:hint="cs"/>
          <w:sz w:val="27"/>
          <w:rtl/>
          <w:lang w:bidi="ar-OM"/>
        </w:rPr>
        <w:t xml:space="preserve"> عليها، وإجازة تول</w:t>
      </w:r>
      <w:r w:rsidR="0011213F" w:rsidRPr="00904FCB">
        <w:rPr>
          <w:rFonts w:hint="cs"/>
          <w:sz w:val="27"/>
          <w:rtl/>
          <w:lang w:bidi="ar-OM"/>
        </w:rPr>
        <w:t>ّ</w:t>
      </w:r>
      <w:r w:rsidRPr="00904FCB">
        <w:rPr>
          <w:rFonts w:hint="cs"/>
          <w:sz w:val="27"/>
          <w:rtl/>
          <w:lang w:bidi="ar-OM"/>
        </w:rPr>
        <w:t>ي المرأة الرئاسة العام</w:t>
      </w:r>
      <w:r w:rsidR="0011213F" w:rsidRPr="00904FCB">
        <w:rPr>
          <w:rFonts w:hint="cs"/>
          <w:sz w:val="27"/>
          <w:rtl/>
          <w:lang w:bidi="ar-OM"/>
        </w:rPr>
        <w:t>ّ</w:t>
      </w:r>
      <w:r w:rsidRPr="00904FCB">
        <w:rPr>
          <w:rFonts w:hint="cs"/>
          <w:sz w:val="27"/>
          <w:rtl/>
          <w:lang w:bidi="ar-OM"/>
        </w:rPr>
        <w:t>ة للدولة تقديم</w:t>
      </w:r>
      <w:r w:rsidR="0011213F" w:rsidRPr="00904FCB">
        <w:rPr>
          <w:rFonts w:hint="cs"/>
          <w:sz w:val="27"/>
          <w:rtl/>
          <w:lang w:bidi="ar-OM"/>
        </w:rPr>
        <w:t>ٌ</w:t>
      </w:r>
      <w:r w:rsidRPr="00904FCB">
        <w:rPr>
          <w:rFonts w:hint="cs"/>
          <w:sz w:val="27"/>
          <w:rtl/>
          <w:lang w:bidi="ar-OM"/>
        </w:rPr>
        <w:t xml:space="preserve"> للمرأة على الرجل</w:t>
      </w:r>
      <w:r w:rsidR="0011213F" w:rsidRPr="00904FCB">
        <w:rPr>
          <w:rFonts w:hint="cs"/>
          <w:sz w:val="27"/>
          <w:rtl/>
          <w:lang w:bidi="ar-OM"/>
        </w:rPr>
        <w:t>،</w:t>
      </w:r>
      <w:r w:rsidRPr="00904FCB">
        <w:rPr>
          <w:rFonts w:hint="cs"/>
          <w:sz w:val="27"/>
          <w:rtl/>
          <w:lang w:bidi="ar-OM"/>
        </w:rPr>
        <w:t xml:space="preserve"> وقد أخ</w:t>
      </w:r>
      <w:r w:rsidR="002244FE">
        <w:rPr>
          <w:rFonts w:hint="cs"/>
          <w:sz w:val="27"/>
          <w:rtl/>
          <w:lang w:bidi="ar-OM"/>
        </w:rPr>
        <w:t>َّ</w:t>
      </w:r>
      <w:r w:rsidRPr="00904FCB">
        <w:rPr>
          <w:rFonts w:hint="cs"/>
          <w:sz w:val="27"/>
          <w:rtl/>
          <w:lang w:bidi="ar-OM"/>
        </w:rPr>
        <w:t>رها الله تعالى</w:t>
      </w:r>
      <w:r w:rsidRPr="00904FCB">
        <w:rPr>
          <w:rFonts w:hint="cs"/>
          <w:sz w:val="27"/>
          <w:vertAlign w:val="superscript"/>
          <w:rtl/>
        </w:rPr>
        <w:t>(</w:t>
      </w:r>
      <w:r w:rsidRPr="00904FCB">
        <w:rPr>
          <w:rStyle w:val="ac"/>
          <w:sz w:val="27"/>
          <w:rtl/>
        </w:rPr>
        <w:endnoteReference w:id="166"/>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 xml:space="preserve">ويبدو </w:t>
      </w:r>
      <w:r w:rsidR="0011213F" w:rsidRPr="00904FCB">
        <w:rPr>
          <w:rFonts w:hint="cs"/>
          <w:sz w:val="27"/>
          <w:rtl/>
          <w:lang w:bidi="ar-OM"/>
        </w:rPr>
        <w:t>أ</w:t>
      </w:r>
      <w:r w:rsidRPr="00904FCB">
        <w:rPr>
          <w:rFonts w:hint="cs"/>
          <w:sz w:val="27"/>
          <w:rtl/>
          <w:lang w:bidi="ar-OM"/>
        </w:rPr>
        <w:t>ن بعض الآراء السابقة تنطلق من النموذج التاريخي لنظام الخلافة الذي تشك</w:t>
      </w:r>
      <w:r w:rsidR="0011213F" w:rsidRPr="00904FCB">
        <w:rPr>
          <w:rFonts w:hint="cs"/>
          <w:sz w:val="27"/>
          <w:rtl/>
          <w:lang w:bidi="ar-OM"/>
        </w:rPr>
        <w:t>َّ</w:t>
      </w:r>
      <w:r w:rsidRPr="00904FCB">
        <w:rPr>
          <w:rFonts w:hint="cs"/>
          <w:sz w:val="27"/>
          <w:rtl/>
          <w:lang w:bidi="ar-OM"/>
        </w:rPr>
        <w:t>ل بعد وفاة الرسول</w:t>
      </w:r>
      <w:r w:rsidR="00635E51" w:rsidRPr="00904FCB">
        <w:rPr>
          <w:rFonts w:cs="Mosawi" w:hint="cs"/>
          <w:sz w:val="27"/>
          <w:szCs w:val="22"/>
          <w:rtl/>
          <w:lang w:bidi="ar-OM"/>
        </w:rPr>
        <w:t>|</w:t>
      </w:r>
      <w:r w:rsidR="0011213F" w:rsidRPr="00904FCB">
        <w:rPr>
          <w:rFonts w:hint="cs"/>
          <w:sz w:val="27"/>
          <w:rtl/>
          <w:lang w:bidi="ar-OM"/>
        </w:rPr>
        <w:t>،</w:t>
      </w:r>
      <w:r w:rsidRPr="00904FCB">
        <w:rPr>
          <w:rFonts w:hint="cs"/>
          <w:sz w:val="27"/>
          <w:rtl/>
          <w:lang w:bidi="ar-OM"/>
        </w:rPr>
        <w:t xml:space="preserve"> واستمر </w:t>
      </w:r>
      <w:r w:rsidRPr="00904FCB">
        <w:rPr>
          <w:sz w:val="27"/>
          <w:rtl/>
          <w:lang w:bidi="ar-OM"/>
        </w:rPr>
        <w:t>ـ</w:t>
      </w:r>
      <w:r w:rsidRPr="00904FCB">
        <w:rPr>
          <w:rFonts w:hint="cs"/>
          <w:sz w:val="27"/>
          <w:rtl/>
          <w:lang w:bidi="ar-OM"/>
        </w:rPr>
        <w:t xml:space="preserve"> على تفاوت</w:t>
      </w:r>
      <w:r w:rsidR="0011213F" w:rsidRPr="00904FCB">
        <w:rPr>
          <w:rFonts w:hint="cs"/>
          <w:sz w:val="27"/>
          <w:rtl/>
          <w:lang w:bidi="ar-OM"/>
        </w:rPr>
        <w:t>ٍ</w:t>
      </w:r>
      <w:r w:rsidRPr="00904FCB">
        <w:rPr>
          <w:rFonts w:hint="cs"/>
          <w:sz w:val="27"/>
          <w:rtl/>
          <w:lang w:bidi="ar-OM"/>
        </w:rPr>
        <w:t xml:space="preserve"> ـ في الدولة الأموية والعباسية والسلطنة العثمانية</w:t>
      </w:r>
      <w:r w:rsidR="0011213F" w:rsidRPr="00904FCB">
        <w:rPr>
          <w:rFonts w:hint="cs"/>
          <w:sz w:val="27"/>
          <w:rtl/>
          <w:lang w:bidi="ar-OM"/>
        </w:rPr>
        <w:t>،</w:t>
      </w:r>
      <w:r w:rsidRPr="00904FCB">
        <w:rPr>
          <w:rFonts w:hint="cs"/>
          <w:sz w:val="27"/>
          <w:rtl/>
          <w:lang w:bidi="ar-OM"/>
        </w:rPr>
        <w:t xml:space="preserve"> كما يرى هذا الفريق. وقد طرأت عليه خلال التطبيقات التاريخية المختلفة تغي</w:t>
      </w:r>
      <w:r w:rsidR="0011213F" w:rsidRPr="00904FCB">
        <w:rPr>
          <w:rFonts w:hint="cs"/>
          <w:sz w:val="27"/>
          <w:rtl/>
          <w:lang w:bidi="ar-OM"/>
        </w:rPr>
        <w:t>ُّ</w:t>
      </w:r>
      <w:r w:rsidRPr="00904FCB">
        <w:rPr>
          <w:rFonts w:hint="cs"/>
          <w:sz w:val="27"/>
          <w:rtl/>
          <w:lang w:bidi="ar-OM"/>
        </w:rPr>
        <w:t>رات كثيرة، من قبيل</w:t>
      </w:r>
      <w:r w:rsidR="0011213F" w:rsidRPr="00904FCB">
        <w:rPr>
          <w:rFonts w:hint="cs"/>
          <w:sz w:val="27"/>
          <w:rtl/>
          <w:lang w:bidi="ar-OM"/>
        </w:rPr>
        <w:t>:</w:t>
      </w:r>
      <w:r w:rsidRPr="00904FCB">
        <w:rPr>
          <w:rFonts w:hint="cs"/>
          <w:sz w:val="27"/>
          <w:rtl/>
          <w:lang w:bidi="ar-OM"/>
        </w:rPr>
        <w:t xml:space="preserve"> تحو</w:t>
      </w:r>
      <w:r w:rsidR="0011213F" w:rsidRPr="00904FCB">
        <w:rPr>
          <w:rFonts w:hint="cs"/>
          <w:sz w:val="27"/>
          <w:rtl/>
          <w:lang w:bidi="ar-OM"/>
        </w:rPr>
        <w:t>ُّ</w:t>
      </w:r>
      <w:r w:rsidRPr="00904FCB">
        <w:rPr>
          <w:rFonts w:hint="cs"/>
          <w:sz w:val="27"/>
          <w:rtl/>
          <w:lang w:bidi="ar-OM"/>
        </w:rPr>
        <w:t xml:space="preserve">له </w:t>
      </w:r>
      <w:r w:rsidRPr="00904FCB">
        <w:rPr>
          <w:sz w:val="27"/>
          <w:rtl/>
          <w:lang w:bidi="ar-OM"/>
        </w:rPr>
        <w:t>ـ</w:t>
      </w:r>
      <w:r w:rsidRPr="00904FCB">
        <w:rPr>
          <w:rFonts w:hint="cs"/>
          <w:sz w:val="27"/>
          <w:rtl/>
          <w:lang w:bidi="ar-OM"/>
        </w:rPr>
        <w:t xml:space="preserve"> في مرحلة</w:t>
      </w:r>
      <w:r w:rsidR="0011213F" w:rsidRPr="00904FCB">
        <w:rPr>
          <w:rFonts w:hint="cs"/>
          <w:sz w:val="27"/>
          <w:rtl/>
          <w:lang w:bidi="ar-OM"/>
        </w:rPr>
        <w:t>ٍ</w:t>
      </w:r>
      <w:r w:rsidRPr="00904FCB">
        <w:rPr>
          <w:rFonts w:hint="cs"/>
          <w:sz w:val="27"/>
          <w:rtl/>
          <w:lang w:bidi="ar-OM"/>
        </w:rPr>
        <w:t xml:space="preserve"> مبك</w:t>
      </w:r>
      <w:r w:rsidR="0011213F" w:rsidRPr="00904FCB">
        <w:rPr>
          <w:rFonts w:hint="cs"/>
          <w:sz w:val="27"/>
          <w:rtl/>
          <w:lang w:bidi="ar-OM"/>
        </w:rPr>
        <w:t>ِّ</w:t>
      </w:r>
      <w:r w:rsidRPr="00904FCB">
        <w:rPr>
          <w:rFonts w:hint="cs"/>
          <w:sz w:val="27"/>
          <w:rtl/>
          <w:lang w:bidi="ar-OM"/>
        </w:rPr>
        <w:t xml:space="preserve">رة ـ </w:t>
      </w:r>
      <w:r w:rsidR="0011213F" w:rsidRPr="00904FCB">
        <w:rPr>
          <w:rFonts w:hint="cs"/>
          <w:sz w:val="27"/>
          <w:rtl/>
          <w:lang w:bidi="ar-OM"/>
        </w:rPr>
        <w:t>إ</w:t>
      </w:r>
      <w:r w:rsidRPr="00904FCB">
        <w:rPr>
          <w:rFonts w:hint="cs"/>
          <w:sz w:val="27"/>
          <w:rtl/>
          <w:lang w:bidi="ar-OM"/>
        </w:rPr>
        <w:t>لى نظام استبدادي وراثي عائلي</w:t>
      </w:r>
      <w:r w:rsidR="0011213F" w:rsidRPr="00904FCB">
        <w:rPr>
          <w:rFonts w:hint="cs"/>
          <w:sz w:val="27"/>
          <w:rtl/>
          <w:lang w:bidi="ar-OM"/>
        </w:rPr>
        <w:t>،</w:t>
      </w:r>
      <w:r w:rsidRPr="00904FCB">
        <w:rPr>
          <w:rFonts w:hint="cs"/>
          <w:sz w:val="27"/>
          <w:rtl/>
          <w:lang w:bidi="ar-OM"/>
        </w:rPr>
        <w:t xml:space="preserve"> والذي عب</w:t>
      </w:r>
      <w:r w:rsidR="0011213F" w:rsidRPr="00904FCB">
        <w:rPr>
          <w:rFonts w:hint="cs"/>
          <w:sz w:val="27"/>
          <w:rtl/>
          <w:lang w:bidi="ar-OM"/>
        </w:rPr>
        <w:t>َّ</w:t>
      </w:r>
      <w:r w:rsidRPr="00904FCB">
        <w:rPr>
          <w:rFonts w:hint="cs"/>
          <w:sz w:val="27"/>
          <w:rtl/>
          <w:lang w:bidi="ar-OM"/>
        </w:rPr>
        <w:t>ر</w:t>
      </w:r>
      <w:r w:rsidR="0011213F" w:rsidRPr="00904FCB">
        <w:rPr>
          <w:rFonts w:hint="cs"/>
          <w:sz w:val="27"/>
          <w:rtl/>
          <w:lang w:bidi="ar-OM"/>
        </w:rPr>
        <w:t>َ</w:t>
      </w:r>
      <w:r w:rsidRPr="00904FCB">
        <w:rPr>
          <w:rFonts w:hint="cs"/>
          <w:sz w:val="27"/>
          <w:rtl/>
          <w:lang w:bidi="ar-OM"/>
        </w:rPr>
        <w:t>ت</w:t>
      </w:r>
      <w:r w:rsidR="0011213F" w:rsidRPr="00904FCB">
        <w:rPr>
          <w:rFonts w:hint="cs"/>
          <w:sz w:val="27"/>
          <w:rtl/>
          <w:lang w:bidi="ar-OM"/>
        </w:rPr>
        <w:t>ْ</w:t>
      </w:r>
      <w:r w:rsidRPr="00904FCB">
        <w:rPr>
          <w:rFonts w:hint="cs"/>
          <w:sz w:val="27"/>
          <w:rtl/>
          <w:lang w:bidi="ar-OM"/>
        </w:rPr>
        <w:t xml:space="preserve"> عنه بعض النصوص الدينية بالم</w:t>
      </w:r>
      <w:r w:rsidR="0011213F" w:rsidRPr="00904FCB">
        <w:rPr>
          <w:rFonts w:hint="cs"/>
          <w:sz w:val="27"/>
          <w:rtl/>
          <w:lang w:bidi="ar-OM"/>
        </w:rPr>
        <w:t>ُ</w:t>
      </w:r>
      <w:r w:rsidRPr="00904FCB">
        <w:rPr>
          <w:rFonts w:hint="cs"/>
          <w:sz w:val="27"/>
          <w:rtl/>
          <w:lang w:bidi="ar-OM"/>
        </w:rPr>
        <w:t>ل</w:t>
      </w:r>
      <w:r w:rsidR="0011213F" w:rsidRPr="00904FCB">
        <w:rPr>
          <w:rFonts w:hint="cs"/>
          <w:sz w:val="27"/>
          <w:rtl/>
          <w:lang w:bidi="ar-OM"/>
        </w:rPr>
        <w:t>ْ</w:t>
      </w:r>
      <w:r w:rsidRPr="00904FCB">
        <w:rPr>
          <w:rFonts w:hint="cs"/>
          <w:sz w:val="27"/>
          <w:rtl/>
          <w:lang w:bidi="ar-OM"/>
        </w:rPr>
        <w:t>ك الع</w:t>
      </w:r>
      <w:r w:rsidR="0011213F" w:rsidRPr="00904FCB">
        <w:rPr>
          <w:rFonts w:hint="cs"/>
          <w:sz w:val="27"/>
          <w:rtl/>
          <w:lang w:bidi="ar-OM"/>
        </w:rPr>
        <w:t>َ</w:t>
      </w:r>
      <w:r w:rsidRPr="00904FCB">
        <w:rPr>
          <w:rFonts w:hint="cs"/>
          <w:sz w:val="27"/>
          <w:rtl/>
          <w:lang w:bidi="ar-OM"/>
        </w:rPr>
        <w:t>ضوض، وشب</w:t>
      </w:r>
      <w:r w:rsidR="0011213F" w:rsidRPr="00904FCB">
        <w:rPr>
          <w:rFonts w:hint="cs"/>
          <w:sz w:val="27"/>
          <w:rtl/>
          <w:lang w:bidi="ar-OM"/>
        </w:rPr>
        <w:t>َّ</w:t>
      </w:r>
      <w:r w:rsidRPr="00904FCB">
        <w:rPr>
          <w:rFonts w:hint="cs"/>
          <w:sz w:val="27"/>
          <w:rtl/>
          <w:lang w:bidi="ar-OM"/>
        </w:rPr>
        <w:t>هه بعض الصحابة</w:t>
      </w:r>
      <w:r w:rsidR="0011213F" w:rsidRPr="00904FCB">
        <w:rPr>
          <w:rFonts w:hint="cs"/>
          <w:sz w:val="27"/>
          <w:rtl/>
          <w:lang w:bidi="ar-OM"/>
        </w:rPr>
        <w:t xml:space="preserve">، </w:t>
      </w:r>
      <w:r w:rsidRPr="00904FCB">
        <w:rPr>
          <w:rFonts w:hint="cs"/>
          <w:sz w:val="27"/>
          <w:rtl/>
          <w:lang w:bidi="ar-OM"/>
        </w:rPr>
        <w:t>مثل</w:t>
      </w:r>
      <w:r w:rsidR="0011213F" w:rsidRPr="00904FCB">
        <w:rPr>
          <w:rFonts w:hint="cs"/>
          <w:sz w:val="27"/>
          <w:rtl/>
          <w:lang w:bidi="ar-OM"/>
        </w:rPr>
        <w:t>:</w:t>
      </w:r>
      <w:r w:rsidRPr="00904FCB">
        <w:rPr>
          <w:rFonts w:hint="cs"/>
          <w:sz w:val="27"/>
          <w:rtl/>
          <w:lang w:bidi="ar-OM"/>
        </w:rPr>
        <w:t xml:space="preserve"> عبد الرحمن بن أبي بكر</w:t>
      </w:r>
      <w:r w:rsidR="0011213F" w:rsidRPr="00904FCB">
        <w:rPr>
          <w:rFonts w:hint="cs"/>
          <w:sz w:val="27"/>
          <w:rtl/>
          <w:lang w:bidi="ar-OM"/>
        </w:rPr>
        <w:t>،</w:t>
      </w:r>
      <w:r w:rsidRPr="00904FCB">
        <w:rPr>
          <w:rFonts w:hint="cs"/>
          <w:sz w:val="27"/>
          <w:rtl/>
          <w:lang w:bidi="ar-OM"/>
        </w:rPr>
        <w:t xml:space="preserve"> بسن</w:t>
      </w:r>
      <w:r w:rsidR="0011213F" w:rsidRPr="00904FCB">
        <w:rPr>
          <w:rFonts w:hint="cs"/>
          <w:sz w:val="27"/>
          <w:rtl/>
          <w:lang w:bidi="ar-OM"/>
        </w:rPr>
        <w:t>ّ</w:t>
      </w:r>
      <w:r w:rsidRPr="00904FCB">
        <w:rPr>
          <w:rFonts w:hint="cs"/>
          <w:sz w:val="27"/>
          <w:rtl/>
          <w:lang w:bidi="ar-OM"/>
        </w:rPr>
        <w:t>ة ك</w:t>
      </w:r>
      <w:r w:rsidR="0011213F" w:rsidRPr="00904FCB">
        <w:rPr>
          <w:rFonts w:hint="cs"/>
          <w:sz w:val="27"/>
          <w:rtl/>
          <w:lang w:bidi="ar-OM"/>
        </w:rPr>
        <w:t>ِ</w:t>
      </w:r>
      <w:r w:rsidRPr="00904FCB">
        <w:rPr>
          <w:rFonts w:hint="cs"/>
          <w:sz w:val="27"/>
          <w:rtl/>
          <w:lang w:bidi="ar-OM"/>
        </w:rPr>
        <w:t>س</w:t>
      </w:r>
      <w:r w:rsidR="0011213F" w:rsidRPr="00904FCB">
        <w:rPr>
          <w:rFonts w:hint="cs"/>
          <w:sz w:val="27"/>
          <w:rtl/>
          <w:lang w:bidi="ar-OM"/>
        </w:rPr>
        <w:t>ْ</w:t>
      </w:r>
      <w:r w:rsidRPr="00904FCB">
        <w:rPr>
          <w:rFonts w:hint="cs"/>
          <w:sz w:val="27"/>
          <w:rtl/>
          <w:lang w:bidi="ar-OM"/>
        </w:rPr>
        <w:t>رى وقيصر</w:t>
      </w:r>
      <w:r w:rsidRPr="00904FCB">
        <w:rPr>
          <w:rFonts w:hint="cs"/>
          <w:sz w:val="27"/>
          <w:vertAlign w:val="superscript"/>
          <w:rtl/>
        </w:rPr>
        <w:t>(</w:t>
      </w:r>
      <w:r w:rsidRPr="00904FCB">
        <w:rPr>
          <w:rStyle w:val="ac"/>
          <w:sz w:val="27"/>
          <w:rtl/>
        </w:rPr>
        <w:endnoteReference w:id="167"/>
      </w:r>
      <w:r w:rsidRPr="00904FCB">
        <w:rPr>
          <w:rFonts w:hint="cs"/>
          <w:sz w:val="27"/>
          <w:vertAlign w:val="superscript"/>
          <w:rtl/>
        </w:rPr>
        <w:t>)</w:t>
      </w:r>
      <w:r w:rsidRPr="00904FCB">
        <w:rPr>
          <w:rFonts w:hint="cs"/>
          <w:sz w:val="27"/>
          <w:rtl/>
          <w:lang w:bidi="ar-OM"/>
        </w:rPr>
        <w:t>. ومع ذلك فقد احتفظ هذا النظام ببعض الملامح، من قبيل</w:t>
      </w:r>
      <w:r w:rsidR="0011213F" w:rsidRPr="00904FCB">
        <w:rPr>
          <w:rFonts w:hint="cs"/>
          <w:sz w:val="27"/>
          <w:rtl/>
          <w:lang w:bidi="ar-OM"/>
        </w:rPr>
        <w:t>:</w:t>
      </w:r>
      <w:r w:rsidRPr="00904FCB">
        <w:rPr>
          <w:rFonts w:hint="cs"/>
          <w:sz w:val="27"/>
          <w:rtl/>
          <w:lang w:bidi="ar-OM"/>
        </w:rPr>
        <w:t xml:space="preserve"> خضوع معظم الأقطار المسلمة لسلطته</w:t>
      </w:r>
      <w:r w:rsidR="0011213F" w:rsidRPr="00904FCB">
        <w:rPr>
          <w:rFonts w:hint="cs"/>
          <w:sz w:val="27"/>
          <w:rtl/>
          <w:lang w:bidi="ar-OM"/>
        </w:rPr>
        <w:t>،</w:t>
      </w:r>
      <w:r w:rsidRPr="00904FCB">
        <w:rPr>
          <w:rFonts w:hint="cs"/>
          <w:sz w:val="27"/>
          <w:rtl/>
          <w:lang w:bidi="ar-OM"/>
        </w:rPr>
        <w:t xml:space="preserve"> وترك</w:t>
      </w:r>
      <w:r w:rsidR="0011213F" w:rsidRPr="00904FCB">
        <w:rPr>
          <w:rFonts w:hint="cs"/>
          <w:sz w:val="27"/>
          <w:rtl/>
          <w:lang w:bidi="ar-OM"/>
        </w:rPr>
        <w:t>ُّ</w:t>
      </w:r>
      <w:r w:rsidRPr="00904FCB">
        <w:rPr>
          <w:rFonts w:hint="cs"/>
          <w:sz w:val="27"/>
          <w:rtl/>
          <w:lang w:bidi="ar-OM"/>
        </w:rPr>
        <w:t xml:space="preserve">ز السلطات في شخص الحاكم الأعلى، ولو على المستوى النظري والصوري في بعض الأحيان. </w:t>
      </w:r>
    </w:p>
    <w:p w:rsidR="00644408" w:rsidRPr="00904FCB" w:rsidRDefault="00644408" w:rsidP="007A21AA">
      <w:pPr>
        <w:spacing w:line="400" w:lineRule="exact"/>
        <w:rPr>
          <w:sz w:val="27"/>
          <w:rtl/>
          <w:lang w:bidi="ar-OM"/>
        </w:rPr>
      </w:pPr>
      <w:r w:rsidRPr="00904FCB">
        <w:rPr>
          <w:rFonts w:hint="cs"/>
          <w:sz w:val="27"/>
          <w:rtl/>
          <w:lang w:bidi="ar-OM"/>
        </w:rPr>
        <w:t>وبالفعل تأث</w:t>
      </w:r>
      <w:r w:rsidR="0011213F" w:rsidRPr="00904FCB">
        <w:rPr>
          <w:rFonts w:hint="cs"/>
          <w:sz w:val="27"/>
          <w:rtl/>
          <w:lang w:bidi="ar-OM"/>
        </w:rPr>
        <w:t>َّ</w:t>
      </w:r>
      <w:r w:rsidRPr="00904FCB">
        <w:rPr>
          <w:rFonts w:hint="cs"/>
          <w:sz w:val="27"/>
          <w:rtl/>
          <w:lang w:bidi="ar-OM"/>
        </w:rPr>
        <w:t>ر بعض الباحثين بنظام الخلافة التاريخي</w:t>
      </w:r>
      <w:r w:rsidR="0011213F" w:rsidRPr="00904FCB">
        <w:rPr>
          <w:rFonts w:hint="cs"/>
          <w:sz w:val="27"/>
          <w:rtl/>
          <w:lang w:bidi="ar-OM"/>
        </w:rPr>
        <w:t>،</w:t>
      </w:r>
      <w:r w:rsidRPr="00904FCB">
        <w:rPr>
          <w:rFonts w:hint="cs"/>
          <w:sz w:val="27"/>
          <w:rtl/>
          <w:lang w:bidi="ar-OM"/>
        </w:rPr>
        <w:t xml:space="preserve"> ولهذا صاغوا رؤاهم عن النظام السياسي ال</w:t>
      </w:r>
      <w:r w:rsidR="0011213F" w:rsidRPr="00904FCB">
        <w:rPr>
          <w:rFonts w:hint="cs"/>
          <w:sz w:val="27"/>
          <w:rtl/>
          <w:lang w:bidi="ar-OM"/>
        </w:rPr>
        <w:t>إ</w:t>
      </w:r>
      <w:r w:rsidRPr="00904FCB">
        <w:rPr>
          <w:rFonts w:hint="cs"/>
          <w:sz w:val="27"/>
          <w:rtl/>
          <w:lang w:bidi="ar-OM"/>
        </w:rPr>
        <w:t>سلامي على غراره. واسترشدوا بتنظيرات وأدبي</w:t>
      </w:r>
      <w:r w:rsidR="0011213F" w:rsidRPr="00904FCB">
        <w:rPr>
          <w:rFonts w:hint="cs"/>
          <w:sz w:val="27"/>
          <w:rtl/>
          <w:lang w:bidi="ar-OM"/>
        </w:rPr>
        <w:t>ّ</w:t>
      </w:r>
      <w:r w:rsidRPr="00904FCB">
        <w:rPr>
          <w:rFonts w:hint="cs"/>
          <w:sz w:val="27"/>
          <w:rtl/>
          <w:lang w:bidi="ar-OM"/>
        </w:rPr>
        <w:t>ات المتكل</w:t>
      </w:r>
      <w:r w:rsidR="0011213F" w:rsidRPr="00904FCB">
        <w:rPr>
          <w:rFonts w:hint="cs"/>
          <w:sz w:val="27"/>
          <w:rtl/>
          <w:lang w:bidi="ar-OM"/>
        </w:rPr>
        <w:t>ِّ</w:t>
      </w:r>
      <w:r w:rsidRPr="00904FCB">
        <w:rPr>
          <w:rFonts w:hint="cs"/>
          <w:sz w:val="27"/>
          <w:rtl/>
          <w:lang w:bidi="ar-OM"/>
        </w:rPr>
        <w:t>مين وفقهاء ال</w:t>
      </w:r>
      <w:r w:rsidR="0011213F" w:rsidRPr="00904FCB">
        <w:rPr>
          <w:rFonts w:hint="cs"/>
          <w:sz w:val="27"/>
          <w:rtl/>
          <w:lang w:bidi="ar-OM"/>
        </w:rPr>
        <w:t>أ</w:t>
      </w:r>
      <w:r w:rsidRPr="00904FCB">
        <w:rPr>
          <w:rFonts w:hint="cs"/>
          <w:sz w:val="27"/>
          <w:rtl/>
          <w:lang w:bidi="ar-OM"/>
        </w:rPr>
        <w:t>حكام السلطانية والسياسة الشرعية ـ والتي تكي</w:t>
      </w:r>
      <w:r w:rsidR="0011213F" w:rsidRPr="00904FCB">
        <w:rPr>
          <w:rFonts w:hint="cs"/>
          <w:sz w:val="27"/>
          <w:rtl/>
          <w:lang w:bidi="ar-OM"/>
        </w:rPr>
        <w:t>َّ</w:t>
      </w:r>
      <w:r w:rsidRPr="00904FCB">
        <w:rPr>
          <w:rFonts w:hint="cs"/>
          <w:sz w:val="27"/>
          <w:rtl/>
          <w:lang w:bidi="ar-OM"/>
        </w:rPr>
        <w:t>فت مع التاريخ السياسي ـ</w:t>
      </w:r>
      <w:r w:rsidR="0011213F" w:rsidRPr="00904FCB">
        <w:rPr>
          <w:rFonts w:hint="cs"/>
          <w:sz w:val="27"/>
          <w:rtl/>
          <w:lang w:bidi="ar-OM"/>
        </w:rPr>
        <w:t>،</w:t>
      </w:r>
      <w:r w:rsidRPr="00904FCB">
        <w:rPr>
          <w:rFonts w:hint="cs"/>
          <w:sz w:val="27"/>
          <w:rtl/>
          <w:lang w:bidi="ar-OM"/>
        </w:rPr>
        <w:t xml:space="preserve"> واستعاروا نفس المسم</w:t>
      </w:r>
      <w:r w:rsidR="0011213F" w:rsidRPr="00904FCB">
        <w:rPr>
          <w:rFonts w:hint="cs"/>
          <w:sz w:val="27"/>
          <w:rtl/>
          <w:lang w:bidi="ar-OM"/>
        </w:rPr>
        <w:t>َّ</w:t>
      </w:r>
      <w:r w:rsidRPr="00904FCB">
        <w:rPr>
          <w:rFonts w:hint="cs"/>
          <w:sz w:val="27"/>
          <w:rtl/>
          <w:lang w:bidi="ar-OM"/>
        </w:rPr>
        <w:t>يات والألقاب</w:t>
      </w:r>
      <w:r w:rsidR="0011213F" w:rsidRPr="00904FCB">
        <w:rPr>
          <w:rFonts w:hint="cs"/>
          <w:sz w:val="27"/>
          <w:rtl/>
          <w:lang w:bidi="ar-OM"/>
        </w:rPr>
        <w:t>،</w:t>
      </w:r>
      <w:r w:rsidRPr="00904FCB">
        <w:rPr>
          <w:rFonts w:hint="cs"/>
          <w:sz w:val="27"/>
          <w:rtl/>
          <w:lang w:bidi="ar-OM"/>
        </w:rPr>
        <w:t xml:space="preserve"> وأسقطوا نفس الأوضاع والشروط والمفاهيم</w:t>
      </w:r>
      <w:r w:rsidR="0011213F" w:rsidRPr="00904FCB">
        <w:rPr>
          <w:rFonts w:hint="cs"/>
          <w:sz w:val="27"/>
          <w:rtl/>
          <w:lang w:bidi="ar-OM"/>
        </w:rPr>
        <w:t>،</w:t>
      </w:r>
      <w:r w:rsidRPr="00904FCB">
        <w:rPr>
          <w:rFonts w:hint="cs"/>
          <w:sz w:val="27"/>
          <w:rtl/>
          <w:lang w:bidi="ar-OM"/>
        </w:rPr>
        <w:t xml:space="preserve"> من قبيل</w:t>
      </w:r>
      <w:r w:rsidR="0011213F" w:rsidRPr="00904FCB">
        <w:rPr>
          <w:rFonts w:hint="cs"/>
          <w:sz w:val="27"/>
          <w:rtl/>
          <w:lang w:bidi="ar-OM"/>
        </w:rPr>
        <w:t>:</w:t>
      </w:r>
      <w:r w:rsidRPr="00904FCB">
        <w:rPr>
          <w:rFonts w:hint="cs"/>
          <w:sz w:val="27"/>
          <w:rtl/>
          <w:lang w:bidi="ar-OM"/>
        </w:rPr>
        <w:t xml:space="preserve"> الخليفة والإمام والأمير والن</w:t>
      </w:r>
      <w:r w:rsidR="0011213F" w:rsidRPr="00904FCB">
        <w:rPr>
          <w:rFonts w:hint="cs"/>
          <w:sz w:val="27"/>
          <w:rtl/>
          <w:lang w:bidi="ar-OM"/>
        </w:rPr>
        <w:t>َّ</w:t>
      </w:r>
      <w:r w:rsidRPr="00904FCB">
        <w:rPr>
          <w:rFonts w:hint="cs"/>
          <w:sz w:val="27"/>
          <w:rtl/>
          <w:lang w:bidi="ar-OM"/>
        </w:rPr>
        <w:t>س</w:t>
      </w:r>
      <w:r w:rsidR="0011213F" w:rsidRPr="00904FCB">
        <w:rPr>
          <w:rFonts w:hint="cs"/>
          <w:sz w:val="27"/>
          <w:rtl/>
          <w:lang w:bidi="ar-OM"/>
        </w:rPr>
        <w:t>َ</w:t>
      </w:r>
      <w:r w:rsidRPr="00904FCB">
        <w:rPr>
          <w:rFonts w:hint="cs"/>
          <w:sz w:val="27"/>
          <w:rtl/>
          <w:lang w:bidi="ar-OM"/>
        </w:rPr>
        <w:t>ب القرشي وحالة تعد</w:t>
      </w:r>
      <w:r w:rsidR="0011213F" w:rsidRPr="00904FCB">
        <w:rPr>
          <w:rFonts w:hint="cs"/>
          <w:sz w:val="27"/>
          <w:rtl/>
          <w:lang w:bidi="ar-OM"/>
        </w:rPr>
        <w:t>ُّ</w:t>
      </w:r>
      <w:r w:rsidRPr="00904FCB">
        <w:rPr>
          <w:rFonts w:hint="cs"/>
          <w:sz w:val="27"/>
          <w:rtl/>
          <w:lang w:bidi="ar-OM"/>
        </w:rPr>
        <w:t>د الأئمة وولاية العهد وتعد</w:t>
      </w:r>
      <w:r w:rsidR="0011213F" w:rsidRPr="00904FCB">
        <w:rPr>
          <w:rFonts w:hint="cs"/>
          <w:sz w:val="27"/>
          <w:rtl/>
          <w:lang w:bidi="ar-OM"/>
        </w:rPr>
        <w:t>ُّ</w:t>
      </w:r>
      <w:r w:rsidRPr="00904FCB">
        <w:rPr>
          <w:rFonts w:hint="cs"/>
          <w:sz w:val="27"/>
          <w:rtl/>
          <w:lang w:bidi="ar-OM"/>
        </w:rPr>
        <w:t>د ولاة العهد وولاية المتغل</w:t>
      </w:r>
      <w:r w:rsidR="0011213F" w:rsidRPr="00904FCB">
        <w:rPr>
          <w:rFonts w:hint="cs"/>
          <w:sz w:val="27"/>
          <w:rtl/>
          <w:lang w:bidi="ar-OM"/>
        </w:rPr>
        <w:t>ِّ</w:t>
      </w:r>
      <w:r w:rsidRPr="00904FCB">
        <w:rPr>
          <w:rFonts w:hint="cs"/>
          <w:sz w:val="27"/>
          <w:rtl/>
          <w:lang w:bidi="ar-OM"/>
        </w:rPr>
        <w:t>ب</w:t>
      </w:r>
      <w:r w:rsidR="0011213F" w:rsidRPr="00904FCB">
        <w:rPr>
          <w:rFonts w:hint="cs"/>
          <w:sz w:val="27"/>
          <w:rtl/>
          <w:lang w:bidi="ar-OM"/>
        </w:rPr>
        <w:t>،</w:t>
      </w:r>
      <w:r w:rsidRPr="00904FCB">
        <w:rPr>
          <w:rFonts w:hint="cs"/>
          <w:sz w:val="27"/>
          <w:rtl/>
          <w:lang w:bidi="ar-OM"/>
        </w:rPr>
        <w:t xml:space="preserve"> وما إلى ذلك من قضايا مرتبطة بتطو</w:t>
      </w:r>
      <w:r w:rsidR="0011213F" w:rsidRPr="00904FCB">
        <w:rPr>
          <w:rFonts w:hint="cs"/>
          <w:sz w:val="27"/>
          <w:rtl/>
          <w:lang w:bidi="ar-OM"/>
        </w:rPr>
        <w:t>ُّ</w:t>
      </w:r>
      <w:r w:rsidRPr="00904FCB">
        <w:rPr>
          <w:rFonts w:hint="cs"/>
          <w:sz w:val="27"/>
          <w:rtl/>
          <w:lang w:bidi="ar-OM"/>
        </w:rPr>
        <w:t>رات نظام الخلافة في التاريخ، وصاروا ي</w:t>
      </w:r>
      <w:r w:rsidR="0011213F" w:rsidRPr="00904FCB">
        <w:rPr>
          <w:rFonts w:hint="cs"/>
          <w:sz w:val="27"/>
          <w:rtl/>
          <w:lang w:bidi="ar-OM"/>
        </w:rPr>
        <w:t>ُ</w:t>
      </w:r>
      <w:r w:rsidRPr="00904FCB">
        <w:rPr>
          <w:rFonts w:hint="cs"/>
          <w:sz w:val="27"/>
          <w:rtl/>
          <w:lang w:bidi="ar-OM"/>
        </w:rPr>
        <w:t>سقطون مواصفات واشتراطات الخليفة التاريخي على رئيس الدولة</w:t>
      </w:r>
      <w:r w:rsidRPr="00904FCB">
        <w:rPr>
          <w:rFonts w:hint="cs"/>
          <w:sz w:val="27"/>
          <w:vertAlign w:val="superscript"/>
          <w:rtl/>
        </w:rPr>
        <w:t>(</w:t>
      </w:r>
      <w:r w:rsidRPr="00904FCB">
        <w:rPr>
          <w:rStyle w:val="ac"/>
          <w:sz w:val="27"/>
          <w:rtl/>
        </w:rPr>
        <w:endnoteReference w:id="168"/>
      </w:r>
      <w:r w:rsidRPr="00904FCB">
        <w:rPr>
          <w:rFonts w:hint="cs"/>
          <w:sz w:val="27"/>
          <w:vertAlign w:val="superscript"/>
          <w:rtl/>
        </w:rPr>
        <w:t>)</w:t>
      </w:r>
      <w:r w:rsidRPr="00904FCB">
        <w:rPr>
          <w:rFonts w:hint="cs"/>
          <w:sz w:val="27"/>
          <w:rtl/>
          <w:lang w:bidi="ar-OM"/>
        </w:rPr>
        <w:t>. ولم</w:t>
      </w:r>
      <w:r w:rsidR="0011213F" w:rsidRPr="00904FCB">
        <w:rPr>
          <w:rFonts w:hint="cs"/>
          <w:sz w:val="27"/>
          <w:rtl/>
          <w:lang w:bidi="ar-OM"/>
        </w:rPr>
        <w:t>ّ</w:t>
      </w:r>
      <w:r w:rsidRPr="00904FCB">
        <w:rPr>
          <w:rFonts w:hint="cs"/>
          <w:sz w:val="27"/>
          <w:rtl/>
          <w:lang w:bidi="ar-OM"/>
        </w:rPr>
        <w:t>ا طبقوا بعض خصائص وسلطات الخليفة التاريخي على رئيس الدولة استلزم استدعاء نفس المنظور الفقهي والثقافي الذي ي</w:t>
      </w:r>
      <w:r w:rsidR="0011213F" w:rsidRPr="00904FCB">
        <w:rPr>
          <w:rFonts w:hint="cs"/>
          <w:sz w:val="27"/>
          <w:rtl/>
          <w:lang w:bidi="ar-OM"/>
        </w:rPr>
        <w:t>ُ</w:t>
      </w:r>
      <w:r w:rsidRPr="00904FCB">
        <w:rPr>
          <w:rFonts w:hint="cs"/>
          <w:sz w:val="27"/>
          <w:rtl/>
          <w:lang w:bidi="ar-OM"/>
        </w:rPr>
        <w:t>قصي المرأة من هذه المواقع</w:t>
      </w:r>
      <w:r w:rsidR="0011213F" w:rsidRPr="00904FCB">
        <w:rPr>
          <w:rFonts w:hint="cs"/>
          <w:sz w:val="27"/>
          <w:rtl/>
          <w:lang w:bidi="ar-OM"/>
        </w:rPr>
        <w:t>،</w:t>
      </w:r>
      <w:r w:rsidRPr="00904FCB">
        <w:rPr>
          <w:rFonts w:hint="cs"/>
          <w:sz w:val="27"/>
          <w:rtl/>
          <w:lang w:bidi="ar-OM"/>
        </w:rPr>
        <w:t xml:space="preserve"> ومن </w:t>
      </w:r>
      <w:r w:rsidRPr="00904FCB">
        <w:rPr>
          <w:rFonts w:hint="cs"/>
          <w:sz w:val="27"/>
          <w:rtl/>
          <w:lang w:bidi="ar-OM"/>
        </w:rPr>
        <w:lastRenderedPageBreak/>
        <w:t>ثم</w:t>
      </w:r>
      <w:r w:rsidR="0011213F" w:rsidRPr="00904FCB">
        <w:rPr>
          <w:rFonts w:hint="cs"/>
          <w:sz w:val="27"/>
          <w:rtl/>
          <w:lang w:bidi="ar-OM"/>
        </w:rPr>
        <w:t>ّ</w:t>
      </w:r>
      <w:r w:rsidRPr="00904FCB">
        <w:rPr>
          <w:rFonts w:hint="cs"/>
          <w:sz w:val="27"/>
          <w:rtl/>
          <w:lang w:bidi="ar-OM"/>
        </w:rPr>
        <w:t xml:space="preserve"> صار اشتراط الذكورة والرجولة فيها من قبيل تحصيل الحاصل</w:t>
      </w:r>
      <w:r w:rsidRPr="00904FCB">
        <w:rPr>
          <w:rFonts w:hint="cs"/>
          <w:sz w:val="27"/>
          <w:vertAlign w:val="superscript"/>
          <w:rtl/>
        </w:rPr>
        <w:t>(</w:t>
      </w:r>
      <w:r w:rsidRPr="00904FCB">
        <w:rPr>
          <w:rStyle w:val="ac"/>
          <w:sz w:val="27"/>
          <w:rtl/>
        </w:rPr>
        <w:endnoteReference w:id="169"/>
      </w:r>
      <w:r w:rsidRPr="00904FCB">
        <w:rPr>
          <w:rFonts w:hint="cs"/>
          <w:sz w:val="27"/>
          <w:vertAlign w:val="superscript"/>
          <w:rtl/>
        </w:rPr>
        <w:t>)</w:t>
      </w:r>
      <w:r w:rsidRPr="00904FCB">
        <w:rPr>
          <w:rFonts w:hint="cs"/>
          <w:sz w:val="27"/>
          <w:rtl/>
          <w:lang w:bidi="ar-OM"/>
        </w:rPr>
        <w:t xml:space="preserve">. </w:t>
      </w:r>
    </w:p>
    <w:p w:rsidR="0011213F" w:rsidRPr="00904FCB" w:rsidRDefault="00644408" w:rsidP="007A21AA">
      <w:pPr>
        <w:spacing w:line="400" w:lineRule="exact"/>
        <w:rPr>
          <w:sz w:val="27"/>
          <w:rtl/>
          <w:lang w:bidi="ar-OM"/>
        </w:rPr>
      </w:pPr>
      <w:r w:rsidRPr="00904FCB">
        <w:rPr>
          <w:rFonts w:hint="cs"/>
          <w:sz w:val="27"/>
          <w:rtl/>
          <w:lang w:bidi="ar-OM"/>
        </w:rPr>
        <w:t>كما ط</w:t>
      </w:r>
      <w:r w:rsidR="0011213F" w:rsidRPr="00904FCB">
        <w:rPr>
          <w:rFonts w:hint="cs"/>
          <w:sz w:val="27"/>
          <w:rtl/>
          <w:lang w:bidi="ar-OM"/>
        </w:rPr>
        <w:t>ُ</w:t>
      </w:r>
      <w:r w:rsidRPr="00904FCB">
        <w:rPr>
          <w:rFonts w:hint="cs"/>
          <w:sz w:val="27"/>
          <w:rtl/>
          <w:lang w:bidi="ar-OM"/>
        </w:rPr>
        <w:t>رحت اجتهادات أخرى حديثة في الفقه السياسي ال</w:t>
      </w:r>
      <w:r w:rsidR="0011213F" w:rsidRPr="00904FCB">
        <w:rPr>
          <w:rFonts w:hint="cs"/>
          <w:sz w:val="27"/>
          <w:rtl/>
          <w:lang w:bidi="ar-OM"/>
        </w:rPr>
        <w:t>إ</w:t>
      </w:r>
      <w:r w:rsidRPr="00904FCB">
        <w:rPr>
          <w:rFonts w:hint="cs"/>
          <w:sz w:val="27"/>
          <w:rtl/>
          <w:lang w:bidi="ar-OM"/>
        </w:rPr>
        <w:t>سلامي ضمن سياقات تاريخية واجتماعية وفقهية مختلفة، حيث استلهمت من فكرة الإمامة عند المسلمين الإمامي</w:t>
      </w:r>
      <w:r w:rsidR="0011213F" w:rsidRPr="00904FCB">
        <w:rPr>
          <w:rFonts w:hint="cs"/>
          <w:sz w:val="27"/>
          <w:rtl/>
          <w:lang w:bidi="ar-OM"/>
        </w:rPr>
        <w:t>ّ</w:t>
      </w:r>
      <w:r w:rsidRPr="00904FCB">
        <w:rPr>
          <w:rFonts w:hint="cs"/>
          <w:sz w:val="27"/>
          <w:rtl/>
          <w:lang w:bidi="ar-OM"/>
        </w:rPr>
        <w:t xml:space="preserve">ة في حال غياب الإمام عن الساحة الاجتماعية. وانتهى التنظير فيها </w:t>
      </w:r>
      <w:r w:rsidR="0011213F" w:rsidRPr="00904FCB">
        <w:rPr>
          <w:rFonts w:hint="cs"/>
          <w:sz w:val="27"/>
          <w:rtl/>
          <w:lang w:bidi="ar-OM"/>
        </w:rPr>
        <w:t>إ</w:t>
      </w:r>
      <w:r w:rsidRPr="00904FCB">
        <w:rPr>
          <w:rFonts w:hint="cs"/>
          <w:sz w:val="27"/>
          <w:rtl/>
          <w:lang w:bidi="ar-OM"/>
        </w:rPr>
        <w:t>لى طرح فكرة الولاية العام</w:t>
      </w:r>
      <w:r w:rsidR="0011213F" w:rsidRPr="00904FCB">
        <w:rPr>
          <w:rFonts w:hint="cs"/>
          <w:sz w:val="27"/>
          <w:rtl/>
          <w:lang w:bidi="ar-OM"/>
        </w:rPr>
        <w:t>ّ</w:t>
      </w:r>
      <w:r w:rsidRPr="00904FCB">
        <w:rPr>
          <w:rFonts w:hint="cs"/>
          <w:sz w:val="27"/>
          <w:rtl/>
          <w:lang w:bidi="ar-OM"/>
        </w:rPr>
        <w:t>ة للفقيه النائب</w:t>
      </w:r>
      <w:r w:rsidR="0011213F" w:rsidRPr="00904FCB">
        <w:rPr>
          <w:rFonts w:hint="cs"/>
          <w:sz w:val="27"/>
          <w:rtl/>
          <w:lang w:bidi="ar-OM"/>
        </w:rPr>
        <w:t>،</w:t>
      </w:r>
      <w:r w:rsidRPr="00904FCB">
        <w:rPr>
          <w:rFonts w:hint="cs"/>
          <w:sz w:val="27"/>
          <w:rtl/>
          <w:lang w:bidi="ar-OM"/>
        </w:rPr>
        <w:t xml:space="preserve"> وفكرة ولاية الأم</w:t>
      </w:r>
      <w:r w:rsidR="0011213F" w:rsidRPr="00904FCB">
        <w:rPr>
          <w:rFonts w:hint="cs"/>
          <w:sz w:val="27"/>
          <w:rtl/>
          <w:lang w:bidi="ar-OM"/>
        </w:rPr>
        <w:t>ّ</w:t>
      </w:r>
      <w:r w:rsidRPr="00904FCB">
        <w:rPr>
          <w:rFonts w:hint="cs"/>
          <w:sz w:val="27"/>
          <w:rtl/>
          <w:lang w:bidi="ar-OM"/>
        </w:rPr>
        <w:t>ة</w:t>
      </w:r>
      <w:r w:rsidR="0011213F" w:rsidRPr="00904FCB">
        <w:rPr>
          <w:rFonts w:hint="cs"/>
          <w:sz w:val="27"/>
          <w:rtl/>
          <w:lang w:bidi="ar-OM"/>
        </w:rPr>
        <w:t>،</w:t>
      </w:r>
      <w:r w:rsidRPr="00904FCB">
        <w:rPr>
          <w:rFonts w:hint="cs"/>
          <w:sz w:val="27"/>
          <w:rtl/>
          <w:lang w:bidi="ar-OM"/>
        </w:rPr>
        <w:t xml:space="preserve"> أو المزج بينهما</w:t>
      </w:r>
      <w:r w:rsidR="0011213F"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 xml:space="preserve">ويلاحظ </w:t>
      </w:r>
      <w:r w:rsidR="0011213F" w:rsidRPr="00904FCB">
        <w:rPr>
          <w:rFonts w:hint="cs"/>
          <w:sz w:val="27"/>
          <w:rtl/>
          <w:lang w:bidi="ar-OM"/>
        </w:rPr>
        <w:t>أ</w:t>
      </w:r>
      <w:r w:rsidRPr="00904FCB">
        <w:rPr>
          <w:rFonts w:hint="cs"/>
          <w:sz w:val="27"/>
          <w:rtl/>
          <w:lang w:bidi="ar-OM"/>
        </w:rPr>
        <w:t>نها لا تختلف كثيرا</w:t>
      </w:r>
      <w:r w:rsidR="0011213F" w:rsidRPr="00904FCB">
        <w:rPr>
          <w:rFonts w:hint="cs"/>
          <w:sz w:val="27"/>
          <w:rtl/>
          <w:lang w:bidi="ar-OM"/>
        </w:rPr>
        <w:t>ً</w:t>
      </w:r>
      <w:r w:rsidRPr="00904FCB">
        <w:rPr>
          <w:rFonts w:hint="cs"/>
          <w:sz w:val="27"/>
          <w:rtl/>
          <w:lang w:bidi="ar-OM"/>
        </w:rPr>
        <w:t xml:space="preserve"> ـ في القضية المبحوثة ـ عن بقية الآراء الفقهية لدى المسلمين. </w:t>
      </w:r>
    </w:p>
    <w:p w:rsidR="0011213F" w:rsidRPr="00904FCB" w:rsidRDefault="00644408" w:rsidP="007A21AA">
      <w:pPr>
        <w:spacing w:line="400" w:lineRule="exact"/>
        <w:rPr>
          <w:sz w:val="27"/>
          <w:rtl/>
          <w:lang w:bidi="ar-OM"/>
        </w:rPr>
      </w:pPr>
      <w:r w:rsidRPr="00904FCB">
        <w:rPr>
          <w:rFonts w:hint="cs"/>
          <w:sz w:val="27"/>
          <w:rtl/>
          <w:lang w:bidi="ar-OM"/>
        </w:rPr>
        <w:t>وأغلب الفقهاء الذين بحثوا في نظام الحكم ال</w:t>
      </w:r>
      <w:r w:rsidR="0011213F" w:rsidRPr="00904FCB">
        <w:rPr>
          <w:rFonts w:hint="cs"/>
          <w:sz w:val="27"/>
          <w:rtl/>
          <w:lang w:bidi="ar-OM"/>
        </w:rPr>
        <w:t>إ</w:t>
      </w:r>
      <w:r w:rsidRPr="00904FCB">
        <w:rPr>
          <w:rFonts w:hint="cs"/>
          <w:sz w:val="27"/>
          <w:rtl/>
          <w:lang w:bidi="ar-OM"/>
        </w:rPr>
        <w:t>سلامي طبقا</w:t>
      </w:r>
      <w:r w:rsidR="0011213F" w:rsidRPr="00904FCB">
        <w:rPr>
          <w:rFonts w:hint="cs"/>
          <w:sz w:val="27"/>
          <w:rtl/>
          <w:lang w:bidi="ar-OM"/>
        </w:rPr>
        <w:t>ً</w:t>
      </w:r>
      <w:r w:rsidRPr="00904FCB">
        <w:rPr>
          <w:rFonts w:hint="cs"/>
          <w:sz w:val="27"/>
          <w:rtl/>
          <w:lang w:bidi="ar-OM"/>
        </w:rPr>
        <w:t xml:space="preserve"> لهذه التنظيرات اشترطوا أيضا</w:t>
      </w:r>
      <w:r w:rsidR="0011213F" w:rsidRPr="00904FCB">
        <w:rPr>
          <w:rFonts w:hint="cs"/>
          <w:sz w:val="27"/>
          <w:rtl/>
          <w:lang w:bidi="ar-OM"/>
        </w:rPr>
        <w:t>ً</w:t>
      </w:r>
      <w:r w:rsidRPr="00904FCB">
        <w:rPr>
          <w:rFonts w:hint="cs"/>
          <w:sz w:val="27"/>
          <w:rtl/>
          <w:lang w:bidi="ar-OM"/>
        </w:rPr>
        <w:t xml:space="preserve"> الرجولة في</w:t>
      </w:r>
      <w:r w:rsidR="0011213F" w:rsidRPr="00904FCB">
        <w:rPr>
          <w:rFonts w:hint="cs"/>
          <w:sz w:val="27"/>
          <w:rtl/>
          <w:lang w:bidi="ar-OM"/>
        </w:rPr>
        <w:t xml:space="preserve"> </w:t>
      </w:r>
      <w:r w:rsidRPr="00904FCB">
        <w:rPr>
          <w:rFonts w:hint="cs"/>
          <w:sz w:val="27"/>
          <w:rtl/>
          <w:lang w:bidi="ar-OM"/>
        </w:rPr>
        <w:t>م</w:t>
      </w:r>
      <w:r w:rsidR="0011213F" w:rsidRPr="00904FCB">
        <w:rPr>
          <w:rFonts w:hint="cs"/>
          <w:sz w:val="27"/>
          <w:rtl/>
          <w:lang w:bidi="ar-OM"/>
        </w:rPr>
        <w:t>َ</w:t>
      </w:r>
      <w:r w:rsidRPr="00904FCB">
        <w:rPr>
          <w:rFonts w:hint="cs"/>
          <w:sz w:val="27"/>
          <w:rtl/>
          <w:lang w:bidi="ar-OM"/>
        </w:rPr>
        <w:t>ن</w:t>
      </w:r>
      <w:r w:rsidR="0011213F" w:rsidRPr="00904FCB">
        <w:rPr>
          <w:rFonts w:hint="cs"/>
          <w:sz w:val="27"/>
          <w:rtl/>
          <w:lang w:bidi="ar-OM"/>
        </w:rPr>
        <w:t>ْ</w:t>
      </w:r>
      <w:r w:rsidRPr="00904FCB">
        <w:rPr>
          <w:rFonts w:hint="cs"/>
          <w:sz w:val="27"/>
          <w:rtl/>
          <w:lang w:bidi="ar-OM"/>
        </w:rPr>
        <w:t xml:space="preserve"> يتول</w:t>
      </w:r>
      <w:r w:rsidR="0011213F" w:rsidRPr="00904FCB">
        <w:rPr>
          <w:rFonts w:hint="cs"/>
          <w:sz w:val="27"/>
          <w:rtl/>
          <w:lang w:bidi="ar-OM"/>
        </w:rPr>
        <w:t>ّ</w:t>
      </w:r>
      <w:r w:rsidRPr="00904FCB">
        <w:rPr>
          <w:rFonts w:hint="cs"/>
          <w:sz w:val="27"/>
          <w:rtl/>
          <w:lang w:bidi="ar-OM"/>
        </w:rPr>
        <w:t>ى الحكم أو رئاسة الدولة. وقد بحثت ضمن المقاربات الفقهية المتعل</w:t>
      </w:r>
      <w:r w:rsidR="0011213F" w:rsidRPr="00904FCB">
        <w:rPr>
          <w:rFonts w:hint="cs"/>
          <w:sz w:val="27"/>
          <w:rtl/>
          <w:lang w:bidi="ar-OM"/>
        </w:rPr>
        <w:t>ِّ</w:t>
      </w:r>
      <w:r w:rsidRPr="00904FCB">
        <w:rPr>
          <w:rFonts w:hint="cs"/>
          <w:sz w:val="27"/>
          <w:rtl/>
          <w:lang w:bidi="ar-OM"/>
        </w:rPr>
        <w:t>قة بال</w:t>
      </w:r>
      <w:r w:rsidR="0011213F" w:rsidRPr="00904FCB">
        <w:rPr>
          <w:rFonts w:hint="cs"/>
          <w:sz w:val="27"/>
          <w:rtl/>
          <w:lang w:bidi="ar-OM"/>
        </w:rPr>
        <w:t>ا</w:t>
      </w:r>
      <w:r w:rsidRPr="00904FCB">
        <w:rPr>
          <w:rFonts w:hint="cs"/>
          <w:sz w:val="27"/>
          <w:rtl/>
          <w:lang w:bidi="ar-OM"/>
        </w:rPr>
        <w:t>جتهاد والقضاء والولاية وما شابه</w:t>
      </w:r>
      <w:r w:rsidR="0011213F"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 xml:space="preserve">يقول السيد </w:t>
      </w:r>
      <w:r w:rsidR="0011213F" w:rsidRPr="00904FCB">
        <w:rPr>
          <w:rFonts w:hint="cs"/>
          <w:sz w:val="27"/>
          <w:rtl/>
          <w:lang w:bidi="ar-OM"/>
        </w:rPr>
        <w:t xml:space="preserve">محمد </w:t>
      </w:r>
      <w:r w:rsidRPr="00904FCB">
        <w:rPr>
          <w:rFonts w:hint="cs"/>
          <w:sz w:val="27"/>
          <w:rtl/>
          <w:lang w:bidi="ar-OM"/>
        </w:rPr>
        <w:t>باقر الصدر(</w:t>
      </w:r>
      <w:r w:rsidRPr="00DF101A">
        <w:rPr>
          <w:rFonts w:hint="cs"/>
          <w:sz w:val="27"/>
          <w:rtl/>
          <w:lang w:bidi="ar-OM"/>
        </w:rPr>
        <w:t>1980م</w:t>
      </w:r>
      <w:r w:rsidRPr="00904FCB">
        <w:rPr>
          <w:rFonts w:hint="cs"/>
          <w:sz w:val="27"/>
          <w:rtl/>
          <w:lang w:bidi="ar-OM"/>
        </w:rPr>
        <w:t>): المجتهد المطلق اذا توافرت فيه سائر الشروط الشرعية في مرجع التقليد.</w:t>
      </w:r>
      <w:r w:rsidR="0011213F" w:rsidRPr="00904FCB">
        <w:rPr>
          <w:rFonts w:hint="cs"/>
          <w:sz w:val="27"/>
          <w:rtl/>
          <w:lang w:bidi="ar-OM"/>
        </w:rPr>
        <w:t>.</w:t>
      </w:r>
      <w:r w:rsidRPr="00904FCB">
        <w:rPr>
          <w:rFonts w:hint="cs"/>
          <w:sz w:val="27"/>
          <w:rtl/>
          <w:lang w:bidi="ar-OM"/>
        </w:rPr>
        <w:t>. (</w:t>
      </w:r>
      <w:r w:rsidR="0011213F" w:rsidRPr="00904FCB">
        <w:rPr>
          <w:rFonts w:hint="cs"/>
          <w:sz w:val="27"/>
          <w:rtl/>
          <w:lang w:bidi="ar-OM"/>
        </w:rPr>
        <w:t>ومن</w:t>
      </w:r>
      <w:r w:rsidRPr="00904FCB">
        <w:rPr>
          <w:rFonts w:hint="cs"/>
          <w:sz w:val="27"/>
          <w:rtl/>
          <w:lang w:bidi="ar-OM"/>
        </w:rPr>
        <w:t>ها</w:t>
      </w:r>
      <w:r w:rsidR="0011213F" w:rsidRPr="00904FCB">
        <w:rPr>
          <w:rFonts w:hint="cs"/>
          <w:sz w:val="27"/>
          <w:rtl/>
          <w:lang w:bidi="ar-OM"/>
        </w:rPr>
        <w:t xml:space="preserve">: </w:t>
      </w:r>
      <w:r w:rsidRPr="00904FCB">
        <w:rPr>
          <w:rFonts w:hint="cs"/>
          <w:sz w:val="27"/>
          <w:rtl/>
          <w:lang w:bidi="ar-OM"/>
        </w:rPr>
        <w:t>الذكورة) كانت له الولاية الشرعية العامة في شؤون المسلمين</w:t>
      </w:r>
      <w:r w:rsidR="0011213F" w:rsidRPr="00904FCB">
        <w:rPr>
          <w:rFonts w:hint="cs"/>
          <w:sz w:val="27"/>
          <w:rtl/>
          <w:lang w:bidi="ar-OM"/>
        </w:rPr>
        <w:t>،</w:t>
      </w:r>
      <w:r w:rsidRPr="00904FCB">
        <w:rPr>
          <w:rFonts w:hint="cs"/>
          <w:sz w:val="27"/>
          <w:rtl/>
          <w:lang w:bidi="ar-OM"/>
        </w:rPr>
        <w:t xml:space="preserve"> شريطة </w:t>
      </w:r>
      <w:r w:rsidR="0011213F" w:rsidRPr="00904FCB">
        <w:rPr>
          <w:rFonts w:hint="cs"/>
          <w:sz w:val="27"/>
          <w:rtl/>
          <w:lang w:bidi="ar-OM"/>
        </w:rPr>
        <w:t>أ</w:t>
      </w:r>
      <w:r w:rsidRPr="00904FCB">
        <w:rPr>
          <w:rFonts w:hint="cs"/>
          <w:sz w:val="27"/>
          <w:rtl/>
          <w:lang w:bidi="ar-OM"/>
        </w:rPr>
        <w:t>ن يكون كفؤا</w:t>
      </w:r>
      <w:r w:rsidR="0011213F" w:rsidRPr="00904FCB">
        <w:rPr>
          <w:rFonts w:hint="cs"/>
          <w:sz w:val="27"/>
          <w:rtl/>
          <w:lang w:bidi="ar-OM"/>
        </w:rPr>
        <w:t>ً</w:t>
      </w:r>
      <w:r w:rsidRPr="00904FCB">
        <w:rPr>
          <w:rFonts w:hint="cs"/>
          <w:sz w:val="27"/>
          <w:rtl/>
          <w:lang w:bidi="ar-OM"/>
        </w:rPr>
        <w:t xml:space="preserve"> لذلك من الناحية الدينية والواقعية معا</w:t>
      </w:r>
      <w:r w:rsidR="0011213F" w:rsidRPr="00904FCB">
        <w:rPr>
          <w:rFonts w:hint="cs"/>
          <w:sz w:val="27"/>
          <w:rtl/>
          <w:lang w:bidi="ar-OM"/>
        </w:rPr>
        <w:t>ً</w:t>
      </w:r>
      <w:r w:rsidRPr="00904FCB">
        <w:rPr>
          <w:rFonts w:hint="cs"/>
          <w:sz w:val="27"/>
          <w:vertAlign w:val="superscript"/>
          <w:rtl/>
        </w:rPr>
        <w:t>(</w:t>
      </w:r>
      <w:r w:rsidRPr="00904FCB">
        <w:rPr>
          <w:rStyle w:val="ac"/>
          <w:sz w:val="27"/>
          <w:rtl/>
        </w:rPr>
        <w:endnoteReference w:id="170"/>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 xml:space="preserve">في حين </w:t>
      </w:r>
      <w:r w:rsidR="0011213F" w:rsidRPr="00904FCB">
        <w:rPr>
          <w:rFonts w:hint="cs"/>
          <w:sz w:val="27"/>
          <w:rtl/>
          <w:lang w:bidi="ar-OM"/>
        </w:rPr>
        <w:t>أ</w:t>
      </w:r>
      <w:r w:rsidRPr="00904FCB">
        <w:rPr>
          <w:rFonts w:hint="cs"/>
          <w:sz w:val="27"/>
          <w:rtl/>
          <w:lang w:bidi="ar-OM"/>
        </w:rPr>
        <w:t>ن السيد الخميني(</w:t>
      </w:r>
      <w:r w:rsidRPr="00DF101A">
        <w:rPr>
          <w:rFonts w:hint="cs"/>
          <w:sz w:val="27"/>
          <w:rtl/>
          <w:lang w:bidi="ar-OM"/>
        </w:rPr>
        <w:t>1989م</w:t>
      </w:r>
      <w:r w:rsidRPr="00904FCB">
        <w:rPr>
          <w:rFonts w:hint="cs"/>
          <w:sz w:val="27"/>
          <w:rtl/>
          <w:lang w:bidi="ar-OM"/>
        </w:rPr>
        <w:t>)</w:t>
      </w:r>
      <w:r w:rsidR="0011213F" w:rsidRPr="00904FCB">
        <w:rPr>
          <w:rFonts w:hint="cs"/>
          <w:sz w:val="27"/>
          <w:rtl/>
          <w:lang w:bidi="ar-OM"/>
        </w:rPr>
        <w:t>،</w:t>
      </w:r>
      <w:r w:rsidRPr="00904FCB">
        <w:rPr>
          <w:rFonts w:hint="cs"/>
          <w:sz w:val="27"/>
          <w:rtl/>
          <w:lang w:bidi="ar-OM"/>
        </w:rPr>
        <w:t xml:space="preserve"> وهو المرجع الأبرز الذي بلور نظرية ولاية الفقيه العامة</w:t>
      </w:r>
      <w:r w:rsidR="0011213F" w:rsidRPr="00904FCB">
        <w:rPr>
          <w:rFonts w:hint="cs"/>
          <w:sz w:val="27"/>
          <w:rtl/>
          <w:lang w:bidi="ar-OM"/>
        </w:rPr>
        <w:t>،</w:t>
      </w:r>
      <w:r w:rsidRPr="00904FCB">
        <w:rPr>
          <w:rFonts w:hint="cs"/>
          <w:sz w:val="27"/>
          <w:rtl/>
          <w:lang w:bidi="ar-OM"/>
        </w:rPr>
        <w:t xml:space="preserve"> وناضل من أجل إقامة دولة</w:t>
      </w:r>
      <w:r w:rsidR="0011213F" w:rsidRPr="00904FCB">
        <w:rPr>
          <w:rFonts w:hint="cs"/>
          <w:sz w:val="27"/>
          <w:rtl/>
          <w:lang w:bidi="ar-OM"/>
        </w:rPr>
        <w:t>ٍ</w:t>
      </w:r>
      <w:r w:rsidRPr="00904FCB">
        <w:rPr>
          <w:rFonts w:hint="cs"/>
          <w:sz w:val="27"/>
          <w:rtl/>
          <w:lang w:bidi="ar-OM"/>
        </w:rPr>
        <w:t xml:space="preserve"> تقوم على سيادة الشريعة الإسلامية طبقا</w:t>
      </w:r>
      <w:r w:rsidR="0011213F" w:rsidRPr="00904FCB">
        <w:rPr>
          <w:rFonts w:hint="cs"/>
          <w:sz w:val="27"/>
          <w:rtl/>
          <w:lang w:bidi="ar-OM"/>
        </w:rPr>
        <w:t>ً</w:t>
      </w:r>
      <w:r w:rsidRPr="00904FCB">
        <w:rPr>
          <w:rFonts w:hint="cs"/>
          <w:sz w:val="27"/>
          <w:rtl/>
          <w:lang w:bidi="ar-OM"/>
        </w:rPr>
        <w:t xml:space="preserve"> لهذه النظرية، رك</w:t>
      </w:r>
      <w:r w:rsidR="0011213F" w:rsidRPr="00904FCB">
        <w:rPr>
          <w:rFonts w:hint="cs"/>
          <w:sz w:val="27"/>
          <w:rtl/>
          <w:lang w:bidi="ar-OM"/>
        </w:rPr>
        <w:t>َّ</w:t>
      </w:r>
      <w:r w:rsidRPr="00904FCB">
        <w:rPr>
          <w:rFonts w:hint="cs"/>
          <w:sz w:val="27"/>
          <w:rtl/>
          <w:lang w:bidi="ar-OM"/>
        </w:rPr>
        <w:t>ز في بحوثه المتعل</w:t>
      </w:r>
      <w:r w:rsidR="0011213F" w:rsidRPr="00904FCB">
        <w:rPr>
          <w:rFonts w:hint="cs"/>
          <w:sz w:val="27"/>
          <w:rtl/>
          <w:lang w:bidi="ar-OM"/>
        </w:rPr>
        <w:t>ِّ</w:t>
      </w:r>
      <w:r w:rsidRPr="00904FCB">
        <w:rPr>
          <w:rFonts w:hint="cs"/>
          <w:sz w:val="27"/>
          <w:rtl/>
          <w:lang w:bidi="ar-OM"/>
        </w:rPr>
        <w:t>قة بهذا الموضوع على أهم</w:t>
      </w:r>
      <w:r w:rsidR="0011213F" w:rsidRPr="00904FCB">
        <w:rPr>
          <w:rFonts w:hint="cs"/>
          <w:sz w:val="27"/>
          <w:rtl/>
          <w:lang w:bidi="ar-OM"/>
        </w:rPr>
        <w:t>ّ</w:t>
      </w:r>
      <w:r w:rsidRPr="00904FCB">
        <w:rPr>
          <w:rFonts w:hint="cs"/>
          <w:sz w:val="27"/>
          <w:rtl/>
          <w:lang w:bidi="ar-OM"/>
        </w:rPr>
        <w:t xml:space="preserve"> شرطين في نظره، هما</w:t>
      </w:r>
      <w:r w:rsidR="0011213F" w:rsidRPr="00904FCB">
        <w:rPr>
          <w:rFonts w:hint="cs"/>
          <w:sz w:val="27"/>
          <w:rtl/>
          <w:lang w:bidi="ar-OM"/>
        </w:rPr>
        <w:t>:</w:t>
      </w:r>
      <w:r w:rsidRPr="00904FCB">
        <w:rPr>
          <w:rFonts w:hint="cs"/>
          <w:sz w:val="27"/>
          <w:rtl/>
          <w:lang w:bidi="ar-OM"/>
        </w:rPr>
        <w:t xml:space="preserve"> العلم بالفقه ال</w:t>
      </w:r>
      <w:r w:rsidR="0011213F" w:rsidRPr="00904FCB">
        <w:rPr>
          <w:rFonts w:hint="cs"/>
          <w:sz w:val="27"/>
          <w:rtl/>
          <w:lang w:bidi="ar-OM"/>
        </w:rPr>
        <w:t>إ</w:t>
      </w:r>
      <w:r w:rsidRPr="00904FCB">
        <w:rPr>
          <w:rFonts w:hint="cs"/>
          <w:sz w:val="27"/>
          <w:rtl/>
          <w:lang w:bidi="ar-OM"/>
        </w:rPr>
        <w:t>سلامي</w:t>
      </w:r>
      <w:r w:rsidR="0011213F" w:rsidRPr="00904FCB">
        <w:rPr>
          <w:rFonts w:hint="cs"/>
          <w:sz w:val="27"/>
          <w:rtl/>
          <w:lang w:bidi="ar-OM"/>
        </w:rPr>
        <w:t>؛</w:t>
      </w:r>
      <w:r w:rsidRPr="00904FCB">
        <w:rPr>
          <w:rFonts w:hint="cs"/>
          <w:sz w:val="27"/>
          <w:rtl/>
          <w:lang w:bidi="ar-OM"/>
        </w:rPr>
        <w:t xml:space="preserve"> والعدالة</w:t>
      </w:r>
      <w:r w:rsidR="0011213F" w:rsidRPr="00904FCB">
        <w:rPr>
          <w:rFonts w:hint="cs"/>
          <w:sz w:val="27"/>
          <w:rtl/>
          <w:lang w:bidi="ar-OM"/>
        </w:rPr>
        <w:t>،</w:t>
      </w:r>
      <w:r w:rsidRPr="00904FCB">
        <w:rPr>
          <w:rFonts w:hint="cs"/>
          <w:sz w:val="27"/>
          <w:rtl/>
          <w:lang w:bidi="ar-OM"/>
        </w:rPr>
        <w:t xml:space="preserve"> ولم ي</w:t>
      </w:r>
      <w:r w:rsidR="0011213F" w:rsidRPr="00904FCB">
        <w:rPr>
          <w:rFonts w:hint="cs"/>
          <w:sz w:val="27"/>
          <w:rtl/>
          <w:lang w:bidi="ar-OM"/>
        </w:rPr>
        <w:t>ُ</w:t>
      </w:r>
      <w:r w:rsidRPr="00904FCB">
        <w:rPr>
          <w:rFonts w:hint="cs"/>
          <w:sz w:val="27"/>
          <w:rtl/>
          <w:lang w:bidi="ar-OM"/>
        </w:rPr>
        <w:t>ش</w:t>
      </w:r>
      <w:r w:rsidR="0011213F" w:rsidRPr="00904FCB">
        <w:rPr>
          <w:rFonts w:hint="cs"/>
          <w:sz w:val="27"/>
          <w:rtl/>
          <w:lang w:bidi="ar-OM"/>
        </w:rPr>
        <w:t>ِ</w:t>
      </w:r>
      <w:r w:rsidRPr="00904FCB">
        <w:rPr>
          <w:rFonts w:hint="cs"/>
          <w:sz w:val="27"/>
          <w:rtl/>
          <w:lang w:bidi="ar-OM"/>
        </w:rPr>
        <w:t>ر</w:t>
      </w:r>
      <w:r w:rsidR="0011213F" w:rsidRPr="00904FCB">
        <w:rPr>
          <w:rFonts w:hint="cs"/>
          <w:sz w:val="27"/>
          <w:rtl/>
          <w:lang w:bidi="ar-OM"/>
        </w:rPr>
        <w:t>ْ</w:t>
      </w:r>
      <w:r w:rsidRPr="00904FCB">
        <w:rPr>
          <w:rFonts w:hint="cs"/>
          <w:sz w:val="27"/>
          <w:rtl/>
          <w:lang w:bidi="ar-OM"/>
        </w:rPr>
        <w:t xml:space="preserve"> </w:t>
      </w:r>
      <w:r w:rsidR="0011213F" w:rsidRPr="00904FCB">
        <w:rPr>
          <w:rFonts w:hint="cs"/>
          <w:sz w:val="27"/>
          <w:rtl/>
          <w:lang w:bidi="ar-OM"/>
        </w:rPr>
        <w:t>إ</w:t>
      </w:r>
      <w:r w:rsidRPr="00904FCB">
        <w:rPr>
          <w:rFonts w:hint="cs"/>
          <w:sz w:val="27"/>
          <w:rtl/>
          <w:lang w:bidi="ar-OM"/>
        </w:rPr>
        <w:t>لى شرط الرجولة. قال: والشروط التي ينبغي توف</w:t>
      </w:r>
      <w:r w:rsidR="0011213F" w:rsidRPr="00904FCB">
        <w:rPr>
          <w:rFonts w:hint="cs"/>
          <w:sz w:val="27"/>
          <w:rtl/>
          <w:lang w:bidi="ar-OM"/>
        </w:rPr>
        <w:t>ُّ</w:t>
      </w:r>
      <w:r w:rsidRPr="00904FCB">
        <w:rPr>
          <w:rFonts w:hint="cs"/>
          <w:sz w:val="27"/>
          <w:rtl/>
          <w:lang w:bidi="ar-OM"/>
        </w:rPr>
        <w:t>رها في الحاكم نابعة</w:t>
      </w:r>
      <w:r w:rsidR="0011213F" w:rsidRPr="00904FCB">
        <w:rPr>
          <w:rFonts w:hint="cs"/>
          <w:sz w:val="27"/>
          <w:rtl/>
          <w:lang w:bidi="ar-OM"/>
        </w:rPr>
        <w:t>ٌ</w:t>
      </w:r>
      <w:r w:rsidRPr="00904FCB">
        <w:rPr>
          <w:rFonts w:hint="cs"/>
          <w:sz w:val="27"/>
          <w:rtl/>
          <w:lang w:bidi="ar-OM"/>
        </w:rPr>
        <w:t xml:space="preserve"> من طبيعة الحكومة ال</w:t>
      </w:r>
      <w:r w:rsidR="0011213F" w:rsidRPr="00904FCB">
        <w:rPr>
          <w:rFonts w:hint="cs"/>
          <w:sz w:val="27"/>
          <w:rtl/>
          <w:lang w:bidi="ar-OM"/>
        </w:rPr>
        <w:t>إ</w:t>
      </w:r>
      <w:r w:rsidRPr="00904FCB">
        <w:rPr>
          <w:rFonts w:hint="cs"/>
          <w:sz w:val="27"/>
          <w:rtl/>
          <w:lang w:bidi="ar-OM"/>
        </w:rPr>
        <w:t>سلامية، فإنه بصرف النظر عن الشروط العامة</w:t>
      </w:r>
      <w:r w:rsidR="0011213F" w:rsidRPr="00904FCB">
        <w:rPr>
          <w:rFonts w:hint="cs"/>
          <w:sz w:val="27"/>
          <w:rtl/>
          <w:lang w:bidi="ar-OM"/>
        </w:rPr>
        <w:t>،</w:t>
      </w:r>
      <w:r w:rsidRPr="00904FCB">
        <w:rPr>
          <w:rFonts w:hint="cs"/>
          <w:sz w:val="27"/>
          <w:rtl/>
          <w:lang w:bidi="ar-OM"/>
        </w:rPr>
        <w:t xml:space="preserve"> كالعقل والنبوغ وحسن التدبير، هناك شرطان مهم</w:t>
      </w:r>
      <w:r w:rsidR="0011213F" w:rsidRPr="00904FCB">
        <w:rPr>
          <w:rFonts w:hint="cs"/>
          <w:sz w:val="27"/>
          <w:rtl/>
          <w:lang w:bidi="ar-OM"/>
        </w:rPr>
        <w:t>ّ</w:t>
      </w:r>
      <w:r w:rsidRPr="00904FCB">
        <w:rPr>
          <w:rFonts w:hint="cs"/>
          <w:sz w:val="27"/>
          <w:rtl/>
          <w:lang w:bidi="ar-OM"/>
        </w:rPr>
        <w:t>ان هما: العلم بالقانون ال</w:t>
      </w:r>
      <w:r w:rsidR="0011213F" w:rsidRPr="00904FCB">
        <w:rPr>
          <w:rFonts w:hint="cs"/>
          <w:sz w:val="27"/>
          <w:rtl/>
          <w:lang w:bidi="ar-OM"/>
        </w:rPr>
        <w:t>إ</w:t>
      </w:r>
      <w:r w:rsidRPr="00904FCB">
        <w:rPr>
          <w:rFonts w:hint="cs"/>
          <w:sz w:val="27"/>
          <w:rtl/>
          <w:lang w:bidi="ar-OM"/>
        </w:rPr>
        <w:t>سلامي</w:t>
      </w:r>
      <w:r w:rsidR="0011213F" w:rsidRPr="00904FCB">
        <w:rPr>
          <w:rFonts w:hint="cs"/>
          <w:sz w:val="27"/>
          <w:rtl/>
          <w:lang w:bidi="ar-OM"/>
        </w:rPr>
        <w:t>؛</w:t>
      </w:r>
      <w:r w:rsidRPr="00904FCB">
        <w:rPr>
          <w:rFonts w:hint="cs"/>
          <w:sz w:val="27"/>
          <w:rtl/>
          <w:lang w:bidi="ar-OM"/>
        </w:rPr>
        <w:t xml:space="preserve"> والعدالة</w:t>
      </w:r>
      <w:r w:rsidRPr="00904FCB">
        <w:rPr>
          <w:rFonts w:hint="cs"/>
          <w:sz w:val="27"/>
          <w:vertAlign w:val="superscript"/>
          <w:rtl/>
        </w:rPr>
        <w:t>(</w:t>
      </w:r>
      <w:r w:rsidRPr="00904FCB">
        <w:rPr>
          <w:rStyle w:val="ac"/>
          <w:sz w:val="27"/>
          <w:rtl/>
        </w:rPr>
        <w:endnoteReference w:id="171"/>
      </w:r>
      <w:r w:rsidRPr="00904FCB">
        <w:rPr>
          <w:rFonts w:hint="cs"/>
          <w:sz w:val="27"/>
          <w:vertAlign w:val="superscript"/>
          <w:rtl/>
        </w:rPr>
        <w:t>)</w:t>
      </w:r>
      <w:r w:rsidRPr="00904FCB">
        <w:rPr>
          <w:rFonts w:hint="cs"/>
          <w:sz w:val="27"/>
          <w:rtl/>
          <w:lang w:bidi="ar-OM"/>
        </w:rPr>
        <w:t>. وأضاف في بحث البيع شرط الكفاءة</w:t>
      </w:r>
      <w:r w:rsidR="0011213F" w:rsidRPr="00904FCB">
        <w:rPr>
          <w:rFonts w:hint="cs"/>
          <w:sz w:val="27"/>
          <w:rtl/>
          <w:lang w:bidi="ar-OM"/>
        </w:rPr>
        <w:t>،</w:t>
      </w:r>
      <w:r w:rsidRPr="00904FCB">
        <w:rPr>
          <w:rFonts w:hint="cs"/>
          <w:sz w:val="27"/>
          <w:rtl/>
          <w:lang w:bidi="ar-OM"/>
        </w:rPr>
        <w:t xml:space="preserve"> ضمن العلم أو منفردا</w:t>
      </w:r>
      <w:r w:rsidR="0011213F" w:rsidRPr="00904FCB">
        <w:rPr>
          <w:rFonts w:hint="cs"/>
          <w:sz w:val="27"/>
          <w:rtl/>
          <w:lang w:bidi="ar-OM"/>
        </w:rPr>
        <w:t>ً،</w:t>
      </w:r>
      <w:r w:rsidRPr="00904FCB">
        <w:rPr>
          <w:rFonts w:hint="cs"/>
          <w:sz w:val="27"/>
          <w:rtl/>
          <w:lang w:bidi="ar-OM"/>
        </w:rPr>
        <w:t xml:space="preserve"> فقال</w:t>
      </w:r>
      <w:r w:rsidR="0011213F" w:rsidRPr="00904FCB">
        <w:rPr>
          <w:rFonts w:hint="cs"/>
          <w:sz w:val="27"/>
          <w:rtl/>
          <w:lang w:bidi="ar-OM"/>
        </w:rPr>
        <w:t xml:space="preserve">: </w:t>
      </w:r>
      <w:r w:rsidRPr="00904FCB">
        <w:rPr>
          <w:rFonts w:hint="eastAsia"/>
          <w:sz w:val="27"/>
          <w:rtl/>
          <w:lang w:bidi="ar-OM"/>
        </w:rPr>
        <w:t>«</w:t>
      </w:r>
      <w:r w:rsidRPr="00904FCB">
        <w:rPr>
          <w:rFonts w:hint="cs"/>
          <w:sz w:val="27"/>
          <w:rtl/>
          <w:lang w:bidi="ar-OM"/>
        </w:rPr>
        <w:t>لا ب</w:t>
      </w:r>
      <w:r w:rsidR="0011213F" w:rsidRPr="00904FCB">
        <w:rPr>
          <w:rFonts w:hint="cs"/>
          <w:sz w:val="27"/>
          <w:rtl/>
          <w:lang w:bidi="ar-OM"/>
        </w:rPr>
        <w:t>ُ</w:t>
      </w:r>
      <w:r w:rsidRPr="00904FCB">
        <w:rPr>
          <w:rFonts w:hint="cs"/>
          <w:sz w:val="27"/>
          <w:rtl/>
          <w:lang w:bidi="ar-OM"/>
        </w:rPr>
        <w:t>د</w:t>
      </w:r>
      <w:r w:rsidR="0011213F" w:rsidRPr="00904FCB">
        <w:rPr>
          <w:rFonts w:hint="cs"/>
          <w:sz w:val="27"/>
          <w:rtl/>
          <w:lang w:bidi="ar-OM"/>
        </w:rPr>
        <w:t>َّ</w:t>
      </w:r>
      <w:r w:rsidRPr="00904FCB">
        <w:rPr>
          <w:rFonts w:hint="cs"/>
          <w:sz w:val="27"/>
          <w:rtl/>
          <w:lang w:bidi="ar-OM"/>
        </w:rPr>
        <w:t xml:space="preserve"> في الوالي من صفتين هما أساس الحكومة القانونية، ولا يعقل تحق</w:t>
      </w:r>
      <w:r w:rsidR="0011213F" w:rsidRPr="00904FCB">
        <w:rPr>
          <w:rFonts w:hint="cs"/>
          <w:sz w:val="27"/>
          <w:rtl/>
          <w:lang w:bidi="ar-OM"/>
        </w:rPr>
        <w:t>ّ</w:t>
      </w:r>
      <w:r w:rsidRPr="00904FCB">
        <w:rPr>
          <w:rFonts w:hint="cs"/>
          <w:sz w:val="27"/>
          <w:rtl/>
          <w:lang w:bidi="ar-OM"/>
        </w:rPr>
        <w:t>قها إلا</w:t>
      </w:r>
      <w:r w:rsidR="0011213F" w:rsidRPr="00904FCB">
        <w:rPr>
          <w:rFonts w:hint="cs"/>
          <w:sz w:val="27"/>
          <w:rtl/>
          <w:lang w:bidi="ar-OM"/>
        </w:rPr>
        <w:t>ّ</w:t>
      </w:r>
      <w:r w:rsidRPr="00904FCB">
        <w:rPr>
          <w:rFonts w:hint="cs"/>
          <w:sz w:val="27"/>
          <w:rtl/>
          <w:lang w:bidi="ar-OM"/>
        </w:rPr>
        <w:t xml:space="preserve"> بهما</w:t>
      </w:r>
      <w:r w:rsidR="0011213F" w:rsidRPr="00904FCB">
        <w:rPr>
          <w:rFonts w:hint="cs"/>
          <w:sz w:val="27"/>
          <w:rtl/>
          <w:lang w:bidi="ar-OM"/>
        </w:rPr>
        <w:t>:</w:t>
      </w:r>
      <w:r w:rsidRPr="00904FCB">
        <w:rPr>
          <w:rFonts w:hint="cs"/>
          <w:sz w:val="27"/>
          <w:rtl/>
          <w:lang w:bidi="ar-OM"/>
        </w:rPr>
        <w:t xml:space="preserve"> </w:t>
      </w:r>
      <w:r w:rsidRPr="00904FCB">
        <w:rPr>
          <w:rFonts w:hint="cs"/>
          <w:b/>
          <w:bCs/>
          <w:sz w:val="27"/>
          <w:rtl/>
          <w:lang w:bidi="ar-OM"/>
        </w:rPr>
        <w:t>إحداهما</w:t>
      </w:r>
      <w:r w:rsidR="0011213F" w:rsidRPr="00904FCB">
        <w:rPr>
          <w:rFonts w:hint="cs"/>
          <w:sz w:val="27"/>
          <w:rtl/>
          <w:lang w:bidi="ar-OM"/>
        </w:rPr>
        <w:t>:</w:t>
      </w:r>
      <w:r w:rsidRPr="00904FCB">
        <w:rPr>
          <w:rFonts w:hint="cs"/>
          <w:sz w:val="27"/>
          <w:rtl/>
          <w:lang w:bidi="ar-OM"/>
        </w:rPr>
        <w:t xml:space="preserve"> العلم بالقانون</w:t>
      </w:r>
      <w:r w:rsidR="0011213F" w:rsidRPr="00904FCB">
        <w:rPr>
          <w:rFonts w:hint="cs"/>
          <w:sz w:val="27"/>
          <w:rtl/>
          <w:lang w:bidi="ar-OM"/>
        </w:rPr>
        <w:t>؛</w:t>
      </w:r>
      <w:r w:rsidRPr="00904FCB">
        <w:rPr>
          <w:rFonts w:hint="cs"/>
          <w:sz w:val="27"/>
          <w:rtl/>
          <w:lang w:bidi="ar-OM"/>
        </w:rPr>
        <w:t xml:space="preserve"> </w:t>
      </w:r>
      <w:r w:rsidRPr="00904FCB">
        <w:rPr>
          <w:rFonts w:hint="cs"/>
          <w:b/>
          <w:bCs/>
          <w:sz w:val="27"/>
          <w:rtl/>
          <w:lang w:bidi="ar-OM"/>
        </w:rPr>
        <w:t>وثانيتهما</w:t>
      </w:r>
      <w:r w:rsidR="0011213F" w:rsidRPr="00904FCB">
        <w:rPr>
          <w:rFonts w:hint="cs"/>
          <w:sz w:val="27"/>
          <w:rtl/>
          <w:lang w:bidi="ar-OM"/>
        </w:rPr>
        <w:t>:</w:t>
      </w:r>
      <w:r w:rsidRPr="00904FCB">
        <w:rPr>
          <w:rFonts w:hint="cs"/>
          <w:sz w:val="27"/>
          <w:rtl/>
          <w:lang w:bidi="ar-OM"/>
        </w:rPr>
        <w:t xml:space="preserve"> العدالة</w:t>
      </w:r>
      <w:r w:rsidR="0011213F" w:rsidRPr="00904FCB">
        <w:rPr>
          <w:rFonts w:hint="cs"/>
          <w:sz w:val="27"/>
          <w:rtl/>
          <w:lang w:bidi="ar-OM"/>
        </w:rPr>
        <w:t>.</w:t>
      </w:r>
      <w:r w:rsidRPr="00904FCB">
        <w:rPr>
          <w:rFonts w:hint="cs"/>
          <w:sz w:val="27"/>
          <w:rtl/>
          <w:lang w:bidi="ar-OM"/>
        </w:rPr>
        <w:t xml:space="preserve"> ومسألة الكفاءة داخلة في العلم بنطاقه الأوسع</w:t>
      </w:r>
      <w:r w:rsidR="0011213F" w:rsidRPr="00904FCB">
        <w:rPr>
          <w:rFonts w:hint="cs"/>
          <w:sz w:val="27"/>
          <w:rtl/>
          <w:lang w:bidi="ar-OM"/>
        </w:rPr>
        <w:t>.</w:t>
      </w:r>
      <w:r w:rsidRPr="00904FCB">
        <w:rPr>
          <w:rFonts w:hint="cs"/>
          <w:sz w:val="27"/>
          <w:rtl/>
          <w:lang w:bidi="ar-OM"/>
        </w:rPr>
        <w:t xml:space="preserve"> ولا شبهة في لزومها في الحاكم أيضا</w:t>
      </w:r>
      <w:r w:rsidR="0011213F" w:rsidRPr="00904FCB">
        <w:rPr>
          <w:rFonts w:hint="cs"/>
          <w:sz w:val="27"/>
          <w:rtl/>
          <w:lang w:bidi="ar-OM"/>
        </w:rPr>
        <w:t>ً</w:t>
      </w:r>
      <w:r w:rsidRPr="00904FCB">
        <w:rPr>
          <w:rFonts w:hint="cs"/>
          <w:sz w:val="27"/>
          <w:rtl/>
          <w:lang w:bidi="ar-OM"/>
        </w:rPr>
        <w:t>، وإن</w:t>
      </w:r>
      <w:r w:rsidR="0011213F" w:rsidRPr="00904FCB">
        <w:rPr>
          <w:rFonts w:hint="cs"/>
          <w:sz w:val="27"/>
          <w:rtl/>
          <w:lang w:bidi="ar-OM"/>
        </w:rPr>
        <w:t>ْ</w:t>
      </w:r>
      <w:r w:rsidRPr="00904FCB">
        <w:rPr>
          <w:rFonts w:hint="cs"/>
          <w:sz w:val="27"/>
          <w:rtl/>
          <w:lang w:bidi="ar-OM"/>
        </w:rPr>
        <w:t xml:space="preserve"> شئت</w:t>
      </w:r>
      <w:r w:rsidR="0011213F" w:rsidRPr="00904FCB">
        <w:rPr>
          <w:rFonts w:hint="cs"/>
          <w:sz w:val="27"/>
          <w:rtl/>
          <w:lang w:bidi="ar-OM"/>
        </w:rPr>
        <w:t>َ</w:t>
      </w:r>
      <w:r w:rsidRPr="00904FCB">
        <w:rPr>
          <w:rFonts w:hint="cs"/>
          <w:sz w:val="27"/>
          <w:rtl/>
          <w:lang w:bidi="ar-OM"/>
        </w:rPr>
        <w:t xml:space="preserve"> قلت</w:t>
      </w:r>
      <w:r w:rsidR="0011213F" w:rsidRPr="00904FCB">
        <w:rPr>
          <w:rFonts w:hint="cs"/>
          <w:sz w:val="27"/>
          <w:rtl/>
          <w:lang w:bidi="ar-OM"/>
        </w:rPr>
        <w:t>َ</w:t>
      </w:r>
      <w:r w:rsidRPr="00904FCB">
        <w:rPr>
          <w:rFonts w:hint="cs"/>
          <w:sz w:val="27"/>
          <w:rtl/>
          <w:lang w:bidi="ar-OM"/>
        </w:rPr>
        <w:t>: هذا شرط</w:t>
      </w:r>
      <w:r w:rsidR="0011213F" w:rsidRPr="00904FCB">
        <w:rPr>
          <w:rFonts w:hint="cs"/>
          <w:sz w:val="27"/>
          <w:rtl/>
          <w:lang w:bidi="ar-OM"/>
        </w:rPr>
        <w:t>ٌ</w:t>
      </w:r>
      <w:r w:rsidRPr="00904FCB">
        <w:rPr>
          <w:rFonts w:hint="cs"/>
          <w:sz w:val="27"/>
          <w:rtl/>
          <w:lang w:bidi="ar-OM"/>
        </w:rPr>
        <w:t xml:space="preserve"> ثالث من أسس الشروط</w:t>
      </w:r>
      <w:r w:rsidRPr="00904FCB">
        <w:rPr>
          <w:rFonts w:hint="eastAsia"/>
          <w:sz w:val="27"/>
          <w:rtl/>
        </w:rPr>
        <w:t>»</w:t>
      </w:r>
      <w:r w:rsidRPr="00904FCB">
        <w:rPr>
          <w:rFonts w:hint="cs"/>
          <w:sz w:val="27"/>
          <w:vertAlign w:val="superscript"/>
          <w:rtl/>
        </w:rPr>
        <w:t>(</w:t>
      </w:r>
      <w:r w:rsidRPr="00904FCB">
        <w:rPr>
          <w:rStyle w:val="ac"/>
          <w:sz w:val="27"/>
          <w:rtl/>
        </w:rPr>
        <w:endnoteReference w:id="172"/>
      </w:r>
      <w:r w:rsidRPr="00904FCB">
        <w:rPr>
          <w:rFonts w:hint="cs"/>
          <w:sz w:val="27"/>
          <w:vertAlign w:val="superscript"/>
          <w:rtl/>
        </w:rPr>
        <w:t>)</w:t>
      </w:r>
      <w:r w:rsidRPr="00904FCB">
        <w:rPr>
          <w:rFonts w:hint="cs"/>
          <w:sz w:val="27"/>
          <w:rtl/>
          <w:lang w:bidi="ar-OM"/>
        </w:rPr>
        <w:t xml:space="preserve">. </w:t>
      </w:r>
    </w:p>
    <w:p w:rsidR="0011213F" w:rsidRPr="00904FCB" w:rsidRDefault="00644408" w:rsidP="007A21AA">
      <w:pPr>
        <w:spacing w:line="400" w:lineRule="exact"/>
        <w:rPr>
          <w:sz w:val="27"/>
          <w:rtl/>
          <w:lang w:bidi="ar-OM"/>
        </w:rPr>
      </w:pPr>
      <w:r w:rsidRPr="00904FCB">
        <w:rPr>
          <w:rFonts w:hint="cs"/>
          <w:sz w:val="27"/>
          <w:rtl/>
          <w:lang w:bidi="ar-OM"/>
        </w:rPr>
        <w:t xml:space="preserve"> ويلاحظ </w:t>
      </w:r>
      <w:r w:rsidR="0011213F" w:rsidRPr="00904FCB">
        <w:rPr>
          <w:rFonts w:hint="cs"/>
          <w:sz w:val="27"/>
          <w:rtl/>
          <w:lang w:bidi="ar-OM"/>
        </w:rPr>
        <w:t>أ</w:t>
      </w:r>
      <w:r w:rsidRPr="00904FCB">
        <w:rPr>
          <w:rFonts w:hint="cs"/>
          <w:sz w:val="27"/>
          <w:rtl/>
          <w:lang w:bidi="ar-OM"/>
        </w:rPr>
        <w:t>نه لم يصر</w:t>
      </w:r>
      <w:r w:rsidR="0011213F" w:rsidRPr="00904FCB">
        <w:rPr>
          <w:rFonts w:hint="cs"/>
          <w:sz w:val="27"/>
          <w:rtl/>
          <w:lang w:bidi="ar-OM"/>
        </w:rPr>
        <w:t>ِّ</w:t>
      </w:r>
      <w:r w:rsidRPr="00904FCB">
        <w:rPr>
          <w:rFonts w:hint="cs"/>
          <w:sz w:val="27"/>
          <w:rtl/>
          <w:lang w:bidi="ar-OM"/>
        </w:rPr>
        <w:t>ح في كل</w:t>
      </w:r>
      <w:r w:rsidR="0011213F" w:rsidRPr="00904FCB">
        <w:rPr>
          <w:rFonts w:hint="cs"/>
          <w:sz w:val="27"/>
          <w:rtl/>
          <w:lang w:bidi="ar-OM"/>
        </w:rPr>
        <w:t>َ</w:t>
      </w:r>
      <w:r w:rsidRPr="00904FCB">
        <w:rPr>
          <w:rFonts w:hint="cs"/>
          <w:sz w:val="27"/>
          <w:rtl/>
          <w:lang w:bidi="ar-OM"/>
        </w:rPr>
        <w:t>ي</w:t>
      </w:r>
      <w:r w:rsidR="0011213F" w:rsidRPr="00904FCB">
        <w:rPr>
          <w:rFonts w:hint="cs"/>
          <w:sz w:val="27"/>
          <w:rtl/>
          <w:lang w:bidi="ar-OM"/>
        </w:rPr>
        <w:t>ْ</w:t>
      </w:r>
      <w:r w:rsidRPr="00904FCB">
        <w:rPr>
          <w:rFonts w:hint="cs"/>
          <w:sz w:val="27"/>
          <w:rtl/>
          <w:lang w:bidi="ar-OM"/>
        </w:rPr>
        <w:t>هما بشرط الذكورة. ولعل ذلك راجع</w:t>
      </w:r>
      <w:r w:rsidR="0011213F" w:rsidRPr="00904FCB">
        <w:rPr>
          <w:rFonts w:hint="cs"/>
          <w:sz w:val="27"/>
          <w:rtl/>
          <w:lang w:bidi="ar-OM"/>
        </w:rPr>
        <w:t>ٌ</w:t>
      </w:r>
      <w:r w:rsidRPr="00904FCB">
        <w:rPr>
          <w:rFonts w:hint="cs"/>
          <w:sz w:val="27"/>
          <w:rtl/>
          <w:lang w:bidi="ar-OM"/>
        </w:rPr>
        <w:t xml:space="preserve"> </w:t>
      </w:r>
      <w:r w:rsidR="0011213F" w:rsidRPr="00904FCB">
        <w:rPr>
          <w:rFonts w:hint="cs"/>
          <w:sz w:val="27"/>
          <w:rtl/>
          <w:lang w:bidi="ar-OM"/>
        </w:rPr>
        <w:t>إ</w:t>
      </w:r>
      <w:r w:rsidRPr="00904FCB">
        <w:rPr>
          <w:rFonts w:hint="cs"/>
          <w:sz w:val="27"/>
          <w:rtl/>
          <w:lang w:bidi="ar-OM"/>
        </w:rPr>
        <w:t xml:space="preserve">لى </w:t>
      </w:r>
      <w:r w:rsidR="0011213F" w:rsidRPr="00904FCB">
        <w:rPr>
          <w:rFonts w:hint="cs"/>
          <w:sz w:val="27"/>
          <w:rtl/>
          <w:lang w:bidi="ar-OM"/>
        </w:rPr>
        <w:t>أ</w:t>
      </w:r>
      <w:r w:rsidRPr="00904FCB">
        <w:rPr>
          <w:rFonts w:hint="cs"/>
          <w:sz w:val="27"/>
          <w:rtl/>
          <w:lang w:bidi="ar-OM"/>
        </w:rPr>
        <w:t xml:space="preserve">نه </w:t>
      </w:r>
      <w:r w:rsidRPr="00904FCB">
        <w:rPr>
          <w:rFonts w:hint="cs"/>
          <w:sz w:val="27"/>
          <w:rtl/>
          <w:lang w:bidi="ar-OM"/>
        </w:rPr>
        <w:lastRenderedPageBreak/>
        <w:t xml:space="preserve">كان بصدد التنظير لأصل الدولة الاسلامية ـ في غياب الإمام المعصوم في نظر الإمامية ـ القائمة على أساس ولاية الفقيه </w:t>
      </w:r>
      <w:r w:rsidRPr="00904FCB">
        <w:rPr>
          <w:sz w:val="27"/>
          <w:rtl/>
          <w:lang w:bidi="ar-OM"/>
        </w:rPr>
        <w:t>ـ</w:t>
      </w:r>
      <w:r w:rsidRPr="00904FCB">
        <w:rPr>
          <w:rFonts w:hint="cs"/>
          <w:sz w:val="27"/>
          <w:rtl/>
          <w:lang w:bidi="ar-OM"/>
        </w:rPr>
        <w:t xml:space="preserve"> ح</w:t>
      </w:r>
      <w:r w:rsidR="0011213F" w:rsidRPr="00904FCB">
        <w:rPr>
          <w:rFonts w:hint="cs"/>
          <w:sz w:val="27"/>
          <w:rtl/>
          <w:lang w:bidi="ar-OM"/>
        </w:rPr>
        <w:t>َ</w:t>
      </w:r>
      <w:r w:rsidRPr="00904FCB">
        <w:rPr>
          <w:rFonts w:hint="cs"/>
          <w:sz w:val="27"/>
          <w:rtl/>
          <w:lang w:bidi="ar-OM"/>
        </w:rPr>
        <w:t>س</w:t>
      </w:r>
      <w:r w:rsidR="0011213F" w:rsidRPr="00904FCB">
        <w:rPr>
          <w:rFonts w:hint="cs"/>
          <w:sz w:val="27"/>
          <w:rtl/>
          <w:lang w:bidi="ar-OM"/>
        </w:rPr>
        <w:t>ْ</w:t>
      </w:r>
      <w:r w:rsidRPr="00904FCB">
        <w:rPr>
          <w:rFonts w:hint="cs"/>
          <w:sz w:val="27"/>
          <w:rtl/>
          <w:lang w:bidi="ar-OM"/>
        </w:rPr>
        <w:t>ب منظوره لاجتهادي ـ</w:t>
      </w:r>
      <w:r w:rsidR="0011213F" w:rsidRPr="00904FCB">
        <w:rPr>
          <w:rFonts w:hint="cs"/>
          <w:sz w:val="27"/>
          <w:rtl/>
          <w:lang w:bidi="ar-OM"/>
        </w:rPr>
        <w:t xml:space="preserve">، </w:t>
      </w:r>
      <w:r w:rsidRPr="00904FCB">
        <w:rPr>
          <w:rFonts w:hint="cs"/>
          <w:sz w:val="27"/>
          <w:rtl/>
          <w:lang w:bidi="ar-OM"/>
        </w:rPr>
        <w:t>ولم يكن بشأن بحث جميع التفاصيل المتعل</w:t>
      </w:r>
      <w:r w:rsidR="0011213F" w:rsidRPr="00904FCB">
        <w:rPr>
          <w:rFonts w:hint="cs"/>
          <w:sz w:val="27"/>
          <w:rtl/>
          <w:lang w:bidi="ar-OM"/>
        </w:rPr>
        <w:t>ِّ</w:t>
      </w:r>
      <w:r w:rsidRPr="00904FCB">
        <w:rPr>
          <w:rFonts w:hint="cs"/>
          <w:sz w:val="27"/>
          <w:rtl/>
          <w:lang w:bidi="ar-OM"/>
        </w:rPr>
        <w:t>قة بها. وربما لذلك لم ي</w:t>
      </w:r>
      <w:r w:rsidR="0011213F" w:rsidRPr="00904FCB">
        <w:rPr>
          <w:rFonts w:hint="cs"/>
          <w:sz w:val="27"/>
          <w:rtl/>
          <w:lang w:bidi="ar-OM"/>
        </w:rPr>
        <w:t>َ</w:t>
      </w:r>
      <w:r w:rsidRPr="00904FCB">
        <w:rPr>
          <w:rFonts w:hint="cs"/>
          <w:sz w:val="27"/>
          <w:rtl/>
          <w:lang w:bidi="ar-OM"/>
        </w:rPr>
        <w:t>ر</w:t>
      </w:r>
      <w:r w:rsidR="0011213F" w:rsidRPr="00904FCB">
        <w:rPr>
          <w:rFonts w:hint="cs"/>
          <w:sz w:val="27"/>
          <w:rtl/>
          <w:lang w:bidi="ar-OM"/>
        </w:rPr>
        <w:t>ِ</w:t>
      </w:r>
      <w:r w:rsidRPr="00904FCB">
        <w:rPr>
          <w:rFonts w:hint="cs"/>
          <w:sz w:val="27"/>
          <w:rtl/>
          <w:lang w:bidi="ar-OM"/>
        </w:rPr>
        <w:t>د</w:t>
      </w:r>
      <w:r w:rsidR="0011213F" w:rsidRPr="00904FCB">
        <w:rPr>
          <w:rFonts w:hint="cs"/>
          <w:sz w:val="27"/>
          <w:rtl/>
          <w:lang w:bidi="ar-OM"/>
        </w:rPr>
        <w:t>ْ</w:t>
      </w:r>
      <w:r w:rsidRPr="00904FCB">
        <w:rPr>
          <w:rFonts w:hint="cs"/>
          <w:sz w:val="27"/>
          <w:rtl/>
          <w:lang w:bidi="ar-OM"/>
        </w:rPr>
        <w:t xml:space="preserve"> إثارة النقاش في مثل هذه المسائل التفصيلية في تلك المرحلة السياسية. ولعله كان يرى أنها من الشروط العامة المفروغ منها</w:t>
      </w:r>
      <w:r w:rsidR="0011213F" w:rsidRPr="00904FCB">
        <w:rPr>
          <w:rFonts w:hint="cs"/>
          <w:sz w:val="27"/>
          <w:rtl/>
          <w:lang w:bidi="ar-OM"/>
        </w:rPr>
        <w:t>،</w:t>
      </w:r>
      <w:r w:rsidRPr="00904FCB">
        <w:rPr>
          <w:rFonts w:hint="cs"/>
          <w:sz w:val="27"/>
          <w:rtl/>
          <w:lang w:bidi="ar-OM"/>
        </w:rPr>
        <w:t xml:space="preserve"> ومن ثم</w:t>
      </w:r>
      <w:r w:rsidR="0011213F" w:rsidRPr="00904FCB">
        <w:rPr>
          <w:rFonts w:hint="cs"/>
          <w:sz w:val="27"/>
          <w:rtl/>
          <w:lang w:bidi="ar-OM"/>
        </w:rPr>
        <w:t>ّ</w:t>
      </w:r>
      <w:r w:rsidRPr="00904FCB">
        <w:rPr>
          <w:rFonts w:hint="cs"/>
          <w:sz w:val="27"/>
          <w:rtl/>
          <w:lang w:bidi="ar-OM"/>
        </w:rPr>
        <w:t xml:space="preserve"> لا تحتاج </w:t>
      </w:r>
      <w:r w:rsidR="0011213F" w:rsidRPr="00904FCB">
        <w:rPr>
          <w:rFonts w:hint="cs"/>
          <w:sz w:val="27"/>
          <w:rtl/>
          <w:lang w:bidi="ar-OM"/>
        </w:rPr>
        <w:t>إ</w:t>
      </w:r>
      <w:r w:rsidRPr="00904FCB">
        <w:rPr>
          <w:rFonts w:hint="cs"/>
          <w:sz w:val="27"/>
          <w:rtl/>
          <w:lang w:bidi="ar-OM"/>
        </w:rPr>
        <w:t xml:space="preserve">لى </w:t>
      </w:r>
      <w:r w:rsidR="0011213F" w:rsidRPr="00904FCB">
        <w:rPr>
          <w:rFonts w:hint="cs"/>
          <w:sz w:val="27"/>
          <w:rtl/>
          <w:lang w:bidi="ar-OM"/>
        </w:rPr>
        <w:t>إ</w:t>
      </w:r>
      <w:r w:rsidRPr="00904FCB">
        <w:rPr>
          <w:rFonts w:hint="cs"/>
          <w:sz w:val="27"/>
          <w:rtl/>
          <w:lang w:bidi="ar-OM"/>
        </w:rPr>
        <w:t>عادة بحث</w:t>
      </w:r>
      <w:r w:rsidR="0011213F" w:rsidRPr="00904FCB">
        <w:rPr>
          <w:rFonts w:hint="cs"/>
          <w:sz w:val="27"/>
          <w:rtl/>
          <w:lang w:bidi="ar-OM"/>
        </w:rPr>
        <w:t>،</w:t>
      </w:r>
      <w:r w:rsidRPr="00904FCB">
        <w:rPr>
          <w:rFonts w:hint="cs"/>
          <w:sz w:val="27"/>
          <w:rtl/>
          <w:lang w:bidi="ar-OM"/>
        </w:rPr>
        <w:t xml:space="preserve"> ولهذا اقتصر على أهم</w:t>
      </w:r>
      <w:r w:rsidR="0011213F" w:rsidRPr="00904FCB">
        <w:rPr>
          <w:rFonts w:hint="cs"/>
          <w:sz w:val="27"/>
          <w:rtl/>
          <w:lang w:bidi="ar-OM"/>
        </w:rPr>
        <w:t>ّ</w:t>
      </w:r>
      <w:r w:rsidRPr="00904FCB">
        <w:rPr>
          <w:rFonts w:hint="cs"/>
          <w:sz w:val="27"/>
          <w:rtl/>
          <w:lang w:bidi="ar-OM"/>
        </w:rPr>
        <w:t xml:space="preserve"> الشروط الداخلة في أصل الموضوع، كما أوضح في عبارته الأولى </w:t>
      </w:r>
      <w:r w:rsidR="0011213F" w:rsidRPr="00904FCB">
        <w:rPr>
          <w:rFonts w:hint="cs"/>
          <w:sz w:val="27"/>
          <w:rtl/>
          <w:lang w:bidi="ar-OM"/>
        </w:rPr>
        <w:t>المتقدّمة</w:t>
      </w:r>
      <w:r w:rsidRPr="00904FCB">
        <w:rPr>
          <w:rFonts w:hint="cs"/>
          <w:sz w:val="27"/>
          <w:rtl/>
          <w:lang w:bidi="ar-OM"/>
        </w:rPr>
        <w:t>. ولكن</w:t>
      </w:r>
      <w:r w:rsidR="0011213F" w:rsidRPr="00904FCB">
        <w:rPr>
          <w:rFonts w:hint="cs"/>
          <w:sz w:val="27"/>
          <w:rtl/>
          <w:lang w:bidi="ar-OM"/>
        </w:rPr>
        <w:t>ّ</w:t>
      </w:r>
      <w:r w:rsidRPr="00904FCB">
        <w:rPr>
          <w:rFonts w:hint="cs"/>
          <w:sz w:val="27"/>
          <w:rtl/>
          <w:lang w:bidi="ar-OM"/>
        </w:rPr>
        <w:t xml:space="preserve">ه ـ في ذات الوقت ـ أفتى باشتراط الذكورة في القضاء في كتابه الفقهي </w:t>
      </w:r>
      <w:r w:rsidR="0011213F" w:rsidRPr="00904FCB">
        <w:rPr>
          <w:rFonts w:hint="cs"/>
          <w:sz w:val="27"/>
          <w:rtl/>
          <w:lang w:bidi="ar-OM"/>
        </w:rPr>
        <w:t>(</w:t>
      </w:r>
      <w:r w:rsidRPr="00904FCB">
        <w:rPr>
          <w:rFonts w:hint="cs"/>
          <w:sz w:val="27"/>
          <w:rtl/>
          <w:lang w:bidi="ar-OM"/>
        </w:rPr>
        <w:t>تحرير الوسيلة</w:t>
      </w:r>
      <w:r w:rsidR="0011213F" w:rsidRPr="00904FCB">
        <w:rPr>
          <w:rFonts w:hint="cs"/>
          <w:sz w:val="27"/>
          <w:rtl/>
          <w:lang w:bidi="ar-OM"/>
        </w:rPr>
        <w:t>)</w:t>
      </w:r>
      <w:r w:rsidRPr="00904FCB">
        <w:rPr>
          <w:rFonts w:hint="cs"/>
          <w:sz w:val="27"/>
          <w:vertAlign w:val="superscript"/>
          <w:rtl/>
        </w:rPr>
        <w:t>(</w:t>
      </w:r>
      <w:r w:rsidRPr="00904FCB">
        <w:rPr>
          <w:rStyle w:val="ac"/>
          <w:sz w:val="27"/>
          <w:rtl/>
        </w:rPr>
        <w:endnoteReference w:id="173"/>
      </w:r>
      <w:r w:rsidRPr="00904FCB">
        <w:rPr>
          <w:rFonts w:hint="cs"/>
          <w:sz w:val="27"/>
          <w:vertAlign w:val="superscript"/>
          <w:rtl/>
        </w:rPr>
        <w:t>)</w:t>
      </w:r>
      <w:r w:rsidRPr="00904FCB">
        <w:rPr>
          <w:rFonts w:hint="cs"/>
          <w:sz w:val="27"/>
          <w:rtl/>
          <w:lang w:bidi="ar-OM"/>
        </w:rPr>
        <w:t xml:space="preserve">. وهذا قد يعني </w:t>
      </w:r>
      <w:r w:rsidR="0011213F" w:rsidRPr="00904FCB">
        <w:rPr>
          <w:rFonts w:hint="cs"/>
          <w:sz w:val="27"/>
          <w:rtl/>
          <w:lang w:bidi="ar-OM"/>
        </w:rPr>
        <w:t>أ</w:t>
      </w:r>
      <w:r w:rsidRPr="00904FCB">
        <w:rPr>
          <w:rFonts w:hint="cs"/>
          <w:sz w:val="27"/>
          <w:rtl/>
          <w:lang w:bidi="ar-OM"/>
        </w:rPr>
        <w:t>نه يشترطها في</w:t>
      </w:r>
      <w:r w:rsidR="0011213F" w:rsidRPr="00904FCB">
        <w:rPr>
          <w:rFonts w:hint="cs"/>
          <w:sz w:val="27"/>
          <w:rtl/>
          <w:lang w:bidi="ar-OM"/>
        </w:rPr>
        <w:t xml:space="preserve"> </w:t>
      </w:r>
      <w:r w:rsidRPr="00904FCB">
        <w:rPr>
          <w:rFonts w:hint="cs"/>
          <w:sz w:val="27"/>
          <w:rtl/>
          <w:lang w:bidi="ar-OM"/>
        </w:rPr>
        <w:t>م</w:t>
      </w:r>
      <w:r w:rsidR="0011213F" w:rsidRPr="00904FCB">
        <w:rPr>
          <w:rFonts w:hint="cs"/>
          <w:sz w:val="27"/>
          <w:rtl/>
          <w:lang w:bidi="ar-OM"/>
        </w:rPr>
        <w:t>َ</w:t>
      </w:r>
      <w:r w:rsidRPr="00904FCB">
        <w:rPr>
          <w:rFonts w:hint="cs"/>
          <w:sz w:val="27"/>
          <w:rtl/>
          <w:lang w:bidi="ar-OM"/>
        </w:rPr>
        <w:t>ن</w:t>
      </w:r>
      <w:r w:rsidR="0011213F" w:rsidRPr="00904FCB">
        <w:rPr>
          <w:rFonts w:hint="cs"/>
          <w:sz w:val="27"/>
          <w:rtl/>
          <w:lang w:bidi="ar-OM"/>
        </w:rPr>
        <w:t>ْ</w:t>
      </w:r>
      <w:r w:rsidRPr="00904FCB">
        <w:rPr>
          <w:rFonts w:hint="cs"/>
          <w:sz w:val="27"/>
          <w:rtl/>
          <w:lang w:bidi="ar-OM"/>
        </w:rPr>
        <w:t xml:space="preserve"> يتولى السلطة العليا من باب</w:t>
      </w:r>
      <w:r w:rsidR="0011213F" w:rsidRPr="00904FCB">
        <w:rPr>
          <w:rFonts w:hint="cs"/>
          <w:sz w:val="27"/>
          <w:rtl/>
          <w:lang w:bidi="ar-OM"/>
        </w:rPr>
        <w:t>ٍ</w:t>
      </w:r>
      <w:r w:rsidRPr="00904FCB">
        <w:rPr>
          <w:rFonts w:hint="cs"/>
          <w:sz w:val="27"/>
          <w:rtl/>
          <w:lang w:bidi="ar-OM"/>
        </w:rPr>
        <w:t xml:space="preserve"> أولى. كما يلاحظ </w:t>
      </w:r>
      <w:r w:rsidR="0011213F" w:rsidRPr="00904FCB">
        <w:rPr>
          <w:rFonts w:hint="cs"/>
          <w:sz w:val="27"/>
          <w:rtl/>
          <w:lang w:bidi="ar-OM"/>
        </w:rPr>
        <w:t>أ</w:t>
      </w:r>
      <w:r w:rsidRPr="00904FCB">
        <w:rPr>
          <w:rFonts w:hint="cs"/>
          <w:sz w:val="27"/>
          <w:rtl/>
          <w:lang w:bidi="ar-OM"/>
        </w:rPr>
        <w:t>نه لم يصر</w:t>
      </w:r>
      <w:r w:rsidR="0011213F" w:rsidRPr="00904FCB">
        <w:rPr>
          <w:rFonts w:hint="cs"/>
          <w:sz w:val="27"/>
          <w:rtl/>
          <w:lang w:bidi="ar-OM"/>
        </w:rPr>
        <w:t>ِّ</w:t>
      </w:r>
      <w:r w:rsidRPr="00904FCB">
        <w:rPr>
          <w:rFonts w:hint="cs"/>
          <w:sz w:val="27"/>
          <w:rtl/>
          <w:lang w:bidi="ar-OM"/>
        </w:rPr>
        <w:t>ح باشتراطها في مرجع التقليد</w:t>
      </w:r>
      <w:r w:rsidRPr="00904FCB">
        <w:rPr>
          <w:rFonts w:hint="cs"/>
          <w:sz w:val="27"/>
          <w:vertAlign w:val="superscript"/>
          <w:rtl/>
        </w:rPr>
        <w:t>(</w:t>
      </w:r>
      <w:r w:rsidRPr="00904FCB">
        <w:rPr>
          <w:rStyle w:val="ac"/>
          <w:sz w:val="27"/>
          <w:rtl/>
        </w:rPr>
        <w:endnoteReference w:id="174"/>
      </w:r>
      <w:r w:rsidRPr="00904FCB">
        <w:rPr>
          <w:rFonts w:hint="cs"/>
          <w:sz w:val="27"/>
          <w:vertAlign w:val="superscript"/>
          <w:rtl/>
        </w:rPr>
        <w:t>)</w:t>
      </w:r>
      <w:r w:rsidR="0011213F"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ويشترط بعض الفقهاء الذكورة في</w:t>
      </w:r>
      <w:r w:rsidR="0011213F" w:rsidRPr="00904FCB">
        <w:rPr>
          <w:rFonts w:hint="cs"/>
          <w:sz w:val="27"/>
          <w:rtl/>
          <w:lang w:bidi="ar-OM"/>
        </w:rPr>
        <w:t xml:space="preserve"> </w:t>
      </w:r>
      <w:r w:rsidRPr="00904FCB">
        <w:rPr>
          <w:rFonts w:hint="cs"/>
          <w:sz w:val="27"/>
          <w:rtl/>
          <w:lang w:bidi="ar-OM"/>
        </w:rPr>
        <w:t>م</w:t>
      </w:r>
      <w:r w:rsidR="0011213F" w:rsidRPr="00904FCB">
        <w:rPr>
          <w:rFonts w:hint="cs"/>
          <w:sz w:val="27"/>
          <w:rtl/>
          <w:lang w:bidi="ar-OM"/>
        </w:rPr>
        <w:t>َ</w:t>
      </w:r>
      <w:r w:rsidRPr="00904FCB">
        <w:rPr>
          <w:rFonts w:hint="cs"/>
          <w:sz w:val="27"/>
          <w:rtl/>
          <w:lang w:bidi="ar-OM"/>
        </w:rPr>
        <w:t>ن</w:t>
      </w:r>
      <w:r w:rsidR="0011213F" w:rsidRPr="00904FCB">
        <w:rPr>
          <w:rFonts w:hint="cs"/>
          <w:sz w:val="27"/>
          <w:rtl/>
          <w:lang w:bidi="ar-OM"/>
        </w:rPr>
        <w:t>ْ</w:t>
      </w:r>
      <w:r w:rsidRPr="00904FCB">
        <w:rPr>
          <w:rFonts w:hint="cs"/>
          <w:sz w:val="27"/>
          <w:rtl/>
          <w:lang w:bidi="ar-OM"/>
        </w:rPr>
        <w:t xml:space="preserve"> يتول</w:t>
      </w:r>
      <w:r w:rsidR="0011213F" w:rsidRPr="00904FCB">
        <w:rPr>
          <w:rFonts w:hint="cs"/>
          <w:sz w:val="27"/>
          <w:rtl/>
          <w:lang w:bidi="ar-OM"/>
        </w:rPr>
        <w:t>ّ</w:t>
      </w:r>
      <w:r w:rsidRPr="00904FCB">
        <w:rPr>
          <w:rFonts w:hint="cs"/>
          <w:sz w:val="27"/>
          <w:rtl/>
          <w:lang w:bidi="ar-OM"/>
        </w:rPr>
        <w:t>ى السلطة العليا بالأولوية، بناء</w:t>
      </w:r>
      <w:r w:rsidR="0011213F" w:rsidRPr="00904FCB">
        <w:rPr>
          <w:rFonts w:hint="cs"/>
          <w:sz w:val="27"/>
          <w:rtl/>
          <w:lang w:bidi="ar-OM"/>
        </w:rPr>
        <w:t>ً</w:t>
      </w:r>
      <w:r w:rsidRPr="00904FCB">
        <w:rPr>
          <w:rFonts w:hint="cs"/>
          <w:sz w:val="27"/>
          <w:rtl/>
          <w:lang w:bidi="ar-OM"/>
        </w:rPr>
        <w:t xml:space="preserve"> على اشتراطها في</w:t>
      </w:r>
      <w:r w:rsidR="0011213F" w:rsidRPr="00904FCB">
        <w:rPr>
          <w:rFonts w:hint="cs"/>
          <w:sz w:val="27"/>
          <w:rtl/>
          <w:lang w:bidi="ar-OM"/>
        </w:rPr>
        <w:t xml:space="preserve"> </w:t>
      </w:r>
      <w:r w:rsidRPr="00904FCB">
        <w:rPr>
          <w:rFonts w:hint="cs"/>
          <w:sz w:val="27"/>
          <w:rtl/>
          <w:lang w:bidi="ar-OM"/>
        </w:rPr>
        <w:t>م</w:t>
      </w:r>
      <w:r w:rsidR="0011213F" w:rsidRPr="00904FCB">
        <w:rPr>
          <w:rFonts w:hint="cs"/>
          <w:sz w:val="27"/>
          <w:rtl/>
          <w:lang w:bidi="ar-OM"/>
        </w:rPr>
        <w:t>َ</w:t>
      </w:r>
      <w:r w:rsidRPr="00904FCB">
        <w:rPr>
          <w:rFonts w:hint="cs"/>
          <w:sz w:val="27"/>
          <w:rtl/>
          <w:lang w:bidi="ar-OM"/>
        </w:rPr>
        <w:t>ن</w:t>
      </w:r>
      <w:r w:rsidR="0011213F" w:rsidRPr="00904FCB">
        <w:rPr>
          <w:rFonts w:hint="cs"/>
          <w:sz w:val="27"/>
          <w:rtl/>
          <w:lang w:bidi="ar-OM"/>
        </w:rPr>
        <w:t>ْ</w:t>
      </w:r>
      <w:r w:rsidRPr="00904FCB">
        <w:rPr>
          <w:rFonts w:hint="cs"/>
          <w:sz w:val="27"/>
          <w:rtl/>
          <w:lang w:bidi="ar-OM"/>
        </w:rPr>
        <w:t xml:space="preserve"> يتولى القضاء</w:t>
      </w:r>
      <w:r w:rsidR="0011213F" w:rsidRPr="00904FCB">
        <w:rPr>
          <w:rFonts w:hint="cs"/>
          <w:sz w:val="27"/>
          <w:rtl/>
          <w:lang w:bidi="ar-OM"/>
        </w:rPr>
        <w:t>؛</w:t>
      </w:r>
      <w:r w:rsidRPr="00904FCB">
        <w:rPr>
          <w:rFonts w:hint="cs"/>
          <w:sz w:val="27"/>
          <w:rtl/>
          <w:lang w:bidi="ar-OM"/>
        </w:rPr>
        <w:t xml:space="preserve"> نظرا</w:t>
      </w:r>
      <w:r w:rsidR="0011213F" w:rsidRPr="00904FCB">
        <w:rPr>
          <w:rFonts w:hint="cs"/>
          <w:sz w:val="27"/>
          <w:rtl/>
          <w:lang w:bidi="ar-OM"/>
        </w:rPr>
        <w:t>ً</w:t>
      </w:r>
      <w:r w:rsidRPr="00904FCB">
        <w:rPr>
          <w:rFonts w:hint="cs"/>
          <w:sz w:val="27"/>
          <w:rtl/>
          <w:lang w:bidi="ar-OM"/>
        </w:rPr>
        <w:t xml:space="preserve"> لاعتبارهم القضاء من مناصب الولاية</w:t>
      </w:r>
      <w:r w:rsidR="0011213F" w:rsidRPr="00904FCB">
        <w:rPr>
          <w:rFonts w:hint="cs"/>
          <w:sz w:val="27"/>
          <w:rtl/>
          <w:lang w:bidi="ar-OM"/>
        </w:rPr>
        <w:t>،</w:t>
      </w:r>
      <w:r w:rsidRPr="00904FCB">
        <w:rPr>
          <w:rFonts w:hint="cs"/>
          <w:sz w:val="27"/>
          <w:rtl/>
          <w:lang w:bidi="ar-OM"/>
        </w:rPr>
        <w:t xml:space="preserve"> ولوضوح الموقف الفقهي حوله لديهم. يقول السبحاني</w:t>
      </w:r>
      <w:r w:rsidR="0011213F" w:rsidRPr="00904FCB">
        <w:rPr>
          <w:rFonts w:hint="cs"/>
          <w:sz w:val="27"/>
          <w:rtl/>
          <w:lang w:bidi="ar-OM"/>
        </w:rPr>
        <w:t>:</w:t>
      </w:r>
      <w:r w:rsidRPr="00904FCB">
        <w:rPr>
          <w:rFonts w:hint="cs"/>
          <w:sz w:val="27"/>
          <w:rtl/>
          <w:lang w:bidi="ar-OM"/>
        </w:rPr>
        <w:t xml:space="preserve"> </w:t>
      </w:r>
      <w:r w:rsidRPr="00904FCB">
        <w:rPr>
          <w:rFonts w:hint="eastAsia"/>
          <w:sz w:val="27"/>
          <w:rtl/>
          <w:lang w:bidi="ar-OM"/>
        </w:rPr>
        <w:t>«</w:t>
      </w:r>
      <w:r w:rsidR="0011213F" w:rsidRPr="00904FCB">
        <w:rPr>
          <w:rFonts w:hint="cs"/>
          <w:sz w:val="27"/>
          <w:rtl/>
          <w:lang w:bidi="ar-OM"/>
        </w:rPr>
        <w:t>إ</w:t>
      </w:r>
      <w:r w:rsidRPr="00904FCB">
        <w:rPr>
          <w:rFonts w:hint="cs"/>
          <w:sz w:val="27"/>
          <w:rtl/>
          <w:lang w:bidi="ar-OM"/>
        </w:rPr>
        <w:t>ذا كان تول</w:t>
      </w:r>
      <w:r w:rsidR="0011213F" w:rsidRPr="00904FCB">
        <w:rPr>
          <w:rFonts w:hint="cs"/>
          <w:sz w:val="27"/>
          <w:rtl/>
          <w:lang w:bidi="ar-OM"/>
        </w:rPr>
        <w:t>ّ</w:t>
      </w:r>
      <w:r w:rsidRPr="00904FCB">
        <w:rPr>
          <w:rFonts w:hint="cs"/>
          <w:sz w:val="27"/>
          <w:rtl/>
          <w:lang w:bidi="ar-OM"/>
        </w:rPr>
        <w:t>ي القضاء محظورا</w:t>
      </w:r>
      <w:r w:rsidR="0011213F" w:rsidRPr="00904FCB">
        <w:rPr>
          <w:rFonts w:hint="cs"/>
          <w:sz w:val="27"/>
          <w:rtl/>
          <w:lang w:bidi="ar-OM"/>
        </w:rPr>
        <w:t>ً</w:t>
      </w:r>
      <w:r w:rsidRPr="00904FCB">
        <w:rPr>
          <w:rFonts w:hint="cs"/>
          <w:sz w:val="27"/>
          <w:rtl/>
          <w:lang w:bidi="ar-OM"/>
        </w:rPr>
        <w:t xml:space="preserve"> على المرأة</w:t>
      </w:r>
      <w:r w:rsidR="0011213F" w:rsidRPr="00904FCB">
        <w:rPr>
          <w:rFonts w:hint="cs"/>
          <w:sz w:val="27"/>
          <w:rtl/>
          <w:lang w:bidi="ar-OM"/>
        </w:rPr>
        <w:t xml:space="preserve">، </w:t>
      </w:r>
      <w:r w:rsidRPr="00904FCB">
        <w:rPr>
          <w:rFonts w:hint="cs"/>
          <w:sz w:val="27"/>
          <w:rtl/>
          <w:lang w:bidi="ar-OM"/>
        </w:rPr>
        <w:t>وهو ليس إلا</w:t>
      </w:r>
      <w:r w:rsidR="0011213F" w:rsidRPr="00904FCB">
        <w:rPr>
          <w:rFonts w:hint="cs"/>
          <w:sz w:val="27"/>
          <w:rtl/>
          <w:lang w:bidi="ar-OM"/>
        </w:rPr>
        <w:t>ّ</w:t>
      </w:r>
      <w:r w:rsidRPr="00904FCB">
        <w:rPr>
          <w:rFonts w:hint="cs"/>
          <w:sz w:val="27"/>
          <w:rtl/>
          <w:lang w:bidi="ar-OM"/>
        </w:rPr>
        <w:t xml:space="preserve"> شعبة محدودة من شعب الزعامة والولاية، كان خطر تول</w:t>
      </w:r>
      <w:r w:rsidR="0011213F" w:rsidRPr="00904FCB">
        <w:rPr>
          <w:rFonts w:hint="cs"/>
          <w:sz w:val="27"/>
          <w:rtl/>
          <w:lang w:bidi="ar-OM"/>
        </w:rPr>
        <w:t>ّ</w:t>
      </w:r>
      <w:r w:rsidRPr="00904FCB">
        <w:rPr>
          <w:rFonts w:hint="cs"/>
          <w:sz w:val="27"/>
          <w:rtl/>
          <w:lang w:bidi="ar-OM"/>
        </w:rPr>
        <w:t>ي الرئاسة العليا للبلاد</w:t>
      </w:r>
      <w:r w:rsidR="0011213F" w:rsidRPr="00904FCB">
        <w:rPr>
          <w:rFonts w:hint="cs"/>
          <w:sz w:val="27"/>
          <w:rtl/>
          <w:lang w:bidi="ar-OM"/>
        </w:rPr>
        <w:t>،</w:t>
      </w:r>
      <w:r w:rsidRPr="00904FCB">
        <w:rPr>
          <w:rFonts w:hint="cs"/>
          <w:sz w:val="27"/>
          <w:rtl/>
          <w:lang w:bidi="ar-OM"/>
        </w:rPr>
        <w:t xml:space="preserve"> والتي يأخذ الرئيس والحاكم الأعلى بموجبها بمقادير الأم</w:t>
      </w:r>
      <w:r w:rsidR="0011213F" w:rsidRPr="00904FCB">
        <w:rPr>
          <w:rFonts w:hint="cs"/>
          <w:sz w:val="27"/>
          <w:rtl/>
          <w:lang w:bidi="ar-OM"/>
        </w:rPr>
        <w:t>ّ</w:t>
      </w:r>
      <w:r w:rsidRPr="00904FCB">
        <w:rPr>
          <w:rFonts w:hint="cs"/>
          <w:sz w:val="27"/>
          <w:rtl/>
          <w:lang w:bidi="ar-OM"/>
        </w:rPr>
        <w:t>ة، بطريق</w:t>
      </w:r>
      <w:r w:rsidR="0011213F" w:rsidRPr="00904FCB">
        <w:rPr>
          <w:rFonts w:hint="cs"/>
          <w:sz w:val="27"/>
          <w:rtl/>
          <w:lang w:bidi="ar-OM"/>
        </w:rPr>
        <w:t xml:space="preserve">ٍ </w:t>
      </w:r>
      <w:r w:rsidRPr="00904FCB">
        <w:rPr>
          <w:rFonts w:hint="cs"/>
          <w:sz w:val="27"/>
          <w:rtl/>
          <w:lang w:bidi="ar-OM"/>
        </w:rPr>
        <w:t>أولى</w:t>
      </w:r>
      <w:r w:rsidRPr="00904FCB">
        <w:rPr>
          <w:rFonts w:hint="eastAsia"/>
          <w:sz w:val="27"/>
          <w:rtl/>
        </w:rPr>
        <w:t>»</w:t>
      </w:r>
      <w:r w:rsidRPr="00904FCB">
        <w:rPr>
          <w:rFonts w:hint="cs"/>
          <w:sz w:val="27"/>
          <w:vertAlign w:val="superscript"/>
          <w:rtl/>
        </w:rPr>
        <w:t>(</w:t>
      </w:r>
      <w:r w:rsidRPr="00904FCB">
        <w:rPr>
          <w:rStyle w:val="ac"/>
          <w:sz w:val="27"/>
          <w:rtl/>
        </w:rPr>
        <w:endnoteReference w:id="175"/>
      </w:r>
      <w:r w:rsidRPr="00904FCB">
        <w:rPr>
          <w:rFonts w:hint="cs"/>
          <w:sz w:val="27"/>
          <w:vertAlign w:val="superscript"/>
          <w:rtl/>
        </w:rPr>
        <w:t>)</w:t>
      </w:r>
      <w:r w:rsidRPr="00904FCB">
        <w:rPr>
          <w:rFonts w:hint="cs"/>
          <w:sz w:val="27"/>
          <w:rtl/>
          <w:lang w:bidi="ar-OM"/>
        </w:rPr>
        <w:t>.</w:t>
      </w:r>
    </w:p>
    <w:p w:rsidR="00644408" w:rsidRPr="00904FCB" w:rsidRDefault="00644408" w:rsidP="007A21AA">
      <w:pPr>
        <w:spacing w:line="400" w:lineRule="exact"/>
        <w:rPr>
          <w:sz w:val="27"/>
          <w:rtl/>
          <w:lang w:bidi="ar-OM"/>
        </w:rPr>
      </w:pPr>
    </w:p>
    <w:p w:rsidR="00644408" w:rsidRPr="00904FCB" w:rsidRDefault="00644408" w:rsidP="007A21AA">
      <w:pPr>
        <w:pStyle w:val="31"/>
        <w:spacing w:line="400" w:lineRule="exact"/>
        <w:rPr>
          <w:color w:val="auto"/>
          <w:rtl/>
          <w:lang w:bidi="ar-OM"/>
        </w:rPr>
      </w:pPr>
      <w:r w:rsidRPr="00904FCB">
        <w:rPr>
          <w:rFonts w:hint="cs"/>
          <w:color w:val="auto"/>
          <w:rtl/>
          <w:lang w:bidi="ar-OM"/>
        </w:rPr>
        <w:t>ب ـ حرمة تول</w:t>
      </w:r>
      <w:r w:rsidR="0011213F" w:rsidRPr="00904FCB">
        <w:rPr>
          <w:rFonts w:hint="cs"/>
          <w:color w:val="auto"/>
          <w:rtl/>
          <w:lang w:bidi="ar-OM"/>
        </w:rPr>
        <w:t>ّ</w:t>
      </w:r>
      <w:r w:rsidRPr="00904FCB">
        <w:rPr>
          <w:rFonts w:hint="cs"/>
          <w:color w:val="auto"/>
          <w:rtl/>
          <w:lang w:bidi="ar-OM"/>
        </w:rPr>
        <w:t xml:space="preserve">ي المرأة لمنصب القضاء </w:t>
      </w:r>
    </w:p>
    <w:p w:rsidR="00644408" w:rsidRPr="00904FCB" w:rsidRDefault="00644408" w:rsidP="007A21AA">
      <w:pPr>
        <w:spacing w:line="400" w:lineRule="exact"/>
        <w:rPr>
          <w:sz w:val="27"/>
          <w:rtl/>
          <w:lang w:bidi="ar-OM"/>
        </w:rPr>
      </w:pPr>
      <w:r w:rsidRPr="00904FCB">
        <w:rPr>
          <w:rFonts w:hint="cs"/>
          <w:sz w:val="27"/>
          <w:rtl/>
          <w:lang w:bidi="ar-OM"/>
        </w:rPr>
        <w:t>لا يختلف الموقف كثيرا</w:t>
      </w:r>
      <w:r w:rsidR="0011213F" w:rsidRPr="00904FCB">
        <w:rPr>
          <w:rFonts w:hint="cs"/>
          <w:sz w:val="27"/>
          <w:rtl/>
          <w:lang w:bidi="ar-OM"/>
        </w:rPr>
        <w:t>ً</w:t>
      </w:r>
      <w:r w:rsidRPr="00904FCB">
        <w:rPr>
          <w:rFonts w:hint="cs"/>
          <w:sz w:val="27"/>
          <w:rtl/>
          <w:lang w:bidi="ar-OM"/>
        </w:rPr>
        <w:t xml:space="preserve"> لدى الات</w:t>
      </w:r>
      <w:r w:rsidR="0011213F" w:rsidRPr="00904FCB">
        <w:rPr>
          <w:rFonts w:hint="cs"/>
          <w:sz w:val="27"/>
          <w:rtl/>
          <w:lang w:bidi="ar-OM"/>
        </w:rPr>
        <w:t>ّ</w:t>
      </w:r>
      <w:r w:rsidRPr="00904FCB">
        <w:rPr>
          <w:rFonts w:hint="cs"/>
          <w:sz w:val="27"/>
          <w:rtl/>
          <w:lang w:bidi="ar-OM"/>
        </w:rPr>
        <w:t xml:space="preserve">جاه المانع في تأكيده </w:t>
      </w:r>
      <w:r w:rsidRPr="00904FCB">
        <w:rPr>
          <w:sz w:val="27"/>
          <w:rtl/>
          <w:lang w:bidi="ar-OM"/>
        </w:rPr>
        <w:t xml:space="preserve">على </w:t>
      </w:r>
      <w:r w:rsidRPr="00904FCB">
        <w:rPr>
          <w:rFonts w:hint="cs"/>
          <w:sz w:val="27"/>
          <w:rtl/>
          <w:lang w:bidi="ar-OM"/>
        </w:rPr>
        <w:t xml:space="preserve">شرط </w:t>
      </w:r>
      <w:r w:rsidRPr="00904FCB">
        <w:rPr>
          <w:sz w:val="27"/>
          <w:rtl/>
          <w:lang w:bidi="ar-OM"/>
        </w:rPr>
        <w:t xml:space="preserve">الرجولة في القاضي. </w:t>
      </w:r>
      <w:r w:rsidRPr="00904FCB">
        <w:rPr>
          <w:rFonts w:hint="cs"/>
          <w:sz w:val="27"/>
          <w:rtl/>
          <w:lang w:bidi="ar-OM"/>
        </w:rPr>
        <w:t>أما أسباب هذا الشرط فمرد</w:t>
      </w:r>
      <w:r w:rsidR="0011213F" w:rsidRPr="00904FCB">
        <w:rPr>
          <w:rFonts w:hint="cs"/>
          <w:sz w:val="27"/>
          <w:rtl/>
          <w:lang w:bidi="ar-OM"/>
        </w:rPr>
        <w:t>ّ</w:t>
      </w:r>
      <w:r w:rsidRPr="00904FCB">
        <w:rPr>
          <w:rFonts w:hint="cs"/>
          <w:sz w:val="27"/>
          <w:rtl/>
          <w:lang w:bidi="ar-OM"/>
        </w:rPr>
        <w:t>ها إلى ذات التعليلات الدينية والثقافية التي سبقت في بحث السلطة العليا</w:t>
      </w:r>
      <w:r w:rsidR="0011213F" w:rsidRPr="00904FCB">
        <w:rPr>
          <w:rFonts w:hint="cs"/>
          <w:sz w:val="27"/>
          <w:rtl/>
          <w:lang w:bidi="ar-OM"/>
        </w:rPr>
        <w:t>.</w:t>
      </w:r>
      <w:r w:rsidRPr="00904FCB">
        <w:rPr>
          <w:rFonts w:hint="cs"/>
          <w:sz w:val="27"/>
          <w:rtl/>
          <w:lang w:bidi="ar-OM"/>
        </w:rPr>
        <w:t xml:space="preserve"> وسنشير </w:t>
      </w:r>
      <w:r w:rsidR="0011213F" w:rsidRPr="00904FCB">
        <w:rPr>
          <w:rFonts w:hint="cs"/>
          <w:sz w:val="27"/>
          <w:rtl/>
          <w:lang w:bidi="ar-OM"/>
        </w:rPr>
        <w:t>إ</w:t>
      </w:r>
      <w:r w:rsidRPr="00904FCB">
        <w:rPr>
          <w:rFonts w:hint="cs"/>
          <w:sz w:val="27"/>
          <w:rtl/>
          <w:lang w:bidi="ar-OM"/>
        </w:rPr>
        <w:t>لى بعضها كما ورد</w:t>
      </w:r>
      <w:r w:rsidR="0011213F" w:rsidRPr="00904FCB">
        <w:rPr>
          <w:rFonts w:hint="cs"/>
          <w:sz w:val="27"/>
          <w:rtl/>
          <w:lang w:bidi="ar-OM"/>
        </w:rPr>
        <w:t>َ</w:t>
      </w:r>
      <w:r w:rsidRPr="00904FCB">
        <w:rPr>
          <w:rFonts w:hint="cs"/>
          <w:sz w:val="27"/>
          <w:rtl/>
          <w:lang w:bidi="ar-OM"/>
        </w:rPr>
        <w:t>ت</w:t>
      </w:r>
      <w:r w:rsidR="0011213F" w:rsidRPr="00904FCB">
        <w:rPr>
          <w:rFonts w:hint="cs"/>
          <w:sz w:val="27"/>
          <w:rtl/>
          <w:lang w:bidi="ar-OM"/>
        </w:rPr>
        <w:t>ْ</w:t>
      </w:r>
      <w:r w:rsidRPr="00904FCB">
        <w:rPr>
          <w:rFonts w:hint="cs"/>
          <w:sz w:val="27"/>
          <w:rtl/>
          <w:lang w:bidi="ar-OM"/>
        </w:rPr>
        <w:t xml:space="preserve"> في كلماتهم. </w:t>
      </w:r>
    </w:p>
    <w:p w:rsidR="0011213F" w:rsidRPr="00904FCB" w:rsidRDefault="00644408" w:rsidP="007A21AA">
      <w:pPr>
        <w:spacing w:line="400" w:lineRule="exact"/>
        <w:rPr>
          <w:sz w:val="27"/>
          <w:rtl/>
          <w:lang w:bidi="ar-OM"/>
        </w:rPr>
      </w:pPr>
      <w:r w:rsidRPr="00904FCB">
        <w:rPr>
          <w:rFonts w:hint="cs"/>
          <w:sz w:val="27"/>
          <w:rtl/>
          <w:lang w:bidi="ar-OM"/>
        </w:rPr>
        <w:t>فالماوردي(</w:t>
      </w:r>
      <w:r w:rsidRPr="00DF101A">
        <w:rPr>
          <w:rFonts w:hint="cs"/>
          <w:sz w:val="27"/>
          <w:rtl/>
          <w:lang w:bidi="ar-OM"/>
        </w:rPr>
        <w:t>450هـ</w:t>
      </w:r>
      <w:r w:rsidRPr="00904FCB">
        <w:rPr>
          <w:rFonts w:hint="cs"/>
          <w:sz w:val="27"/>
          <w:rtl/>
          <w:lang w:bidi="ar-OM"/>
        </w:rPr>
        <w:t>) عند تعداده شروط تقل</w:t>
      </w:r>
      <w:r w:rsidR="0011213F" w:rsidRPr="00904FCB">
        <w:rPr>
          <w:rFonts w:hint="cs"/>
          <w:sz w:val="27"/>
          <w:rtl/>
          <w:lang w:bidi="ar-OM"/>
        </w:rPr>
        <w:t>ُّ</w:t>
      </w:r>
      <w:r w:rsidRPr="00904FCB">
        <w:rPr>
          <w:rFonts w:hint="cs"/>
          <w:sz w:val="27"/>
          <w:rtl/>
          <w:lang w:bidi="ar-OM"/>
        </w:rPr>
        <w:t>د القضاء صر</w:t>
      </w:r>
      <w:r w:rsidR="0011213F" w:rsidRPr="00904FCB">
        <w:rPr>
          <w:rFonts w:hint="cs"/>
          <w:sz w:val="27"/>
          <w:rtl/>
          <w:lang w:bidi="ar-OM"/>
        </w:rPr>
        <w:t>َّ</w:t>
      </w:r>
      <w:r w:rsidRPr="00904FCB">
        <w:rPr>
          <w:rFonts w:hint="cs"/>
          <w:sz w:val="27"/>
          <w:rtl/>
          <w:lang w:bidi="ar-OM"/>
        </w:rPr>
        <w:t>ح بأن</w:t>
      </w:r>
      <w:r w:rsidRPr="00904FCB">
        <w:rPr>
          <w:sz w:val="27"/>
          <w:rtl/>
          <w:lang w:bidi="ar-OM"/>
        </w:rPr>
        <w:t xml:space="preserve"> </w:t>
      </w:r>
      <w:r w:rsidRPr="00904FCB">
        <w:rPr>
          <w:rFonts w:hint="eastAsia"/>
          <w:sz w:val="27"/>
          <w:rtl/>
          <w:lang w:bidi="ar-OM"/>
        </w:rPr>
        <w:t>«</w:t>
      </w:r>
      <w:r w:rsidRPr="00904FCB">
        <w:rPr>
          <w:sz w:val="27"/>
          <w:rtl/>
          <w:lang w:bidi="ar-OM"/>
        </w:rPr>
        <w:t>الشرط الأول منها</w:t>
      </w:r>
      <w:r w:rsidR="0011213F" w:rsidRPr="00904FCB">
        <w:rPr>
          <w:rFonts w:hint="cs"/>
          <w:sz w:val="27"/>
          <w:rtl/>
          <w:lang w:bidi="ar-OM"/>
        </w:rPr>
        <w:t>:</w:t>
      </w:r>
      <w:r w:rsidRPr="00904FCB">
        <w:rPr>
          <w:sz w:val="27"/>
          <w:rtl/>
          <w:lang w:bidi="ar-OM"/>
        </w:rPr>
        <w:t xml:space="preserve"> </w:t>
      </w:r>
      <w:r w:rsidR="0011213F" w:rsidRPr="00904FCB">
        <w:rPr>
          <w:rFonts w:hint="cs"/>
          <w:sz w:val="27"/>
          <w:rtl/>
          <w:lang w:bidi="ar-OM"/>
        </w:rPr>
        <w:t>أ</w:t>
      </w:r>
      <w:r w:rsidRPr="00904FCB">
        <w:rPr>
          <w:sz w:val="27"/>
          <w:rtl/>
          <w:lang w:bidi="ar-OM"/>
        </w:rPr>
        <w:t>ن يكون رجلا</w:t>
      </w:r>
      <w:r w:rsidR="0011213F" w:rsidRPr="00904FCB">
        <w:rPr>
          <w:rFonts w:hint="cs"/>
          <w:sz w:val="27"/>
          <w:rtl/>
          <w:lang w:bidi="ar-OM"/>
        </w:rPr>
        <w:t>ً.</w:t>
      </w:r>
      <w:r w:rsidRPr="00904FCB">
        <w:rPr>
          <w:sz w:val="27"/>
          <w:rtl/>
          <w:lang w:bidi="ar-OM"/>
        </w:rPr>
        <w:t xml:space="preserve"> وهذا الشرط يجمع بين صفتين</w:t>
      </w:r>
      <w:r w:rsidR="0011213F" w:rsidRPr="00904FCB">
        <w:rPr>
          <w:rFonts w:hint="cs"/>
          <w:sz w:val="27"/>
          <w:rtl/>
          <w:lang w:bidi="ar-OM"/>
        </w:rPr>
        <w:t>:</w:t>
      </w:r>
      <w:r w:rsidRPr="00904FCB">
        <w:rPr>
          <w:sz w:val="27"/>
          <w:rtl/>
          <w:lang w:bidi="ar-OM"/>
        </w:rPr>
        <w:t xml:space="preserve"> البلوغ</w:t>
      </w:r>
      <w:r w:rsidR="0011213F" w:rsidRPr="00904FCB">
        <w:rPr>
          <w:rFonts w:hint="cs"/>
          <w:sz w:val="27"/>
          <w:rtl/>
          <w:lang w:bidi="ar-OM"/>
        </w:rPr>
        <w:t>؛</w:t>
      </w:r>
      <w:r w:rsidRPr="00904FCB">
        <w:rPr>
          <w:sz w:val="27"/>
          <w:rtl/>
          <w:lang w:bidi="ar-OM"/>
        </w:rPr>
        <w:t xml:space="preserve"> والذكورة</w:t>
      </w:r>
      <w:r w:rsidRPr="00904FCB">
        <w:rPr>
          <w:rFonts w:hint="eastAsia"/>
          <w:sz w:val="27"/>
          <w:rtl/>
        </w:rPr>
        <w:t>»</w:t>
      </w:r>
      <w:r w:rsidRPr="00904FCB">
        <w:rPr>
          <w:sz w:val="27"/>
          <w:rtl/>
          <w:lang w:bidi="ar-OM"/>
        </w:rPr>
        <w:t>، ثم</w:t>
      </w:r>
      <w:r w:rsidR="0011213F" w:rsidRPr="00904FCB">
        <w:rPr>
          <w:rFonts w:hint="cs"/>
          <w:sz w:val="27"/>
          <w:rtl/>
          <w:lang w:bidi="ar-OM"/>
        </w:rPr>
        <w:t>ّ</w:t>
      </w:r>
      <w:r w:rsidRPr="00904FCB">
        <w:rPr>
          <w:sz w:val="27"/>
          <w:rtl/>
          <w:lang w:bidi="ar-OM"/>
        </w:rPr>
        <w:t xml:space="preserve"> قال: وأما المرأة فلنقص النساء عن رتب الولايات</w:t>
      </w:r>
      <w:r w:rsidR="0011213F" w:rsidRPr="00904FCB">
        <w:rPr>
          <w:sz w:val="27"/>
          <w:rtl/>
          <w:lang w:bidi="ar-OM"/>
        </w:rPr>
        <w:t>.</w:t>
      </w:r>
    </w:p>
    <w:p w:rsidR="00644408" w:rsidRPr="00904FCB" w:rsidRDefault="00644408" w:rsidP="007A21AA">
      <w:pPr>
        <w:spacing w:line="400" w:lineRule="exact"/>
        <w:rPr>
          <w:sz w:val="27"/>
          <w:rtl/>
          <w:lang w:bidi="ar-OM"/>
        </w:rPr>
      </w:pPr>
      <w:r w:rsidRPr="00904FCB">
        <w:rPr>
          <w:sz w:val="27"/>
          <w:rtl/>
          <w:lang w:bidi="ar-OM"/>
        </w:rPr>
        <w:t>ويلاح</w:t>
      </w:r>
      <w:r w:rsidR="0011213F" w:rsidRPr="00904FCB">
        <w:rPr>
          <w:rFonts w:hint="cs"/>
          <w:sz w:val="27"/>
          <w:rtl/>
          <w:lang w:bidi="ar-OM"/>
        </w:rPr>
        <w:t>َ</w:t>
      </w:r>
      <w:r w:rsidRPr="00904FCB">
        <w:rPr>
          <w:sz w:val="27"/>
          <w:rtl/>
          <w:lang w:bidi="ar-OM"/>
        </w:rPr>
        <w:t xml:space="preserve">ظ </w:t>
      </w:r>
      <w:r w:rsidR="0011213F" w:rsidRPr="00904FCB">
        <w:rPr>
          <w:rFonts w:hint="cs"/>
          <w:sz w:val="27"/>
          <w:rtl/>
          <w:lang w:bidi="ar-OM"/>
        </w:rPr>
        <w:t>أ</w:t>
      </w:r>
      <w:r w:rsidRPr="00904FCB">
        <w:rPr>
          <w:rFonts w:hint="cs"/>
          <w:sz w:val="27"/>
          <w:rtl/>
          <w:lang w:bidi="ar-OM"/>
        </w:rPr>
        <w:t>ن الماوردي لم ي</w:t>
      </w:r>
      <w:r w:rsidR="0011213F" w:rsidRPr="00904FCB">
        <w:rPr>
          <w:rFonts w:hint="cs"/>
          <w:sz w:val="27"/>
          <w:rtl/>
          <w:lang w:bidi="ar-OM"/>
        </w:rPr>
        <w:t>ُ</w:t>
      </w:r>
      <w:r w:rsidRPr="00904FCB">
        <w:rPr>
          <w:rFonts w:hint="cs"/>
          <w:sz w:val="27"/>
          <w:rtl/>
          <w:lang w:bidi="ar-OM"/>
        </w:rPr>
        <w:t>ش</w:t>
      </w:r>
      <w:r w:rsidR="0011213F" w:rsidRPr="00904FCB">
        <w:rPr>
          <w:rFonts w:hint="cs"/>
          <w:sz w:val="27"/>
          <w:rtl/>
          <w:lang w:bidi="ar-OM"/>
        </w:rPr>
        <w:t>ِ</w:t>
      </w:r>
      <w:r w:rsidRPr="00904FCB">
        <w:rPr>
          <w:rFonts w:hint="cs"/>
          <w:sz w:val="27"/>
          <w:rtl/>
          <w:lang w:bidi="ar-OM"/>
        </w:rPr>
        <w:t>ر</w:t>
      </w:r>
      <w:r w:rsidR="0011213F" w:rsidRPr="00904FCB">
        <w:rPr>
          <w:rFonts w:hint="cs"/>
          <w:sz w:val="27"/>
          <w:rtl/>
          <w:lang w:bidi="ar-OM"/>
        </w:rPr>
        <w:t>ْ</w:t>
      </w:r>
      <w:r w:rsidRPr="00904FCB">
        <w:rPr>
          <w:rFonts w:hint="cs"/>
          <w:sz w:val="27"/>
          <w:rtl/>
          <w:lang w:bidi="ar-OM"/>
        </w:rPr>
        <w:t xml:space="preserve"> </w:t>
      </w:r>
      <w:r w:rsidR="0011213F" w:rsidRPr="00904FCB">
        <w:rPr>
          <w:rFonts w:hint="cs"/>
          <w:sz w:val="27"/>
          <w:rtl/>
          <w:lang w:bidi="ar-OM"/>
        </w:rPr>
        <w:t>إ</w:t>
      </w:r>
      <w:r w:rsidRPr="00904FCB">
        <w:rPr>
          <w:rFonts w:hint="cs"/>
          <w:sz w:val="27"/>
          <w:rtl/>
          <w:lang w:bidi="ar-OM"/>
        </w:rPr>
        <w:t xml:space="preserve">لى </w:t>
      </w:r>
      <w:r w:rsidRPr="00904FCB">
        <w:rPr>
          <w:sz w:val="27"/>
          <w:rtl/>
          <w:lang w:bidi="ar-OM"/>
        </w:rPr>
        <w:t xml:space="preserve">شرط الرجولة ضمن شروط الخليفة في كتابه </w:t>
      </w:r>
      <w:r w:rsidRPr="00904FCB">
        <w:rPr>
          <w:rFonts w:hint="cs"/>
          <w:sz w:val="27"/>
          <w:rtl/>
          <w:lang w:bidi="ar-OM"/>
        </w:rPr>
        <w:t>ال</w:t>
      </w:r>
      <w:r w:rsidR="0011213F" w:rsidRPr="00904FCB">
        <w:rPr>
          <w:rFonts w:hint="cs"/>
          <w:sz w:val="27"/>
          <w:rtl/>
          <w:lang w:bidi="ar-OM"/>
        </w:rPr>
        <w:t>أ</w:t>
      </w:r>
      <w:r w:rsidRPr="00904FCB">
        <w:rPr>
          <w:rFonts w:hint="cs"/>
          <w:sz w:val="27"/>
          <w:rtl/>
          <w:lang w:bidi="ar-OM"/>
        </w:rPr>
        <w:t xml:space="preserve">حكام </w:t>
      </w:r>
      <w:r w:rsidRPr="00904FCB">
        <w:rPr>
          <w:sz w:val="27"/>
          <w:rtl/>
          <w:lang w:bidi="ar-OM"/>
        </w:rPr>
        <w:t>السلطانية</w:t>
      </w:r>
      <w:r w:rsidR="0011213F" w:rsidRPr="00904FCB">
        <w:rPr>
          <w:rFonts w:hint="cs"/>
          <w:sz w:val="27"/>
          <w:rtl/>
          <w:lang w:bidi="ar-OM"/>
        </w:rPr>
        <w:t>؛</w:t>
      </w:r>
      <w:r w:rsidRPr="00904FCB">
        <w:rPr>
          <w:sz w:val="27"/>
          <w:rtl/>
          <w:lang w:bidi="ar-OM"/>
        </w:rPr>
        <w:t xml:space="preserve"> </w:t>
      </w:r>
      <w:r w:rsidRPr="00904FCB">
        <w:rPr>
          <w:rFonts w:hint="cs"/>
          <w:sz w:val="27"/>
          <w:rtl/>
          <w:lang w:bidi="ar-OM"/>
        </w:rPr>
        <w:t>لأنه كان أمرا</w:t>
      </w:r>
      <w:r w:rsidR="0011213F" w:rsidRPr="00904FCB">
        <w:rPr>
          <w:rFonts w:hint="cs"/>
          <w:sz w:val="27"/>
          <w:rtl/>
          <w:lang w:bidi="ar-OM"/>
        </w:rPr>
        <w:t>ً</w:t>
      </w:r>
      <w:r w:rsidRPr="00904FCB">
        <w:rPr>
          <w:rFonts w:hint="cs"/>
          <w:sz w:val="27"/>
          <w:rtl/>
          <w:lang w:bidi="ar-OM"/>
        </w:rPr>
        <w:t xml:space="preserve"> مفروغا</w:t>
      </w:r>
      <w:r w:rsidR="0011213F" w:rsidRPr="00904FCB">
        <w:rPr>
          <w:rFonts w:hint="cs"/>
          <w:sz w:val="27"/>
          <w:rtl/>
          <w:lang w:bidi="ar-OM"/>
        </w:rPr>
        <w:t>ً</w:t>
      </w:r>
      <w:r w:rsidRPr="00904FCB">
        <w:rPr>
          <w:rFonts w:hint="cs"/>
          <w:sz w:val="27"/>
          <w:rtl/>
          <w:lang w:bidi="ar-OM"/>
        </w:rPr>
        <w:t xml:space="preserve"> منه، و</w:t>
      </w:r>
      <w:r w:rsidRPr="00904FCB">
        <w:rPr>
          <w:sz w:val="27"/>
          <w:rtl/>
          <w:lang w:bidi="ar-OM"/>
        </w:rPr>
        <w:t>لكن</w:t>
      </w:r>
      <w:r w:rsidR="0011213F" w:rsidRPr="00904FCB">
        <w:rPr>
          <w:rFonts w:hint="cs"/>
          <w:sz w:val="27"/>
          <w:rtl/>
          <w:lang w:bidi="ar-OM"/>
        </w:rPr>
        <w:t>ّ</w:t>
      </w:r>
      <w:r w:rsidRPr="00904FCB">
        <w:rPr>
          <w:sz w:val="27"/>
          <w:rtl/>
          <w:lang w:bidi="ar-OM"/>
        </w:rPr>
        <w:t xml:space="preserve">ه </w:t>
      </w:r>
      <w:r w:rsidRPr="00904FCB">
        <w:rPr>
          <w:rFonts w:hint="cs"/>
          <w:sz w:val="27"/>
          <w:rtl/>
          <w:lang w:bidi="ar-OM"/>
        </w:rPr>
        <w:t>صر</w:t>
      </w:r>
      <w:r w:rsidR="0011213F" w:rsidRPr="00904FCB">
        <w:rPr>
          <w:rFonts w:hint="cs"/>
          <w:sz w:val="27"/>
          <w:rtl/>
          <w:lang w:bidi="ar-OM"/>
        </w:rPr>
        <w:t>َّ</w:t>
      </w:r>
      <w:r w:rsidRPr="00904FCB">
        <w:rPr>
          <w:rFonts w:hint="cs"/>
          <w:sz w:val="27"/>
          <w:rtl/>
          <w:lang w:bidi="ar-OM"/>
        </w:rPr>
        <w:t xml:space="preserve">ح به </w:t>
      </w:r>
      <w:r w:rsidRPr="00904FCB">
        <w:rPr>
          <w:sz w:val="27"/>
          <w:rtl/>
          <w:lang w:bidi="ar-OM"/>
        </w:rPr>
        <w:t>عند حديثه عن شروط م</w:t>
      </w:r>
      <w:r w:rsidR="0011213F" w:rsidRPr="00904FCB">
        <w:rPr>
          <w:rFonts w:hint="cs"/>
          <w:sz w:val="27"/>
          <w:rtl/>
          <w:lang w:bidi="ar-OM"/>
        </w:rPr>
        <w:t>َ</w:t>
      </w:r>
      <w:r w:rsidRPr="00904FCB">
        <w:rPr>
          <w:sz w:val="27"/>
          <w:rtl/>
          <w:lang w:bidi="ar-OM"/>
        </w:rPr>
        <w:t>ن</w:t>
      </w:r>
      <w:r w:rsidR="0011213F" w:rsidRPr="00904FCB">
        <w:rPr>
          <w:rFonts w:hint="cs"/>
          <w:sz w:val="27"/>
          <w:rtl/>
          <w:lang w:bidi="ar-OM"/>
        </w:rPr>
        <w:t>ْ</w:t>
      </w:r>
      <w:r w:rsidRPr="00904FCB">
        <w:rPr>
          <w:sz w:val="27"/>
          <w:rtl/>
          <w:lang w:bidi="ar-OM"/>
        </w:rPr>
        <w:t xml:space="preserve"> يتول</w:t>
      </w:r>
      <w:r w:rsidR="0011213F" w:rsidRPr="00904FCB">
        <w:rPr>
          <w:rFonts w:hint="cs"/>
          <w:sz w:val="27"/>
          <w:rtl/>
          <w:lang w:bidi="ar-OM"/>
        </w:rPr>
        <w:t>ّ</w:t>
      </w:r>
      <w:r w:rsidRPr="00904FCB">
        <w:rPr>
          <w:sz w:val="27"/>
          <w:rtl/>
          <w:lang w:bidi="ar-OM"/>
        </w:rPr>
        <w:t>ى القضاء</w:t>
      </w:r>
      <w:r w:rsidRPr="00904FCB">
        <w:rPr>
          <w:rFonts w:hint="cs"/>
          <w:sz w:val="27"/>
          <w:rtl/>
          <w:lang w:bidi="ar-OM"/>
        </w:rPr>
        <w:t xml:space="preserve"> على نحو القاعدة الكلية</w:t>
      </w:r>
      <w:r w:rsidR="0011213F" w:rsidRPr="00904FCB">
        <w:rPr>
          <w:rFonts w:hint="cs"/>
          <w:sz w:val="27"/>
          <w:rtl/>
          <w:lang w:bidi="ar-OM"/>
        </w:rPr>
        <w:t>،</w:t>
      </w:r>
      <w:r w:rsidRPr="00904FCB">
        <w:rPr>
          <w:rFonts w:hint="cs"/>
          <w:sz w:val="27"/>
          <w:rtl/>
          <w:lang w:bidi="ar-OM"/>
        </w:rPr>
        <w:t xml:space="preserve"> مشيرا</w:t>
      </w:r>
      <w:r w:rsidR="0011213F" w:rsidRPr="00904FCB">
        <w:rPr>
          <w:rFonts w:hint="cs"/>
          <w:sz w:val="27"/>
          <w:rtl/>
          <w:lang w:bidi="ar-OM"/>
        </w:rPr>
        <w:t>ً</w:t>
      </w:r>
      <w:r w:rsidRPr="00904FCB">
        <w:rPr>
          <w:rFonts w:hint="cs"/>
          <w:sz w:val="27"/>
          <w:rtl/>
          <w:lang w:bidi="ar-OM"/>
        </w:rPr>
        <w:t xml:space="preserve"> </w:t>
      </w:r>
      <w:r w:rsidR="0011213F" w:rsidRPr="00904FCB">
        <w:rPr>
          <w:rFonts w:hint="cs"/>
          <w:sz w:val="27"/>
          <w:rtl/>
          <w:lang w:bidi="ar-OM"/>
        </w:rPr>
        <w:t>إل</w:t>
      </w:r>
      <w:r w:rsidRPr="00904FCB">
        <w:rPr>
          <w:rFonts w:hint="cs"/>
          <w:sz w:val="27"/>
          <w:rtl/>
          <w:lang w:bidi="ar-OM"/>
        </w:rPr>
        <w:t xml:space="preserve">ى </w:t>
      </w:r>
      <w:r w:rsidR="0011213F" w:rsidRPr="00904FCB">
        <w:rPr>
          <w:rFonts w:hint="cs"/>
          <w:sz w:val="27"/>
          <w:rtl/>
          <w:lang w:bidi="ar-OM"/>
        </w:rPr>
        <w:t>أ</w:t>
      </w:r>
      <w:r w:rsidRPr="00904FCB">
        <w:rPr>
          <w:rFonts w:hint="cs"/>
          <w:sz w:val="27"/>
          <w:rtl/>
          <w:lang w:bidi="ar-OM"/>
        </w:rPr>
        <w:t xml:space="preserve">ن المرأة هي </w:t>
      </w:r>
      <w:r w:rsidRPr="00904FCB">
        <w:rPr>
          <w:sz w:val="27"/>
          <w:rtl/>
          <w:lang w:bidi="ar-OM"/>
        </w:rPr>
        <w:t>دون تول</w:t>
      </w:r>
      <w:r w:rsidR="0011213F" w:rsidRPr="00904FCB">
        <w:rPr>
          <w:rFonts w:hint="cs"/>
          <w:sz w:val="27"/>
          <w:rtl/>
          <w:lang w:bidi="ar-OM"/>
        </w:rPr>
        <w:t>ّ</w:t>
      </w:r>
      <w:r w:rsidRPr="00904FCB">
        <w:rPr>
          <w:sz w:val="27"/>
          <w:rtl/>
          <w:lang w:bidi="ar-OM"/>
        </w:rPr>
        <w:t xml:space="preserve">ي </w:t>
      </w:r>
      <w:r w:rsidRPr="00904FCB">
        <w:rPr>
          <w:sz w:val="27"/>
          <w:rtl/>
          <w:lang w:bidi="ar-OM"/>
        </w:rPr>
        <w:lastRenderedPageBreak/>
        <w:t>رتب الولايات</w:t>
      </w:r>
      <w:r w:rsidRPr="00904FCB">
        <w:rPr>
          <w:rFonts w:hint="cs"/>
          <w:sz w:val="27"/>
          <w:vertAlign w:val="superscript"/>
          <w:rtl/>
        </w:rPr>
        <w:t>(</w:t>
      </w:r>
      <w:r w:rsidRPr="00904FCB">
        <w:rPr>
          <w:rStyle w:val="ac"/>
          <w:sz w:val="27"/>
          <w:rtl/>
        </w:rPr>
        <w:endnoteReference w:id="176"/>
      </w:r>
      <w:r w:rsidRPr="00904FCB">
        <w:rPr>
          <w:rFonts w:hint="cs"/>
          <w:sz w:val="27"/>
          <w:vertAlign w:val="superscript"/>
          <w:rtl/>
        </w:rPr>
        <w:t>)</w:t>
      </w:r>
      <w:r w:rsidRPr="00904FCB">
        <w:rPr>
          <w:sz w:val="27"/>
          <w:rtl/>
          <w:lang w:bidi="ar-OM"/>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وإليه ذهب جمهور فقهاء السن</w:t>
      </w:r>
      <w:r w:rsidR="00CD58AE" w:rsidRPr="00904FCB">
        <w:rPr>
          <w:rFonts w:hint="cs"/>
          <w:sz w:val="27"/>
          <w:rtl/>
          <w:lang w:bidi="ar-OM"/>
        </w:rPr>
        <w:t>ّ</w:t>
      </w:r>
      <w:r w:rsidRPr="00904FCB">
        <w:rPr>
          <w:rFonts w:hint="cs"/>
          <w:sz w:val="27"/>
          <w:rtl/>
          <w:lang w:bidi="ar-OM"/>
        </w:rPr>
        <w:t>ة</w:t>
      </w:r>
      <w:r w:rsidR="00CD58AE" w:rsidRPr="00904FCB">
        <w:rPr>
          <w:rFonts w:hint="cs"/>
          <w:sz w:val="27"/>
          <w:rtl/>
          <w:lang w:bidi="ar-OM"/>
        </w:rPr>
        <w:t>.</w:t>
      </w:r>
      <w:r w:rsidRPr="00904FCB">
        <w:rPr>
          <w:rFonts w:hint="cs"/>
          <w:sz w:val="27"/>
          <w:rtl/>
          <w:lang w:bidi="ar-OM"/>
        </w:rPr>
        <w:t xml:space="preserve"> قال ابن رشد(</w:t>
      </w:r>
      <w:r w:rsidRPr="00DF101A">
        <w:rPr>
          <w:rFonts w:hint="cs"/>
          <w:sz w:val="27"/>
          <w:rtl/>
          <w:lang w:bidi="ar-OM"/>
        </w:rPr>
        <w:t>595هـ</w:t>
      </w:r>
      <w:r w:rsidRPr="00904FCB">
        <w:rPr>
          <w:rFonts w:hint="cs"/>
          <w:sz w:val="27"/>
          <w:rtl/>
          <w:lang w:bidi="ar-OM"/>
        </w:rPr>
        <w:t>): واختلفوا في اشتراط الذكورة</w:t>
      </w:r>
      <w:r w:rsidR="00CD58AE" w:rsidRPr="00904FCB">
        <w:rPr>
          <w:rFonts w:hint="cs"/>
          <w:sz w:val="27"/>
          <w:rtl/>
          <w:lang w:bidi="ar-OM"/>
        </w:rPr>
        <w:t>؛</w:t>
      </w:r>
      <w:r w:rsidRPr="00904FCB">
        <w:rPr>
          <w:rFonts w:hint="cs"/>
          <w:sz w:val="27"/>
          <w:rtl/>
          <w:lang w:bidi="ar-OM"/>
        </w:rPr>
        <w:t xml:space="preserve"> فقال الجمهور هي شرط في صح</w:t>
      </w:r>
      <w:r w:rsidR="00CD58AE" w:rsidRPr="00904FCB">
        <w:rPr>
          <w:rFonts w:hint="cs"/>
          <w:sz w:val="27"/>
          <w:rtl/>
          <w:lang w:bidi="ar-OM"/>
        </w:rPr>
        <w:t>ّ</w:t>
      </w:r>
      <w:r w:rsidRPr="00904FCB">
        <w:rPr>
          <w:rFonts w:hint="cs"/>
          <w:sz w:val="27"/>
          <w:rtl/>
          <w:lang w:bidi="ar-OM"/>
        </w:rPr>
        <w:t>ة الحكم</w:t>
      </w:r>
      <w:r w:rsidRPr="00904FCB">
        <w:rPr>
          <w:rFonts w:hint="cs"/>
          <w:sz w:val="27"/>
          <w:vertAlign w:val="superscript"/>
          <w:rtl/>
        </w:rPr>
        <w:t>(</w:t>
      </w:r>
      <w:r w:rsidRPr="00904FCB">
        <w:rPr>
          <w:rStyle w:val="ac"/>
          <w:sz w:val="27"/>
          <w:rtl/>
        </w:rPr>
        <w:endnoteReference w:id="177"/>
      </w:r>
      <w:r w:rsidRPr="00904FCB">
        <w:rPr>
          <w:rFonts w:hint="cs"/>
          <w:sz w:val="27"/>
          <w:vertAlign w:val="superscript"/>
          <w:rtl/>
        </w:rPr>
        <w:t>)</w:t>
      </w:r>
      <w:r w:rsidR="00CD58AE" w:rsidRPr="00904FCB">
        <w:rPr>
          <w:rFonts w:hint="cs"/>
          <w:sz w:val="27"/>
          <w:rtl/>
          <w:lang w:bidi="ar-OM"/>
        </w:rPr>
        <w:t>،</w:t>
      </w:r>
      <w:r w:rsidRPr="00904FCB">
        <w:rPr>
          <w:rFonts w:hint="cs"/>
          <w:sz w:val="27"/>
          <w:rtl/>
          <w:lang w:bidi="ar-OM"/>
        </w:rPr>
        <w:t xml:space="preserve"> وهو ما يلزم من وجوده صح</w:t>
      </w:r>
      <w:r w:rsidR="00CD58AE" w:rsidRPr="00904FCB">
        <w:rPr>
          <w:rFonts w:hint="cs"/>
          <w:sz w:val="27"/>
          <w:rtl/>
          <w:lang w:bidi="ar-OM"/>
        </w:rPr>
        <w:t>ّ</w:t>
      </w:r>
      <w:r w:rsidRPr="00904FCB">
        <w:rPr>
          <w:rFonts w:hint="cs"/>
          <w:sz w:val="27"/>
          <w:rtl/>
          <w:lang w:bidi="ar-OM"/>
        </w:rPr>
        <w:t>ة الفعل</w:t>
      </w:r>
      <w:r w:rsidR="00CD58AE" w:rsidRPr="00904FCB">
        <w:rPr>
          <w:rFonts w:hint="cs"/>
          <w:sz w:val="27"/>
          <w:rtl/>
          <w:lang w:bidi="ar-OM"/>
        </w:rPr>
        <w:t>،</w:t>
      </w:r>
      <w:r w:rsidRPr="00904FCB">
        <w:rPr>
          <w:rFonts w:hint="cs"/>
          <w:sz w:val="27"/>
          <w:rtl/>
          <w:lang w:bidi="ar-OM"/>
        </w:rPr>
        <w:t xml:space="preserve"> ومن عدمه عدم صح</w:t>
      </w:r>
      <w:r w:rsidR="00CD58AE" w:rsidRPr="00904FCB">
        <w:rPr>
          <w:rFonts w:hint="cs"/>
          <w:sz w:val="27"/>
          <w:rtl/>
          <w:lang w:bidi="ar-OM"/>
        </w:rPr>
        <w:t>ّ</w:t>
      </w:r>
      <w:r w:rsidRPr="00904FCB">
        <w:rPr>
          <w:rFonts w:hint="cs"/>
          <w:sz w:val="27"/>
          <w:rtl/>
          <w:lang w:bidi="ar-OM"/>
        </w:rPr>
        <w:t xml:space="preserve">ته. وتجدر الإشارة </w:t>
      </w:r>
      <w:r w:rsidR="00CD58AE" w:rsidRPr="00904FCB">
        <w:rPr>
          <w:rFonts w:hint="cs"/>
          <w:sz w:val="27"/>
          <w:rtl/>
          <w:lang w:bidi="ar-OM"/>
        </w:rPr>
        <w:t>إلى أ</w:t>
      </w:r>
      <w:r w:rsidRPr="00904FCB">
        <w:rPr>
          <w:rFonts w:hint="cs"/>
          <w:sz w:val="27"/>
          <w:rtl/>
          <w:lang w:bidi="ar-OM"/>
        </w:rPr>
        <w:t>ن الفقيه الحنفي زفر بن الهذيل(</w:t>
      </w:r>
      <w:r w:rsidRPr="00DF101A">
        <w:rPr>
          <w:rFonts w:hint="cs"/>
          <w:sz w:val="27"/>
          <w:rtl/>
          <w:lang w:bidi="ar-OM"/>
        </w:rPr>
        <w:t>158هـ</w:t>
      </w:r>
      <w:r w:rsidRPr="00904FCB">
        <w:rPr>
          <w:rFonts w:hint="cs"/>
          <w:sz w:val="27"/>
          <w:rtl/>
          <w:lang w:bidi="ar-OM"/>
        </w:rPr>
        <w:t xml:space="preserve">) ذهب هو الآخر </w:t>
      </w:r>
      <w:r w:rsidR="00CD58AE" w:rsidRPr="00904FCB">
        <w:rPr>
          <w:rFonts w:hint="cs"/>
          <w:sz w:val="27"/>
          <w:rtl/>
          <w:lang w:bidi="ar-OM"/>
        </w:rPr>
        <w:t>إ</w:t>
      </w:r>
      <w:r w:rsidRPr="00904FCB">
        <w:rPr>
          <w:rFonts w:hint="cs"/>
          <w:sz w:val="27"/>
          <w:rtl/>
          <w:lang w:bidi="ar-OM"/>
        </w:rPr>
        <w:t>لى عدم جواز تول</w:t>
      </w:r>
      <w:r w:rsidR="00CD58AE" w:rsidRPr="00904FCB">
        <w:rPr>
          <w:rFonts w:hint="cs"/>
          <w:sz w:val="27"/>
          <w:rtl/>
          <w:lang w:bidi="ar-OM"/>
        </w:rPr>
        <w:t>ّ</w:t>
      </w:r>
      <w:r w:rsidRPr="00904FCB">
        <w:rPr>
          <w:rFonts w:hint="cs"/>
          <w:sz w:val="27"/>
          <w:rtl/>
          <w:lang w:bidi="ar-OM"/>
        </w:rPr>
        <w:t>ي المرأة للقضاء، على خلاف ما هو معروف</w:t>
      </w:r>
      <w:r w:rsidR="00CD58AE" w:rsidRPr="00904FCB">
        <w:rPr>
          <w:rFonts w:hint="cs"/>
          <w:sz w:val="27"/>
          <w:rtl/>
          <w:lang w:bidi="ar-OM"/>
        </w:rPr>
        <w:t>ٌ</w:t>
      </w:r>
      <w:r w:rsidRPr="00904FCB">
        <w:rPr>
          <w:rFonts w:hint="cs"/>
          <w:sz w:val="27"/>
          <w:rtl/>
          <w:lang w:bidi="ar-OM"/>
        </w:rPr>
        <w:t xml:space="preserve"> عن فقهاء الأحناف في هذه القضية</w:t>
      </w:r>
      <w:r w:rsidRPr="00904FCB">
        <w:rPr>
          <w:rFonts w:hint="cs"/>
          <w:sz w:val="27"/>
          <w:vertAlign w:val="superscript"/>
          <w:rtl/>
        </w:rPr>
        <w:t>(</w:t>
      </w:r>
      <w:r w:rsidRPr="00904FCB">
        <w:rPr>
          <w:rStyle w:val="ac"/>
          <w:sz w:val="27"/>
          <w:rtl/>
        </w:rPr>
        <w:endnoteReference w:id="178"/>
      </w:r>
      <w:r w:rsidRPr="00904FCB">
        <w:rPr>
          <w:rFonts w:hint="cs"/>
          <w:sz w:val="27"/>
          <w:vertAlign w:val="superscript"/>
          <w:rtl/>
        </w:rPr>
        <w:t>)</w:t>
      </w:r>
      <w:r w:rsidRPr="00904FCB">
        <w:rPr>
          <w:rFonts w:hint="cs"/>
          <w:sz w:val="27"/>
          <w:rtl/>
          <w:lang w:bidi="ar-OM"/>
        </w:rPr>
        <w:t xml:space="preserve">. </w:t>
      </w:r>
    </w:p>
    <w:p w:rsidR="00644408" w:rsidRPr="00904FCB" w:rsidRDefault="00CD58AE" w:rsidP="007A21AA">
      <w:pPr>
        <w:spacing w:line="400" w:lineRule="exact"/>
        <w:rPr>
          <w:sz w:val="27"/>
          <w:rtl/>
          <w:lang w:bidi="ar-OM"/>
        </w:rPr>
      </w:pPr>
      <w:r w:rsidRPr="00904FCB">
        <w:rPr>
          <w:rFonts w:hint="cs"/>
          <w:sz w:val="27"/>
          <w:rtl/>
          <w:lang w:bidi="ar-OM"/>
        </w:rPr>
        <w:t>و</w:t>
      </w:r>
      <w:r w:rsidR="00644408" w:rsidRPr="00904FCB">
        <w:rPr>
          <w:rFonts w:hint="cs"/>
          <w:sz w:val="27"/>
          <w:rtl/>
          <w:lang w:bidi="ar-OM"/>
        </w:rPr>
        <w:t>استدل ابن قدامة الحنبلي(</w:t>
      </w:r>
      <w:r w:rsidR="00644408" w:rsidRPr="00DF101A">
        <w:rPr>
          <w:rFonts w:hint="cs"/>
          <w:sz w:val="27"/>
          <w:rtl/>
          <w:lang w:bidi="ar-OM"/>
        </w:rPr>
        <w:t>682هـ</w:t>
      </w:r>
      <w:r w:rsidR="00644408" w:rsidRPr="00904FCB">
        <w:rPr>
          <w:rFonts w:hint="cs"/>
          <w:sz w:val="27"/>
          <w:rtl/>
          <w:lang w:bidi="ar-OM"/>
        </w:rPr>
        <w:t>) على المنع بما ورد عن النبي</w:t>
      </w:r>
      <w:r w:rsidRPr="00904FCB">
        <w:rPr>
          <w:rFonts w:hint="cs"/>
          <w:sz w:val="27"/>
          <w:rtl/>
          <w:lang w:bidi="ar-OM"/>
        </w:rPr>
        <w:t>ّ</w:t>
      </w:r>
      <w:r w:rsidR="00635E51" w:rsidRPr="00904FCB">
        <w:rPr>
          <w:rFonts w:cs="Mosawi" w:hint="cs"/>
          <w:sz w:val="27"/>
          <w:szCs w:val="22"/>
          <w:rtl/>
          <w:lang w:bidi="ar-OM"/>
        </w:rPr>
        <w:t>|</w:t>
      </w:r>
      <w:r w:rsidRPr="00904FCB">
        <w:rPr>
          <w:rFonts w:hint="cs"/>
          <w:sz w:val="27"/>
          <w:rtl/>
          <w:lang w:bidi="ar-OM"/>
        </w:rPr>
        <w:t>،</w:t>
      </w:r>
      <w:r w:rsidR="00644408" w:rsidRPr="00904FCB">
        <w:rPr>
          <w:rFonts w:hint="cs"/>
          <w:sz w:val="27"/>
          <w:rtl/>
          <w:lang w:bidi="ar-OM"/>
        </w:rPr>
        <w:t xml:space="preserve"> عن أبي بكرة: ما أفلح قوم</w:t>
      </w:r>
      <w:r w:rsidRPr="00904FCB">
        <w:rPr>
          <w:rFonts w:hint="cs"/>
          <w:sz w:val="27"/>
          <w:rtl/>
          <w:lang w:bidi="ar-OM"/>
        </w:rPr>
        <w:t>ٌ</w:t>
      </w:r>
      <w:r w:rsidR="00644408" w:rsidRPr="00904FCB">
        <w:rPr>
          <w:rFonts w:hint="cs"/>
          <w:sz w:val="27"/>
          <w:rtl/>
          <w:lang w:bidi="ar-OM"/>
        </w:rPr>
        <w:t xml:space="preserve"> ول</w:t>
      </w:r>
      <w:r w:rsidRPr="00904FCB">
        <w:rPr>
          <w:rFonts w:hint="cs"/>
          <w:sz w:val="27"/>
          <w:rtl/>
          <w:lang w:bidi="ar-OM"/>
        </w:rPr>
        <w:t>ّ</w:t>
      </w:r>
      <w:r w:rsidR="00644408" w:rsidRPr="00904FCB">
        <w:rPr>
          <w:rFonts w:hint="cs"/>
          <w:sz w:val="27"/>
          <w:rtl/>
          <w:lang w:bidi="ar-OM"/>
        </w:rPr>
        <w:t>وا أمرهم امرأة... ثم</w:t>
      </w:r>
      <w:r w:rsidRPr="00904FCB">
        <w:rPr>
          <w:rFonts w:hint="cs"/>
          <w:sz w:val="27"/>
          <w:rtl/>
          <w:lang w:bidi="ar-OM"/>
        </w:rPr>
        <w:t>ّ</w:t>
      </w:r>
      <w:r w:rsidR="00644408" w:rsidRPr="00904FCB">
        <w:rPr>
          <w:rFonts w:hint="cs"/>
          <w:sz w:val="27"/>
          <w:rtl/>
          <w:lang w:bidi="ar-OM"/>
        </w:rPr>
        <w:t xml:space="preserve"> قال: ولأن القاضي يحضر في محافل الخصوم والرجال</w:t>
      </w:r>
      <w:r w:rsidRPr="00904FCB">
        <w:rPr>
          <w:rFonts w:hint="cs"/>
          <w:sz w:val="27"/>
          <w:rtl/>
          <w:lang w:bidi="ar-OM"/>
        </w:rPr>
        <w:t>،</w:t>
      </w:r>
      <w:r w:rsidR="00644408" w:rsidRPr="00904FCB">
        <w:rPr>
          <w:rFonts w:hint="cs"/>
          <w:sz w:val="27"/>
          <w:rtl/>
          <w:lang w:bidi="ar-OM"/>
        </w:rPr>
        <w:t xml:space="preserve"> ويحتاج منه </w:t>
      </w:r>
      <w:r w:rsidRPr="00904FCB">
        <w:rPr>
          <w:rFonts w:hint="cs"/>
          <w:sz w:val="27"/>
          <w:rtl/>
          <w:lang w:bidi="ar-OM"/>
        </w:rPr>
        <w:t>إ</w:t>
      </w:r>
      <w:r w:rsidR="00644408" w:rsidRPr="00904FCB">
        <w:rPr>
          <w:rFonts w:hint="cs"/>
          <w:sz w:val="27"/>
          <w:rtl/>
          <w:lang w:bidi="ar-OM"/>
        </w:rPr>
        <w:t>لى كمال الرأي وتمام العقل، والمرأة ناقصة العقل قليلة الرأي، ليست أهلا</w:t>
      </w:r>
      <w:r w:rsidRPr="00904FCB">
        <w:rPr>
          <w:rFonts w:hint="cs"/>
          <w:sz w:val="27"/>
          <w:rtl/>
          <w:lang w:bidi="ar-OM"/>
        </w:rPr>
        <w:t>ً</w:t>
      </w:r>
      <w:r w:rsidR="00644408" w:rsidRPr="00904FCB">
        <w:rPr>
          <w:rFonts w:hint="cs"/>
          <w:sz w:val="27"/>
          <w:rtl/>
          <w:lang w:bidi="ar-OM"/>
        </w:rPr>
        <w:t xml:space="preserve"> للحضور في محافل الرجال</w:t>
      </w:r>
      <w:r w:rsidRPr="00904FCB">
        <w:rPr>
          <w:rFonts w:hint="cs"/>
          <w:sz w:val="27"/>
          <w:rtl/>
          <w:lang w:bidi="ar-OM"/>
        </w:rPr>
        <w:t>،</w:t>
      </w:r>
      <w:r w:rsidR="00644408" w:rsidRPr="00904FCB">
        <w:rPr>
          <w:rFonts w:hint="cs"/>
          <w:sz w:val="27"/>
          <w:rtl/>
          <w:lang w:bidi="ar-OM"/>
        </w:rPr>
        <w:t xml:space="preserve"> ولا تقبل شهادتها ولو كان معها ألف امرأة مثلها، ما لم يكن معهن</w:t>
      </w:r>
      <w:r w:rsidRPr="00904FCB">
        <w:rPr>
          <w:rFonts w:hint="cs"/>
          <w:sz w:val="27"/>
          <w:rtl/>
          <w:lang w:bidi="ar-OM"/>
        </w:rPr>
        <w:t>ّ</w:t>
      </w:r>
      <w:r w:rsidR="00644408" w:rsidRPr="00904FCB">
        <w:rPr>
          <w:rFonts w:hint="cs"/>
          <w:sz w:val="27"/>
          <w:rtl/>
          <w:lang w:bidi="ar-OM"/>
        </w:rPr>
        <w:t xml:space="preserve"> رجل</w:t>
      </w:r>
      <w:r w:rsidRPr="00904FCB">
        <w:rPr>
          <w:rFonts w:hint="cs"/>
          <w:sz w:val="27"/>
          <w:rtl/>
          <w:lang w:bidi="ar-OM"/>
        </w:rPr>
        <w:t>ٌ</w:t>
      </w:r>
      <w:r w:rsidR="00644408" w:rsidRPr="00904FCB">
        <w:rPr>
          <w:rFonts w:hint="cs"/>
          <w:sz w:val="27"/>
          <w:rtl/>
          <w:lang w:bidi="ar-OM"/>
        </w:rPr>
        <w:t>!</w:t>
      </w:r>
      <w:r w:rsidR="00644408" w:rsidRPr="00904FCB">
        <w:rPr>
          <w:rFonts w:hint="cs"/>
          <w:sz w:val="27"/>
          <w:vertAlign w:val="superscript"/>
          <w:rtl/>
        </w:rPr>
        <w:t xml:space="preserve"> (</w:t>
      </w:r>
      <w:r w:rsidR="00644408" w:rsidRPr="00904FCB">
        <w:rPr>
          <w:rStyle w:val="ac"/>
          <w:sz w:val="27"/>
          <w:rtl/>
        </w:rPr>
        <w:endnoteReference w:id="179"/>
      </w:r>
      <w:r w:rsidR="00644408" w:rsidRPr="00904FCB">
        <w:rPr>
          <w:rFonts w:hint="cs"/>
          <w:sz w:val="27"/>
          <w:vertAlign w:val="superscript"/>
          <w:rtl/>
        </w:rPr>
        <w:t>)</w:t>
      </w:r>
      <w:r w:rsidRPr="00904FCB">
        <w:rPr>
          <w:rFonts w:hint="cs"/>
          <w:sz w:val="27"/>
          <w:rtl/>
          <w:lang w:bidi="ar-OM"/>
        </w:rPr>
        <w:t>.</w:t>
      </w:r>
      <w:r w:rsidR="00644408" w:rsidRPr="00904FCB">
        <w:rPr>
          <w:rFonts w:hint="cs"/>
          <w:sz w:val="27"/>
          <w:rtl/>
          <w:lang w:bidi="ar-OM"/>
        </w:rPr>
        <w:t xml:space="preserve"> ولعله يقصد في موارد معينة، وإلا</w:t>
      </w:r>
      <w:r w:rsidRPr="00904FCB">
        <w:rPr>
          <w:rFonts w:hint="cs"/>
          <w:sz w:val="27"/>
          <w:rtl/>
          <w:lang w:bidi="ar-OM"/>
        </w:rPr>
        <w:t>ّ</w:t>
      </w:r>
      <w:r w:rsidR="00644408" w:rsidRPr="00904FCB">
        <w:rPr>
          <w:rFonts w:hint="cs"/>
          <w:sz w:val="27"/>
          <w:rtl/>
          <w:lang w:bidi="ar-OM"/>
        </w:rPr>
        <w:t xml:space="preserve"> فهناك موارد تقبل فيها شهادة النساء منفردات ومنضم</w:t>
      </w:r>
      <w:r w:rsidRPr="00904FCB">
        <w:rPr>
          <w:rFonts w:hint="cs"/>
          <w:sz w:val="27"/>
          <w:rtl/>
          <w:lang w:bidi="ar-OM"/>
        </w:rPr>
        <w:t>ّ</w:t>
      </w:r>
      <w:r w:rsidR="00644408" w:rsidRPr="00904FCB">
        <w:rPr>
          <w:rFonts w:hint="cs"/>
          <w:sz w:val="27"/>
          <w:rtl/>
          <w:lang w:bidi="ar-OM"/>
        </w:rPr>
        <w:t>ات</w:t>
      </w:r>
      <w:r w:rsidR="00644408" w:rsidRPr="00904FCB">
        <w:rPr>
          <w:rFonts w:hint="cs"/>
          <w:sz w:val="27"/>
          <w:vertAlign w:val="superscript"/>
          <w:rtl/>
        </w:rPr>
        <w:t>(</w:t>
      </w:r>
      <w:r w:rsidR="00644408" w:rsidRPr="00904FCB">
        <w:rPr>
          <w:rStyle w:val="ac"/>
          <w:sz w:val="27"/>
          <w:rtl/>
        </w:rPr>
        <w:endnoteReference w:id="180"/>
      </w:r>
      <w:r w:rsidR="00644408" w:rsidRPr="00904FCB">
        <w:rPr>
          <w:rFonts w:hint="cs"/>
          <w:sz w:val="27"/>
          <w:vertAlign w:val="superscript"/>
          <w:rtl/>
        </w:rPr>
        <w:t>)</w:t>
      </w:r>
      <w:r w:rsidR="00644408"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وأدرج الطوسي(</w:t>
      </w:r>
      <w:r w:rsidRPr="00DF101A">
        <w:rPr>
          <w:rFonts w:hint="cs"/>
          <w:sz w:val="27"/>
          <w:rtl/>
          <w:lang w:bidi="ar-OM"/>
        </w:rPr>
        <w:t>460هـ</w:t>
      </w:r>
      <w:r w:rsidRPr="00904FCB">
        <w:rPr>
          <w:rFonts w:hint="cs"/>
          <w:sz w:val="27"/>
          <w:rtl/>
          <w:lang w:bidi="ar-OM"/>
        </w:rPr>
        <w:t>)</w:t>
      </w:r>
      <w:r w:rsidR="00CD58AE" w:rsidRPr="00904FCB">
        <w:rPr>
          <w:rFonts w:hint="cs"/>
          <w:sz w:val="27"/>
          <w:rtl/>
          <w:lang w:bidi="ar-OM"/>
        </w:rPr>
        <w:t>،</w:t>
      </w:r>
      <w:r w:rsidRPr="00904FCB">
        <w:rPr>
          <w:rFonts w:hint="cs"/>
          <w:sz w:val="27"/>
          <w:rtl/>
          <w:lang w:bidi="ar-OM"/>
        </w:rPr>
        <w:t xml:space="preserve"> وهو من فقهاء الإمامية، شرط الرجولة ضمن الكمال من شروط القضاء، وقس</w:t>
      </w:r>
      <w:r w:rsidR="00CD58AE" w:rsidRPr="00904FCB">
        <w:rPr>
          <w:rFonts w:hint="cs"/>
          <w:sz w:val="27"/>
          <w:rtl/>
          <w:lang w:bidi="ar-OM"/>
        </w:rPr>
        <w:t>َّ</w:t>
      </w:r>
      <w:r w:rsidRPr="00904FCB">
        <w:rPr>
          <w:rFonts w:hint="cs"/>
          <w:sz w:val="27"/>
          <w:rtl/>
          <w:lang w:bidi="ar-OM"/>
        </w:rPr>
        <w:t>م الكمال إلى</w:t>
      </w:r>
      <w:r w:rsidR="00CD58AE" w:rsidRPr="00904FCB">
        <w:rPr>
          <w:rFonts w:hint="cs"/>
          <w:sz w:val="27"/>
          <w:rtl/>
          <w:lang w:bidi="ar-OM"/>
        </w:rPr>
        <w:t>:</w:t>
      </w:r>
      <w:r w:rsidRPr="00904FCB">
        <w:rPr>
          <w:rFonts w:hint="cs"/>
          <w:sz w:val="27"/>
          <w:rtl/>
          <w:lang w:bidi="ar-OM"/>
        </w:rPr>
        <w:t xml:space="preserve"> كمال الخلقة</w:t>
      </w:r>
      <w:r w:rsidR="002B7B16">
        <w:rPr>
          <w:rFonts w:hint="cs"/>
          <w:sz w:val="27"/>
          <w:rtl/>
          <w:lang w:bidi="ar-OM"/>
        </w:rPr>
        <w:t>؛</w:t>
      </w:r>
      <w:r w:rsidRPr="00904FCB">
        <w:rPr>
          <w:rFonts w:hint="cs"/>
          <w:sz w:val="27"/>
          <w:rtl/>
          <w:lang w:bidi="ar-OM"/>
        </w:rPr>
        <w:t xml:space="preserve"> والأحكام. وكمال الأحكام أن يكون بالغا</w:t>
      </w:r>
      <w:r w:rsidR="00CD58AE" w:rsidRPr="00904FCB">
        <w:rPr>
          <w:rFonts w:hint="cs"/>
          <w:sz w:val="27"/>
          <w:rtl/>
          <w:lang w:bidi="ar-OM"/>
        </w:rPr>
        <w:t>ً</w:t>
      </w:r>
      <w:r w:rsidRPr="00904FCB">
        <w:rPr>
          <w:rFonts w:hint="cs"/>
          <w:sz w:val="27"/>
          <w:rtl/>
          <w:lang w:bidi="ar-OM"/>
        </w:rPr>
        <w:t xml:space="preserve"> عاقلا</w:t>
      </w:r>
      <w:r w:rsidR="00CD58AE" w:rsidRPr="00904FCB">
        <w:rPr>
          <w:rFonts w:hint="cs"/>
          <w:sz w:val="27"/>
          <w:rtl/>
          <w:lang w:bidi="ar-OM"/>
        </w:rPr>
        <w:t>ً</w:t>
      </w:r>
      <w:r w:rsidRPr="00904FCB">
        <w:rPr>
          <w:rFonts w:hint="cs"/>
          <w:sz w:val="27"/>
          <w:rtl/>
          <w:lang w:bidi="ar-OM"/>
        </w:rPr>
        <w:t xml:space="preserve"> ح</w:t>
      </w:r>
      <w:r w:rsidR="00CD58AE" w:rsidRPr="00904FCB">
        <w:rPr>
          <w:rFonts w:hint="cs"/>
          <w:sz w:val="27"/>
          <w:rtl/>
          <w:lang w:bidi="ar-OM"/>
        </w:rPr>
        <w:t>ُ</w:t>
      </w:r>
      <w:r w:rsidRPr="00904FCB">
        <w:rPr>
          <w:rFonts w:hint="cs"/>
          <w:sz w:val="27"/>
          <w:rtl/>
          <w:lang w:bidi="ar-OM"/>
        </w:rPr>
        <w:t>ر</w:t>
      </w:r>
      <w:r w:rsidR="00CD58AE" w:rsidRPr="00904FCB">
        <w:rPr>
          <w:rFonts w:hint="cs"/>
          <w:sz w:val="27"/>
          <w:rtl/>
          <w:lang w:bidi="ar-OM"/>
        </w:rPr>
        <w:t>ّ</w:t>
      </w:r>
      <w:r w:rsidRPr="00904FCB">
        <w:rPr>
          <w:rFonts w:hint="cs"/>
          <w:sz w:val="27"/>
          <w:rtl/>
          <w:lang w:bidi="ar-OM"/>
        </w:rPr>
        <w:t>ا</w:t>
      </w:r>
      <w:r w:rsidR="00CD58AE" w:rsidRPr="00904FCB">
        <w:rPr>
          <w:rFonts w:hint="cs"/>
          <w:sz w:val="27"/>
          <w:rtl/>
          <w:lang w:bidi="ar-OM"/>
        </w:rPr>
        <w:t>ً</w:t>
      </w:r>
      <w:r w:rsidRPr="00904FCB">
        <w:rPr>
          <w:rFonts w:hint="cs"/>
          <w:sz w:val="27"/>
          <w:rtl/>
          <w:lang w:bidi="ar-OM"/>
        </w:rPr>
        <w:t xml:space="preserve"> ذكرا</w:t>
      </w:r>
      <w:r w:rsidR="00CD58AE" w:rsidRPr="00904FCB">
        <w:rPr>
          <w:rFonts w:hint="cs"/>
          <w:sz w:val="27"/>
          <w:rtl/>
          <w:lang w:bidi="ar-OM"/>
        </w:rPr>
        <w:t>ً</w:t>
      </w:r>
      <w:r w:rsidRPr="00904FCB">
        <w:rPr>
          <w:rFonts w:hint="cs"/>
          <w:sz w:val="27"/>
          <w:rtl/>
          <w:lang w:bidi="ar-OM"/>
        </w:rPr>
        <w:t>، ثم</w:t>
      </w:r>
      <w:r w:rsidR="00CD58AE" w:rsidRPr="00904FCB">
        <w:rPr>
          <w:rFonts w:hint="cs"/>
          <w:sz w:val="27"/>
          <w:rtl/>
          <w:lang w:bidi="ar-OM"/>
        </w:rPr>
        <w:t>ّ</w:t>
      </w:r>
      <w:r w:rsidRPr="00904FCB">
        <w:rPr>
          <w:rFonts w:hint="cs"/>
          <w:sz w:val="27"/>
          <w:rtl/>
          <w:lang w:bidi="ar-OM"/>
        </w:rPr>
        <w:t xml:space="preserve"> قال: فإن المرأة لا ينعقد لها القضاء بحال</w:t>
      </w:r>
      <w:r w:rsidR="00CD58AE" w:rsidRPr="00904FCB">
        <w:rPr>
          <w:rFonts w:hint="cs"/>
          <w:sz w:val="27"/>
          <w:rtl/>
          <w:lang w:bidi="ar-OM"/>
        </w:rPr>
        <w:t>ٍ</w:t>
      </w:r>
      <w:r w:rsidRPr="00904FCB">
        <w:rPr>
          <w:rFonts w:hint="cs"/>
          <w:sz w:val="27"/>
          <w:vertAlign w:val="superscript"/>
          <w:rtl/>
        </w:rPr>
        <w:t>(</w:t>
      </w:r>
      <w:r w:rsidRPr="00904FCB">
        <w:rPr>
          <w:rStyle w:val="ac"/>
          <w:sz w:val="27"/>
          <w:rtl/>
        </w:rPr>
        <w:endnoteReference w:id="181"/>
      </w:r>
      <w:r w:rsidRPr="00904FCB">
        <w:rPr>
          <w:rFonts w:hint="cs"/>
          <w:sz w:val="27"/>
          <w:vertAlign w:val="superscript"/>
          <w:rtl/>
        </w:rPr>
        <w:t>)</w:t>
      </w:r>
      <w:r w:rsidR="00CD58AE" w:rsidRPr="00904FCB">
        <w:rPr>
          <w:rFonts w:hint="cs"/>
          <w:sz w:val="27"/>
          <w:rtl/>
        </w:rPr>
        <w:t xml:space="preserve">؛ </w:t>
      </w:r>
      <w:r w:rsidRPr="00904FCB">
        <w:rPr>
          <w:rFonts w:hint="cs"/>
          <w:sz w:val="27"/>
          <w:rtl/>
          <w:lang w:bidi="ar-OM"/>
        </w:rPr>
        <w:t xml:space="preserve">لأنها ناقصة الأهلية من الناحية الشرعية لولاية القضاء. </w:t>
      </w:r>
    </w:p>
    <w:p w:rsidR="00644408" w:rsidRPr="00904FCB" w:rsidRDefault="00644408" w:rsidP="002B7B16">
      <w:pPr>
        <w:spacing w:line="400" w:lineRule="exact"/>
        <w:rPr>
          <w:sz w:val="27"/>
          <w:rtl/>
          <w:lang w:bidi="ar-OM"/>
        </w:rPr>
      </w:pPr>
      <w:r w:rsidRPr="00904FCB">
        <w:rPr>
          <w:rFonts w:hint="cs"/>
          <w:sz w:val="27"/>
          <w:rtl/>
          <w:lang w:bidi="ar-OM"/>
        </w:rPr>
        <w:t>و</w:t>
      </w:r>
      <w:r w:rsidRPr="00904FCB">
        <w:rPr>
          <w:sz w:val="27"/>
          <w:rtl/>
          <w:lang w:bidi="ar-OM"/>
        </w:rPr>
        <w:t>قال في</w:t>
      </w:r>
      <w:r w:rsidRPr="00904FCB">
        <w:rPr>
          <w:rFonts w:hint="cs"/>
          <w:sz w:val="27"/>
          <w:rtl/>
          <w:lang w:bidi="ar-OM"/>
        </w:rPr>
        <w:t xml:space="preserve"> كتاب </w:t>
      </w:r>
      <w:r w:rsidRPr="00904FCB">
        <w:rPr>
          <w:rFonts w:hint="eastAsia"/>
          <w:sz w:val="27"/>
          <w:rtl/>
          <w:lang w:bidi="ar-OM"/>
        </w:rPr>
        <w:t>«</w:t>
      </w:r>
      <w:r w:rsidRPr="00904FCB">
        <w:rPr>
          <w:sz w:val="27"/>
          <w:rtl/>
          <w:lang w:bidi="ar-OM"/>
        </w:rPr>
        <w:t>الخلاف</w:t>
      </w:r>
      <w:r w:rsidRPr="00904FCB">
        <w:rPr>
          <w:rFonts w:hint="eastAsia"/>
          <w:sz w:val="27"/>
          <w:rtl/>
        </w:rPr>
        <w:t>»</w:t>
      </w:r>
      <w:r w:rsidRPr="00904FCB">
        <w:rPr>
          <w:rFonts w:hint="cs"/>
          <w:sz w:val="27"/>
          <w:rtl/>
          <w:lang w:bidi="ar-OM"/>
        </w:rPr>
        <w:t xml:space="preserve"> ـ </w:t>
      </w:r>
      <w:r w:rsidRPr="00904FCB">
        <w:rPr>
          <w:sz w:val="27"/>
          <w:rtl/>
          <w:lang w:bidi="ar-OM"/>
        </w:rPr>
        <w:t>وهو</w:t>
      </w:r>
      <w:r w:rsidRPr="00904FCB">
        <w:rPr>
          <w:rFonts w:hint="cs"/>
          <w:sz w:val="27"/>
          <w:rtl/>
          <w:lang w:bidi="ar-OM"/>
        </w:rPr>
        <w:t xml:space="preserve"> من أقدم الكتب </w:t>
      </w:r>
      <w:r w:rsidRPr="00904FCB">
        <w:rPr>
          <w:sz w:val="27"/>
          <w:rtl/>
          <w:lang w:bidi="ar-OM"/>
        </w:rPr>
        <w:t xml:space="preserve">في الفقه المقارن </w:t>
      </w:r>
      <w:r w:rsidRPr="00904FCB">
        <w:rPr>
          <w:rFonts w:hint="cs"/>
          <w:sz w:val="27"/>
          <w:rtl/>
          <w:lang w:bidi="ar-OM"/>
        </w:rPr>
        <w:t xml:space="preserve">لمذاهب </w:t>
      </w:r>
      <w:r w:rsidR="002B7B16">
        <w:rPr>
          <w:rFonts w:hint="cs"/>
          <w:sz w:val="27"/>
          <w:rtl/>
          <w:lang w:bidi="ar-OM"/>
        </w:rPr>
        <w:t>ا</w:t>
      </w:r>
      <w:r w:rsidRPr="00904FCB">
        <w:rPr>
          <w:sz w:val="27"/>
          <w:rtl/>
          <w:lang w:bidi="ar-OM"/>
        </w:rPr>
        <w:t xml:space="preserve">لمسلمين </w:t>
      </w:r>
      <w:r w:rsidRPr="00904FCB">
        <w:rPr>
          <w:rFonts w:hint="cs"/>
          <w:sz w:val="27"/>
          <w:rtl/>
          <w:lang w:bidi="ar-OM"/>
        </w:rPr>
        <w:t>ـ:</w:t>
      </w:r>
      <w:r w:rsidRPr="00904FCB">
        <w:rPr>
          <w:sz w:val="27"/>
          <w:rtl/>
          <w:lang w:bidi="ar-OM"/>
        </w:rPr>
        <w:t xml:space="preserve"> لا يجوز </w:t>
      </w:r>
      <w:r w:rsidR="00CD58AE" w:rsidRPr="00904FCB">
        <w:rPr>
          <w:rFonts w:hint="cs"/>
          <w:sz w:val="27"/>
          <w:rtl/>
          <w:lang w:bidi="ar-OM"/>
        </w:rPr>
        <w:t>أ</w:t>
      </w:r>
      <w:r w:rsidRPr="00904FCB">
        <w:rPr>
          <w:sz w:val="27"/>
          <w:rtl/>
          <w:lang w:bidi="ar-OM"/>
        </w:rPr>
        <w:t>ن تكون المرأة قاضية في ش</w:t>
      </w:r>
      <w:r w:rsidR="00CD58AE" w:rsidRPr="00904FCB">
        <w:rPr>
          <w:rFonts w:hint="cs"/>
          <w:sz w:val="27"/>
          <w:rtl/>
          <w:lang w:bidi="ar-OM"/>
        </w:rPr>
        <w:t>يءٍ</w:t>
      </w:r>
      <w:r w:rsidRPr="00904FCB">
        <w:rPr>
          <w:sz w:val="27"/>
          <w:rtl/>
          <w:lang w:bidi="ar-OM"/>
        </w:rPr>
        <w:t xml:space="preserve"> من الأحكام</w:t>
      </w:r>
      <w:r w:rsidR="00CD58AE" w:rsidRPr="00904FCB">
        <w:rPr>
          <w:rFonts w:hint="cs"/>
          <w:sz w:val="27"/>
          <w:rtl/>
          <w:lang w:bidi="ar-OM"/>
        </w:rPr>
        <w:t>.</w:t>
      </w:r>
      <w:r w:rsidRPr="00904FCB">
        <w:rPr>
          <w:sz w:val="27"/>
          <w:rtl/>
          <w:lang w:bidi="ar-OM"/>
        </w:rPr>
        <w:t xml:space="preserve"> وبه قال الشافعي. و</w:t>
      </w:r>
      <w:r w:rsidRPr="00904FCB">
        <w:rPr>
          <w:rFonts w:hint="cs"/>
          <w:sz w:val="27"/>
          <w:rtl/>
          <w:lang w:bidi="ar-OM"/>
        </w:rPr>
        <w:t xml:space="preserve">رأى عدم وجود دليل على الجواز، وقال: الجواز يحتاج </w:t>
      </w:r>
      <w:r w:rsidR="00CD58AE" w:rsidRPr="00904FCB">
        <w:rPr>
          <w:rFonts w:hint="cs"/>
          <w:sz w:val="27"/>
          <w:rtl/>
          <w:lang w:bidi="ar-OM"/>
        </w:rPr>
        <w:t>إ</w:t>
      </w:r>
      <w:r w:rsidRPr="00904FCB">
        <w:rPr>
          <w:rFonts w:hint="cs"/>
          <w:sz w:val="27"/>
          <w:rtl/>
          <w:lang w:bidi="ar-OM"/>
        </w:rPr>
        <w:t>لى دليل</w:t>
      </w:r>
      <w:r w:rsidR="00CD58AE" w:rsidRPr="00904FCB">
        <w:rPr>
          <w:rFonts w:hint="cs"/>
          <w:sz w:val="27"/>
          <w:rtl/>
          <w:lang w:bidi="ar-OM"/>
        </w:rPr>
        <w:t>؛</w:t>
      </w:r>
      <w:r w:rsidRPr="00904FCB">
        <w:rPr>
          <w:rFonts w:hint="cs"/>
          <w:sz w:val="27"/>
          <w:rtl/>
          <w:lang w:bidi="ar-OM"/>
        </w:rPr>
        <w:t xml:space="preserve"> لأن القضاء حكم شرعي</w:t>
      </w:r>
      <w:r w:rsidR="00CD58AE" w:rsidRPr="00904FCB">
        <w:rPr>
          <w:rFonts w:hint="cs"/>
          <w:sz w:val="27"/>
          <w:rtl/>
          <w:lang w:bidi="ar-OM"/>
        </w:rPr>
        <w:t>،</w:t>
      </w:r>
      <w:r w:rsidRPr="00904FCB">
        <w:rPr>
          <w:rFonts w:hint="cs"/>
          <w:sz w:val="27"/>
          <w:rtl/>
          <w:lang w:bidi="ar-OM"/>
        </w:rPr>
        <w:t xml:space="preserve"> فم</w:t>
      </w:r>
      <w:r w:rsidR="00CD58AE" w:rsidRPr="00904FCB">
        <w:rPr>
          <w:rFonts w:hint="cs"/>
          <w:sz w:val="27"/>
          <w:rtl/>
          <w:lang w:bidi="ar-OM"/>
        </w:rPr>
        <w:t>َ</w:t>
      </w:r>
      <w:r w:rsidRPr="00904FCB">
        <w:rPr>
          <w:rFonts w:hint="cs"/>
          <w:sz w:val="27"/>
          <w:rtl/>
          <w:lang w:bidi="ar-OM"/>
        </w:rPr>
        <w:t>ن</w:t>
      </w:r>
      <w:r w:rsidR="00CD58AE" w:rsidRPr="00904FCB">
        <w:rPr>
          <w:rFonts w:hint="cs"/>
          <w:sz w:val="27"/>
          <w:rtl/>
          <w:lang w:bidi="ar-OM"/>
        </w:rPr>
        <w:t>ْ</w:t>
      </w:r>
      <w:r w:rsidRPr="00904FCB">
        <w:rPr>
          <w:rFonts w:hint="cs"/>
          <w:sz w:val="27"/>
          <w:rtl/>
          <w:lang w:bidi="ar-OM"/>
        </w:rPr>
        <w:t xml:space="preserve"> يصلح له يحتاج </w:t>
      </w:r>
      <w:r w:rsidR="00CD58AE" w:rsidRPr="00904FCB">
        <w:rPr>
          <w:rFonts w:hint="cs"/>
          <w:sz w:val="27"/>
          <w:rtl/>
          <w:lang w:bidi="ar-OM"/>
        </w:rPr>
        <w:t>إ</w:t>
      </w:r>
      <w:r w:rsidRPr="00904FCB">
        <w:rPr>
          <w:rFonts w:hint="cs"/>
          <w:sz w:val="27"/>
          <w:rtl/>
          <w:lang w:bidi="ar-OM"/>
        </w:rPr>
        <w:t>لى دليل</w:t>
      </w:r>
      <w:r w:rsidR="00CD58AE" w:rsidRPr="00904FCB">
        <w:rPr>
          <w:rFonts w:hint="cs"/>
          <w:sz w:val="27"/>
          <w:rtl/>
          <w:lang w:bidi="ar-OM"/>
        </w:rPr>
        <w:t>ٍ</w:t>
      </w:r>
      <w:r w:rsidRPr="00904FCB">
        <w:rPr>
          <w:rFonts w:hint="cs"/>
          <w:sz w:val="27"/>
          <w:rtl/>
          <w:lang w:bidi="ar-OM"/>
        </w:rPr>
        <w:t xml:space="preserve"> شرعي. وكأنه يحيل </w:t>
      </w:r>
      <w:r w:rsidR="00CD58AE" w:rsidRPr="00904FCB">
        <w:rPr>
          <w:rFonts w:hint="cs"/>
          <w:sz w:val="27"/>
          <w:rtl/>
          <w:lang w:bidi="ar-OM"/>
        </w:rPr>
        <w:t>إ</w:t>
      </w:r>
      <w:r w:rsidRPr="00904FCB">
        <w:rPr>
          <w:rFonts w:hint="cs"/>
          <w:sz w:val="27"/>
          <w:rtl/>
          <w:lang w:bidi="ar-OM"/>
        </w:rPr>
        <w:t>لى أصالة عدم ولاية أحد على أحد</w:t>
      </w:r>
      <w:r w:rsidR="00CD58AE" w:rsidRPr="00904FCB">
        <w:rPr>
          <w:rFonts w:hint="cs"/>
          <w:sz w:val="27"/>
          <w:rtl/>
          <w:lang w:bidi="ar-OM"/>
        </w:rPr>
        <w:t>ٍ</w:t>
      </w:r>
      <w:r w:rsidRPr="00904FCB">
        <w:rPr>
          <w:rFonts w:hint="cs"/>
          <w:sz w:val="27"/>
          <w:rtl/>
          <w:lang w:bidi="ar-OM"/>
        </w:rPr>
        <w:t xml:space="preserve"> إلا</w:t>
      </w:r>
      <w:r w:rsidR="00CD58AE" w:rsidRPr="00904FCB">
        <w:rPr>
          <w:rFonts w:hint="cs"/>
          <w:sz w:val="27"/>
          <w:rtl/>
          <w:lang w:bidi="ar-OM"/>
        </w:rPr>
        <w:t>ّ</w:t>
      </w:r>
      <w:r w:rsidRPr="00904FCB">
        <w:rPr>
          <w:rFonts w:hint="cs"/>
          <w:sz w:val="27"/>
          <w:rtl/>
          <w:lang w:bidi="ar-OM"/>
        </w:rPr>
        <w:t xml:space="preserve"> بدليل. واستدل</w:t>
      </w:r>
      <w:r w:rsidR="00CD58AE" w:rsidRPr="00904FCB">
        <w:rPr>
          <w:rFonts w:hint="cs"/>
          <w:sz w:val="27"/>
          <w:rtl/>
          <w:lang w:bidi="ar-OM"/>
        </w:rPr>
        <w:t>ّ</w:t>
      </w:r>
      <w:r w:rsidRPr="00904FCB">
        <w:rPr>
          <w:rFonts w:hint="cs"/>
          <w:sz w:val="27"/>
          <w:rtl/>
          <w:lang w:bidi="ar-OM"/>
        </w:rPr>
        <w:t xml:space="preserve"> على المنع بما ر</w:t>
      </w:r>
      <w:r w:rsidR="00CD58AE" w:rsidRPr="00904FCB">
        <w:rPr>
          <w:rFonts w:hint="cs"/>
          <w:sz w:val="27"/>
          <w:rtl/>
          <w:lang w:bidi="ar-OM"/>
        </w:rPr>
        <w:t>ُ</w:t>
      </w:r>
      <w:r w:rsidRPr="00904FCB">
        <w:rPr>
          <w:rFonts w:hint="cs"/>
          <w:sz w:val="27"/>
          <w:rtl/>
          <w:lang w:bidi="ar-OM"/>
        </w:rPr>
        <w:t>وي عن النبي</w:t>
      </w:r>
      <w:r w:rsidR="00CD58AE" w:rsidRPr="00904FCB">
        <w:rPr>
          <w:rFonts w:hint="cs"/>
          <w:sz w:val="27"/>
          <w:rtl/>
          <w:lang w:bidi="ar-OM"/>
        </w:rPr>
        <w:t>ّ</w:t>
      </w:r>
      <w:r w:rsidR="00635E51" w:rsidRPr="00904FCB">
        <w:rPr>
          <w:rFonts w:cs="Mosawi" w:hint="cs"/>
          <w:sz w:val="27"/>
          <w:szCs w:val="22"/>
          <w:rtl/>
          <w:lang w:bidi="ar-OM"/>
        </w:rPr>
        <w:t>|</w:t>
      </w:r>
      <w:r w:rsidRPr="00904FCB">
        <w:rPr>
          <w:rFonts w:hint="cs"/>
          <w:sz w:val="27"/>
          <w:rtl/>
          <w:lang w:bidi="ar-OM"/>
        </w:rPr>
        <w:t xml:space="preserve"> </w:t>
      </w:r>
      <w:r w:rsidR="00CD58AE" w:rsidRPr="00904FCB">
        <w:rPr>
          <w:rFonts w:hint="cs"/>
          <w:sz w:val="27"/>
          <w:rtl/>
          <w:lang w:bidi="ar-OM"/>
        </w:rPr>
        <w:t>أ</w:t>
      </w:r>
      <w:r w:rsidRPr="00904FCB">
        <w:rPr>
          <w:rFonts w:hint="cs"/>
          <w:sz w:val="27"/>
          <w:rtl/>
          <w:lang w:bidi="ar-OM"/>
        </w:rPr>
        <w:t>نه قال: لا يفلح قوم وليتهم امرأة. وقال</w:t>
      </w:r>
      <w:r w:rsidR="00635E51" w:rsidRPr="00904FCB">
        <w:rPr>
          <w:rFonts w:cs="Mosawi" w:hint="cs"/>
          <w:sz w:val="27"/>
          <w:szCs w:val="22"/>
          <w:rtl/>
          <w:lang w:bidi="ar-OM"/>
        </w:rPr>
        <w:t>|</w:t>
      </w:r>
      <w:r w:rsidRPr="00904FCB">
        <w:rPr>
          <w:rFonts w:hint="cs"/>
          <w:sz w:val="27"/>
          <w:rtl/>
          <w:lang w:bidi="ar-OM"/>
        </w:rPr>
        <w:t>: أخ</w:t>
      </w:r>
      <w:r w:rsidR="00CD58AE" w:rsidRPr="00904FCB">
        <w:rPr>
          <w:rFonts w:hint="cs"/>
          <w:sz w:val="27"/>
          <w:rtl/>
          <w:lang w:bidi="ar-OM"/>
        </w:rPr>
        <w:t>ِّ</w:t>
      </w:r>
      <w:r w:rsidRPr="00904FCB">
        <w:rPr>
          <w:rFonts w:hint="cs"/>
          <w:sz w:val="27"/>
          <w:rtl/>
          <w:lang w:bidi="ar-OM"/>
        </w:rPr>
        <w:t>روهن من حيث أخ</w:t>
      </w:r>
      <w:r w:rsidR="00CD58AE" w:rsidRPr="00904FCB">
        <w:rPr>
          <w:rFonts w:hint="cs"/>
          <w:sz w:val="27"/>
          <w:rtl/>
          <w:lang w:bidi="ar-OM"/>
        </w:rPr>
        <w:t>َّ</w:t>
      </w:r>
      <w:r w:rsidRPr="00904FCB">
        <w:rPr>
          <w:rFonts w:hint="cs"/>
          <w:sz w:val="27"/>
          <w:rtl/>
          <w:lang w:bidi="ar-OM"/>
        </w:rPr>
        <w:t>رهن الله</w:t>
      </w:r>
      <w:r w:rsidRPr="00904FCB">
        <w:rPr>
          <w:rFonts w:hint="cs"/>
          <w:sz w:val="27"/>
          <w:vertAlign w:val="superscript"/>
          <w:rtl/>
        </w:rPr>
        <w:t>(</w:t>
      </w:r>
      <w:r w:rsidRPr="00904FCB">
        <w:rPr>
          <w:rStyle w:val="ac"/>
          <w:sz w:val="27"/>
          <w:rtl/>
        </w:rPr>
        <w:endnoteReference w:id="182"/>
      </w:r>
      <w:r w:rsidRPr="00904FCB">
        <w:rPr>
          <w:rFonts w:hint="cs"/>
          <w:sz w:val="27"/>
          <w:vertAlign w:val="superscript"/>
          <w:rtl/>
        </w:rPr>
        <w:t>)</w:t>
      </w:r>
      <w:r w:rsidRPr="00904FCB">
        <w:rPr>
          <w:rFonts w:hint="cs"/>
          <w:sz w:val="27"/>
          <w:rtl/>
          <w:lang w:bidi="ar-OM"/>
        </w:rPr>
        <w:t xml:space="preserve">. ويذكر </w:t>
      </w:r>
      <w:r w:rsidR="00CD58AE" w:rsidRPr="00904FCB">
        <w:rPr>
          <w:rFonts w:hint="cs"/>
          <w:sz w:val="27"/>
          <w:rtl/>
          <w:lang w:bidi="ar-OM"/>
        </w:rPr>
        <w:t>أ</w:t>
      </w:r>
      <w:r w:rsidRPr="00904FCB">
        <w:rPr>
          <w:rFonts w:hint="cs"/>
          <w:sz w:val="27"/>
          <w:rtl/>
          <w:lang w:bidi="ar-OM"/>
        </w:rPr>
        <w:t>ن الطوسي</w:t>
      </w:r>
      <w:r w:rsidRPr="00904FCB">
        <w:rPr>
          <w:sz w:val="27"/>
          <w:rtl/>
          <w:lang w:bidi="ar-OM"/>
        </w:rPr>
        <w:t xml:space="preserve"> لم </w:t>
      </w:r>
      <w:r w:rsidRPr="00904FCB">
        <w:rPr>
          <w:rFonts w:hint="cs"/>
          <w:sz w:val="27"/>
          <w:rtl/>
          <w:lang w:bidi="ar-OM"/>
        </w:rPr>
        <w:t>ي</w:t>
      </w:r>
      <w:r w:rsidR="00CD58AE" w:rsidRPr="00904FCB">
        <w:rPr>
          <w:rFonts w:hint="cs"/>
          <w:sz w:val="27"/>
          <w:rtl/>
          <w:lang w:bidi="ar-OM"/>
        </w:rPr>
        <w:t>ُ</w:t>
      </w:r>
      <w:r w:rsidRPr="00904FCB">
        <w:rPr>
          <w:rFonts w:hint="cs"/>
          <w:sz w:val="27"/>
          <w:rtl/>
          <w:lang w:bidi="ar-OM"/>
        </w:rPr>
        <w:t>ش</w:t>
      </w:r>
      <w:r w:rsidR="00CD58AE" w:rsidRPr="00904FCB">
        <w:rPr>
          <w:rFonts w:hint="cs"/>
          <w:sz w:val="27"/>
          <w:rtl/>
          <w:lang w:bidi="ar-OM"/>
        </w:rPr>
        <w:t>ِ</w:t>
      </w:r>
      <w:r w:rsidRPr="00904FCB">
        <w:rPr>
          <w:rFonts w:hint="cs"/>
          <w:sz w:val="27"/>
          <w:rtl/>
          <w:lang w:bidi="ar-OM"/>
        </w:rPr>
        <w:t>ر</w:t>
      </w:r>
      <w:r w:rsidR="00CD58AE" w:rsidRPr="00904FCB">
        <w:rPr>
          <w:rFonts w:hint="cs"/>
          <w:sz w:val="27"/>
          <w:rtl/>
          <w:lang w:bidi="ar-OM"/>
        </w:rPr>
        <w:t>ْ</w:t>
      </w:r>
      <w:r w:rsidRPr="00904FCB">
        <w:rPr>
          <w:rFonts w:hint="cs"/>
          <w:sz w:val="27"/>
          <w:rtl/>
          <w:lang w:bidi="ar-OM"/>
        </w:rPr>
        <w:t xml:space="preserve"> إلى </w:t>
      </w:r>
      <w:r w:rsidRPr="00904FCB">
        <w:rPr>
          <w:sz w:val="27"/>
          <w:rtl/>
          <w:lang w:bidi="ar-OM"/>
        </w:rPr>
        <w:t xml:space="preserve">هذا الشرط في كتابه الفقهي </w:t>
      </w:r>
      <w:r w:rsidRPr="00904FCB">
        <w:rPr>
          <w:rFonts w:hint="eastAsia"/>
          <w:sz w:val="27"/>
          <w:rtl/>
          <w:lang w:bidi="ar-OM"/>
        </w:rPr>
        <w:t>«</w:t>
      </w:r>
      <w:r w:rsidRPr="00904FCB">
        <w:rPr>
          <w:sz w:val="27"/>
          <w:rtl/>
          <w:lang w:bidi="ar-OM"/>
        </w:rPr>
        <w:t>النهاية</w:t>
      </w:r>
      <w:r w:rsidRPr="00904FCB">
        <w:rPr>
          <w:rFonts w:hint="eastAsia"/>
          <w:sz w:val="27"/>
          <w:rtl/>
        </w:rPr>
        <w:t>»</w:t>
      </w:r>
      <w:r w:rsidRPr="00904FCB">
        <w:rPr>
          <w:rFonts w:hint="cs"/>
          <w:sz w:val="27"/>
          <w:rtl/>
          <w:lang w:bidi="ar-OM"/>
        </w:rPr>
        <w:t xml:space="preserve"> </w:t>
      </w:r>
      <w:r w:rsidRPr="00904FCB">
        <w:rPr>
          <w:sz w:val="27"/>
          <w:rtl/>
          <w:lang w:bidi="ar-OM"/>
        </w:rPr>
        <w:t>الذي أل</w:t>
      </w:r>
      <w:r w:rsidR="00CD58AE" w:rsidRPr="00904FCB">
        <w:rPr>
          <w:rFonts w:hint="cs"/>
          <w:sz w:val="27"/>
          <w:rtl/>
          <w:lang w:bidi="ar-OM"/>
        </w:rPr>
        <w:t>َّ</w:t>
      </w:r>
      <w:r w:rsidRPr="00904FCB">
        <w:rPr>
          <w:sz w:val="27"/>
          <w:rtl/>
          <w:lang w:bidi="ar-OM"/>
        </w:rPr>
        <w:t>فه قبله</w:t>
      </w:r>
      <w:r w:rsidRPr="00904FCB">
        <w:rPr>
          <w:rFonts w:hint="cs"/>
          <w:sz w:val="27"/>
          <w:rtl/>
          <w:lang w:bidi="ar-OM"/>
        </w:rPr>
        <w:t>م</w:t>
      </w:r>
      <w:r w:rsidRPr="00904FCB">
        <w:rPr>
          <w:sz w:val="27"/>
          <w:rtl/>
          <w:lang w:bidi="ar-OM"/>
        </w:rPr>
        <w:t>ا، والذي يمث</w:t>
      </w:r>
      <w:r w:rsidR="00CD58AE" w:rsidRPr="00904FCB">
        <w:rPr>
          <w:rFonts w:hint="cs"/>
          <w:sz w:val="27"/>
          <w:rtl/>
          <w:lang w:bidi="ar-OM"/>
        </w:rPr>
        <w:t>ِّ</w:t>
      </w:r>
      <w:r w:rsidRPr="00904FCB">
        <w:rPr>
          <w:sz w:val="27"/>
          <w:rtl/>
          <w:lang w:bidi="ar-OM"/>
        </w:rPr>
        <w:t>ل الفقه الروائي في تلك المرحلة من تطو</w:t>
      </w:r>
      <w:r w:rsidR="00CD58AE" w:rsidRPr="00904FCB">
        <w:rPr>
          <w:rFonts w:hint="cs"/>
          <w:sz w:val="27"/>
          <w:rtl/>
          <w:lang w:bidi="ar-OM"/>
        </w:rPr>
        <w:t>ُّ</w:t>
      </w:r>
      <w:r w:rsidRPr="00904FCB">
        <w:rPr>
          <w:sz w:val="27"/>
          <w:rtl/>
          <w:lang w:bidi="ar-OM"/>
        </w:rPr>
        <w:t>ر البحث الفقهي في مدرسة الفقه ال</w:t>
      </w:r>
      <w:r w:rsidR="00CD58AE" w:rsidRPr="00904FCB">
        <w:rPr>
          <w:rFonts w:hint="cs"/>
          <w:sz w:val="27"/>
          <w:rtl/>
          <w:lang w:bidi="ar-OM"/>
        </w:rPr>
        <w:t>إ</w:t>
      </w:r>
      <w:r w:rsidRPr="00904FCB">
        <w:rPr>
          <w:sz w:val="27"/>
          <w:rtl/>
          <w:lang w:bidi="ar-OM"/>
        </w:rPr>
        <w:t xml:space="preserve">سلامي الإمامي. </w:t>
      </w:r>
    </w:p>
    <w:p w:rsidR="00644408" w:rsidRPr="00904FCB" w:rsidRDefault="00644408" w:rsidP="007A21AA">
      <w:pPr>
        <w:spacing w:line="400" w:lineRule="exact"/>
        <w:rPr>
          <w:sz w:val="27"/>
          <w:rtl/>
          <w:lang w:bidi="ar-OM"/>
        </w:rPr>
      </w:pPr>
      <w:r w:rsidRPr="00904FCB">
        <w:rPr>
          <w:rFonts w:hint="cs"/>
          <w:sz w:val="27"/>
          <w:rtl/>
          <w:lang w:bidi="ar-OM"/>
        </w:rPr>
        <w:t>ووافقه على هذا الموقف جملة</w:t>
      </w:r>
      <w:r w:rsidR="00CD58AE" w:rsidRPr="00904FCB">
        <w:rPr>
          <w:rFonts w:hint="cs"/>
          <w:sz w:val="27"/>
          <w:rtl/>
          <w:lang w:bidi="ar-OM"/>
        </w:rPr>
        <w:t>ٌ</w:t>
      </w:r>
      <w:r w:rsidRPr="00904FCB">
        <w:rPr>
          <w:rFonts w:hint="cs"/>
          <w:sz w:val="27"/>
          <w:rtl/>
          <w:lang w:bidi="ar-OM"/>
        </w:rPr>
        <w:t xml:space="preserve"> من فقهاء الإمامية</w:t>
      </w:r>
      <w:r w:rsidR="00CD58AE" w:rsidRPr="00904FCB">
        <w:rPr>
          <w:rFonts w:hint="cs"/>
          <w:sz w:val="27"/>
          <w:rtl/>
          <w:lang w:bidi="ar-OM"/>
        </w:rPr>
        <w:t>،</w:t>
      </w:r>
      <w:r w:rsidRPr="00904FCB">
        <w:rPr>
          <w:rFonts w:hint="cs"/>
          <w:sz w:val="27"/>
          <w:rtl/>
          <w:lang w:bidi="ar-OM"/>
        </w:rPr>
        <w:t xml:space="preserve"> مثل</w:t>
      </w:r>
      <w:r w:rsidR="00CD58AE" w:rsidRPr="00904FCB">
        <w:rPr>
          <w:rFonts w:hint="cs"/>
          <w:sz w:val="27"/>
          <w:rtl/>
          <w:lang w:bidi="ar-OM"/>
        </w:rPr>
        <w:t>:</w:t>
      </w:r>
      <w:r w:rsidRPr="00904FCB">
        <w:rPr>
          <w:rFonts w:hint="cs"/>
          <w:sz w:val="27"/>
          <w:rtl/>
          <w:lang w:bidi="ar-OM"/>
        </w:rPr>
        <w:t xml:space="preserve"> ابن البر</w:t>
      </w:r>
      <w:r w:rsidR="00CD58AE" w:rsidRPr="00904FCB">
        <w:rPr>
          <w:rFonts w:hint="cs"/>
          <w:sz w:val="27"/>
          <w:rtl/>
          <w:lang w:bidi="ar-OM"/>
        </w:rPr>
        <w:t>ّ</w:t>
      </w:r>
      <w:r w:rsidRPr="00904FCB">
        <w:rPr>
          <w:rFonts w:hint="cs"/>
          <w:sz w:val="27"/>
          <w:rtl/>
          <w:lang w:bidi="ar-OM"/>
        </w:rPr>
        <w:t>اج(</w:t>
      </w:r>
      <w:r w:rsidRPr="00DF101A">
        <w:rPr>
          <w:rFonts w:hint="cs"/>
          <w:sz w:val="27"/>
          <w:rtl/>
          <w:lang w:bidi="ar-OM"/>
        </w:rPr>
        <w:t>481هـ</w:t>
      </w:r>
      <w:r w:rsidRPr="00904FCB">
        <w:rPr>
          <w:rFonts w:hint="cs"/>
          <w:sz w:val="27"/>
          <w:rtl/>
          <w:lang w:bidi="ar-OM"/>
        </w:rPr>
        <w:t>)</w:t>
      </w:r>
      <w:r w:rsidR="002B7B16">
        <w:rPr>
          <w:rFonts w:hint="cs"/>
          <w:sz w:val="27"/>
          <w:rtl/>
          <w:lang w:bidi="ar-OM"/>
        </w:rPr>
        <w:t>،</w:t>
      </w:r>
      <w:r w:rsidRPr="00904FCB">
        <w:rPr>
          <w:rFonts w:hint="cs"/>
          <w:sz w:val="27"/>
          <w:rtl/>
          <w:lang w:bidi="ar-OM"/>
        </w:rPr>
        <w:t xml:space="preserve"> والمحق</w:t>
      </w:r>
      <w:r w:rsidR="00CD58AE" w:rsidRPr="00904FCB">
        <w:rPr>
          <w:rFonts w:hint="cs"/>
          <w:sz w:val="27"/>
          <w:rtl/>
          <w:lang w:bidi="ar-OM"/>
        </w:rPr>
        <w:t>ِّ</w:t>
      </w:r>
      <w:r w:rsidRPr="00904FCB">
        <w:rPr>
          <w:rFonts w:hint="cs"/>
          <w:sz w:val="27"/>
          <w:rtl/>
          <w:lang w:bidi="ar-OM"/>
        </w:rPr>
        <w:t>ق الحلي(</w:t>
      </w:r>
      <w:r w:rsidRPr="00DF101A">
        <w:rPr>
          <w:rFonts w:hint="cs"/>
          <w:sz w:val="27"/>
          <w:rtl/>
          <w:lang w:bidi="ar-OM"/>
        </w:rPr>
        <w:t>676هـ</w:t>
      </w:r>
      <w:r w:rsidRPr="00904FCB">
        <w:rPr>
          <w:rFonts w:hint="cs"/>
          <w:sz w:val="27"/>
          <w:rtl/>
          <w:lang w:bidi="ar-OM"/>
        </w:rPr>
        <w:t>)</w:t>
      </w:r>
      <w:r w:rsidR="002B7B16">
        <w:rPr>
          <w:rFonts w:hint="cs"/>
          <w:sz w:val="27"/>
          <w:rtl/>
          <w:lang w:bidi="ar-OM"/>
        </w:rPr>
        <w:t>،</w:t>
      </w:r>
      <w:r w:rsidRPr="00904FCB">
        <w:rPr>
          <w:rFonts w:hint="cs"/>
          <w:sz w:val="27"/>
          <w:rtl/>
          <w:lang w:bidi="ar-OM"/>
        </w:rPr>
        <w:t xml:space="preserve"> وغيرهم</w:t>
      </w:r>
      <w:r w:rsidR="002B7B16">
        <w:rPr>
          <w:rFonts w:hint="cs"/>
          <w:sz w:val="27"/>
          <w:rtl/>
          <w:lang w:bidi="ar-OM"/>
        </w:rPr>
        <w:t>ا</w:t>
      </w:r>
      <w:r w:rsidRPr="00904FCB">
        <w:rPr>
          <w:rFonts w:hint="cs"/>
          <w:sz w:val="27"/>
          <w:vertAlign w:val="superscript"/>
          <w:rtl/>
        </w:rPr>
        <w:t>(</w:t>
      </w:r>
      <w:r w:rsidRPr="00904FCB">
        <w:rPr>
          <w:rStyle w:val="ac"/>
          <w:sz w:val="27"/>
          <w:rtl/>
        </w:rPr>
        <w:endnoteReference w:id="183"/>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lastRenderedPageBreak/>
        <w:t>ومن فقهاء الإباضية الذين نص</w:t>
      </w:r>
      <w:r w:rsidR="00CD58AE" w:rsidRPr="00904FCB">
        <w:rPr>
          <w:rFonts w:hint="cs"/>
          <w:sz w:val="27"/>
          <w:rtl/>
          <w:lang w:bidi="ar-OM"/>
        </w:rPr>
        <w:t>ّ</w:t>
      </w:r>
      <w:r w:rsidRPr="00904FCB">
        <w:rPr>
          <w:rFonts w:hint="cs"/>
          <w:sz w:val="27"/>
          <w:rtl/>
          <w:lang w:bidi="ar-OM"/>
        </w:rPr>
        <w:t xml:space="preserve">وا على شرط الذكورة في القاضي محمد بن </w:t>
      </w:r>
      <w:r w:rsidR="00CD58AE" w:rsidRPr="00904FCB">
        <w:rPr>
          <w:rFonts w:hint="cs"/>
          <w:sz w:val="27"/>
          <w:rtl/>
          <w:lang w:bidi="ar-OM"/>
        </w:rPr>
        <w:t>إ</w:t>
      </w:r>
      <w:r w:rsidRPr="00904FCB">
        <w:rPr>
          <w:rFonts w:hint="cs"/>
          <w:sz w:val="27"/>
          <w:rtl/>
          <w:lang w:bidi="ar-OM"/>
        </w:rPr>
        <w:t>براهيم الكندي(</w:t>
      </w:r>
      <w:r w:rsidRPr="00DF101A">
        <w:rPr>
          <w:rFonts w:hint="cs"/>
          <w:sz w:val="27"/>
          <w:rtl/>
          <w:lang w:bidi="ar-OM"/>
        </w:rPr>
        <w:t>508هـ</w:t>
      </w:r>
      <w:r w:rsidRPr="00904FCB">
        <w:rPr>
          <w:rFonts w:hint="cs"/>
          <w:sz w:val="27"/>
          <w:rtl/>
          <w:lang w:bidi="ar-OM"/>
        </w:rPr>
        <w:t>)</w:t>
      </w:r>
      <w:r w:rsidR="005C5FA8" w:rsidRPr="00904FCB">
        <w:rPr>
          <w:rFonts w:hint="cs"/>
          <w:sz w:val="27"/>
          <w:rtl/>
          <w:lang w:bidi="ar-OM"/>
        </w:rPr>
        <w:t>،</w:t>
      </w:r>
      <w:r w:rsidRPr="00904FCB">
        <w:rPr>
          <w:rFonts w:hint="cs"/>
          <w:sz w:val="27"/>
          <w:rtl/>
          <w:lang w:bidi="ar-OM"/>
        </w:rPr>
        <w:t xml:space="preserve"> حيث صر</w:t>
      </w:r>
      <w:r w:rsidR="005C5FA8" w:rsidRPr="00904FCB">
        <w:rPr>
          <w:rFonts w:hint="cs"/>
          <w:sz w:val="27"/>
          <w:rtl/>
          <w:lang w:bidi="ar-OM"/>
        </w:rPr>
        <w:t>َّ</w:t>
      </w:r>
      <w:r w:rsidRPr="00904FCB">
        <w:rPr>
          <w:rFonts w:hint="cs"/>
          <w:sz w:val="27"/>
          <w:rtl/>
          <w:lang w:bidi="ar-OM"/>
        </w:rPr>
        <w:t>ح في بيان الشرع</w:t>
      </w:r>
      <w:r w:rsidR="005C5FA8" w:rsidRPr="00904FCB">
        <w:rPr>
          <w:rFonts w:hint="cs"/>
          <w:sz w:val="27"/>
          <w:rtl/>
          <w:lang w:bidi="ar-OM"/>
        </w:rPr>
        <w:t>:</w:t>
      </w:r>
      <w:r w:rsidRPr="00904FCB">
        <w:rPr>
          <w:rFonts w:hint="cs"/>
          <w:sz w:val="27"/>
          <w:rtl/>
          <w:lang w:bidi="ar-OM"/>
        </w:rPr>
        <w:t xml:space="preserve"> </w:t>
      </w:r>
      <w:r w:rsidRPr="00904FCB">
        <w:rPr>
          <w:rFonts w:hint="eastAsia"/>
          <w:sz w:val="27"/>
          <w:rtl/>
          <w:lang w:bidi="ar-OM"/>
        </w:rPr>
        <w:t>«</w:t>
      </w:r>
      <w:r w:rsidRPr="00904FCB">
        <w:rPr>
          <w:rFonts w:hint="cs"/>
          <w:sz w:val="27"/>
          <w:rtl/>
          <w:lang w:bidi="ar-OM"/>
        </w:rPr>
        <w:t>والمرأة لا تكون قاضيا</w:t>
      </w:r>
      <w:r w:rsidR="005C5FA8" w:rsidRPr="00904FCB">
        <w:rPr>
          <w:rFonts w:hint="cs"/>
          <w:sz w:val="27"/>
          <w:rtl/>
          <w:lang w:bidi="ar-OM"/>
        </w:rPr>
        <w:t>ً؛</w:t>
      </w:r>
      <w:r w:rsidRPr="00904FCB">
        <w:rPr>
          <w:rFonts w:hint="cs"/>
          <w:sz w:val="27"/>
          <w:rtl/>
          <w:lang w:bidi="ar-OM"/>
        </w:rPr>
        <w:t xml:space="preserve"> لقوله</w:t>
      </w:r>
      <w:r w:rsidR="00635E51" w:rsidRPr="00904FCB">
        <w:rPr>
          <w:rFonts w:cs="Mosawi" w:hint="cs"/>
          <w:sz w:val="27"/>
          <w:szCs w:val="22"/>
          <w:rtl/>
          <w:lang w:bidi="ar-OM"/>
        </w:rPr>
        <w:t>|</w:t>
      </w:r>
      <w:r w:rsidRPr="00904FCB">
        <w:rPr>
          <w:rFonts w:hint="cs"/>
          <w:sz w:val="27"/>
          <w:rtl/>
          <w:lang w:bidi="ar-OM"/>
        </w:rPr>
        <w:t xml:space="preserve">: </w:t>
      </w:r>
      <w:r w:rsidRPr="00904FCB">
        <w:rPr>
          <w:rFonts w:hint="eastAsia"/>
          <w:sz w:val="27"/>
          <w:rtl/>
          <w:lang w:bidi="ar-OM"/>
        </w:rPr>
        <w:t>«</w:t>
      </w:r>
      <w:r w:rsidRPr="00904FCB">
        <w:rPr>
          <w:rFonts w:hint="cs"/>
          <w:sz w:val="27"/>
          <w:rtl/>
          <w:lang w:bidi="ar-OM"/>
        </w:rPr>
        <w:t>أخرجوهن</w:t>
      </w:r>
      <w:r w:rsidR="005C5FA8" w:rsidRPr="00904FCB">
        <w:rPr>
          <w:rFonts w:hint="cs"/>
          <w:sz w:val="27"/>
          <w:rtl/>
          <w:lang w:bidi="ar-OM"/>
        </w:rPr>
        <w:t>ّ</w:t>
      </w:r>
      <w:r w:rsidRPr="00904FCB">
        <w:rPr>
          <w:rFonts w:hint="cs"/>
          <w:sz w:val="27"/>
          <w:rtl/>
          <w:lang w:bidi="ar-OM"/>
        </w:rPr>
        <w:t xml:space="preserve"> من حيث أخرجهن</w:t>
      </w:r>
      <w:r w:rsidR="005C5FA8" w:rsidRPr="00904FCB">
        <w:rPr>
          <w:rFonts w:hint="cs"/>
          <w:sz w:val="27"/>
          <w:rtl/>
          <w:lang w:bidi="ar-OM"/>
        </w:rPr>
        <w:t>ّ</w:t>
      </w:r>
      <w:r w:rsidRPr="00904FCB">
        <w:rPr>
          <w:rFonts w:hint="cs"/>
          <w:sz w:val="27"/>
          <w:rtl/>
          <w:lang w:bidi="ar-OM"/>
        </w:rPr>
        <w:t xml:space="preserve"> الله</w:t>
      </w:r>
      <w:r w:rsidRPr="00904FCB">
        <w:rPr>
          <w:rFonts w:hint="eastAsia"/>
          <w:sz w:val="27"/>
          <w:rtl/>
        </w:rPr>
        <w:t>»</w:t>
      </w:r>
      <w:r w:rsidR="005C5FA8" w:rsidRPr="00904FCB">
        <w:rPr>
          <w:rFonts w:hint="cs"/>
          <w:sz w:val="27"/>
          <w:rtl/>
        </w:rPr>
        <w:t>،</w:t>
      </w:r>
      <w:r w:rsidRPr="00904FCB">
        <w:rPr>
          <w:rFonts w:hint="cs"/>
          <w:sz w:val="27"/>
          <w:rtl/>
          <w:lang w:bidi="ar-OM"/>
        </w:rPr>
        <w:t xml:space="preserve"> وفي نسخة</w:t>
      </w:r>
      <w:r w:rsidR="005C5FA8" w:rsidRPr="00904FCB">
        <w:rPr>
          <w:rFonts w:hint="cs"/>
          <w:sz w:val="27"/>
          <w:rtl/>
          <w:lang w:bidi="ar-OM"/>
        </w:rPr>
        <w:t>ٍ:</w:t>
      </w:r>
      <w:r w:rsidRPr="00904FCB">
        <w:rPr>
          <w:rFonts w:hint="cs"/>
          <w:sz w:val="27"/>
          <w:rtl/>
          <w:lang w:bidi="ar-OM"/>
        </w:rPr>
        <w:t xml:space="preserve"> </w:t>
      </w:r>
      <w:r w:rsidRPr="00904FCB">
        <w:rPr>
          <w:rFonts w:hint="eastAsia"/>
          <w:sz w:val="27"/>
          <w:rtl/>
          <w:lang w:bidi="ar-OM"/>
        </w:rPr>
        <w:t>«</w:t>
      </w:r>
      <w:r w:rsidRPr="00904FCB">
        <w:rPr>
          <w:rFonts w:hint="cs"/>
          <w:sz w:val="27"/>
          <w:rtl/>
          <w:lang w:bidi="ar-OM"/>
        </w:rPr>
        <w:t>أخ</w:t>
      </w:r>
      <w:r w:rsidR="005C5FA8" w:rsidRPr="00904FCB">
        <w:rPr>
          <w:rFonts w:hint="cs"/>
          <w:sz w:val="27"/>
          <w:rtl/>
          <w:lang w:bidi="ar-OM"/>
        </w:rPr>
        <w:t>ِّ</w:t>
      </w:r>
      <w:r w:rsidRPr="00904FCB">
        <w:rPr>
          <w:rFonts w:hint="cs"/>
          <w:sz w:val="27"/>
          <w:rtl/>
          <w:lang w:bidi="ar-OM"/>
        </w:rPr>
        <w:t>روهن من حيث أخ</w:t>
      </w:r>
      <w:r w:rsidR="005C5FA8" w:rsidRPr="00904FCB">
        <w:rPr>
          <w:rFonts w:hint="cs"/>
          <w:sz w:val="27"/>
          <w:rtl/>
          <w:lang w:bidi="ar-OM"/>
        </w:rPr>
        <w:t>َّ</w:t>
      </w:r>
      <w:r w:rsidRPr="00904FCB">
        <w:rPr>
          <w:rFonts w:hint="cs"/>
          <w:sz w:val="27"/>
          <w:rtl/>
          <w:lang w:bidi="ar-OM"/>
        </w:rPr>
        <w:t>رهن الله</w:t>
      </w:r>
      <w:r w:rsidRPr="00904FCB">
        <w:rPr>
          <w:rFonts w:hint="eastAsia"/>
          <w:sz w:val="27"/>
          <w:rtl/>
        </w:rPr>
        <w:t>»</w:t>
      </w:r>
      <w:r w:rsidR="005C5FA8" w:rsidRPr="00904FCB">
        <w:rPr>
          <w:rFonts w:hint="cs"/>
          <w:sz w:val="27"/>
          <w:rtl/>
        </w:rPr>
        <w:t>.</w:t>
      </w:r>
      <w:r w:rsidRPr="00904FCB">
        <w:rPr>
          <w:rFonts w:hint="cs"/>
          <w:sz w:val="27"/>
          <w:rtl/>
          <w:lang w:bidi="ar-OM"/>
        </w:rPr>
        <w:t xml:space="preserve"> وصرح به جماعة من علمائهم</w:t>
      </w:r>
      <w:r w:rsidR="005C5FA8" w:rsidRPr="00904FCB">
        <w:rPr>
          <w:rFonts w:hint="cs"/>
          <w:sz w:val="27"/>
          <w:rtl/>
          <w:lang w:bidi="ar-OM"/>
        </w:rPr>
        <w:t>،</w:t>
      </w:r>
      <w:r w:rsidRPr="00904FCB">
        <w:rPr>
          <w:rFonts w:hint="cs"/>
          <w:sz w:val="27"/>
          <w:rtl/>
          <w:lang w:bidi="ar-OM"/>
        </w:rPr>
        <w:t xml:space="preserve"> مثل</w:t>
      </w:r>
      <w:r w:rsidR="005C5FA8" w:rsidRPr="00904FCB">
        <w:rPr>
          <w:rFonts w:hint="cs"/>
          <w:sz w:val="27"/>
          <w:rtl/>
          <w:lang w:bidi="ar-OM"/>
        </w:rPr>
        <w:t>:</w:t>
      </w:r>
      <w:r w:rsidRPr="00904FCB">
        <w:rPr>
          <w:rFonts w:hint="cs"/>
          <w:sz w:val="27"/>
          <w:rtl/>
          <w:lang w:bidi="ar-OM"/>
        </w:rPr>
        <w:t xml:space="preserve"> أبي بكر الكندي(</w:t>
      </w:r>
      <w:r w:rsidRPr="00DF101A">
        <w:rPr>
          <w:rFonts w:hint="cs"/>
          <w:sz w:val="27"/>
          <w:rtl/>
          <w:lang w:bidi="ar-OM"/>
        </w:rPr>
        <w:t>557</w:t>
      </w:r>
      <w:r w:rsidR="00DF101A">
        <w:rPr>
          <w:rFonts w:hint="cs"/>
          <w:sz w:val="27"/>
          <w:rtl/>
          <w:lang w:bidi="ar-OM"/>
        </w:rPr>
        <w:t>هـ</w:t>
      </w:r>
      <w:r w:rsidRPr="00904FCB">
        <w:rPr>
          <w:rFonts w:hint="cs"/>
          <w:sz w:val="27"/>
          <w:rtl/>
          <w:lang w:bidi="ar-OM"/>
        </w:rPr>
        <w:t>) في المصن</w:t>
      </w:r>
      <w:r w:rsidR="005C5FA8" w:rsidRPr="00904FCB">
        <w:rPr>
          <w:rFonts w:hint="cs"/>
          <w:sz w:val="27"/>
          <w:rtl/>
          <w:lang w:bidi="ar-OM"/>
        </w:rPr>
        <w:t>ّ</w:t>
      </w:r>
      <w:r w:rsidRPr="00904FCB">
        <w:rPr>
          <w:rFonts w:hint="cs"/>
          <w:sz w:val="27"/>
          <w:rtl/>
          <w:lang w:bidi="ar-OM"/>
        </w:rPr>
        <w:t>ف</w:t>
      </w:r>
      <w:r w:rsidR="005C5FA8" w:rsidRPr="00904FCB">
        <w:rPr>
          <w:rFonts w:hint="cs"/>
          <w:sz w:val="27"/>
          <w:rtl/>
          <w:lang w:bidi="ar-OM"/>
        </w:rPr>
        <w:t>،</w:t>
      </w:r>
      <w:r w:rsidRPr="00904FCB">
        <w:rPr>
          <w:rFonts w:hint="cs"/>
          <w:sz w:val="27"/>
          <w:rtl/>
          <w:lang w:bidi="ar-OM"/>
        </w:rPr>
        <w:t xml:space="preserve"> والشقصي(القرن الحادي عشر للهجرة) في منهج الطالبين</w:t>
      </w:r>
      <w:r w:rsidRPr="00904FCB">
        <w:rPr>
          <w:rFonts w:hint="cs"/>
          <w:sz w:val="27"/>
          <w:vertAlign w:val="superscript"/>
          <w:rtl/>
        </w:rPr>
        <w:t>(</w:t>
      </w:r>
      <w:r w:rsidRPr="00904FCB">
        <w:rPr>
          <w:rStyle w:val="ac"/>
          <w:sz w:val="27"/>
          <w:rtl/>
        </w:rPr>
        <w:endnoteReference w:id="184"/>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كما نص</w:t>
      </w:r>
      <w:r w:rsidR="005C5FA8" w:rsidRPr="00904FCB">
        <w:rPr>
          <w:rFonts w:hint="cs"/>
          <w:sz w:val="27"/>
          <w:rtl/>
          <w:lang w:bidi="ar-OM"/>
        </w:rPr>
        <w:t>ّ</w:t>
      </w:r>
      <w:r w:rsidRPr="00904FCB">
        <w:rPr>
          <w:rFonts w:hint="cs"/>
          <w:sz w:val="27"/>
          <w:rtl/>
          <w:lang w:bidi="ar-OM"/>
        </w:rPr>
        <w:t xml:space="preserve"> عليه أحمد المرتضى من الزيدية(</w:t>
      </w:r>
      <w:r w:rsidRPr="00546E4F">
        <w:rPr>
          <w:rFonts w:hint="cs"/>
          <w:sz w:val="27"/>
          <w:rtl/>
          <w:lang w:bidi="ar-OM"/>
        </w:rPr>
        <w:t>840هـ</w:t>
      </w:r>
      <w:r w:rsidRPr="00904FCB">
        <w:rPr>
          <w:rFonts w:hint="cs"/>
          <w:sz w:val="27"/>
          <w:rtl/>
          <w:lang w:bidi="ar-OM"/>
        </w:rPr>
        <w:t>)</w:t>
      </w:r>
      <w:r w:rsidRPr="00904FCB">
        <w:rPr>
          <w:rFonts w:hint="cs"/>
          <w:sz w:val="27"/>
          <w:vertAlign w:val="superscript"/>
          <w:rtl/>
        </w:rPr>
        <w:t>(</w:t>
      </w:r>
      <w:r w:rsidRPr="00904FCB">
        <w:rPr>
          <w:rStyle w:val="ac"/>
          <w:sz w:val="27"/>
          <w:rtl/>
        </w:rPr>
        <w:endnoteReference w:id="185"/>
      </w:r>
      <w:r w:rsidRPr="00904FCB">
        <w:rPr>
          <w:rFonts w:hint="cs"/>
          <w:sz w:val="27"/>
          <w:vertAlign w:val="superscript"/>
          <w:rtl/>
        </w:rPr>
        <w:t>)</w:t>
      </w:r>
      <w:r w:rsidRPr="00904FCB">
        <w:rPr>
          <w:rFonts w:hint="cs"/>
          <w:sz w:val="27"/>
          <w:rtl/>
          <w:lang w:bidi="ar-OM"/>
        </w:rPr>
        <w:t xml:space="preserve">. </w:t>
      </w:r>
    </w:p>
    <w:p w:rsidR="00644408" w:rsidRPr="00904FCB" w:rsidRDefault="00644408" w:rsidP="00B74A01">
      <w:pPr>
        <w:spacing w:line="420" w:lineRule="exact"/>
        <w:rPr>
          <w:sz w:val="27"/>
          <w:rtl/>
          <w:lang w:bidi="ar-LB"/>
        </w:rPr>
      </w:pPr>
      <w:r w:rsidRPr="00904FCB">
        <w:rPr>
          <w:rFonts w:hint="cs"/>
          <w:sz w:val="27"/>
          <w:rtl/>
          <w:lang w:bidi="ar-OM"/>
        </w:rPr>
        <w:t>ويتبن</w:t>
      </w:r>
      <w:r w:rsidR="005C5FA8" w:rsidRPr="00904FCB">
        <w:rPr>
          <w:rFonts w:hint="cs"/>
          <w:sz w:val="27"/>
          <w:rtl/>
          <w:lang w:bidi="ar-OM"/>
        </w:rPr>
        <w:t>ّ</w:t>
      </w:r>
      <w:r w:rsidRPr="00904FCB">
        <w:rPr>
          <w:rFonts w:hint="cs"/>
          <w:sz w:val="27"/>
          <w:rtl/>
          <w:lang w:bidi="ar-OM"/>
        </w:rPr>
        <w:t>ى هذا الرأي كثير</w:t>
      </w:r>
      <w:r w:rsidR="005C5FA8" w:rsidRPr="00904FCB">
        <w:rPr>
          <w:rFonts w:hint="cs"/>
          <w:sz w:val="27"/>
          <w:rtl/>
          <w:lang w:bidi="ar-OM"/>
        </w:rPr>
        <w:t>ٌ</w:t>
      </w:r>
      <w:r w:rsidRPr="00904FCB">
        <w:rPr>
          <w:rFonts w:hint="cs"/>
          <w:sz w:val="27"/>
          <w:rtl/>
          <w:lang w:bidi="ar-OM"/>
        </w:rPr>
        <w:t xml:space="preserve"> من العلماء والفقهاء المعاصرين، ح</w:t>
      </w:r>
      <w:r w:rsidR="005C5FA8" w:rsidRPr="00904FCB">
        <w:rPr>
          <w:rFonts w:hint="cs"/>
          <w:sz w:val="27"/>
          <w:rtl/>
          <w:lang w:bidi="ar-OM"/>
        </w:rPr>
        <w:t>َ</w:t>
      </w:r>
      <w:r w:rsidRPr="00904FCB">
        <w:rPr>
          <w:rFonts w:hint="cs"/>
          <w:sz w:val="27"/>
          <w:rtl/>
          <w:lang w:bidi="ar-OM"/>
        </w:rPr>
        <w:t>س</w:t>
      </w:r>
      <w:r w:rsidR="005C5FA8" w:rsidRPr="00904FCB">
        <w:rPr>
          <w:rFonts w:hint="cs"/>
          <w:sz w:val="27"/>
          <w:rtl/>
          <w:lang w:bidi="ar-OM"/>
        </w:rPr>
        <w:t>ْ</w:t>
      </w:r>
      <w:r w:rsidRPr="00904FCB">
        <w:rPr>
          <w:rFonts w:hint="cs"/>
          <w:sz w:val="27"/>
          <w:rtl/>
          <w:lang w:bidi="ar-OM"/>
        </w:rPr>
        <w:t>ب</w:t>
      </w:r>
      <w:r w:rsidR="005C5FA8" w:rsidRPr="00904FCB">
        <w:rPr>
          <w:rFonts w:hint="cs"/>
          <w:sz w:val="27"/>
          <w:rtl/>
          <w:lang w:bidi="ar-OM"/>
        </w:rPr>
        <w:t xml:space="preserve"> </w:t>
      </w:r>
      <w:r w:rsidRPr="00904FCB">
        <w:rPr>
          <w:rFonts w:hint="cs"/>
          <w:sz w:val="27"/>
          <w:rtl/>
          <w:lang w:bidi="ar-OM"/>
        </w:rPr>
        <w:t>ما جاء في كتبهم ورسائلهم الفقهية</w:t>
      </w:r>
      <w:r w:rsidR="005C5FA8" w:rsidRPr="00904FCB">
        <w:rPr>
          <w:rFonts w:hint="cs"/>
          <w:sz w:val="27"/>
          <w:rtl/>
          <w:lang w:bidi="ar-OM"/>
        </w:rPr>
        <w:t>،</w:t>
      </w:r>
      <w:r w:rsidRPr="00904FCB">
        <w:rPr>
          <w:rFonts w:hint="cs"/>
          <w:sz w:val="27"/>
          <w:rtl/>
          <w:lang w:bidi="ar-OM"/>
        </w:rPr>
        <w:t xml:space="preserve"> مثل</w:t>
      </w:r>
      <w:r w:rsidR="005C5FA8" w:rsidRPr="00904FCB">
        <w:rPr>
          <w:rFonts w:hint="cs"/>
          <w:sz w:val="27"/>
          <w:rtl/>
          <w:lang w:bidi="ar-OM"/>
        </w:rPr>
        <w:t>:</w:t>
      </w:r>
      <w:r w:rsidRPr="00904FCB">
        <w:rPr>
          <w:rFonts w:hint="cs"/>
          <w:sz w:val="27"/>
          <w:rtl/>
          <w:lang w:bidi="ar-OM"/>
        </w:rPr>
        <w:t xml:space="preserve"> سيد سابق</w:t>
      </w:r>
      <w:r w:rsidR="005C5FA8" w:rsidRPr="00904FCB">
        <w:rPr>
          <w:rFonts w:hint="cs"/>
          <w:sz w:val="27"/>
          <w:rtl/>
          <w:lang w:bidi="ar-OM"/>
        </w:rPr>
        <w:t>،</w:t>
      </w:r>
      <w:r w:rsidRPr="00904FCB">
        <w:rPr>
          <w:rFonts w:hint="cs"/>
          <w:sz w:val="27"/>
          <w:rtl/>
          <w:lang w:bidi="ar-OM"/>
        </w:rPr>
        <w:t xml:space="preserve"> ومحمد باقر الصدر</w:t>
      </w:r>
      <w:r w:rsidR="005C5FA8" w:rsidRPr="00904FCB">
        <w:rPr>
          <w:rFonts w:hint="cs"/>
          <w:sz w:val="27"/>
          <w:rtl/>
          <w:lang w:bidi="ar-OM"/>
        </w:rPr>
        <w:t>،</w:t>
      </w:r>
      <w:r w:rsidRPr="00904FCB">
        <w:rPr>
          <w:rFonts w:hint="cs"/>
          <w:sz w:val="27"/>
          <w:rtl/>
          <w:lang w:bidi="ar-OM"/>
        </w:rPr>
        <w:t xml:space="preserve"> وأب</w:t>
      </w:r>
      <w:r w:rsidR="005C5FA8" w:rsidRPr="00904FCB">
        <w:rPr>
          <w:rFonts w:hint="cs"/>
          <w:sz w:val="27"/>
          <w:rtl/>
          <w:lang w:bidi="ar-OM"/>
        </w:rPr>
        <w:t>ي</w:t>
      </w:r>
      <w:r w:rsidRPr="00904FCB">
        <w:rPr>
          <w:rFonts w:hint="cs"/>
          <w:sz w:val="27"/>
          <w:rtl/>
          <w:lang w:bidi="ar-OM"/>
        </w:rPr>
        <w:t xml:space="preserve"> القاسم الخوئي</w:t>
      </w:r>
      <w:r w:rsidR="005C5FA8" w:rsidRPr="00904FCB">
        <w:rPr>
          <w:rFonts w:hint="cs"/>
          <w:sz w:val="27"/>
          <w:rtl/>
          <w:lang w:bidi="ar-OM"/>
        </w:rPr>
        <w:t>،</w:t>
      </w:r>
      <w:r w:rsidRPr="00904FCB">
        <w:rPr>
          <w:rFonts w:hint="cs"/>
          <w:sz w:val="27"/>
          <w:rtl/>
          <w:lang w:bidi="ar-OM"/>
        </w:rPr>
        <w:t xml:space="preserve"> وروح الله الخميني</w:t>
      </w:r>
      <w:r w:rsidRPr="00904FCB">
        <w:rPr>
          <w:rFonts w:hint="cs"/>
          <w:sz w:val="27"/>
          <w:vertAlign w:val="superscript"/>
          <w:rtl/>
        </w:rPr>
        <w:t>(</w:t>
      </w:r>
      <w:r w:rsidRPr="00904FCB">
        <w:rPr>
          <w:rStyle w:val="ac"/>
          <w:sz w:val="27"/>
          <w:rtl/>
        </w:rPr>
        <w:endnoteReference w:id="186"/>
      </w:r>
      <w:r w:rsidRPr="00904FCB">
        <w:rPr>
          <w:rFonts w:hint="cs"/>
          <w:sz w:val="27"/>
          <w:vertAlign w:val="superscript"/>
          <w:rtl/>
        </w:rPr>
        <w:t>)</w:t>
      </w:r>
      <w:r w:rsidRPr="00904FCB">
        <w:rPr>
          <w:rFonts w:hint="cs"/>
          <w:sz w:val="27"/>
          <w:rtl/>
          <w:lang w:bidi="ar-OM"/>
        </w:rPr>
        <w:t xml:space="preserve">. ويرى بعض الباحثين </w:t>
      </w:r>
      <w:r w:rsidR="005C5FA8" w:rsidRPr="00904FCB">
        <w:rPr>
          <w:rFonts w:hint="cs"/>
          <w:sz w:val="27"/>
          <w:rtl/>
          <w:lang w:bidi="ar-OM"/>
        </w:rPr>
        <w:t>أ</w:t>
      </w:r>
      <w:r w:rsidRPr="00904FCB">
        <w:rPr>
          <w:rFonts w:hint="cs"/>
          <w:sz w:val="27"/>
          <w:rtl/>
          <w:lang w:bidi="ar-OM"/>
        </w:rPr>
        <w:t xml:space="preserve">ن القضاء يحتاج </w:t>
      </w:r>
      <w:r w:rsidR="005C5FA8" w:rsidRPr="00904FCB">
        <w:rPr>
          <w:rFonts w:hint="cs"/>
          <w:sz w:val="27"/>
          <w:rtl/>
          <w:lang w:bidi="ar-OM"/>
        </w:rPr>
        <w:t>إ</w:t>
      </w:r>
      <w:r w:rsidRPr="00904FCB">
        <w:rPr>
          <w:rFonts w:hint="cs"/>
          <w:sz w:val="27"/>
          <w:rtl/>
          <w:lang w:bidi="ar-OM"/>
        </w:rPr>
        <w:t>لى زيادة الذكاء والفطنة وكمال الرأي والعقل</w:t>
      </w:r>
      <w:r w:rsidR="005C5FA8" w:rsidRPr="00904FCB">
        <w:rPr>
          <w:rFonts w:hint="cs"/>
          <w:sz w:val="27"/>
          <w:rtl/>
          <w:lang w:bidi="ar-OM"/>
        </w:rPr>
        <w:t>،</w:t>
      </w:r>
      <w:r w:rsidRPr="00904FCB">
        <w:rPr>
          <w:rFonts w:hint="cs"/>
          <w:sz w:val="27"/>
          <w:rtl/>
          <w:lang w:bidi="ar-OM"/>
        </w:rPr>
        <w:t xml:space="preserve"> والمرأة ناقصة في ذلك قليلة الخبرة بأمور الحياة وح</w:t>
      </w:r>
      <w:r w:rsidR="005C5FA8" w:rsidRPr="00904FCB">
        <w:rPr>
          <w:rFonts w:hint="cs"/>
          <w:sz w:val="27"/>
          <w:rtl/>
          <w:lang w:bidi="ar-OM"/>
        </w:rPr>
        <w:t>ِ</w:t>
      </w:r>
      <w:r w:rsidRPr="00904FCB">
        <w:rPr>
          <w:rFonts w:hint="cs"/>
          <w:sz w:val="27"/>
          <w:rtl/>
          <w:lang w:bidi="ar-OM"/>
        </w:rPr>
        <w:t>ي</w:t>
      </w:r>
      <w:r w:rsidR="005C5FA8" w:rsidRPr="00904FCB">
        <w:rPr>
          <w:rFonts w:hint="cs"/>
          <w:sz w:val="27"/>
          <w:rtl/>
          <w:lang w:bidi="ar-OM"/>
        </w:rPr>
        <w:t>َ</w:t>
      </w:r>
      <w:r w:rsidRPr="00904FCB">
        <w:rPr>
          <w:rFonts w:hint="cs"/>
          <w:sz w:val="27"/>
          <w:rtl/>
          <w:lang w:bidi="ar-OM"/>
        </w:rPr>
        <w:t>ل الخصوم، إضافة الى ما يعرض لها من عوارض الطبيعة على مر</w:t>
      </w:r>
      <w:r w:rsidR="005C5FA8" w:rsidRPr="00904FCB">
        <w:rPr>
          <w:rFonts w:hint="cs"/>
          <w:sz w:val="27"/>
          <w:rtl/>
          <w:lang w:bidi="ar-OM"/>
        </w:rPr>
        <w:t>ّ</w:t>
      </w:r>
      <w:r w:rsidRPr="00904FCB">
        <w:rPr>
          <w:rFonts w:hint="cs"/>
          <w:sz w:val="27"/>
          <w:rtl/>
          <w:lang w:bidi="ar-OM"/>
        </w:rPr>
        <w:t xml:space="preserve"> الأيام والشهور والسنين</w:t>
      </w:r>
      <w:r w:rsidR="005C5FA8" w:rsidRPr="00904FCB">
        <w:rPr>
          <w:rFonts w:hint="cs"/>
          <w:sz w:val="27"/>
          <w:rtl/>
          <w:lang w:bidi="ar-OM"/>
        </w:rPr>
        <w:t>،</w:t>
      </w:r>
      <w:r w:rsidRPr="00904FCB">
        <w:rPr>
          <w:rFonts w:hint="cs"/>
          <w:sz w:val="27"/>
          <w:rtl/>
          <w:lang w:bidi="ar-OM"/>
        </w:rPr>
        <w:t xml:space="preserve"> مم</w:t>
      </w:r>
      <w:r w:rsidR="005C5FA8" w:rsidRPr="00904FCB">
        <w:rPr>
          <w:rFonts w:hint="cs"/>
          <w:sz w:val="27"/>
          <w:rtl/>
          <w:lang w:bidi="ar-OM"/>
        </w:rPr>
        <w:t>ّ</w:t>
      </w:r>
      <w:r w:rsidRPr="00904FCB">
        <w:rPr>
          <w:rFonts w:hint="cs"/>
          <w:sz w:val="27"/>
          <w:rtl/>
          <w:lang w:bidi="ar-OM"/>
        </w:rPr>
        <w:t>ا يوهن جسمها وفهمها</w:t>
      </w:r>
      <w:r w:rsidR="005C5FA8" w:rsidRPr="00904FCB">
        <w:rPr>
          <w:rFonts w:hint="cs"/>
          <w:sz w:val="27"/>
          <w:rtl/>
          <w:lang w:bidi="ar-OM"/>
        </w:rPr>
        <w:t>،</w:t>
      </w:r>
      <w:r w:rsidRPr="00904FCB">
        <w:rPr>
          <w:rFonts w:hint="cs"/>
          <w:sz w:val="27"/>
          <w:rtl/>
          <w:lang w:bidi="ar-OM"/>
        </w:rPr>
        <w:t xml:space="preserve"> فهي لا تصلح لتحم</w:t>
      </w:r>
      <w:r w:rsidR="005C5FA8" w:rsidRPr="00904FCB">
        <w:rPr>
          <w:rFonts w:hint="cs"/>
          <w:sz w:val="27"/>
          <w:rtl/>
          <w:lang w:bidi="ar-OM"/>
        </w:rPr>
        <w:t>ُّ</w:t>
      </w:r>
      <w:r w:rsidRPr="00904FCB">
        <w:rPr>
          <w:rFonts w:hint="cs"/>
          <w:sz w:val="27"/>
          <w:rtl/>
          <w:lang w:bidi="ar-OM"/>
        </w:rPr>
        <w:t>ل مشاق</w:t>
      </w:r>
      <w:r w:rsidR="005C5FA8" w:rsidRPr="00904FCB">
        <w:rPr>
          <w:rFonts w:hint="cs"/>
          <w:sz w:val="27"/>
          <w:rtl/>
          <w:lang w:bidi="ar-OM"/>
        </w:rPr>
        <w:t>ّ</w:t>
      </w:r>
      <w:r w:rsidRPr="00904FCB">
        <w:rPr>
          <w:rFonts w:hint="cs"/>
          <w:sz w:val="27"/>
          <w:rtl/>
          <w:lang w:bidi="ar-OM"/>
        </w:rPr>
        <w:t xml:space="preserve"> القضاء</w:t>
      </w:r>
      <w:r w:rsidRPr="00904FCB">
        <w:rPr>
          <w:rFonts w:hint="cs"/>
          <w:sz w:val="27"/>
          <w:vertAlign w:val="superscript"/>
          <w:rtl/>
        </w:rPr>
        <w:t>(</w:t>
      </w:r>
      <w:r w:rsidRPr="00904FCB">
        <w:rPr>
          <w:rStyle w:val="ac"/>
          <w:sz w:val="27"/>
          <w:rtl/>
        </w:rPr>
        <w:endnoteReference w:id="187"/>
      </w:r>
      <w:r w:rsidRPr="00904FCB">
        <w:rPr>
          <w:rFonts w:hint="cs"/>
          <w:sz w:val="27"/>
          <w:vertAlign w:val="superscript"/>
          <w:rtl/>
        </w:rPr>
        <w:t>)</w:t>
      </w:r>
      <w:r w:rsidRPr="00904FCB">
        <w:rPr>
          <w:rFonts w:hint="cs"/>
          <w:sz w:val="27"/>
          <w:rtl/>
          <w:lang w:bidi="ar-OM"/>
        </w:rPr>
        <w:t xml:space="preserve">. </w:t>
      </w:r>
    </w:p>
    <w:p w:rsidR="00644408" w:rsidRPr="00904FCB" w:rsidRDefault="00644408" w:rsidP="00B74A01">
      <w:pPr>
        <w:spacing w:line="420" w:lineRule="exact"/>
        <w:rPr>
          <w:sz w:val="27"/>
          <w:rtl/>
          <w:lang w:bidi="ar-OM"/>
        </w:rPr>
      </w:pPr>
      <w:r w:rsidRPr="00904FCB">
        <w:rPr>
          <w:sz w:val="27"/>
          <w:rtl/>
          <w:lang w:bidi="ar-OM"/>
        </w:rPr>
        <w:t xml:space="preserve"> و</w:t>
      </w:r>
      <w:r w:rsidRPr="00904FCB">
        <w:rPr>
          <w:rFonts w:hint="cs"/>
          <w:sz w:val="27"/>
          <w:rtl/>
          <w:lang w:bidi="ar-OM"/>
        </w:rPr>
        <w:t>يت</w:t>
      </w:r>
      <w:r w:rsidR="005C5FA8" w:rsidRPr="00904FCB">
        <w:rPr>
          <w:rFonts w:hint="cs"/>
          <w:sz w:val="27"/>
          <w:rtl/>
          <w:lang w:bidi="ar-OM"/>
        </w:rPr>
        <w:t>َّ</w:t>
      </w:r>
      <w:r w:rsidRPr="00904FCB">
        <w:rPr>
          <w:rFonts w:hint="cs"/>
          <w:sz w:val="27"/>
          <w:rtl/>
          <w:lang w:bidi="ar-OM"/>
        </w:rPr>
        <w:t xml:space="preserve">ضح من كلمات بعض الفقهاء </w:t>
      </w:r>
      <w:r w:rsidR="005C5FA8" w:rsidRPr="00904FCB">
        <w:rPr>
          <w:rFonts w:hint="cs"/>
          <w:sz w:val="27"/>
          <w:rtl/>
          <w:lang w:bidi="ar-OM"/>
        </w:rPr>
        <w:t>أ</w:t>
      </w:r>
      <w:r w:rsidRPr="00904FCB">
        <w:rPr>
          <w:rFonts w:hint="cs"/>
          <w:sz w:val="27"/>
          <w:rtl/>
          <w:lang w:bidi="ar-OM"/>
        </w:rPr>
        <w:t xml:space="preserve">ن </w:t>
      </w:r>
      <w:r w:rsidRPr="00904FCB">
        <w:rPr>
          <w:sz w:val="27"/>
          <w:rtl/>
          <w:lang w:bidi="ar-OM"/>
        </w:rPr>
        <w:t>ثم</w:t>
      </w:r>
      <w:r w:rsidR="005C5FA8" w:rsidRPr="00904FCB">
        <w:rPr>
          <w:rFonts w:hint="cs"/>
          <w:sz w:val="27"/>
          <w:rtl/>
          <w:lang w:bidi="ar-OM"/>
        </w:rPr>
        <w:t>ّ</w:t>
      </w:r>
      <w:r w:rsidRPr="00904FCB">
        <w:rPr>
          <w:sz w:val="27"/>
          <w:rtl/>
          <w:lang w:bidi="ar-OM"/>
        </w:rPr>
        <w:t>ة ترابط</w:t>
      </w:r>
      <w:r w:rsidR="005C5FA8" w:rsidRPr="00904FCB">
        <w:rPr>
          <w:rFonts w:hint="cs"/>
          <w:sz w:val="27"/>
          <w:rtl/>
          <w:lang w:bidi="ar-OM"/>
        </w:rPr>
        <w:t>اً</w:t>
      </w:r>
      <w:r w:rsidRPr="00904FCB">
        <w:rPr>
          <w:sz w:val="27"/>
          <w:rtl/>
          <w:lang w:bidi="ar-OM"/>
        </w:rPr>
        <w:t xml:space="preserve"> واضح</w:t>
      </w:r>
      <w:r w:rsidR="005C5FA8" w:rsidRPr="00904FCB">
        <w:rPr>
          <w:rFonts w:hint="cs"/>
          <w:sz w:val="27"/>
          <w:rtl/>
          <w:lang w:bidi="ar-OM"/>
        </w:rPr>
        <w:t>اً</w:t>
      </w:r>
      <w:r w:rsidRPr="00904FCB">
        <w:rPr>
          <w:sz w:val="27"/>
          <w:rtl/>
          <w:lang w:bidi="ar-OM"/>
        </w:rPr>
        <w:t xml:space="preserve"> بين الولاية العام</w:t>
      </w:r>
      <w:r w:rsidR="005C5FA8" w:rsidRPr="00904FCB">
        <w:rPr>
          <w:rFonts w:hint="cs"/>
          <w:sz w:val="27"/>
          <w:rtl/>
          <w:lang w:bidi="ar-OM"/>
        </w:rPr>
        <w:t>ّ</w:t>
      </w:r>
      <w:r w:rsidRPr="00904FCB">
        <w:rPr>
          <w:sz w:val="27"/>
          <w:rtl/>
          <w:lang w:bidi="ar-OM"/>
        </w:rPr>
        <w:t xml:space="preserve">ة </w:t>
      </w:r>
      <w:r w:rsidRPr="00904FCB">
        <w:rPr>
          <w:rFonts w:hint="cs"/>
          <w:sz w:val="27"/>
          <w:rtl/>
          <w:lang w:bidi="ar-OM"/>
        </w:rPr>
        <w:t>أو الرئاسة العليا وبين</w:t>
      </w:r>
      <w:r w:rsidRPr="00904FCB">
        <w:rPr>
          <w:sz w:val="27"/>
          <w:rtl/>
          <w:lang w:bidi="ar-OM"/>
        </w:rPr>
        <w:t xml:space="preserve"> القضاء</w:t>
      </w:r>
      <w:r w:rsidR="005C5FA8" w:rsidRPr="00904FCB">
        <w:rPr>
          <w:rFonts w:hint="cs"/>
          <w:sz w:val="27"/>
          <w:rtl/>
          <w:lang w:bidi="ar-OM"/>
        </w:rPr>
        <w:t>؛</w:t>
      </w:r>
      <w:r w:rsidRPr="00904FCB">
        <w:rPr>
          <w:sz w:val="27"/>
          <w:rtl/>
          <w:lang w:bidi="ar-OM"/>
        </w:rPr>
        <w:t xml:space="preserve"> لوضوح </w:t>
      </w:r>
      <w:r w:rsidR="005C5FA8" w:rsidRPr="00904FCB">
        <w:rPr>
          <w:rFonts w:hint="cs"/>
          <w:sz w:val="27"/>
          <w:rtl/>
          <w:lang w:bidi="ar-OM"/>
        </w:rPr>
        <w:t>أ</w:t>
      </w:r>
      <w:r w:rsidRPr="00904FCB">
        <w:rPr>
          <w:sz w:val="27"/>
          <w:rtl/>
          <w:lang w:bidi="ar-OM"/>
        </w:rPr>
        <w:t>ن القضاء في عمقه مزاولة</w:t>
      </w:r>
      <w:r w:rsidR="005C5FA8" w:rsidRPr="00904FCB">
        <w:rPr>
          <w:rFonts w:hint="cs"/>
          <w:sz w:val="27"/>
          <w:rtl/>
          <w:lang w:bidi="ar-OM"/>
        </w:rPr>
        <w:t>ٌ</w:t>
      </w:r>
      <w:r w:rsidRPr="00904FCB">
        <w:rPr>
          <w:sz w:val="27"/>
          <w:rtl/>
          <w:lang w:bidi="ar-OM"/>
        </w:rPr>
        <w:t xml:space="preserve"> للولاية و</w:t>
      </w:r>
      <w:r w:rsidRPr="00904FCB">
        <w:rPr>
          <w:rFonts w:hint="cs"/>
          <w:sz w:val="27"/>
          <w:rtl/>
          <w:lang w:bidi="ar-OM"/>
        </w:rPr>
        <w:t>السلطة</w:t>
      </w:r>
      <w:r w:rsidR="005C5FA8" w:rsidRPr="00904FCB">
        <w:rPr>
          <w:rFonts w:hint="cs"/>
          <w:sz w:val="27"/>
          <w:rtl/>
          <w:lang w:bidi="ar-OM"/>
        </w:rPr>
        <w:t>.</w:t>
      </w:r>
      <w:r w:rsidRPr="00904FCB">
        <w:rPr>
          <w:rFonts w:hint="cs"/>
          <w:sz w:val="27"/>
          <w:rtl/>
          <w:lang w:bidi="ar-OM"/>
        </w:rPr>
        <w:t xml:space="preserve"> يقول ابن رشد(</w:t>
      </w:r>
      <w:r w:rsidRPr="00546E4F">
        <w:rPr>
          <w:rFonts w:hint="cs"/>
          <w:sz w:val="27"/>
          <w:rtl/>
          <w:lang w:bidi="ar-OM"/>
        </w:rPr>
        <w:t>595هـ</w:t>
      </w:r>
      <w:r w:rsidRPr="00904FCB">
        <w:rPr>
          <w:rFonts w:hint="cs"/>
          <w:sz w:val="27"/>
          <w:rtl/>
          <w:lang w:bidi="ar-OM"/>
        </w:rPr>
        <w:t>)</w:t>
      </w:r>
      <w:r w:rsidR="005C5FA8" w:rsidRPr="00904FCB">
        <w:rPr>
          <w:rFonts w:hint="cs"/>
          <w:sz w:val="27"/>
          <w:rtl/>
          <w:lang w:bidi="ar-OM"/>
        </w:rPr>
        <w:t>:</w:t>
      </w:r>
      <w:r w:rsidRPr="00904FCB">
        <w:rPr>
          <w:rFonts w:hint="cs"/>
          <w:sz w:val="27"/>
          <w:rtl/>
          <w:lang w:bidi="ar-OM"/>
        </w:rPr>
        <w:t xml:space="preserve"> فم</w:t>
      </w:r>
      <w:r w:rsidR="005C5FA8" w:rsidRPr="00904FCB">
        <w:rPr>
          <w:rFonts w:hint="cs"/>
          <w:sz w:val="27"/>
          <w:rtl/>
          <w:lang w:bidi="ar-OM"/>
        </w:rPr>
        <w:t>َ</w:t>
      </w:r>
      <w:r w:rsidRPr="00904FCB">
        <w:rPr>
          <w:rFonts w:hint="cs"/>
          <w:sz w:val="27"/>
          <w:rtl/>
          <w:lang w:bidi="ar-OM"/>
        </w:rPr>
        <w:t>ن</w:t>
      </w:r>
      <w:r w:rsidR="005C5FA8" w:rsidRPr="00904FCB">
        <w:rPr>
          <w:rFonts w:hint="cs"/>
          <w:sz w:val="27"/>
          <w:rtl/>
          <w:lang w:bidi="ar-OM"/>
        </w:rPr>
        <w:t>ْ</w:t>
      </w:r>
      <w:r w:rsidRPr="00904FCB">
        <w:rPr>
          <w:rFonts w:hint="cs"/>
          <w:sz w:val="27"/>
          <w:rtl/>
          <w:lang w:bidi="ar-OM"/>
        </w:rPr>
        <w:t xml:space="preserve"> رد</w:t>
      </w:r>
      <w:r w:rsidR="005C5FA8" w:rsidRPr="00904FCB">
        <w:rPr>
          <w:rFonts w:hint="cs"/>
          <w:sz w:val="27"/>
          <w:rtl/>
          <w:lang w:bidi="ar-OM"/>
        </w:rPr>
        <w:t>ّ</w:t>
      </w:r>
      <w:r w:rsidRPr="00904FCB">
        <w:rPr>
          <w:rFonts w:hint="cs"/>
          <w:sz w:val="27"/>
          <w:rtl/>
          <w:lang w:bidi="ar-OM"/>
        </w:rPr>
        <w:t xml:space="preserve"> قضاء المرأة شب</w:t>
      </w:r>
      <w:r w:rsidR="005C5FA8" w:rsidRPr="00904FCB">
        <w:rPr>
          <w:rFonts w:hint="cs"/>
          <w:sz w:val="27"/>
          <w:rtl/>
          <w:lang w:bidi="ar-OM"/>
        </w:rPr>
        <w:t>ّ</w:t>
      </w:r>
      <w:r w:rsidRPr="00904FCB">
        <w:rPr>
          <w:rFonts w:hint="cs"/>
          <w:sz w:val="27"/>
          <w:rtl/>
          <w:lang w:bidi="ar-OM"/>
        </w:rPr>
        <w:t>هه بقضاء الإمامة الكبرى</w:t>
      </w:r>
      <w:r w:rsidRPr="00904FCB">
        <w:rPr>
          <w:rFonts w:hint="cs"/>
          <w:sz w:val="27"/>
          <w:vertAlign w:val="superscript"/>
          <w:rtl/>
        </w:rPr>
        <w:t>(</w:t>
      </w:r>
      <w:r w:rsidRPr="00904FCB">
        <w:rPr>
          <w:rStyle w:val="ac"/>
          <w:sz w:val="27"/>
          <w:rtl/>
        </w:rPr>
        <w:endnoteReference w:id="188"/>
      </w:r>
      <w:r w:rsidRPr="00904FCB">
        <w:rPr>
          <w:rFonts w:hint="cs"/>
          <w:sz w:val="27"/>
          <w:vertAlign w:val="superscript"/>
          <w:rtl/>
        </w:rPr>
        <w:t>)</w:t>
      </w:r>
      <w:r w:rsidRPr="00904FCB">
        <w:rPr>
          <w:rFonts w:hint="cs"/>
          <w:sz w:val="27"/>
          <w:rtl/>
          <w:lang w:bidi="ar-OM"/>
        </w:rPr>
        <w:t xml:space="preserve">. </w:t>
      </w:r>
    </w:p>
    <w:p w:rsidR="00644408" w:rsidRPr="00904FCB" w:rsidRDefault="00644408" w:rsidP="00B74A01">
      <w:pPr>
        <w:spacing w:line="420" w:lineRule="exact"/>
        <w:rPr>
          <w:sz w:val="27"/>
          <w:rtl/>
          <w:lang w:bidi="ar-OM"/>
        </w:rPr>
      </w:pPr>
      <w:r w:rsidRPr="00904FCB">
        <w:rPr>
          <w:rFonts w:hint="cs"/>
          <w:sz w:val="27"/>
          <w:rtl/>
          <w:lang w:bidi="ar-OM"/>
        </w:rPr>
        <w:t xml:space="preserve">بل يظهر من بعض البحوث الفقهية </w:t>
      </w:r>
      <w:r w:rsidR="005C5FA8" w:rsidRPr="00904FCB">
        <w:rPr>
          <w:rFonts w:hint="cs"/>
          <w:sz w:val="27"/>
          <w:rtl/>
          <w:lang w:bidi="ar-OM"/>
        </w:rPr>
        <w:t>أ</w:t>
      </w:r>
      <w:r w:rsidRPr="00904FCB">
        <w:rPr>
          <w:rFonts w:hint="cs"/>
          <w:sz w:val="27"/>
          <w:rtl/>
          <w:lang w:bidi="ar-OM"/>
        </w:rPr>
        <w:t>ن شرط الذكورة في القضاء هو من الأمور الواضحة التي اد</w:t>
      </w:r>
      <w:r w:rsidR="005C5FA8" w:rsidRPr="00904FCB">
        <w:rPr>
          <w:rFonts w:hint="cs"/>
          <w:sz w:val="27"/>
          <w:rtl/>
          <w:lang w:bidi="ar-OM"/>
        </w:rPr>
        <w:t>ُّ</w:t>
      </w:r>
      <w:r w:rsidRPr="00904FCB">
        <w:rPr>
          <w:rFonts w:hint="cs"/>
          <w:sz w:val="27"/>
          <w:rtl/>
          <w:lang w:bidi="ar-OM"/>
        </w:rPr>
        <w:t>عي فيها ال</w:t>
      </w:r>
      <w:r w:rsidR="005C5FA8" w:rsidRPr="00904FCB">
        <w:rPr>
          <w:rFonts w:hint="cs"/>
          <w:sz w:val="27"/>
          <w:rtl/>
          <w:lang w:bidi="ar-OM"/>
        </w:rPr>
        <w:t>إ</w:t>
      </w:r>
      <w:r w:rsidRPr="00904FCB">
        <w:rPr>
          <w:rFonts w:hint="cs"/>
          <w:sz w:val="27"/>
          <w:rtl/>
          <w:lang w:bidi="ar-OM"/>
        </w:rPr>
        <w:t>جماع</w:t>
      </w:r>
      <w:r w:rsidR="005C5FA8" w:rsidRPr="00904FCB">
        <w:rPr>
          <w:rFonts w:hint="cs"/>
          <w:sz w:val="27"/>
          <w:rtl/>
          <w:lang w:bidi="ar-OM"/>
        </w:rPr>
        <w:t>.</w:t>
      </w:r>
      <w:r w:rsidRPr="00904FCB">
        <w:rPr>
          <w:rFonts w:hint="cs"/>
          <w:sz w:val="27"/>
          <w:rtl/>
          <w:lang w:bidi="ar-OM"/>
        </w:rPr>
        <w:t xml:space="preserve"> ولهذا رأينا بعض المتأخ</w:t>
      </w:r>
      <w:r w:rsidR="005C5FA8" w:rsidRPr="00904FCB">
        <w:rPr>
          <w:rFonts w:hint="cs"/>
          <w:sz w:val="27"/>
          <w:rtl/>
          <w:lang w:bidi="ar-OM"/>
        </w:rPr>
        <w:t>ِّ</w:t>
      </w:r>
      <w:r w:rsidRPr="00904FCB">
        <w:rPr>
          <w:rFonts w:hint="cs"/>
          <w:sz w:val="27"/>
          <w:rtl/>
          <w:lang w:bidi="ar-OM"/>
        </w:rPr>
        <w:t>رين اشترطوا الذكورة في</w:t>
      </w:r>
      <w:r w:rsidR="005C5FA8" w:rsidRPr="00904FCB">
        <w:rPr>
          <w:rFonts w:hint="cs"/>
          <w:sz w:val="27"/>
          <w:rtl/>
          <w:lang w:bidi="ar-OM"/>
        </w:rPr>
        <w:t xml:space="preserve"> </w:t>
      </w:r>
      <w:r w:rsidRPr="00904FCB">
        <w:rPr>
          <w:rFonts w:hint="cs"/>
          <w:sz w:val="27"/>
          <w:rtl/>
          <w:lang w:bidi="ar-OM"/>
        </w:rPr>
        <w:t>م</w:t>
      </w:r>
      <w:r w:rsidR="005C5FA8" w:rsidRPr="00904FCB">
        <w:rPr>
          <w:rFonts w:hint="cs"/>
          <w:sz w:val="27"/>
          <w:rtl/>
          <w:lang w:bidi="ar-OM"/>
        </w:rPr>
        <w:t>َ</w:t>
      </w:r>
      <w:r w:rsidRPr="00904FCB">
        <w:rPr>
          <w:rFonts w:hint="cs"/>
          <w:sz w:val="27"/>
          <w:rtl/>
          <w:lang w:bidi="ar-OM"/>
        </w:rPr>
        <w:t>ن</w:t>
      </w:r>
      <w:r w:rsidR="005C5FA8" w:rsidRPr="00904FCB">
        <w:rPr>
          <w:rFonts w:hint="cs"/>
          <w:sz w:val="27"/>
          <w:rtl/>
          <w:lang w:bidi="ar-OM"/>
        </w:rPr>
        <w:t>ْ</w:t>
      </w:r>
      <w:r w:rsidRPr="00904FCB">
        <w:rPr>
          <w:rFonts w:hint="cs"/>
          <w:sz w:val="27"/>
          <w:rtl/>
          <w:lang w:bidi="ar-OM"/>
        </w:rPr>
        <w:t xml:space="preserve"> يتول</w:t>
      </w:r>
      <w:r w:rsidR="005C5FA8" w:rsidRPr="00904FCB">
        <w:rPr>
          <w:rFonts w:hint="cs"/>
          <w:sz w:val="27"/>
          <w:rtl/>
          <w:lang w:bidi="ar-OM"/>
        </w:rPr>
        <w:t>ّ</w:t>
      </w:r>
      <w:r w:rsidRPr="00904FCB">
        <w:rPr>
          <w:rFonts w:hint="cs"/>
          <w:sz w:val="27"/>
          <w:rtl/>
          <w:lang w:bidi="ar-OM"/>
        </w:rPr>
        <w:t>ى منصب الحاكم الأعلى بالأولوية، بناء</w:t>
      </w:r>
      <w:r w:rsidR="005C5FA8" w:rsidRPr="00904FCB">
        <w:rPr>
          <w:rFonts w:hint="cs"/>
          <w:sz w:val="27"/>
          <w:rtl/>
          <w:lang w:bidi="ar-OM"/>
        </w:rPr>
        <w:t>ً</w:t>
      </w:r>
      <w:r w:rsidRPr="00904FCB">
        <w:rPr>
          <w:rFonts w:hint="cs"/>
          <w:sz w:val="27"/>
          <w:rtl/>
          <w:lang w:bidi="ar-OM"/>
        </w:rPr>
        <w:t xml:space="preserve"> على اشتراطها في القضاء. يقول المنتظري: </w:t>
      </w:r>
      <w:r w:rsidR="005C5FA8" w:rsidRPr="00904FCB">
        <w:rPr>
          <w:rFonts w:hint="cs"/>
          <w:sz w:val="27"/>
          <w:rtl/>
          <w:lang w:bidi="ar-OM"/>
        </w:rPr>
        <w:t>إ</w:t>
      </w:r>
      <w:r w:rsidRPr="00904FCB">
        <w:rPr>
          <w:rFonts w:hint="cs"/>
          <w:sz w:val="27"/>
          <w:rtl/>
          <w:lang w:bidi="ar-OM"/>
        </w:rPr>
        <w:t>ن القضاء شعبة من شعب الولاية</w:t>
      </w:r>
      <w:r w:rsidR="005C5FA8" w:rsidRPr="00904FCB">
        <w:rPr>
          <w:rFonts w:hint="cs"/>
          <w:sz w:val="27"/>
          <w:rtl/>
          <w:lang w:bidi="ar-OM"/>
        </w:rPr>
        <w:t>،</w:t>
      </w:r>
      <w:r w:rsidRPr="00904FCB">
        <w:rPr>
          <w:rFonts w:hint="cs"/>
          <w:sz w:val="27"/>
          <w:rtl/>
          <w:lang w:bidi="ar-OM"/>
        </w:rPr>
        <w:t xml:space="preserve"> بل من أهم شعبها</w:t>
      </w:r>
      <w:r w:rsidR="005C5FA8" w:rsidRPr="00904FCB">
        <w:rPr>
          <w:rFonts w:hint="cs"/>
          <w:sz w:val="27"/>
          <w:rtl/>
          <w:lang w:bidi="ar-OM"/>
        </w:rPr>
        <w:t>،</w:t>
      </w:r>
      <w:r w:rsidRPr="00904FCB">
        <w:rPr>
          <w:rFonts w:hint="cs"/>
          <w:sz w:val="27"/>
          <w:rtl/>
          <w:lang w:bidi="ar-OM"/>
        </w:rPr>
        <w:t xml:space="preserve"> بل هو أولا</w:t>
      </w:r>
      <w:r w:rsidR="005C5FA8" w:rsidRPr="00904FCB">
        <w:rPr>
          <w:rFonts w:hint="cs"/>
          <w:sz w:val="27"/>
          <w:rtl/>
          <w:lang w:bidi="ar-OM"/>
        </w:rPr>
        <w:t>ً</w:t>
      </w:r>
      <w:r w:rsidRPr="00904FCB">
        <w:rPr>
          <w:rFonts w:hint="cs"/>
          <w:sz w:val="27"/>
          <w:rtl/>
          <w:lang w:bidi="ar-OM"/>
        </w:rPr>
        <w:t xml:space="preserve"> وبالذات من شؤون الإمام... وعلى هذا فاشتراط الذكورة في القاضي لعل</w:t>
      </w:r>
      <w:r w:rsidR="005C5FA8" w:rsidRPr="00904FCB">
        <w:rPr>
          <w:rFonts w:hint="cs"/>
          <w:sz w:val="27"/>
          <w:rtl/>
          <w:lang w:bidi="ar-OM"/>
        </w:rPr>
        <w:t>ّ</w:t>
      </w:r>
      <w:r w:rsidRPr="00904FCB">
        <w:rPr>
          <w:rFonts w:hint="cs"/>
          <w:sz w:val="27"/>
          <w:rtl/>
          <w:lang w:bidi="ar-OM"/>
        </w:rPr>
        <w:t>ه يقتضي اشتراطها في الولاية</w:t>
      </w:r>
      <w:r w:rsidR="005C5FA8" w:rsidRPr="00904FCB">
        <w:rPr>
          <w:rFonts w:hint="cs"/>
          <w:sz w:val="27"/>
          <w:rtl/>
          <w:lang w:bidi="ar-OM"/>
        </w:rPr>
        <w:t>،</w:t>
      </w:r>
      <w:r w:rsidRPr="00904FCB">
        <w:rPr>
          <w:rFonts w:hint="cs"/>
          <w:sz w:val="27"/>
          <w:rtl/>
          <w:lang w:bidi="ar-OM"/>
        </w:rPr>
        <w:t xml:space="preserve"> ولا سيَّما في الإمامة الكبرى أيضا</w:t>
      </w:r>
      <w:r w:rsidRPr="00904FCB">
        <w:rPr>
          <w:rFonts w:hint="cs"/>
          <w:sz w:val="27"/>
          <w:rtl/>
        </w:rPr>
        <w:t>ً</w:t>
      </w:r>
      <w:r w:rsidRPr="00904FCB">
        <w:rPr>
          <w:rFonts w:hint="cs"/>
          <w:sz w:val="27"/>
          <w:vertAlign w:val="superscript"/>
          <w:rtl/>
        </w:rPr>
        <w:t>(</w:t>
      </w:r>
      <w:r w:rsidRPr="00904FCB">
        <w:rPr>
          <w:rStyle w:val="ac"/>
          <w:sz w:val="27"/>
          <w:rtl/>
        </w:rPr>
        <w:endnoteReference w:id="189"/>
      </w:r>
      <w:r w:rsidRPr="00904FCB">
        <w:rPr>
          <w:rFonts w:hint="cs"/>
          <w:sz w:val="27"/>
          <w:vertAlign w:val="superscript"/>
          <w:rtl/>
        </w:rPr>
        <w:t>)</w:t>
      </w:r>
      <w:r w:rsidRPr="00904FCB">
        <w:rPr>
          <w:rFonts w:hint="cs"/>
          <w:sz w:val="27"/>
          <w:rtl/>
          <w:lang w:bidi="ar-OM"/>
        </w:rPr>
        <w:t xml:space="preserve">. </w:t>
      </w:r>
    </w:p>
    <w:p w:rsidR="00644408" w:rsidRPr="00904FCB" w:rsidRDefault="00AF14A9" w:rsidP="00B74A01">
      <w:pPr>
        <w:spacing w:line="420" w:lineRule="exact"/>
        <w:rPr>
          <w:sz w:val="27"/>
          <w:rtl/>
          <w:lang w:bidi="ar-OM"/>
        </w:rPr>
      </w:pPr>
      <w:r w:rsidRPr="00904FCB">
        <w:rPr>
          <w:rFonts w:hint="cs"/>
          <w:sz w:val="27"/>
          <w:rtl/>
          <w:lang w:bidi="ar-OM"/>
        </w:rPr>
        <w:t>و</w:t>
      </w:r>
      <w:r w:rsidR="00644408" w:rsidRPr="00904FCB">
        <w:rPr>
          <w:rFonts w:hint="cs"/>
          <w:sz w:val="27"/>
          <w:rtl/>
          <w:lang w:bidi="ar-OM"/>
        </w:rPr>
        <w:t>أي</w:t>
      </w:r>
      <w:r w:rsidR="005C5FA8" w:rsidRPr="00904FCB">
        <w:rPr>
          <w:rFonts w:hint="cs"/>
          <w:sz w:val="27"/>
          <w:rtl/>
          <w:lang w:bidi="ar-OM"/>
        </w:rPr>
        <w:t>ّ</w:t>
      </w:r>
      <w:r w:rsidR="00644408" w:rsidRPr="00904FCB">
        <w:rPr>
          <w:rFonts w:hint="cs"/>
          <w:sz w:val="27"/>
          <w:rtl/>
          <w:lang w:bidi="ar-OM"/>
        </w:rPr>
        <w:t>ا</w:t>
      </w:r>
      <w:r w:rsidR="005C5FA8" w:rsidRPr="00904FCB">
        <w:rPr>
          <w:rFonts w:hint="cs"/>
          <w:sz w:val="27"/>
          <w:rtl/>
          <w:lang w:bidi="ar-OM"/>
        </w:rPr>
        <w:t>ً</w:t>
      </w:r>
      <w:r w:rsidR="00644408" w:rsidRPr="00904FCB">
        <w:rPr>
          <w:rFonts w:hint="cs"/>
          <w:sz w:val="27"/>
          <w:rtl/>
          <w:lang w:bidi="ar-OM"/>
        </w:rPr>
        <w:t xml:space="preserve"> كان ف</w:t>
      </w:r>
      <w:r w:rsidR="005C5FA8" w:rsidRPr="00904FCB">
        <w:rPr>
          <w:rFonts w:hint="cs"/>
          <w:sz w:val="27"/>
          <w:rtl/>
          <w:lang w:bidi="ar-OM"/>
        </w:rPr>
        <w:t>إ</w:t>
      </w:r>
      <w:r w:rsidR="00644408" w:rsidRPr="00904FCB">
        <w:rPr>
          <w:rFonts w:hint="cs"/>
          <w:sz w:val="27"/>
          <w:rtl/>
          <w:lang w:bidi="ar-OM"/>
        </w:rPr>
        <w:t xml:space="preserve">ن بعض التعليلات التي أوردوها </w:t>
      </w:r>
      <w:r w:rsidR="00644408" w:rsidRPr="00904FCB">
        <w:rPr>
          <w:sz w:val="27"/>
          <w:rtl/>
          <w:lang w:bidi="ar-OM"/>
        </w:rPr>
        <w:t>ـ</w:t>
      </w:r>
      <w:r w:rsidR="00644408" w:rsidRPr="00904FCB">
        <w:rPr>
          <w:rFonts w:hint="cs"/>
          <w:sz w:val="27"/>
          <w:rtl/>
          <w:lang w:bidi="ar-OM"/>
        </w:rPr>
        <w:t xml:space="preserve"> </w:t>
      </w:r>
      <w:r w:rsidR="005C5FA8" w:rsidRPr="00904FCB">
        <w:rPr>
          <w:rFonts w:hint="cs"/>
          <w:sz w:val="27"/>
          <w:rtl/>
          <w:lang w:bidi="ar-OM"/>
        </w:rPr>
        <w:t>و</w:t>
      </w:r>
      <w:r w:rsidR="00644408" w:rsidRPr="00904FCB">
        <w:rPr>
          <w:rFonts w:hint="cs"/>
          <w:sz w:val="27"/>
          <w:rtl/>
          <w:lang w:bidi="ar-OM"/>
        </w:rPr>
        <w:t>بالأخص</w:t>
      </w:r>
      <w:r w:rsidR="005C5FA8" w:rsidRPr="00904FCB">
        <w:rPr>
          <w:rFonts w:hint="cs"/>
          <w:sz w:val="27"/>
          <w:rtl/>
          <w:lang w:bidi="ar-OM"/>
        </w:rPr>
        <w:t>ّ</w:t>
      </w:r>
      <w:r w:rsidR="00644408" w:rsidRPr="00904FCB">
        <w:rPr>
          <w:rFonts w:hint="cs"/>
          <w:sz w:val="27"/>
          <w:rtl/>
          <w:lang w:bidi="ar-OM"/>
        </w:rPr>
        <w:t xml:space="preserve"> المعاصرون ـ</w:t>
      </w:r>
      <w:r w:rsidR="005C5FA8" w:rsidRPr="00904FCB">
        <w:rPr>
          <w:rFonts w:hint="cs"/>
          <w:sz w:val="27"/>
          <w:rtl/>
          <w:lang w:bidi="ar-OM"/>
        </w:rPr>
        <w:t>،</w:t>
      </w:r>
      <w:r w:rsidR="00644408" w:rsidRPr="00904FCB">
        <w:rPr>
          <w:rFonts w:hint="cs"/>
          <w:sz w:val="27"/>
          <w:rtl/>
          <w:lang w:bidi="ar-OM"/>
        </w:rPr>
        <w:t xml:space="preserve"> والتي تتعل</w:t>
      </w:r>
      <w:r w:rsidR="005C5FA8" w:rsidRPr="00904FCB">
        <w:rPr>
          <w:rFonts w:hint="cs"/>
          <w:sz w:val="27"/>
          <w:rtl/>
          <w:lang w:bidi="ar-OM"/>
        </w:rPr>
        <w:t>َّ</w:t>
      </w:r>
      <w:r w:rsidR="00644408" w:rsidRPr="00904FCB">
        <w:rPr>
          <w:rFonts w:hint="cs"/>
          <w:sz w:val="27"/>
          <w:rtl/>
          <w:lang w:bidi="ar-OM"/>
        </w:rPr>
        <w:t>ق بالطبيعة التكوينية للمرأة، تغلب عليها سمة التعميمات الخطابية</w:t>
      </w:r>
      <w:r w:rsidR="005C5FA8" w:rsidRPr="00904FCB">
        <w:rPr>
          <w:rFonts w:hint="cs"/>
          <w:sz w:val="27"/>
          <w:rtl/>
          <w:lang w:bidi="ar-OM"/>
        </w:rPr>
        <w:t>،</w:t>
      </w:r>
      <w:r w:rsidR="00644408" w:rsidRPr="00904FCB">
        <w:rPr>
          <w:rFonts w:hint="cs"/>
          <w:sz w:val="27"/>
          <w:rtl/>
          <w:lang w:bidi="ar-OM"/>
        </w:rPr>
        <w:t xml:space="preserve"> حيث لا تستند </w:t>
      </w:r>
      <w:r w:rsidR="005C5FA8" w:rsidRPr="00904FCB">
        <w:rPr>
          <w:rFonts w:hint="cs"/>
          <w:sz w:val="27"/>
          <w:rtl/>
          <w:lang w:bidi="ar-OM"/>
        </w:rPr>
        <w:t>إ</w:t>
      </w:r>
      <w:r w:rsidR="00644408" w:rsidRPr="00904FCB">
        <w:rPr>
          <w:rFonts w:hint="cs"/>
          <w:sz w:val="27"/>
          <w:rtl/>
          <w:lang w:bidi="ar-OM"/>
        </w:rPr>
        <w:t>لى دراسات علمية متخص</w:t>
      </w:r>
      <w:r w:rsidR="005C5FA8" w:rsidRPr="00904FCB">
        <w:rPr>
          <w:rFonts w:hint="cs"/>
          <w:sz w:val="27"/>
          <w:rtl/>
          <w:lang w:bidi="ar-OM"/>
        </w:rPr>
        <w:t>ِّ</w:t>
      </w:r>
      <w:r w:rsidR="00644408" w:rsidRPr="00904FCB">
        <w:rPr>
          <w:rFonts w:hint="cs"/>
          <w:sz w:val="27"/>
          <w:rtl/>
          <w:lang w:bidi="ar-OM"/>
        </w:rPr>
        <w:t xml:space="preserve">صة تثبت نقصان الذكاء والفطنة والعقل عند المرأة. كما </w:t>
      </w:r>
      <w:r w:rsidR="005C5FA8" w:rsidRPr="00904FCB">
        <w:rPr>
          <w:rFonts w:hint="cs"/>
          <w:sz w:val="27"/>
          <w:rtl/>
          <w:lang w:bidi="ar-OM"/>
        </w:rPr>
        <w:t xml:space="preserve">أنّها </w:t>
      </w:r>
      <w:r w:rsidR="00644408" w:rsidRPr="00904FCB">
        <w:rPr>
          <w:rFonts w:hint="cs"/>
          <w:sz w:val="27"/>
          <w:rtl/>
          <w:lang w:bidi="ar-OM"/>
        </w:rPr>
        <w:t xml:space="preserve">تغفل إسهامات المرأة ونجاحاتها في مختلف المجالات الإدارية والتعليمية </w:t>
      </w:r>
      <w:r w:rsidR="00644408" w:rsidRPr="00904FCB">
        <w:rPr>
          <w:rFonts w:hint="cs"/>
          <w:sz w:val="27"/>
          <w:rtl/>
          <w:lang w:bidi="ar-OM"/>
        </w:rPr>
        <w:lastRenderedPageBreak/>
        <w:t xml:space="preserve">والثقافية </w:t>
      </w:r>
      <w:r w:rsidR="005C5FA8" w:rsidRPr="00904FCB">
        <w:rPr>
          <w:rFonts w:hint="cs"/>
          <w:sz w:val="27"/>
          <w:rtl/>
          <w:lang w:bidi="ar-OM"/>
        </w:rPr>
        <w:t>إثر</w:t>
      </w:r>
      <w:r w:rsidR="00644408" w:rsidRPr="00904FCB">
        <w:rPr>
          <w:rFonts w:hint="cs"/>
          <w:sz w:val="27"/>
          <w:rtl/>
          <w:lang w:bidi="ar-OM"/>
        </w:rPr>
        <w:t xml:space="preserve"> التحو</w:t>
      </w:r>
      <w:r w:rsidR="005C5FA8" w:rsidRPr="00904FCB">
        <w:rPr>
          <w:rFonts w:hint="cs"/>
          <w:sz w:val="27"/>
          <w:rtl/>
          <w:lang w:bidi="ar-OM"/>
        </w:rPr>
        <w:t>ُّ</w:t>
      </w:r>
      <w:r w:rsidR="00644408" w:rsidRPr="00904FCB">
        <w:rPr>
          <w:rFonts w:hint="cs"/>
          <w:sz w:val="27"/>
          <w:rtl/>
          <w:lang w:bidi="ar-OM"/>
        </w:rPr>
        <w:t xml:space="preserve">لات الاجتماعية والسياسية في التاريخ الحديث. </w:t>
      </w:r>
    </w:p>
    <w:p w:rsidR="008D5CB3" w:rsidRPr="00904FCB" w:rsidRDefault="008D5CB3" w:rsidP="00B74A01">
      <w:pPr>
        <w:spacing w:line="420" w:lineRule="exact"/>
        <w:rPr>
          <w:sz w:val="27"/>
          <w:rtl/>
          <w:lang w:bidi="ar-OM"/>
        </w:rPr>
      </w:pPr>
    </w:p>
    <w:p w:rsidR="00644408" w:rsidRPr="00904FCB" w:rsidRDefault="00644408" w:rsidP="007A21AA">
      <w:pPr>
        <w:pStyle w:val="31"/>
        <w:spacing w:line="400" w:lineRule="exact"/>
        <w:rPr>
          <w:color w:val="auto"/>
          <w:rtl/>
          <w:lang w:bidi="ar-OM"/>
        </w:rPr>
      </w:pPr>
      <w:r w:rsidRPr="00904FCB">
        <w:rPr>
          <w:rFonts w:hint="cs"/>
          <w:color w:val="auto"/>
          <w:rtl/>
          <w:lang w:bidi="ar-OM"/>
        </w:rPr>
        <w:t>ج ـ حرمة تمثيل المرأة في المجالس النيابي</w:t>
      </w:r>
      <w:r w:rsidR="005C5FA8" w:rsidRPr="00904FCB">
        <w:rPr>
          <w:rFonts w:hint="cs"/>
          <w:color w:val="auto"/>
          <w:rtl/>
          <w:lang w:bidi="ar-OM"/>
        </w:rPr>
        <w:t>ّ</w:t>
      </w:r>
      <w:r w:rsidRPr="00904FCB">
        <w:rPr>
          <w:rFonts w:hint="cs"/>
          <w:color w:val="auto"/>
          <w:rtl/>
          <w:lang w:bidi="ar-OM"/>
        </w:rPr>
        <w:t xml:space="preserve">ة </w:t>
      </w:r>
    </w:p>
    <w:p w:rsidR="00644408" w:rsidRPr="00904FCB" w:rsidRDefault="00644408" w:rsidP="007A21AA">
      <w:pPr>
        <w:spacing w:line="400" w:lineRule="exact"/>
        <w:rPr>
          <w:sz w:val="27"/>
          <w:rtl/>
          <w:lang w:bidi="ar-OM"/>
        </w:rPr>
      </w:pPr>
      <w:r w:rsidRPr="00904FCB">
        <w:rPr>
          <w:rFonts w:hint="cs"/>
          <w:sz w:val="27"/>
          <w:rtl/>
          <w:lang w:bidi="ar-OM"/>
        </w:rPr>
        <w:t>نظر فريق</w:t>
      </w:r>
      <w:r w:rsidR="005C5FA8" w:rsidRPr="00904FCB">
        <w:rPr>
          <w:rFonts w:hint="cs"/>
          <w:sz w:val="27"/>
          <w:rtl/>
          <w:lang w:bidi="ar-OM"/>
        </w:rPr>
        <w:t>ٌ</w:t>
      </w:r>
      <w:r w:rsidRPr="00904FCB">
        <w:rPr>
          <w:rFonts w:hint="cs"/>
          <w:sz w:val="27"/>
          <w:rtl/>
          <w:lang w:bidi="ar-OM"/>
        </w:rPr>
        <w:t xml:space="preserve"> من الفقهاء </w:t>
      </w:r>
      <w:r w:rsidR="005C5FA8" w:rsidRPr="00904FCB">
        <w:rPr>
          <w:rFonts w:hint="cs"/>
          <w:sz w:val="27"/>
          <w:rtl/>
          <w:lang w:bidi="ar-OM"/>
        </w:rPr>
        <w:t>إ</w:t>
      </w:r>
      <w:r w:rsidRPr="00904FCB">
        <w:rPr>
          <w:rFonts w:hint="cs"/>
          <w:sz w:val="27"/>
          <w:rtl/>
          <w:lang w:bidi="ar-OM"/>
        </w:rPr>
        <w:t xml:space="preserve">لى أعمال مجالس الأمة التشريعية والرقابية على </w:t>
      </w:r>
      <w:r w:rsidR="005C5FA8" w:rsidRPr="00904FCB">
        <w:rPr>
          <w:rFonts w:hint="cs"/>
          <w:sz w:val="27"/>
          <w:rtl/>
          <w:lang w:bidi="ar-OM"/>
        </w:rPr>
        <w:t>أ</w:t>
      </w:r>
      <w:r w:rsidRPr="00904FCB">
        <w:rPr>
          <w:rFonts w:hint="cs"/>
          <w:sz w:val="27"/>
          <w:rtl/>
          <w:lang w:bidi="ar-OM"/>
        </w:rPr>
        <w:t>نها شكل</w:t>
      </w:r>
      <w:r w:rsidR="005C5FA8" w:rsidRPr="00904FCB">
        <w:rPr>
          <w:rFonts w:hint="cs"/>
          <w:sz w:val="27"/>
          <w:rtl/>
          <w:lang w:bidi="ar-OM"/>
        </w:rPr>
        <w:t>ٌ</w:t>
      </w:r>
      <w:r w:rsidRPr="00904FCB">
        <w:rPr>
          <w:rFonts w:hint="cs"/>
          <w:sz w:val="27"/>
          <w:rtl/>
          <w:lang w:bidi="ar-OM"/>
        </w:rPr>
        <w:t xml:space="preserve"> من أشكال مزاولة الولاية على الأم</w:t>
      </w:r>
      <w:r w:rsidR="005C5FA8" w:rsidRPr="00904FCB">
        <w:rPr>
          <w:rFonts w:hint="cs"/>
          <w:sz w:val="27"/>
          <w:rtl/>
          <w:lang w:bidi="ar-OM"/>
        </w:rPr>
        <w:t>ّ</w:t>
      </w:r>
      <w:r w:rsidRPr="00904FCB">
        <w:rPr>
          <w:rFonts w:hint="cs"/>
          <w:sz w:val="27"/>
          <w:rtl/>
          <w:lang w:bidi="ar-OM"/>
        </w:rPr>
        <w:t>ة من خلال سن</w:t>
      </w:r>
      <w:r w:rsidR="005C5FA8" w:rsidRPr="00904FCB">
        <w:rPr>
          <w:rFonts w:hint="cs"/>
          <w:sz w:val="27"/>
          <w:rtl/>
          <w:lang w:bidi="ar-OM"/>
        </w:rPr>
        <w:t>ّ</w:t>
      </w:r>
      <w:r w:rsidRPr="00904FCB">
        <w:rPr>
          <w:rFonts w:hint="cs"/>
          <w:sz w:val="27"/>
          <w:rtl/>
          <w:lang w:bidi="ar-OM"/>
        </w:rPr>
        <w:t xml:space="preserve"> القوانين والأنظمة</w:t>
      </w:r>
      <w:r w:rsidR="005C5FA8" w:rsidRPr="00904FCB">
        <w:rPr>
          <w:rFonts w:hint="cs"/>
          <w:sz w:val="27"/>
          <w:rtl/>
          <w:lang w:bidi="ar-OM"/>
        </w:rPr>
        <w:t>،</w:t>
      </w:r>
      <w:r w:rsidRPr="00904FCB">
        <w:rPr>
          <w:rFonts w:hint="cs"/>
          <w:sz w:val="27"/>
          <w:rtl/>
          <w:lang w:bidi="ar-OM"/>
        </w:rPr>
        <w:t xml:space="preserve"> واعتبروا ذلك في حقيقته مزاولة للولاية والسلطة على الناس. ولهذا اعتبروا المشاركة فيها </w:t>
      </w:r>
      <w:r w:rsidR="005C5FA8" w:rsidRPr="00904FCB">
        <w:rPr>
          <w:rFonts w:hint="cs"/>
          <w:sz w:val="27"/>
          <w:rtl/>
          <w:lang w:bidi="ar-OM"/>
        </w:rPr>
        <w:t>ا</w:t>
      </w:r>
      <w:r w:rsidRPr="00904FCB">
        <w:rPr>
          <w:rFonts w:hint="cs"/>
          <w:sz w:val="27"/>
          <w:rtl/>
          <w:lang w:bidi="ar-OM"/>
        </w:rPr>
        <w:t>شتراك</w:t>
      </w:r>
      <w:r w:rsidR="005C5FA8" w:rsidRPr="00904FCB">
        <w:rPr>
          <w:rFonts w:hint="cs"/>
          <w:sz w:val="27"/>
          <w:rtl/>
          <w:lang w:bidi="ar-OM"/>
        </w:rPr>
        <w:t>اً</w:t>
      </w:r>
      <w:r w:rsidRPr="00904FCB">
        <w:rPr>
          <w:rFonts w:hint="cs"/>
          <w:sz w:val="27"/>
          <w:rtl/>
          <w:lang w:bidi="ar-OM"/>
        </w:rPr>
        <w:t xml:space="preserve"> في السلطة التشريعية</w:t>
      </w:r>
      <w:r w:rsidR="005C5FA8" w:rsidRPr="00904FCB">
        <w:rPr>
          <w:rFonts w:hint="cs"/>
          <w:sz w:val="27"/>
          <w:rtl/>
          <w:lang w:bidi="ar-OM"/>
        </w:rPr>
        <w:t>،</w:t>
      </w:r>
      <w:r w:rsidRPr="00904FCB">
        <w:rPr>
          <w:rFonts w:hint="cs"/>
          <w:sz w:val="27"/>
          <w:rtl/>
          <w:lang w:bidi="ar-OM"/>
        </w:rPr>
        <w:t xml:space="preserve"> وهي وجه من أوجه الولاية في البلاد</w:t>
      </w:r>
      <w:r w:rsidR="005C5FA8" w:rsidRPr="00904FCB">
        <w:rPr>
          <w:rFonts w:hint="cs"/>
          <w:sz w:val="27"/>
          <w:rtl/>
          <w:lang w:bidi="ar-OM"/>
        </w:rPr>
        <w:t>؛</w:t>
      </w:r>
      <w:r w:rsidRPr="00904FCB">
        <w:rPr>
          <w:rFonts w:hint="cs"/>
          <w:sz w:val="27"/>
          <w:rtl/>
          <w:lang w:bidi="ar-OM"/>
        </w:rPr>
        <w:t xml:space="preserve"> لأن الولاية كما تتمثل في الجهة التي تنفذ القوانين كذلك تنطبق على الجهة التي تشر</w:t>
      </w:r>
      <w:r w:rsidR="005C5FA8" w:rsidRPr="00904FCB">
        <w:rPr>
          <w:rFonts w:hint="cs"/>
          <w:sz w:val="27"/>
          <w:rtl/>
          <w:lang w:bidi="ar-OM"/>
        </w:rPr>
        <w:t>ِّ</w:t>
      </w:r>
      <w:r w:rsidRPr="00904FCB">
        <w:rPr>
          <w:rFonts w:hint="cs"/>
          <w:sz w:val="27"/>
          <w:rtl/>
          <w:lang w:bidi="ar-OM"/>
        </w:rPr>
        <w:t>ع تلك القوانين</w:t>
      </w:r>
      <w:r w:rsidR="005C5FA8" w:rsidRPr="00904FCB">
        <w:rPr>
          <w:rFonts w:hint="cs"/>
          <w:sz w:val="27"/>
          <w:rtl/>
          <w:lang w:bidi="ar-OM"/>
        </w:rPr>
        <w:t>،</w:t>
      </w:r>
      <w:r w:rsidRPr="00904FCB">
        <w:rPr>
          <w:rFonts w:hint="cs"/>
          <w:sz w:val="27"/>
          <w:rtl/>
          <w:lang w:bidi="ar-OM"/>
        </w:rPr>
        <w:t xml:space="preserve"> وتشرف على تنفيذها</w:t>
      </w:r>
      <w:r w:rsidRPr="00904FCB">
        <w:rPr>
          <w:rFonts w:hint="cs"/>
          <w:sz w:val="27"/>
          <w:vertAlign w:val="superscript"/>
          <w:rtl/>
        </w:rPr>
        <w:t>(</w:t>
      </w:r>
      <w:r w:rsidRPr="00904FCB">
        <w:rPr>
          <w:rStyle w:val="ac"/>
          <w:sz w:val="27"/>
          <w:rtl/>
        </w:rPr>
        <w:endnoteReference w:id="190"/>
      </w:r>
      <w:r w:rsidRPr="00904FCB">
        <w:rPr>
          <w:rFonts w:hint="cs"/>
          <w:sz w:val="27"/>
          <w:vertAlign w:val="superscript"/>
          <w:rtl/>
        </w:rPr>
        <w:t>)</w:t>
      </w:r>
      <w:r w:rsidRPr="00904FCB">
        <w:rPr>
          <w:rFonts w:hint="cs"/>
          <w:sz w:val="27"/>
          <w:rtl/>
          <w:lang w:bidi="ar-OM"/>
        </w:rPr>
        <w:t>. وهذا التكييف يت</w:t>
      </w:r>
      <w:r w:rsidR="005C5FA8" w:rsidRPr="00904FCB">
        <w:rPr>
          <w:rFonts w:hint="cs"/>
          <w:sz w:val="27"/>
          <w:rtl/>
          <w:lang w:bidi="ar-OM"/>
        </w:rPr>
        <w:t>ّ</w:t>
      </w:r>
      <w:r w:rsidRPr="00904FCB">
        <w:rPr>
          <w:rFonts w:hint="cs"/>
          <w:sz w:val="27"/>
          <w:rtl/>
          <w:lang w:bidi="ar-OM"/>
        </w:rPr>
        <w:t>فق مع تصنيف الفقه الدستوري الوضعي الذي يعتبر هذه المجالس تجسيدا</w:t>
      </w:r>
      <w:r w:rsidR="005C5FA8" w:rsidRPr="00904FCB">
        <w:rPr>
          <w:rFonts w:hint="cs"/>
          <w:sz w:val="27"/>
          <w:rtl/>
          <w:lang w:bidi="ar-OM"/>
        </w:rPr>
        <w:t>ً</w:t>
      </w:r>
      <w:r w:rsidRPr="00904FCB">
        <w:rPr>
          <w:rFonts w:hint="cs"/>
          <w:sz w:val="27"/>
          <w:rtl/>
          <w:lang w:bidi="ar-OM"/>
        </w:rPr>
        <w:t xml:space="preserve"> للسلطات الثلاثة في الدولة</w:t>
      </w:r>
      <w:r w:rsidR="005C5FA8" w:rsidRPr="00904FCB">
        <w:rPr>
          <w:rFonts w:hint="cs"/>
          <w:sz w:val="27"/>
          <w:rtl/>
          <w:lang w:bidi="ar-OM"/>
        </w:rPr>
        <w:t>،</w:t>
      </w:r>
      <w:r w:rsidRPr="00904FCB">
        <w:rPr>
          <w:rFonts w:hint="cs"/>
          <w:sz w:val="27"/>
          <w:rtl/>
          <w:lang w:bidi="ar-OM"/>
        </w:rPr>
        <w:t xml:space="preserve"> وهي</w:t>
      </w:r>
      <w:r w:rsidR="005C5FA8" w:rsidRPr="00904FCB">
        <w:rPr>
          <w:rFonts w:hint="cs"/>
          <w:sz w:val="27"/>
          <w:rtl/>
          <w:lang w:bidi="ar-OM"/>
        </w:rPr>
        <w:t>:</w:t>
      </w:r>
      <w:r w:rsidRPr="00904FCB">
        <w:rPr>
          <w:rFonts w:hint="cs"/>
          <w:sz w:val="27"/>
          <w:rtl/>
          <w:lang w:bidi="ar-OM"/>
        </w:rPr>
        <w:t xml:space="preserve"> السلطة التشريعية</w:t>
      </w:r>
      <w:r w:rsidR="002B7B16">
        <w:rPr>
          <w:rFonts w:hint="cs"/>
          <w:sz w:val="27"/>
          <w:rtl/>
          <w:lang w:bidi="ar-OM"/>
        </w:rPr>
        <w:t>،</w:t>
      </w:r>
      <w:r w:rsidRPr="00904FCB">
        <w:rPr>
          <w:rFonts w:hint="cs"/>
          <w:sz w:val="27"/>
          <w:rtl/>
          <w:lang w:bidi="ar-OM"/>
        </w:rPr>
        <w:t xml:space="preserve"> إلى جانب التنفيذية والقضائية. ولم</w:t>
      </w:r>
      <w:r w:rsidR="005C5FA8" w:rsidRPr="00904FCB">
        <w:rPr>
          <w:rFonts w:hint="cs"/>
          <w:sz w:val="27"/>
          <w:rtl/>
          <w:lang w:bidi="ar-OM"/>
        </w:rPr>
        <w:t>ّ</w:t>
      </w:r>
      <w:r w:rsidRPr="00904FCB">
        <w:rPr>
          <w:rFonts w:hint="cs"/>
          <w:sz w:val="27"/>
          <w:rtl/>
          <w:lang w:bidi="ar-OM"/>
        </w:rPr>
        <w:t>ا كان المبنى الفقهي العام</w:t>
      </w:r>
      <w:r w:rsidR="005C5FA8" w:rsidRPr="00904FCB">
        <w:rPr>
          <w:rFonts w:hint="cs"/>
          <w:sz w:val="27"/>
          <w:rtl/>
          <w:lang w:bidi="ar-OM"/>
        </w:rPr>
        <w:t>ّ</w:t>
      </w:r>
      <w:r w:rsidRPr="00904FCB">
        <w:rPr>
          <w:rFonts w:hint="cs"/>
          <w:sz w:val="27"/>
          <w:rtl/>
          <w:lang w:bidi="ar-OM"/>
        </w:rPr>
        <w:t xml:space="preserve"> لهذا الفريق من الفقهاء هو حرمة إسناد مناصب الولاية والسلطة إلى المرأة، فقد صر</w:t>
      </w:r>
      <w:r w:rsidR="005C5FA8" w:rsidRPr="00904FCB">
        <w:rPr>
          <w:rFonts w:hint="cs"/>
          <w:sz w:val="27"/>
          <w:rtl/>
          <w:lang w:bidi="ar-OM"/>
        </w:rPr>
        <w:t>َّ</w:t>
      </w:r>
      <w:r w:rsidRPr="00904FCB">
        <w:rPr>
          <w:rFonts w:hint="cs"/>
          <w:sz w:val="27"/>
          <w:rtl/>
          <w:lang w:bidi="ar-OM"/>
        </w:rPr>
        <w:t xml:space="preserve">حوا في ضوئه بحرمة دخول المرأة </w:t>
      </w:r>
      <w:r w:rsidR="005C5FA8" w:rsidRPr="00904FCB">
        <w:rPr>
          <w:rFonts w:hint="cs"/>
          <w:sz w:val="27"/>
          <w:rtl/>
          <w:lang w:bidi="ar-OM"/>
        </w:rPr>
        <w:t>إلى ا</w:t>
      </w:r>
      <w:r w:rsidRPr="00904FCB">
        <w:rPr>
          <w:rFonts w:hint="cs"/>
          <w:sz w:val="27"/>
          <w:rtl/>
          <w:lang w:bidi="ar-OM"/>
        </w:rPr>
        <w:t>لمجالس النيابية (البرلمانية)، وإن</w:t>
      </w:r>
      <w:r w:rsidR="005C5FA8" w:rsidRPr="00904FCB">
        <w:rPr>
          <w:rFonts w:hint="cs"/>
          <w:sz w:val="27"/>
          <w:rtl/>
          <w:lang w:bidi="ar-OM"/>
        </w:rPr>
        <w:t>ْ</w:t>
      </w:r>
      <w:r w:rsidRPr="00904FCB">
        <w:rPr>
          <w:rFonts w:hint="cs"/>
          <w:sz w:val="27"/>
          <w:rtl/>
          <w:lang w:bidi="ar-OM"/>
        </w:rPr>
        <w:t xml:space="preserve"> كان التشريع فيها غير مناف</w:t>
      </w:r>
      <w:r w:rsidR="005C5FA8" w:rsidRPr="00904FCB">
        <w:rPr>
          <w:rFonts w:hint="cs"/>
          <w:sz w:val="27"/>
          <w:rtl/>
          <w:lang w:bidi="ar-OM"/>
        </w:rPr>
        <w:t>ٍ</w:t>
      </w:r>
      <w:r w:rsidRPr="00904FCB">
        <w:rPr>
          <w:rFonts w:hint="cs"/>
          <w:sz w:val="27"/>
          <w:rtl/>
          <w:lang w:bidi="ar-OM"/>
        </w:rPr>
        <w:t xml:space="preserve"> للحكم ال</w:t>
      </w:r>
      <w:r w:rsidR="005C5FA8" w:rsidRPr="00904FCB">
        <w:rPr>
          <w:rFonts w:hint="cs"/>
          <w:sz w:val="27"/>
          <w:rtl/>
          <w:lang w:bidi="ar-OM"/>
        </w:rPr>
        <w:t>إ</w:t>
      </w:r>
      <w:r w:rsidRPr="00904FCB">
        <w:rPr>
          <w:rFonts w:hint="cs"/>
          <w:sz w:val="27"/>
          <w:rtl/>
          <w:lang w:bidi="ar-OM"/>
        </w:rPr>
        <w:t>سلامي. وأرجعه بعضهم أيضا</w:t>
      </w:r>
      <w:r w:rsidR="005C5FA8" w:rsidRPr="00904FCB">
        <w:rPr>
          <w:rFonts w:hint="cs"/>
          <w:sz w:val="27"/>
          <w:rtl/>
          <w:lang w:bidi="ar-OM"/>
        </w:rPr>
        <w:t>ً</w:t>
      </w:r>
      <w:r w:rsidRPr="00904FCB">
        <w:rPr>
          <w:rFonts w:hint="cs"/>
          <w:sz w:val="27"/>
          <w:rtl/>
          <w:lang w:bidi="ar-OM"/>
        </w:rPr>
        <w:t xml:space="preserve"> إلى نفس العامل التكويني السابق، وهو قصور تفكيرها وقل</w:t>
      </w:r>
      <w:r w:rsidR="005C5FA8" w:rsidRPr="00904FCB">
        <w:rPr>
          <w:rFonts w:hint="cs"/>
          <w:sz w:val="27"/>
          <w:rtl/>
          <w:lang w:bidi="ar-OM"/>
        </w:rPr>
        <w:t>ّ</w:t>
      </w:r>
      <w:r w:rsidRPr="00904FCB">
        <w:rPr>
          <w:rFonts w:hint="cs"/>
          <w:sz w:val="27"/>
          <w:rtl/>
          <w:lang w:bidi="ar-OM"/>
        </w:rPr>
        <w:t>ة تدبيرها وعدم بلوغها مبلغ الرجال غالبا</w:t>
      </w:r>
      <w:r w:rsidR="005C5FA8" w:rsidRPr="00904FCB">
        <w:rPr>
          <w:rFonts w:hint="cs"/>
          <w:sz w:val="27"/>
          <w:rtl/>
          <w:lang w:bidi="ar-OM"/>
        </w:rPr>
        <w:t>ً</w:t>
      </w:r>
      <w:r w:rsidRPr="00904FCB">
        <w:rPr>
          <w:rFonts w:hint="cs"/>
          <w:sz w:val="27"/>
          <w:rtl/>
          <w:lang w:bidi="ar-OM"/>
        </w:rPr>
        <w:t>، ولأن الإسلام لم ي</w:t>
      </w:r>
      <w:r w:rsidR="005C5FA8" w:rsidRPr="00904FCB">
        <w:rPr>
          <w:rFonts w:hint="cs"/>
          <w:sz w:val="27"/>
          <w:rtl/>
          <w:lang w:bidi="ar-OM"/>
        </w:rPr>
        <w:t>ُ</w:t>
      </w:r>
      <w:r w:rsidRPr="00904FCB">
        <w:rPr>
          <w:rFonts w:hint="cs"/>
          <w:sz w:val="27"/>
          <w:rtl/>
          <w:lang w:bidi="ar-OM"/>
        </w:rPr>
        <w:t>ع</w:t>
      </w:r>
      <w:r w:rsidR="005C5FA8" w:rsidRPr="00904FCB">
        <w:rPr>
          <w:rFonts w:hint="cs"/>
          <w:sz w:val="27"/>
          <w:rtl/>
          <w:lang w:bidi="ar-OM"/>
        </w:rPr>
        <w:t>ْ</w:t>
      </w:r>
      <w:r w:rsidRPr="00904FCB">
        <w:rPr>
          <w:rFonts w:hint="cs"/>
          <w:sz w:val="27"/>
          <w:rtl/>
          <w:lang w:bidi="ar-OM"/>
        </w:rPr>
        <w:t>ط</w:t>
      </w:r>
      <w:r w:rsidR="005C5FA8" w:rsidRPr="00904FCB">
        <w:rPr>
          <w:rFonts w:hint="cs"/>
          <w:sz w:val="27"/>
          <w:rtl/>
          <w:lang w:bidi="ar-OM"/>
        </w:rPr>
        <w:t>ِ</w:t>
      </w:r>
      <w:r w:rsidRPr="00904FCB">
        <w:rPr>
          <w:rFonts w:hint="cs"/>
          <w:sz w:val="27"/>
          <w:rtl/>
          <w:lang w:bidi="ar-OM"/>
        </w:rPr>
        <w:t>ها الولاية على أولادها</w:t>
      </w:r>
      <w:r w:rsidR="005C5FA8" w:rsidRPr="00904FCB">
        <w:rPr>
          <w:rFonts w:hint="cs"/>
          <w:sz w:val="27"/>
          <w:rtl/>
          <w:lang w:bidi="ar-OM"/>
        </w:rPr>
        <w:t>،</w:t>
      </w:r>
      <w:r w:rsidRPr="00904FCB">
        <w:rPr>
          <w:rFonts w:hint="cs"/>
          <w:sz w:val="27"/>
          <w:rtl/>
          <w:lang w:bidi="ar-OM"/>
        </w:rPr>
        <w:t xml:space="preserve"> حت</w:t>
      </w:r>
      <w:r w:rsidR="005C5FA8" w:rsidRPr="00904FCB">
        <w:rPr>
          <w:rFonts w:hint="cs"/>
          <w:sz w:val="27"/>
          <w:rtl/>
          <w:lang w:bidi="ar-OM"/>
        </w:rPr>
        <w:t>ّ</w:t>
      </w:r>
      <w:r w:rsidRPr="00904FCB">
        <w:rPr>
          <w:rFonts w:hint="cs"/>
          <w:sz w:val="27"/>
          <w:rtl/>
          <w:lang w:bidi="ar-OM"/>
        </w:rPr>
        <w:t>ى مع فقد أبيهم</w:t>
      </w:r>
      <w:r w:rsidR="005C5FA8" w:rsidRPr="00904FCB">
        <w:rPr>
          <w:rFonts w:hint="cs"/>
          <w:sz w:val="27"/>
          <w:rtl/>
          <w:lang w:bidi="ar-OM"/>
        </w:rPr>
        <w:t>،</w:t>
      </w:r>
      <w:r w:rsidRPr="00904FCB">
        <w:rPr>
          <w:rFonts w:hint="cs"/>
          <w:sz w:val="27"/>
          <w:rtl/>
          <w:lang w:bidi="ar-OM"/>
        </w:rPr>
        <w:t xml:space="preserve"> فكيف يمكن </w:t>
      </w:r>
      <w:r w:rsidR="005C5FA8" w:rsidRPr="00904FCB">
        <w:rPr>
          <w:rFonts w:hint="cs"/>
          <w:sz w:val="27"/>
          <w:rtl/>
          <w:lang w:bidi="ar-OM"/>
        </w:rPr>
        <w:t>أ</w:t>
      </w:r>
      <w:r w:rsidRPr="00904FCB">
        <w:rPr>
          <w:rFonts w:hint="cs"/>
          <w:sz w:val="27"/>
          <w:rtl/>
          <w:lang w:bidi="ar-OM"/>
        </w:rPr>
        <w:t>ن يسمح لها بتول</w:t>
      </w:r>
      <w:r w:rsidR="005C5FA8" w:rsidRPr="00904FCB">
        <w:rPr>
          <w:rFonts w:hint="cs"/>
          <w:sz w:val="27"/>
          <w:rtl/>
          <w:lang w:bidi="ar-OM"/>
        </w:rPr>
        <w:t>ّ</w:t>
      </w:r>
      <w:r w:rsidRPr="00904FCB">
        <w:rPr>
          <w:rFonts w:hint="cs"/>
          <w:sz w:val="27"/>
          <w:rtl/>
          <w:lang w:bidi="ar-OM"/>
        </w:rPr>
        <w:t xml:space="preserve">ي </w:t>
      </w:r>
      <w:r w:rsidR="005C5FA8" w:rsidRPr="00904FCB">
        <w:rPr>
          <w:rFonts w:hint="cs"/>
          <w:sz w:val="27"/>
          <w:rtl/>
          <w:lang w:bidi="ar-OM"/>
        </w:rPr>
        <w:t>أ</w:t>
      </w:r>
      <w:r w:rsidRPr="00904FCB">
        <w:rPr>
          <w:rFonts w:hint="cs"/>
          <w:sz w:val="27"/>
          <w:rtl/>
          <w:lang w:bidi="ar-OM"/>
        </w:rPr>
        <w:t>مور ال</w:t>
      </w:r>
      <w:r w:rsidR="005C5FA8" w:rsidRPr="00904FCB">
        <w:rPr>
          <w:rFonts w:hint="cs"/>
          <w:sz w:val="27"/>
          <w:rtl/>
          <w:lang w:bidi="ar-OM"/>
        </w:rPr>
        <w:t>أ</w:t>
      </w:r>
      <w:r w:rsidRPr="00904FCB">
        <w:rPr>
          <w:rFonts w:hint="cs"/>
          <w:sz w:val="27"/>
          <w:rtl/>
          <w:lang w:bidi="ar-OM"/>
        </w:rPr>
        <w:t xml:space="preserve">مة وما يرجع </w:t>
      </w:r>
      <w:r w:rsidR="005C5FA8" w:rsidRPr="00904FCB">
        <w:rPr>
          <w:rFonts w:hint="cs"/>
          <w:sz w:val="27"/>
          <w:rtl/>
          <w:lang w:bidi="ar-OM"/>
        </w:rPr>
        <w:t>إ</w:t>
      </w:r>
      <w:r w:rsidRPr="00904FCB">
        <w:rPr>
          <w:rFonts w:hint="cs"/>
          <w:sz w:val="27"/>
          <w:rtl/>
          <w:lang w:bidi="ar-OM"/>
        </w:rPr>
        <w:t>لى شؤونهم من جهات</w:t>
      </w:r>
      <w:r w:rsidR="005C5FA8" w:rsidRPr="00904FCB">
        <w:rPr>
          <w:rFonts w:hint="cs"/>
          <w:sz w:val="27"/>
          <w:rtl/>
          <w:lang w:bidi="ar-OM"/>
        </w:rPr>
        <w:t>ٍ</w:t>
      </w:r>
      <w:r w:rsidRPr="00904FCB">
        <w:rPr>
          <w:rFonts w:hint="cs"/>
          <w:sz w:val="27"/>
          <w:rtl/>
          <w:lang w:bidi="ar-OM"/>
        </w:rPr>
        <w:t xml:space="preserve"> شت</w:t>
      </w:r>
      <w:r w:rsidR="005C5FA8" w:rsidRPr="00904FCB">
        <w:rPr>
          <w:rFonts w:hint="cs"/>
          <w:sz w:val="27"/>
          <w:rtl/>
          <w:lang w:bidi="ar-OM"/>
        </w:rPr>
        <w:t>ّ</w:t>
      </w:r>
      <w:r w:rsidRPr="00904FCB">
        <w:rPr>
          <w:rFonts w:hint="cs"/>
          <w:sz w:val="27"/>
          <w:rtl/>
          <w:lang w:bidi="ar-OM"/>
        </w:rPr>
        <w:t>ى... فلم يسمح ال</w:t>
      </w:r>
      <w:r w:rsidR="005C5FA8" w:rsidRPr="00904FCB">
        <w:rPr>
          <w:rFonts w:hint="cs"/>
          <w:sz w:val="27"/>
          <w:rtl/>
          <w:lang w:bidi="ar-OM"/>
        </w:rPr>
        <w:t>إ</w:t>
      </w:r>
      <w:r w:rsidRPr="00904FCB">
        <w:rPr>
          <w:rFonts w:hint="cs"/>
          <w:sz w:val="27"/>
          <w:rtl/>
          <w:lang w:bidi="ar-OM"/>
        </w:rPr>
        <w:t>سلام لها بالتبر</w:t>
      </w:r>
      <w:r w:rsidR="005C5FA8" w:rsidRPr="00904FCB">
        <w:rPr>
          <w:rFonts w:hint="cs"/>
          <w:sz w:val="27"/>
          <w:rtl/>
          <w:lang w:bidi="ar-OM"/>
        </w:rPr>
        <w:t>ُّ</w:t>
      </w:r>
      <w:r w:rsidRPr="00904FCB">
        <w:rPr>
          <w:rFonts w:hint="cs"/>
          <w:sz w:val="27"/>
          <w:rtl/>
          <w:lang w:bidi="ar-OM"/>
        </w:rPr>
        <w:t>ج والاختلاط مع الرجال</w:t>
      </w:r>
      <w:r w:rsidR="005C5FA8" w:rsidRPr="00904FCB">
        <w:rPr>
          <w:rFonts w:hint="cs"/>
          <w:sz w:val="27"/>
          <w:rtl/>
          <w:lang w:bidi="ar-OM"/>
        </w:rPr>
        <w:t>،</w:t>
      </w:r>
      <w:r w:rsidRPr="00904FCB">
        <w:rPr>
          <w:rFonts w:hint="cs"/>
          <w:sz w:val="27"/>
          <w:rtl/>
          <w:lang w:bidi="ar-OM"/>
        </w:rPr>
        <w:t xml:space="preserve"> حت</w:t>
      </w:r>
      <w:r w:rsidR="005C5FA8" w:rsidRPr="00904FCB">
        <w:rPr>
          <w:rFonts w:hint="cs"/>
          <w:sz w:val="27"/>
          <w:rtl/>
          <w:lang w:bidi="ar-OM"/>
        </w:rPr>
        <w:t>ّ</w:t>
      </w:r>
      <w:r w:rsidRPr="00904FCB">
        <w:rPr>
          <w:rFonts w:hint="cs"/>
          <w:sz w:val="27"/>
          <w:rtl/>
          <w:lang w:bidi="ar-OM"/>
        </w:rPr>
        <w:t xml:space="preserve">ى </w:t>
      </w:r>
      <w:r w:rsidR="005C5FA8" w:rsidRPr="00904FCB">
        <w:rPr>
          <w:rFonts w:hint="cs"/>
          <w:sz w:val="27"/>
          <w:rtl/>
          <w:lang w:bidi="ar-OM"/>
        </w:rPr>
        <w:t>أ</w:t>
      </w:r>
      <w:r w:rsidRPr="00904FCB">
        <w:rPr>
          <w:rFonts w:hint="cs"/>
          <w:sz w:val="27"/>
          <w:rtl/>
          <w:lang w:bidi="ar-OM"/>
        </w:rPr>
        <w:t>نه نفى عنها الجمعة والجماعة والجهاد</w:t>
      </w:r>
      <w:r w:rsidR="005C5FA8" w:rsidRPr="00904FCB">
        <w:rPr>
          <w:rFonts w:hint="cs"/>
          <w:sz w:val="27"/>
          <w:rtl/>
          <w:lang w:bidi="ar-OM"/>
        </w:rPr>
        <w:t>،</w:t>
      </w:r>
      <w:r w:rsidRPr="00904FCB">
        <w:rPr>
          <w:rFonts w:hint="cs"/>
          <w:sz w:val="27"/>
          <w:rtl/>
          <w:lang w:bidi="ar-OM"/>
        </w:rPr>
        <w:t xml:space="preserve"> بل </w:t>
      </w:r>
      <w:r w:rsidR="005C5FA8" w:rsidRPr="00904FCB">
        <w:rPr>
          <w:rFonts w:hint="cs"/>
          <w:sz w:val="27"/>
          <w:rtl/>
          <w:lang w:bidi="ar-OM"/>
        </w:rPr>
        <w:t>أ</w:t>
      </w:r>
      <w:r w:rsidRPr="00904FCB">
        <w:rPr>
          <w:rFonts w:hint="cs"/>
          <w:sz w:val="27"/>
          <w:rtl/>
          <w:lang w:bidi="ar-OM"/>
        </w:rPr>
        <w:t>لزمها بالتحف</w:t>
      </w:r>
      <w:r w:rsidR="005C5FA8" w:rsidRPr="00904FCB">
        <w:rPr>
          <w:rFonts w:hint="cs"/>
          <w:sz w:val="27"/>
          <w:rtl/>
          <w:lang w:bidi="ar-OM"/>
        </w:rPr>
        <w:t>ُّ</w:t>
      </w:r>
      <w:r w:rsidRPr="00904FCB">
        <w:rPr>
          <w:rFonts w:hint="cs"/>
          <w:sz w:val="27"/>
          <w:rtl/>
          <w:lang w:bidi="ar-OM"/>
        </w:rPr>
        <w:t>ظ على عفتها</w:t>
      </w:r>
      <w:r w:rsidR="005C5FA8" w:rsidRPr="00904FCB">
        <w:rPr>
          <w:rFonts w:hint="cs"/>
          <w:sz w:val="27"/>
          <w:rtl/>
          <w:lang w:bidi="ar-OM"/>
        </w:rPr>
        <w:t>،</w:t>
      </w:r>
      <w:r w:rsidRPr="00904FCB">
        <w:rPr>
          <w:rFonts w:hint="cs"/>
          <w:sz w:val="27"/>
          <w:rtl/>
          <w:lang w:bidi="ar-OM"/>
        </w:rPr>
        <w:t xml:space="preserve"> وصيانة نفسها عن الوقوع في المهالك</w:t>
      </w:r>
      <w:r w:rsidRPr="00904FCB">
        <w:rPr>
          <w:rFonts w:hint="cs"/>
          <w:sz w:val="27"/>
          <w:vertAlign w:val="superscript"/>
          <w:rtl/>
        </w:rPr>
        <w:t>(</w:t>
      </w:r>
      <w:r w:rsidRPr="00904FCB">
        <w:rPr>
          <w:rStyle w:val="ac"/>
          <w:sz w:val="27"/>
          <w:rtl/>
        </w:rPr>
        <w:endnoteReference w:id="191"/>
      </w:r>
      <w:r w:rsidRPr="00904FCB">
        <w:rPr>
          <w:rFonts w:hint="cs"/>
          <w:sz w:val="27"/>
          <w:vertAlign w:val="superscript"/>
          <w:rtl/>
        </w:rPr>
        <w:t>)</w:t>
      </w:r>
      <w:r w:rsidRPr="00904FCB">
        <w:rPr>
          <w:rFonts w:hint="cs"/>
          <w:sz w:val="27"/>
          <w:rtl/>
          <w:lang w:bidi="ar-OM"/>
        </w:rPr>
        <w:t>. بينما فس</w:t>
      </w:r>
      <w:r w:rsidR="005C5FA8" w:rsidRPr="00904FCB">
        <w:rPr>
          <w:rFonts w:hint="cs"/>
          <w:sz w:val="27"/>
          <w:rtl/>
          <w:lang w:bidi="ar-OM"/>
        </w:rPr>
        <w:t>َّ</w:t>
      </w:r>
      <w:r w:rsidRPr="00904FCB">
        <w:rPr>
          <w:rFonts w:hint="cs"/>
          <w:sz w:val="27"/>
          <w:rtl/>
          <w:lang w:bidi="ar-OM"/>
        </w:rPr>
        <w:t>ر بعض الفقهاء تحريم تولي المرأة للسلطة بأنه نوع</w:t>
      </w:r>
      <w:r w:rsidR="005C5FA8" w:rsidRPr="00904FCB">
        <w:rPr>
          <w:rFonts w:hint="cs"/>
          <w:sz w:val="27"/>
          <w:rtl/>
          <w:lang w:bidi="ar-OM"/>
        </w:rPr>
        <w:t>ُ</w:t>
      </w:r>
      <w:r w:rsidRPr="00904FCB">
        <w:rPr>
          <w:rFonts w:hint="cs"/>
          <w:sz w:val="27"/>
          <w:rtl/>
          <w:lang w:bidi="ar-OM"/>
        </w:rPr>
        <w:t xml:space="preserve"> تمييز بين الرجل والمرأة</w:t>
      </w:r>
      <w:r w:rsidR="005C5FA8" w:rsidRPr="00904FCB">
        <w:rPr>
          <w:rFonts w:hint="cs"/>
          <w:sz w:val="27"/>
          <w:rtl/>
          <w:lang w:bidi="ar-OM"/>
        </w:rPr>
        <w:t>،</w:t>
      </w:r>
      <w:r w:rsidRPr="00904FCB">
        <w:rPr>
          <w:rFonts w:hint="cs"/>
          <w:sz w:val="27"/>
          <w:rtl/>
          <w:lang w:bidi="ar-OM"/>
        </w:rPr>
        <w:t xml:space="preserve"> وتقسيم</w:t>
      </w:r>
      <w:r w:rsidR="005C5FA8" w:rsidRPr="00904FCB">
        <w:rPr>
          <w:rFonts w:hint="cs"/>
          <w:sz w:val="27"/>
          <w:rtl/>
          <w:lang w:bidi="ar-OM"/>
        </w:rPr>
        <w:t>ٌ</w:t>
      </w:r>
      <w:r w:rsidRPr="00904FCB">
        <w:rPr>
          <w:rFonts w:hint="cs"/>
          <w:sz w:val="27"/>
          <w:rtl/>
          <w:lang w:bidi="ar-OM"/>
        </w:rPr>
        <w:t xml:space="preserve"> للدور بينهما</w:t>
      </w:r>
      <w:r w:rsidR="005C5FA8" w:rsidRPr="00904FCB">
        <w:rPr>
          <w:rFonts w:hint="cs"/>
          <w:sz w:val="27"/>
          <w:rtl/>
          <w:lang w:bidi="ar-OM"/>
        </w:rPr>
        <w:t>،</w:t>
      </w:r>
      <w:r w:rsidRPr="00904FCB">
        <w:rPr>
          <w:rFonts w:hint="cs"/>
          <w:sz w:val="27"/>
          <w:rtl/>
          <w:lang w:bidi="ar-OM"/>
        </w:rPr>
        <w:t xml:space="preserve"> ح</w:t>
      </w:r>
      <w:r w:rsidR="005C5FA8" w:rsidRPr="00904FCB">
        <w:rPr>
          <w:rFonts w:hint="cs"/>
          <w:sz w:val="27"/>
          <w:rtl/>
          <w:lang w:bidi="ar-OM"/>
        </w:rPr>
        <w:t>َ</w:t>
      </w:r>
      <w:r w:rsidRPr="00904FCB">
        <w:rPr>
          <w:rFonts w:hint="cs"/>
          <w:sz w:val="27"/>
          <w:rtl/>
          <w:lang w:bidi="ar-OM"/>
        </w:rPr>
        <w:t>س</w:t>
      </w:r>
      <w:r w:rsidR="005C5FA8" w:rsidRPr="00904FCB">
        <w:rPr>
          <w:rFonts w:hint="cs"/>
          <w:sz w:val="27"/>
          <w:rtl/>
          <w:lang w:bidi="ar-OM"/>
        </w:rPr>
        <w:t>ْ</w:t>
      </w:r>
      <w:r w:rsidRPr="00904FCB">
        <w:rPr>
          <w:rFonts w:hint="cs"/>
          <w:sz w:val="27"/>
          <w:rtl/>
          <w:lang w:bidi="ar-OM"/>
        </w:rPr>
        <w:t>ب الفوارق الطبيعية بينهما</w:t>
      </w:r>
      <w:r w:rsidRPr="00904FCB">
        <w:rPr>
          <w:rFonts w:hint="cs"/>
          <w:sz w:val="27"/>
          <w:vertAlign w:val="superscript"/>
          <w:rtl/>
        </w:rPr>
        <w:t>(</w:t>
      </w:r>
      <w:r w:rsidRPr="00904FCB">
        <w:rPr>
          <w:rStyle w:val="ac"/>
          <w:sz w:val="27"/>
          <w:rtl/>
        </w:rPr>
        <w:endnoteReference w:id="192"/>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ومن جهة</w:t>
      </w:r>
      <w:r w:rsidR="005C5FA8" w:rsidRPr="00904FCB">
        <w:rPr>
          <w:rFonts w:hint="cs"/>
          <w:sz w:val="27"/>
          <w:rtl/>
          <w:lang w:bidi="ar-OM"/>
        </w:rPr>
        <w:t>ٍ</w:t>
      </w:r>
      <w:r w:rsidRPr="00904FCB">
        <w:rPr>
          <w:rFonts w:hint="cs"/>
          <w:sz w:val="27"/>
          <w:rtl/>
          <w:lang w:bidi="ar-OM"/>
        </w:rPr>
        <w:t xml:space="preserve"> أخرى، وضمن اتجاه المنع، يرى الدكتور السباعي جواز دخول المرأة </w:t>
      </w:r>
      <w:r w:rsidR="005C5FA8" w:rsidRPr="00904FCB">
        <w:rPr>
          <w:rFonts w:hint="cs"/>
          <w:sz w:val="27"/>
          <w:rtl/>
          <w:lang w:bidi="ar-OM"/>
        </w:rPr>
        <w:t>إلى ا</w:t>
      </w:r>
      <w:r w:rsidRPr="00904FCB">
        <w:rPr>
          <w:rFonts w:hint="cs"/>
          <w:sz w:val="27"/>
          <w:rtl/>
          <w:lang w:bidi="ar-OM"/>
        </w:rPr>
        <w:t xml:space="preserve">لمجلس النيابي، من حيث المبدأ، غير </w:t>
      </w:r>
      <w:r w:rsidR="005C5FA8" w:rsidRPr="00904FCB">
        <w:rPr>
          <w:rFonts w:hint="cs"/>
          <w:sz w:val="27"/>
          <w:rtl/>
          <w:lang w:bidi="ar-OM"/>
        </w:rPr>
        <w:t>أ</w:t>
      </w:r>
      <w:r w:rsidRPr="00904FCB">
        <w:rPr>
          <w:rFonts w:hint="cs"/>
          <w:sz w:val="27"/>
          <w:rtl/>
          <w:lang w:bidi="ar-OM"/>
        </w:rPr>
        <w:t>نه يمنع من تحق</w:t>
      </w:r>
      <w:r w:rsidR="005C5FA8" w:rsidRPr="00904FCB">
        <w:rPr>
          <w:rFonts w:hint="cs"/>
          <w:sz w:val="27"/>
          <w:rtl/>
          <w:lang w:bidi="ar-OM"/>
        </w:rPr>
        <w:t>ُّ</w:t>
      </w:r>
      <w:r w:rsidRPr="00904FCB">
        <w:rPr>
          <w:rFonts w:hint="cs"/>
          <w:sz w:val="27"/>
          <w:rtl/>
          <w:lang w:bidi="ar-OM"/>
        </w:rPr>
        <w:t>قه في الواقع</w:t>
      </w:r>
      <w:r w:rsidR="005C5FA8" w:rsidRPr="00904FCB">
        <w:rPr>
          <w:rFonts w:hint="cs"/>
          <w:sz w:val="27"/>
          <w:rtl/>
          <w:lang w:bidi="ar-OM"/>
        </w:rPr>
        <w:t>؛</w:t>
      </w:r>
      <w:r w:rsidRPr="00904FCB">
        <w:rPr>
          <w:rFonts w:hint="cs"/>
          <w:sz w:val="27"/>
          <w:rtl/>
          <w:lang w:bidi="ar-OM"/>
        </w:rPr>
        <w:t xml:space="preserve"> بناء</w:t>
      </w:r>
      <w:r w:rsidR="005C5FA8" w:rsidRPr="00904FCB">
        <w:rPr>
          <w:rFonts w:hint="cs"/>
          <w:sz w:val="27"/>
          <w:rtl/>
          <w:lang w:bidi="ar-OM"/>
        </w:rPr>
        <w:t>ً</w:t>
      </w:r>
      <w:r w:rsidRPr="00904FCB">
        <w:rPr>
          <w:rFonts w:hint="cs"/>
          <w:sz w:val="27"/>
          <w:rtl/>
          <w:lang w:bidi="ar-OM"/>
        </w:rPr>
        <w:t xml:space="preserve"> على منافاته لمبادئ التشريع الاسلامي </w:t>
      </w:r>
      <w:r w:rsidRPr="00904FCB">
        <w:rPr>
          <w:sz w:val="27"/>
          <w:rtl/>
          <w:lang w:bidi="ar-OM"/>
        </w:rPr>
        <w:t>ـ</w:t>
      </w:r>
      <w:r w:rsidRPr="00904FCB">
        <w:rPr>
          <w:rFonts w:hint="cs"/>
          <w:sz w:val="27"/>
          <w:rtl/>
          <w:lang w:bidi="ar-OM"/>
        </w:rPr>
        <w:t xml:space="preserve"> ح</w:t>
      </w:r>
      <w:r w:rsidR="005C5FA8" w:rsidRPr="00904FCB">
        <w:rPr>
          <w:rFonts w:hint="cs"/>
          <w:sz w:val="27"/>
          <w:rtl/>
          <w:lang w:bidi="ar-OM"/>
        </w:rPr>
        <w:t>َ</w:t>
      </w:r>
      <w:r w:rsidRPr="00904FCB">
        <w:rPr>
          <w:rFonts w:hint="cs"/>
          <w:sz w:val="27"/>
          <w:rtl/>
          <w:lang w:bidi="ar-OM"/>
        </w:rPr>
        <w:t>س</w:t>
      </w:r>
      <w:r w:rsidR="005C5FA8" w:rsidRPr="00904FCB">
        <w:rPr>
          <w:rFonts w:hint="cs"/>
          <w:sz w:val="27"/>
          <w:rtl/>
          <w:lang w:bidi="ar-OM"/>
        </w:rPr>
        <w:t>ْ</w:t>
      </w:r>
      <w:r w:rsidRPr="00904FCB">
        <w:rPr>
          <w:rFonts w:hint="cs"/>
          <w:sz w:val="27"/>
          <w:rtl/>
          <w:lang w:bidi="ar-OM"/>
        </w:rPr>
        <w:t>ب رأيه ـ. فهو من الناحية الأو</w:t>
      </w:r>
      <w:r w:rsidR="005C5FA8" w:rsidRPr="00904FCB">
        <w:rPr>
          <w:rFonts w:hint="cs"/>
          <w:sz w:val="27"/>
          <w:rtl/>
          <w:lang w:bidi="ar-OM"/>
        </w:rPr>
        <w:t>ّ</w:t>
      </w:r>
      <w:r w:rsidRPr="00904FCB">
        <w:rPr>
          <w:rFonts w:hint="cs"/>
          <w:sz w:val="27"/>
          <w:rtl/>
          <w:lang w:bidi="ar-OM"/>
        </w:rPr>
        <w:t>لية يجيزه</w:t>
      </w:r>
      <w:r w:rsidR="005C5FA8" w:rsidRPr="00904FCB">
        <w:rPr>
          <w:rFonts w:hint="cs"/>
          <w:sz w:val="27"/>
          <w:rtl/>
          <w:lang w:bidi="ar-OM"/>
        </w:rPr>
        <w:t>؛</w:t>
      </w:r>
      <w:r w:rsidRPr="00904FCB">
        <w:rPr>
          <w:rFonts w:hint="cs"/>
          <w:sz w:val="27"/>
          <w:rtl/>
          <w:lang w:bidi="ar-OM"/>
        </w:rPr>
        <w:t xml:space="preserve"> على اعتبار </w:t>
      </w:r>
      <w:r w:rsidR="005C5FA8" w:rsidRPr="00904FCB">
        <w:rPr>
          <w:rFonts w:hint="cs"/>
          <w:sz w:val="27"/>
          <w:rtl/>
          <w:lang w:bidi="ar-OM"/>
        </w:rPr>
        <w:t>أ</w:t>
      </w:r>
      <w:r w:rsidRPr="00904FCB">
        <w:rPr>
          <w:rFonts w:hint="cs"/>
          <w:sz w:val="27"/>
          <w:rtl/>
          <w:lang w:bidi="ar-OM"/>
        </w:rPr>
        <w:t>ن مهمة هذه المجالس تتكو</w:t>
      </w:r>
      <w:r w:rsidR="005C5FA8" w:rsidRPr="00904FCB">
        <w:rPr>
          <w:rFonts w:hint="cs"/>
          <w:sz w:val="27"/>
          <w:rtl/>
          <w:lang w:bidi="ar-OM"/>
        </w:rPr>
        <w:t>َّ</w:t>
      </w:r>
      <w:r w:rsidRPr="00904FCB">
        <w:rPr>
          <w:rFonts w:hint="cs"/>
          <w:sz w:val="27"/>
          <w:rtl/>
          <w:lang w:bidi="ar-OM"/>
        </w:rPr>
        <w:t>ن من التشريع والرقابة. وعلى أساس التكييف الفقهي للمهم</w:t>
      </w:r>
      <w:r w:rsidR="005C5FA8" w:rsidRPr="00904FCB">
        <w:rPr>
          <w:rFonts w:hint="cs"/>
          <w:sz w:val="27"/>
          <w:rtl/>
          <w:lang w:bidi="ar-OM"/>
        </w:rPr>
        <w:t>ّ</w:t>
      </w:r>
      <w:r w:rsidRPr="00904FCB">
        <w:rPr>
          <w:rFonts w:hint="cs"/>
          <w:sz w:val="27"/>
          <w:rtl/>
          <w:lang w:bidi="ar-OM"/>
        </w:rPr>
        <w:t>ة الأولى بالاجتهاد والاستنباط</w:t>
      </w:r>
      <w:r w:rsidR="005C5FA8" w:rsidRPr="00904FCB">
        <w:rPr>
          <w:rFonts w:hint="cs"/>
          <w:sz w:val="27"/>
          <w:rtl/>
          <w:lang w:bidi="ar-OM"/>
        </w:rPr>
        <w:t>،</w:t>
      </w:r>
      <w:r w:rsidRPr="00904FCB">
        <w:rPr>
          <w:rFonts w:hint="cs"/>
          <w:sz w:val="27"/>
          <w:rtl/>
          <w:lang w:bidi="ar-OM"/>
        </w:rPr>
        <w:t xml:space="preserve"> وللمهم</w:t>
      </w:r>
      <w:r w:rsidR="005C5FA8" w:rsidRPr="00904FCB">
        <w:rPr>
          <w:rFonts w:hint="cs"/>
          <w:sz w:val="27"/>
          <w:rtl/>
          <w:lang w:bidi="ar-OM"/>
        </w:rPr>
        <w:t>ّ</w:t>
      </w:r>
      <w:r w:rsidRPr="00904FCB">
        <w:rPr>
          <w:rFonts w:hint="cs"/>
          <w:sz w:val="27"/>
          <w:rtl/>
          <w:lang w:bidi="ar-OM"/>
        </w:rPr>
        <w:t xml:space="preserve">ة الثانية بالأمر بالمعروف والنهي </w:t>
      </w:r>
      <w:r w:rsidRPr="00904FCB">
        <w:rPr>
          <w:rFonts w:hint="cs"/>
          <w:sz w:val="27"/>
          <w:rtl/>
          <w:lang w:bidi="ar-OM"/>
        </w:rPr>
        <w:lastRenderedPageBreak/>
        <w:t>عن المنكر. وليس في الإسلام ما يمنع أن تكون المرأة مشر</w:t>
      </w:r>
      <w:r w:rsidR="005C5FA8" w:rsidRPr="00904FCB">
        <w:rPr>
          <w:rFonts w:hint="cs"/>
          <w:sz w:val="27"/>
          <w:rtl/>
          <w:lang w:bidi="ar-OM"/>
        </w:rPr>
        <w:t>ِّ</w:t>
      </w:r>
      <w:r w:rsidRPr="00904FCB">
        <w:rPr>
          <w:rFonts w:hint="cs"/>
          <w:sz w:val="27"/>
          <w:rtl/>
          <w:lang w:bidi="ar-OM"/>
        </w:rPr>
        <w:t>عة</w:t>
      </w:r>
      <w:r w:rsidR="005C5FA8" w:rsidRPr="00904FCB">
        <w:rPr>
          <w:rFonts w:hint="cs"/>
          <w:sz w:val="27"/>
          <w:rtl/>
          <w:lang w:bidi="ar-OM"/>
        </w:rPr>
        <w:t>،</w:t>
      </w:r>
      <w:r w:rsidRPr="00904FCB">
        <w:rPr>
          <w:rFonts w:hint="cs"/>
          <w:sz w:val="27"/>
          <w:rtl/>
          <w:lang w:bidi="ar-OM"/>
        </w:rPr>
        <w:t xml:space="preserve"> ففي تاريخنا كثير</w:t>
      </w:r>
      <w:r w:rsidR="005C5FA8" w:rsidRPr="00904FCB">
        <w:rPr>
          <w:rFonts w:hint="cs"/>
          <w:sz w:val="27"/>
          <w:rtl/>
          <w:lang w:bidi="ar-OM"/>
        </w:rPr>
        <w:t>ٌ</w:t>
      </w:r>
      <w:r w:rsidRPr="00904FCB">
        <w:rPr>
          <w:rFonts w:hint="cs"/>
          <w:sz w:val="27"/>
          <w:rtl/>
          <w:lang w:bidi="ar-OM"/>
        </w:rPr>
        <w:t xml:space="preserve"> من العالمات. أما الأمر بالمعروف والنهي عن المنكر فالرجل والمرأة في ذلك سواء. ولكنه يعود فيقر</w:t>
      </w:r>
      <w:r w:rsidR="005C5FA8" w:rsidRPr="00904FCB">
        <w:rPr>
          <w:rFonts w:hint="cs"/>
          <w:sz w:val="27"/>
          <w:rtl/>
          <w:lang w:bidi="ar-OM"/>
        </w:rPr>
        <w:t>ِّ</w:t>
      </w:r>
      <w:r w:rsidRPr="00904FCB">
        <w:rPr>
          <w:rFonts w:hint="cs"/>
          <w:sz w:val="27"/>
          <w:rtl/>
          <w:lang w:bidi="ar-OM"/>
        </w:rPr>
        <w:t xml:space="preserve">ر </w:t>
      </w:r>
      <w:r w:rsidR="005C5FA8" w:rsidRPr="00904FCB">
        <w:rPr>
          <w:rFonts w:hint="cs"/>
          <w:sz w:val="27"/>
          <w:rtl/>
          <w:lang w:bidi="ar-OM"/>
        </w:rPr>
        <w:t>أ</w:t>
      </w:r>
      <w:r w:rsidRPr="00904FCB">
        <w:rPr>
          <w:rFonts w:hint="cs"/>
          <w:sz w:val="27"/>
          <w:rtl/>
          <w:lang w:bidi="ar-OM"/>
        </w:rPr>
        <w:t>ن</w:t>
      </w:r>
      <w:r w:rsidR="005C5FA8" w:rsidRPr="00904FCB">
        <w:rPr>
          <w:rFonts w:hint="cs"/>
          <w:sz w:val="27"/>
          <w:rtl/>
          <w:lang w:bidi="ar-OM"/>
        </w:rPr>
        <w:t>ّ</w:t>
      </w:r>
      <w:r w:rsidRPr="00904FCB">
        <w:rPr>
          <w:rFonts w:hint="cs"/>
          <w:sz w:val="27"/>
          <w:rtl/>
          <w:lang w:bidi="ar-OM"/>
        </w:rPr>
        <w:t xml:space="preserve"> مبادئ الإسلام وقواعده تحول بين المرأة وبين استعمالها لهذا الحق</w:t>
      </w:r>
      <w:r w:rsidR="005C5FA8" w:rsidRPr="00904FCB">
        <w:rPr>
          <w:rFonts w:hint="cs"/>
          <w:sz w:val="27"/>
          <w:rtl/>
          <w:lang w:bidi="ar-OM"/>
        </w:rPr>
        <w:t>ّ</w:t>
      </w:r>
      <w:r w:rsidRPr="00904FCB">
        <w:rPr>
          <w:rFonts w:hint="cs"/>
          <w:sz w:val="27"/>
          <w:rtl/>
          <w:lang w:bidi="ar-OM"/>
        </w:rPr>
        <w:t>، لا لعدم أهلي</w:t>
      </w:r>
      <w:r w:rsidR="005C5FA8" w:rsidRPr="00904FCB">
        <w:rPr>
          <w:rFonts w:hint="cs"/>
          <w:sz w:val="27"/>
          <w:rtl/>
          <w:lang w:bidi="ar-OM"/>
        </w:rPr>
        <w:t>ّ</w:t>
      </w:r>
      <w:r w:rsidRPr="00904FCB">
        <w:rPr>
          <w:rFonts w:hint="cs"/>
          <w:sz w:val="27"/>
          <w:rtl/>
          <w:lang w:bidi="ar-OM"/>
        </w:rPr>
        <w:t>تها</w:t>
      </w:r>
      <w:r w:rsidR="005C5FA8" w:rsidRPr="00904FCB">
        <w:rPr>
          <w:rFonts w:hint="cs"/>
          <w:sz w:val="27"/>
          <w:rtl/>
          <w:lang w:bidi="ar-OM"/>
        </w:rPr>
        <w:t>،</w:t>
      </w:r>
      <w:r w:rsidRPr="00904FCB">
        <w:rPr>
          <w:rFonts w:hint="cs"/>
          <w:sz w:val="27"/>
          <w:rtl/>
          <w:lang w:bidi="ar-OM"/>
        </w:rPr>
        <w:t xml:space="preserve"> بل لأمور تتعل</w:t>
      </w:r>
      <w:r w:rsidR="005C5FA8" w:rsidRPr="00904FCB">
        <w:rPr>
          <w:rFonts w:hint="cs"/>
          <w:sz w:val="27"/>
          <w:rtl/>
          <w:lang w:bidi="ar-OM"/>
        </w:rPr>
        <w:t>ّ</w:t>
      </w:r>
      <w:r w:rsidRPr="00904FCB">
        <w:rPr>
          <w:rFonts w:hint="cs"/>
          <w:sz w:val="27"/>
          <w:rtl/>
          <w:lang w:bidi="ar-OM"/>
        </w:rPr>
        <w:t>ق بالمصلحة الاجتماعية. فرعاية الأسرة توجب التفر</w:t>
      </w:r>
      <w:r w:rsidR="005C5FA8" w:rsidRPr="00904FCB">
        <w:rPr>
          <w:rFonts w:hint="cs"/>
          <w:sz w:val="27"/>
          <w:rtl/>
          <w:lang w:bidi="ar-OM"/>
        </w:rPr>
        <w:t>ُّ</w:t>
      </w:r>
      <w:r w:rsidRPr="00904FCB">
        <w:rPr>
          <w:rFonts w:hint="cs"/>
          <w:sz w:val="27"/>
          <w:rtl/>
          <w:lang w:bidi="ar-OM"/>
        </w:rPr>
        <w:t>غ، واختلاط المرأة بالأجانب عنها والخلوة مع الأجنبي محر</w:t>
      </w:r>
      <w:r w:rsidR="005C5FA8" w:rsidRPr="00904FCB">
        <w:rPr>
          <w:rFonts w:hint="cs"/>
          <w:sz w:val="27"/>
          <w:rtl/>
          <w:lang w:bidi="ar-OM"/>
        </w:rPr>
        <w:t>َّ</w:t>
      </w:r>
      <w:r w:rsidRPr="00904FCB">
        <w:rPr>
          <w:rFonts w:hint="cs"/>
          <w:sz w:val="27"/>
          <w:rtl/>
          <w:lang w:bidi="ar-OM"/>
        </w:rPr>
        <w:t>م</w:t>
      </w:r>
      <w:r w:rsidR="005C5FA8" w:rsidRPr="00904FCB">
        <w:rPr>
          <w:rFonts w:hint="cs"/>
          <w:sz w:val="27"/>
          <w:rtl/>
          <w:lang w:bidi="ar-OM"/>
        </w:rPr>
        <w:t xml:space="preserve">ٌ </w:t>
      </w:r>
      <w:r w:rsidRPr="00904FCB">
        <w:rPr>
          <w:rFonts w:hint="cs"/>
          <w:sz w:val="27"/>
          <w:rtl/>
          <w:lang w:bidi="ar-OM"/>
        </w:rPr>
        <w:t>في الإسلام، وكشف المرأة لغير الوجه واليدين محر</w:t>
      </w:r>
      <w:r w:rsidR="005C5FA8" w:rsidRPr="00904FCB">
        <w:rPr>
          <w:rFonts w:hint="cs"/>
          <w:sz w:val="27"/>
          <w:rtl/>
          <w:lang w:bidi="ar-OM"/>
        </w:rPr>
        <w:t>َّ</w:t>
      </w:r>
      <w:r w:rsidRPr="00904FCB">
        <w:rPr>
          <w:rFonts w:hint="cs"/>
          <w:sz w:val="27"/>
          <w:rtl/>
          <w:lang w:bidi="ar-OM"/>
        </w:rPr>
        <w:t>م في الإسلام</w:t>
      </w:r>
      <w:r w:rsidR="005C5FA8" w:rsidRPr="00904FCB">
        <w:rPr>
          <w:rFonts w:hint="cs"/>
          <w:sz w:val="27"/>
          <w:rtl/>
          <w:lang w:bidi="ar-OM"/>
        </w:rPr>
        <w:t>،</w:t>
      </w:r>
      <w:r w:rsidRPr="00904FCB">
        <w:rPr>
          <w:rFonts w:hint="cs"/>
          <w:sz w:val="27"/>
          <w:rtl/>
          <w:lang w:bidi="ar-OM"/>
        </w:rPr>
        <w:t xml:space="preserve"> وسفر المرأة وحدها خارج بلدتها دون م</w:t>
      </w:r>
      <w:r w:rsidR="005C5FA8" w:rsidRPr="00904FCB">
        <w:rPr>
          <w:rFonts w:hint="cs"/>
          <w:sz w:val="27"/>
          <w:rtl/>
          <w:lang w:bidi="ar-OM"/>
        </w:rPr>
        <w:t>َ</w:t>
      </w:r>
      <w:r w:rsidRPr="00904FCB">
        <w:rPr>
          <w:rFonts w:hint="cs"/>
          <w:sz w:val="27"/>
          <w:rtl/>
          <w:lang w:bidi="ar-OM"/>
        </w:rPr>
        <w:t>ح</w:t>
      </w:r>
      <w:r w:rsidR="005C5FA8" w:rsidRPr="00904FCB">
        <w:rPr>
          <w:rFonts w:hint="cs"/>
          <w:sz w:val="27"/>
          <w:rtl/>
          <w:lang w:bidi="ar-OM"/>
        </w:rPr>
        <w:t>ْ</w:t>
      </w:r>
      <w:r w:rsidRPr="00904FCB">
        <w:rPr>
          <w:rFonts w:hint="cs"/>
          <w:sz w:val="27"/>
          <w:rtl/>
          <w:lang w:bidi="ar-OM"/>
        </w:rPr>
        <w:t>ر</w:t>
      </w:r>
      <w:r w:rsidR="005C5FA8" w:rsidRPr="00904FCB">
        <w:rPr>
          <w:rFonts w:hint="cs"/>
          <w:sz w:val="27"/>
          <w:rtl/>
          <w:lang w:bidi="ar-OM"/>
        </w:rPr>
        <w:t>َ</w:t>
      </w:r>
      <w:r w:rsidRPr="00904FCB">
        <w:rPr>
          <w:rFonts w:hint="cs"/>
          <w:sz w:val="27"/>
          <w:rtl/>
          <w:lang w:bidi="ar-OM"/>
        </w:rPr>
        <w:t>م لا يبيحه الإسلام، وهذه الأمور الأربعة تجعل من العسير</w:t>
      </w:r>
      <w:r w:rsidR="005C5FA8" w:rsidRPr="00904FCB">
        <w:rPr>
          <w:rFonts w:hint="cs"/>
          <w:sz w:val="27"/>
          <w:rtl/>
          <w:lang w:bidi="ar-OM"/>
        </w:rPr>
        <w:t>،</w:t>
      </w:r>
      <w:r w:rsidRPr="00904FCB">
        <w:rPr>
          <w:rFonts w:hint="cs"/>
          <w:sz w:val="27"/>
          <w:rtl/>
          <w:lang w:bidi="ar-OM"/>
        </w:rPr>
        <w:t xml:space="preserve"> </w:t>
      </w:r>
      <w:r w:rsidR="005C5FA8" w:rsidRPr="00904FCB">
        <w:rPr>
          <w:rFonts w:hint="cs"/>
          <w:sz w:val="27"/>
          <w:rtl/>
          <w:lang w:bidi="ar-OM"/>
        </w:rPr>
        <w:t>إ</w:t>
      </w:r>
      <w:r w:rsidRPr="00904FCB">
        <w:rPr>
          <w:rFonts w:hint="cs"/>
          <w:sz w:val="27"/>
          <w:rtl/>
          <w:lang w:bidi="ar-OM"/>
        </w:rPr>
        <w:t>ن</w:t>
      </w:r>
      <w:r w:rsidR="005C5FA8" w:rsidRPr="00904FCB">
        <w:rPr>
          <w:rFonts w:hint="cs"/>
          <w:sz w:val="27"/>
          <w:rtl/>
          <w:lang w:bidi="ar-OM"/>
        </w:rPr>
        <w:t>ْ</w:t>
      </w:r>
      <w:r w:rsidRPr="00904FCB">
        <w:rPr>
          <w:rFonts w:hint="cs"/>
          <w:sz w:val="27"/>
          <w:rtl/>
          <w:lang w:bidi="ar-OM"/>
        </w:rPr>
        <w:t xml:space="preserve"> لم يكن المستحيل</w:t>
      </w:r>
      <w:r w:rsidR="005C5FA8" w:rsidRPr="00904FCB">
        <w:rPr>
          <w:rFonts w:hint="cs"/>
          <w:sz w:val="27"/>
          <w:rtl/>
          <w:lang w:bidi="ar-OM"/>
        </w:rPr>
        <w:t>،</w:t>
      </w:r>
      <w:r w:rsidRPr="00904FCB">
        <w:rPr>
          <w:rFonts w:hint="cs"/>
          <w:sz w:val="27"/>
          <w:rtl/>
          <w:lang w:bidi="ar-OM"/>
        </w:rPr>
        <w:t xml:space="preserve"> على المرأة أن تمارس النيابة في ظل</w:t>
      </w:r>
      <w:r w:rsidR="005C5FA8" w:rsidRPr="00904FCB">
        <w:rPr>
          <w:rFonts w:hint="cs"/>
          <w:sz w:val="27"/>
          <w:rtl/>
          <w:lang w:bidi="ar-OM"/>
        </w:rPr>
        <w:t>ِّ</w:t>
      </w:r>
      <w:r w:rsidRPr="00904FCB">
        <w:rPr>
          <w:rFonts w:hint="cs"/>
          <w:sz w:val="27"/>
          <w:rtl/>
          <w:lang w:bidi="ar-OM"/>
        </w:rPr>
        <w:t>ها</w:t>
      </w:r>
      <w:r w:rsidR="005C5FA8" w:rsidRPr="00904FCB">
        <w:rPr>
          <w:rFonts w:hint="cs"/>
          <w:sz w:val="27"/>
          <w:rtl/>
          <w:lang w:bidi="ar-OM"/>
        </w:rPr>
        <w:t>.</w:t>
      </w:r>
      <w:r w:rsidRPr="00904FCB">
        <w:rPr>
          <w:rFonts w:hint="cs"/>
          <w:sz w:val="27"/>
          <w:rtl/>
          <w:lang w:bidi="ar-OM"/>
        </w:rPr>
        <w:t xml:space="preserve"> </w:t>
      </w:r>
      <w:r w:rsidR="005C5FA8" w:rsidRPr="00904FCB">
        <w:rPr>
          <w:rFonts w:hint="cs"/>
          <w:sz w:val="27"/>
          <w:rtl/>
          <w:lang w:bidi="ar-OM"/>
        </w:rPr>
        <w:t>إ</w:t>
      </w:r>
      <w:r w:rsidRPr="00904FCB">
        <w:rPr>
          <w:rFonts w:hint="cs"/>
          <w:sz w:val="27"/>
          <w:rtl/>
          <w:lang w:bidi="ar-OM"/>
        </w:rPr>
        <w:t xml:space="preserve">ن طبيعة النيابة وما </w:t>
      </w:r>
      <w:r w:rsidR="00A92C5C" w:rsidRPr="00904FCB">
        <w:rPr>
          <w:rFonts w:hint="cs"/>
          <w:sz w:val="27"/>
          <w:rtl/>
          <w:lang w:bidi="ar-OM"/>
        </w:rPr>
        <w:t>ت</w:t>
      </w:r>
      <w:r w:rsidRPr="00904FCB">
        <w:rPr>
          <w:rFonts w:hint="cs"/>
          <w:sz w:val="27"/>
          <w:rtl/>
          <w:lang w:bidi="ar-OM"/>
        </w:rPr>
        <w:t>قتضيه س</w:t>
      </w:r>
      <w:r w:rsidR="00A92C5C" w:rsidRPr="00904FCB">
        <w:rPr>
          <w:rFonts w:hint="cs"/>
          <w:sz w:val="27"/>
          <w:rtl/>
          <w:lang w:bidi="ar-OM"/>
        </w:rPr>
        <w:t>ي</w:t>
      </w:r>
      <w:r w:rsidRPr="00904FCB">
        <w:rPr>
          <w:rFonts w:hint="cs"/>
          <w:sz w:val="27"/>
          <w:rtl/>
          <w:lang w:bidi="ar-OM"/>
        </w:rPr>
        <w:t>وقع المرأة في محر</w:t>
      </w:r>
      <w:r w:rsidR="002B7B16">
        <w:rPr>
          <w:rFonts w:hint="cs"/>
          <w:sz w:val="27"/>
          <w:rtl/>
          <w:lang w:bidi="ar-OM"/>
        </w:rPr>
        <w:t>َّ</w:t>
      </w:r>
      <w:r w:rsidRPr="00904FCB">
        <w:rPr>
          <w:rFonts w:hint="cs"/>
          <w:sz w:val="27"/>
          <w:rtl/>
          <w:lang w:bidi="ar-OM"/>
        </w:rPr>
        <w:t>مات يمنعها ال</w:t>
      </w:r>
      <w:r w:rsidR="00A92C5C" w:rsidRPr="00904FCB">
        <w:rPr>
          <w:rFonts w:hint="cs"/>
          <w:sz w:val="27"/>
          <w:rtl/>
          <w:lang w:bidi="ar-OM"/>
        </w:rPr>
        <w:t>إ</w:t>
      </w:r>
      <w:r w:rsidRPr="00904FCB">
        <w:rPr>
          <w:rFonts w:hint="cs"/>
          <w:sz w:val="27"/>
          <w:rtl/>
          <w:lang w:bidi="ar-OM"/>
        </w:rPr>
        <w:t>سلام منها. فهو يرى حرمة العمل النيابي عليها</w:t>
      </w:r>
      <w:r w:rsidR="00A92C5C" w:rsidRPr="00904FCB">
        <w:rPr>
          <w:rFonts w:hint="cs"/>
          <w:sz w:val="27"/>
          <w:rtl/>
          <w:lang w:bidi="ar-OM"/>
        </w:rPr>
        <w:t>؛</w:t>
      </w:r>
      <w:r w:rsidRPr="00904FCB">
        <w:rPr>
          <w:rFonts w:hint="cs"/>
          <w:sz w:val="27"/>
          <w:rtl/>
          <w:lang w:bidi="ar-OM"/>
        </w:rPr>
        <w:t xml:space="preserve"> لما يستلزمه من محر</w:t>
      </w:r>
      <w:r w:rsidR="00A92C5C" w:rsidRPr="00904FCB">
        <w:rPr>
          <w:rFonts w:hint="cs"/>
          <w:sz w:val="27"/>
          <w:rtl/>
          <w:lang w:bidi="ar-OM"/>
        </w:rPr>
        <w:t>ّ</w:t>
      </w:r>
      <w:r w:rsidR="002B7B16">
        <w:rPr>
          <w:rFonts w:hint="cs"/>
          <w:sz w:val="27"/>
          <w:rtl/>
          <w:lang w:bidi="ar-OM"/>
        </w:rPr>
        <w:t>َ</w:t>
      </w:r>
      <w:r w:rsidRPr="00904FCB">
        <w:rPr>
          <w:rFonts w:hint="cs"/>
          <w:sz w:val="27"/>
          <w:rtl/>
          <w:lang w:bidi="ar-OM"/>
        </w:rPr>
        <w:t xml:space="preserve">مات </w:t>
      </w:r>
      <w:r w:rsidRPr="00904FCB">
        <w:rPr>
          <w:sz w:val="27"/>
          <w:rtl/>
          <w:lang w:bidi="ar-OM"/>
        </w:rPr>
        <w:t>ـ</w:t>
      </w:r>
      <w:r w:rsidRPr="00904FCB">
        <w:rPr>
          <w:rFonts w:hint="cs"/>
          <w:sz w:val="27"/>
          <w:rtl/>
          <w:lang w:bidi="ar-OM"/>
        </w:rPr>
        <w:t xml:space="preserve"> ح</w:t>
      </w:r>
      <w:r w:rsidR="00A92C5C" w:rsidRPr="00904FCB">
        <w:rPr>
          <w:rFonts w:hint="cs"/>
          <w:sz w:val="27"/>
          <w:rtl/>
          <w:lang w:bidi="ar-OM"/>
        </w:rPr>
        <w:t>َ</w:t>
      </w:r>
      <w:r w:rsidRPr="00904FCB">
        <w:rPr>
          <w:rFonts w:hint="cs"/>
          <w:sz w:val="27"/>
          <w:rtl/>
          <w:lang w:bidi="ar-OM"/>
        </w:rPr>
        <w:t>س</w:t>
      </w:r>
      <w:r w:rsidR="00A92C5C" w:rsidRPr="00904FCB">
        <w:rPr>
          <w:rFonts w:hint="cs"/>
          <w:sz w:val="27"/>
          <w:rtl/>
          <w:lang w:bidi="ar-OM"/>
        </w:rPr>
        <w:t>ْ</w:t>
      </w:r>
      <w:r w:rsidRPr="00904FCB">
        <w:rPr>
          <w:rFonts w:hint="cs"/>
          <w:sz w:val="27"/>
          <w:rtl/>
          <w:lang w:bidi="ar-OM"/>
        </w:rPr>
        <w:t xml:space="preserve">ب رأيه </w:t>
      </w:r>
      <w:r w:rsidRPr="00904FCB">
        <w:rPr>
          <w:sz w:val="27"/>
          <w:rtl/>
          <w:lang w:bidi="ar-OM"/>
        </w:rPr>
        <w:t>ـ</w:t>
      </w:r>
      <w:r w:rsidR="00A92C5C" w:rsidRPr="00904FCB">
        <w:rPr>
          <w:rFonts w:hint="cs"/>
          <w:sz w:val="27"/>
          <w:rtl/>
          <w:lang w:bidi="ar-OM"/>
        </w:rPr>
        <w:t>،</w:t>
      </w:r>
      <w:r w:rsidRPr="00904FCB">
        <w:rPr>
          <w:rFonts w:hint="cs"/>
          <w:sz w:val="27"/>
          <w:rtl/>
          <w:lang w:bidi="ar-OM"/>
        </w:rPr>
        <w:t xml:space="preserve"> وسد</w:t>
      </w:r>
      <w:r w:rsidR="00A92C5C" w:rsidRPr="00904FCB">
        <w:rPr>
          <w:rFonts w:hint="cs"/>
          <w:sz w:val="27"/>
          <w:rtl/>
          <w:lang w:bidi="ar-OM"/>
        </w:rPr>
        <w:t>ّ</w:t>
      </w:r>
      <w:r w:rsidRPr="00904FCB">
        <w:rPr>
          <w:rFonts w:hint="cs"/>
          <w:sz w:val="27"/>
          <w:rtl/>
          <w:lang w:bidi="ar-OM"/>
        </w:rPr>
        <w:t>ا</w:t>
      </w:r>
      <w:r w:rsidR="00A92C5C" w:rsidRPr="00904FCB">
        <w:rPr>
          <w:rFonts w:hint="cs"/>
          <w:sz w:val="27"/>
          <w:rtl/>
          <w:lang w:bidi="ar-OM"/>
        </w:rPr>
        <w:t>ً</w:t>
      </w:r>
      <w:r w:rsidRPr="00904FCB">
        <w:rPr>
          <w:rFonts w:hint="cs"/>
          <w:sz w:val="27"/>
          <w:rtl/>
          <w:lang w:bidi="ar-OM"/>
        </w:rPr>
        <w:t xml:space="preserve"> لذريعة الوقوع في المحر</w:t>
      </w:r>
      <w:r w:rsidR="00A92C5C" w:rsidRPr="00904FCB">
        <w:rPr>
          <w:rFonts w:hint="cs"/>
          <w:sz w:val="27"/>
          <w:rtl/>
          <w:lang w:bidi="ar-OM"/>
        </w:rPr>
        <w:t>َّ</w:t>
      </w:r>
      <w:r w:rsidRPr="00904FCB">
        <w:rPr>
          <w:rFonts w:hint="cs"/>
          <w:sz w:val="27"/>
          <w:rtl/>
          <w:lang w:bidi="ar-OM"/>
        </w:rPr>
        <w:t xml:space="preserve">مات. </w:t>
      </w:r>
    </w:p>
    <w:p w:rsidR="00A92C5C" w:rsidRPr="00904FCB" w:rsidRDefault="00644408" w:rsidP="007A21AA">
      <w:pPr>
        <w:spacing w:line="400" w:lineRule="exact"/>
        <w:rPr>
          <w:sz w:val="27"/>
          <w:rtl/>
          <w:lang w:bidi="ar-OM"/>
        </w:rPr>
      </w:pPr>
      <w:r w:rsidRPr="00904FCB">
        <w:rPr>
          <w:rFonts w:hint="cs"/>
          <w:sz w:val="27"/>
          <w:rtl/>
          <w:lang w:bidi="ar-OM"/>
        </w:rPr>
        <w:t>بل ذهب الأستاذ المودودي الى أبعد من ذلك</w:t>
      </w:r>
      <w:r w:rsidR="00A92C5C" w:rsidRPr="00904FCB">
        <w:rPr>
          <w:rFonts w:hint="cs"/>
          <w:sz w:val="27"/>
          <w:rtl/>
          <w:lang w:bidi="ar-OM"/>
        </w:rPr>
        <w:t>،</w:t>
      </w:r>
      <w:r w:rsidRPr="00904FCB">
        <w:rPr>
          <w:rFonts w:hint="cs"/>
          <w:sz w:val="27"/>
          <w:rtl/>
          <w:lang w:bidi="ar-OM"/>
        </w:rPr>
        <w:t xml:space="preserve"> فرأى </w:t>
      </w:r>
      <w:r w:rsidR="00A92C5C" w:rsidRPr="00904FCB">
        <w:rPr>
          <w:rFonts w:hint="cs"/>
          <w:sz w:val="27"/>
          <w:rtl/>
          <w:lang w:bidi="ar-OM"/>
        </w:rPr>
        <w:t>أ</w:t>
      </w:r>
      <w:r w:rsidRPr="00904FCB">
        <w:rPr>
          <w:rFonts w:hint="cs"/>
          <w:sz w:val="27"/>
          <w:rtl/>
          <w:lang w:bidi="ar-OM"/>
        </w:rPr>
        <w:t>ن المناصب الرئيسة في الدولة، رئاسة أو وزارة أو عضوية مجلس الشورى أو إدارة مختلف مصالح الحكومة</w:t>
      </w:r>
      <w:r w:rsidR="00A92C5C" w:rsidRPr="00904FCB">
        <w:rPr>
          <w:rFonts w:hint="cs"/>
          <w:sz w:val="27"/>
          <w:rtl/>
          <w:lang w:bidi="ar-OM"/>
        </w:rPr>
        <w:t>،</w:t>
      </w:r>
      <w:r w:rsidRPr="00904FCB">
        <w:rPr>
          <w:rFonts w:hint="cs"/>
          <w:sz w:val="27"/>
          <w:rtl/>
          <w:lang w:bidi="ar-OM"/>
        </w:rPr>
        <w:t xml:space="preserve"> لا تفو</w:t>
      </w:r>
      <w:r w:rsidR="00A92C5C" w:rsidRPr="00904FCB">
        <w:rPr>
          <w:rFonts w:hint="cs"/>
          <w:sz w:val="27"/>
          <w:rtl/>
          <w:lang w:bidi="ar-OM"/>
        </w:rPr>
        <w:t>َّ</w:t>
      </w:r>
      <w:r w:rsidRPr="00904FCB">
        <w:rPr>
          <w:rFonts w:hint="cs"/>
          <w:sz w:val="27"/>
          <w:rtl/>
          <w:lang w:bidi="ar-OM"/>
        </w:rPr>
        <w:t xml:space="preserve">ض إلى النساء. ويخالف التكييف الفقهي </w:t>
      </w:r>
      <w:r w:rsidR="00A92C5C" w:rsidRPr="00904FCB">
        <w:rPr>
          <w:rFonts w:hint="cs"/>
          <w:sz w:val="27"/>
          <w:rtl/>
          <w:lang w:bidi="ar-OM"/>
        </w:rPr>
        <w:t>المتقدِّم</w:t>
      </w:r>
      <w:r w:rsidRPr="00904FCB">
        <w:rPr>
          <w:rFonts w:hint="cs"/>
          <w:sz w:val="27"/>
          <w:rtl/>
          <w:lang w:bidi="ar-OM"/>
        </w:rPr>
        <w:t>، مؤك</w:t>
      </w:r>
      <w:r w:rsidR="00A92C5C" w:rsidRPr="00904FCB">
        <w:rPr>
          <w:rFonts w:hint="cs"/>
          <w:sz w:val="27"/>
          <w:rtl/>
          <w:lang w:bidi="ar-OM"/>
        </w:rPr>
        <w:t>ِّ</w:t>
      </w:r>
      <w:r w:rsidRPr="00904FCB">
        <w:rPr>
          <w:rFonts w:hint="cs"/>
          <w:sz w:val="27"/>
          <w:rtl/>
          <w:lang w:bidi="ar-OM"/>
        </w:rPr>
        <w:t>دا</w:t>
      </w:r>
      <w:r w:rsidR="00A92C5C" w:rsidRPr="00904FCB">
        <w:rPr>
          <w:rFonts w:hint="cs"/>
          <w:sz w:val="27"/>
          <w:rtl/>
          <w:lang w:bidi="ar-OM"/>
        </w:rPr>
        <w:t>ً</w:t>
      </w:r>
      <w:r w:rsidRPr="00904FCB">
        <w:rPr>
          <w:rFonts w:hint="cs"/>
          <w:sz w:val="27"/>
          <w:rtl/>
          <w:lang w:bidi="ar-OM"/>
        </w:rPr>
        <w:t xml:space="preserve"> </w:t>
      </w:r>
      <w:r w:rsidR="00A92C5C" w:rsidRPr="00904FCB">
        <w:rPr>
          <w:rFonts w:hint="cs"/>
          <w:sz w:val="27"/>
          <w:rtl/>
          <w:lang w:bidi="ar-OM"/>
        </w:rPr>
        <w:t>أ</w:t>
      </w:r>
      <w:r w:rsidRPr="00904FCB">
        <w:rPr>
          <w:rFonts w:hint="cs"/>
          <w:sz w:val="27"/>
          <w:rtl/>
          <w:lang w:bidi="ar-OM"/>
        </w:rPr>
        <w:t>ن دور المجالس التشريعية لا يقتصر على التشريع وسن</w:t>
      </w:r>
      <w:r w:rsidR="00A92C5C" w:rsidRPr="00904FCB">
        <w:rPr>
          <w:rFonts w:hint="cs"/>
          <w:sz w:val="27"/>
          <w:rtl/>
          <w:lang w:bidi="ar-OM"/>
        </w:rPr>
        <w:t xml:space="preserve">ّ </w:t>
      </w:r>
      <w:r w:rsidRPr="00904FCB">
        <w:rPr>
          <w:rFonts w:hint="cs"/>
          <w:sz w:val="27"/>
          <w:rtl/>
          <w:lang w:bidi="ar-OM"/>
        </w:rPr>
        <w:t>القوانين حت</w:t>
      </w:r>
      <w:r w:rsidR="00A92C5C" w:rsidRPr="00904FCB">
        <w:rPr>
          <w:rFonts w:hint="cs"/>
          <w:sz w:val="27"/>
          <w:rtl/>
          <w:lang w:bidi="ar-OM"/>
        </w:rPr>
        <w:t>ّ</w:t>
      </w:r>
      <w:r w:rsidRPr="00904FCB">
        <w:rPr>
          <w:rFonts w:hint="cs"/>
          <w:sz w:val="27"/>
          <w:rtl/>
          <w:lang w:bidi="ar-OM"/>
        </w:rPr>
        <w:t>ى ي</w:t>
      </w:r>
      <w:r w:rsidR="00A92C5C" w:rsidRPr="00904FCB">
        <w:rPr>
          <w:rFonts w:hint="cs"/>
          <w:sz w:val="27"/>
          <w:rtl/>
          <w:lang w:bidi="ar-OM"/>
        </w:rPr>
        <w:t>ُ</w:t>
      </w:r>
      <w:r w:rsidRPr="00904FCB">
        <w:rPr>
          <w:rFonts w:hint="cs"/>
          <w:sz w:val="27"/>
          <w:rtl/>
          <w:lang w:bidi="ar-OM"/>
        </w:rPr>
        <w:t>قال بأن بعض الصحابي</w:t>
      </w:r>
      <w:r w:rsidR="00A92C5C" w:rsidRPr="00904FCB">
        <w:rPr>
          <w:rFonts w:hint="cs"/>
          <w:sz w:val="27"/>
          <w:rtl/>
          <w:lang w:bidi="ar-OM"/>
        </w:rPr>
        <w:t>ّ</w:t>
      </w:r>
      <w:r w:rsidRPr="00904FCB">
        <w:rPr>
          <w:rFonts w:hint="cs"/>
          <w:sz w:val="27"/>
          <w:rtl/>
          <w:lang w:bidi="ar-OM"/>
        </w:rPr>
        <w:t>ات كن</w:t>
      </w:r>
      <w:r w:rsidR="00A92C5C" w:rsidRPr="00904FCB">
        <w:rPr>
          <w:rFonts w:hint="cs"/>
          <w:sz w:val="27"/>
          <w:rtl/>
          <w:lang w:bidi="ar-OM"/>
        </w:rPr>
        <w:t>َّ</w:t>
      </w:r>
      <w:r w:rsidRPr="00904FCB">
        <w:rPr>
          <w:rFonts w:hint="cs"/>
          <w:sz w:val="27"/>
          <w:rtl/>
          <w:lang w:bidi="ar-OM"/>
        </w:rPr>
        <w:t xml:space="preserve"> يمارسن الفتوى</w:t>
      </w:r>
      <w:r w:rsidR="00A92C5C" w:rsidRPr="00904FCB">
        <w:rPr>
          <w:rFonts w:hint="cs"/>
          <w:sz w:val="27"/>
          <w:rtl/>
          <w:lang w:bidi="ar-OM"/>
        </w:rPr>
        <w:t>،</w:t>
      </w:r>
      <w:r w:rsidRPr="00904FCB">
        <w:rPr>
          <w:rFonts w:hint="cs"/>
          <w:sz w:val="27"/>
          <w:rtl/>
          <w:lang w:bidi="ar-OM"/>
        </w:rPr>
        <w:t xml:space="preserve"> ويتكل</w:t>
      </w:r>
      <w:r w:rsidR="00A92C5C" w:rsidRPr="00904FCB">
        <w:rPr>
          <w:rFonts w:hint="cs"/>
          <w:sz w:val="27"/>
          <w:rtl/>
          <w:lang w:bidi="ar-OM"/>
        </w:rPr>
        <w:t>َّ</w:t>
      </w:r>
      <w:r w:rsidRPr="00904FCB">
        <w:rPr>
          <w:rFonts w:hint="cs"/>
          <w:sz w:val="27"/>
          <w:rtl/>
          <w:lang w:bidi="ar-OM"/>
        </w:rPr>
        <w:t>م</w:t>
      </w:r>
      <w:r w:rsidR="00A92C5C" w:rsidRPr="00904FCB">
        <w:rPr>
          <w:rFonts w:hint="cs"/>
          <w:sz w:val="27"/>
          <w:rtl/>
          <w:lang w:bidi="ar-OM"/>
        </w:rPr>
        <w:t>ْ</w:t>
      </w:r>
      <w:r w:rsidRPr="00904FCB">
        <w:rPr>
          <w:rFonts w:hint="cs"/>
          <w:sz w:val="27"/>
          <w:rtl/>
          <w:lang w:bidi="ar-OM"/>
        </w:rPr>
        <w:t>ن</w:t>
      </w:r>
      <w:r w:rsidR="00A92C5C" w:rsidRPr="00904FCB">
        <w:rPr>
          <w:rFonts w:hint="cs"/>
          <w:sz w:val="27"/>
          <w:rtl/>
          <w:lang w:bidi="ar-OM"/>
        </w:rPr>
        <w:t>َ</w:t>
      </w:r>
      <w:r w:rsidRPr="00904FCB">
        <w:rPr>
          <w:rFonts w:hint="cs"/>
          <w:sz w:val="27"/>
          <w:rtl/>
          <w:lang w:bidi="ar-OM"/>
        </w:rPr>
        <w:t xml:space="preserve"> في مسائل القانون</w:t>
      </w:r>
      <w:r w:rsidR="00A92C5C" w:rsidRPr="00904FCB">
        <w:rPr>
          <w:rFonts w:hint="cs"/>
          <w:sz w:val="27"/>
          <w:rtl/>
          <w:lang w:bidi="ar-OM"/>
        </w:rPr>
        <w:t>،</w:t>
      </w:r>
      <w:r w:rsidRPr="00904FCB">
        <w:rPr>
          <w:rFonts w:hint="cs"/>
          <w:sz w:val="27"/>
          <w:rtl/>
          <w:lang w:bidi="ar-OM"/>
        </w:rPr>
        <w:t xml:space="preserve"> وكان الخلفاء يستشيرونهن</w:t>
      </w:r>
      <w:r w:rsidR="00A92C5C" w:rsidRPr="00904FCB">
        <w:rPr>
          <w:rFonts w:hint="cs"/>
          <w:sz w:val="27"/>
          <w:rtl/>
          <w:lang w:bidi="ar-OM"/>
        </w:rPr>
        <w:t>ّ</w:t>
      </w:r>
      <w:r w:rsidRPr="00904FCB">
        <w:rPr>
          <w:rFonts w:hint="cs"/>
          <w:sz w:val="27"/>
          <w:rtl/>
          <w:lang w:bidi="ar-OM"/>
        </w:rPr>
        <w:t xml:space="preserve">. بل </w:t>
      </w:r>
      <w:r w:rsidR="00A92C5C" w:rsidRPr="00904FCB">
        <w:rPr>
          <w:rFonts w:hint="cs"/>
          <w:sz w:val="27"/>
          <w:rtl/>
          <w:lang w:bidi="ar-OM"/>
        </w:rPr>
        <w:t>إ</w:t>
      </w:r>
      <w:r w:rsidRPr="00904FCB">
        <w:rPr>
          <w:rFonts w:hint="cs"/>
          <w:sz w:val="27"/>
          <w:rtl/>
          <w:lang w:bidi="ar-OM"/>
        </w:rPr>
        <w:t>ن هذه المجالس تسي</w:t>
      </w:r>
      <w:r w:rsidR="00A92C5C" w:rsidRPr="00904FCB">
        <w:rPr>
          <w:rFonts w:hint="cs"/>
          <w:sz w:val="27"/>
          <w:rtl/>
          <w:lang w:bidi="ar-OM"/>
        </w:rPr>
        <w:t>ِّ</w:t>
      </w:r>
      <w:r w:rsidRPr="00904FCB">
        <w:rPr>
          <w:rFonts w:hint="cs"/>
          <w:sz w:val="27"/>
          <w:rtl/>
          <w:lang w:bidi="ar-OM"/>
        </w:rPr>
        <w:t>ر بالفعل دف</w:t>
      </w:r>
      <w:r w:rsidR="00A92C5C" w:rsidRPr="00904FCB">
        <w:rPr>
          <w:rFonts w:hint="cs"/>
          <w:sz w:val="27"/>
          <w:rtl/>
          <w:lang w:bidi="ar-OM"/>
        </w:rPr>
        <w:t>ّ</w:t>
      </w:r>
      <w:r w:rsidRPr="00904FCB">
        <w:rPr>
          <w:rFonts w:hint="cs"/>
          <w:sz w:val="27"/>
          <w:rtl/>
          <w:lang w:bidi="ar-OM"/>
        </w:rPr>
        <w:t>ة السياسة في الدولة</w:t>
      </w:r>
      <w:r w:rsidR="00A92C5C" w:rsidRPr="00904FCB">
        <w:rPr>
          <w:rFonts w:hint="cs"/>
          <w:sz w:val="27"/>
          <w:rtl/>
          <w:lang w:bidi="ar-OM"/>
        </w:rPr>
        <w:t>،</w:t>
      </w:r>
      <w:r w:rsidRPr="00904FCB">
        <w:rPr>
          <w:rFonts w:hint="cs"/>
          <w:sz w:val="27"/>
          <w:rtl/>
          <w:lang w:bidi="ar-OM"/>
        </w:rPr>
        <w:t xml:space="preserve"> فهي التي تؤل</w:t>
      </w:r>
      <w:r w:rsidR="00A92C5C" w:rsidRPr="00904FCB">
        <w:rPr>
          <w:rFonts w:hint="cs"/>
          <w:sz w:val="27"/>
          <w:rtl/>
          <w:lang w:bidi="ar-OM"/>
        </w:rPr>
        <w:t>ِّ</w:t>
      </w:r>
      <w:r w:rsidRPr="00904FCB">
        <w:rPr>
          <w:rFonts w:hint="cs"/>
          <w:sz w:val="27"/>
          <w:rtl/>
          <w:lang w:bidi="ar-OM"/>
        </w:rPr>
        <w:t>ف الوزارات وتحل</w:t>
      </w:r>
      <w:r w:rsidR="00A92C5C" w:rsidRPr="00904FCB">
        <w:rPr>
          <w:rFonts w:hint="cs"/>
          <w:sz w:val="27"/>
          <w:rtl/>
          <w:lang w:bidi="ar-OM"/>
        </w:rPr>
        <w:t>ّ</w:t>
      </w:r>
      <w:r w:rsidRPr="00904FCB">
        <w:rPr>
          <w:rFonts w:hint="cs"/>
          <w:sz w:val="27"/>
          <w:rtl/>
          <w:lang w:bidi="ar-OM"/>
        </w:rPr>
        <w:t>ها</w:t>
      </w:r>
      <w:r w:rsidR="00A92C5C" w:rsidRPr="00904FCB">
        <w:rPr>
          <w:rFonts w:hint="cs"/>
          <w:sz w:val="27"/>
          <w:rtl/>
          <w:lang w:bidi="ar-OM"/>
        </w:rPr>
        <w:t>،</w:t>
      </w:r>
      <w:r w:rsidRPr="00904FCB">
        <w:rPr>
          <w:rFonts w:hint="cs"/>
          <w:sz w:val="27"/>
          <w:rtl/>
          <w:lang w:bidi="ar-OM"/>
        </w:rPr>
        <w:t xml:space="preserve"> وتضع خطة الإدارة</w:t>
      </w:r>
      <w:r w:rsidR="00A92C5C" w:rsidRPr="00904FCB">
        <w:rPr>
          <w:rFonts w:hint="cs"/>
          <w:sz w:val="27"/>
          <w:rtl/>
          <w:lang w:bidi="ar-OM"/>
        </w:rPr>
        <w:t>،</w:t>
      </w:r>
      <w:r w:rsidRPr="00904FCB">
        <w:rPr>
          <w:rFonts w:hint="cs"/>
          <w:sz w:val="27"/>
          <w:rtl/>
          <w:lang w:bidi="ar-OM"/>
        </w:rPr>
        <w:t xml:space="preserve"> وهي التي تقضي في أمور المال والاقتصاد</w:t>
      </w:r>
      <w:r w:rsidR="00A92C5C" w:rsidRPr="00904FCB">
        <w:rPr>
          <w:rFonts w:hint="cs"/>
          <w:sz w:val="27"/>
          <w:rtl/>
          <w:lang w:bidi="ar-OM"/>
        </w:rPr>
        <w:t>،</w:t>
      </w:r>
      <w:r w:rsidRPr="00904FCB">
        <w:rPr>
          <w:rFonts w:hint="cs"/>
          <w:sz w:val="27"/>
          <w:rtl/>
          <w:lang w:bidi="ar-OM"/>
        </w:rPr>
        <w:t xml:space="preserve"> وبيدها تكون أزم</w:t>
      </w:r>
      <w:r w:rsidR="00A92C5C" w:rsidRPr="00904FCB">
        <w:rPr>
          <w:rFonts w:hint="cs"/>
          <w:sz w:val="27"/>
          <w:rtl/>
          <w:lang w:bidi="ar-OM"/>
        </w:rPr>
        <w:t>ّ</w:t>
      </w:r>
      <w:r w:rsidRPr="00904FCB">
        <w:rPr>
          <w:rFonts w:hint="cs"/>
          <w:sz w:val="27"/>
          <w:rtl/>
          <w:lang w:bidi="ar-OM"/>
        </w:rPr>
        <w:t>ة أمور الحرب والسلم</w:t>
      </w:r>
      <w:r w:rsidR="00A92C5C" w:rsidRPr="00904FCB">
        <w:rPr>
          <w:rFonts w:hint="cs"/>
          <w:sz w:val="27"/>
          <w:rtl/>
          <w:lang w:bidi="ar-OM"/>
        </w:rPr>
        <w:t>،</w:t>
      </w:r>
      <w:r w:rsidRPr="00904FCB">
        <w:rPr>
          <w:rFonts w:hint="cs"/>
          <w:sz w:val="27"/>
          <w:rtl/>
          <w:lang w:bidi="ar-OM"/>
        </w:rPr>
        <w:t xml:space="preserve"> وبذلك فهي لا تقوم مقام الفقيه والمفتي</w:t>
      </w:r>
      <w:r w:rsidR="00A92C5C" w:rsidRPr="00904FCB">
        <w:rPr>
          <w:rFonts w:hint="cs"/>
          <w:sz w:val="27"/>
          <w:rtl/>
          <w:lang w:bidi="ar-OM"/>
        </w:rPr>
        <w:t>،</w:t>
      </w:r>
      <w:r w:rsidRPr="00904FCB">
        <w:rPr>
          <w:rFonts w:hint="cs"/>
          <w:sz w:val="27"/>
          <w:rtl/>
          <w:lang w:bidi="ar-OM"/>
        </w:rPr>
        <w:t xml:space="preserve"> بل مقام </w:t>
      </w:r>
      <w:r w:rsidRPr="00904FCB">
        <w:rPr>
          <w:rFonts w:hint="eastAsia"/>
          <w:sz w:val="27"/>
          <w:rtl/>
          <w:lang w:bidi="ar-OM"/>
        </w:rPr>
        <w:t>«</w:t>
      </w:r>
      <w:r w:rsidRPr="00904FCB">
        <w:rPr>
          <w:rFonts w:hint="cs"/>
          <w:sz w:val="27"/>
          <w:rtl/>
          <w:lang w:bidi="ar-OM"/>
        </w:rPr>
        <w:t>القو</w:t>
      </w:r>
      <w:r w:rsidR="00A92C5C" w:rsidRPr="00904FCB">
        <w:rPr>
          <w:rFonts w:hint="cs"/>
          <w:sz w:val="27"/>
          <w:rtl/>
          <w:lang w:bidi="ar-OM"/>
        </w:rPr>
        <w:t>ّ</w:t>
      </w:r>
      <w:r w:rsidRPr="00904FCB">
        <w:rPr>
          <w:rFonts w:hint="cs"/>
          <w:sz w:val="27"/>
          <w:rtl/>
          <w:lang w:bidi="ar-OM"/>
        </w:rPr>
        <w:t>ام</w:t>
      </w:r>
      <w:r w:rsidRPr="00904FCB">
        <w:rPr>
          <w:rFonts w:hint="eastAsia"/>
          <w:sz w:val="27"/>
          <w:rtl/>
        </w:rPr>
        <w:t>»</w:t>
      </w:r>
      <w:r w:rsidRPr="00904FCB">
        <w:rPr>
          <w:rFonts w:hint="cs"/>
          <w:sz w:val="27"/>
          <w:rtl/>
          <w:lang w:bidi="ar-OM"/>
        </w:rPr>
        <w:t xml:space="preserve"> لجميع الدولة</w:t>
      </w:r>
      <w:r w:rsidRPr="00904FCB">
        <w:rPr>
          <w:rFonts w:hint="cs"/>
          <w:sz w:val="27"/>
          <w:vertAlign w:val="superscript"/>
          <w:rtl/>
        </w:rPr>
        <w:t>(</w:t>
      </w:r>
      <w:r w:rsidRPr="00904FCB">
        <w:rPr>
          <w:rStyle w:val="ac"/>
          <w:sz w:val="27"/>
          <w:rtl/>
        </w:rPr>
        <w:endnoteReference w:id="193"/>
      </w:r>
      <w:r w:rsidRPr="00904FCB">
        <w:rPr>
          <w:rFonts w:hint="cs"/>
          <w:sz w:val="27"/>
          <w:vertAlign w:val="superscript"/>
          <w:rtl/>
        </w:rPr>
        <w:t>)</w:t>
      </w:r>
      <w:r w:rsidRPr="00904FCB">
        <w:rPr>
          <w:rFonts w:hint="cs"/>
          <w:sz w:val="27"/>
          <w:rtl/>
        </w:rPr>
        <w:t>.</w:t>
      </w:r>
    </w:p>
    <w:p w:rsidR="00644408" w:rsidRPr="00904FCB" w:rsidRDefault="00644408" w:rsidP="007A21AA">
      <w:pPr>
        <w:spacing w:line="400" w:lineRule="exact"/>
        <w:rPr>
          <w:sz w:val="27"/>
          <w:rtl/>
          <w:lang w:bidi="ar-OM"/>
        </w:rPr>
      </w:pPr>
      <w:r w:rsidRPr="00904FCB">
        <w:rPr>
          <w:rFonts w:hint="cs"/>
          <w:sz w:val="27"/>
          <w:rtl/>
          <w:lang w:bidi="ar-OM"/>
        </w:rPr>
        <w:t>ويرد</w:t>
      </w:r>
      <w:r w:rsidR="00A92C5C" w:rsidRPr="00904FCB">
        <w:rPr>
          <w:rFonts w:hint="cs"/>
          <w:sz w:val="27"/>
          <w:rtl/>
          <w:lang w:bidi="ar-OM"/>
        </w:rPr>
        <w:t>ّ</w:t>
      </w:r>
      <w:r w:rsidRPr="00904FCB">
        <w:rPr>
          <w:rFonts w:hint="cs"/>
          <w:sz w:val="27"/>
          <w:rtl/>
          <w:lang w:bidi="ar-OM"/>
        </w:rPr>
        <w:t xml:space="preserve"> على هذا الفريق بأنه مع الأخذ في الاعتبار التفاوت بين الأنظمة الرئاسية والبرلمانية والمختلطة، فإن المجلس التشريعي أو النيابي يمث</w:t>
      </w:r>
      <w:r w:rsidR="00A92C5C" w:rsidRPr="00904FCB">
        <w:rPr>
          <w:rFonts w:hint="cs"/>
          <w:sz w:val="27"/>
          <w:rtl/>
          <w:lang w:bidi="ar-OM"/>
        </w:rPr>
        <w:t>ّ</w:t>
      </w:r>
      <w:r w:rsidRPr="00904FCB">
        <w:rPr>
          <w:rFonts w:hint="cs"/>
          <w:sz w:val="27"/>
          <w:rtl/>
          <w:lang w:bidi="ar-OM"/>
        </w:rPr>
        <w:t>ل هذه السلطة ويزاولها على نحو مؤس</w:t>
      </w:r>
      <w:r w:rsidR="00A92C5C" w:rsidRPr="00904FCB">
        <w:rPr>
          <w:rFonts w:hint="cs"/>
          <w:sz w:val="27"/>
          <w:rtl/>
          <w:lang w:bidi="ar-OM"/>
        </w:rPr>
        <w:t>ّ</w:t>
      </w:r>
      <w:r w:rsidRPr="00904FCB">
        <w:rPr>
          <w:rFonts w:hint="cs"/>
          <w:sz w:val="27"/>
          <w:rtl/>
          <w:lang w:bidi="ar-OM"/>
        </w:rPr>
        <w:t>سي بمجموع أعضائه</w:t>
      </w:r>
      <w:r w:rsidR="00A92C5C" w:rsidRPr="00904FCB">
        <w:rPr>
          <w:rFonts w:hint="cs"/>
          <w:sz w:val="27"/>
          <w:rtl/>
          <w:lang w:bidi="ar-OM"/>
        </w:rPr>
        <w:t>،</w:t>
      </w:r>
      <w:r w:rsidRPr="00904FCB">
        <w:rPr>
          <w:rFonts w:hint="cs"/>
          <w:sz w:val="27"/>
          <w:rtl/>
          <w:lang w:bidi="ar-OM"/>
        </w:rPr>
        <w:t xml:space="preserve"> ولا يزاولها كل عضو فيه بشكل فردي</w:t>
      </w:r>
      <w:r w:rsidR="00A92C5C" w:rsidRPr="00904FCB">
        <w:rPr>
          <w:rFonts w:hint="cs"/>
          <w:sz w:val="27"/>
          <w:rtl/>
          <w:lang w:bidi="ar-OM"/>
        </w:rPr>
        <w:t>ّ</w:t>
      </w:r>
      <w:r w:rsidRPr="00904FCB">
        <w:rPr>
          <w:rFonts w:hint="cs"/>
          <w:sz w:val="27"/>
          <w:rtl/>
          <w:lang w:bidi="ar-OM"/>
        </w:rPr>
        <w:t xml:space="preserve"> مستقل</w:t>
      </w:r>
      <w:r w:rsidR="00A92C5C" w:rsidRPr="00904FCB">
        <w:rPr>
          <w:rFonts w:hint="cs"/>
          <w:sz w:val="27"/>
          <w:rtl/>
          <w:lang w:bidi="ar-OM"/>
        </w:rPr>
        <w:t>ّ</w:t>
      </w:r>
      <w:r w:rsidRPr="00904FCB">
        <w:rPr>
          <w:rFonts w:hint="cs"/>
          <w:sz w:val="27"/>
          <w:rtl/>
          <w:lang w:bidi="ar-OM"/>
        </w:rPr>
        <w:t>. ولا ينفي ذلك في الوقت نفسه أن لكل</w:t>
      </w:r>
      <w:r w:rsidR="00A92C5C" w:rsidRPr="00904FCB">
        <w:rPr>
          <w:rFonts w:hint="cs"/>
          <w:sz w:val="27"/>
          <w:rtl/>
          <w:lang w:bidi="ar-OM"/>
        </w:rPr>
        <w:t>ّ</w:t>
      </w:r>
      <w:r w:rsidRPr="00904FCB">
        <w:rPr>
          <w:rFonts w:hint="cs"/>
          <w:sz w:val="27"/>
          <w:rtl/>
          <w:lang w:bidi="ar-OM"/>
        </w:rPr>
        <w:t xml:space="preserve"> عضو</w:t>
      </w:r>
      <w:r w:rsidR="00A92C5C" w:rsidRPr="00904FCB">
        <w:rPr>
          <w:rFonts w:hint="cs"/>
          <w:sz w:val="27"/>
          <w:rtl/>
          <w:lang w:bidi="ar-OM"/>
        </w:rPr>
        <w:t>ٍ</w:t>
      </w:r>
      <w:r w:rsidRPr="00904FCB">
        <w:rPr>
          <w:rFonts w:hint="cs"/>
          <w:sz w:val="27"/>
          <w:rtl/>
          <w:lang w:bidi="ar-OM"/>
        </w:rPr>
        <w:t xml:space="preserve"> بمفرده دور</w:t>
      </w:r>
      <w:r w:rsidR="00A92C5C" w:rsidRPr="00904FCB">
        <w:rPr>
          <w:rFonts w:hint="cs"/>
          <w:sz w:val="27"/>
          <w:rtl/>
          <w:lang w:bidi="ar-OM"/>
        </w:rPr>
        <w:t>ٌ</w:t>
      </w:r>
      <w:r w:rsidRPr="00904FCB">
        <w:rPr>
          <w:rFonts w:hint="cs"/>
          <w:sz w:val="27"/>
          <w:rtl/>
          <w:lang w:bidi="ar-OM"/>
        </w:rPr>
        <w:t xml:space="preserve"> فاعل في المداولات</w:t>
      </w:r>
      <w:r w:rsidR="00A92C5C" w:rsidRPr="00904FCB">
        <w:rPr>
          <w:rFonts w:hint="cs"/>
          <w:sz w:val="27"/>
          <w:rtl/>
          <w:lang w:bidi="ar-OM"/>
        </w:rPr>
        <w:t>،</w:t>
      </w:r>
      <w:r w:rsidRPr="00904FCB">
        <w:rPr>
          <w:rFonts w:hint="cs"/>
          <w:sz w:val="27"/>
          <w:rtl/>
          <w:lang w:bidi="ar-OM"/>
        </w:rPr>
        <w:t xml:space="preserve"> وله رأي</w:t>
      </w:r>
      <w:r w:rsidR="00A92C5C" w:rsidRPr="00904FCB">
        <w:rPr>
          <w:rFonts w:hint="cs"/>
          <w:sz w:val="27"/>
          <w:rtl/>
          <w:lang w:bidi="ar-OM"/>
        </w:rPr>
        <w:t>ٌ</w:t>
      </w:r>
      <w:r w:rsidRPr="00904FCB">
        <w:rPr>
          <w:rFonts w:hint="cs"/>
          <w:sz w:val="27"/>
          <w:rtl/>
          <w:lang w:bidi="ar-OM"/>
        </w:rPr>
        <w:t xml:space="preserve"> مؤث</w:t>
      </w:r>
      <w:r w:rsidR="00A92C5C" w:rsidRPr="00904FCB">
        <w:rPr>
          <w:rFonts w:hint="cs"/>
          <w:sz w:val="27"/>
          <w:rtl/>
          <w:lang w:bidi="ar-OM"/>
        </w:rPr>
        <w:t>ِّ</w:t>
      </w:r>
      <w:r w:rsidRPr="00904FCB">
        <w:rPr>
          <w:rFonts w:hint="cs"/>
          <w:sz w:val="27"/>
          <w:rtl/>
          <w:lang w:bidi="ar-OM"/>
        </w:rPr>
        <w:t>ر في سن</w:t>
      </w:r>
      <w:r w:rsidR="00A92C5C" w:rsidRPr="00904FCB">
        <w:rPr>
          <w:rFonts w:hint="cs"/>
          <w:sz w:val="27"/>
          <w:rtl/>
          <w:lang w:bidi="ar-OM"/>
        </w:rPr>
        <w:t>ّ</w:t>
      </w:r>
      <w:r w:rsidRPr="00904FCB">
        <w:rPr>
          <w:rFonts w:hint="cs"/>
          <w:sz w:val="27"/>
          <w:rtl/>
          <w:lang w:bidi="ar-OM"/>
        </w:rPr>
        <w:t xml:space="preserve"> القوانين أو اعتمادها</w:t>
      </w:r>
      <w:r w:rsidR="00A92C5C" w:rsidRPr="00904FCB">
        <w:rPr>
          <w:rFonts w:hint="cs"/>
          <w:sz w:val="27"/>
          <w:rtl/>
          <w:lang w:bidi="ar-OM"/>
        </w:rPr>
        <w:t>،</w:t>
      </w:r>
      <w:r w:rsidRPr="00904FCB">
        <w:rPr>
          <w:rFonts w:hint="cs"/>
          <w:sz w:val="27"/>
          <w:rtl/>
          <w:lang w:bidi="ar-OM"/>
        </w:rPr>
        <w:t xml:space="preserve"> وله صوت في إقرار الموازنات العامة والخطط الحكومية</w:t>
      </w:r>
      <w:r w:rsidR="00A92C5C" w:rsidRPr="00904FCB">
        <w:rPr>
          <w:rFonts w:hint="cs"/>
          <w:sz w:val="27"/>
          <w:rtl/>
          <w:lang w:bidi="ar-OM"/>
        </w:rPr>
        <w:t>،</w:t>
      </w:r>
      <w:r w:rsidRPr="00904FCB">
        <w:rPr>
          <w:rFonts w:hint="cs"/>
          <w:sz w:val="27"/>
          <w:rtl/>
          <w:lang w:bidi="ar-OM"/>
        </w:rPr>
        <w:t xml:space="preserve"> وموقف في منح الثقة أو حجبها عن الحكومات أو الوزراء. ولكن</w:t>
      </w:r>
      <w:r w:rsidR="00A92C5C" w:rsidRPr="00904FCB">
        <w:rPr>
          <w:rFonts w:hint="cs"/>
          <w:sz w:val="27"/>
          <w:rtl/>
          <w:lang w:bidi="ar-OM"/>
        </w:rPr>
        <w:t>ْ</w:t>
      </w:r>
      <w:r w:rsidRPr="00904FCB">
        <w:rPr>
          <w:rFonts w:hint="cs"/>
          <w:sz w:val="27"/>
          <w:rtl/>
          <w:lang w:bidi="ar-OM"/>
        </w:rPr>
        <w:t xml:space="preserve"> ليس بوسع النائب بمفرده أن يفعل شيئا</w:t>
      </w:r>
      <w:r w:rsidR="00A92C5C" w:rsidRPr="00904FCB">
        <w:rPr>
          <w:rFonts w:hint="cs"/>
          <w:sz w:val="27"/>
          <w:rtl/>
          <w:lang w:bidi="ar-OM"/>
        </w:rPr>
        <w:t>ً</w:t>
      </w:r>
      <w:r w:rsidRPr="00904FCB">
        <w:rPr>
          <w:rFonts w:hint="cs"/>
          <w:sz w:val="27"/>
          <w:rtl/>
          <w:lang w:bidi="ar-OM"/>
        </w:rPr>
        <w:t xml:space="preserve"> ذا أهم</w:t>
      </w:r>
      <w:r w:rsidR="00A92C5C" w:rsidRPr="00904FCB">
        <w:rPr>
          <w:rFonts w:hint="cs"/>
          <w:sz w:val="27"/>
          <w:rtl/>
          <w:lang w:bidi="ar-OM"/>
        </w:rPr>
        <w:t>ّ</w:t>
      </w:r>
      <w:r w:rsidRPr="00904FCB">
        <w:rPr>
          <w:rFonts w:hint="cs"/>
          <w:sz w:val="27"/>
          <w:rtl/>
          <w:lang w:bidi="ar-OM"/>
        </w:rPr>
        <w:t xml:space="preserve">ية في هذا المجال، على عكس الشخص </w:t>
      </w:r>
      <w:r w:rsidRPr="00904FCB">
        <w:rPr>
          <w:rFonts w:hint="cs"/>
          <w:sz w:val="27"/>
          <w:rtl/>
          <w:lang w:bidi="ar-OM"/>
        </w:rPr>
        <w:lastRenderedPageBreak/>
        <w:t xml:space="preserve">الذي يزاول السلطة منفرداً. </w:t>
      </w:r>
    </w:p>
    <w:p w:rsidR="00644408" w:rsidRPr="00904FCB" w:rsidRDefault="00644408" w:rsidP="007A21AA">
      <w:pPr>
        <w:spacing w:line="400" w:lineRule="exact"/>
        <w:rPr>
          <w:sz w:val="27"/>
          <w:rtl/>
          <w:lang w:bidi="ar-OM"/>
        </w:rPr>
      </w:pPr>
      <w:r w:rsidRPr="00904FCB">
        <w:rPr>
          <w:rFonts w:hint="cs"/>
          <w:sz w:val="27"/>
          <w:rtl/>
          <w:lang w:bidi="ar-OM"/>
        </w:rPr>
        <w:t xml:space="preserve"> و</w:t>
      </w:r>
      <w:r w:rsidR="00A92C5C" w:rsidRPr="00904FCB">
        <w:rPr>
          <w:rFonts w:hint="cs"/>
          <w:sz w:val="27"/>
          <w:rtl/>
          <w:lang w:bidi="ar-OM"/>
        </w:rPr>
        <w:t>كيف</w:t>
      </w:r>
      <w:r w:rsidRPr="00904FCB">
        <w:rPr>
          <w:rFonts w:hint="cs"/>
          <w:sz w:val="27"/>
          <w:rtl/>
          <w:lang w:bidi="ar-OM"/>
        </w:rPr>
        <w:t>ما كان فإن هذا الات</w:t>
      </w:r>
      <w:r w:rsidR="00A92C5C" w:rsidRPr="00904FCB">
        <w:rPr>
          <w:rFonts w:hint="cs"/>
          <w:sz w:val="27"/>
          <w:rtl/>
          <w:lang w:bidi="ar-OM"/>
        </w:rPr>
        <w:t>ّ</w:t>
      </w:r>
      <w:r w:rsidRPr="00904FCB">
        <w:rPr>
          <w:rFonts w:hint="cs"/>
          <w:sz w:val="27"/>
          <w:rtl/>
          <w:lang w:bidi="ar-OM"/>
        </w:rPr>
        <w:t>جاه يكي</w:t>
      </w:r>
      <w:r w:rsidR="00A92C5C" w:rsidRPr="00904FCB">
        <w:rPr>
          <w:rFonts w:hint="cs"/>
          <w:sz w:val="27"/>
          <w:rtl/>
          <w:lang w:bidi="ar-OM"/>
        </w:rPr>
        <w:t>ّ</w:t>
      </w:r>
      <w:r w:rsidRPr="00904FCB">
        <w:rPr>
          <w:rFonts w:hint="cs"/>
          <w:sz w:val="27"/>
          <w:rtl/>
          <w:lang w:bidi="ar-OM"/>
        </w:rPr>
        <w:t xml:space="preserve">ف دور المجالس النيابية على </w:t>
      </w:r>
      <w:r w:rsidR="00A92C5C" w:rsidRPr="00904FCB">
        <w:rPr>
          <w:rFonts w:hint="cs"/>
          <w:sz w:val="27"/>
          <w:rtl/>
          <w:lang w:bidi="ar-OM"/>
        </w:rPr>
        <w:t>أ</w:t>
      </w:r>
      <w:r w:rsidRPr="00904FCB">
        <w:rPr>
          <w:rFonts w:hint="cs"/>
          <w:sz w:val="27"/>
          <w:rtl/>
          <w:lang w:bidi="ar-OM"/>
        </w:rPr>
        <w:t>نه يدخل في صميم مزاولة السلطة والولاية وإدارة دف</w:t>
      </w:r>
      <w:r w:rsidR="00A92C5C" w:rsidRPr="00904FCB">
        <w:rPr>
          <w:rFonts w:hint="cs"/>
          <w:sz w:val="27"/>
          <w:rtl/>
          <w:lang w:bidi="ar-OM"/>
        </w:rPr>
        <w:t>ّ</w:t>
      </w:r>
      <w:r w:rsidRPr="00904FCB">
        <w:rPr>
          <w:rFonts w:hint="cs"/>
          <w:sz w:val="27"/>
          <w:rtl/>
          <w:lang w:bidi="ar-OM"/>
        </w:rPr>
        <w:t>ة الأمور في الدولة</w:t>
      </w:r>
      <w:r w:rsidR="00A92C5C" w:rsidRPr="00904FCB">
        <w:rPr>
          <w:rFonts w:hint="cs"/>
          <w:sz w:val="27"/>
          <w:rtl/>
          <w:lang w:bidi="ar-OM"/>
        </w:rPr>
        <w:t>،</w:t>
      </w:r>
      <w:r w:rsidRPr="00904FCB">
        <w:rPr>
          <w:rFonts w:hint="cs"/>
          <w:sz w:val="27"/>
          <w:rtl/>
          <w:lang w:bidi="ar-OM"/>
        </w:rPr>
        <w:t xml:space="preserve"> وعليه يرى أنها مشمولة </w:t>
      </w:r>
      <w:r w:rsidR="00A92C5C" w:rsidRPr="00904FCB">
        <w:rPr>
          <w:rFonts w:hint="cs"/>
          <w:sz w:val="27"/>
          <w:rtl/>
          <w:lang w:bidi="ar-OM"/>
        </w:rPr>
        <w:t>ب</w:t>
      </w:r>
      <w:r w:rsidRPr="00904FCB">
        <w:rPr>
          <w:rFonts w:hint="cs"/>
          <w:sz w:val="27"/>
          <w:rtl/>
          <w:lang w:bidi="ar-OM"/>
        </w:rPr>
        <w:t>أدل</w:t>
      </w:r>
      <w:r w:rsidR="00A92C5C" w:rsidRPr="00904FCB">
        <w:rPr>
          <w:rFonts w:hint="cs"/>
          <w:sz w:val="27"/>
          <w:rtl/>
          <w:lang w:bidi="ar-OM"/>
        </w:rPr>
        <w:t>ّ</w:t>
      </w:r>
      <w:r w:rsidRPr="00904FCB">
        <w:rPr>
          <w:rFonts w:hint="cs"/>
          <w:sz w:val="27"/>
          <w:rtl/>
          <w:lang w:bidi="ar-OM"/>
        </w:rPr>
        <w:t>ة التحريم</w:t>
      </w:r>
      <w:r w:rsidR="00A92C5C" w:rsidRPr="00904FCB">
        <w:rPr>
          <w:rFonts w:hint="cs"/>
          <w:sz w:val="27"/>
          <w:rtl/>
          <w:lang w:bidi="ar-OM"/>
        </w:rPr>
        <w:t>.</w:t>
      </w:r>
      <w:r w:rsidRPr="00904FCB">
        <w:rPr>
          <w:rFonts w:hint="cs"/>
          <w:sz w:val="27"/>
          <w:rtl/>
          <w:lang w:bidi="ar-OM"/>
        </w:rPr>
        <w:t xml:space="preserve"> بالإضافة إلى أن المشاركة فيها </w:t>
      </w:r>
      <w:r w:rsidRPr="00904FCB">
        <w:rPr>
          <w:sz w:val="27"/>
          <w:rtl/>
          <w:lang w:bidi="ar-OM"/>
        </w:rPr>
        <w:t>ـ</w:t>
      </w:r>
      <w:r w:rsidRPr="00904FCB">
        <w:rPr>
          <w:rFonts w:hint="cs"/>
          <w:sz w:val="27"/>
          <w:rtl/>
          <w:lang w:bidi="ar-OM"/>
        </w:rPr>
        <w:t xml:space="preserve"> ح</w:t>
      </w:r>
      <w:r w:rsidR="00A92C5C" w:rsidRPr="00904FCB">
        <w:rPr>
          <w:rFonts w:hint="cs"/>
          <w:sz w:val="27"/>
          <w:rtl/>
          <w:lang w:bidi="ar-OM"/>
        </w:rPr>
        <w:t>َ</w:t>
      </w:r>
      <w:r w:rsidRPr="00904FCB">
        <w:rPr>
          <w:rFonts w:hint="cs"/>
          <w:sz w:val="27"/>
          <w:rtl/>
          <w:lang w:bidi="ar-OM"/>
        </w:rPr>
        <w:t>س</w:t>
      </w:r>
      <w:r w:rsidR="00A92C5C" w:rsidRPr="00904FCB">
        <w:rPr>
          <w:rFonts w:hint="cs"/>
          <w:sz w:val="27"/>
          <w:rtl/>
          <w:lang w:bidi="ar-OM"/>
        </w:rPr>
        <w:t>ْ</w:t>
      </w:r>
      <w:r w:rsidRPr="00904FCB">
        <w:rPr>
          <w:rFonts w:hint="cs"/>
          <w:sz w:val="27"/>
          <w:rtl/>
          <w:lang w:bidi="ar-OM"/>
        </w:rPr>
        <w:t>ب هذا المنظور ـ لا تت</w:t>
      </w:r>
      <w:r w:rsidR="00A92C5C" w:rsidRPr="00904FCB">
        <w:rPr>
          <w:rFonts w:hint="cs"/>
          <w:sz w:val="27"/>
          <w:rtl/>
          <w:lang w:bidi="ar-OM"/>
        </w:rPr>
        <w:t>ّ</w:t>
      </w:r>
      <w:r w:rsidRPr="00904FCB">
        <w:rPr>
          <w:rFonts w:hint="cs"/>
          <w:sz w:val="27"/>
          <w:rtl/>
          <w:lang w:bidi="ar-OM"/>
        </w:rPr>
        <w:t>فق مع مجموعة من الأحكام الإسلامية المختص</w:t>
      </w:r>
      <w:r w:rsidR="00A92C5C" w:rsidRPr="00904FCB">
        <w:rPr>
          <w:rFonts w:hint="cs"/>
          <w:sz w:val="27"/>
          <w:rtl/>
          <w:lang w:bidi="ar-OM"/>
        </w:rPr>
        <w:t>ّ</w:t>
      </w:r>
      <w:r w:rsidRPr="00904FCB">
        <w:rPr>
          <w:rFonts w:hint="cs"/>
          <w:sz w:val="27"/>
          <w:rtl/>
          <w:lang w:bidi="ar-OM"/>
        </w:rPr>
        <w:t xml:space="preserve">ة بالمرأة. وهكذا يتبين لنا </w:t>
      </w:r>
      <w:r w:rsidR="00A92C5C" w:rsidRPr="00904FCB">
        <w:rPr>
          <w:rFonts w:hint="cs"/>
          <w:sz w:val="27"/>
          <w:rtl/>
          <w:lang w:bidi="ar-OM"/>
        </w:rPr>
        <w:t>أ</w:t>
      </w:r>
      <w:r w:rsidRPr="00904FCB">
        <w:rPr>
          <w:rFonts w:hint="cs"/>
          <w:sz w:val="27"/>
          <w:rtl/>
          <w:lang w:bidi="ar-OM"/>
        </w:rPr>
        <w:t>ن هذا الفريق من العلماء والفقهاء يتبن</w:t>
      </w:r>
      <w:r w:rsidR="00A92C5C" w:rsidRPr="00904FCB">
        <w:rPr>
          <w:rFonts w:hint="cs"/>
          <w:sz w:val="27"/>
          <w:rtl/>
          <w:lang w:bidi="ar-OM"/>
        </w:rPr>
        <w:t>ّ</w:t>
      </w:r>
      <w:r w:rsidRPr="00904FCB">
        <w:rPr>
          <w:rFonts w:hint="cs"/>
          <w:sz w:val="27"/>
          <w:rtl/>
          <w:lang w:bidi="ar-OM"/>
        </w:rPr>
        <w:t>ى المبنى الفقهي العام في هذه القضية</w:t>
      </w:r>
      <w:r w:rsidR="00A92C5C" w:rsidRPr="00904FCB">
        <w:rPr>
          <w:rFonts w:hint="cs"/>
          <w:sz w:val="27"/>
          <w:rtl/>
          <w:lang w:bidi="ar-OM"/>
        </w:rPr>
        <w:t>،</w:t>
      </w:r>
      <w:r w:rsidRPr="00904FCB">
        <w:rPr>
          <w:rFonts w:hint="cs"/>
          <w:sz w:val="27"/>
          <w:rtl/>
          <w:lang w:bidi="ar-OM"/>
        </w:rPr>
        <w:t xml:space="preserve"> وهو حرمة تولي المرأة لمناصب السلطة والولاية مطلقا</w:t>
      </w:r>
      <w:r w:rsidR="00A92C5C" w:rsidRPr="00904FCB">
        <w:rPr>
          <w:rFonts w:hint="cs"/>
          <w:sz w:val="27"/>
          <w:rtl/>
          <w:lang w:bidi="ar-OM"/>
        </w:rPr>
        <w:t>ً</w:t>
      </w:r>
      <w:r w:rsidRPr="00904FCB">
        <w:rPr>
          <w:rFonts w:hint="cs"/>
          <w:sz w:val="27"/>
          <w:rtl/>
          <w:lang w:bidi="ar-OM"/>
        </w:rPr>
        <w:t>. وعليه يحرم كل</w:t>
      </w:r>
      <w:r w:rsidR="00A92C5C" w:rsidRPr="00904FCB">
        <w:rPr>
          <w:rFonts w:hint="cs"/>
          <w:sz w:val="27"/>
          <w:rtl/>
          <w:lang w:bidi="ar-OM"/>
        </w:rPr>
        <w:t>ّ</w:t>
      </w:r>
      <w:r w:rsidRPr="00904FCB">
        <w:rPr>
          <w:rFonts w:hint="cs"/>
          <w:sz w:val="27"/>
          <w:rtl/>
          <w:lang w:bidi="ar-OM"/>
        </w:rPr>
        <w:t xml:space="preserve"> عمل يندرج تحت هذه القاعدة، بالإضافة إلى استناد بعضهم </w:t>
      </w:r>
      <w:r w:rsidR="00A92C5C" w:rsidRPr="00904FCB">
        <w:rPr>
          <w:rFonts w:hint="cs"/>
          <w:sz w:val="27"/>
          <w:rtl/>
          <w:lang w:bidi="ar-OM"/>
        </w:rPr>
        <w:t>إل</w:t>
      </w:r>
      <w:r w:rsidRPr="00904FCB">
        <w:rPr>
          <w:rFonts w:hint="cs"/>
          <w:sz w:val="27"/>
          <w:rtl/>
          <w:lang w:bidi="ar-OM"/>
        </w:rPr>
        <w:t>ى عناوين ثانوية</w:t>
      </w:r>
      <w:r w:rsidR="00A92C5C" w:rsidRPr="00904FCB">
        <w:rPr>
          <w:rFonts w:hint="cs"/>
          <w:sz w:val="27"/>
          <w:rtl/>
          <w:lang w:bidi="ar-OM"/>
        </w:rPr>
        <w:t>،</w:t>
      </w:r>
      <w:r w:rsidRPr="00904FCB">
        <w:rPr>
          <w:rFonts w:hint="cs"/>
          <w:sz w:val="27"/>
          <w:rtl/>
          <w:lang w:bidi="ar-OM"/>
        </w:rPr>
        <w:t xml:space="preserve"> ومبر</w:t>
      </w:r>
      <w:r w:rsidR="00A92C5C" w:rsidRPr="00904FCB">
        <w:rPr>
          <w:rFonts w:hint="cs"/>
          <w:sz w:val="27"/>
          <w:rtl/>
          <w:lang w:bidi="ar-OM"/>
        </w:rPr>
        <w:t>ّ</w:t>
      </w:r>
      <w:r w:rsidRPr="00904FCB">
        <w:rPr>
          <w:rFonts w:hint="cs"/>
          <w:sz w:val="27"/>
          <w:rtl/>
          <w:lang w:bidi="ar-OM"/>
        </w:rPr>
        <w:t xml:space="preserve">رات أخرى داعمة وغير مباشرة، غير </w:t>
      </w:r>
      <w:r w:rsidR="00A92C5C" w:rsidRPr="00904FCB">
        <w:rPr>
          <w:rFonts w:hint="cs"/>
          <w:sz w:val="27"/>
          <w:rtl/>
          <w:lang w:bidi="ar-OM"/>
        </w:rPr>
        <w:t>أ</w:t>
      </w:r>
      <w:r w:rsidRPr="00904FCB">
        <w:rPr>
          <w:rFonts w:hint="cs"/>
          <w:sz w:val="27"/>
          <w:rtl/>
          <w:lang w:bidi="ar-OM"/>
        </w:rPr>
        <w:t xml:space="preserve">نها من الناحية العملية تنتهي </w:t>
      </w:r>
      <w:r w:rsidR="00A92C5C" w:rsidRPr="00904FCB">
        <w:rPr>
          <w:rFonts w:hint="cs"/>
          <w:sz w:val="27"/>
          <w:rtl/>
          <w:lang w:bidi="ar-OM"/>
        </w:rPr>
        <w:t>إ</w:t>
      </w:r>
      <w:r w:rsidRPr="00904FCB">
        <w:rPr>
          <w:rFonts w:hint="cs"/>
          <w:sz w:val="27"/>
          <w:rtl/>
          <w:lang w:bidi="ar-OM"/>
        </w:rPr>
        <w:t>لى نفس النتيجة</w:t>
      </w:r>
      <w:r w:rsidR="00A92C5C" w:rsidRPr="00904FCB">
        <w:rPr>
          <w:rFonts w:hint="cs"/>
          <w:sz w:val="27"/>
          <w:rtl/>
          <w:lang w:bidi="ar-OM"/>
        </w:rPr>
        <w:t>،</w:t>
      </w:r>
      <w:r w:rsidRPr="00904FCB">
        <w:rPr>
          <w:rFonts w:hint="cs"/>
          <w:sz w:val="27"/>
          <w:rtl/>
          <w:lang w:bidi="ar-OM"/>
        </w:rPr>
        <w:t xml:space="preserve"> وهي تحريم تول</w:t>
      </w:r>
      <w:r w:rsidR="00A92C5C" w:rsidRPr="00904FCB">
        <w:rPr>
          <w:rFonts w:hint="cs"/>
          <w:sz w:val="27"/>
          <w:rtl/>
          <w:lang w:bidi="ar-OM"/>
        </w:rPr>
        <w:t>ّ</w:t>
      </w:r>
      <w:r w:rsidRPr="00904FCB">
        <w:rPr>
          <w:rFonts w:hint="cs"/>
          <w:sz w:val="27"/>
          <w:rtl/>
          <w:lang w:bidi="ar-OM"/>
        </w:rPr>
        <w:t xml:space="preserve">ي المرأة للمهام التي تزاول من خلالها السلطة والولاية. </w:t>
      </w:r>
    </w:p>
    <w:p w:rsidR="00644408" w:rsidRPr="00904FCB" w:rsidRDefault="00644408" w:rsidP="007A21AA">
      <w:pPr>
        <w:spacing w:line="400" w:lineRule="exact"/>
        <w:rPr>
          <w:b/>
          <w:bCs/>
          <w:sz w:val="27"/>
          <w:rtl/>
          <w:lang w:bidi="ar-OM"/>
        </w:rPr>
      </w:pPr>
      <w:r w:rsidRPr="00904FCB">
        <w:rPr>
          <w:rFonts w:hint="cs"/>
          <w:sz w:val="27"/>
          <w:rtl/>
          <w:lang w:bidi="ar-OM"/>
        </w:rPr>
        <w:t> </w:t>
      </w:r>
    </w:p>
    <w:p w:rsidR="00644408" w:rsidRPr="00904FCB" w:rsidRDefault="00644408" w:rsidP="007A21AA">
      <w:pPr>
        <w:pStyle w:val="31"/>
        <w:spacing w:line="400" w:lineRule="exact"/>
        <w:rPr>
          <w:color w:val="auto"/>
          <w:rtl/>
          <w:lang w:bidi="ar-OM"/>
        </w:rPr>
      </w:pPr>
      <w:r w:rsidRPr="00546E4F">
        <w:rPr>
          <w:rFonts w:hint="cs"/>
          <w:color w:val="auto"/>
          <w:rtl/>
          <w:lang w:bidi="ar-OM"/>
        </w:rPr>
        <w:t>2ـ مشروعية</w:t>
      </w:r>
      <w:r w:rsidRPr="00904FCB">
        <w:rPr>
          <w:rFonts w:hint="cs"/>
          <w:color w:val="auto"/>
          <w:rtl/>
          <w:lang w:bidi="ar-OM"/>
        </w:rPr>
        <w:t xml:space="preserve"> تول</w:t>
      </w:r>
      <w:r w:rsidR="00A92C5C" w:rsidRPr="00904FCB">
        <w:rPr>
          <w:rFonts w:hint="cs"/>
          <w:color w:val="auto"/>
          <w:rtl/>
          <w:lang w:bidi="ar-OM"/>
        </w:rPr>
        <w:t>ّ</w:t>
      </w:r>
      <w:r w:rsidRPr="00904FCB">
        <w:rPr>
          <w:rFonts w:hint="cs"/>
          <w:color w:val="auto"/>
          <w:rtl/>
          <w:lang w:bidi="ar-OM"/>
        </w:rPr>
        <w:t>ي المرأة بعض المناصب</w:t>
      </w:r>
      <w:r w:rsidR="00A92C5C" w:rsidRPr="00904FCB">
        <w:rPr>
          <w:rFonts w:hint="cs"/>
          <w:color w:val="auto"/>
          <w:rtl/>
          <w:lang w:bidi="ar-OM"/>
        </w:rPr>
        <w:t>،</w:t>
      </w:r>
      <w:r w:rsidRPr="00904FCB">
        <w:rPr>
          <w:rFonts w:hint="cs"/>
          <w:color w:val="auto"/>
          <w:rtl/>
          <w:lang w:bidi="ar-OM"/>
        </w:rPr>
        <w:t xml:space="preserve"> مع بعض القيود </w:t>
      </w:r>
    </w:p>
    <w:p w:rsidR="00644408" w:rsidRPr="00904FCB" w:rsidRDefault="00644408" w:rsidP="007A21AA">
      <w:pPr>
        <w:spacing w:line="400" w:lineRule="exact"/>
        <w:rPr>
          <w:sz w:val="27"/>
          <w:rtl/>
          <w:lang w:bidi="ar-OM"/>
        </w:rPr>
      </w:pPr>
      <w:r w:rsidRPr="00904FCB">
        <w:rPr>
          <w:rFonts w:hint="cs"/>
          <w:sz w:val="27"/>
          <w:rtl/>
          <w:lang w:bidi="ar-OM"/>
        </w:rPr>
        <w:t xml:space="preserve">ويذهب أصحاب هذا الاتجاه </w:t>
      </w:r>
      <w:r w:rsidR="00A92C5C" w:rsidRPr="00904FCB">
        <w:rPr>
          <w:rFonts w:hint="cs"/>
          <w:sz w:val="27"/>
          <w:rtl/>
          <w:lang w:bidi="ar-OM"/>
        </w:rPr>
        <w:t>إ</w:t>
      </w:r>
      <w:r w:rsidRPr="00904FCB">
        <w:rPr>
          <w:rFonts w:hint="cs"/>
          <w:sz w:val="27"/>
          <w:rtl/>
          <w:lang w:bidi="ar-OM"/>
        </w:rPr>
        <w:t>لى التفكيك بين طبيعة بعض المهام</w:t>
      </w:r>
      <w:r w:rsidR="00A92C5C" w:rsidRPr="00904FCB">
        <w:rPr>
          <w:rFonts w:hint="cs"/>
          <w:sz w:val="27"/>
          <w:rtl/>
          <w:lang w:bidi="ar-OM"/>
        </w:rPr>
        <w:t>ّ</w:t>
      </w:r>
      <w:r w:rsidRPr="00904FCB">
        <w:rPr>
          <w:rFonts w:hint="cs"/>
          <w:sz w:val="27"/>
          <w:rtl/>
          <w:lang w:bidi="ar-OM"/>
        </w:rPr>
        <w:t xml:space="preserve"> السلطوية</w:t>
      </w:r>
      <w:r w:rsidR="00A92C5C" w:rsidRPr="00904FCB">
        <w:rPr>
          <w:rFonts w:hint="cs"/>
          <w:sz w:val="27"/>
          <w:rtl/>
          <w:lang w:bidi="ar-OM"/>
        </w:rPr>
        <w:t>،</w:t>
      </w:r>
      <w:r w:rsidRPr="00904FCB">
        <w:rPr>
          <w:rFonts w:hint="cs"/>
          <w:sz w:val="27"/>
          <w:rtl/>
          <w:lang w:bidi="ar-OM"/>
        </w:rPr>
        <w:t xml:space="preserve"> ويميل هؤلاء </w:t>
      </w:r>
      <w:r w:rsidR="00A92C5C" w:rsidRPr="00904FCB">
        <w:rPr>
          <w:rFonts w:hint="cs"/>
          <w:sz w:val="27"/>
          <w:rtl/>
          <w:lang w:bidi="ar-OM"/>
        </w:rPr>
        <w:t>إ</w:t>
      </w:r>
      <w:r w:rsidRPr="00904FCB">
        <w:rPr>
          <w:rFonts w:hint="cs"/>
          <w:sz w:val="27"/>
          <w:rtl/>
          <w:lang w:bidi="ar-OM"/>
        </w:rPr>
        <w:t>لى مزيد</w:t>
      </w:r>
      <w:r w:rsidR="00A92C5C" w:rsidRPr="00904FCB">
        <w:rPr>
          <w:rFonts w:hint="cs"/>
          <w:sz w:val="27"/>
          <w:rtl/>
          <w:lang w:bidi="ar-OM"/>
        </w:rPr>
        <w:t>ٍ</w:t>
      </w:r>
      <w:r w:rsidRPr="00904FCB">
        <w:rPr>
          <w:rFonts w:hint="cs"/>
          <w:sz w:val="27"/>
          <w:rtl/>
          <w:lang w:bidi="ar-OM"/>
        </w:rPr>
        <w:t xml:space="preserve"> من التفصيل في مزاولة بعض السلطات من ق</w:t>
      </w:r>
      <w:r w:rsidR="00A92C5C" w:rsidRPr="00904FCB">
        <w:rPr>
          <w:rFonts w:hint="cs"/>
          <w:sz w:val="27"/>
          <w:rtl/>
          <w:lang w:bidi="ar-OM"/>
        </w:rPr>
        <w:t>ِ</w:t>
      </w:r>
      <w:r w:rsidRPr="00904FCB">
        <w:rPr>
          <w:rFonts w:hint="cs"/>
          <w:sz w:val="27"/>
          <w:rtl/>
          <w:lang w:bidi="ar-OM"/>
        </w:rPr>
        <w:t>ب</w:t>
      </w:r>
      <w:r w:rsidR="00A92C5C" w:rsidRPr="00904FCB">
        <w:rPr>
          <w:rFonts w:hint="cs"/>
          <w:sz w:val="27"/>
          <w:rtl/>
          <w:lang w:bidi="ar-OM"/>
        </w:rPr>
        <w:t>َ</w:t>
      </w:r>
      <w:r w:rsidRPr="00904FCB">
        <w:rPr>
          <w:rFonts w:hint="cs"/>
          <w:sz w:val="27"/>
          <w:rtl/>
          <w:lang w:bidi="ar-OM"/>
        </w:rPr>
        <w:t>ل المرأة، فيجيز لها مزاولة بعض المهام</w:t>
      </w:r>
      <w:r w:rsidR="00A92C5C" w:rsidRPr="00904FCB">
        <w:rPr>
          <w:rFonts w:hint="cs"/>
          <w:sz w:val="27"/>
          <w:rtl/>
          <w:lang w:bidi="ar-OM"/>
        </w:rPr>
        <w:t>ّ</w:t>
      </w:r>
      <w:r w:rsidRPr="00904FCB">
        <w:rPr>
          <w:rFonts w:hint="cs"/>
          <w:sz w:val="27"/>
          <w:rtl/>
          <w:lang w:bidi="ar-OM"/>
        </w:rPr>
        <w:t xml:space="preserve"> وتول</w:t>
      </w:r>
      <w:r w:rsidR="00A92C5C" w:rsidRPr="00904FCB">
        <w:rPr>
          <w:rFonts w:hint="cs"/>
          <w:sz w:val="27"/>
          <w:rtl/>
          <w:lang w:bidi="ar-OM"/>
        </w:rPr>
        <w:t>ّ</w:t>
      </w:r>
      <w:r w:rsidRPr="00904FCB">
        <w:rPr>
          <w:rFonts w:hint="cs"/>
          <w:sz w:val="27"/>
          <w:rtl/>
          <w:lang w:bidi="ar-OM"/>
        </w:rPr>
        <w:t>ي بعض المناصب القيادية</w:t>
      </w:r>
      <w:r w:rsidR="00A92C5C" w:rsidRPr="00904FCB">
        <w:rPr>
          <w:rFonts w:hint="cs"/>
          <w:sz w:val="27"/>
          <w:rtl/>
          <w:lang w:bidi="ar-OM"/>
        </w:rPr>
        <w:t>،</w:t>
      </w:r>
      <w:r w:rsidRPr="00904FCB">
        <w:rPr>
          <w:rFonts w:hint="cs"/>
          <w:sz w:val="27"/>
          <w:rtl/>
          <w:lang w:bidi="ar-OM"/>
        </w:rPr>
        <w:t xml:space="preserve"> ضمن بعض الضوابط، وذلك على النحو التالي: </w:t>
      </w:r>
    </w:p>
    <w:p w:rsidR="00644408" w:rsidRPr="00904FCB" w:rsidRDefault="00644408" w:rsidP="007A21AA">
      <w:pPr>
        <w:spacing w:line="400" w:lineRule="exact"/>
        <w:rPr>
          <w:sz w:val="27"/>
          <w:rtl/>
          <w:lang w:bidi="ar-OM"/>
        </w:rPr>
      </w:pPr>
    </w:p>
    <w:p w:rsidR="00644408" w:rsidRPr="00904FCB" w:rsidRDefault="00644408" w:rsidP="007A21AA">
      <w:pPr>
        <w:pStyle w:val="31"/>
        <w:spacing w:line="400" w:lineRule="exact"/>
        <w:rPr>
          <w:color w:val="auto"/>
          <w:rtl/>
          <w:lang w:bidi="ar-OM"/>
        </w:rPr>
      </w:pPr>
      <w:r w:rsidRPr="00904FCB">
        <w:rPr>
          <w:rFonts w:hint="cs"/>
          <w:color w:val="auto"/>
          <w:rtl/>
          <w:lang w:bidi="ar-OM"/>
        </w:rPr>
        <w:t>أـ مشروعي</w:t>
      </w:r>
      <w:r w:rsidR="00A92C5C" w:rsidRPr="00904FCB">
        <w:rPr>
          <w:rFonts w:hint="cs"/>
          <w:color w:val="auto"/>
          <w:rtl/>
          <w:lang w:bidi="ar-OM"/>
        </w:rPr>
        <w:t>ّ</w:t>
      </w:r>
      <w:r w:rsidRPr="00904FCB">
        <w:rPr>
          <w:rFonts w:hint="cs"/>
          <w:color w:val="auto"/>
          <w:rtl/>
          <w:lang w:bidi="ar-OM"/>
        </w:rPr>
        <w:t>ة تول</w:t>
      </w:r>
      <w:r w:rsidR="00A92C5C" w:rsidRPr="00904FCB">
        <w:rPr>
          <w:rFonts w:hint="cs"/>
          <w:color w:val="auto"/>
          <w:rtl/>
          <w:lang w:bidi="ar-OM"/>
        </w:rPr>
        <w:t>ّ</w:t>
      </w:r>
      <w:r w:rsidRPr="00904FCB">
        <w:rPr>
          <w:rFonts w:hint="cs"/>
          <w:color w:val="auto"/>
          <w:rtl/>
          <w:lang w:bidi="ar-OM"/>
        </w:rPr>
        <w:t>ي المرأة لرئاسة الدولة في إطار محد</w:t>
      </w:r>
      <w:r w:rsidR="00A92C5C" w:rsidRPr="00904FCB">
        <w:rPr>
          <w:rFonts w:hint="cs"/>
          <w:color w:val="auto"/>
          <w:rtl/>
          <w:lang w:bidi="ar-OM"/>
        </w:rPr>
        <w:t>َّ</w:t>
      </w:r>
      <w:r w:rsidRPr="00904FCB">
        <w:rPr>
          <w:rFonts w:hint="cs"/>
          <w:color w:val="auto"/>
          <w:rtl/>
          <w:lang w:bidi="ar-OM"/>
        </w:rPr>
        <w:t xml:space="preserve">د </w:t>
      </w:r>
    </w:p>
    <w:p w:rsidR="00644408" w:rsidRPr="00904FCB" w:rsidRDefault="00644408" w:rsidP="007A21AA">
      <w:pPr>
        <w:spacing w:line="400" w:lineRule="exact"/>
        <w:rPr>
          <w:sz w:val="27"/>
          <w:rtl/>
          <w:lang w:bidi="ar-OM"/>
        </w:rPr>
      </w:pPr>
      <w:r w:rsidRPr="00904FCB">
        <w:rPr>
          <w:rFonts w:hint="cs"/>
          <w:sz w:val="27"/>
          <w:rtl/>
          <w:lang w:bidi="ar-OM"/>
        </w:rPr>
        <w:t xml:space="preserve">رغم </w:t>
      </w:r>
      <w:r w:rsidR="00A92C5C" w:rsidRPr="00904FCB">
        <w:rPr>
          <w:rFonts w:hint="cs"/>
          <w:sz w:val="27"/>
          <w:rtl/>
          <w:lang w:bidi="ar-OM"/>
        </w:rPr>
        <w:t>أ</w:t>
      </w:r>
      <w:r w:rsidRPr="00904FCB">
        <w:rPr>
          <w:rFonts w:hint="cs"/>
          <w:sz w:val="27"/>
          <w:rtl/>
          <w:lang w:bidi="ar-OM"/>
        </w:rPr>
        <w:t>ن الموقف المتحف</w:t>
      </w:r>
      <w:r w:rsidR="00A92C5C" w:rsidRPr="00904FCB">
        <w:rPr>
          <w:rFonts w:hint="cs"/>
          <w:sz w:val="27"/>
          <w:rtl/>
          <w:lang w:bidi="ar-OM"/>
        </w:rPr>
        <w:t>ِّ</w:t>
      </w:r>
      <w:r w:rsidRPr="00904FCB">
        <w:rPr>
          <w:rFonts w:hint="cs"/>
          <w:sz w:val="27"/>
          <w:rtl/>
          <w:lang w:bidi="ar-OM"/>
        </w:rPr>
        <w:t>ظ هو السائد عند فقهاء المسلمين من ولاية المرأة، إلا</w:t>
      </w:r>
      <w:r w:rsidR="00A92C5C" w:rsidRPr="00904FCB">
        <w:rPr>
          <w:rFonts w:hint="cs"/>
          <w:sz w:val="27"/>
          <w:rtl/>
          <w:lang w:bidi="ar-OM"/>
        </w:rPr>
        <w:t>ّ</w:t>
      </w:r>
      <w:r w:rsidRPr="00904FCB">
        <w:rPr>
          <w:rFonts w:hint="cs"/>
          <w:sz w:val="27"/>
          <w:rtl/>
          <w:lang w:bidi="ar-OM"/>
        </w:rPr>
        <w:t xml:space="preserve"> </w:t>
      </w:r>
      <w:r w:rsidR="00A92C5C" w:rsidRPr="00904FCB">
        <w:rPr>
          <w:rFonts w:hint="cs"/>
          <w:sz w:val="27"/>
          <w:rtl/>
          <w:lang w:bidi="ar-OM"/>
        </w:rPr>
        <w:t>أ</w:t>
      </w:r>
      <w:r w:rsidRPr="00904FCB">
        <w:rPr>
          <w:rFonts w:hint="cs"/>
          <w:sz w:val="27"/>
          <w:rtl/>
          <w:lang w:bidi="ar-OM"/>
        </w:rPr>
        <w:t>ن بعض العلماء المعاصرين مي</w:t>
      </w:r>
      <w:r w:rsidR="00A92C5C" w:rsidRPr="00904FCB">
        <w:rPr>
          <w:rFonts w:hint="cs"/>
          <w:sz w:val="27"/>
          <w:rtl/>
          <w:lang w:bidi="ar-OM"/>
        </w:rPr>
        <w:t>َّ</w:t>
      </w:r>
      <w:r w:rsidRPr="00904FCB">
        <w:rPr>
          <w:rFonts w:hint="cs"/>
          <w:sz w:val="27"/>
          <w:rtl/>
          <w:lang w:bidi="ar-OM"/>
        </w:rPr>
        <w:t>ز بين مزاولة السلطة في التجربة التاريخية للمسلمين وبين مزاولتها في الدولة القطرية الحديثة، وفك</w:t>
      </w:r>
      <w:r w:rsidR="00A92C5C" w:rsidRPr="00904FCB">
        <w:rPr>
          <w:rFonts w:hint="cs"/>
          <w:sz w:val="27"/>
          <w:rtl/>
          <w:lang w:bidi="ar-OM"/>
        </w:rPr>
        <w:t>َّ</w:t>
      </w:r>
      <w:r w:rsidRPr="00904FCB">
        <w:rPr>
          <w:rFonts w:hint="cs"/>
          <w:sz w:val="27"/>
          <w:rtl/>
          <w:lang w:bidi="ar-OM"/>
        </w:rPr>
        <w:t>ك العلاقة بين منصب الخلافة التاريخي ومنصب رئاسة الدولة في الأنظمة المعاصرة</w:t>
      </w:r>
      <w:r w:rsidR="00A92C5C" w:rsidRPr="00904FCB">
        <w:rPr>
          <w:rFonts w:hint="cs"/>
          <w:sz w:val="27"/>
          <w:rtl/>
          <w:lang w:bidi="ar-OM"/>
        </w:rPr>
        <w:t>،</w:t>
      </w:r>
      <w:r w:rsidRPr="00904FCB">
        <w:rPr>
          <w:rFonts w:hint="cs"/>
          <w:sz w:val="27"/>
          <w:rtl/>
          <w:lang w:bidi="ar-OM"/>
        </w:rPr>
        <w:t xml:space="preserve"> فلا يصح قياس منصب رئيس الدولة على منصب الخليفة التاريخي، وفي ضوئه قصر أدلة المنع على منصب الخلافة العام</w:t>
      </w:r>
      <w:r w:rsidR="00A92C5C" w:rsidRPr="00904FCB">
        <w:rPr>
          <w:rFonts w:hint="cs"/>
          <w:sz w:val="27"/>
          <w:rtl/>
          <w:lang w:bidi="ar-OM"/>
        </w:rPr>
        <w:t>ّ</w:t>
      </w:r>
      <w:r w:rsidRPr="00904FCB">
        <w:rPr>
          <w:rFonts w:hint="cs"/>
          <w:sz w:val="27"/>
          <w:rtl/>
          <w:lang w:bidi="ar-OM"/>
        </w:rPr>
        <w:t xml:space="preserve">ة على المسلمين. </w:t>
      </w:r>
    </w:p>
    <w:p w:rsidR="00644408" w:rsidRPr="00904FCB" w:rsidRDefault="00644408" w:rsidP="007A21AA">
      <w:pPr>
        <w:spacing w:line="400" w:lineRule="exact"/>
        <w:rPr>
          <w:sz w:val="27"/>
          <w:rtl/>
          <w:lang w:bidi="ar-OM"/>
        </w:rPr>
      </w:pPr>
      <w:r w:rsidRPr="00904FCB">
        <w:rPr>
          <w:rFonts w:hint="cs"/>
          <w:sz w:val="27"/>
          <w:rtl/>
          <w:lang w:bidi="ar-OM"/>
        </w:rPr>
        <w:t xml:space="preserve">يرى الدكتور القرضاوي، مع التسليم بوجود إجماع بين الفقهاء على </w:t>
      </w:r>
      <w:r w:rsidR="00A92C5C" w:rsidRPr="00904FCB">
        <w:rPr>
          <w:rFonts w:hint="cs"/>
          <w:sz w:val="27"/>
          <w:rtl/>
          <w:lang w:bidi="ar-OM"/>
        </w:rPr>
        <w:t>أ</w:t>
      </w:r>
      <w:r w:rsidRPr="00904FCB">
        <w:rPr>
          <w:rFonts w:hint="cs"/>
          <w:sz w:val="27"/>
          <w:rtl/>
          <w:lang w:bidi="ar-OM"/>
        </w:rPr>
        <w:t>ن المرأة لا تصلح للخلافة العام</w:t>
      </w:r>
      <w:r w:rsidR="00A92C5C" w:rsidRPr="00904FCB">
        <w:rPr>
          <w:rFonts w:hint="cs"/>
          <w:sz w:val="27"/>
          <w:rtl/>
          <w:lang w:bidi="ar-OM"/>
        </w:rPr>
        <w:t>ّ</w:t>
      </w:r>
      <w:r w:rsidRPr="00904FCB">
        <w:rPr>
          <w:rFonts w:hint="cs"/>
          <w:sz w:val="27"/>
          <w:rtl/>
          <w:lang w:bidi="ar-OM"/>
        </w:rPr>
        <w:t>ة</w:t>
      </w:r>
      <w:r w:rsidR="00A92C5C" w:rsidRPr="00904FCB">
        <w:rPr>
          <w:rFonts w:hint="cs"/>
          <w:sz w:val="27"/>
          <w:rtl/>
          <w:lang w:bidi="ar-OM"/>
        </w:rPr>
        <w:t>،</w:t>
      </w:r>
      <w:r w:rsidRPr="00904FCB">
        <w:rPr>
          <w:rFonts w:hint="cs"/>
          <w:sz w:val="27"/>
          <w:rtl/>
          <w:lang w:bidi="ar-OM"/>
        </w:rPr>
        <w:t xml:space="preserve"> والتي هي خلافة المسلمين جميعا</w:t>
      </w:r>
      <w:r w:rsidR="00A92C5C" w:rsidRPr="00904FCB">
        <w:rPr>
          <w:rFonts w:hint="cs"/>
          <w:sz w:val="27"/>
          <w:rtl/>
          <w:lang w:bidi="ar-OM"/>
        </w:rPr>
        <w:t>ً</w:t>
      </w:r>
      <w:r w:rsidRPr="00904FCB">
        <w:rPr>
          <w:rFonts w:hint="cs"/>
          <w:sz w:val="27"/>
          <w:rtl/>
          <w:lang w:bidi="ar-OM"/>
        </w:rPr>
        <w:t>، ولكن</w:t>
      </w:r>
      <w:r w:rsidR="00A92C5C" w:rsidRPr="00904FCB">
        <w:rPr>
          <w:rFonts w:hint="cs"/>
          <w:sz w:val="27"/>
          <w:rtl/>
          <w:lang w:bidi="ar-OM"/>
        </w:rPr>
        <w:t>ّ</w:t>
      </w:r>
      <w:r w:rsidRPr="00904FCB">
        <w:rPr>
          <w:rFonts w:hint="cs"/>
          <w:sz w:val="27"/>
          <w:rtl/>
          <w:lang w:bidi="ar-OM"/>
        </w:rPr>
        <w:t xml:space="preserve"> الرئاسة الإقليمية في </w:t>
      </w:r>
      <w:r w:rsidRPr="00904FCB">
        <w:rPr>
          <w:rFonts w:hint="cs"/>
          <w:sz w:val="27"/>
          <w:rtl/>
          <w:lang w:bidi="ar-OM"/>
        </w:rPr>
        <w:lastRenderedPageBreak/>
        <w:t>الدول القطرية الحالية لا تدخل في الخلافة</w:t>
      </w:r>
      <w:r w:rsidR="00A92C5C" w:rsidRPr="00904FCB">
        <w:rPr>
          <w:rFonts w:hint="cs"/>
          <w:sz w:val="27"/>
          <w:rtl/>
          <w:lang w:bidi="ar-OM"/>
        </w:rPr>
        <w:t>،</w:t>
      </w:r>
      <w:r w:rsidRPr="00904FCB">
        <w:rPr>
          <w:rFonts w:hint="cs"/>
          <w:sz w:val="27"/>
          <w:rtl/>
          <w:lang w:bidi="ar-OM"/>
        </w:rPr>
        <w:t xml:space="preserve"> إنما هي أشبه بولاية الأقاليم قديما</w:t>
      </w:r>
      <w:r w:rsidR="00A92C5C" w:rsidRPr="00904FCB">
        <w:rPr>
          <w:rFonts w:hint="cs"/>
          <w:sz w:val="27"/>
          <w:rtl/>
          <w:lang w:bidi="ar-OM"/>
        </w:rPr>
        <w:t>ً</w:t>
      </w:r>
      <w:r w:rsidRPr="00904FCB">
        <w:rPr>
          <w:rFonts w:hint="cs"/>
          <w:sz w:val="27"/>
          <w:rtl/>
          <w:lang w:bidi="ar-OM"/>
        </w:rPr>
        <w:t>. وبناء عليه لا يمنع من ترش</w:t>
      </w:r>
      <w:r w:rsidR="00A92C5C" w:rsidRPr="00904FCB">
        <w:rPr>
          <w:rFonts w:hint="cs"/>
          <w:sz w:val="27"/>
          <w:rtl/>
          <w:lang w:bidi="ar-OM"/>
        </w:rPr>
        <w:t>ُّ</w:t>
      </w:r>
      <w:r w:rsidRPr="00904FCB">
        <w:rPr>
          <w:rFonts w:hint="cs"/>
          <w:sz w:val="27"/>
          <w:rtl/>
          <w:lang w:bidi="ar-OM"/>
        </w:rPr>
        <w:t>ح المرأة للرئاسة أو تول</w:t>
      </w:r>
      <w:r w:rsidR="00A92C5C" w:rsidRPr="00904FCB">
        <w:rPr>
          <w:rFonts w:hint="cs"/>
          <w:sz w:val="27"/>
          <w:rtl/>
          <w:lang w:bidi="ar-OM"/>
        </w:rPr>
        <w:t>ّ</w:t>
      </w:r>
      <w:r w:rsidRPr="00904FCB">
        <w:rPr>
          <w:rFonts w:hint="cs"/>
          <w:sz w:val="27"/>
          <w:rtl/>
          <w:lang w:bidi="ar-OM"/>
        </w:rPr>
        <w:t>ي منصب رئاسة الجمهورية</w:t>
      </w:r>
      <w:r w:rsidRPr="00904FCB">
        <w:rPr>
          <w:rFonts w:hint="cs"/>
          <w:sz w:val="27"/>
          <w:vertAlign w:val="superscript"/>
          <w:rtl/>
        </w:rPr>
        <w:t>(</w:t>
      </w:r>
      <w:r w:rsidRPr="00904FCB">
        <w:rPr>
          <w:rStyle w:val="ac"/>
          <w:sz w:val="27"/>
          <w:rtl/>
        </w:rPr>
        <w:endnoteReference w:id="194"/>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ويمكن مناقشة هذا الرأي بأنه مع التسليم بوجود فرق بين الخلافة العامة ورئاسة الدولة القطرية</w:t>
      </w:r>
      <w:r w:rsidR="00A92C5C" w:rsidRPr="00904FCB">
        <w:rPr>
          <w:rFonts w:hint="cs"/>
          <w:sz w:val="27"/>
          <w:rtl/>
          <w:lang w:bidi="ar-OM"/>
        </w:rPr>
        <w:t>،</w:t>
      </w:r>
      <w:r w:rsidRPr="00904FCB">
        <w:rPr>
          <w:rFonts w:hint="cs"/>
          <w:sz w:val="27"/>
          <w:rtl/>
          <w:lang w:bidi="ar-OM"/>
        </w:rPr>
        <w:t xml:space="preserve"> من ناحية مساحة الدولة وعدد السكان المول</w:t>
      </w:r>
      <w:r w:rsidR="00A92C5C" w:rsidRPr="00904FCB">
        <w:rPr>
          <w:rFonts w:hint="cs"/>
          <w:sz w:val="27"/>
          <w:rtl/>
          <w:lang w:bidi="ar-OM"/>
        </w:rPr>
        <w:t>ّ</w:t>
      </w:r>
      <w:r w:rsidRPr="00904FCB">
        <w:rPr>
          <w:rFonts w:hint="cs"/>
          <w:sz w:val="27"/>
          <w:rtl/>
          <w:lang w:bidi="ar-OM"/>
        </w:rPr>
        <w:t xml:space="preserve">ى عليهم وحجم المسؤوليات وما شابه، غير </w:t>
      </w:r>
      <w:r w:rsidR="00A92C5C" w:rsidRPr="00904FCB">
        <w:rPr>
          <w:rFonts w:hint="cs"/>
          <w:sz w:val="27"/>
          <w:rtl/>
          <w:lang w:bidi="ar-OM"/>
        </w:rPr>
        <w:t>أ</w:t>
      </w:r>
      <w:r w:rsidRPr="00904FCB">
        <w:rPr>
          <w:rFonts w:hint="cs"/>
          <w:sz w:val="27"/>
          <w:rtl/>
          <w:lang w:bidi="ar-OM"/>
        </w:rPr>
        <w:t>ن رأي جمهور الفقهاء بعدم صلاحية المرأة للخلافة العامة ـ كما يت</w:t>
      </w:r>
      <w:r w:rsidR="00A92C5C" w:rsidRPr="00904FCB">
        <w:rPr>
          <w:rFonts w:hint="cs"/>
          <w:sz w:val="27"/>
          <w:rtl/>
          <w:lang w:bidi="ar-OM"/>
        </w:rPr>
        <w:t>َّ</w:t>
      </w:r>
      <w:r w:rsidRPr="00904FCB">
        <w:rPr>
          <w:rFonts w:hint="cs"/>
          <w:sz w:val="27"/>
          <w:rtl/>
          <w:lang w:bidi="ar-OM"/>
        </w:rPr>
        <w:t>ضح من كلماتهم ـ لم يكن ناظرا</w:t>
      </w:r>
      <w:r w:rsidR="00A92C5C" w:rsidRPr="00904FCB">
        <w:rPr>
          <w:rFonts w:hint="cs"/>
          <w:sz w:val="27"/>
          <w:rtl/>
          <w:lang w:bidi="ar-OM"/>
        </w:rPr>
        <w:t>ً</w:t>
      </w:r>
      <w:r w:rsidRPr="00904FCB">
        <w:rPr>
          <w:rFonts w:hint="cs"/>
          <w:sz w:val="27"/>
          <w:rtl/>
          <w:lang w:bidi="ar-OM"/>
        </w:rPr>
        <w:t xml:space="preserve"> </w:t>
      </w:r>
      <w:r w:rsidR="00A92C5C" w:rsidRPr="00904FCB">
        <w:rPr>
          <w:rFonts w:hint="cs"/>
          <w:sz w:val="27"/>
          <w:rtl/>
          <w:lang w:bidi="ar-OM"/>
        </w:rPr>
        <w:t>إ</w:t>
      </w:r>
      <w:r w:rsidRPr="00904FCB">
        <w:rPr>
          <w:rFonts w:hint="cs"/>
          <w:sz w:val="27"/>
          <w:rtl/>
          <w:lang w:bidi="ar-OM"/>
        </w:rPr>
        <w:t xml:space="preserve">لى هذه الناحية، بل </w:t>
      </w:r>
      <w:r w:rsidR="00A92C5C" w:rsidRPr="00904FCB">
        <w:rPr>
          <w:rFonts w:hint="cs"/>
          <w:sz w:val="27"/>
          <w:rtl/>
          <w:lang w:bidi="ar-OM"/>
        </w:rPr>
        <w:t>إ</w:t>
      </w:r>
      <w:r w:rsidRPr="00904FCB">
        <w:rPr>
          <w:rFonts w:hint="cs"/>
          <w:sz w:val="27"/>
          <w:rtl/>
          <w:lang w:bidi="ar-OM"/>
        </w:rPr>
        <w:t>لى أهلية المرأة لتول</w:t>
      </w:r>
      <w:r w:rsidR="00A92C5C" w:rsidRPr="00904FCB">
        <w:rPr>
          <w:rFonts w:hint="cs"/>
          <w:sz w:val="27"/>
          <w:rtl/>
          <w:lang w:bidi="ar-OM"/>
        </w:rPr>
        <w:t>ّ</w:t>
      </w:r>
      <w:r w:rsidRPr="00904FCB">
        <w:rPr>
          <w:rFonts w:hint="cs"/>
          <w:sz w:val="27"/>
          <w:rtl/>
          <w:lang w:bidi="ar-OM"/>
        </w:rPr>
        <w:t>ي هذا المنصب، بصرف النظر عن بقية الفروق الزمكانية الاجتماعية والسياسية. ومم</w:t>
      </w:r>
      <w:r w:rsidR="00A92C5C" w:rsidRPr="00904FCB">
        <w:rPr>
          <w:rFonts w:hint="cs"/>
          <w:sz w:val="27"/>
          <w:rtl/>
          <w:lang w:bidi="ar-OM"/>
        </w:rPr>
        <w:t>ّ</w:t>
      </w:r>
      <w:r w:rsidRPr="00904FCB">
        <w:rPr>
          <w:rFonts w:hint="cs"/>
          <w:sz w:val="27"/>
          <w:rtl/>
          <w:lang w:bidi="ar-OM"/>
        </w:rPr>
        <w:t>ا يؤي</w:t>
      </w:r>
      <w:r w:rsidR="00A92C5C" w:rsidRPr="00904FCB">
        <w:rPr>
          <w:rFonts w:hint="cs"/>
          <w:sz w:val="27"/>
          <w:rtl/>
          <w:lang w:bidi="ar-OM"/>
        </w:rPr>
        <w:t>ِّ</w:t>
      </w:r>
      <w:r w:rsidRPr="00904FCB">
        <w:rPr>
          <w:rFonts w:hint="cs"/>
          <w:sz w:val="27"/>
          <w:rtl/>
          <w:lang w:bidi="ar-OM"/>
        </w:rPr>
        <w:t xml:space="preserve">د ذلك </w:t>
      </w:r>
      <w:r w:rsidR="00A92C5C" w:rsidRPr="00904FCB">
        <w:rPr>
          <w:rFonts w:hint="cs"/>
          <w:sz w:val="27"/>
          <w:rtl/>
          <w:lang w:bidi="ar-OM"/>
        </w:rPr>
        <w:t>أ</w:t>
      </w:r>
      <w:r w:rsidRPr="00904FCB">
        <w:rPr>
          <w:rFonts w:hint="cs"/>
          <w:sz w:val="27"/>
          <w:rtl/>
          <w:lang w:bidi="ar-OM"/>
        </w:rPr>
        <w:t xml:space="preserve">ن بعض الفقهاء السابقين عاصروا وجود ممالك وإمارات ودويلات في القرن الرابع الهجري وما بعده، وهي أشبه بالدول القطرية من بعض الوجوه، ومع ذلك لم نجد من الفقهاء </w:t>
      </w:r>
      <w:r w:rsidRPr="00904FCB">
        <w:rPr>
          <w:sz w:val="27"/>
          <w:rtl/>
          <w:lang w:bidi="ar-OM"/>
        </w:rPr>
        <w:t>ـ</w:t>
      </w:r>
      <w:r w:rsidRPr="00904FCB">
        <w:rPr>
          <w:rFonts w:hint="cs"/>
          <w:sz w:val="27"/>
          <w:rtl/>
          <w:lang w:bidi="ar-OM"/>
        </w:rPr>
        <w:t xml:space="preserve"> في حدود متابعتنا ـ م</w:t>
      </w:r>
      <w:r w:rsidR="00A92C5C" w:rsidRPr="00904FCB">
        <w:rPr>
          <w:rFonts w:hint="cs"/>
          <w:sz w:val="27"/>
          <w:rtl/>
          <w:lang w:bidi="ar-OM"/>
        </w:rPr>
        <w:t>َ</w:t>
      </w:r>
      <w:r w:rsidRPr="00904FCB">
        <w:rPr>
          <w:rFonts w:hint="cs"/>
          <w:sz w:val="27"/>
          <w:rtl/>
          <w:lang w:bidi="ar-OM"/>
        </w:rPr>
        <w:t>ن</w:t>
      </w:r>
      <w:r w:rsidR="00A92C5C" w:rsidRPr="00904FCB">
        <w:rPr>
          <w:rFonts w:hint="cs"/>
          <w:sz w:val="27"/>
          <w:rtl/>
          <w:lang w:bidi="ar-OM"/>
        </w:rPr>
        <w:t>ْ</w:t>
      </w:r>
      <w:r w:rsidRPr="00904FCB">
        <w:rPr>
          <w:rFonts w:hint="cs"/>
          <w:sz w:val="27"/>
          <w:rtl/>
          <w:lang w:bidi="ar-OM"/>
        </w:rPr>
        <w:t xml:space="preserve"> قر</w:t>
      </w:r>
      <w:r w:rsidR="00A92C5C" w:rsidRPr="00904FCB">
        <w:rPr>
          <w:rFonts w:hint="cs"/>
          <w:sz w:val="27"/>
          <w:rtl/>
          <w:lang w:bidi="ar-OM"/>
        </w:rPr>
        <w:t>َّ</w:t>
      </w:r>
      <w:r w:rsidRPr="00904FCB">
        <w:rPr>
          <w:rFonts w:hint="cs"/>
          <w:sz w:val="27"/>
          <w:rtl/>
          <w:lang w:bidi="ar-OM"/>
        </w:rPr>
        <w:t>ر جواز أن تتر</w:t>
      </w:r>
      <w:r w:rsidR="00A92C5C" w:rsidRPr="00904FCB">
        <w:rPr>
          <w:rFonts w:hint="cs"/>
          <w:sz w:val="27"/>
          <w:rtl/>
          <w:lang w:bidi="ar-OM"/>
        </w:rPr>
        <w:t>ّ</w:t>
      </w:r>
      <w:r w:rsidRPr="00904FCB">
        <w:rPr>
          <w:rFonts w:hint="cs"/>
          <w:sz w:val="27"/>
          <w:rtl/>
          <w:lang w:bidi="ar-OM"/>
        </w:rPr>
        <w:t>أسها المرأة أو تتول</w:t>
      </w:r>
      <w:r w:rsidR="00A92C5C" w:rsidRPr="00904FCB">
        <w:rPr>
          <w:rFonts w:hint="cs"/>
          <w:sz w:val="27"/>
          <w:rtl/>
          <w:lang w:bidi="ar-OM"/>
        </w:rPr>
        <w:t>ّ</w:t>
      </w:r>
      <w:r w:rsidRPr="00904FCB">
        <w:rPr>
          <w:rFonts w:hint="cs"/>
          <w:sz w:val="27"/>
          <w:rtl/>
          <w:lang w:bidi="ar-OM"/>
        </w:rPr>
        <w:t>ى الحكم والسلطة فيها</w:t>
      </w:r>
      <w:r w:rsidR="00A92C5C" w:rsidRPr="00904FCB">
        <w:rPr>
          <w:rFonts w:hint="cs"/>
          <w:sz w:val="27"/>
          <w:rtl/>
          <w:lang w:bidi="ar-OM"/>
        </w:rPr>
        <w:t>.</w:t>
      </w:r>
      <w:r w:rsidRPr="00904FCB">
        <w:rPr>
          <w:rFonts w:hint="cs"/>
          <w:sz w:val="27"/>
          <w:rtl/>
          <w:lang w:bidi="ar-OM"/>
        </w:rPr>
        <w:t xml:space="preserve"> كما لم ي</w:t>
      </w:r>
      <w:r w:rsidR="00A92C5C" w:rsidRPr="00904FCB">
        <w:rPr>
          <w:rFonts w:hint="cs"/>
          <w:sz w:val="27"/>
          <w:rtl/>
          <w:lang w:bidi="ar-OM"/>
        </w:rPr>
        <w:t>َ</w:t>
      </w:r>
      <w:r w:rsidRPr="00904FCB">
        <w:rPr>
          <w:rFonts w:hint="cs"/>
          <w:sz w:val="27"/>
          <w:rtl/>
          <w:lang w:bidi="ar-OM"/>
        </w:rPr>
        <w:t>ر</w:t>
      </w:r>
      <w:r w:rsidR="00A92C5C" w:rsidRPr="00904FCB">
        <w:rPr>
          <w:rFonts w:hint="cs"/>
          <w:sz w:val="27"/>
          <w:rtl/>
          <w:lang w:bidi="ar-OM"/>
        </w:rPr>
        <w:t>ِ</w:t>
      </w:r>
      <w:r w:rsidRPr="00904FCB">
        <w:rPr>
          <w:rFonts w:hint="cs"/>
          <w:sz w:val="27"/>
          <w:rtl/>
          <w:lang w:bidi="ar-OM"/>
        </w:rPr>
        <w:t>د</w:t>
      </w:r>
      <w:r w:rsidR="00A92C5C" w:rsidRPr="00904FCB">
        <w:rPr>
          <w:rFonts w:hint="cs"/>
          <w:sz w:val="27"/>
          <w:rtl/>
          <w:lang w:bidi="ar-OM"/>
        </w:rPr>
        <w:t>ْ</w:t>
      </w:r>
      <w:r w:rsidRPr="00904FCB">
        <w:rPr>
          <w:rFonts w:hint="cs"/>
          <w:sz w:val="27"/>
          <w:rtl/>
          <w:lang w:bidi="ar-OM"/>
        </w:rPr>
        <w:t xml:space="preserve"> عن أحدهم جواز </w:t>
      </w:r>
      <w:r w:rsidR="00A92C5C" w:rsidRPr="00904FCB">
        <w:rPr>
          <w:rFonts w:hint="cs"/>
          <w:sz w:val="27"/>
          <w:rtl/>
          <w:lang w:bidi="ar-OM"/>
        </w:rPr>
        <w:t>أ</w:t>
      </w:r>
      <w:r w:rsidRPr="00904FCB">
        <w:rPr>
          <w:rFonts w:hint="cs"/>
          <w:sz w:val="27"/>
          <w:rtl/>
          <w:lang w:bidi="ar-OM"/>
        </w:rPr>
        <w:t>ن تتولى المرأة ولاية الأقاليم. ولهذا ف</w:t>
      </w:r>
      <w:r w:rsidR="00A92C5C" w:rsidRPr="00904FCB">
        <w:rPr>
          <w:rFonts w:hint="cs"/>
          <w:sz w:val="27"/>
          <w:rtl/>
          <w:lang w:bidi="ar-OM"/>
        </w:rPr>
        <w:t>إ</w:t>
      </w:r>
      <w:r w:rsidRPr="00904FCB">
        <w:rPr>
          <w:rFonts w:hint="cs"/>
          <w:sz w:val="27"/>
          <w:rtl/>
          <w:lang w:bidi="ar-OM"/>
        </w:rPr>
        <w:t xml:space="preserve">ن مقاربة القضية من منظور الإجماعات التاريخية لا توصل </w:t>
      </w:r>
      <w:r w:rsidR="00A92C5C" w:rsidRPr="00904FCB">
        <w:rPr>
          <w:rFonts w:hint="cs"/>
          <w:sz w:val="27"/>
          <w:rtl/>
          <w:lang w:bidi="ar-OM"/>
        </w:rPr>
        <w:t>إ</w:t>
      </w:r>
      <w:r w:rsidRPr="00904FCB">
        <w:rPr>
          <w:rFonts w:hint="cs"/>
          <w:sz w:val="27"/>
          <w:rtl/>
          <w:lang w:bidi="ar-OM"/>
        </w:rPr>
        <w:t>لى نتائج مغايرة</w:t>
      </w:r>
      <w:r w:rsidR="00A92C5C" w:rsidRPr="00904FCB">
        <w:rPr>
          <w:rFonts w:hint="cs"/>
          <w:sz w:val="27"/>
          <w:rtl/>
          <w:lang w:bidi="ar-OM"/>
        </w:rPr>
        <w:t>،</w:t>
      </w:r>
      <w:r w:rsidRPr="00904FCB">
        <w:rPr>
          <w:rFonts w:hint="cs"/>
          <w:sz w:val="27"/>
          <w:rtl/>
          <w:lang w:bidi="ar-OM"/>
        </w:rPr>
        <w:t xml:space="preserve"> إلا</w:t>
      </w:r>
      <w:r w:rsidR="00A92C5C" w:rsidRPr="00904FCB">
        <w:rPr>
          <w:rFonts w:hint="cs"/>
          <w:sz w:val="27"/>
          <w:rtl/>
          <w:lang w:bidi="ar-OM"/>
        </w:rPr>
        <w:t>ّ</w:t>
      </w:r>
      <w:r w:rsidRPr="00904FCB">
        <w:rPr>
          <w:rFonts w:hint="cs"/>
          <w:sz w:val="27"/>
          <w:rtl/>
          <w:lang w:bidi="ar-OM"/>
        </w:rPr>
        <w:t xml:space="preserve"> بضرب</w:t>
      </w:r>
      <w:r w:rsidR="00A92C5C" w:rsidRPr="00904FCB">
        <w:rPr>
          <w:rFonts w:hint="cs"/>
          <w:sz w:val="27"/>
          <w:rtl/>
          <w:lang w:bidi="ar-OM"/>
        </w:rPr>
        <w:t>ٍ</w:t>
      </w:r>
      <w:r w:rsidRPr="00904FCB">
        <w:rPr>
          <w:rFonts w:hint="cs"/>
          <w:sz w:val="27"/>
          <w:rtl/>
          <w:lang w:bidi="ar-OM"/>
        </w:rPr>
        <w:t xml:space="preserve"> من التكل</w:t>
      </w:r>
      <w:r w:rsidR="00A92C5C" w:rsidRPr="00904FCB">
        <w:rPr>
          <w:rFonts w:hint="cs"/>
          <w:sz w:val="27"/>
          <w:rtl/>
          <w:lang w:bidi="ar-OM"/>
        </w:rPr>
        <w:t>ُّ</w:t>
      </w:r>
      <w:r w:rsidRPr="00904FCB">
        <w:rPr>
          <w:rFonts w:hint="cs"/>
          <w:sz w:val="27"/>
          <w:rtl/>
          <w:lang w:bidi="ar-OM"/>
        </w:rPr>
        <w:t>ف</w:t>
      </w:r>
      <w:r w:rsidR="00A92C5C" w:rsidRPr="00904FCB">
        <w:rPr>
          <w:rFonts w:hint="cs"/>
          <w:sz w:val="27"/>
          <w:rtl/>
          <w:lang w:bidi="ar-OM"/>
        </w:rPr>
        <w:t>،</w:t>
      </w:r>
      <w:r w:rsidRPr="00904FCB">
        <w:rPr>
          <w:rFonts w:hint="cs"/>
          <w:sz w:val="27"/>
          <w:rtl/>
          <w:lang w:bidi="ar-OM"/>
        </w:rPr>
        <w:t xml:space="preserve"> مم</w:t>
      </w:r>
      <w:r w:rsidR="00A92C5C" w:rsidRPr="00904FCB">
        <w:rPr>
          <w:rFonts w:hint="cs"/>
          <w:sz w:val="27"/>
          <w:rtl/>
          <w:lang w:bidi="ar-OM"/>
        </w:rPr>
        <w:t>ّ</w:t>
      </w:r>
      <w:r w:rsidRPr="00904FCB">
        <w:rPr>
          <w:rFonts w:hint="cs"/>
          <w:sz w:val="27"/>
          <w:rtl/>
          <w:lang w:bidi="ar-OM"/>
        </w:rPr>
        <w:t xml:space="preserve">ا يستدعي النظر </w:t>
      </w:r>
      <w:r w:rsidR="00A92C5C" w:rsidRPr="00904FCB">
        <w:rPr>
          <w:rFonts w:hint="cs"/>
          <w:sz w:val="27"/>
          <w:rtl/>
          <w:lang w:bidi="ar-OM"/>
        </w:rPr>
        <w:t>إ</w:t>
      </w:r>
      <w:r w:rsidRPr="00904FCB">
        <w:rPr>
          <w:rFonts w:hint="cs"/>
          <w:sz w:val="27"/>
          <w:rtl/>
          <w:lang w:bidi="ar-OM"/>
        </w:rPr>
        <w:t>ليها من منظور</w:t>
      </w:r>
      <w:r w:rsidR="00A92C5C" w:rsidRPr="00904FCB">
        <w:rPr>
          <w:rFonts w:hint="cs"/>
          <w:sz w:val="27"/>
          <w:rtl/>
          <w:lang w:bidi="ar-OM"/>
        </w:rPr>
        <w:t>ٍ</w:t>
      </w:r>
      <w:r w:rsidRPr="00904FCB">
        <w:rPr>
          <w:rFonts w:hint="cs"/>
          <w:sz w:val="27"/>
          <w:rtl/>
          <w:lang w:bidi="ar-OM"/>
        </w:rPr>
        <w:t xml:space="preserve"> فقهي واجتماعي مختلف. </w:t>
      </w:r>
    </w:p>
    <w:p w:rsidR="00644408" w:rsidRPr="00904FCB" w:rsidRDefault="00644408" w:rsidP="002B7B16">
      <w:pPr>
        <w:spacing w:line="400" w:lineRule="exact"/>
        <w:rPr>
          <w:sz w:val="27"/>
          <w:rtl/>
          <w:lang w:bidi="ar-OM"/>
        </w:rPr>
      </w:pPr>
      <w:r w:rsidRPr="00904FCB">
        <w:rPr>
          <w:rFonts w:hint="cs"/>
          <w:sz w:val="27"/>
          <w:rtl/>
          <w:lang w:bidi="ar-OM"/>
        </w:rPr>
        <w:t>وانتهى الشيخ شمس الدين في بحثه حول أهلي</w:t>
      </w:r>
      <w:r w:rsidR="00A92C5C" w:rsidRPr="00904FCB">
        <w:rPr>
          <w:rFonts w:hint="cs"/>
          <w:sz w:val="27"/>
          <w:rtl/>
          <w:lang w:bidi="ar-OM"/>
        </w:rPr>
        <w:t>ّ</w:t>
      </w:r>
      <w:r w:rsidRPr="00904FCB">
        <w:rPr>
          <w:rFonts w:hint="cs"/>
          <w:sz w:val="27"/>
          <w:rtl/>
          <w:lang w:bidi="ar-OM"/>
        </w:rPr>
        <w:t>ة المرأة لتول</w:t>
      </w:r>
      <w:r w:rsidR="00A92C5C" w:rsidRPr="00904FCB">
        <w:rPr>
          <w:rFonts w:hint="cs"/>
          <w:sz w:val="27"/>
          <w:rtl/>
          <w:lang w:bidi="ar-OM"/>
        </w:rPr>
        <w:t>ّ</w:t>
      </w:r>
      <w:r w:rsidRPr="00904FCB">
        <w:rPr>
          <w:rFonts w:hint="cs"/>
          <w:sz w:val="27"/>
          <w:rtl/>
          <w:lang w:bidi="ar-OM"/>
        </w:rPr>
        <w:t xml:space="preserve">ي السلطة </w:t>
      </w:r>
      <w:r w:rsidR="00A92C5C" w:rsidRPr="00904FCB">
        <w:rPr>
          <w:rFonts w:hint="cs"/>
          <w:sz w:val="27"/>
          <w:rtl/>
          <w:lang w:bidi="ar-OM"/>
        </w:rPr>
        <w:t>إ</w:t>
      </w:r>
      <w:r w:rsidRPr="00904FCB">
        <w:rPr>
          <w:rFonts w:hint="cs"/>
          <w:sz w:val="27"/>
          <w:rtl/>
          <w:lang w:bidi="ar-OM"/>
        </w:rPr>
        <w:t>لى مشروعية تول</w:t>
      </w:r>
      <w:r w:rsidR="00A92C5C" w:rsidRPr="00904FCB">
        <w:rPr>
          <w:rFonts w:hint="cs"/>
          <w:sz w:val="27"/>
          <w:rtl/>
          <w:lang w:bidi="ar-OM"/>
        </w:rPr>
        <w:t>ّ</w:t>
      </w:r>
      <w:r w:rsidRPr="00904FCB">
        <w:rPr>
          <w:rFonts w:hint="cs"/>
          <w:sz w:val="27"/>
          <w:rtl/>
          <w:lang w:bidi="ar-OM"/>
        </w:rPr>
        <w:t>ي المرأة لرئاسة الدولة</w:t>
      </w:r>
      <w:r w:rsidR="00A92C5C" w:rsidRPr="00904FCB">
        <w:rPr>
          <w:rFonts w:hint="cs"/>
          <w:sz w:val="27"/>
          <w:rtl/>
          <w:lang w:bidi="ar-OM"/>
        </w:rPr>
        <w:t>،</w:t>
      </w:r>
      <w:r w:rsidRPr="00904FCB">
        <w:rPr>
          <w:rFonts w:hint="cs"/>
          <w:sz w:val="27"/>
          <w:rtl/>
          <w:lang w:bidi="ar-OM"/>
        </w:rPr>
        <w:t xml:space="preserve"> بشرط </w:t>
      </w:r>
      <w:r w:rsidR="00A92C5C" w:rsidRPr="00904FCB">
        <w:rPr>
          <w:rFonts w:hint="cs"/>
          <w:sz w:val="27"/>
          <w:rtl/>
          <w:lang w:bidi="ar-OM"/>
        </w:rPr>
        <w:t>أن</w:t>
      </w:r>
      <w:r w:rsidRPr="00904FCB">
        <w:rPr>
          <w:rFonts w:hint="cs"/>
          <w:sz w:val="27"/>
          <w:rtl/>
          <w:lang w:bidi="ar-OM"/>
        </w:rPr>
        <w:t xml:space="preserve"> يكون الحكم فيها مقيدا</w:t>
      </w:r>
      <w:r w:rsidR="00A92C5C" w:rsidRPr="00904FCB">
        <w:rPr>
          <w:rFonts w:hint="cs"/>
          <w:sz w:val="27"/>
          <w:rtl/>
          <w:lang w:bidi="ar-OM"/>
        </w:rPr>
        <w:t>ً</w:t>
      </w:r>
      <w:r w:rsidRPr="00904FCB">
        <w:rPr>
          <w:rFonts w:hint="cs"/>
          <w:sz w:val="27"/>
          <w:rtl/>
          <w:lang w:bidi="ar-OM"/>
        </w:rPr>
        <w:t xml:space="preserve"> بالشورى والمؤس</w:t>
      </w:r>
      <w:r w:rsidR="00A92C5C" w:rsidRPr="00904FCB">
        <w:rPr>
          <w:rFonts w:hint="cs"/>
          <w:sz w:val="27"/>
          <w:rtl/>
          <w:lang w:bidi="ar-OM"/>
        </w:rPr>
        <w:t>ّ</w:t>
      </w:r>
      <w:r w:rsidRPr="00904FCB">
        <w:rPr>
          <w:rFonts w:hint="cs"/>
          <w:sz w:val="27"/>
          <w:rtl/>
          <w:lang w:bidi="ar-OM"/>
        </w:rPr>
        <w:t>سات، ولا يكون استبداديا</w:t>
      </w:r>
      <w:r w:rsidR="00A92C5C" w:rsidRPr="00904FCB">
        <w:rPr>
          <w:rFonts w:hint="cs"/>
          <w:sz w:val="27"/>
          <w:rtl/>
          <w:lang w:bidi="ar-OM"/>
        </w:rPr>
        <w:t>ً</w:t>
      </w:r>
      <w:r w:rsidRPr="00904FCB">
        <w:rPr>
          <w:rFonts w:hint="cs"/>
          <w:sz w:val="27"/>
          <w:rtl/>
          <w:lang w:bidi="ar-OM"/>
        </w:rPr>
        <w:t xml:space="preserve"> فرديا</w:t>
      </w:r>
      <w:r w:rsidR="00A92C5C" w:rsidRPr="00904FCB">
        <w:rPr>
          <w:rFonts w:hint="cs"/>
          <w:sz w:val="27"/>
          <w:rtl/>
          <w:lang w:bidi="ar-OM"/>
        </w:rPr>
        <w:t>ً</w:t>
      </w:r>
      <w:r w:rsidRPr="00904FCB">
        <w:rPr>
          <w:rFonts w:hint="cs"/>
          <w:sz w:val="27"/>
          <w:rtl/>
          <w:lang w:bidi="ar-OM"/>
        </w:rPr>
        <w:t>، بحيث لا يمارس الحاكم سلطته على الناس وفقا</w:t>
      </w:r>
      <w:r w:rsidR="00A92C5C" w:rsidRPr="00904FCB">
        <w:rPr>
          <w:rFonts w:hint="cs"/>
          <w:sz w:val="27"/>
          <w:rtl/>
          <w:lang w:bidi="ar-OM"/>
        </w:rPr>
        <w:t>ً</w:t>
      </w:r>
      <w:r w:rsidRPr="00904FCB">
        <w:rPr>
          <w:rFonts w:hint="cs"/>
          <w:sz w:val="27"/>
          <w:rtl/>
          <w:lang w:bidi="ar-OM"/>
        </w:rPr>
        <w:t xml:space="preserve"> لفهمه أو لهواه الخاص</w:t>
      </w:r>
      <w:r w:rsidR="00A92C5C" w:rsidRPr="00904FCB">
        <w:rPr>
          <w:rFonts w:hint="cs"/>
          <w:sz w:val="27"/>
          <w:rtl/>
          <w:lang w:bidi="ar-OM"/>
        </w:rPr>
        <w:t>ّ</w:t>
      </w:r>
      <w:r w:rsidRPr="00904FCB">
        <w:rPr>
          <w:rFonts w:hint="cs"/>
          <w:sz w:val="27"/>
          <w:rtl/>
          <w:lang w:bidi="ar-OM"/>
        </w:rPr>
        <w:t>، بل يحكم بما تقضي به مؤس</w:t>
      </w:r>
      <w:r w:rsidR="00A92C5C" w:rsidRPr="00904FCB">
        <w:rPr>
          <w:rFonts w:hint="cs"/>
          <w:sz w:val="27"/>
          <w:rtl/>
          <w:lang w:bidi="ar-OM"/>
        </w:rPr>
        <w:t>ّ</w:t>
      </w:r>
      <w:r w:rsidRPr="00904FCB">
        <w:rPr>
          <w:rFonts w:hint="cs"/>
          <w:sz w:val="27"/>
          <w:rtl/>
          <w:lang w:bidi="ar-OM"/>
        </w:rPr>
        <w:t>سات الشورى التي انتخب الشعب أعضاءها باختيار</w:t>
      </w:r>
      <w:r w:rsidR="00A92C5C" w:rsidRPr="00904FCB">
        <w:rPr>
          <w:rFonts w:hint="cs"/>
          <w:sz w:val="27"/>
          <w:rtl/>
          <w:lang w:bidi="ar-OM"/>
        </w:rPr>
        <w:t>ٍ</w:t>
      </w:r>
      <w:r w:rsidRPr="00904FCB">
        <w:rPr>
          <w:rFonts w:hint="cs"/>
          <w:sz w:val="27"/>
          <w:rtl/>
          <w:lang w:bidi="ar-OM"/>
        </w:rPr>
        <w:t xml:space="preserve"> ح</w:t>
      </w:r>
      <w:r w:rsidR="00A92C5C" w:rsidRPr="00904FCB">
        <w:rPr>
          <w:rFonts w:hint="cs"/>
          <w:sz w:val="27"/>
          <w:rtl/>
          <w:lang w:bidi="ar-OM"/>
        </w:rPr>
        <w:t>ُ</w:t>
      </w:r>
      <w:r w:rsidRPr="00904FCB">
        <w:rPr>
          <w:rFonts w:hint="cs"/>
          <w:sz w:val="27"/>
          <w:rtl/>
          <w:lang w:bidi="ar-OM"/>
        </w:rPr>
        <w:t>ر</w:t>
      </w:r>
      <w:r w:rsidR="00A92C5C" w:rsidRPr="00904FCB">
        <w:rPr>
          <w:rFonts w:hint="cs"/>
          <w:sz w:val="27"/>
          <w:rtl/>
          <w:lang w:bidi="ar-OM"/>
        </w:rPr>
        <w:t>ّ</w:t>
      </w:r>
      <w:r w:rsidRPr="00904FCB">
        <w:rPr>
          <w:rFonts w:hint="cs"/>
          <w:sz w:val="27"/>
          <w:rtl/>
          <w:lang w:bidi="ar-OM"/>
        </w:rPr>
        <w:t xml:space="preserve"> وإرادة ح</w:t>
      </w:r>
      <w:r w:rsidR="00A92C5C" w:rsidRPr="00904FCB">
        <w:rPr>
          <w:rFonts w:hint="cs"/>
          <w:sz w:val="27"/>
          <w:rtl/>
          <w:lang w:bidi="ar-OM"/>
        </w:rPr>
        <w:t>ُ</w:t>
      </w:r>
      <w:r w:rsidRPr="00904FCB">
        <w:rPr>
          <w:rFonts w:hint="cs"/>
          <w:sz w:val="27"/>
          <w:rtl/>
          <w:lang w:bidi="ar-OM"/>
        </w:rPr>
        <w:t>ر</w:t>
      </w:r>
      <w:r w:rsidR="00A92C5C" w:rsidRPr="00904FCB">
        <w:rPr>
          <w:rFonts w:hint="cs"/>
          <w:sz w:val="27"/>
          <w:rtl/>
          <w:lang w:bidi="ar-OM"/>
        </w:rPr>
        <w:t>ّ</w:t>
      </w:r>
      <w:r w:rsidRPr="00904FCB">
        <w:rPr>
          <w:rFonts w:hint="cs"/>
          <w:sz w:val="27"/>
          <w:rtl/>
          <w:lang w:bidi="ar-OM"/>
        </w:rPr>
        <w:t>ة، وتمارس هذه المؤس</w:t>
      </w:r>
      <w:r w:rsidR="00A92C5C" w:rsidRPr="00904FCB">
        <w:rPr>
          <w:rFonts w:hint="cs"/>
          <w:sz w:val="27"/>
          <w:rtl/>
          <w:lang w:bidi="ar-OM"/>
        </w:rPr>
        <w:t>ّ</w:t>
      </w:r>
      <w:r w:rsidRPr="00904FCB">
        <w:rPr>
          <w:rFonts w:hint="cs"/>
          <w:sz w:val="27"/>
          <w:rtl/>
          <w:lang w:bidi="ar-OM"/>
        </w:rPr>
        <w:t>سات سلطتها في التقنين والمراقبة بإرادة ح</w:t>
      </w:r>
      <w:r w:rsidR="00A92C5C" w:rsidRPr="00904FCB">
        <w:rPr>
          <w:rFonts w:hint="cs"/>
          <w:sz w:val="27"/>
          <w:rtl/>
          <w:lang w:bidi="ar-OM"/>
        </w:rPr>
        <w:t>ُ</w:t>
      </w:r>
      <w:r w:rsidRPr="00904FCB">
        <w:rPr>
          <w:rFonts w:hint="cs"/>
          <w:sz w:val="27"/>
          <w:rtl/>
          <w:lang w:bidi="ar-OM"/>
        </w:rPr>
        <w:t>ر</w:t>
      </w:r>
      <w:r w:rsidR="00A92C5C" w:rsidRPr="00904FCB">
        <w:rPr>
          <w:rFonts w:hint="cs"/>
          <w:sz w:val="27"/>
          <w:rtl/>
          <w:lang w:bidi="ar-OM"/>
        </w:rPr>
        <w:t>ّ</w:t>
      </w:r>
      <w:r w:rsidRPr="00904FCB">
        <w:rPr>
          <w:rFonts w:hint="cs"/>
          <w:sz w:val="27"/>
          <w:rtl/>
          <w:lang w:bidi="ar-OM"/>
        </w:rPr>
        <w:t>ة. فالحاكم هنا يمارس سلطته مقيدا</w:t>
      </w:r>
      <w:r w:rsidR="00A92C5C" w:rsidRPr="00904FCB">
        <w:rPr>
          <w:rFonts w:hint="cs"/>
          <w:sz w:val="27"/>
          <w:rtl/>
          <w:lang w:bidi="ar-OM"/>
        </w:rPr>
        <w:t>ً</w:t>
      </w:r>
      <w:r w:rsidRPr="00904FCB">
        <w:rPr>
          <w:rFonts w:hint="cs"/>
          <w:sz w:val="27"/>
          <w:rtl/>
          <w:lang w:bidi="ar-OM"/>
        </w:rPr>
        <w:t xml:space="preserve"> بالشورى والمؤس</w:t>
      </w:r>
      <w:r w:rsidR="00A92C5C" w:rsidRPr="00904FCB">
        <w:rPr>
          <w:rFonts w:hint="cs"/>
          <w:sz w:val="27"/>
          <w:rtl/>
          <w:lang w:bidi="ar-OM"/>
        </w:rPr>
        <w:t>ّ</w:t>
      </w:r>
      <w:r w:rsidRPr="00904FCB">
        <w:rPr>
          <w:rFonts w:hint="cs"/>
          <w:sz w:val="27"/>
          <w:rtl/>
          <w:lang w:bidi="ar-OM"/>
        </w:rPr>
        <w:t>سات والقوانين</w:t>
      </w:r>
      <w:r w:rsidR="00A92C5C" w:rsidRPr="00904FCB">
        <w:rPr>
          <w:rFonts w:hint="cs"/>
          <w:sz w:val="27"/>
          <w:rtl/>
          <w:lang w:bidi="ar-OM"/>
        </w:rPr>
        <w:t>،</w:t>
      </w:r>
      <w:r w:rsidRPr="00904FCB">
        <w:rPr>
          <w:rFonts w:hint="cs"/>
          <w:sz w:val="27"/>
          <w:rtl/>
          <w:lang w:bidi="ar-OM"/>
        </w:rPr>
        <w:t xml:space="preserve"> ويخضع لمراقبة ومحاسبة الشعب بواسطة ممث</w:t>
      </w:r>
      <w:r w:rsidR="00A92C5C" w:rsidRPr="00904FCB">
        <w:rPr>
          <w:rFonts w:hint="cs"/>
          <w:sz w:val="27"/>
          <w:rtl/>
          <w:lang w:bidi="ar-OM"/>
        </w:rPr>
        <w:t>ِّ</w:t>
      </w:r>
      <w:r w:rsidRPr="00904FCB">
        <w:rPr>
          <w:rFonts w:hint="cs"/>
          <w:sz w:val="27"/>
          <w:rtl/>
          <w:lang w:bidi="ar-OM"/>
        </w:rPr>
        <w:t>ليه المنتخبين من قبله بح</w:t>
      </w:r>
      <w:r w:rsidR="00A92C5C" w:rsidRPr="00904FCB">
        <w:rPr>
          <w:rFonts w:hint="cs"/>
          <w:sz w:val="27"/>
          <w:rtl/>
          <w:lang w:bidi="ar-OM"/>
        </w:rPr>
        <w:t>ُ</w:t>
      </w:r>
      <w:r w:rsidRPr="00904FCB">
        <w:rPr>
          <w:rFonts w:hint="cs"/>
          <w:sz w:val="27"/>
          <w:rtl/>
          <w:lang w:bidi="ar-OM"/>
        </w:rPr>
        <w:t>ر</w:t>
      </w:r>
      <w:r w:rsidR="00A92C5C" w:rsidRPr="00904FCB">
        <w:rPr>
          <w:rFonts w:hint="cs"/>
          <w:sz w:val="27"/>
          <w:rtl/>
          <w:lang w:bidi="ar-OM"/>
        </w:rPr>
        <w:t>ّ</w:t>
      </w:r>
      <w:r w:rsidR="002B7B16">
        <w:rPr>
          <w:rFonts w:hint="cs"/>
          <w:sz w:val="27"/>
          <w:rtl/>
          <w:lang w:bidi="ar-OM"/>
        </w:rPr>
        <w:t>ِ</w:t>
      </w:r>
      <w:r w:rsidRPr="00904FCB">
        <w:rPr>
          <w:rFonts w:hint="cs"/>
          <w:sz w:val="27"/>
          <w:rtl/>
          <w:lang w:bidi="ar-OM"/>
        </w:rPr>
        <w:t>ية</w:t>
      </w:r>
      <w:r w:rsidR="00A92C5C" w:rsidRPr="00904FCB">
        <w:rPr>
          <w:rFonts w:hint="cs"/>
          <w:sz w:val="27"/>
          <w:rtl/>
          <w:lang w:bidi="ar-OM"/>
        </w:rPr>
        <w:t>،</w:t>
      </w:r>
      <w:r w:rsidRPr="00904FCB">
        <w:rPr>
          <w:rFonts w:hint="cs"/>
          <w:sz w:val="27"/>
          <w:rtl/>
          <w:lang w:bidi="ar-OM"/>
        </w:rPr>
        <w:t xml:space="preserve"> وبواسطة رقابة مؤس</w:t>
      </w:r>
      <w:r w:rsidR="00A92C5C" w:rsidRPr="00904FCB">
        <w:rPr>
          <w:rFonts w:hint="cs"/>
          <w:sz w:val="27"/>
          <w:rtl/>
          <w:lang w:bidi="ar-OM"/>
        </w:rPr>
        <w:t>ّ</w:t>
      </w:r>
      <w:r w:rsidRPr="00904FCB">
        <w:rPr>
          <w:rFonts w:hint="cs"/>
          <w:sz w:val="27"/>
          <w:rtl/>
          <w:lang w:bidi="ar-OM"/>
        </w:rPr>
        <w:t>سات المجتمع الأهلي</w:t>
      </w:r>
      <w:r w:rsidRPr="00904FCB">
        <w:rPr>
          <w:rFonts w:hint="cs"/>
          <w:sz w:val="27"/>
          <w:vertAlign w:val="superscript"/>
          <w:rtl/>
        </w:rPr>
        <w:t>(</w:t>
      </w:r>
      <w:r w:rsidRPr="00904FCB">
        <w:rPr>
          <w:rStyle w:val="ac"/>
          <w:sz w:val="27"/>
          <w:rtl/>
        </w:rPr>
        <w:endnoteReference w:id="195"/>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 xml:space="preserve">ويبدو من هذا الرأي </w:t>
      </w:r>
      <w:r w:rsidR="00A92C5C" w:rsidRPr="00904FCB">
        <w:rPr>
          <w:rFonts w:hint="cs"/>
          <w:sz w:val="27"/>
          <w:rtl/>
          <w:lang w:bidi="ar-OM"/>
        </w:rPr>
        <w:t>أ</w:t>
      </w:r>
      <w:r w:rsidRPr="00904FCB">
        <w:rPr>
          <w:rFonts w:hint="cs"/>
          <w:sz w:val="27"/>
          <w:rtl/>
          <w:lang w:bidi="ar-OM"/>
        </w:rPr>
        <w:t xml:space="preserve">نه ينطلق من أحد أمرين: </w:t>
      </w:r>
    </w:p>
    <w:p w:rsidR="00644408" w:rsidRPr="00904FCB" w:rsidRDefault="00644408" w:rsidP="007A21AA">
      <w:pPr>
        <w:spacing w:line="400" w:lineRule="exact"/>
        <w:rPr>
          <w:sz w:val="27"/>
          <w:lang w:bidi="ar-OM"/>
        </w:rPr>
      </w:pPr>
      <w:r w:rsidRPr="00904FCB">
        <w:rPr>
          <w:rFonts w:hint="cs"/>
          <w:sz w:val="27"/>
          <w:rtl/>
          <w:lang w:bidi="ar-OM"/>
        </w:rPr>
        <w:t xml:space="preserve"> </w:t>
      </w:r>
      <w:r w:rsidRPr="00904FCB">
        <w:rPr>
          <w:rFonts w:hint="cs"/>
          <w:b/>
          <w:bCs/>
          <w:sz w:val="27"/>
          <w:rtl/>
          <w:lang w:bidi="ar-OM"/>
        </w:rPr>
        <w:t>الأول</w:t>
      </w:r>
      <w:r w:rsidRPr="00904FCB">
        <w:rPr>
          <w:rFonts w:hint="cs"/>
          <w:sz w:val="27"/>
          <w:rtl/>
          <w:lang w:bidi="ar-OM"/>
        </w:rPr>
        <w:t>: كأن</w:t>
      </w:r>
      <w:r w:rsidR="00A92C5C" w:rsidRPr="00904FCB">
        <w:rPr>
          <w:rFonts w:hint="cs"/>
          <w:sz w:val="27"/>
          <w:rtl/>
          <w:lang w:bidi="ar-OM"/>
        </w:rPr>
        <w:t>ّ</w:t>
      </w:r>
      <w:r w:rsidRPr="00904FCB">
        <w:rPr>
          <w:rFonts w:hint="cs"/>
          <w:sz w:val="27"/>
          <w:rtl/>
          <w:lang w:bidi="ar-OM"/>
        </w:rPr>
        <w:t xml:space="preserve"> سبب المنع الشرعي </w:t>
      </w:r>
      <w:r w:rsidRPr="00904FCB">
        <w:rPr>
          <w:sz w:val="27"/>
          <w:rtl/>
          <w:lang w:bidi="ar-OM"/>
        </w:rPr>
        <w:t>ـ</w:t>
      </w:r>
      <w:r w:rsidRPr="00904FCB">
        <w:rPr>
          <w:rFonts w:hint="cs"/>
          <w:sz w:val="27"/>
          <w:rtl/>
          <w:lang w:bidi="ar-OM"/>
        </w:rPr>
        <w:t xml:space="preserve"> عند م</w:t>
      </w:r>
      <w:r w:rsidR="00A92C5C" w:rsidRPr="00904FCB">
        <w:rPr>
          <w:rFonts w:hint="cs"/>
          <w:sz w:val="27"/>
          <w:rtl/>
          <w:lang w:bidi="ar-OM"/>
        </w:rPr>
        <w:t>َ</w:t>
      </w:r>
      <w:r w:rsidRPr="00904FCB">
        <w:rPr>
          <w:rFonts w:hint="cs"/>
          <w:sz w:val="27"/>
          <w:rtl/>
          <w:lang w:bidi="ar-OM"/>
        </w:rPr>
        <w:t>ن</w:t>
      </w:r>
      <w:r w:rsidR="00A92C5C" w:rsidRPr="00904FCB">
        <w:rPr>
          <w:rFonts w:hint="cs"/>
          <w:sz w:val="27"/>
          <w:rtl/>
          <w:lang w:bidi="ar-OM"/>
        </w:rPr>
        <w:t>ْ</w:t>
      </w:r>
      <w:r w:rsidRPr="00904FCB">
        <w:rPr>
          <w:rFonts w:hint="cs"/>
          <w:sz w:val="27"/>
          <w:rtl/>
          <w:lang w:bidi="ar-OM"/>
        </w:rPr>
        <w:t xml:space="preserve"> يراه ـ جاء للحيلولة دون استبداد المرأة في الحكم والسلطة</w:t>
      </w:r>
      <w:r w:rsidR="00A92C5C" w:rsidRPr="00904FCB">
        <w:rPr>
          <w:rFonts w:hint="cs"/>
          <w:sz w:val="27"/>
          <w:rtl/>
          <w:lang w:bidi="ar-OM"/>
        </w:rPr>
        <w:t>،</w:t>
      </w:r>
      <w:r w:rsidRPr="00904FCB">
        <w:rPr>
          <w:rFonts w:hint="cs"/>
          <w:sz w:val="27"/>
          <w:rtl/>
          <w:lang w:bidi="ar-OM"/>
        </w:rPr>
        <w:t xml:space="preserve"> والذي يؤول إلى تراكم الأخطاء والمظالم، وليس لعدم أهلي</w:t>
      </w:r>
      <w:r w:rsidR="00A92C5C" w:rsidRPr="00904FCB">
        <w:rPr>
          <w:rFonts w:hint="cs"/>
          <w:sz w:val="27"/>
          <w:rtl/>
          <w:lang w:bidi="ar-OM"/>
        </w:rPr>
        <w:t>ّ</w:t>
      </w:r>
      <w:r w:rsidRPr="00904FCB">
        <w:rPr>
          <w:rFonts w:hint="cs"/>
          <w:sz w:val="27"/>
          <w:rtl/>
          <w:lang w:bidi="ar-OM"/>
        </w:rPr>
        <w:t xml:space="preserve">تها لذلك بكونها امرأة. والحال </w:t>
      </w:r>
      <w:r w:rsidR="00A92C5C" w:rsidRPr="00904FCB">
        <w:rPr>
          <w:rFonts w:hint="cs"/>
          <w:sz w:val="27"/>
          <w:rtl/>
          <w:lang w:bidi="ar-OM"/>
        </w:rPr>
        <w:t xml:space="preserve">أنه </w:t>
      </w:r>
      <w:r w:rsidRPr="00904FCB">
        <w:rPr>
          <w:rFonts w:hint="cs"/>
          <w:sz w:val="27"/>
          <w:rtl/>
          <w:lang w:bidi="ar-OM"/>
        </w:rPr>
        <w:t>لا يظهر هذا المعنى في كلمات الفقهاء</w:t>
      </w:r>
      <w:r w:rsidR="00A92C5C" w:rsidRPr="00904FCB">
        <w:rPr>
          <w:rFonts w:hint="cs"/>
          <w:sz w:val="27"/>
          <w:rtl/>
          <w:lang w:bidi="ar-OM"/>
        </w:rPr>
        <w:t>،</w:t>
      </w:r>
      <w:r w:rsidRPr="00904FCB">
        <w:rPr>
          <w:rFonts w:hint="cs"/>
          <w:sz w:val="27"/>
          <w:rtl/>
          <w:lang w:bidi="ar-OM"/>
        </w:rPr>
        <w:t xml:space="preserve"> ولا في النصوص التي يستندون </w:t>
      </w:r>
      <w:r w:rsidR="00A92C5C" w:rsidRPr="00904FCB">
        <w:rPr>
          <w:rFonts w:hint="cs"/>
          <w:sz w:val="27"/>
          <w:rtl/>
          <w:lang w:bidi="ar-OM"/>
        </w:rPr>
        <w:t>إ</w:t>
      </w:r>
      <w:r w:rsidRPr="00904FCB">
        <w:rPr>
          <w:rFonts w:hint="cs"/>
          <w:sz w:val="27"/>
          <w:rtl/>
          <w:lang w:bidi="ar-OM"/>
        </w:rPr>
        <w:t>ليها</w:t>
      </w:r>
      <w:r w:rsidR="00A92C5C" w:rsidRPr="00904FCB">
        <w:rPr>
          <w:rFonts w:hint="cs"/>
          <w:sz w:val="27"/>
          <w:rtl/>
          <w:lang w:bidi="ar-OM"/>
        </w:rPr>
        <w:t>.</w:t>
      </w:r>
      <w:r w:rsidRPr="00904FCB">
        <w:rPr>
          <w:rFonts w:hint="cs"/>
          <w:sz w:val="27"/>
          <w:rtl/>
          <w:lang w:bidi="ar-OM"/>
        </w:rPr>
        <w:t xml:space="preserve"> الله</w:t>
      </w:r>
      <w:r w:rsidR="00A92C5C" w:rsidRPr="00904FCB">
        <w:rPr>
          <w:rFonts w:hint="cs"/>
          <w:sz w:val="27"/>
          <w:rtl/>
          <w:lang w:bidi="ar-OM"/>
        </w:rPr>
        <w:t>ُ</w:t>
      </w:r>
      <w:r w:rsidRPr="00904FCB">
        <w:rPr>
          <w:rFonts w:hint="cs"/>
          <w:sz w:val="27"/>
          <w:rtl/>
          <w:lang w:bidi="ar-OM"/>
        </w:rPr>
        <w:t>م</w:t>
      </w:r>
      <w:r w:rsidR="00A92C5C" w:rsidRPr="00904FCB">
        <w:rPr>
          <w:rFonts w:hint="cs"/>
          <w:sz w:val="27"/>
          <w:rtl/>
          <w:lang w:bidi="ar-OM"/>
        </w:rPr>
        <w:t>ّ</w:t>
      </w:r>
      <w:r w:rsidRPr="00904FCB">
        <w:rPr>
          <w:rFonts w:hint="cs"/>
          <w:sz w:val="27"/>
          <w:rtl/>
          <w:lang w:bidi="ar-OM"/>
        </w:rPr>
        <w:t xml:space="preserve"> إلا</w:t>
      </w:r>
      <w:r w:rsidR="00A92C5C" w:rsidRPr="00904FCB">
        <w:rPr>
          <w:rFonts w:hint="cs"/>
          <w:sz w:val="27"/>
          <w:rtl/>
          <w:lang w:bidi="ar-OM"/>
        </w:rPr>
        <w:t>ّ</w:t>
      </w:r>
      <w:r w:rsidRPr="00904FCB">
        <w:rPr>
          <w:rFonts w:hint="cs"/>
          <w:sz w:val="27"/>
          <w:rtl/>
          <w:lang w:bidi="ar-OM"/>
        </w:rPr>
        <w:t xml:space="preserve"> في</w:t>
      </w:r>
      <w:r w:rsidR="00A92C5C" w:rsidRPr="00904FCB">
        <w:rPr>
          <w:rFonts w:hint="cs"/>
          <w:sz w:val="27"/>
          <w:rtl/>
          <w:lang w:bidi="ar-OM"/>
        </w:rPr>
        <w:t xml:space="preserve"> </w:t>
      </w:r>
      <w:r w:rsidRPr="00904FCB">
        <w:rPr>
          <w:rFonts w:hint="cs"/>
          <w:sz w:val="27"/>
          <w:rtl/>
          <w:lang w:bidi="ar-OM"/>
        </w:rPr>
        <w:t xml:space="preserve">ما فهمه </w:t>
      </w:r>
      <w:r w:rsidR="00A92C5C" w:rsidRPr="00904FCB">
        <w:rPr>
          <w:rFonts w:hint="cs"/>
          <w:sz w:val="27"/>
          <w:rtl/>
          <w:lang w:bidi="ar-OM"/>
        </w:rPr>
        <w:t>ال</w:t>
      </w:r>
      <w:r w:rsidRPr="00904FCB">
        <w:rPr>
          <w:rFonts w:hint="cs"/>
          <w:sz w:val="27"/>
          <w:rtl/>
          <w:lang w:bidi="ar-OM"/>
        </w:rPr>
        <w:t xml:space="preserve">بعض من السياق التاريخي للواقعة </w:t>
      </w:r>
      <w:r w:rsidRPr="00904FCB">
        <w:rPr>
          <w:rFonts w:hint="cs"/>
          <w:sz w:val="27"/>
          <w:rtl/>
          <w:lang w:bidi="ar-OM"/>
        </w:rPr>
        <w:lastRenderedPageBreak/>
        <w:t>التي ورد فيها حديث</w:t>
      </w:r>
      <w:r w:rsidR="00A92C5C" w:rsidRPr="00904FCB">
        <w:rPr>
          <w:rFonts w:hint="cs"/>
          <w:sz w:val="27"/>
          <w:rtl/>
          <w:lang w:bidi="ar-OM"/>
        </w:rPr>
        <w:t>:</w:t>
      </w:r>
      <w:r w:rsidRPr="00904FCB">
        <w:rPr>
          <w:rFonts w:hint="cs"/>
          <w:sz w:val="27"/>
          <w:rtl/>
          <w:lang w:bidi="ar-OM"/>
        </w:rPr>
        <w:t xml:space="preserve"> لن يفلح قوم</w:t>
      </w:r>
      <w:r w:rsidR="00A92C5C" w:rsidRPr="00904FCB">
        <w:rPr>
          <w:rFonts w:hint="cs"/>
          <w:sz w:val="27"/>
          <w:rtl/>
          <w:lang w:bidi="ar-OM"/>
        </w:rPr>
        <w:t>ٌ</w:t>
      </w:r>
      <w:r w:rsidRPr="00904FCB">
        <w:rPr>
          <w:rFonts w:hint="cs"/>
          <w:sz w:val="27"/>
          <w:rtl/>
          <w:lang w:bidi="ar-OM"/>
        </w:rPr>
        <w:t xml:space="preserve"> ول</w:t>
      </w:r>
      <w:r w:rsidR="00A92C5C" w:rsidRPr="00904FCB">
        <w:rPr>
          <w:rFonts w:hint="cs"/>
          <w:sz w:val="27"/>
          <w:rtl/>
          <w:lang w:bidi="ar-OM"/>
        </w:rPr>
        <w:t>ّ</w:t>
      </w:r>
      <w:r w:rsidRPr="00904FCB">
        <w:rPr>
          <w:rFonts w:hint="cs"/>
          <w:sz w:val="27"/>
          <w:rtl/>
          <w:lang w:bidi="ar-OM"/>
        </w:rPr>
        <w:t>وا أمرهم امرأة، وهو الدولة الك</w:t>
      </w:r>
      <w:r w:rsidR="00A92C5C" w:rsidRPr="00904FCB">
        <w:rPr>
          <w:rFonts w:hint="cs"/>
          <w:sz w:val="27"/>
          <w:rtl/>
          <w:lang w:bidi="ar-OM"/>
        </w:rPr>
        <w:t>ِ</w:t>
      </w:r>
      <w:r w:rsidRPr="00904FCB">
        <w:rPr>
          <w:rFonts w:hint="cs"/>
          <w:sz w:val="27"/>
          <w:rtl/>
          <w:lang w:bidi="ar-OM"/>
        </w:rPr>
        <w:t>س</w:t>
      </w:r>
      <w:r w:rsidR="00A92C5C" w:rsidRPr="00904FCB">
        <w:rPr>
          <w:rFonts w:hint="cs"/>
          <w:sz w:val="27"/>
          <w:rtl/>
          <w:lang w:bidi="ar-OM"/>
        </w:rPr>
        <w:t>ْ</w:t>
      </w:r>
      <w:r w:rsidRPr="00904FCB">
        <w:rPr>
          <w:rFonts w:hint="cs"/>
          <w:sz w:val="27"/>
          <w:rtl/>
          <w:lang w:bidi="ar-OM"/>
        </w:rPr>
        <w:t>روية الاستبدادية</w:t>
      </w:r>
      <w:r w:rsidRPr="00904FCB">
        <w:rPr>
          <w:rFonts w:hint="cs"/>
          <w:sz w:val="27"/>
          <w:vertAlign w:val="superscript"/>
          <w:rtl/>
        </w:rPr>
        <w:t>(</w:t>
      </w:r>
      <w:r w:rsidRPr="00904FCB">
        <w:rPr>
          <w:rStyle w:val="ac"/>
          <w:sz w:val="27"/>
          <w:rtl/>
        </w:rPr>
        <w:endnoteReference w:id="196"/>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 xml:space="preserve"> ثم</w:t>
      </w:r>
      <w:r w:rsidR="00A92C5C" w:rsidRPr="00904FCB">
        <w:rPr>
          <w:rFonts w:hint="cs"/>
          <w:sz w:val="27"/>
          <w:rtl/>
          <w:lang w:bidi="ar-OM"/>
        </w:rPr>
        <w:t>ّ</w:t>
      </w:r>
      <w:r w:rsidRPr="00904FCB">
        <w:rPr>
          <w:rFonts w:hint="cs"/>
          <w:sz w:val="27"/>
          <w:rtl/>
          <w:lang w:bidi="ar-OM"/>
        </w:rPr>
        <w:t xml:space="preserve"> إذا كان الاستفراد والاستبداد بالسلطة مذموما</w:t>
      </w:r>
      <w:r w:rsidR="00A92C5C" w:rsidRPr="00904FCB">
        <w:rPr>
          <w:rFonts w:hint="cs"/>
          <w:sz w:val="27"/>
          <w:rtl/>
          <w:lang w:bidi="ar-OM"/>
        </w:rPr>
        <w:t>ً؛</w:t>
      </w:r>
      <w:r w:rsidRPr="00904FCB">
        <w:rPr>
          <w:rFonts w:hint="cs"/>
          <w:sz w:val="27"/>
          <w:rtl/>
          <w:lang w:bidi="ar-OM"/>
        </w:rPr>
        <w:t xml:space="preserve"> لما يسب</w:t>
      </w:r>
      <w:r w:rsidR="00A92C5C" w:rsidRPr="00904FCB">
        <w:rPr>
          <w:rFonts w:hint="cs"/>
          <w:sz w:val="27"/>
          <w:rtl/>
          <w:lang w:bidi="ar-OM"/>
        </w:rPr>
        <w:t>ِّ</w:t>
      </w:r>
      <w:r w:rsidRPr="00904FCB">
        <w:rPr>
          <w:rFonts w:hint="cs"/>
          <w:sz w:val="27"/>
          <w:rtl/>
          <w:lang w:bidi="ar-OM"/>
        </w:rPr>
        <w:t>به من مظالم</w:t>
      </w:r>
      <w:r w:rsidR="00A92C5C" w:rsidRPr="00904FCB">
        <w:rPr>
          <w:rFonts w:hint="cs"/>
          <w:sz w:val="27"/>
          <w:rtl/>
          <w:lang w:bidi="ar-OM"/>
        </w:rPr>
        <w:t>،</w:t>
      </w:r>
      <w:r w:rsidRPr="00904FCB">
        <w:rPr>
          <w:rFonts w:hint="cs"/>
          <w:sz w:val="27"/>
          <w:rtl/>
          <w:lang w:bidi="ar-OM"/>
        </w:rPr>
        <w:t xml:space="preserve"> فإنه والحال هذه لا يكون مقتصرا</w:t>
      </w:r>
      <w:r w:rsidR="00A92C5C" w:rsidRPr="00904FCB">
        <w:rPr>
          <w:rFonts w:hint="cs"/>
          <w:sz w:val="27"/>
          <w:rtl/>
          <w:lang w:bidi="ar-OM"/>
        </w:rPr>
        <w:t>ً</w:t>
      </w:r>
      <w:r w:rsidRPr="00904FCB">
        <w:rPr>
          <w:rFonts w:hint="cs"/>
          <w:sz w:val="27"/>
          <w:rtl/>
          <w:lang w:bidi="ar-OM"/>
        </w:rPr>
        <w:t xml:space="preserve"> على النساء</w:t>
      </w:r>
      <w:r w:rsidR="00A92C5C" w:rsidRPr="00904FCB">
        <w:rPr>
          <w:rFonts w:hint="cs"/>
          <w:sz w:val="27"/>
          <w:rtl/>
          <w:lang w:bidi="ar-OM"/>
        </w:rPr>
        <w:t>،</w:t>
      </w:r>
      <w:r w:rsidRPr="00904FCB">
        <w:rPr>
          <w:rFonts w:hint="cs"/>
          <w:sz w:val="27"/>
          <w:rtl/>
          <w:lang w:bidi="ar-OM"/>
        </w:rPr>
        <w:t xml:space="preserve"> دون الرجال، مع </w:t>
      </w:r>
      <w:r w:rsidR="00A92C5C" w:rsidRPr="00904FCB">
        <w:rPr>
          <w:rFonts w:hint="cs"/>
          <w:sz w:val="27"/>
          <w:rtl/>
          <w:lang w:bidi="ar-OM"/>
        </w:rPr>
        <w:t>أ</w:t>
      </w:r>
      <w:r w:rsidRPr="00904FCB">
        <w:rPr>
          <w:rFonts w:hint="cs"/>
          <w:sz w:val="27"/>
          <w:rtl/>
          <w:lang w:bidi="ar-OM"/>
        </w:rPr>
        <w:t>ن الروايات التي يستدل</w:t>
      </w:r>
      <w:r w:rsidR="00A92C5C" w:rsidRPr="00904FCB">
        <w:rPr>
          <w:rFonts w:hint="cs"/>
          <w:sz w:val="27"/>
          <w:rtl/>
          <w:lang w:bidi="ar-OM"/>
        </w:rPr>
        <w:t>ّ</w:t>
      </w:r>
      <w:r w:rsidRPr="00904FCB">
        <w:rPr>
          <w:rFonts w:hint="cs"/>
          <w:sz w:val="27"/>
          <w:rtl/>
          <w:lang w:bidi="ar-OM"/>
        </w:rPr>
        <w:t xml:space="preserve"> بها في المقام تختص</w:t>
      </w:r>
      <w:r w:rsidR="00A92C5C" w:rsidRPr="00904FCB">
        <w:rPr>
          <w:rFonts w:hint="cs"/>
          <w:sz w:val="27"/>
          <w:rtl/>
          <w:lang w:bidi="ar-OM"/>
        </w:rPr>
        <w:t>ّ</w:t>
      </w:r>
      <w:r w:rsidRPr="00904FCB">
        <w:rPr>
          <w:rFonts w:hint="cs"/>
          <w:sz w:val="27"/>
          <w:rtl/>
          <w:lang w:bidi="ar-OM"/>
        </w:rPr>
        <w:t xml:space="preserve"> بالنساء. </w:t>
      </w:r>
    </w:p>
    <w:p w:rsidR="00644408" w:rsidRPr="00904FCB" w:rsidRDefault="00644408" w:rsidP="007A21AA">
      <w:pPr>
        <w:spacing w:line="400" w:lineRule="exact"/>
        <w:rPr>
          <w:sz w:val="27"/>
          <w:rtl/>
          <w:lang w:bidi="ar-OM"/>
        </w:rPr>
      </w:pPr>
      <w:r w:rsidRPr="00904FCB">
        <w:rPr>
          <w:rFonts w:hint="cs"/>
          <w:b/>
          <w:bCs/>
          <w:sz w:val="27"/>
          <w:rtl/>
          <w:lang w:bidi="ar-OM"/>
        </w:rPr>
        <w:t>الثاني</w:t>
      </w:r>
      <w:r w:rsidRPr="00904FCB">
        <w:rPr>
          <w:rFonts w:hint="cs"/>
          <w:sz w:val="27"/>
          <w:rtl/>
          <w:lang w:bidi="ar-OM"/>
        </w:rPr>
        <w:t>: إن تول</w:t>
      </w:r>
      <w:r w:rsidR="00A92C5C" w:rsidRPr="00904FCB">
        <w:rPr>
          <w:rFonts w:hint="cs"/>
          <w:sz w:val="27"/>
          <w:rtl/>
          <w:lang w:bidi="ar-OM"/>
        </w:rPr>
        <w:t>ّ</w:t>
      </w:r>
      <w:r w:rsidRPr="00904FCB">
        <w:rPr>
          <w:rFonts w:hint="cs"/>
          <w:sz w:val="27"/>
          <w:rtl/>
          <w:lang w:bidi="ar-OM"/>
        </w:rPr>
        <w:t>ي الرئاسة في دولة</w:t>
      </w:r>
      <w:r w:rsidR="00A92C5C" w:rsidRPr="00904FCB">
        <w:rPr>
          <w:rFonts w:hint="cs"/>
          <w:sz w:val="27"/>
          <w:rtl/>
          <w:lang w:bidi="ar-OM"/>
        </w:rPr>
        <w:t>ٍ</w:t>
      </w:r>
      <w:r w:rsidRPr="00904FCB">
        <w:rPr>
          <w:rFonts w:hint="cs"/>
          <w:sz w:val="27"/>
          <w:rtl/>
          <w:lang w:bidi="ar-OM"/>
        </w:rPr>
        <w:t xml:space="preserve"> حديثة قائمة على دستور يفصل بين السلطات الثلاث</w:t>
      </w:r>
      <w:r w:rsidR="00A92C5C" w:rsidRPr="00904FCB">
        <w:rPr>
          <w:rFonts w:hint="cs"/>
          <w:sz w:val="27"/>
          <w:rtl/>
          <w:lang w:bidi="ar-OM"/>
        </w:rPr>
        <w:t>،</w:t>
      </w:r>
      <w:r w:rsidRPr="00904FCB">
        <w:rPr>
          <w:rFonts w:hint="cs"/>
          <w:sz w:val="27"/>
          <w:rtl/>
          <w:lang w:bidi="ar-OM"/>
        </w:rPr>
        <w:t xml:space="preserve"> وينظم العلاقة بينها وبين المؤس</w:t>
      </w:r>
      <w:r w:rsidR="00A92C5C" w:rsidRPr="00904FCB">
        <w:rPr>
          <w:rFonts w:hint="cs"/>
          <w:sz w:val="27"/>
          <w:rtl/>
          <w:lang w:bidi="ar-OM"/>
        </w:rPr>
        <w:t>َّ</w:t>
      </w:r>
      <w:r w:rsidRPr="00904FCB">
        <w:rPr>
          <w:rFonts w:hint="cs"/>
          <w:sz w:val="27"/>
          <w:rtl/>
          <w:lang w:bidi="ar-OM"/>
        </w:rPr>
        <w:t>سات الدستورية المنبثقة منه، من شأنه أن يحد</w:t>
      </w:r>
      <w:r w:rsidR="00A92C5C" w:rsidRPr="00904FCB">
        <w:rPr>
          <w:rFonts w:hint="cs"/>
          <w:sz w:val="27"/>
          <w:rtl/>
          <w:lang w:bidi="ar-OM"/>
        </w:rPr>
        <w:t>ّ</w:t>
      </w:r>
      <w:r w:rsidRPr="00904FCB">
        <w:rPr>
          <w:rFonts w:hint="cs"/>
          <w:sz w:val="27"/>
          <w:rtl/>
          <w:lang w:bidi="ar-OM"/>
        </w:rPr>
        <w:t xml:space="preserve"> من مساحة السلطة المخو</w:t>
      </w:r>
      <w:r w:rsidR="00A92C5C" w:rsidRPr="00904FCB">
        <w:rPr>
          <w:rFonts w:hint="cs"/>
          <w:sz w:val="27"/>
          <w:rtl/>
          <w:lang w:bidi="ar-OM"/>
        </w:rPr>
        <w:t>ّ</w:t>
      </w:r>
      <w:r w:rsidRPr="00904FCB">
        <w:rPr>
          <w:rFonts w:hint="cs"/>
          <w:sz w:val="27"/>
          <w:rtl/>
          <w:lang w:bidi="ar-OM"/>
        </w:rPr>
        <w:t xml:space="preserve">لة للحاكم. وعليه ليس </w:t>
      </w:r>
      <w:r w:rsidR="00A92C5C" w:rsidRPr="00904FCB">
        <w:rPr>
          <w:rFonts w:hint="cs"/>
          <w:sz w:val="27"/>
          <w:rtl/>
          <w:lang w:bidi="ar-OM"/>
        </w:rPr>
        <w:t>ما يمنع من</w:t>
      </w:r>
      <w:r w:rsidRPr="00904FCB">
        <w:rPr>
          <w:rFonts w:hint="cs"/>
          <w:sz w:val="27"/>
          <w:rtl/>
          <w:lang w:bidi="ar-OM"/>
        </w:rPr>
        <w:t xml:space="preserve"> أن تتول</w:t>
      </w:r>
      <w:r w:rsidR="00A92C5C" w:rsidRPr="00904FCB">
        <w:rPr>
          <w:rFonts w:hint="cs"/>
          <w:sz w:val="27"/>
          <w:rtl/>
          <w:lang w:bidi="ar-OM"/>
        </w:rPr>
        <w:t>ّ</w:t>
      </w:r>
      <w:r w:rsidRPr="00904FCB">
        <w:rPr>
          <w:rFonts w:hint="cs"/>
          <w:sz w:val="27"/>
          <w:rtl/>
          <w:lang w:bidi="ar-OM"/>
        </w:rPr>
        <w:t xml:space="preserve">ى المرأة السلطة في مثل هذه الدول، على اعتبار </w:t>
      </w:r>
      <w:r w:rsidR="00A92C5C" w:rsidRPr="00904FCB">
        <w:rPr>
          <w:rFonts w:hint="cs"/>
          <w:sz w:val="27"/>
          <w:rtl/>
          <w:lang w:bidi="ar-OM"/>
        </w:rPr>
        <w:t>أ</w:t>
      </w:r>
      <w:r w:rsidRPr="00904FCB">
        <w:rPr>
          <w:rFonts w:hint="cs"/>
          <w:sz w:val="27"/>
          <w:rtl/>
          <w:lang w:bidi="ar-OM"/>
        </w:rPr>
        <w:t>نه وضع جديد غير معهود في عصر النص</w:t>
      </w:r>
      <w:r w:rsidR="00A92C5C" w:rsidRPr="00904FCB">
        <w:rPr>
          <w:rFonts w:hint="cs"/>
          <w:sz w:val="27"/>
          <w:rtl/>
          <w:lang w:bidi="ar-OM"/>
        </w:rPr>
        <w:t>ّ</w:t>
      </w:r>
      <w:r w:rsidRPr="00904FCB">
        <w:rPr>
          <w:rFonts w:hint="cs"/>
          <w:sz w:val="27"/>
          <w:rtl/>
          <w:lang w:bidi="ar-OM"/>
        </w:rPr>
        <w:t xml:space="preserve"> وفي أزمنة الفقهاء الذين نظ</w:t>
      </w:r>
      <w:r w:rsidR="00A92C5C" w:rsidRPr="00904FCB">
        <w:rPr>
          <w:rFonts w:hint="cs"/>
          <w:sz w:val="27"/>
          <w:rtl/>
          <w:lang w:bidi="ar-OM"/>
        </w:rPr>
        <w:t>ّ</w:t>
      </w:r>
      <w:r w:rsidRPr="00904FCB">
        <w:rPr>
          <w:rFonts w:hint="cs"/>
          <w:sz w:val="27"/>
          <w:rtl/>
          <w:lang w:bidi="ar-OM"/>
        </w:rPr>
        <w:t>روا وقع</w:t>
      </w:r>
      <w:r w:rsidR="00A92C5C" w:rsidRPr="00904FCB">
        <w:rPr>
          <w:rFonts w:hint="cs"/>
          <w:sz w:val="27"/>
          <w:rtl/>
          <w:lang w:bidi="ar-OM"/>
        </w:rPr>
        <w:t>ّ</w:t>
      </w:r>
      <w:r w:rsidRPr="00904FCB">
        <w:rPr>
          <w:rFonts w:hint="cs"/>
          <w:sz w:val="27"/>
          <w:rtl/>
          <w:lang w:bidi="ar-OM"/>
        </w:rPr>
        <w:t>دوا قواعد الفقه السياسي، وبالتالي فإن مورد البحث خارج عن مورد بعض الروايات التي استدل</w:t>
      </w:r>
      <w:r w:rsidR="00A92C5C" w:rsidRPr="00904FCB">
        <w:rPr>
          <w:rFonts w:hint="cs"/>
          <w:sz w:val="27"/>
          <w:rtl/>
          <w:lang w:bidi="ar-OM"/>
        </w:rPr>
        <w:t>ّ</w:t>
      </w:r>
      <w:r w:rsidRPr="00904FCB">
        <w:rPr>
          <w:rFonts w:hint="cs"/>
          <w:sz w:val="27"/>
          <w:rtl/>
          <w:lang w:bidi="ar-OM"/>
        </w:rPr>
        <w:t xml:space="preserve"> بها على المنع</w:t>
      </w:r>
      <w:r w:rsidRPr="00904FCB">
        <w:rPr>
          <w:rFonts w:hint="cs"/>
          <w:sz w:val="27"/>
          <w:vertAlign w:val="superscript"/>
          <w:rtl/>
        </w:rPr>
        <w:t>(</w:t>
      </w:r>
      <w:r w:rsidRPr="00904FCB">
        <w:rPr>
          <w:rStyle w:val="ac"/>
          <w:sz w:val="27"/>
          <w:rtl/>
        </w:rPr>
        <w:endnoteReference w:id="197"/>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lang w:bidi="ar-OM"/>
        </w:rPr>
      </w:pPr>
      <w:r w:rsidRPr="00904FCB">
        <w:rPr>
          <w:rFonts w:hint="cs"/>
          <w:sz w:val="27"/>
          <w:rtl/>
          <w:lang w:bidi="ar-OM"/>
        </w:rPr>
        <w:t>ويسج</w:t>
      </w:r>
      <w:r w:rsidR="00A92C5C" w:rsidRPr="00904FCB">
        <w:rPr>
          <w:rFonts w:hint="cs"/>
          <w:sz w:val="27"/>
          <w:rtl/>
          <w:lang w:bidi="ar-OM"/>
        </w:rPr>
        <w:t>ّ</w:t>
      </w:r>
      <w:r w:rsidRPr="00904FCB">
        <w:rPr>
          <w:rFonts w:hint="cs"/>
          <w:sz w:val="27"/>
          <w:rtl/>
          <w:lang w:bidi="ar-OM"/>
        </w:rPr>
        <w:t>ل لهذا التنظير الفقهي أنه قارب القضية المطروحة من جهة التحو</w:t>
      </w:r>
      <w:r w:rsidR="00A92C5C" w:rsidRPr="00904FCB">
        <w:rPr>
          <w:rFonts w:hint="cs"/>
          <w:sz w:val="27"/>
          <w:rtl/>
          <w:lang w:bidi="ar-OM"/>
        </w:rPr>
        <w:t>ُّ</w:t>
      </w:r>
      <w:r w:rsidRPr="00904FCB">
        <w:rPr>
          <w:rFonts w:hint="cs"/>
          <w:sz w:val="27"/>
          <w:rtl/>
          <w:lang w:bidi="ar-OM"/>
        </w:rPr>
        <w:t>لات الموضوعية التي حصلت في مجال مزاولة الحكم بين الأساليب الفردية التاريخية وبين النهج المؤس</w:t>
      </w:r>
      <w:r w:rsidR="00A92C5C" w:rsidRPr="00904FCB">
        <w:rPr>
          <w:rFonts w:hint="cs"/>
          <w:sz w:val="27"/>
          <w:rtl/>
          <w:lang w:bidi="ar-OM"/>
        </w:rPr>
        <w:t>ّ</w:t>
      </w:r>
      <w:r w:rsidRPr="00904FCB">
        <w:rPr>
          <w:rFonts w:hint="cs"/>
          <w:sz w:val="27"/>
          <w:rtl/>
          <w:lang w:bidi="ar-OM"/>
        </w:rPr>
        <w:t>سي في الدولة الحديثة</w:t>
      </w:r>
      <w:r w:rsidR="00A92C5C" w:rsidRPr="00904FCB">
        <w:rPr>
          <w:rFonts w:hint="cs"/>
          <w:sz w:val="27"/>
          <w:rtl/>
          <w:lang w:bidi="ar-OM"/>
        </w:rPr>
        <w:t>،</w:t>
      </w:r>
      <w:r w:rsidRPr="00904FCB">
        <w:rPr>
          <w:rFonts w:hint="cs"/>
          <w:sz w:val="27"/>
          <w:rtl/>
          <w:lang w:bidi="ar-OM"/>
        </w:rPr>
        <w:t xml:space="preserve"> بحيث لم تعد السلطة شأنا</w:t>
      </w:r>
      <w:r w:rsidR="00A92C5C" w:rsidRPr="00904FCB">
        <w:rPr>
          <w:rFonts w:hint="cs"/>
          <w:sz w:val="27"/>
          <w:rtl/>
          <w:lang w:bidi="ar-OM"/>
        </w:rPr>
        <w:t>ً</w:t>
      </w:r>
      <w:r w:rsidRPr="00904FCB">
        <w:rPr>
          <w:rFonts w:hint="cs"/>
          <w:sz w:val="27"/>
          <w:rtl/>
          <w:lang w:bidi="ar-OM"/>
        </w:rPr>
        <w:t xml:space="preserve"> فرديا</w:t>
      </w:r>
      <w:r w:rsidR="00A92C5C" w:rsidRPr="00904FCB">
        <w:rPr>
          <w:rFonts w:hint="cs"/>
          <w:sz w:val="27"/>
          <w:rtl/>
          <w:lang w:bidi="ar-OM"/>
        </w:rPr>
        <w:t>ً</w:t>
      </w:r>
      <w:r w:rsidRPr="00904FCB">
        <w:rPr>
          <w:rFonts w:hint="cs"/>
          <w:sz w:val="27"/>
          <w:rtl/>
          <w:lang w:bidi="ar-OM"/>
        </w:rPr>
        <w:t xml:space="preserve"> في الأنظمة الدستورية الانتخابية الحديثة، والتي أك</w:t>
      </w:r>
      <w:r w:rsidR="00A92C5C" w:rsidRPr="00904FCB">
        <w:rPr>
          <w:rFonts w:hint="cs"/>
          <w:sz w:val="27"/>
          <w:rtl/>
          <w:lang w:bidi="ar-OM"/>
        </w:rPr>
        <w:t>ّ</w:t>
      </w:r>
      <w:r w:rsidRPr="00904FCB">
        <w:rPr>
          <w:rFonts w:hint="cs"/>
          <w:sz w:val="27"/>
          <w:rtl/>
          <w:lang w:bidi="ar-OM"/>
        </w:rPr>
        <w:t>د على ضرورة التقي</w:t>
      </w:r>
      <w:r w:rsidR="00A92C5C" w:rsidRPr="00904FCB">
        <w:rPr>
          <w:rFonts w:hint="cs"/>
          <w:sz w:val="27"/>
          <w:rtl/>
          <w:lang w:bidi="ar-OM"/>
        </w:rPr>
        <w:t>ُّ</w:t>
      </w:r>
      <w:r w:rsidRPr="00904FCB">
        <w:rPr>
          <w:rFonts w:hint="cs"/>
          <w:sz w:val="27"/>
          <w:rtl/>
          <w:lang w:bidi="ar-OM"/>
        </w:rPr>
        <w:t>د بها. وعليه ف</w:t>
      </w:r>
      <w:r w:rsidR="00A92C5C" w:rsidRPr="00904FCB">
        <w:rPr>
          <w:rFonts w:hint="cs"/>
          <w:sz w:val="27"/>
          <w:rtl/>
          <w:lang w:bidi="ar-OM"/>
        </w:rPr>
        <w:t>إ</w:t>
      </w:r>
      <w:r w:rsidRPr="00904FCB">
        <w:rPr>
          <w:rFonts w:hint="cs"/>
          <w:sz w:val="27"/>
          <w:rtl/>
          <w:lang w:bidi="ar-OM"/>
        </w:rPr>
        <w:t xml:space="preserve">ن أدلة المنع ـ </w:t>
      </w:r>
      <w:r w:rsidR="00A92C5C" w:rsidRPr="00904FCB">
        <w:rPr>
          <w:rFonts w:hint="cs"/>
          <w:sz w:val="27"/>
          <w:rtl/>
          <w:lang w:bidi="ar-OM"/>
        </w:rPr>
        <w:t>إ</w:t>
      </w:r>
      <w:r w:rsidRPr="00904FCB">
        <w:rPr>
          <w:rFonts w:hint="cs"/>
          <w:sz w:val="27"/>
          <w:rtl/>
          <w:lang w:bidi="ar-OM"/>
        </w:rPr>
        <w:t>ذا ثبتت ـ تكون ناظرة</w:t>
      </w:r>
      <w:r w:rsidR="00A92C5C" w:rsidRPr="00904FCB">
        <w:rPr>
          <w:rFonts w:hint="cs"/>
          <w:sz w:val="27"/>
          <w:rtl/>
          <w:lang w:bidi="ar-OM"/>
        </w:rPr>
        <w:t>ً</w:t>
      </w:r>
      <w:r w:rsidRPr="00904FCB">
        <w:rPr>
          <w:rFonts w:hint="cs"/>
          <w:sz w:val="27"/>
          <w:rtl/>
          <w:lang w:bidi="ar-OM"/>
        </w:rPr>
        <w:t xml:space="preserve"> </w:t>
      </w:r>
      <w:r w:rsidR="00A92C5C" w:rsidRPr="00904FCB">
        <w:rPr>
          <w:rFonts w:hint="cs"/>
          <w:sz w:val="27"/>
          <w:rtl/>
          <w:lang w:bidi="ar-OM"/>
        </w:rPr>
        <w:t>إ</w:t>
      </w:r>
      <w:r w:rsidRPr="00904FCB">
        <w:rPr>
          <w:rFonts w:hint="cs"/>
          <w:sz w:val="27"/>
          <w:rtl/>
          <w:lang w:bidi="ar-OM"/>
        </w:rPr>
        <w:t>لى النماذج الفردية السابقة</w:t>
      </w:r>
      <w:r w:rsidR="00A92C5C" w:rsidRPr="00904FCB">
        <w:rPr>
          <w:rFonts w:hint="cs"/>
          <w:sz w:val="27"/>
          <w:rtl/>
          <w:lang w:bidi="ar-OM"/>
        </w:rPr>
        <w:t>،</w:t>
      </w:r>
      <w:r w:rsidRPr="00904FCB">
        <w:rPr>
          <w:rFonts w:hint="cs"/>
          <w:sz w:val="27"/>
          <w:rtl/>
          <w:lang w:bidi="ar-OM"/>
        </w:rPr>
        <w:t xml:space="preserve"> ولا تشمل النموذج المؤس</w:t>
      </w:r>
      <w:r w:rsidR="00A92C5C" w:rsidRPr="00904FCB">
        <w:rPr>
          <w:rFonts w:hint="cs"/>
          <w:sz w:val="27"/>
          <w:rtl/>
          <w:lang w:bidi="ar-OM"/>
        </w:rPr>
        <w:t>ّ</w:t>
      </w:r>
      <w:r w:rsidRPr="00904FCB">
        <w:rPr>
          <w:rFonts w:hint="cs"/>
          <w:sz w:val="27"/>
          <w:rtl/>
          <w:lang w:bidi="ar-OM"/>
        </w:rPr>
        <w:t>سي الدستوري الانتخابي</w:t>
      </w:r>
      <w:r w:rsidR="00A92C5C" w:rsidRPr="00904FCB">
        <w:rPr>
          <w:rFonts w:hint="cs"/>
          <w:sz w:val="27"/>
          <w:rtl/>
          <w:lang w:bidi="ar-OM"/>
        </w:rPr>
        <w:t>؛</w:t>
      </w:r>
      <w:r w:rsidRPr="00904FCB">
        <w:rPr>
          <w:rFonts w:hint="cs"/>
          <w:sz w:val="27"/>
          <w:rtl/>
          <w:lang w:bidi="ar-OM"/>
        </w:rPr>
        <w:t xml:space="preserve"> لتغاير الموضوع وتبد</w:t>
      </w:r>
      <w:r w:rsidR="00A92C5C" w:rsidRPr="00904FCB">
        <w:rPr>
          <w:rFonts w:hint="cs"/>
          <w:sz w:val="27"/>
          <w:rtl/>
          <w:lang w:bidi="ar-OM"/>
        </w:rPr>
        <w:t>ُّ</w:t>
      </w:r>
      <w:r w:rsidRPr="00904FCB">
        <w:rPr>
          <w:rFonts w:hint="cs"/>
          <w:sz w:val="27"/>
          <w:rtl/>
          <w:lang w:bidi="ar-OM"/>
        </w:rPr>
        <w:t>له بشكل</w:t>
      </w:r>
      <w:r w:rsidR="00A92C5C" w:rsidRPr="00904FCB">
        <w:rPr>
          <w:rFonts w:hint="cs"/>
          <w:sz w:val="27"/>
          <w:rtl/>
          <w:lang w:bidi="ar-OM"/>
        </w:rPr>
        <w:t>ٍ</w:t>
      </w:r>
      <w:r w:rsidRPr="00904FCB">
        <w:rPr>
          <w:rFonts w:hint="cs"/>
          <w:sz w:val="27"/>
          <w:rtl/>
          <w:lang w:bidi="ar-OM"/>
        </w:rPr>
        <w:t xml:space="preserve"> جوهري. </w:t>
      </w:r>
    </w:p>
    <w:p w:rsidR="00644408" w:rsidRPr="00904FCB" w:rsidRDefault="00644408" w:rsidP="007A21AA">
      <w:pPr>
        <w:spacing w:line="400" w:lineRule="exact"/>
        <w:rPr>
          <w:sz w:val="27"/>
          <w:lang w:bidi="ar-OM"/>
        </w:rPr>
      </w:pPr>
      <w:r w:rsidRPr="00904FCB">
        <w:rPr>
          <w:rFonts w:hint="cs"/>
          <w:sz w:val="27"/>
          <w:rtl/>
          <w:lang w:bidi="ar-OM"/>
        </w:rPr>
        <w:t xml:space="preserve"> ونظراً </w:t>
      </w:r>
      <w:r w:rsidR="00A92C5C" w:rsidRPr="00904FCB">
        <w:rPr>
          <w:rFonts w:hint="cs"/>
          <w:sz w:val="27"/>
          <w:rtl/>
          <w:lang w:bidi="ar-OM"/>
        </w:rPr>
        <w:t xml:space="preserve">إلى </w:t>
      </w:r>
      <w:r w:rsidRPr="00904FCB">
        <w:rPr>
          <w:rFonts w:hint="cs"/>
          <w:sz w:val="27"/>
          <w:rtl/>
          <w:lang w:bidi="ar-OM"/>
        </w:rPr>
        <w:t>أن أدل</w:t>
      </w:r>
      <w:r w:rsidR="00A92C5C" w:rsidRPr="00904FCB">
        <w:rPr>
          <w:rFonts w:hint="cs"/>
          <w:sz w:val="27"/>
          <w:rtl/>
          <w:lang w:bidi="ar-OM"/>
        </w:rPr>
        <w:t>ّ</w:t>
      </w:r>
      <w:r w:rsidRPr="00904FCB">
        <w:rPr>
          <w:rFonts w:hint="cs"/>
          <w:sz w:val="27"/>
          <w:rtl/>
          <w:lang w:bidi="ar-OM"/>
        </w:rPr>
        <w:t xml:space="preserve">ة المنع ليست ناظرة </w:t>
      </w:r>
      <w:r w:rsidR="00A92C5C" w:rsidRPr="00904FCB">
        <w:rPr>
          <w:rFonts w:hint="cs"/>
          <w:sz w:val="27"/>
          <w:rtl/>
          <w:lang w:bidi="ar-OM"/>
        </w:rPr>
        <w:t>إ</w:t>
      </w:r>
      <w:r w:rsidRPr="00904FCB">
        <w:rPr>
          <w:rFonts w:hint="cs"/>
          <w:sz w:val="27"/>
          <w:rtl/>
          <w:lang w:bidi="ar-OM"/>
        </w:rPr>
        <w:t>لى هذه الحيثيات الموضوعية ـ ح</w:t>
      </w:r>
      <w:r w:rsidR="00A92C5C" w:rsidRPr="00904FCB">
        <w:rPr>
          <w:rFonts w:hint="cs"/>
          <w:sz w:val="27"/>
          <w:rtl/>
          <w:lang w:bidi="ar-OM"/>
        </w:rPr>
        <w:t>َ</w:t>
      </w:r>
      <w:r w:rsidRPr="00904FCB">
        <w:rPr>
          <w:rFonts w:hint="cs"/>
          <w:sz w:val="27"/>
          <w:rtl/>
          <w:lang w:bidi="ar-OM"/>
        </w:rPr>
        <w:t>س</w:t>
      </w:r>
      <w:r w:rsidR="00A92C5C" w:rsidRPr="00904FCB">
        <w:rPr>
          <w:rFonts w:hint="cs"/>
          <w:sz w:val="27"/>
          <w:rtl/>
          <w:lang w:bidi="ar-OM"/>
        </w:rPr>
        <w:t>ْ</w:t>
      </w:r>
      <w:r w:rsidRPr="00904FCB">
        <w:rPr>
          <w:rFonts w:hint="cs"/>
          <w:sz w:val="27"/>
          <w:rtl/>
          <w:lang w:bidi="ar-OM"/>
        </w:rPr>
        <w:t>ب ات</w:t>
      </w:r>
      <w:r w:rsidR="00A92C5C" w:rsidRPr="00904FCB">
        <w:rPr>
          <w:rFonts w:hint="cs"/>
          <w:sz w:val="27"/>
          <w:rtl/>
          <w:lang w:bidi="ar-OM"/>
        </w:rPr>
        <w:t>ّ</w:t>
      </w:r>
      <w:r w:rsidRPr="00904FCB">
        <w:rPr>
          <w:rFonts w:hint="cs"/>
          <w:sz w:val="27"/>
          <w:rtl/>
          <w:lang w:bidi="ar-OM"/>
        </w:rPr>
        <w:t xml:space="preserve">جاه المانعين ـ حاول بعض الباحثين في الفقه التوفيق بين بعض الآراء السابقة، واستقرب التنظير </w:t>
      </w:r>
      <w:r w:rsidR="00A92C5C" w:rsidRPr="00904FCB">
        <w:rPr>
          <w:rFonts w:hint="cs"/>
          <w:sz w:val="27"/>
          <w:rtl/>
          <w:lang w:bidi="ar-OM"/>
        </w:rPr>
        <w:t>المتقدّم</w:t>
      </w:r>
      <w:r w:rsidRPr="00904FCB">
        <w:rPr>
          <w:rFonts w:hint="cs"/>
          <w:sz w:val="27"/>
          <w:rtl/>
          <w:lang w:bidi="ar-OM"/>
        </w:rPr>
        <w:t>، مع مزيد</w:t>
      </w:r>
      <w:r w:rsidR="00A92C5C" w:rsidRPr="00904FCB">
        <w:rPr>
          <w:rFonts w:hint="cs"/>
          <w:sz w:val="27"/>
          <w:rtl/>
          <w:lang w:bidi="ar-OM"/>
        </w:rPr>
        <w:t>ٍ</w:t>
      </w:r>
      <w:r w:rsidRPr="00904FCB">
        <w:rPr>
          <w:rFonts w:hint="cs"/>
          <w:sz w:val="27"/>
          <w:rtl/>
          <w:lang w:bidi="ar-OM"/>
        </w:rPr>
        <w:t xml:space="preserve"> من التقييد والتضييق لممارسة السلطة من قبل المرأة، وانتهى </w:t>
      </w:r>
      <w:r w:rsidR="00A92C5C" w:rsidRPr="00904FCB">
        <w:rPr>
          <w:rFonts w:hint="cs"/>
          <w:sz w:val="27"/>
          <w:rtl/>
          <w:lang w:bidi="ar-OM"/>
        </w:rPr>
        <w:t>إ</w:t>
      </w:r>
      <w:r w:rsidRPr="00904FCB">
        <w:rPr>
          <w:rFonts w:hint="cs"/>
          <w:sz w:val="27"/>
          <w:rtl/>
          <w:lang w:bidi="ar-OM"/>
        </w:rPr>
        <w:t>لى جواز أن تتول</w:t>
      </w:r>
      <w:r w:rsidR="00A92C5C" w:rsidRPr="00904FCB">
        <w:rPr>
          <w:rFonts w:hint="cs"/>
          <w:sz w:val="27"/>
          <w:rtl/>
          <w:lang w:bidi="ar-OM"/>
        </w:rPr>
        <w:t>ّ</w:t>
      </w:r>
      <w:r w:rsidRPr="00904FCB">
        <w:rPr>
          <w:rFonts w:hint="cs"/>
          <w:sz w:val="27"/>
          <w:rtl/>
          <w:lang w:bidi="ar-OM"/>
        </w:rPr>
        <w:t xml:space="preserve">ى المرأة رئاسة الدولة، </w:t>
      </w:r>
      <w:r w:rsidR="00A92C5C" w:rsidRPr="00904FCB">
        <w:rPr>
          <w:rFonts w:hint="cs"/>
          <w:sz w:val="27"/>
          <w:rtl/>
          <w:lang w:bidi="ar-OM"/>
        </w:rPr>
        <w:t>إ</w:t>
      </w:r>
      <w:r w:rsidRPr="00904FCB">
        <w:rPr>
          <w:rFonts w:hint="cs"/>
          <w:sz w:val="27"/>
          <w:rtl/>
          <w:lang w:bidi="ar-OM"/>
        </w:rPr>
        <w:t>ذا كانت مقي</w:t>
      </w:r>
      <w:r w:rsidR="00A92C5C" w:rsidRPr="00904FCB">
        <w:rPr>
          <w:rFonts w:hint="cs"/>
          <w:sz w:val="27"/>
          <w:rtl/>
          <w:lang w:bidi="ar-OM"/>
        </w:rPr>
        <w:t>ّ</w:t>
      </w:r>
      <w:r w:rsidRPr="00904FCB">
        <w:rPr>
          <w:rFonts w:hint="cs"/>
          <w:sz w:val="27"/>
          <w:rtl/>
          <w:lang w:bidi="ar-OM"/>
        </w:rPr>
        <w:t>دة بقانون</w:t>
      </w:r>
      <w:r w:rsidR="00A92C5C" w:rsidRPr="00904FCB">
        <w:rPr>
          <w:rFonts w:hint="cs"/>
          <w:sz w:val="27"/>
          <w:rtl/>
          <w:lang w:bidi="ar-OM"/>
        </w:rPr>
        <w:t>ٍ</w:t>
      </w:r>
      <w:r w:rsidRPr="00904FCB">
        <w:rPr>
          <w:rFonts w:hint="cs"/>
          <w:sz w:val="27"/>
          <w:rtl/>
          <w:lang w:bidi="ar-OM"/>
        </w:rPr>
        <w:t xml:space="preserve"> أساسي وبمجالس تشريعية حكومية</w:t>
      </w:r>
      <w:r w:rsidR="00A92C5C" w:rsidRPr="00904FCB">
        <w:rPr>
          <w:rFonts w:hint="cs"/>
          <w:sz w:val="27"/>
          <w:rtl/>
          <w:lang w:bidi="ar-OM"/>
        </w:rPr>
        <w:t>،</w:t>
      </w:r>
      <w:r w:rsidRPr="00904FCB">
        <w:rPr>
          <w:rFonts w:hint="cs"/>
          <w:sz w:val="27"/>
          <w:rtl/>
          <w:lang w:bidi="ar-OM"/>
        </w:rPr>
        <w:t xml:space="preserve"> وكانت بعيدة عن أي</w:t>
      </w:r>
      <w:r w:rsidR="00A92C5C" w:rsidRPr="00904FCB">
        <w:rPr>
          <w:rFonts w:hint="cs"/>
          <w:sz w:val="27"/>
          <w:rtl/>
          <w:lang w:bidi="ar-OM"/>
        </w:rPr>
        <w:t>ّ</w:t>
      </w:r>
      <w:r w:rsidRPr="00904FCB">
        <w:rPr>
          <w:rFonts w:hint="cs"/>
          <w:sz w:val="27"/>
          <w:rtl/>
          <w:lang w:bidi="ar-OM"/>
        </w:rPr>
        <w:t xml:space="preserve"> حكم يصدر منها بالاستقلال</w:t>
      </w:r>
      <w:r w:rsidR="00A92C5C" w:rsidRPr="00904FCB">
        <w:rPr>
          <w:rFonts w:hint="cs"/>
          <w:sz w:val="27"/>
          <w:rtl/>
          <w:lang w:bidi="ar-OM"/>
        </w:rPr>
        <w:t>،</w:t>
      </w:r>
      <w:r w:rsidRPr="00904FCB">
        <w:rPr>
          <w:rFonts w:hint="cs"/>
          <w:sz w:val="27"/>
          <w:rtl/>
          <w:lang w:bidi="ar-OM"/>
        </w:rPr>
        <w:t xml:space="preserve"> ولا تتصد</w:t>
      </w:r>
      <w:r w:rsidR="00A92C5C" w:rsidRPr="00904FCB">
        <w:rPr>
          <w:rFonts w:hint="cs"/>
          <w:sz w:val="27"/>
          <w:rtl/>
          <w:lang w:bidi="ar-OM"/>
        </w:rPr>
        <w:t>ّ</w:t>
      </w:r>
      <w:r w:rsidRPr="00904FCB">
        <w:rPr>
          <w:rFonts w:hint="cs"/>
          <w:sz w:val="27"/>
          <w:rtl/>
          <w:lang w:bidi="ar-OM"/>
        </w:rPr>
        <w:t>ى لأي</w:t>
      </w:r>
      <w:r w:rsidR="00A92C5C" w:rsidRPr="00904FCB">
        <w:rPr>
          <w:rFonts w:hint="cs"/>
          <w:sz w:val="27"/>
          <w:rtl/>
          <w:lang w:bidi="ar-OM"/>
        </w:rPr>
        <w:t>ّ</w:t>
      </w:r>
      <w:r w:rsidRPr="00904FCB">
        <w:rPr>
          <w:rFonts w:hint="cs"/>
          <w:sz w:val="27"/>
          <w:rtl/>
          <w:lang w:bidi="ar-OM"/>
        </w:rPr>
        <w:t xml:space="preserve"> حكم</w:t>
      </w:r>
      <w:r w:rsidR="00A92C5C" w:rsidRPr="00904FCB">
        <w:rPr>
          <w:rFonts w:hint="cs"/>
          <w:sz w:val="27"/>
          <w:rtl/>
          <w:lang w:bidi="ar-OM"/>
        </w:rPr>
        <w:t>ٍ</w:t>
      </w:r>
      <w:r w:rsidRPr="00904FCB">
        <w:rPr>
          <w:rFonts w:hint="cs"/>
          <w:sz w:val="27"/>
          <w:rtl/>
          <w:lang w:bidi="ar-OM"/>
        </w:rPr>
        <w:t xml:space="preserve"> حكومي أو قضائي في التنازع</w:t>
      </w:r>
      <w:r w:rsidR="00A92C5C" w:rsidRPr="00904FCB">
        <w:rPr>
          <w:rFonts w:hint="cs"/>
          <w:sz w:val="27"/>
          <w:rtl/>
          <w:lang w:bidi="ar-OM"/>
        </w:rPr>
        <w:t>،</w:t>
      </w:r>
      <w:r w:rsidRPr="00904FCB">
        <w:rPr>
          <w:rFonts w:hint="cs"/>
          <w:sz w:val="27"/>
          <w:rtl/>
          <w:lang w:bidi="ar-OM"/>
        </w:rPr>
        <w:t xml:space="preserve"> ولا لأي حكم شرعي أصلا</w:t>
      </w:r>
      <w:r w:rsidR="00A92C5C" w:rsidRPr="00904FCB">
        <w:rPr>
          <w:rFonts w:hint="cs"/>
          <w:sz w:val="27"/>
          <w:rtl/>
          <w:lang w:bidi="ar-OM"/>
        </w:rPr>
        <w:t>ً،</w:t>
      </w:r>
      <w:r w:rsidRPr="00904FCB">
        <w:rPr>
          <w:rFonts w:hint="cs"/>
          <w:sz w:val="27"/>
          <w:rtl/>
          <w:lang w:bidi="ar-OM"/>
        </w:rPr>
        <w:t xml:space="preserve"> وطالما لا تعدو الرئيسة </w:t>
      </w:r>
      <w:r w:rsidR="00A92C5C" w:rsidRPr="00904FCB">
        <w:rPr>
          <w:rFonts w:hint="cs"/>
          <w:sz w:val="27"/>
          <w:rtl/>
          <w:lang w:bidi="ar-OM"/>
        </w:rPr>
        <w:t>أ</w:t>
      </w:r>
      <w:r w:rsidRPr="00904FCB">
        <w:rPr>
          <w:rFonts w:hint="cs"/>
          <w:sz w:val="27"/>
          <w:rtl/>
          <w:lang w:bidi="ar-OM"/>
        </w:rPr>
        <w:t>ن تكون منف</w:t>
      </w:r>
      <w:r w:rsidR="00A92C5C" w:rsidRPr="00904FCB">
        <w:rPr>
          <w:rFonts w:hint="cs"/>
          <w:sz w:val="27"/>
          <w:rtl/>
          <w:lang w:bidi="ar-OM"/>
        </w:rPr>
        <w:t>ِّ</w:t>
      </w:r>
      <w:r w:rsidRPr="00904FCB">
        <w:rPr>
          <w:rFonts w:hint="cs"/>
          <w:sz w:val="27"/>
          <w:rtl/>
          <w:lang w:bidi="ar-OM"/>
        </w:rPr>
        <w:t>ذة للدستور ولما يصدر من مجلس الشورى من أحكام تنظيمية</w:t>
      </w:r>
      <w:r w:rsidRPr="00904FCB">
        <w:rPr>
          <w:rFonts w:hint="cs"/>
          <w:sz w:val="27"/>
          <w:vertAlign w:val="superscript"/>
          <w:rtl/>
        </w:rPr>
        <w:t>(</w:t>
      </w:r>
      <w:r w:rsidRPr="00904FCB">
        <w:rPr>
          <w:rStyle w:val="ac"/>
          <w:sz w:val="27"/>
          <w:rtl/>
        </w:rPr>
        <w:endnoteReference w:id="198"/>
      </w:r>
      <w:r w:rsidRPr="00904FCB">
        <w:rPr>
          <w:rFonts w:hint="cs"/>
          <w:sz w:val="27"/>
          <w:vertAlign w:val="superscript"/>
          <w:rtl/>
        </w:rPr>
        <w:t>)</w:t>
      </w:r>
      <w:r w:rsidRPr="00904FCB">
        <w:rPr>
          <w:rFonts w:hint="cs"/>
          <w:sz w:val="27"/>
          <w:rtl/>
          <w:lang w:bidi="ar-OM"/>
        </w:rPr>
        <w:t xml:space="preserve">. </w:t>
      </w:r>
    </w:p>
    <w:p w:rsidR="00A92C5C" w:rsidRPr="00904FCB" w:rsidRDefault="00644408" w:rsidP="007A21AA">
      <w:pPr>
        <w:spacing w:line="400" w:lineRule="exact"/>
        <w:rPr>
          <w:sz w:val="27"/>
          <w:rtl/>
          <w:lang w:bidi="ar-OM"/>
        </w:rPr>
      </w:pPr>
      <w:r w:rsidRPr="00904FCB">
        <w:rPr>
          <w:sz w:val="27"/>
          <w:rtl/>
          <w:lang w:bidi="ar-OM"/>
        </w:rPr>
        <w:t>و</w:t>
      </w:r>
      <w:r w:rsidRPr="00904FCB">
        <w:rPr>
          <w:rFonts w:hint="cs"/>
          <w:sz w:val="27"/>
          <w:rtl/>
          <w:lang w:bidi="ar-OM"/>
        </w:rPr>
        <w:t xml:space="preserve">يبدو </w:t>
      </w:r>
      <w:r w:rsidR="00A92C5C" w:rsidRPr="00904FCB">
        <w:rPr>
          <w:rFonts w:hint="cs"/>
          <w:sz w:val="27"/>
          <w:rtl/>
          <w:lang w:bidi="ar-OM"/>
        </w:rPr>
        <w:t>أ</w:t>
      </w:r>
      <w:r w:rsidRPr="00904FCB">
        <w:rPr>
          <w:rFonts w:hint="cs"/>
          <w:sz w:val="27"/>
          <w:rtl/>
          <w:lang w:bidi="ar-OM"/>
        </w:rPr>
        <w:t>ن هذا الرأي هو بمثابة محاولة توفيقية جاءت تحت ضغط المتغي</w:t>
      </w:r>
      <w:r w:rsidR="00A92C5C" w:rsidRPr="00904FCB">
        <w:rPr>
          <w:rFonts w:hint="cs"/>
          <w:sz w:val="27"/>
          <w:rtl/>
          <w:lang w:bidi="ar-OM"/>
        </w:rPr>
        <w:t>ِّ</w:t>
      </w:r>
      <w:r w:rsidRPr="00904FCB">
        <w:rPr>
          <w:rFonts w:hint="cs"/>
          <w:sz w:val="27"/>
          <w:rtl/>
          <w:lang w:bidi="ar-OM"/>
        </w:rPr>
        <w:t xml:space="preserve">رات </w:t>
      </w:r>
      <w:r w:rsidRPr="00904FCB">
        <w:rPr>
          <w:rFonts w:hint="cs"/>
          <w:sz w:val="27"/>
          <w:rtl/>
          <w:lang w:bidi="ar-OM"/>
        </w:rPr>
        <w:lastRenderedPageBreak/>
        <w:t>والمطالبات المعاصرة لإعادة النظر في هذه القضية</w:t>
      </w:r>
      <w:r w:rsidR="00A92C5C" w:rsidRPr="00904FCB">
        <w:rPr>
          <w:rFonts w:hint="cs"/>
          <w:sz w:val="27"/>
          <w:rtl/>
          <w:lang w:bidi="ar-OM"/>
        </w:rPr>
        <w:t>؛</w:t>
      </w:r>
      <w:r w:rsidRPr="00904FCB">
        <w:rPr>
          <w:rFonts w:hint="cs"/>
          <w:sz w:val="27"/>
          <w:rtl/>
          <w:lang w:bidi="ar-OM"/>
        </w:rPr>
        <w:t xml:space="preserve"> لتتوافق مع التطور الاجتماعي والسياسي. ويظهر من الصيغة التي اقترحها </w:t>
      </w:r>
      <w:r w:rsidR="00A92C5C" w:rsidRPr="00904FCB">
        <w:rPr>
          <w:rFonts w:hint="cs"/>
          <w:sz w:val="27"/>
          <w:rtl/>
          <w:lang w:bidi="ar-OM"/>
        </w:rPr>
        <w:t>أ</w:t>
      </w:r>
      <w:r w:rsidRPr="00904FCB">
        <w:rPr>
          <w:rFonts w:hint="cs"/>
          <w:sz w:val="27"/>
          <w:rtl/>
          <w:lang w:bidi="ar-OM"/>
        </w:rPr>
        <w:t>نها قريبة من مزاولة مهام الرئاسة في بعض الأنظمة البرلمانية</w:t>
      </w:r>
      <w:r w:rsidR="00A92C5C" w:rsidRPr="00904FCB">
        <w:rPr>
          <w:rFonts w:hint="cs"/>
          <w:sz w:val="27"/>
          <w:rtl/>
          <w:lang w:bidi="ar-OM"/>
        </w:rPr>
        <w:t>،</w:t>
      </w:r>
      <w:r w:rsidRPr="00904FCB">
        <w:rPr>
          <w:rFonts w:hint="cs"/>
          <w:sz w:val="27"/>
          <w:rtl/>
          <w:lang w:bidi="ar-OM"/>
        </w:rPr>
        <w:t xml:space="preserve"> حيث يكون موقع رئيس الدولة فيها أقرب </w:t>
      </w:r>
      <w:r w:rsidR="00A92C5C" w:rsidRPr="00904FCB">
        <w:rPr>
          <w:rFonts w:hint="cs"/>
          <w:sz w:val="27"/>
          <w:rtl/>
          <w:lang w:bidi="ar-OM"/>
        </w:rPr>
        <w:t>إ</w:t>
      </w:r>
      <w:r w:rsidRPr="00904FCB">
        <w:rPr>
          <w:rFonts w:hint="cs"/>
          <w:sz w:val="27"/>
          <w:rtl/>
          <w:lang w:bidi="ar-OM"/>
        </w:rPr>
        <w:t xml:space="preserve">لى موقع شرفي أو فخري منه </w:t>
      </w:r>
      <w:r w:rsidR="00A92C5C" w:rsidRPr="00904FCB">
        <w:rPr>
          <w:rFonts w:hint="cs"/>
          <w:sz w:val="27"/>
          <w:rtl/>
          <w:lang w:bidi="ar-OM"/>
        </w:rPr>
        <w:t>إ</w:t>
      </w:r>
      <w:r w:rsidRPr="00904FCB">
        <w:rPr>
          <w:rFonts w:hint="cs"/>
          <w:sz w:val="27"/>
          <w:rtl/>
          <w:lang w:bidi="ar-OM"/>
        </w:rPr>
        <w:t>لى موقع سلطوي</w:t>
      </w:r>
      <w:r w:rsidR="00A92C5C"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 xml:space="preserve">ويلاحظ على هذا الرأي </w:t>
      </w:r>
      <w:r w:rsidR="00A92C5C" w:rsidRPr="00904FCB">
        <w:rPr>
          <w:rFonts w:hint="cs"/>
          <w:sz w:val="27"/>
          <w:rtl/>
          <w:lang w:bidi="ar-OM"/>
        </w:rPr>
        <w:t>أ</w:t>
      </w:r>
      <w:r w:rsidRPr="00904FCB">
        <w:rPr>
          <w:rFonts w:hint="cs"/>
          <w:sz w:val="27"/>
          <w:rtl/>
          <w:lang w:bidi="ar-OM"/>
        </w:rPr>
        <w:t>نه أجاز للمرأة أن تتول</w:t>
      </w:r>
      <w:r w:rsidR="00A92C5C" w:rsidRPr="00904FCB">
        <w:rPr>
          <w:rFonts w:hint="cs"/>
          <w:sz w:val="27"/>
          <w:rtl/>
          <w:lang w:bidi="ar-OM"/>
        </w:rPr>
        <w:t>ّ</w:t>
      </w:r>
      <w:r w:rsidRPr="00904FCB">
        <w:rPr>
          <w:rFonts w:hint="cs"/>
          <w:sz w:val="27"/>
          <w:rtl/>
          <w:lang w:bidi="ar-OM"/>
        </w:rPr>
        <w:t>ى رئاسة الدولة على أن تكون مجر</w:t>
      </w:r>
      <w:r w:rsidR="00A92C5C" w:rsidRPr="00904FCB">
        <w:rPr>
          <w:rFonts w:hint="cs"/>
          <w:sz w:val="27"/>
          <w:rtl/>
          <w:lang w:bidi="ar-OM"/>
        </w:rPr>
        <w:t>َّ</w:t>
      </w:r>
      <w:r w:rsidRPr="00904FCB">
        <w:rPr>
          <w:rFonts w:hint="cs"/>
          <w:sz w:val="27"/>
          <w:rtl/>
          <w:lang w:bidi="ar-OM"/>
        </w:rPr>
        <w:t>دة من مزاولة أي</w:t>
      </w:r>
      <w:r w:rsidR="00A92C5C" w:rsidRPr="00904FCB">
        <w:rPr>
          <w:rFonts w:hint="cs"/>
          <w:sz w:val="27"/>
          <w:rtl/>
          <w:lang w:bidi="ar-OM"/>
        </w:rPr>
        <w:t>ّ</w:t>
      </w:r>
      <w:r w:rsidRPr="00904FCB">
        <w:rPr>
          <w:rFonts w:hint="cs"/>
          <w:sz w:val="27"/>
          <w:rtl/>
          <w:lang w:bidi="ar-OM"/>
        </w:rPr>
        <w:t xml:space="preserve"> سلطة حقيقية، وبهذا فهو في حقيقته وعمقه لا يجيز للمرأة تولي أي</w:t>
      </w:r>
      <w:r w:rsidR="00A92C5C" w:rsidRPr="00904FCB">
        <w:rPr>
          <w:rFonts w:hint="cs"/>
          <w:sz w:val="27"/>
          <w:rtl/>
          <w:lang w:bidi="ar-OM"/>
        </w:rPr>
        <w:t>ّ</w:t>
      </w:r>
      <w:r w:rsidRPr="00904FCB">
        <w:rPr>
          <w:rFonts w:hint="cs"/>
          <w:sz w:val="27"/>
          <w:rtl/>
          <w:lang w:bidi="ar-OM"/>
        </w:rPr>
        <w:t xml:space="preserve"> منصب من مناصب السلطة</w:t>
      </w:r>
      <w:r w:rsidR="00A92C5C" w:rsidRPr="00904FCB">
        <w:rPr>
          <w:rFonts w:hint="cs"/>
          <w:sz w:val="27"/>
          <w:rtl/>
          <w:lang w:bidi="ar-OM"/>
        </w:rPr>
        <w:t>،</w:t>
      </w:r>
      <w:r w:rsidRPr="00904FCB">
        <w:rPr>
          <w:rFonts w:hint="cs"/>
          <w:sz w:val="27"/>
          <w:rtl/>
          <w:lang w:bidi="ar-OM"/>
        </w:rPr>
        <w:t xml:space="preserve"> و</w:t>
      </w:r>
      <w:r w:rsidR="00A92C5C" w:rsidRPr="00904FCB">
        <w:rPr>
          <w:rFonts w:hint="cs"/>
          <w:sz w:val="27"/>
          <w:rtl/>
          <w:lang w:bidi="ar-OM"/>
        </w:rPr>
        <w:t>إ</w:t>
      </w:r>
      <w:r w:rsidRPr="00904FCB">
        <w:rPr>
          <w:rFonts w:hint="cs"/>
          <w:sz w:val="27"/>
          <w:rtl/>
          <w:lang w:bidi="ar-OM"/>
        </w:rPr>
        <w:t>ن</w:t>
      </w:r>
      <w:r w:rsidR="00A92C5C" w:rsidRPr="00904FCB">
        <w:rPr>
          <w:rFonts w:hint="cs"/>
          <w:sz w:val="27"/>
          <w:rtl/>
          <w:lang w:bidi="ar-OM"/>
        </w:rPr>
        <w:t>ْ</w:t>
      </w:r>
      <w:r w:rsidRPr="00904FCB">
        <w:rPr>
          <w:rFonts w:hint="cs"/>
          <w:sz w:val="27"/>
          <w:rtl/>
          <w:lang w:bidi="ar-OM"/>
        </w:rPr>
        <w:t xml:space="preserve"> رخ</w:t>
      </w:r>
      <w:r w:rsidR="00A92C5C" w:rsidRPr="00904FCB">
        <w:rPr>
          <w:rFonts w:hint="cs"/>
          <w:sz w:val="27"/>
          <w:rtl/>
          <w:lang w:bidi="ar-OM"/>
        </w:rPr>
        <w:t>َّ</w:t>
      </w:r>
      <w:r w:rsidRPr="00904FCB">
        <w:rPr>
          <w:rFonts w:hint="cs"/>
          <w:sz w:val="27"/>
          <w:rtl/>
          <w:lang w:bidi="ar-OM"/>
        </w:rPr>
        <w:t>ص لها بتول</w:t>
      </w:r>
      <w:r w:rsidR="00A92C5C" w:rsidRPr="00904FCB">
        <w:rPr>
          <w:rFonts w:hint="cs"/>
          <w:sz w:val="27"/>
          <w:rtl/>
          <w:lang w:bidi="ar-OM"/>
        </w:rPr>
        <w:t>ّ</w:t>
      </w:r>
      <w:r w:rsidRPr="00904FCB">
        <w:rPr>
          <w:rFonts w:hint="cs"/>
          <w:sz w:val="27"/>
          <w:rtl/>
          <w:lang w:bidi="ar-OM"/>
        </w:rPr>
        <w:t xml:space="preserve">ي رئاسة الدولة بالشكل المقترح. </w:t>
      </w:r>
    </w:p>
    <w:p w:rsidR="00644408" w:rsidRPr="00904FCB" w:rsidRDefault="00644408" w:rsidP="007A21AA">
      <w:pPr>
        <w:spacing w:line="400" w:lineRule="exact"/>
        <w:rPr>
          <w:b/>
          <w:bCs/>
          <w:sz w:val="27"/>
          <w:rtl/>
          <w:lang w:bidi="ar-OM"/>
        </w:rPr>
      </w:pPr>
    </w:p>
    <w:p w:rsidR="00644408" w:rsidRPr="00904FCB" w:rsidRDefault="00644408" w:rsidP="007A21AA">
      <w:pPr>
        <w:pStyle w:val="31"/>
        <w:spacing w:line="400" w:lineRule="exact"/>
        <w:rPr>
          <w:color w:val="auto"/>
          <w:rtl/>
          <w:lang w:bidi="ar-OM"/>
        </w:rPr>
      </w:pPr>
      <w:r w:rsidRPr="00904FCB">
        <w:rPr>
          <w:rFonts w:hint="cs"/>
          <w:color w:val="auto"/>
          <w:rtl/>
          <w:lang w:bidi="ar-OM"/>
        </w:rPr>
        <w:t>ب ـ تول</w:t>
      </w:r>
      <w:r w:rsidR="00CF0DF0" w:rsidRPr="00904FCB">
        <w:rPr>
          <w:rFonts w:hint="cs"/>
          <w:color w:val="auto"/>
          <w:rtl/>
          <w:lang w:bidi="ar-OM"/>
        </w:rPr>
        <w:t>ّ</w:t>
      </w:r>
      <w:r w:rsidRPr="00904FCB">
        <w:rPr>
          <w:rFonts w:hint="cs"/>
          <w:color w:val="auto"/>
          <w:rtl/>
          <w:lang w:bidi="ar-OM"/>
        </w:rPr>
        <w:t>ي المرأة القضاء في نطاق</w:t>
      </w:r>
      <w:r w:rsidR="00A92C5C" w:rsidRPr="00904FCB">
        <w:rPr>
          <w:rFonts w:hint="cs"/>
          <w:color w:val="auto"/>
          <w:rtl/>
          <w:lang w:bidi="ar-OM"/>
        </w:rPr>
        <w:t>ٍ</w:t>
      </w:r>
      <w:r w:rsidRPr="00904FCB">
        <w:rPr>
          <w:rFonts w:hint="cs"/>
          <w:color w:val="auto"/>
          <w:rtl/>
          <w:lang w:bidi="ar-OM"/>
        </w:rPr>
        <w:t xml:space="preserve"> محدود </w:t>
      </w:r>
    </w:p>
    <w:p w:rsidR="00644408" w:rsidRPr="00904FCB" w:rsidRDefault="00644408" w:rsidP="007A21AA">
      <w:pPr>
        <w:spacing w:line="400" w:lineRule="exact"/>
        <w:rPr>
          <w:sz w:val="27"/>
          <w:rtl/>
          <w:lang w:bidi="ar-OM"/>
        </w:rPr>
      </w:pPr>
      <w:r w:rsidRPr="00904FCB">
        <w:rPr>
          <w:rFonts w:hint="cs"/>
          <w:sz w:val="27"/>
          <w:rtl/>
          <w:lang w:bidi="ar-OM"/>
        </w:rPr>
        <w:t>اختلف النظر الفقهي منذ القدم حول تقلد المرأة لمنصب القضاء</w:t>
      </w:r>
      <w:r w:rsidR="009606BF" w:rsidRPr="00904FCB">
        <w:rPr>
          <w:rFonts w:hint="cs"/>
          <w:sz w:val="27"/>
          <w:rtl/>
          <w:lang w:bidi="ar-OM"/>
        </w:rPr>
        <w:t>؛</w:t>
      </w:r>
      <w:r w:rsidRPr="00904FCB">
        <w:rPr>
          <w:rFonts w:hint="cs"/>
          <w:sz w:val="27"/>
          <w:rtl/>
          <w:lang w:bidi="ar-OM"/>
        </w:rPr>
        <w:t xml:space="preserve"> فأجازه بعضهم بعد أن فك</w:t>
      </w:r>
      <w:r w:rsidR="009606BF" w:rsidRPr="00904FCB">
        <w:rPr>
          <w:rFonts w:hint="cs"/>
          <w:sz w:val="27"/>
          <w:rtl/>
          <w:lang w:bidi="ar-OM"/>
        </w:rPr>
        <w:t>َّ</w:t>
      </w:r>
      <w:r w:rsidRPr="00904FCB">
        <w:rPr>
          <w:rFonts w:hint="cs"/>
          <w:sz w:val="27"/>
          <w:rtl/>
          <w:lang w:bidi="ar-OM"/>
        </w:rPr>
        <w:t>ك بينه وبين مزاولة السلطات الأخرى</w:t>
      </w:r>
      <w:r w:rsidR="009606BF" w:rsidRPr="00904FCB">
        <w:rPr>
          <w:rFonts w:hint="cs"/>
          <w:sz w:val="27"/>
          <w:rtl/>
          <w:lang w:bidi="ar-OM"/>
        </w:rPr>
        <w:t>،</w:t>
      </w:r>
      <w:r w:rsidRPr="00904FCB">
        <w:rPr>
          <w:rFonts w:hint="cs"/>
          <w:sz w:val="27"/>
          <w:rtl/>
          <w:lang w:bidi="ar-OM"/>
        </w:rPr>
        <w:t xml:space="preserve"> كالخلافة والولاية العامة</w:t>
      </w:r>
      <w:r w:rsidR="009606BF" w:rsidRPr="00904FCB">
        <w:rPr>
          <w:rFonts w:hint="cs"/>
          <w:sz w:val="27"/>
          <w:rtl/>
          <w:lang w:bidi="ar-OM"/>
        </w:rPr>
        <w:t>؛</w:t>
      </w:r>
      <w:r w:rsidRPr="00904FCB">
        <w:rPr>
          <w:rFonts w:hint="cs"/>
          <w:sz w:val="27"/>
          <w:rtl/>
          <w:lang w:bidi="ar-OM"/>
        </w:rPr>
        <w:t xml:space="preserve"> بينما ذهب فريق</w:t>
      </w:r>
      <w:r w:rsidR="009606BF" w:rsidRPr="00904FCB">
        <w:rPr>
          <w:rFonts w:hint="cs"/>
          <w:sz w:val="27"/>
          <w:rtl/>
          <w:lang w:bidi="ar-OM"/>
        </w:rPr>
        <w:t>ٌ</w:t>
      </w:r>
      <w:r w:rsidRPr="00904FCB">
        <w:rPr>
          <w:rFonts w:hint="cs"/>
          <w:sz w:val="27"/>
          <w:rtl/>
          <w:lang w:bidi="ar-OM"/>
        </w:rPr>
        <w:t xml:space="preserve"> آخر </w:t>
      </w:r>
      <w:r w:rsidR="009606BF" w:rsidRPr="00904FCB">
        <w:rPr>
          <w:rFonts w:hint="cs"/>
          <w:sz w:val="27"/>
          <w:rtl/>
          <w:lang w:bidi="ar-OM"/>
        </w:rPr>
        <w:t>إ</w:t>
      </w:r>
      <w:r w:rsidRPr="00904FCB">
        <w:rPr>
          <w:rFonts w:hint="cs"/>
          <w:sz w:val="27"/>
          <w:rtl/>
          <w:lang w:bidi="ar-OM"/>
        </w:rPr>
        <w:t xml:space="preserve">لى جواز </w:t>
      </w:r>
      <w:r w:rsidR="009606BF" w:rsidRPr="00904FCB">
        <w:rPr>
          <w:rFonts w:hint="cs"/>
          <w:sz w:val="27"/>
          <w:rtl/>
          <w:lang w:bidi="ar-OM"/>
        </w:rPr>
        <w:t>أ</w:t>
      </w:r>
      <w:r w:rsidRPr="00904FCB">
        <w:rPr>
          <w:rFonts w:hint="cs"/>
          <w:sz w:val="27"/>
          <w:rtl/>
          <w:lang w:bidi="ar-OM"/>
        </w:rPr>
        <w:t>ن تزاول المرأة القضاء بشكل</w:t>
      </w:r>
      <w:r w:rsidR="009606BF" w:rsidRPr="00904FCB">
        <w:rPr>
          <w:rFonts w:hint="cs"/>
          <w:sz w:val="27"/>
          <w:rtl/>
          <w:lang w:bidi="ar-OM"/>
        </w:rPr>
        <w:t>ٍ</w:t>
      </w:r>
      <w:r w:rsidRPr="00904FCB">
        <w:rPr>
          <w:rFonts w:hint="cs"/>
          <w:sz w:val="27"/>
          <w:rtl/>
          <w:lang w:bidi="ar-OM"/>
        </w:rPr>
        <w:t xml:space="preserve"> جزئي</w:t>
      </w:r>
      <w:r w:rsidR="009606BF" w:rsidRPr="00904FCB">
        <w:rPr>
          <w:rFonts w:hint="cs"/>
          <w:sz w:val="27"/>
          <w:rtl/>
          <w:lang w:bidi="ar-OM"/>
        </w:rPr>
        <w:t>،</w:t>
      </w:r>
      <w:r w:rsidRPr="00904FCB">
        <w:rPr>
          <w:rFonts w:hint="cs"/>
          <w:sz w:val="27"/>
          <w:rtl/>
          <w:lang w:bidi="ar-OM"/>
        </w:rPr>
        <w:t xml:space="preserve"> وفي نطاق</w:t>
      </w:r>
      <w:r w:rsidR="009606BF" w:rsidRPr="00904FCB">
        <w:rPr>
          <w:rFonts w:hint="cs"/>
          <w:sz w:val="27"/>
          <w:rtl/>
          <w:lang w:bidi="ar-OM"/>
        </w:rPr>
        <w:t>ٍ</w:t>
      </w:r>
      <w:r w:rsidRPr="00904FCB">
        <w:rPr>
          <w:rFonts w:hint="cs"/>
          <w:sz w:val="27"/>
          <w:rtl/>
          <w:lang w:bidi="ar-OM"/>
        </w:rPr>
        <w:t xml:space="preserve"> محدود. </w:t>
      </w:r>
    </w:p>
    <w:p w:rsidR="00644408" w:rsidRPr="00904FCB" w:rsidRDefault="00644408" w:rsidP="007A21AA">
      <w:pPr>
        <w:spacing w:line="400" w:lineRule="exact"/>
        <w:rPr>
          <w:sz w:val="27"/>
          <w:rtl/>
          <w:lang w:bidi="ar-OM"/>
        </w:rPr>
      </w:pPr>
      <w:r w:rsidRPr="00904FCB">
        <w:rPr>
          <w:rFonts w:hint="cs"/>
          <w:sz w:val="27"/>
          <w:rtl/>
          <w:lang w:bidi="ar-OM"/>
        </w:rPr>
        <w:t xml:space="preserve"> ومم</w:t>
      </w:r>
      <w:r w:rsidR="009606BF" w:rsidRPr="00904FCB">
        <w:rPr>
          <w:rFonts w:hint="cs"/>
          <w:sz w:val="27"/>
          <w:rtl/>
          <w:lang w:bidi="ar-OM"/>
        </w:rPr>
        <w:t>َّ</w:t>
      </w:r>
      <w:r w:rsidRPr="00904FCB">
        <w:rPr>
          <w:rFonts w:hint="cs"/>
          <w:sz w:val="27"/>
          <w:rtl/>
          <w:lang w:bidi="ar-OM"/>
        </w:rPr>
        <w:t>ن</w:t>
      </w:r>
      <w:r w:rsidR="009606BF" w:rsidRPr="00904FCB">
        <w:rPr>
          <w:rFonts w:hint="cs"/>
          <w:sz w:val="27"/>
          <w:rtl/>
          <w:lang w:bidi="ar-OM"/>
        </w:rPr>
        <w:t>ْ</w:t>
      </w:r>
      <w:r w:rsidRPr="00904FCB">
        <w:rPr>
          <w:rFonts w:hint="cs"/>
          <w:sz w:val="27"/>
          <w:rtl/>
          <w:lang w:bidi="ar-OM"/>
        </w:rPr>
        <w:t xml:space="preserve"> نقل عنه القول بشرعية </w:t>
      </w:r>
      <w:r w:rsidR="009606BF" w:rsidRPr="00904FCB">
        <w:rPr>
          <w:rFonts w:hint="cs"/>
          <w:sz w:val="27"/>
          <w:rtl/>
          <w:lang w:bidi="ar-OM"/>
        </w:rPr>
        <w:t>أ</w:t>
      </w:r>
      <w:r w:rsidRPr="00904FCB">
        <w:rPr>
          <w:rFonts w:hint="cs"/>
          <w:sz w:val="27"/>
          <w:rtl/>
          <w:lang w:bidi="ar-OM"/>
        </w:rPr>
        <w:t>ن تتولى المرأة القضاء في نطاق</w:t>
      </w:r>
      <w:r w:rsidR="009606BF" w:rsidRPr="00904FCB">
        <w:rPr>
          <w:rFonts w:hint="cs"/>
          <w:sz w:val="27"/>
          <w:rtl/>
          <w:lang w:bidi="ar-OM"/>
        </w:rPr>
        <w:t>ٍ</w:t>
      </w:r>
      <w:r w:rsidRPr="00904FCB">
        <w:rPr>
          <w:rFonts w:hint="cs"/>
          <w:sz w:val="27"/>
          <w:rtl/>
          <w:lang w:bidi="ar-OM"/>
        </w:rPr>
        <w:t xml:space="preserve"> معين إمام المذهب الفقهي المعروف أبو حنيفة(</w:t>
      </w:r>
      <w:r w:rsidRPr="00546E4F">
        <w:rPr>
          <w:rFonts w:hint="cs"/>
          <w:sz w:val="27"/>
          <w:rtl/>
          <w:lang w:bidi="ar-OM"/>
        </w:rPr>
        <w:t>150</w:t>
      </w:r>
      <w:r w:rsidR="00546E4F" w:rsidRPr="00546E4F">
        <w:rPr>
          <w:rFonts w:hint="cs"/>
          <w:sz w:val="27"/>
          <w:rtl/>
          <w:lang w:bidi="ar-OM"/>
        </w:rPr>
        <w:t>هـ</w:t>
      </w:r>
      <w:r w:rsidR="009606BF" w:rsidRPr="00904FCB">
        <w:rPr>
          <w:rFonts w:hint="cs"/>
          <w:sz w:val="27"/>
          <w:rtl/>
          <w:lang w:bidi="ar-OM"/>
        </w:rPr>
        <w:t>)</w:t>
      </w:r>
      <w:r w:rsidRPr="00904FCB">
        <w:rPr>
          <w:rFonts w:hint="cs"/>
          <w:sz w:val="27"/>
          <w:rtl/>
          <w:lang w:bidi="ar-OM"/>
        </w:rPr>
        <w:t>. فقد نقل جماعة</w:t>
      </w:r>
      <w:r w:rsidR="009606BF" w:rsidRPr="00904FCB">
        <w:rPr>
          <w:rFonts w:hint="cs"/>
          <w:sz w:val="27"/>
          <w:rtl/>
          <w:lang w:bidi="ar-OM"/>
        </w:rPr>
        <w:t>ٌ</w:t>
      </w:r>
      <w:r w:rsidRPr="00904FCB">
        <w:rPr>
          <w:rFonts w:hint="cs"/>
          <w:sz w:val="27"/>
          <w:rtl/>
          <w:lang w:bidi="ar-OM"/>
        </w:rPr>
        <w:t xml:space="preserve"> عنه أنه </w:t>
      </w:r>
      <w:r w:rsidRPr="00904FCB">
        <w:rPr>
          <w:sz w:val="27"/>
          <w:rtl/>
          <w:lang w:bidi="ar-OM"/>
        </w:rPr>
        <w:t xml:space="preserve">أجاز للمرأة </w:t>
      </w:r>
      <w:r w:rsidR="009606BF" w:rsidRPr="00904FCB">
        <w:rPr>
          <w:rFonts w:hint="cs"/>
          <w:sz w:val="27"/>
          <w:rtl/>
          <w:lang w:bidi="ar-OM"/>
        </w:rPr>
        <w:t>أ</w:t>
      </w:r>
      <w:r w:rsidRPr="00904FCB">
        <w:rPr>
          <w:rFonts w:hint="cs"/>
          <w:sz w:val="27"/>
          <w:rtl/>
          <w:lang w:bidi="ar-OM"/>
        </w:rPr>
        <w:t>ن ت</w:t>
      </w:r>
      <w:r w:rsidRPr="00904FCB">
        <w:rPr>
          <w:sz w:val="27"/>
          <w:rtl/>
          <w:lang w:bidi="ar-OM"/>
        </w:rPr>
        <w:t>تول</w:t>
      </w:r>
      <w:r w:rsidR="009606BF" w:rsidRPr="00904FCB">
        <w:rPr>
          <w:rFonts w:hint="cs"/>
          <w:sz w:val="27"/>
          <w:rtl/>
          <w:lang w:bidi="ar-OM"/>
        </w:rPr>
        <w:t>ّى</w:t>
      </w:r>
      <w:r w:rsidRPr="00904FCB">
        <w:rPr>
          <w:sz w:val="27"/>
          <w:rtl/>
          <w:lang w:bidi="ar-OM"/>
        </w:rPr>
        <w:t xml:space="preserve"> القضاء في</w:t>
      </w:r>
      <w:r w:rsidR="009606BF" w:rsidRPr="00904FCB">
        <w:rPr>
          <w:rFonts w:hint="cs"/>
          <w:sz w:val="27"/>
          <w:rtl/>
          <w:lang w:bidi="ar-OM"/>
        </w:rPr>
        <w:t xml:space="preserve"> </w:t>
      </w:r>
      <w:r w:rsidRPr="00904FCB">
        <w:rPr>
          <w:sz w:val="27"/>
          <w:rtl/>
          <w:lang w:bidi="ar-OM"/>
        </w:rPr>
        <w:t>ما تجوز فيه شهادتها</w:t>
      </w:r>
      <w:r w:rsidR="009606BF" w:rsidRPr="00904FCB">
        <w:rPr>
          <w:rFonts w:hint="cs"/>
          <w:sz w:val="27"/>
          <w:rtl/>
          <w:lang w:bidi="ar-OM"/>
        </w:rPr>
        <w:t xml:space="preserve">، </w:t>
      </w:r>
      <w:r w:rsidRPr="00904FCB">
        <w:rPr>
          <w:sz w:val="27"/>
          <w:rtl/>
          <w:lang w:bidi="ar-OM"/>
        </w:rPr>
        <w:t>ويشمل مختلف المجالات</w:t>
      </w:r>
      <w:r w:rsidR="009606BF" w:rsidRPr="00904FCB">
        <w:rPr>
          <w:rFonts w:hint="cs"/>
          <w:sz w:val="27"/>
          <w:rtl/>
          <w:lang w:bidi="ar-OM"/>
        </w:rPr>
        <w:t>،</w:t>
      </w:r>
      <w:r w:rsidRPr="00904FCB">
        <w:rPr>
          <w:sz w:val="27"/>
          <w:rtl/>
          <w:lang w:bidi="ar-OM"/>
        </w:rPr>
        <w:t xml:space="preserve"> باستثناء المجال الجنائي</w:t>
      </w:r>
      <w:r w:rsidR="009606BF" w:rsidRPr="00904FCB">
        <w:rPr>
          <w:rFonts w:hint="cs"/>
          <w:sz w:val="27"/>
          <w:rtl/>
          <w:lang w:bidi="ar-OM"/>
        </w:rPr>
        <w:t>.</w:t>
      </w:r>
      <w:r w:rsidRPr="00904FCB">
        <w:rPr>
          <w:sz w:val="27"/>
          <w:rtl/>
          <w:lang w:bidi="ar-OM"/>
        </w:rPr>
        <w:t xml:space="preserve"> </w:t>
      </w:r>
    </w:p>
    <w:p w:rsidR="009606BF" w:rsidRPr="00904FCB" w:rsidRDefault="009606BF" w:rsidP="007A21AA">
      <w:pPr>
        <w:spacing w:line="400" w:lineRule="exact"/>
        <w:rPr>
          <w:sz w:val="27"/>
          <w:rtl/>
          <w:lang w:bidi="ar-OM"/>
        </w:rPr>
      </w:pPr>
      <w:r w:rsidRPr="00904FCB">
        <w:rPr>
          <w:rFonts w:hint="cs"/>
          <w:sz w:val="27"/>
          <w:rtl/>
          <w:lang w:bidi="ar-OM"/>
        </w:rPr>
        <w:t>نقل</w:t>
      </w:r>
      <w:r w:rsidR="00644408" w:rsidRPr="00904FCB">
        <w:rPr>
          <w:sz w:val="27"/>
          <w:rtl/>
          <w:lang w:bidi="ar-OM"/>
        </w:rPr>
        <w:t xml:space="preserve"> الماوردي(</w:t>
      </w:r>
      <w:r w:rsidR="00644408" w:rsidRPr="00546E4F">
        <w:rPr>
          <w:sz w:val="27"/>
          <w:rtl/>
          <w:lang w:bidi="ar-OM"/>
        </w:rPr>
        <w:t>450</w:t>
      </w:r>
      <w:r w:rsidR="00644408" w:rsidRPr="00546E4F">
        <w:rPr>
          <w:rFonts w:hint="cs"/>
          <w:sz w:val="27"/>
          <w:rtl/>
          <w:lang w:bidi="ar-OM"/>
        </w:rPr>
        <w:t>هـ</w:t>
      </w:r>
      <w:r w:rsidR="00644408" w:rsidRPr="00904FCB">
        <w:rPr>
          <w:rFonts w:hint="cs"/>
          <w:sz w:val="27"/>
          <w:rtl/>
          <w:lang w:bidi="ar-OM"/>
        </w:rPr>
        <w:t>)</w:t>
      </w:r>
      <w:r w:rsidR="00644408" w:rsidRPr="00904FCB">
        <w:rPr>
          <w:sz w:val="27"/>
          <w:rtl/>
          <w:lang w:bidi="ar-OM"/>
        </w:rPr>
        <w:t xml:space="preserve"> </w:t>
      </w:r>
      <w:r w:rsidR="00644408" w:rsidRPr="00904FCB">
        <w:rPr>
          <w:rFonts w:hint="cs"/>
          <w:sz w:val="27"/>
          <w:rtl/>
          <w:lang w:bidi="ar-OM"/>
        </w:rPr>
        <w:t>عن أبي</w:t>
      </w:r>
      <w:r w:rsidR="00644408" w:rsidRPr="00904FCB">
        <w:rPr>
          <w:sz w:val="27"/>
          <w:rtl/>
          <w:lang w:bidi="ar-OM"/>
        </w:rPr>
        <w:t xml:space="preserve"> حنيفة</w:t>
      </w:r>
      <w:r w:rsidR="00644408" w:rsidRPr="00904FCB">
        <w:rPr>
          <w:rFonts w:hint="cs"/>
          <w:sz w:val="27"/>
          <w:rtl/>
          <w:lang w:bidi="ar-OM"/>
        </w:rPr>
        <w:t xml:space="preserve"> أنه قال: </w:t>
      </w:r>
      <w:r w:rsidR="00644408" w:rsidRPr="00904FCB">
        <w:rPr>
          <w:sz w:val="27"/>
          <w:rtl/>
          <w:lang w:bidi="ar-OM"/>
        </w:rPr>
        <w:t xml:space="preserve">يجوز </w:t>
      </w:r>
      <w:r w:rsidRPr="00904FCB">
        <w:rPr>
          <w:rFonts w:hint="cs"/>
          <w:sz w:val="27"/>
          <w:rtl/>
          <w:lang w:bidi="ar-OM"/>
        </w:rPr>
        <w:t>أ</w:t>
      </w:r>
      <w:r w:rsidR="00644408" w:rsidRPr="00904FCB">
        <w:rPr>
          <w:sz w:val="27"/>
          <w:rtl/>
          <w:lang w:bidi="ar-OM"/>
        </w:rPr>
        <w:t>ن تقضي المرأة في</w:t>
      </w:r>
      <w:r w:rsidRPr="00904FCB">
        <w:rPr>
          <w:rFonts w:hint="cs"/>
          <w:sz w:val="27"/>
          <w:rtl/>
          <w:lang w:bidi="ar-OM"/>
        </w:rPr>
        <w:t xml:space="preserve"> </w:t>
      </w:r>
      <w:r w:rsidR="00644408" w:rsidRPr="00904FCB">
        <w:rPr>
          <w:sz w:val="27"/>
          <w:rtl/>
          <w:lang w:bidi="ar-OM"/>
        </w:rPr>
        <w:t>ما تصح</w:t>
      </w:r>
      <w:r w:rsidRPr="00904FCB">
        <w:rPr>
          <w:rFonts w:hint="cs"/>
          <w:sz w:val="27"/>
          <w:rtl/>
          <w:lang w:bidi="ar-OM"/>
        </w:rPr>
        <w:t>ّ</w:t>
      </w:r>
      <w:r w:rsidR="00644408" w:rsidRPr="00904FCB">
        <w:rPr>
          <w:sz w:val="27"/>
          <w:rtl/>
          <w:lang w:bidi="ar-OM"/>
        </w:rPr>
        <w:t xml:space="preserve"> فيه شهادتها</w:t>
      </w:r>
      <w:r w:rsidRPr="00904FCB">
        <w:rPr>
          <w:rFonts w:hint="cs"/>
          <w:sz w:val="27"/>
          <w:rtl/>
          <w:lang w:bidi="ar-OM"/>
        </w:rPr>
        <w:t>،</w:t>
      </w:r>
      <w:r w:rsidR="00644408" w:rsidRPr="00904FCB">
        <w:rPr>
          <w:sz w:val="27"/>
          <w:rtl/>
          <w:lang w:bidi="ar-OM"/>
        </w:rPr>
        <w:t xml:space="preserve"> ولا يجوز أن تقضي في</w:t>
      </w:r>
      <w:r w:rsidRPr="00904FCB">
        <w:rPr>
          <w:rFonts w:hint="cs"/>
          <w:sz w:val="27"/>
          <w:rtl/>
          <w:lang w:bidi="ar-OM"/>
        </w:rPr>
        <w:t xml:space="preserve"> </w:t>
      </w:r>
      <w:r w:rsidR="00644408" w:rsidRPr="00904FCB">
        <w:rPr>
          <w:sz w:val="27"/>
          <w:rtl/>
          <w:lang w:bidi="ar-OM"/>
        </w:rPr>
        <w:t>ما لا تصح</w:t>
      </w:r>
      <w:r w:rsidRPr="00904FCB">
        <w:rPr>
          <w:rFonts w:hint="cs"/>
          <w:sz w:val="27"/>
          <w:rtl/>
          <w:lang w:bidi="ar-OM"/>
        </w:rPr>
        <w:t>ّ</w:t>
      </w:r>
      <w:r w:rsidR="00644408" w:rsidRPr="00904FCB">
        <w:rPr>
          <w:sz w:val="27"/>
          <w:rtl/>
          <w:lang w:bidi="ar-OM"/>
        </w:rPr>
        <w:t xml:space="preserve"> فيه شهادتها</w:t>
      </w:r>
      <w:r w:rsidRPr="00904FCB">
        <w:rPr>
          <w:sz w:val="27"/>
          <w:rtl/>
          <w:lang w:bidi="ar-OM"/>
        </w:rPr>
        <w:t>.</w:t>
      </w:r>
    </w:p>
    <w:p w:rsidR="00644408" w:rsidRPr="00904FCB" w:rsidRDefault="00644408" w:rsidP="007A21AA">
      <w:pPr>
        <w:spacing w:line="400" w:lineRule="exact"/>
        <w:rPr>
          <w:sz w:val="27"/>
          <w:rtl/>
          <w:lang w:bidi="ar-OM"/>
        </w:rPr>
      </w:pPr>
      <w:r w:rsidRPr="00904FCB">
        <w:rPr>
          <w:sz w:val="27"/>
          <w:rtl/>
          <w:lang w:bidi="ar-OM"/>
        </w:rPr>
        <w:t>و</w:t>
      </w:r>
      <w:r w:rsidRPr="00904FCB">
        <w:rPr>
          <w:rFonts w:hint="cs"/>
          <w:sz w:val="27"/>
          <w:rtl/>
          <w:lang w:bidi="ar-OM"/>
        </w:rPr>
        <w:t>ح</w:t>
      </w:r>
      <w:r w:rsidR="009606BF" w:rsidRPr="00904FCB">
        <w:rPr>
          <w:rFonts w:hint="cs"/>
          <w:sz w:val="27"/>
          <w:rtl/>
          <w:lang w:bidi="ar-OM"/>
        </w:rPr>
        <w:t>َ</w:t>
      </w:r>
      <w:r w:rsidRPr="00904FCB">
        <w:rPr>
          <w:rFonts w:hint="cs"/>
          <w:sz w:val="27"/>
          <w:rtl/>
          <w:lang w:bidi="ar-OM"/>
        </w:rPr>
        <w:t>س</w:t>
      </w:r>
      <w:r w:rsidR="009606BF" w:rsidRPr="00904FCB">
        <w:rPr>
          <w:rFonts w:hint="cs"/>
          <w:sz w:val="27"/>
          <w:rtl/>
          <w:lang w:bidi="ar-OM"/>
        </w:rPr>
        <w:t>ْ</w:t>
      </w:r>
      <w:r w:rsidRPr="00904FCB">
        <w:rPr>
          <w:rFonts w:hint="cs"/>
          <w:sz w:val="27"/>
          <w:rtl/>
          <w:lang w:bidi="ar-OM"/>
        </w:rPr>
        <w:t>ب الطوسي(</w:t>
      </w:r>
      <w:r w:rsidRPr="00546E4F">
        <w:rPr>
          <w:rFonts w:hint="cs"/>
          <w:sz w:val="27"/>
          <w:rtl/>
          <w:lang w:bidi="ar-OM"/>
        </w:rPr>
        <w:t>460هـ</w:t>
      </w:r>
      <w:r w:rsidRPr="00904FCB">
        <w:rPr>
          <w:rFonts w:hint="cs"/>
          <w:sz w:val="27"/>
          <w:rtl/>
          <w:lang w:bidi="ar-OM"/>
        </w:rPr>
        <w:t xml:space="preserve">) </w:t>
      </w:r>
      <w:r w:rsidR="009606BF" w:rsidRPr="00904FCB">
        <w:rPr>
          <w:rFonts w:hint="cs"/>
          <w:sz w:val="27"/>
          <w:rtl/>
          <w:lang w:bidi="ar-OM"/>
        </w:rPr>
        <w:t xml:space="preserve">فإنّ </w:t>
      </w:r>
      <w:r w:rsidRPr="00904FCB">
        <w:rPr>
          <w:rFonts w:hint="cs"/>
          <w:sz w:val="27"/>
          <w:rtl/>
          <w:lang w:bidi="ar-OM"/>
        </w:rPr>
        <w:t>أبا حنيفة جو</w:t>
      </w:r>
      <w:r w:rsidR="009606BF" w:rsidRPr="00904FCB">
        <w:rPr>
          <w:rFonts w:hint="cs"/>
          <w:sz w:val="27"/>
          <w:rtl/>
          <w:lang w:bidi="ar-OM"/>
        </w:rPr>
        <w:t>ّ</w:t>
      </w:r>
      <w:r w:rsidRPr="00904FCB">
        <w:rPr>
          <w:rFonts w:hint="cs"/>
          <w:sz w:val="27"/>
          <w:rtl/>
          <w:lang w:bidi="ar-OM"/>
        </w:rPr>
        <w:t>ز</w:t>
      </w:r>
      <w:r w:rsidR="009606BF" w:rsidRPr="00904FCB">
        <w:rPr>
          <w:rFonts w:hint="cs"/>
          <w:sz w:val="27"/>
          <w:rtl/>
          <w:lang w:bidi="ar-OM"/>
        </w:rPr>
        <w:t xml:space="preserve"> </w:t>
      </w:r>
      <w:r w:rsidRPr="00904FCB">
        <w:rPr>
          <w:rFonts w:hint="cs"/>
          <w:sz w:val="27"/>
          <w:rtl/>
          <w:lang w:bidi="ar-OM"/>
        </w:rPr>
        <w:t>لها أن تقضي في جميع الأحكام</w:t>
      </w:r>
      <w:r w:rsidR="009606BF" w:rsidRPr="00904FCB">
        <w:rPr>
          <w:rFonts w:hint="cs"/>
          <w:sz w:val="27"/>
          <w:rtl/>
          <w:lang w:bidi="ar-OM"/>
        </w:rPr>
        <w:t>،</w:t>
      </w:r>
      <w:r w:rsidRPr="00904FCB">
        <w:rPr>
          <w:rFonts w:hint="cs"/>
          <w:sz w:val="27"/>
          <w:rtl/>
          <w:lang w:bidi="ar-OM"/>
        </w:rPr>
        <w:t xml:space="preserve"> إلا</w:t>
      </w:r>
      <w:r w:rsidR="009606BF" w:rsidRPr="00904FCB">
        <w:rPr>
          <w:rFonts w:hint="cs"/>
          <w:sz w:val="27"/>
          <w:rtl/>
          <w:lang w:bidi="ar-OM"/>
        </w:rPr>
        <w:t>ّ</w:t>
      </w:r>
      <w:r w:rsidRPr="00904FCB">
        <w:rPr>
          <w:rFonts w:hint="cs"/>
          <w:sz w:val="27"/>
          <w:rtl/>
          <w:lang w:bidi="ar-OM"/>
        </w:rPr>
        <w:t xml:space="preserve"> الحدود والقصاص. وبتعبير ابن رشد(</w:t>
      </w:r>
      <w:r w:rsidRPr="00546E4F">
        <w:rPr>
          <w:rFonts w:hint="cs"/>
          <w:sz w:val="27"/>
          <w:rtl/>
          <w:lang w:bidi="ar-OM"/>
        </w:rPr>
        <w:t>595</w:t>
      </w:r>
      <w:r w:rsidR="00546E4F">
        <w:rPr>
          <w:rFonts w:hint="cs"/>
          <w:sz w:val="27"/>
          <w:rtl/>
          <w:lang w:bidi="ar-OM"/>
        </w:rPr>
        <w:t>هـ</w:t>
      </w:r>
      <w:r w:rsidRPr="00904FCB">
        <w:rPr>
          <w:rFonts w:hint="cs"/>
          <w:sz w:val="27"/>
          <w:rtl/>
          <w:lang w:bidi="ar-OM"/>
        </w:rPr>
        <w:t>)</w:t>
      </w:r>
      <w:r w:rsidR="009606BF" w:rsidRPr="00904FCB">
        <w:rPr>
          <w:rFonts w:hint="cs"/>
          <w:sz w:val="27"/>
          <w:rtl/>
          <w:lang w:bidi="ar-OM"/>
        </w:rPr>
        <w:t>:</w:t>
      </w:r>
      <w:r w:rsidRPr="00904FCB">
        <w:rPr>
          <w:rFonts w:hint="cs"/>
          <w:sz w:val="27"/>
          <w:rtl/>
          <w:lang w:bidi="ar-OM"/>
        </w:rPr>
        <w:t xml:space="preserve"> أن تقضي في الأموال. ويستفاد من ابن قدامة(</w:t>
      </w:r>
      <w:r w:rsidRPr="00546E4F">
        <w:rPr>
          <w:rFonts w:hint="cs"/>
          <w:sz w:val="27"/>
          <w:rtl/>
          <w:lang w:bidi="ar-OM"/>
        </w:rPr>
        <w:t>682</w:t>
      </w:r>
      <w:r w:rsidR="00546E4F">
        <w:rPr>
          <w:rFonts w:hint="cs"/>
          <w:sz w:val="27"/>
          <w:rtl/>
          <w:lang w:bidi="ar-OM"/>
        </w:rPr>
        <w:t>هـ</w:t>
      </w:r>
      <w:r w:rsidRPr="00904FCB">
        <w:rPr>
          <w:rFonts w:hint="cs"/>
          <w:sz w:val="27"/>
          <w:rtl/>
          <w:lang w:bidi="ar-OM"/>
        </w:rPr>
        <w:t xml:space="preserve">) </w:t>
      </w:r>
      <w:r w:rsidR="009606BF" w:rsidRPr="00904FCB">
        <w:rPr>
          <w:rFonts w:hint="cs"/>
          <w:sz w:val="27"/>
          <w:rtl/>
          <w:lang w:bidi="ar-OM"/>
        </w:rPr>
        <w:t>أ</w:t>
      </w:r>
      <w:r w:rsidRPr="00904FCB">
        <w:rPr>
          <w:rFonts w:hint="cs"/>
          <w:sz w:val="27"/>
          <w:rtl/>
          <w:lang w:bidi="ar-OM"/>
        </w:rPr>
        <w:t>ن أبا حنيفة أجاز قضاءها</w:t>
      </w:r>
      <w:r w:rsidR="009606BF" w:rsidRPr="00904FCB">
        <w:rPr>
          <w:rFonts w:hint="cs"/>
          <w:sz w:val="27"/>
          <w:rtl/>
          <w:lang w:bidi="ar-OM"/>
        </w:rPr>
        <w:t>،</w:t>
      </w:r>
      <w:r w:rsidRPr="00904FCB">
        <w:rPr>
          <w:rFonts w:hint="cs"/>
          <w:sz w:val="27"/>
          <w:rtl/>
          <w:lang w:bidi="ar-OM"/>
        </w:rPr>
        <w:t xml:space="preserve"> قياسا</w:t>
      </w:r>
      <w:r w:rsidR="009606BF" w:rsidRPr="00904FCB">
        <w:rPr>
          <w:rFonts w:hint="cs"/>
          <w:sz w:val="27"/>
          <w:rtl/>
          <w:lang w:bidi="ar-OM"/>
        </w:rPr>
        <w:t>ً</w:t>
      </w:r>
      <w:r w:rsidRPr="00904FCB">
        <w:rPr>
          <w:rFonts w:hint="cs"/>
          <w:sz w:val="27"/>
          <w:rtl/>
          <w:lang w:bidi="ar-OM"/>
        </w:rPr>
        <w:t xml:space="preserve"> على الشهادة. فنقل عنه قوله: يجوز أن تكون قاضية في غير الحدود</w:t>
      </w:r>
      <w:r w:rsidR="009606BF" w:rsidRPr="00904FCB">
        <w:rPr>
          <w:rFonts w:hint="cs"/>
          <w:sz w:val="27"/>
          <w:rtl/>
          <w:lang w:bidi="ar-OM"/>
        </w:rPr>
        <w:t>؛</w:t>
      </w:r>
      <w:r w:rsidRPr="00904FCB">
        <w:rPr>
          <w:rFonts w:hint="cs"/>
          <w:sz w:val="27"/>
          <w:rtl/>
          <w:lang w:bidi="ar-OM"/>
        </w:rPr>
        <w:t xml:space="preserve"> لأنه يجوز لها </w:t>
      </w:r>
      <w:r w:rsidR="009606BF" w:rsidRPr="00904FCB">
        <w:rPr>
          <w:rFonts w:hint="cs"/>
          <w:sz w:val="27"/>
          <w:rtl/>
          <w:lang w:bidi="ar-OM"/>
        </w:rPr>
        <w:t>أ</w:t>
      </w:r>
      <w:r w:rsidRPr="00904FCB">
        <w:rPr>
          <w:rFonts w:hint="cs"/>
          <w:sz w:val="27"/>
          <w:rtl/>
          <w:lang w:bidi="ar-OM"/>
        </w:rPr>
        <w:t>ن تكون شاهدة فيه</w:t>
      </w:r>
      <w:r w:rsidRPr="00904FCB">
        <w:rPr>
          <w:rFonts w:hint="cs"/>
          <w:sz w:val="27"/>
          <w:vertAlign w:val="superscript"/>
          <w:rtl/>
        </w:rPr>
        <w:t>(</w:t>
      </w:r>
      <w:r w:rsidRPr="00904FCB">
        <w:rPr>
          <w:rStyle w:val="ac"/>
          <w:sz w:val="27"/>
          <w:rtl/>
        </w:rPr>
        <w:endnoteReference w:id="199"/>
      </w:r>
      <w:r w:rsidRPr="00904FCB">
        <w:rPr>
          <w:rFonts w:hint="cs"/>
          <w:sz w:val="27"/>
          <w:vertAlign w:val="superscript"/>
          <w:rtl/>
        </w:rPr>
        <w:t>)</w:t>
      </w:r>
      <w:r w:rsidRPr="00904FCB">
        <w:rPr>
          <w:rFonts w:hint="cs"/>
          <w:sz w:val="27"/>
          <w:rtl/>
          <w:lang w:bidi="ar-OM"/>
        </w:rPr>
        <w:t xml:space="preserve">. </w:t>
      </w:r>
    </w:p>
    <w:p w:rsidR="00A427C6" w:rsidRPr="00904FCB" w:rsidRDefault="00644408" w:rsidP="007A21AA">
      <w:pPr>
        <w:spacing w:line="400" w:lineRule="exact"/>
        <w:rPr>
          <w:sz w:val="27"/>
          <w:rtl/>
          <w:lang w:bidi="ar-OM"/>
        </w:rPr>
      </w:pPr>
      <w:r w:rsidRPr="00904FCB">
        <w:rPr>
          <w:sz w:val="27"/>
          <w:rtl/>
          <w:lang w:bidi="ar-OM"/>
        </w:rPr>
        <w:t xml:space="preserve"> </w:t>
      </w:r>
      <w:r w:rsidRPr="00904FCB">
        <w:rPr>
          <w:rFonts w:hint="cs"/>
          <w:sz w:val="27"/>
          <w:rtl/>
          <w:lang w:bidi="ar-OM"/>
        </w:rPr>
        <w:t>بل يظهر من كلام ابن حزم(</w:t>
      </w:r>
      <w:r w:rsidRPr="00546E4F">
        <w:rPr>
          <w:rFonts w:hint="cs"/>
          <w:sz w:val="27"/>
          <w:rtl/>
          <w:lang w:bidi="ar-OM"/>
        </w:rPr>
        <w:t>456هـ</w:t>
      </w:r>
      <w:r w:rsidRPr="00904FCB">
        <w:rPr>
          <w:rFonts w:hint="cs"/>
          <w:sz w:val="27"/>
          <w:rtl/>
          <w:lang w:bidi="ar-OM"/>
        </w:rPr>
        <w:t xml:space="preserve">) </w:t>
      </w:r>
      <w:r w:rsidR="009606BF" w:rsidRPr="00904FCB">
        <w:rPr>
          <w:rFonts w:hint="cs"/>
          <w:sz w:val="27"/>
          <w:rtl/>
          <w:lang w:bidi="ar-OM"/>
        </w:rPr>
        <w:t>أ</w:t>
      </w:r>
      <w:r w:rsidRPr="00904FCB">
        <w:rPr>
          <w:rFonts w:hint="cs"/>
          <w:sz w:val="27"/>
          <w:rtl/>
          <w:lang w:bidi="ar-OM"/>
        </w:rPr>
        <w:t>ن أبا حنيفة جو</w:t>
      </w:r>
      <w:r w:rsidR="00A427C6" w:rsidRPr="00904FCB">
        <w:rPr>
          <w:rFonts w:hint="cs"/>
          <w:sz w:val="27"/>
          <w:rtl/>
          <w:lang w:bidi="ar-OM"/>
        </w:rPr>
        <w:t>ّ</w:t>
      </w:r>
      <w:r w:rsidRPr="00904FCB">
        <w:rPr>
          <w:rFonts w:hint="cs"/>
          <w:sz w:val="27"/>
          <w:rtl/>
          <w:lang w:bidi="ar-OM"/>
        </w:rPr>
        <w:t xml:space="preserve">ز لها </w:t>
      </w:r>
      <w:r w:rsidR="00A427C6" w:rsidRPr="00904FCB">
        <w:rPr>
          <w:rFonts w:hint="cs"/>
          <w:sz w:val="27"/>
          <w:rtl/>
          <w:lang w:bidi="ar-OM"/>
        </w:rPr>
        <w:t>أ</w:t>
      </w:r>
      <w:r w:rsidRPr="00904FCB">
        <w:rPr>
          <w:rFonts w:hint="cs"/>
          <w:sz w:val="27"/>
          <w:rtl/>
          <w:lang w:bidi="ar-OM"/>
        </w:rPr>
        <w:t>ن تلي الحكم بلا قيد</w:t>
      </w:r>
      <w:r w:rsidRPr="00904FCB">
        <w:rPr>
          <w:rFonts w:hint="cs"/>
          <w:sz w:val="27"/>
          <w:vertAlign w:val="superscript"/>
          <w:rtl/>
        </w:rPr>
        <w:t>(</w:t>
      </w:r>
      <w:r w:rsidRPr="00904FCB">
        <w:rPr>
          <w:rStyle w:val="ac"/>
          <w:sz w:val="27"/>
          <w:rtl/>
        </w:rPr>
        <w:endnoteReference w:id="200"/>
      </w:r>
      <w:r w:rsidRPr="00904FCB">
        <w:rPr>
          <w:rFonts w:hint="cs"/>
          <w:sz w:val="27"/>
          <w:vertAlign w:val="superscript"/>
          <w:rtl/>
        </w:rPr>
        <w:t>)</w:t>
      </w:r>
      <w:r w:rsidRPr="00904FCB">
        <w:rPr>
          <w:rFonts w:hint="cs"/>
          <w:sz w:val="27"/>
          <w:rtl/>
          <w:lang w:bidi="ar-OM"/>
        </w:rPr>
        <w:t>. و</w:t>
      </w:r>
      <w:r w:rsidR="00A427C6" w:rsidRPr="00904FCB">
        <w:rPr>
          <w:rFonts w:hint="cs"/>
          <w:sz w:val="27"/>
          <w:rtl/>
          <w:lang w:bidi="ar-OM"/>
        </w:rPr>
        <w:t>إ</w:t>
      </w:r>
      <w:r w:rsidRPr="00904FCB">
        <w:rPr>
          <w:rFonts w:hint="cs"/>
          <w:sz w:val="27"/>
          <w:rtl/>
          <w:lang w:bidi="ar-OM"/>
        </w:rPr>
        <w:t>ن</w:t>
      </w:r>
      <w:r w:rsidR="00A427C6" w:rsidRPr="00904FCB">
        <w:rPr>
          <w:rFonts w:hint="cs"/>
          <w:sz w:val="27"/>
          <w:rtl/>
          <w:lang w:bidi="ar-OM"/>
        </w:rPr>
        <w:t>ْ</w:t>
      </w:r>
      <w:r w:rsidRPr="00904FCB">
        <w:rPr>
          <w:rFonts w:hint="cs"/>
          <w:sz w:val="27"/>
          <w:rtl/>
          <w:lang w:bidi="ar-OM"/>
        </w:rPr>
        <w:t xml:space="preserve"> كان المعروف خلافه</w:t>
      </w:r>
      <w:r w:rsidR="00A427C6"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وقد سار على هذا النهج بعض فقهاء الأحناف</w:t>
      </w:r>
      <w:r w:rsidR="00A427C6" w:rsidRPr="00904FCB">
        <w:rPr>
          <w:rFonts w:hint="cs"/>
          <w:sz w:val="27"/>
          <w:rtl/>
          <w:lang w:bidi="ar-OM"/>
        </w:rPr>
        <w:t>.</w:t>
      </w:r>
      <w:r w:rsidRPr="00904FCB">
        <w:rPr>
          <w:rFonts w:hint="cs"/>
          <w:sz w:val="27"/>
          <w:rtl/>
          <w:lang w:bidi="ar-OM"/>
        </w:rPr>
        <w:t xml:space="preserve"> فقد صر</w:t>
      </w:r>
      <w:r w:rsidR="00A427C6" w:rsidRPr="00904FCB">
        <w:rPr>
          <w:rFonts w:hint="cs"/>
          <w:sz w:val="27"/>
          <w:rtl/>
          <w:lang w:bidi="ar-OM"/>
        </w:rPr>
        <w:t>َّ</w:t>
      </w:r>
      <w:r w:rsidRPr="00904FCB">
        <w:rPr>
          <w:rFonts w:hint="cs"/>
          <w:sz w:val="27"/>
          <w:rtl/>
          <w:lang w:bidi="ar-OM"/>
        </w:rPr>
        <w:t>ح الكاساني(</w:t>
      </w:r>
      <w:r w:rsidRPr="00546E4F">
        <w:rPr>
          <w:rFonts w:hint="cs"/>
          <w:sz w:val="27"/>
          <w:rtl/>
          <w:lang w:bidi="ar-OM"/>
        </w:rPr>
        <w:t>587</w:t>
      </w:r>
      <w:r w:rsidR="00546E4F">
        <w:rPr>
          <w:rFonts w:hint="cs"/>
          <w:sz w:val="27"/>
          <w:rtl/>
          <w:lang w:bidi="ar-OM"/>
        </w:rPr>
        <w:t>هـ</w:t>
      </w:r>
      <w:r w:rsidRPr="00904FCB">
        <w:rPr>
          <w:rFonts w:hint="cs"/>
          <w:sz w:val="27"/>
          <w:rtl/>
          <w:lang w:bidi="ar-OM"/>
        </w:rPr>
        <w:t xml:space="preserve">) في بيان ما يصلح للقضاء: </w:t>
      </w:r>
      <w:r w:rsidRPr="00904FCB">
        <w:rPr>
          <w:rFonts w:hint="eastAsia"/>
          <w:sz w:val="27"/>
          <w:rtl/>
          <w:lang w:bidi="ar-OM"/>
        </w:rPr>
        <w:t>«</w:t>
      </w:r>
      <w:r w:rsidRPr="00904FCB">
        <w:rPr>
          <w:rFonts w:hint="cs"/>
          <w:sz w:val="27"/>
          <w:rtl/>
          <w:lang w:bidi="ar-OM"/>
        </w:rPr>
        <w:t>وأما الذكورة فليست من شرط جواز التقليد في الجملة</w:t>
      </w:r>
      <w:r w:rsidR="00A427C6" w:rsidRPr="00904FCB">
        <w:rPr>
          <w:rFonts w:hint="cs"/>
          <w:sz w:val="27"/>
          <w:rtl/>
          <w:lang w:bidi="ar-OM"/>
        </w:rPr>
        <w:t>؛</w:t>
      </w:r>
      <w:r w:rsidRPr="00904FCB">
        <w:rPr>
          <w:rFonts w:hint="cs"/>
          <w:sz w:val="27"/>
          <w:rtl/>
          <w:lang w:bidi="ar-OM"/>
        </w:rPr>
        <w:t xml:space="preserve"> لأن المرأة من أهل الشهادة في الجملة</w:t>
      </w:r>
      <w:r w:rsidR="00A427C6" w:rsidRPr="00904FCB">
        <w:rPr>
          <w:rFonts w:hint="cs"/>
          <w:sz w:val="27"/>
          <w:rtl/>
          <w:lang w:bidi="ar-OM"/>
        </w:rPr>
        <w:t>،</w:t>
      </w:r>
      <w:r w:rsidRPr="00904FCB">
        <w:rPr>
          <w:rFonts w:hint="cs"/>
          <w:sz w:val="27"/>
          <w:rtl/>
          <w:lang w:bidi="ar-OM"/>
        </w:rPr>
        <w:t xml:space="preserve"> إلا</w:t>
      </w:r>
      <w:r w:rsidR="00A427C6" w:rsidRPr="00904FCB">
        <w:rPr>
          <w:rFonts w:hint="cs"/>
          <w:sz w:val="27"/>
          <w:rtl/>
          <w:lang w:bidi="ar-OM"/>
        </w:rPr>
        <w:t>ّ</w:t>
      </w:r>
      <w:r w:rsidRPr="00904FCB">
        <w:rPr>
          <w:rFonts w:hint="cs"/>
          <w:sz w:val="27"/>
          <w:rtl/>
          <w:lang w:bidi="ar-OM"/>
        </w:rPr>
        <w:t xml:space="preserve"> </w:t>
      </w:r>
      <w:r w:rsidR="00A427C6" w:rsidRPr="00904FCB">
        <w:rPr>
          <w:rFonts w:hint="cs"/>
          <w:sz w:val="27"/>
          <w:rtl/>
          <w:lang w:bidi="ar-OM"/>
        </w:rPr>
        <w:t>أ</w:t>
      </w:r>
      <w:r w:rsidRPr="00904FCB">
        <w:rPr>
          <w:rFonts w:hint="cs"/>
          <w:sz w:val="27"/>
          <w:rtl/>
          <w:lang w:bidi="ar-OM"/>
        </w:rPr>
        <w:t>نها لا تقضي بالحدود والقصاص</w:t>
      </w:r>
      <w:r w:rsidR="00A427C6" w:rsidRPr="00904FCB">
        <w:rPr>
          <w:rFonts w:hint="cs"/>
          <w:sz w:val="27"/>
          <w:rtl/>
          <w:lang w:bidi="ar-OM"/>
        </w:rPr>
        <w:t>؛</w:t>
      </w:r>
      <w:r w:rsidRPr="00904FCB">
        <w:rPr>
          <w:rFonts w:hint="cs"/>
          <w:sz w:val="27"/>
          <w:rtl/>
          <w:lang w:bidi="ar-OM"/>
        </w:rPr>
        <w:t xml:space="preserve"> لأنه لا شهادة </w:t>
      </w:r>
      <w:r w:rsidRPr="00904FCB">
        <w:rPr>
          <w:rFonts w:hint="cs"/>
          <w:sz w:val="27"/>
          <w:rtl/>
          <w:lang w:bidi="ar-OM"/>
        </w:rPr>
        <w:lastRenderedPageBreak/>
        <w:t>لها في ذلك، وأهلية القضاء تدور مع أهلية الشهادة</w:t>
      </w:r>
      <w:r w:rsidRPr="00904FCB">
        <w:rPr>
          <w:rFonts w:hint="eastAsia"/>
          <w:sz w:val="27"/>
          <w:rtl/>
        </w:rPr>
        <w:t>»</w:t>
      </w:r>
      <w:r w:rsidRPr="00904FCB">
        <w:rPr>
          <w:rFonts w:hint="cs"/>
          <w:sz w:val="27"/>
          <w:vertAlign w:val="superscript"/>
          <w:rtl/>
        </w:rPr>
        <w:t>(</w:t>
      </w:r>
      <w:r w:rsidRPr="00904FCB">
        <w:rPr>
          <w:rStyle w:val="ac"/>
          <w:sz w:val="27"/>
          <w:rtl/>
        </w:rPr>
        <w:endnoteReference w:id="201"/>
      </w:r>
      <w:r w:rsidRPr="00904FCB">
        <w:rPr>
          <w:rFonts w:hint="cs"/>
          <w:sz w:val="27"/>
          <w:vertAlign w:val="superscript"/>
          <w:rtl/>
        </w:rPr>
        <w:t>)</w:t>
      </w:r>
      <w:r w:rsidRPr="00904FCB">
        <w:rPr>
          <w:rFonts w:hint="cs"/>
          <w:sz w:val="27"/>
          <w:rtl/>
          <w:lang w:bidi="ar-OM"/>
        </w:rPr>
        <w:t xml:space="preserve">. </w:t>
      </w:r>
    </w:p>
    <w:p w:rsidR="00644408" w:rsidRPr="00904FCB" w:rsidRDefault="00644408" w:rsidP="002B7B16">
      <w:pPr>
        <w:spacing w:line="400" w:lineRule="exact"/>
        <w:rPr>
          <w:sz w:val="27"/>
          <w:rtl/>
          <w:lang w:bidi="ar-OM"/>
        </w:rPr>
      </w:pPr>
      <w:r w:rsidRPr="00904FCB">
        <w:rPr>
          <w:rFonts w:hint="cs"/>
          <w:sz w:val="27"/>
          <w:rtl/>
          <w:lang w:bidi="ar-OM"/>
        </w:rPr>
        <w:t xml:space="preserve"> ونقل عن ابن زرقون</w:t>
      </w:r>
      <w:r w:rsidR="002B7B16" w:rsidRPr="00904FCB">
        <w:rPr>
          <w:rFonts w:hint="cs"/>
          <w:sz w:val="27"/>
          <w:rtl/>
          <w:lang w:bidi="ar-OM"/>
        </w:rPr>
        <w:t>(</w:t>
      </w:r>
      <w:r w:rsidR="002B7B16" w:rsidRPr="00546E4F">
        <w:rPr>
          <w:rFonts w:hint="cs"/>
          <w:sz w:val="27"/>
          <w:rtl/>
          <w:lang w:bidi="ar-OM"/>
        </w:rPr>
        <w:t>586هـ</w:t>
      </w:r>
      <w:r w:rsidR="002B7B16" w:rsidRPr="00904FCB">
        <w:rPr>
          <w:rFonts w:hint="cs"/>
          <w:sz w:val="27"/>
          <w:rtl/>
          <w:lang w:bidi="ar-OM"/>
        </w:rPr>
        <w:t>)</w:t>
      </w:r>
      <w:r w:rsidR="002B7B16">
        <w:rPr>
          <w:rFonts w:hint="cs"/>
          <w:sz w:val="27"/>
          <w:rtl/>
          <w:lang w:bidi="ar-OM"/>
        </w:rPr>
        <w:t>،</w:t>
      </w:r>
      <w:r w:rsidRPr="00904FCB">
        <w:rPr>
          <w:rFonts w:hint="cs"/>
          <w:sz w:val="27"/>
          <w:rtl/>
          <w:lang w:bidi="ar-OM"/>
        </w:rPr>
        <w:t xml:space="preserve"> من المالكية</w:t>
      </w:r>
      <w:r w:rsidR="002B7B16">
        <w:rPr>
          <w:rFonts w:hint="cs"/>
          <w:sz w:val="27"/>
          <w:rtl/>
          <w:lang w:bidi="ar-OM"/>
        </w:rPr>
        <w:t>،</w:t>
      </w:r>
      <w:r w:rsidRPr="00904FCB">
        <w:rPr>
          <w:rFonts w:hint="cs"/>
          <w:sz w:val="27"/>
          <w:rtl/>
          <w:lang w:bidi="ar-OM"/>
        </w:rPr>
        <w:t xml:space="preserve"> جواز تول</w:t>
      </w:r>
      <w:r w:rsidR="00A427C6" w:rsidRPr="00904FCB">
        <w:rPr>
          <w:rFonts w:hint="cs"/>
          <w:sz w:val="27"/>
          <w:rtl/>
          <w:lang w:bidi="ar-OM"/>
        </w:rPr>
        <w:t>ّ</w:t>
      </w:r>
      <w:r w:rsidRPr="00904FCB">
        <w:rPr>
          <w:rFonts w:hint="cs"/>
          <w:sz w:val="27"/>
          <w:rtl/>
          <w:lang w:bidi="ar-OM"/>
        </w:rPr>
        <w:t>يها القضاء في</w:t>
      </w:r>
      <w:r w:rsidR="00A427C6" w:rsidRPr="00904FCB">
        <w:rPr>
          <w:rFonts w:hint="cs"/>
          <w:sz w:val="27"/>
          <w:rtl/>
          <w:lang w:bidi="ar-OM"/>
        </w:rPr>
        <w:t xml:space="preserve"> </w:t>
      </w:r>
      <w:r w:rsidRPr="00904FCB">
        <w:rPr>
          <w:rFonts w:hint="cs"/>
          <w:sz w:val="27"/>
          <w:rtl/>
          <w:lang w:bidi="ar-OM"/>
        </w:rPr>
        <w:t>ما تجوز فيه شهادتها، وفاقا</w:t>
      </w:r>
      <w:r w:rsidR="00A427C6" w:rsidRPr="00904FCB">
        <w:rPr>
          <w:rFonts w:hint="cs"/>
          <w:sz w:val="27"/>
          <w:rtl/>
          <w:lang w:bidi="ar-OM"/>
        </w:rPr>
        <w:t>ً</w:t>
      </w:r>
      <w:r w:rsidRPr="00904FCB">
        <w:rPr>
          <w:rFonts w:hint="cs"/>
          <w:sz w:val="27"/>
          <w:rtl/>
          <w:lang w:bidi="ar-OM"/>
        </w:rPr>
        <w:t xml:space="preserve"> لبعض الأحناف</w:t>
      </w:r>
      <w:r w:rsidRPr="00904FCB">
        <w:rPr>
          <w:rFonts w:hint="cs"/>
          <w:sz w:val="27"/>
          <w:vertAlign w:val="superscript"/>
          <w:rtl/>
        </w:rPr>
        <w:t>(</w:t>
      </w:r>
      <w:r w:rsidRPr="00904FCB">
        <w:rPr>
          <w:rStyle w:val="ac"/>
          <w:sz w:val="27"/>
          <w:rtl/>
        </w:rPr>
        <w:endnoteReference w:id="202"/>
      </w:r>
      <w:r w:rsidRPr="00904FCB">
        <w:rPr>
          <w:rFonts w:hint="cs"/>
          <w:sz w:val="27"/>
          <w:vertAlign w:val="superscript"/>
          <w:rtl/>
        </w:rPr>
        <w:t>)</w:t>
      </w:r>
      <w:r w:rsidRPr="00904FCB">
        <w:rPr>
          <w:rFonts w:hint="cs"/>
          <w:sz w:val="27"/>
          <w:rtl/>
          <w:lang w:bidi="ar-OM"/>
        </w:rPr>
        <w:t xml:space="preserve">. </w:t>
      </w:r>
    </w:p>
    <w:p w:rsidR="00644408" w:rsidRPr="00904FCB" w:rsidRDefault="00644408" w:rsidP="002B7B16">
      <w:pPr>
        <w:spacing w:line="400" w:lineRule="exact"/>
        <w:rPr>
          <w:sz w:val="27"/>
          <w:rtl/>
          <w:lang w:bidi="ar-OM"/>
        </w:rPr>
      </w:pPr>
      <w:r w:rsidRPr="00904FCB">
        <w:rPr>
          <w:rFonts w:hint="cs"/>
          <w:sz w:val="27"/>
          <w:rtl/>
          <w:lang w:bidi="ar-OM"/>
        </w:rPr>
        <w:t xml:space="preserve"> وذهب بعض الحنفية </w:t>
      </w:r>
      <w:r w:rsidR="00A427C6" w:rsidRPr="00904FCB">
        <w:rPr>
          <w:rFonts w:hint="cs"/>
          <w:sz w:val="27"/>
          <w:rtl/>
          <w:lang w:bidi="ar-OM"/>
        </w:rPr>
        <w:t>إ</w:t>
      </w:r>
      <w:r w:rsidRPr="00904FCB">
        <w:rPr>
          <w:rFonts w:hint="cs"/>
          <w:sz w:val="27"/>
          <w:rtl/>
          <w:lang w:bidi="ar-OM"/>
        </w:rPr>
        <w:t>لى التفصيل في ذلك، كابن نجيم(</w:t>
      </w:r>
      <w:r w:rsidRPr="006333E0">
        <w:rPr>
          <w:rFonts w:cs="Ya-Ali" w:hint="cs"/>
          <w:sz w:val="27"/>
          <w:rtl/>
          <w:lang w:bidi="ar-OM"/>
        </w:rPr>
        <w:t>970</w:t>
      </w:r>
      <w:r w:rsidRPr="00904FCB">
        <w:rPr>
          <w:rFonts w:hint="cs"/>
          <w:sz w:val="27"/>
          <w:rtl/>
          <w:lang w:bidi="ar-OM"/>
        </w:rPr>
        <w:t xml:space="preserve">) في </w:t>
      </w:r>
      <w:r w:rsidRPr="00904FCB">
        <w:rPr>
          <w:rFonts w:hint="eastAsia"/>
          <w:sz w:val="27"/>
          <w:rtl/>
          <w:lang w:bidi="ar-OM"/>
        </w:rPr>
        <w:t>«</w:t>
      </w:r>
      <w:r w:rsidRPr="00904FCB">
        <w:rPr>
          <w:rFonts w:hint="cs"/>
          <w:sz w:val="27"/>
          <w:rtl/>
          <w:lang w:bidi="ar-OM"/>
        </w:rPr>
        <w:t>البحر الرائق</w:t>
      </w:r>
      <w:r w:rsidRPr="00904FCB">
        <w:rPr>
          <w:rFonts w:hint="eastAsia"/>
          <w:sz w:val="27"/>
          <w:rtl/>
        </w:rPr>
        <w:t>»</w:t>
      </w:r>
      <w:r w:rsidR="00A427C6" w:rsidRPr="00904FCB">
        <w:rPr>
          <w:rFonts w:hint="cs"/>
          <w:sz w:val="27"/>
          <w:rtl/>
          <w:lang w:bidi="ar-OM"/>
        </w:rPr>
        <w:t>،</w:t>
      </w:r>
      <w:r w:rsidRPr="00904FCB">
        <w:rPr>
          <w:rFonts w:hint="cs"/>
          <w:sz w:val="27"/>
          <w:rtl/>
          <w:lang w:bidi="ar-OM"/>
        </w:rPr>
        <w:t xml:space="preserve"> وداماد أفندي(</w:t>
      </w:r>
      <w:r w:rsidRPr="00546E4F">
        <w:rPr>
          <w:rFonts w:hint="cs"/>
          <w:sz w:val="27"/>
          <w:rtl/>
          <w:lang w:bidi="ar-OM"/>
        </w:rPr>
        <w:t>1078هـ</w:t>
      </w:r>
      <w:r w:rsidRPr="00904FCB">
        <w:rPr>
          <w:rFonts w:hint="cs"/>
          <w:sz w:val="27"/>
          <w:rtl/>
          <w:lang w:bidi="ar-OM"/>
        </w:rPr>
        <w:t xml:space="preserve">) في </w:t>
      </w:r>
      <w:r w:rsidRPr="00904FCB">
        <w:rPr>
          <w:rFonts w:hint="eastAsia"/>
          <w:sz w:val="27"/>
          <w:rtl/>
          <w:lang w:bidi="ar-OM"/>
        </w:rPr>
        <w:t>«</w:t>
      </w:r>
      <w:r w:rsidRPr="00904FCB">
        <w:rPr>
          <w:rFonts w:hint="cs"/>
          <w:sz w:val="27"/>
          <w:rtl/>
          <w:lang w:bidi="ar-OM"/>
        </w:rPr>
        <w:t>مجمع الأنهر</w:t>
      </w:r>
      <w:r w:rsidRPr="00904FCB">
        <w:rPr>
          <w:rFonts w:hint="eastAsia"/>
          <w:sz w:val="27"/>
          <w:rtl/>
        </w:rPr>
        <w:t>»</w:t>
      </w:r>
      <w:r w:rsidR="00A427C6" w:rsidRPr="00904FCB">
        <w:rPr>
          <w:rFonts w:hint="cs"/>
          <w:sz w:val="27"/>
          <w:rtl/>
        </w:rPr>
        <w:t>،</w:t>
      </w:r>
      <w:r w:rsidRPr="00904FCB">
        <w:rPr>
          <w:rFonts w:hint="cs"/>
          <w:sz w:val="27"/>
          <w:rtl/>
          <w:lang w:bidi="ar-OM"/>
        </w:rPr>
        <w:t xml:space="preserve"> فقد جو</w:t>
      </w:r>
      <w:r w:rsidR="00A427C6" w:rsidRPr="00904FCB">
        <w:rPr>
          <w:rFonts w:hint="cs"/>
          <w:sz w:val="27"/>
          <w:rtl/>
          <w:lang w:bidi="ar-OM"/>
        </w:rPr>
        <w:t>َّ</w:t>
      </w:r>
      <w:r w:rsidRPr="00904FCB">
        <w:rPr>
          <w:rFonts w:hint="cs"/>
          <w:sz w:val="27"/>
          <w:rtl/>
          <w:lang w:bidi="ar-OM"/>
        </w:rPr>
        <w:t>زا قضاءها</w:t>
      </w:r>
      <w:r w:rsidR="002B7B16">
        <w:rPr>
          <w:rFonts w:hint="cs"/>
          <w:sz w:val="27"/>
          <w:rtl/>
          <w:lang w:bidi="ar-OM"/>
        </w:rPr>
        <w:t>؛</w:t>
      </w:r>
      <w:r w:rsidRPr="00904FCB">
        <w:rPr>
          <w:rFonts w:hint="cs"/>
          <w:sz w:val="27"/>
          <w:rtl/>
          <w:lang w:bidi="ar-OM"/>
        </w:rPr>
        <w:t xml:space="preserve"> لكونها من أهل الشهادة، ولكن </w:t>
      </w:r>
      <w:r w:rsidR="002B7B16">
        <w:rPr>
          <w:rFonts w:hint="cs"/>
          <w:sz w:val="27"/>
          <w:rtl/>
          <w:lang w:bidi="ar-OM"/>
        </w:rPr>
        <w:t>ي</w:t>
      </w:r>
      <w:r w:rsidRPr="00904FCB">
        <w:rPr>
          <w:rFonts w:hint="cs"/>
          <w:sz w:val="27"/>
          <w:rtl/>
          <w:lang w:bidi="ar-OM"/>
        </w:rPr>
        <w:t>أثم المول</w:t>
      </w:r>
      <w:r w:rsidR="00A427C6" w:rsidRPr="00904FCB">
        <w:rPr>
          <w:rFonts w:hint="cs"/>
          <w:sz w:val="27"/>
          <w:rtl/>
          <w:lang w:bidi="ar-OM"/>
        </w:rPr>
        <w:t>ّ</w:t>
      </w:r>
      <w:r w:rsidRPr="00904FCB">
        <w:rPr>
          <w:rFonts w:hint="cs"/>
          <w:sz w:val="27"/>
          <w:rtl/>
          <w:lang w:bidi="ar-OM"/>
        </w:rPr>
        <w:t>ي لها</w:t>
      </w:r>
      <w:r w:rsidR="002B7B16">
        <w:rPr>
          <w:rFonts w:hint="cs"/>
          <w:sz w:val="27"/>
          <w:rtl/>
          <w:lang w:bidi="ar-OM"/>
        </w:rPr>
        <w:t>؛</w:t>
      </w:r>
      <w:r w:rsidRPr="00904FCB">
        <w:rPr>
          <w:rFonts w:hint="cs"/>
          <w:sz w:val="27"/>
          <w:rtl/>
          <w:lang w:bidi="ar-OM"/>
        </w:rPr>
        <w:t xml:space="preserve"> لحديث</w:t>
      </w:r>
      <w:r w:rsidR="00A427C6" w:rsidRPr="00904FCB">
        <w:rPr>
          <w:rFonts w:hint="cs"/>
          <w:sz w:val="27"/>
          <w:rtl/>
          <w:lang w:bidi="ar-OM"/>
        </w:rPr>
        <w:t>:</w:t>
      </w:r>
      <w:r w:rsidRPr="00904FCB">
        <w:rPr>
          <w:rFonts w:hint="cs"/>
          <w:sz w:val="27"/>
          <w:rtl/>
          <w:lang w:bidi="ar-OM"/>
        </w:rPr>
        <w:t xml:space="preserve"> </w:t>
      </w:r>
      <w:r w:rsidRPr="00904FCB">
        <w:rPr>
          <w:rFonts w:hint="eastAsia"/>
          <w:sz w:val="27"/>
          <w:rtl/>
          <w:lang w:bidi="ar-OM"/>
        </w:rPr>
        <w:t>«</w:t>
      </w:r>
      <w:r w:rsidRPr="00904FCB">
        <w:rPr>
          <w:rFonts w:hint="cs"/>
          <w:sz w:val="27"/>
          <w:rtl/>
          <w:lang w:bidi="ar-OM"/>
        </w:rPr>
        <w:t>لن يفلح قوم</w:t>
      </w:r>
      <w:r w:rsidR="00A427C6" w:rsidRPr="00904FCB">
        <w:rPr>
          <w:rFonts w:hint="cs"/>
          <w:sz w:val="27"/>
          <w:rtl/>
          <w:lang w:bidi="ar-OM"/>
        </w:rPr>
        <w:t>ٌ...</w:t>
      </w:r>
      <w:r w:rsidRPr="00904FCB">
        <w:rPr>
          <w:rFonts w:hint="eastAsia"/>
          <w:sz w:val="27"/>
          <w:rtl/>
        </w:rPr>
        <w:t>»</w:t>
      </w:r>
      <w:r w:rsidRPr="00904FCB">
        <w:rPr>
          <w:rFonts w:hint="cs"/>
          <w:sz w:val="27"/>
          <w:rtl/>
          <w:lang w:bidi="ar-OM"/>
        </w:rPr>
        <w:t xml:space="preserve">. وهذا يعني </w:t>
      </w:r>
      <w:r w:rsidR="00A427C6" w:rsidRPr="00904FCB">
        <w:rPr>
          <w:rFonts w:hint="cs"/>
          <w:sz w:val="27"/>
          <w:rtl/>
          <w:lang w:bidi="ar-OM"/>
        </w:rPr>
        <w:t>أ</w:t>
      </w:r>
      <w:r w:rsidRPr="00904FCB">
        <w:rPr>
          <w:rFonts w:hint="cs"/>
          <w:sz w:val="27"/>
          <w:rtl/>
          <w:lang w:bidi="ar-OM"/>
        </w:rPr>
        <w:t>ن بعضهم لا يجيز توليها ابتداء، ولكن</w:t>
      </w:r>
      <w:r w:rsidR="00A427C6" w:rsidRPr="00904FCB">
        <w:rPr>
          <w:rFonts w:hint="cs"/>
          <w:sz w:val="27"/>
          <w:rtl/>
          <w:lang w:bidi="ar-OM"/>
        </w:rPr>
        <w:t>ْ</w:t>
      </w:r>
      <w:r w:rsidRPr="00904FCB">
        <w:rPr>
          <w:rFonts w:hint="cs"/>
          <w:sz w:val="27"/>
          <w:rtl/>
          <w:lang w:bidi="ar-OM"/>
        </w:rPr>
        <w:t xml:space="preserve"> لو قض</w:t>
      </w:r>
      <w:r w:rsidR="00A427C6" w:rsidRPr="00904FCB">
        <w:rPr>
          <w:rFonts w:hint="cs"/>
          <w:sz w:val="27"/>
          <w:rtl/>
          <w:lang w:bidi="ar-OM"/>
        </w:rPr>
        <w:t>َ</w:t>
      </w:r>
      <w:r w:rsidRPr="00904FCB">
        <w:rPr>
          <w:rFonts w:hint="cs"/>
          <w:sz w:val="27"/>
          <w:rtl/>
          <w:lang w:bidi="ar-OM"/>
        </w:rPr>
        <w:t>ت</w:t>
      </w:r>
      <w:r w:rsidR="00A427C6" w:rsidRPr="00904FCB">
        <w:rPr>
          <w:rFonts w:hint="cs"/>
          <w:sz w:val="27"/>
          <w:rtl/>
          <w:lang w:bidi="ar-OM"/>
        </w:rPr>
        <w:t>ْ</w:t>
      </w:r>
      <w:r w:rsidRPr="00904FCB">
        <w:rPr>
          <w:rFonts w:hint="cs"/>
          <w:sz w:val="27"/>
          <w:rtl/>
          <w:lang w:bidi="ar-OM"/>
        </w:rPr>
        <w:t xml:space="preserve"> في غير حد</w:t>
      </w:r>
      <w:r w:rsidR="00A427C6" w:rsidRPr="00904FCB">
        <w:rPr>
          <w:rFonts w:hint="cs"/>
          <w:sz w:val="27"/>
          <w:rtl/>
          <w:lang w:bidi="ar-OM"/>
        </w:rPr>
        <w:t>ّ</w:t>
      </w:r>
      <w:r w:rsidRPr="00904FCB">
        <w:rPr>
          <w:rFonts w:hint="cs"/>
          <w:sz w:val="27"/>
          <w:rtl/>
          <w:lang w:bidi="ar-OM"/>
        </w:rPr>
        <w:t xml:space="preserve"> وقود أو في غير المجال الجنائي صح</w:t>
      </w:r>
      <w:r w:rsidR="00A427C6" w:rsidRPr="00904FCB">
        <w:rPr>
          <w:rFonts w:hint="cs"/>
          <w:sz w:val="27"/>
          <w:rtl/>
          <w:lang w:bidi="ar-OM"/>
        </w:rPr>
        <w:t>ّ</w:t>
      </w:r>
      <w:r w:rsidRPr="00904FCB">
        <w:rPr>
          <w:rFonts w:hint="cs"/>
          <w:sz w:val="27"/>
          <w:rtl/>
          <w:lang w:bidi="ar-OM"/>
        </w:rPr>
        <w:t xml:space="preserve"> قضاؤها</w:t>
      </w:r>
      <w:r w:rsidR="00A427C6" w:rsidRPr="00904FCB">
        <w:rPr>
          <w:rFonts w:hint="cs"/>
          <w:sz w:val="27"/>
          <w:rtl/>
          <w:lang w:bidi="ar-OM"/>
        </w:rPr>
        <w:t>،</w:t>
      </w:r>
      <w:r w:rsidRPr="00904FCB">
        <w:rPr>
          <w:rFonts w:hint="cs"/>
          <w:sz w:val="27"/>
          <w:rtl/>
          <w:lang w:bidi="ar-OM"/>
        </w:rPr>
        <w:t xml:space="preserve"> ونفذ حكمها</w:t>
      </w:r>
      <w:r w:rsidRPr="00904FCB">
        <w:rPr>
          <w:rFonts w:hint="cs"/>
          <w:sz w:val="27"/>
          <w:vertAlign w:val="superscript"/>
          <w:rtl/>
        </w:rPr>
        <w:t>(</w:t>
      </w:r>
      <w:r w:rsidRPr="00904FCB">
        <w:rPr>
          <w:rStyle w:val="ac"/>
          <w:sz w:val="27"/>
          <w:rtl/>
        </w:rPr>
        <w:endnoteReference w:id="203"/>
      </w:r>
      <w:r w:rsidRPr="00904FCB">
        <w:rPr>
          <w:rFonts w:hint="cs"/>
          <w:sz w:val="27"/>
          <w:vertAlign w:val="superscript"/>
          <w:rtl/>
        </w:rPr>
        <w:t>)</w:t>
      </w:r>
      <w:r w:rsidR="00A427C6" w:rsidRPr="00904FCB">
        <w:rPr>
          <w:rFonts w:hint="cs"/>
          <w:sz w:val="27"/>
          <w:rtl/>
          <w:lang w:bidi="ar-OM"/>
        </w:rPr>
        <w:t>؛</w:t>
      </w:r>
      <w:r w:rsidRPr="00904FCB">
        <w:rPr>
          <w:rFonts w:hint="cs"/>
          <w:sz w:val="27"/>
          <w:rtl/>
          <w:lang w:bidi="ar-OM"/>
        </w:rPr>
        <w:t xml:space="preserve"> لأن الرجولة في القاضي عندهم هو شرط جواز</w:t>
      </w:r>
      <w:r w:rsidR="00A427C6" w:rsidRPr="00904FCB">
        <w:rPr>
          <w:rFonts w:hint="cs"/>
          <w:sz w:val="27"/>
          <w:rtl/>
          <w:lang w:bidi="ar-OM"/>
        </w:rPr>
        <w:t>،</w:t>
      </w:r>
      <w:r w:rsidRPr="00904FCB">
        <w:rPr>
          <w:rFonts w:hint="cs"/>
          <w:sz w:val="27"/>
          <w:rtl/>
          <w:lang w:bidi="ar-OM"/>
        </w:rPr>
        <w:t xml:space="preserve"> وليس شرط صح</w:t>
      </w:r>
      <w:r w:rsidR="00A427C6" w:rsidRPr="00904FCB">
        <w:rPr>
          <w:rFonts w:hint="cs"/>
          <w:sz w:val="27"/>
          <w:rtl/>
          <w:lang w:bidi="ar-OM"/>
        </w:rPr>
        <w:t>ّ</w:t>
      </w:r>
      <w:r w:rsidRPr="00904FCB">
        <w:rPr>
          <w:rFonts w:hint="cs"/>
          <w:sz w:val="27"/>
          <w:rtl/>
          <w:lang w:bidi="ar-OM"/>
        </w:rPr>
        <w:t>ة</w:t>
      </w:r>
      <w:r w:rsidR="002B7B16">
        <w:rPr>
          <w:rFonts w:hint="cs"/>
          <w:sz w:val="27"/>
          <w:rtl/>
          <w:lang w:bidi="ar-OM"/>
        </w:rPr>
        <w:t>،</w:t>
      </w:r>
      <w:r w:rsidRPr="00904FCB">
        <w:rPr>
          <w:rFonts w:hint="cs"/>
          <w:sz w:val="27"/>
          <w:rtl/>
          <w:lang w:bidi="ar-OM"/>
        </w:rPr>
        <w:t xml:space="preserve"> كما عند الجمهور. </w:t>
      </w:r>
    </w:p>
    <w:p w:rsidR="00644408" w:rsidRPr="00904FCB" w:rsidRDefault="00644408" w:rsidP="007A21AA">
      <w:pPr>
        <w:spacing w:line="400" w:lineRule="exact"/>
        <w:rPr>
          <w:sz w:val="27"/>
          <w:rtl/>
          <w:lang w:bidi="ar-OM"/>
        </w:rPr>
      </w:pPr>
      <w:r w:rsidRPr="00904FCB">
        <w:rPr>
          <w:rFonts w:hint="cs"/>
          <w:sz w:val="27"/>
          <w:rtl/>
          <w:lang w:bidi="ar-OM"/>
        </w:rPr>
        <w:t xml:space="preserve"> ويظهر ميل الثميني(</w:t>
      </w:r>
      <w:r w:rsidRPr="00546E4F">
        <w:rPr>
          <w:rFonts w:hint="cs"/>
          <w:sz w:val="27"/>
          <w:rtl/>
          <w:lang w:bidi="ar-OM"/>
        </w:rPr>
        <w:t>1223هـ</w:t>
      </w:r>
      <w:r w:rsidRPr="00904FCB">
        <w:rPr>
          <w:rFonts w:hint="cs"/>
          <w:sz w:val="27"/>
          <w:rtl/>
          <w:lang w:bidi="ar-OM"/>
        </w:rPr>
        <w:t>)</w:t>
      </w:r>
      <w:r w:rsidR="002B7B16">
        <w:rPr>
          <w:rFonts w:hint="cs"/>
          <w:sz w:val="27"/>
          <w:rtl/>
          <w:lang w:bidi="ar-OM"/>
        </w:rPr>
        <w:t>،</w:t>
      </w:r>
      <w:r w:rsidRPr="00904FCB">
        <w:rPr>
          <w:rFonts w:hint="cs"/>
          <w:sz w:val="27"/>
          <w:rtl/>
          <w:lang w:bidi="ar-OM"/>
        </w:rPr>
        <w:t xml:space="preserve"> من الإباضية</w:t>
      </w:r>
      <w:r w:rsidR="002B7B16">
        <w:rPr>
          <w:rFonts w:hint="cs"/>
          <w:sz w:val="27"/>
          <w:rtl/>
          <w:lang w:bidi="ar-OM"/>
        </w:rPr>
        <w:t>،</w:t>
      </w:r>
      <w:r w:rsidRPr="00904FCB">
        <w:rPr>
          <w:rFonts w:hint="cs"/>
          <w:sz w:val="27"/>
          <w:rtl/>
          <w:lang w:bidi="ar-OM"/>
        </w:rPr>
        <w:t xml:space="preserve"> </w:t>
      </w:r>
      <w:r w:rsidR="00A427C6" w:rsidRPr="00904FCB">
        <w:rPr>
          <w:rFonts w:hint="cs"/>
          <w:sz w:val="27"/>
          <w:rtl/>
          <w:lang w:bidi="ar-OM"/>
        </w:rPr>
        <w:t xml:space="preserve">إلى </w:t>
      </w:r>
      <w:r w:rsidRPr="00904FCB">
        <w:rPr>
          <w:rFonts w:hint="cs"/>
          <w:sz w:val="27"/>
          <w:rtl/>
          <w:lang w:bidi="ar-OM"/>
        </w:rPr>
        <w:t xml:space="preserve">هذا الرأي، فقد ذهب </w:t>
      </w:r>
      <w:r w:rsidR="00A427C6" w:rsidRPr="00904FCB">
        <w:rPr>
          <w:rFonts w:hint="cs"/>
          <w:sz w:val="27"/>
          <w:rtl/>
          <w:lang w:bidi="ar-OM"/>
        </w:rPr>
        <w:t>إ</w:t>
      </w:r>
      <w:r w:rsidRPr="00904FCB">
        <w:rPr>
          <w:rFonts w:hint="cs"/>
          <w:sz w:val="27"/>
          <w:rtl/>
          <w:lang w:bidi="ar-OM"/>
        </w:rPr>
        <w:t>لى منع المرأة من تول</w:t>
      </w:r>
      <w:r w:rsidR="00A427C6" w:rsidRPr="00904FCB">
        <w:rPr>
          <w:rFonts w:hint="cs"/>
          <w:sz w:val="27"/>
          <w:rtl/>
          <w:lang w:bidi="ar-OM"/>
        </w:rPr>
        <w:t>ّ</w:t>
      </w:r>
      <w:r w:rsidRPr="00904FCB">
        <w:rPr>
          <w:rFonts w:hint="cs"/>
          <w:sz w:val="27"/>
          <w:rtl/>
          <w:lang w:bidi="ar-OM"/>
        </w:rPr>
        <w:t xml:space="preserve">ي القضاء، غير </w:t>
      </w:r>
      <w:r w:rsidR="00A427C6" w:rsidRPr="00904FCB">
        <w:rPr>
          <w:rFonts w:hint="cs"/>
          <w:sz w:val="27"/>
          <w:rtl/>
          <w:lang w:bidi="ar-OM"/>
        </w:rPr>
        <w:t>أ</w:t>
      </w:r>
      <w:r w:rsidRPr="00904FCB">
        <w:rPr>
          <w:rFonts w:hint="cs"/>
          <w:sz w:val="27"/>
          <w:rtl/>
          <w:lang w:bidi="ar-OM"/>
        </w:rPr>
        <w:t xml:space="preserve">نه نقل جواز حكمها </w:t>
      </w:r>
      <w:r w:rsidR="00A427C6" w:rsidRPr="00904FCB">
        <w:rPr>
          <w:rFonts w:hint="cs"/>
          <w:sz w:val="27"/>
          <w:rtl/>
          <w:lang w:bidi="ar-OM"/>
        </w:rPr>
        <w:t>إ</w:t>
      </w:r>
      <w:r w:rsidRPr="00904FCB">
        <w:rPr>
          <w:rFonts w:hint="cs"/>
          <w:sz w:val="27"/>
          <w:rtl/>
          <w:lang w:bidi="ar-OM"/>
        </w:rPr>
        <w:t>ن</w:t>
      </w:r>
      <w:r w:rsidR="00A427C6" w:rsidRPr="00904FCB">
        <w:rPr>
          <w:rFonts w:hint="cs"/>
          <w:sz w:val="27"/>
          <w:rtl/>
          <w:lang w:bidi="ar-OM"/>
        </w:rPr>
        <w:t>ْ</w:t>
      </w:r>
      <w:r w:rsidRPr="00904FCB">
        <w:rPr>
          <w:rFonts w:hint="cs"/>
          <w:sz w:val="27"/>
          <w:rtl/>
          <w:lang w:bidi="ar-OM"/>
        </w:rPr>
        <w:t xml:space="preserve"> حكمت بالحق</w:t>
      </w:r>
      <w:r w:rsidR="00A427C6" w:rsidRPr="00904FCB">
        <w:rPr>
          <w:rFonts w:hint="cs"/>
          <w:sz w:val="27"/>
          <w:rtl/>
          <w:lang w:bidi="ar-OM"/>
        </w:rPr>
        <w:t>ّ،</w:t>
      </w:r>
      <w:r w:rsidRPr="00904FCB">
        <w:rPr>
          <w:rFonts w:hint="cs"/>
          <w:sz w:val="27"/>
          <w:rtl/>
          <w:lang w:bidi="ar-OM"/>
        </w:rPr>
        <w:t xml:space="preserve"> دون تعقيب عليه. قال: </w:t>
      </w:r>
      <w:r w:rsidRPr="00904FCB">
        <w:rPr>
          <w:rFonts w:hint="eastAsia"/>
          <w:sz w:val="27"/>
          <w:rtl/>
          <w:lang w:bidi="ar-OM"/>
        </w:rPr>
        <w:t>«</w:t>
      </w:r>
      <w:r w:rsidRPr="00904FCB">
        <w:rPr>
          <w:rFonts w:hint="cs"/>
          <w:sz w:val="27"/>
          <w:rtl/>
          <w:lang w:bidi="ar-OM"/>
        </w:rPr>
        <w:t>ولا يثبت حكم امرأة أو عبد، وج</w:t>
      </w:r>
      <w:r w:rsidR="00F923F1" w:rsidRPr="00904FCB">
        <w:rPr>
          <w:rFonts w:hint="cs"/>
          <w:sz w:val="27"/>
          <w:rtl/>
          <w:lang w:bidi="ar-OM"/>
        </w:rPr>
        <w:t>ا</w:t>
      </w:r>
      <w:r w:rsidRPr="00904FCB">
        <w:rPr>
          <w:rFonts w:hint="cs"/>
          <w:sz w:val="27"/>
          <w:rtl/>
          <w:lang w:bidi="ar-OM"/>
        </w:rPr>
        <w:t>ز إن</w:t>
      </w:r>
      <w:r w:rsidR="00A427C6" w:rsidRPr="00904FCB">
        <w:rPr>
          <w:rFonts w:hint="cs"/>
          <w:sz w:val="27"/>
          <w:rtl/>
          <w:lang w:bidi="ar-OM"/>
        </w:rPr>
        <w:t>ْ</w:t>
      </w:r>
      <w:r w:rsidRPr="00904FCB">
        <w:rPr>
          <w:rFonts w:hint="cs"/>
          <w:sz w:val="27"/>
          <w:rtl/>
          <w:lang w:bidi="ar-OM"/>
        </w:rPr>
        <w:t xml:space="preserve"> حكما بالحق</w:t>
      </w:r>
      <w:r w:rsidR="00A427C6" w:rsidRPr="00904FCB">
        <w:rPr>
          <w:rFonts w:hint="cs"/>
          <w:sz w:val="27"/>
          <w:rtl/>
          <w:lang w:bidi="ar-OM"/>
        </w:rPr>
        <w:t>ّ</w:t>
      </w:r>
      <w:r w:rsidRPr="00904FCB">
        <w:rPr>
          <w:rFonts w:hint="eastAsia"/>
          <w:sz w:val="27"/>
          <w:rtl/>
        </w:rPr>
        <w:t>»</w:t>
      </w:r>
      <w:r w:rsidRPr="00904FCB">
        <w:rPr>
          <w:rFonts w:hint="cs"/>
          <w:sz w:val="27"/>
          <w:vertAlign w:val="superscript"/>
          <w:rtl/>
        </w:rPr>
        <w:t>(</w:t>
      </w:r>
      <w:r w:rsidRPr="00904FCB">
        <w:rPr>
          <w:rStyle w:val="ac"/>
          <w:sz w:val="27"/>
          <w:rtl/>
        </w:rPr>
        <w:endnoteReference w:id="204"/>
      </w:r>
      <w:r w:rsidRPr="00904FCB">
        <w:rPr>
          <w:rFonts w:hint="cs"/>
          <w:sz w:val="27"/>
          <w:vertAlign w:val="superscript"/>
          <w:rtl/>
        </w:rPr>
        <w:t>)</w:t>
      </w:r>
      <w:r w:rsidRPr="00904FCB">
        <w:rPr>
          <w:rFonts w:hint="cs"/>
          <w:sz w:val="27"/>
          <w:rtl/>
          <w:lang w:bidi="ar-OM"/>
        </w:rPr>
        <w:t>.</w:t>
      </w:r>
    </w:p>
    <w:p w:rsidR="00644408" w:rsidRPr="00904FCB" w:rsidRDefault="00F923F1" w:rsidP="002B7B16">
      <w:pPr>
        <w:spacing w:line="400" w:lineRule="exact"/>
        <w:rPr>
          <w:sz w:val="27"/>
          <w:rtl/>
          <w:lang w:bidi="ar-OM"/>
        </w:rPr>
      </w:pPr>
      <w:r w:rsidRPr="00904FCB">
        <w:rPr>
          <w:rFonts w:hint="cs"/>
          <w:sz w:val="27"/>
          <w:rtl/>
          <w:lang w:bidi="ar-OM"/>
        </w:rPr>
        <w:t>وقد يقال: إنّه</w:t>
      </w:r>
      <w:r w:rsidR="00644408" w:rsidRPr="00904FCB">
        <w:rPr>
          <w:rFonts w:hint="cs"/>
          <w:sz w:val="27"/>
          <w:rtl/>
          <w:lang w:bidi="ar-OM"/>
        </w:rPr>
        <w:t xml:space="preserve"> جاء </w:t>
      </w:r>
      <w:r w:rsidRPr="00904FCB">
        <w:rPr>
          <w:rFonts w:hint="cs"/>
          <w:sz w:val="27"/>
          <w:rtl/>
          <w:lang w:bidi="ar-OM"/>
        </w:rPr>
        <w:t>ب</w:t>
      </w:r>
      <w:r w:rsidR="00644408" w:rsidRPr="00904FCB">
        <w:rPr>
          <w:rFonts w:hint="cs"/>
          <w:sz w:val="27"/>
          <w:rtl/>
          <w:lang w:bidi="ar-OM"/>
        </w:rPr>
        <w:t>صيغة الفعل المبني</w:t>
      </w:r>
      <w:r w:rsidRPr="00904FCB">
        <w:rPr>
          <w:rFonts w:hint="cs"/>
          <w:sz w:val="27"/>
          <w:rtl/>
          <w:lang w:bidi="ar-OM"/>
        </w:rPr>
        <w:t>ّ</w:t>
      </w:r>
      <w:r w:rsidR="00644408" w:rsidRPr="00904FCB">
        <w:rPr>
          <w:rFonts w:hint="cs"/>
          <w:sz w:val="27"/>
          <w:rtl/>
          <w:lang w:bidi="ar-OM"/>
        </w:rPr>
        <w:t xml:space="preserve"> للمجهول</w:t>
      </w:r>
      <w:r w:rsidRPr="00904FCB">
        <w:rPr>
          <w:rFonts w:hint="cs"/>
          <w:sz w:val="27"/>
          <w:rtl/>
          <w:lang w:bidi="ar-OM"/>
        </w:rPr>
        <w:t>،</w:t>
      </w:r>
      <w:r w:rsidR="00644408" w:rsidRPr="00904FCB">
        <w:rPr>
          <w:rFonts w:hint="cs"/>
          <w:sz w:val="27"/>
          <w:rtl/>
          <w:lang w:bidi="ar-OM"/>
        </w:rPr>
        <w:t xml:space="preserve"> فهو لم يتبن</w:t>
      </w:r>
      <w:r w:rsidRPr="00904FCB">
        <w:rPr>
          <w:rFonts w:hint="cs"/>
          <w:sz w:val="27"/>
          <w:rtl/>
          <w:lang w:bidi="ar-OM"/>
        </w:rPr>
        <w:t>َّ</w:t>
      </w:r>
      <w:r w:rsidR="00644408" w:rsidRPr="00904FCB">
        <w:rPr>
          <w:rFonts w:hint="cs"/>
          <w:sz w:val="27"/>
          <w:rtl/>
          <w:lang w:bidi="ar-OM"/>
        </w:rPr>
        <w:t xml:space="preserve"> الرأي</w:t>
      </w:r>
      <w:r w:rsidRPr="00904FCB">
        <w:rPr>
          <w:rFonts w:hint="cs"/>
          <w:sz w:val="27"/>
          <w:rtl/>
          <w:lang w:bidi="ar-OM"/>
        </w:rPr>
        <w:t>،</w:t>
      </w:r>
      <w:r w:rsidR="00644408" w:rsidRPr="00904FCB">
        <w:rPr>
          <w:rFonts w:hint="cs"/>
          <w:sz w:val="27"/>
          <w:rtl/>
          <w:lang w:bidi="ar-OM"/>
        </w:rPr>
        <w:t xml:space="preserve"> بل اكتفى بنقله</w:t>
      </w:r>
      <w:r w:rsidRPr="00904FCB">
        <w:rPr>
          <w:rFonts w:hint="cs"/>
          <w:sz w:val="27"/>
          <w:rtl/>
          <w:lang w:bidi="ar-OM"/>
        </w:rPr>
        <w:t>.</w:t>
      </w:r>
      <w:r w:rsidR="00644408" w:rsidRPr="00904FCB">
        <w:rPr>
          <w:rFonts w:hint="cs"/>
          <w:sz w:val="27"/>
          <w:rtl/>
          <w:lang w:bidi="ar-OM"/>
        </w:rPr>
        <w:t xml:space="preserve"> وقد يفس</w:t>
      </w:r>
      <w:r w:rsidRPr="00904FCB">
        <w:rPr>
          <w:rFonts w:hint="cs"/>
          <w:sz w:val="27"/>
          <w:rtl/>
          <w:lang w:bidi="ar-OM"/>
        </w:rPr>
        <w:t>ّ</w:t>
      </w:r>
      <w:r w:rsidR="00644408" w:rsidRPr="00904FCB">
        <w:rPr>
          <w:rFonts w:hint="cs"/>
          <w:sz w:val="27"/>
          <w:rtl/>
          <w:lang w:bidi="ar-OM"/>
        </w:rPr>
        <w:t>ر كلامه ب</w:t>
      </w:r>
      <w:r w:rsidRPr="00904FCB">
        <w:rPr>
          <w:rFonts w:hint="cs"/>
          <w:sz w:val="27"/>
          <w:rtl/>
          <w:lang w:bidi="ar-OM"/>
        </w:rPr>
        <w:t>أ</w:t>
      </w:r>
      <w:r w:rsidR="00644408" w:rsidRPr="00904FCB">
        <w:rPr>
          <w:rFonts w:hint="cs"/>
          <w:sz w:val="27"/>
          <w:rtl/>
          <w:lang w:bidi="ar-OM"/>
        </w:rPr>
        <w:t>نه في سياق إجازة الحاكم للأحكام التي ترفع إليه، مم</w:t>
      </w:r>
      <w:r w:rsidRPr="00904FCB">
        <w:rPr>
          <w:rFonts w:hint="cs"/>
          <w:sz w:val="27"/>
          <w:rtl/>
          <w:lang w:bidi="ar-OM"/>
        </w:rPr>
        <w:t>ّ</w:t>
      </w:r>
      <w:r w:rsidR="00644408" w:rsidRPr="00904FCB">
        <w:rPr>
          <w:rFonts w:hint="cs"/>
          <w:sz w:val="27"/>
          <w:rtl/>
          <w:lang w:bidi="ar-OM"/>
        </w:rPr>
        <w:t>ا قد يعني أن قضاءها لا ينفذ إلا</w:t>
      </w:r>
      <w:r w:rsidRPr="00904FCB">
        <w:rPr>
          <w:rFonts w:hint="cs"/>
          <w:sz w:val="27"/>
          <w:rtl/>
          <w:lang w:bidi="ar-OM"/>
        </w:rPr>
        <w:t>ّ</w:t>
      </w:r>
      <w:r w:rsidR="00644408" w:rsidRPr="00904FCB">
        <w:rPr>
          <w:rFonts w:hint="cs"/>
          <w:sz w:val="27"/>
          <w:rtl/>
          <w:lang w:bidi="ar-OM"/>
        </w:rPr>
        <w:t xml:space="preserve"> بإمضاء الحاكم له</w:t>
      </w:r>
      <w:r w:rsidRPr="00904FCB">
        <w:rPr>
          <w:rFonts w:hint="cs"/>
          <w:sz w:val="27"/>
          <w:rtl/>
          <w:lang w:bidi="ar-OM"/>
        </w:rPr>
        <w:t>.</w:t>
      </w:r>
      <w:r w:rsidR="00644408" w:rsidRPr="00904FCB">
        <w:rPr>
          <w:rFonts w:hint="cs"/>
          <w:sz w:val="27"/>
          <w:rtl/>
          <w:lang w:bidi="ar-OM"/>
        </w:rPr>
        <w:t xml:space="preserve"> ويمكن </w:t>
      </w:r>
      <w:r w:rsidRPr="00904FCB">
        <w:rPr>
          <w:rFonts w:hint="cs"/>
          <w:sz w:val="27"/>
          <w:rtl/>
          <w:lang w:bidi="ar-OM"/>
        </w:rPr>
        <w:t>أ</w:t>
      </w:r>
      <w:r w:rsidR="00644408" w:rsidRPr="00904FCB">
        <w:rPr>
          <w:rFonts w:hint="cs"/>
          <w:sz w:val="27"/>
          <w:rtl/>
          <w:lang w:bidi="ar-OM"/>
        </w:rPr>
        <w:t xml:space="preserve">ن يكون قصده فيما </w:t>
      </w:r>
      <w:r w:rsidRPr="00904FCB">
        <w:rPr>
          <w:rFonts w:hint="cs"/>
          <w:sz w:val="27"/>
          <w:rtl/>
          <w:lang w:bidi="ar-OM"/>
        </w:rPr>
        <w:t>إ</w:t>
      </w:r>
      <w:r w:rsidR="00644408" w:rsidRPr="00904FCB">
        <w:rPr>
          <w:rFonts w:hint="cs"/>
          <w:sz w:val="27"/>
          <w:rtl/>
          <w:lang w:bidi="ar-OM"/>
        </w:rPr>
        <w:t>ذا حك</w:t>
      </w:r>
      <w:r w:rsidRPr="00904FCB">
        <w:rPr>
          <w:rFonts w:hint="cs"/>
          <w:sz w:val="27"/>
          <w:rtl/>
          <w:lang w:bidi="ar-OM"/>
        </w:rPr>
        <w:t>َّ</w:t>
      </w:r>
      <w:r w:rsidR="00644408" w:rsidRPr="00904FCB">
        <w:rPr>
          <w:rFonts w:hint="cs"/>
          <w:sz w:val="27"/>
          <w:rtl/>
          <w:lang w:bidi="ar-OM"/>
        </w:rPr>
        <w:t>مها الخصمان فحكم</w:t>
      </w:r>
      <w:r w:rsidRPr="00904FCB">
        <w:rPr>
          <w:rFonts w:hint="cs"/>
          <w:sz w:val="27"/>
          <w:rtl/>
          <w:lang w:bidi="ar-OM"/>
        </w:rPr>
        <w:t>َ</w:t>
      </w:r>
      <w:r w:rsidR="00644408" w:rsidRPr="00904FCB">
        <w:rPr>
          <w:rFonts w:hint="cs"/>
          <w:sz w:val="27"/>
          <w:rtl/>
          <w:lang w:bidi="ar-OM"/>
        </w:rPr>
        <w:t>ت</w:t>
      </w:r>
      <w:r w:rsidRPr="00904FCB">
        <w:rPr>
          <w:rFonts w:hint="cs"/>
          <w:sz w:val="27"/>
          <w:rtl/>
          <w:lang w:bidi="ar-OM"/>
        </w:rPr>
        <w:t>ْ</w:t>
      </w:r>
      <w:r w:rsidR="00644408" w:rsidRPr="00904FCB">
        <w:rPr>
          <w:rFonts w:hint="cs"/>
          <w:sz w:val="27"/>
          <w:rtl/>
          <w:lang w:bidi="ar-OM"/>
        </w:rPr>
        <w:t xml:space="preserve"> بالحق</w:t>
      </w:r>
      <w:r w:rsidRPr="00904FCB">
        <w:rPr>
          <w:rFonts w:hint="cs"/>
          <w:sz w:val="27"/>
          <w:rtl/>
          <w:lang w:bidi="ar-OM"/>
        </w:rPr>
        <w:t>ّ</w:t>
      </w:r>
      <w:r w:rsidR="00644408" w:rsidRPr="00904FCB">
        <w:rPr>
          <w:rFonts w:hint="cs"/>
          <w:sz w:val="27"/>
          <w:rtl/>
          <w:lang w:bidi="ar-OM"/>
        </w:rPr>
        <w:t xml:space="preserve">، فيكون في مجال قضاء التحكيم. </w:t>
      </w:r>
    </w:p>
    <w:p w:rsidR="00F923F1" w:rsidRPr="00904FCB" w:rsidRDefault="00644408" w:rsidP="007A21AA">
      <w:pPr>
        <w:spacing w:line="400" w:lineRule="exact"/>
        <w:rPr>
          <w:sz w:val="27"/>
          <w:rtl/>
          <w:lang w:bidi="ar-OM"/>
        </w:rPr>
      </w:pPr>
      <w:r w:rsidRPr="00904FCB">
        <w:rPr>
          <w:rFonts w:hint="cs"/>
          <w:sz w:val="27"/>
          <w:rtl/>
          <w:lang w:bidi="ar-OM"/>
        </w:rPr>
        <w:t>ولا ب</w:t>
      </w:r>
      <w:r w:rsidR="00F923F1" w:rsidRPr="00904FCB">
        <w:rPr>
          <w:rFonts w:hint="cs"/>
          <w:sz w:val="27"/>
          <w:rtl/>
          <w:lang w:bidi="ar-OM"/>
        </w:rPr>
        <w:t>ُ</w:t>
      </w:r>
      <w:r w:rsidRPr="00904FCB">
        <w:rPr>
          <w:rFonts w:hint="cs"/>
          <w:sz w:val="27"/>
          <w:rtl/>
          <w:lang w:bidi="ar-OM"/>
        </w:rPr>
        <w:t>د</w:t>
      </w:r>
      <w:r w:rsidR="00F923F1" w:rsidRPr="00904FCB">
        <w:rPr>
          <w:rFonts w:hint="cs"/>
          <w:sz w:val="27"/>
          <w:rtl/>
          <w:lang w:bidi="ar-OM"/>
        </w:rPr>
        <w:t>َّ</w:t>
      </w:r>
      <w:r w:rsidRPr="00904FCB">
        <w:rPr>
          <w:rFonts w:hint="cs"/>
          <w:sz w:val="27"/>
          <w:rtl/>
          <w:lang w:bidi="ar-OM"/>
        </w:rPr>
        <w:t xml:space="preserve"> من ال</w:t>
      </w:r>
      <w:r w:rsidR="00F923F1" w:rsidRPr="00904FCB">
        <w:rPr>
          <w:rFonts w:hint="cs"/>
          <w:sz w:val="27"/>
          <w:rtl/>
          <w:lang w:bidi="ar-OM"/>
        </w:rPr>
        <w:t>إ</w:t>
      </w:r>
      <w:r w:rsidRPr="00904FCB">
        <w:rPr>
          <w:rFonts w:hint="cs"/>
          <w:sz w:val="27"/>
          <w:rtl/>
          <w:lang w:bidi="ar-OM"/>
        </w:rPr>
        <w:t xml:space="preserve">شارة </w:t>
      </w:r>
      <w:r w:rsidR="00F923F1" w:rsidRPr="00904FCB">
        <w:rPr>
          <w:rFonts w:hint="cs"/>
          <w:sz w:val="27"/>
          <w:rtl/>
          <w:lang w:bidi="ar-OM"/>
        </w:rPr>
        <w:t>إ</w:t>
      </w:r>
      <w:r w:rsidRPr="00904FCB">
        <w:rPr>
          <w:rFonts w:hint="cs"/>
          <w:sz w:val="27"/>
          <w:rtl/>
          <w:lang w:bidi="ar-OM"/>
        </w:rPr>
        <w:t xml:space="preserve">لى </w:t>
      </w:r>
      <w:r w:rsidR="00F923F1" w:rsidRPr="00904FCB">
        <w:rPr>
          <w:rFonts w:hint="cs"/>
          <w:sz w:val="27"/>
          <w:rtl/>
          <w:lang w:bidi="ar-OM"/>
        </w:rPr>
        <w:t>أ</w:t>
      </w:r>
      <w:r w:rsidRPr="00904FCB">
        <w:rPr>
          <w:rFonts w:hint="cs"/>
          <w:sz w:val="27"/>
          <w:rtl/>
          <w:lang w:bidi="ar-OM"/>
        </w:rPr>
        <w:t>ن قياس القضاء على الشهادة قياس</w:t>
      </w:r>
      <w:r w:rsidR="00F923F1" w:rsidRPr="00904FCB">
        <w:rPr>
          <w:rFonts w:hint="cs"/>
          <w:sz w:val="27"/>
          <w:rtl/>
          <w:lang w:bidi="ar-OM"/>
        </w:rPr>
        <w:t>ٌ</w:t>
      </w:r>
      <w:r w:rsidRPr="00904FCB">
        <w:rPr>
          <w:rFonts w:hint="cs"/>
          <w:sz w:val="27"/>
          <w:rtl/>
          <w:lang w:bidi="ar-OM"/>
        </w:rPr>
        <w:t xml:space="preserve"> مع الفارق</w:t>
      </w:r>
      <w:r w:rsidR="00F923F1" w:rsidRPr="00904FCB">
        <w:rPr>
          <w:rFonts w:hint="cs"/>
          <w:sz w:val="27"/>
          <w:rtl/>
          <w:lang w:bidi="ar-OM"/>
        </w:rPr>
        <w:t>.</w:t>
      </w:r>
      <w:r w:rsidRPr="00904FCB">
        <w:rPr>
          <w:rFonts w:hint="cs"/>
          <w:sz w:val="27"/>
          <w:rtl/>
          <w:lang w:bidi="ar-OM"/>
        </w:rPr>
        <w:t xml:space="preserve"> فالشهادة بي</w:t>
      </w:r>
      <w:r w:rsidR="00F923F1" w:rsidRPr="00904FCB">
        <w:rPr>
          <w:rFonts w:hint="cs"/>
          <w:sz w:val="27"/>
          <w:rtl/>
          <w:lang w:bidi="ar-OM"/>
        </w:rPr>
        <w:t>ِّ</w:t>
      </w:r>
      <w:r w:rsidRPr="00904FCB">
        <w:rPr>
          <w:rFonts w:hint="cs"/>
          <w:sz w:val="27"/>
          <w:rtl/>
          <w:lang w:bidi="ar-OM"/>
        </w:rPr>
        <w:t>نة وطريق لمعرفة الواقع في مجال القضاء</w:t>
      </w:r>
      <w:r w:rsidR="00F923F1" w:rsidRPr="00904FCB">
        <w:rPr>
          <w:rFonts w:hint="cs"/>
          <w:sz w:val="27"/>
          <w:rtl/>
          <w:lang w:bidi="ar-OM"/>
        </w:rPr>
        <w:t>،</w:t>
      </w:r>
      <w:r w:rsidRPr="00904FCB">
        <w:rPr>
          <w:rFonts w:hint="cs"/>
          <w:sz w:val="27"/>
          <w:rtl/>
          <w:lang w:bidi="ar-OM"/>
        </w:rPr>
        <w:t xml:space="preserve"> و</w:t>
      </w:r>
      <w:r w:rsidR="00F923F1" w:rsidRPr="00904FCB">
        <w:rPr>
          <w:rFonts w:hint="cs"/>
          <w:sz w:val="27"/>
          <w:rtl/>
          <w:lang w:bidi="ar-OM"/>
        </w:rPr>
        <w:t>لا تستبطن أي إلزامٍ،</w:t>
      </w:r>
      <w:r w:rsidRPr="00904FCB">
        <w:rPr>
          <w:rFonts w:hint="cs"/>
          <w:sz w:val="27"/>
          <w:rtl/>
          <w:lang w:bidi="ar-OM"/>
        </w:rPr>
        <w:t>فضلا</w:t>
      </w:r>
      <w:r w:rsidR="00F923F1" w:rsidRPr="00904FCB">
        <w:rPr>
          <w:rFonts w:hint="cs"/>
          <w:sz w:val="27"/>
          <w:rtl/>
          <w:lang w:bidi="ar-OM"/>
        </w:rPr>
        <w:t>ً</w:t>
      </w:r>
      <w:r w:rsidRPr="00904FCB">
        <w:rPr>
          <w:rFonts w:hint="cs"/>
          <w:sz w:val="27"/>
          <w:rtl/>
          <w:lang w:bidi="ar-OM"/>
        </w:rPr>
        <w:t xml:space="preserve"> عن أن تقترن بمزاولة أي</w:t>
      </w:r>
      <w:r w:rsidR="00F923F1" w:rsidRPr="00904FCB">
        <w:rPr>
          <w:rFonts w:hint="cs"/>
          <w:sz w:val="27"/>
          <w:rtl/>
          <w:lang w:bidi="ar-OM"/>
        </w:rPr>
        <w:t>ّ</w:t>
      </w:r>
      <w:r w:rsidRPr="00904FCB">
        <w:rPr>
          <w:rFonts w:hint="cs"/>
          <w:sz w:val="27"/>
          <w:rtl/>
          <w:lang w:bidi="ar-OM"/>
        </w:rPr>
        <w:t xml:space="preserve"> شكل من أشكال السلطة والولاية</w:t>
      </w:r>
      <w:r w:rsidR="00F923F1" w:rsidRPr="00904FCB">
        <w:rPr>
          <w:rFonts w:hint="cs"/>
          <w:sz w:val="27"/>
          <w:rtl/>
          <w:lang w:bidi="ar-OM"/>
        </w:rPr>
        <w:t>،</w:t>
      </w:r>
      <w:r w:rsidRPr="00904FCB">
        <w:rPr>
          <w:rFonts w:hint="cs"/>
          <w:sz w:val="27"/>
          <w:rtl/>
          <w:lang w:bidi="ar-OM"/>
        </w:rPr>
        <w:t xml:space="preserve"> على عكس مزاولة القضاء</w:t>
      </w:r>
      <w:r w:rsidR="00F923F1" w:rsidRPr="00904FCB">
        <w:rPr>
          <w:rFonts w:hint="cs"/>
          <w:sz w:val="27"/>
          <w:rtl/>
          <w:lang w:bidi="ar-OM"/>
        </w:rPr>
        <w:t>.</w:t>
      </w:r>
    </w:p>
    <w:p w:rsidR="00F923F1" w:rsidRPr="00904FCB" w:rsidRDefault="00644408" w:rsidP="007A21AA">
      <w:pPr>
        <w:spacing w:line="400" w:lineRule="exact"/>
        <w:rPr>
          <w:sz w:val="27"/>
          <w:rtl/>
          <w:lang w:bidi="ar-OM"/>
        </w:rPr>
      </w:pPr>
      <w:r w:rsidRPr="00904FCB">
        <w:rPr>
          <w:rFonts w:hint="cs"/>
          <w:sz w:val="27"/>
          <w:rtl/>
          <w:lang w:bidi="ar-OM"/>
        </w:rPr>
        <w:t>وقد تعر</w:t>
      </w:r>
      <w:r w:rsidR="00F923F1" w:rsidRPr="00904FCB">
        <w:rPr>
          <w:rFonts w:hint="cs"/>
          <w:sz w:val="27"/>
          <w:rtl/>
          <w:lang w:bidi="ar-OM"/>
        </w:rPr>
        <w:t>ّ</w:t>
      </w:r>
      <w:r w:rsidRPr="00904FCB">
        <w:rPr>
          <w:rFonts w:hint="cs"/>
          <w:sz w:val="27"/>
          <w:rtl/>
          <w:lang w:bidi="ar-OM"/>
        </w:rPr>
        <w:t>ض قياس القضاء على الشهادة لبعض النقود النقضية</w:t>
      </w:r>
      <w:r w:rsidR="00F923F1" w:rsidRPr="00904FCB">
        <w:rPr>
          <w:rFonts w:hint="cs"/>
          <w:sz w:val="27"/>
          <w:rtl/>
          <w:lang w:bidi="ar-OM"/>
        </w:rPr>
        <w:t>،</w:t>
      </w:r>
      <w:r w:rsidRPr="00904FCB">
        <w:rPr>
          <w:rFonts w:hint="cs"/>
          <w:sz w:val="27"/>
          <w:rtl/>
          <w:lang w:bidi="ar-OM"/>
        </w:rPr>
        <w:t xml:space="preserve"> من قبيل</w:t>
      </w:r>
      <w:r w:rsidR="00F923F1" w:rsidRPr="00904FCB">
        <w:rPr>
          <w:rFonts w:hint="cs"/>
          <w:sz w:val="27"/>
          <w:rtl/>
          <w:lang w:bidi="ar-OM"/>
        </w:rPr>
        <w:t>:</w:t>
      </w:r>
      <w:r w:rsidRPr="00904FCB">
        <w:rPr>
          <w:rFonts w:hint="cs"/>
          <w:sz w:val="27"/>
          <w:rtl/>
          <w:lang w:bidi="ar-OM"/>
        </w:rPr>
        <w:t xml:space="preserve"> </w:t>
      </w:r>
      <w:r w:rsidR="00F923F1" w:rsidRPr="00904FCB">
        <w:rPr>
          <w:rFonts w:hint="cs"/>
          <w:sz w:val="27"/>
          <w:rtl/>
          <w:lang w:bidi="ar-OM"/>
        </w:rPr>
        <w:t>إ</w:t>
      </w:r>
      <w:r w:rsidRPr="00904FCB">
        <w:rPr>
          <w:rFonts w:hint="cs"/>
          <w:sz w:val="27"/>
          <w:rtl/>
          <w:lang w:bidi="ar-OM"/>
        </w:rPr>
        <w:t>ن شهادة المرأة الواحدة هي نصف شهادة الرجل</w:t>
      </w:r>
      <w:r w:rsidR="00F923F1" w:rsidRPr="00904FCB">
        <w:rPr>
          <w:rFonts w:hint="cs"/>
          <w:sz w:val="27"/>
          <w:rtl/>
          <w:lang w:bidi="ar-OM"/>
        </w:rPr>
        <w:t>،</w:t>
      </w:r>
      <w:r w:rsidRPr="00904FCB">
        <w:rPr>
          <w:rFonts w:hint="cs"/>
          <w:sz w:val="27"/>
          <w:rtl/>
          <w:lang w:bidi="ar-OM"/>
        </w:rPr>
        <w:t xml:space="preserve"> فهل تكون امرأتان في القضاء في مقام قاض</w:t>
      </w:r>
      <w:r w:rsidR="00F923F1" w:rsidRPr="00904FCB">
        <w:rPr>
          <w:rFonts w:hint="cs"/>
          <w:sz w:val="27"/>
          <w:rtl/>
          <w:lang w:bidi="ar-OM"/>
        </w:rPr>
        <w:t>ٍ</w:t>
      </w:r>
      <w:r w:rsidRPr="00904FCB">
        <w:rPr>
          <w:rFonts w:hint="cs"/>
          <w:sz w:val="27"/>
          <w:rtl/>
          <w:lang w:bidi="ar-OM"/>
        </w:rPr>
        <w:t xml:space="preserve"> واحد؟</w:t>
      </w:r>
      <w:r w:rsidRPr="00904FCB">
        <w:rPr>
          <w:rFonts w:hint="cs"/>
          <w:sz w:val="27"/>
          <w:vertAlign w:val="superscript"/>
          <w:rtl/>
        </w:rPr>
        <w:t>(</w:t>
      </w:r>
      <w:r w:rsidRPr="00904FCB">
        <w:rPr>
          <w:rStyle w:val="ac"/>
          <w:sz w:val="27"/>
          <w:rtl/>
        </w:rPr>
        <w:endnoteReference w:id="205"/>
      </w:r>
      <w:r w:rsidRPr="00904FCB">
        <w:rPr>
          <w:rFonts w:hint="cs"/>
          <w:sz w:val="27"/>
          <w:vertAlign w:val="superscript"/>
          <w:rtl/>
        </w:rPr>
        <w:t>)</w:t>
      </w:r>
      <w:r w:rsidR="00F923F1"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ويلاحظ على هذا النقد بأنه منطلق من المعهود التاريخي لمزاولة القضاء، وإلا</w:t>
      </w:r>
      <w:r w:rsidR="00F923F1" w:rsidRPr="00904FCB">
        <w:rPr>
          <w:rFonts w:hint="cs"/>
          <w:sz w:val="27"/>
          <w:rtl/>
          <w:lang w:bidi="ar-OM"/>
        </w:rPr>
        <w:t>ّ</w:t>
      </w:r>
      <w:r w:rsidRPr="00904FCB">
        <w:rPr>
          <w:rFonts w:hint="cs"/>
          <w:sz w:val="27"/>
          <w:rtl/>
          <w:lang w:bidi="ar-OM"/>
        </w:rPr>
        <w:t xml:space="preserve"> ففي القضاء الحديث يمكن نظر الدعاو</w:t>
      </w:r>
      <w:r w:rsidR="00F923F1" w:rsidRPr="00904FCB">
        <w:rPr>
          <w:rFonts w:hint="cs"/>
          <w:sz w:val="27"/>
          <w:rtl/>
          <w:lang w:bidi="ar-OM"/>
        </w:rPr>
        <w:t>ى</w:t>
      </w:r>
      <w:r w:rsidRPr="00904FCB">
        <w:rPr>
          <w:rFonts w:hint="cs"/>
          <w:sz w:val="27"/>
          <w:rtl/>
          <w:lang w:bidi="ar-OM"/>
        </w:rPr>
        <w:t xml:space="preserve"> من قبل قضاة متعد</w:t>
      </w:r>
      <w:r w:rsidR="00F923F1" w:rsidRPr="00904FCB">
        <w:rPr>
          <w:rFonts w:hint="cs"/>
          <w:sz w:val="27"/>
          <w:rtl/>
          <w:lang w:bidi="ar-OM"/>
        </w:rPr>
        <w:t>ِّ</w:t>
      </w:r>
      <w:r w:rsidRPr="00904FCB">
        <w:rPr>
          <w:rFonts w:hint="cs"/>
          <w:sz w:val="27"/>
          <w:rtl/>
          <w:lang w:bidi="ar-OM"/>
        </w:rPr>
        <w:t xml:space="preserve">دين. </w:t>
      </w:r>
    </w:p>
    <w:p w:rsidR="00644408" w:rsidRPr="00904FCB" w:rsidRDefault="00644408" w:rsidP="007A21AA">
      <w:pPr>
        <w:spacing w:line="400" w:lineRule="exact"/>
        <w:rPr>
          <w:sz w:val="27"/>
          <w:rtl/>
          <w:lang w:bidi="ar-OM"/>
        </w:rPr>
      </w:pPr>
      <w:r w:rsidRPr="00904FCB">
        <w:rPr>
          <w:rFonts w:hint="cs"/>
          <w:sz w:val="27"/>
          <w:rtl/>
          <w:lang w:bidi="ar-OM"/>
        </w:rPr>
        <w:t>وفي سياق البحث عن تول</w:t>
      </w:r>
      <w:r w:rsidR="00F923F1" w:rsidRPr="00904FCB">
        <w:rPr>
          <w:rFonts w:hint="cs"/>
          <w:sz w:val="27"/>
          <w:rtl/>
          <w:lang w:bidi="ar-OM"/>
        </w:rPr>
        <w:t>ّ</w:t>
      </w:r>
      <w:r w:rsidRPr="00904FCB">
        <w:rPr>
          <w:rFonts w:hint="cs"/>
          <w:sz w:val="27"/>
          <w:rtl/>
          <w:lang w:bidi="ar-OM"/>
        </w:rPr>
        <w:t>ي المرأة للقضاء في بعض المجالات ي</w:t>
      </w:r>
      <w:r w:rsidR="00F923F1" w:rsidRPr="00904FCB">
        <w:rPr>
          <w:rFonts w:hint="cs"/>
          <w:sz w:val="27"/>
          <w:rtl/>
          <w:lang w:bidi="ar-OM"/>
        </w:rPr>
        <w:t>ُ</w:t>
      </w:r>
      <w:r w:rsidRPr="00904FCB">
        <w:rPr>
          <w:rFonts w:hint="cs"/>
          <w:sz w:val="27"/>
          <w:rtl/>
          <w:lang w:bidi="ar-OM"/>
        </w:rPr>
        <w:t>ستفاد من كلمات بعض الفقهاء المتأخ</w:t>
      </w:r>
      <w:r w:rsidR="00F923F1" w:rsidRPr="00904FCB">
        <w:rPr>
          <w:rFonts w:hint="cs"/>
          <w:sz w:val="27"/>
          <w:rtl/>
          <w:lang w:bidi="ar-OM"/>
        </w:rPr>
        <w:t>ِّ</w:t>
      </w:r>
      <w:r w:rsidRPr="00904FCB">
        <w:rPr>
          <w:rFonts w:hint="cs"/>
          <w:sz w:val="27"/>
          <w:rtl/>
          <w:lang w:bidi="ar-OM"/>
        </w:rPr>
        <w:t>رين من الإمامية وجود ميل إلى جواز أن تتول</w:t>
      </w:r>
      <w:r w:rsidR="00F923F1" w:rsidRPr="00904FCB">
        <w:rPr>
          <w:rFonts w:hint="cs"/>
          <w:sz w:val="27"/>
          <w:rtl/>
          <w:lang w:bidi="ar-OM"/>
        </w:rPr>
        <w:t>ّ</w:t>
      </w:r>
      <w:r w:rsidRPr="00904FCB">
        <w:rPr>
          <w:rFonts w:hint="cs"/>
          <w:sz w:val="27"/>
          <w:rtl/>
          <w:lang w:bidi="ar-OM"/>
        </w:rPr>
        <w:t xml:space="preserve">ى المرأة القضاء بين </w:t>
      </w:r>
      <w:r w:rsidRPr="00904FCB">
        <w:rPr>
          <w:rFonts w:hint="cs"/>
          <w:sz w:val="27"/>
          <w:rtl/>
          <w:lang w:bidi="ar-OM"/>
        </w:rPr>
        <w:lastRenderedPageBreak/>
        <w:t>النساء. و</w:t>
      </w:r>
      <w:r w:rsidR="00F923F1" w:rsidRPr="00904FCB">
        <w:rPr>
          <w:rFonts w:hint="cs"/>
          <w:sz w:val="27"/>
          <w:rtl/>
          <w:lang w:bidi="ar-OM"/>
        </w:rPr>
        <w:t>إ</w:t>
      </w:r>
      <w:r w:rsidRPr="00904FCB">
        <w:rPr>
          <w:rFonts w:hint="cs"/>
          <w:sz w:val="27"/>
          <w:rtl/>
          <w:lang w:bidi="ar-OM"/>
        </w:rPr>
        <w:t>ن كانت بعض الكلمات وردت في سياق نقد بعض أدل</w:t>
      </w:r>
      <w:r w:rsidR="00F923F1" w:rsidRPr="00904FCB">
        <w:rPr>
          <w:rFonts w:hint="cs"/>
          <w:sz w:val="27"/>
          <w:rtl/>
          <w:lang w:bidi="ar-OM"/>
        </w:rPr>
        <w:t>ّ</w:t>
      </w:r>
      <w:r w:rsidRPr="00904FCB">
        <w:rPr>
          <w:rFonts w:hint="cs"/>
          <w:sz w:val="27"/>
          <w:rtl/>
          <w:lang w:bidi="ar-OM"/>
        </w:rPr>
        <w:t>ة المانعين كل</w:t>
      </w:r>
      <w:r w:rsidR="00F923F1" w:rsidRPr="00904FCB">
        <w:rPr>
          <w:rFonts w:hint="cs"/>
          <w:sz w:val="27"/>
          <w:rtl/>
          <w:lang w:bidi="ar-OM"/>
        </w:rPr>
        <w:t>ّ</w:t>
      </w:r>
      <w:r w:rsidRPr="00904FCB">
        <w:rPr>
          <w:rFonts w:hint="cs"/>
          <w:sz w:val="27"/>
          <w:rtl/>
          <w:lang w:bidi="ar-OM"/>
        </w:rPr>
        <w:t>يا</w:t>
      </w:r>
      <w:r w:rsidR="00F923F1" w:rsidRPr="00904FCB">
        <w:rPr>
          <w:rFonts w:hint="cs"/>
          <w:sz w:val="27"/>
          <w:rtl/>
          <w:lang w:bidi="ar-OM"/>
        </w:rPr>
        <w:t>ً</w:t>
      </w:r>
      <w:r w:rsidRPr="00904FCB">
        <w:rPr>
          <w:rFonts w:hint="cs"/>
          <w:sz w:val="27"/>
          <w:rtl/>
          <w:lang w:bidi="ar-OM"/>
        </w:rPr>
        <w:t xml:space="preserve"> من تقلدها منصب القضاء. </w:t>
      </w:r>
    </w:p>
    <w:p w:rsidR="0027622F" w:rsidRPr="00904FCB" w:rsidRDefault="00644408" w:rsidP="007A21AA">
      <w:pPr>
        <w:spacing w:line="400" w:lineRule="exact"/>
        <w:rPr>
          <w:sz w:val="27"/>
          <w:rtl/>
          <w:lang w:bidi="ar-OM"/>
        </w:rPr>
      </w:pPr>
      <w:r w:rsidRPr="00904FCB">
        <w:rPr>
          <w:rFonts w:hint="cs"/>
          <w:sz w:val="27"/>
          <w:rtl/>
          <w:lang w:bidi="ar-OM"/>
        </w:rPr>
        <w:t>ومن هؤلاء الفقهاء المحق</w:t>
      </w:r>
      <w:r w:rsidR="00F923F1" w:rsidRPr="00904FCB">
        <w:rPr>
          <w:rFonts w:hint="cs"/>
          <w:sz w:val="27"/>
          <w:rtl/>
          <w:lang w:bidi="ar-OM"/>
        </w:rPr>
        <w:t>ِّ</w:t>
      </w:r>
      <w:r w:rsidRPr="00904FCB">
        <w:rPr>
          <w:rFonts w:hint="cs"/>
          <w:sz w:val="27"/>
          <w:rtl/>
          <w:lang w:bidi="ar-OM"/>
        </w:rPr>
        <w:t>ق الأردبيلي(</w:t>
      </w:r>
      <w:r w:rsidRPr="00546E4F">
        <w:rPr>
          <w:rFonts w:hint="cs"/>
          <w:sz w:val="27"/>
          <w:rtl/>
          <w:lang w:bidi="ar-OM"/>
        </w:rPr>
        <w:t>993هـ</w:t>
      </w:r>
      <w:r w:rsidRPr="00904FCB">
        <w:rPr>
          <w:rFonts w:hint="cs"/>
          <w:sz w:val="27"/>
          <w:rtl/>
          <w:lang w:bidi="ar-OM"/>
        </w:rPr>
        <w:t>)</w:t>
      </w:r>
      <w:r w:rsidR="00F923F1" w:rsidRPr="00904FCB">
        <w:rPr>
          <w:rFonts w:hint="cs"/>
          <w:sz w:val="27"/>
          <w:rtl/>
          <w:lang w:bidi="ar-OM"/>
        </w:rPr>
        <w:t>، حيث</w:t>
      </w:r>
      <w:r w:rsidRPr="00904FCB">
        <w:rPr>
          <w:rFonts w:hint="cs"/>
          <w:sz w:val="27"/>
          <w:rtl/>
          <w:lang w:bidi="ar-OM"/>
        </w:rPr>
        <w:t xml:space="preserve"> قال في </w:t>
      </w:r>
      <w:r w:rsidRPr="00904FCB">
        <w:rPr>
          <w:rFonts w:hint="eastAsia"/>
          <w:sz w:val="27"/>
          <w:rtl/>
          <w:lang w:bidi="ar-OM"/>
        </w:rPr>
        <w:t>«</w:t>
      </w:r>
      <w:r w:rsidRPr="00904FCB">
        <w:rPr>
          <w:rFonts w:hint="cs"/>
          <w:sz w:val="27"/>
          <w:rtl/>
          <w:lang w:bidi="ar-OM"/>
        </w:rPr>
        <w:t>مجمع الفائدة</w:t>
      </w:r>
      <w:r w:rsidRPr="00904FCB">
        <w:rPr>
          <w:rFonts w:hint="eastAsia"/>
          <w:sz w:val="27"/>
          <w:rtl/>
        </w:rPr>
        <w:t>»</w:t>
      </w:r>
      <w:r w:rsidRPr="00904FCB">
        <w:rPr>
          <w:rFonts w:hint="cs"/>
          <w:sz w:val="27"/>
          <w:rtl/>
          <w:lang w:bidi="ar-OM"/>
        </w:rPr>
        <w:t>: أما اشتراط الذكورة فذلك ظاهر في</w:t>
      </w:r>
      <w:r w:rsidR="00F923F1" w:rsidRPr="00904FCB">
        <w:rPr>
          <w:rFonts w:hint="cs"/>
          <w:sz w:val="27"/>
          <w:rtl/>
          <w:lang w:bidi="ar-OM"/>
        </w:rPr>
        <w:t xml:space="preserve"> </w:t>
      </w:r>
      <w:r w:rsidRPr="00904FCB">
        <w:rPr>
          <w:rFonts w:hint="cs"/>
          <w:sz w:val="27"/>
          <w:rtl/>
          <w:lang w:bidi="ar-OM"/>
        </w:rPr>
        <w:t>ما لم يج</w:t>
      </w:r>
      <w:r w:rsidR="00F923F1" w:rsidRPr="00904FCB">
        <w:rPr>
          <w:rFonts w:hint="cs"/>
          <w:sz w:val="27"/>
          <w:rtl/>
          <w:lang w:bidi="ar-OM"/>
        </w:rPr>
        <w:t>ُ</w:t>
      </w:r>
      <w:r w:rsidRPr="00904FCB">
        <w:rPr>
          <w:rFonts w:hint="cs"/>
          <w:sz w:val="27"/>
          <w:rtl/>
          <w:lang w:bidi="ar-OM"/>
        </w:rPr>
        <w:t>ز</w:t>
      </w:r>
      <w:r w:rsidR="00F923F1" w:rsidRPr="00904FCB">
        <w:rPr>
          <w:rFonts w:hint="cs"/>
          <w:sz w:val="27"/>
          <w:rtl/>
          <w:lang w:bidi="ar-OM"/>
        </w:rPr>
        <w:t>ْ</w:t>
      </w:r>
      <w:r w:rsidRPr="00904FCB">
        <w:rPr>
          <w:rFonts w:hint="cs"/>
          <w:sz w:val="27"/>
          <w:rtl/>
          <w:lang w:bidi="ar-OM"/>
        </w:rPr>
        <w:t xml:space="preserve"> للمرأة فيه أمر</w:t>
      </w:r>
      <w:r w:rsidR="00F923F1" w:rsidRPr="00904FCB">
        <w:rPr>
          <w:rFonts w:hint="cs"/>
          <w:sz w:val="27"/>
          <w:rtl/>
          <w:lang w:bidi="ar-OM"/>
        </w:rPr>
        <w:t>ٌ</w:t>
      </w:r>
      <w:r w:rsidRPr="00904FCB">
        <w:rPr>
          <w:rFonts w:hint="cs"/>
          <w:sz w:val="27"/>
          <w:rtl/>
          <w:lang w:bidi="ar-OM"/>
        </w:rPr>
        <w:t>، وأما في غير ذلك فلا نعلم له دليلا</w:t>
      </w:r>
      <w:r w:rsidR="00F923F1" w:rsidRPr="00904FCB">
        <w:rPr>
          <w:rFonts w:hint="cs"/>
          <w:sz w:val="27"/>
          <w:rtl/>
          <w:lang w:bidi="ar-OM"/>
        </w:rPr>
        <w:t>ً</w:t>
      </w:r>
      <w:r w:rsidRPr="00904FCB">
        <w:rPr>
          <w:rFonts w:hint="cs"/>
          <w:sz w:val="27"/>
          <w:rtl/>
          <w:lang w:bidi="ar-OM"/>
        </w:rPr>
        <w:t xml:space="preserve"> واضحا</w:t>
      </w:r>
      <w:r w:rsidR="00F923F1" w:rsidRPr="00904FCB">
        <w:rPr>
          <w:rFonts w:hint="cs"/>
          <w:sz w:val="27"/>
          <w:rtl/>
          <w:lang w:bidi="ar-OM"/>
        </w:rPr>
        <w:t>ً.</w:t>
      </w:r>
      <w:r w:rsidRPr="00904FCB">
        <w:rPr>
          <w:rFonts w:hint="cs"/>
          <w:sz w:val="27"/>
          <w:rtl/>
          <w:lang w:bidi="ar-OM"/>
        </w:rPr>
        <w:t xml:space="preserve"> نعم ذلك هو المشهور. فلو كان إجماعا</w:t>
      </w:r>
      <w:r w:rsidR="0027622F" w:rsidRPr="00904FCB">
        <w:rPr>
          <w:rFonts w:hint="cs"/>
          <w:sz w:val="27"/>
          <w:rtl/>
          <w:lang w:bidi="ar-OM"/>
        </w:rPr>
        <w:t>ً</w:t>
      </w:r>
      <w:r w:rsidRPr="00904FCB">
        <w:rPr>
          <w:rFonts w:hint="cs"/>
          <w:sz w:val="27"/>
          <w:rtl/>
          <w:lang w:bidi="ar-OM"/>
        </w:rPr>
        <w:t xml:space="preserve"> فلا بحث، وإلا</w:t>
      </w:r>
      <w:r w:rsidR="0027622F" w:rsidRPr="00904FCB">
        <w:rPr>
          <w:rFonts w:hint="cs"/>
          <w:sz w:val="27"/>
          <w:rtl/>
          <w:lang w:bidi="ar-OM"/>
        </w:rPr>
        <w:t>ّ</w:t>
      </w:r>
      <w:r w:rsidRPr="00904FCB">
        <w:rPr>
          <w:rFonts w:hint="cs"/>
          <w:sz w:val="27"/>
          <w:rtl/>
          <w:lang w:bidi="ar-OM"/>
        </w:rPr>
        <w:t xml:space="preserve"> فالمنع بالكل</w:t>
      </w:r>
      <w:r w:rsidR="0027622F" w:rsidRPr="00904FCB">
        <w:rPr>
          <w:rFonts w:hint="cs"/>
          <w:sz w:val="27"/>
          <w:rtl/>
          <w:lang w:bidi="ar-OM"/>
        </w:rPr>
        <w:t>ّ</w:t>
      </w:r>
      <w:r w:rsidRPr="00904FCB">
        <w:rPr>
          <w:rFonts w:hint="cs"/>
          <w:sz w:val="27"/>
          <w:rtl/>
          <w:lang w:bidi="ar-OM"/>
        </w:rPr>
        <w:t>ية محل</w:t>
      </w:r>
      <w:r w:rsidR="0027622F" w:rsidRPr="00904FCB">
        <w:rPr>
          <w:rFonts w:hint="cs"/>
          <w:sz w:val="27"/>
          <w:rtl/>
          <w:lang w:bidi="ar-OM"/>
        </w:rPr>
        <w:t>ّ</w:t>
      </w:r>
      <w:r w:rsidRPr="00904FCB">
        <w:rPr>
          <w:rFonts w:hint="cs"/>
          <w:sz w:val="27"/>
          <w:rtl/>
          <w:lang w:bidi="ar-OM"/>
        </w:rPr>
        <w:t xml:space="preserve"> بحث</w:t>
      </w:r>
      <w:r w:rsidR="0027622F" w:rsidRPr="00904FCB">
        <w:rPr>
          <w:rFonts w:hint="cs"/>
          <w:sz w:val="27"/>
          <w:rtl/>
          <w:lang w:bidi="ar-OM"/>
        </w:rPr>
        <w:t>؛</w:t>
      </w:r>
      <w:r w:rsidRPr="00904FCB">
        <w:rPr>
          <w:rFonts w:hint="cs"/>
          <w:sz w:val="27"/>
          <w:rtl/>
          <w:lang w:bidi="ar-OM"/>
        </w:rPr>
        <w:t xml:space="preserve"> إذ لا محذور في حكمها بشهادة النساء</w:t>
      </w:r>
      <w:r w:rsidR="0027622F" w:rsidRPr="00904FCB">
        <w:rPr>
          <w:rFonts w:hint="cs"/>
          <w:sz w:val="27"/>
          <w:rtl/>
          <w:lang w:bidi="ar-OM"/>
        </w:rPr>
        <w:t>،</w:t>
      </w:r>
      <w:r w:rsidRPr="00904FCB">
        <w:rPr>
          <w:rFonts w:hint="cs"/>
          <w:sz w:val="27"/>
          <w:rtl/>
          <w:lang w:bidi="ar-OM"/>
        </w:rPr>
        <w:t xml:space="preserve"> مع سماع شهادتهن</w:t>
      </w:r>
      <w:r w:rsidR="0027622F" w:rsidRPr="00904FCB">
        <w:rPr>
          <w:rFonts w:hint="cs"/>
          <w:sz w:val="27"/>
          <w:rtl/>
          <w:lang w:bidi="ar-OM"/>
        </w:rPr>
        <w:t>ّ،</w:t>
      </w:r>
      <w:r w:rsidRPr="00904FCB">
        <w:rPr>
          <w:rFonts w:hint="cs"/>
          <w:sz w:val="27"/>
          <w:rtl/>
          <w:lang w:bidi="ar-OM"/>
        </w:rPr>
        <w:t xml:space="preserve"> بين المرأتين مثلا</w:t>
      </w:r>
      <w:r w:rsidR="0027622F" w:rsidRPr="00904FCB">
        <w:rPr>
          <w:rFonts w:hint="cs"/>
          <w:sz w:val="27"/>
          <w:rtl/>
          <w:lang w:bidi="ar-OM"/>
        </w:rPr>
        <w:t>ً</w:t>
      </w:r>
      <w:r w:rsidRPr="00904FCB">
        <w:rPr>
          <w:rFonts w:hint="cs"/>
          <w:sz w:val="27"/>
          <w:rtl/>
          <w:lang w:bidi="ar-OM"/>
        </w:rPr>
        <w:t xml:space="preserve"> بش</w:t>
      </w:r>
      <w:r w:rsidR="0027622F" w:rsidRPr="00904FCB">
        <w:rPr>
          <w:rFonts w:hint="cs"/>
          <w:sz w:val="27"/>
          <w:rtl/>
          <w:lang w:bidi="ar-OM"/>
        </w:rPr>
        <w:t>يءٍ،</w:t>
      </w:r>
      <w:r w:rsidRPr="00904FCB">
        <w:rPr>
          <w:rFonts w:hint="cs"/>
          <w:sz w:val="27"/>
          <w:rtl/>
          <w:lang w:bidi="ar-OM"/>
        </w:rPr>
        <w:t xml:space="preserve"> مع ات</w:t>
      </w:r>
      <w:r w:rsidR="0027622F" w:rsidRPr="00904FCB">
        <w:rPr>
          <w:rFonts w:hint="cs"/>
          <w:sz w:val="27"/>
          <w:rtl/>
          <w:lang w:bidi="ar-OM"/>
        </w:rPr>
        <w:t>ّ</w:t>
      </w:r>
      <w:r w:rsidRPr="00904FCB">
        <w:rPr>
          <w:rFonts w:hint="cs"/>
          <w:sz w:val="27"/>
          <w:rtl/>
          <w:lang w:bidi="ar-OM"/>
        </w:rPr>
        <w:t>صافها بشرائط الحكم</w:t>
      </w:r>
      <w:r w:rsidRPr="00904FCB">
        <w:rPr>
          <w:rFonts w:hint="eastAsia"/>
          <w:sz w:val="27"/>
          <w:rtl/>
        </w:rPr>
        <w:t>»</w:t>
      </w:r>
      <w:r w:rsidRPr="00904FCB">
        <w:rPr>
          <w:rFonts w:hint="cs"/>
          <w:sz w:val="27"/>
          <w:vertAlign w:val="superscript"/>
          <w:rtl/>
        </w:rPr>
        <w:t>(</w:t>
      </w:r>
      <w:r w:rsidRPr="00904FCB">
        <w:rPr>
          <w:rStyle w:val="ac"/>
          <w:sz w:val="27"/>
          <w:rtl/>
        </w:rPr>
        <w:endnoteReference w:id="206"/>
      </w:r>
      <w:r w:rsidRPr="00904FCB">
        <w:rPr>
          <w:rFonts w:hint="cs"/>
          <w:sz w:val="27"/>
          <w:vertAlign w:val="superscript"/>
          <w:rtl/>
        </w:rPr>
        <w:t>)</w:t>
      </w:r>
      <w:r w:rsidR="0027622F" w:rsidRPr="00904FCB">
        <w:rPr>
          <w:rFonts w:hint="cs"/>
          <w:sz w:val="27"/>
          <w:rtl/>
          <w:lang w:bidi="ar-OM"/>
        </w:rPr>
        <w:t>.</w:t>
      </w:r>
    </w:p>
    <w:p w:rsidR="0027622F" w:rsidRPr="00904FCB" w:rsidRDefault="00644408" w:rsidP="007A21AA">
      <w:pPr>
        <w:spacing w:line="400" w:lineRule="exact"/>
        <w:rPr>
          <w:sz w:val="27"/>
          <w:rtl/>
          <w:lang w:bidi="ar-OM"/>
        </w:rPr>
      </w:pPr>
      <w:r w:rsidRPr="00904FCB">
        <w:rPr>
          <w:rFonts w:hint="cs"/>
          <w:sz w:val="27"/>
          <w:rtl/>
          <w:lang w:bidi="ar-OM"/>
        </w:rPr>
        <w:t>بل نقل عن المجلسي الأول(</w:t>
      </w:r>
      <w:r w:rsidRPr="00546E4F">
        <w:rPr>
          <w:rFonts w:hint="cs"/>
          <w:sz w:val="27"/>
          <w:rtl/>
          <w:lang w:bidi="ar-OM"/>
        </w:rPr>
        <w:t>1070هـ</w:t>
      </w:r>
      <w:r w:rsidRPr="00904FCB">
        <w:rPr>
          <w:rFonts w:hint="cs"/>
          <w:sz w:val="27"/>
          <w:rtl/>
          <w:lang w:bidi="ar-OM"/>
        </w:rPr>
        <w:t xml:space="preserve">) في </w:t>
      </w:r>
      <w:r w:rsidRPr="00904FCB">
        <w:rPr>
          <w:rFonts w:hint="eastAsia"/>
          <w:sz w:val="27"/>
          <w:rtl/>
          <w:lang w:bidi="ar-OM"/>
        </w:rPr>
        <w:t>«</w:t>
      </w:r>
      <w:r w:rsidRPr="00904FCB">
        <w:rPr>
          <w:rFonts w:hint="cs"/>
          <w:sz w:val="27"/>
          <w:rtl/>
          <w:lang w:bidi="ar-OM"/>
        </w:rPr>
        <w:t>روضة المتقين</w:t>
      </w:r>
      <w:r w:rsidRPr="00904FCB">
        <w:rPr>
          <w:rFonts w:hint="eastAsia"/>
          <w:sz w:val="27"/>
          <w:rtl/>
        </w:rPr>
        <w:t>»</w:t>
      </w:r>
      <w:r w:rsidRPr="00904FCB">
        <w:rPr>
          <w:rFonts w:hint="cs"/>
          <w:sz w:val="27"/>
          <w:rtl/>
          <w:lang w:bidi="ar-OM"/>
        </w:rPr>
        <w:t xml:space="preserve"> قوله</w:t>
      </w:r>
      <w:r w:rsidR="0027622F" w:rsidRPr="00904FCB">
        <w:rPr>
          <w:rFonts w:hint="cs"/>
          <w:sz w:val="27"/>
          <w:rtl/>
          <w:lang w:bidi="ar-OM"/>
        </w:rPr>
        <w:t>:</w:t>
      </w:r>
      <w:r w:rsidRPr="00904FCB">
        <w:rPr>
          <w:rFonts w:hint="cs"/>
          <w:sz w:val="27"/>
          <w:rtl/>
          <w:lang w:bidi="ar-OM"/>
        </w:rPr>
        <w:t xml:space="preserve"> </w:t>
      </w:r>
      <w:r w:rsidRPr="00904FCB">
        <w:rPr>
          <w:rFonts w:hint="eastAsia"/>
          <w:sz w:val="27"/>
          <w:rtl/>
          <w:lang w:bidi="ar-OM"/>
        </w:rPr>
        <w:t>«</w:t>
      </w:r>
      <w:r w:rsidRPr="00904FCB">
        <w:rPr>
          <w:rFonts w:hint="cs"/>
          <w:sz w:val="27"/>
          <w:rtl/>
          <w:lang w:bidi="ar-OM"/>
        </w:rPr>
        <w:t>إذا كانت المرأة عالمة</w:t>
      </w:r>
      <w:r w:rsidR="0027622F" w:rsidRPr="00904FCB">
        <w:rPr>
          <w:rFonts w:hint="cs"/>
          <w:sz w:val="27"/>
          <w:rtl/>
          <w:lang w:bidi="ar-OM"/>
        </w:rPr>
        <w:t>،</w:t>
      </w:r>
      <w:r w:rsidRPr="00904FCB">
        <w:rPr>
          <w:rFonts w:hint="cs"/>
          <w:sz w:val="27"/>
          <w:rtl/>
          <w:lang w:bidi="ar-OM"/>
        </w:rPr>
        <w:t xml:space="preserve"> وتوف</w:t>
      </w:r>
      <w:r w:rsidR="0027622F" w:rsidRPr="00904FCB">
        <w:rPr>
          <w:rFonts w:hint="cs"/>
          <w:sz w:val="27"/>
          <w:rtl/>
          <w:lang w:bidi="ar-OM"/>
        </w:rPr>
        <w:t>َّ</w:t>
      </w:r>
      <w:r w:rsidRPr="00904FCB">
        <w:rPr>
          <w:rFonts w:hint="cs"/>
          <w:sz w:val="27"/>
          <w:rtl/>
          <w:lang w:bidi="ar-OM"/>
        </w:rPr>
        <w:t>رت فيها الشروط اللازمة للقضاء، لا مانع من قضائها بين النساء والمحارم من الرجال</w:t>
      </w:r>
      <w:r w:rsidRPr="00904FCB">
        <w:rPr>
          <w:rFonts w:hint="eastAsia"/>
          <w:sz w:val="27"/>
          <w:rtl/>
        </w:rPr>
        <w:t>»</w:t>
      </w:r>
      <w:r w:rsidRPr="00904FCB">
        <w:rPr>
          <w:rFonts w:hint="cs"/>
          <w:sz w:val="27"/>
          <w:vertAlign w:val="superscript"/>
          <w:rtl/>
        </w:rPr>
        <w:t>(</w:t>
      </w:r>
      <w:r w:rsidRPr="00904FCB">
        <w:rPr>
          <w:rStyle w:val="ac"/>
          <w:sz w:val="27"/>
          <w:rtl/>
        </w:rPr>
        <w:endnoteReference w:id="207"/>
      </w:r>
      <w:r w:rsidRPr="00904FCB">
        <w:rPr>
          <w:rFonts w:hint="cs"/>
          <w:sz w:val="27"/>
          <w:vertAlign w:val="superscript"/>
          <w:rtl/>
        </w:rPr>
        <w:t>)</w:t>
      </w:r>
      <w:r w:rsidR="0027622F" w:rsidRPr="00904FCB">
        <w:rPr>
          <w:rFonts w:hint="cs"/>
          <w:sz w:val="27"/>
          <w:rtl/>
        </w:rPr>
        <w:t>.</w:t>
      </w:r>
    </w:p>
    <w:p w:rsidR="00644408" w:rsidRPr="00904FCB" w:rsidRDefault="00644408" w:rsidP="007A21AA">
      <w:pPr>
        <w:spacing w:line="400" w:lineRule="exact"/>
        <w:rPr>
          <w:sz w:val="27"/>
          <w:rtl/>
          <w:lang w:bidi="ar-OM"/>
        </w:rPr>
      </w:pPr>
      <w:r w:rsidRPr="00904FCB">
        <w:rPr>
          <w:rFonts w:hint="cs"/>
          <w:sz w:val="27"/>
          <w:rtl/>
          <w:lang w:bidi="ar-OM"/>
        </w:rPr>
        <w:t xml:space="preserve">وتوحي كلمات بعض المعاصرين </w:t>
      </w:r>
      <w:r w:rsidR="0027622F" w:rsidRPr="00904FCB">
        <w:rPr>
          <w:rFonts w:hint="cs"/>
          <w:sz w:val="27"/>
          <w:rtl/>
          <w:lang w:bidi="ar-OM"/>
        </w:rPr>
        <w:t>إ</w:t>
      </w:r>
      <w:r w:rsidRPr="00904FCB">
        <w:rPr>
          <w:rFonts w:hint="cs"/>
          <w:sz w:val="27"/>
          <w:rtl/>
          <w:lang w:bidi="ar-OM"/>
        </w:rPr>
        <w:t xml:space="preserve">لى وجود ميل </w:t>
      </w:r>
      <w:r w:rsidR="0027622F" w:rsidRPr="00904FCB">
        <w:rPr>
          <w:rFonts w:hint="cs"/>
          <w:sz w:val="27"/>
          <w:rtl/>
          <w:lang w:bidi="ar-OM"/>
        </w:rPr>
        <w:t>إ</w:t>
      </w:r>
      <w:r w:rsidRPr="00904FCB">
        <w:rPr>
          <w:rFonts w:hint="cs"/>
          <w:sz w:val="27"/>
          <w:rtl/>
          <w:lang w:bidi="ar-OM"/>
        </w:rPr>
        <w:t>لى تحق</w:t>
      </w:r>
      <w:r w:rsidR="0027622F" w:rsidRPr="00904FCB">
        <w:rPr>
          <w:rFonts w:hint="cs"/>
          <w:sz w:val="27"/>
          <w:rtl/>
          <w:lang w:bidi="ar-OM"/>
        </w:rPr>
        <w:t>ُّ</w:t>
      </w:r>
      <w:r w:rsidRPr="00904FCB">
        <w:rPr>
          <w:rFonts w:hint="cs"/>
          <w:sz w:val="27"/>
          <w:rtl/>
          <w:lang w:bidi="ar-OM"/>
        </w:rPr>
        <w:t>ق هذه الجزئية في الواقع</w:t>
      </w:r>
      <w:r w:rsidRPr="00904FCB">
        <w:rPr>
          <w:rFonts w:hint="cs"/>
          <w:sz w:val="27"/>
          <w:vertAlign w:val="superscript"/>
          <w:rtl/>
        </w:rPr>
        <w:t>(</w:t>
      </w:r>
      <w:r w:rsidRPr="00904FCB">
        <w:rPr>
          <w:rStyle w:val="ac"/>
          <w:sz w:val="27"/>
          <w:rtl/>
        </w:rPr>
        <w:endnoteReference w:id="208"/>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كما نقل عن المحق</w:t>
      </w:r>
      <w:r w:rsidR="0027622F" w:rsidRPr="00904FCB">
        <w:rPr>
          <w:rFonts w:hint="cs"/>
          <w:sz w:val="27"/>
          <w:rtl/>
          <w:lang w:bidi="ar-OM"/>
        </w:rPr>
        <w:t>ِّ</w:t>
      </w:r>
      <w:r w:rsidRPr="00904FCB">
        <w:rPr>
          <w:rFonts w:hint="cs"/>
          <w:sz w:val="27"/>
          <w:rtl/>
          <w:lang w:bidi="ar-OM"/>
        </w:rPr>
        <w:t>ق القم</w:t>
      </w:r>
      <w:r w:rsidR="0027622F" w:rsidRPr="00904FCB">
        <w:rPr>
          <w:rFonts w:hint="cs"/>
          <w:sz w:val="27"/>
          <w:rtl/>
          <w:lang w:bidi="ar-OM"/>
        </w:rPr>
        <w:t>ّ</w:t>
      </w:r>
      <w:r w:rsidRPr="00904FCB">
        <w:rPr>
          <w:rFonts w:hint="cs"/>
          <w:sz w:val="27"/>
          <w:rtl/>
          <w:lang w:bidi="ar-OM"/>
        </w:rPr>
        <w:t>ي(</w:t>
      </w:r>
      <w:r w:rsidRPr="00546E4F">
        <w:rPr>
          <w:rFonts w:hint="cs"/>
          <w:sz w:val="27"/>
          <w:rtl/>
          <w:lang w:bidi="ar-OM"/>
        </w:rPr>
        <w:t>1221هـ</w:t>
      </w:r>
      <w:r w:rsidRPr="00904FCB">
        <w:rPr>
          <w:rFonts w:hint="cs"/>
          <w:sz w:val="27"/>
          <w:rtl/>
          <w:lang w:bidi="ar-OM"/>
        </w:rPr>
        <w:t xml:space="preserve">) في </w:t>
      </w:r>
      <w:r w:rsidRPr="00904FCB">
        <w:rPr>
          <w:rFonts w:hint="eastAsia"/>
          <w:sz w:val="27"/>
          <w:rtl/>
          <w:lang w:bidi="ar-OM"/>
        </w:rPr>
        <w:t>«</w:t>
      </w:r>
      <w:r w:rsidRPr="00904FCB">
        <w:rPr>
          <w:rFonts w:hint="cs"/>
          <w:sz w:val="27"/>
          <w:rtl/>
          <w:lang w:bidi="ar-OM"/>
        </w:rPr>
        <w:t>غنائم الأيام</w:t>
      </w:r>
      <w:r w:rsidRPr="00904FCB">
        <w:rPr>
          <w:rFonts w:hint="eastAsia"/>
          <w:sz w:val="27"/>
          <w:rtl/>
        </w:rPr>
        <w:t>»</w:t>
      </w:r>
      <w:r w:rsidRPr="00904FCB">
        <w:rPr>
          <w:rFonts w:hint="cs"/>
          <w:sz w:val="27"/>
          <w:rtl/>
          <w:lang w:bidi="ar-OM"/>
        </w:rPr>
        <w:t xml:space="preserve"> ما يفيد أكثر من ذلك، قال</w:t>
      </w:r>
      <w:r w:rsidR="0027622F" w:rsidRPr="00904FCB">
        <w:rPr>
          <w:rFonts w:hint="cs"/>
          <w:sz w:val="27"/>
          <w:rtl/>
          <w:lang w:bidi="ar-OM"/>
        </w:rPr>
        <w:t>:</w:t>
      </w:r>
      <w:r w:rsidRPr="00904FCB">
        <w:rPr>
          <w:rFonts w:hint="cs"/>
          <w:sz w:val="27"/>
          <w:rtl/>
          <w:lang w:bidi="ar-OM"/>
        </w:rPr>
        <w:t xml:space="preserve"> </w:t>
      </w:r>
      <w:r w:rsidRPr="00904FCB">
        <w:rPr>
          <w:rFonts w:hint="eastAsia"/>
          <w:sz w:val="27"/>
          <w:rtl/>
          <w:lang w:bidi="ar-OM"/>
        </w:rPr>
        <w:t>«</w:t>
      </w:r>
      <w:r w:rsidRPr="00904FCB">
        <w:rPr>
          <w:rFonts w:hint="cs"/>
          <w:sz w:val="27"/>
          <w:rtl/>
          <w:lang w:bidi="ar-OM"/>
        </w:rPr>
        <w:t>وربما يشكل في اشتراط الذكورة وغلبة الحفظ والنطق مطلقا</w:t>
      </w:r>
      <w:r w:rsidR="0027622F" w:rsidRPr="00904FCB">
        <w:rPr>
          <w:rFonts w:hint="cs"/>
          <w:sz w:val="27"/>
          <w:rtl/>
          <w:lang w:bidi="ar-OM"/>
        </w:rPr>
        <w:t>ً؛</w:t>
      </w:r>
      <w:r w:rsidRPr="00904FCB">
        <w:rPr>
          <w:rFonts w:hint="cs"/>
          <w:sz w:val="27"/>
          <w:rtl/>
          <w:lang w:bidi="ar-OM"/>
        </w:rPr>
        <w:t xml:space="preserve"> لأن العلل المذكورة لها </w:t>
      </w:r>
      <w:r w:rsidRPr="00904FCB">
        <w:rPr>
          <w:sz w:val="27"/>
          <w:rtl/>
          <w:lang w:bidi="ar-OM"/>
        </w:rPr>
        <w:t>ـ</w:t>
      </w:r>
      <w:r w:rsidRPr="00904FCB">
        <w:rPr>
          <w:rFonts w:hint="cs"/>
          <w:sz w:val="27"/>
          <w:rtl/>
          <w:lang w:bidi="ar-OM"/>
        </w:rPr>
        <w:t xml:space="preserve"> من عدم تمك</w:t>
      </w:r>
      <w:r w:rsidR="0027622F" w:rsidRPr="00904FCB">
        <w:rPr>
          <w:rFonts w:hint="cs"/>
          <w:sz w:val="27"/>
          <w:rtl/>
          <w:lang w:bidi="ar-OM"/>
        </w:rPr>
        <w:t>ُّ</w:t>
      </w:r>
      <w:r w:rsidRPr="00904FCB">
        <w:rPr>
          <w:rFonts w:hint="cs"/>
          <w:sz w:val="27"/>
          <w:rtl/>
          <w:lang w:bidi="ar-OM"/>
        </w:rPr>
        <w:t>ن النسوان من ذلك غالبا</w:t>
      </w:r>
      <w:r w:rsidR="0027622F" w:rsidRPr="00904FCB">
        <w:rPr>
          <w:rFonts w:hint="cs"/>
          <w:sz w:val="27"/>
          <w:rtl/>
          <w:lang w:bidi="ar-OM"/>
        </w:rPr>
        <w:t>ً؛</w:t>
      </w:r>
      <w:r w:rsidRPr="00904FCB">
        <w:rPr>
          <w:rFonts w:hint="cs"/>
          <w:sz w:val="27"/>
          <w:rtl/>
          <w:lang w:bidi="ar-OM"/>
        </w:rPr>
        <w:t xml:space="preserve"> لاحتياجه إلى البروز وتمييز الخصوم والشهود، ومن </w:t>
      </w:r>
      <w:r w:rsidR="0027622F" w:rsidRPr="00904FCB">
        <w:rPr>
          <w:rFonts w:hint="cs"/>
          <w:sz w:val="27"/>
          <w:rtl/>
          <w:lang w:bidi="ar-OM"/>
        </w:rPr>
        <w:t>أ</w:t>
      </w:r>
      <w:r w:rsidRPr="00904FCB">
        <w:rPr>
          <w:rFonts w:hint="cs"/>
          <w:sz w:val="27"/>
          <w:rtl/>
          <w:lang w:bidi="ar-OM"/>
        </w:rPr>
        <w:t xml:space="preserve">ن التمييز والإتقان لا يحصل مع كثرة النسيان والخرس </w:t>
      </w:r>
      <w:r w:rsidRPr="00904FCB">
        <w:rPr>
          <w:sz w:val="27"/>
          <w:rtl/>
          <w:lang w:bidi="ar-OM"/>
        </w:rPr>
        <w:t>ـ</w:t>
      </w:r>
      <w:r w:rsidRPr="00904FCB">
        <w:rPr>
          <w:rFonts w:hint="cs"/>
          <w:sz w:val="27"/>
          <w:rtl/>
          <w:lang w:bidi="ar-OM"/>
        </w:rPr>
        <w:t xml:space="preserve"> غير مط</w:t>
      </w:r>
      <w:r w:rsidR="0027622F" w:rsidRPr="00904FCB">
        <w:rPr>
          <w:rFonts w:hint="cs"/>
          <w:sz w:val="27"/>
          <w:rtl/>
          <w:lang w:bidi="ar-OM"/>
        </w:rPr>
        <w:t>ّ</w:t>
      </w:r>
      <w:r w:rsidRPr="00904FCB">
        <w:rPr>
          <w:rFonts w:hint="cs"/>
          <w:sz w:val="27"/>
          <w:rtl/>
          <w:lang w:bidi="ar-OM"/>
        </w:rPr>
        <w:t>ردة، فلا وجه لعدم الجواز مطلقا</w:t>
      </w:r>
      <w:r w:rsidR="0027622F" w:rsidRPr="00904FCB">
        <w:rPr>
          <w:rFonts w:hint="cs"/>
          <w:sz w:val="27"/>
          <w:rtl/>
          <w:lang w:bidi="ar-OM"/>
        </w:rPr>
        <w:t>ً،</w:t>
      </w:r>
      <w:r w:rsidRPr="00904FCB">
        <w:rPr>
          <w:rFonts w:hint="cs"/>
          <w:sz w:val="27"/>
          <w:rtl/>
          <w:lang w:bidi="ar-OM"/>
        </w:rPr>
        <w:t xml:space="preserve"> إلا</w:t>
      </w:r>
      <w:r w:rsidR="0027622F" w:rsidRPr="00904FCB">
        <w:rPr>
          <w:rFonts w:hint="cs"/>
          <w:sz w:val="27"/>
          <w:rtl/>
          <w:lang w:bidi="ar-OM"/>
        </w:rPr>
        <w:t>ّ</w:t>
      </w:r>
      <w:r w:rsidRPr="00904FCB">
        <w:rPr>
          <w:rFonts w:hint="cs"/>
          <w:sz w:val="27"/>
          <w:rtl/>
          <w:lang w:bidi="ar-OM"/>
        </w:rPr>
        <w:t xml:space="preserve"> أن ينعقد الإجماع مطلقا</w:t>
      </w:r>
      <w:r w:rsidR="0027622F" w:rsidRPr="00904FCB">
        <w:rPr>
          <w:rFonts w:hint="cs"/>
          <w:sz w:val="27"/>
          <w:rtl/>
          <w:lang w:bidi="ar-OM"/>
        </w:rPr>
        <w:t>ً</w:t>
      </w:r>
      <w:r w:rsidRPr="00904FCB">
        <w:rPr>
          <w:rFonts w:hint="eastAsia"/>
          <w:sz w:val="27"/>
          <w:rtl/>
        </w:rPr>
        <w:t>»</w:t>
      </w:r>
      <w:r w:rsidRPr="00904FCB">
        <w:rPr>
          <w:rFonts w:hint="cs"/>
          <w:sz w:val="27"/>
          <w:vertAlign w:val="superscript"/>
          <w:rtl/>
        </w:rPr>
        <w:t>(</w:t>
      </w:r>
      <w:r w:rsidRPr="00904FCB">
        <w:rPr>
          <w:rStyle w:val="ac"/>
          <w:sz w:val="27"/>
          <w:rtl/>
        </w:rPr>
        <w:endnoteReference w:id="209"/>
      </w:r>
      <w:r w:rsidRPr="00904FCB">
        <w:rPr>
          <w:rFonts w:hint="cs"/>
          <w:sz w:val="27"/>
          <w:vertAlign w:val="superscript"/>
          <w:rtl/>
        </w:rPr>
        <w:t>)</w:t>
      </w:r>
      <w:r w:rsidRPr="00904FCB">
        <w:rPr>
          <w:rFonts w:hint="cs"/>
          <w:sz w:val="27"/>
          <w:rtl/>
          <w:lang w:bidi="ar-OM"/>
        </w:rPr>
        <w:t xml:space="preserve">. </w:t>
      </w:r>
    </w:p>
    <w:p w:rsidR="00CF0DF0" w:rsidRPr="00904FCB" w:rsidRDefault="00644408" w:rsidP="007A21AA">
      <w:pPr>
        <w:spacing w:line="400" w:lineRule="exact"/>
        <w:rPr>
          <w:sz w:val="27"/>
          <w:rtl/>
          <w:lang w:bidi="ar-OM"/>
        </w:rPr>
      </w:pPr>
      <w:r w:rsidRPr="00904FCB">
        <w:rPr>
          <w:rFonts w:hint="cs"/>
          <w:sz w:val="27"/>
          <w:rtl/>
          <w:lang w:bidi="ar-OM"/>
        </w:rPr>
        <w:t>وقد ي</w:t>
      </w:r>
      <w:r w:rsidR="002B7B16">
        <w:rPr>
          <w:rFonts w:hint="cs"/>
          <w:sz w:val="27"/>
          <w:rtl/>
          <w:lang w:bidi="ar-OM"/>
        </w:rPr>
        <w:t>ُ</w:t>
      </w:r>
      <w:r w:rsidRPr="00904FCB">
        <w:rPr>
          <w:rFonts w:hint="cs"/>
          <w:sz w:val="27"/>
          <w:rtl/>
          <w:lang w:bidi="ar-OM"/>
        </w:rPr>
        <w:t>ر</w:t>
      </w:r>
      <w:r w:rsidR="002B7B16">
        <w:rPr>
          <w:rFonts w:hint="cs"/>
          <w:sz w:val="27"/>
          <w:rtl/>
          <w:lang w:bidi="ar-OM"/>
        </w:rPr>
        <w:t>َ</w:t>
      </w:r>
      <w:r w:rsidRPr="00904FCB">
        <w:rPr>
          <w:rFonts w:hint="cs"/>
          <w:sz w:val="27"/>
          <w:rtl/>
          <w:lang w:bidi="ar-OM"/>
        </w:rPr>
        <w:t>د</w:t>
      </w:r>
      <w:r w:rsidR="002B7B16">
        <w:rPr>
          <w:rFonts w:hint="cs"/>
          <w:sz w:val="27"/>
          <w:rtl/>
          <w:lang w:bidi="ar-OM"/>
        </w:rPr>
        <w:t>ّ</w:t>
      </w:r>
      <w:r w:rsidRPr="00904FCB">
        <w:rPr>
          <w:rFonts w:hint="cs"/>
          <w:sz w:val="27"/>
          <w:rtl/>
          <w:lang w:bidi="ar-OM"/>
        </w:rPr>
        <w:t xml:space="preserve"> عليهم بأن المسألة المطروحة تنصب</w:t>
      </w:r>
      <w:r w:rsidR="0027622F" w:rsidRPr="00904FCB">
        <w:rPr>
          <w:rFonts w:hint="cs"/>
          <w:sz w:val="27"/>
          <w:rtl/>
          <w:lang w:bidi="ar-OM"/>
        </w:rPr>
        <w:t>ّ</w:t>
      </w:r>
      <w:r w:rsidRPr="00904FCB">
        <w:rPr>
          <w:rFonts w:hint="cs"/>
          <w:sz w:val="27"/>
          <w:rtl/>
          <w:lang w:bidi="ar-OM"/>
        </w:rPr>
        <w:t xml:space="preserve"> حول مدى شرعية تول</w:t>
      </w:r>
      <w:r w:rsidR="0027622F" w:rsidRPr="00904FCB">
        <w:rPr>
          <w:rFonts w:hint="cs"/>
          <w:sz w:val="27"/>
          <w:rtl/>
          <w:lang w:bidi="ar-OM"/>
        </w:rPr>
        <w:t>ّ</w:t>
      </w:r>
      <w:r w:rsidRPr="00904FCB">
        <w:rPr>
          <w:rFonts w:hint="cs"/>
          <w:sz w:val="27"/>
          <w:rtl/>
          <w:lang w:bidi="ar-OM"/>
        </w:rPr>
        <w:t>ي المرأة للقضاء</w:t>
      </w:r>
      <w:r w:rsidR="0027622F" w:rsidRPr="00904FCB">
        <w:rPr>
          <w:rFonts w:hint="cs"/>
          <w:sz w:val="27"/>
          <w:rtl/>
          <w:lang w:bidi="ar-OM"/>
        </w:rPr>
        <w:t xml:space="preserve">، </w:t>
      </w:r>
      <w:r w:rsidRPr="00904FCB">
        <w:rPr>
          <w:rFonts w:hint="cs"/>
          <w:sz w:val="27"/>
          <w:rtl/>
          <w:lang w:bidi="ar-OM"/>
        </w:rPr>
        <w:t>ومدى أهلي</w:t>
      </w:r>
      <w:r w:rsidR="0027622F" w:rsidRPr="00904FCB">
        <w:rPr>
          <w:rFonts w:hint="cs"/>
          <w:sz w:val="27"/>
          <w:rtl/>
          <w:lang w:bidi="ar-OM"/>
        </w:rPr>
        <w:t>ّ</w:t>
      </w:r>
      <w:r w:rsidRPr="00904FCB">
        <w:rPr>
          <w:rFonts w:hint="cs"/>
          <w:sz w:val="27"/>
          <w:rtl/>
          <w:lang w:bidi="ar-OM"/>
        </w:rPr>
        <w:t>تها لنظر المنازعات</w:t>
      </w:r>
      <w:r w:rsidR="00CF0DF0" w:rsidRPr="00904FCB">
        <w:rPr>
          <w:rFonts w:hint="cs"/>
          <w:sz w:val="27"/>
          <w:rtl/>
          <w:lang w:bidi="ar-OM"/>
        </w:rPr>
        <w:t>،</w:t>
      </w:r>
      <w:r w:rsidRPr="00904FCB">
        <w:rPr>
          <w:rFonts w:hint="cs"/>
          <w:sz w:val="27"/>
          <w:rtl/>
          <w:lang w:bidi="ar-OM"/>
        </w:rPr>
        <w:t xml:space="preserve"> وإنشاء الأحكام القضائية الملزمة، وما </w:t>
      </w:r>
      <w:r w:rsidR="00CF0DF0" w:rsidRPr="00904FCB">
        <w:rPr>
          <w:rFonts w:hint="cs"/>
          <w:sz w:val="27"/>
          <w:rtl/>
          <w:lang w:bidi="ar-OM"/>
        </w:rPr>
        <w:t>إ</w:t>
      </w:r>
      <w:r w:rsidRPr="00904FCB">
        <w:rPr>
          <w:rFonts w:hint="cs"/>
          <w:sz w:val="27"/>
          <w:rtl/>
          <w:lang w:bidi="ar-OM"/>
        </w:rPr>
        <w:t>ذا كان قضاؤها صحيحا</w:t>
      </w:r>
      <w:r w:rsidR="00CF0DF0" w:rsidRPr="00904FCB">
        <w:rPr>
          <w:rFonts w:hint="cs"/>
          <w:sz w:val="27"/>
          <w:rtl/>
          <w:lang w:bidi="ar-OM"/>
        </w:rPr>
        <w:t>ً</w:t>
      </w:r>
      <w:r w:rsidRPr="00904FCB">
        <w:rPr>
          <w:rFonts w:hint="cs"/>
          <w:sz w:val="27"/>
          <w:rtl/>
          <w:lang w:bidi="ar-OM"/>
        </w:rPr>
        <w:t xml:space="preserve"> ونافذا</w:t>
      </w:r>
      <w:r w:rsidR="00CF0DF0" w:rsidRPr="00904FCB">
        <w:rPr>
          <w:rFonts w:hint="cs"/>
          <w:sz w:val="27"/>
          <w:rtl/>
          <w:lang w:bidi="ar-OM"/>
        </w:rPr>
        <w:t>ً</w:t>
      </w:r>
      <w:r w:rsidRPr="00904FCB">
        <w:rPr>
          <w:rFonts w:hint="cs"/>
          <w:sz w:val="27"/>
          <w:rtl/>
          <w:lang w:bidi="ar-OM"/>
        </w:rPr>
        <w:t>، وليس محل</w:t>
      </w:r>
      <w:r w:rsidR="00CF0DF0" w:rsidRPr="00904FCB">
        <w:rPr>
          <w:rFonts w:hint="cs"/>
          <w:sz w:val="27"/>
          <w:rtl/>
          <w:lang w:bidi="ar-OM"/>
        </w:rPr>
        <w:t>ّ</w:t>
      </w:r>
      <w:r w:rsidRPr="00904FCB">
        <w:rPr>
          <w:rFonts w:hint="cs"/>
          <w:sz w:val="27"/>
          <w:rtl/>
          <w:lang w:bidi="ar-OM"/>
        </w:rPr>
        <w:t xml:space="preserve"> البحث بعض الحيثيات والملابسات المرافقة لذلك</w:t>
      </w:r>
      <w:r w:rsidR="00CF0DF0" w:rsidRPr="00904FCB">
        <w:rPr>
          <w:rFonts w:hint="cs"/>
          <w:sz w:val="27"/>
          <w:rtl/>
          <w:lang w:bidi="ar-OM"/>
        </w:rPr>
        <w:t>،</w:t>
      </w:r>
      <w:r w:rsidRPr="00904FCB">
        <w:rPr>
          <w:rFonts w:hint="cs"/>
          <w:sz w:val="27"/>
          <w:rtl/>
          <w:lang w:bidi="ar-OM"/>
        </w:rPr>
        <w:t xml:space="preserve"> من قبيل</w:t>
      </w:r>
      <w:r w:rsidR="00CF0DF0" w:rsidRPr="00904FCB">
        <w:rPr>
          <w:rFonts w:hint="cs"/>
          <w:sz w:val="27"/>
          <w:rtl/>
          <w:lang w:bidi="ar-OM"/>
        </w:rPr>
        <w:t>:</w:t>
      </w:r>
      <w:r w:rsidRPr="00904FCB">
        <w:rPr>
          <w:rFonts w:hint="cs"/>
          <w:sz w:val="27"/>
          <w:rtl/>
          <w:lang w:bidi="ar-OM"/>
        </w:rPr>
        <w:t xml:space="preserve"> ما إذا كان بين الرجال أو النساء وما شابه. والقول بجواز قيامها بالحكم بين النساء يعني جواز تول</w:t>
      </w:r>
      <w:r w:rsidR="00CF0DF0" w:rsidRPr="00904FCB">
        <w:rPr>
          <w:rFonts w:hint="cs"/>
          <w:sz w:val="27"/>
          <w:rtl/>
          <w:lang w:bidi="ar-OM"/>
        </w:rPr>
        <w:t>ّ</w:t>
      </w:r>
      <w:r w:rsidRPr="00904FCB">
        <w:rPr>
          <w:rFonts w:hint="cs"/>
          <w:sz w:val="27"/>
          <w:rtl/>
          <w:lang w:bidi="ar-OM"/>
        </w:rPr>
        <w:t>يها لمنصب القضاء في الجملة</w:t>
      </w:r>
      <w:r w:rsidR="00CF0DF0" w:rsidRPr="00904FCB">
        <w:rPr>
          <w:rFonts w:hint="cs"/>
          <w:sz w:val="27"/>
          <w:rtl/>
          <w:lang w:bidi="ar-OM"/>
        </w:rPr>
        <w:t>،</w:t>
      </w:r>
      <w:r w:rsidRPr="00904FCB">
        <w:rPr>
          <w:rFonts w:hint="cs"/>
          <w:sz w:val="27"/>
          <w:rtl/>
          <w:lang w:bidi="ar-OM"/>
        </w:rPr>
        <w:t xml:space="preserve"> وإنشاء الأحكام القضائية في الخصومات</w:t>
      </w:r>
      <w:r w:rsidR="00CF0DF0" w:rsidRPr="00904FCB">
        <w:rPr>
          <w:rFonts w:hint="cs"/>
          <w:sz w:val="27"/>
          <w:rtl/>
          <w:lang w:bidi="ar-OM"/>
        </w:rPr>
        <w:t>،</w:t>
      </w:r>
      <w:r w:rsidRPr="00904FCB">
        <w:rPr>
          <w:rFonts w:hint="cs"/>
          <w:sz w:val="27"/>
          <w:rtl/>
          <w:lang w:bidi="ar-OM"/>
        </w:rPr>
        <w:t xml:space="preserve"> وهو من أقسام الولاية المهمة. فهل الموقف الفقهي هو جواز ذلك من حيث المبدأ، غاية ما في الأمر</w:t>
      </w:r>
      <w:r w:rsidR="00CF0DF0" w:rsidRPr="00904FCB">
        <w:rPr>
          <w:rFonts w:hint="cs"/>
          <w:sz w:val="27"/>
          <w:rtl/>
          <w:lang w:bidi="ar-OM"/>
        </w:rPr>
        <w:t>؛</w:t>
      </w:r>
      <w:r w:rsidRPr="00904FCB">
        <w:rPr>
          <w:rFonts w:hint="cs"/>
          <w:sz w:val="27"/>
          <w:rtl/>
          <w:lang w:bidi="ar-OM"/>
        </w:rPr>
        <w:t xml:space="preserve"> ودر</w:t>
      </w:r>
      <w:r w:rsidR="00CF0DF0" w:rsidRPr="00904FCB">
        <w:rPr>
          <w:rFonts w:hint="cs"/>
          <w:sz w:val="27"/>
          <w:rtl/>
          <w:lang w:bidi="ar-OM"/>
        </w:rPr>
        <w:t>ءاً</w:t>
      </w:r>
      <w:r w:rsidRPr="00904FCB">
        <w:rPr>
          <w:rFonts w:hint="cs"/>
          <w:sz w:val="27"/>
          <w:rtl/>
          <w:lang w:bidi="ar-OM"/>
        </w:rPr>
        <w:t xml:space="preserve"> لبعض المحاذير الشرعية المصاحبة ـ في نظرهم ـ</w:t>
      </w:r>
      <w:r w:rsidR="00CF0DF0" w:rsidRPr="00904FCB">
        <w:rPr>
          <w:rFonts w:hint="cs"/>
          <w:sz w:val="27"/>
          <w:rtl/>
          <w:lang w:bidi="ar-OM"/>
        </w:rPr>
        <w:t>،</w:t>
      </w:r>
      <w:r w:rsidRPr="00904FCB">
        <w:rPr>
          <w:rFonts w:hint="cs"/>
          <w:sz w:val="27"/>
          <w:rtl/>
          <w:lang w:bidi="ar-OM"/>
        </w:rPr>
        <w:t xml:space="preserve"> مثل</w:t>
      </w:r>
      <w:r w:rsidR="00CF0DF0" w:rsidRPr="00904FCB">
        <w:rPr>
          <w:rFonts w:hint="cs"/>
          <w:sz w:val="27"/>
          <w:rtl/>
          <w:lang w:bidi="ar-OM"/>
        </w:rPr>
        <w:t>:</w:t>
      </w:r>
      <w:r w:rsidRPr="00904FCB">
        <w:rPr>
          <w:rFonts w:hint="cs"/>
          <w:sz w:val="27"/>
          <w:rtl/>
          <w:lang w:bidi="ar-OM"/>
        </w:rPr>
        <w:t xml:space="preserve"> ظهورهن</w:t>
      </w:r>
      <w:r w:rsidR="00CF0DF0" w:rsidRPr="00904FCB">
        <w:rPr>
          <w:rFonts w:hint="cs"/>
          <w:sz w:val="27"/>
          <w:rtl/>
          <w:lang w:bidi="ar-OM"/>
        </w:rPr>
        <w:t>ّ</w:t>
      </w:r>
      <w:r w:rsidRPr="00904FCB">
        <w:rPr>
          <w:rFonts w:hint="cs"/>
          <w:sz w:val="27"/>
          <w:rtl/>
          <w:lang w:bidi="ar-OM"/>
        </w:rPr>
        <w:t xml:space="preserve"> في مجالس الرجال</w:t>
      </w:r>
      <w:r w:rsidR="00CF0DF0" w:rsidRPr="00904FCB">
        <w:rPr>
          <w:rFonts w:hint="cs"/>
          <w:sz w:val="27"/>
          <w:rtl/>
          <w:lang w:bidi="ar-OM"/>
        </w:rPr>
        <w:t>،</w:t>
      </w:r>
      <w:r w:rsidRPr="00904FCB">
        <w:rPr>
          <w:rFonts w:hint="cs"/>
          <w:sz w:val="27"/>
          <w:rtl/>
          <w:lang w:bidi="ar-OM"/>
        </w:rPr>
        <w:t xml:space="preserve"> ومخالطتهن</w:t>
      </w:r>
      <w:r w:rsidR="00CF0DF0" w:rsidRPr="00904FCB">
        <w:rPr>
          <w:rFonts w:hint="cs"/>
          <w:sz w:val="27"/>
          <w:rtl/>
          <w:lang w:bidi="ar-OM"/>
        </w:rPr>
        <w:t>ّ</w:t>
      </w:r>
      <w:r w:rsidRPr="00904FCB">
        <w:rPr>
          <w:rFonts w:hint="cs"/>
          <w:sz w:val="27"/>
          <w:rtl/>
          <w:lang w:bidi="ar-OM"/>
        </w:rPr>
        <w:t xml:space="preserve"> لهم</w:t>
      </w:r>
      <w:r w:rsidR="00CF0DF0" w:rsidRPr="00904FCB">
        <w:rPr>
          <w:rFonts w:hint="cs"/>
          <w:sz w:val="27"/>
          <w:rtl/>
          <w:lang w:bidi="ar-OM"/>
        </w:rPr>
        <w:t>،</w:t>
      </w:r>
      <w:r w:rsidRPr="00904FCB">
        <w:rPr>
          <w:rFonts w:hint="cs"/>
          <w:sz w:val="27"/>
          <w:rtl/>
          <w:lang w:bidi="ar-OM"/>
        </w:rPr>
        <w:t xml:space="preserve"> ودخولهن</w:t>
      </w:r>
      <w:r w:rsidR="00CF0DF0" w:rsidRPr="00904FCB">
        <w:rPr>
          <w:rFonts w:hint="cs"/>
          <w:sz w:val="27"/>
          <w:rtl/>
          <w:lang w:bidi="ar-OM"/>
        </w:rPr>
        <w:t>ّ</w:t>
      </w:r>
      <w:r w:rsidRPr="00904FCB">
        <w:rPr>
          <w:rFonts w:hint="cs"/>
          <w:sz w:val="27"/>
          <w:rtl/>
          <w:lang w:bidi="ar-OM"/>
        </w:rPr>
        <w:t xml:space="preserve"> في الجدال والخصام معهم، طرحت مسألة قصر تول</w:t>
      </w:r>
      <w:r w:rsidR="00CF0DF0" w:rsidRPr="00904FCB">
        <w:rPr>
          <w:rFonts w:hint="cs"/>
          <w:sz w:val="27"/>
          <w:rtl/>
          <w:lang w:bidi="ar-OM"/>
        </w:rPr>
        <w:t>ّ</w:t>
      </w:r>
      <w:r w:rsidRPr="00904FCB">
        <w:rPr>
          <w:rFonts w:hint="cs"/>
          <w:sz w:val="27"/>
          <w:rtl/>
          <w:lang w:bidi="ar-OM"/>
        </w:rPr>
        <w:t>يها القضاء الخاص</w:t>
      </w:r>
      <w:r w:rsidR="00CF0DF0" w:rsidRPr="00904FCB">
        <w:rPr>
          <w:rFonts w:hint="cs"/>
          <w:sz w:val="27"/>
          <w:rtl/>
          <w:lang w:bidi="ar-OM"/>
        </w:rPr>
        <w:t>ّ</w:t>
      </w:r>
      <w:r w:rsidRPr="00904FCB">
        <w:rPr>
          <w:rFonts w:hint="cs"/>
          <w:sz w:val="27"/>
          <w:rtl/>
          <w:lang w:bidi="ar-OM"/>
        </w:rPr>
        <w:t xml:space="preserve"> بالنساء</w:t>
      </w:r>
      <w:r w:rsidR="00CF0DF0"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lastRenderedPageBreak/>
        <w:t xml:space="preserve">تجدر الإشارة هنا </w:t>
      </w:r>
      <w:r w:rsidR="00CF0DF0" w:rsidRPr="00904FCB">
        <w:rPr>
          <w:rFonts w:hint="cs"/>
          <w:sz w:val="27"/>
          <w:rtl/>
          <w:lang w:bidi="ar-OM"/>
        </w:rPr>
        <w:t>إلى أ</w:t>
      </w:r>
      <w:r w:rsidRPr="00904FCB">
        <w:rPr>
          <w:rFonts w:hint="cs"/>
          <w:sz w:val="27"/>
          <w:rtl/>
          <w:lang w:bidi="ar-OM"/>
        </w:rPr>
        <w:t xml:space="preserve">ن بعض الآراء </w:t>
      </w:r>
      <w:r w:rsidR="00CF0DF0" w:rsidRPr="00904FCB">
        <w:rPr>
          <w:rFonts w:hint="cs"/>
          <w:sz w:val="27"/>
          <w:rtl/>
          <w:lang w:bidi="ar-OM"/>
        </w:rPr>
        <w:t>السابقة</w:t>
      </w:r>
      <w:r w:rsidRPr="00904FCB">
        <w:rPr>
          <w:rFonts w:hint="cs"/>
          <w:sz w:val="27"/>
          <w:rtl/>
          <w:lang w:bidi="ar-OM"/>
        </w:rPr>
        <w:t xml:space="preserve"> لم يصر</w:t>
      </w:r>
      <w:r w:rsidR="00CF0DF0" w:rsidRPr="00904FCB">
        <w:rPr>
          <w:rFonts w:hint="cs"/>
          <w:sz w:val="27"/>
          <w:rtl/>
          <w:lang w:bidi="ar-OM"/>
        </w:rPr>
        <w:t>ِّ</w:t>
      </w:r>
      <w:r w:rsidRPr="00904FCB">
        <w:rPr>
          <w:rFonts w:hint="cs"/>
          <w:sz w:val="27"/>
          <w:rtl/>
          <w:lang w:bidi="ar-OM"/>
        </w:rPr>
        <w:t>ح أصحابها بوضوح</w:t>
      </w:r>
      <w:r w:rsidR="00CF0DF0" w:rsidRPr="00904FCB">
        <w:rPr>
          <w:rFonts w:hint="cs"/>
          <w:sz w:val="27"/>
          <w:rtl/>
          <w:lang w:bidi="ar-OM"/>
        </w:rPr>
        <w:t>ٍ</w:t>
      </w:r>
      <w:r w:rsidRPr="00904FCB">
        <w:rPr>
          <w:rFonts w:hint="cs"/>
          <w:sz w:val="27"/>
          <w:rtl/>
          <w:lang w:bidi="ar-OM"/>
        </w:rPr>
        <w:t xml:space="preserve"> عن شرعية مزاولتها لمهم</w:t>
      </w:r>
      <w:r w:rsidR="00CF0DF0" w:rsidRPr="00904FCB">
        <w:rPr>
          <w:rFonts w:hint="cs"/>
          <w:sz w:val="27"/>
          <w:rtl/>
          <w:lang w:bidi="ar-OM"/>
        </w:rPr>
        <w:t>ّ</w:t>
      </w:r>
      <w:r w:rsidRPr="00904FCB">
        <w:rPr>
          <w:rFonts w:hint="cs"/>
          <w:sz w:val="27"/>
          <w:rtl/>
          <w:lang w:bidi="ar-OM"/>
        </w:rPr>
        <w:t>ة القضاء</w:t>
      </w:r>
      <w:r w:rsidR="00CF0DF0" w:rsidRPr="00904FCB">
        <w:rPr>
          <w:rFonts w:hint="cs"/>
          <w:sz w:val="27"/>
          <w:rtl/>
          <w:lang w:bidi="ar-OM"/>
        </w:rPr>
        <w:t>،</w:t>
      </w:r>
      <w:r w:rsidRPr="00904FCB">
        <w:rPr>
          <w:rFonts w:hint="cs"/>
          <w:sz w:val="27"/>
          <w:rtl/>
          <w:lang w:bidi="ar-OM"/>
        </w:rPr>
        <w:t xml:space="preserve"> بحيث تصبح المرأة قاضية بين النساء</w:t>
      </w:r>
      <w:r w:rsidR="00CF0DF0" w:rsidRPr="00904FCB">
        <w:rPr>
          <w:rFonts w:hint="cs"/>
          <w:sz w:val="27"/>
          <w:rtl/>
          <w:lang w:bidi="ar-OM"/>
        </w:rPr>
        <w:t>،</w:t>
      </w:r>
      <w:r w:rsidRPr="00904FCB">
        <w:rPr>
          <w:rFonts w:hint="cs"/>
          <w:sz w:val="27"/>
          <w:rtl/>
          <w:lang w:bidi="ar-OM"/>
        </w:rPr>
        <w:t xml:space="preserve"> أو تمارس القضاء في بعض الفروع الخاص</w:t>
      </w:r>
      <w:r w:rsidR="00CF0DF0" w:rsidRPr="00904FCB">
        <w:rPr>
          <w:rFonts w:hint="cs"/>
          <w:sz w:val="27"/>
          <w:rtl/>
          <w:lang w:bidi="ar-OM"/>
        </w:rPr>
        <w:t>ّ</w:t>
      </w:r>
      <w:r w:rsidRPr="00904FCB">
        <w:rPr>
          <w:rFonts w:hint="cs"/>
          <w:sz w:val="27"/>
          <w:rtl/>
          <w:lang w:bidi="ar-OM"/>
        </w:rPr>
        <w:t>ة بالأحوال الشخصية</w:t>
      </w:r>
      <w:r w:rsidR="00CF0DF0" w:rsidRPr="00904FCB">
        <w:rPr>
          <w:rFonts w:hint="cs"/>
          <w:sz w:val="27"/>
          <w:rtl/>
          <w:lang w:bidi="ar-OM"/>
        </w:rPr>
        <w:t>،</w:t>
      </w:r>
      <w:r w:rsidRPr="00904FCB">
        <w:rPr>
          <w:rFonts w:hint="cs"/>
          <w:sz w:val="27"/>
          <w:rtl/>
          <w:lang w:bidi="ar-OM"/>
        </w:rPr>
        <w:t xml:space="preserve"> والتي ت</w:t>
      </w:r>
      <w:r w:rsidR="00CF0DF0" w:rsidRPr="00904FCB">
        <w:rPr>
          <w:rFonts w:hint="cs"/>
          <w:sz w:val="27"/>
          <w:rtl/>
          <w:lang w:bidi="ar-OM"/>
        </w:rPr>
        <w:t>ُ</w:t>
      </w:r>
      <w:r w:rsidRPr="00904FCB">
        <w:rPr>
          <w:rFonts w:hint="cs"/>
          <w:sz w:val="27"/>
          <w:rtl/>
          <w:lang w:bidi="ar-OM"/>
        </w:rPr>
        <w:t>ع</w:t>
      </w:r>
      <w:r w:rsidR="00CF0DF0" w:rsidRPr="00904FCB">
        <w:rPr>
          <w:rFonts w:hint="cs"/>
          <w:sz w:val="27"/>
          <w:rtl/>
          <w:lang w:bidi="ar-OM"/>
        </w:rPr>
        <w:t>ْ</w:t>
      </w:r>
      <w:r w:rsidRPr="00904FCB">
        <w:rPr>
          <w:rFonts w:hint="cs"/>
          <w:sz w:val="27"/>
          <w:rtl/>
          <w:lang w:bidi="ar-OM"/>
        </w:rPr>
        <w:t>نى بالنظر في القضايا والمنازعات الأ</w:t>
      </w:r>
      <w:r w:rsidR="00CF0DF0" w:rsidRPr="00904FCB">
        <w:rPr>
          <w:rFonts w:hint="cs"/>
          <w:sz w:val="27"/>
          <w:rtl/>
          <w:lang w:bidi="ar-OM"/>
        </w:rPr>
        <w:t>ُ</w:t>
      </w:r>
      <w:r w:rsidRPr="00904FCB">
        <w:rPr>
          <w:rFonts w:hint="cs"/>
          <w:sz w:val="27"/>
          <w:rtl/>
          <w:lang w:bidi="ar-OM"/>
        </w:rPr>
        <w:t>س</w:t>
      </w:r>
      <w:r w:rsidR="00CF0DF0" w:rsidRPr="00904FCB">
        <w:rPr>
          <w:rFonts w:hint="cs"/>
          <w:sz w:val="27"/>
          <w:rtl/>
          <w:lang w:bidi="ar-OM"/>
        </w:rPr>
        <w:t>َ</w:t>
      </w:r>
      <w:r w:rsidRPr="00904FCB">
        <w:rPr>
          <w:rFonts w:hint="cs"/>
          <w:sz w:val="27"/>
          <w:rtl/>
          <w:lang w:bidi="ar-OM"/>
        </w:rPr>
        <w:t xml:space="preserve">رية. </w:t>
      </w:r>
    </w:p>
    <w:p w:rsidR="00644408" w:rsidRPr="00904FCB" w:rsidRDefault="00644408" w:rsidP="007A21AA">
      <w:pPr>
        <w:spacing w:line="400" w:lineRule="exact"/>
        <w:rPr>
          <w:sz w:val="27"/>
          <w:rtl/>
          <w:lang w:bidi="ar-OM"/>
        </w:rPr>
      </w:pPr>
    </w:p>
    <w:p w:rsidR="00644408" w:rsidRPr="00904FCB" w:rsidRDefault="00644408" w:rsidP="007A21AA">
      <w:pPr>
        <w:pStyle w:val="31"/>
        <w:spacing w:line="400" w:lineRule="exact"/>
        <w:rPr>
          <w:color w:val="auto"/>
          <w:rtl/>
          <w:lang w:bidi="ar-OM"/>
        </w:rPr>
      </w:pPr>
      <w:r w:rsidRPr="00904FCB">
        <w:rPr>
          <w:rFonts w:hint="cs"/>
          <w:color w:val="auto"/>
          <w:rtl/>
          <w:lang w:bidi="ar-OM"/>
        </w:rPr>
        <w:t>ج ـ تول</w:t>
      </w:r>
      <w:r w:rsidR="00CF0DF0" w:rsidRPr="00904FCB">
        <w:rPr>
          <w:rFonts w:hint="cs"/>
          <w:color w:val="auto"/>
          <w:rtl/>
          <w:lang w:bidi="ar-OM"/>
        </w:rPr>
        <w:t>ّ</w:t>
      </w:r>
      <w:r w:rsidRPr="00904FCB">
        <w:rPr>
          <w:rFonts w:hint="cs"/>
          <w:color w:val="auto"/>
          <w:rtl/>
          <w:lang w:bidi="ar-OM"/>
        </w:rPr>
        <w:t xml:space="preserve">ي المرأة القضاء مطلقاً </w:t>
      </w:r>
    </w:p>
    <w:p w:rsidR="00644408" w:rsidRPr="00904FCB" w:rsidRDefault="002B7B16" w:rsidP="007A21AA">
      <w:pPr>
        <w:spacing w:line="400" w:lineRule="exact"/>
        <w:rPr>
          <w:sz w:val="27"/>
          <w:rtl/>
          <w:lang w:bidi="ar-OM"/>
        </w:rPr>
      </w:pPr>
      <w:r>
        <w:rPr>
          <w:rFonts w:hint="cs"/>
          <w:sz w:val="27"/>
          <w:rtl/>
          <w:lang w:bidi="ar-OM"/>
        </w:rPr>
        <w:t>إ</w:t>
      </w:r>
      <w:r w:rsidR="00644408" w:rsidRPr="00904FCB">
        <w:rPr>
          <w:rFonts w:hint="cs"/>
          <w:sz w:val="27"/>
          <w:rtl/>
          <w:lang w:bidi="ar-OM"/>
        </w:rPr>
        <w:t>ن</w:t>
      </w:r>
      <w:r>
        <w:rPr>
          <w:rFonts w:hint="cs"/>
          <w:sz w:val="27"/>
          <w:rtl/>
          <w:lang w:bidi="ar-OM"/>
        </w:rPr>
        <w:t>ّ</w:t>
      </w:r>
      <w:r w:rsidR="00644408" w:rsidRPr="00904FCB">
        <w:rPr>
          <w:rFonts w:hint="cs"/>
          <w:sz w:val="27"/>
          <w:rtl/>
          <w:lang w:bidi="ar-OM"/>
        </w:rPr>
        <w:t xml:space="preserve"> الاتجاه الذي سلكه إمام المذهب الفقهي المعروف أبو حنيفة النعمان وبعض الفقهاء السالفين مه</w:t>
      </w:r>
      <w:r w:rsidR="00CF0DF0" w:rsidRPr="00904FCB">
        <w:rPr>
          <w:rFonts w:hint="cs"/>
          <w:sz w:val="27"/>
          <w:rtl/>
          <w:lang w:bidi="ar-OM"/>
        </w:rPr>
        <w:t>َّ</w:t>
      </w:r>
      <w:r w:rsidR="00644408" w:rsidRPr="00904FCB">
        <w:rPr>
          <w:rFonts w:hint="cs"/>
          <w:sz w:val="27"/>
          <w:rtl/>
          <w:lang w:bidi="ar-OM"/>
        </w:rPr>
        <w:t>د الطريق لم</w:t>
      </w:r>
      <w:r w:rsidR="00CF0DF0" w:rsidRPr="00904FCB">
        <w:rPr>
          <w:rFonts w:hint="cs"/>
          <w:sz w:val="27"/>
          <w:rtl/>
          <w:lang w:bidi="ar-OM"/>
        </w:rPr>
        <w:t>َ</w:t>
      </w:r>
      <w:r w:rsidR="00644408" w:rsidRPr="00904FCB">
        <w:rPr>
          <w:rFonts w:hint="cs"/>
          <w:sz w:val="27"/>
          <w:rtl/>
          <w:lang w:bidi="ar-OM"/>
        </w:rPr>
        <w:t>ن</w:t>
      </w:r>
      <w:r w:rsidR="00CF0DF0" w:rsidRPr="00904FCB">
        <w:rPr>
          <w:rFonts w:hint="cs"/>
          <w:sz w:val="27"/>
          <w:rtl/>
          <w:lang w:bidi="ar-OM"/>
        </w:rPr>
        <w:t>ْ</w:t>
      </w:r>
      <w:r w:rsidR="00644408" w:rsidRPr="00904FCB">
        <w:rPr>
          <w:rFonts w:hint="cs"/>
          <w:sz w:val="27"/>
          <w:rtl/>
          <w:lang w:bidi="ar-OM"/>
        </w:rPr>
        <w:t xml:space="preserve"> جاء بعدهم لإعمال النظر في القضية</w:t>
      </w:r>
      <w:r w:rsidR="00CF0DF0" w:rsidRPr="00904FCB">
        <w:rPr>
          <w:rFonts w:hint="cs"/>
          <w:sz w:val="27"/>
          <w:rtl/>
          <w:lang w:bidi="ar-OM"/>
        </w:rPr>
        <w:t>،</w:t>
      </w:r>
      <w:r w:rsidR="00644408" w:rsidRPr="00904FCB">
        <w:rPr>
          <w:rFonts w:hint="cs"/>
          <w:sz w:val="27"/>
          <w:rtl/>
          <w:lang w:bidi="ar-OM"/>
        </w:rPr>
        <w:t xml:space="preserve"> والتدقيق في أدل</w:t>
      </w:r>
      <w:r w:rsidR="00CF0DF0" w:rsidRPr="00904FCB">
        <w:rPr>
          <w:rFonts w:hint="cs"/>
          <w:sz w:val="27"/>
          <w:rtl/>
          <w:lang w:bidi="ar-OM"/>
        </w:rPr>
        <w:t>ّ</w:t>
      </w:r>
      <w:r w:rsidR="00644408" w:rsidRPr="00904FCB">
        <w:rPr>
          <w:rFonts w:hint="cs"/>
          <w:sz w:val="27"/>
          <w:rtl/>
          <w:lang w:bidi="ar-OM"/>
        </w:rPr>
        <w:t xml:space="preserve">ة المنع. </w:t>
      </w:r>
    </w:p>
    <w:p w:rsidR="00644408" w:rsidRPr="00904FCB" w:rsidRDefault="00644408" w:rsidP="007A21AA">
      <w:pPr>
        <w:spacing w:line="400" w:lineRule="exact"/>
        <w:rPr>
          <w:sz w:val="27"/>
          <w:rtl/>
          <w:lang w:bidi="ar-OM"/>
        </w:rPr>
      </w:pPr>
      <w:r w:rsidRPr="00904FCB">
        <w:rPr>
          <w:rFonts w:hint="cs"/>
          <w:sz w:val="27"/>
          <w:rtl/>
          <w:lang w:bidi="ar-OM"/>
        </w:rPr>
        <w:t>وبالفعل هناك م</w:t>
      </w:r>
      <w:r w:rsidR="00CF0DF0" w:rsidRPr="00904FCB">
        <w:rPr>
          <w:rFonts w:hint="cs"/>
          <w:sz w:val="27"/>
          <w:rtl/>
          <w:lang w:bidi="ar-OM"/>
        </w:rPr>
        <w:t>َ</w:t>
      </w:r>
      <w:r w:rsidRPr="00904FCB">
        <w:rPr>
          <w:rFonts w:hint="cs"/>
          <w:sz w:val="27"/>
          <w:rtl/>
          <w:lang w:bidi="ar-OM"/>
        </w:rPr>
        <w:t>ن</w:t>
      </w:r>
      <w:r w:rsidR="00CF0DF0" w:rsidRPr="00904FCB">
        <w:rPr>
          <w:rFonts w:hint="cs"/>
          <w:sz w:val="27"/>
          <w:rtl/>
          <w:lang w:bidi="ar-OM"/>
        </w:rPr>
        <w:t>ْ</w:t>
      </w:r>
      <w:r w:rsidRPr="00904FCB">
        <w:rPr>
          <w:rFonts w:hint="cs"/>
          <w:sz w:val="27"/>
          <w:rtl/>
          <w:lang w:bidi="ar-OM"/>
        </w:rPr>
        <w:t xml:space="preserve"> فك</w:t>
      </w:r>
      <w:r w:rsidR="00CF0DF0" w:rsidRPr="00904FCB">
        <w:rPr>
          <w:rFonts w:hint="cs"/>
          <w:sz w:val="27"/>
          <w:rtl/>
          <w:lang w:bidi="ar-OM"/>
        </w:rPr>
        <w:t>َّ</w:t>
      </w:r>
      <w:r w:rsidRPr="00904FCB">
        <w:rPr>
          <w:rFonts w:hint="cs"/>
          <w:sz w:val="27"/>
          <w:rtl/>
          <w:lang w:bidi="ar-OM"/>
        </w:rPr>
        <w:t>ك العلاقة بين منصبي الخلافة وتولي القضاء</w:t>
      </w:r>
      <w:r w:rsidR="00CF0DF0" w:rsidRPr="00904FCB">
        <w:rPr>
          <w:rFonts w:hint="cs"/>
          <w:sz w:val="27"/>
          <w:rtl/>
          <w:lang w:bidi="ar-OM"/>
        </w:rPr>
        <w:t>،</w:t>
      </w:r>
      <w:r w:rsidRPr="00904FCB">
        <w:rPr>
          <w:rFonts w:hint="cs"/>
          <w:sz w:val="27"/>
          <w:rtl/>
          <w:lang w:bidi="ar-OM"/>
        </w:rPr>
        <w:t xml:space="preserve"> ورأى </w:t>
      </w:r>
      <w:r w:rsidR="00CF0DF0" w:rsidRPr="00904FCB">
        <w:rPr>
          <w:rFonts w:hint="cs"/>
          <w:sz w:val="27"/>
          <w:rtl/>
          <w:lang w:bidi="ar-OM"/>
        </w:rPr>
        <w:t>أ</w:t>
      </w:r>
      <w:r w:rsidRPr="00904FCB">
        <w:rPr>
          <w:rFonts w:hint="cs"/>
          <w:sz w:val="27"/>
          <w:rtl/>
          <w:lang w:bidi="ar-OM"/>
        </w:rPr>
        <w:t xml:space="preserve">ن أدلة تحريم مزاولة المرأة للسلطة منصرفة </w:t>
      </w:r>
      <w:r w:rsidR="00CF0DF0" w:rsidRPr="00904FCB">
        <w:rPr>
          <w:rFonts w:hint="cs"/>
          <w:sz w:val="27"/>
          <w:rtl/>
          <w:lang w:bidi="ar-OM"/>
        </w:rPr>
        <w:t>إ</w:t>
      </w:r>
      <w:r w:rsidRPr="00904FCB">
        <w:rPr>
          <w:rFonts w:hint="cs"/>
          <w:sz w:val="27"/>
          <w:rtl/>
          <w:lang w:bidi="ar-OM"/>
        </w:rPr>
        <w:t>لى الخلافة العظمى. وثم</w:t>
      </w:r>
      <w:r w:rsidR="00CF0DF0" w:rsidRPr="00904FCB">
        <w:rPr>
          <w:rFonts w:hint="cs"/>
          <w:sz w:val="27"/>
          <w:rtl/>
          <w:lang w:bidi="ar-OM"/>
        </w:rPr>
        <w:t>ّ</w:t>
      </w:r>
      <w:r w:rsidRPr="00904FCB">
        <w:rPr>
          <w:rFonts w:hint="cs"/>
          <w:sz w:val="27"/>
          <w:rtl/>
          <w:lang w:bidi="ar-OM"/>
        </w:rPr>
        <w:t>ة مفارقة منهجية بين الاتجاهين</w:t>
      </w:r>
      <w:r w:rsidR="00CF0DF0" w:rsidRPr="00904FCB">
        <w:rPr>
          <w:rFonts w:hint="cs"/>
          <w:sz w:val="27"/>
          <w:rtl/>
          <w:lang w:bidi="ar-OM"/>
        </w:rPr>
        <w:t>؛</w:t>
      </w:r>
      <w:r w:rsidRPr="00904FCB">
        <w:rPr>
          <w:rFonts w:hint="cs"/>
          <w:sz w:val="27"/>
          <w:rtl/>
          <w:lang w:bidi="ar-OM"/>
        </w:rPr>
        <w:t xml:space="preserve"> فبعض الذين ذهبوا </w:t>
      </w:r>
      <w:r w:rsidR="00CF0DF0" w:rsidRPr="00904FCB">
        <w:rPr>
          <w:rFonts w:hint="cs"/>
          <w:sz w:val="27"/>
          <w:rtl/>
          <w:lang w:bidi="ar-OM"/>
        </w:rPr>
        <w:t>إ</w:t>
      </w:r>
      <w:r w:rsidRPr="00904FCB">
        <w:rPr>
          <w:rFonts w:hint="cs"/>
          <w:sz w:val="27"/>
          <w:rtl/>
          <w:lang w:bidi="ar-OM"/>
        </w:rPr>
        <w:t xml:space="preserve">لى التحريم المطلق استندوا </w:t>
      </w:r>
      <w:r w:rsidRPr="00904FCB">
        <w:rPr>
          <w:sz w:val="27"/>
          <w:rtl/>
          <w:lang w:bidi="ar-OM"/>
        </w:rPr>
        <w:t>ـ</w:t>
      </w:r>
      <w:r w:rsidRPr="00904FCB">
        <w:rPr>
          <w:rFonts w:hint="cs"/>
          <w:sz w:val="27"/>
          <w:rtl/>
          <w:lang w:bidi="ar-OM"/>
        </w:rPr>
        <w:t xml:space="preserve"> في</w:t>
      </w:r>
      <w:r w:rsidR="00CF0DF0" w:rsidRPr="00904FCB">
        <w:rPr>
          <w:rFonts w:hint="cs"/>
          <w:sz w:val="27"/>
          <w:rtl/>
          <w:lang w:bidi="ar-OM"/>
        </w:rPr>
        <w:t xml:space="preserve"> </w:t>
      </w:r>
      <w:r w:rsidRPr="00904FCB">
        <w:rPr>
          <w:rFonts w:hint="cs"/>
          <w:sz w:val="27"/>
          <w:rtl/>
          <w:lang w:bidi="ar-OM"/>
        </w:rPr>
        <w:t xml:space="preserve">ما استندوا </w:t>
      </w:r>
      <w:r w:rsidR="00CF0DF0" w:rsidRPr="00904FCB">
        <w:rPr>
          <w:rFonts w:hint="cs"/>
          <w:sz w:val="27"/>
          <w:rtl/>
          <w:lang w:bidi="ar-OM"/>
        </w:rPr>
        <w:t>إ</w:t>
      </w:r>
      <w:r w:rsidRPr="00904FCB">
        <w:rPr>
          <w:rFonts w:hint="cs"/>
          <w:sz w:val="27"/>
          <w:rtl/>
          <w:lang w:bidi="ar-OM"/>
        </w:rPr>
        <w:t xml:space="preserve">ليه ـ </w:t>
      </w:r>
      <w:r w:rsidR="00CF0DF0" w:rsidRPr="00904FCB">
        <w:rPr>
          <w:rFonts w:hint="cs"/>
          <w:sz w:val="27"/>
          <w:rtl/>
          <w:lang w:bidi="ar-OM"/>
        </w:rPr>
        <w:t>إ</w:t>
      </w:r>
      <w:r w:rsidRPr="00904FCB">
        <w:rPr>
          <w:rFonts w:hint="cs"/>
          <w:sz w:val="27"/>
          <w:rtl/>
          <w:lang w:bidi="ar-OM"/>
        </w:rPr>
        <w:t>لى قياس الأولوية، بناء</w:t>
      </w:r>
      <w:r w:rsidR="00CF0DF0" w:rsidRPr="00904FCB">
        <w:rPr>
          <w:rFonts w:hint="cs"/>
          <w:sz w:val="27"/>
          <w:rtl/>
          <w:lang w:bidi="ar-OM"/>
        </w:rPr>
        <w:t>ً</w:t>
      </w:r>
      <w:r w:rsidRPr="00904FCB">
        <w:rPr>
          <w:rFonts w:hint="cs"/>
          <w:sz w:val="27"/>
          <w:rtl/>
          <w:lang w:bidi="ar-OM"/>
        </w:rPr>
        <w:t xml:space="preserve"> على أدلة حرمة تولي المرأة للقضاء</w:t>
      </w:r>
      <w:r w:rsidR="00CF0DF0" w:rsidRPr="00904FCB">
        <w:rPr>
          <w:rFonts w:hint="cs"/>
          <w:sz w:val="27"/>
          <w:rtl/>
          <w:lang w:bidi="ar-OM"/>
        </w:rPr>
        <w:t>؛</w:t>
      </w:r>
      <w:r w:rsidRPr="00904FCB">
        <w:rPr>
          <w:rFonts w:hint="cs"/>
          <w:sz w:val="27"/>
          <w:rtl/>
          <w:lang w:bidi="ar-OM"/>
        </w:rPr>
        <w:t xml:space="preserve"> وذلك نظرا</w:t>
      </w:r>
      <w:r w:rsidR="00CF0DF0" w:rsidRPr="00904FCB">
        <w:rPr>
          <w:rFonts w:hint="cs"/>
          <w:sz w:val="27"/>
          <w:rtl/>
          <w:lang w:bidi="ar-OM"/>
        </w:rPr>
        <w:t>ً</w:t>
      </w:r>
      <w:r w:rsidRPr="00904FCB">
        <w:rPr>
          <w:rFonts w:hint="cs"/>
          <w:sz w:val="27"/>
          <w:rtl/>
          <w:lang w:bidi="ar-OM"/>
        </w:rPr>
        <w:t xml:space="preserve"> لأنه شعبة مهمة من شعب الولاية في نظرهم</w:t>
      </w:r>
      <w:r w:rsidR="00CF0DF0" w:rsidRPr="00904FCB">
        <w:rPr>
          <w:rFonts w:hint="cs"/>
          <w:sz w:val="27"/>
          <w:rtl/>
          <w:lang w:bidi="ar-OM"/>
        </w:rPr>
        <w:t>؛</w:t>
      </w:r>
      <w:r w:rsidRPr="00904FCB">
        <w:rPr>
          <w:rFonts w:hint="cs"/>
          <w:sz w:val="27"/>
          <w:rtl/>
          <w:lang w:bidi="ar-OM"/>
        </w:rPr>
        <w:t xml:space="preserve"> في حين </w:t>
      </w:r>
      <w:r w:rsidR="00CF0DF0" w:rsidRPr="00904FCB">
        <w:rPr>
          <w:rFonts w:hint="cs"/>
          <w:sz w:val="27"/>
          <w:rtl/>
          <w:lang w:bidi="ar-OM"/>
        </w:rPr>
        <w:t>أ</w:t>
      </w:r>
      <w:r w:rsidRPr="00904FCB">
        <w:rPr>
          <w:rFonts w:hint="cs"/>
          <w:sz w:val="27"/>
          <w:rtl/>
          <w:lang w:bidi="ar-OM"/>
        </w:rPr>
        <w:t>ن المجو</w:t>
      </w:r>
      <w:r w:rsidR="00CF0DF0" w:rsidRPr="00904FCB">
        <w:rPr>
          <w:rFonts w:hint="cs"/>
          <w:sz w:val="27"/>
          <w:rtl/>
          <w:lang w:bidi="ar-OM"/>
        </w:rPr>
        <w:t>ِّ</w:t>
      </w:r>
      <w:r w:rsidRPr="00904FCB">
        <w:rPr>
          <w:rFonts w:hint="cs"/>
          <w:sz w:val="27"/>
          <w:rtl/>
          <w:lang w:bidi="ar-OM"/>
        </w:rPr>
        <w:t>زين للمرأة بمزاولة القضاء مطلقا</w:t>
      </w:r>
      <w:r w:rsidR="00CF0DF0" w:rsidRPr="00904FCB">
        <w:rPr>
          <w:rFonts w:hint="cs"/>
          <w:sz w:val="27"/>
          <w:rtl/>
          <w:lang w:bidi="ar-OM"/>
        </w:rPr>
        <w:t>ً</w:t>
      </w:r>
      <w:r w:rsidRPr="00904FCB">
        <w:rPr>
          <w:rFonts w:hint="cs"/>
          <w:sz w:val="27"/>
          <w:rtl/>
          <w:lang w:bidi="ar-OM"/>
        </w:rPr>
        <w:t xml:space="preserve"> صرفوا دليل التحريم ابتداء</w:t>
      </w:r>
      <w:r w:rsidR="00CF0DF0" w:rsidRPr="00904FCB">
        <w:rPr>
          <w:rFonts w:hint="cs"/>
          <w:sz w:val="27"/>
          <w:rtl/>
          <w:lang w:bidi="ar-OM"/>
        </w:rPr>
        <w:t>ً</w:t>
      </w:r>
      <w:r w:rsidRPr="00904FCB">
        <w:rPr>
          <w:rFonts w:hint="cs"/>
          <w:sz w:val="27"/>
          <w:rtl/>
          <w:lang w:bidi="ar-OM"/>
        </w:rPr>
        <w:t xml:space="preserve"> عن القضاء</w:t>
      </w:r>
      <w:r w:rsidR="00CF0DF0" w:rsidRPr="00904FCB">
        <w:rPr>
          <w:rFonts w:hint="cs"/>
          <w:sz w:val="27"/>
          <w:rtl/>
          <w:lang w:bidi="ar-OM"/>
        </w:rPr>
        <w:t xml:space="preserve">، </w:t>
      </w:r>
      <w:r w:rsidRPr="00904FCB">
        <w:rPr>
          <w:rFonts w:hint="cs"/>
          <w:sz w:val="27"/>
          <w:rtl/>
          <w:lang w:bidi="ar-OM"/>
        </w:rPr>
        <w:t>وقصروه على السلطة العليا</w:t>
      </w:r>
      <w:r w:rsidR="00CF0DF0" w:rsidRPr="00904FCB">
        <w:rPr>
          <w:rFonts w:hint="cs"/>
          <w:sz w:val="27"/>
          <w:rtl/>
          <w:lang w:bidi="ar-OM"/>
        </w:rPr>
        <w:t>،</w:t>
      </w:r>
      <w:r w:rsidRPr="00904FCB">
        <w:rPr>
          <w:rFonts w:hint="cs"/>
          <w:sz w:val="27"/>
          <w:rtl/>
          <w:lang w:bidi="ar-OM"/>
        </w:rPr>
        <w:t xml:space="preserve"> ولهذا لم يحتاجوا </w:t>
      </w:r>
      <w:r w:rsidR="00CF0DF0" w:rsidRPr="00904FCB">
        <w:rPr>
          <w:rFonts w:hint="cs"/>
          <w:sz w:val="27"/>
          <w:rtl/>
          <w:lang w:bidi="ar-OM"/>
        </w:rPr>
        <w:t>إلى ا</w:t>
      </w:r>
      <w:r w:rsidRPr="00904FCB">
        <w:rPr>
          <w:rFonts w:hint="cs"/>
          <w:sz w:val="27"/>
          <w:rtl/>
          <w:lang w:bidi="ar-OM"/>
        </w:rPr>
        <w:t xml:space="preserve">لنظر في العلاقة بين السلطتين. </w:t>
      </w:r>
    </w:p>
    <w:p w:rsidR="00744230" w:rsidRPr="00904FCB" w:rsidRDefault="00644408" w:rsidP="007A21AA">
      <w:pPr>
        <w:spacing w:line="400" w:lineRule="exact"/>
        <w:rPr>
          <w:sz w:val="27"/>
          <w:rtl/>
          <w:lang w:bidi="ar-OM"/>
        </w:rPr>
      </w:pPr>
      <w:r w:rsidRPr="00904FCB">
        <w:rPr>
          <w:rFonts w:hint="cs"/>
          <w:sz w:val="27"/>
          <w:rtl/>
          <w:lang w:bidi="ar-OM"/>
        </w:rPr>
        <w:t xml:space="preserve"> وقد ذهب بعض الفقهاء منذ القدم إلى تمام أهلي</w:t>
      </w:r>
      <w:r w:rsidR="00CF0DF0" w:rsidRPr="00904FCB">
        <w:rPr>
          <w:rFonts w:hint="cs"/>
          <w:sz w:val="27"/>
          <w:rtl/>
          <w:lang w:bidi="ar-OM"/>
        </w:rPr>
        <w:t>ّ</w:t>
      </w:r>
      <w:r w:rsidRPr="00904FCB">
        <w:rPr>
          <w:rFonts w:hint="cs"/>
          <w:sz w:val="27"/>
          <w:rtl/>
          <w:lang w:bidi="ar-OM"/>
        </w:rPr>
        <w:t>ة المرأة المستجمعة للشرائط في أن تتول</w:t>
      </w:r>
      <w:r w:rsidR="00CF0DF0" w:rsidRPr="00904FCB">
        <w:rPr>
          <w:rFonts w:hint="cs"/>
          <w:sz w:val="27"/>
          <w:rtl/>
          <w:lang w:bidi="ar-OM"/>
        </w:rPr>
        <w:t>ّ</w:t>
      </w:r>
      <w:r w:rsidRPr="00904FCB">
        <w:rPr>
          <w:rFonts w:hint="cs"/>
          <w:sz w:val="27"/>
          <w:rtl/>
          <w:lang w:bidi="ar-OM"/>
        </w:rPr>
        <w:t>ى منصب القضاء بشكل</w:t>
      </w:r>
      <w:r w:rsidR="00CF0DF0" w:rsidRPr="00904FCB">
        <w:rPr>
          <w:rFonts w:hint="cs"/>
          <w:sz w:val="27"/>
          <w:rtl/>
          <w:lang w:bidi="ar-OM"/>
        </w:rPr>
        <w:t>ٍ</w:t>
      </w:r>
      <w:r w:rsidRPr="00904FCB">
        <w:rPr>
          <w:rFonts w:hint="cs"/>
          <w:sz w:val="27"/>
          <w:rtl/>
          <w:lang w:bidi="ar-OM"/>
        </w:rPr>
        <w:t xml:space="preserve"> مطلق، دون فرق</w:t>
      </w:r>
      <w:r w:rsidR="00CF0DF0" w:rsidRPr="00904FCB">
        <w:rPr>
          <w:rFonts w:hint="cs"/>
          <w:sz w:val="27"/>
          <w:rtl/>
          <w:lang w:bidi="ar-OM"/>
        </w:rPr>
        <w:t>ٍ</w:t>
      </w:r>
      <w:r w:rsidRPr="00904FCB">
        <w:rPr>
          <w:rFonts w:hint="cs"/>
          <w:sz w:val="27"/>
          <w:rtl/>
          <w:lang w:bidi="ar-OM"/>
        </w:rPr>
        <w:t xml:space="preserve"> بين القضايا المتعل</w:t>
      </w:r>
      <w:r w:rsidR="00CF0DF0" w:rsidRPr="00904FCB">
        <w:rPr>
          <w:rFonts w:hint="cs"/>
          <w:sz w:val="27"/>
          <w:rtl/>
          <w:lang w:bidi="ar-OM"/>
        </w:rPr>
        <w:t>ِّ</w:t>
      </w:r>
      <w:r w:rsidRPr="00904FCB">
        <w:rPr>
          <w:rFonts w:hint="cs"/>
          <w:sz w:val="27"/>
          <w:rtl/>
          <w:lang w:bidi="ar-OM"/>
        </w:rPr>
        <w:t>قة بالأحوال الشخصية أو المنازعات التجارية والمالية أو القضايا الجنائية</w:t>
      </w:r>
      <w:r w:rsidR="00744230" w:rsidRPr="00904FCB">
        <w:rPr>
          <w:rFonts w:hint="cs"/>
          <w:sz w:val="27"/>
          <w:rtl/>
          <w:lang w:bidi="ar-OM"/>
        </w:rPr>
        <w:t>.</w:t>
      </w:r>
    </w:p>
    <w:p w:rsidR="00744230" w:rsidRPr="00904FCB" w:rsidRDefault="00644408" w:rsidP="002B7B16">
      <w:pPr>
        <w:spacing w:line="400" w:lineRule="exact"/>
        <w:rPr>
          <w:sz w:val="27"/>
          <w:rtl/>
          <w:lang w:bidi="ar-OM"/>
        </w:rPr>
      </w:pPr>
      <w:r w:rsidRPr="00904FCB">
        <w:rPr>
          <w:rFonts w:hint="cs"/>
          <w:sz w:val="27"/>
          <w:rtl/>
          <w:lang w:bidi="ar-OM"/>
        </w:rPr>
        <w:t>فقد ر</w:t>
      </w:r>
      <w:r w:rsidR="00CF0DF0" w:rsidRPr="00904FCB">
        <w:rPr>
          <w:rFonts w:hint="cs"/>
          <w:sz w:val="27"/>
          <w:rtl/>
          <w:lang w:bidi="ar-OM"/>
        </w:rPr>
        <w:t>ُ</w:t>
      </w:r>
      <w:r w:rsidRPr="00904FCB">
        <w:rPr>
          <w:rFonts w:hint="cs"/>
          <w:sz w:val="27"/>
          <w:rtl/>
          <w:lang w:bidi="ar-OM"/>
        </w:rPr>
        <w:t>وي عن عبد الرحمن بن القاسم</w:t>
      </w:r>
      <w:r w:rsidR="002B7B16" w:rsidRPr="00904FCB">
        <w:rPr>
          <w:rFonts w:hint="cs"/>
          <w:sz w:val="27"/>
          <w:rtl/>
          <w:lang w:bidi="ar-OM"/>
        </w:rPr>
        <w:t>(</w:t>
      </w:r>
      <w:r w:rsidR="002B7B16" w:rsidRPr="001E5E90">
        <w:rPr>
          <w:rFonts w:hint="cs"/>
          <w:sz w:val="27"/>
          <w:rtl/>
          <w:lang w:bidi="ar-OM"/>
        </w:rPr>
        <w:t>191هـ</w:t>
      </w:r>
      <w:r w:rsidR="002B7B16" w:rsidRPr="00904FCB">
        <w:rPr>
          <w:rFonts w:hint="cs"/>
          <w:sz w:val="27"/>
          <w:rtl/>
          <w:lang w:bidi="ar-OM"/>
        </w:rPr>
        <w:t>)</w:t>
      </w:r>
      <w:r w:rsidR="002B7B16">
        <w:rPr>
          <w:rFonts w:hint="cs"/>
          <w:sz w:val="27"/>
          <w:rtl/>
          <w:lang w:bidi="ar-OM"/>
        </w:rPr>
        <w:t>،</w:t>
      </w:r>
      <w:r w:rsidRPr="00904FCB">
        <w:rPr>
          <w:rFonts w:hint="cs"/>
          <w:sz w:val="27"/>
          <w:rtl/>
          <w:lang w:bidi="ar-OM"/>
        </w:rPr>
        <w:t xml:space="preserve"> من المالكية</w:t>
      </w:r>
      <w:r w:rsidR="00CF0DF0" w:rsidRPr="00904FCB">
        <w:rPr>
          <w:rFonts w:hint="cs"/>
          <w:sz w:val="27"/>
          <w:rtl/>
          <w:lang w:bidi="ar-OM"/>
        </w:rPr>
        <w:t>،</w:t>
      </w:r>
      <w:r w:rsidRPr="00904FCB">
        <w:rPr>
          <w:rFonts w:hint="cs"/>
          <w:sz w:val="27"/>
          <w:rtl/>
          <w:lang w:bidi="ar-OM"/>
        </w:rPr>
        <w:t xml:space="preserve"> صاحب المدو</w:t>
      </w:r>
      <w:r w:rsidR="00CF0DF0" w:rsidRPr="00904FCB">
        <w:rPr>
          <w:rFonts w:hint="cs"/>
          <w:sz w:val="27"/>
          <w:rtl/>
          <w:lang w:bidi="ar-OM"/>
        </w:rPr>
        <w:t>ّ</w:t>
      </w:r>
      <w:r w:rsidRPr="00904FCB">
        <w:rPr>
          <w:rFonts w:hint="cs"/>
          <w:sz w:val="27"/>
          <w:rtl/>
          <w:lang w:bidi="ar-OM"/>
        </w:rPr>
        <w:t>نة الكبرى، جواز ولاية المرأة</w:t>
      </w:r>
      <w:r w:rsidR="00744230"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وقد حاول ابن زرقون(</w:t>
      </w:r>
      <w:r w:rsidRPr="001E5E90">
        <w:rPr>
          <w:rFonts w:hint="cs"/>
          <w:sz w:val="27"/>
          <w:rtl/>
          <w:lang w:bidi="ar-OM"/>
        </w:rPr>
        <w:t>586هـ</w:t>
      </w:r>
      <w:r w:rsidRPr="00904FCB">
        <w:rPr>
          <w:rFonts w:hint="cs"/>
          <w:sz w:val="27"/>
          <w:rtl/>
          <w:lang w:bidi="ar-OM"/>
        </w:rPr>
        <w:t>)</w:t>
      </w:r>
      <w:r w:rsidR="00744230" w:rsidRPr="00904FCB">
        <w:rPr>
          <w:rFonts w:hint="cs"/>
          <w:sz w:val="27"/>
          <w:rtl/>
          <w:lang w:bidi="ar-OM"/>
        </w:rPr>
        <w:t>،</w:t>
      </w:r>
      <w:r w:rsidRPr="00904FCB">
        <w:rPr>
          <w:rFonts w:hint="cs"/>
          <w:sz w:val="27"/>
          <w:rtl/>
          <w:lang w:bidi="ar-OM"/>
        </w:rPr>
        <w:t xml:space="preserve"> من المالكية، تحديد كلامه وقصره على المنازعات المالية</w:t>
      </w:r>
      <w:r w:rsidR="00744230" w:rsidRPr="00904FCB">
        <w:rPr>
          <w:rFonts w:hint="cs"/>
          <w:sz w:val="27"/>
          <w:rtl/>
          <w:lang w:bidi="ar-OM"/>
        </w:rPr>
        <w:t>،</w:t>
      </w:r>
      <w:r w:rsidRPr="00904FCB">
        <w:rPr>
          <w:rFonts w:hint="cs"/>
          <w:sz w:val="27"/>
          <w:rtl/>
          <w:lang w:bidi="ar-OM"/>
        </w:rPr>
        <w:t xml:space="preserve"> أو في</w:t>
      </w:r>
      <w:r w:rsidR="00744230" w:rsidRPr="00904FCB">
        <w:rPr>
          <w:rFonts w:hint="cs"/>
          <w:sz w:val="27"/>
          <w:rtl/>
          <w:lang w:bidi="ar-OM"/>
        </w:rPr>
        <w:t xml:space="preserve"> </w:t>
      </w:r>
      <w:r w:rsidRPr="00904FCB">
        <w:rPr>
          <w:rFonts w:hint="cs"/>
          <w:sz w:val="27"/>
          <w:rtl/>
          <w:lang w:bidi="ar-OM"/>
        </w:rPr>
        <w:t>ما تجوز فيه شهادتها، وفاقا</w:t>
      </w:r>
      <w:r w:rsidR="00744230" w:rsidRPr="00904FCB">
        <w:rPr>
          <w:rFonts w:hint="cs"/>
          <w:sz w:val="27"/>
          <w:rtl/>
          <w:lang w:bidi="ar-OM"/>
        </w:rPr>
        <w:t>ً</w:t>
      </w:r>
      <w:r w:rsidRPr="00904FCB">
        <w:rPr>
          <w:rFonts w:hint="cs"/>
          <w:sz w:val="27"/>
          <w:rtl/>
          <w:lang w:bidi="ar-OM"/>
        </w:rPr>
        <w:t xml:space="preserve"> للأحناف</w:t>
      </w:r>
      <w:r w:rsidR="00744230" w:rsidRPr="00904FCB">
        <w:rPr>
          <w:rFonts w:hint="cs"/>
          <w:sz w:val="27"/>
          <w:rtl/>
          <w:lang w:bidi="ar-OM"/>
        </w:rPr>
        <w:t>.</w:t>
      </w:r>
      <w:r w:rsidRPr="00904FCB">
        <w:rPr>
          <w:rFonts w:hint="cs"/>
          <w:sz w:val="27"/>
          <w:rtl/>
          <w:lang w:bidi="ar-OM"/>
        </w:rPr>
        <w:t xml:space="preserve"> لكن</w:t>
      </w:r>
      <w:r w:rsidR="00744230" w:rsidRPr="00904FCB">
        <w:rPr>
          <w:rFonts w:hint="cs"/>
          <w:sz w:val="27"/>
          <w:rtl/>
          <w:lang w:bidi="ar-OM"/>
        </w:rPr>
        <w:t>ْ</w:t>
      </w:r>
      <w:r w:rsidRPr="00904FCB">
        <w:rPr>
          <w:rFonts w:hint="cs"/>
          <w:sz w:val="27"/>
          <w:rtl/>
          <w:lang w:bidi="ar-OM"/>
        </w:rPr>
        <w:t xml:space="preserve"> رد</w:t>
      </w:r>
      <w:r w:rsidR="00744230" w:rsidRPr="00904FCB">
        <w:rPr>
          <w:rFonts w:hint="cs"/>
          <w:sz w:val="27"/>
          <w:rtl/>
          <w:lang w:bidi="ar-OM"/>
        </w:rPr>
        <w:t>ّ</w:t>
      </w:r>
      <w:r w:rsidRPr="00904FCB">
        <w:rPr>
          <w:rFonts w:hint="cs"/>
          <w:sz w:val="27"/>
          <w:rtl/>
          <w:lang w:bidi="ar-OM"/>
        </w:rPr>
        <w:t xml:space="preserve"> ابن عبد السلام بعدم الحاجة لهذا التأويل</w:t>
      </w:r>
      <w:r w:rsidR="00744230" w:rsidRPr="00904FCB">
        <w:rPr>
          <w:rFonts w:hint="cs"/>
          <w:sz w:val="27"/>
          <w:rtl/>
          <w:lang w:bidi="ar-OM"/>
        </w:rPr>
        <w:t>؛</w:t>
      </w:r>
      <w:r w:rsidRPr="00904FCB">
        <w:rPr>
          <w:rFonts w:hint="cs"/>
          <w:sz w:val="27"/>
          <w:rtl/>
          <w:lang w:bidi="ar-OM"/>
        </w:rPr>
        <w:t xml:space="preserve"> لاحتمال أن يكون ابن القاسم قال كقول الحسن والطبري بإجازة ولايتها القضاء مطلقا</w:t>
      </w:r>
      <w:r w:rsidR="00744230" w:rsidRPr="00904FCB">
        <w:rPr>
          <w:rFonts w:hint="cs"/>
          <w:sz w:val="27"/>
          <w:rtl/>
          <w:lang w:bidi="ar-OM"/>
        </w:rPr>
        <w:t>ً</w:t>
      </w:r>
      <w:r w:rsidRPr="00904FCB">
        <w:rPr>
          <w:rFonts w:hint="cs"/>
          <w:sz w:val="27"/>
          <w:vertAlign w:val="superscript"/>
          <w:rtl/>
        </w:rPr>
        <w:t>(</w:t>
      </w:r>
      <w:r w:rsidRPr="00904FCB">
        <w:rPr>
          <w:rStyle w:val="ac"/>
          <w:sz w:val="27"/>
          <w:rtl/>
        </w:rPr>
        <w:endnoteReference w:id="210"/>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ونسب القول بالجواز مطلقا</w:t>
      </w:r>
      <w:r w:rsidR="00744230" w:rsidRPr="00904FCB">
        <w:rPr>
          <w:rFonts w:hint="cs"/>
          <w:sz w:val="27"/>
          <w:rtl/>
          <w:lang w:bidi="ar-OM"/>
        </w:rPr>
        <w:t>ً</w:t>
      </w:r>
      <w:r w:rsidRPr="00904FCB">
        <w:rPr>
          <w:rFonts w:hint="cs"/>
          <w:sz w:val="27"/>
          <w:rtl/>
          <w:lang w:bidi="ar-OM"/>
        </w:rPr>
        <w:t xml:space="preserve"> إلى بعض التابعين</w:t>
      </w:r>
      <w:r w:rsidR="00744230" w:rsidRPr="00904FCB">
        <w:rPr>
          <w:rFonts w:hint="cs"/>
          <w:sz w:val="27"/>
          <w:rtl/>
          <w:lang w:bidi="ar-OM"/>
        </w:rPr>
        <w:t>،</w:t>
      </w:r>
      <w:r w:rsidRPr="00904FCB">
        <w:rPr>
          <w:rFonts w:hint="cs"/>
          <w:sz w:val="27"/>
          <w:rtl/>
          <w:lang w:bidi="ar-OM"/>
        </w:rPr>
        <w:t xml:space="preserve"> مثل</w:t>
      </w:r>
      <w:r w:rsidR="00744230" w:rsidRPr="00904FCB">
        <w:rPr>
          <w:rFonts w:hint="cs"/>
          <w:sz w:val="27"/>
          <w:rtl/>
          <w:lang w:bidi="ar-OM"/>
        </w:rPr>
        <w:t>:</w:t>
      </w:r>
      <w:r w:rsidRPr="00904FCB">
        <w:rPr>
          <w:rFonts w:hint="cs"/>
          <w:sz w:val="27"/>
          <w:rtl/>
          <w:lang w:bidi="ar-OM"/>
        </w:rPr>
        <w:t xml:space="preserve"> الحسن البصري</w:t>
      </w:r>
      <w:r w:rsidR="00744230" w:rsidRPr="00904FCB">
        <w:rPr>
          <w:rFonts w:hint="cs"/>
          <w:sz w:val="27"/>
          <w:rtl/>
          <w:lang w:bidi="ar-OM"/>
        </w:rPr>
        <w:t>،</w:t>
      </w:r>
      <w:r w:rsidRPr="00904FCB">
        <w:rPr>
          <w:rFonts w:hint="cs"/>
          <w:sz w:val="27"/>
          <w:rtl/>
          <w:lang w:bidi="ar-OM"/>
        </w:rPr>
        <w:t xml:space="preserve"> وإلى </w:t>
      </w:r>
      <w:r w:rsidRPr="00904FCB">
        <w:rPr>
          <w:rFonts w:hint="cs"/>
          <w:sz w:val="27"/>
          <w:rtl/>
          <w:lang w:bidi="ar-OM"/>
        </w:rPr>
        <w:lastRenderedPageBreak/>
        <w:t>محمد بن الحسن الشيباني</w:t>
      </w:r>
      <w:r w:rsidR="00744230" w:rsidRPr="00904FCB">
        <w:rPr>
          <w:rFonts w:hint="cs"/>
          <w:sz w:val="27"/>
          <w:rtl/>
          <w:lang w:bidi="ar-OM"/>
        </w:rPr>
        <w:t>،</w:t>
      </w:r>
      <w:r w:rsidRPr="00904FCB">
        <w:rPr>
          <w:rFonts w:hint="cs"/>
          <w:sz w:val="27"/>
          <w:rtl/>
          <w:lang w:bidi="ar-OM"/>
        </w:rPr>
        <w:t xml:space="preserve"> صاحب أبي حنيفة</w:t>
      </w:r>
      <w:r w:rsidR="00744230" w:rsidRPr="00904FCB">
        <w:rPr>
          <w:rFonts w:hint="cs"/>
          <w:sz w:val="27"/>
          <w:rtl/>
          <w:lang w:bidi="ar-OM"/>
        </w:rPr>
        <w:t>.</w:t>
      </w:r>
      <w:r w:rsidRPr="00904FCB">
        <w:rPr>
          <w:rFonts w:hint="cs"/>
          <w:sz w:val="27"/>
          <w:rtl/>
          <w:lang w:bidi="ar-OM"/>
        </w:rPr>
        <w:t xml:space="preserve"> ولكن</w:t>
      </w:r>
      <w:r w:rsidR="00744230" w:rsidRPr="00904FCB">
        <w:rPr>
          <w:rFonts w:hint="cs"/>
          <w:sz w:val="27"/>
          <w:rtl/>
          <w:lang w:bidi="ar-OM"/>
        </w:rPr>
        <w:t>ّ</w:t>
      </w:r>
      <w:r w:rsidRPr="00904FCB">
        <w:rPr>
          <w:rFonts w:hint="cs"/>
          <w:sz w:val="27"/>
          <w:rtl/>
          <w:lang w:bidi="ar-OM"/>
        </w:rPr>
        <w:t>ه لم يثبت عنهم</w:t>
      </w:r>
      <w:r w:rsidRPr="00904FCB">
        <w:rPr>
          <w:rFonts w:hint="cs"/>
          <w:sz w:val="27"/>
          <w:vertAlign w:val="superscript"/>
          <w:rtl/>
        </w:rPr>
        <w:t>(</w:t>
      </w:r>
      <w:r w:rsidRPr="00904FCB">
        <w:rPr>
          <w:rStyle w:val="ac"/>
          <w:sz w:val="27"/>
          <w:rtl/>
        </w:rPr>
        <w:endnoteReference w:id="211"/>
      </w:r>
      <w:r w:rsidRPr="00904FCB">
        <w:rPr>
          <w:rFonts w:hint="cs"/>
          <w:sz w:val="27"/>
          <w:vertAlign w:val="superscript"/>
          <w:rtl/>
        </w:rPr>
        <w:t>)</w:t>
      </w:r>
      <w:r w:rsidRPr="00904FCB">
        <w:rPr>
          <w:rFonts w:hint="cs"/>
          <w:sz w:val="27"/>
          <w:rtl/>
          <w:lang w:bidi="ar-OM"/>
        </w:rPr>
        <w:t xml:space="preserve">. </w:t>
      </w:r>
    </w:p>
    <w:p w:rsidR="00744230" w:rsidRPr="00904FCB" w:rsidRDefault="00644408" w:rsidP="007A21AA">
      <w:pPr>
        <w:spacing w:line="400" w:lineRule="exact"/>
        <w:rPr>
          <w:sz w:val="27"/>
          <w:rtl/>
          <w:lang w:bidi="ar-OM"/>
        </w:rPr>
      </w:pPr>
      <w:r w:rsidRPr="00904FCB">
        <w:rPr>
          <w:rFonts w:hint="cs"/>
          <w:sz w:val="27"/>
          <w:rtl/>
          <w:lang w:bidi="ar-OM"/>
        </w:rPr>
        <w:t xml:space="preserve">غير </w:t>
      </w:r>
      <w:r w:rsidR="00744230" w:rsidRPr="00904FCB">
        <w:rPr>
          <w:rFonts w:hint="cs"/>
          <w:sz w:val="27"/>
          <w:rtl/>
          <w:lang w:bidi="ar-OM"/>
        </w:rPr>
        <w:t>أ</w:t>
      </w:r>
      <w:r w:rsidRPr="00904FCB">
        <w:rPr>
          <w:rFonts w:hint="cs"/>
          <w:sz w:val="27"/>
          <w:rtl/>
          <w:lang w:bidi="ar-OM"/>
        </w:rPr>
        <w:t xml:space="preserve">نه اشتهرت نسبة هذا الرأي </w:t>
      </w:r>
      <w:r w:rsidR="00744230" w:rsidRPr="00904FCB">
        <w:rPr>
          <w:rFonts w:hint="cs"/>
          <w:sz w:val="27"/>
          <w:rtl/>
          <w:lang w:bidi="ar-OM"/>
        </w:rPr>
        <w:t>إ</w:t>
      </w:r>
      <w:r w:rsidRPr="00904FCB">
        <w:rPr>
          <w:rFonts w:hint="cs"/>
          <w:sz w:val="27"/>
          <w:rtl/>
          <w:lang w:bidi="ar-OM"/>
        </w:rPr>
        <w:t>لى كل</w:t>
      </w:r>
      <w:r w:rsidR="00744230" w:rsidRPr="00904FCB">
        <w:rPr>
          <w:rFonts w:hint="cs"/>
          <w:sz w:val="27"/>
          <w:rtl/>
          <w:lang w:bidi="ar-OM"/>
        </w:rPr>
        <w:t>ٍّ</w:t>
      </w:r>
      <w:r w:rsidRPr="00904FCB">
        <w:rPr>
          <w:rFonts w:hint="cs"/>
          <w:sz w:val="27"/>
          <w:rtl/>
          <w:lang w:bidi="ar-OM"/>
        </w:rPr>
        <w:t xml:space="preserve"> من</w:t>
      </w:r>
      <w:r w:rsidR="00744230" w:rsidRPr="00904FCB">
        <w:rPr>
          <w:rFonts w:hint="cs"/>
          <w:sz w:val="27"/>
          <w:rtl/>
          <w:lang w:bidi="ar-OM"/>
        </w:rPr>
        <w:t>:</w:t>
      </w:r>
      <w:r w:rsidRPr="00904FCB">
        <w:rPr>
          <w:rFonts w:hint="cs"/>
          <w:sz w:val="27"/>
          <w:rtl/>
          <w:lang w:bidi="ar-OM"/>
        </w:rPr>
        <w:t xml:space="preserve"> أبي جعفر الطبري(</w:t>
      </w:r>
      <w:r w:rsidRPr="001E5E90">
        <w:rPr>
          <w:rFonts w:hint="cs"/>
          <w:sz w:val="27"/>
          <w:rtl/>
          <w:lang w:bidi="ar-OM"/>
        </w:rPr>
        <w:t>310هـ</w:t>
      </w:r>
      <w:r w:rsidRPr="00904FCB">
        <w:rPr>
          <w:rFonts w:hint="cs"/>
          <w:sz w:val="27"/>
          <w:rtl/>
          <w:lang w:bidi="ar-OM"/>
        </w:rPr>
        <w:t>)</w:t>
      </w:r>
      <w:r w:rsidR="00744230" w:rsidRPr="00904FCB">
        <w:rPr>
          <w:rFonts w:hint="cs"/>
          <w:sz w:val="27"/>
          <w:rtl/>
          <w:lang w:bidi="ar-OM"/>
        </w:rPr>
        <w:t>،</w:t>
      </w:r>
      <w:r w:rsidRPr="00904FCB">
        <w:rPr>
          <w:rFonts w:hint="cs"/>
          <w:sz w:val="27"/>
          <w:rtl/>
          <w:lang w:bidi="ar-OM"/>
        </w:rPr>
        <w:t xml:space="preserve"> المؤر</w:t>
      </w:r>
      <w:r w:rsidR="00744230" w:rsidRPr="00904FCB">
        <w:rPr>
          <w:rFonts w:hint="cs"/>
          <w:sz w:val="27"/>
          <w:rtl/>
          <w:lang w:bidi="ar-OM"/>
        </w:rPr>
        <w:t>ِّ</w:t>
      </w:r>
      <w:r w:rsidRPr="00904FCB">
        <w:rPr>
          <w:rFonts w:hint="cs"/>
          <w:sz w:val="27"/>
          <w:rtl/>
          <w:lang w:bidi="ar-OM"/>
        </w:rPr>
        <w:t>خ والمفس</w:t>
      </w:r>
      <w:r w:rsidR="00744230" w:rsidRPr="00904FCB">
        <w:rPr>
          <w:rFonts w:hint="cs"/>
          <w:sz w:val="27"/>
          <w:rtl/>
          <w:lang w:bidi="ar-OM"/>
        </w:rPr>
        <w:t>ِّ</w:t>
      </w:r>
      <w:r w:rsidRPr="00904FCB">
        <w:rPr>
          <w:rFonts w:hint="cs"/>
          <w:sz w:val="27"/>
          <w:rtl/>
          <w:lang w:bidi="ar-OM"/>
        </w:rPr>
        <w:t>ر والفقيه الذي كان صاحب مذهب فقهي</w:t>
      </w:r>
      <w:r w:rsidR="00744230" w:rsidRPr="00904FCB">
        <w:rPr>
          <w:rFonts w:hint="cs"/>
          <w:sz w:val="27"/>
          <w:rtl/>
          <w:lang w:bidi="ar-OM"/>
        </w:rPr>
        <w:t>ّ</w:t>
      </w:r>
      <w:r w:rsidRPr="00904FCB">
        <w:rPr>
          <w:rFonts w:hint="cs"/>
          <w:sz w:val="27"/>
          <w:rtl/>
          <w:lang w:bidi="ar-OM"/>
        </w:rPr>
        <w:t xml:space="preserve"> مستقل</w:t>
      </w:r>
      <w:r w:rsidR="00744230" w:rsidRPr="00904FCB">
        <w:rPr>
          <w:rFonts w:hint="cs"/>
          <w:sz w:val="27"/>
          <w:rtl/>
          <w:lang w:bidi="ar-OM"/>
        </w:rPr>
        <w:t>ّ؛</w:t>
      </w:r>
      <w:r w:rsidRPr="00904FCB">
        <w:rPr>
          <w:rFonts w:hint="cs"/>
          <w:sz w:val="27"/>
          <w:rtl/>
          <w:lang w:bidi="ar-OM"/>
        </w:rPr>
        <w:t xml:space="preserve"> وكذا </w:t>
      </w:r>
      <w:r w:rsidR="00744230" w:rsidRPr="00904FCB">
        <w:rPr>
          <w:rFonts w:hint="cs"/>
          <w:sz w:val="27"/>
          <w:rtl/>
          <w:lang w:bidi="ar-OM"/>
        </w:rPr>
        <w:t>إ</w:t>
      </w:r>
      <w:r w:rsidRPr="00904FCB">
        <w:rPr>
          <w:rFonts w:hint="cs"/>
          <w:sz w:val="27"/>
          <w:rtl/>
          <w:lang w:bidi="ar-OM"/>
        </w:rPr>
        <w:t>لى الفقيه الظاهري المعروف ابن حزم الأندلسي(</w:t>
      </w:r>
      <w:r w:rsidRPr="001E5E90">
        <w:rPr>
          <w:rFonts w:hint="cs"/>
          <w:sz w:val="27"/>
          <w:rtl/>
          <w:lang w:bidi="ar-OM"/>
        </w:rPr>
        <w:t>456</w:t>
      </w:r>
      <w:r w:rsidR="00C5715C" w:rsidRPr="001E5E90">
        <w:rPr>
          <w:rFonts w:hint="cs"/>
          <w:sz w:val="27"/>
          <w:rtl/>
          <w:lang w:bidi="ar-OM"/>
        </w:rPr>
        <w:t>هـ</w:t>
      </w:r>
      <w:r w:rsidR="00744230"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 xml:space="preserve">وتجدر الإشارة هنا </w:t>
      </w:r>
      <w:r w:rsidR="00744230" w:rsidRPr="00904FCB">
        <w:rPr>
          <w:rFonts w:hint="cs"/>
          <w:sz w:val="27"/>
          <w:rtl/>
          <w:lang w:bidi="ar-OM"/>
        </w:rPr>
        <w:t>إ</w:t>
      </w:r>
      <w:r w:rsidRPr="00904FCB">
        <w:rPr>
          <w:rFonts w:hint="cs"/>
          <w:sz w:val="27"/>
          <w:rtl/>
          <w:lang w:bidi="ar-OM"/>
        </w:rPr>
        <w:t xml:space="preserve">لى </w:t>
      </w:r>
      <w:r w:rsidR="00744230" w:rsidRPr="00904FCB">
        <w:rPr>
          <w:rFonts w:hint="cs"/>
          <w:sz w:val="27"/>
          <w:rtl/>
          <w:lang w:bidi="ar-OM"/>
        </w:rPr>
        <w:t>أ</w:t>
      </w:r>
      <w:r w:rsidRPr="00904FCB">
        <w:rPr>
          <w:rFonts w:hint="cs"/>
          <w:sz w:val="27"/>
          <w:rtl/>
          <w:lang w:bidi="ar-OM"/>
        </w:rPr>
        <w:t>ن الرأي المنسوب إلى الطبري لم ي</w:t>
      </w:r>
      <w:r w:rsidR="00744230" w:rsidRPr="00904FCB">
        <w:rPr>
          <w:rFonts w:hint="cs"/>
          <w:sz w:val="27"/>
          <w:rtl/>
          <w:lang w:bidi="ar-OM"/>
        </w:rPr>
        <w:t>َ</w:t>
      </w:r>
      <w:r w:rsidRPr="00904FCB">
        <w:rPr>
          <w:rFonts w:hint="cs"/>
          <w:sz w:val="27"/>
          <w:rtl/>
          <w:lang w:bidi="ar-OM"/>
        </w:rPr>
        <w:t>ر</w:t>
      </w:r>
      <w:r w:rsidR="00744230" w:rsidRPr="00904FCB">
        <w:rPr>
          <w:rFonts w:hint="cs"/>
          <w:sz w:val="27"/>
          <w:rtl/>
          <w:lang w:bidi="ar-OM"/>
        </w:rPr>
        <w:t>ِ</w:t>
      </w:r>
      <w:r w:rsidRPr="00904FCB">
        <w:rPr>
          <w:rFonts w:hint="cs"/>
          <w:sz w:val="27"/>
          <w:rtl/>
          <w:lang w:bidi="ar-OM"/>
        </w:rPr>
        <w:t>د</w:t>
      </w:r>
      <w:r w:rsidR="00744230" w:rsidRPr="00904FCB">
        <w:rPr>
          <w:rFonts w:hint="cs"/>
          <w:sz w:val="27"/>
          <w:rtl/>
          <w:lang w:bidi="ar-OM"/>
        </w:rPr>
        <w:t>ْ</w:t>
      </w:r>
      <w:r w:rsidRPr="00904FCB">
        <w:rPr>
          <w:rFonts w:hint="cs"/>
          <w:sz w:val="27"/>
          <w:rtl/>
          <w:lang w:bidi="ar-OM"/>
        </w:rPr>
        <w:t xml:space="preserve"> في تراثه التفسيري والفقهي الواصل إلينا</w:t>
      </w:r>
      <w:r w:rsidR="00744230" w:rsidRPr="00904FCB">
        <w:rPr>
          <w:rFonts w:hint="cs"/>
          <w:sz w:val="27"/>
          <w:rtl/>
          <w:lang w:bidi="ar-OM"/>
        </w:rPr>
        <w:t xml:space="preserve">، </w:t>
      </w:r>
      <w:r w:rsidRPr="00904FCB">
        <w:rPr>
          <w:rFonts w:hint="cs"/>
          <w:sz w:val="27"/>
          <w:rtl/>
          <w:lang w:bidi="ar-OM"/>
        </w:rPr>
        <w:t>بل نقل جمع</w:t>
      </w:r>
      <w:r w:rsidR="00744230" w:rsidRPr="00904FCB">
        <w:rPr>
          <w:rFonts w:hint="cs"/>
          <w:sz w:val="27"/>
          <w:rtl/>
          <w:lang w:bidi="ar-OM"/>
        </w:rPr>
        <w:t>ٌ</w:t>
      </w:r>
      <w:r w:rsidRPr="00904FCB">
        <w:rPr>
          <w:rFonts w:hint="cs"/>
          <w:sz w:val="27"/>
          <w:rtl/>
          <w:lang w:bidi="ar-OM"/>
        </w:rPr>
        <w:t xml:space="preserve"> من الفقهاء هذا الرأي عن أبي جعفر الطبري، </w:t>
      </w:r>
      <w:r w:rsidR="00744230" w:rsidRPr="00904FCB">
        <w:rPr>
          <w:rFonts w:hint="cs"/>
          <w:sz w:val="27"/>
          <w:rtl/>
          <w:lang w:bidi="ar-OM"/>
        </w:rPr>
        <w:t>و</w:t>
      </w:r>
      <w:r w:rsidRPr="00904FCB">
        <w:rPr>
          <w:rFonts w:hint="cs"/>
          <w:sz w:val="27"/>
          <w:rtl/>
          <w:lang w:bidi="ar-OM"/>
        </w:rPr>
        <w:t>منهم</w:t>
      </w:r>
      <w:r w:rsidR="00744230" w:rsidRPr="00904FCB">
        <w:rPr>
          <w:rFonts w:hint="cs"/>
          <w:sz w:val="27"/>
          <w:rtl/>
          <w:lang w:bidi="ar-OM"/>
        </w:rPr>
        <w:t>:</w:t>
      </w:r>
      <w:r w:rsidRPr="00904FCB">
        <w:rPr>
          <w:rFonts w:hint="cs"/>
          <w:sz w:val="27"/>
          <w:rtl/>
          <w:lang w:bidi="ar-OM"/>
        </w:rPr>
        <w:t xml:space="preserve"> الماوردي(</w:t>
      </w:r>
      <w:r w:rsidRPr="001E5E90">
        <w:rPr>
          <w:rFonts w:hint="cs"/>
          <w:sz w:val="27"/>
          <w:rtl/>
          <w:lang w:bidi="ar-OM"/>
        </w:rPr>
        <w:t>450هـ</w:t>
      </w:r>
      <w:r w:rsidRPr="00904FCB">
        <w:rPr>
          <w:rFonts w:hint="cs"/>
          <w:sz w:val="27"/>
          <w:rtl/>
          <w:lang w:bidi="ar-OM"/>
        </w:rPr>
        <w:t>)، الذي كان يخالفه الرأي</w:t>
      </w:r>
      <w:r w:rsidR="00744230" w:rsidRPr="00904FCB">
        <w:rPr>
          <w:rFonts w:hint="cs"/>
          <w:sz w:val="27"/>
          <w:rtl/>
          <w:lang w:bidi="ar-OM"/>
        </w:rPr>
        <w:t>،</w:t>
      </w:r>
      <w:r w:rsidRPr="00904FCB">
        <w:rPr>
          <w:rFonts w:hint="cs"/>
          <w:sz w:val="27"/>
          <w:rtl/>
          <w:lang w:bidi="ar-OM"/>
        </w:rPr>
        <w:t xml:space="preserve"> ويعتبره شاذ</w:t>
      </w:r>
      <w:r w:rsidR="00744230" w:rsidRPr="00904FCB">
        <w:rPr>
          <w:rFonts w:hint="cs"/>
          <w:sz w:val="27"/>
          <w:rtl/>
          <w:lang w:bidi="ar-OM"/>
        </w:rPr>
        <w:t>ّ</w:t>
      </w:r>
      <w:r w:rsidRPr="00904FCB">
        <w:rPr>
          <w:rFonts w:hint="cs"/>
          <w:sz w:val="27"/>
          <w:rtl/>
          <w:lang w:bidi="ar-OM"/>
        </w:rPr>
        <w:t>ا</w:t>
      </w:r>
      <w:r w:rsidR="00744230" w:rsidRPr="00904FCB">
        <w:rPr>
          <w:rFonts w:hint="cs"/>
          <w:sz w:val="27"/>
          <w:rtl/>
          <w:lang w:bidi="ar-OM"/>
        </w:rPr>
        <w:t>ً</w:t>
      </w:r>
      <w:r w:rsidRPr="00904FCB">
        <w:rPr>
          <w:rFonts w:hint="cs"/>
          <w:sz w:val="27"/>
          <w:rtl/>
          <w:lang w:bidi="ar-OM"/>
        </w:rPr>
        <w:t xml:space="preserve"> خارجا</w:t>
      </w:r>
      <w:r w:rsidR="00744230" w:rsidRPr="00904FCB">
        <w:rPr>
          <w:rFonts w:hint="cs"/>
          <w:sz w:val="27"/>
          <w:rtl/>
          <w:lang w:bidi="ar-OM"/>
        </w:rPr>
        <w:t>ً</w:t>
      </w:r>
      <w:r w:rsidRPr="00904FCB">
        <w:rPr>
          <w:rFonts w:hint="cs"/>
          <w:sz w:val="27"/>
          <w:rtl/>
          <w:lang w:bidi="ar-OM"/>
        </w:rPr>
        <w:t xml:space="preserve"> عن الإجماع، ولهذا قال عنه</w:t>
      </w:r>
      <w:r w:rsidR="00744230" w:rsidRPr="00904FCB">
        <w:rPr>
          <w:rFonts w:hint="cs"/>
          <w:sz w:val="27"/>
          <w:rtl/>
          <w:lang w:bidi="ar-OM"/>
        </w:rPr>
        <w:t>:</w:t>
      </w:r>
      <w:r w:rsidRPr="00904FCB">
        <w:rPr>
          <w:rFonts w:hint="cs"/>
          <w:sz w:val="27"/>
          <w:rtl/>
          <w:lang w:bidi="ar-OM"/>
        </w:rPr>
        <w:t xml:space="preserve"> </w:t>
      </w:r>
      <w:r w:rsidRPr="00904FCB">
        <w:rPr>
          <w:rFonts w:hint="eastAsia"/>
          <w:sz w:val="27"/>
          <w:rtl/>
          <w:lang w:bidi="ar-OM"/>
        </w:rPr>
        <w:t>«</w:t>
      </w:r>
      <w:r w:rsidRPr="00904FCB">
        <w:rPr>
          <w:rFonts w:hint="cs"/>
          <w:sz w:val="27"/>
          <w:rtl/>
          <w:lang w:bidi="ar-OM"/>
        </w:rPr>
        <w:t>و</w:t>
      </w:r>
      <w:r w:rsidRPr="00904FCB">
        <w:rPr>
          <w:sz w:val="27"/>
          <w:rtl/>
          <w:lang w:bidi="ar-OM"/>
        </w:rPr>
        <w:t>شذ</w:t>
      </w:r>
      <w:r w:rsidR="00744230" w:rsidRPr="00904FCB">
        <w:rPr>
          <w:rFonts w:hint="cs"/>
          <w:sz w:val="27"/>
          <w:rtl/>
          <w:lang w:bidi="ar-OM"/>
        </w:rPr>
        <w:t>ّ</w:t>
      </w:r>
      <w:r w:rsidRPr="00904FCB">
        <w:rPr>
          <w:sz w:val="27"/>
          <w:rtl/>
          <w:lang w:bidi="ar-OM"/>
        </w:rPr>
        <w:t xml:space="preserve"> ابن جرير الطبري</w:t>
      </w:r>
      <w:r w:rsidR="00744230" w:rsidRPr="00904FCB">
        <w:rPr>
          <w:rFonts w:hint="cs"/>
          <w:sz w:val="27"/>
          <w:rtl/>
          <w:lang w:bidi="ar-OM"/>
        </w:rPr>
        <w:t>،</w:t>
      </w:r>
      <w:r w:rsidRPr="00904FCB">
        <w:rPr>
          <w:sz w:val="27"/>
          <w:rtl/>
          <w:lang w:bidi="ar-OM"/>
        </w:rPr>
        <w:t xml:space="preserve"> فجو</w:t>
      </w:r>
      <w:r w:rsidR="00744230" w:rsidRPr="00904FCB">
        <w:rPr>
          <w:rFonts w:hint="cs"/>
          <w:sz w:val="27"/>
          <w:rtl/>
          <w:lang w:bidi="ar-OM"/>
        </w:rPr>
        <w:t>َّ</w:t>
      </w:r>
      <w:r w:rsidRPr="00904FCB">
        <w:rPr>
          <w:sz w:val="27"/>
          <w:rtl/>
          <w:lang w:bidi="ar-OM"/>
        </w:rPr>
        <w:t>ز قضاءها في جميع الأحكام</w:t>
      </w:r>
      <w:r w:rsidR="00744230" w:rsidRPr="00904FCB">
        <w:rPr>
          <w:rFonts w:hint="eastAsia"/>
          <w:sz w:val="27"/>
          <w:rtl/>
        </w:rPr>
        <w:t>»</w:t>
      </w:r>
      <w:r w:rsidRPr="00904FCB">
        <w:rPr>
          <w:sz w:val="27"/>
          <w:rtl/>
          <w:lang w:bidi="ar-OM"/>
        </w:rPr>
        <w:t>. و</w:t>
      </w:r>
      <w:r w:rsidRPr="00904FCB">
        <w:rPr>
          <w:rFonts w:hint="cs"/>
          <w:sz w:val="27"/>
          <w:rtl/>
          <w:lang w:bidi="ar-OM"/>
        </w:rPr>
        <w:t>عل</w:t>
      </w:r>
      <w:r w:rsidR="00744230" w:rsidRPr="00904FCB">
        <w:rPr>
          <w:rFonts w:hint="cs"/>
          <w:sz w:val="27"/>
          <w:rtl/>
          <w:lang w:bidi="ar-OM"/>
        </w:rPr>
        <w:t>َّ</w:t>
      </w:r>
      <w:r w:rsidRPr="00904FCB">
        <w:rPr>
          <w:rFonts w:hint="cs"/>
          <w:sz w:val="27"/>
          <w:rtl/>
          <w:lang w:bidi="ar-OM"/>
        </w:rPr>
        <w:t xml:space="preserve">ق عليه بقوله: </w:t>
      </w:r>
      <w:r w:rsidR="00744230" w:rsidRPr="00904FCB">
        <w:rPr>
          <w:rFonts w:hint="eastAsia"/>
          <w:sz w:val="27"/>
          <w:rtl/>
          <w:lang w:bidi="ar-OM"/>
        </w:rPr>
        <w:t>«</w:t>
      </w:r>
      <w:r w:rsidRPr="00904FCB">
        <w:rPr>
          <w:sz w:val="27"/>
          <w:rtl/>
          <w:lang w:bidi="ar-OM"/>
        </w:rPr>
        <w:t>ولا اعتبار بقول</w:t>
      </w:r>
      <w:r w:rsidR="00744230" w:rsidRPr="00904FCB">
        <w:rPr>
          <w:rFonts w:hint="cs"/>
          <w:sz w:val="27"/>
          <w:rtl/>
          <w:lang w:bidi="ar-OM"/>
        </w:rPr>
        <w:t>ٍ</w:t>
      </w:r>
      <w:r w:rsidRPr="00904FCB">
        <w:rPr>
          <w:sz w:val="27"/>
          <w:rtl/>
          <w:lang w:bidi="ar-OM"/>
        </w:rPr>
        <w:t xml:space="preserve"> يرد</w:t>
      </w:r>
      <w:r w:rsidR="00744230" w:rsidRPr="00904FCB">
        <w:rPr>
          <w:rFonts w:hint="cs"/>
          <w:sz w:val="27"/>
          <w:rtl/>
          <w:lang w:bidi="ar-OM"/>
        </w:rPr>
        <w:t>ّ</w:t>
      </w:r>
      <w:r w:rsidRPr="00904FCB">
        <w:rPr>
          <w:sz w:val="27"/>
          <w:rtl/>
          <w:lang w:bidi="ar-OM"/>
        </w:rPr>
        <w:t xml:space="preserve">ه </w:t>
      </w:r>
      <w:r w:rsidRPr="00904FCB">
        <w:rPr>
          <w:rFonts w:hint="cs"/>
          <w:sz w:val="27"/>
          <w:rtl/>
          <w:lang w:bidi="ar-OM"/>
        </w:rPr>
        <w:t>الإجماع</w:t>
      </w:r>
      <w:r w:rsidR="00744230" w:rsidRPr="00904FCB">
        <w:rPr>
          <w:rFonts w:hint="cs"/>
          <w:sz w:val="27"/>
          <w:rtl/>
          <w:lang w:bidi="ar-OM"/>
        </w:rPr>
        <w:t>،</w:t>
      </w:r>
      <w:r w:rsidRPr="00904FCB">
        <w:rPr>
          <w:sz w:val="27"/>
          <w:rtl/>
          <w:lang w:bidi="ar-OM"/>
        </w:rPr>
        <w:t xml:space="preserve"> مع قول الله تعالى</w:t>
      </w:r>
      <w:r w:rsidR="00744230" w:rsidRPr="00904FCB">
        <w:rPr>
          <w:rFonts w:hint="cs"/>
          <w:sz w:val="27"/>
          <w:rtl/>
          <w:lang w:bidi="ar-OM"/>
        </w:rPr>
        <w:t>:</w:t>
      </w:r>
      <w:r w:rsidRPr="00904FCB">
        <w:rPr>
          <w:sz w:val="27"/>
          <w:rtl/>
          <w:lang w:bidi="ar-OM"/>
        </w:rPr>
        <w:t xml:space="preserve"> </w:t>
      </w:r>
      <w:r w:rsidR="00744230" w:rsidRPr="00904FCB">
        <w:rPr>
          <w:rFonts w:ascii="Mosawi" w:hAnsi="Mosawi" w:cs="Mosawi"/>
          <w:sz w:val="24"/>
          <w:szCs w:val="24"/>
          <w:rtl/>
        </w:rPr>
        <w:t>﴿</w:t>
      </w:r>
      <w:r w:rsidR="00744230" w:rsidRPr="00904FCB">
        <w:rPr>
          <w:b/>
          <w:bCs/>
          <w:sz w:val="27"/>
          <w:rtl/>
        </w:rPr>
        <w:t>الرِّجَالُ قَوَّامُونَ عَلَى النِّسَاءِ</w:t>
      </w:r>
      <w:r w:rsidR="00744230" w:rsidRPr="00904FCB">
        <w:rPr>
          <w:rFonts w:hint="cs"/>
          <w:sz w:val="27"/>
          <w:rtl/>
        </w:rPr>
        <w:t>...</w:t>
      </w:r>
      <w:r w:rsidR="00744230" w:rsidRPr="00904FCB">
        <w:rPr>
          <w:rFonts w:hint="cs"/>
          <w:sz w:val="27"/>
          <w:rtl/>
          <w:lang w:bidi="ar-OM"/>
        </w:rPr>
        <w:t>الآية</w:t>
      </w:r>
      <w:r w:rsidR="00744230" w:rsidRPr="00904FCB">
        <w:rPr>
          <w:rFonts w:ascii="Mosawi" w:hAnsi="Mosawi" w:cs="Mosawi"/>
          <w:sz w:val="24"/>
          <w:szCs w:val="24"/>
          <w:rtl/>
        </w:rPr>
        <w:t>﴾</w:t>
      </w:r>
      <w:r w:rsidRPr="00904FCB">
        <w:rPr>
          <w:rFonts w:hint="eastAsia"/>
          <w:sz w:val="27"/>
          <w:rtl/>
        </w:rPr>
        <w:t>»</w:t>
      </w:r>
      <w:r w:rsidRPr="00904FCB">
        <w:rPr>
          <w:rFonts w:hint="cs"/>
          <w:sz w:val="27"/>
          <w:vertAlign w:val="superscript"/>
          <w:rtl/>
        </w:rPr>
        <w:t>(</w:t>
      </w:r>
      <w:r w:rsidRPr="00904FCB">
        <w:rPr>
          <w:rStyle w:val="ac"/>
          <w:sz w:val="27"/>
          <w:rtl/>
        </w:rPr>
        <w:endnoteReference w:id="212"/>
      </w:r>
      <w:r w:rsidRPr="00904FCB">
        <w:rPr>
          <w:rFonts w:hint="cs"/>
          <w:sz w:val="27"/>
          <w:vertAlign w:val="superscript"/>
          <w:rtl/>
        </w:rPr>
        <w:t>)</w:t>
      </w:r>
      <w:r w:rsidRPr="00904FCB">
        <w:rPr>
          <w:rFonts w:hint="cs"/>
          <w:sz w:val="27"/>
          <w:rtl/>
          <w:lang w:bidi="ar-OM"/>
        </w:rPr>
        <w:t>.</w:t>
      </w:r>
    </w:p>
    <w:p w:rsidR="00744230" w:rsidRPr="00904FCB" w:rsidRDefault="00644408" w:rsidP="007A21AA">
      <w:pPr>
        <w:spacing w:line="400" w:lineRule="exact"/>
        <w:rPr>
          <w:sz w:val="27"/>
          <w:rtl/>
          <w:lang w:bidi="ar-OM"/>
        </w:rPr>
      </w:pPr>
      <w:r w:rsidRPr="00904FCB">
        <w:rPr>
          <w:sz w:val="27"/>
          <w:rtl/>
          <w:lang w:bidi="ar-OM"/>
        </w:rPr>
        <w:t>و</w:t>
      </w:r>
      <w:r w:rsidRPr="00904FCB">
        <w:rPr>
          <w:rFonts w:hint="cs"/>
          <w:sz w:val="27"/>
          <w:rtl/>
          <w:lang w:bidi="ar-OM"/>
        </w:rPr>
        <w:t xml:space="preserve">نقل </w:t>
      </w:r>
      <w:r w:rsidRPr="00904FCB">
        <w:rPr>
          <w:sz w:val="27"/>
          <w:rtl/>
          <w:lang w:bidi="ar-OM"/>
        </w:rPr>
        <w:t>الطوسي</w:t>
      </w:r>
      <w:r w:rsidRPr="00904FCB">
        <w:rPr>
          <w:rFonts w:hint="cs"/>
          <w:sz w:val="27"/>
          <w:rtl/>
          <w:lang w:bidi="ar-OM"/>
        </w:rPr>
        <w:t>(</w:t>
      </w:r>
      <w:r w:rsidRPr="001E5E90">
        <w:rPr>
          <w:rFonts w:hint="cs"/>
          <w:sz w:val="27"/>
          <w:rtl/>
          <w:lang w:bidi="ar-OM"/>
        </w:rPr>
        <w:t>460هـ</w:t>
      </w:r>
      <w:r w:rsidRPr="00904FCB">
        <w:rPr>
          <w:rFonts w:hint="cs"/>
          <w:sz w:val="27"/>
          <w:rtl/>
          <w:lang w:bidi="ar-OM"/>
        </w:rPr>
        <w:t xml:space="preserve">) عن الطبري قوله: </w:t>
      </w:r>
      <w:r w:rsidRPr="00904FCB">
        <w:rPr>
          <w:rFonts w:hint="eastAsia"/>
          <w:sz w:val="27"/>
          <w:rtl/>
          <w:lang w:bidi="ar-OM"/>
        </w:rPr>
        <w:t>«</w:t>
      </w:r>
      <w:r w:rsidRPr="00904FCB">
        <w:rPr>
          <w:sz w:val="27"/>
          <w:rtl/>
          <w:lang w:bidi="ar-OM"/>
        </w:rPr>
        <w:t>يجوز أن تكون قاضية في كل</w:t>
      </w:r>
      <w:r w:rsidR="00744230" w:rsidRPr="00904FCB">
        <w:rPr>
          <w:rFonts w:hint="cs"/>
          <w:sz w:val="27"/>
          <w:rtl/>
          <w:lang w:bidi="ar-OM"/>
        </w:rPr>
        <w:t>ّ</w:t>
      </w:r>
      <w:r w:rsidRPr="00904FCB">
        <w:rPr>
          <w:sz w:val="27"/>
          <w:rtl/>
          <w:lang w:bidi="ar-OM"/>
        </w:rPr>
        <w:t xml:space="preserve"> ما يجوز </w:t>
      </w:r>
      <w:r w:rsidR="00744230" w:rsidRPr="00904FCB">
        <w:rPr>
          <w:rFonts w:hint="cs"/>
          <w:sz w:val="27"/>
          <w:rtl/>
          <w:lang w:bidi="ar-OM"/>
        </w:rPr>
        <w:t>أ</w:t>
      </w:r>
      <w:r w:rsidRPr="00904FCB">
        <w:rPr>
          <w:sz w:val="27"/>
          <w:rtl/>
          <w:lang w:bidi="ar-OM"/>
        </w:rPr>
        <w:t>ن يكون الرجل قاضيا</w:t>
      </w:r>
      <w:r w:rsidR="00744230" w:rsidRPr="00904FCB">
        <w:rPr>
          <w:rFonts w:hint="cs"/>
          <w:sz w:val="27"/>
          <w:rtl/>
          <w:lang w:bidi="ar-OM"/>
        </w:rPr>
        <w:t>ً</w:t>
      </w:r>
      <w:r w:rsidRPr="00904FCB">
        <w:rPr>
          <w:sz w:val="27"/>
          <w:rtl/>
          <w:lang w:bidi="ar-OM"/>
        </w:rPr>
        <w:t xml:space="preserve"> فيه</w:t>
      </w:r>
      <w:r w:rsidR="00744230" w:rsidRPr="00904FCB">
        <w:rPr>
          <w:rFonts w:hint="cs"/>
          <w:sz w:val="27"/>
          <w:rtl/>
          <w:lang w:bidi="ar-OM"/>
        </w:rPr>
        <w:t>؛</w:t>
      </w:r>
      <w:r w:rsidRPr="00904FCB">
        <w:rPr>
          <w:sz w:val="27"/>
          <w:rtl/>
          <w:lang w:bidi="ar-OM"/>
        </w:rPr>
        <w:t xml:space="preserve"> لأنها تعد</w:t>
      </w:r>
      <w:r w:rsidR="00744230" w:rsidRPr="00904FCB">
        <w:rPr>
          <w:rFonts w:hint="cs"/>
          <w:sz w:val="27"/>
          <w:rtl/>
          <w:lang w:bidi="ar-OM"/>
        </w:rPr>
        <w:t>ّ</w:t>
      </w:r>
      <w:r w:rsidRPr="00904FCB">
        <w:rPr>
          <w:sz w:val="27"/>
          <w:rtl/>
          <w:lang w:bidi="ar-OM"/>
        </w:rPr>
        <w:t xml:space="preserve"> من أهل الاجتهاد</w:t>
      </w:r>
      <w:r w:rsidRPr="00904FCB">
        <w:rPr>
          <w:rFonts w:hint="eastAsia"/>
          <w:sz w:val="27"/>
          <w:rtl/>
        </w:rPr>
        <w:t>»</w:t>
      </w:r>
      <w:r w:rsidRPr="00904FCB">
        <w:rPr>
          <w:rFonts w:hint="cs"/>
          <w:sz w:val="27"/>
          <w:vertAlign w:val="superscript"/>
          <w:rtl/>
        </w:rPr>
        <w:t>(</w:t>
      </w:r>
      <w:r w:rsidRPr="00904FCB">
        <w:rPr>
          <w:rStyle w:val="ac"/>
          <w:sz w:val="27"/>
          <w:rtl/>
        </w:rPr>
        <w:endnoteReference w:id="213"/>
      </w:r>
      <w:r w:rsidRPr="00904FCB">
        <w:rPr>
          <w:rFonts w:hint="cs"/>
          <w:sz w:val="27"/>
          <w:vertAlign w:val="superscript"/>
          <w:rtl/>
        </w:rPr>
        <w:t>)</w:t>
      </w:r>
      <w:r w:rsidR="00744230" w:rsidRPr="00904FCB">
        <w:rPr>
          <w:rFonts w:hint="cs"/>
          <w:sz w:val="27"/>
          <w:rtl/>
          <w:lang w:bidi="ar-OM"/>
        </w:rPr>
        <w:t>،</w:t>
      </w:r>
      <w:r w:rsidRPr="00904FCB">
        <w:rPr>
          <w:rFonts w:hint="cs"/>
          <w:sz w:val="27"/>
          <w:rtl/>
          <w:lang w:bidi="ar-OM"/>
        </w:rPr>
        <w:t xml:space="preserve"> مم</w:t>
      </w:r>
      <w:r w:rsidR="00744230" w:rsidRPr="00904FCB">
        <w:rPr>
          <w:rFonts w:hint="cs"/>
          <w:sz w:val="27"/>
          <w:rtl/>
          <w:lang w:bidi="ar-OM"/>
        </w:rPr>
        <w:t>ّ</w:t>
      </w:r>
      <w:r w:rsidRPr="00904FCB">
        <w:rPr>
          <w:rFonts w:hint="cs"/>
          <w:sz w:val="27"/>
          <w:rtl/>
          <w:lang w:bidi="ar-OM"/>
        </w:rPr>
        <w:t xml:space="preserve">ا يعني </w:t>
      </w:r>
      <w:r w:rsidR="00744230" w:rsidRPr="00904FCB">
        <w:rPr>
          <w:rFonts w:hint="cs"/>
          <w:sz w:val="27"/>
          <w:rtl/>
          <w:lang w:bidi="ar-OM"/>
        </w:rPr>
        <w:t>أ</w:t>
      </w:r>
      <w:r w:rsidRPr="00904FCB">
        <w:rPr>
          <w:rFonts w:hint="cs"/>
          <w:sz w:val="27"/>
          <w:rtl/>
          <w:lang w:bidi="ar-OM"/>
        </w:rPr>
        <w:t>نه لم يكن يرى قصورها أو عدم أهلي</w:t>
      </w:r>
      <w:r w:rsidR="00744230" w:rsidRPr="00904FCB">
        <w:rPr>
          <w:rFonts w:hint="cs"/>
          <w:sz w:val="27"/>
          <w:rtl/>
          <w:lang w:bidi="ar-OM"/>
        </w:rPr>
        <w:t>ّ</w:t>
      </w:r>
      <w:r w:rsidRPr="00904FCB">
        <w:rPr>
          <w:rFonts w:hint="cs"/>
          <w:sz w:val="27"/>
          <w:rtl/>
          <w:lang w:bidi="ar-OM"/>
        </w:rPr>
        <w:t>تها طالما كانت من أهل ال</w:t>
      </w:r>
      <w:r w:rsidR="00744230" w:rsidRPr="00904FCB">
        <w:rPr>
          <w:rFonts w:hint="cs"/>
          <w:sz w:val="27"/>
          <w:rtl/>
          <w:lang w:bidi="ar-OM"/>
        </w:rPr>
        <w:t>ا</w:t>
      </w:r>
      <w:r w:rsidRPr="00904FCB">
        <w:rPr>
          <w:rFonts w:hint="cs"/>
          <w:sz w:val="27"/>
          <w:rtl/>
          <w:lang w:bidi="ar-OM"/>
        </w:rPr>
        <w:t>جتهاد</w:t>
      </w:r>
      <w:r w:rsidR="00744230" w:rsidRPr="00904FCB">
        <w:rPr>
          <w:rFonts w:hint="cs"/>
          <w:sz w:val="27"/>
          <w:rtl/>
          <w:lang w:bidi="ar-OM"/>
        </w:rPr>
        <w:t>،</w:t>
      </w:r>
      <w:r w:rsidRPr="00904FCB">
        <w:rPr>
          <w:rFonts w:hint="cs"/>
          <w:sz w:val="27"/>
          <w:rtl/>
          <w:lang w:bidi="ar-OM"/>
        </w:rPr>
        <w:t xml:space="preserve"> شأنها شأن الرجل في هذا المجال</w:t>
      </w:r>
      <w:r w:rsidR="00744230" w:rsidRPr="00904FCB">
        <w:rPr>
          <w:rFonts w:hint="cs"/>
          <w:sz w:val="27"/>
          <w:rtl/>
          <w:lang w:bidi="ar-OM"/>
        </w:rPr>
        <w:t>.</w:t>
      </w:r>
    </w:p>
    <w:p w:rsidR="00744230" w:rsidRPr="00904FCB" w:rsidRDefault="00644408" w:rsidP="007A21AA">
      <w:pPr>
        <w:spacing w:line="400" w:lineRule="exact"/>
        <w:rPr>
          <w:sz w:val="27"/>
          <w:rtl/>
        </w:rPr>
      </w:pPr>
      <w:r w:rsidRPr="00904FCB">
        <w:rPr>
          <w:rFonts w:hint="cs"/>
          <w:sz w:val="27"/>
          <w:rtl/>
          <w:lang w:bidi="ar-OM"/>
        </w:rPr>
        <w:t xml:space="preserve">ونسب ابن قدامة الحنبلي </w:t>
      </w:r>
      <w:r w:rsidR="00744230" w:rsidRPr="00904FCB">
        <w:rPr>
          <w:rFonts w:hint="cs"/>
          <w:sz w:val="27"/>
          <w:rtl/>
          <w:lang w:bidi="ar-OM"/>
        </w:rPr>
        <w:t>إ</w:t>
      </w:r>
      <w:r w:rsidRPr="00904FCB">
        <w:rPr>
          <w:rFonts w:hint="cs"/>
          <w:sz w:val="27"/>
          <w:rtl/>
          <w:lang w:bidi="ar-OM"/>
        </w:rPr>
        <w:t>لى الطبري أنه أس</w:t>
      </w:r>
      <w:r w:rsidR="00744230" w:rsidRPr="00904FCB">
        <w:rPr>
          <w:rFonts w:hint="cs"/>
          <w:sz w:val="27"/>
          <w:rtl/>
          <w:lang w:bidi="ar-OM"/>
        </w:rPr>
        <w:t>َّ</w:t>
      </w:r>
      <w:r w:rsidRPr="00904FCB">
        <w:rPr>
          <w:rFonts w:hint="cs"/>
          <w:sz w:val="27"/>
          <w:rtl/>
          <w:lang w:bidi="ar-OM"/>
        </w:rPr>
        <w:t xml:space="preserve">س رأيه </w:t>
      </w:r>
      <w:r w:rsidR="00744230" w:rsidRPr="00904FCB">
        <w:rPr>
          <w:rFonts w:hint="cs"/>
          <w:sz w:val="27"/>
          <w:rtl/>
          <w:lang w:bidi="ar-OM"/>
        </w:rPr>
        <w:t>السابق</w:t>
      </w:r>
      <w:r w:rsidRPr="00904FCB">
        <w:rPr>
          <w:rFonts w:hint="cs"/>
          <w:sz w:val="27"/>
          <w:rtl/>
          <w:lang w:bidi="ar-OM"/>
        </w:rPr>
        <w:t xml:space="preserve"> بناء</w:t>
      </w:r>
      <w:r w:rsidR="00744230" w:rsidRPr="00904FCB">
        <w:rPr>
          <w:rFonts w:hint="cs"/>
          <w:sz w:val="27"/>
          <w:rtl/>
          <w:lang w:bidi="ar-OM"/>
        </w:rPr>
        <w:t>ً</w:t>
      </w:r>
      <w:r w:rsidRPr="00904FCB">
        <w:rPr>
          <w:rFonts w:hint="cs"/>
          <w:sz w:val="27"/>
          <w:rtl/>
          <w:lang w:bidi="ar-OM"/>
        </w:rPr>
        <w:t xml:space="preserve"> على جواز تول</w:t>
      </w:r>
      <w:r w:rsidR="00744230" w:rsidRPr="00904FCB">
        <w:rPr>
          <w:rFonts w:hint="cs"/>
          <w:sz w:val="27"/>
          <w:rtl/>
          <w:lang w:bidi="ar-OM"/>
        </w:rPr>
        <w:t>ّ</w:t>
      </w:r>
      <w:r w:rsidRPr="00904FCB">
        <w:rPr>
          <w:rFonts w:hint="cs"/>
          <w:sz w:val="27"/>
          <w:rtl/>
          <w:lang w:bidi="ar-OM"/>
        </w:rPr>
        <w:t>يها الإفتاء</w:t>
      </w:r>
      <w:r w:rsidR="00744230" w:rsidRPr="00904FCB">
        <w:rPr>
          <w:rFonts w:hint="cs"/>
          <w:sz w:val="27"/>
          <w:rtl/>
          <w:lang w:bidi="ar-OM"/>
        </w:rPr>
        <w:t>،</w:t>
      </w:r>
      <w:r w:rsidRPr="00904FCB">
        <w:rPr>
          <w:rFonts w:hint="cs"/>
          <w:sz w:val="27"/>
          <w:rtl/>
          <w:lang w:bidi="ar-OM"/>
        </w:rPr>
        <w:t xml:space="preserve"> وليس على مجر</w:t>
      </w:r>
      <w:r w:rsidR="00744230" w:rsidRPr="00904FCB">
        <w:rPr>
          <w:rFonts w:hint="cs"/>
          <w:sz w:val="27"/>
          <w:rtl/>
          <w:lang w:bidi="ar-OM"/>
        </w:rPr>
        <w:t>ّ</w:t>
      </w:r>
      <w:r w:rsidRPr="00904FCB">
        <w:rPr>
          <w:rFonts w:hint="cs"/>
          <w:sz w:val="27"/>
          <w:rtl/>
          <w:lang w:bidi="ar-OM"/>
        </w:rPr>
        <w:t>د تمت</w:t>
      </w:r>
      <w:r w:rsidR="00744230" w:rsidRPr="00904FCB">
        <w:rPr>
          <w:rFonts w:hint="cs"/>
          <w:sz w:val="27"/>
          <w:rtl/>
          <w:lang w:bidi="ar-OM"/>
        </w:rPr>
        <w:t>ُّ</w:t>
      </w:r>
      <w:r w:rsidRPr="00904FCB">
        <w:rPr>
          <w:rFonts w:hint="cs"/>
          <w:sz w:val="27"/>
          <w:rtl/>
          <w:lang w:bidi="ar-OM"/>
        </w:rPr>
        <w:t>عها بملكة الاجتهاد</w:t>
      </w:r>
      <w:r w:rsidRPr="00904FCB">
        <w:rPr>
          <w:rFonts w:hint="cs"/>
          <w:sz w:val="27"/>
          <w:vertAlign w:val="superscript"/>
          <w:rtl/>
        </w:rPr>
        <w:t>(</w:t>
      </w:r>
      <w:r w:rsidRPr="00904FCB">
        <w:rPr>
          <w:rStyle w:val="ac"/>
          <w:sz w:val="27"/>
          <w:rtl/>
        </w:rPr>
        <w:endnoteReference w:id="214"/>
      </w:r>
      <w:r w:rsidRPr="00904FCB">
        <w:rPr>
          <w:rFonts w:hint="cs"/>
          <w:sz w:val="27"/>
          <w:vertAlign w:val="superscript"/>
          <w:rtl/>
        </w:rPr>
        <w:t>)</w:t>
      </w:r>
      <w:r w:rsidR="00744230" w:rsidRPr="00904FCB">
        <w:rPr>
          <w:rFonts w:hint="cs"/>
          <w:sz w:val="27"/>
          <w:rtl/>
        </w:rPr>
        <w:t>.</w:t>
      </w:r>
    </w:p>
    <w:p w:rsidR="00644408" w:rsidRPr="00904FCB" w:rsidRDefault="00644408" w:rsidP="007A21AA">
      <w:pPr>
        <w:spacing w:line="400" w:lineRule="exact"/>
        <w:rPr>
          <w:sz w:val="27"/>
          <w:rtl/>
          <w:lang w:bidi="ar-OM"/>
        </w:rPr>
      </w:pPr>
      <w:r w:rsidRPr="00904FCB">
        <w:rPr>
          <w:rFonts w:hint="cs"/>
          <w:sz w:val="27"/>
          <w:rtl/>
          <w:lang w:bidi="ar-OM"/>
        </w:rPr>
        <w:t>كما ذهب الفقيه الظاهري ابن حزم</w:t>
      </w:r>
      <w:r w:rsidRPr="00904FCB">
        <w:rPr>
          <w:sz w:val="27"/>
          <w:rtl/>
          <w:lang w:bidi="ar-OM"/>
        </w:rPr>
        <w:t>(</w:t>
      </w:r>
      <w:r w:rsidRPr="001E5E90">
        <w:rPr>
          <w:sz w:val="27"/>
          <w:rtl/>
          <w:lang w:bidi="ar-OM"/>
        </w:rPr>
        <w:t>456</w:t>
      </w:r>
      <w:r w:rsidRPr="001E5E90">
        <w:rPr>
          <w:rFonts w:hint="cs"/>
          <w:sz w:val="27"/>
          <w:rtl/>
          <w:lang w:bidi="ar-OM"/>
        </w:rPr>
        <w:t>هـ</w:t>
      </w:r>
      <w:r w:rsidRPr="00904FCB">
        <w:rPr>
          <w:rFonts w:hint="cs"/>
          <w:sz w:val="27"/>
          <w:rtl/>
          <w:lang w:bidi="ar-OM"/>
        </w:rPr>
        <w:t>)</w:t>
      </w:r>
      <w:r w:rsidRPr="00904FCB">
        <w:rPr>
          <w:sz w:val="27"/>
          <w:rtl/>
          <w:lang w:bidi="ar-OM"/>
        </w:rPr>
        <w:t xml:space="preserve"> </w:t>
      </w:r>
      <w:r w:rsidR="00744230" w:rsidRPr="00904FCB">
        <w:rPr>
          <w:rFonts w:hint="cs"/>
          <w:sz w:val="27"/>
          <w:rtl/>
          <w:lang w:bidi="ar-OM"/>
        </w:rPr>
        <w:t>إ</w:t>
      </w:r>
      <w:r w:rsidRPr="00904FCB">
        <w:rPr>
          <w:rFonts w:hint="cs"/>
          <w:sz w:val="27"/>
          <w:rtl/>
          <w:lang w:bidi="ar-OM"/>
        </w:rPr>
        <w:t>لى جواز تول</w:t>
      </w:r>
      <w:r w:rsidR="00744230" w:rsidRPr="00904FCB">
        <w:rPr>
          <w:rFonts w:hint="cs"/>
          <w:sz w:val="27"/>
          <w:rtl/>
          <w:lang w:bidi="ar-OM"/>
        </w:rPr>
        <w:t>ّ</w:t>
      </w:r>
      <w:r w:rsidRPr="00904FCB">
        <w:rPr>
          <w:rFonts w:hint="cs"/>
          <w:sz w:val="27"/>
          <w:rtl/>
          <w:lang w:bidi="ar-OM"/>
        </w:rPr>
        <w:t>ي المرأة للحكم والقضاء مطلقا</w:t>
      </w:r>
      <w:r w:rsidR="00744230" w:rsidRPr="00904FCB">
        <w:rPr>
          <w:rFonts w:hint="cs"/>
          <w:sz w:val="27"/>
          <w:rtl/>
          <w:lang w:bidi="ar-OM"/>
        </w:rPr>
        <w:t>ً،</w:t>
      </w:r>
      <w:r w:rsidRPr="00904FCB">
        <w:rPr>
          <w:rFonts w:hint="cs"/>
          <w:sz w:val="27"/>
          <w:rtl/>
          <w:lang w:bidi="ar-OM"/>
        </w:rPr>
        <w:t xml:space="preserve"> ودون تقييد</w:t>
      </w:r>
      <w:r w:rsidR="00744230" w:rsidRPr="00904FCB">
        <w:rPr>
          <w:rFonts w:hint="cs"/>
          <w:sz w:val="27"/>
          <w:rtl/>
          <w:lang w:bidi="ar-OM"/>
        </w:rPr>
        <w:t>ٍ</w:t>
      </w:r>
      <w:r w:rsidRPr="00904FCB">
        <w:rPr>
          <w:rFonts w:hint="cs"/>
          <w:sz w:val="27"/>
          <w:rtl/>
          <w:lang w:bidi="ar-OM"/>
        </w:rPr>
        <w:t xml:space="preserve"> بمجال معين</w:t>
      </w:r>
      <w:r w:rsidR="00744230" w:rsidRPr="00904FCB">
        <w:rPr>
          <w:rFonts w:hint="cs"/>
          <w:sz w:val="27"/>
          <w:rtl/>
          <w:lang w:bidi="ar-OM"/>
        </w:rPr>
        <w:t>.</w:t>
      </w:r>
      <w:r w:rsidRPr="00904FCB">
        <w:rPr>
          <w:rFonts w:hint="cs"/>
          <w:sz w:val="27"/>
          <w:rtl/>
          <w:lang w:bidi="ar-OM"/>
        </w:rPr>
        <w:t xml:space="preserve"> فقد </w:t>
      </w:r>
      <w:r w:rsidR="00744230" w:rsidRPr="00904FCB">
        <w:rPr>
          <w:rFonts w:hint="cs"/>
          <w:sz w:val="27"/>
          <w:rtl/>
          <w:lang w:bidi="ar-OM"/>
        </w:rPr>
        <w:t>قال</w:t>
      </w:r>
      <w:r w:rsidRPr="00904FCB">
        <w:rPr>
          <w:rFonts w:hint="cs"/>
          <w:sz w:val="27"/>
          <w:rtl/>
          <w:lang w:bidi="ar-OM"/>
        </w:rPr>
        <w:t xml:space="preserve"> في المحل</w:t>
      </w:r>
      <w:r w:rsidR="00744230" w:rsidRPr="00904FCB">
        <w:rPr>
          <w:rFonts w:hint="cs"/>
          <w:sz w:val="27"/>
          <w:rtl/>
          <w:lang w:bidi="ar-OM"/>
        </w:rPr>
        <w:t>ّ</w:t>
      </w:r>
      <w:r w:rsidRPr="00904FCB">
        <w:rPr>
          <w:rFonts w:hint="cs"/>
          <w:sz w:val="27"/>
          <w:rtl/>
          <w:lang w:bidi="ar-OM"/>
        </w:rPr>
        <w:t>ى</w:t>
      </w:r>
      <w:r w:rsidR="00744230" w:rsidRPr="00904FCB">
        <w:rPr>
          <w:rFonts w:hint="cs"/>
          <w:sz w:val="27"/>
          <w:rtl/>
          <w:lang w:bidi="ar-OM"/>
        </w:rPr>
        <w:t>:</w:t>
      </w:r>
      <w:r w:rsidRPr="00904FCB">
        <w:rPr>
          <w:rFonts w:hint="cs"/>
          <w:sz w:val="27"/>
          <w:rtl/>
          <w:lang w:bidi="ar-OM"/>
        </w:rPr>
        <w:t xml:space="preserve"> </w:t>
      </w:r>
      <w:r w:rsidRPr="00904FCB">
        <w:rPr>
          <w:rFonts w:hint="eastAsia"/>
          <w:sz w:val="27"/>
          <w:rtl/>
          <w:lang w:bidi="ar-OM"/>
        </w:rPr>
        <w:t>«</w:t>
      </w:r>
      <w:r w:rsidRPr="00904FCB">
        <w:rPr>
          <w:sz w:val="27"/>
          <w:rtl/>
          <w:lang w:bidi="ar-OM"/>
        </w:rPr>
        <w:t>وجائز</w:t>
      </w:r>
      <w:r w:rsidR="00744230" w:rsidRPr="00904FCB">
        <w:rPr>
          <w:rFonts w:hint="cs"/>
          <w:sz w:val="27"/>
          <w:rtl/>
          <w:lang w:bidi="ar-OM"/>
        </w:rPr>
        <w:t>ٌ</w:t>
      </w:r>
      <w:r w:rsidRPr="00904FCB">
        <w:rPr>
          <w:sz w:val="27"/>
          <w:rtl/>
          <w:lang w:bidi="ar-OM"/>
        </w:rPr>
        <w:t xml:space="preserve"> أن تلي المرأة الحكم</w:t>
      </w:r>
      <w:r w:rsidR="00744230" w:rsidRPr="00904FCB">
        <w:rPr>
          <w:rFonts w:hint="cs"/>
          <w:sz w:val="27"/>
          <w:rtl/>
          <w:lang w:bidi="ar-OM"/>
        </w:rPr>
        <w:t>،</w:t>
      </w:r>
      <w:r w:rsidRPr="00904FCB">
        <w:rPr>
          <w:sz w:val="27"/>
          <w:rtl/>
          <w:lang w:bidi="ar-OM"/>
        </w:rPr>
        <w:t xml:space="preserve"> وهو قول أبي حنيفة..</w:t>
      </w:r>
      <w:r w:rsidRPr="00904FCB">
        <w:rPr>
          <w:rFonts w:hint="cs"/>
          <w:sz w:val="27"/>
          <w:rtl/>
          <w:lang w:bidi="ar-OM"/>
        </w:rPr>
        <w:t>.</w:t>
      </w:r>
      <w:r w:rsidRPr="00904FCB">
        <w:rPr>
          <w:rFonts w:hint="eastAsia"/>
          <w:sz w:val="27"/>
          <w:rtl/>
        </w:rPr>
        <w:t>»</w:t>
      </w:r>
      <w:r w:rsidRPr="00904FCB">
        <w:rPr>
          <w:rFonts w:hint="cs"/>
          <w:sz w:val="27"/>
          <w:vertAlign w:val="superscript"/>
          <w:rtl/>
        </w:rPr>
        <w:t>(</w:t>
      </w:r>
      <w:r w:rsidRPr="00904FCB">
        <w:rPr>
          <w:rStyle w:val="ac"/>
          <w:sz w:val="27"/>
          <w:rtl/>
        </w:rPr>
        <w:endnoteReference w:id="215"/>
      </w:r>
      <w:r w:rsidRPr="00904FCB">
        <w:rPr>
          <w:rFonts w:hint="cs"/>
          <w:sz w:val="27"/>
          <w:vertAlign w:val="superscript"/>
          <w:rtl/>
        </w:rPr>
        <w:t>)</w:t>
      </w:r>
      <w:r w:rsidR="00744230"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وهناك م</w:t>
      </w:r>
      <w:r w:rsidR="00744230" w:rsidRPr="00904FCB">
        <w:rPr>
          <w:rFonts w:hint="cs"/>
          <w:sz w:val="27"/>
          <w:rtl/>
          <w:lang w:bidi="ar-OM"/>
        </w:rPr>
        <w:t>َ</w:t>
      </w:r>
      <w:r w:rsidRPr="00904FCB">
        <w:rPr>
          <w:rFonts w:hint="cs"/>
          <w:sz w:val="27"/>
          <w:rtl/>
          <w:lang w:bidi="ar-OM"/>
        </w:rPr>
        <w:t>ن</w:t>
      </w:r>
      <w:r w:rsidR="00744230" w:rsidRPr="00904FCB">
        <w:rPr>
          <w:rFonts w:hint="cs"/>
          <w:sz w:val="27"/>
          <w:rtl/>
          <w:lang w:bidi="ar-OM"/>
        </w:rPr>
        <w:t>ْ</w:t>
      </w:r>
      <w:r w:rsidRPr="00904FCB">
        <w:rPr>
          <w:rFonts w:hint="cs"/>
          <w:sz w:val="27"/>
          <w:rtl/>
          <w:lang w:bidi="ar-OM"/>
        </w:rPr>
        <w:t xml:space="preserve"> نظر إلى منصب القضاء كأي</w:t>
      </w:r>
      <w:r w:rsidR="00744230" w:rsidRPr="00904FCB">
        <w:rPr>
          <w:rFonts w:hint="cs"/>
          <w:sz w:val="27"/>
          <w:rtl/>
          <w:lang w:bidi="ar-OM"/>
        </w:rPr>
        <w:t>ّ</w:t>
      </w:r>
      <w:r w:rsidRPr="00904FCB">
        <w:rPr>
          <w:rFonts w:hint="cs"/>
          <w:sz w:val="27"/>
          <w:rtl/>
          <w:lang w:bidi="ar-OM"/>
        </w:rPr>
        <w:t xml:space="preserve"> منصب سياسي يستمد</w:t>
      </w:r>
      <w:r w:rsidR="00744230" w:rsidRPr="00904FCB">
        <w:rPr>
          <w:rFonts w:hint="cs"/>
          <w:sz w:val="27"/>
          <w:rtl/>
          <w:lang w:bidi="ar-OM"/>
        </w:rPr>
        <w:t>ّ</w:t>
      </w:r>
      <w:r w:rsidRPr="00904FCB">
        <w:rPr>
          <w:rFonts w:hint="cs"/>
          <w:sz w:val="27"/>
          <w:rtl/>
          <w:lang w:bidi="ar-OM"/>
        </w:rPr>
        <w:t xml:space="preserve"> شرعيته وولايته من تعيين الحاكم</w:t>
      </w:r>
      <w:r w:rsidR="00744230" w:rsidRPr="00904FCB">
        <w:rPr>
          <w:rFonts w:hint="cs"/>
          <w:sz w:val="27"/>
          <w:rtl/>
          <w:lang w:bidi="ar-OM"/>
        </w:rPr>
        <w:t>،</w:t>
      </w:r>
      <w:r w:rsidRPr="00904FCB">
        <w:rPr>
          <w:rFonts w:hint="cs"/>
          <w:sz w:val="27"/>
          <w:rtl/>
          <w:lang w:bidi="ar-OM"/>
        </w:rPr>
        <w:t xml:space="preserve"> ولم يشترط فيه حت</w:t>
      </w:r>
      <w:r w:rsidR="00744230" w:rsidRPr="00904FCB">
        <w:rPr>
          <w:rFonts w:hint="cs"/>
          <w:sz w:val="27"/>
          <w:rtl/>
          <w:lang w:bidi="ar-OM"/>
        </w:rPr>
        <w:t>ّ</w:t>
      </w:r>
      <w:r w:rsidRPr="00904FCB">
        <w:rPr>
          <w:rFonts w:hint="cs"/>
          <w:sz w:val="27"/>
          <w:rtl/>
          <w:lang w:bidi="ar-OM"/>
        </w:rPr>
        <w:t>ى الاجتهاد، ح</w:t>
      </w:r>
      <w:r w:rsidR="00744230" w:rsidRPr="00904FCB">
        <w:rPr>
          <w:rFonts w:hint="cs"/>
          <w:sz w:val="27"/>
          <w:rtl/>
          <w:lang w:bidi="ar-OM"/>
        </w:rPr>
        <w:t>َ</w:t>
      </w:r>
      <w:r w:rsidRPr="00904FCB">
        <w:rPr>
          <w:rFonts w:hint="cs"/>
          <w:sz w:val="27"/>
          <w:rtl/>
          <w:lang w:bidi="ar-OM"/>
        </w:rPr>
        <w:t>س</w:t>
      </w:r>
      <w:r w:rsidR="00744230" w:rsidRPr="00904FCB">
        <w:rPr>
          <w:rFonts w:hint="cs"/>
          <w:sz w:val="27"/>
          <w:rtl/>
          <w:lang w:bidi="ar-OM"/>
        </w:rPr>
        <w:t>ْ</w:t>
      </w:r>
      <w:r w:rsidRPr="00904FCB">
        <w:rPr>
          <w:rFonts w:hint="cs"/>
          <w:sz w:val="27"/>
          <w:rtl/>
          <w:lang w:bidi="ar-OM"/>
        </w:rPr>
        <w:t>ب</w:t>
      </w:r>
      <w:r w:rsidR="00744230" w:rsidRPr="00904FCB">
        <w:rPr>
          <w:rFonts w:hint="cs"/>
          <w:sz w:val="27"/>
          <w:rtl/>
          <w:lang w:bidi="ar-OM"/>
        </w:rPr>
        <w:t xml:space="preserve"> </w:t>
      </w:r>
      <w:r w:rsidRPr="00904FCB">
        <w:rPr>
          <w:rFonts w:hint="cs"/>
          <w:sz w:val="27"/>
          <w:rtl/>
          <w:lang w:bidi="ar-OM"/>
        </w:rPr>
        <w:t>ما يظهر من عبارة ابن نجيم الحنفي(</w:t>
      </w:r>
      <w:r w:rsidRPr="001E5E90">
        <w:rPr>
          <w:rFonts w:hint="cs"/>
          <w:sz w:val="27"/>
          <w:rtl/>
          <w:lang w:bidi="ar-OM"/>
        </w:rPr>
        <w:t>970هـ</w:t>
      </w:r>
      <w:r w:rsidRPr="00904FCB">
        <w:rPr>
          <w:rFonts w:hint="cs"/>
          <w:sz w:val="27"/>
          <w:rtl/>
          <w:lang w:bidi="ar-OM"/>
        </w:rPr>
        <w:t>)</w:t>
      </w:r>
      <w:r w:rsidR="00744230" w:rsidRPr="00904FCB">
        <w:rPr>
          <w:rFonts w:hint="cs"/>
          <w:sz w:val="27"/>
          <w:rtl/>
          <w:lang w:bidi="ar-OM"/>
        </w:rPr>
        <w:t>،</w:t>
      </w:r>
      <w:r w:rsidRPr="00904FCB">
        <w:rPr>
          <w:rFonts w:hint="cs"/>
          <w:sz w:val="27"/>
          <w:rtl/>
          <w:lang w:bidi="ar-OM"/>
        </w:rPr>
        <w:t xml:space="preserve"> الذي اشترط في الحاكم العقل والبلوغ</w:t>
      </w:r>
      <w:r w:rsidR="00744230" w:rsidRPr="00904FCB">
        <w:rPr>
          <w:rFonts w:hint="cs"/>
          <w:sz w:val="27"/>
          <w:rtl/>
          <w:lang w:bidi="ar-OM"/>
        </w:rPr>
        <w:t>،</w:t>
      </w:r>
      <w:r w:rsidRPr="00904FCB">
        <w:rPr>
          <w:rFonts w:hint="cs"/>
          <w:sz w:val="27"/>
          <w:rtl/>
          <w:lang w:bidi="ar-OM"/>
        </w:rPr>
        <w:t xml:space="preserve"> </w:t>
      </w:r>
      <w:r w:rsidR="00744230" w:rsidRPr="00904FCB">
        <w:rPr>
          <w:rFonts w:hint="cs"/>
          <w:sz w:val="27"/>
          <w:rtl/>
          <w:lang w:bidi="ar-OM"/>
        </w:rPr>
        <w:t>إ</w:t>
      </w:r>
      <w:r w:rsidRPr="00904FCB">
        <w:rPr>
          <w:rFonts w:hint="cs"/>
          <w:sz w:val="27"/>
          <w:rtl/>
          <w:lang w:bidi="ar-OM"/>
        </w:rPr>
        <w:t>لى أن قال: وأن يكون مولى للحكم دون سماع الدعوى فقط</w:t>
      </w:r>
      <w:r w:rsidR="00744230" w:rsidRPr="00904FCB">
        <w:rPr>
          <w:rFonts w:hint="cs"/>
          <w:sz w:val="27"/>
          <w:rtl/>
          <w:lang w:bidi="ar-OM"/>
        </w:rPr>
        <w:t>،</w:t>
      </w:r>
      <w:r w:rsidRPr="00904FCB">
        <w:rPr>
          <w:rFonts w:hint="cs"/>
          <w:sz w:val="27"/>
          <w:rtl/>
          <w:lang w:bidi="ar-OM"/>
        </w:rPr>
        <w:t xml:space="preserve"> كما في الخزانة، لا الذكورة والاجتهاد</w:t>
      </w:r>
      <w:r w:rsidRPr="00904FCB">
        <w:rPr>
          <w:rFonts w:hint="cs"/>
          <w:sz w:val="27"/>
          <w:vertAlign w:val="superscript"/>
          <w:rtl/>
        </w:rPr>
        <w:t>(</w:t>
      </w:r>
      <w:r w:rsidRPr="00904FCB">
        <w:rPr>
          <w:rStyle w:val="ac"/>
          <w:sz w:val="27"/>
          <w:rtl/>
        </w:rPr>
        <w:endnoteReference w:id="216"/>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وبالات</w:t>
      </w:r>
      <w:r w:rsidR="00744230" w:rsidRPr="00904FCB">
        <w:rPr>
          <w:rFonts w:hint="cs"/>
          <w:sz w:val="27"/>
          <w:rtl/>
          <w:lang w:bidi="ar-OM"/>
        </w:rPr>
        <w:t>ّ</w:t>
      </w:r>
      <w:r w:rsidRPr="00904FCB">
        <w:rPr>
          <w:rFonts w:hint="cs"/>
          <w:sz w:val="27"/>
          <w:rtl/>
          <w:lang w:bidi="ar-OM"/>
        </w:rPr>
        <w:t>ساق مع هذا التوج</w:t>
      </w:r>
      <w:r w:rsidR="00744230" w:rsidRPr="00904FCB">
        <w:rPr>
          <w:rFonts w:hint="cs"/>
          <w:sz w:val="27"/>
          <w:rtl/>
          <w:lang w:bidi="ar-OM"/>
        </w:rPr>
        <w:t>ُّ</w:t>
      </w:r>
      <w:r w:rsidRPr="00904FCB">
        <w:rPr>
          <w:rFonts w:hint="cs"/>
          <w:sz w:val="27"/>
          <w:rtl/>
          <w:lang w:bidi="ar-OM"/>
        </w:rPr>
        <w:t>ه الإيجابي الذي يجيز تولي المرأة للقضاء مطلقا</w:t>
      </w:r>
      <w:r w:rsidR="00744230" w:rsidRPr="00904FCB">
        <w:rPr>
          <w:rFonts w:hint="cs"/>
          <w:sz w:val="27"/>
          <w:rtl/>
          <w:lang w:bidi="ar-OM"/>
        </w:rPr>
        <w:t>ً</w:t>
      </w:r>
      <w:r w:rsidRPr="00904FCB">
        <w:rPr>
          <w:rFonts w:hint="cs"/>
          <w:sz w:val="27"/>
          <w:rtl/>
          <w:lang w:bidi="ar-OM"/>
        </w:rPr>
        <w:t xml:space="preserve"> ذهب بعض العلماء المعاصرين إلى أهلي</w:t>
      </w:r>
      <w:r w:rsidR="00744230" w:rsidRPr="00904FCB">
        <w:rPr>
          <w:rFonts w:hint="cs"/>
          <w:sz w:val="27"/>
          <w:rtl/>
          <w:lang w:bidi="ar-OM"/>
        </w:rPr>
        <w:t>ّ</w:t>
      </w:r>
      <w:r w:rsidRPr="00904FCB">
        <w:rPr>
          <w:rFonts w:hint="cs"/>
          <w:sz w:val="27"/>
          <w:rtl/>
          <w:lang w:bidi="ar-OM"/>
        </w:rPr>
        <w:t>ة المرأة لتول</w:t>
      </w:r>
      <w:r w:rsidR="00744230" w:rsidRPr="00904FCB">
        <w:rPr>
          <w:rFonts w:hint="cs"/>
          <w:sz w:val="27"/>
          <w:rtl/>
          <w:lang w:bidi="ar-OM"/>
        </w:rPr>
        <w:t>ّ</w:t>
      </w:r>
      <w:r w:rsidRPr="00904FCB">
        <w:rPr>
          <w:rFonts w:hint="cs"/>
          <w:sz w:val="27"/>
          <w:rtl/>
          <w:lang w:bidi="ar-OM"/>
        </w:rPr>
        <w:t>ي القضاء مطلقا</w:t>
      </w:r>
      <w:r w:rsidR="00744230" w:rsidRPr="00904FCB">
        <w:rPr>
          <w:rFonts w:hint="cs"/>
          <w:sz w:val="27"/>
          <w:rtl/>
          <w:lang w:bidi="ar-OM"/>
        </w:rPr>
        <w:t>ً</w:t>
      </w:r>
      <w:r w:rsidRPr="00904FCB">
        <w:rPr>
          <w:rFonts w:hint="cs"/>
          <w:sz w:val="27"/>
          <w:rtl/>
          <w:lang w:bidi="ar-OM"/>
        </w:rPr>
        <w:t xml:space="preserve">. </w:t>
      </w:r>
    </w:p>
    <w:p w:rsidR="00644408" w:rsidRPr="00904FCB" w:rsidRDefault="00644408" w:rsidP="00C5715C">
      <w:pPr>
        <w:spacing w:line="400" w:lineRule="exact"/>
        <w:rPr>
          <w:sz w:val="27"/>
          <w:rtl/>
          <w:lang w:bidi="ar-OM"/>
        </w:rPr>
      </w:pPr>
      <w:r w:rsidRPr="00904FCB">
        <w:rPr>
          <w:rFonts w:hint="cs"/>
          <w:sz w:val="27"/>
          <w:rtl/>
          <w:lang w:bidi="ar-OM"/>
        </w:rPr>
        <w:lastRenderedPageBreak/>
        <w:t>فقد أفتى الشيخ الصانعي بعدم اشتراط الذكورة أو الأنوثة في القضاء</w:t>
      </w:r>
      <w:r w:rsidR="00744230" w:rsidRPr="00904FCB">
        <w:rPr>
          <w:rFonts w:hint="cs"/>
          <w:sz w:val="27"/>
          <w:rtl/>
          <w:lang w:bidi="ar-OM"/>
        </w:rPr>
        <w:t>؛</w:t>
      </w:r>
      <w:r w:rsidRPr="00904FCB">
        <w:rPr>
          <w:rFonts w:hint="cs"/>
          <w:sz w:val="27"/>
          <w:rtl/>
          <w:lang w:bidi="ar-OM"/>
        </w:rPr>
        <w:t xml:space="preserve"> لأن معيار القضاء هو اعتدال القاضي</w:t>
      </w:r>
      <w:r w:rsidR="00744230" w:rsidRPr="00904FCB">
        <w:rPr>
          <w:rFonts w:hint="cs"/>
          <w:sz w:val="27"/>
          <w:rtl/>
          <w:lang w:bidi="ar-OM"/>
        </w:rPr>
        <w:t>،</w:t>
      </w:r>
      <w:r w:rsidRPr="00904FCB">
        <w:rPr>
          <w:rFonts w:hint="cs"/>
          <w:sz w:val="27"/>
          <w:rtl/>
          <w:lang w:bidi="ar-OM"/>
        </w:rPr>
        <w:t xml:space="preserve"> وكونه في الطريق المستقيم</w:t>
      </w:r>
      <w:r w:rsidR="00744230" w:rsidRPr="00904FCB">
        <w:rPr>
          <w:rFonts w:hint="cs"/>
          <w:sz w:val="27"/>
          <w:rtl/>
          <w:lang w:bidi="ar-OM"/>
        </w:rPr>
        <w:t>،</w:t>
      </w:r>
      <w:r w:rsidRPr="00904FCB">
        <w:rPr>
          <w:rFonts w:hint="cs"/>
          <w:sz w:val="27"/>
          <w:rtl/>
          <w:lang w:bidi="ar-OM"/>
        </w:rPr>
        <w:t xml:space="preserve"> وكونه عالما</w:t>
      </w:r>
      <w:r w:rsidR="00744230" w:rsidRPr="00904FCB">
        <w:rPr>
          <w:rFonts w:hint="cs"/>
          <w:sz w:val="27"/>
          <w:rtl/>
          <w:lang w:bidi="ar-OM"/>
        </w:rPr>
        <w:t>ً</w:t>
      </w:r>
      <w:r w:rsidRPr="00904FCB">
        <w:rPr>
          <w:rFonts w:hint="cs"/>
          <w:sz w:val="27"/>
          <w:rtl/>
          <w:lang w:bidi="ar-OM"/>
        </w:rPr>
        <w:t xml:space="preserve"> بالموازين ال</w:t>
      </w:r>
      <w:r w:rsidR="00C5715C">
        <w:rPr>
          <w:rFonts w:hint="cs"/>
          <w:sz w:val="27"/>
          <w:rtl/>
          <w:lang w:bidi="ar-OM"/>
        </w:rPr>
        <w:t>إ</w:t>
      </w:r>
      <w:r w:rsidRPr="00904FCB">
        <w:rPr>
          <w:rFonts w:hint="cs"/>
          <w:sz w:val="27"/>
          <w:rtl/>
          <w:lang w:bidi="ar-OM"/>
        </w:rPr>
        <w:t>سلامية للقضاء. ولا نملك دليلا</w:t>
      </w:r>
      <w:r w:rsidR="00744230" w:rsidRPr="00904FCB">
        <w:rPr>
          <w:rFonts w:hint="cs"/>
          <w:sz w:val="27"/>
          <w:rtl/>
          <w:lang w:bidi="ar-OM"/>
        </w:rPr>
        <w:t>ً</w:t>
      </w:r>
      <w:r w:rsidRPr="00904FCB">
        <w:rPr>
          <w:rFonts w:hint="cs"/>
          <w:sz w:val="27"/>
          <w:rtl/>
          <w:lang w:bidi="ar-OM"/>
        </w:rPr>
        <w:t xml:space="preserve"> معتبرا</w:t>
      </w:r>
      <w:r w:rsidR="00744230" w:rsidRPr="00904FCB">
        <w:rPr>
          <w:rFonts w:hint="cs"/>
          <w:sz w:val="27"/>
          <w:rtl/>
          <w:lang w:bidi="ar-OM"/>
        </w:rPr>
        <w:t>ً</w:t>
      </w:r>
      <w:r w:rsidRPr="00904FCB">
        <w:rPr>
          <w:rFonts w:hint="cs"/>
          <w:sz w:val="27"/>
          <w:rtl/>
          <w:lang w:bidi="ar-OM"/>
        </w:rPr>
        <w:t xml:space="preserve"> على شرطية الذكورة</w:t>
      </w:r>
      <w:r w:rsidR="00744230" w:rsidRPr="00904FCB">
        <w:rPr>
          <w:rFonts w:hint="cs"/>
          <w:sz w:val="27"/>
          <w:rtl/>
          <w:lang w:bidi="ar-OM"/>
        </w:rPr>
        <w:t>.</w:t>
      </w:r>
      <w:r w:rsidRPr="00904FCB">
        <w:rPr>
          <w:rFonts w:hint="cs"/>
          <w:sz w:val="27"/>
          <w:rtl/>
          <w:lang w:bidi="ar-OM"/>
        </w:rPr>
        <w:t xml:space="preserve"> ومقتضى </w:t>
      </w:r>
      <w:r w:rsidR="00744230" w:rsidRPr="00904FCB">
        <w:rPr>
          <w:rFonts w:hint="cs"/>
          <w:sz w:val="27"/>
          <w:rtl/>
          <w:lang w:bidi="ar-OM"/>
        </w:rPr>
        <w:t>إ</w:t>
      </w:r>
      <w:r w:rsidRPr="00904FCB">
        <w:rPr>
          <w:rFonts w:hint="cs"/>
          <w:sz w:val="27"/>
          <w:rtl/>
          <w:lang w:bidi="ar-OM"/>
        </w:rPr>
        <w:t>طلاق المقبولة</w:t>
      </w:r>
      <w:r w:rsidR="00744230" w:rsidRPr="00904FCB">
        <w:rPr>
          <w:rFonts w:hint="cs"/>
          <w:sz w:val="27"/>
          <w:rtl/>
          <w:lang w:bidi="ar-OM"/>
        </w:rPr>
        <w:t>،</w:t>
      </w:r>
      <w:r w:rsidRPr="00904FCB">
        <w:rPr>
          <w:rFonts w:hint="cs"/>
          <w:sz w:val="27"/>
          <w:rtl/>
          <w:lang w:bidi="ar-OM"/>
        </w:rPr>
        <w:t xml:space="preserve"> و</w:t>
      </w:r>
      <w:r w:rsidR="00744230" w:rsidRPr="00904FCB">
        <w:rPr>
          <w:rFonts w:hint="cs"/>
          <w:sz w:val="27"/>
          <w:rtl/>
          <w:lang w:bidi="ar-OM"/>
        </w:rPr>
        <w:t>إ</w:t>
      </w:r>
      <w:r w:rsidRPr="00904FCB">
        <w:rPr>
          <w:rFonts w:hint="cs"/>
          <w:sz w:val="27"/>
          <w:rtl/>
          <w:lang w:bidi="ar-OM"/>
        </w:rPr>
        <w:t>لغاء الخصوصية من التقييد برجل</w:t>
      </w:r>
      <w:r w:rsidR="00744230" w:rsidRPr="00904FCB">
        <w:rPr>
          <w:rFonts w:hint="cs"/>
          <w:sz w:val="27"/>
          <w:rtl/>
          <w:lang w:bidi="ar-OM"/>
        </w:rPr>
        <w:t>ٍ</w:t>
      </w:r>
      <w:r w:rsidRPr="00904FCB">
        <w:rPr>
          <w:rFonts w:hint="cs"/>
          <w:sz w:val="27"/>
          <w:rtl/>
          <w:lang w:bidi="ar-OM"/>
        </w:rPr>
        <w:t xml:space="preserve"> في رواية أبي خديجة</w:t>
      </w:r>
      <w:r w:rsidR="00744230" w:rsidRPr="00904FCB">
        <w:rPr>
          <w:rFonts w:hint="cs"/>
          <w:sz w:val="27"/>
          <w:rtl/>
          <w:lang w:bidi="ar-OM"/>
        </w:rPr>
        <w:t>،</w:t>
      </w:r>
      <w:r w:rsidRPr="00904FCB">
        <w:rPr>
          <w:rFonts w:hint="cs"/>
          <w:sz w:val="27"/>
          <w:rtl/>
          <w:lang w:bidi="ar-OM"/>
        </w:rPr>
        <w:t xml:space="preserve"> هو عدم اشتراط الذكورة</w:t>
      </w:r>
      <w:r w:rsidR="00744230" w:rsidRPr="00904FCB">
        <w:rPr>
          <w:rFonts w:hint="cs"/>
          <w:sz w:val="27"/>
          <w:rtl/>
          <w:lang w:bidi="ar-OM"/>
        </w:rPr>
        <w:t>،</w:t>
      </w:r>
      <w:r w:rsidRPr="00904FCB">
        <w:rPr>
          <w:rFonts w:hint="cs"/>
          <w:sz w:val="27"/>
          <w:rtl/>
          <w:lang w:bidi="ar-OM"/>
        </w:rPr>
        <w:t xml:space="preserve"> وصح</w:t>
      </w:r>
      <w:r w:rsidR="00744230" w:rsidRPr="00904FCB">
        <w:rPr>
          <w:rFonts w:hint="cs"/>
          <w:sz w:val="27"/>
          <w:rtl/>
          <w:lang w:bidi="ar-OM"/>
        </w:rPr>
        <w:t>ّ</w:t>
      </w:r>
      <w:r w:rsidRPr="00904FCB">
        <w:rPr>
          <w:rFonts w:hint="cs"/>
          <w:sz w:val="27"/>
          <w:rtl/>
          <w:lang w:bidi="ar-OM"/>
        </w:rPr>
        <w:t>ة قضاء المرأة</w:t>
      </w:r>
      <w:r w:rsidRPr="00904FCB">
        <w:rPr>
          <w:rFonts w:hint="cs"/>
          <w:sz w:val="27"/>
          <w:vertAlign w:val="superscript"/>
          <w:rtl/>
        </w:rPr>
        <w:t>(</w:t>
      </w:r>
      <w:r w:rsidRPr="00904FCB">
        <w:rPr>
          <w:rStyle w:val="ac"/>
          <w:sz w:val="27"/>
          <w:rtl/>
        </w:rPr>
        <w:endnoteReference w:id="217"/>
      </w:r>
      <w:r w:rsidRPr="00904FCB">
        <w:rPr>
          <w:rFonts w:hint="cs"/>
          <w:sz w:val="27"/>
          <w:vertAlign w:val="superscript"/>
          <w:rtl/>
        </w:rPr>
        <w:t>)</w:t>
      </w:r>
      <w:r w:rsidRPr="00904FCB">
        <w:rPr>
          <w:rFonts w:hint="cs"/>
          <w:sz w:val="27"/>
          <w:rtl/>
          <w:lang w:bidi="ar-OM"/>
        </w:rPr>
        <w:t>. وسنتطر</w:t>
      </w:r>
      <w:r w:rsidR="00744230" w:rsidRPr="00904FCB">
        <w:rPr>
          <w:rFonts w:hint="cs"/>
          <w:sz w:val="27"/>
          <w:rtl/>
          <w:lang w:bidi="ar-OM"/>
        </w:rPr>
        <w:t>ّ</w:t>
      </w:r>
      <w:r w:rsidRPr="00904FCB">
        <w:rPr>
          <w:rFonts w:hint="cs"/>
          <w:sz w:val="27"/>
          <w:rtl/>
          <w:lang w:bidi="ar-OM"/>
        </w:rPr>
        <w:t>ق لاحقا</w:t>
      </w:r>
      <w:r w:rsidR="00744230" w:rsidRPr="00904FCB">
        <w:rPr>
          <w:rFonts w:hint="cs"/>
          <w:sz w:val="27"/>
          <w:rtl/>
          <w:lang w:bidi="ar-OM"/>
        </w:rPr>
        <w:t>ً</w:t>
      </w:r>
      <w:r w:rsidRPr="00904FCB">
        <w:rPr>
          <w:rFonts w:hint="cs"/>
          <w:sz w:val="27"/>
          <w:rtl/>
          <w:lang w:bidi="ar-OM"/>
        </w:rPr>
        <w:t xml:space="preserve"> </w:t>
      </w:r>
      <w:r w:rsidR="00744230" w:rsidRPr="00904FCB">
        <w:rPr>
          <w:rFonts w:hint="cs"/>
          <w:sz w:val="27"/>
          <w:rtl/>
          <w:lang w:bidi="ar-OM"/>
        </w:rPr>
        <w:t>إ</w:t>
      </w:r>
      <w:r w:rsidRPr="00904FCB">
        <w:rPr>
          <w:rFonts w:hint="cs"/>
          <w:sz w:val="27"/>
          <w:rtl/>
          <w:lang w:bidi="ar-OM"/>
        </w:rPr>
        <w:t xml:space="preserve">لى مناقشات الفقهاء للروايات المشار إليها في كلامه. </w:t>
      </w:r>
    </w:p>
    <w:p w:rsidR="00744230" w:rsidRPr="00904FCB" w:rsidRDefault="00644408" w:rsidP="007A21AA">
      <w:pPr>
        <w:spacing w:line="400" w:lineRule="exact"/>
        <w:rPr>
          <w:sz w:val="27"/>
          <w:rtl/>
          <w:lang w:bidi="ar-OM"/>
        </w:rPr>
      </w:pPr>
      <w:r w:rsidRPr="00904FCB">
        <w:rPr>
          <w:rFonts w:hint="cs"/>
          <w:sz w:val="27"/>
          <w:rtl/>
          <w:lang w:bidi="ar-OM"/>
        </w:rPr>
        <w:t>واستعرض السيد فضل الله في درسه الفقهي حول القضاء آراء المانعين وأدل</w:t>
      </w:r>
      <w:r w:rsidR="00744230" w:rsidRPr="00904FCB">
        <w:rPr>
          <w:rFonts w:hint="cs"/>
          <w:sz w:val="27"/>
          <w:rtl/>
          <w:lang w:bidi="ar-OM"/>
        </w:rPr>
        <w:t>ّ</w:t>
      </w:r>
      <w:r w:rsidRPr="00904FCB">
        <w:rPr>
          <w:rFonts w:hint="cs"/>
          <w:sz w:val="27"/>
          <w:rtl/>
          <w:lang w:bidi="ar-OM"/>
        </w:rPr>
        <w:t>تهم</w:t>
      </w:r>
      <w:r w:rsidR="00744230" w:rsidRPr="00904FCB">
        <w:rPr>
          <w:rFonts w:hint="cs"/>
          <w:sz w:val="27"/>
          <w:rtl/>
          <w:lang w:bidi="ar-OM"/>
        </w:rPr>
        <w:t>.</w:t>
      </w:r>
      <w:r w:rsidRPr="00904FCB">
        <w:rPr>
          <w:rFonts w:hint="cs"/>
          <w:sz w:val="27"/>
          <w:rtl/>
          <w:lang w:bidi="ar-OM"/>
        </w:rPr>
        <w:t xml:space="preserve"> وبعد محاكمتها ونقدها انتهى </w:t>
      </w:r>
      <w:r w:rsidR="00744230" w:rsidRPr="00904FCB">
        <w:rPr>
          <w:rFonts w:hint="cs"/>
          <w:sz w:val="27"/>
          <w:rtl/>
          <w:lang w:bidi="ar-OM"/>
        </w:rPr>
        <w:t>إ</w:t>
      </w:r>
      <w:r w:rsidRPr="00904FCB">
        <w:rPr>
          <w:rFonts w:hint="cs"/>
          <w:sz w:val="27"/>
          <w:rtl/>
          <w:lang w:bidi="ar-OM"/>
        </w:rPr>
        <w:t xml:space="preserve">لى </w:t>
      </w:r>
      <w:r w:rsidR="00744230" w:rsidRPr="00904FCB">
        <w:rPr>
          <w:rFonts w:hint="cs"/>
          <w:sz w:val="27"/>
          <w:rtl/>
          <w:lang w:bidi="ar-OM"/>
        </w:rPr>
        <w:t>أ</w:t>
      </w:r>
      <w:r w:rsidRPr="00904FCB">
        <w:rPr>
          <w:rFonts w:hint="cs"/>
          <w:sz w:val="27"/>
          <w:rtl/>
          <w:lang w:bidi="ar-OM"/>
        </w:rPr>
        <w:t>ن مسألة عدم صح</w:t>
      </w:r>
      <w:r w:rsidR="00744230" w:rsidRPr="00904FCB">
        <w:rPr>
          <w:rFonts w:hint="cs"/>
          <w:sz w:val="27"/>
          <w:rtl/>
          <w:lang w:bidi="ar-OM"/>
        </w:rPr>
        <w:t>ّ</w:t>
      </w:r>
      <w:r w:rsidRPr="00904FCB">
        <w:rPr>
          <w:rFonts w:hint="cs"/>
          <w:sz w:val="27"/>
          <w:rtl/>
          <w:lang w:bidi="ar-OM"/>
        </w:rPr>
        <w:t>ة تولي المرأة للقضاء</w:t>
      </w:r>
      <w:r w:rsidR="00744230" w:rsidRPr="00904FCB">
        <w:rPr>
          <w:rFonts w:hint="cs"/>
          <w:sz w:val="27"/>
          <w:rtl/>
          <w:lang w:bidi="ar-OM"/>
        </w:rPr>
        <w:t>،</w:t>
      </w:r>
      <w:r w:rsidRPr="00904FCB">
        <w:rPr>
          <w:rFonts w:hint="cs"/>
          <w:sz w:val="27"/>
          <w:rtl/>
          <w:lang w:bidi="ar-OM"/>
        </w:rPr>
        <w:t xml:space="preserve"> وعدم نفوذ قضائها</w:t>
      </w:r>
      <w:r w:rsidR="00744230" w:rsidRPr="00904FCB">
        <w:rPr>
          <w:rFonts w:hint="cs"/>
          <w:sz w:val="27"/>
          <w:rtl/>
          <w:lang w:bidi="ar-OM"/>
        </w:rPr>
        <w:t>،</w:t>
      </w:r>
      <w:r w:rsidRPr="00904FCB">
        <w:rPr>
          <w:rFonts w:hint="cs"/>
          <w:sz w:val="27"/>
          <w:rtl/>
          <w:lang w:bidi="ar-OM"/>
        </w:rPr>
        <w:t xml:space="preserve"> محل</w:t>
      </w:r>
      <w:r w:rsidR="00744230" w:rsidRPr="00904FCB">
        <w:rPr>
          <w:rFonts w:hint="cs"/>
          <w:sz w:val="27"/>
          <w:rtl/>
          <w:lang w:bidi="ar-OM"/>
        </w:rPr>
        <w:t>ّ</w:t>
      </w:r>
      <w:r w:rsidRPr="00904FCB">
        <w:rPr>
          <w:rFonts w:hint="cs"/>
          <w:sz w:val="27"/>
          <w:rtl/>
          <w:lang w:bidi="ar-OM"/>
        </w:rPr>
        <w:t xml:space="preserve"> تحف</w:t>
      </w:r>
      <w:r w:rsidR="00744230" w:rsidRPr="00904FCB">
        <w:rPr>
          <w:rFonts w:hint="cs"/>
          <w:sz w:val="27"/>
          <w:rtl/>
          <w:lang w:bidi="ar-OM"/>
        </w:rPr>
        <w:t>ُّ</w:t>
      </w:r>
      <w:r w:rsidRPr="00904FCB">
        <w:rPr>
          <w:rFonts w:hint="cs"/>
          <w:sz w:val="27"/>
          <w:rtl/>
          <w:lang w:bidi="ar-OM"/>
        </w:rPr>
        <w:t>ظ علمي</w:t>
      </w:r>
      <w:r w:rsidR="00744230" w:rsidRPr="00904FCB">
        <w:rPr>
          <w:rFonts w:hint="cs"/>
          <w:sz w:val="27"/>
          <w:rtl/>
          <w:lang w:bidi="ar-OM"/>
        </w:rPr>
        <w:t>ّ،</w:t>
      </w:r>
      <w:r w:rsidRPr="00904FCB">
        <w:rPr>
          <w:rFonts w:hint="cs"/>
          <w:sz w:val="27"/>
          <w:rtl/>
          <w:lang w:bidi="ar-OM"/>
        </w:rPr>
        <w:t xml:space="preserve"> ولا يعضده الدليل</w:t>
      </w:r>
      <w:r w:rsidRPr="00904FCB">
        <w:rPr>
          <w:rFonts w:hint="cs"/>
          <w:sz w:val="27"/>
          <w:vertAlign w:val="superscript"/>
          <w:rtl/>
        </w:rPr>
        <w:t>(</w:t>
      </w:r>
      <w:r w:rsidRPr="00904FCB">
        <w:rPr>
          <w:rStyle w:val="ac"/>
          <w:sz w:val="27"/>
          <w:rtl/>
        </w:rPr>
        <w:endnoteReference w:id="218"/>
      </w:r>
      <w:r w:rsidRPr="00904FCB">
        <w:rPr>
          <w:rFonts w:hint="cs"/>
          <w:sz w:val="27"/>
          <w:vertAlign w:val="superscript"/>
          <w:rtl/>
        </w:rPr>
        <w:t>)</w:t>
      </w:r>
      <w:r w:rsidRPr="00904FCB">
        <w:rPr>
          <w:rFonts w:hint="cs"/>
          <w:sz w:val="27"/>
          <w:rtl/>
          <w:lang w:bidi="ar-OM"/>
        </w:rPr>
        <w:t xml:space="preserve">. </w:t>
      </w:r>
      <w:r w:rsidR="00744230" w:rsidRPr="00904FCB">
        <w:rPr>
          <w:rFonts w:hint="cs"/>
          <w:sz w:val="27"/>
          <w:rtl/>
          <w:lang w:bidi="ar-OM"/>
        </w:rPr>
        <w:t>و</w:t>
      </w:r>
      <w:r w:rsidRPr="00904FCB">
        <w:rPr>
          <w:rFonts w:hint="cs"/>
          <w:sz w:val="27"/>
          <w:rtl/>
          <w:lang w:bidi="ar-OM"/>
        </w:rPr>
        <w:t xml:space="preserve">تجدر الإشارة </w:t>
      </w:r>
      <w:r w:rsidR="00744230" w:rsidRPr="00904FCB">
        <w:rPr>
          <w:rFonts w:hint="cs"/>
          <w:sz w:val="27"/>
          <w:rtl/>
          <w:lang w:bidi="ar-OM"/>
        </w:rPr>
        <w:t>إ</w:t>
      </w:r>
      <w:r w:rsidRPr="00904FCB">
        <w:rPr>
          <w:rFonts w:hint="cs"/>
          <w:sz w:val="27"/>
          <w:rtl/>
          <w:lang w:bidi="ar-OM"/>
        </w:rPr>
        <w:t xml:space="preserve">لى </w:t>
      </w:r>
      <w:r w:rsidR="00744230" w:rsidRPr="00904FCB">
        <w:rPr>
          <w:rFonts w:hint="cs"/>
          <w:sz w:val="27"/>
          <w:rtl/>
          <w:lang w:bidi="ar-OM"/>
        </w:rPr>
        <w:t>أ</w:t>
      </w:r>
      <w:r w:rsidRPr="00904FCB">
        <w:rPr>
          <w:rFonts w:hint="cs"/>
          <w:sz w:val="27"/>
          <w:rtl/>
          <w:lang w:bidi="ar-OM"/>
        </w:rPr>
        <w:t>نه على مستوى الفتوى، اشترط الذكورة في مرجع التقليد</w:t>
      </w:r>
      <w:r w:rsidR="00744230" w:rsidRPr="00904FCB">
        <w:rPr>
          <w:rFonts w:hint="cs"/>
          <w:sz w:val="27"/>
          <w:rtl/>
          <w:lang w:bidi="ar-OM"/>
        </w:rPr>
        <w:t>،</w:t>
      </w:r>
      <w:r w:rsidRPr="00904FCB">
        <w:rPr>
          <w:rFonts w:hint="cs"/>
          <w:sz w:val="27"/>
          <w:rtl/>
          <w:lang w:bidi="ar-OM"/>
        </w:rPr>
        <w:t xml:space="preserve"> وكذا في المتصد</w:t>
      </w:r>
      <w:r w:rsidR="00744230" w:rsidRPr="00904FCB">
        <w:rPr>
          <w:rFonts w:hint="cs"/>
          <w:sz w:val="27"/>
          <w:rtl/>
          <w:lang w:bidi="ar-OM"/>
        </w:rPr>
        <w:t>ّ</w:t>
      </w:r>
      <w:r w:rsidRPr="00904FCB">
        <w:rPr>
          <w:rFonts w:hint="cs"/>
          <w:sz w:val="27"/>
          <w:rtl/>
          <w:lang w:bidi="ar-OM"/>
        </w:rPr>
        <w:t>ي للقضاء والقيادة العامة، وإن</w:t>
      </w:r>
      <w:r w:rsidR="00744230" w:rsidRPr="00904FCB">
        <w:rPr>
          <w:rFonts w:hint="cs"/>
          <w:sz w:val="27"/>
          <w:rtl/>
          <w:lang w:bidi="ar-OM"/>
        </w:rPr>
        <w:t>ْ</w:t>
      </w:r>
      <w:r w:rsidRPr="00904FCB">
        <w:rPr>
          <w:rFonts w:hint="cs"/>
          <w:sz w:val="27"/>
          <w:rtl/>
          <w:lang w:bidi="ar-OM"/>
        </w:rPr>
        <w:t xml:space="preserve"> ألمح </w:t>
      </w:r>
      <w:r w:rsidR="00744230" w:rsidRPr="00904FCB">
        <w:rPr>
          <w:rFonts w:hint="cs"/>
          <w:sz w:val="27"/>
          <w:rtl/>
          <w:lang w:bidi="ar-OM"/>
        </w:rPr>
        <w:t>إ</w:t>
      </w:r>
      <w:r w:rsidRPr="00904FCB">
        <w:rPr>
          <w:rFonts w:hint="cs"/>
          <w:sz w:val="27"/>
          <w:rtl/>
          <w:lang w:bidi="ar-OM"/>
        </w:rPr>
        <w:t xml:space="preserve">لى </w:t>
      </w:r>
      <w:r w:rsidR="00744230" w:rsidRPr="00904FCB">
        <w:rPr>
          <w:rFonts w:hint="cs"/>
          <w:sz w:val="27"/>
          <w:rtl/>
          <w:lang w:bidi="ar-OM"/>
        </w:rPr>
        <w:t>أ</w:t>
      </w:r>
      <w:r w:rsidRPr="00904FCB">
        <w:rPr>
          <w:rFonts w:hint="cs"/>
          <w:sz w:val="27"/>
          <w:rtl/>
          <w:lang w:bidi="ar-OM"/>
        </w:rPr>
        <w:t>ن بعض الشروط مبني</w:t>
      </w:r>
      <w:r w:rsidR="00744230" w:rsidRPr="00904FCB">
        <w:rPr>
          <w:rFonts w:hint="cs"/>
          <w:sz w:val="27"/>
          <w:rtl/>
          <w:lang w:bidi="ar-OM"/>
        </w:rPr>
        <w:t>ّ</w:t>
      </w:r>
      <w:r w:rsidRPr="00904FCB">
        <w:rPr>
          <w:rFonts w:hint="cs"/>
          <w:sz w:val="27"/>
          <w:rtl/>
          <w:lang w:bidi="ar-OM"/>
        </w:rPr>
        <w:t>ة على الاحتياط</w:t>
      </w:r>
      <w:r w:rsidRPr="00904FCB">
        <w:rPr>
          <w:rFonts w:hint="cs"/>
          <w:sz w:val="27"/>
          <w:vertAlign w:val="superscript"/>
          <w:rtl/>
        </w:rPr>
        <w:t>(</w:t>
      </w:r>
      <w:r w:rsidRPr="00904FCB">
        <w:rPr>
          <w:rStyle w:val="ac"/>
          <w:sz w:val="27"/>
          <w:rtl/>
        </w:rPr>
        <w:endnoteReference w:id="219"/>
      </w:r>
      <w:r w:rsidRPr="00904FCB">
        <w:rPr>
          <w:rFonts w:hint="cs"/>
          <w:sz w:val="27"/>
          <w:vertAlign w:val="superscript"/>
          <w:rtl/>
        </w:rPr>
        <w:t>)</w:t>
      </w:r>
      <w:r w:rsidR="00744230"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ويقي</w:t>
      </w:r>
      <w:r w:rsidR="00744230" w:rsidRPr="00904FCB">
        <w:rPr>
          <w:rFonts w:hint="cs"/>
          <w:sz w:val="27"/>
          <w:rtl/>
          <w:lang w:bidi="ar-OM"/>
        </w:rPr>
        <w:t>ِّ</w:t>
      </w:r>
      <w:r w:rsidRPr="00904FCB">
        <w:rPr>
          <w:rFonts w:hint="cs"/>
          <w:sz w:val="27"/>
          <w:rtl/>
          <w:lang w:bidi="ar-OM"/>
        </w:rPr>
        <w:t>د بعض العلماء المعاصرين الجواز ببعض الضوابط، كأن</w:t>
      </w:r>
      <w:r w:rsidR="00744230" w:rsidRPr="00904FCB">
        <w:rPr>
          <w:rFonts w:hint="cs"/>
          <w:sz w:val="27"/>
          <w:rtl/>
          <w:lang w:bidi="ar-OM"/>
        </w:rPr>
        <w:t>ْ</w:t>
      </w:r>
      <w:r w:rsidRPr="00904FCB">
        <w:rPr>
          <w:rFonts w:hint="cs"/>
          <w:sz w:val="27"/>
          <w:rtl/>
          <w:lang w:bidi="ar-OM"/>
        </w:rPr>
        <w:t xml:space="preserve"> تتدرج المرأة في ذلك، فأو</w:t>
      </w:r>
      <w:r w:rsidR="00744230" w:rsidRPr="00904FCB">
        <w:rPr>
          <w:rFonts w:hint="cs"/>
          <w:sz w:val="27"/>
          <w:rtl/>
          <w:lang w:bidi="ar-OM"/>
        </w:rPr>
        <w:t>ّ</w:t>
      </w:r>
      <w:r w:rsidRPr="00904FCB">
        <w:rPr>
          <w:rFonts w:hint="cs"/>
          <w:sz w:val="27"/>
          <w:rtl/>
          <w:lang w:bidi="ar-OM"/>
        </w:rPr>
        <w:t xml:space="preserve">ل ما تعمل قاضية ليس بالضرورة </w:t>
      </w:r>
      <w:r w:rsidR="00744230" w:rsidRPr="00904FCB">
        <w:rPr>
          <w:rFonts w:hint="cs"/>
          <w:sz w:val="27"/>
          <w:rtl/>
          <w:lang w:bidi="ar-OM"/>
        </w:rPr>
        <w:t>أ</w:t>
      </w:r>
      <w:r w:rsidRPr="00904FCB">
        <w:rPr>
          <w:rFonts w:hint="cs"/>
          <w:sz w:val="27"/>
          <w:rtl/>
          <w:lang w:bidi="ar-OM"/>
        </w:rPr>
        <w:t>ن تعمل في الجنايات، بل تبدأ بالأحوال الشخصية وشؤون الأسرة، وفي المحكمة الابتدائية</w:t>
      </w:r>
      <w:r w:rsidR="00744230" w:rsidRPr="00904FCB">
        <w:rPr>
          <w:rFonts w:hint="cs"/>
          <w:sz w:val="27"/>
          <w:rtl/>
          <w:lang w:bidi="ar-OM"/>
        </w:rPr>
        <w:t>،</w:t>
      </w:r>
      <w:r w:rsidRPr="00904FCB">
        <w:rPr>
          <w:rFonts w:hint="cs"/>
          <w:sz w:val="27"/>
          <w:rtl/>
          <w:lang w:bidi="ar-OM"/>
        </w:rPr>
        <w:t xml:space="preserve"> ثم</w:t>
      </w:r>
      <w:r w:rsidR="00744230" w:rsidRPr="00904FCB">
        <w:rPr>
          <w:rFonts w:hint="cs"/>
          <w:sz w:val="27"/>
          <w:rtl/>
          <w:lang w:bidi="ar-OM"/>
        </w:rPr>
        <w:t>ّ</w:t>
      </w:r>
      <w:r w:rsidRPr="00904FCB">
        <w:rPr>
          <w:rFonts w:hint="cs"/>
          <w:sz w:val="27"/>
          <w:rtl/>
          <w:lang w:bidi="ar-OM"/>
        </w:rPr>
        <w:t xml:space="preserve"> أعلى منها</w:t>
      </w:r>
      <w:r w:rsidR="00744230" w:rsidRPr="00904FCB">
        <w:rPr>
          <w:rFonts w:hint="cs"/>
          <w:sz w:val="27"/>
          <w:rtl/>
          <w:lang w:bidi="ar-OM"/>
        </w:rPr>
        <w:t>،</w:t>
      </w:r>
      <w:r w:rsidRPr="00904FCB">
        <w:rPr>
          <w:rFonts w:hint="cs"/>
          <w:sz w:val="27"/>
          <w:rtl/>
          <w:lang w:bidi="ar-OM"/>
        </w:rPr>
        <w:t xml:space="preserve"> وقد تكون في محكمة فردية أو محكمة مشاركة فيها كعضو</w:t>
      </w:r>
      <w:r w:rsidR="00744230" w:rsidRPr="00904FCB">
        <w:rPr>
          <w:rFonts w:hint="cs"/>
          <w:sz w:val="27"/>
          <w:rtl/>
          <w:lang w:bidi="ar-OM"/>
        </w:rPr>
        <w:t>ٍ</w:t>
      </w:r>
      <w:r w:rsidRPr="00904FCB">
        <w:rPr>
          <w:rFonts w:hint="cs"/>
          <w:sz w:val="27"/>
          <w:rtl/>
          <w:lang w:bidi="ar-OM"/>
        </w:rPr>
        <w:t xml:space="preserve"> من الأعضاء وهكذا، </w:t>
      </w:r>
      <w:r w:rsidR="00B96A00" w:rsidRPr="00904FCB">
        <w:rPr>
          <w:rFonts w:hint="cs"/>
          <w:sz w:val="27"/>
          <w:rtl/>
          <w:lang w:bidi="ar-OM"/>
        </w:rPr>
        <w:t>و</w:t>
      </w:r>
      <w:r w:rsidR="00744230" w:rsidRPr="00904FCB">
        <w:rPr>
          <w:rFonts w:hint="cs"/>
          <w:sz w:val="27"/>
          <w:rtl/>
          <w:lang w:bidi="ar-OM"/>
        </w:rPr>
        <w:t>أ</w:t>
      </w:r>
      <w:r w:rsidRPr="00904FCB">
        <w:rPr>
          <w:rFonts w:hint="cs"/>
          <w:sz w:val="27"/>
          <w:rtl/>
          <w:lang w:bidi="ar-OM"/>
        </w:rPr>
        <w:t>ن تكون مؤه</w:t>
      </w:r>
      <w:r w:rsidR="00B96A00" w:rsidRPr="00904FCB">
        <w:rPr>
          <w:rFonts w:hint="cs"/>
          <w:sz w:val="27"/>
          <w:rtl/>
          <w:lang w:bidi="ar-OM"/>
        </w:rPr>
        <w:t>َّ</w:t>
      </w:r>
      <w:r w:rsidRPr="00904FCB">
        <w:rPr>
          <w:rFonts w:hint="cs"/>
          <w:sz w:val="27"/>
          <w:rtl/>
          <w:lang w:bidi="ar-OM"/>
        </w:rPr>
        <w:t xml:space="preserve">لة لذلك. وكذلك يجب </w:t>
      </w:r>
      <w:r w:rsidR="00B96A00" w:rsidRPr="00904FCB">
        <w:rPr>
          <w:rFonts w:hint="cs"/>
          <w:sz w:val="27"/>
          <w:rtl/>
          <w:lang w:bidi="ar-OM"/>
        </w:rPr>
        <w:t>أ</w:t>
      </w:r>
      <w:r w:rsidRPr="00904FCB">
        <w:rPr>
          <w:rFonts w:hint="cs"/>
          <w:sz w:val="27"/>
          <w:rtl/>
          <w:lang w:bidi="ar-OM"/>
        </w:rPr>
        <w:t>ن تكون في عمر</w:t>
      </w:r>
      <w:r w:rsidR="00B96A00" w:rsidRPr="00904FCB">
        <w:rPr>
          <w:rFonts w:hint="cs"/>
          <w:sz w:val="27"/>
          <w:rtl/>
          <w:lang w:bidi="ar-OM"/>
        </w:rPr>
        <w:t>ٍ</w:t>
      </w:r>
      <w:r w:rsidRPr="00904FCB">
        <w:rPr>
          <w:rFonts w:hint="cs"/>
          <w:sz w:val="27"/>
          <w:rtl/>
          <w:lang w:bidi="ar-OM"/>
        </w:rPr>
        <w:t xml:space="preserve"> معقول، أي بعد أن تكون قد فرغت من الحمل والإرضاع وغيرهما، ولا ب</w:t>
      </w:r>
      <w:r w:rsidR="00B96A00" w:rsidRPr="00904FCB">
        <w:rPr>
          <w:rFonts w:hint="cs"/>
          <w:sz w:val="27"/>
          <w:rtl/>
          <w:lang w:bidi="ar-OM"/>
        </w:rPr>
        <w:t>ُ</w:t>
      </w:r>
      <w:r w:rsidRPr="00904FCB">
        <w:rPr>
          <w:rFonts w:hint="cs"/>
          <w:sz w:val="27"/>
          <w:rtl/>
          <w:lang w:bidi="ar-OM"/>
        </w:rPr>
        <w:t>د</w:t>
      </w:r>
      <w:r w:rsidR="00B96A00" w:rsidRPr="00904FCB">
        <w:rPr>
          <w:rFonts w:hint="cs"/>
          <w:sz w:val="27"/>
          <w:rtl/>
          <w:lang w:bidi="ar-OM"/>
        </w:rPr>
        <w:t>َّ</w:t>
      </w:r>
      <w:r w:rsidRPr="00904FCB">
        <w:rPr>
          <w:rFonts w:hint="cs"/>
          <w:sz w:val="27"/>
          <w:rtl/>
          <w:lang w:bidi="ar-OM"/>
        </w:rPr>
        <w:t xml:space="preserve"> </w:t>
      </w:r>
      <w:r w:rsidR="00B96A00" w:rsidRPr="00904FCB">
        <w:rPr>
          <w:rFonts w:hint="cs"/>
          <w:sz w:val="27"/>
          <w:rtl/>
          <w:lang w:bidi="ar-OM"/>
        </w:rPr>
        <w:t>أ</w:t>
      </w:r>
      <w:r w:rsidRPr="00904FCB">
        <w:rPr>
          <w:rFonts w:hint="cs"/>
          <w:sz w:val="27"/>
          <w:rtl/>
          <w:lang w:bidi="ar-OM"/>
        </w:rPr>
        <w:t>ن يكون المجتمع مؤه</w:t>
      </w:r>
      <w:r w:rsidR="00B96A00" w:rsidRPr="00904FCB">
        <w:rPr>
          <w:rFonts w:hint="cs"/>
          <w:sz w:val="27"/>
          <w:rtl/>
          <w:lang w:bidi="ar-OM"/>
        </w:rPr>
        <w:t>َّ</w:t>
      </w:r>
      <w:r w:rsidRPr="00904FCB">
        <w:rPr>
          <w:rFonts w:hint="cs"/>
          <w:sz w:val="27"/>
          <w:rtl/>
          <w:lang w:bidi="ar-OM"/>
        </w:rPr>
        <w:t>لا</w:t>
      </w:r>
      <w:r w:rsidR="00B96A00" w:rsidRPr="00904FCB">
        <w:rPr>
          <w:rFonts w:hint="cs"/>
          <w:sz w:val="27"/>
          <w:rtl/>
          <w:lang w:bidi="ar-OM"/>
        </w:rPr>
        <w:t>ً</w:t>
      </w:r>
      <w:r w:rsidRPr="00904FCB">
        <w:rPr>
          <w:rFonts w:hint="cs"/>
          <w:sz w:val="27"/>
          <w:rtl/>
          <w:lang w:bidi="ar-OM"/>
        </w:rPr>
        <w:t xml:space="preserve"> ومتقب</w:t>
      </w:r>
      <w:r w:rsidR="00B96A00" w:rsidRPr="00904FCB">
        <w:rPr>
          <w:rFonts w:hint="cs"/>
          <w:sz w:val="27"/>
          <w:rtl/>
          <w:lang w:bidi="ar-OM"/>
        </w:rPr>
        <w:t>ِّ</w:t>
      </w:r>
      <w:r w:rsidRPr="00904FCB">
        <w:rPr>
          <w:rFonts w:hint="cs"/>
          <w:sz w:val="27"/>
          <w:rtl/>
          <w:lang w:bidi="ar-OM"/>
        </w:rPr>
        <w:t>لا</w:t>
      </w:r>
      <w:r w:rsidR="00B96A00" w:rsidRPr="00904FCB">
        <w:rPr>
          <w:rFonts w:hint="cs"/>
          <w:sz w:val="27"/>
          <w:rtl/>
          <w:lang w:bidi="ar-OM"/>
        </w:rPr>
        <w:t>ً</w:t>
      </w:r>
      <w:r w:rsidRPr="00904FCB">
        <w:rPr>
          <w:rFonts w:hint="cs"/>
          <w:sz w:val="27"/>
          <w:rtl/>
          <w:lang w:bidi="ar-OM"/>
        </w:rPr>
        <w:t xml:space="preserve"> لذلك</w:t>
      </w:r>
      <w:r w:rsidRPr="00904FCB">
        <w:rPr>
          <w:rFonts w:hint="cs"/>
          <w:sz w:val="27"/>
          <w:vertAlign w:val="superscript"/>
          <w:rtl/>
        </w:rPr>
        <w:t>(</w:t>
      </w:r>
      <w:r w:rsidRPr="00904FCB">
        <w:rPr>
          <w:rStyle w:val="ac"/>
          <w:sz w:val="27"/>
          <w:rtl/>
        </w:rPr>
        <w:endnoteReference w:id="220"/>
      </w:r>
      <w:r w:rsidRPr="00904FCB">
        <w:rPr>
          <w:rFonts w:hint="cs"/>
          <w:sz w:val="27"/>
          <w:vertAlign w:val="superscript"/>
          <w:rtl/>
        </w:rPr>
        <w:t>)</w:t>
      </w:r>
      <w:r w:rsidRPr="00904FCB">
        <w:rPr>
          <w:rFonts w:hint="cs"/>
          <w:sz w:val="27"/>
          <w:rtl/>
          <w:lang w:bidi="ar-OM"/>
        </w:rPr>
        <w:t xml:space="preserve">. </w:t>
      </w:r>
    </w:p>
    <w:p w:rsidR="00644408" w:rsidRPr="00904FCB" w:rsidRDefault="00644408" w:rsidP="00C5715C">
      <w:pPr>
        <w:spacing w:line="400" w:lineRule="exact"/>
        <w:rPr>
          <w:sz w:val="27"/>
          <w:rtl/>
          <w:lang w:bidi="ar-OM"/>
        </w:rPr>
      </w:pPr>
      <w:r w:rsidRPr="00904FCB">
        <w:rPr>
          <w:rFonts w:hint="cs"/>
          <w:sz w:val="27"/>
          <w:rtl/>
          <w:lang w:bidi="ar-OM"/>
        </w:rPr>
        <w:t xml:space="preserve">والواقع </w:t>
      </w:r>
      <w:r w:rsidR="00B96A00" w:rsidRPr="00904FCB">
        <w:rPr>
          <w:rFonts w:hint="cs"/>
          <w:sz w:val="27"/>
          <w:rtl/>
          <w:lang w:bidi="ar-OM"/>
        </w:rPr>
        <w:t>أ</w:t>
      </w:r>
      <w:r w:rsidRPr="00904FCB">
        <w:rPr>
          <w:rFonts w:hint="cs"/>
          <w:sz w:val="27"/>
          <w:rtl/>
          <w:lang w:bidi="ar-OM"/>
        </w:rPr>
        <w:t xml:space="preserve">ن هذه هي بعض الحجج التي يستند </w:t>
      </w:r>
      <w:r w:rsidR="00B96A00" w:rsidRPr="00904FCB">
        <w:rPr>
          <w:rFonts w:hint="cs"/>
          <w:sz w:val="27"/>
          <w:rtl/>
          <w:lang w:bidi="ar-OM"/>
        </w:rPr>
        <w:t>إ</w:t>
      </w:r>
      <w:r w:rsidRPr="00904FCB">
        <w:rPr>
          <w:rFonts w:hint="cs"/>
          <w:sz w:val="27"/>
          <w:rtl/>
          <w:lang w:bidi="ar-OM"/>
        </w:rPr>
        <w:t>ليها المانعون من تولي المرأة لهذه المناصب. ويبدو أنها محاولة</w:t>
      </w:r>
      <w:r w:rsidR="00B96A00" w:rsidRPr="00904FCB">
        <w:rPr>
          <w:rFonts w:hint="cs"/>
          <w:sz w:val="27"/>
          <w:rtl/>
          <w:lang w:bidi="ar-OM"/>
        </w:rPr>
        <w:t>ٌ</w:t>
      </w:r>
      <w:r w:rsidRPr="00904FCB">
        <w:rPr>
          <w:rFonts w:hint="cs"/>
          <w:sz w:val="27"/>
          <w:rtl/>
          <w:lang w:bidi="ar-OM"/>
        </w:rPr>
        <w:t xml:space="preserve"> لطرح رؤية تتفه</w:t>
      </w:r>
      <w:r w:rsidR="00B96A00" w:rsidRPr="00904FCB">
        <w:rPr>
          <w:rFonts w:hint="cs"/>
          <w:sz w:val="27"/>
          <w:rtl/>
          <w:lang w:bidi="ar-OM"/>
        </w:rPr>
        <w:t>َّ</w:t>
      </w:r>
      <w:r w:rsidRPr="00904FCB">
        <w:rPr>
          <w:rFonts w:hint="cs"/>
          <w:sz w:val="27"/>
          <w:rtl/>
          <w:lang w:bidi="ar-OM"/>
        </w:rPr>
        <w:t>م حجج المانعين</w:t>
      </w:r>
      <w:r w:rsidR="00B96A00" w:rsidRPr="00904FCB">
        <w:rPr>
          <w:rFonts w:hint="cs"/>
          <w:sz w:val="27"/>
          <w:rtl/>
          <w:lang w:bidi="ar-OM"/>
        </w:rPr>
        <w:t>،</w:t>
      </w:r>
      <w:r w:rsidRPr="00904FCB">
        <w:rPr>
          <w:rFonts w:hint="cs"/>
          <w:sz w:val="27"/>
          <w:rtl/>
          <w:lang w:bidi="ar-OM"/>
        </w:rPr>
        <w:t xml:space="preserve"> وتراعي النظرة الثقافية للمجتمع. لقد تناولت إحدى الباحثات بالتحليل النقدي جل</w:t>
      </w:r>
      <w:r w:rsidR="00B96A00" w:rsidRPr="00904FCB">
        <w:rPr>
          <w:rFonts w:hint="cs"/>
          <w:sz w:val="27"/>
          <w:rtl/>
          <w:lang w:bidi="ar-OM"/>
        </w:rPr>
        <w:t>َّ</w:t>
      </w:r>
      <w:r w:rsidRPr="00904FCB">
        <w:rPr>
          <w:rFonts w:hint="cs"/>
          <w:sz w:val="27"/>
          <w:rtl/>
          <w:lang w:bidi="ar-OM"/>
        </w:rPr>
        <w:t xml:space="preserve"> الأدلة النصية والقياسية التي استند </w:t>
      </w:r>
      <w:r w:rsidR="00B96A00" w:rsidRPr="00904FCB">
        <w:rPr>
          <w:rFonts w:hint="cs"/>
          <w:sz w:val="27"/>
          <w:rtl/>
          <w:lang w:bidi="ar-OM"/>
        </w:rPr>
        <w:t>إ</w:t>
      </w:r>
      <w:r w:rsidRPr="00904FCB">
        <w:rPr>
          <w:rFonts w:hint="cs"/>
          <w:sz w:val="27"/>
          <w:rtl/>
          <w:lang w:bidi="ar-OM"/>
        </w:rPr>
        <w:t>ليها القائلون بالتحريم، وتوص</w:t>
      </w:r>
      <w:r w:rsidR="00B96A00" w:rsidRPr="00904FCB">
        <w:rPr>
          <w:rFonts w:hint="cs"/>
          <w:sz w:val="27"/>
          <w:rtl/>
          <w:lang w:bidi="ar-OM"/>
        </w:rPr>
        <w:t>َّ</w:t>
      </w:r>
      <w:r w:rsidRPr="00904FCB">
        <w:rPr>
          <w:rFonts w:hint="cs"/>
          <w:sz w:val="27"/>
          <w:rtl/>
          <w:lang w:bidi="ar-OM"/>
        </w:rPr>
        <w:t>ل</w:t>
      </w:r>
      <w:r w:rsidR="00B96A00" w:rsidRPr="00904FCB">
        <w:rPr>
          <w:rFonts w:hint="cs"/>
          <w:sz w:val="27"/>
          <w:rtl/>
          <w:lang w:bidi="ar-OM"/>
        </w:rPr>
        <w:t>َ</w:t>
      </w:r>
      <w:r w:rsidRPr="00904FCB">
        <w:rPr>
          <w:rFonts w:hint="cs"/>
          <w:sz w:val="27"/>
          <w:rtl/>
          <w:lang w:bidi="ar-OM"/>
        </w:rPr>
        <w:t>ت</w:t>
      </w:r>
      <w:r w:rsidR="00B96A00" w:rsidRPr="00904FCB">
        <w:rPr>
          <w:rFonts w:hint="cs"/>
          <w:sz w:val="27"/>
          <w:rtl/>
          <w:lang w:bidi="ar-OM"/>
        </w:rPr>
        <w:t>ْ</w:t>
      </w:r>
      <w:r w:rsidRPr="00904FCB">
        <w:rPr>
          <w:rFonts w:hint="cs"/>
          <w:sz w:val="27"/>
          <w:rtl/>
          <w:lang w:bidi="ar-OM"/>
        </w:rPr>
        <w:t xml:space="preserve"> </w:t>
      </w:r>
      <w:r w:rsidR="00B96A00" w:rsidRPr="00904FCB">
        <w:rPr>
          <w:rFonts w:hint="cs"/>
          <w:sz w:val="27"/>
          <w:rtl/>
          <w:lang w:bidi="ar-OM"/>
        </w:rPr>
        <w:t>إل</w:t>
      </w:r>
      <w:r w:rsidRPr="00904FCB">
        <w:rPr>
          <w:rFonts w:hint="cs"/>
          <w:sz w:val="27"/>
          <w:rtl/>
          <w:lang w:bidi="ar-OM"/>
        </w:rPr>
        <w:t>ى عدم قو</w:t>
      </w:r>
      <w:r w:rsidR="00B96A00" w:rsidRPr="00904FCB">
        <w:rPr>
          <w:rFonts w:hint="cs"/>
          <w:sz w:val="27"/>
          <w:rtl/>
          <w:lang w:bidi="ar-OM"/>
        </w:rPr>
        <w:t>ّ</w:t>
      </w:r>
      <w:r w:rsidRPr="00904FCB">
        <w:rPr>
          <w:rFonts w:hint="cs"/>
          <w:sz w:val="27"/>
          <w:rtl/>
          <w:lang w:bidi="ar-OM"/>
        </w:rPr>
        <w:t>تها أو عدم كفايتها من حيث الثبوت والدلالة. وقر</w:t>
      </w:r>
      <w:r w:rsidR="00B96A00" w:rsidRPr="00904FCB">
        <w:rPr>
          <w:rFonts w:hint="cs"/>
          <w:sz w:val="27"/>
          <w:rtl/>
          <w:lang w:bidi="ar-OM"/>
        </w:rPr>
        <w:t>ّ</w:t>
      </w:r>
      <w:r w:rsidRPr="00904FCB">
        <w:rPr>
          <w:rFonts w:hint="cs"/>
          <w:sz w:val="27"/>
          <w:rtl/>
          <w:lang w:bidi="ar-OM"/>
        </w:rPr>
        <w:t xml:space="preserve">رت </w:t>
      </w:r>
      <w:r w:rsidR="00B96A00" w:rsidRPr="00904FCB">
        <w:rPr>
          <w:rFonts w:hint="cs"/>
          <w:sz w:val="27"/>
          <w:rtl/>
          <w:lang w:bidi="ar-OM"/>
        </w:rPr>
        <w:t>أ</w:t>
      </w:r>
      <w:r w:rsidRPr="00904FCB">
        <w:rPr>
          <w:rFonts w:hint="cs"/>
          <w:sz w:val="27"/>
          <w:rtl/>
          <w:lang w:bidi="ar-OM"/>
        </w:rPr>
        <w:t>ن العرف الاجتماعي والثقافي كان له أثر</w:t>
      </w:r>
      <w:r w:rsidR="00B96A00" w:rsidRPr="00904FCB">
        <w:rPr>
          <w:rFonts w:hint="cs"/>
          <w:sz w:val="27"/>
          <w:rtl/>
          <w:lang w:bidi="ar-OM"/>
        </w:rPr>
        <w:t>ٌ</w:t>
      </w:r>
      <w:r w:rsidRPr="00904FCB">
        <w:rPr>
          <w:rFonts w:hint="cs"/>
          <w:sz w:val="27"/>
          <w:rtl/>
          <w:lang w:bidi="ar-OM"/>
        </w:rPr>
        <w:t xml:space="preserve"> كبير على </w:t>
      </w:r>
      <w:r w:rsidR="00C5715C">
        <w:rPr>
          <w:rFonts w:hint="cs"/>
          <w:sz w:val="27"/>
          <w:rtl/>
          <w:lang w:bidi="ar-OM"/>
        </w:rPr>
        <w:t>حرمان</w:t>
      </w:r>
      <w:r w:rsidRPr="00904FCB">
        <w:rPr>
          <w:rFonts w:hint="cs"/>
          <w:sz w:val="27"/>
          <w:rtl/>
          <w:lang w:bidi="ar-OM"/>
        </w:rPr>
        <w:t xml:space="preserve"> المرأة من تولي القضاء</w:t>
      </w:r>
      <w:r w:rsidRPr="00904FCB">
        <w:rPr>
          <w:rFonts w:hint="cs"/>
          <w:sz w:val="27"/>
          <w:vertAlign w:val="superscript"/>
          <w:rtl/>
        </w:rPr>
        <w:t>(</w:t>
      </w:r>
      <w:r w:rsidRPr="00904FCB">
        <w:rPr>
          <w:rStyle w:val="ac"/>
          <w:sz w:val="27"/>
          <w:rtl/>
        </w:rPr>
        <w:endnoteReference w:id="221"/>
      </w:r>
      <w:r w:rsidRPr="00904FCB">
        <w:rPr>
          <w:rFonts w:hint="cs"/>
          <w:sz w:val="27"/>
          <w:vertAlign w:val="superscript"/>
          <w:rtl/>
        </w:rPr>
        <w:t>)</w:t>
      </w:r>
      <w:r w:rsidRPr="00904FCB">
        <w:rPr>
          <w:rFonts w:hint="cs"/>
          <w:sz w:val="27"/>
          <w:rtl/>
          <w:lang w:bidi="ar-OM"/>
        </w:rPr>
        <w:t xml:space="preserve">. </w:t>
      </w:r>
    </w:p>
    <w:p w:rsidR="00B96A00" w:rsidRPr="00904FCB" w:rsidRDefault="00644408" w:rsidP="007A21AA">
      <w:pPr>
        <w:spacing w:line="400" w:lineRule="exact"/>
        <w:rPr>
          <w:sz w:val="27"/>
          <w:rtl/>
          <w:lang w:bidi="ar-OM"/>
        </w:rPr>
      </w:pPr>
      <w:r w:rsidRPr="00904FCB">
        <w:rPr>
          <w:rFonts w:hint="cs"/>
          <w:sz w:val="27"/>
          <w:rtl/>
          <w:lang w:bidi="ar-OM"/>
        </w:rPr>
        <w:t>وعلى صعيد</w:t>
      </w:r>
      <w:r w:rsidR="00B96A00" w:rsidRPr="00904FCB">
        <w:rPr>
          <w:rFonts w:hint="cs"/>
          <w:sz w:val="27"/>
          <w:rtl/>
          <w:lang w:bidi="ar-OM"/>
        </w:rPr>
        <w:t>ٍ</w:t>
      </w:r>
      <w:r w:rsidRPr="00904FCB">
        <w:rPr>
          <w:rFonts w:hint="cs"/>
          <w:sz w:val="27"/>
          <w:rtl/>
          <w:lang w:bidi="ar-OM"/>
        </w:rPr>
        <w:t xml:space="preserve"> آخر يرى بعض الباحثين </w:t>
      </w:r>
      <w:r w:rsidR="00B96A00" w:rsidRPr="00904FCB">
        <w:rPr>
          <w:rFonts w:hint="cs"/>
          <w:sz w:val="27"/>
          <w:rtl/>
          <w:lang w:bidi="ar-OM"/>
        </w:rPr>
        <w:t>أ</w:t>
      </w:r>
      <w:r w:rsidRPr="00904FCB">
        <w:rPr>
          <w:rFonts w:hint="cs"/>
          <w:sz w:val="27"/>
          <w:rtl/>
          <w:lang w:bidi="ar-OM"/>
        </w:rPr>
        <w:t>نه مع تحو</w:t>
      </w:r>
      <w:r w:rsidR="00B96A00" w:rsidRPr="00904FCB">
        <w:rPr>
          <w:rFonts w:hint="cs"/>
          <w:sz w:val="27"/>
          <w:rtl/>
          <w:lang w:bidi="ar-OM"/>
        </w:rPr>
        <w:t>ُّ</w:t>
      </w:r>
      <w:r w:rsidRPr="00904FCB">
        <w:rPr>
          <w:rFonts w:hint="cs"/>
          <w:sz w:val="27"/>
          <w:rtl/>
          <w:lang w:bidi="ar-OM"/>
        </w:rPr>
        <w:t xml:space="preserve">ل القضاء </w:t>
      </w:r>
      <w:r w:rsidR="00B96A00" w:rsidRPr="00904FCB">
        <w:rPr>
          <w:rFonts w:hint="cs"/>
          <w:sz w:val="27"/>
          <w:rtl/>
          <w:lang w:bidi="ar-OM"/>
        </w:rPr>
        <w:t>إ</w:t>
      </w:r>
      <w:r w:rsidRPr="00904FCB">
        <w:rPr>
          <w:rFonts w:hint="cs"/>
          <w:sz w:val="27"/>
          <w:rtl/>
          <w:lang w:bidi="ar-OM"/>
        </w:rPr>
        <w:t>لى قضاء مؤس</w:t>
      </w:r>
      <w:r w:rsidR="00B96A00" w:rsidRPr="00904FCB">
        <w:rPr>
          <w:rFonts w:hint="cs"/>
          <w:sz w:val="27"/>
          <w:rtl/>
          <w:lang w:bidi="ar-OM"/>
        </w:rPr>
        <w:t>ّ</w:t>
      </w:r>
      <w:r w:rsidRPr="00904FCB">
        <w:rPr>
          <w:rFonts w:hint="cs"/>
          <w:sz w:val="27"/>
          <w:rtl/>
          <w:lang w:bidi="ar-OM"/>
        </w:rPr>
        <w:t>سي يشترك في الحكم فيه عدد</w:t>
      </w:r>
      <w:r w:rsidR="00B96A00" w:rsidRPr="00904FCB">
        <w:rPr>
          <w:rFonts w:hint="cs"/>
          <w:sz w:val="27"/>
          <w:rtl/>
          <w:lang w:bidi="ar-OM"/>
        </w:rPr>
        <w:t>ٌ</w:t>
      </w:r>
      <w:r w:rsidRPr="00904FCB">
        <w:rPr>
          <w:rFonts w:hint="cs"/>
          <w:sz w:val="27"/>
          <w:rtl/>
          <w:lang w:bidi="ar-OM"/>
        </w:rPr>
        <w:t xml:space="preserve"> من القضاة، فإن مشاركة المرأة فيه لا تندرج تحت أحكام ولاية المرأة للقضاء بالمعنى الذي قر</w:t>
      </w:r>
      <w:r w:rsidR="00B96A00" w:rsidRPr="00904FCB">
        <w:rPr>
          <w:rFonts w:hint="cs"/>
          <w:sz w:val="27"/>
          <w:rtl/>
          <w:lang w:bidi="ar-OM"/>
        </w:rPr>
        <w:t>َّ</w:t>
      </w:r>
      <w:r w:rsidRPr="00904FCB">
        <w:rPr>
          <w:rFonts w:hint="cs"/>
          <w:sz w:val="27"/>
          <w:rtl/>
          <w:lang w:bidi="ar-OM"/>
        </w:rPr>
        <w:t>ره الفقهاء في فقه القضاء</w:t>
      </w:r>
      <w:r w:rsidR="00B96A00" w:rsidRPr="00904FCB">
        <w:rPr>
          <w:rFonts w:hint="cs"/>
          <w:sz w:val="27"/>
          <w:rtl/>
          <w:lang w:bidi="ar-OM"/>
        </w:rPr>
        <w:t>؛</w:t>
      </w:r>
      <w:r w:rsidRPr="00904FCB">
        <w:rPr>
          <w:rFonts w:hint="cs"/>
          <w:sz w:val="27"/>
          <w:rtl/>
          <w:lang w:bidi="ar-OM"/>
        </w:rPr>
        <w:t xml:space="preserve"> لأن الولاية هنا </w:t>
      </w:r>
      <w:r w:rsidRPr="00904FCB">
        <w:rPr>
          <w:rFonts w:hint="cs"/>
          <w:sz w:val="27"/>
          <w:rtl/>
          <w:lang w:bidi="ar-OM"/>
        </w:rPr>
        <w:lastRenderedPageBreak/>
        <w:t>ليست لفرد</w:t>
      </w:r>
      <w:r w:rsidR="00B96A00" w:rsidRPr="00904FCB">
        <w:rPr>
          <w:rFonts w:hint="cs"/>
          <w:sz w:val="27"/>
          <w:rtl/>
          <w:lang w:bidi="ar-OM"/>
        </w:rPr>
        <w:t>ٍ،</w:t>
      </w:r>
      <w:r w:rsidRPr="00904FCB">
        <w:rPr>
          <w:rFonts w:hint="cs"/>
          <w:sz w:val="27"/>
          <w:rtl/>
          <w:lang w:bidi="ar-OM"/>
        </w:rPr>
        <w:t xml:space="preserve"> رجلا</w:t>
      </w:r>
      <w:r w:rsidR="00B96A00" w:rsidRPr="00904FCB">
        <w:rPr>
          <w:rFonts w:hint="cs"/>
          <w:sz w:val="27"/>
          <w:rtl/>
          <w:lang w:bidi="ar-OM"/>
        </w:rPr>
        <w:t>ً</w:t>
      </w:r>
      <w:r w:rsidRPr="00904FCB">
        <w:rPr>
          <w:rFonts w:hint="cs"/>
          <w:sz w:val="27"/>
          <w:rtl/>
          <w:lang w:bidi="ar-OM"/>
        </w:rPr>
        <w:t xml:space="preserve"> كان أو امرأة</w:t>
      </w:r>
      <w:r w:rsidRPr="00904FCB">
        <w:rPr>
          <w:rFonts w:hint="cs"/>
          <w:sz w:val="27"/>
          <w:vertAlign w:val="superscript"/>
          <w:rtl/>
        </w:rPr>
        <w:t>(</w:t>
      </w:r>
      <w:r w:rsidRPr="00904FCB">
        <w:rPr>
          <w:rStyle w:val="ac"/>
          <w:sz w:val="27"/>
          <w:rtl/>
        </w:rPr>
        <w:endnoteReference w:id="222"/>
      </w:r>
      <w:r w:rsidRPr="00904FCB">
        <w:rPr>
          <w:rFonts w:hint="cs"/>
          <w:sz w:val="27"/>
          <w:vertAlign w:val="superscript"/>
          <w:rtl/>
        </w:rPr>
        <w:t>)</w:t>
      </w:r>
      <w:r w:rsidR="00B96A00" w:rsidRPr="00904FCB">
        <w:rPr>
          <w:rFonts w:hint="cs"/>
          <w:sz w:val="27"/>
          <w:rtl/>
          <w:lang w:bidi="ar-OM"/>
        </w:rPr>
        <w:t>.</w:t>
      </w:r>
    </w:p>
    <w:p w:rsidR="00644408" w:rsidRPr="00904FCB" w:rsidRDefault="00644408" w:rsidP="00C5715C">
      <w:pPr>
        <w:spacing w:line="400" w:lineRule="exact"/>
        <w:rPr>
          <w:sz w:val="27"/>
          <w:rtl/>
          <w:lang w:bidi="ar-OM"/>
        </w:rPr>
      </w:pPr>
      <w:r w:rsidRPr="00904FCB">
        <w:rPr>
          <w:rFonts w:hint="cs"/>
          <w:sz w:val="27"/>
          <w:rtl/>
          <w:lang w:bidi="ar-OM"/>
        </w:rPr>
        <w:t xml:space="preserve">ويمكن مناقشته </w:t>
      </w:r>
      <w:r w:rsidRPr="00904FCB">
        <w:rPr>
          <w:sz w:val="27"/>
          <w:rtl/>
          <w:lang w:bidi="ar-OM"/>
        </w:rPr>
        <w:t>ـ</w:t>
      </w:r>
      <w:r w:rsidRPr="00904FCB">
        <w:rPr>
          <w:rFonts w:hint="cs"/>
          <w:sz w:val="27"/>
          <w:rtl/>
          <w:lang w:bidi="ar-OM"/>
        </w:rPr>
        <w:t xml:space="preserve"> من منظور المانعين ـ بأن هناك تلازم</w:t>
      </w:r>
      <w:r w:rsidR="00B96A00" w:rsidRPr="00904FCB">
        <w:rPr>
          <w:rFonts w:hint="cs"/>
          <w:sz w:val="27"/>
          <w:rtl/>
          <w:lang w:bidi="ar-OM"/>
        </w:rPr>
        <w:t>اً</w:t>
      </w:r>
      <w:r w:rsidRPr="00904FCB">
        <w:rPr>
          <w:rFonts w:hint="cs"/>
          <w:sz w:val="27"/>
          <w:rtl/>
          <w:lang w:bidi="ar-OM"/>
        </w:rPr>
        <w:t xml:space="preserve"> بين السلطة والقضاء. ومهما كانت مي</w:t>
      </w:r>
      <w:r w:rsidR="00B96A00" w:rsidRPr="00904FCB">
        <w:rPr>
          <w:rFonts w:hint="cs"/>
          <w:sz w:val="27"/>
          <w:rtl/>
          <w:lang w:bidi="ar-OM"/>
        </w:rPr>
        <w:t>ِّ</w:t>
      </w:r>
      <w:r w:rsidRPr="00904FCB">
        <w:rPr>
          <w:rFonts w:hint="cs"/>
          <w:sz w:val="27"/>
          <w:rtl/>
          <w:lang w:bidi="ar-OM"/>
        </w:rPr>
        <w:t>زات القضاء المؤس</w:t>
      </w:r>
      <w:r w:rsidR="00B96A00" w:rsidRPr="00904FCB">
        <w:rPr>
          <w:rFonts w:hint="cs"/>
          <w:sz w:val="27"/>
          <w:rtl/>
          <w:lang w:bidi="ar-OM"/>
        </w:rPr>
        <w:t>ّ</w:t>
      </w:r>
      <w:r w:rsidRPr="00904FCB">
        <w:rPr>
          <w:rFonts w:hint="cs"/>
          <w:sz w:val="27"/>
          <w:rtl/>
          <w:lang w:bidi="ar-OM"/>
        </w:rPr>
        <w:t>سي وإيجابياته فإنها لا تغي</w:t>
      </w:r>
      <w:r w:rsidR="00B96A00" w:rsidRPr="00904FCB">
        <w:rPr>
          <w:rFonts w:hint="cs"/>
          <w:sz w:val="27"/>
          <w:rtl/>
          <w:lang w:bidi="ar-OM"/>
        </w:rPr>
        <w:t>ّ</w:t>
      </w:r>
      <w:r w:rsidRPr="00904FCB">
        <w:rPr>
          <w:rFonts w:hint="cs"/>
          <w:sz w:val="27"/>
          <w:rtl/>
          <w:lang w:bidi="ar-OM"/>
        </w:rPr>
        <w:t>ر من طبيعة القضاء</w:t>
      </w:r>
      <w:r w:rsidR="00B96A00" w:rsidRPr="00904FCB">
        <w:rPr>
          <w:rFonts w:hint="cs"/>
          <w:sz w:val="27"/>
          <w:rtl/>
          <w:lang w:bidi="ar-OM"/>
        </w:rPr>
        <w:t>؛</w:t>
      </w:r>
      <w:r w:rsidRPr="00904FCB">
        <w:rPr>
          <w:rFonts w:hint="cs"/>
          <w:sz w:val="27"/>
          <w:rtl/>
          <w:lang w:bidi="ar-OM"/>
        </w:rPr>
        <w:t xml:space="preserve"> كونه في عمقه مزاولة للسلطة وإصدار الأحكام الملزمة لهذا الطرف أو ذاك. غاية ما في الأمر </w:t>
      </w:r>
      <w:r w:rsidR="0057736E" w:rsidRPr="00904FCB">
        <w:rPr>
          <w:rFonts w:hint="cs"/>
          <w:sz w:val="27"/>
          <w:rtl/>
          <w:lang w:bidi="ar-OM"/>
        </w:rPr>
        <w:t>أ</w:t>
      </w:r>
      <w:r w:rsidRPr="00904FCB">
        <w:rPr>
          <w:rFonts w:hint="cs"/>
          <w:sz w:val="27"/>
          <w:rtl/>
          <w:lang w:bidi="ar-OM"/>
        </w:rPr>
        <w:t>ن القضايا لا ينظر فيها من قبل قاض</w:t>
      </w:r>
      <w:r w:rsidR="0057736E" w:rsidRPr="00904FCB">
        <w:rPr>
          <w:rFonts w:hint="cs"/>
          <w:sz w:val="27"/>
          <w:rtl/>
          <w:lang w:bidi="ar-OM"/>
        </w:rPr>
        <w:t>ٍ</w:t>
      </w:r>
      <w:r w:rsidRPr="00904FCB">
        <w:rPr>
          <w:rFonts w:hint="cs"/>
          <w:sz w:val="27"/>
          <w:rtl/>
          <w:lang w:bidi="ar-OM"/>
        </w:rPr>
        <w:t xml:space="preserve"> واحد</w:t>
      </w:r>
      <w:r w:rsidR="0057736E" w:rsidRPr="00904FCB">
        <w:rPr>
          <w:rFonts w:hint="cs"/>
          <w:sz w:val="27"/>
          <w:rtl/>
          <w:lang w:bidi="ar-OM"/>
        </w:rPr>
        <w:t>،</w:t>
      </w:r>
      <w:r w:rsidRPr="00904FCB">
        <w:rPr>
          <w:rFonts w:hint="cs"/>
          <w:sz w:val="27"/>
          <w:rtl/>
          <w:lang w:bidi="ar-OM"/>
        </w:rPr>
        <w:t xml:space="preserve"> والأحكام لا تصدر منه وحده</w:t>
      </w:r>
      <w:r w:rsidR="0057736E" w:rsidRPr="00904FCB">
        <w:rPr>
          <w:rFonts w:hint="cs"/>
          <w:sz w:val="27"/>
          <w:rtl/>
          <w:lang w:bidi="ar-OM"/>
        </w:rPr>
        <w:t>،</w:t>
      </w:r>
      <w:r w:rsidRPr="00904FCB">
        <w:rPr>
          <w:rFonts w:hint="cs"/>
          <w:sz w:val="27"/>
          <w:rtl/>
          <w:lang w:bidi="ar-OM"/>
        </w:rPr>
        <w:t xml:space="preserve"> بل من قضاة</w:t>
      </w:r>
      <w:r w:rsidR="00C5715C">
        <w:rPr>
          <w:rFonts w:hint="cs"/>
          <w:sz w:val="27"/>
          <w:rtl/>
          <w:lang w:bidi="ar-OM"/>
        </w:rPr>
        <w:t>ٍ</w:t>
      </w:r>
      <w:r w:rsidRPr="00904FCB">
        <w:rPr>
          <w:rFonts w:hint="cs"/>
          <w:sz w:val="27"/>
          <w:rtl/>
          <w:lang w:bidi="ar-OM"/>
        </w:rPr>
        <w:t xml:space="preserve"> متعد</w:t>
      </w:r>
      <w:r w:rsidR="0057736E" w:rsidRPr="00904FCB">
        <w:rPr>
          <w:rFonts w:hint="cs"/>
          <w:sz w:val="27"/>
          <w:rtl/>
          <w:lang w:bidi="ar-OM"/>
        </w:rPr>
        <w:t>ِّ</w:t>
      </w:r>
      <w:r w:rsidRPr="00904FCB">
        <w:rPr>
          <w:rFonts w:hint="cs"/>
          <w:sz w:val="27"/>
          <w:rtl/>
          <w:lang w:bidi="ar-OM"/>
        </w:rPr>
        <w:t>دين يشتركون في نظر الدعاو</w:t>
      </w:r>
      <w:r w:rsidR="0057736E" w:rsidRPr="00904FCB">
        <w:rPr>
          <w:rFonts w:hint="cs"/>
          <w:sz w:val="27"/>
          <w:rtl/>
          <w:lang w:bidi="ar-OM"/>
        </w:rPr>
        <w:t>ى،</w:t>
      </w:r>
      <w:r w:rsidRPr="00904FCB">
        <w:rPr>
          <w:rFonts w:hint="cs"/>
          <w:sz w:val="27"/>
          <w:rtl/>
          <w:lang w:bidi="ar-OM"/>
        </w:rPr>
        <w:t xml:space="preserve"> ويبدون آراءهم فيها</w:t>
      </w:r>
      <w:r w:rsidR="0057736E" w:rsidRPr="00904FCB">
        <w:rPr>
          <w:rFonts w:hint="cs"/>
          <w:sz w:val="27"/>
          <w:rtl/>
          <w:lang w:bidi="ar-OM"/>
        </w:rPr>
        <w:t>،</w:t>
      </w:r>
      <w:r w:rsidRPr="00904FCB">
        <w:rPr>
          <w:rFonts w:hint="cs"/>
          <w:sz w:val="27"/>
          <w:rtl/>
          <w:lang w:bidi="ar-OM"/>
        </w:rPr>
        <w:t xml:space="preserve"> ويشاركون بمجموعهم في إنشاء الحكم وإصداره. وعليه ف</w:t>
      </w:r>
      <w:r w:rsidR="0057736E" w:rsidRPr="00904FCB">
        <w:rPr>
          <w:rFonts w:hint="cs"/>
          <w:sz w:val="27"/>
          <w:rtl/>
          <w:lang w:bidi="ar-OM"/>
        </w:rPr>
        <w:t>إ</w:t>
      </w:r>
      <w:r w:rsidRPr="00904FCB">
        <w:rPr>
          <w:rFonts w:hint="cs"/>
          <w:sz w:val="27"/>
          <w:rtl/>
          <w:lang w:bidi="ar-OM"/>
        </w:rPr>
        <w:t>ن القضية تعتبر من صميم مبحث مزاولة القضاء والسلطة من قبل المرأة طالما اشتركت كقاضية مع مجموعة من القضاة في نظر الدعاو</w:t>
      </w:r>
      <w:r w:rsidR="0057736E" w:rsidRPr="00904FCB">
        <w:rPr>
          <w:rFonts w:hint="cs"/>
          <w:sz w:val="27"/>
          <w:rtl/>
          <w:lang w:bidi="ar-OM"/>
        </w:rPr>
        <w:t>ى،</w:t>
      </w:r>
      <w:r w:rsidRPr="00904FCB">
        <w:rPr>
          <w:rFonts w:hint="cs"/>
          <w:sz w:val="27"/>
          <w:rtl/>
          <w:lang w:bidi="ar-OM"/>
        </w:rPr>
        <w:t xml:space="preserve"> والحكم فيها. نعم</w:t>
      </w:r>
      <w:r w:rsidR="0057736E" w:rsidRPr="00904FCB">
        <w:rPr>
          <w:rFonts w:hint="cs"/>
          <w:sz w:val="27"/>
          <w:rtl/>
          <w:lang w:bidi="ar-OM"/>
        </w:rPr>
        <w:t>،</w:t>
      </w:r>
      <w:r w:rsidRPr="00904FCB">
        <w:rPr>
          <w:rFonts w:hint="cs"/>
          <w:sz w:val="27"/>
          <w:rtl/>
          <w:lang w:bidi="ar-OM"/>
        </w:rPr>
        <w:t xml:space="preserve"> لو كانت عل</w:t>
      </w:r>
      <w:r w:rsidR="0057736E" w:rsidRPr="00904FCB">
        <w:rPr>
          <w:rFonts w:hint="cs"/>
          <w:sz w:val="27"/>
          <w:rtl/>
          <w:lang w:bidi="ar-OM"/>
        </w:rPr>
        <w:t>ّ</w:t>
      </w:r>
      <w:r w:rsidRPr="00904FCB">
        <w:rPr>
          <w:rFonts w:hint="cs"/>
          <w:sz w:val="27"/>
          <w:rtl/>
          <w:lang w:bidi="ar-OM"/>
        </w:rPr>
        <w:t>ة المنع عندهم من قبيل</w:t>
      </w:r>
      <w:r w:rsidR="0057736E" w:rsidRPr="00904FCB">
        <w:rPr>
          <w:rFonts w:hint="cs"/>
          <w:sz w:val="27"/>
          <w:rtl/>
          <w:lang w:bidi="ar-OM"/>
        </w:rPr>
        <w:t>:</w:t>
      </w:r>
      <w:r w:rsidRPr="00904FCB">
        <w:rPr>
          <w:rFonts w:hint="cs"/>
          <w:sz w:val="27"/>
          <w:rtl/>
          <w:lang w:bidi="ar-OM"/>
        </w:rPr>
        <w:t xml:space="preserve"> نقص الكفاءة والجدارة والخبرة أو عروض النسيان وما </w:t>
      </w:r>
      <w:r w:rsidR="0057736E" w:rsidRPr="00904FCB">
        <w:rPr>
          <w:rFonts w:hint="cs"/>
          <w:sz w:val="27"/>
          <w:rtl/>
          <w:lang w:bidi="ar-OM"/>
        </w:rPr>
        <w:t>إ</w:t>
      </w:r>
      <w:r w:rsidRPr="00904FCB">
        <w:rPr>
          <w:rFonts w:hint="cs"/>
          <w:sz w:val="27"/>
          <w:rtl/>
          <w:lang w:bidi="ar-OM"/>
        </w:rPr>
        <w:t>لى ذلك لكان يمكن تداركها عبر مأسسة القضاء، ولكن</w:t>
      </w:r>
      <w:r w:rsidR="0057736E" w:rsidRPr="00904FCB">
        <w:rPr>
          <w:rFonts w:hint="cs"/>
          <w:sz w:val="27"/>
          <w:rtl/>
          <w:lang w:bidi="ar-OM"/>
        </w:rPr>
        <w:t>ّ</w:t>
      </w:r>
      <w:r w:rsidRPr="00904FCB">
        <w:rPr>
          <w:rFonts w:hint="cs"/>
          <w:sz w:val="27"/>
          <w:rtl/>
          <w:lang w:bidi="ar-OM"/>
        </w:rPr>
        <w:t xml:space="preserve"> المناط لدى الاتجاه المانع هو انعدام الأهلي</w:t>
      </w:r>
      <w:r w:rsidR="0057736E" w:rsidRPr="00904FCB">
        <w:rPr>
          <w:rFonts w:hint="cs"/>
          <w:sz w:val="27"/>
          <w:rtl/>
          <w:lang w:bidi="ar-OM"/>
        </w:rPr>
        <w:t>ّ</w:t>
      </w:r>
      <w:r w:rsidRPr="00904FCB">
        <w:rPr>
          <w:rFonts w:hint="cs"/>
          <w:sz w:val="27"/>
          <w:rtl/>
          <w:lang w:bidi="ar-OM"/>
        </w:rPr>
        <w:t>ة لدى المرأة</w:t>
      </w:r>
      <w:r w:rsidR="0057736E" w:rsidRPr="00904FCB">
        <w:rPr>
          <w:rFonts w:hint="cs"/>
          <w:sz w:val="27"/>
          <w:rtl/>
          <w:lang w:bidi="ar-OM"/>
        </w:rPr>
        <w:t xml:space="preserve">؛ </w:t>
      </w:r>
      <w:r w:rsidRPr="00904FCB">
        <w:rPr>
          <w:rFonts w:hint="cs"/>
          <w:sz w:val="27"/>
          <w:rtl/>
          <w:lang w:bidi="ar-OM"/>
        </w:rPr>
        <w:t>لطبيعتها الأنثوية في تول</w:t>
      </w:r>
      <w:r w:rsidR="0057736E" w:rsidRPr="00904FCB">
        <w:rPr>
          <w:rFonts w:hint="cs"/>
          <w:sz w:val="27"/>
          <w:rtl/>
          <w:lang w:bidi="ar-OM"/>
        </w:rPr>
        <w:t>ّ</w:t>
      </w:r>
      <w:r w:rsidRPr="00904FCB">
        <w:rPr>
          <w:rFonts w:hint="cs"/>
          <w:sz w:val="27"/>
          <w:rtl/>
          <w:lang w:bidi="ar-OM"/>
        </w:rPr>
        <w:t>ي القضاء، الأمر الذي لا يمكن تداركه أو استكماله بأي</w:t>
      </w:r>
      <w:r w:rsidR="0057736E" w:rsidRPr="00904FCB">
        <w:rPr>
          <w:rFonts w:hint="cs"/>
          <w:sz w:val="27"/>
          <w:rtl/>
          <w:lang w:bidi="ar-OM"/>
        </w:rPr>
        <w:t xml:space="preserve">ّ </w:t>
      </w:r>
      <w:r w:rsidRPr="00904FCB">
        <w:rPr>
          <w:rFonts w:hint="cs"/>
          <w:sz w:val="27"/>
          <w:rtl/>
          <w:lang w:bidi="ar-OM"/>
        </w:rPr>
        <w:t xml:space="preserve">طريقة. </w:t>
      </w:r>
      <w:r w:rsidR="0057736E" w:rsidRPr="00904FCB">
        <w:rPr>
          <w:rFonts w:hint="cs"/>
          <w:sz w:val="27"/>
          <w:rtl/>
          <w:lang w:bidi="ar-OM"/>
        </w:rPr>
        <w:t>و</w:t>
      </w:r>
      <w:r w:rsidRPr="00904FCB">
        <w:rPr>
          <w:rFonts w:hint="cs"/>
          <w:sz w:val="27"/>
          <w:rtl/>
          <w:lang w:bidi="ar-OM"/>
        </w:rPr>
        <w:t>من جهة</w:t>
      </w:r>
      <w:r w:rsidR="0057736E" w:rsidRPr="00904FCB">
        <w:rPr>
          <w:rFonts w:hint="cs"/>
          <w:sz w:val="27"/>
          <w:rtl/>
          <w:lang w:bidi="ar-OM"/>
        </w:rPr>
        <w:t>ٍ</w:t>
      </w:r>
      <w:r w:rsidRPr="00904FCB">
        <w:rPr>
          <w:rFonts w:hint="cs"/>
          <w:sz w:val="27"/>
          <w:rtl/>
          <w:lang w:bidi="ar-OM"/>
        </w:rPr>
        <w:t xml:space="preserve"> أخرى ليس كل القضايا والدعاو</w:t>
      </w:r>
      <w:r w:rsidR="0057736E" w:rsidRPr="00904FCB">
        <w:rPr>
          <w:rFonts w:hint="cs"/>
          <w:sz w:val="27"/>
          <w:rtl/>
          <w:lang w:bidi="ar-OM"/>
        </w:rPr>
        <w:t>ى</w:t>
      </w:r>
      <w:r w:rsidRPr="00904FCB">
        <w:rPr>
          <w:rFonts w:hint="cs"/>
          <w:sz w:val="27"/>
          <w:rtl/>
          <w:lang w:bidi="ar-OM"/>
        </w:rPr>
        <w:t xml:space="preserve"> يحكم فيها قضاة متعد</w:t>
      </w:r>
      <w:r w:rsidR="0057736E" w:rsidRPr="00904FCB">
        <w:rPr>
          <w:rFonts w:hint="cs"/>
          <w:sz w:val="27"/>
          <w:rtl/>
          <w:lang w:bidi="ar-OM"/>
        </w:rPr>
        <w:t>ِّ</w:t>
      </w:r>
      <w:r w:rsidRPr="00904FCB">
        <w:rPr>
          <w:rFonts w:hint="cs"/>
          <w:sz w:val="27"/>
          <w:rtl/>
          <w:lang w:bidi="ar-OM"/>
        </w:rPr>
        <w:t>دون</w:t>
      </w:r>
      <w:r w:rsidR="0057736E" w:rsidRPr="00904FCB">
        <w:rPr>
          <w:rFonts w:hint="cs"/>
          <w:sz w:val="27"/>
          <w:rtl/>
          <w:lang w:bidi="ar-OM"/>
        </w:rPr>
        <w:t>،</w:t>
      </w:r>
      <w:r w:rsidRPr="00904FCB">
        <w:rPr>
          <w:rFonts w:hint="cs"/>
          <w:sz w:val="27"/>
          <w:rtl/>
          <w:lang w:bidi="ar-OM"/>
        </w:rPr>
        <w:t xml:space="preserve"> بل لا يزال أسلوب القضاء الفردي سائدا</w:t>
      </w:r>
      <w:r w:rsidR="0057736E" w:rsidRPr="00904FCB">
        <w:rPr>
          <w:rFonts w:hint="cs"/>
          <w:sz w:val="27"/>
          <w:rtl/>
          <w:lang w:bidi="ar-OM"/>
        </w:rPr>
        <w:t>ً</w:t>
      </w:r>
      <w:r w:rsidRPr="00904FCB">
        <w:rPr>
          <w:rFonts w:hint="cs"/>
          <w:sz w:val="27"/>
          <w:rtl/>
          <w:lang w:bidi="ar-OM"/>
        </w:rPr>
        <w:t xml:space="preserve"> في المحاكم. ومع كل</w:t>
      </w:r>
      <w:r w:rsidR="0057736E" w:rsidRPr="00904FCB">
        <w:rPr>
          <w:rFonts w:hint="cs"/>
          <w:sz w:val="27"/>
          <w:rtl/>
          <w:lang w:bidi="ar-OM"/>
        </w:rPr>
        <w:t>ّ</w:t>
      </w:r>
      <w:r w:rsidRPr="00904FCB">
        <w:rPr>
          <w:rFonts w:hint="cs"/>
          <w:sz w:val="27"/>
          <w:rtl/>
          <w:lang w:bidi="ar-OM"/>
        </w:rPr>
        <w:t xml:space="preserve"> ذلك ف</w:t>
      </w:r>
      <w:r w:rsidR="0057736E" w:rsidRPr="00904FCB">
        <w:rPr>
          <w:rFonts w:hint="cs"/>
          <w:sz w:val="27"/>
          <w:rtl/>
          <w:lang w:bidi="ar-OM"/>
        </w:rPr>
        <w:t>إ</w:t>
      </w:r>
      <w:r w:rsidRPr="00904FCB">
        <w:rPr>
          <w:rFonts w:hint="cs"/>
          <w:sz w:val="27"/>
          <w:rtl/>
          <w:lang w:bidi="ar-OM"/>
        </w:rPr>
        <w:t>نه لا يمنع من الإقرار بأننا أمام أسلوب جديد غير معهود في التاريخ الفقهي. فهل يعتبر هذا الأسلوب الجماعي في القضاء واقعة جديدة بما طرأ عليها من تبد</w:t>
      </w:r>
      <w:r w:rsidR="004E01BB" w:rsidRPr="00904FCB">
        <w:rPr>
          <w:rFonts w:hint="cs"/>
          <w:sz w:val="27"/>
          <w:rtl/>
          <w:lang w:bidi="ar-OM"/>
        </w:rPr>
        <w:t>ُّ</w:t>
      </w:r>
      <w:r w:rsidRPr="00904FCB">
        <w:rPr>
          <w:rFonts w:hint="cs"/>
          <w:sz w:val="27"/>
          <w:rtl/>
          <w:lang w:bidi="ar-OM"/>
        </w:rPr>
        <w:t>ل؟ وهل يشكل موضوعا</w:t>
      </w:r>
      <w:r w:rsidR="004E01BB" w:rsidRPr="00904FCB">
        <w:rPr>
          <w:rFonts w:hint="cs"/>
          <w:sz w:val="27"/>
          <w:rtl/>
          <w:lang w:bidi="ar-OM"/>
        </w:rPr>
        <w:t>ً</w:t>
      </w:r>
      <w:r w:rsidRPr="00904FCB">
        <w:rPr>
          <w:rFonts w:hint="cs"/>
          <w:sz w:val="27"/>
          <w:rtl/>
          <w:lang w:bidi="ar-OM"/>
        </w:rPr>
        <w:t xml:space="preserve"> جديدا</w:t>
      </w:r>
      <w:r w:rsidR="004E01BB" w:rsidRPr="00904FCB">
        <w:rPr>
          <w:rFonts w:hint="cs"/>
          <w:sz w:val="27"/>
          <w:rtl/>
          <w:lang w:bidi="ar-OM"/>
        </w:rPr>
        <w:t>ً</w:t>
      </w:r>
      <w:r w:rsidRPr="00904FCB">
        <w:rPr>
          <w:rFonts w:hint="cs"/>
          <w:sz w:val="27"/>
          <w:rtl/>
          <w:lang w:bidi="ar-OM"/>
        </w:rPr>
        <w:t xml:space="preserve"> غير معهود</w:t>
      </w:r>
      <w:r w:rsidR="004E01BB" w:rsidRPr="00904FCB">
        <w:rPr>
          <w:rFonts w:hint="cs"/>
          <w:sz w:val="27"/>
          <w:rtl/>
          <w:lang w:bidi="ar-OM"/>
        </w:rPr>
        <w:t>،</w:t>
      </w:r>
      <w:r w:rsidRPr="00904FCB">
        <w:rPr>
          <w:rFonts w:hint="cs"/>
          <w:sz w:val="27"/>
          <w:rtl/>
          <w:lang w:bidi="ar-OM"/>
        </w:rPr>
        <w:t xml:space="preserve"> وبالتالي يفترض أن يأخذ حكما</w:t>
      </w:r>
      <w:r w:rsidR="004E01BB" w:rsidRPr="00904FCB">
        <w:rPr>
          <w:rFonts w:hint="cs"/>
          <w:sz w:val="27"/>
          <w:rtl/>
          <w:lang w:bidi="ar-OM"/>
        </w:rPr>
        <w:t>ً</w:t>
      </w:r>
      <w:r w:rsidRPr="00904FCB">
        <w:rPr>
          <w:rFonts w:hint="cs"/>
          <w:sz w:val="27"/>
          <w:rtl/>
          <w:lang w:bidi="ar-OM"/>
        </w:rPr>
        <w:t xml:space="preserve"> جديدا</w:t>
      </w:r>
      <w:r w:rsidR="004E01BB" w:rsidRPr="00904FCB">
        <w:rPr>
          <w:rFonts w:hint="cs"/>
          <w:sz w:val="27"/>
          <w:rtl/>
          <w:lang w:bidi="ar-OM"/>
        </w:rPr>
        <w:t>ً</w:t>
      </w:r>
      <w:r w:rsidRPr="00904FCB">
        <w:rPr>
          <w:rFonts w:hint="cs"/>
          <w:sz w:val="27"/>
          <w:rtl/>
          <w:lang w:bidi="ar-OM"/>
        </w:rPr>
        <w:t>؟ واذا اعتبر كذلك فما هو الموقف من تشكيل هيئة قضائية من قاضيات متعد</w:t>
      </w:r>
      <w:r w:rsidR="004E01BB" w:rsidRPr="00904FCB">
        <w:rPr>
          <w:rFonts w:hint="cs"/>
          <w:sz w:val="27"/>
          <w:rtl/>
          <w:lang w:bidi="ar-OM"/>
        </w:rPr>
        <w:t>ِّ</w:t>
      </w:r>
      <w:r w:rsidRPr="00904FCB">
        <w:rPr>
          <w:rFonts w:hint="cs"/>
          <w:sz w:val="27"/>
          <w:rtl/>
          <w:lang w:bidi="ar-OM"/>
        </w:rPr>
        <w:t>دات فقط</w:t>
      </w:r>
      <w:r w:rsidR="004E01BB" w:rsidRPr="00904FCB">
        <w:rPr>
          <w:rFonts w:hint="cs"/>
          <w:sz w:val="27"/>
          <w:rtl/>
          <w:lang w:bidi="ar-OM"/>
        </w:rPr>
        <w:t>،</w:t>
      </w:r>
      <w:r w:rsidRPr="00904FCB">
        <w:rPr>
          <w:rFonts w:hint="cs"/>
          <w:sz w:val="27"/>
          <w:rtl/>
          <w:lang w:bidi="ar-OM"/>
        </w:rPr>
        <w:t xml:space="preserve"> أم </w:t>
      </w:r>
      <w:r w:rsidR="004E01BB" w:rsidRPr="00904FCB">
        <w:rPr>
          <w:rFonts w:hint="cs"/>
          <w:sz w:val="27"/>
          <w:rtl/>
          <w:lang w:bidi="ar-OM"/>
        </w:rPr>
        <w:t>أ</w:t>
      </w:r>
      <w:r w:rsidRPr="00904FCB">
        <w:rPr>
          <w:rFonts w:hint="cs"/>
          <w:sz w:val="27"/>
          <w:rtl/>
          <w:lang w:bidi="ar-OM"/>
        </w:rPr>
        <w:t>ن التغي</w:t>
      </w:r>
      <w:r w:rsidR="004E01BB" w:rsidRPr="00904FCB">
        <w:rPr>
          <w:rFonts w:hint="cs"/>
          <w:sz w:val="27"/>
          <w:rtl/>
          <w:lang w:bidi="ar-OM"/>
        </w:rPr>
        <w:t>ُّ</w:t>
      </w:r>
      <w:r w:rsidRPr="00904FCB">
        <w:rPr>
          <w:rFonts w:hint="cs"/>
          <w:sz w:val="27"/>
          <w:rtl/>
          <w:lang w:bidi="ar-OM"/>
        </w:rPr>
        <w:t>رات التي طرأت على الأسلوب لا تعتبر تحو</w:t>
      </w:r>
      <w:r w:rsidR="004E01BB" w:rsidRPr="00904FCB">
        <w:rPr>
          <w:rFonts w:hint="cs"/>
          <w:sz w:val="27"/>
          <w:rtl/>
          <w:lang w:bidi="ar-OM"/>
        </w:rPr>
        <w:t>ُّ</w:t>
      </w:r>
      <w:r w:rsidRPr="00904FCB">
        <w:rPr>
          <w:rFonts w:hint="cs"/>
          <w:sz w:val="27"/>
          <w:rtl/>
          <w:lang w:bidi="ar-OM"/>
        </w:rPr>
        <w:t>لا</w:t>
      </w:r>
      <w:r w:rsidR="004E01BB" w:rsidRPr="00904FCB">
        <w:rPr>
          <w:rFonts w:hint="cs"/>
          <w:sz w:val="27"/>
          <w:rtl/>
          <w:lang w:bidi="ar-OM"/>
        </w:rPr>
        <w:t>ً</w:t>
      </w:r>
      <w:r w:rsidRPr="00904FCB">
        <w:rPr>
          <w:rFonts w:hint="cs"/>
          <w:sz w:val="27"/>
          <w:rtl/>
          <w:lang w:bidi="ar-OM"/>
        </w:rPr>
        <w:t xml:space="preserve"> جوهريا</w:t>
      </w:r>
      <w:r w:rsidR="004E01BB" w:rsidRPr="00904FCB">
        <w:rPr>
          <w:rFonts w:hint="cs"/>
          <w:sz w:val="27"/>
          <w:rtl/>
          <w:lang w:bidi="ar-OM"/>
        </w:rPr>
        <w:t>ً</w:t>
      </w:r>
      <w:r w:rsidRPr="00904FCB">
        <w:rPr>
          <w:rFonts w:hint="cs"/>
          <w:sz w:val="27"/>
          <w:rtl/>
          <w:lang w:bidi="ar-OM"/>
        </w:rPr>
        <w:t xml:space="preserve"> في طبيعة مزاولة مهمة القضاء</w:t>
      </w:r>
      <w:r w:rsidR="004E01BB" w:rsidRPr="00904FCB">
        <w:rPr>
          <w:rFonts w:hint="cs"/>
          <w:sz w:val="27"/>
          <w:rtl/>
          <w:lang w:bidi="ar-OM"/>
        </w:rPr>
        <w:t>،</w:t>
      </w:r>
      <w:r w:rsidRPr="00904FCB">
        <w:rPr>
          <w:rFonts w:hint="cs"/>
          <w:sz w:val="27"/>
          <w:rtl/>
          <w:lang w:bidi="ar-OM"/>
        </w:rPr>
        <w:t xml:space="preserve"> ومن ثم ف</w:t>
      </w:r>
      <w:r w:rsidR="004E01BB" w:rsidRPr="00904FCB">
        <w:rPr>
          <w:rFonts w:hint="cs"/>
          <w:sz w:val="27"/>
          <w:rtl/>
          <w:lang w:bidi="ar-OM"/>
        </w:rPr>
        <w:t>إ</w:t>
      </w:r>
      <w:r w:rsidRPr="00904FCB">
        <w:rPr>
          <w:rFonts w:hint="cs"/>
          <w:sz w:val="27"/>
          <w:rtl/>
          <w:lang w:bidi="ar-OM"/>
        </w:rPr>
        <w:t>ن الموضوع في حقيقته وعمقه باق</w:t>
      </w:r>
      <w:r w:rsidR="004E01BB" w:rsidRPr="00904FCB">
        <w:rPr>
          <w:rFonts w:hint="cs"/>
          <w:sz w:val="27"/>
          <w:rtl/>
          <w:lang w:bidi="ar-OM"/>
        </w:rPr>
        <w:t>ٍ</w:t>
      </w:r>
      <w:r w:rsidRPr="00904FCB">
        <w:rPr>
          <w:rFonts w:hint="cs"/>
          <w:sz w:val="27"/>
          <w:rtl/>
          <w:lang w:bidi="ar-OM"/>
        </w:rPr>
        <w:t xml:space="preserve"> على حاله</w:t>
      </w:r>
      <w:r w:rsidR="004E01BB" w:rsidRPr="00904FCB">
        <w:rPr>
          <w:rFonts w:hint="cs"/>
          <w:sz w:val="27"/>
          <w:rtl/>
          <w:lang w:bidi="ar-OM"/>
        </w:rPr>
        <w:t>؟</w:t>
      </w:r>
      <w:r w:rsidRPr="00904FCB">
        <w:rPr>
          <w:rFonts w:hint="cs"/>
          <w:sz w:val="27"/>
          <w:rtl/>
          <w:lang w:bidi="ar-OM"/>
        </w:rPr>
        <w:t xml:space="preserve"> </w:t>
      </w:r>
      <w:r w:rsidR="00D050EF" w:rsidRPr="00904FCB">
        <w:rPr>
          <w:rFonts w:hint="cs"/>
          <w:sz w:val="27"/>
          <w:rtl/>
          <w:lang w:bidi="ar-OM"/>
        </w:rPr>
        <w:t>إ</w:t>
      </w:r>
      <w:r w:rsidRPr="00904FCB">
        <w:rPr>
          <w:rFonts w:hint="cs"/>
          <w:sz w:val="27"/>
          <w:rtl/>
          <w:lang w:bidi="ar-OM"/>
        </w:rPr>
        <w:t>ن هذه التساؤلات تحتاج إلى بحث</w:t>
      </w:r>
      <w:r w:rsidR="00D050EF" w:rsidRPr="00904FCB">
        <w:rPr>
          <w:rFonts w:hint="cs"/>
          <w:sz w:val="27"/>
          <w:rtl/>
          <w:lang w:bidi="ar-OM"/>
        </w:rPr>
        <w:t>ٍ</w:t>
      </w:r>
      <w:r w:rsidRPr="00904FCB">
        <w:rPr>
          <w:rFonts w:hint="cs"/>
          <w:sz w:val="27"/>
          <w:rtl/>
          <w:lang w:bidi="ar-OM"/>
        </w:rPr>
        <w:t xml:space="preserve"> وتكييف وتأصيل مختلف، فلا يكفي فيها مجر</w:t>
      </w:r>
      <w:r w:rsidR="00D050EF" w:rsidRPr="00904FCB">
        <w:rPr>
          <w:rFonts w:hint="cs"/>
          <w:sz w:val="27"/>
          <w:rtl/>
          <w:lang w:bidi="ar-OM"/>
        </w:rPr>
        <w:t>ّ</w:t>
      </w:r>
      <w:r w:rsidRPr="00904FCB">
        <w:rPr>
          <w:rFonts w:hint="cs"/>
          <w:sz w:val="27"/>
          <w:rtl/>
          <w:lang w:bidi="ar-OM"/>
        </w:rPr>
        <w:t>د استدعاء نفس الأحكام التي قر</w:t>
      </w:r>
      <w:r w:rsidR="00D050EF" w:rsidRPr="00904FCB">
        <w:rPr>
          <w:rFonts w:hint="cs"/>
          <w:sz w:val="27"/>
          <w:rtl/>
          <w:lang w:bidi="ar-OM"/>
        </w:rPr>
        <w:t>َّ</w:t>
      </w:r>
      <w:r w:rsidRPr="00904FCB">
        <w:rPr>
          <w:rFonts w:hint="cs"/>
          <w:sz w:val="27"/>
          <w:rtl/>
          <w:lang w:bidi="ar-OM"/>
        </w:rPr>
        <w:t>رها الفقهاء في فقه القضاء والولاية</w:t>
      </w:r>
      <w:r w:rsidR="00D050EF" w:rsidRPr="00904FCB">
        <w:rPr>
          <w:rFonts w:hint="cs"/>
          <w:sz w:val="27"/>
          <w:rtl/>
          <w:lang w:bidi="ar-OM"/>
        </w:rPr>
        <w:t>،</w:t>
      </w:r>
      <w:r w:rsidRPr="00904FCB">
        <w:rPr>
          <w:rFonts w:hint="cs"/>
          <w:sz w:val="27"/>
          <w:rtl/>
          <w:lang w:bidi="ar-OM"/>
        </w:rPr>
        <w:t xml:space="preserve"> ح</w:t>
      </w:r>
      <w:r w:rsidR="00D050EF" w:rsidRPr="00904FCB">
        <w:rPr>
          <w:rFonts w:hint="cs"/>
          <w:sz w:val="27"/>
          <w:rtl/>
          <w:lang w:bidi="ar-OM"/>
        </w:rPr>
        <w:t>َ</w:t>
      </w:r>
      <w:r w:rsidRPr="00904FCB">
        <w:rPr>
          <w:rFonts w:hint="cs"/>
          <w:sz w:val="27"/>
          <w:rtl/>
          <w:lang w:bidi="ar-OM"/>
        </w:rPr>
        <w:t>س</w:t>
      </w:r>
      <w:r w:rsidR="00D050EF" w:rsidRPr="00904FCB">
        <w:rPr>
          <w:rFonts w:hint="cs"/>
          <w:sz w:val="27"/>
          <w:rtl/>
          <w:lang w:bidi="ar-OM"/>
        </w:rPr>
        <w:t>ْ</w:t>
      </w:r>
      <w:r w:rsidRPr="00904FCB">
        <w:rPr>
          <w:rFonts w:hint="cs"/>
          <w:sz w:val="27"/>
          <w:rtl/>
          <w:lang w:bidi="ar-OM"/>
        </w:rPr>
        <w:t>ب المعهود التاريخي</w:t>
      </w:r>
      <w:r w:rsidR="00D050EF" w:rsidRPr="00904FCB">
        <w:rPr>
          <w:rFonts w:hint="cs"/>
          <w:sz w:val="27"/>
          <w:rtl/>
          <w:lang w:bidi="ar-OM"/>
        </w:rPr>
        <w:t>،</w:t>
      </w:r>
      <w:r w:rsidRPr="00904FCB">
        <w:rPr>
          <w:rFonts w:hint="cs"/>
          <w:sz w:val="27"/>
          <w:rtl/>
          <w:lang w:bidi="ar-OM"/>
        </w:rPr>
        <w:t xml:space="preserve"> وإسقاطها عليها كما هي دون تفصيل.</w:t>
      </w:r>
    </w:p>
    <w:p w:rsidR="00644408" w:rsidRPr="00904FCB" w:rsidRDefault="00644408" w:rsidP="007A21AA">
      <w:pPr>
        <w:spacing w:line="400" w:lineRule="exact"/>
        <w:rPr>
          <w:sz w:val="27"/>
          <w:rtl/>
          <w:lang w:bidi="ar-OM"/>
        </w:rPr>
      </w:pPr>
      <w:r w:rsidRPr="00904FCB">
        <w:rPr>
          <w:rFonts w:hint="cs"/>
          <w:sz w:val="27"/>
          <w:rtl/>
          <w:lang w:bidi="ar-OM"/>
        </w:rPr>
        <w:t xml:space="preserve"> </w:t>
      </w:r>
    </w:p>
    <w:p w:rsidR="00644408" w:rsidRPr="00904FCB" w:rsidRDefault="00644408" w:rsidP="007A21AA">
      <w:pPr>
        <w:pStyle w:val="31"/>
        <w:spacing w:line="400" w:lineRule="exact"/>
        <w:rPr>
          <w:color w:val="auto"/>
          <w:rtl/>
          <w:lang w:bidi="ar-OM"/>
        </w:rPr>
      </w:pPr>
      <w:r w:rsidRPr="00904FCB">
        <w:rPr>
          <w:rFonts w:hint="cs"/>
          <w:color w:val="auto"/>
          <w:rtl/>
          <w:lang w:bidi="ar-OM"/>
        </w:rPr>
        <w:t xml:space="preserve">د ـ تمثيل المرأة في المجالس النيابية </w:t>
      </w:r>
    </w:p>
    <w:p w:rsidR="001458E3" w:rsidRPr="00904FCB" w:rsidRDefault="00644408" w:rsidP="007A21AA">
      <w:pPr>
        <w:spacing w:line="400" w:lineRule="exact"/>
        <w:rPr>
          <w:sz w:val="27"/>
          <w:rtl/>
          <w:lang w:bidi="ar-OM"/>
        </w:rPr>
      </w:pPr>
      <w:r w:rsidRPr="00904FCB">
        <w:rPr>
          <w:rFonts w:hint="cs"/>
          <w:sz w:val="27"/>
          <w:rtl/>
          <w:lang w:bidi="ar-OM"/>
        </w:rPr>
        <w:t>تطر</w:t>
      </w:r>
      <w:r w:rsidR="001458E3" w:rsidRPr="00904FCB">
        <w:rPr>
          <w:rFonts w:hint="cs"/>
          <w:sz w:val="27"/>
          <w:rtl/>
          <w:lang w:bidi="ar-OM"/>
        </w:rPr>
        <w:t>ّ</w:t>
      </w:r>
      <w:r w:rsidRPr="00904FCB">
        <w:rPr>
          <w:rFonts w:hint="cs"/>
          <w:sz w:val="27"/>
          <w:rtl/>
          <w:lang w:bidi="ar-OM"/>
        </w:rPr>
        <w:t xml:space="preserve">قت بعض التنظيرات الفقهية </w:t>
      </w:r>
      <w:r w:rsidR="001458E3" w:rsidRPr="00904FCB">
        <w:rPr>
          <w:rFonts w:hint="cs"/>
          <w:sz w:val="27"/>
          <w:rtl/>
          <w:lang w:bidi="ar-OM"/>
        </w:rPr>
        <w:t>إ</w:t>
      </w:r>
      <w:r w:rsidRPr="00904FCB">
        <w:rPr>
          <w:rFonts w:hint="cs"/>
          <w:sz w:val="27"/>
          <w:rtl/>
          <w:lang w:bidi="ar-OM"/>
        </w:rPr>
        <w:t>لى بعض أوجه ولاية الرجل والمرأة معا</w:t>
      </w:r>
      <w:r w:rsidR="001458E3" w:rsidRPr="00904FCB">
        <w:rPr>
          <w:rFonts w:hint="cs"/>
          <w:sz w:val="27"/>
          <w:rtl/>
          <w:lang w:bidi="ar-OM"/>
        </w:rPr>
        <w:t>ً</w:t>
      </w:r>
      <w:r w:rsidRPr="00904FCB">
        <w:rPr>
          <w:rFonts w:hint="cs"/>
          <w:sz w:val="27"/>
          <w:rtl/>
          <w:lang w:bidi="ar-OM"/>
        </w:rPr>
        <w:t xml:space="preserve"> ضمن </w:t>
      </w:r>
      <w:r w:rsidRPr="00904FCB">
        <w:rPr>
          <w:rFonts w:hint="cs"/>
          <w:sz w:val="27"/>
          <w:rtl/>
          <w:lang w:bidi="ar-OM"/>
        </w:rPr>
        <w:lastRenderedPageBreak/>
        <w:t>مجموع الأمة</w:t>
      </w:r>
      <w:r w:rsidR="001458E3" w:rsidRPr="00904FCB">
        <w:rPr>
          <w:rFonts w:hint="cs"/>
          <w:sz w:val="27"/>
          <w:rtl/>
          <w:lang w:bidi="ar-OM"/>
        </w:rPr>
        <w:t>.</w:t>
      </w:r>
      <w:r w:rsidRPr="00904FCB">
        <w:rPr>
          <w:rFonts w:hint="cs"/>
          <w:sz w:val="27"/>
          <w:rtl/>
          <w:lang w:bidi="ar-OM"/>
        </w:rPr>
        <w:t xml:space="preserve"> وانتهت بعض الآراء </w:t>
      </w:r>
      <w:r w:rsidR="001458E3" w:rsidRPr="00904FCB">
        <w:rPr>
          <w:rFonts w:hint="cs"/>
          <w:sz w:val="27"/>
          <w:rtl/>
          <w:lang w:bidi="ar-OM"/>
        </w:rPr>
        <w:t>إ</w:t>
      </w:r>
      <w:r w:rsidRPr="00904FCB">
        <w:rPr>
          <w:rFonts w:hint="cs"/>
          <w:sz w:val="27"/>
          <w:rtl/>
          <w:lang w:bidi="ar-OM"/>
        </w:rPr>
        <w:t xml:space="preserve">لى </w:t>
      </w:r>
      <w:r w:rsidR="001458E3" w:rsidRPr="00904FCB">
        <w:rPr>
          <w:rFonts w:hint="cs"/>
          <w:sz w:val="27"/>
          <w:rtl/>
          <w:lang w:bidi="ar-OM"/>
        </w:rPr>
        <w:t>أ</w:t>
      </w:r>
      <w:r w:rsidRPr="00904FCB">
        <w:rPr>
          <w:rFonts w:hint="cs"/>
          <w:sz w:val="27"/>
          <w:rtl/>
          <w:lang w:bidi="ar-OM"/>
        </w:rPr>
        <w:t xml:space="preserve">ن للمرأة </w:t>
      </w:r>
      <w:r w:rsidR="001458E3" w:rsidRPr="00904FCB">
        <w:rPr>
          <w:rFonts w:hint="cs"/>
          <w:sz w:val="27"/>
          <w:rtl/>
          <w:lang w:bidi="ar-OM"/>
        </w:rPr>
        <w:t>أ</w:t>
      </w:r>
      <w:r w:rsidRPr="00904FCB">
        <w:rPr>
          <w:rFonts w:hint="cs"/>
          <w:sz w:val="27"/>
          <w:rtl/>
          <w:lang w:bidi="ar-OM"/>
        </w:rPr>
        <w:t>ن تمثل في المجالس النيابية مع بعض الضوابط التوفيقية في ذلك، وفص</w:t>
      </w:r>
      <w:r w:rsidR="001458E3" w:rsidRPr="00904FCB">
        <w:rPr>
          <w:rFonts w:hint="cs"/>
          <w:sz w:val="27"/>
          <w:rtl/>
          <w:lang w:bidi="ar-OM"/>
        </w:rPr>
        <w:t>َّ</w:t>
      </w:r>
      <w:r w:rsidRPr="00904FCB">
        <w:rPr>
          <w:rFonts w:hint="cs"/>
          <w:sz w:val="27"/>
          <w:rtl/>
          <w:lang w:bidi="ar-OM"/>
        </w:rPr>
        <w:t>ل بعضهم مفر</w:t>
      </w:r>
      <w:r w:rsidR="001458E3" w:rsidRPr="00904FCB">
        <w:rPr>
          <w:rFonts w:hint="cs"/>
          <w:sz w:val="27"/>
          <w:rtl/>
          <w:lang w:bidi="ar-OM"/>
        </w:rPr>
        <w:t>ِّ</w:t>
      </w:r>
      <w:r w:rsidRPr="00904FCB">
        <w:rPr>
          <w:rFonts w:hint="cs"/>
          <w:sz w:val="27"/>
          <w:rtl/>
          <w:lang w:bidi="ar-OM"/>
        </w:rPr>
        <w:t>قا</w:t>
      </w:r>
      <w:r w:rsidR="001458E3" w:rsidRPr="00904FCB">
        <w:rPr>
          <w:rFonts w:hint="cs"/>
          <w:sz w:val="27"/>
          <w:rtl/>
          <w:lang w:bidi="ar-OM"/>
        </w:rPr>
        <w:t>ً</w:t>
      </w:r>
      <w:r w:rsidRPr="00904FCB">
        <w:rPr>
          <w:rFonts w:hint="cs"/>
          <w:sz w:val="27"/>
          <w:rtl/>
          <w:lang w:bidi="ar-OM"/>
        </w:rPr>
        <w:t xml:space="preserve"> بين دورها في الانتخابات والتصويت وبين الترش</w:t>
      </w:r>
      <w:r w:rsidR="001458E3" w:rsidRPr="00904FCB">
        <w:rPr>
          <w:rFonts w:hint="cs"/>
          <w:sz w:val="27"/>
          <w:rtl/>
          <w:lang w:bidi="ar-OM"/>
        </w:rPr>
        <w:t>ّ</w:t>
      </w:r>
      <w:r w:rsidRPr="00904FCB">
        <w:rPr>
          <w:rFonts w:hint="cs"/>
          <w:sz w:val="27"/>
          <w:rtl/>
          <w:lang w:bidi="ar-OM"/>
        </w:rPr>
        <w:t>ح لدخول المجالس النيابية ومزاولة السلطة من خلالها</w:t>
      </w:r>
      <w:r w:rsidR="001458E3"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 xml:space="preserve">ذهب السيد </w:t>
      </w:r>
      <w:r w:rsidR="001458E3" w:rsidRPr="00904FCB">
        <w:rPr>
          <w:rFonts w:hint="cs"/>
          <w:sz w:val="27"/>
          <w:rtl/>
          <w:lang w:bidi="ar-OM"/>
        </w:rPr>
        <w:t xml:space="preserve">محمد </w:t>
      </w:r>
      <w:r w:rsidRPr="00904FCB">
        <w:rPr>
          <w:rFonts w:hint="cs"/>
          <w:sz w:val="27"/>
          <w:rtl/>
          <w:lang w:bidi="ar-OM"/>
        </w:rPr>
        <w:t>باقر الصدر في تنظيره حول خلافة الإنسان وشهادة الأنبياء بأنه عندما تحر</w:t>
      </w:r>
      <w:r w:rsidR="001458E3" w:rsidRPr="00904FCB">
        <w:rPr>
          <w:rFonts w:hint="cs"/>
          <w:sz w:val="27"/>
          <w:rtl/>
          <w:lang w:bidi="ar-OM"/>
        </w:rPr>
        <w:t>ّ</w:t>
      </w:r>
      <w:r w:rsidRPr="00904FCB">
        <w:rPr>
          <w:rFonts w:hint="cs"/>
          <w:sz w:val="27"/>
          <w:rtl/>
          <w:lang w:bidi="ar-OM"/>
        </w:rPr>
        <w:t>ر الأم</w:t>
      </w:r>
      <w:r w:rsidR="001458E3" w:rsidRPr="00904FCB">
        <w:rPr>
          <w:rFonts w:hint="cs"/>
          <w:sz w:val="27"/>
          <w:rtl/>
          <w:lang w:bidi="ar-OM"/>
        </w:rPr>
        <w:t>ّ</w:t>
      </w:r>
      <w:r w:rsidRPr="00904FCB">
        <w:rPr>
          <w:rFonts w:hint="cs"/>
          <w:sz w:val="27"/>
          <w:rtl/>
          <w:lang w:bidi="ar-OM"/>
        </w:rPr>
        <w:t>ة نفسها من الحكم غير الشرعي فخط</w:t>
      </w:r>
      <w:r w:rsidR="001458E3" w:rsidRPr="00904FCB">
        <w:rPr>
          <w:rFonts w:hint="cs"/>
          <w:sz w:val="27"/>
          <w:rtl/>
          <w:lang w:bidi="ar-OM"/>
        </w:rPr>
        <w:t>ّ</w:t>
      </w:r>
      <w:r w:rsidRPr="00904FCB">
        <w:rPr>
          <w:rFonts w:hint="cs"/>
          <w:sz w:val="27"/>
          <w:rtl/>
          <w:lang w:bidi="ar-OM"/>
        </w:rPr>
        <w:t xml:space="preserve"> الخلافة ينتقل إليها</w:t>
      </w:r>
      <w:r w:rsidR="001458E3" w:rsidRPr="00904FCB">
        <w:rPr>
          <w:rFonts w:hint="cs"/>
          <w:sz w:val="27"/>
          <w:rtl/>
          <w:lang w:bidi="ar-OM"/>
        </w:rPr>
        <w:t>،</w:t>
      </w:r>
      <w:r w:rsidRPr="00904FCB">
        <w:rPr>
          <w:rFonts w:hint="cs"/>
          <w:sz w:val="27"/>
          <w:rtl/>
          <w:lang w:bidi="ar-OM"/>
        </w:rPr>
        <w:t xml:space="preserve"> فهي تمارس القيادة السياسية والاجتماعية بتطبيق أحكام الله</w:t>
      </w:r>
      <w:r w:rsidR="001458E3" w:rsidRPr="00904FCB">
        <w:rPr>
          <w:rFonts w:hint="cs"/>
          <w:sz w:val="27"/>
          <w:rtl/>
          <w:lang w:bidi="ar-OM"/>
        </w:rPr>
        <w:t>،</w:t>
      </w:r>
      <w:r w:rsidRPr="00904FCB">
        <w:rPr>
          <w:rFonts w:hint="cs"/>
          <w:sz w:val="27"/>
          <w:rtl/>
          <w:lang w:bidi="ar-OM"/>
        </w:rPr>
        <w:t xml:space="preserve"> وعلى أساس ركائز الاستخلاف الرباني. وتمارس دورها في الخلافة (الربانية) في الإطار التشريعي للقاعدتين التاليتين: </w:t>
      </w:r>
      <w:r w:rsidRPr="00904FCB">
        <w:rPr>
          <w:rFonts w:ascii="Mosawi" w:hAnsi="Mosawi" w:cs="Mosawi"/>
          <w:rtl/>
        </w:rPr>
        <w:t>﴿</w:t>
      </w:r>
      <w:r w:rsidR="001458E3" w:rsidRPr="00904FCB">
        <w:rPr>
          <w:b/>
          <w:bCs/>
          <w:sz w:val="27"/>
          <w:rtl/>
        </w:rPr>
        <w:t>وَأَمْرُهُمْ شُورَى بَيْنَهُمْ</w:t>
      </w:r>
      <w:r w:rsidRPr="00904FCB">
        <w:rPr>
          <w:rFonts w:ascii="Mosawi" w:hAnsi="Mosawi" w:cs="Mosawi"/>
          <w:rtl/>
        </w:rPr>
        <w:t>﴾</w:t>
      </w:r>
      <w:r w:rsidRPr="00904FCB">
        <w:rPr>
          <w:rFonts w:hint="cs"/>
          <w:sz w:val="27"/>
          <w:rtl/>
          <w:lang w:bidi="ar-OM"/>
        </w:rPr>
        <w:t xml:space="preserve"> (الشورى: </w:t>
      </w:r>
      <w:r w:rsidRPr="001E5E90">
        <w:rPr>
          <w:rFonts w:hint="cs"/>
          <w:sz w:val="27"/>
          <w:rtl/>
          <w:lang w:bidi="ar-OM"/>
        </w:rPr>
        <w:t>38</w:t>
      </w:r>
      <w:r w:rsidR="001458E3" w:rsidRPr="00904FCB">
        <w:rPr>
          <w:rFonts w:hint="cs"/>
          <w:sz w:val="27"/>
          <w:rtl/>
          <w:lang w:bidi="ar-OM"/>
        </w:rPr>
        <w:t xml:space="preserve">)؛ </w:t>
      </w:r>
      <w:r w:rsidRPr="00904FCB">
        <w:rPr>
          <w:rFonts w:ascii="Mosawi" w:hAnsi="Mosawi" w:cs="Mosawi"/>
          <w:rtl/>
        </w:rPr>
        <w:t>﴿</w:t>
      </w:r>
      <w:r w:rsidR="001458E3" w:rsidRPr="00904FCB">
        <w:rPr>
          <w:b/>
          <w:bCs/>
          <w:sz w:val="27"/>
          <w:rtl/>
        </w:rPr>
        <w:t>وَالْمُؤْمِنُونَ وَالْمُؤْمِنَاتُ بَعْضُهُمْ أَوْلِيَاءُ بَعْضٍ يَأْمُرُونَ بِالْمَعْرُوفِ وَيَنْهَوْنَ عَنْ الْمُنكَرِ</w:t>
      </w:r>
      <w:r w:rsidRPr="00904FCB">
        <w:rPr>
          <w:rFonts w:ascii="Mosawi" w:hAnsi="Mosawi" w:cs="Mosawi"/>
          <w:rtl/>
        </w:rPr>
        <w:t>﴾</w:t>
      </w:r>
      <w:r w:rsidRPr="00904FCB">
        <w:rPr>
          <w:rFonts w:hint="cs"/>
          <w:sz w:val="27"/>
          <w:rtl/>
          <w:lang w:bidi="ar-OM"/>
        </w:rPr>
        <w:t xml:space="preserve"> (التوبة: </w:t>
      </w:r>
      <w:r w:rsidRPr="001E5E90">
        <w:rPr>
          <w:rFonts w:hint="cs"/>
          <w:sz w:val="27"/>
          <w:rtl/>
          <w:lang w:bidi="ar-OM"/>
        </w:rPr>
        <w:t>71</w:t>
      </w:r>
      <w:r w:rsidRPr="00904FCB">
        <w:rPr>
          <w:rFonts w:hint="cs"/>
          <w:sz w:val="27"/>
          <w:rtl/>
          <w:lang w:bidi="ar-OM"/>
        </w:rPr>
        <w:t>).</w:t>
      </w:r>
    </w:p>
    <w:p w:rsidR="001458E3" w:rsidRPr="00904FCB" w:rsidRDefault="00644408" w:rsidP="007A21AA">
      <w:pPr>
        <w:spacing w:line="400" w:lineRule="exact"/>
        <w:rPr>
          <w:sz w:val="27"/>
          <w:rtl/>
          <w:lang w:bidi="ar-OM"/>
        </w:rPr>
      </w:pPr>
      <w:r w:rsidRPr="00904FCB">
        <w:rPr>
          <w:rFonts w:hint="cs"/>
          <w:sz w:val="27"/>
          <w:rtl/>
          <w:lang w:bidi="ar-OM"/>
        </w:rPr>
        <w:t>والنص</w:t>
      </w:r>
      <w:r w:rsidR="001458E3" w:rsidRPr="00904FCB">
        <w:rPr>
          <w:rFonts w:hint="cs"/>
          <w:sz w:val="27"/>
          <w:rtl/>
          <w:lang w:bidi="ar-OM"/>
        </w:rPr>
        <w:t>ّ</w:t>
      </w:r>
      <w:r w:rsidRPr="00904FCB">
        <w:rPr>
          <w:rFonts w:hint="cs"/>
          <w:sz w:val="27"/>
          <w:rtl/>
          <w:lang w:bidi="ar-OM"/>
        </w:rPr>
        <w:t xml:space="preserve"> الأول يعطي الأم</w:t>
      </w:r>
      <w:r w:rsidR="001458E3" w:rsidRPr="00904FCB">
        <w:rPr>
          <w:rFonts w:hint="cs"/>
          <w:sz w:val="27"/>
          <w:rtl/>
          <w:lang w:bidi="ar-OM"/>
        </w:rPr>
        <w:t>ّ</w:t>
      </w:r>
      <w:r w:rsidRPr="00904FCB">
        <w:rPr>
          <w:rFonts w:hint="cs"/>
          <w:sz w:val="27"/>
          <w:rtl/>
          <w:lang w:bidi="ar-OM"/>
        </w:rPr>
        <w:t>ة صلاحية ممارسة أمورها عن طريق الشورى، ما لم يرد نص</w:t>
      </w:r>
      <w:r w:rsidR="001458E3" w:rsidRPr="00904FCB">
        <w:rPr>
          <w:rFonts w:hint="cs"/>
          <w:sz w:val="27"/>
          <w:rtl/>
          <w:lang w:bidi="ar-OM"/>
        </w:rPr>
        <w:t>ٌّ</w:t>
      </w:r>
      <w:r w:rsidRPr="00904FCB">
        <w:rPr>
          <w:rFonts w:hint="cs"/>
          <w:sz w:val="27"/>
          <w:rtl/>
          <w:lang w:bidi="ar-OM"/>
        </w:rPr>
        <w:t xml:space="preserve"> خاص على خلاف ذلك</w:t>
      </w:r>
      <w:r w:rsidR="001458E3"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والنص</w:t>
      </w:r>
      <w:r w:rsidR="001458E3" w:rsidRPr="00904FCB">
        <w:rPr>
          <w:rFonts w:hint="cs"/>
          <w:sz w:val="27"/>
          <w:rtl/>
          <w:lang w:bidi="ar-OM"/>
        </w:rPr>
        <w:t>ّ</w:t>
      </w:r>
      <w:r w:rsidRPr="00904FCB">
        <w:rPr>
          <w:rFonts w:hint="cs"/>
          <w:sz w:val="27"/>
          <w:rtl/>
          <w:lang w:bidi="ar-OM"/>
        </w:rPr>
        <w:t xml:space="preserve"> الثاني يتحدث عن الولاية</w:t>
      </w:r>
      <w:r w:rsidR="001458E3" w:rsidRPr="00904FCB">
        <w:rPr>
          <w:rFonts w:hint="cs"/>
          <w:sz w:val="27"/>
          <w:rtl/>
          <w:lang w:bidi="ar-OM"/>
        </w:rPr>
        <w:t>،</w:t>
      </w:r>
      <w:r w:rsidRPr="00904FCB">
        <w:rPr>
          <w:rFonts w:hint="cs"/>
          <w:sz w:val="27"/>
          <w:rtl/>
          <w:lang w:bidi="ar-OM"/>
        </w:rPr>
        <w:t xml:space="preserve"> وأن</w:t>
      </w:r>
      <w:r w:rsidR="001458E3" w:rsidRPr="00904FCB">
        <w:rPr>
          <w:rFonts w:hint="cs"/>
          <w:sz w:val="27"/>
          <w:rtl/>
          <w:lang w:bidi="ar-OM"/>
        </w:rPr>
        <w:t>ّ</w:t>
      </w:r>
      <w:r w:rsidRPr="00904FCB">
        <w:rPr>
          <w:rFonts w:hint="cs"/>
          <w:sz w:val="27"/>
          <w:rtl/>
          <w:lang w:bidi="ar-OM"/>
        </w:rPr>
        <w:t xml:space="preserve"> كل مؤمن ولي</w:t>
      </w:r>
      <w:r w:rsidR="001458E3" w:rsidRPr="00904FCB">
        <w:rPr>
          <w:rFonts w:hint="cs"/>
          <w:sz w:val="27"/>
          <w:rtl/>
          <w:lang w:bidi="ar-OM"/>
        </w:rPr>
        <w:t>ّ</w:t>
      </w:r>
      <w:r w:rsidRPr="00904FCB">
        <w:rPr>
          <w:rFonts w:hint="cs"/>
          <w:sz w:val="27"/>
          <w:rtl/>
          <w:lang w:bidi="ar-OM"/>
        </w:rPr>
        <w:t xml:space="preserve"> الآخرين</w:t>
      </w:r>
      <w:r w:rsidR="001458E3" w:rsidRPr="00904FCB">
        <w:rPr>
          <w:rFonts w:hint="cs"/>
          <w:sz w:val="27"/>
          <w:rtl/>
          <w:lang w:bidi="ar-OM"/>
        </w:rPr>
        <w:t>.</w:t>
      </w:r>
      <w:r w:rsidRPr="00904FCB">
        <w:rPr>
          <w:rFonts w:hint="cs"/>
          <w:sz w:val="27"/>
          <w:rtl/>
          <w:lang w:bidi="ar-OM"/>
        </w:rPr>
        <w:t xml:space="preserve"> ويريد بالولاية تول</w:t>
      </w:r>
      <w:r w:rsidR="001458E3" w:rsidRPr="00904FCB">
        <w:rPr>
          <w:rFonts w:hint="cs"/>
          <w:sz w:val="27"/>
          <w:rtl/>
          <w:lang w:bidi="ar-OM"/>
        </w:rPr>
        <w:t>ّ</w:t>
      </w:r>
      <w:r w:rsidRPr="00904FCB">
        <w:rPr>
          <w:rFonts w:hint="cs"/>
          <w:sz w:val="27"/>
          <w:rtl/>
          <w:lang w:bidi="ar-OM"/>
        </w:rPr>
        <w:t>ي أموره</w:t>
      </w:r>
      <w:r w:rsidR="001458E3" w:rsidRPr="00904FCB">
        <w:rPr>
          <w:rFonts w:hint="cs"/>
          <w:sz w:val="27"/>
          <w:rtl/>
          <w:lang w:bidi="ar-OM"/>
        </w:rPr>
        <w:t>،</w:t>
      </w:r>
      <w:r w:rsidRPr="00904FCB">
        <w:rPr>
          <w:rFonts w:hint="cs"/>
          <w:sz w:val="27"/>
          <w:rtl/>
          <w:lang w:bidi="ar-OM"/>
        </w:rPr>
        <w:t xml:space="preserve"> بقرينة تفريع الأمر بالمعروف والنهي عن المنكر عليه</w:t>
      </w:r>
      <w:r w:rsidR="001458E3" w:rsidRPr="00904FCB">
        <w:rPr>
          <w:rFonts w:hint="cs"/>
          <w:sz w:val="27"/>
          <w:rtl/>
          <w:lang w:bidi="ar-OM"/>
        </w:rPr>
        <w:t>.</w:t>
      </w:r>
      <w:r w:rsidRPr="00904FCB">
        <w:rPr>
          <w:rFonts w:hint="cs"/>
          <w:sz w:val="27"/>
          <w:rtl/>
          <w:lang w:bidi="ar-OM"/>
        </w:rPr>
        <w:t xml:space="preserve"> والنص</w:t>
      </w:r>
      <w:r w:rsidR="001458E3" w:rsidRPr="00904FCB">
        <w:rPr>
          <w:rFonts w:hint="cs"/>
          <w:sz w:val="27"/>
          <w:rtl/>
          <w:lang w:bidi="ar-OM"/>
        </w:rPr>
        <w:t>ّ</w:t>
      </w:r>
      <w:r w:rsidRPr="00904FCB">
        <w:rPr>
          <w:rFonts w:hint="cs"/>
          <w:sz w:val="27"/>
          <w:rtl/>
          <w:lang w:bidi="ar-OM"/>
        </w:rPr>
        <w:t xml:space="preserve"> ظاهر في سريان الولاية بين كل</w:t>
      </w:r>
      <w:r w:rsidR="001458E3" w:rsidRPr="00904FCB">
        <w:rPr>
          <w:rFonts w:hint="cs"/>
          <w:sz w:val="27"/>
          <w:rtl/>
          <w:lang w:bidi="ar-OM"/>
        </w:rPr>
        <w:t>ّ</w:t>
      </w:r>
      <w:r w:rsidRPr="00904FCB">
        <w:rPr>
          <w:rFonts w:hint="cs"/>
          <w:sz w:val="27"/>
          <w:rtl/>
          <w:lang w:bidi="ar-OM"/>
        </w:rPr>
        <w:t xml:space="preserve"> المؤمنين والمؤمنات بصورة</w:t>
      </w:r>
      <w:r w:rsidR="001458E3" w:rsidRPr="00904FCB">
        <w:rPr>
          <w:rFonts w:hint="cs"/>
          <w:sz w:val="27"/>
          <w:rtl/>
          <w:lang w:bidi="ar-OM"/>
        </w:rPr>
        <w:t>ٍ</w:t>
      </w:r>
      <w:r w:rsidRPr="00904FCB">
        <w:rPr>
          <w:rFonts w:hint="cs"/>
          <w:sz w:val="27"/>
          <w:rtl/>
          <w:lang w:bidi="ar-OM"/>
        </w:rPr>
        <w:t xml:space="preserve"> متساوية، وينتج عن ذلك الأخذ بمبدأ الشورى وبرأي الأكثرية عند الاختلاف</w:t>
      </w:r>
      <w:r w:rsidRPr="00904FCB">
        <w:rPr>
          <w:rFonts w:hint="eastAsia"/>
          <w:sz w:val="27"/>
          <w:rtl/>
        </w:rPr>
        <w:t>»</w:t>
      </w:r>
      <w:r w:rsidRPr="00904FCB">
        <w:rPr>
          <w:rFonts w:hint="cs"/>
          <w:sz w:val="27"/>
          <w:vertAlign w:val="superscript"/>
          <w:rtl/>
        </w:rPr>
        <w:t>(</w:t>
      </w:r>
      <w:r w:rsidRPr="00904FCB">
        <w:rPr>
          <w:rStyle w:val="ac"/>
          <w:sz w:val="27"/>
          <w:rtl/>
        </w:rPr>
        <w:endnoteReference w:id="223"/>
      </w:r>
      <w:r w:rsidRPr="00904FCB">
        <w:rPr>
          <w:rFonts w:hint="cs"/>
          <w:sz w:val="27"/>
          <w:vertAlign w:val="superscript"/>
          <w:rtl/>
        </w:rPr>
        <w:t>)</w:t>
      </w:r>
      <w:r w:rsidR="001458E3" w:rsidRPr="00904FCB">
        <w:rPr>
          <w:rFonts w:hint="cs"/>
          <w:sz w:val="27"/>
          <w:rtl/>
          <w:lang w:bidi="ar-OM"/>
        </w:rPr>
        <w:t>.</w:t>
      </w:r>
      <w:r w:rsidRPr="00904FCB">
        <w:rPr>
          <w:rFonts w:hint="cs"/>
          <w:sz w:val="27"/>
          <w:rtl/>
          <w:lang w:bidi="ar-OM"/>
        </w:rPr>
        <w:t xml:space="preserve"> كما صر</w:t>
      </w:r>
      <w:r w:rsidR="00BB2B7E" w:rsidRPr="00904FCB">
        <w:rPr>
          <w:rFonts w:hint="cs"/>
          <w:sz w:val="27"/>
          <w:rtl/>
          <w:lang w:bidi="ar-OM"/>
        </w:rPr>
        <w:t>َّ</w:t>
      </w:r>
      <w:r w:rsidRPr="00904FCB">
        <w:rPr>
          <w:rFonts w:hint="cs"/>
          <w:sz w:val="27"/>
          <w:rtl/>
          <w:lang w:bidi="ar-OM"/>
        </w:rPr>
        <w:t xml:space="preserve">ح في بحثه عن </w:t>
      </w:r>
      <w:r w:rsidRPr="00904FCB">
        <w:rPr>
          <w:rFonts w:hint="eastAsia"/>
          <w:sz w:val="27"/>
          <w:rtl/>
          <w:lang w:bidi="ar-OM"/>
        </w:rPr>
        <w:t>«</w:t>
      </w:r>
      <w:r w:rsidRPr="00904FCB">
        <w:rPr>
          <w:rFonts w:hint="cs"/>
          <w:sz w:val="27"/>
          <w:rtl/>
          <w:lang w:bidi="ar-OM"/>
        </w:rPr>
        <w:t>لمحة فقهية دستورية</w:t>
      </w:r>
      <w:r w:rsidRPr="00904FCB">
        <w:rPr>
          <w:rFonts w:hint="eastAsia"/>
          <w:sz w:val="27"/>
          <w:rtl/>
        </w:rPr>
        <w:t>»</w:t>
      </w:r>
      <w:r w:rsidRPr="00904FCB">
        <w:rPr>
          <w:rFonts w:hint="cs"/>
          <w:sz w:val="27"/>
          <w:rtl/>
          <w:lang w:bidi="ar-OM"/>
        </w:rPr>
        <w:t xml:space="preserve"> بأن ممارسة السلطة التنفيذية والتشريعية تسند إلى الأم</w:t>
      </w:r>
      <w:r w:rsidR="00BB2B7E" w:rsidRPr="00904FCB">
        <w:rPr>
          <w:rFonts w:hint="cs"/>
          <w:sz w:val="27"/>
          <w:rtl/>
          <w:lang w:bidi="ar-OM"/>
        </w:rPr>
        <w:t>ّ</w:t>
      </w:r>
      <w:r w:rsidRPr="00904FCB">
        <w:rPr>
          <w:rFonts w:hint="cs"/>
          <w:sz w:val="27"/>
          <w:rtl/>
          <w:lang w:bidi="ar-OM"/>
        </w:rPr>
        <w:t>ة</w:t>
      </w:r>
      <w:r w:rsidR="00BB2B7E" w:rsidRPr="00904FCB">
        <w:rPr>
          <w:rFonts w:hint="cs"/>
          <w:sz w:val="27"/>
          <w:rtl/>
          <w:lang w:bidi="ar-OM"/>
        </w:rPr>
        <w:t>،</w:t>
      </w:r>
      <w:r w:rsidRPr="00904FCB">
        <w:rPr>
          <w:rFonts w:hint="cs"/>
          <w:sz w:val="27"/>
          <w:rtl/>
          <w:lang w:bidi="ar-OM"/>
        </w:rPr>
        <w:t xml:space="preserve"> فهي صاحبة الحق في ممارسة هاتين السلطتين</w:t>
      </w:r>
      <w:r w:rsidR="00BB2B7E" w:rsidRPr="00904FCB">
        <w:rPr>
          <w:rFonts w:hint="cs"/>
          <w:sz w:val="27"/>
          <w:rtl/>
          <w:lang w:bidi="ar-OM"/>
        </w:rPr>
        <w:t>،</w:t>
      </w:r>
      <w:r w:rsidRPr="00904FCB">
        <w:rPr>
          <w:rFonts w:hint="cs"/>
          <w:sz w:val="27"/>
          <w:rtl/>
          <w:lang w:bidi="ar-OM"/>
        </w:rPr>
        <w:t xml:space="preserve"> على أن يتم</w:t>
      </w:r>
      <w:r w:rsidR="00BB2B7E" w:rsidRPr="00904FCB">
        <w:rPr>
          <w:rFonts w:hint="cs"/>
          <w:sz w:val="27"/>
          <w:rtl/>
          <w:lang w:bidi="ar-OM"/>
        </w:rPr>
        <w:t>ّ</w:t>
      </w:r>
      <w:r w:rsidRPr="00904FCB">
        <w:rPr>
          <w:rFonts w:hint="cs"/>
          <w:sz w:val="27"/>
          <w:rtl/>
          <w:lang w:bidi="ar-OM"/>
        </w:rPr>
        <w:t xml:space="preserve"> ذلك بإشراف ورقابة المرجعية الديني</w:t>
      </w:r>
      <w:r w:rsidR="00BB2B7E" w:rsidRPr="00904FCB">
        <w:rPr>
          <w:rFonts w:hint="cs"/>
          <w:sz w:val="27"/>
          <w:rtl/>
          <w:lang w:bidi="ar-OM"/>
        </w:rPr>
        <w:t>ّ</w:t>
      </w:r>
      <w:r w:rsidRPr="00904FCB">
        <w:rPr>
          <w:rFonts w:hint="cs"/>
          <w:sz w:val="27"/>
          <w:rtl/>
          <w:lang w:bidi="ar-OM"/>
        </w:rPr>
        <w:t xml:space="preserve">ة الرشيدة </w:t>
      </w:r>
      <w:r w:rsidRPr="00904FCB">
        <w:rPr>
          <w:sz w:val="27"/>
          <w:rtl/>
          <w:lang w:bidi="ar-OM"/>
        </w:rPr>
        <w:t>ـ</w:t>
      </w:r>
      <w:r w:rsidRPr="00904FCB">
        <w:rPr>
          <w:rFonts w:hint="cs"/>
          <w:sz w:val="27"/>
          <w:rtl/>
          <w:lang w:bidi="ar-OM"/>
        </w:rPr>
        <w:t xml:space="preserve"> ح</w:t>
      </w:r>
      <w:r w:rsidR="00BB2B7E" w:rsidRPr="00904FCB">
        <w:rPr>
          <w:rFonts w:hint="cs"/>
          <w:sz w:val="27"/>
          <w:rtl/>
          <w:lang w:bidi="ar-OM"/>
        </w:rPr>
        <w:t>َ</w:t>
      </w:r>
      <w:r w:rsidRPr="00904FCB">
        <w:rPr>
          <w:rFonts w:hint="cs"/>
          <w:sz w:val="27"/>
          <w:rtl/>
          <w:lang w:bidi="ar-OM"/>
        </w:rPr>
        <w:t>س</w:t>
      </w:r>
      <w:r w:rsidR="00BB2B7E" w:rsidRPr="00904FCB">
        <w:rPr>
          <w:rFonts w:hint="cs"/>
          <w:sz w:val="27"/>
          <w:rtl/>
          <w:lang w:bidi="ar-OM"/>
        </w:rPr>
        <w:t>ْ</w:t>
      </w:r>
      <w:r w:rsidRPr="00904FCB">
        <w:rPr>
          <w:rFonts w:hint="cs"/>
          <w:sz w:val="27"/>
          <w:rtl/>
          <w:lang w:bidi="ar-OM"/>
        </w:rPr>
        <w:t>ب تعبيره ـ</w:t>
      </w:r>
      <w:r w:rsidRPr="00904FCB">
        <w:rPr>
          <w:rFonts w:hint="cs"/>
          <w:sz w:val="27"/>
          <w:vertAlign w:val="superscript"/>
          <w:rtl/>
        </w:rPr>
        <w:t>(</w:t>
      </w:r>
      <w:r w:rsidRPr="00904FCB">
        <w:rPr>
          <w:rStyle w:val="ac"/>
          <w:sz w:val="27"/>
          <w:rtl/>
        </w:rPr>
        <w:endnoteReference w:id="224"/>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 xml:space="preserve">والواقع </w:t>
      </w:r>
      <w:r w:rsidR="00BB2B7E" w:rsidRPr="00904FCB">
        <w:rPr>
          <w:rFonts w:hint="cs"/>
          <w:sz w:val="27"/>
          <w:rtl/>
          <w:lang w:bidi="ar-OM"/>
        </w:rPr>
        <w:t>أ</w:t>
      </w:r>
      <w:r w:rsidRPr="00904FCB">
        <w:rPr>
          <w:rFonts w:hint="cs"/>
          <w:sz w:val="27"/>
          <w:rtl/>
          <w:lang w:bidi="ar-OM"/>
        </w:rPr>
        <w:t>ن من المجالات التطبيقية لهذا الر</w:t>
      </w:r>
      <w:r w:rsidR="00BB2B7E" w:rsidRPr="00904FCB">
        <w:rPr>
          <w:rFonts w:hint="cs"/>
          <w:sz w:val="27"/>
          <w:rtl/>
          <w:lang w:bidi="ar-OM"/>
        </w:rPr>
        <w:t>أ</w:t>
      </w:r>
      <w:r w:rsidRPr="00904FCB">
        <w:rPr>
          <w:rFonts w:hint="cs"/>
          <w:sz w:val="27"/>
          <w:rtl/>
          <w:lang w:bidi="ar-OM"/>
        </w:rPr>
        <w:t>ي الفقهي هو المشاركة في الاستفتاءات العام</w:t>
      </w:r>
      <w:r w:rsidR="00BB2B7E" w:rsidRPr="00904FCB">
        <w:rPr>
          <w:rFonts w:hint="cs"/>
          <w:sz w:val="27"/>
          <w:rtl/>
          <w:lang w:bidi="ar-OM"/>
        </w:rPr>
        <w:t>ّ</w:t>
      </w:r>
      <w:r w:rsidRPr="00904FCB">
        <w:rPr>
          <w:rFonts w:hint="cs"/>
          <w:sz w:val="27"/>
          <w:rtl/>
          <w:lang w:bidi="ar-OM"/>
        </w:rPr>
        <w:t xml:space="preserve">ة والانتخابات الشعبية لانتخاب الرؤساء والنواب في المجالس النيابية والمحلية وغيرها. كما يفترض </w:t>
      </w:r>
      <w:r w:rsidR="00BB2B7E" w:rsidRPr="00904FCB">
        <w:rPr>
          <w:rFonts w:hint="cs"/>
          <w:sz w:val="27"/>
          <w:rtl/>
          <w:lang w:bidi="ar-OM"/>
        </w:rPr>
        <w:t>أ</w:t>
      </w:r>
      <w:r w:rsidRPr="00904FCB">
        <w:rPr>
          <w:rFonts w:hint="cs"/>
          <w:sz w:val="27"/>
          <w:rtl/>
          <w:lang w:bidi="ar-OM"/>
        </w:rPr>
        <w:t>ن يشمل الدخول في المجالس النيابية الممث</w:t>
      </w:r>
      <w:r w:rsidR="00BB2B7E" w:rsidRPr="00904FCB">
        <w:rPr>
          <w:rFonts w:hint="cs"/>
          <w:sz w:val="27"/>
          <w:rtl/>
          <w:lang w:bidi="ar-OM"/>
        </w:rPr>
        <w:t>ّ</w:t>
      </w:r>
      <w:r w:rsidRPr="00904FCB">
        <w:rPr>
          <w:rFonts w:hint="cs"/>
          <w:sz w:val="27"/>
          <w:rtl/>
          <w:lang w:bidi="ar-OM"/>
        </w:rPr>
        <w:t>لة للأكثرية</w:t>
      </w:r>
      <w:r w:rsidR="00BB2B7E" w:rsidRPr="00904FCB">
        <w:rPr>
          <w:rFonts w:hint="cs"/>
          <w:sz w:val="27"/>
          <w:rtl/>
          <w:lang w:bidi="ar-OM"/>
        </w:rPr>
        <w:t>،</w:t>
      </w:r>
      <w:r w:rsidRPr="00904FCB">
        <w:rPr>
          <w:rFonts w:hint="cs"/>
          <w:sz w:val="27"/>
          <w:rtl/>
          <w:lang w:bidi="ar-OM"/>
        </w:rPr>
        <w:t xml:space="preserve"> لتمارس المرأة والرجل معا</w:t>
      </w:r>
      <w:r w:rsidR="00BB2B7E" w:rsidRPr="00904FCB">
        <w:rPr>
          <w:rFonts w:hint="cs"/>
          <w:sz w:val="27"/>
          <w:rtl/>
          <w:lang w:bidi="ar-OM"/>
        </w:rPr>
        <w:t>ً</w:t>
      </w:r>
      <w:r w:rsidRPr="00904FCB">
        <w:rPr>
          <w:rFonts w:hint="cs"/>
          <w:sz w:val="27"/>
          <w:rtl/>
          <w:lang w:bidi="ar-OM"/>
        </w:rPr>
        <w:t xml:space="preserve"> دورهما في الخلافة ضمن المجموعة النيابية المنتخبة</w:t>
      </w:r>
      <w:r w:rsidR="00BB2B7E" w:rsidRPr="00904FCB">
        <w:rPr>
          <w:rFonts w:hint="cs"/>
          <w:sz w:val="27"/>
          <w:rtl/>
          <w:lang w:bidi="ar-OM"/>
        </w:rPr>
        <w:t>،</w:t>
      </w:r>
      <w:r w:rsidRPr="00904FCB">
        <w:rPr>
          <w:rFonts w:hint="cs"/>
          <w:sz w:val="27"/>
          <w:rtl/>
          <w:lang w:bidi="ar-OM"/>
        </w:rPr>
        <w:t xml:space="preserve"> ولو على نحو الوكالة عن مجموع الناخبين من الأم</w:t>
      </w:r>
      <w:r w:rsidR="00BB2B7E" w:rsidRPr="00904FCB">
        <w:rPr>
          <w:rFonts w:hint="cs"/>
          <w:sz w:val="27"/>
          <w:rtl/>
          <w:lang w:bidi="ar-OM"/>
        </w:rPr>
        <w:t>ّ</w:t>
      </w:r>
      <w:r w:rsidRPr="00904FCB">
        <w:rPr>
          <w:rFonts w:hint="cs"/>
          <w:sz w:val="27"/>
          <w:rtl/>
          <w:lang w:bidi="ar-OM"/>
        </w:rPr>
        <w:t>ة. وقد يقال بإمكانية استفادة هذا المعنى من كلامه بكون كل</w:t>
      </w:r>
      <w:r w:rsidR="00BB2B7E" w:rsidRPr="00904FCB">
        <w:rPr>
          <w:rFonts w:hint="cs"/>
          <w:sz w:val="27"/>
          <w:rtl/>
          <w:lang w:bidi="ar-OM"/>
        </w:rPr>
        <w:t>ّ</w:t>
      </w:r>
      <w:r w:rsidRPr="00904FCB">
        <w:rPr>
          <w:rFonts w:hint="cs"/>
          <w:sz w:val="27"/>
          <w:rtl/>
          <w:lang w:bidi="ar-OM"/>
        </w:rPr>
        <w:t xml:space="preserve"> مؤمن</w:t>
      </w:r>
      <w:r w:rsidR="00BB2B7E" w:rsidRPr="00904FCB">
        <w:rPr>
          <w:rFonts w:hint="cs"/>
          <w:sz w:val="27"/>
          <w:rtl/>
          <w:lang w:bidi="ar-OM"/>
        </w:rPr>
        <w:t>ٍ</w:t>
      </w:r>
      <w:r w:rsidRPr="00904FCB">
        <w:rPr>
          <w:rFonts w:hint="cs"/>
          <w:sz w:val="27"/>
          <w:rtl/>
          <w:lang w:bidi="ar-OM"/>
        </w:rPr>
        <w:t xml:space="preserve"> ولي</w:t>
      </w:r>
      <w:r w:rsidR="00BB2B7E" w:rsidRPr="00904FCB">
        <w:rPr>
          <w:rFonts w:hint="cs"/>
          <w:sz w:val="27"/>
          <w:rtl/>
          <w:lang w:bidi="ar-OM"/>
        </w:rPr>
        <w:t>ّ</w:t>
      </w:r>
      <w:r w:rsidRPr="00904FCB">
        <w:rPr>
          <w:rFonts w:hint="cs"/>
          <w:sz w:val="27"/>
          <w:rtl/>
          <w:lang w:bidi="ar-OM"/>
        </w:rPr>
        <w:t xml:space="preserve"> غيره</w:t>
      </w:r>
      <w:r w:rsidR="00BB2B7E" w:rsidRPr="00904FCB">
        <w:rPr>
          <w:rFonts w:hint="cs"/>
          <w:sz w:val="27"/>
          <w:rtl/>
          <w:lang w:bidi="ar-OM"/>
        </w:rPr>
        <w:t>،</w:t>
      </w:r>
      <w:r w:rsidRPr="00904FCB">
        <w:rPr>
          <w:rFonts w:hint="cs"/>
          <w:sz w:val="27"/>
          <w:rtl/>
          <w:lang w:bidi="ar-OM"/>
        </w:rPr>
        <w:t xml:space="preserve"> وكون المقصود من الولاية هو تولي أموره</w:t>
      </w:r>
      <w:r w:rsidR="00BB2B7E" w:rsidRPr="00904FCB">
        <w:rPr>
          <w:rFonts w:hint="cs"/>
          <w:sz w:val="27"/>
          <w:rtl/>
          <w:lang w:bidi="ar-OM"/>
        </w:rPr>
        <w:t>،</w:t>
      </w:r>
      <w:r w:rsidRPr="00904FCB">
        <w:rPr>
          <w:rFonts w:hint="cs"/>
          <w:sz w:val="27"/>
          <w:rtl/>
          <w:lang w:bidi="ar-OM"/>
        </w:rPr>
        <w:t xml:space="preserve"> ومن سريان الولاية بينهم بالتساوي. ونظرا</w:t>
      </w:r>
      <w:r w:rsidR="00BB2B7E" w:rsidRPr="00904FCB">
        <w:rPr>
          <w:rFonts w:hint="cs"/>
          <w:sz w:val="27"/>
          <w:rtl/>
          <w:lang w:bidi="ar-OM"/>
        </w:rPr>
        <w:t>ً</w:t>
      </w:r>
      <w:r w:rsidRPr="00904FCB">
        <w:rPr>
          <w:rFonts w:hint="cs"/>
          <w:sz w:val="27"/>
          <w:rtl/>
          <w:lang w:bidi="ar-OM"/>
        </w:rPr>
        <w:t xml:space="preserve"> </w:t>
      </w:r>
      <w:r w:rsidR="00BB2B7E" w:rsidRPr="00904FCB">
        <w:rPr>
          <w:rFonts w:hint="cs"/>
          <w:sz w:val="27"/>
          <w:rtl/>
          <w:lang w:bidi="ar-OM"/>
        </w:rPr>
        <w:t>لكون</w:t>
      </w:r>
      <w:r w:rsidRPr="00904FCB">
        <w:rPr>
          <w:rFonts w:hint="cs"/>
          <w:sz w:val="27"/>
          <w:rtl/>
          <w:lang w:bidi="ar-OM"/>
        </w:rPr>
        <w:t xml:space="preserve"> كلامه </w:t>
      </w:r>
      <w:r w:rsidR="00BB2B7E" w:rsidRPr="00904FCB">
        <w:rPr>
          <w:rFonts w:hint="cs"/>
          <w:sz w:val="27"/>
          <w:rtl/>
          <w:lang w:bidi="ar-OM"/>
        </w:rPr>
        <w:t>غير واضحٍ</w:t>
      </w:r>
      <w:r w:rsidRPr="00904FCB">
        <w:rPr>
          <w:rFonts w:hint="cs"/>
          <w:sz w:val="27"/>
          <w:rtl/>
          <w:lang w:bidi="ar-OM"/>
        </w:rPr>
        <w:t xml:space="preserve"> بدرجة كافية يقتصر على الق</w:t>
      </w:r>
      <w:r w:rsidR="00BB2B7E" w:rsidRPr="00904FCB">
        <w:rPr>
          <w:rFonts w:hint="cs"/>
          <w:sz w:val="27"/>
          <w:rtl/>
          <w:lang w:bidi="ar-OM"/>
        </w:rPr>
        <w:t>َ</w:t>
      </w:r>
      <w:r w:rsidRPr="00904FCB">
        <w:rPr>
          <w:rFonts w:hint="cs"/>
          <w:sz w:val="27"/>
          <w:rtl/>
          <w:lang w:bidi="ar-OM"/>
        </w:rPr>
        <w:t>د</w:t>
      </w:r>
      <w:r w:rsidR="00BB2B7E" w:rsidRPr="00904FCB">
        <w:rPr>
          <w:rFonts w:hint="cs"/>
          <w:sz w:val="27"/>
          <w:rtl/>
          <w:lang w:bidi="ar-OM"/>
        </w:rPr>
        <w:t>َ</w:t>
      </w:r>
      <w:r w:rsidRPr="00904FCB">
        <w:rPr>
          <w:rFonts w:hint="cs"/>
          <w:sz w:val="27"/>
          <w:rtl/>
          <w:lang w:bidi="ar-OM"/>
        </w:rPr>
        <w:t>ر المتيق</w:t>
      </w:r>
      <w:r w:rsidR="00BB2B7E" w:rsidRPr="00904FCB">
        <w:rPr>
          <w:rFonts w:hint="cs"/>
          <w:sz w:val="27"/>
          <w:rtl/>
          <w:lang w:bidi="ar-OM"/>
        </w:rPr>
        <w:t>َّ</w:t>
      </w:r>
      <w:r w:rsidRPr="00904FCB">
        <w:rPr>
          <w:rFonts w:hint="cs"/>
          <w:sz w:val="27"/>
          <w:rtl/>
          <w:lang w:bidi="ar-OM"/>
        </w:rPr>
        <w:t>ن منه</w:t>
      </w:r>
      <w:r w:rsidR="00BB2B7E" w:rsidRPr="00904FCB">
        <w:rPr>
          <w:rFonts w:hint="cs"/>
          <w:sz w:val="27"/>
          <w:rtl/>
          <w:lang w:bidi="ar-OM"/>
        </w:rPr>
        <w:t>،</w:t>
      </w:r>
      <w:r w:rsidRPr="00904FCB">
        <w:rPr>
          <w:rFonts w:hint="cs"/>
          <w:sz w:val="27"/>
          <w:rtl/>
          <w:lang w:bidi="ar-OM"/>
        </w:rPr>
        <w:t xml:space="preserve"> وهو مزاولة حق</w:t>
      </w:r>
      <w:r w:rsidR="00BB2B7E" w:rsidRPr="00904FCB">
        <w:rPr>
          <w:rFonts w:hint="cs"/>
          <w:sz w:val="27"/>
          <w:rtl/>
          <w:lang w:bidi="ar-OM"/>
        </w:rPr>
        <w:t>ّ</w:t>
      </w:r>
      <w:r w:rsidRPr="00904FCB">
        <w:rPr>
          <w:rFonts w:hint="cs"/>
          <w:sz w:val="27"/>
          <w:rtl/>
          <w:lang w:bidi="ar-OM"/>
        </w:rPr>
        <w:t xml:space="preserve"> الانتخاب والاستفتاء</w:t>
      </w:r>
      <w:r w:rsidR="00BB2B7E" w:rsidRPr="00904FCB">
        <w:rPr>
          <w:rFonts w:hint="cs"/>
          <w:sz w:val="27"/>
          <w:rtl/>
          <w:lang w:bidi="ar-OM"/>
        </w:rPr>
        <w:t>،</w:t>
      </w:r>
      <w:r w:rsidRPr="00904FCB">
        <w:rPr>
          <w:rFonts w:hint="cs"/>
          <w:sz w:val="27"/>
          <w:rtl/>
          <w:lang w:bidi="ar-OM"/>
        </w:rPr>
        <w:t xml:space="preserve"> </w:t>
      </w:r>
      <w:r w:rsidR="00BB2B7E" w:rsidRPr="00904FCB">
        <w:rPr>
          <w:rFonts w:hint="cs"/>
          <w:sz w:val="27"/>
          <w:rtl/>
          <w:lang w:bidi="ar-OM"/>
        </w:rPr>
        <w:t>دون</w:t>
      </w:r>
      <w:r w:rsidRPr="00904FCB">
        <w:rPr>
          <w:rFonts w:hint="cs"/>
          <w:sz w:val="27"/>
          <w:rtl/>
          <w:lang w:bidi="ar-OM"/>
        </w:rPr>
        <w:t xml:space="preserve"> تول</w:t>
      </w:r>
      <w:r w:rsidR="00BB2B7E" w:rsidRPr="00904FCB">
        <w:rPr>
          <w:rFonts w:hint="cs"/>
          <w:sz w:val="27"/>
          <w:rtl/>
          <w:lang w:bidi="ar-OM"/>
        </w:rPr>
        <w:t>ّ</w:t>
      </w:r>
      <w:r w:rsidRPr="00904FCB">
        <w:rPr>
          <w:rFonts w:hint="cs"/>
          <w:sz w:val="27"/>
          <w:rtl/>
          <w:lang w:bidi="ar-OM"/>
        </w:rPr>
        <w:t xml:space="preserve">ي </w:t>
      </w:r>
      <w:r w:rsidRPr="00904FCB">
        <w:rPr>
          <w:rFonts w:hint="cs"/>
          <w:sz w:val="27"/>
          <w:rtl/>
          <w:lang w:bidi="ar-OM"/>
        </w:rPr>
        <w:lastRenderedPageBreak/>
        <w:t>أي</w:t>
      </w:r>
      <w:r w:rsidR="00BB2B7E" w:rsidRPr="00904FCB">
        <w:rPr>
          <w:rFonts w:hint="cs"/>
          <w:sz w:val="27"/>
          <w:rtl/>
          <w:lang w:bidi="ar-OM"/>
        </w:rPr>
        <w:t>ٍّ</w:t>
      </w:r>
      <w:r w:rsidRPr="00904FCB">
        <w:rPr>
          <w:rFonts w:hint="cs"/>
          <w:sz w:val="27"/>
          <w:rtl/>
          <w:lang w:bidi="ar-OM"/>
        </w:rPr>
        <w:t xml:space="preserve"> من السلطات أو مباشرتها. </w:t>
      </w:r>
    </w:p>
    <w:p w:rsidR="00644408" w:rsidRPr="00904FCB" w:rsidRDefault="00644408" w:rsidP="007A21AA">
      <w:pPr>
        <w:spacing w:line="400" w:lineRule="exact"/>
        <w:rPr>
          <w:sz w:val="27"/>
          <w:rtl/>
          <w:lang w:bidi="ar-OM"/>
        </w:rPr>
      </w:pPr>
      <w:r w:rsidRPr="00904FCB">
        <w:rPr>
          <w:rFonts w:hint="cs"/>
          <w:sz w:val="27"/>
          <w:rtl/>
          <w:lang w:bidi="ar-OM"/>
        </w:rPr>
        <w:t xml:space="preserve">ويرى الدكتور القرضاوي </w:t>
      </w:r>
      <w:r w:rsidR="00BB2B7E" w:rsidRPr="00904FCB">
        <w:rPr>
          <w:rFonts w:hint="cs"/>
          <w:sz w:val="27"/>
          <w:rtl/>
          <w:lang w:bidi="ar-OM"/>
        </w:rPr>
        <w:t>أ</w:t>
      </w:r>
      <w:r w:rsidRPr="00904FCB">
        <w:rPr>
          <w:rFonts w:hint="cs"/>
          <w:sz w:val="27"/>
          <w:rtl/>
          <w:lang w:bidi="ar-OM"/>
        </w:rPr>
        <w:t>ن من حق</w:t>
      </w:r>
      <w:r w:rsidR="00BB2B7E" w:rsidRPr="00904FCB">
        <w:rPr>
          <w:rFonts w:hint="cs"/>
          <w:sz w:val="27"/>
          <w:rtl/>
          <w:lang w:bidi="ar-OM"/>
        </w:rPr>
        <w:t>ّ</w:t>
      </w:r>
      <w:r w:rsidRPr="00904FCB">
        <w:rPr>
          <w:rFonts w:hint="cs"/>
          <w:sz w:val="27"/>
          <w:rtl/>
          <w:lang w:bidi="ar-OM"/>
        </w:rPr>
        <w:t xml:space="preserve"> المرأة أن ترش</w:t>
      </w:r>
      <w:r w:rsidR="00BB2B7E" w:rsidRPr="00904FCB">
        <w:rPr>
          <w:rFonts w:hint="cs"/>
          <w:sz w:val="27"/>
          <w:rtl/>
          <w:lang w:bidi="ar-OM"/>
        </w:rPr>
        <w:t>ِّ</w:t>
      </w:r>
      <w:r w:rsidRPr="00904FCB">
        <w:rPr>
          <w:rFonts w:hint="cs"/>
          <w:sz w:val="27"/>
          <w:rtl/>
          <w:lang w:bidi="ar-OM"/>
        </w:rPr>
        <w:t xml:space="preserve">ح نفسها لمجلس الشعب والنواب أو الشورى أو المجلس التشريعي الذي يحاسب الحكومة ويراقبها ويصدر التشريعات والقوانين. غير </w:t>
      </w:r>
      <w:r w:rsidR="00BB2B7E" w:rsidRPr="00904FCB">
        <w:rPr>
          <w:rFonts w:hint="cs"/>
          <w:sz w:val="27"/>
          <w:rtl/>
          <w:lang w:bidi="ar-OM"/>
        </w:rPr>
        <w:t>أ</w:t>
      </w:r>
      <w:r w:rsidRPr="00904FCB">
        <w:rPr>
          <w:rFonts w:hint="cs"/>
          <w:sz w:val="27"/>
          <w:rtl/>
          <w:lang w:bidi="ar-OM"/>
        </w:rPr>
        <w:t>نه قي</w:t>
      </w:r>
      <w:r w:rsidR="00BB2B7E" w:rsidRPr="00904FCB">
        <w:rPr>
          <w:rFonts w:hint="cs"/>
          <w:sz w:val="27"/>
          <w:rtl/>
          <w:lang w:bidi="ar-OM"/>
        </w:rPr>
        <w:t>َّ</w:t>
      </w:r>
      <w:r w:rsidRPr="00904FCB">
        <w:rPr>
          <w:rFonts w:hint="cs"/>
          <w:sz w:val="27"/>
          <w:rtl/>
          <w:lang w:bidi="ar-OM"/>
        </w:rPr>
        <w:t>د مشاركة المرأة فيها بأن تكون قد فرغت من قضايا الحمل والرضاعة</w:t>
      </w:r>
      <w:r w:rsidR="00BB2B7E" w:rsidRPr="00904FCB">
        <w:rPr>
          <w:rFonts w:hint="cs"/>
          <w:sz w:val="27"/>
          <w:rtl/>
          <w:lang w:bidi="ar-OM"/>
        </w:rPr>
        <w:t>،</w:t>
      </w:r>
      <w:r w:rsidRPr="00904FCB">
        <w:rPr>
          <w:rFonts w:hint="cs"/>
          <w:sz w:val="27"/>
          <w:rtl/>
          <w:lang w:bidi="ar-OM"/>
        </w:rPr>
        <w:t xml:space="preserve"> وبحيث يكون أولادها قد كبروا</w:t>
      </w:r>
      <w:r w:rsidR="00BB2B7E" w:rsidRPr="00904FCB">
        <w:rPr>
          <w:rFonts w:hint="cs"/>
          <w:sz w:val="27"/>
          <w:rtl/>
          <w:lang w:bidi="ar-OM"/>
        </w:rPr>
        <w:t>،</w:t>
      </w:r>
      <w:r w:rsidRPr="00904FCB">
        <w:rPr>
          <w:rFonts w:hint="cs"/>
          <w:sz w:val="27"/>
          <w:rtl/>
          <w:lang w:bidi="ar-OM"/>
        </w:rPr>
        <w:t xml:space="preserve"> ونضجت تجربتها في الحياة. وقال: ليس معقولا</w:t>
      </w:r>
      <w:r w:rsidR="00BB2B7E" w:rsidRPr="00904FCB">
        <w:rPr>
          <w:rFonts w:hint="cs"/>
          <w:sz w:val="27"/>
          <w:rtl/>
          <w:lang w:bidi="ar-OM"/>
        </w:rPr>
        <w:t>ً</w:t>
      </w:r>
      <w:r w:rsidRPr="00904FCB">
        <w:rPr>
          <w:rFonts w:hint="cs"/>
          <w:sz w:val="27"/>
          <w:rtl/>
          <w:lang w:bidi="ar-OM"/>
        </w:rPr>
        <w:t xml:space="preserve"> </w:t>
      </w:r>
      <w:r w:rsidR="00BB2B7E" w:rsidRPr="00904FCB">
        <w:rPr>
          <w:rFonts w:hint="cs"/>
          <w:sz w:val="27"/>
          <w:rtl/>
          <w:lang w:bidi="ar-OM"/>
        </w:rPr>
        <w:t>أ</w:t>
      </w:r>
      <w:r w:rsidRPr="00904FCB">
        <w:rPr>
          <w:rFonts w:hint="cs"/>
          <w:sz w:val="27"/>
          <w:rtl/>
          <w:lang w:bidi="ar-OM"/>
        </w:rPr>
        <w:t>ن المرأة التي تحمل وترضع وعندها أطفال تذهب ترش</w:t>
      </w:r>
      <w:r w:rsidR="00BB2B7E" w:rsidRPr="00904FCB">
        <w:rPr>
          <w:rFonts w:hint="cs"/>
          <w:sz w:val="27"/>
          <w:rtl/>
          <w:lang w:bidi="ar-OM"/>
        </w:rPr>
        <w:t>ِّ</w:t>
      </w:r>
      <w:r w:rsidRPr="00904FCB">
        <w:rPr>
          <w:rFonts w:hint="cs"/>
          <w:sz w:val="27"/>
          <w:rtl/>
          <w:lang w:bidi="ar-OM"/>
        </w:rPr>
        <w:t>ح نفسها، لا يقول هذا عاقل</w:t>
      </w:r>
      <w:r w:rsidR="00BB2B7E" w:rsidRPr="00904FCB">
        <w:rPr>
          <w:rFonts w:hint="cs"/>
          <w:sz w:val="27"/>
          <w:rtl/>
          <w:lang w:bidi="ar-OM"/>
        </w:rPr>
        <w:t>ٌ،</w:t>
      </w:r>
      <w:r w:rsidRPr="00904FCB">
        <w:rPr>
          <w:rFonts w:hint="cs"/>
          <w:sz w:val="27"/>
          <w:rtl/>
          <w:lang w:bidi="ar-OM"/>
        </w:rPr>
        <w:t xml:space="preserve"> ولا يرضى المجتمع عن هذا</w:t>
      </w:r>
      <w:r w:rsidR="00BB2B7E" w:rsidRPr="00904FCB">
        <w:rPr>
          <w:rFonts w:hint="cs"/>
          <w:sz w:val="27"/>
          <w:rtl/>
          <w:lang w:bidi="ar-OM"/>
        </w:rPr>
        <w:t>،</w:t>
      </w:r>
      <w:r w:rsidRPr="00904FCB">
        <w:rPr>
          <w:rFonts w:hint="cs"/>
          <w:sz w:val="27"/>
          <w:rtl/>
          <w:lang w:bidi="ar-OM"/>
        </w:rPr>
        <w:t xml:space="preserve"> ولا يرضى زوجها</w:t>
      </w:r>
      <w:r w:rsidR="00BB2B7E" w:rsidRPr="00904FCB">
        <w:rPr>
          <w:rFonts w:hint="cs"/>
          <w:sz w:val="27"/>
          <w:rtl/>
          <w:lang w:bidi="ar-OM"/>
        </w:rPr>
        <w:t>،</w:t>
      </w:r>
      <w:r w:rsidRPr="00904FCB">
        <w:rPr>
          <w:rFonts w:hint="cs"/>
          <w:sz w:val="27"/>
          <w:rtl/>
          <w:lang w:bidi="ar-OM"/>
        </w:rPr>
        <w:t xml:space="preserve"> ولا أقاربها</w:t>
      </w:r>
      <w:r w:rsidRPr="00904FCB">
        <w:rPr>
          <w:rFonts w:hint="cs"/>
          <w:sz w:val="27"/>
          <w:vertAlign w:val="superscript"/>
          <w:rtl/>
        </w:rPr>
        <w:t>(</w:t>
      </w:r>
      <w:r w:rsidRPr="00904FCB">
        <w:rPr>
          <w:rStyle w:val="ac"/>
          <w:sz w:val="27"/>
          <w:rtl/>
        </w:rPr>
        <w:endnoteReference w:id="225"/>
      </w:r>
      <w:r w:rsidRPr="00904FCB">
        <w:rPr>
          <w:rFonts w:hint="cs"/>
          <w:sz w:val="27"/>
          <w:vertAlign w:val="superscript"/>
          <w:rtl/>
        </w:rPr>
        <w:t>)</w:t>
      </w:r>
      <w:r w:rsidRPr="00904FCB">
        <w:rPr>
          <w:rFonts w:hint="cs"/>
          <w:sz w:val="27"/>
          <w:rtl/>
          <w:lang w:bidi="ar-OM"/>
        </w:rPr>
        <w:t xml:space="preserve">. </w:t>
      </w:r>
    </w:p>
    <w:p w:rsidR="007177C7" w:rsidRPr="00904FCB" w:rsidRDefault="00644408" w:rsidP="007A21AA">
      <w:pPr>
        <w:spacing w:line="400" w:lineRule="exact"/>
        <w:rPr>
          <w:sz w:val="27"/>
          <w:rtl/>
          <w:lang w:bidi="ar-OM"/>
        </w:rPr>
      </w:pPr>
      <w:r w:rsidRPr="00904FCB">
        <w:rPr>
          <w:rFonts w:hint="cs"/>
          <w:b/>
          <w:bCs/>
          <w:sz w:val="27"/>
          <w:rtl/>
        </w:rPr>
        <w:t xml:space="preserve"> </w:t>
      </w:r>
      <w:r w:rsidRPr="00904FCB">
        <w:rPr>
          <w:rFonts w:hint="cs"/>
          <w:sz w:val="27"/>
          <w:rtl/>
        </w:rPr>
        <w:t>و</w:t>
      </w:r>
      <w:r w:rsidRPr="00904FCB">
        <w:rPr>
          <w:rFonts w:hint="cs"/>
          <w:sz w:val="27"/>
          <w:rtl/>
          <w:lang w:bidi="ar-OM"/>
        </w:rPr>
        <w:t>قد يناقش بأن القيود التي اشترطها، سواء</w:t>
      </w:r>
      <w:r w:rsidR="00BB2B7E" w:rsidRPr="00904FCB">
        <w:rPr>
          <w:rFonts w:hint="cs"/>
          <w:sz w:val="27"/>
          <w:rtl/>
          <w:lang w:bidi="ar-OM"/>
        </w:rPr>
        <w:t>ٌ</w:t>
      </w:r>
      <w:r w:rsidRPr="00904FCB">
        <w:rPr>
          <w:rFonts w:hint="cs"/>
          <w:sz w:val="27"/>
          <w:rtl/>
          <w:lang w:bidi="ar-OM"/>
        </w:rPr>
        <w:t xml:space="preserve"> في مزاولة القضاء أو تمثيل المجلس النيابي، تدل</w:t>
      </w:r>
      <w:r w:rsidR="00BB2B7E" w:rsidRPr="00904FCB">
        <w:rPr>
          <w:rFonts w:hint="cs"/>
          <w:sz w:val="27"/>
          <w:rtl/>
          <w:lang w:bidi="ar-OM"/>
        </w:rPr>
        <w:t>ّ</w:t>
      </w:r>
      <w:r w:rsidRPr="00904FCB">
        <w:rPr>
          <w:rFonts w:hint="cs"/>
          <w:sz w:val="27"/>
          <w:rtl/>
          <w:lang w:bidi="ar-OM"/>
        </w:rPr>
        <w:t xml:space="preserve"> على وجود القناعة الضمنية لديه بأن بعض خصائص المرأة ووظائفها الطبيعية والاجتماعية تحول دون قيامها بهذه الأدوار والمسؤولي</w:t>
      </w:r>
      <w:r w:rsidR="007177C7" w:rsidRPr="00904FCB">
        <w:rPr>
          <w:rFonts w:hint="cs"/>
          <w:sz w:val="27"/>
          <w:rtl/>
          <w:lang w:bidi="ar-OM"/>
        </w:rPr>
        <w:t>ّ</w:t>
      </w:r>
      <w:r w:rsidRPr="00904FCB">
        <w:rPr>
          <w:rFonts w:hint="cs"/>
          <w:sz w:val="27"/>
          <w:rtl/>
          <w:lang w:bidi="ar-OM"/>
        </w:rPr>
        <w:t>ات في المجتمع. و</w:t>
      </w:r>
      <w:r w:rsidR="007177C7" w:rsidRPr="00904FCB">
        <w:rPr>
          <w:rFonts w:hint="cs"/>
          <w:sz w:val="27"/>
          <w:rtl/>
          <w:lang w:bidi="ar-OM"/>
        </w:rPr>
        <w:t>إ</w:t>
      </w:r>
      <w:r w:rsidRPr="00904FCB">
        <w:rPr>
          <w:rFonts w:hint="cs"/>
          <w:sz w:val="27"/>
          <w:rtl/>
          <w:lang w:bidi="ar-OM"/>
        </w:rPr>
        <w:t xml:space="preserve">ن مقتضى كلامه </w:t>
      </w:r>
      <w:r w:rsidR="007177C7" w:rsidRPr="00904FCB">
        <w:rPr>
          <w:rFonts w:hint="cs"/>
          <w:sz w:val="27"/>
          <w:rtl/>
          <w:lang w:bidi="ar-OM"/>
        </w:rPr>
        <w:t>أن</w:t>
      </w:r>
      <w:r w:rsidRPr="00904FCB">
        <w:rPr>
          <w:rFonts w:hint="cs"/>
          <w:sz w:val="27"/>
          <w:rtl/>
          <w:lang w:bidi="ar-OM"/>
        </w:rPr>
        <w:t xml:space="preserve"> على المرأة </w:t>
      </w:r>
      <w:r w:rsidRPr="00904FCB">
        <w:rPr>
          <w:sz w:val="27"/>
          <w:rtl/>
          <w:lang w:bidi="ar-OM"/>
        </w:rPr>
        <w:t>ـ</w:t>
      </w:r>
      <w:r w:rsidRPr="00904FCB">
        <w:rPr>
          <w:rFonts w:hint="cs"/>
          <w:sz w:val="27"/>
          <w:rtl/>
          <w:lang w:bidi="ar-OM"/>
        </w:rPr>
        <w:t xml:space="preserve"> في الوضع الطبيعي ـ </w:t>
      </w:r>
      <w:r w:rsidR="007177C7" w:rsidRPr="00904FCB">
        <w:rPr>
          <w:rFonts w:hint="cs"/>
          <w:sz w:val="27"/>
          <w:rtl/>
          <w:lang w:bidi="ar-OM"/>
        </w:rPr>
        <w:t>أ</w:t>
      </w:r>
      <w:r w:rsidRPr="00904FCB">
        <w:rPr>
          <w:rFonts w:hint="cs"/>
          <w:sz w:val="27"/>
          <w:rtl/>
          <w:lang w:bidi="ar-OM"/>
        </w:rPr>
        <w:t>ن تنتظر حت</w:t>
      </w:r>
      <w:r w:rsidR="007177C7" w:rsidRPr="00904FCB">
        <w:rPr>
          <w:rFonts w:hint="cs"/>
          <w:sz w:val="27"/>
          <w:rtl/>
          <w:lang w:bidi="ar-OM"/>
        </w:rPr>
        <w:t>ّ</w:t>
      </w:r>
      <w:r w:rsidRPr="00904FCB">
        <w:rPr>
          <w:rFonts w:hint="cs"/>
          <w:sz w:val="27"/>
          <w:rtl/>
          <w:lang w:bidi="ar-OM"/>
        </w:rPr>
        <w:t>ى تبلغ سن</w:t>
      </w:r>
      <w:r w:rsidR="007177C7" w:rsidRPr="00904FCB">
        <w:rPr>
          <w:rFonts w:hint="cs"/>
          <w:sz w:val="27"/>
          <w:rtl/>
          <w:lang w:bidi="ar-OM"/>
        </w:rPr>
        <w:t>ّ</w:t>
      </w:r>
      <w:r w:rsidRPr="00904FCB">
        <w:rPr>
          <w:rFonts w:hint="cs"/>
          <w:sz w:val="27"/>
          <w:rtl/>
          <w:lang w:bidi="ar-OM"/>
        </w:rPr>
        <w:t xml:space="preserve"> اليأس حت</w:t>
      </w:r>
      <w:r w:rsidR="007177C7" w:rsidRPr="00904FCB">
        <w:rPr>
          <w:rFonts w:hint="cs"/>
          <w:sz w:val="27"/>
          <w:rtl/>
          <w:lang w:bidi="ar-OM"/>
        </w:rPr>
        <w:t>ّ</w:t>
      </w:r>
      <w:r w:rsidRPr="00904FCB">
        <w:rPr>
          <w:rFonts w:hint="cs"/>
          <w:sz w:val="27"/>
          <w:rtl/>
          <w:lang w:bidi="ar-OM"/>
        </w:rPr>
        <w:t xml:space="preserve">ى يمكنها </w:t>
      </w:r>
      <w:r w:rsidR="007177C7" w:rsidRPr="00904FCB">
        <w:rPr>
          <w:rFonts w:hint="cs"/>
          <w:sz w:val="27"/>
          <w:rtl/>
          <w:lang w:bidi="ar-OM"/>
        </w:rPr>
        <w:t>أ</w:t>
      </w:r>
      <w:r w:rsidRPr="00904FCB">
        <w:rPr>
          <w:rFonts w:hint="cs"/>
          <w:sz w:val="27"/>
          <w:rtl/>
          <w:lang w:bidi="ar-OM"/>
        </w:rPr>
        <w:t>ن تتفر</w:t>
      </w:r>
      <w:r w:rsidR="007177C7" w:rsidRPr="00904FCB">
        <w:rPr>
          <w:rFonts w:hint="cs"/>
          <w:sz w:val="27"/>
          <w:rtl/>
          <w:lang w:bidi="ar-OM"/>
        </w:rPr>
        <w:t>َّ</w:t>
      </w:r>
      <w:r w:rsidRPr="00904FCB">
        <w:rPr>
          <w:rFonts w:hint="cs"/>
          <w:sz w:val="27"/>
          <w:rtl/>
          <w:lang w:bidi="ar-OM"/>
        </w:rPr>
        <w:t>غ لهذه الأدوار القيادية في المجتمع، وربما تكون قد استهلكت حيوي</w:t>
      </w:r>
      <w:r w:rsidR="007177C7" w:rsidRPr="00904FCB">
        <w:rPr>
          <w:rFonts w:hint="cs"/>
          <w:sz w:val="27"/>
          <w:rtl/>
          <w:lang w:bidi="ar-OM"/>
        </w:rPr>
        <w:t>ّ</w:t>
      </w:r>
      <w:r w:rsidRPr="00904FCB">
        <w:rPr>
          <w:rFonts w:hint="cs"/>
          <w:sz w:val="27"/>
          <w:rtl/>
          <w:lang w:bidi="ar-OM"/>
        </w:rPr>
        <w:t>تها خلال المرحلة السابقة. ومن الناحية العملية قد يفقدها ذلك فرصة اكتساب الخبرة العملية</w:t>
      </w:r>
      <w:r w:rsidR="007177C7" w:rsidRPr="00904FCB">
        <w:rPr>
          <w:rFonts w:hint="cs"/>
          <w:sz w:val="27"/>
          <w:rtl/>
          <w:lang w:bidi="ar-OM"/>
        </w:rPr>
        <w:t>،</w:t>
      </w:r>
      <w:r w:rsidRPr="00904FCB">
        <w:rPr>
          <w:rFonts w:hint="cs"/>
          <w:sz w:val="27"/>
          <w:rtl/>
          <w:lang w:bidi="ar-OM"/>
        </w:rPr>
        <w:t xml:space="preserve"> ومراكمة التجربة في هذه المجالات العام</w:t>
      </w:r>
      <w:r w:rsidR="007177C7" w:rsidRPr="00904FCB">
        <w:rPr>
          <w:rFonts w:hint="cs"/>
          <w:sz w:val="27"/>
          <w:rtl/>
          <w:lang w:bidi="ar-OM"/>
        </w:rPr>
        <w:t>ّ</w:t>
      </w:r>
      <w:r w:rsidRPr="00904FCB">
        <w:rPr>
          <w:rFonts w:hint="cs"/>
          <w:sz w:val="27"/>
          <w:rtl/>
          <w:lang w:bidi="ar-OM"/>
        </w:rPr>
        <w:t>ة</w:t>
      </w:r>
      <w:r w:rsidR="007177C7"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وثم</w:t>
      </w:r>
      <w:r w:rsidR="007177C7" w:rsidRPr="00904FCB">
        <w:rPr>
          <w:rFonts w:hint="cs"/>
          <w:sz w:val="27"/>
          <w:rtl/>
          <w:lang w:bidi="ar-OM"/>
        </w:rPr>
        <w:t>ّ</w:t>
      </w:r>
      <w:r w:rsidRPr="00904FCB">
        <w:rPr>
          <w:rFonts w:hint="cs"/>
          <w:sz w:val="27"/>
          <w:rtl/>
          <w:lang w:bidi="ar-OM"/>
        </w:rPr>
        <w:t>ة رأي</w:t>
      </w:r>
      <w:r w:rsidR="007177C7" w:rsidRPr="00904FCB">
        <w:rPr>
          <w:rFonts w:hint="cs"/>
          <w:sz w:val="27"/>
          <w:rtl/>
          <w:lang w:bidi="ar-OM"/>
        </w:rPr>
        <w:t>ٌ</w:t>
      </w:r>
      <w:r w:rsidRPr="00904FCB">
        <w:rPr>
          <w:rFonts w:hint="cs"/>
          <w:sz w:val="27"/>
          <w:rtl/>
          <w:lang w:bidi="ar-OM"/>
        </w:rPr>
        <w:t xml:space="preserve"> حديث يكي</w:t>
      </w:r>
      <w:r w:rsidR="007177C7" w:rsidRPr="00904FCB">
        <w:rPr>
          <w:rFonts w:hint="cs"/>
          <w:sz w:val="27"/>
          <w:rtl/>
          <w:lang w:bidi="ar-OM"/>
        </w:rPr>
        <w:t>ِّ</w:t>
      </w:r>
      <w:r w:rsidRPr="00904FCB">
        <w:rPr>
          <w:rFonts w:hint="cs"/>
          <w:sz w:val="27"/>
          <w:rtl/>
          <w:lang w:bidi="ar-OM"/>
        </w:rPr>
        <w:t>ف مسألة اشتراك المرأة في المجالس التشريعية من منظور مختلف</w:t>
      </w:r>
      <w:r w:rsidR="007177C7" w:rsidRPr="00904FCB">
        <w:rPr>
          <w:rFonts w:hint="cs"/>
          <w:sz w:val="27"/>
          <w:rtl/>
          <w:lang w:bidi="ar-OM"/>
        </w:rPr>
        <w:t>.</w:t>
      </w:r>
      <w:r w:rsidRPr="00904FCB">
        <w:rPr>
          <w:rFonts w:hint="cs"/>
          <w:sz w:val="27"/>
          <w:rtl/>
          <w:lang w:bidi="ar-OM"/>
        </w:rPr>
        <w:t xml:space="preserve"> فنظرا</w:t>
      </w:r>
      <w:r w:rsidR="007177C7" w:rsidRPr="00904FCB">
        <w:rPr>
          <w:rFonts w:hint="cs"/>
          <w:sz w:val="27"/>
          <w:rtl/>
          <w:lang w:bidi="ar-OM"/>
        </w:rPr>
        <w:t>ً</w:t>
      </w:r>
      <w:r w:rsidRPr="00904FCB">
        <w:rPr>
          <w:rFonts w:hint="cs"/>
          <w:sz w:val="27"/>
          <w:rtl/>
          <w:lang w:bidi="ar-OM"/>
        </w:rPr>
        <w:t xml:space="preserve"> </w:t>
      </w:r>
      <w:r w:rsidR="007177C7" w:rsidRPr="00904FCB">
        <w:rPr>
          <w:rFonts w:hint="cs"/>
          <w:sz w:val="27"/>
          <w:rtl/>
          <w:lang w:bidi="ar-OM"/>
        </w:rPr>
        <w:t>لكون</w:t>
      </w:r>
      <w:r w:rsidRPr="00904FCB">
        <w:rPr>
          <w:rFonts w:hint="cs"/>
          <w:sz w:val="27"/>
          <w:rtl/>
          <w:lang w:bidi="ar-OM"/>
        </w:rPr>
        <w:t xml:space="preserve"> عملية التشريع والتقنين قد تطو</w:t>
      </w:r>
      <w:r w:rsidR="007177C7" w:rsidRPr="00904FCB">
        <w:rPr>
          <w:rFonts w:hint="cs"/>
          <w:sz w:val="27"/>
          <w:rtl/>
          <w:lang w:bidi="ar-OM"/>
        </w:rPr>
        <w:t>َّ</w:t>
      </w:r>
      <w:r w:rsidRPr="00904FCB">
        <w:rPr>
          <w:rFonts w:hint="cs"/>
          <w:sz w:val="27"/>
          <w:rtl/>
          <w:lang w:bidi="ar-OM"/>
        </w:rPr>
        <w:t>رت في الدولة الحديثة من مجر</w:t>
      </w:r>
      <w:r w:rsidR="007177C7" w:rsidRPr="00904FCB">
        <w:rPr>
          <w:rFonts w:hint="cs"/>
          <w:sz w:val="27"/>
          <w:rtl/>
          <w:lang w:bidi="ar-OM"/>
        </w:rPr>
        <w:t>ّ</w:t>
      </w:r>
      <w:r w:rsidRPr="00904FCB">
        <w:rPr>
          <w:rFonts w:hint="cs"/>
          <w:sz w:val="27"/>
          <w:rtl/>
          <w:lang w:bidi="ar-OM"/>
        </w:rPr>
        <w:t xml:space="preserve">د وظيفة فردية للحاكم </w:t>
      </w:r>
      <w:r w:rsidR="007177C7" w:rsidRPr="00904FCB">
        <w:rPr>
          <w:rFonts w:hint="cs"/>
          <w:sz w:val="27"/>
          <w:rtl/>
          <w:lang w:bidi="ar-OM"/>
        </w:rPr>
        <w:t>إ</w:t>
      </w:r>
      <w:r w:rsidRPr="00904FCB">
        <w:rPr>
          <w:rFonts w:hint="cs"/>
          <w:sz w:val="27"/>
          <w:rtl/>
          <w:lang w:bidi="ar-OM"/>
        </w:rPr>
        <w:t>لى اجتهاد مؤس</w:t>
      </w:r>
      <w:r w:rsidR="007177C7" w:rsidRPr="00904FCB">
        <w:rPr>
          <w:rFonts w:hint="cs"/>
          <w:sz w:val="27"/>
          <w:rtl/>
          <w:lang w:bidi="ar-OM"/>
        </w:rPr>
        <w:t>ّ</w:t>
      </w:r>
      <w:r w:rsidRPr="00904FCB">
        <w:rPr>
          <w:rFonts w:hint="cs"/>
          <w:sz w:val="27"/>
          <w:rtl/>
          <w:lang w:bidi="ar-OM"/>
        </w:rPr>
        <w:t>سات الصياغة والتشريع والتقنين</w:t>
      </w:r>
      <w:r w:rsidR="007177C7" w:rsidRPr="00904FCB">
        <w:rPr>
          <w:rFonts w:hint="cs"/>
          <w:sz w:val="27"/>
          <w:rtl/>
          <w:lang w:bidi="ar-OM"/>
        </w:rPr>
        <w:t xml:space="preserve"> إ</w:t>
      </w:r>
      <w:r w:rsidRPr="00904FCB">
        <w:rPr>
          <w:rFonts w:hint="cs"/>
          <w:sz w:val="27"/>
          <w:rtl/>
          <w:lang w:bidi="ar-OM"/>
        </w:rPr>
        <w:t>ذا شاركت المرأة في هذه المؤس</w:t>
      </w:r>
      <w:r w:rsidR="007177C7" w:rsidRPr="00904FCB">
        <w:rPr>
          <w:rFonts w:hint="cs"/>
          <w:sz w:val="27"/>
          <w:rtl/>
          <w:lang w:bidi="ar-OM"/>
        </w:rPr>
        <w:t>ّ</w:t>
      </w:r>
      <w:r w:rsidRPr="00904FCB">
        <w:rPr>
          <w:rFonts w:hint="cs"/>
          <w:sz w:val="27"/>
          <w:rtl/>
          <w:lang w:bidi="ar-OM"/>
        </w:rPr>
        <w:t>سات فليس بوارد الحديث عن ولاية المرأة لسلطة التشريع بالمعنى التاريخي القديم</w:t>
      </w:r>
      <w:r w:rsidRPr="00904FCB">
        <w:rPr>
          <w:rFonts w:hint="cs"/>
          <w:sz w:val="27"/>
          <w:vertAlign w:val="superscript"/>
          <w:rtl/>
        </w:rPr>
        <w:t>(</w:t>
      </w:r>
      <w:r w:rsidRPr="00904FCB">
        <w:rPr>
          <w:rStyle w:val="ac"/>
          <w:sz w:val="27"/>
          <w:rtl/>
        </w:rPr>
        <w:endnoteReference w:id="226"/>
      </w:r>
      <w:r w:rsidRPr="00904FCB">
        <w:rPr>
          <w:rFonts w:hint="cs"/>
          <w:sz w:val="27"/>
          <w:vertAlign w:val="superscript"/>
          <w:rtl/>
        </w:rPr>
        <w:t>)</w:t>
      </w:r>
      <w:r w:rsidRPr="00904FCB">
        <w:rPr>
          <w:rFonts w:hint="cs"/>
          <w:sz w:val="27"/>
          <w:rtl/>
          <w:lang w:bidi="ar-OM"/>
        </w:rPr>
        <w:t>.</w:t>
      </w:r>
    </w:p>
    <w:p w:rsidR="00644408" w:rsidRPr="00904FCB" w:rsidRDefault="00644408" w:rsidP="007A21AA">
      <w:pPr>
        <w:spacing w:line="400" w:lineRule="exact"/>
        <w:rPr>
          <w:sz w:val="27"/>
          <w:rtl/>
          <w:lang w:bidi="ar-OM"/>
        </w:rPr>
      </w:pPr>
      <w:r w:rsidRPr="00904FCB">
        <w:rPr>
          <w:rFonts w:hint="cs"/>
          <w:sz w:val="27"/>
          <w:rtl/>
          <w:lang w:bidi="ar-OM"/>
        </w:rPr>
        <w:t>وبتعبير</w:t>
      </w:r>
      <w:r w:rsidR="007177C7" w:rsidRPr="00904FCB">
        <w:rPr>
          <w:rFonts w:hint="cs"/>
          <w:sz w:val="27"/>
          <w:rtl/>
          <w:lang w:bidi="ar-OM"/>
        </w:rPr>
        <w:t>ٍ</w:t>
      </w:r>
      <w:r w:rsidRPr="00904FCB">
        <w:rPr>
          <w:rFonts w:hint="cs"/>
          <w:sz w:val="27"/>
          <w:rtl/>
          <w:lang w:bidi="ar-OM"/>
        </w:rPr>
        <w:t xml:space="preserve"> آخر</w:t>
      </w:r>
      <w:r w:rsidR="007177C7" w:rsidRPr="00904FCB">
        <w:rPr>
          <w:rFonts w:hint="cs"/>
          <w:sz w:val="27"/>
          <w:rtl/>
          <w:lang w:bidi="ar-OM"/>
        </w:rPr>
        <w:t>:</w:t>
      </w:r>
      <w:r w:rsidRPr="00904FCB">
        <w:rPr>
          <w:rFonts w:hint="cs"/>
          <w:sz w:val="27"/>
          <w:rtl/>
          <w:lang w:bidi="ar-OM"/>
        </w:rPr>
        <w:t xml:space="preserve"> ح</w:t>
      </w:r>
      <w:r w:rsidR="007177C7" w:rsidRPr="00904FCB">
        <w:rPr>
          <w:rFonts w:hint="cs"/>
          <w:sz w:val="27"/>
          <w:rtl/>
          <w:lang w:bidi="ar-OM"/>
        </w:rPr>
        <w:t>َ</w:t>
      </w:r>
      <w:r w:rsidRPr="00904FCB">
        <w:rPr>
          <w:rFonts w:hint="cs"/>
          <w:sz w:val="27"/>
          <w:rtl/>
          <w:lang w:bidi="ar-OM"/>
        </w:rPr>
        <w:t>س</w:t>
      </w:r>
      <w:r w:rsidR="007177C7" w:rsidRPr="00904FCB">
        <w:rPr>
          <w:rFonts w:hint="cs"/>
          <w:sz w:val="27"/>
          <w:rtl/>
          <w:lang w:bidi="ar-OM"/>
        </w:rPr>
        <w:t>ْ</w:t>
      </w:r>
      <w:r w:rsidRPr="00904FCB">
        <w:rPr>
          <w:rFonts w:hint="cs"/>
          <w:sz w:val="27"/>
          <w:rtl/>
          <w:lang w:bidi="ar-OM"/>
        </w:rPr>
        <w:t xml:space="preserve">ب هذا الرأي </w:t>
      </w:r>
      <w:r w:rsidR="007177C7" w:rsidRPr="00904FCB">
        <w:rPr>
          <w:rFonts w:hint="cs"/>
          <w:sz w:val="27"/>
          <w:rtl/>
          <w:lang w:bidi="ar-OM"/>
        </w:rPr>
        <w:t>إ</w:t>
      </w:r>
      <w:r w:rsidRPr="00904FCB">
        <w:rPr>
          <w:rFonts w:hint="cs"/>
          <w:sz w:val="27"/>
          <w:rtl/>
          <w:lang w:bidi="ar-OM"/>
        </w:rPr>
        <w:t>ن القضية بهذا التكييف تكون خارجة عن أحكام الولاية تخص</w:t>
      </w:r>
      <w:r w:rsidR="007177C7" w:rsidRPr="00904FCB">
        <w:rPr>
          <w:rFonts w:hint="cs"/>
          <w:sz w:val="27"/>
          <w:rtl/>
          <w:lang w:bidi="ar-OM"/>
        </w:rPr>
        <w:t>ُّ</w:t>
      </w:r>
      <w:r w:rsidRPr="00904FCB">
        <w:rPr>
          <w:rFonts w:hint="cs"/>
          <w:sz w:val="27"/>
          <w:rtl/>
          <w:lang w:bidi="ar-OM"/>
        </w:rPr>
        <w:t>صا</w:t>
      </w:r>
      <w:r w:rsidR="007177C7" w:rsidRPr="00904FCB">
        <w:rPr>
          <w:rFonts w:hint="cs"/>
          <w:sz w:val="27"/>
          <w:rtl/>
          <w:lang w:bidi="ar-OM"/>
        </w:rPr>
        <w:t>ً،</w:t>
      </w:r>
      <w:r w:rsidRPr="00904FCB">
        <w:rPr>
          <w:rFonts w:hint="cs"/>
          <w:sz w:val="27"/>
          <w:rtl/>
          <w:lang w:bidi="ar-OM"/>
        </w:rPr>
        <w:t xml:space="preserve"> فلا تندرج تحتها. وكما سبق القول</w:t>
      </w:r>
      <w:r w:rsidR="00BF71A9" w:rsidRPr="00904FCB">
        <w:rPr>
          <w:rFonts w:hint="cs"/>
          <w:sz w:val="27"/>
          <w:rtl/>
          <w:lang w:bidi="ar-OM"/>
        </w:rPr>
        <w:t>:</w:t>
      </w:r>
      <w:r w:rsidRPr="00904FCB">
        <w:rPr>
          <w:rFonts w:hint="cs"/>
          <w:sz w:val="27"/>
          <w:rtl/>
          <w:lang w:bidi="ar-OM"/>
        </w:rPr>
        <w:t xml:space="preserve"> </w:t>
      </w:r>
      <w:r w:rsidR="00BF71A9" w:rsidRPr="00904FCB">
        <w:rPr>
          <w:rFonts w:hint="cs"/>
          <w:sz w:val="27"/>
          <w:rtl/>
          <w:lang w:bidi="ar-OM"/>
        </w:rPr>
        <w:t>إ</w:t>
      </w:r>
      <w:r w:rsidRPr="00904FCB">
        <w:rPr>
          <w:rFonts w:hint="cs"/>
          <w:sz w:val="27"/>
          <w:rtl/>
          <w:lang w:bidi="ar-OM"/>
        </w:rPr>
        <w:t xml:space="preserve">نه </w:t>
      </w:r>
      <w:r w:rsidR="007177C7" w:rsidRPr="00904FCB">
        <w:rPr>
          <w:rFonts w:hint="cs"/>
          <w:sz w:val="27"/>
          <w:rtl/>
          <w:lang w:bidi="ar-OM"/>
        </w:rPr>
        <w:t>إذا</w:t>
      </w:r>
      <w:r w:rsidRPr="00904FCB">
        <w:rPr>
          <w:rFonts w:hint="cs"/>
          <w:sz w:val="27"/>
          <w:rtl/>
          <w:lang w:bidi="ar-OM"/>
        </w:rPr>
        <w:t xml:space="preserve"> اعتبر دور المجلس النيابي في التشريع والرقابة على الحكومة من شؤون الولاية ومزاولة السلطة كما هو عنوانها كسلطة</w:t>
      </w:r>
      <w:r w:rsidR="00BF71A9" w:rsidRPr="00904FCB">
        <w:rPr>
          <w:rFonts w:hint="cs"/>
          <w:sz w:val="27"/>
          <w:rtl/>
          <w:lang w:bidi="ar-OM"/>
        </w:rPr>
        <w:t>ٍ</w:t>
      </w:r>
      <w:r w:rsidRPr="00904FCB">
        <w:rPr>
          <w:rFonts w:hint="cs"/>
          <w:sz w:val="27"/>
          <w:rtl/>
          <w:lang w:bidi="ar-OM"/>
        </w:rPr>
        <w:t xml:space="preserve"> تشريعية ضمن سلطات الدولة الثلاثة فإنها بذلك لا تخرج عن مبحث الولاية والسلطة، غاية ما في الأمر </w:t>
      </w:r>
      <w:r w:rsidR="007177C7" w:rsidRPr="00904FCB">
        <w:rPr>
          <w:rFonts w:hint="cs"/>
          <w:sz w:val="27"/>
          <w:rtl/>
          <w:lang w:bidi="ar-OM"/>
        </w:rPr>
        <w:t>أ</w:t>
      </w:r>
      <w:r w:rsidRPr="00904FCB">
        <w:rPr>
          <w:rFonts w:hint="cs"/>
          <w:sz w:val="27"/>
          <w:rtl/>
          <w:lang w:bidi="ar-OM"/>
        </w:rPr>
        <w:t>ن العضو في هذه المجالس لا يزاول السلطة بشخصه</w:t>
      </w:r>
      <w:r w:rsidR="00C5715C">
        <w:rPr>
          <w:rFonts w:hint="cs"/>
          <w:sz w:val="27"/>
          <w:rtl/>
          <w:lang w:bidi="ar-OM"/>
        </w:rPr>
        <w:t>،</w:t>
      </w:r>
      <w:r w:rsidRPr="00904FCB">
        <w:rPr>
          <w:rFonts w:hint="cs"/>
          <w:sz w:val="27"/>
          <w:rtl/>
          <w:lang w:bidi="ar-OM"/>
        </w:rPr>
        <w:t xml:space="preserve"> وبشكل</w:t>
      </w:r>
      <w:r w:rsidR="00BF71A9" w:rsidRPr="00904FCB">
        <w:rPr>
          <w:rFonts w:hint="cs"/>
          <w:sz w:val="27"/>
          <w:rtl/>
          <w:lang w:bidi="ar-OM"/>
        </w:rPr>
        <w:t>ٍ</w:t>
      </w:r>
      <w:r w:rsidRPr="00904FCB">
        <w:rPr>
          <w:rFonts w:hint="cs"/>
          <w:sz w:val="27"/>
          <w:rtl/>
          <w:lang w:bidi="ar-OM"/>
        </w:rPr>
        <w:t xml:space="preserve"> مستقل</w:t>
      </w:r>
      <w:r w:rsidR="00BF71A9" w:rsidRPr="00904FCB">
        <w:rPr>
          <w:rFonts w:hint="cs"/>
          <w:sz w:val="27"/>
          <w:rtl/>
          <w:lang w:bidi="ar-OM"/>
        </w:rPr>
        <w:t>ّ</w:t>
      </w:r>
      <w:r w:rsidRPr="00904FCB">
        <w:rPr>
          <w:rFonts w:hint="cs"/>
          <w:sz w:val="27"/>
          <w:rtl/>
          <w:lang w:bidi="ar-OM"/>
        </w:rPr>
        <w:t xml:space="preserve"> ومنفرد</w:t>
      </w:r>
      <w:r w:rsidR="00BF71A9" w:rsidRPr="00904FCB">
        <w:rPr>
          <w:rFonts w:hint="cs"/>
          <w:sz w:val="27"/>
          <w:rtl/>
          <w:lang w:bidi="ar-OM"/>
        </w:rPr>
        <w:t>،</w:t>
      </w:r>
      <w:r w:rsidRPr="00904FCB">
        <w:rPr>
          <w:rFonts w:hint="cs"/>
          <w:sz w:val="27"/>
          <w:rtl/>
          <w:lang w:bidi="ar-OM"/>
        </w:rPr>
        <w:t xml:space="preserve"> بل ضمن مجموع الأعضاء</w:t>
      </w:r>
      <w:r w:rsidR="00BF71A9" w:rsidRPr="00904FCB">
        <w:rPr>
          <w:rFonts w:hint="cs"/>
          <w:sz w:val="27"/>
          <w:rtl/>
          <w:lang w:bidi="ar-OM"/>
        </w:rPr>
        <w:t>،</w:t>
      </w:r>
      <w:r w:rsidRPr="00904FCB">
        <w:rPr>
          <w:rFonts w:hint="cs"/>
          <w:sz w:val="27"/>
          <w:rtl/>
          <w:lang w:bidi="ar-OM"/>
        </w:rPr>
        <w:t xml:space="preserve"> و</w:t>
      </w:r>
      <w:r w:rsidR="00BF71A9" w:rsidRPr="00904FCB">
        <w:rPr>
          <w:rFonts w:hint="cs"/>
          <w:sz w:val="27"/>
          <w:rtl/>
          <w:lang w:bidi="ar-OM"/>
        </w:rPr>
        <w:t>إ</w:t>
      </w:r>
      <w:r w:rsidRPr="00904FCB">
        <w:rPr>
          <w:rFonts w:hint="cs"/>
          <w:sz w:val="27"/>
          <w:rtl/>
          <w:lang w:bidi="ar-OM"/>
        </w:rPr>
        <w:t>ن</w:t>
      </w:r>
      <w:r w:rsidR="00BF71A9" w:rsidRPr="00904FCB">
        <w:rPr>
          <w:rFonts w:hint="cs"/>
          <w:sz w:val="27"/>
          <w:rtl/>
          <w:lang w:bidi="ar-OM"/>
        </w:rPr>
        <w:t>ْ</w:t>
      </w:r>
      <w:r w:rsidRPr="00904FCB">
        <w:rPr>
          <w:rFonts w:hint="cs"/>
          <w:sz w:val="27"/>
          <w:rtl/>
          <w:lang w:bidi="ar-OM"/>
        </w:rPr>
        <w:t xml:space="preserve"> كان يظل</w:t>
      </w:r>
      <w:r w:rsidR="00BF71A9" w:rsidRPr="00904FCB">
        <w:rPr>
          <w:rFonts w:hint="cs"/>
          <w:sz w:val="27"/>
          <w:rtl/>
          <w:lang w:bidi="ar-OM"/>
        </w:rPr>
        <w:t>ّ</w:t>
      </w:r>
      <w:r w:rsidRPr="00904FCB">
        <w:rPr>
          <w:rFonts w:hint="cs"/>
          <w:sz w:val="27"/>
          <w:rtl/>
          <w:lang w:bidi="ar-OM"/>
        </w:rPr>
        <w:t xml:space="preserve"> له دور</w:t>
      </w:r>
      <w:r w:rsidR="00BF71A9" w:rsidRPr="00904FCB">
        <w:rPr>
          <w:rFonts w:hint="cs"/>
          <w:sz w:val="27"/>
          <w:rtl/>
          <w:lang w:bidi="ar-OM"/>
        </w:rPr>
        <w:t>ٌ</w:t>
      </w:r>
      <w:r w:rsidRPr="00904FCB">
        <w:rPr>
          <w:rFonts w:hint="cs"/>
          <w:sz w:val="27"/>
          <w:rtl/>
          <w:lang w:bidi="ar-OM"/>
        </w:rPr>
        <w:t xml:space="preserve"> ورأي</w:t>
      </w:r>
      <w:r w:rsidR="00BF71A9" w:rsidRPr="00904FCB">
        <w:rPr>
          <w:rFonts w:hint="cs"/>
          <w:sz w:val="27"/>
          <w:rtl/>
          <w:lang w:bidi="ar-OM"/>
        </w:rPr>
        <w:t>ٌ</w:t>
      </w:r>
      <w:r w:rsidRPr="00904FCB">
        <w:rPr>
          <w:rFonts w:hint="cs"/>
          <w:sz w:val="27"/>
          <w:rtl/>
          <w:lang w:bidi="ar-OM"/>
        </w:rPr>
        <w:t xml:space="preserve"> وصوت</w:t>
      </w:r>
      <w:r w:rsidR="00BF71A9" w:rsidRPr="00904FCB">
        <w:rPr>
          <w:rFonts w:hint="cs"/>
          <w:sz w:val="27"/>
          <w:rtl/>
          <w:lang w:bidi="ar-OM"/>
        </w:rPr>
        <w:t>ٌ</w:t>
      </w:r>
      <w:r w:rsidRPr="00904FCB">
        <w:rPr>
          <w:rFonts w:hint="cs"/>
          <w:sz w:val="27"/>
          <w:rtl/>
          <w:lang w:bidi="ar-OM"/>
        </w:rPr>
        <w:t xml:space="preserve"> مؤث</w:t>
      </w:r>
      <w:r w:rsidR="00C5715C">
        <w:rPr>
          <w:rFonts w:hint="cs"/>
          <w:sz w:val="27"/>
          <w:rtl/>
          <w:lang w:bidi="ar-OM"/>
        </w:rPr>
        <w:t>ِّ</w:t>
      </w:r>
      <w:r w:rsidRPr="00904FCB">
        <w:rPr>
          <w:rFonts w:hint="cs"/>
          <w:sz w:val="27"/>
          <w:rtl/>
          <w:lang w:bidi="ar-OM"/>
        </w:rPr>
        <w:t>ر ضمن المجموع. فهو بهذا قد يعتبر مزاولا</w:t>
      </w:r>
      <w:r w:rsidR="00BF71A9" w:rsidRPr="00904FCB">
        <w:rPr>
          <w:rFonts w:hint="cs"/>
          <w:sz w:val="27"/>
          <w:rtl/>
          <w:lang w:bidi="ar-OM"/>
        </w:rPr>
        <w:t>ً</w:t>
      </w:r>
      <w:r w:rsidRPr="00904FCB">
        <w:rPr>
          <w:rFonts w:hint="cs"/>
          <w:sz w:val="27"/>
          <w:rtl/>
          <w:lang w:bidi="ar-OM"/>
        </w:rPr>
        <w:t xml:space="preserve"> للسلطة التي </w:t>
      </w:r>
      <w:r w:rsidRPr="00904FCB">
        <w:rPr>
          <w:rFonts w:hint="cs"/>
          <w:sz w:val="27"/>
          <w:rtl/>
          <w:lang w:bidi="ar-OM"/>
        </w:rPr>
        <w:lastRenderedPageBreak/>
        <w:t>أنيطت بمجموع الأعضاء</w:t>
      </w:r>
      <w:r w:rsidR="00BF71A9" w:rsidRPr="00904FCB">
        <w:rPr>
          <w:rFonts w:hint="cs"/>
          <w:sz w:val="27"/>
          <w:rtl/>
          <w:lang w:bidi="ar-OM"/>
        </w:rPr>
        <w:t xml:space="preserve">، </w:t>
      </w:r>
      <w:r w:rsidRPr="00904FCB">
        <w:rPr>
          <w:rFonts w:hint="cs"/>
          <w:sz w:val="27"/>
          <w:rtl/>
          <w:lang w:bidi="ar-OM"/>
        </w:rPr>
        <w:t>أو للمؤسسة كشخصية اعتبارية</w:t>
      </w:r>
      <w:r w:rsidR="00BF71A9" w:rsidRPr="00904FCB">
        <w:rPr>
          <w:rFonts w:hint="cs"/>
          <w:sz w:val="27"/>
          <w:rtl/>
          <w:lang w:bidi="ar-OM"/>
        </w:rPr>
        <w:t>،</w:t>
      </w:r>
      <w:r w:rsidRPr="00904FCB">
        <w:rPr>
          <w:rFonts w:hint="cs"/>
          <w:sz w:val="27"/>
          <w:rtl/>
          <w:lang w:bidi="ar-OM"/>
        </w:rPr>
        <w:t xml:space="preserve"> مم</w:t>
      </w:r>
      <w:r w:rsidR="00BF71A9" w:rsidRPr="00904FCB">
        <w:rPr>
          <w:rFonts w:hint="cs"/>
          <w:sz w:val="27"/>
          <w:rtl/>
          <w:lang w:bidi="ar-OM"/>
        </w:rPr>
        <w:t>ّ</w:t>
      </w:r>
      <w:r w:rsidRPr="00904FCB">
        <w:rPr>
          <w:rFonts w:hint="cs"/>
          <w:sz w:val="27"/>
          <w:rtl/>
          <w:lang w:bidi="ar-OM"/>
        </w:rPr>
        <w:t>ا يتطل</w:t>
      </w:r>
      <w:r w:rsidR="00BF71A9" w:rsidRPr="00904FCB">
        <w:rPr>
          <w:rFonts w:hint="cs"/>
          <w:sz w:val="27"/>
          <w:rtl/>
          <w:lang w:bidi="ar-OM"/>
        </w:rPr>
        <w:t>َّ</w:t>
      </w:r>
      <w:r w:rsidRPr="00904FCB">
        <w:rPr>
          <w:rFonts w:hint="cs"/>
          <w:sz w:val="27"/>
          <w:rtl/>
          <w:lang w:bidi="ar-OM"/>
        </w:rPr>
        <w:t>ب تأصيلا</w:t>
      </w:r>
      <w:r w:rsidR="00BF71A9" w:rsidRPr="00904FCB">
        <w:rPr>
          <w:rFonts w:hint="cs"/>
          <w:sz w:val="27"/>
          <w:rtl/>
          <w:lang w:bidi="ar-OM"/>
        </w:rPr>
        <w:t>ً</w:t>
      </w:r>
      <w:r w:rsidRPr="00904FCB">
        <w:rPr>
          <w:rFonts w:hint="cs"/>
          <w:sz w:val="27"/>
          <w:rtl/>
          <w:lang w:bidi="ar-OM"/>
        </w:rPr>
        <w:t xml:space="preserve"> جديدا</w:t>
      </w:r>
      <w:r w:rsidR="00BF71A9" w:rsidRPr="00904FCB">
        <w:rPr>
          <w:rFonts w:hint="cs"/>
          <w:sz w:val="27"/>
          <w:rtl/>
          <w:lang w:bidi="ar-OM"/>
        </w:rPr>
        <w:t>ً،</w:t>
      </w:r>
      <w:r w:rsidRPr="00904FCB">
        <w:rPr>
          <w:rFonts w:hint="cs"/>
          <w:sz w:val="27"/>
          <w:rtl/>
          <w:lang w:bidi="ar-OM"/>
        </w:rPr>
        <w:t xml:space="preserve"> ولا يكفي مجر</w:t>
      </w:r>
      <w:r w:rsidR="007177C7" w:rsidRPr="00904FCB">
        <w:rPr>
          <w:rFonts w:hint="cs"/>
          <w:sz w:val="27"/>
          <w:rtl/>
          <w:lang w:bidi="ar-OM"/>
        </w:rPr>
        <w:t>د</w:t>
      </w:r>
      <w:r w:rsidRPr="00904FCB">
        <w:rPr>
          <w:rFonts w:hint="cs"/>
          <w:sz w:val="27"/>
          <w:rtl/>
          <w:lang w:bidi="ar-OM"/>
        </w:rPr>
        <w:t xml:space="preserve"> إسقاط نفس أحكام الولاية عليها. </w:t>
      </w:r>
      <w:r w:rsidR="00BF71A9" w:rsidRPr="00904FCB">
        <w:rPr>
          <w:rFonts w:hint="cs"/>
          <w:sz w:val="27"/>
          <w:rtl/>
          <w:lang w:bidi="ar-OM"/>
        </w:rPr>
        <w:t>و</w:t>
      </w:r>
      <w:r w:rsidRPr="00904FCB">
        <w:rPr>
          <w:rFonts w:hint="cs"/>
          <w:sz w:val="27"/>
          <w:rtl/>
          <w:lang w:bidi="ar-OM"/>
        </w:rPr>
        <w:t xml:space="preserve">تجدر الإشارة </w:t>
      </w:r>
      <w:r w:rsidR="00BF71A9" w:rsidRPr="00904FCB">
        <w:rPr>
          <w:rFonts w:hint="cs"/>
          <w:sz w:val="27"/>
          <w:rtl/>
          <w:lang w:bidi="ar-OM"/>
        </w:rPr>
        <w:t>إلى أ</w:t>
      </w:r>
      <w:r w:rsidRPr="00904FCB">
        <w:rPr>
          <w:rFonts w:hint="cs"/>
          <w:sz w:val="27"/>
          <w:rtl/>
          <w:lang w:bidi="ar-OM"/>
        </w:rPr>
        <w:t>ن بعض مؤي</w:t>
      </w:r>
      <w:r w:rsidR="00BF71A9" w:rsidRPr="00904FCB">
        <w:rPr>
          <w:rFonts w:hint="cs"/>
          <w:sz w:val="27"/>
          <w:rtl/>
          <w:lang w:bidi="ar-OM"/>
        </w:rPr>
        <w:t>ِّ</w:t>
      </w:r>
      <w:r w:rsidRPr="00904FCB">
        <w:rPr>
          <w:rFonts w:hint="cs"/>
          <w:sz w:val="27"/>
          <w:rtl/>
          <w:lang w:bidi="ar-OM"/>
        </w:rPr>
        <w:t>دي هذا الاتجاه يقي</w:t>
      </w:r>
      <w:r w:rsidR="00BF71A9" w:rsidRPr="00904FCB">
        <w:rPr>
          <w:rFonts w:hint="cs"/>
          <w:sz w:val="27"/>
          <w:rtl/>
          <w:lang w:bidi="ar-OM"/>
        </w:rPr>
        <w:t>ِّ</w:t>
      </w:r>
      <w:r w:rsidRPr="00904FCB">
        <w:rPr>
          <w:rFonts w:hint="cs"/>
          <w:sz w:val="27"/>
          <w:rtl/>
          <w:lang w:bidi="ar-OM"/>
        </w:rPr>
        <w:t>د ممارسته من قبل المرأة ببعض الضوابط الفقهية المعروفة</w:t>
      </w:r>
      <w:r w:rsidR="00BF71A9" w:rsidRPr="00904FCB">
        <w:rPr>
          <w:rFonts w:hint="cs"/>
          <w:sz w:val="27"/>
          <w:rtl/>
          <w:lang w:bidi="ar-OM"/>
        </w:rPr>
        <w:t>،</w:t>
      </w:r>
      <w:r w:rsidRPr="00904FCB">
        <w:rPr>
          <w:rFonts w:hint="cs"/>
          <w:sz w:val="27"/>
          <w:rtl/>
          <w:lang w:bidi="ar-OM"/>
        </w:rPr>
        <w:t xml:space="preserve"> من قبيل</w:t>
      </w:r>
      <w:r w:rsidR="00BF71A9" w:rsidRPr="00904FCB">
        <w:rPr>
          <w:rFonts w:hint="cs"/>
          <w:sz w:val="27"/>
          <w:rtl/>
          <w:lang w:bidi="ar-OM"/>
        </w:rPr>
        <w:t>:</w:t>
      </w:r>
      <w:r w:rsidRPr="00904FCB">
        <w:rPr>
          <w:rFonts w:hint="cs"/>
          <w:sz w:val="27"/>
          <w:rtl/>
          <w:lang w:bidi="ar-OM"/>
        </w:rPr>
        <w:t xml:space="preserve"> اشتراط عدم الخوف من الفتنة جر</w:t>
      </w:r>
      <w:r w:rsidR="00BF71A9" w:rsidRPr="00904FCB">
        <w:rPr>
          <w:rFonts w:hint="cs"/>
          <w:sz w:val="27"/>
          <w:rtl/>
          <w:lang w:bidi="ar-OM"/>
        </w:rPr>
        <w:t>ّ</w:t>
      </w:r>
      <w:r w:rsidRPr="00904FCB">
        <w:rPr>
          <w:rFonts w:hint="cs"/>
          <w:sz w:val="27"/>
          <w:rtl/>
          <w:lang w:bidi="ar-OM"/>
        </w:rPr>
        <w:t>اء خروجها من البيت، و</w:t>
      </w:r>
      <w:r w:rsidR="00BF71A9" w:rsidRPr="00904FCB">
        <w:rPr>
          <w:rFonts w:hint="cs"/>
          <w:sz w:val="27"/>
          <w:rtl/>
          <w:lang w:bidi="ar-OM"/>
        </w:rPr>
        <w:t>أ</w:t>
      </w:r>
      <w:r w:rsidRPr="00904FCB">
        <w:rPr>
          <w:rFonts w:hint="cs"/>
          <w:sz w:val="27"/>
          <w:rtl/>
          <w:lang w:bidi="ar-OM"/>
        </w:rPr>
        <w:t xml:space="preserve">ن لا يفضي عملها </w:t>
      </w:r>
      <w:r w:rsidR="00BF71A9" w:rsidRPr="00904FCB">
        <w:rPr>
          <w:rFonts w:hint="cs"/>
          <w:sz w:val="27"/>
          <w:rtl/>
          <w:lang w:bidi="ar-OM"/>
        </w:rPr>
        <w:t>إ</w:t>
      </w:r>
      <w:r w:rsidRPr="00904FCB">
        <w:rPr>
          <w:rFonts w:hint="cs"/>
          <w:sz w:val="27"/>
          <w:rtl/>
          <w:lang w:bidi="ar-OM"/>
        </w:rPr>
        <w:t>لى الاختلاط بالرجال</w:t>
      </w:r>
      <w:r w:rsidR="00BF71A9" w:rsidRPr="00904FCB">
        <w:rPr>
          <w:rFonts w:hint="cs"/>
          <w:sz w:val="27"/>
          <w:rtl/>
          <w:lang w:bidi="ar-OM"/>
        </w:rPr>
        <w:t>،</w:t>
      </w:r>
      <w:r w:rsidRPr="00904FCB">
        <w:rPr>
          <w:rFonts w:hint="cs"/>
          <w:sz w:val="27"/>
          <w:rtl/>
          <w:lang w:bidi="ar-OM"/>
        </w:rPr>
        <w:t xml:space="preserve"> أو </w:t>
      </w:r>
      <w:r w:rsidR="00BF71A9" w:rsidRPr="00904FCB">
        <w:rPr>
          <w:rFonts w:hint="cs"/>
          <w:sz w:val="27"/>
          <w:rtl/>
          <w:lang w:bidi="ar-OM"/>
        </w:rPr>
        <w:t>إل</w:t>
      </w:r>
      <w:r w:rsidRPr="00904FCB">
        <w:rPr>
          <w:rFonts w:hint="cs"/>
          <w:sz w:val="27"/>
          <w:rtl/>
          <w:lang w:bidi="ar-OM"/>
        </w:rPr>
        <w:t>ى الخلوة</w:t>
      </w:r>
      <w:r w:rsidR="00BF71A9" w:rsidRPr="00904FCB">
        <w:rPr>
          <w:rFonts w:hint="cs"/>
          <w:sz w:val="27"/>
          <w:rtl/>
          <w:lang w:bidi="ar-OM"/>
        </w:rPr>
        <w:t>،</w:t>
      </w:r>
      <w:r w:rsidRPr="00904FCB">
        <w:rPr>
          <w:rFonts w:hint="cs"/>
          <w:sz w:val="27"/>
          <w:rtl/>
          <w:lang w:bidi="ar-OM"/>
        </w:rPr>
        <w:t xml:space="preserve"> و</w:t>
      </w:r>
      <w:r w:rsidR="00BF71A9" w:rsidRPr="00904FCB">
        <w:rPr>
          <w:rFonts w:hint="cs"/>
          <w:sz w:val="27"/>
          <w:rtl/>
          <w:lang w:bidi="ar-OM"/>
        </w:rPr>
        <w:t>أ</w:t>
      </w:r>
      <w:r w:rsidRPr="00904FCB">
        <w:rPr>
          <w:rFonts w:hint="cs"/>
          <w:sz w:val="27"/>
          <w:rtl/>
          <w:lang w:bidi="ar-OM"/>
        </w:rPr>
        <w:t>ن يكون خروجها من البيت بإذن زوجها</w:t>
      </w:r>
      <w:r w:rsidRPr="00904FCB">
        <w:rPr>
          <w:rFonts w:hint="cs"/>
          <w:sz w:val="27"/>
          <w:vertAlign w:val="superscript"/>
          <w:rtl/>
        </w:rPr>
        <w:t>(</w:t>
      </w:r>
      <w:r w:rsidRPr="00904FCB">
        <w:rPr>
          <w:rStyle w:val="ac"/>
          <w:sz w:val="27"/>
          <w:rtl/>
        </w:rPr>
        <w:endnoteReference w:id="227"/>
      </w:r>
      <w:r w:rsidRPr="00904FCB">
        <w:rPr>
          <w:rFonts w:hint="cs"/>
          <w:sz w:val="27"/>
          <w:vertAlign w:val="superscript"/>
          <w:rtl/>
        </w:rPr>
        <w:t>)</w:t>
      </w:r>
      <w:r w:rsidRPr="00904FCB">
        <w:rPr>
          <w:rFonts w:hint="cs"/>
          <w:sz w:val="27"/>
          <w:rtl/>
          <w:lang w:bidi="ar-OM"/>
        </w:rPr>
        <w:t>. وكما نلاحظ ف</w:t>
      </w:r>
      <w:r w:rsidR="00BF71A9" w:rsidRPr="00904FCB">
        <w:rPr>
          <w:rFonts w:hint="cs"/>
          <w:sz w:val="27"/>
          <w:rtl/>
          <w:lang w:bidi="ar-OM"/>
        </w:rPr>
        <w:t>إ</w:t>
      </w:r>
      <w:r w:rsidRPr="00904FCB">
        <w:rPr>
          <w:rFonts w:hint="cs"/>
          <w:sz w:val="27"/>
          <w:rtl/>
          <w:lang w:bidi="ar-OM"/>
        </w:rPr>
        <w:t xml:space="preserve">ن بعض هذه </w:t>
      </w:r>
      <w:r w:rsidR="00BF71A9" w:rsidRPr="00904FCB">
        <w:rPr>
          <w:rFonts w:hint="cs"/>
          <w:sz w:val="27"/>
          <w:rtl/>
          <w:lang w:bidi="ar-OM"/>
        </w:rPr>
        <w:t>الشروط</w:t>
      </w:r>
      <w:r w:rsidRPr="00904FCB">
        <w:rPr>
          <w:rFonts w:hint="cs"/>
          <w:sz w:val="27"/>
          <w:rtl/>
          <w:lang w:bidi="ar-OM"/>
        </w:rPr>
        <w:t xml:space="preserve"> قد </w:t>
      </w:r>
      <w:r w:rsidR="00BF71A9" w:rsidRPr="00904FCB">
        <w:rPr>
          <w:rFonts w:hint="cs"/>
          <w:sz w:val="27"/>
          <w:rtl/>
          <w:lang w:bidi="ar-OM"/>
        </w:rPr>
        <w:t>ي</w:t>
      </w:r>
      <w:r w:rsidRPr="00904FCB">
        <w:rPr>
          <w:rFonts w:hint="cs"/>
          <w:sz w:val="27"/>
          <w:rtl/>
          <w:lang w:bidi="ar-OM"/>
        </w:rPr>
        <w:t>عيق في نهاية الأمر مشاركتها في بعض هذه الأعمال، مم</w:t>
      </w:r>
      <w:r w:rsidR="00BF71A9" w:rsidRPr="00904FCB">
        <w:rPr>
          <w:rFonts w:hint="cs"/>
          <w:sz w:val="27"/>
          <w:rtl/>
          <w:lang w:bidi="ar-OM"/>
        </w:rPr>
        <w:t>ّ</w:t>
      </w:r>
      <w:r w:rsidRPr="00904FCB">
        <w:rPr>
          <w:rFonts w:hint="cs"/>
          <w:sz w:val="27"/>
          <w:rtl/>
          <w:lang w:bidi="ar-OM"/>
        </w:rPr>
        <w:t>ا يجعل هذه الآراء، في النتيجة ومن الناحية العملية</w:t>
      </w:r>
      <w:r w:rsidR="00BF71A9" w:rsidRPr="00904FCB">
        <w:rPr>
          <w:rFonts w:hint="cs"/>
          <w:sz w:val="27"/>
          <w:rtl/>
          <w:lang w:bidi="ar-OM"/>
        </w:rPr>
        <w:t>،</w:t>
      </w:r>
      <w:r w:rsidRPr="00904FCB">
        <w:rPr>
          <w:rFonts w:hint="cs"/>
          <w:sz w:val="27"/>
          <w:rtl/>
          <w:lang w:bidi="ar-OM"/>
        </w:rPr>
        <w:t xml:space="preserve"> موافقة</w:t>
      </w:r>
      <w:r w:rsidR="00BF71A9" w:rsidRPr="00904FCB">
        <w:rPr>
          <w:rFonts w:hint="cs"/>
          <w:sz w:val="27"/>
          <w:rtl/>
          <w:lang w:bidi="ar-OM"/>
        </w:rPr>
        <w:t>ً</w:t>
      </w:r>
      <w:r w:rsidRPr="00904FCB">
        <w:rPr>
          <w:rFonts w:hint="cs"/>
          <w:sz w:val="27"/>
          <w:rtl/>
          <w:lang w:bidi="ar-OM"/>
        </w:rPr>
        <w:t xml:space="preserve"> للاتجاه المانع. </w:t>
      </w:r>
    </w:p>
    <w:p w:rsidR="00644408" w:rsidRPr="00904FCB" w:rsidRDefault="00644408" w:rsidP="007A21AA">
      <w:pPr>
        <w:spacing w:line="400" w:lineRule="exact"/>
        <w:rPr>
          <w:sz w:val="27"/>
          <w:rtl/>
          <w:lang w:bidi="ar-OM"/>
        </w:rPr>
      </w:pPr>
    </w:p>
    <w:p w:rsidR="00644408" w:rsidRPr="00904FCB" w:rsidRDefault="00644408" w:rsidP="007A21AA">
      <w:pPr>
        <w:pStyle w:val="31"/>
        <w:spacing w:line="400" w:lineRule="exact"/>
        <w:rPr>
          <w:color w:val="auto"/>
          <w:rtl/>
          <w:lang w:bidi="ar-OM"/>
        </w:rPr>
      </w:pPr>
      <w:r w:rsidRPr="001E5E90">
        <w:rPr>
          <w:rFonts w:hint="cs"/>
          <w:color w:val="auto"/>
          <w:rtl/>
          <w:lang w:bidi="ar-OM"/>
        </w:rPr>
        <w:t>3ـ أهلية</w:t>
      </w:r>
      <w:r w:rsidRPr="00904FCB">
        <w:rPr>
          <w:rFonts w:hint="cs"/>
          <w:color w:val="auto"/>
          <w:rtl/>
          <w:lang w:bidi="ar-OM"/>
        </w:rPr>
        <w:t xml:space="preserve"> المرأة لتول</w:t>
      </w:r>
      <w:r w:rsidR="00BF71A9" w:rsidRPr="00904FCB">
        <w:rPr>
          <w:rFonts w:hint="cs"/>
          <w:color w:val="auto"/>
          <w:rtl/>
          <w:lang w:bidi="ar-OM"/>
        </w:rPr>
        <w:t>ّ</w:t>
      </w:r>
      <w:r w:rsidRPr="00904FCB">
        <w:rPr>
          <w:rFonts w:hint="cs"/>
          <w:color w:val="auto"/>
          <w:rtl/>
          <w:lang w:bidi="ar-OM"/>
        </w:rPr>
        <w:t xml:space="preserve">ي جميع مناصب السلطة </w:t>
      </w:r>
    </w:p>
    <w:p w:rsidR="00644408" w:rsidRPr="00904FCB" w:rsidRDefault="00644408" w:rsidP="00C5715C">
      <w:pPr>
        <w:spacing w:line="400" w:lineRule="exact"/>
        <w:rPr>
          <w:sz w:val="27"/>
          <w:rtl/>
          <w:lang w:bidi="ar-OM"/>
        </w:rPr>
      </w:pPr>
      <w:r w:rsidRPr="00904FCB">
        <w:rPr>
          <w:rFonts w:hint="cs"/>
          <w:sz w:val="27"/>
          <w:rtl/>
          <w:lang w:bidi="ar-OM"/>
        </w:rPr>
        <w:t>ثم</w:t>
      </w:r>
      <w:r w:rsidR="00BF71A9" w:rsidRPr="00904FCB">
        <w:rPr>
          <w:rFonts w:hint="cs"/>
          <w:sz w:val="27"/>
          <w:rtl/>
          <w:lang w:bidi="ar-OM"/>
        </w:rPr>
        <w:t>ّ</w:t>
      </w:r>
      <w:r w:rsidRPr="00904FCB">
        <w:rPr>
          <w:rFonts w:hint="cs"/>
          <w:sz w:val="27"/>
          <w:rtl/>
          <w:lang w:bidi="ar-OM"/>
        </w:rPr>
        <w:t>ة اتجاه محدود يرى عدم الفرق بين الرجل والمرأة في تول</w:t>
      </w:r>
      <w:r w:rsidR="00BF71A9" w:rsidRPr="00904FCB">
        <w:rPr>
          <w:rFonts w:hint="cs"/>
          <w:sz w:val="27"/>
          <w:rtl/>
          <w:lang w:bidi="ar-OM"/>
        </w:rPr>
        <w:t>ّ</w:t>
      </w:r>
      <w:r w:rsidRPr="00904FCB">
        <w:rPr>
          <w:rFonts w:hint="cs"/>
          <w:sz w:val="27"/>
          <w:rtl/>
          <w:lang w:bidi="ar-OM"/>
        </w:rPr>
        <w:t>يهما لمناصب السلطة والولاية</w:t>
      </w:r>
      <w:r w:rsidR="00BF71A9" w:rsidRPr="00904FCB">
        <w:rPr>
          <w:rFonts w:hint="cs"/>
          <w:sz w:val="27"/>
          <w:rtl/>
          <w:lang w:bidi="ar-OM"/>
        </w:rPr>
        <w:t>،</w:t>
      </w:r>
      <w:r w:rsidRPr="00904FCB">
        <w:rPr>
          <w:rFonts w:hint="cs"/>
          <w:sz w:val="27"/>
          <w:rtl/>
          <w:lang w:bidi="ar-OM"/>
        </w:rPr>
        <w:t xml:space="preserve"> إلا</w:t>
      </w:r>
      <w:r w:rsidR="00BF71A9" w:rsidRPr="00904FCB">
        <w:rPr>
          <w:rFonts w:hint="cs"/>
          <w:sz w:val="27"/>
          <w:rtl/>
          <w:lang w:bidi="ar-OM"/>
        </w:rPr>
        <w:t>ّ</w:t>
      </w:r>
      <w:r w:rsidRPr="00904FCB">
        <w:rPr>
          <w:rFonts w:hint="cs"/>
          <w:sz w:val="27"/>
          <w:rtl/>
          <w:lang w:bidi="ar-OM"/>
        </w:rPr>
        <w:t xml:space="preserve"> ما استثني بنص</w:t>
      </w:r>
      <w:r w:rsidR="00BF71A9" w:rsidRPr="00904FCB">
        <w:rPr>
          <w:rFonts w:hint="cs"/>
          <w:sz w:val="27"/>
          <w:rtl/>
          <w:lang w:bidi="ar-OM"/>
        </w:rPr>
        <w:t>ٍّ</w:t>
      </w:r>
      <w:r w:rsidRPr="00904FCB">
        <w:rPr>
          <w:rFonts w:hint="cs"/>
          <w:sz w:val="27"/>
          <w:rtl/>
          <w:lang w:bidi="ar-OM"/>
        </w:rPr>
        <w:t xml:space="preserve"> معتبر الإسناد</w:t>
      </w:r>
      <w:r w:rsidR="00BF71A9" w:rsidRPr="00904FCB">
        <w:rPr>
          <w:rFonts w:hint="cs"/>
          <w:sz w:val="27"/>
          <w:rtl/>
          <w:lang w:bidi="ar-OM"/>
        </w:rPr>
        <w:t>،</w:t>
      </w:r>
      <w:r w:rsidRPr="00904FCB">
        <w:rPr>
          <w:rFonts w:hint="cs"/>
          <w:sz w:val="27"/>
          <w:rtl/>
          <w:lang w:bidi="ar-OM"/>
        </w:rPr>
        <w:t xml:space="preserve"> واضح الدلالة</w:t>
      </w:r>
      <w:r w:rsidR="00BF71A9" w:rsidRPr="00904FCB">
        <w:rPr>
          <w:rFonts w:hint="cs"/>
          <w:sz w:val="27"/>
          <w:rtl/>
          <w:lang w:bidi="ar-OM"/>
        </w:rPr>
        <w:t>،</w:t>
      </w:r>
      <w:r w:rsidRPr="00904FCB">
        <w:rPr>
          <w:rFonts w:hint="cs"/>
          <w:sz w:val="27"/>
          <w:rtl/>
          <w:lang w:bidi="ar-OM"/>
        </w:rPr>
        <w:t xml:space="preserve"> أو بدليل</w:t>
      </w:r>
      <w:r w:rsidR="00BF71A9" w:rsidRPr="00904FCB">
        <w:rPr>
          <w:rFonts w:hint="cs"/>
          <w:sz w:val="27"/>
          <w:rtl/>
          <w:lang w:bidi="ar-OM"/>
        </w:rPr>
        <w:t>ٍ</w:t>
      </w:r>
      <w:r w:rsidRPr="00904FCB">
        <w:rPr>
          <w:rFonts w:hint="cs"/>
          <w:sz w:val="27"/>
          <w:rtl/>
          <w:lang w:bidi="ar-OM"/>
        </w:rPr>
        <w:t xml:space="preserve"> شرعي يكون في مستوى الحج</w:t>
      </w:r>
      <w:r w:rsidR="00BF71A9" w:rsidRPr="00904FCB">
        <w:rPr>
          <w:rFonts w:hint="cs"/>
          <w:sz w:val="27"/>
          <w:rtl/>
          <w:lang w:bidi="ar-OM"/>
        </w:rPr>
        <w:t>ّ</w:t>
      </w:r>
      <w:r w:rsidRPr="00904FCB">
        <w:rPr>
          <w:rFonts w:hint="cs"/>
          <w:sz w:val="27"/>
          <w:rtl/>
          <w:lang w:bidi="ar-OM"/>
        </w:rPr>
        <w:t>ية. وح</w:t>
      </w:r>
      <w:r w:rsidR="00BF71A9" w:rsidRPr="00904FCB">
        <w:rPr>
          <w:rFonts w:hint="cs"/>
          <w:sz w:val="27"/>
          <w:rtl/>
          <w:lang w:bidi="ar-OM"/>
        </w:rPr>
        <w:t>َ</w:t>
      </w:r>
      <w:r w:rsidRPr="00904FCB">
        <w:rPr>
          <w:rFonts w:hint="cs"/>
          <w:sz w:val="27"/>
          <w:rtl/>
          <w:lang w:bidi="ar-OM"/>
        </w:rPr>
        <w:t>س</w:t>
      </w:r>
      <w:r w:rsidR="00BF71A9" w:rsidRPr="00904FCB">
        <w:rPr>
          <w:rFonts w:hint="cs"/>
          <w:sz w:val="27"/>
          <w:rtl/>
          <w:lang w:bidi="ar-OM"/>
        </w:rPr>
        <w:t>ْ</w:t>
      </w:r>
      <w:r w:rsidRPr="00904FCB">
        <w:rPr>
          <w:rFonts w:hint="cs"/>
          <w:sz w:val="27"/>
          <w:rtl/>
          <w:lang w:bidi="ar-OM"/>
        </w:rPr>
        <w:t>ب هذا الر</w:t>
      </w:r>
      <w:r w:rsidR="00BF71A9" w:rsidRPr="00904FCB">
        <w:rPr>
          <w:rFonts w:hint="cs"/>
          <w:sz w:val="27"/>
          <w:rtl/>
          <w:lang w:bidi="ar-OM"/>
        </w:rPr>
        <w:t>أ</w:t>
      </w:r>
      <w:r w:rsidRPr="00904FCB">
        <w:rPr>
          <w:rFonts w:hint="cs"/>
          <w:sz w:val="27"/>
          <w:rtl/>
          <w:lang w:bidi="ar-OM"/>
        </w:rPr>
        <w:t>ي فإن</w:t>
      </w:r>
      <w:r w:rsidR="00BF71A9" w:rsidRPr="00904FCB">
        <w:rPr>
          <w:rFonts w:hint="cs"/>
          <w:sz w:val="27"/>
          <w:rtl/>
          <w:lang w:bidi="ar-OM"/>
        </w:rPr>
        <w:t>ّ</w:t>
      </w:r>
      <w:r w:rsidRPr="00904FCB">
        <w:rPr>
          <w:rFonts w:hint="cs"/>
          <w:sz w:val="27"/>
          <w:rtl/>
          <w:lang w:bidi="ar-OM"/>
        </w:rPr>
        <w:t xml:space="preserve"> </w:t>
      </w:r>
      <w:r w:rsidR="00C5715C">
        <w:rPr>
          <w:rFonts w:hint="cs"/>
          <w:sz w:val="27"/>
          <w:rtl/>
          <w:lang w:bidi="ar-OM"/>
        </w:rPr>
        <w:t>ل</w:t>
      </w:r>
      <w:r w:rsidRPr="00904FCB">
        <w:rPr>
          <w:rFonts w:hint="cs"/>
          <w:sz w:val="27"/>
          <w:rtl/>
          <w:lang w:bidi="ar-OM"/>
        </w:rPr>
        <w:t>لمرأة أهلي</w:t>
      </w:r>
      <w:r w:rsidR="00BF71A9" w:rsidRPr="00904FCB">
        <w:rPr>
          <w:rFonts w:hint="cs"/>
          <w:sz w:val="27"/>
          <w:rtl/>
          <w:lang w:bidi="ar-OM"/>
        </w:rPr>
        <w:t>ّ</w:t>
      </w:r>
      <w:r w:rsidRPr="00904FCB">
        <w:rPr>
          <w:rFonts w:hint="cs"/>
          <w:sz w:val="27"/>
          <w:rtl/>
          <w:lang w:bidi="ar-OM"/>
        </w:rPr>
        <w:t xml:space="preserve">ة تولي مناصب الولاية من الناحية الشرعية متى استكملت </w:t>
      </w:r>
      <w:r w:rsidR="00BF71A9" w:rsidRPr="00904FCB">
        <w:rPr>
          <w:rFonts w:hint="cs"/>
          <w:sz w:val="27"/>
          <w:rtl/>
          <w:lang w:bidi="ar-OM"/>
        </w:rPr>
        <w:t>الشروط</w:t>
      </w:r>
      <w:r w:rsidRPr="00904FCB">
        <w:rPr>
          <w:rFonts w:hint="cs"/>
          <w:sz w:val="27"/>
          <w:rtl/>
          <w:lang w:bidi="ar-OM"/>
        </w:rPr>
        <w:t xml:space="preserve"> والمواصفات المقر</w:t>
      </w:r>
      <w:r w:rsidR="00BF71A9" w:rsidRPr="00904FCB">
        <w:rPr>
          <w:rFonts w:hint="cs"/>
          <w:sz w:val="27"/>
          <w:rtl/>
          <w:lang w:bidi="ar-OM"/>
        </w:rPr>
        <w:t>َّ</w:t>
      </w:r>
      <w:r w:rsidRPr="00904FCB">
        <w:rPr>
          <w:rFonts w:hint="cs"/>
          <w:sz w:val="27"/>
          <w:rtl/>
          <w:lang w:bidi="ar-OM"/>
        </w:rPr>
        <w:t>رة لذلك. وكون متول</w:t>
      </w:r>
      <w:r w:rsidR="00BF71A9" w:rsidRPr="00904FCB">
        <w:rPr>
          <w:rFonts w:hint="cs"/>
          <w:sz w:val="27"/>
          <w:rtl/>
          <w:lang w:bidi="ar-OM"/>
        </w:rPr>
        <w:t>ّ</w:t>
      </w:r>
      <w:r w:rsidRPr="00904FCB">
        <w:rPr>
          <w:rFonts w:hint="cs"/>
          <w:sz w:val="27"/>
          <w:rtl/>
          <w:lang w:bidi="ar-OM"/>
        </w:rPr>
        <w:t>يها رجلا</w:t>
      </w:r>
      <w:r w:rsidR="00BF71A9" w:rsidRPr="00904FCB">
        <w:rPr>
          <w:rFonts w:hint="cs"/>
          <w:sz w:val="27"/>
          <w:rtl/>
          <w:lang w:bidi="ar-OM"/>
        </w:rPr>
        <w:t>ً</w:t>
      </w:r>
      <w:r w:rsidRPr="00904FCB">
        <w:rPr>
          <w:rFonts w:hint="cs"/>
          <w:sz w:val="27"/>
          <w:rtl/>
          <w:lang w:bidi="ar-OM"/>
        </w:rPr>
        <w:t xml:space="preserve"> أو امرأة ليس له مدخل</w:t>
      </w:r>
      <w:r w:rsidR="00BF71A9" w:rsidRPr="00904FCB">
        <w:rPr>
          <w:rFonts w:hint="cs"/>
          <w:sz w:val="27"/>
          <w:rtl/>
          <w:lang w:bidi="ar-OM"/>
        </w:rPr>
        <w:t>ٌ</w:t>
      </w:r>
      <w:r w:rsidRPr="00904FCB">
        <w:rPr>
          <w:rFonts w:hint="cs"/>
          <w:sz w:val="27"/>
          <w:rtl/>
          <w:lang w:bidi="ar-OM"/>
        </w:rPr>
        <w:t xml:space="preserve"> في ذلك، بل إن المناط في الأهلي</w:t>
      </w:r>
      <w:r w:rsidR="00BF71A9" w:rsidRPr="00904FCB">
        <w:rPr>
          <w:rFonts w:hint="cs"/>
          <w:sz w:val="27"/>
          <w:rtl/>
          <w:lang w:bidi="ar-OM"/>
        </w:rPr>
        <w:t>ّ</w:t>
      </w:r>
      <w:r w:rsidRPr="00904FCB">
        <w:rPr>
          <w:rFonts w:hint="cs"/>
          <w:sz w:val="27"/>
          <w:rtl/>
          <w:lang w:bidi="ar-OM"/>
        </w:rPr>
        <w:t>ة يقتصر على التخص</w:t>
      </w:r>
      <w:r w:rsidR="00BF71A9" w:rsidRPr="00904FCB">
        <w:rPr>
          <w:rFonts w:hint="cs"/>
          <w:sz w:val="27"/>
          <w:rtl/>
          <w:lang w:bidi="ar-OM"/>
        </w:rPr>
        <w:t>ُّ</w:t>
      </w:r>
      <w:r w:rsidRPr="00904FCB">
        <w:rPr>
          <w:rFonts w:hint="cs"/>
          <w:sz w:val="27"/>
          <w:rtl/>
          <w:lang w:bidi="ar-OM"/>
        </w:rPr>
        <w:t>ص العلمي والمهني والكفاءة والجدارة والاستقامة. وبالات</w:t>
      </w:r>
      <w:r w:rsidR="00BF71A9" w:rsidRPr="00904FCB">
        <w:rPr>
          <w:rFonts w:hint="cs"/>
          <w:sz w:val="27"/>
          <w:rtl/>
          <w:lang w:bidi="ar-OM"/>
        </w:rPr>
        <w:t>ّ</w:t>
      </w:r>
      <w:r w:rsidRPr="00904FCB">
        <w:rPr>
          <w:rFonts w:hint="cs"/>
          <w:sz w:val="27"/>
          <w:rtl/>
          <w:lang w:bidi="ar-OM"/>
        </w:rPr>
        <w:t>ساق مع القول بأهلية المرأة لتول</w:t>
      </w:r>
      <w:r w:rsidR="00BF71A9" w:rsidRPr="00904FCB">
        <w:rPr>
          <w:rFonts w:hint="cs"/>
          <w:sz w:val="27"/>
          <w:rtl/>
          <w:lang w:bidi="ar-OM"/>
        </w:rPr>
        <w:t>ّ</w:t>
      </w:r>
      <w:r w:rsidRPr="00904FCB">
        <w:rPr>
          <w:rFonts w:hint="cs"/>
          <w:sz w:val="27"/>
          <w:rtl/>
          <w:lang w:bidi="ar-OM"/>
        </w:rPr>
        <w:t>ي مراكز السلطة العليا المتمث</w:t>
      </w:r>
      <w:r w:rsidR="00BF71A9" w:rsidRPr="00904FCB">
        <w:rPr>
          <w:rFonts w:hint="cs"/>
          <w:sz w:val="27"/>
          <w:rtl/>
          <w:lang w:bidi="ar-OM"/>
        </w:rPr>
        <w:t>ِّ</w:t>
      </w:r>
      <w:r w:rsidRPr="00904FCB">
        <w:rPr>
          <w:rFonts w:hint="cs"/>
          <w:sz w:val="27"/>
          <w:rtl/>
          <w:lang w:bidi="ar-OM"/>
        </w:rPr>
        <w:t>لة في الحكم ورئاسة الدولة عند استجماعها للشروط التي تؤه</w:t>
      </w:r>
      <w:r w:rsidR="00BF71A9" w:rsidRPr="00904FCB">
        <w:rPr>
          <w:rFonts w:hint="cs"/>
          <w:sz w:val="27"/>
          <w:rtl/>
          <w:lang w:bidi="ar-OM"/>
        </w:rPr>
        <w:t>ِّ</w:t>
      </w:r>
      <w:r w:rsidRPr="00904FCB">
        <w:rPr>
          <w:rFonts w:hint="cs"/>
          <w:sz w:val="27"/>
          <w:rtl/>
          <w:lang w:bidi="ar-OM"/>
        </w:rPr>
        <w:t>لها لذلك فإن</w:t>
      </w:r>
      <w:r w:rsidR="00BF71A9" w:rsidRPr="00904FCB">
        <w:rPr>
          <w:rFonts w:hint="cs"/>
          <w:sz w:val="27"/>
          <w:rtl/>
          <w:lang w:bidi="ar-OM"/>
        </w:rPr>
        <w:t>ّ</w:t>
      </w:r>
      <w:r w:rsidRPr="00904FCB">
        <w:rPr>
          <w:rFonts w:hint="cs"/>
          <w:sz w:val="27"/>
          <w:rtl/>
          <w:lang w:bidi="ar-OM"/>
        </w:rPr>
        <w:t xml:space="preserve"> شرعية تول</w:t>
      </w:r>
      <w:r w:rsidR="00BF71A9" w:rsidRPr="00904FCB">
        <w:rPr>
          <w:rFonts w:hint="cs"/>
          <w:sz w:val="27"/>
          <w:rtl/>
          <w:lang w:bidi="ar-OM"/>
        </w:rPr>
        <w:t>ّ</w:t>
      </w:r>
      <w:r w:rsidRPr="00904FCB">
        <w:rPr>
          <w:rFonts w:hint="cs"/>
          <w:sz w:val="27"/>
          <w:rtl/>
          <w:lang w:bidi="ar-OM"/>
        </w:rPr>
        <w:t>يها لسائر مناصب الولاية الأدنى منها</w:t>
      </w:r>
      <w:r w:rsidR="00BF71A9" w:rsidRPr="00904FCB">
        <w:rPr>
          <w:rFonts w:hint="cs"/>
          <w:sz w:val="27"/>
          <w:rtl/>
          <w:lang w:bidi="ar-OM"/>
        </w:rPr>
        <w:t>،</w:t>
      </w:r>
      <w:r w:rsidRPr="00904FCB">
        <w:rPr>
          <w:rFonts w:hint="cs"/>
          <w:sz w:val="27"/>
          <w:rtl/>
          <w:lang w:bidi="ar-OM"/>
        </w:rPr>
        <w:t xml:space="preserve"> من قبيل</w:t>
      </w:r>
      <w:r w:rsidR="00BF71A9" w:rsidRPr="00904FCB">
        <w:rPr>
          <w:rFonts w:hint="cs"/>
          <w:sz w:val="27"/>
          <w:rtl/>
          <w:lang w:bidi="ar-OM"/>
        </w:rPr>
        <w:t>:</w:t>
      </w:r>
      <w:r w:rsidRPr="00904FCB">
        <w:rPr>
          <w:rFonts w:hint="cs"/>
          <w:sz w:val="27"/>
          <w:rtl/>
          <w:lang w:bidi="ar-OM"/>
        </w:rPr>
        <w:t xml:space="preserve"> الدخول في المجالس النيابية أو الشورية وما شاكل، يكون من باب أ</w:t>
      </w:r>
      <w:r w:rsidR="00BF71A9" w:rsidRPr="00904FCB">
        <w:rPr>
          <w:rFonts w:hint="cs"/>
          <w:sz w:val="27"/>
          <w:rtl/>
          <w:lang w:bidi="ar-OM"/>
        </w:rPr>
        <w:t>َ</w:t>
      </w:r>
      <w:r w:rsidRPr="00904FCB">
        <w:rPr>
          <w:rFonts w:hint="cs"/>
          <w:sz w:val="27"/>
          <w:rtl/>
          <w:lang w:bidi="ar-OM"/>
        </w:rPr>
        <w:t>و</w:t>
      </w:r>
      <w:r w:rsidR="00BF71A9" w:rsidRPr="00904FCB">
        <w:rPr>
          <w:rFonts w:hint="cs"/>
          <w:sz w:val="27"/>
          <w:rtl/>
          <w:lang w:bidi="ar-OM"/>
        </w:rPr>
        <w:t>ْ</w:t>
      </w:r>
      <w:r w:rsidRPr="00904FCB">
        <w:rPr>
          <w:rFonts w:hint="cs"/>
          <w:sz w:val="27"/>
          <w:rtl/>
          <w:lang w:bidi="ar-OM"/>
        </w:rPr>
        <w:t>لى</w:t>
      </w:r>
      <w:r w:rsidR="00BF71A9" w:rsidRPr="00904FCB">
        <w:rPr>
          <w:rFonts w:hint="cs"/>
          <w:sz w:val="27"/>
          <w:rtl/>
          <w:lang w:bidi="ar-OM"/>
        </w:rPr>
        <w:t>،</w:t>
      </w:r>
      <w:r w:rsidRPr="00904FCB">
        <w:rPr>
          <w:rFonts w:hint="cs"/>
          <w:sz w:val="27"/>
          <w:rtl/>
          <w:lang w:bidi="ar-OM"/>
        </w:rPr>
        <w:t xml:space="preserve"> ح</w:t>
      </w:r>
      <w:r w:rsidR="00BF71A9" w:rsidRPr="00904FCB">
        <w:rPr>
          <w:rFonts w:hint="cs"/>
          <w:sz w:val="27"/>
          <w:rtl/>
          <w:lang w:bidi="ar-OM"/>
        </w:rPr>
        <w:t>َ</w:t>
      </w:r>
      <w:r w:rsidRPr="00904FCB">
        <w:rPr>
          <w:rFonts w:hint="cs"/>
          <w:sz w:val="27"/>
          <w:rtl/>
          <w:lang w:bidi="ar-OM"/>
        </w:rPr>
        <w:t>س</w:t>
      </w:r>
      <w:r w:rsidR="00BF71A9" w:rsidRPr="00904FCB">
        <w:rPr>
          <w:rFonts w:hint="cs"/>
          <w:sz w:val="27"/>
          <w:rtl/>
          <w:lang w:bidi="ar-OM"/>
        </w:rPr>
        <w:t>ْ</w:t>
      </w:r>
      <w:r w:rsidRPr="00904FCB">
        <w:rPr>
          <w:rFonts w:hint="cs"/>
          <w:sz w:val="27"/>
          <w:rtl/>
          <w:lang w:bidi="ar-OM"/>
        </w:rPr>
        <w:t xml:space="preserve">ب هذا الاتجاه. </w:t>
      </w:r>
    </w:p>
    <w:p w:rsidR="00644408" w:rsidRPr="00904FCB" w:rsidRDefault="00644408" w:rsidP="007A21AA">
      <w:pPr>
        <w:pStyle w:val="af"/>
        <w:spacing w:line="400" w:lineRule="exact"/>
        <w:rPr>
          <w:rFonts w:cs="AL-Mohanad"/>
          <w:sz w:val="27"/>
          <w:szCs w:val="27"/>
          <w:lang w:bidi="ar-OM"/>
        </w:rPr>
      </w:pPr>
      <w:r w:rsidRPr="00904FCB">
        <w:rPr>
          <w:rFonts w:cs="AL-Mohanad" w:hint="cs"/>
          <w:sz w:val="27"/>
          <w:szCs w:val="27"/>
          <w:rtl/>
          <w:lang w:bidi="ar-OM"/>
        </w:rPr>
        <w:t xml:space="preserve"> وقد تناول الدكتور الفضلي أدل</w:t>
      </w:r>
      <w:r w:rsidR="00BF71A9" w:rsidRPr="00904FCB">
        <w:rPr>
          <w:rFonts w:cs="AL-Mohanad" w:hint="cs"/>
          <w:sz w:val="27"/>
          <w:szCs w:val="27"/>
          <w:rtl/>
          <w:lang w:bidi="ar-OM"/>
        </w:rPr>
        <w:t>ّ</w:t>
      </w:r>
      <w:r w:rsidRPr="00904FCB">
        <w:rPr>
          <w:rFonts w:cs="AL-Mohanad" w:hint="cs"/>
          <w:sz w:val="27"/>
          <w:szCs w:val="27"/>
          <w:rtl/>
          <w:lang w:bidi="ar-OM"/>
        </w:rPr>
        <w:t>ة المانعين بالبحث والنقد</w:t>
      </w:r>
      <w:r w:rsidR="00BF71A9" w:rsidRPr="00904FCB">
        <w:rPr>
          <w:rFonts w:cs="AL-Mohanad" w:hint="cs"/>
          <w:sz w:val="27"/>
          <w:szCs w:val="27"/>
          <w:rtl/>
          <w:lang w:bidi="ar-OM"/>
        </w:rPr>
        <w:t>،</w:t>
      </w:r>
      <w:r w:rsidRPr="00904FCB">
        <w:rPr>
          <w:rFonts w:cs="AL-Mohanad" w:hint="cs"/>
          <w:sz w:val="27"/>
          <w:szCs w:val="27"/>
          <w:rtl/>
          <w:lang w:bidi="ar-OM"/>
        </w:rPr>
        <w:t xml:space="preserve"> وانتهى </w:t>
      </w:r>
      <w:r w:rsidR="00BF71A9" w:rsidRPr="00904FCB">
        <w:rPr>
          <w:rFonts w:cs="AL-Mohanad" w:hint="cs"/>
          <w:sz w:val="27"/>
          <w:szCs w:val="27"/>
          <w:rtl/>
          <w:lang w:bidi="ar-OM"/>
        </w:rPr>
        <w:t>إ</w:t>
      </w:r>
      <w:r w:rsidRPr="00904FCB">
        <w:rPr>
          <w:rFonts w:cs="AL-Mohanad" w:hint="cs"/>
          <w:sz w:val="27"/>
          <w:szCs w:val="27"/>
          <w:rtl/>
          <w:lang w:bidi="ar-OM"/>
        </w:rPr>
        <w:t>لى عدم وجود نص</w:t>
      </w:r>
      <w:r w:rsidR="00BF71A9" w:rsidRPr="00904FCB">
        <w:rPr>
          <w:rFonts w:cs="AL-Mohanad" w:hint="cs"/>
          <w:sz w:val="27"/>
          <w:szCs w:val="27"/>
          <w:rtl/>
          <w:lang w:bidi="ar-OM"/>
        </w:rPr>
        <w:t>ٍّ</w:t>
      </w:r>
      <w:r w:rsidRPr="00904FCB">
        <w:rPr>
          <w:rFonts w:cs="AL-Mohanad" w:hint="cs"/>
          <w:sz w:val="27"/>
          <w:szCs w:val="27"/>
          <w:rtl/>
          <w:lang w:bidi="ar-OM"/>
        </w:rPr>
        <w:t xml:space="preserve"> ديني معتبر</w:t>
      </w:r>
      <w:r w:rsidR="00BF71A9" w:rsidRPr="00904FCB">
        <w:rPr>
          <w:rFonts w:cs="AL-Mohanad" w:hint="cs"/>
          <w:sz w:val="27"/>
          <w:szCs w:val="27"/>
          <w:rtl/>
          <w:lang w:bidi="ar-OM"/>
        </w:rPr>
        <w:t>،</w:t>
      </w:r>
      <w:r w:rsidRPr="00904FCB">
        <w:rPr>
          <w:rFonts w:cs="AL-Mohanad" w:hint="cs"/>
          <w:sz w:val="27"/>
          <w:szCs w:val="27"/>
          <w:rtl/>
          <w:lang w:bidi="ar-OM"/>
        </w:rPr>
        <w:t xml:space="preserve"> واضح الدلالة</w:t>
      </w:r>
      <w:r w:rsidR="00BF71A9" w:rsidRPr="00904FCB">
        <w:rPr>
          <w:rFonts w:cs="AL-Mohanad" w:hint="cs"/>
          <w:sz w:val="27"/>
          <w:szCs w:val="27"/>
          <w:rtl/>
          <w:lang w:bidi="ar-OM"/>
        </w:rPr>
        <w:t>،</w:t>
      </w:r>
      <w:r w:rsidRPr="00904FCB">
        <w:rPr>
          <w:rFonts w:cs="AL-Mohanad" w:hint="cs"/>
          <w:sz w:val="27"/>
          <w:szCs w:val="27"/>
          <w:rtl/>
          <w:lang w:bidi="ar-OM"/>
        </w:rPr>
        <w:t xml:space="preserve"> يمكن الاعتماد عليه في نفي تول</w:t>
      </w:r>
      <w:r w:rsidR="00BF71A9" w:rsidRPr="00904FCB">
        <w:rPr>
          <w:rFonts w:cs="AL-Mohanad" w:hint="cs"/>
          <w:sz w:val="27"/>
          <w:szCs w:val="27"/>
          <w:rtl/>
          <w:lang w:bidi="ar-OM"/>
        </w:rPr>
        <w:t>ّ</w:t>
      </w:r>
      <w:r w:rsidRPr="00904FCB">
        <w:rPr>
          <w:rFonts w:cs="AL-Mohanad" w:hint="cs"/>
          <w:sz w:val="27"/>
          <w:szCs w:val="27"/>
          <w:rtl/>
          <w:lang w:bidi="ar-OM"/>
        </w:rPr>
        <w:t>ي المرأة الحكم</w:t>
      </w:r>
      <w:r w:rsidR="00BF71A9" w:rsidRPr="00904FCB">
        <w:rPr>
          <w:rFonts w:cs="AL-Mohanad" w:hint="cs"/>
          <w:sz w:val="27"/>
          <w:szCs w:val="27"/>
          <w:rtl/>
          <w:lang w:bidi="ar-OM"/>
        </w:rPr>
        <w:t>.</w:t>
      </w:r>
      <w:r w:rsidRPr="00904FCB">
        <w:rPr>
          <w:rFonts w:cs="AL-Mohanad" w:hint="cs"/>
          <w:sz w:val="27"/>
          <w:szCs w:val="27"/>
          <w:rtl/>
          <w:lang w:bidi="ar-OM"/>
        </w:rPr>
        <w:t xml:space="preserve"> أما الإجماعات المد</w:t>
      </w:r>
      <w:r w:rsidR="00BF71A9" w:rsidRPr="00904FCB">
        <w:rPr>
          <w:rFonts w:cs="AL-Mohanad" w:hint="cs"/>
          <w:sz w:val="27"/>
          <w:szCs w:val="27"/>
          <w:rtl/>
          <w:lang w:bidi="ar-OM"/>
        </w:rPr>
        <w:t>َّ</w:t>
      </w:r>
      <w:r w:rsidRPr="00904FCB">
        <w:rPr>
          <w:rFonts w:cs="AL-Mohanad" w:hint="cs"/>
          <w:sz w:val="27"/>
          <w:szCs w:val="27"/>
          <w:rtl/>
          <w:lang w:bidi="ar-OM"/>
        </w:rPr>
        <w:t>عاة في المقام فلا تكشف عن دليل</w:t>
      </w:r>
      <w:r w:rsidR="00BF71A9" w:rsidRPr="00904FCB">
        <w:rPr>
          <w:rFonts w:cs="AL-Mohanad" w:hint="cs"/>
          <w:sz w:val="27"/>
          <w:szCs w:val="27"/>
          <w:rtl/>
          <w:lang w:bidi="ar-OM"/>
        </w:rPr>
        <w:t>ٍ</w:t>
      </w:r>
      <w:r w:rsidRPr="00904FCB">
        <w:rPr>
          <w:rFonts w:cs="AL-Mohanad" w:hint="cs"/>
          <w:sz w:val="27"/>
          <w:szCs w:val="27"/>
          <w:rtl/>
          <w:lang w:bidi="ar-OM"/>
        </w:rPr>
        <w:t xml:space="preserve"> شرعي يركن إليه. ولم يثبت دليل</w:t>
      </w:r>
      <w:r w:rsidR="00BF71A9" w:rsidRPr="00904FCB">
        <w:rPr>
          <w:rFonts w:cs="AL-Mohanad" w:hint="cs"/>
          <w:sz w:val="27"/>
          <w:szCs w:val="27"/>
          <w:rtl/>
          <w:lang w:bidi="ar-OM"/>
        </w:rPr>
        <w:t>ٌ</w:t>
      </w:r>
      <w:r w:rsidRPr="00904FCB">
        <w:rPr>
          <w:rFonts w:cs="AL-Mohanad" w:hint="cs"/>
          <w:sz w:val="27"/>
          <w:szCs w:val="27"/>
          <w:rtl/>
          <w:lang w:bidi="ar-OM"/>
        </w:rPr>
        <w:t xml:space="preserve"> على نفي تول</w:t>
      </w:r>
      <w:r w:rsidR="00BF71A9" w:rsidRPr="00904FCB">
        <w:rPr>
          <w:rFonts w:cs="AL-Mohanad" w:hint="cs"/>
          <w:sz w:val="27"/>
          <w:szCs w:val="27"/>
          <w:rtl/>
          <w:lang w:bidi="ar-OM"/>
        </w:rPr>
        <w:t>ّ</w:t>
      </w:r>
      <w:r w:rsidRPr="00904FCB">
        <w:rPr>
          <w:rFonts w:cs="AL-Mohanad" w:hint="cs"/>
          <w:sz w:val="27"/>
          <w:szCs w:val="27"/>
          <w:rtl/>
          <w:lang w:bidi="ar-OM"/>
        </w:rPr>
        <w:t>ي المرأة للإفتاء والقضاء</w:t>
      </w:r>
      <w:r w:rsidR="00BF71A9" w:rsidRPr="00904FCB">
        <w:rPr>
          <w:rFonts w:cs="AL-Mohanad" w:hint="cs"/>
          <w:sz w:val="27"/>
          <w:szCs w:val="27"/>
          <w:rtl/>
          <w:lang w:bidi="ar-OM"/>
        </w:rPr>
        <w:t>،</w:t>
      </w:r>
      <w:r w:rsidRPr="00904FCB">
        <w:rPr>
          <w:rFonts w:cs="AL-Mohanad" w:hint="cs"/>
          <w:sz w:val="27"/>
          <w:szCs w:val="27"/>
          <w:rtl/>
          <w:lang w:bidi="ar-OM"/>
        </w:rPr>
        <w:t xml:space="preserve"> بحيث يقتضي منهما نفي تول</w:t>
      </w:r>
      <w:r w:rsidR="00BF71A9" w:rsidRPr="00904FCB">
        <w:rPr>
          <w:rFonts w:cs="AL-Mohanad" w:hint="cs"/>
          <w:sz w:val="27"/>
          <w:szCs w:val="27"/>
          <w:rtl/>
          <w:lang w:bidi="ar-OM"/>
        </w:rPr>
        <w:t>ّ</w:t>
      </w:r>
      <w:r w:rsidRPr="00904FCB">
        <w:rPr>
          <w:rFonts w:cs="AL-Mohanad" w:hint="cs"/>
          <w:sz w:val="27"/>
          <w:szCs w:val="27"/>
          <w:rtl/>
          <w:lang w:bidi="ar-OM"/>
        </w:rPr>
        <w:t>يها الحكم بطريق</w:t>
      </w:r>
      <w:r w:rsidR="00BF71A9" w:rsidRPr="00904FCB">
        <w:rPr>
          <w:rFonts w:cs="AL-Mohanad" w:hint="cs"/>
          <w:sz w:val="27"/>
          <w:szCs w:val="27"/>
          <w:rtl/>
          <w:lang w:bidi="ar-OM"/>
        </w:rPr>
        <w:t>ٍ</w:t>
      </w:r>
      <w:r w:rsidRPr="00904FCB">
        <w:rPr>
          <w:rFonts w:cs="AL-Mohanad" w:hint="cs"/>
          <w:sz w:val="27"/>
          <w:szCs w:val="27"/>
          <w:rtl/>
          <w:lang w:bidi="ar-OM"/>
        </w:rPr>
        <w:t xml:space="preserve"> أ</w:t>
      </w:r>
      <w:r w:rsidR="00BF71A9" w:rsidRPr="00904FCB">
        <w:rPr>
          <w:rFonts w:cs="AL-Mohanad" w:hint="cs"/>
          <w:sz w:val="27"/>
          <w:szCs w:val="27"/>
          <w:rtl/>
          <w:lang w:bidi="ar-OM"/>
        </w:rPr>
        <w:t>َ</w:t>
      </w:r>
      <w:r w:rsidRPr="00904FCB">
        <w:rPr>
          <w:rFonts w:cs="AL-Mohanad" w:hint="cs"/>
          <w:sz w:val="27"/>
          <w:szCs w:val="27"/>
          <w:rtl/>
          <w:lang w:bidi="ar-OM"/>
        </w:rPr>
        <w:t>و</w:t>
      </w:r>
      <w:r w:rsidR="00BF71A9" w:rsidRPr="00904FCB">
        <w:rPr>
          <w:rFonts w:cs="AL-Mohanad" w:hint="cs"/>
          <w:sz w:val="27"/>
          <w:szCs w:val="27"/>
          <w:rtl/>
          <w:lang w:bidi="ar-OM"/>
        </w:rPr>
        <w:t>ْ</w:t>
      </w:r>
      <w:r w:rsidRPr="00904FCB">
        <w:rPr>
          <w:rFonts w:cs="AL-Mohanad" w:hint="cs"/>
          <w:sz w:val="27"/>
          <w:szCs w:val="27"/>
          <w:rtl/>
          <w:lang w:bidi="ar-OM"/>
        </w:rPr>
        <w:t>لى. أما إسناد مهمة القضاء تاريخي</w:t>
      </w:r>
      <w:r w:rsidR="00BF71A9" w:rsidRPr="00904FCB">
        <w:rPr>
          <w:rFonts w:cs="AL-Mohanad" w:hint="cs"/>
          <w:sz w:val="27"/>
          <w:szCs w:val="27"/>
          <w:rtl/>
          <w:lang w:bidi="ar-OM"/>
        </w:rPr>
        <w:t>ّ</w:t>
      </w:r>
      <w:r w:rsidRPr="00904FCB">
        <w:rPr>
          <w:rFonts w:cs="AL-Mohanad" w:hint="cs"/>
          <w:sz w:val="27"/>
          <w:szCs w:val="27"/>
          <w:rtl/>
          <w:lang w:bidi="ar-OM"/>
        </w:rPr>
        <w:t>ا</w:t>
      </w:r>
      <w:r w:rsidR="00BF71A9" w:rsidRPr="00904FCB">
        <w:rPr>
          <w:rFonts w:cs="AL-Mohanad" w:hint="cs"/>
          <w:sz w:val="27"/>
          <w:szCs w:val="27"/>
          <w:rtl/>
          <w:lang w:bidi="ar-OM"/>
        </w:rPr>
        <w:t>ً</w:t>
      </w:r>
      <w:r w:rsidRPr="00904FCB">
        <w:rPr>
          <w:rFonts w:cs="AL-Mohanad" w:hint="cs"/>
          <w:sz w:val="27"/>
          <w:szCs w:val="27"/>
          <w:rtl/>
          <w:lang w:bidi="ar-OM"/>
        </w:rPr>
        <w:t xml:space="preserve"> </w:t>
      </w:r>
      <w:r w:rsidR="00BF71A9" w:rsidRPr="00904FCB">
        <w:rPr>
          <w:rFonts w:cs="AL-Mohanad" w:hint="cs"/>
          <w:sz w:val="27"/>
          <w:szCs w:val="27"/>
          <w:rtl/>
          <w:lang w:bidi="ar-OM"/>
        </w:rPr>
        <w:t>إ</w:t>
      </w:r>
      <w:r w:rsidRPr="00904FCB">
        <w:rPr>
          <w:rFonts w:cs="AL-Mohanad" w:hint="cs"/>
          <w:sz w:val="27"/>
          <w:szCs w:val="27"/>
          <w:rtl/>
          <w:lang w:bidi="ar-OM"/>
        </w:rPr>
        <w:t xml:space="preserve">لى الرجل فلا دلالة فيه على حرمة إسناده </w:t>
      </w:r>
      <w:r w:rsidR="00BF71A9" w:rsidRPr="00904FCB">
        <w:rPr>
          <w:rFonts w:cs="AL-Mohanad" w:hint="cs"/>
          <w:sz w:val="27"/>
          <w:szCs w:val="27"/>
          <w:rtl/>
          <w:lang w:bidi="ar-OM"/>
        </w:rPr>
        <w:t>إل</w:t>
      </w:r>
      <w:r w:rsidRPr="00904FCB">
        <w:rPr>
          <w:rFonts w:cs="AL-Mohanad" w:hint="cs"/>
          <w:sz w:val="27"/>
          <w:szCs w:val="27"/>
          <w:rtl/>
          <w:lang w:bidi="ar-OM"/>
        </w:rPr>
        <w:t>ى المرأة</w:t>
      </w:r>
      <w:r w:rsidR="00BF71A9" w:rsidRPr="00904FCB">
        <w:rPr>
          <w:rFonts w:cs="AL-Mohanad" w:hint="cs"/>
          <w:sz w:val="27"/>
          <w:szCs w:val="27"/>
          <w:rtl/>
          <w:lang w:bidi="ar-OM"/>
        </w:rPr>
        <w:t>؛</w:t>
      </w:r>
      <w:r w:rsidRPr="00904FCB">
        <w:rPr>
          <w:rFonts w:cs="AL-Mohanad" w:hint="cs"/>
          <w:sz w:val="27"/>
          <w:szCs w:val="27"/>
          <w:rtl/>
          <w:lang w:bidi="ar-OM"/>
        </w:rPr>
        <w:t xml:space="preserve"> لأنه من قبيل</w:t>
      </w:r>
      <w:r w:rsidR="00BF71A9" w:rsidRPr="00904FCB">
        <w:rPr>
          <w:rFonts w:cs="AL-Mohanad" w:hint="cs"/>
          <w:sz w:val="27"/>
          <w:szCs w:val="27"/>
          <w:rtl/>
          <w:lang w:bidi="ar-OM"/>
        </w:rPr>
        <w:t>:</w:t>
      </w:r>
      <w:r w:rsidRPr="00904FCB">
        <w:rPr>
          <w:rFonts w:cs="AL-Mohanad" w:hint="cs"/>
          <w:sz w:val="27"/>
          <w:szCs w:val="27"/>
          <w:rtl/>
          <w:lang w:bidi="ar-OM"/>
        </w:rPr>
        <w:t xml:space="preserve"> المألوف الاجتماعي. وذهب </w:t>
      </w:r>
      <w:r w:rsidR="00BF71A9" w:rsidRPr="00904FCB">
        <w:rPr>
          <w:rFonts w:cs="AL-Mohanad" w:hint="cs"/>
          <w:sz w:val="27"/>
          <w:szCs w:val="27"/>
          <w:rtl/>
          <w:lang w:bidi="ar-OM"/>
        </w:rPr>
        <w:t>إ</w:t>
      </w:r>
      <w:r w:rsidRPr="00904FCB">
        <w:rPr>
          <w:rFonts w:cs="AL-Mohanad" w:hint="cs"/>
          <w:sz w:val="27"/>
          <w:szCs w:val="27"/>
          <w:rtl/>
          <w:lang w:bidi="ar-OM"/>
        </w:rPr>
        <w:t xml:space="preserve">لى </w:t>
      </w:r>
      <w:r w:rsidR="00BF71A9" w:rsidRPr="00904FCB">
        <w:rPr>
          <w:rFonts w:cs="AL-Mohanad" w:hint="cs"/>
          <w:sz w:val="27"/>
          <w:szCs w:val="27"/>
          <w:rtl/>
          <w:lang w:bidi="ar-OM"/>
        </w:rPr>
        <w:t>أ</w:t>
      </w:r>
      <w:r w:rsidRPr="00904FCB">
        <w:rPr>
          <w:rFonts w:cs="AL-Mohanad" w:hint="cs"/>
          <w:sz w:val="27"/>
          <w:szCs w:val="27"/>
          <w:rtl/>
          <w:lang w:bidi="ar-OM"/>
        </w:rPr>
        <w:t xml:space="preserve">ن الميل </w:t>
      </w:r>
      <w:r w:rsidR="00BF71A9" w:rsidRPr="00904FCB">
        <w:rPr>
          <w:rFonts w:cs="AL-Mohanad" w:hint="cs"/>
          <w:sz w:val="27"/>
          <w:szCs w:val="27"/>
          <w:rtl/>
          <w:lang w:bidi="ar-OM"/>
        </w:rPr>
        <w:t>إ</w:t>
      </w:r>
      <w:r w:rsidRPr="00904FCB">
        <w:rPr>
          <w:rFonts w:cs="AL-Mohanad" w:hint="cs"/>
          <w:sz w:val="27"/>
          <w:szCs w:val="27"/>
          <w:rtl/>
          <w:lang w:bidi="ar-OM"/>
        </w:rPr>
        <w:t>لى اشتراط الذكورة آت</w:t>
      </w:r>
      <w:r w:rsidR="00BF71A9" w:rsidRPr="00904FCB">
        <w:rPr>
          <w:rFonts w:cs="AL-Mohanad" w:hint="cs"/>
          <w:sz w:val="27"/>
          <w:szCs w:val="27"/>
          <w:rtl/>
          <w:lang w:bidi="ar-OM"/>
        </w:rPr>
        <w:t>ٍ</w:t>
      </w:r>
      <w:r w:rsidRPr="00904FCB">
        <w:rPr>
          <w:rFonts w:cs="AL-Mohanad" w:hint="cs"/>
          <w:sz w:val="27"/>
          <w:szCs w:val="27"/>
          <w:rtl/>
          <w:lang w:bidi="ar-OM"/>
        </w:rPr>
        <w:t xml:space="preserve"> من </w:t>
      </w:r>
      <w:r w:rsidR="00BF71A9" w:rsidRPr="00904FCB">
        <w:rPr>
          <w:rFonts w:cs="AL-Mohanad" w:hint="cs"/>
          <w:sz w:val="27"/>
          <w:szCs w:val="27"/>
          <w:rtl/>
          <w:lang w:bidi="ar-OM"/>
        </w:rPr>
        <w:t>أ</w:t>
      </w:r>
      <w:r w:rsidRPr="00904FCB">
        <w:rPr>
          <w:rFonts w:cs="AL-Mohanad" w:hint="cs"/>
          <w:sz w:val="27"/>
          <w:szCs w:val="27"/>
          <w:rtl/>
          <w:lang w:bidi="ar-OM"/>
        </w:rPr>
        <w:t>نه الأمر الغالب</w:t>
      </w:r>
      <w:r w:rsidR="00BF71A9" w:rsidRPr="00904FCB">
        <w:rPr>
          <w:rFonts w:cs="AL-Mohanad" w:hint="cs"/>
          <w:sz w:val="27"/>
          <w:szCs w:val="27"/>
          <w:rtl/>
          <w:lang w:bidi="ar-OM"/>
        </w:rPr>
        <w:t>؛</w:t>
      </w:r>
      <w:r w:rsidRPr="00904FCB">
        <w:rPr>
          <w:rFonts w:cs="AL-Mohanad" w:hint="cs"/>
          <w:sz w:val="27"/>
          <w:szCs w:val="27"/>
          <w:rtl/>
          <w:lang w:bidi="ar-OM"/>
        </w:rPr>
        <w:t xml:space="preserve"> لأن المجتمعات في أغلبها ذكورية</w:t>
      </w:r>
      <w:r w:rsidR="00BF71A9" w:rsidRPr="00904FCB">
        <w:rPr>
          <w:rFonts w:cs="AL-Mohanad" w:hint="cs"/>
          <w:sz w:val="27"/>
          <w:szCs w:val="27"/>
          <w:rtl/>
          <w:lang w:bidi="ar-OM"/>
        </w:rPr>
        <w:t>،</w:t>
      </w:r>
      <w:r w:rsidRPr="00904FCB">
        <w:rPr>
          <w:rFonts w:cs="AL-Mohanad" w:hint="cs"/>
          <w:sz w:val="27"/>
          <w:szCs w:val="27"/>
          <w:rtl/>
          <w:lang w:bidi="ar-OM"/>
        </w:rPr>
        <w:t xml:space="preserve"> درجت </w:t>
      </w:r>
      <w:r w:rsidRPr="00904FCB">
        <w:rPr>
          <w:rFonts w:cs="AL-Mohanad" w:hint="cs"/>
          <w:sz w:val="27"/>
          <w:szCs w:val="27"/>
          <w:rtl/>
          <w:lang w:bidi="ar-OM"/>
        </w:rPr>
        <w:lastRenderedPageBreak/>
        <w:t>على إسناد منصب رئاسة الدولة للرجل</w:t>
      </w:r>
      <w:r w:rsidR="00BF71A9" w:rsidRPr="00904FCB">
        <w:rPr>
          <w:rFonts w:cs="AL-Mohanad" w:hint="cs"/>
          <w:sz w:val="27"/>
          <w:szCs w:val="27"/>
          <w:rtl/>
          <w:lang w:bidi="ar-OM"/>
        </w:rPr>
        <w:t>،</w:t>
      </w:r>
      <w:r w:rsidRPr="00904FCB">
        <w:rPr>
          <w:rFonts w:cs="AL-Mohanad" w:hint="cs"/>
          <w:sz w:val="27"/>
          <w:szCs w:val="27"/>
          <w:rtl/>
          <w:lang w:bidi="ar-OM"/>
        </w:rPr>
        <w:t xml:space="preserve"> بناء</w:t>
      </w:r>
      <w:r w:rsidR="00BF71A9" w:rsidRPr="00904FCB">
        <w:rPr>
          <w:rFonts w:cs="AL-Mohanad" w:hint="cs"/>
          <w:sz w:val="27"/>
          <w:szCs w:val="27"/>
          <w:rtl/>
          <w:lang w:bidi="ar-OM"/>
        </w:rPr>
        <w:t>ً</w:t>
      </w:r>
      <w:r w:rsidRPr="00904FCB">
        <w:rPr>
          <w:rFonts w:cs="AL-Mohanad" w:hint="cs"/>
          <w:sz w:val="27"/>
          <w:szCs w:val="27"/>
          <w:rtl/>
          <w:lang w:bidi="ar-OM"/>
        </w:rPr>
        <w:t xml:space="preserve"> على هذا المنطلق</w:t>
      </w:r>
      <w:r w:rsidRPr="00904FCB">
        <w:rPr>
          <w:rFonts w:cs="AL-Mohanad" w:hint="cs"/>
          <w:sz w:val="27"/>
          <w:szCs w:val="27"/>
          <w:vertAlign w:val="superscript"/>
          <w:rtl/>
        </w:rPr>
        <w:t>(</w:t>
      </w:r>
      <w:r w:rsidRPr="00904FCB">
        <w:rPr>
          <w:rStyle w:val="ac"/>
          <w:rFonts w:cs="AL-Mohanad"/>
          <w:sz w:val="27"/>
          <w:szCs w:val="27"/>
          <w:rtl/>
        </w:rPr>
        <w:endnoteReference w:id="228"/>
      </w:r>
      <w:r w:rsidRPr="00904FCB">
        <w:rPr>
          <w:rFonts w:cs="AL-Mohanad" w:hint="cs"/>
          <w:sz w:val="27"/>
          <w:szCs w:val="27"/>
          <w:vertAlign w:val="superscript"/>
          <w:rtl/>
        </w:rPr>
        <w:t>)</w:t>
      </w:r>
      <w:r w:rsidRPr="00904FCB">
        <w:rPr>
          <w:rFonts w:cs="AL-Mohanad" w:hint="cs"/>
          <w:sz w:val="27"/>
          <w:szCs w:val="27"/>
          <w:rtl/>
          <w:lang w:bidi="ar-OM"/>
        </w:rPr>
        <w:t xml:space="preserve">. </w:t>
      </w:r>
    </w:p>
    <w:p w:rsidR="00644408" w:rsidRPr="00904FCB" w:rsidRDefault="00644408" w:rsidP="007A21AA">
      <w:pPr>
        <w:pStyle w:val="af"/>
        <w:spacing w:line="400" w:lineRule="exact"/>
        <w:rPr>
          <w:rFonts w:cs="AL-Mohanad"/>
          <w:sz w:val="27"/>
          <w:szCs w:val="27"/>
          <w:lang w:bidi="ar-OM"/>
        </w:rPr>
      </w:pPr>
      <w:r w:rsidRPr="00904FCB">
        <w:rPr>
          <w:rFonts w:cs="AL-Mohanad" w:hint="cs"/>
          <w:sz w:val="27"/>
          <w:szCs w:val="27"/>
          <w:rtl/>
          <w:lang w:bidi="ar-OM"/>
        </w:rPr>
        <w:t>وأك</w:t>
      </w:r>
      <w:r w:rsidR="00BF71A9" w:rsidRPr="00904FCB">
        <w:rPr>
          <w:rFonts w:cs="AL-Mohanad" w:hint="cs"/>
          <w:sz w:val="27"/>
          <w:szCs w:val="27"/>
          <w:rtl/>
          <w:lang w:bidi="ar-OM"/>
        </w:rPr>
        <w:t>َّ</w:t>
      </w:r>
      <w:r w:rsidRPr="00904FCB">
        <w:rPr>
          <w:rFonts w:cs="AL-Mohanad" w:hint="cs"/>
          <w:sz w:val="27"/>
          <w:szCs w:val="27"/>
          <w:rtl/>
          <w:lang w:bidi="ar-OM"/>
        </w:rPr>
        <w:t xml:space="preserve">د على </w:t>
      </w:r>
      <w:r w:rsidR="00BF71A9" w:rsidRPr="00904FCB">
        <w:rPr>
          <w:rFonts w:cs="AL-Mohanad" w:hint="cs"/>
          <w:sz w:val="27"/>
          <w:szCs w:val="27"/>
          <w:rtl/>
          <w:lang w:bidi="ar-OM"/>
        </w:rPr>
        <w:t>أ</w:t>
      </w:r>
      <w:r w:rsidRPr="00904FCB">
        <w:rPr>
          <w:rFonts w:cs="AL-Mohanad" w:hint="cs"/>
          <w:sz w:val="27"/>
          <w:szCs w:val="27"/>
          <w:rtl/>
          <w:lang w:bidi="ar-OM"/>
        </w:rPr>
        <w:t>ن اختلاف الزمان وتطو</w:t>
      </w:r>
      <w:r w:rsidR="00BF71A9" w:rsidRPr="00904FCB">
        <w:rPr>
          <w:rFonts w:cs="AL-Mohanad" w:hint="cs"/>
          <w:sz w:val="27"/>
          <w:szCs w:val="27"/>
          <w:rtl/>
          <w:lang w:bidi="ar-OM"/>
        </w:rPr>
        <w:t>ُّ</w:t>
      </w:r>
      <w:r w:rsidRPr="00904FCB">
        <w:rPr>
          <w:rFonts w:cs="AL-Mohanad" w:hint="cs"/>
          <w:sz w:val="27"/>
          <w:szCs w:val="27"/>
          <w:rtl/>
          <w:lang w:bidi="ar-OM"/>
        </w:rPr>
        <w:t>ر أوضاع المرأة التعليمية والثقافية والاجتماعية عبر إتاحة الفرص المتكافئة لها في التعليم والتزو</w:t>
      </w:r>
      <w:r w:rsidR="00BF71A9" w:rsidRPr="00904FCB">
        <w:rPr>
          <w:rFonts w:cs="AL-Mohanad" w:hint="cs"/>
          <w:sz w:val="27"/>
          <w:szCs w:val="27"/>
          <w:rtl/>
          <w:lang w:bidi="ar-OM"/>
        </w:rPr>
        <w:t>ُّ</w:t>
      </w:r>
      <w:r w:rsidRPr="00904FCB">
        <w:rPr>
          <w:rFonts w:cs="AL-Mohanad" w:hint="cs"/>
          <w:sz w:val="27"/>
          <w:szCs w:val="27"/>
          <w:rtl/>
          <w:lang w:bidi="ar-OM"/>
        </w:rPr>
        <w:t>د بالثقافة وممارسة الفعاليات الاجتماعية جعلها مؤه</w:t>
      </w:r>
      <w:r w:rsidR="00BF71A9" w:rsidRPr="00904FCB">
        <w:rPr>
          <w:rFonts w:cs="AL-Mohanad" w:hint="cs"/>
          <w:sz w:val="27"/>
          <w:szCs w:val="27"/>
          <w:rtl/>
          <w:lang w:bidi="ar-OM"/>
        </w:rPr>
        <w:t>َّ</w:t>
      </w:r>
      <w:r w:rsidRPr="00904FCB">
        <w:rPr>
          <w:rFonts w:cs="AL-Mohanad" w:hint="cs"/>
          <w:sz w:val="27"/>
          <w:szCs w:val="27"/>
          <w:rtl/>
          <w:lang w:bidi="ar-OM"/>
        </w:rPr>
        <w:t>لة للقيام بأعباء المسؤولي</w:t>
      </w:r>
      <w:r w:rsidR="00BF71A9" w:rsidRPr="00904FCB">
        <w:rPr>
          <w:rFonts w:cs="AL-Mohanad" w:hint="cs"/>
          <w:sz w:val="27"/>
          <w:szCs w:val="27"/>
          <w:rtl/>
          <w:lang w:bidi="ar-OM"/>
        </w:rPr>
        <w:t>ّ</w:t>
      </w:r>
      <w:r w:rsidRPr="00904FCB">
        <w:rPr>
          <w:rFonts w:cs="AL-Mohanad" w:hint="cs"/>
          <w:sz w:val="27"/>
          <w:szCs w:val="27"/>
          <w:rtl/>
          <w:lang w:bidi="ar-OM"/>
        </w:rPr>
        <w:t xml:space="preserve">ات الكبار، بل </w:t>
      </w:r>
      <w:r w:rsidR="00BF71A9" w:rsidRPr="00904FCB">
        <w:rPr>
          <w:rFonts w:cs="AL-Mohanad" w:hint="cs"/>
          <w:sz w:val="27"/>
          <w:szCs w:val="27"/>
          <w:rtl/>
          <w:lang w:bidi="ar-OM"/>
        </w:rPr>
        <w:t>إ</w:t>
      </w:r>
      <w:r w:rsidRPr="00904FCB">
        <w:rPr>
          <w:rFonts w:cs="AL-Mohanad" w:hint="cs"/>
          <w:sz w:val="27"/>
          <w:szCs w:val="27"/>
          <w:rtl/>
          <w:lang w:bidi="ar-OM"/>
        </w:rPr>
        <w:t>نها أثبتت قدرتها من خلال التجارب على تحم</w:t>
      </w:r>
      <w:r w:rsidR="00BF71A9" w:rsidRPr="00904FCB">
        <w:rPr>
          <w:rFonts w:cs="AL-Mohanad" w:hint="cs"/>
          <w:sz w:val="27"/>
          <w:szCs w:val="27"/>
          <w:rtl/>
          <w:lang w:bidi="ar-OM"/>
        </w:rPr>
        <w:t>ُّ</w:t>
      </w:r>
      <w:r w:rsidRPr="00904FCB">
        <w:rPr>
          <w:rFonts w:cs="AL-Mohanad" w:hint="cs"/>
          <w:sz w:val="27"/>
          <w:szCs w:val="27"/>
          <w:rtl/>
          <w:lang w:bidi="ar-OM"/>
        </w:rPr>
        <w:t>ل تلكم الأعباء</w:t>
      </w:r>
      <w:r w:rsidR="00BF71A9" w:rsidRPr="00904FCB">
        <w:rPr>
          <w:rFonts w:cs="AL-Mohanad" w:hint="cs"/>
          <w:sz w:val="27"/>
          <w:szCs w:val="27"/>
          <w:rtl/>
          <w:lang w:bidi="ar-OM"/>
        </w:rPr>
        <w:t>،</w:t>
      </w:r>
      <w:r w:rsidRPr="00904FCB">
        <w:rPr>
          <w:rFonts w:cs="AL-Mohanad" w:hint="cs"/>
          <w:sz w:val="27"/>
          <w:szCs w:val="27"/>
          <w:rtl/>
          <w:lang w:bidi="ar-OM"/>
        </w:rPr>
        <w:t xml:space="preserve"> بحيث أصبحت لا تختلف عن الرجل في ذلك</w:t>
      </w:r>
      <w:r w:rsidRPr="00904FCB">
        <w:rPr>
          <w:rFonts w:cs="AL-Mohanad" w:hint="cs"/>
          <w:sz w:val="27"/>
          <w:szCs w:val="27"/>
          <w:vertAlign w:val="superscript"/>
          <w:rtl/>
        </w:rPr>
        <w:t>(</w:t>
      </w:r>
      <w:r w:rsidRPr="00904FCB">
        <w:rPr>
          <w:rStyle w:val="ac"/>
          <w:rFonts w:cs="AL-Mohanad"/>
          <w:sz w:val="27"/>
          <w:szCs w:val="27"/>
          <w:rtl/>
        </w:rPr>
        <w:endnoteReference w:id="229"/>
      </w:r>
      <w:r w:rsidRPr="00904FCB">
        <w:rPr>
          <w:rFonts w:cs="AL-Mohanad" w:hint="cs"/>
          <w:sz w:val="27"/>
          <w:szCs w:val="27"/>
          <w:vertAlign w:val="superscript"/>
          <w:rtl/>
        </w:rPr>
        <w:t>)</w:t>
      </w:r>
      <w:r w:rsidRPr="00904FCB">
        <w:rPr>
          <w:rFonts w:cs="AL-Mohanad" w:hint="cs"/>
          <w:sz w:val="27"/>
          <w:szCs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كما صر</w:t>
      </w:r>
      <w:r w:rsidR="00BF71A9" w:rsidRPr="00904FCB">
        <w:rPr>
          <w:rFonts w:hint="cs"/>
          <w:sz w:val="27"/>
          <w:rtl/>
          <w:lang w:bidi="ar-OM"/>
        </w:rPr>
        <w:t>َّ</w:t>
      </w:r>
      <w:r w:rsidRPr="00904FCB">
        <w:rPr>
          <w:rFonts w:hint="cs"/>
          <w:sz w:val="27"/>
          <w:rtl/>
          <w:lang w:bidi="ar-OM"/>
        </w:rPr>
        <w:t xml:space="preserve">ح الشيخ الفياض </w:t>
      </w:r>
      <w:r w:rsidRPr="00904FCB">
        <w:rPr>
          <w:sz w:val="27"/>
          <w:rtl/>
          <w:lang w:bidi="ar-OM"/>
        </w:rPr>
        <w:t>ـ</w:t>
      </w:r>
      <w:r w:rsidRPr="00904FCB">
        <w:rPr>
          <w:rFonts w:hint="cs"/>
          <w:sz w:val="27"/>
          <w:rtl/>
          <w:lang w:bidi="ar-OM"/>
        </w:rPr>
        <w:t xml:space="preserve"> وهو أحد مراجع الإمامية المعاصرين ـ </w:t>
      </w:r>
      <w:r w:rsidR="00BF71A9" w:rsidRPr="00904FCB">
        <w:rPr>
          <w:rFonts w:hint="cs"/>
          <w:sz w:val="27"/>
          <w:rtl/>
          <w:lang w:bidi="ar-OM"/>
        </w:rPr>
        <w:t>أ</w:t>
      </w:r>
      <w:r w:rsidRPr="00904FCB">
        <w:rPr>
          <w:rFonts w:hint="cs"/>
          <w:sz w:val="27"/>
          <w:rtl/>
          <w:lang w:bidi="ar-OM"/>
        </w:rPr>
        <w:t>ن ثبوت الولاية العامة للمرأة المسلمة هو محل</w:t>
      </w:r>
      <w:r w:rsidR="00BF71A9" w:rsidRPr="00904FCB">
        <w:rPr>
          <w:rFonts w:hint="cs"/>
          <w:sz w:val="27"/>
          <w:rtl/>
          <w:lang w:bidi="ar-OM"/>
        </w:rPr>
        <w:t>ّ</w:t>
      </w:r>
      <w:r w:rsidRPr="00904FCB">
        <w:rPr>
          <w:rFonts w:hint="cs"/>
          <w:sz w:val="27"/>
          <w:rtl/>
          <w:lang w:bidi="ar-OM"/>
        </w:rPr>
        <w:t xml:space="preserve"> إشكال</w:t>
      </w:r>
      <w:r w:rsidR="00BF71A9" w:rsidRPr="00904FCB">
        <w:rPr>
          <w:rFonts w:hint="cs"/>
          <w:sz w:val="27"/>
          <w:rtl/>
          <w:lang w:bidi="ar-OM"/>
        </w:rPr>
        <w:t>،</w:t>
      </w:r>
      <w:r w:rsidRPr="00904FCB">
        <w:rPr>
          <w:rFonts w:hint="cs"/>
          <w:sz w:val="27"/>
          <w:rtl/>
          <w:lang w:bidi="ar-OM"/>
        </w:rPr>
        <w:t xml:space="preserve"> بل منع عند أكثر الفقهاء</w:t>
      </w:r>
      <w:r w:rsidR="00BF71A9" w:rsidRPr="00904FCB">
        <w:rPr>
          <w:rFonts w:hint="cs"/>
          <w:sz w:val="27"/>
          <w:rtl/>
          <w:lang w:bidi="ar-OM"/>
        </w:rPr>
        <w:t>.</w:t>
      </w:r>
      <w:r w:rsidRPr="00904FCB">
        <w:rPr>
          <w:rFonts w:hint="cs"/>
          <w:sz w:val="27"/>
          <w:rtl/>
          <w:lang w:bidi="ar-OM"/>
        </w:rPr>
        <w:t xml:space="preserve"> ولكن</w:t>
      </w:r>
      <w:r w:rsidR="00BF71A9" w:rsidRPr="00904FCB">
        <w:rPr>
          <w:rFonts w:hint="cs"/>
          <w:sz w:val="27"/>
          <w:rtl/>
          <w:lang w:bidi="ar-OM"/>
        </w:rPr>
        <w:t>ّ</w:t>
      </w:r>
      <w:r w:rsidRPr="00904FCB">
        <w:rPr>
          <w:rFonts w:hint="cs"/>
          <w:sz w:val="27"/>
          <w:rtl/>
          <w:lang w:bidi="ar-OM"/>
        </w:rPr>
        <w:t xml:space="preserve"> الثبوت عندنا غير بعيد إذا توف</w:t>
      </w:r>
      <w:r w:rsidR="00BF71A9" w:rsidRPr="00904FCB">
        <w:rPr>
          <w:rFonts w:hint="cs"/>
          <w:sz w:val="27"/>
          <w:rtl/>
          <w:lang w:bidi="ar-OM"/>
        </w:rPr>
        <w:t>َّ</w:t>
      </w:r>
      <w:r w:rsidRPr="00904FCB">
        <w:rPr>
          <w:rFonts w:hint="cs"/>
          <w:sz w:val="27"/>
          <w:rtl/>
          <w:lang w:bidi="ar-OM"/>
        </w:rPr>
        <w:t>رت شروط الولاية فيها</w:t>
      </w:r>
      <w:r w:rsidR="00BF71A9" w:rsidRPr="00904FCB">
        <w:rPr>
          <w:rFonts w:hint="cs"/>
          <w:sz w:val="27"/>
          <w:rtl/>
          <w:lang w:bidi="ar-OM"/>
        </w:rPr>
        <w:t xml:space="preserve">، </w:t>
      </w:r>
      <w:r w:rsidRPr="00904FCB">
        <w:rPr>
          <w:rFonts w:hint="cs"/>
          <w:sz w:val="27"/>
          <w:rtl/>
          <w:lang w:bidi="ar-OM"/>
        </w:rPr>
        <w:t>من الأعلمي</w:t>
      </w:r>
      <w:r w:rsidR="00BF71A9" w:rsidRPr="00904FCB">
        <w:rPr>
          <w:rFonts w:hint="cs"/>
          <w:sz w:val="27"/>
          <w:rtl/>
          <w:lang w:bidi="ar-OM"/>
        </w:rPr>
        <w:t>ّ</w:t>
      </w:r>
      <w:r w:rsidRPr="00904FCB">
        <w:rPr>
          <w:rFonts w:hint="cs"/>
          <w:sz w:val="27"/>
          <w:rtl/>
          <w:lang w:bidi="ar-OM"/>
        </w:rPr>
        <w:t>ة والعدالة والكفاءة وغيرها</w:t>
      </w:r>
      <w:r w:rsidRPr="00904FCB">
        <w:rPr>
          <w:rFonts w:hint="cs"/>
          <w:sz w:val="27"/>
          <w:vertAlign w:val="superscript"/>
          <w:rtl/>
        </w:rPr>
        <w:t>(</w:t>
      </w:r>
      <w:r w:rsidRPr="00904FCB">
        <w:rPr>
          <w:rStyle w:val="ac"/>
          <w:sz w:val="27"/>
          <w:rtl/>
        </w:rPr>
        <w:endnoteReference w:id="230"/>
      </w:r>
      <w:r w:rsidRPr="00904FCB">
        <w:rPr>
          <w:rFonts w:hint="cs"/>
          <w:sz w:val="27"/>
          <w:vertAlign w:val="superscript"/>
          <w:rtl/>
        </w:rPr>
        <w:t>)</w:t>
      </w:r>
      <w:r w:rsidRPr="00904FCB">
        <w:rPr>
          <w:rFonts w:hint="cs"/>
          <w:sz w:val="27"/>
          <w:rtl/>
          <w:lang w:bidi="ar-OM"/>
        </w:rPr>
        <w:t>. وأشار إلى عدم وجود الدليل على المنع إلا</w:t>
      </w:r>
      <w:r w:rsidR="00BF71A9" w:rsidRPr="00904FCB">
        <w:rPr>
          <w:rFonts w:hint="cs"/>
          <w:sz w:val="27"/>
          <w:rtl/>
          <w:lang w:bidi="ar-OM"/>
        </w:rPr>
        <w:t>ّ</w:t>
      </w:r>
      <w:r w:rsidRPr="00904FCB">
        <w:rPr>
          <w:rFonts w:hint="cs"/>
          <w:sz w:val="27"/>
          <w:rtl/>
          <w:lang w:bidi="ar-OM"/>
        </w:rPr>
        <w:t xml:space="preserve"> دعوى الإجماع</w:t>
      </w:r>
      <w:r w:rsidRPr="00904FCB">
        <w:rPr>
          <w:rFonts w:hint="cs"/>
          <w:sz w:val="27"/>
          <w:vertAlign w:val="superscript"/>
          <w:rtl/>
        </w:rPr>
        <w:t>(</w:t>
      </w:r>
      <w:r w:rsidRPr="00904FCB">
        <w:rPr>
          <w:rStyle w:val="ac"/>
          <w:sz w:val="27"/>
          <w:rtl/>
        </w:rPr>
        <w:endnoteReference w:id="231"/>
      </w:r>
      <w:r w:rsidRPr="00904FCB">
        <w:rPr>
          <w:rFonts w:hint="cs"/>
          <w:sz w:val="27"/>
          <w:vertAlign w:val="superscript"/>
          <w:rtl/>
        </w:rPr>
        <w:t>)</w:t>
      </w:r>
      <w:r w:rsidRPr="00904FCB">
        <w:rPr>
          <w:rFonts w:hint="cs"/>
          <w:sz w:val="27"/>
          <w:rtl/>
          <w:lang w:bidi="ar-OM"/>
        </w:rPr>
        <w:t xml:space="preserve">. وأضاف: </w:t>
      </w:r>
      <w:r w:rsidR="00BF71A9" w:rsidRPr="00904FCB">
        <w:rPr>
          <w:rFonts w:hint="cs"/>
          <w:sz w:val="27"/>
          <w:rtl/>
          <w:lang w:bidi="ar-OM"/>
        </w:rPr>
        <w:t>إ</w:t>
      </w:r>
      <w:r w:rsidRPr="00904FCB">
        <w:rPr>
          <w:rFonts w:hint="cs"/>
          <w:sz w:val="27"/>
          <w:rtl/>
          <w:lang w:bidi="ar-OM"/>
        </w:rPr>
        <w:t>ن تصد</w:t>
      </w:r>
      <w:r w:rsidR="00BF71A9" w:rsidRPr="00904FCB">
        <w:rPr>
          <w:rFonts w:hint="cs"/>
          <w:sz w:val="27"/>
          <w:rtl/>
          <w:lang w:bidi="ar-OM"/>
        </w:rPr>
        <w:t>ّ</w:t>
      </w:r>
      <w:r w:rsidRPr="00904FCB">
        <w:rPr>
          <w:rFonts w:hint="cs"/>
          <w:sz w:val="27"/>
          <w:rtl/>
          <w:lang w:bidi="ar-OM"/>
        </w:rPr>
        <w:t>ي المرأة في الدولة القائمة على أساس مبدأ حاكمية الدين للسلطة الحاكمة ومنصب القضاء والإفتاء مورد إشكال</w:t>
      </w:r>
      <w:r w:rsidR="00BF71A9" w:rsidRPr="00904FCB">
        <w:rPr>
          <w:rFonts w:hint="cs"/>
          <w:sz w:val="27"/>
          <w:rtl/>
          <w:lang w:bidi="ar-OM"/>
        </w:rPr>
        <w:t>ٍ</w:t>
      </w:r>
      <w:r w:rsidRPr="00904FCB">
        <w:rPr>
          <w:rFonts w:hint="cs"/>
          <w:sz w:val="27"/>
          <w:rtl/>
          <w:lang w:bidi="ar-OM"/>
        </w:rPr>
        <w:t xml:space="preserve"> عند الفقهاء، وإن</w:t>
      </w:r>
      <w:r w:rsidR="00BF71A9" w:rsidRPr="00904FCB">
        <w:rPr>
          <w:rFonts w:hint="cs"/>
          <w:sz w:val="27"/>
          <w:rtl/>
          <w:lang w:bidi="ar-OM"/>
        </w:rPr>
        <w:t>ْ</w:t>
      </w:r>
      <w:r w:rsidRPr="00904FCB">
        <w:rPr>
          <w:rFonts w:hint="cs"/>
          <w:sz w:val="27"/>
          <w:rtl/>
          <w:lang w:bidi="ar-OM"/>
        </w:rPr>
        <w:t xml:space="preserve"> كان الأظهر جوازه عندنا إذا توافرت شروط هذا المنصب فيها</w:t>
      </w:r>
      <w:r w:rsidRPr="00904FCB">
        <w:rPr>
          <w:rFonts w:hint="cs"/>
          <w:sz w:val="27"/>
          <w:vertAlign w:val="superscript"/>
          <w:rtl/>
        </w:rPr>
        <w:t>(</w:t>
      </w:r>
      <w:r w:rsidRPr="00904FCB">
        <w:rPr>
          <w:rStyle w:val="ac"/>
          <w:sz w:val="27"/>
          <w:rtl/>
        </w:rPr>
        <w:endnoteReference w:id="232"/>
      </w:r>
      <w:r w:rsidRPr="00904FCB">
        <w:rPr>
          <w:rFonts w:hint="cs"/>
          <w:sz w:val="27"/>
          <w:vertAlign w:val="superscript"/>
          <w:rtl/>
        </w:rPr>
        <w:t>)</w:t>
      </w:r>
      <w:r w:rsidRPr="00904FCB">
        <w:rPr>
          <w:rFonts w:hint="cs"/>
          <w:sz w:val="27"/>
          <w:rtl/>
          <w:lang w:bidi="ar-OM"/>
        </w:rPr>
        <w:t xml:space="preserve">. </w:t>
      </w:r>
    </w:p>
    <w:p w:rsidR="00644408" w:rsidRPr="00904FCB" w:rsidRDefault="00644408" w:rsidP="00C5715C">
      <w:pPr>
        <w:spacing w:line="400" w:lineRule="exact"/>
        <w:rPr>
          <w:sz w:val="27"/>
          <w:rtl/>
          <w:lang w:bidi="ar-OM"/>
        </w:rPr>
      </w:pPr>
      <w:r w:rsidRPr="00904FCB">
        <w:rPr>
          <w:rFonts w:hint="cs"/>
          <w:sz w:val="27"/>
          <w:rtl/>
          <w:lang w:bidi="ar-OM"/>
        </w:rPr>
        <w:t xml:space="preserve">وكذلك الحال بالنسبة </w:t>
      </w:r>
      <w:r w:rsidR="00C5715C">
        <w:rPr>
          <w:rFonts w:hint="cs"/>
          <w:sz w:val="27"/>
          <w:rtl/>
          <w:lang w:bidi="ar-OM"/>
        </w:rPr>
        <w:t xml:space="preserve">إلى </w:t>
      </w:r>
      <w:r w:rsidRPr="00904FCB">
        <w:rPr>
          <w:rFonts w:hint="cs"/>
          <w:sz w:val="27"/>
          <w:rtl/>
          <w:lang w:bidi="ar-OM"/>
        </w:rPr>
        <w:t>جواز الدخول في المجالس النيابية، بل يمكنها أن تتول</w:t>
      </w:r>
      <w:r w:rsidR="00BF71A9" w:rsidRPr="00904FCB">
        <w:rPr>
          <w:rFonts w:hint="cs"/>
          <w:sz w:val="27"/>
          <w:rtl/>
          <w:lang w:bidi="ar-OM"/>
        </w:rPr>
        <w:t>ّ</w:t>
      </w:r>
      <w:r w:rsidRPr="00904FCB">
        <w:rPr>
          <w:rFonts w:hint="cs"/>
          <w:sz w:val="27"/>
          <w:rtl/>
          <w:lang w:bidi="ar-OM"/>
        </w:rPr>
        <w:t>ى رئاسة البرلمان</w:t>
      </w:r>
      <w:r w:rsidR="00BF71A9" w:rsidRPr="00904FCB">
        <w:rPr>
          <w:rFonts w:hint="cs"/>
          <w:sz w:val="27"/>
          <w:rtl/>
          <w:lang w:bidi="ar-OM"/>
        </w:rPr>
        <w:t>،</w:t>
      </w:r>
      <w:r w:rsidRPr="00904FCB">
        <w:rPr>
          <w:rFonts w:hint="cs"/>
          <w:sz w:val="27"/>
          <w:rtl/>
          <w:lang w:bidi="ar-OM"/>
        </w:rPr>
        <w:t xml:space="preserve"> وكذا رئاسة اللجان البرلمانية، بشرط توافر الكفاءة واللياقة والخبروية</w:t>
      </w:r>
      <w:r w:rsidRPr="00904FCB">
        <w:rPr>
          <w:rFonts w:hint="cs"/>
          <w:sz w:val="27"/>
          <w:vertAlign w:val="superscript"/>
          <w:rtl/>
        </w:rPr>
        <w:t>(</w:t>
      </w:r>
      <w:r w:rsidRPr="00904FCB">
        <w:rPr>
          <w:rStyle w:val="ac"/>
          <w:sz w:val="27"/>
          <w:rtl/>
        </w:rPr>
        <w:endnoteReference w:id="233"/>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 xml:space="preserve">واستظهر جواز </w:t>
      </w:r>
      <w:r w:rsidR="00BF71A9" w:rsidRPr="00904FCB">
        <w:rPr>
          <w:rFonts w:hint="cs"/>
          <w:sz w:val="27"/>
          <w:rtl/>
          <w:lang w:bidi="ar-OM"/>
        </w:rPr>
        <w:t>أ</w:t>
      </w:r>
      <w:r w:rsidRPr="00904FCB">
        <w:rPr>
          <w:rFonts w:hint="cs"/>
          <w:sz w:val="27"/>
          <w:rtl/>
          <w:lang w:bidi="ar-OM"/>
        </w:rPr>
        <w:t>ن تتول</w:t>
      </w:r>
      <w:r w:rsidR="00BF71A9" w:rsidRPr="00904FCB">
        <w:rPr>
          <w:rFonts w:hint="cs"/>
          <w:sz w:val="27"/>
          <w:rtl/>
          <w:lang w:bidi="ar-OM"/>
        </w:rPr>
        <w:t>ّ</w:t>
      </w:r>
      <w:r w:rsidRPr="00904FCB">
        <w:rPr>
          <w:rFonts w:hint="cs"/>
          <w:sz w:val="27"/>
          <w:rtl/>
          <w:lang w:bidi="ar-OM"/>
        </w:rPr>
        <w:t>ى المرأة منصب الإفتاء الفقهي ومرجعي</w:t>
      </w:r>
      <w:r w:rsidR="00BF71A9" w:rsidRPr="00904FCB">
        <w:rPr>
          <w:rFonts w:hint="cs"/>
          <w:sz w:val="27"/>
          <w:rtl/>
          <w:lang w:bidi="ar-OM"/>
        </w:rPr>
        <w:t>ّ</w:t>
      </w:r>
      <w:r w:rsidRPr="00904FCB">
        <w:rPr>
          <w:rFonts w:hint="cs"/>
          <w:sz w:val="27"/>
          <w:rtl/>
          <w:lang w:bidi="ar-OM"/>
        </w:rPr>
        <w:t>ة التقليد إذا توافرت فيها كاف</w:t>
      </w:r>
      <w:r w:rsidR="00BF71A9" w:rsidRPr="00904FCB">
        <w:rPr>
          <w:rFonts w:hint="cs"/>
          <w:sz w:val="27"/>
          <w:rtl/>
          <w:lang w:bidi="ar-OM"/>
        </w:rPr>
        <w:t>ّ</w:t>
      </w:r>
      <w:r w:rsidRPr="00904FCB">
        <w:rPr>
          <w:rFonts w:hint="cs"/>
          <w:sz w:val="27"/>
          <w:rtl/>
          <w:lang w:bidi="ar-OM"/>
        </w:rPr>
        <w:t>ة الشروط المطلوبة</w:t>
      </w:r>
      <w:r w:rsidRPr="00904FCB">
        <w:rPr>
          <w:rFonts w:hint="cs"/>
          <w:sz w:val="27"/>
          <w:vertAlign w:val="superscript"/>
          <w:rtl/>
        </w:rPr>
        <w:t>(</w:t>
      </w:r>
      <w:r w:rsidRPr="00904FCB">
        <w:rPr>
          <w:rStyle w:val="ac"/>
          <w:sz w:val="27"/>
          <w:rtl/>
        </w:rPr>
        <w:endnoteReference w:id="234"/>
      </w:r>
      <w:r w:rsidRPr="00904FCB">
        <w:rPr>
          <w:rFonts w:hint="cs"/>
          <w:sz w:val="27"/>
          <w:vertAlign w:val="superscript"/>
          <w:rtl/>
        </w:rPr>
        <w:t>)</w:t>
      </w:r>
      <w:r w:rsidRPr="00904FCB">
        <w:rPr>
          <w:rFonts w:hint="cs"/>
          <w:sz w:val="27"/>
          <w:rtl/>
          <w:lang w:bidi="ar-OM"/>
        </w:rPr>
        <w:t xml:space="preserve">. </w:t>
      </w:r>
    </w:p>
    <w:p w:rsidR="00644408" w:rsidRPr="00904FCB" w:rsidRDefault="00644408" w:rsidP="007A21AA">
      <w:pPr>
        <w:spacing w:line="400" w:lineRule="exact"/>
        <w:rPr>
          <w:sz w:val="27"/>
          <w:rtl/>
          <w:lang w:bidi="ar-OM"/>
        </w:rPr>
      </w:pPr>
      <w:r w:rsidRPr="00904FCB">
        <w:rPr>
          <w:rFonts w:hint="cs"/>
          <w:sz w:val="27"/>
          <w:rtl/>
          <w:lang w:bidi="ar-OM"/>
        </w:rPr>
        <w:t xml:space="preserve">غير </w:t>
      </w:r>
      <w:r w:rsidR="00BF71A9" w:rsidRPr="00904FCB">
        <w:rPr>
          <w:rFonts w:hint="cs"/>
          <w:sz w:val="27"/>
          <w:rtl/>
          <w:lang w:bidi="ar-OM"/>
        </w:rPr>
        <w:t>أ</w:t>
      </w:r>
      <w:r w:rsidRPr="00904FCB">
        <w:rPr>
          <w:rFonts w:hint="cs"/>
          <w:sz w:val="27"/>
          <w:rtl/>
          <w:lang w:bidi="ar-OM"/>
        </w:rPr>
        <w:t>نه في رسالته الفقهية العملية ينص</w:t>
      </w:r>
      <w:r w:rsidR="00BF71A9" w:rsidRPr="00904FCB">
        <w:rPr>
          <w:rFonts w:hint="cs"/>
          <w:sz w:val="27"/>
          <w:rtl/>
          <w:lang w:bidi="ar-OM"/>
        </w:rPr>
        <w:t>ّ</w:t>
      </w:r>
      <w:r w:rsidRPr="00904FCB">
        <w:rPr>
          <w:rFonts w:hint="cs"/>
          <w:sz w:val="27"/>
          <w:rtl/>
          <w:lang w:bidi="ar-OM"/>
        </w:rPr>
        <w:t xml:space="preserve"> على اشتراط الذكورة</w:t>
      </w:r>
      <w:r w:rsidR="00BF71A9" w:rsidRPr="00904FCB">
        <w:rPr>
          <w:rFonts w:hint="cs"/>
          <w:sz w:val="27"/>
          <w:rtl/>
          <w:lang w:bidi="ar-OM"/>
        </w:rPr>
        <w:t>،</w:t>
      </w:r>
      <w:r w:rsidRPr="00904FCB">
        <w:rPr>
          <w:rFonts w:hint="cs"/>
          <w:sz w:val="27"/>
          <w:rtl/>
          <w:lang w:bidi="ar-OM"/>
        </w:rPr>
        <w:t xml:space="preserve"> سواء في مرجع التقليد</w:t>
      </w:r>
      <w:r w:rsidRPr="00904FCB">
        <w:rPr>
          <w:rFonts w:hint="cs"/>
          <w:sz w:val="27"/>
          <w:vertAlign w:val="superscript"/>
          <w:rtl/>
        </w:rPr>
        <w:t>(</w:t>
      </w:r>
      <w:r w:rsidRPr="00904FCB">
        <w:rPr>
          <w:rStyle w:val="ac"/>
          <w:sz w:val="27"/>
          <w:rtl/>
        </w:rPr>
        <w:endnoteReference w:id="235"/>
      </w:r>
      <w:r w:rsidRPr="00904FCB">
        <w:rPr>
          <w:rFonts w:hint="cs"/>
          <w:sz w:val="27"/>
          <w:vertAlign w:val="superscript"/>
          <w:rtl/>
        </w:rPr>
        <w:t>)</w:t>
      </w:r>
      <w:r w:rsidRPr="00904FCB">
        <w:rPr>
          <w:rFonts w:hint="cs"/>
          <w:sz w:val="27"/>
          <w:rtl/>
          <w:lang w:bidi="ar-OM"/>
        </w:rPr>
        <w:t xml:space="preserve"> أو في القضاء</w:t>
      </w:r>
      <w:r w:rsidRPr="00904FCB">
        <w:rPr>
          <w:rFonts w:hint="cs"/>
          <w:sz w:val="27"/>
          <w:vertAlign w:val="superscript"/>
          <w:rtl/>
        </w:rPr>
        <w:t>(</w:t>
      </w:r>
      <w:r w:rsidRPr="00904FCB">
        <w:rPr>
          <w:rStyle w:val="ac"/>
          <w:sz w:val="27"/>
          <w:rtl/>
        </w:rPr>
        <w:endnoteReference w:id="236"/>
      </w:r>
      <w:r w:rsidRPr="00904FCB">
        <w:rPr>
          <w:rFonts w:hint="cs"/>
          <w:sz w:val="27"/>
          <w:vertAlign w:val="superscript"/>
          <w:rtl/>
        </w:rPr>
        <w:t>)</w:t>
      </w:r>
      <w:r w:rsidRPr="00904FCB">
        <w:rPr>
          <w:rFonts w:hint="cs"/>
          <w:sz w:val="27"/>
          <w:rtl/>
          <w:lang w:bidi="ar-OM"/>
        </w:rPr>
        <w:t>. وقد ظهر مثله لدى عدد</w:t>
      </w:r>
      <w:r w:rsidR="00BF71A9" w:rsidRPr="00904FCB">
        <w:rPr>
          <w:rFonts w:hint="cs"/>
          <w:sz w:val="27"/>
          <w:rtl/>
          <w:lang w:bidi="ar-OM"/>
        </w:rPr>
        <w:t>ٍ</w:t>
      </w:r>
      <w:r w:rsidRPr="00904FCB">
        <w:rPr>
          <w:rFonts w:hint="cs"/>
          <w:sz w:val="27"/>
          <w:rtl/>
          <w:lang w:bidi="ar-OM"/>
        </w:rPr>
        <w:t xml:space="preserve"> من العلماء</w:t>
      </w:r>
      <w:r w:rsidR="00BF71A9" w:rsidRPr="00904FCB">
        <w:rPr>
          <w:rFonts w:hint="cs"/>
          <w:sz w:val="27"/>
          <w:rtl/>
          <w:lang w:bidi="ar-OM"/>
        </w:rPr>
        <w:t>،</w:t>
      </w:r>
      <w:r w:rsidRPr="00904FCB">
        <w:rPr>
          <w:rFonts w:hint="cs"/>
          <w:sz w:val="27"/>
          <w:rtl/>
          <w:lang w:bidi="ar-OM"/>
        </w:rPr>
        <w:t xml:space="preserve"> حيث ينتهون </w:t>
      </w:r>
      <w:r w:rsidR="00BF71A9" w:rsidRPr="00904FCB">
        <w:rPr>
          <w:rFonts w:hint="cs"/>
          <w:sz w:val="27"/>
          <w:rtl/>
          <w:lang w:bidi="ar-OM"/>
        </w:rPr>
        <w:t>إ</w:t>
      </w:r>
      <w:r w:rsidRPr="00904FCB">
        <w:rPr>
          <w:rFonts w:hint="cs"/>
          <w:sz w:val="27"/>
          <w:rtl/>
          <w:lang w:bidi="ar-OM"/>
        </w:rPr>
        <w:t>لى قناعة</w:t>
      </w:r>
      <w:r w:rsidR="00BF71A9" w:rsidRPr="00904FCB">
        <w:rPr>
          <w:rFonts w:hint="cs"/>
          <w:sz w:val="27"/>
          <w:rtl/>
          <w:lang w:bidi="ar-OM"/>
        </w:rPr>
        <w:t>ٍ</w:t>
      </w:r>
      <w:r w:rsidRPr="00904FCB">
        <w:rPr>
          <w:rFonts w:hint="cs"/>
          <w:sz w:val="27"/>
          <w:rtl/>
          <w:lang w:bidi="ar-OM"/>
        </w:rPr>
        <w:t xml:space="preserve"> نظري</w:t>
      </w:r>
      <w:r w:rsidR="00BF71A9" w:rsidRPr="00904FCB">
        <w:rPr>
          <w:rFonts w:hint="cs"/>
          <w:sz w:val="27"/>
          <w:rtl/>
          <w:lang w:bidi="ar-OM"/>
        </w:rPr>
        <w:t>ّ</w:t>
      </w:r>
      <w:r w:rsidRPr="00904FCB">
        <w:rPr>
          <w:rFonts w:hint="cs"/>
          <w:sz w:val="27"/>
          <w:rtl/>
          <w:lang w:bidi="ar-OM"/>
        </w:rPr>
        <w:t>ة معينة</w:t>
      </w:r>
      <w:r w:rsidR="00BF71A9" w:rsidRPr="00904FCB">
        <w:rPr>
          <w:rFonts w:hint="cs"/>
          <w:sz w:val="27"/>
          <w:rtl/>
          <w:lang w:bidi="ar-OM"/>
        </w:rPr>
        <w:t>،</w:t>
      </w:r>
      <w:r w:rsidRPr="00904FCB">
        <w:rPr>
          <w:rFonts w:hint="cs"/>
          <w:sz w:val="27"/>
          <w:rtl/>
          <w:lang w:bidi="ar-OM"/>
        </w:rPr>
        <w:t xml:space="preserve"> غير </w:t>
      </w:r>
      <w:r w:rsidR="00BF71A9" w:rsidRPr="00904FCB">
        <w:rPr>
          <w:rFonts w:hint="cs"/>
          <w:sz w:val="27"/>
          <w:rtl/>
          <w:lang w:bidi="ar-OM"/>
        </w:rPr>
        <w:t>أ</w:t>
      </w:r>
      <w:r w:rsidRPr="00904FCB">
        <w:rPr>
          <w:rFonts w:hint="cs"/>
          <w:sz w:val="27"/>
          <w:rtl/>
          <w:lang w:bidi="ar-OM"/>
        </w:rPr>
        <w:t>نهم يترد</w:t>
      </w:r>
      <w:r w:rsidR="00BF71A9" w:rsidRPr="00904FCB">
        <w:rPr>
          <w:rFonts w:hint="cs"/>
          <w:sz w:val="27"/>
          <w:rtl/>
          <w:lang w:bidi="ar-OM"/>
        </w:rPr>
        <w:t>َّ</w:t>
      </w:r>
      <w:r w:rsidRPr="00904FCB">
        <w:rPr>
          <w:rFonts w:hint="cs"/>
          <w:sz w:val="27"/>
          <w:rtl/>
          <w:lang w:bidi="ar-OM"/>
        </w:rPr>
        <w:t>دون في ال</w:t>
      </w:r>
      <w:r w:rsidR="00BF71A9" w:rsidRPr="00904FCB">
        <w:rPr>
          <w:rFonts w:hint="cs"/>
          <w:sz w:val="27"/>
          <w:rtl/>
          <w:lang w:bidi="ar-OM"/>
        </w:rPr>
        <w:t>إ</w:t>
      </w:r>
      <w:r w:rsidRPr="00904FCB">
        <w:rPr>
          <w:rFonts w:hint="cs"/>
          <w:sz w:val="27"/>
          <w:rtl/>
          <w:lang w:bidi="ar-OM"/>
        </w:rPr>
        <w:t xml:space="preserve">فتاء بها. </w:t>
      </w:r>
    </w:p>
    <w:p w:rsidR="00644408" w:rsidRPr="00904FCB" w:rsidRDefault="00644408" w:rsidP="007A21AA">
      <w:pPr>
        <w:spacing w:line="400" w:lineRule="exact"/>
        <w:rPr>
          <w:b/>
          <w:bCs/>
          <w:sz w:val="27"/>
          <w:rtl/>
          <w:lang w:bidi="ar-OM"/>
        </w:rPr>
      </w:pPr>
    </w:p>
    <w:p w:rsidR="00644408" w:rsidRPr="00904FCB" w:rsidRDefault="00644408" w:rsidP="007A21AA">
      <w:pPr>
        <w:pStyle w:val="31"/>
        <w:spacing w:line="400" w:lineRule="exact"/>
        <w:rPr>
          <w:color w:val="auto"/>
          <w:rtl/>
          <w:lang w:bidi="ar-OM"/>
        </w:rPr>
      </w:pPr>
      <w:r w:rsidRPr="00904FCB">
        <w:rPr>
          <w:rFonts w:hint="cs"/>
          <w:color w:val="auto"/>
          <w:rtl/>
          <w:lang w:bidi="ar-OM"/>
        </w:rPr>
        <w:t xml:space="preserve">استخلاصٌ ورأي </w:t>
      </w:r>
    </w:p>
    <w:p w:rsidR="00644408" w:rsidRPr="00904FCB" w:rsidRDefault="00644408" w:rsidP="00C5715C">
      <w:pPr>
        <w:spacing w:line="400" w:lineRule="exact"/>
        <w:rPr>
          <w:sz w:val="27"/>
          <w:rtl/>
          <w:lang w:bidi="ar-OM"/>
        </w:rPr>
      </w:pPr>
      <w:r w:rsidRPr="00904FCB">
        <w:rPr>
          <w:rFonts w:hint="cs"/>
          <w:sz w:val="27"/>
          <w:rtl/>
          <w:lang w:bidi="ar-OM"/>
        </w:rPr>
        <w:t>إن أو</w:t>
      </w:r>
      <w:r w:rsidR="00BF71A9" w:rsidRPr="00904FCB">
        <w:rPr>
          <w:rFonts w:hint="cs"/>
          <w:sz w:val="27"/>
          <w:rtl/>
          <w:lang w:bidi="ar-OM"/>
        </w:rPr>
        <w:t>ّ</w:t>
      </w:r>
      <w:r w:rsidRPr="00904FCB">
        <w:rPr>
          <w:rFonts w:hint="cs"/>
          <w:sz w:val="27"/>
          <w:rtl/>
          <w:lang w:bidi="ar-OM"/>
        </w:rPr>
        <w:t>ل ما يسترعي النظر من دراسة الاتجاهات الفقهية حول أهلي</w:t>
      </w:r>
      <w:r w:rsidR="00BF71A9" w:rsidRPr="00904FCB">
        <w:rPr>
          <w:rFonts w:hint="cs"/>
          <w:sz w:val="27"/>
          <w:rtl/>
          <w:lang w:bidi="ar-OM"/>
        </w:rPr>
        <w:t>ّ</w:t>
      </w:r>
      <w:r w:rsidRPr="00904FCB">
        <w:rPr>
          <w:rFonts w:hint="cs"/>
          <w:sz w:val="27"/>
          <w:rtl/>
          <w:lang w:bidi="ar-OM"/>
        </w:rPr>
        <w:t>ة المرأة لتول</w:t>
      </w:r>
      <w:r w:rsidR="00BF71A9" w:rsidRPr="00904FCB">
        <w:rPr>
          <w:rFonts w:hint="cs"/>
          <w:sz w:val="27"/>
          <w:rtl/>
          <w:lang w:bidi="ar-OM"/>
        </w:rPr>
        <w:t>ّ</w:t>
      </w:r>
      <w:r w:rsidRPr="00904FCB">
        <w:rPr>
          <w:rFonts w:hint="cs"/>
          <w:sz w:val="27"/>
          <w:rtl/>
          <w:lang w:bidi="ar-OM"/>
        </w:rPr>
        <w:t>ي المناصب القيادية والسيادية هو غياب أي</w:t>
      </w:r>
      <w:r w:rsidR="00BF71A9" w:rsidRPr="00904FCB">
        <w:rPr>
          <w:rFonts w:hint="cs"/>
          <w:sz w:val="27"/>
          <w:rtl/>
          <w:lang w:bidi="ar-OM"/>
        </w:rPr>
        <w:t>ّ</w:t>
      </w:r>
      <w:r w:rsidRPr="00904FCB">
        <w:rPr>
          <w:rFonts w:hint="cs"/>
          <w:sz w:val="27"/>
          <w:rtl/>
          <w:lang w:bidi="ar-OM"/>
        </w:rPr>
        <w:t xml:space="preserve"> رأي فقهي للمرأة الفقيهة العالمة المحد</w:t>
      </w:r>
      <w:r w:rsidR="00BF71A9" w:rsidRPr="00904FCB">
        <w:rPr>
          <w:rFonts w:hint="cs"/>
          <w:sz w:val="27"/>
          <w:rtl/>
          <w:lang w:bidi="ar-OM"/>
        </w:rPr>
        <w:t>ّ</w:t>
      </w:r>
      <w:r w:rsidRPr="00904FCB">
        <w:rPr>
          <w:rFonts w:hint="cs"/>
          <w:sz w:val="27"/>
          <w:rtl/>
          <w:lang w:bidi="ar-OM"/>
        </w:rPr>
        <w:t>ثة في هذه القضية المهم</w:t>
      </w:r>
      <w:r w:rsidR="00BF71A9" w:rsidRPr="00904FCB">
        <w:rPr>
          <w:rFonts w:hint="cs"/>
          <w:sz w:val="27"/>
          <w:rtl/>
          <w:lang w:bidi="ar-OM"/>
        </w:rPr>
        <w:t>ّ</w:t>
      </w:r>
      <w:r w:rsidRPr="00904FCB">
        <w:rPr>
          <w:rFonts w:hint="cs"/>
          <w:sz w:val="27"/>
          <w:rtl/>
          <w:lang w:bidi="ar-OM"/>
        </w:rPr>
        <w:t>ة. ولعل</w:t>
      </w:r>
      <w:r w:rsidR="00BF71A9" w:rsidRPr="00904FCB">
        <w:rPr>
          <w:rFonts w:hint="cs"/>
          <w:sz w:val="27"/>
          <w:rtl/>
          <w:lang w:bidi="ar-OM"/>
        </w:rPr>
        <w:t>ّ</w:t>
      </w:r>
      <w:r w:rsidRPr="00904FCB">
        <w:rPr>
          <w:rFonts w:hint="cs"/>
          <w:sz w:val="27"/>
          <w:rtl/>
          <w:lang w:bidi="ar-OM"/>
        </w:rPr>
        <w:t>ه ناتج عن السياج الثقافي والاجتماعي والج</w:t>
      </w:r>
      <w:r w:rsidR="00BF71A9" w:rsidRPr="00904FCB">
        <w:rPr>
          <w:rFonts w:hint="cs"/>
          <w:sz w:val="27"/>
          <w:rtl/>
          <w:lang w:bidi="ar-OM"/>
        </w:rPr>
        <w:t>َ</w:t>
      </w:r>
      <w:r w:rsidRPr="00904FCB">
        <w:rPr>
          <w:rFonts w:hint="cs"/>
          <w:sz w:val="27"/>
          <w:rtl/>
          <w:lang w:bidi="ar-OM"/>
        </w:rPr>
        <w:t>د</w:t>
      </w:r>
      <w:r w:rsidR="00BF71A9" w:rsidRPr="00904FCB">
        <w:rPr>
          <w:rFonts w:hint="cs"/>
          <w:sz w:val="27"/>
          <w:rtl/>
          <w:lang w:bidi="ar-OM"/>
        </w:rPr>
        <w:t>َ</w:t>
      </w:r>
      <w:r w:rsidRPr="00904FCB">
        <w:rPr>
          <w:rFonts w:hint="cs"/>
          <w:sz w:val="27"/>
          <w:rtl/>
          <w:lang w:bidi="ar-OM"/>
        </w:rPr>
        <w:t xml:space="preserve">ل التاريخي حول </w:t>
      </w:r>
      <w:r w:rsidRPr="00904FCB">
        <w:rPr>
          <w:rFonts w:hint="cs"/>
          <w:sz w:val="27"/>
          <w:rtl/>
          <w:lang w:bidi="ar-OM"/>
        </w:rPr>
        <w:lastRenderedPageBreak/>
        <w:t>أهلي</w:t>
      </w:r>
      <w:r w:rsidR="00BF71A9" w:rsidRPr="00904FCB">
        <w:rPr>
          <w:rFonts w:hint="cs"/>
          <w:sz w:val="27"/>
          <w:rtl/>
          <w:lang w:bidi="ar-OM"/>
        </w:rPr>
        <w:t>ّ</w:t>
      </w:r>
      <w:r w:rsidRPr="00904FCB">
        <w:rPr>
          <w:rFonts w:hint="cs"/>
          <w:sz w:val="27"/>
          <w:rtl/>
          <w:lang w:bidi="ar-OM"/>
        </w:rPr>
        <w:t>تها لمزاولة تلكم الوظائف</w:t>
      </w:r>
      <w:r w:rsidR="00BF71A9" w:rsidRPr="00904FCB">
        <w:rPr>
          <w:rFonts w:hint="cs"/>
          <w:sz w:val="27"/>
          <w:rtl/>
          <w:lang w:bidi="ar-OM"/>
        </w:rPr>
        <w:t>،</w:t>
      </w:r>
      <w:r w:rsidRPr="00904FCB">
        <w:rPr>
          <w:rFonts w:hint="cs"/>
          <w:sz w:val="27"/>
          <w:rtl/>
          <w:lang w:bidi="ar-OM"/>
        </w:rPr>
        <w:t xml:space="preserve"> مما نتج عنه غياب العالمة المتخص</w:t>
      </w:r>
      <w:r w:rsidR="00BF71A9" w:rsidRPr="00904FCB">
        <w:rPr>
          <w:rFonts w:hint="cs"/>
          <w:sz w:val="27"/>
          <w:rtl/>
          <w:lang w:bidi="ar-OM"/>
        </w:rPr>
        <w:t>ِّ</w:t>
      </w:r>
      <w:r w:rsidRPr="00904FCB">
        <w:rPr>
          <w:rFonts w:hint="cs"/>
          <w:sz w:val="27"/>
          <w:rtl/>
          <w:lang w:bidi="ar-OM"/>
        </w:rPr>
        <w:t>صة في الحقل الفقهي</w:t>
      </w:r>
      <w:r w:rsidR="00BF71A9" w:rsidRPr="00904FCB">
        <w:rPr>
          <w:rFonts w:hint="cs"/>
          <w:sz w:val="27"/>
          <w:rtl/>
          <w:lang w:bidi="ar-OM"/>
        </w:rPr>
        <w:t>،</w:t>
      </w:r>
      <w:r w:rsidRPr="00904FCB">
        <w:rPr>
          <w:rFonts w:hint="cs"/>
          <w:sz w:val="27"/>
          <w:rtl/>
          <w:lang w:bidi="ar-OM"/>
        </w:rPr>
        <w:t xml:space="preserve"> فضلا</w:t>
      </w:r>
      <w:r w:rsidR="00BF71A9" w:rsidRPr="00904FCB">
        <w:rPr>
          <w:rFonts w:hint="cs"/>
          <w:sz w:val="27"/>
          <w:rtl/>
          <w:lang w:bidi="ar-OM"/>
        </w:rPr>
        <w:t>ً</w:t>
      </w:r>
      <w:r w:rsidRPr="00904FCB">
        <w:rPr>
          <w:rFonts w:hint="cs"/>
          <w:sz w:val="27"/>
          <w:rtl/>
          <w:lang w:bidi="ar-OM"/>
        </w:rPr>
        <w:t xml:space="preserve"> عن تشك</w:t>
      </w:r>
      <w:r w:rsidR="00BF71A9" w:rsidRPr="00904FCB">
        <w:rPr>
          <w:rFonts w:hint="cs"/>
          <w:sz w:val="27"/>
          <w:rtl/>
          <w:lang w:bidi="ar-OM"/>
        </w:rPr>
        <w:t>ُّ</w:t>
      </w:r>
      <w:r w:rsidRPr="00904FCB">
        <w:rPr>
          <w:rFonts w:hint="cs"/>
          <w:sz w:val="27"/>
          <w:rtl/>
          <w:lang w:bidi="ar-OM"/>
        </w:rPr>
        <w:t>ل فريق من المتخص</w:t>
      </w:r>
      <w:r w:rsidR="00BF71A9" w:rsidRPr="00904FCB">
        <w:rPr>
          <w:rFonts w:hint="cs"/>
          <w:sz w:val="27"/>
          <w:rtl/>
          <w:lang w:bidi="ar-OM"/>
        </w:rPr>
        <w:t>ِّ</w:t>
      </w:r>
      <w:r w:rsidRPr="00904FCB">
        <w:rPr>
          <w:rFonts w:hint="cs"/>
          <w:sz w:val="27"/>
          <w:rtl/>
          <w:lang w:bidi="ar-OM"/>
        </w:rPr>
        <w:t>صات المتضل</w:t>
      </w:r>
      <w:r w:rsidR="00BF71A9" w:rsidRPr="00904FCB">
        <w:rPr>
          <w:rFonts w:hint="cs"/>
          <w:sz w:val="27"/>
          <w:rtl/>
          <w:lang w:bidi="ar-OM"/>
        </w:rPr>
        <w:t>ِّ</w:t>
      </w:r>
      <w:r w:rsidRPr="00904FCB">
        <w:rPr>
          <w:rFonts w:hint="cs"/>
          <w:sz w:val="27"/>
          <w:rtl/>
          <w:lang w:bidi="ar-OM"/>
        </w:rPr>
        <w:t>عات في مختلف العلوم الشرعية. وقد حان الوقت لأن تخترق المرأة المسلمة هذا السياج</w:t>
      </w:r>
      <w:r w:rsidR="00BF71A9" w:rsidRPr="00904FCB">
        <w:rPr>
          <w:rFonts w:hint="cs"/>
          <w:sz w:val="27"/>
          <w:rtl/>
          <w:lang w:bidi="ar-OM"/>
        </w:rPr>
        <w:t>،</w:t>
      </w:r>
      <w:r w:rsidRPr="00904FCB">
        <w:rPr>
          <w:rFonts w:hint="cs"/>
          <w:sz w:val="27"/>
          <w:rtl/>
          <w:lang w:bidi="ar-OM"/>
        </w:rPr>
        <w:t xml:space="preserve"> فتدخل هذا المجال العلمي</w:t>
      </w:r>
      <w:r w:rsidR="00BF71A9" w:rsidRPr="00904FCB">
        <w:rPr>
          <w:rFonts w:hint="cs"/>
          <w:sz w:val="27"/>
          <w:rtl/>
          <w:lang w:bidi="ar-OM"/>
        </w:rPr>
        <w:t>،</w:t>
      </w:r>
      <w:r w:rsidRPr="00904FCB">
        <w:rPr>
          <w:rFonts w:hint="cs"/>
          <w:sz w:val="27"/>
          <w:rtl/>
          <w:lang w:bidi="ar-OM"/>
        </w:rPr>
        <w:t xml:space="preserve"> وتتخص</w:t>
      </w:r>
      <w:r w:rsidR="00BF71A9" w:rsidRPr="00904FCB">
        <w:rPr>
          <w:rFonts w:hint="cs"/>
          <w:sz w:val="27"/>
          <w:rtl/>
          <w:lang w:bidi="ar-OM"/>
        </w:rPr>
        <w:t>َّ</w:t>
      </w:r>
      <w:r w:rsidRPr="00904FCB">
        <w:rPr>
          <w:rFonts w:hint="cs"/>
          <w:sz w:val="27"/>
          <w:rtl/>
          <w:lang w:bidi="ar-OM"/>
        </w:rPr>
        <w:t>ص فيه</w:t>
      </w:r>
      <w:r w:rsidR="00BF71A9" w:rsidRPr="00904FCB">
        <w:rPr>
          <w:rFonts w:hint="cs"/>
          <w:sz w:val="27"/>
          <w:rtl/>
          <w:lang w:bidi="ar-OM"/>
        </w:rPr>
        <w:t>،</w:t>
      </w:r>
      <w:r w:rsidRPr="00904FCB">
        <w:rPr>
          <w:rFonts w:hint="cs"/>
          <w:sz w:val="27"/>
          <w:rtl/>
          <w:lang w:bidi="ar-OM"/>
        </w:rPr>
        <w:t xml:space="preserve"> وتنهي مرحلة </w:t>
      </w:r>
      <w:r w:rsidRPr="00904FCB">
        <w:rPr>
          <w:rFonts w:hint="eastAsia"/>
          <w:sz w:val="27"/>
          <w:rtl/>
          <w:lang w:bidi="ar-OM"/>
        </w:rPr>
        <w:t>«</w:t>
      </w:r>
      <w:r w:rsidRPr="00904FCB">
        <w:rPr>
          <w:rFonts w:hint="cs"/>
          <w:sz w:val="27"/>
          <w:rtl/>
          <w:lang w:bidi="ar-OM"/>
        </w:rPr>
        <w:t>احتكاره</w:t>
      </w:r>
      <w:r w:rsidRPr="00904FCB">
        <w:rPr>
          <w:rFonts w:hint="eastAsia"/>
          <w:sz w:val="27"/>
          <w:rtl/>
        </w:rPr>
        <w:t>»</w:t>
      </w:r>
      <w:r w:rsidRPr="00904FCB">
        <w:rPr>
          <w:rFonts w:hint="cs"/>
          <w:sz w:val="27"/>
          <w:rtl/>
          <w:lang w:bidi="ar-OM"/>
        </w:rPr>
        <w:t xml:space="preserve"> من قبل الرجل</w:t>
      </w:r>
      <w:r w:rsidR="00BF71A9" w:rsidRPr="00904FCB">
        <w:rPr>
          <w:rFonts w:hint="cs"/>
          <w:sz w:val="27"/>
          <w:rtl/>
          <w:lang w:bidi="ar-OM"/>
        </w:rPr>
        <w:t>،</w:t>
      </w:r>
      <w:r w:rsidRPr="00904FCB">
        <w:rPr>
          <w:rFonts w:hint="cs"/>
          <w:sz w:val="27"/>
          <w:rtl/>
          <w:lang w:bidi="ar-OM"/>
        </w:rPr>
        <w:t xml:space="preserve"> وبصرف النظر </w:t>
      </w:r>
      <w:r w:rsidR="00C5715C">
        <w:rPr>
          <w:rFonts w:hint="cs"/>
          <w:sz w:val="27"/>
          <w:rtl/>
          <w:lang w:bidi="ar-OM"/>
        </w:rPr>
        <w:t>ع</w:t>
      </w:r>
      <w:r w:rsidR="00BF71A9" w:rsidRPr="00904FCB">
        <w:rPr>
          <w:rFonts w:hint="cs"/>
          <w:sz w:val="27"/>
          <w:rtl/>
          <w:lang w:bidi="ar-OM"/>
        </w:rPr>
        <w:t>مّا إذا</w:t>
      </w:r>
      <w:r w:rsidRPr="00904FCB">
        <w:rPr>
          <w:rFonts w:hint="cs"/>
          <w:sz w:val="27"/>
          <w:rtl/>
          <w:lang w:bidi="ar-OM"/>
        </w:rPr>
        <w:t xml:space="preserve"> كان لذلك انعكاس</w:t>
      </w:r>
      <w:r w:rsidR="00BF71A9" w:rsidRPr="00904FCB">
        <w:rPr>
          <w:rFonts w:hint="cs"/>
          <w:sz w:val="27"/>
          <w:rtl/>
          <w:lang w:bidi="ar-OM"/>
        </w:rPr>
        <w:t>ٌ</w:t>
      </w:r>
      <w:r w:rsidRPr="00904FCB">
        <w:rPr>
          <w:rFonts w:hint="cs"/>
          <w:sz w:val="27"/>
          <w:rtl/>
          <w:lang w:bidi="ar-OM"/>
        </w:rPr>
        <w:t xml:space="preserve"> </w:t>
      </w:r>
      <w:r w:rsidR="00BF71A9" w:rsidRPr="00904FCB">
        <w:rPr>
          <w:rFonts w:hint="cs"/>
          <w:sz w:val="27"/>
          <w:rtl/>
          <w:lang w:bidi="ar-OM"/>
        </w:rPr>
        <w:t>إ</w:t>
      </w:r>
      <w:r w:rsidRPr="00904FCB">
        <w:rPr>
          <w:rFonts w:hint="cs"/>
          <w:sz w:val="27"/>
          <w:rtl/>
          <w:lang w:bidi="ar-OM"/>
        </w:rPr>
        <w:t xml:space="preserve">يجابي </w:t>
      </w:r>
      <w:r w:rsidR="00BF71A9" w:rsidRPr="00904FCB">
        <w:rPr>
          <w:rFonts w:hint="cs"/>
          <w:sz w:val="27"/>
          <w:rtl/>
          <w:lang w:bidi="ar-OM"/>
        </w:rPr>
        <w:t>أو لا</w:t>
      </w:r>
      <w:r w:rsidRPr="00904FCB">
        <w:rPr>
          <w:rFonts w:hint="cs"/>
          <w:sz w:val="27"/>
          <w:rtl/>
          <w:lang w:bidi="ar-OM"/>
        </w:rPr>
        <w:t xml:space="preserve"> على مسار البحث في قضايا المرأة في الفقه الاسلامي. </w:t>
      </w:r>
    </w:p>
    <w:p w:rsidR="00644408" w:rsidRPr="00904FCB" w:rsidRDefault="00644408" w:rsidP="007A21AA">
      <w:pPr>
        <w:spacing w:line="400" w:lineRule="exact"/>
        <w:rPr>
          <w:sz w:val="27"/>
          <w:rtl/>
          <w:lang w:bidi="ar-OM"/>
        </w:rPr>
      </w:pPr>
      <w:r w:rsidRPr="00904FCB">
        <w:rPr>
          <w:rFonts w:hint="cs"/>
          <w:sz w:val="27"/>
          <w:rtl/>
          <w:lang w:bidi="ar-OM"/>
        </w:rPr>
        <w:t xml:space="preserve"> لقد تبين لنا من الدراسة السابقة بأن المتسالم تاريخيا</w:t>
      </w:r>
      <w:r w:rsidR="00BF71A9" w:rsidRPr="00904FCB">
        <w:rPr>
          <w:rFonts w:hint="cs"/>
          <w:sz w:val="27"/>
          <w:rtl/>
          <w:lang w:bidi="ar-OM"/>
        </w:rPr>
        <w:t>ً</w:t>
      </w:r>
      <w:r w:rsidRPr="00904FCB">
        <w:rPr>
          <w:rFonts w:hint="cs"/>
          <w:sz w:val="27"/>
          <w:rtl/>
          <w:lang w:bidi="ar-OM"/>
        </w:rPr>
        <w:t xml:space="preserve"> بين فقهاء المسلمين في هذا المجال هو عدم أهلي</w:t>
      </w:r>
      <w:r w:rsidR="00BF71A9" w:rsidRPr="00904FCB">
        <w:rPr>
          <w:rFonts w:hint="cs"/>
          <w:sz w:val="27"/>
          <w:rtl/>
          <w:lang w:bidi="ar-OM"/>
        </w:rPr>
        <w:t>ّ</w:t>
      </w:r>
      <w:r w:rsidRPr="00904FCB">
        <w:rPr>
          <w:rFonts w:hint="cs"/>
          <w:sz w:val="27"/>
          <w:rtl/>
          <w:lang w:bidi="ar-OM"/>
        </w:rPr>
        <w:t>ة المر</w:t>
      </w:r>
      <w:r w:rsidR="00BF71A9" w:rsidRPr="00904FCB">
        <w:rPr>
          <w:rFonts w:hint="cs"/>
          <w:sz w:val="27"/>
          <w:rtl/>
          <w:lang w:bidi="ar-OM"/>
        </w:rPr>
        <w:t>أ</w:t>
      </w:r>
      <w:r w:rsidRPr="00904FCB">
        <w:rPr>
          <w:rFonts w:hint="cs"/>
          <w:sz w:val="27"/>
          <w:rtl/>
          <w:lang w:bidi="ar-OM"/>
        </w:rPr>
        <w:t>ة لتول</w:t>
      </w:r>
      <w:r w:rsidR="00BF71A9" w:rsidRPr="00904FCB">
        <w:rPr>
          <w:rFonts w:hint="cs"/>
          <w:sz w:val="27"/>
          <w:rtl/>
          <w:lang w:bidi="ar-OM"/>
        </w:rPr>
        <w:t>ّ</w:t>
      </w:r>
      <w:r w:rsidRPr="00904FCB">
        <w:rPr>
          <w:rFonts w:hint="cs"/>
          <w:sz w:val="27"/>
          <w:rtl/>
          <w:lang w:bidi="ar-OM"/>
        </w:rPr>
        <w:t>ي مناصب السلطة العامة. وثم</w:t>
      </w:r>
      <w:r w:rsidR="00BF71A9" w:rsidRPr="00904FCB">
        <w:rPr>
          <w:rFonts w:hint="cs"/>
          <w:sz w:val="27"/>
          <w:rtl/>
          <w:lang w:bidi="ar-OM"/>
        </w:rPr>
        <w:t>ّ</w:t>
      </w:r>
      <w:r w:rsidRPr="00904FCB">
        <w:rPr>
          <w:rFonts w:hint="cs"/>
          <w:sz w:val="27"/>
          <w:rtl/>
          <w:lang w:bidi="ar-OM"/>
        </w:rPr>
        <w:t>ة ات</w:t>
      </w:r>
      <w:r w:rsidR="00BF71A9" w:rsidRPr="00904FCB">
        <w:rPr>
          <w:rFonts w:hint="cs"/>
          <w:sz w:val="27"/>
          <w:rtl/>
          <w:lang w:bidi="ar-OM"/>
        </w:rPr>
        <w:t>ّ</w:t>
      </w:r>
      <w:r w:rsidRPr="00904FCB">
        <w:rPr>
          <w:rFonts w:hint="cs"/>
          <w:sz w:val="27"/>
          <w:rtl/>
          <w:lang w:bidi="ar-OM"/>
        </w:rPr>
        <w:t>جاه فقهي قديم أجاز تول</w:t>
      </w:r>
      <w:r w:rsidR="00BF71A9" w:rsidRPr="00904FCB">
        <w:rPr>
          <w:rFonts w:hint="cs"/>
          <w:sz w:val="27"/>
          <w:rtl/>
          <w:lang w:bidi="ar-OM"/>
        </w:rPr>
        <w:t>ّ</w:t>
      </w:r>
      <w:r w:rsidRPr="00904FCB">
        <w:rPr>
          <w:rFonts w:hint="cs"/>
          <w:sz w:val="27"/>
          <w:rtl/>
          <w:lang w:bidi="ar-OM"/>
        </w:rPr>
        <w:t>ي المرأة القضاء في بعض المجالات</w:t>
      </w:r>
      <w:r w:rsidR="00BF71A9" w:rsidRPr="00904FCB">
        <w:rPr>
          <w:rFonts w:hint="cs"/>
          <w:sz w:val="27"/>
          <w:rtl/>
          <w:lang w:bidi="ar-OM"/>
        </w:rPr>
        <w:t>.</w:t>
      </w:r>
      <w:r w:rsidRPr="00904FCB">
        <w:rPr>
          <w:rFonts w:hint="cs"/>
          <w:sz w:val="27"/>
          <w:rtl/>
          <w:lang w:bidi="ar-OM"/>
        </w:rPr>
        <w:t xml:space="preserve"> وظهر وجود ميل</w:t>
      </w:r>
      <w:r w:rsidR="00BF71A9" w:rsidRPr="00904FCB">
        <w:rPr>
          <w:rFonts w:hint="cs"/>
          <w:sz w:val="27"/>
          <w:rtl/>
          <w:lang w:bidi="ar-OM"/>
        </w:rPr>
        <w:t>ٍ</w:t>
      </w:r>
      <w:r w:rsidRPr="00904FCB">
        <w:rPr>
          <w:rFonts w:hint="cs"/>
          <w:sz w:val="27"/>
          <w:rtl/>
          <w:lang w:bidi="ar-OM"/>
        </w:rPr>
        <w:t xml:space="preserve"> لدى بعضهم </w:t>
      </w:r>
      <w:r w:rsidR="00BF71A9" w:rsidRPr="00904FCB">
        <w:rPr>
          <w:rFonts w:hint="cs"/>
          <w:sz w:val="27"/>
          <w:rtl/>
          <w:lang w:bidi="ar-OM"/>
        </w:rPr>
        <w:t>إ</w:t>
      </w:r>
      <w:r w:rsidRPr="00904FCB">
        <w:rPr>
          <w:rFonts w:hint="cs"/>
          <w:sz w:val="27"/>
          <w:rtl/>
          <w:lang w:bidi="ar-OM"/>
        </w:rPr>
        <w:t xml:space="preserve">لى جواز </w:t>
      </w:r>
      <w:r w:rsidR="00BF71A9" w:rsidRPr="00904FCB">
        <w:rPr>
          <w:rFonts w:hint="cs"/>
          <w:sz w:val="27"/>
          <w:rtl/>
          <w:lang w:bidi="ar-OM"/>
        </w:rPr>
        <w:t>أ</w:t>
      </w:r>
      <w:r w:rsidRPr="00904FCB">
        <w:rPr>
          <w:rFonts w:hint="cs"/>
          <w:sz w:val="27"/>
          <w:rtl/>
          <w:lang w:bidi="ar-OM"/>
        </w:rPr>
        <w:t>ن تتقلد المرأة القضاء بين النساء في نطاق</w:t>
      </w:r>
      <w:r w:rsidR="00BF71A9" w:rsidRPr="00904FCB">
        <w:rPr>
          <w:rFonts w:hint="cs"/>
          <w:sz w:val="27"/>
          <w:rtl/>
          <w:lang w:bidi="ar-OM"/>
        </w:rPr>
        <w:t>ٍ</w:t>
      </w:r>
      <w:r w:rsidRPr="00904FCB">
        <w:rPr>
          <w:rFonts w:hint="cs"/>
          <w:sz w:val="27"/>
          <w:rtl/>
          <w:lang w:bidi="ar-OM"/>
        </w:rPr>
        <w:t xml:space="preserve"> ضي</w:t>
      </w:r>
      <w:r w:rsidR="00BF71A9" w:rsidRPr="00904FCB">
        <w:rPr>
          <w:rFonts w:hint="cs"/>
          <w:sz w:val="27"/>
          <w:rtl/>
          <w:lang w:bidi="ar-OM"/>
        </w:rPr>
        <w:t>ِّ</w:t>
      </w:r>
      <w:r w:rsidRPr="00904FCB">
        <w:rPr>
          <w:rFonts w:hint="cs"/>
          <w:sz w:val="27"/>
          <w:rtl/>
          <w:lang w:bidi="ar-OM"/>
        </w:rPr>
        <w:t>ق في بعض قضايا الأحوال الشخصية. بل وجدنا في تاريخ المسلمين عددا</w:t>
      </w:r>
      <w:r w:rsidR="00BF71A9" w:rsidRPr="00904FCB">
        <w:rPr>
          <w:rFonts w:hint="cs"/>
          <w:sz w:val="27"/>
          <w:rtl/>
          <w:lang w:bidi="ar-OM"/>
        </w:rPr>
        <w:t>ً</w:t>
      </w:r>
      <w:r w:rsidRPr="00904FCB">
        <w:rPr>
          <w:rFonts w:hint="cs"/>
          <w:sz w:val="27"/>
          <w:rtl/>
          <w:lang w:bidi="ar-OM"/>
        </w:rPr>
        <w:t xml:space="preserve"> من الفقهاء أجازوا لها أن تتقل</w:t>
      </w:r>
      <w:r w:rsidR="00BF71A9" w:rsidRPr="00904FCB">
        <w:rPr>
          <w:rFonts w:hint="cs"/>
          <w:sz w:val="27"/>
          <w:rtl/>
          <w:lang w:bidi="ar-OM"/>
        </w:rPr>
        <w:t>ّ</w:t>
      </w:r>
      <w:r w:rsidRPr="00904FCB">
        <w:rPr>
          <w:rFonts w:hint="cs"/>
          <w:sz w:val="27"/>
          <w:rtl/>
          <w:lang w:bidi="ar-OM"/>
        </w:rPr>
        <w:t>د القضاء مطلقا</w:t>
      </w:r>
      <w:r w:rsidR="00BF71A9" w:rsidRPr="00904FCB">
        <w:rPr>
          <w:rFonts w:hint="cs"/>
          <w:sz w:val="27"/>
          <w:rtl/>
          <w:lang w:bidi="ar-OM"/>
        </w:rPr>
        <w:t>ً</w:t>
      </w:r>
      <w:r w:rsidRPr="00904FCB">
        <w:rPr>
          <w:rFonts w:hint="cs"/>
          <w:sz w:val="27"/>
          <w:rtl/>
          <w:lang w:bidi="ar-OM"/>
        </w:rPr>
        <w:t xml:space="preserve"> في كل</w:t>
      </w:r>
      <w:r w:rsidR="00BF71A9" w:rsidRPr="00904FCB">
        <w:rPr>
          <w:rFonts w:hint="cs"/>
          <w:sz w:val="27"/>
          <w:rtl/>
          <w:lang w:bidi="ar-OM"/>
        </w:rPr>
        <w:t>ّ</w:t>
      </w:r>
      <w:r w:rsidRPr="00904FCB">
        <w:rPr>
          <w:rFonts w:hint="cs"/>
          <w:sz w:val="27"/>
          <w:rtl/>
          <w:lang w:bidi="ar-OM"/>
        </w:rPr>
        <w:t xml:space="preserve"> المجالات. وهذا الاتجاه التاريخي كان محدودا</w:t>
      </w:r>
      <w:r w:rsidR="00BF71A9" w:rsidRPr="00904FCB">
        <w:rPr>
          <w:rFonts w:hint="cs"/>
          <w:sz w:val="27"/>
          <w:rtl/>
          <w:lang w:bidi="ar-OM"/>
        </w:rPr>
        <w:t>ً</w:t>
      </w:r>
      <w:r w:rsidRPr="00904FCB">
        <w:rPr>
          <w:rFonts w:hint="cs"/>
          <w:sz w:val="27"/>
          <w:rtl/>
          <w:lang w:bidi="ar-OM"/>
        </w:rPr>
        <w:t xml:space="preserve"> ومخالفا</w:t>
      </w:r>
      <w:r w:rsidR="00BF71A9" w:rsidRPr="00904FCB">
        <w:rPr>
          <w:rFonts w:hint="cs"/>
          <w:sz w:val="27"/>
          <w:rtl/>
          <w:lang w:bidi="ar-OM"/>
        </w:rPr>
        <w:t>ً</w:t>
      </w:r>
      <w:r w:rsidRPr="00904FCB">
        <w:rPr>
          <w:rFonts w:hint="cs"/>
          <w:sz w:val="27"/>
          <w:rtl/>
          <w:lang w:bidi="ar-OM"/>
        </w:rPr>
        <w:t xml:space="preserve"> للرأي الرسمي السائد</w:t>
      </w:r>
      <w:r w:rsidR="00BF71A9" w:rsidRPr="00904FCB">
        <w:rPr>
          <w:rFonts w:hint="cs"/>
          <w:sz w:val="27"/>
          <w:rtl/>
          <w:lang w:bidi="ar-OM"/>
        </w:rPr>
        <w:t>،</w:t>
      </w:r>
      <w:r w:rsidRPr="00904FCB">
        <w:rPr>
          <w:rFonts w:hint="cs"/>
          <w:sz w:val="27"/>
          <w:rtl/>
          <w:lang w:bidi="ar-OM"/>
        </w:rPr>
        <w:t xml:space="preserve"> بحيث عب</w:t>
      </w:r>
      <w:r w:rsidR="00BF71A9" w:rsidRPr="00904FCB">
        <w:rPr>
          <w:rFonts w:hint="cs"/>
          <w:sz w:val="27"/>
          <w:rtl/>
          <w:lang w:bidi="ar-OM"/>
        </w:rPr>
        <w:t>ّ</w:t>
      </w:r>
      <w:r w:rsidRPr="00904FCB">
        <w:rPr>
          <w:rFonts w:hint="cs"/>
          <w:sz w:val="27"/>
          <w:rtl/>
          <w:lang w:bidi="ar-OM"/>
        </w:rPr>
        <w:t xml:space="preserve">ر عنه </w:t>
      </w:r>
      <w:r w:rsidR="00BF71A9" w:rsidRPr="00904FCB">
        <w:rPr>
          <w:rFonts w:hint="cs"/>
          <w:sz w:val="27"/>
          <w:rtl/>
          <w:lang w:bidi="ar-OM"/>
        </w:rPr>
        <w:t>ال</w:t>
      </w:r>
      <w:r w:rsidRPr="00904FCB">
        <w:rPr>
          <w:rFonts w:hint="cs"/>
          <w:sz w:val="27"/>
          <w:rtl/>
          <w:lang w:bidi="ar-OM"/>
        </w:rPr>
        <w:t>بعض بأنه رأي</w:t>
      </w:r>
      <w:r w:rsidR="00BF71A9" w:rsidRPr="00904FCB">
        <w:rPr>
          <w:rFonts w:hint="cs"/>
          <w:sz w:val="27"/>
          <w:rtl/>
          <w:lang w:bidi="ar-OM"/>
        </w:rPr>
        <w:t>ٌ</w:t>
      </w:r>
      <w:r w:rsidRPr="00904FCB">
        <w:rPr>
          <w:rFonts w:hint="cs"/>
          <w:sz w:val="27"/>
          <w:rtl/>
          <w:lang w:bidi="ar-OM"/>
        </w:rPr>
        <w:t xml:space="preserve"> شاذ</w:t>
      </w:r>
      <w:r w:rsidR="00BF71A9" w:rsidRPr="00904FCB">
        <w:rPr>
          <w:rFonts w:hint="cs"/>
          <w:sz w:val="27"/>
          <w:rtl/>
          <w:lang w:bidi="ar-OM"/>
        </w:rPr>
        <w:t>ّ،</w:t>
      </w:r>
      <w:r w:rsidRPr="00904FCB">
        <w:rPr>
          <w:rFonts w:hint="cs"/>
          <w:sz w:val="27"/>
          <w:rtl/>
          <w:lang w:bidi="ar-OM"/>
        </w:rPr>
        <w:t xml:space="preserve"> وخارج عن ال</w:t>
      </w:r>
      <w:r w:rsidR="00BF71A9" w:rsidRPr="00904FCB">
        <w:rPr>
          <w:rFonts w:hint="cs"/>
          <w:sz w:val="27"/>
          <w:rtl/>
          <w:lang w:bidi="ar-OM"/>
        </w:rPr>
        <w:t>إ</w:t>
      </w:r>
      <w:r w:rsidRPr="00904FCB">
        <w:rPr>
          <w:rFonts w:hint="cs"/>
          <w:sz w:val="27"/>
          <w:rtl/>
          <w:lang w:bidi="ar-OM"/>
        </w:rPr>
        <w:t>جماع. وهنا يكمن تمي</w:t>
      </w:r>
      <w:r w:rsidR="00BF71A9" w:rsidRPr="00904FCB">
        <w:rPr>
          <w:rFonts w:hint="cs"/>
          <w:sz w:val="27"/>
          <w:rtl/>
          <w:lang w:bidi="ar-OM"/>
        </w:rPr>
        <w:t>ُّ</w:t>
      </w:r>
      <w:r w:rsidRPr="00904FCB">
        <w:rPr>
          <w:rFonts w:hint="cs"/>
          <w:sz w:val="27"/>
          <w:rtl/>
          <w:lang w:bidi="ar-OM"/>
        </w:rPr>
        <w:t>زه وفرادته</w:t>
      </w:r>
      <w:r w:rsidR="00BF71A9" w:rsidRPr="00904FCB">
        <w:rPr>
          <w:rFonts w:hint="cs"/>
          <w:sz w:val="27"/>
          <w:rtl/>
          <w:lang w:bidi="ar-OM"/>
        </w:rPr>
        <w:t>،</w:t>
      </w:r>
      <w:r w:rsidRPr="00904FCB">
        <w:rPr>
          <w:rFonts w:hint="cs"/>
          <w:sz w:val="27"/>
          <w:rtl/>
          <w:lang w:bidi="ar-OM"/>
        </w:rPr>
        <w:t xml:space="preserve"> بحيث </w:t>
      </w:r>
      <w:r w:rsidR="00BF71A9" w:rsidRPr="00904FCB">
        <w:rPr>
          <w:rFonts w:hint="cs"/>
          <w:sz w:val="27"/>
          <w:rtl/>
          <w:lang w:bidi="ar-OM"/>
        </w:rPr>
        <w:t>ي</w:t>
      </w:r>
      <w:r w:rsidRPr="00904FCB">
        <w:rPr>
          <w:rFonts w:hint="cs"/>
          <w:sz w:val="27"/>
          <w:rtl/>
          <w:lang w:bidi="ar-OM"/>
        </w:rPr>
        <w:t>تطل</w:t>
      </w:r>
      <w:r w:rsidR="00BF71A9" w:rsidRPr="00904FCB">
        <w:rPr>
          <w:rFonts w:hint="cs"/>
          <w:sz w:val="27"/>
          <w:rtl/>
          <w:lang w:bidi="ar-OM"/>
        </w:rPr>
        <w:t>ّ</w:t>
      </w:r>
      <w:r w:rsidRPr="00904FCB">
        <w:rPr>
          <w:rFonts w:hint="cs"/>
          <w:sz w:val="27"/>
          <w:rtl/>
          <w:lang w:bidi="ar-OM"/>
        </w:rPr>
        <w:t>ب دراس</w:t>
      </w:r>
      <w:r w:rsidR="00BF71A9" w:rsidRPr="00904FCB">
        <w:rPr>
          <w:rFonts w:hint="cs"/>
          <w:sz w:val="27"/>
          <w:rtl/>
          <w:lang w:bidi="ar-OM"/>
        </w:rPr>
        <w:t>ةً</w:t>
      </w:r>
      <w:r w:rsidRPr="00904FCB">
        <w:rPr>
          <w:rFonts w:hint="cs"/>
          <w:sz w:val="27"/>
          <w:rtl/>
          <w:lang w:bidi="ar-OM"/>
        </w:rPr>
        <w:t xml:space="preserve"> من منظور</w:t>
      </w:r>
      <w:r w:rsidR="00BF71A9" w:rsidRPr="00904FCB">
        <w:rPr>
          <w:rFonts w:hint="cs"/>
          <w:sz w:val="27"/>
          <w:rtl/>
          <w:lang w:bidi="ar-OM"/>
        </w:rPr>
        <w:t>ٍ</w:t>
      </w:r>
      <w:r w:rsidRPr="00904FCB">
        <w:rPr>
          <w:rFonts w:hint="cs"/>
          <w:sz w:val="27"/>
          <w:rtl/>
          <w:lang w:bidi="ar-OM"/>
        </w:rPr>
        <w:t xml:space="preserve"> ثقافي اجتماعي سياسي</w:t>
      </w:r>
      <w:r w:rsidR="00BF71A9" w:rsidRPr="00904FCB">
        <w:rPr>
          <w:rFonts w:hint="cs"/>
          <w:sz w:val="27"/>
          <w:rtl/>
          <w:lang w:bidi="ar-OM"/>
        </w:rPr>
        <w:t>؛</w:t>
      </w:r>
      <w:r w:rsidRPr="00904FCB">
        <w:rPr>
          <w:rFonts w:hint="cs"/>
          <w:sz w:val="27"/>
          <w:rtl/>
          <w:lang w:bidi="ar-OM"/>
        </w:rPr>
        <w:t xml:space="preserve"> للتعرف على خلفياته ودواعيه</w:t>
      </w:r>
      <w:r w:rsidR="00BF71A9" w:rsidRPr="00904FCB">
        <w:rPr>
          <w:rFonts w:hint="cs"/>
          <w:sz w:val="27"/>
          <w:rtl/>
          <w:lang w:bidi="ar-OM"/>
        </w:rPr>
        <w:t>،</w:t>
      </w:r>
      <w:r w:rsidRPr="00904FCB">
        <w:rPr>
          <w:rFonts w:hint="cs"/>
          <w:sz w:val="27"/>
          <w:rtl/>
          <w:lang w:bidi="ar-OM"/>
        </w:rPr>
        <w:t xml:space="preserve"> وكيف استطاع </w:t>
      </w:r>
      <w:r w:rsidR="00BF71A9" w:rsidRPr="00904FCB">
        <w:rPr>
          <w:rFonts w:hint="cs"/>
          <w:sz w:val="27"/>
          <w:rtl/>
          <w:lang w:bidi="ar-OM"/>
        </w:rPr>
        <w:t>أ</w:t>
      </w:r>
      <w:r w:rsidRPr="00904FCB">
        <w:rPr>
          <w:rFonts w:hint="cs"/>
          <w:sz w:val="27"/>
          <w:rtl/>
          <w:lang w:bidi="ar-OM"/>
        </w:rPr>
        <w:t>ن يخترق السلطة الفقهية والسياسية المهيمنة</w:t>
      </w:r>
      <w:r w:rsidR="00BF71A9" w:rsidRPr="00904FCB">
        <w:rPr>
          <w:rFonts w:hint="cs"/>
          <w:sz w:val="27"/>
          <w:rtl/>
          <w:lang w:bidi="ar-OM"/>
        </w:rPr>
        <w:t>،</w:t>
      </w:r>
      <w:r w:rsidRPr="00904FCB">
        <w:rPr>
          <w:rFonts w:hint="cs"/>
          <w:sz w:val="27"/>
          <w:rtl/>
          <w:lang w:bidi="ar-OM"/>
        </w:rPr>
        <w:t xml:space="preserve"> ويتجاوز سياج الجماهير الحاضنة لها</w:t>
      </w:r>
      <w:r w:rsidR="00BF71A9" w:rsidRPr="00904FCB">
        <w:rPr>
          <w:rFonts w:hint="cs"/>
          <w:sz w:val="27"/>
          <w:rtl/>
          <w:lang w:bidi="ar-OM"/>
        </w:rPr>
        <w:t>!</w:t>
      </w:r>
      <w:r w:rsidRPr="00904FCB">
        <w:rPr>
          <w:rFonts w:hint="cs"/>
          <w:sz w:val="27"/>
          <w:rtl/>
          <w:lang w:bidi="ar-OM"/>
        </w:rPr>
        <w:t xml:space="preserve"> والملاحظ </w:t>
      </w:r>
      <w:r w:rsidR="00BF71A9" w:rsidRPr="00904FCB">
        <w:rPr>
          <w:rFonts w:hint="cs"/>
          <w:sz w:val="27"/>
          <w:rtl/>
          <w:lang w:bidi="ar-OM"/>
        </w:rPr>
        <w:t>أ</w:t>
      </w:r>
      <w:r w:rsidRPr="00904FCB">
        <w:rPr>
          <w:rFonts w:hint="cs"/>
          <w:sz w:val="27"/>
          <w:rtl/>
          <w:lang w:bidi="ar-OM"/>
        </w:rPr>
        <w:t xml:space="preserve">ن أصحاب هذا الاتجاه ينتمون </w:t>
      </w:r>
      <w:r w:rsidR="00BF71A9" w:rsidRPr="00904FCB">
        <w:rPr>
          <w:rFonts w:hint="cs"/>
          <w:sz w:val="27"/>
          <w:rtl/>
          <w:lang w:bidi="ar-OM"/>
        </w:rPr>
        <w:t>إ</w:t>
      </w:r>
      <w:r w:rsidRPr="00904FCB">
        <w:rPr>
          <w:rFonts w:hint="cs"/>
          <w:sz w:val="27"/>
          <w:rtl/>
          <w:lang w:bidi="ar-OM"/>
        </w:rPr>
        <w:t>لى بيئات ثقافية متعد</w:t>
      </w:r>
      <w:r w:rsidR="00BF71A9" w:rsidRPr="00904FCB">
        <w:rPr>
          <w:rFonts w:hint="cs"/>
          <w:sz w:val="27"/>
          <w:rtl/>
          <w:lang w:bidi="ar-OM"/>
        </w:rPr>
        <w:t>ِّ</w:t>
      </w:r>
      <w:r w:rsidRPr="00904FCB">
        <w:rPr>
          <w:rFonts w:hint="cs"/>
          <w:sz w:val="27"/>
          <w:rtl/>
          <w:lang w:bidi="ar-OM"/>
        </w:rPr>
        <w:t>دة</w:t>
      </w:r>
      <w:r w:rsidR="00BF71A9" w:rsidRPr="00904FCB">
        <w:rPr>
          <w:rFonts w:hint="cs"/>
          <w:sz w:val="27"/>
          <w:rtl/>
          <w:lang w:bidi="ar-OM"/>
        </w:rPr>
        <w:t>،</w:t>
      </w:r>
      <w:r w:rsidRPr="00904FCB">
        <w:rPr>
          <w:rFonts w:hint="cs"/>
          <w:sz w:val="27"/>
          <w:rtl/>
          <w:lang w:bidi="ar-OM"/>
        </w:rPr>
        <w:t xml:space="preserve"> واتجاهات فقهية مختلفة</w:t>
      </w:r>
      <w:r w:rsidR="00BF71A9" w:rsidRPr="00904FCB">
        <w:rPr>
          <w:rFonts w:hint="cs"/>
          <w:sz w:val="27"/>
          <w:rtl/>
          <w:lang w:bidi="ar-OM"/>
        </w:rPr>
        <w:t>،</w:t>
      </w:r>
      <w:r w:rsidRPr="00904FCB">
        <w:rPr>
          <w:rFonts w:hint="cs"/>
          <w:sz w:val="27"/>
          <w:rtl/>
          <w:lang w:bidi="ar-OM"/>
        </w:rPr>
        <w:t xml:space="preserve"> وكانوا في فترات تاريخية متفاوتة</w:t>
      </w:r>
      <w:r w:rsidR="00BF71A9" w:rsidRPr="00904FCB">
        <w:rPr>
          <w:rFonts w:hint="cs"/>
          <w:sz w:val="27"/>
          <w:rtl/>
          <w:lang w:bidi="ar-OM"/>
        </w:rPr>
        <w:t>؛</w:t>
      </w:r>
      <w:r w:rsidRPr="00904FCB">
        <w:rPr>
          <w:rFonts w:hint="cs"/>
          <w:sz w:val="27"/>
          <w:rtl/>
          <w:lang w:bidi="ar-OM"/>
        </w:rPr>
        <w:t xml:space="preserve"> فأحدهم من العراق</w:t>
      </w:r>
      <w:r w:rsidR="00BF71A9" w:rsidRPr="00904FCB">
        <w:rPr>
          <w:rFonts w:hint="cs"/>
          <w:sz w:val="27"/>
          <w:rtl/>
          <w:lang w:bidi="ar-OM"/>
        </w:rPr>
        <w:t>،</w:t>
      </w:r>
      <w:r w:rsidRPr="00904FCB">
        <w:rPr>
          <w:rFonts w:hint="cs"/>
          <w:sz w:val="27"/>
          <w:rtl/>
          <w:lang w:bidi="ar-OM"/>
        </w:rPr>
        <w:t xml:space="preserve"> وهو أبو حنيفة(</w:t>
      </w:r>
      <w:r w:rsidRPr="001E5E90">
        <w:rPr>
          <w:rFonts w:hint="cs"/>
          <w:sz w:val="27"/>
          <w:rtl/>
          <w:lang w:bidi="ar-OM"/>
        </w:rPr>
        <w:t>150هـ</w:t>
      </w:r>
      <w:r w:rsidRPr="00904FCB">
        <w:rPr>
          <w:rFonts w:hint="cs"/>
          <w:sz w:val="27"/>
          <w:rtl/>
          <w:lang w:bidi="ar-OM"/>
        </w:rPr>
        <w:t>)</w:t>
      </w:r>
      <w:r w:rsidR="00BF71A9" w:rsidRPr="00904FCB">
        <w:rPr>
          <w:rFonts w:hint="cs"/>
          <w:sz w:val="27"/>
          <w:rtl/>
          <w:lang w:bidi="ar-OM"/>
        </w:rPr>
        <w:t>،</w:t>
      </w:r>
      <w:r w:rsidRPr="00904FCB">
        <w:rPr>
          <w:rFonts w:hint="cs"/>
          <w:sz w:val="27"/>
          <w:rtl/>
          <w:lang w:bidi="ar-OM"/>
        </w:rPr>
        <w:t xml:space="preserve"> ويمث</w:t>
      </w:r>
      <w:r w:rsidR="00BF71A9" w:rsidRPr="00904FCB">
        <w:rPr>
          <w:rFonts w:hint="cs"/>
          <w:sz w:val="27"/>
          <w:rtl/>
          <w:lang w:bidi="ar-OM"/>
        </w:rPr>
        <w:t>ِّ</w:t>
      </w:r>
      <w:r w:rsidRPr="00904FCB">
        <w:rPr>
          <w:rFonts w:hint="cs"/>
          <w:sz w:val="27"/>
          <w:rtl/>
          <w:lang w:bidi="ar-OM"/>
        </w:rPr>
        <w:t>ل مدرسة الرأي والقياس</w:t>
      </w:r>
      <w:r w:rsidR="00BF71A9" w:rsidRPr="00904FCB">
        <w:rPr>
          <w:rFonts w:hint="cs"/>
          <w:sz w:val="27"/>
          <w:rtl/>
          <w:lang w:bidi="ar-OM"/>
        </w:rPr>
        <w:t>؛</w:t>
      </w:r>
      <w:r w:rsidRPr="00904FCB">
        <w:rPr>
          <w:rFonts w:hint="cs"/>
          <w:sz w:val="27"/>
          <w:rtl/>
          <w:lang w:bidi="ar-OM"/>
        </w:rPr>
        <w:t xml:space="preserve"> والثاني من مصر</w:t>
      </w:r>
      <w:r w:rsidR="00BF71A9" w:rsidRPr="00904FCB">
        <w:rPr>
          <w:rFonts w:hint="cs"/>
          <w:sz w:val="27"/>
          <w:rtl/>
          <w:lang w:bidi="ar-OM"/>
        </w:rPr>
        <w:t>،</w:t>
      </w:r>
      <w:r w:rsidRPr="00904FCB">
        <w:rPr>
          <w:rFonts w:hint="cs"/>
          <w:sz w:val="27"/>
          <w:rtl/>
          <w:lang w:bidi="ar-OM"/>
        </w:rPr>
        <w:t xml:space="preserve"> وهو ابن القاسم(</w:t>
      </w:r>
      <w:r w:rsidRPr="001E5E90">
        <w:rPr>
          <w:rFonts w:hint="cs"/>
          <w:sz w:val="27"/>
          <w:rtl/>
          <w:lang w:bidi="ar-OM"/>
        </w:rPr>
        <w:t>191هـ</w:t>
      </w:r>
      <w:r w:rsidRPr="00904FCB">
        <w:rPr>
          <w:rFonts w:hint="cs"/>
          <w:sz w:val="27"/>
          <w:rtl/>
          <w:lang w:bidi="ar-OM"/>
        </w:rPr>
        <w:t>)</w:t>
      </w:r>
      <w:r w:rsidR="00BF71A9" w:rsidRPr="00904FCB">
        <w:rPr>
          <w:rFonts w:hint="cs"/>
          <w:sz w:val="27"/>
          <w:rtl/>
          <w:lang w:bidi="ar-OM"/>
        </w:rPr>
        <w:t>،</w:t>
      </w:r>
      <w:r w:rsidRPr="00904FCB">
        <w:rPr>
          <w:rFonts w:hint="cs"/>
          <w:sz w:val="27"/>
          <w:rtl/>
          <w:lang w:bidi="ar-OM"/>
        </w:rPr>
        <w:t xml:space="preserve"> ويمث</w:t>
      </w:r>
      <w:r w:rsidR="00BF71A9" w:rsidRPr="00904FCB">
        <w:rPr>
          <w:rFonts w:hint="cs"/>
          <w:sz w:val="27"/>
          <w:rtl/>
          <w:lang w:bidi="ar-OM"/>
        </w:rPr>
        <w:t>ِّ</w:t>
      </w:r>
      <w:r w:rsidRPr="00904FCB">
        <w:rPr>
          <w:rFonts w:hint="cs"/>
          <w:sz w:val="27"/>
          <w:rtl/>
          <w:lang w:bidi="ar-OM"/>
        </w:rPr>
        <w:t>ل المذهب المالكي</w:t>
      </w:r>
      <w:r w:rsidR="00BF71A9" w:rsidRPr="00904FCB">
        <w:rPr>
          <w:rFonts w:hint="cs"/>
          <w:sz w:val="27"/>
          <w:rtl/>
          <w:lang w:bidi="ar-OM"/>
        </w:rPr>
        <w:t>،</w:t>
      </w:r>
      <w:r w:rsidRPr="00904FCB">
        <w:rPr>
          <w:rFonts w:hint="cs"/>
          <w:sz w:val="27"/>
          <w:rtl/>
          <w:lang w:bidi="ar-OM"/>
        </w:rPr>
        <w:t xml:space="preserve"> غير </w:t>
      </w:r>
      <w:r w:rsidR="00BF71A9" w:rsidRPr="00904FCB">
        <w:rPr>
          <w:rFonts w:hint="cs"/>
          <w:sz w:val="27"/>
          <w:rtl/>
          <w:lang w:bidi="ar-OM"/>
        </w:rPr>
        <w:t>أ</w:t>
      </w:r>
      <w:r w:rsidRPr="00904FCB">
        <w:rPr>
          <w:rFonts w:hint="cs"/>
          <w:sz w:val="27"/>
          <w:rtl/>
          <w:lang w:bidi="ar-OM"/>
        </w:rPr>
        <w:t>نه غلب عليه الرأي</w:t>
      </w:r>
      <w:r w:rsidR="00BF71A9" w:rsidRPr="00904FCB">
        <w:rPr>
          <w:rFonts w:hint="cs"/>
          <w:sz w:val="27"/>
          <w:rtl/>
          <w:lang w:bidi="ar-OM"/>
        </w:rPr>
        <w:t>؛</w:t>
      </w:r>
      <w:r w:rsidRPr="00904FCB">
        <w:rPr>
          <w:rFonts w:hint="cs"/>
          <w:sz w:val="27"/>
          <w:rtl/>
          <w:lang w:bidi="ar-OM"/>
        </w:rPr>
        <w:t xml:space="preserve"> والثالث من طبرستان من مدينة آمل، وهو أبو جعفر الطبري(</w:t>
      </w:r>
      <w:r w:rsidRPr="001E5E90">
        <w:rPr>
          <w:rFonts w:hint="cs"/>
          <w:sz w:val="27"/>
          <w:rtl/>
          <w:lang w:bidi="ar-OM"/>
        </w:rPr>
        <w:t>310</w:t>
      </w:r>
      <w:r w:rsidR="00BF71A9" w:rsidRPr="001E5E90">
        <w:rPr>
          <w:rFonts w:hint="cs"/>
          <w:sz w:val="27"/>
          <w:rtl/>
          <w:lang w:bidi="ar-OM"/>
        </w:rPr>
        <w:t>هـ</w:t>
      </w:r>
      <w:r w:rsidRPr="00904FCB">
        <w:rPr>
          <w:rFonts w:hint="cs"/>
          <w:sz w:val="27"/>
          <w:rtl/>
          <w:lang w:bidi="ar-OM"/>
        </w:rPr>
        <w:t>)</w:t>
      </w:r>
      <w:r w:rsidR="00BF71A9" w:rsidRPr="00904FCB">
        <w:rPr>
          <w:rFonts w:hint="cs"/>
          <w:sz w:val="27"/>
          <w:rtl/>
          <w:lang w:bidi="ar-OM"/>
        </w:rPr>
        <w:t>،</w:t>
      </w:r>
      <w:r w:rsidRPr="00904FCB">
        <w:rPr>
          <w:rFonts w:hint="cs"/>
          <w:sz w:val="27"/>
          <w:rtl/>
          <w:lang w:bidi="ar-OM"/>
        </w:rPr>
        <w:t xml:space="preserve"> ويمث</w:t>
      </w:r>
      <w:r w:rsidR="00BF71A9" w:rsidRPr="00904FCB">
        <w:rPr>
          <w:rFonts w:hint="cs"/>
          <w:sz w:val="27"/>
          <w:rtl/>
          <w:lang w:bidi="ar-OM"/>
        </w:rPr>
        <w:t>ِّ</w:t>
      </w:r>
      <w:r w:rsidRPr="00904FCB">
        <w:rPr>
          <w:rFonts w:hint="cs"/>
          <w:sz w:val="27"/>
          <w:rtl/>
          <w:lang w:bidi="ar-OM"/>
        </w:rPr>
        <w:t>ل اتجاها</w:t>
      </w:r>
      <w:r w:rsidR="00BF71A9" w:rsidRPr="00904FCB">
        <w:rPr>
          <w:rFonts w:hint="cs"/>
          <w:sz w:val="27"/>
          <w:rtl/>
          <w:lang w:bidi="ar-OM"/>
        </w:rPr>
        <w:t>ً</w:t>
      </w:r>
      <w:r w:rsidRPr="00904FCB">
        <w:rPr>
          <w:rFonts w:hint="cs"/>
          <w:sz w:val="27"/>
          <w:rtl/>
          <w:lang w:bidi="ar-OM"/>
        </w:rPr>
        <w:t xml:space="preserve"> فقهيا</w:t>
      </w:r>
      <w:r w:rsidR="00BF71A9" w:rsidRPr="00904FCB">
        <w:rPr>
          <w:rFonts w:hint="cs"/>
          <w:sz w:val="27"/>
          <w:rtl/>
          <w:lang w:bidi="ar-OM"/>
        </w:rPr>
        <w:t>ً</w:t>
      </w:r>
      <w:r w:rsidRPr="00904FCB">
        <w:rPr>
          <w:rFonts w:hint="cs"/>
          <w:sz w:val="27"/>
          <w:rtl/>
          <w:lang w:bidi="ar-OM"/>
        </w:rPr>
        <w:t xml:space="preserve"> مستقلا</w:t>
      </w:r>
      <w:r w:rsidR="00BF71A9" w:rsidRPr="00904FCB">
        <w:rPr>
          <w:rFonts w:hint="cs"/>
          <w:sz w:val="27"/>
          <w:rtl/>
          <w:lang w:bidi="ar-OM"/>
        </w:rPr>
        <w:t>ًّ،</w:t>
      </w:r>
      <w:r w:rsidRPr="00904FCB">
        <w:rPr>
          <w:rFonts w:hint="cs"/>
          <w:sz w:val="27"/>
          <w:rtl/>
          <w:lang w:bidi="ar-OM"/>
        </w:rPr>
        <w:t xml:space="preserve"> وكان في بيئة يغلب عليها التعص</w:t>
      </w:r>
      <w:r w:rsidR="00BF71A9" w:rsidRPr="00904FCB">
        <w:rPr>
          <w:rFonts w:hint="cs"/>
          <w:sz w:val="27"/>
          <w:rtl/>
          <w:lang w:bidi="ar-OM"/>
        </w:rPr>
        <w:t>ُّ</w:t>
      </w:r>
      <w:r w:rsidRPr="00904FCB">
        <w:rPr>
          <w:rFonts w:hint="cs"/>
          <w:sz w:val="27"/>
          <w:rtl/>
          <w:lang w:bidi="ar-OM"/>
        </w:rPr>
        <w:t>ب لبعض اتجاهات أهل الحديث</w:t>
      </w:r>
      <w:r w:rsidR="00BF71A9" w:rsidRPr="00904FCB">
        <w:rPr>
          <w:rFonts w:hint="cs"/>
          <w:sz w:val="27"/>
          <w:rtl/>
          <w:lang w:bidi="ar-OM"/>
        </w:rPr>
        <w:t>؛</w:t>
      </w:r>
      <w:r w:rsidRPr="00904FCB">
        <w:rPr>
          <w:rFonts w:hint="cs"/>
          <w:sz w:val="27"/>
          <w:rtl/>
          <w:lang w:bidi="ar-OM"/>
        </w:rPr>
        <w:t xml:space="preserve"> والرابع من الأندلس</w:t>
      </w:r>
      <w:r w:rsidR="00BF71A9" w:rsidRPr="00904FCB">
        <w:rPr>
          <w:rFonts w:hint="cs"/>
          <w:sz w:val="27"/>
          <w:rtl/>
          <w:lang w:bidi="ar-OM"/>
        </w:rPr>
        <w:t>،</w:t>
      </w:r>
      <w:r w:rsidRPr="00904FCB">
        <w:rPr>
          <w:rFonts w:hint="cs"/>
          <w:sz w:val="27"/>
          <w:rtl/>
          <w:lang w:bidi="ar-OM"/>
        </w:rPr>
        <w:t xml:space="preserve"> وهو ابن حزم الظاهري(</w:t>
      </w:r>
      <w:r w:rsidRPr="001E5E90">
        <w:rPr>
          <w:rFonts w:hint="cs"/>
          <w:sz w:val="27"/>
          <w:rtl/>
          <w:lang w:bidi="ar-OM"/>
        </w:rPr>
        <w:t>456هـ</w:t>
      </w:r>
      <w:r w:rsidRPr="00904FCB">
        <w:rPr>
          <w:rFonts w:hint="cs"/>
          <w:sz w:val="27"/>
          <w:rtl/>
          <w:lang w:bidi="ar-OM"/>
        </w:rPr>
        <w:t>)</w:t>
      </w:r>
      <w:r w:rsidR="00BF71A9" w:rsidRPr="00904FCB">
        <w:rPr>
          <w:rFonts w:hint="cs"/>
          <w:sz w:val="27"/>
          <w:rtl/>
          <w:lang w:bidi="ar-OM"/>
        </w:rPr>
        <w:t>،</w:t>
      </w:r>
      <w:r w:rsidRPr="00904FCB">
        <w:rPr>
          <w:rFonts w:hint="cs"/>
          <w:sz w:val="27"/>
          <w:rtl/>
          <w:lang w:bidi="ar-OM"/>
        </w:rPr>
        <w:t xml:space="preserve"> ويمث</w:t>
      </w:r>
      <w:r w:rsidR="00BF71A9" w:rsidRPr="00904FCB">
        <w:rPr>
          <w:rFonts w:hint="cs"/>
          <w:sz w:val="27"/>
          <w:rtl/>
          <w:lang w:bidi="ar-OM"/>
        </w:rPr>
        <w:t>ِّ</w:t>
      </w:r>
      <w:r w:rsidRPr="00904FCB">
        <w:rPr>
          <w:rFonts w:hint="cs"/>
          <w:sz w:val="27"/>
          <w:rtl/>
          <w:lang w:bidi="ar-OM"/>
        </w:rPr>
        <w:t>ل الاتجاه الظاهري، وليس فيهم أحد</w:t>
      </w:r>
      <w:r w:rsidR="00BF71A9" w:rsidRPr="00904FCB">
        <w:rPr>
          <w:rFonts w:hint="cs"/>
          <w:sz w:val="27"/>
          <w:rtl/>
          <w:lang w:bidi="ar-OM"/>
        </w:rPr>
        <w:t>ٌ</w:t>
      </w:r>
      <w:r w:rsidRPr="00904FCB">
        <w:rPr>
          <w:rFonts w:hint="cs"/>
          <w:sz w:val="27"/>
          <w:rtl/>
          <w:lang w:bidi="ar-OM"/>
        </w:rPr>
        <w:t xml:space="preserve"> من الحجاز أو الشام أو المغرب العربي. </w:t>
      </w:r>
      <w:r w:rsidR="00BF71A9" w:rsidRPr="00904FCB">
        <w:rPr>
          <w:rFonts w:hint="cs"/>
          <w:sz w:val="27"/>
          <w:rtl/>
          <w:lang w:bidi="ar-OM"/>
        </w:rPr>
        <w:t>إ</w:t>
      </w:r>
      <w:r w:rsidRPr="00904FCB">
        <w:rPr>
          <w:rFonts w:hint="cs"/>
          <w:sz w:val="27"/>
          <w:rtl/>
          <w:lang w:bidi="ar-OM"/>
        </w:rPr>
        <w:t>ن ما يجمع أغلبهم هو الاستقلال في المنهج الاجتهادي</w:t>
      </w:r>
      <w:r w:rsidR="00BF71A9" w:rsidRPr="00904FCB">
        <w:rPr>
          <w:rFonts w:hint="cs"/>
          <w:sz w:val="27"/>
          <w:rtl/>
          <w:lang w:bidi="ar-OM"/>
        </w:rPr>
        <w:t>،</w:t>
      </w:r>
      <w:r w:rsidRPr="00904FCB">
        <w:rPr>
          <w:rFonts w:hint="cs"/>
          <w:sz w:val="27"/>
          <w:rtl/>
          <w:lang w:bidi="ar-OM"/>
        </w:rPr>
        <w:t xml:space="preserve"> مم</w:t>
      </w:r>
      <w:r w:rsidR="00BF71A9" w:rsidRPr="00904FCB">
        <w:rPr>
          <w:rFonts w:hint="cs"/>
          <w:sz w:val="27"/>
          <w:rtl/>
          <w:lang w:bidi="ar-OM"/>
        </w:rPr>
        <w:t>ّ</w:t>
      </w:r>
      <w:r w:rsidRPr="00904FCB">
        <w:rPr>
          <w:rFonts w:hint="cs"/>
          <w:sz w:val="27"/>
          <w:rtl/>
          <w:lang w:bidi="ar-OM"/>
        </w:rPr>
        <w:t>ا حر</w:t>
      </w:r>
      <w:r w:rsidR="00BF71A9" w:rsidRPr="00904FCB">
        <w:rPr>
          <w:rFonts w:hint="cs"/>
          <w:sz w:val="27"/>
          <w:rtl/>
          <w:lang w:bidi="ar-OM"/>
        </w:rPr>
        <w:t>َّ</w:t>
      </w:r>
      <w:r w:rsidRPr="00904FCB">
        <w:rPr>
          <w:rFonts w:hint="cs"/>
          <w:sz w:val="27"/>
          <w:rtl/>
          <w:lang w:bidi="ar-OM"/>
        </w:rPr>
        <w:t>رهم من التقي</w:t>
      </w:r>
      <w:r w:rsidR="00BF71A9" w:rsidRPr="00904FCB">
        <w:rPr>
          <w:rFonts w:hint="cs"/>
          <w:sz w:val="27"/>
          <w:rtl/>
          <w:lang w:bidi="ar-OM"/>
        </w:rPr>
        <w:t>ُّ</w:t>
      </w:r>
      <w:r w:rsidRPr="00904FCB">
        <w:rPr>
          <w:rFonts w:hint="cs"/>
          <w:sz w:val="27"/>
          <w:rtl/>
          <w:lang w:bidi="ar-OM"/>
        </w:rPr>
        <w:t xml:space="preserve">د بالاتجاه السائد في ذلك. </w:t>
      </w:r>
    </w:p>
    <w:p w:rsidR="00644408" w:rsidRPr="00904FCB" w:rsidRDefault="00BF71A9" w:rsidP="00C5715C">
      <w:pPr>
        <w:spacing w:line="410" w:lineRule="exact"/>
        <w:rPr>
          <w:sz w:val="27"/>
          <w:rtl/>
          <w:lang w:bidi="ar-OM"/>
        </w:rPr>
      </w:pPr>
      <w:r w:rsidRPr="00904FCB">
        <w:rPr>
          <w:rFonts w:hint="cs"/>
          <w:sz w:val="27"/>
          <w:rtl/>
          <w:lang w:bidi="ar-OM"/>
        </w:rPr>
        <w:t>و</w:t>
      </w:r>
      <w:r w:rsidR="00644408" w:rsidRPr="00904FCB">
        <w:rPr>
          <w:rFonts w:hint="cs"/>
          <w:sz w:val="27"/>
          <w:rtl/>
          <w:lang w:bidi="ar-OM"/>
        </w:rPr>
        <w:t>إذا تأم</w:t>
      </w:r>
      <w:r w:rsidRPr="00904FCB">
        <w:rPr>
          <w:rFonts w:hint="cs"/>
          <w:sz w:val="27"/>
          <w:rtl/>
          <w:lang w:bidi="ar-OM"/>
        </w:rPr>
        <w:t>َّ</w:t>
      </w:r>
      <w:r w:rsidR="00644408" w:rsidRPr="00904FCB">
        <w:rPr>
          <w:rFonts w:hint="cs"/>
          <w:sz w:val="27"/>
          <w:rtl/>
          <w:lang w:bidi="ar-OM"/>
        </w:rPr>
        <w:t xml:space="preserve">لنا في الاتجاهات الفقهية الثلاثة السابقة </w:t>
      </w:r>
      <w:r w:rsidRPr="00904FCB">
        <w:rPr>
          <w:rFonts w:hint="cs"/>
          <w:sz w:val="27"/>
          <w:rtl/>
          <w:lang w:bidi="ar-OM"/>
        </w:rPr>
        <w:t>س</w:t>
      </w:r>
      <w:r w:rsidR="00644408" w:rsidRPr="00904FCB">
        <w:rPr>
          <w:rFonts w:hint="cs"/>
          <w:sz w:val="27"/>
          <w:rtl/>
          <w:lang w:bidi="ar-OM"/>
        </w:rPr>
        <w:t xml:space="preserve">نجد </w:t>
      </w:r>
      <w:r w:rsidRPr="00904FCB">
        <w:rPr>
          <w:rFonts w:hint="cs"/>
          <w:sz w:val="27"/>
          <w:rtl/>
          <w:lang w:bidi="ar-OM"/>
        </w:rPr>
        <w:t>أ</w:t>
      </w:r>
      <w:r w:rsidR="00644408" w:rsidRPr="00904FCB">
        <w:rPr>
          <w:rFonts w:hint="cs"/>
          <w:sz w:val="27"/>
          <w:rtl/>
          <w:lang w:bidi="ar-OM"/>
        </w:rPr>
        <w:t xml:space="preserve">نها بمجموعها تقترب من النظرة الثقافية المجتمعية العربية </w:t>
      </w:r>
      <w:r w:rsidRPr="00904FCB">
        <w:rPr>
          <w:rFonts w:hint="cs"/>
          <w:sz w:val="27"/>
          <w:rtl/>
          <w:lang w:bidi="ar-OM"/>
        </w:rPr>
        <w:t>إ</w:t>
      </w:r>
      <w:r w:rsidR="00644408" w:rsidRPr="00904FCB">
        <w:rPr>
          <w:rFonts w:hint="cs"/>
          <w:sz w:val="27"/>
          <w:rtl/>
          <w:lang w:bidi="ar-OM"/>
        </w:rPr>
        <w:t xml:space="preserve">لى طبيعة المرأة ودورها في المجتمع. </w:t>
      </w:r>
      <w:r w:rsidRPr="00904FCB">
        <w:rPr>
          <w:rFonts w:hint="cs"/>
          <w:sz w:val="27"/>
          <w:rtl/>
          <w:lang w:bidi="ar-OM"/>
        </w:rPr>
        <w:t>إ</w:t>
      </w:r>
      <w:r w:rsidR="00644408" w:rsidRPr="00904FCB">
        <w:rPr>
          <w:rFonts w:hint="cs"/>
          <w:sz w:val="27"/>
          <w:rtl/>
          <w:lang w:bidi="ar-OM"/>
        </w:rPr>
        <w:t xml:space="preserve">ن نظرة </w:t>
      </w:r>
      <w:r w:rsidR="00644408" w:rsidRPr="00904FCB">
        <w:rPr>
          <w:rFonts w:hint="cs"/>
          <w:sz w:val="27"/>
          <w:rtl/>
          <w:lang w:bidi="ar-OM"/>
        </w:rPr>
        <w:lastRenderedPageBreak/>
        <w:t xml:space="preserve">المجتمع العربي </w:t>
      </w:r>
      <w:r w:rsidRPr="00904FCB">
        <w:rPr>
          <w:rFonts w:hint="cs"/>
          <w:sz w:val="27"/>
          <w:rtl/>
          <w:lang w:bidi="ar-OM"/>
        </w:rPr>
        <w:t>إ</w:t>
      </w:r>
      <w:r w:rsidR="00644408" w:rsidRPr="00904FCB">
        <w:rPr>
          <w:rFonts w:hint="cs"/>
          <w:sz w:val="27"/>
          <w:rtl/>
          <w:lang w:bidi="ar-OM"/>
        </w:rPr>
        <w:t>لى المرأة تترواح بين نظرة تقليدية محافظة</w:t>
      </w:r>
      <w:r w:rsidRPr="00904FCB">
        <w:rPr>
          <w:rFonts w:hint="cs"/>
          <w:sz w:val="27"/>
          <w:rtl/>
          <w:lang w:bidi="ar-OM"/>
        </w:rPr>
        <w:t>،</w:t>
      </w:r>
      <w:r w:rsidR="00644408" w:rsidRPr="00904FCB">
        <w:rPr>
          <w:rFonts w:hint="cs"/>
          <w:sz w:val="27"/>
          <w:rtl/>
          <w:lang w:bidi="ar-OM"/>
        </w:rPr>
        <w:t xml:space="preserve"> ترى </w:t>
      </w:r>
      <w:r w:rsidRPr="00904FCB">
        <w:rPr>
          <w:rFonts w:hint="cs"/>
          <w:sz w:val="27"/>
          <w:rtl/>
          <w:lang w:bidi="ar-OM"/>
        </w:rPr>
        <w:t>أ</w:t>
      </w:r>
      <w:r w:rsidR="00644408" w:rsidRPr="00904FCB">
        <w:rPr>
          <w:rFonts w:hint="cs"/>
          <w:sz w:val="27"/>
          <w:rtl/>
          <w:lang w:bidi="ar-OM"/>
        </w:rPr>
        <w:t>ن المرأة كائن ضعيف جسميا</w:t>
      </w:r>
      <w:r w:rsidRPr="00904FCB">
        <w:rPr>
          <w:rFonts w:hint="cs"/>
          <w:sz w:val="27"/>
          <w:rtl/>
          <w:lang w:bidi="ar-OM"/>
        </w:rPr>
        <w:t>ً</w:t>
      </w:r>
      <w:r w:rsidR="00644408" w:rsidRPr="00904FCB">
        <w:rPr>
          <w:rFonts w:hint="cs"/>
          <w:sz w:val="27"/>
          <w:rtl/>
          <w:lang w:bidi="ar-OM"/>
        </w:rPr>
        <w:t xml:space="preserve"> وعقليا</w:t>
      </w:r>
      <w:r w:rsidRPr="00904FCB">
        <w:rPr>
          <w:rFonts w:hint="cs"/>
          <w:sz w:val="27"/>
          <w:rtl/>
          <w:lang w:bidi="ar-OM"/>
        </w:rPr>
        <w:t>ً،</w:t>
      </w:r>
      <w:r w:rsidR="00644408" w:rsidRPr="00904FCB">
        <w:rPr>
          <w:rFonts w:hint="cs"/>
          <w:sz w:val="27"/>
          <w:rtl/>
          <w:lang w:bidi="ar-OM"/>
        </w:rPr>
        <w:t xml:space="preserve"> وتقتصر وظيفتها </w:t>
      </w:r>
      <w:r w:rsidRPr="00904FCB">
        <w:rPr>
          <w:rFonts w:hint="cs"/>
          <w:sz w:val="27"/>
          <w:rtl/>
          <w:lang w:bidi="ar-OM"/>
        </w:rPr>
        <w:t>على</w:t>
      </w:r>
      <w:r w:rsidR="00644408" w:rsidRPr="00904FCB">
        <w:rPr>
          <w:rFonts w:hint="cs"/>
          <w:sz w:val="27"/>
          <w:rtl/>
          <w:lang w:bidi="ar-OM"/>
        </w:rPr>
        <w:t xml:space="preserve"> خدمة الزوج والأمومة</w:t>
      </w:r>
      <w:r w:rsidRPr="00904FCB">
        <w:rPr>
          <w:rFonts w:hint="cs"/>
          <w:sz w:val="27"/>
          <w:rtl/>
          <w:lang w:bidi="ar-OM"/>
        </w:rPr>
        <w:t>؛</w:t>
      </w:r>
      <w:r w:rsidR="00644408" w:rsidRPr="00904FCB">
        <w:rPr>
          <w:rFonts w:hint="cs"/>
          <w:sz w:val="27"/>
          <w:rtl/>
          <w:lang w:bidi="ar-OM"/>
        </w:rPr>
        <w:t xml:space="preserve"> ونظرة متوسطة</w:t>
      </w:r>
      <w:r w:rsidRPr="00904FCB">
        <w:rPr>
          <w:rFonts w:hint="cs"/>
          <w:sz w:val="27"/>
          <w:rtl/>
          <w:lang w:bidi="ar-OM"/>
        </w:rPr>
        <w:t>،</w:t>
      </w:r>
      <w:r w:rsidR="00644408" w:rsidRPr="00904FCB">
        <w:rPr>
          <w:rFonts w:hint="cs"/>
          <w:sz w:val="27"/>
          <w:rtl/>
          <w:lang w:bidi="ar-OM"/>
        </w:rPr>
        <w:t xml:space="preserve"> تت</w:t>
      </w:r>
      <w:r w:rsidRPr="00904FCB">
        <w:rPr>
          <w:rFonts w:hint="cs"/>
          <w:sz w:val="27"/>
          <w:rtl/>
          <w:lang w:bidi="ar-OM"/>
        </w:rPr>
        <w:t>ّ</w:t>
      </w:r>
      <w:r w:rsidR="00644408" w:rsidRPr="00904FCB">
        <w:rPr>
          <w:rFonts w:hint="cs"/>
          <w:sz w:val="27"/>
          <w:rtl/>
          <w:lang w:bidi="ar-OM"/>
        </w:rPr>
        <w:t>سم بالحرية النسبية</w:t>
      </w:r>
      <w:r w:rsidRPr="00904FCB">
        <w:rPr>
          <w:rFonts w:hint="cs"/>
          <w:sz w:val="27"/>
          <w:rtl/>
          <w:lang w:bidi="ar-OM"/>
        </w:rPr>
        <w:t>،</w:t>
      </w:r>
      <w:r w:rsidR="00644408" w:rsidRPr="00904FCB">
        <w:rPr>
          <w:rFonts w:hint="cs"/>
          <w:sz w:val="27"/>
          <w:rtl/>
          <w:lang w:bidi="ar-OM"/>
        </w:rPr>
        <w:t xml:space="preserve"> ولكنها ت</w:t>
      </w:r>
      <w:r w:rsidRPr="00904FCB">
        <w:rPr>
          <w:rFonts w:hint="cs"/>
          <w:sz w:val="27"/>
          <w:rtl/>
          <w:lang w:bidi="ar-OM"/>
        </w:rPr>
        <w:t>ُ</w:t>
      </w:r>
      <w:r w:rsidR="00644408" w:rsidRPr="00904FCB">
        <w:rPr>
          <w:rFonts w:hint="cs"/>
          <w:sz w:val="27"/>
          <w:rtl/>
          <w:lang w:bidi="ar-OM"/>
        </w:rPr>
        <w:t xml:space="preserve">بقي المرأة منسوبة </w:t>
      </w:r>
      <w:r w:rsidRPr="00904FCB">
        <w:rPr>
          <w:rFonts w:hint="cs"/>
          <w:sz w:val="27"/>
          <w:rtl/>
          <w:lang w:bidi="ar-OM"/>
        </w:rPr>
        <w:t>إ</w:t>
      </w:r>
      <w:r w:rsidR="00644408" w:rsidRPr="00904FCB">
        <w:rPr>
          <w:rFonts w:hint="cs"/>
          <w:sz w:val="27"/>
          <w:rtl/>
          <w:lang w:bidi="ar-OM"/>
        </w:rPr>
        <w:t>لى الرجل، وتعترف لها بحق</w:t>
      </w:r>
      <w:r w:rsidRPr="00904FCB">
        <w:rPr>
          <w:rFonts w:hint="cs"/>
          <w:sz w:val="27"/>
          <w:rtl/>
          <w:lang w:bidi="ar-OM"/>
        </w:rPr>
        <w:t>ّ</w:t>
      </w:r>
      <w:r w:rsidR="00644408" w:rsidRPr="00904FCB">
        <w:rPr>
          <w:rFonts w:hint="cs"/>
          <w:sz w:val="27"/>
          <w:rtl/>
          <w:lang w:bidi="ar-OM"/>
        </w:rPr>
        <w:t xml:space="preserve"> العمل خارج البيت في نطاق</w:t>
      </w:r>
      <w:r w:rsidRPr="00904FCB">
        <w:rPr>
          <w:rFonts w:hint="cs"/>
          <w:sz w:val="27"/>
          <w:rtl/>
          <w:lang w:bidi="ar-OM"/>
        </w:rPr>
        <w:t>ٍ</w:t>
      </w:r>
      <w:r w:rsidR="00644408" w:rsidRPr="00904FCB">
        <w:rPr>
          <w:rFonts w:hint="cs"/>
          <w:sz w:val="27"/>
          <w:rtl/>
          <w:lang w:bidi="ar-OM"/>
        </w:rPr>
        <w:t xml:space="preserve"> محدود</w:t>
      </w:r>
      <w:r w:rsidRPr="00904FCB">
        <w:rPr>
          <w:rFonts w:hint="cs"/>
          <w:sz w:val="27"/>
          <w:rtl/>
          <w:lang w:bidi="ar-OM"/>
        </w:rPr>
        <w:t>؛</w:t>
      </w:r>
      <w:r w:rsidR="00644408" w:rsidRPr="00904FCB">
        <w:rPr>
          <w:rFonts w:hint="cs"/>
          <w:sz w:val="27"/>
          <w:rtl/>
          <w:lang w:bidi="ar-OM"/>
        </w:rPr>
        <w:t xml:space="preserve"> ونظرة ثالثة تساوي بين الرجل والمرأة في الحقوق والواجبات</w:t>
      </w:r>
      <w:r w:rsidRPr="00904FCB">
        <w:rPr>
          <w:rFonts w:hint="cs"/>
          <w:sz w:val="27"/>
          <w:rtl/>
          <w:lang w:bidi="ar-OM"/>
        </w:rPr>
        <w:t xml:space="preserve">، </w:t>
      </w:r>
      <w:r w:rsidR="00644408" w:rsidRPr="00904FCB">
        <w:rPr>
          <w:rFonts w:hint="cs"/>
          <w:sz w:val="27"/>
          <w:rtl/>
          <w:lang w:bidi="ar-OM"/>
        </w:rPr>
        <w:t>وإتاحة الفرص المتكافئة</w:t>
      </w:r>
      <w:r w:rsidR="00644408" w:rsidRPr="00904FCB">
        <w:rPr>
          <w:rFonts w:hint="cs"/>
          <w:sz w:val="27"/>
          <w:vertAlign w:val="superscript"/>
          <w:rtl/>
        </w:rPr>
        <w:t>(</w:t>
      </w:r>
      <w:r w:rsidR="00644408" w:rsidRPr="00904FCB">
        <w:rPr>
          <w:rStyle w:val="ac"/>
          <w:sz w:val="27"/>
          <w:rtl/>
        </w:rPr>
        <w:endnoteReference w:id="237"/>
      </w:r>
      <w:r w:rsidR="00644408" w:rsidRPr="00904FCB">
        <w:rPr>
          <w:rFonts w:hint="cs"/>
          <w:sz w:val="27"/>
          <w:vertAlign w:val="superscript"/>
          <w:rtl/>
        </w:rPr>
        <w:t>)</w:t>
      </w:r>
      <w:r w:rsidR="00644408" w:rsidRPr="00904FCB">
        <w:rPr>
          <w:rFonts w:hint="cs"/>
          <w:sz w:val="27"/>
          <w:rtl/>
          <w:lang w:bidi="ar-OM"/>
        </w:rPr>
        <w:t>. إن اللافت للنظر في التوج</w:t>
      </w:r>
      <w:r w:rsidRPr="00904FCB">
        <w:rPr>
          <w:rFonts w:hint="cs"/>
          <w:sz w:val="27"/>
          <w:rtl/>
          <w:lang w:bidi="ar-OM"/>
        </w:rPr>
        <w:t>ُّ</w:t>
      </w:r>
      <w:r w:rsidR="00644408" w:rsidRPr="00904FCB">
        <w:rPr>
          <w:rFonts w:hint="cs"/>
          <w:sz w:val="27"/>
          <w:rtl/>
          <w:lang w:bidi="ar-OM"/>
        </w:rPr>
        <w:t>هات المعاصرة وجود رأي فقهي يحاول أن يجد طريقه في التشك</w:t>
      </w:r>
      <w:r w:rsidRPr="00904FCB">
        <w:rPr>
          <w:rFonts w:hint="cs"/>
          <w:sz w:val="27"/>
          <w:rtl/>
          <w:lang w:bidi="ar-OM"/>
        </w:rPr>
        <w:t>ُّ</w:t>
      </w:r>
      <w:r w:rsidR="00644408" w:rsidRPr="00904FCB">
        <w:rPr>
          <w:rFonts w:hint="cs"/>
          <w:sz w:val="27"/>
          <w:rtl/>
          <w:lang w:bidi="ar-OM"/>
        </w:rPr>
        <w:t xml:space="preserve">ل والظهور، يذهب في اجتهاده </w:t>
      </w:r>
      <w:r w:rsidRPr="00904FCB">
        <w:rPr>
          <w:rFonts w:hint="cs"/>
          <w:sz w:val="27"/>
          <w:rtl/>
          <w:lang w:bidi="ar-OM"/>
        </w:rPr>
        <w:t>إل</w:t>
      </w:r>
      <w:r w:rsidR="00644408" w:rsidRPr="00904FCB">
        <w:rPr>
          <w:rFonts w:hint="cs"/>
          <w:sz w:val="27"/>
          <w:rtl/>
          <w:lang w:bidi="ar-OM"/>
        </w:rPr>
        <w:t>ى أبعد ما يمكن تصو</w:t>
      </w:r>
      <w:r w:rsidRPr="00904FCB">
        <w:rPr>
          <w:rFonts w:hint="cs"/>
          <w:sz w:val="27"/>
          <w:rtl/>
          <w:lang w:bidi="ar-OM"/>
        </w:rPr>
        <w:t>ُّ</w:t>
      </w:r>
      <w:r w:rsidR="00644408" w:rsidRPr="00904FCB">
        <w:rPr>
          <w:rFonts w:hint="cs"/>
          <w:sz w:val="27"/>
          <w:rtl/>
          <w:lang w:bidi="ar-OM"/>
        </w:rPr>
        <w:t>ره في هذا الصدد، وهو القول بأهلي</w:t>
      </w:r>
      <w:r w:rsidRPr="00904FCB">
        <w:rPr>
          <w:rFonts w:hint="cs"/>
          <w:sz w:val="27"/>
          <w:rtl/>
          <w:lang w:bidi="ar-OM"/>
        </w:rPr>
        <w:t>ّ</w:t>
      </w:r>
      <w:r w:rsidR="00644408" w:rsidRPr="00904FCB">
        <w:rPr>
          <w:rFonts w:hint="cs"/>
          <w:sz w:val="27"/>
          <w:rtl/>
          <w:lang w:bidi="ar-OM"/>
        </w:rPr>
        <w:t>ة المرأة لتول</w:t>
      </w:r>
      <w:r w:rsidRPr="00904FCB">
        <w:rPr>
          <w:rFonts w:hint="cs"/>
          <w:sz w:val="27"/>
          <w:rtl/>
          <w:lang w:bidi="ar-OM"/>
        </w:rPr>
        <w:t>ّ</w:t>
      </w:r>
      <w:r w:rsidR="00644408" w:rsidRPr="00904FCB">
        <w:rPr>
          <w:rFonts w:hint="cs"/>
          <w:sz w:val="27"/>
          <w:rtl/>
          <w:lang w:bidi="ar-OM"/>
        </w:rPr>
        <w:t>ي جميع المواقع القيادية ومختلف مناصب الولاية والسلطة دون استثناء</w:t>
      </w:r>
      <w:r w:rsidRPr="00904FCB">
        <w:rPr>
          <w:rFonts w:hint="cs"/>
          <w:sz w:val="27"/>
          <w:rtl/>
          <w:lang w:bidi="ar-OM"/>
        </w:rPr>
        <w:t>،</w:t>
      </w:r>
      <w:r w:rsidR="00644408" w:rsidRPr="00904FCB">
        <w:rPr>
          <w:rFonts w:hint="cs"/>
          <w:sz w:val="27"/>
          <w:rtl/>
          <w:lang w:bidi="ar-OM"/>
        </w:rPr>
        <w:t xml:space="preserve"> في حال توافر الشروط العامة المطلوبة من الرجل والمرأة على حد</w:t>
      </w:r>
      <w:r w:rsidRPr="00904FCB">
        <w:rPr>
          <w:rFonts w:hint="cs"/>
          <w:sz w:val="27"/>
          <w:rtl/>
          <w:lang w:bidi="ar-OM"/>
        </w:rPr>
        <w:t>ٍّ</w:t>
      </w:r>
      <w:r w:rsidR="00644408" w:rsidRPr="00904FCB">
        <w:rPr>
          <w:rFonts w:hint="cs"/>
          <w:sz w:val="27"/>
          <w:rtl/>
          <w:lang w:bidi="ar-OM"/>
        </w:rPr>
        <w:t xml:space="preserve"> سواء. وينفي أصحاب هذا الرأي وجود أدل</w:t>
      </w:r>
      <w:r w:rsidRPr="00904FCB">
        <w:rPr>
          <w:rFonts w:hint="cs"/>
          <w:sz w:val="27"/>
          <w:rtl/>
          <w:lang w:bidi="ar-OM"/>
        </w:rPr>
        <w:t>ّ</w:t>
      </w:r>
      <w:r w:rsidR="00644408" w:rsidRPr="00904FCB">
        <w:rPr>
          <w:rFonts w:hint="cs"/>
          <w:sz w:val="27"/>
          <w:rtl/>
          <w:lang w:bidi="ar-OM"/>
        </w:rPr>
        <w:t>ة واضحة على المنع، ويناقشون أدل</w:t>
      </w:r>
      <w:r w:rsidRPr="00904FCB">
        <w:rPr>
          <w:rFonts w:hint="cs"/>
          <w:sz w:val="27"/>
          <w:rtl/>
          <w:lang w:bidi="ar-OM"/>
        </w:rPr>
        <w:t>ّ</w:t>
      </w:r>
      <w:r w:rsidR="00644408" w:rsidRPr="00904FCB">
        <w:rPr>
          <w:rFonts w:hint="cs"/>
          <w:sz w:val="27"/>
          <w:rtl/>
          <w:lang w:bidi="ar-OM"/>
        </w:rPr>
        <w:t>ة المانعين</w:t>
      </w:r>
      <w:r w:rsidRPr="00904FCB">
        <w:rPr>
          <w:rFonts w:hint="cs"/>
          <w:sz w:val="27"/>
          <w:rtl/>
          <w:lang w:bidi="ar-OM"/>
        </w:rPr>
        <w:t>،</w:t>
      </w:r>
      <w:r w:rsidR="00644408" w:rsidRPr="00904FCB">
        <w:rPr>
          <w:rFonts w:hint="cs"/>
          <w:sz w:val="27"/>
          <w:rtl/>
          <w:lang w:bidi="ar-OM"/>
        </w:rPr>
        <w:t xml:space="preserve"> وير</w:t>
      </w:r>
      <w:r w:rsidRPr="00904FCB">
        <w:rPr>
          <w:rFonts w:hint="cs"/>
          <w:sz w:val="27"/>
          <w:rtl/>
          <w:lang w:bidi="ar-OM"/>
        </w:rPr>
        <w:t>َ</w:t>
      </w:r>
      <w:r w:rsidR="00644408" w:rsidRPr="00904FCB">
        <w:rPr>
          <w:rFonts w:hint="cs"/>
          <w:sz w:val="27"/>
          <w:rtl/>
          <w:lang w:bidi="ar-OM"/>
        </w:rPr>
        <w:t>و</w:t>
      </w:r>
      <w:r w:rsidRPr="00904FCB">
        <w:rPr>
          <w:rFonts w:hint="cs"/>
          <w:sz w:val="27"/>
          <w:rtl/>
          <w:lang w:bidi="ar-OM"/>
        </w:rPr>
        <w:t>ْ</w:t>
      </w:r>
      <w:r w:rsidR="00644408" w:rsidRPr="00904FCB">
        <w:rPr>
          <w:rFonts w:hint="cs"/>
          <w:sz w:val="27"/>
          <w:rtl/>
          <w:lang w:bidi="ar-OM"/>
        </w:rPr>
        <w:t xml:space="preserve">ن </w:t>
      </w:r>
      <w:r w:rsidR="00C5715C">
        <w:rPr>
          <w:rFonts w:hint="cs"/>
          <w:sz w:val="27"/>
          <w:rtl/>
          <w:lang w:bidi="ar-OM"/>
        </w:rPr>
        <w:t>أ</w:t>
      </w:r>
      <w:r w:rsidR="00644408" w:rsidRPr="00904FCB">
        <w:rPr>
          <w:rFonts w:hint="cs"/>
          <w:sz w:val="27"/>
          <w:rtl/>
          <w:lang w:bidi="ar-OM"/>
        </w:rPr>
        <w:t>ن</w:t>
      </w:r>
      <w:r w:rsidR="00C5715C">
        <w:rPr>
          <w:rFonts w:hint="cs"/>
          <w:sz w:val="27"/>
          <w:rtl/>
          <w:lang w:bidi="ar-OM"/>
        </w:rPr>
        <w:t>ّ</w:t>
      </w:r>
      <w:r w:rsidR="00644408" w:rsidRPr="00904FCB">
        <w:rPr>
          <w:rFonts w:hint="cs"/>
          <w:sz w:val="27"/>
          <w:rtl/>
          <w:lang w:bidi="ar-OM"/>
        </w:rPr>
        <w:t xml:space="preserve">ها تشتمل على ثغرات استدلالية لا يمكن التعويل عليها، بل يرجع بعضهم المنع إلى عوامل ثقافية واجتماعية وتاريخية. </w:t>
      </w:r>
    </w:p>
    <w:p w:rsidR="00BF71A9" w:rsidRPr="00904FCB" w:rsidRDefault="00644408" w:rsidP="00C5715C">
      <w:pPr>
        <w:spacing w:line="420" w:lineRule="exact"/>
        <w:rPr>
          <w:sz w:val="27"/>
          <w:rtl/>
          <w:lang w:bidi="ar-OM"/>
        </w:rPr>
      </w:pPr>
      <w:r w:rsidRPr="00904FCB">
        <w:rPr>
          <w:rFonts w:hint="cs"/>
          <w:sz w:val="27"/>
          <w:rtl/>
          <w:lang w:bidi="ar-OM"/>
        </w:rPr>
        <w:t xml:space="preserve">والواقع </w:t>
      </w:r>
      <w:r w:rsidR="00BF71A9" w:rsidRPr="00904FCB">
        <w:rPr>
          <w:rFonts w:hint="cs"/>
          <w:sz w:val="27"/>
          <w:rtl/>
          <w:lang w:bidi="ar-OM"/>
        </w:rPr>
        <w:t>أ</w:t>
      </w:r>
      <w:r w:rsidRPr="00904FCB">
        <w:rPr>
          <w:rFonts w:hint="cs"/>
          <w:sz w:val="27"/>
          <w:rtl/>
          <w:lang w:bidi="ar-OM"/>
        </w:rPr>
        <w:t>ن تبن</w:t>
      </w:r>
      <w:r w:rsidR="00BF71A9" w:rsidRPr="00904FCB">
        <w:rPr>
          <w:rFonts w:hint="cs"/>
          <w:sz w:val="27"/>
          <w:rtl/>
          <w:lang w:bidi="ar-OM"/>
        </w:rPr>
        <w:t>ّ</w:t>
      </w:r>
      <w:r w:rsidRPr="00904FCB">
        <w:rPr>
          <w:rFonts w:hint="cs"/>
          <w:sz w:val="27"/>
          <w:rtl/>
          <w:lang w:bidi="ar-OM"/>
        </w:rPr>
        <w:t xml:space="preserve">ي أحد المراجع البارزين في الحوزة النجفية </w:t>
      </w:r>
      <w:r w:rsidR="00C5715C">
        <w:rPr>
          <w:rFonts w:hint="cs"/>
          <w:sz w:val="27"/>
          <w:rtl/>
          <w:lang w:bidi="ar-OM"/>
        </w:rPr>
        <w:t xml:space="preserve">في </w:t>
      </w:r>
      <w:r w:rsidRPr="00904FCB">
        <w:rPr>
          <w:rFonts w:hint="cs"/>
          <w:sz w:val="27"/>
          <w:rtl/>
          <w:lang w:bidi="ar-OM"/>
        </w:rPr>
        <w:t>العراق لهذا الاتجاه</w:t>
      </w:r>
      <w:r w:rsidR="00BF71A9" w:rsidRPr="00904FCB">
        <w:rPr>
          <w:rFonts w:hint="cs"/>
          <w:sz w:val="27"/>
          <w:rtl/>
          <w:lang w:bidi="ar-OM"/>
        </w:rPr>
        <w:t>،</w:t>
      </w:r>
      <w:r w:rsidRPr="00904FCB">
        <w:rPr>
          <w:rFonts w:hint="cs"/>
          <w:sz w:val="27"/>
          <w:rtl/>
          <w:lang w:bidi="ar-OM"/>
        </w:rPr>
        <w:t xml:space="preserve"> وهو الشيخ إسحاق الفياض، يشك</w:t>
      </w:r>
      <w:r w:rsidR="00BF71A9" w:rsidRPr="00904FCB">
        <w:rPr>
          <w:rFonts w:hint="cs"/>
          <w:sz w:val="27"/>
          <w:rtl/>
          <w:lang w:bidi="ar-OM"/>
        </w:rPr>
        <w:t>ِّ</w:t>
      </w:r>
      <w:r w:rsidRPr="00904FCB">
        <w:rPr>
          <w:rFonts w:hint="cs"/>
          <w:sz w:val="27"/>
          <w:rtl/>
          <w:lang w:bidi="ar-OM"/>
        </w:rPr>
        <w:t>ل دعما</w:t>
      </w:r>
      <w:r w:rsidR="00BF71A9" w:rsidRPr="00904FCB">
        <w:rPr>
          <w:rFonts w:hint="cs"/>
          <w:sz w:val="27"/>
          <w:rtl/>
          <w:lang w:bidi="ar-OM"/>
        </w:rPr>
        <w:t>ً</w:t>
      </w:r>
      <w:r w:rsidRPr="00904FCB">
        <w:rPr>
          <w:rFonts w:hint="cs"/>
          <w:sz w:val="27"/>
          <w:rtl/>
          <w:lang w:bidi="ar-OM"/>
        </w:rPr>
        <w:t xml:space="preserve"> قويا</w:t>
      </w:r>
      <w:r w:rsidR="00BF71A9" w:rsidRPr="00904FCB">
        <w:rPr>
          <w:rFonts w:hint="cs"/>
          <w:sz w:val="27"/>
          <w:rtl/>
          <w:lang w:bidi="ar-OM"/>
        </w:rPr>
        <w:t>ً</w:t>
      </w:r>
      <w:r w:rsidRPr="00904FCB">
        <w:rPr>
          <w:rFonts w:hint="cs"/>
          <w:sz w:val="27"/>
          <w:rtl/>
          <w:lang w:bidi="ar-OM"/>
        </w:rPr>
        <w:t xml:space="preserve"> له من الناحية العملية</w:t>
      </w:r>
      <w:r w:rsidR="00BF71A9" w:rsidRPr="00904FCB">
        <w:rPr>
          <w:rFonts w:hint="cs"/>
          <w:sz w:val="27"/>
          <w:rtl/>
          <w:lang w:bidi="ar-OM"/>
        </w:rPr>
        <w:t>،</w:t>
      </w:r>
      <w:r w:rsidRPr="00904FCB">
        <w:rPr>
          <w:rFonts w:hint="cs"/>
          <w:sz w:val="27"/>
          <w:rtl/>
          <w:lang w:bidi="ar-OM"/>
        </w:rPr>
        <w:t xml:space="preserve"> ويبعد عنه بعض الإشكاليات التي ت</w:t>
      </w:r>
      <w:r w:rsidR="00BF71A9" w:rsidRPr="00904FCB">
        <w:rPr>
          <w:rFonts w:hint="cs"/>
          <w:sz w:val="27"/>
          <w:rtl/>
          <w:lang w:bidi="ar-OM"/>
        </w:rPr>
        <w:t>ُ</w:t>
      </w:r>
      <w:r w:rsidRPr="00904FCB">
        <w:rPr>
          <w:rFonts w:hint="cs"/>
          <w:sz w:val="27"/>
          <w:rtl/>
          <w:lang w:bidi="ar-OM"/>
        </w:rPr>
        <w:t>ثار ـ في العادة ـ على الاجتهادات الجديدة، من قبيل</w:t>
      </w:r>
      <w:r w:rsidR="00BF71A9" w:rsidRPr="00904FCB">
        <w:rPr>
          <w:rFonts w:hint="cs"/>
          <w:sz w:val="27"/>
          <w:rtl/>
          <w:lang w:bidi="ar-OM"/>
        </w:rPr>
        <w:t>:</w:t>
      </w:r>
      <w:r w:rsidRPr="00904FCB">
        <w:rPr>
          <w:rFonts w:hint="cs"/>
          <w:sz w:val="27"/>
          <w:rtl/>
          <w:lang w:bidi="ar-OM"/>
        </w:rPr>
        <w:t xml:space="preserve"> الخضوع لضغوط المفاهيم الثقافية الحديثة</w:t>
      </w:r>
      <w:r w:rsidR="00BF71A9" w:rsidRPr="00904FCB">
        <w:rPr>
          <w:rFonts w:hint="cs"/>
          <w:sz w:val="27"/>
          <w:rtl/>
          <w:lang w:bidi="ar-OM"/>
        </w:rPr>
        <w:t>،</w:t>
      </w:r>
      <w:r w:rsidRPr="00904FCB">
        <w:rPr>
          <w:rFonts w:hint="cs"/>
          <w:sz w:val="27"/>
          <w:rtl/>
          <w:lang w:bidi="ar-OM"/>
        </w:rPr>
        <w:t xml:space="preserve"> والتأث</w:t>
      </w:r>
      <w:r w:rsidR="00BF71A9" w:rsidRPr="00904FCB">
        <w:rPr>
          <w:rFonts w:hint="cs"/>
          <w:sz w:val="27"/>
          <w:rtl/>
          <w:lang w:bidi="ar-OM"/>
        </w:rPr>
        <w:t>ُّ</w:t>
      </w:r>
      <w:r w:rsidRPr="00904FCB">
        <w:rPr>
          <w:rFonts w:hint="cs"/>
          <w:sz w:val="27"/>
          <w:rtl/>
          <w:lang w:bidi="ar-OM"/>
        </w:rPr>
        <w:t xml:space="preserve">ر ببعض الأفكار الوافدة، وما شابه ذلك. ونأمل </w:t>
      </w:r>
      <w:r w:rsidR="00BF71A9" w:rsidRPr="00904FCB">
        <w:rPr>
          <w:rFonts w:hint="cs"/>
          <w:sz w:val="27"/>
          <w:rtl/>
          <w:lang w:bidi="ar-OM"/>
        </w:rPr>
        <w:t>أ</w:t>
      </w:r>
      <w:r w:rsidRPr="00904FCB">
        <w:rPr>
          <w:rFonts w:hint="cs"/>
          <w:sz w:val="27"/>
          <w:rtl/>
          <w:lang w:bidi="ar-OM"/>
        </w:rPr>
        <w:t>ن يقوم بعض الدارسين من تلامذته باستكمال البحث النظري الاستدلالي على آرائه</w:t>
      </w:r>
      <w:r w:rsidR="00BF71A9" w:rsidRPr="00904FCB">
        <w:rPr>
          <w:rFonts w:hint="cs"/>
          <w:sz w:val="27"/>
          <w:rtl/>
          <w:lang w:bidi="ar-OM"/>
        </w:rPr>
        <w:t>،</w:t>
      </w:r>
      <w:r w:rsidRPr="00904FCB">
        <w:rPr>
          <w:rFonts w:hint="cs"/>
          <w:sz w:val="27"/>
          <w:rtl/>
          <w:lang w:bidi="ar-OM"/>
        </w:rPr>
        <w:t xml:space="preserve"> وطرحه للباحثين المهتم</w:t>
      </w:r>
      <w:r w:rsidR="00BF71A9" w:rsidRPr="00904FCB">
        <w:rPr>
          <w:rFonts w:hint="cs"/>
          <w:sz w:val="27"/>
          <w:rtl/>
          <w:lang w:bidi="ar-OM"/>
        </w:rPr>
        <w:t>ّ</w:t>
      </w:r>
      <w:r w:rsidRPr="00904FCB">
        <w:rPr>
          <w:rFonts w:hint="cs"/>
          <w:sz w:val="27"/>
          <w:rtl/>
          <w:lang w:bidi="ar-OM"/>
        </w:rPr>
        <w:t>ين، الأمر الذي من شأنه أن يسهم في تحريك المياه الراكدة</w:t>
      </w:r>
      <w:r w:rsidR="00BF71A9" w:rsidRPr="00904FCB">
        <w:rPr>
          <w:rFonts w:hint="cs"/>
          <w:sz w:val="27"/>
          <w:rtl/>
          <w:lang w:bidi="ar-OM"/>
        </w:rPr>
        <w:t>،</w:t>
      </w:r>
      <w:r w:rsidRPr="00904FCB">
        <w:rPr>
          <w:rFonts w:hint="cs"/>
          <w:sz w:val="27"/>
          <w:rtl/>
          <w:lang w:bidi="ar-OM"/>
        </w:rPr>
        <w:t xml:space="preserve"> ويدفع </w:t>
      </w:r>
      <w:r w:rsidR="00BF71A9" w:rsidRPr="00904FCB">
        <w:rPr>
          <w:rFonts w:hint="cs"/>
          <w:sz w:val="27"/>
          <w:rtl/>
          <w:lang w:bidi="ar-OM"/>
        </w:rPr>
        <w:t>إ</w:t>
      </w:r>
      <w:r w:rsidRPr="00904FCB">
        <w:rPr>
          <w:rFonts w:hint="cs"/>
          <w:sz w:val="27"/>
          <w:rtl/>
          <w:lang w:bidi="ar-OM"/>
        </w:rPr>
        <w:t>لى مزيد</w:t>
      </w:r>
      <w:r w:rsidR="00BF71A9" w:rsidRPr="00904FCB">
        <w:rPr>
          <w:rFonts w:hint="cs"/>
          <w:sz w:val="27"/>
          <w:rtl/>
          <w:lang w:bidi="ar-OM"/>
        </w:rPr>
        <w:t>ٍ</w:t>
      </w:r>
      <w:r w:rsidRPr="00904FCB">
        <w:rPr>
          <w:rFonts w:hint="cs"/>
          <w:sz w:val="27"/>
          <w:rtl/>
          <w:lang w:bidi="ar-OM"/>
        </w:rPr>
        <w:t xml:space="preserve"> من الأخذ والرد</w:t>
      </w:r>
      <w:r w:rsidR="00BF71A9" w:rsidRPr="00904FCB">
        <w:rPr>
          <w:rFonts w:hint="cs"/>
          <w:sz w:val="27"/>
          <w:rtl/>
          <w:lang w:bidi="ar-OM"/>
        </w:rPr>
        <w:t>ّ</w:t>
      </w:r>
      <w:r w:rsidRPr="00904FCB">
        <w:rPr>
          <w:rFonts w:hint="cs"/>
          <w:sz w:val="27"/>
          <w:rtl/>
          <w:lang w:bidi="ar-OM"/>
        </w:rPr>
        <w:t xml:space="preserve"> والنقد ونقد النقد وفتح باب المراجعة لمختلف الآراء والمباني الفقهية في هذا المجال</w:t>
      </w:r>
      <w:r w:rsidR="00BF71A9" w:rsidRPr="00904FCB">
        <w:rPr>
          <w:rFonts w:hint="cs"/>
          <w:sz w:val="27"/>
          <w:rtl/>
          <w:lang w:bidi="ar-OM"/>
        </w:rPr>
        <w:t>،</w:t>
      </w:r>
      <w:r w:rsidRPr="00904FCB">
        <w:rPr>
          <w:rFonts w:hint="cs"/>
          <w:sz w:val="27"/>
          <w:rtl/>
          <w:lang w:bidi="ar-OM"/>
        </w:rPr>
        <w:t xml:space="preserve"> ويؤد</w:t>
      </w:r>
      <w:r w:rsidR="00BF71A9" w:rsidRPr="00904FCB">
        <w:rPr>
          <w:rFonts w:hint="cs"/>
          <w:sz w:val="27"/>
          <w:rtl/>
          <w:lang w:bidi="ar-OM"/>
        </w:rPr>
        <w:t>ّ</w:t>
      </w:r>
      <w:r w:rsidRPr="00904FCB">
        <w:rPr>
          <w:rFonts w:hint="cs"/>
          <w:sz w:val="27"/>
          <w:rtl/>
          <w:lang w:bidi="ar-OM"/>
        </w:rPr>
        <w:t xml:space="preserve">ي </w:t>
      </w:r>
      <w:r w:rsidR="00BF71A9" w:rsidRPr="00904FCB">
        <w:rPr>
          <w:rFonts w:hint="cs"/>
          <w:sz w:val="27"/>
          <w:rtl/>
          <w:lang w:bidi="ar-OM"/>
        </w:rPr>
        <w:t>إ</w:t>
      </w:r>
      <w:r w:rsidRPr="00904FCB">
        <w:rPr>
          <w:rFonts w:hint="cs"/>
          <w:sz w:val="27"/>
          <w:rtl/>
          <w:lang w:bidi="ar-OM"/>
        </w:rPr>
        <w:t>لى تطوير وتعميق البحث والتنظير في هذا الجانب المهم</w:t>
      </w:r>
      <w:r w:rsidR="00BF71A9" w:rsidRPr="00904FCB">
        <w:rPr>
          <w:rFonts w:hint="cs"/>
          <w:sz w:val="27"/>
          <w:rtl/>
          <w:lang w:bidi="ar-OM"/>
        </w:rPr>
        <w:t>ّ</w:t>
      </w:r>
      <w:r w:rsidRPr="00904FCB">
        <w:rPr>
          <w:rFonts w:hint="cs"/>
          <w:sz w:val="27"/>
          <w:rtl/>
          <w:lang w:bidi="ar-OM"/>
        </w:rPr>
        <w:t xml:space="preserve"> من البحث الفقهي. وثم</w:t>
      </w:r>
      <w:r w:rsidR="00BF71A9" w:rsidRPr="00904FCB">
        <w:rPr>
          <w:rFonts w:hint="cs"/>
          <w:sz w:val="27"/>
          <w:rtl/>
          <w:lang w:bidi="ar-OM"/>
        </w:rPr>
        <w:t>ّ</w:t>
      </w:r>
      <w:r w:rsidRPr="00904FCB">
        <w:rPr>
          <w:rFonts w:hint="cs"/>
          <w:sz w:val="27"/>
          <w:rtl/>
          <w:lang w:bidi="ar-OM"/>
        </w:rPr>
        <w:t>ة ترد</w:t>
      </w:r>
      <w:r w:rsidR="00BF71A9" w:rsidRPr="00904FCB">
        <w:rPr>
          <w:rFonts w:hint="cs"/>
          <w:sz w:val="27"/>
          <w:rtl/>
          <w:lang w:bidi="ar-OM"/>
        </w:rPr>
        <w:t>ُّ</w:t>
      </w:r>
      <w:r w:rsidRPr="00904FCB">
        <w:rPr>
          <w:rFonts w:hint="cs"/>
          <w:sz w:val="27"/>
          <w:rtl/>
          <w:lang w:bidi="ar-OM"/>
        </w:rPr>
        <w:t>د ملحوظ لدى بعض العلماء في حسم الموقف في مثل هذه المسائل الح</w:t>
      </w:r>
      <w:r w:rsidR="00BF71A9" w:rsidRPr="00904FCB">
        <w:rPr>
          <w:rFonts w:hint="cs"/>
          <w:sz w:val="27"/>
          <w:rtl/>
          <w:lang w:bidi="ar-OM"/>
        </w:rPr>
        <w:t>َ</w:t>
      </w:r>
      <w:r w:rsidRPr="00904FCB">
        <w:rPr>
          <w:rFonts w:hint="cs"/>
          <w:sz w:val="27"/>
          <w:rtl/>
          <w:lang w:bidi="ar-OM"/>
        </w:rPr>
        <w:t>ر</w:t>
      </w:r>
      <w:r w:rsidR="00BF71A9" w:rsidRPr="00904FCB">
        <w:rPr>
          <w:rFonts w:hint="cs"/>
          <w:sz w:val="27"/>
          <w:rtl/>
          <w:lang w:bidi="ar-OM"/>
        </w:rPr>
        <w:t>ِ</w:t>
      </w:r>
      <w:r w:rsidRPr="00904FCB">
        <w:rPr>
          <w:rFonts w:hint="cs"/>
          <w:sz w:val="27"/>
          <w:rtl/>
          <w:lang w:bidi="ar-OM"/>
        </w:rPr>
        <w:t xml:space="preserve">جة من الناحية الاجتماعية والثقافية. </w:t>
      </w:r>
      <w:r w:rsidR="00BF71A9" w:rsidRPr="00904FCB">
        <w:rPr>
          <w:rFonts w:hint="cs"/>
          <w:sz w:val="27"/>
          <w:rtl/>
          <w:lang w:bidi="ar-OM"/>
        </w:rPr>
        <w:t>وعلى أيّ حال</w:t>
      </w:r>
      <w:r w:rsidRPr="00904FCB">
        <w:rPr>
          <w:rFonts w:hint="cs"/>
          <w:sz w:val="27"/>
          <w:rtl/>
          <w:lang w:bidi="ar-OM"/>
        </w:rPr>
        <w:t xml:space="preserve"> فقد مي</w:t>
      </w:r>
      <w:r w:rsidR="00BF71A9" w:rsidRPr="00904FCB">
        <w:rPr>
          <w:rFonts w:hint="cs"/>
          <w:sz w:val="27"/>
          <w:rtl/>
          <w:lang w:bidi="ar-OM"/>
        </w:rPr>
        <w:t>َّ</w:t>
      </w:r>
      <w:r w:rsidRPr="00904FCB">
        <w:rPr>
          <w:rFonts w:hint="cs"/>
          <w:sz w:val="27"/>
          <w:rtl/>
          <w:lang w:bidi="ar-OM"/>
        </w:rPr>
        <w:t>ز بعضهم في آرائه ومتبنياته العلمية بين مقام</w:t>
      </w:r>
      <w:r w:rsidR="00BF71A9" w:rsidRPr="00904FCB">
        <w:rPr>
          <w:rFonts w:hint="cs"/>
          <w:sz w:val="27"/>
          <w:rtl/>
          <w:lang w:bidi="ar-OM"/>
        </w:rPr>
        <w:t>َ</w:t>
      </w:r>
      <w:r w:rsidRPr="00904FCB">
        <w:rPr>
          <w:rFonts w:hint="cs"/>
          <w:sz w:val="27"/>
          <w:rtl/>
          <w:lang w:bidi="ar-OM"/>
        </w:rPr>
        <w:t>ي</w:t>
      </w:r>
      <w:r w:rsidR="00BF71A9" w:rsidRPr="00904FCB">
        <w:rPr>
          <w:rFonts w:hint="cs"/>
          <w:sz w:val="27"/>
          <w:rtl/>
          <w:lang w:bidi="ar-OM"/>
        </w:rPr>
        <w:t>ْ</w:t>
      </w:r>
      <w:r w:rsidRPr="00904FCB">
        <w:rPr>
          <w:rFonts w:hint="cs"/>
          <w:sz w:val="27"/>
          <w:rtl/>
          <w:lang w:bidi="ar-OM"/>
        </w:rPr>
        <w:t xml:space="preserve"> الفتوى و</w:t>
      </w:r>
      <w:r w:rsidR="00BF71A9" w:rsidRPr="00904FCB">
        <w:rPr>
          <w:rFonts w:hint="cs"/>
          <w:sz w:val="27"/>
          <w:rtl/>
          <w:lang w:bidi="ar-OM"/>
        </w:rPr>
        <w:t>بيان الرأي الفقهي النظري،</w:t>
      </w:r>
      <w:r w:rsidRPr="00904FCB">
        <w:rPr>
          <w:rFonts w:hint="cs"/>
          <w:sz w:val="27"/>
          <w:rtl/>
          <w:lang w:bidi="ar-OM"/>
        </w:rPr>
        <w:t xml:space="preserve"> فالتزم في مقام الفتوى نوعا</w:t>
      </w:r>
      <w:r w:rsidR="00BF71A9" w:rsidRPr="00904FCB">
        <w:rPr>
          <w:rFonts w:hint="cs"/>
          <w:sz w:val="27"/>
          <w:rtl/>
          <w:lang w:bidi="ar-OM"/>
        </w:rPr>
        <w:t>ً</w:t>
      </w:r>
      <w:r w:rsidRPr="00904FCB">
        <w:rPr>
          <w:rFonts w:hint="cs"/>
          <w:sz w:val="27"/>
          <w:rtl/>
          <w:lang w:bidi="ar-OM"/>
        </w:rPr>
        <w:t xml:space="preserve"> من الاحتياط</w:t>
      </w:r>
      <w:r w:rsidR="00BF71A9" w:rsidRPr="00904FCB">
        <w:rPr>
          <w:rFonts w:hint="cs"/>
          <w:sz w:val="27"/>
          <w:rtl/>
          <w:lang w:bidi="ar-OM"/>
        </w:rPr>
        <w:t>،</w:t>
      </w:r>
      <w:r w:rsidRPr="00904FCB">
        <w:rPr>
          <w:rFonts w:hint="cs"/>
          <w:sz w:val="27"/>
          <w:rtl/>
          <w:lang w:bidi="ar-OM"/>
        </w:rPr>
        <w:t xml:space="preserve"> أو راعى دعاو</w:t>
      </w:r>
      <w:r w:rsidR="00BF71A9" w:rsidRPr="00904FCB">
        <w:rPr>
          <w:rFonts w:hint="cs"/>
          <w:sz w:val="27"/>
          <w:rtl/>
          <w:lang w:bidi="ar-OM"/>
        </w:rPr>
        <w:t>ى</w:t>
      </w:r>
      <w:r w:rsidRPr="00904FCB">
        <w:rPr>
          <w:rFonts w:hint="cs"/>
          <w:sz w:val="27"/>
          <w:rtl/>
          <w:lang w:bidi="ar-OM"/>
        </w:rPr>
        <w:t xml:space="preserve"> ال</w:t>
      </w:r>
      <w:r w:rsidR="00BF71A9" w:rsidRPr="00904FCB">
        <w:rPr>
          <w:rFonts w:hint="cs"/>
          <w:sz w:val="27"/>
          <w:rtl/>
          <w:lang w:bidi="ar-OM"/>
        </w:rPr>
        <w:t>إ</w:t>
      </w:r>
      <w:r w:rsidRPr="00904FCB">
        <w:rPr>
          <w:rFonts w:hint="cs"/>
          <w:sz w:val="27"/>
          <w:rtl/>
          <w:lang w:bidi="ar-OM"/>
        </w:rPr>
        <w:t>جماع والتسالم وما شابه</w:t>
      </w:r>
      <w:r w:rsidR="00BF71A9" w:rsidRPr="00904FCB">
        <w:rPr>
          <w:rFonts w:hint="cs"/>
          <w:sz w:val="27"/>
          <w:rtl/>
          <w:lang w:bidi="ar-OM"/>
        </w:rPr>
        <w:t>،</w:t>
      </w:r>
      <w:r w:rsidRPr="00904FCB">
        <w:rPr>
          <w:rFonts w:hint="cs"/>
          <w:sz w:val="27"/>
          <w:rtl/>
          <w:lang w:bidi="ar-OM"/>
        </w:rPr>
        <w:t xml:space="preserve"> واستثقل أو لم يشأ مخالفتها، بينما أبدى رأيه العلمي الموافق لمناهج البحث المتعارفة في بحوثه العلمية النظرية</w:t>
      </w:r>
      <w:r w:rsidR="00BF71A9" w:rsidRPr="00904FCB">
        <w:rPr>
          <w:rFonts w:hint="cs"/>
          <w:sz w:val="27"/>
          <w:rtl/>
          <w:lang w:bidi="ar-OM"/>
        </w:rPr>
        <w:t>.</w:t>
      </w:r>
    </w:p>
    <w:p w:rsidR="00BF71A9" w:rsidRPr="00904FCB" w:rsidRDefault="00644408" w:rsidP="00C5715C">
      <w:pPr>
        <w:spacing w:line="400" w:lineRule="exact"/>
        <w:rPr>
          <w:sz w:val="27"/>
          <w:rtl/>
          <w:lang w:bidi="ar-OM"/>
        </w:rPr>
      </w:pPr>
      <w:r w:rsidRPr="00904FCB">
        <w:rPr>
          <w:rFonts w:hint="cs"/>
          <w:sz w:val="27"/>
          <w:rtl/>
          <w:lang w:bidi="ar-OM"/>
        </w:rPr>
        <w:lastRenderedPageBreak/>
        <w:t>وقد يستسهل بعض الكت</w:t>
      </w:r>
      <w:r w:rsidR="00BF71A9" w:rsidRPr="00904FCB">
        <w:rPr>
          <w:rFonts w:hint="cs"/>
          <w:sz w:val="27"/>
          <w:rtl/>
          <w:lang w:bidi="ar-OM"/>
        </w:rPr>
        <w:t>ّ</w:t>
      </w:r>
      <w:r w:rsidRPr="00904FCB">
        <w:rPr>
          <w:rFonts w:hint="cs"/>
          <w:sz w:val="27"/>
          <w:rtl/>
          <w:lang w:bidi="ar-OM"/>
        </w:rPr>
        <w:t>اب توصيف بعض الاتجاهات البحثية بالتأث</w:t>
      </w:r>
      <w:r w:rsidR="00BF71A9" w:rsidRPr="00904FCB">
        <w:rPr>
          <w:rFonts w:hint="cs"/>
          <w:sz w:val="27"/>
          <w:rtl/>
          <w:lang w:bidi="ar-OM"/>
        </w:rPr>
        <w:t>ُّ</w:t>
      </w:r>
      <w:r w:rsidRPr="00904FCB">
        <w:rPr>
          <w:rFonts w:hint="cs"/>
          <w:sz w:val="27"/>
          <w:rtl/>
          <w:lang w:bidi="ar-OM"/>
        </w:rPr>
        <w:t xml:space="preserve">ر بالبيئة الاجتماعية وموروثها الثقافي </w:t>
      </w:r>
      <w:r w:rsidRPr="00904FCB">
        <w:rPr>
          <w:sz w:val="27"/>
          <w:rtl/>
          <w:lang w:bidi="ar-OM"/>
        </w:rPr>
        <w:t>ـ</w:t>
      </w:r>
      <w:r w:rsidRPr="00904FCB">
        <w:rPr>
          <w:rFonts w:hint="cs"/>
          <w:sz w:val="27"/>
          <w:rtl/>
          <w:lang w:bidi="ar-OM"/>
        </w:rPr>
        <w:t xml:space="preserve"> ولو بشكل</w:t>
      </w:r>
      <w:r w:rsidR="00BF71A9" w:rsidRPr="00904FCB">
        <w:rPr>
          <w:rFonts w:hint="cs"/>
          <w:sz w:val="27"/>
          <w:rtl/>
          <w:lang w:bidi="ar-OM"/>
        </w:rPr>
        <w:t>ٍ</w:t>
      </w:r>
      <w:r w:rsidRPr="00904FCB">
        <w:rPr>
          <w:rFonts w:hint="cs"/>
          <w:sz w:val="27"/>
          <w:rtl/>
          <w:lang w:bidi="ar-OM"/>
        </w:rPr>
        <w:t xml:space="preserve"> تلقائي </w:t>
      </w:r>
      <w:r w:rsidRPr="00904FCB">
        <w:rPr>
          <w:sz w:val="27"/>
          <w:rtl/>
          <w:lang w:bidi="ar-OM"/>
        </w:rPr>
        <w:t>ـ</w:t>
      </w:r>
      <w:r w:rsidRPr="00904FCB">
        <w:rPr>
          <w:rFonts w:hint="cs"/>
          <w:sz w:val="27"/>
          <w:rtl/>
          <w:lang w:bidi="ar-OM"/>
        </w:rPr>
        <w:t xml:space="preserve">. وفي المقابل قد يندفع آخرون فيعتبرون </w:t>
      </w:r>
      <w:r w:rsidR="00C5715C">
        <w:rPr>
          <w:rFonts w:hint="cs"/>
          <w:sz w:val="27"/>
          <w:rtl/>
          <w:lang w:bidi="ar-OM"/>
        </w:rPr>
        <w:t xml:space="preserve">أنّ </w:t>
      </w:r>
      <w:r w:rsidRPr="00904FCB">
        <w:rPr>
          <w:rFonts w:hint="cs"/>
          <w:sz w:val="27"/>
          <w:rtl/>
          <w:lang w:bidi="ar-OM"/>
        </w:rPr>
        <w:t>بعض الاجتهادات المعاصرة تلوي أعناق النصوص</w:t>
      </w:r>
      <w:r w:rsidR="00BF71A9" w:rsidRPr="00904FCB">
        <w:rPr>
          <w:rFonts w:hint="cs"/>
          <w:sz w:val="27"/>
          <w:rtl/>
          <w:lang w:bidi="ar-OM"/>
        </w:rPr>
        <w:t>؛</w:t>
      </w:r>
      <w:r w:rsidRPr="00904FCB">
        <w:rPr>
          <w:rFonts w:hint="cs"/>
          <w:sz w:val="27"/>
          <w:rtl/>
          <w:lang w:bidi="ar-OM"/>
        </w:rPr>
        <w:t xml:space="preserve"> مجاراة لبعض المفاهيم الوافدة</w:t>
      </w:r>
      <w:r w:rsidR="00BF71A9" w:rsidRPr="00904FCB">
        <w:rPr>
          <w:rFonts w:hint="cs"/>
          <w:sz w:val="27"/>
          <w:rtl/>
          <w:lang w:bidi="ar-OM"/>
        </w:rPr>
        <w:t>.</w:t>
      </w:r>
    </w:p>
    <w:p w:rsidR="00644408" w:rsidRPr="00904FCB" w:rsidRDefault="00BF71A9" w:rsidP="00C5715C">
      <w:pPr>
        <w:spacing w:line="380" w:lineRule="exact"/>
        <w:rPr>
          <w:sz w:val="27"/>
          <w:rtl/>
          <w:lang w:bidi="ar-OM"/>
        </w:rPr>
      </w:pPr>
      <w:r w:rsidRPr="00904FCB">
        <w:rPr>
          <w:rFonts w:hint="cs"/>
          <w:sz w:val="27"/>
          <w:rtl/>
          <w:lang w:bidi="ar-OM"/>
        </w:rPr>
        <w:t>وكما أ</w:t>
      </w:r>
      <w:r w:rsidR="00644408" w:rsidRPr="00904FCB">
        <w:rPr>
          <w:rFonts w:hint="cs"/>
          <w:sz w:val="27"/>
          <w:rtl/>
          <w:lang w:bidi="ar-OM"/>
        </w:rPr>
        <w:t>ن الاندفاع في تبن</w:t>
      </w:r>
      <w:r w:rsidRPr="00904FCB">
        <w:rPr>
          <w:rFonts w:hint="cs"/>
          <w:sz w:val="27"/>
          <w:rtl/>
          <w:lang w:bidi="ar-OM"/>
        </w:rPr>
        <w:t>ّ</w:t>
      </w:r>
      <w:r w:rsidR="00644408" w:rsidRPr="00904FCB">
        <w:rPr>
          <w:rFonts w:hint="cs"/>
          <w:sz w:val="27"/>
          <w:rtl/>
          <w:lang w:bidi="ar-OM"/>
        </w:rPr>
        <w:t xml:space="preserve">ي الآراء المنسجمة مع التوجهات الحديثة ورفع اليد عن الأدلة والأصول البحثية السليمة أمر غير مقبول، </w:t>
      </w:r>
      <w:r w:rsidRPr="00904FCB">
        <w:rPr>
          <w:rFonts w:hint="cs"/>
          <w:sz w:val="27"/>
          <w:rtl/>
          <w:lang w:bidi="ar-OM"/>
        </w:rPr>
        <w:t>ف</w:t>
      </w:r>
      <w:r w:rsidR="00644408" w:rsidRPr="00904FCB">
        <w:rPr>
          <w:rFonts w:hint="cs"/>
          <w:sz w:val="27"/>
          <w:rtl/>
          <w:lang w:bidi="ar-OM"/>
        </w:rPr>
        <w:t xml:space="preserve">كذلك الحال بالنسبة </w:t>
      </w:r>
      <w:r w:rsidRPr="00904FCB">
        <w:rPr>
          <w:rFonts w:hint="cs"/>
          <w:sz w:val="27"/>
          <w:rtl/>
          <w:lang w:bidi="ar-OM"/>
        </w:rPr>
        <w:t>إلى ا</w:t>
      </w:r>
      <w:r w:rsidR="00644408" w:rsidRPr="00904FCB">
        <w:rPr>
          <w:rFonts w:hint="cs"/>
          <w:sz w:val="27"/>
          <w:rtl/>
          <w:lang w:bidi="ar-OM"/>
        </w:rPr>
        <w:t>لجمود على المواقف الموروثة دون دليل</w:t>
      </w:r>
      <w:r w:rsidRPr="00904FCB">
        <w:rPr>
          <w:rFonts w:hint="cs"/>
          <w:sz w:val="27"/>
          <w:rtl/>
          <w:lang w:bidi="ar-OM"/>
        </w:rPr>
        <w:t>ٍ</w:t>
      </w:r>
      <w:r w:rsidR="00644408" w:rsidRPr="00904FCB">
        <w:rPr>
          <w:rFonts w:hint="cs"/>
          <w:sz w:val="27"/>
          <w:rtl/>
          <w:lang w:bidi="ar-OM"/>
        </w:rPr>
        <w:t xml:space="preserve"> واضح، بل لمجر</w:t>
      </w:r>
      <w:r w:rsidRPr="00904FCB">
        <w:rPr>
          <w:rFonts w:hint="cs"/>
          <w:sz w:val="27"/>
          <w:rtl/>
          <w:lang w:bidi="ar-OM"/>
        </w:rPr>
        <w:t>ّ</w:t>
      </w:r>
      <w:r w:rsidR="00644408" w:rsidRPr="00904FCB">
        <w:rPr>
          <w:rFonts w:hint="cs"/>
          <w:sz w:val="27"/>
          <w:rtl/>
          <w:lang w:bidi="ar-OM"/>
        </w:rPr>
        <w:t>د التهر</w:t>
      </w:r>
      <w:r w:rsidRPr="00904FCB">
        <w:rPr>
          <w:rFonts w:hint="cs"/>
          <w:sz w:val="27"/>
          <w:rtl/>
          <w:lang w:bidi="ar-OM"/>
        </w:rPr>
        <w:t>ُّ</w:t>
      </w:r>
      <w:r w:rsidR="00644408" w:rsidRPr="00904FCB">
        <w:rPr>
          <w:rFonts w:hint="cs"/>
          <w:sz w:val="27"/>
          <w:rtl/>
          <w:lang w:bidi="ar-OM"/>
        </w:rPr>
        <w:t>ب من توصيفات الخضوع للأفكار الوافدة، فإنه أمر</w:t>
      </w:r>
      <w:r w:rsidRPr="00904FCB">
        <w:rPr>
          <w:rFonts w:hint="cs"/>
          <w:sz w:val="27"/>
          <w:rtl/>
          <w:lang w:bidi="ar-OM"/>
        </w:rPr>
        <w:t>ٌ</w:t>
      </w:r>
      <w:r w:rsidR="00644408" w:rsidRPr="00904FCB">
        <w:rPr>
          <w:rFonts w:hint="cs"/>
          <w:sz w:val="27"/>
          <w:rtl/>
          <w:lang w:bidi="ar-OM"/>
        </w:rPr>
        <w:t xml:space="preserve"> غير مقبول أيضا</w:t>
      </w:r>
      <w:r w:rsidRPr="00904FCB">
        <w:rPr>
          <w:rFonts w:hint="cs"/>
          <w:sz w:val="27"/>
          <w:rtl/>
          <w:lang w:bidi="ar-OM"/>
        </w:rPr>
        <w:t>ً؛</w:t>
      </w:r>
      <w:r w:rsidR="00644408" w:rsidRPr="00904FCB">
        <w:rPr>
          <w:rFonts w:hint="cs"/>
          <w:sz w:val="27"/>
          <w:rtl/>
          <w:lang w:bidi="ar-OM"/>
        </w:rPr>
        <w:t xml:space="preserve"> لأنه يسهم في تكريس وصف الفقه الإسلامي بالجمود وعدم </w:t>
      </w:r>
      <w:r w:rsidRPr="00904FCB">
        <w:rPr>
          <w:rFonts w:hint="cs"/>
          <w:sz w:val="27"/>
          <w:rtl/>
          <w:lang w:bidi="ar-OM"/>
        </w:rPr>
        <w:t>مواكبة</w:t>
      </w:r>
      <w:r w:rsidR="00644408" w:rsidRPr="00904FCB">
        <w:rPr>
          <w:rFonts w:hint="cs"/>
          <w:sz w:val="27"/>
          <w:rtl/>
          <w:lang w:bidi="ar-OM"/>
        </w:rPr>
        <w:t xml:space="preserve"> حركة التطو</w:t>
      </w:r>
      <w:r w:rsidRPr="00904FCB">
        <w:rPr>
          <w:rFonts w:hint="cs"/>
          <w:sz w:val="27"/>
          <w:rtl/>
          <w:lang w:bidi="ar-OM"/>
        </w:rPr>
        <w:t>ُّ</w:t>
      </w:r>
      <w:r w:rsidR="00644408" w:rsidRPr="00904FCB">
        <w:rPr>
          <w:rFonts w:hint="cs"/>
          <w:sz w:val="27"/>
          <w:rtl/>
          <w:lang w:bidi="ar-OM"/>
        </w:rPr>
        <w:t>ر الاجتماعي</w:t>
      </w:r>
      <w:r w:rsidRPr="00904FCB">
        <w:rPr>
          <w:rFonts w:hint="cs"/>
          <w:sz w:val="27"/>
          <w:rtl/>
          <w:lang w:bidi="ar-OM"/>
        </w:rPr>
        <w:t>.</w:t>
      </w:r>
      <w:r w:rsidR="00644408" w:rsidRPr="00904FCB">
        <w:rPr>
          <w:rFonts w:hint="cs"/>
          <w:sz w:val="27"/>
          <w:rtl/>
          <w:lang w:bidi="ar-OM"/>
        </w:rPr>
        <w:t xml:space="preserve"> كما </w:t>
      </w:r>
      <w:r w:rsidRPr="00904FCB">
        <w:rPr>
          <w:rFonts w:hint="cs"/>
          <w:sz w:val="27"/>
          <w:rtl/>
          <w:lang w:bidi="ar-OM"/>
        </w:rPr>
        <w:t>أ</w:t>
      </w:r>
      <w:r w:rsidR="00644408" w:rsidRPr="00904FCB">
        <w:rPr>
          <w:rFonts w:hint="cs"/>
          <w:sz w:val="27"/>
          <w:rtl/>
          <w:lang w:bidi="ar-OM"/>
        </w:rPr>
        <w:t>نه يضيق ما يفترض أن يكون موس</w:t>
      </w:r>
      <w:r w:rsidRPr="00904FCB">
        <w:rPr>
          <w:rFonts w:hint="cs"/>
          <w:sz w:val="27"/>
          <w:rtl/>
          <w:lang w:bidi="ar-OM"/>
        </w:rPr>
        <w:t>َّ</w:t>
      </w:r>
      <w:r w:rsidR="00644408" w:rsidRPr="00904FCB">
        <w:rPr>
          <w:rFonts w:hint="cs"/>
          <w:sz w:val="27"/>
          <w:rtl/>
          <w:lang w:bidi="ar-OM"/>
        </w:rPr>
        <w:t>عا</w:t>
      </w:r>
      <w:r w:rsidRPr="00904FCB">
        <w:rPr>
          <w:rFonts w:hint="cs"/>
          <w:sz w:val="27"/>
          <w:rtl/>
          <w:lang w:bidi="ar-OM"/>
        </w:rPr>
        <w:t>ً</w:t>
      </w:r>
      <w:r w:rsidR="00644408" w:rsidRPr="00904FCB">
        <w:rPr>
          <w:rFonts w:hint="cs"/>
          <w:sz w:val="27"/>
          <w:rtl/>
          <w:lang w:bidi="ar-OM"/>
        </w:rPr>
        <w:t xml:space="preserve"> على الناس</w:t>
      </w:r>
      <w:r w:rsidRPr="00904FCB">
        <w:rPr>
          <w:rFonts w:hint="cs"/>
          <w:sz w:val="27"/>
          <w:rtl/>
          <w:lang w:bidi="ar-OM"/>
        </w:rPr>
        <w:t xml:space="preserve">، </w:t>
      </w:r>
      <w:r w:rsidR="00644408" w:rsidRPr="00904FCB">
        <w:rPr>
          <w:rFonts w:hint="cs"/>
          <w:sz w:val="27"/>
          <w:rtl/>
          <w:lang w:bidi="ar-OM"/>
        </w:rPr>
        <w:t>مم</w:t>
      </w:r>
      <w:r w:rsidRPr="00904FCB">
        <w:rPr>
          <w:rFonts w:hint="cs"/>
          <w:sz w:val="27"/>
          <w:rtl/>
          <w:lang w:bidi="ar-OM"/>
        </w:rPr>
        <w:t>ّ</w:t>
      </w:r>
      <w:r w:rsidR="00644408" w:rsidRPr="00904FCB">
        <w:rPr>
          <w:rFonts w:hint="cs"/>
          <w:sz w:val="27"/>
          <w:rtl/>
          <w:lang w:bidi="ar-OM"/>
        </w:rPr>
        <w:t>ا يوقعهم في أنواع المشق</w:t>
      </w:r>
      <w:r w:rsidRPr="00904FCB">
        <w:rPr>
          <w:rFonts w:hint="cs"/>
          <w:sz w:val="27"/>
          <w:rtl/>
          <w:lang w:bidi="ar-OM"/>
        </w:rPr>
        <w:t>ّ</w:t>
      </w:r>
      <w:r w:rsidR="00644408" w:rsidRPr="00904FCB">
        <w:rPr>
          <w:rFonts w:hint="cs"/>
          <w:sz w:val="27"/>
          <w:rtl/>
          <w:lang w:bidi="ar-OM"/>
        </w:rPr>
        <w:t>ة والح</w:t>
      </w:r>
      <w:r w:rsidRPr="00904FCB">
        <w:rPr>
          <w:rFonts w:hint="cs"/>
          <w:sz w:val="27"/>
          <w:rtl/>
          <w:lang w:bidi="ar-OM"/>
        </w:rPr>
        <w:t>َ</w:t>
      </w:r>
      <w:r w:rsidR="00644408" w:rsidRPr="00904FCB">
        <w:rPr>
          <w:rFonts w:hint="cs"/>
          <w:sz w:val="27"/>
          <w:rtl/>
          <w:lang w:bidi="ar-OM"/>
        </w:rPr>
        <w:t>ر</w:t>
      </w:r>
      <w:r w:rsidRPr="00904FCB">
        <w:rPr>
          <w:rFonts w:hint="cs"/>
          <w:sz w:val="27"/>
          <w:rtl/>
          <w:lang w:bidi="ar-OM"/>
        </w:rPr>
        <w:t>َ</w:t>
      </w:r>
      <w:r w:rsidR="00644408" w:rsidRPr="00904FCB">
        <w:rPr>
          <w:rFonts w:hint="cs"/>
          <w:sz w:val="27"/>
          <w:rtl/>
          <w:lang w:bidi="ar-OM"/>
        </w:rPr>
        <w:t>ج</w:t>
      </w:r>
      <w:r w:rsidRPr="00904FCB">
        <w:rPr>
          <w:rFonts w:hint="cs"/>
          <w:sz w:val="27"/>
          <w:rtl/>
          <w:lang w:bidi="ar-OM"/>
        </w:rPr>
        <w:t>.</w:t>
      </w:r>
      <w:r w:rsidR="00644408" w:rsidRPr="00904FCB">
        <w:rPr>
          <w:rFonts w:hint="cs"/>
          <w:sz w:val="27"/>
          <w:rtl/>
          <w:lang w:bidi="ar-OM"/>
        </w:rPr>
        <w:t xml:space="preserve"> ولكلا النهجين تداعيات وانعكاسات فاسدة. ولا تخفى أهم</w:t>
      </w:r>
      <w:r w:rsidRPr="00904FCB">
        <w:rPr>
          <w:rFonts w:hint="cs"/>
          <w:sz w:val="27"/>
          <w:rtl/>
          <w:lang w:bidi="ar-OM"/>
        </w:rPr>
        <w:t>ّ</w:t>
      </w:r>
      <w:r w:rsidR="00644408" w:rsidRPr="00904FCB">
        <w:rPr>
          <w:rFonts w:hint="cs"/>
          <w:sz w:val="27"/>
          <w:rtl/>
          <w:lang w:bidi="ar-OM"/>
        </w:rPr>
        <w:t>ية المراجعة المنهجية للاجتهادات السالفة</w:t>
      </w:r>
      <w:r w:rsidRPr="00904FCB">
        <w:rPr>
          <w:rFonts w:hint="cs"/>
          <w:sz w:val="27"/>
          <w:rtl/>
          <w:lang w:bidi="ar-OM"/>
        </w:rPr>
        <w:t>،</w:t>
      </w:r>
      <w:r w:rsidR="00644408" w:rsidRPr="00904FCB">
        <w:rPr>
          <w:rFonts w:hint="cs"/>
          <w:sz w:val="27"/>
          <w:rtl/>
          <w:lang w:bidi="ar-OM"/>
        </w:rPr>
        <w:t xml:space="preserve"> ومحاكمة أدل</w:t>
      </w:r>
      <w:r w:rsidRPr="00904FCB">
        <w:rPr>
          <w:rFonts w:hint="cs"/>
          <w:sz w:val="27"/>
          <w:rtl/>
          <w:lang w:bidi="ar-OM"/>
        </w:rPr>
        <w:t>ّ</w:t>
      </w:r>
      <w:r w:rsidR="00644408" w:rsidRPr="00904FCB">
        <w:rPr>
          <w:rFonts w:hint="cs"/>
          <w:sz w:val="27"/>
          <w:rtl/>
          <w:lang w:bidi="ar-OM"/>
        </w:rPr>
        <w:t>تها ومبانيها</w:t>
      </w:r>
      <w:r w:rsidRPr="00904FCB">
        <w:rPr>
          <w:rFonts w:hint="cs"/>
          <w:sz w:val="27"/>
          <w:rtl/>
          <w:lang w:bidi="ar-OM"/>
        </w:rPr>
        <w:t>،</w:t>
      </w:r>
      <w:r w:rsidR="00644408" w:rsidRPr="00904FCB">
        <w:rPr>
          <w:rFonts w:hint="cs"/>
          <w:sz w:val="27"/>
          <w:rtl/>
          <w:lang w:bidi="ar-OM"/>
        </w:rPr>
        <w:t xml:space="preserve"> ونقدها بطرق</w:t>
      </w:r>
      <w:r w:rsidRPr="00904FCB">
        <w:rPr>
          <w:rFonts w:hint="cs"/>
          <w:sz w:val="27"/>
          <w:rtl/>
          <w:lang w:bidi="ar-OM"/>
        </w:rPr>
        <w:t>ٍ</w:t>
      </w:r>
      <w:r w:rsidR="00644408" w:rsidRPr="00904FCB">
        <w:rPr>
          <w:rFonts w:hint="cs"/>
          <w:sz w:val="27"/>
          <w:rtl/>
          <w:lang w:bidi="ar-OM"/>
        </w:rPr>
        <w:t xml:space="preserve"> علمية رصينة، الأمر الذي يسهم في تطوير حركة الاجتهاد</w:t>
      </w:r>
      <w:r w:rsidRPr="00904FCB">
        <w:rPr>
          <w:rFonts w:hint="cs"/>
          <w:sz w:val="27"/>
          <w:rtl/>
          <w:lang w:bidi="ar-OM"/>
        </w:rPr>
        <w:t>،</w:t>
      </w:r>
      <w:r w:rsidR="00644408" w:rsidRPr="00904FCB">
        <w:rPr>
          <w:rFonts w:hint="cs"/>
          <w:sz w:val="27"/>
          <w:rtl/>
          <w:lang w:bidi="ar-OM"/>
        </w:rPr>
        <w:t xml:space="preserve"> وفي إغناء البحث الفقهي</w:t>
      </w:r>
      <w:r w:rsidRPr="00904FCB">
        <w:rPr>
          <w:rFonts w:hint="cs"/>
          <w:sz w:val="27"/>
          <w:rtl/>
          <w:lang w:bidi="ar-OM"/>
        </w:rPr>
        <w:t>؛</w:t>
      </w:r>
      <w:r w:rsidR="00644408" w:rsidRPr="00904FCB">
        <w:rPr>
          <w:rFonts w:hint="cs"/>
          <w:sz w:val="27"/>
          <w:rtl/>
          <w:lang w:bidi="ar-OM"/>
        </w:rPr>
        <w:t xml:space="preserve"> لكي يواكب مستلزمات الحوادث الواقعة والتطو</w:t>
      </w:r>
      <w:r w:rsidRPr="00904FCB">
        <w:rPr>
          <w:rFonts w:hint="cs"/>
          <w:sz w:val="27"/>
          <w:rtl/>
          <w:lang w:bidi="ar-OM"/>
        </w:rPr>
        <w:t>ُّ</w:t>
      </w:r>
      <w:r w:rsidR="00644408" w:rsidRPr="00904FCB">
        <w:rPr>
          <w:rFonts w:hint="cs"/>
          <w:sz w:val="27"/>
          <w:rtl/>
          <w:lang w:bidi="ar-OM"/>
        </w:rPr>
        <w:t xml:space="preserve">ر الاجتماعي المتسارع. </w:t>
      </w:r>
    </w:p>
    <w:p w:rsidR="00E83C22" w:rsidRPr="00904FCB" w:rsidRDefault="00644408" w:rsidP="008D5CB3">
      <w:pPr>
        <w:spacing w:line="380" w:lineRule="exact"/>
        <w:rPr>
          <w:rtl/>
          <w:lang w:bidi="ar-OM"/>
        </w:rPr>
      </w:pPr>
      <w:r w:rsidRPr="00904FCB">
        <w:rPr>
          <w:rFonts w:hint="cs"/>
          <w:rtl/>
          <w:lang w:bidi="ar-OM"/>
        </w:rPr>
        <w:t>وأخيراً لا ب</w:t>
      </w:r>
      <w:r w:rsidR="00BF71A9" w:rsidRPr="00904FCB">
        <w:rPr>
          <w:rFonts w:hint="cs"/>
          <w:rtl/>
          <w:lang w:bidi="ar-OM"/>
        </w:rPr>
        <w:t>ُ</w:t>
      </w:r>
      <w:r w:rsidRPr="00904FCB">
        <w:rPr>
          <w:rFonts w:hint="cs"/>
          <w:rtl/>
          <w:lang w:bidi="ar-OM"/>
        </w:rPr>
        <w:t>د</w:t>
      </w:r>
      <w:r w:rsidR="00BF71A9" w:rsidRPr="00904FCB">
        <w:rPr>
          <w:rFonts w:hint="cs"/>
          <w:rtl/>
          <w:lang w:bidi="ar-OM"/>
        </w:rPr>
        <w:t>َّ</w:t>
      </w:r>
      <w:r w:rsidRPr="00904FCB">
        <w:rPr>
          <w:rFonts w:hint="cs"/>
          <w:rtl/>
          <w:lang w:bidi="ar-OM"/>
        </w:rPr>
        <w:t xml:space="preserve"> من القول: </w:t>
      </w:r>
      <w:r w:rsidR="00BF71A9" w:rsidRPr="00904FCB">
        <w:rPr>
          <w:rFonts w:hint="cs"/>
          <w:rtl/>
          <w:lang w:bidi="ar-OM"/>
        </w:rPr>
        <w:t>إ</w:t>
      </w:r>
      <w:r w:rsidRPr="00904FCB">
        <w:rPr>
          <w:rFonts w:hint="cs"/>
          <w:rtl/>
          <w:lang w:bidi="ar-OM"/>
        </w:rPr>
        <w:t>ن الترد</w:t>
      </w:r>
      <w:r w:rsidR="00BF71A9" w:rsidRPr="00904FCB">
        <w:rPr>
          <w:rFonts w:hint="cs"/>
          <w:rtl/>
          <w:lang w:bidi="ar-OM"/>
        </w:rPr>
        <w:t>ُّ</w:t>
      </w:r>
      <w:r w:rsidRPr="00904FCB">
        <w:rPr>
          <w:rFonts w:hint="cs"/>
          <w:rtl/>
          <w:lang w:bidi="ar-OM"/>
        </w:rPr>
        <w:t>د في حسم الموقف حول بعض القضايا الاجتماعية الحساسة يعتبر أمراً طبيعيا</w:t>
      </w:r>
      <w:r w:rsidR="00BF71A9" w:rsidRPr="00904FCB">
        <w:rPr>
          <w:rFonts w:hint="cs"/>
          <w:rtl/>
          <w:lang w:bidi="ar-OM"/>
        </w:rPr>
        <w:t>ً</w:t>
      </w:r>
      <w:r w:rsidRPr="00904FCB">
        <w:rPr>
          <w:rFonts w:hint="cs"/>
          <w:rtl/>
          <w:lang w:bidi="ar-OM"/>
        </w:rPr>
        <w:t xml:space="preserve"> </w:t>
      </w:r>
      <w:r w:rsidR="00BF71A9" w:rsidRPr="00904FCB">
        <w:rPr>
          <w:rFonts w:hint="cs"/>
          <w:rtl/>
          <w:lang w:bidi="ar-OM"/>
        </w:rPr>
        <w:t>إ</w:t>
      </w:r>
      <w:r w:rsidRPr="00904FCB">
        <w:rPr>
          <w:rFonts w:hint="cs"/>
          <w:rtl/>
          <w:lang w:bidi="ar-OM"/>
        </w:rPr>
        <w:t xml:space="preserve">ذا نظرنا </w:t>
      </w:r>
      <w:r w:rsidR="00BF71A9" w:rsidRPr="00904FCB">
        <w:rPr>
          <w:rFonts w:hint="cs"/>
          <w:rtl/>
          <w:lang w:bidi="ar-OM"/>
        </w:rPr>
        <w:t>إ</w:t>
      </w:r>
      <w:r w:rsidRPr="00904FCB">
        <w:rPr>
          <w:rFonts w:hint="cs"/>
          <w:rtl/>
          <w:lang w:bidi="ar-OM"/>
        </w:rPr>
        <w:t xml:space="preserve">ليه في سياق تأثيرات التراكم الفقهي والثقافي والاجتماعي التاريخي. كما </w:t>
      </w:r>
      <w:r w:rsidR="00BF71A9" w:rsidRPr="00904FCB">
        <w:rPr>
          <w:rFonts w:hint="cs"/>
          <w:rtl/>
          <w:lang w:bidi="ar-OM"/>
        </w:rPr>
        <w:t>أ</w:t>
      </w:r>
      <w:r w:rsidRPr="00904FCB">
        <w:rPr>
          <w:rFonts w:hint="cs"/>
          <w:rtl/>
          <w:lang w:bidi="ar-OM"/>
        </w:rPr>
        <w:t>ن</w:t>
      </w:r>
      <w:r w:rsidR="00BF71A9" w:rsidRPr="00904FCB">
        <w:rPr>
          <w:rFonts w:hint="cs"/>
          <w:rtl/>
          <w:lang w:bidi="ar-OM"/>
        </w:rPr>
        <w:t>ّه</w:t>
      </w:r>
      <w:r w:rsidRPr="00904FCB">
        <w:rPr>
          <w:rFonts w:hint="cs"/>
          <w:rtl/>
          <w:lang w:bidi="ar-OM"/>
        </w:rPr>
        <w:t xml:space="preserve"> من الطبيعي </w:t>
      </w:r>
      <w:r w:rsidR="00BF71A9" w:rsidRPr="00904FCB">
        <w:rPr>
          <w:rFonts w:hint="cs"/>
          <w:rtl/>
          <w:lang w:bidi="ar-OM"/>
        </w:rPr>
        <w:t>أ</w:t>
      </w:r>
      <w:r w:rsidRPr="00904FCB">
        <w:rPr>
          <w:rFonts w:hint="cs"/>
          <w:rtl/>
          <w:lang w:bidi="ar-OM"/>
        </w:rPr>
        <w:t>ن تضغط التحولات العميقة التي تشهدها الحياة الاجتماعية والثقافية والفكرية على أهل الفقه ليقوموا بمراجعات علمية لبعض الآراء الفقهية الموروثة. ولقد بدا واضحاً من البحث في هذه القضية وجود اختلاف في أساليب البحث</w:t>
      </w:r>
      <w:r w:rsidR="00BF71A9" w:rsidRPr="00904FCB">
        <w:rPr>
          <w:rFonts w:hint="cs"/>
          <w:rtl/>
          <w:lang w:bidi="ar-OM"/>
        </w:rPr>
        <w:t>،</w:t>
      </w:r>
      <w:r w:rsidRPr="00904FCB">
        <w:rPr>
          <w:rFonts w:hint="cs"/>
          <w:rtl/>
          <w:lang w:bidi="ar-OM"/>
        </w:rPr>
        <w:t xml:space="preserve"> وفي تكييف النظرة الفقهية </w:t>
      </w:r>
      <w:r w:rsidR="00BF71A9" w:rsidRPr="00904FCB">
        <w:rPr>
          <w:rFonts w:hint="cs"/>
          <w:rtl/>
          <w:lang w:bidi="ar-OM"/>
        </w:rPr>
        <w:t>إ</w:t>
      </w:r>
      <w:r w:rsidRPr="00904FCB">
        <w:rPr>
          <w:rFonts w:hint="cs"/>
          <w:rtl/>
          <w:lang w:bidi="ar-OM"/>
        </w:rPr>
        <w:t>لى بعض الولايات والسلطات والوظائف</w:t>
      </w:r>
      <w:r w:rsidR="00BF71A9" w:rsidRPr="00904FCB">
        <w:rPr>
          <w:rFonts w:hint="cs"/>
          <w:rtl/>
          <w:lang w:bidi="ar-OM"/>
        </w:rPr>
        <w:t>،</w:t>
      </w:r>
      <w:r w:rsidRPr="00904FCB">
        <w:rPr>
          <w:rFonts w:hint="cs"/>
          <w:rtl/>
          <w:lang w:bidi="ar-OM"/>
        </w:rPr>
        <w:t xml:space="preserve"> وفي طرائق الاستدلال. وسوف نتناول ذلك بشيء</w:t>
      </w:r>
      <w:r w:rsidR="00BF71A9" w:rsidRPr="00904FCB">
        <w:rPr>
          <w:rFonts w:hint="cs"/>
          <w:rtl/>
          <w:lang w:bidi="ar-OM"/>
        </w:rPr>
        <w:t>ٍ</w:t>
      </w:r>
      <w:r w:rsidRPr="00904FCB">
        <w:rPr>
          <w:rFonts w:hint="cs"/>
          <w:rtl/>
          <w:lang w:bidi="ar-OM"/>
        </w:rPr>
        <w:t xml:space="preserve"> من التفصيل في </w:t>
      </w:r>
      <w:r w:rsidR="00BF71A9" w:rsidRPr="00904FCB">
        <w:rPr>
          <w:rFonts w:hint="cs"/>
          <w:rtl/>
          <w:lang w:bidi="ar-OM"/>
        </w:rPr>
        <w:t>بحثٍ</w:t>
      </w:r>
      <w:r w:rsidRPr="00904FCB">
        <w:rPr>
          <w:rFonts w:hint="cs"/>
          <w:rtl/>
          <w:lang w:bidi="ar-OM"/>
        </w:rPr>
        <w:t xml:space="preserve"> مستقل</w:t>
      </w:r>
      <w:r w:rsidR="00BF71A9" w:rsidRPr="00904FCB">
        <w:rPr>
          <w:rFonts w:hint="cs"/>
          <w:rtl/>
          <w:lang w:bidi="ar-OM"/>
        </w:rPr>
        <w:t>ّ</w:t>
      </w:r>
      <w:r w:rsidRPr="00904FCB">
        <w:rPr>
          <w:rFonts w:hint="cs"/>
          <w:rtl/>
          <w:lang w:bidi="ar-OM"/>
        </w:rPr>
        <w:t xml:space="preserve"> بمشيئة الله تعالى.</w:t>
      </w:r>
    </w:p>
    <w:p w:rsidR="00E83C22" w:rsidRPr="00904FCB" w:rsidRDefault="00E83C22" w:rsidP="007A21AA">
      <w:pPr>
        <w:spacing w:line="400" w:lineRule="exact"/>
        <w:rPr>
          <w:rtl/>
        </w:rPr>
      </w:pPr>
    </w:p>
    <w:p w:rsidR="00E83C22" w:rsidRDefault="00E83C22" w:rsidP="007A21AA">
      <w:pPr>
        <w:spacing w:line="400" w:lineRule="exact"/>
        <w:rPr>
          <w:rtl/>
        </w:rPr>
      </w:pPr>
    </w:p>
    <w:p w:rsidR="00C5715C" w:rsidRDefault="00C5715C" w:rsidP="007A21AA">
      <w:pPr>
        <w:spacing w:line="400" w:lineRule="exact"/>
        <w:rPr>
          <w:rtl/>
        </w:rPr>
      </w:pPr>
    </w:p>
    <w:p w:rsidR="00C5715C" w:rsidRDefault="00C5715C" w:rsidP="007A21AA">
      <w:pPr>
        <w:spacing w:line="400" w:lineRule="exact"/>
        <w:rPr>
          <w:rtl/>
        </w:rPr>
      </w:pPr>
    </w:p>
    <w:p w:rsidR="00C5715C" w:rsidRPr="00904FCB" w:rsidRDefault="00C5715C"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AF14A9" w:rsidP="008D5CB3">
      <w:pPr>
        <w:pStyle w:val="10"/>
        <w:spacing w:line="240" w:lineRule="auto"/>
        <w:rPr>
          <w:rtl/>
        </w:rPr>
      </w:pPr>
      <w:bookmarkStart w:id="19" w:name="_Toc435577181"/>
      <w:r w:rsidRPr="00904FCB">
        <w:rPr>
          <w:rtl/>
          <w:lang w:bidi="fa-IR"/>
        </w:rPr>
        <w:t>مقاصد الشريعة</w:t>
      </w:r>
      <w:r w:rsidRPr="00904FCB">
        <w:rPr>
          <w:rFonts w:hint="cs"/>
          <w:rtl/>
          <w:lang w:bidi="fa-IR"/>
        </w:rPr>
        <w:t xml:space="preserve"> </w:t>
      </w:r>
      <w:r w:rsidRPr="00904FCB">
        <w:rPr>
          <w:rtl/>
          <w:lang w:bidi="fa-IR"/>
        </w:rPr>
        <w:t>والقانون المقارن</w:t>
      </w:r>
      <w:bookmarkEnd w:id="19"/>
    </w:p>
    <w:p w:rsidR="00E83C22" w:rsidRPr="00904FCB" w:rsidRDefault="00E83C22" w:rsidP="007A21AA">
      <w:pPr>
        <w:spacing w:line="400" w:lineRule="exact"/>
        <w:rPr>
          <w:rtl/>
        </w:rPr>
      </w:pPr>
    </w:p>
    <w:p w:rsidR="00E83C22" w:rsidRPr="00904FCB" w:rsidRDefault="00AF14A9" w:rsidP="007A21AA">
      <w:pPr>
        <w:pStyle w:val="Author"/>
        <w:spacing w:line="400" w:lineRule="exact"/>
        <w:rPr>
          <w:rtl/>
        </w:rPr>
      </w:pPr>
      <w:bookmarkStart w:id="20" w:name="_Toc435577182"/>
      <w:r w:rsidRPr="00904FCB">
        <w:rPr>
          <w:rtl/>
          <w:lang w:bidi="fa-IR"/>
        </w:rPr>
        <w:t>أ. د. محمد كمال الدين إمام</w:t>
      </w:r>
      <w:r w:rsidR="00527634" w:rsidRPr="00904FCB">
        <w:rPr>
          <w:rFonts w:cs="Taher" w:hint="cs"/>
          <w:vertAlign w:val="superscript"/>
          <w:rtl/>
        </w:rPr>
        <w:t>(</w:t>
      </w:r>
      <w:r w:rsidR="00527634" w:rsidRPr="00904FCB">
        <w:rPr>
          <w:rFonts w:cs="Taher"/>
          <w:vertAlign w:val="superscript"/>
          <w:rtl/>
        </w:rPr>
        <w:footnoteReference w:customMarkFollows="1" w:id="6"/>
        <w:t>*)</w:t>
      </w:r>
      <w:bookmarkEnd w:id="20"/>
    </w:p>
    <w:p w:rsidR="00E83C22" w:rsidRPr="00904FCB" w:rsidRDefault="00E83C22" w:rsidP="007A21AA">
      <w:pPr>
        <w:spacing w:line="400" w:lineRule="exact"/>
        <w:rPr>
          <w:rtl/>
        </w:rPr>
      </w:pPr>
    </w:p>
    <w:p w:rsidR="00E83C22" w:rsidRPr="00904FCB" w:rsidRDefault="00AF14A9" w:rsidP="007A21AA">
      <w:pPr>
        <w:pStyle w:val="31"/>
        <w:spacing w:line="400" w:lineRule="exact"/>
        <w:rPr>
          <w:color w:val="auto"/>
          <w:rtl/>
        </w:rPr>
      </w:pPr>
      <w:r w:rsidRPr="00904FCB">
        <w:rPr>
          <w:rFonts w:hint="cs"/>
          <w:color w:val="auto"/>
          <w:rtl/>
        </w:rPr>
        <w:t>تمهيد</w:t>
      </w:r>
    </w:p>
    <w:p w:rsidR="00644408" w:rsidRPr="00904FCB" w:rsidRDefault="00644408" w:rsidP="00FE2878">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شهدت بداية القرن الماضي اعترافا</w:t>
      </w:r>
      <w:r w:rsidR="00763237" w:rsidRPr="00904FCB">
        <w:rPr>
          <w:rFonts w:ascii="Tahoma" w:hAnsi="Tahoma" w:hint="cs"/>
          <w:sz w:val="27"/>
          <w:rtl/>
          <w:lang w:bidi="fa-IR"/>
        </w:rPr>
        <w:t>ً</w:t>
      </w:r>
      <w:r w:rsidRPr="00904FCB">
        <w:rPr>
          <w:rFonts w:ascii="Tahoma" w:hAnsi="Tahoma"/>
          <w:sz w:val="27"/>
          <w:rtl/>
          <w:lang w:bidi="fa-IR"/>
        </w:rPr>
        <w:t xml:space="preserve"> بعلم</w:t>
      </w:r>
      <w:r w:rsidR="00763237" w:rsidRPr="00904FCB">
        <w:rPr>
          <w:rFonts w:ascii="Tahoma" w:hAnsi="Tahoma" w:hint="cs"/>
          <w:sz w:val="27"/>
          <w:rtl/>
          <w:lang w:bidi="fa-IR"/>
        </w:rPr>
        <w:t>ٍ</w:t>
      </w:r>
      <w:r w:rsidRPr="00904FCB">
        <w:rPr>
          <w:rFonts w:ascii="Tahoma" w:hAnsi="Tahoma"/>
          <w:sz w:val="27"/>
          <w:rtl/>
          <w:lang w:bidi="fa-IR"/>
        </w:rPr>
        <w:t xml:space="preserve"> قانوني جديد ـ وإن</w:t>
      </w:r>
      <w:r w:rsidR="00763237" w:rsidRPr="00904FCB">
        <w:rPr>
          <w:rFonts w:ascii="Tahoma" w:hAnsi="Tahoma" w:hint="cs"/>
          <w:sz w:val="27"/>
          <w:rtl/>
          <w:lang w:bidi="fa-IR"/>
        </w:rPr>
        <w:t>ْ</w:t>
      </w:r>
      <w:r w:rsidRPr="00904FCB">
        <w:rPr>
          <w:rFonts w:ascii="Tahoma" w:hAnsi="Tahoma"/>
          <w:sz w:val="27"/>
          <w:rtl/>
          <w:lang w:bidi="fa-IR"/>
        </w:rPr>
        <w:t xml:space="preserve"> كانت له </w:t>
      </w:r>
      <w:r w:rsidR="00763237" w:rsidRPr="00904FCB">
        <w:rPr>
          <w:rFonts w:ascii="Tahoma" w:hAnsi="Tahoma" w:hint="cs"/>
          <w:sz w:val="27"/>
          <w:rtl/>
          <w:lang w:bidi="fa-IR"/>
        </w:rPr>
        <w:t>إ</w:t>
      </w:r>
      <w:r w:rsidRPr="00904FCB">
        <w:rPr>
          <w:rFonts w:ascii="Tahoma" w:hAnsi="Tahoma"/>
          <w:sz w:val="27"/>
          <w:rtl/>
          <w:lang w:bidi="fa-IR"/>
        </w:rPr>
        <w:t>رهاصاته ومج</w:t>
      </w:r>
      <w:r w:rsidR="00763237" w:rsidRPr="00904FCB">
        <w:rPr>
          <w:rFonts w:ascii="Tahoma" w:hAnsi="Tahoma" w:hint="cs"/>
          <w:sz w:val="27"/>
          <w:rtl/>
          <w:lang w:bidi="fa-IR"/>
        </w:rPr>
        <w:t>ا</w:t>
      </w:r>
      <w:r w:rsidRPr="00904FCB">
        <w:rPr>
          <w:rFonts w:ascii="Tahoma" w:hAnsi="Tahoma"/>
          <w:sz w:val="27"/>
          <w:rtl/>
          <w:lang w:bidi="fa-IR"/>
        </w:rPr>
        <w:t>لاته في القرن التاسع عشر ـ اختير له عنوان القانون المقارن</w:t>
      </w:r>
      <w:r w:rsidR="00763237" w:rsidRPr="00904FCB">
        <w:rPr>
          <w:rFonts w:ascii="Tahoma" w:hAnsi="Tahoma" w:hint="cs"/>
          <w:sz w:val="27"/>
          <w:rtl/>
          <w:lang w:bidi="fa-IR"/>
        </w:rPr>
        <w:t xml:space="preserve">. </w:t>
      </w:r>
      <w:r w:rsidRPr="00904FCB">
        <w:rPr>
          <w:rFonts w:ascii="Tahoma" w:hAnsi="Tahoma"/>
          <w:sz w:val="27"/>
          <w:rtl/>
          <w:lang w:bidi="fa-IR"/>
        </w:rPr>
        <w:t>وسرعان ما تبلورت مباحثه وتنو</w:t>
      </w:r>
      <w:r w:rsidR="00763237" w:rsidRPr="00904FCB">
        <w:rPr>
          <w:rFonts w:ascii="Tahoma" w:hAnsi="Tahoma" w:hint="cs"/>
          <w:sz w:val="27"/>
          <w:rtl/>
          <w:lang w:bidi="fa-IR"/>
        </w:rPr>
        <w:t>ّ</w:t>
      </w:r>
      <w:r w:rsidRPr="00904FCB">
        <w:rPr>
          <w:rFonts w:ascii="Tahoma" w:hAnsi="Tahoma"/>
          <w:sz w:val="27"/>
          <w:rtl/>
          <w:lang w:bidi="fa-IR"/>
        </w:rPr>
        <w:t>عت مناهجه، وأصبح جزءاً من هموم أهل القانون الفكرية في كتاباتهم ومؤتمراتهم</w:t>
      </w:r>
      <w:r w:rsidR="00763237" w:rsidRPr="00904FCB">
        <w:rPr>
          <w:rFonts w:ascii="Tahoma" w:hAnsi="Tahoma" w:hint="cs"/>
          <w:sz w:val="27"/>
          <w:rtl/>
          <w:lang w:bidi="fa-IR"/>
        </w:rPr>
        <w:t>.</w:t>
      </w:r>
      <w:r w:rsidRPr="00904FCB">
        <w:rPr>
          <w:rFonts w:ascii="Tahoma" w:hAnsi="Tahoma"/>
          <w:sz w:val="27"/>
          <w:rtl/>
          <w:lang w:bidi="fa-IR"/>
        </w:rPr>
        <w:t xml:space="preserve"> ولا</w:t>
      </w:r>
      <w:r w:rsidR="00763237" w:rsidRPr="00904FCB">
        <w:rPr>
          <w:rFonts w:ascii="Tahoma" w:hAnsi="Tahoma" w:hint="cs"/>
          <w:sz w:val="27"/>
          <w:rtl/>
          <w:lang w:bidi="fa-IR"/>
        </w:rPr>
        <w:t xml:space="preserve"> </w:t>
      </w:r>
      <w:r w:rsidRPr="00904FCB">
        <w:rPr>
          <w:rFonts w:ascii="Tahoma" w:hAnsi="Tahoma"/>
          <w:sz w:val="27"/>
          <w:rtl/>
          <w:lang w:bidi="fa-IR"/>
        </w:rPr>
        <w:t>ش</w:t>
      </w:r>
      <w:r w:rsidR="00763237" w:rsidRPr="00904FCB">
        <w:rPr>
          <w:rFonts w:ascii="Tahoma" w:hAnsi="Tahoma" w:hint="cs"/>
          <w:sz w:val="27"/>
          <w:rtl/>
          <w:lang w:bidi="fa-IR"/>
        </w:rPr>
        <w:t>َ</w:t>
      </w:r>
      <w:r w:rsidRPr="00904FCB">
        <w:rPr>
          <w:rFonts w:ascii="Tahoma" w:hAnsi="Tahoma"/>
          <w:sz w:val="27"/>
          <w:rtl/>
          <w:lang w:bidi="fa-IR"/>
        </w:rPr>
        <w:t>ك</w:t>
      </w:r>
      <w:r w:rsidR="00763237" w:rsidRPr="00904FCB">
        <w:rPr>
          <w:rFonts w:ascii="Tahoma" w:hAnsi="Tahoma" w:hint="cs"/>
          <w:sz w:val="27"/>
          <w:rtl/>
          <w:lang w:bidi="fa-IR"/>
        </w:rPr>
        <w:t>َّ</w:t>
      </w:r>
      <w:r w:rsidRPr="00904FCB">
        <w:rPr>
          <w:rFonts w:ascii="Tahoma" w:hAnsi="Tahoma"/>
          <w:sz w:val="27"/>
          <w:rtl/>
          <w:lang w:bidi="fa-IR"/>
        </w:rPr>
        <w:t xml:space="preserve"> أن دعوة </w:t>
      </w:r>
      <w:r w:rsidRPr="00904FCB">
        <w:rPr>
          <w:rFonts w:hint="eastAsia"/>
          <w:sz w:val="27"/>
          <w:rtl/>
          <w:lang w:bidi="fa-IR"/>
        </w:rPr>
        <w:t>«</w:t>
      </w:r>
      <w:r w:rsidR="00935E0A">
        <w:rPr>
          <w:rFonts w:ascii="Tahoma" w:hAnsi="Tahoma" w:hint="cs"/>
          <w:sz w:val="27"/>
          <w:rtl/>
          <w:lang w:bidi="fa-IR"/>
        </w:rPr>
        <w:t>أ</w:t>
      </w:r>
      <w:r w:rsidRPr="00904FCB">
        <w:rPr>
          <w:rFonts w:ascii="Tahoma" w:hAnsi="Tahoma"/>
          <w:sz w:val="27"/>
          <w:rtl/>
          <w:lang w:bidi="fa-IR"/>
        </w:rPr>
        <w:t>هرنج</w:t>
      </w:r>
      <w:r w:rsidRPr="00904FCB">
        <w:rPr>
          <w:rFonts w:hint="eastAsia"/>
          <w:sz w:val="27"/>
          <w:rtl/>
        </w:rPr>
        <w:t>»</w:t>
      </w:r>
      <w:r w:rsidRPr="00904FCB">
        <w:rPr>
          <w:rFonts w:ascii="Tahoma" w:hAnsi="Tahoma"/>
          <w:sz w:val="27"/>
          <w:rtl/>
          <w:lang w:bidi="fa-IR"/>
        </w:rPr>
        <w:t xml:space="preserve"> للبحث عن روح القانون</w:t>
      </w:r>
      <w:r w:rsidR="00763237" w:rsidRPr="00904FCB">
        <w:rPr>
          <w:rFonts w:ascii="Tahoma" w:hAnsi="Tahoma" w:hint="cs"/>
          <w:sz w:val="27"/>
          <w:rtl/>
          <w:lang w:bidi="fa-IR"/>
        </w:rPr>
        <w:t>،</w:t>
      </w:r>
      <w:r w:rsidRPr="00904FCB">
        <w:rPr>
          <w:rFonts w:ascii="Tahoma" w:hAnsi="Tahoma"/>
          <w:sz w:val="27"/>
          <w:rtl/>
          <w:lang w:bidi="fa-IR"/>
        </w:rPr>
        <w:t xml:space="preserve"> من خلال نقده الصارم للمدرسة التاريخية</w:t>
      </w:r>
      <w:r w:rsidR="00763237" w:rsidRPr="00904FCB">
        <w:rPr>
          <w:rFonts w:ascii="Tahoma" w:hAnsi="Tahoma" w:hint="cs"/>
          <w:sz w:val="27"/>
          <w:rtl/>
          <w:lang w:bidi="fa-IR"/>
        </w:rPr>
        <w:t>،</w:t>
      </w:r>
      <w:r w:rsidRPr="00904FCB">
        <w:rPr>
          <w:rFonts w:ascii="Tahoma" w:hAnsi="Tahoma"/>
          <w:sz w:val="27"/>
          <w:rtl/>
          <w:lang w:bidi="fa-IR"/>
        </w:rPr>
        <w:t xml:space="preserve"> وما لقيه هذا النقد من ترحاب وإعجاب</w:t>
      </w:r>
      <w:r w:rsidR="00763237" w:rsidRPr="00904FCB">
        <w:rPr>
          <w:rFonts w:ascii="Tahoma" w:hAnsi="Tahoma" w:hint="cs"/>
          <w:sz w:val="27"/>
          <w:rtl/>
          <w:lang w:bidi="fa-IR"/>
        </w:rPr>
        <w:t>،</w:t>
      </w:r>
      <w:r w:rsidRPr="00904FCB">
        <w:rPr>
          <w:rFonts w:ascii="Tahoma" w:hAnsi="Tahoma"/>
          <w:sz w:val="27"/>
          <w:rtl/>
          <w:lang w:bidi="fa-IR"/>
        </w:rPr>
        <w:t xml:space="preserve"> أعط</w:t>
      </w:r>
      <w:r w:rsidR="00763237" w:rsidRPr="00904FCB">
        <w:rPr>
          <w:rFonts w:ascii="Tahoma" w:hAnsi="Tahoma" w:hint="cs"/>
          <w:sz w:val="27"/>
          <w:rtl/>
          <w:lang w:bidi="fa-IR"/>
        </w:rPr>
        <w:t>ى</w:t>
      </w:r>
      <w:r w:rsidRPr="00904FCB">
        <w:rPr>
          <w:rFonts w:ascii="Tahoma" w:hAnsi="Tahoma"/>
          <w:sz w:val="27"/>
          <w:rtl/>
          <w:lang w:bidi="fa-IR"/>
        </w:rPr>
        <w:t xml:space="preserve"> الداعين إلى فلسفة التشريع جسراً يعبرون عليه لمغادرة جزر </w:t>
      </w:r>
      <w:r w:rsidRPr="00904FCB">
        <w:rPr>
          <w:rFonts w:hint="eastAsia"/>
          <w:sz w:val="27"/>
          <w:rtl/>
          <w:lang w:bidi="fa-IR"/>
        </w:rPr>
        <w:t>«</w:t>
      </w:r>
      <w:r w:rsidRPr="00904FCB">
        <w:rPr>
          <w:rFonts w:ascii="Tahoma" w:hAnsi="Tahoma"/>
          <w:sz w:val="27"/>
          <w:rtl/>
          <w:lang w:bidi="fa-IR"/>
        </w:rPr>
        <w:t>الشكاك</w:t>
      </w:r>
      <w:r w:rsidRPr="00904FCB">
        <w:rPr>
          <w:rFonts w:hint="eastAsia"/>
          <w:sz w:val="27"/>
          <w:rtl/>
        </w:rPr>
        <w:t>»</w:t>
      </w:r>
      <w:r w:rsidR="00763237" w:rsidRPr="00904FCB">
        <w:rPr>
          <w:rFonts w:ascii="Tahoma" w:hAnsi="Tahoma" w:hint="cs"/>
          <w:sz w:val="27"/>
          <w:rtl/>
          <w:lang w:bidi="fa-IR"/>
        </w:rPr>
        <w:t>،</w:t>
      </w:r>
      <w:r w:rsidRPr="00904FCB">
        <w:rPr>
          <w:rFonts w:ascii="Tahoma" w:hAnsi="Tahoma"/>
          <w:sz w:val="27"/>
          <w:rtl/>
          <w:lang w:bidi="fa-IR"/>
        </w:rPr>
        <w:t xml:space="preserve"> إلى أرض المؤس</w:t>
      </w:r>
      <w:r w:rsidR="00763237" w:rsidRPr="00904FCB">
        <w:rPr>
          <w:rFonts w:ascii="Tahoma" w:hAnsi="Tahoma" w:hint="cs"/>
          <w:sz w:val="27"/>
          <w:rtl/>
          <w:lang w:bidi="fa-IR"/>
        </w:rPr>
        <w:t>ِّ</w:t>
      </w:r>
      <w:r w:rsidRPr="00904FCB">
        <w:rPr>
          <w:rFonts w:ascii="Tahoma" w:hAnsi="Tahoma"/>
          <w:sz w:val="27"/>
          <w:rtl/>
          <w:lang w:bidi="fa-IR"/>
        </w:rPr>
        <w:t>سين لعلم القانون المقارن</w:t>
      </w:r>
      <w:r w:rsidR="00763237" w:rsidRPr="00904FCB">
        <w:rPr>
          <w:rFonts w:ascii="Tahoma" w:hAnsi="Tahoma" w:hint="cs"/>
          <w:sz w:val="27"/>
          <w:rtl/>
          <w:lang w:bidi="fa-IR"/>
        </w:rPr>
        <w:t>.</w:t>
      </w:r>
      <w:r w:rsidRPr="00904FCB">
        <w:rPr>
          <w:rFonts w:ascii="Tahoma" w:hAnsi="Tahoma"/>
          <w:sz w:val="27"/>
          <w:rtl/>
          <w:lang w:bidi="fa-IR"/>
        </w:rPr>
        <w:t xml:space="preserve"> وهذا العلم ليس موضوعه الأوامر والنواهي بقصد إنزالها وتحكيمها، وإنما غايته النظر في</w:t>
      </w:r>
      <w:r w:rsidR="00763237" w:rsidRPr="00904FCB">
        <w:rPr>
          <w:rFonts w:ascii="Tahoma" w:hAnsi="Tahoma" w:hint="cs"/>
          <w:sz w:val="27"/>
          <w:rtl/>
          <w:lang w:bidi="fa-IR"/>
        </w:rPr>
        <w:t xml:space="preserve"> </w:t>
      </w:r>
      <w:r w:rsidRPr="00904FCB">
        <w:rPr>
          <w:rFonts w:ascii="Tahoma" w:hAnsi="Tahoma"/>
          <w:sz w:val="27"/>
          <w:rtl/>
          <w:lang w:bidi="fa-IR"/>
        </w:rPr>
        <w:t>ما وراء الأوامر والنواهي بقصد تقويمها، والبحث عن إمكان تعميمها، من خلال ال</w:t>
      </w:r>
      <w:r w:rsidR="00763237" w:rsidRPr="00904FCB">
        <w:rPr>
          <w:rFonts w:ascii="Tahoma" w:hAnsi="Tahoma" w:hint="cs"/>
          <w:sz w:val="27"/>
          <w:rtl/>
          <w:lang w:bidi="fa-IR"/>
        </w:rPr>
        <w:t>إ</w:t>
      </w:r>
      <w:r w:rsidRPr="00904FCB">
        <w:rPr>
          <w:rFonts w:ascii="Tahoma" w:hAnsi="Tahoma"/>
          <w:sz w:val="27"/>
          <w:rtl/>
          <w:lang w:bidi="fa-IR"/>
        </w:rPr>
        <w:t>نسان الذي هو العامل المشترك في أي</w:t>
      </w:r>
      <w:r w:rsidR="00763237" w:rsidRPr="00904FCB">
        <w:rPr>
          <w:rFonts w:ascii="Tahoma" w:hAnsi="Tahoma" w:hint="cs"/>
          <w:sz w:val="27"/>
          <w:rtl/>
          <w:lang w:bidi="fa-IR"/>
        </w:rPr>
        <w:t>ّ</w:t>
      </w:r>
      <w:r w:rsidRPr="00904FCB">
        <w:rPr>
          <w:rFonts w:ascii="Tahoma" w:hAnsi="Tahoma"/>
          <w:sz w:val="27"/>
          <w:rtl/>
          <w:lang w:bidi="fa-IR"/>
        </w:rPr>
        <w:t xml:space="preserve"> خطاب</w:t>
      </w:r>
      <w:r w:rsidR="00763237" w:rsidRPr="00904FCB">
        <w:rPr>
          <w:rFonts w:ascii="Tahoma" w:hAnsi="Tahoma" w:hint="cs"/>
          <w:sz w:val="27"/>
          <w:rtl/>
          <w:lang w:bidi="fa-IR"/>
        </w:rPr>
        <w:t>ٍ</w:t>
      </w:r>
      <w:r w:rsidRPr="00904FCB">
        <w:rPr>
          <w:rFonts w:ascii="Tahoma" w:hAnsi="Tahoma"/>
          <w:sz w:val="27"/>
          <w:rtl/>
          <w:lang w:bidi="fa-IR"/>
        </w:rPr>
        <w:t xml:space="preserve"> تكليفي، شرعيا</w:t>
      </w:r>
      <w:r w:rsidR="00763237" w:rsidRPr="00904FCB">
        <w:rPr>
          <w:rFonts w:ascii="Tahoma" w:hAnsi="Tahoma" w:hint="cs"/>
          <w:sz w:val="27"/>
          <w:rtl/>
          <w:lang w:bidi="fa-IR"/>
        </w:rPr>
        <w:t>ً</w:t>
      </w:r>
      <w:r w:rsidRPr="00904FCB">
        <w:rPr>
          <w:rFonts w:ascii="Tahoma" w:hAnsi="Tahoma"/>
          <w:sz w:val="27"/>
          <w:rtl/>
          <w:lang w:bidi="fa-IR"/>
        </w:rPr>
        <w:t xml:space="preserve"> كان أو وضعيا</w:t>
      </w:r>
      <w:r w:rsidR="00763237" w:rsidRPr="00904FCB">
        <w:rPr>
          <w:rFonts w:ascii="Tahoma" w:hAnsi="Tahoma" w:hint="cs"/>
          <w:sz w:val="27"/>
          <w:rtl/>
          <w:lang w:bidi="fa-IR"/>
        </w:rPr>
        <w:t>ً</w:t>
      </w:r>
      <w:r w:rsidRPr="00904FCB">
        <w:rPr>
          <w:rFonts w:ascii="Tahoma" w:hAnsi="Tahoma"/>
          <w:sz w:val="27"/>
          <w:rtl/>
          <w:lang w:bidi="fa-IR"/>
        </w:rPr>
        <w:t xml:space="preserve">. </w:t>
      </w:r>
    </w:p>
    <w:p w:rsidR="00DB2F34"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وهكذا يكتسب «القانون المقارن» حياة مدركها الروح الاجتماعية لكل</w:t>
      </w:r>
      <w:r w:rsidR="00763237" w:rsidRPr="00904FCB">
        <w:rPr>
          <w:rFonts w:ascii="Tahoma" w:hAnsi="Tahoma" w:hint="cs"/>
          <w:sz w:val="27"/>
          <w:rtl/>
          <w:lang w:bidi="fa-IR"/>
        </w:rPr>
        <w:t>ّ</w:t>
      </w:r>
      <w:r w:rsidRPr="00904FCB">
        <w:rPr>
          <w:rFonts w:ascii="Tahoma" w:hAnsi="Tahoma"/>
          <w:sz w:val="27"/>
          <w:rtl/>
          <w:lang w:bidi="fa-IR"/>
        </w:rPr>
        <w:t xml:space="preserve"> أمة</w:t>
      </w:r>
      <w:r w:rsidR="00763237" w:rsidRPr="00904FCB">
        <w:rPr>
          <w:rFonts w:ascii="Tahoma" w:hAnsi="Tahoma" w:hint="cs"/>
          <w:sz w:val="27"/>
          <w:rtl/>
          <w:lang w:bidi="fa-IR"/>
        </w:rPr>
        <w:t>.</w:t>
      </w:r>
      <w:r w:rsidRPr="00904FCB">
        <w:rPr>
          <w:rFonts w:ascii="Tahoma" w:hAnsi="Tahoma"/>
          <w:sz w:val="27"/>
          <w:rtl/>
          <w:lang w:bidi="fa-IR"/>
        </w:rPr>
        <w:t xml:space="preserve"> والقانون المقارن بهذا المعن</w:t>
      </w:r>
      <w:r w:rsidR="00763237" w:rsidRPr="00904FCB">
        <w:rPr>
          <w:rFonts w:ascii="Tahoma" w:hAnsi="Tahoma" w:hint="cs"/>
          <w:sz w:val="27"/>
          <w:rtl/>
          <w:lang w:bidi="fa-IR"/>
        </w:rPr>
        <w:t>ى</w:t>
      </w:r>
      <w:r w:rsidRPr="00904FCB">
        <w:rPr>
          <w:rFonts w:ascii="Tahoma" w:hAnsi="Tahoma"/>
          <w:sz w:val="27"/>
          <w:rtl/>
          <w:lang w:bidi="fa-IR"/>
        </w:rPr>
        <w:t xml:space="preserve"> ليس وجهة علمية خالصة مجردة، وإنما </w:t>
      </w:r>
      <w:r w:rsidR="00763237" w:rsidRPr="00904FCB">
        <w:rPr>
          <w:rFonts w:ascii="Tahoma" w:hAnsi="Tahoma" w:hint="cs"/>
          <w:sz w:val="27"/>
          <w:rtl/>
          <w:lang w:bidi="fa-IR"/>
        </w:rPr>
        <w:t xml:space="preserve">هو </w:t>
      </w:r>
      <w:r w:rsidRPr="00904FCB">
        <w:rPr>
          <w:rFonts w:ascii="Tahoma" w:hAnsi="Tahoma"/>
          <w:sz w:val="27"/>
          <w:rtl/>
          <w:lang w:bidi="fa-IR"/>
        </w:rPr>
        <w:t>حركة لها أبعادها السياسية والاجتماعية</w:t>
      </w:r>
      <w:r w:rsidR="00763237" w:rsidRPr="00904FCB">
        <w:rPr>
          <w:rFonts w:ascii="Tahoma" w:hAnsi="Tahoma" w:hint="cs"/>
          <w:sz w:val="27"/>
          <w:rtl/>
          <w:lang w:bidi="fa-IR"/>
        </w:rPr>
        <w:t>.</w:t>
      </w:r>
      <w:r w:rsidRPr="00904FCB">
        <w:rPr>
          <w:rFonts w:ascii="Tahoma" w:hAnsi="Tahoma"/>
          <w:sz w:val="27"/>
          <w:rtl/>
          <w:lang w:bidi="fa-IR"/>
        </w:rPr>
        <w:t xml:space="preserve"> والمنهج المقارن في القانون ليس مجر</w:t>
      </w:r>
      <w:r w:rsidR="00763237" w:rsidRPr="00904FCB">
        <w:rPr>
          <w:rFonts w:ascii="Tahoma" w:hAnsi="Tahoma" w:hint="cs"/>
          <w:sz w:val="27"/>
          <w:rtl/>
          <w:lang w:bidi="fa-IR"/>
        </w:rPr>
        <w:t>ّ</w:t>
      </w:r>
      <w:r w:rsidRPr="00904FCB">
        <w:rPr>
          <w:rFonts w:ascii="Tahoma" w:hAnsi="Tahoma"/>
          <w:sz w:val="27"/>
          <w:rtl/>
          <w:lang w:bidi="fa-IR"/>
        </w:rPr>
        <w:t>د طريقة بحث ووسيلة فهم، فمداركه أوسع مد</w:t>
      </w:r>
      <w:r w:rsidR="00763237" w:rsidRPr="00904FCB">
        <w:rPr>
          <w:rFonts w:ascii="Tahoma" w:hAnsi="Tahoma" w:hint="cs"/>
          <w:sz w:val="27"/>
          <w:rtl/>
          <w:lang w:bidi="fa-IR"/>
        </w:rPr>
        <w:t>ى</w:t>
      </w:r>
      <w:r w:rsidRPr="00904FCB">
        <w:rPr>
          <w:rFonts w:ascii="Tahoma" w:hAnsi="Tahoma"/>
          <w:sz w:val="27"/>
          <w:rtl/>
          <w:lang w:bidi="fa-IR"/>
        </w:rPr>
        <w:t>، ووظائفه تستجيب ـ أو هكذا ينبغي أن يكون ـ للتشريع القانون الداخلي</w:t>
      </w:r>
      <w:r w:rsidR="00DB2F34" w:rsidRPr="00904FCB">
        <w:rPr>
          <w:rFonts w:ascii="Tahoma" w:hAnsi="Tahoma" w:hint="cs"/>
          <w:sz w:val="27"/>
          <w:rtl/>
          <w:lang w:bidi="fa-IR"/>
        </w:rPr>
        <w:t>؛</w:t>
      </w:r>
      <w:r w:rsidRPr="00904FCB">
        <w:rPr>
          <w:rFonts w:ascii="Tahoma" w:hAnsi="Tahoma"/>
          <w:sz w:val="27"/>
          <w:rtl/>
          <w:lang w:bidi="fa-IR"/>
        </w:rPr>
        <w:t xml:space="preserve"> من أجل تفعيله وتطويره، والقوانين العالمية</w:t>
      </w:r>
      <w:r w:rsidR="00DB2F34" w:rsidRPr="00904FCB">
        <w:rPr>
          <w:rFonts w:ascii="Tahoma" w:hAnsi="Tahoma" w:hint="cs"/>
          <w:sz w:val="27"/>
          <w:rtl/>
          <w:lang w:bidi="fa-IR"/>
        </w:rPr>
        <w:t>؛</w:t>
      </w:r>
      <w:r w:rsidRPr="00904FCB">
        <w:rPr>
          <w:rFonts w:ascii="Tahoma" w:hAnsi="Tahoma"/>
          <w:sz w:val="27"/>
          <w:rtl/>
          <w:lang w:bidi="fa-IR"/>
        </w:rPr>
        <w:t xml:space="preserve"> بغية الوصول إلى العناصر المشتركة</w:t>
      </w:r>
      <w:r w:rsidR="00935E0A">
        <w:rPr>
          <w:rFonts w:ascii="Tahoma" w:hAnsi="Tahoma" w:hint="cs"/>
          <w:sz w:val="27"/>
          <w:rtl/>
          <w:lang w:bidi="fa-IR"/>
        </w:rPr>
        <w:t>،</w:t>
      </w:r>
      <w:r w:rsidRPr="00904FCB">
        <w:rPr>
          <w:rFonts w:ascii="Tahoma" w:hAnsi="Tahoma"/>
          <w:sz w:val="27"/>
          <w:rtl/>
          <w:lang w:bidi="fa-IR"/>
        </w:rPr>
        <w:t xml:space="preserve"> إن</w:t>
      </w:r>
      <w:r w:rsidR="00DB2F34" w:rsidRPr="00904FCB">
        <w:rPr>
          <w:rFonts w:ascii="Tahoma" w:hAnsi="Tahoma" w:hint="cs"/>
          <w:sz w:val="27"/>
          <w:rtl/>
          <w:lang w:bidi="fa-IR"/>
        </w:rPr>
        <w:t>ْ</w:t>
      </w:r>
      <w:r w:rsidRPr="00904FCB">
        <w:rPr>
          <w:rFonts w:ascii="Tahoma" w:hAnsi="Tahoma"/>
          <w:sz w:val="27"/>
          <w:rtl/>
          <w:lang w:bidi="fa-IR"/>
        </w:rPr>
        <w:t xml:space="preserve"> لم يكن من أجل توحيدها</w:t>
      </w:r>
      <w:r w:rsidR="00DB2F34" w:rsidRPr="00904FCB">
        <w:rPr>
          <w:rFonts w:ascii="Tahoma" w:hAnsi="Tahoma" w:hint="cs"/>
          <w:sz w:val="27"/>
          <w:rtl/>
          <w:lang w:bidi="fa-IR"/>
        </w:rPr>
        <w:t>.</w:t>
      </w:r>
      <w:r w:rsidRPr="00904FCB">
        <w:rPr>
          <w:rFonts w:ascii="Tahoma" w:hAnsi="Tahoma"/>
          <w:sz w:val="27"/>
          <w:rtl/>
          <w:lang w:bidi="fa-IR"/>
        </w:rPr>
        <w:t xml:space="preserve"> فأضعف ال</w:t>
      </w:r>
      <w:r w:rsidR="00DB2F34" w:rsidRPr="00904FCB">
        <w:rPr>
          <w:rFonts w:ascii="Tahoma" w:hAnsi="Tahoma" w:hint="cs"/>
          <w:sz w:val="27"/>
          <w:rtl/>
          <w:lang w:bidi="fa-IR"/>
        </w:rPr>
        <w:t>إ</w:t>
      </w:r>
      <w:r w:rsidRPr="00904FCB">
        <w:rPr>
          <w:rFonts w:ascii="Tahoma" w:hAnsi="Tahoma"/>
          <w:sz w:val="27"/>
          <w:rtl/>
          <w:lang w:bidi="fa-IR"/>
        </w:rPr>
        <w:t xml:space="preserve">يمان السعي نحو </w:t>
      </w:r>
      <w:r w:rsidRPr="00904FCB">
        <w:rPr>
          <w:rFonts w:ascii="Tahoma" w:hAnsi="Tahoma"/>
          <w:sz w:val="27"/>
          <w:rtl/>
          <w:lang w:bidi="fa-IR"/>
        </w:rPr>
        <w:lastRenderedPageBreak/>
        <w:t>التقريب بينها</w:t>
      </w:r>
      <w:r w:rsidR="00DB2F34" w:rsidRPr="00904FCB">
        <w:rPr>
          <w:rFonts w:ascii="Tahoma" w:hAnsi="Tahoma" w:hint="cs"/>
          <w:sz w:val="27"/>
          <w:rtl/>
          <w:lang w:bidi="fa-IR"/>
        </w:rPr>
        <w:t>؛</w:t>
      </w:r>
      <w:r w:rsidRPr="00904FCB">
        <w:rPr>
          <w:rFonts w:ascii="Tahoma" w:hAnsi="Tahoma"/>
          <w:sz w:val="27"/>
          <w:rtl/>
          <w:lang w:bidi="fa-IR"/>
        </w:rPr>
        <w:t xml:space="preserve"> لأن القانون المقارن يختلف عن القانون الوضعي الذي من سماته المحافظة والسكون، بينما الحركة هي أبرز خصائص القانون المقارن، وهي حركة</w:t>
      </w:r>
      <w:r w:rsidR="00DB2F34" w:rsidRPr="00904FCB">
        <w:rPr>
          <w:rFonts w:ascii="Tahoma" w:hAnsi="Tahoma" w:hint="cs"/>
          <w:sz w:val="27"/>
          <w:rtl/>
          <w:lang w:bidi="fa-IR"/>
        </w:rPr>
        <w:t>ٌ</w:t>
      </w:r>
      <w:r w:rsidRPr="00904FCB">
        <w:rPr>
          <w:rFonts w:ascii="Tahoma" w:hAnsi="Tahoma"/>
          <w:sz w:val="27"/>
          <w:rtl/>
          <w:lang w:bidi="fa-IR"/>
        </w:rPr>
        <w:t xml:space="preserve"> في الفكر، وحركة في الواقع</w:t>
      </w:r>
      <w:r w:rsidR="00DB2F34" w:rsidRPr="00904FCB">
        <w:rPr>
          <w:rFonts w:ascii="Tahoma" w:hAnsi="Tahoma" w:hint="cs"/>
          <w:sz w:val="27"/>
          <w:rtl/>
          <w:lang w:bidi="fa-IR"/>
        </w:rPr>
        <w:t>.</w:t>
      </w:r>
      <w:r w:rsidRPr="00904FCB">
        <w:rPr>
          <w:rFonts w:ascii="Tahoma" w:hAnsi="Tahoma"/>
          <w:sz w:val="27"/>
          <w:rtl/>
          <w:lang w:bidi="fa-IR"/>
        </w:rPr>
        <w:t xml:space="preserve"> حركة في الفكر وجهتها المبادئ الكلية، وحركة في الواقع ميدانها العالم ال</w:t>
      </w:r>
      <w:r w:rsidR="00DB2F34" w:rsidRPr="00904FCB">
        <w:rPr>
          <w:rFonts w:ascii="Tahoma" w:hAnsi="Tahoma" w:hint="cs"/>
          <w:sz w:val="27"/>
          <w:rtl/>
          <w:lang w:bidi="fa-IR"/>
        </w:rPr>
        <w:t>إ</w:t>
      </w:r>
      <w:r w:rsidRPr="00904FCB">
        <w:rPr>
          <w:rFonts w:ascii="Tahoma" w:hAnsi="Tahoma"/>
          <w:sz w:val="27"/>
          <w:rtl/>
          <w:lang w:bidi="fa-IR"/>
        </w:rPr>
        <w:t>نساني الر</w:t>
      </w:r>
      <w:r w:rsidR="00DB2F34" w:rsidRPr="00904FCB">
        <w:rPr>
          <w:rFonts w:ascii="Tahoma" w:hAnsi="Tahoma" w:hint="cs"/>
          <w:sz w:val="27"/>
          <w:rtl/>
          <w:lang w:bidi="fa-IR"/>
        </w:rPr>
        <w:t>َّ</w:t>
      </w:r>
      <w:r w:rsidRPr="00904FCB">
        <w:rPr>
          <w:rFonts w:ascii="Tahoma" w:hAnsi="Tahoma"/>
          <w:sz w:val="27"/>
          <w:rtl/>
          <w:lang w:bidi="fa-IR"/>
        </w:rPr>
        <w:t>ح</w:t>
      </w:r>
      <w:r w:rsidR="00DB2F34" w:rsidRPr="00904FCB">
        <w:rPr>
          <w:rFonts w:ascii="Tahoma" w:hAnsi="Tahoma" w:hint="cs"/>
          <w:sz w:val="27"/>
          <w:rtl/>
          <w:lang w:bidi="fa-IR"/>
        </w:rPr>
        <w:t>ْ</w:t>
      </w:r>
      <w:r w:rsidRPr="00904FCB">
        <w:rPr>
          <w:rFonts w:ascii="Tahoma" w:hAnsi="Tahoma"/>
          <w:sz w:val="27"/>
          <w:rtl/>
          <w:lang w:bidi="fa-IR"/>
        </w:rPr>
        <w:t>ب، رغم حدوده الجغرافية، وموانعه السيادية</w:t>
      </w:r>
      <w:r w:rsidR="00DB2F34" w:rsidRPr="00904FCB">
        <w:rPr>
          <w:rFonts w:ascii="Tahoma" w:hAnsi="Tahoma" w:hint="cs"/>
          <w:sz w:val="27"/>
          <w:rtl/>
          <w:lang w:bidi="fa-IR"/>
        </w:rPr>
        <w:t>.</w:t>
      </w:r>
    </w:p>
    <w:p w:rsidR="00DB2F34"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 xml:space="preserve">ومنذ عام </w:t>
      </w:r>
      <w:r w:rsidRPr="008C16BF">
        <w:rPr>
          <w:rFonts w:ascii="Tahoma" w:hAnsi="Tahoma" w:hint="cs"/>
          <w:sz w:val="27"/>
          <w:rtl/>
          <w:lang w:bidi="ar-LB"/>
        </w:rPr>
        <w:t>1900م</w:t>
      </w:r>
      <w:r w:rsidR="00DB2F34" w:rsidRPr="00904FCB">
        <w:rPr>
          <w:rFonts w:ascii="Tahoma" w:hAnsi="Tahoma" w:hint="cs"/>
          <w:sz w:val="27"/>
          <w:rtl/>
          <w:lang w:bidi="ar-LB"/>
        </w:rPr>
        <w:t xml:space="preserve">، </w:t>
      </w:r>
      <w:r w:rsidRPr="00904FCB">
        <w:rPr>
          <w:rFonts w:ascii="Tahoma" w:hAnsi="Tahoma"/>
          <w:sz w:val="27"/>
          <w:rtl/>
          <w:lang w:bidi="fa-IR"/>
        </w:rPr>
        <w:t>أي بداية القرن الفائت</w:t>
      </w:r>
      <w:r w:rsidR="00DB2F34" w:rsidRPr="00904FCB">
        <w:rPr>
          <w:rFonts w:ascii="Tahoma" w:hAnsi="Tahoma" w:hint="cs"/>
          <w:sz w:val="27"/>
          <w:rtl/>
          <w:lang w:bidi="fa-IR"/>
        </w:rPr>
        <w:t>،</w:t>
      </w:r>
      <w:r w:rsidRPr="00904FCB">
        <w:rPr>
          <w:rFonts w:ascii="Tahoma" w:hAnsi="Tahoma"/>
          <w:sz w:val="27"/>
          <w:rtl/>
          <w:lang w:bidi="fa-IR"/>
        </w:rPr>
        <w:t xml:space="preserve"> ومع انعقاد أو</w:t>
      </w:r>
      <w:r w:rsidR="00DB2F34" w:rsidRPr="00904FCB">
        <w:rPr>
          <w:rFonts w:ascii="Tahoma" w:hAnsi="Tahoma" w:hint="cs"/>
          <w:sz w:val="27"/>
          <w:rtl/>
          <w:lang w:bidi="fa-IR"/>
        </w:rPr>
        <w:t>ّ</w:t>
      </w:r>
      <w:r w:rsidRPr="00904FCB">
        <w:rPr>
          <w:rFonts w:ascii="Tahoma" w:hAnsi="Tahoma"/>
          <w:sz w:val="27"/>
          <w:rtl/>
          <w:lang w:bidi="fa-IR"/>
        </w:rPr>
        <w:t>ل مؤتمر للقانون المقارن كتبت فيه شهادة الميلاد لهذا الفرع الوليد</w:t>
      </w:r>
      <w:r w:rsidR="00DB2F34" w:rsidRPr="00904FCB">
        <w:rPr>
          <w:rFonts w:ascii="Tahoma" w:hAnsi="Tahoma" w:hint="cs"/>
          <w:sz w:val="27"/>
          <w:rtl/>
          <w:lang w:bidi="fa-IR"/>
        </w:rPr>
        <w:t>،</w:t>
      </w:r>
      <w:r w:rsidRPr="00904FCB">
        <w:rPr>
          <w:rFonts w:ascii="Tahoma" w:hAnsi="Tahoma"/>
          <w:sz w:val="27"/>
          <w:rtl/>
          <w:lang w:bidi="fa-IR"/>
        </w:rPr>
        <w:t xml:space="preserve"> برز الأستاذان </w:t>
      </w:r>
      <w:r w:rsidRPr="00904FCB">
        <w:rPr>
          <w:rFonts w:hint="eastAsia"/>
          <w:sz w:val="27"/>
          <w:rtl/>
          <w:lang w:bidi="fa-IR"/>
        </w:rPr>
        <w:t>«</w:t>
      </w:r>
      <w:r w:rsidR="00DB2F34" w:rsidRPr="00904FCB">
        <w:rPr>
          <w:rFonts w:ascii="Tahoma" w:hAnsi="Tahoma" w:hint="cs"/>
          <w:sz w:val="27"/>
          <w:rtl/>
          <w:lang w:bidi="fa-IR"/>
        </w:rPr>
        <w:t>إ</w:t>
      </w:r>
      <w:r w:rsidRPr="00904FCB">
        <w:rPr>
          <w:rFonts w:ascii="Tahoma" w:hAnsi="Tahoma"/>
          <w:sz w:val="27"/>
          <w:rtl/>
          <w:lang w:bidi="fa-IR"/>
        </w:rPr>
        <w:t>دوارد لامبير</w:t>
      </w:r>
      <w:r w:rsidRPr="00904FCB">
        <w:rPr>
          <w:rFonts w:hint="eastAsia"/>
          <w:sz w:val="27"/>
          <w:rtl/>
        </w:rPr>
        <w:t>»</w:t>
      </w:r>
      <w:r w:rsidRPr="00904FCB">
        <w:rPr>
          <w:rFonts w:ascii="Tahoma" w:hAnsi="Tahoma"/>
          <w:sz w:val="27"/>
          <w:rtl/>
          <w:lang w:bidi="fa-IR"/>
        </w:rPr>
        <w:t>، و</w:t>
      </w:r>
      <w:r w:rsidR="00DB2F34" w:rsidRPr="00904FCB">
        <w:rPr>
          <w:rFonts w:hint="eastAsia"/>
          <w:sz w:val="27"/>
          <w:rtl/>
          <w:lang w:bidi="fa-IR"/>
        </w:rPr>
        <w:t>«</w:t>
      </w:r>
      <w:r w:rsidRPr="00904FCB">
        <w:rPr>
          <w:rFonts w:ascii="Tahoma" w:hAnsi="Tahoma"/>
          <w:sz w:val="27"/>
          <w:rtl/>
          <w:lang w:bidi="fa-IR"/>
        </w:rPr>
        <w:t>ريمون سالي</w:t>
      </w:r>
      <w:r w:rsidRPr="00904FCB">
        <w:rPr>
          <w:rFonts w:hint="eastAsia"/>
          <w:sz w:val="27"/>
          <w:rtl/>
        </w:rPr>
        <w:t>»</w:t>
      </w:r>
      <w:r w:rsidRPr="00904FCB">
        <w:rPr>
          <w:rFonts w:ascii="Tahoma" w:hAnsi="Tahoma"/>
          <w:sz w:val="27"/>
          <w:rtl/>
          <w:lang w:bidi="fa-IR"/>
        </w:rPr>
        <w:t xml:space="preserve"> </w:t>
      </w:r>
      <w:r w:rsidR="00DB2F34" w:rsidRPr="00904FCB">
        <w:rPr>
          <w:rFonts w:ascii="Tahoma" w:hAnsi="Tahoma" w:hint="cs"/>
          <w:sz w:val="27"/>
          <w:rtl/>
          <w:lang w:bidi="fa-IR"/>
        </w:rPr>
        <w:t>ك</w:t>
      </w:r>
      <w:r w:rsidRPr="00904FCB">
        <w:rPr>
          <w:rFonts w:ascii="Tahoma" w:hAnsi="Tahoma"/>
          <w:sz w:val="27"/>
          <w:rtl/>
          <w:lang w:bidi="fa-IR"/>
        </w:rPr>
        <w:t>أهم</w:t>
      </w:r>
      <w:r w:rsidR="00DB2F34" w:rsidRPr="00904FCB">
        <w:rPr>
          <w:rFonts w:ascii="Tahoma" w:hAnsi="Tahoma" w:hint="cs"/>
          <w:sz w:val="27"/>
          <w:rtl/>
          <w:lang w:bidi="fa-IR"/>
        </w:rPr>
        <w:t>ّ</w:t>
      </w:r>
      <w:r w:rsidRPr="00904FCB">
        <w:rPr>
          <w:rFonts w:ascii="Tahoma" w:hAnsi="Tahoma"/>
          <w:sz w:val="27"/>
          <w:rtl/>
          <w:lang w:bidi="fa-IR"/>
        </w:rPr>
        <w:t xml:space="preserve"> المدافعين عن القانون المقارن</w:t>
      </w:r>
      <w:r w:rsidR="00DB2F34" w:rsidRPr="00904FCB">
        <w:rPr>
          <w:rFonts w:ascii="Tahoma" w:hAnsi="Tahoma" w:hint="cs"/>
          <w:sz w:val="27"/>
          <w:rtl/>
          <w:lang w:bidi="fa-IR"/>
        </w:rPr>
        <w:t>،</w:t>
      </w:r>
      <w:r w:rsidRPr="00904FCB">
        <w:rPr>
          <w:rFonts w:ascii="Tahoma" w:hAnsi="Tahoma"/>
          <w:sz w:val="27"/>
          <w:rtl/>
          <w:lang w:bidi="fa-IR"/>
        </w:rPr>
        <w:t xml:space="preserve"> وأبرز الداعين إلى جعله علما</w:t>
      </w:r>
      <w:r w:rsidR="00DB2F34" w:rsidRPr="00904FCB">
        <w:rPr>
          <w:rFonts w:ascii="Tahoma" w:hAnsi="Tahoma" w:hint="cs"/>
          <w:sz w:val="27"/>
          <w:rtl/>
          <w:lang w:bidi="fa-IR"/>
        </w:rPr>
        <w:t>ً</w:t>
      </w:r>
      <w:r w:rsidRPr="00904FCB">
        <w:rPr>
          <w:rFonts w:ascii="Tahoma" w:hAnsi="Tahoma"/>
          <w:sz w:val="27"/>
          <w:rtl/>
          <w:lang w:bidi="fa-IR"/>
        </w:rPr>
        <w:t xml:space="preserve"> قائما</w:t>
      </w:r>
      <w:r w:rsidR="00DB2F34" w:rsidRPr="00904FCB">
        <w:rPr>
          <w:rFonts w:ascii="Tahoma" w:hAnsi="Tahoma" w:hint="cs"/>
          <w:sz w:val="27"/>
          <w:rtl/>
          <w:lang w:bidi="fa-IR"/>
        </w:rPr>
        <w:t>ً</w:t>
      </w:r>
      <w:r w:rsidRPr="00904FCB">
        <w:rPr>
          <w:rFonts w:ascii="Tahoma" w:hAnsi="Tahoma"/>
          <w:sz w:val="27"/>
          <w:rtl/>
          <w:lang w:bidi="fa-IR"/>
        </w:rPr>
        <w:t xml:space="preserve"> بذاته في الموضوع والمنهج والغاية</w:t>
      </w:r>
      <w:r w:rsidR="00DB2F34" w:rsidRPr="00904FCB">
        <w:rPr>
          <w:rFonts w:ascii="Tahoma" w:hAnsi="Tahoma" w:hint="cs"/>
          <w:sz w:val="27"/>
          <w:rtl/>
          <w:lang w:bidi="fa-IR"/>
        </w:rPr>
        <w:t>.</w:t>
      </w:r>
      <w:r w:rsidRPr="00904FCB">
        <w:rPr>
          <w:rFonts w:ascii="Tahoma" w:hAnsi="Tahoma"/>
          <w:sz w:val="27"/>
          <w:rtl/>
          <w:lang w:bidi="fa-IR"/>
        </w:rPr>
        <w:t xml:space="preserve"> أما الموضوع فهو القوانين المختلفة زمانا</w:t>
      </w:r>
      <w:r w:rsidR="00DB2F34" w:rsidRPr="00904FCB">
        <w:rPr>
          <w:rFonts w:ascii="Tahoma" w:hAnsi="Tahoma" w:hint="cs"/>
          <w:sz w:val="27"/>
          <w:rtl/>
          <w:lang w:bidi="fa-IR"/>
        </w:rPr>
        <w:t>ً</w:t>
      </w:r>
      <w:r w:rsidRPr="00904FCB">
        <w:rPr>
          <w:rFonts w:ascii="Tahoma" w:hAnsi="Tahoma"/>
          <w:sz w:val="27"/>
          <w:rtl/>
          <w:lang w:bidi="fa-IR"/>
        </w:rPr>
        <w:t xml:space="preserve"> ومكانا</w:t>
      </w:r>
      <w:r w:rsidR="00DB2F34" w:rsidRPr="00904FCB">
        <w:rPr>
          <w:rFonts w:ascii="Tahoma" w:hAnsi="Tahoma" w:hint="cs"/>
          <w:sz w:val="27"/>
          <w:rtl/>
          <w:lang w:bidi="fa-IR"/>
        </w:rPr>
        <w:t>ً.</w:t>
      </w:r>
      <w:r w:rsidRPr="00904FCB">
        <w:rPr>
          <w:rFonts w:ascii="Tahoma" w:hAnsi="Tahoma"/>
          <w:sz w:val="27"/>
          <w:rtl/>
          <w:lang w:bidi="fa-IR"/>
        </w:rPr>
        <w:t xml:space="preserve"> وأما المنهج فهو الطريقة المقارنة</w:t>
      </w:r>
      <w:r w:rsidR="00DB2F34" w:rsidRPr="00904FCB">
        <w:rPr>
          <w:rFonts w:ascii="Tahoma" w:hAnsi="Tahoma" w:hint="cs"/>
          <w:sz w:val="27"/>
          <w:rtl/>
          <w:lang w:bidi="fa-IR"/>
        </w:rPr>
        <w:t>.</w:t>
      </w:r>
      <w:r w:rsidRPr="00904FCB">
        <w:rPr>
          <w:rFonts w:ascii="Tahoma" w:hAnsi="Tahoma"/>
          <w:sz w:val="27"/>
          <w:rtl/>
          <w:lang w:bidi="fa-IR"/>
        </w:rPr>
        <w:t xml:space="preserve"> وأما الغاية فهي البحث عن القواعد العامة والمبادئ الكلية بين الشرائع والنظم</w:t>
      </w:r>
      <w:r w:rsidR="00DB2F34"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والرأي عندي أن ولادة القانون المقارن لا تعني انحسار المدرسة التاريخية، بل إنها مستدعاة بالضرورة</w:t>
      </w:r>
      <w:r w:rsidR="000513B7" w:rsidRPr="00904FCB">
        <w:rPr>
          <w:rFonts w:ascii="Tahoma" w:hAnsi="Tahoma" w:hint="cs"/>
          <w:sz w:val="27"/>
          <w:rtl/>
          <w:lang w:bidi="fa-IR"/>
        </w:rPr>
        <w:t>؛</w:t>
      </w:r>
      <w:r w:rsidRPr="00904FCB">
        <w:rPr>
          <w:rFonts w:ascii="Tahoma" w:hAnsi="Tahoma"/>
          <w:sz w:val="27"/>
          <w:rtl/>
          <w:lang w:bidi="fa-IR"/>
        </w:rPr>
        <w:t xml:space="preserve"> لأن البحث في عمومية القوانين لا يعني استبعاد الخصوصية أو التنك</w:t>
      </w:r>
      <w:r w:rsidR="000513B7" w:rsidRPr="00904FCB">
        <w:rPr>
          <w:rFonts w:ascii="Tahoma" w:hAnsi="Tahoma" w:hint="cs"/>
          <w:sz w:val="27"/>
          <w:rtl/>
          <w:lang w:bidi="fa-IR"/>
        </w:rPr>
        <w:t>ُّ</w:t>
      </w:r>
      <w:r w:rsidRPr="00904FCB">
        <w:rPr>
          <w:rFonts w:ascii="Tahoma" w:hAnsi="Tahoma"/>
          <w:sz w:val="27"/>
          <w:rtl/>
          <w:lang w:bidi="fa-IR"/>
        </w:rPr>
        <w:t>ر لها</w:t>
      </w:r>
      <w:r w:rsidR="000513B7" w:rsidRPr="00904FCB">
        <w:rPr>
          <w:rFonts w:ascii="Tahoma" w:hAnsi="Tahoma" w:hint="cs"/>
          <w:sz w:val="27"/>
          <w:rtl/>
          <w:lang w:bidi="fa-IR"/>
        </w:rPr>
        <w:t>.</w:t>
      </w:r>
      <w:r w:rsidRPr="00904FCB">
        <w:rPr>
          <w:rFonts w:ascii="Tahoma" w:hAnsi="Tahoma"/>
          <w:sz w:val="27"/>
          <w:rtl/>
          <w:lang w:bidi="fa-IR"/>
        </w:rPr>
        <w:t xml:space="preserve"> فالقانون </w:t>
      </w:r>
      <w:r w:rsidR="000513B7" w:rsidRPr="00904FCB">
        <w:rPr>
          <w:rFonts w:ascii="Tahoma" w:hAnsi="Tahoma"/>
          <w:sz w:val="27"/>
          <w:rtl/>
          <w:lang w:bidi="fa-IR"/>
        </w:rPr>
        <w:t xml:space="preserve">ـ </w:t>
      </w:r>
      <w:r w:rsidRPr="00904FCB">
        <w:rPr>
          <w:rFonts w:ascii="Tahoma" w:hAnsi="Tahoma"/>
          <w:sz w:val="27"/>
          <w:rtl/>
          <w:lang w:bidi="fa-IR"/>
        </w:rPr>
        <w:t xml:space="preserve">كما قال </w:t>
      </w:r>
      <w:r w:rsidRPr="00904FCB">
        <w:rPr>
          <w:rFonts w:hint="eastAsia"/>
          <w:sz w:val="27"/>
          <w:rtl/>
          <w:lang w:bidi="fa-IR"/>
        </w:rPr>
        <w:t>«</w:t>
      </w:r>
      <w:r w:rsidRPr="00904FCB">
        <w:rPr>
          <w:rFonts w:ascii="Tahoma" w:hAnsi="Tahoma"/>
          <w:sz w:val="27"/>
          <w:rtl/>
          <w:lang w:bidi="fa-IR"/>
        </w:rPr>
        <w:t>كابيتان</w:t>
      </w:r>
      <w:r w:rsidRPr="00904FCB">
        <w:rPr>
          <w:rFonts w:hint="eastAsia"/>
          <w:sz w:val="27"/>
          <w:rtl/>
        </w:rPr>
        <w:t>»</w:t>
      </w:r>
      <w:r w:rsidRPr="00904FCB">
        <w:rPr>
          <w:rFonts w:ascii="Tahoma" w:hAnsi="Tahoma"/>
          <w:sz w:val="27"/>
          <w:rtl/>
          <w:lang w:bidi="fa-IR"/>
        </w:rPr>
        <w:t xml:space="preserve"> بحق</w:t>
      </w:r>
      <w:r w:rsidR="000513B7" w:rsidRPr="00904FCB">
        <w:rPr>
          <w:rFonts w:ascii="Tahoma" w:hAnsi="Tahoma" w:hint="cs"/>
          <w:sz w:val="27"/>
          <w:rtl/>
          <w:lang w:bidi="fa-IR"/>
        </w:rPr>
        <w:t>ٍّ</w:t>
      </w:r>
      <w:r w:rsidRPr="00904FCB">
        <w:rPr>
          <w:rFonts w:ascii="Tahoma" w:hAnsi="Tahoma" w:hint="cs"/>
          <w:sz w:val="27"/>
          <w:rtl/>
          <w:lang w:bidi="fa-IR"/>
        </w:rPr>
        <w:t xml:space="preserve"> </w:t>
      </w:r>
      <w:r w:rsidRPr="00904FCB">
        <w:rPr>
          <w:rFonts w:ascii="Tahoma" w:hAnsi="Tahoma"/>
          <w:sz w:val="27"/>
          <w:rtl/>
          <w:lang w:bidi="fa-IR"/>
        </w:rPr>
        <w:t xml:space="preserve">ـ ثمرة من ثمرات عصره، قد عمل على </w:t>
      </w:r>
      <w:r w:rsidR="000513B7" w:rsidRPr="00904FCB">
        <w:rPr>
          <w:rFonts w:ascii="Tahoma" w:hAnsi="Tahoma" w:hint="cs"/>
          <w:sz w:val="27"/>
          <w:rtl/>
          <w:lang w:bidi="fa-IR"/>
        </w:rPr>
        <w:t>إ</w:t>
      </w:r>
      <w:r w:rsidRPr="00904FCB">
        <w:rPr>
          <w:rFonts w:ascii="Tahoma" w:hAnsi="Tahoma"/>
          <w:sz w:val="27"/>
          <w:rtl/>
          <w:lang w:bidi="fa-IR"/>
        </w:rPr>
        <w:t>نضاجها الزمان والمكان والحال الاجتماعية والسياسية والاقتصادية، وهي عوامل تختلف من بلد</w:t>
      </w:r>
      <w:r w:rsidR="000513B7" w:rsidRPr="00904FCB">
        <w:rPr>
          <w:rFonts w:ascii="Tahoma" w:hAnsi="Tahoma" w:hint="cs"/>
          <w:sz w:val="27"/>
          <w:rtl/>
          <w:lang w:bidi="fa-IR"/>
        </w:rPr>
        <w:t>ٍ</w:t>
      </w:r>
      <w:r w:rsidRPr="00904FCB">
        <w:rPr>
          <w:rFonts w:ascii="Tahoma" w:hAnsi="Tahoma"/>
          <w:sz w:val="27"/>
          <w:rtl/>
          <w:lang w:bidi="fa-IR"/>
        </w:rPr>
        <w:t xml:space="preserve"> إلى بلد، مم</w:t>
      </w:r>
      <w:r w:rsidR="000513B7" w:rsidRPr="00904FCB">
        <w:rPr>
          <w:rFonts w:ascii="Tahoma" w:hAnsi="Tahoma" w:hint="cs"/>
          <w:sz w:val="27"/>
          <w:rtl/>
          <w:lang w:bidi="fa-IR"/>
        </w:rPr>
        <w:t>ّ</w:t>
      </w:r>
      <w:r w:rsidRPr="00904FCB">
        <w:rPr>
          <w:rFonts w:ascii="Tahoma" w:hAnsi="Tahoma"/>
          <w:sz w:val="27"/>
          <w:rtl/>
          <w:lang w:bidi="fa-IR"/>
        </w:rPr>
        <w:t>ا جعل قوانين كل</w:t>
      </w:r>
      <w:r w:rsidR="000513B7" w:rsidRPr="00904FCB">
        <w:rPr>
          <w:rFonts w:ascii="Tahoma" w:hAnsi="Tahoma" w:hint="cs"/>
          <w:sz w:val="27"/>
          <w:rtl/>
          <w:lang w:bidi="fa-IR"/>
        </w:rPr>
        <w:t>ّ</w:t>
      </w:r>
      <w:r w:rsidRPr="00904FCB">
        <w:rPr>
          <w:rFonts w:ascii="Tahoma" w:hAnsi="Tahoma"/>
          <w:sz w:val="27"/>
          <w:rtl/>
          <w:lang w:bidi="fa-IR"/>
        </w:rPr>
        <w:t xml:space="preserve"> أم</w:t>
      </w:r>
      <w:r w:rsidR="000513B7" w:rsidRPr="00904FCB">
        <w:rPr>
          <w:rFonts w:ascii="Tahoma" w:hAnsi="Tahoma" w:hint="cs"/>
          <w:sz w:val="27"/>
          <w:rtl/>
          <w:lang w:bidi="fa-IR"/>
        </w:rPr>
        <w:t>ّ</w:t>
      </w:r>
      <w:r w:rsidRPr="00904FCB">
        <w:rPr>
          <w:rFonts w:ascii="Tahoma" w:hAnsi="Tahoma"/>
          <w:sz w:val="27"/>
          <w:rtl/>
          <w:lang w:bidi="fa-IR"/>
        </w:rPr>
        <w:t>ة مستقل</w:t>
      </w:r>
      <w:r w:rsidR="000513B7" w:rsidRPr="00904FCB">
        <w:rPr>
          <w:rFonts w:ascii="Tahoma" w:hAnsi="Tahoma" w:hint="cs"/>
          <w:sz w:val="27"/>
          <w:rtl/>
          <w:lang w:bidi="fa-IR"/>
        </w:rPr>
        <w:t>ّ</w:t>
      </w:r>
      <w:r w:rsidRPr="00904FCB">
        <w:rPr>
          <w:rFonts w:ascii="Tahoma" w:hAnsi="Tahoma"/>
          <w:sz w:val="27"/>
          <w:rtl/>
          <w:lang w:bidi="fa-IR"/>
        </w:rPr>
        <w:t>ة بذاتها</w:t>
      </w:r>
      <w:r w:rsidR="000513B7" w:rsidRPr="00904FCB">
        <w:rPr>
          <w:rFonts w:ascii="Tahoma" w:hAnsi="Tahoma" w:hint="cs"/>
          <w:sz w:val="27"/>
          <w:rtl/>
          <w:lang w:bidi="fa-IR"/>
        </w:rPr>
        <w:t>؛</w:t>
      </w:r>
      <w:r w:rsidRPr="00904FCB">
        <w:rPr>
          <w:rFonts w:ascii="Tahoma" w:hAnsi="Tahoma"/>
          <w:sz w:val="27"/>
          <w:rtl/>
          <w:lang w:bidi="fa-IR"/>
        </w:rPr>
        <w:t xml:space="preserve"> لأن ما يوافق أمة قد لايوافق أمة أخر</w:t>
      </w:r>
      <w:r w:rsidR="000513B7" w:rsidRPr="00904FCB">
        <w:rPr>
          <w:rFonts w:ascii="Tahoma" w:hAnsi="Tahoma" w:hint="cs"/>
          <w:sz w:val="27"/>
          <w:rtl/>
          <w:lang w:bidi="fa-IR"/>
        </w:rPr>
        <w:t>ى،</w:t>
      </w:r>
      <w:r w:rsidRPr="00904FCB">
        <w:rPr>
          <w:rFonts w:ascii="Tahoma" w:hAnsi="Tahoma"/>
          <w:sz w:val="27"/>
          <w:rtl/>
          <w:lang w:bidi="fa-IR"/>
        </w:rPr>
        <w:t xml:space="preserve"> ولا يتفق مع روحها الاجتماعية</w:t>
      </w:r>
      <w:r w:rsidR="000513B7" w:rsidRPr="00904FCB">
        <w:rPr>
          <w:rFonts w:ascii="Tahoma" w:hAnsi="Tahoma" w:hint="cs"/>
          <w:sz w:val="27"/>
          <w:rtl/>
          <w:lang w:bidi="fa-IR"/>
        </w:rPr>
        <w:t>.</w:t>
      </w:r>
      <w:r w:rsidRPr="00904FCB">
        <w:rPr>
          <w:rFonts w:ascii="Tahoma" w:hAnsi="Tahoma"/>
          <w:sz w:val="27"/>
          <w:rtl/>
          <w:lang w:bidi="fa-IR"/>
        </w:rPr>
        <w:t xml:space="preserve"> فضرورة القانون في كل مجتمع لا تعني استنساخه لكل</w:t>
      </w:r>
      <w:r w:rsidR="000513B7" w:rsidRPr="00904FCB">
        <w:rPr>
          <w:rFonts w:ascii="Tahoma" w:hAnsi="Tahoma" w:hint="cs"/>
          <w:sz w:val="27"/>
          <w:rtl/>
          <w:lang w:bidi="fa-IR"/>
        </w:rPr>
        <w:t>ّ</w:t>
      </w:r>
      <w:r w:rsidRPr="00904FCB">
        <w:rPr>
          <w:rFonts w:ascii="Tahoma" w:hAnsi="Tahoma"/>
          <w:sz w:val="27"/>
          <w:rtl/>
          <w:lang w:bidi="fa-IR"/>
        </w:rPr>
        <w:t xml:space="preserve"> بيئة، وتطابق مكو</w:t>
      </w:r>
      <w:r w:rsidR="000513B7" w:rsidRPr="00904FCB">
        <w:rPr>
          <w:rFonts w:ascii="Tahoma" w:hAnsi="Tahoma" w:hint="cs"/>
          <w:sz w:val="27"/>
          <w:rtl/>
          <w:lang w:bidi="fa-IR"/>
        </w:rPr>
        <w:t>ّ</w:t>
      </w:r>
      <w:r w:rsidRPr="00904FCB">
        <w:rPr>
          <w:rFonts w:ascii="Tahoma" w:hAnsi="Tahoma"/>
          <w:sz w:val="27"/>
          <w:rtl/>
          <w:lang w:bidi="fa-IR"/>
        </w:rPr>
        <w:t>ناته لد</w:t>
      </w:r>
      <w:r w:rsidR="000513B7" w:rsidRPr="00904FCB">
        <w:rPr>
          <w:rFonts w:ascii="Tahoma" w:hAnsi="Tahoma" w:hint="cs"/>
          <w:sz w:val="27"/>
          <w:rtl/>
          <w:lang w:bidi="fa-IR"/>
        </w:rPr>
        <w:t>ى</w:t>
      </w:r>
      <w:r w:rsidRPr="00904FCB">
        <w:rPr>
          <w:rFonts w:ascii="Tahoma" w:hAnsi="Tahoma"/>
          <w:sz w:val="27"/>
          <w:rtl/>
          <w:lang w:bidi="fa-IR"/>
        </w:rPr>
        <w:t xml:space="preserve"> مختلف الجماعات.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وينقسم هذا البحث إلى مطلبين: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الأول</w:t>
      </w:r>
      <w:r w:rsidRPr="00904FCB">
        <w:rPr>
          <w:rFonts w:ascii="Tahoma" w:hAnsi="Tahoma"/>
          <w:sz w:val="27"/>
          <w:rtl/>
          <w:lang w:bidi="fa-IR"/>
        </w:rPr>
        <w:t xml:space="preserve">: في القانون المقارن ووظائفه. </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b/>
          <w:bCs/>
          <w:sz w:val="27"/>
          <w:rtl/>
          <w:lang w:bidi="fa-IR"/>
        </w:rPr>
        <w:t>الثاني</w:t>
      </w:r>
      <w:r w:rsidRPr="00904FCB">
        <w:rPr>
          <w:rFonts w:ascii="Tahoma" w:hAnsi="Tahoma"/>
          <w:sz w:val="27"/>
          <w:rtl/>
          <w:lang w:bidi="fa-IR"/>
        </w:rPr>
        <w:t xml:space="preserve">: في مقاصد الشريعة وصلتها بالقانون المقارن.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المطلب الأول</w:t>
      </w:r>
      <w:r w:rsidRPr="00904FCB">
        <w:rPr>
          <w:rFonts w:hint="cs"/>
          <w:color w:val="auto"/>
          <w:rtl/>
          <w:lang w:bidi="fa-IR"/>
        </w:rPr>
        <w:t xml:space="preserve">: </w:t>
      </w:r>
      <w:r w:rsidRPr="00904FCB">
        <w:rPr>
          <w:color w:val="auto"/>
          <w:rtl/>
          <w:lang w:bidi="fa-IR"/>
        </w:rPr>
        <w:t>في القانون المقارن ووظائفه</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ولد القانون المقارن في أوروبا، و</w:t>
      </w:r>
      <w:r w:rsidR="000513B7" w:rsidRPr="00904FCB">
        <w:rPr>
          <w:rFonts w:ascii="Tahoma" w:hAnsi="Tahoma" w:hint="cs"/>
          <w:sz w:val="27"/>
          <w:rtl/>
          <w:lang w:bidi="fa-IR"/>
        </w:rPr>
        <w:t>ا</w:t>
      </w:r>
      <w:r w:rsidRPr="00904FCB">
        <w:rPr>
          <w:rFonts w:ascii="Tahoma" w:hAnsi="Tahoma"/>
          <w:sz w:val="27"/>
          <w:rtl/>
          <w:lang w:bidi="fa-IR"/>
        </w:rPr>
        <w:t>حتل</w:t>
      </w:r>
      <w:r w:rsidR="000513B7" w:rsidRPr="00904FCB">
        <w:rPr>
          <w:rFonts w:ascii="Tahoma" w:hAnsi="Tahoma" w:hint="cs"/>
          <w:sz w:val="27"/>
          <w:rtl/>
          <w:lang w:bidi="fa-IR"/>
        </w:rPr>
        <w:t>ّ</w:t>
      </w:r>
      <w:r w:rsidRPr="00904FCB">
        <w:rPr>
          <w:rFonts w:ascii="Tahoma" w:hAnsi="Tahoma"/>
          <w:sz w:val="27"/>
          <w:rtl/>
          <w:lang w:bidi="fa-IR"/>
        </w:rPr>
        <w:t xml:space="preserve"> مكانة</w:t>
      </w:r>
      <w:r w:rsidR="000513B7" w:rsidRPr="00904FCB">
        <w:rPr>
          <w:rFonts w:ascii="Tahoma" w:hAnsi="Tahoma" w:hint="cs"/>
          <w:sz w:val="27"/>
          <w:rtl/>
          <w:lang w:bidi="fa-IR"/>
        </w:rPr>
        <w:t>ً</w:t>
      </w:r>
      <w:r w:rsidRPr="00904FCB">
        <w:rPr>
          <w:rFonts w:ascii="Tahoma" w:hAnsi="Tahoma"/>
          <w:sz w:val="27"/>
          <w:rtl/>
          <w:lang w:bidi="fa-IR"/>
        </w:rPr>
        <w:t xml:space="preserve"> في منظومة العلوم القانونية بجهود </w:t>
      </w:r>
      <w:r w:rsidRPr="00904FCB">
        <w:rPr>
          <w:rFonts w:hint="eastAsia"/>
          <w:sz w:val="27"/>
          <w:rtl/>
          <w:lang w:bidi="fa-IR"/>
        </w:rPr>
        <w:t>«</w:t>
      </w:r>
      <w:r w:rsidRPr="00904FCB">
        <w:rPr>
          <w:rFonts w:ascii="Tahoma" w:hAnsi="Tahoma"/>
          <w:sz w:val="27"/>
          <w:rtl/>
          <w:lang w:bidi="fa-IR"/>
        </w:rPr>
        <w:t>سالي</w:t>
      </w:r>
      <w:r w:rsidRPr="00904FCB">
        <w:rPr>
          <w:rFonts w:hint="eastAsia"/>
          <w:sz w:val="27"/>
          <w:rtl/>
        </w:rPr>
        <w:t>»</w:t>
      </w:r>
      <w:r w:rsidRPr="00904FCB">
        <w:rPr>
          <w:rFonts w:ascii="Tahoma" w:hAnsi="Tahoma"/>
          <w:sz w:val="27"/>
          <w:rtl/>
          <w:lang w:bidi="fa-IR"/>
        </w:rPr>
        <w:t xml:space="preserve"> و</w:t>
      </w:r>
      <w:r w:rsidR="000513B7"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000513B7" w:rsidRPr="00904FCB">
        <w:rPr>
          <w:rFonts w:hint="cs"/>
          <w:sz w:val="27"/>
          <w:rtl/>
        </w:rPr>
        <w:t>،</w:t>
      </w:r>
      <w:r w:rsidRPr="00904FCB">
        <w:rPr>
          <w:rFonts w:ascii="Tahoma" w:hAnsi="Tahoma"/>
          <w:sz w:val="27"/>
          <w:rtl/>
          <w:lang w:bidi="fa-IR"/>
        </w:rPr>
        <w:t xml:space="preserve"> وإليه</w:t>
      </w:r>
      <w:r w:rsidR="000513B7" w:rsidRPr="00904FCB">
        <w:rPr>
          <w:rFonts w:ascii="Tahoma" w:hAnsi="Tahoma" w:hint="cs"/>
          <w:sz w:val="27"/>
          <w:rtl/>
          <w:lang w:bidi="fa-IR"/>
        </w:rPr>
        <w:t>م</w:t>
      </w:r>
      <w:r w:rsidRPr="00904FCB">
        <w:rPr>
          <w:rFonts w:ascii="Tahoma" w:hAnsi="Tahoma"/>
          <w:sz w:val="27"/>
          <w:rtl/>
          <w:lang w:bidi="fa-IR"/>
        </w:rPr>
        <w:t>ا يعود الفضل في ذاتي</w:t>
      </w:r>
      <w:r w:rsidR="000513B7" w:rsidRPr="00904FCB">
        <w:rPr>
          <w:rFonts w:ascii="Tahoma" w:hAnsi="Tahoma" w:hint="cs"/>
          <w:sz w:val="27"/>
          <w:rtl/>
          <w:lang w:bidi="fa-IR"/>
        </w:rPr>
        <w:t>ّ</w:t>
      </w:r>
      <w:r w:rsidRPr="00904FCB">
        <w:rPr>
          <w:rFonts w:ascii="Tahoma" w:hAnsi="Tahoma"/>
          <w:sz w:val="27"/>
          <w:rtl/>
          <w:lang w:bidi="fa-IR"/>
        </w:rPr>
        <w:t>ته واستقلاليته</w:t>
      </w:r>
      <w:r w:rsidR="000513B7" w:rsidRPr="00904FCB">
        <w:rPr>
          <w:rFonts w:ascii="Tahoma" w:hAnsi="Tahoma" w:hint="cs"/>
          <w:sz w:val="27"/>
          <w:rtl/>
          <w:lang w:bidi="fa-IR"/>
        </w:rPr>
        <w:t>،</w:t>
      </w:r>
      <w:r w:rsidRPr="00904FCB">
        <w:rPr>
          <w:rFonts w:ascii="Tahoma" w:hAnsi="Tahoma"/>
          <w:sz w:val="27"/>
          <w:rtl/>
          <w:lang w:bidi="fa-IR"/>
        </w:rPr>
        <w:t xml:space="preserve"> وهما يختلفان في الغرض والغاية.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فالغاية عند </w:t>
      </w:r>
      <w:r w:rsidRPr="00904FCB">
        <w:rPr>
          <w:rFonts w:hint="eastAsia"/>
          <w:sz w:val="27"/>
          <w:rtl/>
          <w:lang w:bidi="fa-IR"/>
        </w:rPr>
        <w:t>«</w:t>
      </w:r>
      <w:r w:rsidRPr="00904FCB">
        <w:rPr>
          <w:rFonts w:ascii="Tahoma" w:hAnsi="Tahoma"/>
          <w:sz w:val="27"/>
          <w:rtl/>
          <w:lang w:bidi="fa-IR"/>
        </w:rPr>
        <w:t>سالي</w:t>
      </w:r>
      <w:r w:rsidRPr="00904FCB">
        <w:rPr>
          <w:rFonts w:hint="eastAsia"/>
          <w:sz w:val="27"/>
          <w:rtl/>
        </w:rPr>
        <w:t>»</w:t>
      </w:r>
      <w:r w:rsidRPr="00904FCB">
        <w:rPr>
          <w:rFonts w:ascii="Tahoma" w:hAnsi="Tahoma"/>
          <w:sz w:val="27"/>
          <w:rtl/>
          <w:lang w:bidi="fa-IR"/>
        </w:rPr>
        <w:t xml:space="preserve"> توظيف القانون المقارن في </w:t>
      </w:r>
      <w:r w:rsidRPr="00904FCB">
        <w:rPr>
          <w:rFonts w:hint="eastAsia"/>
          <w:sz w:val="27"/>
          <w:rtl/>
          <w:lang w:bidi="fa-IR"/>
        </w:rPr>
        <w:t>«</w:t>
      </w:r>
      <w:r w:rsidRPr="00904FCB">
        <w:rPr>
          <w:rFonts w:ascii="Tahoma" w:hAnsi="Tahoma"/>
          <w:sz w:val="27"/>
          <w:rtl/>
          <w:lang w:bidi="fa-IR"/>
        </w:rPr>
        <w:t>تطوير</w:t>
      </w:r>
      <w:r w:rsidRPr="00904FCB">
        <w:rPr>
          <w:rFonts w:hint="eastAsia"/>
          <w:sz w:val="27"/>
          <w:rtl/>
        </w:rPr>
        <w:t>»</w:t>
      </w:r>
      <w:r w:rsidRPr="00904FCB">
        <w:rPr>
          <w:rFonts w:ascii="Tahoma" w:hAnsi="Tahoma"/>
          <w:sz w:val="27"/>
          <w:rtl/>
          <w:lang w:bidi="fa-IR"/>
        </w:rPr>
        <w:t xml:space="preserve"> القانون الوضعي في بلد</w:t>
      </w:r>
      <w:r w:rsidR="000513B7" w:rsidRPr="00904FCB">
        <w:rPr>
          <w:rFonts w:ascii="Tahoma" w:hAnsi="Tahoma" w:hint="cs"/>
          <w:sz w:val="27"/>
          <w:rtl/>
          <w:lang w:bidi="fa-IR"/>
        </w:rPr>
        <w:t>ٍ</w:t>
      </w:r>
      <w:r w:rsidRPr="00904FCB">
        <w:rPr>
          <w:rFonts w:ascii="Tahoma" w:hAnsi="Tahoma"/>
          <w:sz w:val="27"/>
          <w:rtl/>
          <w:lang w:bidi="fa-IR"/>
        </w:rPr>
        <w:t xml:space="preserve"> </w:t>
      </w:r>
      <w:r w:rsidRPr="00904FCB">
        <w:rPr>
          <w:rFonts w:ascii="Tahoma" w:hAnsi="Tahoma"/>
          <w:sz w:val="27"/>
          <w:rtl/>
          <w:lang w:bidi="fa-IR"/>
        </w:rPr>
        <w:lastRenderedPageBreak/>
        <w:t>ما في عصر</w:t>
      </w:r>
      <w:r w:rsidR="000513B7" w:rsidRPr="00904FCB">
        <w:rPr>
          <w:rFonts w:ascii="Tahoma" w:hAnsi="Tahoma" w:hint="cs"/>
          <w:sz w:val="27"/>
          <w:rtl/>
          <w:lang w:bidi="fa-IR"/>
        </w:rPr>
        <w:t>ٍ</w:t>
      </w:r>
      <w:r w:rsidRPr="00904FCB">
        <w:rPr>
          <w:rFonts w:ascii="Tahoma" w:hAnsi="Tahoma"/>
          <w:sz w:val="27"/>
          <w:rtl/>
          <w:lang w:bidi="fa-IR"/>
        </w:rPr>
        <w:t xml:space="preserve"> معين. </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 xml:space="preserve">والغاية عند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Pr="00904FCB">
        <w:rPr>
          <w:rFonts w:ascii="Tahoma" w:hAnsi="Tahoma"/>
          <w:sz w:val="27"/>
          <w:rtl/>
          <w:lang w:bidi="fa-IR"/>
        </w:rPr>
        <w:t xml:space="preserve"> التقريب بين النظم القانونية في البيئات المتجانسة</w:t>
      </w:r>
      <w:r w:rsidR="000513B7" w:rsidRPr="00904FCB">
        <w:rPr>
          <w:rFonts w:ascii="Tahoma" w:hAnsi="Tahoma" w:hint="cs"/>
          <w:sz w:val="27"/>
          <w:rtl/>
          <w:lang w:bidi="fa-IR"/>
        </w:rPr>
        <w:t>،</w:t>
      </w:r>
      <w:r w:rsidRPr="00904FCB">
        <w:rPr>
          <w:rFonts w:ascii="Tahoma" w:hAnsi="Tahoma"/>
          <w:sz w:val="27"/>
          <w:rtl/>
          <w:lang w:bidi="fa-IR"/>
        </w:rPr>
        <w:t xml:space="preserve"> لتصبح هذه المبادئ التشريعية العام</w:t>
      </w:r>
      <w:r w:rsidR="000513B7" w:rsidRPr="00904FCB">
        <w:rPr>
          <w:rFonts w:ascii="Tahoma" w:hAnsi="Tahoma" w:hint="cs"/>
          <w:sz w:val="27"/>
          <w:rtl/>
          <w:lang w:bidi="fa-IR"/>
        </w:rPr>
        <w:t>ّ</w:t>
      </w:r>
      <w:r w:rsidRPr="00904FCB">
        <w:rPr>
          <w:rFonts w:ascii="Tahoma" w:hAnsi="Tahoma"/>
          <w:sz w:val="27"/>
          <w:rtl/>
          <w:lang w:bidi="fa-IR"/>
        </w:rPr>
        <w:t>ة زادا</w:t>
      </w:r>
      <w:r w:rsidR="000513B7" w:rsidRPr="00904FCB">
        <w:rPr>
          <w:rFonts w:ascii="Tahoma" w:hAnsi="Tahoma" w:hint="cs"/>
          <w:sz w:val="27"/>
          <w:rtl/>
          <w:lang w:bidi="fa-IR"/>
        </w:rPr>
        <w:t>ً</w:t>
      </w:r>
      <w:r w:rsidRPr="00904FCB">
        <w:rPr>
          <w:rFonts w:ascii="Tahoma" w:hAnsi="Tahoma"/>
          <w:sz w:val="27"/>
          <w:rtl/>
          <w:lang w:bidi="fa-IR"/>
        </w:rPr>
        <w:t xml:space="preserve"> مشتركا</w:t>
      </w:r>
      <w:r w:rsidR="000513B7" w:rsidRPr="00904FCB">
        <w:rPr>
          <w:rFonts w:ascii="Tahoma" w:hAnsi="Tahoma" w:hint="cs"/>
          <w:sz w:val="27"/>
          <w:rtl/>
          <w:lang w:bidi="fa-IR"/>
        </w:rPr>
        <w:t>ً</w:t>
      </w:r>
      <w:r w:rsidRPr="00904FCB">
        <w:rPr>
          <w:rFonts w:ascii="Tahoma" w:hAnsi="Tahoma"/>
          <w:sz w:val="27"/>
          <w:rtl/>
          <w:lang w:bidi="fa-IR"/>
        </w:rPr>
        <w:t>، لكل</w:t>
      </w:r>
      <w:r w:rsidR="000513B7" w:rsidRPr="00904FCB">
        <w:rPr>
          <w:rFonts w:ascii="Tahoma" w:hAnsi="Tahoma" w:hint="cs"/>
          <w:sz w:val="27"/>
          <w:rtl/>
          <w:lang w:bidi="fa-IR"/>
        </w:rPr>
        <w:t xml:space="preserve">ّ </w:t>
      </w:r>
      <w:r w:rsidRPr="00904FCB">
        <w:rPr>
          <w:rFonts w:ascii="Tahoma" w:hAnsi="Tahoma"/>
          <w:sz w:val="27"/>
          <w:rtl/>
          <w:lang w:bidi="fa-IR"/>
        </w:rPr>
        <w:t>أم</w:t>
      </w:r>
      <w:r w:rsidR="000513B7" w:rsidRPr="00904FCB">
        <w:rPr>
          <w:rFonts w:ascii="Tahoma" w:hAnsi="Tahoma" w:hint="cs"/>
          <w:sz w:val="27"/>
          <w:rtl/>
          <w:lang w:bidi="fa-IR"/>
        </w:rPr>
        <w:t>ّ</w:t>
      </w:r>
      <w:r w:rsidRPr="00904FCB">
        <w:rPr>
          <w:rFonts w:ascii="Tahoma" w:hAnsi="Tahoma"/>
          <w:sz w:val="27"/>
          <w:rtl/>
          <w:lang w:bidi="fa-IR"/>
        </w:rPr>
        <w:t>ة</w:t>
      </w:r>
      <w:r w:rsidR="000513B7" w:rsidRPr="00904FCB">
        <w:rPr>
          <w:rFonts w:ascii="Tahoma" w:hAnsi="Tahoma" w:hint="cs"/>
          <w:sz w:val="27"/>
          <w:rtl/>
          <w:lang w:bidi="fa-IR"/>
        </w:rPr>
        <w:t>ٍ</w:t>
      </w:r>
      <w:r w:rsidRPr="00904FCB">
        <w:rPr>
          <w:rFonts w:ascii="Tahoma" w:hAnsi="Tahoma"/>
          <w:sz w:val="27"/>
          <w:rtl/>
          <w:lang w:bidi="fa-IR"/>
        </w:rPr>
        <w:t xml:space="preserve"> في </w:t>
      </w:r>
      <w:r w:rsidR="000513B7" w:rsidRPr="00904FCB">
        <w:rPr>
          <w:rFonts w:ascii="Tahoma" w:hAnsi="Tahoma" w:hint="cs"/>
          <w:sz w:val="27"/>
          <w:rtl/>
          <w:lang w:bidi="fa-IR"/>
        </w:rPr>
        <w:t>إ</w:t>
      </w:r>
      <w:r w:rsidRPr="00904FCB">
        <w:rPr>
          <w:rFonts w:ascii="Tahoma" w:hAnsi="Tahoma"/>
          <w:sz w:val="27"/>
          <w:rtl/>
          <w:lang w:bidi="fa-IR"/>
        </w:rPr>
        <w:t>يجاده نصيب، ولكل</w:t>
      </w:r>
      <w:r w:rsidR="000513B7" w:rsidRPr="00904FCB">
        <w:rPr>
          <w:rFonts w:ascii="Tahoma" w:hAnsi="Tahoma" w:hint="cs"/>
          <w:sz w:val="27"/>
          <w:rtl/>
          <w:lang w:bidi="fa-IR"/>
        </w:rPr>
        <w:t>ّ</w:t>
      </w:r>
      <w:r w:rsidRPr="00904FCB">
        <w:rPr>
          <w:rFonts w:ascii="Tahoma" w:hAnsi="Tahoma"/>
          <w:sz w:val="27"/>
          <w:rtl/>
          <w:lang w:bidi="fa-IR"/>
        </w:rPr>
        <w:t xml:space="preserve"> أم</w:t>
      </w:r>
      <w:r w:rsidR="000513B7" w:rsidRPr="00904FCB">
        <w:rPr>
          <w:rFonts w:ascii="Tahoma" w:hAnsi="Tahoma" w:hint="cs"/>
          <w:sz w:val="27"/>
          <w:rtl/>
          <w:lang w:bidi="fa-IR"/>
        </w:rPr>
        <w:t>ّ</w:t>
      </w:r>
      <w:r w:rsidRPr="00904FCB">
        <w:rPr>
          <w:rFonts w:ascii="Tahoma" w:hAnsi="Tahoma"/>
          <w:sz w:val="27"/>
          <w:rtl/>
          <w:lang w:bidi="fa-IR"/>
        </w:rPr>
        <w:t>ة</w:t>
      </w:r>
      <w:r w:rsidR="000513B7" w:rsidRPr="00904FCB">
        <w:rPr>
          <w:rFonts w:ascii="Tahoma" w:hAnsi="Tahoma" w:hint="cs"/>
          <w:sz w:val="27"/>
          <w:rtl/>
          <w:lang w:bidi="fa-IR"/>
        </w:rPr>
        <w:t>ٍ</w:t>
      </w:r>
      <w:r w:rsidRPr="00904FCB">
        <w:rPr>
          <w:rFonts w:ascii="Tahoma" w:hAnsi="Tahoma"/>
          <w:sz w:val="27"/>
          <w:rtl/>
          <w:lang w:bidi="fa-IR"/>
        </w:rPr>
        <w:t xml:space="preserve"> في الاعتماد عليه حق</w:t>
      </w:r>
      <w:r w:rsidR="000513B7"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lang w:bidi="fa-IR"/>
        </w:rPr>
        <w:t xml:space="preserve"> </w:t>
      </w:r>
      <w:r w:rsidRPr="00904FCB">
        <w:rPr>
          <w:color w:val="auto"/>
          <w:rtl/>
          <w:lang w:bidi="fa-IR"/>
        </w:rPr>
        <w:t>أو</w:t>
      </w:r>
      <w:r w:rsidR="000513B7" w:rsidRPr="00904FCB">
        <w:rPr>
          <w:rFonts w:hint="cs"/>
          <w:color w:val="auto"/>
          <w:rtl/>
          <w:lang w:bidi="fa-IR"/>
        </w:rPr>
        <w:t>ّ</w:t>
      </w:r>
      <w:r w:rsidRPr="00904FCB">
        <w:rPr>
          <w:color w:val="auto"/>
          <w:rtl/>
          <w:lang w:bidi="fa-IR"/>
        </w:rPr>
        <w:t>لاً</w:t>
      </w:r>
      <w:r w:rsidRPr="00904FCB">
        <w:rPr>
          <w:rFonts w:hint="cs"/>
          <w:color w:val="auto"/>
          <w:rtl/>
          <w:lang w:bidi="fa-IR"/>
        </w:rPr>
        <w:t xml:space="preserve">: </w:t>
      </w:r>
      <w:r w:rsidRPr="00904FCB">
        <w:rPr>
          <w:color w:val="auto"/>
          <w:rtl/>
          <w:lang w:bidi="fa-IR"/>
        </w:rPr>
        <w:t xml:space="preserve">نظرية إدوارد لامبير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ل</w:t>
      </w:r>
      <w:r w:rsidRPr="00904FCB">
        <w:rPr>
          <w:rFonts w:ascii="Tahoma" w:hAnsi="Tahoma" w:hint="cs"/>
          <w:sz w:val="27"/>
          <w:rtl/>
          <w:lang w:bidi="fa-IR"/>
        </w:rPr>
        <w:t xml:space="preserve">ـ </w:t>
      </w:r>
      <w:r w:rsidRPr="00904FCB">
        <w:rPr>
          <w:rFonts w:hint="eastAsia"/>
          <w:sz w:val="27"/>
          <w:rtl/>
          <w:lang w:bidi="fa-IR"/>
        </w:rPr>
        <w:t>«</w:t>
      </w:r>
      <w:r w:rsidRPr="00904FCB">
        <w:rPr>
          <w:rFonts w:ascii="Tahoma" w:hAnsi="Tahoma"/>
          <w:sz w:val="27"/>
          <w:rtl/>
          <w:lang w:bidi="fa-IR"/>
        </w:rPr>
        <w:t>إدوارد لامبير</w:t>
      </w:r>
      <w:r w:rsidRPr="00904FCB">
        <w:rPr>
          <w:rFonts w:hint="eastAsia"/>
          <w:sz w:val="27"/>
          <w:rtl/>
        </w:rPr>
        <w:t>»</w:t>
      </w:r>
      <w:r w:rsidRPr="00904FCB">
        <w:rPr>
          <w:rFonts w:ascii="Tahoma" w:hAnsi="Tahoma"/>
          <w:sz w:val="27"/>
          <w:rtl/>
          <w:lang w:bidi="fa-IR"/>
        </w:rPr>
        <w:t xml:space="preserve"> مكانه في المطلب الثاني من هذا البحث</w:t>
      </w:r>
      <w:r w:rsidR="000513B7" w:rsidRPr="00904FCB">
        <w:rPr>
          <w:rFonts w:ascii="Tahoma" w:hAnsi="Tahoma" w:hint="cs"/>
          <w:sz w:val="27"/>
          <w:rtl/>
          <w:lang w:bidi="fa-IR"/>
        </w:rPr>
        <w:t>؛</w:t>
      </w:r>
      <w:r w:rsidRPr="00904FCB">
        <w:rPr>
          <w:rFonts w:ascii="Tahoma" w:hAnsi="Tahoma"/>
          <w:sz w:val="27"/>
          <w:rtl/>
          <w:lang w:bidi="fa-IR"/>
        </w:rPr>
        <w:t xml:space="preserve"> لأهميته في دراسة الاتجاه المقارن في القانون المصري الحديث بأبعاده ال</w:t>
      </w:r>
      <w:r w:rsidR="000513B7" w:rsidRPr="00904FCB">
        <w:rPr>
          <w:rFonts w:ascii="Tahoma" w:hAnsi="Tahoma" w:hint="cs"/>
          <w:sz w:val="27"/>
          <w:rtl/>
          <w:lang w:bidi="fa-IR"/>
        </w:rPr>
        <w:t>إ</w:t>
      </w:r>
      <w:r w:rsidRPr="00904FCB">
        <w:rPr>
          <w:rFonts w:ascii="Tahoma" w:hAnsi="Tahoma"/>
          <w:sz w:val="27"/>
          <w:rtl/>
          <w:lang w:bidi="fa-IR"/>
        </w:rPr>
        <w:t>سلامية</w:t>
      </w:r>
      <w:r w:rsidR="000513B7" w:rsidRPr="00904FCB">
        <w:rPr>
          <w:rFonts w:ascii="Tahoma" w:hAnsi="Tahoma" w:hint="cs"/>
          <w:sz w:val="27"/>
          <w:rtl/>
          <w:lang w:bidi="fa-IR"/>
        </w:rPr>
        <w:t>.</w:t>
      </w:r>
      <w:r w:rsidRPr="00904FCB">
        <w:rPr>
          <w:rFonts w:ascii="Tahoma" w:hAnsi="Tahoma"/>
          <w:sz w:val="27"/>
          <w:rtl/>
          <w:lang w:bidi="fa-IR"/>
        </w:rPr>
        <w:t xml:space="preserve"> والرجل صاحب نظرة </w:t>
      </w:r>
      <w:r w:rsidR="000513B7" w:rsidRPr="00904FCB">
        <w:rPr>
          <w:rFonts w:ascii="Tahoma" w:hAnsi="Tahoma" w:hint="cs"/>
          <w:sz w:val="27"/>
          <w:rtl/>
          <w:lang w:bidi="fa-IR"/>
        </w:rPr>
        <w:t>إ</w:t>
      </w:r>
      <w:r w:rsidRPr="00904FCB">
        <w:rPr>
          <w:rFonts w:ascii="Tahoma" w:hAnsi="Tahoma"/>
          <w:sz w:val="27"/>
          <w:rtl/>
          <w:lang w:bidi="fa-IR"/>
        </w:rPr>
        <w:t>يجابية للفقه ال</w:t>
      </w:r>
      <w:r w:rsidR="000513B7" w:rsidRPr="00904FCB">
        <w:rPr>
          <w:rFonts w:ascii="Tahoma" w:hAnsi="Tahoma" w:hint="cs"/>
          <w:sz w:val="27"/>
          <w:rtl/>
          <w:lang w:bidi="fa-IR"/>
        </w:rPr>
        <w:t>إ</w:t>
      </w:r>
      <w:r w:rsidRPr="00904FCB">
        <w:rPr>
          <w:rFonts w:ascii="Tahoma" w:hAnsi="Tahoma"/>
          <w:sz w:val="27"/>
          <w:rtl/>
          <w:lang w:bidi="fa-IR"/>
        </w:rPr>
        <w:t>سلامي</w:t>
      </w:r>
      <w:r w:rsidR="000513B7" w:rsidRPr="00904FCB">
        <w:rPr>
          <w:rFonts w:ascii="Tahoma" w:hAnsi="Tahoma" w:hint="cs"/>
          <w:sz w:val="27"/>
          <w:rtl/>
          <w:lang w:bidi="fa-IR"/>
        </w:rPr>
        <w:t>.</w:t>
      </w:r>
      <w:r w:rsidRPr="00904FCB">
        <w:rPr>
          <w:rFonts w:ascii="Tahoma" w:hAnsi="Tahoma"/>
          <w:sz w:val="27"/>
          <w:rtl/>
          <w:lang w:bidi="fa-IR"/>
        </w:rPr>
        <w:t xml:space="preserve"> فقد كتب أحد تلاميذه المصريين</w:t>
      </w:r>
      <w:r w:rsidR="000513B7" w:rsidRPr="00904FCB">
        <w:rPr>
          <w:rFonts w:ascii="Tahoma" w:hAnsi="Tahoma" w:hint="cs"/>
          <w:sz w:val="27"/>
          <w:rtl/>
          <w:lang w:bidi="fa-IR"/>
        </w:rPr>
        <w:t>،</w:t>
      </w:r>
      <w:r w:rsidRPr="00904FCB">
        <w:rPr>
          <w:rFonts w:ascii="Tahoma" w:hAnsi="Tahoma"/>
          <w:sz w:val="27"/>
          <w:rtl/>
          <w:lang w:bidi="fa-IR"/>
        </w:rPr>
        <w:t xml:space="preserve"> وهو </w:t>
      </w:r>
      <w:r w:rsidRPr="00904FCB">
        <w:rPr>
          <w:rFonts w:hint="eastAsia"/>
          <w:sz w:val="27"/>
          <w:rtl/>
          <w:lang w:bidi="fa-IR"/>
        </w:rPr>
        <w:t>«</w:t>
      </w:r>
      <w:r w:rsidRPr="00904FCB">
        <w:rPr>
          <w:rFonts w:ascii="Tahoma" w:hAnsi="Tahoma"/>
          <w:sz w:val="27"/>
          <w:rtl/>
          <w:lang w:bidi="fa-IR"/>
        </w:rPr>
        <w:t>محمد لطفي جمع</w:t>
      </w:r>
      <w:r w:rsidR="000513B7" w:rsidRPr="00904FCB">
        <w:rPr>
          <w:rFonts w:ascii="Tahoma" w:hAnsi="Tahoma" w:hint="cs"/>
          <w:sz w:val="27"/>
          <w:rtl/>
          <w:lang w:bidi="fa-IR"/>
        </w:rPr>
        <w:t>ة</w:t>
      </w:r>
      <w:r w:rsidRPr="00904FCB">
        <w:rPr>
          <w:rFonts w:hint="eastAsia"/>
          <w:sz w:val="27"/>
          <w:rtl/>
        </w:rPr>
        <w:t>»</w:t>
      </w:r>
      <w:r w:rsidRPr="00904FCB">
        <w:rPr>
          <w:rFonts w:ascii="Tahoma" w:hAnsi="Tahoma"/>
          <w:sz w:val="27"/>
          <w:rtl/>
          <w:lang w:bidi="fa-IR"/>
        </w:rPr>
        <w:t xml:space="preserve"> في مذك</w:t>
      </w:r>
      <w:r w:rsidR="000513B7" w:rsidRPr="00904FCB">
        <w:rPr>
          <w:rFonts w:ascii="Tahoma" w:hAnsi="Tahoma" w:hint="cs"/>
          <w:sz w:val="27"/>
          <w:rtl/>
          <w:lang w:bidi="fa-IR"/>
        </w:rPr>
        <w:t>َّ</w:t>
      </w:r>
      <w:r w:rsidRPr="00904FCB">
        <w:rPr>
          <w:rFonts w:ascii="Tahoma" w:hAnsi="Tahoma"/>
          <w:sz w:val="27"/>
          <w:rtl/>
          <w:lang w:bidi="fa-IR"/>
        </w:rPr>
        <w:t>راته</w:t>
      </w:r>
      <w:r w:rsidR="000513B7" w:rsidRPr="00904FCB">
        <w:rPr>
          <w:rFonts w:ascii="Tahoma" w:hAnsi="Tahoma" w:hint="cs"/>
          <w:sz w:val="27"/>
          <w:rtl/>
          <w:lang w:bidi="fa-IR"/>
        </w:rPr>
        <w:t>،</w:t>
      </w:r>
      <w:r w:rsidRPr="00904FCB">
        <w:rPr>
          <w:rFonts w:ascii="Tahoma" w:hAnsi="Tahoma"/>
          <w:sz w:val="27"/>
          <w:rtl/>
          <w:lang w:bidi="fa-IR"/>
        </w:rPr>
        <w:t xml:space="preserve"> وهو يتحد</w:t>
      </w:r>
      <w:r w:rsidR="000513B7" w:rsidRPr="00904FCB">
        <w:rPr>
          <w:rFonts w:ascii="Tahoma" w:hAnsi="Tahoma" w:hint="cs"/>
          <w:sz w:val="27"/>
          <w:rtl/>
          <w:lang w:bidi="fa-IR"/>
        </w:rPr>
        <w:t>َّ</w:t>
      </w:r>
      <w:r w:rsidRPr="00904FCB">
        <w:rPr>
          <w:rFonts w:ascii="Tahoma" w:hAnsi="Tahoma"/>
          <w:sz w:val="27"/>
          <w:rtl/>
          <w:lang w:bidi="fa-IR"/>
        </w:rPr>
        <w:t xml:space="preserve">ث عن الأستاذ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000513B7" w:rsidRPr="00904FCB">
        <w:rPr>
          <w:rFonts w:ascii="Tahoma" w:hAnsi="Tahoma" w:hint="cs"/>
          <w:sz w:val="27"/>
          <w:rtl/>
        </w:rPr>
        <w:t>:</w:t>
      </w:r>
      <w:r w:rsidRPr="00904FCB">
        <w:rPr>
          <w:rFonts w:ascii="Tahoma" w:hAnsi="Tahoma"/>
          <w:sz w:val="27"/>
          <w:rtl/>
          <w:lang w:bidi="fa-IR"/>
        </w:rPr>
        <w:t xml:space="preserve"> وقد تكل</w:t>
      </w:r>
      <w:r w:rsidR="000513B7" w:rsidRPr="00904FCB">
        <w:rPr>
          <w:rFonts w:ascii="Tahoma" w:hAnsi="Tahoma" w:hint="cs"/>
          <w:sz w:val="27"/>
          <w:rtl/>
          <w:lang w:bidi="fa-IR"/>
        </w:rPr>
        <w:t>َّ</w:t>
      </w:r>
      <w:r w:rsidRPr="00904FCB">
        <w:rPr>
          <w:rFonts w:ascii="Tahoma" w:hAnsi="Tahoma"/>
          <w:sz w:val="27"/>
          <w:rtl/>
          <w:lang w:bidi="fa-IR"/>
        </w:rPr>
        <w:t>منا عن الشريعة ال</w:t>
      </w:r>
      <w:r w:rsidR="000513B7" w:rsidRPr="00904FCB">
        <w:rPr>
          <w:rFonts w:ascii="Tahoma" w:hAnsi="Tahoma" w:hint="cs"/>
          <w:sz w:val="27"/>
          <w:rtl/>
          <w:lang w:bidi="fa-IR"/>
        </w:rPr>
        <w:t>إ</w:t>
      </w:r>
      <w:r w:rsidRPr="00904FCB">
        <w:rPr>
          <w:rFonts w:ascii="Tahoma" w:hAnsi="Tahoma"/>
          <w:sz w:val="27"/>
          <w:rtl/>
          <w:lang w:bidi="fa-IR"/>
        </w:rPr>
        <w:t>سلامية فأثبت لي بالأدل</w:t>
      </w:r>
      <w:r w:rsidR="000513B7" w:rsidRPr="00904FCB">
        <w:rPr>
          <w:rFonts w:ascii="Tahoma" w:hAnsi="Tahoma" w:hint="cs"/>
          <w:sz w:val="27"/>
          <w:rtl/>
          <w:lang w:bidi="fa-IR"/>
        </w:rPr>
        <w:t>ّ</w:t>
      </w:r>
      <w:r w:rsidRPr="00904FCB">
        <w:rPr>
          <w:rFonts w:ascii="Tahoma" w:hAnsi="Tahoma"/>
          <w:sz w:val="27"/>
          <w:rtl/>
          <w:lang w:bidi="fa-IR"/>
        </w:rPr>
        <w:t>ة العقلية والنقلية أن ديننا هو دين تطو</w:t>
      </w:r>
      <w:r w:rsidR="000513B7" w:rsidRPr="00904FCB">
        <w:rPr>
          <w:rFonts w:ascii="Tahoma" w:hAnsi="Tahoma" w:hint="cs"/>
          <w:sz w:val="27"/>
          <w:rtl/>
          <w:lang w:bidi="fa-IR"/>
        </w:rPr>
        <w:t>ّ</w:t>
      </w:r>
      <w:r w:rsidRPr="00904FCB">
        <w:rPr>
          <w:rFonts w:ascii="Tahoma" w:hAnsi="Tahoma"/>
          <w:sz w:val="27"/>
          <w:rtl/>
          <w:lang w:bidi="fa-IR"/>
        </w:rPr>
        <w:t>ر وترق</w:t>
      </w:r>
      <w:r w:rsidR="000513B7" w:rsidRPr="00904FCB">
        <w:rPr>
          <w:rFonts w:ascii="Tahoma" w:hAnsi="Tahoma" w:hint="cs"/>
          <w:sz w:val="27"/>
          <w:rtl/>
          <w:lang w:bidi="fa-IR"/>
        </w:rPr>
        <w:t>ٍّ.</w:t>
      </w:r>
      <w:r w:rsidRPr="00904FCB">
        <w:rPr>
          <w:rFonts w:ascii="Tahoma" w:hAnsi="Tahoma"/>
          <w:sz w:val="27"/>
          <w:rtl/>
          <w:lang w:bidi="fa-IR"/>
        </w:rPr>
        <w:t xml:space="preserve"> وخلاصة رأي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Pr="00904FCB">
        <w:rPr>
          <w:rFonts w:ascii="Tahoma" w:hAnsi="Tahoma"/>
          <w:sz w:val="27"/>
          <w:rtl/>
          <w:lang w:bidi="fa-IR"/>
        </w:rPr>
        <w:t xml:space="preserve"> أن غاية القانون المقارن محورها الوصول إلى مبادئ تشريعية عامة، هدفها التقريب بين القوانين في البيئات الاجتماعية التي تجمعها وحدة المصادر في التشريع، وهو ينفتح على الشرائع الأجنبية بقصد اكتشاف منابعها، وتحليل مكو</w:t>
      </w:r>
      <w:r w:rsidR="000513B7" w:rsidRPr="00904FCB">
        <w:rPr>
          <w:rFonts w:ascii="Tahoma" w:hAnsi="Tahoma" w:hint="cs"/>
          <w:sz w:val="27"/>
          <w:rtl/>
          <w:lang w:bidi="fa-IR"/>
        </w:rPr>
        <w:t>ّ</w:t>
      </w:r>
      <w:r w:rsidRPr="00904FCB">
        <w:rPr>
          <w:rFonts w:ascii="Tahoma" w:hAnsi="Tahoma"/>
          <w:sz w:val="27"/>
          <w:rtl/>
          <w:lang w:bidi="fa-IR"/>
        </w:rPr>
        <w:t>ناتها وأصولها</w:t>
      </w:r>
      <w:r w:rsidR="000513B7" w:rsidRPr="00904FCB">
        <w:rPr>
          <w:rFonts w:ascii="Tahoma" w:hAnsi="Tahoma" w:hint="cs"/>
          <w:sz w:val="27"/>
          <w:rtl/>
          <w:lang w:bidi="fa-IR"/>
        </w:rPr>
        <w:t>؛</w:t>
      </w:r>
      <w:r w:rsidRPr="00904FCB">
        <w:rPr>
          <w:rFonts w:ascii="Tahoma" w:hAnsi="Tahoma"/>
          <w:sz w:val="27"/>
          <w:rtl/>
          <w:lang w:bidi="fa-IR"/>
        </w:rPr>
        <w:t xml:space="preserve"> لعلنا نصل إلى قانون عالمي.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وير</w:t>
      </w:r>
      <w:r w:rsidR="000513B7" w:rsidRPr="00904FCB">
        <w:rPr>
          <w:rFonts w:ascii="Tahoma" w:hAnsi="Tahoma" w:hint="cs"/>
          <w:sz w:val="27"/>
          <w:rtl/>
          <w:lang w:bidi="fa-IR"/>
        </w:rPr>
        <w:t>ى</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إدوارد لامبير</w:t>
      </w:r>
      <w:r w:rsidRPr="00904FCB">
        <w:rPr>
          <w:rFonts w:hint="eastAsia"/>
          <w:sz w:val="27"/>
          <w:rtl/>
        </w:rPr>
        <w:t>»</w:t>
      </w:r>
      <w:r w:rsidRPr="00904FCB">
        <w:rPr>
          <w:rFonts w:ascii="Tahoma" w:hAnsi="Tahoma"/>
          <w:sz w:val="27"/>
          <w:rtl/>
          <w:lang w:bidi="fa-IR"/>
        </w:rPr>
        <w:t xml:space="preserve"> ـ كما يعرضه عبد المنعم البدرواي في دراسته الرائدة في أصول القانون المدني المقارن ـ أن القانون المقارن ليس علما</w:t>
      </w:r>
      <w:r w:rsidR="000513B7" w:rsidRPr="00904FCB">
        <w:rPr>
          <w:rFonts w:ascii="Tahoma" w:hAnsi="Tahoma" w:hint="cs"/>
          <w:sz w:val="27"/>
          <w:rtl/>
          <w:lang w:bidi="fa-IR"/>
        </w:rPr>
        <w:t>ً</w:t>
      </w:r>
      <w:r w:rsidRPr="00904FCB">
        <w:rPr>
          <w:rFonts w:ascii="Tahoma" w:hAnsi="Tahoma"/>
          <w:sz w:val="27"/>
          <w:rtl/>
          <w:lang w:bidi="fa-IR"/>
        </w:rPr>
        <w:t xml:space="preserve"> واحدا</w:t>
      </w:r>
      <w:r w:rsidR="000513B7" w:rsidRPr="00904FCB">
        <w:rPr>
          <w:rFonts w:ascii="Tahoma" w:hAnsi="Tahoma" w:hint="cs"/>
          <w:sz w:val="27"/>
          <w:rtl/>
          <w:lang w:bidi="fa-IR"/>
        </w:rPr>
        <w:t>ً،</w:t>
      </w:r>
      <w:r w:rsidRPr="00904FCB">
        <w:rPr>
          <w:rFonts w:ascii="Tahoma" w:hAnsi="Tahoma"/>
          <w:sz w:val="27"/>
          <w:rtl/>
          <w:lang w:bidi="fa-IR"/>
        </w:rPr>
        <w:t xml:space="preserve"> بل يضم</w:t>
      </w:r>
      <w:r w:rsidR="000513B7" w:rsidRPr="00904FCB">
        <w:rPr>
          <w:rFonts w:ascii="Tahoma" w:hAnsi="Tahoma" w:hint="cs"/>
          <w:sz w:val="27"/>
          <w:rtl/>
          <w:lang w:bidi="fa-IR"/>
        </w:rPr>
        <w:t>ّ</w:t>
      </w:r>
      <w:r w:rsidRPr="00904FCB">
        <w:rPr>
          <w:rFonts w:ascii="Tahoma" w:hAnsi="Tahoma"/>
          <w:sz w:val="27"/>
          <w:rtl/>
          <w:lang w:bidi="fa-IR"/>
        </w:rPr>
        <w:t xml:space="preserve"> في الواقع فرعين من العلوم</w:t>
      </w:r>
      <w:r w:rsidR="000513B7" w:rsidRPr="00904FCB">
        <w:rPr>
          <w:rFonts w:ascii="Tahoma" w:hAnsi="Tahoma" w:hint="cs"/>
          <w:sz w:val="27"/>
          <w:rtl/>
          <w:lang w:bidi="fa-IR"/>
        </w:rPr>
        <w:t>،</w:t>
      </w:r>
      <w:r w:rsidRPr="00904FCB">
        <w:rPr>
          <w:rFonts w:ascii="Tahoma" w:hAnsi="Tahoma"/>
          <w:sz w:val="27"/>
          <w:rtl/>
          <w:lang w:bidi="fa-IR"/>
        </w:rPr>
        <w:t xml:space="preserve"> يتمايزان هدفا</w:t>
      </w:r>
      <w:r w:rsidR="000513B7" w:rsidRPr="00904FCB">
        <w:rPr>
          <w:rFonts w:ascii="Tahoma" w:hAnsi="Tahoma" w:hint="cs"/>
          <w:sz w:val="27"/>
          <w:rtl/>
          <w:lang w:bidi="fa-IR"/>
        </w:rPr>
        <w:t>ً</w:t>
      </w:r>
      <w:r w:rsidRPr="00904FCB">
        <w:rPr>
          <w:rFonts w:ascii="Tahoma" w:hAnsi="Tahoma"/>
          <w:sz w:val="27"/>
          <w:rtl/>
          <w:lang w:bidi="fa-IR"/>
        </w:rPr>
        <w:t xml:space="preserve"> وموضوعا</w:t>
      </w:r>
      <w:r w:rsidR="000513B7" w:rsidRPr="00904FCB">
        <w:rPr>
          <w:rFonts w:ascii="Tahoma" w:hAnsi="Tahoma" w:hint="cs"/>
          <w:sz w:val="27"/>
          <w:rtl/>
          <w:lang w:bidi="fa-IR"/>
        </w:rPr>
        <w:t>ً،</w:t>
      </w:r>
      <w:r w:rsidRPr="00904FCB">
        <w:rPr>
          <w:rFonts w:ascii="Tahoma" w:hAnsi="Tahoma"/>
          <w:sz w:val="27"/>
          <w:rtl/>
          <w:lang w:bidi="fa-IR"/>
        </w:rPr>
        <w:t xml:space="preserve"> ولا يشتركان إلا</w:t>
      </w:r>
      <w:r w:rsidR="000513B7" w:rsidRPr="00904FCB">
        <w:rPr>
          <w:rFonts w:ascii="Tahoma" w:hAnsi="Tahoma" w:hint="cs"/>
          <w:sz w:val="27"/>
          <w:rtl/>
          <w:lang w:bidi="fa-IR"/>
        </w:rPr>
        <w:t>ّ</w:t>
      </w:r>
      <w:r w:rsidRPr="00904FCB">
        <w:rPr>
          <w:rFonts w:ascii="Tahoma" w:hAnsi="Tahoma"/>
          <w:sz w:val="27"/>
          <w:rtl/>
          <w:lang w:bidi="fa-IR"/>
        </w:rPr>
        <w:t xml:space="preserve"> في المظهر الخارجي، وفي استعمال الطريقة المقارنة في كل</w:t>
      </w:r>
      <w:r w:rsidR="000513B7" w:rsidRPr="00904FCB">
        <w:rPr>
          <w:rFonts w:ascii="Tahoma" w:hAnsi="Tahoma" w:hint="cs"/>
          <w:sz w:val="27"/>
          <w:rtl/>
          <w:lang w:bidi="fa-IR"/>
        </w:rPr>
        <w:t>ٍّ</w:t>
      </w:r>
      <w:r w:rsidRPr="00904FCB">
        <w:rPr>
          <w:rFonts w:ascii="Tahoma" w:hAnsi="Tahoma"/>
          <w:sz w:val="27"/>
          <w:rtl/>
          <w:lang w:bidi="fa-IR"/>
        </w:rPr>
        <w:t xml:space="preserve"> منهما</w:t>
      </w:r>
      <w:r w:rsidR="000513B7" w:rsidRPr="00904FCB">
        <w:rPr>
          <w:rFonts w:ascii="Tahoma" w:hAnsi="Tahoma" w:hint="cs"/>
          <w:sz w:val="27"/>
          <w:rtl/>
          <w:lang w:bidi="fa-IR"/>
        </w:rPr>
        <w:t>.</w:t>
      </w:r>
      <w:r w:rsidRPr="00904FCB">
        <w:rPr>
          <w:rFonts w:ascii="Tahoma" w:hAnsi="Tahoma"/>
          <w:sz w:val="27"/>
          <w:rtl/>
          <w:lang w:bidi="fa-IR"/>
        </w:rPr>
        <w:t xml:space="preserve"> ويجب</w:t>
      </w:r>
      <w:r w:rsidR="000513B7" w:rsidRPr="00904FCB">
        <w:rPr>
          <w:rFonts w:ascii="Tahoma" w:hAnsi="Tahoma" w:hint="cs"/>
          <w:sz w:val="27"/>
          <w:rtl/>
          <w:lang w:bidi="fa-IR"/>
        </w:rPr>
        <w:t>،</w:t>
      </w:r>
      <w:r w:rsidRPr="00904FCB">
        <w:rPr>
          <w:rFonts w:ascii="Tahoma" w:hAnsi="Tahoma"/>
          <w:sz w:val="27"/>
          <w:rtl/>
          <w:lang w:bidi="fa-IR"/>
        </w:rPr>
        <w:t xml:space="preserve"> وفقا</w:t>
      </w:r>
      <w:r w:rsidR="000513B7" w:rsidRPr="00904FCB">
        <w:rPr>
          <w:rFonts w:ascii="Tahoma" w:hAnsi="Tahoma" w:hint="cs"/>
          <w:sz w:val="27"/>
          <w:rtl/>
          <w:lang w:bidi="fa-IR"/>
        </w:rPr>
        <w:t>ً</w:t>
      </w:r>
      <w:r w:rsidRPr="00904FCB">
        <w:rPr>
          <w:rFonts w:ascii="Tahoma" w:hAnsi="Tahoma"/>
          <w:sz w:val="27"/>
          <w:rtl/>
          <w:lang w:bidi="fa-IR"/>
        </w:rPr>
        <w:t xml:space="preserve"> لرأي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000513B7" w:rsidRPr="00904FCB">
        <w:rPr>
          <w:rFonts w:ascii="Tahoma" w:hAnsi="Tahoma" w:hint="cs"/>
          <w:sz w:val="27"/>
          <w:rtl/>
          <w:lang w:bidi="fa-IR"/>
        </w:rPr>
        <w:t>،</w:t>
      </w:r>
      <w:r w:rsidRPr="00904FCB">
        <w:rPr>
          <w:rFonts w:ascii="Tahoma" w:hAnsi="Tahoma"/>
          <w:sz w:val="27"/>
          <w:rtl/>
          <w:lang w:bidi="fa-IR"/>
        </w:rPr>
        <w:t xml:space="preserve"> التمييز بينهما: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فالأول</w:t>
      </w:r>
      <w:r w:rsidRPr="00904FCB">
        <w:rPr>
          <w:rFonts w:ascii="Tahoma" w:hAnsi="Tahoma"/>
          <w:sz w:val="27"/>
          <w:rtl/>
          <w:lang w:bidi="fa-IR"/>
        </w:rPr>
        <w:t xml:space="preserve"> هو علم الظواهر القانونية</w:t>
      </w:r>
      <w:r w:rsidR="000513B7" w:rsidRPr="00904FCB">
        <w:rPr>
          <w:rFonts w:ascii="Tahoma" w:hAnsi="Tahoma" w:hint="cs"/>
          <w:sz w:val="27"/>
          <w:rtl/>
          <w:lang w:bidi="fa-IR"/>
        </w:rPr>
        <w:t>.</w:t>
      </w:r>
      <w:r w:rsidRPr="00904FCB">
        <w:rPr>
          <w:rFonts w:ascii="Tahoma" w:hAnsi="Tahoma"/>
          <w:sz w:val="27"/>
          <w:rtl/>
          <w:lang w:bidi="fa-IR"/>
        </w:rPr>
        <w:t xml:space="preserve"> والغرض منه الكشف عن الظواهر القانونية في نشوئها وتطو</w:t>
      </w:r>
      <w:r w:rsidR="000513B7" w:rsidRPr="00904FCB">
        <w:rPr>
          <w:rFonts w:ascii="Tahoma" w:hAnsi="Tahoma" w:hint="cs"/>
          <w:sz w:val="27"/>
          <w:rtl/>
          <w:lang w:bidi="fa-IR"/>
        </w:rPr>
        <w:t>ّ</w:t>
      </w:r>
      <w:r w:rsidRPr="00904FCB">
        <w:rPr>
          <w:rFonts w:ascii="Tahoma" w:hAnsi="Tahoma"/>
          <w:sz w:val="27"/>
          <w:rtl/>
          <w:lang w:bidi="fa-IR"/>
        </w:rPr>
        <w:t>رها</w:t>
      </w:r>
      <w:r w:rsidR="000513B7" w:rsidRPr="00904FCB">
        <w:rPr>
          <w:rFonts w:ascii="Tahoma" w:hAnsi="Tahoma" w:hint="cs"/>
          <w:sz w:val="27"/>
          <w:rtl/>
          <w:lang w:bidi="fa-IR"/>
        </w:rPr>
        <w:t>.</w:t>
      </w:r>
      <w:r w:rsidRPr="00904FCB">
        <w:rPr>
          <w:rFonts w:ascii="Tahoma" w:hAnsi="Tahoma"/>
          <w:sz w:val="27"/>
          <w:rtl/>
          <w:lang w:bidi="fa-IR"/>
        </w:rPr>
        <w:t xml:space="preserve"> ولهذا فهو يبحث في جميع الشرائع</w:t>
      </w:r>
      <w:r w:rsidR="000513B7" w:rsidRPr="00904FCB">
        <w:rPr>
          <w:rFonts w:ascii="Tahoma" w:hAnsi="Tahoma" w:hint="cs"/>
          <w:sz w:val="27"/>
          <w:rtl/>
          <w:lang w:bidi="fa-IR"/>
        </w:rPr>
        <w:t>،</w:t>
      </w:r>
      <w:r w:rsidRPr="00904FCB">
        <w:rPr>
          <w:rFonts w:ascii="Tahoma" w:hAnsi="Tahoma"/>
          <w:sz w:val="27"/>
          <w:rtl/>
          <w:lang w:bidi="fa-IR"/>
        </w:rPr>
        <w:t xml:space="preserve"> القديمة منها والحديثة، المتمدينة منها وغير المتمدينة</w:t>
      </w:r>
      <w:r w:rsidR="000513B7" w:rsidRPr="00904FCB">
        <w:rPr>
          <w:rFonts w:ascii="Tahoma" w:hAnsi="Tahoma" w:hint="cs"/>
          <w:sz w:val="27"/>
          <w:rtl/>
          <w:lang w:bidi="fa-IR"/>
        </w:rPr>
        <w:t>.</w:t>
      </w:r>
      <w:r w:rsidRPr="00904FCB">
        <w:rPr>
          <w:rFonts w:ascii="Tahoma" w:hAnsi="Tahoma"/>
          <w:sz w:val="27"/>
          <w:rtl/>
          <w:lang w:bidi="fa-IR"/>
        </w:rPr>
        <w:t xml:space="preserve"> ويطلق عليه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Pr="00904FCB">
        <w:rPr>
          <w:rFonts w:ascii="Tahoma" w:hAnsi="Tahoma"/>
          <w:sz w:val="27"/>
          <w:rtl/>
          <w:lang w:bidi="fa-IR"/>
        </w:rPr>
        <w:t xml:space="preserve"> اسم </w:t>
      </w:r>
      <w:r w:rsidRPr="00904FCB">
        <w:rPr>
          <w:rFonts w:hint="eastAsia"/>
          <w:sz w:val="27"/>
          <w:rtl/>
          <w:lang w:bidi="fa-IR"/>
        </w:rPr>
        <w:t>«</w:t>
      </w:r>
      <w:r w:rsidRPr="00904FCB">
        <w:rPr>
          <w:rFonts w:ascii="Tahoma" w:hAnsi="Tahoma"/>
          <w:sz w:val="27"/>
          <w:rtl/>
          <w:lang w:bidi="fa-IR"/>
        </w:rPr>
        <w:t>التاريخ المقارن</w:t>
      </w:r>
      <w:r w:rsidRPr="00904FCB">
        <w:rPr>
          <w:rFonts w:hint="eastAsia"/>
          <w:sz w:val="27"/>
          <w:rtl/>
        </w:rPr>
        <w:t>»</w:t>
      </w:r>
      <w:r w:rsidRPr="00904FCB">
        <w:rPr>
          <w:rFonts w:ascii="Tahoma" w:hAnsi="Tahoma"/>
          <w:sz w:val="27"/>
          <w:rtl/>
          <w:lang w:bidi="fa-IR"/>
        </w:rPr>
        <w:t>، وهو لون</w:t>
      </w:r>
      <w:r w:rsidR="000513B7" w:rsidRPr="00904FCB">
        <w:rPr>
          <w:rFonts w:ascii="Tahoma" w:hAnsi="Tahoma" w:hint="cs"/>
          <w:sz w:val="27"/>
          <w:rtl/>
          <w:lang w:bidi="fa-IR"/>
        </w:rPr>
        <w:t>ٌ</w:t>
      </w:r>
      <w:r w:rsidRPr="00904FCB">
        <w:rPr>
          <w:rFonts w:ascii="Tahoma" w:hAnsi="Tahoma"/>
          <w:sz w:val="27"/>
          <w:rtl/>
          <w:lang w:bidi="fa-IR"/>
        </w:rPr>
        <w:t xml:space="preserve"> من الدراسة يمكن أن نجد أصولا</w:t>
      </w:r>
      <w:r w:rsidR="000513B7" w:rsidRPr="00904FCB">
        <w:rPr>
          <w:rFonts w:ascii="Tahoma" w:hAnsi="Tahoma" w:hint="cs"/>
          <w:sz w:val="27"/>
          <w:rtl/>
          <w:lang w:bidi="fa-IR"/>
        </w:rPr>
        <w:t>ً</w:t>
      </w:r>
      <w:r w:rsidRPr="00904FCB">
        <w:rPr>
          <w:rFonts w:ascii="Tahoma" w:hAnsi="Tahoma"/>
          <w:sz w:val="27"/>
          <w:rtl/>
          <w:lang w:bidi="fa-IR"/>
        </w:rPr>
        <w:t xml:space="preserve"> له في مقد</w:t>
      </w:r>
      <w:r w:rsidR="000513B7" w:rsidRPr="00904FCB">
        <w:rPr>
          <w:rFonts w:ascii="Tahoma" w:hAnsi="Tahoma" w:hint="cs"/>
          <w:sz w:val="27"/>
          <w:rtl/>
          <w:lang w:bidi="fa-IR"/>
        </w:rPr>
        <w:t>ّ</w:t>
      </w:r>
      <w:r w:rsidRPr="00904FCB">
        <w:rPr>
          <w:rFonts w:ascii="Tahoma" w:hAnsi="Tahoma"/>
          <w:sz w:val="27"/>
          <w:rtl/>
          <w:lang w:bidi="fa-IR"/>
        </w:rPr>
        <w:t xml:space="preserve">مة </w:t>
      </w:r>
      <w:r w:rsidRPr="00904FCB">
        <w:rPr>
          <w:rFonts w:hint="eastAsia"/>
          <w:sz w:val="27"/>
          <w:rtl/>
          <w:lang w:bidi="fa-IR"/>
        </w:rPr>
        <w:t>«</w:t>
      </w:r>
      <w:r w:rsidRPr="00904FCB">
        <w:rPr>
          <w:rFonts w:ascii="Tahoma" w:hAnsi="Tahoma"/>
          <w:sz w:val="27"/>
          <w:rtl/>
          <w:lang w:bidi="fa-IR"/>
        </w:rPr>
        <w:t>ابن خلدون</w:t>
      </w:r>
      <w:r w:rsidRPr="00904FCB">
        <w:rPr>
          <w:rFonts w:hint="eastAsia"/>
          <w:sz w:val="27"/>
          <w:rtl/>
        </w:rPr>
        <w:t>»</w:t>
      </w:r>
      <w:r w:rsidRPr="00904FCB">
        <w:rPr>
          <w:rFonts w:ascii="Tahoma" w:hAnsi="Tahoma"/>
          <w:sz w:val="27"/>
          <w:rtl/>
          <w:lang w:bidi="fa-IR"/>
        </w:rPr>
        <w:t>، ونظن</w:t>
      </w:r>
      <w:r w:rsidR="000513B7" w:rsidRPr="00904FCB">
        <w:rPr>
          <w:rFonts w:ascii="Tahoma" w:hAnsi="Tahoma" w:hint="cs"/>
          <w:sz w:val="27"/>
          <w:rtl/>
          <w:lang w:bidi="fa-IR"/>
        </w:rPr>
        <w:t>ّ</w:t>
      </w:r>
      <w:r w:rsidRPr="00904FCB">
        <w:rPr>
          <w:rFonts w:ascii="Tahoma" w:hAnsi="Tahoma"/>
          <w:sz w:val="27"/>
          <w:rtl/>
          <w:lang w:bidi="fa-IR"/>
        </w:rPr>
        <w:t>ه ليس جديداً على العقل العربي، وإن</w:t>
      </w:r>
      <w:r w:rsidR="000513B7" w:rsidRPr="00904FCB">
        <w:rPr>
          <w:rFonts w:ascii="Tahoma" w:hAnsi="Tahoma" w:hint="cs"/>
          <w:sz w:val="27"/>
          <w:rtl/>
          <w:lang w:bidi="fa-IR"/>
        </w:rPr>
        <w:t>ْ</w:t>
      </w:r>
      <w:r w:rsidRPr="00904FCB">
        <w:rPr>
          <w:rFonts w:ascii="Tahoma" w:hAnsi="Tahoma"/>
          <w:sz w:val="27"/>
          <w:rtl/>
          <w:lang w:bidi="fa-IR"/>
        </w:rPr>
        <w:t xml:space="preserve"> أراده علماء القانون المقارن منتجا</w:t>
      </w:r>
      <w:r w:rsidR="000513B7" w:rsidRPr="00904FCB">
        <w:rPr>
          <w:rFonts w:ascii="Tahoma" w:hAnsi="Tahoma" w:hint="cs"/>
          <w:sz w:val="27"/>
          <w:rtl/>
          <w:lang w:bidi="fa-IR"/>
        </w:rPr>
        <w:t>ً</w:t>
      </w:r>
      <w:r w:rsidRPr="00904FCB">
        <w:rPr>
          <w:rFonts w:ascii="Tahoma" w:hAnsi="Tahoma"/>
          <w:sz w:val="27"/>
          <w:rtl/>
          <w:lang w:bidi="fa-IR"/>
        </w:rPr>
        <w:t xml:space="preserve"> غربيا</w:t>
      </w:r>
      <w:r w:rsidR="000513B7" w:rsidRPr="00904FCB">
        <w:rPr>
          <w:rFonts w:ascii="Tahoma" w:hAnsi="Tahoma" w:hint="cs"/>
          <w:sz w:val="27"/>
          <w:rtl/>
          <w:lang w:bidi="fa-IR"/>
        </w:rPr>
        <w:t>ً</w:t>
      </w:r>
      <w:r w:rsidRPr="00904FCB">
        <w:rPr>
          <w:rFonts w:ascii="Tahoma" w:hAnsi="Tahoma"/>
          <w:sz w:val="27"/>
          <w:rtl/>
          <w:lang w:bidi="fa-IR"/>
        </w:rPr>
        <w:t xml:space="preserve">، ينفرد الغرب بوضعه وتسويقه. </w:t>
      </w:r>
    </w:p>
    <w:p w:rsidR="00644408" w:rsidRPr="00904FCB" w:rsidRDefault="00644408" w:rsidP="00FE2878">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lastRenderedPageBreak/>
        <w:t>والثاني</w:t>
      </w:r>
      <w:r w:rsidRPr="00904FCB">
        <w:rPr>
          <w:rFonts w:ascii="Tahoma" w:hAnsi="Tahoma"/>
          <w:sz w:val="27"/>
          <w:rtl/>
          <w:lang w:bidi="fa-IR"/>
        </w:rPr>
        <w:t xml:space="preserve"> هو ما أطلق عليه </w:t>
      </w:r>
      <w:r w:rsidRPr="00904FCB">
        <w:rPr>
          <w:rFonts w:hint="eastAsia"/>
          <w:sz w:val="27"/>
          <w:rtl/>
          <w:lang w:bidi="fa-IR"/>
        </w:rPr>
        <w:t>«</w:t>
      </w:r>
      <w:r w:rsidRPr="00904FCB">
        <w:rPr>
          <w:rFonts w:ascii="Tahoma" w:hAnsi="Tahoma"/>
          <w:sz w:val="27"/>
          <w:rtl/>
          <w:lang w:bidi="fa-IR"/>
        </w:rPr>
        <w:t>إدوارد لامبير</w:t>
      </w:r>
      <w:r w:rsidRPr="00904FCB">
        <w:rPr>
          <w:rFonts w:hint="eastAsia"/>
          <w:sz w:val="27"/>
          <w:rtl/>
        </w:rPr>
        <w:t>»</w:t>
      </w:r>
      <w:r w:rsidRPr="00904FCB">
        <w:rPr>
          <w:rFonts w:ascii="Tahoma" w:hAnsi="Tahoma"/>
          <w:sz w:val="27"/>
          <w:rtl/>
          <w:lang w:bidi="fa-IR"/>
        </w:rPr>
        <w:t xml:space="preserve"> اسم </w:t>
      </w:r>
      <w:r w:rsidRPr="00904FCB">
        <w:rPr>
          <w:rFonts w:hint="eastAsia"/>
          <w:sz w:val="27"/>
          <w:rtl/>
          <w:lang w:bidi="fa-IR"/>
        </w:rPr>
        <w:t>«</w:t>
      </w:r>
      <w:r w:rsidRPr="00904FCB">
        <w:rPr>
          <w:rFonts w:ascii="Tahoma" w:hAnsi="Tahoma"/>
          <w:sz w:val="27"/>
          <w:rtl/>
          <w:lang w:bidi="fa-IR"/>
        </w:rPr>
        <w:t>التشريع المقارن</w:t>
      </w:r>
      <w:r w:rsidRPr="00904FCB">
        <w:rPr>
          <w:rFonts w:hint="eastAsia"/>
          <w:sz w:val="27"/>
          <w:rtl/>
        </w:rPr>
        <w:t>»</w:t>
      </w:r>
      <w:r w:rsidR="000513B7" w:rsidRPr="00904FCB">
        <w:rPr>
          <w:rFonts w:ascii="Tahoma" w:hAnsi="Tahoma" w:hint="cs"/>
          <w:sz w:val="27"/>
          <w:rtl/>
          <w:lang w:bidi="fa-IR"/>
        </w:rPr>
        <w:t>،</w:t>
      </w:r>
      <w:r w:rsidRPr="00904FCB">
        <w:rPr>
          <w:rFonts w:ascii="Tahoma" w:hAnsi="Tahoma"/>
          <w:sz w:val="27"/>
          <w:rtl/>
          <w:lang w:bidi="fa-IR"/>
        </w:rPr>
        <w:t xml:space="preserve"> وهو عنصر من عناصر القانون الوضعي، ويبحث في مجموع</w:t>
      </w:r>
      <w:r w:rsidR="00AA47ED" w:rsidRPr="00904FCB">
        <w:rPr>
          <w:rFonts w:ascii="Tahoma" w:hAnsi="Tahoma" w:hint="cs"/>
          <w:sz w:val="27"/>
          <w:rtl/>
          <w:lang w:bidi="fa-IR"/>
        </w:rPr>
        <w:t>ة</w:t>
      </w:r>
      <w:r w:rsidRPr="00904FCB">
        <w:rPr>
          <w:rFonts w:ascii="Tahoma" w:hAnsi="Tahoma"/>
          <w:sz w:val="27"/>
          <w:rtl/>
          <w:lang w:bidi="fa-IR"/>
        </w:rPr>
        <w:t xml:space="preserve"> من القواعد القائمة فعلا</w:t>
      </w:r>
      <w:r w:rsidR="00AA47ED" w:rsidRPr="00904FCB">
        <w:rPr>
          <w:rFonts w:ascii="Tahoma" w:hAnsi="Tahoma" w:hint="cs"/>
          <w:sz w:val="27"/>
          <w:rtl/>
          <w:lang w:bidi="fa-IR"/>
        </w:rPr>
        <w:t>ً</w:t>
      </w:r>
      <w:r w:rsidRPr="00904FCB">
        <w:rPr>
          <w:rFonts w:ascii="Tahoma" w:hAnsi="Tahoma"/>
          <w:sz w:val="27"/>
          <w:rtl/>
          <w:lang w:bidi="fa-IR"/>
        </w:rPr>
        <w:t>، والتي بينها وشائج قرب</w:t>
      </w:r>
      <w:r w:rsidR="00AA47ED" w:rsidRPr="00904FCB">
        <w:rPr>
          <w:rFonts w:ascii="Tahoma" w:hAnsi="Tahoma" w:hint="cs"/>
          <w:sz w:val="27"/>
          <w:rtl/>
          <w:lang w:bidi="fa-IR"/>
        </w:rPr>
        <w:t>ى</w:t>
      </w:r>
      <w:r w:rsidRPr="00904FCB">
        <w:rPr>
          <w:rFonts w:ascii="Tahoma" w:hAnsi="Tahoma"/>
          <w:sz w:val="27"/>
          <w:rtl/>
          <w:lang w:bidi="fa-IR"/>
        </w:rPr>
        <w:t xml:space="preserve"> تاريخية واجتماعية وسياسية</w:t>
      </w:r>
      <w:r w:rsidR="00AA47ED" w:rsidRPr="00904FCB">
        <w:rPr>
          <w:rFonts w:ascii="Tahoma" w:hAnsi="Tahoma" w:hint="cs"/>
          <w:sz w:val="27"/>
          <w:rtl/>
          <w:lang w:bidi="fa-IR"/>
        </w:rPr>
        <w:t>.</w:t>
      </w:r>
      <w:r w:rsidRPr="00904FCB">
        <w:rPr>
          <w:rFonts w:ascii="Tahoma" w:hAnsi="Tahoma"/>
          <w:sz w:val="27"/>
          <w:rtl/>
          <w:lang w:bidi="fa-IR"/>
        </w:rPr>
        <w:t xml:space="preserve"> وهذا التصور أيضا</w:t>
      </w:r>
      <w:r w:rsidR="00AA47ED" w:rsidRPr="00904FCB">
        <w:rPr>
          <w:rFonts w:ascii="Tahoma" w:hAnsi="Tahoma" w:hint="cs"/>
          <w:sz w:val="27"/>
          <w:rtl/>
          <w:lang w:bidi="fa-IR"/>
        </w:rPr>
        <w:t>ً</w:t>
      </w:r>
      <w:r w:rsidRPr="00904FCB">
        <w:rPr>
          <w:rFonts w:ascii="Tahoma" w:hAnsi="Tahoma"/>
          <w:sz w:val="27"/>
          <w:rtl/>
          <w:lang w:bidi="fa-IR"/>
        </w:rPr>
        <w:t xml:space="preserve"> ليس بعيداً عن فقه العلوم ال</w:t>
      </w:r>
      <w:r w:rsidR="00AA47ED" w:rsidRPr="00904FCB">
        <w:rPr>
          <w:rFonts w:ascii="Tahoma" w:hAnsi="Tahoma" w:hint="cs"/>
          <w:sz w:val="27"/>
          <w:rtl/>
          <w:lang w:bidi="fa-IR"/>
        </w:rPr>
        <w:t>إ</w:t>
      </w:r>
      <w:r w:rsidRPr="00904FCB">
        <w:rPr>
          <w:rFonts w:ascii="Tahoma" w:hAnsi="Tahoma"/>
          <w:sz w:val="27"/>
          <w:rtl/>
          <w:lang w:bidi="fa-IR"/>
        </w:rPr>
        <w:t xml:space="preserve">سلامية ومناهج البحث فيها، </w:t>
      </w:r>
      <w:r w:rsidR="00FE2878" w:rsidRPr="00904FCB">
        <w:rPr>
          <w:rFonts w:ascii="Tahoma" w:hAnsi="Tahoma"/>
          <w:sz w:val="27"/>
          <w:rtl/>
          <w:lang w:bidi="fa-IR"/>
        </w:rPr>
        <w:t>ف</w:t>
      </w:r>
      <w:r w:rsidR="00FE2878">
        <w:rPr>
          <w:rFonts w:hint="cs"/>
          <w:sz w:val="27"/>
          <w:rtl/>
          <w:lang w:bidi="fa-IR"/>
        </w:rPr>
        <w:t xml:space="preserve">ـ </w:t>
      </w:r>
      <w:r w:rsidRPr="00904FCB">
        <w:rPr>
          <w:rFonts w:hint="eastAsia"/>
          <w:sz w:val="27"/>
          <w:rtl/>
          <w:lang w:bidi="fa-IR"/>
        </w:rPr>
        <w:t>«</w:t>
      </w:r>
      <w:r w:rsidRPr="00904FCB">
        <w:rPr>
          <w:rFonts w:ascii="Tahoma" w:hAnsi="Tahoma"/>
          <w:sz w:val="27"/>
          <w:rtl/>
          <w:lang w:bidi="fa-IR"/>
        </w:rPr>
        <w:t>أبو الحسن العامري</w:t>
      </w:r>
      <w:r w:rsidRPr="00904FCB">
        <w:rPr>
          <w:rFonts w:hint="eastAsia"/>
          <w:sz w:val="27"/>
          <w:rtl/>
        </w:rPr>
        <w:t>»</w:t>
      </w:r>
      <w:r w:rsidRPr="00904FCB">
        <w:rPr>
          <w:rFonts w:ascii="Tahoma" w:hAnsi="Tahoma"/>
          <w:sz w:val="27"/>
          <w:rtl/>
          <w:lang w:bidi="fa-IR"/>
        </w:rPr>
        <w:t xml:space="preserve"> ـ أحد </w:t>
      </w:r>
      <w:r w:rsidR="00AA47ED" w:rsidRPr="00904FCB">
        <w:rPr>
          <w:rFonts w:ascii="Tahoma" w:hAnsi="Tahoma" w:hint="cs"/>
          <w:sz w:val="27"/>
          <w:rtl/>
          <w:lang w:bidi="fa-IR"/>
        </w:rPr>
        <w:t>أ</w:t>
      </w:r>
      <w:r w:rsidRPr="00904FCB">
        <w:rPr>
          <w:rFonts w:ascii="Tahoma" w:hAnsi="Tahoma"/>
          <w:sz w:val="27"/>
          <w:rtl/>
          <w:lang w:bidi="fa-IR"/>
        </w:rPr>
        <w:t xml:space="preserve">علام القرن الرابع الهجري ـ في كتابه </w:t>
      </w:r>
      <w:r w:rsidRPr="00904FCB">
        <w:rPr>
          <w:rFonts w:hint="eastAsia"/>
          <w:sz w:val="27"/>
          <w:rtl/>
          <w:lang w:bidi="fa-IR"/>
        </w:rPr>
        <w:t>«</w:t>
      </w:r>
      <w:r w:rsidRPr="00904FCB">
        <w:rPr>
          <w:rFonts w:ascii="Tahoma" w:hAnsi="Tahoma"/>
          <w:sz w:val="27"/>
          <w:rtl/>
          <w:lang w:bidi="fa-IR"/>
        </w:rPr>
        <w:t>ال</w:t>
      </w:r>
      <w:r w:rsidR="00AA47ED" w:rsidRPr="00904FCB">
        <w:rPr>
          <w:rFonts w:ascii="Tahoma" w:hAnsi="Tahoma" w:hint="cs"/>
          <w:sz w:val="27"/>
          <w:rtl/>
          <w:lang w:bidi="fa-IR"/>
        </w:rPr>
        <w:t>إ</w:t>
      </w:r>
      <w:r w:rsidRPr="00904FCB">
        <w:rPr>
          <w:rFonts w:ascii="Tahoma" w:hAnsi="Tahoma"/>
          <w:sz w:val="27"/>
          <w:rtl/>
          <w:lang w:bidi="fa-IR"/>
        </w:rPr>
        <w:t>علام بمناقب ال</w:t>
      </w:r>
      <w:r w:rsidR="00AA47ED" w:rsidRPr="00904FCB">
        <w:rPr>
          <w:rFonts w:ascii="Tahoma" w:hAnsi="Tahoma" w:hint="cs"/>
          <w:sz w:val="27"/>
          <w:rtl/>
          <w:lang w:bidi="fa-IR"/>
        </w:rPr>
        <w:t>إ</w:t>
      </w:r>
      <w:r w:rsidRPr="00904FCB">
        <w:rPr>
          <w:rFonts w:ascii="Tahoma" w:hAnsi="Tahoma"/>
          <w:sz w:val="27"/>
          <w:rtl/>
          <w:lang w:bidi="fa-IR"/>
        </w:rPr>
        <w:t>سلام</w:t>
      </w:r>
      <w:r w:rsidRPr="00904FCB">
        <w:rPr>
          <w:rFonts w:hint="eastAsia"/>
          <w:sz w:val="27"/>
          <w:rtl/>
        </w:rPr>
        <w:t>»</w:t>
      </w:r>
      <w:r w:rsidRPr="00904FCB">
        <w:rPr>
          <w:rFonts w:ascii="Tahoma" w:hAnsi="Tahoma"/>
          <w:sz w:val="27"/>
          <w:rtl/>
          <w:lang w:bidi="fa-IR"/>
        </w:rPr>
        <w:t xml:space="preserve"> يولي أهم</w:t>
      </w:r>
      <w:r w:rsidR="00AA47ED" w:rsidRPr="00904FCB">
        <w:rPr>
          <w:rFonts w:ascii="Tahoma" w:hAnsi="Tahoma" w:hint="cs"/>
          <w:sz w:val="27"/>
          <w:rtl/>
          <w:lang w:bidi="fa-IR"/>
        </w:rPr>
        <w:t>ّ</w:t>
      </w:r>
      <w:r w:rsidRPr="00904FCB">
        <w:rPr>
          <w:rFonts w:ascii="Tahoma" w:hAnsi="Tahoma"/>
          <w:sz w:val="27"/>
          <w:rtl/>
          <w:lang w:bidi="fa-IR"/>
        </w:rPr>
        <w:t>ية خاصة لدراسة التشريع وأركانه ومقاصده في دراسة مقارنة بين الأديان السماوية والوضعية السابقة على ال</w:t>
      </w:r>
      <w:r w:rsidR="00AA47ED" w:rsidRPr="00904FCB">
        <w:rPr>
          <w:rFonts w:ascii="Tahoma" w:hAnsi="Tahoma" w:hint="cs"/>
          <w:sz w:val="27"/>
          <w:rtl/>
          <w:lang w:bidi="fa-IR"/>
        </w:rPr>
        <w:t>إ</w:t>
      </w:r>
      <w:r w:rsidRPr="00904FCB">
        <w:rPr>
          <w:rFonts w:ascii="Tahoma" w:hAnsi="Tahoma"/>
          <w:sz w:val="27"/>
          <w:rtl/>
          <w:lang w:bidi="fa-IR"/>
        </w:rPr>
        <w:t xml:space="preserve">سلام.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b/>
          <w:bCs/>
          <w:sz w:val="27"/>
          <w:rtl/>
          <w:lang w:bidi="ar-LB"/>
        </w:rPr>
        <w:t xml:space="preserve">1ـ </w:t>
      </w:r>
      <w:r w:rsidR="00AA47ED" w:rsidRPr="008C16BF">
        <w:rPr>
          <w:rFonts w:ascii="Tahoma" w:hAnsi="Tahoma" w:hint="cs"/>
          <w:b/>
          <w:bCs/>
          <w:sz w:val="27"/>
          <w:rtl/>
          <w:lang w:bidi="fa-IR"/>
        </w:rPr>
        <w:t>ا</w:t>
      </w:r>
      <w:r w:rsidRPr="008C16BF">
        <w:rPr>
          <w:rFonts w:ascii="Tahoma" w:hAnsi="Tahoma"/>
          <w:b/>
          <w:bCs/>
          <w:sz w:val="27"/>
          <w:rtl/>
          <w:lang w:bidi="fa-IR"/>
        </w:rPr>
        <w:t>لتاريخ المقارن</w:t>
      </w:r>
      <w:r w:rsidRPr="008C16BF">
        <w:rPr>
          <w:rFonts w:ascii="Tahoma" w:hAnsi="Tahoma"/>
          <w:sz w:val="27"/>
          <w:rtl/>
          <w:lang w:bidi="fa-IR"/>
        </w:rPr>
        <w:t>: وغايته علمية خالصة</w:t>
      </w:r>
      <w:r w:rsidR="00AA47ED" w:rsidRPr="008C16BF">
        <w:rPr>
          <w:rFonts w:ascii="Tahoma" w:hAnsi="Tahoma" w:hint="cs"/>
          <w:sz w:val="27"/>
          <w:rtl/>
          <w:lang w:bidi="fa-IR"/>
        </w:rPr>
        <w:t>،</w:t>
      </w:r>
      <w:r w:rsidRPr="008C16BF">
        <w:rPr>
          <w:rFonts w:ascii="Tahoma" w:hAnsi="Tahoma"/>
          <w:sz w:val="27"/>
          <w:rtl/>
          <w:lang w:bidi="fa-IR"/>
        </w:rPr>
        <w:t xml:space="preserve"> هي البحث عن الحقيقة، والكشف</w:t>
      </w:r>
      <w:r w:rsidRPr="00904FCB">
        <w:rPr>
          <w:rFonts w:ascii="Tahoma" w:hAnsi="Tahoma"/>
          <w:sz w:val="27"/>
          <w:rtl/>
          <w:lang w:bidi="fa-IR"/>
        </w:rPr>
        <w:t xml:space="preserve"> عن الأواصر والعلاقات التي تربط بين الظواهر القانونية في النشأة والتطو</w:t>
      </w:r>
      <w:r w:rsidR="00AA47ED" w:rsidRPr="00904FCB">
        <w:rPr>
          <w:rFonts w:ascii="Tahoma" w:hAnsi="Tahoma" w:hint="cs"/>
          <w:sz w:val="27"/>
          <w:rtl/>
          <w:lang w:bidi="fa-IR"/>
        </w:rPr>
        <w:t>ّ</w:t>
      </w:r>
      <w:r w:rsidRPr="00904FCB">
        <w:rPr>
          <w:rFonts w:ascii="Tahoma" w:hAnsi="Tahoma"/>
          <w:sz w:val="27"/>
          <w:rtl/>
          <w:lang w:bidi="fa-IR"/>
        </w:rPr>
        <w:t>ر، وفي التراجع والذوبان، مستهدفا</w:t>
      </w:r>
      <w:r w:rsidR="00AA47ED" w:rsidRPr="00904FCB">
        <w:rPr>
          <w:rFonts w:ascii="Tahoma" w:hAnsi="Tahoma" w:hint="cs"/>
          <w:sz w:val="27"/>
          <w:rtl/>
          <w:lang w:bidi="fa-IR"/>
        </w:rPr>
        <w:t>ً</w:t>
      </w:r>
      <w:r w:rsidRPr="00904FCB">
        <w:rPr>
          <w:rFonts w:ascii="Tahoma" w:hAnsi="Tahoma"/>
          <w:sz w:val="27"/>
          <w:rtl/>
          <w:lang w:bidi="fa-IR"/>
        </w:rPr>
        <w:t xml:space="preserve"> غاية قد يعسر الوصول إليها، وه</w:t>
      </w:r>
      <w:r w:rsidR="00AA47ED" w:rsidRPr="00904FCB">
        <w:rPr>
          <w:rFonts w:ascii="Tahoma" w:hAnsi="Tahoma" w:hint="cs"/>
          <w:sz w:val="27"/>
          <w:rtl/>
          <w:lang w:bidi="fa-IR"/>
        </w:rPr>
        <w:t>ي</w:t>
      </w:r>
      <w:r w:rsidRPr="00904FCB">
        <w:rPr>
          <w:rFonts w:ascii="Tahoma" w:hAnsi="Tahoma"/>
          <w:sz w:val="27"/>
          <w:rtl/>
          <w:lang w:bidi="fa-IR"/>
        </w:rPr>
        <w:t xml:space="preserve"> معرفة القوانين الطبيعية التي تحكم العلاقات الاجتماعية</w:t>
      </w:r>
      <w:r w:rsidR="00AA47ED" w:rsidRPr="00904FCB">
        <w:rPr>
          <w:rFonts w:ascii="Tahoma" w:hAnsi="Tahoma" w:hint="cs"/>
          <w:sz w:val="27"/>
          <w:rtl/>
          <w:lang w:bidi="fa-IR"/>
        </w:rPr>
        <w:t>،</w:t>
      </w:r>
      <w:r w:rsidRPr="00904FCB">
        <w:rPr>
          <w:rFonts w:ascii="Tahoma" w:hAnsi="Tahoma"/>
          <w:sz w:val="27"/>
          <w:rtl/>
          <w:lang w:bidi="fa-IR"/>
        </w:rPr>
        <w:t xml:space="preserve"> وفي مقدمتها العلاقات القانونية.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وفي هذا السياق يتعي</w:t>
      </w:r>
      <w:r w:rsidR="00AA47ED" w:rsidRPr="00904FCB">
        <w:rPr>
          <w:rFonts w:ascii="Tahoma" w:hAnsi="Tahoma" w:hint="cs"/>
          <w:sz w:val="27"/>
          <w:rtl/>
          <w:lang w:bidi="fa-IR"/>
        </w:rPr>
        <w:t>َّ</w:t>
      </w:r>
      <w:r w:rsidRPr="00904FCB">
        <w:rPr>
          <w:rFonts w:ascii="Tahoma" w:hAnsi="Tahoma"/>
          <w:sz w:val="27"/>
          <w:rtl/>
          <w:lang w:bidi="fa-IR"/>
        </w:rPr>
        <w:t>ن على رجل القانون المقارن أن يبسط آفاق دراسته</w:t>
      </w:r>
      <w:r w:rsidR="00AA47ED" w:rsidRPr="00904FCB">
        <w:rPr>
          <w:rFonts w:ascii="Tahoma" w:hAnsi="Tahoma" w:hint="cs"/>
          <w:sz w:val="27"/>
          <w:rtl/>
          <w:lang w:bidi="fa-IR"/>
        </w:rPr>
        <w:t>،</w:t>
      </w:r>
      <w:r w:rsidRPr="00904FCB">
        <w:rPr>
          <w:rFonts w:ascii="Tahoma" w:hAnsi="Tahoma"/>
          <w:sz w:val="27"/>
          <w:rtl/>
          <w:lang w:bidi="fa-IR"/>
        </w:rPr>
        <w:t xml:space="preserve"> فيجعلها تمتد</w:t>
      </w:r>
      <w:r w:rsidR="00AA47ED" w:rsidRPr="00904FCB">
        <w:rPr>
          <w:rFonts w:ascii="Tahoma" w:hAnsi="Tahoma" w:hint="cs"/>
          <w:sz w:val="27"/>
          <w:rtl/>
          <w:lang w:bidi="fa-IR"/>
        </w:rPr>
        <w:t>ّ</w:t>
      </w:r>
      <w:r w:rsidRPr="00904FCB">
        <w:rPr>
          <w:rFonts w:ascii="Tahoma" w:hAnsi="Tahoma"/>
          <w:sz w:val="27"/>
          <w:rtl/>
          <w:lang w:bidi="fa-IR"/>
        </w:rPr>
        <w:t xml:space="preserve"> إلى النظم القانونية في كل</w:t>
      </w:r>
      <w:r w:rsidR="00AA47ED" w:rsidRPr="00904FCB">
        <w:rPr>
          <w:rFonts w:ascii="Tahoma" w:hAnsi="Tahoma" w:hint="cs"/>
          <w:sz w:val="27"/>
          <w:rtl/>
          <w:lang w:bidi="fa-IR"/>
        </w:rPr>
        <w:t>ّ</w:t>
      </w:r>
      <w:r w:rsidRPr="00904FCB">
        <w:rPr>
          <w:rFonts w:ascii="Tahoma" w:hAnsi="Tahoma"/>
          <w:sz w:val="27"/>
          <w:rtl/>
          <w:lang w:bidi="fa-IR"/>
        </w:rPr>
        <w:t xml:space="preserve"> الشرائع، وفي جميع ال</w:t>
      </w:r>
      <w:r w:rsidR="00AA47ED" w:rsidRPr="00904FCB">
        <w:rPr>
          <w:rFonts w:ascii="Tahoma" w:hAnsi="Tahoma" w:hint="cs"/>
          <w:sz w:val="27"/>
          <w:rtl/>
          <w:lang w:bidi="fa-IR"/>
        </w:rPr>
        <w:t>أ</w:t>
      </w:r>
      <w:r w:rsidRPr="00904FCB">
        <w:rPr>
          <w:rFonts w:ascii="Tahoma" w:hAnsi="Tahoma"/>
          <w:sz w:val="27"/>
          <w:rtl/>
          <w:lang w:bidi="fa-IR"/>
        </w:rPr>
        <w:t>زمان، وعند جميع الشعوب، حت</w:t>
      </w:r>
      <w:r w:rsidR="00AA47ED" w:rsidRPr="00904FCB">
        <w:rPr>
          <w:rFonts w:ascii="Tahoma" w:hAnsi="Tahoma" w:hint="cs"/>
          <w:sz w:val="27"/>
          <w:rtl/>
          <w:lang w:bidi="fa-IR"/>
        </w:rPr>
        <w:t>ى</w:t>
      </w:r>
      <w:r w:rsidRPr="00904FCB">
        <w:rPr>
          <w:rFonts w:ascii="Tahoma" w:hAnsi="Tahoma"/>
          <w:sz w:val="27"/>
          <w:rtl/>
          <w:lang w:bidi="fa-IR"/>
        </w:rPr>
        <w:t xml:space="preserve"> يتمك</w:t>
      </w:r>
      <w:r w:rsidR="00AA47ED" w:rsidRPr="00904FCB">
        <w:rPr>
          <w:rFonts w:ascii="Tahoma" w:hAnsi="Tahoma" w:hint="cs"/>
          <w:sz w:val="27"/>
          <w:rtl/>
          <w:lang w:bidi="fa-IR"/>
        </w:rPr>
        <w:t>ّ</w:t>
      </w:r>
      <w:r w:rsidRPr="00904FCB">
        <w:rPr>
          <w:rFonts w:ascii="Tahoma" w:hAnsi="Tahoma"/>
          <w:sz w:val="27"/>
          <w:rtl/>
          <w:lang w:bidi="fa-IR"/>
        </w:rPr>
        <w:t>ن من بناء ن</w:t>
      </w:r>
      <w:r w:rsidR="00AA47ED" w:rsidRPr="00904FCB">
        <w:rPr>
          <w:rFonts w:ascii="Tahoma" w:hAnsi="Tahoma" w:hint="cs"/>
          <w:sz w:val="27"/>
          <w:rtl/>
          <w:lang w:bidi="fa-IR"/>
        </w:rPr>
        <w:t>َ</w:t>
      </w:r>
      <w:r w:rsidRPr="00904FCB">
        <w:rPr>
          <w:rFonts w:ascii="Tahoma" w:hAnsi="Tahoma"/>
          <w:sz w:val="27"/>
          <w:rtl/>
          <w:lang w:bidi="fa-IR"/>
        </w:rPr>
        <w:t>س</w:t>
      </w:r>
      <w:r w:rsidR="00AA47ED" w:rsidRPr="00904FCB">
        <w:rPr>
          <w:rFonts w:ascii="Tahoma" w:hAnsi="Tahoma" w:hint="cs"/>
          <w:sz w:val="27"/>
          <w:rtl/>
          <w:lang w:bidi="fa-IR"/>
        </w:rPr>
        <w:t>َ</w:t>
      </w:r>
      <w:r w:rsidRPr="00904FCB">
        <w:rPr>
          <w:rFonts w:ascii="Tahoma" w:hAnsi="Tahoma"/>
          <w:sz w:val="27"/>
          <w:rtl/>
          <w:lang w:bidi="fa-IR"/>
        </w:rPr>
        <w:t>ق</w:t>
      </w:r>
      <w:r w:rsidR="00AA47ED" w:rsidRPr="00904FCB">
        <w:rPr>
          <w:rFonts w:ascii="Tahoma" w:hAnsi="Tahoma" w:hint="cs"/>
          <w:sz w:val="27"/>
          <w:rtl/>
          <w:lang w:bidi="fa-IR"/>
        </w:rPr>
        <w:t>ٍ</w:t>
      </w:r>
      <w:r w:rsidRPr="00904FCB">
        <w:rPr>
          <w:rFonts w:ascii="Tahoma" w:hAnsi="Tahoma"/>
          <w:sz w:val="27"/>
          <w:rtl/>
          <w:lang w:bidi="fa-IR"/>
        </w:rPr>
        <w:t xml:space="preserve"> عام</w:t>
      </w:r>
      <w:r w:rsidR="00AA47ED" w:rsidRPr="00904FCB">
        <w:rPr>
          <w:rFonts w:ascii="Tahoma" w:hAnsi="Tahoma" w:hint="cs"/>
          <w:sz w:val="27"/>
          <w:rtl/>
          <w:lang w:bidi="fa-IR"/>
        </w:rPr>
        <w:t>ّ</w:t>
      </w:r>
      <w:r w:rsidRPr="00904FCB">
        <w:rPr>
          <w:rFonts w:ascii="Tahoma" w:hAnsi="Tahoma"/>
          <w:sz w:val="27"/>
          <w:rtl/>
          <w:lang w:bidi="fa-IR"/>
        </w:rPr>
        <w:t xml:space="preserve"> يفس</w:t>
      </w:r>
      <w:r w:rsidR="00AA47ED" w:rsidRPr="00904FCB">
        <w:rPr>
          <w:rFonts w:ascii="Tahoma" w:hAnsi="Tahoma" w:hint="cs"/>
          <w:sz w:val="27"/>
          <w:rtl/>
          <w:lang w:bidi="fa-IR"/>
        </w:rPr>
        <w:t>ِّ</w:t>
      </w:r>
      <w:r w:rsidRPr="00904FCB">
        <w:rPr>
          <w:rFonts w:ascii="Tahoma" w:hAnsi="Tahoma"/>
          <w:sz w:val="27"/>
          <w:rtl/>
          <w:lang w:bidi="fa-IR"/>
        </w:rPr>
        <w:t>ر به نشوء النظم القانونية وتطورها واختفائها، ويستنبط المعايير التي تحد</w:t>
      </w:r>
      <w:r w:rsidR="00AA47ED" w:rsidRPr="00904FCB">
        <w:rPr>
          <w:rFonts w:ascii="Tahoma" w:hAnsi="Tahoma" w:hint="cs"/>
          <w:sz w:val="27"/>
          <w:rtl/>
          <w:lang w:bidi="fa-IR"/>
        </w:rPr>
        <w:t>ِّ</w:t>
      </w:r>
      <w:r w:rsidRPr="00904FCB">
        <w:rPr>
          <w:rFonts w:ascii="Tahoma" w:hAnsi="Tahoma"/>
          <w:sz w:val="27"/>
          <w:rtl/>
          <w:lang w:bidi="fa-IR"/>
        </w:rPr>
        <w:t xml:space="preserve">د درجات النمو الحضاري الكامنة وراء نصوص القانون.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b/>
          <w:bCs/>
          <w:sz w:val="27"/>
          <w:rtl/>
          <w:lang w:bidi="ar-LB"/>
        </w:rPr>
        <w:t>2ـ ا</w:t>
      </w:r>
      <w:r w:rsidRPr="008C16BF">
        <w:rPr>
          <w:rFonts w:ascii="Tahoma" w:hAnsi="Tahoma"/>
          <w:b/>
          <w:bCs/>
          <w:sz w:val="27"/>
          <w:rtl/>
          <w:lang w:bidi="fa-IR"/>
        </w:rPr>
        <w:t>لتشريع المقارن</w:t>
      </w:r>
      <w:r w:rsidRPr="008C16BF">
        <w:rPr>
          <w:rFonts w:ascii="Tahoma" w:hAnsi="Tahoma"/>
          <w:sz w:val="27"/>
          <w:rtl/>
          <w:lang w:bidi="fa-IR"/>
        </w:rPr>
        <w:t xml:space="preserve">: وله في نظر الأستاذ </w:t>
      </w:r>
      <w:r w:rsidRPr="008C16BF">
        <w:rPr>
          <w:rFonts w:hint="eastAsia"/>
          <w:sz w:val="27"/>
          <w:rtl/>
          <w:lang w:bidi="fa-IR"/>
        </w:rPr>
        <w:t>«</w:t>
      </w:r>
      <w:r w:rsidRPr="008C16BF">
        <w:rPr>
          <w:rFonts w:ascii="Tahoma" w:hAnsi="Tahoma"/>
          <w:sz w:val="27"/>
          <w:rtl/>
          <w:lang w:bidi="fa-IR"/>
        </w:rPr>
        <w:t>لامبير</w:t>
      </w:r>
      <w:r w:rsidRPr="008C16BF">
        <w:rPr>
          <w:rFonts w:hint="eastAsia"/>
          <w:sz w:val="27"/>
          <w:rtl/>
        </w:rPr>
        <w:t>»</w:t>
      </w:r>
      <w:r w:rsidRPr="008C16BF">
        <w:rPr>
          <w:rFonts w:ascii="Tahoma" w:hAnsi="Tahoma"/>
          <w:sz w:val="27"/>
          <w:rtl/>
          <w:lang w:bidi="fa-IR"/>
        </w:rPr>
        <w:t xml:space="preserve"> غاية عملية نفعية وتطبيقية</w:t>
      </w:r>
      <w:r w:rsidR="00AA47ED" w:rsidRPr="008C16BF">
        <w:rPr>
          <w:rFonts w:ascii="Tahoma" w:hAnsi="Tahoma" w:hint="cs"/>
          <w:sz w:val="27"/>
          <w:rtl/>
          <w:lang w:bidi="fa-IR"/>
        </w:rPr>
        <w:t>،</w:t>
      </w:r>
      <w:r w:rsidRPr="008C16BF">
        <w:rPr>
          <w:rFonts w:ascii="Tahoma" w:hAnsi="Tahoma"/>
          <w:sz w:val="27"/>
          <w:rtl/>
          <w:lang w:bidi="fa-IR"/>
        </w:rPr>
        <w:t xml:space="preserve"> هي</w:t>
      </w:r>
      <w:r w:rsidRPr="00904FCB">
        <w:rPr>
          <w:rFonts w:ascii="Tahoma" w:hAnsi="Tahoma"/>
          <w:sz w:val="27"/>
          <w:rtl/>
          <w:lang w:bidi="fa-IR"/>
        </w:rPr>
        <w:t xml:space="preserve"> البحث </w:t>
      </w:r>
      <w:r w:rsidR="00AA47ED" w:rsidRPr="00904FCB">
        <w:rPr>
          <w:rFonts w:ascii="Tahoma" w:hAnsi="Tahoma" w:hint="cs"/>
          <w:sz w:val="27"/>
          <w:rtl/>
          <w:lang w:bidi="fa-IR"/>
        </w:rPr>
        <w:t>في</w:t>
      </w:r>
      <w:r w:rsidRPr="00904FCB">
        <w:rPr>
          <w:rFonts w:ascii="Tahoma" w:hAnsi="Tahoma"/>
          <w:sz w:val="27"/>
          <w:rtl/>
          <w:lang w:bidi="fa-IR"/>
        </w:rPr>
        <w:t xml:space="preserve"> الشرائع المتقاربة عن الأساس المشترك بين نظمها القانونية، والإفادة من هذا الأساس المشترك في تطوير القوانين الوطنية واستكمالها. و</w:t>
      </w:r>
      <w:r w:rsidR="00AA47ED" w:rsidRPr="00904FCB">
        <w:rPr>
          <w:rFonts w:hint="eastAsia"/>
          <w:sz w:val="27"/>
          <w:rtl/>
          <w:lang w:bidi="fa-IR"/>
        </w:rPr>
        <w:t>«</w:t>
      </w:r>
      <w:r w:rsidR="00AA47ED" w:rsidRPr="00904FCB">
        <w:rPr>
          <w:rFonts w:ascii="Tahoma" w:hAnsi="Tahoma" w:hint="cs"/>
          <w:sz w:val="27"/>
          <w:rtl/>
          <w:lang w:bidi="fa-IR"/>
        </w:rPr>
        <w:t>إ</w:t>
      </w:r>
      <w:r w:rsidRPr="00904FCB">
        <w:rPr>
          <w:rFonts w:ascii="Tahoma" w:hAnsi="Tahoma"/>
          <w:sz w:val="27"/>
          <w:rtl/>
          <w:lang w:bidi="fa-IR"/>
        </w:rPr>
        <w:t>دوارد لامبير</w:t>
      </w:r>
      <w:r w:rsidRPr="00904FCB">
        <w:rPr>
          <w:rFonts w:hint="eastAsia"/>
          <w:sz w:val="27"/>
          <w:rtl/>
        </w:rPr>
        <w:t>»</w:t>
      </w:r>
      <w:r w:rsidRPr="00904FCB">
        <w:rPr>
          <w:rFonts w:ascii="Tahoma" w:hAnsi="Tahoma"/>
          <w:sz w:val="27"/>
          <w:rtl/>
          <w:lang w:bidi="fa-IR"/>
        </w:rPr>
        <w:t xml:space="preserve"> بهذه الطريقة يعتبر متمر</w:t>
      </w:r>
      <w:r w:rsidR="00AA47ED" w:rsidRPr="00904FCB">
        <w:rPr>
          <w:rFonts w:ascii="Tahoma" w:hAnsi="Tahoma" w:hint="cs"/>
          <w:sz w:val="27"/>
          <w:rtl/>
          <w:lang w:bidi="fa-IR"/>
        </w:rPr>
        <w:t>ِّ</w:t>
      </w:r>
      <w:r w:rsidRPr="00904FCB">
        <w:rPr>
          <w:rFonts w:ascii="Tahoma" w:hAnsi="Tahoma"/>
          <w:sz w:val="27"/>
          <w:rtl/>
          <w:lang w:bidi="fa-IR"/>
        </w:rPr>
        <w:t>دا</w:t>
      </w:r>
      <w:r w:rsidR="00AA47ED" w:rsidRPr="00904FCB">
        <w:rPr>
          <w:rFonts w:ascii="Tahoma" w:hAnsi="Tahoma" w:hint="cs"/>
          <w:sz w:val="27"/>
          <w:rtl/>
          <w:lang w:bidi="fa-IR"/>
        </w:rPr>
        <w:t>ً</w:t>
      </w:r>
      <w:r w:rsidRPr="00904FCB">
        <w:rPr>
          <w:rFonts w:ascii="Tahoma" w:hAnsi="Tahoma"/>
          <w:sz w:val="27"/>
          <w:rtl/>
          <w:lang w:bidi="fa-IR"/>
        </w:rPr>
        <w:t xml:space="preserve"> على مناهج عصره عند </w:t>
      </w:r>
      <w:r w:rsidRPr="00904FCB">
        <w:rPr>
          <w:rFonts w:hint="eastAsia"/>
          <w:sz w:val="27"/>
          <w:rtl/>
          <w:lang w:bidi="fa-IR"/>
        </w:rPr>
        <w:t>«</w:t>
      </w:r>
      <w:r w:rsidRPr="00904FCB">
        <w:rPr>
          <w:rFonts w:ascii="Tahoma" w:hAnsi="Tahoma"/>
          <w:sz w:val="27"/>
          <w:rtl/>
          <w:lang w:bidi="fa-IR"/>
        </w:rPr>
        <w:t>أوبري</w:t>
      </w:r>
      <w:r w:rsidRPr="00904FCB">
        <w:rPr>
          <w:rFonts w:hint="eastAsia"/>
          <w:sz w:val="27"/>
          <w:rtl/>
        </w:rPr>
        <w:t>»</w:t>
      </w:r>
      <w:r w:rsidRPr="00904FCB">
        <w:rPr>
          <w:rFonts w:ascii="Tahoma" w:hAnsi="Tahoma"/>
          <w:sz w:val="27"/>
          <w:rtl/>
          <w:lang w:bidi="fa-IR"/>
        </w:rPr>
        <w:t>، و</w:t>
      </w:r>
      <w:r w:rsidR="00AA47ED" w:rsidRPr="00904FCB">
        <w:rPr>
          <w:rFonts w:hint="eastAsia"/>
          <w:sz w:val="27"/>
          <w:rtl/>
          <w:lang w:bidi="fa-IR"/>
        </w:rPr>
        <w:t>«</w:t>
      </w:r>
      <w:r w:rsidRPr="00904FCB">
        <w:rPr>
          <w:rFonts w:ascii="Tahoma" w:hAnsi="Tahoma"/>
          <w:sz w:val="27"/>
          <w:rtl/>
          <w:lang w:bidi="fa-IR"/>
        </w:rPr>
        <w:t>رو</w:t>
      </w:r>
      <w:r w:rsidRPr="00904FCB">
        <w:rPr>
          <w:rFonts w:hint="eastAsia"/>
          <w:sz w:val="27"/>
          <w:rtl/>
        </w:rPr>
        <w:t>»</w:t>
      </w:r>
      <w:r w:rsidRPr="00904FCB">
        <w:rPr>
          <w:rFonts w:ascii="Tahoma" w:hAnsi="Tahoma"/>
          <w:sz w:val="27"/>
          <w:rtl/>
          <w:lang w:bidi="fa-IR"/>
        </w:rPr>
        <w:t>، و</w:t>
      </w:r>
      <w:r w:rsidR="00AA47ED" w:rsidRPr="00904FCB">
        <w:rPr>
          <w:rFonts w:hint="eastAsia"/>
          <w:sz w:val="27"/>
          <w:rtl/>
          <w:lang w:bidi="fa-IR"/>
        </w:rPr>
        <w:t>«</w:t>
      </w:r>
      <w:r w:rsidRPr="00904FCB">
        <w:rPr>
          <w:rFonts w:ascii="Tahoma" w:hAnsi="Tahoma"/>
          <w:sz w:val="27"/>
          <w:rtl/>
          <w:lang w:bidi="fa-IR"/>
        </w:rPr>
        <w:t>كابيتان</w:t>
      </w:r>
      <w:r w:rsidRPr="00904FCB">
        <w:rPr>
          <w:rFonts w:hint="eastAsia"/>
          <w:sz w:val="27"/>
          <w:rtl/>
        </w:rPr>
        <w:t>»</w:t>
      </w:r>
      <w:r w:rsidRPr="00904FCB">
        <w:rPr>
          <w:rFonts w:ascii="Tahoma" w:hAnsi="Tahoma"/>
          <w:sz w:val="27"/>
          <w:rtl/>
          <w:lang w:bidi="fa-IR"/>
        </w:rPr>
        <w:t>، و</w:t>
      </w:r>
      <w:r w:rsidR="00AA47ED" w:rsidRPr="00904FCB">
        <w:rPr>
          <w:rFonts w:hint="eastAsia"/>
          <w:sz w:val="27"/>
          <w:rtl/>
          <w:lang w:bidi="fa-IR"/>
        </w:rPr>
        <w:t>«</w:t>
      </w:r>
      <w:r w:rsidRPr="00904FCB">
        <w:rPr>
          <w:rFonts w:ascii="Tahoma" w:hAnsi="Tahoma"/>
          <w:sz w:val="27"/>
          <w:rtl/>
          <w:lang w:bidi="fa-IR"/>
        </w:rPr>
        <w:t>بلانيول</w:t>
      </w:r>
      <w:r w:rsidRPr="00904FCB">
        <w:rPr>
          <w:rFonts w:hint="eastAsia"/>
          <w:sz w:val="27"/>
          <w:rtl/>
        </w:rPr>
        <w:t>»</w:t>
      </w:r>
      <w:r w:rsidR="00AA47ED" w:rsidRPr="00904FCB">
        <w:rPr>
          <w:rFonts w:ascii="Tahoma" w:hAnsi="Tahoma" w:hint="cs"/>
          <w:sz w:val="27"/>
          <w:rtl/>
          <w:lang w:bidi="fa-IR"/>
        </w:rPr>
        <w:t>.</w:t>
      </w:r>
      <w:r w:rsidRPr="00904FCB">
        <w:rPr>
          <w:rFonts w:ascii="Tahoma" w:hAnsi="Tahoma"/>
          <w:sz w:val="27"/>
          <w:rtl/>
          <w:lang w:bidi="fa-IR"/>
        </w:rPr>
        <w:t xml:space="preserve"> ويبدو أن مبادئ القانون الطبيعي التي امتلكت عقول رجال القانون في القرن التاسع عشر جعلتهم يؤمنون بقوانين ثابتة أقر</w:t>
      </w:r>
      <w:r w:rsidR="00AA47ED" w:rsidRPr="00904FCB">
        <w:rPr>
          <w:rFonts w:ascii="Tahoma" w:hAnsi="Tahoma" w:hint="cs"/>
          <w:sz w:val="27"/>
          <w:rtl/>
          <w:lang w:bidi="fa-IR"/>
        </w:rPr>
        <w:t>ّ</w:t>
      </w:r>
      <w:r w:rsidRPr="00904FCB">
        <w:rPr>
          <w:rFonts w:ascii="Tahoma" w:hAnsi="Tahoma"/>
          <w:sz w:val="27"/>
          <w:rtl/>
          <w:lang w:bidi="fa-IR"/>
        </w:rPr>
        <w:t>ها العقل البشري</w:t>
      </w:r>
      <w:r w:rsidR="00AA47ED" w:rsidRPr="00904FCB">
        <w:rPr>
          <w:rFonts w:ascii="Tahoma" w:hAnsi="Tahoma" w:hint="cs"/>
          <w:sz w:val="27"/>
          <w:rtl/>
          <w:lang w:bidi="fa-IR"/>
        </w:rPr>
        <w:t>،</w:t>
      </w:r>
      <w:r w:rsidRPr="00904FCB">
        <w:rPr>
          <w:rFonts w:ascii="Tahoma" w:hAnsi="Tahoma"/>
          <w:sz w:val="27"/>
          <w:rtl/>
          <w:lang w:bidi="fa-IR"/>
        </w:rPr>
        <w:t xml:space="preserve"> وهي من العصمة والصواب بحيث يصبح الأخذ بغيرها لونا</w:t>
      </w:r>
      <w:r w:rsidR="00AA47ED" w:rsidRPr="00904FCB">
        <w:rPr>
          <w:rFonts w:ascii="Tahoma" w:hAnsi="Tahoma" w:hint="cs"/>
          <w:sz w:val="27"/>
          <w:rtl/>
          <w:lang w:bidi="fa-IR"/>
        </w:rPr>
        <w:t>ً</w:t>
      </w:r>
      <w:r w:rsidRPr="00904FCB">
        <w:rPr>
          <w:rFonts w:ascii="Tahoma" w:hAnsi="Tahoma"/>
          <w:sz w:val="27"/>
          <w:rtl/>
          <w:lang w:bidi="fa-IR"/>
        </w:rPr>
        <w:t xml:space="preserve"> من الضلال، في ظل</w:t>
      </w:r>
      <w:r w:rsidR="00AA47ED" w:rsidRPr="00904FCB">
        <w:rPr>
          <w:rFonts w:ascii="Tahoma" w:hAnsi="Tahoma" w:hint="cs"/>
          <w:sz w:val="27"/>
          <w:rtl/>
          <w:lang w:bidi="fa-IR"/>
        </w:rPr>
        <w:t>ّ</w:t>
      </w:r>
      <w:r w:rsidRPr="00904FCB">
        <w:rPr>
          <w:rFonts w:ascii="Tahoma" w:hAnsi="Tahoma"/>
          <w:sz w:val="27"/>
          <w:rtl/>
          <w:lang w:bidi="fa-IR"/>
        </w:rPr>
        <w:t xml:space="preserve"> ثقة</w:t>
      </w:r>
      <w:r w:rsidR="00AA47ED" w:rsidRPr="00904FCB">
        <w:rPr>
          <w:rFonts w:ascii="Tahoma" w:hAnsi="Tahoma" w:hint="cs"/>
          <w:sz w:val="27"/>
          <w:rtl/>
          <w:lang w:bidi="fa-IR"/>
        </w:rPr>
        <w:t>ٍ</w:t>
      </w:r>
      <w:r w:rsidRPr="00904FCB">
        <w:rPr>
          <w:rFonts w:ascii="Tahoma" w:hAnsi="Tahoma"/>
          <w:sz w:val="27"/>
          <w:rtl/>
          <w:lang w:bidi="fa-IR"/>
        </w:rPr>
        <w:t xml:space="preserve"> بالنفس، وإيمان</w:t>
      </w:r>
      <w:r w:rsidR="00AA47ED" w:rsidRPr="00904FCB">
        <w:rPr>
          <w:rFonts w:ascii="Tahoma" w:hAnsi="Tahoma" w:hint="cs"/>
          <w:sz w:val="27"/>
          <w:rtl/>
          <w:lang w:bidi="fa-IR"/>
        </w:rPr>
        <w:t>ٍ</w:t>
      </w:r>
      <w:r w:rsidRPr="00904FCB">
        <w:rPr>
          <w:rFonts w:ascii="Tahoma" w:hAnsi="Tahoma"/>
          <w:sz w:val="27"/>
          <w:rtl/>
          <w:lang w:bidi="fa-IR"/>
        </w:rPr>
        <w:t xml:space="preserve"> بالعقل، يصبح في ضوئهما ـ كما قال البعض ـ وقوع النقص في قوانينهم ممتنع، ونسبته اليهم جرم</w:t>
      </w:r>
      <w:r w:rsidR="00AA47ED" w:rsidRPr="00904FCB">
        <w:rPr>
          <w:rFonts w:ascii="Tahoma" w:hAnsi="Tahoma" w:hint="cs"/>
          <w:sz w:val="27"/>
          <w:rtl/>
          <w:lang w:bidi="fa-IR"/>
        </w:rPr>
        <w:t>ٌ</w:t>
      </w:r>
      <w:r w:rsidRPr="00904FCB">
        <w:rPr>
          <w:rFonts w:ascii="Tahoma" w:hAnsi="Tahoma"/>
          <w:sz w:val="27"/>
          <w:rtl/>
          <w:lang w:bidi="fa-IR"/>
        </w:rPr>
        <w:t xml:space="preserve"> كبير. </w:t>
      </w:r>
    </w:p>
    <w:p w:rsidR="00AA47ED"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ولا</w:t>
      </w:r>
      <w:r w:rsidR="00AA47ED" w:rsidRPr="00904FCB">
        <w:rPr>
          <w:rFonts w:ascii="Tahoma" w:hAnsi="Tahoma" w:hint="cs"/>
          <w:sz w:val="27"/>
          <w:rtl/>
          <w:lang w:bidi="fa-IR"/>
        </w:rPr>
        <w:t xml:space="preserve"> </w:t>
      </w:r>
      <w:r w:rsidRPr="00904FCB">
        <w:rPr>
          <w:rFonts w:ascii="Tahoma" w:hAnsi="Tahoma"/>
          <w:sz w:val="27"/>
          <w:rtl/>
          <w:lang w:bidi="fa-IR"/>
        </w:rPr>
        <w:t>ش</w:t>
      </w:r>
      <w:r w:rsidR="00AA47ED" w:rsidRPr="00904FCB">
        <w:rPr>
          <w:rFonts w:ascii="Tahoma" w:hAnsi="Tahoma" w:hint="cs"/>
          <w:sz w:val="27"/>
          <w:rtl/>
          <w:lang w:bidi="fa-IR"/>
        </w:rPr>
        <w:t>َ</w:t>
      </w:r>
      <w:r w:rsidRPr="00904FCB">
        <w:rPr>
          <w:rFonts w:ascii="Tahoma" w:hAnsi="Tahoma"/>
          <w:sz w:val="27"/>
          <w:rtl/>
          <w:lang w:bidi="fa-IR"/>
        </w:rPr>
        <w:t>ك</w:t>
      </w:r>
      <w:r w:rsidR="00AA47ED" w:rsidRPr="00904FCB">
        <w:rPr>
          <w:rFonts w:ascii="Tahoma" w:hAnsi="Tahoma" w:hint="cs"/>
          <w:sz w:val="27"/>
          <w:rtl/>
          <w:lang w:bidi="fa-IR"/>
        </w:rPr>
        <w:t>َّ</w:t>
      </w:r>
      <w:r w:rsidRPr="00904FCB">
        <w:rPr>
          <w:rFonts w:ascii="Tahoma" w:hAnsi="Tahoma"/>
          <w:sz w:val="27"/>
          <w:rtl/>
          <w:lang w:bidi="fa-IR"/>
        </w:rPr>
        <w:t xml:space="preserve"> في أن </w:t>
      </w:r>
      <w:r w:rsidRPr="00904FCB">
        <w:rPr>
          <w:rFonts w:hint="eastAsia"/>
          <w:sz w:val="27"/>
          <w:rtl/>
          <w:lang w:bidi="fa-IR"/>
        </w:rPr>
        <w:t>«</w:t>
      </w:r>
      <w:r w:rsidR="00AA47ED" w:rsidRPr="00904FCB">
        <w:rPr>
          <w:rFonts w:ascii="Tahoma" w:hAnsi="Tahoma" w:hint="cs"/>
          <w:sz w:val="27"/>
          <w:rtl/>
          <w:lang w:bidi="fa-IR"/>
        </w:rPr>
        <w:t>إ</w:t>
      </w:r>
      <w:r w:rsidRPr="00904FCB">
        <w:rPr>
          <w:rFonts w:ascii="Tahoma" w:hAnsi="Tahoma"/>
          <w:sz w:val="27"/>
          <w:rtl/>
          <w:lang w:bidi="fa-IR"/>
        </w:rPr>
        <w:t>دوارد لامبير</w:t>
      </w:r>
      <w:r w:rsidRPr="00904FCB">
        <w:rPr>
          <w:rFonts w:hint="eastAsia"/>
          <w:sz w:val="27"/>
          <w:rtl/>
        </w:rPr>
        <w:t>»</w:t>
      </w:r>
      <w:r w:rsidRPr="00904FCB">
        <w:rPr>
          <w:rFonts w:ascii="Tahoma" w:hAnsi="Tahoma"/>
          <w:sz w:val="27"/>
          <w:rtl/>
          <w:lang w:bidi="fa-IR"/>
        </w:rPr>
        <w:t xml:space="preserve"> بذل جهدا</w:t>
      </w:r>
      <w:r w:rsidR="00AA47ED" w:rsidRPr="00904FCB">
        <w:rPr>
          <w:rFonts w:ascii="Tahoma" w:hAnsi="Tahoma" w:hint="cs"/>
          <w:sz w:val="27"/>
          <w:rtl/>
          <w:lang w:bidi="fa-IR"/>
        </w:rPr>
        <w:t>ً</w:t>
      </w:r>
      <w:r w:rsidRPr="00904FCB">
        <w:rPr>
          <w:rFonts w:ascii="Tahoma" w:hAnsi="Tahoma"/>
          <w:sz w:val="27"/>
          <w:rtl/>
          <w:lang w:bidi="fa-IR"/>
        </w:rPr>
        <w:t xml:space="preserve"> كبيرا</w:t>
      </w:r>
      <w:r w:rsidR="00AA47ED" w:rsidRPr="00904FCB">
        <w:rPr>
          <w:rFonts w:ascii="Tahoma" w:hAnsi="Tahoma" w:hint="cs"/>
          <w:sz w:val="27"/>
          <w:rtl/>
          <w:lang w:bidi="fa-IR"/>
        </w:rPr>
        <w:t>ً</w:t>
      </w:r>
      <w:r w:rsidRPr="00904FCB">
        <w:rPr>
          <w:rFonts w:ascii="Tahoma" w:hAnsi="Tahoma"/>
          <w:sz w:val="27"/>
          <w:rtl/>
          <w:lang w:bidi="fa-IR"/>
        </w:rPr>
        <w:t xml:space="preserve"> في صياغة نظريته</w:t>
      </w:r>
      <w:r w:rsidR="00AA47ED" w:rsidRPr="00904FCB">
        <w:rPr>
          <w:rFonts w:ascii="Tahoma" w:hAnsi="Tahoma" w:hint="cs"/>
          <w:sz w:val="27"/>
          <w:rtl/>
          <w:lang w:bidi="fa-IR"/>
        </w:rPr>
        <w:t>،</w:t>
      </w:r>
      <w:r w:rsidRPr="00904FCB">
        <w:rPr>
          <w:rFonts w:ascii="Tahoma" w:hAnsi="Tahoma"/>
          <w:sz w:val="27"/>
          <w:rtl/>
          <w:lang w:bidi="fa-IR"/>
        </w:rPr>
        <w:t xml:space="preserve"> لعل</w:t>
      </w:r>
      <w:r w:rsidR="00AA47ED" w:rsidRPr="00904FCB">
        <w:rPr>
          <w:rFonts w:ascii="Tahoma" w:hAnsi="Tahoma" w:hint="cs"/>
          <w:sz w:val="27"/>
          <w:rtl/>
          <w:lang w:bidi="fa-IR"/>
        </w:rPr>
        <w:t>ّ</w:t>
      </w:r>
      <w:r w:rsidRPr="00904FCB">
        <w:rPr>
          <w:rFonts w:ascii="Tahoma" w:hAnsi="Tahoma"/>
          <w:sz w:val="27"/>
          <w:rtl/>
          <w:lang w:bidi="fa-IR"/>
        </w:rPr>
        <w:t xml:space="preserve">ه يعلو </w:t>
      </w:r>
      <w:r w:rsidRPr="00904FCB">
        <w:rPr>
          <w:rFonts w:ascii="Tahoma" w:hAnsi="Tahoma"/>
          <w:sz w:val="27"/>
          <w:rtl/>
          <w:lang w:bidi="fa-IR"/>
        </w:rPr>
        <w:lastRenderedPageBreak/>
        <w:t>بها فوق النقد والتجريح</w:t>
      </w:r>
      <w:r w:rsidR="00AA47ED" w:rsidRPr="00904FCB">
        <w:rPr>
          <w:rFonts w:ascii="Tahoma" w:hAnsi="Tahoma" w:hint="cs"/>
          <w:sz w:val="27"/>
          <w:rtl/>
          <w:lang w:bidi="fa-IR"/>
        </w:rPr>
        <w:t>.</w:t>
      </w:r>
    </w:p>
    <w:p w:rsidR="00AA47ED"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ولكن</w:t>
      </w:r>
      <w:r w:rsidR="00AA47ED" w:rsidRPr="00904FCB">
        <w:rPr>
          <w:rFonts w:ascii="Tahoma" w:hAnsi="Tahoma" w:hint="cs"/>
          <w:sz w:val="27"/>
          <w:rtl/>
          <w:lang w:bidi="fa-IR"/>
        </w:rPr>
        <w:t>ّ</w:t>
      </w:r>
      <w:r w:rsidRPr="00904FCB">
        <w:rPr>
          <w:rFonts w:ascii="Tahoma" w:hAnsi="Tahoma"/>
          <w:sz w:val="27"/>
          <w:rtl/>
          <w:lang w:bidi="fa-IR"/>
        </w:rPr>
        <w:t xml:space="preserve"> نق</w:t>
      </w:r>
      <w:r w:rsidR="00AA47ED" w:rsidRPr="00904FCB">
        <w:rPr>
          <w:rFonts w:ascii="Tahoma" w:hAnsi="Tahoma" w:hint="cs"/>
          <w:sz w:val="27"/>
          <w:rtl/>
          <w:lang w:bidi="fa-IR"/>
        </w:rPr>
        <w:t>ّ</w:t>
      </w:r>
      <w:r w:rsidRPr="00904FCB">
        <w:rPr>
          <w:rFonts w:ascii="Tahoma" w:hAnsi="Tahoma"/>
          <w:sz w:val="27"/>
          <w:rtl/>
          <w:lang w:bidi="fa-IR"/>
        </w:rPr>
        <w:t>اده كانوا على حق</w:t>
      </w:r>
      <w:r w:rsidR="00AA47ED" w:rsidRPr="00904FCB">
        <w:rPr>
          <w:rFonts w:ascii="Tahoma" w:hAnsi="Tahoma" w:hint="cs"/>
          <w:sz w:val="27"/>
          <w:rtl/>
          <w:lang w:bidi="fa-IR"/>
        </w:rPr>
        <w:t>ٍّ</w:t>
      </w:r>
      <w:r w:rsidRPr="00904FCB">
        <w:rPr>
          <w:rFonts w:ascii="Tahoma" w:hAnsi="Tahoma"/>
          <w:sz w:val="27"/>
          <w:rtl/>
          <w:lang w:bidi="fa-IR"/>
        </w:rPr>
        <w:t xml:space="preserve"> في توجيه النقد إلى ما أسماه القانون المقارن بقسم</w:t>
      </w:r>
      <w:r w:rsidR="00AA47ED" w:rsidRPr="00904FCB">
        <w:rPr>
          <w:rFonts w:ascii="Tahoma" w:hAnsi="Tahoma" w:hint="cs"/>
          <w:sz w:val="27"/>
          <w:rtl/>
          <w:lang w:bidi="fa-IR"/>
        </w:rPr>
        <w:t>َ</w:t>
      </w:r>
      <w:r w:rsidRPr="00904FCB">
        <w:rPr>
          <w:rFonts w:ascii="Tahoma" w:hAnsi="Tahoma"/>
          <w:sz w:val="27"/>
          <w:rtl/>
          <w:lang w:bidi="fa-IR"/>
        </w:rPr>
        <w:t>ي</w:t>
      </w:r>
      <w:r w:rsidR="00AA47ED" w:rsidRPr="00904FCB">
        <w:rPr>
          <w:rFonts w:ascii="Tahoma" w:hAnsi="Tahoma" w:hint="cs"/>
          <w:sz w:val="27"/>
          <w:rtl/>
          <w:lang w:bidi="fa-IR"/>
        </w:rPr>
        <w:t>ْ</w:t>
      </w:r>
      <w:r w:rsidRPr="00904FCB">
        <w:rPr>
          <w:rFonts w:ascii="Tahoma" w:hAnsi="Tahoma"/>
          <w:sz w:val="27"/>
          <w:rtl/>
          <w:lang w:bidi="fa-IR"/>
        </w:rPr>
        <w:t>ه</w:t>
      </w:r>
      <w:r w:rsidR="00AA47ED" w:rsidRPr="00904FCB">
        <w:rPr>
          <w:rFonts w:ascii="Tahoma" w:hAnsi="Tahoma" w:hint="cs"/>
          <w:sz w:val="27"/>
          <w:rtl/>
          <w:lang w:bidi="fa-IR"/>
        </w:rPr>
        <w:t>.</w:t>
      </w:r>
      <w:r w:rsidRPr="00904FCB">
        <w:rPr>
          <w:rFonts w:ascii="Tahoma" w:hAnsi="Tahoma"/>
          <w:sz w:val="27"/>
          <w:rtl/>
          <w:lang w:bidi="fa-IR"/>
        </w:rPr>
        <w:t xml:space="preserve"> فالتاريخ المقارن أقرب ما يكون إلى علم الاجتماع القانوني، وكان </w:t>
      </w:r>
      <w:r w:rsidRPr="00904FCB">
        <w:rPr>
          <w:rFonts w:hint="eastAsia"/>
          <w:sz w:val="27"/>
          <w:rtl/>
          <w:lang w:bidi="fa-IR"/>
        </w:rPr>
        <w:t>«</w:t>
      </w:r>
      <w:r w:rsidRPr="00904FCB">
        <w:rPr>
          <w:rFonts w:ascii="Tahoma" w:hAnsi="Tahoma"/>
          <w:sz w:val="27"/>
          <w:rtl/>
          <w:lang w:bidi="fa-IR"/>
        </w:rPr>
        <w:t>ابن خلدون</w:t>
      </w:r>
      <w:r w:rsidRPr="00904FCB">
        <w:rPr>
          <w:rFonts w:hint="eastAsia"/>
          <w:sz w:val="27"/>
          <w:rtl/>
        </w:rPr>
        <w:t>»</w:t>
      </w:r>
      <w:r w:rsidRPr="00904FCB">
        <w:rPr>
          <w:rFonts w:ascii="Tahoma" w:hAnsi="Tahoma"/>
          <w:sz w:val="27"/>
          <w:rtl/>
          <w:lang w:bidi="fa-IR"/>
        </w:rPr>
        <w:t xml:space="preserve"> أصدق وأسبق في التنظير له، مع احتراس</w:t>
      </w:r>
      <w:r w:rsidR="00AA47ED" w:rsidRPr="00904FCB">
        <w:rPr>
          <w:rFonts w:ascii="Tahoma" w:hAnsi="Tahoma" w:hint="cs"/>
          <w:sz w:val="27"/>
          <w:rtl/>
          <w:lang w:bidi="fa-IR"/>
        </w:rPr>
        <w:t>ٍ</w:t>
      </w:r>
      <w:r w:rsidRPr="00904FCB">
        <w:rPr>
          <w:rFonts w:ascii="Tahoma" w:hAnsi="Tahoma"/>
          <w:sz w:val="27"/>
          <w:rtl/>
          <w:lang w:bidi="fa-IR"/>
        </w:rPr>
        <w:t xml:space="preserve"> يليق بعبقرية </w:t>
      </w:r>
      <w:r w:rsidRPr="00904FCB">
        <w:rPr>
          <w:rFonts w:hint="eastAsia"/>
          <w:sz w:val="27"/>
          <w:rtl/>
          <w:lang w:bidi="fa-IR"/>
        </w:rPr>
        <w:t>«</w:t>
      </w:r>
      <w:r w:rsidRPr="00904FCB">
        <w:rPr>
          <w:rFonts w:ascii="Tahoma" w:hAnsi="Tahoma"/>
          <w:sz w:val="27"/>
          <w:rtl/>
          <w:lang w:bidi="fa-IR"/>
        </w:rPr>
        <w:t>ابن خلدون</w:t>
      </w:r>
      <w:r w:rsidRPr="00904FCB">
        <w:rPr>
          <w:rFonts w:hint="eastAsia"/>
          <w:sz w:val="27"/>
          <w:rtl/>
        </w:rPr>
        <w:t>»</w:t>
      </w:r>
      <w:r w:rsidRPr="00904FCB">
        <w:rPr>
          <w:rFonts w:ascii="Tahoma" w:hAnsi="Tahoma"/>
          <w:sz w:val="27"/>
          <w:rtl/>
          <w:lang w:bidi="fa-IR"/>
        </w:rPr>
        <w:t>، ويحميه من المعارضة والرد</w:t>
      </w:r>
      <w:r w:rsidR="00AA47ED" w:rsidRPr="00904FCB">
        <w:rPr>
          <w:rFonts w:ascii="Tahoma" w:hAnsi="Tahoma" w:hint="cs"/>
          <w:sz w:val="27"/>
          <w:rtl/>
          <w:lang w:bidi="fa-IR"/>
        </w:rPr>
        <w:t>ّ.</w:t>
      </w:r>
    </w:p>
    <w:p w:rsidR="00644408" w:rsidRPr="00904FCB" w:rsidRDefault="00644408" w:rsidP="00FE2878">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أما علم التشريع المقارن فما أعطاه له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Pr="00904FCB">
        <w:rPr>
          <w:rFonts w:ascii="Tahoma" w:hAnsi="Tahoma"/>
          <w:sz w:val="27"/>
          <w:rtl/>
          <w:lang w:bidi="fa-IR"/>
        </w:rPr>
        <w:t xml:space="preserve"> باليمين قد سلبه منه باليسار</w:t>
      </w:r>
      <w:r w:rsidR="00AA47ED" w:rsidRPr="00904FCB">
        <w:rPr>
          <w:rFonts w:ascii="Tahoma" w:hAnsi="Tahoma" w:hint="cs"/>
          <w:sz w:val="27"/>
          <w:rtl/>
          <w:lang w:bidi="fa-IR"/>
        </w:rPr>
        <w:t>،</w:t>
      </w:r>
      <w:r w:rsidRPr="00904FCB">
        <w:rPr>
          <w:rFonts w:ascii="Tahoma" w:hAnsi="Tahoma"/>
          <w:sz w:val="27"/>
          <w:rtl/>
          <w:lang w:bidi="fa-IR"/>
        </w:rPr>
        <w:t xml:space="preserve"> عندما اعتبره فن</w:t>
      </w:r>
      <w:r w:rsidR="00AA47ED" w:rsidRPr="00904FCB">
        <w:rPr>
          <w:rFonts w:ascii="Tahoma" w:hAnsi="Tahoma" w:hint="cs"/>
          <w:sz w:val="27"/>
          <w:rtl/>
          <w:lang w:bidi="fa-IR"/>
        </w:rPr>
        <w:t>ّ</w:t>
      </w:r>
      <w:r w:rsidRPr="00904FCB">
        <w:rPr>
          <w:rFonts w:ascii="Tahoma" w:hAnsi="Tahoma"/>
          <w:sz w:val="27"/>
          <w:rtl/>
          <w:lang w:bidi="fa-IR"/>
        </w:rPr>
        <w:t>ا</w:t>
      </w:r>
      <w:r w:rsidR="00AA47ED" w:rsidRPr="00904FCB">
        <w:rPr>
          <w:rFonts w:ascii="Tahoma" w:hAnsi="Tahoma" w:hint="cs"/>
          <w:sz w:val="27"/>
          <w:rtl/>
          <w:lang w:bidi="fa-IR"/>
        </w:rPr>
        <w:t>ً</w:t>
      </w:r>
      <w:r w:rsidRPr="00904FCB">
        <w:rPr>
          <w:rFonts w:ascii="Tahoma" w:hAnsi="Tahoma"/>
          <w:sz w:val="27"/>
          <w:rtl/>
          <w:lang w:bidi="fa-IR"/>
        </w:rPr>
        <w:t xml:space="preserve"> لا علما</w:t>
      </w:r>
      <w:r w:rsidR="00AA47ED" w:rsidRPr="00904FCB">
        <w:rPr>
          <w:rFonts w:ascii="Tahoma" w:hAnsi="Tahoma" w:hint="cs"/>
          <w:sz w:val="27"/>
          <w:rtl/>
          <w:lang w:bidi="fa-IR"/>
        </w:rPr>
        <w:t>ً.</w:t>
      </w:r>
      <w:r w:rsidRPr="00904FCB">
        <w:rPr>
          <w:rFonts w:ascii="Tahoma" w:hAnsi="Tahoma"/>
          <w:sz w:val="27"/>
          <w:rtl/>
          <w:lang w:bidi="fa-IR"/>
        </w:rPr>
        <w:t xml:space="preserve"> وكما يقول أستاذنا الدكتور عبد المنعم البدر</w:t>
      </w:r>
      <w:r w:rsidR="00FE2878">
        <w:rPr>
          <w:rFonts w:ascii="Tahoma" w:hAnsi="Tahoma" w:hint="cs"/>
          <w:sz w:val="27"/>
          <w:rtl/>
          <w:lang w:bidi="fa-IR"/>
        </w:rPr>
        <w:t>ا</w:t>
      </w:r>
      <w:r w:rsidRPr="00904FCB">
        <w:rPr>
          <w:rFonts w:ascii="Tahoma" w:hAnsi="Tahoma"/>
          <w:sz w:val="27"/>
          <w:rtl/>
          <w:lang w:bidi="fa-IR"/>
        </w:rPr>
        <w:t>وي</w:t>
      </w:r>
      <w:r w:rsidR="00AA47ED" w:rsidRPr="00904FCB">
        <w:rPr>
          <w:rFonts w:ascii="Tahoma" w:hAnsi="Tahoma" w:hint="cs"/>
          <w:sz w:val="27"/>
          <w:rtl/>
          <w:lang w:bidi="fa-IR"/>
        </w:rPr>
        <w:t>:</w:t>
      </w:r>
      <w:r w:rsidRPr="00904FCB">
        <w:rPr>
          <w:rFonts w:ascii="Tahoma" w:hAnsi="Tahoma"/>
          <w:sz w:val="27"/>
          <w:rtl/>
          <w:lang w:bidi="fa-IR"/>
        </w:rPr>
        <w:t xml:space="preserve"> إن الكثير من الشر</w:t>
      </w:r>
      <w:r w:rsidR="00AA47ED" w:rsidRPr="00904FCB">
        <w:rPr>
          <w:rFonts w:ascii="Tahoma" w:hAnsi="Tahoma" w:hint="cs"/>
          <w:sz w:val="27"/>
          <w:rtl/>
          <w:lang w:bidi="fa-IR"/>
        </w:rPr>
        <w:t>ّ</w:t>
      </w:r>
      <w:r w:rsidRPr="00904FCB">
        <w:rPr>
          <w:rFonts w:ascii="Tahoma" w:hAnsi="Tahoma"/>
          <w:sz w:val="27"/>
          <w:rtl/>
          <w:lang w:bidi="fa-IR"/>
        </w:rPr>
        <w:t xml:space="preserve">اح ينتقدون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Pr="00904FCB">
        <w:rPr>
          <w:rFonts w:ascii="Tahoma" w:hAnsi="Tahoma"/>
          <w:sz w:val="27"/>
          <w:rtl/>
          <w:lang w:bidi="fa-IR"/>
        </w:rPr>
        <w:t xml:space="preserve"> في هذا الخصوص، ويعتبرون ما أسماه </w:t>
      </w:r>
      <w:r w:rsidRPr="00904FCB">
        <w:rPr>
          <w:rFonts w:hint="eastAsia"/>
          <w:sz w:val="27"/>
          <w:rtl/>
          <w:lang w:bidi="fa-IR"/>
        </w:rPr>
        <w:t>«</w:t>
      </w:r>
      <w:r w:rsidRPr="00904FCB">
        <w:rPr>
          <w:rFonts w:ascii="Tahoma" w:hAnsi="Tahoma"/>
          <w:sz w:val="27"/>
          <w:rtl/>
          <w:lang w:bidi="fa-IR"/>
        </w:rPr>
        <w:t>التشريع المقارن</w:t>
      </w:r>
      <w:r w:rsidRPr="00904FCB">
        <w:rPr>
          <w:rFonts w:hint="eastAsia"/>
          <w:sz w:val="27"/>
          <w:rtl/>
        </w:rPr>
        <w:t>»</w:t>
      </w:r>
      <w:r w:rsidRPr="00904FCB">
        <w:rPr>
          <w:rFonts w:ascii="Tahoma" w:hAnsi="Tahoma"/>
          <w:sz w:val="27"/>
          <w:rtl/>
          <w:lang w:bidi="fa-IR"/>
        </w:rPr>
        <w:t xml:space="preserve"> علما</w:t>
      </w:r>
      <w:r w:rsidR="00AA47ED" w:rsidRPr="00904FCB">
        <w:rPr>
          <w:rFonts w:ascii="Tahoma" w:hAnsi="Tahoma" w:hint="cs"/>
          <w:sz w:val="27"/>
          <w:rtl/>
          <w:lang w:bidi="fa-IR"/>
        </w:rPr>
        <w:t>ً،</w:t>
      </w:r>
      <w:r w:rsidRPr="00904FCB">
        <w:rPr>
          <w:rFonts w:ascii="Tahoma" w:hAnsi="Tahoma"/>
          <w:sz w:val="27"/>
          <w:rtl/>
          <w:lang w:bidi="fa-IR"/>
        </w:rPr>
        <w:t xml:space="preserve"> وليس مجر</w:t>
      </w:r>
      <w:r w:rsidR="00AA47ED" w:rsidRPr="00904FCB">
        <w:rPr>
          <w:rFonts w:ascii="Tahoma" w:hAnsi="Tahoma" w:hint="cs"/>
          <w:sz w:val="27"/>
          <w:rtl/>
          <w:lang w:bidi="fa-IR"/>
        </w:rPr>
        <w:t>ّ</w:t>
      </w:r>
      <w:r w:rsidRPr="00904FCB">
        <w:rPr>
          <w:rFonts w:ascii="Tahoma" w:hAnsi="Tahoma"/>
          <w:sz w:val="27"/>
          <w:rtl/>
          <w:lang w:bidi="fa-IR"/>
        </w:rPr>
        <w:t>د فن</w:t>
      </w:r>
      <w:r w:rsidR="00AA47ED" w:rsidRPr="00904FCB">
        <w:rPr>
          <w:rFonts w:ascii="Tahoma" w:hAnsi="Tahoma" w:hint="cs"/>
          <w:sz w:val="27"/>
          <w:rtl/>
          <w:lang w:bidi="fa-IR"/>
        </w:rPr>
        <w:t>ّ؛</w:t>
      </w:r>
      <w:r w:rsidRPr="00904FCB">
        <w:rPr>
          <w:rFonts w:ascii="Tahoma" w:hAnsi="Tahoma"/>
          <w:sz w:val="27"/>
          <w:rtl/>
          <w:lang w:bidi="fa-IR"/>
        </w:rPr>
        <w:t xml:space="preserve"> ذلك أن لامبير لم ينظر إلى القانون المقارن إلا</w:t>
      </w:r>
      <w:r w:rsidR="00AA47ED" w:rsidRPr="00904FCB">
        <w:rPr>
          <w:rFonts w:ascii="Tahoma" w:hAnsi="Tahoma" w:hint="cs"/>
          <w:sz w:val="27"/>
          <w:rtl/>
          <w:lang w:bidi="fa-IR"/>
        </w:rPr>
        <w:t>ّ</w:t>
      </w:r>
      <w:r w:rsidRPr="00904FCB">
        <w:rPr>
          <w:rFonts w:ascii="Tahoma" w:hAnsi="Tahoma"/>
          <w:sz w:val="27"/>
          <w:rtl/>
          <w:lang w:bidi="fa-IR"/>
        </w:rPr>
        <w:t xml:space="preserve"> من زاوية واحدة</w:t>
      </w:r>
      <w:r w:rsidR="00AA47ED" w:rsidRPr="00904FCB">
        <w:rPr>
          <w:rFonts w:ascii="Tahoma" w:hAnsi="Tahoma" w:hint="cs"/>
          <w:sz w:val="27"/>
          <w:rtl/>
          <w:lang w:bidi="fa-IR"/>
        </w:rPr>
        <w:t>،</w:t>
      </w:r>
      <w:r w:rsidRPr="00904FCB">
        <w:rPr>
          <w:rFonts w:ascii="Tahoma" w:hAnsi="Tahoma"/>
          <w:sz w:val="27"/>
          <w:rtl/>
          <w:lang w:bidi="fa-IR"/>
        </w:rPr>
        <w:t xml:space="preserve"> وهي إمكان تطبيق الحقائق التي تستفاد منه، ولم ينظر إليه من حيث الحقائق القانونية التي تستخلص عن طريق المقارنة</w:t>
      </w:r>
      <w:r w:rsidR="00AA47ED" w:rsidRPr="00904FCB">
        <w:rPr>
          <w:rFonts w:ascii="Tahoma" w:hAnsi="Tahoma" w:hint="cs"/>
          <w:sz w:val="27"/>
          <w:rtl/>
          <w:lang w:bidi="fa-IR"/>
        </w:rPr>
        <w:t>.</w:t>
      </w:r>
      <w:r w:rsidRPr="00904FCB">
        <w:rPr>
          <w:rFonts w:ascii="Tahoma" w:hAnsi="Tahoma"/>
          <w:sz w:val="27"/>
          <w:rtl/>
          <w:lang w:bidi="fa-IR"/>
        </w:rPr>
        <w:t xml:space="preserve"> ويبدو أن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Pr="00904FCB">
        <w:rPr>
          <w:rFonts w:ascii="Tahoma" w:hAnsi="Tahoma"/>
          <w:sz w:val="27"/>
          <w:rtl/>
          <w:lang w:bidi="fa-IR"/>
        </w:rPr>
        <w:t xml:space="preserve"> يقصد بالفن</w:t>
      </w:r>
      <w:r w:rsidR="00AA47ED" w:rsidRPr="00904FCB">
        <w:rPr>
          <w:rFonts w:ascii="Tahoma" w:hAnsi="Tahoma" w:hint="cs"/>
          <w:sz w:val="27"/>
          <w:rtl/>
          <w:lang w:bidi="fa-IR"/>
        </w:rPr>
        <w:t>ّ</w:t>
      </w:r>
      <w:r w:rsidRPr="00904FCB">
        <w:rPr>
          <w:rFonts w:ascii="Tahoma" w:hAnsi="Tahoma"/>
          <w:sz w:val="27"/>
          <w:rtl/>
          <w:lang w:bidi="fa-IR"/>
        </w:rPr>
        <w:t xml:space="preserve"> الصياغة أو الصنعة، والقانون المقارن قبل أن يكون صياغة</w:t>
      </w:r>
      <w:r w:rsidR="00AA47ED" w:rsidRPr="00904FCB">
        <w:rPr>
          <w:rFonts w:ascii="Tahoma" w:hAnsi="Tahoma" w:hint="cs"/>
          <w:sz w:val="27"/>
          <w:rtl/>
          <w:lang w:bidi="fa-IR"/>
        </w:rPr>
        <w:t>ً</w:t>
      </w:r>
      <w:r w:rsidRPr="00904FCB">
        <w:rPr>
          <w:rFonts w:ascii="Tahoma" w:hAnsi="Tahoma"/>
          <w:sz w:val="27"/>
          <w:rtl/>
          <w:lang w:bidi="fa-IR"/>
        </w:rPr>
        <w:t xml:space="preserve"> وصنعة فهو علم</w:t>
      </w:r>
      <w:r w:rsidR="00AA47ED" w:rsidRPr="00904FCB">
        <w:rPr>
          <w:rFonts w:ascii="Tahoma" w:hAnsi="Tahoma" w:hint="cs"/>
          <w:sz w:val="27"/>
          <w:rtl/>
          <w:lang w:bidi="fa-IR"/>
        </w:rPr>
        <w:t>ٌ</w:t>
      </w:r>
      <w:r w:rsidRPr="00904FCB">
        <w:rPr>
          <w:rFonts w:ascii="Tahoma" w:hAnsi="Tahoma"/>
          <w:sz w:val="27"/>
          <w:rtl/>
          <w:lang w:bidi="fa-IR"/>
        </w:rPr>
        <w:t xml:space="preserve"> غايته البحث عن الحقيقة.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والرأي عندي أن هذه </w:t>
      </w:r>
      <w:r w:rsidRPr="00904FCB">
        <w:rPr>
          <w:rFonts w:hint="eastAsia"/>
          <w:sz w:val="27"/>
          <w:rtl/>
          <w:lang w:bidi="fa-IR"/>
        </w:rPr>
        <w:t>«</w:t>
      </w:r>
      <w:r w:rsidRPr="00904FCB">
        <w:rPr>
          <w:rFonts w:ascii="Tahoma" w:hAnsi="Tahoma"/>
          <w:sz w:val="27"/>
          <w:rtl/>
          <w:lang w:bidi="fa-IR"/>
        </w:rPr>
        <w:t>التجزئة</w:t>
      </w:r>
      <w:r w:rsidRPr="00904FCB">
        <w:rPr>
          <w:rFonts w:hint="eastAsia"/>
          <w:sz w:val="27"/>
          <w:rtl/>
        </w:rPr>
        <w:t>»</w:t>
      </w:r>
      <w:r w:rsidRPr="00904FCB">
        <w:rPr>
          <w:rFonts w:ascii="Tahoma" w:hAnsi="Tahoma"/>
          <w:sz w:val="27"/>
          <w:rtl/>
          <w:lang w:bidi="fa-IR"/>
        </w:rPr>
        <w:t xml:space="preserve"> من جانب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Pr="00904FCB">
        <w:rPr>
          <w:rFonts w:ascii="Tahoma" w:hAnsi="Tahoma"/>
          <w:sz w:val="27"/>
          <w:rtl/>
          <w:lang w:bidi="fa-IR"/>
        </w:rPr>
        <w:t xml:space="preserve"> للقانون المقارن أفسدت صياغته النظرية</w:t>
      </w:r>
      <w:r w:rsidR="00AA47ED" w:rsidRPr="00904FCB">
        <w:rPr>
          <w:rFonts w:ascii="Tahoma" w:hAnsi="Tahoma" w:hint="cs"/>
          <w:sz w:val="27"/>
          <w:rtl/>
          <w:lang w:bidi="fa-IR"/>
        </w:rPr>
        <w:t>.</w:t>
      </w:r>
      <w:r w:rsidRPr="00904FCB">
        <w:rPr>
          <w:rFonts w:ascii="Tahoma" w:hAnsi="Tahoma"/>
          <w:sz w:val="27"/>
          <w:rtl/>
          <w:lang w:bidi="fa-IR"/>
        </w:rPr>
        <w:t xml:space="preserve"> وكان الفقيه الألماني </w:t>
      </w:r>
      <w:r w:rsidRPr="00904FCB">
        <w:rPr>
          <w:rFonts w:hint="eastAsia"/>
          <w:sz w:val="27"/>
          <w:rtl/>
          <w:lang w:bidi="fa-IR"/>
        </w:rPr>
        <w:t>«</w:t>
      </w:r>
      <w:r w:rsidRPr="00904FCB">
        <w:rPr>
          <w:rFonts w:ascii="Tahoma" w:hAnsi="Tahoma"/>
          <w:sz w:val="27"/>
          <w:rtl/>
          <w:lang w:bidi="fa-IR"/>
        </w:rPr>
        <w:t>جوزيف كوهلر</w:t>
      </w:r>
      <w:r w:rsidRPr="00904FCB">
        <w:rPr>
          <w:rFonts w:hint="eastAsia"/>
          <w:sz w:val="27"/>
          <w:rtl/>
        </w:rPr>
        <w:t>»</w:t>
      </w:r>
      <w:r w:rsidRPr="00904FCB">
        <w:rPr>
          <w:rFonts w:ascii="Tahoma" w:hAnsi="Tahoma"/>
          <w:sz w:val="27"/>
          <w:rtl/>
          <w:lang w:bidi="fa-IR"/>
        </w:rPr>
        <w:t xml:space="preserve"> محق</w:t>
      </w:r>
      <w:r w:rsidR="00AA47ED" w:rsidRPr="00904FCB">
        <w:rPr>
          <w:rFonts w:ascii="Tahoma" w:hAnsi="Tahoma" w:hint="cs"/>
          <w:sz w:val="27"/>
          <w:rtl/>
          <w:lang w:bidi="fa-IR"/>
        </w:rPr>
        <w:t>ّ</w:t>
      </w:r>
      <w:r w:rsidRPr="00904FCB">
        <w:rPr>
          <w:rFonts w:ascii="Tahoma" w:hAnsi="Tahoma"/>
          <w:sz w:val="27"/>
          <w:rtl/>
          <w:lang w:bidi="fa-IR"/>
        </w:rPr>
        <w:t>ا</w:t>
      </w:r>
      <w:r w:rsidR="00AA47ED" w:rsidRPr="00904FCB">
        <w:rPr>
          <w:rFonts w:ascii="Tahoma" w:hAnsi="Tahoma" w:hint="cs"/>
          <w:sz w:val="27"/>
          <w:rtl/>
          <w:lang w:bidi="fa-IR"/>
        </w:rPr>
        <w:t>ً</w:t>
      </w:r>
      <w:r w:rsidRPr="00904FCB">
        <w:rPr>
          <w:rFonts w:ascii="Tahoma" w:hAnsi="Tahoma"/>
          <w:sz w:val="27"/>
          <w:rtl/>
          <w:lang w:bidi="fa-IR"/>
        </w:rPr>
        <w:t xml:space="preserve"> في رفضه هذا التقسيم</w:t>
      </w:r>
      <w:r w:rsidR="00AA47ED" w:rsidRPr="00904FCB">
        <w:rPr>
          <w:rFonts w:ascii="Tahoma" w:hAnsi="Tahoma" w:hint="cs"/>
          <w:sz w:val="27"/>
          <w:rtl/>
          <w:lang w:bidi="fa-IR"/>
        </w:rPr>
        <w:t>؛</w:t>
      </w:r>
      <w:r w:rsidRPr="00904FCB">
        <w:rPr>
          <w:rFonts w:ascii="Tahoma" w:hAnsi="Tahoma"/>
          <w:sz w:val="27"/>
          <w:rtl/>
          <w:lang w:bidi="fa-IR"/>
        </w:rPr>
        <w:t xml:space="preserve"> لسبب</w:t>
      </w:r>
      <w:r w:rsidR="00AA47ED" w:rsidRPr="00904FCB">
        <w:rPr>
          <w:rFonts w:ascii="Tahoma" w:hAnsi="Tahoma" w:hint="cs"/>
          <w:sz w:val="27"/>
          <w:rtl/>
          <w:lang w:bidi="fa-IR"/>
        </w:rPr>
        <w:t>ٍ</w:t>
      </w:r>
      <w:r w:rsidRPr="00904FCB">
        <w:rPr>
          <w:rFonts w:ascii="Tahoma" w:hAnsi="Tahoma"/>
          <w:sz w:val="27"/>
          <w:rtl/>
          <w:lang w:bidi="fa-IR"/>
        </w:rPr>
        <w:t xml:space="preserve"> علمي</w:t>
      </w:r>
      <w:r w:rsidR="00AA47ED" w:rsidRPr="00904FCB">
        <w:rPr>
          <w:rFonts w:ascii="Tahoma" w:hAnsi="Tahoma" w:hint="cs"/>
          <w:sz w:val="27"/>
          <w:rtl/>
          <w:lang w:bidi="fa-IR"/>
        </w:rPr>
        <w:t>،</w:t>
      </w:r>
      <w:r w:rsidRPr="00904FCB">
        <w:rPr>
          <w:rFonts w:ascii="Tahoma" w:hAnsi="Tahoma"/>
          <w:sz w:val="27"/>
          <w:rtl/>
          <w:lang w:bidi="fa-IR"/>
        </w:rPr>
        <w:t xml:space="preserve"> وآخر واقعي</w:t>
      </w:r>
      <w:r w:rsidR="00AA47ED" w:rsidRPr="00904FCB">
        <w:rPr>
          <w:rFonts w:ascii="Tahoma" w:hAnsi="Tahoma" w:hint="cs"/>
          <w:sz w:val="27"/>
          <w:rtl/>
          <w:lang w:bidi="fa-IR"/>
        </w:rPr>
        <w:t>.</w:t>
      </w:r>
      <w:r w:rsidRPr="00904FCB">
        <w:rPr>
          <w:rFonts w:ascii="Tahoma" w:hAnsi="Tahoma"/>
          <w:sz w:val="27"/>
          <w:rtl/>
          <w:lang w:bidi="fa-IR"/>
        </w:rPr>
        <w:t xml:space="preserve"> أما السبب العلمي فمحوره اختلاط القانون المقارن اختلاطا</w:t>
      </w:r>
      <w:r w:rsidR="00AA47ED" w:rsidRPr="00904FCB">
        <w:rPr>
          <w:rFonts w:ascii="Tahoma" w:hAnsi="Tahoma" w:hint="cs"/>
          <w:sz w:val="27"/>
          <w:rtl/>
          <w:lang w:bidi="fa-IR"/>
        </w:rPr>
        <w:t>ً</w:t>
      </w:r>
      <w:r w:rsidRPr="00904FCB">
        <w:rPr>
          <w:rFonts w:ascii="Tahoma" w:hAnsi="Tahoma"/>
          <w:sz w:val="27"/>
          <w:rtl/>
          <w:lang w:bidi="fa-IR"/>
        </w:rPr>
        <w:t xml:space="preserve"> تام</w:t>
      </w:r>
      <w:r w:rsidR="00AA47ED" w:rsidRPr="00904FCB">
        <w:rPr>
          <w:rFonts w:ascii="Tahoma" w:hAnsi="Tahoma" w:hint="cs"/>
          <w:sz w:val="27"/>
          <w:rtl/>
          <w:lang w:bidi="fa-IR"/>
        </w:rPr>
        <w:t>ّ</w:t>
      </w:r>
      <w:r w:rsidRPr="00904FCB">
        <w:rPr>
          <w:rFonts w:ascii="Tahoma" w:hAnsi="Tahoma"/>
          <w:sz w:val="27"/>
          <w:rtl/>
          <w:lang w:bidi="fa-IR"/>
        </w:rPr>
        <w:t>ا</w:t>
      </w:r>
      <w:r w:rsidR="00AA47ED" w:rsidRPr="00904FCB">
        <w:rPr>
          <w:rFonts w:ascii="Tahoma" w:hAnsi="Tahoma" w:hint="cs"/>
          <w:sz w:val="27"/>
          <w:rtl/>
          <w:lang w:bidi="fa-IR"/>
        </w:rPr>
        <w:t>ً</w:t>
      </w:r>
      <w:r w:rsidRPr="00904FCB">
        <w:rPr>
          <w:rFonts w:ascii="Tahoma" w:hAnsi="Tahoma"/>
          <w:sz w:val="27"/>
          <w:rtl/>
          <w:lang w:bidi="fa-IR"/>
        </w:rPr>
        <w:t xml:space="preserve"> بالتاريخ العام الشامل للقانون، وهو تداخل</w:t>
      </w:r>
      <w:r w:rsidR="00AA47ED" w:rsidRPr="00904FCB">
        <w:rPr>
          <w:rFonts w:ascii="Tahoma" w:hAnsi="Tahoma" w:hint="cs"/>
          <w:sz w:val="27"/>
          <w:rtl/>
          <w:lang w:bidi="fa-IR"/>
        </w:rPr>
        <w:t>ٌ</w:t>
      </w:r>
      <w:r w:rsidRPr="00904FCB">
        <w:rPr>
          <w:rFonts w:ascii="Tahoma" w:hAnsi="Tahoma"/>
          <w:sz w:val="27"/>
          <w:rtl/>
          <w:lang w:bidi="fa-IR"/>
        </w:rPr>
        <w:t xml:space="preserve"> يحول دون نشأة تناسق معرفي في ب</w:t>
      </w:r>
      <w:r w:rsidR="00AA47ED" w:rsidRPr="00904FCB">
        <w:rPr>
          <w:rFonts w:ascii="Tahoma" w:hAnsi="Tahoma" w:hint="cs"/>
          <w:sz w:val="27"/>
          <w:rtl/>
          <w:lang w:bidi="fa-IR"/>
        </w:rPr>
        <w:t>ِ</w:t>
      </w:r>
      <w:r w:rsidRPr="00904FCB">
        <w:rPr>
          <w:rFonts w:ascii="Tahoma" w:hAnsi="Tahoma"/>
          <w:sz w:val="27"/>
          <w:rtl/>
          <w:lang w:bidi="fa-IR"/>
        </w:rPr>
        <w:t>ن</w:t>
      </w:r>
      <w:r w:rsidR="00AA47ED" w:rsidRPr="00904FCB">
        <w:rPr>
          <w:rFonts w:ascii="Tahoma" w:hAnsi="Tahoma" w:hint="cs"/>
          <w:sz w:val="27"/>
          <w:rtl/>
          <w:lang w:bidi="fa-IR"/>
        </w:rPr>
        <w:t>ْ</w:t>
      </w:r>
      <w:r w:rsidRPr="00904FCB">
        <w:rPr>
          <w:rFonts w:ascii="Tahoma" w:hAnsi="Tahoma"/>
          <w:sz w:val="27"/>
          <w:rtl/>
          <w:lang w:bidi="fa-IR"/>
        </w:rPr>
        <w:t>ية العلم، مم</w:t>
      </w:r>
      <w:r w:rsidR="00AA47ED" w:rsidRPr="00904FCB">
        <w:rPr>
          <w:rFonts w:ascii="Tahoma" w:hAnsi="Tahoma" w:hint="cs"/>
          <w:sz w:val="27"/>
          <w:rtl/>
          <w:lang w:bidi="fa-IR"/>
        </w:rPr>
        <w:t>ّ</w:t>
      </w:r>
      <w:r w:rsidRPr="00904FCB">
        <w:rPr>
          <w:rFonts w:ascii="Tahoma" w:hAnsi="Tahoma"/>
          <w:sz w:val="27"/>
          <w:rtl/>
          <w:lang w:bidi="fa-IR"/>
        </w:rPr>
        <w:t xml:space="preserve">ا يصعب قواعد فهمه ودرسه. </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w:t>
      </w:r>
      <w:r w:rsidR="00AA47ED" w:rsidRPr="00904FCB">
        <w:rPr>
          <w:rFonts w:ascii="Tahoma" w:hAnsi="Tahoma" w:hint="cs"/>
          <w:sz w:val="27"/>
          <w:rtl/>
          <w:lang w:bidi="fa-IR"/>
        </w:rPr>
        <w:t>أمّا ال</w:t>
      </w:r>
      <w:r w:rsidRPr="00904FCB">
        <w:rPr>
          <w:rFonts w:ascii="Tahoma" w:hAnsi="Tahoma"/>
          <w:sz w:val="27"/>
          <w:rtl/>
          <w:lang w:bidi="fa-IR"/>
        </w:rPr>
        <w:t xml:space="preserve">سبب </w:t>
      </w:r>
      <w:r w:rsidR="00AA47ED" w:rsidRPr="00904FCB">
        <w:rPr>
          <w:rFonts w:ascii="Tahoma" w:hAnsi="Tahoma" w:hint="cs"/>
          <w:sz w:val="27"/>
          <w:rtl/>
          <w:lang w:bidi="fa-IR"/>
        </w:rPr>
        <w:t>ال</w:t>
      </w:r>
      <w:r w:rsidRPr="00904FCB">
        <w:rPr>
          <w:rFonts w:ascii="Tahoma" w:hAnsi="Tahoma"/>
          <w:sz w:val="27"/>
          <w:rtl/>
          <w:lang w:bidi="fa-IR"/>
        </w:rPr>
        <w:t xml:space="preserve">واقعي </w:t>
      </w:r>
      <w:r w:rsidR="00AA47ED" w:rsidRPr="00904FCB">
        <w:rPr>
          <w:rFonts w:ascii="Tahoma" w:hAnsi="Tahoma" w:hint="cs"/>
          <w:sz w:val="27"/>
          <w:rtl/>
          <w:lang w:bidi="fa-IR"/>
        </w:rPr>
        <w:t>ف</w:t>
      </w:r>
      <w:r w:rsidRPr="00904FCB">
        <w:rPr>
          <w:rFonts w:ascii="Tahoma" w:hAnsi="Tahoma"/>
          <w:sz w:val="27"/>
          <w:rtl/>
          <w:lang w:bidi="fa-IR"/>
        </w:rPr>
        <w:t>محوره أن العناصر اللازمة لدراسة هذا التاريخ الشامل في جميع العصور والأقوام أمر</w:t>
      </w:r>
      <w:r w:rsidR="00AA47ED" w:rsidRPr="00904FCB">
        <w:rPr>
          <w:rFonts w:ascii="Tahoma" w:hAnsi="Tahoma" w:hint="cs"/>
          <w:sz w:val="27"/>
          <w:rtl/>
          <w:lang w:bidi="fa-IR"/>
        </w:rPr>
        <w:t>ٌ</w:t>
      </w:r>
      <w:r w:rsidRPr="00904FCB">
        <w:rPr>
          <w:rFonts w:ascii="Tahoma" w:hAnsi="Tahoma"/>
          <w:sz w:val="27"/>
          <w:rtl/>
          <w:lang w:bidi="fa-IR"/>
        </w:rPr>
        <w:t xml:space="preserve"> متعذ</w:t>
      </w:r>
      <w:r w:rsidR="00AA47ED" w:rsidRPr="00904FCB">
        <w:rPr>
          <w:rFonts w:ascii="Tahoma" w:hAnsi="Tahoma" w:hint="cs"/>
          <w:sz w:val="27"/>
          <w:rtl/>
          <w:lang w:bidi="fa-IR"/>
        </w:rPr>
        <w:t>ِّ</w:t>
      </w:r>
      <w:r w:rsidRPr="00904FCB">
        <w:rPr>
          <w:rFonts w:ascii="Tahoma" w:hAnsi="Tahoma"/>
          <w:sz w:val="27"/>
          <w:rtl/>
          <w:lang w:bidi="fa-IR"/>
        </w:rPr>
        <w:t>ر</w:t>
      </w:r>
      <w:r w:rsidR="00AA47ED" w:rsidRPr="00904FCB">
        <w:rPr>
          <w:rFonts w:ascii="Tahoma" w:hAnsi="Tahoma"/>
          <w:sz w:val="27"/>
          <w:rtl/>
          <w:lang w:bidi="fa-IR"/>
        </w:rPr>
        <w:t>...</w:t>
      </w:r>
      <w:r w:rsidRPr="00904FCB">
        <w:rPr>
          <w:rFonts w:ascii="Tahoma" w:hAnsi="Tahoma"/>
          <w:sz w:val="27"/>
          <w:rtl/>
          <w:lang w:bidi="fa-IR"/>
        </w:rPr>
        <w:t>، وينبغي لكتابة مثل هذا التاريخ العام</w:t>
      </w:r>
      <w:r w:rsidR="00AA47ED" w:rsidRPr="00904FCB">
        <w:rPr>
          <w:rFonts w:ascii="Tahoma" w:hAnsi="Tahoma" w:hint="cs"/>
          <w:sz w:val="27"/>
          <w:rtl/>
          <w:lang w:bidi="fa-IR"/>
        </w:rPr>
        <w:t>ّ</w:t>
      </w:r>
      <w:r w:rsidRPr="00904FCB">
        <w:rPr>
          <w:rFonts w:ascii="Tahoma" w:hAnsi="Tahoma"/>
          <w:sz w:val="27"/>
          <w:rtl/>
          <w:lang w:bidi="fa-IR"/>
        </w:rPr>
        <w:t xml:space="preserve"> تدوين تاريخ خاص</w:t>
      </w:r>
      <w:r w:rsidR="00AA47ED" w:rsidRPr="00904FCB">
        <w:rPr>
          <w:rFonts w:ascii="Tahoma" w:hAnsi="Tahoma" w:hint="cs"/>
          <w:sz w:val="27"/>
          <w:rtl/>
          <w:lang w:bidi="fa-IR"/>
        </w:rPr>
        <w:t>ّ</w:t>
      </w:r>
      <w:r w:rsidRPr="00904FCB">
        <w:rPr>
          <w:rFonts w:ascii="Tahoma" w:hAnsi="Tahoma"/>
          <w:sz w:val="27"/>
          <w:rtl/>
          <w:lang w:bidi="fa-IR"/>
        </w:rPr>
        <w:t xml:space="preserve"> بكل</w:t>
      </w:r>
      <w:r w:rsidR="00AA47ED" w:rsidRPr="00904FCB">
        <w:rPr>
          <w:rFonts w:ascii="Tahoma" w:hAnsi="Tahoma" w:hint="cs"/>
          <w:sz w:val="27"/>
          <w:rtl/>
          <w:lang w:bidi="fa-IR"/>
        </w:rPr>
        <w:t>ّ</w:t>
      </w:r>
      <w:r w:rsidRPr="00904FCB">
        <w:rPr>
          <w:rFonts w:ascii="Tahoma" w:hAnsi="Tahoma"/>
          <w:sz w:val="27"/>
          <w:rtl/>
          <w:lang w:bidi="fa-IR"/>
        </w:rPr>
        <w:t xml:space="preserve"> قانون، تمهيدا</w:t>
      </w:r>
      <w:r w:rsidR="00AA47ED" w:rsidRPr="00904FCB">
        <w:rPr>
          <w:rFonts w:ascii="Tahoma" w:hAnsi="Tahoma" w:hint="cs"/>
          <w:sz w:val="27"/>
          <w:rtl/>
          <w:lang w:bidi="fa-IR"/>
        </w:rPr>
        <w:t>ً</w:t>
      </w:r>
      <w:r w:rsidRPr="00904FCB">
        <w:rPr>
          <w:rFonts w:ascii="Tahoma" w:hAnsi="Tahoma"/>
          <w:sz w:val="27"/>
          <w:rtl/>
          <w:lang w:bidi="fa-IR"/>
        </w:rPr>
        <w:t xml:space="preserve"> لذلك التاريخ العام</w:t>
      </w:r>
      <w:r w:rsidR="00AA47ED" w:rsidRPr="00904FCB">
        <w:rPr>
          <w:rFonts w:ascii="Tahoma" w:hAnsi="Tahoma" w:hint="cs"/>
          <w:sz w:val="27"/>
          <w:rtl/>
          <w:lang w:bidi="fa-IR"/>
        </w:rPr>
        <w:t>ّ،</w:t>
      </w:r>
      <w:r w:rsidRPr="00904FCB">
        <w:rPr>
          <w:rFonts w:ascii="Tahoma" w:hAnsi="Tahoma"/>
          <w:sz w:val="27"/>
          <w:rtl/>
          <w:lang w:bidi="fa-IR"/>
        </w:rPr>
        <w:t xml:space="preserve"> وهو أمر يكاد يكون متعذ</w:t>
      </w:r>
      <w:r w:rsidR="00AA47ED" w:rsidRPr="00904FCB">
        <w:rPr>
          <w:rFonts w:ascii="Tahoma" w:hAnsi="Tahoma" w:hint="cs"/>
          <w:sz w:val="27"/>
          <w:rtl/>
          <w:lang w:bidi="fa-IR"/>
        </w:rPr>
        <w:t>ِّ</w:t>
      </w:r>
      <w:r w:rsidRPr="00904FCB">
        <w:rPr>
          <w:rFonts w:ascii="Tahoma" w:hAnsi="Tahoma"/>
          <w:sz w:val="27"/>
          <w:rtl/>
          <w:lang w:bidi="fa-IR"/>
        </w:rPr>
        <w:t>را</w:t>
      </w:r>
      <w:r w:rsidR="00AA47ED" w:rsidRPr="00904FCB">
        <w:rPr>
          <w:rFonts w:ascii="Tahoma" w:hAnsi="Tahoma" w:hint="cs"/>
          <w:sz w:val="27"/>
          <w:rtl/>
          <w:lang w:bidi="fa-IR"/>
        </w:rPr>
        <w:t>ً؛</w:t>
      </w:r>
      <w:r w:rsidRPr="00904FCB">
        <w:rPr>
          <w:rFonts w:ascii="Tahoma" w:hAnsi="Tahoma"/>
          <w:sz w:val="27"/>
          <w:rtl/>
          <w:lang w:bidi="fa-IR"/>
        </w:rPr>
        <w:t xml:space="preserve"> لما ذكرناه، ولكون التشريع كثيراً ما يخضع في وضعه وسن</w:t>
      </w:r>
      <w:r w:rsidR="00AA47ED" w:rsidRPr="00904FCB">
        <w:rPr>
          <w:rFonts w:ascii="Tahoma" w:hAnsi="Tahoma" w:hint="cs"/>
          <w:sz w:val="27"/>
          <w:rtl/>
          <w:lang w:bidi="fa-IR"/>
        </w:rPr>
        <w:t>ّ</w:t>
      </w:r>
      <w:r w:rsidRPr="00904FCB">
        <w:rPr>
          <w:rFonts w:ascii="Tahoma" w:hAnsi="Tahoma"/>
          <w:sz w:val="27"/>
          <w:rtl/>
          <w:lang w:bidi="fa-IR"/>
        </w:rPr>
        <w:t xml:space="preserve">ه لعوامل عرضية وللفجاءات والأحداث السياسية.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rtl/>
          <w:lang w:bidi="ar-LB"/>
        </w:rPr>
      </w:pPr>
      <w:r w:rsidRPr="00904FCB">
        <w:rPr>
          <w:color w:val="auto"/>
          <w:lang w:bidi="fa-IR"/>
        </w:rPr>
        <w:t xml:space="preserve"> </w:t>
      </w:r>
      <w:r w:rsidRPr="00904FCB">
        <w:rPr>
          <w:color w:val="auto"/>
          <w:rtl/>
          <w:lang w:bidi="fa-IR"/>
        </w:rPr>
        <w:t>ثانياً</w:t>
      </w:r>
      <w:r w:rsidRPr="00904FCB">
        <w:rPr>
          <w:rFonts w:hint="cs"/>
          <w:color w:val="auto"/>
          <w:rtl/>
          <w:lang w:bidi="fa-IR"/>
        </w:rPr>
        <w:t xml:space="preserve">: </w:t>
      </w:r>
      <w:r w:rsidRPr="00904FCB">
        <w:rPr>
          <w:color w:val="auto"/>
          <w:rtl/>
          <w:lang w:bidi="fa-IR"/>
        </w:rPr>
        <w:t xml:space="preserve">نظرية </w:t>
      </w:r>
      <w:r w:rsidRPr="00904FCB">
        <w:rPr>
          <w:rFonts w:hint="eastAsia"/>
          <w:color w:val="auto"/>
          <w:rtl/>
          <w:lang w:bidi="fa-IR"/>
        </w:rPr>
        <w:t>«</w:t>
      </w:r>
      <w:r w:rsidRPr="00904FCB">
        <w:rPr>
          <w:color w:val="auto"/>
          <w:rtl/>
          <w:lang w:bidi="fa-IR"/>
        </w:rPr>
        <w:t>سالي</w:t>
      </w:r>
      <w:r w:rsidRPr="00904FCB">
        <w:rPr>
          <w:rFonts w:hint="eastAsia"/>
          <w:color w:val="auto"/>
          <w:rtl/>
        </w:rPr>
        <w:t>»</w:t>
      </w:r>
    </w:p>
    <w:p w:rsidR="00644408" w:rsidRPr="00904FCB" w:rsidRDefault="00644408" w:rsidP="007A21AA">
      <w:pPr>
        <w:autoSpaceDE w:val="0"/>
        <w:autoSpaceDN w:val="0"/>
        <w:adjustRightInd w:val="0"/>
        <w:spacing w:line="400" w:lineRule="exact"/>
        <w:rPr>
          <w:rFonts w:ascii="Tahoma" w:hAnsi="Tahoma"/>
          <w:sz w:val="27"/>
          <w:rtl/>
          <w:lang w:bidi="ar-LB"/>
        </w:rPr>
      </w:pPr>
      <w:r w:rsidRPr="00904FCB">
        <w:rPr>
          <w:rFonts w:ascii="Tahoma" w:hAnsi="Tahoma"/>
          <w:sz w:val="27"/>
          <w:rtl/>
          <w:lang w:bidi="fa-IR"/>
        </w:rPr>
        <w:t>عل</w:t>
      </w:r>
      <w:r w:rsidR="00AF14A9" w:rsidRPr="00904FCB">
        <w:rPr>
          <w:rFonts w:ascii="Tahoma" w:hAnsi="Tahoma" w:hint="cs"/>
          <w:sz w:val="27"/>
          <w:rtl/>
          <w:lang w:bidi="fa-IR"/>
        </w:rPr>
        <w:t>ى</w:t>
      </w:r>
      <w:r w:rsidRPr="00904FCB">
        <w:rPr>
          <w:rFonts w:ascii="Tahoma" w:hAnsi="Tahoma"/>
          <w:sz w:val="27"/>
          <w:rtl/>
          <w:lang w:bidi="fa-IR"/>
        </w:rPr>
        <w:t xml:space="preserve"> الرغم من أن جوهر نظرية </w:t>
      </w:r>
      <w:r w:rsidRPr="00904FCB">
        <w:rPr>
          <w:rFonts w:hint="eastAsia"/>
          <w:sz w:val="27"/>
          <w:rtl/>
          <w:lang w:bidi="fa-IR"/>
        </w:rPr>
        <w:t>«</w:t>
      </w:r>
      <w:r w:rsidRPr="00904FCB">
        <w:rPr>
          <w:rFonts w:ascii="Tahoma" w:hAnsi="Tahoma"/>
          <w:sz w:val="27"/>
          <w:rtl/>
          <w:lang w:bidi="fa-IR"/>
        </w:rPr>
        <w:t>سالي</w:t>
      </w:r>
      <w:r w:rsidRPr="00904FCB">
        <w:rPr>
          <w:rFonts w:hint="eastAsia"/>
          <w:sz w:val="27"/>
          <w:rtl/>
        </w:rPr>
        <w:t>»</w:t>
      </w:r>
      <w:r w:rsidRPr="00904FCB">
        <w:rPr>
          <w:rFonts w:ascii="Tahoma" w:hAnsi="Tahoma"/>
          <w:sz w:val="27"/>
          <w:rtl/>
          <w:lang w:bidi="fa-IR"/>
        </w:rPr>
        <w:t xml:space="preserve"> تستهدف توظيف القانون المقارن في </w:t>
      </w:r>
      <w:r w:rsidRPr="00904FCB">
        <w:rPr>
          <w:rFonts w:ascii="Tahoma" w:hAnsi="Tahoma"/>
          <w:sz w:val="27"/>
          <w:rtl/>
          <w:lang w:bidi="fa-IR"/>
        </w:rPr>
        <w:lastRenderedPageBreak/>
        <w:t>تطوير القوانين الوطنية، إلا</w:t>
      </w:r>
      <w:r w:rsidR="00484E86" w:rsidRPr="00904FCB">
        <w:rPr>
          <w:rFonts w:ascii="Tahoma" w:hAnsi="Tahoma" w:hint="cs"/>
          <w:sz w:val="27"/>
          <w:rtl/>
          <w:lang w:bidi="fa-IR"/>
        </w:rPr>
        <w:t>ّ</w:t>
      </w:r>
      <w:r w:rsidRPr="00904FCB">
        <w:rPr>
          <w:rFonts w:ascii="Tahoma" w:hAnsi="Tahoma"/>
          <w:sz w:val="27"/>
          <w:rtl/>
          <w:lang w:bidi="fa-IR"/>
        </w:rPr>
        <w:t xml:space="preserve"> أنه في رحلة البحث عن قواعد قانونية جديدة أصبح حالما</w:t>
      </w:r>
      <w:r w:rsidR="00484E86" w:rsidRPr="00904FCB">
        <w:rPr>
          <w:rFonts w:ascii="Tahoma" w:hAnsi="Tahoma" w:hint="cs"/>
          <w:sz w:val="27"/>
          <w:rtl/>
          <w:lang w:bidi="fa-IR"/>
        </w:rPr>
        <w:t>ً</w:t>
      </w:r>
      <w:r w:rsidRPr="00904FCB">
        <w:rPr>
          <w:rFonts w:ascii="Tahoma" w:hAnsi="Tahoma"/>
          <w:sz w:val="27"/>
          <w:rtl/>
          <w:lang w:bidi="fa-IR"/>
        </w:rPr>
        <w:t xml:space="preserve"> بقانون عالمي يصبح القانون المقارن أداة الوصول إليه، وهو يريده بديلا</w:t>
      </w:r>
      <w:r w:rsidR="00484E86" w:rsidRPr="00904FCB">
        <w:rPr>
          <w:rFonts w:ascii="Tahoma" w:hAnsi="Tahoma" w:hint="cs"/>
          <w:sz w:val="27"/>
          <w:rtl/>
          <w:lang w:bidi="fa-IR"/>
        </w:rPr>
        <w:t>ً</w:t>
      </w:r>
      <w:r w:rsidRPr="00904FCB">
        <w:rPr>
          <w:rFonts w:ascii="Tahoma" w:hAnsi="Tahoma"/>
          <w:sz w:val="27"/>
          <w:rtl/>
          <w:lang w:bidi="fa-IR"/>
        </w:rPr>
        <w:t xml:space="preserve"> للقانون الطبيعي الساكن، ويكون قانونا</w:t>
      </w:r>
      <w:r w:rsidR="00484E86" w:rsidRPr="00904FCB">
        <w:rPr>
          <w:rFonts w:ascii="Tahoma" w:hAnsi="Tahoma" w:hint="cs"/>
          <w:sz w:val="27"/>
          <w:rtl/>
          <w:lang w:bidi="fa-IR"/>
        </w:rPr>
        <w:t>ً</w:t>
      </w:r>
      <w:r w:rsidRPr="00904FCB">
        <w:rPr>
          <w:rFonts w:ascii="Tahoma" w:hAnsi="Tahoma"/>
          <w:sz w:val="27"/>
          <w:rtl/>
          <w:lang w:bidi="fa-IR"/>
        </w:rPr>
        <w:t xml:space="preserve"> عاما</w:t>
      </w:r>
      <w:r w:rsidR="00484E86" w:rsidRPr="00904FCB">
        <w:rPr>
          <w:rFonts w:ascii="Tahoma" w:hAnsi="Tahoma" w:hint="cs"/>
          <w:sz w:val="27"/>
          <w:rtl/>
          <w:lang w:bidi="fa-IR"/>
        </w:rPr>
        <w:t>ً</w:t>
      </w:r>
      <w:r w:rsidRPr="00904FCB">
        <w:rPr>
          <w:rFonts w:ascii="Tahoma" w:hAnsi="Tahoma"/>
          <w:sz w:val="27"/>
          <w:rtl/>
          <w:lang w:bidi="fa-IR"/>
        </w:rPr>
        <w:t xml:space="preserve"> تت</w:t>
      </w:r>
      <w:r w:rsidR="00484E86" w:rsidRPr="00904FCB">
        <w:rPr>
          <w:rFonts w:ascii="Tahoma" w:hAnsi="Tahoma" w:hint="cs"/>
          <w:sz w:val="27"/>
          <w:rtl/>
          <w:lang w:bidi="fa-IR"/>
        </w:rPr>
        <w:t>ّ</w:t>
      </w:r>
      <w:r w:rsidRPr="00904FCB">
        <w:rPr>
          <w:rFonts w:ascii="Tahoma" w:hAnsi="Tahoma"/>
          <w:sz w:val="27"/>
          <w:rtl/>
          <w:lang w:bidi="fa-IR"/>
        </w:rPr>
        <w:t>جه نحوه التشريعات الوطنية المختلفة تدريجيا</w:t>
      </w:r>
      <w:r w:rsidR="00484E86" w:rsidRPr="00904FCB">
        <w:rPr>
          <w:rFonts w:ascii="Tahoma" w:hAnsi="Tahoma" w:hint="cs"/>
          <w:sz w:val="27"/>
          <w:rtl/>
          <w:lang w:bidi="fa-IR"/>
        </w:rPr>
        <w:t>ً.</w:t>
      </w:r>
      <w:r w:rsidRPr="00904FCB">
        <w:rPr>
          <w:rFonts w:ascii="Tahoma" w:hAnsi="Tahoma"/>
          <w:sz w:val="27"/>
          <w:rtl/>
          <w:lang w:bidi="fa-IR"/>
        </w:rPr>
        <w:t xml:space="preserve"> وعل</w:t>
      </w:r>
      <w:r w:rsidR="00484E86" w:rsidRPr="00904FCB">
        <w:rPr>
          <w:rFonts w:ascii="Tahoma" w:hAnsi="Tahoma" w:hint="cs"/>
          <w:sz w:val="27"/>
          <w:rtl/>
          <w:lang w:bidi="fa-IR"/>
        </w:rPr>
        <w:t>ى</w:t>
      </w:r>
      <w:r w:rsidRPr="00904FCB">
        <w:rPr>
          <w:rFonts w:ascii="Tahoma" w:hAnsi="Tahoma"/>
          <w:sz w:val="27"/>
          <w:rtl/>
          <w:lang w:bidi="fa-IR"/>
        </w:rPr>
        <w:t xml:space="preserve"> الرغم من استحالة الحلم بقانون وضعي عالمي، إلا</w:t>
      </w:r>
      <w:r w:rsidR="00484E86" w:rsidRPr="00904FCB">
        <w:rPr>
          <w:rFonts w:ascii="Tahoma" w:hAnsi="Tahoma" w:hint="cs"/>
          <w:sz w:val="27"/>
          <w:rtl/>
          <w:lang w:bidi="fa-IR"/>
        </w:rPr>
        <w:t>ّ</w:t>
      </w:r>
      <w:r w:rsidRPr="00904FCB">
        <w:rPr>
          <w:rFonts w:ascii="Tahoma" w:hAnsi="Tahoma"/>
          <w:sz w:val="27"/>
          <w:rtl/>
          <w:lang w:bidi="fa-IR"/>
        </w:rPr>
        <w:t xml:space="preserve"> أن نظرية سالي تكاد تسبق عصرها بالإشارة إلى </w:t>
      </w:r>
      <w:r w:rsidRPr="00904FCB">
        <w:rPr>
          <w:rFonts w:hint="eastAsia"/>
          <w:sz w:val="27"/>
          <w:rtl/>
          <w:lang w:bidi="fa-IR"/>
        </w:rPr>
        <w:t>«</w:t>
      </w:r>
      <w:r w:rsidRPr="00904FCB">
        <w:rPr>
          <w:rFonts w:ascii="Tahoma" w:hAnsi="Tahoma"/>
          <w:sz w:val="27"/>
          <w:rtl/>
          <w:lang w:bidi="fa-IR"/>
        </w:rPr>
        <w:t>برادايم</w:t>
      </w:r>
      <w:r w:rsidRPr="00904FCB">
        <w:rPr>
          <w:rFonts w:hint="eastAsia"/>
          <w:sz w:val="27"/>
          <w:rtl/>
        </w:rPr>
        <w:t>»</w:t>
      </w:r>
      <w:r w:rsidRPr="00904FCB">
        <w:rPr>
          <w:rFonts w:ascii="Tahoma" w:hAnsi="Tahoma"/>
          <w:sz w:val="27"/>
          <w:rtl/>
          <w:lang w:bidi="fa-IR"/>
        </w:rPr>
        <w:t xml:space="preserve"> أو </w:t>
      </w:r>
      <w:r w:rsidRPr="00904FCB">
        <w:rPr>
          <w:rFonts w:hint="eastAsia"/>
          <w:sz w:val="27"/>
          <w:rtl/>
          <w:lang w:bidi="fa-IR"/>
        </w:rPr>
        <w:t>«</w:t>
      </w:r>
      <w:r w:rsidRPr="00904FCB">
        <w:rPr>
          <w:rFonts w:ascii="Tahoma" w:hAnsi="Tahoma"/>
          <w:sz w:val="27"/>
          <w:rtl/>
          <w:lang w:bidi="fa-IR"/>
        </w:rPr>
        <w:t>نموذج</w:t>
      </w:r>
      <w:r w:rsidRPr="00904FCB">
        <w:rPr>
          <w:rFonts w:hint="eastAsia"/>
          <w:sz w:val="27"/>
          <w:rtl/>
        </w:rPr>
        <w:t>»</w:t>
      </w:r>
      <w:r w:rsidRPr="00904FCB">
        <w:rPr>
          <w:rFonts w:ascii="Tahoma" w:hAnsi="Tahoma"/>
          <w:sz w:val="27"/>
          <w:rtl/>
          <w:lang w:bidi="fa-IR"/>
        </w:rPr>
        <w:t xml:space="preserve"> شديد السيولة والحركة، لم تستخدمه المعرفة ال</w:t>
      </w:r>
      <w:r w:rsidR="00484E86" w:rsidRPr="00904FCB">
        <w:rPr>
          <w:rFonts w:ascii="Tahoma" w:hAnsi="Tahoma" w:hint="cs"/>
          <w:sz w:val="27"/>
          <w:rtl/>
          <w:lang w:bidi="fa-IR"/>
        </w:rPr>
        <w:t>إ</w:t>
      </w:r>
      <w:r w:rsidRPr="00904FCB">
        <w:rPr>
          <w:rFonts w:ascii="Tahoma" w:hAnsi="Tahoma"/>
          <w:sz w:val="27"/>
          <w:rtl/>
          <w:lang w:bidi="fa-IR"/>
        </w:rPr>
        <w:t>نسانية على هذا النحو إلا</w:t>
      </w:r>
      <w:r w:rsidR="00484E86" w:rsidRPr="00904FCB">
        <w:rPr>
          <w:rFonts w:ascii="Tahoma" w:hAnsi="Tahoma" w:hint="cs"/>
          <w:sz w:val="27"/>
          <w:rtl/>
          <w:lang w:bidi="fa-IR"/>
        </w:rPr>
        <w:t>ّ</w:t>
      </w:r>
      <w:r w:rsidRPr="00904FCB">
        <w:rPr>
          <w:rFonts w:ascii="Tahoma" w:hAnsi="Tahoma"/>
          <w:sz w:val="27"/>
          <w:rtl/>
          <w:lang w:bidi="fa-IR"/>
        </w:rPr>
        <w:t xml:space="preserve"> في </w:t>
      </w:r>
      <w:r w:rsidRPr="00904FCB">
        <w:rPr>
          <w:rFonts w:hint="eastAsia"/>
          <w:sz w:val="27"/>
          <w:rtl/>
          <w:lang w:bidi="fa-IR"/>
        </w:rPr>
        <w:t>«</w:t>
      </w:r>
      <w:r w:rsidRPr="00904FCB">
        <w:rPr>
          <w:rFonts w:ascii="Tahoma" w:hAnsi="Tahoma"/>
          <w:sz w:val="27"/>
          <w:rtl/>
          <w:lang w:bidi="fa-IR"/>
        </w:rPr>
        <w:t>عصر المعلوماتية</w:t>
      </w:r>
      <w:r w:rsidRPr="00904FCB">
        <w:rPr>
          <w:rFonts w:hint="eastAsia"/>
          <w:sz w:val="27"/>
          <w:rtl/>
        </w:rPr>
        <w:t>»</w:t>
      </w:r>
      <w:r w:rsidRPr="00904FCB">
        <w:rPr>
          <w:rFonts w:ascii="Tahoma" w:hAnsi="Tahoma" w:hint="cs"/>
          <w:sz w:val="27"/>
          <w:rtl/>
          <w:lang w:bidi="ar-LB"/>
        </w:rPr>
        <w:t xml:space="preserve">. </w:t>
      </w:r>
    </w:p>
    <w:p w:rsidR="00644408" w:rsidRPr="00904FCB" w:rsidRDefault="00644408" w:rsidP="00FE2878">
      <w:pPr>
        <w:autoSpaceDE w:val="0"/>
        <w:autoSpaceDN w:val="0"/>
        <w:adjustRightInd w:val="0"/>
        <w:spacing w:line="400" w:lineRule="exact"/>
        <w:rPr>
          <w:rFonts w:ascii="Tahoma" w:hAnsi="Tahoma"/>
          <w:sz w:val="27"/>
          <w:lang w:bidi="fa-IR"/>
        </w:rPr>
      </w:pPr>
      <w:r w:rsidRPr="00904FCB">
        <w:rPr>
          <w:rFonts w:ascii="Tahoma" w:hAnsi="Tahoma"/>
          <w:sz w:val="27"/>
          <w:rtl/>
          <w:lang w:bidi="fa-IR"/>
        </w:rPr>
        <w:t>وير</w:t>
      </w:r>
      <w:r w:rsidR="00FE2878">
        <w:rPr>
          <w:rFonts w:ascii="Tahoma" w:hAnsi="Tahoma" w:hint="cs"/>
          <w:sz w:val="27"/>
          <w:rtl/>
          <w:lang w:bidi="fa-IR"/>
        </w:rPr>
        <w:t>ى</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سالي</w:t>
      </w:r>
      <w:r w:rsidRPr="00904FCB">
        <w:rPr>
          <w:rFonts w:hint="eastAsia"/>
          <w:sz w:val="27"/>
          <w:rtl/>
        </w:rPr>
        <w:t>»</w:t>
      </w:r>
      <w:r w:rsidRPr="00904FCB">
        <w:rPr>
          <w:rFonts w:ascii="Tahoma" w:hAnsi="Tahoma"/>
          <w:sz w:val="27"/>
          <w:rtl/>
          <w:lang w:bidi="fa-IR"/>
        </w:rPr>
        <w:t xml:space="preserve"> أن هدف القانون المقارن ـ باعتباره علما</w:t>
      </w:r>
      <w:r w:rsidR="00484E86" w:rsidRPr="00904FCB">
        <w:rPr>
          <w:rFonts w:ascii="Tahoma" w:hAnsi="Tahoma" w:hint="cs"/>
          <w:sz w:val="27"/>
          <w:rtl/>
          <w:lang w:bidi="fa-IR"/>
        </w:rPr>
        <w:t>ً</w:t>
      </w:r>
      <w:r w:rsidRPr="00904FCB">
        <w:rPr>
          <w:rFonts w:ascii="Tahoma" w:hAnsi="Tahoma"/>
          <w:sz w:val="27"/>
          <w:rtl/>
          <w:lang w:bidi="fa-IR"/>
        </w:rPr>
        <w:t xml:space="preserve"> متمي</w:t>
      </w:r>
      <w:r w:rsidR="00484E86" w:rsidRPr="00904FCB">
        <w:rPr>
          <w:rFonts w:ascii="Tahoma" w:hAnsi="Tahoma" w:hint="cs"/>
          <w:sz w:val="27"/>
          <w:rtl/>
          <w:lang w:bidi="fa-IR"/>
        </w:rPr>
        <w:t>ِّ</w:t>
      </w:r>
      <w:r w:rsidRPr="00904FCB">
        <w:rPr>
          <w:rFonts w:ascii="Tahoma" w:hAnsi="Tahoma"/>
          <w:sz w:val="27"/>
          <w:rtl/>
          <w:lang w:bidi="fa-IR"/>
        </w:rPr>
        <w:t xml:space="preserve">زاً عن غيره ـ يمكن </w:t>
      </w:r>
      <w:r w:rsidR="00484E86" w:rsidRPr="00904FCB">
        <w:rPr>
          <w:rFonts w:ascii="Tahoma" w:hAnsi="Tahoma" w:hint="cs"/>
          <w:sz w:val="27"/>
          <w:rtl/>
          <w:lang w:bidi="fa-IR"/>
        </w:rPr>
        <w:t>إ</w:t>
      </w:r>
      <w:r w:rsidRPr="00904FCB">
        <w:rPr>
          <w:rFonts w:ascii="Tahoma" w:hAnsi="Tahoma"/>
          <w:sz w:val="27"/>
          <w:rtl/>
          <w:lang w:bidi="fa-IR"/>
        </w:rPr>
        <w:t>جماله في نقاط ثلاث</w:t>
      </w:r>
      <w:r w:rsidR="00484E86" w:rsidRPr="00904FCB">
        <w:rPr>
          <w:rFonts w:ascii="Tahoma" w:hAnsi="Tahoma" w:hint="cs"/>
          <w:sz w:val="27"/>
          <w:rtl/>
          <w:lang w:bidi="fa-IR"/>
        </w:rPr>
        <w:t xml:space="preserve">، </w:t>
      </w:r>
      <w:r w:rsidRPr="00904FCB">
        <w:rPr>
          <w:rFonts w:ascii="Tahoma" w:hAnsi="Tahoma"/>
          <w:sz w:val="27"/>
          <w:rtl/>
          <w:lang w:bidi="fa-IR"/>
        </w:rPr>
        <w:t xml:space="preserve">بتلخيص الدكتور البدراوي: </w:t>
      </w:r>
    </w:p>
    <w:p w:rsidR="00644408" w:rsidRPr="008C16BF"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sz w:val="27"/>
          <w:rtl/>
          <w:lang w:bidi="ar-LB"/>
        </w:rPr>
        <w:t xml:space="preserve">1ـ </w:t>
      </w:r>
      <w:r w:rsidRPr="008C16BF">
        <w:rPr>
          <w:rFonts w:ascii="Tahoma" w:hAnsi="Tahoma"/>
          <w:sz w:val="27"/>
          <w:rtl/>
          <w:lang w:bidi="fa-IR"/>
        </w:rPr>
        <w:t>دراسة الشرائع المختلفة من ناحيتها الاجتماعية</w:t>
      </w:r>
      <w:r w:rsidR="00484E86" w:rsidRPr="008C16BF">
        <w:rPr>
          <w:rFonts w:ascii="Tahoma" w:hAnsi="Tahoma" w:hint="cs"/>
          <w:sz w:val="27"/>
          <w:rtl/>
          <w:lang w:bidi="fa-IR"/>
        </w:rPr>
        <w:t>.</w:t>
      </w:r>
      <w:r w:rsidRPr="008C16BF">
        <w:rPr>
          <w:rFonts w:ascii="Tahoma" w:hAnsi="Tahoma"/>
          <w:sz w:val="27"/>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sz w:val="27"/>
          <w:rtl/>
          <w:lang w:bidi="ar-LB"/>
        </w:rPr>
        <w:t xml:space="preserve">2ـ </w:t>
      </w:r>
      <w:r w:rsidRPr="008C16BF">
        <w:rPr>
          <w:rFonts w:ascii="Tahoma" w:hAnsi="Tahoma"/>
          <w:sz w:val="27"/>
          <w:rtl/>
          <w:lang w:bidi="fa-IR"/>
        </w:rPr>
        <w:t xml:space="preserve">دراسة الشرائع المعتمدة </w:t>
      </w:r>
      <w:r w:rsidR="00484E86" w:rsidRPr="008C16BF">
        <w:rPr>
          <w:rFonts w:ascii="Tahoma" w:hAnsi="Tahoma" w:hint="cs"/>
          <w:sz w:val="27"/>
          <w:rtl/>
          <w:lang w:bidi="fa-IR"/>
        </w:rPr>
        <w:t>عبر</w:t>
      </w:r>
      <w:r w:rsidRPr="008C16BF">
        <w:rPr>
          <w:rFonts w:ascii="Tahoma" w:hAnsi="Tahoma"/>
          <w:sz w:val="27"/>
          <w:rtl/>
          <w:lang w:bidi="fa-IR"/>
        </w:rPr>
        <w:t xml:space="preserve"> تنظيمها في طوائف متعد</w:t>
      </w:r>
      <w:r w:rsidR="00484E86" w:rsidRPr="008C16BF">
        <w:rPr>
          <w:rFonts w:ascii="Tahoma" w:hAnsi="Tahoma" w:hint="cs"/>
          <w:sz w:val="27"/>
          <w:rtl/>
          <w:lang w:bidi="fa-IR"/>
        </w:rPr>
        <w:t>ّ</w:t>
      </w:r>
      <w:r w:rsidRPr="008C16BF">
        <w:rPr>
          <w:rFonts w:ascii="Tahoma" w:hAnsi="Tahoma"/>
          <w:sz w:val="27"/>
          <w:rtl/>
          <w:lang w:bidi="fa-IR"/>
        </w:rPr>
        <w:t>دة، وذلك بالطبع بعد</w:t>
      </w:r>
      <w:r w:rsidRPr="00904FCB">
        <w:rPr>
          <w:rFonts w:ascii="Tahoma" w:hAnsi="Tahoma"/>
          <w:sz w:val="27"/>
          <w:rtl/>
          <w:lang w:bidi="fa-IR"/>
        </w:rPr>
        <w:t xml:space="preserve"> دراسة كل</w:t>
      </w:r>
      <w:r w:rsidR="00484E86" w:rsidRPr="00904FCB">
        <w:rPr>
          <w:rFonts w:ascii="Tahoma" w:hAnsi="Tahoma" w:hint="cs"/>
          <w:sz w:val="27"/>
          <w:rtl/>
          <w:lang w:bidi="fa-IR"/>
        </w:rPr>
        <w:t>ٍّ</w:t>
      </w:r>
      <w:r w:rsidRPr="00904FCB">
        <w:rPr>
          <w:rFonts w:ascii="Tahoma" w:hAnsi="Tahoma"/>
          <w:sz w:val="27"/>
          <w:rtl/>
          <w:lang w:bidi="fa-IR"/>
        </w:rPr>
        <w:t xml:space="preserve"> منها على ح</w:t>
      </w:r>
      <w:r w:rsidR="00484E86" w:rsidRPr="00904FCB">
        <w:rPr>
          <w:rFonts w:ascii="Tahoma" w:hAnsi="Tahoma" w:hint="cs"/>
          <w:sz w:val="27"/>
          <w:rtl/>
          <w:lang w:bidi="fa-IR"/>
        </w:rPr>
        <w:t>ِ</w:t>
      </w:r>
      <w:r w:rsidRPr="00904FCB">
        <w:rPr>
          <w:rFonts w:ascii="Tahoma" w:hAnsi="Tahoma"/>
          <w:sz w:val="27"/>
          <w:rtl/>
          <w:lang w:bidi="fa-IR"/>
        </w:rPr>
        <w:t>د</w:t>
      </w:r>
      <w:r w:rsidR="00484E86" w:rsidRPr="00904FCB">
        <w:rPr>
          <w:rFonts w:ascii="Tahoma" w:hAnsi="Tahoma" w:hint="cs"/>
          <w:sz w:val="27"/>
          <w:rtl/>
          <w:lang w:bidi="fa-IR"/>
        </w:rPr>
        <w:t>َ</w:t>
      </w:r>
      <w:r w:rsidRPr="00904FCB">
        <w:rPr>
          <w:rFonts w:ascii="Tahoma" w:hAnsi="Tahoma"/>
          <w:sz w:val="27"/>
          <w:rtl/>
          <w:lang w:bidi="fa-IR"/>
        </w:rPr>
        <w:t xml:space="preserve">ة.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sz w:val="27"/>
          <w:rtl/>
          <w:lang w:bidi="ar-LB"/>
        </w:rPr>
        <w:t xml:space="preserve">3ـ </w:t>
      </w:r>
      <w:r w:rsidRPr="008C16BF">
        <w:rPr>
          <w:rFonts w:ascii="Tahoma" w:hAnsi="Tahoma"/>
          <w:sz w:val="27"/>
          <w:rtl/>
          <w:lang w:bidi="fa-IR"/>
        </w:rPr>
        <w:t>استخلاص نموذج واحد أو نماذج متعد</w:t>
      </w:r>
      <w:r w:rsidR="00484E86" w:rsidRPr="008C16BF">
        <w:rPr>
          <w:rFonts w:ascii="Tahoma" w:hAnsi="Tahoma" w:hint="cs"/>
          <w:sz w:val="27"/>
          <w:rtl/>
          <w:lang w:bidi="fa-IR"/>
        </w:rPr>
        <w:t>ِّ</w:t>
      </w:r>
      <w:r w:rsidRPr="008C16BF">
        <w:rPr>
          <w:rFonts w:ascii="Tahoma" w:hAnsi="Tahoma"/>
          <w:sz w:val="27"/>
          <w:rtl/>
          <w:lang w:bidi="fa-IR"/>
        </w:rPr>
        <w:t>دة للنظم القانونية المختلفة، ويكون</w:t>
      </w:r>
      <w:r w:rsidRPr="00904FCB">
        <w:rPr>
          <w:rFonts w:ascii="Tahoma" w:hAnsi="Tahoma"/>
          <w:sz w:val="27"/>
          <w:rtl/>
          <w:lang w:bidi="fa-IR"/>
        </w:rPr>
        <w:t xml:space="preserve"> هذا النموذج هو اله</w:t>
      </w:r>
      <w:r w:rsidR="00484E86" w:rsidRPr="00904FCB">
        <w:rPr>
          <w:rFonts w:ascii="Tahoma" w:hAnsi="Tahoma" w:hint="cs"/>
          <w:sz w:val="27"/>
          <w:rtl/>
          <w:lang w:bidi="fa-IR"/>
        </w:rPr>
        <w:t>َ</w:t>
      </w:r>
      <w:r w:rsidRPr="00904FCB">
        <w:rPr>
          <w:rFonts w:ascii="Tahoma" w:hAnsi="Tahoma"/>
          <w:sz w:val="27"/>
          <w:rtl/>
          <w:lang w:bidi="fa-IR"/>
        </w:rPr>
        <w:t>د</w:t>
      </w:r>
      <w:r w:rsidR="00484E86" w:rsidRPr="00904FCB">
        <w:rPr>
          <w:rFonts w:ascii="Tahoma" w:hAnsi="Tahoma" w:hint="cs"/>
          <w:sz w:val="27"/>
          <w:rtl/>
          <w:lang w:bidi="fa-IR"/>
        </w:rPr>
        <w:t>َ</w:t>
      </w:r>
      <w:r w:rsidRPr="00904FCB">
        <w:rPr>
          <w:rFonts w:ascii="Tahoma" w:hAnsi="Tahoma"/>
          <w:sz w:val="27"/>
          <w:rtl/>
          <w:lang w:bidi="fa-IR"/>
        </w:rPr>
        <w:t>ف الذي يسعي نحوه تدريجيا</w:t>
      </w:r>
      <w:r w:rsidR="00484E86" w:rsidRPr="00904FCB">
        <w:rPr>
          <w:rFonts w:ascii="Tahoma" w:hAnsi="Tahoma" w:hint="cs"/>
          <w:sz w:val="27"/>
          <w:rtl/>
          <w:lang w:bidi="fa-IR"/>
        </w:rPr>
        <w:t>ً</w:t>
      </w:r>
      <w:r w:rsidRPr="00904FCB">
        <w:rPr>
          <w:rFonts w:ascii="Tahoma" w:hAnsi="Tahoma"/>
          <w:sz w:val="27"/>
          <w:rtl/>
          <w:lang w:bidi="fa-IR"/>
        </w:rPr>
        <w:t xml:space="preserve"> كل</w:t>
      </w:r>
      <w:r w:rsidR="00484E86" w:rsidRPr="00904FCB">
        <w:rPr>
          <w:rFonts w:ascii="Tahoma" w:hAnsi="Tahoma" w:hint="cs"/>
          <w:sz w:val="27"/>
          <w:rtl/>
          <w:lang w:bidi="fa-IR"/>
        </w:rPr>
        <w:t>ّ</w:t>
      </w:r>
      <w:r w:rsidRPr="00904FCB">
        <w:rPr>
          <w:rFonts w:ascii="Tahoma" w:hAnsi="Tahoma"/>
          <w:sz w:val="27"/>
          <w:rtl/>
          <w:lang w:bidi="fa-IR"/>
        </w:rPr>
        <w:t xml:space="preserve"> تشريع</w:t>
      </w:r>
      <w:r w:rsidR="00484E86" w:rsidRPr="00904FCB">
        <w:rPr>
          <w:rFonts w:ascii="Tahoma" w:hAnsi="Tahoma" w:hint="cs"/>
          <w:sz w:val="27"/>
          <w:rtl/>
          <w:lang w:bidi="fa-IR"/>
        </w:rPr>
        <w:t>ٍ</w:t>
      </w:r>
      <w:r w:rsidRPr="00904FCB">
        <w:rPr>
          <w:rFonts w:ascii="Tahoma" w:hAnsi="Tahoma"/>
          <w:sz w:val="27"/>
          <w:rtl/>
          <w:lang w:bidi="fa-IR"/>
        </w:rPr>
        <w:t xml:space="preserve"> خاص</w:t>
      </w:r>
      <w:r w:rsidR="00484E86"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ووجهة نظر </w:t>
      </w:r>
      <w:r w:rsidRPr="00904FCB">
        <w:rPr>
          <w:rFonts w:hint="eastAsia"/>
          <w:sz w:val="27"/>
          <w:rtl/>
          <w:lang w:bidi="fa-IR"/>
        </w:rPr>
        <w:t>«</w:t>
      </w:r>
      <w:r w:rsidRPr="00904FCB">
        <w:rPr>
          <w:rFonts w:ascii="Tahoma" w:hAnsi="Tahoma"/>
          <w:sz w:val="27"/>
          <w:rtl/>
          <w:lang w:bidi="fa-IR"/>
        </w:rPr>
        <w:t>سالي</w:t>
      </w:r>
      <w:r w:rsidRPr="00904FCB">
        <w:rPr>
          <w:rFonts w:hint="eastAsia"/>
          <w:sz w:val="27"/>
          <w:rtl/>
        </w:rPr>
        <w:t>»</w:t>
      </w:r>
      <w:r w:rsidRPr="00904FCB">
        <w:rPr>
          <w:rFonts w:ascii="Tahoma" w:hAnsi="Tahoma"/>
          <w:sz w:val="27"/>
          <w:rtl/>
          <w:lang w:bidi="fa-IR"/>
        </w:rPr>
        <w:t xml:space="preserve"> لا تخلو من جميع أوجه النقد التي و</w:t>
      </w:r>
      <w:r w:rsidR="00484E86" w:rsidRPr="00904FCB">
        <w:rPr>
          <w:rFonts w:ascii="Tahoma" w:hAnsi="Tahoma" w:hint="cs"/>
          <w:sz w:val="27"/>
          <w:rtl/>
          <w:lang w:bidi="fa-IR"/>
        </w:rPr>
        <w:t>ُ</w:t>
      </w:r>
      <w:r w:rsidRPr="00904FCB">
        <w:rPr>
          <w:rFonts w:ascii="Tahoma" w:hAnsi="Tahoma"/>
          <w:sz w:val="27"/>
          <w:rtl/>
          <w:lang w:bidi="fa-IR"/>
        </w:rPr>
        <w:t>ج</w:t>
      </w:r>
      <w:r w:rsidR="00484E86" w:rsidRPr="00904FCB">
        <w:rPr>
          <w:rFonts w:ascii="Tahoma" w:hAnsi="Tahoma" w:hint="cs"/>
          <w:sz w:val="27"/>
          <w:rtl/>
          <w:lang w:bidi="fa-IR"/>
        </w:rPr>
        <w:t>ِّ</w:t>
      </w:r>
      <w:r w:rsidRPr="00904FCB">
        <w:rPr>
          <w:rFonts w:ascii="Tahoma" w:hAnsi="Tahoma"/>
          <w:sz w:val="27"/>
          <w:rtl/>
          <w:lang w:bidi="fa-IR"/>
        </w:rPr>
        <w:t>هت إلى فكرة القانون الطبيعي</w:t>
      </w:r>
      <w:r w:rsidR="00484E86" w:rsidRPr="00904FCB">
        <w:rPr>
          <w:rFonts w:ascii="Tahoma" w:hAnsi="Tahoma" w:hint="cs"/>
          <w:sz w:val="27"/>
          <w:rtl/>
          <w:lang w:bidi="fa-IR"/>
        </w:rPr>
        <w:t>،</w:t>
      </w:r>
      <w:r w:rsidRPr="00904FCB">
        <w:rPr>
          <w:rFonts w:ascii="Tahoma" w:hAnsi="Tahoma"/>
          <w:sz w:val="27"/>
          <w:rtl/>
          <w:lang w:bidi="fa-IR"/>
        </w:rPr>
        <w:t xml:space="preserve"> كما صو</w:t>
      </w:r>
      <w:r w:rsidR="00484E86" w:rsidRPr="00904FCB">
        <w:rPr>
          <w:rFonts w:ascii="Tahoma" w:hAnsi="Tahoma" w:hint="cs"/>
          <w:sz w:val="27"/>
          <w:rtl/>
          <w:lang w:bidi="fa-IR"/>
        </w:rPr>
        <w:t>َّ</w:t>
      </w:r>
      <w:r w:rsidRPr="00904FCB">
        <w:rPr>
          <w:rFonts w:ascii="Tahoma" w:hAnsi="Tahoma"/>
          <w:sz w:val="27"/>
          <w:rtl/>
          <w:lang w:bidi="fa-IR"/>
        </w:rPr>
        <w:t>رته المدرسة القديمة</w:t>
      </w:r>
      <w:r w:rsidR="00484E86" w:rsidRPr="00904FCB">
        <w:rPr>
          <w:rFonts w:ascii="Tahoma" w:hAnsi="Tahoma" w:hint="cs"/>
          <w:sz w:val="27"/>
          <w:rtl/>
          <w:lang w:bidi="fa-IR"/>
        </w:rPr>
        <w:t>.</w:t>
      </w:r>
      <w:r w:rsidRPr="00904FCB">
        <w:rPr>
          <w:rFonts w:ascii="Tahoma" w:hAnsi="Tahoma"/>
          <w:sz w:val="27"/>
          <w:rtl/>
          <w:lang w:bidi="fa-IR"/>
        </w:rPr>
        <w:t xml:space="preserve"> وقد انتقدت من ناحيتين: </w:t>
      </w:r>
    </w:p>
    <w:p w:rsidR="00644408" w:rsidRPr="00904FCB" w:rsidRDefault="00644408" w:rsidP="007A21AA">
      <w:pPr>
        <w:autoSpaceDE w:val="0"/>
        <w:autoSpaceDN w:val="0"/>
        <w:adjustRightInd w:val="0"/>
        <w:spacing w:line="400" w:lineRule="exact"/>
        <w:rPr>
          <w:rFonts w:ascii="Tahoma" w:hAnsi="Tahoma"/>
          <w:sz w:val="27"/>
          <w:lang w:bidi="fa-IR"/>
        </w:rPr>
      </w:pPr>
      <w:r w:rsidRPr="00FE2878">
        <w:rPr>
          <w:rFonts w:ascii="Tahoma" w:hAnsi="Tahoma"/>
          <w:b/>
          <w:bCs/>
          <w:sz w:val="27"/>
          <w:rtl/>
          <w:lang w:bidi="fa-IR"/>
        </w:rPr>
        <w:t>الأول</w:t>
      </w:r>
      <w:r w:rsidR="00484E86" w:rsidRPr="00FE2878">
        <w:rPr>
          <w:rFonts w:ascii="Tahoma" w:hAnsi="Tahoma" w:hint="cs"/>
          <w:b/>
          <w:bCs/>
          <w:sz w:val="27"/>
          <w:rtl/>
          <w:lang w:bidi="fa-IR"/>
        </w:rPr>
        <w:t>ى</w:t>
      </w:r>
      <w:r w:rsidRPr="00904FCB">
        <w:rPr>
          <w:rFonts w:ascii="Tahoma" w:hAnsi="Tahoma"/>
          <w:sz w:val="27"/>
          <w:rtl/>
          <w:lang w:bidi="fa-IR"/>
        </w:rPr>
        <w:t xml:space="preserve">: </w:t>
      </w:r>
      <w:r w:rsidR="00484E86" w:rsidRPr="00904FCB">
        <w:rPr>
          <w:rFonts w:ascii="Tahoma" w:hAnsi="Tahoma" w:hint="cs"/>
          <w:sz w:val="27"/>
          <w:rtl/>
          <w:lang w:bidi="fa-IR"/>
        </w:rPr>
        <w:t>إ</w:t>
      </w:r>
      <w:r w:rsidRPr="00904FCB">
        <w:rPr>
          <w:rFonts w:ascii="Tahoma" w:hAnsi="Tahoma"/>
          <w:sz w:val="27"/>
          <w:rtl/>
          <w:lang w:bidi="fa-IR"/>
        </w:rPr>
        <w:t>نّها قالت بقانون طبيعي ثابت في الزمان لا يتطو</w:t>
      </w:r>
      <w:r w:rsidR="00484E86" w:rsidRPr="00904FCB">
        <w:rPr>
          <w:rFonts w:ascii="Tahoma" w:hAnsi="Tahoma" w:hint="cs"/>
          <w:sz w:val="27"/>
          <w:rtl/>
          <w:lang w:bidi="fa-IR"/>
        </w:rPr>
        <w:t>َّ</w:t>
      </w:r>
      <w:r w:rsidRPr="00904FCB">
        <w:rPr>
          <w:rFonts w:ascii="Tahoma" w:hAnsi="Tahoma"/>
          <w:sz w:val="27"/>
          <w:rtl/>
          <w:lang w:bidi="fa-IR"/>
        </w:rPr>
        <w:t xml:space="preserve">ر. </w:t>
      </w:r>
    </w:p>
    <w:p w:rsidR="00484E86" w:rsidRPr="00904FCB" w:rsidRDefault="00644408" w:rsidP="007A21AA">
      <w:pPr>
        <w:autoSpaceDE w:val="0"/>
        <w:autoSpaceDN w:val="0"/>
        <w:adjustRightInd w:val="0"/>
        <w:spacing w:line="400" w:lineRule="exact"/>
        <w:rPr>
          <w:rFonts w:ascii="Tahoma" w:hAnsi="Tahoma"/>
          <w:sz w:val="27"/>
          <w:rtl/>
          <w:lang w:bidi="fa-IR"/>
        </w:rPr>
      </w:pPr>
      <w:r w:rsidRPr="00FE2878">
        <w:rPr>
          <w:rFonts w:ascii="Tahoma" w:hAnsi="Tahoma"/>
          <w:b/>
          <w:bCs/>
          <w:sz w:val="27"/>
          <w:rtl/>
          <w:lang w:bidi="fa-IR"/>
        </w:rPr>
        <w:t>والثانية</w:t>
      </w:r>
      <w:r w:rsidRPr="00904FCB">
        <w:rPr>
          <w:rFonts w:ascii="Tahoma" w:hAnsi="Tahoma"/>
          <w:sz w:val="27"/>
          <w:rtl/>
          <w:lang w:bidi="fa-IR"/>
        </w:rPr>
        <w:t xml:space="preserve">: </w:t>
      </w:r>
      <w:r w:rsidR="00484E86" w:rsidRPr="00904FCB">
        <w:rPr>
          <w:rFonts w:ascii="Tahoma" w:hAnsi="Tahoma" w:hint="cs"/>
          <w:sz w:val="27"/>
          <w:rtl/>
          <w:lang w:bidi="fa-IR"/>
        </w:rPr>
        <w:t>إ</w:t>
      </w:r>
      <w:r w:rsidRPr="00904FCB">
        <w:rPr>
          <w:rFonts w:ascii="Tahoma" w:hAnsi="Tahoma"/>
          <w:sz w:val="27"/>
          <w:rtl/>
          <w:lang w:bidi="fa-IR"/>
        </w:rPr>
        <w:t>نّها زعمت بأن القانون الطبيعي ثابت أيضا</w:t>
      </w:r>
      <w:r w:rsidR="00484E86" w:rsidRPr="00904FCB">
        <w:rPr>
          <w:rFonts w:ascii="Tahoma" w:hAnsi="Tahoma" w:hint="cs"/>
          <w:sz w:val="27"/>
          <w:rtl/>
          <w:lang w:bidi="fa-IR"/>
        </w:rPr>
        <w:t>ً</w:t>
      </w:r>
      <w:r w:rsidRPr="00904FCB">
        <w:rPr>
          <w:rFonts w:ascii="Tahoma" w:hAnsi="Tahoma"/>
          <w:sz w:val="27"/>
          <w:rtl/>
          <w:lang w:bidi="fa-IR"/>
        </w:rPr>
        <w:t xml:space="preserve"> في المكان</w:t>
      </w:r>
      <w:r w:rsidR="00484E86" w:rsidRPr="00904FCB">
        <w:rPr>
          <w:rFonts w:ascii="Tahoma" w:hAnsi="Tahoma" w:hint="cs"/>
          <w:sz w:val="27"/>
          <w:rtl/>
          <w:lang w:bidi="fa-IR"/>
        </w:rPr>
        <w:t>،</w:t>
      </w:r>
      <w:r w:rsidRPr="00904FCB">
        <w:rPr>
          <w:rFonts w:ascii="Tahoma" w:hAnsi="Tahoma"/>
          <w:sz w:val="27"/>
          <w:rtl/>
          <w:lang w:bidi="fa-IR"/>
        </w:rPr>
        <w:t xml:space="preserve"> أي </w:t>
      </w:r>
      <w:r w:rsidR="00484E86" w:rsidRPr="00904FCB">
        <w:rPr>
          <w:rFonts w:ascii="Tahoma" w:hAnsi="Tahoma" w:hint="cs"/>
          <w:sz w:val="27"/>
          <w:rtl/>
          <w:lang w:bidi="fa-IR"/>
        </w:rPr>
        <w:t>إ</w:t>
      </w:r>
      <w:r w:rsidRPr="00904FCB">
        <w:rPr>
          <w:rFonts w:ascii="Tahoma" w:hAnsi="Tahoma"/>
          <w:sz w:val="27"/>
          <w:rtl/>
          <w:lang w:bidi="fa-IR"/>
        </w:rPr>
        <w:t>نه قانون عالمي</w:t>
      </w:r>
      <w:r w:rsidR="00484E86" w:rsidRPr="00904FCB">
        <w:rPr>
          <w:rFonts w:ascii="Tahoma" w:hAnsi="Tahoma" w:hint="cs"/>
          <w:sz w:val="27"/>
          <w:rtl/>
          <w:lang w:bidi="fa-IR"/>
        </w:rPr>
        <w:t>.</w:t>
      </w:r>
    </w:p>
    <w:p w:rsidR="00484E86"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وعل</w:t>
      </w:r>
      <w:r w:rsidR="00484E86" w:rsidRPr="00904FCB">
        <w:rPr>
          <w:rFonts w:ascii="Tahoma" w:hAnsi="Tahoma" w:hint="cs"/>
          <w:sz w:val="27"/>
          <w:rtl/>
          <w:lang w:bidi="fa-IR"/>
        </w:rPr>
        <w:t>ى</w:t>
      </w:r>
      <w:r w:rsidRPr="00904FCB">
        <w:rPr>
          <w:rFonts w:ascii="Tahoma" w:hAnsi="Tahoma"/>
          <w:sz w:val="27"/>
          <w:rtl/>
          <w:lang w:bidi="fa-IR"/>
        </w:rPr>
        <w:t xml:space="preserve"> الرغم من أن بعض الفقهاء المعاصرين لا يزالون يتحد</w:t>
      </w:r>
      <w:r w:rsidR="00484E86" w:rsidRPr="00904FCB">
        <w:rPr>
          <w:rFonts w:ascii="Tahoma" w:hAnsi="Tahoma" w:hint="cs"/>
          <w:sz w:val="27"/>
          <w:rtl/>
          <w:lang w:bidi="fa-IR"/>
        </w:rPr>
        <w:t>َّ</w:t>
      </w:r>
      <w:r w:rsidRPr="00904FCB">
        <w:rPr>
          <w:rFonts w:ascii="Tahoma" w:hAnsi="Tahoma"/>
          <w:sz w:val="27"/>
          <w:rtl/>
          <w:lang w:bidi="fa-IR"/>
        </w:rPr>
        <w:t>ثون عن قانون عالمي، وربما أعطت «العولمة» دعما</w:t>
      </w:r>
      <w:r w:rsidR="00484E86" w:rsidRPr="00904FCB">
        <w:rPr>
          <w:rFonts w:ascii="Tahoma" w:hAnsi="Tahoma" w:hint="cs"/>
          <w:sz w:val="27"/>
          <w:rtl/>
          <w:lang w:bidi="fa-IR"/>
        </w:rPr>
        <w:t>ً</w:t>
      </w:r>
      <w:r w:rsidRPr="00904FCB">
        <w:rPr>
          <w:rFonts w:ascii="Tahoma" w:hAnsi="Tahoma"/>
          <w:sz w:val="27"/>
          <w:rtl/>
          <w:lang w:bidi="fa-IR"/>
        </w:rPr>
        <w:t xml:space="preserve"> لهذا الاتجاه، إلا</w:t>
      </w:r>
      <w:r w:rsidR="00484E86" w:rsidRPr="00904FCB">
        <w:rPr>
          <w:rFonts w:ascii="Tahoma" w:hAnsi="Tahoma" w:hint="cs"/>
          <w:sz w:val="27"/>
          <w:rtl/>
          <w:lang w:bidi="fa-IR"/>
        </w:rPr>
        <w:t>ّ</w:t>
      </w:r>
      <w:r w:rsidRPr="00904FCB">
        <w:rPr>
          <w:rFonts w:ascii="Tahoma" w:hAnsi="Tahoma"/>
          <w:sz w:val="27"/>
          <w:rtl/>
          <w:lang w:bidi="fa-IR"/>
        </w:rPr>
        <w:t xml:space="preserve"> أن الرأي عندي أن التفكير في قوانين عالمية موح</w:t>
      </w:r>
      <w:r w:rsidR="00484E86" w:rsidRPr="00904FCB">
        <w:rPr>
          <w:rFonts w:ascii="Tahoma" w:hAnsi="Tahoma" w:hint="cs"/>
          <w:sz w:val="27"/>
          <w:rtl/>
          <w:lang w:bidi="fa-IR"/>
        </w:rPr>
        <w:t>ّ</w:t>
      </w:r>
      <w:r w:rsidRPr="00904FCB">
        <w:rPr>
          <w:rFonts w:ascii="Tahoma" w:hAnsi="Tahoma"/>
          <w:sz w:val="27"/>
          <w:rtl/>
          <w:lang w:bidi="fa-IR"/>
        </w:rPr>
        <w:t>دة ليس مجر</w:t>
      </w:r>
      <w:r w:rsidR="00484E86" w:rsidRPr="00904FCB">
        <w:rPr>
          <w:rFonts w:ascii="Tahoma" w:hAnsi="Tahoma" w:hint="cs"/>
          <w:sz w:val="27"/>
          <w:rtl/>
          <w:lang w:bidi="fa-IR"/>
        </w:rPr>
        <w:t>ّ</w:t>
      </w:r>
      <w:r w:rsidRPr="00904FCB">
        <w:rPr>
          <w:rFonts w:ascii="Tahoma" w:hAnsi="Tahoma"/>
          <w:sz w:val="27"/>
          <w:rtl/>
          <w:lang w:bidi="fa-IR"/>
        </w:rPr>
        <w:t>د حلم غير مأسوف عليه</w:t>
      </w:r>
      <w:r w:rsidR="00484E86" w:rsidRPr="00904FCB">
        <w:rPr>
          <w:rFonts w:ascii="Tahoma" w:hAnsi="Tahoma" w:hint="cs"/>
          <w:sz w:val="27"/>
          <w:rtl/>
          <w:lang w:bidi="fa-IR"/>
        </w:rPr>
        <w:t>،</w:t>
      </w:r>
      <w:r w:rsidRPr="00904FCB">
        <w:rPr>
          <w:rFonts w:ascii="Tahoma" w:hAnsi="Tahoma"/>
          <w:sz w:val="27"/>
          <w:rtl/>
          <w:lang w:bidi="fa-IR"/>
        </w:rPr>
        <w:t xml:space="preserve"> كما قال </w:t>
      </w:r>
      <w:r w:rsidRPr="00904FCB">
        <w:rPr>
          <w:rFonts w:hint="eastAsia"/>
          <w:sz w:val="27"/>
          <w:rtl/>
          <w:lang w:bidi="fa-IR"/>
        </w:rPr>
        <w:t>«</w:t>
      </w:r>
      <w:r w:rsidRPr="00904FCB">
        <w:rPr>
          <w:rFonts w:ascii="Tahoma" w:hAnsi="Tahoma"/>
          <w:sz w:val="27"/>
          <w:rtl/>
          <w:lang w:bidi="fa-IR"/>
        </w:rPr>
        <w:t>كارل فيلند</w:t>
      </w:r>
      <w:r w:rsidRPr="00904FCB">
        <w:rPr>
          <w:rFonts w:hint="eastAsia"/>
          <w:sz w:val="27"/>
          <w:rtl/>
        </w:rPr>
        <w:t>»</w:t>
      </w:r>
      <w:r w:rsidRPr="00904FCB">
        <w:rPr>
          <w:rFonts w:ascii="Tahoma" w:hAnsi="Tahoma"/>
          <w:sz w:val="27"/>
          <w:rtl/>
          <w:lang w:bidi="fa-IR"/>
        </w:rPr>
        <w:t xml:space="preserve">، بل هو </w:t>
      </w:r>
      <w:r w:rsidRPr="00904FCB">
        <w:rPr>
          <w:rFonts w:hint="eastAsia"/>
          <w:sz w:val="27"/>
          <w:rtl/>
          <w:lang w:bidi="fa-IR"/>
        </w:rPr>
        <w:t>«</w:t>
      </w:r>
      <w:r w:rsidRPr="00904FCB">
        <w:rPr>
          <w:rFonts w:ascii="Tahoma" w:hAnsi="Tahoma"/>
          <w:sz w:val="27"/>
          <w:rtl/>
          <w:lang w:bidi="fa-IR"/>
        </w:rPr>
        <w:t>كابوس</w:t>
      </w:r>
      <w:r w:rsidR="00484E86" w:rsidRPr="00904FCB">
        <w:rPr>
          <w:rFonts w:hint="cs"/>
          <w:sz w:val="27"/>
          <w:rtl/>
          <w:lang w:bidi="fa-IR"/>
        </w:rPr>
        <w:t>ٌ</w:t>
      </w:r>
      <w:r w:rsidRPr="00904FCB">
        <w:rPr>
          <w:rFonts w:hint="eastAsia"/>
          <w:sz w:val="27"/>
          <w:rtl/>
        </w:rPr>
        <w:t>»</w:t>
      </w:r>
      <w:r w:rsidRPr="00904FCB">
        <w:rPr>
          <w:rFonts w:ascii="Tahoma" w:hAnsi="Tahoma"/>
          <w:sz w:val="27"/>
          <w:rtl/>
          <w:lang w:bidi="fa-IR"/>
        </w:rPr>
        <w:t xml:space="preserve"> يراد به تذويب الهويات المتعد</w:t>
      </w:r>
      <w:r w:rsidR="00484E86" w:rsidRPr="00904FCB">
        <w:rPr>
          <w:rFonts w:ascii="Tahoma" w:hAnsi="Tahoma" w:hint="cs"/>
          <w:sz w:val="27"/>
          <w:rtl/>
          <w:lang w:bidi="fa-IR"/>
        </w:rPr>
        <w:t>ِّ</w:t>
      </w:r>
      <w:r w:rsidRPr="00904FCB">
        <w:rPr>
          <w:rFonts w:ascii="Tahoma" w:hAnsi="Tahoma"/>
          <w:sz w:val="27"/>
          <w:rtl/>
          <w:lang w:bidi="fa-IR"/>
        </w:rPr>
        <w:t xml:space="preserve">دة، وتنحية </w:t>
      </w:r>
      <w:r w:rsidRPr="00904FCB">
        <w:rPr>
          <w:rFonts w:hint="eastAsia"/>
          <w:sz w:val="27"/>
          <w:rtl/>
          <w:lang w:bidi="fa-IR"/>
        </w:rPr>
        <w:t>«</w:t>
      </w:r>
      <w:r w:rsidRPr="00904FCB">
        <w:rPr>
          <w:rFonts w:ascii="Tahoma" w:hAnsi="Tahoma"/>
          <w:sz w:val="27"/>
          <w:rtl/>
          <w:lang w:bidi="fa-IR"/>
        </w:rPr>
        <w:t>الخصوصيات</w:t>
      </w:r>
      <w:r w:rsidRPr="00904FCB">
        <w:rPr>
          <w:rFonts w:hint="eastAsia"/>
          <w:sz w:val="27"/>
          <w:rtl/>
        </w:rPr>
        <w:t>»</w:t>
      </w:r>
      <w:r w:rsidR="00484E86" w:rsidRPr="00904FCB">
        <w:rPr>
          <w:rFonts w:ascii="Tahoma" w:hAnsi="Tahoma" w:hint="cs"/>
          <w:sz w:val="27"/>
          <w:rtl/>
        </w:rPr>
        <w:t>،</w:t>
      </w:r>
      <w:r w:rsidRPr="00904FCB">
        <w:rPr>
          <w:rFonts w:ascii="Tahoma" w:hAnsi="Tahoma"/>
          <w:sz w:val="27"/>
          <w:rtl/>
          <w:lang w:bidi="fa-IR"/>
        </w:rPr>
        <w:t xml:space="preserve"> وهي بطبيعتها سياج مقاوم، في عالم يريد </w:t>
      </w:r>
      <w:r w:rsidRPr="00904FCB">
        <w:rPr>
          <w:rFonts w:hint="eastAsia"/>
          <w:sz w:val="27"/>
          <w:rtl/>
          <w:lang w:bidi="fa-IR"/>
        </w:rPr>
        <w:t>«</w:t>
      </w:r>
      <w:r w:rsidRPr="00904FCB">
        <w:rPr>
          <w:rFonts w:ascii="Tahoma" w:hAnsi="Tahoma"/>
          <w:sz w:val="27"/>
          <w:rtl/>
          <w:lang w:bidi="fa-IR"/>
        </w:rPr>
        <w:t>هيمنة المركز</w:t>
      </w:r>
      <w:r w:rsidRPr="00904FCB">
        <w:rPr>
          <w:rFonts w:hint="eastAsia"/>
          <w:sz w:val="27"/>
          <w:rtl/>
        </w:rPr>
        <w:t>»</w:t>
      </w:r>
      <w:r w:rsidR="00484E86" w:rsidRPr="00904FCB">
        <w:rPr>
          <w:rFonts w:ascii="Tahoma" w:hAnsi="Tahoma" w:hint="cs"/>
          <w:sz w:val="27"/>
          <w:rtl/>
        </w:rPr>
        <w:t>،</w:t>
      </w:r>
      <w:r w:rsidRPr="00904FCB">
        <w:rPr>
          <w:rFonts w:ascii="Tahoma" w:hAnsi="Tahoma"/>
          <w:sz w:val="27"/>
          <w:rtl/>
          <w:lang w:bidi="fa-IR"/>
        </w:rPr>
        <w:t xml:space="preserve"> وتدف</w:t>
      </w:r>
      <w:r w:rsidR="00484E86" w:rsidRPr="00904FCB">
        <w:rPr>
          <w:rFonts w:ascii="Tahoma" w:hAnsi="Tahoma" w:hint="cs"/>
          <w:sz w:val="27"/>
          <w:rtl/>
          <w:lang w:bidi="fa-IR"/>
        </w:rPr>
        <w:t>ُّ</w:t>
      </w:r>
      <w:r w:rsidRPr="00904FCB">
        <w:rPr>
          <w:rFonts w:ascii="Tahoma" w:hAnsi="Tahoma"/>
          <w:sz w:val="27"/>
          <w:rtl/>
          <w:lang w:bidi="fa-IR"/>
        </w:rPr>
        <w:t>ق أفكاره وق</w:t>
      </w:r>
      <w:r w:rsidR="00484E86" w:rsidRPr="00904FCB">
        <w:rPr>
          <w:rFonts w:ascii="Tahoma" w:hAnsi="Tahoma" w:hint="cs"/>
          <w:sz w:val="27"/>
          <w:rtl/>
          <w:lang w:bidi="fa-IR"/>
        </w:rPr>
        <w:t>ِ</w:t>
      </w:r>
      <w:r w:rsidRPr="00904FCB">
        <w:rPr>
          <w:rFonts w:ascii="Tahoma" w:hAnsi="Tahoma"/>
          <w:sz w:val="27"/>
          <w:rtl/>
          <w:lang w:bidi="fa-IR"/>
        </w:rPr>
        <w:t>ي</w:t>
      </w:r>
      <w:r w:rsidR="00484E86" w:rsidRPr="00904FCB">
        <w:rPr>
          <w:rFonts w:ascii="Tahoma" w:hAnsi="Tahoma" w:hint="cs"/>
          <w:sz w:val="27"/>
          <w:rtl/>
          <w:lang w:bidi="fa-IR"/>
        </w:rPr>
        <w:t>َ</w:t>
      </w:r>
      <w:r w:rsidRPr="00904FCB">
        <w:rPr>
          <w:rFonts w:ascii="Tahoma" w:hAnsi="Tahoma"/>
          <w:sz w:val="27"/>
          <w:rtl/>
          <w:lang w:bidi="fa-IR"/>
        </w:rPr>
        <w:t>مه إلى الأطراف</w:t>
      </w:r>
      <w:r w:rsidR="00484E86" w:rsidRPr="00904FCB">
        <w:rPr>
          <w:rFonts w:ascii="Tahoma" w:hAnsi="Tahoma" w:hint="cs"/>
          <w:sz w:val="27"/>
          <w:rtl/>
          <w:lang w:bidi="fa-IR"/>
        </w:rPr>
        <w:t>؛</w:t>
      </w:r>
      <w:r w:rsidRPr="00904FCB">
        <w:rPr>
          <w:rFonts w:ascii="Tahoma" w:hAnsi="Tahoma"/>
          <w:sz w:val="27"/>
          <w:rtl/>
          <w:lang w:bidi="fa-IR"/>
        </w:rPr>
        <w:t xml:space="preserve"> بهدف </w:t>
      </w:r>
      <w:r w:rsidRPr="00904FCB">
        <w:rPr>
          <w:rFonts w:hint="eastAsia"/>
          <w:sz w:val="27"/>
          <w:rtl/>
          <w:lang w:bidi="fa-IR"/>
        </w:rPr>
        <w:t>«</w:t>
      </w:r>
      <w:r w:rsidRPr="00904FCB">
        <w:rPr>
          <w:rFonts w:ascii="Tahoma" w:hAnsi="Tahoma"/>
          <w:sz w:val="27"/>
          <w:rtl/>
          <w:lang w:bidi="fa-IR"/>
        </w:rPr>
        <w:t>خلخلة</w:t>
      </w:r>
      <w:r w:rsidRPr="00904FCB">
        <w:rPr>
          <w:rFonts w:hint="eastAsia"/>
          <w:sz w:val="27"/>
          <w:rtl/>
        </w:rPr>
        <w:t>»</w:t>
      </w:r>
      <w:r w:rsidRPr="00904FCB">
        <w:rPr>
          <w:rFonts w:ascii="Tahoma" w:hAnsi="Tahoma"/>
          <w:sz w:val="27"/>
          <w:rtl/>
          <w:lang w:bidi="fa-IR"/>
        </w:rPr>
        <w:t xml:space="preserve"> </w:t>
      </w:r>
      <w:r w:rsidR="00484E86" w:rsidRPr="00904FCB">
        <w:rPr>
          <w:rFonts w:ascii="Tahoma" w:hAnsi="Tahoma" w:hint="cs"/>
          <w:sz w:val="27"/>
          <w:rtl/>
          <w:lang w:bidi="fa-IR"/>
        </w:rPr>
        <w:t>أ</w:t>
      </w:r>
      <w:r w:rsidRPr="00904FCB">
        <w:rPr>
          <w:rFonts w:ascii="Tahoma" w:hAnsi="Tahoma"/>
          <w:sz w:val="27"/>
          <w:rtl/>
          <w:lang w:bidi="fa-IR"/>
        </w:rPr>
        <w:t>بنيتها الثقافية</w:t>
      </w:r>
      <w:r w:rsidR="00484E86" w:rsidRPr="00904FCB">
        <w:rPr>
          <w:rFonts w:ascii="Tahoma" w:hAnsi="Tahoma" w:hint="cs"/>
          <w:sz w:val="27"/>
          <w:rtl/>
          <w:lang w:bidi="fa-IR"/>
        </w:rPr>
        <w:t>؛</w:t>
      </w:r>
      <w:r w:rsidRPr="00904FCB">
        <w:rPr>
          <w:rFonts w:ascii="Tahoma" w:hAnsi="Tahoma"/>
          <w:sz w:val="27"/>
          <w:rtl/>
          <w:lang w:bidi="fa-IR"/>
        </w:rPr>
        <w:t xml:space="preserve"> لتكون أكثر قابلية للت</w:t>
      </w:r>
      <w:r w:rsidR="00484E86" w:rsidRPr="00904FCB">
        <w:rPr>
          <w:rFonts w:ascii="Tahoma" w:hAnsi="Tahoma" w:hint="cs"/>
          <w:sz w:val="27"/>
          <w:rtl/>
          <w:lang w:bidi="fa-IR"/>
        </w:rPr>
        <w:t>َّ</w:t>
      </w:r>
      <w:r w:rsidRPr="00904FCB">
        <w:rPr>
          <w:rFonts w:ascii="Tahoma" w:hAnsi="Tahoma"/>
          <w:sz w:val="27"/>
          <w:rtl/>
          <w:lang w:bidi="fa-IR"/>
        </w:rPr>
        <w:t>ب</w:t>
      </w:r>
      <w:r w:rsidR="00484E86" w:rsidRPr="00904FCB">
        <w:rPr>
          <w:rFonts w:ascii="Tahoma" w:hAnsi="Tahoma" w:hint="cs"/>
          <w:sz w:val="27"/>
          <w:rtl/>
          <w:lang w:bidi="fa-IR"/>
        </w:rPr>
        <w:t>َ</w:t>
      </w:r>
      <w:r w:rsidRPr="00904FCB">
        <w:rPr>
          <w:rFonts w:ascii="Tahoma" w:hAnsi="Tahoma"/>
          <w:sz w:val="27"/>
          <w:rtl/>
          <w:lang w:bidi="fa-IR"/>
        </w:rPr>
        <w:t>عية، وأبعد عن التفكير في الاستقلال</w:t>
      </w:r>
      <w:r w:rsidR="00484E86" w:rsidRPr="00904FCB">
        <w:rPr>
          <w:rFonts w:ascii="Tahoma" w:hAnsi="Tahoma"/>
          <w:sz w:val="27"/>
          <w:rtl/>
          <w:lang w:bidi="fa-IR"/>
        </w:rPr>
        <w:t>.</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 xml:space="preserve">والذي يمعن في قراءة </w:t>
      </w:r>
      <w:r w:rsidRPr="00904FCB">
        <w:rPr>
          <w:rFonts w:hint="eastAsia"/>
          <w:sz w:val="27"/>
          <w:rtl/>
          <w:lang w:bidi="fa-IR"/>
        </w:rPr>
        <w:t>«</w:t>
      </w:r>
      <w:r w:rsidRPr="00904FCB">
        <w:rPr>
          <w:rFonts w:ascii="Tahoma" w:hAnsi="Tahoma"/>
          <w:sz w:val="27"/>
          <w:rtl/>
          <w:lang w:bidi="fa-IR"/>
        </w:rPr>
        <w:t>سالي</w:t>
      </w:r>
      <w:r w:rsidRPr="00904FCB">
        <w:rPr>
          <w:rFonts w:hint="eastAsia"/>
          <w:sz w:val="27"/>
          <w:rtl/>
        </w:rPr>
        <w:t>»</w:t>
      </w:r>
      <w:r w:rsidRPr="00904FCB">
        <w:rPr>
          <w:rFonts w:ascii="Tahoma" w:hAnsi="Tahoma"/>
          <w:sz w:val="27"/>
          <w:rtl/>
          <w:lang w:bidi="fa-IR"/>
        </w:rPr>
        <w:t xml:space="preserve"> ير</w:t>
      </w:r>
      <w:r w:rsidR="00484E86" w:rsidRPr="00904FCB">
        <w:rPr>
          <w:rFonts w:ascii="Tahoma" w:hAnsi="Tahoma" w:hint="cs"/>
          <w:sz w:val="27"/>
          <w:rtl/>
          <w:lang w:bidi="fa-IR"/>
        </w:rPr>
        <w:t>ى</w:t>
      </w:r>
      <w:r w:rsidRPr="00904FCB">
        <w:rPr>
          <w:rFonts w:ascii="Tahoma" w:hAnsi="Tahoma"/>
          <w:sz w:val="27"/>
          <w:rtl/>
          <w:lang w:bidi="fa-IR"/>
        </w:rPr>
        <w:t xml:space="preserve"> عنده رؤية متعص</w:t>
      </w:r>
      <w:r w:rsidR="00484E86" w:rsidRPr="00904FCB">
        <w:rPr>
          <w:rFonts w:ascii="Tahoma" w:hAnsi="Tahoma" w:hint="cs"/>
          <w:sz w:val="27"/>
          <w:rtl/>
          <w:lang w:bidi="fa-IR"/>
        </w:rPr>
        <w:t>ِّ</w:t>
      </w:r>
      <w:r w:rsidRPr="00904FCB">
        <w:rPr>
          <w:rFonts w:ascii="Tahoma" w:hAnsi="Tahoma"/>
          <w:sz w:val="27"/>
          <w:rtl/>
          <w:lang w:bidi="fa-IR"/>
        </w:rPr>
        <w:t>بة لا تتحد</w:t>
      </w:r>
      <w:r w:rsidR="00484E86" w:rsidRPr="00904FCB">
        <w:rPr>
          <w:rFonts w:ascii="Tahoma" w:hAnsi="Tahoma" w:hint="cs"/>
          <w:sz w:val="27"/>
          <w:rtl/>
          <w:lang w:bidi="fa-IR"/>
        </w:rPr>
        <w:t>َّ</w:t>
      </w:r>
      <w:r w:rsidRPr="00904FCB">
        <w:rPr>
          <w:rFonts w:ascii="Tahoma" w:hAnsi="Tahoma"/>
          <w:sz w:val="27"/>
          <w:rtl/>
          <w:lang w:bidi="fa-IR"/>
        </w:rPr>
        <w:t>ث إلا</w:t>
      </w:r>
      <w:r w:rsidR="00484E86" w:rsidRPr="00904FCB">
        <w:rPr>
          <w:rFonts w:ascii="Tahoma" w:hAnsi="Tahoma" w:hint="cs"/>
          <w:sz w:val="27"/>
          <w:rtl/>
          <w:lang w:bidi="fa-IR"/>
        </w:rPr>
        <w:t>ّ</w:t>
      </w:r>
      <w:r w:rsidRPr="00904FCB">
        <w:rPr>
          <w:rFonts w:ascii="Tahoma" w:hAnsi="Tahoma"/>
          <w:sz w:val="27"/>
          <w:rtl/>
          <w:lang w:bidi="fa-IR"/>
        </w:rPr>
        <w:t xml:space="preserve"> عن قوانين </w:t>
      </w:r>
      <w:r w:rsidRPr="00904FCB">
        <w:rPr>
          <w:rFonts w:ascii="Tahoma" w:hAnsi="Tahoma"/>
          <w:sz w:val="27"/>
          <w:rtl/>
          <w:lang w:bidi="fa-IR"/>
        </w:rPr>
        <w:lastRenderedPageBreak/>
        <w:t>دول</w:t>
      </w:r>
      <w:r w:rsidR="00484E86" w:rsidRPr="00904FCB">
        <w:rPr>
          <w:rFonts w:ascii="Tahoma" w:hAnsi="Tahoma" w:hint="cs"/>
          <w:sz w:val="27"/>
          <w:rtl/>
          <w:lang w:bidi="fa-IR"/>
        </w:rPr>
        <w:t>ٍ</w:t>
      </w:r>
      <w:r w:rsidRPr="00904FCB">
        <w:rPr>
          <w:rFonts w:ascii="Tahoma" w:hAnsi="Tahoma"/>
          <w:sz w:val="27"/>
          <w:rtl/>
          <w:lang w:bidi="fa-IR"/>
        </w:rPr>
        <w:t xml:space="preserve"> متحض</w:t>
      </w:r>
      <w:r w:rsidR="00484E86" w:rsidRPr="00904FCB">
        <w:rPr>
          <w:rFonts w:ascii="Tahoma" w:hAnsi="Tahoma" w:hint="cs"/>
          <w:sz w:val="27"/>
          <w:rtl/>
          <w:lang w:bidi="fa-IR"/>
        </w:rPr>
        <w:t>ِّ</w:t>
      </w:r>
      <w:r w:rsidRPr="00904FCB">
        <w:rPr>
          <w:rFonts w:ascii="Tahoma" w:hAnsi="Tahoma"/>
          <w:sz w:val="27"/>
          <w:rtl/>
          <w:lang w:bidi="fa-IR"/>
        </w:rPr>
        <w:t>رة</w:t>
      </w:r>
      <w:r w:rsidR="00484E86" w:rsidRPr="00904FCB">
        <w:rPr>
          <w:rFonts w:ascii="Tahoma" w:hAnsi="Tahoma" w:hint="cs"/>
          <w:sz w:val="27"/>
          <w:rtl/>
          <w:lang w:bidi="fa-IR"/>
        </w:rPr>
        <w:t>،</w:t>
      </w:r>
      <w:r w:rsidRPr="00904FCB">
        <w:rPr>
          <w:rFonts w:ascii="Tahoma" w:hAnsi="Tahoma"/>
          <w:sz w:val="27"/>
          <w:rtl/>
          <w:lang w:bidi="fa-IR"/>
        </w:rPr>
        <w:t xml:space="preserve"> هي الغ</w:t>
      </w:r>
      <w:r w:rsidR="00484E86" w:rsidRPr="00904FCB">
        <w:rPr>
          <w:rFonts w:ascii="Tahoma" w:hAnsi="Tahoma" w:hint="cs"/>
          <w:sz w:val="27"/>
          <w:rtl/>
          <w:lang w:bidi="fa-IR"/>
        </w:rPr>
        <w:t>َ</w:t>
      </w:r>
      <w:r w:rsidRPr="00904FCB">
        <w:rPr>
          <w:rFonts w:ascii="Tahoma" w:hAnsi="Tahoma"/>
          <w:sz w:val="27"/>
          <w:rtl/>
          <w:lang w:bidi="fa-IR"/>
        </w:rPr>
        <w:t>ر</w:t>
      </w:r>
      <w:r w:rsidR="00484E86" w:rsidRPr="00904FCB">
        <w:rPr>
          <w:rFonts w:ascii="Tahoma" w:hAnsi="Tahoma" w:hint="cs"/>
          <w:sz w:val="27"/>
          <w:rtl/>
          <w:lang w:bidi="fa-IR"/>
        </w:rPr>
        <w:t>ْ</w:t>
      </w:r>
      <w:r w:rsidRPr="00904FCB">
        <w:rPr>
          <w:rFonts w:ascii="Tahoma" w:hAnsi="Tahoma"/>
          <w:sz w:val="27"/>
          <w:rtl/>
          <w:lang w:bidi="fa-IR"/>
        </w:rPr>
        <w:t>ب في نظره، دون تحديد لمعايير المدنية، ومقاييس التحض</w:t>
      </w:r>
      <w:r w:rsidR="00484E86" w:rsidRPr="00904FCB">
        <w:rPr>
          <w:rFonts w:ascii="Tahoma" w:hAnsi="Tahoma" w:hint="cs"/>
          <w:sz w:val="27"/>
          <w:rtl/>
          <w:lang w:bidi="fa-IR"/>
        </w:rPr>
        <w:t>ُّ</w:t>
      </w:r>
      <w:r w:rsidRPr="00904FCB">
        <w:rPr>
          <w:rFonts w:ascii="Tahoma" w:hAnsi="Tahoma"/>
          <w:sz w:val="27"/>
          <w:rtl/>
          <w:lang w:bidi="fa-IR"/>
        </w:rPr>
        <w:t>ر</w:t>
      </w:r>
      <w:r w:rsidR="00484E86" w:rsidRPr="00904FCB">
        <w:rPr>
          <w:rFonts w:ascii="Tahoma" w:hAnsi="Tahoma" w:hint="cs"/>
          <w:sz w:val="27"/>
          <w:rtl/>
          <w:lang w:bidi="fa-IR"/>
        </w:rPr>
        <w:t>.</w:t>
      </w:r>
      <w:r w:rsidRPr="00904FCB">
        <w:rPr>
          <w:rFonts w:ascii="Tahoma" w:hAnsi="Tahoma"/>
          <w:sz w:val="27"/>
          <w:rtl/>
          <w:lang w:bidi="fa-IR"/>
        </w:rPr>
        <w:t xml:space="preserve"> وقد أجمع ـ كما قال البعض ـ أهل العلم بفلسفة القانون وبمقارنة الشرائع على </w:t>
      </w:r>
      <w:r w:rsidR="00484E86" w:rsidRPr="00904FCB">
        <w:rPr>
          <w:rFonts w:ascii="Tahoma" w:hAnsi="Tahoma" w:hint="cs"/>
          <w:sz w:val="27"/>
          <w:rtl/>
          <w:lang w:bidi="fa-IR"/>
        </w:rPr>
        <w:t>أ</w:t>
      </w:r>
      <w:r w:rsidRPr="00904FCB">
        <w:rPr>
          <w:rFonts w:ascii="Tahoma" w:hAnsi="Tahoma"/>
          <w:sz w:val="27"/>
          <w:rtl/>
          <w:lang w:bidi="fa-IR"/>
        </w:rPr>
        <w:t>نه لا يصح في فن</w:t>
      </w:r>
      <w:r w:rsidR="00484E86" w:rsidRPr="00904FCB">
        <w:rPr>
          <w:rFonts w:ascii="Tahoma" w:hAnsi="Tahoma" w:hint="cs"/>
          <w:sz w:val="27"/>
          <w:rtl/>
          <w:lang w:bidi="fa-IR"/>
        </w:rPr>
        <w:t>ّ</w:t>
      </w:r>
      <w:r w:rsidRPr="00904FCB">
        <w:rPr>
          <w:rFonts w:ascii="Tahoma" w:hAnsi="Tahoma"/>
          <w:sz w:val="27"/>
          <w:rtl/>
          <w:lang w:bidi="fa-IR"/>
        </w:rPr>
        <w:t xml:space="preserve"> التقنين هدم القوانين الوطنية</w:t>
      </w:r>
      <w:r w:rsidR="00484E86" w:rsidRPr="00904FCB">
        <w:rPr>
          <w:rFonts w:ascii="Tahoma" w:hAnsi="Tahoma" w:hint="cs"/>
          <w:sz w:val="27"/>
          <w:rtl/>
          <w:lang w:bidi="fa-IR"/>
        </w:rPr>
        <w:t>،</w:t>
      </w:r>
      <w:r w:rsidRPr="00904FCB">
        <w:rPr>
          <w:rFonts w:ascii="Tahoma" w:hAnsi="Tahoma"/>
          <w:sz w:val="27"/>
          <w:rtl/>
          <w:lang w:bidi="fa-IR"/>
        </w:rPr>
        <w:t xml:space="preserve"> بل يجب احترامها</w:t>
      </w:r>
      <w:r w:rsidR="00484E86" w:rsidRPr="00904FCB">
        <w:rPr>
          <w:rFonts w:ascii="Tahoma" w:hAnsi="Tahoma" w:hint="cs"/>
          <w:sz w:val="27"/>
          <w:rtl/>
          <w:lang w:bidi="fa-IR"/>
        </w:rPr>
        <w:t>.</w:t>
      </w:r>
      <w:r w:rsidRPr="00904FCB">
        <w:rPr>
          <w:rFonts w:ascii="Tahoma" w:hAnsi="Tahoma"/>
          <w:sz w:val="27"/>
          <w:rtl/>
          <w:lang w:bidi="fa-IR"/>
        </w:rPr>
        <w:t xml:space="preserve"> وكما يقول د. محمد صادق فهمي بحق</w:t>
      </w:r>
      <w:r w:rsidR="00484E86" w:rsidRPr="00904FCB">
        <w:rPr>
          <w:rFonts w:ascii="Tahoma" w:hAnsi="Tahoma" w:hint="cs"/>
          <w:sz w:val="27"/>
          <w:rtl/>
          <w:lang w:bidi="fa-IR"/>
        </w:rPr>
        <w:t>ٍّ</w:t>
      </w:r>
      <w:r w:rsidRPr="00904FCB">
        <w:rPr>
          <w:rFonts w:ascii="Tahoma" w:hAnsi="Tahoma"/>
          <w:sz w:val="27"/>
          <w:rtl/>
          <w:lang w:bidi="fa-IR"/>
        </w:rPr>
        <w:t>: «إن تشريع كل</w:t>
      </w:r>
      <w:r w:rsidR="00484E86" w:rsidRPr="00904FCB">
        <w:rPr>
          <w:rFonts w:ascii="Tahoma" w:hAnsi="Tahoma" w:hint="cs"/>
          <w:sz w:val="27"/>
          <w:rtl/>
          <w:lang w:bidi="fa-IR"/>
        </w:rPr>
        <w:t>ّ</w:t>
      </w:r>
      <w:r w:rsidRPr="00904FCB">
        <w:rPr>
          <w:rFonts w:ascii="Tahoma" w:hAnsi="Tahoma"/>
          <w:sz w:val="27"/>
          <w:rtl/>
          <w:lang w:bidi="fa-IR"/>
        </w:rPr>
        <w:t xml:space="preserve"> أم</w:t>
      </w:r>
      <w:r w:rsidR="00484E86" w:rsidRPr="00904FCB">
        <w:rPr>
          <w:rFonts w:ascii="Tahoma" w:hAnsi="Tahoma" w:hint="cs"/>
          <w:sz w:val="27"/>
          <w:rtl/>
          <w:lang w:bidi="fa-IR"/>
        </w:rPr>
        <w:t>ّ</w:t>
      </w:r>
      <w:r w:rsidRPr="00904FCB">
        <w:rPr>
          <w:rFonts w:ascii="Tahoma" w:hAnsi="Tahoma"/>
          <w:sz w:val="27"/>
          <w:rtl/>
          <w:lang w:bidi="fa-IR"/>
        </w:rPr>
        <w:t>ة هو من خصائصها، وله ارتباط</w:t>
      </w:r>
      <w:r w:rsidR="00484E86" w:rsidRPr="00904FCB">
        <w:rPr>
          <w:rFonts w:ascii="Tahoma" w:hAnsi="Tahoma" w:hint="cs"/>
          <w:sz w:val="27"/>
          <w:rtl/>
          <w:lang w:bidi="fa-IR"/>
        </w:rPr>
        <w:t>ٌ</w:t>
      </w:r>
      <w:r w:rsidRPr="00904FCB">
        <w:rPr>
          <w:rFonts w:ascii="Tahoma" w:hAnsi="Tahoma"/>
          <w:sz w:val="27"/>
          <w:rtl/>
          <w:lang w:bidi="fa-IR"/>
        </w:rPr>
        <w:t xml:space="preserve"> وثيق بأخلاقها وتقاليدها وجو</w:t>
      </w:r>
      <w:r w:rsidR="00484E86" w:rsidRPr="00904FCB">
        <w:rPr>
          <w:rFonts w:ascii="Tahoma" w:hAnsi="Tahoma" w:hint="cs"/>
          <w:sz w:val="27"/>
          <w:rtl/>
          <w:lang w:bidi="fa-IR"/>
        </w:rPr>
        <w:t>ّ</w:t>
      </w:r>
      <w:r w:rsidRPr="00904FCB">
        <w:rPr>
          <w:rFonts w:ascii="Tahoma" w:hAnsi="Tahoma"/>
          <w:sz w:val="27"/>
          <w:rtl/>
          <w:lang w:bidi="fa-IR"/>
        </w:rPr>
        <w:t>ها وأرضها، وما هو إلا</w:t>
      </w:r>
      <w:r w:rsidR="00484E86" w:rsidRPr="00904FCB">
        <w:rPr>
          <w:rFonts w:ascii="Tahoma" w:hAnsi="Tahoma" w:hint="cs"/>
          <w:sz w:val="27"/>
          <w:rtl/>
          <w:lang w:bidi="fa-IR"/>
        </w:rPr>
        <w:t>ّ</w:t>
      </w:r>
      <w:r w:rsidRPr="00904FCB">
        <w:rPr>
          <w:rFonts w:ascii="Tahoma" w:hAnsi="Tahoma"/>
          <w:sz w:val="27"/>
          <w:rtl/>
          <w:lang w:bidi="fa-IR"/>
        </w:rPr>
        <w:t xml:space="preserve"> مظهر من مظاهرها الاجتماعية، ومرآة لحالتها الاقتصادية</w:t>
      </w:r>
      <w:r w:rsidR="00484E86" w:rsidRPr="00904FCB">
        <w:rPr>
          <w:rFonts w:ascii="Tahoma" w:hAnsi="Tahoma" w:hint="cs"/>
          <w:sz w:val="27"/>
          <w:rtl/>
          <w:lang w:bidi="fa-IR"/>
        </w:rPr>
        <w:t>.</w:t>
      </w:r>
      <w:r w:rsidRPr="00904FCB">
        <w:rPr>
          <w:rFonts w:ascii="Tahoma" w:hAnsi="Tahoma"/>
          <w:sz w:val="27"/>
          <w:rtl/>
          <w:lang w:bidi="fa-IR"/>
        </w:rPr>
        <w:t xml:space="preserve"> وإذا </w:t>
      </w:r>
      <w:r w:rsidR="00484E86" w:rsidRPr="00904FCB">
        <w:rPr>
          <w:rFonts w:ascii="Tahoma" w:hAnsi="Tahoma" w:hint="cs"/>
          <w:sz w:val="27"/>
          <w:rtl/>
          <w:lang w:bidi="fa-IR"/>
        </w:rPr>
        <w:t>أ</w:t>
      </w:r>
      <w:r w:rsidRPr="00904FCB">
        <w:rPr>
          <w:rFonts w:ascii="Tahoma" w:hAnsi="Tahoma"/>
          <w:sz w:val="27"/>
          <w:rtl/>
          <w:lang w:bidi="fa-IR"/>
        </w:rPr>
        <w:t>لقينا نظرة على مختلف الأمم التي لها مجد</w:t>
      </w:r>
      <w:r w:rsidR="00484E86" w:rsidRPr="00904FCB">
        <w:rPr>
          <w:rFonts w:ascii="Tahoma" w:hAnsi="Tahoma" w:hint="cs"/>
          <w:sz w:val="27"/>
          <w:rtl/>
          <w:lang w:bidi="fa-IR"/>
        </w:rPr>
        <w:t>ٌ</w:t>
      </w:r>
      <w:r w:rsidRPr="00904FCB">
        <w:rPr>
          <w:rFonts w:ascii="Tahoma" w:hAnsi="Tahoma"/>
          <w:sz w:val="27"/>
          <w:rtl/>
          <w:lang w:bidi="fa-IR"/>
        </w:rPr>
        <w:t xml:space="preserve"> في الحياة</w:t>
      </w:r>
      <w:r w:rsidR="00484E86" w:rsidRPr="00904FCB">
        <w:rPr>
          <w:rFonts w:ascii="Tahoma" w:hAnsi="Tahoma" w:hint="cs"/>
          <w:sz w:val="27"/>
          <w:rtl/>
          <w:lang w:bidi="fa-IR"/>
        </w:rPr>
        <w:t>،</w:t>
      </w:r>
      <w:r w:rsidRPr="00904FCB">
        <w:rPr>
          <w:rFonts w:ascii="Tahoma" w:hAnsi="Tahoma"/>
          <w:sz w:val="27"/>
          <w:rtl/>
          <w:lang w:bidi="fa-IR"/>
        </w:rPr>
        <w:t xml:space="preserve"> وشخصية تعتز</w:t>
      </w:r>
      <w:r w:rsidR="00484E86" w:rsidRPr="00904FCB">
        <w:rPr>
          <w:rFonts w:ascii="Tahoma" w:hAnsi="Tahoma" w:hint="cs"/>
          <w:sz w:val="27"/>
          <w:rtl/>
          <w:lang w:bidi="fa-IR"/>
        </w:rPr>
        <w:t>ّ</w:t>
      </w:r>
      <w:r w:rsidRPr="00904FCB">
        <w:rPr>
          <w:rFonts w:ascii="Tahoma" w:hAnsi="Tahoma"/>
          <w:sz w:val="27"/>
          <w:rtl/>
          <w:lang w:bidi="fa-IR"/>
        </w:rPr>
        <w:t xml:space="preserve"> بها</w:t>
      </w:r>
      <w:r w:rsidR="00484E86" w:rsidRPr="00904FCB">
        <w:rPr>
          <w:rFonts w:ascii="Tahoma" w:hAnsi="Tahoma" w:hint="cs"/>
          <w:sz w:val="27"/>
          <w:rtl/>
          <w:lang w:bidi="fa-IR"/>
        </w:rPr>
        <w:t>،</w:t>
      </w:r>
      <w:r w:rsidRPr="00904FCB">
        <w:rPr>
          <w:rFonts w:ascii="Tahoma" w:hAnsi="Tahoma"/>
          <w:sz w:val="27"/>
          <w:rtl/>
          <w:lang w:bidi="fa-IR"/>
        </w:rPr>
        <w:t xml:space="preserve"> وجدنا أن قانونها هو منها</w:t>
      </w:r>
      <w:r w:rsidR="00484E86" w:rsidRPr="00904FCB">
        <w:rPr>
          <w:rFonts w:ascii="Tahoma" w:hAnsi="Tahoma" w:hint="cs"/>
          <w:sz w:val="27"/>
          <w:rtl/>
          <w:lang w:bidi="fa-IR"/>
        </w:rPr>
        <w:t>،</w:t>
      </w:r>
      <w:r w:rsidRPr="00904FCB">
        <w:rPr>
          <w:rFonts w:ascii="Tahoma" w:hAnsi="Tahoma"/>
          <w:sz w:val="27"/>
          <w:rtl/>
          <w:lang w:bidi="fa-IR"/>
        </w:rPr>
        <w:t xml:space="preserve"> وهي مصدره الأو</w:t>
      </w:r>
      <w:r w:rsidR="00484E86" w:rsidRPr="00904FCB">
        <w:rPr>
          <w:rFonts w:ascii="Tahoma" w:hAnsi="Tahoma" w:hint="cs"/>
          <w:sz w:val="27"/>
          <w:rtl/>
          <w:lang w:bidi="fa-IR"/>
        </w:rPr>
        <w:t>ّ</w:t>
      </w:r>
      <w:r w:rsidRPr="00904FCB">
        <w:rPr>
          <w:rFonts w:ascii="Tahoma" w:hAnsi="Tahoma" w:hint="cs"/>
          <w:sz w:val="27"/>
          <w:rtl/>
          <w:lang w:bidi="fa-IR"/>
        </w:rPr>
        <w:t>ل</w:t>
      </w:r>
      <w:r w:rsidRPr="00904FCB">
        <w:rPr>
          <w:rFonts w:hint="eastAsia"/>
          <w:sz w:val="27"/>
          <w:rtl/>
        </w:rPr>
        <w:t>»</w:t>
      </w:r>
      <w:r w:rsidRPr="00904FCB">
        <w:rPr>
          <w:rFonts w:ascii="Tahoma" w:hAnsi="Tahoma" w:hint="cs"/>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 </w:t>
      </w:r>
    </w:p>
    <w:p w:rsidR="00644408" w:rsidRPr="00904FCB" w:rsidRDefault="00644408" w:rsidP="007A21AA">
      <w:pPr>
        <w:pStyle w:val="31"/>
        <w:spacing w:line="400" w:lineRule="exact"/>
        <w:rPr>
          <w:color w:val="auto"/>
          <w:lang w:bidi="fa-IR"/>
        </w:rPr>
      </w:pPr>
      <w:r w:rsidRPr="00904FCB">
        <w:rPr>
          <w:color w:val="auto"/>
          <w:rtl/>
          <w:lang w:bidi="fa-IR"/>
        </w:rPr>
        <w:t>ثالثاً</w:t>
      </w:r>
      <w:r w:rsidRPr="00904FCB">
        <w:rPr>
          <w:rFonts w:hint="cs"/>
          <w:color w:val="auto"/>
          <w:rtl/>
          <w:lang w:bidi="fa-IR"/>
        </w:rPr>
        <w:t xml:space="preserve">: </w:t>
      </w:r>
      <w:r w:rsidRPr="00904FCB">
        <w:rPr>
          <w:color w:val="auto"/>
          <w:rtl/>
          <w:lang w:bidi="fa-IR"/>
        </w:rPr>
        <w:t xml:space="preserve">وظائف القانون المقارن </w:t>
      </w:r>
    </w:p>
    <w:p w:rsidR="00484E86"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حاول البعض أن يربط القانون المقارن ووظائفه بما هو كائن</w:t>
      </w:r>
      <w:r w:rsidR="00484E86" w:rsidRPr="00904FCB">
        <w:rPr>
          <w:rFonts w:ascii="Tahoma" w:hAnsi="Tahoma" w:hint="cs"/>
          <w:sz w:val="27"/>
          <w:rtl/>
          <w:lang w:bidi="fa-IR"/>
        </w:rPr>
        <w:t>ٌ،</w:t>
      </w:r>
      <w:r w:rsidRPr="00904FCB">
        <w:rPr>
          <w:rFonts w:ascii="Tahoma" w:hAnsi="Tahoma"/>
          <w:sz w:val="27"/>
          <w:rtl/>
          <w:lang w:bidi="fa-IR"/>
        </w:rPr>
        <w:t xml:space="preserve"> لا بما ينبغي أن يكون</w:t>
      </w:r>
      <w:r w:rsidR="00484E86"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والرأي عندي أن القانون المقارن غائي في مواجهته للواقع القانوني بقصد تغييره وإصلاحه، فلا تتوق</w:t>
      </w:r>
      <w:r w:rsidR="00484E86" w:rsidRPr="00904FCB">
        <w:rPr>
          <w:rFonts w:ascii="Tahoma" w:hAnsi="Tahoma" w:hint="cs"/>
          <w:sz w:val="27"/>
          <w:rtl/>
          <w:lang w:bidi="fa-IR"/>
        </w:rPr>
        <w:t>ّ</w:t>
      </w:r>
      <w:r w:rsidRPr="00904FCB">
        <w:rPr>
          <w:rFonts w:ascii="Tahoma" w:hAnsi="Tahoma"/>
          <w:sz w:val="27"/>
          <w:rtl/>
          <w:lang w:bidi="fa-IR"/>
        </w:rPr>
        <w:t>ف مهامه عند الوصف والتفسير، بل إن جوهر وظيفته في التقويم والتغيير</w:t>
      </w:r>
      <w:r w:rsidR="00484E86" w:rsidRPr="00904FCB">
        <w:rPr>
          <w:rFonts w:ascii="Tahoma" w:hAnsi="Tahoma" w:hint="cs"/>
          <w:sz w:val="27"/>
          <w:rtl/>
          <w:lang w:bidi="fa-IR"/>
        </w:rPr>
        <w:t>.</w:t>
      </w:r>
      <w:r w:rsidRPr="00904FCB">
        <w:rPr>
          <w:rFonts w:ascii="Tahoma" w:hAnsi="Tahoma"/>
          <w:sz w:val="27"/>
          <w:rtl/>
          <w:lang w:bidi="fa-IR"/>
        </w:rPr>
        <w:t xml:space="preserve"> وذلك ينطبق على الأصول والفروع</w:t>
      </w:r>
      <w:r w:rsidR="00484E86" w:rsidRPr="00904FCB">
        <w:rPr>
          <w:rFonts w:ascii="Tahoma" w:hAnsi="Tahoma" w:hint="cs"/>
          <w:sz w:val="27"/>
          <w:rtl/>
          <w:lang w:bidi="fa-IR"/>
        </w:rPr>
        <w:t>.</w:t>
      </w:r>
      <w:r w:rsidRPr="00904FCB">
        <w:rPr>
          <w:rFonts w:ascii="Tahoma" w:hAnsi="Tahoma"/>
          <w:sz w:val="27"/>
          <w:rtl/>
          <w:lang w:bidi="fa-IR"/>
        </w:rPr>
        <w:t xml:space="preserve"> وبدافع</w:t>
      </w:r>
      <w:r w:rsidR="00484E86" w:rsidRPr="00904FCB">
        <w:rPr>
          <w:rFonts w:ascii="Tahoma" w:hAnsi="Tahoma" w:hint="cs"/>
          <w:sz w:val="27"/>
          <w:rtl/>
          <w:lang w:bidi="fa-IR"/>
        </w:rPr>
        <w:t>ٍ</w:t>
      </w:r>
      <w:r w:rsidRPr="00904FCB">
        <w:rPr>
          <w:rFonts w:ascii="Tahoma" w:hAnsi="Tahoma"/>
          <w:sz w:val="27"/>
          <w:rtl/>
          <w:lang w:bidi="fa-IR"/>
        </w:rPr>
        <w:t xml:space="preserve"> من الوعي بأهم</w:t>
      </w:r>
      <w:r w:rsidR="00484E86" w:rsidRPr="00904FCB">
        <w:rPr>
          <w:rFonts w:ascii="Tahoma" w:hAnsi="Tahoma" w:hint="cs"/>
          <w:sz w:val="27"/>
          <w:rtl/>
          <w:lang w:bidi="fa-IR"/>
        </w:rPr>
        <w:t>ّ</w:t>
      </w:r>
      <w:r w:rsidRPr="00904FCB">
        <w:rPr>
          <w:rFonts w:ascii="Tahoma" w:hAnsi="Tahoma"/>
          <w:sz w:val="27"/>
          <w:rtl/>
          <w:lang w:bidi="fa-IR"/>
        </w:rPr>
        <w:t xml:space="preserve">ية التصنيف العلمي يمكن </w:t>
      </w:r>
      <w:r w:rsidR="003D4229" w:rsidRPr="00904FCB">
        <w:rPr>
          <w:rFonts w:ascii="Tahoma" w:hAnsi="Tahoma" w:hint="cs"/>
          <w:sz w:val="27"/>
          <w:rtl/>
          <w:lang w:bidi="fa-IR"/>
        </w:rPr>
        <w:t>إ</w:t>
      </w:r>
      <w:r w:rsidRPr="00904FCB">
        <w:rPr>
          <w:rFonts w:ascii="Tahoma" w:hAnsi="Tahoma"/>
          <w:sz w:val="27"/>
          <w:rtl/>
          <w:lang w:bidi="fa-IR"/>
        </w:rPr>
        <w:t>يجاز وظائف القانون المقارن في</w:t>
      </w:r>
      <w:r w:rsidRPr="00904FCB">
        <w:rPr>
          <w:rFonts w:ascii="Tahoma" w:hAnsi="Tahoma" w:hint="cs"/>
          <w:sz w:val="27"/>
          <w:rtl/>
          <w:lang w:bidi="fa-IR"/>
        </w:rPr>
        <w:t xml:space="preserve"> </w:t>
      </w:r>
      <w:r w:rsidRPr="00904FCB">
        <w:rPr>
          <w:rFonts w:ascii="Tahoma" w:hAnsi="Tahoma"/>
          <w:sz w:val="27"/>
          <w:rtl/>
          <w:lang w:bidi="fa-IR"/>
        </w:rPr>
        <w:t>ما يلي</w:t>
      </w:r>
      <w:r w:rsidRPr="00904FCB">
        <w:rPr>
          <w:rFonts w:ascii="Tahoma" w:hAnsi="Tahoma" w:hint="cs"/>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sz w:val="27"/>
          <w:rtl/>
          <w:lang w:bidi="ar-LB"/>
        </w:rPr>
        <w:t xml:space="preserve">1ـ </w:t>
      </w:r>
      <w:r w:rsidRPr="008C16BF">
        <w:rPr>
          <w:rFonts w:ascii="Tahoma" w:hAnsi="Tahoma"/>
          <w:sz w:val="27"/>
          <w:rtl/>
          <w:lang w:bidi="fa-IR"/>
        </w:rPr>
        <w:t>للقانون المقارن أهم</w:t>
      </w:r>
      <w:r w:rsidR="003D4229" w:rsidRPr="008C16BF">
        <w:rPr>
          <w:rFonts w:ascii="Tahoma" w:hAnsi="Tahoma" w:hint="cs"/>
          <w:sz w:val="27"/>
          <w:rtl/>
          <w:lang w:bidi="fa-IR"/>
        </w:rPr>
        <w:t>ّ</w:t>
      </w:r>
      <w:r w:rsidRPr="008C16BF">
        <w:rPr>
          <w:rFonts w:ascii="Tahoma" w:hAnsi="Tahoma"/>
          <w:sz w:val="27"/>
          <w:rtl/>
          <w:lang w:bidi="fa-IR"/>
        </w:rPr>
        <w:t>يته الخاص</w:t>
      </w:r>
      <w:r w:rsidR="003D4229" w:rsidRPr="008C16BF">
        <w:rPr>
          <w:rFonts w:ascii="Tahoma" w:hAnsi="Tahoma" w:hint="cs"/>
          <w:sz w:val="27"/>
          <w:rtl/>
          <w:lang w:bidi="fa-IR"/>
        </w:rPr>
        <w:t>ّ</w:t>
      </w:r>
      <w:r w:rsidRPr="008C16BF">
        <w:rPr>
          <w:rFonts w:ascii="Tahoma" w:hAnsi="Tahoma"/>
          <w:sz w:val="27"/>
          <w:rtl/>
          <w:lang w:bidi="fa-IR"/>
        </w:rPr>
        <w:t>ة في توحيد القوانين في داخل البلاد التي لا</w:t>
      </w:r>
      <w:r w:rsidRPr="00904FCB">
        <w:rPr>
          <w:rFonts w:ascii="Tahoma" w:hAnsi="Tahoma"/>
          <w:sz w:val="27"/>
          <w:rtl/>
          <w:lang w:bidi="fa-IR"/>
        </w:rPr>
        <w:t xml:space="preserve"> تجمعها وحدة قانونية</w:t>
      </w:r>
      <w:r w:rsidR="003D4229" w:rsidRPr="00904FCB">
        <w:rPr>
          <w:rFonts w:ascii="Tahoma" w:hAnsi="Tahoma" w:hint="cs"/>
          <w:sz w:val="27"/>
          <w:rtl/>
          <w:lang w:bidi="fa-IR"/>
        </w:rPr>
        <w:t>.</w:t>
      </w:r>
      <w:r w:rsidRPr="00904FCB">
        <w:rPr>
          <w:rFonts w:ascii="Tahoma" w:hAnsi="Tahoma"/>
          <w:sz w:val="27"/>
          <w:rtl/>
          <w:lang w:bidi="fa-IR"/>
        </w:rPr>
        <w:t xml:space="preserve"> فالقانون المدني السويسري مثلا</w:t>
      </w:r>
      <w:r w:rsidR="003D4229" w:rsidRPr="00904FCB">
        <w:rPr>
          <w:rFonts w:ascii="Tahoma" w:hAnsi="Tahoma" w:hint="cs"/>
          <w:sz w:val="27"/>
          <w:rtl/>
          <w:lang w:bidi="fa-IR"/>
        </w:rPr>
        <w:t>ً</w:t>
      </w:r>
      <w:r w:rsidRPr="00904FCB">
        <w:rPr>
          <w:rFonts w:ascii="Tahoma" w:hAnsi="Tahoma"/>
          <w:sz w:val="27"/>
          <w:rtl/>
          <w:lang w:bidi="fa-IR"/>
        </w:rPr>
        <w:t xml:space="preserve"> م</w:t>
      </w:r>
      <w:r w:rsidR="003D4229" w:rsidRPr="00904FCB">
        <w:rPr>
          <w:rFonts w:ascii="Tahoma" w:hAnsi="Tahoma" w:hint="cs"/>
          <w:sz w:val="27"/>
          <w:rtl/>
          <w:lang w:bidi="fa-IR"/>
        </w:rPr>
        <w:t>َ</w:t>
      </w:r>
      <w:r w:rsidRPr="00904FCB">
        <w:rPr>
          <w:rFonts w:ascii="Tahoma" w:hAnsi="Tahoma"/>
          <w:sz w:val="27"/>
          <w:rtl/>
          <w:lang w:bidi="fa-IR"/>
        </w:rPr>
        <w:t xml:space="preserve">دين بوجوده لدراسة قام بها الفقيه السويسري </w:t>
      </w:r>
      <w:r w:rsidRPr="00904FCB">
        <w:rPr>
          <w:rFonts w:hint="eastAsia"/>
          <w:sz w:val="27"/>
          <w:rtl/>
          <w:lang w:bidi="fa-IR"/>
        </w:rPr>
        <w:t>«</w:t>
      </w:r>
      <w:r w:rsidRPr="00904FCB">
        <w:rPr>
          <w:rFonts w:ascii="Tahoma" w:hAnsi="Tahoma"/>
          <w:sz w:val="27"/>
          <w:rtl/>
          <w:lang w:bidi="fa-IR"/>
        </w:rPr>
        <w:t>أوجين هوبر</w:t>
      </w:r>
      <w:r w:rsidRPr="00904FCB">
        <w:rPr>
          <w:rFonts w:hint="eastAsia"/>
          <w:sz w:val="27"/>
          <w:rtl/>
        </w:rPr>
        <w:t>»</w:t>
      </w:r>
      <w:r w:rsidRPr="00904FCB">
        <w:rPr>
          <w:rFonts w:ascii="Tahoma" w:hAnsi="Tahoma"/>
          <w:sz w:val="27"/>
          <w:rtl/>
          <w:lang w:bidi="fa-IR"/>
        </w:rPr>
        <w:t xml:space="preserve"> في كتابه </w:t>
      </w:r>
      <w:r w:rsidRPr="00904FCB">
        <w:rPr>
          <w:rFonts w:hint="eastAsia"/>
          <w:sz w:val="27"/>
          <w:rtl/>
          <w:lang w:bidi="fa-IR"/>
        </w:rPr>
        <w:t>«</w:t>
      </w:r>
      <w:r w:rsidRPr="00904FCB">
        <w:rPr>
          <w:rFonts w:ascii="Tahoma" w:hAnsi="Tahoma"/>
          <w:sz w:val="27"/>
          <w:rtl/>
          <w:lang w:bidi="fa-IR"/>
        </w:rPr>
        <w:t>نمط القوانين الخاص</w:t>
      </w:r>
      <w:r w:rsidR="003D4229" w:rsidRPr="00904FCB">
        <w:rPr>
          <w:rFonts w:ascii="Tahoma" w:hAnsi="Tahoma" w:hint="cs"/>
          <w:sz w:val="27"/>
          <w:rtl/>
          <w:lang w:bidi="fa-IR"/>
        </w:rPr>
        <w:t>ّ</w:t>
      </w:r>
      <w:r w:rsidRPr="00904FCB">
        <w:rPr>
          <w:rFonts w:ascii="Tahoma" w:hAnsi="Tahoma"/>
          <w:sz w:val="27"/>
          <w:rtl/>
          <w:lang w:bidi="fa-IR"/>
        </w:rPr>
        <w:t>ة السويسرية وتاريخها</w:t>
      </w:r>
      <w:r w:rsidRPr="00904FCB">
        <w:rPr>
          <w:rFonts w:hint="eastAsia"/>
          <w:sz w:val="27"/>
          <w:rtl/>
        </w:rPr>
        <w:t>»</w:t>
      </w:r>
      <w:r w:rsidR="003D4229" w:rsidRPr="00904FCB">
        <w:rPr>
          <w:rFonts w:ascii="Tahoma" w:hAnsi="Tahoma" w:hint="cs"/>
          <w:sz w:val="27"/>
          <w:rtl/>
          <w:lang w:bidi="fa-IR"/>
        </w:rPr>
        <w:t>،</w:t>
      </w:r>
      <w:r w:rsidRPr="00904FCB">
        <w:rPr>
          <w:rFonts w:ascii="Tahoma" w:hAnsi="Tahoma"/>
          <w:sz w:val="27"/>
          <w:rtl/>
          <w:lang w:bidi="fa-IR"/>
        </w:rPr>
        <w:t xml:space="preserve"> جمع فيه النظم القانونية التي كانت مرعية في كانتونات سويسرة</w:t>
      </w:r>
      <w:r w:rsidR="003D4229" w:rsidRPr="00904FCB">
        <w:rPr>
          <w:rFonts w:ascii="Tahoma" w:hAnsi="Tahoma" w:hint="cs"/>
          <w:sz w:val="27"/>
          <w:rtl/>
          <w:lang w:bidi="fa-IR"/>
        </w:rPr>
        <w:t>،</w:t>
      </w:r>
      <w:r w:rsidRPr="00904FCB">
        <w:rPr>
          <w:rFonts w:ascii="Tahoma" w:hAnsi="Tahoma"/>
          <w:sz w:val="27"/>
          <w:rtl/>
          <w:lang w:bidi="fa-IR"/>
        </w:rPr>
        <w:t xml:space="preserve"> وأخضعها للموازنة</w:t>
      </w:r>
      <w:r w:rsidR="003D4229" w:rsidRPr="00904FCB">
        <w:rPr>
          <w:rFonts w:ascii="Tahoma" w:hAnsi="Tahoma" w:hint="cs"/>
          <w:sz w:val="27"/>
          <w:rtl/>
          <w:lang w:bidi="fa-IR"/>
        </w:rPr>
        <w:t xml:space="preserve">، </w:t>
      </w:r>
      <w:r w:rsidRPr="00904FCB">
        <w:rPr>
          <w:rFonts w:ascii="Tahoma" w:hAnsi="Tahoma"/>
          <w:sz w:val="27"/>
          <w:rtl/>
          <w:lang w:bidi="fa-IR"/>
        </w:rPr>
        <w:t>فمه</w:t>
      </w:r>
      <w:r w:rsidR="003D4229" w:rsidRPr="00904FCB">
        <w:rPr>
          <w:rFonts w:ascii="Tahoma" w:hAnsi="Tahoma" w:hint="cs"/>
          <w:sz w:val="27"/>
          <w:rtl/>
          <w:lang w:bidi="fa-IR"/>
        </w:rPr>
        <w:t>َّ</w:t>
      </w:r>
      <w:r w:rsidRPr="00904FCB">
        <w:rPr>
          <w:rFonts w:ascii="Tahoma" w:hAnsi="Tahoma"/>
          <w:sz w:val="27"/>
          <w:rtl/>
          <w:lang w:bidi="fa-IR"/>
        </w:rPr>
        <w:t>د السبيل لتوحيد القانون المدني في بلاده</w:t>
      </w:r>
      <w:r w:rsidR="003D4229" w:rsidRPr="00904FCB">
        <w:rPr>
          <w:rFonts w:ascii="Tahoma" w:hAnsi="Tahoma" w:hint="cs"/>
          <w:sz w:val="27"/>
          <w:rtl/>
          <w:lang w:bidi="fa-IR"/>
        </w:rPr>
        <w:t xml:space="preserve">. </w:t>
      </w:r>
      <w:r w:rsidRPr="00904FCB">
        <w:rPr>
          <w:rFonts w:ascii="Tahoma" w:hAnsi="Tahoma"/>
          <w:sz w:val="27"/>
          <w:rtl/>
          <w:lang w:bidi="fa-IR"/>
        </w:rPr>
        <w:t>وقد سبقت حركة توحيد القانون في داخل أكثر الدول الأوروبية حركة تجميع وموازنة بين النظم القانونية</w:t>
      </w:r>
      <w:r w:rsidR="003D4229" w:rsidRPr="00904FCB">
        <w:rPr>
          <w:rFonts w:ascii="Tahoma" w:hAnsi="Tahoma" w:hint="cs"/>
          <w:sz w:val="27"/>
          <w:rtl/>
          <w:lang w:bidi="fa-IR"/>
        </w:rPr>
        <w:t>،</w:t>
      </w:r>
      <w:r w:rsidRPr="00904FCB">
        <w:rPr>
          <w:rFonts w:ascii="Tahoma" w:hAnsi="Tahoma"/>
          <w:sz w:val="27"/>
          <w:rtl/>
          <w:lang w:bidi="fa-IR"/>
        </w:rPr>
        <w:t xml:space="preserve"> مه</w:t>
      </w:r>
      <w:r w:rsidR="003D4229" w:rsidRPr="00904FCB">
        <w:rPr>
          <w:rFonts w:ascii="Tahoma" w:hAnsi="Tahoma" w:hint="cs"/>
          <w:sz w:val="27"/>
          <w:rtl/>
          <w:lang w:bidi="fa-IR"/>
        </w:rPr>
        <w:t>َّ</w:t>
      </w:r>
      <w:r w:rsidRPr="00904FCB">
        <w:rPr>
          <w:rFonts w:ascii="Tahoma" w:hAnsi="Tahoma"/>
          <w:sz w:val="27"/>
          <w:rtl/>
          <w:lang w:bidi="fa-IR"/>
        </w:rPr>
        <w:t>دت السبيل لتوحيد أجزاء هام</w:t>
      </w:r>
      <w:r w:rsidR="003D4229" w:rsidRPr="00904FCB">
        <w:rPr>
          <w:rFonts w:ascii="Tahoma" w:hAnsi="Tahoma" w:hint="cs"/>
          <w:sz w:val="27"/>
          <w:rtl/>
          <w:lang w:bidi="fa-IR"/>
        </w:rPr>
        <w:t>ّ</w:t>
      </w:r>
      <w:r w:rsidRPr="00904FCB">
        <w:rPr>
          <w:rFonts w:ascii="Tahoma" w:hAnsi="Tahoma"/>
          <w:sz w:val="27"/>
          <w:rtl/>
          <w:lang w:bidi="fa-IR"/>
        </w:rPr>
        <w:t>ة من القانون الخاص</w:t>
      </w:r>
      <w:r w:rsidR="003D4229" w:rsidRPr="00904FCB">
        <w:rPr>
          <w:rFonts w:ascii="Tahoma" w:hAnsi="Tahoma" w:hint="cs"/>
          <w:sz w:val="27"/>
          <w:rtl/>
          <w:lang w:bidi="fa-IR"/>
        </w:rPr>
        <w:t>ّ</w:t>
      </w:r>
      <w:r w:rsidRPr="00904FCB">
        <w:rPr>
          <w:rFonts w:ascii="Tahoma" w:hAnsi="Tahoma"/>
          <w:sz w:val="27"/>
          <w:rtl/>
          <w:lang w:bidi="fa-IR"/>
        </w:rPr>
        <w:t>...</w:t>
      </w:r>
      <w:r w:rsidR="003D4229" w:rsidRPr="00904FCB">
        <w:rPr>
          <w:rFonts w:ascii="Tahoma" w:hAnsi="Tahoma" w:hint="cs"/>
          <w:sz w:val="27"/>
          <w:rtl/>
          <w:lang w:bidi="fa-IR"/>
        </w:rPr>
        <w:t>،</w:t>
      </w:r>
      <w:r w:rsidRPr="00904FCB">
        <w:rPr>
          <w:rFonts w:ascii="Tahoma" w:hAnsi="Tahoma"/>
          <w:sz w:val="27"/>
          <w:rtl/>
          <w:lang w:bidi="fa-IR"/>
        </w:rPr>
        <w:t xml:space="preserve"> والمجالات التي أد</w:t>
      </w:r>
      <w:r w:rsidR="003D4229" w:rsidRPr="00904FCB">
        <w:rPr>
          <w:rFonts w:ascii="Tahoma" w:hAnsi="Tahoma" w:hint="cs"/>
          <w:sz w:val="27"/>
          <w:rtl/>
          <w:lang w:bidi="fa-IR"/>
        </w:rPr>
        <w:t>ى</w:t>
      </w:r>
      <w:r w:rsidRPr="00904FCB">
        <w:rPr>
          <w:rFonts w:ascii="Tahoma" w:hAnsi="Tahoma"/>
          <w:sz w:val="27"/>
          <w:rtl/>
          <w:lang w:bidi="fa-IR"/>
        </w:rPr>
        <w:t xml:space="preserve"> فيها القانون المقارن خدمات لا تنكر في إصلاح القوانين الوطنية.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sz w:val="27"/>
          <w:rtl/>
          <w:lang w:bidi="ar-LB"/>
        </w:rPr>
        <w:t xml:space="preserve">2ـ </w:t>
      </w:r>
      <w:r w:rsidRPr="008C16BF">
        <w:rPr>
          <w:rFonts w:ascii="Tahoma" w:hAnsi="Tahoma"/>
          <w:sz w:val="27"/>
          <w:rtl/>
          <w:lang w:bidi="fa-IR"/>
        </w:rPr>
        <w:t>وللقانون المقارن أهم</w:t>
      </w:r>
      <w:r w:rsidR="003D4229" w:rsidRPr="008C16BF">
        <w:rPr>
          <w:rFonts w:ascii="Tahoma" w:hAnsi="Tahoma" w:hint="cs"/>
          <w:sz w:val="27"/>
          <w:rtl/>
          <w:lang w:bidi="fa-IR"/>
        </w:rPr>
        <w:t>ّ</w:t>
      </w:r>
      <w:r w:rsidRPr="008C16BF">
        <w:rPr>
          <w:rFonts w:ascii="Tahoma" w:hAnsi="Tahoma"/>
          <w:sz w:val="27"/>
          <w:rtl/>
          <w:lang w:bidi="fa-IR"/>
        </w:rPr>
        <w:t>ية في استعراض تطو</w:t>
      </w:r>
      <w:r w:rsidR="003D4229" w:rsidRPr="008C16BF">
        <w:rPr>
          <w:rFonts w:ascii="Tahoma" w:hAnsi="Tahoma" w:hint="cs"/>
          <w:sz w:val="27"/>
          <w:rtl/>
          <w:lang w:bidi="fa-IR"/>
        </w:rPr>
        <w:t>ُّ</w:t>
      </w:r>
      <w:r w:rsidRPr="008C16BF">
        <w:rPr>
          <w:rFonts w:ascii="Tahoma" w:hAnsi="Tahoma"/>
          <w:sz w:val="27"/>
          <w:rtl/>
          <w:lang w:bidi="fa-IR"/>
        </w:rPr>
        <w:t>ر النظم القانونية المعاصرة</w:t>
      </w:r>
      <w:r w:rsidR="003D4229" w:rsidRPr="008C16BF">
        <w:rPr>
          <w:rFonts w:ascii="Tahoma" w:hAnsi="Tahoma" w:hint="cs"/>
          <w:sz w:val="27"/>
          <w:rtl/>
          <w:lang w:bidi="fa-IR"/>
        </w:rPr>
        <w:t>؛</w:t>
      </w:r>
      <w:r w:rsidRPr="008C16BF">
        <w:rPr>
          <w:rFonts w:ascii="Tahoma" w:hAnsi="Tahoma"/>
          <w:sz w:val="27"/>
          <w:rtl/>
          <w:lang w:bidi="fa-IR"/>
        </w:rPr>
        <w:t xml:space="preserve"> لكي</w:t>
      </w:r>
      <w:r w:rsidRPr="00904FCB">
        <w:rPr>
          <w:rFonts w:ascii="Tahoma" w:hAnsi="Tahoma"/>
          <w:sz w:val="27"/>
          <w:rtl/>
          <w:lang w:bidi="fa-IR"/>
        </w:rPr>
        <w:t xml:space="preserve"> يت</w:t>
      </w:r>
      <w:r w:rsidR="003D4229" w:rsidRPr="00904FCB">
        <w:rPr>
          <w:rFonts w:ascii="Tahoma" w:hAnsi="Tahoma" w:hint="cs"/>
          <w:sz w:val="27"/>
          <w:rtl/>
          <w:lang w:bidi="fa-IR"/>
        </w:rPr>
        <w:t>ّ</w:t>
      </w:r>
      <w:r w:rsidRPr="00904FCB">
        <w:rPr>
          <w:rFonts w:ascii="Tahoma" w:hAnsi="Tahoma"/>
          <w:sz w:val="27"/>
          <w:rtl/>
          <w:lang w:bidi="fa-IR"/>
        </w:rPr>
        <w:t>ضح للمشر</w:t>
      </w:r>
      <w:r w:rsidR="003D4229" w:rsidRPr="00904FCB">
        <w:rPr>
          <w:rFonts w:ascii="Tahoma" w:hAnsi="Tahoma" w:hint="cs"/>
          <w:sz w:val="27"/>
          <w:rtl/>
          <w:lang w:bidi="fa-IR"/>
        </w:rPr>
        <w:t>ِّ</w:t>
      </w:r>
      <w:r w:rsidRPr="00904FCB">
        <w:rPr>
          <w:rFonts w:ascii="Tahoma" w:hAnsi="Tahoma"/>
          <w:sz w:val="27"/>
          <w:rtl/>
          <w:lang w:bidi="fa-IR"/>
        </w:rPr>
        <w:t>عين مد</w:t>
      </w:r>
      <w:r w:rsidR="003D4229" w:rsidRPr="00904FCB">
        <w:rPr>
          <w:rFonts w:ascii="Tahoma" w:hAnsi="Tahoma" w:hint="cs"/>
          <w:sz w:val="27"/>
          <w:rtl/>
          <w:lang w:bidi="fa-IR"/>
        </w:rPr>
        <w:t>ى</w:t>
      </w:r>
      <w:r w:rsidRPr="00904FCB">
        <w:rPr>
          <w:rFonts w:ascii="Tahoma" w:hAnsi="Tahoma"/>
          <w:sz w:val="27"/>
          <w:rtl/>
          <w:lang w:bidi="fa-IR"/>
        </w:rPr>
        <w:t xml:space="preserve"> هذا التطو</w:t>
      </w:r>
      <w:r w:rsidR="003D4229" w:rsidRPr="00904FCB">
        <w:rPr>
          <w:rFonts w:ascii="Tahoma" w:hAnsi="Tahoma" w:hint="cs"/>
          <w:sz w:val="27"/>
          <w:rtl/>
          <w:lang w:bidi="fa-IR"/>
        </w:rPr>
        <w:t>ُّ</w:t>
      </w:r>
      <w:r w:rsidRPr="00904FCB">
        <w:rPr>
          <w:rFonts w:ascii="Tahoma" w:hAnsi="Tahoma"/>
          <w:sz w:val="27"/>
          <w:rtl/>
          <w:lang w:bidi="fa-IR"/>
        </w:rPr>
        <w:t>ر وخطوطه العامة</w:t>
      </w:r>
      <w:r w:rsidR="003D4229" w:rsidRPr="00904FCB">
        <w:rPr>
          <w:rFonts w:ascii="Tahoma" w:hAnsi="Tahoma" w:hint="cs"/>
          <w:sz w:val="27"/>
          <w:rtl/>
          <w:lang w:bidi="fa-IR"/>
        </w:rPr>
        <w:t>،</w:t>
      </w:r>
      <w:r w:rsidRPr="00904FCB">
        <w:rPr>
          <w:rFonts w:ascii="Tahoma" w:hAnsi="Tahoma"/>
          <w:sz w:val="27"/>
          <w:rtl/>
          <w:lang w:bidi="fa-IR"/>
        </w:rPr>
        <w:t xml:space="preserve"> فيصبح علم القانون المقارن بذلك علم التطو</w:t>
      </w:r>
      <w:r w:rsidR="003D4229" w:rsidRPr="00904FCB">
        <w:rPr>
          <w:rFonts w:ascii="Tahoma" w:hAnsi="Tahoma" w:hint="cs"/>
          <w:sz w:val="27"/>
          <w:rtl/>
          <w:lang w:bidi="fa-IR"/>
        </w:rPr>
        <w:t>ّ</w:t>
      </w:r>
      <w:r w:rsidRPr="00904FCB">
        <w:rPr>
          <w:rFonts w:ascii="Tahoma" w:hAnsi="Tahoma"/>
          <w:sz w:val="27"/>
          <w:rtl/>
          <w:lang w:bidi="fa-IR"/>
        </w:rPr>
        <w:t>ر القانوني العام</w:t>
      </w:r>
      <w:r w:rsidR="003D4229" w:rsidRPr="00904FCB">
        <w:rPr>
          <w:rFonts w:ascii="Tahoma" w:hAnsi="Tahoma" w:hint="cs"/>
          <w:sz w:val="27"/>
          <w:rtl/>
          <w:lang w:bidi="fa-IR"/>
        </w:rPr>
        <w:t>ّ</w:t>
      </w:r>
      <w:r w:rsidRPr="00904FCB">
        <w:rPr>
          <w:rFonts w:ascii="Tahoma" w:hAnsi="Tahoma"/>
          <w:sz w:val="27"/>
          <w:rtl/>
          <w:lang w:bidi="fa-IR"/>
        </w:rPr>
        <w:t xml:space="preserve"> للقوانين المعاصرة</w:t>
      </w:r>
      <w:r w:rsidR="003D4229" w:rsidRPr="00904FCB">
        <w:rPr>
          <w:rFonts w:ascii="Tahoma" w:hAnsi="Tahoma" w:hint="cs"/>
          <w:sz w:val="27"/>
          <w:rtl/>
          <w:lang w:bidi="fa-IR"/>
        </w:rPr>
        <w:t>.</w:t>
      </w:r>
      <w:r w:rsidRPr="00904FCB">
        <w:rPr>
          <w:rFonts w:ascii="Tahoma" w:hAnsi="Tahoma"/>
          <w:sz w:val="27"/>
          <w:rtl/>
          <w:lang w:bidi="fa-IR"/>
        </w:rPr>
        <w:t xml:space="preserve"> والواقع أن هذه المهمة تقرب القانون </w:t>
      </w:r>
      <w:r w:rsidRPr="00904FCB">
        <w:rPr>
          <w:rFonts w:ascii="Tahoma" w:hAnsi="Tahoma"/>
          <w:sz w:val="27"/>
          <w:rtl/>
          <w:lang w:bidi="fa-IR"/>
        </w:rPr>
        <w:lastRenderedPageBreak/>
        <w:t>المقارن من كل</w:t>
      </w:r>
      <w:r w:rsidR="003D4229" w:rsidRPr="00904FCB">
        <w:rPr>
          <w:rFonts w:ascii="Tahoma" w:hAnsi="Tahoma" w:hint="cs"/>
          <w:sz w:val="27"/>
          <w:rtl/>
          <w:lang w:bidi="fa-IR"/>
        </w:rPr>
        <w:t>ٍّ</w:t>
      </w:r>
      <w:r w:rsidRPr="00904FCB">
        <w:rPr>
          <w:rFonts w:ascii="Tahoma" w:hAnsi="Tahoma"/>
          <w:sz w:val="27"/>
          <w:rtl/>
          <w:lang w:bidi="fa-IR"/>
        </w:rPr>
        <w:t xml:space="preserve"> من</w:t>
      </w:r>
      <w:r w:rsidR="003D4229" w:rsidRPr="00904FCB">
        <w:rPr>
          <w:rFonts w:ascii="Tahoma" w:hAnsi="Tahoma" w:hint="cs"/>
          <w:sz w:val="27"/>
          <w:rtl/>
          <w:lang w:bidi="fa-IR"/>
        </w:rPr>
        <w:t>:</w:t>
      </w:r>
      <w:r w:rsidRPr="00904FCB">
        <w:rPr>
          <w:rFonts w:ascii="Tahoma" w:hAnsi="Tahoma"/>
          <w:sz w:val="27"/>
          <w:rtl/>
          <w:lang w:bidi="fa-IR"/>
        </w:rPr>
        <w:t xml:space="preserve"> فلسفة القانون</w:t>
      </w:r>
      <w:r w:rsidR="003D4229" w:rsidRPr="00904FCB">
        <w:rPr>
          <w:rFonts w:ascii="Tahoma" w:hAnsi="Tahoma" w:hint="cs"/>
          <w:sz w:val="27"/>
          <w:rtl/>
          <w:lang w:bidi="fa-IR"/>
        </w:rPr>
        <w:t>؛</w:t>
      </w:r>
      <w:r w:rsidRPr="00904FCB">
        <w:rPr>
          <w:rFonts w:ascii="Tahoma" w:hAnsi="Tahoma"/>
          <w:sz w:val="27"/>
          <w:rtl/>
          <w:lang w:bidi="fa-IR"/>
        </w:rPr>
        <w:t xml:space="preserve"> وعلم الاجتماع.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sz w:val="27"/>
          <w:rtl/>
          <w:lang w:bidi="ar-LB"/>
        </w:rPr>
        <w:t xml:space="preserve">3ـ </w:t>
      </w:r>
      <w:r w:rsidRPr="008C16BF">
        <w:rPr>
          <w:rFonts w:ascii="Tahoma" w:hAnsi="Tahoma"/>
          <w:sz w:val="27"/>
          <w:rtl/>
          <w:lang w:bidi="fa-IR"/>
        </w:rPr>
        <w:t>وللقانون المقارن أهم</w:t>
      </w:r>
      <w:r w:rsidR="003D4229" w:rsidRPr="008C16BF">
        <w:rPr>
          <w:rFonts w:ascii="Tahoma" w:hAnsi="Tahoma" w:hint="cs"/>
          <w:sz w:val="27"/>
          <w:rtl/>
          <w:lang w:bidi="fa-IR"/>
        </w:rPr>
        <w:t>ّ</w:t>
      </w:r>
      <w:r w:rsidRPr="008C16BF">
        <w:rPr>
          <w:rFonts w:ascii="Tahoma" w:hAnsi="Tahoma"/>
          <w:sz w:val="27"/>
          <w:rtl/>
          <w:lang w:bidi="fa-IR"/>
        </w:rPr>
        <w:t>ية خاص</w:t>
      </w:r>
      <w:r w:rsidR="003D4229" w:rsidRPr="008C16BF">
        <w:rPr>
          <w:rFonts w:ascii="Tahoma" w:hAnsi="Tahoma" w:hint="cs"/>
          <w:sz w:val="27"/>
          <w:rtl/>
          <w:lang w:bidi="fa-IR"/>
        </w:rPr>
        <w:t>ّ</w:t>
      </w:r>
      <w:r w:rsidRPr="008C16BF">
        <w:rPr>
          <w:rFonts w:ascii="Tahoma" w:hAnsi="Tahoma"/>
          <w:sz w:val="27"/>
          <w:rtl/>
          <w:lang w:bidi="fa-IR"/>
        </w:rPr>
        <w:t>ة تتجل</w:t>
      </w:r>
      <w:r w:rsidR="003D4229" w:rsidRPr="008C16BF">
        <w:rPr>
          <w:rFonts w:ascii="Tahoma" w:hAnsi="Tahoma" w:hint="cs"/>
          <w:sz w:val="27"/>
          <w:rtl/>
          <w:lang w:bidi="fa-IR"/>
        </w:rPr>
        <w:t>ى</w:t>
      </w:r>
      <w:r w:rsidRPr="008C16BF">
        <w:rPr>
          <w:rFonts w:ascii="Tahoma" w:hAnsi="Tahoma"/>
          <w:sz w:val="27"/>
          <w:rtl/>
          <w:lang w:bidi="fa-IR"/>
        </w:rPr>
        <w:t xml:space="preserve"> في </w:t>
      </w:r>
      <w:r w:rsidR="003D4229" w:rsidRPr="008C16BF">
        <w:rPr>
          <w:rFonts w:ascii="Tahoma" w:hAnsi="Tahoma" w:hint="cs"/>
          <w:sz w:val="27"/>
          <w:rtl/>
          <w:lang w:bidi="fa-IR"/>
        </w:rPr>
        <w:t>إ</w:t>
      </w:r>
      <w:r w:rsidRPr="008C16BF">
        <w:rPr>
          <w:rFonts w:ascii="Tahoma" w:hAnsi="Tahoma"/>
          <w:sz w:val="27"/>
          <w:rtl/>
          <w:lang w:bidi="fa-IR"/>
        </w:rPr>
        <w:t xml:space="preserve">سعاف القاضي والحاكم </w:t>
      </w:r>
      <w:r w:rsidR="003D4229" w:rsidRPr="008C16BF">
        <w:rPr>
          <w:rFonts w:ascii="Tahoma" w:hAnsi="Tahoma" w:hint="cs"/>
          <w:sz w:val="27"/>
          <w:rtl/>
          <w:lang w:bidi="fa-IR"/>
        </w:rPr>
        <w:t>ل</w:t>
      </w:r>
      <w:r w:rsidRPr="008C16BF">
        <w:rPr>
          <w:rFonts w:ascii="Tahoma" w:hAnsi="Tahoma"/>
          <w:sz w:val="27"/>
          <w:rtl/>
          <w:lang w:bidi="fa-IR"/>
        </w:rPr>
        <w:t>لتعرف</w:t>
      </w:r>
      <w:r w:rsidRPr="00904FCB">
        <w:rPr>
          <w:rFonts w:ascii="Tahoma" w:hAnsi="Tahoma"/>
          <w:sz w:val="27"/>
          <w:rtl/>
          <w:lang w:bidi="fa-IR"/>
        </w:rPr>
        <w:t xml:space="preserve"> على أدن</w:t>
      </w:r>
      <w:r w:rsidR="003D4229" w:rsidRPr="00904FCB">
        <w:rPr>
          <w:rFonts w:ascii="Tahoma" w:hAnsi="Tahoma" w:hint="cs"/>
          <w:sz w:val="27"/>
          <w:rtl/>
          <w:lang w:bidi="fa-IR"/>
        </w:rPr>
        <w:t>ى</w:t>
      </w:r>
      <w:r w:rsidRPr="00904FCB">
        <w:rPr>
          <w:rFonts w:ascii="Tahoma" w:hAnsi="Tahoma"/>
          <w:sz w:val="27"/>
          <w:rtl/>
          <w:lang w:bidi="fa-IR"/>
        </w:rPr>
        <w:t xml:space="preserve"> الحلول إلى العدالة</w:t>
      </w:r>
      <w:r w:rsidR="003D4229" w:rsidRPr="00904FCB">
        <w:rPr>
          <w:rFonts w:ascii="Tahoma" w:hAnsi="Tahoma" w:hint="cs"/>
          <w:sz w:val="27"/>
          <w:rtl/>
          <w:lang w:bidi="fa-IR"/>
        </w:rPr>
        <w:t>.</w:t>
      </w:r>
      <w:r w:rsidRPr="00904FCB">
        <w:rPr>
          <w:rFonts w:ascii="Tahoma" w:hAnsi="Tahoma"/>
          <w:sz w:val="27"/>
          <w:rtl/>
          <w:lang w:bidi="fa-IR"/>
        </w:rPr>
        <w:t xml:space="preserve"> ويضرب الفقه المقارن لتبرير هذه الحقيقة بالماد</w:t>
      </w:r>
      <w:r w:rsidR="003D4229" w:rsidRPr="00904FCB">
        <w:rPr>
          <w:rFonts w:ascii="Tahoma" w:hAnsi="Tahoma" w:hint="cs"/>
          <w:sz w:val="27"/>
          <w:rtl/>
          <w:lang w:bidi="fa-IR"/>
        </w:rPr>
        <w:t>ّ</w:t>
      </w:r>
      <w:r w:rsidRPr="00904FCB">
        <w:rPr>
          <w:rFonts w:ascii="Tahoma" w:hAnsi="Tahoma"/>
          <w:sz w:val="27"/>
          <w:rtl/>
          <w:lang w:bidi="fa-IR"/>
        </w:rPr>
        <w:t>ة الأول</w:t>
      </w:r>
      <w:r w:rsidR="003D4229" w:rsidRPr="00904FCB">
        <w:rPr>
          <w:rFonts w:ascii="Tahoma" w:hAnsi="Tahoma" w:hint="cs"/>
          <w:sz w:val="27"/>
          <w:rtl/>
          <w:lang w:bidi="fa-IR"/>
        </w:rPr>
        <w:t>ى</w:t>
      </w:r>
      <w:r w:rsidRPr="00904FCB">
        <w:rPr>
          <w:rFonts w:ascii="Tahoma" w:hAnsi="Tahoma"/>
          <w:sz w:val="27"/>
          <w:rtl/>
          <w:lang w:bidi="fa-IR"/>
        </w:rPr>
        <w:t xml:space="preserve"> في القانون المدني السويسري</w:t>
      </w:r>
      <w:r w:rsidR="003D4229" w:rsidRPr="00904FCB">
        <w:rPr>
          <w:rFonts w:ascii="Tahoma" w:hAnsi="Tahoma" w:hint="cs"/>
          <w:sz w:val="27"/>
          <w:rtl/>
          <w:lang w:bidi="fa-IR"/>
        </w:rPr>
        <w:t>،</w:t>
      </w:r>
      <w:r w:rsidRPr="00904FCB">
        <w:rPr>
          <w:rFonts w:ascii="Tahoma" w:hAnsi="Tahoma"/>
          <w:sz w:val="27"/>
          <w:rtl/>
          <w:lang w:bidi="fa-IR"/>
        </w:rPr>
        <w:t xml:space="preserve"> والتي استعارها القانون المدني التركي بدوره، فنص</w:t>
      </w:r>
      <w:r w:rsidR="003D4229" w:rsidRPr="00904FCB">
        <w:rPr>
          <w:rFonts w:ascii="Tahoma" w:hAnsi="Tahoma" w:hint="cs"/>
          <w:sz w:val="27"/>
          <w:rtl/>
          <w:lang w:bidi="fa-IR"/>
        </w:rPr>
        <w:t>ّ</w:t>
      </w:r>
      <w:r w:rsidRPr="00904FCB">
        <w:rPr>
          <w:rFonts w:ascii="Tahoma" w:hAnsi="Tahoma"/>
          <w:sz w:val="27"/>
          <w:rtl/>
          <w:lang w:bidi="fa-IR"/>
        </w:rPr>
        <w:t xml:space="preserve">ا على </w:t>
      </w:r>
      <w:r w:rsidR="003D4229" w:rsidRPr="00904FCB">
        <w:rPr>
          <w:rFonts w:ascii="Tahoma" w:hAnsi="Tahoma" w:hint="cs"/>
          <w:sz w:val="27"/>
          <w:rtl/>
          <w:lang w:bidi="fa-IR"/>
        </w:rPr>
        <w:t>أ</w:t>
      </w:r>
      <w:r w:rsidRPr="00904FCB">
        <w:rPr>
          <w:rFonts w:ascii="Tahoma" w:hAnsi="Tahoma"/>
          <w:sz w:val="27"/>
          <w:rtl/>
          <w:lang w:bidi="fa-IR"/>
        </w:rPr>
        <w:t>نه عند شغور النص</w:t>
      </w:r>
      <w:r w:rsidR="003D4229" w:rsidRPr="00904FCB">
        <w:rPr>
          <w:rFonts w:ascii="Tahoma" w:hAnsi="Tahoma" w:hint="cs"/>
          <w:sz w:val="27"/>
          <w:rtl/>
          <w:lang w:bidi="fa-IR"/>
        </w:rPr>
        <w:t>ّ</w:t>
      </w:r>
      <w:r w:rsidRPr="00904FCB">
        <w:rPr>
          <w:rFonts w:ascii="Tahoma" w:hAnsi="Tahoma"/>
          <w:sz w:val="27"/>
          <w:rtl/>
          <w:lang w:bidi="fa-IR"/>
        </w:rPr>
        <w:t xml:space="preserve"> وشغور الع</w:t>
      </w:r>
      <w:r w:rsidR="003D4229" w:rsidRPr="00904FCB">
        <w:rPr>
          <w:rFonts w:ascii="Tahoma" w:hAnsi="Tahoma" w:hint="cs"/>
          <w:sz w:val="27"/>
          <w:rtl/>
          <w:lang w:bidi="fa-IR"/>
        </w:rPr>
        <w:t>ُ</w:t>
      </w:r>
      <w:r w:rsidRPr="00904FCB">
        <w:rPr>
          <w:rFonts w:ascii="Tahoma" w:hAnsi="Tahoma"/>
          <w:sz w:val="27"/>
          <w:rtl/>
          <w:lang w:bidi="fa-IR"/>
        </w:rPr>
        <w:t>ر</w:t>
      </w:r>
      <w:r w:rsidR="003D4229" w:rsidRPr="00904FCB">
        <w:rPr>
          <w:rFonts w:ascii="Tahoma" w:hAnsi="Tahoma" w:hint="cs"/>
          <w:sz w:val="27"/>
          <w:rtl/>
          <w:lang w:bidi="fa-IR"/>
        </w:rPr>
        <w:t>ْ</w:t>
      </w:r>
      <w:r w:rsidRPr="00904FCB">
        <w:rPr>
          <w:rFonts w:ascii="Tahoma" w:hAnsi="Tahoma"/>
          <w:sz w:val="27"/>
          <w:rtl/>
          <w:lang w:bidi="fa-IR"/>
        </w:rPr>
        <w:t>ف على القاضي أن يحكم وفقا</w:t>
      </w:r>
      <w:r w:rsidR="003D4229" w:rsidRPr="00904FCB">
        <w:rPr>
          <w:rFonts w:ascii="Tahoma" w:hAnsi="Tahoma" w:hint="cs"/>
          <w:sz w:val="27"/>
          <w:rtl/>
          <w:lang w:bidi="fa-IR"/>
        </w:rPr>
        <w:t>ً</w:t>
      </w:r>
      <w:r w:rsidRPr="00904FCB">
        <w:rPr>
          <w:rFonts w:ascii="Tahoma" w:hAnsi="Tahoma"/>
          <w:sz w:val="27"/>
          <w:rtl/>
          <w:lang w:bidi="fa-IR"/>
        </w:rPr>
        <w:t xml:space="preserve"> للقواعد التي لو كان شارعا</w:t>
      </w:r>
      <w:r w:rsidR="003D4229" w:rsidRPr="00904FCB">
        <w:rPr>
          <w:rFonts w:ascii="Tahoma" w:hAnsi="Tahoma" w:hint="cs"/>
          <w:sz w:val="27"/>
          <w:rtl/>
          <w:lang w:bidi="fa-IR"/>
        </w:rPr>
        <w:t>ً</w:t>
      </w:r>
      <w:r w:rsidRPr="00904FCB">
        <w:rPr>
          <w:rFonts w:ascii="Tahoma" w:hAnsi="Tahoma"/>
          <w:sz w:val="27"/>
          <w:rtl/>
          <w:lang w:bidi="fa-IR"/>
        </w:rPr>
        <w:t xml:space="preserve"> لشر</w:t>
      </w:r>
      <w:r w:rsidR="003D4229" w:rsidRPr="00904FCB">
        <w:rPr>
          <w:rFonts w:ascii="Tahoma" w:hAnsi="Tahoma" w:hint="cs"/>
          <w:sz w:val="27"/>
          <w:rtl/>
          <w:lang w:bidi="fa-IR"/>
        </w:rPr>
        <w:t>َّ</w:t>
      </w:r>
      <w:r w:rsidRPr="00904FCB">
        <w:rPr>
          <w:rFonts w:ascii="Tahoma" w:hAnsi="Tahoma"/>
          <w:sz w:val="27"/>
          <w:rtl/>
          <w:lang w:bidi="fa-IR"/>
        </w:rPr>
        <w:t xml:space="preserve">عها. </w:t>
      </w:r>
    </w:p>
    <w:p w:rsidR="003D4229"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إن هذا النص</w:t>
      </w:r>
      <w:r w:rsidR="003D4229" w:rsidRPr="00904FCB">
        <w:rPr>
          <w:rFonts w:ascii="Tahoma" w:hAnsi="Tahoma" w:hint="cs"/>
          <w:sz w:val="27"/>
          <w:rtl/>
          <w:lang w:bidi="fa-IR"/>
        </w:rPr>
        <w:t>ّ</w:t>
      </w:r>
      <w:r w:rsidRPr="00904FCB">
        <w:rPr>
          <w:rFonts w:ascii="Tahoma" w:hAnsi="Tahoma"/>
          <w:sz w:val="27"/>
          <w:rtl/>
          <w:lang w:bidi="fa-IR"/>
        </w:rPr>
        <w:t xml:space="preserve"> يدعو إلى التساؤل عن كيفية قيام الشارع بمهم</w:t>
      </w:r>
      <w:r w:rsidR="003D4229" w:rsidRPr="00904FCB">
        <w:rPr>
          <w:rFonts w:ascii="Tahoma" w:hAnsi="Tahoma" w:hint="cs"/>
          <w:sz w:val="27"/>
          <w:rtl/>
          <w:lang w:bidi="fa-IR"/>
        </w:rPr>
        <w:t>ّ</w:t>
      </w:r>
      <w:r w:rsidRPr="00904FCB">
        <w:rPr>
          <w:rFonts w:ascii="Tahoma" w:hAnsi="Tahoma"/>
          <w:sz w:val="27"/>
          <w:rtl/>
          <w:lang w:bidi="fa-IR"/>
        </w:rPr>
        <w:t>ته التشريعية ليحتذيها الحاكم عندما يجابهه اللبس</w:t>
      </w:r>
      <w:r w:rsidR="003D4229" w:rsidRPr="00904FCB">
        <w:rPr>
          <w:rFonts w:ascii="Tahoma" w:hAnsi="Tahoma" w:hint="cs"/>
          <w:sz w:val="27"/>
          <w:rtl/>
          <w:lang w:bidi="fa-IR"/>
        </w:rPr>
        <w:t>،</w:t>
      </w:r>
      <w:r w:rsidRPr="00904FCB">
        <w:rPr>
          <w:rFonts w:ascii="Tahoma" w:hAnsi="Tahoma"/>
          <w:sz w:val="27"/>
          <w:rtl/>
          <w:lang w:bidi="fa-IR"/>
        </w:rPr>
        <w:t xml:space="preserve"> فيتساءل عن الحكم</w:t>
      </w:r>
      <w:r w:rsidR="003D4229" w:rsidRPr="00904FCB">
        <w:rPr>
          <w:rFonts w:ascii="Tahoma" w:hAnsi="Tahoma" w:hint="cs"/>
          <w:sz w:val="27"/>
          <w:rtl/>
          <w:lang w:bidi="fa-IR"/>
        </w:rPr>
        <w:t>،</w:t>
      </w:r>
      <w:r w:rsidRPr="00904FCB">
        <w:rPr>
          <w:rFonts w:ascii="Tahoma" w:hAnsi="Tahoma"/>
          <w:sz w:val="27"/>
          <w:rtl/>
          <w:lang w:bidi="fa-IR"/>
        </w:rPr>
        <w:t xml:space="preserve"> ويتذك</w:t>
      </w:r>
      <w:r w:rsidR="003D4229" w:rsidRPr="00904FCB">
        <w:rPr>
          <w:rFonts w:ascii="Tahoma" w:hAnsi="Tahoma" w:hint="cs"/>
          <w:sz w:val="27"/>
          <w:rtl/>
          <w:lang w:bidi="fa-IR"/>
        </w:rPr>
        <w:t>ّ</w:t>
      </w:r>
      <w:r w:rsidRPr="00904FCB">
        <w:rPr>
          <w:rFonts w:ascii="Tahoma" w:hAnsi="Tahoma"/>
          <w:sz w:val="27"/>
          <w:rtl/>
          <w:lang w:bidi="fa-IR"/>
        </w:rPr>
        <w:t xml:space="preserve">ر </w:t>
      </w:r>
      <w:r w:rsidR="003D4229" w:rsidRPr="00904FCB">
        <w:rPr>
          <w:rFonts w:ascii="Tahoma" w:hAnsi="Tahoma" w:hint="cs"/>
          <w:sz w:val="27"/>
          <w:rtl/>
          <w:lang w:bidi="fa-IR"/>
        </w:rPr>
        <w:t>أ</w:t>
      </w:r>
      <w:r w:rsidRPr="00904FCB">
        <w:rPr>
          <w:rFonts w:ascii="Tahoma" w:hAnsi="Tahoma"/>
          <w:sz w:val="27"/>
          <w:rtl/>
          <w:lang w:bidi="fa-IR"/>
        </w:rPr>
        <w:t>نه مدعو</w:t>
      </w:r>
      <w:r w:rsidR="003D4229" w:rsidRPr="00904FCB">
        <w:rPr>
          <w:rFonts w:ascii="Tahoma" w:hAnsi="Tahoma" w:hint="cs"/>
          <w:sz w:val="27"/>
          <w:rtl/>
          <w:lang w:bidi="fa-IR"/>
        </w:rPr>
        <w:t>ٌّ</w:t>
      </w:r>
      <w:r w:rsidRPr="00904FCB">
        <w:rPr>
          <w:rFonts w:ascii="Tahoma" w:hAnsi="Tahoma"/>
          <w:sz w:val="27"/>
          <w:rtl/>
          <w:lang w:bidi="fa-IR"/>
        </w:rPr>
        <w:t xml:space="preserve"> للتشريع</w:t>
      </w:r>
      <w:r w:rsidR="003D4229" w:rsidRPr="00904FCB">
        <w:rPr>
          <w:rFonts w:ascii="Tahoma" w:hAnsi="Tahoma"/>
          <w:sz w:val="27"/>
          <w:rtl/>
          <w:lang w:bidi="fa-IR"/>
        </w:rPr>
        <w:t>.</w:t>
      </w:r>
    </w:p>
    <w:p w:rsidR="003D4229"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وهنا يجيب أحد فقهاء القانون المقارن</w:t>
      </w:r>
      <w:r w:rsidR="003D4229" w:rsidRPr="00904FCB">
        <w:rPr>
          <w:rFonts w:ascii="Tahoma" w:hAnsi="Tahoma" w:hint="cs"/>
          <w:sz w:val="27"/>
          <w:rtl/>
          <w:lang w:bidi="fa-IR"/>
        </w:rPr>
        <w:t>:</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إن القانون المقارن هو المرجع الأول للشرع</w:t>
      </w:r>
      <w:r w:rsidR="003D4229" w:rsidRPr="00904FCB">
        <w:rPr>
          <w:rFonts w:ascii="Tahoma" w:hAnsi="Tahoma" w:hint="cs"/>
          <w:sz w:val="27"/>
          <w:rtl/>
          <w:lang w:bidi="fa-IR"/>
        </w:rPr>
        <w:t>،</w:t>
      </w:r>
      <w:r w:rsidRPr="00904FCB">
        <w:rPr>
          <w:rFonts w:ascii="Tahoma" w:hAnsi="Tahoma"/>
          <w:sz w:val="27"/>
          <w:rtl/>
          <w:lang w:bidi="fa-IR"/>
        </w:rPr>
        <w:t xml:space="preserve"> وهو إذن مرجع القاضي في مثل هذا المأزق</w:t>
      </w:r>
      <w:r w:rsidRPr="00904FCB">
        <w:rPr>
          <w:rFonts w:hint="eastAsia"/>
          <w:sz w:val="27"/>
          <w:rtl/>
        </w:rPr>
        <w:t>»</w:t>
      </w:r>
      <w:r w:rsidR="003D4229"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والرأي عندي </w:t>
      </w:r>
      <w:r w:rsidR="003D4229" w:rsidRPr="00904FCB">
        <w:rPr>
          <w:rFonts w:ascii="Tahoma" w:hAnsi="Tahoma" w:hint="cs"/>
          <w:sz w:val="27"/>
          <w:rtl/>
          <w:lang w:bidi="fa-IR"/>
        </w:rPr>
        <w:t>أ</w:t>
      </w:r>
      <w:r w:rsidRPr="00904FCB">
        <w:rPr>
          <w:rFonts w:ascii="Tahoma" w:hAnsi="Tahoma"/>
          <w:sz w:val="27"/>
          <w:rtl/>
          <w:lang w:bidi="fa-IR"/>
        </w:rPr>
        <w:t>نه سؤال</w:t>
      </w:r>
      <w:r w:rsidR="003D4229" w:rsidRPr="00904FCB">
        <w:rPr>
          <w:rFonts w:ascii="Tahoma" w:hAnsi="Tahoma" w:hint="cs"/>
          <w:sz w:val="27"/>
          <w:rtl/>
          <w:lang w:bidi="fa-IR"/>
        </w:rPr>
        <w:t>ٌ</w:t>
      </w:r>
      <w:r w:rsidRPr="00904FCB">
        <w:rPr>
          <w:rFonts w:ascii="Tahoma" w:hAnsi="Tahoma"/>
          <w:sz w:val="27"/>
          <w:rtl/>
          <w:lang w:bidi="fa-IR"/>
        </w:rPr>
        <w:t xml:space="preserve"> لا يجد طريقه إلى الفقه القانوني ال</w:t>
      </w:r>
      <w:r w:rsidR="003D4229" w:rsidRPr="00904FCB">
        <w:rPr>
          <w:rFonts w:ascii="Tahoma" w:hAnsi="Tahoma" w:hint="cs"/>
          <w:sz w:val="27"/>
          <w:rtl/>
          <w:lang w:bidi="fa-IR"/>
        </w:rPr>
        <w:t>إ</w:t>
      </w:r>
      <w:r w:rsidRPr="00904FCB">
        <w:rPr>
          <w:rFonts w:ascii="Tahoma" w:hAnsi="Tahoma"/>
          <w:sz w:val="27"/>
          <w:rtl/>
          <w:lang w:bidi="fa-IR"/>
        </w:rPr>
        <w:t xml:space="preserve">سلامي، حيث </w:t>
      </w:r>
      <w:r w:rsidR="003D4229" w:rsidRPr="00904FCB">
        <w:rPr>
          <w:rFonts w:ascii="Tahoma" w:hAnsi="Tahoma" w:hint="cs"/>
          <w:sz w:val="27"/>
          <w:rtl/>
          <w:lang w:bidi="fa-IR"/>
        </w:rPr>
        <w:t>أذن</w:t>
      </w:r>
      <w:r w:rsidRPr="00904FCB">
        <w:rPr>
          <w:rFonts w:ascii="Tahoma" w:hAnsi="Tahoma"/>
          <w:sz w:val="27"/>
          <w:rtl/>
          <w:lang w:bidi="fa-IR"/>
        </w:rPr>
        <w:t xml:space="preserve"> الشرع للقاضي الفقيه بالاجتهاد</w:t>
      </w:r>
      <w:r w:rsidR="003D4229" w:rsidRPr="00904FCB">
        <w:rPr>
          <w:rFonts w:ascii="Tahoma" w:hAnsi="Tahoma" w:hint="cs"/>
          <w:sz w:val="27"/>
          <w:rtl/>
          <w:lang w:bidi="fa-IR"/>
        </w:rPr>
        <w:t>؛</w:t>
      </w:r>
      <w:r w:rsidRPr="00904FCB">
        <w:rPr>
          <w:rFonts w:ascii="Tahoma" w:hAnsi="Tahoma"/>
          <w:sz w:val="27"/>
          <w:rtl/>
          <w:lang w:bidi="fa-IR"/>
        </w:rPr>
        <w:t xml:space="preserve"> للوصول إلى ما يراه حق</w:t>
      </w:r>
      <w:r w:rsidR="003D4229" w:rsidRPr="00904FCB">
        <w:rPr>
          <w:rFonts w:ascii="Tahoma" w:hAnsi="Tahoma" w:hint="cs"/>
          <w:sz w:val="27"/>
          <w:rtl/>
          <w:lang w:bidi="fa-IR"/>
        </w:rPr>
        <w:t>ّ</w:t>
      </w:r>
      <w:r w:rsidRPr="00904FCB">
        <w:rPr>
          <w:rFonts w:ascii="Tahoma" w:hAnsi="Tahoma"/>
          <w:sz w:val="27"/>
          <w:rtl/>
          <w:lang w:bidi="fa-IR"/>
        </w:rPr>
        <w:t>ا</w:t>
      </w:r>
      <w:r w:rsidR="003D4229" w:rsidRPr="00904FCB">
        <w:rPr>
          <w:rFonts w:ascii="Tahoma" w:hAnsi="Tahoma" w:hint="cs"/>
          <w:sz w:val="27"/>
          <w:rtl/>
          <w:lang w:bidi="fa-IR"/>
        </w:rPr>
        <w:t>ً</w:t>
      </w:r>
      <w:r w:rsidRPr="00904FCB">
        <w:rPr>
          <w:rFonts w:ascii="Tahoma" w:hAnsi="Tahoma"/>
          <w:sz w:val="27"/>
          <w:rtl/>
          <w:lang w:bidi="fa-IR"/>
        </w:rPr>
        <w:t xml:space="preserve"> في كل</w:t>
      </w:r>
      <w:r w:rsidR="003D4229" w:rsidRPr="00904FCB">
        <w:rPr>
          <w:rFonts w:ascii="Tahoma" w:hAnsi="Tahoma" w:hint="cs"/>
          <w:sz w:val="27"/>
          <w:rtl/>
          <w:lang w:bidi="fa-IR"/>
        </w:rPr>
        <w:t>ّ</w:t>
      </w:r>
      <w:r w:rsidRPr="00904FCB">
        <w:rPr>
          <w:rFonts w:ascii="Tahoma" w:hAnsi="Tahoma"/>
          <w:sz w:val="27"/>
          <w:rtl/>
          <w:lang w:bidi="fa-IR"/>
        </w:rPr>
        <w:t xml:space="preserve"> ما يعرض عليه من قضايا</w:t>
      </w:r>
      <w:r w:rsidR="003D4229" w:rsidRPr="00904FCB">
        <w:rPr>
          <w:rFonts w:ascii="Tahoma" w:hAnsi="Tahoma" w:hint="cs"/>
          <w:sz w:val="27"/>
          <w:rtl/>
          <w:lang w:bidi="fa-IR"/>
        </w:rPr>
        <w:t>.</w:t>
      </w:r>
      <w:r w:rsidRPr="00904FCB">
        <w:rPr>
          <w:rFonts w:ascii="Tahoma" w:hAnsi="Tahoma"/>
          <w:sz w:val="27"/>
          <w:rtl/>
          <w:lang w:bidi="fa-IR"/>
        </w:rPr>
        <w:t xml:space="preserve"> فالعقل</w:t>
      </w:r>
      <w:r w:rsidR="003D4229" w:rsidRPr="00904FCB">
        <w:rPr>
          <w:rFonts w:ascii="Tahoma" w:hAnsi="Tahoma" w:hint="cs"/>
          <w:sz w:val="27"/>
          <w:rtl/>
          <w:lang w:bidi="fa-IR"/>
        </w:rPr>
        <w:t>،</w:t>
      </w:r>
      <w:r w:rsidRPr="00904FCB">
        <w:rPr>
          <w:rFonts w:ascii="Tahoma" w:hAnsi="Tahoma"/>
          <w:sz w:val="27"/>
          <w:rtl/>
          <w:lang w:bidi="fa-IR"/>
        </w:rPr>
        <w:t xml:space="preserve"> وليس القانون المقارن</w:t>
      </w:r>
      <w:r w:rsidR="003D4229" w:rsidRPr="00904FCB">
        <w:rPr>
          <w:rFonts w:ascii="Tahoma" w:hAnsi="Tahoma" w:hint="cs"/>
          <w:sz w:val="27"/>
          <w:rtl/>
          <w:lang w:bidi="fa-IR"/>
        </w:rPr>
        <w:t>،</w:t>
      </w:r>
      <w:r w:rsidRPr="00904FCB">
        <w:rPr>
          <w:rFonts w:ascii="Tahoma" w:hAnsi="Tahoma"/>
          <w:sz w:val="27"/>
          <w:rtl/>
          <w:lang w:bidi="fa-IR"/>
        </w:rPr>
        <w:t xml:space="preserve"> هو وجهة القاضي عندما يغيب النص</w:t>
      </w:r>
      <w:r w:rsidR="003D4229" w:rsidRPr="00904FCB">
        <w:rPr>
          <w:rFonts w:ascii="Tahoma" w:hAnsi="Tahoma" w:hint="cs"/>
          <w:sz w:val="27"/>
          <w:rtl/>
          <w:lang w:bidi="fa-IR"/>
        </w:rPr>
        <w:t>ّ.</w:t>
      </w:r>
      <w:r w:rsidRPr="00904FCB">
        <w:rPr>
          <w:rFonts w:ascii="Tahoma" w:hAnsi="Tahoma"/>
          <w:sz w:val="27"/>
          <w:rtl/>
          <w:lang w:bidi="fa-IR"/>
        </w:rPr>
        <w:t xml:space="preserve"> فغيابه إحالة</w:t>
      </w:r>
      <w:r w:rsidR="003D4229" w:rsidRPr="00904FCB">
        <w:rPr>
          <w:rFonts w:ascii="Tahoma" w:hAnsi="Tahoma" w:hint="cs"/>
          <w:sz w:val="27"/>
          <w:rtl/>
          <w:lang w:bidi="fa-IR"/>
        </w:rPr>
        <w:t>ٌ،</w:t>
      </w:r>
      <w:r w:rsidRPr="00904FCB">
        <w:rPr>
          <w:rFonts w:ascii="Tahoma" w:hAnsi="Tahoma"/>
          <w:sz w:val="27"/>
          <w:rtl/>
          <w:lang w:bidi="fa-IR"/>
        </w:rPr>
        <w:t xml:space="preserve"> لا إقالة.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sz w:val="27"/>
          <w:rtl/>
          <w:lang w:bidi="ar-LB"/>
        </w:rPr>
        <w:t xml:space="preserve">4ـ </w:t>
      </w:r>
      <w:r w:rsidRPr="008C16BF">
        <w:rPr>
          <w:rFonts w:ascii="Tahoma" w:hAnsi="Tahoma"/>
          <w:sz w:val="27"/>
          <w:rtl/>
          <w:lang w:bidi="fa-IR"/>
        </w:rPr>
        <w:t>وللقانون المقارن مهمته التثقيفية</w:t>
      </w:r>
      <w:r w:rsidR="003D4229" w:rsidRPr="008C16BF">
        <w:rPr>
          <w:rFonts w:ascii="Tahoma" w:hAnsi="Tahoma" w:hint="cs"/>
          <w:sz w:val="27"/>
          <w:rtl/>
          <w:lang w:bidi="fa-IR"/>
        </w:rPr>
        <w:t>.</w:t>
      </w:r>
      <w:r w:rsidRPr="008C16BF">
        <w:rPr>
          <w:rFonts w:ascii="Tahoma" w:hAnsi="Tahoma"/>
          <w:sz w:val="27"/>
          <w:rtl/>
          <w:lang w:bidi="fa-IR"/>
        </w:rPr>
        <w:t xml:space="preserve"> وهذه المهمة المنتظرة من القانون المقارن على</w:t>
      </w:r>
      <w:r w:rsidRPr="00904FCB">
        <w:rPr>
          <w:rFonts w:ascii="Tahoma" w:hAnsi="Tahoma"/>
          <w:sz w:val="27"/>
          <w:rtl/>
          <w:lang w:bidi="fa-IR"/>
        </w:rPr>
        <w:t xml:space="preserve"> جانب من الأهم</w:t>
      </w:r>
      <w:r w:rsidR="003D4229" w:rsidRPr="00904FCB">
        <w:rPr>
          <w:rFonts w:ascii="Tahoma" w:hAnsi="Tahoma" w:hint="cs"/>
          <w:sz w:val="27"/>
          <w:rtl/>
          <w:lang w:bidi="fa-IR"/>
        </w:rPr>
        <w:t>ّ</w:t>
      </w:r>
      <w:r w:rsidRPr="00904FCB">
        <w:rPr>
          <w:rFonts w:ascii="Tahoma" w:hAnsi="Tahoma"/>
          <w:sz w:val="27"/>
          <w:rtl/>
          <w:lang w:bidi="fa-IR"/>
        </w:rPr>
        <w:t>ية</w:t>
      </w:r>
      <w:r w:rsidR="003D4229" w:rsidRPr="00904FCB">
        <w:rPr>
          <w:rFonts w:ascii="Tahoma" w:hAnsi="Tahoma" w:hint="cs"/>
          <w:sz w:val="27"/>
          <w:rtl/>
          <w:lang w:bidi="fa-IR"/>
        </w:rPr>
        <w:t>؛</w:t>
      </w:r>
      <w:r w:rsidRPr="00904FCB">
        <w:rPr>
          <w:rFonts w:ascii="Tahoma" w:hAnsi="Tahoma"/>
          <w:sz w:val="27"/>
          <w:rtl/>
          <w:lang w:bidi="fa-IR"/>
        </w:rPr>
        <w:t xml:space="preserve"> لأن هذا القانون يزيد من حد</w:t>
      </w:r>
      <w:r w:rsidR="003D4229" w:rsidRPr="00904FCB">
        <w:rPr>
          <w:rFonts w:ascii="Tahoma" w:hAnsi="Tahoma" w:hint="cs"/>
          <w:sz w:val="27"/>
          <w:rtl/>
          <w:lang w:bidi="fa-IR"/>
        </w:rPr>
        <w:t>ّ</w:t>
      </w:r>
      <w:r w:rsidRPr="00904FCB">
        <w:rPr>
          <w:rFonts w:ascii="Tahoma" w:hAnsi="Tahoma"/>
          <w:sz w:val="27"/>
          <w:rtl/>
          <w:lang w:bidi="fa-IR"/>
        </w:rPr>
        <w:t>ة الشارع حت</w:t>
      </w:r>
      <w:r w:rsidR="003D4229" w:rsidRPr="00904FCB">
        <w:rPr>
          <w:rFonts w:ascii="Tahoma" w:hAnsi="Tahoma" w:hint="cs"/>
          <w:sz w:val="27"/>
          <w:rtl/>
          <w:lang w:bidi="fa-IR"/>
        </w:rPr>
        <w:t>ّى</w:t>
      </w:r>
      <w:r w:rsidRPr="00904FCB">
        <w:rPr>
          <w:rFonts w:ascii="Tahoma" w:hAnsi="Tahoma"/>
          <w:sz w:val="27"/>
          <w:rtl/>
          <w:lang w:bidi="fa-IR"/>
        </w:rPr>
        <w:t xml:space="preserve"> يلم</w:t>
      </w:r>
      <w:r w:rsidR="003D4229" w:rsidRPr="00904FCB">
        <w:rPr>
          <w:rFonts w:ascii="Tahoma" w:hAnsi="Tahoma" w:hint="cs"/>
          <w:sz w:val="27"/>
          <w:rtl/>
          <w:lang w:bidi="fa-IR"/>
        </w:rPr>
        <w:t>ّ</w:t>
      </w:r>
      <w:r w:rsidRPr="00904FCB">
        <w:rPr>
          <w:rFonts w:ascii="Tahoma" w:hAnsi="Tahoma"/>
          <w:sz w:val="27"/>
          <w:rtl/>
          <w:lang w:bidi="fa-IR"/>
        </w:rPr>
        <w:t xml:space="preserve"> بالحلول المرعية في القوانين الأجنبية، ويوس</w:t>
      </w:r>
      <w:r w:rsidR="003D4229" w:rsidRPr="00904FCB">
        <w:rPr>
          <w:rFonts w:ascii="Tahoma" w:hAnsi="Tahoma" w:hint="cs"/>
          <w:sz w:val="27"/>
          <w:rtl/>
          <w:lang w:bidi="fa-IR"/>
        </w:rPr>
        <w:t>ّ</w:t>
      </w:r>
      <w:r w:rsidRPr="00904FCB">
        <w:rPr>
          <w:rFonts w:ascii="Tahoma" w:hAnsi="Tahoma"/>
          <w:sz w:val="27"/>
          <w:rtl/>
          <w:lang w:bidi="fa-IR"/>
        </w:rPr>
        <w:t xml:space="preserve">ع من </w:t>
      </w:r>
      <w:r w:rsidR="003D4229" w:rsidRPr="00904FCB">
        <w:rPr>
          <w:rFonts w:ascii="Tahoma" w:hAnsi="Tahoma" w:hint="cs"/>
          <w:sz w:val="27"/>
          <w:rtl/>
          <w:lang w:bidi="fa-IR"/>
        </w:rPr>
        <w:t>أ</w:t>
      </w:r>
      <w:r w:rsidRPr="00904FCB">
        <w:rPr>
          <w:rFonts w:ascii="Tahoma" w:hAnsi="Tahoma"/>
          <w:sz w:val="27"/>
          <w:rtl/>
          <w:lang w:bidi="fa-IR"/>
        </w:rPr>
        <w:t>فق رجل القانون حين يعلم بالقوانين الأجنبية، ويعلم أن ثمة حلولاً أخر</w:t>
      </w:r>
      <w:r w:rsidR="003D4229" w:rsidRPr="00904FCB">
        <w:rPr>
          <w:rFonts w:ascii="Tahoma" w:hAnsi="Tahoma" w:hint="cs"/>
          <w:sz w:val="27"/>
          <w:rtl/>
          <w:lang w:bidi="fa-IR"/>
        </w:rPr>
        <w:t>ى</w:t>
      </w:r>
      <w:r w:rsidRPr="00904FCB">
        <w:rPr>
          <w:rFonts w:ascii="Tahoma" w:hAnsi="Tahoma"/>
          <w:sz w:val="27"/>
          <w:rtl/>
          <w:lang w:bidi="fa-IR"/>
        </w:rPr>
        <w:t xml:space="preserve"> ونظما</w:t>
      </w:r>
      <w:r w:rsidR="003D4229" w:rsidRPr="00904FCB">
        <w:rPr>
          <w:rFonts w:ascii="Tahoma" w:hAnsi="Tahoma" w:hint="cs"/>
          <w:sz w:val="27"/>
          <w:rtl/>
          <w:lang w:bidi="fa-IR"/>
        </w:rPr>
        <w:t>ً</w:t>
      </w:r>
      <w:r w:rsidRPr="00904FCB">
        <w:rPr>
          <w:rFonts w:ascii="Tahoma" w:hAnsi="Tahoma"/>
          <w:sz w:val="27"/>
          <w:rtl/>
          <w:lang w:bidi="fa-IR"/>
        </w:rPr>
        <w:t xml:space="preserve"> مغايرة</w:t>
      </w:r>
      <w:r w:rsidR="003D4229" w:rsidRPr="00904FCB">
        <w:rPr>
          <w:rFonts w:ascii="Tahoma" w:hAnsi="Tahoma" w:hint="cs"/>
          <w:sz w:val="27"/>
          <w:rtl/>
          <w:lang w:bidi="fa-IR"/>
        </w:rPr>
        <w:t>،</w:t>
      </w:r>
      <w:r w:rsidRPr="00904FCB">
        <w:rPr>
          <w:rFonts w:ascii="Tahoma" w:hAnsi="Tahoma"/>
          <w:sz w:val="27"/>
          <w:rtl/>
          <w:lang w:bidi="fa-IR"/>
        </w:rPr>
        <w:t xml:space="preserve"> فتزداد ملكته الانتقادية والتحليلية، ويت</w:t>
      </w:r>
      <w:r w:rsidR="003D4229" w:rsidRPr="00904FCB">
        <w:rPr>
          <w:rFonts w:ascii="Tahoma" w:hAnsi="Tahoma" w:hint="cs"/>
          <w:sz w:val="27"/>
          <w:rtl/>
          <w:lang w:bidi="fa-IR"/>
        </w:rPr>
        <w:t>ّ</w:t>
      </w:r>
      <w:r w:rsidRPr="00904FCB">
        <w:rPr>
          <w:rFonts w:ascii="Tahoma" w:hAnsi="Tahoma"/>
          <w:sz w:val="27"/>
          <w:rtl/>
          <w:lang w:bidi="fa-IR"/>
        </w:rPr>
        <w:t>سع أفق تفكيره وخياله... والحاصل أن</w:t>
      </w:r>
      <w:r w:rsidR="003D4229" w:rsidRPr="00904FCB">
        <w:rPr>
          <w:rFonts w:ascii="Tahoma" w:hAnsi="Tahoma" w:hint="cs"/>
          <w:sz w:val="27"/>
          <w:rtl/>
          <w:lang w:bidi="fa-IR"/>
        </w:rPr>
        <w:t>ّ</w:t>
      </w:r>
      <w:r w:rsidRPr="00904FCB">
        <w:rPr>
          <w:rFonts w:ascii="Tahoma" w:hAnsi="Tahoma"/>
          <w:sz w:val="27"/>
          <w:rtl/>
          <w:lang w:bidi="fa-IR"/>
        </w:rPr>
        <w:t xml:space="preserve"> دراسة القانون الموازن تصل أسباب العالم ببعضها</w:t>
      </w:r>
      <w:r w:rsidR="003D4229" w:rsidRPr="00904FCB">
        <w:rPr>
          <w:rFonts w:ascii="Tahoma" w:hAnsi="Tahoma" w:hint="cs"/>
          <w:sz w:val="27"/>
          <w:rtl/>
          <w:lang w:bidi="fa-IR"/>
        </w:rPr>
        <w:t>،</w:t>
      </w:r>
      <w:r w:rsidRPr="00904FCB">
        <w:rPr>
          <w:rFonts w:ascii="Tahoma" w:hAnsi="Tahoma"/>
          <w:sz w:val="27"/>
          <w:rtl/>
          <w:lang w:bidi="fa-IR"/>
        </w:rPr>
        <w:t xml:space="preserve"> دون افت</w:t>
      </w:r>
      <w:r w:rsidR="003D4229" w:rsidRPr="00904FCB">
        <w:rPr>
          <w:rFonts w:ascii="Tahoma" w:hAnsi="Tahoma" w:hint="cs"/>
          <w:sz w:val="27"/>
          <w:rtl/>
          <w:lang w:bidi="fa-IR"/>
        </w:rPr>
        <w:t>ئ</w:t>
      </w:r>
      <w:r w:rsidRPr="00904FCB">
        <w:rPr>
          <w:rFonts w:ascii="Tahoma" w:hAnsi="Tahoma"/>
          <w:sz w:val="27"/>
          <w:rtl/>
          <w:lang w:bidi="fa-IR"/>
        </w:rPr>
        <w:t>ات على الروح القومية والوطنية</w:t>
      </w:r>
      <w:r w:rsidR="003D4229" w:rsidRPr="00904FCB">
        <w:rPr>
          <w:rFonts w:ascii="Tahoma" w:hAnsi="Tahoma" w:hint="cs"/>
          <w:sz w:val="27"/>
          <w:rtl/>
          <w:lang w:bidi="fa-IR"/>
        </w:rPr>
        <w:t>.</w:t>
      </w:r>
      <w:r w:rsidRPr="00904FCB">
        <w:rPr>
          <w:rFonts w:ascii="Tahoma" w:hAnsi="Tahoma"/>
          <w:sz w:val="27"/>
          <w:rtl/>
          <w:lang w:bidi="fa-IR"/>
        </w:rPr>
        <w:t xml:space="preserve"> وبذلك يتم</w:t>
      </w:r>
      <w:r w:rsidR="003D4229" w:rsidRPr="00904FCB">
        <w:rPr>
          <w:rFonts w:ascii="Tahoma" w:hAnsi="Tahoma" w:hint="cs"/>
          <w:sz w:val="27"/>
          <w:rtl/>
          <w:lang w:bidi="fa-IR"/>
        </w:rPr>
        <w:t>ّ</w:t>
      </w:r>
      <w:r w:rsidRPr="00904FCB">
        <w:rPr>
          <w:rFonts w:ascii="Tahoma" w:hAnsi="Tahoma"/>
          <w:sz w:val="27"/>
          <w:rtl/>
          <w:lang w:bidi="fa-IR"/>
        </w:rPr>
        <w:t xml:space="preserve"> التعاون بين رجال القانون من جميع البلاد. </w:t>
      </w:r>
    </w:p>
    <w:p w:rsidR="00644408" w:rsidRPr="00904FCB" w:rsidRDefault="00644408" w:rsidP="007A21AA">
      <w:pPr>
        <w:autoSpaceDE w:val="0"/>
        <w:autoSpaceDN w:val="0"/>
        <w:adjustRightInd w:val="0"/>
        <w:spacing w:line="400" w:lineRule="exact"/>
        <w:rPr>
          <w:rFonts w:ascii="Tahoma" w:hAnsi="Tahoma"/>
          <w:sz w:val="27"/>
          <w:lang w:bidi="fa-IR"/>
        </w:rPr>
      </w:pPr>
      <w:r w:rsidRPr="008C16BF">
        <w:rPr>
          <w:rFonts w:ascii="Tahoma" w:hAnsi="Tahoma" w:hint="cs"/>
          <w:sz w:val="27"/>
          <w:rtl/>
          <w:lang w:bidi="ar-LB"/>
        </w:rPr>
        <w:t xml:space="preserve">5ـ </w:t>
      </w:r>
      <w:r w:rsidRPr="008C16BF">
        <w:rPr>
          <w:rFonts w:ascii="Tahoma" w:hAnsi="Tahoma"/>
          <w:sz w:val="27"/>
          <w:rtl/>
          <w:lang w:bidi="fa-IR"/>
        </w:rPr>
        <w:t>وللقانون المقارن مهمته التشريعية</w:t>
      </w:r>
      <w:r w:rsidR="003D4229" w:rsidRPr="008C16BF">
        <w:rPr>
          <w:rFonts w:ascii="Tahoma" w:hAnsi="Tahoma" w:hint="cs"/>
          <w:sz w:val="27"/>
          <w:rtl/>
          <w:lang w:bidi="fa-IR"/>
        </w:rPr>
        <w:t xml:space="preserve">، </w:t>
      </w:r>
      <w:r w:rsidRPr="008C16BF">
        <w:rPr>
          <w:rFonts w:ascii="Tahoma" w:hAnsi="Tahoma"/>
          <w:sz w:val="27"/>
          <w:rtl/>
          <w:lang w:bidi="fa-IR"/>
        </w:rPr>
        <w:t>حيث لا تخف</w:t>
      </w:r>
      <w:r w:rsidR="003D4229" w:rsidRPr="008C16BF">
        <w:rPr>
          <w:rFonts w:ascii="Tahoma" w:hAnsi="Tahoma" w:hint="cs"/>
          <w:sz w:val="27"/>
          <w:rtl/>
          <w:lang w:bidi="fa-IR"/>
        </w:rPr>
        <w:t>ى</w:t>
      </w:r>
      <w:r w:rsidRPr="008C16BF">
        <w:rPr>
          <w:rFonts w:ascii="Tahoma" w:hAnsi="Tahoma"/>
          <w:sz w:val="27"/>
          <w:rtl/>
          <w:lang w:bidi="fa-IR"/>
        </w:rPr>
        <w:t xml:space="preserve"> أهم</w:t>
      </w:r>
      <w:r w:rsidR="003D4229" w:rsidRPr="008C16BF">
        <w:rPr>
          <w:rFonts w:ascii="Tahoma" w:hAnsi="Tahoma" w:hint="cs"/>
          <w:sz w:val="27"/>
          <w:rtl/>
          <w:lang w:bidi="fa-IR"/>
        </w:rPr>
        <w:t>ّ</w:t>
      </w:r>
      <w:r w:rsidRPr="008C16BF">
        <w:rPr>
          <w:rFonts w:ascii="Tahoma" w:hAnsi="Tahoma"/>
          <w:sz w:val="27"/>
          <w:rtl/>
          <w:lang w:bidi="fa-IR"/>
        </w:rPr>
        <w:t>ية القانون المقارن في</w:t>
      </w:r>
      <w:r w:rsidRPr="00904FCB">
        <w:rPr>
          <w:rFonts w:ascii="Tahoma" w:hAnsi="Tahoma"/>
          <w:sz w:val="27"/>
          <w:rtl/>
          <w:lang w:bidi="fa-IR"/>
        </w:rPr>
        <w:t xml:space="preserve"> حركة التقنين</w:t>
      </w:r>
      <w:r w:rsidR="003D4229" w:rsidRPr="00904FCB">
        <w:rPr>
          <w:rFonts w:ascii="Tahoma" w:hAnsi="Tahoma" w:hint="cs"/>
          <w:sz w:val="27"/>
          <w:rtl/>
          <w:lang w:bidi="fa-IR"/>
        </w:rPr>
        <w:t>،</w:t>
      </w:r>
      <w:r w:rsidRPr="00904FCB">
        <w:rPr>
          <w:rFonts w:ascii="Tahoma" w:hAnsi="Tahoma"/>
          <w:sz w:val="27"/>
          <w:rtl/>
          <w:lang w:bidi="fa-IR"/>
        </w:rPr>
        <w:t xml:space="preserve"> حيث لوحظ أن أسوأ القوانين صياغة وحلولا</w:t>
      </w:r>
      <w:r w:rsidR="003D4229" w:rsidRPr="00904FCB">
        <w:rPr>
          <w:rFonts w:ascii="Tahoma" w:hAnsi="Tahoma" w:hint="cs"/>
          <w:sz w:val="27"/>
          <w:rtl/>
          <w:lang w:bidi="fa-IR"/>
        </w:rPr>
        <w:t>ً</w:t>
      </w:r>
      <w:r w:rsidRPr="00904FCB">
        <w:rPr>
          <w:rFonts w:ascii="Tahoma" w:hAnsi="Tahoma"/>
          <w:sz w:val="27"/>
          <w:rtl/>
          <w:lang w:bidi="fa-IR"/>
        </w:rPr>
        <w:t xml:space="preserve"> هي تلك القوانين التي شرعتها سلطة تجاهلت ال</w:t>
      </w:r>
      <w:r w:rsidR="00AE12F3" w:rsidRPr="00904FCB">
        <w:rPr>
          <w:rFonts w:ascii="Tahoma" w:hAnsi="Tahoma" w:hint="cs"/>
          <w:sz w:val="27"/>
          <w:rtl/>
          <w:lang w:bidi="fa-IR"/>
        </w:rPr>
        <w:t>إ</w:t>
      </w:r>
      <w:r w:rsidRPr="00904FCB">
        <w:rPr>
          <w:rFonts w:ascii="Tahoma" w:hAnsi="Tahoma"/>
          <w:sz w:val="27"/>
          <w:rtl/>
          <w:lang w:bidi="fa-IR"/>
        </w:rPr>
        <w:t xml:space="preserve">فادة من الحلول الواردة في </w:t>
      </w:r>
      <w:r w:rsidR="00AE12F3" w:rsidRPr="00904FCB">
        <w:rPr>
          <w:rFonts w:ascii="Tahoma" w:hAnsi="Tahoma" w:hint="cs"/>
          <w:sz w:val="27"/>
          <w:rtl/>
          <w:lang w:bidi="fa-IR"/>
        </w:rPr>
        <w:t>أ</w:t>
      </w:r>
      <w:r w:rsidRPr="00904FCB">
        <w:rPr>
          <w:rFonts w:ascii="Tahoma" w:hAnsi="Tahoma"/>
          <w:sz w:val="27"/>
          <w:rtl/>
          <w:lang w:bidi="fa-IR"/>
        </w:rPr>
        <w:t>مثال تلك القوانين في البلاد الأجنبية</w:t>
      </w:r>
      <w:r w:rsidR="00AE12F3" w:rsidRPr="00904FCB">
        <w:rPr>
          <w:rFonts w:ascii="Tahoma" w:hAnsi="Tahoma" w:hint="cs"/>
          <w:sz w:val="27"/>
          <w:rtl/>
          <w:lang w:bidi="fa-IR"/>
        </w:rPr>
        <w:t>....</w:t>
      </w:r>
      <w:r w:rsidRPr="00904FCB">
        <w:rPr>
          <w:rFonts w:ascii="Tahoma" w:hAnsi="Tahoma"/>
          <w:sz w:val="27"/>
          <w:rtl/>
          <w:lang w:bidi="fa-IR"/>
        </w:rPr>
        <w:t xml:space="preserve"> ويوصي رجال القانون المقارن بالتزام الحيطة عند استعارة القوانين الأجنبية</w:t>
      </w:r>
      <w:r w:rsidR="00AE12F3" w:rsidRPr="00904FCB">
        <w:rPr>
          <w:rFonts w:ascii="Tahoma" w:hAnsi="Tahoma" w:hint="cs"/>
          <w:sz w:val="27"/>
          <w:rtl/>
          <w:lang w:bidi="fa-IR"/>
        </w:rPr>
        <w:t>؛</w:t>
      </w:r>
      <w:r w:rsidRPr="00904FCB">
        <w:rPr>
          <w:rFonts w:ascii="Tahoma" w:hAnsi="Tahoma"/>
          <w:sz w:val="27"/>
          <w:rtl/>
          <w:lang w:bidi="fa-IR"/>
        </w:rPr>
        <w:t xml:space="preserve"> </w:t>
      </w:r>
      <w:r w:rsidRPr="00904FCB">
        <w:rPr>
          <w:rFonts w:ascii="Tahoma" w:hAnsi="Tahoma"/>
          <w:sz w:val="27"/>
          <w:rtl/>
          <w:lang w:bidi="fa-IR"/>
        </w:rPr>
        <w:lastRenderedPageBreak/>
        <w:t>لئلا</w:t>
      </w:r>
      <w:r w:rsidR="00AE12F3" w:rsidRPr="00904FCB">
        <w:rPr>
          <w:rFonts w:ascii="Tahoma" w:hAnsi="Tahoma" w:hint="cs"/>
          <w:sz w:val="27"/>
          <w:rtl/>
          <w:lang w:bidi="fa-IR"/>
        </w:rPr>
        <w:t>ّ</w:t>
      </w:r>
      <w:r w:rsidRPr="00904FCB">
        <w:rPr>
          <w:rFonts w:ascii="Tahoma" w:hAnsi="Tahoma"/>
          <w:sz w:val="27"/>
          <w:rtl/>
          <w:lang w:bidi="fa-IR"/>
        </w:rPr>
        <w:t xml:space="preserve"> يزج</w:t>
      </w:r>
      <w:r w:rsidR="00AE12F3" w:rsidRPr="00904FCB">
        <w:rPr>
          <w:rFonts w:ascii="Tahoma" w:hAnsi="Tahoma" w:hint="cs"/>
          <w:sz w:val="27"/>
          <w:rtl/>
          <w:lang w:bidi="fa-IR"/>
        </w:rPr>
        <w:t>ّ</w:t>
      </w:r>
      <w:r w:rsidRPr="00904FCB">
        <w:rPr>
          <w:rFonts w:ascii="Tahoma" w:hAnsi="Tahoma"/>
          <w:sz w:val="27"/>
          <w:rtl/>
          <w:lang w:bidi="fa-IR"/>
        </w:rPr>
        <w:t xml:space="preserve"> في التشريع قواعد يعوزها الانسجام، ولئلاّ يقحم في بلد</w:t>
      </w:r>
      <w:r w:rsidR="00AE12F3" w:rsidRPr="00904FCB">
        <w:rPr>
          <w:rFonts w:ascii="Tahoma" w:hAnsi="Tahoma" w:hint="cs"/>
          <w:sz w:val="27"/>
          <w:rtl/>
          <w:lang w:bidi="fa-IR"/>
        </w:rPr>
        <w:t>ٍ</w:t>
      </w:r>
      <w:r w:rsidRPr="00904FCB">
        <w:rPr>
          <w:rFonts w:ascii="Tahoma" w:hAnsi="Tahoma"/>
          <w:sz w:val="27"/>
          <w:rtl/>
          <w:lang w:bidi="fa-IR"/>
        </w:rPr>
        <w:t xml:space="preserve"> تشريع</w:t>
      </w:r>
      <w:r w:rsidR="00AE12F3" w:rsidRPr="00904FCB">
        <w:rPr>
          <w:rFonts w:ascii="Tahoma" w:hAnsi="Tahoma" w:hint="cs"/>
          <w:sz w:val="27"/>
          <w:rtl/>
          <w:lang w:bidi="fa-IR"/>
        </w:rPr>
        <w:t>اً</w:t>
      </w:r>
      <w:r w:rsidRPr="00904FCB">
        <w:rPr>
          <w:rFonts w:ascii="Tahoma" w:hAnsi="Tahoma"/>
          <w:sz w:val="27"/>
          <w:rtl/>
          <w:lang w:bidi="fa-IR"/>
        </w:rPr>
        <w:t xml:space="preserve"> أجنبي العروق</w:t>
      </w:r>
      <w:r w:rsidR="00AE12F3" w:rsidRPr="00904FCB">
        <w:rPr>
          <w:rFonts w:ascii="Tahoma" w:hAnsi="Tahoma" w:hint="cs"/>
          <w:sz w:val="27"/>
          <w:rtl/>
          <w:lang w:bidi="fa-IR"/>
        </w:rPr>
        <w:t>،</w:t>
      </w:r>
      <w:r w:rsidRPr="00904FCB">
        <w:rPr>
          <w:rFonts w:ascii="Tahoma" w:hAnsi="Tahoma"/>
          <w:sz w:val="27"/>
          <w:rtl/>
          <w:lang w:bidi="fa-IR"/>
        </w:rPr>
        <w:t xml:space="preserve"> فيحدث فيها من النتائج ما لا ت</w:t>
      </w:r>
      <w:r w:rsidR="00AE12F3" w:rsidRPr="00904FCB">
        <w:rPr>
          <w:rFonts w:ascii="Tahoma" w:hAnsi="Tahoma" w:hint="cs"/>
          <w:sz w:val="27"/>
          <w:rtl/>
          <w:lang w:bidi="fa-IR"/>
        </w:rPr>
        <w:t>ُ</w:t>
      </w:r>
      <w:r w:rsidRPr="00904FCB">
        <w:rPr>
          <w:rFonts w:ascii="Tahoma" w:hAnsi="Tahoma"/>
          <w:sz w:val="27"/>
          <w:rtl/>
          <w:lang w:bidi="fa-IR"/>
        </w:rPr>
        <w:t>ح</w:t>
      </w:r>
      <w:r w:rsidR="00AE12F3" w:rsidRPr="00904FCB">
        <w:rPr>
          <w:rFonts w:ascii="Tahoma" w:hAnsi="Tahoma" w:hint="cs"/>
          <w:sz w:val="27"/>
          <w:rtl/>
          <w:lang w:bidi="fa-IR"/>
        </w:rPr>
        <w:t>ْ</w:t>
      </w:r>
      <w:r w:rsidRPr="00904FCB">
        <w:rPr>
          <w:rFonts w:ascii="Tahoma" w:hAnsi="Tahoma"/>
          <w:sz w:val="27"/>
          <w:rtl/>
          <w:lang w:bidi="fa-IR"/>
        </w:rPr>
        <w:t>م</w:t>
      </w:r>
      <w:r w:rsidR="00AE12F3" w:rsidRPr="00904FCB">
        <w:rPr>
          <w:rFonts w:ascii="Tahoma" w:hAnsi="Tahoma" w:hint="cs"/>
          <w:sz w:val="27"/>
          <w:rtl/>
          <w:lang w:bidi="fa-IR"/>
        </w:rPr>
        <w:t>َ</w:t>
      </w:r>
      <w:r w:rsidRPr="00904FCB">
        <w:rPr>
          <w:rFonts w:ascii="Tahoma" w:hAnsi="Tahoma"/>
          <w:sz w:val="27"/>
          <w:rtl/>
          <w:lang w:bidi="fa-IR"/>
        </w:rPr>
        <w:t xml:space="preserve">د عقباه.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المطلب الثاني</w:t>
      </w:r>
      <w:r w:rsidRPr="00904FCB">
        <w:rPr>
          <w:rFonts w:hint="cs"/>
          <w:color w:val="auto"/>
          <w:rtl/>
          <w:lang w:bidi="fa-IR"/>
        </w:rPr>
        <w:t xml:space="preserve">: </w:t>
      </w:r>
      <w:r w:rsidRPr="00904FCB">
        <w:rPr>
          <w:color w:val="auto"/>
          <w:rtl/>
          <w:lang w:bidi="fa-IR"/>
        </w:rPr>
        <w:t>في المقاصد الشرعية وصلتها بالقانون المقارن</w:t>
      </w:r>
    </w:p>
    <w:p w:rsidR="00644408" w:rsidRPr="00904FCB" w:rsidRDefault="00644408" w:rsidP="007A21AA">
      <w:pPr>
        <w:autoSpaceDE w:val="0"/>
        <w:autoSpaceDN w:val="0"/>
        <w:adjustRightInd w:val="0"/>
        <w:spacing w:line="400" w:lineRule="exact"/>
        <w:rPr>
          <w:rFonts w:ascii="Tahoma" w:hAnsi="Tahoma"/>
          <w:sz w:val="27"/>
          <w:lang w:bidi="ar-LB"/>
        </w:rPr>
      </w:pPr>
      <w:r w:rsidRPr="00904FCB">
        <w:rPr>
          <w:rFonts w:ascii="Tahoma" w:hAnsi="Tahoma"/>
          <w:sz w:val="27"/>
          <w:rtl/>
          <w:lang w:bidi="fa-IR"/>
        </w:rPr>
        <w:t xml:space="preserve">للأستاذ </w:t>
      </w:r>
      <w:r w:rsidRPr="00904FCB">
        <w:rPr>
          <w:rFonts w:hint="eastAsia"/>
          <w:sz w:val="27"/>
          <w:rtl/>
          <w:lang w:bidi="fa-IR"/>
        </w:rPr>
        <w:t>«</w:t>
      </w:r>
      <w:r w:rsidRPr="00904FCB">
        <w:rPr>
          <w:rFonts w:ascii="Tahoma" w:hAnsi="Tahoma"/>
          <w:sz w:val="27"/>
          <w:rtl/>
          <w:lang w:bidi="fa-IR"/>
        </w:rPr>
        <w:t>أرمانجون</w:t>
      </w:r>
      <w:r w:rsidRPr="00904FCB">
        <w:rPr>
          <w:rFonts w:hint="eastAsia"/>
          <w:sz w:val="27"/>
          <w:rtl/>
        </w:rPr>
        <w:t>»</w:t>
      </w:r>
      <w:r w:rsidRPr="00904FCB">
        <w:rPr>
          <w:rFonts w:ascii="Tahoma" w:hAnsi="Tahoma"/>
          <w:sz w:val="27"/>
          <w:rtl/>
          <w:lang w:bidi="fa-IR"/>
        </w:rPr>
        <w:t xml:space="preserve"> وزميلاه تعريف للقانون المقارن يعتبر مدخلا</w:t>
      </w:r>
      <w:r w:rsidR="00AE12F3" w:rsidRPr="00904FCB">
        <w:rPr>
          <w:rFonts w:ascii="Tahoma" w:hAnsi="Tahoma" w:hint="cs"/>
          <w:sz w:val="27"/>
          <w:rtl/>
          <w:lang w:bidi="fa-IR"/>
        </w:rPr>
        <w:t>ً</w:t>
      </w:r>
      <w:r w:rsidRPr="00904FCB">
        <w:rPr>
          <w:rFonts w:ascii="Tahoma" w:hAnsi="Tahoma"/>
          <w:sz w:val="27"/>
          <w:rtl/>
          <w:lang w:bidi="fa-IR"/>
        </w:rPr>
        <w:t xml:space="preserve"> لعلاقة وثيقة بين المقاصد الشرعية والقانون المقارن</w:t>
      </w:r>
      <w:r w:rsidR="00AE12F3" w:rsidRPr="00904FCB">
        <w:rPr>
          <w:rFonts w:ascii="Tahoma" w:hAnsi="Tahoma" w:hint="cs"/>
          <w:sz w:val="27"/>
          <w:rtl/>
          <w:lang w:bidi="fa-IR"/>
        </w:rPr>
        <w:t>،</w:t>
      </w:r>
      <w:r w:rsidRPr="00904FCB">
        <w:rPr>
          <w:rFonts w:ascii="Tahoma" w:hAnsi="Tahoma"/>
          <w:sz w:val="27"/>
          <w:rtl/>
          <w:lang w:bidi="fa-IR"/>
        </w:rPr>
        <w:t xml:space="preserve"> فهو </w:t>
      </w:r>
      <w:r w:rsidRPr="00904FCB">
        <w:rPr>
          <w:rFonts w:hint="eastAsia"/>
          <w:sz w:val="27"/>
          <w:rtl/>
          <w:lang w:bidi="fa-IR"/>
        </w:rPr>
        <w:t>«</w:t>
      </w:r>
      <w:r w:rsidRPr="00904FCB">
        <w:rPr>
          <w:rFonts w:ascii="Tahoma" w:hAnsi="Tahoma"/>
          <w:sz w:val="27"/>
          <w:rtl/>
          <w:lang w:bidi="fa-IR"/>
        </w:rPr>
        <w:t xml:space="preserve">علم </w:t>
      </w:r>
      <w:r w:rsidR="0059690C" w:rsidRPr="00904FCB">
        <w:rPr>
          <w:rFonts w:ascii="Tahoma" w:hAnsi="Tahoma" w:hint="cs"/>
          <w:sz w:val="27"/>
          <w:rtl/>
          <w:lang w:bidi="fa-IR"/>
        </w:rPr>
        <w:t>د</w:t>
      </w:r>
      <w:r w:rsidR="00CA1FED" w:rsidRPr="00904FCB">
        <w:rPr>
          <w:rFonts w:ascii="Tahoma" w:hAnsi="Tahoma" w:hint="cs"/>
          <w:sz w:val="27"/>
          <w:rtl/>
          <w:lang w:bidi="fa-IR"/>
        </w:rPr>
        <w:t>وغ</w:t>
      </w:r>
      <w:r w:rsidRPr="00904FCB">
        <w:rPr>
          <w:rFonts w:ascii="Tahoma" w:hAnsi="Tahoma"/>
          <w:sz w:val="27"/>
          <w:rtl/>
          <w:lang w:bidi="fa-IR"/>
        </w:rPr>
        <w:t>ماطيقي</w:t>
      </w:r>
      <w:r w:rsidRPr="00904FCB">
        <w:rPr>
          <w:rFonts w:hint="eastAsia"/>
          <w:sz w:val="27"/>
          <w:rtl/>
        </w:rPr>
        <w:t>»</w:t>
      </w:r>
      <w:r w:rsidR="00AE12F3" w:rsidRPr="00904FCB">
        <w:rPr>
          <w:rFonts w:ascii="Tahoma" w:hAnsi="Tahoma" w:hint="cs"/>
          <w:sz w:val="27"/>
          <w:rtl/>
          <w:lang w:bidi="fa-IR"/>
        </w:rPr>
        <w:t>،</w:t>
      </w:r>
      <w:r w:rsidRPr="00904FCB">
        <w:rPr>
          <w:rFonts w:ascii="Tahoma" w:hAnsi="Tahoma"/>
          <w:sz w:val="27"/>
          <w:rtl/>
          <w:lang w:bidi="fa-IR"/>
        </w:rPr>
        <w:t xml:space="preserve"> أي كل</w:t>
      </w:r>
      <w:r w:rsidR="00AE12F3" w:rsidRPr="00904FCB">
        <w:rPr>
          <w:rFonts w:ascii="Tahoma" w:hAnsi="Tahoma" w:hint="cs"/>
          <w:sz w:val="27"/>
          <w:rtl/>
          <w:lang w:bidi="fa-IR"/>
        </w:rPr>
        <w:t>ّ</w:t>
      </w:r>
      <w:r w:rsidRPr="00904FCB">
        <w:rPr>
          <w:rFonts w:ascii="Tahoma" w:hAnsi="Tahoma"/>
          <w:sz w:val="27"/>
          <w:rtl/>
          <w:lang w:bidi="fa-IR"/>
        </w:rPr>
        <w:t>ي القواعد</w:t>
      </w:r>
      <w:r w:rsidR="00AE12F3" w:rsidRPr="00904FCB">
        <w:rPr>
          <w:rFonts w:ascii="Tahoma" w:hAnsi="Tahoma" w:hint="cs"/>
          <w:sz w:val="27"/>
          <w:rtl/>
          <w:lang w:bidi="fa-IR"/>
        </w:rPr>
        <w:t>.</w:t>
      </w:r>
      <w:r w:rsidRPr="00904FCB">
        <w:rPr>
          <w:rFonts w:ascii="Tahoma" w:hAnsi="Tahoma"/>
          <w:sz w:val="27"/>
          <w:rtl/>
          <w:lang w:bidi="fa-IR"/>
        </w:rPr>
        <w:t xml:space="preserve"> وهو في نظر هؤلاء فرع</w:t>
      </w:r>
      <w:r w:rsidR="00AE12F3" w:rsidRPr="00904FCB">
        <w:rPr>
          <w:rFonts w:ascii="Tahoma" w:hAnsi="Tahoma" w:hint="cs"/>
          <w:sz w:val="27"/>
          <w:rtl/>
          <w:lang w:bidi="fa-IR"/>
        </w:rPr>
        <w:t>ٌ</w:t>
      </w:r>
      <w:r w:rsidRPr="00904FCB">
        <w:rPr>
          <w:rFonts w:ascii="Tahoma" w:hAnsi="Tahoma"/>
          <w:sz w:val="27"/>
          <w:rtl/>
          <w:lang w:bidi="fa-IR"/>
        </w:rPr>
        <w:t xml:space="preserve"> من فروع القانون الحي</w:t>
      </w:r>
      <w:r w:rsidR="00AE12F3" w:rsidRPr="00904FCB">
        <w:rPr>
          <w:rFonts w:ascii="Tahoma" w:hAnsi="Tahoma" w:hint="cs"/>
          <w:sz w:val="27"/>
          <w:rtl/>
          <w:lang w:bidi="fa-IR"/>
        </w:rPr>
        <w:t>ّ</w:t>
      </w:r>
      <w:r w:rsidRPr="00904FCB">
        <w:rPr>
          <w:rFonts w:ascii="Tahoma" w:hAnsi="Tahoma"/>
          <w:sz w:val="27"/>
          <w:rtl/>
          <w:lang w:bidi="fa-IR"/>
        </w:rPr>
        <w:t>، يدرس لغاية</w:t>
      </w:r>
      <w:r w:rsidR="00AE12F3" w:rsidRPr="00904FCB">
        <w:rPr>
          <w:rFonts w:ascii="Tahoma" w:hAnsi="Tahoma" w:hint="cs"/>
          <w:sz w:val="27"/>
          <w:rtl/>
          <w:lang w:bidi="fa-IR"/>
        </w:rPr>
        <w:t>ٍ،</w:t>
      </w:r>
      <w:r w:rsidRPr="00904FCB">
        <w:rPr>
          <w:rFonts w:ascii="Tahoma" w:hAnsi="Tahoma"/>
          <w:sz w:val="27"/>
          <w:rtl/>
          <w:lang w:bidi="fa-IR"/>
        </w:rPr>
        <w:t xml:space="preserve"> هي أن يمد</w:t>
      </w:r>
      <w:r w:rsidR="00AE12F3" w:rsidRPr="00904FCB">
        <w:rPr>
          <w:rFonts w:ascii="Tahoma" w:hAnsi="Tahoma" w:hint="cs"/>
          <w:sz w:val="27"/>
          <w:rtl/>
          <w:lang w:bidi="fa-IR"/>
        </w:rPr>
        <w:t>ّ</w:t>
      </w:r>
      <w:r w:rsidRPr="00904FCB">
        <w:rPr>
          <w:rFonts w:ascii="Tahoma" w:hAnsi="Tahoma"/>
          <w:sz w:val="27"/>
          <w:rtl/>
          <w:lang w:bidi="fa-IR"/>
        </w:rPr>
        <w:t>نا بقواعد منظمة للسلوك البشري</w:t>
      </w:r>
      <w:r w:rsidR="00AE12F3" w:rsidRPr="00904FCB">
        <w:rPr>
          <w:rFonts w:ascii="Tahoma" w:hAnsi="Tahoma" w:hint="cs"/>
          <w:sz w:val="27"/>
          <w:rtl/>
          <w:lang w:bidi="fa-IR"/>
        </w:rPr>
        <w:t>،</w:t>
      </w:r>
      <w:r w:rsidRPr="00904FCB">
        <w:rPr>
          <w:rFonts w:ascii="Tahoma" w:hAnsi="Tahoma"/>
          <w:sz w:val="27"/>
          <w:rtl/>
          <w:lang w:bidi="fa-IR"/>
        </w:rPr>
        <w:t xml:space="preserve"> ويستخدم في العمل والحياة العملية</w:t>
      </w:r>
      <w:r w:rsidR="00AE12F3" w:rsidRPr="00904FCB">
        <w:rPr>
          <w:rFonts w:ascii="Tahoma" w:hAnsi="Tahoma" w:hint="cs"/>
          <w:sz w:val="27"/>
          <w:rtl/>
          <w:lang w:bidi="fa-IR"/>
        </w:rPr>
        <w:t>.</w:t>
      </w:r>
      <w:r w:rsidRPr="00904FCB">
        <w:rPr>
          <w:rFonts w:ascii="Tahoma" w:hAnsi="Tahoma"/>
          <w:sz w:val="27"/>
          <w:rtl/>
          <w:lang w:bidi="fa-IR"/>
        </w:rPr>
        <w:t xml:space="preserve"> وهدف هذا القانون استنباط قواعد العدالة التي تحكم مجتمعاتنا العصرية حكما</w:t>
      </w:r>
      <w:r w:rsidR="00AE12F3" w:rsidRPr="00904FCB">
        <w:rPr>
          <w:rFonts w:ascii="Tahoma" w:hAnsi="Tahoma" w:hint="cs"/>
          <w:sz w:val="27"/>
          <w:rtl/>
          <w:lang w:bidi="fa-IR"/>
        </w:rPr>
        <w:t>ً</w:t>
      </w:r>
      <w:r w:rsidRPr="00904FCB">
        <w:rPr>
          <w:rFonts w:ascii="Tahoma" w:hAnsi="Tahoma"/>
          <w:sz w:val="27"/>
          <w:rtl/>
          <w:lang w:bidi="fa-IR"/>
        </w:rPr>
        <w:t xml:space="preserve"> كل</w:t>
      </w:r>
      <w:r w:rsidR="00AE12F3" w:rsidRPr="00904FCB">
        <w:rPr>
          <w:rFonts w:ascii="Tahoma" w:hAnsi="Tahoma" w:hint="cs"/>
          <w:sz w:val="27"/>
          <w:rtl/>
          <w:lang w:bidi="fa-IR"/>
        </w:rPr>
        <w:t>ّ</w:t>
      </w:r>
      <w:r w:rsidRPr="00904FCB">
        <w:rPr>
          <w:rFonts w:ascii="Tahoma" w:hAnsi="Tahoma"/>
          <w:sz w:val="27"/>
          <w:rtl/>
          <w:lang w:bidi="fa-IR"/>
        </w:rPr>
        <w:t>يا</w:t>
      </w:r>
      <w:r w:rsidR="00AE12F3" w:rsidRPr="00904FCB">
        <w:rPr>
          <w:rFonts w:ascii="Tahoma" w:hAnsi="Tahoma" w:hint="cs"/>
          <w:sz w:val="27"/>
          <w:rtl/>
          <w:lang w:bidi="fa-IR"/>
        </w:rPr>
        <w:t>ً،</w:t>
      </w:r>
      <w:r w:rsidRPr="00904FCB">
        <w:rPr>
          <w:rFonts w:ascii="Tahoma" w:hAnsi="Tahoma"/>
          <w:sz w:val="27"/>
          <w:rtl/>
          <w:lang w:bidi="fa-IR"/>
        </w:rPr>
        <w:t xml:space="preserve"> من خلال قواعد عام</w:t>
      </w:r>
      <w:r w:rsidR="00AE12F3" w:rsidRPr="00904FCB">
        <w:rPr>
          <w:rFonts w:ascii="Tahoma" w:hAnsi="Tahoma" w:hint="cs"/>
          <w:sz w:val="27"/>
          <w:rtl/>
          <w:lang w:bidi="fa-IR"/>
        </w:rPr>
        <w:t>ّ</w:t>
      </w:r>
      <w:r w:rsidRPr="00904FCB">
        <w:rPr>
          <w:rFonts w:ascii="Tahoma" w:hAnsi="Tahoma" w:hint="cs"/>
          <w:sz w:val="27"/>
          <w:rtl/>
          <w:lang w:bidi="ar-LB"/>
        </w:rPr>
        <w:t>ة.</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 xml:space="preserve">وهذا التصوير الذي ذهب إليه </w:t>
      </w:r>
      <w:r w:rsidRPr="00904FCB">
        <w:rPr>
          <w:rFonts w:hint="eastAsia"/>
          <w:sz w:val="27"/>
          <w:rtl/>
          <w:lang w:bidi="fa-IR"/>
        </w:rPr>
        <w:t>«</w:t>
      </w:r>
      <w:r w:rsidRPr="00904FCB">
        <w:rPr>
          <w:rFonts w:ascii="Tahoma" w:hAnsi="Tahoma"/>
          <w:sz w:val="27"/>
          <w:rtl/>
          <w:lang w:bidi="fa-IR"/>
        </w:rPr>
        <w:t>أرمانجون</w:t>
      </w:r>
      <w:r w:rsidRPr="00904FCB">
        <w:rPr>
          <w:rFonts w:hint="eastAsia"/>
          <w:sz w:val="27"/>
          <w:rtl/>
        </w:rPr>
        <w:t>»</w:t>
      </w:r>
      <w:r w:rsidRPr="00904FCB">
        <w:rPr>
          <w:rFonts w:ascii="Tahoma" w:hAnsi="Tahoma"/>
          <w:sz w:val="27"/>
          <w:rtl/>
          <w:lang w:bidi="fa-IR"/>
        </w:rPr>
        <w:t xml:space="preserve"> ـ كما يقول </w:t>
      </w:r>
      <w:r w:rsidRPr="00904FCB">
        <w:rPr>
          <w:rFonts w:hint="eastAsia"/>
          <w:sz w:val="27"/>
          <w:rtl/>
          <w:lang w:bidi="fa-IR"/>
        </w:rPr>
        <w:t>«</w:t>
      </w:r>
      <w:r w:rsidRPr="00904FCB">
        <w:rPr>
          <w:rFonts w:ascii="Tahoma" w:hAnsi="Tahoma"/>
          <w:sz w:val="27"/>
          <w:rtl/>
          <w:lang w:bidi="fa-IR"/>
        </w:rPr>
        <w:t>صلاح الناهي</w:t>
      </w:r>
      <w:r w:rsidRPr="00904FCB">
        <w:rPr>
          <w:rFonts w:hint="eastAsia"/>
          <w:sz w:val="27"/>
          <w:rtl/>
        </w:rPr>
        <w:t>»</w:t>
      </w:r>
      <w:r w:rsidRPr="00904FCB">
        <w:rPr>
          <w:rFonts w:ascii="Tahoma" w:hAnsi="Tahoma" w:hint="cs"/>
          <w:sz w:val="27"/>
          <w:rtl/>
          <w:lang w:bidi="fa-IR"/>
        </w:rPr>
        <w:t xml:space="preserve"> </w:t>
      </w:r>
      <w:r w:rsidRPr="00904FCB">
        <w:rPr>
          <w:rFonts w:ascii="Tahoma" w:hAnsi="Tahoma"/>
          <w:sz w:val="27"/>
          <w:rtl/>
          <w:lang w:bidi="fa-IR"/>
        </w:rPr>
        <w:t>ـ يغي</w:t>
      </w:r>
      <w:r w:rsidR="00AE12F3" w:rsidRPr="00904FCB">
        <w:rPr>
          <w:rFonts w:ascii="Tahoma" w:hAnsi="Tahoma" w:hint="cs"/>
          <w:sz w:val="27"/>
          <w:rtl/>
          <w:lang w:bidi="fa-IR"/>
        </w:rPr>
        <w:t>ِّ</w:t>
      </w:r>
      <w:r w:rsidRPr="00904FCB">
        <w:rPr>
          <w:rFonts w:ascii="Tahoma" w:hAnsi="Tahoma"/>
          <w:sz w:val="27"/>
          <w:rtl/>
          <w:lang w:bidi="fa-IR"/>
        </w:rPr>
        <w:t>ر في الحقيقة وضع المسألة، ويعيد إلى القانون المقارن صفة القانون</w:t>
      </w:r>
      <w:r w:rsidR="00AE12F3" w:rsidRPr="00904FCB">
        <w:rPr>
          <w:rFonts w:ascii="Tahoma" w:hAnsi="Tahoma" w:hint="cs"/>
          <w:sz w:val="27"/>
          <w:rtl/>
          <w:lang w:bidi="fa-IR"/>
        </w:rPr>
        <w:t>؛</w:t>
      </w:r>
      <w:r w:rsidRPr="00904FCB">
        <w:rPr>
          <w:rFonts w:ascii="Tahoma" w:hAnsi="Tahoma"/>
          <w:sz w:val="27"/>
          <w:rtl/>
          <w:lang w:bidi="fa-IR"/>
        </w:rPr>
        <w:t xml:space="preserve"> إذ يجعل موضوعه البحث عن قواعد العدالة التي تخضع لها المجتمعات البشرية المعاصرة</w:t>
      </w:r>
      <w:r w:rsidR="00AE12F3" w:rsidRPr="00904FCB">
        <w:rPr>
          <w:rFonts w:ascii="Tahoma" w:hAnsi="Tahoma" w:hint="cs"/>
          <w:sz w:val="27"/>
          <w:rtl/>
          <w:lang w:bidi="fa-IR"/>
        </w:rPr>
        <w:t>،</w:t>
      </w:r>
      <w:r w:rsidRPr="00904FCB">
        <w:rPr>
          <w:rFonts w:ascii="Tahoma" w:hAnsi="Tahoma"/>
          <w:sz w:val="27"/>
          <w:rtl/>
          <w:lang w:bidi="fa-IR"/>
        </w:rPr>
        <w:t xml:space="preserve"> إضافة إلى كونه دراسة انتقادية تحليلية تركيبية تقيمية</w:t>
      </w:r>
      <w:r w:rsidR="00AE12F3" w:rsidRPr="00904FCB">
        <w:rPr>
          <w:rFonts w:ascii="Tahoma" w:hAnsi="Tahoma" w:hint="cs"/>
          <w:sz w:val="27"/>
          <w:rtl/>
          <w:lang w:bidi="fa-IR"/>
        </w:rPr>
        <w:t>.</w:t>
      </w:r>
      <w:r w:rsidRPr="00904FCB">
        <w:rPr>
          <w:rFonts w:ascii="Tahoma" w:hAnsi="Tahoma"/>
          <w:sz w:val="27"/>
          <w:rtl/>
          <w:lang w:bidi="fa-IR"/>
        </w:rPr>
        <w:t xml:space="preserve"> والقانون المقارن على هذا النحو له مقابله في الفقه ال</w:t>
      </w:r>
      <w:r w:rsidR="00AE12F3" w:rsidRPr="00904FCB">
        <w:rPr>
          <w:rFonts w:ascii="Tahoma" w:hAnsi="Tahoma" w:hint="cs"/>
          <w:sz w:val="27"/>
          <w:rtl/>
          <w:lang w:bidi="fa-IR"/>
        </w:rPr>
        <w:t>إ</w:t>
      </w:r>
      <w:r w:rsidRPr="00904FCB">
        <w:rPr>
          <w:rFonts w:ascii="Tahoma" w:hAnsi="Tahoma"/>
          <w:sz w:val="27"/>
          <w:rtl/>
          <w:lang w:bidi="fa-IR"/>
        </w:rPr>
        <w:t>سلامي</w:t>
      </w:r>
      <w:r w:rsidR="00AE12F3" w:rsidRPr="00904FCB">
        <w:rPr>
          <w:rFonts w:ascii="Tahoma" w:hAnsi="Tahoma" w:hint="cs"/>
          <w:sz w:val="27"/>
          <w:rtl/>
          <w:lang w:bidi="fa-IR"/>
        </w:rPr>
        <w:t>،</w:t>
      </w:r>
      <w:r w:rsidRPr="00904FCB">
        <w:rPr>
          <w:rFonts w:ascii="Tahoma" w:hAnsi="Tahoma"/>
          <w:sz w:val="27"/>
          <w:rtl/>
          <w:lang w:bidi="fa-IR"/>
        </w:rPr>
        <w:t xml:space="preserve"> في</w:t>
      </w:r>
      <w:r w:rsidR="00AE12F3" w:rsidRPr="00904FCB">
        <w:rPr>
          <w:rFonts w:ascii="Tahoma" w:hAnsi="Tahoma" w:hint="cs"/>
          <w:sz w:val="27"/>
          <w:rtl/>
          <w:lang w:bidi="fa-IR"/>
        </w:rPr>
        <w:t xml:space="preserve"> </w:t>
      </w:r>
      <w:r w:rsidRPr="00904FCB">
        <w:rPr>
          <w:rFonts w:ascii="Tahoma" w:hAnsi="Tahoma"/>
          <w:sz w:val="27"/>
          <w:rtl/>
          <w:lang w:bidi="fa-IR"/>
        </w:rPr>
        <w:t>ما أطلق عليه الفقهاء علم الخلاف</w:t>
      </w:r>
      <w:r w:rsidR="00AE12F3" w:rsidRPr="00904FCB">
        <w:rPr>
          <w:rFonts w:ascii="Tahoma" w:hAnsi="Tahoma" w:hint="cs"/>
          <w:sz w:val="27"/>
          <w:rtl/>
          <w:lang w:bidi="fa-IR"/>
        </w:rPr>
        <w:t>،</w:t>
      </w:r>
      <w:r w:rsidRPr="00904FCB">
        <w:rPr>
          <w:rFonts w:ascii="Tahoma" w:hAnsi="Tahoma"/>
          <w:sz w:val="27"/>
          <w:rtl/>
          <w:lang w:bidi="fa-IR"/>
        </w:rPr>
        <w:t xml:space="preserve"> وله مناهجه وتقسيماته، وأعلامه ورو</w:t>
      </w:r>
      <w:r w:rsidR="00AE12F3" w:rsidRPr="00904FCB">
        <w:rPr>
          <w:rFonts w:ascii="Tahoma" w:hAnsi="Tahoma" w:hint="cs"/>
          <w:sz w:val="27"/>
          <w:rtl/>
          <w:lang w:bidi="fa-IR"/>
        </w:rPr>
        <w:t>ّ</w:t>
      </w:r>
      <w:r w:rsidRPr="00904FCB">
        <w:rPr>
          <w:rFonts w:ascii="Tahoma" w:hAnsi="Tahoma"/>
          <w:sz w:val="27"/>
          <w:rtl/>
          <w:lang w:bidi="fa-IR"/>
        </w:rPr>
        <w:t>اده، ومكتبته ومصن</w:t>
      </w:r>
      <w:r w:rsidR="00AE12F3" w:rsidRPr="00904FCB">
        <w:rPr>
          <w:rFonts w:ascii="Tahoma" w:hAnsi="Tahoma" w:hint="cs"/>
          <w:sz w:val="27"/>
          <w:rtl/>
          <w:lang w:bidi="fa-IR"/>
        </w:rPr>
        <w:t>ّ</w:t>
      </w:r>
      <w:r w:rsidRPr="00904FCB">
        <w:rPr>
          <w:rFonts w:ascii="Tahoma" w:hAnsi="Tahoma"/>
          <w:sz w:val="27"/>
          <w:rtl/>
          <w:lang w:bidi="fa-IR"/>
        </w:rPr>
        <w:t>فاته</w:t>
      </w:r>
      <w:r w:rsidR="00AE12F3" w:rsidRPr="00904FCB">
        <w:rPr>
          <w:rFonts w:ascii="Tahoma" w:hAnsi="Tahoma" w:hint="cs"/>
          <w:sz w:val="27"/>
          <w:rtl/>
          <w:lang w:bidi="fa-IR"/>
        </w:rPr>
        <w:t>.</w:t>
      </w:r>
      <w:r w:rsidRPr="00904FCB">
        <w:rPr>
          <w:rFonts w:ascii="Tahoma" w:hAnsi="Tahoma"/>
          <w:sz w:val="27"/>
          <w:rtl/>
          <w:lang w:bidi="fa-IR"/>
        </w:rPr>
        <w:t xml:space="preserve"> وللأهم</w:t>
      </w:r>
      <w:r w:rsidR="00AE12F3" w:rsidRPr="00904FCB">
        <w:rPr>
          <w:rFonts w:ascii="Tahoma" w:hAnsi="Tahoma" w:hint="cs"/>
          <w:sz w:val="27"/>
          <w:rtl/>
          <w:lang w:bidi="fa-IR"/>
        </w:rPr>
        <w:t>ّ</w:t>
      </w:r>
      <w:r w:rsidRPr="00904FCB">
        <w:rPr>
          <w:rFonts w:ascii="Tahoma" w:hAnsi="Tahoma"/>
          <w:sz w:val="27"/>
          <w:rtl/>
          <w:lang w:bidi="fa-IR"/>
        </w:rPr>
        <w:t>ية التي احتل</w:t>
      </w:r>
      <w:r w:rsidR="00AE12F3" w:rsidRPr="00904FCB">
        <w:rPr>
          <w:rFonts w:ascii="Tahoma" w:hAnsi="Tahoma" w:hint="cs"/>
          <w:sz w:val="27"/>
          <w:rtl/>
          <w:lang w:bidi="fa-IR"/>
        </w:rPr>
        <w:t>ّ</w:t>
      </w:r>
      <w:r w:rsidRPr="00904FCB">
        <w:rPr>
          <w:rFonts w:ascii="Tahoma" w:hAnsi="Tahoma"/>
          <w:sz w:val="27"/>
          <w:rtl/>
          <w:lang w:bidi="fa-IR"/>
        </w:rPr>
        <w:t xml:space="preserve">ها </w:t>
      </w:r>
      <w:r w:rsidRPr="00904FCB">
        <w:rPr>
          <w:rFonts w:hint="eastAsia"/>
          <w:sz w:val="27"/>
          <w:rtl/>
          <w:lang w:bidi="fa-IR"/>
        </w:rPr>
        <w:t>«</w:t>
      </w:r>
      <w:r w:rsidR="00AE12F3" w:rsidRPr="00904FCB">
        <w:rPr>
          <w:rFonts w:ascii="Tahoma" w:hAnsi="Tahoma" w:hint="cs"/>
          <w:sz w:val="27"/>
          <w:rtl/>
          <w:lang w:bidi="fa-IR"/>
        </w:rPr>
        <w:t>إد</w:t>
      </w:r>
      <w:r w:rsidRPr="00904FCB">
        <w:rPr>
          <w:rFonts w:ascii="Tahoma" w:hAnsi="Tahoma"/>
          <w:sz w:val="27"/>
          <w:rtl/>
          <w:lang w:bidi="fa-IR"/>
        </w:rPr>
        <w:t>وارد لامبير</w:t>
      </w:r>
      <w:r w:rsidRPr="00904FCB">
        <w:rPr>
          <w:rFonts w:hint="eastAsia"/>
          <w:sz w:val="27"/>
          <w:rtl/>
        </w:rPr>
        <w:t>»</w:t>
      </w:r>
      <w:r w:rsidRPr="00904FCB">
        <w:rPr>
          <w:rFonts w:ascii="Tahoma" w:hAnsi="Tahoma"/>
          <w:sz w:val="27"/>
          <w:rtl/>
          <w:lang w:bidi="fa-IR"/>
        </w:rPr>
        <w:t xml:space="preserve"> في تأسيس القانون المقارن، ولصلته الوثيقة بالفقه ال</w:t>
      </w:r>
      <w:r w:rsidR="00AE12F3" w:rsidRPr="00904FCB">
        <w:rPr>
          <w:rFonts w:ascii="Tahoma" w:hAnsi="Tahoma" w:hint="cs"/>
          <w:sz w:val="27"/>
          <w:rtl/>
          <w:lang w:bidi="fa-IR"/>
        </w:rPr>
        <w:t>إ</w:t>
      </w:r>
      <w:r w:rsidRPr="00904FCB">
        <w:rPr>
          <w:rFonts w:ascii="Tahoma" w:hAnsi="Tahoma"/>
          <w:sz w:val="27"/>
          <w:rtl/>
          <w:lang w:bidi="fa-IR"/>
        </w:rPr>
        <w:t>سلامي ـ دراسة وتدريسا</w:t>
      </w:r>
      <w:r w:rsidR="00AE12F3" w:rsidRPr="00904FCB">
        <w:rPr>
          <w:rFonts w:ascii="Tahoma" w:hAnsi="Tahoma" w:hint="cs"/>
          <w:sz w:val="27"/>
          <w:rtl/>
          <w:lang w:bidi="fa-IR"/>
        </w:rPr>
        <w:t>ً ـ،</w:t>
      </w:r>
      <w:r w:rsidRPr="00904FCB">
        <w:rPr>
          <w:rFonts w:ascii="Tahoma" w:hAnsi="Tahoma"/>
          <w:sz w:val="27"/>
          <w:rtl/>
          <w:lang w:bidi="fa-IR"/>
        </w:rPr>
        <w:t xml:space="preserve"> ولصلته بالمصري</w:t>
      </w:r>
      <w:r w:rsidR="00AE12F3" w:rsidRPr="00904FCB">
        <w:rPr>
          <w:rFonts w:ascii="Tahoma" w:hAnsi="Tahoma" w:hint="cs"/>
          <w:sz w:val="27"/>
          <w:rtl/>
          <w:lang w:bidi="fa-IR"/>
        </w:rPr>
        <w:t>ّ</w:t>
      </w:r>
      <w:r w:rsidRPr="00904FCB">
        <w:rPr>
          <w:rFonts w:ascii="Tahoma" w:hAnsi="Tahoma"/>
          <w:sz w:val="27"/>
          <w:rtl/>
          <w:lang w:bidi="fa-IR"/>
        </w:rPr>
        <w:t>ين أساتذة</w:t>
      </w:r>
      <w:r w:rsidR="00AE12F3" w:rsidRPr="00904FCB">
        <w:rPr>
          <w:rFonts w:ascii="Tahoma" w:hAnsi="Tahoma" w:hint="cs"/>
          <w:sz w:val="27"/>
          <w:rtl/>
          <w:lang w:bidi="fa-IR"/>
        </w:rPr>
        <w:t>ً</w:t>
      </w:r>
      <w:r w:rsidRPr="00904FCB">
        <w:rPr>
          <w:rFonts w:ascii="Tahoma" w:hAnsi="Tahoma"/>
          <w:sz w:val="27"/>
          <w:rtl/>
          <w:lang w:bidi="fa-IR"/>
        </w:rPr>
        <w:t xml:space="preserve"> وطلابا</w:t>
      </w:r>
      <w:r w:rsidR="00AE12F3" w:rsidRPr="00904FCB">
        <w:rPr>
          <w:rFonts w:ascii="Tahoma" w:hAnsi="Tahoma" w:hint="cs"/>
          <w:sz w:val="27"/>
          <w:rtl/>
          <w:lang w:bidi="fa-IR"/>
        </w:rPr>
        <w:t>ً</w:t>
      </w:r>
      <w:r w:rsidRPr="00904FCB">
        <w:rPr>
          <w:rFonts w:ascii="Tahoma" w:hAnsi="Tahoma"/>
          <w:sz w:val="27"/>
          <w:rtl/>
          <w:lang w:bidi="fa-IR"/>
        </w:rPr>
        <w:t>، نعتبره همزة وصل لا يرق</w:t>
      </w:r>
      <w:r w:rsidR="00AE12F3" w:rsidRPr="00904FCB">
        <w:rPr>
          <w:rFonts w:ascii="Tahoma" w:hAnsi="Tahoma" w:hint="cs"/>
          <w:sz w:val="27"/>
          <w:rtl/>
          <w:lang w:bidi="fa-IR"/>
        </w:rPr>
        <w:t>ى</w:t>
      </w:r>
      <w:r w:rsidRPr="00904FCB">
        <w:rPr>
          <w:rFonts w:ascii="Tahoma" w:hAnsi="Tahoma"/>
          <w:sz w:val="27"/>
          <w:rtl/>
          <w:lang w:bidi="fa-IR"/>
        </w:rPr>
        <w:t xml:space="preserve"> إليها الشك</w:t>
      </w:r>
      <w:r w:rsidR="00AE12F3" w:rsidRPr="00904FCB">
        <w:rPr>
          <w:rFonts w:ascii="Tahoma" w:hAnsi="Tahoma" w:hint="cs"/>
          <w:sz w:val="27"/>
          <w:rtl/>
          <w:lang w:bidi="fa-IR"/>
        </w:rPr>
        <w:t>ّ</w:t>
      </w:r>
      <w:r w:rsidRPr="00904FCB">
        <w:rPr>
          <w:rFonts w:ascii="Tahoma" w:hAnsi="Tahoma"/>
          <w:sz w:val="27"/>
          <w:rtl/>
          <w:lang w:bidi="fa-IR"/>
        </w:rPr>
        <w:t xml:space="preserve"> بين مقاصد الشريعة والقانون المقارن.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lang w:bidi="fa-IR"/>
        </w:rPr>
        <w:t xml:space="preserve"> </w:t>
      </w:r>
      <w:r w:rsidRPr="00904FCB">
        <w:rPr>
          <w:color w:val="auto"/>
          <w:rtl/>
          <w:lang w:bidi="fa-IR"/>
        </w:rPr>
        <w:t>أولاً</w:t>
      </w:r>
      <w:r w:rsidRPr="00904FCB">
        <w:rPr>
          <w:rFonts w:hint="cs"/>
          <w:color w:val="auto"/>
          <w:rtl/>
          <w:lang w:bidi="fa-IR"/>
        </w:rPr>
        <w:t>:</w:t>
      </w:r>
      <w:r w:rsidRPr="00904FCB">
        <w:rPr>
          <w:color w:val="auto"/>
          <w:rtl/>
          <w:lang w:bidi="fa-IR"/>
        </w:rPr>
        <w:t xml:space="preserve"> </w:t>
      </w:r>
      <w:r w:rsidRPr="00904FCB">
        <w:rPr>
          <w:rFonts w:hint="eastAsia"/>
          <w:color w:val="auto"/>
          <w:rtl/>
          <w:lang w:bidi="fa-IR"/>
        </w:rPr>
        <w:t>«</w:t>
      </w:r>
      <w:r w:rsidRPr="00904FCB">
        <w:rPr>
          <w:color w:val="auto"/>
          <w:rtl/>
          <w:lang w:bidi="fa-IR"/>
        </w:rPr>
        <w:t>إدوارد لامبير</w:t>
      </w:r>
      <w:r w:rsidRPr="00904FCB">
        <w:rPr>
          <w:rFonts w:hint="eastAsia"/>
          <w:color w:val="auto"/>
          <w:rtl/>
        </w:rPr>
        <w:t>»</w:t>
      </w:r>
      <w:r w:rsidRPr="00904FCB">
        <w:rPr>
          <w:color w:val="auto"/>
          <w:rtl/>
          <w:lang w:bidi="fa-IR"/>
        </w:rPr>
        <w:t xml:space="preserve"> المدير والأستاذ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hint="cs"/>
          <w:sz w:val="27"/>
          <w:rtl/>
          <w:lang w:bidi="ar-LB"/>
        </w:rPr>
        <w:t xml:space="preserve"> </w:t>
      </w:r>
      <w:r w:rsidRPr="00904FCB">
        <w:rPr>
          <w:rFonts w:hint="eastAsia"/>
          <w:sz w:val="27"/>
          <w:rtl/>
          <w:lang w:bidi="ar-LB"/>
        </w:rPr>
        <w:t>«</w:t>
      </w:r>
      <w:r w:rsidRPr="00904FCB">
        <w:rPr>
          <w:rFonts w:ascii="Tahoma" w:hAnsi="Tahoma"/>
          <w:sz w:val="27"/>
          <w:rtl/>
          <w:lang w:bidi="fa-IR"/>
        </w:rPr>
        <w:t>إدوارد لامبير</w:t>
      </w:r>
      <w:r w:rsidRPr="00904FCB">
        <w:rPr>
          <w:rFonts w:hint="eastAsia"/>
          <w:sz w:val="27"/>
          <w:rtl/>
        </w:rPr>
        <w:t>»</w:t>
      </w:r>
      <w:r w:rsidRPr="00904FCB">
        <w:rPr>
          <w:rFonts w:ascii="Tahoma" w:hAnsi="Tahoma"/>
          <w:sz w:val="27"/>
          <w:rtl/>
          <w:lang w:bidi="fa-IR"/>
        </w:rPr>
        <w:t xml:space="preserve"> أحد أعلام القانون الفرنسي في جامعة ليون، ومن الرو</w:t>
      </w:r>
      <w:r w:rsidR="00AE12F3" w:rsidRPr="00904FCB">
        <w:rPr>
          <w:rFonts w:ascii="Tahoma" w:hAnsi="Tahoma" w:hint="cs"/>
          <w:sz w:val="27"/>
          <w:rtl/>
          <w:lang w:bidi="fa-IR"/>
        </w:rPr>
        <w:t>ّ</w:t>
      </w:r>
      <w:r w:rsidRPr="00904FCB">
        <w:rPr>
          <w:rFonts w:ascii="Tahoma" w:hAnsi="Tahoma"/>
          <w:sz w:val="27"/>
          <w:rtl/>
          <w:lang w:bidi="fa-IR"/>
        </w:rPr>
        <w:t>اد الأو</w:t>
      </w:r>
      <w:r w:rsidR="00AE12F3" w:rsidRPr="00904FCB">
        <w:rPr>
          <w:rFonts w:ascii="Tahoma" w:hAnsi="Tahoma" w:hint="cs"/>
          <w:sz w:val="27"/>
          <w:rtl/>
          <w:lang w:bidi="fa-IR"/>
        </w:rPr>
        <w:t>ائ</w:t>
      </w:r>
      <w:r w:rsidRPr="00904FCB">
        <w:rPr>
          <w:rFonts w:ascii="Tahoma" w:hAnsi="Tahoma"/>
          <w:sz w:val="27"/>
          <w:rtl/>
          <w:lang w:bidi="fa-IR"/>
        </w:rPr>
        <w:t>ل الكبار في تأسيس القانون المقارن</w:t>
      </w:r>
      <w:r w:rsidR="00AE12F3" w:rsidRPr="00904FCB">
        <w:rPr>
          <w:rFonts w:ascii="Tahoma" w:hAnsi="Tahoma" w:hint="cs"/>
          <w:sz w:val="27"/>
          <w:rtl/>
          <w:lang w:bidi="fa-IR"/>
        </w:rPr>
        <w:t>.</w:t>
      </w:r>
      <w:r w:rsidRPr="00904FCB">
        <w:rPr>
          <w:rFonts w:ascii="Tahoma" w:hAnsi="Tahoma"/>
          <w:sz w:val="27"/>
          <w:rtl/>
          <w:lang w:bidi="fa-IR"/>
        </w:rPr>
        <w:t xml:space="preserve"> وله تأثيره البارز على المدرسة المصرية في القانون في مرحلة مبكرة وحاسمة من تاريخ تطو</w:t>
      </w:r>
      <w:r w:rsidR="00AE12F3" w:rsidRPr="00904FCB">
        <w:rPr>
          <w:rFonts w:ascii="Tahoma" w:hAnsi="Tahoma" w:hint="cs"/>
          <w:sz w:val="27"/>
          <w:rtl/>
          <w:lang w:bidi="fa-IR"/>
        </w:rPr>
        <w:t>ّ</w:t>
      </w:r>
      <w:r w:rsidRPr="00904FCB">
        <w:rPr>
          <w:rFonts w:ascii="Tahoma" w:hAnsi="Tahoma"/>
          <w:sz w:val="27"/>
          <w:rtl/>
          <w:lang w:bidi="fa-IR"/>
        </w:rPr>
        <w:t>رها</w:t>
      </w:r>
      <w:r w:rsidR="00AE12F3" w:rsidRPr="00904FCB">
        <w:rPr>
          <w:rFonts w:ascii="Tahoma" w:hAnsi="Tahoma" w:hint="cs"/>
          <w:sz w:val="27"/>
          <w:rtl/>
          <w:lang w:bidi="fa-IR"/>
        </w:rPr>
        <w:t>.</w:t>
      </w:r>
      <w:r w:rsidRPr="00904FCB">
        <w:rPr>
          <w:rFonts w:ascii="Tahoma" w:hAnsi="Tahoma"/>
          <w:sz w:val="27"/>
          <w:rtl/>
          <w:lang w:bidi="fa-IR"/>
        </w:rPr>
        <w:t xml:space="preserve"> تول</w:t>
      </w:r>
      <w:r w:rsidR="00AE12F3" w:rsidRPr="00904FCB">
        <w:rPr>
          <w:rFonts w:ascii="Tahoma" w:hAnsi="Tahoma" w:hint="cs"/>
          <w:sz w:val="27"/>
          <w:rtl/>
          <w:lang w:bidi="fa-IR"/>
        </w:rPr>
        <w:t>ّى</w:t>
      </w:r>
      <w:r w:rsidRPr="00904FCB">
        <w:rPr>
          <w:rFonts w:ascii="Tahoma" w:hAnsi="Tahoma"/>
          <w:sz w:val="27"/>
          <w:rtl/>
          <w:lang w:bidi="fa-IR"/>
        </w:rPr>
        <w:t xml:space="preserve"> </w:t>
      </w:r>
      <w:r w:rsidR="00AE12F3" w:rsidRPr="00904FCB">
        <w:rPr>
          <w:rFonts w:ascii="Tahoma" w:hAnsi="Tahoma" w:hint="cs"/>
          <w:sz w:val="27"/>
          <w:rtl/>
          <w:lang w:bidi="fa-IR"/>
        </w:rPr>
        <w:t>إ</w:t>
      </w:r>
      <w:r w:rsidRPr="00904FCB">
        <w:rPr>
          <w:rFonts w:ascii="Tahoma" w:hAnsi="Tahoma"/>
          <w:sz w:val="27"/>
          <w:rtl/>
          <w:lang w:bidi="fa-IR"/>
        </w:rPr>
        <w:t>دارة مدرسة الحقوق السلطانية في القاهرة أواخر القرن التاسع عشر، ورحل عنها م</w:t>
      </w:r>
      <w:r w:rsidR="00AE12F3" w:rsidRPr="00904FCB">
        <w:rPr>
          <w:rFonts w:ascii="Tahoma" w:hAnsi="Tahoma" w:hint="cs"/>
          <w:sz w:val="27"/>
          <w:rtl/>
          <w:lang w:bidi="fa-IR"/>
        </w:rPr>
        <w:t>ُ</w:t>
      </w:r>
      <w:r w:rsidRPr="00904FCB">
        <w:rPr>
          <w:rFonts w:ascii="Tahoma" w:hAnsi="Tahoma"/>
          <w:sz w:val="27"/>
          <w:rtl/>
          <w:lang w:bidi="fa-IR"/>
        </w:rPr>
        <w:t>ر</w:t>
      </w:r>
      <w:r w:rsidR="00AE12F3" w:rsidRPr="00904FCB">
        <w:rPr>
          <w:rFonts w:ascii="Tahoma" w:hAnsi="Tahoma" w:hint="cs"/>
          <w:sz w:val="27"/>
          <w:rtl/>
          <w:lang w:bidi="fa-IR"/>
        </w:rPr>
        <w:t>ْ</w:t>
      </w:r>
      <w:r w:rsidRPr="00904FCB">
        <w:rPr>
          <w:rFonts w:ascii="Tahoma" w:hAnsi="Tahoma"/>
          <w:sz w:val="27"/>
          <w:rtl/>
          <w:lang w:bidi="fa-IR"/>
        </w:rPr>
        <w:t>غ</w:t>
      </w:r>
      <w:r w:rsidR="00AE12F3" w:rsidRPr="00904FCB">
        <w:rPr>
          <w:rFonts w:ascii="Tahoma" w:hAnsi="Tahoma" w:hint="cs"/>
          <w:sz w:val="27"/>
          <w:rtl/>
          <w:lang w:bidi="fa-IR"/>
        </w:rPr>
        <w:t>َ</w:t>
      </w:r>
      <w:r w:rsidRPr="00904FCB">
        <w:rPr>
          <w:rFonts w:ascii="Tahoma" w:hAnsi="Tahoma"/>
          <w:sz w:val="27"/>
          <w:rtl/>
          <w:lang w:bidi="fa-IR"/>
        </w:rPr>
        <w:t>ما</w:t>
      </w:r>
      <w:r w:rsidR="00AE12F3" w:rsidRPr="00904FCB">
        <w:rPr>
          <w:rFonts w:ascii="Tahoma" w:hAnsi="Tahoma" w:hint="cs"/>
          <w:sz w:val="27"/>
          <w:rtl/>
          <w:lang w:bidi="fa-IR"/>
        </w:rPr>
        <w:t>ً</w:t>
      </w:r>
      <w:r w:rsidRPr="00904FCB">
        <w:rPr>
          <w:rFonts w:ascii="Tahoma" w:hAnsi="Tahoma"/>
          <w:sz w:val="27"/>
          <w:rtl/>
          <w:lang w:bidi="fa-IR"/>
        </w:rPr>
        <w:t xml:space="preserve"> بتدبير</w:t>
      </w:r>
      <w:r w:rsidR="00AE12F3" w:rsidRPr="00904FCB">
        <w:rPr>
          <w:rFonts w:ascii="Tahoma" w:hAnsi="Tahoma" w:hint="cs"/>
          <w:sz w:val="27"/>
          <w:rtl/>
          <w:lang w:bidi="fa-IR"/>
        </w:rPr>
        <w:t>ٍ</w:t>
      </w:r>
      <w:r w:rsidRPr="00904FCB">
        <w:rPr>
          <w:rFonts w:ascii="Tahoma" w:hAnsi="Tahoma"/>
          <w:sz w:val="27"/>
          <w:rtl/>
          <w:lang w:bidi="fa-IR"/>
        </w:rPr>
        <w:t xml:space="preserve"> بريطاني، فعاد إلى ليون أستاذا</w:t>
      </w:r>
      <w:r w:rsidR="00AE12F3" w:rsidRPr="00904FCB">
        <w:rPr>
          <w:rFonts w:ascii="Tahoma" w:hAnsi="Tahoma" w:hint="cs"/>
          <w:sz w:val="27"/>
          <w:rtl/>
          <w:lang w:bidi="fa-IR"/>
        </w:rPr>
        <w:t>ً</w:t>
      </w:r>
      <w:r w:rsidRPr="00904FCB">
        <w:rPr>
          <w:rFonts w:ascii="Tahoma" w:hAnsi="Tahoma"/>
          <w:sz w:val="27"/>
          <w:rtl/>
          <w:lang w:bidi="fa-IR"/>
        </w:rPr>
        <w:t xml:space="preserve"> في كلية الحقوق، عاكفا</w:t>
      </w:r>
      <w:r w:rsidR="00AE12F3" w:rsidRPr="00904FCB">
        <w:rPr>
          <w:rFonts w:ascii="Tahoma" w:hAnsi="Tahoma" w:hint="cs"/>
          <w:sz w:val="27"/>
          <w:rtl/>
          <w:lang w:bidi="fa-IR"/>
        </w:rPr>
        <w:t>ً</w:t>
      </w:r>
      <w:r w:rsidRPr="00904FCB">
        <w:rPr>
          <w:rFonts w:ascii="Tahoma" w:hAnsi="Tahoma"/>
          <w:sz w:val="27"/>
          <w:rtl/>
          <w:lang w:bidi="fa-IR"/>
        </w:rPr>
        <w:t xml:space="preserve"> على </w:t>
      </w:r>
      <w:r w:rsidR="00AE12F3" w:rsidRPr="00904FCB">
        <w:rPr>
          <w:rFonts w:ascii="Tahoma" w:hAnsi="Tahoma" w:hint="cs"/>
          <w:sz w:val="27"/>
          <w:rtl/>
          <w:lang w:bidi="fa-IR"/>
        </w:rPr>
        <w:t>إ</w:t>
      </w:r>
      <w:r w:rsidRPr="00904FCB">
        <w:rPr>
          <w:rFonts w:ascii="Tahoma" w:hAnsi="Tahoma"/>
          <w:sz w:val="27"/>
          <w:rtl/>
          <w:lang w:bidi="fa-IR"/>
        </w:rPr>
        <w:t>نجاز كتابه الهام</w:t>
      </w:r>
      <w:r w:rsidR="00AE12F3" w:rsidRPr="00904FCB">
        <w:rPr>
          <w:rFonts w:ascii="Tahoma" w:hAnsi="Tahoma" w:hint="cs"/>
          <w:sz w:val="27"/>
          <w:rtl/>
          <w:lang w:bidi="fa-IR"/>
        </w:rPr>
        <w:t>ّ</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 xml:space="preserve">عن وظيفة القانون </w:t>
      </w:r>
      <w:r w:rsidRPr="00904FCB">
        <w:rPr>
          <w:rFonts w:ascii="Tahoma" w:hAnsi="Tahoma"/>
          <w:sz w:val="27"/>
          <w:rtl/>
          <w:lang w:bidi="fa-IR"/>
        </w:rPr>
        <w:lastRenderedPageBreak/>
        <w:t>المقارن</w:t>
      </w:r>
      <w:r w:rsidRPr="00904FCB">
        <w:rPr>
          <w:rFonts w:hint="eastAsia"/>
          <w:sz w:val="27"/>
          <w:rtl/>
        </w:rPr>
        <w:t>»</w:t>
      </w:r>
      <w:r w:rsidRPr="00904FCB">
        <w:rPr>
          <w:rFonts w:ascii="Tahoma" w:hAnsi="Tahoma"/>
          <w:sz w:val="27"/>
          <w:rtl/>
          <w:lang w:bidi="fa-IR"/>
        </w:rPr>
        <w:t>، وكو</w:t>
      </w:r>
      <w:r w:rsidR="00E76B27" w:rsidRPr="00904FCB">
        <w:rPr>
          <w:rFonts w:ascii="Tahoma" w:hAnsi="Tahoma" w:hint="cs"/>
          <w:sz w:val="27"/>
          <w:rtl/>
          <w:lang w:bidi="fa-IR"/>
        </w:rPr>
        <w:t>َّ</w:t>
      </w:r>
      <w:r w:rsidRPr="00904FCB">
        <w:rPr>
          <w:rFonts w:ascii="Tahoma" w:hAnsi="Tahoma"/>
          <w:sz w:val="27"/>
          <w:rtl/>
          <w:lang w:bidi="fa-IR"/>
        </w:rPr>
        <w:t>ن بعد عودته المجمع العلمي المصري</w:t>
      </w:r>
      <w:r w:rsidR="00E76B27" w:rsidRPr="00904FCB">
        <w:rPr>
          <w:rFonts w:ascii="Tahoma" w:hAnsi="Tahoma" w:hint="cs"/>
          <w:sz w:val="27"/>
          <w:rtl/>
          <w:lang w:bidi="fa-IR"/>
        </w:rPr>
        <w:t>،</w:t>
      </w:r>
      <w:r w:rsidRPr="00904FCB">
        <w:rPr>
          <w:rFonts w:ascii="Tahoma" w:hAnsi="Tahoma"/>
          <w:sz w:val="27"/>
          <w:rtl/>
          <w:lang w:bidi="fa-IR"/>
        </w:rPr>
        <w:t xml:space="preserve"> مت</w:t>
      </w:r>
      <w:r w:rsidR="00E76B27" w:rsidRPr="00904FCB">
        <w:rPr>
          <w:rFonts w:ascii="Tahoma" w:hAnsi="Tahoma" w:hint="cs"/>
          <w:sz w:val="27"/>
          <w:rtl/>
          <w:lang w:bidi="fa-IR"/>
        </w:rPr>
        <w:t>َّ</w:t>
      </w:r>
      <w:r w:rsidRPr="00904FCB">
        <w:rPr>
          <w:rFonts w:ascii="Tahoma" w:hAnsi="Tahoma"/>
          <w:sz w:val="27"/>
          <w:rtl/>
          <w:lang w:bidi="fa-IR"/>
        </w:rPr>
        <w:t>خ</w:t>
      </w:r>
      <w:r w:rsidR="00E76B27" w:rsidRPr="00904FCB">
        <w:rPr>
          <w:rFonts w:ascii="Tahoma" w:hAnsi="Tahoma" w:hint="cs"/>
          <w:sz w:val="27"/>
          <w:rtl/>
          <w:lang w:bidi="fa-IR"/>
        </w:rPr>
        <w:t>ِ</w:t>
      </w:r>
      <w:r w:rsidRPr="00904FCB">
        <w:rPr>
          <w:rFonts w:ascii="Tahoma" w:hAnsi="Tahoma"/>
          <w:sz w:val="27"/>
          <w:rtl/>
          <w:lang w:bidi="fa-IR"/>
        </w:rPr>
        <w:t>ذا</w:t>
      </w:r>
      <w:r w:rsidR="00E76B27" w:rsidRPr="00904FCB">
        <w:rPr>
          <w:rFonts w:ascii="Tahoma" w:hAnsi="Tahoma" w:hint="cs"/>
          <w:sz w:val="27"/>
          <w:rtl/>
          <w:lang w:bidi="fa-IR"/>
        </w:rPr>
        <w:t>ً</w:t>
      </w:r>
      <w:r w:rsidRPr="00904FCB">
        <w:rPr>
          <w:rFonts w:ascii="Tahoma" w:hAnsi="Tahoma"/>
          <w:sz w:val="27"/>
          <w:rtl/>
          <w:lang w:bidi="fa-IR"/>
        </w:rPr>
        <w:t xml:space="preserve"> من منزله </w:t>
      </w:r>
      <w:r w:rsidR="00E76B27" w:rsidRPr="00904FCB">
        <w:rPr>
          <w:rFonts w:ascii="Tahoma" w:hAnsi="Tahoma" w:hint="cs"/>
          <w:sz w:val="27"/>
          <w:rtl/>
          <w:lang w:bidi="fa-IR"/>
        </w:rPr>
        <w:t xml:space="preserve">في </w:t>
      </w:r>
      <w:r w:rsidRPr="00904FCB">
        <w:rPr>
          <w:rFonts w:ascii="Tahoma" w:hAnsi="Tahoma"/>
          <w:sz w:val="27"/>
          <w:rtl/>
          <w:lang w:bidi="fa-IR"/>
        </w:rPr>
        <w:t>ليون مقر</w:t>
      </w:r>
      <w:r w:rsidR="00E76B27" w:rsidRPr="00904FCB">
        <w:rPr>
          <w:rFonts w:ascii="Tahoma" w:hAnsi="Tahoma" w:hint="cs"/>
          <w:sz w:val="27"/>
          <w:rtl/>
          <w:lang w:bidi="fa-IR"/>
        </w:rPr>
        <w:t>ّ</w:t>
      </w:r>
      <w:r w:rsidRPr="00904FCB">
        <w:rPr>
          <w:rFonts w:ascii="Tahoma" w:hAnsi="Tahoma"/>
          <w:sz w:val="27"/>
          <w:rtl/>
          <w:lang w:bidi="fa-IR"/>
        </w:rPr>
        <w:t>ا</w:t>
      </w:r>
      <w:r w:rsidR="00E76B27" w:rsidRPr="00904FCB">
        <w:rPr>
          <w:rFonts w:ascii="Tahoma" w:hAnsi="Tahoma" w:hint="cs"/>
          <w:sz w:val="27"/>
          <w:rtl/>
          <w:lang w:bidi="fa-IR"/>
        </w:rPr>
        <w:t>ً</w:t>
      </w:r>
      <w:r w:rsidRPr="00904FCB">
        <w:rPr>
          <w:rFonts w:ascii="Tahoma" w:hAnsi="Tahoma"/>
          <w:sz w:val="27"/>
          <w:rtl/>
          <w:lang w:bidi="fa-IR"/>
        </w:rPr>
        <w:t>، ومن تلاميذه المصريين أعضاء</w:t>
      </w:r>
      <w:r w:rsidR="00E76B27" w:rsidRPr="00904FCB">
        <w:rPr>
          <w:rFonts w:ascii="Tahoma" w:hAnsi="Tahoma" w:hint="cs"/>
          <w:sz w:val="27"/>
          <w:rtl/>
          <w:lang w:bidi="fa-IR"/>
        </w:rPr>
        <w:t>.</w:t>
      </w:r>
      <w:r w:rsidRPr="00904FCB">
        <w:rPr>
          <w:rFonts w:ascii="Tahoma" w:hAnsi="Tahoma"/>
          <w:sz w:val="27"/>
          <w:rtl/>
          <w:lang w:bidi="fa-IR"/>
        </w:rPr>
        <w:t xml:space="preserve"> واستطاع من خلال رسائلهم العلمية وكتاباتهم القانونية أن يقد</w:t>
      </w:r>
      <w:r w:rsidR="00E76B27" w:rsidRPr="00904FCB">
        <w:rPr>
          <w:rFonts w:ascii="Tahoma" w:hAnsi="Tahoma" w:hint="cs"/>
          <w:sz w:val="27"/>
          <w:rtl/>
          <w:lang w:bidi="fa-IR"/>
        </w:rPr>
        <w:t>ِّ</w:t>
      </w:r>
      <w:r w:rsidRPr="00904FCB">
        <w:rPr>
          <w:rFonts w:ascii="Tahoma" w:hAnsi="Tahoma"/>
          <w:sz w:val="27"/>
          <w:rtl/>
          <w:lang w:bidi="fa-IR"/>
        </w:rPr>
        <w:t>م للعقل القانوني المقارن في الغرب نموذجا</w:t>
      </w:r>
      <w:r w:rsidR="00E76B27" w:rsidRPr="00904FCB">
        <w:rPr>
          <w:rFonts w:ascii="Tahoma" w:hAnsi="Tahoma" w:hint="cs"/>
          <w:sz w:val="27"/>
          <w:rtl/>
          <w:lang w:bidi="fa-IR"/>
        </w:rPr>
        <w:t>ً</w:t>
      </w:r>
      <w:r w:rsidRPr="00904FCB">
        <w:rPr>
          <w:rFonts w:ascii="Tahoma" w:hAnsi="Tahoma"/>
          <w:sz w:val="27"/>
          <w:rtl/>
          <w:lang w:bidi="fa-IR"/>
        </w:rPr>
        <w:t xml:space="preserve"> فذ</w:t>
      </w:r>
      <w:r w:rsidR="00E76B27" w:rsidRPr="00904FCB">
        <w:rPr>
          <w:rFonts w:ascii="Tahoma" w:hAnsi="Tahoma" w:hint="cs"/>
          <w:sz w:val="27"/>
          <w:rtl/>
          <w:lang w:bidi="fa-IR"/>
        </w:rPr>
        <w:t>ّ</w:t>
      </w:r>
      <w:r w:rsidRPr="00904FCB">
        <w:rPr>
          <w:rFonts w:ascii="Tahoma" w:hAnsi="Tahoma"/>
          <w:sz w:val="27"/>
          <w:rtl/>
          <w:lang w:bidi="fa-IR"/>
        </w:rPr>
        <w:t>ا</w:t>
      </w:r>
      <w:r w:rsidR="00E76B27" w:rsidRPr="00904FCB">
        <w:rPr>
          <w:rFonts w:ascii="Tahoma" w:hAnsi="Tahoma" w:hint="cs"/>
          <w:sz w:val="27"/>
          <w:rtl/>
          <w:lang w:bidi="fa-IR"/>
        </w:rPr>
        <w:t>ً</w:t>
      </w:r>
      <w:r w:rsidRPr="00904FCB">
        <w:rPr>
          <w:rFonts w:ascii="Tahoma" w:hAnsi="Tahoma"/>
          <w:sz w:val="27"/>
          <w:rtl/>
          <w:lang w:bidi="fa-IR"/>
        </w:rPr>
        <w:t xml:space="preserve"> ـ وعصي</w:t>
      </w:r>
      <w:r w:rsidR="00E76B27" w:rsidRPr="00904FCB">
        <w:rPr>
          <w:rFonts w:ascii="Tahoma" w:hAnsi="Tahoma" w:hint="cs"/>
          <w:sz w:val="27"/>
          <w:rtl/>
          <w:lang w:bidi="fa-IR"/>
        </w:rPr>
        <w:t>ّ</w:t>
      </w:r>
      <w:r w:rsidRPr="00904FCB">
        <w:rPr>
          <w:rFonts w:ascii="Tahoma" w:hAnsi="Tahoma"/>
          <w:sz w:val="27"/>
          <w:rtl/>
          <w:lang w:bidi="fa-IR"/>
        </w:rPr>
        <w:t>ا</w:t>
      </w:r>
      <w:r w:rsidR="00E76B27" w:rsidRPr="00904FCB">
        <w:rPr>
          <w:rFonts w:ascii="Tahoma" w:hAnsi="Tahoma" w:hint="cs"/>
          <w:sz w:val="27"/>
          <w:rtl/>
          <w:lang w:bidi="fa-IR"/>
        </w:rPr>
        <w:t>ً</w:t>
      </w:r>
      <w:r w:rsidRPr="00904FCB">
        <w:rPr>
          <w:rFonts w:ascii="Tahoma" w:hAnsi="Tahoma"/>
          <w:sz w:val="27"/>
          <w:rtl/>
          <w:lang w:bidi="fa-IR"/>
        </w:rPr>
        <w:t xml:space="preserve"> على التكرار ـ في الفهم المقارن بين عائلتين قانونيتين</w:t>
      </w:r>
      <w:r w:rsidR="00E76B27" w:rsidRPr="00904FCB">
        <w:rPr>
          <w:rFonts w:ascii="Tahoma" w:hAnsi="Tahoma" w:hint="cs"/>
          <w:sz w:val="27"/>
          <w:rtl/>
          <w:lang w:bidi="fa-IR"/>
        </w:rPr>
        <w:t>،</w:t>
      </w:r>
      <w:r w:rsidRPr="00904FCB">
        <w:rPr>
          <w:rFonts w:ascii="Tahoma" w:hAnsi="Tahoma"/>
          <w:sz w:val="27"/>
          <w:rtl/>
          <w:lang w:bidi="fa-IR"/>
        </w:rPr>
        <w:t xml:space="preserve"> هما</w:t>
      </w:r>
      <w:r w:rsidR="00E76B27" w:rsidRPr="00904FCB">
        <w:rPr>
          <w:rFonts w:ascii="Tahoma" w:hAnsi="Tahoma" w:hint="cs"/>
          <w:sz w:val="27"/>
          <w:rtl/>
          <w:lang w:bidi="fa-IR"/>
        </w:rPr>
        <w:t>:</w:t>
      </w:r>
      <w:r w:rsidRPr="00904FCB">
        <w:rPr>
          <w:rFonts w:ascii="Tahoma" w:hAnsi="Tahoma"/>
          <w:sz w:val="27"/>
          <w:rtl/>
          <w:lang w:bidi="fa-IR"/>
        </w:rPr>
        <w:t xml:space="preserve"> العائلة اللاتينية</w:t>
      </w:r>
      <w:r w:rsidR="00E76B27" w:rsidRPr="00904FCB">
        <w:rPr>
          <w:rFonts w:ascii="Tahoma" w:hAnsi="Tahoma" w:hint="cs"/>
          <w:sz w:val="27"/>
          <w:rtl/>
          <w:lang w:bidi="fa-IR"/>
        </w:rPr>
        <w:t>؛</w:t>
      </w:r>
      <w:r w:rsidRPr="00904FCB">
        <w:rPr>
          <w:rFonts w:ascii="Tahoma" w:hAnsi="Tahoma"/>
          <w:sz w:val="27"/>
          <w:rtl/>
          <w:lang w:bidi="fa-IR"/>
        </w:rPr>
        <w:t xml:space="preserve"> والشريعة ال</w:t>
      </w:r>
      <w:r w:rsidR="00E76B27" w:rsidRPr="00904FCB">
        <w:rPr>
          <w:rFonts w:ascii="Tahoma" w:hAnsi="Tahoma" w:hint="cs"/>
          <w:sz w:val="27"/>
          <w:rtl/>
          <w:lang w:bidi="fa-IR"/>
        </w:rPr>
        <w:t>إ</w:t>
      </w:r>
      <w:r w:rsidRPr="00904FCB">
        <w:rPr>
          <w:rFonts w:ascii="Tahoma" w:hAnsi="Tahoma"/>
          <w:sz w:val="27"/>
          <w:rtl/>
          <w:lang w:bidi="fa-IR"/>
        </w:rPr>
        <w:t>سلامية</w:t>
      </w:r>
      <w:r w:rsidR="00E76B27" w:rsidRPr="00904FCB">
        <w:rPr>
          <w:rFonts w:ascii="Tahoma" w:hAnsi="Tahoma" w:hint="cs"/>
          <w:sz w:val="27"/>
          <w:rtl/>
          <w:lang w:bidi="fa-IR"/>
        </w:rPr>
        <w:t>.</w:t>
      </w:r>
      <w:r w:rsidRPr="00904FCB">
        <w:rPr>
          <w:rFonts w:ascii="Tahoma" w:hAnsi="Tahoma"/>
          <w:sz w:val="27"/>
          <w:rtl/>
          <w:lang w:bidi="fa-IR"/>
        </w:rPr>
        <w:t xml:space="preserve"> وهو جهد</w:t>
      </w:r>
      <w:r w:rsidR="00E76B27" w:rsidRPr="00904FCB">
        <w:rPr>
          <w:rFonts w:ascii="Tahoma" w:hAnsi="Tahoma" w:hint="cs"/>
          <w:sz w:val="27"/>
          <w:rtl/>
          <w:lang w:bidi="fa-IR"/>
        </w:rPr>
        <w:t>ٌ</w:t>
      </w:r>
      <w:r w:rsidRPr="00904FCB">
        <w:rPr>
          <w:rFonts w:ascii="Tahoma" w:hAnsi="Tahoma"/>
          <w:sz w:val="27"/>
          <w:rtl/>
          <w:lang w:bidi="fa-IR"/>
        </w:rPr>
        <w:t xml:space="preserve"> له ثمراته على القانون المقارن من جانبين: </w:t>
      </w:r>
    </w:p>
    <w:p w:rsidR="00644408" w:rsidRPr="00904FCB" w:rsidRDefault="00644408" w:rsidP="002C310E">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w:t>
      </w:r>
      <w:r w:rsidR="00E76B27" w:rsidRPr="00904FCB">
        <w:rPr>
          <w:rFonts w:ascii="Tahoma" w:hAnsi="Tahoma" w:hint="cs"/>
          <w:b/>
          <w:bCs/>
          <w:sz w:val="27"/>
          <w:rtl/>
          <w:lang w:bidi="fa-IR"/>
        </w:rPr>
        <w:t>ّ</w:t>
      </w:r>
      <w:r w:rsidRPr="00904FCB">
        <w:rPr>
          <w:rFonts w:ascii="Tahoma" w:hAnsi="Tahoma"/>
          <w:b/>
          <w:bCs/>
          <w:sz w:val="27"/>
          <w:rtl/>
          <w:lang w:bidi="fa-IR"/>
        </w:rPr>
        <w:t>ل</w:t>
      </w:r>
      <w:r w:rsidRPr="00904FCB">
        <w:rPr>
          <w:rFonts w:ascii="Tahoma" w:hAnsi="Tahoma"/>
          <w:sz w:val="27"/>
          <w:rtl/>
          <w:lang w:bidi="fa-IR"/>
        </w:rPr>
        <w:t>: تعريف المجموعة اللاتينية بوجه</w:t>
      </w:r>
      <w:r w:rsidR="00E76B27" w:rsidRPr="00904FCB">
        <w:rPr>
          <w:rFonts w:ascii="Tahoma" w:hAnsi="Tahoma" w:hint="cs"/>
          <w:sz w:val="27"/>
          <w:rtl/>
          <w:lang w:bidi="fa-IR"/>
        </w:rPr>
        <w:t>ٍ</w:t>
      </w:r>
      <w:r w:rsidRPr="00904FCB">
        <w:rPr>
          <w:rFonts w:ascii="Tahoma" w:hAnsi="Tahoma"/>
          <w:sz w:val="27"/>
          <w:rtl/>
          <w:lang w:bidi="fa-IR"/>
        </w:rPr>
        <w:t xml:space="preserve"> خاص، والفقه القانوني الغربي</w:t>
      </w:r>
      <w:r w:rsidR="00E76B27" w:rsidRPr="00904FCB">
        <w:rPr>
          <w:rFonts w:ascii="Tahoma" w:hAnsi="Tahoma" w:hint="cs"/>
          <w:sz w:val="27"/>
          <w:rtl/>
          <w:lang w:bidi="fa-IR"/>
        </w:rPr>
        <w:t>ّ</w:t>
      </w:r>
      <w:r w:rsidRPr="00904FCB">
        <w:rPr>
          <w:rFonts w:ascii="Tahoma" w:hAnsi="Tahoma"/>
          <w:sz w:val="27"/>
          <w:rtl/>
          <w:lang w:bidi="fa-IR"/>
        </w:rPr>
        <w:t xml:space="preserve"> بوجه عام، بثقافة قانونية حي</w:t>
      </w:r>
      <w:r w:rsidR="00E76B27" w:rsidRPr="00904FCB">
        <w:rPr>
          <w:rFonts w:ascii="Tahoma" w:hAnsi="Tahoma" w:hint="cs"/>
          <w:sz w:val="27"/>
          <w:rtl/>
          <w:lang w:bidi="fa-IR"/>
        </w:rPr>
        <w:t>ّ</w:t>
      </w:r>
      <w:r w:rsidRPr="00904FCB">
        <w:rPr>
          <w:rFonts w:ascii="Tahoma" w:hAnsi="Tahoma"/>
          <w:sz w:val="27"/>
          <w:rtl/>
          <w:lang w:bidi="fa-IR"/>
        </w:rPr>
        <w:t>ة</w:t>
      </w:r>
      <w:r w:rsidR="00E76B27" w:rsidRPr="00904FCB">
        <w:rPr>
          <w:rFonts w:ascii="Tahoma" w:hAnsi="Tahoma" w:hint="cs"/>
          <w:sz w:val="27"/>
          <w:rtl/>
          <w:lang w:bidi="fa-IR"/>
        </w:rPr>
        <w:t>،</w:t>
      </w:r>
      <w:r w:rsidRPr="00904FCB">
        <w:rPr>
          <w:rFonts w:ascii="Tahoma" w:hAnsi="Tahoma"/>
          <w:sz w:val="27"/>
          <w:rtl/>
          <w:lang w:bidi="fa-IR"/>
        </w:rPr>
        <w:t xml:space="preserve"> هي الفقه ال</w:t>
      </w:r>
      <w:r w:rsidR="00E76B27" w:rsidRPr="00904FCB">
        <w:rPr>
          <w:rFonts w:ascii="Tahoma" w:hAnsi="Tahoma" w:hint="cs"/>
          <w:sz w:val="27"/>
          <w:rtl/>
          <w:lang w:bidi="fa-IR"/>
        </w:rPr>
        <w:t>إ</w:t>
      </w:r>
      <w:r w:rsidRPr="00904FCB">
        <w:rPr>
          <w:rFonts w:ascii="Tahoma" w:hAnsi="Tahoma"/>
          <w:sz w:val="27"/>
          <w:rtl/>
          <w:lang w:bidi="fa-IR"/>
        </w:rPr>
        <w:t>سلامي</w:t>
      </w:r>
      <w:r w:rsidR="00E76B27" w:rsidRPr="00904FCB">
        <w:rPr>
          <w:rFonts w:ascii="Tahoma" w:hAnsi="Tahoma" w:hint="cs"/>
          <w:sz w:val="27"/>
          <w:rtl/>
          <w:lang w:bidi="fa-IR"/>
        </w:rPr>
        <w:t>،</w:t>
      </w:r>
      <w:r w:rsidRPr="00904FCB">
        <w:rPr>
          <w:rFonts w:ascii="Tahoma" w:hAnsi="Tahoma"/>
          <w:sz w:val="27"/>
          <w:rtl/>
          <w:lang w:bidi="fa-IR"/>
        </w:rPr>
        <w:t xml:space="preserve"> استفاد منها الغرب عبر طرق اتصال مختلفة في ال</w:t>
      </w:r>
      <w:r w:rsidR="00E76B27" w:rsidRPr="00904FCB">
        <w:rPr>
          <w:rFonts w:ascii="Tahoma" w:hAnsi="Tahoma" w:hint="cs"/>
          <w:sz w:val="27"/>
          <w:rtl/>
          <w:lang w:bidi="fa-IR"/>
        </w:rPr>
        <w:t>أ</w:t>
      </w:r>
      <w:r w:rsidRPr="00904FCB">
        <w:rPr>
          <w:rFonts w:ascii="Tahoma" w:hAnsi="Tahoma"/>
          <w:sz w:val="27"/>
          <w:rtl/>
          <w:lang w:bidi="fa-IR"/>
        </w:rPr>
        <w:t>ندلس وصقلية وغيرهما من مسالك انتقال الحضارة ال</w:t>
      </w:r>
      <w:r w:rsidR="00E76B27" w:rsidRPr="00904FCB">
        <w:rPr>
          <w:rFonts w:ascii="Tahoma" w:hAnsi="Tahoma" w:hint="cs"/>
          <w:sz w:val="27"/>
          <w:rtl/>
          <w:lang w:bidi="fa-IR"/>
        </w:rPr>
        <w:t>إ</w:t>
      </w:r>
      <w:r w:rsidRPr="00904FCB">
        <w:rPr>
          <w:rFonts w:ascii="Tahoma" w:hAnsi="Tahoma"/>
          <w:sz w:val="27"/>
          <w:rtl/>
          <w:lang w:bidi="fa-IR"/>
        </w:rPr>
        <w:t>سلامية إلى الغرب</w:t>
      </w:r>
      <w:r w:rsidR="00E76B27" w:rsidRPr="00904FCB">
        <w:rPr>
          <w:rFonts w:ascii="Tahoma" w:hAnsi="Tahoma" w:hint="cs"/>
          <w:sz w:val="27"/>
          <w:rtl/>
          <w:lang w:bidi="fa-IR"/>
        </w:rPr>
        <w:t xml:space="preserve">. </w:t>
      </w:r>
      <w:r w:rsidRPr="00904FCB">
        <w:rPr>
          <w:rFonts w:ascii="Tahoma" w:hAnsi="Tahoma"/>
          <w:sz w:val="27"/>
          <w:rtl/>
          <w:lang w:bidi="fa-IR"/>
        </w:rPr>
        <w:t>وعندما تحر</w:t>
      </w:r>
      <w:r w:rsidR="00E76B27" w:rsidRPr="00904FCB">
        <w:rPr>
          <w:rFonts w:ascii="Tahoma" w:hAnsi="Tahoma" w:hint="cs"/>
          <w:sz w:val="27"/>
          <w:rtl/>
          <w:lang w:bidi="fa-IR"/>
        </w:rPr>
        <w:t>َّ</w:t>
      </w:r>
      <w:r w:rsidRPr="00904FCB">
        <w:rPr>
          <w:rFonts w:ascii="Tahoma" w:hAnsi="Tahoma"/>
          <w:sz w:val="27"/>
          <w:rtl/>
          <w:lang w:bidi="fa-IR"/>
        </w:rPr>
        <w:t xml:space="preserve">كت هذه الثقافة عبر جهود </w:t>
      </w:r>
      <w:r w:rsidR="00E76B27" w:rsidRPr="00904FCB">
        <w:rPr>
          <w:rFonts w:ascii="Tahoma" w:hAnsi="Tahoma" w:hint="cs"/>
          <w:sz w:val="27"/>
          <w:rtl/>
          <w:lang w:bidi="fa-IR"/>
        </w:rPr>
        <w:t>أ</w:t>
      </w:r>
      <w:r w:rsidRPr="00904FCB">
        <w:rPr>
          <w:rFonts w:ascii="Tahoma" w:hAnsi="Tahoma"/>
          <w:sz w:val="27"/>
          <w:rtl/>
          <w:lang w:bidi="fa-IR"/>
        </w:rPr>
        <w:t>بنائها في رسائل علمية محك</w:t>
      </w:r>
      <w:r w:rsidR="00E76B27" w:rsidRPr="00904FCB">
        <w:rPr>
          <w:rFonts w:ascii="Tahoma" w:hAnsi="Tahoma" w:hint="cs"/>
          <w:sz w:val="27"/>
          <w:rtl/>
          <w:lang w:bidi="fa-IR"/>
        </w:rPr>
        <w:t>ّ</w:t>
      </w:r>
      <w:r w:rsidRPr="00904FCB">
        <w:rPr>
          <w:rFonts w:ascii="Tahoma" w:hAnsi="Tahoma"/>
          <w:sz w:val="27"/>
          <w:rtl/>
          <w:lang w:bidi="fa-IR"/>
        </w:rPr>
        <w:t xml:space="preserve">مة، وبلغة فرنسية رصينة، أصيب العقل القانوني الغربي بالدهشة والانبهار، ولم يستطع </w:t>
      </w:r>
      <w:r w:rsidR="00E76B27" w:rsidRPr="00904FCB">
        <w:rPr>
          <w:rFonts w:ascii="Tahoma" w:hAnsi="Tahoma" w:hint="cs"/>
          <w:sz w:val="27"/>
          <w:rtl/>
          <w:lang w:bidi="fa-IR"/>
        </w:rPr>
        <w:t>إ</w:t>
      </w:r>
      <w:r w:rsidRPr="00904FCB">
        <w:rPr>
          <w:rFonts w:ascii="Tahoma" w:hAnsi="Tahoma"/>
          <w:sz w:val="27"/>
          <w:rtl/>
          <w:lang w:bidi="fa-IR"/>
        </w:rPr>
        <w:t>نكار تأثيرها أعلام</w:t>
      </w:r>
      <w:r w:rsidR="00E76B27" w:rsidRPr="00904FCB">
        <w:rPr>
          <w:rFonts w:ascii="Tahoma" w:hAnsi="Tahoma" w:hint="cs"/>
          <w:sz w:val="27"/>
          <w:rtl/>
          <w:lang w:bidi="fa-IR"/>
        </w:rPr>
        <w:t>ٌ</w:t>
      </w:r>
      <w:r w:rsidRPr="00904FCB">
        <w:rPr>
          <w:rFonts w:ascii="Tahoma" w:hAnsi="Tahoma"/>
          <w:sz w:val="27"/>
          <w:rtl/>
          <w:lang w:bidi="fa-IR"/>
        </w:rPr>
        <w:t xml:space="preserve"> كبار</w:t>
      </w:r>
      <w:r w:rsidR="00E76B27" w:rsidRPr="00904FCB">
        <w:rPr>
          <w:rFonts w:ascii="Tahoma" w:hAnsi="Tahoma" w:hint="cs"/>
          <w:sz w:val="27"/>
          <w:rtl/>
          <w:lang w:bidi="fa-IR"/>
        </w:rPr>
        <w:t>،</w:t>
      </w:r>
      <w:r w:rsidRPr="00904FCB">
        <w:rPr>
          <w:rFonts w:ascii="Tahoma" w:hAnsi="Tahoma"/>
          <w:sz w:val="27"/>
          <w:rtl/>
          <w:lang w:bidi="fa-IR"/>
        </w:rPr>
        <w:t xml:space="preserve"> في مقد</w:t>
      </w:r>
      <w:r w:rsidR="00E76B27" w:rsidRPr="00904FCB">
        <w:rPr>
          <w:rFonts w:ascii="Tahoma" w:hAnsi="Tahoma" w:hint="cs"/>
          <w:sz w:val="27"/>
          <w:rtl/>
          <w:lang w:bidi="fa-IR"/>
        </w:rPr>
        <w:t>ّ</w:t>
      </w:r>
      <w:r w:rsidRPr="00904FCB">
        <w:rPr>
          <w:rFonts w:ascii="Tahoma" w:hAnsi="Tahoma"/>
          <w:sz w:val="27"/>
          <w:rtl/>
          <w:lang w:bidi="fa-IR"/>
        </w:rPr>
        <w:t>متهم</w:t>
      </w:r>
      <w:r w:rsidR="00E76B27" w:rsidRPr="00904FCB">
        <w:rPr>
          <w:rFonts w:ascii="Tahoma" w:hAnsi="Tahoma" w:hint="cs"/>
          <w:sz w:val="27"/>
          <w:rtl/>
          <w:lang w:bidi="fa-IR"/>
        </w:rPr>
        <w:t>:</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ليفي أولمان</w:t>
      </w:r>
      <w:r w:rsidRPr="00904FCB">
        <w:rPr>
          <w:rFonts w:hint="eastAsia"/>
          <w:sz w:val="27"/>
          <w:rtl/>
        </w:rPr>
        <w:t>»</w:t>
      </w:r>
      <w:r w:rsidR="00E76B27" w:rsidRPr="00904FCB">
        <w:rPr>
          <w:rFonts w:ascii="Tahoma" w:hAnsi="Tahoma" w:hint="cs"/>
          <w:sz w:val="27"/>
          <w:rtl/>
        </w:rPr>
        <w:t>،</w:t>
      </w:r>
      <w:r w:rsidRPr="00904FCB">
        <w:rPr>
          <w:rFonts w:ascii="Tahoma" w:hAnsi="Tahoma"/>
          <w:sz w:val="27"/>
          <w:rtl/>
          <w:lang w:bidi="fa-IR"/>
        </w:rPr>
        <w:t xml:space="preserve"> و</w:t>
      </w:r>
      <w:r w:rsidR="00E76B27" w:rsidRPr="00904FCB">
        <w:rPr>
          <w:rFonts w:hint="eastAsia"/>
          <w:sz w:val="27"/>
          <w:rtl/>
          <w:lang w:bidi="fa-IR"/>
        </w:rPr>
        <w:t>«</w:t>
      </w:r>
      <w:r w:rsidRPr="00904FCB">
        <w:rPr>
          <w:rFonts w:ascii="Tahoma" w:hAnsi="Tahoma"/>
          <w:sz w:val="27"/>
          <w:rtl/>
          <w:lang w:bidi="fa-IR"/>
        </w:rPr>
        <w:t>جوسران</w:t>
      </w:r>
      <w:r w:rsidRPr="00904FCB">
        <w:rPr>
          <w:rFonts w:hint="eastAsia"/>
          <w:sz w:val="27"/>
          <w:rtl/>
        </w:rPr>
        <w:t>»</w:t>
      </w:r>
      <w:r w:rsidR="00E76B27" w:rsidRPr="00904FCB">
        <w:rPr>
          <w:rFonts w:ascii="Tahoma" w:hAnsi="Tahoma" w:hint="cs"/>
          <w:sz w:val="27"/>
          <w:rtl/>
          <w:lang w:bidi="fa-IR"/>
        </w:rPr>
        <w:t xml:space="preserve">، </w:t>
      </w:r>
      <w:r w:rsidRPr="00904FCB">
        <w:rPr>
          <w:rFonts w:ascii="Tahoma" w:hAnsi="Tahoma"/>
          <w:sz w:val="27"/>
          <w:rtl/>
          <w:lang w:bidi="fa-IR"/>
        </w:rPr>
        <w:t xml:space="preserve">والألماني </w:t>
      </w:r>
      <w:r w:rsidRPr="00904FCB">
        <w:rPr>
          <w:rFonts w:hint="eastAsia"/>
          <w:sz w:val="27"/>
          <w:rtl/>
          <w:lang w:bidi="fa-IR"/>
        </w:rPr>
        <w:t>«</w:t>
      </w:r>
      <w:r w:rsidRPr="00904FCB">
        <w:rPr>
          <w:rFonts w:ascii="Tahoma" w:hAnsi="Tahoma"/>
          <w:sz w:val="27"/>
          <w:rtl/>
          <w:lang w:bidi="fa-IR"/>
        </w:rPr>
        <w:t>كوهلر</w:t>
      </w:r>
      <w:r w:rsidRPr="00904FCB">
        <w:rPr>
          <w:rFonts w:hint="eastAsia"/>
          <w:sz w:val="27"/>
          <w:rtl/>
        </w:rPr>
        <w:t>»</w:t>
      </w:r>
      <w:r w:rsidR="00E76B27" w:rsidRPr="00904FCB">
        <w:rPr>
          <w:rFonts w:hint="cs"/>
          <w:sz w:val="27"/>
          <w:rtl/>
        </w:rPr>
        <w:t>،</w:t>
      </w:r>
      <w:r w:rsidRPr="00904FCB">
        <w:rPr>
          <w:rFonts w:ascii="Tahoma" w:hAnsi="Tahoma"/>
          <w:sz w:val="27"/>
          <w:rtl/>
          <w:lang w:bidi="fa-IR"/>
        </w:rPr>
        <w:t xml:space="preserve"> وغيرهم</w:t>
      </w:r>
      <w:r w:rsidR="00E76B27" w:rsidRPr="00904FCB">
        <w:rPr>
          <w:rFonts w:ascii="Tahoma" w:hAnsi="Tahoma" w:hint="cs"/>
          <w:sz w:val="27"/>
          <w:rtl/>
          <w:lang w:bidi="fa-IR"/>
        </w:rPr>
        <w:t>.</w:t>
      </w:r>
      <w:r w:rsidRPr="00904FCB">
        <w:rPr>
          <w:rFonts w:ascii="Tahoma" w:hAnsi="Tahoma"/>
          <w:sz w:val="27"/>
          <w:rtl/>
          <w:lang w:bidi="fa-IR"/>
        </w:rPr>
        <w:t xml:space="preserve"> وأتوق</w:t>
      </w:r>
      <w:r w:rsidR="00E76B27" w:rsidRPr="00904FCB">
        <w:rPr>
          <w:rFonts w:ascii="Tahoma" w:hAnsi="Tahoma" w:hint="cs"/>
          <w:sz w:val="27"/>
          <w:rtl/>
          <w:lang w:bidi="fa-IR"/>
        </w:rPr>
        <w:t>َّ</w:t>
      </w:r>
      <w:r w:rsidRPr="00904FCB">
        <w:rPr>
          <w:rFonts w:ascii="Tahoma" w:hAnsi="Tahoma"/>
          <w:sz w:val="27"/>
          <w:rtl/>
          <w:lang w:bidi="fa-IR"/>
        </w:rPr>
        <w:t>ف قليلا</w:t>
      </w:r>
      <w:r w:rsidR="00E76B27" w:rsidRPr="00904FCB">
        <w:rPr>
          <w:rFonts w:ascii="Tahoma" w:hAnsi="Tahoma" w:hint="cs"/>
          <w:sz w:val="27"/>
          <w:rtl/>
          <w:lang w:bidi="fa-IR"/>
        </w:rPr>
        <w:t>ً</w:t>
      </w:r>
      <w:r w:rsidRPr="00904FCB">
        <w:rPr>
          <w:rFonts w:ascii="Tahoma" w:hAnsi="Tahoma"/>
          <w:sz w:val="27"/>
          <w:rtl/>
          <w:lang w:bidi="fa-IR"/>
        </w:rPr>
        <w:t xml:space="preserve"> </w:t>
      </w:r>
      <w:r w:rsidR="00E76B27" w:rsidRPr="00904FCB">
        <w:rPr>
          <w:rFonts w:ascii="Tahoma" w:hAnsi="Tahoma" w:hint="cs"/>
          <w:sz w:val="27"/>
          <w:rtl/>
          <w:lang w:bidi="fa-IR"/>
        </w:rPr>
        <w:t>أ</w:t>
      </w:r>
      <w:r w:rsidRPr="00904FCB">
        <w:rPr>
          <w:rFonts w:ascii="Tahoma" w:hAnsi="Tahoma"/>
          <w:sz w:val="27"/>
          <w:rtl/>
          <w:lang w:bidi="fa-IR"/>
        </w:rPr>
        <w:t xml:space="preserve">مام واحد من أنبغ تلاميذ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00E76B27" w:rsidRPr="00904FCB">
        <w:rPr>
          <w:rFonts w:ascii="Tahoma" w:hAnsi="Tahoma" w:hint="cs"/>
          <w:sz w:val="27"/>
          <w:rtl/>
        </w:rPr>
        <w:t>،</w:t>
      </w:r>
      <w:r w:rsidRPr="00904FCB">
        <w:rPr>
          <w:rFonts w:ascii="Tahoma" w:hAnsi="Tahoma"/>
          <w:sz w:val="27"/>
          <w:rtl/>
          <w:lang w:bidi="fa-IR"/>
        </w:rPr>
        <w:t xml:space="preserve"> والمعيد المشارك لأستاذه في تدريس علم أصول الفقه والفقه ال</w:t>
      </w:r>
      <w:r w:rsidR="00E76B27" w:rsidRPr="00904FCB">
        <w:rPr>
          <w:rFonts w:ascii="Tahoma" w:hAnsi="Tahoma" w:hint="cs"/>
          <w:sz w:val="27"/>
          <w:rtl/>
          <w:lang w:bidi="fa-IR"/>
        </w:rPr>
        <w:t>إ</w:t>
      </w:r>
      <w:r w:rsidRPr="00904FCB">
        <w:rPr>
          <w:rFonts w:ascii="Tahoma" w:hAnsi="Tahoma"/>
          <w:sz w:val="27"/>
          <w:rtl/>
          <w:lang w:bidi="fa-IR"/>
        </w:rPr>
        <w:t xml:space="preserve">سلامي بجامعة ليون، وهو الدكتور </w:t>
      </w:r>
      <w:r w:rsidRPr="00904FCB">
        <w:rPr>
          <w:rFonts w:hint="eastAsia"/>
          <w:sz w:val="27"/>
          <w:rtl/>
          <w:lang w:bidi="fa-IR"/>
        </w:rPr>
        <w:t>«</w:t>
      </w:r>
      <w:r w:rsidRPr="00904FCB">
        <w:rPr>
          <w:rFonts w:ascii="Tahoma" w:hAnsi="Tahoma"/>
          <w:sz w:val="27"/>
          <w:rtl/>
          <w:lang w:bidi="fa-IR"/>
        </w:rPr>
        <w:t>محمود فتحي</w:t>
      </w:r>
      <w:r w:rsidRPr="00904FCB">
        <w:rPr>
          <w:rFonts w:hint="eastAsia"/>
          <w:sz w:val="27"/>
          <w:rtl/>
        </w:rPr>
        <w:t>»</w:t>
      </w:r>
      <w:r w:rsidRPr="00904FCB">
        <w:rPr>
          <w:rFonts w:ascii="Tahoma" w:hAnsi="Tahoma"/>
          <w:sz w:val="27"/>
          <w:rtl/>
          <w:lang w:bidi="fa-IR"/>
        </w:rPr>
        <w:t xml:space="preserve">، صاحب رسالة </w:t>
      </w:r>
      <w:r w:rsidRPr="00904FCB">
        <w:rPr>
          <w:rFonts w:hint="eastAsia"/>
          <w:sz w:val="27"/>
          <w:rtl/>
          <w:lang w:bidi="fa-IR"/>
        </w:rPr>
        <w:t>«</w:t>
      </w:r>
      <w:r w:rsidRPr="00904FCB">
        <w:rPr>
          <w:rFonts w:ascii="Tahoma" w:hAnsi="Tahoma"/>
          <w:sz w:val="27"/>
          <w:rtl/>
          <w:lang w:bidi="fa-IR"/>
        </w:rPr>
        <w:t>التعسف في استعمال الحق</w:t>
      </w:r>
      <w:r w:rsidR="00E76B27" w:rsidRPr="00904FCB">
        <w:rPr>
          <w:rFonts w:ascii="Tahoma" w:hAnsi="Tahoma" w:hint="cs"/>
          <w:sz w:val="27"/>
          <w:rtl/>
          <w:lang w:bidi="fa-IR"/>
        </w:rPr>
        <w:t>ّ</w:t>
      </w:r>
      <w:r w:rsidRPr="00904FCB">
        <w:rPr>
          <w:rFonts w:ascii="Tahoma" w:hAnsi="Tahoma"/>
          <w:sz w:val="27"/>
          <w:rtl/>
          <w:lang w:bidi="fa-IR"/>
        </w:rPr>
        <w:t xml:space="preserve"> في الشريعة ال</w:t>
      </w:r>
      <w:r w:rsidR="00E76B27" w:rsidRPr="00904FCB">
        <w:rPr>
          <w:rFonts w:ascii="Tahoma" w:hAnsi="Tahoma" w:hint="cs"/>
          <w:sz w:val="27"/>
          <w:rtl/>
          <w:lang w:bidi="fa-IR"/>
        </w:rPr>
        <w:t>إ</w:t>
      </w:r>
      <w:r w:rsidRPr="00904FCB">
        <w:rPr>
          <w:rFonts w:ascii="Tahoma" w:hAnsi="Tahoma"/>
          <w:sz w:val="27"/>
          <w:rtl/>
          <w:lang w:bidi="fa-IR"/>
        </w:rPr>
        <w:t>سلامية</w:t>
      </w:r>
      <w:r w:rsidR="00E76B27" w:rsidRPr="00904FCB">
        <w:rPr>
          <w:rFonts w:hint="eastAsia"/>
          <w:sz w:val="27"/>
          <w:rtl/>
        </w:rPr>
        <w:t>»</w:t>
      </w:r>
      <w:r w:rsidR="00E76B27" w:rsidRPr="00904FCB">
        <w:rPr>
          <w:rFonts w:ascii="Tahoma" w:hAnsi="Tahoma" w:hint="cs"/>
          <w:sz w:val="27"/>
          <w:rtl/>
          <w:lang w:bidi="fa-IR"/>
        </w:rPr>
        <w:t>،</w:t>
      </w:r>
      <w:r w:rsidRPr="00904FCB">
        <w:rPr>
          <w:rFonts w:ascii="Tahoma" w:hAnsi="Tahoma"/>
          <w:sz w:val="27"/>
          <w:rtl/>
          <w:lang w:bidi="fa-IR"/>
        </w:rPr>
        <w:t xml:space="preserve"> والتي تقد</w:t>
      </w:r>
      <w:r w:rsidR="00E76B27" w:rsidRPr="00904FCB">
        <w:rPr>
          <w:rFonts w:ascii="Tahoma" w:hAnsi="Tahoma" w:hint="cs"/>
          <w:sz w:val="27"/>
          <w:rtl/>
          <w:lang w:bidi="fa-IR"/>
        </w:rPr>
        <w:t>َّ</w:t>
      </w:r>
      <w:r w:rsidRPr="00904FCB">
        <w:rPr>
          <w:rFonts w:ascii="Tahoma" w:hAnsi="Tahoma"/>
          <w:sz w:val="27"/>
          <w:rtl/>
          <w:lang w:bidi="fa-IR"/>
        </w:rPr>
        <w:t>م بها إلى جامعة ليون عام</w:t>
      </w:r>
      <w:r w:rsidRPr="00904FCB">
        <w:rPr>
          <w:rFonts w:ascii="Tahoma" w:hAnsi="Tahoma" w:hint="cs"/>
          <w:sz w:val="27"/>
          <w:rtl/>
          <w:lang w:bidi="fa-IR"/>
        </w:rPr>
        <w:t xml:space="preserve"> </w:t>
      </w:r>
      <w:r w:rsidRPr="008C16BF">
        <w:rPr>
          <w:rFonts w:ascii="Tahoma" w:hAnsi="Tahoma" w:hint="cs"/>
          <w:sz w:val="27"/>
          <w:rtl/>
          <w:lang w:bidi="ar-LB"/>
        </w:rPr>
        <w:t>1912</w:t>
      </w:r>
      <w:r w:rsidRPr="00904FCB">
        <w:rPr>
          <w:rFonts w:ascii="Tahoma" w:hAnsi="Tahoma"/>
          <w:sz w:val="27"/>
          <w:rtl/>
          <w:lang w:bidi="fa-IR"/>
        </w:rPr>
        <w:t>، وفيها عرض</w:t>
      </w:r>
      <w:r w:rsidR="00E76B27" w:rsidRPr="00904FCB">
        <w:rPr>
          <w:rFonts w:ascii="Tahoma" w:hAnsi="Tahoma" w:hint="cs"/>
          <w:sz w:val="27"/>
          <w:rtl/>
          <w:lang w:bidi="fa-IR"/>
        </w:rPr>
        <w:t>ٌ</w:t>
      </w:r>
      <w:r w:rsidRPr="00904FCB">
        <w:rPr>
          <w:rFonts w:ascii="Tahoma" w:hAnsi="Tahoma"/>
          <w:sz w:val="27"/>
          <w:rtl/>
          <w:lang w:bidi="fa-IR"/>
        </w:rPr>
        <w:t xml:space="preserve"> للنظرية باستخدام الطريقة المقارنة بين المذاهب السنية الأربعة</w:t>
      </w:r>
      <w:r w:rsidR="00E76B27" w:rsidRPr="00904FCB">
        <w:rPr>
          <w:rFonts w:ascii="Tahoma" w:hAnsi="Tahoma" w:hint="cs"/>
          <w:sz w:val="27"/>
          <w:rtl/>
          <w:lang w:bidi="fa-IR"/>
        </w:rPr>
        <w:t>.</w:t>
      </w:r>
      <w:r w:rsidRPr="00904FCB">
        <w:rPr>
          <w:rFonts w:ascii="Tahoma" w:hAnsi="Tahoma"/>
          <w:sz w:val="27"/>
          <w:rtl/>
          <w:lang w:bidi="fa-IR"/>
        </w:rPr>
        <w:t xml:space="preserve"> وفي الرسالة جهد</w:t>
      </w:r>
      <w:r w:rsidR="00E76B27" w:rsidRPr="00904FCB">
        <w:rPr>
          <w:rFonts w:ascii="Tahoma" w:hAnsi="Tahoma" w:hint="cs"/>
          <w:sz w:val="27"/>
          <w:rtl/>
          <w:lang w:bidi="fa-IR"/>
        </w:rPr>
        <w:t>ٌ</w:t>
      </w:r>
      <w:r w:rsidRPr="00904FCB">
        <w:rPr>
          <w:rFonts w:ascii="Tahoma" w:hAnsi="Tahoma"/>
          <w:sz w:val="27"/>
          <w:rtl/>
          <w:lang w:bidi="fa-IR"/>
        </w:rPr>
        <w:t xml:space="preserve"> نالت به الدرجة العلمية بتفو</w:t>
      </w:r>
      <w:r w:rsidR="00E76B27" w:rsidRPr="00904FCB">
        <w:rPr>
          <w:rFonts w:ascii="Tahoma" w:hAnsi="Tahoma" w:hint="cs"/>
          <w:sz w:val="27"/>
          <w:rtl/>
          <w:lang w:bidi="fa-IR"/>
        </w:rPr>
        <w:t>ُّ</w:t>
      </w:r>
      <w:r w:rsidRPr="00904FCB">
        <w:rPr>
          <w:rFonts w:ascii="Tahoma" w:hAnsi="Tahoma"/>
          <w:sz w:val="27"/>
          <w:rtl/>
          <w:lang w:bidi="fa-IR"/>
        </w:rPr>
        <w:t>ق</w:t>
      </w:r>
      <w:r w:rsidR="00E76B27" w:rsidRPr="00904FCB">
        <w:rPr>
          <w:rFonts w:ascii="Tahoma" w:hAnsi="Tahoma" w:hint="cs"/>
          <w:sz w:val="27"/>
          <w:rtl/>
          <w:lang w:bidi="fa-IR"/>
        </w:rPr>
        <w:t>ٍ</w:t>
      </w:r>
      <w:r w:rsidRPr="00904FCB">
        <w:rPr>
          <w:rFonts w:ascii="Tahoma" w:hAnsi="Tahoma"/>
          <w:sz w:val="27"/>
          <w:rtl/>
          <w:lang w:bidi="fa-IR"/>
        </w:rPr>
        <w:t>، ونالت الرسالة تقديرا</w:t>
      </w:r>
      <w:r w:rsidR="00E76B27" w:rsidRPr="00904FCB">
        <w:rPr>
          <w:rFonts w:ascii="Tahoma" w:hAnsi="Tahoma" w:hint="cs"/>
          <w:sz w:val="27"/>
          <w:rtl/>
          <w:lang w:bidi="fa-IR"/>
        </w:rPr>
        <w:t>ً</w:t>
      </w:r>
      <w:r w:rsidRPr="00904FCB">
        <w:rPr>
          <w:rFonts w:ascii="Tahoma" w:hAnsi="Tahoma"/>
          <w:sz w:val="27"/>
          <w:rtl/>
          <w:lang w:bidi="fa-IR"/>
        </w:rPr>
        <w:t xml:space="preserve"> خاص</w:t>
      </w:r>
      <w:r w:rsidR="00E76B27" w:rsidRPr="00904FCB">
        <w:rPr>
          <w:rFonts w:ascii="Tahoma" w:hAnsi="Tahoma" w:hint="cs"/>
          <w:sz w:val="27"/>
          <w:rtl/>
          <w:lang w:bidi="fa-IR"/>
        </w:rPr>
        <w:t>ّ</w:t>
      </w:r>
      <w:r w:rsidRPr="00904FCB">
        <w:rPr>
          <w:rFonts w:ascii="Tahoma" w:hAnsi="Tahoma"/>
          <w:sz w:val="27"/>
          <w:rtl/>
          <w:lang w:bidi="fa-IR"/>
        </w:rPr>
        <w:t>ا</w:t>
      </w:r>
      <w:r w:rsidR="00E76B27" w:rsidRPr="00904FCB">
        <w:rPr>
          <w:rFonts w:ascii="Tahoma" w:hAnsi="Tahoma" w:hint="cs"/>
          <w:sz w:val="27"/>
          <w:rtl/>
          <w:lang w:bidi="fa-IR"/>
        </w:rPr>
        <w:t>ً</w:t>
      </w:r>
      <w:r w:rsidRPr="00904FCB">
        <w:rPr>
          <w:rFonts w:ascii="Tahoma" w:hAnsi="Tahoma"/>
          <w:sz w:val="27"/>
          <w:rtl/>
          <w:lang w:bidi="fa-IR"/>
        </w:rPr>
        <w:t xml:space="preserve"> من </w:t>
      </w:r>
      <w:r w:rsidRPr="00904FCB">
        <w:rPr>
          <w:rFonts w:hint="eastAsia"/>
          <w:sz w:val="27"/>
          <w:rtl/>
          <w:lang w:bidi="fa-IR"/>
        </w:rPr>
        <w:t>«</w:t>
      </w:r>
      <w:r w:rsidR="00E76B27" w:rsidRPr="00904FCB">
        <w:rPr>
          <w:rFonts w:ascii="Tahoma" w:hAnsi="Tahoma" w:hint="cs"/>
          <w:sz w:val="27"/>
          <w:rtl/>
          <w:lang w:bidi="fa-IR"/>
        </w:rPr>
        <w:t>إ</w:t>
      </w:r>
      <w:r w:rsidRPr="00904FCB">
        <w:rPr>
          <w:rFonts w:ascii="Tahoma" w:hAnsi="Tahoma"/>
          <w:sz w:val="27"/>
          <w:rtl/>
          <w:lang w:bidi="fa-IR"/>
        </w:rPr>
        <w:t>دوارد لامبير</w:t>
      </w:r>
      <w:r w:rsidRPr="00904FCB">
        <w:rPr>
          <w:rFonts w:hint="eastAsia"/>
          <w:sz w:val="27"/>
          <w:rtl/>
        </w:rPr>
        <w:t>»</w:t>
      </w:r>
      <w:r w:rsidRPr="00904FCB">
        <w:rPr>
          <w:rFonts w:ascii="Tahoma" w:hAnsi="Tahoma"/>
          <w:sz w:val="27"/>
          <w:rtl/>
          <w:lang w:bidi="fa-IR"/>
        </w:rPr>
        <w:t xml:space="preserve"> المشرف على الرسالة، فاختارها لتكون العدد الأول من سلسلة أبحاث المركز الشرقي للدراسات القانونية والاجتماعية</w:t>
      </w:r>
      <w:r w:rsidR="00E76B27" w:rsidRPr="00904FCB">
        <w:rPr>
          <w:rFonts w:ascii="Tahoma" w:hAnsi="Tahoma" w:hint="cs"/>
          <w:sz w:val="27"/>
          <w:rtl/>
          <w:lang w:bidi="fa-IR"/>
        </w:rPr>
        <w:t>.</w:t>
      </w:r>
      <w:r w:rsidRPr="00904FCB">
        <w:rPr>
          <w:rFonts w:ascii="Tahoma" w:hAnsi="Tahoma"/>
          <w:sz w:val="27"/>
          <w:rtl/>
          <w:lang w:bidi="fa-IR"/>
        </w:rPr>
        <w:t xml:space="preserve"> وكانت </w:t>
      </w:r>
      <w:r w:rsidR="00E76B27" w:rsidRPr="00904FCB">
        <w:rPr>
          <w:rFonts w:ascii="Tahoma" w:hAnsi="Tahoma" w:hint="cs"/>
          <w:sz w:val="27"/>
          <w:rtl/>
          <w:lang w:bidi="fa-IR"/>
        </w:rPr>
        <w:t xml:space="preserve">ـ </w:t>
      </w:r>
      <w:r w:rsidRPr="00904FCB">
        <w:rPr>
          <w:rFonts w:ascii="Tahoma" w:hAnsi="Tahoma"/>
          <w:sz w:val="27"/>
          <w:rtl/>
          <w:lang w:bidi="fa-IR"/>
        </w:rPr>
        <w:t xml:space="preserve">كما يقول </w:t>
      </w:r>
      <w:r w:rsidRPr="00904FCB">
        <w:rPr>
          <w:rFonts w:hint="eastAsia"/>
          <w:sz w:val="27"/>
          <w:rtl/>
          <w:lang w:bidi="fa-IR"/>
        </w:rPr>
        <w:t>«</w:t>
      </w:r>
      <w:r w:rsidR="00E76B27" w:rsidRPr="00904FCB">
        <w:rPr>
          <w:rFonts w:ascii="Tahoma" w:hAnsi="Tahoma" w:hint="cs"/>
          <w:sz w:val="27"/>
          <w:rtl/>
          <w:lang w:bidi="fa-IR"/>
        </w:rPr>
        <w:t>إ</w:t>
      </w:r>
      <w:r w:rsidRPr="00904FCB">
        <w:rPr>
          <w:rFonts w:ascii="Tahoma" w:hAnsi="Tahoma"/>
          <w:sz w:val="27"/>
          <w:rtl/>
          <w:lang w:bidi="fa-IR"/>
        </w:rPr>
        <w:t>دوارد لامبير</w:t>
      </w:r>
      <w:r w:rsidRPr="00904FCB">
        <w:rPr>
          <w:rFonts w:hint="eastAsia"/>
          <w:sz w:val="27"/>
          <w:rtl/>
        </w:rPr>
        <w:t>»</w:t>
      </w:r>
      <w:r w:rsidR="00E76B27" w:rsidRPr="00904FCB">
        <w:rPr>
          <w:rFonts w:ascii="Tahoma" w:hAnsi="Tahoma" w:hint="cs"/>
          <w:sz w:val="27"/>
          <w:rtl/>
        </w:rPr>
        <w:t xml:space="preserve"> ـ</w:t>
      </w:r>
      <w:r w:rsidRPr="00904FCB">
        <w:rPr>
          <w:rFonts w:ascii="Tahoma" w:hAnsi="Tahoma"/>
          <w:sz w:val="27"/>
          <w:rtl/>
          <w:lang w:bidi="fa-IR"/>
        </w:rPr>
        <w:t xml:space="preserve"> بداية ناجحة، ونفذت طبعتها الأول</w:t>
      </w:r>
      <w:r w:rsidR="00E76B27" w:rsidRPr="00904FCB">
        <w:rPr>
          <w:rFonts w:ascii="Tahoma" w:hAnsi="Tahoma" w:hint="cs"/>
          <w:sz w:val="27"/>
          <w:rtl/>
          <w:lang w:bidi="fa-IR"/>
        </w:rPr>
        <w:t>ى</w:t>
      </w:r>
      <w:r w:rsidRPr="00904FCB">
        <w:rPr>
          <w:rFonts w:ascii="Tahoma" w:hAnsi="Tahoma"/>
          <w:sz w:val="27"/>
          <w:rtl/>
          <w:lang w:bidi="fa-IR"/>
        </w:rPr>
        <w:t xml:space="preserve"> فور صدورها، وقد صدرت بمقد</w:t>
      </w:r>
      <w:r w:rsidR="00E76B27" w:rsidRPr="00904FCB">
        <w:rPr>
          <w:rFonts w:ascii="Tahoma" w:hAnsi="Tahoma" w:hint="cs"/>
          <w:sz w:val="27"/>
          <w:rtl/>
          <w:lang w:bidi="fa-IR"/>
        </w:rPr>
        <w:t>ّ</w:t>
      </w:r>
      <w:r w:rsidRPr="00904FCB">
        <w:rPr>
          <w:rFonts w:ascii="Tahoma" w:hAnsi="Tahoma"/>
          <w:sz w:val="27"/>
          <w:rtl/>
          <w:lang w:bidi="fa-IR"/>
        </w:rPr>
        <w:t xml:space="preserve">مة من الأستاذ </w:t>
      </w:r>
      <w:r w:rsidRPr="00904FCB">
        <w:rPr>
          <w:rFonts w:hint="eastAsia"/>
          <w:sz w:val="27"/>
          <w:rtl/>
          <w:lang w:bidi="fa-IR"/>
        </w:rPr>
        <w:t>«</w:t>
      </w:r>
      <w:r w:rsidRPr="00904FCB">
        <w:rPr>
          <w:rFonts w:ascii="Tahoma" w:hAnsi="Tahoma"/>
          <w:sz w:val="27"/>
          <w:rtl/>
          <w:lang w:bidi="fa-IR"/>
        </w:rPr>
        <w:t>لامبير</w:t>
      </w:r>
      <w:r w:rsidRPr="00904FCB">
        <w:rPr>
          <w:rFonts w:hint="eastAsia"/>
          <w:sz w:val="27"/>
          <w:rtl/>
        </w:rPr>
        <w:t>»</w:t>
      </w:r>
      <w:r w:rsidRPr="00904FCB">
        <w:rPr>
          <w:rFonts w:ascii="Tahoma" w:hAnsi="Tahoma"/>
          <w:sz w:val="27"/>
          <w:rtl/>
          <w:lang w:bidi="fa-IR"/>
        </w:rPr>
        <w:t xml:space="preserve"> تجاوزت صفحاتها المائة</w:t>
      </w:r>
      <w:r w:rsidR="00A07D51" w:rsidRPr="00904FCB">
        <w:rPr>
          <w:rFonts w:ascii="Tahoma" w:hAnsi="Tahoma" w:hint="cs"/>
          <w:sz w:val="27"/>
          <w:rtl/>
          <w:lang w:bidi="fa-IR"/>
        </w:rPr>
        <w:t>.</w:t>
      </w:r>
      <w:r w:rsidRPr="00904FCB">
        <w:rPr>
          <w:rFonts w:ascii="Tahoma" w:hAnsi="Tahoma"/>
          <w:sz w:val="27"/>
          <w:rtl/>
          <w:lang w:bidi="fa-IR"/>
        </w:rPr>
        <w:t xml:space="preserve"> وح</w:t>
      </w:r>
      <w:r w:rsidR="00E76B27" w:rsidRPr="00904FCB">
        <w:rPr>
          <w:rFonts w:ascii="Tahoma" w:hAnsi="Tahoma" w:hint="cs"/>
          <w:sz w:val="27"/>
          <w:rtl/>
          <w:lang w:bidi="fa-IR"/>
        </w:rPr>
        <w:t>َ</w:t>
      </w:r>
      <w:r w:rsidRPr="00904FCB">
        <w:rPr>
          <w:rFonts w:ascii="Tahoma" w:hAnsi="Tahoma"/>
          <w:sz w:val="27"/>
          <w:rtl/>
          <w:lang w:bidi="fa-IR"/>
        </w:rPr>
        <w:t>س</w:t>
      </w:r>
      <w:r w:rsidR="00E76B27" w:rsidRPr="00904FCB">
        <w:rPr>
          <w:rFonts w:ascii="Tahoma" w:hAnsi="Tahoma" w:hint="cs"/>
          <w:sz w:val="27"/>
          <w:rtl/>
          <w:lang w:bidi="fa-IR"/>
        </w:rPr>
        <w:t>ْ</w:t>
      </w:r>
      <w:r w:rsidRPr="00904FCB">
        <w:rPr>
          <w:rFonts w:ascii="Tahoma" w:hAnsi="Tahoma"/>
          <w:sz w:val="27"/>
          <w:rtl/>
          <w:lang w:bidi="fa-IR"/>
        </w:rPr>
        <w:t>ب</w:t>
      </w:r>
      <w:r w:rsidR="00A07D51" w:rsidRPr="00904FCB">
        <w:rPr>
          <w:rFonts w:ascii="Tahoma" w:hAnsi="Tahoma" w:hint="cs"/>
          <w:sz w:val="27"/>
          <w:rtl/>
          <w:lang w:bidi="fa-IR"/>
        </w:rPr>
        <w:t>ُ</w:t>
      </w:r>
      <w:r w:rsidRPr="00904FCB">
        <w:rPr>
          <w:rFonts w:ascii="Tahoma" w:hAnsi="Tahoma"/>
          <w:sz w:val="27"/>
          <w:rtl/>
          <w:lang w:bidi="fa-IR"/>
        </w:rPr>
        <w:t xml:space="preserve"> هذه الرسالة أثراً في القانون المقارن بفرنسا أن </w:t>
      </w:r>
      <w:r w:rsidRPr="00904FCB">
        <w:rPr>
          <w:rFonts w:hint="eastAsia"/>
          <w:sz w:val="27"/>
          <w:rtl/>
          <w:lang w:bidi="fa-IR"/>
        </w:rPr>
        <w:t>«</w:t>
      </w:r>
      <w:r w:rsidRPr="00904FCB">
        <w:rPr>
          <w:rFonts w:ascii="Tahoma" w:hAnsi="Tahoma"/>
          <w:sz w:val="27"/>
          <w:rtl/>
          <w:lang w:bidi="fa-IR"/>
        </w:rPr>
        <w:t>جوسران</w:t>
      </w:r>
      <w:r w:rsidRPr="00904FCB">
        <w:rPr>
          <w:rFonts w:hint="eastAsia"/>
          <w:sz w:val="27"/>
          <w:rtl/>
        </w:rPr>
        <w:t>»</w:t>
      </w:r>
      <w:r w:rsidRPr="00904FCB">
        <w:rPr>
          <w:rFonts w:ascii="Tahoma" w:hAnsi="Tahoma"/>
          <w:sz w:val="27"/>
          <w:rtl/>
          <w:lang w:bidi="fa-IR"/>
        </w:rPr>
        <w:t xml:space="preserve"> الفقيه الفرنسي الكبير أضاف في الطبعة الثانية من كتابه </w:t>
      </w:r>
      <w:r w:rsidRPr="00904FCB">
        <w:rPr>
          <w:rFonts w:hint="eastAsia"/>
          <w:sz w:val="27"/>
          <w:rtl/>
          <w:lang w:bidi="fa-IR"/>
        </w:rPr>
        <w:t>«</w:t>
      </w:r>
      <w:r w:rsidRPr="00904FCB">
        <w:rPr>
          <w:rFonts w:ascii="Tahoma" w:hAnsi="Tahoma"/>
          <w:sz w:val="27"/>
          <w:rtl/>
          <w:lang w:bidi="fa-IR"/>
        </w:rPr>
        <w:t>روح الحقوق ونسبيتها</w:t>
      </w:r>
      <w:r w:rsidRPr="00904FCB">
        <w:rPr>
          <w:rFonts w:hint="eastAsia"/>
          <w:sz w:val="27"/>
          <w:rtl/>
        </w:rPr>
        <w:t>»</w:t>
      </w:r>
      <w:r w:rsidRPr="00904FCB">
        <w:rPr>
          <w:rFonts w:ascii="Tahoma" w:hAnsi="Tahoma"/>
          <w:sz w:val="27"/>
          <w:rtl/>
          <w:lang w:bidi="fa-IR"/>
        </w:rPr>
        <w:t xml:space="preserve"> صفحات عن نظرية التعس</w:t>
      </w:r>
      <w:r w:rsidR="00A07D51" w:rsidRPr="00904FCB">
        <w:rPr>
          <w:rFonts w:ascii="Tahoma" w:hAnsi="Tahoma" w:hint="cs"/>
          <w:sz w:val="27"/>
          <w:rtl/>
          <w:lang w:bidi="fa-IR"/>
        </w:rPr>
        <w:t>ُّ</w:t>
      </w:r>
      <w:r w:rsidRPr="00904FCB">
        <w:rPr>
          <w:rFonts w:ascii="Tahoma" w:hAnsi="Tahoma"/>
          <w:sz w:val="27"/>
          <w:rtl/>
          <w:lang w:bidi="fa-IR"/>
        </w:rPr>
        <w:t>ف في استعمال الحق</w:t>
      </w:r>
      <w:r w:rsidR="00A07D51" w:rsidRPr="00904FCB">
        <w:rPr>
          <w:rFonts w:ascii="Tahoma" w:hAnsi="Tahoma" w:hint="cs"/>
          <w:sz w:val="27"/>
          <w:rtl/>
          <w:lang w:bidi="fa-IR"/>
        </w:rPr>
        <w:t>ّ</w:t>
      </w:r>
      <w:r w:rsidRPr="00904FCB">
        <w:rPr>
          <w:rFonts w:ascii="Tahoma" w:hAnsi="Tahoma"/>
          <w:sz w:val="27"/>
          <w:rtl/>
          <w:lang w:bidi="fa-IR"/>
        </w:rPr>
        <w:t xml:space="preserve"> في الفقه ا</w:t>
      </w:r>
      <w:r w:rsidR="00A07D51" w:rsidRPr="00904FCB">
        <w:rPr>
          <w:rFonts w:ascii="Tahoma" w:hAnsi="Tahoma" w:hint="cs"/>
          <w:sz w:val="27"/>
          <w:rtl/>
          <w:lang w:bidi="fa-IR"/>
        </w:rPr>
        <w:t>لإ</w:t>
      </w:r>
      <w:r w:rsidRPr="00904FCB">
        <w:rPr>
          <w:rFonts w:ascii="Tahoma" w:hAnsi="Tahoma"/>
          <w:sz w:val="27"/>
          <w:rtl/>
          <w:lang w:bidi="fa-IR"/>
        </w:rPr>
        <w:t>سلامي، واقتد</w:t>
      </w:r>
      <w:r w:rsidR="00A07D51" w:rsidRPr="00904FCB">
        <w:rPr>
          <w:rFonts w:ascii="Tahoma" w:hAnsi="Tahoma" w:hint="cs"/>
          <w:sz w:val="27"/>
          <w:rtl/>
          <w:lang w:bidi="fa-IR"/>
        </w:rPr>
        <w:t>ى</w:t>
      </w:r>
      <w:r w:rsidRPr="00904FCB">
        <w:rPr>
          <w:rFonts w:ascii="Tahoma" w:hAnsi="Tahoma"/>
          <w:sz w:val="27"/>
          <w:rtl/>
          <w:lang w:bidi="fa-IR"/>
        </w:rPr>
        <w:t xml:space="preserve"> به آخرون من أتباعه ومواطنيه</w:t>
      </w:r>
      <w:r w:rsidR="00A07D51" w:rsidRPr="00904FCB">
        <w:rPr>
          <w:rFonts w:ascii="Tahoma" w:hAnsi="Tahoma" w:hint="cs"/>
          <w:sz w:val="27"/>
          <w:rtl/>
          <w:lang w:bidi="fa-IR"/>
        </w:rPr>
        <w:t>.</w:t>
      </w:r>
      <w:r w:rsidRPr="00904FCB">
        <w:rPr>
          <w:rFonts w:ascii="Tahoma" w:hAnsi="Tahoma"/>
          <w:sz w:val="27"/>
          <w:rtl/>
          <w:lang w:bidi="fa-IR"/>
        </w:rPr>
        <w:t xml:space="preserve"> ورغم الدعو</w:t>
      </w:r>
      <w:r w:rsidR="002C310E">
        <w:rPr>
          <w:rFonts w:ascii="Tahoma" w:hAnsi="Tahoma" w:hint="cs"/>
          <w:sz w:val="27"/>
          <w:rtl/>
          <w:lang w:bidi="fa-IR"/>
        </w:rPr>
        <w:t>ة</w:t>
      </w:r>
      <w:r w:rsidRPr="00904FCB">
        <w:rPr>
          <w:rFonts w:ascii="Tahoma" w:hAnsi="Tahoma"/>
          <w:sz w:val="27"/>
          <w:rtl/>
          <w:lang w:bidi="fa-IR"/>
        </w:rPr>
        <w:t xml:space="preserve"> المبك</w:t>
      </w:r>
      <w:r w:rsidR="00A07D51" w:rsidRPr="00904FCB">
        <w:rPr>
          <w:rFonts w:ascii="Tahoma" w:hAnsi="Tahoma" w:hint="cs"/>
          <w:sz w:val="27"/>
          <w:rtl/>
          <w:lang w:bidi="fa-IR"/>
        </w:rPr>
        <w:t>ِّ</w:t>
      </w:r>
      <w:r w:rsidRPr="00904FCB">
        <w:rPr>
          <w:rFonts w:ascii="Tahoma" w:hAnsi="Tahoma"/>
          <w:sz w:val="27"/>
          <w:rtl/>
          <w:lang w:bidi="fa-IR"/>
        </w:rPr>
        <w:t xml:space="preserve">رة من </w:t>
      </w:r>
      <w:r w:rsidRPr="00904FCB">
        <w:rPr>
          <w:rFonts w:hint="eastAsia"/>
          <w:sz w:val="27"/>
          <w:rtl/>
          <w:lang w:bidi="fa-IR"/>
        </w:rPr>
        <w:t>«</w:t>
      </w:r>
      <w:r w:rsidRPr="00904FCB">
        <w:rPr>
          <w:rFonts w:ascii="Tahoma" w:hAnsi="Tahoma"/>
          <w:sz w:val="27"/>
          <w:rtl/>
          <w:lang w:bidi="fa-IR"/>
        </w:rPr>
        <w:t>عبد السلام ذهني</w:t>
      </w:r>
      <w:r w:rsidRPr="00904FCB">
        <w:rPr>
          <w:rFonts w:hint="eastAsia"/>
          <w:sz w:val="27"/>
          <w:rtl/>
        </w:rPr>
        <w:t>»</w:t>
      </w:r>
      <w:r w:rsidRPr="00904FCB">
        <w:rPr>
          <w:rFonts w:ascii="Tahoma" w:hAnsi="Tahoma"/>
          <w:sz w:val="27"/>
          <w:rtl/>
          <w:lang w:bidi="fa-IR"/>
        </w:rPr>
        <w:t xml:space="preserve"> إلى ترجمة الكتاب إلى العربية عام</w:t>
      </w:r>
      <w:r w:rsidRPr="00904FCB">
        <w:rPr>
          <w:rFonts w:ascii="Tahoma" w:hAnsi="Tahoma" w:hint="cs"/>
          <w:sz w:val="27"/>
          <w:rtl/>
          <w:lang w:bidi="fa-IR"/>
        </w:rPr>
        <w:t xml:space="preserve"> </w:t>
      </w:r>
      <w:r w:rsidRPr="008C16BF">
        <w:rPr>
          <w:rFonts w:ascii="Tahoma" w:hAnsi="Tahoma" w:hint="cs"/>
          <w:sz w:val="27"/>
          <w:rtl/>
          <w:lang w:bidi="ar-LB"/>
        </w:rPr>
        <w:t>1915</w:t>
      </w:r>
      <w:r w:rsidRPr="00904FCB">
        <w:rPr>
          <w:rFonts w:ascii="Tahoma" w:hAnsi="Tahoma"/>
          <w:sz w:val="27"/>
          <w:rtl/>
          <w:lang w:bidi="fa-IR"/>
        </w:rPr>
        <w:t xml:space="preserve">، وعزم </w:t>
      </w:r>
      <w:r w:rsidRPr="00904FCB">
        <w:rPr>
          <w:rFonts w:hint="eastAsia"/>
          <w:sz w:val="27"/>
          <w:rtl/>
          <w:lang w:bidi="fa-IR"/>
        </w:rPr>
        <w:t>«</w:t>
      </w:r>
      <w:r w:rsidRPr="00904FCB">
        <w:rPr>
          <w:rFonts w:ascii="Tahoma" w:hAnsi="Tahoma"/>
          <w:sz w:val="27"/>
          <w:rtl/>
          <w:lang w:bidi="fa-IR"/>
        </w:rPr>
        <w:t>عبد</w:t>
      </w:r>
      <w:r w:rsidR="00A07D51" w:rsidRPr="00904FCB">
        <w:rPr>
          <w:rFonts w:ascii="Tahoma" w:hAnsi="Tahoma" w:hint="cs"/>
          <w:sz w:val="27"/>
          <w:rtl/>
          <w:lang w:bidi="fa-IR"/>
        </w:rPr>
        <w:t xml:space="preserve"> </w:t>
      </w:r>
      <w:r w:rsidRPr="00904FCB">
        <w:rPr>
          <w:rFonts w:ascii="Tahoma" w:hAnsi="Tahoma"/>
          <w:sz w:val="27"/>
          <w:rtl/>
          <w:lang w:bidi="fa-IR"/>
        </w:rPr>
        <w:t>الرازق السنهوري</w:t>
      </w:r>
      <w:r w:rsidRPr="00904FCB">
        <w:rPr>
          <w:rFonts w:hint="eastAsia"/>
          <w:sz w:val="27"/>
          <w:rtl/>
        </w:rPr>
        <w:t>»</w:t>
      </w:r>
      <w:r w:rsidRPr="00904FCB">
        <w:rPr>
          <w:rFonts w:ascii="Tahoma" w:hAnsi="Tahoma"/>
          <w:sz w:val="27"/>
          <w:rtl/>
          <w:lang w:bidi="fa-IR"/>
        </w:rPr>
        <w:t xml:space="preserve"> على ترجمة الكتاب</w:t>
      </w:r>
      <w:r w:rsidR="00A07D51" w:rsidRPr="00904FCB">
        <w:rPr>
          <w:rFonts w:ascii="Tahoma" w:hAnsi="Tahoma" w:hint="cs"/>
          <w:sz w:val="27"/>
          <w:rtl/>
          <w:lang w:bidi="fa-IR"/>
        </w:rPr>
        <w:t>،</w:t>
      </w:r>
      <w:r w:rsidRPr="00904FCB">
        <w:rPr>
          <w:rFonts w:ascii="Tahoma" w:hAnsi="Tahoma"/>
          <w:sz w:val="27"/>
          <w:rtl/>
          <w:lang w:bidi="fa-IR"/>
        </w:rPr>
        <w:t xml:space="preserve"> كما ورد في مذك</w:t>
      </w:r>
      <w:r w:rsidR="00A07D51" w:rsidRPr="00904FCB">
        <w:rPr>
          <w:rFonts w:ascii="Tahoma" w:hAnsi="Tahoma" w:hint="cs"/>
          <w:sz w:val="27"/>
          <w:rtl/>
          <w:lang w:bidi="fa-IR"/>
        </w:rPr>
        <w:t>َّ</w:t>
      </w:r>
      <w:r w:rsidRPr="00904FCB">
        <w:rPr>
          <w:rFonts w:ascii="Tahoma" w:hAnsi="Tahoma"/>
          <w:sz w:val="27"/>
          <w:rtl/>
          <w:lang w:bidi="fa-IR"/>
        </w:rPr>
        <w:t>راته التي كتبها في مدينة ليون عا</w:t>
      </w:r>
      <w:r w:rsidRPr="00904FCB">
        <w:rPr>
          <w:rFonts w:ascii="Tahoma" w:hAnsi="Tahoma" w:hint="cs"/>
          <w:sz w:val="27"/>
          <w:rtl/>
          <w:lang w:bidi="fa-IR"/>
        </w:rPr>
        <w:t xml:space="preserve">م </w:t>
      </w:r>
      <w:r w:rsidRPr="008C16BF">
        <w:rPr>
          <w:rFonts w:ascii="Tahoma" w:hAnsi="Tahoma" w:hint="cs"/>
          <w:sz w:val="27"/>
          <w:rtl/>
          <w:lang w:bidi="ar-LB"/>
        </w:rPr>
        <w:t>1923</w:t>
      </w:r>
      <w:r w:rsidRPr="00904FCB">
        <w:rPr>
          <w:rFonts w:ascii="Tahoma" w:hAnsi="Tahoma"/>
          <w:sz w:val="27"/>
          <w:rtl/>
          <w:lang w:bidi="fa-IR"/>
        </w:rPr>
        <w:t>، إلا</w:t>
      </w:r>
      <w:r w:rsidR="00A07D51" w:rsidRPr="00904FCB">
        <w:rPr>
          <w:rFonts w:ascii="Tahoma" w:hAnsi="Tahoma" w:hint="cs"/>
          <w:sz w:val="27"/>
          <w:rtl/>
          <w:lang w:bidi="fa-IR"/>
        </w:rPr>
        <w:t>ّ</w:t>
      </w:r>
      <w:r w:rsidRPr="00904FCB">
        <w:rPr>
          <w:rFonts w:ascii="Tahoma" w:hAnsi="Tahoma"/>
          <w:sz w:val="27"/>
          <w:rtl/>
          <w:lang w:bidi="fa-IR"/>
        </w:rPr>
        <w:t xml:space="preserve"> أن الرسالة لا تزال حبيسة الفرنسي</w:t>
      </w:r>
      <w:r w:rsidR="00A07D51" w:rsidRPr="00904FCB">
        <w:rPr>
          <w:rFonts w:ascii="Tahoma" w:hAnsi="Tahoma" w:hint="cs"/>
          <w:sz w:val="27"/>
          <w:rtl/>
          <w:lang w:bidi="fa-IR"/>
        </w:rPr>
        <w:t>ّ</w:t>
      </w:r>
      <w:r w:rsidRPr="00904FCB">
        <w:rPr>
          <w:rFonts w:ascii="Tahoma" w:hAnsi="Tahoma"/>
          <w:sz w:val="27"/>
          <w:rtl/>
          <w:lang w:bidi="fa-IR"/>
        </w:rPr>
        <w:t>ة لغة</w:t>
      </w:r>
      <w:r w:rsidR="00A07D51" w:rsidRPr="00904FCB">
        <w:rPr>
          <w:rFonts w:ascii="Tahoma" w:hAnsi="Tahoma" w:hint="cs"/>
          <w:sz w:val="27"/>
          <w:rtl/>
          <w:lang w:bidi="fa-IR"/>
        </w:rPr>
        <w:t>ً</w:t>
      </w:r>
      <w:r w:rsidRPr="00904FCB">
        <w:rPr>
          <w:rFonts w:ascii="Tahoma" w:hAnsi="Tahoma"/>
          <w:sz w:val="27"/>
          <w:rtl/>
          <w:lang w:bidi="fa-IR"/>
        </w:rPr>
        <w:t xml:space="preserve">، </w:t>
      </w:r>
      <w:r w:rsidRPr="00904FCB">
        <w:rPr>
          <w:rFonts w:ascii="Tahoma" w:hAnsi="Tahoma"/>
          <w:sz w:val="27"/>
          <w:rtl/>
          <w:lang w:bidi="fa-IR"/>
        </w:rPr>
        <w:lastRenderedPageBreak/>
        <w:t xml:space="preserve">ويندر وجودها في مكتبات العالم العربي.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وأهمية رسالة </w:t>
      </w:r>
      <w:r w:rsidRPr="00904FCB">
        <w:rPr>
          <w:rFonts w:hint="eastAsia"/>
          <w:sz w:val="27"/>
          <w:rtl/>
          <w:lang w:bidi="fa-IR"/>
        </w:rPr>
        <w:t>«</w:t>
      </w:r>
      <w:r w:rsidRPr="00904FCB">
        <w:rPr>
          <w:rFonts w:ascii="Tahoma" w:hAnsi="Tahoma"/>
          <w:sz w:val="27"/>
          <w:rtl/>
          <w:lang w:bidi="fa-IR"/>
        </w:rPr>
        <w:t>محمود فتحي</w:t>
      </w:r>
      <w:r w:rsidRPr="00904FCB">
        <w:rPr>
          <w:rFonts w:hint="eastAsia"/>
          <w:sz w:val="27"/>
          <w:rtl/>
        </w:rPr>
        <w:t>»</w:t>
      </w:r>
      <w:r w:rsidRPr="00904FCB">
        <w:rPr>
          <w:rFonts w:ascii="Tahoma" w:hAnsi="Tahoma"/>
          <w:sz w:val="27"/>
          <w:rtl/>
          <w:lang w:bidi="fa-IR"/>
        </w:rPr>
        <w:t xml:space="preserve"> تأتي من كونها دراسة في المقاصد على مستو</w:t>
      </w:r>
      <w:r w:rsidR="00A07D51" w:rsidRPr="00904FCB">
        <w:rPr>
          <w:rFonts w:ascii="Tahoma" w:hAnsi="Tahoma" w:hint="cs"/>
          <w:sz w:val="27"/>
          <w:rtl/>
          <w:lang w:bidi="fa-IR"/>
        </w:rPr>
        <w:t>ى</w:t>
      </w:r>
      <w:r w:rsidRPr="00904FCB">
        <w:rPr>
          <w:rFonts w:ascii="Tahoma" w:hAnsi="Tahoma"/>
          <w:sz w:val="27"/>
          <w:rtl/>
          <w:lang w:bidi="fa-IR"/>
        </w:rPr>
        <w:t xml:space="preserve"> التنظير والتطبيق</w:t>
      </w:r>
      <w:r w:rsidR="00A07D51" w:rsidRPr="00904FCB">
        <w:rPr>
          <w:rFonts w:ascii="Tahoma" w:hAnsi="Tahoma" w:hint="cs"/>
          <w:sz w:val="27"/>
          <w:rtl/>
          <w:lang w:bidi="fa-IR"/>
        </w:rPr>
        <w:t>.</w:t>
      </w:r>
      <w:r w:rsidRPr="00904FCB">
        <w:rPr>
          <w:rFonts w:ascii="Tahoma" w:hAnsi="Tahoma"/>
          <w:sz w:val="27"/>
          <w:rtl/>
          <w:lang w:bidi="fa-IR"/>
        </w:rPr>
        <w:t xml:space="preserve"> اعتمد بنيانها على قواعد المقاصد، وقد</w:t>
      </w:r>
      <w:r w:rsidR="00A07D51" w:rsidRPr="00904FCB">
        <w:rPr>
          <w:rFonts w:ascii="Tahoma" w:hAnsi="Tahoma" w:hint="cs"/>
          <w:sz w:val="27"/>
          <w:rtl/>
          <w:lang w:bidi="fa-IR"/>
        </w:rPr>
        <w:t>َّ</w:t>
      </w:r>
      <w:r w:rsidRPr="00904FCB">
        <w:rPr>
          <w:rFonts w:ascii="Tahoma" w:hAnsi="Tahoma"/>
          <w:sz w:val="27"/>
          <w:rtl/>
          <w:lang w:bidi="fa-IR"/>
        </w:rPr>
        <w:t xml:space="preserve">م صاحبها </w:t>
      </w:r>
      <w:r w:rsidRPr="00904FCB">
        <w:rPr>
          <w:rFonts w:hint="eastAsia"/>
          <w:sz w:val="27"/>
          <w:rtl/>
          <w:lang w:bidi="fa-IR"/>
        </w:rPr>
        <w:t>«</w:t>
      </w:r>
      <w:r w:rsidRPr="00904FCB">
        <w:rPr>
          <w:rFonts w:ascii="Tahoma" w:hAnsi="Tahoma"/>
          <w:sz w:val="27"/>
          <w:rtl/>
          <w:lang w:bidi="fa-IR"/>
        </w:rPr>
        <w:t>نظرية التعسف في استعمال الحقوق</w:t>
      </w:r>
      <w:r w:rsidRPr="00904FCB">
        <w:rPr>
          <w:rFonts w:hint="eastAsia"/>
          <w:sz w:val="27"/>
          <w:rtl/>
        </w:rPr>
        <w:t>»</w:t>
      </w:r>
      <w:r w:rsidRPr="00904FCB">
        <w:rPr>
          <w:rFonts w:ascii="Tahoma" w:hAnsi="Tahoma"/>
          <w:sz w:val="27"/>
          <w:rtl/>
          <w:lang w:bidi="fa-IR"/>
        </w:rPr>
        <w:t xml:space="preserve"> متكاملة الجوانب</w:t>
      </w:r>
      <w:r w:rsidR="00A07D51" w:rsidRPr="00904FCB">
        <w:rPr>
          <w:rFonts w:ascii="Tahoma" w:hAnsi="Tahoma" w:hint="cs"/>
          <w:sz w:val="27"/>
          <w:rtl/>
          <w:lang w:bidi="fa-IR"/>
        </w:rPr>
        <w:t>،</w:t>
      </w:r>
      <w:r w:rsidR="002C310E">
        <w:rPr>
          <w:rFonts w:ascii="Tahoma" w:hAnsi="Tahoma" w:hint="cs"/>
          <w:sz w:val="27"/>
          <w:rtl/>
          <w:lang w:bidi="fa-IR"/>
        </w:rPr>
        <w:t xml:space="preserve"> </w:t>
      </w:r>
      <w:r w:rsidRPr="00904FCB">
        <w:rPr>
          <w:rFonts w:ascii="Tahoma" w:hAnsi="Tahoma"/>
          <w:sz w:val="27"/>
          <w:rtl/>
          <w:lang w:bidi="fa-IR"/>
        </w:rPr>
        <w:t>واضحة الملامح والس</w:t>
      </w:r>
      <w:r w:rsidR="00A07D51" w:rsidRPr="00904FCB">
        <w:rPr>
          <w:rFonts w:ascii="Tahoma" w:hAnsi="Tahoma" w:hint="cs"/>
          <w:sz w:val="27"/>
          <w:rtl/>
          <w:lang w:bidi="fa-IR"/>
        </w:rPr>
        <w:t>ِّ</w:t>
      </w:r>
      <w:r w:rsidRPr="00904FCB">
        <w:rPr>
          <w:rFonts w:ascii="Tahoma" w:hAnsi="Tahoma"/>
          <w:sz w:val="27"/>
          <w:rtl/>
          <w:lang w:bidi="fa-IR"/>
        </w:rPr>
        <w:t>مات، بمجالاتها الواسعة التي تتحر</w:t>
      </w:r>
      <w:r w:rsidR="00A07D51" w:rsidRPr="00904FCB">
        <w:rPr>
          <w:rFonts w:ascii="Tahoma" w:hAnsi="Tahoma" w:hint="cs"/>
          <w:sz w:val="27"/>
          <w:rtl/>
          <w:lang w:bidi="fa-IR"/>
        </w:rPr>
        <w:t>ّ</w:t>
      </w:r>
      <w:r w:rsidRPr="00904FCB">
        <w:rPr>
          <w:rFonts w:ascii="Tahoma" w:hAnsi="Tahoma"/>
          <w:sz w:val="27"/>
          <w:rtl/>
          <w:lang w:bidi="fa-IR"/>
        </w:rPr>
        <w:t>ك عليها، وبما تنطوي عليه من أبعاد اجتماعية وأخلاقية، في وقت</w:t>
      </w:r>
      <w:r w:rsidR="00A07D51" w:rsidRPr="00904FCB">
        <w:rPr>
          <w:rFonts w:ascii="Tahoma" w:hAnsi="Tahoma" w:hint="cs"/>
          <w:sz w:val="27"/>
          <w:rtl/>
          <w:lang w:bidi="fa-IR"/>
        </w:rPr>
        <w:t>ٍ</w:t>
      </w:r>
      <w:r w:rsidRPr="00904FCB">
        <w:rPr>
          <w:rFonts w:ascii="Tahoma" w:hAnsi="Tahoma"/>
          <w:sz w:val="27"/>
          <w:rtl/>
          <w:lang w:bidi="fa-IR"/>
        </w:rPr>
        <w:t xml:space="preserve"> تحاول فيه نظرية التعس</w:t>
      </w:r>
      <w:r w:rsidR="00A07D51" w:rsidRPr="00904FCB">
        <w:rPr>
          <w:rFonts w:ascii="Tahoma" w:hAnsi="Tahoma" w:hint="cs"/>
          <w:sz w:val="27"/>
          <w:rtl/>
          <w:lang w:bidi="fa-IR"/>
        </w:rPr>
        <w:t>ُّ</w:t>
      </w:r>
      <w:r w:rsidRPr="00904FCB">
        <w:rPr>
          <w:rFonts w:ascii="Tahoma" w:hAnsi="Tahoma"/>
          <w:sz w:val="27"/>
          <w:rtl/>
          <w:lang w:bidi="fa-IR"/>
        </w:rPr>
        <w:t>ف أن تجد فرجة</w:t>
      </w:r>
      <w:r w:rsidR="00A07D51" w:rsidRPr="00904FCB">
        <w:rPr>
          <w:rFonts w:ascii="Tahoma" w:hAnsi="Tahoma" w:hint="cs"/>
          <w:sz w:val="27"/>
          <w:rtl/>
          <w:lang w:bidi="fa-IR"/>
        </w:rPr>
        <w:t>ً</w:t>
      </w:r>
      <w:r w:rsidRPr="00904FCB">
        <w:rPr>
          <w:rFonts w:ascii="Tahoma" w:hAnsi="Tahoma"/>
          <w:sz w:val="27"/>
          <w:rtl/>
          <w:lang w:bidi="fa-IR"/>
        </w:rPr>
        <w:t xml:space="preserve"> تنفذ منها إلى عالم الفكر القانوني الغربي، وقد شق</w:t>
      </w:r>
      <w:r w:rsidR="00A07D51" w:rsidRPr="00904FCB">
        <w:rPr>
          <w:rFonts w:ascii="Tahoma" w:hAnsi="Tahoma" w:hint="cs"/>
          <w:sz w:val="27"/>
          <w:rtl/>
          <w:lang w:bidi="fa-IR"/>
        </w:rPr>
        <w:t>َّ</w:t>
      </w:r>
      <w:r w:rsidRPr="00904FCB">
        <w:rPr>
          <w:rFonts w:ascii="Tahoma" w:hAnsi="Tahoma"/>
          <w:sz w:val="27"/>
          <w:rtl/>
          <w:lang w:bidi="fa-IR"/>
        </w:rPr>
        <w:t>ت</w:t>
      </w:r>
      <w:r w:rsidR="00A07D51" w:rsidRPr="00904FCB">
        <w:rPr>
          <w:rFonts w:ascii="Tahoma" w:hAnsi="Tahoma" w:hint="cs"/>
          <w:sz w:val="27"/>
          <w:rtl/>
          <w:lang w:bidi="fa-IR"/>
        </w:rPr>
        <w:t>ْ</w:t>
      </w:r>
      <w:r w:rsidRPr="00904FCB">
        <w:rPr>
          <w:rFonts w:ascii="Tahoma" w:hAnsi="Tahoma"/>
          <w:sz w:val="27"/>
          <w:rtl/>
          <w:lang w:bidi="fa-IR"/>
        </w:rPr>
        <w:t xml:space="preserve"> ـ كما قيل ـ طريقها بصعوبة</w:t>
      </w:r>
      <w:r w:rsidR="00A07D51" w:rsidRPr="00904FCB">
        <w:rPr>
          <w:rFonts w:ascii="Tahoma" w:hAnsi="Tahoma" w:hint="cs"/>
          <w:sz w:val="27"/>
          <w:rtl/>
          <w:lang w:bidi="fa-IR"/>
        </w:rPr>
        <w:t>ٍ</w:t>
      </w:r>
      <w:r w:rsidRPr="00904FCB">
        <w:rPr>
          <w:rFonts w:ascii="Tahoma" w:hAnsi="Tahoma"/>
          <w:sz w:val="27"/>
          <w:rtl/>
          <w:lang w:bidi="fa-IR"/>
        </w:rPr>
        <w:t>، وفي ات</w:t>
      </w:r>
      <w:r w:rsidR="00A07D51" w:rsidRPr="00904FCB">
        <w:rPr>
          <w:rFonts w:ascii="Tahoma" w:hAnsi="Tahoma" w:hint="cs"/>
          <w:sz w:val="27"/>
          <w:rtl/>
          <w:lang w:bidi="fa-IR"/>
        </w:rPr>
        <w:t>ّ</w:t>
      </w:r>
      <w:r w:rsidRPr="00904FCB">
        <w:rPr>
          <w:rFonts w:ascii="Tahoma" w:hAnsi="Tahoma"/>
          <w:sz w:val="27"/>
          <w:rtl/>
          <w:lang w:bidi="fa-IR"/>
        </w:rPr>
        <w:t xml:space="preserve">جاه معاكس لتيار النصوص القانونية، فلم تظهر في الفقه الفرنسي إلا باعتبارها بدعة قضائية. وانحصرت في أضيق مجال، رغم محاولات </w:t>
      </w:r>
      <w:r w:rsidRPr="00904FCB">
        <w:rPr>
          <w:rFonts w:hint="eastAsia"/>
          <w:sz w:val="27"/>
          <w:rtl/>
          <w:lang w:bidi="fa-IR"/>
        </w:rPr>
        <w:t>«</w:t>
      </w:r>
      <w:r w:rsidRPr="00904FCB">
        <w:rPr>
          <w:rFonts w:ascii="Tahoma" w:hAnsi="Tahoma"/>
          <w:sz w:val="27"/>
          <w:rtl/>
          <w:lang w:bidi="fa-IR"/>
        </w:rPr>
        <w:t>جوسران</w:t>
      </w:r>
      <w:r w:rsidRPr="00904FCB">
        <w:rPr>
          <w:rFonts w:hint="eastAsia"/>
          <w:sz w:val="27"/>
          <w:rtl/>
        </w:rPr>
        <w:t>»</w:t>
      </w:r>
      <w:r w:rsidRPr="00904FCB">
        <w:rPr>
          <w:rFonts w:ascii="Tahoma" w:hAnsi="Tahoma"/>
          <w:sz w:val="27"/>
          <w:rtl/>
          <w:lang w:bidi="fa-IR"/>
        </w:rPr>
        <w:t xml:space="preserve"> الرامية إلى توسعة نطاق النظرية، ومحاولة تعميم تطبيقاتها</w:t>
      </w:r>
      <w:r w:rsidR="00A07D51" w:rsidRPr="00904FCB">
        <w:rPr>
          <w:rFonts w:ascii="Tahoma" w:hAnsi="Tahoma" w:hint="cs"/>
          <w:sz w:val="27"/>
          <w:rtl/>
          <w:lang w:bidi="fa-IR"/>
        </w:rPr>
        <w:t>.</w:t>
      </w:r>
      <w:r w:rsidRPr="00904FCB">
        <w:rPr>
          <w:rFonts w:ascii="Tahoma" w:hAnsi="Tahoma"/>
          <w:sz w:val="27"/>
          <w:rtl/>
          <w:lang w:bidi="fa-IR"/>
        </w:rPr>
        <w:t xml:space="preserve"> وهي في الفقه ال</w:t>
      </w:r>
      <w:r w:rsidR="00A07D51" w:rsidRPr="00904FCB">
        <w:rPr>
          <w:rFonts w:ascii="Tahoma" w:hAnsi="Tahoma" w:hint="cs"/>
          <w:sz w:val="27"/>
          <w:rtl/>
          <w:lang w:bidi="fa-IR"/>
        </w:rPr>
        <w:t>إ</w:t>
      </w:r>
      <w:r w:rsidRPr="00904FCB">
        <w:rPr>
          <w:rFonts w:ascii="Tahoma" w:hAnsi="Tahoma"/>
          <w:sz w:val="27"/>
          <w:rtl/>
          <w:lang w:bidi="fa-IR"/>
        </w:rPr>
        <w:t>سلامي مبني</w:t>
      </w:r>
      <w:r w:rsidR="00A07D51" w:rsidRPr="00904FCB">
        <w:rPr>
          <w:rFonts w:ascii="Tahoma" w:hAnsi="Tahoma" w:hint="cs"/>
          <w:sz w:val="27"/>
          <w:rtl/>
          <w:lang w:bidi="fa-IR"/>
        </w:rPr>
        <w:t>ّ</w:t>
      </w:r>
      <w:r w:rsidRPr="00904FCB">
        <w:rPr>
          <w:rFonts w:ascii="Tahoma" w:hAnsi="Tahoma"/>
          <w:sz w:val="27"/>
          <w:rtl/>
          <w:lang w:bidi="fa-IR"/>
        </w:rPr>
        <w:t xml:space="preserve">ة على النصوص، ومقاصد الشارع معتبرة فيها في المقام الأول، </w:t>
      </w:r>
      <w:r w:rsidR="00A07D51" w:rsidRPr="00904FCB">
        <w:rPr>
          <w:rFonts w:ascii="Tahoma" w:hAnsi="Tahoma" w:hint="cs"/>
          <w:sz w:val="27"/>
          <w:rtl/>
          <w:lang w:bidi="fa-IR"/>
        </w:rPr>
        <w:t>وهي</w:t>
      </w:r>
      <w:r w:rsidRPr="00904FCB">
        <w:rPr>
          <w:rFonts w:ascii="Tahoma" w:hAnsi="Tahoma"/>
          <w:sz w:val="27"/>
          <w:rtl/>
          <w:lang w:bidi="fa-IR"/>
        </w:rPr>
        <w:t xml:space="preserve"> تتناول جميع الأفعال التي يصدق أنها استعمال لحقوق، ولا يوجد ـ كما يقول بحق</w:t>
      </w:r>
      <w:r w:rsidR="00A07D51" w:rsidRPr="00904FCB">
        <w:rPr>
          <w:rFonts w:ascii="Tahoma" w:hAnsi="Tahoma" w:hint="cs"/>
          <w:sz w:val="27"/>
          <w:rtl/>
          <w:lang w:bidi="fa-IR"/>
        </w:rPr>
        <w:t>ٍّ</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سعيد الزهاوي</w:t>
      </w:r>
      <w:r w:rsidRPr="00904FCB">
        <w:rPr>
          <w:rFonts w:hint="eastAsia"/>
          <w:sz w:val="27"/>
          <w:rtl/>
        </w:rPr>
        <w:t>»</w:t>
      </w:r>
      <w:r w:rsidRPr="00904FCB">
        <w:rPr>
          <w:rFonts w:ascii="Tahoma" w:hAnsi="Tahoma"/>
          <w:sz w:val="27"/>
          <w:rtl/>
          <w:lang w:bidi="fa-IR"/>
        </w:rPr>
        <w:t xml:space="preserve"> ـ حق</w:t>
      </w:r>
      <w:r w:rsidR="00A07D51" w:rsidRPr="00904FCB">
        <w:rPr>
          <w:rFonts w:ascii="Tahoma" w:hAnsi="Tahoma" w:hint="cs"/>
          <w:sz w:val="27"/>
          <w:rtl/>
          <w:lang w:bidi="fa-IR"/>
        </w:rPr>
        <w:t>ٌّ</w:t>
      </w:r>
      <w:r w:rsidRPr="00904FCB">
        <w:rPr>
          <w:rFonts w:ascii="Tahoma" w:hAnsi="Tahoma"/>
          <w:sz w:val="27"/>
          <w:rtl/>
          <w:lang w:bidi="fa-IR"/>
        </w:rPr>
        <w:t xml:space="preserve"> مطلق في الشريعة، فلا حد</w:t>
      </w:r>
      <w:r w:rsidR="00A07D51" w:rsidRPr="00904FCB">
        <w:rPr>
          <w:rFonts w:ascii="Tahoma" w:hAnsi="Tahoma" w:hint="cs"/>
          <w:sz w:val="27"/>
          <w:rtl/>
          <w:lang w:bidi="fa-IR"/>
        </w:rPr>
        <w:t>ّ</w:t>
      </w:r>
      <w:r w:rsidRPr="00904FCB">
        <w:rPr>
          <w:rFonts w:ascii="Tahoma" w:hAnsi="Tahoma"/>
          <w:sz w:val="27"/>
          <w:rtl/>
          <w:lang w:bidi="fa-IR"/>
        </w:rPr>
        <w:t xml:space="preserve"> لات</w:t>
      </w:r>
      <w:r w:rsidR="00A07D51" w:rsidRPr="00904FCB">
        <w:rPr>
          <w:rFonts w:ascii="Tahoma" w:hAnsi="Tahoma" w:hint="cs"/>
          <w:sz w:val="27"/>
          <w:rtl/>
          <w:lang w:bidi="fa-IR"/>
        </w:rPr>
        <w:t>ّ</w:t>
      </w:r>
      <w:r w:rsidRPr="00904FCB">
        <w:rPr>
          <w:rFonts w:ascii="Tahoma" w:hAnsi="Tahoma"/>
          <w:sz w:val="27"/>
          <w:rtl/>
          <w:lang w:bidi="fa-IR"/>
        </w:rPr>
        <w:t>ساع النظرية في الفقه ال</w:t>
      </w:r>
      <w:r w:rsidR="00A07D51" w:rsidRPr="00904FCB">
        <w:rPr>
          <w:rFonts w:ascii="Tahoma" w:hAnsi="Tahoma" w:hint="cs"/>
          <w:sz w:val="27"/>
          <w:rtl/>
          <w:lang w:bidi="fa-IR"/>
        </w:rPr>
        <w:t>إ</w:t>
      </w:r>
      <w:r w:rsidRPr="00904FCB">
        <w:rPr>
          <w:rFonts w:ascii="Tahoma" w:hAnsi="Tahoma"/>
          <w:sz w:val="27"/>
          <w:rtl/>
          <w:lang w:bidi="fa-IR"/>
        </w:rPr>
        <w:t xml:space="preserve">سلامي.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الثاني</w:t>
      </w:r>
      <w:r w:rsidRPr="00904FCB">
        <w:rPr>
          <w:rFonts w:ascii="Tahoma" w:hAnsi="Tahoma"/>
          <w:sz w:val="27"/>
          <w:rtl/>
          <w:lang w:bidi="fa-IR"/>
        </w:rPr>
        <w:t>: حضور الفقه ال</w:t>
      </w:r>
      <w:r w:rsidR="00A07D51" w:rsidRPr="00904FCB">
        <w:rPr>
          <w:rFonts w:ascii="Tahoma" w:hAnsi="Tahoma" w:hint="cs"/>
          <w:sz w:val="27"/>
          <w:rtl/>
          <w:lang w:bidi="fa-IR"/>
        </w:rPr>
        <w:t>إ</w:t>
      </w:r>
      <w:r w:rsidR="00CA1FED" w:rsidRPr="00904FCB">
        <w:rPr>
          <w:rFonts w:ascii="Tahoma" w:hAnsi="Tahoma"/>
          <w:sz w:val="27"/>
          <w:rtl/>
          <w:lang w:bidi="fa-IR"/>
        </w:rPr>
        <w:t>سلامي في معاهد القانون العالمية</w:t>
      </w:r>
      <w:r w:rsidRPr="00904FCB">
        <w:rPr>
          <w:rFonts w:ascii="Tahoma" w:hAnsi="Tahoma"/>
          <w:sz w:val="27"/>
          <w:rtl/>
          <w:lang w:bidi="fa-IR"/>
        </w:rPr>
        <w:t>، في جدلية فرضت الفقه المقارن في كثير</w:t>
      </w:r>
      <w:r w:rsidR="0063145A" w:rsidRPr="00904FCB">
        <w:rPr>
          <w:rFonts w:ascii="Tahoma" w:hAnsi="Tahoma" w:hint="cs"/>
          <w:sz w:val="27"/>
          <w:rtl/>
          <w:lang w:bidi="fa-IR"/>
        </w:rPr>
        <w:t>ٍ</w:t>
      </w:r>
      <w:r w:rsidRPr="00904FCB">
        <w:rPr>
          <w:rFonts w:ascii="Tahoma" w:hAnsi="Tahoma"/>
          <w:sz w:val="27"/>
          <w:rtl/>
          <w:lang w:bidi="fa-IR"/>
        </w:rPr>
        <w:t xml:space="preserve"> من قاعات الدرس، ودراسات الباحثين</w:t>
      </w:r>
      <w:r w:rsidR="0063145A" w:rsidRPr="00904FCB">
        <w:rPr>
          <w:rFonts w:ascii="Tahoma" w:hAnsi="Tahoma" w:hint="cs"/>
          <w:sz w:val="27"/>
          <w:rtl/>
          <w:lang w:bidi="fa-IR"/>
        </w:rPr>
        <w:t>.</w:t>
      </w:r>
      <w:r w:rsidRPr="00904FCB">
        <w:rPr>
          <w:rFonts w:ascii="Tahoma" w:hAnsi="Tahoma"/>
          <w:sz w:val="27"/>
          <w:rtl/>
          <w:lang w:bidi="fa-IR"/>
        </w:rPr>
        <w:t xml:space="preserve"> وبدا الفقه ال</w:t>
      </w:r>
      <w:r w:rsidR="0063145A" w:rsidRPr="00904FCB">
        <w:rPr>
          <w:rFonts w:ascii="Tahoma" w:hAnsi="Tahoma" w:hint="cs"/>
          <w:sz w:val="27"/>
          <w:rtl/>
          <w:lang w:bidi="fa-IR"/>
        </w:rPr>
        <w:t>إ</w:t>
      </w:r>
      <w:r w:rsidRPr="00904FCB">
        <w:rPr>
          <w:rFonts w:ascii="Tahoma" w:hAnsi="Tahoma"/>
          <w:sz w:val="27"/>
          <w:rtl/>
          <w:lang w:bidi="fa-IR"/>
        </w:rPr>
        <w:t>سلامي أكثر ثراء</w:t>
      </w:r>
      <w:r w:rsidR="0063145A" w:rsidRPr="00904FCB">
        <w:rPr>
          <w:rFonts w:ascii="Tahoma" w:hAnsi="Tahoma" w:hint="cs"/>
          <w:sz w:val="27"/>
          <w:rtl/>
          <w:lang w:bidi="fa-IR"/>
        </w:rPr>
        <w:t>ً</w:t>
      </w:r>
      <w:r w:rsidRPr="00904FCB">
        <w:rPr>
          <w:rFonts w:ascii="Tahoma" w:hAnsi="Tahoma"/>
          <w:sz w:val="27"/>
          <w:rtl/>
          <w:lang w:bidi="fa-IR"/>
        </w:rPr>
        <w:t xml:space="preserve"> وتقد</w:t>
      </w:r>
      <w:r w:rsidR="0063145A" w:rsidRPr="00904FCB">
        <w:rPr>
          <w:rFonts w:ascii="Tahoma" w:hAnsi="Tahoma" w:hint="cs"/>
          <w:sz w:val="27"/>
          <w:rtl/>
          <w:lang w:bidi="fa-IR"/>
        </w:rPr>
        <w:t>ُّ</w:t>
      </w:r>
      <w:r w:rsidRPr="00904FCB">
        <w:rPr>
          <w:rFonts w:ascii="Tahoma" w:hAnsi="Tahoma"/>
          <w:sz w:val="27"/>
          <w:rtl/>
          <w:lang w:bidi="fa-IR"/>
        </w:rPr>
        <w:t>ما</w:t>
      </w:r>
      <w:r w:rsidR="0063145A" w:rsidRPr="00904FCB">
        <w:rPr>
          <w:rFonts w:ascii="Tahoma" w:hAnsi="Tahoma" w:hint="cs"/>
          <w:sz w:val="27"/>
          <w:rtl/>
          <w:lang w:bidi="fa-IR"/>
        </w:rPr>
        <w:t>ً</w:t>
      </w:r>
      <w:r w:rsidRPr="00904FCB">
        <w:rPr>
          <w:rFonts w:ascii="Tahoma" w:hAnsi="Tahoma"/>
          <w:sz w:val="27"/>
          <w:rtl/>
          <w:lang w:bidi="fa-IR"/>
        </w:rPr>
        <w:t xml:space="preserve"> مم</w:t>
      </w:r>
      <w:r w:rsidR="0063145A" w:rsidRPr="00904FCB">
        <w:rPr>
          <w:rFonts w:ascii="Tahoma" w:hAnsi="Tahoma" w:hint="cs"/>
          <w:sz w:val="27"/>
          <w:rtl/>
          <w:lang w:bidi="fa-IR"/>
        </w:rPr>
        <w:t>ّ</w:t>
      </w:r>
      <w:r w:rsidRPr="00904FCB">
        <w:rPr>
          <w:rFonts w:ascii="Tahoma" w:hAnsi="Tahoma"/>
          <w:sz w:val="27"/>
          <w:rtl/>
          <w:lang w:bidi="fa-IR"/>
        </w:rPr>
        <w:t>ا يظن</w:t>
      </w:r>
      <w:r w:rsidR="0063145A" w:rsidRPr="00904FCB">
        <w:rPr>
          <w:rFonts w:ascii="Tahoma" w:hAnsi="Tahoma" w:hint="cs"/>
          <w:sz w:val="27"/>
          <w:rtl/>
          <w:lang w:bidi="fa-IR"/>
        </w:rPr>
        <w:t>ّ</w:t>
      </w:r>
      <w:r w:rsidRPr="00904FCB">
        <w:rPr>
          <w:rFonts w:ascii="Tahoma" w:hAnsi="Tahoma"/>
          <w:sz w:val="27"/>
          <w:rtl/>
          <w:lang w:bidi="fa-IR"/>
        </w:rPr>
        <w:t>ه أصحابه، ومن خلال مناهج تت</w:t>
      </w:r>
      <w:r w:rsidR="0063145A" w:rsidRPr="00904FCB">
        <w:rPr>
          <w:rFonts w:ascii="Tahoma" w:hAnsi="Tahoma" w:hint="cs"/>
          <w:sz w:val="27"/>
          <w:rtl/>
          <w:lang w:bidi="fa-IR"/>
        </w:rPr>
        <w:t>ّ</w:t>
      </w:r>
      <w:r w:rsidRPr="00904FCB">
        <w:rPr>
          <w:rFonts w:ascii="Tahoma" w:hAnsi="Tahoma"/>
          <w:sz w:val="27"/>
          <w:rtl/>
          <w:lang w:bidi="fa-IR"/>
        </w:rPr>
        <w:t>سم بالعمق والجدة، فاستعيدت ثقة</w:t>
      </w:r>
      <w:r w:rsidR="0063145A" w:rsidRPr="00904FCB">
        <w:rPr>
          <w:rFonts w:ascii="Tahoma" w:hAnsi="Tahoma" w:hint="cs"/>
          <w:sz w:val="27"/>
          <w:rtl/>
          <w:lang w:bidi="fa-IR"/>
        </w:rPr>
        <w:t>ٌ</w:t>
      </w:r>
      <w:r w:rsidRPr="00904FCB">
        <w:rPr>
          <w:rFonts w:ascii="Tahoma" w:hAnsi="Tahoma"/>
          <w:sz w:val="27"/>
          <w:rtl/>
          <w:lang w:bidi="fa-IR"/>
        </w:rPr>
        <w:t xml:space="preserve"> كانت مفقودة، وأسفرت أصالة ظل</w:t>
      </w:r>
      <w:r w:rsidR="0063145A" w:rsidRPr="00904FCB">
        <w:rPr>
          <w:rFonts w:ascii="Tahoma" w:hAnsi="Tahoma" w:hint="cs"/>
          <w:sz w:val="27"/>
          <w:rtl/>
          <w:lang w:bidi="fa-IR"/>
        </w:rPr>
        <w:t>َّ</w:t>
      </w:r>
      <w:r w:rsidRPr="00904FCB">
        <w:rPr>
          <w:rFonts w:ascii="Tahoma" w:hAnsi="Tahoma"/>
          <w:sz w:val="27"/>
          <w:rtl/>
          <w:lang w:bidi="fa-IR"/>
        </w:rPr>
        <w:t>ت</w:t>
      </w:r>
      <w:r w:rsidR="0063145A" w:rsidRPr="00904FCB">
        <w:rPr>
          <w:rFonts w:ascii="Tahoma" w:hAnsi="Tahoma" w:hint="cs"/>
          <w:sz w:val="27"/>
          <w:rtl/>
          <w:lang w:bidi="fa-IR"/>
        </w:rPr>
        <w:t>ْ</w:t>
      </w:r>
      <w:r w:rsidRPr="00904FCB">
        <w:rPr>
          <w:rFonts w:ascii="Tahoma" w:hAnsi="Tahoma"/>
          <w:sz w:val="27"/>
          <w:rtl/>
          <w:lang w:bidi="fa-IR"/>
        </w:rPr>
        <w:t xml:space="preserve"> محتجبة</w:t>
      </w:r>
      <w:r w:rsidR="0063145A" w:rsidRPr="00904FCB">
        <w:rPr>
          <w:rFonts w:ascii="Tahoma" w:hAnsi="Tahoma" w:hint="cs"/>
          <w:sz w:val="27"/>
          <w:rtl/>
          <w:lang w:bidi="fa-IR"/>
        </w:rPr>
        <w:t>.</w:t>
      </w:r>
      <w:r w:rsidRPr="00904FCB">
        <w:rPr>
          <w:rFonts w:ascii="Tahoma" w:hAnsi="Tahoma"/>
          <w:sz w:val="27"/>
          <w:rtl/>
          <w:lang w:bidi="fa-IR"/>
        </w:rPr>
        <w:t xml:space="preserve"> فكان وجود هؤلاء الفتية النابهين ـ من </w:t>
      </w:r>
      <w:r w:rsidR="0063145A" w:rsidRPr="00904FCB">
        <w:rPr>
          <w:rFonts w:ascii="Tahoma" w:hAnsi="Tahoma" w:hint="cs"/>
          <w:sz w:val="27"/>
          <w:rtl/>
          <w:lang w:bidi="fa-IR"/>
        </w:rPr>
        <w:t>أ</w:t>
      </w:r>
      <w:r w:rsidRPr="00904FCB">
        <w:rPr>
          <w:rFonts w:ascii="Tahoma" w:hAnsi="Tahoma"/>
          <w:sz w:val="27"/>
          <w:rtl/>
          <w:lang w:bidi="fa-IR"/>
        </w:rPr>
        <w:t xml:space="preserve">بنائنا الذي ارتحلوا من </w:t>
      </w:r>
      <w:r w:rsidR="0063145A" w:rsidRPr="00904FCB">
        <w:rPr>
          <w:rFonts w:ascii="Tahoma" w:hAnsi="Tahoma" w:hint="cs"/>
          <w:sz w:val="27"/>
          <w:rtl/>
          <w:lang w:bidi="fa-IR"/>
        </w:rPr>
        <w:t>أ</w:t>
      </w:r>
      <w:r w:rsidRPr="00904FCB">
        <w:rPr>
          <w:rFonts w:ascii="Tahoma" w:hAnsi="Tahoma"/>
          <w:sz w:val="27"/>
          <w:rtl/>
          <w:lang w:bidi="fa-IR"/>
        </w:rPr>
        <w:t>جل العلم</w:t>
      </w:r>
      <w:r w:rsidR="0063145A" w:rsidRPr="00904FCB">
        <w:rPr>
          <w:rFonts w:ascii="Tahoma" w:hAnsi="Tahoma" w:hint="cs"/>
          <w:sz w:val="27"/>
          <w:rtl/>
          <w:lang w:bidi="fa-IR"/>
        </w:rPr>
        <w:t>،</w:t>
      </w:r>
      <w:r w:rsidRPr="00904FCB">
        <w:rPr>
          <w:rFonts w:ascii="Tahoma" w:hAnsi="Tahoma"/>
          <w:sz w:val="27"/>
          <w:rtl/>
          <w:lang w:bidi="fa-IR"/>
        </w:rPr>
        <w:t xml:space="preserve"> وبه عادواـ </w:t>
      </w:r>
      <w:r w:rsidR="0063145A" w:rsidRPr="00904FCB">
        <w:rPr>
          <w:rFonts w:ascii="Tahoma" w:hAnsi="Tahoma" w:hint="cs"/>
          <w:sz w:val="27"/>
          <w:rtl/>
          <w:lang w:bidi="fa-IR"/>
        </w:rPr>
        <w:t>إ</w:t>
      </w:r>
      <w:r w:rsidRPr="00904FCB">
        <w:rPr>
          <w:rFonts w:ascii="Tahoma" w:hAnsi="Tahoma"/>
          <w:sz w:val="27"/>
          <w:rtl/>
          <w:lang w:bidi="fa-IR"/>
        </w:rPr>
        <w:t>يذانا</w:t>
      </w:r>
      <w:r w:rsidR="0063145A" w:rsidRPr="00904FCB">
        <w:rPr>
          <w:rFonts w:ascii="Tahoma" w:hAnsi="Tahoma" w:hint="cs"/>
          <w:sz w:val="27"/>
          <w:rtl/>
          <w:lang w:bidi="fa-IR"/>
        </w:rPr>
        <w:t>ً</w:t>
      </w:r>
      <w:r w:rsidRPr="00904FCB">
        <w:rPr>
          <w:rFonts w:ascii="Tahoma" w:hAnsi="Tahoma"/>
          <w:sz w:val="27"/>
          <w:rtl/>
          <w:lang w:bidi="fa-IR"/>
        </w:rPr>
        <w:t xml:space="preserve"> بانتصار القلم على السيف، وكانت عودتهم بداية نهضة في دراسة الشريعة والقانون طال انتظارها</w:t>
      </w:r>
      <w:r w:rsidR="0063145A" w:rsidRPr="00904FCB">
        <w:rPr>
          <w:rFonts w:ascii="Tahoma" w:hAnsi="Tahoma" w:hint="cs"/>
          <w:sz w:val="27"/>
          <w:rtl/>
          <w:lang w:bidi="fa-IR"/>
        </w:rPr>
        <w:t>.</w:t>
      </w:r>
      <w:r w:rsidRPr="00904FCB">
        <w:rPr>
          <w:rFonts w:ascii="Tahoma" w:hAnsi="Tahoma"/>
          <w:sz w:val="27"/>
          <w:rtl/>
          <w:lang w:bidi="fa-IR"/>
        </w:rPr>
        <w:t xml:space="preserve"> وتدف</w:t>
      </w:r>
      <w:r w:rsidR="0063145A" w:rsidRPr="00904FCB">
        <w:rPr>
          <w:rFonts w:ascii="Tahoma" w:hAnsi="Tahoma" w:hint="cs"/>
          <w:sz w:val="27"/>
          <w:rtl/>
          <w:lang w:bidi="fa-IR"/>
        </w:rPr>
        <w:t>َّ</w:t>
      </w:r>
      <w:r w:rsidRPr="00904FCB">
        <w:rPr>
          <w:rFonts w:ascii="Tahoma" w:hAnsi="Tahoma"/>
          <w:sz w:val="27"/>
          <w:rtl/>
          <w:lang w:bidi="fa-IR"/>
        </w:rPr>
        <w:t>ق</w:t>
      </w:r>
      <w:r w:rsidR="0063145A" w:rsidRPr="00904FCB">
        <w:rPr>
          <w:rFonts w:ascii="Tahoma" w:hAnsi="Tahoma" w:hint="cs"/>
          <w:sz w:val="27"/>
          <w:rtl/>
          <w:lang w:bidi="fa-IR"/>
        </w:rPr>
        <w:t>َ</w:t>
      </w:r>
      <w:r w:rsidRPr="00904FCB">
        <w:rPr>
          <w:rFonts w:ascii="Tahoma" w:hAnsi="Tahoma"/>
          <w:sz w:val="27"/>
          <w:rtl/>
          <w:lang w:bidi="fa-IR"/>
        </w:rPr>
        <w:t>ت</w:t>
      </w:r>
      <w:r w:rsidR="0063145A" w:rsidRPr="00904FCB">
        <w:rPr>
          <w:rFonts w:ascii="Tahoma" w:hAnsi="Tahoma" w:hint="cs"/>
          <w:sz w:val="27"/>
          <w:rtl/>
          <w:lang w:bidi="fa-IR"/>
        </w:rPr>
        <w:t>ْ</w:t>
      </w:r>
      <w:r w:rsidRPr="00904FCB">
        <w:rPr>
          <w:rFonts w:ascii="Tahoma" w:hAnsi="Tahoma"/>
          <w:sz w:val="27"/>
          <w:rtl/>
          <w:lang w:bidi="fa-IR"/>
        </w:rPr>
        <w:t xml:space="preserve"> في هذه الحقبة </w:t>
      </w:r>
      <w:r w:rsidR="0063145A" w:rsidRPr="00904FCB">
        <w:rPr>
          <w:rFonts w:ascii="Tahoma" w:hAnsi="Tahoma" w:hint="cs"/>
          <w:sz w:val="27"/>
          <w:rtl/>
          <w:lang w:bidi="fa-IR"/>
        </w:rPr>
        <w:t>أ</w:t>
      </w:r>
      <w:r w:rsidRPr="00904FCB">
        <w:rPr>
          <w:rFonts w:ascii="Tahoma" w:hAnsi="Tahoma"/>
          <w:sz w:val="27"/>
          <w:rtl/>
          <w:lang w:bidi="fa-IR"/>
        </w:rPr>
        <w:t xml:space="preserve">عمال </w:t>
      </w:r>
      <w:r w:rsidRPr="00904FCB">
        <w:rPr>
          <w:rFonts w:hint="eastAsia"/>
          <w:sz w:val="27"/>
          <w:rtl/>
          <w:lang w:bidi="fa-IR"/>
        </w:rPr>
        <w:t>«</w:t>
      </w:r>
      <w:r w:rsidRPr="00904FCB">
        <w:rPr>
          <w:rFonts w:ascii="Tahoma" w:hAnsi="Tahoma"/>
          <w:sz w:val="27"/>
          <w:rtl/>
          <w:lang w:bidi="fa-IR"/>
        </w:rPr>
        <w:t>محمد صادق فهمي</w:t>
      </w:r>
      <w:r w:rsidRPr="00904FCB">
        <w:rPr>
          <w:rFonts w:hint="eastAsia"/>
          <w:sz w:val="27"/>
          <w:rtl/>
        </w:rPr>
        <w:t>»</w:t>
      </w:r>
      <w:r w:rsidRPr="00904FCB">
        <w:rPr>
          <w:rFonts w:ascii="Tahoma" w:hAnsi="Tahoma"/>
          <w:sz w:val="27"/>
          <w:rtl/>
          <w:lang w:bidi="fa-IR"/>
        </w:rPr>
        <w:t>، و«عبد السلام ذهني، و«عبد الرازق السنهوري</w:t>
      </w:r>
      <w:r w:rsidRPr="00904FCB">
        <w:rPr>
          <w:rFonts w:hint="eastAsia"/>
          <w:sz w:val="27"/>
          <w:rtl/>
        </w:rPr>
        <w:t>»</w:t>
      </w:r>
      <w:r w:rsidRPr="00904FCB">
        <w:rPr>
          <w:rFonts w:ascii="Tahoma" w:hAnsi="Tahoma"/>
          <w:sz w:val="27"/>
          <w:rtl/>
          <w:lang w:bidi="fa-IR"/>
        </w:rPr>
        <w:t>، و«محمد عبد الجواد</w:t>
      </w:r>
      <w:r w:rsidRPr="00904FCB">
        <w:rPr>
          <w:rFonts w:hint="eastAsia"/>
          <w:sz w:val="27"/>
          <w:rtl/>
        </w:rPr>
        <w:t>»</w:t>
      </w:r>
      <w:r w:rsidRPr="00904FCB">
        <w:rPr>
          <w:rFonts w:ascii="Tahoma" w:hAnsi="Tahoma"/>
          <w:sz w:val="27"/>
          <w:rtl/>
          <w:lang w:bidi="fa-IR"/>
        </w:rPr>
        <w:t>، و«محمد فؤاد مهن</w:t>
      </w:r>
      <w:r w:rsidR="0063145A" w:rsidRPr="00904FCB">
        <w:rPr>
          <w:rFonts w:ascii="Tahoma" w:hAnsi="Tahoma" w:hint="cs"/>
          <w:sz w:val="27"/>
          <w:rtl/>
          <w:lang w:bidi="fa-IR"/>
        </w:rPr>
        <w:t>ّ</w:t>
      </w:r>
      <w:r w:rsidRPr="00904FCB">
        <w:rPr>
          <w:rFonts w:ascii="Tahoma" w:hAnsi="Tahoma"/>
          <w:sz w:val="27"/>
          <w:rtl/>
          <w:lang w:bidi="fa-IR"/>
        </w:rPr>
        <w:t>ا</w:t>
      </w:r>
      <w:r w:rsidRPr="00904FCB">
        <w:rPr>
          <w:rFonts w:hint="eastAsia"/>
          <w:sz w:val="27"/>
          <w:rtl/>
        </w:rPr>
        <w:t>»</w:t>
      </w:r>
      <w:r w:rsidR="0063145A" w:rsidRPr="00904FCB">
        <w:rPr>
          <w:rFonts w:ascii="Tahoma" w:hAnsi="Tahoma" w:hint="cs"/>
          <w:sz w:val="27"/>
          <w:rtl/>
          <w:lang w:bidi="fa-IR"/>
        </w:rPr>
        <w:t>.</w:t>
      </w:r>
      <w:r w:rsidRPr="00904FCB">
        <w:rPr>
          <w:rFonts w:ascii="Tahoma" w:hAnsi="Tahoma"/>
          <w:sz w:val="27"/>
          <w:rtl/>
          <w:lang w:bidi="fa-IR"/>
        </w:rPr>
        <w:t xml:space="preserve"> وفي </w:t>
      </w:r>
      <w:r w:rsidR="0063145A" w:rsidRPr="00904FCB">
        <w:rPr>
          <w:rFonts w:ascii="Tahoma" w:hAnsi="Tahoma" w:hint="cs"/>
          <w:sz w:val="27"/>
          <w:rtl/>
          <w:lang w:bidi="fa-IR"/>
        </w:rPr>
        <w:t>أ</w:t>
      </w:r>
      <w:r w:rsidRPr="00904FCB">
        <w:rPr>
          <w:rFonts w:ascii="Tahoma" w:hAnsi="Tahoma"/>
          <w:sz w:val="27"/>
          <w:rtl/>
          <w:lang w:bidi="fa-IR"/>
        </w:rPr>
        <w:t>عمال كل</w:t>
      </w:r>
      <w:r w:rsidR="0063145A" w:rsidRPr="00904FCB">
        <w:rPr>
          <w:rFonts w:ascii="Tahoma" w:hAnsi="Tahoma" w:hint="cs"/>
          <w:sz w:val="27"/>
          <w:rtl/>
          <w:lang w:bidi="fa-IR"/>
        </w:rPr>
        <w:t>ّ</w:t>
      </w:r>
      <w:r w:rsidRPr="00904FCB">
        <w:rPr>
          <w:rFonts w:ascii="Tahoma" w:hAnsi="Tahoma"/>
          <w:sz w:val="27"/>
          <w:rtl/>
          <w:lang w:bidi="fa-IR"/>
        </w:rPr>
        <w:t xml:space="preserve"> واحد</w:t>
      </w:r>
      <w:r w:rsidR="0063145A" w:rsidRPr="00904FCB">
        <w:rPr>
          <w:rFonts w:ascii="Tahoma" w:hAnsi="Tahoma" w:hint="cs"/>
          <w:sz w:val="27"/>
          <w:rtl/>
          <w:lang w:bidi="fa-IR"/>
        </w:rPr>
        <w:t>ٍ</w:t>
      </w:r>
      <w:r w:rsidRPr="00904FCB">
        <w:rPr>
          <w:rFonts w:ascii="Tahoma" w:hAnsi="Tahoma"/>
          <w:sz w:val="27"/>
          <w:rtl/>
          <w:lang w:bidi="fa-IR"/>
        </w:rPr>
        <w:t xml:space="preserve"> منهم اجتهادات تلاحمت فيها مقاصد الشريعة مع ات</w:t>
      </w:r>
      <w:r w:rsidR="0063145A" w:rsidRPr="00904FCB">
        <w:rPr>
          <w:rFonts w:ascii="Tahoma" w:hAnsi="Tahoma" w:hint="cs"/>
          <w:sz w:val="27"/>
          <w:rtl/>
          <w:lang w:bidi="fa-IR"/>
        </w:rPr>
        <w:t>ّ</w:t>
      </w:r>
      <w:r w:rsidRPr="00904FCB">
        <w:rPr>
          <w:rFonts w:ascii="Tahoma" w:hAnsi="Tahoma"/>
          <w:sz w:val="27"/>
          <w:rtl/>
          <w:lang w:bidi="fa-IR"/>
        </w:rPr>
        <w:t>جاهات حديثة في القانون المقارن، وهي لا تزال تتوه</w:t>
      </w:r>
      <w:r w:rsidR="0063145A" w:rsidRPr="00904FCB">
        <w:rPr>
          <w:rFonts w:ascii="Tahoma" w:hAnsi="Tahoma" w:hint="cs"/>
          <w:sz w:val="27"/>
          <w:rtl/>
          <w:lang w:bidi="fa-IR"/>
        </w:rPr>
        <w:t>َّ</w:t>
      </w:r>
      <w:r w:rsidRPr="00904FCB">
        <w:rPr>
          <w:rFonts w:ascii="Tahoma" w:hAnsi="Tahoma"/>
          <w:sz w:val="27"/>
          <w:rtl/>
          <w:lang w:bidi="fa-IR"/>
        </w:rPr>
        <w:t>ج كل</w:t>
      </w:r>
      <w:r w:rsidR="0063145A" w:rsidRPr="00904FCB">
        <w:rPr>
          <w:rFonts w:ascii="Tahoma" w:hAnsi="Tahoma" w:hint="cs"/>
          <w:sz w:val="27"/>
          <w:rtl/>
          <w:lang w:bidi="fa-IR"/>
        </w:rPr>
        <w:t>ّ</w:t>
      </w:r>
      <w:r w:rsidRPr="00904FCB">
        <w:rPr>
          <w:rFonts w:ascii="Tahoma" w:hAnsi="Tahoma"/>
          <w:sz w:val="27"/>
          <w:rtl/>
          <w:lang w:bidi="fa-IR"/>
        </w:rPr>
        <w:t>ما صافحتها يد</w:t>
      </w:r>
      <w:r w:rsidR="0063145A" w:rsidRPr="00904FCB">
        <w:rPr>
          <w:rFonts w:ascii="Tahoma" w:hAnsi="Tahoma" w:hint="cs"/>
          <w:sz w:val="27"/>
          <w:rtl/>
          <w:lang w:bidi="fa-IR"/>
        </w:rPr>
        <w:t>ٌ</w:t>
      </w:r>
      <w:r w:rsidRPr="00904FCB">
        <w:rPr>
          <w:rFonts w:ascii="Tahoma" w:hAnsi="Tahoma"/>
          <w:sz w:val="27"/>
          <w:rtl/>
          <w:lang w:bidi="fa-IR"/>
        </w:rPr>
        <w:t xml:space="preserve"> م</w:t>
      </w:r>
      <w:r w:rsidR="002C310E">
        <w:rPr>
          <w:rFonts w:ascii="Tahoma" w:hAnsi="Tahoma" w:hint="cs"/>
          <w:sz w:val="27"/>
          <w:rtl/>
          <w:lang w:bidi="fa-IR"/>
        </w:rPr>
        <w:t>ُ</w:t>
      </w:r>
      <w:r w:rsidRPr="00904FCB">
        <w:rPr>
          <w:rFonts w:ascii="Tahoma" w:hAnsi="Tahoma"/>
          <w:sz w:val="27"/>
          <w:rtl/>
          <w:lang w:bidi="fa-IR"/>
        </w:rPr>
        <w:t>ح</w:t>
      </w:r>
      <w:r w:rsidR="002C310E">
        <w:rPr>
          <w:rFonts w:ascii="Tahoma" w:hAnsi="Tahoma" w:hint="cs"/>
          <w:sz w:val="27"/>
          <w:rtl/>
          <w:lang w:bidi="fa-IR"/>
        </w:rPr>
        <w:t>ِ</w:t>
      </w:r>
      <w:r w:rsidRPr="00904FCB">
        <w:rPr>
          <w:rFonts w:ascii="Tahoma" w:hAnsi="Tahoma"/>
          <w:sz w:val="27"/>
          <w:rtl/>
          <w:lang w:bidi="fa-IR"/>
        </w:rPr>
        <w:t>ب</w:t>
      </w:r>
      <w:r w:rsidR="002C310E">
        <w:rPr>
          <w:rFonts w:ascii="Tahoma" w:hAnsi="Tahoma" w:hint="cs"/>
          <w:sz w:val="27"/>
          <w:rtl/>
          <w:lang w:bidi="fa-IR"/>
        </w:rPr>
        <w:t>ّ</w:t>
      </w:r>
      <w:r w:rsidRPr="00904FCB">
        <w:rPr>
          <w:rFonts w:ascii="Tahoma" w:hAnsi="Tahoma"/>
          <w:sz w:val="27"/>
          <w:rtl/>
          <w:lang w:bidi="fa-IR"/>
        </w:rPr>
        <w:t>ة، أو عانقتها عين تعشق الفكر المتوث</w:t>
      </w:r>
      <w:r w:rsidR="0063145A" w:rsidRPr="00904FCB">
        <w:rPr>
          <w:rFonts w:ascii="Tahoma" w:hAnsi="Tahoma" w:hint="cs"/>
          <w:sz w:val="27"/>
          <w:rtl/>
          <w:lang w:bidi="fa-IR"/>
        </w:rPr>
        <w:t>ِّ</w:t>
      </w:r>
      <w:r w:rsidRPr="00904FCB">
        <w:rPr>
          <w:rFonts w:ascii="Tahoma" w:hAnsi="Tahoma"/>
          <w:sz w:val="27"/>
          <w:rtl/>
          <w:lang w:bidi="fa-IR"/>
        </w:rPr>
        <w:t>ب، والعطاء المتدف</w:t>
      </w:r>
      <w:r w:rsidR="0063145A" w:rsidRPr="00904FCB">
        <w:rPr>
          <w:rFonts w:ascii="Tahoma" w:hAnsi="Tahoma" w:hint="cs"/>
          <w:sz w:val="27"/>
          <w:rtl/>
          <w:lang w:bidi="fa-IR"/>
        </w:rPr>
        <w:t>ِّ</w:t>
      </w:r>
      <w:r w:rsidRPr="00904FCB">
        <w:rPr>
          <w:rFonts w:ascii="Tahoma" w:hAnsi="Tahoma"/>
          <w:sz w:val="27"/>
          <w:rtl/>
          <w:lang w:bidi="fa-IR"/>
        </w:rPr>
        <w:t>ق. وهي أعمال تحتاج إلى رصد</w:t>
      </w:r>
      <w:r w:rsidR="0063145A" w:rsidRPr="00904FCB">
        <w:rPr>
          <w:rFonts w:ascii="Tahoma" w:hAnsi="Tahoma" w:hint="cs"/>
          <w:sz w:val="27"/>
          <w:rtl/>
          <w:lang w:bidi="fa-IR"/>
        </w:rPr>
        <w:t>ٍ</w:t>
      </w:r>
      <w:r w:rsidRPr="00904FCB">
        <w:rPr>
          <w:rFonts w:ascii="Tahoma" w:hAnsi="Tahoma"/>
          <w:sz w:val="27"/>
          <w:rtl/>
          <w:lang w:bidi="fa-IR"/>
        </w:rPr>
        <w:t xml:space="preserve"> يلملم شتاتها، وجهد يحل</w:t>
      </w:r>
      <w:r w:rsidR="0063145A" w:rsidRPr="00904FCB">
        <w:rPr>
          <w:rFonts w:ascii="Tahoma" w:hAnsi="Tahoma" w:hint="cs"/>
          <w:sz w:val="27"/>
          <w:rtl/>
          <w:lang w:bidi="fa-IR"/>
        </w:rPr>
        <w:t>ِّ</w:t>
      </w:r>
      <w:r w:rsidRPr="00904FCB">
        <w:rPr>
          <w:rFonts w:ascii="Tahoma" w:hAnsi="Tahoma"/>
          <w:sz w:val="27"/>
          <w:rtl/>
          <w:lang w:bidi="fa-IR"/>
        </w:rPr>
        <w:t>ق في آفاقها</w:t>
      </w:r>
      <w:r w:rsidR="0063145A" w:rsidRPr="00904FCB">
        <w:rPr>
          <w:rFonts w:ascii="Tahoma" w:hAnsi="Tahoma" w:hint="cs"/>
          <w:sz w:val="27"/>
          <w:rtl/>
          <w:lang w:bidi="fa-IR"/>
        </w:rPr>
        <w:t>،</w:t>
      </w:r>
      <w:r w:rsidRPr="00904FCB">
        <w:rPr>
          <w:rFonts w:ascii="Tahoma" w:hAnsi="Tahoma"/>
          <w:sz w:val="27"/>
          <w:rtl/>
          <w:lang w:bidi="fa-IR"/>
        </w:rPr>
        <w:t xml:space="preserve"> ويستنطق سر</w:t>
      </w:r>
      <w:r w:rsidR="0063145A" w:rsidRPr="00904FCB">
        <w:rPr>
          <w:rFonts w:ascii="Tahoma" w:hAnsi="Tahoma" w:hint="cs"/>
          <w:sz w:val="27"/>
          <w:rtl/>
          <w:lang w:bidi="fa-IR"/>
        </w:rPr>
        <w:t>ّ</w:t>
      </w:r>
      <w:r w:rsidRPr="00904FCB">
        <w:rPr>
          <w:rFonts w:ascii="Tahoma" w:hAnsi="Tahoma"/>
          <w:sz w:val="27"/>
          <w:rtl/>
          <w:lang w:bidi="fa-IR"/>
        </w:rPr>
        <w:t xml:space="preserve"> تمي</w:t>
      </w:r>
      <w:r w:rsidR="0063145A" w:rsidRPr="00904FCB">
        <w:rPr>
          <w:rFonts w:ascii="Tahoma" w:hAnsi="Tahoma" w:hint="cs"/>
          <w:sz w:val="27"/>
          <w:rtl/>
          <w:lang w:bidi="fa-IR"/>
        </w:rPr>
        <w:t>ُّ</w:t>
      </w:r>
      <w:r w:rsidRPr="00904FCB">
        <w:rPr>
          <w:rFonts w:ascii="Tahoma" w:hAnsi="Tahoma"/>
          <w:sz w:val="27"/>
          <w:rtl/>
          <w:lang w:bidi="fa-IR"/>
        </w:rPr>
        <w:t>زها وبقائها. خلاصة القول</w:t>
      </w:r>
      <w:r w:rsidR="0063145A" w:rsidRPr="00904FCB">
        <w:rPr>
          <w:rFonts w:ascii="Tahoma" w:hAnsi="Tahoma" w:hint="cs"/>
          <w:sz w:val="27"/>
          <w:rtl/>
          <w:lang w:bidi="fa-IR"/>
        </w:rPr>
        <w:t>:</w:t>
      </w:r>
      <w:r w:rsidRPr="00904FCB">
        <w:rPr>
          <w:rFonts w:ascii="Tahoma" w:hAnsi="Tahoma"/>
          <w:sz w:val="27"/>
          <w:rtl/>
          <w:lang w:bidi="fa-IR"/>
        </w:rPr>
        <w:t xml:space="preserve"> إن ال</w:t>
      </w:r>
      <w:r w:rsidR="0063145A" w:rsidRPr="00904FCB">
        <w:rPr>
          <w:rFonts w:ascii="Tahoma" w:hAnsi="Tahoma" w:hint="cs"/>
          <w:sz w:val="27"/>
          <w:rtl/>
          <w:lang w:bidi="fa-IR"/>
        </w:rPr>
        <w:t>إ</w:t>
      </w:r>
      <w:r w:rsidRPr="00904FCB">
        <w:rPr>
          <w:rFonts w:ascii="Tahoma" w:hAnsi="Tahoma"/>
          <w:sz w:val="27"/>
          <w:rtl/>
          <w:lang w:bidi="fa-IR"/>
        </w:rPr>
        <w:t xml:space="preserve">نصاف يقتضي الاعتراف بإسهام </w:t>
      </w:r>
      <w:r w:rsidRPr="00904FCB">
        <w:rPr>
          <w:rFonts w:hint="eastAsia"/>
          <w:sz w:val="27"/>
          <w:rtl/>
          <w:lang w:bidi="fa-IR"/>
        </w:rPr>
        <w:t>«</w:t>
      </w:r>
      <w:r w:rsidRPr="00904FCB">
        <w:rPr>
          <w:rFonts w:ascii="Tahoma" w:hAnsi="Tahoma"/>
          <w:sz w:val="27"/>
          <w:rtl/>
          <w:lang w:bidi="fa-IR"/>
        </w:rPr>
        <w:t>إدوارد لامبير</w:t>
      </w:r>
      <w:r w:rsidRPr="00904FCB">
        <w:rPr>
          <w:rFonts w:hint="eastAsia"/>
          <w:sz w:val="27"/>
          <w:rtl/>
        </w:rPr>
        <w:t>»</w:t>
      </w:r>
      <w:r w:rsidRPr="00904FCB">
        <w:rPr>
          <w:rFonts w:ascii="Tahoma" w:hAnsi="Tahoma"/>
          <w:sz w:val="27"/>
          <w:rtl/>
          <w:lang w:bidi="fa-IR"/>
        </w:rPr>
        <w:t xml:space="preserve"> في الدراسة المقارنة في مصر، ولفت الأنظار إلى أهمية الشريعة </w:t>
      </w:r>
      <w:r w:rsidRPr="00904FCB">
        <w:rPr>
          <w:rFonts w:ascii="Tahoma" w:hAnsi="Tahoma"/>
          <w:sz w:val="27"/>
          <w:rtl/>
          <w:lang w:bidi="fa-IR"/>
        </w:rPr>
        <w:lastRenderedPageBreak/>
        <w:t>ال</w:t>
      </w:r>
      <w:r w:rsidR="0063145A" w:rsidRPr="00904FCB">
        <w:rPr>
          <w:rFonts w:ascii="Tahoma" w:hAnsi="Tahoma" w:hint="cs"/>
          <w:sz w:val="27"/>
          <w:rtl/>
          <w:lang w:bidi="fa-IR"/>
        </w:rPr>
        <w:t>إ</w:t>
      </w:r>
      <w:r w:rsidRPr="00904FCB">
        <w:rPr>
          <w:rFonts w:ascii="Tahoma" w:hAnsi="Tahoma"/>
          <w:sz w:val="27"/>
          <w:rtl/>
          <w:lang w:bidi="fa-IR"/>
        </w:rPr>
        <w:t>سلامية في تأسيس النظام القانوني في مصر، وكانت له يد</w:t>
      </w:r>
      <w:r w:rsidR="0063145A" w:rsidRPr="00904FCB">
        <w:rPr>
          <w:rFonts w:ascii="Tahoma" w:hAnsi="Tahoma" w:hint="cs"/>
          <w:sz w:val="27"/>
          <w:rtl/>
          <w:lang w:bidi="fa-IR"/>
        </w:rPr>
        <w:t>ٌ</w:t>
      </w:r>
      <w:r w:rsidRPr="00904FCB">
        <w:rPr>
          <w:rFonts w:ascii="Tahoma" w:hAnsi="Tahoma"/>
          <w:sz w:val="27"/>
          <w:rtl/>
          <w:lang w:bidi="fa-IR"/>
        </w:rPr>
        <w:t xml:space="preserve"> طول</w:t>
      </w:r>
      <w:r w:rsidR="0063145A" w:rsidRPr="00904FCB">
        <w:rPr>
          <w:rFonts w:ascii="Tahoma" w:hAnsi="Tahoma" w:hint="cs"/>
          <w:sz w:val="27"/>
          <w:rtl/>
          <w:lang w:bidi="fa-IR"/>
        </w:rPr>
        <w:t>ى</w:t>
      </w:r>
      <w:r w:rsidRPr="00904FCB">
        <w:rPr>
          <w:rFonts w:ascii="Tahoma" w:hAnsi="Tahoma"/>
          <w:sz w:val="27"/>
          <w:rtl/>
          <w:lang w:bidi="fa-IR"/>
        </w:rPr>
        <w:t xml:space="preserve"> في توجيه مؤتمرات القانون المقارن إلى التسليم بأن الشريعة ال</w:t>
      </w:r>
      <w:r w:rsidR="0063145A" w:rsidRPr="00904FCB">
        <w:rPr>
          <w:rFonts w:ascii="Tahoma" w:hAnsi="Tahoma" w:hint="cs"/>
          <w:sz w:val="27"/>
          <w:rtl/>
          <w:lang w:bidi="fa-IR"/>
        </w:rPr>
        <w:t>إ</w:t>
      </w:r>
      <w:r w:rsidRPr="00904FCB">
        <w:rPr>
          <w:rFonts w:ascii="Tahoma" w:hAnsi="Tahoma"/>
          <w:sz w:val="27"/>
          <w:rtl/>
          <w:lang w:bidi="fa-IR"/>
        </w:rPr>
        <w:t>سلامية هي نظام</w:t>
      </w:r>
      <w:r w:rsidR="0063145A" w:rsidRPr="00904FCB">
        <w:rPr>
          <w:rFonts w:ascii="Tahoma" w:hAnsi="Tahoma" w:hint="cs"/>
          <w:sz w:val="27"/>
          <w:rtl/>
          <w:lang w:bidi="fa-IR"/>
        </w:rPr>
        <w:t>ٌ</w:t>
      </w:r>
      <w:r w:rsidRPr="00904FCB">
        <w:rPr>
          <w:rFonts w:ascii="Tahoma" w:hAnsi="Tahoma"/>
          <w:sz w:val="27"/>
          <w:rtl/>
          <w:lang w:bidi="fa-IR"/>
        </w:rPr>
        <w:t xml:space="preserve"> قانوني مستقل</w:t>
      </w:r>
      <w:r w:rsidR="0063145A" w:rsidRPr="00904FCB">
        <w:rPr>
          <w:rFonts w:ascii="Tahoma" w:hAnsi="Tahoma" w:hint="cs"/>
          <w:sz w:val="27"/>
          <w:rtl/>
          <w:lang w:bidi="fa-IR"/>
        </w:rPr>
        <w:t>ّ.</w:t>
      </w:r>
      <w:r w:rsidRPr="00904FCB">
        <w:rPr>
          <w:rFonts w:ascii="Tahoma" w:hAnsi="Tahoma"/>
          <w:sz w:val="27"/>
          <w:rtl/>
          <w:lang w:bidi="fa-IR"/>
        </w:rPr>
        <w:t xml:space="preserve"> وثمرات ذلك تمث</w:t>
      </w:r>
      <w:r w:rsidR="0063145A" w:rsidRPr="00904FCB">
        <w:rPr>
          <w:rFonts w:ascii="Tahoma" w:hAnsi="Tahoma" w:hint="cs"/>
          <w:sz w:val="27"/>
          <w:rtl/>
          <w:lang w:bidi="fa-IR"/>
        </w:rPr>
        <w:t>َّ</w:t>
      </w:r>
      <w:r w:rsidRPr="00904FCB">
        <w:rPr>
          <w:rFonts w:ascii="Tahoma" w:hAnsi="Tahoma"/>
          <w:sz w:val="27"/>
          <w:rtl/>
          <w:lang w:bidi="fa-IR"/>
        </w:rPr>
        <w:t>لت في تزويد المكتبة القانونية في مصر بدراسات</w:t>
      </w:r>
      <w:r w:rsidR="0063145A" w:rsidRPr="00904FCB">
        <w:rPr>
          <w:rFonts w:ascii="Tahoma" w:hAnsi="Tahoma" w:hint="cs"/>
          <w:sz w:val="27"/>
          <w:rtl/>
          <w:lang w:bidi="fa-IR"/>
        </w:rPr>
        <w:t>ٍ</w:t>
      </w:r>
      <w:r w:rsidRPr="00904FCB">
        <w:rPr>
          <w:rFonts w:ascii="Tahoma" w:hAnsi="Tahoma"/>
          <w:sz w:val="27"/>
          <w:rtl/>
          <w:lang w:bidi="fa-IR"/>
        </w:rPr>
        <w:t xml:space="preserve"> مقارنة بين الشريعة والقانون</w:t>
      </w:r>
      <w:r w:rsidR="0063145A" w:rsidRPr="00904FCB">
        <w:rPr>
          <w:rFonts w:ascii="Tahoma" w:hAnsi="Tahoma" w:hint="cs"/>
          <w:sz w:val="27"/>
          <w:rtl/>
          <w:lang w:bidi="fa-IR"/>
        </w:rPr>
        <w:t>،</w:t>
      </w:r>
      <w:r w:rsidRPr="00904FCB">
        <w:rPr>
          <w:rFonts w:ascii="Tahoma" w:hAnsi="Tahoma"/>
          <w:sz w:val="27"/>
          <w:rtl/>
          <w:lang w:bidi="fa-IR"/>
        </w:rPr>
        <w:t xml:space="preserve"> أقنعت الفقه والقضاء في دوائر الفكر الوضعي بأهم</w:t>
      </w:r>
      <w:r w:rsidR="0063145A" w:rsidRPr="00904FCB">
        <w:rPr>
          <w:rFonts w:ascii="Tahoma" w:hAnsi="Tahoma" w:hint="cs"/>
          <w:sz w:val="27"/>
          <w:rtl/>
          <w:lang w:bidi="fa-IR"/>
        </w:rPr>
        <w:t>ّ</w:t>
      </w:r>
      <w:r w:rsidRPr="00904FCB">
        <w:rPr>
          <w:rFonts w:ascii="Tahoma" w:hAnsi="Tahoma"/>
          <w:sz w:val="27"/>
          <w:rtl/>
          <w:lang w:bidi="fa-IR"/>
        </w:rPr>
        <w:t>ية ما لدينا من ثروة، وما نمتلكه من تراث قانوني</w:t>
      </w:r>
      <w:r w:rsidR="0063145A" w:rsidRPr="00904FCB">
        <w:rPr>
          <w:rFonts w:ascii="Tahoma" w:hAnsi="Tahoma" w:hint="cs"/>
          <w:sz w:val="27"/>
          <w:rtl/>
          <w:lang w:bidi="fa-IR"/>
        </w:rPr>
        <w:t>،</w:t>
      </w:r>
      <w:r w:rsidRPr="00904FCB">
        <w:rPr>
          <w:rFonts w:ascii="Tahoma" w:hAnsi="Tahoma"/>
          <w:sz w:val="27"/>
          <w:rtl/>
          <w:lang w:bidi="fa-IR"/>
        </w:rPr>
        <w:t xml:space="preserve"> الأمر الذي دعا بعض أعلام القانون المقارن في مصر إلى القول </w:t>
      </w:r>
      <w:r w:rsidR="0063145A" w:rsidRPr="00904FCB">
        <w:rPr>
          <w:rFonts w:ascii="Tahoma" w:hAnsi="Tahoma"/>
          <w:sz w:val="27"/>
          <w:rtl/>
          <w:lang w:bidi="fa-IR"/>
        </w:rPr>
        <w:t>ب</w:t>
      </w:r>
      <w:r w:rsidR="0063145A" w:rsidRPr="00904FCB">
        <w:rPr>
          <w:rFonts w:ascii="Tahoma" w:hAnsi="Tahoma" w:hint="cs"/>
          <w:sz w:val="27"/>
          <w:rtl/>
          <w:lang w:bidi="fa-IR"/>
        </w:rPr>
        <w:t xml:space="preserve">ـ </w:t>
      </w:r>
      <w:r w:rsidRPr="00904FCB">
        <w:rPr>
          <w:rFonts w:ascii="Tahoma" w:hAnsi="Tahoma"/>
          <w:sz w:val="27"/>
          <w:rtl/>
          <w:lang w:bidi="fa-IR"/>
        </w:rPr>
        <w:t xml:space="preserve">«أنها ينبغي </w:t>
      </w:r>
      <w:r w:rsidR="0063145A" w:rsidRPr="00904FCB">
        <w:rPr>
          <w:rFonts w:ascii="Tahoma" w:hAnsi="Tahoma" w:hint="cs"/>
          <w:sz w:val="27"/>
          <w:rtl/>
          <w:lang w:bidi="fa-IR"/>
        </w:rPr>
        <w:t xml:space="preserve">أن </w:t>
      </w:r>
      <w:r w:rsidR="0063145A" w:rsidRPr="00904FCB">
        <w:rPr>
          <w:rFonts w:ascii="Tahoma" w:hAnsi="Tahoma"/>
          <w:sz w:val="27"/>
          <w:rtl/>
          <w:lang w:bidi="fa-IR"/>
        </w:rPr>
        <w:t xml:space="preserve">تكون </w:t>
      </w:r>
      <w:r w:rsidRPr="00904FCB">
        <w:rPr>
          <w:rFonts w:ascii="Tahoma" w:hAnsi="Tahoma"/>
          <w:sz w:val="27"/>
          <w:rtl/>
          <w:lang w:bidi="fa-IR"/>
        </w:rPr>
        <w:t>مركز هذا النوع من المقارنة</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ثانياً</w:t>
      </w:r>
      <w:r w:rsidRPr="00904FCB">
        <w:rPr>
          <w:rFonts w:hint="cs"/>
          <w:color w:val="auto"/>
          <w:rtl/>
          <w:lang w:bidi="fa-IR"/>
        </w:rPr>
        <w:t>:</w:t>
      </w:r>
      <w:r w:rsidRPr="00904FCB">
        <w:rPr>
          <w:color w:val="auto"/>
          <w:rtl/>
          <w:lang w:bidi="fa-IR"/>
        </w:rPr>
        <w:t xml:space="preserve"> المقاصد الشرعية والقانون المقارن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تعلي المقاصد الشرعية من أفكار ثلاث</w:t>
      </w:r>
      <w:r w:rsidR="0063145A" w:rsidRPr="00904FCB">
        <w:rPr>
          <w:rFonts w:ascii="Tahoma" w:hAnsi="Tahoma" w:hint="cs"/>
          <w:sz w:val="27"/>
          <w:rtl/>
          <w:lang w:bidi="fa-IR"/>
        </w:rPr>
        <w:t>:</w:t>
      </w:r>
      <w:r w:rsidRPr="00904FCB">
        <w:rPr>
          <w:rFonts w:ascii="Tahoma" w:hAnsi="Tahoma"/>
          <w:sz w:val="27"/>
          <w:rtl/>
          <w:lang w:bidi="fa-IR"/>
        </w:rPr>
        <w:t xml:space="preserve"> التعليل باعتباره أداة لضبط الحكم وربطه بالمعاني</w:t>
      </w:r>
      <w:r w:rsidR="0063145A" w:rsidRPr="00904FCB">
        <w:rPr>
          <w:rFonts w:ascii="Tahoma" w:hAnsi="Tahoma" w:hint="cs"/>
          <w:sz w:val="27"/>
          <w:rtl/>
          <w:lang w:bidi="fa-IR"/>
        </w:rPr>
        <w:t>؛</w:t>
      </w:r>
      <w:r w:rsidRPr="00904FCB">
        <w:rPr>
          <w:rFonts w:ascii="Tahoma" w:hAnsi="Tahoma"/>
          <w:sz w:val="27"/>
          <w:rtl/>
          <w:lang w:bidi="fa-IR"/>
        </w:rPr>
        <w:t xml:space="preserve"> والمصالح باعتبارها غاية للحكم بها تعرف موارده ومصادره</w:t>
      </w:r>
      <w:r w:rsidR="0063145A" w:rsidRPr="00904FCB">
        <w:rPr>
          <w:rFonts w:ascii="Tahoma" w:hAnsi="Tahoma" w:hint="cs"/>
          <w:sz w:val="27"/>
          <w:rtl/>
          <w:lang w:bidi="fa-IR"/>
        </w:rPr>
        <w:t>؛</w:t>
      </w:r>
      <w:r w:rsidRPr="00904FCB">
        <w:rPr>
          <w:rFonts w:ascii="Tahoma" w:hAnsi="Tahoma"/>
          <w:sz w:val="27"/>
          <w:rtl/>
          <w:lang w:bidi="fa-IR"/>
        </w:rPr>
        <w:t xml:space="preserve"> ومآلات الأفعال باعتبارها القاعدة الرئيسة في فقه التنزيل</w:t>
      </w:r>
      <w:r w:rsidR="0063145A" w:rsidRPr="00904FCB">
        <w:rPr>
          <w:rFonts w:ascii="Tahoma" w:hAnsi="Tahoma" w:hint="cs"/>
          <w:sz w:val="27"/>
          <w:rtl/>
          <w:lang w:bidi="fa-IR"/>
        </w:rPr>
        <w:t>،</w:t>
      </w:r>
      <w:r w:rsidRPr="00904FCB">
        <w:rPr>
          <w:rFonts w:ascii="Tahoma" w:hAnsi="Tahoma"/>
          <w:sz w:val="27"/>
          <w:rtl/>
          <w:lang w:bidi="fa-IR"/>
        </w:rPr>
        <w:t xml:space="preserve"> ولم توضع الشرائع إلا</w:t>
      </w:r>
      <w:r w:rsidR="0063145A" w:rsidRPr="00904FCB">
        <w:rPr>
          <w:rFonts w:ascii="Tahoma" w:hAnsi="Tahoma" w:hint="cs"/>
          <w:sz w:val="27"/>
          <w:rtl/>
          <w:lang w:bidi="fa-IR"/>
        </w:rPr>
        <w:t>ّ</w:t>
      </w:r>
      <w:r w:rsidRPr="00904FCB">
        <w:rPr>
          <w:rFonts w:ascii="Tahoma" w:hAnsi="Tahoma"/>
          <w:sz w:val="27"/>
          <w:rtl/>
          <w:lang w:bidi="fa-IR"/>
        </w:rPr>
        <w:t xml:space="preserve"> لتحقيق مصالح العباد في العاجل والآجل</w:t>
      </w:r>
      <w:r w:rsidR="0063145A" w:rsidRPr="00904FCB">
        <w:rPr>
          <w:rFonts w:ascii="Tahoma" w:hAnsi="Tahoma" w:hint="cs"/>
          <w:sz w:val="27"/>
          <w:rtl/>
          <w:lang w:bidi="fa-IR"/>
        </w:rPr>
        <w:t>.</w:t>
      </w:r>
      <w:r w:rsidRPr="00904FCB">
        <w:rPr>
          <w:rFonts w:ascii="Tahoma" w:hAnsi="Tahoma"/>
          <w:sz w:val="27"/>
          <w:rtl/>
          <w:lang w:bidi="fa-IR"/>
        </w:rPr>
        <w:t xml:space="preserve"> وإذا كانت </w:t>
      </w:r>
      <w:r w:rsidRPr="00904FCB">
        <w:rPr>
          <w:rFonts w:hint="eastAsia"/>
          <w:sz w:val="27"/>
          <w:rtl/>
          <w:lang w:bidi="fa-IR"/>
        </w:rPr>
        <w:t>«</w:t>
      </w:r>
      <w:r w:rsidRPr="00904FCB">
        <w:rPr>
          <w:rFonts w:ascii="Tahoma" w:hAnsi="Tahoma"/>
          <w:sz w:val="27"/>
          <w:rtl/>
          <w:lang w:bidi="fa-IR"/>
        </w:rPr>
        <w:t>العدالة</w:t>
      </w:r>
      <w:r w:rsidRPr="00904FCB">
        <w:rPr>
          <w:rFonts w:hint="eastAsia"/>
          <w:sz w:val="27"/>
          <w:rtl/>
        </w:rPr>
        <w:t>»</w:t>
      </w:r>
      <w:r w:rsidRPr="00904FCB">
        <w:rPr>
          <w:rFonts w:ascii="Tahoma" w:hAnsi="Tahoma"/>
          <w:sz w:val="27"/>
          <w:rtl/>
          <w:lang w:bidi="fa-IR"/>
        </w:rPr>
        <w:t xml:space="preserve"> هي روح القانون المقارن عند </w:t>
      </w:r>
      <w:r w:rsidRPr="00904FCB">
        <w:rPr>
          <w:rFonts w:hint="eastAsia"/>
          <w:sz w:val="27"/>
          <w:rtl/>
          <w:lang w:bidi="fa-IR"/>
        </w:rPr>
        <w:t>«</w:t>
      </w:r>
      <w:r w:rsidRPr="00904FCB">
        <w:rPr>
          <w:rFonts w:ascii="Tahoma" w:hAnsi="Tahoma"/>
          <w:sz w:val="27"/>
          <w:rtl/>
          <w:lang w:bidi="fa-IR"/>
        </w:rPr>
        <w:t>أرمانجون</w:t>
      </w:r>
      <w:r w:rsidRPr="00904FCB">
        <w:rPr>
          <w:rFonts w:hint="eastAsia"/>
          <w:sz w:val="27"/>
          <w:rtl/>
        </w:rPr>
        <w:t>»</w:t>
      </w:r>
      <w:r w:rsidRPr="00904FCB">
        <w:rPr>
          <w:rFonts w:ascii="Tahoma" w:hAnsi="Tahoma"/>
          <w:sz w:val="27"/>
          <w:rtl/>
          <w:lang w:bidi="fa-IR"/>
        </w:rPr>
        <w:t xml:space="preserve"> فإن العدل هو روح الشريعة عند المسلمين</w:t>
      </w:r>
      <w:r w:rsidR="0063145A" w:rsidRPr="00904FCB">
        <w:rPr>
          <w:rFonts w:ascii="Tahoma" w:hAnsi="Tahoma" w:hint="cs"/>
          <w:sz w:val="27"/>
          <w:rtl/>
          <w:lang w:bidi="fa-IR"/>
        </w:rPr>
        <w:t>.</w:t>
      </w:r>
      <w:r w:rsidRPr="00904FCB">
        <w:rPr>
          <w:rFonts w:ascii="Tahoma" w:hAnsi="Tahoma"/>
          <w:sz w:val="27"/>
          <w:rtl/>
          <w:lang w:bidi="fa-IR"/>
        </w:rPr>
        <w:t xml:space="preserve"> وبلغة ابن الق</w:t>
      </w:r>
      <w:r w:rsidR="0063145A" w:rsidRPr="00904FCB">
        <w:rPr>
          <w:rFonts w:ascii="Tahoma" w:hAnsi="Tahoma" w:hint="cs"/>
          <w:sz w:val="27"/>
          <w:rtl/>
          <w:lang w:bidi="fa-IR"/>
        </w:rPr>
        <w:t>َ</w:t>
      </w:r>
      <w:r w:rsidRPr="00904FCB">
        <w:rPr>
          <w:rFonts w:ascii="Tahoma" w:hAnsi="Tahoma"/>
          <w:sz w:val="27"/>
          <w:rtl/>
          <w:lang w:bidi="fa-IR"/>
        </w:rPr>
        <w:t>ي</w:t>
      </w:r>
      <w:r w:rsidR="0063145A" w:rsidRPr="00904FCB">
        <w:rPr>
          <w:rFonts w:ascii="Tahoma" w:hAnsi="Tahoma" w:hint="cs"/>
          <w:sz w:val="27"/>
          <w:rtl/>
          <w:lang w:bidi="fa-IR"/>
        </w:rPr>
        <w:t>ِّ</w:t>
      </w:r>
      <w:r w:rsidRPr="00904FCB">
        <w:rPr>
          <w:rFonts w:ascii="Tahoma" w:hAnsi="Tahoma"/>
          <w:sz w:val="27"/>
          <w:rtl/>
          <w:lang w:bidi="fa-IR"/>
        </w:rPr>
        <w:t xml:space="preserve">م فإن </w:t>
      </w:r>
      <w:r w:rsidRPr="00904FCB">
        <w:rPr>
          <w:rFonts w:hint="eastAsia"/>
          <w:sz w:val="27"/>
          <w:rtl/>
          <w:lang w:bidi="fa-IR"/>
        </w:rPr>
        <w:t>«</w:t>
      </w:r>
      <w:r w:rsidRPr="00904FCB">
        <w:rPr>
          <w:rFonts w:ascii="Tahoma" w:hAnsi="Tahoma"/>
          <w:sz w:val="27"/>
          <w:rtl/>
          <w:lang w:bidi="fa-IR"/>
        </w:rPr>
        <w:t>كل</w:t>
      </w:r>
      <w:r w:rsidR="0063145A" w:rsidRPr="00904FCB">
        <w:rPr>
          <w:rFonts w:ascii="Tahoma" w:hAnsi="Tahoma" w:hint="cs"/>
          <w:sz w:val="27"/>
          <w:rtl/>
          <w:lang w:bidi="fa-IR"/>
        </w:rPr>
        <w:t>ّ</w:t>
      </w:r>
      <w:r w:rsidRPr="00904FCB">
        <w:rPr>
          <w:rFonts w:ascii="Tahoma" w:hAnsi="Tahoma"/>
          <w:sz w:val="27"/>
          <w:rtl/>
          <w:lang w:bidi="fa-IR"/>
        </w:rPr>
        <w:t xml:space="preserve"> مسألة</w:t>
      </w:r>
      <w:r w:rsidR="0063145A" w:rsidRPr="00904FCB">
        <w:rPr>
          <w:rFonts w:ascii="Tahoma" w:hAnsi="Tahoma" w:hint="cs"/>
          <w:sz w:val="27"/>
          <w:rtl/>
          <w:lang w:bidi="fa-IR"/>
        </w:rPr>
        <w:t>ٍ</w:t>
      </w:r>
      <w:r w:rsidRPr="00904FCB">
        <w:rPr>
          <w:rFonts w:ascii="Tahoma" w:hAnsi="Tahoma"/>
          <w:sz w:val="27"/>
          <w:rtl/>
          <w:lang w:bidi="fa-IR"/>
        </w:rPr>
        <w:t xml:space="preserve"> خرجت عن العدل إلى الجور، وعن الرحمة إلى ضد</w:t>
      </w:r>
      <w:r w:rsidR="0063145A" w:rsidRPr="00904FCB">
        <w:rPr>
          <w:rFonts w:ascii="Tahoma" w:hAnsi="Tahoma" w:hint="cs"/>
          <w:sz w:val="27"/>
          <w:rtl/>
          <w:lang w:bidi="fa-IR"/>
        </w:rPr>
        <w:t>ّ</w:t>
      </w:r>
      <w:r w:rsidRPr="00904FCB">
        <w:rPr>
          <w:rFonts w:ascii="Tahoma" w:hAnsi="Tahoma"/>
          <w:sz w:val="27"/>
          <w:rtl/>
          <w:lang w:bidi="fa-IR"/>
        </w:rPr>
        <w:t>ها، وعن المصلحة إلى المفسدة، وعن الحكمة إلى العبث</w:t>
      </w:r>
      <w:r w:rsidR="0063145A" w:rsidRPr="00904FCB">
        <w:rPr>
          <w:rFonts w:ascii="Tahoma" w:hAnsi="Tahoma" w:hint="cs"/>
          <w:sz w:val="27"/>
          <w:rtl/>
          <w:lang w:bidi="fa-IR"/>
        </w:rPr>
        <w:t>،</w:t>
      </w:r>
      <w:r w:rsidRPr="00904FCB">
        <w:rPr>
          <w:rFonts w:ascii="Tahoma" w:hAnsi="Tahoma"/>
          <w:sz w:val="27"/>
          <w:rtl/>
          <w:lang w:bidi="fa-IR"/>
        </w:rPr>
        <w:t xml:space="preserve"> فليست من الشريعة</w:t>
      </w:r>
      <w:r w:rsidR="0063145A" w:rsidRPr="00904FCB">
        <w:rPr>
          <w:rFonts w:ascii="Tahoma" w:hAnsi="Tahoma" w:hint="cs"/>
          <w:sz w:val="27"/>
          <w:rtl/>
          <w:lang w:bidi="fa-IR"/>
        </w:rPr>
        <w:t>،</w:t>
      </w:r>
      <w:r w:rsidRPr="00904FCB">
        <w:rPr>
          <w:rFonts w:ascii="Tahoma" w:hAnsi="Tahoma"/>
          <w:sz w:val="27"/>
          <w:rtl/>
          <w:lang w:bidi="fa-IR"/>
        </w:rPr>
        <w:t xml:space="preserve"> وإن</w:t>
      </w:r>
      <w:r w:rsidR="0063145A" w:rsidRPr="00904FCB">
        <w:rPr>
          <w:rFonts w:ascii="Tahoma" w:hAnsi="Tahoma" w:hint="cs"/>
          <w:sz w:val="27"/>
          <w:rtl/>
          <w:lang w:bidi="fa-IR"/>
        </w:rPr>
        <w:t>ْ</w:t>
      </w:r>
      <w:r w:rsidRPr="00904FCB">
        <w:rPr>
          <w:rFonts w:ascii="Tahoma" w:hAnsi="Tahoma"/>
          <w:sz w:val="27"/>
          <w:rtl/>
          <w:lang w:bidi="fa-IR"/>
        </w:rPr>
        <w:t xml:space="preserve"> أ</w:t>
      </w:r>
      <w:r w:rsidR="0063145A" w:rsidRPr="00904FCB">
        <w:rPr>
          <w:rFonts w:ascii="Tahoma" w:hAnsi="Tahoma" w:hint="cs"/>
          <w:sz w:val="27"/>
          <w:rtl/>
          <w:lang w:bidi="fa-IR"/>
        </w:rPr>
        <w:t>ُ</w:t>
      </w:r>
      <w:r w:rsidRPr="00904FCB">
        <w:rPr>
          <w:rFonts w:ascii="Tahoma" w:hAnsi="Tahoma"/>
          <w:sz w:val="27"/>
          <w:rtl/>
          <w:lang w:bidi="fa-IR"/>
        </w:rPr>
        <w:t>دخلت فيها بالتأويل</w:t>
      </w:r>
      <w:r w:rsidRPr="00904FCB">
        <w:rPr>
          <w:rFonts w:hint="eastAsia"/>
          <w:sz w:val="27"/>
          <w:rtl/>
        </w:rPr>
        <w:t>»</w:t>
      </w:r>
      <w:r w:rsidR="0063145A" w:rsidRPr="00904FCB">
        <w:rPr>
          <w:rFonts w:ascii="Tahoma" w:hAnsi="Tahoma" w:hint="cs"/>
          <w:sz w:val="27"/>
          <w:rtl/>
          <w:lang w:bidi="fa-IR"/>
        </w:rPr>
        <w:t>.</w:t>
      </w:r>
      <w:r w:rsidRPr="00904FCB">
        <w:rPr>
          <w:rFonts w:ascii="Tahoma" w:hAnsi="Tahoma"/>
          <w:sz w:val="27"/>
          <w:rtl/>
          <w:lang w:bidi="fa-IR"/>
        </w:rPr>
        <w:t xml:space="preserve"> ومفهوم العدل عند المسلمين ـ كما يقول د. </w:t>
      </w:r>
      <w:r w:rsidRPr="00904FCB">
        <w:rPr>
          <w:rFonts w:hint="eastAsia"/>
          <w:sz w:val="27"/>
          <w:rtl/>
          <w:lang w:bidi="fa-IR"/>
        </w:rPr>
        <w:t>«</w:t>
      </w:r>
      <w:r w:rsidRPr="00904FCB">
        <w:rPr>
          <w:rFonts w:ascii="Tahoma" w:hAnsi="Tahoma"/>
          <w:sz w:val="27"/>
          <w:rtl/>
          <w:lang w:bidi="fa-IR"/>
        </w:rPr>
        <w:t>فتحي الدريني</w:t>
      </w:r>
      <w:r w:rsidRPr="00904FCB">
        <w:rPr>
          <w:rFonts w:hint="eastAsia"/>
          <w:sz w:val="27"/>
          <w:rtl/>
        </w:rPr>
        <w:t>»</w:t>
      </w:r>
      <w:r w:rsidRPr="00904FCB">
        <w:rPr>
          <w:rFonts w:ascii="Tahoma" w:hAnsi="Tahoma"/>
          <w:sz w:val="27"/>
          <w:rtl/>
          <w:lang w:bidi="fa-IR"/>
        </w:rPr>
        <w:t xml:space="preserve"> ـ ليس مفهوما</w:t>
      </w:r>
      <w:r w:rsidR="0063145A" w:rsidRPr="00904FCB">
        <w:rPr>
          <w:rFonts w:ascii="Tahoma" w:hAnsi="Tahoma" w:hint="cs"/>
          <w:sz w:val="27"/>
          <w:rtl/>
          <w:lang w:bidi="fa-IR"/>
        </w:rPr>
        <w:t>ً</w:t>
      </w:r>
      <w:r w:rsidRPr="00904FCB">
        <w:rPr>
          <w:rFonts w:ascii="Tahoma" w:hAnsi="Tahoma"/>
          <w:sz w:val="27"/>
          <w:rtl/>
          <w:lang w:bidi="fa-IR"/>
        </w:rPr>
        <w:t xml:space="preserve"> فلسفيا</w:t>
      </w:r>
      <w:r w:rsidR="0063145A" w:rsidRPr="00904FCB">
        <w:rPr>
          <w:rFonts w:ascii="Tahoma" w:hAnsi="Tahoma" w:hint="cs"/>
          <w:sz w:val="27"/>
          <w:rtl/>
          <w:lang w:bidi="fa-IR"/>
        </w:rPr>
        <w:t>ً</w:t>
      </w:r>
      <w:r w:rsidRPr="00904FCB">
        <w:rPr>
          <w:rFonts w:ascii="Tahoma" w:hAnsi="Tahoma"/>
          <w:sz w:val="27"/>
          <w:rtl/>
          <w:lang w:bidi="fa-IR"/>
        </w:rPr>
        <w:t xml:space="preserve"> مجر</w:t>
      </w:r>
      <w:r w:rsidR="0063145A" w:rsidRPr="00904FCB">
        <w:rPr>
          <w:rFonts w:ascii="Tahoma" w:hAnsi="Tahoma" w:hint="cs"/>
          <w:sz w:val="27"/>
          <w:rtl/>
          <w:lang w:bidi="fa-IR"/>
        </w:rPr>
        <w:t>ّ</w:t>
      </w:r>
      <w:r w:rsidRPr="00904FCB">
        <w:rPr>
          <w:rFonts w:ascii="Tahoma" w:hAnsi="Tahoma"/>
          <w:sz w:val="27"/>
          <w:rtl/>
          <w:lang w:bidi="fa-IR"/>
        </w:rPr>
        <w:t xml:space="preserve">داً، بل هو مجسد في </w:t>
      </w:r>
      <w:r w:rsidRPr="00904FCB">
        <w:rPr>
          <w:rFonts w:hint="eastAsia"/>
          <w:sz w:val="27"/>
          <w:rtl/>
          <w:lang w:bidi="fa-IR"/>
        </w:rPr>
        <w:t>«</w:t>
      </w:r>
      <w:r w:rsidRPr="00904FCB">
        <w:rPr>
          <w:rFonts w:ascii="Tahoma" w:hAnsi="Tahoma"/>
          <w:sz w:val="27"/>
          <w:rtl/>
          <w:lang w:bidi="fa-IR"/>
        </w:rPr>
        <w:t>المصلحة</w:t>
      </w:r>
      <w:r w:rsidRPr="00904FCB">
        <w:rPr>
          <w:rFonts w:hint="eastAsia"/>
          <w:sz w:val="27"/>
          <w:rtl/>
        </w:rPr>
        <w:t>»</w:t>
      </w:r>
      <w:r w:rsidRPr="00904FCB">
        <w:rPr>
          <w:rFonts w:ascii="Tahoma" w:hAnsi="Tahoma"/>
          <w:sz w:val="27"/>
          <w:rtl/>
          <w:lang w:bidi="fa-IR"/>
        </w:rPr>
        <w:t xml:space="preserve"> التي يتغي</w:t>
      </w:r>
      <w:r w:rsidR="0063145A" w:rsidRPr="00904FCB">
        <w:rPr>
          <w:rFonts w:ascii="Tahoma" w:hAnsi="Tahoma" w:hint="cs"/>
          <w:sz w:val="27"/>
          <w:rtl/>
          <w:lang w:bidi="fa-IR"/>
        </w:rPr>
        <w:t>ّ</w:t>
      </w:r>
      <w:r w:rsidRPr="00904FCB">
        <w:rPr>
          <w:rFonts w:ascii="Tahoma" w:hAnsi="Tahoma"/>
          <w:sz w:val="27"/>
          <w:rtl/>
          <w:lang w:bidi="fa-IR"/>
        </w:rPr>
        <w:t>اها الحكم الشرعي العملي في فروعه أو جزئي</w:t>
      </w:r>
      <w:r w:rsidR="0063145A" w:rsidRPr="00904FCB">
        <w:rPr>
          <w:rFonts w:ascii="Tahoma" w:hAnsi="Tahoma" w:hint="cs"/>
          <w:sz w:val="27"/>
          <w:rtl/>
          <w:lang w:bidi="fa-IR"/>
        </w:rPr>
        <w:t>ّ</w:t>
      </w:r>
      <w:r w:rsidRPr="00904FCB">
        <w:rPr>
          <w:rFonts w:ascii="Tahoma" w:hAnsi="Tahoma"/>
          <w:sz w:val="27"/>
          <w:rtl/>
          <w:lang w:bidi="fa-IR"/>
        </w:rPr>
        <w:t>اته أو قواعده العامة، وبهذا كان الفقهاء المسلمون عملي</w:t>
      </w:r>
      <w:r w:rsidR="0063145A" w:rsidRPr="00904FCB">
        <w:rPr>
          <w:rFonts w:ascii="Tahoma" w:hAnsi="Tahoma" w:hint="cs"/>
          <w:sz w:val="27"/>
          <w:rtl/>
          <w:lang w:bidi="fa-IR"/>
        </w:rPr>
        <w:t>ّ</w:t>
      </w:r>
      <w:r w:rsidRPr="00904FCB">
        <w:rPr>
          <w:rFonts w:ascii="Tahoma" w:hAnsi="Tahoma"/>
          <w:sz w:val="27"/>
          <w:rtl/>
          <w:lang w:bidi="fa-IR"/>
        </w:rPr>
        <w:t>ين</w:t>
      </w:r>
      <w:r w:rsidR="0063145A" w:rsidRPr="00904FCB">
        <w:rPr>
          <w:rFonts w:ascii="Tahoma" w:hAnsi="Tahoma" w:hint="cs"/>
          <w:sz w:val="27"/>
          <w:rtl/>
          <w:lang w:bidi="fa-IR"/>
        </w:rPr>
        <w:t>،</w:t>
      </w:r>
      <w:r w:rsidRPr="00904FCB">
        <w:rPr>
          <w:rFonts w:ascii="Tahoma" w:hAnsi="Tahoma"/>
          <w:sz w:val="27"/>
          <w:rtl/>
          <w:lang w:bidi="fa-IR"/>
        </w:rPr>
        <w:t xml:space="preserve"> بحكم طبيعة العمل نفسه الذي نهضوا به لمواجهة مقتضيات حياة الناس</w:t>
      </w:r>
      <w:r w:rsidR="0063145A" w:rsidRPr="00904FCB">
        <w:rPr>
          <w:rFonts w:ascii="Tahoma" w:hAnsi="Tahoma" w:hint="cs"/>
          <w:sz w:val="27"/>
          <w:rtl/>
          <w:lang w:bidi="fa-IR"/>
        </w:rPr>
        <w:t>،</w:t>
      </w:r>
      <w:r w:rsidRPr="00904FCB">
        <w:rPr>
          <w:rFonts w:ascii="Tahoma" w:hAnsi="Tahoma"/>
          <w:sz w:val="27"/>
          <w:rtl/>
          <w:lang w:bidi="fa-IR"/>
        </w:rPr>
        <w:t xml:space="preserve"> وتدبير حالهم باستنباط الأحكام الشرعية في هذا المجال</w:t>
      </w:r>
      <w:r w:rsidR="0063145A" w:rsidRPr="00904FCB">
        <w:rPr>
          <w:rFonts w:ascii="Tahoma" w:hAnsi="Tahoma" w:hint="cs"/>
          <w:sz w:val="27"/>
          <w:rtl/>
          <w:lang w:bidi="fa-IR"/>
        </w:rPr>
        <w:t>.</w:t>
      </w:r>
      <w:r w:rsidRPr="00904FCB">
        <w:rPr>
          <w:rFonts w:ascii="Tahoma" w:hAnsi="Tahoma"/>
          <w:sz w:val="27"/>
          <w:rtl/>
          <w:lang w:bidi="fa-IR"/>
        </w:rPr>
        <w:t xml:space="preserve"> و«أوامر الشرع ـ كما يقول </w:t>
      </w:r>
      <w:r w:rsidRPr="00904FCB">
        <w:rPr>
          <w:rFonts w:hint="eastAsia"/>
          <w:sz w:val="27"/>
          <w:rtl/>
          <w:lang w:bidi="fa-IR"/>
        </w:rPr>
        <w:t>«</w:t>
      </w:r>
      <w:r w:rsidRPr="00904FCB">
        <w:rPr>
          <w:rFonts w:ascii="Tahoma" w:hAnsi="Tahoma"/>
          <w:sz w:val="27"/>
          <w:rtl/>
          <w:lang w:bidi="fa-IR"/>
        </w:rPr>
        <w:t>ابن الق</w:t>
      </w:r>
      <w:r w:rsidR="0063145A" w:rsidRPr="00904FCB">
        <w:rPr>
          <w:rFonts w:ascii="Tahoma" w:hAnsi="Tahoma" w:hint="cs"/>
          <w:sz w:val="27"/>
          <w:rtl/>
          <w:lang w:bidi="fa-IR"/>
        </w:rPr>
        <w:t>َ</w:t>
      </w:r>
      <w:r w:rsidRPr="00904FCB">
        <w:rPr>
          <w:rFonts w:ascii="Tahoma" w:hAnsi="Tahoma"/>
          <w:sz w:val="27"/>
          <w:rtl/>
          <w:lang w:bidi="fa-IR"/>
        </w:rPr>
        <w:t>ي</w:t>
      </w:r>
      <w:r w:rsidR="0063145A" w:rsidRPr="00904FCB">
        <w:rPr>
          <w:rFonts w:ascii="Tahoma" w:hAnsi="Tahoma" w:hint="cs"/>
          <w:sz w:val="27"/>
          <w:rtl/>
          <w:lang w:bidi="fa-IR"/>
        </w:rPr>
        <w:t>ِّ</w:t>
      </w:r>
      <w:r w:rsidRPr="00904FCB">
        <w:rPr>
          <w:rFonts w:ascii="Tahoma" w:hAnsi="Tahoma"/>
          <w:sz w:val="27"/>
          <w:rtl/>
          <w:lang w:bidi="fa-IR"/>
        </w:rPr>
        <w:t>م</w:t>
      </w:r>
      <w:r w:rsidRPr="00904FCB">
        <w:rPr>
          <w:rFonts w:hint="eastAsia"/>
          <w:sz w:val="27"/>
          <w:rtl/>
        </w:rPr>
        <w:t>»</w:t>
      </w:r>
      <w:r w:rsidRPr="00904FCB">
        <w:rPr>
          <w:rFonts w:ascii="Tahoma" w:hAnsi="Tahoma"/>
          <w:sz w:val="27"/>
          <w:rtl/>
          <w:lang w:bidi="fa-IR"/>
        </w:rPr>
        <w:t xml:space="preserve"> ـ تتبع المصالح الخالصة أو الراجحة</w:t>
      </w:r>
      <w:r w:rsidR="0063145A" w:rsidRPr="00904FCB">
        <w:rPr>
          <w:rFonts w:ascii="Tahoma" w:hAnsi="Tahoma" w:hint="cs"/>
          <w:sz w:val="27"/>
          <w:rtl/>
          <w:lang w:bidi="fa-IR"/>
        </w:rPr>
        <w:t>،</w:t>
      </w:r>
      <w:r w:rsidRPr="00904FCB">
        <w:rPr>
          <w:rFonts w:ascii="Tahoma" w:hAnsi="Tahoma"/>
          <w:sz w:val="27"/>
          <w:rtl/>
          <w:lang w:bidi="fa-IR"/>
        </w:rPr>
        <w:t xml:space="preserve"> ونواهيه </w:t>
      </w:r>
      <w:r w:rsidR="0063145A" w:rsidRPr="00904FCB">
        <w:rPr>
          <w:rFonts w:ascii="Tahoma" w:hAnsi="Tahoma"/>
          <w:sz w:val="27"/>
          <w:rtl/>
          <w:lang w:bidi="fa-IR"/>
        </w:rPr>
        <w:t>تتبع المفاسد الخالصة أو الراجحة</w:t>
      </w:r>
      <w:r w:rsidRPr="00904FCB">
        <w:rPr>
          <w:rFonts w:ascii="Tahoma" w:hAnsi="Tahoma"/>
          <w:sz w:val="27"/>
          <w:rtl/>
          <w:lang w:bidi="fa-IR"/>
        </w:rPr>
        <w:t>»</w:t>
      </w:r>
      <w:r w:rsidR="0063145A" w:rsidRPr="00904FCB">
        <w:rPr>
          <w:rFonts w:ascii="Tahoma" w:hAnsi="Tahoma" w:hint="cs"/>
          <w:sz w:val="27"/>
          <w:rtl/>
          <w:lang w:bidi="fa-IR"/>
        </w:rPr>
        <w:t>.</w:t>
      </w:r>
      <w:r w:rsidRPr="00904FCB">
        <w:rPr>
          <w:rFonts w:ascii="Tahoma" w:hAnsi="Tahoma"/>
          <w:sz w:val="27"/>
          <w:rtl/>
          <w:lang w:bidi="fa-IR"/>
        </w:rPr>
        <w:t xml:space="preserve"> والمقصود بالمصالح ـ كما قال أبو حامد الغزالي: «المحافظة على مقصود الشرع»</w:t>
      </w:r>
      <w:r w:rsidR="0063145A" w:rsidRPr="00904FCB">
        <w:rPr>
          <w:rFonts w:ascii="Tahoma" w:hAnsi="Tahoma" w:hint="cs"/>
          <w:sz w:val="27"/>
          <w:rtl/>
          <w:lang w:bidi="fa-IR"/>
        </w:rPr>
        <w:t>.</w:t>
      </w:r>
      <w:r w:rsidRPr="00904FCB">
        <w:rPr>
          <w:rFonts w:ascii="Tahoma" w:hAnsi="Tahoma"/>
          <w:sz w:val="27"/>
          <w:rtl/>
          <w:lang w:bidi="fa-IR"/>
        </w:rPr>
        <w:t xml:space="preserve"> ومقصود الشرع من الخلق خمسة</w:t>
      </w:r>
      <w:r w:rsidR="0063145A" w:rsidRPr="00904FCB">
        <w:rPr>
          <w:rFonts w:ascii="Tahoma" w:hAnsi="Tahoma" w:hint="cs"/>
          <w:sz w:val="27"/>
          <w:rtl/>
          <w:lang w:bidi="fa-IR"/>
        </w:rPr>
        <w:t>،</w:t>
      </w:r>
      <w:r w:rsidRPr="00904FCB">
        <w:rPr>
          <w:rFonts w:ascii="Tahoma" w:hAnsi="Tahoma"/>
          <w:sz w:val="27"/>
          <w:rtl/>
          <w:lang w:bidi="fa-IR"/>
        </w:rPr>
        <w:t xml:space="preserve"> وهو</w:t>
      </w:r>
      <w:r w:rsidR="0063145A" w:rsidRPr="00904FCB">
        <w:rPr>
          <w:rFonts w:ascii="Tahoma" w:hAnsi="Tahoma" w:hint="cs"/>
          <w:sz w:val="27"/>
          <w:rtl/>
          <w:lang w:bidi="fa-IR"/>
        </w:rPr>
        <w:t>:</w:t>
      </w:r>
      <w:r w:rsidRPr="00904FCB">
        <w:rPr>
          <w:rFonts w:ascii="Tahoma" w:hAnsi="Tahoma"/>
          <w:sz w:val="27"/>
          <w:rtl/>
          <w:lang w:bidi="fa-IR"/>
        </w:rPr>
        <w:t xml:space="preserve"> أن يحفظ عليهم دينهم، ونفسهم، وعقلهم، ونسلهم، ومالهم</w:t>
      </w:r>
      <w:r w:rsidR="0063145A" w:rsidRPr="00904FCB">
        <w:rPr>
          <w:rFonts w:ascii="Tahoma" w:hAnsi="Tahoma" w:hint="cs"/>
          <w:sz w:val="27"/>
          <w:rtl/>
          <w:lang w:bidi="fa-IR"/>
        </w:rPr>
        <w:t>.</w:t>
      </w:r>
      <w:r w:rsidRPr="00904FCB">
        <w:rPr>
          <w:rFonts w:ascii="Tahoma" w:hAnsi="Tahoma"/>
          <w:sz w:val="27"/>
          <w:rtl/>
          <w:lang w:bidi="fa-IR"/>
        </w:rPr>
        <w:t xml:space="preserve"> فكل</w:t>
      </w:r>
      <w:r w:rsidR="0063145A" w:rsidRPr="00904FCB">
        <w:rPr>
          <w:rFonts w:ascii="Tahoma" w:hAnsi="Tahoma" w:hint="cs"/>
          <w:sz w:val="27"/>
          <w:rtl/>
          <w:lang w:bidi="fa-IR"/>
        </w:rPr>
        <w:t>ّ</w:t>
      </w:r>
      <w:r w:rsidRPr="00904FCB">
        <w:rPr>
          <w:rFonts w:ascii="Tahoma" w:hAnsi="Tahoma"/>
          <w:sz w:val="27"/>
          <w:rtl/>
          <w:lang w:bidi="fa-IR"/>
        </w:rPr>
        <w:t xml:space="preserve"> ما يتضم</w:t>
      </w:r>
      <w:r w:rsidR="0063145A" w:rsidRPr="00904FCB">
        <w:rPr>
          <w:rFonts w:ascii="Tahoma" w:hAnsi="Tahoma" w:hint="cs"/>
          <w:sz w:val="27"/>
          <w:rtl/>
          <w:lang w:bidi="fa-IR"/>
        </w:rPr>
        <w:t>ّ</w:t>
      </w:r>
      <w:r w:rsidRPr="00904FCB">
        <w:rPr>
          <w:rFonts w:ascii="Tahoma" w:hAnsi="Tahoma"/>
          <w:sz w:val="27"/>
          <w:rtl/>
          <w:lang w:bidi="fa-IR"/>
        </w:rPr>
        <w:t>ن حفظ هذه الأصول الخمسة فهو مصلحة</w:t>
      </w:r>
      <w:r w:rsidR="0063145A" w:rsidRPr="00904FCB">
        <w:rPr>
          <w:rFonts w:ascii="Tahoma" w:hAnsi="Tahoma" w:hint="cs"/>
          <w:sz w:val="27"/>
          <w:rtl/>
          <w:lang w:bidi="fa-IR"/>
        </w:rPr>
        <w:t>ٌ</w:t>
      </w:r>
      <w:r w:rsidRPr="00904FCB">
        <w:rPr>
          <w:rFonts w:ascii="Tahoma" w:hAnsi="Tahoma"/>
          <w:sz w:val="27"/>
          <w:rtl/>
          <w:lang w:bidi="fa-IR"/>
        </w:rPr>
        <w:t>، وكل</w:t>
      </w:r>
      <w:r w:rsidR="0063145A" w:rsidRPr="00904FCB">
        <w:rPr>
          <w:rFonts w:ascii="Tahoma" w:hAnsi="Tahoma" w:hint="cs"/>
          <w:sz w:val="27"/>
          <w:rtl/>
          <w:lang w:bidi="fa-IR"/>
        </w:rPr>
        <w:t>ّ</w:t>
      </w:r>
      <w:r w:rsidRPr="00904FCB">
        <w:rPr>
          <w:rFonts w:ascii="Tahoma" w:hAnsi="Tahoma"/>
          <w:sz w:val="27"/>
          <w:rtl/>
          <w:lang w:bidi="fa-IR"/>
        </w:rPr>
        <w:t xml:space="preserve"> ما يفوت هذه الأصول فهو مفسدة</w:t>
      </w:r>
      <w:r w:rsidR="0063145A" w:rsidRPr="00904FCB">
        <w:rPr>
          <w:rFonts w:ascii="Tahoma" w:hAnsi="Tahoma" w:hint="cs"/>
          <w:sz w:val="27"/>
          <w:rtl/>
          <w:lang w:bidi="fa-IR"/>
        </w:rPr>
        <w:t>،</w:t>
      </w:r>
      <w:r w:rsidRPr="00904FCB">
        <w:rPr>
          <w:rFonts w:ascii="Tahoma" w:hAnsi="Tahoma"/>
          <w:sz w:val="27"/>
          <w:rtl/>
          <w:lang w:bidi="fa-IR"/>
        </w:rPr>
        <w:t xml:space="preserve"> ودفعها مصلحة</w:t>
      </w:r>
      <w:r w:rsidRPr="00904FCB">
        <w:rPr>
          <w:rFonts w:hint="eastAsia"/>
          <w:sz w:val="27"/>
          <w:rtl/>
        </w:rPr>
        <w:t>»</w:t>
      </w:r>
      <w:r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2C310E">
      <w:pPr>
        <w:autoSpaceDE w:val="0"/>
        <w:autoSpaceDN w:val="0"/>
        <w:adjustRightInd w:val="0"/>
        <w:spacing w:line="400" w:lineRule="exact"/>
        <w:ind w:firstLine="561"/>
        <w:rPr>
          <w:rFonts w:ascii="Tahoma" w:hAnsi="Tahoma"/>
          <w:sz w:val="27"/>
          <w:lang w:bidi="fa-IR"/>
        </w:rPr>
      </w:pPr>
      <w:r w:rsidRPr="00904FCB">
        <w:rPr>
          <w:rFonts w:ascii="Tahoma" w:hAnsi="Tahoma"/>
          <w:sz w:val="27"/>
          <w:rtl/>
          <w:lang w:bidi="fa-IR"/>
        </w:rPr>
        <w:t xml:space="preserve">والمقاصد بهذا المفهوم الواسع للمصلحة تعطي مشروعية لتوظيف القانون المقارن </w:t>
      </w:r>
      <w:r w:rsidRPr="00904FCB">
        <w:rPr>
          <w:rFonts w:ascii="Tahoma" w:hAnsi="Tahoma"/>
          <w:sz w:val="27"/>
          <w:rtl/>
          <w:lang w:bidi="fa-IR"/>
        </w:rPr>
        <w:lastRenderedPageBreak/>
        <w:t>في فقه التنزيل، واستقبال حلوله باعتبارها خبرة بشرية في ميدان تتلاق</w:t>
      </w:r>
      <w:r w:rsidR="002C310E">
        <w:rPr>
          <w:rFonts w:ascii="Tahoma" w:hAnsi="Tahoma" w:hint="cs"/>
          <w:sz w:val="27"/>
          <w:rtl/>
          <w:lang w:bidi="fa-IR"/>
        </w:rPr>
        <w:t>ى</w:t>
      </w:r>
      <w:r w:rsidRPr="00904FCB">
        <w:rPr>
          <w:rFonts w:ascii="Tahoma" w:hAnsi="Tahoma"/>
          <w:sz w:val="27"/>
          <w:rtl/>
          <w:lang w:bidi="fa-IR"/>
        </w:rPr>
        <w:t xml:space="preserve"> فيه العقول</w:t>
      </w:r>
      <w:r w:rsidR="0063145A" w:rsidRPr="00904FCB">
        <w:rPr>
          <w:rFonts w:ascii="Tahoma" w:hAnsi="Tahoma" w:hint="cs"/>
          <w:sz w:val="27"/>
          <w:rtl/>
          <w:lang w:bidi="fa-IR"/>
        </w:rPr>
        <w:t>.</w:t>
      </w:r>
      <w:r w:rsidRPr="00904FCB">
        <w:rPr>
          <w:rFonts w:ascii="Tahoma" w:hAnsi="Tahoma"/>
          <w:sz w:val="27"/>
          <w:rtl/>
          <w:lang w:bidi="fa-IR"/>
        </w:rPr>
        <w:t xml:space="preserve"> فالقانوني المسلم ليس بحاجة</w:t>
      </w:r>
      <w:r w:rsidR="0063145A" w:rsidRPr="00904FCB">
        <w:rPr>
          <w:rFonts w:ascii="Tahoma" w:hAnsi="Tahoma" w:hint="cs"/>
          <w:sz w:val="27"/>
          <w:rtl/>
          <w:lang w:bidi="fa-IR"/>
        </w:rPr>
        <w:t>ٍ</w:t>
      </w:r>
      <w:r w:rsidRPr="00904FCB">
        <w:rPr>
          <w:rFonts w:ascii="Tahoma" w:hAnsi="Tahoma"/>
          <w:sz w:val="27"/>
          <w:rtl/>
          <w:lang w:bidi="fa-IR"/>
        </w:rPr>
        <w:t xml:space="preserve"> إلى </w:t>
      </w:r>
      <w:r w:rsidRPr="00904FCB">
        <w:rPr>
          <w:rFonts w:hint="eastAsia"/>
          <w:sz w:val="27"/>
          <w:rtl/>
          <w:lang w:bidi="fa-IR"/>
        </w:rPr>
        <w:t>«</w:t>
      </w:r>
      <w:r w:rsidRPr="00904FCB">
        <w:rPr>
          <w:rFonts w:ascii="Tahoma" w:hAnsi="Tahoma"/>
          <w:sz w:val="27"/>
          <w:rtl/>
          <w:lang w:bidi="fa-IR"/>
        </w:rPr>
        <w:t>فكرة النظام العام</w:t>
      </w:r>
      <w:r w:rsidRPr="00904FCB">
        <w:rPr>
          <w:rFonts w:hint="eastAsia"/>
          <w:sz w:val="27"/>
          <w:rtl/>
        </w:rPr>
        <w:t>»</w:t>
      </w:r>
      <w:r w:rsidRPr="00904FCB">
        <w:rPr>
          <w:rFonts w:ascii="Tahoma" w:hAnsi="Tahoma"/>
          <w:sz w:val="27"/>
          <w:rtl/>
          <w:lang w:bidi="fa-IR"/>
        </w:rPr>
        <w:t xml:space="preserve"> لقبول القانون الأجنبي أو رفضه</w:t>
      </w:r>
      <w:r w:rsidR="0063145A" w:rsidRPr="00904FCB">
        <w:rPr>
          <w:rFonts w:ascii="Tahoma" w:hAnsi="Tahoma" w:hint="cs"/>
          <w:sz w:val="27"/>
          <w:rtl/>
          <w:lang w:bidi="fa-IR"/>
        </w:rPr>
        <w:t>؛</w:t>
      </w:r>
      <w:r w:rsidRPr="00904FCB">
        <w:rPr>
          <w:rFonts w:ascii="Tahoma" w:hAnsi="Tahoma"/>
          <w:sz w:val="27"/>
          <w:rtl/>
          <w:lang w:bidi="fa-IR"/>
        </w:rPr>
        <w:t xml:space="preserve"> لأن مقاصده الكلية تقر</w:t>
      </w:r>
      <w:r w:rsidR="0063145A" w:rsidRPr="00904FCB">
        <w:rPr>
          <w:rFonts w:ascii="Tahoma" w:hAnsi="Tahoma" w:hint="cs"/>
          <w:sz w:val="27"/>
          <w:rtl/>
          <w:lang w:bidi="fa-IR"/>
        </w:rPr>
        <w:t>ِّ</w:t>
      </w:r>
      <w:r w:rsidRPr="00904FCB">
        <w:rPr>
          <w:rFonts w:ascii="Tahoma" w:hAnsi="Tahoma"/>
          <w:sz w:val="27"/>
          <w:rtl/>
          <w:lang w:bidi="fa-IR"/>
        </w:rPr>
        <w:t xml:space="preserve">ر </w:t>
      </w:r>
      <w:r w:rsidR="0063145A" w:rsidRPr="00904FCB">
        <w:rPr>
          <w:rFonts w:ascii="Tahoma" w:hAnsi="Tahoma" w:hint="cs"/>
          <w:sz w:val="27"/>
          <w:rtl/>
          <w:lang w:bidi="fa-IR"/>
        </w:rPr>
        <w:t>أ</w:t>
      </w:r>
      <w:r w:rsidRPr="00904FCB">
        <w:rPr>
          <w:rFonts w:ascii="Tahoma" w:hAnsi="Tahoma"/>
          <w:sz w:val="27"/>
          <w:rtl/>
          <w:lang w:bidi="fa-IR"/>
        </w:rPr>
        <w:t>نه «حيث توجد المصلحة ف</w:t>
      </w:r>
      <w:r w:rsidR="0063145A" w:rsidRPr="00904FCB">
        <w:rPr>
          <w:rFonts w:ascii="Tahoma" w:hAnsi="Tahoma" w:hint="cs"/>
          <w:sz w:val="27"/>
          <w:rtl/>
          <w:lang w:bidi="fa-IR"/>
        </w:rPr>
        <w:t>ث</w:t>
      </w:r>
      <w:r w:rsidRPr="00904FCB">
        <w:rPr>
          <w:rFonts w:ascii="Tahoma" w:hAnsi="Tahoma"/>
          <w:sz w:val="27"/>
          <w:rtl/>
          <w:lang w:bidi="fa-IR"/>
        </w:rPr>
        <w:t>م</w:t>
      </w:r>
      <w:r w:rsidR="0063145A" w:rsidRPr="00904FCB">
        <w:rPr>
          <w:rFonts w:ascii="Tahoma" w:hAnsi="Tahoma" w:hint="cs"/>
          <w:sz w:val="27"/>
          <w:rtl/>
          <w:lang w:bidi="fa-IR"/>
        </w:rPr>
        <w:t>ّ</w:t>
      </w:r>
      <w:r w:rsidRPr="00904FCB">
        <w:rPr>
          <w:rFonts w:ascii="Tahoma" w:hAnsi="Tahoma"/>
          <w:sz w:val="27"/>
          <w:rtl/>
          <w:lang w:bidi="fa-IR"/>
        </w:rPr>
        <w:t xml:space="preserve"> شرع الله»</w:t>
      </w:r>
      <w:r w:rsidR="0063145A" w:rsidRPr="00904FCB">
        <w:rPr>
          <w:rFonts w:ascii="Tahoma" w:hAnsi="Tahoma" w:hint="cs"/>
          <w:sz w:val="27"/>
          <w:rtl/>
          <w:lang w:bidi="fa-IR"/>
        </w:rPr>
        <w:t>،</w:t>
      </w:r>
      <w:r w:rsidRPr="00904FCB">
        <w:rPr>
          <w:rFonts w:ascii="Tahoma" w:hAnsi="Tahoma"/>
          <w:sz w:val="27"/>
          <w:rtl/>
          <w:lang w:bidi="fa-IR"/>
        </w:rPr>
        <w:t xml:space="preserve"> وربط الحلول الجزئية بأسبابها وموجباتها من مزايا قواعد الشرع ال</w:t>
      </w:r>
      <w:r w:rsidR="0063145A" w:rsidRPr="00904FCB">
        <w:rPr>
          <w:rFonts w:ascii="Tahoma" w:hAnsi="Tahoma" w:hint="cs"/>
          <w:sz w:val="27"/>
          <w:rtl/>
          <w:lang w:bidi="fa-IR"/>
        </w:rPr>
        <w:t>إ</w:t>
      </w:r>
      <w:r w:rsidRPr="00904FCB">
        <w:rPr>
          <w:rFonts w:ascii="Tahoma" w:hAnsi="Tahoma"/>
          <w:sz w:val="27"/>
          <w:rtl/>
          <w:lang w:bidi="fa-IR"/>
        </w:rPr>
        <w:t>سلامي</w:t>
      </w:r>
      <w:r w:rsidR="0063145A" w:rsidRPr="00904FCB">
        <w:rPr>
          <w:rFonts w:ascii="Tahoma" w:hAnsi="Tahoma" w:hint="cs"/>
          <w:sz w:val="27"/>
          <w:rtl/>
          <w:lang w:bidi="fa-IR"/>
        </w:rPr>
        <w:t>؛</w:t>
      </w:r>
      <w:r w:rsidRPr="00904FCB">
        <w:rPr>
          <w:rFonts w:ascii="Tahoma" w:hAnsi="Tahoma"/>
          <w:sz w:val="27"/>
          <w:rtl/>
          <w:lang w:bidi="fa-IR"/>
        </w:rPr>
        <w:t xml:space="preserve"> لأن </w:t>
      </w:r>
      <w:r w:rsidRPr="00904FCB">
        <w:rPr>
          <w:rFonts w:hint="eastAsia"/>
          <w:sz w:val="27"/>
          <w:rtl/>
          <w:lang w:bidi="fa-IR"/>
        </w:rPr>
        <w:t>«</w:t>
      </w:r>
      <w:r w:rsidRPr="00904FCB">
        <w:rPr>
          <w:rFonts w:ascii="Tahoma" w:hAnsi="Tahoma"/>
          <w:sz w:val="27"/>
          <w:rtl/>
          <w:lang w:bidi="fa-IR"/>
        </w:rPr>
        <w:t>طي</w:t>
      </w:r>
      <w:r w:rsidR="0063145A" w:rsidRPr="00904FCB">
        <w:rPr>
          <w:rFonts w:ascii="Tahoma" w:hAnsi="Tahoma" w:hint="cs"/>
          <w:sz w:val="27"/>
          <w:rtl/>
          <w:lang w:bidi="fa-IR"/>
        </w:rPr>
        <w:t>ّ</w:t>
      </w:r>
      <w:r w:rsidRPr="00904FCB">
        <w:rPr>
          <w:rFonts w:ascii="Tahoma" w:hAnsi="Tahoma"/>
          <w:sz w:val="27"/>
          <w:rtl/>
          <w:lang w:bidi="fa-IR"/>
        </w:rPr>
        <w:t xml:space="preserve"> بساط الأسباب والعلل ـ كما يقول </w:t>
      </w:r>
      <w:r w:rsidRPr="00904FCB">
        <w:rPr>
          <w:rFonts w:hint="eastAsia"/>
          <w:sz w:val="27"/>
          <w:rtl/>
          <w:lang w:bidi="fa-IR"/>
        </w:rPr>
        <w:t>«</w:t>
      </w:r>
      <w:r w:rsidRPr="00904FCB">
        <w:rPr>
          <w:rFonts w:ascii="Tahoma" w:hAnsi="Tahoma"/>
          <w:sz w:val="27"/>
          <w:rtl/>
          <w:lang w:bidi="fa-IR"/>
        </w:rPr>
        <w:t>ابن الق</w:t>
      </w:r>
      <w:r w:rsidR="0063145A" w:rsidRPr="00904FCB">
        <w:rPr>
          <w:rFonts w:ascii="Tahoma" w:hAnsi="Tahoma" w:hint="cs"/>
          <w:sz w:val="27"/>
          <w:rtl/>
          <w:lang w:bidi="fa-IR"/>
        </w:rPr>
        <w:t>َ</w:t>
      </w:r>
      <w:r w:rsidRPr="00904FCB">
        <w:rPr>
          <w:rFonts w:ascii="Tahoma" w:hAnsi="Tahoma"/>
          <w:sz w:val="27"/>
          <w:rtl/>
          <w:lang w:bidi="fa-IR"/>
        </w:rPr>
        <w:t>ي</w:t>
      </w:r>
      <w:r w:rsidR="0063145A" w:rsidRPr="00904FCB">
        <w:rPr>
          <w:rFonts w:ascii="Tahoma" w:hAnsi="Tahoma" w:hint="cs"/>
          <w:sz w:val="27"/>
          <w:rtl/>
          <w:lang w:bidi="fa-IR"/>
        </w:rPr>
        <w:t>ِّ</w:t>
      </w:r>
      <w:r w:rsidRPr="00904FCB">
        <w:rPr>
          <w:rFonts w:ascii="Tahoma" w:hAnsi="Tahoma"/>
          <w:sz w:val="27"/>
          <w:rtl/>
          <w:lang w:bidi="fa-IR"/>
        </w:rPr>
        <w:t>م</w:t>
      </w:r>
      <w:r w:rsidRPr="00904FCB">
        <w:rPr>
          <w:rFonts w:hint="eastAsia"/>
          <w:sz w:val="27"/>
          <w:rtl/>
        </w:rPr>
        <w:t>»</w:t>
      </w:r>
      <w:r w:rsidRPr="00904FCB">
        <w:rPr>
          <w:rFonts w:ascii="Tahoma" w:hAnsi="Tahoma"/>
          <w:sz w:val="27"/>
          <w:rtl/>
          <w:lang w:bidi="fa-IR"/>
        </w:rPr>
        <w:t xml:space="preserve"> في «مدارج السالكين» ـ تعطيل للأمر والنهي والشرائع والعلل..</w:t>
      </w:r>
      <w:r w:rsidR="0063145A" w:rsidRPr="00904FCB">
        <w:rPr>
          <w:rFonts w:ascii="Tahoma" w:hAnsi="Tahoma" w:hint="cs"/>
          <w:sz w:val="27"/>
          <w:rtl/>
          <w:lang w:bidi="fa-IR"/>
        </w:rPr>
        <w:t>.؛</w:t>
      </w:r>
      <w:r w:rsidRPr="00904FCB">
        <w:rPr>
          <w:rFonts w:ascii="Tahoma" w:hAnsi="Tahoma"/>
          <w:sz w:val="27"/>
          <w:rtl/>
          <w:lang w:bidi="fa-IR"/>
        </w:rPr>
        <w:t xml:space="preserve"> لأن الأسباب والعلل محل</w:t>
      </w:r>
      <w:r w:rsidR="0063145A" w:rsidRPr="00904FCB">
        <w:rPr>
          <w:rFonts w:ascii="Tahoma" w:hAnsi="Tahoma" w:hint="cs"/>
          <w:sz w:val="27"/>
          <w:rtl/>
          <w:lang w:bidi="fa-IR"/>
        </w:rPr>
        <w:t>ّ</w:t>
      </w:r>
      <w:r w:rsidRPr="00904FCB">
        <w:rPr>
          <w:rFonts w:ascii="Tahoma" w:hAnsi="Tahoma"/>
          <w:sz w:val="27"/>
          <w:rtl/>
          <w:lang w:bidi="fa-IR"/>
        </w:rPr>
        <w:t xml:space="preserve"> </w:t>
      </w:r>
      <w:r w:rsidR="0063145A" w:rsidRPr="00904FCB">
        <w:rPr>
          <w:rFonts w:ascii="Tahoma" w:hAnsi="Tahoma" w:hint="cs"/>
          <w:sz w:val="27"/>
          <w:rtl/>
          <w:lang w:bidi="fa-IR"/>
        </w:rPr>
        <w:t>ا</w:t>
      </w:r>
      <w:r w:rsidRPr="00904FCB">
        <w:rPr>
          <w:rFonts w:ascii="Tahoma" w:hAnsi="Tahoma"/>
          <w:sz w:val="27"/>
          <w:rtl/>
          <w:lang w:bidi="fa-IR"/>
        </w:rPr>
        <w:t>د</w:t>
      </w:r>
      <w:r w:rsidR="0063145A" w:rsidRPr="00904FCB">
        <w:rPr>
          <w:rFonts w:ascii="Tahoma" w:hAnsi="Tahoma" w:hint="cs"/>
          <w:sz w:val="27"/>
          <w:rtl/>
          <w:lang w:bidi="fa-IR"/>
        </w:rPr>
        <w:t>ّ</w:t>
      </w:r>
      <w:r w:rsidRPr="00904FCB">
        <w:rPr>
          <w:rFonts w:ascii="Tahoma" w:hAnsi="Tahoma"/>
          <w:sz w:val="27"/>
          <w:rtl/>
          <w:lang w:bidi="fa-IR"/>
        </w:rPr>
        <w:t>كار المتفك</w:t>
      </w:r>
      <w:r w:rsidR="0063145A" w:rsidRPr="00904FCB">
        <w:rPr>
          <w:rFonts w:ascii="Tahoma" w:hAnsi="Tahoma" w:hint="cs"/>
          <w:sz w:val="27"/>
          <w:rtl/>
          <w:lang w:bidi="fa-IR"/>
        </w:rPr>
        <w:t>ِّ</w:t>
      </w:r>
      <w:r w:rsidRPr="00904FCB">
        <w:rPr>
          <w:rFonts w:ascii="Tahoma" w:hAnsi="Tahoma"/>
          <w:sz w:val="27"/>
          <w:rtl/>
          <w:lang w:bidi="fa-IR"/>
        </w:rPr>
        <w:t>رين، واعتبار الناظرين، ومعارف المستدلين</w:t>
      </w:r>
      <w:r w:rsidR="0063145A" w:rsidRPr="00904FCB">
        <w:rPr>
          <w:rFonts w:ascii="Tahoma" w:hAnsi="Tahoma" w:hint="cs"/>
          <w:sz w:val="27"/>
          <w:rtl/>
          <w:lang w:bidi="fa-IR"/>
        </w:rPr>
        <w:t>:</w:t>
      </w:r>
      <w:r w:rsidRPr="00904FCB">
        <w:rPr>
          <w:rFonts w:ascii="Tahoma" w:hAnsi="Tahoma"/>
          <w:sz w:val="27"/>
          <w:rtl/>
          <w:lang w:bidi="fa-IR"/>
        </w:rPr>
        <w:t xml:space="preserve"> </w:t>
      </w:r>
      <w:r w:rsidRPr="00904FCB">
        <w:rPr>
          <w:rFonts w:ascii="Mosawi" w:hAnsi="Mosawi" w:cs="Mosawi"/>
          <w:sz w:val="24"/>
          <w:szCs w:val="24"/>
          <w:rtl/>
        </w:rPr>
        <w:t>﴿</w:t>
      </w:r>
      <w:r w:rsidRPr="00904FCB">
        <w:rPr>
          <w:b/>
          <w:bCs/>
          <w:sz w:val="27"/>
          <w:rtl/>
        </w:rPr>
        <w:t>إِنَّ فِي ذَلِكَ لآيَاتٍ لِلْمُتَوَسِّمِينَ</w:t>
      </w:r>
      <w:r w:rsidRPr="00904FCB">
        <w:rPr>
          <w:rFonts w:ascii="Mosawi" w:hAnsi="Mosawi" w:cs="Mosawi"/>
          <w:sz w:val="24"/>
          <w:szCs w:val="24"/>
          <w:rtl/>
        </w:rPr>
        <w:t>﴾</w:t>
      </w:r>
      <w:r w:rsidRPr="00904FCB">
        <w:rPr>
          <w:rFonts w:ascii="Tahoma" w:hAnsi="Tahoma"/>
          <w:sz w:val="27"/>
          <w:rtl/>
          <w:lang w:bidi="fa-IR"/>
        </w:rPr>
        <w:t xml:space="preserve"> (</w:t>
      </w:r>
      <w:r w:rsidRPr="00904FCB">
        <w:rPr>
          <w:rFonts w:ascii="Tahoma" w:hAnsi="Tahoma" w:hint="cs"/>
          <w:sz w:val="27"/>
          <w:rtl/>
          <w:lang w:bidi="fa-IR"/>
        </w:rPr>
        <w:t>الحجر:</w:t>
      </w:r>
      <w:r w:rsidRPr="00904FCB">
        <w:rPr>
          <w:rFonts w:ascii="Tahoma" w:hAnsi="Tahoma" w:hint="cs"/>
          <w:sz w:val="27"/>
          <w:rtl/>
          <w:lang w:bidi="ar-LB"/>
        </w:rPr>
        <w:t xml:space="preserve"> </w:t>
      </w:r>
      <w:r w:rsidRPr="008C16BF">
        <w:rPr>
          <w:rFonts w:ascii="Tahoma" w:hAnsi="Tahoma" w:hint="cs"/>
          <w:sz w:val="27"/>
          <w:rtl/>
          <w:lang w:bidi="ar-LB"/>
        </w:rPr>
        <w:t>75</w:t>
      </w:r>
      <w:r w:rsidRPr="00904FCB">
        <w:rPr>
          <w:rFonts w:ascii="Tahoma" w:hAnsi="Tahoma"/>
          <w:sz w:val="27"/>
          <w:rtl/>
          <w:lang w:bidi="fa-IR"/>
        </w:rPr>
        <w:t>)</w:t>
      </w:r>
      <w:r w:rsidR="0063145A" w:rsidRPr="00904FCB">
        <w:rPr>
          <w:rFonts w:ascii="Tahoma" w:hAnsi="Tahoma" w:hint="cs"/>
          <w:sz w:val="27"/>
          <w:rtl/>
          <w:lang w:bidi="fa-IR"/>
        </w:rPr>
        <w:t>.</w:t>
      </w:r>
      <w:r w:rsidRPr="00904FCB">
        <w:rPr>
          <w:rFonts w:ascii="Tahoma" w:hAnsi="Tahoma"/>
          <w:sz w:val="27"/>
          <w:rtl/>
          <w:lang w:bidi="fa-IR"/>
        </w:rPr>
        <w:t xml:space="preserve"> وكم في القرآن من الحث</w:t>
      </w:r>
      <w:r w:rsidR="0063145A" w:rsidRPr="00904FCB">
        <w:rPr>
          <w:rFonts w:ascii="Tahoma" w:hAnsi="Tahoma" w:hint="cs"/>
          <w:sz w:val="27"/>
          <w:rtl/>
          <w:lang w:bidi="fa-IR"/>
        </w:rPr>
        <w:t>ّ</w:t>
      </w:r>
      <w:r w:rsidRPr="00904FCB">
        <w:rPr>
          <w:rFonts w:ascii="Tahoma" w:hAnsi="Tahoma"/>
          <w:sz w:val="27"/>
          <w:rtl/>
          <w:lang w:bidi="fa-IR"/>
        </w:rPr>
        <w:t xml:space="preserve"> على النظر والاعتبار بها، والتفك</w:t>
      </w:r>
      <w:r w:rsidR="0063145A" w:rsidRPr="00904FCB">
        <w:rPr>
          <w:rFonts w:ascii="Tahoma" w:hAnsi="Tahoma" w:hint="cs"/>
          <w:sz w:val="27"/>
          <w:rtl/>
          <w:lang w:bidi="fa-IR"/>
        </w:rPr>
        <w:t>ُّ</w:t>
      </w:r>
      <w:r w:rsidRPr="00904FCB">
        <w:rPr>
          <w:rFonts w:ascii="Tahoma" w:hAnsi="Tahoma"/>
          <w:sz w:val="27"/>
          <w:rtl/>
          <w:lang w:bidi="fa-IR"/>
        </w:rPr>
        <w:t>ر فيها، وذم</w:t>
      </w:r>
      <w:r w:rsidR="0063145A" w:rsidRPr="00904FCB">
        <w:rPr>
          <w:rFonts w:ascii="Tahoma" w:hAnsi="Tahoma" w:hint="cs"/>
          <w:sz w:val="27"/>
          <w:rtl/>
          <w:lang w:bidi="fa-IR"/>
        </w:rPr>
        <w:t>ّ</w:t>
      </w:r>
      <w:r w:rsidRPr="00904FCB">
        <w:rPr>
          <w:rFonts w:ascii="Tahoma" w:hAnsi="Tahoma"/>
          <w:sz w:val="27"/>
          <w:rtl/>
          <w:lang w:bidi="fa-IR"/>
        </w:rPr>
        <w:t xml:space="preserve"> م</w:t>
      </w:r>
      <w:r w:rsidR="0063145A" w:rsidRPr="00904FCB">
        <w:rPr>
          <w:rFonts w:ascii="Tahoma" w:hAnsi="Tahoma" w:hint="cs"/>
          <w:sz w:val="27"/>
          <w:rtl/>
          <w:lang w:bidi="fa-IR"/>
        </w:rPr>
        <w:t>َ</w:t>
      </w:r>
      <w:r w:rsidRPr="00904FCB">
        <w:rPr>
          <w:rFonts w:ascii="Tahoma" w:hAnsi="Tahoma"/>
          <w:sz w:val="27"/>
          <w:rtl/>
          <w:lang w:bidi="fa-IR"/>
        </w:rPr>
        <w:t>ن</w:t>
      </w:r>
      <w:r w:rsidR="0063145A" w:rsidRPr="00904FCB">
        <w:rPr>
          <w:rFonts w:ascii="Tahoma" w:hAnsi="Tahoma" w:hint="cs"/>
          <w:sz w:val="27"/>
          <w:rtl/>
          <w:lang w:bidi="fa-IR"/>
        </w:rPr>
        <w:t>ْ</w:t>
      </w:r>
      <w:r w:rsidRPr="00904FCB">
        <w:rPr>
          <w:rFonts w:ascii="Tahoma" w:hAnsi="Tahoma"/>
          <w:sz w:val="27"/>
          <w:rtl/>
          <w:lang w:bidi="fa-IR"/>
        </w:rPr>
        <w:t xml:space="preserve"> أعرض عنها</w:t>
      </w:r>
      <w:r w:rsidR="0063145A" w:rsidRPr="00904FCB">
        <w:rPr>
          <w:rFonts w:ascii="Tahoma" w:hAnsi="Tahoma" w:hint="cs"/>
          <w:sz w:val="27"/>
          <w:rtl/>
          <w:lang w:bidi="fa-IR"/>
        </w:rPr>
        <w:t>؟!</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ولا يخلو باب من أبواب الفقه ـ القانون ـ</w:t>
      </w:r>
      <w:r w:rsidR="0063145A" w:rsidRPr="00904FCB">
        <w:rPr>
          <w:rFonts w:ascii="Tahoma" w:hAnsi="Tahoma" w:hint="cs"/>
          <w:sz w:val="27"/>
          <w:rtl/>
          <w:lang w:bidi="fa-IR"/>
        </w:rPr>
        <w:t>،</w:t>
      </w:r>
      <w:r w:rsidRPr="00904FCB">
        <w:rPr>
          <w:rFonts w:ascii="Tahoma" w:hAnsi="Tahoma"/>
          <w:sz w:val="27"/>
          <w:rtl/>
          <w:lang w:bidi="fa-IR"/>
        </w:rPr>
        <w:t xml:space="preserve"> من عبادات ومعاملات وجنايات وغيرها</w:t>
      </w:r>
      <w:r w:rsidR="0063145A" w:rsidRPr="00904FCB">
        <w:rPr>
          <w:rFonts w:ascii="Tahoma" w:hAnsi="Tahoma" w:hint="cs"/>
          <w:sz w:val="27"/>
          <w:rtl/>
          <w:lang w:bidi="fa-IR"/>
        </w:rPr>
        <w:t>،</w:t>
      </w:r>
      <w:r w:rsidRPr="00904FCB">
        <w:rPr>
          <w:rFonts w:ascii="Tahoma" w:hAnsi="Tahoma"/>
          <w:sz w:val="27"/>
          <w:rtl/>
          <w:lang w:bidi="fa-IR"/>
        </w:rPr>
        <w:t xml:space="preserve"> من رعاية هذه المصالح</w:t>
      </w:r>
      <w:r w:rsidR="0063145A" w:rsidRPr="00904FCB">
        <w:rPr>
          <w:rFonts w:ascii="Tahoma" w:hAnsi="Tahoma" w:hint="cs"/>
          <w:sz w:val="27"/>
          <w:rtl/>
          <w:lang w:bidi="fa-IR"/>
        </w:rPr>
        <w:t>،</w:t>
      </w:r>
      <w:r w:rsidRPr="00904FCB">
        <w:rPr>
          <w:rFonts w:ascii="Tahoma" w:hAnsi="Tahoma"/>
          <w:sz w:val="27"/>
          <w:rtl/>
          <w:lang w:bidi="fa-IR"/>
        </w:rPr>
        <w:t xml:space="preserve"> وتحقيق هذه المقاصد</w:t>
      </w:r>
      <w:r w:rsidR="0063145A" w:rsidRPr="00904FCB">
        <w:rPr>
          <w:rFonts w:ascii="Tahoma" w:hAnsi="Tahoma" w:hint="cs"/>
          <w:sz w:val="27"/>
          <w:rtl/>
          <w:lang w:bidi="fa-IR"/>
        </w:rPr>
        <w:t>،</w:t>
      </w:r>
      <w:r w:rsidRPr="00904FCB">
        <w:rPr>
          <w:rFonts w:ascii="Tahoma" w:hAnsi="Tahoma"/>
          <w:sz w:val="27"/>
          <w:rtl/>
          <w:lang w:bidi="fa-IR"/>
        </w:rPr>
        <w:t xml:space="preserve"> بتأكيد </w:t>
      </w:r>
      <w:r w:rsidR="0063145A" w:rsidRPr="00904FCB">
        <w:rPr>
          <w:rFonts w:hint="eastAsia"/>
          <w:sz w:val="27"/>
          <w:rtl/>
          <w:lang w:bidi="fa-IR"/>
        </w:rPr>
        <w:t>«</w:t>
      </w:r>
      <w:r w:rsidRPr="00904FCB">
        <w:rPr>
          <w:rFonts w:ascii="Tahoma" w:hAnsi="Tahoma"/>
          <w:sz w:val="27"/>
          <w:rtl/>
          <w:lang w:bidi="fa-IR"/>
        </w:rPr>
        <w:t>ال</w:t>
      </w:r>
      <w:r w:rsidR="0063145A" w:rsidRPr="00904FCB">
        <w:rPr>
          <w:rFonts w:ascii="Tahoma" w:hAnsi="Tahoma" w:hint="cs"/>
          <w:sz w:val="27"/>
          <w:rtl/>
          <w:lang w:bidi="fa-IR"/>
        </w:rPr>
        <w:t>إ</w:t>
      </w:r>
      <w:r w:rsidRPr="00904FCB">
        <w:rPr>
          <w:rFonts w:ascii="Tahoma" w:hAnsi="Tahoma"/>
          <w:sz w:val="27"/>
          <w:rtl/>
          <w:lang w:bidi="fa-IR"/>
        </w:rPr>
        <w:t>مام الشاطبي</w:t>
      </w:r>
      <w:r w:rsidRPr="00904FCB">
        <w:rPr>
          <w:rFonts w:hint="eastAsia"/>
          <w:sz w:val="27"/>
          <w:rtl/>
        </w:rPr>
        <w:t>»</w:t>
      </w:r>
      <w:r w:rsidR="0063145A" w:rsidRPr="00904FCB">
        <w:rPr>
          <w:rFonts w:ascii="Tahoma" w:hAnsi="Tahoma" w:hint="cs"/>
          <w:sz w:val="27"/>
          <w:rtl/>
          <w:lang w:bidi="fa-IR"/>
        </w:rPr>
        <w:t>.</w:t>
      </w:r>
      <w:r w:rsidRPr="00904FCB">
        <w:rPr>
          <w:rFonts w:ascii="Tahoma" w:hAnsi="Tahoma"/>
          <w:sz w:val="27"/>
          <w:rtl/>
          <w:lang w:bidi="fa-IR"/>
        </w:rPr>
        <w:t xml:space="preserve"> ومعرفة أسرار التشريع ومقاصدها هي منهج رجل التشريع في تجاوز الأدل</w:t>
      </w:r>
      <w:r w:rsidR="0063145A" w:rsidRPr="00904FCB">
        <w:rPr>
          <w:rFonts w:ascii="Tahoma" w:hAnsi="Tahoma" w:hint="cs"/>
          <w:sz w:val="27"/>
          <w:rtl/>
          <w:lang w:bidi="fa-IR"/>
        </w:rPr>
        <w:t>ّ</w:t>
      </w:r>
      <w:r w:rsidRPr="00904FCB">
        <w:rPr>
          <w:rFonts w:ascii="Tahoma" w:hAnsi="Tahoma"/>
          <w:sz w:val="27"/>
          <w:rtl/>
          <w:lang w:bidi="fa-IR"/>
        </w:rPr>
        <w:t>ة الجزئية والحلول المفردة</w:t>
      </w:r>
      <w:r w:rsidR="0063145A" w:rsidRPr="00904FCB">
        <w:rPr>
          <w:rFonts w:ascii="Tahoma" w:hAnsi="Tahoma" w:hint="cs"/>
          <w:sz w:val="27"/>
          <w:rtl/>
          <w:lang w:bidi="fa-IR"/>
        </w:rPr>
        <w:t>؛</w:t>
      </w:r>
      <w:r w:rsidRPr="00904FCB">
        <w:rPr>
          <w:rFonts w:ascii="Tahoma" w:hAnsi="Tahoma"/>
          <w:sz w:val="27"/>
          <w:rtl/>
          <w:lang w:bidi="fa-IR"/>
        </w:rPr>
        <w:t xml:space="preserve"> للوصول إلى القواعد العامة والقواسم المشتركة</w:t>
      </w:r>
      <w:r w:rsidR="0063145A" w:rsidRPr="00904FCB">
        <w:rPr>
          <w:rFonts w:ascii="Tahoma" w:hAnsi="Tahoma" w:hint="cs"/>
          <w:sz w:val="27"/>
          <w:rtl/>
          <w:lang w:bidi="fa-IR"/>
        </w:rPr>
        <w:t>.</w:t>
      </w:r>
      <w:r w:rsidRPr="00904FCB">
        <w:rPr>
          <w:rFonts w:ascii="Tahoma" w:hAnsi="Tahoma"/>
          <w:sz w:val="27"/>
          <w:rtl/>
          <w:lang w:bidi="fa-IR"/>
        </w:rPr>
        <w:t xml:space="preserve"> فعليه النظر في «الكل</w:t>
      </w:r>
      <w:r w:rsidR="0063145A" w:rsidRPr="00904FCB">
        <w:rPr>
          <w:rFonts w:ascii="Tahoma" w:hAnsi="Tahoma" w:hint="cs"/>
          <w:sz w:val="27"/>
          <w:rtl/>
          <w:lang w:bidi="fa-IR"/>
        </w:rPr>
        <w:t>ِّ</w:t>
      </w:r>
      <w:r w:rsidRPr="00904FCB">
        <w:rPr>
          <w:rFonts w:ascii="Tahoma" w:hAnsi="Tahoma"/>
          <w:sz w:val="27"/>
          <w:rtl/>
          <w:lang w:bidi="fa-IR"/>
        </w:rPr>
        <w:t>يات» ليدرك سر</w:t>
      </w:r>
      <w:r w:rsidR="0063145A" w:rsidRPr="00904FCB">
        <w:rPr>
          <w:rFonts w:ascii="Tahoma" w:hAnsi="Tahoma" w:hint="cs"/>
          <w:sz w:val="27"/>
          <w:rtl/>
          <w:lang w:bidi="fa-IR"/>
        </w:rPr>
        <w:t>ّ</w:t>
      </w:r>
      <w:r w:rsidRPr="00904FCB">
        <w:rPr>
          <w:rFonts w:ascii="Tahoma" w:hAnsi="Tahoma"/>
          <w:sz w:val="27"/>
          <w:rtl/>
          <w:lang w:bidi="fa-IR"/>
        </w:rPr>
        <w:t xml:space="preserve"> التشريع، وإلا</w:t>
      </w:r>
      <w:r w:rsidR="0063145A" w:rsidRPr="00904FCB">
        <w:rPr>
          <w:rFonts w:ascii="Tahoma" w:hAnsi="Tahoma" w:hint="cs"/>
          <w:sz w:val="27"/>
          <w:rtl/>
          <w:lang w:bidi="fa-IR"/>
        </w:rPr>
        <w:t>ّ</w:t>
      </w:r>
      <w:r w:rsidRPr="00904FCB">
        <w:rPr>
          <w:rFonts w:ascii="Tahoma" w:hAnsi="Tahoma"/>
          <w:sz w:val="27"/>
          <w:rtl/>
          <w:lang w:bidi="fa-IR"/>
        </w:rPr>
        <w:t xml:space="preserve"> تضاربت بين يد</w:t>
      </w:r>
      <w:r w:rsidR="0063145A" w:rsidRPr="00904FCB">
        <w:rPr>
          <w:rFonts w:ascii="Tahoma" w:hAnsi="Tahoma" w:hint="cs"/>
          <w:sz w:val="27"/>
          <w:rtl/>
          <w:lang w:bidi="fa-IR"/>
        </w:rPr>
        <w:t>َ</w:t>
      </w:r>
      <w:r w:rsidRPr="00904FCB">
        <w:rPr>
          <w:rFonts w:ascii="Tahoma" w:hAnsi="Tahoma"/>
          <w:sz w:val="27"/>
          <w:rtl/>
          <w:lang w:bidi="fa-IR"/>
        </w:rPr>
        <w:t>ي</w:t>
      </w:r>
      <w:r w:rsidR="0063145A" w:rsidRPr="00904FCB">
        <w:rPr>
          <w:rFonts w:ascii="Tahoma" w:hAnsi="Tahoma" w:hint="cs"/>
          <w:sz w:val="27"/>
          <w:rtl/>
          <w:lang w:bidi="fa-IR"/>
        </w:rPr>
        <w:t>ْ</w:t>
      </w:r>
      <w:r w:rsidRPr="00904FCB">
        <w:rPr>
          <w:rFonts w:ascii="Tahoma" w:hAnsi="Tahoma"/>
          <w:sz w:val="27"/>
          <w:rtl/>
          <w:lang w:bidi="fa-IR"/>
        </w:rPr>
        <w:t xml:space="preserve">ه الجزئيات ـ كما يقول </w:t>
      </w:r>
      <w:r w:rsidRPr="00904FCB">
        <w:rPr>
          <w:rFonts w:hint="eastAsia"/>
          <w:sz w:val="27"/>
          <w:rtl/>
          <w:lang w:bidi="fa-IR"/>
        </w:rPr>
        <w:t>«</w:t>
      </w:r>
      <w:r w:rsidRPr="00904FCB">
        <w:rPr>
          <w:rFonts w:ascii="Tahoma" w:hAnsi="Tahoma"/>
          <w:sz w:val="27"/>
          <w:rtl/>
          <w:lang w:bidi="fa-IR"/>
        </w:rPr>
        <w:t>صلاح الناهي</w:t>
      </w:r>
      <w:r w:rsidRPr="00904FCB">
        <w:rPr>
          <w:rFonts w:hint="eastAsia"/>
          <w:sz w:val="27"/>
          <w:rtl/>
        </w:rPr>
        <w:t>»</w:t>
      </w:r>
      <w:r w:rsidRPr="00904FCB">
        <w:rPr>
          <w:rFonts w:ascii="Tahoma" w:hAnsi="Tahoma"/>
          <w:sz w:val="27"/>
          <w:rtl/>
          <w:lang w:bidi="fa-IR"/>
        </w:rPr>
        <w:t xml:space="preserve"> ـ</w:t>
      </w:r>
      <w:r w:rsidR="0063145A" w:rsidRPr="00904FCB">
        <w:rPr>
          <w:rFonts w:ascii="Tahoma" w:hAnsi="Tahoma" w:hint="cs"/>
          <w:sz w:val="27"/>
          <w:rtl/>
          <w:lang w:bidi="fa-IR"/>
        </w:rPr>
        <w:t>،</w:t>
      </w:r>
      <w:r w:rsidRPr="00904FCB">
        <w:rPr>
          <w:rFonts w:ascii="Tahoma" w:hAnsi="Tahoma"/>
          <w:sz w:val="27"/>
          <w:rtl/>
          <w:lang w:bidi="fa-IR"/>
        </w:rPr>
        <w:t xml:space="preserve"> وعارض بعضها بعضا</w:t>
      </w:r>
      <w:r w:rsidR="0063145A" w:rsidRPr="00904FCB">
        <w:rPr>
          <w:rFonts w:ascii="Tahoma" w:hAnsi="Tahoma" w:hint="cs"/>
          <w:sz w:val="27"/>
          <w:rtl/>
          <w:lang w:bidi="fa-IR"/>
        </w:rPr>
        <w:t>ً</w:t>
      </w:r>
      <w:r w:rsidRPr="00904FCB">
        <w:rPr>
          <w:rFonts w:ascii="Tahoma" w:hAnsi="Tahoma"/>
          <w:sz w:val="27"/>
          <w:rtl/>
          <w:lang w:bidi="fa-IR"/>
        </w:rPr>
        <w:t xml:space="preserve"> في ظاهر الأمر</w:t>
      </w:r>
      <w:r w:rsidR="0063145A" w:rsidRPr="00904FCB">
        <w:rPr>
          <w:rFonts w:ascii="Tahoma" w:hAnsi="Tahoma" w:hint="cs"/>
          <w:sz w:val="27"/>
          <w:rtl/>
          <w:lang w:bidi="fa-IR"/>
        </w:rPr>
        <w:t>،</w:t>
      </w:r>
      <w:r w:rsidRPr="00904FCB">
        <w:rPr>
          <w:rFonts w:ascii="Tahoma" w:hAnsi="Tahoma"/>
          <w:sz w:val="27"/>
          <w:rtl/>
          <w:lang w:bidi="fa-IR"/>
        </w:rPr>
        <w:t xml:space="preserve"> إذا لم يكن في يده ميزان مقاصد الشرع</w:t>
      </w:r>
      <w:r w:rsidR="0063145A" w:rsidRPr="00904FCB">
        <w:rPr>
          <w:rFonts w:ascii="Tahoma" w:hAnsi="Tahoma" w:hint="cs"/>
          <w:sz w:val="27"/>
          <w:rtl/>
          <w:lang w:bidi="fa-IR"/>
        </w:rPr>
        <w:t xml:space="preserve">؛ </w:t>
      </w:r>
      <w:r w:rsidRPr="00904FCB">
        <w:rPr>
          <w:rFonts w:ascii="Tahoma" w:hAnsi="Tahoma"/>
          <w:sz w:val="27"/>
          <w:rtl/>
          <w:lang w:bidi="fa-IR"/>
        </w:rPr>
        <w:t>ليعرف به ما يأخذ منها وما ي</w:t>
      </w:r>
      <w:r w:rsidR="0063145A" w:rsidRPr="00904FCB">
        <w:rPr>
          <w:rFonts w:ascii="Tahoma" w:hAnsi="Tahoma" w:hint="cs"/>
          <w:sz w:val="27"/>
          <w:rtl/>
          <w:lang w:bidi="fa-IR"/>
        </w:rPr>
        <w:t>َ</w:t>
      </w:r>
      <w:r w:rsidRPr="00904FCB">
        <w:rPr>
          <w:rFonts w:ascii="Tahoma" w:hAnsi="Tahoma"/>
          <w:sz w:val="27"/>
          <w:rtl/>
          <w:lang w:bidi="fa-IR"/>
        </w:rPr>
        <w:t>د</w:t>
      </w:r>
      <w:r w:rsidR="0063145A" w:rsidRPr="00904FCB">
        <w:rPr>
          <w:rFonts w:ascii="Tahoma" w:hAnsi="Tahoma" w:hint="cs"/>
          <w:sz w:val="27"/>
          <w:rtl/>
          <w:lang w:bidi="fa-IR"/>
        </w:rPr>
        <w:t>َ</w:t>
      </w:r>
      <w:r w:rsidRPr="00904FCB">
        <w:rPr>
          <w:rFonts w:ascii="Tahoma" w:hAnsi="Tahoma"/>
          <w:sz w:val="27"/>
          <w:rtl/>
          <w:lang w:bidi="fa-IR"/>
        </w:rPr>
        <w:t xml:space="preserve">ع. </w:t>
      </w:r>
    </w:p>
    <w:p w:rsidR="00644408" w:rsidRPr="00904FCB" w:rsidRDefault="00644408" w:rsidP="002C310E">
      <w:pPr>
        <w:autoSpaceDE w:val="0"/>
        <w:autoSpaceDN w:val="0"/>
        <w:adjustRightInd w:val="0"/>
        <w:spacing w:line="400" w:lineRule="exact"/>
        <w:ind w:firstLine="561"/>
        <w:rPr>
          <w:rFonts w:ascii="Tahoma" w:hAnsi="Tahoma"/>
          <w:sz w:val="27"/>
          <w:lang w:bidi="fa-IR"/>
        </w:rPr>
      </w:pPr>
      <w:r w:rsidRPr="00904FCB">
        <w:rPr>
          <w:rFonts w:ascii="Tahoma" w:hAnsi="Tahoma"/>
          <w:sz w:val="27"/>
          <w:rtl/>
          <w:lang w:bidi="fa-IR"/>
        </w:rPr>
        <w:t>وهذه المنهجية المقاصدية تستوعب في داخلها الكثير من وظائف القانون المقارن، وحاجته إلى دراسة نشأة الأفكار القانونية وتطو</w:t>
      </w:r>
      <w:r w:rsidR="0063145A" w:rsidRPr="00904FCB">
        <w:rPr>
          <w:rFonts w:ascii="Tahoma" w:hAnsi="Tahoma" w:hint="cs"/>
          <w:sz w:val="27"/>
          <w:rtl/>
          <w:lang w:bidi="fa-IR"/>
        </w:rPr>
        <w:t>ّ</w:t>
      </w:r>
      <w:r w:rsidRPr="00904FCB">
        <w:rPr>
          <w:rFonts w:ascii="Tahoma" w:hAnsi="Tahoma"/>
          <w:sz w:val="27"/>
          <w:rtl/>
          <w:lang w:bidi="fa-IR"/>
        </w:rPr>
        <w:t>رها</w:t>
      </w:r>
      <w:r w:rsidR="0063145A" w:rsidRPr="00904FCB">
        <w:rPr>
          <w:rFonts w:ascii="Tahoma" w:hAnsi="Tahoma" w:hint="cs"/>
          <w:sz w:val="27"/>
          <w:rtl/>
          <w:lang w:bidi="fa-IR"/>
        </w:rPr>
        <w:t>.</w:t>
      </w:r>
      <w:r w:rsidRPr="00904FCB">
        <w:rPr>
          <w:rFonts w:ascii="Tahoma" w:hAnsi="Tahoma"/>
          <w:sz w:val="27"/>
          <w:rtl/>
          <w:lang w:bidi="fa-IR"/>
        </w:rPr>
        <w:t xml:space="preserve"> وهو منهج</w:t>
      </w:r>
      <w:r w:rsidR="0063145A" w:rsidRPr="00904FCB">
        <w:rPr>
          <w:rFonts w:ascii="Tahoma" w:hAnsi="Tahoma" w:hint="cs"/>
          <w:sz w:val="27"/>
          <w:rtl/>
          <w:lang w:bidi="fa-IR"/>
        </w:rPr>
        <w:t>ٌ</w:t>
      </w:r>
      <w:r w:rsidRPr="00904FCB">
        <w:rPr>
          <w:rFonts w:ascii="Tahoma" w:hAnsi="Tahoma"/>
          <w:sz w:val="27"/>
          <w:rtl/>
          <w:lang w:bidi="fa-IR"/>
        </w:rPr>
        <w:t xml:space="preserve"> يدعم البحث الدائب الذي يتغي</w:t>
      </w:r>
      <w:r w:rsidR="0063145A" w:rsidRPr="00904FCB">
        <w:rPr>
          <w:rFonts w:ascii="Tahoma" w:hAnsi="Tahoma" w:hint="cs"/>
          <w:sz w:val="27"/>
          <w:rtl/>
          <w:lang w:bidi="fa-IR"/>
        </w:rPr>
        <w:t>ّى</w:t>
      </w:r>
      <w:r w:rsidRPr="00904FCB">
        <w:rPr>
          <w:rFonts w:ascii="Tahoma" w:hAnsi="Tahoma"/>
          <w:sz w:val="27"/>
          <w:rtl/>
          <w:lang w:bidi="fa-IR"/>
        </w:rPr>
        <w:t xml:space="preserve"> صياغة المبادئ الكل</w:t>
      </w:r>
      <w:r w:rsidR="0063145A" w:rsidRPr="00904FCB">
        <w:rPr>
          <w:rFonts w:ascii="Tahoma" w:hAnsi="Tahoma" w:hint="cs"/>
          <w:sz w:val="27"/>
          <w:rtl/>
          <w:lang w:bidi="fa-IR"/>
        </w:rPr>
        <w:t>ّ</w:t>
      </w:r>
      <w:r w:rsidRPr="00904FCB">
        <w:rPr>
          <w:rFonts w:ascii="Tahoma" w:hAnsi="Tahoma"/>
          <w:sz w:val="27"/>
          <w:rtl/>
          <w:lang w:bidi="fa-IR"/>
        </w:rPr>
        <w:t>ية المتعالية في الأنظمة القانونية المختلفة</w:t>
      </w:r>
      <w:r w:rsidR="0063145A" w:rsidRPr="00904FCB">
        <w:rPr>
          <w:rFonts w:ascii="Tahoma" w:hAnsi="Tahoma" w:hint="cs"/>
          <w:sz w:val="27"/>
          <w:rtl/>
          <w:lang w:bidi="fa-IR"/>
        </w:rPr>
        <w:t>.</w:t>
      </w:r>
      <w:r w:rsidRPr="00904FCB">
        <w:rPr>
          <w:rFonts w:ascii="Tahoma" w:hAnsi="Tahoma"/>
          <w:sz w:val="27"/>
          <w:rtl/>
          <w:lang w:bidi="fa-IR"/>
        </w:rPr>
        <w:t xml:space="preserve"> لقد أصبحت المقاصد عند فقهاء ال</w:t>
      </w:r>
      <w:r w:rsidR="0063145A" w:rsidRPr="00904FCB">
        <w:rPr>
          <w:rFonts w:ascii="Tahoma" w:hAnsi="Tahoma" w:hint="cs"/>
          <w:sz w:val="27"/>
          <w:rtl/>
          <w:lang w:bidi="fa-IR"/>
        </w:rPr>
        <w:t>إ</w:t>
      </w:r>
      <w:r w:rsidRPr="00904FCB">
        <w:rPr>
          <w:rFonts w:ascii="Tahoma" w:hAnsi="Tahoma"/>
          <w:sz w:val="27"/>
          <w:rtl/>
          <w:lang w:bidi="fa-IR"/>
        </w:rPr>
        <w:t>سلام شجرة معرفة لها أدواتها المبتكرة، وعلومها المستحدثة، وفي مقد</w:t>
      </w:r>
      <w:r w:rsidR="0063145A" w:rsidRPr="00904FCB">
        <w:rPr>
          <w:rFonts w:ascii="Tahoma" w:hAnsi="Tahoma" w:hint="cs"/>
          <w:sz w:val="27"/>
          <w:rtl/>
          <w:lang w:bidi="fa-IR"/>
        </w:rPr>
        <w:t>ّ</w:t>
      </w:r>
      <w:r w:rsidRPr="00904FCB">
        <w:rPr>
          <w:rFonts w:ascii="Tahoma" w:hAnsi="Tahoma"/>
          <w:sz w:val="27"/>
          <w:rtl/>
          <w:lang w:bidi="fa-IR"/>
        </w:rPr>
        <w:t>متها</w:t>
      </w:r>
      <w:r w:rsidR="0063145A" w:rsidRPr="00904FCB">
        <w:rPr>
          <w:rFonts w:ascii="Tahoma" w:hAnsi="Tahoma" w:hint="cs"/>
          <w:sz w:val="27"/>
          <w:rtl/>
          <w:lang w:bidi="fa-IR"/>
        </w:rPr>
        <w:t>:</w:t>
      </w:r>
      <w:r w:rsidRPr="00904FCB">
        <w:rPr>
          <w:rFonts w:ascii="Tahoma" w:hAnsi="Tahoma"/>
          <w:sz w:val="27"/>
          <w:rtl/>
          <w:lang w:bidi="fa-IR"/>
        </w:rPr>
        <w:t xml:space="preserve"> علوم فقه الواقع، وفقه التنزيل، وفقه الموازنات، وفقه الأو</w:t>
      </w:r>
      <w:r w:rsidR="0063145A" w:rsidRPr="00904FCB">
        <w:rPr>
          <w:rFonts w:ascii="Tahoma" w:hAnsi="Tahoma" w:hint="cs"/>
          <w:sz w:val="27"/>
          <w:rtl/>
          <w:lang w:bidi="fa-IR"/>
        </w:rPr>
        <w:t>ّ</w:t>
      </w:r>
      <w:r w:rsidRPr="00904FCB">
        <w:rPr>
          <w:rFonts w:ascii="Tahoma" w:hAnsi="Tahoma"/>
          <w:sz w:val="27"/>
          <w:rtl/>
          <w:lang w:bidi="fa-IR"/>
        </w:rPr>
        <w:t>لويات، والفقه الافتراضي</w:t>
      </w:r>
      <w:r w:rsidR="0063145A" w:rsidRPr="00904FCB">
        <w:rPr>
          <w:rFonts w:ascii="Tahoma" w:hAnsi="Tahoma" w:hint="cs"/>
          <w:sz w:val="27"/>
          <w:rtl/>
          <w:lang w:bidi="fa-IR"/>
        </w:rPr>
        <w:t>.</w:t>
      </w:r>
      <w:r w:rsidRPr="00904FCB">
        <w:rPr>
          <w:rFonts w:ascii="Tahoma" w:hAnsi="Tahoma"/>
          <w:sz w:val="27"/>
          <w:rtl/>
          <w:lang w:bidi="fa-IR"/>
        </w:rPr>
        <w:t xml:space="preserve"> وفقه الموازنات</w:t>
      </w:r>
      <w:r w:rsidRPr="00904FCB">
        <w:rPr>
          <w:rFonts w:ascii="Tahoma" w:hAnsi="Tahoma" w:hint="cs"/>
          <w:sz w:val="27"/>
          <w:rtl/>
          <w:lang w:bidi="fa-IR"/>
        </w:rPr>
        <w:t xml:space="preserve"> </w:t>
      </w:r>
      <w:r w:rsidRPr="00904FCB">
        <w:rPr>
          <w:rFonts w:ascii="Tahoma" w:hAnsi="Tahoma"/>
          <w:sz w:val="27"/>
          <w:rtl/>
          <w:lang w:bidi="fa-IR"/>
        </w:rPr>
        <w:t>وفقه الأول</w:t>
      </w:r>
      <w:r w:rsidR="0063145A" w:rsidRPr="00904FCB">
        <w:rPr>
          <w:rFonts w:ascii="Tahoma" w:hAnsi="Tahoma" w:hint="cs"/>
          <w:sz w:val="27"/>
          <w:rtl/>
          <w:lang w:bidi="fa-IR"/>
        </w:rPr>
        <w:t>و</w:t>
      </w:r>
      <w:r w:rsidRPr="00904FCB">
        <w:rPr>
          <w:rFonts w:ascii="Tahoma" w:hAnsi="Tahoma"/>
          <w:sz w:val="27"/>
          <w:rtl/>
          <w:lang w:bidi="fa-IR"/>
        </w:rPr>
        <w:t>يات يقعان في قلب منظومة «القانون المقارن</w:t>
      </w:r>
      <w:r w:rsidRPr="00904FCB">
        <w:rPr>
          <w:rFonts w:hint="eastAsia"/>
          <w:sz w:val="27"/>
          <w:rtl/>
        </w:rPr>
        <w:t>»</w:t>
      </w:r>
      <w:r w:rsidRPr="00904FCB">
        <w:rPr>
          <w:rFonts w:ascii="Tahoma" w:hAnsi="Tahoma"/>
          <w:sz w:val="27"/>
          <w:rtl/>
          <w:lang w:bidi="fa-IR"/>
        </w:rPr>
        <w:t xml:space="preserve">. </w:t>
      </w:r>
    </w:p>
    <w:p w:rsidR="0063145A" w:rsidRPr="00904FCB" w:rsidRDefault="00644408" w:rsidP="002C310E">
      <w:pPr>
        <w:autoSpaceDE w:val="0"/>
        <w:autoSpaceDN w:val="0"/>
        <w:adjustRightInd w:val="0"/>
        <w:spacing w:line="400" w:lineRule="exact"/>
        <w:ind w:firstLine="561"/>
        <w:rPr>
          <w:rFonts w:ascii="Tahoma" w:hAnsi="Tahoma"/>
          <w:sz w:val="27"/>
          <w:rtl/>
          <w:lang w:bidi="fa-IR"/>
        </w:rPr>
      </w:pPr>
      <w:r w:rsidRPr="00904FCB">
        <w:rPr>
          <w:rFonts w:ascii="Tahoma" w:hAnsi="Tahoma"/>
          <w:sz w:val="27"/>
          <w:rtl/>
          <w:lang w:bidi="fa-IR"/>
        </w:rPr>
        <w:t>أما فقه الموازنات فقد عرفه العلا</w:t>
      </w:r>
      <w:r w:rsidR="0063145A" w:rsidRPr="00904FCB">
        <w:rPr>
          <w:rFonts w:ascii="Tahoma" w:hAnsi="Tahoma" w:hint="cs"/>
          <w:sz w:val="27"/>
          <w:rtl/>
          <w:lang w:bidi="fa-IR"/>
        </w:rPr>
        <w:t>ّ</w:t>
      </w:r>
      <w:r w:rsidRPr="00904FCB">
        <w:rPr>
          <w:rFonts w:ascii="Tahoma" w:hAnsi="Tahoma"/>
          <w:sz w:val="27"/>
          <w:rtl/>
          <w:lang w:bidi="fa-IR"/>
        </w:rPr>
        <w:t xml:space="preserve">مة </w:t>
      </w:r>
      <w:r w:rsidRPr="00904FCB">
        <w:rPr>
          <w:rFonts w:hint="eastAsia"/>
          <w:sz w:val="27"/>
          <w:rtl/>
          <w:lang w:bidi="fa-IR"/>
        </w:rPr>
        <w:t>«</w:t>
      </w:r>
      <w:r w:rsidRPr="00904FCB">
        <w:rPr>
          <w:rFonts w:ascii="Tahoma" w:hAnsi="Tahoma"/>
          <w:sz w:val="27"/>
          <w:rtl/>
          <w:lang w:bidi="fa-IR"/>
        </w:rPr>
        <w:t>يوسف القرضاوي</w:t>
      </w:r>
      <w:r w:rsidRPr="00904FCB">
        <w:rPr>
          <w:rFonts w:hint="eastAsia"/>
          <w:sz w:val="27"/>
          <w:rtl/>
        </w:rPr>
        <w:t>»</w:t>
      </w:r>
      <w:r w:rsidRPr="00904FCB">
        <w:rPr>
          <w:rFonts w:ascii="Tahoma" w:hAnsi="Tahoma"/>
          <w:sz w:val="27"/>
          <w:rtl/>
          <w:lang w:bidi="fa-IR"/>
        </w:rPr>
        <w:t xml:space="preserve"> بأنه «الموازنة بين المصالح بعضها وبعض، من حيث حجمها وسعتها، ومن حيث عمقها وتأث</w:t>
      </w:r>
      <w:r w:rsidR="0063145A" w:rsidRPr="00904FCB">
        <w:rPr>
          <w:rFonts w:ascii="Tahoma" w:hAnsi="Tahoma" w:hint="cs"/>
          <w:sz w:val="27"/>
          <w:rtl/>
          <w:lang w:bidi="fa-IR"/>
        </w:rPr>
        <w:t>ُّ</w:t>
      </w:r>
      <w:r w:rsidRPr="00904FCB">
        <w:rPr>
          <w:rFonts w:ascii="Tahoma" w:hAnsi="Tahoma"/>
          <w:sz w:val="27"/>
          <w:rtl/>
          <w:lang w:bidi="fa-IR"/>
        </w:rPr>
        <w:t>رها، ومن حيث بقاؤها ودوامها</w:t>
      </w:r>
      <w:r w:rsidR="0063145A" w:rsidRPr="00904FCB">
        <w:rPr>
          <w:rFonts w:ascii="Tahoma" w:hAnsi="Tahoma" w:hint="cs"/>
          <w:sz w:val="27"/>
          <w:rtl/>
          <w:lang w:bidi="fa-IR"/>
        </w:rPr>
        <w:t>...،</w:t>
      </w:r>
      <w:r w:rsidRPr="00904FCB">
        <w:rPr>
          <w:rFonts w:ascii="Tahoma" w:hAnsi="Tahoma"/>
          <w:sz w:val="27"/>
          <w:rtl/>
          <w:lang w:bidi="fa-IR"/>
        </w:rPr>
        <w:t xml:space="preserve"> وأي</w:t>
      </w:r>
      <w:r w:rsidR="0063145A" w:rsidRPr="00904FCB">
        <w:rPr>
          <w:rFonts w:ascii="Tahoma" w:hAnsi="Tahoma" w:hint="cs"/>
          <w:sz w:val="27"/>
          <w:rtl/>
          <w:lang w:bidi="fa-IR"/>
        </w:rPr>
        <w:t>ُّ</w:t>
      </w:r>
      <w:r w:rsidRPr="00904FCB">
        <w:rPr>
          <w:rFonts w:ascii="Tahoma" w:hAnsi="Tahoma"/>
          <w:sz w:val="27"/>
          <w:rtl/>
          <w:lang w:bidi="fa-IR"/>
        </w:rPr>
        <w:t>ها ينبغي أن يقد</w:t>
      </w:r>
      <w:r w:rsidR="0063145A" w:rsidRPr="00904FCB">
        <w:rPr>
          <w:rFonts w:ascii="Tahoma" w:hAnsi="Tahoma" w:hint="cs"/>
          <w:sz w:val="27"/>
          <w:rtl/>
          <w:lang w:bidi="fa-IR"/>
        </w:rPr>
        <w:t>َّ</w:t>
      </w:r>
      <w:r w:rsidRPr="00904FCB">
        <w:rPr>
          <w:rFonts w:ascii="Tahoma" w:hAnsi="Tahoma"/>
          <w:sz w:val="27"/>
          <w:rtl/>
          <w:lang w:bidi="fa-IR"/>
        </w:rPr>
        <w:t>م ويعتبر، وأي</w:t>
      </w:r>
      <w:r w:rsidR="0063145A" w:rsidRPr="00904FCB">
        <w:rPr>
          <w:rFonts w:ascii="Tahoma" w:hAnsi="Tahoma" w:hint="cs"/>
          <w:sz w:val="27"/>
          <w:rtl/>
          <w:lang w:bidi="fa-IR"/>
        </w:rPr>
        <w:t>ُّ</w:t>
      </w:r>
      <w:r w:rsidRPr="00904FCB">
        <w:rPr>
          <w:rFonts w:ascii="Tahoma" w:hAnsi="Tahoma"/>
          <w:sz w:val="27"/>
          <w:rtl/>
          <w:lang w:bidi="fa-IR"/>
        </w:rPr>
        <w:t>ها ينبغي أن يسقط ويلغ</w:t>
      </w:r>
      <w:r w:rsidR="0063145A" w:rsidRPr="00904FCB">
        <w:rPr>
          <w:rFonts w:ascii="Tahoma" w:hAnsi="Tahoma" w:hint="cs"/>
          <w:sz w:val="27"/>
          <w:rtl/>
          <w:lang w:bidi="fa-IR"/>
        </w:rPr>
        <w:t>ى</w:t>
      </w:r>
      <w:r w:rsidRPr="00904FCB">
        <w:rPr>
          <w:rFonts w:ascii="Tahoma" w:hAnsi="Tahoma"/>
          <w:sz w:val="27"/>
          <w:rtl/>
          <w:lang w:bidi="fa-IR"/>
        </w:rPr>
        <w:t>»</w:t>
      </w:r>
      <w:r w:rsidR="0063145A" w:rsidRPr="00904FCB">
        <w:rPr>
          <w:rFonts w:ascii="Tahoma" w:hAnsi="Tahoma" w:hint="cs"/>
          <w:sz w:val="27"/>
          <w:rtl/>
          <w:lang w:bidi="fa-IR"/>
        </w:rPr>
        <w:t>.</w:t>
      </w:r>
    </w:p>
    <w:p w:rsidR="0063145A" w:rsidRPr="00904FCB" w:rsidRDefault="00644408" w:rsidP="00A67641">
      <w:pPr>
        <w:autoSpaceDE w:val="0"/>
        <w:autoSpaceDN w:val="0"/>
        <w:adjustRightInd w:val="0"/>
        <w:spacing w:line="410" w:lineRule="exact"/>
        <w:rPr>
          <w:rFonts w:ascii="Tahoma" w:hAnsi="Tahoma"/>
          <w:sz w:val="27"/>
          <w:rtl/>
          <w:lang w:bidi="fa-IR"/>
        </w:rPr>
      </w:pPr>
      <w:r w:rsidRPr="00904FCB">
        <w:rPr>
          <w:rFonts w:ascii="Tahoma" w:hAnsi="Tahoma"/>
          <w:sz w:val="27"/>
          <w:rtl/>
          <w:lang w:bidi="fa-IR"/>
        </w:rPr>
        <w:t>وفقه الموازنات بهذا التعريف هو قانون مقارن لا يتوق</w:t>
      </w:r>
      <w:r w:rsidR="0063145A" w:rsidRPr="00904FCB">
        <w:rPr>
          <w:rFonts w:ascii="Tahoma" w:hAnsi="Tahoma" w:hint="cs"/>
          <w:sz w:val="27"/>
          <w:rtl/>
          <w:lang w:bidi="fa-IR"/>
        </w:rPr>
        <w:t>َّ</w:t>
      </w:r>
      <w:r w:rsidRPr="00904FCB">
        <w:rPr>
          <w:rFonts w:ascii="Tahoma" w:hAnsi="Tahoma"/>
          <w:sz w:val="27"/>
          <w:rtl/>
          <w:lang w:bidi="fa-IR"/>
        </w:rPr>
        <w:t xml:space="preserve">ف عند الوصف والتحليل، </w:t>
      </w:r>
      <w:r w:rsidRPr="00904FCB">
        <w:rPr>
          <w:rFonts w:ascii="Tahoma" w:hAnsi="Tahoma"/>
          <w:sz w:val="27"/>
          <w:rtl/>
          <w:lang w:bidi="fa-IR"/>
        </w:rPr>
        <w:lastRenderedPageBreak/>
        <w:t>ولكن</w:t>
      </w:r>
      <w:r w:rsidR="0063145A" w:rsidRPr="00904FCB">
        <w:rPr>
          <w:rFonts w:ascii="Tahoma" w:hAnsi="Tahoma" w:hint="cs"/>
          <w:sz w:val="27"/>
          <w:rtl/>
          <w:lang w:bidi="fa-IR"/>
        </w:rPr>
        <w:t>ّ</w:t>
      </w:r>
      <w:r w:rsidRPr="00904FCB">
        <w:rPr>
          <w:rFonts w:ascii="Tahoma" w:hAnsi="Tahoma"/>
          <w:sz w:val="27"/>
          <w:rtl/>
          <w:lang w:bidi="fa-IR"/>
        </w:rPr>
        <w:t>ه يتحر</w:t>
      </w:r>
      <w:r w:rsidR="0063145A" w:rsidRPr="00904FCB">
        <w:rPr>
          <w:rFonts w:ascii="Tahoma" w:hAnsi="Tahoma" w:hint="cs"/>
          <w:sz w:val="27"/>
          <w:rtl/>
          <w:lang w:bidi="fa-IR"/>
        </w:rPr>
        <w:t>ّ</w:t>
      </w:r>
      <w:r w:rsidRPr="00904FCB">
        <w:rPr>
          <w:rFonts w:ascii="Tahoma" w:hAnsi="Tahoma"/>
          <w:sz w:val="27"/>
          <w:rtl/>
          <w:lang w:bidi="fa-IR"/>
        </w:rPr>
        <w:t xml:space="preserve">ك </w:t>
      </w:r>
      <w:r w:rsidR="0063145A" w:rsidRPr="00904FCB">
        <w:rPr>
          <w:rFonts w:ascii="Tahoma" w:hAnsi="Tahoma" w:hint="cs"/>
          <w:sz w:val="27"/>
          <w:rtl/>
          <w:lang w:bidi="fa-IR"/>
        </w:rPr>
        <w:t>إ</w:t>
      </w:r>
      <w:r w:rsidRPr="00904FCB">
        <w:rPr>
          <w:rFonts w:ascii="Tahoma" w:hAnsi="Tahoma"/>
          <w:sz w:val="27"/>
          <w:rtl/>
          <w:lang w:bidi="fa-IR"/>
        </w:rPr>
        <w:t>يجابيا</w:t>
      </w:r>
      <w:r w:rsidR="0063145A" w:rsidRPr="00904FCB">
        <w:rPr>
          <w:rFonts w:ascii="Tahoma" w:hAnsi="Tahoma" w:hint="cs"/>
          <w:sz w:val="27"/>
          <w:rtl/>
          <w:lang w:bidi="fa-IR"/>
        </w:rPr>
        <w:t>ً</w:t>
      </w:r>
      <w:r w:rsidRPr="00904FCB">
        <w:rPr>
          <w:rFonts w:ascii="Tahoma" w:hAnsi="Tahoma"/>
          <w:sz w:val="27"/>
          <w:rtl/>
          <w:lang w:bidi="fa-IR"/>
        </w:rPr>
        <w:t xml:space="preserve"> «بمنهج التجريح والتعديل»، وموازين التعارض والترجيح، للحفاظ على كائن حي</w:t>
      </w:r>
      <w:r w:rsidR="0063145A" w:rsidRPr="00904FCB">
        <w:rPr>
          <w:rFonts w:ascii="Tahoma" w:hAnsi="Tahoma" w:hint="cs"/>
          <w:sz w:val="27"/>
          <w:rtl/>
          <w:lang w:bidi="fa-IR"/>
        </w:rPr>
        <w:t>ّ</w:t>
      </w:r>
      <w:r w:rsidRPr="00904FCB">
        <w:rPr>
          <w:rFonts w:ascii="Tahoma" w:hAnsi="Tahoma"/>
          <w:sz w:val="27"/>
          <w:rtl/>
          <w:lang w:bidi="fa-IR"/>
        </w:rPr>
        <w:t xml:space="preserve"> اسمه «التشريع»</w:t>
      </w:r>
      <w:r w:rsidR="0063145A" w:rsidRPr="00904FCB">
        <w:rPr>
          <w:rFonts w:ascii="Tahoma" w:hAnsi="Tahoma" w:hint="cs"/>
          <w:sz w:val="27"/>
          <w:rtl/>
          <w:lang w:bidi="fa-IR"/>
        </w:rPr>
        <w:t>،</w:t>
      </w:r>
      <w:r w:rsidRPr="00904FCB">
        <w:rPr>
          <w:rFonts w:ascii="Tahoma" w:hAnsi="Tahoma"/>
          <w:sz w:val="27"/>
          <w:rtl/>
          <w:lang w:bidi="fa-IR"/>
        </w:rPr>
        <w:t xml:space="preserve"> لا تسلم له الحياة إلا</w:t>
      </w:r>
      <w:r w:rsidR="0063145A" w:rsidRPr="00904FCB">
        <w:rPr>
          <w:rFonts w:ascii="Tahoma" w:hAnsi="Tahoma" w:hint="cs"/>
          <w:sz w:val="27"/>
          <w:rtl/>
          <w:lang w:bidi="fa-IR"/>
        </w:rPr>
        <w:t>ّ</w:t>
      </w:r>
      <w:r w:rsidRPr="00904FCB">
        <w:rPr>
          <w:rFonts w:ascii="Tahoma" w:hAnsi="Tahoma"/>
          <w:sz w:val="27"/>
          <w:rtl/>
          <w:lang w:bidi="fa-IR"/>
        </w:rPr>
        <w:t xml:space="preserve"> بجلب المنافع ودرء المفاسد</w:t>
      </w:r>
      <w:r w:rsidR="0063145A" w:rsidRPr="00904FCB">
        <w:rPr>
          <w:rFonts w:ascii="Tahoma" w:hAnsi="Tahoma" w:hint="cs"/>
          <w:sz w:val="27"/>
          <w:rtl/>
          <w:lang w:bidi="fa-IR"/>
        </w:rPr>
        <w:t>.</w:t>
      </w:r>
    </w:p>
    <w:p w:rsidR="0063145A"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أما فقه الأولويات فيعر</w:t>
      </w:r>
      <w:r w:rsidR="0063145A" w:rsidRPr="00904FCB">
        <w:rPr>
          <w:rFonts w:ascii="Tahoma" w:hAnsi="Tahoma" w:hint="cs"/>
          <w:sz w:val="27"/>
          <w:rtl/>
          <w:lang w:bidi="fa-IR"/>
        </w:rPr>
        <w:t>ِّ</w:t>
      </w:r>
      <w:r w:rsidRPr="00904FCB">
        <w:rPr>
          <w:rFonts w:ascii="Tahoma" w:hAnsi="Tahoma"/>
          <w:sz w:val="27"/>
          <w:rtl/>
          <w:lang w:bidi="fa-IR"/>
        </w:rPr>
        <w:t>فه أيضا</w:t>
      </w:r>
      <w:r w:rsidR="0063145A" w:rsidRPr="00904FCB">
        <w:rPr>
          <w:rFonts w:ascii="Tahoma" w:hAnsi="Tahoma" w:hint="cs"/>
          <w:sz w:val="27"/>
          <w:rtl/>
          <w:lang w:bidi="fa-IR"/>
        </w:rPr>
        <w:t>ً</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العلامة يوسف القرضاوي</w:t>
      </w:r>
      <w:r w:rsidRPr="00904FCB">
        <w:rPr>
          <w:rFonts w:hint="eastAsia"/>
          <w:sz w:val="27"/>
          <w:rtl/>
        </w:rPr>
        <w:t>»</w:t>
      </w:r>
      <w:r w:rsidRPr="00904FCB">
        <w:rPr>
          <w:rFonts w:ascii="Tahoma" w:hAnsi="Tahoma"/>
          <w:sz w:val="27"/>
          <w:rtl/>
          <w:lang w:bidi="fa-IR"/>
        </w:rPr>
        <w:t xml:space="preserve"> بأنه «وضع كل</w:t>
      </w:r>
      <w:r w:rsidR="0063145A" w:rsidRPr="00904FCB">
        <w:rPr>
          <w:rFonts w:ascii="Tahoma" w:hAnsi="Tahoma" w:hint="cs"/>
          <w:sz w:val="27"/>
          <w:rtl/>
          <w:lang w:bidi="fa-IR"/>
        </w:rPr>
        <w:t>ّ</w:t>
      </w:r>
      <w:r w:rsidRPr="00904FCB">
        <w:rPr>
          <w:rFonts w:ascii="Tahoma" w:hAnsi="Tahoma"/>
          <w:sz w:val="27"/>
          <w:rtl/>
          <w:lang w:bidi="fa-IR"/>
        </w:rPr>
        <w:t xml:space="preserve"> شيء في مرتبته، فلا يؤخ</w:t>
      </w:r>
      <w:r w:rsidR="0063145A" w:rsidRPr="00904FCB">
        <w:rPr>
          <w:rFonts w:ascii="Tahoma" w:hAnsi="Tahoma" w:hint="cs"/>
          <w:sz w:val="27"/>
          <w:rtl/>
          <w:lang w:bidi="fa-IR"/>
        </w:rPr>
        <w:t>ّ</w:t>
      </w:r>
      <w:r w:rsidRPr="00904FCB">
        <w:rPr>
          <w:rFonts w:ascii="Tahoma" w:hAnsi="Tahoma"/>
          <w:sz w:val="27"/>
          <w:rtl/>
          <w:lang w:bidi="fa-IR"/>
        </w:rPr>
        <w:t>ر ما حق</w:t>
      </w:r>
      <w:r w:rsidR="0063145A" w:rsidRPr="00904FCB">
        <w:rPr>
          <w:rFonts w:ascii="Tahoma" w:hAnsi="Tahoma" w:hint="cs"/>
          <w:sz w:val="27"/>
          <w:rtl/>
          <w:lang w:bidi="fa-IR"/>
        </w:rPr>
        <w:t>ّ</w:t>
      </w:r>
      <w:r w:rsidRPr="00904FCB">
        <w:rPr>
          <w:rFonts w:ascii="Tahoma" w:hAnsi="Tahoma"/>
          <w:sz w:val="27"/>
          <w:rtl/>
          <w:lang w:bidi="fa-IR"/>
        </w:rPr>
        <w:t>ه التقديم، ولا يقد</w:t>
      </w:r>
      <w:r w:rsidR="0063145A" w:rsidRPr="00904FCB">
        <w:rPr>
          <w:rFonts w:ascii="Tahoma" w:hAnsi="Tahoma" w:hint="cs"/>
          <w:sz w:val="27"/>
          <w:rtl/>
          <w:lang w:bidi="fa-IR"/>
        </w:rPr>
        <w:t>ّ</w:t>
      </w:r>
      <w:r w:rsidRPr="00904FCB">
        <w:rPr>
          <w:rFonts w:ascii="Tahoma" w:hAnsi="Tahoma"/>
          <w:sz w:val="27"/>
          <w:rtl/>
          <w:lang w:bidi="fa-IR"/>
        </w:rPr>
        <w:t>م ما حق</w:t>
      </w:r>
      <w:r w:rsidR="0063145A" w:rsidRPr="00904FCB">
        <w:rPr>
          <w:rFonts w:ascii="Tahoma" w:hAnsi="Tahoma" w:hint="cs"/>
          <w:sz w:val="27"/>
          <w:rtl/>
          <w:lang w:bidi="fa-IR"/>
        </w:rPr>
        <w:t>ّ</w:t>
      </w:r>
      <w:r w:rsidRPr="00904FCB">
        <w:rPr>
          <w:rFonts w:ascii="Tahoma" w:hAnsi="Tahoma"/>
          <w:sz w:val="27"/>
          <w:rtl/>
          <w:lang w:bidi="fa-IR"/>
        </w:rPr>
        <w:t>ه التأخير، ولا يصغر الأمر الكبير، ولا يكبر الأمر الصغير»</w:t>
      </w:r>
      <w:r w:rsidR="0063145A" w:rsidRPr="00904FCB">
        <w:rPr>
          <w:rFonts w:ascii="Tahoma" w:hAnsi="Tahoma" w:hint="cs"/>
          <w:sz w:val="27"/>
          <w:rtl/>
          <w:lang w:bidi="fa-IR"/>
        </w:rPr>
        <w:t>.</w:t>
      </w:r>
      <w:r w:rsidRPr="00904FCB">
        <w:rPr>
          <w:rFonts w:ascii="Tahoma" w:hAnsi="Tahoma"/>
          <w:sz w:val="27"/>
          <w:rtl/>
          <w:lang w:bidi="fa-IR"/>
        </w:rPr>
        <w:t xml:space="preserve"> وهذا صد</w:t>
      </w:r>
      <w:r w:rsidR="0063145A" w:rsidRPr="00904FCB">
        <w:rPr>
          <w:rFonts w:ascii="Tahoma" w:hAnsi="Tahoma" w:hint="cs"/>
          <w:sz w:val="27"/>
          <w:rtl/>
          <w:lang w:bidi="fa-IR"/>
        </w:rPr>
        <w:t>ىً</w:t>
      </w:r>
      <w:r w:rsidRPr="00904FCB">
        <w:rPr>
          <w:rFonts w:ascii="Tahoma" w:hAnsi="Tahoma"/>
          <w:sz w:val="27"/>
          <w:rtl/>
          <w:lang w:bidi="fa-IR"/>
        </w:rPr>
        <w:t xml:space="preserve"> لقانون التناسب في الحياة والكون والإنسان</w:t>
      </w:r>
      <w:r w:rsidR="0063145A" w:rsidRPr="00904FCB">
        <w:rPr>
          <w:rFonts w:ascii="Tahoma" w:hAnsi="Tahoma" w:hint="cs"/>
          <w:sz w:val="27"/>
          <w:rtl/>
          <w:lang w:bidi="fa-IR"/>
        </w:rPr>
        <w:t>.</w:t>
      </w:r>
    </w:p>
    <w:p w:rsidR="0063145A"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والعلم بفقه الموازنات وفقه الأولويات ـ كما تر</w:t>
      </w:r>
      <w:r w:rsidR="0063145A" w:rsidRPr="00904FCB">
        <w:rPr>
          <w:rFonts w:ascii="Tahoma" w:hAnsi="Tahoma" w:hint="cs"/>
          <w:sz w:val="27"/>
          <w:rtl/>
          <w:lang w:bidi="fa-IR"/>
        </w:rPr>
        <w:t>ى</w:t>
      </w:r>
      <w:r w:rsidRPr="00904FCB">
        <w:rPr>
          <w:rFonts w:ascii="Tahoma" w:hAnsi="Tahoma"/>
          <w:sz w:val="27"/>
          <w:rtl/>
          <w:lang w:bidi="fa-IR"/>
        </w:rPr>
        <w:t xml:space="preserve"> أم نائل بركاني ـ يؤد</w:t>
      </w:r>
      <w:r w:rsidR="0063145A" w:rsidRPr="00904FCB">
        <w:rPr>
          <w:rFonts w:ascii="Tahoma" w:hAnsi="Tahoma" w:hint="cs"/>
          <w:sz w:val="27"/>
          <w:rtl/>
          <w:lang w:bidi="fa-IR"/>
        </w:rPr>
        <w:t>ّ</w:t>
      </w:r>
      <w:r w:rsidRPr="00904FCB">
        <w:rPr>
          <w:rFonts w:ascii="Tahoma" w:hAnsi="Tahoma"/>
          <w:sz w:val="27"/>
          <w:rtl/>
          <w:lang w:bidi="fa-IR"/>
        </w:rPr>
        <w:t>ي إلى سهولة المقارنة بين وضع</w:t>
      </w:r>
      <w:r w:rsidR="0063145A" w:rsidRPr="00904FCB">
        <w:rPr>
          <w:rFonts w:ascii="Tahoma" w:hAnsi="Tahoma" w:hint="cs"/>
          <w:sz w:val="27"/>
          <w:rtl/>
          <w:lang w:bidi="fa-IR"/>
        </w:rPr>
        <w:t>ٍ</w:t>
      </w:r>
      <w:r w:rsidRPr="00904FCB">
        <w:rPr>
          <w:rFonts w:ascii="Tahoma" w:hAnsi="Tahoma"/>
          <w:sz w:val="27"/>
          <w:rtl/>
          <w:lang w:bidi="fa-IR"/>
        </w:rPr>
        <w:t xml:space="preserve"> ووضع، والمفاضلة بين حال</w:t>
      </w:r>
      <w:r w:rsidR="0063145A" w:rsidRPr="00904FCB">
        <w:rPr>
          <w:rFonts w:ascii="Tahoma" w:hAnsi="Tahoma" w:hint="cs"/>
          <w:sz w:val="27"/>
          <w:rtl/>
          <w:lang w:bidi="fa-IR"/>
        </w:rPr>
        <w:t>ٍ</w:t>
      </w:r>
      <w:r w:rsidRPr="00904FCB">
        <w:rPr>
          <w:rFonts w:ascii="Tahoma" w:hAnsi="Tahoma"/>
          <w:sz w:val="27"/>
          <w:rtl/>
          <w:lang w:bidi="fa-IR"/>
        </w:rPr>
        <w:t xml:space="preserve"> وحال، والموازنة بين المصالح والمفاسد، وبيان أي</w:t>
      </w:r>
      <w:r w:rsidR="0063145A" w:rsidRPr="00904FCB">
        <w:rPr>
          <w:rFonts w:ascii="Tahoma" w:hAnsi="Tahoma" w:hint="cs"/>
          <w:sz w:val="27"/>
          <w:rtl/>
          <w:lang w:bidi="fa-IR"/>
        </w:rPr>
        <w:t>ُّ</w:t>
      </w:r>
      <w:r w:rsidRPr="00904FCB">
        <w:rPr>
          <w:rFonts w:ascii="Tahoma" w:hAnsi="Tahoma"/>
          <w:sz w:val="27"/>
          <w:rtl/>
          <w:lang w:bidi="fa-IR"/>
        </w:rPr>
        <w:t>هما الأ</w:t>
      </w:r>
      <w:r w:rsidR="0063145A" w:rsidRPr="00904FCB">
        <w:rPr>
          <w:rFonts w:ascii="Tahoma" w:hAnsi="Tahoma" w:hint="cs"/>
          <w:sz w:val="27"/>
          <w:rtl/>
          <w:lang w:bidi="fa-IR"/>
        </w:rPr>
        <w:t>َ</w:t>
      </w:r>
      <w:r w:rsidRPr="00904FCB">
        <w:rPr>
          <w:rFonts w:ascii="Tahoma" w:hAnsi="Tahoma"/>
          <w:sz w:val="27"/>
          <w:rtl/>
          <w:lang w:bidi="fa-IR"/>
        </w:rPr>
        <w:t>و</w:t>
      </w:r>
      <w:r w:rsidR="0063145A" w:rsidRPr="00904FCB">
        <w:rPr>
          <w:rFonts w:ascii="Tahoma" w:hAnsi="Tahoma" w:hint="cs"/>
          <w:sz w:val="27"/>
          <w:rtl/>
          <w:lang w:bidi="fa-IR"/>
        </w:rPr>
        <w:t>ْ</w:t>
      </w:r>
      <w:r w:rsidRPr="00904FCB">
        <w:rPr>
          <w:rFonts w:ascii="Tahoma" w:hAnsi="Tahoma"/>
          <w:sz w:val="27"/>
          <w:rtl/>
          <w:lang w:bidi="fa-IR"/>
        </w:rPr>
        <w:t>ل</w:t>
      </w:r>
      <w:r w:rsidR="0063145A" w:rsidRPr="00904FCB">
        <w:rPr>
          <w:rFonts w:ascii="Tahoma" w:hAnsi="Tahoma" w:hint="cs"/>
          <w:sz w:val="27"/>
          <w:rtl/>
          <w:lang w:bidi="fa-IR"/>
        </w:rPr>
        <w:t>ى</w:t>
      </w:r>
      <w:r w:rsidRPr="00904FCB">
        <w:rPr>
          <w:rFonts w:ascii="Tahoma" w:hAnsi="Tahoma"/>
          <w:sz w:val="27"/>
          <w:rtl/>
          <w:lang w:bidi="fa-IR"/>
        </w:rPr>
        <w:t xml:space="preserve"> في التقديم، على المد</w:t>
      </w:r>
      <w:r w:rsidR="0063145A" w:rsidRPr="00904FCB">
        <w:rPr>
          <w:rFonts w:ascii="Tahoma" w:hAnsi="Tahoma" w:hint="cs"/>
          <w:sz w:val="27"/>
          <w:rtl/>
          <w:lang w:bidi="fa-IR"/>
        </w:rPr>
        <w:t>ى</w:t>
      </w:r>
      <w:r w:rsidRPr="00904FCB">
        <w:rPr>
          <w:rFonts w:ascii="Tahoma" w:hAnsi="Tahoma"/>
          <w:sz w:val="27"/>
          <w:rtl/>
          <w:lang w:bidi="fa-IR"/>
        </w:rPr>
        <w:t xml:space="preserve"> الطويل أو المد</w:t>
      </w:r>
      <w:r w:rsidR="0063145A" w:rsidRPr="00904FCB">
        <w:rPr>
          <w:rFonts w:ascii="Tahoma" w:hAnsi="Tahoma" w:hint="cs"/>
          <w:sz w:val="27"/>
          <w:rtl/>
          <w:lang w:bidi="fa-IR"/>
        </w:rPr>
        <w:t>ى</w:t>
      </w:r>
      <w:r w:rsidRPr="00904FCB">
        <w:rPr>
          <w:rFonts w:ascii="Tahoma" w:hAnsi="Tahoma"/>
          <w:sz w:val="27"/>
          <w:rtl/>
          <w:lang w:bidi="fa-IR"/>
        </w:rPr>
        <w:t xml:space="preserve"> القصير، وسواء على المستو</w:t>
      </w:r>
      <w:r w:rsidR="0063145A" w:rsidRPr="00904FCB">
        <w:rPr>
          <w:rFonts w:ascii="Tahoma" w:hAnsi="Tahoma" w:hint="cs"/>
          <w:sz w:val="27"/>
          <w:rtl/>
          <w:lang w:bidi="fa-IR"/>
        </w:rPr>
        <w:t>ى</w:t>
      </w:r>
      <w:r w:rsidRPr="00904FCB">
        <w:rPr>
          <w:rFonts w:ascii="Tahoma" w:hAnsi="Tahoma"/>
          <w:sz w:val="27"/>
          <w:rtl/>
          <w:lang w:bidi="fa-IR"/>
        </w:rPr>
        <w:t xml:space="preserve"> الفردي أو المستو</w:t>
      </w:r>
      <w:r w:rsidR="0063145A" w:rsidRPr="00904FCB">
        <w:rPr>
          <w:rFonts w:ascii="Tahoma" w:hAnsi="Tahoma" w:hint="cs"/>
          <w:sz w:val="27"/>
          <w:rtl/>
          <w:lang w:bidi="fa-IR"/>
        </w:rPr>
        <w:t>ى</w:t>
      </w:r>
      <w:r w:rsidRPr="00904FCB">
        <w:rPr>
          <w:rFonts w:ascii="Tahoma" w:hAnsi="Tahoma"/>
          <w:sz w:val="27"/>
          <w:rtl/>
          <w:lang w:bidi="fa-IR"/>
        </w:rPr>
        <w:t xml:space="preserve"> الجماعي</w:t>
      </w:r>
      <w:r w:rsidR="0063145A" w:rsidRPr="00904FCB">
        <w:rPr>
          <w:rFonts w:ascii="Tahoma" w:hAnsi="Tahoma" w:hint="cs"/>
          <w:sz w:val="27"/>
          <w:rtl/>
          <w:lang w:bidi="fa-IR"/>
        </w:rPr>
        <w:t>...،</w:t>
      </w:r>
      <w:r w:rsidRPr="00904FCB">
        <w:rPr>
          <w:rFonts w:ascii="Tahoma" w:hAnsi="Tahoma"/>
          <w:sz w:val="27"/>
          <w:rtl/>
          <w:lang w:bidi="fa-IR"/>
        </w:rPr>
        <w:t xml:space="preserve"> والجهل بفقه الموازنات والأولويات يؤدي إلى خلط</w:t>
      </w:r>
      <w:r w:rsidR="0063145A" w:rsidRPr="00904FCB">
        <w:rPr>
          <w:rFonts w:ascii="Tahoma" w:hAnsi="Tahoma" w:hint="cs"/>
          <w:sz w:val="27"/>
          <w:rtl/>
          <w:lang w:bidi="fa-IR"/>
        </w:rPr>
        <w:t>ٍ</w:t>
      </w:r>
      <w:r w:rsidRPr="00904FCB">
        <w:rPr>
          <w:rFonts w:ascii="Tahoma" w:hAnsi="Tahoma"/>
          <w:sz w:val="27"/>
          <w:rtl/>
          <w:lang w:bidi="fa-IR"/>
        </w:rPr>
        <w:t xml:space="preserve"> كبير بين الأحكام، وذلك من خلال عدم مراعاة مراتب الاعمال، فتقدم النافلة على الفرض</w:t>
      </w:r>
      <w:r w:rsidR="0063145A" w:rsidRPr="00904FCB">
        <w:rPr>
          <w:rFonts w:ascii="Tahoma" w:hAnsi="Tahoma" w:hint="cs"/>
          <w:sz w:val="27"/>
          <w:rtl/>
          <w:lang w:bidi="fa-IR"/>
        </w:rPr>
        <w:t>...،</w:t>
      </w:r>
      <w:r w:rsidRPr="00904FCB">
        <w:rPr>
          <w:rFonts w:ascii="Tahoma" w:hAnsi="Tahoma"/>
          <w:sz w:val="27"/>
          <w:rtl/>
          <w:lang w:bidi="fa-IR"/>
        </w:rPr>
        <w:t xml:space="preserve"> وتقد</w:t>
      </w:r>
      <w:r w:rsidR="0063145A" w:rsidRPr="00904FCB">
        <w:rPr>
          <w:rFonts w:ascii="Tahoma" w:hAnsi="Tahoma" w:hint="cs"/>
          <w:sz w:val="27"/>
          <w:rtl/>
          <w:lang w:bidi="fa-IR"/>
        </w:rPr>
        <w:t>ّ</w:t>
      </w:r>
      <w:r w:rsidRPr="00904FCB">
        <w:rPr>
          <w:rFonts w:ascii="Tahoma" w:hAnsi="Tahoma"/>
          <w:sz w:val="27"/>
          <w:rtl/>
          <w:lang w:bidi="fa-IR"/>
        </w:rPr>
        <w:t>م فروض الأعيان على فروض الكفاية...</w:t>
      </w:r>
      <w:r w:rsidR="0063145A"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ومن أسباب ظهور فقه الأولويات والموازنات</w:t>
      </w:r>
      <w:r w:rsidR="0063145A" w:rsidRPr="00904FCB">
        <w:rPr>
          <w:rFonts w:ascii="Tahoma" w:hAnsi="Tahoma" w:hint="cs"/>
          <w:sz w:val="27"/>
          <w:rtl/>
          <w:lang w:bidi="fa-IR"/>
        </w:rPr>
        <w:t>:</w:t>
      </w:r>
      <w:r w:rsidRPr="00904FCB">
        <w:rPr>
          <w:rFonts w:ascii="Tahoma" w:hAnsi="Tahoma"/>
          <w:sz w:val="27"/>
          <w:rtl/>
          <w:lang w:bidi="fa-IR"/>
        </w:rPr>
        <w:t xml:space="preserve"> سو</w:t>
      </w:r>
      <w:r w:rsidR="0063145A" w:rsidRPr="00904FCB">
        <w:rPr>
          <w:rFonts w:ascii="Tahoma" w:hAnsi="Tahoma" w:hint="cs"/>
          <w:sz w:val="27"/>
          <w:rtl/>
          <w:lang w:bidi="fa-IR"/>
        </w:rPr>
        <w:t>ء</w:t>
      </w:r>
      <w:r w:rsidRPr="00904FCB">
        <w:rPr>
          <w:rFonts w:ascii="Tahoma" w:hAnsi="Tahoma"/>
          <w:sz w:val="27"/>
          <w:rtl/>
          <w:lang w:bidi="fa-IR"/>
        </w:rPr>
        <w:t xml:space="preserve"> فهم الشريعة ونصوصها، وسوء فهم سن</w:t>
      </w:r>
      <w:r w:rsidR="0063145A" w:rsidRPr="00904FCB">
        <w:rPr>
          <w:rFonts w:ascii="Tahoma" w:hAnsi="Tahoma" w:hint="cs"/>
          <w:sz w:val="27"/>
          <w:rtl/>
          <w:lang w:bidi="fa-IR"/>
        </w:rPr>
        <w:t>ّ</w:t>
      </w:r>
      <w:r w:rsidRPr="00904FCB">
        <w:rPr>
          <w:rFonts w:ascii="Tahoma" w:hAnsi="Tahoma"/>
          <w:sz w:val="27"/>
          <w:rtl/>
          <w:lang w:bidi="fa-IR"/>
        </w:rPr>
        <w:t>ة التدر</w:t>
      </w:r>
      <w:r w:rsidR="0063145A" w:rsidRPr="00904FCB">
        <w:rPr>
          <w:rFonts w:ascii="Tahoma" w:hAnsi="Tahoma" w:hint="cs"/>
          <w:sz w:val="27"/>
          <w:rtl/>
          <w:lang w:bidi="fa-IR"/>
        </w:rPr>
        <w:t>ُّ</w:t>
      </w:r>
      <w:r w:rsidRPr="00904FCB">
        <w:rPr>
          <w:rFonts w:ascii="Tahoma" w:hAnsi="Tahoma"/>
          <w:sz w:val="27"/>
          <w:rtl/>
          <w:lang w:bidi="fa-IR"/>
        </w:rPr>
        <w:t>ج، والانشغال بالفروع عن الأصول، والاهتمام بالظاهر والشكل دون المضمون والجوهر، وسوء تقدير تغي</w:t>
      </w:r>
      <w:r w:rsidR="0063145A" w:rsidRPr="00904FCB">
        <w:rPr>
          <w:rFonts w:ascii="Tahoma" w:hAnsi="Tahoma" w:hint="cs"/>
          <w:sz w:val="27"/>
          <w:rtl/>
          <w:lang w:bidi="fa-IR"/>
        </w:rPr>
        <w:t>ُّ</w:t>
      </w:r>
      <w:r w:rsidRPr="00904FCB">
        <w:rPr>
          <w:rFonts w:ascii="Tahoma" w:hAnsi="Tahoma"/>
          <w:sz w:val="27"/>
          <w:rtl/>
          <w:lang w:bidi="fa-IR"/>
        </w:rPr>
        <w:t xml:space="preserve">ر الزمان والمكان والأحوال.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وفي ظل</w:t>
      </w:r>
      <w:r w:rsidR="0063145A" w:rsidRPr="00904FCB">
        <w:rPr>
          <w:rFonts w:ascii="Tahoma" w:hAnsi="Tahoma" w:hint="cs"/>
          <w:sz w:val="27"/>
          <w:rtl/>
          <w:lang w:bidi="fa-IR"/>
        </w:rPr>
        <w:t>ّ</w:t>
      </w:r>
      <w:r w:rsidRPr="00904FCB">
        <w:rPr>
          <w:rFonts w:ascii="Tahoma" w:hAnsi="Tahoma"/>
          <w:sz w:val="27"/>
          <w:rtl/>
          <w:lang w:bidi="fa-IR"/>
        </w:rPr>
        <w:t xml:space="preserve"> هذه المنظومة المتكاملة من علوم التشريع يصبح الوعي بالمقاصد الشرعية من ضرورات النهوض بالقانون المقارن في عالمنا ال</w:t>
      </w:r>
      <w:r w:rsidR="0063145A" w:rsidRPr="00904FCB">
        <w:rPr>
          <w:rFonts w:ascii="Tahoma" w:hAnsi="Tahoma" w:hint="cs"/>
          <w:sz w:val="27"/>
          <w:rtl/>
          <w:lang w:bidi="fa-IR"/>
        </w:rPr>
        <w:t>إ</w:t>
      </w:r>
      <w:r w:rsidRPr="00904FCB">
        <w:rPr>
          <w:rFonts w:ascii="Tahoma" w:hAnsi="Tahoma"/>
          <w:sz w:val="27"/>
          <w:rtl/>
          <w:lang w:bidi="fa-IR"/>
        </w:rPr>
        <w:t>سلامي في النظرية والتطبيق</w:t>
      </w:r>
      <w:r w:rsidR="0063145A" w:rsidRPr="00904FCB">
        <w:rPr>
          <w:rFonts w:ascii="Tahoma" w:hAnsi="Tahoma" w:hint="cs"/>
          <w:sz w:val="27"/>
          <w:rtl/>
          <w:lang w:bidi="fa-IR"/>
        </w:rPr>
        <w:t>.</w:t>
      </w:r>
      <w:r w:rsidRPr="00904FCB">
        <w:rPr>
          <w:rFonts w:ascii="Tahoma" w:hAnsi="Tahoma"/>
          <w:sz w:val="27"/>
          <w:rtl/>
          <w:lang w:bidi="fa-IR"/>
        </w:rPr>
        <w:t xml:space="preserve"> وفي دائرة المقاصد يفهم فقه ال</w:t>
      </w:r>
      <w:r w:rsidR="0063145A" w:rsidRPr="00904FCB">
        <w:rPr>
          <w:rFonts w:ascii="Tahoma" w:hAnsi="Tahoma" w:hint="cs"/>
          <w:sz w:val="27"/>
          <w:rtl/>
          <w:lang w:bidi="fa-IR"/>
        </w:rPr>
        <w:t>أ</w:t>
      </w:r>
      <w:r w:rsidRPr="00904FCB">
        <w:rPr>
          <w:rFonts w:ascii="Tahoma" w:hAnsi="Tahoma"/>
          <w:sz w:val="27"/>
          <w:rtl/>
          <w:lang w:bidi="fa-IR"/>
        </w:rPr>
        <w:t>ولويات والموازنات</w:t>
      </w:r>
      <w:r w:rsidR="0063145A" w:rsidRPr="00904FCB">
        <w:rPr>
          <w:rFonts w:ascii="Tahoma" w:hAnsi="Tahoma" w:hint="cs"/>
          <w:sz w:val="27"/>
          <w:rtl/>
          <w:lang w:bidi="fa-IR"/>
        </w:rPr>
        <w:t>؛</w:t>
      </w:r>
      <w:r w:rsidRPr="00904FCB">
        <w:rPr>
          <w:rFonts w:ascii="Tahoma" w:hAnsi="Tahoma"/>
          <w:sz w:val="27"/>
          <w:rtl/>
          <w:lang w:bidi="fa-IR"/>
        </w:rPr>
        <w:t xml:space="preserve"> لأنها ـ وكما يقول بحق</w:t>
      </w:r>
      <w:r w:rsidR="0063145A" w:rsidRPr="00904FCB">
        <w:rPr>
          <w:rFonts w:ascii="Tahoma" w:hAnsi="Tahoma" w:hint="cs"/>
          <w:sz w:val="27"/>
          <w:rtl/>
          <w:lang w:bidi="fa-IR"/>
        </w:rPr>
        <w:t>ٍّ</w:t>
      </w:r>
      <w:r w:rsidRPr="00904FCB">
        <w:rPr>
          <w:rFonts w:ascii="Tahoma" w:hAnsi="Tahoma"/>
          <w:sz w:val="27"/>
          <w:rtl/>
          <w:lang w:bidi="fa-IR"/>
        </w:rPr>
        <w:t xml:space="preserve"> </w:t>
      </w:r>
      <w:r w:rsidRPr="00904FCB">
        <w:rPr>
          <w:rFonts w:hint="eastAsia"/>
          <w:sz w:val="27"/>
          <w:rtl/>
          <w:lang w:bidi="fa-IR"/>
        </w:rPr>
        <w:t>«</w:t>
      </w:r>
      <w:r w:rsidRPr="00904FCB">
        <w:rPr>
          <w:rFonts w:ascii="Tahoma" w:hAnsi="Tahoma"/>
          <w:sz w:val="27"/>
          <w:rtl/>
          <w:lang w:bidi="fa-IR"/>
        </w:rPr>
        <w:t>طه جابر العلواني</w:t>
      </w:r>
      <w:r w:rsidRPr="00904FCB">
        <w:rPr>
          <w:rFonts w:hint="eastAsia"/>
          <w:sz w:val="27"/>
          <w:rtl/>
        </w:rPr>
        <w:t>»</w:t>
      </w:r>
      <w:r w:rsidRPr="00904FCB">
        <w:rPr>
          <w:rFonts w:ascii="Tahoma" w:hAnsi="Tahoma"/>
          <w:sz w:val="27"/>
          <w:rtl/>
          <w:lang w:bidi="fa-IR"/>
        </w:rPr>
        <w:t>: «من المداخل المرك</w:t>
      </w:r>
      <w:r w:rsidR="0063145A" w:rsidRPr="00904FCB">
        <w:rPr>
          <w:rFonts w:ascii="Tahoma" w:hAnsi="Tahoma" w:hint="cs"/>
          <w:sz w:val="27"/>
          <w:rtl/>
          <w:lang w:bidi="fa-IR"/>
        </w:rPr>
        <w:t>ّ</w:t>
      </w:r>
      <w:r w:rsidRPr="00904FCB">
        <w:rPr>
          <w:rFonts w:ascii="Tahoma" w:hAnsi="Tahoma"/>
          <w:sz w:val="27"/>
          <w:rtl/>
          <w:lang w:bidi="fa-IR"/>
        </w:rPr>
        <w:t>بة</w:t>
      </w:r>
      <w:r w:rsidR="0063145A" w:rsidRPr="00904FCB">
        <w:rPr>
          <w:rFonts w:ascii="Tahoma" w:hAnsi="Tahoma" w:hint="cs"/>
          <w:sz w:val="27"/>
          <w:rtl/>
          <w:lang w:bidi="fa-IR"/>
        </w:rPr>
        <w:t>،</w:t>
      </w:r>
      <w:r w:rsidRPr="00904FCB">
        <w:rPr>
          <w:rFonts w:ascii="Tahoma" w:hAnsi="Tahoma"/>
          <w:sz w:val="27"/>
          <w:rtl/>
          <w:lang w:bidi="fa-IR"/>
        </w:rPr>
        <w:t xml:space="preserve"> التي يتداخل فيها السمع والعقل، والعرف والتجربة والخبرة، وكثير من العلوم الاجتماعية والإسلامية</w:t>
      </w:r>
      <w:r w:rsidR="0063145A" w:rsidRPr="00904FCB">
        <w:rPr>
          <w:rFonts w:ascii="Tahoma" w:hAnsi="Tahoma" w:hint="cs"/>
          <w:sz w:val="27"/>
          <w:rtl/>
          <w:lang w:bidi="fa-IR"/>
        </w:rPr>
        <w:t>،</w:t>
      </w:r>
      <w:r w:rsidRPr="00904FCB">
        <w:rPr>
          <w:rFonts w:ascii="Tahoma" w:hAnsi="Tahoma"/>
          <w:sz w:val="27"/>
          <w:rtl/>
          <w:lang w:bidi="fa-IR"/>
        </w:rPr>
        <w:t xml:space="preserve"> التي يمكن أن تعين على تحليل الماضي، وفهم الحاضر، واستشراف المستقبل»</w:t>
      </w:r>
      <w:r w:rsidR="0063145A" w:rsidRPr="00904FCB">
        <w:rPr>
          <w:rFonts w:ascii="Tahoma" w:hAnsi="Tahoma" w:hint="cs"/>
          <w:sz w:val="27"/>
          <w:rtl/>
          <w:lang w:bidi="fa-IR"/>
        </w:rPr>
        <w:t>.</w:t>
      </w:r>
      <w:r w:rsidRPr="00904FCB">
        <w:rPr>
          <w:rFonts w:ascii="Tahoma" w:hAnsi="Tahoma"/>
          <w:sz w:val="27"/>
          <w:rtl/>
          <w:lang w:bidi="fa-IR"/>
        </w:rPr>
        <w:t xml:space="preserve"> وهو من دقيق أنواع العلم</w:t>
      </w:r>
      <w:r w:rsidR="0063145A" w:rsidRPr="00904FCB">
        <w:rPr>
          <w:rFonts w:ascii="Tahoma" w:hAnsi="Tahoma" w:hint="cs"/>
          <w:sz w:val="27"/>
          <w:rtl/>
          <w:lang w:bidi="fa-IR"/>
        </w:rPr>
        <w:t>،</w:t>
      </w:r>
      <w:r w:rsidRPr="00904FCB">
        <w:rPr>
          <w:rFonts w:ascii="Tahoma" w:hAnsi="Tahoma"/>
          <w:sz w:val="27"/>
          <w:rtl/>
          <w:lang w:bidi="fa-IR"/>
        </w:rPr>
        <w:t xml:space="preserve"> ليس كل</w:t>
      </w:r>
      <w:r w:rsidR="0063145A" w:rsidRPr="00904FCB">
        <w:rPr>
          <w:rFonts w:ascii="Tahoma" w:hAnsi="Tahoma" w:hint="cs"/>
          <w:sz w:val="27"/>
          <w:rtl/>
          <w:lang w:bidi="fa-IR"/>
        </w:rPr>
        <w:t>ّ</w:t>
      </w:r>
      <w:r w:rsidRPr="00904FCB">
        <w:rPr>
          <w:rFonts w:ascii="Tahoma" w:hAnsi="Tahoma"/>
          <w:sz w:val="27"/>
          <w:rtl/>
          <w:lang w:bidi="fa-IR"/>
        </w:rPr>
        <w:t xml:space="preserve"> مكل</w:t>
      </w:r>
      <w:r w:rsidR="0063145A" w:rsidRPr="00904FCB">
        <w:rPr>
          <w:rFonts w:ascii="Tahoma" w:hAnsi="Tahoma" w:hint="cs"/>
          <w:sz w:val="27"/>
          <w:rtl/>
          <w:lang w:bidi="fa-IR"/>
        </w:rPr>
        <w:t>َّ</w:t>
      </w:r>
      <w:r w:rsidRPr="00904FCB">
        <w:rPr>
          <w:rFonts w:ascii="Tahoma" w:hAnsi="Tahoma"/>
          <w:sz w:val="27"/>
          <w:rtl/>
          <w:lang w:bidi="fa-IR"/>
        </w:rPr>
        <w:t>ف</w:t>
      </w:r>
      <w:r w:rsidR="0063145A" w:rsidRPr="00904FCB">
        <w:rPr>
          <w:rFonts w:ascii="Tahoma" w:hAnsi="Tahoma" w:hint="cs"/>
          <w:sz w:val="27"/>
          <w:rtl/>
          <w:lang w:bidi="fa-IR"/>
        </w:rPr>
        <w:t>ٍ</w:t>
      </w:r>
      <w:r w:rsidRPr="00904FCB">
        <w:rPr>
          <w:rFonts w:ascii="Tahoma" w:hAnsi="Tahoma"/>
          <w:sz w:val="27"/>
          <w:rtl/>
          <w:lang w:bidi="fa-IR"/>
        </w:rPr>
        <w:t xml:space="preserve"> بحاجة</w:t>
      </w:r>
      <w:r w:rsidR="0063145A" w:rsidRPr="00904FCB">
        <w:rPr>
          <w:rFonts w:ascii="Tahoma" w:hAnsi="Tahoma" w:hint="cs"/>
          <w:sz w:val="27"/>
          <w:rtl/>
          <w:lang w:bidi="fa-IR"/>
        </w:rPr>
        <w:t>ٍ</w:t>
      </w:r>
      <w:r w:rsidRPr="00904FCB">
        <w:rPr>
          <w:rFonts w:ascii="Tahoma" w:hAnsi="Tahoma"/>
          <w:sz w:val="27"/>
          <w:rtl/>
          <w:lang w:bidi="fa-IR"/>
        </w:rPr>
        <w:t xml:space="preserve"> إلى معرفته، ومراتب الناس فيه على قدر إلمامهم بعلوم الشرع وعلوم العقل، حت</w:t>
      </w:r>
      <w:r w:rsidR="0063145A" w:rsidRPr="00904FCB">
        <w:rPr>
          <w:rFonts w:ascii="Tahoma" w:hAnsi="Tahoma" w:hint="cs"/>
          <w:sz w:val="27"/>
          <w:rtl/>
          <w:lang w:bidi="fa-IR"/>
        </w:rPr>
        <w:t>ى</w:t>
      </w:r>
      <w:r w:rsidRPr="00904FCB">
        <w:rPr>
          <w:rFonts w:ascii="Tahoma" w:hAnsi="Tahoma"/>
          <w:sz w:val="27"/>
          <w:rtl/>
          <w:lang w:bidi="fa-IR"/>
        </w:rPr>
        <w:t xml:space="preserve"> لا يضل</w:t>
      </w:r>
      <w:r w:rsidR="0063145A" w:rsidRPr="00904FCB">
        <w:rPr>
          <w:rFonts w:ascii="Tahoma" w:hAnsi="Tahoma" w:hint="cs"/>
          <w:sz w:val="27"/>
          <w:rtl/>
          <w:lang w:bidi="fa-IR"/>
        </w:rPr>
        <w:t>ّ</w:t>
      </w:r>
      <w:r w:rsidRPr="00904FCB">
        <w:rPr>
          <w:rFonts w:ascii="Tahoma" w:hAnsi="Tahoma"/>
          <w:sz w:val="27"/>
          <w:rtl/>
          <w:lang w:bidi="fa-IR"/>
        </w:rPr>
        <w:t xml:space="preserve"> العامة، وحت</w:t>
      </w:r>
      <w:r w:rsidR="0063145A" w:rsidRPr="00904FCB">
        <w:rPr>
          <w:rFonts w:ascii="Tahoma" w:hAnsi="Tahoma" w:hint="cs"/>
          <w:sz w:val="27"/>
          <w:rtl/>
          <w:lang w:bidi="fa-IR"/>
        </w:rPr>
        <w:t>ى</w:t>
      </w:r>
      <w:r w:rsidRPr="00904FCB">
        <w:rPr>
          <w:rFonts w:ascii="Tahoma" w:hAnsi="Tahoma"/>
          <w:sz w:val="27"/>
          <w:rtl/>
          <w:lang w:bidi="fa-IR"/>
        </w:rPr>
        <w:t xml:space="preserve"> لا يزاحم على الصدارة فيه ال</w:t>
      </w:r>
      <w:r w:rsidR="0063145A" w:rsidRPr="00904FCB">
        <w:rPr>
          <w:rFonts w:ascii="Tahoma" w:hAnsi="Tahoma" w:hint="cs"/>
          <w:sz w:val="27"/>
          <w:rtl/>
          <w:lang w:bidi="fa-IR"/>
        </w:rPr>
        <w:t>أ</w:t>
      </w:r>
      <w:r w:rsidRPr="00904FCB">
        <w:rPr>
          <w:rFonts w:ascii="Tahoma" w:hAnsi="Tahoma"/>
          <w:sz w:val="27"/>
          <w:rtl/>
          <w:lang w:bidi="fa-IR"/>
        </w:rPr>
        <w:t>دعياء</w:t>
      </w:r>
      <w:r w:rsidR="0063145A" w:rsidRPr="00904FCB">
        <w:rPr>
          <w:rFonts w:ascii="Tahoma" w:hAnsi="Tahoma" w:hint="cs"/>
          <w:sz w:val="27"/>
          <w:rtl/>
          <w:lang w:bidi="fa-IR"/>
        </w:rPr>
        <w:t>.</w:t>
      </w:r>
      <w:r w:rsidRPr="00904FCB">
        <w:rPr>
          <w:rFonts w:ascii="Tahoma" w:hAnsi="Tahoma"/>
          <w:sz w:val="27"/>
          <w:rtl/>
          <w:lang w:bidi="fa-IR"/>
        </w:rPr>
        <w:t xml:space="preserve"> وهذا العلم مزلة أقدام وأفهام</w:t>
      </w:r>
      <w:r w:rsidR="0063145A" w:rsidRPr="00904FCB">
        <w:rPr>
          <w:rFonts w:ascii="Tahoma" w:hAnsi="Tahoma" w:hint="cs"/>
          <w:sz w:val="27"/>
          <w:rtl/>
          <w:lang w:bidi="fa-IR"/>
        </w:rPr>
        <w:t>،</w:t>
      </w:r>
      <w:r w:rsidRPr="00904FCB">
        <w:rPr>
          <w:rFonts w:ascii="Tahoma" w:hAnsi="Tahoma"/>
          <w:sz w:val="27"/>
          <w:rtl/>
          <w:lang w:bidi="fa-IR"/>
        </w:rPr>
        <w:t xml:space="preserve"> فلا ينفتح </w:t>
      </w:r>
      <w:r w:rsidR="0063145A" w:rsidRPr="00904FCB">
        <w:rPr>
          <w:rFonts w:ascii="Tahoma" w:hAnsi="Tahoma" w:hint="cs"/>
          <w:sz w:val="27"/>
          <w:rtl/>
          <w:lang w:bidi="fa-IR"/>
        </w:rPr>
        <w:t xml:space="preserve">ـ </w:t>
      </w:r>
      <w:r w:rsidRPr="00904FCB">
        <w:rPr>
          <w:rFonts w:ascii="Tahoma" w:hAnsi="Tahoma"/>
          <w:sz w:val="27"/>
          <w:rtl/>
          <w:lang w:bidi="fa-IR"/>
        </w:rPr>
        <w:t xml:space="preserve">كما ألمح </w:t>
      </w:r>
      <w:r w:rsidRPr="00904FCB">
        <w:rPr>
          <w:rFonts w:hint="eastAsia"/>
          <w:sz w:val="27"/>
          <w:rtl/>
          <w:lang w:bidi="fa-IR"/>
        </w:rPr>
        <w:t>«</w:t>
      </w:r>
      <w:r w:rsidRPr="00904FCB">
        <w:rPr>
          <w:rFonts w:ascii="Tahoma" w:hAnsi="Tahoma"/>
          <w:sz w:val="27"/>
          <w:rtl/>
          <w:lang w:bidi="fa-IR"/>
        </w:rPr>
        <w:t>القرافي</w:t>
      </w:r>
      <w:r w:rsidRPr="00904FCB">
        <w:rPr>
          <w:rFonts w:hint="eastAsia"/>
          <w:sz w:val="27"/>
          <w:rtl/>
        </w:rPr>
        <w:t>»</w:t>
      </w:r>
      <w:r w:rsidRPr="00904FCB">
        <w:rPr>
          <w:rFonts w:ascii="Tahoma" w:hAnsi="Tahoma"/>
          <w:sz w:val="27"/>
          <w:rtl/>
          <w:lang w:bidi="fa-IR"/>
        </w:rPr>
        <w:t xml:space="preserve"> في الفروق</w:t>
      </w:r>
      <w:r w:rsidR="0063145A" w:rsidRPr="00904FCB">
        <w:rPr>
          <w:rFonts w:ascii="Tahoma" w:hAnsi="Tahoma" w:hint="cs"/>
          <w:sz w:val="27"/>
          <w:rtl/>
          <w:lang w:bidi="fa-IR"/>
        </w:rPr>
        <w:t xml:space="preserve"> ـ</w:t>
      </w:r>
      <w:r w:rsidRPr="00904FCB">
        <w:rPr>
          <w:rFonts w:ascii="Tahoma" w:hAnsi="Tahoma"/>
          <w:sz w:val="27"/>
          <w:rtl/>
          <w:lang w:bidi="fa-IR"/>
        </w:rPr>
        <w:t xml:space="preserve"> «إلا</w:t>
      </w:r>
      <w:r w:rsidR="0063145A" w:rsidRPr="00904FCB">
        <w:rPr>
          <w:rFonts w:ascii="Tahoma" w:hAnsi="Tahoma" w:hint="cs"/>
          <w:sz w:val="27"/>
          <w:rtl/>
          <w:lang w:bidi="fa-IR"/>
        </w:rPr>
        <w:t>ّ</w:t>
      </w:r>
      <w:r w:rsidRPr="00904FCB">
        <w:rPr>
          <w:rFonts w:ascii="Tahoma" w:hAnsi="Tahoma"/>
          <w:sz w:val="27"/>
          <w:rtl/>
          <w:lang w:bidi="fa-IR"/>
        </w:rPr>
        <w:t xml:space="preserve"> لم</w:t>
      </w:r>
      <w:r w:rsidR="0063145A" w:rsidRPr="00904FCB">
        <w:rPr>
          <w:rFonts w:ascii="Tahoma" w:hAnsi="Tahoma" w:hint="cs"/>
          <w:sz w:val="27"/>
          <w:rtl/>
          <w:lang w:bidi="fa-IR"/>
        </w:rPr>
        <w:t>َ</w:t>
      </w:r>
      <w:r w:rsidRPr="00904FCB">
        <w:rPr>
          <w:rFonts w:ascii="Tahoma" w:hAnsi="Tahoma"/>
          <w:sz w:val="27"/>
          <w:rtl/>
          <w:lang w:bidi="fa-IR"/>
        </w:rPr>
        <w:t>ن</w:t>
      </w:r>
      <w:r w:rsidR="0063145A" w:rsidRPr="00904FCB">
        <w:rPr>
          <w:rFonts w:ascii="Tahoma" w:hAnsi="Tahoma" w:hint="cs"/>
          <w:sz w:val="27"/>
          <w:rtl/>
          <w:lang w:bidi="fa-IR"/>
        </w:rPr>
        <w:t>ْ</w:t>
      </w:r>
      <w:r w:rsidRPr="00904FCB">
        <w:rPr>
          <w:rFonts w:ascii="Tahoma" w:hAnsi="Tahoma"/>
          <w:sz w:val="27"/>
          <w:rtl/>
          <w:lang w:bidi="fa-IR"/>
        </w:rPr>
        <w:t xml:space="preserve"> هو عالم بتفاصيل أحوال الأقيسة والعلل، ورتب المصالح، وشروط القواعد...</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lastRenderedPageBreak/>
        <w:t>ولعل</w:t>
      </w:r>
      <w:r w:rsidR="0063145A" w:rsidRPr="00904FCB">
        <w:rPr>
          <w:rFonts w:ascii="Tahoma" w:hAnsi="Tahoma" w:hint="cs"/>
          <w:sz w:val="27"/>
          <w:rtl/>
          <w:lang w:bidi="fa-IR"/>
        </w:rPr>
        <w:t>ّ</w:t>
      </w:r>
      <w:r w:rsidRPr="00904FCB">
        <w:rPr>
          <w:rFonts w:ascii="Tahoma" w:hAnsi="Tahoma"/>
          <w:sz w:val="27"/>
          <w:rtl/>
          <w:lang w:bidi="fa-IR"/>
        </w:rPr>
        <w:t xml:space="preserve"> أهم</w:t>
      </w:r>
      <w:r w:rsidR="0063145A" w:rsidRPr="00904FCB">
        <w:rPr>
          <w:rFonts w:ascii="Tahoma" w:hAnsi="Tahoma" w:hint="cs"/>
          <w:sz w:val="27"/>
          <w:rtl/>
          <w:lang w:bidi="fa-IR"/>
        </w:rPr>
        <w:t>ّ</w:t>
      </w:r>
      <w:r w:rsidRPr="00904FCB">
        <w:rPr>
          <w:rFonts w:ascii="Tahoma" w:hAnsi="Tahoma"/>
          <w:sz w:val="27"/>
          <w:rtl/>
          <w:lang w:bidi="fa-IR"/>
        </w:rPr>
        <w:t xml:space="preserve"> ما يجب الالتفات إليه في مجال علاقة المقاصد الشرعية بالقانون المقارن أنها تفتح أمامه مغاليق النصوص، فلا يصبح القانون معزولا</w:t>
      </w:r>
      <w:r w:rsidR="0063145A" w:rsidRPr="00904FCB">
        <w:rPr>
          <w:rFonts w:ascii="Tahoma" w:hAnsi="Tahoma" w:hint="cs"/>
          <w:sz w:val="27"/>
          <w:rtl/>
          <w:lang w:bidi="fa-IR"/>
        </w:rPr>
        <w:t>ً</w:t>
      </w:r>
      <w:r w:rsidRPr="00904FCB">
        <w:rPr>
          <w:rFonts w:ascii="Tahoma" w:hAnsi="Tahoma"/>
          <w:sz w:val="27"/>
          <w:rtl/>
          <w:lang w:bidi="fa-IR"/>
        </w:rPr>
        <w:t xml:space="preserve"> في مدو</w:t>
      </w:r>
      <w:r w:rsidR="0063145A" w:rsidRPr="00904FCB">
        <w:rPr>
          <w:rFonts w:ascii="Tahoma" w:hAnsi="Tahoma" w:hint="cs"/>
          <w:sz w:val="27"/>
          <w:rtl/>
          <w:lang w:bidi="fa-IR"/>
        </w:rPr>
        <w:t>ّ</w:t>
      </w:r>
      <w:r w:rsidRPr="00904FCB">
        <w:rPr>
          <w:rFonts w:ascii="Tahoma" w:hAnsi="Tahoma"/>
          <w:sz w:val="27"/>
          <w:rtl/>
          <w:lang w:bidi="fa-IR"/>
        </w:rPr>
        <w:t>نات التشريع</w:t>
      </w:r>
      <w:r w:rsidR="0063145A" w:rsidRPr="00904FCB">
        <w:rPr>
          <w:rFonts w:ascii="Tahoma" w:hAnsi="Tahoma" w:hint="cs"/>
          <w:sz w:val="27"/>
          <w:rtl/>
          <w:lang w:bidi="fa-IR"/>
        </w:rPr>
        <w:t>،</w:t>
      </w:r>
      <w:r w:rsidRPr="00904FCB">
        <w:rPr>
          <w:rFonts w:ascii="Tahoma" w:hAnsi="Tahoma"/>
          <w:sz w:val="27"/>
          <w:rtl/>
          <w:lang w:bidi="fa-IR"/>
        </w:rPr>
        <w:t xml:space="preserve"> نفهمه بفهم ألفاظه، بل هو حركة دائبة، يت</w:t>
      </w:r>
      <w:r w:rsidR="0063145A" w:rsidRPr="00904FCB">
        <w:rPr>
          <w:rFonts w:ascii="Tahoma" w:hAnsi="Tahoma" w:hint="cs"/>
          <w:sz w:val="27"/>
          <w:rtl/>
          <w:lang w:bidi="fa-IR"/>
        </w:rPr>
        <w:t>َّ</w:t>
      </w:r>
      <w:r w:rsidRPr="00904FCB">
        <w:rPr>
          <w:rFonts w:ascii="Tahoma" w:hAnsi="Tahoma"/>
          <w:sz w:val="27"/>
          <w:rtl/>
          <w:lang w:bidi="fa-IR"/>
        </w:rPr>
        <w:t>سع بها النص</w:t>
      </w:r>
      <w:r w:rsidR="0063145A" w:rsidRPr="00904FCB">
        <w:rPr>
          <w:rFonts w:ascii="Tahoma" w:hAnsi="Tahoma" w:hint="cs"/>
          <w:sz w:val="27"/>
          <w:rtl/>
          <w:lang w:bidi="fa-IR"/>
        </w:rPr>
        <w:t>ّ</w:t>
      </w:r>
      <w:r w:rsidRPr="00904FCB">
        <w:rPr>
          <w:rFonts w:ascii="Tahoma" w:hAnsi="Tahoma"/>
          <w:sz w:val="27"/>
          <w:rtl/>
          <w:lang w:bidi="fa-IR"/>
        </w:rPr>
        <w:t xml:space="preserve"> ويضيق، ولا يحضر </w:t>
      </w:r>
      <w:r w:rsidR="0063145A" w:rsidRPr="00904FCB">
        <w:rPr>
          <w:rFonts w:ascii="Tahoma" w:hAnsi="Tahoma" w:hint="cs"/>
          <w:sz w:val="27"/>
          <w:rtl/>
          <w:lang w:bidi="fa-IR"/>
        </w:rPr>
        <w:t>و</w:t>
      </w:r>
      <w:r w:rsidRPr="00904FCB">
        <w:rPr>
          <w:rFonts w:ascii="Tahoma" w:hAnsi="Tahoma"/>
          <w:sz w:val="27"/>
          <w:rtl/>
          <w:lang w:bidi="fa-IR"/>
        </w:rPr>
        <w:t>لا يغيب إلا</w:t>
      </w:r>
      <w:r w:rsidR="0063145A" w:rsidRPr="00904FCB">
        <w:rPr>
          <w:rFonts w:ascii="Tahoma" w:hAnsi="Tahoma" w:hint="cs"/>
          <w:sz w:val="27"/>
          <w:rtl/>
          <w:lang w:bidi="fa-IR"/>
        </w:rPr>
        <w:t>ّ</w:t>
      </w:r>
      <w:r w:rsidRPr="00904FCB">
        <w:rPr>
          <w:rFonts w:ascii="Tahoma" w:hAnsi="Tahoma"/>
          <w:sz w:val="27"/>
          <w:rtl/>
          <w:lang w:bidi="fa-IR"/>
        </w:rPr>
        <w:t xml:space="preserve"> بعل</w:t>
      </w:r>
      <w:r w:rsidR="0063145A" w:rsidRPr="00904FCB">
        <w:rPr>
          <w:rFonts w:ascii="Tahoma" w:hAnsi="Tahoma" w:hint="cs"/>
          <w:sz w:val="27"/>
          <w:rtl/>
          <w:lang w:bidi="fa-IR"/>
        </w:rPr>
        <w:t>ّ</w:t>
      </w:r>
      <w:r w:rsidRPr="00904FCB">
        <w:rPr>
          <w:rFonts w:ascii="Tahoma" w:hAnsi="Tahoma"/>
          <w:sz w:val="27"/>
          <w:rtl/>
          <w:lang w:bidi="fa-IR"/>
        </w:rPr>
        <w:t>ة</w:t>
      </w:r>
      <w:r w:rsidR="0063145A" w:rsidRPr="00904FCB">
        <w:rPr>
          <w:rFonts w:ascii="Tahoma" w:hAnsi="Tahoma" w:hint="cs"/>
          <w:sz w:val="27"/>
          <w:rtl/>
          <w:lang w:bidi="fa-IR"/>
        </w:rPr>
        <w:t>ٍ.</w:t>
      </w:r>
      <w:r w:rsidRPr="00904FCB">
        <w:rPr>
          <w:rFonts w:ascii="Tahoma" w:hAnsi="Tahoma"/>
          <w:sz w:val="27"/>
          <w:rtl/>
          <w:lang w:bidi="fa-IR"/>
        </w:rPr>
        <w:t xml:space="preserve"> والنص القانوني ـ كما يقول </w:t>
      </w:r>
      <w:r w:rsidRPr="00904FCB">
        <w:rPr>
          <w:rFonts w:hint="eastAsia"/>
          <w:sz w:val="27"/>
          <w:rtl/>
          <w:lang w:bidi="fa-IR"/>
        </w:rPr>
        <w:t>«</w:t>
      </w:r>
      <w:r w:rsidRPr="00904FCB">
        <w:rPr>
          <w:rFonts w:ascii="Tahoma" w:hAnsi="Tahoma"/>
          <w:sz w:val="27"/>
          <w:rtl/>
          <w:lang w:bidi="fa-IR"/>
        </w:rPr>
        <w:t>سالي</w:t>
      </w:r>
      <w:r w:rsidRPr="00904FCB">
        <w:rPr>
          <w:rFonts w:hint="eastAsia"/>
          <w:sz w:val="27"/>
          <w:rtl/>
        </w:rPr>
        <w:t>»</w:t>
      </w:r>
      <w:r w:rsidRPr="00904FCB">
        <w:rPr>
          <w:rFonts w:ascii="Tahoma" w:hAnsi="Tahoma"/>
          <w:sz w:val="27"/>
          <w:rtl/>
          <w:lang w:bidi="fa-IR"/>
        </w:rPr>
        <w:t xml:space="preserve"> ـ «إذا أخذ القانون بألفاظه فهو هيكل</w:t>
      </w:r>
      <w:r w:rsidR="0063145A" w:rsidRPr="00904FCB">
        <w:rPr>
          <w:rFonts w:ascii="Tahoma" w:hAnsi="Tahoma" w:hint="cs"/>
          <w:sz w:val="27"/>
          <w:rtl/>
          <w:lang w:bidi="fa-IR"/>
        </w:rPr>
        <w:t>ٌ</w:t>
      </w:r>
      <w:r w:rsidRPr="00904FCB">
        <w:rPr>
          <w:rFonts w:ascii="Tahoma" w:hAnsi="Tahoma"/>
          <w:sz w:val="27"/>
          <w:rtl/>
          <w:lang w:bidi="fa-IR"/>
        </w:rPr>
        <w:t xml:space="preserve"> عظمي مجر</w:t>
      </w:r>
      <w:r w:rsidR="0063145A" w:rsidRPr="00904FCB">
        <w:rPr>
          <w:rFonts w:ascii="Tahoma" w:hAnsi="Tahoma" w:hint="cs"/>
          <w:sz w:val="27"/>
          <w:rtl/>
          <w:lang w:bidi="fa-IR"/>
        </w:rPr>
        <w:t>ّ</w:t>
      </w:r>
      <w:r w:rsidRPr="00904FCB">
        <w:rPr>
          <w:rFonts w:ascii="Tahoma" w:hAnsi="Tahoma"/>
          <w:sz w:val="27"/>
          <w:rtl/>
          <w:lang w:bidi="fa-IR"/>
        </w:rPr>
        <w:t>د عن معن</w:t>
      </w:r>
      <w:r w:rsidR="0063145A" w:rsidRPr="00904FCB">
        <w:rPr>
          <w:rFonts w:ascii="Tahoma" w:hAnsi="Tahoma" w:hint="cs"/>
          <w:sz w:val="27"/>
          <w:rtl/>
          <w:lang w:bidi="fa-IR"/>
        </w:rPr>
        <w:t>ى</w:t>
      </w:r>
      <w:r w:rsidRPr="00904FCB">
        <w:rPr>
          <w:rFonts w:ascii="Tahoma" w:hAnsi="Tahoma"/>
          <w:sz w:val="27"/>
          <w:rtl/>
          <w:lang w:bidi="fa-IR"/>
        </w:rPr>
        <w:t xml:space="preserve"> الحياة»</w:t>
      </w:r>
      <w:r w:rsidR="0063145A" w:rsidRPr="00904FCB">
        <w:rPr>
          <w:rFonts w:ascii="Tahoma" w:hAnsi="Tahoma" w:hint="cs"/>
          <w:sz w:val="27"/>
          <w:rtl/>
          <w:lang w:bidi="fa-IR"/>
        </w:rPr>
        <w:t>.</w:t>
      </w:r>
      <w:r w:rsidRPr="00904FCB">
        <w:rPr>
          <w:rFonts w:ascii="Tahoma" w:hAnsi="Tahoma"/>
          <w:sz w:val="27"/>
          <w:rtl/>
          <w:lang w:bidi="fa-IR"/>
        </w:rPr>
        <w:t xml:space="preserve"> ويقول </w:t>
      </w:r>
      <w:r w:rsidRPr="00904FCB">
        <w:rPr>
          <w:rFonts w:hint="eastAsia"/>
          <w:sz w:val="27"/>
          <w:rtl/>
          <w:lang w:bidi="fa-IR"/>
        </w:rPr>
        <w:t>«</w:t>
      </w:r>
      <w:r w:rsidRPr="00904FCB">
        <w:rPr>
          <w:rFonts w:ascii="Tahoma" w:hAnsi="Tahoma"/>
          <w:sz w:val="27"/>
          <w:rtl/>
          <w:lang w:bidi="fa-IR"/>
        </w:rPr>
        <w:t>كابيتان</w:t>
      </w:r>
      <w:r w:rsidRPr="00904FCB">
        <w:rPr>
          <w:rFonts w:hint="eastAsia"/>
          <w:sz w:val="27"/>
          <w:rtl/>
        </w:rPr>
        <w:t>»</w:t>
      </w:r>
      <w:r w:rsidR="0063145A" w:rsidRPr="00904FCB">
        <w:rPr>
          <w:rFonts w:ascii="Tahoma" w:hAnsi="Tahoma" w:hint="cs"/>
          <w:sz w:val="27"/>
          <w:rtl/>
          <w:lang w:bidi="fa-IR"/>
        </w:rPr>
        <w:t>:</w:t>
      </w:r>
      <w:r w:rsidRPr="00904FCB">
        <w:rPr>
          <w:rFonts w:ascii="Tahoma" w:hAnsi="Tahoma"/>
          <w:sz w:val="27"/>
          <w:rtl/>
          <w:lang w:bidi="fa-IR"/>
        </w:rPr>
        <w:t xml:space="preserve"> كم يخطئ م</w:t>
      </w:r>
      <w:r w:rsidR="0063145A" w:rsidRPr="00904FCB">
        <w:rPr>
          <w:rFonts w:ascii="Tahoma" w:hAnsi="Tahoma" w:hint="cs"/>
          <w:sz w:val="27"/>
          <w:rtl/>
          <w:lang w:bidi="fa-IR"/>
        </w:rPr>
        <w:t>َ</w:t>
      </w:r>
      <w:r w:rsidRPr="00904FCB">
        <w:rPr>
          <w:rFonts w:ascii="Tahoma" w:hAnsi="Tahoma"/>
          <w:sz w:val="27"/>
          <w:rtl/>
          <w:lang w:bidi="fa-IR"/>
        </w:rPr>
        <w:t>ن</w:t>
      </w:r>
      <w:r w:rsidR="0063145A" w:rsidRPr="00904FCB">
        <w:rPr>
          <w:rFonts w:ascii="Tahoma" w:hAnsi="Tahoma" w:hint="cs"/>
          <w:sz w:val="27"/>
          <w:rtl/>
          <w:lang w:bidi="fa-IR"/>
        </w:rPr>
        <w:t>ْ</w:t>
      </w:r>
      <w:r w:rsidRPr="00904FCB">
        <w:rPr>
          <w:rFonts w:ascii="Tahoma" w:hAnsi="Tahoma"/>
          <w:sz w:val="27"/>
          <w:rtl/>
          <w:lang w:bidi="fa-IR"/>
        </w:rPr>
        <w:t xml:space="preserve"> يتصور </w:t>
      </w:r>
      <w:r w:rsidR="0063145A" w:rsidRPr="00904FCB">
        <w:rPr>
          <w:rFonts w:ascii="Tahoma" w:hAnsi="Tahoma" w:hint="cs"/>
          <w:sz w:val="27"/>
          <w:rtl/>
          <w:lang w:bidi="fa-IR"/>
        </w:rPr>
        <w:t>أنّ</w:t>
      </w:r>
      <w:r w:rsidRPr="00904FCB">
        <w:rPr>
          <w:rFonts w:ascii="Tahoma" w:hAnsi="Tahoma"/>
          <w:sz w:val="27"/>
          <w:rtl/>
          <w:lang w:bidi="fa-IR"/>
        </w:rPr>
        <w:t>ه محيط</w:t>
      </w:r>
      <w:r w:rsidR="0063145A" w:rsidRPr="00904FCB">
        <w:rPr>
          <w:rFonts w:ascii="Tahoma" w:hAnsi="Tahoma" w:hint="cs"/>
          <w:sz w:val="27"/>
          <w:rtl/>
          <w:lang w:bidi="fa-IR"/>
        </w:rPr>
        <w:t>ٌ</w:t>
      </w:r>
      <w:r w:rsidRPr="00904FCB">
        <w:rPr>
          <w:rFonts w:ascii="Tahoma" w:hAnsi="Tahoma"/>
          <w:sz w:val="27"/>
          <w:rtl/>
          <w:lang w:bidi="fa-IR"/>
        </w:rPr>
        <w:t xml:space="preserve"> علما</w:t>
      </w:r>
      <w:r w:rsidR="0063145A" w:rsidRPr="00904FCB">
        <w:rPr>
          <w:rFonts w:ascii="Tahoma" w:hAnsi="Tahoma" w:hint="cs"/>
          <w:sz w:val="27"/>
          <w:rtl/>
          <w:lang w:bidi="fa-IR"/>
        </w:rPr>
        <w:t>ً</w:t>
      </w:r>
      <w:r w:rsidRPr="00904FCB">
        <w:rPr>
          <w:rFonts w:ascii="Tahoma" w:hAnsi="Tahoma"/>
          <w:sz w:val="27"/>
          <w:rtl/>
          <w:lang w:bidi="fa-IR"/>
        </w:rPr>
        <w:t xml:space="preserve"> بالقانون المدني</w:t>
      </w:r>
      <w:r w:rsidR="0063145A" w:rsidRPr="00904FCB">
        <w:rPr>
          <w:rFonts w:ascii="Tahoma" w:hAnsi="Tahoma" w:hint="cs"/>
          <w:sz w:val="27"/>
          <w:rtl/>
          <w:lang w:bidi="fa-IR"/>
        </w:rPr>
        <w:t>؟!</w:t>
      </w:r>
      <w:r w:rsidRPr="00904FCB">
        <w:rPr>
          <w:rFonts w:ascii="Tahoma" w:hAnsi="Tahoma"/>
          <w:sz w:val="27"/>
          <w:rtl/>
          <w:lang w:bidi="fa-IR"/>
        </w:rPr>
        <w:t xml:space="preserve"> فإن نصوص القوانين المسطورة ليس مصيرها كلا</w:t>
      </w:r>
      <w:r w:rsidR="00DA684B">
        <w:rPr>
          <w:rFonts w:ascii="Tahoma" w:hAnsi="Tahoma" w:hint="cs"/>
          <w:sz w:val="27"/>
          <w:rtl/>
          <w:lang w:bidi="fa-IR"/>
        </w:rPr>
        <w:t>ًّ</w:t>
      </w:r>
      <w:r w:rsidRPr="00904FCB">
        <w:rPr>
          <w:rFonts w:ascii="Tahoma" w:hAnsi="Tahoma"/>
          <w:sz w:val="27"/>
          <w:rtl/>
          <w:lang w:bidi="fa-IR"/>
        </w:rPr>
        <w:t xml:space="preserve"> سواء</w:t>
      </w:r>
      <w:r w:rsidR="0063145A" w:rsidRPr="00904FCB">
        <w:rPr>
          <w:rFonts w:ascii="Tahoma" w:hAnsi="Tahoma" w:hint="cs"/>
          <w:sz w:val="27"/>
          <w:rtl/>
          <w:lang w:bidi="fa-IR"/>
        </w:rPr>
        <w:t>؛</w:t>
      </w:r>
      <w:r w:rsidRPr="00904FCB">
        <w:rPr>
          <w:rFonts w:ascii="Tahoma" w:hAnsi="Tahoma"/>
          <w:sz w:val="27"/>
          <w:rtl/>
          <w:lang w:bidi="fa-IR"/>
        </w:rPr>
        <w:t xml:space="preserve"> فمنها ما يبل</w:t>
      </w:r>
      <w:r w:rsidR="0063145A" w:rsidRPr="00904FCB">
        <w:rPr>
          <w:rFonts w:ascii="Tahoma" w:hAnsi="Tahoma" w:hint="cs"/>
          <w:sz w:val="27"/>
          <w:rtl/>
          <w:lang w:bidi="fa-IR"/>
        </w:rPr>
        <w:t>ى</w:t>
      </w:r>
      <w:r w:rsidRPr="00904FCB">
        <w:rPr>
          <w:rFonts w:ascii="Tahoma" w:hAnsi="Tahoma"/>
          <w:sz w:val="27"/>
          <w:rtl/>
          <w:lang w:bidi="fa-IR"/>
        </w:rPr>
        <w:t xml:space="preserve"> ولا تصبح له أهم</w:t>
      </w:r>
      <w:r w:rsidR="0063145A" w:rsidRPr="00904FCB">
        <w:rPr>
          <w:rFonts w:ascii="Tahoma" w:hAnsi="Tahoma" w:hint="cs"/>
          <w:sz w:val="27"/>
          <w:rtl/>
          <w:lang w:bidi="fa-IR"/>
        </w:rPr>
        <w:t>ّ</w:t>
      </w:r>
      <w:r w:rsidRPr="00904FCB">
        <w:rPr>
          <w:rFonts w:ascii="Tahoma" w:hAnsi="Tahoma"/>
          <w:sz w:val="27"/>
          <w:rtl/>
          <w:lang w:bidi="fa-IR"/>
        </w:rPr>
        <w:t>ية عملية</w:t>
      </w:r>
      <w:r w:rsidR="0063145A" w:rsidRPr="00904FCB">
        <w:rPr>
          <w:rFonts w:ascii="Tahoma" w:hAnsi="Tahoma" w:hint="cs"/>
          <w:sz w:val="27"/>
          <w:rtl/>
          <w:lang w:bidi="fa-IR"/>
        </w:rPr>
        <w:t>،</w:t>
      </w:r>
      <w:r w:rsidRPr="00904FCB">
        <w:rPr>
          <w:rFonts w:ascii="Tahoma" w:hAnsi="Tahoma"/>
          <w:sz w:val="27"/>
          <w:rtl/>
          <w:lang w:bidi="fa-IR"/>
        </w:rPr>
        <w:t xml:space="preserve"> فلا يبق</w:t>
      </w:r>
      <w:r w:rsidR="0063145A" w:rsidRPr="00904FCB">
        <w:rPr>
          <w:rFonts w:ascii="Tahoma" w:hAnsi="Tahoma" w:hint="cs"/>
          <w:sz w:val="27"/>
          <w:rtl/>
          <w:lang w:bidi="fa-IR"/>
        </w:rPr>
        <w:t>ى</w:t>
      </w:r>
      <w:r w:rsidR="0063145A" w:rsidRPr="00904FCB">
        <w:rPr>
          <w:rFonts w:ascii="Tahoma" w:hAnsi="Tahoma"/>
          <w:sz w:val="27"/>
          <w:rtl/>
          <w:lang w:bidi="fa-IR"/>
        </w:rPr>
        <w:t xml:space="preserve"> له س</w:t>
      </w:r>
      <w:r w:rsidR="0063145A" w:rsidRPr="00904FCB">
        <w:rPr>
          <w:rFonts w:ascii="Tahoma" w:hAnsi="Tahoma" w:hint="cs"/>
          <w:sz w:val="27"/>
          <w:rtl/>
          <w:lang w:bidi="fa-IR"/>
        </w:rPr>
        <w:t>وى</w:t>
      </w:r>
      <w:r w:rsidRPr="00904FCB">
        <w:rPr>
          <w:rFonts w:ascii="Tahoma" w:hAnsi="Tahoma"/>
          <w:sz w:val="27"/>
          <w:rtl/>
          <w:lang w:bidi="fa-IR"/>
        </w:rPr>
        <w:t xml:space="preserve"> القيمة النظرية</w:t>
      </w:r>
      <w:r w:rsidR="0063145A" w:rsidRPr="00904FCB">
        <w:rPr>
          <w:rFonts w:ascii="Tahoma" w:hAnsi="Tahoma" w:hint="cs"/>
          <w:sz w:val="27"/>
          <w:rtl/>
          <w:lang w:bidi="fa-IR"/>
        </w:rPr>
        <w:t>؛</w:t>
      </w:r>
      <w:r w:rsidRPr="00904FCB">
        <w:rPr>
          <w:rFonts w:ascii="Tahoma" w:hAnsi="Tahoma"/>
          <w:sz w:val="27"/>
          <w:rtl/>
          <w:lang w:bidi="fa-IR"/>
        </w:rPr>
        <w:t xml:space="preserve"> ومنها ما يتحو</w:t>
      </w:r>
      <w:r w:rsidR="0063145A" w:rsidRPr="00904FCB">
        <w:rPr>
          <w:rFonts w:ascii="Tahoma" w:hAnsi="Tahoma" w:hint="cs"/>
          <w:sz w:val="27"/>
          <w:rtl/>
          <w:lang w:bidi="fa-IR"/>
        </w:rPr>
        <w:t>ّ</w:t>
      </w:r>
      <w:r w:rsidRPr="00904FCB">
        <w:rPr>
          <w:rFonts w:ascii="Tahoma" w:hAnsi="Tahoma"/>
          <w:sz w:val="27"/>
          <w:rtl/>
          <w:lang w:bidi="fa-IR"/>
        </w:rPr>
        <w:t>ر طبقا</w:t>
      </w:r>
      <w:r w:rsidR="0063145A" w:rsidRPr="00904FCB">
        <w:rPr>
          <w:rFonts w:ascii="Tahoma" w:hAnsi="Tahoma" w:hint="cs"/>
          <w:sz w:val="27"/>
          <w:rtl/>
          <w:lang w:bidi="fa-IR"/>
        </w:rPr>
        <w:t>ً</w:t>
      </w:r>
      <w:r w:rsidRPr="00904FCB">
        <w:rPr>
          <w:rFonts w:ascii="Tahoma" w:hAnsi="Tahoma"/>
          <w:sz w:val="27"/>
          <w:rtl/>
          <w:lang w:bidi="fa-IR"/>
        </w:rPr>
        <w:t xml:space="preserve"> لمقتضيات الحياة العملية</w:t>
      </w:r>
      <w:r w:rsidR="0063145A" w:rsidRPr="00904FCB">
        <w:rPr>
          <w:rFonts w:ascii="Tahoma" w:hAnsi="Tahoma" w:hint="cs"/>
          <w:sz w:val="27"/>
          <w:rtl/>
          <w:lang w:bidi="fa-IR"/>
        </w:rPr>
        <w:t>.</w:t>
      </w:r>
      <w:r w:rsidRPr="00904FCB">
        <w:rPr>
          <w:rFonts w:ascii="Tahoma" w:hAnsi="Tahoma"/>
          <w:sz w:val="27"/>
          <w:rtl/>
          <w:lang w:bidi="fa-IR"/>
        </w:rPr>
        <w:t xml:space="preserve"> وفضلا</w:t>
      </w:r>
      <w:r w:rsidR="0063145A" w:rsidRPr="00904FCB">
        <w:rPr>
          <w:rFonts w:ascii="Tahoma" w:hAnsi="Tahoma" w:hint="cs"/>
          <w:sz w:val="27"/>
          <w:rtl/>
          <w:lang w:bidi="fa-IR"/>
        </w:rPr>
        <w:t>ً</w:t>
      </w:r>
      <w:r w:rsidRPr="00904FCB">
        <w:rPr>
          <w:rFonts w:ascii="Tahoma" w:hAnsi="Tahoma"/>
          <w:sz w:val="27"/>
          <w:rtl/>
          <w:lang w:bidi="fa-IR"/>
        </w:rPr>
        <w:t xml:space="preserve"> عن ذلك فإن النصوص التشريعية في أم</w:t>
      </w:r>
      <w:r w:rsidR="0063145A" w:rsidRPr="00904FCB">
        <w:rPr>
          <w:rFonts w:ascii="Tahoma" w:hAnsi="Tahoma" w:hint="cs"/>
          <w:sz w:val="27"/>
          <w:rtl/>
          <w:lang w:bidi="fa-IR"/>
        </w:rPr>
        <w:t>ّ</w:t>
      </w:r>
      <w:r w:rsidRPr="00904FCB">
        <w:rPr>
          <w:rFonts w:ascii="Tahoma" w:hAnsi="Tahoma"/>
          <w:sz w:val="27"/>
          <w:rtl/>
          <w:lang w:bidi="fa-IR"/>
        </w:rPr>
        <w:t>ة مهما كانت كاملة لا تمث</w:t>
      </w:r>
      <w:r w:rsidR="0063145A" w:rsidRPr="00904FCB">
        <w:rPr>
          <w:rFonts w:ascii="Tahoma" w:hAnsi="Tahoma" w:hint="cs"/>
          <w:sz w:val="27"/>
          <w:rtl/>
          <w:lang w:bidi="fa-IR"/>
        </w:rPr>
        <w:t>ّ</w:t>
      </w:r>
      <w:r w:rsidRPr="00904FCB">
        <w:rPr>
          <w:rFonts w:ascii="Tahoma" w:hAnsi="Tahoma"/>
          <w:sz w:val="27"/>
          <w:rtl/>
          <w:lang w:bidi="fa-IR"/>
        </w:rPr>
        <w:t>ل إلا</w:t>
      </w:r>
      <w:r w:rsidR="0063145A" w:rsidRPr="00904FCB">
        <w:rPr>
          <w:rFonts w:ascii="Tahoma" w:hAnsi="Tahoma" w:hint="cs"/>
          <w:sz w:val="27"/>
          <w:rtl/>
          <w:lang w:bidi="fa-IR"/>
        </w:rPr>
        <w:t>ّ</w:t>
      </w:r>
      <w:r w:rsidRPr="00904FCB">
        <w:rPr>
          <w:rFonts w:ascii="Tahoma" w:hAnsi="Tahoma"/>
          <w:sz w:val="27"/>
          <w:rtl/>
          <w:lang w:bidi="fa-IR"/>
        </w:rPr>
        <w:t xml:space="preserve"> جزءاً من قانون تلك الأم</w:t>
      </w:r>
      <w:r w:rsidR="0063145A" w:rsidRPr="00904FCB">
        <w:rPr>
          <w:rFonts w:ascii="Tahoma" w:hAnsi="Tahoma" w:hint="cs"/>
          <w:sz w:val="27"/>
          <w:rtl/>
          <w:lang w:bidi="fa-IR"/>
        </w:rPr>
        <w:t>ّ</w:t>
      </w:r>
      <w:r w:rsidRPr="00904FCB">
        <w:rPr>
          <w:rFonts w:ascii="Tahoma" w:hAnsi="Tahoma"/>
          <w:sz w:val="27"/>
          <w:rtl/>
          <w:lang w:bidi="fa-IR"/>
        </w:rPr>
        <w:t>ة</w:t>
      </w:r>
      <w:r w:rsidR="0063145A" w:rsidRPr="00904FCB">
        <w:rPr>
          <w:rFonts w:ascii="Tahoma" w:hAnsi="Tahoma" w:hint="cs"/>
          <w:sz w:val="27"/>
          <w:rtl/>
          <w:lang w:bidi="fa-IR"/>
        </w:rPr>
        <w:t>؛</w:t>
      </w:r>
      <w:r w:rsidRPr="00904FCB">
        <w:rPr>
          <w:rFonts w:ascii="Tahoma" w:hAnsi="Tahoma"/>
          <w:sz w:val="27"/>
          <w:rtl/>
          <w:lang w:bidi="fa-IR"/>
        </w:rPr>
        <w:t xml:space="preserve"> فهناك أحكام القضاء وما تطب</w:t>
      </w:r>
      <w:r w:rsidR="0063145A" w:rsidRPr="00904FCB">
        <w:rPr>
          <w:rFonts w:ascii="Tahoma" w:hAnsi="Tahoma" w:hint="cs"/>
          <w:sz w:val="27"/>
          <w:rtl/>
          <w:lang w:bidi="fa-IR"/>
        </w:rPr>
        <w:t>ّ</w:t>
      </w:r>
      <w:r w:rsidRPr="00904FCB">
        <w:rPr>
          <w:rFonts w:ascii="Tahoma" w:hAnsi="Tahoma"/>
          <w:sz w:val="27"/>
          <w:rtl/>
          <w:lang w:bidi="fa-IR"/>
        </w:rPr>
        <w:t>قه من مبادئ، كما أن الكثير من القواعد التي وضعتها الأعراف تبق</w:t>
      </w:r>
      <w:r w:rsidR="0063145A" w:rsidRPr="00904FCB">
        <w:rPr>
          <w:rFonts w:ascii="Tahoma" w:hAnsi="Tahoma" w:hint="cs"/>
          <w:sz w:val="27"/>
          <w:rtl/>
          <w:lang w:bidi="fa-IR"/>
        </w:rPr>
        <w:t>ى</w:t>
      </w:r>
      <w:r w:rsidRPr="00904FCB">
        <w:rPr>
          <w:rFonts w:ascii="Tahoma" w:hAnsi="Tahoma"/>
          <w:sz w:val="27"/>
          <w:rtl/>
          <w:lang w:bidi="fa-IR"/>
        </w:rPr>
        <w:t xml:space="preserve"> بجانب القوانين المسطورة معمولا</w:t>
      </w:r>
      <w:r w:rsidR="0063145A" w:rsidRPr="00904FCB">
        <w:rPr>
          <w:rFonts w:ascii="Tahoma" w:hAnsi="Tahoma" w:hint="cs"/>
          <w:sz w:val="27"/>
          <w:rtl/>
          <w:lang w:bidi="fa-IR"/>
        </w:rPr>
        <w:t>ً</w:t>
      </w:r>
      <w:r w:rsidRPr="00904FCB">
        <w:rPr>
          <w:rFonts w:ascii="Tahoma" w:hAnsi="Tahoma"/>
          <w:sz w:val="27"/>
          <w:rtl/>
          <w:lang w:bidi="fa-IR"/>
        </w:rPr>
        <w:t xml:space="preserve"> بها</w:t>
      </w:r>
      <w:r w:rsidR="0063145A" w:rsidRPr="00904FCB">
        <w:rPr>
          <w:rFonts w:ascii="Tahoma" w:hAnsi="Tahoma" w:hint="cs"/>
          <w:sz w:val="27"/>
          <w:rtl/>
          <w:lang w:bidi="fa-IR"/>
        </w:rPr>
        <w:t>،</w:t>
      </w:r>
      <w:r w:rsidRPr="00904FCB">
        <w:rPr>
          <w:rFonts w:ascii="Tahoma" w:hAnsi="Tahoma"/>
          <w:sz w:val="27"/>
          <w:rtl/>
          <w:lang w:bidi="fa-IR"/>
        </w:rPr>
        <w:t xml:space="preserve"> ولو </w:t>
      </w:r>
      <w:r w:rsidR="0063145A" w:rsidRPr="00904FCB">
        <w:rPr>
          <w:rFonts w:ascii="Tahoma" w:hAnsi="Tahoma" w:hint="cs"/>
          <w:sz w:val="27"/>
          <w:rtl/>
          <w:lang w:bidi="fa-IR"/>
        </w:rPr>
        <w:t>أ</w:t>
      </w:r>
      <w:r w:rsidRPr="00904FCB">
        <w:rPr>
          <w:rFonts w:ascii="Tahoma" w:hAnsi="Tahoma"/>
          <w:sz w:val="27"/>
          <w:rtl/>
          <w:lang w:bidi="fa-IR"/>
        </w:rPr>
        <w:t>نها لم تدو</w:t>
      </w:r>
      <w:r w:rsidR="0063145A" w:rsidRPr="00904FCB">
        <w:rPr>
          <w:rFonts w:ascii="Tahoma" w:hAnsi="Tahoma" w:hint="cs"/>
          <w:sz w:val="27"/>
          <w:rtl/>
          <w:lang w:bidi="fa-IR"/>
        </w:rPr>
        <w:t>َّ</w:t>
      </w:r>
      <w:r w:rsidRPr="00904FCB">
        <w:rPr>
          <w:rFonts w:ascii="Tahoma" w:hAnsi="Tahoma"/>
          <w:sz w:val="27"/>
          <w:rtl/>
          <w:lang w:bidi="fa-IR"/>
        </w:rPr>
        <w:t>ن... إذ</w:t>
      </w:r>
      <w:r w:rsidR="0063145A" w:rsidRPr="00904FCB">
        <w:rPr>
          <w:rFonts w:ascii="Tahoma" w:hAnsi="Tahoma" w:hint="cs"/>
          <w:sz w:val="27"/>
          <w:rtl/>
          <w:lang w:bidi="fa-IR"/>
        </w:rPr>
        <w:t>ن</w:t>
      </w:r>
      <w:r w:rsidRPr="00904FCB">
        <w:rPr>
          <w:rFonts w:ascii="Tahoma" w:hAnsi="Tahoma"/>
          <w:sz w:val="27"/>
          <w:rtl/>
          <w:lang w:bidi="fa-IR"/>
        </w:rPr>
        <w:t xml:space="preserve"> فالذي يجب معرفته هو القانون الحي</w:t>
      </w:r>
      <w:r w:rsidR="0063145A" w:rsidRPr="00904FCB">
        <w:rPr>
          <w:rFonts w:ascii="Tahoma" w:hAnsi="Tahoma" w:hint="cs"/>
          <w:sz w:val="27"/>
          <w:rtl/>
          <w:lang w:bidi="fa-IR"/>
        </w:rPr>
        <w:t>ّ</w:t>
      </w:r>
      <w:r w:rsidRPr="00904FCB">
        <w:rPr>
          <w:rFonts w:ascii="Tahoma" w:hAnsi="Tahoma"/>
          <w:sz w:val="27"/>
          <w:rtl/>
          <w:lang w:bidi="fa-IR"/>
        </w:rPr>
        <w:t>، وهو القانون كما يعمل به الناس، وكما تطب</w:t>
      </w:r>
      <w:r w:rsidR="0063145A" w:rsidRPr="00904FCB">
        <w:rPr>
          <w:rFonts w:ascii="Tahoma" w:hAnsi="Tahoma" w:hint="cs"/>
          <w:sz w:val="27"/>
          <w:rtl/>
          <w:lang w:bidi="fa-IR"/>
        </w:rPr>
        <w:t>ِّ</w:t>
      </w:r>
      <w:r w:rsidRPr="00904FCB">
        <w:rPr>
          <w:rFonts w:ascii="Tahoma" w:hAnsi="Tahoma"/>
          <w:sz w:val="27"/>
          <w:rtl/>
          <w:lang w:bidi="fa-IR"/>
        </w:rPr>
        <w:t>قه المحاكم</w:t>
      </w:r>
      <w:r w:rsidR="0063145A" w:rsidRPr="00904FCB">
        <w:rPr>
          <w:rFonts w:ascii="Tahoma" w:hAnsi="Tahoma" w:hint="cs"/>
          <w:sz w:val="27"/>
          <w:rtl/>
          <w:lang w:bidi="fa-IR"/>
        </w:rPr>
        <w:t>،</w:t>
      </w:r>
      <w:r w:rsidRPr="00904FCB">
        <w:rPr>
          <w:rFonts w:ascii="Tahoma" w:hAnsi="Tahoma"/>
          <w:sz w:val="27"/>
          <w:rtl/>
          <w:lang w:bidi="fa-IR"/>
        </w:rPr>
        <w:t xml:space="preserve"> وهو ما أطلقت عليه في دراساتي </w:t>
      </w:r>
      <w:r w:rsidR="0063145A" w:rsidRPr="00904FCB">
        <w:rPr>
          <w:rFonts w:hint="eastAsia"/>
          <w:sz w:val="27"/>
          <w:rtl/>
          <w:lang w:bidi="fa-IR"/>
        </w:rPr>
        <w:t>«</w:t>
      </w:r>
      <w:r w:rsidRPr="00904FCB">
        <w:rPr>
          <w:rFonts w:ascii="Tahoma" w:hAnsi="Tahoma"/>
          <w:sz w:val="27"/>
          <w:rtl/>
          <w:lang w:bidi="fa-IR"/>
        </w:rPr>
        <w:t>القانون في حالة حركة</w:t>
      </w:r>
      <w:r w:rsidR="0063145A" w:rsidRPr="00904FCB">
        <w:rPr>
          <w:rFonts w:ascii="Tahoma" w:hAnsi="Tahoma" w:hint="cs"/>
          <w:sz w:val="27"/>
          <w:rtl/>
          <w:lang w:bidi="fa-IR"/>
        </w:rPr>
        <w:t>،</w:t>
      </w:r>
      <w:r w:rsidRPr="00904FCB">
        <w:rPr>
          <w:rFonts w:ascii="Tahoma" w:hAnsi="Tahoma"/>
          <w:sz w:val="27"/>
          <w:rtl/>
          <w:lang w:bidi="fa-IR"/>
        </w:rPr>
        <w:t xml:space="preserve"> وليس في حالة سكون</w:t>
      </w:r>
      <w:r w:rsidR="0063145A"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rtl/>
          <w:lang w:bidi="fa-IR"/>
        </w:rPr>
      </w:pPr>
    </w:p>
    <w:p w:rsidR="00644408" w:rsidRPr="00904FCB" w:rsidRDefault="00644408" w:rsidP="007A21AA">
      <w:pPr>
        <w:pStyle w:val="31"/>
        <w:spacing w:line="400" w:lineRule="exact"/>
        <w:rPr>
          <w:color w:val="auto"/>
          <w:lang w:bidi="fa-IR"/>
        </w:rPr>
      </w:pPr>
      <w:r w:rsidRPr="00904FCB">
        <w:rPr>
          <w:color w:val="auto"/>
          <w:rtl/>
          <w:lang w:bidi="fa-IR"/>
        </w:rPr>
        <w:t>ثالثاً</w:t>
      </w:r>
      <w:r w:rsidRPr="00904FCB">
        <w:rPr>
          <w:rFonts w:hint="cs"/>
          <w:color w:val="auto"/>
          <w:rtl/>
          <w:lang w:bidi="fa-IR"/>
        </w:rPr>
        <w:t>:</w:t>
      </w:r>
      <w:r w:rsidRPr="00904FCB">
        <w:rPr>
          <w:color w:val="auto"/>
          <w:rtl/>
          <w:lang w:bidi="fa-IR"/>
        </w:rPr>
        <w:t xml:space="preserve"> القانون المقارن ومكانه في الفقه ال</w:t>
      </w:r>
      <w:r w:rsidR="00AF14A9" w:rsidRPr="00904FCB">
        <w:rPr>
          <w:rFonts w:hint="cs"/>
          <w:color w:val="auto"/>
          <w:rtl/>
          <w:lang w:bidi="fa-IR"/>
        </w:rPr>
        <w:t>إ</w:t>
      </w:r>
      <w:r w:rsidRPr="00904FCB">
        <w:rPr>
          <w:color w:val="auto"/>
          <w:rtl/>
          <w:lang w:bidi="fa-IR"/>
        </w:rPr>
        <w:t xml:space="preserve">سلامي </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القانون المقارن بوضعي</w:t>
      </w:r>
      <w:r w:rsidR="0063145A" w:rsidRPr="00904FCB">
        <w:rPr>
          <w:rFonts w:ascii="Tahoma" w:hAnsi="Tahoma" w:hint="cs"/>
          <w:sz w:val="27"/>
          <w:rtl/>
          <w:lang w:bidi="fa-IR"/>
        </w:rPr>
        <w:t>ّ</w:t>
      </w:r>
      <w:r w:rsidRPr="00904FCB">
        <w:rPr>
          <w:rFonts w:ascii="Tahoma" w:hAnsi="Tahoma"/>
          <w:sz w:val="27"/>
          <w:rtl/>
          <w:lang w:bidi="fa-IR"/>
        </w:rPr>
        <w:t>ته القلقة ليس له ما للفقه ال</w:t>
      </w:r>
      <w:r w:rsidR="0063145A" w:rsidRPr="00904FCB">
        <w:rPr>
          <w:rFonts w:ascii="Tahoma" w:hAnsi="Tahoma" w:hint="cs"/>
          <w:sz w:val="27"/>
          <w:rtl/>
          <w:lang w:bidi="fa-IR"/>
        </w:rPr>
        <w:t>إ</w:t>
      </w:r>
      <w:r w:rsidRPr="00904FCB">
        <w:rPr>
          <w:rFonts w:ascii="Tahoma" w:hAnsi="Tahoma"/>
          <w:sz w:val="27"/>
          <w:rtl/>
          <w:lang w:bidi="fa-IR"/>
        </w:rPr>
        <w:t>سلامي من رسوخ</w:t>
      </w:r>
      <w:r w:rsidR="0063145A" w:rsidRPr="00904FCB">
        <w:rPr>
          <w:rFonts w:ascii="Tahoma" w:hAnsi="Tahoma" w:hint="cs"/>
          <w:sz w:val="27"/>
          <w:rtl/>
          <w:lang w:bidi="fa-IR"/>
        </w:rPr>
        <w:t>ٍ</w:t>
      </w:r>
      <w:r w:rsidRPr="00904FCB">
        <w:rPr>
          <w:rFonts w:ascii="Tahoma" w:hAnsi="Tahoma"/>
          <w:sz w:val="27"/>
          <w:rtl/>
          <w:lang w:bidi="fa-IR"/>
        </w:rPr>
        <w:t xml:space="preserve"> في المصادر، وتنو</w:t>
      </w:r>
      <w:r w:rsidR="0063145A" w:rsidRPr="00904FCB">
        <w:rPr>
          <w:rFonts w:ascii="Tahoma" w:hAnsi="Tahoma" w:hint="cs"/>
          <w:sz w:val="27"/>
          <w:rtl/>
          <w:lang w:bidi="fa-IR"/>
        </w:rPr>
        <w:t>ُّ</w:t>
      </w:r>
      <w:r w:rsidRPr="00904FCB">
        <w:rPr>
          <w:rFonts w:ascii="Tahoma" w:hAnsi="Tahoma"/>
          <w:sz w:val="27"/>
          <w:rtl/>
          <w:lang w:bidi="fa-IR"/>
        </w:rPr>
        <w:t>ع في المناهج، واستقرار يكاد يكون شاملا</w:t>
      </w:r>
      <w:r w:rsidR="0063145A" w:rsidRPr="00904FCB">
        <w:rPr>
          <w:rFonts w:ascii="Tahoma" w:hAnsi="Tahoma" w:hint="cs"/>
          <w:sz w:val="27"/>
          <w:rtl/>
          <w:lang w:bidi="fa-IR"/>
        </w:rPr>
        <w:t>ً</w:t>
      </w:r>
      <w:r w:rsidRPr="00904FCB">
        <w:rPr>
          <w:rFonts w:ascii="Tahoma" w:hAnsi="Tahoma"/>
          <w:sz w:val="27"/>
          <w:rtl/>
          <w:lang w:bidi="fa-IR"/>
        </w:rPr>
        <w:t xml:space="preserve"> في نسق قواعده الكلية والجزئية</w:t>
      </w:r>
      <w:r w:rsidR="0063145A" w:rsidRPr="00904FCB">
        <w:rPr>
          <w:rFonts w:ascii="Tahoma" w:hAnsi="Tahoma" w:hint="cs"/>
          <w:sz w:val="27"/>
          <w:rtl/>
          <w:lang w:bidi="fa-IR"/>
        </w:rPr>
        <w:t>.</w:t>
      </w:r>
      <w:r w:rsidRPr="00904FCB">
        <w:rPr>
          <w:rFonts w:ascii="Tahoma" w:hAnsi="Tahoma"/>
          <w:sz w:val="27"/>
          <w:rtl/>
          <w:lang w:bidi="fa-IR"/>
        </w:rPr>
        <w:t xml:space="preserve"> وإذا كان علم القانون المقارن عند </w:t>
      </w:r>
      <w:r w:rsidRPr="00904FCB">
        <w:rPr>
          <w:rFonts w:hint="eastAsia"/>
          <w:sz w:val="27"/>
          <w:rtl/>
          <w:lang w:bidi="fa-IR"/>
        </w:rPr>
        <w:t>«</w:t>
      </w:r>
      <w:r w:rsidRPr="00904FCB">
        <w:rPr>
          <w:rFonts w:ascii="Tahoma" w:hAnsi="Tahoma"/>
          <w:sz w:val="27"/>
          <w:rtl/>
          <w:lang w:bidi="fa-IR"/>
        </w:rPr>
        <w:t>ليفي أولمان</w:t>
      </w:r>
      <w:r w:rsidRPr="00904FCB">
        <w:rPr>
          <w:rFonts w:hint="eastAsia"/>
          <w:sz w:val="27"/>
          <w:rtl/>
        </w:rPr>
        <w:t>»</w:t>
      </w:r>
      <w:r w:rsidRPr="00904FCB">
        <w:rPr>
          <w:rFonts w:ascii="Tahoma" w:hAnsi="Tahoma"/>
          <w:sz w:val="27"/>
          <w:rtl/>
          <w:lang w:bidi="fa-IR"/>
        </w:rPr>
        <w:t xml:space="preserve"> موضوعه تقريب القوانين في البلاد المتمد</w:t>
      </w:r>
      <w:r w:rsidR="0063145A" w:rsidRPr="00904FCB">
        <w:rPr>
          <w:rFonts w:ascii="Tahoma" w:hAnsi="Tahoma" w:hint="cs"/>
          <w:sz w:val="27"/>
          <w:rtl/>
          <w:lang w:bidi="fa-IR"/>
        </w:rPr>
        <w:t>ّ</w:t>
      </w:r>
      <w:r w:rsidRPr="00904FCB">
        <w:rPr>
          <w:rFonts w:ascii="Tahoma" w:hAnsi="Tahoma"/>
          <w:sz w:val="27"/>
          <w:rtl/>
          <w:lang w:bidi="fa-IR"/>
        </w:rPr>
        <w:t>نة فيما بينها بصورة</w:t>
      </w:r>
      <w:r w:rsidR="0063145A" w:rsidRPr="00904FCB">
        <w:rPr>
          <w:rFonts w:ascii="Tahoma" w:hAnsi="Tahoma" w:hint="cs"/>
          <w:sz w:val="27"/>
          <w:rtl/>
          <w:lang w:bidi="fa-IR"/>
        </w:rPr>
        <w:t>ٍ</w:t>
      </w:r>
      <w:r w:rsidRPr="00904FCB">
        <w:rPr>
          <w:rFonts w:ascii="Tahoma" w:hAnsi="Tahoma"/>
          <w:sz w:val="27"/>
          <w:rtl/>
          <w:lang w:bidi="fa-IR"/>
        </w:rPr>
        <w:t xml:space="preserve"> منسقة فهذه المهم</w:t>
      </w:r>
      <w:r w:rsidR="0063145A" w:rsidRPr="00904FCB">
        <w:rPr>
          <w:rFonts w:ascii="Tahoma" w:hAnsi="Tahoma" w:hint="cs"/>
          <w:sz w:val="27"/>
          <w:rtl/>
          <w:lang w:bidi="fa-IR"/>
        </w:rPr>
        <w:t>ّ</w:t>
      </w:r>
      <w:r w:rsidRPr="00904FCB">
        <w:rPr>
          <w:rFonts w:ascii="Tahoma" w:hAnsi="Tahoma"/>
          <w:sz w:val="27"/>
          <w:rtl/>
          <w:lang w:bidi="fa-IR"/>
        </w:rPr>
        <w:t xml:space="preserve">ة هي </w:t>
      </w:r>
      <w:r w:rsidR="0063145A" w:rsidRPr="00904FCB">
        <w:rPr>
          <w:rFonts w:ascii="Tahoma" w:hAnsi="Tahoma" w:hint="cs"/>
          <w:sz w:val="27"/>
          <w:rtl/>
          <w:lang w:bidi="fa-IR"/>
        </w:rPr>
        <w:t>إ</w:t>
      </w:r>
      <w:r w:rsidRPr="00904FCB">
        <w:rPr>
          <w:rFonts w:ascii="Tahoma" w:hAnsi="Tahoma"/>
          <w:sz w:val="27"/>
          <w:rtl/>
          <w:lang w:bidi="fa-IR"/>
        </w:rPr>
        <w:t>حد</w:t>
      </w:r>
      <w:r w:rsidR="0063145A" w:rsidRPr="00904FCB">
        <w:rPr>
          <w:rFonts w:ascii="Tahoma" w:hAnsi="Tahoma" w:hint="cs"/>
          <w:sz w:val="27"/>
          <w:rtl/>
          <w:lang w:bidi="fa-IR"/>
        </w:rPr>
        <w:t>ى</w:t>
      </w:r>
      <w:r w:rsidRPr="00904FCB">
        <w:rPr>
          <w:rFonts w:ascii="Tahoma" w:hAnsi="Tahoma"/>
          <w:sz w:val="27"/>
          <w:rtl/>
          <w:lang w:bidi="fa-IR"/>
        </w:rPr>
        <w:t xml:space="preserve"> وظائف القواعد الأصولية والقواعد الفقهية في منهجية التشريع ال</w:t>
      </w:r>
      <w:r w:rsidR="0063145A" w:rsidRPr="00904FCB">
        <w:rPr>
          <w:rFonts w:ascii="Tahoma" w:hAnsi="Tahoma" w:hint="cs"/>
          <w:sz w:val="27"/>
          <w:rtl/>
          <w:lang w:bidi="fa-IR"/>
        </w:rPr>
        <w:t>إ</w:t>
      </w:r>
      <w:r w:rsidRPr="00904FCB">
        <w:rPr>
          <w:rFonts w:ascii="Tahoma" w:hAnsi="Tahoma"/>
          <w:sz w:val="27"/>
          <w:rtl/>
          <w:lang w:bidi="fa-IR"/>
        </w:rPr>
        <w:t>سلامي</w:t>
      </w:r>
      <w:r w:rsidR="0063145A" w:rsidRPr="00904FCB">
        <w:rPr>
          <w:rFonts w:ascii="Tahoma" w:hAnsi="Tahoma" w:hint="cs"/>
          <w:sz w:val="27"/>
          <w:rtl/>
          <w:lang w:bidi="fa-IR"/>
        </w:rPr>
        <w:t xml:space="preserve">، </w:t>
      </w:r>
      <w:r w:rsidRPr="00904FCB">
        <w:rPr>
          <w:rFonts w:ascii="Tahoma" w:hAnsi="Tahoma"/>
          <w:sz w:val="27"/>
          <w:rtl/>
          <w:lang w:bidi="fa-IR"/>
        </w:rPr>
        <w:t>وهي منهجية معتر</w:t>
      </w:r>
      <w:r w:rsidR="0063145A" w:rsidRPr="00904FCB">
        <w:rPr>
          <w:rFonts w:ascii="Tahoma" w:hAnsi="Tahoma" w:hint="cs"/>
          <w:sz w:val="27"/>
          <w:rtl/>
          <w:lang w:bidi="fa-IR"/>
        </w:rPr>
        <w:t>َ</w:t>
      </w:r>
      <w:r w:rsidRPr="00904FCB">
        <w:rPr>
          <w:rFonts w:ascii="Tahoma" w:hAnsi="Tahoma"/>
          <w:sz w:val="27"/>
          <w:rtl/>
          <w:lang w:bidi="fa-IR"/>
        </w:rPr>
        <w:t>ف بها في العائلة القانونية التشريعية ال</w:t>
      </w:r>
      <w:r w:rsidR="0063145A" w:rsidRPr="00904FCB">
        <w:rPr>
          <w:rFonts w:ascii="Tahoma" w:hAnsi="Tahoma" w:hint="cs"/>
          <w:sz w:val="27"/>
          <w:rtl/>
          <w:lang w:bidi="fa-IR"/>
        </w:rPr>
        <w:t>إ</w:t>
      </w:r>
      <w:r w:rsidRPr="00904FCB">
        <w:rPr>
          <w:rFonts w:ascii="Tahoma" w:hAnsi="Tahoma"/>
          <w:sz w:val="27"/>
          <w:rtl/>
          <w:lang w:bidi="fa-IR"/>
        </w:rPr>
        <w:t>سلامية على اختلاف مذاهبها</w:t>
      </w:r>
      <w:r w:rsidR="0063145A" w:rsidRPr="00904FCB">
        <w:rPr>
          <w:rFonts w:ascii="Tahoma" w:hAnsi="Tahoma" w:hint="cs"/>
          <w:sz w:val="27"/>
          <w:rtl/>
          <w:lang w:bidi="fa-IR"/>
        </w:rPr>
        <w:t>،</w:t>
      </w:r>
      <w:r w:rsidRPr="00904FCB">
        <w:rPr>
          <w:rFonts w:ascii="Tahoma" w:hAnsi="Tahoma"/>
          <w:sz w:val="27"/>
          <w:rtl/>
          <w:lang w:bidi="fa-IR"/>
        </w:rPr>
        <w:t xml:space="preserve"> سنية وشيعية وإباضية، دارسة وباقية</w:t>
      </w:r>
      <w:r w:rsidR="0063145A" w:rsidRPr="00904FCB">
        <w:rPr>
          <w:rFonts w:ascii="Tahoma" w:hAnsi="Tahoma" w:hint="cs"/>
          <w:sz w:val="27"/>
          <w:rtl/>
          <w:lang w:bidi="fa-IR"/>
        </w:rPr>
        <w:t>.</w:t>
      </w:r>
      <w:r w:rsidRPr="00904FCB">
        <w:rPr>
          <w:rFonts w:ascii="Tahoma" w:hAnsi="Tahoma"/>
          <w:sz w:val="27"/>
          <w:rtl/>
          <w:lang w:bidi="fa-IR"/>
        </w:rPr>
        <w:t xml:space="preserve"> وهي منهجية تربط الفقه بالإنسان، فمحوره أفعال المكل</w:t>
      </w:r>
      <w:r w:rsidR="0063145A" w:rsidRPr="00904FCB">
        <w:rPr>
          <w:rFonts w:ascii="Tahoma" w:hAnsi="Tahoma" w:hint="cs"/>
          <w:sz w:val="27"/>
          <w:rtl/>
          <w:lang w:bidi="fa-IR"/>
        </w:rPr>
        <w:t>َّ</w:t>
      </w:r>
      <w:r w:rsidRPr="00904FCB">
        <w:rPr>
          <w:rFonts w:ascii="Tahoma" w:hAnsi="Tahoma"/>
          <w:sz w:val="27"/>
          <w:rtl/>
          <w:lang w:bidi="fa-IR"/>
        </w:rPr>
        <w:t>فين، بينما يرتبط القانون في مفهومه الوضعي بالدولة</w:t>
      </w:r>
      <w:r w:rsidR="0063145A" w:rsidRPr="00904FCB">
        <w:rPr>
          <w:rFonts w:ascii="Tahoma" w:hAnsi="Tahoma" w:hint="cs"/>
          <w:sz w:val="27"/>
          <w:rtl/>
          <w:lang w:bidi="fa-IR"/>
        </w:rPr>
        <w:t>،</w:t>
      </w:r>
      <w:r w:rsidRPr="00904FCB">
        <w:rPr>
          <w:rFonts w:ascii="Tahoma" w:hAnsi="Tahoma"/>
          <w:sz w:val="27"/>
          <w:rtl/>
          <w:lang w:bidi="fa-IR"/>
        </w:rPr>
        <w:t xml:space="preserve"> وهي صاحبة السلطة في</w:t>
      </w:r>
      <w:r w:rsidR="0063145A" w:rsidRPr="00904FCB">
        <w:rPr>
          <w:rFonts w:ascii="Tahoma" w:hAnsi="Tahoma" w:hint="cs"/>
          <w:sz w:val="27"/>
          <w:rtl/>
          <w:lang w:bidi="fa-IR"/>
        </w:rPr>
        <w:t xml:space="preserve"> </w:t>
      </w:r>
      <w:r w:rsidRPr="00904FCB">
        <w:rPr>
          <w:rFonts w:ascii="Tahoma" w:hAnsi="Tahoma"/>
          <w:sz w:val="27"/>
          <w:rtl/>
          <w:lang w:bidi="fa-IR"/>
        </w:rPr>
        <w:t>ما يتعل</w:t>
      </w:r>
      <w:r w:rsidR="0063145A" w:rsidRPr="00904FCB">
        <w:rPr>
          <w:rFonts w:ascii="Tahoma" w:hAnsi="Tahoma" w:hint="cs"/>
          <w:sz w:val="27"/>
          <w:rtl/>
          <w:lang w:bidi="fa-IR"/>
        </w:rPr>
        <w:t>َّ</w:t>
      </w:r>
      <w:r w:rsidRPr="00904FCB">
        <w:rPr>
          <w:rFonts w:ascii="Tahoma" w:hAnsi="Tahoma"/>
          <w:sz w:val="27"/>
          <w:rtl/>
          <w:lang w:bidi="fa-IR"/>
        </w:rPr>
        <w:t>ق بالأمر والنهي</w:t>
      </w:r>
      <w:r w:rsidR="0063145A" w:rsidRPr="00904FCB">
        <w:rPr>
          <w:rFonts w:ascii="Tahoma" w:hAnsi="Tahoma" w:hint="cs"/>
          <w:sz w:val="27"/>
          <w:rtl/>
          <w:lang w:bidi="fa-IR"/>
        </w:rPr>
        <w:t>.</w:t>
      </w:r>
      <w:r w:rsidRPr="00904FCB">
        <w:rPr>
          <w:rFonts w:ascii="Tahoma" w:hAnsi="Tahoma"/>
          <w:sz w:val="27"/>
          <w:rtl/>
          <w:lang w:bidi="fa-IR"/>
        </w:rPr>
        <w:t xml:space="preserve"> فالفقه ال</w:t>
      </w:r>
      <w:r w:rsidR="0063145A" w:rsidRPr="00904FCB">
        <w:rPr>
          <w:rFonts w:ascii="Tahoma" w:hAnsi="Tahoma" w:hint="cs"/>
          <w:sz w:val="27"/>
          <w:rtl/>
          <w:lang w:bidi="fa-IR"/>
        </w:rPr>
        <w:t>إ</w:t>
      </w:r>
      <w:r w:rsidRPr="00904FCB">
        <w:rPr>
          <w:rFonts w:ascii="Tahoma" w:hAnsi="Tahoma"/>
          <w:sz w:val="27"/>
          <w:rtl/>
          <w:lang w:bidi="fa-IR"/>
        </w:rPr>
        <w:t>سلامي ي</w:t>
      </w:r>
      <w:r w:rsidR="0063145A" w:rsidRPr="00904FCB">
        <w:rPr>
          <w:rFonts w:ascii="Tahoma" w:hAnsi="Tahoma" w:hint="cs"/>
          <w:sz w:val="27"/>
          <w:rtl/>
          <w:lang w:bidi="fa-IR"/>
        </w:rPr>
        <w:t>ُ</w:t>
      </w:r>
      <w:r w:rsidRPr="00904FCB">
        <w:rPr>
          <w:rFonts w:ascii="Tahoma" w:hAnsi="Tahoma"/>
          <w:sz w:val="27"/>
          <w:rtl/>
          <w:lang w:bidi="fa-IR"/>
        </w:rPr>
        <w:t>علي من شأن الجماعة، والقانون تهيمن عليه الدولة، فيسقط بغيابها، بينما غياب الدولة في المفهوم ال</w:t>
      </w:r>
      <w:r w:rsidR="0063145A" w:rsidRPr="00904FCB">
        <w:rPr>
          <w:rFonts w:ascii="Tahoma" w:hAnsi="Tahoma" w:hint="cs"/>
          <w:sz w:val="27"/>
          <w:rtl/>
          <w:lang w:bidi="fa-IR"/>
        </w:rPr>
        <w:t>إ</w:t>
      </w:r>
      <w:r w:rsidRPr="00904FCB">
        <w:rPr>
          <w:rFonts w:ascii="Tahoma" w:hAnsi="Tahoma"/>
          <w:sz w:val="27"/>
          <w:rtl/>
          <w:lang w:bidi="fa-IR"/>
        </w:rPr>
        <w:t xml:space="preserve">سلامي يعيد سلطة التشريع من </w:t>
      </w:r>
      <w:r w:rsidRPr="00904FCB">
        <w:rPr>
          <w:rFonts w:ascii="Tahoma" w:hAnsi="Tahoma"/>
          <w:sz w:val="27"/>
          <w:rtl/>
          <w:lang w:bidi="fa-IR"/>
        </w:rPr>
        <w:lastRenderedPageBreak/>
        <w:t>النائب</w:t>
      </w:r>
      <w:r w:rsidR="0063145A" w:rsidRPr="00904FCB">
        <w:rPr>
          <w:rFonts w:ascii="Tahoma" w:hAnsi="Tahoma" w:hint="cs"/>
          <w:sz w:val="27"/>
          <w:rtl/>
          <w:lang w:bidi="fa-IR"/>
        </w:rPr>
        <w:t>،</w:t>
      </w:r>
      <w:r w:rsidRPr="00904FCB">
        <w:rPr>
          <w:rFonts w:ascii="Tahoma" w:hAnsi="Tahoma"/>
          <w:sz w:val="27"/>
          <w:rtl/>
          <w:lang w:bidi="fa-IR"/>
        </w:rPr>
        <w:t xml:space="preserve"> وهو الدولة</w:t>
      </w:r>
      <w:r w:rsidR="0063145A" w:rsidRPr="00904FCB">
        <w:rPr>
          <w:rFonts w:ascii="Tahoma" w:hAnsi="Tahoma" w:hint="cs"/>
          <w:sz w:val="27"/>
          <w:rtl/>
          <w:lang w:bidi="fa-IR"/>
        </w:rPr>
        <w:t>،</w:t>
      </w:r>
      <w:r w:rsidRPr="00904FCB">
        <w:rPr>
          <w:rFonts w:ascii="Tahoma" w:hAnsi="Tahoma"/>
          <w:sz w:val="27"/>
          <w:rtl/>
          <w:lang w:bidi="fa-IR"/>
        </w:rPr>
        <w:t xml:space="preserve"> إلى ال</w:t>
      </w:r>
      <w:r w:rsidR="0063145A" w:rsidRPr="00904FCB">
        <w:rPr>
          <w:rFonts w:ascii="Tahoma" w:hAnsi="Tahoma" w:hint="cs"/>
          <w:sz w:val="27"/>
          <w:rtl/>
          <w:lang w:bidi="fa-IR"/>
        </w:rPr>
        <w:t>أ</w:t>
      </w:r>
      <w:r w:rsidRPr="00904FCB">
        <w:rPr>
          <w:rFonts w:ascii="Tahoma" w:hAnsi="Tahoma"/>
          <w:sz w:val="27"/>
          <w:rtl/>
          <w:lang w:bidi="fa-IR"/>
        </w:rPr>
        <w:t>صيل</w:t>
      </w:r>
      <w:r w:rsidR="0063145A" w:rsidRPr="00904FCB">
        <w:rPr>
          <w:rFonts w:ascii="Tahoma" w:hAnsi="Tahoma" w:hint="cs"/>
          <w:sz w:val="27"/>
          <w:rtl/>
          <w:lang w:bidi="fa-IR"/>
        </w:rPr>
        <w:t>،</w:t>
      </w:r>
      <w:r w:rsidRPr="00904FCB">
        <w:rPr>
          <w:rFonts w:ascii="Tahoma" w:hAnsi="Tahoma"/>
          <w:sz w:val="27"/>
          <w:rtl/>
          <w:lang w:bidi="fa-IR"/>
        </w:rPr>
        <w:t xml:space="preserve"> وهو الجماعة. </w:t>
      </w:r>
    </w:p>
    <w:p w:rsidR="008D5CB3" w:rsidRPr="00904FCB" w:rsidRDefault="008D5CB3" w:rsidP="007A21AA">
      <w:pPr>
        <w:autoSpaceDE w:val="0"/>
        <w:autoSpaceDN w:val="0"/>
        <w:adjustRightInd w:val="0"/>
        <w:spacing w:line="400" w:lineRule="exact"/>
        <w:rPr>
          <w:rFonts w:ascii="Tahoma" w:hAnsi="Tahoma"/>
          <w:sz w:val="27"/>
          <w:rtl/>
          <w:lang w:bidi="fa-IR"/>
        </w:rPr>
      </w:pPr>
    </w:p>
    <w:p w:rsidR="00644408" w:rsidRPr="00904FCB" w:rsidRDefault="00644408" w:rsidP="007A21AA">
      <w:pPr>
        <w:pStyle w:val="31"/>
        <w:spacing w:line="400" w:lineRule="exact"/>
        <w:rPr>
          <w:color w:val="auto"/>
          <w:lang w:bidi="fa-IR"/>
        </w:rPr>
      </w:pPr>
      <w:r w:rsidRPr="008C16BF">
        <w:rPr>
          <w:rFonts w:hint="cs"/>
          <w:color w:val="auto"/>
          <w:rtl/>
          <w:lang w:bidi="ar-LB"/>
        </w:rPr>
        <w:t xml:space="preserve">1ـ </w:t>
      </w:r>
      <w:r w:rsidRPr="008C16BF">
        <w:rPr>
          <w:color w:val="auto"/>
          <w:rtl/>
          <w:lang w:bidi="fa-IR"/>
        </w:rPr>
        <w:t>علم</w:t>
      </w:r>
      <w:r w:rsidRPr="00904FCB">
        <w:rPr>
          <w:color w:val="auto"/>
          <w:rtl/>
          <w:lang w:bidi="fa-IR"/>
        </w:rPr>
        <w:t xml:space="preserve"> الخلاف عند المسلمين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علم الخلاف منهجا</w:t>
      </w:r>
      <w:r w:rsidR="0063145A" w:rsidRPr="00904FCB">
        <w:rPr>
          <w:rFonts w:ascii="Tahoma" w:hAnsi="Tahoma" w:hint="cs"/>
          <w:sz w:val="27"/>
          <w:rtl/>
          <w:lang w:bidi="fa-IR"/>
        </w:rPr>
        <w:t>ً</w:t>
      </w:r>
      <w:r w:rsidRPr="00904FCB">
        <w:rPr>
          <w:rFonts w:ascii="Tahoma" w:hAnsi="Tahoma"/>
          <w:sz w:val="27"/>
          <w:rtl/>
          <w:lang w:bidi="fa-IR"/>
        </w:rPr>
        <w:t xml:space="preserve"> وموضوعا</w:t>
      </w:r>
      <w:r w:rsidR="0063145A" w:rsidRPr="00904FCB">
        <w:rPr>
          <w:rFonts w:ascii="Tahoma" w:hAnsi="Tahoma" w:hint="cs"/>
          <w:sz w:val="27"/>
          <w:rtl/>
          <w:lang w:bidi="fa-IR"/>
        </w:rPr>
        <w:t>ً</w:t>
      </w:r>
      <w:r w:rsidRPr="00904FCB">
        <w:rPr>
          <w:rFonts w:ascii="Tahoma" w:hAnsi="Tahoma"/>
          <w:sz w:val="27"/>
          <w:rtl/>
          <w:lang w:bidi="fa-IR"/>
        </w:rPr>
        <w:t xml:space="preserve"> ومباحث هو </w:t>
      </w:r>
      <w:r w:rsidR="0063145A" w:rsidRPr="00904FCB">
        <w:rPr>
          <w:rFonts w:ascii="Tahoma" w:hAnsi="Tahoma" w:hint="cs"/>
          <w:sz w:val="27"/>
          <w:rtl/>
          <w:lang w:bidi="fa-IR"/>
        </w:rPr>
        <w:t>إ</w:t>
      </w:r>
      <w:r w:rsidRPr="00904FCB">
        <w:rPr>
          <w:rFonts w:ascii="Tahoma" w:hAnsi="Tahoma"/>
          <w:sz w:val="27"/>
          <w:rtl/>
          <w:lang w:bidi="fa-IR"/>
        </w:rPr>
        <w:t>بداع</w:t>
      </w:r>
      <w:r w:rsidR="0063145A" w:rsidRPr="00904FCB">
        <w:rPr>
          <w:rFonts w:ascii="Tahoma" w:hAnsi="Tahoma" w:hint="cs"/>
          <w:sz w:val="27"/>
          <w:rtl/>
          <w:lang w:bidi="fa-IR"/>
        </w:rPr>
        <w:t>ٌ</w:t>
      </w:r>
      <w:r w:rsidRPr="00904FCB">
        <w:rPr>
          <w:rFonts w:ascii="Tahoma" w:hAnsi="Tahoma"/>
          <w:sz w:val="27"/>
          <w:rtl/>
          <w:lang w:bidi="fa-IR"/>
        </w:rPr>
        <w:t xml:space="preserve"> </w:t>
      </w:r>
      <w:r w:rsidR="0063145A" w:rsidRPr="00904FCB">
        <w:rPr>
          <w:rFonts w:ascii="Tahoma" w:hAnsi="Tahoma" w:hint="cs"/>
          <w:sz w:val="27"/>
          <w:rtl/>
          <w:lang w:bidi="fa-IR"/>
        </w:rPr>
        <w:t>إ</w:t>
      </w:r>
      <w:r w:rsidRPr="00904FCB">
        <w:rPr>
          <w:rFonts w:ascii="Tahoma" w:hAnsi="Tahoma"/>
          <w:sz w:val="27"/>
          <w:rtl/>
          <w:lang w:bidi="fa-IR"/>
        </w:rPr>
        <w:t>سلامي خالص، يسج</w:t>
      </w:r>
      <w:r w:rsidR="0063145A" w:rsidRPr="00904FCB">
        <w:rPr>
          <w:rFonts w:ascii="Tahoma" w:hAnsi="Tahoma" w:hint="cs"/>
          <w:sz w:val="27"/>
          <w:rtl/>
          <w:lang w:bidi="fa-IR"/>
        </w:rPr>
        <w:t>ِّ</w:t>
      </w:r>
      <w:r w:rsidRPr="00904FCB">
        <w:rPr>
          <w:rFonts w:ascii="Tahoma" w:hAnsi="Tahoma"/>
          <w:sz w:val="27"/>
          <w:rtl/>
          <w:lang w:bidi="fa-IR"/>
        </w:rPr>
        <w:t>ل أسبقية للفقه ال</w:t>
      </w:r>
      <w:r w:rsidR="0063145A" w:rsidRPr="00904FCB">
        <w:rPr>
          <w:rFonts w:ascii="Tahoma" w:hAnsi="Tahoma" w:hint="cs"/>
          <w:sz w:val="27"/>
          <w:rtl/>
          <w:lang w:bidi="fa-IR"/>
        </w:rPr>
        <w:t>إ</w:t>
      </w:r>
      <w:r w:rsidRPr="00904FCB">
        <w:rPr>
          <w:rFonts w:ascii="Tahoma" w:hAnsi="Tahoma"/>
          <w:sz w:val="27"/>
          <w:rtl/>
          <w:lang w:bidi="fa-IR"/>
        </w:rPr>
        <w:t>سلامي على غيره في مجال الدراسات المقارنة</w:t>
      </w:r>
      <w:r w:rsidR="0063145A" w:rsidRPr="00904FCB">
        <w:rPr>
          <w:rFonts w:ascii="Tahoma" w:hAnsi="Tahoma" w:hint="cs"/>
          <w:sz w:val="27"/>
          <w:rtl/>
          <w:lang w:bidi="fa-IR"/>
        </w:rPr>
        <w:t>.</w:t>
      </w:r>
      <w:r w:rsidRPr="00904FCB">
        <w:rPr>
          <w:rFonts w:ascii="Tahoma" w:hAnsi="Tahoma"/>
          <w:sz w:val="27"/>
          <w:rtl/>
          <w:lang w:bidi="fa-IR"/>
        </w:rPr>
        <w:t xml:space="preserve"> والأصل في علم الخلاف </w:t>
      </w:r>
      <w:r w:rsidR="0063145A" w:rsidRPr="00904FCB">
        <w:rPr>
          <w:rFonts w:ascii="Tahoma" w:hAnsi="Tahoma" w:hint="cs"/>
          <w:sz w:val="27"/>
          <w:rtl/>
          <w:lang w:bidi="fa-IR"/>
        </w:rPr>
        <w:t>أ</w:t>
      </w:r>
      <w:r w:rsidRPr="00904FCB">
        <w:rPr>
          <w:rFonts w:ascii="Tahoma" w:hAnsi="Tahoma"/>
          <w:sz w:val="27"/>
          <w:rtl/>
          <w:lang w:bidi="fa-IR"/>
        </w:rPr>
        <w:t>نه بحث</w:t>
      </w:r>
      <w:r w:rsidR="0063145A" w:rsidRPr="00904FCB">
        <w:rPr>
          <w:rFonts w:ascii="Tahoma" w:hAnsi="Tahoma" w:hint="cs"/>
          <w:sz w:val="27"/>
          <w:rtl/>
          <w:lang w:bidi="fa-IR"/>
        </w:rPr>
        <w:t>ٌ</w:t>
      </w:r>
      <w:r w:rsidRPr="00904FCB">
        <w:rPr>
          <w:rFonts w:ascii="Tahoma" w:hAnsi="Tahoma"/>
          <w:sz w:val="27"/>
          <w:rtl/>
          <w:lang w:bidi="fa-IR"/>
        </w:rPr>
        <w:t xml:space="preserve"> في أوجه الائتلاف والاختلاف</w:t>
      </w:r>
      <w:r w:rsidR="0063145A" w:rsidRPr="00904FCB">
        <w:rPr>
          <w:rFonts w:ascii="Tahoma" w:hAnsi="Tahoma" w:hint="cs"/>
          <w:sz w:val="27"/>
          <w:rtl/>
          <w:lang w:bidi="fa-IR"/>
        </w:rPr>
        <w:t>.</w:t>
      </w:r>
      <w:r w:rsidRPr="00904FCB">
        <w:rPr>
          <w:rFonts w:ascii="Tahoma" w:hAnsi="Tahoma"/>
          <w:sz w:val="27"/>
          <w:rtl/>
          <w:lang w:bidi="fa-IR"/>
        </w:rPr>
        <w:t xml:space="preserve"> وهو على نوعين: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الأول: علم الخلاف العالي</w:t>
      </w:r>
      <w:r w:rsidRPr="00904FCB">
        <w:rPr>
          <w:rFonts w:ascii="Tahoma" w:hAnsi="Tahoma"/>
          <w:sz w:val="27"/>
          <w:rtl/>
          <w:lang w:bidi="fa-IR"/>
        </w:rPr>
        <w:t>: وتتم</w:t>
      </w:r>
      <w:r w:rsidR="0063145A" w:rsidRPr="00904FCB">
        <w:rPr>
          <w:rFonts w:ascii="Tahoma" w:hAnsi="Tahoma" w:hint="cs"/>
          <w:sz w:val="27"/>
          <w:rtl/>
          <w:lang w:bidi="fa-IR"/>
        </w:rPr>
        <w:t>ّ</w:t>
      </w:r>
      <w:r w:rsidRPr="00904FCB">
        <w:rPr>
          <w:rFonts w:ascii="Tahoma" w:hAnsi="Tahoma"/>
          <w:sz w:val="27"/>
          <w:rtl/>
          <w:lang w:bidi="fa-IR"/>
        </w:rPr>
        <w:t xml:space="preserve"> فيه المقارنة بين المذاهب ال</w:t>
      </w:r>
      <w:r w:rsidR="0063145A" w:rsidRPr="00904FCB">
        <w:rPr>
          <w:rFonts w:ascii="Tahoma" w:hAnsi="Tahoma" w:hint="cs"/>
          <w:sz w:val="27"/>
          <w:rtl/>
          <w:lang w:bidi="fa-IR"/>
        </w:rPr>
        <w:t>إ</w:t>
      </w:r>
      <w:r w:rsidRPr="00904FCB">
        <w:rPr>
          <w:rFonts w:ascii="Tahoma" w:hAnsi="Tahoma"/>
          <w:sz w:val="27"/>
          <w:rtl/>
          <w:lang w:bidi="fa-IR"/>
        </w:rPr>
        <w:t>سلامية المتعددة</w:t>
      </w:r>
      <w:r w:rsidR="0063145A" w:rsidRPr="00904FCB">
        <w:rPr>
          <w:rFonts w:ascii="Tahoma" w:hAnsi="Tahoma" w:hint="cs"/>
          <w:sz w:val="27"/>
          <w:rtl/>
          <w:lang w:bidi="fa-IR"/>
        </w:rPr>
        <w:t>.</w:t>
      </w:r>
      <w:r w:rsidRPr="00904FCB">
        <w:rPr>
          <w:rFonts w:ascii="Tahoma" w:hAnsi="Tahoma"/>
          <w:sz w:val="27"/>
          <w:rtl/>
          <w:lang w:bidi="fa-IR"/>
        </w:rPr>
        <w:t xml:space="preserve"> وتطبيقاته في هذا المجال لا تت</w:t>
      </w:r>
      <w:r w:rsidR="0063145A" w:rsidRPr="00904FCB">
        <w:rPr>
          <w:rFonts w:ascii="Tahoma" w:hAnsi="Tahoma" w:hint="cs"/>
          <w:sz w:val="27"/>
          <w:rtl/>
          <w:lang w:bidi="fa-IR"/>
        </w:rPr>
        <w:t>ّ</w:t>
      </w:r>
      <w:r w:rsidRPr="00904FCB">
        <w:rPr>
          <w:rFonts w:ascii="Tahoma" w:hAnsi="Tahoma"/>
          <w:sz w:val="27"/>
          <w:rtl/>
          <w:lang w:bidi="fa-IR"/>
        </w:rPr>
        <w:t>سم بالحي</w:t>
      </w:r>
      <w:r w:rsidR="00DA684B">
        <w:rPr>
          <w:rFonts w:ascii="Tahoma" w:hAnsi="Tahoma" w:hint="cs"/>
          <w:sz w:val="27"/>
          <w:rtl/>
          <w:lang w:bidi="fa-IR"/>
        </w:rPr>
        <w:t>ا</w:t>
      </w:r>
      <w:r w:rsidRPr="00904FCB">
        <w:rPr>
          <w:rFonts w:ascii="Tahoma" w:hAnsi="Tahoma"/>
          <w:sz w:val="27"/>
          <w:rtl/>
          <w:lang w:bidi="fa-IR"/>
        </w:rPr>
        <w:t>د</w:t>
      </w:r>
      <w:r w:rsidR="00DA684B">
        <w:rPr>
          <w:rFonts w:ascii="Tahoma" w:hAnsi="Tahoma" w:hint="cs"/>
          <w:sz w:val="27"/>
          <w:rtl/>
          <w:lang w:bidi="fa-IR"/>
        </w:rPr>
        <w:t>يّ</w:t>
      </w:r>
      <w:r w:rsidRPr="00904FCB">
        <w:rPr>
          <w:rFonts w:ascii="Tahoma" w:hAnsi="Tahoma"/>
          <w:sz w:val="27"/>
          <w:rtl/>
          <w:lang w:bidi="fa-IR"/>
        </w:rPr>
        <w:t>ة</w:t>
      </w:r>
      <w:r w:rsidR="0063145A" w:rsidRPr="00904FCB">
        <w:rPr>
          <w:rFonts w:ascii="Tahoma" w:hAnsi="Tahoma" w:hint="cs"/>
          <w:sz w:val="27"/>
          <w:rtl/>
          <w:lang w:bidi="fa-IR"/>
        </w:rPr>
        <w:t>؛</w:t>
      </w:r>
      <w:r w:rsidRPr="00904FCB">
        <w:rPr>
          <w:rFonts w:ascii="Tahoma" w:hAnsi="Tahoma"/>
          <w:sz w:val="27"/>
          <w:rtl/>
          <w:lang w:bidi="fa-IR"/>
        </w:rPr>
        <w:t xml:space="preserve"> لأنها في </w:t>
      </w:r>
      <w:r w:rsidR="00E74F23" w:rsidRPr="00904FCB">
        <w:rPr>
          <w:rFonts w:ascii="Tahoma" w:hAnsi="Tahoma"/>
          <w:sz w:val="27"/>
          <w:rtl/>
          <w:lang w:bidi="fa-IR"/>
        </w:rPr>
        <w:t>الأعم</w:t>
      </w:r>
      <w:r w:rsidR="00E74F23" w:rsidRPr="00904FCB">
        <w:rPr>
          <w:rFonts w:ascii="Tahoma" w:hAnsi="Tahoma" w:hint="cs"/>
          <w:sz w:val="27"/>
          <w:rtl/>
          <w:lang w:bidi="fa-IR"/>
        </w:rPr>
        <w:t>ّ</w:t>
      </w:r>
      <w:r w:rsidR="00E74F23" w:rsidRPr="00904FCB">
        <w:rPr>
          <w:rFonts w:ascii="Tahoma" w:hAnsi="Tahoma"/>
          <w:sz w:val="27"/>
          <w:rtl/>
          <w:lang w:bidi="fa-IR"/>
        </w:rPr>
        <w:t xml:space="preserve"> </w:t>
      </w:r>
      <w:r w:rsidRPr="00904FCB">
        <w:rPr>
          <w:rFonts w:ascii="Tahoma" w:hAnsi="Tahoma"/>
          <w:sz w:val="27"/>
          <w:rtl/>
          <w:lang w:bidi="fa-IR"/>
        </w:rPr>
        <w:t>الغالب انتصار</w:t>
      </w:r>
      <w:r w:rsidR="00E74F23" w:rsidRPr="00904FCB">
        <w:rPr>
          <w:rFonts w:ascii="Tahoma" w:hAnsi="Tahoma" w:hint="cs"/>
          <w:sz w:val="27"/>
          <w:rtl/>
          <w:lang w:bidi="fa-IR"/>
        </w:rPr>
        <w:t>ٌ</w:t>
      </w:r>
      <w:r w:rsidRPr="00904FCB">
        <w:rPr>
          <w:rFonts w:ascii="Tahoma" w:hAnsi="Tahoma"/>
          <w:sz w:val="27"/>
          <w:rtl/>
          <w:lang w:bidi="fa-IR"/>
        </w:rPr>
        <w:t xml:space="preserve"> لمذهب</w:t>
      </w:r>
      <w:r w:rsidR="0063145A" w:rsidRPr="00904FCB">
        <w:rPr>
          <w:rFonts w:ascii="Tahoma" w:hAnsi="Tahoma" w:hint="cs"/>
          <w:sz w:val="27"/>
          <w:rtl/>
          <w:lang w:bidi="fa-IR"/>
        </w:rPr>
        <w:t>ٍ</w:t>
      </w:r>
      <w:r w:rsidRPr="00904FCB">
        <w:rPr>
          <w:rFonts w:ascii="Tahoma" w:hAnsi="Tahoma"/>
          <w:sz w:val="27"/>
          <w:rtl/>
          <w:lang w:bidi="fa-IR"/>
        </w:rPr>
        <w:t xml:space="preserve"> على مذهب.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الثاني: علم الخلاف النازل</w:t>
      </w:r>
      <w:r w:rsidRPr="00904FCB">
        <w:rPr>
          <w:rFonts w:ascii="Tahoma" w:hAnsi="Tahoma"/>
          <w:sz w:val="27"/>
          <w:rtl/>
          <w:lang w:bidi="fa-IR"/>
        </w:rPr>
        <w:t>: ويتم</w:t>
      </w:r>
      <w:r w:rsidR="00E74F23" w:rsidRPr="00904FCB">
        <w:rPr>
          <w:rFonts w:ascii="Tahoma" w:hAnsi="Tahoma" w:hint="cs"/>
          <w:sz w:val="27"/>
          <w:rtl/>
          <w:lang w:bidi="fa-IR"/>
        </w:rPr>
        <w:t>ّ</w:t>
      </w:r>
      <w:r w:rsidRPr="00904FCB">
        <w:rPr>
          <w:rFonts w:ascii="Tahoma" w:hAnsi="Tahoma"/>
          <w:sz w:val="27"/>
          <w:rtl/>
          <w:lang w:bidi="fa-IR"/>
        </w:rPr>
        <w:t xml:space="preserve"> بين الآراء المختلفة في داخل المذهب الواحد</w:t>
      </w:r>
      <w:r w:rsidR="00E74F23" w:rsidRPr="00904FCB">
        <w:rPr>
          <w:rFonts w:ascii="Tahoma" w:hAnsi="Tahoma" w:hint="cs"/>
          <w:sz w:val="27"/>
          <w:rtl/>
          <w:lang w:bidi="fa-IR"/>
        </w:rPr>
        <w:t>؛</w:t>
      </w:r>
      <w:r w:rsidRPr="00904FCB">
        <w:rPr>
          <w:rFonts w:ascii="Tahoma" w:hAnsi="Tahoma"/>
          <w:sz w:val="27"/>
          <w:rtl/>
          <w:lang w:bidi="fa-IR"/>
        </w:rPr>
        <w:t xml:space="preserve"> بهدف بيان الراجح والمرجوح، وما هو اختلاف دليل وبرهان، وما هو اختلاف عصر وأوان</w:t>
      </w:r>
      <w:r w:rsidR="00E74F23" w:rsidRPr="00904FCB">
        <w:rPr>
          <w:rFonts w:ascii="Tahoma" w:hAnsi="Tahoma" w:hint="cs"/>
          <w:sz w:val="27"/>
          <w:rtl/>
          <w:lang w:bidi="fa-IR"/>
        </w:rPr>
        <w:t>.</w:t>
      </w:r>
      <w:r w:rsidRPr="00904FCB">
        <w:rPr>
          <w:rFonts w:ascii="Tahoma" w:hAnsi="Tahoma"/>
          <w:sz w:val="27"/>
          <w:rtl/>
          <w:lang w:bidi="fa-IR"/>
        </w:rPr>
        <w:t xml:space="preserve"> وقد كثر التصنيف في علم الخلاف لد</w:t>
      </w:r>
      <w:r w:rsidR="00E74F23" w:rsidRPr="00904FCB">
        <w:rPr>
          <w:rFonts w:ascii="Tahoma" w:hAnsi="Tahoma" w:hint="cs"/>
          <w:sz w:val="27"/>
          <w:rtl/>
          <w:lang w:bidi="fa-IR"/>
        </w:rPr>
        <w:t>ى</w:t>
      </w:r>
      <w:r w:rsidRPr="00904FCB">
        <w:rPr>
          <w:rFonts w:ascii="Tahoma" w:hAnsi="Tahoma"/>
          <w:sz w:val="27"/>
          <w:rtl/>
          <w:lang w:bidi="fa-IR"/>
        </w:rPr>
        <w:t xml:space="preserve"> المذاهب ال</w:t>
      </w:r>
      <w:r w:rsidR="00E74F23" w:rsidRPr="00904FCB">
        <w:rPr>
          <w:rFonts w:ascii="Tahoma" w:hAnsi="Tahoma" w:hint="cs"/>
          <w:sz w:val="27"/>
          <w:rtl/>
          <w:lang w:bidi="fa-IR"/>
        </w:rPr>
        <w:t>إ</w:t>
      </w:r>
      <w:r w:rsidRPr="00904FCB">
        <w:rPr>
          <w:rFonts w:ascii="Tahoma" w:hAnsi="Tahoma"/>
          <w:sz w:val="27"/>
          <w:rtl/>
          <w:lang w:bidi="fa-IR"/>
        </w:rPr>
        <w:t>سلامية المختلفة في القرن الثاني الهجري</w:t>
      </w:r>
      <w:r w:rsidR="00E74F23" w:rsidRPr="00904FCB">
        <w:rPr>
          <w:rFonts w:ascii="Tahoma" w:hAnsi="Tahoma" w:hint="cs"/>
          <w:sz w:val="27"/>
          <w:rtl/>
          <w:lang w:bidi="fa-IR"/>
        </w:rPr>
        <w:t>،</w:t>
      </w:r>
      <w:r w:rsidRPr="00904FCB">
        <w:rPr>
          <w:rFonts w:ascii="Tahoma" w:hAnsi="Tahoma"/>
          <w:sz w:val="27"/>
          <w:rtl/>
          <w:lang w:bidi="fa-IR"/>
        </w:rPr>
        <w:t xml:space="preserve"> في تراث </w:t>
      </w:r>
      <w:r w:rsidRPr="00904FCB">
        <w:rPr>
          <w:rFonts w:hint="eastAsia"/>
          <w:sz w:val="27"/>
          <w:rtl/>
          <w:lang w:bidi="fa-IR"/>
        </w:rPr>
        <w:t>«</w:t>
      </w:r>
      <w:r w:rsidR="00E74F23" w:rsidRPr="00904FCB">
        <w:rPr>
          <w:rFonts w:ascii="Tahoma" w:hAnsi="Tahoma" w:hint="cs"/>
          <w:sz w:val="27"/>
          <w:rtl/>
          <w:lang w:bidi="fa-IR"/>
        </w:rPr>
        <w:t>أ</w:t>
      </w:r>
      <w:r w:rsidRPr="00904FCB">
        <w:rPr>
          <w:rFonts w:ascii="Tahoma" w:hAnsi="Tahoma"/>
          <w:sz w:val="27"/>
          <w:rtl/>
          <w:lang w:bidi="fa-IR"/>
        </w:rPr>
        <w:t>بي يوسف</w:t>
      </w:r>
      <w:r w:rsidRPr="00904FCB">
        <w:rPr>
          <w:rFonts w:hint="eastAsia"/>
          <w:sz w:val="27"/>
          <w:rtl/>
        </w:rPr>
        <w:t>»</w:t>
      </w:r>
      <w:r w:rsidRPr="00904FCB">
        <w:rPr>
          <w:rFonts w:ascii="Tahoma" w:hAnsi="Tahoma"/>
          <w:sz w:val="27"/>
          <w:rtl/>
          <w:lang w:bidi="fa-IR"/>
        </w:rPr>
        <w:t>، و</w:t>
      </w:r>
      <w:r w:rsidRPr="00904FCB">
        <w:rPr>
          <w:rFonts w:hint="eastAsia"/>
          <w:sz w:val="27"/>
          <w:rtl/>
        </w:rPr>
        <w:t>«</w:t>
      </w:r>
      <w:r w:rsidRPr="00904FCB">
        <w:rPr>
          <w:rFonts w:ascii="Tahoma" w:hAnsi="Tahoma"/>
          <w:sz w:val="27"/>
          <w:rtl/>
          <w:lang w:bidi="fa-IR"/>
        </w:rPr>
        <w:t>الأوزاعي</w:t>
      </w:r>
      <w:r w:rsidRPr="00904FCB">
        <w:rPr>
          <w:rFonts w:hint="eastAsia"/>
          <w:sz w:val="27"/>
          <w:rtl/>
        </w:rPr>
        <w:t>»</w:t>
      </w:r>
      <w:r w:rsidRPr="00904FCB">
        <w:rPr>
          <w:rFonts w:ascii="Tahoma" w:hAnsi="Tahoma"/>
          <w:sz w:val="27"/>
          <w:rtl/>
          <w:lang w:bidi="fa-IR"/>
        </w:rPr>
        <w:t>، و</w:t>
      </w:r>
      <w:r w:rsidRPr="00904FCB">
        <w:rPr>
          <w:rFonts w:hint="eastAsia"/>
          <w:sz w:val="27"/>
          <w:rtl/>
        </w:rPr>
        <w:t>«</w:t>
      </w:r>
      <w:r w:rsidRPr="00904FCB">
        <w:rPr>
          <w:rFonts w:ascii="Tahoma" w:hAnsi="Tahoma"/>
          <w:sz w:val="27"/>
          <w:rtl/>
          <w:lang w:bidi="fa-IR"/>
        </w:rPr>
        <w:t>ابن أبي ليل</w:t>
      </w:r>
      <w:r w:rsidR="00E74F23" w:rsidRPr="00904FCB">
        <w:rPr>
          <w:rFonts w:ascii="Tahoma" w:hAnsi="Tahoma" w:hint="cs"/>
          <w:sz w:val="27"/>
          <w:rtl/>
          <w:lang w:bidi="fa-IR"/>
        </w:rPr>
        <w:t>ى</w:t>
      </w:r>
      <w:r w:rsidRPr="00904FCB">
        <w:rPr>
          <w:rFonts w:hint="eastAsia"/>
          <w:sz w:val="27"/>
          <w:rtl/>
        </w:rPr>
        <w:t>»</w:t>
      </w:r>
      <w:r w:rsidRPr="00904FCB">
        <w:rPr>
          <w:rFonts w:ascii="Tahoma" w:hAnsi="Tahoma"/>
          <w:sz w:val="27"/>
          <w:rtl/>
          <w:lang w:bidi="fa-IR"/>
        </w:rPr>
        <w:t>، و</w:t>
      </w:r>
      <w:r w:rsidRPr="00904FCB">
        <w:rPr>
          <w:rFonts w:hint="eastAsia"/>
          <w:sz w:val="27"/>
          <w:rtl/>
        </w:rPr>
        <w:t>«</w:t>
      </w:r>
      <w:r w:rsidRPr="00904FCB">
        <w:rPr>
          <w:rFonts w:ascii="Tahoma" w:hAnsi="Tahoma"/>
          <w:sz w:val="27"/>
          <w:rtl/>
          <w:lang w:bidi="fa-IR"/>
        </w:rPr>
        <w:t>محمد بن الحسن</w:t>
      </w:r>
      <w:r w:rsidRPr="00904FCB">
        <w:rPr>
          <w:rFonts w:hint="eastAsia"/>
          <w:sz w:val="27"/>
          <w:rtl/>
        </w:rPr>
        <w:t>»</w:t>
      </w:r>
      <w:r w:rsidRPr="00904FCB">
        <w:rPr>
          <w:rFonts w:ascii="Tahoma" w:hAnsi="Tahoma"/>
          <w:sz w:val="27"/>
          <w:rtl/>
          <w:lang w:bidi="fa-IR"/>
        </w:rPr>
        <w:t xml:space="preserve"> ـ وهم رو</w:t>
      </w:r>
      <w:r w:rsidR="00E74F23" w:rsidRPr="00904FCB">
        <w:rPr>
          <w:rFonts w:ascii="Tahoma" w:hAnsi="Tahoma" w:hint="cs"/>
          <w:sz w:val="27"/>
          <w:rtl/>
          <w:lang w:bidi="fa-IR"/>
        </w:rPr>
        <w:t>ّ</w:t>
      </w:r>
      <w:r w:rsidRPr="00904FCB">
        <w:rPr>
          <w:rFonts w:ascii="Tahoma" w:hAnsi="Tahoma"/>
          <w:sz w:val="27"/>
          <w:rtl/>
          <w:lang w:bidi="fa-IR"/>
        </w:rPr>
        <w:t>اد علم الخلاف ـ</w:t>
      </w:r>
      <w:r w:rsidR="00E74F23" w:rsidRPr="00904FCB">
        <w:rPr>
          <w:rFonts w:ascii="Tahoma" w:hAnsi="Tahoma" w:hint="cs"/>
          <w:sz w:val="27"/>
          <w:rtl/>
          <w:lang w:bidi="fa-IR"/>
        </w:rPr>
        <w:t>،</w:t>
      </w:r>
      <w:r w:rsidRPr="00904FCB">
        <w:rPr>
          <w:rFonts w:ascii="Tahoma" w:hAnsi="Tahoma"/>
          <w:sz w:val="27"/>
          <w:rtl/>
          <w:lang w:bidi="fa-IR"/>
        </w:rPr>
        <w:t xml:space="preserve"> كتابات موسوعية، وكتابات مفردة</w:t>
      </w:r>
      <w:r w:rsidR="00E74F23" w:rsidRPr="00904FCB">
        <w:rPr>
          <w:rFonts w:ascii="Tahoma" w:hAnsi="Tahoma" w:hint="cs"/>
          <w:sz w:val="27"/>
          <w:rtl/>
          <w:lang w:bidi="fa-IR"/>
        </w:rPr>
        <w:t>،</w:t>
      </w:r>
      <w:r w:rsidRPr="00904FCB">
        <w:rPr>
          <w:rFonts w:ascii="Tahoma" w:hAnsi="Tahoma"/>
          <w:sz w:val="27"/>
          <w:rtl/>
          <w:lang w:bidi="fa-IR"/>
        </w:rPr>
        <w:t xml:space="preserve"> لا يت</w:t>
      </w:r>
      <w:r w:rsidR="00E74F23" w:rsidRPr="00904FCB">
        <w:rPr>
          <w:rFonts w:ascii="Tahoma" w:hAnsi="Tahoma" w:hint="cs"/>
          <w:sz w:val="27"/>
          <w:rtl/>
          <w:lang w:bidi="fa-IR"/>
        </w:rPr>
        <w:t>َّ</w:t>
      </w:r>
      <w:r w:rsidRPr="00904FCB">
        <w:rPr>
          <w:rFonts w:ascii="Tahoma" w:hAnsi="Tahoma"/>
          <w:sz w:val="27"/>
          <w:rtl/>
          <w:lang w:bidi="fa-IR"/>
        </w:rPr>
        <w:t>سع هذ</w:t>
      </w:r>
      <w:r w:rsidR="00DA684B">
        <w:rPr>
          <w:rFonts w:ascii="Tahoma" w:hAnsi="Tahoma"/>
          <w:sz w:val="27"/>
          <w:rtl/>
          <w:lang w:bidi="fa-IR"/>
        </w:rPr>
        <w:t>ا البحث القصير لبيانها وتحليلها</w:t>
      </w:r>
      <w:r w:rsidR="00E74F23" w:rsidRPr="00904FCB">
        <w:rPr>
          <w:rFonts w:ascii="Tahoma" w:hAnsi="Tahoma" w:hint="cs"/>
          <w:sz w:val="27"/>
          <w:rtl/>
          <w:lang w:bidi="fa-IR"/>
        </w:rPr>
        <w:t>.</w:t>
      </w:r>
      <w:r w:rsidRPr="00904FCB">
        <w:rPr>
          <w:rFonts w:ascii="Tahoma" w:hAnsi="Tahoma"/>
          <w:sz w:val="27"/>
          <w:rtl/>
          <w:lang w:bidi="fa-IR"/>
        </w:rPr>
        <w:t xml:space="preserve"> وربما كان علم الخلاف النازل له وشائج قرب</w:t>
      </w:r>
      <w:r w:rsidR="00E74F23" w:rsidRPr="00904FCB">
        <w:rPr>
          <w:rFonts w:ascii="Tahoma" w:hAnsi="Tahoma" w:hint="cs"/>
          <w:sz w:val="27"/>
          <w:rtl/>
          <w:lang w:bidi="fa-IR"/>
        </w:rPr>
        <w:t>ى</w:t>
      </w:r>
      <w:r w:rsidRPr="00904FCB">
        <w:rPr>
          <w:rFonts w:ascii="Tahoma" w:hAnsi="Tahoma"/>
          <w:sz w:val="27"/>
          <w:rtl/>
          <w:lang w:bidi="fa-IR"/>
        </w:rPr>
        <w:t xml:space="preserve"> ببعض مباحث علم القانون المقارن في صورته الحديثة.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وعلم الخلاف له وظيفتان: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الأول</w:t>
      </w:r>
      <w:r w:rsidR="00E74F23" w:rsidRPr="00904FCB">
        <w:rPr>
          <w:rFonts w:ascii="Tahoma" w:hAnsi="Tahoma" w:hint="cs"/>
          <w:b/>
          <w:bCs/>
          <w:sz w:val="27"/>
          <w:rtl/>
          <w:lang w:bidi="fa-IR"/>
        </w:rPr>
        <w:t>ى</w:t>
      </w:r>
      <w:r w:rsidRPr="00904FCB">
        <w:rPr>
          <w:rFonts w:ascii="Tahoma" w:hAnsi="Tahoma"/>
          <w:sz w:val="27"/>
          <w:rtl/>
          <w:lang w:bidi="fa-IR"/>
        </w:rPr>
        <w:t>: علمية</w:t>
      </w:r>
      <w:r w:rsidR="00E74F23" w:rsidRPr="00904FCB">
        <w:rPr>
          <w:rFonts w:ascii="Tahoma" w:hAnsi="Tahoma" w:hint="cs"/>
          <w:sz w:val="27"/>
          <w:rtl/>
          <w:lang w:bidi="fa-IR"/>
        </w:rPr>
        <w:t>،</w:t>
      </w:r>
      <w:r w:rsidRPr="00904FCB">
        <w:rPr>
          <w:rFonts w:ascii="Tahoma" w:hAnsi="Tahoma"/>
          <w:sz w:val="27"/>
          <w:rtl/>
          <w:lang w:bidi="fa-IR"/>
        </w:rPr>
        <w:t xml:space="preserve"> محورها معرفة مآخذ الأئمة وأدلتهم دفاعا</w:t>
      </w:r>
      <w:r w:rsidR="00E74F23" w:rsidRPr="00904FCB">
        <w:rPr>
          <w:rFonts w:ascii="Tahoma" w:hAnsi="Tahoma" w:hint="cs"/>
          <w:sz w:val="27"/>
          <w:rtl/>
          <w:lang w:bidi="fa-IR"/>
        </w:rPr>
        <w:t>ً</w:t>
      </w:r>
      <w:r w:rsidRPr="00904FCB">
        <w:rPr>
          <w:rFonts w:ascii="Tahoma" w:hAnsi="Tahoma"/>
          <w:sz w:val="27"/>
          <w:rtl/>
          <w:lang w:bidi="fa-IR"/>
        </w:rPr>
        <w:t xml:space="preserve"> عن المذاهب. </w:t>
      </w:r>
    </w:p>
    <w:p w:rsidR="00E74F23"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b/>
          <w:bCs/>
          <w:sz w:val="27"/>
          <w:rtl/>
          <w:lang w:bidi="fa-IR"/>
        </w:rPr>
        <w:t>والثانية</w:t>
      </w:r>
      <w:r w:rsidRPr="00904FCB">
        <w:rPr>
          <w:rFonts w:ascii="Tahoma" w:hAnsi="Tahoma"/>
          <w:sz w:val="27"/>
          <w:rtl/>
          <w:lang w:bidi="fa-IR"/>
        </w:rPr>
        <w:t>: عملية تعليمية</w:t>
      </w:r>
      <w:r w:rsidR="00E74F23" w:rsidRPr="00904FCB">
        <w:rPr>
          <w:rFonts w:ascii="Tahoma" w:hAnsi="Tahoma" w:hint="cs"/>
          <w:sz w:val="27"/>
          <w:rtl/>
          <w:lang w:bidi="fa-IR"/>
        </w:rPr>
        <w:t>،</w:t>
      </w:r>
      <w:r w:rsidRPr="00904FCB">
        <w:rPr>
          <w:rFonts w:ascii="Tahoma" w:hAnsi="Tahoma"/>
          <w:sz w:val="27"/>
          <w:rtl/>
          <w:lang w:bidi="fa-IR"/>
        </w:rPr>
        <w:t xml:space="preserve"> تستهدف تكوين عقلية لديها م</w:t>
      </w:r>
      <w:r w:rsidR="00E74F23" w:rsidRPr="00904FCB">
        <w:rPr>
          <w:rFonts w:ascii="Tahoma" w:hAnsi="Tahoma" w:hint="cs"/>
          <w:sz w:val="27"/>
          <w:rtl/>
          <w:lang w:bidi="fa-IR"/>
        </w:rPr>
        <w:t>ِ</w:t>
      </w:r>
      <w:r w:rsidRPr="00904FCB">
        <w:rPr>
          <w:rFonts w:ascii="Tahoma" w:hAnsi="Tahoma"/>
          <w:sz w:val="27"/>
          <w:rtl/>
          <w:lang w:bidi="fa-IR"/>
        </w:rPr>
        <w:t>ران بتأصيل المسائل، وقدرة على الاستد</w:t>
      </w:r>
      <w:r w:rsidR="00E74F23" w:rsidRPr="00904FCB">
        <w:rPr>
          <w:rFonts w:ascii="Tahoma" w:hAnsi="Tahoma" w:hint="cs"/>
          <w:sz w:val="27"/>
          <w:rtl/>
          <w:lang w:bidi="fa-IR"/>
        </w:rPr>
        <w:t>لا</w:t>
      </w:r>
      <w:r w:rsidRPr="00904FCB">
        <w:rPr>
          <w:rFonts w:ascii="Tahoma" w:hAnsi="Tahoma"/>
          <w:sz w:val="27"/>
          <w:rtl/>
          <w:lang w:bidi="fa-IR"/>
        </w:rPr>
        <w:t>ل والمناظرة</w:t>
      </w:r>
      <w:r w:rsidR="00E74F23" w:rsidRPr="00904FCB">
        <w:rPr>
          <w:rFonts w:ascii="Tahoma" w:hAnsi="Tahoma"/>
          <w:sz w:val="27"/>
          <w:rtl/>
          <w:lang w:bidi="fa-IR"/>
        </w:rPr>
        <w:t>.</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وهذه كل</w:t>
      </w:r>
      <w:r w:rsidR="00E74F23" w:rsidRPr="00904FCB">
        <w:rPr>
          <w:rFonts w:ascii="Tahoma" w:hAnsi="Tahoma" w:hint="cs"/>
          <w:sz w:val="27"/>
          <w:rtl/>
          <w:lang w:bidi="fa-IR"/>
        </w:rPr>
        <w:t>ّ</w:t>
      </w:r>
      <w:r w:rsidRPr="00904FCB">
        <w:rPr>
          <w:rFonts w:ascii="Tahoma" w:hAnsi="Tahoma"/>
          <w:sz w:val="27"/>
          <w:rtl/>
          <w:lang w:bidi="fa-IR"/>
        </w:rPr>
        <w:t xml:space="preserve">ها من وظائف القانون المقارن في صورته الحديثة.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8C16BF">
        <w:rPr>
          <w:rFonts w:hint="cs"/>
          <w:color w:val="auto"/>
          <w:rtl/>
          <w:lang w:bidi="ar-LB"/>
        </w:rPr>
        <w:t xml:space="preserve">2ـ </w:t>
      </w:r>
      <w:r w:rsidRPr="008C16BF">
        <w:rPr>
          <w:color w:val="auto"/>
          <w:rtl/>
          <w:lang w:bidi="fa-IR"/>
        </w:rPr>
        <w:t>ات</w:t>
      </w:r>
      <w:r w:rsidR="00E74F23" w:rsidRPr="008C16BF">
        <w:rPr>
          <w:rFonts w:hint="cs"/>
          <w:color w:val="auto"/>
          <w:rtl/>
          <w:lang w:bidi="fa-IR"/>
        </w:rPr>
        <w:t>ّ</w:t>
      </w:r>
      <w:r w:rsidRPr="008C16BF">
        <w:rPr>
          <w:color w:val="auto"/>
          <w:rtl/>
          <w:lang w:bidi="fa-IR"/>
        </w:rPr>
        <w:t>جاهات</w:t>
      </w:r>
      <w:r w:rsidRPr="00904FCB">
        <w:rPr>
          <w:color w:val="auto"/>
          <w:rtl/>
          <w:lang w:bidi="fa-IR"/>
        </w:rPr>
        <w:t xml:space="preserve"> علم الخلاف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تنو</w:t>
      </w:r>
      <w:r w:rsidR="00E74F23" w:rsidRPr="00904FCB">
        <w:rPr>
          <w:rFonts w:ascii="Tahoma" w:hAnsi="Tahoma" w:hint="cs"/>
          <w:sz w:val="27"/>
          <w:rtl/>
          <w:lang w:bidi="fa-IR"/>
        </w:rPr>
        <w:t>َّ</w:t>
      </w:r>
      <w:r w:rsidRPr="00904FCB">
        <w:rPr>
          <w:rFonts w:ascii="Tahoma" w:hAnsi="Tahoma"/>
          <w:sz w:val="27"/>
          <w:rtl/>
          <w:lang w:bidi="fa-IR"/>
        </w:rPr>
        <w:t>عت مناهج هذا العلم بتنو</w:t>
      </w:r>
      <w:r w:rsidR="00E74F23" w:rsidRPr="00904FCB">
        <w:rPr>
          <w:rFonts w:ascii="Tahoma" w:hAnsi="Tahoma" w:hint="cs"/>
          <w:sz w:val="27"/>
          <w:rtl/>
          <w:lang w:bidi="fa-IR"/>
        </w:rPr>
        <w:t>ُّ</w:t>
      </w:r>
      <w:r w:rsidRPr="00904FCB">
        <w:rPr>
          <w:rFonts w:ascii="Tahoma" w:hAnsi="Tahoma"/>
          <w:sz w:val="27"/>
          <w:rtl/>
          <w:lang w:bidi="fa-IR"/>
        </w:rPr>
        <w:t>ع طرائق التأليف فيه، إلا</w:t>
      </w:r>
      <w:r w:rsidR="00E74F23" w:rsidRPr="00904FCB">
        <w:rPr>
          <w:rFonts w:ascii="Tahoma" w:hAnsi="Tahoma" w:hint="cs"/>
          <w:sz w:val="27"/>
          <w:rtl/>
          <w:lang w:bidi="fa-IR"/>
        </w:rPr>
        <w:t>ّ</w:t>
      </w:r>
      <w:r w:rsidRPr="00904FCB">
        <w:rPr>
          <w:rFonts w:ascii="Tahoma" w:hAnsi="Tahoma"/>
          <w:sz w:val="27"/>
          <w:rtl/>
          <w:lang w:bidi="fa-IR"/>
        </w:rPr>
        <w:t xml:space="preserve"> أن ميدان عملها جميعا</w:t>
      </w:r>
      <w:r w:rsidR="00E74F23" w:rsidRPr="00904FCB">
        <w:rPr>
          <w:rFonts w:ascii="Tahoma" w:hAnsi="Tahoma" w:hint="cs"/>
          <w:sz w:val="27"/>
          <w:rtl/>
          <w:lang w:bidi="fa-IR"/>
        </w:rPr>
        <w:t>ً</w:t>
      </w:r>
      <w:r w:rsidRPr="00904FCB">
        <w:rPr>
          <w:rFonts w:ascii="Tahoma" w:hAnsi="Tahoma"/>
          <w:sz w:val="27"/>
          <w:rtl/>
          <w:lang w:bidi="fa-IR"/>
        </w:rPr>
        <w:t xml:space="preserve"> هو الفقه ال</w:t>
      </w:r>
      <w:r w:rsidR="00E74F23" w:rsidRPr="00904FCB">
        <w:rPr>
          <w:rFonts w:ascii="Tahoma" w:hAnsi="Tahoma" w:hint="cs"/>
          <w:sz w:val="27"/>
          <w:rtl/>
          <w:lang w:bidi="fa-IR"/>
        </w:rPr>
        <w:t>إ</w:t>
      </w:r>
      <w:r w:rsidRPr="00904FCB">
        <w:rPr>
          <w:rFonts w:ascii="Tahoma" w:hAnsi="Tahoma"/>
          <w:sz w:val="27"/>
          <w:rtl/>
          <w:lang w:bidi="fa-IR"/>
        </w:rPr>
        <w:t>سلامي بمذاهبه المختلفة</w:t>
      </w:r>
      <w:r w:rsidR="00E74F23" w:rsidRPr="00904FCB">
        <w:rPr>
          <w:rFonts w:ascii="Tahoma" w:hAnsi="Tahoma" w:hint="cs"/>
          <w:sz w:val="27"/>
          <w:rtl/>
          <w:lang w:bidi="fa-IR"/>
        </w:rPr>
        <w:t>.</w:t>
      </w:r>
      <w:r w:rsidRPr="00904FCB">
        <w:rPr>
          <w:rFonts w:ascii="Tahoma" w:hAnsi="Tahoma"/>
          <w:sz w:val="27"/>
          <w:rtl/>
          <w:lang w:bidi="fa-IR"/>
        </w:rPr>
        <w:t xml:space="preserve"> فهي في كل الأحوال حوار</w:t>
      </w:r>
      <w:r w:rsidR="00E74F23" w:rsidRPr="00904FCB">
        <w:rPr>
          <w:rFonts w:ascii="Tahoma" w:hAnsi="Tahoma" w:hint="cs"/>
          <w:sz w:val="27"/>
          <w:rtl/>
          <w:lang w:bidi="fa-IR"/>
        </w:rPr>
        <w:t>ٌ</w:t>
      </w:r>
      <w:r w:rsidRPr="00904FCB">
        <w:rPr>
          <w:rFonts w:ascii="Tahoma" w:hAnsi="Tahoma"/>
          <w:sz w:val="27"/>
          <w:rtl/>
          <w:lang w:bidi="fa-IR"/>
        </w:rPr>
        <w:t xml:space="preserve"> من داخل عائلة قانونية واحدة</w:t>
      </w:r>
      <w:r w:rsidR="00E74F23" w:rsidRPr="00904FCB">
        <w:rPr>
          <w:rFonts w:ascii="Tahoma" w:hAnsi="Tahoma" w:hint="cs"/>
          <w:sz w:val="27"/>
          <w:rtl/>
          <w:lang w:bidi="fa-IR"/>
        </w:rPr>
        <w:t>.</w:t>
      </w:r>
      <w:r w:rsidRPr="00904FCB">
        <w:rPr>
          <w:rFonts w:ascii="Tahoma" w:hAnsi="Tahoma"/>
          <w:sz w:val="27"/>
          <w:rtl/>
          <w:lang w:bidi="fa-IR"/>
        </w:rPr>
        <w:t xml:space="preserve"> وكانت منهجية التصنيف تحكمها اتجاهات البحث عن الائتلاف في </w:t>
      </w:r>
      <w:r w:rsidRPr="00904FCB">
        <w:rPr>
          <w:rFonts w:ascii="Tahoma" w:hAnsi="Tahoma"/>
          <w:sz w:val="27"/>
          <w:rtl/>
          <w:lang w:bidi="fa-IR"/>
        </w:rPr>
        <w:lastRenderedPageBreak/>
        <w:t>كتب «ال</w:t>
      </w:r>
      <w:r w:rsidR="00E74F23" w:rsidRPr="00904FCB">
        <w:rPr>
          <w:rFonts w:ascii="Tahoma" w:hAnsi="Tahoma" w:hint="cs"/>
          <w:sz w:val="27"/>
          <w:rtl/>
          <w:lang w:bidi="fa-IR"/>
        </w:rPr>
        <w:t>أ</w:t>
      </w:r>
      <w:r w:rsidRPr="00904FCB">
        <w:rPr>
          <w:rFonts w:ascii="Tahoma" w:hAnsi="Tahoma"/>
          <w:sz w:val="27"/>
          <w:rtl/>
          <w:lang w:bidi="fa-IR"/>
        </w:rPr>
        <w:t>شباه والنظائر»، والبحث عن الاختلاف في كتب «الفروق»، والدمج بينهما في كتب «الاختلاف والاتفاق»</w:t>
      </w:r>
      <w:r w:rsidR="00E74F23" w:rsidRPr="00904FCB">
        <w:rPr>
          <w:rFonts w:ascii="Tahoma" w:hAnsi="Tahoma" w:hint="cs"/>
          <w:sz w:val="27"/>
          <w:rtl/>
          <w:lang w:bidi="fa-IR"/>
        </w:rPr>
        <w:t>.</w:t>
      </w:r>
      <w:r w:rsidRPr="00904FCB">
        <w:rPr>
          <w:rFonts w:ascii="Tahoma" w:hAnsi="Tahoma"/>
          <w:sz w:val="27"/>
          <w:rtl/>
          <w:lang w:bidi="fa-IR"/>
        </w:rPr>
        <w:t xml:space="preserve"> وهذه الاتجاهات تحملها عناوين كتب، و</w:t>
      </w:r>
      <w:r w:rsidR="00E74F23" w:rsidRPr="00904FCB">
        <w:rPr>
          <w:rFonts w:ascii="Tahoma" w:hAnsi="Tahoma" w:hint="cs"/>
          <w:sz w:val="27"/>
          <w:rtl/>
          <w:lang w:bidi="fa-IR"/>
        </w:rPr>
        <w:t>أ</w:t>
      </w:r>
      <w:r w:rsidRPr="00904FCB">
        <w:rPr>
          <w:rFonts w:ascii="Tahoma" w:hAnsi="Tahoma"/>
          <w:sz w:val="27"/>
          <w:rtl/>
          <w:lang w:bidi="fa-IR"/>
        </w:rPr>
        <w:t>سماء مؤلفات</w:t>
      </w:r>
      <w:r w:rsidR="00E74F23" w:rsidRPr="00904FCB">
        <w:rPr>
          <w:rFonts w:ascii="Tahoma" w:hAnsi="Tahoma" w:hint="cs"/>
          <w:sz w:val="27"/>
          <w:rtl/>
          <w:lang w:bidi="fa-IR"/>
        </w:rPr>
        <w:t>.</w:t>
      </w:r>
      <w:r w:rsidRPr="00904FCB">
        <w:rPr>
          <w:rFonts w:ascii="Tahoma" w:hAnsi="Tahoma"/>
          <w:sz w:val="27"/>
          <w:rtl/>
          <w:lang w:bidi="fa-IR"/>
        </w:rPr>
        <w:t xml:space="preserve"> وهي منهجية تقترب من أدب الج</w:t>
      </w:r>
      <w:r w:rsidR="00E74F23" w:rsidRPr="00904FCB">
        <w:rPr>
          <w:rFonts w:ascii="Tahoma" w:hAnsi="Tahoma" w:hint="cs"/>
          <w:sz w:val="27"/>
          <w:rtl/>
          <w:lang w:bidi="fa-IR"/>
        </w:rPr>
        <w:t>َ</w:t>
      </w:r>
      <w:r w:rsidRPr="00904FCB">
        <w:rPr>
          <w:rFonts w:ascii="Tahoma" w:hAnsi="Tahoma"/>
          <w:sz w:val="27"/>
          <w:rtl/>
          <w:lang w:bidi="fa-IR"/>
        </w:rPr>
        <w:t>د</w:t>
      </w:r>
      <w:r w:rsidR="00E74F23" w:rsidRPr="00904FCB">
        <w:rPr>
          <w:rFonts w:ascii="Tahoma" w:hAnsi="Tahoma" w:hint="cs"/>
          <w:sz w:val="27"/>
          <w:rtl/>
          <w:lang w:bidi="fa-IR"/>
        </w:rPr>
        <w:t>َ</w:t>
      </w:r>
      <w:r w:rsidRPr="00904FCB">
        <w:rPr>
          <w:rFonts w:ascii="Tahoma" w:hAnsi="Tahoma"/>
          <w:sz w:val="27"/>
          <w:rtl/>
          <w:lang w:bidi="fa-IR"/>
        </w:rPr>
        <w:t xml:space="preserve">ل والمناظرة، </w:t>
      </w:r>
      <w:r w:rsidR="00E74F23" w:rsidRPr="00904FCB">
        <w:rPr>
          <w:rFonts w:ascii="Tahoma" w:hAnsi="Tahoma" w:hint="cs"/>
          <w:sz w:val="27"/>
          <w:rtl/>
          <w:lang w:bidi="fa-IR"/>
        </w:rPr>
        <w:t>ب</w:t>
      </w:r>
      <w:r w:rsidRPr="00904FCB">
        <w:rPr>
          <w:rFonts w:ascii="Tahoma" w:hAnsi="Tahoma"/>
          <w:sz w:val="27"/>
          <w:rtl/>
          <w:lang w:bidi="fa-IR"/>
        </w:rPr>
        <w:t>ق</w:t>
      </w:r>
      <w:r w:rsidR="00E74F23" w:rsidRPr="00904FCB">
        <w:rPr>
          <w:rFonts w:ascii="Tahoma" w:hAnsi="Tahoma" w:hint="cs"/>
          <w:sz w:val="27"/>
          <w:rtl/>
          <w:lang w:bidi="fa-IR"/>
        </w:rPr>
        <w:t>َ</w:t>
      </w:r>
      <w:r w:rsidRPr="00904FCB">
        <w:rPr>
          <w:rFonts w:ascii="Tahoma" w:hAnsi="Tahoma"/>
          <w:sz w:val="27"/>
          <w:rtl/>
          <w:lang w:bidi="fa-IR"/>
        </w:rPr>
        <w:t>د</w:t>
      </w:r>
      <w:r w:rsidR="00E74F23" w:rsidRPr="00904FCB">
        <w:rPr>
          <w:rFonts w:ascii="Tahoma" w:hAnsi="Tahoma" w:hint="cs"/>
          <w:sz w:val="27"/>
          <w:rtl/>
          <w:lang w:bidi="fa-IR"/>
        </w:rPr>
        <w:t>ْ</w:t>
      </w:r>
      <w:r w:rsidRPr="00904FCB">
        <w:rPr>
          <w:rFonts w:ascii="Tahoma" w:hAnsi="Tahoma"/>
          <w:sz w:val="27"/>
          <w:rtl/>
          <w:lang w:bidi="fa-IR"/>
        </w:rPr>
        <w:t xml:space="preserve">ر ابتعادها عن </w:t>
      </w:r>
      <w:r w:rsidR="00E74F23" w:rsidRPr="00904FCB">
        <w:rPr>
          <w:rFonts w:ascii="Tahoma" w:hAnsi="Tahoma" w:hint="cs"/>
          <w:sz w:val="27"/>
          <w:rtl/>
          <w:lang w:bidi="fa-IR"/>
        </w:rPr>
        <w:t>أ</w:t>
      </w:r>
      <w:r w:rsidRPr="00904FCB">
        <w:rPr>
          <w:rFonts w:ascii="Tahoma" w:hAnsi="Tahoma"/>
          <w:sz w:val="27"/>
          <w:rtl/>
          <w:lang w:bidi="fa-IR"/>
        </w:rPr>
        <w:t>دبيات القانون المقارن</w:t>
      </w:r>
      <w:r w:rsidR="00E74F23" w:rsidRPr="00904FCB">
        <w:rPr>
          <w:rFonts w:ascii="Tahoma" w:hAnsi="Tahoma" w:hint="cs"/>
          <w:sz w:val="27"/>
          <w:rtl/>
          <w:lang w:bidi="fa-IR"/>
        </w:rPr>
        <w:t>.</w:t>
      </w:r>
      <w:r w:rsidRPr="00904FCB">
        <w:rPr>
          <w:rFonts w:ascii="Tahoma" w:hAnsi="Tahoma"/>
          <w:sz w:val="27"/>
          <w:rtl/>
          <w:lang w:bidi="fa-IR"/>
        </w:rPr>
        <w:t xml:space="preserve"> ولا نكاد نجد </w:t>
      </w:r>
      <w:r w:rsidR="00E74F23" w:rsidRPr="00904FCB">
        <w:rPr>
          <w:rFonts w:ascii="Tahoma" w:hAnsi="Tahoma" w:hint="cs"/>
          <w:sz w:val="27"/>
          <w:rtl/>
          <w:lang w:bidi="fa-IR"/>
        </w:rPr>
        <w:t>إ</w:t>
      </w:r>
      <w:r w:rsidRPr="00904FCB">
        <w:rPr>
          <w:rFonts w:ascii="Tahoma" w:hAnsi="Tahoma"/>
          <w:sz w:val="27"/>
          <w:rtl/>
          <w:lang w:bidi="fa-IR"/>
        </w:rPr>
        <w:t>رهاصا</w:t>
      </w:r>
      <w:r w:rsidR="00E74F23" w:rsidRPr="00904FCB">
        <w:rPr>
          <w:rFonts w:ascii="Tahoma" w:hAnsi="Tahoma" w:hint="cs"/>
          <w:sz w:val="27"/>
          <w:rtl/>
          <w:lang w:bidi="fa-IR"/>
        </w:rPr>
        <w:t>ً</w:t>
      </w:r>
      <w:r w:rsidRPr="00904FCB">
        <w:rPr>
          <w:rFonts w:ascii="Tahoma" w:hAnsi="Tahoma"/>
          <w:sz w:val="27"/>
          <w:rtl/>
          <w:lang w:bidi="fa-IR"/>
        </w:rPr>
        <w:t xml:space="preserve"> للقانون المقارن في التراث ال</w:t>
      </w:r>
      <w:r w:rsidR="00E74F23" w:rsidRPr="00904FCB">
        <w:rPr>
          <w:rFonts w:ascii="Tahoma" w:hAnsi="Tahoma" w:hint="cs"/>
          <w:sz w:val="27"/>
          <w:rtl/>
          <w:lang w:bidi="fa-IR"/>
        </w:rPr>
        <w:t>إ</w:t>
      </w:r>
      <w:r w:rsidRPr="00904FCB">
        <w:rPr>
          <w:rFonts w:ascii="Tahoma" w:hAnsi="Tahoma"/>
          <w:sz w:val="27"/>
          <w:rtl/>
          <w:lang w:bidi="fa-IR"/>
        </w:rPr>
        <w:t>سلامي</w:t>
      </w:r>
      <w:r w:rsidR="00E74F23" w:rsidRPr="00904FCB">
        <w:rPr>
          <w:rFonts w:ascii="Tahoma" w:hAnsi="Tahoma" w:hint="cs"/>
          <w:sz w:val="27"/>
          <w:rtl/>
          <w:lang w:bidi="fa-IR"/>
        </w:rPr>
        <w:t>،</w:t>
      </w:r>
      <w:r w:rsidRPr="00904FCB">
        <w:rPr>
          <w:rFonts w:ascii="Tahoma" w:hAnsi="Tahoma"/>
          <w:sz w:val="27"/>
          <w:rtl/>
          <w:lang w:bidi="fa-IR"/>
        </w:rPr>
        <w:t xml:space="preserve"> إلا</w:t>
      </w:r>
      <w:r w:rsidR="00E74F23" w:rsidRPr="00904FCB">
        <w:rPr>
          <w:rFonts w:ascii="Tahoma" w:hAnsi="Tahoma" w:hint="cs"/>
          <w:sz w:val="27"/>
          <w:rtl/>
          <w:lang w:bidi="fa-IR"/>
        </w:rPr>
        <w:t>ّ</w:t>
      </w:r>
      <w:r w:rsidRPr="00904FCB">
        <w:rPr>
          <w:rFonts w:ascii="Tahoma" w:hAnsi="Tahoma"/>
          <w:sz w:val="27"/>
          <w:rtl/>
          <w:lang w:bidi="fa-IR"/>
        </w:rPr>
        <w:t xml:space="preserve"> في مؤل</w:t>
      </w:r>
      <w:r w:rsidR="00E74F23" w:rsidRPr="00904FCB">
        <w:rPr>
          <w:rFonts w:ascii="Tahoma" w:hAnsi="Tahoma" w:hint="cs"/>
          <w:sz w:val="27"/>
          <w:rtl/>
          <w:lang w:bidi="fa-IR"/>
        </w:rPr>
        <w:t>ّ</w:t>
      </w:r>
      <w:r w:rsidRPr="00904FCB">
        <w:rPr>
          <w:rFonts w:ascii="Tahoma" w:hAnsi="Tahoma"/>
          <w:sz w:val="27"/>
          <w:rtl/>
          <w:lang w:bidi="fa-IR"/>
        </w:rPr>
        <w:t xml:space="preserve">ف وحيد </w:t>
      </w:r>
      <w:r w:rsidRPr="00904FCB">
        <w:rPr>
          <w:rFonts w:hint="eastAsia"/>
          <w:sz w:val="27"/>
          <w:rtl/>
          <w:lang w:bidi="fa-IR"/>
        </w:rPr>
        <w:t>«</w:t>
      </w:r>
      <w:r w:rsidRPr="00904FCB">
        <w:rPr>
          <w:rFonts w:ascii="Tahoma" w:hAnsi="Tahoma"/>
          <w:sz w:val="27"/>
          <w:rtl/>
          <w:lang w:bidi="fa-IR"/>
        </w:rPr>
        <w:t>لأبي الحسن العامري</w:t>
      </w:r>
      <w:r w:rsidRPr="00904FCB">
        <w:rPr>
          <w:rFonts w:hint="eastAsia"/>
          <w:sz w:val="27"/>
          <w:rtl/>
        </w:rPr>
        <w:t>»</w:t>
      </w:r>
      <w:r w:rsidRPr="00904FCB">
        <w:rPr>
          <w:rFonts w:ascii="Tahoma" w:hAnsi="Tahoma"/>
          <w:sz w:val="27"/>
          <w:rtl/>
          <w:lang w:bidi="fa-IR"/>
        </w:rPr>
        <w:t xml:space="preserve">، </w:t>
      </w:r>
      <w:r w:rsidR="00E74F23" w:rsidRPr="00904FCB">
        <w:rPr>
          <w:rFonts w:ascii="Tahoma" w:hAnsi="Tahoma" w:hint="cs"/>
          <w:sz w:val="27"/>
          <w:rtl/>
          <w:lang w:bidi="fa-IR"/>
        </w:rPr>
        <w:t>و</w:t>
      </w:r>
      <w:r w:rsidRPr="00904FCB">
        <w:rPr>
          <w:rFonts w:ascii="Tahoma" w:hAnsi="Tahoma"/>
          <w:sz w:val="27"/>
          <w:rtl/>
          <w:lang w:bidi="fa-IR"/>
        </w:rPr>
        <w:t>هو «ال</w:t>
      </w:r>
      <w:r w:rsidR="00E74F23" w:rsidRPr="00904FCB">
        <w:rPr>
          <w:rFonts w:ascii="Tahoma" w:hAnsi="Tahoma" w:hint="cs"/>
          <w:sz w:val="27"/>
          <w:rtl/>
          <w:lang w:bidi="fa-IR"/>
        </w:rPr>
        <w:t>إ</w:t>
      </w:r>
      <w:r w:rsidRPr="00904FCB">
        <w:rPr>
          <w:rFonts w:ascii="Tahoma" w:hAnsi="Tahoma"/>
          <w:sz w:val="27"/>
          <w:rtl/>
          <w:lang w:bidi="fa-IR"/>
        </w:rPr>
        <w:t>علام بمناقب ال</w:t>
      </w:r>
      <w:r w:rsidR="00E74F23" w:rsidRPr="00904FCB">
        <w:rPr>
          <w:rFonts w:ascii="Tahoma" w:hAnsi="Tahoma" w:hint="cs"/>
          <w:sz w:val="27"/>
          <w:rtl/>
          <w:lang w:bidi="fa-IR"/>
        </w:rPr>
        <w:t>إ</w:t>
      </w:r>
      <w:r w:rsidRPr="00904FCB">
        <w:rPr>
          <w:rFonts w:ascii="Tahoma" w:hAnsi="Tahoma"/>
          <w:sz w:val="27"/>
          <w:rtl/>
          <w:lang w:bidi="fa-IR"/>
        </w:rPr>
        <w:t>سلام»، فقد ت</w:t>
      </w:r>
      <w:r w:rsidR="00E74F23" w:rsidRPr="00904FCB">
        <w:rPr>
          <w:rFonts w:ascii="Tahoma" w:hAnsi="Tahoma" w:hint="cs"/>
          <w:sz w:val="27"/>
          <w:rtl/>
          <w:lang w:bidi="fa-IR"/>
        </w:rPr>
        <w:t>خ</w:t>
      </w:r>
      <w:r w:rsidRPr="00904FCB">
        <w:rPr>
          <w:rFonts w:ascii="Tahoma" w:hAnsi="Tahoma"/>
          <w:sz w:val="27"/>
          <w:rtl/>
          <w:lang w:bidi="fa-IR"/>
        </w:rPr>
        <w:t>ط</w:t>
      </w:r>
      <w:r w:rsidR="00E74F23" w:rsidRPr="00904FCB">
        <w:rPr>
          <w:rFonts w:ascii="Tahoma" w:hAnsi="Tahoma" w:hint="cs"/>
          <w:sz w:val="27"/>
          <w:rtl/>
          <w:lang w:bidi="fa-IR"/>
        </w:rPr>
        <w:t>ّى</w:t>
      </w:r>
      <w:r w:rsidRPr="00904FCB">
        <w:rPr>
          <w:rFonts w:ascii="Tahoma" w:hAnsi="Tahoma"/>
          <w:sz w:val="27"/>
          <w:rtl/>
          <w:lang w:bidi="fa-IR"/>
        </w:rPr>
        <w:t xml:space="preserve"> هذا المفك</w:t>
      </w:r>
      <w:r w:rsidR="00E74F23" w:rsidRPr="00904FCB">
        <w:rPr>
          <w:rFonts w:ascii="Tahoma" w:hAnsi="Tahoma" w:hint="cs"/>
          <w:sz w:val="27"/>
          <w:rtl/>
          <w:lang w:bidi="fa-IR"/>
        </w:rPr>
        <w:t>ِّ</w:t>
      </w:r>
      <w:r w:rsidRPr="00904FCB">
        <w:rPr>
          <w:rFonts w:ascii="Tahoma" w:hAnsi="Tahoma"/>
          <w:sz w:val="27"/>
          <w:rtl/>
          <w:lang w:bidi="fa-IR"/>
        </w:rPr>
        <w:t>ر ـ كما يقول صلاح الناهي ـ حدود علم الخلاف ما بين المذاهب ال</w:t>
      </w:r>
      <w:r w:rsidR="00E74F23" w:rsidRPr="00904FCB">
        <w:rPr>
          <w:rFonts w:ascii="Tahoma" w:hAnsi="Tahoma" w:hint="cs"/>
          <w:sz w:val="27"/>
          <w:rtl/>
          <w:lang w:bidi="fa-IR"/>
        </w:rPr>
        <w:t>إ</w:t>
      </w:r>
      <w:r w:rsidRPr="00904FCB">
        <w:rPr>
          <w:rFonts w:ascii="Tahoma" w:hAnsi="Tahoma"/>
          <w:sz w:val="27"/>
          <w:rtl/>
          <w:lang w:bidi="fa-IR"/>
        </w:rPr>
        <w:t>سلامية، إلى آفاق الموازنة بين الشرع ال</w:t>
      </w:r>
      <w:r w:rsidR="00E74F23" w:rsidRPr="00904FCB">
        <w:rPr>
          <w:rFonts w:ascii="Tahoma" w:hAnsi="Tahoma" w:hint="cs"/>
          <w:sz w:val="27"/>
          <w:rtl/>
          <w:lang w:bidi="fa-IR"/>
        </w:rPr>
        <w:t>إ</w:t>
      </w:r>
      <w:r w:rsidRPr="00904FCB">
        <w:rPr>
          <w:rFonts w:ascii="Tahoma" w:hAnsi="Tahoma"/>
          <w:sz w:val="27"/>
          <w:rtl/>
          <w:lang w:bidi="fa-IR"/>
        </w:rPr>
        <w:t>سلامي وبين شرائع بعض الأمم</w:t>
      </w:r>
      <w:r w:rsidR="00E74F23" w:rsidRPr="00904FCB">
        <w:rPr>
          <w:rFonts w:ascii="Tahoma" w:hAnsi="Tahoma" w:hint="cs"/>
          <w:sz w:val="27"/>
          <w:rtl/>
          <w:lang w:bidi="fa-IR"/>
        </w:rPr>
        <w:t>،</w:t>
      </w:r>
      <w:r w:rsidRPr="00904FCB">
        <w:rPr>
          <w:rFonts w:ascii="Tahoma" w:hAnsi="Tahoma"/>
          <w:sz w:val="27"/>
          <w:rtl/>
          <w:lang w:bidi="fa-IR"/>
        </w:rPr>
        <w:t xml:space="preserve"> من حيث الأسس والروح وبعض المبادئ العامة</w:t>
      </w:r>
      <w:r w:rsidR="00E74F23" w:rsidRPr="00904FCB">
        <w:rPr>
          <w:rFonts w:ascii="Tahoma" w:hAnsi="Tahoma" w:hint="cs"/>
          <w:sz w:val="27"/>
          <w:rtl/>
          <w:lang w:bidi="fa-IR"/>
        </w:rPr>
        <w:t>.</w:t>
      </w:r>
      <w:r w:rsidRPr="00904FCB">
        <w:rPr>
          <w:rFonts w:ascii="Tahoma" w:hAnsi="Tahoma"/>
          <w:sz w:val="27"/>
          <w:rtl/>
          <w:lang w:bidi="fa-IR"/>
        </w:rPr>
        <w:t xml:space="preserve"> ولعل السياسة الشرعية هي ال</w:t>
      </w:r>
      <w:r w:rsidR="00E74F23" w:rsidRPr="00904FCB">
        <w:rPr>
          <w:rFonts w:ascii="Tahoma" w:hAnsi="Tahoma" w:hint="cs"/>
          <w:sz w:val="27"/>
          <w:rtl/>
          <w:lang w:bidi="fa-IR"/>
        </w:rPr>
        <w:t>أ</w:t>
      </w:r>
      <w:r w:rsidRPr="00904FCB">
        <w:rPr>
          <w:rFonts w:ascii="Tahoma" w:hAnsi="Tahoma"/>
          <w:sz w:val="27"/>
          <w:rtl/>
          <w:lang w:bidi="fa-IR"/>
        </w:rPr>
        <w:t>رض المشتركة التي تتحرك عليها مباحث القانون المقارن بح</w:t>
      </w:r>
      <w:r w:rsidR="00DA684B">
        <w:rPr>
          <w:rFonts w:ascii="Tahoma" w:hAnsi="Tahoma" w:hint="cs"/>
          <w:sz w:val="27"/>
          <w:rtl/>
          <w:lang w:bidi="fa-IR"/>
        </w:rPr>
        <w:t>ُ</w:t>
      </w:r>
      <w:r w:rsidRPr="00904FCB">
        <w:rPr>
          <w:rFonts w:ascii="Tahoma" w:hAnsi="Tahoma"/>
          <w:sz w:val="27"/>
          <w:rtl/>
          <w:lang w:bidi="fa-IR"/>
        </w:rPr>
        <w:t>ر</w:t>
      </w:r>
      <w:r w:rsidR="00E74F23" w:rsidRPr="00904FCB">
        <w:rPr>
          <w:rFonts w:ascii="Tahoma" w:hAnsi="Tahoma" w:hint="cs"/>
          <w:sz w:val="27"/>
          <w:rtl/>
          <w:lang w:bidi="fa-IR"/>
        </w:rPr>
        <w:t>ّ</w:t>
      </w:r>
      <w:r w:rsidR="00DA684B">
        <w:rPr>
          <w:rFonts w:ascii="Tahoma" w:hAnsi="Tahoma" w:hint="cs"/>
          <w:sz w:val="27"/>
          <w:rtl/>
          <w:lang w:bidi="fa-IR"/>
        </w:rPr>
        <w:t>ِ</w:t>
      </w:r>
      <w:r w:rsidRPr="00904FCB">
        <w:rPr>
          <w:rFonts w:ascii="Tahoma" w:hAnsi="Tahoma"/>
          <w:sz w:val="27"/>
          <w:rtl/>
          <w:lang w:bidi="fa-IR"/>
        </w:rPr>
        <w:t>ية علمي</w:t>
      </w:r>
      <w:r w:rsidR="00DA684B">
        <w:rPr>
          <w:rFonts w:ascii="Tahoma" w:hAnsi="Tahoma" w:hint="cs"/>
          <w:sz w:val="27"/>
          <w:rtl/>
          <w:lang w:bidi="fa-IR"/>
        </w:rPr>
        <w:t>ّ</w:t>
      </w:r>
      <w:r w:rsidRPr="00904FCB">
        <w:rPr>
          <w:rFonts w:ascii="Tahoma" w:hAnsi="Tahoma"/>
          <w:sz w:val="27"/>
          <w:rtl/>
          <w:lang w:bidi="fa-IR"/>
        </w:rPr>
        <w:t>ة</w:t>
      </w:r>
      <w:r w:rsidR="00E74F23" w:rsidRPr="00904FCB">
        <w:rPr>
          <w:rFonts w:ascii="Tahoma" w:hAnsi="Tahoma" w:hint="cs"/>
          <w:sz w:val="27"/>
          <w:rtl/>
          <w:lang w:bidi="fa-IR"/>
        </w:rPr>
        <w:t>،</w:t>
      </w:r>
      <w:r w:rsidRPr="00904FCB">
        <w:rPr>
          <w:rFonts w:ascii="Tahoma" w:hAnsi="Tahoma"/>
          <w:sz w:val="27"/>
          <w:rtl/>
          <w:lang w:bidi="fa-IR"/>
        </w:rPr>
        <w:t xml:space="preserve"> ترسم المقاصد الشرعية حدودها وضوابطها. </w:t>
      </w:r>
    </w:p>
    <w:p w:rsidR="00E83C22" w:rsidRPr="00904FCB" w:rsidRDefault="00644408" w:rsidP="007A21AA">
      <w:pPr>
        <w:spacing w:line="400" w:lineRule="exact"/>
        <w:rPr>
          <w:rtl/>
          <w:lang w:bidi="fa-IR"/>
        </w:rPr>
      </w:pPr>
      <w:r w:rsidRPr="00904FCB">
        <w:rPr>
          <w:rtl/>
          <w:lang w:bidi="fa-IR"/>
        </w:rPr>
        <w:t>وتعتبر الدارسة العميقة لنظرية التعس</w:t>
      </w:r>
      <w:r w:rsidR="00E74F23" w:rsidRPr="00904FCB">
        <w:rPr>
          <w:rFonts w:hint="cs"/>
          <w:rtl/>
          <w:lang w:bidi="fa-IR"/>
        </w:rPr>
        <w:t>ُّ</w:t>
      </w:r>
      <w:r w:rsidRPr="00904FCB">
        <w:rPr>
          <w:rtl/>
          <w:lang w:bidi="fa-IR"/>
        </w:rPr>
        <w:t>ف في استعمال الحق</w:t>
      </w:r>
      <w:r w:rsidR="00E74F23" w:rsidRPr="00904FCB">
        <w:rPr>
          <w:rFonts w:hint="cs"/>
          <w:rtl/>
          <w:lang w:bidi="fa-IR"/>
        </w:rPr>
        <w:t>ّ</w:t>
      </w:r>
      <w:r w:rsidRPr="00904FCB">
        <w:rPr>
          <w:rtl/>
          <w:lang w:bidi="fa-IR"/>
        </w:rPr>
        <w:t xml:space="preserve"> مدخلا</w:t>
      </w:r>
      <w:r w:rsidR="00E74F23" w:rsidRPr="00904FCB">
        <w:rPr>
          <w:rFonts w:hint="cs"/>
          <w:rtl/>
          <w:lang w:bidi="fa-IR"/>
        </w:rPr>
        <w:t>ً</w:t>
      </w:r>
      <w:r w:rsidRPr="00904FCB">
        <w:rPr>
          <w:rtl/>
          <w:lang w:bidi="fa-IR"/>
        </w:rPr>
        <w:t xml:space="preserve"> تطبيقيا</w:t>
      </w:r>
      <w:r w:rsidR="00E74F23" w:rsidRPr="00904FCB">
        <w:rPr>
          <w:rFonts w:hint="cs"/>
          <w:rtl/>
          <w:lang w:bidi="fa-IR"/>
        </w:rPr>
        <w:t>ً</w:t>
      </w:r>
      <w:r w:rsidRPr="00904FCB">
        <w:rPr>
          <w:rtl/>
          <w:lang w:bidi="fa-IR"/>
        </w:rPr>
        <w:t xml:space="preserve"> عمليا</w:t>
      </w:r>
      <w:r w:rsidR="00E74F23" w:rsidRPr="00904FCB">
        <w:rPr>
          <w:rFonts w:hint="cs"/>
          <w:rtl/>
          <w:lang w:bidi="fa-IR"/>
        </w:rPr>
        <w:t>ً</w:t>
      </w:r>
      <w:r w:rsidRPr="00904FCB">
        <w:rPr>
          <w:rtl/>
          <w:lang w:bidi="fa-IR"/>
        </w:rPr>
        <w:t xml:space="preserve"> على العلاقة الوثيقة بين المقاصد الشرعية، وعلم القانون المقارن</w:t>
      </w:r>
      <w:r w:rsidR="00E74F23" w:rsidRPr="00904FCB">
        <w:rPr>
          <w:rFonts w:hint="cs"/>
          <w:rtl/>
          <w:lang w:bidi="fa-IR"/>
        </w:rPr>
        <w:t>.</w:t>
      </w:r>
      <w:r w:rsidRPr="00904FCB">
        <w:rPr>
          <w:rtl/>
          <w:lang w:bidi="fa-IR"/>
        </w:rPr>
        <w:t xml:space="preserve"> فالنظرية في جانبها المعنوي تقوم على حديث</w:t>
      </w:r>
      <w:r w:rsidR="00E74F23" w:rsidRPr="00904FCB">
        <w:rPr>
          <w:rFonts w:hint="cs"/>
          <w:rtl/>
          <w:lang w:bidi="fa-IR"/>
        </w:rPr>
        <w:t>:</w:t>
      </w:r>
      <w:r w:rsidRPr="00904FCB">
        <w:rPr>
          <w:rtl/>
          <w:lang w:bidi="fa-IR"/>
        </w:rPr>
        <w:t xml:space="preserve"> «إنما الأعمال بالنيات»، وفي جانبها الماد</w:t>
      </w:r>
      <w:r w:rsidR="00E74F23" w:rsidRPr="00904FCB">
        <w:rPr>
          <w:rFonts w:hint="cs"/>
          <w:rtl/>
          <w:lang w:bidi="fa-IR"/>
        </w:rPr>
        <w:t>ّ</w:t>
      </w:r>
      <w:r w:rsidRPr="00904FCB">
        <w:rPr>
          <w:rtl/>
          <w:lang w:bidi="fa-IR"/>
        </w:rPr>
        <w:t>ي على حديث</w:t>
      </w:r>
      <w:r w:rsidR="00E74F23" w:rsidRPr="00904FCB">
        <w:rPr>
          <w:rFonts w:hint="cs"/>
          <w:rtl/>
          <w:lang w:bidi="fa-IR"/>
        </w:rPr>
        <w:t>:</w:t>
      </w:r>
      <w:r w:rsidRPr="00904FCB">
        <w:rPr>
          <w:rtl/>
          <w:lang w:bidi="fa-IR"/>
        </w:rPr>
        <w:t xml:space="preserve"> «لا</w:t>
      </w:r>
      <w:r w:rsidR="00E74F23" w:rsidRPr="00904FCB">
        <w:rPr>
          <w:rFonts w:hint="cs"/>
          <w:rtl/>
          <w:lang w:bidi="fa-IR"/>
        </w:rPr>
        <w:t xml:space="preserve"> </w:t>
      </w:r>
      <w:r w:rsidRPr="00904FCB">
        <w:rPr>
          <w:rtl/>
          <w:lang w:bidi="fa-IR"/>
        </w:rPr>
        <w:t>ضرر</w:t>
      </w:r>
      <w:r w:rsidR="00DA684B">
        <w:rPr>
          <w:rFonts w:hint="cs"/>
          <w:rtl/>
          <w:lang w:bidi="fa-IR"/>
        </w:rPr>
        <w:t>،</w:t>
      </w:r>
      <w:r w:rsidRPr="00904FCB">
        <w:rPr>
          <w:rtl/>
          <w:lang w:bidi="fa-IR"/>
        </w:rPr>
        <w:t xml:space="preserve"> ولا ضرار»</w:t>
      </w:r>
      <w:r w:rsidR="00E74F23" w:rsidRPr="00904FCB">
        <w:rPr>
          <w:rFonts w:hint="cs"/>
          <w:rtl/>
          <w:lang w:bidi="fa-IR"/>
        </w:rPr>
        <w:t>.</w:t>
      </w:r>
      <w:r w:rsidRPr="00904FCB">
        <w:rPr>
          <w:rtl/>
          <w:lang w:bidi="fa-IR"/>
        </w:rPr>
        <w:t xml:space="preserve"> وهذه النظرية</w:t>
      </w:r>
      <w:r w:rsidR="00E74F23" w:rsidRPr="00904FCB">
        <w:rPr>
          <w:rFonts w:hint="cs"/>
          <w:rtl/>
          <w:lang w:bidi="fa-IR"/>
        </w:rPr>
        <w:t>؛</w:t>
      </w:r>
      <w:r w:rsidRPr="00904FCB">
        <w:rPr>
          <w:rtl/>
          <w:lang w:bidi="fa-IR"/>
        </w:rPr>
        <w:t xml:space="preserve"> بات</w:t>
      </w:r>
      <w:r w:rsidR="00E74F23" w:rsidRPr="00904FCB">
        <w:rPr>
          <w:rFonts w:hint="cs"/>
          <w:rtl/>
          <w:lang w:bidi="fa-IR"/>
        </w:rPr>
        <w:t>ّ</w:t>
      </w:r>
      <w:r w:rsidRPr="00904FCB">
        <w:rPr>
          <w:rtl/>
          <w:lang w:bidi="fa-IR"/>
        </w:rPr>
        <w:t>ساع مباحثها، وشمولها آفاقها، لا يملك الدارس للقانون المقارن حيالها إلا</w:t>
      </w:r>
      <w:r w:rsidR="00E74F23" w:rsidRPr="00904FCB">
        <w:rPr>
          <w:rFonts w:hint="cs"/>
          <w:rtl/>
          <w:lang w:bidi="fa-IR"/>
        </w:rPr>
        <w:t>ّ</w:t>
      </w:r>
      <w:r w:rsidRPr="00904FCB">
        <w:rPr>
          <w:rtl/>
          <w:lang w:bidi="fa-IR"/>
        </w:rPr>
        <w:t xml:space="preserve"> الاعتراف بأن</w:t>
      </w:r>
      <w:r w:rsidR="00E74F23" w:rsidRPr="00904FCB">
        <w:rPr>
          <w:rFonts w:hint="cs"/>
          <w:rtl/>
          <w:lang w:bidi="fa-IR"/>
        </w:rPr>
        <w:t>ّ</w:t>
      </w:r>
      <w:r w:rsidRPr="00904FCB">
        <w:rPr>
          <w:rtl/>
          <w:lang w:bidi="fa-IR"/>
        </w:rPr>
        <w:t xml:space="preserve"> مثل هذه النظريات العامة في القانون لا سبيل إلى رفع قواعدها وإرساء بنيانها إلا</w:t>
      </w:r>
      <w:r w:rsidR="00E74F23" w:rsidRPr="00904FCB">
        <w:rPr>
          <w:rFonts w:hint="cs"/>
          <w:rtl/>
          <w:lang w:bidi="fa-IR"/>
        </w:rPr>
        <w:t>ّ</w:t>
      </w:r>
      <w:r w:rsidRPr="00904FCB">
        <w:rPr>
          <w:rtl/>
          <w:lang w:bidi="fa-IR"/>
        </w:rPr>
        <w:t xml:space="preserve"> من خلال المنهجية المقاصدي</w:t>
      </w:r>
      <w:r w:rsidRPr="00904FCB">
        <w:rPr>
          <w:rFonts w:hint="cs"/>
          <w:rtl/>
          <w:lang w:bidi="fa-IR"/>
        </w:rPr>
        <w:t>ة.</w:t>
      </w:r>
    </w:p>
    <w:p w:rsidR="00E83C22" w:rsidRPr="00904FCB" w:rsidRDefault="00E83C2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64"/>
          <w:headerReference w:type="default" r:id="rId65"/>
          <w:footerReference w:type="even" r:id="rId66"/>
          <w:footerReference w:type="defaul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68"/>
          <w:headerReference w:type="default" r:id="rId69"/>
          <w:footerReference w:type="even" r:id="rId70"/>
          <w:foot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AF14A9" w:rsidP="008D5CB3">
      <w:pPr>
        <w:pStyle w:val="10"/>
        <w:spacing w:line="240" w:lineRule="auto"/>
        <w:rPr>
          <w:rtl/>
        </w:rPr>
      </w:pPr>
      <w:bookmarkStart w:id="21" w:name="_Toc435577183"/>
      <w:r w:rsidRPr="00904FCB">
        <w:rPr>
          <w:rFonts w:hint="cs"/>
          <w:rtl/>
        </w:rPr>
        <w:t>رسالة عدم سهو النبيّ</w:t>
      </w:r>
      <w:r w:rsidR="00635E51" w:rsidRPr="008C16BF">
        <w:rPr>
          <w:rFonts w:cs="Mosawi" w:hint="cs"/>
          <w:b w:val="0"/>
          <w:bCs/>
          <w:sz w:val="30"/>
          <w:szCs w:val="30"/>
          <w:rtl/>
        </w:rPr>
        <w:t>|</w:t>
      </w:r>
      <w:r w:rsidRPr="00904FCB">
        <w:rPr>
          <w:rFonts w:hint="cs"/>
          <w:rtl/>
        </w:rPr>
        <w:t>، للشيخ المفيد</w:t>
      </w:r>
      <w:bookmarkEnd w:id="21"/>
    </w:p>
    <w:p w:rsidR="00E83C22" w:rsidRPr="00904FCB" w:rsidRDefault="00AF14A9" w:rsidP="008D5CB3">
      <w:pPr>
        <w:pStyle w:val="10"/>
        <w:spacing w:line="240" w:lineRule="auto"/>
        <w:rPr>
          <w:sz w:val="26"/>
          <w:szCs w:val="42"/>
          <w:rtl/>
        </w:rPr>
      </w:pPr>
      <w:bookmarkStart w:id="22" w:name="_Toc435577184"/>
      <w:r w:rsidRPr="00904FCB">
        <w:rPr>
          <w:rFonts w:hint="cs"/>
          <w:sz w:val="26"/>
          <w:szCs w:val="42"/>
          <w:rtl/>
        </w:rPr>
        <w:t>قراءةٌ وتحليل</w:t>
      </w:r>
      <w:bookmarkEnd w:id="22"/>
    </w:p>
    <w:p w:rsidR="00E83C22" w:rsidRPr="00904FCB" w:rsidRDefault="00E83C22" w:rsidP="007A21AA">
      <w:pPr>
        <w:spacing w:line="400" w:lineRule="exact"/>
        <w:rPr>
          <w:rtl/>
        </w:rPr>
      </w:pPr>
    </w:p>
    <w:p w:rsidR="00E83C22" w:rsidRPr="00904FCB" w:rsidRDefault="00CA1FED" w:rsidP="007A21AA">
      <w:pPr>
        <w:pStyle w:val="Author"/>
        <w:spacing w:line="400" w:lineRule="exact"/>
        <w:rPr>
          <w:rtl/>
        </w:rPr>
      </w:pPr>
      <w:bookmarkStart w:id="23" w:name="_Toc435577185"/>
      <w:r w:rsidRPr="00904FCB">
        <w:rPr>
          <w:rFonts w:hint="cs"/>
          <w:rtl/>
        </w:rPr>
        <w:t xml:space="preserve">الشيخ </w:t>
      </w:r>
      <w:r w:rsidR="00E74F23" w:rsidRPr="00904FCB">
        <w:rPr>
          <w:rFonts w:hint="cs"/>
          <w:rtl/>
        </w:rPr>
        <w:t>عمّ</w:t>
      </w:r>
      <w:r w:rsidR="00AF14A9" w:rsidRPr="00904FCB">
        <w:rPr>
          <w:rFonts w:hint="cs"/>
          <w:rtl/>
        </w:rPr>
        <w:t>ار عبد الأمير الفهداوي</w:t>
      </w:r>
      <w:r w:rsidR="00527634" w:rsidRPr="00904FCB">
        <w:rPr>
          <w:rFonts w:cs="Taher" w:hint="cs"/>
          <w:vertAlign w:val="superscript"/>
          <w:rtl/>
        </w:rPr>
        <w:t>(</w:t>
      </w:r>
      <w:r w:rsidR="00527634" w:rsidRPr="00904FCB">
        <w:rPr>
          <w:rFonts w:cs="Taher"/>
          <w:vertAlign w:val="superscript"/>
          <w:rtl/>
        </w:rPr>
        <w:footnoteReference w:customMarkFollows="1" w:id="7"/>
        <w:t>*)</w:t>
      </w:r>
      <w:bookmarkEnd w:id="23"/>
    </w:p>
    <w:p w:rsidR="00E83C22" w:rsidRPr="00904FCB" w:rsidRDefault="00E83C22" w:rsidP="007A21AA">
      <w:pPr>
        <w:spacing w:line="400" w:lineRule="exact"/>
        <w:rPr>
          <w:rtl/>
        </w:rPr>
      </w:pPr>
    </w:p>
    <w:p w:rsidR="00644408" w:rsidRPr="00904FCB" w:rsidRDefault="00644408" w:rsidP="007A21AA">
      <w:pPr>
        <w:pStyle w:val="31"/>
        <w:spacing w:line="400" w:lineRule="exact"/>
        <w:rPr>
          <w:color w:val="auto"/>
          <w:rtl/>
        </w:rPr>
      </w:pPr>
      <w:r w:rsidRPr="008C16BF">
        <w:rPr>
          <w:rFonts w:hint="cs"/>
          <w:color w:val="auto"/>
          <w:rtl/>
        </w:rPr>
        <w:t>1ـ نسبة</w:t>
      </w:r>
      <w:r w:rsidRPr="00904FCB">
        <w:rPr>
          <w:rFonts w:hint="cs"/>
          <w:color w:val="auto"/>
          <w:rtl/>
        </w:rPr>
        <w:t xml:space="preserve"> الرسالة إلى المفيد </w:t>
      </w:r>
    </w:p>
    <w:p w:rsidR="00644408" w:rsidRPr="00904FCB" w:rsidRDefault="00CA1FED" w:rsidP="00AD3664">
      <w:pPr>
        <w:spacing w:line="420" w:lineRule="exact"/>
        <w:ind w:firstLine="561"/>
        <w:rPr>
          <w:sz w:val="27"/>
          <w:rtl/>
        </w:rPr>
      </w:pPr>
      <w:r w:rsidRPr="00904FCB">
        <w:rPr>
          <w:rFonts w:hint="cs"/>
          <w:sz w:val="27"/>
          <w:rtl/>
        </w:rPr>
        <w:t>لا بأس ـ بدايةً ـ</w:t>
      </w:r>
      <w:r w:rsidR="00644408" w:rsidRPr="00904FCB">
        <w:rPr>
          <w:rFonts w:hint="cs"/>
          <w:sz w:val="27"/>
          <w:rtl/>
        </w:rPr>
        <w:t xml:space="preserve"> من الإشارة إلى بعض الأقوال في المقام: </w:t>
      </w:r>
    </w:p>
    <w:p w:rsidR="00644408" w:rsidRPr="00904FCB" w:rsidRDefault="00644408" w:rsidP="008D5CB3">
      <w:pPr>
        <w:spacing w:line="420" w:lineRule="exact"/>
        <w:rPr>
          <w:sz w:val="27"/>
          <w:rtl/>
        </w:rPr>
      </w:pPr>
      <w:r w:rsidRPr="00DB1447">
        <w:rPr>
          <w:rFonts w:hint="cs"/>
          <w:sz w:val="27"/>
          <w:rtl/>
        </w:rPr>
        <w:t>1</w:t>
      </w:r>
      <w:r w:rsidR="00AD3664" w:rsidRPr="00DB1447">
        <w:rPr>
          <w:rFonts w:hint="cs"/>
          <w:sz w:val="27"/>
          <w:rtl/>
        </w:rPr>
        <w:t>ـ قال</w:t>
      </w:r>
      <w:r w:rsidR="00AD3664">
        <w:rPr>
          <w:rFonts w:hint="cs"/>
          <w:sz w:val="27"/>
          <w:rtl/>
        </w:rPr>
        <w:t xml:space="preserve"> علي بن محم</w:t>
      </w:r>
      <w:r w:rsidRPr="00904FCB">
        <w:rPr>
          <w:rFonts w:hint="cs"/>
          <w:sz w:val="27"/>
          <w:rtl/>
        </w:rPr>
        <w:t>د بن الحسن بن زين الدين الجبعيّ العامليّ(</w:t>
      </w:r>
      <w:r w:rsidRPr="006333E0">
        <w:rPr>
          <w:rFonts w:cs="Ya-Ali" w:hint="cs"/>
          <w:sz w:val="27"/>
          <w:rtl/>
        </w:rPr>
        <w:t>1103</w:t>
      </w:r>
      <w:r w:rsidRPr="00904FCB">
        <w:rPr>
          <w:rFonts w:hint="cs"/>
          <w:sz w:val="27"/>
          <w:rtl/>
        </w:rPr>
        <w:t>هـ): واعلم أنّه وقع في يدي كتاب فيه عدّة رسائل للشيخ المفيد، وبعضها للسيّد المرتضى</w:t>
      </w:r>
      <w:r w:rsidR="00E74F23" w:rsidRPr="00904FCB">
        <w:rPr>
          <w:rFonts w:hint="cs"/>
          <w:sz w:val="27"/>
          <w:rtl/>
        </w:rPr>
        <w:t>،</w:t>
      </w:r>
      <w:r w:rsidRPr="00904FCB">
        <w:rPr>
          <w:rFonts w:hint="cs"/>
          <w:sz w:val="27"/>
          <w:rtl/>
        </w:rPr>
        <w:t xml:space="preserve"> رضي الله عنهما</w:t>
      </w:r>
      <w:r w:rsidR="00E74F23" w:rsidRPr="00904FCB">
        <w:rPr>
          <w:rFonts w:hint="cs"/>
          <w:sz w:val="27"/>
          <w:rtl/>
        </w:rPr>
        <w:t>.</w:t>
      </w:r>
      <w:r w:rsidRPr="00904FCB">
        <w:rPr>
          <w:rFonts w:hint="cs"/>
          <w:sz w:val="27"/>
          <w:rtl/>
        </w:rPr>
        <w:t xml:space="preserve"> ومن الجملة رسالتان: </w:t>
      </w:r>
      <w:r w:rsidR="00E74F23" w:rsidRPr="00904FCB">
        <w:rPr>
          <w:rFonts w:hint="cs"/>
          <w:b/>
          <w:bCs/>
          <w:sz w:val="27"/>
          <w:rtl/>
        </w:rPr>
        <w:t>إ</w:t>
      </w:r>
      <w:r w:rsidRPr="00904FCB">
        <w:rPr>
          <w:rFonts w:hint="cs"/>
          <w:b/>
          <w:bCs/>
          <w:sz w:val="27"/>
          <w:rtl/>
        </w:rPr>
        <w:t>حد</w:t>
      </w:r>
      <w:r w:rsidR="00E74F23" w:rsidRPr="00904FCB">
        <w:rPr>
          <w:rFonts w:hint="cs"/>
          <w:b/>
          <w:bCs/>
          <w:sz w:val="27"/>
          <w:rtl/>
        </w:rPr>
        <w:t>ا</w:t>
      </w:r>
      <w:r w:rsidRPr="00904FCB">
        <w:rPr>
          <w:rFonts w:hint="cs"/>
          <w:b/>
          <w:bCs/>
          <w:sz w:val="27"/>
          <w:rtl/>
        </w:rPr>
        <w:t>هما</w:t>
      </w:r>
      <w:r w:rsidR="00E74F23" w:rsidRPr="00904FCB">
        <w:rPr>
          <w:rFonts w:hint="cs"/>
          <w:sz w:val="27"/>
          <w:rtl/>
        </w:rPr>
        <w:t>:</w:t>
      </w:r>
      <w:r w:rsidRPr="00904FCB">
        <w:rPr>
          <w:rFonts w:hint="cs"/>
          <w:sz w:val="27"/>
          <w:rtl/>
        </w:rPr>
        <w:t xml:space="preserve"> في الردّ على الصدوق في قوله</w:t>
      </w:r>
      <w:r w:rsidR="00E74F23" w:rsidRPr="00904FCB">
        <w:rPr>
          <w:rFonts w:hint="cs"/>
          <w:sz w:val="27"/>
          <w:rtl/>
        </w:rPr>
        <w:t>:</w:t>
      </w:r>
      <w:r w:rsidRPr="00904FCB">
        <w:rPr>
          <w:rFonts w:hint="cs"/>
          <w:sz w:val="27"/>
          <w:rtl/>
        </w:rPr>
        <w:t xml:space="preserve"> </w:t>
      </w:r>
      <w:r w:rsidR="00E74F23" w:rsidRPr="00904FCB">
        <w:rPr>
          <w:rFonts w:hint="cs"/>
          <w:sz w:val="27"/>
          <w:rtl/>
        </w:rPr>
        <w:t>إ</w:t>
      </w:r>
      <w:r w:rsidRPr="00904FCB">
        <w:rPr>
          <w:rFonts w:hint="cs"/>
          <w:sz w:val="27"/>
          <w:rtl/>
        </w:rPr>
        <w:t>نّ شهر رمضان لا ينقص</w:t>
      </w:r>
      <w:r w:rsidR="00E74F23" w:rsidRPr="00904FCB">
        <w:rPr>
          <w:rFonts w:hint="cs"/>
          <w:sz w:val="27"/>
          <w:rtl/>
        </w:rPr>
        <w:t>.</w:t>
      </w:r>
      <w:r w:rsidRPr="00904FCB">
        <w:rPr>
          <w:rFonts w:hint="cs"/>
          <w:sz w:val="27"/>
          <w:rtl/>
        </w:rPr>
        <w:t xml:space="preserve"> وهذه للمفيد من غير شبهة</w:t>
      </w:r>
      <w:r w:rsidR="00E74F23" w:rsidRPr="00904FCB">
        <w:rPr>
          <w:rFonts w:hint="cs"/>
          <w:sz w:val="27"/>
          <w:rtl/>
        </w:rPr>
        <w:t>ٍ</w:t>
      </w:r>
      <w:r w:rsidRPr="00904FCB">
        <w:rPr>
          <w:rFonts w:hint="cs"/>
          <w:sz w:val="27"/>
          <w:rtl/>
        </w:rPr>
        <w:t>؛ لأنّها مشحونة بقرائن تدل على أنّها له</w:t>
      </w:r>
      <w:r w:rsidR="00E74F23" w:rsidRPr="00904FCB">
        <w:rPr>
          <w:rFonts w:hint="cs"/>
          <w:sz w:val="27"/>
          <w:rtl/>
        </w:rPr>
        <w:t>؛</w:t>
      </w:r>
      <w:r w:rsidRPr="00904FCB">
        <w:rPr>
          <w:rFonts w:hint="cs"/>
          <w:sz w:val="27"/>
          <w:rtl/>
        </w:rPr>
        <w:t xml:space="preserve"> </w:t>
      </w:r>
      <w:r w:rsidRPr="00904FCB">
        <w:rPr>
          <w:rFonts w:hint="cs"/>
          <w:b/>
          <w:bCs/>
          <w:sz w:val="27"/>
          <w:rtl/>
        </w:rPr>
        <w:t>والثانية</w:t>
      </w:r>
      <w:r w:rsidR="00E74F23" w:rsidRPr="00904FCB">
        <w:rPr>
          <w:rFonts w:hint="cs"/>
          <w:sz w:val="27"/>
          <w:rtl/>
        </w:rPr>
        <w:t>:</w:t>
      </w:r>
      <w:r w:rsidRPr="00904FCB">
        <w:rPr>
          <w:rFonts w:hint="cs"/>
          <w:sz w:val="27"/>
          <w:rtl/>
        </w:rPr>
        <w:t xml:space="preserve"> محتملة لأن تكون له وللسيّد، وهي تتضمّ</w:t>
      </w:r>
      <w:r w:rsidR="00E74F23" w:rsidRPr="00904FCB">
        <w:rPr>
          <w:rFonts w:hint="cs"/>
          <w:sz w:val="27"/>
          <w:rtl/>
        </w:rPr>
        <w:t>َ</w:t>
      </w:r>
      <w:r w:rsidRPr="00904FCB">
        <w:rPr>
          <w:rFonts w:hint="cs"/>
          <w:sz w:val="27"/>
          <w:rtl/>
        </w:rPr>
        <w:t>ن الردّ عليه في القول بسهوّ النبي</w:t>
      </w:r>
      <w:r w:rsidR="00E74F23" w:rsidRPr="00904FCB">
        <w:rPr>
          <w:rFonts w:hint="cs"/>
          <w:sz w:val="27"/>
          <w:rtl/>
        </w:rPr>
        <w:t>ّ</w:t>
      </w:r>
      <w:r w:rsidR="001C1A2A" w:rsidRPr="00904FCB">
        <w:rPr>
          <w:rFonts w:cs="Mosawi" w:hint="cs"/>
          <w:sz w:val="27"/>
          <w:szCs w:val="22"/>
          <w:rtl/>
        </w:rPr>
        <w:t>×</w:t>
      </w:r>
      <w:r w:rsidRPr="00904FCB">
        <w:rPr>
          <w:rFonts w:hint="cs"/>
          <w:sz w:val="27"/>
          <w:rtl/>
        </w:rPr>
        <w:t>، ولكن</w:t>
      </w:r>
      <w:r w:rsidR="00E74F23" w:rsidRPr="00904FCB">
        <w:rPr>
          <w:rFonts w:hint="cs"/>
          <w:sz w:val="27"/>
          <w:rtl/>
        </w:rPr>
        <w:t>ْ</w:t>
      </w:r>
      <w:r w:rsidRPr="00904FCB">
        <w:rPr>
          <w:rFonts w:hint="cs"/>
          <w:sz w:val="27"/>
          <w:rtl/>
        </w:rPr>
        <w:t xml:space="preserve"> من حيث زيادة التشنيع فيها يبعد كونها له</w:t>
      </w:r>
      <w:r w:rsidR="00E74F23" w:rsidRPr="00904FCB">
        <w:rPr>
          <w:rFonts w:hint="cs"/>
          <w:sz w:val="27"/>
          <w:rtl/>
        </w:rPr>
        <w:t>؛</w:t>
      </w:r>
      <w:r w:rsidRPr="00904FCB">
        <w:rPr>
          <w:rFonts w:hint="cs"/>
          <w:sz w:val="27"/>
          <w:rtl/>
        </w:rPr>
        <w:t xml:space="preserve"> من حيث كونه يروي عنه</w:t>
      </w:r>
      <w:r w:rsidR="00E74F23" w:rsidRPr="00904FCB">
        <w:rPr>
          <w:rFonts w:hint="cs"/>
          <w:sz w:val="27"/>
          <w:rtl/>
        </w:rPr>
        <w:t xml:space="preserve">، </w:t>
      </w:r>
      <w:r w:rsidRPr="00904FCB">
        <w:rPr>
          <w:rFonts w:hint="cs"/>
          <w:sz w:val="27"/>
          <w:rtl/>
        </w:rPr>
        <w:t>اللهم</w:t>
      </w:r>
      <w:r w:rsidR="00AF14A9" w:rsidRPr="00904FCB">
        <w:rPr>
          <w:rFonts w:hint="cs"/>
          <w:sz w:val="27"/>
          <w:rtl/>
        </w:rPr>
        <w:t>ّ</w:t>
      </w:r>
      <w:r w:rsidRPr="00904FCB">
        <w:rPr>
          <w:rFonts w:hint="cs"/>
          <w:sz w:val="27"/>
          <w:rtl/>
        </w:rPr>
        <w:t xml:space="preserve"> إلا</w:t>
      </w:r>
      <w:r w:rsidR="00E74F23" w:rsidRPr="00904FCB">
        <w:rPr>
          <w:rFonts w:hint="cs"/>
          <w:sz w:val="27"/>
          <w:rtl/>
        </w:rPr>
        <w:t>ّ</w:t>
      </w:r>
      <w:r w:rsidRPr="00904FCB">
        <w:rPr>
          <w:rFonts w:hint="cs"/>
          <w:sz w:val="27"/>
          <w:rtl/>
        </w:rPr>
        <w:t xml:space="preserve"> أن يكون كلام الصدوق اقتضى المقام مقابلته بمثل ذلك. </w:t>
      </w:r>
    </w:p>
    <w:p w:rsidR="00644408" w:rsidRPr="00904FCB" w:rsidRDefault="00644408" w:rsidP="00AD3664">
      <w:pPr>
        <w:spacing w:line="420" w:lineRule="exact"/>
        <w:ind w:firstLine="561"/>
        <w:rPr>
          <w:sz w:val="27"/>
          <w:rtl/>
        </w:rPr>
      </w:pPr>
      <w:r w:rsidRPr="00904FCB">
        <w:rPr>
          <w:rFonts w:hint="cs"/>
          <w:sz w:val="27"/>
          <w:rtl/>
        </w:rPr>
        <w:t>وبالجملة هي لأحدهما</w:t>
      </w:r>
      <w:r w:rsidR="00E74F23" w:rsidRPr="00904FCB">
        <w:rPr>
          <w:rFonts w:hint="cs"/>
          <w:sz w:val="27"/>
          <w:rtl/>
        </w:rPr>
        <w:t>.</w:t>
      </w:r>
      <w:r w:rsidRPr="00904FCB">
        <w:rPr>
          <w:rFonts w:hint="cs"/>
          <w:sz w:val="27"/>
          <w:rtl/>
        </w:rPr>
        <w:t xml:space="preserve"> وم</w:t>
      </w:r>
      <w:r w:rsidR="00E74F23" w:rsidRPr="00904FCB">
        <w:rPr>
          <w:rFonts w:hint="cs"/>
          <w:sz w:val="27"/>
          <w:rtl/>
        </w:rPr>
        <w:t>َ</w:t>
      </w:r>
      <w:r w:rsidRPr="00904FCB">
        <w:rPr>
          <w:rFonts w:hint="cs"/>
          <w:sz w:val="27"/>
          <w:rtl/>
        </w:rPr>
        <w:t>ن</w:t>
      </w:r>
      <w:r w:rsidR="00E74F23" w:rsidRPr="00904FCB">
        <w:rPr>
          <w:rFonts w:hint="cs"/>
          <w:sz w:val="27"/>
          <w:rtl/>
        </w:rPr>
        <w:t>ْ</w:t>
      </w:r>
      <w:r w:rsidRPr="00904FCB">
        <w:rPr>
          <w:rFonts w:hint="cs"/>
          <w:sz w:val="27"/>
          <w:rtl/>
        </w:rPr>
        <w:t xml:space="preserve"> تتب</w:t>
      </w:r>
      <w:r w:rsidR="00E74F23" w:rsidRPr="00904FCB">
        <w:rPr>
          <w:rFonts w:hint="cs"/>
          <w:sz w:val="27"/>
          <w:rtl/>
        </w:rPr>
        <w:t>َّ</w:t>
      </w:r>
      <w:r w:rsidRPr="00904FCB">
        <w:rPr>
          <w:rFonts w:hint="cs"/>
          <w:sz w:val="27"/>
          <w:rtl/>
        </w:rPr>
        <w:t>ع رسائل المفيد ومصن</w:t>
      </w:r>
      <w:r w:rsidR="00E74F23" w:rsidRPr="00904FCB">
        <w:rPr>
          <w:rFonts w:hint="cs"/>
          <w:sz w:val="27"/>
          <w:rtl/>
        </w:rPr>
        <w:t>َّ</w:t>
      </w:r>
      <w:r w:rsidRPr="00904FCB">
        <w:rPr>
          <w:rFonts w:hint="cs"/>
          <w:sz w:val="27"/>
          <w:rtl/>
        </w:rPr>
        <w:t xml:space="preserve">فاته رأى فيها كثرة الفصول، كما هنا، مع قرينة كونه من مشايخ السائل في الجملة. </w:t>
      </w:r>
    </w:p>
    <w:p w:rsidR="00644408" w:rsidRPr="00904FCB" w:rsidRDefault="00644408" w:rsidP="00AD3664">
      <w:pPr>
        <w:spacing w:line="420" w:lineRule="exact"/>
        <w:ind w:firstLine="561"/>
        <w:rPr>
          <w:sz w:val="27"/>
          <w:rtl/>
        </w:rPr>
      </w:pPr>
      <w:r w:rsidRPr="00904FCB">
        <w:rPr>
          <w:rFonts w:hint="cs"/>
          <w:sz w:val="27"/>
          <w:rtl/>
        </w:rPr>
        <w:t>وأنا مودع الرسالتين هذا الكتاب؛ لقل</w:t>
      </w:r>
      <w:r w:rsidR="00E74F23" w:rsidRPr="00904FCB">
        <w:rPr>
          <w:rFonts w:hint="cs"/>
          <w:sz w:val="27"/>
          <w:rtl/>
        </w:rPr>
        <w:t>ّ</w:t>
      </w:r>
      <w:r w:rsidRPr="00904FCB">
        <w:rPr>
          <w:rFonts w:hint="cs"/>
          <w:sz w:val="27"/>
          <w:rtl/>
        </w:rPr>
        <w:t>ة وجودهما. الأولى في هذا المقام، والثانية في</w:t>
      </w:r>
      <w:r w:rsidR="00AD3664">
        <w:rPr>
          <w:rFonts w:hint="cs"/>
          <w:sz w:val="27"/>
          <w:rtl/>
        </w:rPr>
        <w:t xml:space="preserve"> </w:t>
      </w:r>
      <w:r w:rsidRPr="00904FCB">
        <w:rPr>
          <w:rFonts w:hint="cs"/>
          <w:sz w:val="27"/>
          <w:rtl/>
        </w:rPr>
        <w:t xml:space="preserve">ما بعد هذه المسألة. </w:t>
      </w:r>
      <w:r w:rsidR="00E74F23" w:rsidRPr="00904FCB">
        <w:rPr>
          <w:rFonts w:hint="cs"/>
          <w:sz w:val="27"/>
          <w:rtl/>
        </w:rPr>
        <w:t>وقد ذكر الشيخ محمد بن شهرآ</w:t>
      </w:r>
      <w:r w:rsidRPr="00904FCB">
        <w:rPr>
          <w:rFonts w:hint="cs"/>
          <w:sz w:val="27"/>
          <w:rtl/>
        </w:rPr>
        <w:t>شوب</w:t>
      </w:r>
      <w:r w:rsidR="00510A75" w:rsidRPr="00756F2A">
        <w:rPr>
          <w:rFonts w:ascii="Mosawi" w:hAnsi="Mosawi" w:cs="Mosawi"/>
          <w:sz w:val="22"/>
          <w:szCs w:val="22"/>
          <w:rtl/>
        </w:rPr>
        <w:t>&amp;</w:t>
      </w:r>
      <w:r w:rsidRPr="00904FCB">
        <w:rPr>
          <w:rFonts w:hint="cs"/>
          <w:sz w:val="27"/>
          <w:rtl/>
        </w:rPr>
        <w:t xml:space="preserve"> في رجاله</w:t>
      </w:r>
      <w:r w:rsidR="00D14EF5" w:rsidRPr="00904FCB">
        <w:rPr>
          <w:rFonts w:hint="cs"/>
          <w:sz w:val="27"/>
          <w:rtl/>
        </w:rPr>
        <w:t>،</w:t>
      </w:r>
      <w:r w:rsidRPr="00904FCB">
        <w:rPr>
          <w:rFonts w:hint="cs"/>
          <w:sz w:val="27"/>
          <w:rtl/>
        </w:rPr>
        <w:t xml:space="preserve"> في ترجمة المفيد وفهرست مصن</w:t>
      </w:r>
      <w:r w:rsidR="00D14EF5" w:rsidRPr="00904FCB">
        <w:rPr>
          <w:rFonts w:hint="cs"/>
          <w:sz w:val="27"/>
          <w:rtl/>
        </w:rPr>
        <w:t>َّ</w:t>
      </w:r>
      <w:r w:rsidRPr="00904FCB">
        <w:rPr>
          <w:rFonts w:hint="cs"/>
          <w:sz w:val="27"/>
          <w:rtl/>
        </w:rPr>
        <w:t>فاته</w:t>
      </w:r>
      <w:r w:rsidR="00D14EF5"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الردّ على ابن بابويه</w:t>
      </w:r>
      <w:r w:rsidRPr="00904FCB">
        <w:rPr>
          <w:rFonts w:hint="eastAsia"/>
          <w:sz w:val="27"/>
          <w:rtl/>
        </w:rPr>
        <w:t>»</w:t>
      </w:r>
      <w:r w:rsidRPr="00904FCB">
        <w:rPr>
          <w:sz w:val="27"/>
          <w:vertAlign w:val="superscript"/>
          <w:rtl/>
        </w:rPr>
        <w:t>(</w:t>
      </w:r>
      <w:r w:rsidRPr="00904FCB">
        <w:rPr>
          <w:rStyle w:val="ac"/>
          <w:sz w:val="27"/>
          <w:rtl/>
        </w:rPr>
        <w:endnoteReference w:id="238"/>
      </w:r>
      <w:r w:rsidRPr="00904FCB">
        <w:rPr>
          <w:sz w:val="27"/>
          <w:vertAlign w:val="superscript"/>
          <w:rtl/>
        </w:rPr>
        <w:t>)</w:t>
      </w:r>
      <w:r w:rsidRPr="00904FCB">
        <w:rPr>
          <w:sz w:val="27"/>
          <w:rtl/>
        </w:rPr>
        <w:t xml:space="preserve">. </w:t>
      </w:r>
    </w:p>
    <w:p w:rsidR="00644408" w:rsidRPr="00904FCB" w:rsidRDefault="00644408" w:rsidP="007A21AA">
      <w:pPr>
        <w:spacing w:line="400" w:lineRule="exact"/>
        <w:rPr>
          <w:sz w:val="27"/>
          <w:rtl/>
        </w:rPr>
      </w:pPr>
      <w:r w:rsidRPr="00DB1447">
        <w:rPr>
          <w:rFonts w:hint="cs"/>
          <w:sz w:val="27"/>
          <w:rtl/>
        </w:rPr>
        <w:t>2ـ وقال</w:t>
      </w:r>
      <w:r w:rsidRPr="00904FCB">
        <w:rPr>
          <w:rFonts w:hint="cs"/>
          <w:sz w:val="27"/>
          <w:rtl/>
        </w:rPr>
        <w:t xml:space="preserve"> آغا </w:t>
      </w:r>
      <w:r w:rsidRPr="00904FCB">
        <w:rPr>
          <w:rFonts w:ascii="Mosawi" w:eastAsiaTheme="minorHAnsi" w:hAnsi="Mosawi" w:cs="Abz-3 (Yagut)" w:hint="cs"/>
          <w:sz w:val="24"/>
          <w:szCs w:val="24"/>
          <w:rtl/>
        </w:rPr>
        <w:t>بزر</w:t>
      </w:r>
      <w:r w:rsidR="00D14EF5" w:rsidRPr="00904FCB">
        <w:rPr>
          <w:rFonts w:ascii="Mosawi" w:eastAsiaTheme="minorHAnsi" w:hAnsi="Mosawi" w:cs="Abz-3 (Yagut)"/>
          <w:sz w:val="24"/>
          <w:szCs w:val="24"/>
          <w:rtl/>
        </w:rPr>
        <w:t>گ</w:t>
      </w:r>
      <w:r w:rsidRPr="00904FCB">
        <w:rPr>
          <w:rFonts w:hint="cs"/>
          <w:sz w:val="27"/>
          <w:rtl/>
        </w:rPr>
        <w:t xml:space="preserve"> الطهرانيّ</w:t>
      </w:r>
      <w:r w:rsidR="00D14EF5" w:rsidRPr="00904FCB">
        <w:rPr>
          <w:rFonts w:hint="cs"/>
          <w:sz w:val="27"/>
          <w:rtl/>
        </w:rPr>
        <w:t>،</w:t>
      </w:r>
      <w:r w:rsidRPr="00904FCB">
        <w:rPr>
          <w:rFonts w:hint="cs"/>
          <w:sz w:val="27"/>
          <w:rtl/>
        </w:rPr>
        <w:t xml:space="preserve"> وهو يعرّف بهذه الرسالة: </w:t>
      </w:r>
      <w:r w:rsidRPr="00904FCB">
        <w:rPr>
          <w:rFonts w:hint="eastAsia"/>
          <w:sz w:val="27"/>
          <w:rtl/>
        </w:rPr>
        <w:t>«</w:t>
      </w:r>
      <w:r w:rsidRPr="00904FCB">
        <w:rPr>
          <w:rFonts w:hint="cs"/>
          <w:sz w:val="27"/>
          <w:rtl/>
        </w:rPr>
        <w:t xml:space="preserve">جواب أهل الحجاز في </w:t>
      </w:r>
      <w:r w:rsidRPr="00904FCB">
        <w:rPr>
          <w:rFonts w:hint="cs"/>
          <w:sz w:val="27"/>
          <w:rtl/>
        </w:rPr>
        <w:lastRenderedPageBreak/>
        <w:t>نفي سهو النبي</w:t>
      </w:r>
      <w:r w:rsidR="00D14EF5" w:rsidRPr="00904FCB">
        <w:rPr>
          <w:rFonts w:hint="cs"/>
          <w:sz w:val="27"/>
          <w:rtl/>
        </w:rPr>
        <w:t>ّ</w:t>
      </w:r>
      <w:r w:rsidR="00635E51" w:rsidRPr="00904FCB">
        <w:rPr>
          <w:rFonts w:cs="Mosawi" w:hint="cs"/>
          <w:sz w:val="27"/>
          <w:szCs w:val="22"/>
          <w:rtl/>
        </w:rPr>
        <w:t>|</w:t>
      </w:r>
      <w:r w:rsidRPr="00904FCB">
        <w:rPr>
          <w:rFonts w:hint="cs"/>
          <w:sz w:val="27"/>
          <w:rtl/>
        </w:rPr>
        <w:t>، أيضاً للشيخ المفيد</w:t>
      </w:r>
      <w:r w:rsidR="00D14EF5" w:rsidRPr="00904FCB">
        <w:rPr>
          <w:rFonts w:hint="cs"/>
          <w:sz w:val="27"/>
          <w:rtl/>
        </w:rPr>
        <w:t>،</w:t>
      </w:r>
      <w:r w:rsidRPr="00904FCB">
        <w:rPr>
          <w:rFonts w:hint="cs"/>
          <w:sz w:val="27"/>
          <w:rtl/>
        </w:rPr>
        <w:t xml:space="preserve"> أو للسيد المرتضى. ويقال له</w:t>
      </w:r>
      <w:r w:rsidR="00D14EF5"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الرسالة السهوية</w:t>
      </w:r>
      <w:r w:rsidRPr="00904FCB">
        <w:rPr>
          <w:rFonts w:hint="eastAsia"/>
          <w:sz w:val="27"/>
          <w:rtl/>
        </w:rPr>
        <w:t>»</w:t>
      </w:r>
      <w:r w:rsidRPr="00904FCB">
        <w:rPr>
          <w:rFonts w:hint="cs"/>
          <w:sz w:val="27"/>
          <w:rtl/>
        </w:rPr>
        <w:t xml:space="preserve"> أيضاً</w:t>
      </w:r>
      <w:r w:rsidR="00D14EF5" w:rsidRPr="00904FCB">
        <w:rPr>
          <w:rFonts w:hint="cs"/>
          <w:sz w:val="27"/>
          <w:rtl/>
        </w:rPr>
        <w:t>.</w:t>
      </w:r>
      <w:r w:rsidRPr="00904FCB">
        <w:rPr>
          <w:rFonts w:hint="cs"/>
          <w:sz w:val="27"/>
          <w:rtl/>
        </w:rPr>
        <w:t xml:space="preserve"> أورده بتمامه العلامة المجلسيّ من البحار... وذكر الاحتمالين في مؤلّ</w:t>
      </w:r>
      <w:r w:rsidR="00D14EF5" w:rsidRPr="00904FCB">
        <w:rPr>
          <w:rFonts w:hint="cs"/>
          <w:sz w:val="27"/>
          <w:rtl/>
        </w:rPr>
        <w:t>ِ</w:t>
      </w:r>
      <w:r w:rsidRPr="00904FCB">
        <w:rPr>
          <w:rFonts w:hint="cs"/>
          <w:sz w:val="27"/>
          <w:rtl/>
        </w:rPr>
        <w:t>فه</w:t>
      </w:r>
      <w:r w:rsidR="00D14EF5" w:rsidRPr="00904FCB">
        <w:rPr>
          <w:rFonts w:hint="cs"/>
          <w:sz w:val="27"/>
          <w:rtl/>
        </w:rPr>
        <w:t>،</w:t>
      </w:r>
      <w:r w:rsidRPr="00904FCB">
        <w:rPr>
          <w:rFonts w:hint="cs"/>
          <w:sz w:val="27"/>
          <w:rtl/>
        </w:rPr>
        <w:t xml:space="preserve"> ثمّ قال: إن نسبته إلى الشيخ المفيد أنسب. </w:t>
      </w:r>
    </w:p>
    <w:p w:rsidR="00644408" w:rsidRPr="00904FCB" w:rsidRDefault="00644408" w:rsidP="007A21AA">
      <w:pPr>
        <w:spacing w:line="400" w:lineRule="exact"/>
        <w:rPr>
          <w:sz w:val="27"/>
          <w:rtl/>
        </w:rPr>
      </w:pPr>
      <w:r w:rsidRPr="00904FCB">
        <w:rPr>
          <w:rFonts w:hint="cs"/>
          <w:sz w:val="27"/>
          <w:rtl/>
        </w:rPr>
        <w:t>أقول: لعلّ وجه كونه أنسب بنظره أنّه حكى العلا</w:t>
      </w:r>
      <w:r w:rsidR="00D14EF5" w:rsidRPr="00904FCB">
        <w:rPr>
          <w:rFonts w:hint="cs"/>
          <w:sz w:val="27"/>
          <w:rtl/>
        </w:rPr>
        <w:t>ّ</w:t>
      </w:r>
      <w:r w:rsidRPr="00904FCB">
        <w:rPr>
          <w:rFonts w:hint="cs"/>
          <w:sz w:val="27"/>
          <w:rtl/>
        </w:rPr>
        <w:t>مة المجلسيّ في المجلد المذكور عن كتاب تنزيه الأنبياء</w:t>
      </w:r>
      <w:r w:rsidR="00D14EF5" w:rsidRPr="00904FCB">
        <w:rPr>
          <w:rFonts w:hint="cs"/>
          <w:sz w:val="27"/>
          <w:rtl/>
        </w:rPr>
        <w:t>،</w:t>
      </w:r>
      <w:r w:rsidRPr="00904FCB">
        <w:rPr>
          <w:rFonts w:hint="cs"/>
          <w:sz w:val="27"/>
          <w:rtl/>
        </w:rPr>
        <w:t xml:space="preserve"> للسيّد المرتضى</w:t>
      </w:r>
      <w:r w:rsidR="00D14EF5" w:rsidRPr="00904FCB">
        <w:rPr>
          <w:rFonts w:hint="cs"/>
          <w:sz w:val="27"/>
          <w:rtl/>
        </w:rPr>
        <w:t>،</w:t>
      </w:r>
      <w:r w:rsidRPr="00904FCB">
        <w:rPr>
          <w:rFonts w:hint="cs"/>
          <w:sz w:val="27"/>
          <w:rtl/>
        </w:rPr>
        <w:t xml:space="preserve"> </w:t>
      </w:r>
      <w:r w:rsidR="00D14EF5" w:rsidRPr="00904FCB">
        <w:rPr>
          <w:rFonts w:hint="cs"/>
          <w:sz w:val="27"/>
          <w:rtl/>
        </w:rPr>
        <w:t>كلاماً يظهر منه تجويزه السهو</w:t>
      </w:r>
      <w:r w:rsidRPr="00904FCB">
        <w:rPr>
          <w:rFonts w:hint="cs"/>
          <w:sz w:val="27"/>
          <w:rtl/>
        </w:rPr>
        <w:t xml:space="preserve"> في الجملة</w:t>
      </w:r>
      <w:r w:rsidR="00D14EF5" w:rsidRPr="00904FCB">
        <w:rPr>
          <w:rFonts w:hint="cs"/>
          <w:sz w:val="27"/>
          <w:rtl/>
        </w:rPr>
        <w:t>،</w:t>
      </w:r>
      <w:r w:rsidRPr="00904FCB">
        <w:rPr>
          <w:rFonts w:hint="cs"/>
          <w:sz w:val="27"/>
          <w:rtl/>
        </w:rPr>
        <w:t xml:space="preserve"> بحيث ينافي ما منعه في الجواب</w:t>
      </w:r>
      <w:r w:rsidR="00D14EF5" w:rsidRPr="00904FCB">
        <w:rPr>
          <w:rFonts w:hint="cs"/>
          <w:sz w:val="27"/>
          <w:rtl/>
        </w:rPr>
        <w:t>.</w:t>
      </w:r>
      <w:r w:rsidRPr="00904FCB">
        <w:rPr>
          <w:rFonts w:hint="cs"/>
          <w:sz w:val="27"/>
          <w:rtl/>
        </w:rPr>
        <w:t xml:space="preserve"> ولذا قال المجلسيّ بعد نقل كلام السيّد: </w:t>
      </w:r>
      <w:r w:rsidR="00D14EF5" w:rsidRPr="00904FCB">
        <w:rPr>
          <w:rFonts w:hint="cs"/>
          <w:sz w:val="27"/>
          <w:rtl/>
        </w:rPr>
        <w:t>إ</w:t>
      </w:r>
      <w:r w:rsidRPr="00904FCB">
        <w:rPr>
          <w:rFonts w:hint="cs"/>
          <w:sz w:val="27"/>
          <w:rtl/>
        </w:rPr>
        <w:t xml:space="preserve">نّه يظهر منه عدم انعقاد الإجماع من الشيعة على نفي مطلق السهو عن الأنبياء. </w:t>
      </w:r>
    </w:p>
    <w:p w:rsidR="00D14EF5" w:rsidRPr="00904FCB" w:rsidRDefault="00644408" w:rsidP="007A21AA">
      <w:pPr>
        <w:spacing w:line="400" w:lineRule="exact"/>
        <w:rPr>
          <w:sz w:val="27"/>
          <w:rtl/>
        </w:rPr>
      </w:pPr>
      <w:r w:rsidRPr="00904FCB">
        <w:rPr>
          <w:rFonts w:hint="cs"/>
          <w:sz w:val="27"/>
          <w:rtl/>
        </w:rPr>
        <w:t>نعم يمكن العدول بأن يكون السيّد المرتضى عدل عن كلامه في تنزيه الأنبياء إلى ما في هذا الجواب، كما يمكن أن يكون بالعكس.</w:t>
      </w:r>
    </w:p>
    <w:p w:rsidR="00644408" w:rsidRPr="00904FCB" w:rsidRDefault="00644408" w:rsidP="007A21AA">
      <w:pPr>
        <w:spacing w:line="400" w:lineRule="exact"/>
        <w:rPr>
          <w:sz w:val="27"/>
          <w:rtl/>
        </w:rPr>
      </w:pPr>
      <w:r w:rsidRPr="00904FCB">
        <w:rPr>
          <w:rFonts w:hint="cs"/>
          <w:sz w:val="27"/>
          <w:rtl/>
        </w:rPr>
        <w:t xml:space="preserve">وقد أدرجه أيضاً الشيخ علي في </w:t>
      </w:r>
      <w:r w:rsidRPr="00904FCB">
        <w:rPr>
          <w:rFonts w:hint="eastAsia"/>
          <w:sz w:val="27"/>
          <w:rtl/>
        </w:rPr>
        <w:t>«</w:t>
      </w:r>
      <w:r w:rsidRPr="00904FCB">
        <w:rPr>
          <w:rFonts w:hint="cs"/>
          <w:sz w:val="27"/>
          <w:rtl/>
        </w:rPr>
        <w:t>الدر</w:t>
      </w:r>
      <w:r w:rsidR="00D14EF5" w:rsidRPr="00904FCB">
        <w:rPr>
          <w:rFonts w:hint="cs"/>
          <w:sz w:val="27"/>
          <w:rtl/>
        </w:rPr>
        <w:t>ّ</w:t>
      </w:r>
      <w:r w:rsidRPr="00904FCB">
        <w:rPr>
          <w:rFonts w:hint="cs"/>
          <w:sz w:val="27"/>
          <w:rtl/>
        </w:rPr>
        <w:t xml:space="preserve"> المنثور</w:t>
      </w:r>
      <w:r w:rsidRPr="00904FCB">
        <w:rPr>
          <w:rFonts w:hint="eastAsia"/>
          <w:sz w:val="27"/>
          <w:rtl/>
        </w:rPr>
        <w:t>»</w:t>
      </w:r>
      <w:r w:rsidR="00D14EF5" w:rsidRPr="00904FCB">
        <w:rPr>
          <w:rFonts w:hint="cs"/>
          <w:sz w:val="27"/>
          <w:rtl/>
        </w:rPr>
        <w:t>،</w:t>
      </w:r>
      <w:r w:rsidRPr="00904FCB">
        <w:rPr>
          <w:rFonts w:hint="cs"/>
          <w:sz w:val="27"/>
          <w:rtl/>
        </w:rPr>
        <w:t xml:space="preserve"> وذكر الاحتمالين في المؤل</w:t>
      </w:r>
      <w:r w:rsidR="00D14EF5" w:rsidRPr="00904FCB">
        <w:rPr>
          <w:rFonts w:hint="cs"/>
          <w:sz w:val="27"/>
          <w:rtl/>
        </w:rPr>
        <w:t>ِّ</w:t>
      </w:r>
      <w:r w:rsidRPr="00904FCB">
        <w:rPr>
          <w:rFonts w:hint="cs"/>
          <w:sz w:val="27"/>
          <w:rtl/>
        </w:rPr>
        <w:t>ف، ورج</w:t>
      </w:r>
      <w:r w:rsidR="00D14EF5" w:rsidRPr="00904FCB">
        <w:rPr>
          <w:rFonts w:hint="cs"/>
          <w:sz w:val="27"/>
          <w:rtl/>
        </w:rPr>
        <w:t>َّ</w:t>
      </w:r>
      <w:r w:rsidRPr="00904FCB">
        <w:rPr>
          <w:rFonts w:hint="cs"/>
          <w:sz w:val="27"/>
          <w:rtl/>
        </w:rPr>
        <w:t>ح كونه للمفيد؛ باشتمال الكتاب على كثرة الفصول، كما هو ديدن المفيد في تصانيفه. ثمّ استبعد كونه للشيخ المفيد؛ لما فيه من التعريضات على الشيخ الصدوق بعد نقل عين عبارته الموجودة في الفقيه</w:t>
      </w:r>
      <w:r w:rsidR="00D14EF5" w:rsidRPr="00904FCB">
        <w:rPr>
          <w:rFonts w:hint="cs"/>
          <w:sz w:val="27"/>
          <w:rtl/>
        </w:rPr>
        <w:t>،</w:t>
      </w:r>
      <w:r w:rsidRPr="00904FCB">
        <w:rPr>
          <w:rFonts w:hint="cs"/>
          <w:sz w:val="27"/>
          <w:rtl/>
        </w:rPr>
        <w:t xml:space="preserve"> بما يبعد صدور مثلها عن المفيد بالنسبة إلى واحد</w:t>
      </w:r>
      <w:r w:rsidR="00D14EF5" w:rsidRPr="00904FCB">
        <w:rPr>
          <w:rFonts w:hint="cs"/>
          <w:sz w:val="27"/>
          <w:rtl/>
        </w:rPr>
        <w:t>ٍ</w:t>
      </w:r>
      <w:r w:rsidRPr="00904FCB">
        <w:rPr>
          <w:rFonts w:hint="cs"/>
          <w:sz w:val="27"/>
          <w:rtl/>
        </w:rPr>
        <w:t xml:space="preserve"> من الأصحاب</w:t>
      </w:r>
      <w:r w:rsidR="00D14EF5" w:rsidRPr="00904FCB">
        <w:rPr>
          <w:rFonts w:hint="cs"/>
          <w:sz w:val="27"/>
          <w:rtl/>
        </w:rPr>
        <w:t>،</w:t>
      </w:r>
      <w:r w:rsidRPr="00904FCB">
        <w:rPr>
          <w:rFonts w:hint="cs"/>
          <w:sz w:val="27"/>
          <w:rtl/>
        </w:rPr>
        <w:t xml:space="preserve"> فضلاً عن مثل أستاذه وشيخه الصدوق. </w:t>
      </w:r>
    </w:p>
    <w:p w:rsidR="00644408" w:rsidRPr="00904FCB" w:rsidRDefault="00644408" w:rsidP="007A21AA">
      <w:pPr>
        <w:spacing w:line="400" w:lineRule="exact"/>
        <w:rPr>
          <w:sz w:val="27"/>
          <w:rtl/>
        </w:rPr>
      </w:pPr>
      <w:r w:rsidRPr="00904FCB">
        <w:rPr>
          <w:rFonts w:hint="cs"/>
          <w:sz w:val="27"/>
          <w:rtl/>
        </w:rPr>
        <w:t>والحقّ أن الاستبعاد في محل</w:t>
      </w:r>
      <w:r w:rsidR="00D14EF5" w:rsidRPr="00904FCB">
        <w:rPr>
          <w:rFonts w:hint="cs"/>
          <w:sz w:val="27"/>
          <w:rtl/>
        </w:rPr>
        <w:t>ِّ</w:t>
      </w:r>
      <w:r w:rsidRPr="00904FCB">
        <w:rPr>
          <w:rFonts w:hint="cs"/>
          <w:sz w:val="27"/>
          <w:rtl/>
        </w:rPr>
        <w:t xml:space="preserve">ه، </w:t>
      </w:r>
      <w:r w:rsidR="00D14EF5" w:rsidRPr="00904FCB">
        <w:rPr>
          <w:rFonts w:hint="cs"/>
          <w:sz w:val="27"/>
          <w:rtl/>
        </w:rPr>
        <w:t>و</w:t>
      </w:r>
      <w:r w:rsidRPr="00904FCB">
        <w:rPr>
          <w:rFonts w:hint="cs"/>
          <w:sz w:val="27"/>
          <w:rtl/>
        </w:rPr>
        <w:t>لا</w:t>
      </w:r>
      <w:r w:rsidR="00D14EF5" w:rsidRPr="00904FCB">
        <w:rPr>
          <w:rFonts w:hint="cs"/>
          <w:sz w:val="27"/>
          <w:rtl/>
        </w:rPr>
        <w:t xml:space="preserve"> </w:t>
      </w:r>
      <w:r w:rsidRPr="00904FCB">
        <w:rPr>
          <w:rFonts w:hint="cs"/>
          <w:sz w:val="27"/>
          <w:rtl/>
        </w:rPr>
        <w:t>سي</w:t>
      </w:r>
      <w:r w:rsidR="00D14EF5" w:rsidRPr="00904FCB">
        <w:rPr>
          <w:rFonts w:hint="cs"/>
          <w:sz w:val="27"/>
          <w:rtl/>
        </w:rPr>
        <w:t>َّ</w:t>
      </w:r>
      <w:r w:rsidRPr="00904FCB">
        <w:rPr>
          <w:rFonts w:hint="cs"/>
          <w:sz w:val="27"/>
          <w:rtl/>
        </w:rPr>
        <w:t>ما مع عدم ذكر النجاشي لهذا الجواب في فهرس</w:t>
      </w:r>
      <w:r w:rsidR="000C7243">
        <w:rPr>
          <w:rFonts w:hint="cs"/>
          <w:sz w:val="27"/>
          <w:rtl/>
        </w:rPr>
        <w:t>ت</w:t>
      </w:r>
      <w:r w:rsidRPr="00904FCB">
        <w:rPr>
          <w:rFonts w:hint="cs"/>
          <w:sz w:val="27"/>
          <w:rtl/>
        </w:rPr>
        <w:t>ه، لا في تصانيف شيخه المفيد، ولا شيخه الشريف المرتضى، مع اط</w:t>
      </w:r>
      <w:r w:rsidR="00D14EF5" w:rsidRPr="00904FCB">
        <w:rPr>
          <w:rFonts w:hint="cs"/>
          <w:sz w:val="27"/>
          <w:rtl/>
        </w:rPr>
        <w:t>ّ</w:t>
      </w:r>
      <w:r w:rsidRPr="00904FCB">
        <w:rPr>
          <w:rFonts w:hint="cs"/>
          <w:sz w:val="27"/>
          <w:rtl/>
        </w:rPr>
        <w:t>لاعه على جميع تصانيفهما</w:t>
      </w:r>
      <w:r w:rsidR="00D14EF5" w:rsidRPr="00904FCB">
        <w:rPr>
          <w:rFonts w:hint="cs"/>
          <w:sz w:val="27"/>
          <w:rtl/>
        </w:rPr>
        <w:t>،</w:t>
      </w:r>
      <w:r w:rsidRPr="00904FCB">
        <w:rPr>
          <w:rFonts w:hint="cs"/>
          <w:sz w:val="27"/>
          <w:rtl/>
        </w:rPr>
        <w:t xml:space="preserve"> وذكره عامّتها في ترجمت</w:t>
      </w:r>
      <w:r w:rsidR="00D14EF5" w:rsidRPr="00904FCB">
        <w:rPr>
          <w:rFonts w:hint="cs"/>
          <w:sz w:val="27"/>
          <w:rtl/>
        </w:rPr>
        <w:t>َ</w:t>
      </w:r>
      <w:r w:rsidRPr="00904FCB">
        <w:rPr>
          <w:rFonts w:hint="cs"/>
          <w:sz w:val="27"/>
          <w:rtl/>
        </w:rPr>
        <w:t>ي</w:t>
      </w:r>
      <w:r w:rsidR="00D14EF5" w:rsidRPr="00904FCB">
        <w:rPr>
          <w:rFonts w:hint="cs"/>
          <w:sz w:val="27"/>
          <w:rtl/>
        </w:rPr>
        <w:t>ْ</w:t>
      </w:r>
      <w:r w:rsidRPr="00904FCB">
        <w:rPr>
          <w:rFonts w:hint="cs"/>
          <w:sz w:val="27"/>
          <w:rtl/>
        </w:rPr>
        <w:t xml:space="preserve">هما، </w:t>
      </w:r>
      <w:r w:rsidR="00D14EF5" w:rsidRPr="00904FCB">
        <w:rPr>
          <w:rFonts w:hint="cs"/>
          <w:sz w:val="27"/>
          <w:rtl/>
        </w:rPr>
        <w:t>و</w:t>
      </w:r>
      <w:r w:rsidRPr="00904FCB">
        <w:rPr>
          <w:rFonts w:hint="cs"/>
          <w:sz w:val="27"/>
          <w:rtl/>
        </w:rPr>
        <w:t>خصوصاً كتب المفيد</w:t>
      </w:r>
      <w:r w:rsidR="00D14EF5" w:rsidRPr="00904FCB">
        <w:rPr>
          <w:rFonts w:hint="cs"/>
          <w:sz w:val="27"/>
          <w:rtl/>
        </w:rPr>
        <w:t>،</w:t>
      </w:r>
      <w:r w:rsidRPr="00904FCB">
        <w:rPr>
          <w:rFonts w:hint="cs"/>
          <w:sz w:val="27"/>
          <w:rtl/>
        </w:rPr>
        <w:t xml:space="preserve"> فإنّه لم يذكر في أوّلها كلمة (منها)</w:t>
      </w:r>
      <w:r w:rsidR="00D14EF5" w:rsidRPr="00904FCB">
        <w:rPr>
          <w:rFonts w:hint="cs"/>
          <w:sz w:val="27"/>
          <w:rtl/>
        </w:rPr>
        <w:t>،</w:t>
      </w:r>
      <w:r w:rsidRPr="00904FCB">
        <w:rPr>
          <w:rFonts w:hint="cs"/>
          <w:sz w:val="27"/>
          <w:rtl/>
        </w:rPr>
        <w:t xml:space="preserve"> فيظهر أنّه ليس لها بقيّة</w:t>
      </w:r>
      <w:r w:rsidR="00D14EF5" w:rsidRPr="00904FCB">
        <w:rPr>
          <w:rFonts w:hint="cs"/>
          <w:sz w:val="27"/>
          <w:rtl/>
        </w:rPr>
        <w:t>ٌ</w:t>
      </w:r>
      <w:r w:rsidRPr="00904FCB">
        <w:rPr>
          <w:rFonts w:hint="cs"/>
          <w:sz w:val="27"/>
          <w:rtl/>
        </w:rPr>
        <w:t xml:space="preserve">. </w:t>
      </w:r>
    </w:p>
    <w:p w:rsidR="00644408" w:rsidRPr="00904FCB" w:rsidRDefault="00644408" w:rsidP="007A21AA">
      <w:pPr>
        <w:spacing w:line="400" w:lineRule="exact"/>
        <w:rPr>
          <w:sz w:val="27"/>
          <w:rtl/>
        </w:rPr>
      </w:pPr>
      <w:r w:rsidRPr="00904FCB">
        <w:rPr>
          <w:rFonts w:hint="cs"/>
          <w:sz w:val="27"/>
          <w:rtl/>
        </w:rPr>
        <w:t>وبذلك كله يؤي</w:t>
      </w:r>
      <w:r w:rsidR="00D14EF5" w:rsidRPr="00904FCB">
        <w:rPr>
          <w:rFonts w:hint="cs"/>
          <w:sz w:val="27"/>
          <w:rtl/>
        </w:rPr>
        <w:t>ّ</w:t>
      </w:r>
      <w:r w:rsidRPr="00904FCB">
        <w:rPr>
          <w:rFonts w:hint="cs"/>
          <w:sz w:val="27"/>
          <w:rtl/>
        </w:rPr>
        <w:t>د احتمال كون المؤل</w:t>
      </w:r>
      <w:r w:rsidR="00D14EF5" w:rsidRPr="00904FCB">
        <w:rPr>
          <w:rFonts w:hint="cs"/>
          <w:sz w:val="27"/>
          <w:rtl/>
        </w:rPr>
        <w:t>ِّ</w:t>
      </w:r>
      <w:r w:rsidRPr="00904FCB">
        <w:rPr>
          <w:rFonts w:hint="cs"/>
          <w:sz w:val="27"/>
          <w:rtl/>
        </w:rPr>
        <w:t>ف غير المفيد والمرتضى، حيث إنّه لم يدل</w:t>
      </w:r>
      <w:r w:rsidR="00D14EF5" w:rsidRPr="00904FCB">
        <w:rPr>
          <w:rFonts w:hint="cs"/>
          <w:sz w:val="27"/>
          <w:rtl/>
        </w:rPr>
        <w:t>ّ</w:t>
      </w:r>
      <w:r w:rsidRPr="00904FCB">
        <w:rPr>
          <w:rFonts w:hint="cs"/>
          <w:sz w:val="27"/>
          <w:rtl/>
        </w:rPr>
        <w:t xml:space="preserve"> دليل</w:t>
      </w:r>
      <w:r w:rsidR="00D14EF5" w:rsidRPr="00904FCB">
        <w:rPr>
          <w:rFonts w:hint="cs"/>
          <w:sz w:val="27"/>
          <w:rtl/>
        </w:rPr>
        <w:t>ٌ</w:t>
      </w:r>
      <w:r w:rsidRPr="00904FCB">
        <w:rPr>
          <w:rFonts w:hint="cs"/>
          <w:sz w:val="27"/>
          <w:rtl/>
        </w:rPr>
        <w:t xml:space="preserve"> على الد</w:t>
      </w:r>
      <w:r w:rsidR="00D14EF5" w:rsidRPr="00904FCB">
        <w:rPr>
          <w:rFonts w:hint="cs"/>
          <w:sz w:val="27"/>
          <w:rtl/>
        </w:rPr>
        <w:t>َّ</w:t>
      </w:r>
      <w:r w:rsidRPr="00904FCB">
        <w:rPr>
          <w:rFonts w:hint="cs"/>
          <w:sz w:val="27"/>
          <w:rtl/>
        </w:rPr>
        <w:t>و</w:t>
      </w:r>
      <w:r w:rsidR="00D14EF5" w:rsidRPr="00904FCB">
        <w:rPr>
          <w:rFonts w:hint="cs"/>
          <w:sz w:val="27"/>
          <w:rtl/>
        </w:rPr>
        <w:t>َ</w:t>
      </w:r>
      <w:r w:rsidRPr="00904FCB">
        <w:rPr>
          <w:rFonts w:hint="cs"/>
          <w:sz w:val="27"/>
          <w:rtl/>
        </w:rPr>
        <w:t>ران بينهما فقط</w:t>
      </w:r>
      <w:r w:rsidRPr="00904FCB">
        <w:rPr>
          <w:sz w:val="27"/>
          <w:vertAlign w:val="superscript"/>
          <w:rtl/>
        </w:rPr>
        <w:t>(</w:t>
      </w:r>
      <w:r w:rsidRPr="00904FCB">
        <w:rPr>
          <w:rStyle w:val="ac"/>
          <w:sz w:val="27"/>
          <w:rtl/>
        </w:rPr>
        <w:endnoteReference w:id="239"/>
      </w:r>
      <w:r w:rsidRPr="00904FCB">
        <w:rPr>
          <w:sz w:val="27"/>
          <w:vertAlign w:val="superscript"/>
          <w:rtl/>
        </w:rPr>
        <w:t>)</w:t>
      </w:r>
      <w:r w:rsidRPr="00904FCB">
        <w:rPr>
          <w:sz w:val="27"/>
          <w:rtl/>
        </w:rPr>
        <w:t>.</w:t>
      </w:r>
      <w:r w:rsidRPr="00904FCB">
        <w:rPr>
          <w:sz w:val="27"/>
          <w:vertAlign w:val="superscript"/>
          <w:rtl/>
        </w:rPr>
        <w:t xml:space="preserve"> </w:t>
      </w:r>
    </w:p>
    <w:p w:rsidR="00644408" w:rsidRPr="00904FCB" w:rsidRDefault="00644408" w:rsidP="007A21AA">
      <w:pPr>
        <w:spacing w:line="400" w:lineRule="exact"/>
        <w:rPr>
          <w:sz w:val="27"/>
          <w:rtl/>
        </w:rPr>
      </w:pPr>
      <w:r w:rsidRPr="00904FCB">
        <w:rPr>
          <w:rFonts w:hint="cs"/>
          <w:sz w:val="27"/>
          <w:rtl/>
        </w:rPr>
        <w:t xml:space="preserve"> ولا بأس </w:t>
      </w:r>
      <w:r w:rsidR="006B66EA" w:rsidRPr="00904FCB">
        <w:rPr>
          <w:rFonts w:hint="cs"/>
          <w:sz w:val="27"/>
          <w:rtl/>
        </w:rPr>
        <w:t>ب</w:t>
      </w:r>
      <w:r w:rsidRPr="00904FCB">
        <w:rPr>
          <w:rFonts w:hint="cs"/>
          <w:sz w:val="27"/>
          <w:rtl/>
        </w:rPr>
        <w:t xml:space="preserve">الإشارة هنا إلى كلام المجلسي، </w:t>
      </w:r>
      <w:r w:rsidR="006B66EA" w:rsidRPr="00904FCB">
        <w:rPr>
          <w:rFonts w:hint="cs"/>
          <w:sz w:val="27"/>
          <w:rtl/>
        </w:rPr>
        <w:t xml:space="preserve">حيث </w:t>
      </w:r>
      <w:r w:rsidRPr="00904FCB">
        <w:rPr>
          <w:rFonts w:hint="cs"/>
          <w:sz w:val="27"/>
          <w:rtl/>
        </w:rPr>
        <w:t>قال: ولنختم هذا الباب بإيراد رسالة</w:t>
      </w:r>
      <w:r w:rsidR="006B66EA" w:rsidRPr="00904FCB">
        <w:rPr>
          <w:rFonts w:hint="cs"/>
          <w:sz w:val="27"/>
          <w:rtl/>
        </w:rPr>
        <w:t>ٍ</w:t>
      </w:r>
      <w:r w:rsidRPr="00904FCB">
        <w:rPr>
          <w:rFonts w:hint="cs"/>
          <w:sz w:val="27"/>
          <w:rtl/>
        </w:rPr>
        <w:t xml:space="preserve"> وصلت إلينا</w:t>
      </w:r>
      <w:r w:rsidR="006B66EA" w:rsidRPr="00904FCB">
        <w:rPr>
          <w:rFonts w:hint="cs"/>
          <w:sz w:val="27"/>
          <w:rtl/>
        </w:rPr>
        <w:t>،</w:t>
      </w:r>
      <w:r w:rsidRPr="00904FCB">
        <w:rPr>
          <w:rFonts w:hint="cs"/>
          <w:sz w:val="27"/>
          <w:rtl/>
        </w:rPr>
        <w:t xml:space="preserve"> تنسب إلى الشيخ السديد المفيد، أو السيّد النقيب الجليل المرتضى</w:t>
      </w:r>
      <w:r w:rsidR="006B66EA" w:rsidRPr="00904FCB">
        <w:rPr>
          <w:rFonts w:hint="cs"/>
          <w:sz w:val="27"/>
          <w:rtl/>
        </w:rPr>
        <w:t>،</w:t>
      </w:r>
      <w:r w:rsidRPr="00904FCB">
        <w:rPr>
          <w:rFonts w:hint="cs"/>
          <w:sz w:val="27"/>
          <w:rtl/>
        </w:rPr>
        <w:t xml:space="preserve"> قدس الله روحهما</w:t>
      </w:r>
      <w:r w:rsidR="006B66EA" w:rsidRPr="00904FCB">
        <w:rPr>
          <w:rFonts w:hint="cs"/>
          <w:sz w:val="27"/>
          <w:rtl/>
        </w:rPr>
        <w:t>.</w:t>
      </w:r>
      <w:r w:rsidRPr="00904FCB">
        <w:rPr>
          <w:rFonts w:hint="cs"/>
          <w:sz w:val="27"/>
          <w:rtl/>
        </w:rPr>
        <w:t xml:space="preserve"> وإلى المفيد أنسب</w:t>
      </w:r>
      <w:r w:rsidR="006B66EA" w:rsidRPr="00904FCB">
        <w:rPr>
          <w:rFonts w:hint="cs"/>
          <w:sz w:val="27"/>
          <w:rtl/>
        </w:rPr>
        <w:t>.</w:t>
      </w:r>
      <w:r w:rsidRPr="00904FCB">
        <w:rPr>
          <w:rFonts w:hint="cs"/>
          <w:sz w:val="27"/>
          <w:rtl/>
        </w:rPr>
        <w:t xml:space="preserve"> وهذه صورة الرسالة بعينها</w:t>
      </w:r>
      <w:r w:rsidR="006B66EA" w:rsidRPr="00904FCB">
        <w:rPr>
          <w:rFonts w:hint="cs"/>
          <w:sz w:val="27"/>
          <w:rtl/>
        </w:rPr>
        <w:t>،</w:t>
      </w:r>
      <w:r w:rsidRPr="00904FCB">
        <w:rPr>
          <w:rFonts w:hint="cs"/>
          <w:sz w:val="27"/>
          <w:rtl/>
        </w:rPr>
        <w:t xml:space="preserve"> كما وجدت</w:t>
      </w:r>
      <w:r w:rsidR="006B66EA" w:rsidRPr="00904FCB">
        <w:rPr>
          <w:rFonts w:hint="cs"/>
          <w:sz w:val="27"/>
          <w:rtl/>
        </w:rPr>
        <w:t>ُ</w:t>
      </w:r>
      <w:r w:rsidRPr="00904FCB">
        <w:rPr>
          <w:rFonts w:hint="cs"/>
          <w:sz w:val="27"/>
          <w:rtl/>
        </w:rPr>
        <w:t>ها</w:t>
      </w:r>
      <w:r w:rsidRPr="00904FCB">
        <w:rPr>
          <w:sz w:val="27"/>
          <w:vertAlign w:val="superscript"/>
          <w:rtl/>
        </w:rPr>
        <w:t>(</w:t>
      </w:r>
      <w:r w:rsidRPr="00904FCB">
        <w:rPr>
          <w:rStyle w:val="ac"/>
          <w:sz w:val="27"/>
          <w:rtl/>
        </w:rPr>
        <w:endnoteReference w:id="240"/>
      </w:r>
      <w:r w:rsidRPr="00904FCB">
        <w:rPr>
          <w:sz w:val="27"/>
          <w:vertAlign w:val="superscript"/>
          <w:rtl/>
        </w:rPr>
        <w:t>)</w:t>
      </w:r>
      <w:r w:rsidRPr="00904FCB">
        <w:rPr>
          <w:sz w:val="27"/>
          <w:rtl/>
        </w:rPr>
        <w:t>.</w:t>
      </w:r>
      <w:r w:rsidRPr="00904FCB">
        <w:rPr>
          <w:sz w:val="27"/>
          <w:vertAlign w:val="superscript"/>
          <w:rtl/>
        </w:rPr>
        <w:t xml:space="preserve"> </w:t>
      </w:r>
    </w:p>
    <w:p w:rsidR="00644408" w:rsidRPr="00904FCB" w:rsidRDefault="00644408" w:rsidP="007A21AA">
      <w:pPr>
        <w:spacing w:line="400" w:lineRule="exact"/>
        <w:rPr>
          <w:sz w:val="27"/>
          <w:rtl/>
        </w:rPr>
      </w:pPr>
      <w:r w:rsidRPr="00904FCB">
        <w:rPr>
          <w:rFonts w:hint="cs"/>
          <w:sz w:val="27"/>
          <w:rtl/>
        </w:rPr>
        <w:t>ولم يبي</w:t>
      </w:r>
      <w:r w:rsidR="006B66EA" w:rsidRPr="00904FCB">
        <w:rPr>
          <w:rFonts w:hint="cs"/>
          <w:sz w:val="27"/>
          <w:rtl/>
        </w:rPr>
        <w:t>ِّ</w:t>
      </w:r>
      <w:r w:rsidRPr="00904FCB">
        <w:rPr>
          <w:rFonts w:hint="cs"/>
          <w:sz w:val="27"/>
          <w:rtl/>
        </w:rPr>
        <w:t xml:space="preserve">ن لنا الوجه في كون هذه الرسالة إلى المفيد أنسب! </w:t>
      </w:r>
      <w:r w:rsidR="006B66EA" w:rsidRPr="00904FCB">
        <w:rPr>
          <w:rFonts w:hint="cs"/>
          <w:sz w:val="27"/>
          <w:rtl/>
        </w:rPr>
        <w:t>سوى</w:t>
      </w:r>
      <w:r w:rsidRPr="00904FCB">
        <w:rPr>
          <w:rFonts w:hint="cs"/>
          <w:sz w:val="27"/>
          <w:rtl/>
        </w:rPr>
        <w:t xml:space="preserve"> الوجه الذي ساقه الطهرانيّ فيما سبق. </w:t>
      </w:r>
    </w:p>
    <w:p w:rsidR="00644408" w:rsidRPr="00904FCB" w:rsidRDefault="00644408" w:rsidP="007A21AA">
      <w:pPr>
        <w:spacing w:line="400" w:lineRule="exact"/>
        <w:rPr>
          <w:sz w:val="27"/>
          <w:rtl/>
        </w:rPr>
      </w:pPr>
      <w:r w:rsidRPr="00DB1447">
        <w:rPr>
          <w:rFonts w:hint="cs"/>
          <w:sz w:val="27"/>
          <w:rtl/>
        </w:rPr>
        <w:lastRenderedPageBreak/>
        <w:t>3ـ وقال</w:t>
      </w:r>
      <w:r w:rsidRPr="00904FCB">
        <w:rPr>
          <w:rFonts w:hint="cs"/>
          <w:sz w:val="27"/>
          <w:rtl/>
        </w:rPr>
        <w:t xml:space="preserve"> المفهرس الباحث الشيخ عبد الحسين الحائريّ: ونسبتها ـ أي الرسالة ـ إلى المفيد بعيدة</w:t>
      </w:r>
      <w:r w:rsidR="006B66EA" w:rsidRPr="00904FCB">
        <w:rPr>
          <w:rFonts w:hint="cs"/>
          <w:sz w:val="27"/>
          <w:rtl/>
        </w:rPr>
        <w:t>ٌ</w:t>
      </w:r>
      <w:r w:rsidRPr="00904FCB">
        <w:rPr>
          <w:rFonts w:hint="cs"/>
          <w:sz w:val="27"/>
          <w:rtl/>
        </w:rPr>
        <w:t xml:space="preserve"> </w:t>
      </w:r>
      <w:r w:rsidR="006B66EA" w:rsidRPr="00904FCB">
        <w:rPr>
          <w:rFonts w:hint="cs"/>
          <w:sz w:val="27"/>
          <w:rtl/>
        </w:rPr>
        <w:t xml:space="preserve">جدّاً </w:t>
      </w:r>
      <w:r w:rsidRPr="00904FCB">
        <w:rPr>
          <w:rFonts w:hint="cs"/>
          <w:sz w:val="27"/>
          <w:rtl/>
        </w:rPr>
        <w:t>عن الحقيقة؛ لأنّ المؤلف عرّ</w:t>
      </w:r>
      <w:r w:rsidR="006B66EA" w:rsidRPr="00904FCB">
        <w:rPr>
          <w:rFonts w:hint="cs"/>
          <w:sz w:val="27"/>
          <w:rtl/>
        </w:rPr>
        <w:t>َ</w:t>
      </w:r>
      <w:r w:rsidRPr="00904FCB">
        <w:rPr>
          <w:rFonts w:hint="cs"/>
          <w:sz w:val="27"/>
          <w:rtl/>
        </w:rPr>
        <w:t>ض مكر</w:t>
      </w:r>
      <w:r w:rsidR="006B66EA" w:rsidRPr="00904FCB">
        <w:rPr>
          <w:rFonts w:hint="cs"/>
          <w:sz w:val="27"/>
          <w:rtl/>
        </w:rPr>
        <w:t>ّ</w:t>
      </w:r>
      <w:r w:rsidRPr="00904FCB">
        <w:rPr>
          <w:rFonts w:hint="cs"/>
          <w:sz w:val="27"/>
          <w:rtl/>
        </w:rPr>
        <w:t xml:space="preserve">راً بالصدوق ولأكثر </w:t>
      </w:r>
      <w:r w:rsidR="006B66EA" w:rsidRPr="00904FCB">
        <w:rPr>
          <w:rFonts w:hint="cs"/>
          <w:sz w:val="27"/>
          <w:rtl/>
        </w:rPr>
        <w:t xml:space="preserve">من </w:t>
      </w:r>
      <w:r w:rsidRPr="00904FCB">
        <w:rPr>
          <w:rFonts w:hint="cs"/>
          <w:sz w:val="27"/>
          <w:rtl/>
        </w:rPr>
        <w:t>مرّة</w:t>
      </w:r>
      <w:r w:rsidR="006B66EA" w:rsidRPr="00904FCB">
        <w:rPr>
          <w:rFonts w:hint="cs"/>
          <w:sz w:val="27"/>
          <w:rtl/>
        </w:rPr>
        <w:t>.</w:t>
      </w:r>
      <w:r w:rsidRPr="00904FCB">
        <w:rPr>
          <w:rFonts w:hint="cs"/>
          <w:sz w:val="27"/>
          <w:rtl/>
        </w:rPr>
        <w:t xml:space="preserve"> وهذا خلاف منهج المفيد في حقّ الصدوق. </w:t>
      </w:r>
    </w:p>
    <w:p w:rsidR="00644408" w:rsidRPr="00904FCB" w:rsidRDefault="00644408" w:rsidP="007A21AA">
      <w:pPr>
        <w:spacing w:line="400" w:lineRule="exact"/>
        <w:rPr>
          <w:sz w:val="27"/>
          <w:rtl/>
        </w:rPr>
      </w:pPr>
      <w:r w:rsidRPr="00904FCB">
        <w:rPr>
          <w:rFonts w:hint="cs"/>
          <w:sz w:val="27"/>
          <w:rtl/>
        </w:rPr>
        <w:t>ولكن</w:t>
      </w:r>
      <w:r w:rsidR="006B66EA" w:rsidRPr="00904FCB">
        <w:rPr>
          <w:rFonts w:hint="cs"/>
          <w:sz w:val="27"/>
          <w:rtl/>
        </w:rPr>
        <w:t>ْ</w:t>
      </w:r>
      <w:r w:rsidRPr="00904FCB">
        <w:rPr>
          <w:rFonts w:hint="cs"/>
          <w:sz w:val="27"/>
          <w:rtl/>
        </w:rPr>
        <w:t xml:space="preserve"> ذ</w:t>
      </w:r>
      <w:r w:rsidR="006B66EA" w:rsidRPr="00904FCB">
        <w:rPr>
          <w:rFonts w:hint="cs"/>
          <w:sz w:val="27"/>
          <w:rtl/>
        </w:rPr>
        <w:t>َ</w:t>
      </w:r>
      <w:r w:rsidRPr="00904FCB">
        <w:rPr>
          <w:rFonts w:hint="cs"/>
          <w:sz w:val="27"/>
          <w:rtl/>
        </w:rPr>
        <w:t>ك</w:t>
      </w:r>
      <w:r w:rsidR="006B66EA" w:rsidRPr="00904FCB">
        <w:rPr>
          <w:rFonts w:hint="cs"/>
          <w:sz w:val="27"/>
          <w:rtl/>
        </w:rPr>
        <w:t>َ</w:t>
      </w:r>
      <w:r w:rsidRPr="00904FCB">
        <w:rPr>
          <w:rFonts w:hint="cs"/>
          <w:sz w:val="27"/>
          <w:rtl/>
        </w:rPr>
        <w:t>ر النجاشيّ</w:t>
      </w:r>
      <w:r w:rsidR="006B66EA" w:rsidRPr="00904FCB">
        <w:rPr>
          <w:rFonts w:hint="cs"/>
          <w:sz w:val="27"/>
          <w:rtl/>
        </w:rPr>
        <w:t>،</w:t>
      </w:r>
      <w:r w:rsidRPr="00904FCB">
        <w:rPr>
          <w:rFonts w:hint="cs"/>
          <w:sz w:val="27"/>
          <w:rtl/>
        </w:rPr>
        <w:t xml:space="preserve"> في ضمن تأليفات أبي يعلى محمد بن حسن بن حمزة، صهر الشيخ المفيد</w:t>
      </w:r>
      <w:r w:rsidR="006B66EA" w:rsidRPr="00904FCB">
        <w:rPr>
          <w:rFonts w:hint="cs"/>
          <w:sz w:val="27"/>
          <w:rtl/>
        </w:rPr>
        <w:t>،</w:t>
      </w:r>
      <w:r w:rsidRPr="00904FCB">
        <w:rPr>
          <w:rFonts w:hint="cs"/>
          <w:sz w:val="27"/>
          <w:rtl/>
        </w:rPr>
        <w:t xml:space="preserve"> رسالة</w:t>
      </w:r>
      <w:r w:rsidR="006B66EA" w:rsidRPr="00904FCB">
        <w:rPr>
          <w:rFonts w:hint="cs"/>
          <w:sz w:val="27"/>
          <w:rtl/>
        </w:rPr>
        <w:t>ً</w:t>
      </w:r>
      <w:r w:rsidRPr="00904FCB">
        <w:rPr>
          <w:rFonts w:hint="cs"/>
          <w:sz w:val="27"/>
          <w:rtl/>
        </w:rPr>
        <w:t xml:space="preserve"> باسم </w:t>
      </w:r>
      <w:r w:rsidRPr="00904FCB">
        <w:rPr>
          <w:rFonts w:hint="eastAsia"/>
          <w:sz w:val="27"/>
          <w:rtl/>
        </w:rPr>
        <w:t>«</w:t>
      </w:r>
      <w:r w:rsidRPr="00904FCB">
        <w:rPr>
          <w:rFonts w:hint="cs"/>
          <w:sz w:val="27"/>
          <w:rtl/>
        </w:rPr>
        <w:t>جواب المسائل الواردة من الحائر</w:t>
      </w:r>
      <w:r w:rsidR="006B66EA" w:rsidRPr="00904FCB">
        <w:rPr>
          <w:rFonts w:hint="eastAsia"/>
          <w:sz w:val="27"/>
          <w:rtl/>
        </w:rPr>
        <w:t>»</w:t>
      </w:r>
      <w:r w:rsidR="006B66EA" w:rsidRPr="00904FCB">
        <w:rPr>
          <w:rFonts w:hint="cs"/>
          <w:sz w:val="27"/>
          <w:rtl/>
        </w:rPr>
        <w:t xml:space="preserve">. </w:t>
      </w:r>
      <w:r w:rsidRPr="00904FCB">
        <w:rPr>
          <w:rFonts w:hint="cs"/>
          <w:sz w:val="27"/>
          <w:rtl/>
        </w:rPr>
        <w:t>ولعلّ هذه الرسالة هي نفسها الرسالة الس</w:t>
      </w:r>
      <w:r w:rsidR="006B66EA" w:rsidRPr="00904FCB">
        <w:rPr>
          <w:rFonts w:hint="cs"/>
          <w:sz w:val="27"/>
          <w:rtl/>
        </w:rPr>
        <w:t>َّ</w:t>
      </w:r>
      <w:r w:rsidRPr="00904FCB">
        <w:rPr>
          <w:rFonts w:hint="cs"/>
          <w:sz w:val="27"/>
          <w:rtl/>
        </w:rPr>
        <w:t>ه</w:t>
      </w:r>
      <w:r w:rsidR="006B66EA" w:rsidRPr="00904FCB">
        <w:rPr>
          <w:rFonts w:hint="cs"/>
          <w:sz w:val="27"/>
          <w:rtl/>
        </w:rPr>
        <w:t>ْ</w:t>
      </w:r>
      <w:r w:rsidRPr="00904FCB">
        <w:rPr>
          <w:rFonts w:hint="cs"/>
          <w:sz w:val="27"/>
          <w:rtl/>
        </w:rPr>
        <w:t xml:space="preserve">وية، وخاصّة </w:t>
      </w:r>
      <w:r w:rsidR="006B66EA" w:rsidRPr="00904FCB">
        <w:rPr>
          <w:rFonts w:hint="cs"/>
          <w:sz w:val="27"/>
          <w:rtl/>
        </w:rPr>
        <w:t>أ</w:t>
      </w:r>
      <w:r w:rsidRPr="00904FCB">
        <w:rPr>
          <w:rFonts w:hint="cs"/>
          <w:sz w:val="27"/>
          <w:rtl/>
        </w:rPr>
        <w:t>نّه كتب في نهاية النسخة المذكورة: تمّ جواب أهل الحائر</w:t>
      </w:r>
      <w:r w:rsidRPr="00904FCB">
        <w:rPr>
          <w:sz w:val="27"/>
          <w:vertAlign w:val="superscript"/>
          <w:rtl/>
        </w:rPr>
        <w:t>(</w:t>
      </w:r>
      <w:r w:rsidRPr="00904FCB">
        <w:rPr>
          <w:rStyle w:val="ac"/>
          <w:sz w:val="27"/>
          <w:rtl/>
        </w:rPr>
        <w:endnoteReference w:id="241"/>
      </w:r>
      <w:r w:rsidRPr="00904FCB">
        <w:rPr>
          <w:sz w:val="27"/>
          <w:vertAlign w:val="superscript"/>
          <w:rtl/>
        </w:rPr>
        <w:t>)</w:t>
      </w:r>
      <w:r w:rsidRPr="00904FCB">
        <w:rPr>
          <w:sz w:val="27"/>
          <w:rtl/>
        </w:rPr>
        <w:t>.</w:t>
      </w:r>
      <w:r w:rsidRPr="00904FCB">
        <w:rPr>
          <w:sz w:val="27"/>
          <w:vertAlign w:val="superscript"/>
          <w:rtl/>
        </w:rPr>
        <w:t xml:space="preserve"> </w:t>
      </w:r>
    </w:p>
    <w:p w:rsidR="00644408" w:rsidRPr="00904FCB" w:rsidRDefault="00644408" w:rsidP="007A21AA">
      <w:pPr>
        <w:spacing w:line="400" w:lineRule="exact"/>
        <w:rPr>
          <w:sz w:val="27"/>
          <w:rtl/>
        </w:rPr>
      </w:pPr>
      <w:r w:rsidRPr="00DB1447">
        <w:rPr>
          <w:rFonts w:hint="cs"/>
          <w:sz w:val="27"/>
          <w:rtl/>
        </w:rPr>
        <w:t>4ـ احتمل</w:t>
      </w:r>
      <w:r w:rsidRPr="00904FCB">
        <w:rPr>
          <w:rFonts w:hint="cs"/>
          <w:sz w:val="27"/>
          <w:rtl/>
        </w:rPr>
        <w:t xml:space="preserve"> الوحيد البهبهانيّ أن تكون الرسالة لـ </w:t>
      </w:r>
      <w:r w:rsidRPr="00904FCB">
        <w:rPr>
          <w:rFonts w:hint="eastAsia"/>
          <w:sz w:val="27"/>
          <w:rtl/>
        </w:rPr>
        <w:t>«</w:t>
      </w:r>
      <w:r w:rsidRPr="00904FCB">
        <w:rPr>
          <w:rFonts w:hint="cs"/>
          <w:sz w:val="27"/>
          <w:rtl/>
        </w:rPr>
        <w:t>السيّد محمد بن محمد بن يحيى، أبو علي</w:t>
      </w:r>
      <w:r w:rsidR="006B66EA" w:rsidRPr="00904FCB">
        <w:rPr>
          <w:rFonts w:hint="cs"/>
          <w:sz w:val="27"/>
          <w:rtl/>
        </w:rPr>
        <w:t>ّ</w:t>
      </w:r>
      <w:r w:rsidRPr="00904FCB">
        <w:rPr>
          <w:rFonts w:hint="cs"/>
          <w:sz w:val="27"/>
          <w:rtl/>
        </w:rPr>
        <w:t xml:space="preserve"> العلوي، سيجيء في الكنى بعنوان (أبو علي</w:t>
      </w:r>
      <w:r w:rsidR="006B66EA" w:rsidRPr="00904FCB">
        <w:rPr>
          <w:rFonts w:hint="cs"/>
          <w:sz w:val="27"/>
          <w:rtl/>
        </w:rPr>
        <w:t>ّ</w:t>
      </w:r>
      <w:r w:rsidRPr="00904FCB">
        <w:rPr>
          <w:rFonts w:hint="cs"/>
          <w:sz w:val="27"/>
          <w:rtl/>
        </w:rPr>
        <w:t xml:space="preserve"> العلوي)</w:t>
      </w:r>
      <w:r w:rsidRPr="00904FCB">
        <w:rPr>
          <w:rFonts w:hint="eastAsia"/>
          <w:sz w:val="27"/>
          <w:rtl/>
        </w:rPr>
        <w:t>»</w:t>
      </w:r>
      <w:r w:rsidRPr="00904FCB">
        <w:rPr>
          <w:sz w:val="27"/>
          <w:vertAlign w:val="superscript"/>
          <w:rtl/>
        </w:rPr>
        <w:t>(</w:t>
      </w:r>
      <w:r w:rsidRPr="00904FCB">
        <w:rPr>
          <w:rStyle w:val="ac"/>
          <w:sz w:val="27"/>
          <w:rtl/>
        </w:rPr>
        <w:endnoteReference w:id="242"/>
      </w:r>
      <w:r w:rsidRPr="00904FCB">
        <w:rPr>
          <w:sz w:val="27"/>
          <w:vertAlign w:val="superscript"/>
          <w:rtl/>
        </w:rPr>
        <w:t>)</w:t>
      </w:r>
      <w:r w:rsidRPr="00904FCB">
        <w:rPr>
          <w:sz w:val="27"/>
          <w:rtl/>
        </w:rPr>
        <w:t>.</w:t>
      </w:r>
      <w:r w:rsidRPr="00904FCB">
        <w:rPr>
          <w:sz w:val="27"/>
          <w:vertAlign w:val="superscript"/>
          <w:rtl/>
        </w:rPr>
        <w:t xml:space="preserve"> </w:t>
      </w:r>
    </w:p>
    <w:p w:rsidR="00644408" w:rsidRPr="00904FCB" w:rsidRDefault="00644408" w:rsidP="007A21AA">
      <w:pPr>
        <w:spacing w:line="400" w:lineRule="exact"/>
        <w:rPr>
          <w:sz w:val="27"/>
          <w:rtl/>
        </w:rPr>
      </w:pPr>
      <w:r w:rsidRPr="00904FCB">
        <w:rPr>
          <w:rFonts w:hint="cs"/>
          <w:sz w:val="27"/>
          <w:rtl/>
        </w:rPr>
        <w:t xml:space="preserve"> ويمكن تلخيص الأقوال المتقدّمة: </w:t>
      </w:r>
    </w:p>
    <w:p w:rsidR="00644408" w:rsidRPr="00904FCB" w:rsidRDefault="00644408" w:rsidP="007A21AA">
      <w:pPr>
        <w:spacing w:line="400" w:lineRule="exact"/>
        <w:rPr>
          <w:sz w:val="27"/>
          <w:rtl/>
        </w:rPr>
      </w:pPr>
      <w:r w:rsidRPr="00904FCB">
        <w:rPr>
          <w:rFonts w:hint="cs"/>
          <w:b/>
          <w:bCs/>
          <w:sz w:val="27"/>
          <w:rtl/>
        </w:rPr>
        <w:t>ـ القول الأوّل</w:t>
      </w:r>
      <w:r w:rsidR="000C7243">
        <w:rPr>
          <w:rFonts w:hint="cs"/>
          <w:sz w:val="27"/>
          <w:rtl/>
        </w:rPr>
        <w:t>: وهو ما ذهب إليه علي بن محم</w:t>
      </w:r>
      <w:r w:rsidRPr="00904FCB">
        <w:rPr>
          <w:rFonts w:hint="cs"/>
          <w:sz w:val="27"/>
          <w:rtl/>
        </w:rPr>
        <w:t>د الجبعيّ العامليّ من أنّ الرسالة للمفيد، وتبعه على ذلك المجلسيّ</w:t>
      </w:r>
      <w:r w:rsidR="006B66EA" w:rsidRPr="00904FCB">
        <w:rPr>
          <w:rFonts w:hint="cs"/>
          <w:sz w:val="27"/>
          <w:rtl/>
        </w:rPr>
        <w:t>.</w:t>
      </w:r>
      <w:r w:rsidRPr="00904FCB">
        <w:rPr>
          <w:rFonts w:hint="cs"/>
          <w:sz w:val="27"/>
          <w:rtl/>
        </w:rPr>
        <w:t xml:space="preserve"> ولم يبيّ</w:t>
      </w:r>
      <w:r w:rsidR="006B66EA" w:rsidRPr="00904FCB">
        <w:rPr>
          <w:rFonts w:hint="cs"/>
          <w:sz w:val="27"/>
          <w:rtl/>
        </w:rPr>
        <w:t>ِ</w:t>
      </w:r>
      <w:r w:rsidRPr="00904FCB">
        <w:rPr>
          <w:rFonts w:hint="cs"/>
          <w:sz w:val="27"/>
          <w:rtl/>
        </w:rPr>
        <w:t>ن الثاني وجهه وسببه</w:t>
      </w:r>
      <w:r w:rsidR="006B66EA" w:rsidRPr="00904FCB">
        <w:rPr>
          <w:rFonts w:hint="cs"/>
          <w:sz w:val="27"/>
          <w:rtl/>
        </w:rPr>
        <w:t>،</w:t>
      </w:r>
      <w:r w:rsidRPr="00904FCB">
        <w:rPr>
          <w:rFonts w:hint="cs"/>
          <w:sz w:val="27"/>
          <w:rtl/>
        </w:rPr>
        <w:t xml:space="preserve"> ذاكراً لذلك مؤي</w:t>
      </w:r>
      <w:r w:rsidR="006B66EA" w:rsidRPr="00904FCB">
        <w:rPr>
          <w:rFonts w:hint="cs"/>
          <w:sz w:val="27"/>
          <w:rtl/>
        </w:rPr>
        <w:t>ِّ</w:t>
      </w:r>
      <w:r w:rsidRPr="00904FCB">
        <w:rPr>
          <w:rFonts w:hint="cs"/>
          <w:sz w:val="27"/>
          <w:rtl/>
        </w:rPr>
        <w:t xml:space="preserve">دين: </w:t>
      </w:r>
    </w:p>
    <w:p w:rsidR="00644408" w:rsidRPr="00904FCB" w:rsidRDefault="00644408" w:rsidP="007A21AA">
      <w:pPr>
        <w:spacing w:line="400" w:lineRule="exact"/>
        <w:rPr>
          <w:sz w:val="27"/>
          <w:rtl/>
        </w:rPr>
      </w:pPr>
      <w:r w:rsidRPr="00904FCB">
        <w:rPr>
          <w:rFonts w:hint="cs"/>
          <w:b/>
          <w:bCs/>
          <w:sz w:val="27"/>
          <w:rtl/>
        </w:rPr>
        <w:t>الأوّل</w:t>
      </w:r>
      <w:r w:rsidRPr="00904FCB">
        <w:rPr>
          <w:rFonts w:hint="cs"/>
          <w:sz w:val="27"/>
          <w:rtl/>
        </w:rPr>
        <w:t>: يمكن اعتباره دليلاً داخلي</w:t>
      </w:r>
      <w:r w:rsidR="006B66EA" w:rsidRPr="00904FCB">
        <w:rPr>
          <w:rFonts w:hint="cs"/>
          <w:sz w:val="27"/>
          <w:rtl/>
        </w:rPr>
        <w:t>ّ</w:t>
      </w:r>
      <w:r w:rsidRPr="00904FCB">
        <w:rPr>
          <w:rFonts w:hint="cs"/>
          <w:sz w:val="27"/>
          <w:rtl/>
        </w:rPr>
        <w:t>اً، حيث قاس فيه كثرة الفصول التي اعتاد المفيد على ذكرها في مصن</w:t>
      </w:r>
      <w:r w:rsidR="006B66EA" w:rsidRPr="00904FCB">
        <w:rPr>
          <w:rFonts w:hint="cs"/>
          <w:sz w:val="27"/>
          <w:rtl/>
        </w:rPr>
        <w:t>َّ</w:t>
      </w:r>
      <w:r w:rsidRPr="00904FCB">
        <w:rPr>
          <w:rFonts w:hint="cs"/>
          <w:sz w:val="27"/>
          <w:rtl/>
        </w:rPr>
        <w:t xml:space="preserve">فاته على الفصول الكثيرة بالطريقة نفسها في هذه الرسالة. </w:t>
      </w:r>
    </w:p>
    <w:p w:rsidR="00644408" w:rsidRPr="00904FCB" w:rsidRDefault="00644408" w:rsidP="007A21AA">
      <w:pPr>
        <w:spacing w:line="400" w:lineRule="exact"/>
        <w:rPr>
          <w:sz w:val="27"/>
          <w:rtl/>
        </w:rPr>
      </w:pPr>
      <w:r w:rsidRPr="00904FCB">
        <w:rPr>
          <w:rFonts w:hint="cs"/>
          <w:sz w:val="27"/>
          <w:rtl/>
        </w:rPr>
        <w:t>وهذا لا يصلح لوحده ـ إن</w:t>
      </w:r>
      <w:r w:rsidR="006B66EA" w:rsidRPr="00904FCB">
        <w:rPr>
          <w:rFonts w:hint="cs"/>
          <w:sz w:val="27"/>
          <w:rtl/>
        </w:rPr>
        <w:t>ْ</w:t>
      </w:r>
      <w:r w:rsidRPr="00904FCB">
        <w:rPr>
          <w:rFonts w:hint="cs"/>
          <w:sz w:val="27"/>
          <w:rtl/>
        </w:rPr>
        <w:t xml:space="preserve"> صحّ ـ على تثبيت صح</w:t>
      </w:r>
      <w:r w:rsidR="006B66EA" w:rsidRPr="00904FCB">
        <w:rPr>
          <w:rFonts w:hint="cs"/>
          <w:sz w:val="27"/>
          <w:rtl/>
        </w:rPr>
        <w:t>ّ</w:t>
      </w:r>
      <w:r w:rsidRPr="00904FCB">
        <w:rPr>
          <w:rFonts w:hint="cs"/>
          <w:sz w:val="27"/>
          <w:rtl/>
        </w:rPr>
        <w:t>ة النسبة، بل لا ب</w:t>
      </w:r>
      <w:r w:rsidR="006B66EA" w:rsidRPr="00904FCB">
        <w:rPr>
          <w:rFonts w:hint="cs"/>
          <w:sz w:val="27"/>
          <w:rtl/>
        </w:rPr>
        <w:t>ُ</w:t>
      </w:r>
      <w:r w:rsidRPr="00904FCB">
        <w:rPr>
          <w:rFonts w:hint="cs"/>
          <w:sz w:val="27"/>
          <w:rtl/>
        </w:rPr>
        <w:t>د</w:t>
      </w:r>
      <w:r w:rsidR="006B66EA" w:rsidRPr="00904FCB">
        <w:rPr>
          <w:rFonts w:hint="cs"/>
          <w:sz w:val="27"/>
          <w:rtl/>
        </w:rPr>
        <w:t>َّ</w:t>
      </w:r>
      <w:r w:rsidRPr="00904FCB">
        <w:rPr>
          <w:rFonts w:hint="cs"/>
          <w:sz w:val="27"/>
          <w:rtl/>
        </w:rPr>
        <w:t xml:space="preserve"> من ضم</w:t>
      </w:r>
      <w:r w:rsidR="006B66EA" w:rsidRPr="00904FCB">
        <w:rPr>
          <w:rFonts w:hint="cs"/>
          <w:sz w:val="27"/>
          <w:rtl/>
        </w:rPr>
        <w:t>ّ</w:t>
      </w:r>
      <w:r w:rsidRPr="00904FCB">
        <w:rPr>
          <w:rFonts w:hint="cs"/>
          <w:sz w:val="27"/>
          <w:rtl/>
        </w:rPr>
        <w:t xml:space="preserve"> غيره إليه. </w:t>
      </w:r>
    </w:p>
    <w:p w:rsidR="00644408" w:rsidRPr="00904FCB" w:rsidRDefault="00644408" w:rsidP="007A21AA">
      <w:pPr>
        <w:spacing w:line="400" w:lineRule="exact"/>
        <w:rPr>
          <w:sz w:val="27"/>
          <w:rtl/>
        </w:rPr>
      </w:pPr>
      <w:r w:rsidRPr="00904FCB">
        <w:rPr>
          <w:rFonts w:hint="cs"/>
          <w:b/>
          <w:bCs/>
          <w:sz w:val="27"/>
          <w:rtl/>
        </w:rPr>
        <w:t>الثاني</w:t>
      </w:r>
      <w:r w:rsidRPr="00904FCB">
        <w:rPr>
          <w:rFonts w:hint="cs"/>
          <w:sz w:val="27"/>
          <w:rtl/>
        </w:rPr>
        <w:t>: ما يدخل تحت الدليل الخارجيّ، ويتمثّل ذلك في</w:t>
      </w:r>
      <w:r w:rsidR="006B66EA" w:rsidRPr="00904FCB">
        <w:rPr>
          <w:rFonts w:hint="cs"/>
          <w:sz w:val="27"/>
          <w:rtl/>
        </w:rPr>
        <w:t xml:space="preserve"> </w:t>
      </w:r>
      <w:r w:rsidRPr="00904FCB">
        <w:rPr>
          <w:rFonts w:hint="cs"/>
          <w:sz w:val="27"/>
          <w:rtl/>
        </w:rPr>
        <w:t>ما ذكره عن ابن شهرآشوب في نسبة رسالة</w:t>
      </w:r>
      <w:r w:rsidR="006B66EA" w:rsidRPr="00904FCB">
        <w:rPr>
          <w:rFonts w:hint="cs"/>
          <w:sz w:val="27"/>
          <w:rtl/>
        </w:rPr>
        <w:t>ٍ</w:t>
      </w:r>
      <w:r w:rsidRPr="00904FCB">
        <w:rPr>
          <w:rFonts w:hint="cs"/>
          <w:sz w:val="27"/>
          <w:rtl/>
        </w:rPr>
        <w:t xml:space="preserve"> بعنوان </w:t>
      </w:r>
      <w:r w:rsidRPr="00904FCB">
        <w:rPr>
          <w:rFonts w:hint="eastAsia"/>
          <w:sz w:val="27"/>
          <w:rtl/>
        </w:rPr>
        <w:t>«</w:t>
      </w:r>
      <w:r w:rsidRPr="00904FCB">
        <w:rPr>
          <w:rFonts w:hint="cs"/>
          <w:sz w:val="27"/>
          <w:rtl/>
        </w:rPr>
        <w:t>الردّ على ابن بابويه</w:t>
      </w:r>
      <w:r w:rsidRPr="00904FCB">
        <w:rPr>
          <w:rFonts w:hint="eastAsia"/>
          <w:sz w:val="27"/>
          <w:rtl/>
        </w:rPr>
        <w:t>»</w:t>
      </w:r>
      <w:r w:rsidRPr="00904FCB">
        <w:rPr>
          <w:rFonts w:hint="cs"/>
          <w:sz w:val="27"/>
          <w:rtl/>
        </w:rPr>
        <w:t xml:space="preserve">. </w:t>
      </w:r>
    </w:p>
    <w:p w:rsidR="00644408" w:rsidRPr="00904FCB" w:rsidRDefault="00644408" w:rsidP="00062936">
      <w:pPr>
        <w:spacing w:line="400" w:lineRule="exact"/>
        <w:rPr>
          <w:sz w:val="27"/>
          <w:rtl/>
        </w:rPr>
      </w:pPr>
      <w:r w:rsidRPr="00904FCB">
        <w:rPr>
          <w:rFonts w:hint="cs"/>
          <w:sz w:val="27"/>
          <w:rtl/>
        </w:rPr>
        <w:t>وهذه الأخرى كما تصلح في الانطباق على هذه الرسالة التي بين أيدينا تصلح كذلك للانطباق على غيرها، ولا معيّ</w:t>
      </w:r>
      <w:r w:rsidR="006B66EA" w:rsidRPr="00904FCB">
        <w:rPr>
          <w:rFonts w:hint="cs"/>
          <w:sz w:val="27"/>
          <w:rtl/>
        </w:rPr>
        <w:t>ِ</w:t>
      </w:r>
      <w:r w:rsidRPr="00904FCB">
        <w:rPr>
          <w:rFonts w:hint="cs"/>
          <w:sz w:val="27"/>
          <w:rtl/>
        </w:rPr>
        <w:t>ن لواحدة</w:t>
      </w:r>
      <w:r w:rsidR="006B66EA" w:rsidRPr="00904FCB">
        <w:rPr>
          <w:rFonts w:hint="cs"/>
          <w:sz w:val="27"/>
          <w:rtl/>
        </w:rPr>
        <w:t>ٍ</w:t>
      </w:r>
      <w:r w:rsidRPr="00904FCB">
        <w:rPr>
          <w:rFonts w:hint="cs"/>
          <w:sz w:val="27"/>
          <w:rtl/>
        </w:rPr>
        <w:t xml:space="preserve"> من الطرفين يقطع الش</w:t>
      </w:r>
      <w:r w:rsidR="006B66EA" w:rsidRPr="00904FCB">
        <w:rPr>
          <w:rFonts w:hint="cs"/>
          <w:sz w:val="27"/>
          <w:rtl/>
        </w:rPr>
        <w:t>َّ</w:t>
      </w:r>
      <w:r w:rsidRPr="00904FCB">
        <w:rPr>
          <w:rFonts w:hint="cs"/>
          <w:sz w:val="27"/>
          <w:rtl/>
        </w:rPr>
        <w:t>ر</w:t>
      </w:r>
      <w:r w:rsidR="006B66EA" w:rsidRPr="00904FCB">
        <w:rPr>
          <w:rFonts w:hint="cs"/>
          <w:sz w:val="27"/>
          <w:rtl/>
        </w:rPr>
        <w:t>ِ</w:t>
      </w:r>
      <w:r w:rsidRPr="00904FCB">
        <w:rPr>
          <w:rFonts w:hint="cs"/>
          <w:sz w:val="27"/>
          <w:rtl/>
        </w:rPr>
        <w:t>كة</w:t>
      </w:r>
      <w:r w:rsidR="006B66EA" w:rsidRPr="00904FCB">
        <w:rPr>
          <w:rFonts w:hint="cs"/>
          <w:sz w:val="27"/>
          <w:rtl/>
        </w:rPr>
        <w:t>،</w:t>
      </w:r>
      <w:r w:rsidRPr="00904FCB">
        <w:rPr>
          <w:rFonts w:hint="cs"/>
          <w:sz w:val="27"/>
          <w:rtl/>
        </w:rPr>
        <w:t xml:space="preserve"> فلا يصلح هذا أيضاً. </w:t>
      </w:r>
    </w:p>
    <w:p w:rsidR="00644408" w:rsidRPr="00904FCB" w:rsidRDefault="00644408" w:rsidP="007A21AA">
      <w:pPr>
        <w:spacing w:line="400" w:lineRule="exact"/>
        <w:rPr>
          <w:sz w:val="27"/>
          <w:rtl/>
        </w:rPr>
      </w:pPr>
      <w:r w:rsidRPr="00904FCB">
        <w:rPr>
          <w:rFonts w:hint="cs"/>
          <w:b/>
          <w:bCs/>
          <w:sz w:val="27"/>
          <w:rtl/>
        </w:rPr>
        <w:t>الثالث</w:t>
      </w:r>
      <w:r w:rsidRPr="00904FCB">
        <w:rPr>
          <w:rFonts w:hint="cs"/>
          <w:sz w:val="27"/>
          <w:rtl/>
        </w:rPr>
        <w:t>: أمّا المانع الذي دفعه إلى القول بأنّ الرسالة ليست من تأليف الشيخ المفيد، وهو قوله: ولكن</w:t>
      </w:r>
      <w:r w:rsidR="006B66EA" w:rsidRPr="00904FCB">
        <w:rPr>
          <w:rFonts w:hint="cs"/>
          <w:sz w:val="27"/>
          <w:rtl/>
        </w:rPr>
        <w:t>ْ</w:t>
      </w:r>
      <w:r w:rsidRPr="00904FCB">
        <w:rPr>
          <w:rFonts w:hint="cs"/>
          <w:sz w:val="27"/>
          <w:rtl/>
        </w:rPr>
        <w:t xml:space="preserve"> من حيث زيادة التشنيع فيها يبعد كونها له، من حيث كونه يروي عنه</w:t>
      </w:r>
      <w:r w:rsidR="006B66EA" w:rsidRPr="00904FCB">
        <w:rPr>
          <w:rFonts w:hint="cs"/>
          <w:sz w:val="27"/>
          <w:rtl/>
        </w:rPr>
        <w:t xml:space="preserve">، </w:t>
      </w:r>
      <w:r w:rsidRPr="00904FCB">
        <w:rPr>
          <w:rFonts w:hint="cs"/>
          <w:sz w:val="27"/>
          <w:rtl/>
        </w:rPr>
        <w:t>فهذا السبب قد يجد له ما يؤي</w:t>
      </w:r>
      <w:r w:rsidR="006B66EA" w:rsidRPr="00904FCB">
        <w:rPr>
          <w:rFonts w:hint="cs"/>
          <w:sz w:val="27"/>
          <w:rtl/>
        </w:rPr>
        <w:t>ِّ</w:t>
      </w:r>
      <w:r w:rsidRPr="00904FCB">
        <w:rPr>
          <w:rFonts w:hint="cs"/>
          <w:sz w:val="27"/>
          <w:rtl/>
        </w:rPr>
        <w:t>ده أخلاقياً في الواقع، ولكن</w:t>
      </w:r>
      <w:r w:rsidR="006B66EA" w:rsidRPr="00904FCB">
        <w:rPr>
          <w:rFonts w:hint="cs"/>
          <w:sz w:val="27"/>
          <w:rtl/>
        </w:rPr>
        <w:t>ّ</w:t>
      </w:r>
      <w:r w:rsidRPr="00904FCB">
        <w:rPr>
          <w:rFonts w:hint="cs"/>
          <w:sz w:val="27"/>
          <w:rtl/>
        </w:rPr>
        <w:t>ه ليس سبباً مانعاً عن تصوّ</w:t>
      </w:r>
      <w:r w:rsidR="006B66EA" w:rsidRPr="00904FCB">
        <w:rPr>
          <w:rFonts w:hint="cs"/>
          <w:sz w:val="27"/>
          <w:rtl/>
        </w:rPr>
        <w:t>ُ</w:t>
      </w:r>
      <w:r w:rsidRPr="00904FCB">
        <w:rPr>
          <w:rFonts w:hint="cs"/>
          <w:sz w:val="27"/>
          <w:rtl/>
        </w:rPr>
        <w:t>ر نسبة الرسالة إلى الشيخ المفيد، وإلاّ فلو منع شيء</w:t>
      </w:r>
      <w:r w:rsidR="006B66EA" w:rsidRPr="00904FCB">
        <w:rPr>
          <w:rFonts w:hint="cs"/>
          <w:sz w:val="27"/>
          <w:rtl/>
        </w:rPr>
        <w:t>ٌ</w:t>
      </w:r>
      <w:r w:rsidRPr="00904FCB">
        <w:rPr>
          <w:rFonts w:hint="cs"/>
          <w:sz w:val="27"/>
          <w:rtl/>
        </w:rPr>
        <w:t xml:space="preserve"> من ذلك لما </w:t>
      </w:r>
      <w:r w:rsidRPr="00904FCB">
        <w:rPr>
          <w:rFonts w:hint="cs"/>
          <w:sz w:val="27"/>
          <w:rtl/>
        </w:rPr>
        <w:lastRenderedPageBreak/>
        <w:t>صحّت عندنا بعض الكتب المعلوم انتساب</w:t>
      </w:r>
      <w:r w:rsidR="006B66EA" w:rsidRPr="00904FCB">
        <w:rPr>
          <w:rFonts w:hint="cs"/>
          <w:sz w:val="27"/>
          <w:rtl/>
        </w:rPr>
        <w:t>ُها</w:t>
      </w:r>
      <w:r w:rsidRPr="00904FCB">
        <w:rPr>
          <w:rFonts w:hint="cs"/>
          <w:sz w:val="27"/>
          <w:rtl/>
        </w:rPr>
        <w:t xml:space="preserve"> إلى الشيخ المفيد، وخاصّة تلك الكتب التي اشتملت على بعض العبائر التي تقرب من صنف العبائر التي توف</w:t>
      </w:r>
      <w:r w:rsidR="006B66EA" w:rsidRPr="00904FCB">
        <w:rPr>
          <w:rFonts w:hint="cs"/>
          <w:sz w:val="27"/>
          <w:rtl/>
        </w:rPr>
        <w:t>َّ</w:t>
      </w:r>
      <w:r w:rsidRPr="00904FCB">
        <w:rPr>
          <w:rFonts w:hint="cs"/>
          <w:sz w:val="27"/>
          <w:rtl/>
        </w:rPr>
        <w:t xml:space="preserve">رت عليها الرسالة السهوية. </w:t>
      </w:r>
    </w:p>
    <w:p w:rsidR="00644408" w:rsidRPr="00904FCB" w:rsidRDefault="00644408" w:rsidP="007A21AA">
      <w:pPr>
        <w:spacing w:line="400" w:lineRule="exact"/>
        <w:rPr>
          <w:sz w:val="27"/>
          <w:rtl/>
        </w:rPr>
      </w:pPr>
      <w:r w:rsidRPr="00904FCB">
        <w:rPr>
          <w:rFonts w:hint="cs"/>
          <w:sz w:val="27"/>
          <w:rtl/>
        </w:rPr>
        <w:t>وتقريباً للصورة</w:t>
      </w:r>
      <w:r w:rsidR="006B66EA" w:rsidRPr="00904FCB">
        <w:rPr>
          <w:rFonts w:hint="cs"/>
          <w:sz w:val="27"/>
          <w:rtl/>
        </w:rPr>
        <w:t xml:space="preserve"> نقول</w:t>
      </w:r>
      <w:r w:rsidRPr="00904FCB">
        <w:rPr>
          <w:rFonts w:hint="cs"/>
          <w:sz w:val="27"/>
          <w:rtl/>
        </w:rPr>
        <w:t xml:space="preserve">: كتاب </w:t>
      </w:r>
      <w:r w:rsidRPr="00904FCB">
        <w:rPr>
          <w:rFonts w:hint="eastAsia"/>
          <w:sz w:val="27"/>
          <w:rtl/>
        </w:rPr>
        <w:t>«</w:t>
      </w:r>
      <w:r w:rsidRPr="00904FCB">
        <w:rPr>
          <w:rFonts w:hint="cs"/>
          <w:sz w:val="27"/>
          <w:rtl/>
        </w:rPr>
        <w:t>تصحيح الاعتقاد</w:t>
      </w:r>
      <w:r w:rsidRPr="00904FCB">
        <w:rPr>
          <w:rFonts w:hint="eastAsia"/>
          <w:sz w:val="27"/>
          <w:rtl/>
        </w:rPr>
        <w:t>»</w:t>
      </w:r>
      <w:r w:rsidRPr="00904FCB">
        <w:rPr>
          <w:rFonts w:hint="cs"/>
          <w:sz w:val="27"/>
          <w:rtl/>
        </w:rPr>
        <w:t xml:space="preserve"> هو من جملة الكتب التي صحّ</w:t>
      </w:r>
      <w:r w:rsidR="003E7004" w:rsidRPr="00904FCB">
        <w:rPr>
          <w:rFonts w:hint="cs"/>
          <w:sz w:val="27"/>
          <w:rtl/>
        </w:rPr>
        <w:t>َ</w:t>
      </w:r>
      <w:r w:rsidR="006B66EA" w:rsidRPr="00904FCB">
        <w:rPr>
          <w:rFonts w:hint="cs"/>
          <w:sz w:val="27"/>
          <w:rtl/>
        </w:rPr>
        <w:t>ت</w:t>
      </w:r>
      <w:r w:rsidR="003E7004" w:rsidRPr="00904FCB">
        <w:rPr>
          <w:rFonts w:hint="cs"/>
          <w:sz w:val="27"/>
          <w:rtl/>
        </w:rPr>
        <w:t>ْ</w:t>
      </w:r>
      <w:r w:rsidRPr="00904FCB">
        <w:rPr>
          <w:rFonts w:hint="cs"/>
          <w:sz w:val="27"/>
          <w:rtl/>
        </w:rPr>
        <w:t xml:space="preserve"> نسبت</w:t>
      </w:r>
      <w:r w:rsidR="003E7004" w:rsidRPr="00904FCB">
        <w:rPr>
          <w:rFonts w:hint="cs"/>
          <w:sz w:val="27"/>
          <w:rtl/>
        </w:rPr>
        <w:t>ُ</w:t>
      </w:r>
      <w:r w:rsidRPr="00904FCB">
        <w:rPr>
          <w:rFonts w:hint="cs"/>
          <w:sz w:val="27"/>
          <w:rtl/>
        </w:rPr>
        <w:t xml:space="preserve">ها </w:t>
      </w:r>
      <w:r w:rsidR="003E7004" w:rsidRPr="00904FCB">
        <w:rPr>
          <w:rFonts w:hint="cs"/>
          <w:sz w:val="27"/>
          <w:rtl/>
        </w:rPr>
        <w:t>إلى ا</w:t>
      </w:r>
      <w:r w:rsidRPr="00904FCB">
        <w:rPr>
          <w:rFonts w:hint="cs"/>
          <w:sz w:val="27"/>
          <w:rtl/>
        </w:rPr>
        <w:t>لمفيد، ومع ذلك حمل بين ثناياه شيئاً من تلك العبائر</w:t>
      </w:r>
      <w:r w:rsidR="00E51C15" w:rsidRPr="00904FCB">
        <w:rPr>
          <w:rFonts w:hint="cs"/>
          <w:sz w:val="27"/>
          <w:rtl/>
        </w:rPr>
        <w:t>.</w:t>
      </w:r>
      <w:r w:rsidRPr="00904FCB">
        <w:rPr>
          <w:rFonts w:hint="cs"/>
          <w:sz w:val="27"/>
          <w:rtl/>
        </w:rPr>
        <w:t xml:space="preserve"> وإليك بعضها: </w:t>
      </w:r>
    </w:p>
    <w:p w:rsidR="00644408" w:rsidRPr="00904FCB" w:rsidRDefault="00644408" w:rsidP="00510A75">
      <w:pPr>
        <w:spacing w:line="400" w:lineRule="exact"/>
        <w:rPr>
          <w:sz w:val="27"/>
          <w:rtl/>
        </w:rPr>
      </w:pPr>
      <w:r w:rsidRPr="00904FCB">
        <w:rPr>
          <w:rFonts w:hint="cs"/>
          <w:sz w:val="27"/>
          <w:rtl/>
        </w:rPr>
        <w:t>ـ قال الشيخ المفيد: الذي ذكره الشيخ أبو جعفر</w:t>
      </w:r>
      <w:r w:rsidR="00510A75" w:rsidRPr="00756F2A">
        <w:rPr>
          <w:rFonts w:ascii="Mosawi" w:hAnsi="Mosawi" w:cs="Mosawi"/>
          <w:sz w:val="22"/>
          <w:szCs w:val="22"/>
          <w:rtl/>
        </w:rPr>
        <w:t>&amp;</w:t>
      </w:r>
      <w:r w:rsidRPr="00904FCB">
        <w:rPr>
          <w:rFonts w:hint="cs"/>
          <w:sz w:val="27"/>
          <w:rtl/>
        </w:rPr>
        <w:t xml:space="preserve"> في هذا الباب لا يتحصّ</w:t>
      </w:r>
      <w:r w:rsidR="003E7004" w:rsidRPr="00904FCB">
        <w:rPr>
          <w:rFonts w:hint="cs"/>
          <w:sz w:val="27"/>
          <w:rtl/>
        </w:rPr>
        <w:t>َ</w:t>
      </w:r>
      <w:r w:rsidRPr="00904FCB">
        <w:rPr>
          <w:rFonts w:hint="cs"/>
          <w:sz w:val="27"/>
          <w:rtl/>
        </w:rPr>
        <w:t>ل، ومعانيه تختلف وتتناقض</w:t>
      </w:r>
      <w:r w:rsidR="003E7004" w:rsidRPr="00904FCB">
        <w:rPr>
          <w:rFonts w:hint="cs"/>
          <w:sz w:val="27"/>
          <w:rtl/>
        </w:rPr>
        <w:t>؛</w:t>
      </w:r>
      <w:r w:rsidRPr="00904FCB">
        <w:rPr>
          <w:rFonts w:hint="cs"/>
          <w:sz w:val="27"/>
          <w:rtl/>
        </w:rPr>
        <w:t xml:space="preserve"> والسبب في ذلك أنّه عمل على ظواهر الأحاديث المختلفة، ولم يكن مم</w:t>
      </w:r>
      <w:r w:rsidR="003E7004" w:rsidRPr="00904FCB">
        <w:rPr>
          <w:rFonts w:hint="cs"/>
          <w:sz w:val="27"/>
          <w:rtl/>
        </w:rPr>
        <w:t>َّ</w:t>
      </w:r>
      <w:r w:rsidRPr="00904FCB">
        <w:rPr>
          <w:rFonts w:hint="cs"/>
          <w:sz w:val="27"/>
          <w:rtl/>
        </w:rPr>
        <w:t>ن</w:t>
      </w:r>
      <w:r w:rsidR="003E7004" w:rsidRPr="00904FCB">
        <w:rPr>
          <w:rFonts w:hint="cs"/>
          <w:sz w:val="27"/>
          <w:rtl/>
        </w:rPr>
        <w:t>ْ</w:t>
      </w:r>
      <w:r w:rsidRPr="00904FCB">
        <w:rPr>
          <w:rFonts w:hint="cs"/>
          <w:sz w:val="27"/>
          <w:rtl/>
        </w:rPr>
        <w:t xml:space="preserve"> يرى النظر</w:t>
      </w:r>
      <w:r w:rsidR="003E7004" w:rsidRPr="00904FCB">
        <w:rPr>
          <w:rFonts w:hint="cs"/>
          <w:sz w:val="27"/>
          <w:rtl/>
        </w:rPr>
        <w:t>،</w:t>
      </w:r>
      <w:r w:rsidRPr="00904FCB">
        <w:rPr>
          <w:rFonts w:hint="cs"/>
          <w:sz w:val="27"/>
          <w:rtl/>
        </w:rPr>
        <w:t xml:space="preserve"> فيميّ</w:t>
      </w:r>
      <w:r w:rsidR="003E7004" w:rsidRPr="00904FCB">
        <w:rPr>
          <w:rFonts w:hint="cs"/>
          <w:sz w:val="27"/>
          <w:rtl/>
        </w:rPr>
        <w:t>ِ</w:t>
      </w:r>
      <w:r w:rsidRPr="00904FCB">
        <w:rPr>
          <w:rFonts w:hint="cs"/>
          <w:sz w:val="27"/>
          <w:rtl/>
        </w:rPr>
        <w:t>ز بين الحقّ منها والباطل</w:t>
      </w:r>
      <w:r w:rsidR="003E7004" w:rsidRPr="00904FCB">
        <w:rPr>
          <w:rFonts w:hint="cs"/>
          <w:sz w:val="27"/>
          <w:rtl/>
        </w:rPr>
        <w:t>،</w:t>
      </w:r>
      <w:r w:rsidRPr="00904FCB">
        <w:rPr>
          <w:rFonts w:hint="cs"/>
          <w:sz w:val="27"/>
          <w:rtl/>
        </w:rPr>
        <w:t xml:space="preserve"> ويعمل على ما يوجب الحجّة</w:t>
      </w:r>
      <w:r w:rsidR="003E7004" w:rsidRPr="00904FCB">
        <w:rPr>
          <w:rFonts w:hint="cs"/>
          <w:sz w:val="27"/>
          <w:rtl/>
        </w:rPr>
        <w:t>.</w:t>
      </w:r>
      <w:r w:rsidRPr="00904FCB">
        <w:rPr>
          <w:rFonts w:hint="cs"/>
          <w:sz w:val="27"/>
          <w:rtl/>
        </w:rPr>
        <w:t xml:space="preserve"> وم</w:t>
      </w:r>
      <w:r w:rsidR="003E7004" w:rsidRPr="00904FCB">
        <w:rPr>
          <w:rFonts w:hint="cs"/>
          <w:sz w:val="27"/>
          <w:rtl/>
        </w:rPr>
        <w:t>َ</w:t>
      </w:r>
      <w:r w:rsidRPr="00904FCB">
        <w:rPr>
          <w:rFonts w:hint="cs"/>
          <w:sz w:val="27"/>
          <w:rtl/>
        </w:rPr>
        <w:t>ن</w:t>
      </w:r>
      <w:r w:rsidR="003E7004" w:rsidRPr="00904FCB">
        <w:rPr>
          <w:rFonts w:hint="cs"/>
          <w:sz w:val="27"/>
          <w:rtl/>
        </w:rPr>
        <w:t>ْ</w:t>
      </w:r>
      <w:r w:rsidRPr="00904FCB">
        <w:rPr>
          <w:rFonts w:hint="cs"/>
          <w:sz w:val="27"/>
          <w:rtl/>
        </w:rPr>
        <w:t xml:space="preserve"> عوّل في مذهبه على الأقاويل المختلفة وتقليد الرواة كانت حاله في الضعف ما وصفناه</w:t>
      </w:r>
      <w:r w:rsidRPr="00904FCB">
        <w:rPr>
          <w:sz w:val="27"/>
          <w:vertAlign w:val="superscript"/>
          <w:rtl/>
        </w:rPr>
        <w:t>(</w:t>
      </w:r>
      <w:r w:rsidRPr="00904FCB">
        <w:rPr>
          <w:rStyle w:val="ac"/>
          <w:sz w:val="27"/>
          <w:rtl/>
        </w:rPr>
        <w:endnoteReference w:id="243"/>
      </w:r>
      <w:r w:rsidRPr="00904FCB">
        <w:rPr>
          <w:sz w:val="27"/>
          <w:vertAlign w:val="superscript"/>
          <w:rtl/>
        </w:rPr>
        <w:t>)</w:t>
      </w:r>
      <w:r w:rsidRPr="00904FCB">
        <w:rPr>
          <w:sz w:val="27"/>
          <w:rtl/>
        </w:rPr>
        <w:t>.</w:t>
      </w:r>
      <w:r w:rsidRPr="00904FCB">
        <w:rPr>
          <w:sz w:val="27"/>
          <w:vertAlign w:val="superscript"/>
          <w:rtl/>
        </w:rPr>
        <w:t xml:space="preserve"> </w:t>
      </w:r>
    </w:p>
    <w:p w:rsidR="00644408" w:rsidRPr="00904FCB" w:rsidRDefault="00644408" w:rsidP="00510A75">
      <w:pPr>
        <w:spacing w:line="400" w:lineRule="exact"/>
        <w:rPr>
          <w:sz w:val="27"/>
          <w:rtl/>
        </w:rPr>
      </w:pPr>
      <w:r w:rsidRPr="00904FCB">
        <w:rPr>
          <w:rFonts w:hint="cs"/>
          <w:sz w:val="27"/>
          <w:rtl/>
        </w:rPr>
        <w:t>ـ وقال أيضاً: عوّ</w:t>
      </w:r>
      <w:r w:rsidR="003E7004" w:rsidRPr="00904FCB">
        <w:rPr>
          <w:rFonts w:hint="cs"/>
          <w:sz w:val="27"/>
          <w:rtl/>
        </w:rPr>
        <w:t>َ</w:t>
      </w:r>
      <w:r w:rsidRPr="00904FCB">
        <w:rPr>
          <w:rFonts w:hint="cs"/>
          <w:sz w:val="27"/>
          <w:rtl/>
        </w:rPr>
        <w:t>ل أبو جعفر</w:t>
      </w:r>
      <w:r w:rsidR="00510A75" w:rsidRPr="00756F2A">
        <w:rPr>
          <w:rFonts w:ascii="Mosawi" w:hAnsi="Mosawi" w:cs="Mosawi"/>
          <w:sz w:val="22"/>
          <w:szCs w:val="22"/>
          <w:rtl/>
        </w:rPr>
        <w:t>&amp;</w:t>
      </w:r>
      <w:r w:rsidRPr="00904FCB">
        <w:rPr>
          <w:rFonts w:hint="cs"/>
          <w:sz w:val="27"/>
          <w:rtl/>
        </w:rPr>
        <w:t xml:space="preserve"> في هذا الباب على أحاديث شواذ</w:t>
      </w:r>
      <w:r w:rsidR="003E7004" w:rsidRPr="00904FCB">
        <w:rPr>
          <w:rFonts w:hint="cs"/>
          <w:sz w:val="27"/>
          <w:rtl/>
        </w:rPr>
        <w:t>ّ،</w:t>
      </w:r>
      <w:r w:rsidRPr="00904FCB">
        <w:rPr>
          <w:rFonts w:hint="cs"/>
          <w:sz w:val="27"/>
          <w:rtl/>
        </w:rPr>
        <w:t xml:space="preserve"> لها وجوه يعرفها العلماء متى صحّت وثبت إسنادها، ولم يق</w:t>
      </w:r>
      <w:r w:rsidR="003E7004" w:rsidRPr="00904FCB">
        <w:rPr>
          <w:rFonts w:hint="cs"/>
          <w:sz w:val="27"/>
          <w:rtl/>
        </w:rPr>
        <w:t>ُ</w:t>
      </w:r>
      <w:r w:rsidRPr="00904FCB">
        <w:rPr>
          <w:rFonts w:hint="cs"/>
          <w:sz w:val="27"/>
          <w:rtl/>
        </w:rPr>
        <w:t>ل</w:t>
      </w:r>
      <w:r w:rsidR="003E7004" w:rsidRPr="00904FCB">
        <w:rPr>
          <w:rFonts w:hint="cs"/>
          <w:sz w:val="27"/>
          <w:rtl/>
        </w:rPr>
        <w:t>ْ</w:t>
      </w:r>
      <w:r w:rsidRPr="00904FCB">
        <w:rPr>
          <w:rFonts w:hint="cs"/>
          <w:sz w:val="27"/>
          <w:rtl/>
        </w:rPr>
        <w:t xml:space="preserve"> فيه ق</w:t>
      </w:r>
      <w:r w:rsidR="003E7004" w:rsidRPr="00904FCB">
        <w:rPr>
          <w:rFonts w:hint="cs"/>
          <w:sz w:val="27"/>
          <w:rtl/>
        </w:rPr>
        <w:t>َ</w:t>
      </w:r>
      <w:r w:rsidRPr="00904FCB">
        <w:rPr>
          <w:rFonts w:hint="cs"/>
          <w:sz w:val="27"/>
          <w:rtl/>
        </w:rPr>
        <w:t>و</w:t>
      </w:r>
      <w:r w:rsidR="003E7004" w:rsidRPr="00904FCB">
        <w:rPr>
          <w:rFonts w:hint="cs"/>
          <w:sz w:val="27"/>
          <w:rtl/>
        </w:rPr>
        <w:t>ْ</w:t>
      </w:r>
      <w:r w:rsidRPr="00904FCB">
        <w:rPr>
          <w:rFonts w:hint="cs"/>
          <w:sz w:val="27"/>
          <w:rtl/>
        </w:rPr>
        <w:t>لاً محصّ</w:t>
      </w:r>
      <w:r w:rsidR="003E7004" w:rsidRPr="00904FCB">
        <w:rPr>
          <w:rFonts w:hint="cs"/>
          <w:sz w:val="27"/>
          <w:rtl/>
        </w:rPr>
        <w:t>َ</w:t>
      </w:r>
      <w:r w:rsidRPr="00904FCB">
        <w:rPr>
          <w:rFonts w:hint="cs"/>
          <w:sz w:val="27"/>
          <w:rtl/>
        </w:rPr>
        <w:t>لاً</w:t>
      </w:r>
      <w:r w:rsidR="003E7004" w:rsidRPr="00904FCB">
        <w:rPr>
          <w:rFonts w:hint="cs"/>
          <w:sz w:val="27"/>
          <w:rtl/>
        </w:rPr>
        <w:t>.</w:t>
      </w:r>
      <w:r w:rsidRPr="00904FCB">
        <w:rPr>
          <w:rFonts w:hint="cs"/>
          <w:sz w:val="27"/>
          <w:rtl/>
        </w:rPr>
        <w:t xml:space="preserve"> وقد كان ينبغي له لم</w:t>
      </w:r>
      <w:r w:rsidR="003E7004" w:rsidRPr="00904FCB">
        <w:rPr>
          <w:rFonts w:hint="cs"/>
          <w:sz w:val="27"/>
          <w:rtl/>
        </w:rPr>
        <w:t>ّ</w:t>
      </w:r>
      <w:r w:rsidRPr="00904FCB">
        <w:rPr>
          <w:rFonts w:hint="cs"/>
          <w:sz w:val="27"/>
          <w:rtl/>
        </w:rPr>
        <w:t>ا لم يكن يعرف للقضاء معنى أن يهمل الكلام فيه</w:t>
      </w:r>
      <w:r w:rsidRPr="00904FCB">
        <w:rPr>
          <w:sz w:val="27"/>
          <w:vertAlign w:val="superscript"/>
          <w:rtl/>
        </w:rPr>
        <w:t>(</w:t>
      </w:r>
      <w:r w:rsidRPr="00904FCB">
        <w:rPr>
          <w:rStyle w:val="ac"/>
          <w:sz w:val="27"/>
          <w:rtl/>
        </w:rPr>
        <w:endnoteReference w:id="244"/>
      </w:r>
      <w:r w:rsidRPr="00904FCB">
        <w:rPr>
          <w:sz w:val="27"/>
          <w:vertAlign w:val="superscript"/>
          <w:rtl/>
        </w:rPr>
        <w:t>)</w:t>
      </w:r>
      <w:r w:rsidRPr="00904FCB">
        <w:rPr>
          <w:sz w:val="27"/>
          <w:rtl/>
        </w:rPr>
        <w:t>.</w:t>
      </w:r>
      <w:r w:rsidRPr="00904FCB">
        <w:rPr>
          <w:sz w:val="27"/>
          <w:vertAlign w:val="superscript"/>
          <w:rtl/>
        </w:rPr>
        <w:t xml:space="preserve"> </w:t>
      </w:r>
    </w:p>
    <w:p w:rsidR="00644408" w:rsidRPr="00904FCB" w:rsidRDefault="00644408" w:rsidP="007A21AA">
      <w:pPr>
        <w:spacing w:line="400" w:lineRule="exact"/>
        <w:rPr>
          <w:sz w:val="27"/>
          <w:rtl/>
        </w:rPr>
      </w:pPr>
      <w:r w:rsidRPr="00904FCB">
        <w:rPr>
          <w:rFonts w:hint="cs"/>
          <w:sz w:val="27"/>
          <w:rtl/>
        </w:rPr>
        <w:t>ـ وقال: كلام أبي جعفر في النفس والرّوح على مذهب الحدس</w:t>
      </w:r>
      <w:r w:rsidR="003E7004" w:rsidRPr="00904FCB">
        <w:rPr>
          <w:rFonts w:hint="cs"/>
          <w:sz w:val="27"/>
          <w:rtl/>
        </w:rPr>
        <w:t>،</w:t>
      </w:r>
      <w:r w:rsidRPr="00904FCB">
        <w:rPr>
          <w:rFonts w:hint="cs"/>
          <w:sz w:val="27"/>
          <w:rtl/>
        </w:rPr>
        <w:t xml:space="preserve"> دون التحقيق</w:t>
      </w:r>
      <w:r w:rsidR="003E7004" w:rsidRPr="00904FCB">
        <w:rPr>
          <w:rFonts w:hint="cs"/>
          <w:sz w:val="27"/>
          <w:rtl/>
        </w:rPr>
        <w:t>.</w:t>
      </w:r>
      <w:r w:rsidRPr="00904FCB">
        <w:rPr>
          <w:rFonts w:hint="cs"/>
          <w:sz w:val="27"/>
          <w:rtl/>
        </w:rPr>
        <w:t xml:space="preserve"> ولو اقتصر على الأخبار</w:t>
      </w:r>
      <w:r w:rsidR="000C7243">
        <w:rPr>
          <w:rFonts w:hint="cs"/>
          <w:sz w:val="27"/>
          <w:rtl/>
        </w:rPr>
        <w:t>،</w:t>
      </w:r>
      <w:r w:rsidRPr="00904FCB">
        <w:rPr>
          <w:rFonts w:hint="cs"/>
          <w:sz w:val="27"/>
          <w:rtl/>
        </w:rPr>
        <w:t xml:space="preserve"> ولم يتعاط</w:t>
      </w:r>
      <w:r w:rsidR="003E7004" w:rsidRPr="00904FCB">
        <w:rPr>
          <w:rFonts w:hint="cs"/>
          <w:sz w:val="27"/>
          <w:rtl/>
        </w:rPr>
        <w:t>َ</w:t>
      </w:r>
      <w:r w:rsidRPr="00904FCB">
        <w:rPr>
          <w:rFonts w:hint="cs"/>
          <w:sz w:val="27"/>
          <w:rtl/>
        </w:rPr>
        <w:t xml:space="preserve"> ذكر معانيها</w:t>
      </w:r>
      <w:r w:rsidR="000C7243">
        <w:rPr>
          <w:rFonts w:hint="cs"/>
          <w:sz w:val="27"/>
          <w:rtl/>
        </w:rPr>
        <w:t>،</w:t>
      </w:r>
      <w:r w:rsidRPr="00904FCB">
        <w:rPr>
          <w:rFonts w:hint="cs"/>
          <w:sz w:val="27"/>
          <w:rtl/>
        </w:rPr>
        <w:t xml:space="preserve"> كان أسلم ل</w:t>
      </w:r>
      <w:r w:rsidR="003E7004" w:rsidRPr="00904FCB">
        <w:rPr>
          <w:rFonts w:hint="cs"/>
          <w:sz w:val="27"/>
          <w:rtl/>
        </w:rPr>
        <w:t>ه</w:t>
      </w:r>
      <w:r w:rsidRPr="00904FCB">
        <w:rPr>
          <w:rFonts w:hint="cs"/>
          <w:sz w:val="27"/>
          <w:rtl/>
        </w:rPr>
        <w:t xml:space="preserve"> من الدخول في باب يضيق عنه سلوكه</w:t>
      </w:r>
      <w:r w:rsidRPr="00904FCB">
        <w:rPr>
          <w:sz w:val="27"/>
          <w:vertAlign w:val="superscript"/>
          <w:rtl/>
        </w:rPr>
        <w:t>(</w:t>
      </w:r>
      <w:r w:rsidRPr="00904FCB">
        <w:rPr>
          <w:rStyle w:val="ac"/>
          <w:sz w:val="27"/>
          <w:rtl/>
        </w:rPr>
        <w:endnoteReference w:id="245"/>
      </w:r>
      <w:r w:rsidRPr="00904FCB">
        <w:rPr>
          <w:sz w:val="27"/>
          <w:vertAlign w:val="superscript"/>
          <w:rtl/>
        </w:rPr>
        <w:t>)</w:t>
      </w:r>
      <w:r w:rsidRPr="00904FCB">
        <w:rPr>
          <w:sz w:val="27"/>
          <w:rtl/>
        </w:rPr>
        <w:t>.</w:t>
      </w:r>
      <w:r w:rsidRPr="00904FCB">
        <w:rPr>
          <w:sz w:val="27"/>
          <w:vertAlign w:val="superscript"/>
          <w:rtl/>
        </w:rPr>
        <w:t xml:space="preserve"> </w:t>
      </w:r>
    </w:p>
    <w:p w:rsidR="00644408" w:rsidRPr="00904FCB" w:rsidRDefault="00644408" w:rsidP="007A21AA">
      <w:pPr>
        <w:spacing w:line="400" w:lineRule="exact"/>
        <w:rPr>
          <w:sz w:val="27"/>
          <w:rtl/>
        </w:rPr>
      </w:pPr>
      <w:r w:rsidRPr="00904FCB">
        <w:rPr>
          <w:rFonts w:hint="cs"/>
          <w:sz w:val="27"/>
          <w:rtl/>
        </w:rPr>
        <w:t>إلى غيرها من العبارات الأخرى التي جاءت في هذا السياق</w:t>
      </w:r>
      <w:r w:rsidR="003E7004" w:rsidRPr="00904FCB">
        <w:rPr>
          <w:rFonts w:hint="cs"/>
          <w:sz w:val="27"/>
          <w:rtl/>
        </w:rPr>
        <w:t>.</w:t>
      </w:r>
      <w:r w:rsidRPr="00904FCB">
        <w:rPr>
          <w:rFonts w:hint="cs"/>
          <w:sz w:val="27"/>
          <w:rtl/>
        </w:rPr>
        <w:t xml:space="preserve"> ومع ذلك لم يلتزم باحث</w:t>
      </w:r>
      <w:r w:rsidR="003E7004" w:rsidRPr="00904FCB">
        <w:rPr>
          <w:rFonts w:hint="cs"/>
          <w:sz w:val="27"/>
          <w:rtl/>
        </w:rPr>
        <w:t>ٌ</w:t>
      </w:r>
      <w:r w:rsidRPr="00904FCB">
        <w:rPr>
          <w:rFonts w:hint="cs"/>
          <w:sz w:val="27"/>
          <w:rtl/>
        </w:rPr>
        <w:t xml:space="preserve"> بأنّ اشتماله على هذا النوع من النقد اللاذع والتخطئة الصريحة يسوّ</w:t>
      </w:r>
      <w:r w:rsidR="003E7004" w:rsidRPr="00904FCB">
        <w:rPr>
          <w:rFonts w:hint="cs"/>
          <w:sz w:val="27"/>
          <w:rtl/>
        </w:rPr>
        <w:t>ِ</w:t>
      </w:r>
      <w:r w:rsidRPr="00904FCB">
        <w:rPr>
          <w:rFonts w:hint="cs"/>
          <w:sz w:val="27"/>
          <w:rtl/>
        </w:rPr>
        <w:t xml:space="preserve">غ لنا أن لا نعتقد بصحّة نسبة ذلك الكتاب إلى المفيد. </w:t>
      </w:r>
    </w:p>
    <w:p w:rsidR="00644408" w:rsidRPr="00904FCB" w:rsidRDefault="00644408" w:rsidP="007A21AA">
      <w:pPr>
        <w:spacing w:line="400" w:lineRule="exact"/>
        <w:rPr>
          <w:sz w:val="27"/>
          <w:rtl/>
        </w:rPr>
      </w:pPr>
      <w:r w:rsidRPr="00904FCB">
        <w:rPr>
          <w:rFonts w:hint="cs"/>
          <w:sz w:val="27"/>
          <w:rtl/>
        </w:rPr>
        <w:t>وعليه فقد لا يصحّ هذا السبب هو الآخر</w:t>
      </w:r>
      <w:r w:rsidR="003E7004" w:rsidRPr="00904FCB">
        <w:rPr>
          <w:rFonts w:hint="cs"/>
          <w:sz w:val="27"/>
          <w:rtl/>
        </w:rPr>
        <w:t>؛</w:t>
      </w:r>
      <w:r w:rsidRPr="00904FCB">
        <w:rPr>
          <w:rFonts w:hint="cs"/>
          <w:sz w:val="27"/>
          <w:rtl/>
        </w:rPr>
        <w:t xml:space="preserve"> فقد رأينا أنه قد اجتمع في آن</w:t>
      </w:r>
      <w:r w:rsidR="003E7004" w:rsidRPr="00904FCB">
        <w:rPr>
          <w:rFonts w:hint="cs"/>
          <w:sz w:val="27"/>
          <w:rtl/>
        </w:rPr>
        <w:t>ٍ</w:t>
      </w:r>
      <w:r w:rsidRPr="00904FCB">
        <w:rPr>
          <w:rFonts w:hint="cs"/>
          <w:sz w:val="27"/>
          <w:rtl/>
        </w:rPr>
        <w:t xml:space="preserve"> واحد كتاب</w:t>
      </w:r>
      <w:r w:rsidR="003E7004" w:rsidRPr="00904FCB">
        <w:rPr>
          <w:rFonts w:hint="cs"/>
          <w:sz w:val="27"/>
          <w:rtl/>
        </w:rPr>
        <w:t>ٌ</w:t>
      </w:r>
      <w:r w:rsidRPr="00904FCB">
        <w:rPr>
          <w:rFonts w:hint="cs"/>
          <w:sz w:val="27"/>
          <w:rtl/>
        </w:rPr>
        <w:t xml:space="preserve"> معلوم النسب إلى المفيد </w:t>
      </w:r>
      <w:r w:rsidR="003E7004" w:rsidRPr="00904FCB">
        <w:rPr>
          <w:rFonts w:hint="cs"/>
          <w:sz w:val="27"/>
          <w:rtl/>
        </w:rPr>
        <w:t>ومشتملٌ</w:t>
      </w:r>
      <w:r w:rsidRPr="00904FCB">
        <w:rPr>
          <w:rFonts w:hint="cs"/>
          <w:sz w:val="27"/>
          <w:rtl/>
        </w:rPr>
        <w:t xml:space="preserve"> على التشنيع. </w:t>
      </w:r>
    </w:p>
    <w:p w:rsidR="00644408" w:rsidRPr="00904FCB" w:rsidRDefault="003E7004" w:rsidP="007A21AA">
      <w:pPr>
        <w:spacing w:line="400" w:lineRule="exact"/>
        <w:rPr>
          <w:sz w:val="27"/>
          <w:rtl/>
        </w:rPr>
      </w:pPr>
      <w:r w:rsidRPr="00904FCB">
        <w:rPr>
          <w:rFonts w:hint="cs"/>
          <w:b/>
          <w:bCs/>
          <w:sz w:val="27"/>
          <w:rtl/>
        </w:rPr>
        <w:t xml:space="preserve">ـ </w:t>
      </w:r>
      <w:r w:rsidR="00644408" w:rsidRPr="00904FCB">
        <w:rPr>
          <w:rFonts w:hint="cs"/>
          <w:b/>
          <w:bCs/>
          <w:sz w:val="27"/>
          <w:rtl/>
        </w:rPr>
        <w:t>القول الثاني</w:t>
      </w:r>
      <w:r w:rsidR="00644408" w:rsidRPr="00904FCB">
        <w:rPr>
          <w:rFonts w:hint="cs"/>
          <w:sz w:val="27"/>
          <w:rtl/>
        </w:rPr>
        <w:t>: من المحتمل أن تكون الرسالة المذكورة للسيّد الشريف المرتضى، كما ذكره كاحتمال كل</w:t>
      </w:r>
      <w:r w:rsidR="00D524B3" w:rsidRPr="00904FCB">
        <w:rPr>
          <w:rFonts w:hint="cs"/>
          <w:sz w:val="27"/>
          <w:rtl/>
        </w:rPr>
        <w:t>ٌّ</w:t>
      </w:r>
      <w:r w:rsidR="00644408" w:rsidRPr="00904FCB">
        <w:rPr>
          <w:rFonts w:hint="cs"/>
          <w:sz w:val="27"/>
          <w:rtl/>
        </w:rPr>
        <w:t xml:space="preserve"> من: علي بن محمد الجبعيّ العامليّ والمجلسيّ والطهرانيّ</w:t>
      </w:r>
      <w:r w:rsidR="00D524B3" w:rsidRPr="00904FCB">
        <w:rPr>
          <w:rFonts w:hint="cs"/>
          <w:sz w:val="27"/>
          <w:rtl/>
        </w:rPr>
        <w:t>.</w:t>
      </w:r>
      <w:r w:rsidR="00644408" w:rsidRPr="00904FCB">
        <w:rPr>
          <w:rFonts w:hint="cs"/>
          <w:sz w:val="27"/>
          <w:rtl/>
        </w:rPr>
        <w:t xml:space="preserve"> كلّ ذلك من دون الإشارة إلى الباعث الذي دفع بهم إلى ذلك. </w:t>
      </w:r>
    </w:p>
    <w:p w:rsidR="00644408" w:rsidRPr="00904FCB" w:rsidRDefault="00644408" w:rsidP="00523066">
      <w:pPr>
        <w:spacing w:line="400" w:lineRule="exact"/>
        <w:rPr>
          <w:sz w:val="27"/>
          <w:rtl/>
        </w:rPr>
      </w:pPr>
      <w:r w:rsidRPr="00904FCB">
        <w:rPr>
          <w:rFonts w:hint="cs"/>
          <w:sz w:val="27"/>
          <w:rtl/>
        </w:rPr>
        <w:t xml:space="preserve">ولكن آغا </w:t>
      </w:r>
      <w:r w:rsidR="00523066" w:rsidRPr="00904FCB">
        <w:rPr>
          <w:rFonts w:ascii="Mosawi" w:eastAsiaTheme="minorHAnsi" w:hAnsi="Mosawi" w:cs="Abz-3 (Yagut)" w:hint="cs"/>
          <w:sz w:val="24"/>
          <w:szCs w:val="24"/>
          <w:rtl/>
        </w:rPr>
        <w:t>بزر</w:t>
      </w:r>
      <w:r w:rsidR="00523066" w:rsidRPr="00904FCB">
        <w:rPr>
          <w:rFonts w:ascii="Mosawi" w:eastAsiaTheme="minorHAnsi" w:hAnsi="Mosawi" w:cs="Abz-3 (Yagut)"/>
          <w:sz w:val="24"/>
          <w:szCs w:val="24"/>
          <w:rtl/>
        </w:rPr>
        <w:t>گ</w:t>
      </w:r>
      <w:r w:rsidR="00523066">
        <w:rPr>
          <w:rFonts w:hint="cs"/>
          <w:sz w:val="27"/>
          <w:rtl/>
        </w:rPr>
        <w:t xml:space="preserve"> </w:t>
      </w:r>
      <w:r w:rsidRPr="00904FCB">
        <w:rPr>
          <w:rFonts w:hint="cs"/>
          <w:sz w:val="27"/>
          <w:rtl/>
        </w:rPr>
        <w:t>الطهراني ذكر وجهاً في كون الرسالة الس</w:t>
      </w:r>
      <w:r w:rsidR="00D524B3" w:rsidRPr="00904FCB">
        <w:rPr>
          <w:rFonts w:hint="cs"/>
          <w:sz w:val="27"/>
          <w:rtl/>
        </w:rPr>
        <w:t>َّ</w:t>
      </w:r>
      <w:r w:rsidRPr="00904FCB">
        <w:rPr>
          <w:rFonts w:hint="cs"/>
          <w:sz w:val="27"/>
          <w:rtl/>
        </w:rPr>
        <w:t>ه</w:t>
      </w:r>
      <w:r w:rsidR="00D524B3" w:rsidRPr="00904FCB">
        <w:rPr>
          <w:rFonts w:hint="cs"/>
          <w:sz w:val="27"/>
          <w:rtl/>
        </w:rPr>
        <w:t>ْ</w:t>
      </w:r>
      <w:r w:rsidRPr="00904FCB">
        <w:rPr>
          <w:rFonts w:hint="cs"/>
          <w:sz w:val="27"/>
          <w:rtl/>
        </w:rPr>
        <w:t xml:space="preserve">وية هي أنسب إلى المفيد، وهو أنّ للسيد المرتضى قولاً ذكره يظهر منه أنّه يذهب فيه إلى عدم </w:t>
      </w:r>
      <w:r w:rsidRPr="00904FCB">
        <w:rPr>
          <w:rFonts w:hint="cs"/>
          <w:sz w:val="27"/>
          <w:rtl/>
        </w:rPr>
        <w:lastRenderedPageBreak/>
        <w:t xml:space="preserve">العصمة المطلقة للإمام في كتابه </w:t>
      </w:r>
      <w:r w:rsidRPr="00904FCB">
        <w:rPr>
          <w:rFonts w:hint="eastAsia"/>
          <w:sz w:val="27"/>
          <w:rtl/>
        </w:rPr>
        <w:t>«</w:t>
      </w:r>
      <w:r w:rsidRPr="00904FCB">
        <w:rPr>
          <w:rFonts w:hint="cs"/>
          <w:sz w:val="27"/>
          <w:rtl/>
        </w:rPr>
        <w:t>تنزيه الأنبياء</w:t>
      </w:r>
      <w:r w:rsidR="00D524B3" w:rsidRPr="00904FCB">
        <w:rPr>
          <w:rFonts w:hint="eastAsia"/>
          <w:sz w:val="27"/>
          <w:rtl/>
        </w:rPr>
        <w:t>»</w:t>
      </w:r>
      <w:r w:rsidR="00D524B3" w:rsidRPr="00904FCB">
        <w:rPr>
          <w:rFonts w:hint="cs"/>
          <w:sz w:val="27"/>
          <w:rtl/>
        </w:rPr>
        <w:t xml:space="preserve">، </w:t>
      </w:r>
      <w:r w:rsidRPr="00904FCB">
        <w:rPr>
          <w:rFonts w:hint="cs"/>
          <w:sz w:val="27"/>
          <w:rtl/>
        </w:rPr>
        <w:t>ومن ثمّ بنظر المجلسي الذي ذكر له الطهرانيّ وجهاً في أنسبيّة أن تكون الرسالة للمفيد</w:t>
      </w:r>
      <w:r w:rsidR="00D524B3" w:rsidRPr="00904FCB">
        <w:rPr>
          <w:rFonts w:hint="cs"/>
          <w:sz w:val="27"/>
          <w:rtl/>
        </w:rPr>
        <w:t>،</w:t>
      </w:r>
      <w:r w:rsidRPr="00904FCB">
        <w:rPr>
          <w:rFonts w:hint="cs"/>
          <w:sz w:val="27"/>
          <w:rtl/>
        </w:rPr>
        <w:t xml:space="preserve"> لا المرتضى، لا يمكن أن نصن</w:t>
      </w:r>
      <w:r w:rsidR="00D524B3" w:rsidRPr="00904FCB">
        <w:rPr>
          <w:rFonts w:hint="cs"/>
          <w:sz w:val="27"/>
          <w:rtl/>
        </w:rPr>
        <w:t>ِّ</w:t>
      </w:r>
      <w:r w:rsidRPr="00904FCB">
        <w:rPr>
          <w:rFonts w:hint="cs"/>
          <w:sz w:val="27"/>
          <w:rtl/>
        </w:rPr>
        <w:t>ف هذه الرسالة في عداد مؤل</w:t>
      </w:r>
      <w:r w:rsidR="00D524B3" w:rsidRPr="00904FCB">
        <w:rPr>
          <w:rFonts w:hint="cs"/>
          <w:sz w:val="27"/>
          <w:rtl/>
        </w:rPr>
        <w:t>َّ</w:t>
      </w:r>
      <w:r w:rsidRPr="00904FCB">
        <w:rPr>
          <w:rFonts w:hint="cs"/>
          <w:sz w:val="27"/>
          <w:rtl/>
        </w:rPr>
        <w:t xml:space="preserve">فات السيّد المرتضى. </w:t>
      </w:r>
    </w:p>
    <w:p w:rsidR="00644408" w:rsidRPr="00904FCB" w:rsidRDefault="00644408" w:rsidP="007A21AA">
      <w:pPr>
        <w:spacing w:line="400" w:lineRule="exact"/>
        <w:rPr>
          <w:sz w:val="27"/>
          <w:rtl/>
        </w:rPr>
      </w:pPr>
      <w:r w:rsidRPr="00904FCB">
        <w:rPr>
          <w:rFonts w:hint="cs"/>
          <w:sz w:val="27"/>
          <w:rtl/>
        </w:rPr>
        <w:t>ولكن</w:t>
      </w:r>
      <w:r w:rsidR="00D524B3" w:rsidRPr="00904FCB">
        <w:rPr>
          <w:rFonts w:hint="cs"/>
          <w:sz w:val="27"/>
          <w:rtl/>
        </w:rPr>
        <w:t>ْ</w:t>
      </w:r>
      <w:r w:rsidRPr="00904FCB">
        <w:rPr>
          <w:rFonts w:hint="cs"/>
          <w:sz w:val="27"/>
          <w:rtl/>
        </w:rPr>
        <w:t xml:space="preserve"> يبقى الاحتمال مفتوحاً أيضاً في أن تكون الرسالة للمرتضى، وعدل فيها من القول بعدم العصمة المطلقة إلى العصمة المطلقة، وبالعكس أيضاً. </w:t>
      </w:r>
    </w:p>
    <w:p w:rsidR="00644408" w:rsidRPr="00904FCB" w:rsidRDefault="00D524B3" w:rsidP="007A21AA">
      <w:pPr>
        <w:spacing w:line="400" w:lineRule="exact"/>
        <w:rPr>
          <w:sz w:val="27"/>
          <w:rtl/>
        </w:rPr>
      </w:pPr>
      <w:r w:rsidRPr="00904FCB">
        <w:rPr>
          <w:rFonts w:hint="cs"/>
          <w:b/>
          <w:bCs/>
          <w:sz w:val="27"/>
          <w:rtl/>
        </w:rPr>
        <w:t xml:space="preserve">ـ </w:t>
      </w:r>
      <w:r w:rsidR="00644408" w:rsidRPr="00904FCB">
        <w:rPr>
          <w:rFonts w:hint="cs"/>
          <w:b/>
          <w:bCs/>
          <w:sz w:val="27"/>
          <w:rtl/>
        </w:rPr>
        <w:t>القول الثالث</w:t>
      </w:r>
      <w:r w:rsidR="00644408" w:rsidRPr="00904FCB">
        <w:rPr>
          <w:rFonts w:hint="cs"/>
          <w:sz w:val="27"/>
          <w:rtl/>
        </w:rPr>
        <w:t>: احتمال أن يكون المؤل</w:t>
      </w:r>
      <w:r w:rsidRPr="00904FCB">
        <w:rPr>
          <w:rFonts w:hint="cs"/>
          <w:sz w:val="27"/>
          <w:rtl/>
        </w:rPr>
        <w:t>ِّ</w:t>
      </w:r>
      <w:r w:rsidR="00644408" w:rsidRPr="00904FCB">
        <w:rPr>
          <w:rFonts w:hint="cs"/>
          <w:sz w:val="27"/>
          <w:rtl/>
        </w:rPr>
        <w:t>ف هو المتكل</w:t>
      </w:r>
      <w:r w:rsidRPr="00904FCB">
        <w:rPr>
          <w:rFonts w:hint="cs"/>
          <w:sz w:val="27"/>
          <w:rtl/>
        </w:rPr>
        <w:t>ِّ</w:t>
      </w:r>
      <w:r w:rsidR="00644408" w:rsidRPr="00904FCB">
        <w:rPr>
          <w:rFonts w:hint="cs"/>
          <w:sz w:val="27"/>
          <w:rtl/>
        </w:rPr>
        <w:t>م الفقيه محمد بن الحسن بن حمزة، أبو يعلى، الجعفريّ، خليفة الشيخ أبي عبد الله بن النعمان. ذكر له أبو العب</w:t>
      </w:r>
      <w:r w:rsidRPr="00904FCB">
        <w:rPr>
          <w:rFonts w:hint="cs"/>
          <w:sz w:val="27"/>
          <w:rtl/>
        </w:rPr>
        <w:t>ّ</w:t>
      </w:r>
      <w:r w:rsidR="00644408" w:rsidRPr="00904FCB">
        <w:rPr>
          <w:rFonts w:hint="cs"/>
          <w:sz w:val="27"/>
          <w:rtl/>
        </w:rPr>
        <w:t xml:space="preserve">اس النجاشيّ رسالة بعنوان </w:t>
      </w:r>
      <w:r w:rsidR="00644408" w:rsidRPr="00904FCB">
        <w:rPr>
          <w:rFonts w:hint="eastAsia"/>
          <w:sz w:val="27"/>
          <w:rtl/>
        </w:rPr>
        <w:t>«</w:t>
      </w:r>
      <w:r w:rsidR="00644408" w:rsidRPr="00904FCB">
        <w:rPr>
          <w:rFonts w:hint="cs"/>
          <w:sz w:val="27"/>
          <w:rtl/>
        </w:rPr>
        <w:t>جواب المسائل الواردة من الحائر</w:t>
      </w:r>
      <w:r w:rsidR="00644408" w:rsidRPr="00904FCB">
        <w:rPr>
          <w:rFonts w:hint="eastAsia"/>
          <w:sz w:val="27"/>
          <w:rtl/>
        </w:rPr>
        <w:t>»</w:t>
      </w:r>
      <w:r w:rsidR="00644408" w:rsidRPr="00904FCB">
        <w:rPr>
          <w:sz w:val="27"/>
          <w:vertAlign w:val="superscript"/>
          <w:rtl/>
        </w:rPr>
        <w:t>(</w:t>
      </w:r>
      <w:r w:rsidR="00644408" w:rsidRPr="00904FCB">
        <w:rPr>
          <w:rStyle w:val="ac"/>
          <w:sz w:val="27"/>
          <w:rtl/>
        </w:rPr>
        <w:endnoteReference w:id="246"/>
      </w:r>
      <w:r w:rsidR="00644408" w:rsidRPr="00904FCB">
        <w:rPr>
          <w:sz w:val="27"/>
          <w:vertAlign w:val="superscript"/>
          <w:rtl/>
        </w:rPr>
        <w:t>)</w:t>
      </w:r>
      <w:r w:rsidRPr="00904FCB">
        <w:rPr>
          <w:rFonts w:hint="cs"/>
          <w:sz w:val="27"/>
          <w:rtl/>
        </w:rPr>
        <w:t>.</w:t>
      </w:r>
      <w:r w:rsidR="00644408" w:rsidRPr="00904FCB">
        <w:rPr>
          <w:sz w:val="27"/>
          <w:vertAlign w:val="superscript"/>
          <w:rtl/>
        </w:rPr>
        <w:t xml:space="preserve"> </w:t>
      </w:r>
      <w:r w:rsidR="00644408" w:rsidRPr="00904FCB">
        <w:rPr>
          <w:rFonts w:hint="cs"/>
          <w:sz w:val="27"/>
          <w:rtl/>
        </w:rPr>
        <w:t>وإذا ضممنا إلى ذلك أنّ نهاية النسخة المعتمدة في التحقيق تنتهي بالقول: تمّ جواب أهل الحائر. فيمكن الخروج بالنتيجة التالية</w:t>
      </w:r>
      <w:r w:rsidRPr="00904FCB">
        <w:rPr>
          <w:rFonts w:hint="cs"/>
          <w:sz w:val="27"/>
          <w:rtl/>
        </w:rPr>
        <w:t>:</w:t>
      </w:r>
      <w:r w:rsidR="00644408" w:rsidRPr="00904FCB">
        <w:rPr>
          <w:rFonts w:hint="cs"/>
          <w:sz w:val="27"/>
          <w:rtl/>
        </w:rPr>
        <w:t xml:space="preserve"> </w:t>
      </w:r>
      <w:r w:rsidRPr="00904FCB">
        <w:rPr>
          <w:rFonts w:hint="cs"/>
          <w:sz w:val="27"/>
          <w:rtl/>
        </w:rPr>
        <w:t>إ</w:t>
      </w:r>
      <w:r w:rsidR="00644408" w:rsidRPr="00904FCB">
        <w:rPr>
          <w:rFonts w:hint="cs"/>
          <w:sz w:val="27"/>
          <w:rtl/>
        </w:rPr>
        <w:t>نّ الرسالة الس</w:t>
      </w:r>
      <w:r w:rsidRPr="00904FCB">
        <w:rPr>
          <w:rFonts w:hint="cs"/>
          <w:sz w:val="27"/>
          <w:rtl/>
        </w:rPr>
        <w:t>َّ</w:t>
      </w:r>
      <w:r w:rsidR="00644408" w:rsidRPr="00904FCB">
        <w:rPr>
          <w:rFonts w:hint="cs"/>
          <w:sz w:val="27"/>
          <w:rtl/>
        </w:rPr>
        <w:t>ه</w:t>
      </w:r>
      <w:r w:rsidRPr="00904FCB">
        <w:rPr>
          <w:rFonts w:hint="cs"/>
          <w:sz w:val="27"/>
          <w:rtl/>
        </w:rPr>
        <w:t>ْ</w:t>
      </w:r>
      <w:r w:rsidR="00644408" w:rsidRPr="00904FCB">
        <w:rPr>
          <w:rFonts w:hint="cs"/>
          <w:sz w:val="27"/>
          <w:rtl/>
        </w:rPr>
        <w:t xml:space="preserve">وية التي بين أيدينا </w:t>
      </w:r>
      <w:r w:rsidRPr="00904FCB">
        <w:rPr>
          <w:rFonts w:hint="cs"/>
          <w:sz w:val="27"/>
          <w:rtl/>
        </w:rPr>
        <w:t>يُ</w:t>
      </w:r>
      <w:r w:rsidR="00644408" w:rsidRPr="00904FCB">
        <w:rPr>
          <w:rFonts w:hint="cs"/>
          <w:sz w:val="27"/>
          <w:rtl/>
        </w:rPr>
        <w:t>ح</w:t>
      </w:r>
      <w:r w:rsidRPr="00904FCB">
        <w:rPr>
          <w:rFonts w:hint="cs"/>
          <w:sz w:val="27"/>
          <w:rtl/>
        </w:rPr>
        <w:t>ْ</w:t>
      </w:r>
      <w:r w:rsidR="00644408" w:rsidRPr="00904FCB">
        <w:rPr>
          <w:rFonts w:hint="cs"/>
          <w:sz w:val="27"/>
          <w:rtl/>
        </w:rPr>
        <w:t>ت</w:t>
      </w:r>
      <w:r w:rsidRPr="00904FCB">
        <w:rPr>
          <w:rFonts w:hint="cs"/>
          <w:sz w:val="27"/>
          <w:rtl/>
        </w:rPr>
        <w:t>َ</w:t>
      </w:r>
      <w:r w:rsidR="00644408" w:rsidRPr="00904FCB">
        <w:rPr>
          <w:rFonts w:hint="cs"/>
          <w:sz w:val="27"/>
          <w:rtl/>
        </w:rPr>
        <w:t>م</w:t>
      </w:r>
      <w:r w:rsidRPr="00904FCB">
        <w:rPr>
          <w:rFonts w:hint="cs"/>
          <w:sz w:val="27"/>
          <w:rtl/>
        </w:rPr>
        <w:t>َ</w:t>
      </w:r>
      <w:r w:rsidR="00644408" w:rsidRPr="00904FCB">
        <w:rPr>
          <w:rFonts w:hint="cs"/>
          <w:sz w:val="27"/>
          <w:rtl/>
        </w:rPr>
        <w:t xml:space="preserve">ل أن تكون هي عين تلك الرسالة. </w:t>
      </w:r>
      <w:r w:rsidRPr="00904FCB">
        <w:rPr>
          <w:rFonts w:hint="cs"/>
          <w:sz w:val="27"/>
          <w:rtl/>
        </w:rPr>
        <w:t>و</w:t>
      </w:r>
      <w:r w:rsidR="00644408" w:rsidRPr="00904FCB">
        <w:rPr>
          <w:rFonts w:hint="cs"/>
          <w:sz w:val="27"/>
          <w:rtl/>
        </w:rPr>
        <w:t>لو أبقينا باب الاحتمالات مفتوحاً فمن غير البعيد أن تكون الرسالة السهوية جزءاً من تلك الأجوبة التي صدرت من أبي يعلى الجعفريّ. ولكن</w:t>
      </w:r>
      <w:r w:rsidRPr="00904FCB">
        <w:rPr>
          <w:rFonts w:hint="cs"/>
          <w:sz w:val="27"/>
          <w:rtl/>
        </w:rPr>
        <w:t>ْ</w:t>
      </w:r>
      <w:r w:rsidR="00644408" w:rsidRPr="00904FCB">
        <w:rPr>
          <w:rFonts w:hint="cs"/>
          <w:sz w:val="27"/>
          <w:rtl/>
        </w:rPr>
        <w:t xml:space="preserve"> تنشأ المفارقة هنا أنّ الرسالة الس</w:t>
      </w:r>
      <w:r w:rsidRPr="00904FCB">
        <w:rPr>
          <w:rFonts w:hint="cs"/>
          <w:sz w:val="27"/>
          <w:rtl/>
        </w:rPr>
        <w:t>َّ</w:t>
      </w:r>
      <w:r w:rsidR="00644408" w:rsidRPr="00904FCB">
        <w:rPr>
          <w:rFonts w:hint="cs"/>
          <w:sz w:val="27"/>
          <w:rtl/>
        </w:rPr>
        <w:t>ه</w:t>
      </w:r>
      <w:r w:rsidRPr="00904FCB">
        <w:rPr>
          <w:rFonts w:hint="cs"/>
          <w:sz w:val="27"/>
          <w:rtl/>
        </w:rPr>
        <w:t>ْ</w:t>
      </w:r>
      <w:r w:rsidR="00644408" w:rsidRPr="00904FCB">
        <w:rPr>
          <w:rFonts w:hint="cs"/>
          <w:sz w:val="27"/>
          <w:rtl/>
        </w:rPr>
        <w:t>وية قد صدّ</w:t>
      </w:r>
      <w:r w:rsidRPr="00904FCB">
        <w:rPr>
          <w:rFonts w:hint="cs"/>
          <w:sz w:val="27"/>
          <w:rtl/>
        </w:rPr>
        <w:t>َ</w:t>
      </w:r>
      <w:r w:rsidR="00644408" w:rsidRPr="00904FCB">
        <w:rPr>
          <w:rFonts w:hint="cs"/>
          <w:sz w:val="27"/>
          <w:rtl/>
        </w:rPr>
        <w:t>رها مؤل</w:t>
      </w:r>
      <w:r w:rsidRPr="00904FCB">
        <w:rPr>
          <w:rFonts w:hint="cs"/>
          <w:sz w:val="27"/>
          <w:rtl/>
        </w:rPr>
        <w:t>ِّ</w:t>
      </w:r>
      <w:r w:rsidR="00644408" w:rsidRPr="00904FCB">
        <w:rPr>
          <w:rFonts w:hint="cs"/>
          <w:sz w:val="27"/>
          <w:rtl/>
        </w:rPr>
        <w:t>فها بسؤ</w:t>
      </w:r>
      <w:r w:rsidRPr="00904FCB">
        <w:rPr>
          <w:rFonts w:hint="cs"/>
          <w:sz w:val="27"/>
          <w:rtl/>
        </w:rPr>
        <w:t>ا</w:t>
      </w:r>
      <w:r w:rsidR="00644408" w:rsidRPr="00904FCB">
        <w:rPr>
          <w:rFonts w:hint="cs"/>
          <w:sz w:val="27"/>
          <w:rtl/>
        </w:rPr>
        <w:t>ل ذلك الأخ عن خصوص كلام الصدوق، وأجاب هو عن خصوص تلك المسألة الواحدة المتعل</w:t>
      </w:r>
      <w:r w:rsidRPr="00904FCB">
        <w:rPr>
          <w:rFonts w:hint="cs"/>
          <w:sz w:val="27"/>
          <w:rtl/>
        </w:rPr>
        <w:t>ِّ</w:t>
      </w:r>
      <w:r w:rsidR="00644408" w:rsidRPr="00904FCB">
        <w:rPr>
          <w:rFonts w:hint="cs"/>
          <w:sz w:val="27"/>
          <w:rtl/>
        </w:rPr>
        <w:t>قة بسهو النبي</w:t>
      </w:r>
      <w:r w:rsidRPr="00904FCB">
        <w:rPr>
          <w:rFonts w:hint="cs"/>
          <w:sz w:val="27"/>
          <w:rtl/>
        </w:rPr>
        <w:t>ّ</w:t>
      </w:r>
      <w:r w:rsidR="00635E51" w:rsidRPr="00904FCB">
        <w:rPr>
          <w:rFonts w:cs="Mosawi" w:hint="cs"/>
          <w:sz w:val="27"/>
          <w:szCs w:val="22"/>
          <w:rtl/>
        </w:rPr>
        <w:t>|</w:t>
      </w:r>
      <w:r w:rsidR="00644408" w:rsidRPr="00904FCB">
        <w:rPr>
          <w:rFonts w:hint="cs"/>
          <w:sz w:val="27"/>
          <w:rtl/>
        </w:rPr>
        <w:t>، وليس عندنا مجموعة</w:t>
      </w:r>
      <w:r w:rsidRPr="00904FCB">
        <w:rPr>
          <w:rFonts w:hint="cs"/>
          <w:sz w:val="27"/>
          <w:rtl/>
        </w:rPr>
        <w:t>ٌ</w:t>
      </w:r>
      <w:r w:rsidR="00644408" w:rsidRPr="00904FCB">
        <w:rPr>
          <w:rFonts w:hint="cs"/>
          <w:sz w:val="27"/>
          <w:rtl/>
        </w:rPr>
        <w:t xml:space="preserve"> من الأسئلة</w:t>
      </w:r>
      <w:r w:rsidRPr="00904FCB">
        <w:rPr>
          <w:rFonts w:hint="cs"/>
          <w:sz w:val="27"/>
          <w:rtl/>
        </w:rPr>
        <w:t>،</w:t>
      </w:r>
      <w:r w:rsidR="00644408" w:rsidRPr="00904FCB">
        <w:rPr>
          <w:rFonts w:hint="cs"/>
          <w:sz w:val="27"/>
          <w:rtl/>
        </w:rPr>
        <w:t xml:space="preserve"> كما يظهر من اسم تلك الرسالة التي ذكرها له النجاشيّ. </w:t>
      </w:r>
      <w:r w:rsidRPr="00904FCB">
        <w:rPr>
          <w:rFonts w:hint="cs"/>
          <w:sz w:val="27"/>
          <w:rtl/>
        </w:rPr>
        <w:t>ثمّ إنّ المتعارف أن</w:t>
      </w:r>
      <w:r w:rsidR="00644408" w:rsidRPr="00904FCB">
        <w:rPr>
          <w:rFonts w:hint="cs"/>
          <w:sz w:val="27"/>
          <w:rtl/>
        </w:rPr>
        <w:t xml:space="preserve"> يجيب المسؤول عن مجموع تلك الأسئلة الواردة عن جهة</w:t>
      </w:r>
      <w:r w:rsidRPr="00904FCB">
        <w:rPr>
          <w:rFonts w:hint="cs"/>
          <w:sz w:val="27"/>
          <w:rtl/>
        </w:rPr>
        <w:t>ٍ</w:t>
      </w:r>
      <w:r w:rsidR="00644408" w:rsidRPr="00904FCB">
        <w:rPr>
          <w:rFonts w:hint="cs"/>
          <w:sz w:val="27"/>
          <w:rtl/>
        </w:rPr>
        <w:t xml:space="preserve"> معين</w:t>
      </w:r>
      <w:r w:rsidRPr="00904FCB">
        <w:rPr>
          <w:rFonts w:hint="cs"/>
          <w:sz w:val="27"/>
          <w:rtl/>
        </w:rPr>
        <w:t>ة</w:t>
      </w:r>
      <w:r w:rsidR="00644408" w:rsidRPr="00904FCB">
        <w:rPr>
          <w:rFonts w:hint="cs"/>
          <w:sz w:val="27"/>
          <w:rtl/>
        </w:rPr>
        <w:t xml:space="preserve"> (أهل الحائر) بمصن</w:t>
      </w:r>
      <w:r w:rsidRPr="00904FCB">
        <w:rPr>
          <w:rFonts w:hint="cs"/>
          <w:sz w:val="27"/>
          <w:rtl/>
        </w:rPr>
        <w:t>َّ</w:t>
      </w:r>
      <w:r w:rsidR="00644408" w:rsidRPr="00904FCB">
        <w:rPr>
          <w:rFonts w:hint="cs"/>
          <w:sz w:val="27"/>
          <w:rtl/>
        </w:rPr>
        <w:t>ف</w:t>
      </w:r>
      <w:r w:rsidRPr="00904FCB">
        <w:rPr>
          <w:rFonts w:hint="cs"/>
          <w:sz w:val="27"/>
          <w:rtl/>
        </w:rPr>
        <w:t>ٍ</w:t>
      </w:r>
      <w:r w:rsidR="00644408" w:rsidRPr="00904FCB">
        <w:rPr>
          <w:rFonts w:hint="cs"/>
          <w:sz w:val="27"/>
          <w:rtl/>
        </w:rPr>
        <w:t xml:space="preserve"> واحد أو رسالة واحدة، لا أن يوز</w:t>
      </w:r>
      <w:r w:rsidRPr="00904FCB">
        <w:rPr>
          <w:rFonts w:hint="cs"/>
          <w:sz w:val="27"/>
          <w:rtl/>
        </w:rPr>
        <w:t>ِّ</w:t>
      </w:r>
      <w:r w:rsidR="00644408" w:rsidRPr="00904FCB">
        <w:rPr>
          <w:rFonts w:hint="cs"/>
          <w:sz w:val="27"/>
          <w:rtl/>
        </w:rPr>
        <w:t>ع كل</w:t>
      </w:r>
      <w:r w:rsidRPr="00904FCB">
        <w:rPr>
          <w:rFonts w:hint="cs"/>
          <w:sz w:val="27"/>
          <w:rtl/>
        </w:rPr>
        <w:t>ّ</w:t>
      </w:r>
      <w:r w:rsidR="00644408" w:rsidRPr="00904FCB">
        <w:rPr>
          <w:rFonts w:hint="cs"/>
          <w:sz w:val="27"/>
          <w:rtl/>
        </w:rPr>
        <w:t xml:space="preserve"> واحدة</w:t>
      </w:r>
      <w:r w:rsidRPr="00904FCB">
        <w:rPr>
          <w:rFonts w:hint="cs"/>
          <w:sz w:val="27"/>
          <w:rtl/>
        </w:rPr>
        <w:t>ٍ</w:t>
      </w:r>
      <w:r w:rsidR="00644408" w:rsidRPr="00904FCB">
        <w:rPr>
          <w:rFonts w:hint="cs"/>
          <w:sz w:val="27"/>
          <w:rtl/>
        </w:rPr>
        <w:t xml:space="preserve"> من تلك المسائل ويخص</w:t>
      </w:r>
      <w:r w:rsidRPr="00904FCB">
        <w:rPr>
          <w:rFonts w:hint="cs"/>
          <w:sz w:val="27"/>
          <w:rtl/>
        </w:rPr>
        <w:t>ّ</w:t>
      </w:r>
      <w:r w:rsidR="00644408" w:rsidRPr="00904FCB">
        <w:rPr>
          <w:rFonts w:hint="cs"/>
          <w:sz w:val="27"/>
          <w:rtl/>
        </w:rPr>
        <w:t>ها بجواب</w:t>
      </w:r>
      <w:r w:rsidRPr="00904FCB">
        <w:rPr>
          <w:rFonts w:hint="cs"/>
          <w:sz w:val="27"/>
          <w:rtl/>
        </w:rPr>
        <w:t>ٍ</w:t>
      </w:r>
      <w:r w:rsidR="00644408" w:rsidRPr="00904FCB">
        <w:rPr>
          <w:rFonts w:hint="cs"/>
          <w:sz w:val="27"/>
          <w:rtl/>
        </w:rPr>
        <w:t>، وإن</w:t>
      </w:r>
      <w:r w:rsidRPr="00904FCB">
        <w:rPr>
          <w:rFonts w:hint="cs"/>
          <w:sz w:val="27"/>
          <w:rtl/>
        </w:rPr>
        <w:t>ْ</w:t>
      </w:r>
      <w:r w:rsidR="00644408" w:rsidRPr="00904FCB">
        <w:rPr>
          <w:rFonts w:hint="cs"/>
          <w:sz w:val="27"/>
          <w:rtl/>
        </w:rPr>
        <w:t xml:space="preserve"> أمكن ذلك في الواقع، ولكن</w:t>
      </w:r>
      <w:r w:rsidRPr="00904FCB">
        <w:rPr>
          <w:rFonts w:hint="cs"/>
          <w:sz w:val="27"/>
          <w:rtl/>
        </w:rPr>
        <w:t>ْ</w:t>
      </w:r>
      <w:r w:rsidR="00644408" w:rsidRPr="00904FCB">
        <w:rPr>
          <w:rFonts w:hint="cs"/>
          <w:sz w:val="27"/>
          <w:rtl/>
        </w:rPr>
        <w:t xml:space="preserve"> مع قياسها بأمثالها في ذلك الوقت فالمتعي</w:t>
      </w:r>
      <w:r w:rsidRPr="00904FCB">
        <w:rPr>
          <w:rFonts w:hint="cs"/>
          <w:sz w:val="27"/>
          <w:rtl/>
        </w:rPr>
        <w:t>ِّ</w:t>
      </w:r>
      <w:r w:rsidR="00644408" w:rsidRPr="00904FCB">
        <w:rPr>
          <w:rFonts w:hint="cs"/>
          <w:sz w:val="27"/>
          <w:rtl/>
        </w:rPr>
        <w:t xml:space="preserve">ن ذلك الذي ذكرناه. </w:t>
      </w:r>
    </w:p>
    <w:p w:rsidR="00644408" w:rsidRPr="00904FCB" w:rsidRDefault="00644408" w:rsidP="007A21AA">
      <w:pPr>
        <w:spacing w:line="400" w:lineRule="exact"/>
        <w:rPr>
          <w:sz w:val="27"/>
          <w:rtl/>
        </w:rPr>
      </w:pPr>
      <w:r w:rsidRPr="00904FCB">
        <w:rPr>
          <w:rFonts w:hint="cs"/>
          <w:sz w:val="27"/>
          <w:rtl/>
        </w:rPr>
        <w:t>هذا كل</w:t>
      </w:r>
      <w:r w:rsidR="00D524B3" w:rsidRPr="00904FCB">
        <w:rPr>
          <w:rFonts w:hint="cs"/>
          <w:sz w:val="27"/>
          <w:rtl/>
        </w:rPr>
        <w:t>ُّ</w:t>
      </w:r>
      <w:r w:rsidRPr="00904FCB">
        <w:rPr>
          <w:rFonts w:hint="cs"/>
          <w:sz w:val="27"/>
          <w:rtl/>
        </w:rPr>
        <w:t>ه لو ف</w:t>
      </w:r>
      <w:r w:rsidR="00D524B3" w:rsidRPr="00904FCB">
        <w:rPr>
          <w:rFonts w:hint="cs"/>
          <w:sz w:val="27"/>
          <w:rtl/>
        </w:rPr>
        <w:t>ُ</w:t>
      </w:r>
      <w:r w:rsidRPr="00904FCB">
        <w:rPr>
          <w:rFonts w:hint="cs"/>
          <w:sz w:val="27"/>
          <w:rtl/>
        </w:rPr>
        <w:t>رض أن أهل الحائر هم الجهة التي صدرت عنها تلك الأسئلة، بينما في بعض النسخ أن تلك الجهة أهل الحجاز، حت</w:t>
      </w:r>
      <w:r w:rsidR="00D524B3" w:rsidRPr="00904FCB">
        <w:rPr>
          <w:rFonts w:hint="cs"/>
          <w:sz w:val="27"/>
          <w:rtl/>
        </w:rPr>
        <w:t>ّ</w:t>
      </w:r>
      <w:r w:rsidRPr="00904FCB">
        <w:rPr>
          <w:rFonts w:hint="cs"/>
          <w:sz w:val="27"/>
          <w:rtl/>
        </w:rPr>
        <w:t xml:space="preserve">ى جاء العنوان هكذا </w:t>
      </w:r>
      <w:r w:rsidRPr="00904FCB">
        <w:rPr>
          <w:rFonts w:hint="eastAsia"/>
          <w:sz w:val="27"/>
          <w:rtl/>
        </w:rPr>
        <w:t>«</w:t>
      </w:r>
      <w:r w:rsidRPr="00904FCB">
        <w:rPr>
          <w:rFonts w:hint="cs"/>
          <w:sz w:val="27"/>
          <w:rtl/>
        </w:rPr>
        <w:t>جواب أهل الحجاز في نفي سهو النبي</w:t>
      </w:r>
      <w:r w:rsidR="00D524B3" w:rsidRPr="00904FCB">
        <w:rPr>
          <w:rFonts w:hint="cs"/>
          <w:sz w:val="27"/>
          <w:rtl/>
        </w:rPr>
        <w:t>ّ</w:t>
      </w:r>
      <w:r w:rsidR="00D524B3" w:rsidRPr="00904FCB">
        <w:rPr>
          <w:rFonts w:hint="eastAsia"/>
          <w:sz w:val="27"/>
          <w:rtl/>
        </w:rPr>
        <w:t>»</w:t>
      </w:r>
      <w:r w:rsidR="00D524B3" w:rsidRPr="00904FCB">
        <w:rPr>
          <w:rFonts w:hint="cs"/>
          <w:sz w:val="27"/>
          <w:rtl/>
        </w:rPr>
        <w:t>.</w:t>
      </w:r>
      <w:r w:rsidRPr="00904FCB">
        <w:rPr>
          <w:rFonts w:hint="cs"/>
          <w:sz w:val="27"/>
          <w:rtl/>
        </w:rPr>
        <w:t xml:space="preserve"> فلا يمكن أن نسحب هذا على ذاك. </w:t>
      </w:r>
    </w:p>
    <w:p w:rsidR="00644408" w:rsidRPr="00904FCB" w:rsidRDefault="00644408" w:rsidP="007A21AA">
      <w:pPr>
        <w:spacing w:line="400" w:lineRule="exact"/>
        <w:rPr>
          <w:sz w:val="27"/>
          <w:rtl/>
        </w:rPr>
      </w:pPr>
      <w:r w:rsidRPr="00904FCB">
        <w:rPr>
          <w:rFonts w:hint="cs"/>
          <w:sz w:val="27"/>
          <w:rtl/>
        </w:rPr>
        <w:t>وعليه فليس هناك شيء</w:t>
      </w:r>
      <w:r w:rsidR="00D524B3" w:rsidRPr="00904FCB">
        <w:rPr>
          <w:rFonts w:hint="cs"/>
          <w:sz w:val="27"/>
          <w:rtl/>
        </w:rPr>
        <w:t>ٌ</w:t>
      </w:r>
      <w:r w:rsidRPr="00904FCB">
        <w:rPr>
          <w:rFonts w:hint="cs"/>
          <w:sz w:val="27"/>
          <w:rtl/>
        </w:rPr>
        <w:t xml:space="preserve"> يمكن الاتّكاء عليه ليعي</w:t>
      </w:r>
      <w:r w:rsidR="00D524B3" w:rsidRPr="00904FCB">
        <w:rPr>
          <w:rFonts w:hint="cs"/>
          <w:sz w:val="27"/>
          <w:rtl/>
        </w:rPr>
        <w:t>ِّ</w:t>
      </w:r>
      <w:r w:rsidRPr="00904FCB">
        <w:rPr>
          <w:rFonts w:hint="cs"/>
          <w:sz w:val="27"/>
          <w:rtl/>
        </w:rPr>
        <w:t>ن لنا ولو جزءاً من الصورة، وخاص</w:t>
      </w:r>
      <w:r w:rsidR="00D524B3" w:rsidRPr="00904FCB">
        <w:rPr>
          <w:rFonts w:hint="cs"/>
          <w:sz w:val="27"/>
          <w:rtl/>
        </w:rPr>
        <w:t>ّ</w:t>
      </w:r>
      <w:r w:rsidRPr="00904FCB">
        <w:rPr>
          <w:rFonts w:hint="cs"/>
          <w:sz w:val="27"/>
          <w:rtl/>
        </w:rPr>
        <w:t>ة أنه لا يتوف</w:t>
      </w:r>
      <w:r w:rsidR="00D524B3" w:rsidRPr="00904FCB">
        <w:rPr>
          <w:rFonts w:hint="cs"/>
          <w:sz w:val="27"/>
          <w:rtl/>
        </w:rPr>
        <w:t>ّ</w:t>
      </w:r>
      <w:r w:rsidRPr="00904FCB">
        <w:rPr>
          <w:rFonts w:hint="cs"/>
          <w:sz w:val="27"/>
          <w:rtl/>
        </w:rPr>
        <w:t xml:space="preserve">ر عندنا </w:t>
      </w:r>
      <w:r w:rsidR="00D524B3" w:rsidRPr="00904FCB">
        <w:rPr>
          <w:rFonts w:hint="cs"/>
          <w:sz w:val="27"/>
          <w:rtl/>
        </w:rPr>
        <w:t xml:space="preserve">شيءٌ </w:t>
      </w:r>
      <w:r w:rsidRPr="00904FCB">
        <w:rPr>
          <w:rFonts w:hint="cs"/>
          <w:sz w:val="27"/>
          <w:rtl/>
        </w:rPr>
        <w:t>من مؤل</w:t>
      </w:r>
      <w:r w:rsidR="00D524B3" w:rsidRPr="00904FCB">
        <w:rPr>
          <w:rFonts w:hint="cs"/>
          <w:sz w:val="27"/>
          <w:rtl/>
        </w:rPr>
        <w:t>َّ</w:t>
      </w:r>
      <w:r w:rsidRPr="00904FCB">
        <w:rPr>
          <w:rFonts w:hint="cs"/>
          <w:sz w:val="27"/>
          <w:rtl/>
        </w:rPr>
        <w:t>فات أبي يعلى الجعفريّ</w:t>
      </w:r>
      <w:r w:rsidR="00D524B3" w:rsidRPr="00904FCB">
        <w:rPr>
          <w:rFonts w:hint="cs"/>
          <w:sz w:val="27"/>
          <w:rtl/>
        </w:rPr>
        <w:t>،</w:t>
      </w:r>
      <w:r w:rsidRPr="00904FCB">
        <w:rPr>
          <w:rFonts w:hint="cs"/>
          <w:sz w:val="27"/>
          <w:rtl/>
        </w:rPr>
        <w:t xml:space="preserve"> حت</w:t>
      </w:r>
      <w:r w:rsidR="00D524B3" w:rsidRPr="00904FCB">
        <w:rPr>
          <w:rFonts w:hint="cs"/>
          <w:sz w:val="27"/>
          <w:rtl/>
        </w:rPr>
        <w:t>ّ</w:t>
      </w:r>
      <w:r w:rsidRPr="00904FCB">
        <w:rPr>
          <w:rFonts w:hint="cs"/>
          <w:sz w:val="27"/>
          <w:rtl/>
        </w:rPr>
        <w:t>ى يمكن التعر</w:t>
      </w:r>
      <w:r w:rsidR="00D524B3" w:rsidRPr="00904FCB">
        <w:rPr>
          <w:rFonts w:hint="cs"/>
          <w:sz w:val="27"/>
          <w:rtl/>
        </w:rPr>
        <w:t>ُّ</w:t>
      </w:r>
      <w:r w:rsidRPr="00904FCB">
        <w:rPr>
          <w:rFonts w:hint="cs"/>
          <w:sz w:val="27"/>
          <w:rtl/>
        </w:rPr>
        <w:t>ف على أسلوب ومنهجي</w:t>
      </w:r>
      <w:r w:rsidR="00D524B3" w:rsidRPr="00904FCB">
        <w:rPr>
          <w:rFonts w:hint="cs"/>
          <w:sz w:val="27"/>
          <w:rtl/>
        </w:rPr>
        <w:t>ّة</w:t>
      </w:r>
      <w:r w:rsidRPr="00904FCB">
        <w:rPr>
          <w:rFonts w:hint="cs"/>
          <w:sz w:val="27"/>
          <w:rtl/>
        </w:rPr>
        <w:t xml:space="preserve"> أبي يعلى في التأليف. </w:t>
      </w:r>
    </w:p>
    <w:p w:rsidR="00644408" w:rsidRPr="00904FCB" w:rsidRDefault="00D524B3" w:rsidP="007A21AA">
      <w:pPr>
        <w:spacing w:line="400" w:lineRule="exact"/>
        <w:rPr>
          <w:sz w:val="27"/>
          <w:rtl/>
        </w:rPr>
      </w:pPr>
      <w:r w:rsidRPr="00904FCB">
        <w:rPr>
          <w:rFonts w:hint="cs"/>
          <w:b/>
          <w:bCs/>
          <w:sz w:val="27"/>
          <w:rtl/>
        </w:rPr>
        <w:t xml:space="preserve">ـ </w:t>
      </w:r>
      <w:r w:rsidR="00644408" w:rsidRPr="00904FCB">
        <w:rPr>
          <w:rFonts w:hint="cs"/>
          <w:b/>
          <w:bCs/>
          <w:sz w:val="27"/>
          <w:rtl/>
        </w:rPr>
        <w:t>القول الرابع</w:t>
      </w:r>
      <w:r w:rsidR="00644408" w:rsidRPr="00904FCB">
        <w:rPr>
          <w:rFonts w:hint="cs"/>
          <w:sz w:val="27"/>
          <w:rtl/>
        </w:rPr>
        <w:t xml:space="preserve">: ما </w:t>
      </w:r>
      <w:r w:rsidRPr="00904FCB">
        <w:rPr>
          <w:rFonts w:hint="cs"/>
          <w:sz w:val="27"/>
          <w:rtl/>
        </w:rPr>
        <w:t>ذكره البهبانيّ من أنّ الرسالة ل</w:t>
      </w:r>
      <w:r w:rsidR="00644408" w:rsidRPr="00904FCB">
        <w:rPr>
          <w:rFonts w:hint="cs"/>
          <w:sz w:val="27"/>
          <w:rtl/>
        </w:rPr>
        <w:t xml:space="preserve">محمد بن محمد بن يحيى، أبو </w:t>
      </w:r>
      <w:r w:rsidR="00644408" w:rsidRPr="00904FCB">
        <w:rPr>
          <w:rFonts w:hint="cs"/>
          <w:sz w:val="27"/>
          <w:rtl/>
        </w:rPr>
        <w:lastRenderedPageBreak/>
        <w:t xml:space="preserve">علي العلويّ. </w:t>
      </w:r>
    </w:p>
    <w:p w:rsidR="00644408" w:rsidRPr="00904FCB" w:rsidRDefault="00644408" w:rsidP="007A21AA">
      <w:pPr>
        <w:spacing w:line="400" w:lineRule="exact"/>
        <w:rPr>
          <w:sz w:val="27"/>
          <w:rtl/>
        </w:rPr>
      </w:pPr>
      <w:r w:rsidRPr="00904FCB">
        <w:rPr>
          <w:rFonts w:hint="cs"/>
          <w:sz w:val="27"/>
          <w:rtl/>
        </w:rPr>
        <w:t xml:space="preserve">ذكره الطوسي في </w:t>
      </w:r>
      <w:r w:rsidRPr="00904FCB">
        <w:rPr>
          <w:rFonts w:hint="eastAsia"/>
          <w:sz w:val="27"/>
          <w:rtl/>
        </w:rPr>
        <w:t>«</w:t>
      </w:r>
      <w:r w:rsidRPr="00904FCB">
        <w:rPr>
          <w:rFonts w:hint="cs"/>
          <w:sz w:val="27"/>
          <w:rtl/>
        </w:rPr>
        <w:t>الرجال</w:t>
      </w:r>
      <w:r w:rsidRPr="00904FCB">
        <w:rPr>
          <w:rFonts w:hint="eastAsia"/>
          <w:sz w:val="27"/>
          <w:rtl/>
        </w:rPr>
        <w:t>»</w:t>
      </w:r>
      <w:r w:rsidRPr="00904FCB">
        <w:rPr>
          <w:rFonts w:hint="cs"/>
          <w:sz w:val="27"/>
          <w:rtl/>
        </w:rPr>
        <w:t xml:space="preserve"> في باب م</w:t>
      </w:r>
      <w:r w:rsidR="00D524B3" w:rsidRPr="00904FCB">
        <w:rPr>
          <w:rFonts w:hint="cs"/>
          <w:sz w:val="27"/>
          <w:rtl/>
        </w:rPr>
        <w:t>َ</w:t>
      </w:r>
      <w:r w:rsidRPr="00904FCB">
        <w:rPr>
          <w:rFonts w:hint="cs"/>
          <w:sz w:val="27"/>
          <w:rtl/>
        </w:rPr>
        <w:t>ن</w:t>
      </w:r>
      <w:r w:rsidR="00D524B3" w:rsidRPr="00904FCB">
        <w:rPr>
          <w:rFonts w:hint="cs"/>
          <w:sz w:val="27"/>
          <w:rtl/>
        </w:rPr>
        <w:t>ْ</w:t>
      </w:r>
      <w:r w:rsidRPr="00904FCB">
        <w:rPr>
          <w:rFonts w:hint="cs"/>
          <w:sz w:val="27"/>
          <w:rtl/>
        </w:rPr>
        <w:t xml:space="preserve"> لم ي</w:t>
      </w:r>
      <w:r w:rsidR="00D524B3" w:rsidRPr="00904FCB">
        <w:rPr>
          <w:rFonts w:hint="cs"/>
          <w:sz w:val="27"/>
          <w:rtl/>
        </w:rPr>
        <w:t>َ</w:t>
      </w:r>
      <w:r w:rsidRPr="00904FCB">
        <w:rPr>
          <w:rFonts w:hint="cs"/>
          <w:sz w:val="27"/>
          <w:rtl/>
        </w:rPr>
        <w:t>ر</w:t>
      </w:r>
      <w:r w:rsidR="00D524B3" w:rsidRPr="00904FCB">
        <w:rPr>
          <w:rFonts w:hint="cs"/>
          <w:sz w:val="27"/>
          <w:rtl/>
        </w:rPr>
        <w:t>ْ</w:t>
      </w:r>
      <w:r w:rsidRPr="00904FCB">
        <w:rPr>
          <w:rFonts w:hint="cs"/>
          <w:sz w:val="27"/>
          <w:rtl/>
        </w:rPr>
        <w:t>و</w:t>
      </w:r>
      <w:r w:rsidR="00D524B3" w:rsidRPr="00904FCB">
        <w:rPr>
          <w:rFonts w:hint="cs"/>
          <w:sz w:val="27"/>
          <w:rtl/>
        </w:rPr>
        <w:t>ِ</w:t>
      </w:r>
      <w:r w:rsidRPr="00904FCB">
        <w:rPr>
          <w:rFonts w:hint="cs"/>
          <w:sz w:val="27"/>
          <w:rtl/>
        </w:rPr>
        <w:t xml:space="preserve"> عن واحد</w:t>
      </w:r>
      <w:r w:rsidR="00D524B3" w:rsidRPr="00904FCB">
        <w:rPr>
          <w:rFonts w:hint="cs"/>
          <w:sz w:val="27"/>
          <w:rtl/>
        </w:rPr>
        <w:t>ٍ</w:t>
      </w:r>
      <w:r w:rsidRPr="00904FCB">
        <w:rPr>
          <w:rFonts w:hint="cs"/>
          <w:sz w:val="27"/>
          <w:rtl/>
        </w:rPr>
        <w:t xml:space="preserve"> من الأئم</w:t>
      </w:r>
      <w:r w:rsidR="00D524B3" w:rsidRPr="00904FCB">
        <w:rPr>
          <w:rFonts w:hint="cs"/>
          <w:sz w:val="27"/>
          <w:rtl/>
        </w:rPr>
        <w:t>ّ</w:t>
      </w:r>
      <w:r w:rsidRPr="00904FCB">
        <w:rPr>
          <w:rFonts w:hint="cs"/>
          <w:sz w:val="27"/>
          <w:rtl/>
        </w:rPr>
        <w:t>ة شيئاً، قائلاً: أبو علي العلوي، وأخوه أبو الحسين، اسمه محمد بن محمد بن يحيى، من بني زبارة، معروفان جليلان</w:t>
      </w:r>
      <w:r w:rsidR="000C7243">
        <w:rPr>
          <w:rFonts w:hint="cs"/>
          <w:sz w:val="27"/>
          <w:rtl/>
        </w:rPr>
        <w:t>،</w:t>
      </w:r>
      <w:r w:rsidRPr="00904FCB">
        <w:rPr>
          <w:rFonts w:hint="cs"/>
          <w:sz w:val="27"/>
          <w:rtl/>
        </w:rPr>
        <w:t xml:space="preserve"> من أهل نيسابور</w:t>
      </w:r>
      <w:r w:rsidRPr="00904FCB">
        <w:rPr>
          <w:sz w:val="27"/>
          <w:vertAlign w:val="superscript"/>
          <w:rtl/>
        </w:rPr>
        <w:t>(</w:t>
      </w:r>
      <w:r w:rsidRPr="00904FCB">
        <w:rPr>
          <w:rStyle w:val="ac"/>
          <w:sz w:val="27"/>
          <w:rtl/>
        </w:rPr>
        <w:endnoteReference w:id="247"/>
      </w:r>
      <w:r w:rsidRPr="00904FCB">
        <w:rPr>
          <w:sz w:val="27"/>
          <w:vertAlign w:val="superscript"/>
          <w:rtl/>
        </w:rPr>
        <w:t>)</w:t>
      </w:r>
      <w:r w:rsidRPr="00904FCB">
        <w:rPr>
          <w:sz w:val="27"/>
          <w:rtl/>
        </w:rPr>
        <w:t>.</w:t>
      </w:r>
      <w:r w:rsidRPr="00904FCB">
        <w:rPr>
          <w:sz w:val="27"/>
          <w:vertAlign w:val="superscript"/>
          <w:rtl/>
        </w:rPr>
        <w:t xml:space="preserve"> </w:t>
      </w:r>
    </w:p>
    <w:p w:rsidR="00644408" w:rsidRPr="00904FCB" w:rsidRDefault="00644408" w:rsidP="007A21AA">
      <w:pPr>
        <w:spacing w:line="400" w:lineRule="exact"/>
        <w:rPr>
          <w:sz w:val="27"/>
          <w:rtl/>
        </w:rPr>
      </w:pPr>
      <w:r w:rsidRPr="00904FCB">
        <w:rPr>
          <w:rFonts w:hint="cs"/>
          <w:sz w:val="27"/>
          <w:rtl/>
        </w:rPr>
        <w:t>فالذي يظهر من الترجمة أنّ أبا علي العلويّ اكتفى الطوسيّ بكنيته</w:t>
      </w:r>
      <w:r w:rsidR="00D524B3" w:rsidRPr="00904FCB">
        <w:rPr>
          <w:rFonts w:hint="cs"/>
          <w:sz w:val="27"/>
          <w:rtl/>
        </w:rPr>
        <w:t>،</w:t>
      </w:r>
      <w:r w:rsidRPr="00904FCB">
        <w:rPr>
          <w:rFonts w:hint="cs"/>
          <w:sz w:val="27"/>
          <w:rtl/>
        </w:rPr>
        <w:t xml:space="preserve"> ولم يعرّ</w:t>
      </w:r>
      <w:r w:rsidR="00D524B3" w:rsidRPr="00904FCB">
        <w:rPr>
          <w:rFonts w:hint="cs"/>
          <w:sz w:val="27"/>
          <w:rtl/>
        </w:rPr>
        <w:t>ِ</w:t>
      </w:r>
      <w:r w:rsidRPr="00904FCB">
        <w:rPr>
          <w:rFonts w:hint="cs"/>
          <w:sz w:val="27"/>
          <w:rtl/>
        </w:rPr>
        <w:t xml:space="preserve">ف باسمه، بينما ساق اسم أخيه أبي الحسين، </w:t>
      </w:r>
      <w:r w:rsidR="00D524B3" w:rsidRPr="00904FCB">
        <w:rPr>
          <w:rFonts w:hint="cs"/>
          <w:sz w:val="27"/>
          <w:rtl/>
        </w:rPr>
        <w:t>وهو</w:t>
      </w:r>
      <w:r w:rsidRPr="00904FCB">
        <w:rPr>
          <w:rFonts w:hint="cs"/>
          <w:sz w:val="27"/>
          <w:rtl/>
        </w:rPr>
        <w:t xml:space="preserve"> محمد بن محمد بن يحيى. ومن ثم</w:t>
      </w:r>
      <w:r w:rsidR="00D524B3" w:rsidRPr="00904FCB">
        <w:rPr>
          <w:rFonts w:hint="cs"/>
          <w:sz w:val="27"/>
          <w:rtl/>
        </w:rPr>
        <w:t>ّ</w:t>
      </w:r>
      <w:r w:rsidRPr="00904FCB">
        <w:rPr>
          <w:rFonts w:hint="cs"/>
          <w:sz w:val="27"/>
          <w:rtl/>
        </w:rPr>
        <w:t xml:space="preserve"> حصل خلط في كلام البهبهاني بجمعه بين كنية أبي علي من جهة</w:t>
      </w:r>
      <w:r w:rsidR="00D524B3" w:rsidRPr="00904FCB">
        <w:rPr>
          <w:rFonts w:hint="cs"/>
          <w:sz w:val="27"/>
          <w:rtl/>
        </w:rPr>
        <w:t>ٍ</w:t>
      </w:r>
      <w:r w:rsidRPr="00904FCB">
        <w:rPr>
          <w:rFonts w:hint="cs"/>
          <w:sz w:val="27"/>
          <w:rtl/>
        </w:rPr>
        <w:t xml:space="preserve"> </w:t>
      </w:r>
      <w:r w:rsidR="00D524B3" w:rsidRPr="00904FCB">
        <w:rPr>
          <w:rFonts w:hint="cs"/>
          <w:sz w:val="27"/>
          <w:rtl/>
        </w:rPr>
        <w:t>و</w:t>
      </w:r>
      <w:r w:rsidRPr="00904FCB">
        <w:rPr>
          <w:rFonts w:hint="cs"/>
          <w:sz w:val="27"/>
          <w:rtl/>
        </w:rPr>
        <w:t>اسم أخيه من جهة</w:t>
      </w:r>
      <w:r w:rsidR="00D524B3" w:rsidRPr="00904FCB">
        <w:rPr>
          <w:rFonts w:hint="cs"/>
          <w:sz w:val="27"/>
          <w:rtl/>
        </w:rPr>
        <w:t>ٍ</w:t>
      </w:r>
      <w:r w:rsidRPr="00904FCB">
        <w:rPr>
          <w:rFonts w:hint="cs"/>
          <w:sz w:val="27"/>
          <w:rtl/>
        </w:rPr>
        <w:t xml:space="preserve"> أخرى. </w:t>
      </w:r>
    </w:p>
    <w:p w:rsidR="00644408" w:rsidRPr="00904FCB" w:rsidRDefault="00644408" w:rsidP="007A21AA">
      <w:pPr>
        <w:spacing w:line="400" w:lineRule="exact"/>
        <w:rPr>
          <w:sz w:val="27"/>
          <w:rtl/>
        </w:rPr>
      </w:pPr>
      <w:r w:rsidRPr="00904FCB">
        <w:rPr>
          <w:rFonts w:hint="cs"/>
          <w:sz w:val="27"/>
          <w:rtl/>
        </w:rPr>
        <w:t xml:space="preserve">والذي يظهر من كلامه أن مقصوده هو خصوص (أبو علي العلويّ) لا غير. </w:t>
      </w:r>
    </w:p>
    <w:p w:rsidR="00644408" w:rsidRPr="00904FCB" w:rsidRDefault="00644408" w:rsidP="007A21AA">
      <w:pPr>
        <w:spacing w:line="400" w:lineRule="exact"/>
        <w:rPr>
          <w:sz w:val="27"/>
          <w:rtl/>
        </w:rPr>
      </w:pPr>
      <w:r w:rsidRPr="00904FCB">
        <w:rPr>
          <w:rFonts w:hint="cs"/>
          <w:sz w:val="27"/>
          <w:rtl/>
        </w:rPr>
        <w:t>ولم يوض</w:t>
      </w:r>
      <w:r w:rsidR="00D524B3" w:rsidRPr="00904FCB">
        <w:rPr>
          <w:rFonts w:hint="cs"/>
          <w:sz w:val="27"/>
          <w:rtl/>
        </w:rPr>
        <w:t>ِّ</w:t>
      </w:r>
      <w:r w:rsidRPr="00904FCB">
        <w:rPr>
          <w:rFonts w:hint="cs"/>
          <w:sz w:val="27"/>
          <w:rtl/>
        </w:rPr>
        <w:t>ح البهبهانيّ لنا الدليل الذي جعله يؤمن بأن الرسالة الس</w:t>
      </w:r>
      <w:r w:rsidR="00D524B3" w:rsidRPr="00904FCB">
        <w:rPr>
          <w:rFonts w:hint="cs"/>
          <w:sz w:val="27"/>
          <w:rtl/>
        </w:rPr>
        <w:t>َّ</w:t>
      </w:r>
      <w:r w:rsidRPr="00904FCB">
        <w:rPr>
          <w:rFonts w:hint="cs"/>
          <w:sz w:val="27"/>
          <w:rtl/>
        </w:rPr>
        <w:t>ه</w:t>
      </w:r>
      <w:r w:rsidR="00D524B3" w:rsidRPr="00904FCB">
        <w:rPr>
          <w:rFonts w:hint="cs"/>
          <w:sz w:val="27"/>
          <w:rtl/>
        </w:rPr>
        <w:t>ْ</w:t>
      </w:r>
      <w:r w:rsidRPr="00904FCB">
        <w:rPr>
          <w:rFonts w:hint="cs"/>
          <w:sz w:val="27"/>
          <w:rtl/>
        </w:rPr>
        <w:t>وية هي للعلوي على التحديد، وخاص</w:t>
      </w:r>
      <w:r w:rsidR="00D524B3" w:rsidRPr="00904FCB">
        <w:rPr>
          <w:rFonts w:hint="cs"/>
          <w:sz w:val="27"/>
          <w:rtl/>
        </w:rPr>
        <w:t>ّ</w:t>
      </w:r>
      <w:r w:rsidRPr="00904FCB">
        <w:rPr>
          <w:rFonts w:hint="cs"/>
          <w:sz w:val="27"/>
          <w:rtl/>
        </w:rPr>
        <w:t xml:space="preserve">ة أنّ العلوي لم يذكر له مترجموه شيئاً من تصانيفه، </w:t>
      </w:r>
      <w:r w:rsidR="00D524B3" w:rsidRPr="00904FCB">
        <w:rPr>
          <w:rFonts w:hint="cs"/>
          <w:sz w:val="27"/>
          <w:rtl/>
        </w:rPr>
        <w:t>فتكون عهدة</w:t>
      </w:r>
      <w:r w:rsidRPr="00904FCB">
        <w:rPr>
          <w:rFonts w:hint="cs"/>
          <w:sz w:val="27"/>
          <w:rtl/>
        </w:rPr>
        <w:t xml:space="preserve"> هذه الدعوى على مد</w:t>
      </w:r>
      <w:r w:rsidR="00D524B3" w:rsidRPr="00904FCB">
        <w:rPr>
          <w:rFonts w:hint="cs"/>
          <w:sz w:val="27"/>
          <w:rtl/>
        </w:rPr>
        <w:t>َّ</w:t>
      </w:r>
      <w:r w:rsidRPr="00904FCB">
        <w:rPr>
          <w:rFonts w:hint="cs"/>
          <w:sz w:val="27"/>
          <w:rtl/>
        </w:rPr>
        <w:t xml:space="preserve">عيها. </w:t>
      </w:r>
    </w:p>
    <w:p w:rsidR="00644408" w:rsidRPr="00904FCB" w:rsidRDefault="00644408" w:rsidP="007A21AA">
      <w:pPr>
        <w:spacing w:line="400" w:lineRule="exact"/>
        <w:rPr>
          <w:sz w:val="27"/>
          <w:rtl/>
        </w:rPr>
      </w:pPr>
      <w:r w:rsidRPr="00904FCB">
        <w:rPr>
          <w:rFonts w:hint="cs"/>
          <w:sz w:val="27"/>
          <w:rtl/>
        </w:rPr>
        <w:t xml:space="preserve">وعلى </w:t>
      </w:r>
      <w:r w:rsidR="00D524B3" w:rsidRPr="00904FCB">
        <w:rPr>
          <w:rFonts w:hint="cs"/>
          <w:sz w:val="27"/>
          <w:rtl/>
        </w:rPr>
        <w:t>أيّ</w:t>
      </w:r>
      <w:r w:rsidRPr="00904FCB">
        <w:rPr>
          <w:rFonts w:hint="cs"/>
          <w:sz w:val="27"/>
          <w:rtl/>
        </w:rPr>
        <w:t xml:space="preserve"> حال لم يتبيّ</w:t>
      </w:r>
      <w:r w:rsidR="00D524B3" w:rsidRPr="00904FCB">
        <w:rPr>
          <w:rFonts w:hint="cs"/>
          <w:sz w:val="27"/>
          <w:rtl/>
        </w:rPr>
        <w:t>َ</w:t>
      </w:r>
      <w:r w:rsidRPr="00904FCB">
        <w:rPr>
          <w:rFonts w:hint="cs"/>
          <w:sz w:val="27"/>
          <w:rtl/>
        </w:rPr>
        <w:t>ن لنا وجه</w:t>
      </w:r>
      <w:r w:rsidR="00D524B3" w:rsidRPr="00904FCB">
        <w:rPr>
          <w:rFonts w:hint="cs"/>
          <w:sz w:val="27"/>
          <w:rtl/>
        </w:rPr>
        <w:t>ٌ</w:t>
      </w:r>
      <w:r w:rsidRPr="00904FCB">
        <w:rPr>
          <w:rFonts w:hint="cs"/>
          <w:sz w:val="27"/>
          <w:rtl/>
        </w:rPr>
        <w:t xml:space="preserve"> في انتساب هذه الرسالة إلى واحد</w:t>
      </w:r>
      <w:r w:rsidR="00D524B3" w:rsidRPr="00904FCB">
        <w:rPr>
          <w:rFonts w:hint="cs"/>
          <w:sz w:val="27"/>
          <w:rtl/>
        </w:rPr>
        <w:t>ٍ</w:t>
      </w:r>
      <w:r w:rsidRPr="00904FCB">
        <w:rPr>
          <w:rFonts w:hint="cs"/>
          <w:sz w:val="27"/>
          <w:rtl/>
        </w:rPr>
        <w:t xml:space="preserve"> من المتقد</w:t>
      </w:r>
      <w:r w:rsidR="00D524B3" w:rsidRPr="00904FCB">
        <w:rPr>
          <w:rFonts w:hint="cs"/>
          <w:sz w:val="27"/>
          <w:rtl/>
        </w:rPr>
        <w:t>ِّ</w:t>
      </w:r>
      <w:r w:rsidRPr="00904FCB">
        <w:rPr>
          <w:rFonts w:hint="cs"/>
          <w:sz w:val="27"/>
          <w:rtl/>
        </w:rPr>
        <w:t>مين الأربعة</w:t>
      </w:r>
      <w:r w:rsidR="00D524B3" w:rsidRPr="00904FCB">
        <w:rPr>
          <w:rFonts w:hint="cs"/>
          <w:sz w:val="27"/>
          <w:rtl/>
        </w:rPr>
        <w:t>،</w:t>
      </w:r>
      <w:r w:rsidRPr="00904FCB">
        <w:rPr>
          <w:rFonts w:hint="cs"/>
          <w:sz w:val="27"/>
          <w:rtl/>
        </w:rPr>
        <w:t xml:space="preserve"> يمك</w:t>
      </w:r>
      <w:r w:rsidR="00D524B3" w:rsidRPr="00904FCB">
        <w:rPr>
          <w:rFonts w:hint="cs"/>
          <w:sz w:val="27"/>
          <w:rtl/>
        </w:rPr>
        <w:t>ِّ</w:t>
      </w:r>
      <w:r w:rsidRPr="00904FCB">
        <w:rPr>
          <w:rFonts w:hint="cs"/>
          <w:sz w:val="27"/>
          <w:rtl/>
        </w:rPr>
        <w:t>ن</w:t>
      </w:r>
      <w:r w:rsidR="00D524B3" w:rsidRPr="00904FCB">
        <w:rPr>
          <w:rFonts w:hint="cs"/>
          <w:sz w:val="27"/>
          <w:rtl/>
        </w:rPr>
        <w:t>نا</w:t>
      </w:r>
      <w:r w:rsidRPr="00904FCB">
        <w:rPr>
          <w:rFonts w:hint="cs"/>
          <w:sz w:val="27"/>
          <w:rtl/>
        </w:rPr>
        <w:t xml:space="preserve"> </w:t>
      </w:r>
      <w:r w:rsidR="00D524B3" w:rsidRPr="00904FCB">
        <w:rPr>
          <w:rFonts w:hint="cs"/>
          <w:sz w:val="27"/>
          <w:rtl/>
        </w:rPr>
        <w:t xml:space="preserve">من </w:t>
      </w:r>
      <w:r w:rsidRPr="00904FCB">
        <w:rPr>
          <w:rFonts w:hint="cs"/>
          <w:sz w:val="27"/>
          <w:rtl/>
        </w:rPr>
        <w:t xml:space="preserve">الجزم </w:t>
      </w:r>
      <w:r w:rsidR="00D524B3" w:rsidRPr="00904FCB">
        <w:rPr>
          <w:rFonts w:hint="cs"/>
          <w:sz w:val="27"/>
          <w:rtl/>
        </w:rPr>
        <w:t>ب</w:t>
      </w:r>
      <w:r w:rsidRPr="00904FCB">
        <w:rPr>
          <w:rFonts w:hint="cs"/>
          <w:sz w:val="27"/>
          <w:rtl/>
        </w:rPr>
        <w:t>اختياره على أنه مؤل</w:t>
      </w:r>
      <w:r w:rsidR="00D524B3" w:rsidRPr="00904FCB">
        <w:rPr>
          <w:rFonts w:hint="cs"/>
          <w:sz w:val="27"/>
          <w:rtl/>
        </w:rPr>
        <w:t>ِّ</w:t>
      </w:r>
      <w:r w:rsidRPr="00904FCB">
        <w:rPr>
          <w:rFonts w:hint="cs"/>
          <w:sz w:val="27"/>
          <w:rtl/>
        </w:rPr>
        <w:t>ف الرسالة، وإن</w:t>
      </w:r>
      <w:r w:rsidR="00D524B3" w:rsidRPr="00904FCB">
        <w:rPr>
          <w:rFonts w:hint="cs"/>
          <w:sz w:val="27"/>
          <w:rtl/>
        </w:rPr>
        <w:t>ْ</w:t>
      </w:r>
      <w:r w:rsidRPr="00904FCB">
        <w:rPr>
          <w:rFonts w:hint="cs"/>
          <w:sz w:val="27"/>
          <w:rtl/>
        </w:rPr>
        <w:t xml:space="preserve"> كان </w:t>
      </w:r>
      <w:r w:rsidR="00D524B3" w:rsidRPr="00904FCB">
        <w:rPr>
          <w:rFonts w:hint="cs"/>
          <w:sz w:val="27"/>
          <w:rtl/>
        </w:rPr>
        <w:t xml:space="preserve">خروج </w:t>
      </w:r>
      <w:r w:rsidRPr="00904FCB">
        <w:rPr>
          <w:rFonts w:hint="cs"/>
          <w:sz w:val="27"/>
          <w:rtl/>
        </w:rPr>
        <w:t xml:space="preserve">بعض الأطراف </w:t>
      </w:r>
      <w:r w:rsidR="00D524B3" w:rsidRPr="00904FCB">
        <w:rPr>
          <w:rFonts w:hint="cs"/>
          <w:sz w:val="27"/>
          <w:rtl/>
        </w:rPr>
        <w:t xml:space="preserve">من دائرة احتمال كونه أحد المؤلِّفين لها </w:t>
      </w:r>
      <w:r w:rsidRPr="00904FCB">
        <w:rPr>
          <w:rFonts w:hint="cs"/>
          <w:sz w:val="27"/>
          <w:rtl/>
        </w:rPr>
        <w:t>واضح</w:t>
      </w:r>
      <w:r w:rsidR="00D524B3" w:rsidRPr="00904FCB">
        <w:rPr>
          <w:rFonts w:hint="cs"/>
          <w:sz w:val="27"/>
          <w:rtl/>
        </w:rPr>
        <w:t>اً</w:t>
      </w:r>
      <w:r w:rsidRPr="00904FCB">
        <w:rPr>
          <w:rFonts w:hint="cs"/>
          <w:sz w:val="27"/>
          <w:rtl/>
        </w:rPr>
        <w:t>، وهو أبو علي العلوي. ولكننا إذا فقدنا الأمل في الكشف عن المؤل</w:t>
      </w:r>
      <w:r w:rsidR="00D64708" w:rsidRPr="00904FCB">
        <w:rPr>
          <w:rFonts w:hint="cs"/>
          <w:sz w:val="27"/>
          <w:rtl/>
        </w:rPr>
        <w:t>ِّ</w:t>
      </w:r>
      <w:r w:rsidRPr="00904FCB">
        <w:rPr>
          <w:rFonts w:hint="cs"/>
          <w:sz w:val="27"/>
          <w:rtl/>
        </w:rPr>
        <w:t>ف فليس هذا هو آخر المطاف في هذا المجال، و</w:t>
      </w:r>
      <w:r w:rsidR="00D64708" w:rsidRPr="00904FCB">
        <w:rPr>
          <w:rFonts w:hint="cs"/>
          <w:sz w:val="27"/>
          <w:rtl/>
        </w:rPr>
        <w:t>ت</w:t>
      </w:r>
      <w:r w:rsidRPr="00904FCB">
        <w:rPr>
          <w:rFonts w:hint="cs"/>
          <w:sz w:val="27"/>
          <w:rtl/>
        </w:rPr>
        <w:t>بقى حدود البحث مفتوحة ومتاحة للباحثين</w:t>
      </w:r>
      <w:r w:rsidR="00D64708" w:rsidRPr="00904FCB">
        <w:rPr>
          <w:rFonts w:hint="cs"/>
          <w:sz w:val="27"/>
          <w:rtl/>
        </w:rPr>
        <w:t>،</w:t>
      </w:r>
      <w:r w:rsidRPr="00904FCB">
        <w:rPr>
          <w:rFonts w:hint="cs"/>
          <w:sz w:val="27"/>
          <w:rtl/>
        </w:rPr>
        <w:t xml:space="preserve"> لعل</w:t>
      </w:r>
      <w:r w:rsidR="00D64708" w:rsidRPr="00904FCB">
        <w:rPr>
          <w:rFonts w:hint="cs"/>
          <w:sz w:val="27"/>
          <w:rtl/>
        </w:rPr>
        <w:t>َّ</w:t>
      </w:r>
      <w:r w:rsidRPr="00904FCB">
        <w:rPr>
          <w:rFonts w:hint="cs"/>
          <w:sz w:val="27"/>
          <w:rtl/>
        </w:rPr>
        <w:t>هم يحد</w:t>
      </w:r>
      <w:r w:rsidR="00D64708" w:rsidRPr="00904FCB">
        <w:rPr>
          <w:rFonts w:hint="cs"/>
          <w:sz w:val="27"/>
          <w:rtl/>
        </w:rPr>
        <w:t>ِّ</w:t>
      </w:r>
      <w:r w:rsidRPr="00904FCB">
        <w:rPr>
          <w:rFonts w:hint="cs"/>
          <w:sz w:val="27"/>
          <w:rtl/>
        </w:rPr>
        <w:t>دو</w:t>
      </w:r>
      <w:r w:rsidR="00D64708" w:rsidRPr="00904FCB">
        <w:rPr>
          <w:rFonts w:hint="cs"/>
          <w:sz w:val="27"/>
          <w:rtl/>
        </w:rPr>
        <w:t>ن</w:t>
      </w:r>
      <w:r w:rsidRPr="00904FCB">
        <w:rPr>
          <w:rFonts w:hint="cs"/>
          <w:sz w:val="27"/>
          <w:rtl/>
        </w:rPr>
        <w:t xml:space="preserve"> هويته في فرصة</w:t>
      </w:r>
      <w:r w:rsidR="000C7243">
        <w:rPr>
          <w:rFonts w:hint="cs"/>
          <w:sz w:val="27"/>
          <w:rtl/>
        </w:rPr>
        <w:t>ٍ</w:t>
      </w:r>
      <w:r w:rsidRPr="00904FCB">
        <w:rPr>
          <w:rFonts w:hint="cs"/>
          <w:sz w:val="27"/>
          <w:rtl/>
        </w:rPr>
        <w:t xml:space="preserve"> لاحقة، وليس ذلك بعزيز</w:t>
      </w:r>
      <w:r w:rsidR="00D64708" w:rsidRPr="00904FCB">
        <w:rPr>
          <w:rFonts w:hint="cs"/>
          <w:sz w:val="27"/>
          <w:rtl/>
        </w:rPr>
        <w:t>ٍ</w:t>
      </w:r>
      <w:r w:rsidRPr="00904FCB">
        <w:rPr>
          <w:rFonts w:hint="cs"/>
          <w:sz w:val="27"/>
          <w:rtl/>
        </w:rPr>
        <w:t>. ومع كل ذلك لا تفقد الرسالة محتواها العلمي ومضمونها الفكري الذي ك</w:t>
      </w:r>
      <w:r w:rsidR="00D64708" w:rsidRPr="00904FCB">
        <w:rPr>
          <w:rFonts w:hint="cs"/>
          <w:sz w:val="27"/>
          <w:rtl/>
        </w:rPr>
        <w:t>ُ</w:t>
      </w:r>
      <w:r w:rsidRPr="00904FCB">
        <w:rPr>
          <w:rFonts w:hint="cs"/>
          <w:sz w:val="27"/>
          <w:rtl/>
        </w:rPr>
        <w:t xml:space="preserve">تبت من أجله. </w:t>
      </w:r>
    </w:p>
    <w:p w:rsidR="00644408" w:rsidRPr="00904FCB" w:rsidRDefault="00644408" w:rsidP="007A21AA">
      <w:pPr>
        <w:spacing w:line="400" w:lineRule="exact"/>
        <w:rPr>
          <w:sz w:val="27"/>
          <w:rtl/>
        </w:rPr>
      </w:pPr>
    </w:p>
    <w:p w:rsidR="00644408" w:rsidRPr="00904FCB" w:rsidRDefault="00644408" w:rsidP="007A21AA">
      <w:pPr>
        <w:pStyle w:val="31"/>
        <w:spacing w:line="400" w:lineRule="exact"/>
        <w:rPr>
          <w:color w:val="auto"/>
          <w:rtl/>
        </w:rPr>
      </w:pPr>
      <w:r w:rsidRPr="00DB1447">
        <w:rPr>
          <w:rFonts w:hint="cs"/>
          <w:color w:val="auto"/>
          <w:rtl/>
        </w:rPr>
        <w:t>2ـ أسماء</w:t>
      </w:r>
      <w:r w:rsidRPr="00904FCB">
        <w:rPr>
          <w:rFonts w:hint="cs"/>
          <w:color w:val="auto"/>
          <w:rtl/>
        </w:rPr>
        <w:t xml:space="preserve"> الرسالة </w:t>
      </w:r>
    </w:p>
    <w:p w:rsidR="00644408" w:rsidRPr="00904FCB" w:rsidRDefault="00644408" w:rsidP="007A21AA">
      <w:pPr>
        <w:spacing w:line="400" w:lineRule="exact"/>
        <w:rPr>
          <w:sz w:val="27"/>
          <w:rtl/>
        </w:rPr>
      </w:pPr>
      <w:r w:rsidRPr="00904FCB">
        <w:rPr>
          <w:rFonts w:hint="cs"/>
          <w:sz w:val="27"/>
          <w:rtl/>
        </w:rPr>
        <w:t>نذكر هنا بعض الأسماء التي ع</w:t>
      </w:r>
      <w:r w:rsidR="00D64708" w:rsidRPr="00904FCB">
        <w:rPr>
          <w:rFonts w:hint="cs"/>
          <w:sz w:val="27"/>
          <w:rtl/>
        </w:rPr>
        <w:t>ُ</w:t>
      </w:r>
      <w:r w:rsidRPr="00904FCB">
        <w:rPr>
          <w:rFonts w:hint="cs"/>
          <w:sz w:val="27"/>
          <w:rtl/>
        </w:rPr>
        <w:t xml:space="preserve">رفت بها هذه الرسالة: </w:t>
      </w:r>
    </w:p>
    <w:p w:rsidR="00644408" w:rsidRPr="00DB1447" w:rsidRDefault="00644408" w:rsidP="002E32B4">
      <w:pPr>
        <w:spacing w:line="400" w:lineRule="exact"/>
        <w:rPr>
          <w:sz w:val="27"/>
          <w:rtl/>
        </w:rPr>
      </w:pPr>
      <w:r w:rsidRPr="00DB1447">
        <w:rPr>
          <w:rStyle w:val="ac"/>
          <w:rFonts w:hint="cs"/>
          <w:sz w:val="27"/>
          <w:rtl/>
        </w:rPr>
        <w:t xml:space="preserve"> </w:t>
      </w:r>
      <w:r w:rsidRPr="00DB1447">
        <w:rPr>
          <w:rFonts w:hint="cs"/>
          <w:sz w:val="27"/>
          <w:rtl/>
        </w:rPr>
        <w:t>1ـ عدم سهو النبي</w:t>
      </w:r>
      <w:r w:rsidR="00D64708" w:rsidRPr="00DB1447">
        <w:rPr>
          <w:rFonts w:hint="cs"/>
          <w:sz w:val="27"/>
          <w:rtl/>
        </w:rPr>
        <w:t>ّ</w:t>
      </w:r>
      <w:r w:rsidRPr="00DB1447">
        <w:rPr>
          <w:rFonts w:hint="cs"/>
          <w:sz w:val="27"/>
          <w:rtl/>
        </w:rPr>
        <w:t>؛ 2ـ الرسالة السهوية؛ 3ـ جواب أهل الحجاز في نفي سهو النبي</w:t>
      </w:r>
      <w:r w:rsidR="00D64708" w:rsidRPr="00DB1447">
        <w:rPr>
          <w:rFonts w:hint="cs"/>
          <w:sz w:val="27"/>
          <w:rtl/>
        </w:rPr>
        <w:t>ّ</w:t>
      </w:r>
      <w:r w:rsidRPr="00DB1447">
        <w:rPr>
          <w:rFonts w:hint="cs"/>
          <w:sz w:val="27"/>
          <w:rtl/>
        </w:rPr>
        <w:t>؛ 4ـ جواب أهل الحائر في نفي سهو النبي</w:t>
      </w:r>
      <w:r w:rsidR="00D64708" w:rsidRPr="00DB1447">
        <w:rPr>
          <w:rFonts w:hint="cs"/>
          <w:sz w:val="27"/>
          <w:rtl/>
        </w:rPr>
        <w:t>ّ</w:t>
      </w:r>
      <w:r w:rsidRPr="00DB1447">
        <w:rPr>
          <w:rFonts w:hint="cs"/>
          <w:sz w:val="27"/>
          <w:rtl/>
        </w:rPr>
        <w:t>؛ 5ـ رسالة ردّ سهو النبي</w:t>
      </w:r>
      <w:r w:rsidR="00D64708" w:rsidRPr="00DB1447">
        <w:rPr>
          <w:rFonts w:hint="cs"/>
          <w:sz w:val="27"/>
          <w:rtl/>
        </w:rPr>
        <w:t>ّ</w:t>
      </w:r>
      <w:r w:rsidRPr="00DB1447">
        <w:rPr>
          <w:rFonts w:hint="cs"/>
          <w:sz w:val="27"/>
          <w:rtl/>
        </w:rPr>
        <w:t>؛ 6ـ الردّ على م</w:t>
      </w:r>
      <w:r w:rsidR="00D64708" w:rsidRPr="00DB1447">
        <w:rPr>
          <w:rFonts w:hint="cs"/>
          <w:sz w:val="27"/>
          <w:rtl/>
        </w:rPr>
        <w:t>َ</w:t>
      </w:r>
      <w:r w:rsidRPr="00DB1447">
        <w:rPr>
          <w:rFonts w:hint="cs"/>
          <w:sz w:val="27"/>
          <w:rtl/>
        </w:rPr>
        <w:t>ن</w:t>
      </w:r>
      <w:r w:rsidR="00D64708" w:rsidRPr="00DB1447">
        <w:rPr>
          <w:rFonts w:hint="cs"/>
          <w:sz w:val="27"/>
          <w:rtl/>
        </w:rPr>
        <w:t>ْ</w:t>
      </w:r>
      <w:r w:rsidRPr="00DB1447">
        <w:rPr>
          <w:rFonts w:hint="cs"/>
          <w:sz w:val="27"/>
          <w:rtl/>
        </w:rPr>
        <w:t xml:space="preserve"> زعم أن النبي</w:t>
      </w:r>
      <w:r w:rsidR="00D64708" w:rsidRPr="00DB1447">
        <w:rPr>
          <w:rFonts w:hint="cs"/>
          <w:sz w:val="27"/>
          <w:rtl/>
        </w:rPr>
        <w:t>ّ</w:t>
      </w:r>
      <w:r w:rsidRPr="00DB1447">
        <w:rPr>
          <w:rFonts w:hint="cs"/>
          <w:sz w:val="27"/>
          <w:rtl/>
        </w:rPr>
        <w:t xml:space="preserve"> يسهو؛ 7ـ الردّ على م</w:t>
      </w:r>
      <w:r w:rsidR="00D64708" w:rsidRPr="00DB1447">
        <w:rPr>
          <w:rFonts w:hint="cs"/>
          <w:sz w:val="27"/>
          <w:rtl/>
        </w:rPr>
        <w:t>َ</w:t>
      </w:r>
      <w:r w:rsidRPr="00DB1447">
        <w:rPr>
          <w:rFonts w:hint="cs"/>
          <w:sz w:val="27"/>
          <w:rtl/>
        </w:rPr>
        <w:t>ن</w:t>
      </w:r>
      <w:r w:rsidR="00D64708" w:rsidRPr="00DB1447">
        <w:rPr>
          <w:rFonts w:hint="cs"/>
          <w:sz w:val="27"/>
          <w:rtl/>
        </w:rPr>
        <w:t>ْ</w:t>
      </w:r>
      <w:r w:rsidRPr="00DB1447">
        <w:rPr>
          <w:rFonts w:hint="cs"/>
          <w:sz w:val="27"/>
          <w:rtl/>
        </w:rPr>
        <w:t xml:space="preserve"> جوّ</w:t>
      </w:r>
      <w:r w:rsidR="00D64708" w:rsidRPr="00DB1447">
        <w:rPr>
          <w:rFonts w:hint="cs"/>
          <w:sz w:val="27"/>
          <w:rtl/>
        </w:rPr>
        <w:t>َ</w:t>
      </w:r>
      <w:r w:rsidRPr="00DB1447">
        <w:rPr>
          <w:rFonts w:hint="cs"/>
          <w:sz w:val="27"/>
          <w:rtl/>
        </w:rPr>
        <w:t>ز السهو على النبي</w:t>
      </w:r>
      <w:r w:rsidR="00D64708" w:rsidRPr="00DB1447">
        <w:rPr>
          <w:rFonts w:hint="cs"/>
          <w:sz w:val="27"/>
          <w:rtl/>
        </w:rPr>
        <w:t>ّ</w:t>
      </w:r>
      <w:r w:rsidRPr="00DB1447">
        <w:rPr>
          <w:rFonts w:hint="cs"/>
          <w:sz w:val="27"/>
          <w:rtl/>
        </w:rPr>
        <w:t>؛ 8ـ سهو النبي</w:t>
      </w:r>
      <w:r w:rsidR="00D64708" w:rsidRPr="00DB1447">
        <w:rPr>
          <w:rFonts w:hint="cs"/>
          <w:sz w:val="27"/>
          <w:rtl/>
        </w:rPr>
        <w:t>ّ</w:t>
      </w:r>
      <w:r w:rsidRPr="00DB1447">
        <w:rPr>
          <w:rFonts w:hint="cs"/>
          <w:sz w:val="27"/>
          <w:rtl/>
        </w:rPr>
        <w:t>؛ 9</w:t>
      </w:r>
      <w:r w:rsidR="000C7243" w:rsidRPr="00DB1447">
        <w:rPr>
          <w:rFonts w:hint="cs"/>
          <w:sz w:val="27"/>
          <w:rtl/>
        </w:rPr>
        <w:t xml:space="preserve">ـ </w:t>
      </w:r>
      <w:r w:rsidRPr="00DB1447">
        <w:rPr>
          <w:rFonts w:hint="cs"/>
          <w:sz w:val="27"/>
          <w:rtl/>
        </w:rPr>
        <w:t>الس</w:t>
      </w:r>
      <w:r w:rsidR="00D64708" w:rsidRPr="00DB1447">
        <w:rPr>
          <w:rFonts w:hint="cs"/>
          <w:sz w:val="27"/>
          <w:rtl/>
        </w:rPr>
        <w:t>َّ</w:t>
      </w:r>
      <w:r w:rsidRPr="00DB1447">
        <w:rPr>
          <w:rFonts w:hint="cs"/>
          <w:sz w:val="27"/>
          <w:rtl/>
        </w:rPr>
        <w:t>ه</w:t>
      </w:r>
      <w:r w:rsidR="00D64708" w:rsidRPr="00DB1447">
        <w:rPr>
          <w:rFonts w:hint="cs"/>
          <w:sz w:val="27"/>
          <w:rtl/>
        </w:rPr>
        <w:t>ْ</w:t>
      </w:r>
      <w:r w:rsidRPr="00DB1447">
        <w:rPr>
          <w:rFonts w:hint="cs"/>
          <w:sz w:val="27"/>
          <w:rtl/>
        </w:rPr>
        <w:t>وية؛ 10 ـ رسالة في الردّ على م</w:t>
      </w:r>
      <w:r w:rsidR="00D64708" w:rsidRPr="00DB1447">
        <w:rPr>
          <w:rFonts w:hint="cs"/>
          <w:sz w:val="27"/>
          <w:rtl/>
        </w:rPr>
        <w:t>َ</w:t>
      </w:r>
      <w:r w:rsidRPr="00DB1447">
        <w:rPr>
          <w:rFonts w:hint="cs"/>
          <w:sz w:val="27"/>
          <w:rtl/>
        </w:rPr>
        <w:t>ن</w:t>
      </w:r>
      <w:r w:rsidR="00D64708" w:rsidRPr="00DB1447">
        <w:rPr>
          <w:rFonts w:hint="cs"/>
          <w:sz w:val="27"/>
          <w:rtl/>
        </w:rPr>
        <w:t>ْ</w:t>
      </w:r>
      <w:r w:rsidRPr="00DB1447">
        <w:rPr>
          <w:rFonts w:hint="cs"/>
          <w:sz w:val="27"/>
          <w:rtl/>
        </w:rPr>
        <w:t xml:space="preserve"> يزعم أن النبي</w:t>
      </w:r>
      <w:r w:rsidR="00D64708" w:rsidRPr="00DB1447">
        <w:rPr>
          <w:rFonts w:hint="cs"/>
          <w:sz w:val="27"/>
          <w:rtl/>
        </w:rPr>
        <w:t>ّ</w:t>
      </w:r>
      <w:r w:rsidRPr="00DB1447">
        <w:rPr>
          <w:rFonts w:hint="cs"/>
          <w:sz w:val="27"/>
          <w:rtl/>
        </w:rPr>
        <w:t xml:space="preserve"> يسهو في الصلاة والنوم عنها. </w:t>
      </w:r>
    </w:p>
    <w:p w:rsidR="00644408" w:rsidRPr="00904FCB" w:rsidRDefault="00644408" w:rsidP="007A21AA">
      <w:pPr>
        <w:spacing w:line="400" w:lineRule="exact"/>
        <w:rPr>
          <w:sz w:val="27"/>
          <w:rtl/>
        </w:rPr>
      </w:pPr>
      <w:r w:rsidRPr="00904FCB">
        <w:rPr>
          <w:rFonts w:hint="cs"/>
          <w:sz w:val="27"/>
          <w:rtl/>
        </w:rPr>
        <w:lastRenderedPageBreak/>
        <w:t xml:space="preserve">ولاحظ معي خصوص </w:t>
      </w:r>
      <w:r w:rsidRPr="00DB1447">
        <w:rPr>
          <w:rFonts w:hint="cs"/>
          <w:sz w:val="27"/>
          <w:rtl/>
        </w:rPr>
        <w:t>التسميتين رقم (3) و(4)</w:t>
      </w:r>
      <w:r w:rsidR="00D64708" w:rsidRPr="00DB1447">
        <w:rPr>
          <w:rFonts w:hint="cs"/>
          <w:sz w:val="27"/>
          <w:rtl/>
        </w:rPr>
        <w:t>،</w:t>
      </w:r>
      <w:r w:rsidRPr="00904FCB">
        <w:rPr>
          <w:rFonts w:hint="cs"/>
          <w:sz w:val="27"/>
          <w:rtl/>
        </w:rPr>
        <w:t xml:space="preserve"> فقد وقع فيهما خلط</w:t>
      </w:r>
      <w:r w:rsidR="00D64708" w:rsidRPr="00904FCB">
        <w:rPr>
          <w:rFonts w:hint="cs"/>
          <w:sz w:val="27"/>
          <w:rtl/>
        </w:rPr>
        <w:t>ٌ</w:t>
      </w:r>
      <w:r w:rsidRPr="00904FCB">
        <w:rPr>
          <w:rFonts w:hint="cs"/>
          <w:sz w:val="27"/>
          <w:rtl/>
        </w:rPr>
        <w:t xml:space="preserve"> أو تصحيف أو شيء</w:t>
      </w:r>
      <w:r w:rsidR="00D64708" w:rsidRPr="00904FCB">
        <w:rPr>
          <w:rFonts w:hint="cs"/>
          <w:sz w:val="27"/>
          <w:rtl/>
        </w:rPr>
        <w:t>ٌ</w:t>
      </w:r>
      <w:r w:rsidRPr="00904FCB">
        <w:rPr>
          <w:rFonts w:hint="cs"/>
          <w:sz w:val="27"/>
          <w:rtl/>
        </w:rPr>
        <w:t xml:space="preserve"> من هذا القبيل. </w:t>
      </w:r>
    </w:p>
    <w:p w:rsidR="00644408" w:rsidRPr="00904FCB" w:rsidRDefault="00644408" w:rsidP="007A21AA">
      <w:pPr>
        <w:spacing w:line="400" w:lineRule="exact"/>
        <w:rPr>
          <w:sz w:val="27"/>
          <w:rtl/>
        </w:rPr>
      </w:pPr>
    </w:p>
    <w:p w:rsidR="00644408" w:rsidRPr="00904FCB" w:rsidRDefault="00644408" w:rsidP="007A21AA">
      <w:pPr>
        <w:pStyle w:val="31"/>
        <w:spacing w:line="400" w:lineRule="exact"/>
        <w:rPr>
          <w:color w:val="auto"/>
          <w:rtl/>
        </w:rPr>
      </w:pPr>
      <w:r w:rsidRPr="00DB1447">
        <w:rPr>
          <w:rFonts w:hint="cs"/>
          <w:color w:val="auto"/>
          <w:rtl/>
        </w:rPr>
        <w:t>3ـ النسخ</w:t>
      </w:r>
      <w:r w:rsidRPr="00904FCB">
        <w:rPr>
          <w:rFonts w:hint="cs"/>
          <w:color w:val="auto"/>
          <w:rtl/>
        </w:rPr>
        <w:t xml:space="preserve"> الخط</w:t>
      </w:r>
      <w:r w:rsidR="00D64708" w:rsidRPr="00904FCB">
        <w:rPr>
          <w:rFonts w:hint="cs"/>
          <w:color w:val="auto"/>
          <w:rtl/>
        </w:rPr>
        <w:t>ّ</w:t>
      </w:r>
      <w:r w:rsidRPr="00904FCB">
        <w:rPr>
          <w:rFonts w:hint="cs"/>
          <w:color w:val="auto"/>
          <w:rtl/>
        </w:rPr>
        <w:t xml:space="preserve">ية للرسالة </w:t>
      </w:r>
    </w:p>
    <w:p w:rsidR="00644408" w:rsidRPr="00904FCB" w:rsidRDefault="00644408" w:rsidP="007A21AA">
      <w:pPr>
        <w:spacing w:line="400" w:lineRule="exact"/>
        <w:rPr>
          <w:sz w:val="27"/>
          <w:rtl/>
        </w:rPr>
      </w:pPr>
      <w:r w:rsidRPr="00904FCB">
        <w:rPr>
          <w:rFonts w:hint="cs"/>
          <w:sz w:val="27"/>
          <w:rtl/>
        </w:rPr>
        <w:t xml:space="preserve">ذكرت لهذه الرسالة نسخ خطية كثيرة: </w:t>
      </w:r>
    </w:p>
    <w:p w:rsidR="00644408" w:rsidRPr="00DB1447" w:rsidRDefault="00644408" w:rsidP="007A21AA">
      <w:pPr>
        <w:spacing w:line="400" w:lineRule="exact"/>
        <w:rPr>
          <w:sz w:val="27"/>
          <w:rtl/>
        </w:rPr>
      </w:pPr>
      <w:r w:rsidRPr="00DB1447">
        <w:rPr>
          <w:rFonts w:hint="cs"/>
          <w:sz w:val="27"/>
          <w:rtl/>
        </w:rPr>
        <w:t>1ـ (المشهد الرضوي ش: 18853)، قرن 12، 5 أوراق [ف: 26، 297</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 xml:space="preserve">2ـ (قم ـ المرعشي ش: 3، 78)، نسخ، قرن 13، 6 أوراق (59 ب ـ 65ر) [ف: 1 ـ 90]. </w:t>
      </w:r>
    </w:p>
    <w:p w:rsidR="00644408" w:rsidRPr="00DB1447" w:rsidRDefault="00644408" w:rsidP="007A21AA">
      <w:pPr>
        <w:spacing w:line="400" w:lineRule="exact"/>
        <w:rPr>
          <w:sz w:val="27"/>
          <w:rtl/>
        </w:rPr>
      </w:pPr>
      <w:r w:rsidRPr="00DB1447">
        <w:rPr>
          <w:rFonts w:hint="cs"/>
          <w:sz w:val="27"/>
          <w:rtl/>
        </w:rPr>
        <w:t>3ـ (قم ـ المرعشي ش: 3، 12691، نسخ، ربيع الأول 1205، 7 أوراق (38 ـ 44)، [ف: 32 ـ 272</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4ـ (قم ـ مؤس</w:t>
      </w:r>
      <w:r w:rsidR="00D64708" w:rsidRPr="00DB1447">
        <w:rPr>
          <w:rFonts w:hint="cs"/>
          <w:sz w:val="27"/>
          <w:rtl/>
        </w:rPr>
        <w:t>ّ</w:t>
      </w:r>
      <w:r w:rsidRPr="00DB1447">
        <w:rPr>
          <w:rFonts w:hint="cs"/>
          <w:sz w:val="27"/>
          <w:rtl/>
        </w:rPr>
        <w:t>سة آية الله البروجردي ش: 3، 499)، نصر الله قزويني، نسخ، رجب 1279، 7 أوراق (54 ر ـ 61 ب) [2 ـ 318</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5ـ (قم ـ المرعشي ش: 4، 3414)، محمد باقر بن محمد حسن البيرجندي القائيني، نستعليق، 1300، ورقتان (101 رـ 103ر)، [9 ـ 189</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6ـ (طهران ـ مجلس ش: 8، 14505)</w:t>
      </w:r>
      <w:r w:rsidR="00954D2E" w:rsidRPr="00DB1447">
        <w:rPr>
          <w:rFonts w:hint="cs"/>
          <w:sz w:val="27"/>
          <w:rtl/>
        </w:rPr>
        <w:t>،</w:t>
      </w:r>
      <w:r w:rsidRPr="00DB1447">
        <w:rPr>
          <w:rFonts w:hint="cs"/>
          <w:sz w:val="27"/>
          <w:rtl/>
        </w:rPr>
        <w:t xml:space="preserve"> نسخ، قرن 13 و14، 4 صفحات (130 ـ 134) [مختصر ف: 876</w:t>
      </w:r>
      <w:r w:rsidR="007B53A9" w:rsidRPr="00DB1447">
        <w:rPr>
          <w:rFonts w:hint="cs"/>
          <w:sz w:val="27"/>
          <w:rtl/>
        </w:rPr>
        <w:t>]</w:t>
      </w:r>
      <w:r w:rsidRPr="00DB1447">
        <w:rPr>
          <w:rFonts w:hint="cs"/>
          <w:sz w:val="27"/>
          <w:rtl/>
        </w:rPr>
        <w:t xml:space="preserve">. </w:t>
      </w:r>
    </w:p>
    <w:p w:rsidR="00644408" w:rsidRPr="00904FCB" w:rsidRDefault="00644408" w:rsidP="00523066">
      <w:pPr>
        <w:spacing w:line="400" w:lineRule="exact"/>
        <w:rPr>
          <w:sz w:val="27"/>
          <w:rtl/>
        </w:rPr>
      </w:pPr>
      <w:r w:rsidRPr="00DB1447">
        <w:rPr>
          <w:rFonts w:hint="cs"/>
          <w:sz w:val="27"/>
          <w:rtl/>
        </w:rPr>
        <w:t>7ـ (طهران ـ الجامعة ش: 2، 2375 ـ ف</w:t>
      </w:r>
      <w:r w:rsidRPr="00904FCB">
        <w:rPr>
          <w:rFonts w:hint="cs"/>
          <w:sz w:val="27"/>
          <w:rtl/>
        </w:rPr>
        <w:t>)</w:t>
      </w:r>
      <w:r w:rsidR="00954D2E" w:rsidRPr="00904FCB">
        <w:rPr>
          <w:rFonts w:hint="cs"/>
          <w:sz w:val="27"/>
          <w:rtl/>
        </w:rPr>
        <w:t>،</w:t>
      </w:r>
      <w:r w:rsidRPr="00904FCB">
        <w:rPr>
          <w:rFonts w:hint="cs"/>
          <w:sz w:val="27"/>
          <w:rtl/>
        </w:rPr>
        <w:t xml:space="preserve"> آقا </w:t>
      </w:r>
      <w:r w:rsidR="00523066" w:rsidRPr="00904FCB">
        <w:rPr>
          <w:rFonts w:ascii="Mosawi" w:eastAsiaTheme="minorHAnsi" w:hAnsi="Mosawi" w:cs="Abz-3 (Yagut)" w:hint="cs"/>
          <w:sz w:val="24"/>
          <w:szCs w:val="24"/>
          <w:rtl/>
        </w:rPr>
        <w:t>بزر</w:t>
      </w:r>
      <w:r w:rsidR="00523066" w:rsidRPr="00904FCB">
        <w:rPr>
          <w:rFonts w:ascii="Mosawi" w:eastAsiaTheme="minorHAnsi" w:hAnsi="Mosawi" w:cs="Abz-3 (Yagut)"/>
          <w:sz w:val="24"/>
          <w:szCs w:val="24"/>
          <w:rtl/>
        </w:rPr>
        <w:t>گ</w:t>
      </w:r>
      <w:r w:rsidRPr="00904FCB">
        <w:rPr>
          <w:rFonts w:hint="cs"/>
          <w:sz w:val="27"/>
          <w:rtl/>
        </w:rPr>
        <w:t xml:space="preserve"> الطهراني (محمد حسن بن علي</w:t>
      </w:r>
      <w:r w:rsidRPr="00DB1447">
        <w:rPr>
          <w:rFonts w:hint="cs"/>
          <w:sz w:val="27"/>
          <w:rtl/>
        </w:rPr>
        <w:t>) الأحد 6 ذي الحجة 1319 [الأفلام ف: 1 ـ 676</w:t>
      </w:r>
      <w:r w:rsidR="007B53A9" w:rsidRPr="00DB1447">
        <w:rPr>
          <w:rFonts w:hint="cs"/>
          <w:sz w:val="27"/>
          <w:rtl/>
        </w:rPr>
        <w:t>]</w:t>
      </w:r>
      <w:r w:rsidRPr="00DB1447">
        <w:rPr>
          <w:rFonts w:hint="cs"/>
          <w:sz w:val="27"/>
          <w:rtl/>
        </w:rPr>
        <w:t>.</w:t>
      </w:r>
      <w:r w:rsidRPr="00904FCB">
        <w:rPr>
          <w:rFonts w:hint="cs"/>
          <w:sz w:val="27"/>
          <w:rtl/>
        </w:rPr>
        <w:t xml:space="preserve"> </w:t>
      </w:r>
    </w:p>
    <w:p w:rsidR="00644408" w:rsidRPr="00904FCB" w:rsidRDefault="00644408" w:rsidP="007A21AA">
      <w:pPr>
        <w:spacing w:line="400" w:lineRule="exact"/>
        <w:rPr>
          <w:sz w:val="27"/>
          <w:rtl/>
        </w:rPr>
      </w:pPr>
      <w:r w:rsidRPr="006333E0">
        <w:rPr>
          <w:rFonts w:cs="Ya-Ali" w:hint="cs"/>
          <w:sz w:val="27"/>
          <w:rtl/>
        </w:rPr>
        <w:t>8</w:t>
      </w:r>
      <w:r w:rsidRPr="00904FCB">
        <w:rPr>
          <w:rFonts w:hint="cs"/>
          <w:sz w:val="27"/>
          <w:rtl/>
        </w:rPr>
        <w:t xml:space="preserve">ـ (قم ـ </w:t>
      </w:r>
      <w:r w:rsidRPr="00DB1447">
        <w:rPr>
          <w:rFonts w:hint="cs"/>
          <w:sz w:val="27"/>
          <w:rtl/>
        </w:rPr>
        <w:t>المعصومية ش: 3 ـ 6278)</w:t>
      </w:r>
      <w:r w:rsidR="00954D2E" w:rsidRPr="00DB1447">
        <w:rPr>
          <w:rFonts w:hint="cs"/>
          <w:sz w:val="27"/>
          <w:rtl/>
        </w:rPr>
        <w:t>،</w:t>
      </w:r>
      <w:r w:rsidRPr="00DB1447">
        <w:rPr>
          <w:rFonts w:hint="cs"/>
          <w:sz w:val="27"/>
          <w:rtl/>
        </w:rPr>
        <w:t xml:space="preserve"> مهدي بن علي الرضا</w:t>
      </w:r>
      <w:r w:rsidR="00D64708" w:rsidRPr="00DB1447">
        <w:rPr>
          <w:rFonts w:hint="cs"/>
          <w:sz w:val="27"/>
          <w:rtl/>
        </w:rPr>
        <w:t>ئ</w:t>
      </w:r>
      <w:r w:rsidRPr="00DB1447">
        <w:rPr>
          <w:rFonts w:hint="cs"/>
          <w:sz w:val="27"/>
          <w:rtl/>
        </w:rPr>
        <w:t xml:space="preserve">ي القمي، </w:t>
      </w:r>
      <w:r w:rsidR="00D64708" w:rsidRPr="00DB1447">
        <w:rPr>
          <w:rFonts w:hint="cs"/>
          <w:sz w:val="27"/>
          <w:rtl/>
        </w:rPr>
        <w:t>ن</w:t>
      </w:r>
      <w:r w:rsidRPr="00DB1447">
        <w:rPr>
          <w:rFonts w:hint="cs"/>
          <w:sz w:val="27"/>
          <w:rtl/>
        </w:rPr>
        <w:t>ستعليق، 1320، [آستانه قم ـ 227</w:t>
      </w:r>
      <w:r w:rsidR="007B53A9" w:rsidRPr="00DB1447">
        <w:rPr>
          <w:rFonts w:hint="cs"/>
          <w:sz w:val="27"/>
          <w:rtl/>
        </w:rPr>
        <w:t>]</w:t>
      </w:r>
      <w:r w:rsidRPr="00DB1447">
        <w:rPr>
          <w:rFonts w:hint="cs"/>
          <w:sz w:val="27"/>
          <w:rtl/>
        </w:rPr>
        <w:t>.</w:t>
      </w:r>
      <w:r w:rsidRPr="00904FCB">
        <w:rPr>
          <w:rFonts w:hint="cs"/>
          <w:sz w:val="27"/>
          <w:rtl/>
        </w:rPr>
        <w:t xml:space="preserve"> </w:t>
      </w:r>
    </w:p>
    <w:p w:rsidR="00644408" w:rsidRPr="00DB1447" w:rsidRDefault="00644408" w:rsidP="007A21AA">
      <w:pPr>
        <w:spacing w:line="400" w:lineRule="exact"/>
        <w:rPr>
          <w:sz w:val="27"/>
          <w:rtl/>
        </w:rPr>
      </w:pPr>
      <w:r w:rsidRPr="00DB1447">
        <w:rPr>
          <w:rFonts w:hint="cs"/>
          <w:sz w:val="27"/>
          <w:rtl/>
        </w:rPr>
        <w:t>9ـ (قم ـ مركز إحياء التراث ش: 2275)</w:t>
      </w:r>
      <w:r w:rsidR="00954D2E" w:rsidRPr="00DB1447">
        <w:rPr>
          <w:rFonts w:hint="cs"/>
          <w:sz w:val="27"/>
          <w:rtl/>
        </w:rPr>
        <w:t>،</w:t>
      </w:r>
      <w:r w:rsidRPr="00DB1447">
        <w:rPr>
          <w:rFonts w:hint="cs"/>
          <w:sz w:val="27"/>
          <w:rtl/>
        </w:rPr>
        <w:t xml:space="preserve"> محمد رضا كاشف الغطاء، نسخ، 7 رمضان 1323، 14 صفحة، [مصورة ف: 6 ـ 317</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10ـ (قم ـ المرعشي ش: 1، 8967)</w:t>
      </w:r>
      <w:r w:rsidR="00954D2E" w:rsidRPr="00DB1447">
        <w:rPr>
          <w:rFonts w:hint="cs"/>
          <w:sz w:val="27"/>
          <w:rtl/>
        </w:rPr>
        <w:t>،</w:t>
      </w:r>
      <w:r w:rsidRPr="00DB1447">
        <w:rPr>
          <w:rFonts w:hint="cs"/>
          <w:sz w:val="27"/>
          <w:rtl/>
        </w:rPr>
        <w:t xml:space="preserve"> عبد الله بن محمد حسن الهشترودي التبريزي، </w:t>
      </w:r>
      <w:r w:rsidR="00D64708" w:rsidRPr="00DB1447">
        <w:rPr>
          <w:rFonts w:hint="cs"/>
          <w:sz w:val="27"/>
          <w:rtl/>
        </w:rPr>
        <w:t>ن</w:t>
      </w:r>
      <w:r w:rsidRPr="00DB1447">
        <w:rPr>
          <w:rFonts w:hint="cs"/>
          <w:sz w:val="27"/>
          <w:rtl/>
        </w:rPr>
        <w:t>ستعليق، رجب 1336، 8 أوراق (1 ب ـ 9 ر)، [23 ـ 136</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11ـ (قم ـ مفتي الشيعة ش: 4، 2)، السيد أبو القاسم المحرر النجفي الأصفهاني، نسخ، 1339، ورقتان، (111 ر ـ 113 ب) [مفتي الشيعة ف ـ 10</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lastRenderedPageBreak/>
        <w:t>12ـ (يزد ـ الوزيري ش: 1، 1929)</w:t>
      </w:r>
      <w:r w:rsidR="00954D2E" w:rsidRPr="00DB1447">
        <w:rPr>
          <w:rFonts w:hint="cs"/>
          <w:sz w:val="27"/>
          <w:rtl/>
        </w:rPr>
        <w:t>،</w:t>
      </w:r>
      <w:r w:rsidRPr="00DB1447">
        <w:rPr>
          <w:rFonts w:hint="cs"/>
          <w:sz w:val="27"/>
          <w:rtl/>
        </w:rPr>
        <w:t xml:space="preserve"> جمال الدين بن محمد حسن النجفي النائيني، نسخ، 1349، [ف: 3 ـ 1097</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13ـ (قم ـ الكلبايكاني ش: 15، 1310 ـ 20، 8)</w:t>
      </w:r>
      <w:r w:rsidR="00954D2E" w:rsidRPr="00DB1447">
        <w:rPr>
          <w:rFonts w:hint="cs"/>
          <w:sz w:val="27"/>
          <w:rtl/>
        </w:rPr>
        <w:t>،</w:t>
      </w:r>
      <w:r w:rsidRPr="00DB1447">
        <w:rPr>
          <w:rFonts w:hint="cs"/>
          <w:sz w:val="27"/>
          <w:rtl/>
        </w:rPr>
        <w:t xml:space="preserve"> نستعليق، من دون تاريخ، ورقتان، [ف: 4 ـ 2323</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14ـ (قم ـ الطبسي ش: 4، 314)، نسخ، من دون تاريخ، 6 أوراق، [مخ ف: 1 ـ 329</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15ـ (قم ـ المرعشي ش: 3، 243)</w:t>
      </w:r>
      <w:r w:rsidR="00954D2E" w:rsidRPr="00DB1447">
        <w:rPr>
          <w:rFonts w:hint="cs"/>
          <w:sz w:val="27"/>
          <w:rtl/>
        </w:rPr>
        <w:t>،</w:t>
      </w:r>
      <w:r w:rsidRPr="00DB1447">
        <w:rPr>
          <w:rFonts w:hint="cs"/>
          <w:sz w:val="27"/>
          <w:rtl/>
        </w:rPr>
        <w:t xml:space="preserve"> نسخ، من دون تاريخ، 4 أوراق (57 ب ـ 62 ب)، [ف: 1 ـ 267</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16ـ (طهران ـ الجامعة ش: 11، 2091، نستعليق، من دون تاريخ، [ف: 8 ـ 716</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 xml:space="preserve">17ـ (طهران ـ الجامعة ش: 5، 3343 ـ ف)، من دون تاريخ، [الأفلام ف: 2، 127]. </w:t>
      </w:r>
    </w:p>
    <w:p w:rsidR="00644408" w:rsidRPr="00DB1447" w:rsidRDefault="00644408" w:rsidP="007A21AA">
      <w:pPr>
        <w:spacing w:line="400" w:lineRule="exact"/>
        <w:rPr>
          <w:sz w:val="27"/>
          <w:rtl/>
        </w:rPr>
      </w:pPr>
      <w:r w:rsidRPr="00DB1447">
        <w:rPr>
          <w:rFonts w:hint="cs"/>
          <w:sz w:val="27"/>
          <w:rtl/>
        </w:rPr>
        <w:t>18ـ (طهران ـ الجامعة ش: 14، 10031)</w:t>
      </w:r>
      <w:r w:rsidR="00954D2E" w:rsidRPr="00DB1447">
        <w:rPr>
          <w:rFonts w:hint="cs"/>
          <w:sz w:val="27"/>
          <w:rtl/>
        </w:rPr>
        <w:t>،</w:t>
      </w:r>
      <w:r w:rsidRPr="00DB1447">
        <w:rPr>
          <w:rFonts w:hint="cs"/>
          <w:sz w:val="27"/>
          <w:rtl/>
        </w:rPr>
        <w:t xml:space="preserve"> محمد صالح، من دون تاريخ، [ف: 17، 529</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19ـ (قم ـ مركز إحياء التراث ش: 13، 2611)</w:t>
      </w:r>
      <w:r w:rsidR="00954D2E" w:rsidRPr="00DB1447">
        <w:rPr>
          <w:rFonts w:hint="cs"/>
          <w:sz w:val="27"/>
          <w:rtl/>
        </w:rPr>
        <w:t>،</w:t>
      </w:r>
      <w:r w:rsidRPr="00DB1447">
        <w:rPr>
          <w:rFonts w:hint="cs"/>
          <w:sz w:val="27"/>
          <w:rtl/>
        </w:rPr>
        <w:t xml:space="preserve"> عزيز الله بن عبد العالي الفراهاني، نسخ، من دون تاريخ، [المصور ف: 7، 205</w:t>
      </w:r>
      <w:r w:rsidR="007B53A9" w:rsidRPr="00DB1447">
        <w:rPr>
          <w:rFonts w:hint="cs"/>
          <w:sz w:val="27"/>
          <w:rtl/>
        </w:rPr>
        <w:t>]</w:t>
      </w:r>
      <w:r w:rsidRPr="00DB1447">
        <w:rPr>
          <w:rFonts w:hint="cs"/>
          <w:sz w:val="27"/>
          <w:rtl/>
        </w:rPr>
        <w:t xml:space="preserve">. </w:t>
      </w:r>
    </w:p>
    <w:p w:rsidR="00644408" w:rsidRPr="00DB1447" w:rsidRDefault="00644408" w:rsidP="007A21AA">
      <w:pPr>
        <w:spacing w:line="400" w:lineRule="exact"/>
        <w:rPr>
          <w:sz w:val="27"/>
          <w:rtl/>
        </w:rPr>
      </w:pPr>
      <w:r w:rsidRPr="00DB1447">
        <w:rPr>
          <w:rFonts w:hint="cs"/>
          <w:sz w:val="27"/>
          <w:rtl/>
        </w:rPr>
        <w:t>20ـ (مشهد ـ الرضوي ش: 21958)، نسخ، قرن 12، 9 أوراق، [: 26 ـ 297]</w:t>
      </w:r>
      <w:r w:rsidRPr="00DB1447">
        <w:rPr>
          <w:sz w:val="27"/>
          <w:vertAlign w:val="superscript"/>
          <w:rtl/>
        </w:rPr>
        <w:t>(</w:t>
      </w:r>
      <w:r w:rsidRPr="00DB1447">
        <w:rPr>
          <w:rStyle w:val="ac"/>
          <w:sz w:val="27"/>
          <w:rtl/>
        </w:rPr>
        <w:endnoteReference w:id="248"/>
      </w:r>
      <w:r w:rsidRPr="00DB1447">
        <w:rPr>
          <w:sz w:val="27"/>
          <w:vertAlign w:val="superscript"/>
          <w:rtl/>
        </w:rPr>
        <w:t>)</w:t>
      </w:r>
      <w:r w:rsidRPr="00DB1447">
        <w:rPr>
          <w:sz w:val="27"/>
          <w:rtl/>
        </w:rPr>
        <w:t>.</w:t>
      </w:r>
      <w:r w:rsidRPr="00DB1447">
        <w:rPr>
          <w:sz w:val="27"/>
          <w:vertAlign w:val="superscript"/>
          <w:rtl/>
        </w:rPr>
        <w:t xml:space="preserve"> </w:t>
      </w:r>
    </w:p>
    <w:p w:rsidR="00644408" w:rsidRPr="00904FCB" w:rsidRDefault="00644408" w:rsidP="007A21AA">
      <w:pPr>
        <w:spacing w:line="400" w:lineRule="exact"/>
        <w:rPr>
          <w:sz w:val="27"/>
          <w:rtl/>
        </w:rPr>
      </w:pPr>
    </w:p>
    <w:p w:rsidR="00644408" w:rsidRPr="00904FCB" w:rsidRDefault="00644408" w:rsidP="007A21AA">
      <w:pPr>
        <w:pStyle w:val="31"/>
        <w:spacing w:line="400" w:lineRule="exact"/>
        <w:rPr>
          <w:color w:val="auto"/>
          <w:rtl/>
        </w:rPr>
      </w:pPr>
      <w:r w:rsidRPr="00DB1447">
        <w:rPr>
          <w:rFonts w:hint="cs"/>
          <w:color w:val="auto"/>
          <w:rtl/>
        </w:rPr>
        <w:t>4ـ سبب</w:t>
      </w:r>
      <w:r w:rsidRPr="00904FCB">
        <w:rPr>
          <w:rFonts w:hint="cs"/>
          <w:color w:val="auto"/>
          <w:rtl/>
        </w:rPr>
        <w:t xml:space="preserve"> تأليف الرسالة </w:t>
      </w:r>
    </w:p>
    <w:p w:rsidR="00644408" w:rsidRPr="00904FCB" w:rsidRDefault="00644408" w:rsidP="007A21AA">
      <w:pPr>
        <w:tabs>
          <w:tab w:val="right" w:pos="8306"/>
        </w:tabs>
        <w:spacing w:line="400" w:lineRule="exact"/>
        <w:rPr>
          <w:sz w:val="27"/>
          <w:rtl/>
        </w:rPr>
      </w:pPr>
      <w:r w:rsidRPr="00904FCB">
        <w:rPr>
          <w:rFonts w:hint="cs"/>
          <w:sz w:val="27"/>
          <w:rtl/>
        </w:rPr>
        <w:t>يبين المؤل</w:t>
      </w:r>
      <w:r w:rsidR="00954D2E" w:rsidRPr="00904FCB">
        <w:rPr>
          <w:rFonts w:hint="cs"/>
          <w:sz w:val="27"/>
          <w:rtl/>
        </w:rPr>
        <w:t>ِّ</w:t>
      </w:r>
      <w:r w:rsidRPr="00904FCB">
        <w:rPr>
          <w:rFonts w:hint="cs"/>
          <w:sz w:val="27"/>
          <w:rtl/>
        </w:rPr>
        <w:t>ف أنّ السبب الذي استدعى منه تأليف هذه الرسالة هو سؤ</w:t>
      </w:r>
      <w:r w:rsidR="00954D2E" w:rsidRPr="00904FCB">
        <w:rPr>
          <w:rFonts w:hint="cs"/>
          <w:sz w:val="27"/>
          <w:rtl/>
        </w:rPr>
        <w:t>ا</w:t>
      </w:r>
      <w:r w:rsidRPr="00904FCB">
        <w:rPr>
          <w:rFonts w:hint="cs"/>
          <w:sz w:val="27"/>
          <w:rtl/>
        </w:rPr>
        <w:t>ل م</w:t>
      </w:r>
      <w:r w:rsidR="007B53A9">
        <w:rPr>
          <w:rFonts w:hint="cs"/>
          <w:sz w:val="27"/>
          <w:rtl/>
        </w:rPr>
        <w:t>َ</w:t>
      </w:r>
      <w:r w:rsidRPr="00904FCB">
        <w:rPr>
          <w:rFonts w:hint="cs"/>
          <w:sz w:val="27"/>
          <w:rtl/>
        </w:rPr>
        <w:t>ن</w:t>
      </w:r>
      <w:r w:rsidR="007B53A9">
        <w:rPr>
          <w:rFonts w:hint="cs"/>
          <w:sz w:val="27"/>
          <w:rtl/>
        </w:rPr>
        <w:t>ْ</w:t>
      </w:r>
      <w:r w:rsidRPr="00904FCB">
        <w:rPr>
          <w:rFonts w:hint="cs"/>
          <w:sz w:val="27"/>
          <w:rtl/>
        </w:rPr>
        <w:t xml:space="preserve"> كنّ</w:t>
      </w:r>
      <w:r w:rsidR="00954D2E" w:rsidRPr="00904FCB">
        <w:rPr>
          <w:rFonts w:hint="cs"/>
          <w:sz w:val="27"/>
          <w:rtl/>
        </w:rPr>
        <w:t>َ</w:t>
      </w:r>
      <w:r w:rsidRPr="00904FCB">
        <w:rPr>
          <w:rFonts w:hint="cs"/>
          <w:sz w:val="27"/>
          <w:rtl/>
        </w:rPr>
        <w:t>ى عنه وأبهم اسمه، وأشار إليه بـ (الأخ)</w:t>
      </w:r>
      <w:r w:rsidR="00954D2E" w:rsidRPr="00904FCB">
        <w:rPr>
          <w:rFonts w:hint="cs"/>
          <w:sz w:val="27"/>
          <w:rtl/>
        </w:rPr>
        <w:t>،</w:t>
      </w:r>
      <w:r w:rsidRPr="00904FCB">
        <w:rPr>
          <w:rFonts w:hint="cs"/>
          <w:sz w:val="27"/>
          <w:rtl/>
        </w:rPr>
        <w:t xml:space="preserve"> دون أن يعرّ</w:t>
      </w:r>
      <w:r w:rsidR="00954D2E" w:rsidRPr="00904FCB">
        <w:rPr>
          <w:rFonts w:hint="cs"/>
          <w:sz w:val="27"/>
          <w:rtl/>
        </w:rPr>
        <w:t>ِ</w:t>
      </w:r>
      <w:r w:rsidRPr="00904FCB">
        <w:rPr>
          <w:rFonts w:hint="cs"/>
          <w:sz w:val="27"/>
          <w:rtl/>
        </w:rPr>
        <w:t>ف بشخصه</w:t>
      </w:r>
      <w:r w:rsidR="00954D2E" w:rsidRPr="00904FCB">
        <w:rPr>
          <w:rFonts w:hint="cs"/>
          <w:sz w:val="27"/>
          <w:rtl/>
        </w:rPr>
        <w:t>.</w:t>
      </w:r>
      <w:r w:rsidRPr="00904FCB">
        <w:rPr>
          <w:rFonts w:hint="cs"/>
          <w:sz w:val="27"/>
          <w:rtl/>
        </w:rPr>
        <w:t xml:space="preserve"> ولو كان قد كشف لنا عن شيء</w:t>
      </w:r>
      <w:r w:rsidR="00954D2E" w:rsidRPr="00904FCB">
        <w:rPr>
          <w:rFonts w:hint="cs"/>
          <w:sz w:val="27"/>
          <w:rtl/>
        </w:rPr>
        <w:t>ٍ</w:t>
      </w:r>
      <w:r w:rsidRPr="00904FCB">
        <w:rPr>
          <w:rFonts w:hint="cs"/>
          <w:sz w:val="27"/>
          <w:rtl/>
        </w:rPr>
        <w:t xml:space="preserve"> يت</w:t>
      </w:r>
      <w:r w:rsidR="00954D2E" w:rsidRPr="00904FCB">
        <w:rPr>
          <w:rFonts w:hint="cs"/>
          <w:sz w:val="27"/>
          <w:rtl/>
        </w:rPr>
        <w:t>ّ</w:t>
      </w:r>
      <w:r w:rsidRPr="00904FCB">
        <w:rPr>
          <w:rFonts w:hint="cs"/>
          <w:sz w:val="27"/>
          <w:rtl/>
        </w:rPr>
        <w:t xml:space="preserve">ضح معه بعض </w:t>
      </w:r>
      <w:r w:rsidR="00954D2E" w:rsidRPr="00904FCB">
        <w:rPr>
          <w:rFonts w:hint="cs"/>
          <w:sz w:val="27"/>
          <w:rtl/>
        </w:rPr>
        <w:t>هويّته</w:t>
      </w:r>
      <w:r w:rsidRPr="00904FCB">
        <w:rPr>
          <w:rFonts w:hint="cs"/>
          <w:sz w:val="27"/>
          <w:rtl/>
        </w:rPr>
        <w:t xml:space="preserve"> لكان ذلك رقماً مهم</w:t>
      </w:r>
      <w:r w:rsidR="00954D2E" w:rsidRPr="00904FCB">
        <w:rPr>
          <w:rFonts w:hint="cs"/>
          <w:sz w:val="27"/>
          <w:rtl/>
        </w:rPr>
        <w:t>ّ</w:t>
      </w:r>
      <w:r w:rsidRPr="00904FCB">
        <w:rPr>
          <w:rFonts w:hint="cs"/>
          <w:sz w:val="27"/>
          <w:rtl/>
        </w:rPr>
        <w:t>اً في المسيرة العلمية للرسالة. ولكن</w:t>
      </w:r>
      <w:r w:rsidR="00954D2E" w:rsidRPr="00904FCB">
        <w:rPr>
          <w:rFonts w:hint="cs"/>
          <w:sz w:val="27"/>
          <w:rtl/>
        </w:rPr>
        <w:t>ّ</w:t>
      </w:r>
      <w:r w:rsidRPr="00904FCB">
        <w:rPr>
          <w:rFonts w:hint="cs"/>
          <w:sz w:val="27"/>
          <w:rtl/>
        </w:rPr>
        <w:t xml:space="preserve"> الملاحظ من خلال المتابعة أن من عادة العلماء القدماء أنهم لا</w:t>
      </w:r>
      <w:r w:rsidR="00954D2E" w:rsidRPr="00904FCB">
        <w:rPr>
          <w:rFonts w:hint="cs"/>
          <w:sz w:val="27"/>
          <w:rtl/>
        </w:rPr>
        <w:t xml:space="preserve"> </w:t>
      </w:r>
      <w:r w:rsidRPr="00904FCB">
        <w:rPr>
          <w:rFonts w:hint="cs"/>
          <w:sz w:val="27"/>
          <w:rtl/>
        </w:rPr>
        <w:t>يكادون في الغالب يوض</w:t>
      </w:r>
      <w:r w:rsidR="00954D2E" w:rsidRPr="00904FCB">
        <w:rPr>
          <w:rFonts w:hint="cs"/>
          <w:sz w:val="27"/>
          <w:rtl/>
        </w:rPr>
        <w:t>ِّ</w:t>
      </w:r>
      <w:r w:rsidRPr="00904FCB">
        <w:rPr>
          <w:rFonts w:hint="cs"/>
          <w:sz w:val="27"/>
          <w:rtl/>
        </w:rPr>
        <w:t>حون عن الشخص الذي يرغب إليه</w:t>
      </w:r>
      <w:r w:rsidR="005203B2">
        <w:rPr>
          <w:rFonts w:hint="cs"/>
          <w:sz w:val="27"/>
          <w:rtl/>
        </w:rPr>
        <w:t>م</w:t>
      </w:r>
      <w:r w:rsidRPr="00904FCB">
        <w:rPr>
          <w:rFonts w:hint="cs"/>
          <w:sz w:val="27"/>
          <w:rtl/>
        </w:rPr>
        <w:t xml:space="preserve"> في بيان أمر</w:t>
      </w:r>
      <w:r w:rsidR="00954D2E" w:rsidRPr="00904FCB">
        <w:rPr>
          <w:rFonts w:hint="cs"/>
          <w:sz w:val="27"/>
          <w:rtl/>
        </w:rPr>
        <w:t>ٍ</w:t>
      </w:r>
      <w:r w:rsidRPr="00904FCB">
        <w:rPr>
          <w:rFonts w:hint="cs"/>
          <w:sz w:val="27"/>
          <w:rtl/>
        </w:rPr>
        <w:t xml:space="preserve"> ما. </w:t>
      </w:r>
    </w:p>
    <w:p w:rsidR="00644408" w:rsidRPr="00904FCB" w:rsidRDefault="00644408" w:rsidP="007A21AA">
      <w:pPr>
        <w:spacing w:line="400" w:lineRule="exact"/>
        <w:rPr>
          <w:sz w:val="27"/>
          <w:rtl/>
        </w:rPr>
      </w:pPr>
      <w:r w:rsidRPr="00904FCB">
        <w:rPr>
          <w:rFonts w:hint="cs"/>
          <w:sz w:val="27"/>
          <w:rtl/>
        </w:rPr>
        <w:t>وأوضح أن ذلك الأخ كان من جملة مشايخه الشيخ المحد</w:t>
      </w:r>
      <w:r w:rsidR="00954D2E" w:rsidRPr="00904FCB">
        <w:rPr>
          <w:rFonts w:hint="cs"/>
          <w:sz w:val="27"/>
          <w:rtl/>
        </w:rPr>
        <w:t>ِّ</w:t>
      </w:r>
      <w:r w:rsidRPr="00904FCB">
        <w:rPr>
          <w:rFonts w:hint="cs"/>
          <w:sz w:val="27"/>
          <w:rtl/>
        </w:rPr>
        <w:t>ث الصدوق، وذلك بمعونة قوله</w:t>
      </w:r>
      <w:r w:rsidR="00954D2E" w:rsidRPr="00904FCB">
        <w:rPr>
          <w:rFonts w:hint="cs"/>
          <w:sz w:val="27"/>
          <w:rtl/>
        </w:rPr>
        <w:t>:</w:t>
      </w:r>
      <w:r w:rsidRPr="00904FCB">
        <w:rPr>
          <w:rFonts w:hint="cs"/>
          <w:sz w:val="27"/>
          <w:rtl/>
        </w:rPr>
        <w:t xml:space="preserve"> </w:t>
      </w:r>
      <w:r w:rsidR="00954D2E" w:rsidRPr="00904FCB">
        <w:rPr>
          <w:rFonts w:hint="eastAsia"/>
          <w:sz w:val="27"/>
          <w:rtl/>
        </w:rPr>
        <w:t>«</w:t>
      </w:r>
      <w:r w:rsidRPr="00904FCB">
        <w:rPr>
          <w:rFonts w:hint="cs"/>
          <w:sz w:val="27"/>
          <w:rtl/>
        </w:rPr>
        <w:t>لبعض مشايخك</w:t>
      </w:r>
      <w:r w:rsidR="00954D2E" w:rsidRPr="00904FCB">
        <w:rPr>
          <w:rFonts w:hint="eastAsia"/>
          <w:sz w:val="27"/>
          <w:rtl/>
        </w:rPr>
        <w:t>»</w:t>
      </w:r>
      <w:r w:rsidRPr="00904FCB">
        <w:rPr>
          <w:rFonts w:hint="cs"/>
          <w:sz w:val="27"/>
          <w:rtl/>
        </w:rPr>
        <w:t xml:space="preserve"> . </w:t>
      </w:r>
    </w:p>
    <w:p w:rsidR="00644408" w:rsidRPr="00904FCB" w:rsidRDefault="00644408" w:rsidP="007A21AA">
      <w:pPr>
        <w:spacing w:line="400" w:lineRule="exact"/>
        <w:rPr>
          <w:sz w:val="27"/>
          <w:rtl/>
        </w:rPr>
      </w:pPr>
      <w:r w:rsidRPr="00904FCB">
        <w:rPr>
          <w:rFonts w:hint="cs"/>
          <w:sz w:val="27"/>
          <w:rtl/>
        </w:rPr>
        <w:t>ولم يعلم على التحديد مقصوده بقوله</w:t>
      </w:r>
      <w:r w:rsidR="00954D2E" w:rsidRPr="00904FCB">
        <w:rPr>
          <w:rFonts w:hint="cs"/>
          <w:sz w:val="27"/>
          <w:rtl/>
        </w:rPr>
        <w:t>:</w:t>
      </w:r>
      <w:r w:rsidRPr="00904FCB">
        <w:rPr>
          <w:rFonts w:hint="cs"/>
          <w:sz w:val="27"/>
          <w:rtl/>
        </w:rPr>
        <w:t xml:space="preserve"> </w:t>
      </w:r>
      <w:r w:rsidR="00954D2E" w:rsidRPr="00904FCB">
        <w:rPr>
          <w:rFonts w:hint="eastAsia"/>
          <w:sz w:val="27"/>
          <w:rtl/>
        </w:rPr>
        <w:t>«</w:t>
      </w:r>
      <w:r w:rsidRPr="00904FCB">
        <w:rPr>
          <w:rFonts w:hint="cs"/>
          <w:sz w:val="27"/>
          <w:rtl/>
        </w:rPr>
        <w:t>مشايخك</w:t>
      </w:r>
      <w:r w:rsidR="00954D2E" w:rsidRPr="00904FCB">
        <w:rPr>
          <w:rFonts w:hint="eastAsia"/>
          <w:sz w:val="27"/>
          <w:rtl/>
        </w:rPr>
        <w:t>»</w:t>
      </w:r>
      <w:r w:rsidR="00954D2E" w:rsidRPr="00904FCB">
        <w:rPr>
          <w:rFonts w:hint="cs"/>
          <w:sz w:val="27"/>
          <w:rtl/>
        </w:rPr>
        <w:t>،</w:t>
      </w:r>
      <w:r w:rsidRPr="00904FCB">
        <w:rPr>
          <w:rFonts w:hint="cs"/>
          <w:sz w:val="27"/>
          <w:rtl/>
        </w:rPr>
        <w:t xml:space="preserve"> هل هي المشيخة الناشئة عن </w:t>
      </w:r>
      <w:r w:rsidRPr="00904FCB">
        <w:rPr>
          <w:rFonts w:hint="cs"/>
          <w:sz w:val="27"/>
          <w:rtl/>
        </w:rPr>
        <w:lastRenderedPageBreak/>
        <w:t>الأخذ والتلقّي المباشرين، أم أن مراده ما يعم</w:t>
      </w:r>
      <w:r w:rsidR="00954D2E" w:rsidRPr="00904FCB">
        <w:rPr>
          <w:rFonts w:hint="cs"/>
          <w:sz w:val="27"/>
          <w:rtl/>
        </w:rPr>
        <w:t>ّ</w:t>
      </w:r>
      <w:r w:rsidRPr="00904FCB">
        <w:rPr>
          <w:rFonts w:hint="cs"/>
          <w:sz w:val="27"/>
          <w:rtl/>
        </w:rPr>
        <w:t xml:space="preserve"> ذلك</w:t>
      </w:r>
      <w:r w:rsidR="00954D2E" w:rsidRPr="00904FCB">
        <w:rPr>
          <w:rFonts w:hint="cs"/>
          <w:sz w:val="27"/>
          <w:rtl/>
        </w:rPr>
        <w:t>؟</w:t>
      </w:r>
      <w:r w:rsidRPr="00904FCB">
        <w:rPr>
          <w:rFonts w:hint="cs"/>
          <w:sz w:val="27"/>
          <w:rtl/>
        </w:rPr>
        <w:t xml:space="preserve"> </w:t>
      </w:r>
      <w:r w:rsidR="00954D2E" w:rsidRPr="00904FCB">
        <w:rPr>
          <w:rFonts w:hint="cs"/>
          <w:sz w:val="27"/>
          <w:rtl/>
        </w:rPr>
        <w:t>و</w:t>
      </w:r>
      <w:r w:rsidRPr="00904FCB">
        <w:rPr>
          <w:rFonts w:hint="cs"/>
          <w:sz w:val="27"/>
          <w:rtl/>
        </w:rPr>
        <w:t>الذي يظهر من العبارة هو الأو</w:t>
      </w:r>
      <w:r w:rsidR="00954D2E" w:rsidRPr="00904FCB">
        <w:rPr>
          <w:rFonts w:hint="cs"/>
          <w:sz w:val="27"/>
          <w:rtl/>
        </w:rPr>
        <w:t>ّ</w:t>
      </w:r>
      <w:r w:rsidRPr="00904FCB">
        <w:rPr>
          <w:rFonts w:hint="cs"/>
          <w:sz w:val="27"/>
          <w:rtl/>
        </w:rPr>
        <w:t xml:space="preserve">ل. </w:t>
      </w:r>
    </w:p>
    <w:p w:rsidR="00644408" w:rsidRPr="00904FCB" w:rsidRDefault="00644408" w:rsidP="007A21AA">
      <w:pPr>
        <w:spacing w:line="400" w:lineRule="exact"/>
        <w:rPr>
          <w:sz w:val="27"/>
          <w:rtl/>
        </w:rPr>
      </w:pPr>
      <w:r w:rsidRPr="00904FCB">
        <w:rPr>
          <w:rFonts w:hint="cs"/>
          <w:sz w:val="27"/>
          <w:rtl/>
        </w:rPr>
        <w:t xml:space="preserve">ومن هذه الكلمة يمكن استظهار أنّ الرسالة ليست من تأليف الشيخ المفيد. </w:t>
      </w:r>
    </w:p>
    <w:p w:rsidR="00644408" w:rsidRPr="00904FCB" w:rsidRDefault="00644408" w:rsidP="007A21AA">
      <w:pPr>
        <w:spacing w:line="400" w:lineRule="exact"/>
        <w:rPr>
          <w:sz w:val="27"/>
          <w:rtl/>
        </w:rPr>
      </w:pPr>
      <w:r w:rsidRPr="00904FCB">
        <w:rPr>
          <w:rFonts w:hint="cs"/>
          <w:sz w:val="27"/>
          <w:rtl/>
        </w:rPr>
        <w:t>أما أن مقصوده هو الشيخ الصدوق فذلك ما يعلم من خلال النصّ الذي يسوقه السائل، والنصّ منقول</w:t>
      </w:r>
      <w:r w:rsidR="00954D2E" w:rsidRPr="00904FCB">
        <w:rPr>
          <w:rFonts w:hint="cs"/>
          <w:sz w:val="27"/>
          <w:rtl/>
        </w:rPr>
        <w:t>ٌ</w:t>
      </w:r>
      <w:r w:rsidRPr="00904FCB">
        <w:rPr>
          <w:rFonts w:hint="cs"/>
          <w:sz w:val="27"/>
          <w:rtl/>
        </w:rPr>
        <w:t xml:space="preserve"> بتفاوت</w:t>
      </w:r>
      <w:r w:rsidR="00954D2E" w:rsidRPr="00904FCB">
        <w:rPr>
          <w:rFonts w:hint="cs"/>
          <w:sz w:val="27"/>
          <w:rtl/>
        </w:rPr>
        <w:t>ٍ</w:t>
      </w:r>
      <w:r w:rsidRPr="00904FCB">
        <w:rPr>
          <w:rFonts w:hint="cs"/>
          <w:sz w:val="27"/>
          <w:rtl/>
        </w:rPr>
        <w:t xml:space="preserve"> يسير في اللفظ عن كتاب </w:t>
      </w:r>
      <w:r w:rsidRPr="00904FCB">
        <w:rPr>
          <w:rFonts w:hint="eastAsia"/>
          <w:sz w:val="27"/>
          <w:rtl/>
        </w:rPr>
        <w:t>«</w:t>
      </w:r>
      <w:r w:rsidRPr="00904FCB">
        <w:rPr>
          <w:rFonts w:hint="cs"/>
          <w:sz w:val="27"/>
          <w:rtl/>
        </w:rPr>
        <w:t>م</w:t>
      </w:r>
      <w:r w:rsidR="00954D2E" w:rsidRPr="00904FCB">
        <w:rPr>
          <w:rFonts w:hint="cs"/>
          <w:sz w:val="27"/>
          <w:rtl/>
        </w:rPr>
        <w:t>َ</w:t>
      </w:r>
      <w:r w:rsidRPr="00904FCB">
        <w:rPr>
          <w:rFonts w:hint="cs"/>
          <w:sz w:val="27"/>
          <w:rtl/>
        </w:rPr>
        <w:t>ن</w:t>
      </w:r>
      <w:r w:rsidR="00954D2E" w:rsidRPr="00904FCB">
        <w:rPr>
          <w:rFonts w:hint="cs"/>
          <w:sz w:val="27"/>
          <w:rtl/>
        </w:rPr>
        <w:t>ْ</w:t>
      </w:r>
      <w:r w:rsidRPr="00904FCB">
        <w:rPr>
          <w:rFonts w:hint="cs"/>
          <w:sz w:val="27"/>
          <w:rtl/>
        </w:rPr>
        <w:t xml:space="preserve"> لا يحضره الفقيه</w:t>
      </w:r>
      <w:r w:rsidR="00954D2E" w:rsidRPr="00904FCB">
        <w:rPr>
          <w:rFonts w:hint="eastAsia"/>
          <w:sz w:val="27"/>
          <w:rtl/>
        </w:rPr>
        <w:t>»</w:t>
      </w:r>
      <w:r w:rsidRPr="00904FCB">
        <w:rPr>
          <w:rFonts w:hint="cs"/>
          <w:sz w:val="27"/>
          <w:rtl/>
        </w:rPr>
        <w:t xml:space="preserve">. </w:t>
      </w:r>
    </w:p>
    <w:p w:rsidR="00644408" w:rsidRPr="00904FCB" w:rsidRDefault="00644408" w:rsidP="007A21AA">
      <w:pPr>
        <w:spacing w:line="400" w:lineRule="exact"/>
        <w:rPr>
          <w:sz w:val="27"/>
          <w:rtl/>
        </w:rPr>
      </w:pPr>
      <w:r w:rsidRPr="00904FCB">
        <w:rPr>
          <w:rFonts w:hint="cs"/>
          <w:sz w:val="27"/>
          <w:rtl/>
        </w:rPr>
        <w:t>ويحدّ</w:t>
      </w:r>
      <w:r w:rsidR="00954D2E" w:rsidRPr="00904FCB">
        <w:rPr>
          <w:rFonts w:hint="cs"/>
          <w:sz w:val="27"/>
          <w:rtl/>
        </w:rPr>
        <w:t>ِ</w:t>
      </w:r>
      <w:r w:rsidRPr="00904FCB">
        <w:rPr>
          <w:rFonts w:hint="cs"/>
          <w:sz w:val="27"/>
          <w:rtl/>
        </w:rPr>
        <w:t>د الهدف الذي تقدّ</w:t>
      </w:r>
      <w:r w:rsidR="00954D2E" w:rsidRPr="00904FCB">
        <w:rPr>
          <w:rFonts w:hint="cs"/>
          <w:sz w:val="27"/>
          <w:rtl/>
        </w:rPr>
        <w:t>َ</w:t>
      </w:r>
      <w:r w:rsidRPr="00904FCB">
        <w:rPr>
          <w:rFonts w:hint="cs"/>
          <w:sz w:val="27"/>
          <w:rtl/>
        </w:rPr>
        <w:t xml:space="preserve">م ذلك الأخ من أجله بقوله: </w:t>
      </w:r>
      <w:r w:rsidR="00954D2E" w:rsidRPr="00904FCB">
        <w:rPr>
          <w:rFonts w:hint="eastAsia"/>
          <w:sz w:val="27"/>
          <w:rtl/>
        </w:rPr>
        <w:t>«</w:t>
      </w:r>
      <w:r w:rsidRPr="00904FCB">
        <w:rPr>
          <w:rFonts w:hint="cs"/>
          <w:sz w:val="27"/>
          <w:rtl/>
        </w:rPr>
        <w:t>أن أثبت لك ما عندي في</w:t>
      </w:r>
      <w:r w:rsidR="00954D2E" w:rsidRPr="00904FCB">
        <w:rPr>
          <w:rFonts w:hint="cs"/>
          <w:sz w:val="27"/>
          <w:rtl/>
        </w:rPr>
        <w:t xml:space="preserve"> </w:t>
      </w:r>
      <w:r w:rsidRPr="00904FCB">
        <w:rPr>
          <w:rFonts w:hint="cs"/>
          <w:sz w:val="27"/>
          <w:rtl/>
        </w:rPr>
        <w:t>ما حكيته عن هذا الرجل، وأبي</w:t>
      </w:r>
      <w:r w:rsidR="00954D2E" w:rsidRPr="00904FCB">
        <w:rPr>
          <w:rFonts w:hint="cs"/>
          <w:sz w:val="27"/>
          <w:rtl/>
        </w:rPr>
        <w:t>ِّ</w:t>
      </w:r>
      <w:r w:rsidRPr="00904FCB">
        <w:rPr>
          <w:rFonts w:hint="cs"/>
          <w:sz w:val="27"/>
          <w:rtl/>
        </w:rPr>
        <w:t>ن عن الحق</w:t>
      </w:r>
      <w:r w:rsidR="00954D2E" w:rsidRPr="00904FCB">
        <w:rPr>
          <w:rFonts w:hint="cs"/>
          <w:sz w:val="27"/>
          <w:rtl/>
        </w:rPr>
        <w:t>ّ</w:t>
      </w:r>
      <w:r w:rsidRPr="00904FCB">
        <w:rPr>
          <w:rFonts w:hint="cs"/>
          <w:sz w:val="27"/>
          <w:rtl/>
        </w:rPr>
        <w:t xml:space="preserve"> في معناه، وأنا مجيبك إلى ذلك</w:t>
      </w:r>
      <w:r w:rsidR="00954D2E" w:rsidRPr="00904FCB">
        <w:rPr>
          <w:rFonts w:hint="eastAsia"/>
          <w:sz w:val="27"/>
          <w:rtl/>
        </w:rPr>
        <w:t>»</w:t>
      </w:r>
      <w:r w:rsidRPr="00904FCB">
        <w:rPr>
          <w:rFonts w:hint="cs"/>
          <w:sz w:val="27"/>
          <w:rtl/>
        </w:rPr>
        <w:t xml:space="preserve">. </w:t>
      </w:r>
    </w:p>
    <w:p w:rsidR="00644408" w:rsidRPr="00904FCB" w:rsidRDefault="00644408" w:rsidP="007A21AA">
      <w:pPr>
        <w:spacing w:line="400" w:lineRule="exact"/>
        <w:rPr>
          <w:sz w:val="27"/>
          <w:rtl/>
        </w:rPr>
      </w:pPr>
    </w:p>
    <w:p w:rsidR="00644408" w:rsidRPr="00904FCB" w:rsidRDefault="00644408" w:rsidP="007A21AA">
      <w:pPr>
        <w:pStyle w:val="31"/>
        <w:spacing w:line="400" w:lineRule="exact"/>
        <w:rPr>
          <w:color w:val="auto"/>
          <w:rtl/>
        </w:rPr>
      </w:pPr>
      <w:r w:rsidRPr="00DB1447">
        <w:rPr>
          <w:rFonts w:hint="cs"/>
          <w:color w:val="auto"/>
          <w:rtl/>
        </w:rPr>
        <w:t>5ـ الأحاديث</w:t>
      </w:r>
      <w:r w:rsidRPr="00904FCB">
        <w:rPr>
          <w:rFonts w:hint="cs"/>
          <w:color w:val="auto"/>
          <w:rtl/>
        </w:rPr>
        <w:t xml:space="preserve"> التي جاءت الرسالة ردّاً عليها </w:t>
      </w:r>
    </w:p>
    <w:p w:rsidR="00644408" w:rsidRPr="00904FCB" w:rsidRDefault="005203B2" w:rsidP="005203B2">
      <w:pPr>
        <w:spacing w:line="400" w:lineRule="exact"/>
        <w:rPr>
          <w:sz w:val="27"/>
          <w:rtl/>
        </w:rPr>
      </w:pPr>
      <w:r>
        <w:rPr>
          <w:rFonts w:hint="cs"/>
          <w:sz w:val="27"/>
          <w:rtl/>
        </w:rPr>
        <w:t xml:space="preserve">جاءت </w:t>
      </w:r>
      <w:r w:rsidR="00644408" w:rsidRPr="00904FCB">
        <w:rPr>
          <w:rFonts w:hint="cs"/>
          <w:sz w:val="27"/>
          <w:rtl/>
        </w:rPr>
        <w:t>الرسالة السهوية لتبحث وتنتقد حادثتين، اشتركتا في عنصر</w:t>
      </w:r>
      <w:r w:rsidR="00954D2E" w:rsidRPr="00904FCB">
        <w:rPr>
          <w:rFonts w:hint="cs"/>
          <w:sz w:val="27"/>
          <w:rtl/>
        </w:rPr>
        <w:t>ٍ</w:t>
      </w:r>
      <w:r w:rsidR="00644408" w:rsidRPr="00904FCB">
        <w:rPr>
          <w:rFonts w:hint="cs"/>
          <w:sz w:val="27"/>
          <w:rtl/>
        </w:rPr>
        <w:t xml:space="preserve"> محد</w:t>
      </w:r>
      <w:r w:rsidR="00954D2E" w:rsidRPr="00904FCB">
        <w:rPr>
          <w:rFonts w:hint="cs"/>
          <w:sz w:val="27"/>
          <w:rtl/>
        </w:rPr>
        <w:t>َّ</w:t>
      </w:r>
      <w:r w:rsidR="00644408" w:rsidRPr="00904FCB">
        <w:rPr>
          <w:rFonts w:hint="cs"/>
          <w:sz w:val="27"/>
          <w:rtl/>
        </w:rPr>
        <w:t>د</w:t>
      </w:r>
      <w:r w:rsidR="00954D2E" w:rsidRPr="00904FCB">
        <w:rPr>
          <w:rFonts w:hint="cs"/>
          <w:sz w:val="27"/>
          <w:rtl/>
        </w:rPr>
        <w:t>،</w:t>
      </w:r>
      <w:r w:rsidR="00644408" w:rsidRPr="00904FCB">
        <w:rPr>
          <w:rFonts w:hint="cs"/>
          <w:sz w:val="27"/>
          <w:rtl/>
        </w:rPr>
        <w:t xml:space="preserve"> وهو السهو في الصلاة، وهما: </w:t>
      </w:r>
    </w:p>
    <w:p w:rsidR="00644408" w:rsidRPr="00904FCB" w:rsidRDefault="00954D2E" w:rsidP="005203B2">
      <w:pPr>
        <w:spacing w:line="400" w:lineRule="exact"/>
        <w:rPr>
          <w:sz w:val="27"/>
          <w:rtl/>
        </w:rPr>
      </w:pPr>
      <w:r w:rsidRPr="00904FCB">
        <w:rPr>
          <w:rFonts w:hint="cs"/>
          <w:b/>
          <w:bCs/>
          <w:sz w:val="27"/>
          <w:rtl/>
        </w:rPr>
        <w:t>الأو</w:t>
      </w:r>
      <w:r w:rsidR="00644408" w:rsidRPr="00904FCB">
        <w:rPr>
          <w:rFonts w:hint="cs"/>
          <w:b/>
          <w:bCs/>
          <w:sz w:val="27"/>
          <w:rtl/>
        </w:rPr>
        <w:t>ل</w:t>
      </w:r>
      <w:r w:rsidRPr="00904FCB">
        <w:rPr>
          <w:rFonts w:hint="cs"/>
          <w:b/>
          <w:bCs/>
          <w:sz w:val="27"/>
          <w:rtl/>
        </w:rPr>
        <w:t>ى</w:t>
      </w:r>
      <w:r w:rsidR="00644408" w:rsidRPr="00904FCB">
        <w:rPr>
          <w:rFonts w:hint="cs"/>
          <w:sz w:val="27"/>
          <w:rtl/>
        </w:rPr>
        <w:t>: ما رواه أبو جعفر الصدوق</w:t>
      </w:r>
      <w:r w:rsidRPr="00904FCB">
        <w:rPr>
          <w:rFonts w:hint="cs"/>
          <w:sz w:val="27"/>
          <w:rtl/>
        </w:rPr>
        <w:t>،</w:t>
      </w:r>
      <w:r w:rsidR="00644408" w:rsidRPr="00904FCB">
        <w:rPr>
          <w:rFonts w:hint="cs"/>
          <w:sz w:val="27"/>
          <w:rtl/>
        </w:rPr>
        <w:t xml:space="preserve"> عن الحسن بن محبوب، عن الرباطيّ، عن سعيد الأعرج، </w:t>
      </w:r>
      <w:r w:rsidRPr="00904FCB">
        <w:rPr>
          <w:rFonts w:hint="cs"/>
          <w:sz w:val="27"/>
          <w:rtl/>
        </w:rPr>
        <w:t>عن أبي عبد الله جعفر بن محمد</w:t>
      </w:r>
      <w:r w:rsidR="005203B2" w:rsidRPr="00CB2F28">
        <w:rPr>
          <w:rFonts w:ascii="Mosawi" w:hAnsi="Mosawi" w:cs="Mosawi"/>
          <w:sz w:val="22"/>
          <w:szCs w:val="22"/>
          <w:rtl/>
        </w:rPr>
        <w:t>’</w:t>
      </w:r>
      <w:r w:rsidR="00644408" w:rsidRPr="00904FCB">
        <w:rPr>
          <w:rFonts w:hint="cs"/>
          <w:sz w:val="27"/>
          <w:rtl/>
        </w:rPr>
        <w:t>، في</w:t>
      </w:r>
      <w:r w:rsidRPr="00904FCB">
        <w:rPr>
          <w:rFonts w:hint="cs"/>
          <w:sz w:val="27"/>
          <w:rtl/>
        </w:rPr>
        <w:t xml:space="preserve"> </w:t>
      </w:r>
      <w:r w:rsidR="00644408" w:rsidRPr="00904FCB">
        <w:rPr>
          <w:rFonts w:hint="cs"/>
          <w:sz w:val="27"/>
          <w:rtl/>
        </w:rPr>
        <w:t>ما ي</w:t>
      </w:r>
      <w:r w:rsidRPr="00904FCB">
        <w:rPr>
          <w:rFonts w:hint="cs"/>
          <w:sz w:val="27"/>
          <w:rtl/>
        </w:rPr>
        <w:t>ُ</w:t>
      </w:r>
      <w:r w:rsidR="00644408" w:rsidRPr="00904FCB">
        <w:rPr>
          <w:rFonts w:hint="cs"/>
          <w:sz w:val="27"/>
          <w:rtl/>
        </w:rPr>
        <w:t>ضاف إلى النبي</w:t>
      </w:r>
      <w:r w:rsidRPr="00904FCB">
        <w:rPr>
          <w:rFonts w:hint="cs"/>
          <w:sz w:val="27"/>
          <w:rtl/>
        </w:rPr>
        <w:t>ّ</w:t>
      </w:r>
      <w:r w:rsidR="00635E51" w:rsidRPr="00904FCB">
        <w:rPr>
          <w:rFonts w:cs="Mosawi" w:hint="cs"/>
          <w:sz w:val="27"/>
          <w:szCs w:val="22"/>
          <w:rtl/>
        </w:rPr>
        <w:t>|</w:t>
      </w:r>
      <w:r w:rsidR="00644408" w:rsidRPr="00904FCB">
        <w:rPr>
          <w:rFonts w:hint="cs"/>
          <w:sz w:val="27"/>
          <w:rtl/>
        </w:rPr>
        <w:t xml:space="preserve"> من السهو في الصلاة، والنوم عنها حت</w:t>
      </w:r>
      <w:r w:rsidRPr="00904FCB">
        <w:rPr>
          <w:rFonts w:hint="cs"/>
          <w:sz w:val="27"/>
          <w:rtl/>
        </w:rPr>
        <w:t>ّ</w:t>
      </w:r>
      <w:r w:rsidR="00644408" w:rsidRPr="00904FCB">
        <w:rPr>
          <w:rFonts w:hint="cs"/>
          <w:sz w:val="27"/>
          <w:rtl/>
        </w:rPr>
        <w:t xml:space="preserve">ى خرج وقتها. </w:t>
      </w:r>
    </w:p>
    <w:p w:rsidR="00644408" w:rsidRPr="00904FCB" w:rsidRDefault="00644408" w:rsidP="007A21AA">
      <w:pPr>
        <w:spacing w:line="400" w:lineRule="exact"/>
        <w:rPr>
          <w:sz w:val="27"/>
          <w:rtl/>
        </w:rPr>
      </w:pPr>
      <w:r w:rsidRPr="00904FCB">
        <w:rPr>
          <w:rFonts w:hint="cs"/>
          <w:sz w:val="27"/>
          <w:rtl/>
        </w:rPr>
        <w:t>الثاني</w:t>
      </w:r>
      <w:r w:rsidR="00954D2E" w:rsidRPr="00904FCB">
        <w:rPr>
          <w:rFonts w:hint="cs"/>
          <w:sz w:val="27"/>
          <w:rtl/>
        </w:rPr>
        <w:t>ة</w:t>
      </w:r>
      <w:r w:rsidRPr="00904FCB">
        <w:rPr>
          <w:rFonts w:hint="cs"/>
          <w:sz w:val="27"/>
          <w:rtl/>
        </w:rPr>
        <w:t>: أن</w:t>
      </w:r>
      <w:r w:rsidR="00954D2E" w:rsidRPr="00904FCB">
        <w:rPr>
          <w:rFonts w:hint="cs"/>
          <w:sz w:val="27"/>
          <w:rtl/>
        </w:rPr>
        <w:t>ّ</w:t>
      </w:r>
      <w:r w:rsidRPr="00904FCB">
        <w:rPr>
          <w:rFonts w:hint="cs"/>
          <w:sz w:val="27"/>
          <w:rtl/>
        </w:rPr>
        <w:t xml:space="preserve"> النبي</w:t>
      </w:r>
      <w:r w:rsidR="00954D2E" w:rsidRPr="00904FCB">
        <w:rPr>
          <w:rFonts w:hint="cs"/>
          <w:sz w:val="27"/>
          <w:rtl/>
        </w:rPr>
        <w:t>ّ</w:t>
      </w:r>
      <w:r w:rsidR="00635E51" w:rsidRPr="00904FCB">
        <w:rPr>
          <w:rFonts w:cs="Mosawi" w:hint="cs"/>
          <w:sz w:val="27"/>
          <w:szCs w:val="22"/>
          <w:rtl/>
        </w:rPr>
        <w:t>|</w:t>
      </w:r>
      <w:r w:rsidRPr="00904FCB">
        <w:rPr>
          <w:rFonts w:hint="cs"/>
          <w:sz w:val="27"/>
          <w:rtl/>
        </w:rPr>
        <w:t xml:space="preserve"> سها في صلاته، فسلّ</w:t>
      </w:r>
      <w:r w:rsidR="00954D2E" w:rsidRPr="00904FCB">
        <w:rPr>
          <w:rFonts w:hint="cs"/>
          <w:sz w:val="27"/>
          <w:rtl/>
        </w:rPr>
        <w:t>َ</w:t>
      </w:r>
      <w:r w:rsidRPr="00904FCB">
        <w:rPr>
          <w:rFonts w:hint="cs"/>
          <w:sz w:val="27"/>
          <w:rtl/>
        </w:rPr>
        <w:t>م في ركعتين ناسياً، فلم</w:t>
      </w:r>
      <w:r w:rsidR="00954D2E" w:rsidRPr="00904FCB">
        <w:rPr>
          <w:rFonts w:hint="cs"/>
          <w:sz w:val="27"/>
          <w:rtl/>
        </w:rPr>
        <w:t>ّ</w:t>
      </w:r>
      <w:r w:rsidRPr="00904FCB">
        <w:rPr>
          <w:rFonts w:hint="cs"/>
          <w:sz w:val="27"/>
          <w:rtl/>
        </w:rPr>
        <w:t>ا ن</w:t>
      </w:r>
      <w:r w:rsidR="00954D2E" w:rsidRPr="00904FCB">
        <w:rPr>
          <w:rFonts w:hint="cs"/>
          <w:sz w:val="27"/>
          <w:rtl/>
        </w:rPr>
        <w:t>ُ</w:t>
      </w:r>
      <w:r w:rsidRPr="00904FCB">
        <w:rPr>
          <w:rFonts w:hint="cs"/>
          <w:sz w:val="27"/>
          <w:rtl/>
        </w:rPr>
        <w:t>ب</w:t>
      </w:r>
      <w:r w:rsidR="00954D2E" w:rsidRPr="00904FCB">
        <w:rPr>
          <w:rFonts w:hint="cs"/>
          <w:sz w:val="27"/>
          <w:rtl/>
        </w:rPr>
        <w:t>ِّ</w:t>
      </w:r>
      <w:r w:rsidRPr="00904FCB">
        <w:rPr>
          <w:rFonts w:hint="cs"/>
          <w:sz w:val="27"/>
          <w:rtl/>
        </w:rPr>
        <w:t>ه على غلطه في</w:t>
      </w:r>
      <w:r w:rsidR="00954D2E" w:rsidRPr="00904FCB">
        <w:rPr>
          <w:rFonts w:hint="cs"/>
          <w:sz w:val="27"/>
          <w:rtl/>
        </w:rPr>
        <w:t xml:space="preserve"> </w:t>
      </w:r>
      <w:r w:rsidRPr="00904FCB">
        <w:rPr>
          <w:rFonts w:hint="cs"/>
          <w:sz w:val="27"/>
          <w:rtl/>
        </w:rPr>
        <w:t>ما صنع أضاف إليها ركعتين، ثم</w:t>
      </w:r>
      <w:r w:rsidR="00954D2E" w:rsidRPr="00904FCB">
        <w:rPr>
          <w:rFonts w:hint="cs"/>
          <w:sz w:val="27"/>
          <w:rtl/>
        </w:rPr>
        <w:t>ّ</w:t>
      </w:r>
      <w:r w:rsidRPr="00904FCB">
        <w:rPr>
          <w:rFonts w:hint="cs"/>
          <w:sz w:val="27"/>
          <w:rtl/>
        </w:rPr>
        <w:t xml:space="preserve"> سجد سجدتي السهو. </w:t>
      </w:r>
    </w:p>
    <w:p w:rsidR="00644408" w:rsidRPr="00904FCB" w:rsidRDefault="00644408" w:rsidP="007A21AA">
      <w:pPr>
        <w:spacing w:line="400" w:lineRule="exact"/>
        <w:rPr>
          <w:sz w:val="27"/>
          <w:rtl/>
        </w:rPr>
      </w:pPr>
      <w:r w:rsidRPr="00904FCB">
        <w:rPr>
          <w:rFonts w:hint="cs"/>
          <w:sz w:val="27"/>
          <w:rtl/>
        </w:rPr>
        <w:t xml:space="preserve">ويجدر بنا هنا عرض بعض الملاحظات: </w:t>
      </w:r>
    </w:p>
    <w:p w:rsidR="00644408" w:rsidRPr="00904FCB" w:rsidRDefault="00644408" w:rsidP="007A21AA">
      <w:pPr>
        <w:spacing w:line="400" w:lineRule="exact"/>
        <w:rPr>
          <w:sz w:val="27"/>
          <w:rtl/>
        </w:rPr>
      </w:pPr>
      <w:r w:rsidRPr="00904FCB">
        <w:rPr>
          <w:rFonts w:hint="cs"/>
          <w:b/>
          <w:bCs/>
          <w:sz w:val="27"/>
          <w:rtl/>
        </w:rPr>
        <w:t>الملاحظة الأولى</w:t>
      </w:r>
      <w:r w:rsidRPr="00904FCB">
        <w:rPr>
          <w:rFonts w:hint="cs"/>
          <w:sz w:val="27"/>
          <w:rtl/>
        </w:rPr>
        <w:t>: كان من المناسب علمياً ومنطقياً بالمؤل</w:t>
      </w:r>
      <w:r w:rsidR="00954D2E" w:rsidRPr="00904FCB">
        <w:rPr>
          <w:rFonts w:hint="cs"/>
          <w:sz w:val="27"/>
          <w:rtl/>
        </w:rPr>
        <w:t>ِّ</w:t>
      </w:r>
      <w:r w:rsidRPr="00904FCB">
        <w:rPr>
          <w:rFonts w:hint="cs"/>
          <w:sz w:val="27"/>
          <w:rtl/>
        </w:rPr>
        <w:t>ف الب</w:t>
      </w:r>
      <w:r w:rsidR="00954D2E" w:rsidRPr="00904FCB">
        <w:rPr>
          <w:rFonts w:hint="cs"/>
          <w:sz w:val="27"/>
          <w:rtl/>
        </w:rPr>
        <w:t>َ</w:t>
      </w:r>
      <w:r w:rsidRPr="00904FCB">
        <w:rPr>
          <w:rFonts w:hint="cs"/>
          <w:sz w:val="27"/>
          <w:rtl/>
        </w:rPr>
        <w:t>د</w:t>
      </w:r>
      <w:r w:rsidR="00954D2E" w:rsidRPr="00904FCB">
        <w:rPr>
          <w:rFonts w:hint="cs"/>
          <w:sz w:val="27"/>
          <w:rtl/>
        </w:rPr>
        <w:t>ْ</w:t>
      </w:r>
      <w:r w:rsidRPr="00904FCB">
        <w:rPr>
          <w:rFonts w:hint="cs"/>
          <w:sz w:val="27"/>
          <w:rtl/>
        </w:rPr>
        <w:t xml:space="preserve">ء مع الرواية التي ساقها الصدوق في </w:t>
      </w:r>
      <w:r w:rsidRPr="00904FCB">
        <w:rPr>
          <w:rFonts w:hint="eastAsia"/>
          <w:sz w:val="27"/>
          <w:rtl/>
        </w:rPr>
        <w:t>«</w:t>
      </w:r>
      <w:r w:rsidRPr="00904FCB">
        <w:rPr>
          <w:rFonts w:hint="cs"/>
          <w:sz w:val="27"/>
          <w:rtl/>
        </w:rPr>
        <w:t>الفقيه</w:t>
      </w:r>
      <w:r w:rsidR="00954D2E" w:rsidRPr="00904FCB">
        <w:rPr>
          <w:rFonts w:hint="eastAsia"/>
          <w:sz w:val="27"/>
          <w:rtl/>
        </w:rPr>
        <w:t>»</w:t>
      </w:r>
      <w:r w:rsidR="00954D2E" w:rsidRPr="00904FCB">
        <w:rPr>
          <w:rFonts w:hint="cs"/>
          <w:sz w:val="27"/>
          <w:rtl/>
        </w:rPr>
        <w:t>،</w:t>
      </w:r>
      <w:r w:rsidRPr="00904FCB">
        <w:rPr>
          <w:rFonts w:hint="cs"/>
          <w:sz w:val="27"/>
          <w:rtl/>
        </w:rPr>
        <w:t xml:space="preserve"> وخاصّة أنها الرواية التي سأل عنها ذلك الأخ المستشكل</w:t>
      </w:r>
      <w:r w:rsidR="00954D2E" w:rsidRPr="00904FCB">
        <w:rPr>
          <w:rFonts w:hint="cs"/>
          <w:sz w:val="27"/>
          <w:rtl/>
        </w:rPr>
        <w:t>،</w:t>
      </w:r>
      <w:r w:rsidRPr="00904FCB">
        <w:rPr>
          <w:rFonts w:hint="cs"/>
          <w:sz w:val="27"/>
          <w:rtl/>
        </w:rPr>
        <w:t xml:space="preserve"> </w:t>
      </w:r>
      <w:r w:rsidR="00954D2E" w:rsidRPr="00904FCB">
        <w:rPr>
          <w:rFonts w:hint="cs"/>
          <w:sz w:val="27"/>
          <w:rtl/>
        </w:rPr>
        <w:t>مضافاً</w:t>
      </w:r>
      <w:r w:rsidRPr="00904FCB">
        <w:rPr>
          <w:rFonts w:hint="cs"/>
          <w:sz w:val="27"/>
          <w:rtl/>
        </w:rPr>
        <w:t xml:space="preserve"> إلى أنها من جملة الأحاديث التي وردت في مدو</w:t>
      </w:r>
      <w:r w:rsidR="00954D2E" w:rsidRPr="00904FCB">
        <w:rPr>
          <w:rFonts w:hint="cs"/>
          <w:sz w:val="27"/>
          <w:rtl/>
        </w:rPr>
        <w:t>ّ</w:t>
      </w:r>
      <w:r w:rsidRPr="00904FCB">
        <w:rPr>
          <w:rFonts w:hint="cs"/>
          <w:sz w:val="27"/>
          <w:rtl/>
        </w:rPr>
        <w:t>نتنا الحديثية</w:t>
      </w:r>
      <w:r w:rsidR="00954D2E" w:rsidRPr="00904FCB">
        <w:rPr>
          <w:rFonts w:hint="cs"/>
          <w:sz w:val="27"/>
          <w:rtl/>
        </w:rPr>
        <w:t>،</w:t>
      </w:r>
      <w:r w:rsidRPr="00904FCB">
        <w:rPr>
          <w:rFonts w:hint="cs"/>
          <w:sz w:val="27"/>
          <w:rtl/>
        </w:rPr>
        <w:t xml:space="preserve"> فتكون على هذا أ</w:t>
      </w:r>
      <w:r w:rsidR="00954D2E" w:rsidRPr="00904FCB">
        <w:rPr>
          <w:rFonts w:hint="cs"/>
          <w:sz w:val="27"/>
          <w:rtl/>
        </w:rPr>
        <w:t>َ</w:t>
      </w:r>
      <w:r w:rsidRPr="00904FCB">
        <w:rPr>
          <w:rFonts w:hint="cs"/>
          <w:sz w:val="27"/>
          <w:rtl/>
        </w:rPr>
        <w:t>و</w:t>
      </w:r>
      <w:r w:rsidR="00954D2E" w:rsidRPr="00904FCB">
        <w:rPr>
          <w:rFonts w:hint="cs"/>
          <w:sz w:val="27"/>
          <w:rtl/>
        </w:rPr>
        <w:t>ْ</w:t>
      </w:r>
      <w:r w:rsidRPr="00904FCB">
        <w:rPr>
          <w:rFonts w:hint="cs"/>
          <w:sz w:val="27"/>
          <w:rtl/>
        </w:rPr>
        <w:t>لى بالرد</w:t>
      </w:r>
      <w:r w:rsidR="00954D2E" w:rsidRPr="00904FCB">
        <w:rPr>
          <w:rFonts w:hint="cs"/>
          <w:sz w:val="27"/>
          <w:rtl/>
        </w:rPr>
        <w:t>ّ</w:t>
      </w:r>
      <w:r w:rsidRPr="00904FCB">
        <w:rPr>
          <w:rFonts w:hint="cs"/>
          <w:sz w:val="27"/>
          <w:rtl/>
        </w:rPr>
        <w:t xml:space="preserve"> من غيرها. </w:t>
      </w:r>
    </w:p>
    <w:p w:rsidR="00644408" w:rsidRPr="00904FCB" w:rsidRDefault="00644408" w:rsidP="007A21AA">
      <w:pPr>
        <w:spacing w:line="400" w:lineRule="exact"/>
        <w:rPr>
          <w:sz w:val="27"/>
          <w:rtl/>
        </w:rPr>
      </w:pPr>
      <w:r w:rsidRPr="00904FCB">
        <w:rPr>
          <w:rFonts w:hint="cs"/>
          <w:b/>
          <w:bCs/>
          <w:sz w:val="27"/>
          <w:rtl/>
        </w:rPr>
        <w:t>الملاحظة الثانية</w:t>
      </w:r>
      <w:r w:rsidRPr="00904FCB">
        <w:rPr>
          <w:rFonts w:hint="cs"/>
          <w:sz w:val="27"/>
          <w:rtl/>
        </w:rPr>
        <w:t>: لا ينكر أن المؤل</w:t>
      </w:r>
      <w:r w:rsidR="00954D2E" w:rsidRPr="00904FCB">
        <w:rPr>
          <w:rFonts w:hint="cs"/>
          <w:sz w:val="27"/>
          <w:rtl/>
        </w:rPr>
        <w:t>ِّ</w:t>
      </w:r>
      <w:r w:rsidRPr="00904FCB">
        <w:rPr>
          <w:rFonts w:hint="cs"/>
          <w:sz w:val="27"/>
          <w:rtl/>
        </w:rPr>
        <w:t>ف كان على دراية و</w:t>
      </w:r>
      <w:r w:rsidR="00954D2E" w:rsidRPr="00904FCB">
        <w:rPr>
          <w:rFonts w:hint="cs"/>
          <w:sz w:val="27"/>
          <w:rtl/>
        </w:rPr>
        <w:t>ا</w:t>
      </w:r>
      <w:r w:rsidRPr="00904FCB">
        <w:rPr>
          <w:rFonts w:hint="cs"/>
          <w:sz w:val="27"/>
          <w:rtl/>
        </w:rPr>
        <w:t>ط</w:t>
      </w:r>
      <w:r w:rsidR="00954D2E" w:rsidRPr="00904FCB">
        <w:rPr>
          <w:rFonts w:hint="cs"/>
          <w:sz w:val="27"/>
          <w:rtl/>
        </w:rPr>
        <w:t>ّ</w:t>
      </w:r>
      <w:r w:rsidRPr="00904FCB">
        <w:rPr>
          <w:rFonts w:hint="cs"/>
          <w:sz w:val="27"/>
          <w:rtl/>
        </w:rPr>
        <w:t>لاع بحجم الروايات التي وردت في مدو</w:t>
      </w:r>
      <w:r w:rsidR="00954D2E" w:rsidRPr="00904FCB">
        <w:rPr>
          <w:rFonts w:hint="cs"/>
          <w:sz w:val="27"/>
          <w:rtl/>
        </w:rPr>
        <w:t>َّ</w:t>
      </w:r>
      <w:r w:rsidRPr="00904FCB">
        <w:rPr>
          <w:rFonts w:hint="cs"/>
          <w:sz w:val="27"/>
          <w:rtl/>
        </w:rPr>
        <w:t>ناتنا الحديثية</w:t>
      </w:r>
      <w:r w:rsidR="00954D2E" w:rsidRPr="00904FCB">
        <w:rPr>
          <w:rFonts w:hint="cs"/>
          <w:sz w:val="27"/>
          <w:rtl/>
        </w:rPr>
        <w:t>،</w:t>
      </w:r>
      <w:r w:rsidRPr="00904FCB">
        <w:rPr>
          <w:rFonts w:hint="cs"/>
          <w:sz w:val="27"/>
          <w:rtl/>
        </w:rPr>
        <w:t xml:space="preserve"> والتي لها عل</w:t>
      </w:r>
      <w:r w:rsidR="00954D2E" w:rsidRPr="00904FCB">
        <w:rPr>
          <w:rFonts w:hint="cs"/>
          <w:sz w:val="27"/>
          <w:rtl/>
        </w:rPr>
        <w:t>ا</w:t>
      </w:r>
      <w:r w:rsidRPr="00904FCB">
        <w:rPr>
          <w:rFonts w:hint="cs"/>
          <w:sz w:val="27"/>
          <w:rtl/>
        </w:rPr>
        <w:t xml:space="preserve">قة </w:t>
      </w:r>
      <w:r w:rsidR="00954D2E" w:rsidRPr="00904FCB">
        <w:rPr>
          <w:rFonts w:hint="cs"/>
          <w:sz w:val="27"/>
          <w:rtl/>
        </w:rPr>
        <w:t>ب</w:t>
      </w:r>
      <w:r w:rsidRPr="00904FCB">
        <w:rPr>
          <w:rFonts w:hint="cs"/>
          <w:sz w:val="27"/>
          <w:rtl/>
        </w:rPr>
        <w:t>بحث سهوّ النبي</w:t>
      </w:r>
      <w:r w:rsidR="00954D2E" w:rsidRPr="00904FCB">
        <w:rPr>
          <w:rFonts w:hint="cs"/>
          <w:sz w:val="27"/>
          <w:rtl/>
        </w:rPr>
        <w:t>ّ</w:t>
      </w:r>
      <w:r w:rsidR="00635E51" w:rsidRPr="00904FCB">
        <w:rPr>
          <w:rFonts w:cs="Mosawi" w:hint="cs"/>
          <w:sz w:val="27"/>
          <w:szCs w:val="22"/>
          <w:rtl/>
        </w:rPr>
        <w:t>|</w:t>
      </w:r>
      <w:r w:rsidRPr="00904FCB">
        <w:rPr>
          <w:rFonts w:hint="cs"/>
          <w:sz w:val="27"/>
          <w:rtl/>
        </w:rPr>
        <w:t xml:space="preserve">، كما يمكن أن يستظهر ذلك من خلال قوله: </w:t>
      </w:r>
      <w:r w:rsidRPr="00904FCB">
        <w:rPr>
          <w:rFonts w:hint="eastAsia"/>
          <w:sz w:val="27"/>
          <w:rtl/>
        </w:rPr>
        <w:t>«</w:t>
      </w:r>
      <w:r w:rsidRPr="00904FCB">
        <w:rPr>
          <w:rFonts w:hint="cs"/>
          <w:sz w:val="27"/>
          <w:rtl/>
        </w:rPr>
        <w:t>الحديث الذي رو</w:t>
      </w:r>
      <w:r w:rsidR="00954D2E" w:rsidRPr="00904FCB">
        <w:rPr>
          <w:rFonts w:hint="cs"/>
          <w:sz w:val="27"/>
          <w:rtl/>
        </w:rPr>
        <w:t>َ</w:t>
      </w:r>
      <w:r w:rsidRPr="00904FCB">
        <w:rPr>
          <w:rFonts w:hint="cs"/>
          <w:sz w:val="27"/>
          <w:rtl/>
        </w:rPr>
        <w:t>ت</w:t>
      </w:r>
      <w:r w:rsidR="00954D2E" w:rsidRPr="00904FCB">
        <w:rPr>
          <w:rFonts w:hint="cs"/>
          <w:sz w:val="27"/>
          <w:rtl/>
        </w:rPr>
        <w:t>ْ</w:t>
      </w:r>
      <w:r w:rsidRPr="00904FCB">
        <w:rPr>
          <w:rFonts w:hint="cs"/>
          <w:sz w:val="27"/>
          <w:rtl/>
        </w:rPr>
        <w:t>ه الناصبة والمقل</w:t>
      </w:r>
      <w:r w:rsidR="00954D2E" w:rsidRPr="00904FCB">
        <w:rPr>
          <w:rFonts w:hint="cs"/>
          <w:sz w:val="27"/>
          <w:rtl/>
        </w:rPr>
        <w:t>ِّ</w:t>
      </w:r>
      <w:r w:rsidRPr="00904FCB">
        <w:rPr>
          <w:rFonts w:hint="cs"/>
          <w:sz w:val="27"/>
          <w:rtl/>
        </w:rPr>
        <w:t>دة من الشيعة</w:t>
      </w:r>
      <w:r w:rsidRPr="00904FCB">
        <w:rPr>
          <w:rFonts w:hint="eastAsia"/>
          <w:sz w:val="27"/>
          <w:rtl/>
        </w:rPr>
        <w:t>»</w:t>
      </w:r>
      <w:r w:rsidRPr="00904FCB">
        <w:rPr>
          <w:rFonts w:hint="cs"/>
          <w:sz w:val="27"/>
          <w:rtl/>
        </w:rPr>
        <w:t xml:space="preserve">، وقوله: </w:t>
      </w:r>
      <w:r w:rsidRPr="00904FCB">
        <w:rPr>
          <w:rFonts w:hint="eastAsia"/>
          <w:sz w:val="27"/>
          <w:rtl/>
        </w:rPr>
        <w:t>«</w:t>
      </w:r>
      <w:r w:rsidRPr="00904FCB">
        <w:rPr>
          <w:rFonts w:hint="cs"/>
          <w:sz w:val="27"/>
          <w:rtl/>
        </w:rPr>
        <w:t>وم</w:t>
      </w:r>
      <w:r w:rsidR="00954D2E" w:rsidRPr="00904FCB">
        <w:rPr>
          <w:rFonts w:hint="cs"/>
          <w:sz w:val="27"/>
          <w:rtl/>
        </w:rPr>
        <w:t>َ</w:t>
      </w:r>
      <w:r w:rsidRPr="00904FCB">
        <w:rPr>
          <w:rFonts w:hint="cs"/>
          <w:sz w:val="27"/>
          <w:rtl/>
        </w:rPr>
        <w:t>ن</w:t>
      </w:r>
      <w:r w:rsidR="00954D2E" w:rsidRPr="00904FCB">
        <w:rPr>
          <w:rFonts w:hint="cs"/>
          <w:sz w:val="27"/>
          <w:rtl/>
        </w:rPr>
        <w:t>ْ</w:t>
      </w:r>
      <w:r w:rsidRPr="00904FCB">
        <w:rPr>
          <w:rFonts w:hint="cs"/>
          <w:sz w:val="27"/>
          <w:rtl/>
        </w:rPr>
        <w:t xml:space="preserve"> تعل</w:t>
      </w:r>
      <w:r w:rsidR="00954D2E" w:rsidRPr="00904FCB">
        <w:rPr>
          <w:rFonts w:hint="cs"/>
          <w:sz w:val="27"/>
          <w:rtl/>
        </w:rPr>
        <w:t>ّ</w:t>
      </w:r>
      <w:r w:rsidRPr="00904FCB">
        <w:rPr>
          <w:rFonts w:hint="cs"/>
          <w:sz w:val="27"/>
          <w:rtl/>
        </w:rPr>
        <w:t>ق بهذا الحديث من الشيعة يذهب فيه إلى مذهب أهل العراق</w:t>
      </w:r>
      <w:r w:rsidRPr="00904FCB">
        <w:rPr>
          <w:rFonts w:hint="eastAsia"/>
          <w:sz w:val="27"/>
          <w:rtl/>
        </w:rPr>
        <w:t>»</w:t>
      </w:r>
      <w:r w:rsidRPr="00904FCB">
        <w:rPr>
          <w:rFonts w:hint="cs"/>
          <w:sz w:val="27"/>
          <w:rtl/>
        </w:rPr>
        <w:t xml:space="preserve">. </w:t>
      </w:r>
    </w:p>
    <w:p w:rsidR="00644408" w:rsidRPr="00904FCB" w:rsidRDefault="00644408" w:rsidP="00510A75">
      <w:pPr>
        <w:spacing w:line="400" w:lineRule="exact"/>
        <w:rPr>
          <w:sz w:val="27"/>
          <w:rtl/>
        </w:rPr>
      </w:pPr>
      <w:r w:rsidRPr="00904FCB">
        <w:rPr>
          <w:rFonts w:hint="cs"/>
          <w:sz w:val="27"/>
          <w:rtl/>
        </w:rPr>
        <w:t>فنرى أنّه قد اختزل البحث جد</w:t>
      </w:r>
      <w:r w:rsidR="00954D2E" w:rsidRPr="00904FCB">
        <w:rPr>
          <w:rFonts w:hint="cs"/>
          <w:sz w:val="27"/>
          <w:rtl/>
        </w:rPr>
        <w:t>ّ</w:t>
      </w:r>
      <w:r w:rsidRPr="00904FCB">
        <w:rPr>
          <w:rFonts w:hint="cs"/>
          <w:sz w:val="27"/>
          <w:rtl/>
        </w:rPr>
        <w:t>اً، ولم ي</w:t>
      </w:r>
      <w:r w:rsidR="00954D2E" w:rsidRPr="00904FCB">
        <w:rPr>
          <w:rFonts w:hint="cs"/>
          <w:sz w:val="27"/>
          <w:rtl/>
        </w:rPr>
        <w:t>ُ</w:t>
      </w:r>
      <w:r w:rsidRPr="00904FCB">
        <w:rPr>
          <w:rFonts w:hint="cs"/>
          <w:sz w:val="27"/>
          <w:rtl/>
        </w:rPr>
        <w:t>ش</w:t>
      </w:r>
      <w:r w:rsidR="00954D2E" w:rsidRPr="00904FCB">
        <w:rPr>
          <w:rFonts w:hint="cs"/>
          <w:sz w:val="27"/>
          <w:rtl/>
        </w:rPr>
        <w:t>ِ</w:t>
      </w:r>
      <w:r w:rsidRPr="00904FCB">
        <w:rPr>
          <w:rFonts w:hint="cs"/>
          <w:sz w:val="27"/>
          <w:rtl/>
        </w:rPr>
        <w:t>ر</w:t>
      </w:r>
      <w:r w:rsidR="00954D2E" w:rsidRPr="00904FCB">
        <w:rPr>
          <w:rFonts w:hint="cs"/>
          <w:sz w:val="27"/>
          <w:rtl/>
        </w:rPr>
        <w:t>ْ</w:t>
      </w:r>
      <w:r w:rsidRPr="00904FCB">
        <w:rPr>
          <w:rFonts w:hint="cs"/>
          <w:sz w:val="27"/>
          <w:rtl/>
        </w:rPr>
        <w:t xml:space="preserve"> إلى تلك الروايات الأخرى</w:t>
      </w:r>
      <w:r w:rsidR="00954D2E" w:rsidRPr="00904FCB">
        <w:rPr>
          <w:rFonts w:hint="cs"/>
          <w:sz w:val="27"/>
          <w:rtl/>
        </w:rPr>
        <w:t>،</w:t>
      </w:r>
      <w:r w:rsidRPr="00904FCB">
        <w:rPr>
          <w:rFonts w:hint="cs"/>
          <w:sz w:val="27"/>
          <w:rtl/>
        </w:rPr>
        <w:t xml:space="preserve"> ولو على نحو الإجمال الواردة في طرقنا؛ حت</w:t>
      </w:r>
      <w:r w:rsidR="00954D2E" w:rsidRPr="00904FCB">
        <w:rPr>
          <w:rFonts w:hint="cs"/>
          <w:sz w:val="27"/>
          <w:rtl/>
        </w:rPr>
        <w:t>ّ</w:t>
      </w:r>
      <w:r w:rsidRPr="00904FCB">
        <w:rPr>
          <w:rFonts w:hint="cs"/>
          <w:sz w:val="27"/>
          <w:rtl/>
        </w:rPr>
        <w:t>ى تتكامل الصورة ومعالم البحث، وأن</w:t>
      </w:r>
      <w:r w:rsidR="00954D2E" w:rsidRPr="00904FCB">
        <w:rPr>
          <w:rFonts w:hint="cs"/>
          <w:sz w:val="27"/>
          <w:rtl/>
        </w:rPr>
        <w:t>ّ</w:t>
      </w:r>
      <w:r w:rsidRPr="00904FCB">
        <w:rPr>
          <w:rFonts w:hint="cs"/>
          <w:sz w:val="27"/>
          <w:rtl/>
        </w:rPr>
        <w:t xml:space="preserve"> الصدوق </w:t>
      </w:r>
      <w:r w:rsidRPr="00904FCB">
        <w:rPr>
          <w:rFonts w:hint="cs"/>
          <w:sz w:val="27"/>
          <w:rtl/>
        </w:rPr>
        <w:lastRenderedPageBreak/>
        <w:t>وشيخه ليسا أوّل م</w:t>
      </w:r>
      <w:r w:rsidR="00954D2E" w:rsidRPr="00904FCB">
        <w:rPr>
          <w:rFonts w:hint="cs"/>
          <w:sz w:val="27"/>
          <w:rtl/>
        </w:rPr>
        <w:t>َ</w:t>
      </w:r>
      <w:r w:rsidRPr="00904FCB">
        <w:rPr>
          <w:rFonts w:hint="cs"/>
          <w:sz w:val="27"/>
          <w:rtl/>
        </w:rPr>
        <w:t>ن</w:t>
      </w:r>
      <w:r w:rsidR="00954D2E" w:rsidRPr="00904FCB">
        <w:rPr>
          <w:rFonts w:hint="cs"/>
          <w:sz w:val="27"/>
          <w:rtl/>
        </w:rPr>
        <w:t>ْ</w:t>
      </w:r>
      <w:r w:rsidRPr="00904FCB">
        <w:rPr>
          <w:rFonts w:hint="cs"/>
          <w:sz w:val="27"/>
          <w:rtl/>
        </w:rPr>
        <w:t xml:space="preserve"> تفو</w:t>
      </w:r>
      <w:r w:rsidR="00954D2E" w:rsidRPr="00904FCB">
        <w:rPr>
          <w:rFonts w:hint="cs"/>
          <w:sz w:val="27"/>
          <w:rtl/>
        </w:rPr>
        <w:t>َّ</w:t>
      </w:r>
      <w:r w:rsidRPr="00904FCB">
        <w:rPr>
          <w:rFonts w:hint="cs"/>
          <w:sz w:val="27"/>
          <w:rtl/>
        </w:rPr>
        <w:t>ها علانيةً بهذا، وإنّ</w:t>
      </w:r>
      <w:r w:rsidR="00954D2E" w:rsidRPr="00904FCB">
        <w:rPr>
          <w:rFonts w:hint="cs"/>
          <w:sz w:val="27"/>
          <w:rtl/>
        </w:rPr>
        <w:t>َ</w:t>
      </w:r>
      <w:r w:rsidRPr="00904FCB">
        <w:rPr>
          <w:rFonts w:hint="cs"/>
          <w:sz w:val="27"/>
          <w:rtl/>
        </w:rPr>
        <w:t>ما سبقهما إلى ذلك القول جمع من الرواة مم</w:t>
      </w:r>
      <w:r w:rsidR="00954D2E" w:rsidRPr="00904FCB">
        <w:rPr>
          <w:rFonts w:hint="cs"/>
          <w:sz w:val="27"/>
          <w:rtl/>
        </w:rPr>
        <w:t>َّ</w:t>
      </w:r>
      <w:r w:rsidRPr="00904FCB">
        <w:rPr>
          <w:rFonts w:hint="cs"/>
          <w:sz w:val="27"/>
          <w:rtl/>
        </w:rPr>
        <w:t>ن</w:t>
      </w:r>
      <w:r w:rsidR="00954D2E" w:rsidRPr="00904FCB">
        <w:rPr>
          <w:rFonts w:hint="cs"/>
          <w:sz w:val="27"/>
          <w:rtl/>
        </w:rPr>
        <w:t>ْ</w:t>
      </w:r>
      <w:r w:rsidRPr="00904FCB">
        <w:rPr>
          <w:rFonts w:hint="cs"/>
          <w:sz w:val="27"/>
          <w:rtl/>
        </w:rPr>
        <w:t xml:space="preserve"> عاصر الأئم</w:t>
      </w:r>
      <w:r w:rsidR="00954D2E" w:rsidRPr="00904FCB">
        <w:rPr>
          <w:rFonts w:hint="cs"/>
          <w:sz w:val="27"/>
          <w:rtl/>
        </w:rPr>
        <w:t>ّ</w:t>
      </w:r>
      <w:r w:rsidRPr="00904FCB">
        <w:rPr>
          <w:rFonts w:hint="cs"/>
          <w:sz w:val="27"/>
          <w:rtl/>
        </w:rPr>
        <w:t>ة</w:t>
      </w:r>
      <w:r w:rsidR="00510A75" w:rsidRPr="00904FCB">
        <w:rPr>
          <w:rFonts w:ascii="Mosawi" w:hAnsi="Mosawi" w:cs="Mosawi"/>
          <w:sz w:val="27"/>
          <w:rtl/>
        </w:rPr>
        <w:t>^</w:t>
      </w:r>
      <w:r w:rsidRPr="00904FCB">
        <w:rPr>
          <w:rFonts w:hint="cs"/>
          <w:sz w:val="27"/>
          <w:rtl/>
        </w:rPr>
        <w:t xml:space="preserve">. </w:t>
      </w:r>
    </w:p>
    <w:p w:rsidR="00644408" w:rsidRPr="00904FCB" w:rsidRDefault="00644408" w:rsidP="007A21AA">
      <w:pPr>
        <w:spacing w:line="400" w:lineRule="exact"/>
        <w:rPr>
          <w:sz w:val="27"/>
          <w:rtl/>
        </w:rPr>
      </w:pPr>
    </w:p>
    <w:p w:rsidR="00644408" w:rsidRPr="00904FCB" w:rsidRDefault="00644408" w:rsidP="007A21AA">
      <w:pPr>
        <w:pStyle w:val="31"/>
        <w:spacing w:line="400" w:lineRule="exact"/>
        <w:rPr>
          <w:color w:val="auto"/>
          <w:rtl/>
        </w:rPr>
      </w:pPr>
      <w:r w:rsidRPr="00DB1447">
        <w:rPr>
          <w:rFonts w:hint="cs"/>
          <w:color w:val="auto"/>
          <w:rtl/>
        </w:rPr>
        <w:t>6ـ منهج المؤلف</w:t>
      </w:r>
      <w:r w:rsidRPr="00904FCB">
        <w:rPr>
          <w:rFonts w:hint="cs"/>
          <w:color w:val="auto"/>
          <w:rtl/>
        </w:rPr>
        <w:t xml:space="preserve"> في الرسالة وآلي</w:t>
      </w:r>
      <w:r w:rsidR="00954D2E" w:rsidRPr="00904FCB">
        <w:rPr>
          <w:rFonts w:hint="cs"/>
          <w:color w:val="auto"/>
          <w:rtl/>
        </w:rPr>
        <w:t>ّ</w:t>
      </w:r>
      <w:r w:rsidRPr="00904FCB">
        <w:rPr>
          <w:rFonts w:hint="cs"/>
          <w:color w:val="auto"/>
          <w:rtl/>
        </w:rPr>
        <w:t xml:space="preserve">اته </w:t>
      </w:r>
    </w:p>
    <w:p w:rsidR="00644408" w:rsidRPr="00904FCB" w:rsidRDefault="00644408" w:rsidP="007A21AA">
      <w:pPr>
        <w:pStyle w:val="31"/>
        <w:spacing w:line="400" w:lineRule="exact"/>
        <w:rPr>
          <w:color w:val="auto"/>
          <w:rtl/>
        </w:rPr>
      </w:pPr>
      <w:r w:rsidRPr="00904FCB">
        <w:rPr>
          <w:rFonts w:hint="cs"/>
          <w:color w:val="auto"/>
          <w:rtl/>
        </w:rPr>
        <w:t xml:space="preserve">أـ المنهج النقليّ </w:t>
      </w:r>
    </w:p>
    <w:p w:rsidR="00644408" w:rsidRPr="00904FCB" w:rsidRDefault="00644408" w:rsidP="00062936">
      <w:pPr>
        <w:spacing w:line="420" w:lineRule="exact"/>
        <w:rPr>
          <w:sz w:val="27"/>
          <w:rtl/>
        </w:rPr>
      </w:pPr>
      <w:r w:rsidRPr="00904FCB">
        <w:rPr>
          <w:rFonts w:hint="cs"/>
          <w:sz w:val="27"/>
          <w:rtl/>
        </w:rPr>
        <w:t>كان حضور المنهج النقليّ في ثنايا البحث وطي</w:t>
      </w:r>
      <w:r w:rsidR="00954D2E" w:rsidRPr="00904FCB">
        <w:rPr>
          <w:rFonts w:hint="cs"/>
          <w:sz w:val="27"/>
          <w:rtl/>
        </w:rPr>
        <w:t>ّ</w:t>
      </w:r>
      <w:r w:rsidRPr="00904FCB">
        <w:rPr>
          <w:rFonts w:hint="cs"/>
          <w:sz w:val="27"/>
          <w:rtl/>
        </w:rPr>
        <w:t xml:space="preserve">اته بارزاً واضحاً، وذلك من خلال </w:t>
      </w:r>
      <w:r w:rsidR="00954D2E" w:rsidRPr="00904FCB">
        <w:rPr>
          <w:rFonts w:hint="cs"/>
          <w:sz w:val="27"/>
          <w:rtl/>
        </w:rPr>
        <w:t>ا</w:t>
      </w:r>
      <w:r w:rsidRPr="00904FCB">
        <w:rPr>
          <w:rFonts w:hint="cs"/>
          <w:sz w:val="27"/>
          <w:rtl/>
        </w:rPr>
        <w:t>عتماد بعض المفاهيم الخاص</w:t>
      </w:r>
      <w:r w:rsidR="00954D2E" w:rsidRPr="00904FCB">
        <w:rPr>
          <w:rFonts w:hint="cs"/>
          <w:sz w:val="27"/>
          <w:rtl/>
        </w:rPr>
        <w:t>ّ</w:t>
      </w:r>
      <w:r w:rsidRPr="00904FCB">
        <w:rPr>
          <w:rFonts w:hint="cs"/>
          <w:sz w:val="27"/>
          <w:rtl/>
        </w:rPr>
        <w:t xml:space="preserve">ة التي تدور في الثقافة الإسلاميّة في العادة، سواء ما تعارف منها في أبحاث المصطلح الحديثيّ أو غيرها من مجالات المعرفة الدينية. ويمكن استحضار بعضها هنا: </w:t>
      </w:r>
    </w:p>
    <w:p w:rsidR="00644408" w:rsidRPr="00904FCB" w:rsidRDefault="00644408" w:rsidP="008740CD">
      <w:pPr>
        <w:spacing w:line="420" w:lineRule="exact"/>
        <w:rPr>
          <w:sz w:val="27"/>
          <w:rtl/>
        </w:rPr>
      </w:pPr>
      <w:r w:rsidRPr="00DB1447">
        <w:rPr>
          <w:rFonts w:hint="cs"/>
          <w:b/>
          <w:bCs/>
          <w:sz w:val="27"/>
          <w:rtl/>
        </w:rPr>
        <w:t>1ـ خبر</w:t>
      </w:r>
      <w:r w:rsidRPr="00904FCB">
        <w:rPr>
          <w:rFonts w:hint="cs"/>
          <w:b/>
          <w:bCs/>
          <w:sz w:val="27"/>
          <w:rtl/>
        </w:rPr>
        <w:t xml:space="preserve"> الواحد</w:t>
      </w:r>
      <w:r w:rsidR="00954D2E" w:rsidRPr="00904FCB">
        <w:rPr>
          <w:rFonts w:hint="cs"/>
          <w:sz w:val="27"/>
          <w:rtl/>
        </w:rPr>
        <w:t>.</w:t>
      </w:r>
      <w:r w:rsidRPr="00904FCB">
        <w:rPr>
          <w:rFonts w:hint="cs"/>
          <w:sz w:val="27"/>
          <w:rtl/>
        </w:rPr>
        <w:t xml:space="preserve"> فيرى المؤل</w:t>
      </w:r>
      <w:r w:rsidR="00954D2E" w:rsidRPr="00904FCB">
        <w:rPr>
          <w:rFonts w:hint="cs"/>
          <w:sz w:val="27"/>
          <w:rtl/>
        </w:rPr>
        <w:t>ِّ</w:t>
      </w:r>
      <w:r w:rsidRPr="00904FCB">
        <w:rPr>
          <w:rFonts w:hint="cs"/>
          <w:sz w:val="27"/>
          <w:rtl/>
        </w:rPr>
        <w:t>ف</w:t>
      </w:r>
      <w:r w:rsidR="00954D2E" w:rsidRPr="00904FCB">
        <w:rPr>
          <w:rFonts w:hint="cs"/>
          <w:sz w:val="27"/>
          <w:rtl/>
        </w:rPr>
        <w:t>،</w:t>
      </w:r>
      <w:r w:rsidRPr="00904FCB">
        <w:rPr>
          <w:rFonts w:hint="cs"/>
          <w:sz w:val="27"/>
          <w:rtl/>
        </w:rPr>
        <w:t xml:space="preserve"> كما يرى غيره من العلماء</w:t>
      </w:r>
      <w:r w:rsidR="00954D2E" w:rsidRPr="00904FCB">
        <w:rPr>
          <w:rFonts w:hint="cs"/>
          <w:sz w:val="27"/>
          <w:rtl/>
        </w:rPr>
        <w:t>،</w:t>
      </w:r>
      <w:r w:rsidRPr="00904FCB">
        <w:rPr>
          <w:rFonts w:hint="cs"/>
          <w:sz w:val="27"/>
          <w:rtl/>
        </w:rPr>
        <w:t xml:space="preserve"> أن خبر الواحد الذي لا تعضده القرائن</w:t>
      </w:r>
      <w:r w:rsidR="00954D2E" w:rsidRPr="00904FCB">
        <w:rPr>
          <w:rFonts w:hint="cs"/>
          <w:sz w:val="27"/>
          <w:rtl/>
        </w:rPr>
        <w:t>،</w:t>
      </w:r>
      <w:r w:rsidRPr="00904FCB">
        <w:rPr>
          <w:rFonts w:hint="cs"/>
          <w:sz w:val="27"/>
          <w:rtl/>
        </w:rPr>
        <w:t xml:space="preserve"> ولا تدعمه الأدلة العلمية العام</w:t>
      </w:r>
      <w:r w:rsidR="00954D2E" w:rsidRPr="00904FCB">
        <w:rPr>
          <w:rFonts w:hint="cs"/>
          <w:sz w:val="27"/>
          <w:rtl/>
        </w:rPr>
        <w:t>ّ</w:t>
      </w:r>
      <w:r w:rsidRPr="00904FCB">
        <w:rPr>
          <w:rFonts w:hint="cs"/>
          <w:sz w:val="27"/>
          <w:rtl/>
        </w:rPr>
        <w:t>ة، من جملة الأخبار التي لا تثمر علماً</w:t>
      </w:r>
      <w:r w:rsidR="008740CD">
        <w:rPr>
          <w:rFonts w:hint="cs"/>
          <w:sz w:val="27"/>
          <w:rtl/>
        </w:rPr>
        <w:t>،</w:t>
      </w:r>
      <w:r w:rsidRPr="00904FCB">
        <w:rPr>
          <w:rFonts w:hint="cs"/>
          <w:sz w:val="27"/>
          <w:rtl/>
        </w:rPr>
        <w:t xml:space="preserve"> ولا توجب ع</w:t>
      </w:r>
      <w:r w:rsidR="008740CD" w:rsidRPr="00904FCB">
        <w:rPr>
          <w:rFonts w:hint="cs"/>
          <w:sz w:val="27"/>
          <w:rtl/>
        </w:rPr>
        <w:t>م</w:t>
      </w:r>
      <w:r w:rsidRPr="00904FCB">
        <w:rPr>
          <w:rFonts w:hint="cs"/>
          <w:sz w:val="27"/>
          <w:rtl/>
        </w:rPr>
        <w:t>لاً</w:t>
      </w:r>
      <w:r w:rsidR="00954D2E" w:rsidRPr="00904FCB">
        <w:rPr>
          <w:rFonts w:hint="cs"/>
          <w:sz w:val="27"/>
          <w:rtl/>
        </w:rPr>
        <w:t>.</w:t>
      </w:r>
      <w:r w:rsidRPr="00904FCB">
        <w:rPr>
          <w:rFonts w:hint="cs"/>
          <w:sz w:val="27"/>
          <w:rtl/>
        </w:rPr>
        <w:t xml:space="preserve"> وبالتالي فهو يرى أنّ أخبار السهو من تطبيقات أحاديث الآحاد. </w:t>
      </w:r>
    </w:p>
    <w:p w:rsidR="00644408" w:rsidRPr="00904FCB" w:rsidRDefault="00644408" w:rsidP="00062936">
      <w:pPr>
        <w:spacing w:line="420" w:lineRule="exact"/>
        <w:rPr>
          <w:sz w:val="27"/>
          <w:rtl/>
        </w:rPr>
      </w:pPr>
      <w:r w:rsidRPr="00904FCB">
        <w:rPr>
          <w:rFonts w:hint="cs"/>
          <w:sz w:val="27"/>
          <w:rtl/>
        </w:rPr>
        <w:t>ومن فروع أخبار الآحاد: أن الأصوليين قد ذكروا أن الأمور الخطيرة لا يمكن أن ي</w:t>
      </w:r>
      <w:r w:rsidR="00954D2E" w:rsidRPr="00904FCB">
        <w:rPr>
          <w:rFonts w:hint="cs"/>
          <w:sz w:val="27"/>
          <w:rtl/>
        </w:rPr>
        <w:t>ُ</w:t>
      </w:r>
      <w:r w:rsidRPr="00904FCB">
        <w:rPr>
          <w:rFonts w:hint="cs"/>
          <w:sz w:val="27"/>
          <w:rtl/>
        </w:rPr>
        <w:t>كت</w:t>
      </w:r>
      <w:r w:rsidR="00954D2E" w:rsidRPr="00904FCB">
        <w:rPr>
          <w:rFonts w:hint="cs"/>
          <w:sz w:val="27"/>
          <w:rtl/>
        </w:rPr>
        <w:t>َ</w:t>
      </w:r>
      <w:r w:rsidRPr="00904FCB">
        <w:rPr>
          <w:rFonts w:hint="cs"/>
          <w:sz w:val="27"/>
          <w:rtl/>
        </w:rPr>
        <w:t>ف</w:t>
      </w:r>
      <w:r w:rsidR="00954D2E" w:rsidRPr="00904FCB">
        <w:rPr>
          <w:rFonts w:hint="cs"/>
          <w:sz w:val="27"/>
          <w:rtl/>
        </w:rPr>
        <w:t>َ</w:t>
      </w:r>
      <w:r w:rsidRPr="00904FCB">
        <w:rPr>
          <w:rFonts w:hint="cs"/>
          <w:sz w:val="27"/>
          <w:rtl/>
        </w:rPr>
        <w:t>ى فيها بالخبر الواحد</w:t>
      </w:r>
      <w:r w:rsidR="00954D2E" w:rsidRPr="00904FCB">
        <w:rPr>
          <w:rFonts w:hint="cs"/>
          <w:sz w:val="27"/>
          <w:rtl/>
        </w:rPr>
        <w:t>.</w:t>
      </w:r>
      <w:r w:rsidRPr="00904FCB">
        <w:rPr>
          <w:rFonts w:hint="cs"/>
          <w:sz w:val="27"/>
          <w:rtl/>
        </w:rPr>
        <w:t xml:space="preserve"> وكتطبيق</w:t>
      </w:r>
      <w:r w:rsidR="00954D2E" w:rsidRPr="00904FCB">
        <w:rPr>
          <w:rFonts w:hint="cs"/>
          <w:sz w:val="27"/>
          <w:rtl/>
        </w:rPr>
        <w:t>ٍ</w:t>
      </w:r>
      <w:r w:rsidRPr="00904FCB">
        <w:rPr>
          <w:rFonts w:hint="cs"/>
          <w:sz w:val="27"/>
          <w:rtl/>
        </w:rPr>
        <w:t xml:space="preserve"> لذلك قال المؤل</w:t>
      </w:r>
      <w:r w:rsidR="00954D2E" w:rsidRPr="00904FCB">
        <w:rPr>
          <w:rFonts w:hint="cs"/>
          <w:sz w:val="27"/>
          <w:rtl/>
        </w:rPr>
        <w:t>ِّ</w:t>
      </w:r>
      <w:r w:rsidRPr="00904FCB">
        <w:rPr>
          <w:rFonts w:hint="cs"/>
          <w:sz w:val="27"/>
          <w:rtl/>
        </w:rPr>
        <w:t>ف: ولو كان معروفاً ـ يعني ذو اليدين ـ كمعاذ بن جبل، وع</w:t>
      </w:r>
      <w:r w:rsidR="00954D2E" w:rsidRPr="00904FCB">
        <w:rPr>
          <w:rFonts w:hint="cs"/>
          <w:sz w:val="27"/>
          <w:rtl/>
        </w:rPr>
        <w:t>ب</w:t>
      </w:r>
      <w:r w:rsidRPr="00904FCB">
        <w:rPr>
          <w:rFonts w:hint="cs"/>
          <w:sz w:val="27"/>
          <w:rtl/>
        </w:rPr>
        <w:t>د الله بن مسعود، وأبي هريرة، وأمثالهم</w:t>
      </w:r>
      <w:r w:rsidR="00954D2E" w:rsidRPr="00904FCB">
        <w:rPr>
          <w:rFonts w:hint="cs"/>
          <w:sz w:val="27"/>
          <w:rtl/>
        </w:rPr>
        <w:t>،</w:t>
      </w:r>
      <w:r w:rsidRPr="00904FCB">
        <w:rPr>
          <w:rFonts w:hint="cs"/>
          <w:sz w:val="27"/>
          <w:rtl/>
        </w:rPr>
        <w:t xml:space="preserve"> لكان ما تفر</w:t>
      </w:r>
      <w:r w:rsidR="00954D2E" w:rsidRPr="00904FCB">
        <w:rPr>
          <w:rFonts w:hint="cs"/>
          <w:sz w:val="27"/>
          <w:rtl/>
        </w:rPr>
        <w:t>َّ</w:t>
      </w:r>
      <w:r w:rsidRPr="00904FCB">
        <w:rPr>
          <w:rFonts w:hint="cs"/>
          <w:sz w:val="27"/>
          <w:rtl/>
        </w:rPr>
        <w:t xml:space="preserve">د به غير معمول عليه. </w:t>
      </w:r>
    </w:p>
    <w:p w:rsidR="00644408" w:rsidRPr="00904FCB" w:rsidRDefault="00644408" w:rsidP="00062936">
      <w:pPr>
        <w:spacing w:line="420" w:lineRule="exact"/>
        <w:rPr>
          <w:sz w:val="27"/>
          <w:rtl/>
        </w:rPr>
      </w:pPr>
      <w:r w:rsidRPr="00DB1447">
        <w:rPr>
          <w:rFonts w:hint="cs"/>
          <w:b/>
          <w:bCs/>
          <w:sz w:val="27"/>
          <w:rtl/>
        </w:rPr>
        <w:t>2ـ الظن</w:t>
      </w:r>
      <w:r w:rsidR="00954D2E" w:rsidRPr="00DB1447">
        <w:rPr>
          <w:rFonts w:hint="cs"/>
          <w:b/>
          <w:bCs/>
          <w:sz w:val="27"/>
          <w:rtl/>
        </w:rPr>
        <w:t>ّ</w:t>
      </w:r>
      <w:r w:rsidR="00954D2E" w:rsidRPr="00DB1447">
        <w:rPr>
          <w:rFonts w:hint="cs"/>
          <w:sz w:val="27"/>
          <w:rtl/>
        </w:rPr>
        <w:t>.</w:t>
      </w:r>
      <w:r w:rsidRPr="00DB1447">
        <w:rPr>
          <w:rFonts w:hint="cs"/>
          <w:sz w:val="27"/>
          <w:rtl/>
        </w:rPr>
        <w:t xml:space="preserve"> وهذا المفهوم هو الآخر من جملة المفاهيم التي كثر استعمالها ودورانها</w:t>
      </w:r>
      <w:r w:rsidRPr="00904FCB">
        <w:rPr>
          <w:rFonts w:hint="cs"/>
          <w:sz w:val="27"/>
          <w:rtl/>
        </w:rPr>
        <w:t xml:space="preserve"> في ميادين عديدة من العلوم الإسلامية</w:t>
      </w:r>
      <w:r w:rsidR="00954D2E" w:rsidRPr="00904FCB">
        <w:rPr>
          <w:rFonts w:hint="cs"/>
          <w:sz w:val="27"/>
          <w:rtl/>
        </w:rPr>
        <w:t>.</w:t>
      </w:r>
      <w:r w:rsidRPr="00904FCB">
        <w:rPr>
          <w:rFonts w:hint="cs"/>
          <w:sz w:val="27"/>
          <w:rtl/>
        </w:rPr>
        <w:t xml:space="preserve"> فوظ</w:t>
      </w:r>
      <w:r w:rsidR="00954D2E" w:rsidRPr="00904FCB">
        <w:rPr>
          <w:rFonts w:hint="cs"/>
          <w:sz w:val="27"/>
          <w:rtl/>
        </w:rPr>
        <w:t>َّ</w:t>
      </w:r>
      <w:r w:rsidRPr="00904FCB">
        <w:rPr>
          <w:rFonts w:hint="cs"/>
          <w:sz w:val="27"/>
          <w:rtl/>
        </w:rPr>
        <w:t>فه أيضاً المؤل</w:t>
      </w:r>
      <w:r w:rsidR="00954D2E" w:rsidRPr="00904FCB">
        <w:rPr>
          <w:rFonts w:hint="cs"/>
          <w:sz w:val="27"/>
          <w:rtl/>
        </w:rPr>
        <w:t>ِّ</w:t>
      </w:r>
      <w:r w:rsidRPr="00904FCB">
        <w:rPr>
          <w:rFonts w:hint="cs"/>
          <w:sz w:val="27"/>
          <w:rtl/>
        </w:rPr>
        <w:t>ف في خدمة البحث</w:t>
      </w:r>
      <w:r w:rsidR="00954D2E" w:rsidRPr="00904FCB">
        <w:rPr>
          <w:rFonts w:hint="cs"/>
          <w:sz w:val="27"/>
          <w:rtl/>
        </w:rPr>
        <w:t>؛</w:t>
      </w:r>
      <w:r w:rsidRPr="00904FCB">
        <w:rPr>
          <w:rFonts w:hint="cs"/>
          <w:sz w:val="27"/>
          <w:rtl/>
        </w:rPr>
        <w:t xml:space="preserve"> ليصل إلى النتيجة المرجو</w:t>
      </w:r>
      <w:r w:rsidR="00954D2E" w:rsidRPr="00904FCB">
        <w:rPr>
          <w:rFonts w:hint="cs"/>
          <w:sz w:val="27"/>
          <w:rtl/>
        </w:rPr>
        <w:t>ّ</w:t>
      </w:r>
      <w:r w:rsidRPr="00904FCB">
        <w:rPr>
          <w:rFonts w:hint="cs"/>
          <w:sz w:val="27"/>
          <w:rtl/>
        </w:rPr>
        <w:t>ة</w:t>
      </w:r>
      <w:r w:rsidR="00954D2E" w:rsidRPr="00904FCB">
        <w:rPr>
          <w:rFonts w:hint="cs"/>
          <w:sz w:val="27"/>
          <w:rtl/>
        </w:rPr>
        <w:t>،</w:t>
      </w:r>
      <w:r w:rsidRPr="00904FCB">
        <w:rPr>
          <w:rFonts w:hint="cs"/>
          <w:sz w:val="27"/>
          <w:rtl/>
        </w:rPr>
        <w:t xml:space="preserve"> والتي تناسب المقد</w:t>
      </w:r>
      <w:r w:rsidR="00954D2E" w:rsidRPr="00904FCB">
        <w:rPr>
          <w:rFonts w:hint="cs"/>
          <w:sz w:val="27"/>
          <w:rtl/>
        </w:rPr>
        <w:t>ِّ</w:t>
      </w:r>
      <w:r w:rsidRPr="00904FCB">
        <w:rPr>
          <w:rFonts w:hint="cs"/>
          <w:sz w:val="27"/>
          <w:rtl/>
        </w:rPr>
        <w:t>مات التي ساقها لها. فيعتقد أنّ العقيدة المتلق</w:t>
      </w:r>
      <w:r w:rsidR="00954D2E" w:rsidRPr="00904FCB">
        <w:rPr>
          <w:rFonts w:hint="cs"/>
          <w:sz w:val="27"/>
          <w:rtl/>
        </w:rPr>
        <w:t>ّ</w:t>
      </w:r>
      <w:r w:rsidRPr="00904FCB">
        <w:rPr>
          <w:rFonts w:hint="cs"/>
          <w:sz w:val="27"/>
          <w:rtl/>
        </w:rPr>
        <w:t>اة لا ب</w:t>
      </w:r>
      <w:r w:rsidR="00954D2E" w:rsidRPr="00904FCB">
        <w:rPr>
          <w:rFonts w:hint="cs"/>
          <w:sz w:val="27"/>
          <w:rtl/>
        </w:rPr>
        <w:t>ُ</w:t>
      </w:r>
      <w:r w:rsidRPr="00904FCB">
        <w:rPr>
          <w:rFonts w:hint="cs"/>
          <w:sz w:val="27"/>
          <w:rtl/>
        </w:rPr>
        <w:t>د</w:t>
      </w:r>
      <w:r w:rsidR="00954D2E" w:rsidRPr="00904FCB">
        <w:rPr>
          <w:rFonts w:hint="cs"/>
          <w:sz w:val="27"/>
          <w:rtl/>
        </w:rPr>
        <w:t>َّ</w:t>
      </w:r>
      <w:r w:rsidRPr="00904FCB">
        <w:rPr>
          <w:rFonts w:hint="cs"/>
          <w:sz w:val="27"/>
          <w:rtl/>
        </w:rPr>
        <w:t xml:space="preserve"> أن تبتني على خصوص نمط</w:t>
      </w:r>
      <w:r w:rsidR="00954D2E" w:rsidRPr="00904FCB">
        <w:rPr>
          <w:rFonts w:hint="cs"/>
          <w:sz w:val="27"/>
          <w:rtl/>
        </w:rPr>
        <w:t>ٍ</w:t>
      </w:r>
      <w:r w:rsidRPr="00904FCB">
        <w:rPr>
          <w:rFonts w:hint="cs"/>
          <w:sz w:val="27"/>
          <w:rtl/>
        </w:rPr>
        <w:t xml:space="preserve"> خاص</w:t>
      </w:r>
      <w:r w:rsidR="00954D2E" w:rsidRPr="00904FCB">
        <w:rPr>
          <w:rFonts w:hint="cs"/>
          <w:sz w:val="27"/>
          <w:rtl/>
        </w:rPr>
        <w:t>ّ</w:t>
      </w:r>
      <w:r w:rsidRPr="00904FCB">
        <w:rPr>
          <w:rFonts w:hint="cs"/>
          <w:sz w:val="27"/>
          <w:rtl/>
        </w:rPr>
        <w:t xml:space="preserve"> ومعين من أنواع الكشف العلمي، وذلك النوع يتمثّل في</w:t>
      </w:r>
      <w:r w:rsidR="00954D2E" w:rsidRPr="00904FCB">
        <w:rPr>
          <w:rFonts w:hint="cs"/>
          <w:sz w:val="27"/>
          <w:rtl/>
        </w:rPr>
        <w:t xml:space="preserve"> </w:t>
      </w:r>
      <w:r w:rsidRPr="00904FCB">
        <w:rPr>
          <w:rFonts w:hint="cs"/>
          <w:sz w:val="27"/>
          <w:rtl/>
        </w:rPr>
        <w:t>ما يرى في اليقين، ولا يمكن الاعتماد أصلاً على الكشف الظن</w:t>
      </w:r>
      <w:r w:rsidR="00954D2E" w:rsidRPr="00904FCB">
        <w:rPr>
          <w:rFonts w:hint="cs"/>
          <w:sz w:val="27"/>
          <w:rtl/>
        </w:rPr>
        <w:t>ّ</w:t>
      </w:r>
      <w:r w:rsidRPr="00904FCB">
        <w:rPr>
          <w:rFonts w:hint="cs"/>
          <w:sz w:val="27"/>
          <w:rtl/>
        </w:rPr>
        <w:t>ي أو الو</w:t>
      </w:r>
      <w:r w:rsidR="00954D2E" w:rsidRPr="00904FCB">
        <w:rPr>
          <w:rFonts w:hint="cs"/>
          <w:sz w:val="27"/>
          <w:rtl/>
        </w:rPr>
        <w:t>َ</w:t>
      </w:r>
      <w:r w:rsidRPr="00904FCB">
        <w:rPr>
          <w:rFonts w:hint="cs"/>
          <w:sz w:val="27"/>
          <w:rtl/>
        </w:rPr>
        <w:t>ه</w:t>
      </w:r>
      <w:r w:rsidR="00954D2E" w:rsidRPr="00904FCB">
        <w:rPr>
          <w:rFonts w:hint="cs"/>
          <w:sz w:val="27"/>
          <w:rtl/>
        </w:rPr>
        <w:t>ْ</w:t>
      </w:r>
      <w:r w:rsidRPr="00904FCB">
        <w:rPr>
          <w:rFonts w:hint="cs"/>
          <w:sz w:val="27"/>
          <w:rtl/>
        </w:rPr>
        <w:t>مي مم</w:t>
      </w:r>
      <w:r w:rsidR="00954D2E" w:rsidRPr="00904FCB">
        <w:rPr>
          <w:rFonts w:hint="cs"/>
          <w:sz w:val="27"/>
          <w:rtl/>
        </w:rPr>
        <w:t>ّ</w:t>
      </w:r>
      <w:r w:rsidRPr="00904FCB">
        <w:rPr>
          <w:rFonts w:hint="cs"/>
          <w:sz w:val="27"/>
          <w:rtl/>
        </w:rPr>
        <w:t xml:space="preserve">ا لا يبلغ درجة اليقين والقطع. </w:t>
      </w:r>
    </w:p>
    <w:p w:rsidR="00644408" w:rsidRPr="00904FCB" w:rsidRDefault="00644408" w:rsidP="00062936">
      <w:pPr>
        <w:spacing w:line="420" w:lineRule="exact"/>
        <w:rPr>
          <w:sz w:val="27"/>
          <w:rtl/>
        </w:rPr>
      </w:pPr>
      <w:r w:rsidRPr="00DB1447">
        <w:rPr>
          <w:rFonts w:hint="cs"/>
          <w:b/>
          <w:bCs/>
          <w:sz w:val="27"/>
          <w:rtl/>
        </w:rPr>
        <w:t>3ـ اضطراب الحديث</w:t>
      </w:r>
      <w:r w:rsidR="00954D2E" w:rsidRPr="00DB1447">
        <w:rPr>
          <w:rFonts w:hint="cs"/>
          <w:sz w:val="27"/>
          <w:rtl/>
        </w:rPr>
        <w:t>.</w:t>
      </w:r>
      <w:r w:rsidRPr="00DB1447">
        <w:rPr>
          <w:rFonts w:hint="cs"/>
          <w:sz w:val="27"/>
          <w:rtl/>
        </w:rPr>
        <w:t xml:space="preserve"> وهو من جملة الأدوات المعرفية التي عمل على إنتاجها</w:t>
      </w:r>
      <w:r w:rsidRPr="00904FCB">
        <w:rPr>
          <w:rFonts w:hint="cs"/>
          <w:sz w:val="27"/>
          <w:rtl/>
        </w:rPr>
        <w:t xml:space="preserve"> العقل في قطاع المعرفة الخاص</w:t>
      </w:r>
      <w:r w:rsidR="00C66116" w:rsidRPr="00904FCB">
        <w:rPr>
          <w:rFonts w:hint="cs"/>
          <w:sz w:val="27"/>
          <w:rtl/>
        </w:rPr>
        <w:t>ّ</w:t>
      </w:r>
      <w:r w:rsidRPr="00904FCB">
        <w:rPr>
          <w:rFonts w:hint="cs"/>
          <w:sz w:val="27"/>
          <w:rtl/>
        </w:rPr>
        <w:t xml:space="preserve"> بتقنين القواعد والضوابط في مجال علم المصطلح</w:t>
      </w:r>
      <w:r w:rsidR="00C66116" w:rsidRPr="00904FCB">
        <w:rPr>
          <w:rFonts w:hint="cs"/>
          <w:sz w:val="27"/>
          <w:rtl/>
        </w:rPr>
        <w:t>؛</w:t>
      </w:r>
      <w:r w:rsidRPr="00904FCB">
        <w:rPr>
          <w:rFonts w:hint="cs"/>
          <w:sz w:val="27"/>
          <w:rtl/>
        </w:rPr>
        <w:t xml:space="preserve"> من أجل تسيهل سير تلك العملية بنحو</w:t>
      </w:r>
      <w:r w:rsidR="00C66116" w:rsidRPr="00904FCB">
        <w:rPr>
          <w:rFonts w:hint="cs"/>
          <w:sz w:val="27"/>
          <w:rtl/>
        </w:rPr>
        <w:t>ٍ</w:t>
      </w:r>
      <w:r w:rsidRPr="00904FCB">
        <w:rPr>
          <w:rFonts w:hint="cs"/>
          <w:sz w:val="27"/>
          <w:rtl/>
        </w:rPr>
        <w:t xml:space="preserve"> صحيح. </w:t>
      </w:r>
    </w:p>
    <w:p w:rsidR="00644408" w:rsidRPr="00904FCB" w:rsidRDefault="00644408" w:rsidP="00062936">
      <w:pPr>
        <w:spacing w:line="420" w:lineRule="exact"/>
        <w:rPr>
          <w:sz w:val="27"/>
          <w:rtl/>
        </w:rPr>
      </w:pPr>
      <w:r w:rsidRPr="00904FCB">
        <w:rPr>
          <w:rFonts w:hint="cs"/>
          <w:sz w:val="27"/>
          <w:rtl/>
        </w:rPr>
        <w:lastRenderedPageBreak/>
        <w:t>والاضطراب قسمان</w:t>
      </w:r>
      <w:r w:rsidR="00C66116" w:rsidRPr="00904FCB">
        <w:rPr>
          <w:rFonts w:hint="cs"/>
          <w:sz w:val="27"/>
          <w:rtl/>
        </w:rPr>
        <w:t>؛</w:t>
      </w:r>
      <w:r w:rsidRPr="00904FCB">
        <w:rPr>
          <w:rFonts w:hint="cs"/>
          <w:sz w:val="27"/>
          <w:rtl/>
        </w:rPr>
        <w:t xml:space="preserve"> فمنه ما يرجع إلى السند</w:t>
      </w:r>
      <w:r w:rsidR="00C66116" w:rsidRPr="00904FCB">
        <w:rPr>
          <w:rFonts w:hint="cs"/>
          <w:sz w:val="27"/>
          <w:rtl/>
        </w:rPr>
        <w:t>؛</w:t>
      </w:r>
      <w:r w:rsidRPr="00904FCB">
        <w:rPr>
          <w:rFonts w:hint="cs"/>
          <w:sz w:val="27"/>
          <w:rtl/>
        </w:rPr>
        <w:t xml:space="preserve"> ومنه ما يرجع إلى المتن. وكلامنا في الثاني، وي</w:t>
      </w:r>
      <w:r w:rsidR="00C66116" w:rsidRPr="00904FCB">
        <w:rPr>
          <w:rFonts w:hint="cs"/>
          <w:sz w:val="27"/>
          <w:rtl/>
        </w:rPr>
        <w:t>ُ</w:t>
      </w:r>
      <w:r w:rsidRPr="00904FCB">
        <w:rPr>
          <w:rFonts w:hint="cs"/>
          <w:sz w:val="27"/>
          <w:rtl/>
        </w:rPr>
        <w:t>عنى به اختلاف الرواية</w:t>
      </w:r>
      <w:r w:rsidR="00C66116" w:rsidRPr="00904FCB">
        <w:rPr>
          <w:rFonts w:hint="cs"/>
          <w:sz w:val="27"/>
          <w:rtl/>
        </w:rPr>
        <w:t>؛</w:t>
      </w:r>
      <w:r w:rsidRPr="00904FCB">
        <w:rPr>
          <w:rFonts w:hint="cs"/>
          <w:sz w:val="27"/>
          <w:rtl/>
        </w:rPr>
        <w:t xml:space="preserve"> فمر</w:t>
      </w:r>
      <w:r w:rsidR="00C66116" w:rsidRPr="00904FCB">
        <w:rPr>
          <w:rFonts w:hint="cs"/>
          <w:sz w:val="27"/>
          <w:rtl/>
        </w:rPr>
        <w:t>ّ</w:t>
      </w:r>
      <w:r w:rsidRPr="00904FCB">
        <w:rPr>
          <w:rFonts w:hint="cs"/>
          <w:sz w:val="27"/>
          <w:rtl/>
        </w:rPr>
        <w:t>ة ت</w:t>
      </w:r>
      <w:r w:rsidR="00C66116" w:rsidRPr="00904FCB">
        <w:rPr>
          <w:rFonts w:hint="cs"/>
          <w:sz w:val="27"/>
          <w:rtl/>
        </w:rPr>
        <w:t>ُ</w:t>
      </w:r>
      <w:r w:rsidRPr="00904FCB">
        <w:rPr>
          <w:rFonts w:hint="cs"/>
          <w:sz w:val="27"/>
          <w:rtl/>
        </w:rPr>
        <w:t>ر</w:t>
      </w:r>
      <w:r w:rsidR="00C66116" w:rsidRPr="00904FCB">
        <w:rPr>
          <w:rFonts w:hint="cs"/>
          <w:sz w:val="27"/>
          <w:rtl/>
        </w:rPr>
        <w:t>ْ</w:t>
      </w:r>
      <w:r w:rsidRPr="00904FCB">
        <w:rPr>
          <w:rFonts w:hint="cs"/>
          <w:sz w:val="27"/>
          <w:rtl/>
        </w:rPr>
        <w:t>و</w:t>
      </w:r>
      <w:r w:rsidR="00C66116" w:rsidRPr="00904FCB">
        <w:rPr>
          <w:rFonts w:hint="cs"/>
          <w:sz w:val="27"/>
          <w:rtl/>
        </w:rPr>
        <w:t>َ</w:t>
      </w:r>
      <w:r w:rsidRPr="00904FCB">
        <w:rPr>
          <w:rFonts w:hint="cs"/>
          <w:sz w:val="27"/>
          <w:rtl/>
        </w:rPr>
        <w:t>ى على وجه</w:t>
      </w:r>
      <w:r w:rsidR="00C66116" w:rsidRPr="00904FCB">
        <w:rPr>
          <w:rFonts w:hint="cs"/>
          <w:sz w:val="27"/>
          <w:rtl/>
        </w:rPr>
        <w:t>ٍ؛</w:t>
      </w:r>
      <w:r w:rsidRPr="00904FCB">
        <w:rPr>
          <w:rFonts w:hint="cs"/>
          <w:sz w:val="27"/>
          <w:rtl/>
        </w:rPr>
        <w:t xml:space="preserve"> وأخرى على وجه</w:t>
      </w:r>
      <w:r w:rsidR="00C66116" w:rsidRPr="00904FCB">
        <w:rPr>
          <w:rFonts w:hint="cs"/>
          <w:sz w:val="27"/>
          <w:rtl/>
        </w:rPr>
        <w:t>ٍ</w:t>
      </w:r>
      <w:r w:rsidRPr="00904FCB">
        <w:rPr>
          <w:rFonts w:hint="cs"/>
          <w:sz w:val="27"/>
          <w:rtl/>
        </w:rPr>
        <w:t xml:space="preserve"> آخر. </w:t>
      </w:r>
    </w:p>
    <w:p w:rsidR="00644408" w:rsidRPr="00904FCB" w:rsidRDefault="00644408" w:rsidP="007A21AA">
      <w:pPr>
        <w:spacing w:line="400" w:lineRule="exact"/>
        <w:rPr>
          <w:sz w:val="27"/>
          <w:rtl/>
        </w:rPr>
      </w:pPr>
      <w:r w:rsidRPr="00904FCB">
        <w:rPr>
          <w:rFonts w:hint="cs"/>
          <w:sz w:val="27"/>
          <w:rtl/>
        </w:rPr>
        <w:t>قال بهذا الصدد: واختلافهم في الصلاة ووقتها دليل</w:t>
      </w:r>
      <w:r w:rsidR="00E55265" w:rsidRPr="00904FCB">
        <w:rPr>
          <w:rFonts w:hint="cs"/>
          <w:sz w:val="27"/>
          <w:rtl/>
        </w:rPr>
        <w:t>ٌ</w:t>
      </w:r>
      <w:r w:rsidRPr="00904FCB">
        <w:rPr>
          <w:rFonts w:hint="cs"/>
          <w:sz w:val="27"/>
          <w:rtl/>
        </w:rPr>
        <w:t xml:space="preserve"> على و</w:t>
      </w:r>
      <w:r w:rsidR="00E55265" w:rsidRPr="00904FCB">
        <w:rPr>
          <w:rFonts w:hint="cs"/>
          <w:sz w:val="27"/>
          <w:rtl/>
        </w:rPr>
        <w:t>َ</w:t>
      </w:r>
      <w:r w:rsidRPr="00904FCB">
        <w:rPr>
          <w:rFonts w:hint="cs"/>
          <w:sz w:val="27"/>
          <w:rtl/>
        </w:rPr>
        <w:t>ه</w:t>
      </w:r>
      <w:r w:rsidR="00E55265" w:rsidRPr="00904FCB">
        <w:rPr>
          <w:rFonts w:hint="cs"/>
          <w:sz w:val="27"/>
          <w:rtl/>
        </w:rPr>
        <w:t>ْ</w:t>
      </w:r>
      <w:r w:rsidRPr="00904FCB">
        <w:rPr>
          <w:rFonts w:hint="cs"/>
          <w:sz w:val="27"/>
          <w:rtl/>
        </w:rPr>
        <w:t>ن الحديث</w:t>
      </w:r>
      <w:r w:rsidR="00E55265" w:rsidRPr="00904FCB">
        <w:rPr>
          <w:rFonts w:hint="cs"/>
          <w:sz w:val="27"/>
          <w:rtl/>
        </w:rPr>
        <w:t>،</w:t>
      </w:r>
      <w:r w:rsidRPr="00904FCB">
        <w:rPr>
          <w:rFonts w:hint="cs"/>
          <w:sz w:val="27"/>
          <w:rtl/>
        </w:rPr>
        <w:t xml:space="preserve"> وحجة في سقوطه، ووجوب ترك العمل به و</w:t>
      </w:r>
      <w:r w:rsidR="00E55265" w:rsidRPr="00904FCB">
        <w:rPr>
          <w:rFonts w:hint="cs"/>
          <w:sz w:val="27"/>
          <w:rtl/>
        </w:rPr>
        <w:t>ا</w:t>
      </w:r>
      <w:r w:rsidRPr="00904FCB">
        <w:rPr>
          <w:rFonts w:hint="cs"/>
          <w:sz w:val="27"/>
          <w:rtl/>
        </w:rPr>
        <w:t>ط</w:t>
      </w:r>
      <w:r w:rsidR="00E55265" w:rsidRPr="00904FCB">
        <w:rPr>
          <w:rFonts w:hint="cs"/>
          <w:sz w:val="27"/>
          <w:rtl/>
        </w:rPr>
        <w:t>ّ</w:t>
      </w:r>
      <w:r w:rsidRPr="00904FCB">
        <w:rPr>
          <w:rFonts w:hint="cs"/>
          <w:sz w:val="27"/>
          <w:rtl/>
        </w:rPr>
        <w:t xml:space="preserve">راحه. </w:t>
      </w:r>
    </w:p>
    <w:p w:rsidR="00644408" w:rsidRPr="00904FCB" w:rsidRDefault="00644408" w:rsidP="007A21AA">
      <w:pPr>
        <w:spacing w:line="400" w:lineRule="exact"/>
        <w:rPr>
          <w:sz w:val="27"/>
          <w:rtl/>
        </w:rPr>
      </w:pPr>
      <w:r w:rsidRPr="00904FCB">
        <w:rPr>
          <w:rFonts w:hint="cs"/>
          <w:sz w:val="27"/>
          <w:rtl/>
        </w:rPr>
        <w:t>وقال أخرى: وهذا الاختلاف الذي ذكرناه في هذا الحديث أدل</w:t>
      </w:r>
      <w:r w:rsidR="00E55265" w:rsidRPr="00904FCB">
        <w:rPr>
          <w:rFonts w:hint="cs"/>
          <w:sz w:val="27"/>
          <w:rtl/>
        </w:rPr>
        <w:t>ّ</w:t>
      </w:r>
      <w:r w:rsidRPr="00904FCB">
        <w:rPr>
          <w:rFonts w:hint="cs"/>
          <w:sz w:val="27"/>
          <w:rtl/>
        </w:rPr>
        <w:t xml:space="preserve"> دليل على بطلانه، وأوضح حج</w:t>
      </w:r>
      <w:r w:rsidR="00E55265" w:rsidRPr="00904FCB">
        <w:rPr>
          <w:rFonts w:hint="cs"/>
          <w:sz w:val="27"/>
          <w:rtl/>
        </w:rPr>
        <w:t>ّ</w:t>
      </w:r>
      <w:r w:rsidRPr="00904FCB">
        <w:rPr>
          <w:rFonts w:hint="cs"/>
          <w:sz w:val="27"/>
          <w:rtl/>
        </w:rPr>
        <w:t xml:space="preserve">ة في وضعه واختلاقه. </w:t>
      </w:r>
    </w:p>
    <w:p w:rsidR="00644408" w:rsidRPr="00904FCB" w:rsidRDefault="00644408" w:rsidP="007A21AA">
      <w:pPr>
        <w:spacing w:line="400" w:lineRule="exact"/>
        <w:rPr>
          <w:sz w:val="27"/>
          <w:rtl/>
        </w:rPr>
      </w:pPr>
      <w:r w:rsidRPr="00DB1447">
        <w:rPr>
          <w:rFonts w:hint="cs"/>
          <w:b/>
          <w:bCs/>
          <w:sz w:val="27"/>
          <w:rtl/>
        </w:rPr>
        <w:t>4ـ الحكم بالوضع والاختلاق من خلال فقرات الحديث نفسه</w:t>
      </w:r>
      <w:r w:rsidR="00954D2E" w:rsidRPr="00DB1447">
        <w:rPr>
          <w:rFonts w:hint="cs"/>
          <w:sz w:val="27"/>
          <w:rtl/>
        </w:rPr>
        <w:t>.</w:t>
      </w:r>
      <w:r w:rsidRPr="00DB1447">
        <w:rPr>
          <w:rFonts w:hint="cs"/>
          <w:sz w:val="27"/>
          <w:rtl/>
        </w:rPr>
        <w:t xml:space="preserve"> فيقول في هذا</w:t>
      </w:r>
      <w:r w:rsidRPr="00904FCB">
        <w:rPr>
          <w:rFonts w:hint="cs"/>
          <w:sz w:val="27"/>
          <w:rtl/>
        </w:rPr>
        <w:t xml:space="preserve"> الصدد: </w:t>
      </w:r>
      <w:r w:rsidRPr="00904FCB">
        <w:rPr>
          <w:rFonts w:hint="eastAsia"/>
          <w:sz w:val="27"/>
          <w:rtl/>
        </w:rPr>
        <w:t>«</w:t>
      </w:r>
      <w:r w:rsidRPr="00904FCB">
        <w:rPr>
          <w:rFonts w:hint="cs"/>
          <w:sz w:val="27"/>
          <w:rtl/>
        </w:rPr>
        <w:t>على أنّ في الخبر نفسه ما يدل</w:t>
      </w:r>
      <w:r w:rsidR="00E55265" w:rsidRPr="00904FCB">
        <w:rPr>
          <w:rFonts w:hint="cs"/>
          <w:sz w:val="27"/>
          <w:rtl/>
        </w:rPr>
        <w:t>ّ</w:t>
      </w:r>
      <w:r w:rsidRPr="00904FCB">
        <w:rPr>
          <w:rFonts w:hint="cs"/>
          <w:sz w:val="27"/>
          <w:rtl/>
        </w:rPr>
        <w:t xml:space="preserve"> على اختلاقه...</w:t>
      </w:r>
      <w:r w:rsidRPr="00904FCB">
        <w:rPr>
          <w:rFonts w:hint="eastAsia"/>
          <w:sz w:val="27"/>
          <w:rtl/>
        </w:rPr>
        <w:t>»</w:t>
      </w:r>
      <w:r w:rsidR="00E55265" w:rsidRPr="00904FCB">
        <w:rPr>
          <w:rFonts w:hint="cs"/>
          <w:sz w:val="27"/>
          <w:rtl/>
        </w:rPr>
        <w:t>،</w:t>
      </w:r>
      <w:r w:rsidRPr="00904FCB">
        <w:rPr>
          <w:rFonts w:hint="cs"/>
          <w:sz w:val="27"/>
          <w:rtl/>
        </w:rPr>
        <w:t xml:space="preserve"> مستفيداً من جواب النبي</w:t>
      </w:r>
      <w:r w:rsidR="00E55265" w:rsidRPr="00904FCB">
        <w:rPr>
          <w:rFonts w:hint="cs"/>
          <w:sz w:val="27"/>
          <w:rtl/>
        </w:rPr>
        <w:t>ّ</w:t>
      </w:r>
      <w:r w:rsidR="00635E51" w:rsidRPr="00904FCB">
        <w:rPr>
          <w:rFonts w:cs="Mosawi" w:hint="cs"/>
          <w:sz w:val="27"/>
          <w:szCs w:val="22"/>
          <w:rtl/>
        </w:rPr>
        <w:t>|</w:t>
      </w:r>
      <w:r w:rsidRPr="00904FCB">
        <w:rPr>
          <w:rFonts w:hint="cs"/>
          <w:sz w:val="27"/>
          <w:rtl/>
        </w:rPr>
        <w:t xml:space="preserve">: </w:t>
      </w:r>
      <w:r w:rsidRPr="00904FCB">
        <w:rPr>
          <w:rFonts w:hint="eastAsia"/>
          <w:sz w:val="27"/>
          <w:rtl/>
        </w:rPr>
        <w:t>«</w:t>
      </w:r>
      <w:r w:rsidRPr="00904FCB">
        <w:rPr>
          <w:rFonts w:hint="cs"/>
          <w:sz w:val="27"/>
          <w:rtl/>
        </w:rPr>
        <w:t>كل</w:t>
      </w:r>
      <w:r w:rsidR="00E55265" w:rsidRPr="00904FCB">
        <w:rPr>
          <w:rFonts w:hint="cs"/>
          <w:sz w:val="27"/>
          <w:rtl/>
        </w:rPr>
        <w:t>ّ</w:t>
      </w:r>
      <w:r w:rsidRPr="00904FCB">
        <w:rPr>
          <w:rFonts w:hint="cs"/>
          <w:sz w:val="27"/>
          <w:rtl/>
        </w:rPr>
        <w:t xml:space="preserve"> ذلك لم يك</w:t>
      </w:r>
      <w:r w:rsidR="00E55265" w:rsidRPr="00904FCB">
        <w:rPr>
          <w:rFonts w:hint="cs"/>
          <w:sz w:val="27"/>
          <w:rtl/>
        </w:rPr>
        <w:t>ُ</w:t>
      </w:r>
      <w:r w:rsidRPr="00904FCB">
        <w:rPr>
          <w:rFonts w:hint="cs"/>
          <w:sz w:val="27"/>
          <w:rtl/>
        </w:rPr>
        <w:t>ن</w:t>
      </w:r>
      <w:r w:rsidR="00E55265" w:rsidRPr="00904FCB">
        <w:rPr>
          <w:rFonts w:hint="cs"/>
          <w:sz w:val="27"/>
          <w:rtl/>
        </w:rPr>
        <w:t>ْ</w:t>
      </w:r>
      <w:r w:rsidRPr="00904FCB">
        <w:rPr>
          <w:rFonts w:hint="eastAsia"/>
          <w:sz w:val="27"/>
          <w:rtl/>
        </w:rPr>
        <w:t>»</w:t>
      </w:r>
      <w:r w:rsidRPr="00904FCB">
        <w:rPr>
          <w:rFonts w:hint="cs"/>
          <w:sz w:val="27"/>
          <w:rtl/>
        </w:rPr>
        <w:t xml:space="preserve"> عن سؤال م</w:t>
      </w:r>
      <w:r w:rsidR="00E55265" w:rsidRPr="00904FCB">
        <w:rPr>
          <w:rFonts w:hint="cs"/>
          <w:sz w:val="27"/>
          <w:rtl/>
        </w:rPr>
        <w:t>َ</w:t>
      </w:r>
      <w:r w:rsidRPr="00904FCB">
        <w:rPr>
          <w:rFonts w:hint="cs"/>
          <w:sz w:val="27"/>
          <w:rtl/>
        </w:rPr>
        <w:t>ن</w:t>
      </w:r>
      <w:r w:rsidR="00E55265" w:rsidRPr="00904FCB">
        <w:rPr>
          <w:rFonts w:hint="cs"/>
          <w:sz w:val="27"/>
          <w:rtl/>
        </w:rPr>
        <w:t>ْ</w:t>
      </w:r>
      <w:r w:rsidRPr="00904FCB">
        <w:rPr>
          <w:rFonts w:hint="cs"/>
          <w:sz w:val="27"/>
          <w:rtl/>
        </w:rPr>
        <w:t xml:space="preserve"> سأله: </w:t>
      </w:r>
      <w:r w:rsidRPr="00904FCB">
        <w:rPr>
          <w:rFonts w:hint="eastAsia"/>
          <w:sz w:val="27"/>
          <w:rtl/>
        </w:rPr>
        <w:t>«</w:t>
      </w:r>
      <w:r w:rsidRPr="00904FCB">
        <w:rPr>
          <w:rFonts w:hint="cs"/>
          <w:sz w:val="27"/>
          <w:rtl/>
        </w:rPr>
        <w:t>أقصرت الصلاة يا رسول الله أم نسيت؟</w:t>
      </w:r>
      <w:r w:rsidRPr="00904FCB">
        <w:rPr>
          <w:rFonts w:hint="eastAsia"/>
          <w:sz w:val="27"/>
          <w:rtl/>
        </w:rPr>
        <w:t>»</w:t>
      </w:r>
      <w:r w:rsidRPr="00904FCB">
        <w:rPr>
          <w:rFonts w:hint="cs"/>
          <w:sz w:val="27"/>
          <w:rtl/>
        </w:rPr>
        <w:t xml:space="preserve">. </w:t>
      </w:r>
    </w:p>
    <w:p w:rsidR="00644408" w:rsidRPr="00904FCB" w:rsidRDefault="00644408" w:rsidP="008740CD">
      <w:pPr>
        <w:ind w:firstLine="561"/>
        <w:rPr>
          <w:sz w:val="27"/>
          <w:rtl/>
        </w:rPr>
      </w:pPr>
      <w:r w:rsidRPr="00DB1447">
        <w:rPr>
          <w:rFonts w:hint="cs"/>
          <w:b/>
          <w:bCs/>
          <w:sz w:val="27"/>
          <w:rtl/>
        </w:rPr>
        <w:t>5ـ وظ</w:t>
      </w:r>
      <w:r w:rsidR="00E55265" w:rsidRPr="00DB1447">
        <w:rPr>
          <w:rFonts w:hint="cs"/>
          <w:b/>
          <w:bCs/>
          <w:sz w:val="27"/>
          <w:rtl/>
        </w:rPr>
        <w:t>ّ</w:t>
      </w:r>
      <w:r w:rsidRPr="00DB1447">
        <w:rPr>
          <w:rFonts w:hint="cs"/>
          <w:b/>
          <w:bCs/>
          <w:sz w:val="27"/>
          <w:rtl/>
        </w:rPr>
        <w:t>ف فتيا الفقهاء في ردّ الحديث الذي ساقه في الرسالة</w:t>
      </w:r>
      <w:r w:rsidRPr="00DB1447">
        <w:rPr>
          <w:rFonts w:hint="cs"/>
          <w:sz w:val="27"/>
          <w:rtl/>
        </w:rPr>
        <w:t>، حيث إننا أمام</w:t>
      </w:r>
      <w:r w:rsidRPr="00904FCB">
        <w:rPr>
          <w:rFonts w:hint="cs"/>
          <w:sz w:val="27"/>
          <w:rtl/>
        </w:rPr>
        <w:t xml:space="preserve"> حقيقتين: </w:t>
      </w:r>
    </w:p>
    <w:p w:rsidR="00644408" w:rsidRPr="00904FCB" w:rsidRDefault="00644408" w:rsidP="007A21AA">
      <w:pPr>
        <w:spacing w:line="400" w:lineRule="exact"/>
        <w:rPr>
          <w:sz w:val="27"/>
          <w:rtl/>
        </w:rPr>
      </w:pPr>
      <w:r w:rsidRPr="00904FCB">
        <w:rPr>
          <w:rFonts w:hint="cs"/>
          <w:b/>
          <w:bCs/>
          <w:sz w:val="27"/>
          <w:rtl/>
        </w:rPr>
        <w:t>أولاهما</w:t>
      </w:r>
      <w:r w:rsidRPr="00904FCB">
        <w:rPr>
          <w:rFonts w:hint="cs"/>
          <w:sz w:val="27"/>
          <w:rtl/>
        </w:rPr>
        <w:t xml:space="preserve">: </w:t>
      </w:r>
      <w:r w:rsidR="00E55265" w:rsidRPr="00904FCB">
        <w:rPr>
          <w:rFonts w:hint="cs"/>
          <w:sz w:val="27"/>
          <w:rtl/>
        </w:rPr>
        <w:t>إ</w:t>
      </w:r>
      <w:r w:rsidRPr="00904FCB">
        <w:rPr>
          <w:rFonts w:hint="cs"/>
          <w:sz w:val="27"/>
          <w:rtl/>
        </w:rPr>
        <w:t>نّ أهل العراق وم</w:t>
      </w:r>
      <w:r w:rsidR="00E55265" w:rsidRPr="00904FCB">
        <w:rPr>
          <w:rFonts w:hint="cs"/>
          <w:sz w:val="27"/>
          <w:rtl/>
        </w:rPr>
        <w:t>َ</w:t>
      </w:r>
      <w:r w:rsidRPr="00904FCB">
        <w:rPr>
          <w:rFonts w:hint="cs"/>
          <w:sz w:val="27"/>
          <w:rtl/>
        </w:rPr>
        <w:t>ن</w:t>
      </w:r>
      <w:r w:rsidR="00E55265" w:rsidRPr="00904FCB">
        <w:rPr>
          <w:rFonts w:hint="cs"/>
          <w:sz w:val="27"/>
          <w:rtl/>
        </w:rPr>
        <w:t>ْ</w:t>
      </w:r>
      <w:r w:rsidRPr="00904FCB">
        <w:rPr>
          <w:rFonts w:hint="cs"/>
          <w:sz w:val="27"/>
          <w:rtl/>
        </w:rPr>
        <w:t xml:space="preserve"> تعلّق بهذا الحديث من الشيعة يذهبون إلى أنه أعاد الصلاة؛ لأنه تكلم فيها</w:t>
      </w:r>
      <w:r w:rsidR="00E55265" w:rsidRPr="00904FCB">
        <w:rPr>
          <w:rFonts w:hint="cs"/>
          <w:sz w:val="27"/>
          <w:rtl/>
        </w:rPr>
        <w:t>،</w:t>
      </w:r>
      <w:r w:rsidRPr="00904FCB">
        <w:rPr>
          <w:rFonts w:hint="cs"/>
          <w:sz w:val="27"/>
          <w:rtl/>
        </w:rPr>
        <w:t xml:space="preserve"> والكلام في الصلاة يوجب الإعادة. </w:t>
      </w:r>
    </w:p>
    <w:p w:rsidR="00644408" w:rsidRPr="00904FCB" w:rsidRDefault="00644408" w:rsidP="008740CD">
      <w:pPr>
        <w:ind w:firstLine="561"/>
        <w:rPr>
          <w:sz w:val="27"/>
          <w:rtl/>
        </w:rPr>
      </w:pPr>
      <w:r w:rsidRPr="00904FCB">
        <w:rPr>
          <w:rFonts w:hint="cs"/>
          <w:b/>
          <w:bCs/>
          <w:sz w:val="27"/>
          <w:rtl/>
        </w:rPr>
        <w:t>ثانهيما</w:t>
      </w:r>
      <w:r w:rsidRPr="00904FCB">
        <w:rPr>
          <w:rFonts w:hint="cs"/>
          <w:sz w:val="27"/>
          <w:rtl/>
        </w:rPr>
        <w:t>: إن</w:t>
      </w:r>
      <w:r w:rsidR="00E55265" w:rsidRPr="00904FCB">
        <w:rPr>
          <w:rFonts w:hint="cs"/>
          <w:sz w:val="27"/>
          <w:rtl/>
        </w:rPr>
        <w:t>ّ</w:t>
      </w:r>
      <w:r w:rsidRPr="00904FCB">
        <w:rPr>
          <w:rFonts w:hint="cs"/>
          <w:sz w:val="27"/>
          <w:rtl/>
        </w:rPr>
        <w:t xml:space="preserve"> النبي</w:t>
      </w:r>
      <w:r w:rsidR="00E55265" w:rsidRPr="00904FCB">
        <w:rPr>
          <w:rFonts w:hint="cs"/>
          <w:sz w:val="27"/>
          <w:rtl/>
        </w:rPr>
        <w:t>ّ</w:t>
      </w:r>
      <w:r w:rsidRPr="00904FCB">
        <w:rPr>
          <w:rFonts w:hint="cs"/>
          <w:sz w:val="27"/>
          <w:rtl/>
        </w:rPr>
        <w:t xml:space="preserve"> في الواقع بنى على ما مضى ولم ي</w:t>
      </w:r>
      <w:r w:rsidR="00E55265" w:rsidRPr="00904FCB">
        <w:rPr>
          <w:rFonts w:hint="cs"/>
          <w:sz w:val="27"/>
          <w:rtl/>
        </w:rPr>
        <w:t>ُ</w:t>
      </w:r>
      <w:r w:rsidRPr="00904FCB">
        <w:rPr>
          <w:rFonts w:hint="cs"/>
          <w:sz w:val="27"/>
          <w:rtl/>
        </w:rPr>
        <w:t>ع</w:t>
      </w:r>
      <w:r w:rsidR="00E55265" w:rsidRPr="00904FCB">
        <w:rPr>
          <w:rFonts w:hint="cs"/>
          <w:sz w:val="27"/>
          <w:rtl/>
        </w:rPr>
        <w:t>ِ</w:t>
      </w:r>
      <w:r w:rsidRPr="00904FCB">
        <w:rPr>
          <w:rFonts w:hint="cs"/>
          <w:sz w:val="27"/>
          <w:rtl/>
        </w:rPr>
        <w:t>د</w:t>
      </w:r>
      <w:r w:rsidR="00E55265" w:rsidRPr="00904FCB">
        <w:rPr>
          <w:rFonts w:hint="cs"/>
          <w:sz w:val="27"/>
          <w:rtl/>
        </w:rPr>
        <w:t>ْ</w:t>
      </w:r>
      <w:r w:rsidRPr="00904FCB">
        <w:rPr>
          <w:rFonts w:hint="cs"/>
          <w:sz w:val="27"/>
          <w:rtl/>
        </w:rPr>
        <w:t xml:space="preserve">، كما هو مضمون الحديث. </w:t>
      </w:r>
    </w:p>
    <w:p w:rsidR="00644408" w:rsidRPr="00904FCB" w:rsidRDefault="00644408" w:rsidP="007A21AA">
      <w:pPr>
        <w:spacing w:line="400" w:lineRule="exact"/>
        <w:rPr>
          <w:sz w:val="27"/>
          <w:rtl/>
        </w:rPr>
      </w:pPr>
      <w:r w:rsidRPr="00904FCB">
        <w:rPr>
          <w:rFonts w:hint="cs"/>
          <w:sz w:val="27"/>
          <w:rtl/>
        </w:rPr>
        <w:t>حيث استفاد من تضارب مفاد الحقيقتين في إسقاط خبر الواحد السهوي، بالطبع بعد بنائه على مذهب أهل العراق، وليس أهل الحجاز الذين بن</w:t>
      </w:r>
      <w:r w:rsidR="00E55265" w:rsidRPr="00904FCB">
        <w:rPr>
          <w:rFonts w:hint="cs"/>
          <w:sz w:val="27"/>
          <w:rtl/>
        </w:rPr>
        <w:t>َ</w:t>
      </w:r>
      <w:r w:rsidRPr="00904FCB">
        <w:rPr>
          <w:rFonts w:hint="cs"/>
          <w:sz w:val="27"/>
          <w:rtl/>
        </w:rPr>
        <w:t>و</w:t>
      </w:r>
      <w:r w:rsidR="00E55265" w:rsidRPr="00904FCB">
        <w:rPr>
          <w:rFonts w:hint="cs"/>
          <w:sz w:val="27"/>
          <w:rtl/>
        </w:rPr>
        <w:t>ْ</w:t>
      </w:r>
      <w:r w:rsidRPr="00904FCB">
        <w:rPr>
          <w:rFonts w:hint="cs"/>
          <w:sz w:val="27"/>
          <w:rtl/>
        </w:rPr>
        <w:t xml:space="preserve">ا على أنه يكمل الصلاة من حيث قطع. </w:t>
      </w:r>
    </w:p>
    <w:p w:rsidR="00644408" w:rsidRPr="00904FCB" w:rsidRDefault="00644408" w:rsidP="007A21AA">
      <w:pPr>
        <w:spacing w:line="400" w:lineRule="exact"/>
        <w:rPr>
          <w:sz w:val="27"/>
          <w:rtl/>
        </w:rPr>
      </w:pPr>
      <w:r w:rsidRPr="00DB1447">
        <w:rPr>
          <w:rFonts w:hint="cs"/>
          <w:b/>
          <w:bCs/>
          <w:sz w:val="27"/>
          <w:rtl/>
        </w:rPr>
        <w:t>6ـ استفاد من الإجماع أو الشهرة وما شاكل ذلك في الردّ على ما خالف ذلك</w:t>
      </w:r>
      <w:r w:rsidRPr="00DB1447">
        <w:rPr>
          <w:rFonts w:hint="cs"/>
          <w:sz w:val="27"/>
          <w:rtl/>
        </w:rPr>
        <w:t>،</w:t>
      </w:r>
      <w:r w:rsidRPr="00904FCB">
        <w:rPr>
          <w:rFonts w:hint="cs"/>
          <w:sz w:val="27"/>
          <w:rtl/>
        </w:rPr>
        <w:t xml:space="preserve"> بقوله: مع أنه يتضم</w:t>
      </w:r>
      <w:r w:rsidR="00E55265" w:rsidRPr="00904FCB">
        <w:rPr>
          <w:rFonts w:hint="cs"/>
          <w:sz w:val="27"/>
          <w:rtl/>
        </w:rPr>
        <w:t>ّ</w:t>
      </w:r>
      <w:r w:rsidRPr="00904FCB">
        <w:rPr>
          <w:rFonts w:hint="cs"/>
          <w:sz w:val="27"/>
          <w:rtl/>
        </w:rPr>
        <w:t xml:space="preserve">ن خلاف ما عليه عصابة الحقّ. </w:t>
      </w:r>
    </w:p>
    <w:p w:rsidR="00644408" w:rsidRPr="00904FCB" w:rsidRDefault="00644408" w:rsidP="007A21AA">
      <w:pPr>
        <w:spacing w:line="400" w:lineRule="exact"/>
        <w:rPr>
          <w:sz w:val="27"/>
          <w:rtl/>
        </w:rPr>
      </w:pPr>
      <w:r w:rsidRPr="00DB1447">
        <w:rPr>
          <w:rFonts w:hint="cs"/>
          <w:sz w:val="27"/>
          <w:rtl/>
        </w:rPr>
        <w:t xml:space="preserve"> </w:t>
      </w:r>
      <w:r w:rsidRPr="00DB1447">
        <w:rPr>
          <w:rFonts w:hint="cs"/>
          <w:b/>
          <w:bCs/>
          <w:sz w:val="27"/>
          <w:rtl/>
        </w:rPr>
        <w:t>7ـ استفاد من علم التاريخ في ثنايا البحث العلميّ</w:t>
      </w:r>
      <w:r w:rsidRPr="00DB1447">
        <w:rPr>
          <w:rFonts w:hint="cs"/>
          <w:sz w:val="27"/>
          <w:rtl/>
        </w:rPr>
        <w:t>، فقال</w:t>
      </w:r>
      <w:r w:rsidR="00E55265" w:rsidRPr="00DB1447">
        <w:rPr>
          <w:rFonts w:hint="cs"/>
          <w:sz w:val="27"/>
          <w:rtl/>
        </w:rPr>
        <w:t>،</w:t>
      </w:r>
      <w:r w:rsidRPr="00DB1447">
        <w:rPr>
          <w:rFonts w:hint="cs"/>
          <w:sz w:val="27"/>
          <w:rtl/>
        </w:rPr>
        <w:t xml:space="preserve"> وهو يتحد</w:t>
      </w:r>
      <w:r w:rsidR="00E55265" w:rsidRPr="00DB1447">
        <w:rPr>
          <w:rFonts w:hint="cs"/>
          <w:sz w:val="27"/>
          <w:rtl/>
        </w:rPr>
        <w:t>ّ</w:t>
      </w:r>
      <w:r w:rsidRPr="00DB1447">
        <w:rPr>
          <w:rFonts w:hint="cs"/>
          <w:sz w:val="27"/>
          <w:rtl/>
        </w:rPr>
        <w:t>ث عن ذ</w:t>
      </w:r>
      <w:r w:rsidR="00E55265" w:rsidRPr="00DB1447">
        <w:rPr>
          <w:rFonts w:hint="cs"/>
          <w:sz w:val="27"/>
          <w:rtl/>
        </w:rPr>
        <w:t>ي</w:t>
      </w:r>
      <w:r w:rsidRPr="00904FCB">
        <w:rPr>
          <w:rFonts w:hint="cs"/>
          <w:sz w:val="27"/>
          <w:rtl/>
        </w:rPr>
        <w:t xml:space="preserve"> اليدين</w:t>
      </w:r>
      <w:r w:rsidR="00E55265" w:rsidRPr="00904FCB">
        <w:rPr>
          <w:rFonts w:hint="cs"/>
          <w:sz w:val="27"/>
          <w:rtl/>
        </w:rPr>
        <w:t>،</w:t>
      </w:r>
      <w:r w:rsidRPr="00904FCB">
        <w:rPr>
          <w:rFonts w:hint="cs"/>
          <w:sz w:val="27"/>
          <w:rtl/>
        </w:rPr>
        <w:t xml:space="preserve"> وأنه غير معروف: ودعواه أنه قد روى الناس عنه دعوى لا برهان عليها، وما وجدنا في أصول الفقهاء ولا الرواة حديثاً عن هذا الرجل، ولا ذاكراً له. </w:t>
      </w:r>
    </w:p>
    <w:p w:rsidR="00644408" w:rsidRDefault="00644408" w:rsidP="007A21AA">
      <w:pPr>
        <w:spacing w:line="400" w:lineRule="exact"/>
        <w:rPr>
          <w:sz w:val="27"/>
          <w:rtl/>
        </w:rPr>
      </w:pPr>
      <w:r w:rsidRPr="00DB1447">
        <w:rPr>
          <w:rFonts w:hint="cs"/>
          <w:b/>
          <w:bCs/>
          <w:sz w:val="27"/>
          <w:rtl/>
        </w:rPr>
        <w:t xml:space="preserve">8ـ </w:t>
      </w:r>
      <w:r w:rsidR="00E55265" w:rsidRPr="00DB1447">
        <w:rPr>
          <w:rFonts w:hint="cs"/>
          <w:b/>
          <w:bCs/>
          <w:sz w:val="27"/>
          <w:rtl/>
        </w:rPr>
        <w:t>إ</w:t>
      </w:r>
      <w:r w:rsidRPr="00DB1447">
        <w:rPr>
          <w:rFonts w:hint="cs"/>
          <w:b/>
          <w:bCs/>
          <w:sz w:val="27"/>
          <w:rtl/>
        </w:rPr>
        <w:t>ن الجهالة من جملة الأسباب التي يردّ بها الخبر</w:t>
      </w:r>
      <w:r w:rsidRPr="00DB1447">
        <w:rPr>
          <w:rFonts w:hint="cs"/>
          <w:sz w:val="27"/>
          <w:rtl/>
        </w:rPr>
        <w:t>، قال: وكيف وقد بي</w:t>
      </w:r>
      <w:r w:rsidR="00E55265" w:rsidRPr="00DB1447">
        <w:rPr>
          <w:rFonts w:hint="cs"/>
          <w:sz w:val="27"/>
          <w:rtl/>
        </w:rPr>
        <w:t>َّ</w:t>
      </w:r>
      <w:r w:rsidRPr="00DB1447">
        <w:rPr>
          <w:rFonts w:hint="cs"/>
          <w:sz w:val="27"/>
          <w:rtl/>
        </w:rPr>
        <w:t>ن</w:t>
      </w:r>
      <w:r w:rsidR="00E55265" w:rsidRPr="00DB1447">
        <w:rPr>
          <w:rFonts w:hint="cs"/>
          <w:sz w:val="27"/>
          <w:rtl/>
        </w:rPr>
        <w:t>ّ</w:t>
      </w:r>
      <w:r w:rsidRPr="00DB1447">
        <w:rPr>
          <w:rFonts w:hint="cs"/>
          <w:sz w:val="27"/>
          <w:rtl/>
        </w:rPr>
        <w:t>ا أن</w:t>
      </w:r>
      <w:r w:rsidRPr="00904FCB">
        <w:rPr>
          <w:rFonts w:hint="cs"/>
          <w:sz w:val="27"/>
          <w:rtl/>
        </w:rPr>
        <w:t xml:space="preserve"> </w:t>
      </w:r>
      <w:r w:rsidRPr="00904FCB">
        <w:rPr>
          <w:rFonts w:hint="cs"/>
          <w:sz w:val="27"/>
          <w:rtl/>
        </w:rPr>
        <w:lastRenderedPageBreak/>
        <w:t xml:space="preserve">الرجل مجهول غير معروف. </w:t>
      </w:r>
    </w:p>
    <w:p w:rsidR="00DB1447" w:rsidRPr="00904FCB" w:rsidRDefault="00DB1447" w:rsidP="007A21AA">
      <w:pPr>
        <w:spacing w:line="400" w:lineRule="exact"/>
        <w:rPr>
          <w:sz w:val="27"/>
          <w:rtl/>
        </w:rPr>
      </w:pPr>
    </w:p>
    <w:p w:rsidR="00644408" w:rsidRPr="00904FCB" w:rsidRDefault="00644408" w:rsidP="007A21AA">
      <w:pPr>
        <w:pStyle w:val="31"/>
        <w:spacing w:line="400" w:lineRule="exact"/>
        <w:rPr>
          <w:color w:val="auto"/>
          <w:rtl/>
        </w:rPr>
      </w:pPr>
      <w:r w:rsidRPr="00904FCB">
        <w:rPr>
          <w:rFonts w:hint="cs"/>
          <w:color w:val="auto"/>
          <w:rtl/>
        </w:rPr>
        <w:t xml:space="preserve">ب ـ المنهج العقليّ </w:t>
      </w:r>
    </w:p>
    <w:p w:rsidR="00644408" w:rsidRPr="00904FCB" w:rsidRDefault="00644408" w:rsidP="007A21AA">
      <w:pPr>
        <w:spacing w:line="400" w:lineRule="exact"/>
        <w:rPr>
          <w:sz w:val="27"/>
          <w:rtl/>
        </w:rPr>
      </w:pPr>
      <w:r w:rsidRPr="00904FCB">
        <w:rPr>
          <w:rFonts w:hint="cs"/>
          <w:sz w:val="27"/>
          <w:rtl/>
        </w:rPr>
        <w:t>وهو الآخر كان له حضور في ثنايا البحث، وإن</w:t>
      </w:r>
      <w:r w:rsidR="00E55265" w:rsidRPr="00904FCB">
        <w:rPr>
          <w:rFonts w:hint="cs"/>
          <w:sz w:val="27"/>
          <w:rtl/>
        </w:rPr>
        <w:t>ْ</w:t>
      </w:r>
      <w:r w:rsidRPr="00904FCB">
        <w:rPr>
          <w:rFonts w:hint="cs"/>
          <w:sz w:val="27"/>
          <w:rtl/>
        </w:rPr>
        <w:t xml:space="preserve"> كان حضوره </w:t>
      </w:r>
      <w:r w:rsidR="00E55265" w:rsidRPr="00904FCB">
        <w:rPr>
          <w:rFonts w:hint="cs"/>
          <w:sz w:val="27"/>
          <w:rtl/>
        </w:rPr>
        <w:t xml:space="preserve">ـ </w:t>
      </w:r>
      <w:r w:rsidRPr="00904FCB">
        <w:rPr>
          <w:rFonts w:hint="cs"/>
          <w:sz w:val="27"/>
          <w:rtl/>
        </w:rPr>
        <w:t>إذا ما قيس بالمنهج المتقد</w:t>
      </w:r>
      <w:r w:rsidR="00E55265" w:rsidRPr="00904FCB">
        <w:rPr>
          <w:rFonts w:hint="cs"/>
          <w:sz w:val="27"/>
          <w:rtl/>
        </w:rPr>
        <w:t>ِّ</w:t>
      </w:r>
      <w:r w:rsidRPr="00904FCB">
        <w:rPr>
          <w:rFonts w:hint="cs"/>
          <w:sz w:val="27"/>
          <w:rtl/>
        </w:rPr>
        <w:t xml:space="preserve">م </w:t>
      </w:r>
      <w:r w:rsidR="00E55265" w:rsidRPr="00904FCB">
        <w:rPr>
          <w:rFonts w:hint="cs"/>
          <w:sz w:val="27"/>
          <w:rtl/>
        </w:rPr>
        <w:t xml:space="preserve">ـ </w:t>
      </w:r>
      <w:r w:rsidRPr="00904FCB">
        <w:rPr>
          <w:rFonts w:hint="cs"/>
          <w:sz w:val="27"/>
          <w:rtl/>
        </w:rPr>
        <w:t>أقل</w:t>
      </w:r>
      <w:r w:rsidR="00E55265" w:rsidRPr="00904FCB">
        <w:rPr>
          <w:rFonts w:hint="cs"/>
          <w:sz w:val="27"/>
          <w:rtl/>
        </w:rPr>
        <w:t>ّ.</w:t>
      </w:r>
      <w:r w:rsidRPr="00904FCB">
        <w:rPr>
          <w:rFonts w:hint="cs"/>
          <w:sz w:val="27"/>
          <w:rtl/>
        </w:rPr>
        <w:t xml:space="preserve"> ويتمثّ</w:t>
      </w:r>
      <w:r w:rsidR="00E55265" w:rsidRPr="00904FCB">
        <w:rPr>
          <w:rFonts w:hint="cs"/>
          <w:sz w:val="27"/>
          <w:rtl/>
        </w:rPr>
        <w:t>َ</w:t>
      </w:r>
      <w:r w:rsidRPr="00904FCB">
        <w:rPr>
          <w:rFonts w:hint="cs"/>
          <w:sz w:val="27"/>
          <w:rtl/>
        </w:rPr>
        <w:t xml:space="preserve">ل هذا المنهج بـ: </w:t>
      </w:r>
    </w:p>
    <w:p w:rsidR="00644408" w:rsidRPr="00904FCB" w:rsidRDefault="00644408" w:rsidP="008740CD">
      <w:pPr>
        <w:spacing w:line="400" w:lineRule="exact"/>
        <w:rPr>
          <w:sz w:val="27"/>
          <w:rtl/>
        </w:rPr>
      </w:pPr>
      <w:r w:rsidRPr="00DB1447">
        <w:rPr>
          <w:rFonts w:hint="cs"/>
          <w:b/>
          <w:bCs/>
          <w:sz w:val="27"/>
          <w:rtl/>
        </w:rPr>
        <w:t>1ـ الإلزام</w:t>
      </w:r>
      <w:r w:rsidR="00E55265" w:rsidRPr="00DB1447">
        <w:rPr>
          <w:rFonts w:hint="cs"/>
          <w:sz w:val="27"/>
          <w:rtl/>
        </w:rPr>
        <w:t>.</w:t>
      </w:r>
      <w:r w:rsidRPr="00DB1447">
        <w:rPr>
          <w:rFonts w:hint="cs"/>
          <w:sz w:val="27"/>
          <w:rtl/>
        </w:rPr>
        <w:t xml:space="preserve"> فحين ساق في الأثناء بعض الروايات التي تدور بين التشبيه والتجوير</w:t>
      </w:r>
      <w:r w:rsidR="003F7489" w:rsidRPr="00DB1447">
        <w:rPr>
          <w:rFonts w:hint="cs"/>
          <w:sz w:val="27"/>
          <w:rtl/>
        </w:rPr>
        <w:t>،</w:t>
      </w:r>
      <w:r w:rsidRPr="00904FCB">
        <w:rPr>
          <w:rFonts w:hint="cs"/>
          <w:sz w:val="27"/>
          <w:rtl/>
        </w:rPr>
        <w:t xml:space="preserve"> </w:t>
      </w:r>
      <w:r w:rsidR="003F7489" w:rsidRPr="00904FCB">
        <w:rPr>
          <w:rFonts w:hint="cs"/>
          <w:sz w:val="27"/>
          <w:rtl/>
        </w:rPr>
        <w:t>وبعض</w:t>
      </w:r>
      <w:r w:rsidRPr="00904FCB">
        <w:rPr>
          <w:rFonts w:hint="cs"/>
          <w:sz w:val="27"/>
          <w:rtl/>
        </w:rPr>
        <w:t xml:space="preserve"> الروايات التي تتطاول على مقام الأنبياء</w:t>
      </w:r>
      <w:r w:rsidR="008740CD">
        <w:rPr>
          <w:rFonts w:hint="cs"/>
          <w:sz w:val="27"/>
          <w:rtl/>
        </w:rPr>
        <w:t>،</w:t>
      </w:r>
      <w:r w:rsidRPr="00904FCB">
        <w:rPr>
          <w:rFonts w:hint="cs"/>
          <w:sz w:val="27"/>
          <w:rtl/>
        </w:rPr>
        <w:t xml:space="preserve"> فترميهم بالتعش</w:t>
      </w:r>
      <w:r w:rsidR="00E55265" w:rsidRPr="00904FCB">
        <w:rPr>
          <w:rFonts w:hint="cs"/>
          <w:sz w:val="27"/>
          <w:rtl/>
        </w:rPr>
        <w:t>ُّ</w:t>
      </w:r>
      <w:r w:rsidRPr="00904FCB">
        <w:rPr>
          <w:rFonts w:hint="cs"/>
          <w:sz w:val="27"/>
          <w:rtl/>
        </w:rPr>
        <w:t>ق والزنا، والتي عد</w:t>
      </w:r>
      <w:r w:rsidR="00E55265" w:rsidRPr="00904FCB">
        <w:rPr>
          <w:rFonts w:hint="cs"/>
          <w:sz w:val="27"/>
          <w:rtl/>
        </w:rPr>
        <w:t>َّ</w:t>
      </w:r>
      <w:r w:rsidRPr="00904FCB">
        <w:rPr>
          <w:rFonts w:hint="cs"/>
          <w:sz w:val="27"/>
          <w:rtl/>
        </w:rPr>
        <w:t>ها المؤل</w:t>
      </w:r>
      <w:r w:rsidR="003F7489" w:rsidRPr="00904FCB">
        <w:rPr>
          <w:rFonts w:hint="cs"/>
          <w:sz w:val="27"/>
          <w:rtl/>
        </w:rPr>
        <w:t>ِّ</w:t>
      </w:r>
      <w:r w:rsidRPr="00904FCB">
        <w:rPr>
          <w:rFonts w:hint="cs"/>
          <w:sz w:val="27"/>
          <w:rtl/>
        </w:rPr>
        <w:t>ف أشهر من روايات السهو</w:t>
      </w:r>
      <w:r w:rsidR="00E55265" w:rsidRPr="00904FCB">
        <w:rPr>
          <w:rFonts w:hint="cs"/>
          <w:sz w:val="27"/>
          <w:rtl/>
        </w:rPr>
        <w:t>،</w:t>
      </w:r>
      <w:r w:rsidRPr="00904FCB">
        <w:rPr>
          <w:rFonts w:hint="cs"/>
          <w:sz w:val="27"/>
          <w:rtl/>
        </w:rPr>
        <w:t xml:space="preserve"> قال: فيجب على الشيخ أن يدين الله بكل</w:t>
      </w:r>
      <w:r w:rsidR="003F7489" w:rsidRPr="00904FCB">
        <w:rPr>
          <w:rFonts w:hint="cs"/>
          <w:sz w:val="27"/>
          <w:rtl/>
        </w:rPr>
        <w:t>ّ</w:t>
      </w:r>
      <w:r w:rsidRPr="00904FCB">
        <w:rPr>
          <w:rFonts w:hint="cs"/>
          <w:sz w:val="27"/>
          <w:rtl/>
        </w:rPr>
        <w:t xml:space="preserve"> ما تضم</w:t>
      </w:r>
      <w:r w:rsidR="00E55265" w:rsidRPr="00904FCB">
        <w:rPr>
          <w:rFonts w:hint="cs"/>
          <w:sz w:val="27"/>
          <w:rtl/>
        </w:rPr>
        <w:t>َّ</w:t>
      </w:r>
      <w:r w:rsidRPr="00904FCB">
        <w:rPr>
          <w:rFonts w:hint="cs"/>
          <w:sz w:val="27"/>
          <w:rtl/>
        </w:rPr>
        <w:t>نته هذه الروايات؛ ليخرج بذلك عن الغلو</w:t>
      </w:r>
      <w:r w:rsidR="003F7489" w:rsidRPr="00904FCB">
        <w:rPr>
          <w:rFonts w:hint="cs"/>
          <w:sz w:val="27"/>
          <w:rtl/>
        </w:rPr>
        <w:t>ّ</w:t>
      </w:r>
      <w:r w:rsidRPr="00904FCB">
        <w:rPr>
          <w:rFonts w:hint="cs"/>
          <w:sz w:val="27"/>
          <w:rtl/>
        </w:rPr>
        <w:t xml:space="preserve"> على ما اد</w:t>
      </w:r>
      <w:r w:rsidR="003F7489" w:rsidRPr="00904FCB">
        <w:rPr>
          <w:rFonts w:hint="cs"/>
          <w:sz w:val="27"/>
          <w:rtl/>
        </w:rPr>
        <w:t>ّ</w:t>
      </w:r>
      <w:r w:rsidRPr="00904FCB">
        <w:rPr>
          <w:rFonts w:hint="cs"/>
          <w:sz w:val="27"/>
          <w:rtl/>
        </w:rPr>
        <w:t>عاه</w:t>
      </w:r>
      <w:r w:rsidR="003F7489" w:rsidRPr="00904FCB">
        <w:rPr>
          <w:rFonts w:hint="cs"/>
          <w:sz w:val="27"/>
          <w:rtl/>
        </w:rPr>
        <w:t>.</w:t>
      </w:r>
      <w:r w:rsidRPr="00904FCB">
        <w:rPr>
          <w:rFonts w:hint="cs"/>
          <w:sz w:val="27"/>
          <w:rtl/>
        </w:rPr>
        <w:t xml:space="preserve"> فإن</w:t>
      </w:r>
      <w:r w:rsidR="003F7489" w:rsidRPr="00904FCB">
        <w:rPr>
          <w:rFonts w:hint="cs"/>
          <w:sz w:val="27"/>
          <w:rtl/>
        </w:rPr>
        <w:t>ْ</w:t>
      </w:r>
      <w:r w:rsidRPr="00904FCB">
        <w:rPr>
          <w:rFonts w:hint="cs"/>
          <w:sz w:val="27"/>
          <w:rtl/>
        </w:rPr>
        <w:t xml:space="preserve"> دان بها خرج عن التوحيد والش</w:t>
      </w:r>
      <w:r w:rsidR="003F7489" w:rsidRPr="00904FCB">
        <w:rPr>
          <w:rFonts w:hint="cs"/>
          <w:sz w:val="27"/>
          <w:rtl/>
        </w:rPr>
        <w:t>َّ</w:t>
      </w:r>
      <w:r w:rsidRPr="00904FCB">
        <w:rPr>
          <w:rFonts w:hint="cs"/>
          <w:sz w:val="27"/>
          <w:rtl/>
        </w:rPr>
        <w:t>ر</w:t>
      </w:r>
      <w:r w:rsidR="003F7489" w:rsidRPr="00904FCB">
        <w:rPr>
          <w:rFonts w:hint="cs"/>
          <w:sz w:val="27"/>
          <w:rtl/>
        </w:rPr>
        <w:t>ْ</w:t>
      </w:r>
      <w:r w:rsidRPr="00904FCB">
        <w:rPr>
          <w:rFonts w:hint="cs"/>
          <w:sz w:val="27"/>
          <w:rtl/>
        </w:rPr>
        <w:t>ع</w:t>
      </w:r>
      <w:r w:rsidR="003F7489" w:rsidRPr="00904FCB">
        <w:rPr>
          <w:rFonts w:hint="cs"/>
          <w:sz w:val="27"/>
          <w:rtl/>
        </w:rPr>
        <w:t>؛</w:t>
      </w:r>
      <w:r w:rsidRPr="00904FCB">
        <w:rPr>
          <w:rFonts w:hint="cs"/>
          <w:sz w:val="27"/>
          <w:rtl/>
        </w:rPr>
        <w:t xml:space="preserve"> وإن</w:t>
      </w:r>
      <w:r w:rsidR="003F7489" w:rsidRPr="00904FCB">
        <w:rPr>
          <w:rFonts w:hint="cs"/>
          <w:sz w:val="27"/>
          <w:rtl/>
        </w:rPr>
        <w:t>ْ</w:t>
      </w:r>
      <w:r w:rsidRPr="00904FCB">
        <w:rPr>
          <w:rFonts w:hint="cs"/>
          <w:sz w:val="27"/>
          <w:rtl/>
        </w:rPr>
        <w:t xml:space="preserve"> ردها ناقض في اعتلاله. </w:t>
      </w:r>
    </w:p>
    <w:p w:rsidR="00644408" w:rsidRPr="00904FCB" w:rsidRDefault="00644408" w:rsidP="007A21AA">
      <w:pPr>
        <w:spacing w:line="400" w:lineRule="exact"/>
        <w:rPr>
          <w:sz w:val="27"/>
          <w:rtl/>
        </w:rPr>
      </w:pPr>
      <w:r w:rsidRPr="00DB1447">
        <w:rPr>
          <w:rFonts w:hint="cs"/>
          <w:b/>
          <w:bCs/>
          <w:sz w:val="27"/>
          <w:rtl/>
        </w:rPr>
        <w:t>2ـ السهو نقص</w:t>
      </w:r>
      <w:r w:rsidR="008740CD" w:rsidRPr="00DB1447">
        <w:rPr>
          <w:rFonts w:hint="cs"/>
          <w:b/>
          <w:bCs/>
          <w:sz w:val="27"/>
          <w:rtl/>
        </w:rPr>
        <w:t>ٌ</w:t>
      </w:r>
      <w:r w:rsidRPr="00DB1447">
        <w:rPr>
          <w:rFonts w:hint="cs"/>
          <w:b/>
          <w:bCs/>
          <w:sz w:val="27"/>
          <w:rtl/>
        </w:rPr>
        <w:t xml:space="preserve"> وعيب</w:t>
      </w:r>
      <w:r w:rsidR="003F7489" w:rsidRPr="00DB1447">
        <w:rPr>
          <w:rFonts w:hint="cs"/>
          <w:sz w:val="27"/>
          <w:rtl/>
        </w:rPr>
        <w:t>.</w:t>
      </w:r>
      <w:r w:rsidRPr="00DB1447">
        <w:rPr>
          <w:rFonts w:hint="cs"/>
          <w:sz w:val="27"/>
          <w:rtl/>
        </w:rPr>
        <w:t xml:space="preserve"> قال: وليس كذلك السهو؛ لأن</w:t>
      </w:r>
      <w:r w:rsidR="003F7489" w:rsidRPr="00DB1447">
        <w:rPr>
          <w:rFonts w:hint="cs"/>
          <w:sz w:val="27"/>
          <w:rtl/>
        </w:rPr>
        <w:t>ه</w:t>
      </w:r>
      <w:r w:rsidRPr="00DB1447">
        <w:rPr>
          <w:rFonts w:hint="cs"/>
          <w:sz w:val="27"/>
          <w:rtl/>
        </w:rPr>
        <w:t xml:space="preserve"> نقص</w:t>
      </w:r>
      <w:r w:rsidR="003F7489" w:rsidRPr="00DB1447">
        <w:rPr>
          <w:rFonts w:hint="cs"/>
          <w:sz w:val="27"/>
          <w:rtl/>
        </w:rPr>
        <w:t>ٌ</w:t>
      </w:r>
      <w:r w:rsidRPr="00DB1447">
        <w:rPr>
          <w:rFonts w:hint="cs"/>
          <w:sz w:val="27"/>
          <w:rtl/>
        </w:rPr>
        <w:t xml:space="preserve"> عن الكمال في</w:t>
      </w:r>
      <w:r w:rsidRPr="00904FCB">
        <w:rPr>
          <w:rFonts w:hint="cs"/>
          <w:sz w:val="27"/>
          <w:rtl/>
        </w:rPr>
        <w:t xml:space="preserve"> الإنسان، وهو عيب</w:t>
      </w:r>
      <w:r w:rsidR="008740CD">
        <w:rPr>
          <w:rFonts w:hint="cs"/>
          <w:sz w:val="27"/>
          <w:rtl/>
        </w:rPr>
        <w:t>ٌ</w:t>
      </w:r>
      <w:r w:rsidRPr="00904FCB">
        <w:rPr>
          <w:rFonts w:hint="cs"/>
          <w:sz w:val="27"/>
          <w:rtl/>
        </w:rPr>
        <w:t xml:space="preserve"> يختص</w:t>
      </w:r>
      <w:r w:rsidR="003F7489" w:rsidRPr="00904FCB">
        <w:rPr>
          <w:rFonts w:hint="cs"/>
          <w:sz w:val="27"/>
          <w:rtl/>
        </w:rPr>
        <w:t>ّ</w:t>
      </w:r>
      <w:r w:rsidRPr="00904FCB">
        <w:rPr>
          <w:rFonts w:hint="cs"/>
          <w:sz w:val="27"/>
          <w:rtl/>
        </w:rPr>
        <w:t xml:space="preserve"> به م</w:t>
      </w:r>
      <w:r w:rsidR="003F7489" w:rsidRPr="00904FCB">
        <w:rPr>
          <w:rFonts w:hint="cs"/>
          <w:sz w:val="27"/>
          <w:rtl/>
        </w:rPr>
        <w:t>َ</w:t>
      </w:r>
      <w:r w:rsidRPr="00904FCB">
        <w:rPr>
          <w:rFonts w:hint="cs"/>
          <w:sz w:val="27"/>
          <w:rtl/>
        </w:rPr>
        <w:t>ن</w:t>
      </w:r>
      <w:r w:rsidR="003F7489" w:rsidRPr="00904FCB">
        <w:rPr>
          <w:rFonts w:hint="cs"/>
          <w:sz w:val="27"/>
          <w:rtl/>
        </w:rPr>
        <w:t>ْ</w:t>
      </w:r>
      <w:r w:rsidRPr="00904FCB">
        <w:rPr>
          <w:rFonts w:hint="cs"/>
          <w:sz w:val="27"/>
          <w:rtl/>
        </w:rPr>
        <w:t xml:space="preserve"> اعتراه. </w:t>
      </w:r>
    </w:p>
    <w:p w:rsidR="00644408" w:rsidRPr="00904FCB" w:rsidRDefault="00644408" w:rsidP="007A21AA">
      <w:pPr>
        <w:spacing w:line="400" w:lineRule="exact"/>
        <w:rPr>
          <w:sz w:val="27"/>
          <w:rtl/>
        </w:rPr>
      </w:pPr>
      <w:r w:rsidRPr="00DB1447">
        <w:rPr>
          <w:rFonts w:hint="cs"/>
          <w:b/>
          <w:bCs/>
          <w:sz w:val="27"/>
          <w:rtl/>
        </w:rPr>
        <w:t>3ـ دليل</w:t>
      </w:r>
      <w:r w:rsidRPr="00904FCB">
        <w:rPr>
          <w:rFonts w:hint="cs"/>
          <w:b/>
          <w:bCs/>
          <w:sz w:val="27"/>
          <w:rtl/>
        </w:rPr>
        <w:t xml:space="preserve"> القدوة</w:t>
      </w:r>
      <w:r w:rsidR="003F7489" w:rsidRPr="00904FCB">
        <w:rPr>
          <w:rFonts w:hint="cs"/>
          <w:sz w:val="27"/>
          <w:rtl/>
        </w:rPr>
        <w:t>.</w:t>
      </w:r>
      <w:r w:rsidRPr="00904FCB">
        <w:rPr>
          <w:rFonts w:hint="cs"/>
          <w:sz w:val="27"/>
          <w:rtl/>
        </w:rPr>
        <w:t xml:space="preserve"> قال: لو جاز أن يسهو النبي</w:t>
      </w:r>
      <w:r w:rsidR="003F7489" w:rsidRPr="00904FCB">
        <w:rPr>
          <w:rFonts w:hint="cs"/>
          <w:sz w:val="27"/>
          <w:rtl/>
        </w:rPr>
        <w:t>ّ</w:t>
      </w:r>
      <w:r w:rsidR="001C1A2A" w:rsidRPr="00904FCB">
        <w:rPr>
          <w:rFonts w:cs="Mosawi" w:hint="cs"/>
          <w:sz w:val="27"/>
          <w:szCs w:val="22"/>
          <w:rtl/>
        </w:rPr>
        <w:t>×</w:t>
      </w:r>
      <w:r w:rsidRPr="00904FCB">
        <w:rPr>
          <w:rFonts w:hint="cs"/>
          <w:sz w:val="27"/>
          <w:rtl/>
        </w:rPr>
        <w:t xml:space="preserve"> في صلاته، وهو قدوة</w:t>
      </w:r>
      <w:r w:rsidR="003F7489" w:rsidRPr="00904FCB">
        <w:rPr>
          <w:rFonts w:hint="cs"/>
          <w:sz w:val="27"/>
          <w:rtl/>
        </w:rPr>
        <w:t>ٌ</w:t>
      </w:r>
      <w:r w:rsidRPr="00904FCB">
        <w:rPr>
          <w:rFonts w:hint="cs"/>
          <w:sz w:val="27"/>
          <w:rtl/>
        </w:rPr>
        <w:t xml:space="preserve"> فيها، حت</w:t>
      </w:r>
      <w:r w:rsidR="003F7489" w:rsidRPr="00904FCB">
        <w:rPr>
          <w:rFonts w:hint="cs"/>
          <w:sz w:val="27"/>
          <w:rtl/>
        </w:rPr>
        <w:t>ّ</w:t>
      </w:r>
      <w:r w:rsidRPr="00904FCB">
        <w:rPr>
          <w:rFonts w:hint="cs"/>
          <w:sz w:val="27"/>
          <w:rtl/>
        </w:rPr>
        <w:t>ى يسل</w:t>
      </w:r>
      <w:r w:rsidR="003F7489" w:rsidRPr="00904FCB">
        <w:rPr>
          <w:rFonts w:hint="cs"/>
          <w:sz w:val="27"/>
          <w:rtl/>
        </w:rPr>
        <w:t>ِّ</w:t>
      </w:r>
      <w:r w:rsidRPr="00904FCB">
        <w:rPr>
          <w:rFonts w:hint="cs"/>
          <w:sz w:val="27"/>
          <w:rtl/>
        </w:rPr>
        <w:t>م قبل تمامها</w:t>
      </w:r>
      <w:r w:rsidR="003F7489" w:rsidRPr="00904FCB">
        <w:rPr>
          <w:rFonts w:hint="cs"/>
          <w:sz w:val="27"/>
          <w:rtl/>
        </w:rPr>
        <w:t>،</w:t>
      </w:r>
      <w:r w:rsidRPr="00904FCB">
        <w:rPr>
          <w:rFonts w:hint="cs"/>
          <w:sz w:val="27"/>
          <w:rtl/>
        </w:rPr>
        <w:t xml:space="preserve"> وينصرف عنها قبل كمالها، ويشهد الناس ذلك فيه</w:t>
      </w:r>
      <w:r w:rsidR="003F7489" w:rsidRPr="00904FCB">
        <w:rPr>
          <w:rFonts w:hint="cs"/>
          <w:sz w:val="27"/>
          <w:rtl/>
        </w:rPr>
        <w:t>،</w:t>
      </w:r>
      <w:r w:rsidRPr="00904FCB">
        <w:rPr>
          <w:rFonts w:hint="cs"/>
          <w:sz w:val="27"/>
          <w:rtl/>
        </w:rPr>
        <w:t xml:space="preserve"> ويحيطوا به علماً من جهته</w:t>
      </w:r>
      <w:r w:rsidR="003F7489" w:rsidRPr="00904FCB">
        <w:rPr>
          <w:rFonts w:hint="cs"/>
          <w:sz w:val="27"/>
          <w:rtl/>
        </w:rPr>
        <w:t>،</w:t>
      </w:r>
      <w:r w:rsidRPr="00904FCB">
        <w:rPr>
          <w:rFonts w:hint="cs"/>
          <w:sz w:val="27"/>
          <w:rtl/>
        </w:rPr>
        <w:t xml:space="preserve"> لجاز أن يسهو في الصيام... </w:t>
      </w:r>
    </w:p>
    <w:p w:rsidR="00644408" w:rsidRPr="00904FCB" w:rsidRDefault="00644408" w:rsidP="007A21AA">
      <w:pPr>
        <w:spacing w:line="400" w:lineRule="exact"/>
        <w:rPr>
          <w:sz w:val="27"/>
          <w:rtl/>
        </w:rPr>
      </w:pPr>
    </w:p>
    <w:p w:rsidR="00644408" w:rsidRPr="00904FCB" w:rsidRDefault="00644408" w:rsidP="007A21AA">
      <w:pPr>
        <w:pStyle w:val="31"/>
        <w:spacing w:line="400" w:lineRule="exact"/>
        <w:rPr>
          <w:color w:val="auto"/>
          <w:rtl/>
        </w:rPr>
      </w:pPr>
      <w:r w:rsidRPr="00DB1447">
        <w:rPr>
          <w:rFonts w:hint="cs"/>
          <w:color w:val="auto"/>
          <w:rtl/>
        </w:rPr>
        <w:t>7ـ أسلوب</w:t>
      </w:r>
      <w:r w:rsidRPr="00904FCB">
        <w:rPr>
          <w:rFonts w:hint="cs"/>
          <w:color w:val="auto"/>
          <w:rtl/>
        </w:rPr>
        <w:t xml:space="preserve"> المؤل</w:t>
      </w:r>
      <w:r w:rsidR="003F7489" w:rsidRPr="00904FCB">
        <w:rPr>
          <w:rFonts w:hint="cs"/>
          <w:color w:val="auto"/>
          <w:rtl/>
        </w:rPr>
        <w:t>ِّ</w:t>
      </w:r>
      <w:r w:rsidRPr="00904FCB">
        <w:rPr>
          <w:rFonts w:hint="cs"/>
          <w:color w:val="auto"/>
          <w:rtl/>
        </w:rPr>
        <w:t xml:space="preserve">ف في الرسالة </w:t>
      </w:r>
    </w:p>
    <w:p w:rsidR="00644408" w:rsidRPr="00904FCB" w:rsidRDefault="00644408" w:rsidP="007A21AA">
      <w:pPr>
        <w:spacing w:line="400" w:lineRule="exact"/>
        <w:rPr>
          <w:sz w:val="27"/>
          <w:rtl/>
        </w:rPr>
      </w:pPr>
      <w:r w:rsidRPr="00904FCB">
        <w:rPr>
          <w:rFonts w:hint="cs"/>
          <w:sz w:val="27"/>
          <w:rtl/>
        </w:rPr>
        <w:t>من الملفت للنظر في هذه الرسالة هو أنّ المؤل</w:t>
      </w:r>
      <w:r w:rsidR="003F7489" w:rsidRPr="00904FCB">
        <w:rPr>
          <w:rFonts w:hint="cs"/>
          <w:sz w:val="27"/>
          <w:rtl/>
        </w:rPr>
        <w:t>ِّ</w:t>
      </w:r>
      <w:r w:rsidRPr="00904FCB">
        <w:rPr>
          <w:rFonts w:hint="cs"/>
          <w:sz w:val="27"/>
          <w:rtl/>
        </w:rPr>
        <w:t xml:space="preserve">ف </w:t>
      </w:r>
      <w:r w:rsidR="003F7489" w:rsidRPr="00904FCB">
        <w:rPr>
          <w:rFonts w:hint="cs"/>
          <w:sz w:val="27"/>
          <w:rtl/>
        </w:rPr>
        <w:t>استخدم</w:t>
      </w:r>
      <w:r w:rsidRPr="00904FCB">
        <w:rPr>
          <w:rFonts w:hint="cs"/>
          <w:sz w:val="27"/>
          <w:rtl/>
        </w:rPr>
        <w:t xml:space="preserve"> بعض العبارات الجارحة بحق</w:t>
      </w:r>
      <w:r w:rsidR="003F7489" w:rsidRPr="00904FCB">
        <w:rPr>
          <w:rFonts w:hint="cs"/>
          <w:sz w:val="27"/>
          <w:rtl/>
        </w:rPr>
        <w:t>ّ</w:t>
      </w:r>
      <w:r w:rsidRPr="00904FCB">
        <w:rPr>
          <w:rFonts w:hint="cs"/>
          <w:sz w:val="27"/>
          <w:rtl/>
        </w:rPr>
        <w:t xml:space="preserve"> واحد</w:t>
      </w:r>
      <w:r w:rsidR="003F7489" w:rsidRPr="00904FCB">
        <w:rPr>
          <w:rFonts w:hint="cs"/>
          <w:sz w:val="27"/>
          <w:rtl/>
        </w:rPr>
        <w:t>ٍ</w:t>
      </w:r>
      <w:r w:rsidRPr="00904FCB">
        <w:rPr>
          <w:rFonts w:hint="cs"/>
          <w:sz w:val="27"/>
          <w:rtl/>
        </w:rPr>
        <w:t xml:space="preserve"> من أعاظم محد</w:t>
      </w:r>
      <w:r w:rsidR="003F7489" w:rsidRPr="00904FCB">
        <w:rPr>
          <w:rFonts w:hint="cs"/>
          <w:sz w:val="27"/>
          <w:rtl/>
        </w:rPr>
        <w:t>ِّ</w:t>
      </w:r>
      <w:r w:rsidRPr="00904FCB">
        <w:rPr>
          <w:rFonts w:hint="cs"/>
          <w:sz w:val="27"/>
          <w:rtl/>
        </w:rPr>
        <w:t xml:space="preserve">ثي الشيعة في وقته، </w:t>
      </w:r>
      <w:r w:rsidR="003F7489" w:rsidRPr="00904FCB">
        <w:rPr>
          <w:rFonts w:hint="cs"/>
          <w:sz w:val="27"/>
          <w:rtl/>
        </w:rPr>
        <w:t>و</w:t>
      </w:r>
      <w:r w:rsidRPr="00904FCB">
        <w:rPr>
          <w:rFonts w:hint="cs"/>
          <w:sz w:val="27"/>
          <w:rtl/>
        </w:rPr>
        <w:t>لم يتحاش</w:t>
      </w:r>
      <w:r w:rsidR="003F7489" w:rsidRPr="00904FCB">
        <w:rPr>
          <w:rFonts w:hint="cs"/>
          <w:sz w:val="27"/>
          <w:rtl/>
        </w:rPr>
        <w:t>َ</w:t>
      </w:r>
      <w:r w:rsidRPr="00904FCB">
        <w:rPr>
          <w:rFonts w:hint="cs"/>
          <w:sz w:val="27"/>
          <w:rtl/>
        </w:rPr>
        <w:t xml:space="preserve"> في سبيل ذلك</w:t>
      </w:r>
      <w:r w:rsidR="003F7489" w:rsidRPr="00904FCB">
        <w:rPr>
          <w:rFonts w:hint="cs"/>
          <w:sz w:val="27"/>
          <w:rtl/>
        </w:rPr>
        <w:t>،</w:t>
      </w:r>
      <w:r w:rsidRPr="00904FCB">
        <w:rPr>
          <w:rFonts w:hint="cs"/>
          <w:sz w:val="27"/>
          <w:rtl/>
        </w:rPr>
        <w:t xml:space="preserve"> أو يحاول التخفيف من حد</w:t>
      </w:r>
      <w:r w:rsidR="003F7489" w:rsidRPr="00904FCB">
        <w:rPr>
          <w:rFonts w:hint="cs"/>
          <w:sz w:val="27"/>
          <w:rtl/>
        </w:rPr>
        <w:t>ّ</w:t>
      </w:r>
      <w:r w:rsidRPr="00904FCB">
        <w:rPr>
          <w:rFonts w:hint="cs"/>
          <w:sz w:val="27"/>
          <w:rtl/>
        </w:rPr>
        <w:t>ة ذلك اللون من التهج</w:t>
      </w:r>
      <w:r w:rsidR="003F7489" w:rsidRPr="00904FCB">
        <w:rPr>
          <w:rFonts w:hint="cs"/>
          <w:sz w:val="27"/>
          <w:rtl/>
        </w:rPr>
        <w:t>ُّ</w:t>
      </w:r>
      <w:r w:rsidRPr="00904FCB">
        <w:rPr>
          <w:rFonts w:hint="cs"/>
          <w:sz w:val="27"/>
          <w:rtl/>
        </w:rPr>
        <w:t>مات الصارخة</w:t>
      </w:r>
      <w:r w:rsidR="003F7489" w:rsidRPr="00904FCB">
        <w:rPr>
          <w:rFonts w:hint="cs"/>
          <w:sz w:val="27"/>
          <w:rtl/>
        </w:rPr>
        <w:t>،</w:t>
      </w:r>
      <w:r w:rsidRPr="00904FCB">
        <w:rPr>
          <w:rFonts w:hint="cs"/>
          <w:sz w:val="27"/>
          <w:rtl/>
        </w:rPr>
        <w:t xml:space="preserve"> التي لا مدخلية لها في التوص</w:t>
      </w:r>
      <w:r w:rsidR="008740CD">
        <w:rPr>
          <w:rFonts w:hint="cs"/>
          <w:sz w:val="27"/>
          <w:rtl/>
        </w:rPr>
        <w:t>ُّ</w:t>
      </w:r>
      <w:r w:rsidRPr="00904FCB">
        <w:rPr>
          <w:rFonts w:hint="cs"/>
          <w:sz w:val="27"/>
          <w:rtl/>
        </w:rPr>
        <w:t>ل إلى النتيجة التي يتوخ</w:t>
      </w:r>
      <w:r w:rsidR="003F7489" w:rsidRPr="00904FCB">
        <w:rPr>
          <w:rFonts w:hint="cs"/>
          <w:sz w:val="27"/>
          <w:rtl/>
        </w:rPr>
        <w:t>ّ</w:t>
      </w:r>
      <w:r w:rsidRPr="00904FCB">
        <w:rPr>
          <w:rFonts w:hint="cs"/>
          <w:sz w:val="27"/>
          <w:rtl/>
        </w:rPr>
        <w:t>ى المؤل</w:t>
      </w:r>
      <w:r w:rsidR="003F7489" w:rsidRPr="00904FCB">
        <w:rPr>
          <w:rFonts w:hint="cs"/>
          <w:sz w:val="27"/>
          <w:rtl/>
        </w:rPr>
        <w:t>ِّ</w:t>
      </w:r>
      <w:r w:rsidRPr="00904FCB">
        <w:rPr>
          <w:rFonts w:hint="cs"/>
          <w:sz w:val="27"/>
          <w:rtl/>
        </w:rPr>
        <w:t>ف الكشف عنها</w:t>
      </w:r>
      <w:r w:rsidR="003F7489" w:rsidRPr="00904FCB">
        <w:rPr>
          <w:rFonts w:hint="cs"/>
          <w:sz w:val="27"/>
          <w:rtl/>
        </w:rPr>
        <w:t>،</w:t>
      </w:r>
      <w:r w:rsidRPr="00904FCB">
        <w:rPr>
          <w:rFonts w:hint="cs"/>
          <w:sz w:val="27"/>
          <w:rtl/>
        </w:rPr>
        <w:t xml:space="preserve"> فهي لا </w:t>
      </w:r>
      <w:r w:rsidR="003F7489" w:rsidRPr="00904FCB">
        <w:rPr>
          <w:rFonts w:hint="cs"/>
          <w:sz w:val="27"/>
          <w:rtl/>
        </w:rPr>
        <w:t>تؤثِّر</w:t>
      </w:r>
      <w:r w:rsidRPr="00904FCB">
        <w:rPr>
          <w:rFonts w:hint="cs"/>
          <w:sz w:val="27"/>
          <w:rtl/>
        </w:rPr>
        <w:t xml:space="preserve"> من قريب</w:t>
      </w:r>
      <w:r w:rsidR="003F7489" w:rsidRPr="00904FCB">
        <w:rPr>
          <w:rFonts w:hint="cs"/>
          <w:sz w:val="27"/>
          <w:rtl/>
        </w:rPr>
        <w:t>ٍ</w:t>
      </w:r>
      <w:r w:rsidRPr="00904FCB">
        <w:rPr>
          <w:rFonts w:hint="cs"/>
          <w:sz w:val="27"/>
          <w:rtl/>
        </w:rPr>
        <w:t xml:space="preserve"> أو بعيد في تقريب وجه الحقيقة التي رام وضعها أمام ناظر السائل. فحتّى ال</w:t>
      </w:r>
      <w:r w:rsidR="003F7489" w:rsidRPr="00904FCB">
        <w:rPr>
          <w:rFonts w:hint="cs"/>
          <w:sz w:val="27"/>
          <w:rtl/>
        </w:rPr>
        <w:t>ا</w:t>
      </w:r>
      <w:r w:rsidRPr="00904FCB">
        <w:rPr>
          <w:rFonts w:hint="cs"/>
          <w:sz w:val="27"/>
          <w:rtl/>
        </w:rPr>
        <w:t>حتمال الذي أبداه الجبعيّ العامليّ</w:t>
      </w:r>
      <w:r w:rsidR="003F7489" w:rsidRPr="00904FCB">
        <w:rPr>
          <w:rFonts w:hint="cs"/>
          <w:sz w:val="27"/>
          <w:rtl/>
        </w:rPr>
        <w:t>،</w:t>
      </w:r>
      <w:r w:rsidRPr="00904FCB">
        <w:rPr>
          <w:rFonts w:hint="cs"/>
          <w:sz w:val="27"/>
          <w:rtl/>
        </w:rPr>
        <w:t xml:space="preserve"> بقوله: </w:t>
      </w:r>
      <w:r w:rsidRPr="00904FCB">
        <w:rPr>
          <w:rFonts w:hint="eastAsia"/>
          <w:sz w:val="27"/>
          <w:rtl/>
        </w:rPr>
        <w:t>«</w:t>
      </w:r>
      <w:r w:rsidRPr="00904FCB">
        <w:rPr>
          <w:rFonts w:hint="cs"/>
          <w:sz w:val="27"/>
          <w:rtl/>
        </w:rPr>
        <w:t>اللهم</w:t>
      </w:r>
      <w:r w:rsidR="003F7489" w:rsidRPr="00904FCB">
        <w:rPr>
          <w:rFonts w:hint="cs"/>
          <w:sz w:val="27"/>
          <w:rtl/>
        </w:rPr>
        <w:t>ّ</w:t>
      </w:r>
      <w:r w:rsidRPr="00904FCB">
        <w:rPr>
          <w:rFonts w:hint="cs"/>
          <w:sz w:val="27"/>
          <w:rtl/>
        </w:rPr>
        <w:t xml:space="preserve"> إلا</w:t>
      </w:r>
      <w:r w:rsidR="003F7489" w:rsidRPr="00904FCB">
        <w:rPr>
          <w:rFonts w:hint="cs"/>
          <w:sz w:val="27"/>
          <w:rtl/>
        </w:rPr>
        <w:t>ّ</w:t>
      </w:r>
      <w:r w:rsidRPr="00904FCB">
        <w:rPr>
          <w:rFonts w:hint="cs"/>
          <w:sz w:val="27"/>
          <w:rtl/>
        </w:rPr>
        <w:t xml:space="preserve"> أن يكون كلام الصدوق اقتضى المقام مقابلته بمثل ذلك</w:t>
      </w:r>
      <w:r w:rsidRPr="00904FCB">
        <w:rPr>
          <w:rFonts w:hint="eastAsia"/>
          <w:sz w:val="27"/>
          <w:rtl/>
        </w:rPr>
        <w:t>»</w:t>
      </w:r>
      <w:r w:rsidR="003F7489" w:rsidRPr="00904FCB">
        <w:rPr>
          <w:rFonts w:hint="cs"/>
          <w:sz w:val="27"/>
          <w:rtl/>
        </w:rPr>
        <w:t>،</w:t>
      </w:r>
      <w:r w:rsidRPr="00904FCB">
        <w:rPr>
          <w:rFonts w:hint="cs"/>
          <w:sz w:val="27"/>
          <w:rtl/>
        </w:rPr>
        <w:t xml:space="preserve"> هو الآخر لا يلقى التأييد الكافي في هذا المجال</w:t>
      </w:r>
      <w:r w:rsidR="003F7489" w:rsidRPr="00904FCB">
        <w:rPr>
          <w:rFonts w:hint="cs"/>
          <w:sz w:val="27"/>
          <w:rtl/>
        </w:rPr>
        <w:t>.</w:t>
      </w:r>
      <w:r w:rsidRPr="00904FCB">
        <w:rPr>
          <w:rFonts w:hint="cs"/>
          <w:sz w:val="27"/>
          <w:rtl/>
        </w:rPr>
        <w:t xml:space="preserve"> ويبقى السبيل الوحيد للتعرّف على المعرفة هو المعرفة نفسها، لا شيء غيرها</w:t>
      </w:r>
      <w:r w:rsidR="003F7489" w:rsidRPr="00904FCB">
        <w:rPr>
          <w:rFonts w:hint="cs"/>
          <w:sz w:val="27"/>
          <w:rtl/>
        </w:rPr>
        <w:t xml:space="preserve">. </w:t>
      </w:r>
      <w:r w:rsidRPr="00904FCB">
        <w:rPr>
          <w:rFonts w:hint="cs"/>
          <w:sz w:val="27"/>
          <w:rtl/>
        </w:rPr>
        <w:t>ومهما أثقلنا بحوثنا العلمية بالتعد</w:t>
      </w:r>
      <w:r w:rsidR="003F7489" w:rsidRPr="00904FCB">
        <w:rPr>
          <w:rFonts w:hint="cs"/>
          <w:sz w:val="27"/>
          <w:rtl/>
        </w:rPr>
        <w:t>ّ</w:t>
      </w:r>
      <w:r w:rsidRPr="00904FCB">
        <w:rPr>
          <w:rFonts w:hint="cs"/>
          <w:sz w:val="27"/>
          <w:rtl/>
        </w:rPr>
        <w:t>ي على الآخرين فلا نجني من ورائها ثمرة</w:t>
      </w:r>
      <w:r w:rsidR="003F7489" w:rsidRPr="00904FCB">
        <w:rPr>
          <w:rFonts w:hint="cs"/>
          <w:sz w:val="27"/>
          <w:rtl/>
        </w:rPr>
        <w:t>ً</w:t>
      </w:r>
      <w:r w:rsidRPr="00904FCB">
        <w:rPr>
          <w:rFonts w:hint="cs"/>
          <w:sz w:val="27"/>
          <w:rtl/>
        </w:rPr>
        <w:t xml:space="preserve"> تذكر</w:t>
      </w:r>
      <w:r w:rsidR="003F7489" w:rsidRPr="00904FCB">
        <w:rPr>
          <w:rFonts w:hint="cs"/>
          <w:sz w:val="27"/>
          <w:rtl/>
        </w:rPr>
        <w:t>.</w:t>
      </w:r>
      <w:r w:rsidRPr="00904FCB">
        <w:rPr>
          <w:rFonts w:hint="cs"/>
          <w:sz w:val="27"/>
          <w:rtl/>
        </w:rPr>
        <w:t xml:space="preserve"> فالعلم له حسابه</w:t>
      </w:r>
      <w:r w:rsidR="003F7489" w:rsidRPr="00904FCB">
        <w:rPr>
          <w:rFonts w:hint="cs"/>
          <w:sz w:val="27"/>
          <w:rtl/>
        </w:rPr>
        <w:t>،</w:t>
      </w:r>
      <w:r w:rsidRPr="00904FCB">
        <w:rPr>
          <w:rFonts w:hint="cs"/>
          <w:sz w:val="27"/>
          <w:rtl/>
        </w:rPr>
        <w:t xml:space="preserve"> والتعد</w:t>
      </w:r>
      <w:r w:rsidR="003F7489" w:rsidRPr="00904FCB">
        <w:rPr>
          <w:rFonts w:hint="cs"/>
          <w:sz w:val="27"/>
          <w:rtl/>
        </w:rPr>
        <w:t>ّ</w:t>
      </w:r>
      <w:r w:rsidRPr="00904FCB">
        <w:rPr>
          <w:rFonts w:hint="cs"/>
          <w:sz w:val="27"/>
          <w:rtl/>
        </w:rPr>
        <w:t xml:space="preserve">ي على الآخرين له </w:t>
      </w:r>
      <w:r w:rsidRPr="00904FCB">
        <w:rPr>
          <w:rFonts w:hint="cs"/>
          <w:sz w:val="27"/>
          <w:rtl/>
        </w:rPr>
        <w:lastRenderedPageBreak/>
        <w:t>حسابه هو الآخر</w:t>
      </w:r>
      <w:r w:rsidR="003F7489" w:rsidRPr="00904FCB">
        <w:rPr>
          <w:rFonts w:hint="cs"/>
          <w:sz w:val="27"/>
          <w:rtl/>
        </w:rPr>
        <w:t>، و</w:t>
      </w:r>
      <w:r w:rsidRPr="00904FCB">
        <w:rPr>
          <w:rFonts w:hint="cs"/>
          <w:sz w:val="27"/>
          <w:rtl/>
        </w:rPr>
        <w:t>لا يمت</w:t>
      </w:r>
      <w:r w:rsidR="003F7489" w:rsidRPr="00904FCB">
        <w:rPr>
          <w:rFonts w:hint="cs"/>
          <w:sz w:val="27"/>
          <w:rtl/>
        </w:rPr>
        <w:t>ّ</w:t>
      </w:r>
      <w:r w:rsidRPr="00904FCB">
        <w:rPr>
          <w:rFonts w:hint="cs"/>
          <w:sz w:val="27"/>
          <w:rtl/>
        </w:rPr>
        <w:t xml:space="preserve"> كل</w:t>
      </w:r>
      <w:r w:rsidR="003F7489" w:rsidRPr="00904FCB">
        <w:rPr>
          <w:rFonts w:hint="cs"/>
          <w:sz w:val="27"/>
          <w:rtl/>
        </w:rPr>
        <w:t>ٌّ</w:t>
      </w:r>
      <w:r w:rsidRPr="00904FCB">
        <w:rPr>
          <w:rFonts w:hint="cs"/>
          <w:sz w:val="27"/>
          <w:rtl/>
        </w:rPr>
        <w:t xml:space="preserve"> منهما إلى الآخر بصلة</w:t>
      </w:r>
      <w:r w:rsidR="003F7489" w:rsidRPr="00904FCB">
        <w:rPr>
          <w:rFonts w:hint="cs"/>
          <w:sz w:val="27"/>
          <w:rtl/>
        </w:rPr>
        <w:t>ٍ</w:t>
      </w:r>
      <w:r w:rsidRPr="00904FCB">
        <w:rPr>
          <w:rFonts w:hint="cs"/>
          <w:sz w:val="27"/>
          <w:rtl/>
        </w:rPr>
        <w:t xml:space="preserve">. </w:t>
      </w:r>
    </w:p>
    <w:p w:rsidR="00644408" w:rsidRPr="00904FCB" w:rsidRDefault="00644408" w:rsidP="0069123D">
      <w:pPr>
        <w:spacing w:line="400" w:lineRule="exact"/>
        <w:ind w:firstLine="561"/>
        <w:rPr>
          <w:sz w:val="27"/>
          <w:rtl/>
        </w:rPr>
      </w:pPr>
      <w:r w:rsidRPr="00904FCB">
        <w:rPr>
          <w:rFonts w:hint="cs"/>
          <w:sz w:val="27"/>
          <w:rtl/>
        </w:rPr>
        <w:t xml:space="preserve">وجاءت هذه العبارات على هذا النحو: </w:t>
      </w:r>
    </w:p>
    <w:p w:rsidR="00644408" w:rsidRPr="00904FCB" w:rsidRDefault="00644408" w:rsidP="0069123D">
      <w:pPr>
        <w:spacing w:line="400" w:lineRule="exact"/>
        <w:ind w:firstLine="561"/>
        <w:rPr>
          <w:sz w:val="27"/>
          <w:rtl/>
        </w:rPr>
      </w:pPr>
      <w:r w:rsidRPr="00DB1447">
        <w:rPr>
          <w:rFonts w:hint="cs"/>
          <w:sz w:val="27"/>
          <w:rtl/>
        </w:rPr>
        <w:t>1ـ قوله: إن الذي حكيت عنه ما حكيت</w:t>
      </w:r>
      <w:r w:rsidR="003F7489" w:rsidRPr="00DB1447">
        <w:rPr>
          <w:rFonts w:hint="cs"/>
          <w:sz w:val="27"/>
          <w:rtl/>
        </w:rPr>
        <w:t>،</w:t>
      </w:r>
      <w:r w:rsidRPr="00DB1447">
        <w:rPr>
          <w:rFonts w:hint="cs"/>
          <w:sz w:val="27"/>
          <w:rtl/>
        </w:rPr>
        <w:t xml:space="preserve"> مم</w:t>
      </w:r>
      <w:r w:rsidR="003F7489" w:rsidRPr="00DB1447">
        <w:rPr>
          <w:rFonts w:hint="cs"/>
          <w:sz w:val="27"/>
          <w:rtl/>
        </w:rPr>
        <w:t>ّ</w:t>
      </w:r>
      <w:r w:rsidRPr="00DB1447">
        <w:rPr>
          <w:rFonts w:hint="cs"/>
          <w:sz w:val="27"/>
          <w:rtl/>
        </w:rPr>
        <w:t>ا قد أثبتناه، قد تكل</w:t>
      </w:r>
      <w:r w:rsidR="003F7489" w:rsidRPr="00DB1447">
        <w:rPr>
          <w:rFonts w:hint="cs"/>
          <w:sz w:val="27"/>
          <w:rtl/>
        </w:rPr>
        <w:t>ّ</w:t>
      </w:r>
      <w:r w:rsidRPr="00DB1447">
        <w:rPr>
          <w:rFonts w:hint="cs"/>
          <w:sz w:val="27"/>
          <w:rtl/>
        </w:rPr>
        <w:t>ف ما ليس</w:t>
      </w:r>
      <w:r w:rsidRPr="00904FCB">
        <w:rPr>
          <w:rFonts w:hint="cs"/>
          <w:sz w:val="27"/>
          <w:rtl/>
        </w:rPr>
        <w:t xml:space="preserve"> من شأنه، فأبدى بذلك عن نقصه في العلم وعجزه، ولو كان مم</w:t>
      </w:r>
      <w:r w:rsidR="003F7489" w:rsidRPr="00904FCB">
        <w:rPr>
          <w:rFonts w:hint="cs"/>
          <w:sz w:val="27"/>
          <w:rtl/>
        </w:rPr>
        <w:t>َّ</w:t>
      </w:r>
      <w:r w:rsidRPr="00904FCB">
        <w:rPr>
          <w:rFonts w:hint="cs"/>
          <w:sz w:val="27"/>
          <w:rtl/>
        </w:rPr>
        <w:t>ن</w:t>
      </w:r>
      <w:r w:rsidR="003F7489" w:rsidRPr="00904FCB">
        <w:rPr>
          <w:rFonts w:hint="cs"/>
          <w:sz w:val="27"/>
          <w:rtl/>
        </w:rPr>
        <w:t>ْ</w:t>
      </w:r>
      <w:r w:rsidRPr="00904FCB">
        <w:rPr>
          <w:rFonts w:hint="cs"/>
          <w:sz w:val="27"/>
          <w:rtl/>
        </w:rPr>
        <w:t xml:space="preserve"> و</w:t>
      </w:r>
      <w:r w:rsidR="003F7489" w:rsidRPr="00904FCB">
        <w:rPr>
          <w:rFonts w:hint="cs"/>
          <w:sz w:val="27"/>
          <w:rtl/>
        </w:rPr>
        <w:t>ُ</w:t>
      </w:r>
      <w:r w:rsidRPr="00904FCB">
        <w:rPr>
          <w:rFonts w:hint="cs"/>
          <w:sz w:val="27"/>
          <w:rtl/>
        </w:rPr>
        <w:t>ف</w:t>
      </w:r>
      <w:r w:rsidR="003F7489" w:rsidRPr="00904FCB">
        <w:rPr>
          <w:rFonts w:hint="cs"/>
          <w:sz w:val="27"/>
          <w:rtl/>
        </w:rPr>
        <w:t>ِّ</w:t>
      </w:r>
      <w:r w:rsidRPr="00904FCB">
        <w:rPr>
          <w:rFonts w:hint="cs"/>
          <w:sz w:val="27"/>
          <w:rtl/>
        </w:rPr>
        <w:t>ق لرشده لما تعر</w:t>
      </w:r>
      <w:r w:rsidR="003F7489" w:rsidRPr="00904FCB">
        <w:rPr>
          <w:rFonts w:hint="cs"/>
          <w:sz w:val="27"/>
          <w:rtl/>
        </w:rPr>
        <w:t>َّ</w:t>
      </w:r>
      <w:r w:rsidRPr="00904FCB">
        <w:rPr>
          <w:rFonts w:hint="cs"/>
          <w:sz w:val="27"/>
          <w:rtl/>
        </w:rPr>
        <w:t>ض لما لا يحسنه، ولا هو من صناعته، ولا يتهد</w:t>
      </w:r>
      <w:r w:rsidR="003F7489" w:rsidRPr="00904FCB">
        <w:rPr>
          <w:rFonts w:hint="cs"/>
          <w:sz w:val="27"/>
          <w:rtl/>
        </w:rPr>
        <w:t>ّى</w:t>
      </w:r>
      <w:r w:rsidRPr="00904FCB">
        <w:rPr>
          <w:rFonts w:hint="cs"/>
          <w:sz w:val="27"/>
          <w:rtl/>
        </w:rPr>
        <w:t xml:space="preserve"> إلى معرفة طريقه، لكن</w:t>
      </w:r>
      <w:r w:rsidR="003F7489" w:rsidRPr="00904FCB">
        <w:rPr>
          <w:rFonts w:hint="cs"/>
          <w:sz w:val="27"/>
          <w:rtl/>
        </w:rPr>
        <w:t>ّ</w:t>
      </w:r>
      <w:r w:rsidRPr="00904FCB">
        <w:rPr>
          <w:rFonts w:hint="cs"/>
          <w:sz w:val="27"/>
          <w:rtl/>
        </w:rPr>
        <w:t xml:space="preserve"> الهوى مود</w:t>
      </w:r>
      <w:r w:rsidR="003F7489" w:rsidRPr="00904FCB">
        <w:rPr>
          <w:rFonts w:hint="cs"/>
          <w:sz w:val="27"/>
          <w:rtl/>
        </w:rPr>
        <w:t>ٍ</w:t>
      </w:r>
      <w:r w:rsidRPr="00904FCB">
        <w:rPr>
          <w:rFonts w:hint="cs"/>
          <w:sz w:val="27"/>
          <w:rtl/>
        </w:rPr>
        <w:t xml:space="preserve"> بصاحبه. </w:t>
      </w:r>
    </w:p>
    <w:p w:rsidR="00644408" w:rsidRPr="00DB1447" w:rsidRDefault="00644408" w:rsidP="0069123D">
      <w:pPr>
        <w:spacing w:line="400" w:lineRule="exact"/>
        <w:ind w:firstLine="561"/>
        <w:rPr>
          <w:sz w:val="27"/>
          <w:rtl/>
        </w:rPr>
      </w:pPr>
      <w:r w:rsidRPr="00DB1447">
        <w:rPr>
          <w:rFonts w:hint="cs"/>
          <w:sz w:val="27"/>
          <w:rtl/>
        </w:rPr>
        <w:t>2ـ قوله: الحديث الذي رو</w:t>
      </w:r>
      <w:r w:rsidR="003F7489" w:rsidRPr="00DB1447">
        <w:rPr>
          <w:rFonts w:hint="cs"/>
          <w:sz w:val="27"/>
          <w:rtl/>
        </w:rPr>
        <w:t>َ</w:t>
      </w:r>
      <w:r w:rsidRPr="00DB1447">
        <w:rPr>
          <w:rFonts w:hint="cs"/>
          <w:sz w:val="27"/>
          <w:rtl/>
        </w:rPr>
        <w:t>ت</w:t>
      </w:r>
      <w:r w:rsidR="003F7489" w:rsidRPr="00DB1447">
        <w:rPr>
          <w:rFonts w:hint="cs"/>
          <w:sz w:val="27"/>
          <w:rtl/>
        </w:rPr>
        <w:t>ْ</w:t>
      </w:r>
      <w:r w:rsidRPr="00DB1447">
        <w:rPr>
          <w:rFonts w:hint="cs"/>
          <w:sz w:val="27"/>
          <w:rtl/>
        </w:rPr>
        <w:t>ه الناصبة والمقل</w:t>
      </w:r>
      <w:r w:rsidR="003F7489" w:rsidRPr="00DB1447">
        <w:rPr>
          <w:rFonts w:hint="cs"/>
          <w:sz w:val="27"/>
          <w:rtl/>
        </w:rPr>
        <w:t>ِّ</w:t>
      </w:r>
      <w:r w:rsidRPr="00DB1447">
        <w:rPr>
          <w:rFonts w:hint="cs"/>
          <w:sz w:val="27"/>
          <w:rtl/>
        </w:rPr>
        <w:t xml:space="preserve">دة من الشيعة. </w:t>
      </w:r>
    </w:p>
    <w:p w:rsidR="00644408" w:rsidRPr="00904FCB" w:rsidRDefault="00644408" w:rsidP="0069123D">
      <w:pPr>
        <w:spacing w:line="400" w:lineRule="exact"/>
        <w:ind w:firstLine="561"/>
        <w:rPr>
          <w:sz w:val="27"/>
          <w:rtl/>
        </w:rPr>
      </w:pPr>
      <w:r w:rsidRPr="00DB1447">
        <w:rPr>
          <w:rFonts w:hint="cs"/>
          <w:sz w:val="27"/>
          <w:rtl/>
        </w:rPr>
        <w:t>3ـ قوله: فيجب على الشيخ ـ الذي حكيت أي</w:t>
      </w:r>
      <w:r w:rsidR="003F7489" w:rsidRPr="00DB1447">
        <w:rPr>
          <w:rFonts w:hint="cs"/>
          <w:sz w:val="27"/>
          <w:rtl/>
        </w:rPr>
        <w:t>ّ</w:t>
      </w:r>
      <w:r w:rsidRPr="00DB1447">
        <w:rPr>
          <w:rFonts w:hint="cs"/>
          <w:sz w:val="27"/>
          <w:rtl/>
        </w:rPr>
        <w:t>ها الأخ ـ أن يدين الله بكل ما</w:t>
      </w:r>
      <w:r w:rsidRPr="00904FCB">
        <w:rPr>
          <w:rFonts w:hint="cs"/>
          <w:sz w:val="27"/>
          <w:rtl/>
        </w:rPr>
        <w:t xml:space="preserve"> تضم</w:t>
      </w:r>
      <w:r w:rsidR="003F7489" w:rsidRPr="00904FCB">
        <w:rPr>
          <w:rFonts w:hint="cs"/>
          <w:sz w:val="27"/>
          <w:rtl/>
        </w:rPr>
        <w:t>َّ</w:t>
      </w:r>
      <w:r w:rsidRPr="00904FCB">
        <w:rPr>
          <w:rFonts w:hint="cs"/>
          <w:sz w:val="27"/>
          <w:rtl/>
        </w:rPr>
        <w:t>نته هذه الروايات؛ ليخرج بذلك عن الغلو</w:t>
      </w:r>
      <w:r w:rsidR="003F7489" w:rsidRPr="00904FCB">
        <w:rPr>
          <w:rFonts w:hint="cs"/>
          <w:sz w:val="27"/>
          <w:rtl/>
        </w:rPr>
        <w:t>ّ</w:t>
      </w:r>
      <w:r w:rsidRPr="00904FCB">
        <w:rPr>
          <w:rFonts w:hint="cs"/>
          <w:sz w:val="27"/>
          <w:rtl/>
        </w:rPr>
        <w:t xml:space="preserve"> على ما اد</w:t>
      </w:r>
      <w:r w:rsidR="003F7489" w:rsidRPr="00904FCB">
        <w:rPr>
          <w:rFonts w:hint="cs"/>
          <w:sz w:val="27"/>
          <w:rtl/>
        </w:rPr>
        <w:t>ّ</w:t>
      </w:r>
      <w:r w:rsidRPr="00904FCB">
        <w:rPr>
          <w:rFonts w:hint="cs"/>
          <w:sz w:val="27"/>
          <w:rtl/>
        </w:rPr>
        <w:t>عاه، فإن</w:t>
      </w:r>
      <w:r w:rsidR="003F7489" w:rsidRPr="00904FCB">
        <w:rPr>
          <w:rFonts w:hint="cs"/>
          <w:sz w:val="27"/>
          <w:rtl/>
        </w:rPr>
        <w:t>ْ</w:t>
      </w:r>
      <w:r w:rsidRPr="00904FCB">
        <w:rPr>
          <w:rFonts w:hint="cs"/>
          <w:sz w:val="27"/>
          <w:rtl/>
        </w:rPr>
        <w:t xml:space="preserve"> دان بها خرج عن التوحيد والشرع، وإن</w:t>
      </w:r>
      <w:r w:rsidR="003F7489" w:rsidRPr="00904FCB">
        <w:rPr>
          <w:rFonts w:hint="cs"/>
          <w:sz w:val="27"/>
          <w:rtl/>
        </w:rPr>
        <w:t>ْ</w:t>
      </w:r>
      <w:r w:rsidRPr="00904FCB">
        <w:rPr>
          <w:rFonts w:hint="cs"/>
          <w:sz w:val="27"/>
          <w:rtl/>
        </w:rPr>
        <w:t xml:space="preserve"> ردها ناقض في اعتلاله، وإن</w:t>
      </w:r>
      <w:r w:rsidR="003F7489" w:rsidRPr="00904FCB">
        <w:rPr>
          <w:rFonts w:hint="cs"/>
          <w:sz w:val="27"/>
          <w:rtl/>
        </w:rPr>
        <w:t>ْ</w:t>
      </w:r>
      <w:r w:rsidRPr="00904FCB">
        <w:rPr>
          <w:rFonts w:hint="cs"/>
          <w:sz w:val="27"/>
          <w:rtl/>
        </w:rPr>
        <w:t xml:space="preserve"> كان مم</w:t>
      </w:r>
      <w:r w:rsidR="003F7489" w:rsidRPr="00904FCB">
        <w:rPr>
          <w:rFonts w:hint="cs"/>
          <w:sz w:val="27"/>
          <w:rtl/>
        </w:rPr>
        <w:t>َّ</w:t>
      </w:r>
      <w:r w:rsidRPr="00904FCB">
        <w:rPr>
          <w:rFonts w:hint="cs"/>
          <w:sz w:val="27"/>
          <w:rtl/>
        </w:rPr>
        <w:t>ن</w:t>
      </w:r>
      <w:r w:rsidR="003F7489" w:rsidRPr="00904FCB">
        <w:rPr>
          <w:rFonts w:hint="cs"/>
          <w:sz w:val="27"/>
          <w:rtl/>
        </w:rPr>
        <w:t>ْ</w:t>
      </w:r>
      <w:r w:rsidRPr="00904FCB">
        <w:rPr>
          <w:rFonts w:hint="cs"/>
          <w:sz w:val="27"/>
          <w:rtl/>
        </w:rPr>
        <w:t xml:space="preserve"> لا يحسن المناقضة؛ لضعف بصيرته. </w:t>
      </w:r>
    </w:p>
    <w:p w:rsidR="00644408" w:rsidRPr="00904FCB" w:rsidRDefault="00644408" w:rsidP="0069123D">
      <w:pPr>
        <w:spacing w:line="400" w:lineRule="exact"/>
        <w:ind w:firstLine="561"/>
        <w:rPr>
          <w:sz w:val="27"/>
          <w:rtl/>
        </w:rPr>
      </w:pPr>
      <w:r w:rsidRPr="00DB1447">
        <w:rPr>
          <w:rFonts w:hint="cs"/>
          <w:sz w:val="27"/>
          <w:rtl/>
        </w:rPr>
        <w:t>4ـ قوله</w:t>
      </w:r>
      <w:r w:rsidRPr="00904FCB">
        <w:rPr>
          <w:rFonts w:hint="cs"/>
          <w:sz w:val="27"/>
          <w:rtl/>
        </w:rPr>
        <w:t>: وهو لازم</w:t>
      </w:r>
      <w:r w:rsidR="003F7489" w:rsidRPr="00904FCB">
        <w:rPr>
          <w:rFonts w:hint="cs"/>
          <w:sz w:val="27"/>
          <w:rtl/>
        </w:rPr>
        <w:t>ٌ</w:t>
      </w:r>
      <w:r w:rsidRPr="00904FCB">
        <w:rPr>
          <w:rFonts w:hint="cs"/>
          <w:sz w:val="27"/>
          <w:rtl/>
        </w:rPr>
        <w:t xml:space="preserve"> لم</w:t>
      </w:r>
      <w:r w:rsidR="003F7489" w:rsidRPr="00904FCB">
        <w:rPr>
          <w:rFonts w:hint="cs"/>
          <w:sz w:val="27"/>
          <w:rtl/>
        </w:rPr>
        <w:t>َ</w:t>
      </w:r>
      <w:r w:rsidRPr="00904FCB">
        <w:rPr>
          <w:rFonts w:hint="cs"/>
          <w:sz w:val="27"/>
          <w:rtl/>
        </w:rPr>
        <w:t>ن</w:t>
      </w:r>
      <w:r w:rsidR="003F7489" w:rsidRPr="00904FCB">
        <w:rPr>
          <w:rFonts w:hint="cs"/>
          <w:sz w:val="27"/>
          <w:rtl/>
        </w:rPr>
        <w:t>ْ</w:t>
      </w:r>
      <w:r w:rsidRPr="00904FCB">
        <w:rPr>
          <w:rFonts w:hint="cs"/>
          <w:sz w:val="27"/>
          <w:rtl/>
        </w:rPr>
        <w:t xml:space="preserve"> حكيت عنه ما حكيت في</w:t>
      </w:r>
      <w:r w:rsidR="00681742" w:rsidRPr="00904FCB">
        <w:rPr>
          <w:rFonts w:hint="cs"/>
          <w:sz w:val="27"/>
          <w:rtl/>
        </w:rPr>
        <w:t xml:space="preserve"> </w:t>
      </w:r>
      <w:r w:rsidRPr="00904FCB">
        <w:rPr>
          <w:rFonts w:hint="cs"/>
          <w:sz w:val="27"/>
          <w:rtl/>
        </w:rPr>
        <w:t>ما أفتى به من سهو النبي</w:t>
      </w:r>
      <w:r w:rsidR="00681742" w:rsidRPr="00904FCB">
        <w:rPr>
          <w:rFonts w:hint="cs"/>
          <w:sz w:val="27"/>
          <w:rtl/>
        </w:rPr>
        <w:t>ّ</w:t>
      </w:r>
      <w:r w:rsidR="001C1A2A" w:rsidRPr="00904FCB">
        <w:rPr>
          <w:rFonts w:cs="Mosawi" w:hint="cs"/>
          <w:sz w:val="27"/>
          <w:szCs w:val="22"/>
          <w:rtl/>
        </w:rPr>
        <w:t>×</w:t>
      </w:r>
      <w:r w:rsidRPr="00904FCB">
        <w:rPr>
          <w:rFonts w:hint="cs"/>
          <w:sz w:val="27"/>
          <w:rtl/>
        </w:rPr>
        <w:t>، واعتل</w:t>
      </w:r>
      <w:r w:rsidR="00681742" w:rsidRPr="00904FCB">
        <w:rPr>
          <w:rFonts w:hint="cs"/>
          <w:sz w:val="27"/>
          <w:rtl/>
        </w:rPr>
        <w:t>ّ</w:t>
      </w:r>
      <w:r w:rsidRPr="00904FCB">
        <w:rPr>
          <w:rFonts w:hint="cs"/>
          <w:sz w:val="27"/>
          <w:rtl/>
        </w:rPr>
        <w:t xml:space="preserve"> به، ودال</w:t>
      </w:r>
      <w:r w:rsidR="00681742" w:rsidRPr="00904FCB">
        <w:rPr>
          <w:rFonts w:hint="cs"/>
          <w:sz w:val="27"/>
          <w:rtl/>
        </w:rPr>
        <w:t>ّ</w:t>
      </w:r>
      <w:r w:rsidRPr="00904FCB">
        <w:rPr>
          <w:rFonts w:hint="cs"/>
          <w:sz w:val="27"/>
          <w:rtl/>
        </w:rPr>
        <w:t xml:space="preserve"> على ضعف عقله، وسوء اختياره، وفساد تخي</w:t>
      </w:r>
      <w:r w:rsidR="00681742" w:rsidRPr="00904FCB">
        <w:rPr>
          <w:rFonts w:hint="cs"/>
          <w:sz w:val="27"/>
          <w:rtl/>
        </w:rPr>
        <w:t>ُّ</w:t>
      </w:r>
      <w:r w:rsidRPr="00904FCB">
        <w:rPr>
          <w:rFonts w:hint="cs"/>
          <w:sz w:val="27"/>
          <w:rtl/>
        </w:rPr>
        <w:t xml:space="preserve">له. </w:t>
      </w:r>
    </w:p>
    <w:p w:rsidR="00644408" w:rsidRPr="00904FCB" w:rsidRDefault="00644408" w:rsidP="0069123D">
      <w:pPr>
        <w:spacing w:line="400" w:lineRule="exact"/>
        <w:ind w:firstLine="561"/>
        <w:rPr>
          <w:sz w:val="27"/>
          <w:rtl/>
        </w:rPr>
      </w:pPr>
      <w:r w:rsidRPr="00DB1447">
        <w:rPr>
          <w:rFonts w:hint="cs"/>
          <w:sz w:val="27"/>
          <w:rtl/>
        </w:rPr>
        <w:t>5ـ قوله</w:t>
      </w:r>
      <w:r w:rsidRPr="00904FCB">
        <w:rPr>
          <w:rFonts w:hint="cs"/>
          <w:sz w:val="27"/>
          <w:rtl/>
        </w:rPr>
        <w:t>: وينبغي أن يكون كل</w:t>
      </w:r>
      <w:r w:rsidR="00681742" w:rsidRPr="00904FCB">
        <w:rPr>
          <w:rFonts w:hint="cs"/>
          <w:sz w:val="27"/>
          <w:rtl/>
        </w:rPr>
        <w:t>ّ</w:t>
      </w:r>
      <w:r w:rsidRPr="00904FCB">
        <w:rPr>
          <w:rFonts w:hint="cs"/>
          <w:sz w:val="27"/>
          <w:rtl/>
        </w:rPr>
        <w:t xml:space="preserve"> م</w:t>
      </w:r>
      <w:r w:rsidR="00681742" w:rsidRPr="00904FCB">
        <w:rPr>
          <w:rFonts w:hint="cs"/>
          <w:sz w:val="27"/>
          <w:rtl/>
        </w:rPr>
        <w:t>َ</w:t>
      </w:r>
      <w:r w:rsidRPr="00904FCB">
        <w:rPr>
          <w:rFonts w:hint="cs"/>
          <w:sz w:val="27"/>
          <w:rtl/>
        </w:rPr>
        <w:t>ن</w:t>
      </w:r>
      <w:r w:rsidR="00681742" w:rsidRPr="00904FCB">
        <w:rPr>
          <w:rFonts w:hint="cs"/>
          <w:sz w:val="27"/>
          <w:rtl/>
        </w:rPr>
        <w:t>ْ</w:t>
      </w:r>
      <w:r w:rsidRPr="00904FCB">
        <w:rPr>
          <w:rFonts w:hint="cs"/>
          <w:sz w:val="27"/>
          <w:rtl/>
        </w:rPr>
        <w:t xml:space="preserve"> منع السهو على النبي</w:t>
      </w:r>
      <w:r w:rsidR="00681742" w:rsidRPr="00904FCB">
        <w:rPr>
          <w:rFonts w:hint="cs"/>
          <w:sz w:val="27"/>
          <w:rtl/>
        </w:rPr>
        <w:t>ّ</w:t>
      </w:r>
      <w:r w:rsidR="001C1A2A" w:rsidRPr="00904FCB">
        <w:rPr>
          <w:rFonts w:cs="Mosawi" w:hint="cs"/>
          <w:sz w:val="27"/>
          <w:szCs w:val="22"/>
          <w:rtl/>
        </w:rPr>
        <w:t>×</w:t>
      </w:r>
      <w:r w:rsidRPr="00904FCB">
        <w:rPr>
          <w:rFonts w:hint="cs"/>
          <w:sz w:val="27"/>
          <w:rtl/>
        </w:rPr>
        <w:t xml:space="preserve"> في جميع ما عددناه من الشرع غالياً</w:t>
      </w:r>
      <w:r w:rsidR="00681742" w:rsidRPr="00904FCB">
        <w:rPr>
          <w:rFonts w:hint="cs"/>
          <w:sz w:val="27"/>
          <w:rtl/>
        </w:rPr>
        <w:t>،</w:t>
      </w:r>
      <w:r w:rsidRPr="00904FCB">
        <w:rPr>
          <w:rFonts w:hint="cs"/>
          <w:sz w:val="27"/>
          <w:rtl/>
        </w:rPr>
        <w:t xml:space="preserve"> كما زعم المتهو</w:t>
      </w:r>
      <w:r w:rsidR="00681742" w:rsidRPr="00904FCB">
        <w:rPr>
          <w:rFonts w:hint="cs"/>
          <w:sz w:val="27"/>
          <w:rtl/>
        </w:rPr>
        <w:t>ِّ</w:t>
      </w:r>
      <w:r w:rsidRPr="00904FCB">
        <w:rPr>
          <w:rFonts w:hint="cs"/>
          <w:sz w:val="27"/>
          <w:rtl/>
        </w:rPr>
        <w:t>ر في مقاله أن النافي عن النبي</w:t>
      </w:r>
      <w:r w:rsidR="00681742" w:rsidRPr="00904FCB">
        <w:rPr>
          <w:rFonts w:hint="cs"/>
          <w:sz w:val="27"/>
          <w:rtl/>
        </w:rPr>
        <w:t>ّ</w:t>
      </w:r>
      <w:r w:rsidR="001C1A2A" w:rsidRPr="00904FCB">
        <w:rPr>
          <w:rFonts w:cs="Mosawi" w:hint="cs"/>
          <w:sz w:val="27"/>
          <w:szCs w:val="22"/>
          <w:rtl/>
        </w:rPr>
        <w:t>×</w:t>
      </w:r>
      <w:r w:rsidRPr="00904FCB">
        <w:rPr>
          <w:rFonts w:hint="cs"/>
          <w:sz w:val="27"/>
          <w:rtl/>
        </w:rPr>
        <w:t xml:space="preserve"> السهو غال</w:t>
      </w:r>
      <w:r w:rsidR="00681742" w:rsidRPr="00904FCB">
        <w:rPr>
          <w:rFonts w:hint="cs"/>
          <w:sz w:val="27"/>
          <w:rtl/>
        </w:rPr>
        <w:t>ٍ</w:t>
      </w:r>
      <w:r w:rsidRPr="00904FCB">
        <w:rPr>
          <w:rFonts w:hint="cs"/>
          <w:sz w:val="27"/>
          <w:rtl/>
        </w:rPr>
        <w:t>، خارج عن حد</w:t>
      </w:r>
      <w:r w:rsidR="00681742" w:rsidRPr="00904FCB">
        <w:rPr>
          <w:rFonts w:hint="cs"/>
          <w:sz w:val="27"/>
          <w:rtl/>
        </w:rPr>
        <w:t>ّ</w:t>
      </w:r>
      <w:r w:rsidRPr="00904FCB">
        <w:rPr>
          <w:rFonts w:hint="cs"/>
          <w:sz w:val="27"/>
          <w:rtl/>
        </w:rPr>
        <w:t xml:space="preserve"> الاقتصاد</w:t>
      </w:r>
      <w:r w:rsidR="00681742" w:rsidRPr="00904FCB">
        <w:rPr>
          <w:rFonts w:hint="cs"/>
          <w:sz w:val="27"/>
          <w:rtl/>
        </w:rPr>
        <w:t>.</w:t>
      </w:r>
      <w:r w:rsidRPr="00904FCB">
        <w:rPr>
          <w:rFonts w:hint="cs"/>
          <w:sz w:val="27"/>
          <w:rtl/>
        </w:rPr>
        <w:t xml:space="preserve"> وكفى بم</w:t>
      </w:r>
      <w:r w:rsidR="00681742" w:rsidRPr="00904FCB">
        <w:rPr>
          <w:rFonts w:hint="cs"/>
          <w:sz w:val="27"/>
          <w:rtl/>
        </w:rPr>
        <w:t>َ</w:t>
      </w:r>
      <w:r w:rsidRPr="00904FCB">
        <w:rPr>
          <w:rFonts w:hint="cs"/>
          <w:sz w:val="27"/>
          <w:rtl/>
        </w:rPr>
        <w:t>ن</w:t>
      </w:r>
      <w:r w:rsidR="00681742" w:rsidRPr="00904FCB">
        <w:rPr>
          <w:rFonts w:hint="cs"/>
          <w:sz w:val="27"/>
          <w:rtl/>
        </w:rPr>
        <w:t>ْ</w:t>
      </w:r>
      <w:r w:rsidRPr="00904FCB">
        <w:rPr>
          <w:rFonts w:hint="cs"/>
          <w:sz w:val="27"/>
          <w:rtl/>
        </w:rPr>
        <w:t xml:space="preserve"> صار إلى هذا خ</w:t>
      </w:r>
      <w:r w:rsidR="00681742" w:rsidRPr="00904FCB">
        <w:rPr>
          <w:rFonts w:hint="cs"/>
          <w:sz w:val="27"/>
          <w:rtl/>
        </w:rPr>
        <w:t>ِ</w:t>
      </w:r>
      <w:r w:rsidRPr="00904FCB">
        <w:rPr>
          <w:rFonts w:hint="cs"/>
          <w:sz w:val="27"/>
          <w:rtl/>
        </w:rPr>
        <w:t>ز</w:t>
      </w:r>
      <w:r w:rsidR="00681742" w:rsidRPr="00904FCB">
        <w:rPr>
          <w:rFonts w:hint="cs"/>
          <w:sz w:val="27"/>
          <w:rtl/>
        </w:rPr>
        <w:t>ْ</w:t>
      </w:r>
      <w:r w:rsidRPr="00904FCB">
        <w:rPr>
          <w:rFonts w:hint="cs"/>
          <w:sz w:val="27"/>
          <w:rtl/>
        </w:rPr>
        <w:t xml:space="preserve">ياً. </w:t>
      </w:r>
    </w:p>
    <w:p w:rsidR="00644408" w:rsidRPr="00904FCB" w:rsidRDefault="00644408" w:rsidP="0069123D">
      <w:pPr>
        <w:spacing w:line="400" w:lineRule="exact"/>
        <w:ind w:firstLine="561"/>
        <w:rPr>
          <w:sz w:val="27"/>
          <w:rtl/>
        </w:rPr>
      </w:pPr>
      <w:r w:rsidRPr="00DB1447">
        <w:rPr>
          <w:rFonts w:hint="cs"/>
          <w:sz w:val="27"/>
          <w:rtl/>
        </w:rPr>
        <w:t>6ـ قوله</w:t>
      </w:r>
      <w:r w:rsidRPr="00904FCB">
        <w:rPr>
          <w:rFonts w:hint="cs"/>
          <w:sz w:val="27"/>
          <w:rtl/>
        </w:rPr>
        <w:t>: ثم</w:t>
      </w:r>
      <w:r w:rsidR="00681742" w:rsidRPr="00904FCB">
        <w:rPr>
          <w:rFonts w:hint="cs"/>
          <w:sz w:val="27"/>
          <w:rtl/>
        </w:rPr>
        <w:t>ّ</w:t>
      </w:r>
      <w:r w:rsidRPr="00904FCB">
        <w:rPr>
          <w:rFonts w:hint="cs"/>
          <w:sz w:val="27"/>
          <w:rtl/>
        </w:rPr>
        <w:t xml:space="preserve"> الع</w:t>
      </w:r>
      <w:r w:rsidR="00681742" w:rsidRPr="00904FCB">
        <w:rPr>
          <w:rFonts w:hint="cs"/>
          <w:sz w:val="27"/>
          <w:rtl/>
        </w:rPr>
        <w:t>َ</w:t>
      </w:r>
      <w:r w:rsidRPr="00904FCB">
        <w:rPr>
          <w:rFonts w:hint="cs"/>
          <w:sz w:val="27"/>
          <w:rtl/>
        </w:rPr>
        <w:t>ج</w:t>
      </w:r>
      <w:r w:rsidR="00681742" w:rsidRPr="00904FCB">
        <w:rPr>
          <w:rFonts w:hint="cs"/>
          <w:sz w:val="27"/>
          <w:rtl/>
        </w:rPr>
        <w:t>َ</w:t>
      </w:r>
      <w:r w:rsidRPr="00904FCB">
        <w:rPr>
          <w:rFonts w:hint="cs"/>
          <w:sz w:val="27"/>
          <w:rtl/>
        </w:rPr>
        <w:t>ب حكمه... في</w:t>
      </w:r>
      <w:r w:rsidR="00681742" w:rsidRPr="00904FCB">
        <w:rPr>
          <w:rFonts w:hint="cs"/>
          <w:sz w:val="27"/>
          <w:rtl/>
        </w:rPr>
        <w:t xml:space="preserve"> </w:t>
      </w:r>
      <w:r w:rsidRPr="00904FCB">
        <w:rPr>
          <w:rFonts w:hint="cs"/>
          <w:sz w:val="27"/>
          <w:rtl/>
        </w:rPr>
        <w:t>ما اد</w:t>
      </w:r>
      <w:r w:rsidR="00681742" w:rsidRPr="00904FCB">
        <w:rPr>
          <w:rFonts w:hint="cs"/>
          <w:sz w:val="27"/>
          <w:rtl/>
        </w:rPr>
        <w:t>ّ</w:t>
      </w:r>
      <w:r w:rsidRPr="00904FCB">
        <w:rPr>
          <w:rFonts w:hint="cs"/>
          <w:sz w:val="27"/>
          <w:rtl/>
        </w:rPr>
        <w:t>عاه... الل</w:t>
      </w:r>
      <w:r w:rsidR="00681742" w:rsidRPr="00904FCB">
        <w:rPr>
          <w:rFonts w:hint="cs"/>
          <w:sz w:val="27"/>
          <w:rtl/>
        </w:rPr>
        <w:t>َّ</w:t>
      </w:r>
      <w:r w:rsidRPr="00904FCB">
        <w:rPr>
          <w:rFonts w:hint="cs"/>
          <w:sz w:val="27"/>
          <w:rtl/>
        </w:rPr>
        <w:t>ه</w:t>
      </w:r>
      <w:r w:rsidR="00681742" w:rsidRPr="00904FCB">
        <w:rPr>
          <w:rFonts w:hint="cs"/>
          <w:sz w:val="27"/>
          <w:rtl/>
        </w:rPr>
        <w:t>ُ</w:t>
      </w:r>
      <w:r w:rsidRPr="00904FCB">
        <w:rPr>
          <w:rFonts w:hint="cs"/>
          <w:sz w:val="27"/>
          <w:rtl/>
        </w:rPr>
        <w:t>م</w:t>
      </w:r>
      <w:r w:rsidR="00681742" w:rsidRPr="00904FCB">
        <w:rPr>
          <w:rFonts w:hint="cs"/>
          <w:sz w:val="27"/>
          <w:rtl/>
        </w:rPr>
        <w:t>ّ</w:t>
      </w:r>
      <w:r w:rsidRPr="00904FCB">
        <w:rPr>
          <w:rFonts w:hint="cs"/>
          <w:sz w:val="27"/>
          <w:rtl/>
        </w:rPr>
        <w:t xml:space="preserve"> إلا</w:t>
      </w:r>
      <w:r w:rsidR="00681742" w:rsidRPr="00904FCB">
        <w:rPr>
          <w:rFonts w:hint="cs"/>
          <w:sz w:val="27"/>
          <w:rtl/>
        </w:rPr>
        <w:t>ّ</w:t>
      </w:r>
      <w:r w:rsidRPr="00904FCB">
        <w:rPr>
          <w:rFonts w:hint="cs"/>
          <w:sz w:val="27"/>
          <w:rtl/>
        </w:rPr>
        <w:t xml:space="preserve"> أن يد</w:t>
      </w:r>
      <w:r w:rsidR="00681742" w:rsidRPr="00904FCB">
        <w:rPr>
          <w:rFonts w:hint="cs"/>
          <w:sz w:val="27"/>
          <w:rtl/>
        </w:rPr>
        <w:t>ّ</w:t>
      </w:r>
      <w:r w:rsidRPr="00904FCB">
        <w:rPr>
          <w:rFonts w:hint="cs"/>
          <w:sz w:val="27"/>
          <w:rtl/>
        </w:rPr>
        <w:t>عي الوحي في ذلك، ويبين به ضعف عقله لكاف</w:t>
      </w:r>
      <w:r w:rsidR="00681742" w:rsidRPr="00904FCB">
        <w:rPr>
          <w:rFonts w:hint="cs"/>
          <w:sz w:val="27"/>
          <w:rtl/>
        </w:rPr>
        <w:t>ّ</w:t>
      </w:r>
      <w:r w:rsidRPr="00904FCB">
        <w:rPr>
          <w:rFonts w:hint="cs"/>
          <w:sz w:val="27"/>
          <w:rtl/>
        </w:rPr>
        <w:t>ة الألب</w:t>
      </w:r>
      <w:r w:rsidR="00681742" w:rsidRPr="00904FCB">
        <w:rPr>
          <w:rFonts w:hint="cs"/>
          <w:sz w:val="27"/>
          <w:rtl/>
        </w:rPr>
        <w:t>ّ</w:t>
      </w:r>
      <w:r w:rsidRPr="00904FCB">
        <w:rPr>
          <w:rFonts w:hint="cs"/>
          <w:sz w:val="27"/>
          <w:rtl/>
        </w:rPr>
        <w:t xml:space="preserve">اء. </w:t>
      </w:r>
    </w:p>
    <w:p w:rsidR="00644408" w:rsidRPr="00904FCB" w:rsidRDefault="00644408" w:rsidP="0069123D">
      <w:pPr>
        <w:spacing w:line="400" w:lineRule="exact"/>
        <w:ind w:firstLine="561"/>
        <w:rPr>
          <w:sz w:val="27"/>
          <w:rtl/>
        </w:rPr>
      </w:pPr>
      <w:r w:rsidRPr="00DB1447">
        <w:rPr>
          <w:rFonts w:hint="cs"/>
          <w:sz w:val="27"/>
          <w:rtl/>
        </w:rPr>
        <w:t>7ـ قوله</w:t>
      </w:r>
      <w:r w:rsidRPr="00904FCB">
        <w:rPr>
          <w:rFonts w:hint="cs"/>
          <w:sz w:val="27"/>
          <w:rtl/>
        </w:rPr>
        <w:t>: وم</w:t>
      </w:r>
      <w:r w:rsidR="00681742" w:rsidRPr="00904FCB">
        <w:rPr>
          <w:rFonts w:hint="cs"/>
          <w:sz w:val="27"/>
          <w:rtl/>
        </w:rPr>
        <w:t>َ</w:t>
      </w:r>
      <w:r w:rsidRPr="00904FCB">
        <w:rPr>
          <w:rFonts w:hint="cs"/>
          <w:sz w:val="27"/>
          <w:rtl/>
        </w:rPr>
        <w:t>ن</w:t>
      </w:r>
      <w:r w:rsidR="00681742" w:rsidRPr="00904FCB">
        <w:rPr>
          <w:rFonts w:hint="cs"/>
          <w:sz w:val="27"/>
          <w:rtl/>
        </w:rPr>
        <w:t>ْ</w:t>
      </w:r>
      <w:r w:rsidRPr="00904FCB">
        <w:rPr>
          <w:rFonts w:hint="cs"/>
          <w:sz w:val="27"/>
          <w:rtl/>
        </w:rPr>
        <w:t xml:space="preserve"> لم يتيق</w:t>
      </w:r>
      <w:r w:rsidR="00681742" w:rsidRPr="00904FCB">
        <w:rPr>
          <w:rFonts w:hint="cs"/>
          <w:sz w:val="27"/>
          <w:rtl/>
        </w:rPr>
        <w:t>ّ</w:t>
      </w:r>
      <w:r w:rsidRPr="00904FCB">
        <w:rPr>
          <w:rFonts w:hint="cs"/>
          <w:sz w:val="27"/>
          <w:rtl/>
        </w:rPr>
        <w:t xml:space="preserve">ظ لجهله في هذا الباب كان في عداد الأموات. </w:t>
      </w:r>
    </w:p>
    <w:p w:rsidR="00644408" w:rsidRPr="00904FCB" w:rsidRDefault="00644408" w:rsidP="0069123D">
      <w:pPr>
        <w:spacing w:line="400" w:lineRule="exact"/>
        <w:ind w:firstLine="561"/>
        <w:rPr>
          <w:sz w:val="27"/>
          <w:rtl/>
        </w:rPr>
      </w:pPr>
      <w:r w:rsidRPr="00DB1447">
        <w:rPr>
          <w:rFonts w:hint="cs"/>
          <w:sz w:val="27"/>
          <w:rtl/>
        </w:rPr>
        <w:t>8 ـ قوله</w:t>
      </w:r>
      <w:r w:rsidRPr="00904FCB">
        <w:rPr>
          <w:rFonts w:hint="cs"/>
          <w:sz w:val="27"/>
          <w:rtl/>
        </w:rPr>
        <w:t>: وإن</w:t>
      </w:r>
      <w:r w:rsidR="00681742" w:rsidRPr="00904FCB">
        <w:rPr>
          <w:rFonts w:hint="cs"/>
          <w:sz w:val="27"/>
          <w:rtl/>
        </w:rPr>
        <w:t>ّ</w:t>
      </w:r>
      <w:r w:rsidRPr="00904FCB">
        <w:rPr>
          <w:rFonts w:hint="cs"/>
          <w:sz w:val="27"/>
          <w:rtl/>
        </w:rPr>
        <w:t xml:space="preserve"> شيعياً يعتمد على هذا الحديث في الحكم على النبي</w:t>
      </w:r>
      <w:r w:rsidR="00681742" w:rsidRPr="00904FCB">
        <w:rPr>
          <w:rFonts w:hint="cs"/>
          <w:sz w:val="27"/>
          <w:rtl/>
        </w:rPr>
        <w:t>ّ</w:t>
      </w:r>
      <w:r w:rsidR="001C1A2A" w:rsidRPr="00904FCB">
        <w:rPr>
          <w:rFonts w:cs="Mosawi" w:hint="cs"/>
          <w:sz w:val="27"/>
          <w:szCs w:val="22"/>
          <w:rtl/>
        </w:rPr>
        <w:t>×</w:t>
      </w:r>
      <w:r w:rsidRPr="00904FCB">
        <w:rPr>
          <w:rFonts w:hint="cs"/>
          <w:sz w:val="27"/>
          <w:rtl/>
        </w:rPr>
        <w:t xml:space="preserve"> بالغلط والنقص وارتفاع العصمة عنه</w:t>
      </w:r>
      <w:r w:rsidR="00681742" w:rsidRPr="00904FCB">
        <w:rPr>
          <w:rFonts w:hint="cs"/>
          <w:sz w:val="27"/>
          <w:rtl/>
        </w:rPr>
        <w:t>...</w:t>
      </w:r>
      <w:r w:rsidRPr="00904FCB">
        <w:rPr>
          <w:rFonts w:hint="cs"/>
          <w:sz w:val="27"/>
          <w:rtl/>
        </w:rPr>
        <w:t xml:space="preserve"> لناقص العقل، ضعيف الرأي، قريب</w:t>
      </w:r>
      <w:r w:rsidR="00681742" w:rsidRPr="00904FCB">
        <w:rPr>
          <w:rFonts w:hint="cs"/>
          <w:sz w:val="27"/>
          <w:rtl/>
        </w:rPr>
        <w:t>ٌ</w:t>
      </w:r>
      <w:r w:rsidRPr="00904FCB">
        <w:rPr>
          <w:rFonts w:hint="cs"/>
          <w:sz w:val="27"/>
          <w:rtl/>
        </w:rPr>
        <w:t xml:space="preserve"> إلى ذوي الآفات المسقطة عنهم التكليف. </w:t>
      </w:r>
    </w:p>
    <w:p w:rsidR="00644408" w:rsidRPr="00904FCB" w:rsidRDefault="00644408" w:rsidP="0069123D">
      <w:pPr>
        <w:spacing w:line="400" w:lineRule="exact"/>
        <w:ind w:firstLine="561"/>
        <w:rPr>
          <w:sz w:val="27"/>
          <w:rtl/>
        </w:rPr>
      </w:pPr>
      <w:r w:rsidRPr="00DB1447">
        <w:rPr>
          <w:rFonts w:hint="cs"/>
          <w:sz w:val="27"/>
          <w:rtl/>
        </w:rPr>
        <w:t>9ـ وفي</w:t>
      </w:r>
      <w:r w:rsidRPr="00904FCB">
        <w:rPr>
          <w:rFonts w:hint="cs"/>
          <w:sz w:val="27"/>
          <w:rtl/>
        </w:rPr>
        <w:t xml:space="preserve"> هذا الق</w:t>
      </w:r>
      <w:r w:rsidR="00681742" w:rsidRPr="00904FCB">
        <w:rPr>
          <w:rFonts w:hint="cs"/>
          <w:sz w:val="27"/>
          <w:rtl/>
        </w:rPr>
        <w:t>َ</w:t>
      </w:r>
      <w:r w:rsidRPr="00904FCB">
        <w:rPr>
          <w:rFonts w:hint="cs"/>
          <w:sz w:val="27"/>
          <w:rtl/>
        </w:rPr>
        <w:t>د</w:t>
      </w:r>
      <w:r w:rsidR="00681742" w:rsidRPr="00904FCB">
        <w:rPr>
          <w:rFonts w:hint="cs"/>
          <w:sz w:val="27"/>
          <w:rtl/>
        </w:rPr>
        <w:t>َ</w:t>
      </w:r>
      <w:r w:rsidRPr="00904FCB">
        <w:rPr>
          <w:rFonts w:hint="cs"/>
          <w:sz w:val="27"/>
          <w:rtl/>
        </w:rPr>
        <w:t>ر كفاية في إبطال مذهب م</w:t>
      </w:r>
      <w:r w:rsidR="00681742" w:rsidRPr="00904FCB">
        <w:rPr>
          <w:rFonts w:hint="cs"/>
          <w:sz w:val="27"/>
          <w:rtl/>
        </w:rPr>
        <w:t>َ</w:t>
      </w:r>
      <w:r w:rsidRPr="00904FCB">
        <w:rPr>
          <w:rFonts w:hint="cs"/>
          <w:sz w:val="27"/>
          <w:rtl/>
        </w:rPr>
        <w:t>ن</w:t>
      </w:r>
      <w:r w:rsidR="00681742" w:rsidRPr="00904FCB">
        <w:rPr>
          <w:rFonts w:hint="cs"/>
          <w:sz w:val="27"/>
          <w:rtl/>
        </w:rPr>
        <w:t>ْ</w:t>
      </w:r>
      <w:r w:rsidRPr="00904FCB">
        <w:rPr>
          <w:rFonts w:hint="cs"/>
          <w:sz w:val="27"/>
          <w:rtl/>
        </w:rPr>
        <w:t xml:space="preserve"> حكم على النبي</w:t>
      </w:r>
      <w:r w:rsidR="00681742" w:rsidRPr="00904FCB">
        <w:rPr>
          <w:rFonts w:hint="cs"/>
          <w:sz w:val="27"/>
          <w:rtl/>
        </w:rPr>
        <w:t>ّ</w:t>
      </w:r>
      <w:r w:rsidR="001C1A2A" w:rsidRPr="00904FCB">
        <w:rPr>
          <w:rFonts w:cs="Mosawi" w:hint="cs"/>
          <w:sz w:val="27"/>
          <w:szCs w:val="22"/>
          <w:rtl/>
        </w:rPr>
        <w:t>×</w:t>
      </w:r>
      <w:r w:rsidRPr="00904FCB">
        <w:rPr>
          <w:rFonts w:hint="cs"/>
          <w:sz w:val="27"/>
          <w:rtl/>
        </w:rPr>
        <w:t xml:space="preserve"> بالسهو في صلاته، وبيان غلطه في</w:t>
      </w:r>
      <w:r w:rsidR="00681742" w:rsidRPr="00904FCB">
        <w:rPr>
          <w:rFonts w:hint="cs"/>
          <w:sz w:val="27"/>
          <w:rtl/>
        </w:rPr>
        <w:t xml:space="preserve"> </w:t>
      </w:r>
      <w:r w:rsidRPr="00904FCB">
        <w:rPr>
          <w:rFonts w:hint="cs"/>
          <w:sz w:val="27"/>
          <w:rtl/>
        </w:rPr>
        <w:t>ما تعل</w:t>
      </w:r>
      <w:r w:rsidR="00681742" w:rsidRPr="00904FCB">
        <w:rPr>
          <w:rFonts w:hint="cs"/>
          <w:sz w:val="27"/>
          <w:rtl/>
        </w:rPr>
        <w:t>َّ</w:t>
      </w:r>
      <w:r w:rsidRPr="00904FCB">
        <w:rPr>
          <w:rFonts w:hint="cs"/>
          <w:sz w:val="27"/>
          <w:rtl/>
        </w:rPr>
        <w:t xml:space="preserve">ق من الشبهات في ضلالته. </w:t>
      </w:r>
    </w:p>
    <w:p w:rsidR="00E83C22" w:rsidRDefault="00644408" w:rsidP="00062936">
      <w:pPr>
        <w:spacing w:line="420" w:lineRule="exact"/>
        <w:rPr>
          <w:rtl/>
        </w:rPr>
      </w:pPr>
      <w:r w:rsidRPr="00904FCB">
        <w:rPr>
          <w:rFonts w:hint="cs"/>
          <w:rtl/>
        </w:rPr>
        <w:t xml:space="preserve"> </w:t>
      </w:r>
      <w:r w:rsidRPr="00DB1447">
        <w:rPr>
          <w:rFonts w:hint="cs"/>
          <w:rtl/>
        </w:rPr>
        <w:t>10ـ قوله</w:t>
      </w:r>
      <w:r w:rsidRPr="00904FCB">
        <w:rPr>
          <w:rFonts w:hint="cs"/>
          <w:rtl/>
        </w:rPr>
        <w:t>: فقد ثبت كذب م</w:t>
      </w:r>
      <w:r w:rsidR="00681742" w:rsidRPr="00904FCB">
        <w:rPr>
          <w:rFonts w:hint="cs"/>
          <w:rtl/>
        </w:rPr>
        <w:t>َ</w:t>
      </w:r>
      <w:r w:rsidRPr="00904FCB">
        <w:rPr>
          <w:rFonts w:hint="cs"/>
          <w:rtl/>
        </w:rPr>
        <w:t>ن</w:t>
      </w:r>
      <w:r w:rsidR="00681742" w:rsidRPr="00904FCB">
        <w:rPr>
          <w:rFonts w:hint="cs"/>
          <w:rtl/>
        </w:rPr>
        <w:t>ْ</w:t>
      </w:r>
      <w:r w:rsidRPr="00904FCB">
        <w:rPr>
          <w:rFonts w:hint="cs"/>
          <w:rtl/>
        </w:rPr>
        <w:t xml:space="preserve"> أضاف إليه السهو، ووضح بطلان دعواه في ذلك بلا ارتياب.</w:t>
      </w: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73"/>
          <w:headerReference w:type="default" r:id="rId74"/>
          <w:footerReference w:type="even" r:id="rId75"/>
          <w:footerReference w:type="defaul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77"/>
          <w:headerReference w:type="default" r:id="rId78"/>
          <w:footerReference w:type="even" r:id="rId79"/>
          <w:footerReference w:type="default" r:id="rId80"/>
          <w:headerReference w:type="first" r:id="rId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715694" w:rsidRDefault="007D5365" w:rsidP="00062936">
      <w:pPr>
        <w:pStyle w:val="10"/>
        <w:spacing w:line="240" w:lineRule="auto"/>
        <w:rPr>
          <w:sz w:val="46"/>
          <w:szCs w:val="46"/>
          <w:rtl/>
          <w:lang w:bidi="fa-IR"/>
        </w:rPr>
      </w:pPr>
      <w:bookmarkStart w:id="24" w:name="_Toc435577186"/>
      <w:r w:rsidRPr="00715694">
        <w:rPr>
          <w:sz w:val="46"/>
          <w:szCs w:val="46"/>
          <w:rtl/>
          <w:lang w:bidi="fa-IR"/>
        </w:rPr>
        <w:t>مصادر الاستنباط بين الفقه الإسلامي</w:t>
      </w:r>
      <w:r w:rsidRPr="00715694">
        <w:rPr>
          <w:rFonts w:hint="cs"/>
          <w:sz w:val="46"/>
          <w:szCs w:val="46"/>
          <w:rtl/>
          <w:lang w:bidi="fa-IR"/>
        </w:rPr>
        <w:t xml:space="preserve"> </w:t>
      </w:r>
      <w:r w:rsidRPr="00715694">
        <w:rPr>
          <w:sz w:val="46"/>
          <w:szCs w:val="46"/>
          <w:rtl/>
          <w:lang w:bidi="fa-IR"/>
        </w:rPr>
        <w:t>والقانون الوضعي</w:t>
      </w:r>
      <w:bookmarkEnd w:id="24"/>
    </w:p>
    <w:p w:rsidR="00E83C22" w:rsidRPr="00A47EA9" w:rsidRDefault="007D5365" w:rsidP="00062936">
      <w:pPr>
        <w:pStyle w:val="10"/>
        <w:spacing w:line="240" w:lineRule="auto"/>
        <w:rPr>
          <w:sz w:val="41"/>
          <w:szCs w:val="41"/>
          <w:rtl/>
        </w:rPr>
      </w:pPr>
      <w:bookmarkStart w:id="25" w:name="_Toc435577187"/>
      <w:r w:rsidRPr="00A47EA9">
        <w:rPr>
          <w:rFonts w:hint="cs"/>
          <w:sz w:val="41"/>
          <w:szCs w:val="41"/>
          <w:rtl/>
          <w:lang w:bidi="fa-IR"/>
        </w:rPr>
        <w:t>(</w:t>
      </w:r>
      <w:r w:rsidRPr="00A47EA9">
        <w:rPr>
          <w:sz w:val="41"/>
          <w:szCs w:val="41"/>
          <w:rtl/>
          <w:lang w:bidi="fa-IR"/>
        </w:rPr>
        <w:t>مجل</w:t>
      </w:r>
      <w:r w:rsidRPr="00A47EA9">
        <w:rPr>
          <w:rFonts w:hint="cs"/>
          <w:sz w:val="41"/>
          <w:szCs w:val="41"/>
          <w:rtl/>
          <w:lang w:bidi="fa-IR"/>
        </w:rPr>
        <w:t>ّ</w:t>
      </w:r>
      <w:r w:rsidRPr="00A47EA9">
        <w:rPr>
          <w:sz w:val="41"/>
          <w:szCs w:val="41"/>
          <w:rtl/>
          <w:lang w:bidi="fa-IR"/>
        </w:rPr>
        <w:t>ة الأحكام الع</w:t>
      </w:r>
      <w:r w:rsidR="00DE6128" w:rsidRPr="00A47EA9">
        <w:rPr>
          <w:rFonts w:hint="cs"/>
          <w:sz w:val="41"/>
          <w:szCs w:val="41"/>
          <w:rtl/>
          <w:lang w:bidi="fa-IR"/>
        </w:rPr>
        <w:t>َ</w:t>
      </w:r>
      <w:r w:rsidRPr="00A47EA9">
        <w:rPr>
          <w:sz w:val="41"/>
          <w:szCs w:val="41"/>
          <w:rtl/>
          <w:lang w:bidi="fa-IR"/>
        </w:rPr>
        <w:t>د</w:t>
      </w:r>
      <w:r w:rsidR="00DE6128" w:rsidRPr="00A47EA9">
        <w:rPr>
          <w:rFonts w:hint="cs"/>
          <w:sz w:val="41"/>
          <w:szCs w:val="41"/>
          <w:rtl/>
          <w:lang w:bidi="fa-IR"/>
        </w:rPr>
        <w:t>ْ</w:t>
      </w:r>
      <w:r w:rsidRPr="00A47EA9">
        <w:rPr>
          <w:sz w:val="41"/>
          <w:szCs w:val="41"/>
          <w:rtl/>
          <w:lang w:bidi="fa-IR"/>
        </w:rPr>
        <w:t>لية</w:t>
      </w:r>
      <w:r w:rsidRPr="00A47EA9">
        <w:rPr>
          <w:rFonts w:hint="cs"/>
          <w:sz w:val="41"/>
          <w:szCs w:val="41"/>
          <w:rtl/>
          <w:lang w:bidi="fa-IR"/>
        </w:rPr>
        <w:t>)</w:t>
      </w:r>
      <w:r w:rsidRPr="00A47EA9">
        <w:rPr>
          <w:sz w:val="41"/>
          <w:szCs w:val="41"/>
          <w:rtl/>
          <w:lang w:bidi="fa-IR"/>
        </w:rPr>
        <w:t xml:space="preserve"> </w:t>
      </w:r>
      <w:r w:rsidRPr="00A47EA9">
        <w:rPr>
          <w:rFonts w:hint="cs"/>
          <w:sz w:val="41"/>
          <w:szCs w:val="41"/>
          <w:rtl/>
          <w:lang w:bidi="fa-IR"/>
        </w:rPr>
        <w:t>أ</w:t>
      </w:r>
      <w:r w:rsidRPr="00A47EA9">
        <w:rPr>
          <w:sz w:val="41"/>
          <w:szCs w:val="41"/>
          <w:rtl/>
          <w:lang w:bidi="fa-IR"/>
        </w:rPr>
        <w:t>نموذجاً</w:t>
      </w:r>
      <w:bookmarkEnd w:id="25"/>
    </w:p>
    <w:p w:rsidR="00E83C22" w:rsidRPr="00904FCB" w:rsidRDefault="00E83C22" w:rsidP="007A21AA">
      <w:pPr>
        <w:spacing w:line="400" w:lineRule="exact"/>
        <w:rPr>
          <w:rtl/>
        </w:rPr>
      </w:pPr>
    </w:p>
    <w:p w:rsidR="00E83C22" w:rsidRPr="00904FCB" w:rsidRDefault="007D5365" w:rsidP="007A21AA">
      <w:pPr>
        <w:pStyle w:val="Author"/>
        <w:spacing w:line="400" w:lineRule="exact"/>
        <w:rPr>
          <w:rtl/>
        </w:rPr>
      </w:pPr>
      <w:bookmarkStart w:id="26" w:name="_Toc435577188"/>
      <w:r w:rsidRPr="00904FCB">
        <w:rPr>
          <w:rtl/>
          <w:lang w:bidi="fa-IR"/>
        </w:rPr>
        <w:t>د</w:t>
      </w:r>
      <w:r w:rsidRPr="00904FCB">
        <w:rPr>
          <w:rFonts w:hint="cs"/>
          <w:rtl/>
        </w:rPr>
        <w:t xml:space="preserve">. </w:t>
      </w:r>
      <w:r w:rsidRPr="00904FCB">
        <w:rPr>
          <w:rtl/>
          <w:lang w:bidi="fa-IR"/>
        </w:rPr>
        <w:t>الشيخ صاحب محمد حسين نص</w:t>
      </w:r>
      <w:r w:rsidRPr="00904FCB">
        <w:rPr>
          <w:rFonts w:hint="cs"/>
          <w:rtl/>
          <w:lang w:bidi="fa-IR"/>
        </w:rPr>
        <w:t>ّ</w:t>
      </w:r>
      <w:r w:rsidRPr="00904FCB">
        <w:rPr>
          <w:rtl/>
          <w:lang w:bidi="fa-IR"/>
        </w:rPr>
        <w:t>ار</w:t>
      </w:r>
      <w:r w:rsidR="00DB1A12" w:rsidRPr="00DB1A12">
        <w:rPr>
          <w:rFonts w:hint="cs"/>
          <w:sz w:val="6"/>
          <w:szCs w:val="6"/>
          <w:rtl/>
          <w:lang w:bidi="fa-IR"/>
        </w:rPr>
        <w:t xml:space="preserve"> </w:t>
      </w:r>
      <w:r w:rsidR="00527634" w:rsidRPr="00904FCB">
        <w:rPr>
          <w:rFonts w:cs="Taher" w:hint="cs"/>
          <w:vertAlign w:val="superscript"/>
          <w:rtl/>
        </w:rPr>
        <w:t>(</w:t>
      </w:r>
      <w:r w:rsidR="00527634" w:rsidRPr="00904FCB">
        <w:rPr>
          <w:rFonts w:cs="Taher"/>
          <w:vertAlign w:val="superscript"/>
          <w:rtl/>
        </w:rPr>
        <w:footnoteReference w:customMarkFollows="1" w:id="8"/>
        <w:t>*)</w:t>
      </w:r>
      <w:bookmarkEnd w:id="26"/>
    </w:p>
    <w:p w:rsidR="00E83C22" w:rsidRPr="00904FCB" w:rsidRDefault="00E83C22" w:rsidP="007A21AA">
      <w:pPr>
        <w:spacing w:line="400" w:lineRule="exact"/>
        <w:rPr>
          <w:rtl/>
        </w:rPr>
      </w:pPr>
    </w:p>
    <w:p w:rsidR="00644408" w:rsidRPr="00904FCB" w:rsidRDefault="00644408" w:rsidP="007A21AA">
      <w:pPr>
        <w:pStyle w:val="31"/>
        <w:spacing w:line="400" w:lineRule="exact"/>
        <w:rPr>
          <w:color w:val="auto"/>
        </w:rPr>
      </w:pPr>
      <w:r w:rsidRPr="00904FCB">
        <w:rPr>
          <w:rFonts w:hint="cs"/>
          <w:color w:val="auto"/>
          <w:rtl/>
        </w:rPr>
        <w:t>م</w:t>
      </w:r>
      <w:r w:rsidRPr="00904FCB">
        <w:rPr>
          <w:color w:val="auto"/>
          <w:rtl/>
        </w:rPr>
        <w:t>قد</w:t>
      </w:r>
      <w:r w:rsidRPr="00904FCB">
        <w:rPr>
          <w:rFonts w:hint="cs"/>
          <w:color w:val="auto"/>
          <w:rtl/>
        </w:rPr>
        <w:t>ّ</w:t>
      </w:r>
      <w:r w:rsidRPr="00904FCB">
        <w:rPr>
          <w:color w:val="auto"/>
          <w:rtl/>
        </w:rPr>
        <w:t>مة</w:t>
      </w:r>
    </w:p>
    <w:p w:rsidR="00644408" w:rsidRPr="00904FCB" w:rsidRDefault="00644408" w:rsidP="00A47EA9">
      <w:pPr>
        <w:autoSpaceDE w:val="0"/>
        <w:autoSpaceDN w:val="0"/>
        <w:adjustRightInd w:val="0"/>
        <w:spacing w:line="400" w:lineRule="exact"/>
        <w:ind w:firstLine="561"/>
        <w:rPr>
          <w:rFonts w:ascii="Tahoma" w:hAnsi="Tahoma"/>
          <w:sz w:val="27"/>
          <w:lang w:bidi="fa-IR"/>
        </w:rPr>
      </w:pPr>
      <w:r w:rsidRPr="00904FCB">
        <w:rPr>
          <w:rFonts w:ascii="Tahoma" w:hAnsi="Tahoma"/>
          <w:sz w:val="27"/>
          <w:rtl/>
          <w:lang w:bidi="fa-IR"/>
        </w:rPr>
        <w:t xml:space="preserve">الفقه الإسلامي </w:t>
      </w:r>
      <w:r w:rsidR="00F41255" w:rsidRPr="00904FCB">
        <w:rPr>
          <w:rFonts w:ascii="Tahoma" w:hAnsi="Tahoma" w:hint="cs"/>
          <w:sz w:val="27"/>
          <w:rtl/>
          <w:lang w:bidi="fa-IR"/>
        </w:rPr>
        <w:t xml:space="preserve">هو </w:t>
      </w:r>
      <w:r w:rsidRPr="00904FCB">
        <w:rPr>
          <w:rFonts w:ascii="Tahoma" w:hAnsi="Tahoma"/>
          <w:sz w:val="27"/>
          <w:rtl/>
          <w:lang w:bidi="fa-IR"/>
        </w:rPr>
        <w:t>الدعامة التي يرتكز عليها التطبيق الأمثل لتعاليم السماء وفق شريعة سي</w:t>
      </w:r>
      <w:r w:rsidR="00F41255" w:rsidRPr="00904FCB">
        <w:rPr>
          <w:rFonts w:ascii="Tahoma" w:hAnsi="Tahoma" w:hint="cs"/>
          <w:sz w:val="27"/>
          <w:rtl/>
          <w:lang w:bidi="fa-IR"/>
        </w:rPr>
        <w:t>ّ</w:t>
      </w:r>
      <w:r w:rsidRPr="00904FCB">
        <w:rPr>
          <w:rFonts w:ascii="Tahoma" w:hAnsi="Tahoma"/>
          <w:sz w:val="27"/>
          <w:rtl/>
          <w:lang w:bidi="fa-IR"/>
        </w:rPr>
        <w:t>د الرسل والأنبياء محمد</w:t>
      </w:r>
      <w:r w:rsidR="00635E51" w:rsidRPr="00904FCB">
        <w:rPr>
          <w:rFonts w:ascii="Tahoma" w:hAnsi="Tahoma" w:cs="Mosawi"/>
          <w:sz w:val="27"/>
          <w:szCs w:val="22"/>
          <w:rtl/>
          <w:lang w:bidi="fa-IR"/>
        </w:rPr>
        <w:t>|</w:t>
      </w:r>
      <w:r w:rsidR="00F41255" w:rsidRPr="00904FCB">
        <w:rPr>
          <w:rFonts w:ascii="Tahoma" w:hAnsi="Tahoma" w:hint="cs"/>
          <w:sz w:val="27"/>
          <w:rtl/>
          <w:lang w:bidi="fa-IR"/>
        </w:rPr>
        <w:t>.</w:t>
      </w:r>
      <w:r w:rsidRPr="00904FCB">
        <w:rPr>
          <w:rFonts w:ascii="Tahoma" w:hAnsi="Tahoma"/>
          <w:sz w:val="27"/>
          <w:rtl/>
          <w:lang w:bidi="fa-IR"/>
        </w:rPr>
        <w:t xml:space="preserve"> وقد مرّ</w:t>
      </w:r>
      <w:r w:rsidR="00F41255" w:rsidRPr="00904FCB">
        <w:rPr>
          <w:rFonts w:ascii="Tahoma" w:hAnsi="Tahoma" w:hint="cs"/>
          <w:sz w:val="27"/>
          <w:rtl/>
          <w:lang w:bidi="fa-IR"/>
        </w:rPr>
        <w:t>َ</w:t>
      </w:r>
      <w:r w:rsidRPr="00904FCB">
        <w:rPr>
          <w:rFonts w:ascii="Tahoma" w:hAnsi="Tahoma"/>
          <w:sz w:val="27"/>
          <w:rtl/>
          <w:lang w:bidi="fa-IR"/>
        </w:rPr>
        <w:t xml:space="preserve"> بمراحل تاريخية متعد</w:t>
      </w:r>
      <w:r w:rsidR="00F41255" w:rsidRPr="00904FCB">
        <w:rPr>
          <w:rFonts w:ascii="Tahoma" w:hAnsi="Tahoma" w:hint="cs"/>
          <w:sz w:val="27"/>
          <w:rtl/>
          <w:lang w:bidi="fa-IR"/>
        </w:rPr>
        <w:t>ِّ</w:t>
      </w:r>
      <w:r w:rsidRPr="00904FCB">
        <w:rPr>
          <w:rFonts w:ascii="Tahoma" w:hAnsi="Tahoma"/>
          <w:sz w:val="27"/>
          <w:rtl/>
          <w:lang w:bidi="fa-IR"/>
        </w:rPr>
        <w:t>دة</w:t>
      </w:r>
      <w:r w:rsidR="00F41255" w:rsidRPr="00904FCB">
        <w:rPr>
          <w:rFonts w:ascii="Tahoma" w:hAnsi="Tahoma" w:hint="cs"/>
          <w:sz w:val="27"/>
          <w:rtl/>
          <w:lang w:bidi="fa-IR"/>
        </w:rPr>
        <w:t>،</w:t>
      </w:r>
      <w:r w:rsidRPr="00904FCB">
        <w:rPr>
          <w:rFonts w:ascii="Tahoma" w:hAnsi="Tahoma"/>
          <w:sz w:val="27"/>
          <w:rtl/>
          <w:lang w:bidi="fa-IR"/>
        </w:rPr>
        <w:t xml:space="preserve"> ولم يُخرق ولم ي</w:t>
      </w:r>
      <w:r w:rsidR="00F41255" w:rsidRPr="00904FCB">
        <w:rPr>
          <w:rFonts w:ascii="Tahoma" w:hAnsi="Tahoma" w:hint="cs"/>
          <w:sz w:val="27"/>
          <w:rtl/>
          <w:lang w:bidi="fa-IR"/>
        </w:rPr>
        <w:t>َ</w:t>
      </w:r>
      <w:r w:rsidRPr="00904FCB">
        <w:rPr>
          <w:rFonts w:ascii="Tahoma" w:hAnsi="Tahoma"/>
          <w:sz w:val="27"/>
          <w:rtl/>
          <w:lang w:bidi="fa-IR"/>
        </w:rPr>
        <w:t>ب</w:t>
      </w:r>
      <w:r w:rsidR="00F41255" w:rsidRPr="00904FCB">
        <w:rPr>
          <w:rFonts w:ascii="Tahoma" w:hAnsi="Tahoma" w:hint="cs"/>
          <w:sz w:val="27"/>
          <w:rtl/>
          <w:lang w:bidi="fa-IR"/>
        </w:rPr>
        <w:t>ْ</w:t>
      </w:r>
      <w:r w:rsidRPr="00904FCB">
        <w:rPr>
          <w:rFonts w:ascii="Tahoma" w:hAnsi="Tahoma"/>
          <w:sz w:val="27"/>
          <w:rtl/>
          <w:lang w:bidi="fa-IR"/>
        </w:rPr>
        <w:t>ل</w:t>
      </w:r>
      <w:r w:rsidR="00F41255" w:rsidRPr="00904FCB">
        <w:rPr>
          <w:rFonts w:ascii="Tahoma" w:hAnsi="Tahoma" w:hint="cs"/>
          <w:sz w:val="27"/>
          <w:rtl/>
          <w:lang w:bidi="fa-IR"/>
        </w:rPr>
        <w:t>َ.</w:t>
      </w:r>
      <w:r w:rsidRPr="00904FCB">
        <w:rPr>
          <w:rFonts w:ascii="Tahoma" w:hAnsi="Tahoma"/>
          <w:sz w:val="27"/>
          <w:rtl/>
          <w:lang w:bidi="fa-IR"/>
        </w:rPr>
        <w:t xml:space="preserve"> طالما </w:t>
      </w:r>
      <w:r w:rsidR="00F41255" w:rsidRPr="00904FCB">
        <w:rPr>
          <w:rFonts w:ascii="Tahoma" w:hAnsi="Tahoma" w:hint="cs"/>
          <w:sz w:val="27"/>
          <w:rtl/>
          <w:lang w:bidi="fa-IR"/>
        </w:rPr>
        <w:t>ا</w:t>
      </w:r>
      <w:r w:rsidRPr="00904FCB">
        <w:rPr>
          <w:rFonts w:ascii="Tahoma" w:hAnsi="Tahoma"/>
          <w:sz w:val="27"/>
          <w:rtl/>
          <w:lang w:bidi="fa-IR"/>
        </w:rPr>
        <w:t>عترضته نظريات وأقوال حاولت</w:t>
      </w:r>
      <w:r w:rsidR="00F41255" w:rsidRPr="00904FCB">
        <w:rPr>
          <w:rFonts w:ascii="Tahoma" w:hAnsi="Tahoma" w:hint="cs"/>
          <w:sz w:val="27"/>
          <w:rtl/>
          <w:lang w:bidi="fa-IR"/>
        </w:rPr>
        <w:t>،</w:t>
      </w:r>
      <w:r w:rsidRPr="00904FCB">
        <w:rPr>
          <w:rFonts w:ascii="Tahoma" w:hAnsi="Tahoma"/>
          <w:sz w:val="27"/>
          <w:rtl/>
          <w:lang w:bidi="fa-IR"/>
        </w:rPr>
        <w:t xml:space="preserve"> عامدة</w:t>
      </w:r>
      <w:r w:rsidR="00F41255" w:rsidRPr="00904FCB">
        <w:rPr>
          <w:rFonts w:ascii="Tahoma" w:hAnsi="Tahoma" w:hint="cs"/>
          <w:sz w:val="27"/>
          <w:rtl/>
          <w:lang w:bidi="fa-IR"/>
        </w:rPr>
        <w:t>ً</w:t>
      </w:r>
      <w:r w:rsidRPr="00904FCB">
        <w:rPr>
          <w:rFonts w:ascii="Tahoma" w:hAnsi="Tahoma"/>
          <w:sz w:val="27"/>
          <w:rtl/>
          <w:lang w:bidi="fa-IR"/>
        </w:rPr>
        <w:t xml:space="preserve"> أو عن غير قصد</w:t>
      </w:r>
      <w:r w:rsidR="00F41255" w:rsidRPr="00904FCB">
        <w:rPr>
          <w:rFonts w:ascii="Tahoma" w:hAnsi="Tahoma" w:hint="cs"/>
          <w:sz w:val="27"/>
          <w:rtl/>
          <w:lang w:bidi="fa-IR"/>
        </w:rPr>
        <w:t>ٍ،</w:t>
      </w:r>
      <w:r w:rsidR="00F41255" w:rsidRPr="00904FCB">
        <w:rPr>
          <w:rFonts w:ascii="Tahoma" w:hAnsi="Tahoma"/>
          <w:sz w:val="27"/>
          <w:rtl/>
          <w:lang w:bidi="fa-IR"/>
        </w:rPr>
        <w:t xml:space="preserve"> أن تغي</w:t>
      </w:r>
      <w:r w:rsidR="00F41255" w:rsidRPr="00904FCB">
        <w:rPr>
          <w:rFonts w:ascii="Tahoma" w:hAnsi="Tahoma" w:hint="cs"/>
          <w:sz w:val="27"/>
          <w:rtl/>
          <w:lang w:bidi="fa-IR"/>
        </w:rPr>
        <w:t>ِّ</w:t>
      </w:r>
      <w:r w:rsidR="00F41255" w:rsidRPr="00904FCB">
        <w:rPr>
          <w:rFonts w:ascii="Tahoma" w:hAnsi="Tahoma"/>
          <w:sz w:val="27"/>
          <w:rtl/>
          <w:lang w:bidi="fa-IR"/>
        </w:rPr>
        <w:t>ر مساره أو تحر</w:t>
      </w:r>
      <w:r w:rsidRPr="00904FCB">
        <w:rPr>
          <w:rFonts w:ascii="Tahoma" w:hAnsi="Tahoma"/>
          <w:sz w:val="27"/>
          <w:rtl/>
          <w:lang w:bidi="fa-IR"/>
        </w:rPr>
        <w:t>فه عن جاد</w:t>
      </w:r>
      <w:r w:rsidR="00F41255" w:rsidRPr="00904FCB">
        <w:rPr>
          <w:rFonts w:ascii="Tahoma" w:hAnsi="Tahoma" w:hint="cs"/>
          <w:sz w:val="27"/>
          <w:rtl/>
          <w:lang w:bidi="fa-IR"/>
        </w:rPr>
        <w:t>ّ</w:t>
      </w:r>
      <w:r w:rsidRPr="00904FCB">
        <w:rPr>
          <w:rFonts w:ascii="Tahoma" w:hAnsi="Tahoma"/>
          <w:sz w:val="27"/>
          <w:rtl/>
          <w:lang w:bidi="fa-IR"/>
        </w:rPr>
        <w:t xml:space="preserve">ة الصواب فما أفلحت، وعادت الجهود أدراج الرياح، </w:t>
      </w:r>
      <w:r w:rsidR="00F41255" w:rsidRPr="00904FCB">
        <w:rPr>
          <w:rFonts w:ascii="Tahoma" w:hAnsi="Tahoma" w:hint="cs"/>
          <w:sz w:val="27"/>
          <w:rtl/>
          <w:lang w:bidi="fa-IR"/>
        </w:rPr>
        <w:t>وغابت</w:t>
      </w:r>
      <w:r w:rsidRPr="00904FCB">
        <w:rPr>
          <w:rFonts w:ascii="Tahoma" w:hAnsi="Tahoma"/>
          <w:sz w:val="27"/>
          <w:rtl/>
          <w:lang w:bidi="fa-IR"/>
        </w:rPr>
        <w:t xml:space="preserve"> </w:t>
      </w:r>
      <w:r w:rsidR="00F41255" w:rsidRPr="00904FCB">
        <w:rPr>
          <w:rFonts w:ascii="Tahoma" w:hAnsi="Tahoma" w:hint="cs"/>
          <w:sz w:val="27"/>
          <w:rtl/>
          <w:lang w:bidi="fa-IR"/>
        </w:rPr>
        <w:t xml:space="preserve">هذه </w:t>
      </w:r>
      <w:r w:rsidRPr="00904FCB">
        <w:rPr>
          <w:rFonts w:ascii="Tahoma" w:hAnsi="Tahoma"/>
          <w:sz w:val="27"/>
          <w:rtl/>
          <w:lang w:bidi="fa-IR"/>
        </w:rPr>
        <w:t xml:space="preserve">الأقوال </w:t>
      </w:r>
      <w:r w:rsidR="00F41255" w:rsidRPr="00904FCB">
        <w:rPr>
          <w:rFonts w:ascii="Tahoma" w:hAnsi="Tahoma" w:hint="cs"/>
          <w:sz w:val="27"/>
          <w:rtl/>
          <w:lang w:bidi="fa-IR"/>
        </w:rPr>
        <w:t>في</w:t>
      </w:r>
      <w:r w:rsidRPr="00904FCB">
        <w:rPr>
          <w:rFonts w:ascii="Tahoma" w:hAnsi="Tahoma"/>
          <w:sz w:val="27"/>
          <w:rtl/>
          <w:lang w:bidi="fa-IR"/>
        </w:rPr>
        <w:t xml:space="preserve"> طي</w:t>
      </w:r>
      <w:r w:rsidR="00F41255" w:rsidRPr="00904FCB">
        <w:rPr>
          <w:rFonts w:ascii="Tahoma" w:hAnsi="Tahoma" w:hint="cs"/>
          <w:sz w:val="27"/>
          <w:rtl/>
          <w:lang w:bidi="fa-IR"/>
        </w:rPr>
        <w:t>ّ</w:t>
      </w:r>
      <w:r w:rsidRPr="00904FCB">
        <w:rPr>
          <w:rFonts w:ascii="Tahoma" w:hAnsi="Tahoma"/>
          <w:sz w:val="27"/>
          <w:rtl/>
          <w:lang w:bidi="fa-IR"/>
        </w:rPr>
        <w:t>ات النسيان</w:t>
      </w:r>
      <w:r w:rsidR="00F41255" w:rsidRPr="00904FCB">
        <w:rPr>
          <w:rFonts w:ascii="Tahoma" w:hAnsi="Tahoma" w:hint="cs"/>
          <w:sz w:val="27"/>
          <w:rtl/>
          <w:lang w:bidi="fa-IR"/>
        </w:rPr>
        <w:t>؛</w:t>
      </w:r>
      <w:r w:rsidRPr="00904FCB">
        <w:rPr>
          <w:rFonts w:ascii="Tahoma" w:hAnsi="Tahoma"/>
          <w:sz w:val="27"/>
          <w:rtl/>
          <w:lang w:bidi="fa-IR"/>
        </w:rPr>
        <w:t xml:space="preserve"> </w:t>
      </w:r>
      <w:r w:rsidR="00F41255" w:rsidRPr="00904FCB">
        <w:rPr>
          <w:rFonts w:ascii="Tahoma" w:hAnsi="Tahoma" w:hint="cs"/>
          <w:sz w:val="27"/>
          <w:rtl/>
          <w:lang w:bidi="fa-IR"/>
        </w:rPr>
        <w:t>لأنّه كان</w:t>
      </w:r>
      <w:r w:rsidRPr="00904FCB">
        <w:rPr>
          <w:rFonts w:ascii="Tahoma" w:hAnsi="Tahoma"/>
          <w:sz w:val="27"/>
          <w:rtl/>
          <w:lang w:bidi="fa-IR"/>
        </w:rPr>
        <w:t xml:space="preserve"> فكراً </w:t>
      </w:r>
      <w:r w:rsidR="00F41255" w:rsidRPr="00904FCB">
        <w:rPr>
          <w:rFonts w:ascii="Tahoma" w:hAnsi="Tahoma" w:hint="cs"/>
          <w:sz w:val="27"/>
          <w:rtl/>
          <w:lang w:bidi="fa-IR"/>
        </w:rPr>
        <w:t>إ</w:t>
      </w:r>
      <w:r w:rsidRPr="00904FCB">
        <w:rPr>
          <w:rFonts w:ascii="Tahoma" w:hAnsi="Tahoma"/>
          <w:sz w:val="27"/>
          <w:rtl/>
          <w:lang w:bidi="fa-IR"/>
        </w:rPr>
        <w:t>لهياً نابعاً من ذات الإنسان التي لم تؤث</w:t>
      </w:r>
      <w:r w:rsidR="00F41255" w:rsidRPr="00904FCB">
        <w:rPr>
          <w:rFonts w:ascii="Tahoma" w:hAnsi="Tahoma" w:hint="cs"/>
          <w:sz w:val="27"/>
          <w:rtl/>
          <w:lang w:bidi="fa-IR"/>
        </w:rPr>
        <w:t>ّ</w:t>
      </w:r>
      <w:r w:rsidRPr="00904FCB">
        <w:rPr>
          <w:rFonts w:ascii="Tahoma" w:hAnsi="Tahoma"/>
          <w:sz w:val="27"/>
          <w:rtl/>
          <w:lang w:bidi="fa-IR"/>
        </w:rPr>
        <w:t>ر عليها متغي</w:t>
      </w:r>
      <w:r w:rsidR="00F41255" w:rsidRPr="00904FCB">
        <w:rPr>
          <w:rFonts w:ascii="Tahoma" w:hAnsi="Tahoma" w:hint="cs"/>
          <w:sz w:val="27"/>
          <w:rtl/>
          <w:lang w:bidi="fa-IR"/>
        </w:rPr>
        <w:t>ّ</w:t>
      </w:r>
      <w:r w:rsidRPr="00904FCB">
        <w:rPr>
          <w:rFonts w:ascii="Tahoma" w:hAnsi="Tahoma"/>
          <w:sz w:val="27"/>
          <w:rtl/>
          <w:lang w:bidi="fa-IR"/>
        </w:rPr>
        <w:t>رات الدهر، وتعاضدت عليه جهود</w:t>
      </w:r>
      <w:r w:rsidR="00DB1A12">
        <w:rPr>
          <w:rFonts w:ascii="Tahoma" w:hAnsi="Tahoma" w:hint="cs"/>
          <w:sz w:val="27"/>
          <w:rtl/>
          <w:lang w:bidi="fa-IR"/>
        </w:rPr>
        <w:t>ٌ</w:t>
      </w:r>
      <w:r w:rsidRPr="00904FCB">
        <w:rPr>
          <w:rFonts w:ascii="Tahoma" w:hAnsi="Tahoma"/>
          <w:sz w:val="27"/>
          <w:rtl/>
          <w:lang w:bidi="fa-IR"/>
        </w:rPr>
        <w:t xml:space="preserve"> جب</w:t>
      </w:r>
      <w:r w:rsidR="00DB1A12">
        <w:rPr>
          <w:rFonts w:ascii="Tahoma" w:hAnsi="Tahoma" w:hint="cs"/>
          <w:sz w:val="27"/>
          <w:rtl/>
          <w:lang w:bidi="fa-IR"/>
        </w:rPr>
        <w:t>ّ</w:t>
      </w:r>
      <w:r w:rsidRPr="00904FCB">
        <w:rPr>
          <w:rFonts w:ascii="Tahoma" w:hAnsi="Tahoma"/>
          <w:sz w:val="27"/>
          <w:rtl/>
          <w:lang w:bidi="fa-IR"/>
        </w:rPr>
        <w:t>ارة مخلصة من علماء الأمة ومفك</w:t>
      </w:r>
      <w:r w:rsidR="00F41255" w:rsidRPr="00904FCB">
        <w:rPr>
          <w:rFonts w:ascii="Tahoma" w:hAnsi="Tahoma" w:hint="cs"/>
          <w:sz w:val="27"/>
          <w:rtl/>
          <w:lang w:bidi="fa-IR"/>
        </w:rPr>
        <w:t>ِّ</w:t>
      </w:r>
      <w:r w:rsidRPr="00904FCB">
        <w:rPr>
          <w:rFonts w:ascii="Tahoma" w:hAnsi="Tahoma"/>
          <w:sz w:val="27"/>
          <w:rtl/>
          <w:lang w:bidi="fa-IR"/>
        </w:rPr>
        <w:t>ريها، حت</w:t>
      </w:r>
      <w:r w:rsidR="00F41255" w:rsidRPr="00904FCB">
        <w:rPr>
          <w:rFonts w:ascii="Tahoma" w:hAnsi="Tahoma" w:hint="cs"/>
          <w:sz w:val="27"/>
          <w:rtl/>
          <w:lang w:bidi="fa-IR"/>
        </w:rPr>
        <w:t>ّ</w:t>
      </w:r>
      <w:r w:rsidRPr="00904FCB">
        <w:rPr>
          <w:rFonts w:ascii="Tahoma" w:hAnsi="Tahoma"/>
          <w:sz w:val="27"/>
          <w:rtl/>
          <w:lang w:bidi="fa-IR"/>
        </w:rPr>
        <w:t>ى تفر</w:t>
      </w:r>
      <w:r w:rsidR="00F41255" w:rsidRPr="00904FCB">
        <w:rPr>
          <w:rFonts w:ascii="Tahoma" w:hAnsi="Tahoma" w:hint="cs"/>
          <w:sz w:val="27"/>
          <w:rtl/>
          <w:lang w:bidi="fa-IR"/>
        </w:rPr>
        <w:t>ّ</w:t>
      </w:r>
      <w:r w:rsidRPr="00904FCB">
        <w:rPr>
          <w:rFonts w:ascii="Tahoma" w:hAnsi="Tahoma"/>
          <w:sz w:val="27"/>
          <w:rtl/>
          <w:lang w:bidi="fa-IR"/>
        </w:rPr>
        <w:t>عت عليه ومنه علوم متعد</w:t>
      </w:r>
      <w:r w:rsidR="00F41255" w:rsidRPr="00904FCB">
        <w:rPr>
          <w:rFonts w:ascii="Tahoma" w:hAnsi="Tahoma" w:hint="cs"/>
          <w:sz w:val="27"/>
          <w:rtl/>
          <w:lang w:bidi="fa-IR"/>
        </w:rPr>
        <w:t>ّ</w:t>
      </w:r>
      <w:r w:rsidRPr="00904FCB">
        <w:rPr>
          <w:rFonts w:ascii="Tahoma" w:hAnsi="Tahoma"/>
          <w:sz w:val="27"/>
          <w:rtl/>
          <w:lang w:bidi="fa-IR"/>
        </w:rPr>
        <w:t>دة</w:t>
      </w:r>
      <w:r w:rsidR="00F41255" w:rsidRPr="00904FCB">
        <w:rPr>
          <w:rFonts w:ascii="Tahoma" w:hAnsi="Tahoma" w:hint="cs"/>
          <w:sz w:val="27"/>
          <w:rtl/>
          <w:lang w:bidi="fa-IR"/>
        </w:rPr>
        <w:t>،</w:t>
      </w:r>
      <w:r w:rsidRPr="00904FCB">
        <w:rPr>
          <w:rFonts w:ascii="Tahoma" w:hAnsi="Tahoma"/>
          <w:sz w:val="27"/>
          <w:rtl/>
          <w:lang w:bidi="fa-IR"/>
        </w:rPr>
        <w:t xml:space="preserve"> أغنت المكتبة الإنسانية بنتاج لم تشه</w:t>
      </w:r>
      <w:r w:rsidR="00F41255" w:rsidRPr="00904FCB">
        <w:rPr>
          <w:rFonts w:ascii="Tahoma" w:hAnsi="Tahoma" w:hint="cs"/>
          <w:sz w:val="27"/>
          <w:rtl/>
          <w:lang w:bidi="fa-IR"/>
        </w:rPr>
        <w:t>َ</w:t>
      </w:r>
      <w:r w:rsidRPr="00904FCB">
        <w:rPr>
          <w:rFonts w:ascii="Tahoma" w:hAnsi="Tahoma"/>
          <w:sz w:val="27"/>
          <w:rtl/>
          <w:lang w:bidi="fa-IR"/>
        </w:rPr>
        <w:t>د</w:t>
      </w:r>
      <w:r w:rsidR="00F41255" w:rsidRPr="00904FCB">
        <w:rPr>
          <w:rFonts w:ascii="Tahoma" w:hAnsi="Tahoma" w:hint="cs"/>
          <w:sz w:val="27"/>
          <w:rtl/>
          <w:lang w:bidi="fa-IR"/>
        </w:rPr>
        <w:t>ْ</w:t>
      </w:r>
      <w:r w:rsidR="00F41255" w:rsidRPr="00904FCB">
        <w:rPr>
          <w:rFonts w:ascii="Tahoma" w:hAnsi="Tahoma"/>
          <w:sz w:val="27"/>
          <w:rtl/>
          <w:lang w:bidi="fa-IR"/>
        </w:rPr>
        <w:t>ه</w:t>
      </w:r>
      <w:r w:rsidRPr="00904FCB">
        <w:rPr>
          <w:rFonts w:ascii="Tahoma" w:hAnsi="Tahoma"/>
          <w:sz w:val="27"/>
          <w:rtl/>
          <w:lang w:bidi="fa-IR"/>
        </w:rPr>
        <w:t xml:space="preserve"> من قبل، ولم تضاهيه علوم</w:t>
      </w:r>
      <w:r w:rsidR="00F41255" w:rsidRPr="00904FCB">
        <w:rPr>
          <w:rFonts w:ascii="Tahoma" w:hAnsi="Tahoma" w:hint="cs"/>
          <w:sz w:val="27"/>
          <w:rtl/>
          <w:lang w:bidi="fa-IR"/>
        </w:rPr>
        <w:t>ٌ</w:t>
      </w:r>
      <w:r w:rsidRPr="00904FCB">
        <w:rPr>
          <w:rFonts w:ascii="Tahoma" w:hAnsi="Tahoma"/>
          <w:sz w:val="27"/>
          <w:rtl/>
          <w:lang w:bidi="fa-IR"/>
        </w:rPr>
        <w:t xml:space="preserve"> من بعد. </w:t>
      </w:r>
    </w:p>
    <w:p w:rsidR="00644408" w:rsidRPr="00904FCB" w:rsidRDefault="00644408" w:rsidP="00062936">
      <w:pPr>
        <w:autoSpaceDE w:val="0"/>
        <w:autoSpaceDN w:val="0"/>
        <w:adjustRightInd w:val="0"/>
        <w:rPr>
          <w:rFonts w:ascii="Tahoma" w:hAnsi="Tahoma"/>
          <w:sz w:val="27"/>
          <w:lang w:bidi="fa-IR"/>
        </w:rPr>
      </w:pPr>
      <w:r w:rsidRPr="00904FCB">
        <w:rPr>
          <w:rFonts w:ascii="Tahoma" w:hAnsi="Tahoma"/>
          <w:sz w:val="27"/>
          <w:rtl/>
          <w:lang w:bidi="fa-IR"/>
        </w:rPr>
        <w:t>ولم يَع</w:t>
      </w:r>
      <w:r w:rsidR="00F41255" w:rsidRPr="00904FCB">
        <w:rPr>
          <w:rFonts w:ascii="Tahoma" w:hAnsi="Tahoma" w:hint="cs"/>
          <w:sz w:val="27"/>
          <w:rtl/>
          <w:lang w:bidi="fa-IR"/>
        </w:rPr>
        <w:t>ُ</w:t>
      </w:r>
      <w:r w:rsidRPr="00904FCB">
        <w:rPr>
          <w:rFonts w:ascii="Tahoma" w:hAnsi="Tahoma"/>
          <w:sz w:val="27"/>
          <w:rtl/>
          <w:lang w:bidi="fa-IR"/>
        </w:rPr>
        <w:t>دْ الفقه نظريات مُود</w:t>
      </w:r>
      <w:r w:rsidR="00F41255" w:rsidRPr="00904FCB">
        <w:rPr>
          <w:rFonts w:ascii="Tahoma" w:hAnsi="Tahoma" w:hint="cs"/>
          <w:sz w:val="27"/>
          <w:rtl/>
          <w:lang w:bidi="fa-IR"/>
        </w:rPr>
        <w:t>َ</w:t>
      </w:r>
      <w:r w:rsidRPr="00904FCB">
        <w:rPr>
          <w:rFonts w:ascii="Tahoma" w:hAnsi="Tahoma"/>
          <w:sz w:val="27"/>
          <w:rtl/>
          <w:lang w:bidi="fa-IR"/>
        </w:rPr>
        <w:t>عة بين أروقة المكتبات ـ كما يحلو للبعض أن يت</w:t>
      </w:r>
      <w:r w:rsidR="00F41255" w:rsidRPr="00904FCB">
        <w:rPr>
          <w:rFonts w:ascii="Tahoma" w:hAnsi="Tahoma" w:hint="cs"/>
          <w:sz w:val="27"/>
          <w:rtl/>
          <w:lang w:bidi="fa-IR"/>
        </w:rPr>
        <w:t>َّ</w:t>
      </w:r>
      <w:r w:rsidRPr="00904FCB">
        <w:rPr>
          <w:rFonts w:ascii="Tahoma" w:hAnsi="Tahoma"/>
          <w:sz w:val="27"/>
          <w:rtl/>
          <w:lang w:bidi="fa-IR"/>
        </w:rPr>
        <w:t>همه ـ و</w:t>
      </w:r>
      <w:r w:rsidR="00F41255" w:rsidRPr="00904FCB">
        <w:rPr>
          <w:rFonts w:ascii="Tahoma" w:hAnsi="Tahoma" w:hint="cs"/>
          <w:sz w:val="27"/>
          <w:rtl/>
          <w:lang w:bidi="fa-IR"/>
        </w:rPr>
        <w:t>إ</w:t>
      </w:r>
      <w:r w:rsidRPr="00904FCB">
        <w:rPr>
          <w:rFonts w:ascii="Tahoma" w:hAnsi="Tahoma"/>
          <w:sz w:val="27"/>
          <w:rtl/>
          <w:lang w:bidi="fa-IR"/>
        </w:rPr>
        <w:t>نما هو واقع معاش، فهو نظام</w:t>
      </w:r>
      <w:r w:rsidR="00F41255" w:rsidRPr="00904FCB">
        <w:rPr>
          <w:rFonts w:ascii="Tahoma" w:hAnsi="Tahoma" w:hint="cs"/>
          <w:sz w:val="27"/>
          <w:rtl/>
          <w:lang w:bidi="fa-IR"/>
        </w:rPr>
        <w:t>ٌ</w:t>
      </w:r>
      <w:r w:rsidRPr="00904FCB">
        <w:rPr>
          <w:rFonts w:ascii="Tahoma" w:hAnsi="Tahoma"/>
          <w:sz w:val="27"/>
          <w:rtl/>
          <w:lang w:bidi="fa-IR"/>
        </w:rPr>
        <w:t xml:space="preserve"> سياسي، واقتصادي، واجتماعي، وتربوي</w:t>
      </w:r>
      <w:r w:rsidR="00F41255" w:rsidRPr="00904FCB">
        <w:rPr>
          <w:rFonts w:ascii="Tahoma" w:hAnsi="Tahoma" w:hint="cs"/>
          <w:sz w:val="27"/>
          <w:rtl/>
          <w:lang w:bidi="fa-IR"/>
        </w:rPr>
        <w:t>،</w:t>
      </w:r>
      <w:r w:rsidRPr="00904FCB">
        <w:rPr>
          <w:rFonts w:ascii="Tahoma" w:hAnsi="Tahoma"/>
          <w:sz w:val="27"/>
          <w:rtl/>
          <w:lang w:bidi="fa-IR"/>
        </w:rPr>
        <w:t xml:space="preserve"> وعلمي و</w:t>
      </w:r>
      <w:r w:rsidR="00F41255" w:rsidRPr="00904FCB">
        <w:rPr>
          <w:rFonts w:ascii="Tahoma" w:hAnsi="Tahoma" w:hint="cs"/>
          <w:sz w:val="27"/>
          <w:rtl/>
          <w:lang w:bidi="fa-IR"/>
        </w:rPr>
        <w:t>....</w:t>
      </w:r>
      <w:r w:rsidRPr="00904FCB">
        <w:rPr>
          <w:rFonts w:ascii="Tahoma" w:hAnsi="Tahoma"/>
          <w:sz w:val="27"/>
          <w:rtl/>
          <w:lang w:bidi="fa-IR"/>
        </w:rPr>
        <w:t xml:space="preserve"> والعالم اليوم </w:t>
      </w:r>
      <w:r w:rsidR="00F41255" w:rsidRPr="00904FCB">
        <w:rPr>
          <w:rFonts w:ascii="Tahoma" w:hAnsi="Tahoma" w:hint="cs"/>
          <w:sz w:val="27"/>
          <w:rtl/>
          <w:lang w:bidi="fa-IR"/>
        </w:rPr>
        <w:t>أ</w:t>
      </w:r>
      <w:r w:rsidRPr="00904FCB">
        <w:rPr>
          <w:rFonts w:ascii="Tahoma" w:hAnsi="Tahoma"/>
          <w:sz w:val="27"/>
          <w:rtl/>
          <w:lang w:bidi="fa-IR"/>
        </w:rPr>
        <w:t>حوج ما</w:t>
      </w:r>
      <w:r w:rsidR="00F41255" w:rsidRPr="00904FCB">
        <w:rPr>
          <w:rFonts w:ascii="Tahoma" w:hAnsi="Tahoma" w:hint="cs"/>
          <w:sz w:val="27"/>
          <w:rtl/>
          <w:lang w:bidi="fa-IR"/>
        </w:rPr>
        <w:t xml:space="preserve"> </w:t>
      </w:r>
      <w:r w:rsidRPr="00904FCB">
        <w:rPr>
          <w:rFonts w:ascii="Tahoma" w:hAnsi="Tahoma"/>
          <w:sz w:val="27"/>
          <w:rtl/>
          <w:lang w:bidi="fa-IR"/>
        </w:rPr>
        <w:t xml:space="preserve">يكون </w:t>
      </w:r>
      <w:r w:rsidR="00F41255" w:rsidRPr="00904FCB">
        <w:rPr>
          <w:rFonts w:ascii="Tahoma" w:hAnsi="Tahoma" w:hint="cs"/>
          <w:sz w:val="27"/>
          <w:rtl/>
          <w:lang w:bidi="fa-IR"/>
        </w:rPr>
        <w:t>إ</w:t>
      </w:r>
      <w:r w:rsidRPr="00904FCB">
        <w:rPr>
          <w:rFonts w:ascii="Tahoma" w:hAnsi="Tahoma"/>
          <w:sz w:val="27"/>
          <w:rtl/>
          <w:lang w:bidi="fa-IR"/>
        </w:rPr>
        <w:t>لى التطبيق الأمثل له، للكوارث والويلات والاستبداد التي تعاني منه الإنسانية جمعاء، ولم يسعدها التقد</w:t>
      </w:r>
      <w:r w:rsidR="00F41255" w:rsidRPr="00904FCB">
        <w:rPr>
          <w:rFonts w:ascii="Tahoma" w:hAnsi="Tahoma" w:hint="cs"/>
          <w:sz w:val="27"/>
          <w:rtl/>
          <w:lang w:bidi="fa-IR"/>
        </w:rPr>
        <w:t>ُّ</w:t>
      </w:r>
      <w:r w:rsidRPr="00904FCB">
        <w:rPr>
          <w:rFonts w:ascii="Tahoma" w:hAnsi="Tahoma"/>
          <w:sz w:val="27"/>
          <w:rtl/>
          <w:lang w:bidi="fa-IR"/>
        </w:rPr>
        <w:t>م العلمي الهائل والنظريات والمُث</w:t>
      </w:r>
      <w:r w:rsidR="00F41255" w:rsidRPr="00904FCB">
        <w:rPr>
          <w:rFonts w:ascii="Tahoma" w:hAnsi="Tahoma" w:hint="cs"/>
          <w:sz w:val="27"/>
          <w:rtl/>
          <w:lang w:bidi="fa-IR"/>
        </w:rPr>
        <w:t>ُ</w:t>
      </w:r>
      <w:r w:rsidR="00F41255" w:rsidRPr="00904FCB">
        <w:rPr>
          <w:rFonts w:ascii="Tahoma" w:hAnsi="Tahoma"/>
          <w:sz w:val="27"/>
          <w:rtl/>
          <w:lang w:bidi="fa-IR"/>
        </w:rPr>
        <w:t>ل التي ي</w:t>
      </w:r>
      <w:r w:rsidRPr="00904FCB">
        <w:rPr>
          <w:rFonts w:ascii="Tahoma" w:hAnsi="Tahoma"/>
          <w:sz w:val="27"/>
          <w:rtl/>
          <w:lang w:bidi="fa-IR"/>
        </w:rPr>
        <w:t>د</w:t>
      </w:r>
      <w:r w:rsidR="00F41255" w:rsidRPr="00904FCB">
        <w:rPr>
          <w:rFonts w:ascii="Tahoma" w:hAnsi="Tahoma" w:hint="cs"/>
          <w:sz w:val="27"/>
          <w:rtl/>
          <w:lang w:bidi="fa-IR"/>
        </w:rPr>
        <w:t>َّ</w:t>
      </w:r>
      <w:r w:rsidRPr="00904FCB">
        <w:rPr>
          <w:rFonts w:ascii="Tahoma" w:hAnsi="Tahoma"/>
          <w:sz w:val="27"/>
          <w:rtl/>
          <w:lang w:bidi="fa-IR"/>
        </w:rPr>
        <w:t>عيها أصحابها.</w:t>
      </w:r>
      <w:r w:rsidR="00F41255" w:rsidRPr="00904FCB">
        <w:rPr>
          <w:rFonts w:ascii="Tahoma" w:hAnsi="Tahoma" w:hint="cs"/>
          <w:sz w:val="27"/>
          <w:rtl/>
          <w:lang w:bidi="fa-IR"/>
        </w:rPr>
        <w:t>.</w:t>
      </w:r>
      <w:r w:rsidRPr="00904FCB">
        <w:rPr>
          <w:rFonts w:ascii="Tahoma" w:hAnsi="Tahoma"/>
          <w:sz w:val="27"/>
          <w:rtl/>
          <w:lang w:bidi="fa-IR"/>
        </w:rPr>
        <w:t>. وقد اعترف بذلك كل</w:t>
      </w:r>
      <w:r w:rsidR="00F41255" w:rsidRPr="00904FCB">
        <w:rPr>
          <w:rFonts w:ascii="Tahoma" w:hAnsi="Tahoma" w:hint="cs"/>
          <w:sz w:val="27"/>
          <w:rtl/>
          <w:lang w:bidi="fa-IR"/>
        </w:rPr>
        <w:t>ُّ</w:t>
      </w:r>
      <w:r w:rsidRPr="00904FCB">
        <w:rPr>
          <w:rFonts w:ascii="Tahoma" w:hAnsi="Tahoma"/>
          <w:sz w:val="27"/>
          <w:rtl/>
          <w:lang w:bidi="fa-IR"/>
        </w:rPr>
        <w:t xml:space="preserve"> مَنْ خلصت نواياهم من أجل الانسانية</w:t>
      </w:r>
      <w:r w:rsidR="00F41255" w:rsidRPr="00904FCB">
        <w:rPr>
          <w:rFonts w:ascii="Tahoma" w:hAnsi="Tahoma" w:hint="cs"/>
          <w:sz w:val="27"/>
          <w:rtl/>
          <w:lang w:bidi="fa-IR"/>
        </w:rPr>
        <w:t>.</w:t>
      </w:r>
      <w:r w:rsidRPr="00904FCB">
        <w:rPr>
          <w:rFonts w:ascii="Tahoma" w:hAnsi="Tahoma"/>
          <w:sz w:val="27"/>
          <w:rtl/>
          <w:lang w:bidi="fa-IR"/>
        </w:rPr>
        <w:t xml:space="preserve"> ولكن</w:t>
      </w:r>
      <w:r w:rsidR="00F41255" w:rsidRPr="00904FCB">
        <w:rPr>
          <w:rFonts w:ascii="Tahoma" w:hAnsi="Tahoma" w:hint="cs"/>
          <w:sz w:val="27"/>
          <w:rtl/>
          <w:lang w:bidi="fa-IR"/>
        </w:rPr>
        <w:t>ّ</w:t>
      </w:r>
      <w:r w:rsidRPr="00904FCB">
        <w:rPr>
          <w:rFonts w:ascii="Tahoma" w:hAnsi="Tahoma"/>
          <w:sz w:val="27"/>
          <w:rtl/>
          <w:lang w:bidi="fa-IR"/>
        </w:rPr>
        <w:t xml:space="preserve"> قواعد الفقه وتشريعاته و</w:t>
      </w:r>
      <w:r w:rsidR="00F41255" w:rsidRPr="00904FCB">
        <w:rPr>
          <w:rFonts w:ascii="Tahoma" w:hAnsi="Tahoma" w:hint="cs"/>
          <w:sz w:val="27"/>
          <w:rtl/>
          <w:lang w:bidi="fa-IR"/>
        </w:rPr>
        <w:t>أ</w:t>
      </w:r>
      <w:r w:rsidRPr="00904FCB">
        <w:rPr>
          <w:rFonts w:ascii="Tahoma" w:hAnsi="Tahoma"/>
          <w:sz w:val="27"/>
          <w:rtl/>
          <w:lang w:bidi="fa-IR"/>
        </w:rPr>
        <w:t xml:space="preserve">حكامه تحتاج </w:t>
      </w:r>
      <w:r w:rsidR="00F41255" w:rsidRPr="00904FCB">
        <w:rPr>
          <w:rFonts w:ascii="Tahoma" w:hAnsi="Tahoma" w:hint="cs"/>
          <w:sz w:val="27"/>
          <w:rtl/>
          <w:lang w:bidi="fa-IR"/>
        </w:rPr>
        <w:t>إ</w:t>
      </w:r>
      <w:r w:rsidRPr="00904FCB">
        <w:rPr>
          <w:rFonts w:ascii="Tahoma" w:hAnsi="Tahoma"/>
          <w:sz w:val="27"/>
          <w:rtl/>
          <w:lang w:bidi="fa-IR"/>
        </w:rPr>
        <w:t>لى جهود جبا</w:t>
      </w:r>
      <w:r w:rsidR="00F41255" w:rsidRPr="00904FCB">
        <w:rPr>
          <w:rFonts w:ascii="Tahoma" w:hAnsi="Tahoma" w:hint="cs"/>
          <w:sz w:val="27"/>
          <w:rtl/>
          <w:lang w:bidi="fa-IR"/>
        </w:rPr>
        <w:t>رة</w:t>
      </w:r>
      <w:r w:rsidRPr="00904FCB">
        <w:rPr>
          <w:rFonts w:ascii="Tahoma" w:hAnsi="Tahoma"/>
          <w:sz w:val="27"/>
          <w:rtl/>
          <w:lang w:bidi="fa-IR"/>
        </w:rPr>
        <w:t xml:space="preserve"> تتعاضد عليه</w:t>
      </w:r>
      <w:r w:rsidR="00F41255" w:rsidRPr="00904FCB">
        <w:rPr>
          <w:rFonts w:ascii="Tahoma" w:hAnsi="Tahoma" w:hint="cs"/>
          <w:sz w:val="27"/>
          <w:rtl/>
          <w:lang w:bidi="fa-IR"/>
        </w:rPr>
        <w:t>،</w:t>
      </w:r>
      <w:r w:rsidRPr="00904FCB">
        <w:rPr>
          <w:rFonts w:ascii="Tahoma" w:hAnsi="Tahoma"/>
          <w:sz w:val="27"/>
          <w:rtl/>
          <w:lang w:bidi="fa-IR"/>
        </w:rPr>
        <w:t xml:space="preserve"> متعد</w:t>
      </w:r>
      <w:r w:rsidR="00F41255" w:rsidRPr="00904FCB">
        <w:rPr>
          <w:rFonts w:ascii="Tahoma" w:hAnsi="Tahoma" w:hint="cs"/>
          <w:sz w:val="27"/>
          <w:rtl/>
          <w:lang w:bidi="fa-IR"/>
        </w:rPr>
        <w:t>ِّ</w:t>
      </w:r>
      <w:r w:rsidRPr="00904FCB">
        <w:rPr>
          <w:rFonts w:ascii="Tahoma" w:hAnsi="Tahoma"/>
          <w:sz w:val="27"/>
          <w:rtl/>
          <w:lang w:bidi="fa-IR"/>
        </w:rPr>
        <w:t>دة الاختصاصات، وعمل مؤس</w:t>
      </w:r>
      <w:r w:rsidR="00F41255" w:rsidRPr="00904FCB">
        <w:rPr>
          <w:rFonts w:ascii="Tahoma" w:hAnsi="Tahoma" w:hint="cs"/>
          <w:sz w:val="27"/>
          <w:rtl/>
          <w:lang w:bidi="fa-IR"/>
        </w:rPr>
        <w:t>ّ</w:t>
      </w:r>
      <w:r w:rsidRPr="00904FCB">
        <w:rPr>
          <w:rFonts w:ascii="Tahoma" w:hAnsi="Tahoma"/>
          <w:sz w:val="27"/>
          <w:rtl/>
          <w:lang w:bidi="fa-IR"/>
        </w:rPr>
        <w:t>ساتي</w:t>
      </w:r>
      <w:r w:rsidR="00731606" w:rsidRPr="00904FCB">
        <w:rPr>
          <w:rFonts w:ascii="Tahoma" w:hAnsi="Tahoma" w:hint="cs"/>
          <w:sz w:val="27"/>
          <w:rtl/>
          <w:lang w:bidi="fa-IR"/>
        </w:rPr>
        <w:t>،</w:t>
      </w:r>
      <w:r w:rsidRPr="00904FCB">
        <w:rPr>
          <w:rFonts w:ascii="Tahoma" w:hAnsi="Tahoma"/>
          <w:sz w:val="27"/>
          <w:rtl/>
          <w:lang w:bidi="fa-IR"/>
        </w:rPr>
        <w:t xml:space="preserve"> يحوّ</w:t>
      </w:r>
      <w:r w:rsidR="00F41255" w:rsidRPr="00904FCB">
        <w:rPr>
          <w:rFonts w:ascii="Tahoma" w:hAnsi="Tahoma" w:hint="cs"/>
          <w:sz w:val="27"/>
          <w:rtl/>
          <w:lang w:bidi="fa-IR"/>
        </w:rPr>
        <w:t>ِ</w:t>
      </w:r>
      <w:r w:rsidRPr="00904FCB">
        <w:rPr>
          <w:rFonts w:ascii="Tahoma" w:hAnsi="Tahoma"/>
          <w:sz w:val="27"/>
          <w:rtl/>
          <w:lang w:bidi="fa-IR"/>
        </w:rPr>
        <w:t xml:space="preserve">له من لغته الفقهية </w:t>
      </w:r>
      <w:r w:rsidRPr="00904FCB">
        <w:rPr>
          <w:rFonts w:ascii="Tahoma" w:hAnsi="Tahoma"/>
          <w:sz w:val="27"/>
          <w:rtl/>
          <w:lang w:bidi="fa-IR"/>
        </w:rPr>
        <w:lastRenderedPageBreak/>
        <w:t xml:space="preserve">العالية الثابتة الأسلوب والمحتوى </w:t>
      </w:r>
      <w:r w:rsidR="00731606" w:rsidRPr="00904FCB">
        <w:rPr>
          <w:rFonts w:ascii="Tahoma" w:hAnsi="Tahoma" w:hint="cs"/>
          <w:sz w:val="27"/>
          <w:rtl/>
          <w:lang w:bidi="fa-IR"/>
        </w:rPr>
        <w:t>إ</w:t>
      </w:r>
      <w:r w:rsidRPr="00904FCB">
        <w:rPr>
          <w:rFonts w:ascii="Tahoma" w:hAnsi="Tahoma"/>
          <w:sz w:val="27"/>
          <w:rtl/>
          <w:lang w:bidi="fa-IR"/>
        </w:rPr>
        <w:t>لى لغة النُظ</w:t>
      </w:r>
      <w:r w:rsidR="00731606" w:rsidRPr="00904FCB">
        <w:rPr>
          <w:rFonts w:ascii="Tahoma" w:hAnsi="Tahoma" w:hint="cs"/>
          <w:sz w:val="27"/>
          <w:rtl/>
          <w:lang w:bidi="fa-IR"/>
        </w:rPr>
        <w:t>ُ</w:t>
      </w:r>
      <w:r w:rsidRPr="00904FCB">
        <w:rPr>
          <w:rFonts w:ascii="Tahoma" w:hAnsi="Tahoma"/>
          <w:sz w:val="27"/>
          <w:rtl/>
          <w:lang w:bidi="fa-IR"/>
        </w:rPr>
        <w:t>م والقوانين ومواد</w:t>
      </w:r>
      <w:r w:rsidR="00731606" w:rsidRPr="00904FCB">
        <w:rPr>
          <w:rFonts w:ascii="Tahoma" w:hAnsi="Tahoma" w:hint="cs"/>
          <w:sz w:val="27"/>
          <w:rtl/>
          <w:lang w:bidi="fa-IR"/>
        </w:rPr>
        <w:t>ّ</w:t>
      </w:r>
      <w:r w:rsidRPr="00904FCB">
        <w:rPr>
          <w:rFonts w:ascii="Tahoma" w:hAnsi="Tahoma"/>
          <w:sz w:val="27"/>
          <w:rtl/>
          <w:lang w:bidi="fa-IR"/>
        </w:rPr>
        <w:t>ه وتفصيلاته وفق ما</w:t>
      </w:r>
      <w:r w:rsidR="00731606" w:rsidRPr="00904FCB">
        <w:rPr>
          <w:rFonts w:ascii="Tahoma" w:hAnsi="Tahoma" w:hint="cs"/>
          <w:sz w:val="27"/>
          <w:rtl/>
          <w:lang w:bidi="fa-IR"/>
        </w:rPr>
        <w:t xml:space="preserve"> </w:t>
      </w:r>
      <w:r w:rsidRPr="00904FCB">
        <w:rPr>
          <w:rFonts w:ascii="Tahoma" w:hAnsi="Tahoma"/>
          <w:sz w:val="27"/>
          <w:rtl/>
          <w:lang w:bidi="fa-IR"/>
        </w:rPr>
        <w:t>يحتاجه كل</w:t>
      </w:r>
      <w:r w:rsidR="00731606" w:rsidRPr="00904FCB">
        <w:rPr>
          <w:rFonts w:ascii="Tahoma" w:hAnsi="Tahoma" w:hint="cs"/>
          <w:sz w:val="27"/>
          <w:rtl/>
          <w:lang w:bidi="fa-IR"/>
        </w:rPr>
        <w:t>ّ</w:t>
      </w:r>
      <w:r w:rsidRPr="00904FCB">
        <w:rPr>
          <w:rFonts w:ascii="Tahoma" w:hAnsi="Tahoma"/>
          <w:sz w:val="27"/>
          <w:rtl/>
          <w:lang w:bidi="fa-IR"/>
        </w:rPr>
        <w:t xml:space="preserve"> نظام</w:t>
      </w:r>
      <w:r w:rsidR="00731606" w:rsidRPr="00904FCB">
        <w:rPr>
          <w:rFonts w:ascii="Tahoma" w:hAnsi="Tahoma" w:hint="cs"/>
          <w:sz w:val="27"/>
          <w:rtl/>
          <w:lang w:bidi="fa-IR"/>
        </w:rPr>
        <w:t>؛</w:t>
      </w:r>
      <w:r w:rsidRPr="00904FCB">
        <w:rPr>
          <w:rFonts w:ascii="Tahoma" w:hAnsi="Tahoma"/>
          <w:sz w:val="27"/>
          <w:rtl/>
          <w:lang w:bidi="fa-IR"/>
        </w:rPr>
        <w:t xml:space="preserve"> كي يستعمله أهل ذلك العلم</w:t>
      </w:r>
      <w:r w:rsidR="00731606" w:rsidRPr="00904FCB">
        <w:rPr>
          <w:rFonts w:ascii="Tahoma" w:hAnsi="Tahoma" w:hint="cs"/>
          <w:sz w:val="27"/>
          <w:rtl/>
          <w:lang w:bidi="fa-IR"/>
        </w:rPr>
        <w:t>،</w:t>
      </w:r>
      <w:r w:rsidRPr="00904FCB">
        <w:rPr>
          <w:rFonts w:ascii="Tahoma" w:hAnsi="Tahoma"/>
          <w:sz w:val="27"/>
          <w:rtl/>
          <w:lang w:bidi="fa-IR"/>
        </w:rPr>
        <w:t xml:space="preserve"> ويطب</w:t>
      </w:r>
      <w:r w:rsidR="00731606" w:rsidRPr="00904FCB">
        <w:rPr>
          <w:rFonts w:ascii="Tahoma" w:hAnsi="Tahoma" w:hint="cs"/>
          <w:sz w:val="27"/>
          <w:rtl/>
          <w:lang w:bidi="fa-IR"/>
        </w:rPr>
        <w:t>ِّ</w:t>
      </w:r>
      <w:r w:rsidRPr="00904FCB">
        <w:rPr>
          <w:rFonts w:ascii="Tahoma" w:hAnsi="Tahoma"/>
          <w:sz w:val="27"/>
          <w:rtl/>
          <w:lang w:bidi="fa-IR"/>
        </w:rPr>
        <w:t>قه المنف</w:t>
      </w:r>
      <w:r w:rsidR="00731606" w:rsidRPr="00904FCB">
        <w:rPr>
          <w:rFonts w:ascii="Tahoma" w:hAnsi="Tahoma" w:hint="cs"/>
          <w:sz w:val="27"/>
          <w:rtl/>
          <w:lang w:bidi="fa-IR"/>
        </w:rPr>
        <w:t>ِّ</w:t>
      </w:r>
      <w:r w:rsidRPr="00904FCB">
        <w:rPr>
          <w:rFonts w:ascii="Tahoma" w:hAnsi="Tahoma"/>
          <w:sz w:val="27"/>
          <w:rtl/>
          <w:lang w:bidi="fa-IR"/>
        </w:rPr>
        <w:t>ذون له</w:t>
      </w:r>
      <w:r w:rsidR="00731606" w:rsidRPr="00904FCB">
        <w:rPr>
          <w:rFonts w:ascii="Tahoma" w:hAnsi="Tahoma" w:hint="cs"/>
          <w:sz w:val="27"/>
          <w:rtl/>
          <w:lang w:bidi="fa-IR"/>
        </w:rPr>
        <w:t>.</w:t>
      </w:r>
      <w:r w:rsidRPr="00904FCB">
        <w:rPr>
          <w:rFonts w:ascii="Tahoma" w:hAnsi="Tahoma"/>
          <w:sz w:val="27"/>
          <w:rtl/>
          <w:lang w:bidi="fa-IR"/>
        </w:rPr>
        <w:t xml:space="preserve"> وهو يشترك مع القوانين الأرضية بأسسه الاستنباطية</w:t>
      </w:r>
      <w:r w:rsidR="00731606" w:rsidRPr="00904FCB">
        <w:rPr>
          <w:rFonts w:ascii="Tahoma" w:hAnsi="Tahoma" w:hint="cs"/>
          <w:sz w:val="27"/>
          <w:rtl/>
          <w:lang w:bidi="fa-IR"/>
        </w:rPr>
        <w:t>،</w:t>
      </w:r>
      <w:r w:rsidRPr="00904FCB">
        <w:rPr>
          <w:rFonts w:ascii="Tahoma" w:hAnsi="Tahoma"/>
          <w:sz w:val="27"/>
          <w:rtl/>
          <w:lang w:bidi="fa-IR"/>
        </w:rPr>
        <w:t xml:space="preserve"> وبكثير من المشتركات، ولذلك جاءت هذه الدراسة </w:t>
      </w:r>
      <w:r w:rsidR="00731606" w:rsidRPr="00904FCB">
        <w:rPr>
          <w:rFonts w:ascii="Tahoma" w:hAnsi="Tahoma" w:hint="cs"/>
          <w:sz w:val="27"/>
          <w:rtl/>
          <w:lang w:bidi="fa-IR"/>
        </w:rPr>
        <w:t>داعيةً</w:t>
      </w:r>
      <w:r w:rsidRPr="00904FCB">
        <w:rPr>
          <w:rFonts w:ascii="Tahoma" w:hAnsi="Tahoma"/>
          <w:sz w:val="27"/>
          <w:rtl/>
          <w:lang w:bidi="fa-IR"/>
        </w:rPr>
        <w:t xml:space="preserve"> </w:t>
      </w:r>
      <w:r w:rsidR="00731606" w:rsidRPr="00904FCB">
        <w:rPr>
          <w:rFonts w:ascii="Tahoma" w:hAnsi="Tahoma" w:hint="cs"/>
          <w:sz w:val="27"/>
          <w:rtl/>
          <w:lang w:bidi="fa-IR"/>
        </w:rPr>
        <w:t>إ</w:t>
      </w:r>
      <w:r w:rsidRPr="00904FCB">
        <w:rPr>
          <w:rFonts w:ascii="Tahoma" w:hAnsi="Tahoma"/>
          <w:sz w:val="27"/>
          <w:rtl/>
          <w:lang w:bidi="fa-IR"/>
        </w:rPr>
        <w:t xml:space="preserve">لى ذلك. </w:t>
      </w:r>
      <w:r w:rsidR="00731606" w:rsidRPr="00904FCB">
        <w:rPr>
          <w:rFonts w:ascii="Tahoma" w:hAnsi="Tahoma" w:hint="cs"/>
          <w:sz w:val="27"/>
          <w:rtl/>
          <w:lang w:bidi="fa-IR"/>
        </w:rPr>
        <w:t>أ</w:t>
      </w:r>
      <w:r w:rsidRPr="00904FCB">
        <w:rPr>
          <w:rFonts w:ascii="Tahoma" w:hAnsi="Tahoma"/>
          <w:sz w:val="27"/>
          <w:rtl/>
          <w:lang w:bidi="fa-IR"/>
        </w:rPr>
        <w:t>سأل الله أن أوف</w:t>
      </w:r>
      <w:r w:rsidR="00731606" w:rsidRPr="00904FCB">
        <w:rPr>
          <w:rFonts w:ascii="Tahoma" w:hAnsi="Tahoma" w:hint="cs"/>
          <w:sz w:val="27"/>
          <w:rtl/>
          <w:lang w:bidi="fa-IR"/>
        </w:rPr>
        <w:t>َّ</w:t>
      </w:r>
      <w:r w:rsidRPr="00904FCB">
        <w:rPr>
          <w:rFonts w:ascii="Tahoma" w:hAnsi="Tahoma"/>
          <w:sz w:val="27"/>
          <w:rtl/>
          <w:lang w:bidi="fa-IR"/>
        </w:rPr>
        <w:t>ق إلى ذلك</w:t>
      </w:r>
      <w:r w:rsidR="00731606" w:rsidRPr="00904FCB">
        <w:rPr>
          <w:rFonts w:ascii="Tahoma" w:hAnsi="Tahoma" w:hint="cs"/>
          <w:sz w:val="27"/>
          <w:rtl/>
          <w:lang w:bidi="fa-IR"/>
        </w:rPr>
        <w:t>؛</w:t>
      </w:r>
      <w:r w:rsidRPr="00904FCB">
        <w:rPr>
          <w:rFonts w:ascii="Tahoma" w:hAnsi="Tahoma"/>
          <w:sz w:val="27"/>
          <w:rtl/>
          <w:lang w:bidi="fa-IR"/>
        </w:rPr>
        <w:t xml:space="preserve"> فمنه التوفيق، وعليه الع</w:t>
      </w:r>
      <w:r w:rsidR="00731606" w:rsidRPr="00904FCB">
        <w:rPr>
          <w:rFonts w:ascii="Tahoma" w:hAnsi="Tahoma" w:hint="cs"/>
          <w:sz w:val="27"/>
          <w:rtl/>
          <w:lang w:bidi="fa-IR"/>
        </w:rPr>
        <w:t>َ</w:t>
      </w:r>
      <w:r w:rsidRPr="00904FCB">
        <w:rPr>
          <w:rFonts w:ascii="Tahoma" w:hAnsi="Tahoma"/>
          <w:sz w:val="27"/>
          <w:rtl/>
          <w:lang w:bidi="fa-IR"/>
        </w:rPr>
        <w:t>و</w:t>
      </w:r>
      <w:r w:rsidR="00731606" w:rsidRPr="00904FCB">
        <w:rPr>
          <w:rFonts w:ascii="Tahoma" w:hAnsi="Tahoma" w:hint="cs"/>
          <w:sz w:val="27"/>
          <w:rtl/>
          <w:lang w:bidi="fa-IR"/>
        </w:rPr>
        <w:t>ْ</w:t>
      </w:r>
      <w:r w:rsidRPr="00904FCB">
        <w:rPr>
          <w:rFonts w:ascii="Tahoma" w:hAnsi="Tahoma"/>
          <w:sz w:val="27"/>
          <w:rtl/>
          <w:lang w:bidi="fa-IR"/>
        </w:rPr>
        <w:t xml:space="preserve">ن. </w:t>
      </w:r>
    </w:p>
    <w:p w:rsidR="007D5365" w:rsidRPr="00904FCB" w:rsidRDefault="007D5365" w:rsidP="007A21AA">
      <w:pPr>
        <w:autoSpaceDE w:val="0"/>
        <w:autoSpaceDN w:val="0"/>
        <w:adjustRightInd w:val="0"/>
        <w:spacing w:line="400" w:lineRule="exact"/>
        <w:rPr>
          <w:rFonts w:ascii="Tahoma" w:hAnsi="Tahoma"/>
          <w:sz w:val="27"/>
          <w:rtl/>
          <w:lang w:bidi="fa-IR"/>
        </w:rPr>
      </w:pPr>
    </w:p>
    <w:p w:rsidR="00644408" w:rsidRPr="00904FCB" w:rsidRDefault="007D5365" w:rsidP="007A21AA">
      <w:pPr>
        <w:pStyle w:val="31"/>
        <w:spacing w:line="400" w:lineRule="exact"/>
        <w:rPr>
          <w:color w:val="auto"/>
        </w:rPr>
      </w:pPr>
      <w:r w:rsidRPr="00904FCB">
        <w:rPr>
          <w:color w:val="auto"/>
          <w:rtl/>
        </w:rPr>
        <w:t>تمهي</w:t>
      </w:r>
      <w:r w:rsidR="00644408" w:rsidRPr="00904FCB">
        <w:rPr>
          <w:color w:val="auto"/>
          <w:rtl/>
        </w:rPr>
        <w:t>د</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يرتبط الفقه الإسلامي والقانون الوضعي بمشتركات</w:t>
      </w:r>
      <w:r w:rsidR="00731606" w:rsidRPr="00904FCB">
        <w:rPr>
          <w:rFonts w:ascii="Tahoma" w:hAnsi="Tahoma" w:hint="cs"/>
          <w:sz w:val="27"/>
          <w:rtl/>
          <w:lang w:bidi="fa-IR"/>
        </w:rPr>
        <w:t>ٍ</w:t>
      </w:r>
      <w:r w:rsidRPr="00904FCB">
        <w:rPr>
          <w:rFonts w:ascii="Tahoma" w:hAnsi="Tahoma"/>
          <w:sz w:val="27"/>
          <w:rtl/>
          <w:lang w:bidi="fa-IR"/>
        </w:rPr>
        <w:t xml:space="preserve"> عديدة</w:t>
      </w:r>
      <w:r w:rsidR="00731606" w:rsidRPr="00904FCB">
        <w:rPr>
          <w:rFonts w:ascii="Tahoma" w:hAnsi="Tahoma" w:hint="cs"/>
          <w:sz w:val="27"/>
          <w:rtl/>
          <w:lang w:bidi="fa-IR"/>
        </w:rPr>
        <w:t>،</w:t>
      </w:r>
      <w:r w:rsidRPr="00904FCB">
        <w:rPr>
          <w:rFonts w:ascii="Tahoma" w:hAnsi="Tahoma"/>
          <w:sz w:val="27"/>
          <w:rtl/>
          <w:lang w:bidi="fa-IR"/>
        </w:rPr>
        <w:t xml:space="preserve"> فهما يهدفان بمقاصدهما إلى إصلاح المجتمع، ومنع ظواهر البغي والتعد</w:t>
      </w:r>
      <w:r w:rsidR="00731606" w:rsidRPr="00904FCB">
        <w:rPr>
          <w:rFonts w:ascii="Tahoma" w:hAnsi="Tahoma" w:hint="cs"/>
          <w:sz w:val="27"/>
          <w:rtl/>
          <w:lang w:bidi="fa-IR"/>
        </w:rPr>
        <w:t>ّ</w:t>
      </w:r>
      <w:r w:rsidRPr="00904FCB">
        <w:rPr>
          <w:rFonts w:ascii="Tahoma" w:hAnsi="Tahoma"/>
          <w:sz w:val="27"/>
          <w:rtl/>
          <w:lang w:bidi="fa-IR"/>
        </w:rPr>
        <w:t>ي... فمقاصد العبادات في الفقه الإسلامي من: واجبات مفروضة على المكل</w:t>
      </w:r>
      <w:r w:rsidR="00731606" w:rsidRPr="00904FCB">
        <w:rPr>
          <w:rFonts w:ascii="Tahoma" w:hAnsi="Tahoma" w:hint="cs"/>
          <w:sz w:val="27"/>
          <w:rtl/>
          <w:lang w:bidi="fa-IR"/>
        </w:rPr>
        <w:t>َّ</w:t>
      </w:r>
      <w:r w:rsidRPr="00904FCB">
        <w:rPr>
          <w:rFonts w:ascii="Tahoma" w:hAnsi="Tahoma"/>
          <w:sz w:val="27"/>
          <w:rtl/>
          <w:lang w:bidi="fa-IR"/>
        </w:rPr>
        <w:t>ف، أو مستحب</w:t>
      </w:r>
      <w:r w:rsidR="00731606" w:rsidRPr="00904FCB">
        <w:rPr>
          <w:rFonts w:ascii="Tahoma" w:hAnsi="Tahoma" w:hint="cs"/>
          <w:sz w:val="27"/>
          <w:rtl/>
          <w:lang w:bidi="fa-IR"/>
        </w:rPr>
        <w:t>ّ</w:t>
      </w:r>
      <w:r w:rsidR="0057607C">
        <w:rPr>
          <w:rFonts w:ascii="Tahoma" w:hAnsi="Tahoma"/>
          <w:sz w:val="27"/>
          <w:rtl/>
          <w:lang w:bidi="fa-IR"/>
        </w:rPr>
        <w:t>ات مندوب</w:t>
      </w:r>
      <w:r w:rsidRPr="00904FCB">
        <w:rPr>
          <w:rFonts w:ascii="Tahoma" w:hAnsi="Tahoma"/>
          <w:sz w:val="27"/>
          <w:rtl/>
          <w:lang w:bidi="fa-IR"/>
        </w:rPr>
        <w:t xml:space="preserve"> إليها، أو محر</w:t>
      </w:r>
      <w:r w:rsidR="00731606" w:rsidRPr="00904FCB">
        <w:rPr>
          <w:rFonts w:ascii="Tahoma" w:hAnsi="Tahoma" w:hint="cs"/>
          <w:sz w:val="27"/>
          <w:rtl/>
          <w:lang w:bidi="fa-IR"/>
        </w:rPr>
        <w:t>َّ</w:t>
      </w:r>
      <w:r w:rsidRPr="00904FCB">
        <w:rPr>
          <w:rFonts w:ascii="Tahoma" w:hAnsi="Tahoma"/>
          <w:sz w:val="27"/>
          <w:rtl/>
          <w:lang w:bidi="fa-IR"/>
        </w:rPr>
        <w:t>مات منهي</w:t>
      </w:r>
      <w:r w:rsidR="00731606" w:rsidRPr="00904FCB">
        <w:rPr>
          <w:rFonts w:ascii="Tahoma" w:hAnsi="Tahoma" w:hint="cs"/>
          <w:sz w:val="27"/>
          <w:rtl/>
          <w:lang w:bidi="fa-IR"/>
        </w:rPr>
        <w:t>ّ</w:t>
      </w:r>
      <w:r w:rsidRPr="00904FCB">
        <w:rPr>
          <w:rFonts w:ascii="Tahoma" w:hAnsi="Tahoma"/>
          <w:sz w:val="27"/>
          <w:rtl/>
          <w:lang w:bidi="fa-IR"/>
        </w:rPr>
        <w:t xml:space="preserve"> عنها، أو مكروهات محذ</w:t>
      </w:r>
      <w:r w:rsidR="00731606" w:rsidRPr="00904FCB">
        <w:rPr>
          <w:rFonts w:ascii="Tahoma" w:hAnsi="Tahoma" w:hint="cs"/>
          <w:sz w:val="27"/>
          <w:rtl/>
          <w:lang w:bidi="fa-IR"/>
        </w:rPr>
        <w:t>َّ</w:t>
      </w:r>
      <w:r w:rsidRPr="00904FCB">
        <w:rPr>
          <w:rFonts w:ascii="Tahoma" w:hAnsi="Tahoma"/>
          <w:sz w:val="27"/>
          <w:rtl/>
          <w:lang w:bidi="fa-IR"/>
        </w:rPr>
        <w:t>ر منها، أو مباحات مسكوت عنها</w:t>
      </w:r>
      <w:r w:rsidR="00731606" w:rsidRPr="00904FCB">
        <w:rPr>
          <w:rFonts w:ascii="Tahoma" w:hAnsi="Tahoma" w:hint="cs"/>
          <w:sz w:val="27"/>
          <w:rtl/>
          <w:lang w:bidi="fa-IR"/>
        </w:rPr>
        <w:t xml:space="preserve">، </w:t>
      </w:r>
      <w:r w:rsidRPr="00904FCB">
        <w:rPr>
          <w:rFonts w:ascii="Tahoma" w:hAnsi="Tahoma"/>
          <w:sz w:val="27"/>
          <w:rtl/>
          <w:lang w:bidi="fa-IR"/>
        </w:rPr>
        <w:t xml:space="preserve">كلها تصب في دائرة حركة الإصلاح الاجتماعي، قال الله سبحانه وتعالى: </w:t>
      </w:r>
      <w:r w:rsidRPr="00904FCB">
        <w:rPr>
          <w:rFonts w:ascii="Mosawi" w:hAnsi="Mosawi" w:cs="Mosawi"/>
          <w:sz w:val="24"/>
          <w:szCs w:val="24"/>
          <w:rtl/>
        </w:rPr>
        <w:t>﴿</w:t>
      </w:r>
      <w:r w:rsidR="007C06CE" w:rsidRPr="00904FCB">
        <w:rPr>
          <w:b/>
          <w:bCs/>
          <w:sz w:val="27"/>
          <w:rtl/>
        </w:rPr>
        <w:t>إِنَّ الصَّلاَةَ تَنْهَى عَنْ الْفَحْشَاءِ وَالْمُنْكَرِ</w:t>
      </w:r>
      <w:r w:rsidR="007C06CE" w:rsidRPr="00904FCB">
        <w:rPr>
          <w:rFonts w:ascii="Mosawi" w:hAnsi="Mosawi" w:cs="Mosawi" w:hint="cs"/>
          <w:sz w:val="24"/>
          <w:szCs w:val="24"/>
          <w:rtl/>
        </w:rPr>
        <w:t>...</w:t>
      </w:r>
      <w:r w:rsidRPr="00904FCB">
        <w:rPr>
          <w:rFonts w:ascii="Mosawi" w:hAnsi="Mosawi" w:cs="Mosawi"/>
          <w:sz w:val="24"/>
          <w:szCs w:val="24"/>
          <w:rtl/>
        </w:rPr>
        <w:t>﴾</w:t>
      </w:r>
      <w:r w:rsidRPr="00904FCB">
        <w:rPr>
          <w:rFonts w:ascii="Tahoma" w:hAnsi="Tahoma"/>
          <w:sz w:val="27"/>
          <w:rtl/>
          <w:lang w:bidi="fa-IR"/>
        </w:rPr>
        <w:t xml:space="preserve">. </w:t>
      </w:r>
    </w:p>
    <w:p w:rsidR="00644408" w:rsidRPr="00904FCB" w:rsidRDefault="00644408" w:rsidP="007549B6">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ور</w:t>
      </w:r>
      <w:r w:rsidR="007C06CE" w:rsidRPr="00904FCB">
        <w:rPr>
          <w:rFonts w:ascii="Tahoma" w:hAnsi="Tahoma" w:hint="cs"/>
          <w:sz w:val="27"/>
          <w:rtl/>
          <w:lang w:bidi="fa-IR"/>
        </w:rPr>
        <w:t>ُ</w:t>
      </w:r>
      <w:r w:rsidRPr="00904FCB">
        <w:rPr>
          <w:rFonts w:ascii="Tahoma" w:hAnsi="Tahoma"/>
          <w:sz w:val="27"/>
          <w:rtl/>
          <w:lang w:bidi="fa-IR"/>
        </w:rPr>
        <w:t>وي عن أئم</w:t>
      </w:r>
      <w:r w:rsidR="007C06CE" w:rsidRPr="00904FCB">
        <w:rPr>
          <w:rFonts w:ascii="Tahoma" w:hAnsi="Tahoma" w:hint="cs"/>
          <w:sz w:val="27"/>
          <w:rtl/>
          <w:lang w:bidi="fa-IR"/>
        </w:rPr>
        <w:t>ّ</w:t>
      </w:r>
      <w:r w:rsidRPr="00904FCB">
        <w:rPr>
          <w:rFonts w:ascii="Tahoma" w:hAnsi="Tahoma"/>
          <w:sz w:val="27"/>
          <w:rtl/>
          <w:lang w:bidi="fa-IR"/>
        </w:rPr>
        <w:t>ة أهل البيت</w:t>
      </w:r>
      <w:r w:rsidR="00510A75" w:rsidRPr="00904FCB">
        <w:rPr>
          <w:rFonts w:ascii="Mosawi" w:hAnsi="Mosawi" w:cs="Mosawi"/>
          <w:sz w:val="27"/>
          <w:rtl/>
          <w:lang w:bidi="fa-IR"/>
        </w:rPr>
        <w:t>^</w:t>
      </w:r>
      <w:r w:rsidRPr="00904FCB">
        <w:rPr>
          <w:rFonts w:ascii="Tahoma" w:hAnsi="Tahoma"/>
          <w:sz w:val="27"/>
          <w:rtl/>
          <w:lang w:bidi="fa-IR"/>
        </w:rPr>
        <w:t xml:space="preserve"> قولهم: «م</w:t>
      </w:r>
      <w:r w:rsidR="007C06CE" w:rsidRPr="00904FCB">
        <w:rPr>
          <w:rFonts w:ascii="Tahoma" w:hAnsi="Tahoma" w:hint="cs"/>
          <w:sz w:val="27"/>
          <w:rtl/>
          <w:lang w:bidi="fa-IR"/>
        </w:rPr>
        <w:t>َ</w:t>
      </w:r>
      <w:r w:rsidRPr="00904FCB">
        <w:rPr>
          <w:rFonts w:ascii="Tahoma" w:hAnsi="Tahoma"/>
          <w:sz w:val="27"/>
          <w:rtl/>
          <w:lang w:bidi="fa-IR"/>
        </w:rPr>
        <w:t>ن</w:t>
      </w:r>
      <w:r w:rsidR="007C06CE" w:rsidRPr="00904FCB">
        <w:rPr>
          <w:rFonts w:ascii="Tahoma" w:hAnsi="Tahoma" w:hint="cs"/>
          <w:sz w:val="27"/>
          <w:rtl/>
          <w:lang w:bidi="fa-IR"/>
        </w:rPr>
        <w:t>ْ</w:t>
      </w:r>
      <w:r w:rsidRPr="00904FCB">
        <w:rPr>
          <w:rFonts w:ascii="Tahoma" w:hAnsi="Tahoma"/>
          <w:sz w:val="27"/>
          <w:rtl/>
          <w:lang w:bidi="fa-IR"/>
        </w:rPr>
        <w:t xml:space="preserve"> لم تن</w:t>
      </w:r>
      <w:r w:rsidR="007C06CE" w:rsidRPr="00904FCB">
        <w:rPr>
          <w:rFonts w:ascii="Tahoma" w:hAnsi="Tahoma" w:hint="cs"/>
          <w:sz w:val="27"/>
          <w:rtl/>
          <w:lang w:bidi="fa-IR"/>
        </w:rPr>
        <w:t>ْ</w:t>
      </w:r>
      <w:r w:rsidRPr="00904FCB">
        <w:rPr>
          <w:rFonts w:ascii="Tahoma" w:hAnsi="Tahoma"/>
          <w:sz w:val="27"/>
          <w:rtl/>
          <w:lang w:bidi="fa-IR"/>
        </w:rPr>
        <w:t>ه</w:t>
      </w:r>
      <w:r w:rsidR="007C06CE" w:rsidRPr="00904FCB">
        <w:rPr>
          <w:rFonts w:ascii="Tahoma" w:hAnsi="Tahoma" w:hint="cs"/>
          <w:sz w:val="27"/>
          <w:rtl/>
          <w:lang w:bidi="fa-IR"/>
        </w:rPr>
        <w:t>َ</w:t>
      </w:r>
      <w:r w:rsidRPr="00904FCB">
        <w:rPr>
          <w:rFonts w:ascii="Tahoma" w:hAnsi="Tahoma"/>
          <w:sz w:val="27"/>
          <w:rtl/>
          <w:lang w:bidi="fa-IR"/>
        </w:rPr>
        <w:t>هُ صلاته عن منكره لم يزد</w:t>
      </w:r>
      <w:r w:rsidR="007C06CE" w:rsidRPr="00904FCB">
        <w:rPr>
          <w:rFonts w:ascii="Tahoma" w:hAnsi="Tahoma" w:hint="cs"/>
          <w:sz w:val="27"/>
          <w:rtl/>
          <w:lang w:bidi="fa-IR"/>
        </w:rPr>
        <w:t>َ</w:t>
      </w:r>
      <w:r w:rsidRPr="00904FCB">
        <w:rPr>
          <w:rFonts w:ascii="Tahoma" w:hAnsi="Tahoma"/>
          <w:sz w:val="27"/>
          <w:rtl/>
          <w:lang w:bidi="fa-IR"/>
        </w:rPr>
        <w:t>د</w:t>
      </w:r>
      <w:r w:rsidR="007C06CE" w:rsidRPr="00904FCB">
        <w:rPr>
          <w:rFonts w:ascii="Tahoma" w:hAnsi="Tahoma" w:hint="cs"/>
          <w:sz w:val="27"/>
          <w:rtl/>
          <w:lang w:bidi="fa-IR"/>
        </w:rPr>
        <w:t>ْ</w:t>
      </w:r>
      <w:r w:rsidRPr="00904FCB">
        <w:rPr>
          <w:rFonts w:ascii="Tahoma" w:hAnsi="Tahoma"/>
          <w:sz w:val="27"/>
          <w:rtl/>
          <w:lang w:bidi="fa-IR"/>
        </w:rPr>
        <w:t xml:space="preserve"> من الله </w:t>
      </w:r>
      <w:r w:rsidR="007C06CE" w:rsidRPr="00904FCB">
        <w:rPr>
          <w:rFonts w:ascii="Tahoma" w:hAnsi="Tahoma" w:hint="cs"/>
          <w:sz w:val="27"/>
          <w:rtl/>
          <w:lang w:bidi="fa-IR"/>
        </w:rPr>
        <w:t>إ</w:t>
      </w:r>
      <w:r w:rsidRPr="00904FCB">
        <w:rPr>
          <w:rFonts w:ascii="Tahoma" w:hAnsi="Tahoma"/>
          <w:sz w:val="27"/>
          <w:rtl/>
          <w:lang w:bidi="fa-IR"/>
        </w:rPr>
        <w:t>لا</w:t>
      </w:r>
      <w:r w:rsidR="007C06CE" w:rsidRPr="00904FCB">
        <w:rPr>
          <w:rFonts w:ascii="Tahoma" w:hAnsi="Tahoma" w:hint="cs"/>
          <w:sz w:val="27"/>
          <w:rtl/>
          <w:lang w:bidi="fa-IR"/>
        </w:rPr>
        <w:t>ّ</w:t>
      </w:r>
      <w:r w:rsidRPr="00904FCB">
        <w:rPr>
          <w:rFonts w:ascii="Tahoma" w:hAnsi="Tahoma"/>
          <w:sz w:val="27"/>
          <w:rtl/>
          <w:lang w:bidi="fa-IR"/>
        </w:rPr>
        <w:t xml:space="preserve"> ب</w:t>
      </w:r>
      <w:r w:rsidR="007C06CE" w:rsidRPr="00904FCB">
        <w:rPr>
          <w:rFonts w:ascii="Tahoma" w:hAnsi="Tahoma" w:hint="cs"/>
          <w:sz w:val="27"/>
          <w:rtl/>
          <w:lang w:bidi="fa-IR"/>
        </w:rPr>
        <w:t>ُ</w:t>
      </w:r>
      <w:r w:rsidRPr="00904FCB">
        <w:rPr>
          <w:rFonts w:ascii="Tahoma" w:hAnsi="Tahoma"/>
          <w:sz w:val="27"/>
          <w:rtl/>
          <w:lang w:bidi="fa-IR"/>
        </w:rPr>
        <w:t>ع</w:t>
      </w:r>
      <w:r w:rsidR="007C06CE" w:rsidRPr="00904FCB">
        <w:rPr>
          <w:rFonts w:ascii="Tahoma" w:hAnsi="Tahoma" w:hint="cs"/>
          <w:sz w:val="27"/>
          <w:rtl/>
          <w:lang w:bidi="fa-IR"/>
        </w:rPr>
        <w:t>ْ</w:t>
      </w:r>
      <w:r w:rsidRPr="00904FCB">
        <w:rPr>
          <w:rFonts w:ascii="Tahoma" w:hAnsi="Tahoma"/>
          <w:sz w:val="27"/>
          <w:rtl/>
          <w:lang w:bidi="fa-IR"/>
        </w:rPr>
        <w:t>دا</w:t>
      </w:r>
      <w:r w:rsidR="007C06CE" w:rsidRPr="00904FCB">
        <w:rPr>
          <w:rFonts w:hint="cs"/>
          <w:sz w:val="27"/>
          <w:rtl/>
          <w:lang w:bidi="fa-IR"/>
        </w:rPr>
        <w:t>ً</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والقصاص والدّ</w:t>
      </w:r>
      <w:r w:rsidR="007C06CE" w:rsidRPr="00904FCB">
        <w:rPr>
          <w:rFonts w:ascii="Tahoma" w:hAnsi="Tahoma" w:hint="cs"/>
          <w:sz w:val="27"/>
          <w:rtl/>
          <w:lang w:bidi="fa-IR"/>
        </w:rPr>
        <w:t>ِ</w:t>
      </w:r>
      <w:r w:rsidRPr="00904FCB">
        <w:rPr>
          <w:rFonts w:ascii="Tahoma" w:hAnsi="Tahoma"/>
          <w:sz w:val="27"/>
          <w:rtl/>
          <w:lang w:bidi="fa-IR"/>
        </w:rPr>
        <w:t>يات والكفّارات بمثابة الرادع عن البغي أو التعد</w:t>
      </w:r>
      <w:r w:rsidR="007C06CE" w:rsidRPr="00904FCB">
        <w:rPr>
          <w:rFonts w:ascii="Tahoma" w:hAnsi="Tahoma" w:hint="cs"/>
          <w:sz w:val="27"/>
          <w:rtl/>
          <w:lang w:bidi="fa-IR"/>
        </w:rPr>
        <w:t>ّ</w:t>
      </w:r>
      <w:r w:rsidRPr="00904FCB">
        <w:rPr>
          <w:rFonts w:ascii="Tahoma" w:hAnsi="Tahoma"/>
          <w:sz w:val="27"/>
          <w:rtl/>
          <w:lang w:bidi="fa-IR"/>
        </w:rPr>
        <w:t>ي</w:t>
      </w:r>
      <w:r w:rsidR="007C06CE" w:rsidRPr="00904FCB">
        <w:rPr>
          <w:rFonts w:ascii="Tahoma" w:hAnsi="Tahoma" w:hint="cs"/>
          <w:sz w:val="27"/>
          <w:rtl/>
          <w:lang w:bidi="fa-IR"/>
        </w:rPr>
        <w:t>،</w:t>
      </w:r>
      <w:r w:rsidRPr="00904FCB">
        <w:rPr>
          <w:rFonts w:ascii="Tahoma" w:hAnsi="Tahoma"/>
          <w:sz w:val="27"/>
          <w:rtl/>
          <w:lang w:bidi="fa-IR"/>
        </w:rPr>
        <w:t xml:space="preserve"> قال سبحانه وتعالى: </w:t>
      </w:r>
      <w:r w:rsidRPr="00904FCB">
        <w:rPr>
          <w:rFonts w:ascii="Mosawi" w:hAnsi="Mosawi" w:cs="Mosawi"/>
          <w:sz w:val="24"/>
          <w:szCs w:val="24"/>
          <w:rtl/>
        </w:rPr>
        <w:t>﴿</w:t>
      </w:r>
      <w:r w:rsidR="007C06CE" w:rsidRPr="00904FCB">
        <w:rPr>
          <w:b/>
          <w:bCs/>
          <w:sz w:val="27"/>
          <w:rtl/>
        </w:rPr>
        <w:t>وَلَكُمْ فِي الْقِصَاصِ حَيَاةٌ يَا أُوْلِي الأَلْبَابِ لَعَلَّكُمْ تَتَّقُونَ</w:t>
      </w:r>
      <w:r w:rsidRPr="00904FCB">
        <w:rPr>
          <w:rFonts w:ascii="Mosawi" w:hAnsi="Mosawi" w:cs="Mosawi"/>
          <w:sz w:val="24"/>
          <w:szCs w:val="24"/>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فاشترك الفقه الإسلامي والقانون الوضعي بالأهداف والغايات التي يرنو </w:t>
      </w:r>
      <w:r w:rsidR="007C06CE" w:rsidRPr="00904FCB">
        <w:rPr>
          <w:rFonts w:ascii="Tahoma" w:hAnsi="Tahoma" w:hint="cs"/>
          <w:sz w:val="27"/>
          <w:rtl/>
          <w:lang w:bidi="fa-IR"/>
        </w:rPr>
        <w:t>إ</w:t>
      </w:r>
      <w:r w:rsidRPr="00904FCB">
        <w:rPr>
          <w:rFonts w:ascii="Tahoma" w:hAnsi="Tahoma"/>
          <w:sz w:val="27"/>
          <w:rtl/>
          <w:lang w:bidi="fa-IR"/>
        </w:rPr>
        <w:t>ليها كل</w:t>
      </w:r>
      <w:r w:rsidR="007C06CE" w:rsidRPr="00904FCB">
        <w:rPr>
          <w:rFonts w:ascii="Tahoma" w:hAnsi="Tahoma" w:hint="cs"/>
          <w:sz w:val="27"/>
          <w:rtl/>
          <w:lang w:bidi="fa-IR"/>
        </w:rPr>
        <w:t>ٌّ</w:t>
      </w:r>
      <w:r w:rsidRPr="00904FCB">
        <w:rPr>
          <w:rFonts w:ascii="Tahoma" w:hAnsi="Tahoma"/>
          <w:sz w:val="27"/>
          <w:rtl/>
          <w:lang w:bidi="fa-IR"/>
        </w:rPr>
        <w:t xml:space="preserve"> منهما</w:t>
      </w:r>
      <w:r w:rsidR="007C06CE" w:rsidRPr="00904FCB">
        <w:rPr>
          <w:rFonts w:ascii="Tahoma" w:hAnsi="Tahoma" w:hint="cs"/>
          <w:sz w:val="27"/>
          <w:rtl/>
          <w:lang w:bidi="fa-IR"/>
        </w:rPr>
        <w:t>.</w:t>
      </w:r>
      <w:r w:rsidRPr="00904FCB">
        <w:rPr>
          <w:rFonts w:ascii="Tahoma" w:hAnsi="Tahoma"/>
          <w:sz w:val="27"/>
          <w:rtl/>
          <w:lang w:bidi="fa-IR"/>
        </w:rPr>
        <w:t xml:space="preserve"> وعند عودة</w:t>
      </w:r>
      <w:r w:rsidR="007C06CE" w:rsidRPr="00904FCB">
        <w:rPr>
          <w:rFonts w:ascii="Tahoma" w:hAnsi="Tahoma" w:hint="cs"/>
          <w:sz w:val="27"/>
          <w:rtl/>
          <w:lang w:bidi="fa-IR"/>
        </w:rPr>
        <w:t>ٍ</w:t>
      </w:r>
      <w:r w:rsidRPr="00904FCB">
        <w:rPr>
          <w:rFonts w:ascii="Tahoma" w:hAnsi="Tahoma"/>
          <w:sz w:val="27"/>
          <w:rtl/>
          <w:lang w:bidi="fa-IR"/>
        </w:rPr>
        <w:t xml:space="preserve"> سريعة إلى النتائج التي توص</w:t>
      </w:r>
      <w:r w:rsidR="007C06CE" w:rsidRPr="00904FCB">
        <w:rPr>
          <w:rFonts w:ascii="Tahoma" w:hAnsi="Tahoma" w:hint="cs"/>
          <w:sz w:val="27"/>
          <w:rtl/>
          <w:lang w:bidi="fa-IR"/>
        </w:rPr>
        <w:t>َّ</w:t>
      </w:r>
      <w:r w:rsidRPr="00904FCB">
        <w:rPr>
          <w:rFonts w:ascii="Tahoma" w:hAnsi="Tahoma"/>
          <w:sz w:val="27"/>
          <w:rtl/>
          <w:lang w:bidi="fa-IR"/>
        </w:rPr>
        <w:t xml:space="preserve">ل </w:t>
      </w:r>
      <w:r w:rsidR="007C06CE" w:rsidRPr="00904FCB">
        <w:rPr>
          <w:rFonts w:ascii="Tahoma" w:hAnsi="Tahoma" w:hint="cs"/>
          <w:sz w:val="27"/>
          <w:rtl/>
          <w:lang w:bidi="fa-IR"/>
        </w:rPr>
        <w:t>إ</w:t>
      </w:r>
      <w:r w:rsidRPr="00904FCB">
        <w:rPr>
          <w:rFonts w:ascii="Tahoma" w:hAnsi="Tahoma"/>
          <w:sz w:val="27"/>
          <w:rtl/>
          <w:lang w:bidi="fa-IR"/>
        </w:rPr>
        <w:t>ليها كل</w:t>
      </w:r>
      <w:r w:rsidR="007C06CE" w:rsidRPr="00904FCB">
        <w:rPr>
          <w:rFonts w:ascii="Tahoma" w:hAnsi="Tahoma" w:hint="cs"/>
          <w:sz w:val="27"/>
          <w:rtl/>
          <w:lang w:bidi="fa-IR"/>
        </w:rPr>
        <w:t>ٌّ</w:t>
      </w:r>
      <w:r w:rsidRPr="00904FCB">
        <w:rPr>
          <w:rFonts w:ascii="Tahoma" w:hAnsi="Tahoma"/>
          <w:sz w:val="27"/>
          <w:rtl/>
          <w:lang w:bidi="fa-IR"/>
        </w:rPr>
        <w:t xml:space="preserve"> من</w:t>
      </w:r>
      <w:r w:rsidR="007C06CE" w:rsidRPr="00904FCB">
        <w:rPr>
          <w:rFonts w:ascii="Tahoma" w:hAnsi="Tahoma" w:hint="cs"/>
          <w:sz w:val="27"/>
          <w:rtl/>
          <w:lang w:bidi="fa-IR"/>
        </w:rPr>
        <w:t>:</w:t>
      </w:r>
      <w:r w:rsidRPr="00904FCB">
        <w:rPr>
          <w:rFonts w:ascii="Tahoma" w:hAnsi="Tahoma"/>
          <w:sz w:val="27"/>
          <w:rtl/>
          <w:lang w:bidi="fa-IR"/>
        </w:rPr>
        <w:t xml:space="preserve"> القانون بفقهه وأحكامه، والفقه بمقاصده</w:t>
      </w:r>
      <w:r w:rsidR="007C06CE" w:rsidRPr="00904FCB">
        <w:rPr>
          <w:rFonts w:ascii="Tahoma" w:hAnsi="Tahoma" w:hint="cs"/>
          <w:sz w:val="27"/>
          <w:rtl/>
          <w:lang w:bidi="fa-IR"/>
        </w:rPr>
        <w:t>،</w:t>
      </w:r>
      <w:r w:rsidRPr="00904FCB">
        <w:rPr>
          <w:rFonts w:ascii="Tahoma" w:hAnsi="Tahoma"/>
          <w:sz w:val="27"/>
          <w:rtl/>
          <w:lang w:bidi="fa-IR"/>
        </w:rPr>
        <w:t xml:space="preserve"> تجد أن هناك التقاءً تارة</w:t>
      </w:r>
      <w:r w:rsidR="007C06CE" w:rsidRPr="00904FCB">
        <w:rPr>
          <w:rFonts w:ascii="Tahoma" w:hAnsi="Tahoma" w:hint="cs"/>
          <w:sz w:val="27"/>
          <w:rtl/>
          <w:lang w:bidi="fa-IR"/>
        </w:rPr>
        <w:t>ً؛</w:t>
      </w:r>
      <w:r w:rsidRPr="00904FCB">
        <w:rPr>
          <w:rFonts w:ascii="Tahoma" w:hAnsi="Tahoma"/>
          <w:sz w:val="27"/>
          <w:rtl/>
          <w:lang w:bidi="fa-IR"/>
        </w:rPr>
        <w:t xml:space="preserve"> وافتراقاً تارة</w:t>
      </w:r>
      <w:r w:rsidR="007C06CE" w:rsidRPr="00904FCB">
        <w:rPr>
          <w:rFonts w:ascii="Tahoma" w:hAnsi="Tahoma" w:hint="cs"/>
          <w:sz w:val="27"/>
          <w:rtl/>
          <w:lang w:bidi="fa-IR"/>
        </w:rPr>
        <w:t>ً</w:t>
      </w:r>
      <w:r w:rsidRPr="00904FCB">
        <w:rPr>
          <w:rFonts w:ascii="Tahoma" w:hAnsi="Tahoma"/>
          <w:sz w:val="27"/>
          <w:rtl/>
          <w:lang w:bidi="fa-IR"/>
        </w:rPr>
        <w:t xml:space="preserve"> أخرى</w:t>
      </w:r>
      <w:r w:rsidR="007C06CE" w:rsidRPr="00904FCB">
        <w:rPr>
          <w:rFonts w:ascii="Tahoma" w:hAnsi="Tahoma" w:hint="cs"/>
          <w:sz w:val="27"/>
          <w:rtl/>
          <w:lang w:bidi="fa-IR"/>
        </w:rPr>
        <w:t>.</w:t>
      </w:r>
      <w:r w:rsidRPr="00904FCB">
        <w:rPr>
          <w:rFonts w:ascii="Tahoma" w:hAnsi="Tahoma"/>
          <w:sz w:val="27"/>
          <w:rtl/>
          <w:lang w:bidi="fa-IR"/>
        </w:rPr>
        <w:t xml:space="preserve"> ومن نقاط الافتراق يحدث الاختلاف</w:t>
      </w:r>
      <w:r w:rsidR="007C06CE" w:rsidRPr="00904FCB">
        <w:rPr>
          <w:rFonts w:ascii="Tahoma" w:hAnsi="Tahoma" w:hint="cs"/>
          <w:sz w:val="27"/>
          <w:rtl/>
          <w:lang w:bidi="fa-IR"/>
        </w:rPr>
        <w:t>؛</w:t>
      </w:r>
      <w:r w:rsidRPr="00904FCB">
        <w:rPr>
          <w:rFonts w:ascii="Tahoma" w:hAnsi="Tahoma"/>
          <w:sz w:val="27"/>
          <w:rtl/>
          <w:lang w:bidi="fa-IR"/>
        </w:rPr>
        <w:t xml:space="preserve"> إذ كل</w:t>
      </w:r>
      <w:r w:rsidR="007C06CE" w:rsidRPr="00904FCB">
        <w:rPr>
          <w:rFonts w:ascii="Tahoma" w:hAnsi="Tahoma" w:hint="cs"/>
          <w:sz w:val="27"/>
          <w:rtl/>
          <w:lang w:bidi="fa-IR"/>
        </w:rPr>
        <w:t>ّ</w:t>
      </w:r>
      <w:r w:rsidRPr="00904FCB">
        <w:rPr>
          <w:rFonts w:ascii="Tahoma" w:hAnsi="Tahoma"/>
          <w:sz w:val="27"/>
          <w:rtl/>
          <w:lang w:bidi="fa-IR"/>
        </w:rPr>
        <w:t>ما زادت نقاط الافتراق زادت هو</w:t>
      </w:r>
      <w:r w:rsidR="007C06CE" w:rsidRPr="00904FCB">
        <w:rPr>
          <w:rFonts w:ascii="Tahoma" w:hAnsi="Tahoma" w:hint="cs"/>
          <w:sz w:val="27"/>
          <w:rtl/>
          <w:lang w:bidi="fa-IR"/>
        </w:rPr>
        <w:t>ّ</w:t>
      </w:r>
      <w:r w:rsidRPr="00904FCB">
        <w:rPr>
          <w:rFonts w:ascii="Tahoma" w:hAnsi="Tahoma"/>
          <w:sz w:val="27"/>
          <w:rtl/>
          <w:lang w:bidi="fa-IR"/>
        </w:rPr>
        <w:t>ة الاختلاف. والعكس صحيح</w:t>
      </w:r>
      <w:r w:rsidR="007C06CE"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وباستعراض</w:t>
      </w:r>
      <w:r w:rsidR="007C06CE" w:rsidRPr="00904FCB">
        <w:rPr>
          <w:rFonts w:ascii="Tahoma" w:hAnsi="Tahoma" w:hint="cs"/>
          <w:sz w:val="27"/>
          <w:rtl/>
          <w:lang w:bidi="fa-IR"/>
        </w:rPr>
        <w:t>ٍ</w:t>
      </w:r>
      <w:r w:rsidRPr="00904FCB">
        <w:rPr>
          <w:rFonts w:ascii="Tahoma" w:hAnsi="Tahoma"/>
          <w:sz w:val="27"/>
          <w:rtl/>
          <w:lang w:bidi="fa-IR"/>
        </w:rPr>
        <w:t xml:space="preserve"> سريع مقارن بين القوانين الوضعية الغربية وبين الفقه الإسلامي سوف نقف أمام هوّةٍ كبيرة من الاختلاف لا</w:t>
      </w:r>
      <w:r w:rsidR="003D688E" w:rsidRPr="00904FCB">
        <w:rPr>
          <w:rFonts w:ascii="Tahoma" w:hAnsi="Tahoma" w:hint="cs"/>
          <w:sz w:val="27"/>
          <w:rtl/>
          <w:lang w:bidi="fa-IR"/>
        </w:rPr>
        <w:t xml:space="preserve"> </w:t>
      </w:r>
      <w:r w:rsidRPr="00904FCB">
        <w:rPr>
          <w:rFonts w:ascii="Tahoma" w:hAnsi="Tahoma"/>
          <w:sz w:val="27"/>
          <w:rtl/>
          <w:lang w:bidi="fa-IR"/>
        </w:rPr>
        <w:t>يمكن تجاوزها... ولكن</w:t>
      </w:r>
      <w:r w:rsidR="003D688E" w:rsidRPr="00904FCB">
        <w:rPr>
          <w:rFonts w:ascii="Tahoma" w:hAnsi="Tahoma" w:hint="cs"/>
          <w:sz w:val="27"/>
          <w:rtl/>
          <w:lang w:bidi="fa-IR"/>
        </w:rPr>
        <w:t>ْ</w:t>
      </w:r>
      <w:r w:rsidRPr="00904FCB">
        <w:rPr>
          <w:rFonts w:ascii="Tahoma" w:hAnsi="Tahoma"/>
          <w:sz w:val="27"/>
          <w:rtl/>
          <w:lang w:bidi="fa-IR"/>
        </w:rPr>
        <w:t xml:space="preserve"> لو أعدنا الاستعراض ذاته بين القوانين الوضعية في المنطقة الإسلامية وبين تشريعات الفقه الإسلامي </w:t>
      </w:r>
      <w:r w:rsidR="003D688E" w:rsidRPr="00904FCB">
        <w:rPr>
          <w:rFonts w:ascii="Tahoma" w:hAnsi="Tahoma" w:hint="cs"/>
          <w:sz w:val="27"/>
          <w:rtl/>
          <w:lang w:bidi="fa-IR"/>
        </w:rPr>
        <w:t>س</w:t>
      </w:r>
      <w:r w:rsidRPr="00904FCB">
        <w:rPr>
          <w:rFonts w:ascii="Tahoma" w:hAnsi="Tahoma"/>
          <w:sz w:val="27"/>
          <w:rtl/>
          <w:lang w:bidi="fa-IR"/>
        </w:rPr>
        <w:t>نجد أن نقاط الات</w:t>
      </w:r>
      <w:r w:rsidR="003D688E" w:rsidRPr="00904FCB">
        <w:rPr>
          <w:rFonts w:ascii="Tahoma" w:hAnsi="Tahoma" w:hint="cs"/>
          <w:sz w:val="27"/>
          <w:rtl/>
          <w:lang w:bidi="fa-IR"/>
        </w:rPr>
        <w:t>ّ</w:t>
      </w:r>
      <w:r w:rsidRPr="00904FCB">
        <w:rPr>
          <w:rFonts w:ascii="Tahoma" w:hAnsi="Tahoma"/>
          <w:sz w:val="27"/>
          <w:rtl/>
          <w:lang w:bidi="fa-IR"/>
        </w:rPr>
        <w:t>فاق أكثر من نقاط الافتراق</w:t>
      </w:r>
      <w:r w:rsidR="003D688E" w:rsidRPr="00904FCB">
        <w:rPr>
          <w:rFonts w:ascii="Tahoma" w:hAnsi="Tahoma" w:hint="cs"/>
          <w:sz w:val="27"/>
          <w:rtl/>
          <w:lang w:bidi="fa-IR"/>
        </w:rPr>
        <w:t>؛</w:t>
      </w:r>
      <w:r w:rsidR="0057607C">
        <w:rPr>
          <w:rFonts w:ascii="Tahoma" w:hAnsi="Tahoma"/>
          <w:sz w:val="27"/>
          <w:rtl/>
          <w:lang w:bidi="fa-IR"/>
        </w:rPr>
        <w:t xml:space="preserve"> لتأثر المش</w:t>
      </w:r>
      <w:r w:rsidRPr="00904FCB">
        <w:rPr>
          <w:rFonts w:ascii="Tahoma" w:hAnsi="Tahoma"/>
          <w:sz w:val="27"/>
          <w:rtl/>
          <w:lang w:bidi="fa-IR"/>
        </w:rPr>
        <w:t>ر</w:t>
      </w:r>
      <w:r w:rsidR="0057607C">
        <w:rPr>
          <w:rFonts w:ascii="Tahoma" w:hAnsi="Tahoma" w:hint="cs"/>
          <w:sz w:val="27"/>
          <w:rtl/>
          <w:lang w:bidi="fa-IR"/>
        </w:rPr>
        <w:t>ِّ</w:t>
      </w:r>
      <w:r w:rsidRPr="00904FCB">
        <w:rPr>
          <w:rFonts w:ascii="Tahoma" w:hAnsi="Tahoma"/>
          <w:sz w:val="27"/>
          <w:rtl/>
          <w:lang w:bidi="fa-IR"/>
        </w:rPr>
        <w:t>ع الوضعي بالمؤث</w:t>
      </w:r>
      <w:r w:rsidR="003D688E" w:rsidRPr="00904FCB">
        <w:rPr>
          <w:rFonts w:ascii="Tahoma" w:hAnsi="Tahoma" w:hint="cs"/>
          <w:sz w:val="27"/>
          <w:rtl/>
          <w:lang w:bidi="fa-IR"/>
        </w:rPr>
        <w:t>ِّ</w:t>
      </w:r>
      <w:r w:rsidRPr="00904FCB">
        <w:rPr>
          <w:rFonts w:ascii="Tahoma" w:hAnsi="Tahoma"/>
          <w:sz w:val="27"/>
          <w:rtl/>
          <w:lang w:bidi="fa-IR"/>
        </w:rPr>
        <w:t>رات الخارجية والانتماءات الفرعية</w:t>
      </w:r>
      <w:r w:rsidR="003D688E" w:rsidRPr="00904FCB">
        <w:rPr>
          <w:rFonts w:ascii="Tahoma" w:hAnsi="Tahoma" w:hint="cs"/>
          <w:sz w:val="27"/>
          <w:rtl/>
          <w:lang w:bidi="fa-IR"/>
        </w:rPr>
        <w:t>.</w:t>
      </w:r>
      <w:r w:rsidRPr="00904FCB">
        <w:rPr>
          <w:rFonts w:ascii="Tahoma" w:hAnsi="Tahoma"/>
          <w:sz w:val="27"/>
          <w:rtl/>
          <w:lang w:bidi="fa-IR"/>
        </w:rPr>
        <w:t xml:space="preserve"> </w:t>
      </w:r>
      <w:r w:rsidR="003D688E" w:rsidRPr="00904FCB">
        <w:rPr>
          <w:rFonts w:ascii="Tahoma" w:hAnsi="Tahoma"/>
          <w:sz w:val="27"/>
          <w:rtl/>
          <w:lang w:bidi="fa-IR"/>
        </w:rPr>
        <w:t>وما دام المش</w:t>
      </w:r>
      <w:r w:rsidRPr="00904FCB">
        <w:rPr>
          <w:rFonts w:ascii="Tahoma" w:hAnsi="Tahoma"/>
          <w:sz w:val="27"/>
          <w:rtl/>
          <w:lang w:bidi="fa-IR"/>
        </w:rPr>
        <w:t>ر</w:t>
      </w:r>
      <w:r w:rsidR="003D688E" w:rsidRPr="00904FCB">
        <w:rPr>
          <w:rFonts w:ascii="Tahoma" w:hAnsi="Tahoma" w:hint="cs"/>
          <w:sz w:val="27"/>
          <w:rtl/>
          <w:lang w:bidi="fa-IR"/>
        </w:rPr>
        <w:t>ِّ</w:t>
      </w:r>
      <w:r w:rsidRPr="00904FCB">
        <w:rPr>
          <w:rFonts w:ascii="Tahoma" w:hAnsi="Tahoma"/>
          <w:sz w:val="27"/>
          <w:rtl/>
          <w:lang w:bidi="fa-IR"/>
        </w:rPr>
        <w:t xml:space="preserve">ع الوضعي في القانون الغربي </w:t>
      </w:r>
      <w:r w:rsidRPr="00904FCB">
        <w:rPr>
          <w:rFonts w:ascii="Tahoma" w:hAnsi="Tahoma"/>
          <w:sz w:val="27"/>
          <w:rtl/>
          <w:lang w:bidi="fa-IR"/>
        </w:rPr>
        <w:lastRenderedPageBreak/>
        <w:t>بعيداً عن الإسلام</w:t>
      </w:r>
      <w:r w:rsidR="003D688E" w:rsidRPr="00904FCB">
        <w:rPr>
          <w:rFonts w:ascii="Tahoma" w:hAnsi="Tahoma" w:hint="cs"/>
          <w:sz w:val="27"/>
          <w:rtl/>
          <w:lang w:bidi="fa-IR"/>
        </w:rPr>
        <w:t>،</w:t>
      </w:r>
      <w:r w:rsidRPr="00904FCB">
        <w:rPr>
          <w:rFonts w:ascii="Tahoma" w:hAnsi="Tahoma"/>
          <w:sz w:val="27"/>
          <w:rtl/>
          <w:lang w:bidi="fa-IR"/>
        </w:rPr>
        <w:t xml:space="preserve"> وعن عادات وتقاليد وأعراف المسلمين</w:t>
      </w:r>
      <w:r w:rsidR="003D688E" w:rsidRPr="00904FCB">
        <w:rPr>
          <w:rFonts w:ascii="Tahoma" w:hAnsi="Tahoma" w:hint="cs"/>
          <w:sz w:val="27"/>
          <w:rtl/>
          <w:lang w:bidi="fa-IR"/>
        </w:rPr>
        <w:t>،</w:t>
      </w:r>
      <w:r w:rsidRPr="00904FCB">
        <w:rPr>
          <w:rFonts w:ascii="Tahoma" w:hAnsi="Tahoma"/>
          <w:sz w:val="27"/>
          <w:rtl/>
          <w:lang w:bidi="fa-IR"/>
        </w:rPr>
        <w:t xml:space="preserve"> نجد </w:t>
      </w:r>
      <w:r w:rsidR="003D688E" w:rsidRPr="00904FCB">
        <w:rPr>
          <w:rFonts w:ascii="Tahoma" w:hAnsi="Tahoma" w:hint="cs"/>
          <w:sz w:val="27"/>
          <w:rtl/>
          <w:lang w:bidi="fa-IR"/>
        </w:rPr>
        <w:t>أ</w:t>
      </w:r>
      <w:r w:rsidRPr="00904FCB">
        <w:rPr>
          <w:rFonts w:ascii="Tahoma" w:hAnsi="Tahoma"/>
          <w:sz w:val="27"/>
          <w:rtl/>
          <w:lang w:bidi="fa-IR"/>
        </w:rPr>
        <w:t>ن هوّة الاختلاف كبيره بين قراراته وأحكام الفقه الإسلامي</w:t>
      </w:r>
      <w:r w:rsidR="003D688E" w:rsidRPr="00904FCB">
        <w:rPr>
          <w:rFonts w:ascii="Tahoma" w:hAnsi="Tahoma" w:hint="cs"/>
          <w:sz w:val="27"/>
          <w:rtl/>
          <w:lang w:bidi="fa-IR"/>
        </w:rPr>
        <w:t>؛</w:t>
      </w:r>
      <w:r w:rsidRPr="00904FCB">
        <w:rPr>
          <w:rFonts w:ascii="Tahoma" w:hAnsi="Tahoma"/>
          <w:sz w:val="27"/>
          <w:lang w:bidi="fa-IR"/>
        </w:rPr>
        <w:t xml:space="preserve"> </w:t>
      </w:r>
      <w:r w:rsidRPr="00904FCB">
        <w:rPr>
          <w:rFonts w:ascii="Tahoma" w:hAnsi="Tahoma"/>
          <w:sz w:val="27"/>
          <w:rtl/>
          <w:lang w:bidi="fa-IR"/>
        </w:rPr>
        <w:t>بي</w:t>
      </w:r>
      <w:r w:rsidR="0057607C">
        <w:rPr>
          <w:rFonts w:ascii="Tahoma" w:hAnsi="Tahoma"/>
          <w:sz w:val="27"/>
          <w:rtl/>
          <w:lang w:bidi="fa-IR"/>
        </w:rPr>
        <w:t>نما نجد الم</w:t>
      </w:r>
      <w:r w:rsidRPr="00904FCB">
        <w:rPr>
          <w:rFonts w:ascii="Tahoma" w:hAnsi="Tahoma"/>
          <w:sz w:val="27"/>
          <w:rtl/>
          <w:lang w:bidi="fa-IR"/>
        </w:rPr>
        <w:t>شرّ</w:t>
      </w:r>
      <w:r w:rsidR="003D688E" w:rsidRPr="00904FCB">
        <w:rPr>
          <w:rFonts w:ascii="Tahoma" w:hAnsi="Tahoma" w:hint="cs"/>
          <w:sz w:val="27"/>
          <w:rtl/>
          <w:lang w:bidi="fa-IR"/>
        </w:rPr>
        <w:t>ِ</w:t>
      </w:r>
      <w:r w:rsidRPr="00904FCB">
        <w:rPr>
          <w:rFonts w:ascii="Tahoma" w:hAnsi="Tahoma"/>
          <w:sz w:val="27"/>
          <w:rtl/>
          <w:lang w:bidi="fa-IR"/>
        </w:rPr>
        <w:t>ع الوضعي المسلم يقترب كثيراً بقراراته من أحكام الفقه الإسلامي وتشريعاته</w:t>
      </w:r>
      <w:r w:rsidR="003D688E" w:rsidRPr="00904FCB">
        <w:rPr>
          <w:rFonts w:ascii="Tahoma" w:hAnsi="Tahoma" w:hint="cs"/>
          <w:sz w:val="27"/>
          <w:rtl/>
          <w:lang w:bidi="fa-IR"/>
        </w:rPr>
        <w:t>؛</w:t>
      </w:r>
      <w:r w:rsidRPr="00904FCB">
        <w:rPr>
          <w:rFonts w:ascii="Tahoma" w:hAnsi="Tahoma"/>
          <w:sz w:val="27"/>
          <w:rtl/>
          <w:lang w:bidi="fa-IR"/>
        </w:rPr>
        <w:t xml:space="preserve"> </w:t>
      </w:r>
      <w:r w:rsidR="003D688E" w:rsidRPr="00904FCB">
        <w:rPr>
          <w:rFonts w:ascii="Tahoma" w:hAnsi="Tahoma"/>
          <w:sz w:val="27"/>
          <w:rtl/>
          <w:lang w:bidi="fa-IR"/>
        </w:rPr>
        <w:t>كونه</w:t>
      </w:r>
      <w:r w:rsidRPr="00904FCB">
        <w:rPr>
          <w:rFonts w:ascii="Tahoma" w:hAnsi="Tahoma"/>
          <w:sz w:val="27"/>
          <w:rtl/>
          <w:lang w:bidi="fa-IR"/>
        </w:rPr>
        <w:t xml:space="preserve"> يعيش وسط عادات وتقاليد وأعراف المسلمين... فجاءت قراراته متأث</w:t>
      </w:r>
      <w:r w:rsidR="003D688E" w:rsidRPr="00904FCB">
        <w:rPr>
          <w:rFonts w:ascii="Tahoma" w:hAnsi="Tahoma" w:hint="cs"/>
          <w:sz w:val="27"/>
          <w:rtl/>
          <w:lang w:bidi="fa-IR"/>
        </w:rPr>
        <w:t>ِّ</w:t>
      </w:r>
      <w:r w:rsidRPr="00904FCB">
        <w:rPr>
          <w:rFonts w:ascii="Tahoma" w:hAnsi="Tahoma"/>
          <w:sz w:val="27"/>
          <w:rtl/>
          <w:lang w:bidi="fa-IR"/>
        </w:rPr>
        <w:t>رة بتلك الأعراف والتقاليد، وهذا يكون أكثر استجابة من الأو</w:t>
      </w:r>
      <w:r w:rsidR="003D688E" w:rsidRPr="00904FCB">
        <w:rPr>
          <w:rFonts w:ascii="Tahoma" w:hAnsi="Tahoma" w:hint="cs"/>
          <w:sz w:val="27"/>
          <w:rtl/>
          <w:lang w:bidi="fa-IR"/>
        </w:rPr>
        <w:t>ّ</w:t>
      </w:r>
      <w:r w:rsidRPr="00904FCB">
        <w:rPr>
          <w:rFonts w:ascii="Tahoma" w:hAnsi="Tahoma"/>
          <w:sz w:val="27"/>
          <w:rtl/>
          <w:lang w:bidi="fa-IR"/>
        </w:rPr>
        <w:t>ل</w:t>
      </w:r>
      <w:r w:rsidR="003D688E" w:rsidRPr="00904FCB">
        <w:rPr>
          <w:rFonts w:ascii="Tahoma" w:hAnsi="Tahoma" w:hint="cs"/>
          <w:sz w:val="27"/>
          <w:rtl/>
          <w:lang w:bidi="fa-IR"/>
        </w:rPr>
        <w:t>،</w:t>
      </w:r>
      <w:r w:rsidRPr="00904FCB">
        <w:rPr>
          <w:rFonts w:ascii="Tahoma" w:hAnsi="Tahoma"/>
          <w:sz w:val="27"/>
          <w:rtl/>
          <w:lang w:bidi="fa-IR"/>
        </w:rPr>
        <w:t xml:space="preserve"> فيما </w:t>
      </w:r>
      <w:r w:rsidR="003D688E" w:rsidRPr="00904FCB">
        <w:rPr>
          <w:rFonts w:ascii="Tahoma" w:hAnsi="Tahoma" w:hint="cs"/>
          <w:sz w:val="27"/>
          <w:rtl/>
          <w:lang w:bidi="fa-IR"/>
        </w:rPr>
        <w:t>إ</w:t>
      </w:r>
      <w:r w:rsidRPr="00904FCB">
        <w:rPr>
          <w:rFonts w:ascii="Tahoma" w:hAnsi="Tahoma"/>
          <w:sz w:val="27"/>
          <w:rtl/>
          <w:lang w:bidi="fa-IR"/>
        </w:rPr>
        <w:t>ذا بحثنا عن أوجه التلاقي بين قراراته وأحكام الشريعة الإسلامية</w:t>
      </w:r>
      <w:r w:rsidR="003D688E" w:rsidRPr="00904FCB">
        <w:rPr>
          <w:rFonts w:ascii="Tahoma" w:hAnsi="Tahoma"/>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أض</w:t>
      </w:r>
      <w:r w:rsidR="003D688E" w:rsidRPr="00904FCB">
        <w:rPr>
          <w:rFonts w:ascii="Tahoma" w:hAnsi="Tahoma" w:hint="cs"/>
          <w:sz w:val="27"/>
          <w:rtl/>
          <w:lang w:bidi="fa-IR"/>
        </w:rPr>
        <w:t>ِ</w:t>
      </w:r>
      <w:r w:rsidRPr="00904FCB">
        <w:rPr>
          <w:rFonts w:ascii="Tahoma" w:hAnsi="Tahoma"/>
          <w:sz w:val="27"/>
          <w:rtl/>
          <w:lang w:bidi="fa-IR"/>
        </w:rPr>
        <w:t>ف</w:t>
      </w:r>
      <w:r w:rsidR="003D688E" w:rsidRPr="00904FCB">
        <w:rPr>
          <w:rFonts w:ascii="Tahoma" w:hAnsi="Tahoma" w:hint="cs"/>
          <w:sz w:val="27"/>
          <w:rtl/>
          <w:lang w:bidi="fa-IR"/>
        </w:rPr>
        <w:t>ْ</w:t>
      </w:r>
      <w:r w:rsidRPr="00904FCB">
        <w:rPr>
          <w:rFonts w:ascii="Tahoma" w:hAnsi="Tahoma"/>
          <w:sz w:val="27"/>
          <w:rtl/>
          <w:lang w:bidi="fa-IR"/>
        </w:rPr>
        <w:t xml:space="preserve"> إلى ذلك أن الأسس</w:t>
      </w:r>
      <w:r w:rsidR="0057607C">
        <w:rPr>
          <w:rFonts w:ascii="Tahoma" w:hAnsi="Tahoma"/>
          <w:sz w:val="27"/>
          <w:rtl/>
          <w:lang w:bidi="fa-IR"/>
        </w:rPr>
        <w:t xml:space="preserve"> والمرتكزات التي انطلق منها الم</w:t>
      </w:r>
      <w:r w:rsidRPr="00904FCB">
        <w:rPr>
          <w:rFonts w:ascii="Tahoma" w:hAnsi="Tahoma"/>
          <w:sz w:val="27"/>
          <w:rtl/>
          <w:lang w:bidi="fa-IR"/>
        </w:rPr>
        <w:t>شرّ</w:t>
      </w:r>
      <w:r w:rsidR="003D688E" w:rsidRPr="00904FCB">
        <w:rPr>
          <w:rFonts w:ascii="Tahoma" w:hAnsi="Tahoma" w:hint="cs"/>
          <w:sz w:val="27"/>
          <w:rtl/>
          <w:lang w:bidi="fa-IR"/>
        </w:rPr>
        <w:t>ِ</w:t>
      </w:r>
      <w:r w:rsidRPr="00904FCB">
        <w:rPr>
          <w:rFonts w:ascii="Tahoma" w:hAnsi="Tahoma"/>
          <w:sz w:val="27"/>
          <w:rtl/>
          <w:lang w:bidi="fa-IR"/>
        </w:rPr>
        <w:t>ع الوضعي تلتقي كثيراً مع الأسس والمرتكزات التي تنطلق منها أحكام الفقه الإسلامي</w:t>
      </w:r>
      <w:r w:rsidR="003D688E" w:rsidRPr="00904FCB">
        <w:rPr>
          <w:rFonts w:ascii="Tahoma" w:hAnsi="Tahoma" w:hint="cs"/>
          <w:sz w:val="27"/>
          <w:rtl/>
          <w:lang w:bidi="fa-IR"/>
        </w:rPr>
        <w:t>؛</w:t>
      </w:r>
      <w:r w:rsidRPr="00904FCB">
        <w:rPr>
          <w:rFonts w:ascii="Tahoma" w:hAnsi="Tahoma"/>
          <w:sz w:val="27"/>
          <w:rtl/>
          <w:lang w:bidi="fa-IR"/>
        </w:rPr>
        <w:t xml:space="preserve"> </w:t>
      </w:r>
      <w:r w:rsidR="003D688E" w:rsidRPr="00904FCB">
        <w:rPr>
          <w:rFonts w:ascii="Tahoma" w:hAnsi="Tahoma"/>
          <w:sz w:val="27"/>
          <w:rtl/>
          <w:lang w:bidi="fa-IR"/>
        </w:rPr>
        <w:t>حي</w:t>
      </w:r>
      <w:r w:rsidRPr="00904FCB">
        <w:rPr>
          <w:rFonts w:ascii="Tahoma" w:hAnsi="Tahoma"/>
          <w:sz w:val="27"/>
          <w:rtl/>
          <w:lang w:bidi="fa-IR"/>
        </w:rPr>
        <w:t>ث ما</w:t>
      </w:r>
      <w:r w:rsidR="003D688E" w:rsidRPr="00904FCB">
        <w:rPr>
          <w:rFonts w:ascii="Tahoma" w:hAnsi="Tahoma" w:hint="cs"/>
          <w:sz w:val="27"/>
          <w:rtl/>
          <w:lang w:bidi="fa-IR"/>
        </w:rPr>
        <w:t xml:space="preserve"> ا</w:t>
      </w:r>
      <w:r w:rsidRPr="00904FCB">
        <w:rPr>
          <w:rFonts w:ascii="Tahoma" w:hAnsi="Tahoma"/>
          <w:sz w:val="27"/>
          <w:rtl/>
          <w:lang w:bidi="fa-IR"/>
        </w:rPr>
        <w:t>نفك</w:t>
      </w:r>
      <w:r w:rsidR="003D688E" w:rsidRPr="00904FCB">
        <w:rPr>
          <w:rFonts w:ascii="Tahoma" w:hAnsi="Tahoma" w:hint="cs"/>
          <w:sz w:val="27"/>
          <w:rtl/>
          <w:lang w:bidi="fa-IR"/>
        </w:rPr>
        <w:t>ّا</w:t>
      </w:r>
      <w:r w:rsidRPr="00904FCB">
        <w:rPr>
          <w:rFonts w:ascii="Tahoma" w:hAnsi="Tahoma"/>
          <w:sz w:val="27"/>
          <w:rtl/>
          <w:lang w:bidi="fa-IR"/>
        </w:rPr>
        <w:t xml:space="preserve"> ناتجين عن العقل البشري، والمقصود هنا بالعقل البشري العقل المعرفي المنطلق من العقل المجر</w:t>
      </w:r>
      <w:r w:rsidR="003D688E" w:rsidRPr="00904FCB">
        <w:rPr>
          <w:rFonts w:ascii="Tahoma" w:hAnsi="Tahoma" w:hint="cs"/>
          <w:sz w:val="27"/>
          <w:rtl/>
          <w:lang w:bidi="fa-IR"/>
        </w:rPr>
        <w:t>ّ</w:t>
      </w:r>
      <w:r w:rsidRPr="00904FCB">
        <w:rPr>
          <w:rFonts w:ascii="Tahoma" w:hAnsi="Tahoma"/>
          <w:sz w:val="27"/>
          <w:rtl/>
          <w:lang w:bidi="fa-IR"/>
        </w:rPr>
        <w:t>د</w:t>
      </w:r>
      <w:r w:rsidR="003D688E" w:rsidRPr="00904FCB">
        <w:rPr>
          <w:rFonts w:ascii="Tahoma" w:hAnsi="Tahoma" w:hint="cs"/>
          <w:sz w:val="27"/>
          <w:rtl/>
          <w:lang w:bidi="fa-IR"/>
        </w:rPr>
        <w:t>،</w:t>
      </w:r>
      <w:r w:rsidRPr="00904FCB">
        <w:rPr>
          <w:rFonts w:ascii="Tahoma" w:hAnsi="Tahoma"/>
          <w:sz w:val="27"/>
          <w:rtl/>
          <w:lang w:bidi="fa-IR"/>
        </w:rPr>
        <w:t xml:space="preserve"> بالإضافة إلى المكتسبات الخارجية التي تتشابك على أحكامه، من ثقافة وتعل</w:t>
      </w:r>
      <w:r w:rsidR="003D688E" w:rsidRPr="00904FCB">
        <w:rPr>
          <w:rFonts w:ascii="Tahoma" w:hAnsi="Tahoma" w:hint="cs"/>
          <w:sz w:val="27"/>
          <w:rtl/>
          <w:lang w:bidi="fa-IR"/>
        </w:rPr>
        <w:t>ّ</w:t>
      </w:r>
      <w:r w:rsidRPr="00904FCB">
        <w:rPr>
          <w:rFonts w:ascii="Tahoma" w:hAnsi="Tahoma"/>
          <w:sz w:val="27"/>
          <w:rtl/>
          <w:lang w:bidi="fa-IR"/>
        </w:rPr>
        <w:t xml:space="preserve">م وموروثات وانتماءات.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ومن هنا تنطلق دراسة مصادر الاستنباط في القانون الوضعي ومصادر الاستنباط في الفقه الإسلامي، لنرتكز </w:t>
      </w:r>
      <w:r w:rsidR="003D688E" w:rsidRPr="00904FCB">
        <w:rPr>
          <w:rFonts w:ascii="Tahoma" w:hAnsi="Tahoma" w:hint="cs"/>
          <w:sz w:val="27"/>
          <w:rtl/>
          <w:lang w:bidi="fa-IR"/>
        </w:rPr>
        <w:t>إ</w:t>
      </w:r>
      <w:r w:rsidRPr="00904FCB">
        <w:rPr>
          <w:rFonts w:ascii="Tahoma" w:hAnsi="Tahoma"/>
          <w:sz w:val="27"/>
          <w:rtl/>
          <w:lang w:bidi="fa-IR"/>
        </w:rPr>
        <w:t xml:space="preserve">ليها كأسس نعتمدها في التمييز بين المقبول من الأحكام أو المرفوض منها.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المبحث الأول</w:t>
      </w:r>
      <w:r w:rsidRPr="00904FCB">
        <w:rPr>
          <w:rFonts w:hint="cs"/>
          <w:color w:val="auto"/>
          <w:rtl/>
          <w:lang w:bidi="fa-IR"/>
        </w:rPr>
        <w:t xml:space="preserve">: </w:t>
      </w:r>
      <w:r w:rsidRPr="00904FCB">
        <w:rPr>
          <w:color w:val="auto"/>
          <w:rtl/>
          <w:lang w:bidi="fa-IR"/>
        </w:rPr>
        <w:t>مصادر الاستنباط في الفقه الإسلامي</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لم تكن للفقه الإسلامي في باكورة نتاجه مصادر لاستنباط أحكامه. فما</w:t>
      </w:r>
      <w:r w:rsidR="003D688E" w:rsidRPr="00904FCB">
        <w:rPr>
          <w:rFonts w:ascii="Tahoma" w:hAnsi="Tahoma" w:hint="cs"/>
          <w:sz w:val="27"/>
          <w:rtl/>
          <w:lang w:bidi="fa-IR"/>
        </w:rPr>
        <w:t xml:space="preserve"> </w:t>
      </w:r>
      <w:r w:rsidRPr="00904FCB">
        <w:rPr>
          <w:rFonts w:ascii="Tahoma" w:hAnsi="Tahoma"/>
          <w:sz w:val="27"/>
          <w:rtl/>
          <w:lang w:bidi="fa-IR"/>
        </w:rPr>
        <w:t>زال مصدر التشريع متواجداً بين ظهرانيهم</w:t>
      </w:r>
      <w:r w:rsidR="00CE5A85" w:rsidRPr="00904FCB">
        <w:rPr>
          <w:rFonts w:ascii="Tahoma" w:hAnsi="Tahoma" w:hint="cs"/>
          <w:sz w:val="27"/>
          <w:rtl/>
          <w:lang w:bidi="fa-IR"/>
        </w:rPr>
        <w:t>.</w:t>
      </w:r>
      <w:r w:rsidRPr="00904FCB">
        <w:rPr>
          <w:rFonts w:ascii="Tahoma" w:hAnsi="Tahoma"/>
          <w:sz w:val="27"/>
          <w:rtl/>
          <w:lang w:bidi="fa-IR"/>
        </w:rPr>
        <w:t xml:space="preserve"> والعصمة والمصداقية التي يتمت</w:t>
      </w:r>
      <w:r w:rsidR="003D688E" w:rsidRPr="00904FCB">
        <w:rPr>
          <w:rFonts w:ascii="Tahoma" w:hAnsi="Tahoma" w:hint="cs"/>
          <w:sz w:val="27"/>
          <w:rtl/>
          <w:lang w:bidi="fa-IR"/>
        </w:rPr>
        <w:t>َّ</w:t>
      </w:r>
      <w:r w:rsidRPr="00904FCB">
        <w:rPr>
          <w:rFonts w:ascii="Tahoma" w:hAnsi="Tahoma"/>
          <w:sz w:val="27"/>
          <w:rtl/>
          <w:lang w:bidi="fa-IR"/>
        </w:rPr>
        <w:t>ع بها مصدر التشريع الإسلامي [الرسول الكريم</w:t>
      </w:r>
      <w:r w:rsidR="00635E51" w:rsidRPr="00904FCB">
        <w:rPr>
          <w:rFonts w:ascii="Tahoma" w:hAnsi="Tahoma" w:cs="Mosawi"/>
          <w:sz w:val="27"/>
          <w:szCs w:val="22"/>
          <w:rtl/>
          <w:lang w:bidi="fa-IR"/>
        </w:rPr>
        <w:t>|</w:t>
      </w:r>
      <w:r w:rsidRPr="00904FCB">
        <w:rPr>
          <w:rFonts w:ascii="Tahoma" w:hAnsi="Tahoma"/>
          <w:sz w:val="27"/>
          <w:rtl/>
          <w:lang w:bidi="fa-IR"/>
        </w:rPr>
        <w:t>]</w:t>
      </w:r>
      <w:r w:rsidR="003D688E" w:rsidRPr="00904FCB">
        <w:rPr>
          <w:rFonts w:ascii="Tahoma" w:hAnsi="Tahoma" w:hint="cs"/>
          <w:sz w:val="27"/>
          <w:rtl/>
          <w:lang w:bidi="fa-IR"/>
        </w:rPr>
        <w:t>،</w:t>
      </w:r>
      <w:r w:rsidRPr="00904FCB">
        <w:rPr>
          <w:rFonts w:ascii="Tahoma" w:hAnsi="Tahoma"/>
          <w:sz w:val="27"/>
          <w:rtl/>
          <w:lang w:bidi="fa-IR"/>
        </w:rPr>
        <w:t xml:space="preserve"> </w:t>
      </w:r>
      <w:r w:rsidR="00CE5A85" w:rsidRPr="00904FCB">
        <w:rPr>
          <w:rFonts w:ascii="Tahoma" w:hAnsi="Tahoma" w:hint="cs"/>
          <w:sz w:val="27"/>
          <w:rtl/>
          <w:lang w:bidi="fa-IR"/>
        </w:rPr>
        <w:t xml:space="preserve">حيث </w:t>
      </w:r>
      <w:r w:rsidRPr="00904FCB">
        <w:rPr>
          <w:rFonts w:ascii="Tahoma" w:hAnsi="Tahoma"/>
          <w:sz w:val="27"/>
          <w:rtl/>
          <w:lang w:bidi="fa-IR"/>
        </w:rPr>
        <w:t xml:space="preserve">قال الله سبحانه وتعالى: </w:t>
      </w:r>
      <w:r w:rsidRPr="00904FCB">
        <w:rPr>
          <w:rFonts w:ascii="Mosawi" w:hAnsi="Mosawi" w:cs="Mosawi"/>
          <w:sz w:val="24"/>
          <w:szCs w:val="24"/>
          <w:rtl/>
        </w:rPr>
        <w:t>﴿</w:t>
      </w:r>
      <w:r w:rsidR="00CE5A85" w:rsidRPr="00904FCB">
        <w:rPr>
          <w:b/>
          <w:bCs/>
          <w:sz w:val="27"/>
          <w:rtl/>
        </w:rPr>
        <w:t>وَمَا آتَاكُمْ الرَّسُولُ فَخُذُوهُ وَمَا نَهَاكُمْ عَنْهُ فَانْتَهُوا</w:t>
      </w:r>
      <w:r w:rsidRPr="00904FCB">
        <w:rPr>
          <w:rFonts w:ascii="Mosawi" w:hAnsi="Mosawi" w:cs="Mosawi"/>
          <w:sz w:val="24"/>
          <w:szCs w:val="24"/>
          <w:rtl/>
        </w:rPr>
        <w:t>﴾</w:t>
      </w:r>
      <w:r w:rsidR="00CE5A85" w:rsidRPr="00904FCB">
        <w:rPr>
          <w:rFonts w:ascii="Tahoma" w:hAnsi="Tahoma" w:hint="cs"/>
          <w:sz w:val="27"/>
          <w:rtl/>
          <w:lang w:bidi="fa-IR"/>
        </w:rPr>
        <w:t>،</w:t>
      </w:r>
      <w:r w:rsidRPr="00904FCB">
        <w:rPr>
          <w:rFonts w:ascii="Tahoma" w:hAnsi="Tahoma"/>
          <w:sz w:val="27"/>
          <w:rtl/>
          <w:lang w:bidi="fa-IR"/>
        </w:rPr>
        <w:t xml:space="preserve"> أوقفت الاختلافات في التشريع والأحكام</w:t>
      </w:r>
      <w:r w:rsidR="00CE5A85" w:rsidRPr="00904FCB">
        <w:rPr>
          <w:rFonts w:ascii="Tahoma" w:hAnsi="Tahoma" w:hint="cs"/>
          <w:sz w:val="27"/>
          <w:rtl/>
          <w:lang w:bidi="fa-IR"/>
        </w:rPr>
        <w:t>.</w:t>
      </w:r>
      <w:r w:rsidRPr="00904FCB">
        <w:rPr>
          <w:rFonts w:ascii="Tahoma" w:hAnsi="Tahoma"/>
          <w:sz w:val="27"/>
          <w:rtl/>
          <w:lang w:bidi="fa-IR"/>
        </w:rPr>
        <w:t xml:space="preserve"> وما</w:t>
      </w:r>
      <w:r w:rsidR="00CE5A85" w:rsidRPr="00904FCB">
        <w:rPr>
          <w:rFonts w:ascii="Tahoma" w:hAnsi="Tahoma" w:hint="cs"/>
          <w:sz w:val="27"/>
          <w:rtl/>
          <w:lang w:bidi="fa-IR"/>
        </w:rPr>
        <w:t xml:space="preserve"> </w:t>
      </w:r>
      <w:r w:rsidRPr="00904FCB">
        <w:rPr>
          <w:rFonts w:ascii="Tahoma" w:hAnsi="Tahoma"/>
          <w:sz w:val="27"/>
          <w:rtl/>
          <w:lang w:bidi="fa-IR"/>
        </w:rPr>
        <w:t>خالف النص</w:t>
      </w:r>
      <w:r w:rsidR="00CE5A85" w:rsidRPr="00904FCB">
        <w:rPr>
          <w:rFonts w:ascii="Tahoma" w:hAnsi="Tahoma" w:hint="cs"/>
          <w:sz w:val="27"/>
          <w:rtl/>
          <w:lang w:bidi="fa-IR"/>
        </w:rPr>
        <w:t>ّ</w:t>
      </w:r>
      <w:r w:rsidRPr="00904FCB">
        <w:rPr>
          <w:rFonts w:ascii="Tahoma" w:hAnsi="Tahoma"/>
          <w:sz w:val="27"/>
          <w:rtl/>
          <w:lang w:bidi="fa-IR"/>
        </w:rPr>
        <w:t xml:space="preserve"> ات</w:t>
      </w:r>
      <w:r w:rsidR="00CE5A85" w:rsidRPr="00904FCB">
        <w:rPr>
          <w:rFonts w:ascii="Tahoma" w:hAnsi="Tahoma" w:hint="cs"/>
          <w:sz w:val="27"/>
          <w:rtl/>
          <w:lang w:bidi="fa-IR"/>
        </w:rPr>
        <w:t>َّ</w:t>
      </w:r>
      <w:r w:rsidRPr="00904FCB">
        <w:rPr>
          <w:rFonts w:ascii="Tahoma" w:hAnsi="Tahoma"/>
          <w:sz w:val="27"/>
          <w:rtl/>
          <w:lang w:bidi="fa-IR"/>
        </w:rPr>
        <w:t>فق الجميع على شذوذه وانحرافه</w:t>
      </w:r>
      <w:r w:rsidR="00CE5A85" w:rsidRPr="00904FCB">
        <w:rPr>
          <w:rFonts w:ascii="Tahoma" w:hAnsi="Tahoma" w:hint="cs"/>
          <w:sz w:val="27"/>
          <w:rtl/>
          <w:lang w:bidi="fa-IR"/>
        </w:rPr>
        <w:t>.</w:t>
      </w:r>
      <w:r w:rsidRPr="00904FCB">
        <w:rPr>
          <w:rFonts w:ascii="Tahoma" w:hAnsi="Tahoma"/>
          <w:sz w:val="27"/>
          <w:rtl/>
          <w:lang w:bidi="fa-IR"/>
        </w:rPr>
        <w:t xml:space="preserve"> أما عندما أصبح مصدر النص</w:t>
      </w:r>
      <w:r w:rsidR="00CE5A85" w:rsidRPr="00904FCB">
        <w:rPr>
          <w:rFonts w:ascii="Tahoma" w:hAnsi="Tahoma" w:hint="cs"/>
          <w:sz w:val="27"/>
          <w:rtl/>
          <w:lang w:bidi="fa-IR"/>
        </w:rPr>
        <w:t>ّ</w:t>
      </w:r>
      <w:r w:rsidRPr="00904FCB">
        <w:rPr>
          <w:rFonts w:ascii="Tahoma" w:hAnsi="Tahoma"/>
          <w:sz w:val="27"/>
          <w:rtl/>
          <w:lang w:bidi="fa-IR"/>
        </w:rPr>
        <w:t xml:space="preserve"> تاريخاً حُيّ</w:t>
      </w:r>
      <w:r w:rsidR="00CE5A85" w:rsidRPr="00904FCB">
        <w:rPr>
          <w:rFonts w:ascii="Tahoma" w:hAnsi="Tahoma" w:hint="cs"/>
          <w:sz w:val="27"/>
          <w:rtl/>
          <w:lang w:bidi="fa-IR"/>
        </w:rPr>
        <w:t>ِ</w:t>
      </w:r>
      <w:r w:rsidRPr="00904FCB">
        <w:rPr>
          <w:rFonts w:ascii="Tahoma" w:hAnsi="Tahoma"/>
          <w:sz w:val="27"/>
          <w:rtl/>
          <w:lang w:bidi="fa-IR"/>
        </w:rPr>
        <w:t>د وغ</w:t>
      </w:r>
      <w:r w:rsidR="00CE5A85" w:rsidRPr="00904FCB">
        <w:rPr>
          <w:rFonts w:ascii="Tahoma" w:hAnsi="Tahoma" w:hint="cs"/>
          <w:sz w:val="27"/>
          <w:rtl/>
          <w:lang w:bidi="fa-IR"/>
        </w:rPr>
        <w:t>ُ</w:t>
      </w:r>
      <w:r w:rsidRPr="00904FCB">
        <w:rPr>
          <w:rFonts w:ascii="Tahoma" w:hAnsi="Tahoma"/>
          <w:sz w:val="27"/>
          <w:rtl/>
          <w:lang w:bidi="fa-IR"/>
        </w:rPr>
        <w:t>يّ</w:t>
      </w:r>
      <w:r w:rsidR="00CE5A85" w:rsidRPr="00904FCB">
        <w:rPr>
          <w:rFonts w:ascii="Tahoma" w:hAnsi="Tahoma" w:hint="cs"/>
          <w:sz w:val="27"/>
          <w:rtl/>
          <w:lang w:bidi="fa-IR"/>
        </w:rPr>
        <w:t>ِ</w:t>
      </w:r>
      <w:r w:rsidRPr="00904FCB">
        <w:rPr>
          <w:rFonts w:ascii="Tahoma" w:hAnsi="Tahoma"/>
          <w:sz w:val="27"/>
          <w:rtl/>
          <w:lang w:bidi="fa-IR"/>
        </w:rPr>
        <w:t xml:space="preserve">ب عن الواقع بدأ الخلاف: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أو</w:t>
      </w:r>
      <w:r w:rsidR="00CE5A85" w:rsidRPr="00904FCB">
        <w:rPr>
          <w:rFonts w:ascii="Tahoma" w:hAnsi="Tahoma" w:hint="cs"/>
          <w:b/>
          <w:bCs/>
          <w:sz w:val="27"/>
          <w:rtl/>
          <w:lang w:bidi="fa-IR"/>
        </w:rPr>
        <w:t>ّ</w:t>
      </w:r>
      <w:r w:rsidRPr="00904FCB">
        <w:rPr>
          <w:rFonts w:ascii="Tahoma" w:hAnsi="Tahoma"/>
          <w:b/>
          <w:bCs/>
          <w:sz w:val="27"/>
          <w:rtl/>
          <w:lang w:bidi="fa-IR"/>
        </w:rPr>
        <w:t>لاً</w:t>
      </w:r>
      <w:r w:rsidRPr="00904FCB">
        <w:rPr>
          <w:rFonts w:ascii="Tahoma" w:hAnsi="Tahoma"/>
          <w:sz w:val="27"/>
          <w:rtl/>
          <w:lang w:bidi="fa-IR"/>
        </w:rPr>
        <w:t>: في مصداقية صدور الحكم</w:t>
      </w:r>
      <w:r w:rsidR="00CE5A85" w:rsidRPr="00904FCB">
        <w:rPr>
          <w:rFonts w:ascii="Tahoma" w:hAnsi="Tahoma" w:hint="cs"/>
          <w:sz w:val="27"/>
          <w:rtl/>
          <w:lang w:bidi="fa-IR"/>
        </w:rPr>
        <w:t>.</w:t>
      </w:r>
      <w:r w:rsidRPr="00904FCB">
        <w:rPr>
          <w:rFonts w:ascii="Tahoma" w:hAnsi="Tahoma"/>
          <w:sz w:val="27"/>
          <w:rtl/>
          <w:lang w:bidi="fa-IR"/>
        </w:rPr>
        <w:t xml:space="preserve"> فاختُلف في الطريق الموصل </w:t>
      </w:r>
      <w:r w:rsidR="00CE5A85" w:rsidRPr="00904FCB">
        <w:rPr>
          <w:rFonts w:ascii="Tahoma" w:hAnsi="Tahoma" w:hint="cs"/>
          <w:sz w:val="27"/>
          <w:rtl/>
          <w:lang w:bidi="fa-IR"/>
        </w:rPr>
        <w:t>إلى ا</w:t>
      </w:r>
      <w:r w:rsidRPr="00904FCB">
        <w:rPr>
          <w:rFonts w:ascii="Tahoma" w:hAnsi="Tahoma"/>
          <w:sz w:val="27"/>
          <w:rtl/>
          <w:lang w:bidi="fa-IR"/>
        </w:rPr>
        <w:t>لحكم (الراوي)</w:t>
      </w:r>
      <w:r w:rsidR="00CE5A85" w:rsidRPr="00904FCB">
        <w:rPr>
          <w:rFonts w:ascii="Tahoma" w:hAnsi="Tahoma" w:hint="cs"/>
          <w:sz w:val="27"/>
          <w:rtl/>
          <w:lang w:bidi="fa-IR"/>
        </w:rPr>
        <w:t>،</w:t>
      </w:r>
      <w:r w:rsidRPr="00904FCB">
        <w:rPr>
          <w:rFonts w:ascii="Tahoma" w:hAnsi="Tahoma"/>
          <w:sz w:val="27"/>
          <w:rtl/>
          <w:lang w:bidi="fa-IR"/>
        </w:rPr>
        <w:t xml:space="preserve"> أو في صدقه وضبطه</w:t>
      </w:r>
      <w:r w:rsidR="00CE5A85" w:rsidRPr="00904FCB">
        <w:rPr>
          <w:rFonts w:ascii="Tahoma" w:hAnsi="Tahoma" w:hint="cs"/>
          <w:sz w:val="27"/>
          <w:rtl/>
          <w:lang w:bidi="fa-IR"/>
        </w:rPr>
        <w:t>؛</w:t>
      </w:r>
      <w:r w:rsidRPr="00904FCB">
        <w:rPr>
          <w:rFonts w:ascii="Tahoma" w:hAnsi="Tahoma"/>
          <w:sz w:val="27"/>
          <w:rtl/>
          <w:lang w:bidi="fa-IR"/>
        </w:rPr>
        <w:t xml:space="preserve"> فمنهم م</w:t>
      </w:r>
      <w:r w:rsidR="00CE5A85" w:rsidRPr="00904FCB">
        <w:rPr>
          <w:rFonts w:ascii="Tahoma" w:hAnsi="Tahoma" w:hint="cs"/>
          <w:sz w:val="27"/>
          <w:rtl/>
          <w:lang w:bidi="fa-IR"/>
        </w:rPr>
        <w:t>َ</w:t>
      </w:r>
      <w:r w:rsidRPr="00904FCB">
        <w:rPr>
          <w:rFonts w:ascii="Tahoma" w:hAnsi="Tahoma"/>
          <w:sz w:val="27"/>
          <w:rtl/>
          <w:lang w:bidi="fa-IR"/>
        </w:rPr>
        <w:t>ن</w:t>
      </w:r>
      <w:r w:rsidR="00CE5A85" w:rsidRPr="00904FCB">
        <w:rPr>
          <w:rFonts w:ascii="Tahoma" w:hAnsi="Tahoma" w:hint="cs"/>
          <w:sz w:val="27"/>
          <w:rtl/>
          <w:lang w:bidi="fa-IR"/>
        </w:rPr>
        <w:t>ْ</w:t>
      </w:r>
      <w:r w:rsidRPr="00904FCB">
        <w:rPr>
          <w:rFonts w:ascii="Tahoma" w:hAnsi="Tahoma"/>
          <w:sz w:val="27"/>
          <w:rtl/>
          <w:lang w:bidi="fa-IR"/>
        </w:rPr>
        <w:t xml:space="preserve"> أطلقه عام</w:t>
      </w:r>
      <w:r w:rsidR="00CE5A85" w:rsidRPr="00904FCB">
        <w:rPr>
          <w:rFonts w:ascii="Tahoma" w:hAnsi="Tahoma" w:hint="cs"/>
          <w:sz w:val="27"/>
          <w:rtl/>
          <w:lang w:bidi="fa-IR"/>
        </w:rPr>
        <w:t>ّ</w:t>
      </w:r>
      <w:r w:rsidRPr="00904FCB">
        <w:rPr>
          <w:rFonts w:ascii="Tahoma" w:hAnsi="Tahoma"/>
          <w:sz w:val="27"/>
          <w:rtl/>
          <w:lang w:bidi="fa-IR"/>
        </w:rPr>
        <w:t>اً في مطلق الصحابة</w:t>
      </w:r>
      <w:r w:rsidR="00CE5A85" w:rsidRPr="00904FCB">
        <w:rPr>
          <w:rFonts w:ascii="Tahoma" w:hAnsi="Tahoma" w:hint="cs"/>
          <w:sz w:val="27"/>
          <w:rtl/>
          <w:lang w:bidi="fa-IR"/>
        </w:rPr>
        <w:t>،</w:t>
      </w:r>
      <w:r w:rsidRPr="00904FCB">
        <w:rPr>
          <w:rFonts w:ascii="Tahoma" w:hAnsi="Tahoma"/>
          <w:sz w:val="27"/>
          <w:rtl/>
          <w:lang w:bidi="fa-IR"/>
        </w:rPr>
        <w:t xml:space="preserve"> وتقبلّ وفق ذلك كل</w:t>
      </w:r>
      <w:r w:rsidR="00CE5A85" w:rsidRPr="00904FCB">
        <w:rPr>
          <w:rFonts w:ascii="Tahoma" w:hAnsi="Tahoma" w:hint="cs"/>
          <w:sz w:val="27"/>
          <w:rtl/>
          <w:lang w:bidi="fa-IR"/>
        </w:rPr>
        <w:t>ّ</w:t>
      </w:r>
      <w:r w:rsidRPr="00904FCB">
        <w:rPr>
          <w:rFonts w:ascii="Tahoma" w:hAnsi="Tahoma"/>
          <w:sz w:val="27"/>
          <w:rtl/>
          <w:lang w:bidi="fa-IR"/>
        </w:rPr>
        <w:t xml:space="preserve"> ما روي عنهم</w:t>
      </w:r>
      <w:r w:rsidR="00CE5A85" w:rsidRPr="00904FCB">
        <w:rPr>
          <w:rFonts w:ascii="Tahoma" w:hAnsi="Tahoma" w:hint="cs"/>
          <w:sz w:val="27"/>
          <w:rtl/>
          <w:lang w:bidi="fa-IR"/>
        </w:rPr>
        <w:t>؛</w:t>
      </w:r>
      <w:r w:rsidRPr="00904FCB">
        <w:rPr>
          <w:rFonts w:ascii="Tahoma" w:hAnsi="Tahoma"/>
          <w:sz w:val="27"/>
          <w:rtl/>
          <w:lang w:bidi="fa-IR"/>
        </w:rPr>
        <w:t xml:space="preserve"> ومنهم م</w:t>
      </w:r>
      <w:r w:rsidR="00CE5A85" w:rsidRPr="00904FCB">
        <w:rPr>
          <w:rFonts w:ascii="Tahoma" w:hAnsi="Tahoma" w:hint="cs"/>
          <w:sz w:val="27"/>
          <w:rtl/>
          <w:lang w:bidi="fa-IR"/>
        </w:rPr>
        <w:t>َ</w:t>
      </w:r>
      <w:r w:rsidRPr="00904FCB">
        <w:rPr>
          <w:rFonts w:ascii="Tahoma" w:hAnsi="Tahoma"/>
          <w:sz w:val="27"/>
          <w:rtl/>
          <w:lang w:bidi="fa-IR"/>
        </w:rPr>
        <w:t>ن</w:t>
      </w:r>
      <w:r w:rsidR="00CE5A85" w:rsidRPr="00904FCB">
        <w:rPr>
          <w:rFonts w:ascii="Tahoma" w:hAnsi="Tahoma" w:hint="cs"/>
          <w:sz w:val="27"/>
          <w:rtl/>
          <w:lang w:bidi="fa-IR"/>
        </w:rPr>
        <w:t>ْ</w:t>
      </w:r>
      <w:r w:rsidRPr="00904FCB">
        <w:rPr>
          <w:rFonts w:ascii="Tahoma" w:hAnsi="Tahoma"/>
          <w:sz w:val="27"/>
          <w:rtl/>
          <w:lang w:bidi="fa-IR"/>
        </w:rPr>
        <w:t xml:space="preserve"> ضيّ</w:t>
      </w:r>
      <w:r w:rsidR="00CE5A85" w:rsidRPr="00904FCB">
        <w:rPr>
          <w:rFonts w:ascii="Tahoma" w:hAnsi="Tahoma" w:hint="cs"/>
          <w:sz w:val="27"/>
          <w:rtl/>
          <w:lang w:bidi="fa-IR"/>
        </w:rPr>
        <w:t>َ</w:t>
      </w:r>
      <w:r w:rsidRPr="00904FCB">
        <w:rPr>
          <w:rFonts w:ascii="Tahoma" w:hAnsi="Tahoma"/>
          <w:sz w:val="27"/>
          <w:rtl/>
          <w:lang w:bidi="fa-IR"/>
        </w:rPr>
        <w:t>ق الباب في قبول الكثير من رواياتهم</w:t>
      </w:r>
      <w:r w:rsidR="00CE5A85" w:rsidRPr="00904FCB">
        <w:rPr>
          <w:rFonts w:ascii="Tahoma" w:hAnsi="Tahoma" w:hint="cs"/>
          <w:sz w:val="27"/>
          <w:rtl/>
          <w:lang w:bidi="fa-IR"/>
        </w:rPr>
        <w:t>.</w:t>
      </w:r>
      <w:r w:rsidRPr="00904FCB">
        <w:rPr>
          <w:rFonts w:ascii="Tahoma" w:hAnsi="Tahoma"/>
          <w:sz w:val="27"/>
          <w:rtl/>
          <w:lang w:bidi="fa-IR"/>
        </w:rPr>
        <w:t xml:space="preserve"> ولكل</w:t>
      </w:r>
      <w:r w:rsidR="00CE5A85" w:rsidRPr="00904FCB">
        <w:rPr>
          <w:rFonts w:ascii="Tahoma" w:hAnsi="Tahoma" w:hint="cs"/>
          <w:sz w:val="27"/>
          <w:rtl/>
          <w:lang w:bidi="fa-IR"/>
        </w:rPr>
        <w:t>ٍّ</w:t>
      </w:r>
      <w:r w:rsidRPr="00904FCB">
        <w:rPr>
          <w:rFonts w:ascii="Tahoma" w:hAnsi="Tahoma"/>
          <w:sz w:val="27"/>
          <w:rtl/>
          <w:lang w:bidi="fa-IR"/>
        </w:rPr>
        <w:t xml:space="preserve"> من الفريقين أدل</w:t>
      </w:r>
      <w:r w:rsidR="00CE5A85" w:rsidRPr="00904FCB">
        <w:rPr>
          <w:rFonts w:ascii="Tahoma" w:hAnsi="Tahoma" w:hint="cs"/>
          <w:sz w:val="27"/>
          <w:rtl/>
          <w:lang w:bidi="fa-IR"/>
        </w:rPr>
        <w:t>ّ</w:t>
      </w:r>
      <w:r w:rsidR="00CE5A85" w:rsidRPr="00904FCB">
        <w:rPr>
          <w:rFonts w:ascii="Tahoma" w:hAnsi="Tahoma"/>
          <w:sz w:val="27"/>
          <w:rtl/>
          <w:lang w:bidi="fa-IR"/>
        </w:rPr>
        <w:t>ته</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lastRenderedPageBreak/>
        <w:t>وكلما ابتعدت طبقة الرواة كلما زادت المشكلة تعقيداً</w:t>
      </w:r>
      <w:r w:rsidR="00CE5A85" w:rsidRPr="00904FCB">
        <w:rPr>
          <w:rFonts w:ascii="Tahoma" w:hAnsi="Tahoma" w:hint="cs"/>
          <w:sz w:val="27"/>
          <w:rtl/>
          <w:lang w:bidi="fa-IR"/>
        </w:rPr>
        <w:t>،</w:t>
      </w:r>
      <w:r w:rsidRPr="00904FCB">
        <w:rPr>
          <w:rFonts w:ascii="Tahoma" w:hAnsi="Tahoma"/>
          <w:sz w:val="27"/>
          <w:rtl/>
          <w:lang w:bidi="fa-IR"/>
        </w:rPr>
        <w:t xml:space="preserve"> ما دعاهم إلى التدوين</w:t>
      </w:r>
      <w:r w:rsidR="00CE5A85" w:rsidRPr="00904FCB">
        <w:rPr>
          <w:rFonts w:ascii="Tahoma" w:hAnsi="Tahoma" w:hint="cs"/>
          <w:sz w:val="27"/>
          <w:rtl/>
          <w:lang w:bidi="fa-IR"/>
        </w:rPr>
        <w:t>،</w:t>
      </w:r>
      <w:r w:rsidRPr="00904FCB">
        <w:rPr>
          <w:rFonts w:ascii="Tahoma" w:hAnsi="Tahoma"/>
          <w:sz w:val="27"/>
          <w:rtl/>
          <w:lang w:bidi="fa-IR"/>
        </w:rPr>
        <w:t xml:space="preserve"> وبعده التحقيق والتدقيق</w:t>
      </w:r>
      <w:r w:rsidR="00CE5A85" w:rsidRPr="00904FCB">
        <w:rPr>
          <w:rFonts w:ascii="Tahoma" w:hAnsi="Tahoma" w:hint="cs"/>
          <w:sz w:val="27"/>
          <w:rtl/>
          <w:lang w:bidi="fa-IR"/>
        </w:rPr>
        <w:t>،</w:t>
      </w:r>
      <w:r w:rsidRPr="00904FCB">
        <w:rPr>
          <w:rFonts w:ascii="Tahoma" w:hAnsi="Tahoma"/>
          <w:sz w:val="27"/>
          <w:rtl/>
          <w:lang w:bidi="fa-IR"/>
        </w:rPr>
        <w:t xml:space="preserve"> حت</w:t>
      </w:r>
      <w:r w:rsidR="00CE5A85" w:rsidRPr="00904FCB">
        <w:rPr>
          <w:rFonts w:ascii="Tahoma" w:hAnsi="Tahoma" w:hint="cs"/>
          <w:sz w:val="27"/>
          <w:rtl/>
          <w:lang w:bidi="fa-IR"/>
        </w:rPr>
        <w:t>ّ</w:t>
      </w:r>
      <w:r w:rsidR="00CE5A85" w:rsidRPr="00904FCB">
        <w:rPr>
          <w:rFonts w:ascii="Tahoma" w:hAnsi="Tahoma"/>
          <w:sz w:val="27"/>
          <w:rtl/>
          <w:lang w:bidi="fa-IR"/>
        </w:rPr>
        <w:t>ى أوص</w:t>
      </w:r>
      <w:r w:rsidRPr="00904FCB">
        <w:rPr>
          <w:rFonts w:ascii="Tahoma" w:hAnsi="Tahoma"/>
          <w:sz w:val="27"/>
          <w:rtl/>
          <w:lang w:bidi="fa-IR"/>
        </w:rPr>
        <w:t>لت مدرسة الجمهور نتاجها بالقول بـ</w:t>
      </w:r>
      <w:r w:rsidRPr="00904FCB">
        <w:rPr>
          <w:rFonts w:ascii="Tahoma" w:hAnsi="Tahoma" w:hint="cs"/>
          <w:sz w:val="27"/>
          <w:rtl/>
          <w:lang w:bidi="fa-IR"/>
        </w:rPr>
        <w:t xml:space="preserve"> </w:t>
      </w:r>
      <w:r w:rsidRPr="00904FCB">
        <w:rPr>
          <w:rFonts w:ascii="Tahoma" w:hAnsi="Tahoma"/>
          <w:sz w:val="27"/>
          <w:rtl/>
          <w:lang w:bidi="fa-IR"/>
        </w:rPr>
        <w:t>(الصحيح)</w:t>
      </w:r>
      <w:r w:rsidR="00AB671C" w:rsidRPr="00904FCB">
        <w:rPr>
          <w:rFonts w:ascii="Tahoma" w:hAnsi="Tahoma" w:hint="cs"/>
          <w:sz w:val="27"/>
          <w:rtl/>
          <w:lang w:bidi="fa-IR"/>
        </w:rPr>
        <w:t>،</w:t>
      </w:r>
      <w:r w:rsidRPr="00904FCB">
        <w:rPr>
          <w:rFonts w:ascii="Tahoma" w:hAnsi="Tahoma"/>
          <w:sz w:val="27"/>
          <w:rtl/>
          <w:lang w:bidi="fa-IR"/>
        </w:rPr>
        <w:t xml:space="preserve"> بل رفض أكثرهم بعد ذلك النقاش في ما دعوه بـ</w:t>
      </w:r>
      <w:r w:rsidR="00AB671C" w:rsidRPr="00904FCB">
        <w:rPr>
          <w:rFonts w:ascii="Tahoma" w:hAnsi="Tahoma" w:hint="cs"/>
          <w:sz w:val="27"/>
          <w:rtl/>
          <w:lang w:bidi="fa-IR"/>
        </w:rPr>
        <w:t xml:space="preserve"> </w:t>
      </w:r>
      <w:r w:rsidRPr="00904FCB">
        <w:rPr>
          <w:rFonts w:ascii="Tahoma" w:hAnsi="Tahoma"/>
          <w:sz w:val="27"/>
          <w:rtl/>
          <w:lang w:bidi="fa-IR"/>
        </w:rPr>
        <w:t>(الصحيح)</w:t>
      </w:r>
      <w:r w:rsidR="00AB671C" w:rsidRPr="00904FCB">
        <w:rPr>
          <w:rFonts w:ascii="Tahoma" w:hAnsi="Tahoma" w:hint="cs"/>
          <w:sz w:val="27"/>
          <w:rtl/>
          <w:lang w:bidi="fa-IR"/>
        </w:rPr>
        <w:t>.</w:t>
      </w:r>
      <w:r w:rsidRPr="00904FCB">
        <w:rPr>
          <w:rFonts w:ascii="Tahoma" w:hAnsi="Tahoma"/>
          <w:sz w:val="27"/>
          <w:rtl/>
          <w:lang w:bidi="fa-IR"/>
        </w:rPr>
        <w:t xml:space="preserve"> وقد منع الخليفه الثاني </w:t>
      </w:r>
      <w:r w:rsidRPr="00904FCB">
        <w:rPr>
          <w:rFonts w:hint="eastAsia"/>
          <w:sz w:val="27"/>
          <w:rtl/>
        </w:rPr>
        <w:t>«</w:t>
      </w:r>
      <w:r w:rsidRPr="00904FCB">
        <w:rPr>
          <w:rFonts w:ascii="Tahoma" w:hAnsi="Tahoma"/>
          <w:sz w:val="27"/>
          <w:rtl/>
          <w:lang w:bidi="fa-IR"/>
        </w:rPr>
        <w:t>تدوين الحديث</w:t>
      </w:r>
      <w:r w:rsidRPr="00904FCB">
        <w:rPr>
          <w:rFonts w:hint="eastAsia"/>
          <w:sz w:val="27"/>
          <w:rtl/>
        </w:rPr>
        <w:t>»</w:t>
      </w:r>
      <w:r w:rsidRPr="00904FCB">
        <w:rPr>
          <w:rFonts w:ascii="Tahoma" w:hAnsi="Tahoma"/>
          <w:sz w:val="27"/>
          <w:rtl/>
          <w:lang w:bidi="fa-IR"/>
        </w:rPr>
        <w:t xml:space="preserve">. </w:t>
      </w:r>
    </w:p>
    <w:p w:rsidR="00644408" w:rsidRPr="00904FCB" w:rsidRDefault="00644408" w:rsidP="00510A75">
      <w:pPr>
        <w:autoSpaceDE w:val="0"/>
        <w:autoSpaceDN w:val="0"/>
        <w:adjustRightInd w:val="0"/>
        <w:spacing w:line="400" w:lineRule="exact"/>
        <w:rPr>
          <w:rFonts w:ascii="Tahoma" w:hAnsi="Tahoma"/>
          <w:sz w:val="27"/>
          <w:lang w:bidi="fa-IR"/>
        </w:rPr>
      </w:pPr>
      <w:r w:rsidRPr="00904FCB">
        <w:rPr>
          <w:rFonts w:ascii="Tahoma" w:hAnsi="Tahoma"/>
          <w:sz w:val="27"/>
          <w:rtl/>
          <w:lang w:bidi="fa-IR"/>
        </w:rPr>
        <w:t>أما مدرسة أهل البيت</w:t>
      </w:r>
      <w:r w:rsidR="00510A75" w:rsidRPr="00904FCB">
        <w:rPr>
          <w:rFonts w:ascii="Mosawi" w:hAnsi="Mosawi" w:cs="Mosawi"/>
          <w:sz w:val="27"/>
          <w:rtl/>
          <w:lang w:bidi="fa-IR"/>
        </w:rPr>
        <w:t>^</w:t>
      </w:r>
      <w:r w:rsidRPr="00904FCB">
        <w:rPr>
          <w:rFonts w:ascii="Tahoma" w:hAnsi="Tahoma"/>
          <w:sz w:val="27"/>
          <w:rtl/>
          <w:lang w:bidi="fa-IR"/>
        </w:rPr>
        <w:t xml:space="preserve"> فقد امتد</w:t>
      </w:r>
      <w:r w:rsidR="00AB671C" w:rsidRPr="00904FCB">
        <w:rPr>
          <w:rFonts w:ascii="Tahoma" w:hAnsi="Tahoma" w:hint="cs"/>
          <w:sz w:val="27"/>
          <w:rtl/>
          <w:lang w:bidi="fa-IR"/>
        </w:rPr>
        <w:t>ّ</w:t>
      </w:r>
      <w:r w:rsidRPr="00904FCB">
        <w:rPr>
          <w:rFonts w:ascii="Tahoma" w:hAnsi="Tahoma"/>
          <w:sz w:val="27"/>
          <w:rtl/>
          <w:lang w:bidi="fa-IR"/>
        </w:rPr>
        <w:t xml:space="preserve"> عصر النص</w:t>
      </w:r>
      <w:r w:rsidR="00AB671C" w:rsidRPr="00904FCB">
        <w:rPr>
          <w:rFonts w:ascii="Tahoma" w:hAnsi="Tahoma" w:hint="cs"/>
          <w:sz w:val="27"/>
          <w:rtl/>
          <w:lang w:bidi="fa-IR"/>
        </w:rPr>
        <w:t>ّ</w:t>
      </w:r>
      <w:r w:rsidRPr="00904FCB">
        <w:rPr>
          <w:rFonts w:ascii="Tahoma" w:hAnsi="Tahoma"/>
          <w:sz w:val="27"/>
          <w:rtl/>
          <w:lang w:bidi="fa-IR"/>
        </w:rPr>
        <w:t xml:space="preserve"> بهم إلى النصف الثاني من القرن الثالث الهجري (</w:t>
      </w:r>
      <w:r w:rsidRPr="002814ED">
        <w:rPr>
          <w:rFonts w:ascii="Tahoma" w:hAnsi="Tahoma" w:hint="cs"/>
          <w:sz w:val="27"/>
          <w:rtl/>
          <w:lang w:bidi="ar-LB"/>
        </w:rPr>
        <w:t>261هـ</w:t>
      </w:r>
      <w:r w:rsidRPr="00904FCB">
        <w:rPr>
          <w:rFonts w:ascii="Tahoma" w:hAnsi="Tahoma"/>
          <w:sz w:val="27"/>
          <w:rtl/>
          <w:lang w:bidi="fa-IR"/>
        </w:rPr>
        <w:t>)</w:t>
      </w:r>
      <w:r w:rsidR="00AB671C" w:rsidRPr="00904FCB">
        <w:rPr>
          <w:rFonts w:ascii="Tahoma" w:hAnsi="Tahoma" w:hint="cs"/>
          <w:sz w:val="27"/>
          <w:rtl/>
          <w:lang w:bidi="fa-IR"/>
        </w:rPr>
        <w:t>؛</w:t>
      </w:r>
      <w:r w:rsidRPr="00904FCB">
        <w:rPr>
          <w:rFonts w:ascii="Tahoma" w:hAnsi="Tahoma"/>
          <w:sz w:val="27"/>
          <w:rtl/>
          <w:lang w:bidi="fa-IR"/>
        </w:rPr>
        <w:t xml:space="preserve"> </w:t>
      </w:r>
      <w:r w:rsidR="00AB671C" w:rsidRPr="00904FCB">
        <w:rPr>
          <w:rFonts w:ascii="Tahoma" w:hAnsi="Tahoma"/>
          <w:sz w:val="27"/>
          <w:rtl/>
          <w:lang w:bidi="fa-IR"/>
        </w:rPr>
        <w:t>ل</w:t>
      </w:r>
      <w:r w:rsidR="00AB671C" w:rsidRPr="00904FCB">
        <w:rPr>
          <w:rFonts w:ascii="Tahoma" w:hAnsi="Tahoma" w:hint="cs"/>
          <w:sz w:val="27"/>
          <w:rtl/>
          <w:lang w:bidi="fa-IR"/>
        </w:rPr>
        <w:t>ا</w:t>
      </w:r>
      <w:r w:rsidRPr="00904FCB">
        <w:rPr>
          <w:rFonts w:ascii="Tahoma" w:hAnsi="Tahoma"/>
          <w:sz w:val="27"/>
          <w:rtl/>
          <w:lang w:bidi="fa-IR"/>
        </w:rPr>
        <w:t>عتقادهم بامتداد النص</w:t>
      </w:r>
      <w:r w:rsidR="00AB671C" w:rsidRPr="00904FCB">
        <w:rPr>
          <w:rFonts w:ascii="Tahoma" w:hAnsi="Tahoma" w:hint="cs"/>
          <w:sz w:val="27"/>
          <w:rtl/>
          <w:lang w:bidi="fa-IR"/>
        </w:rPr>
        <w:t>ّ</w:t>
      </w:r>
      <w:r w:rsidRPr="00904FCB">
        <w:rPr>
          <w:rFonts w:ascii="Tahoma" w:hAnsi="Tahoma"/>
          <w:sz w:val="27"/>
          <w:rtl/>
          <w:lang w:bidi="fa-IR"/>
        </w:rPr>
        <w:t xml:space="preserve"> بأئم</w:t>
      </w:r>
      <w:r w:rsidR="00AB671C" w:rsidRPr="00904FCB">
        <w:rPr>
          <w:rFonts w:ascii="Tahoma" w:hAnsi="Tahoma" w:hint="cs"/>
          <w:sz w:val="27"/>
          <w:rtl/>
          <w:lang w:bidi="fa-IR"/>
        </w:rPr>
        <w:t>ّ</w:t>
      </w:r>
      <w:r w:rsidRPr="00904FCB">
        <w:rPr>
          <w:rFonts w:ascii="Tahoma" w:hAnsi="Tahoma"/>
          <w:sz w:val="27"/>
          <w:rtl/>
          <w:lang w:bidi="fa-IR"/>
        </w:rPr>
        <w:t>ة أهل البيت</w:t>
      </w:r>
      <w:r w:rsidR="00510A75" w:rsidRPr="00904FCB">
        <w:rPr>
          <w:rFonts w:ascii="Mosawi" w:hAnsi="Mosawi" w:cs="Mosawi"/>
          <w:sz w:val="27"/>
          <w:rtl/>
          <w:lang w:bidi="fa-IR"/>
        </w:rPr>
        <w:t>^</w:t>
      </w:r>
      <w:r w:rsidR="00AB671C" w:rsidRPr="00904FCB">
        <w:rPr>
          <w:rFonts w:ascii="Tahoma" w:hAnsi="Tahoma" w:hint="cs"/>
          <w:sz w:val="27"/>
          <w:rtl/>
          <w:lang w:bidi="fa-IR"/>
        </w:rPr>
        <w:t>،</w:t>
      </w:r>
      <w:r w:rsidRPr="00904FCB">
        <w:rPr>
          <w:rFonts w:ascii="Tahoma" w:hAnsi="Tahoma"/>
          <w:sz w:val="27"/>
          <w:rtl/>
          <w:lang w:bidi="fa-IR"/>
        </w:rPr>
        <w:t xml:space="preserve"> ولهم أدلتهم على ذلك. وبعد عصر النص</w:t>
      </w:r>
      <w:r w:rsidR="00AB671C" w:rsidRPr="00904FCB">
        <w:rPr>
          <w:rFonts w:ascii="Tahoma" w:hAnsi="Tahoma" w:hint="cs"/>
          <w:sz w:val="27"/>
          <w:rtl/>
          <w:lang w:bidi="fa-IR"/>
        </w:rPr>
        <w:t>ّ</w:t>
      </w:r>
      <w:r w:rsidRPr="00904FCB">
        <w:rPr>
          <w:rFonts w:ascii="Tahoma" w:hAnsi="Tahoma"/>
          <w:sz w:val="27"/>
          <w:rtl/>
          <w:lang w:bidi="fa-IR"/>
        </w:rPr>
        <w:t xml:space="preserve"> عندهم تركوا الباب مفتوحاً للتحقيق والتدقيق</w:t>
      </w:r>
      <w:r w:rsidR="00AB671C" w:rsidRPr="00904FCB">
        <w:rPr>
          <w:rFonts w:ascii="Tahoma" w:hAnsi="Tahoma" w:hint="cs"/>
          <w:sz w:val="27"/>
          <w:rtl/>
          <w:lang w:bidi="fa-IR"/>
        </w:rPr>
        <w:t>،</w:t>
      </w:r>
      <w:r w:rsidRPr="00904FCB">
        <w:rPr>
          <w:rFonts w:ascii="Tahoma" w:hAnsi="Tahoma"/>
          <w:sz w:val="27"/>
          <w:rtl/>
          <w:lang w:bidi="fa-IR"/>
        </w:rPr>
        <w:t xml:space="preserve"> بل للرفض أو القبول. وهذا المصدر الأكثر قبولاً من مصادر الاستنباط في الفقه الإسلامي.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lang w:bidi="fa-IR"/>
        </w:rPr>
        <w:t xml:space="preserve"> </w:t>
      </w:r>
      <w:r w:rsidRPr="00904FCB">
        <w:rPr>
          <w:rFonts w:ascii="Tahoma" w:hAnsi="Tahoma"/>
          <w:sz w:val="27"/>
          <w:rtl/>
          <w:lang w:bidi="fa-IR"/>
        </w:rPr>
        <w:t>ولو ترك للموضوعية المنهجية وللحر</w:t>
      </w:r>
      <w:r w:rsidR="00AB671C" w:rsidRPr="00904FCB">
        <w:rPr>
          <w:rFonts w:ascii="Tahoma" w:hAnsi="Tahoma" w:hint="cs"/>
          <w:sz w:val="27"/>
          <w:rtl/>
          <w:lang w:bidi="fa-IR"/>
        </w:rPr>
        <w:t>ّ</w:t>
      </w:r>
      <w:r w:rsidRPr="00904FCB">
        <w:rPr>
          <w:rFonts w:ascii="Tahoma" w:hAnsi="Tahoma"/>
          <w:sz w:val="27"/>
          <w:rtl/>
          <w:lang w:bidi="fa-IR"/>
        </w:rPr>
        <w:t>ية الفكرية بابها المفتوح لتلاق</w:t>
      </w:r>
      <w:r w:rsidR="00AB671C" w:rsidRPr="00904FCB">
        <w:rPr>
          <w:rFonts w:ascii="Tahoma" w:hAnsi="Tahoma" w:hint="cs"/>
          <w:sz w:val="27"/>
          <w:rtl/>
          <w:lang w:bidi="fa-IR"/>
        </w:rPr>
        <w:t>َ</w:t>
      </w:r>
      <w:r w:rsidRPr="00904FCB">
        <w:rPr>
          <w:rFonts w:ascii="Tahoma" w:hAnsi="Tahoma"/>
          <w:sz w:val="27"/>
          <w:rtl/>
          <w:lang w:bidi="fa-IR"/>
        </w:rPr>
        <w:t>ت</w:t>
      </w:r>
      <w:r w:rsidR="00AB671C" w:rsidRPr="00904FCB">
        <w:rPr>
          <w:rFonts w:ascii="Tahoma" w:hAnsi="Tahoma" w:hint="cs"/>
          <w:sz w:val="27"/>
          <w:rtl/>
          <w:lang w:bidi="fa-IR"/>
        </w:rPr>
        <w:t>ْ</w:t>
      </w:r>
      <w:r w:rsidRPr="00904FCB">
        <w:rPr>
          <w:rFonts w:ascii="Tahoma" w:hAnsi="Tahoma"/>
          <w:sz w:val="27"/>
          <w:rtl/>
          <w:lang w:bidi="fa-IR"/>
        </w:rPr>
        <w:t xml:space="preserve"> تلك الأفكار أكثر مم</w:t>
      </w:r>
      <w:r w:rsidR="00AB671C" w:rsidRPr="00904FCB">
        <w:rPr>
          <w:rFonts w:ascii="Tahoma" w:hAnsi="Tahoma" w:hint="cs"/>
          <w:sz w:val="27"/>
          <w:rtl/>
          <w:lang w:bidi="fa-IR"/>
        </w:rPr>
        <w:t>ّ</w:t>
      </w:r>
      <w:r w:rsidRPr="00904FCB">
        <w:rPr>
          <w:rFonts w:ascii="Tahoma" w:hAnsi="Tahoma"/>
          <w:sz w:val="27"/>
          <w:rtl/>
          <w:lang w:bidi="fa-IR"/>
        </w:rPr>
        <w:t xml:space="preserve">ا هي عليه اليوم.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ثانياً</w:t>
      </w:r>
      <w:r w:rsidRPr="00904FCB">
        <w:rPr>
          <w:rFonts w:ascii="Tahoma" w:hAnsi="Tahoma"/>
          <w:sz w:val="27"/>
          <w:rtl/>
          <w:lang w:bidi="fa-IR"/>
        </w:rPr>
        <w:t>: الاختلاف في تفسير النصوص الوارد</w:t>
      </w:r>
      <w:r w:rsidR="00AB671C" w:rsidRPr="00904FCB">
        <w:rPr>
          <w:rFonts w:ascii="Tahoma" w:hAnsi="Tahoma" w:hint="cs"/>
          <w:sz w:val="27"/>
          <w:rtl/>
          <w:lang w:bidi="fa-IR"/>
        </w:rPr>
        <w:t>ة</w:t>
      </w:r>
      <w:r w:rsidRPr="00904FCB">
        <w:rPr>
          <w:rFonts w:ascii="Tahoma" w:hAnsi="Tahoma"/>
          <w:sz w:val="27"/>
          <w:rtl/>
          <w:lang w:bidi="fa-IR"/>
        </w:rPr>
        <w:t>، من باب الإطلاق أو التقييد، أو العام</w:t>
      </w:r>
      <w:r w:rsidR="00AB671C" w:rsidRPr="00904FCB">
        <w:rPr>
          <w:rFonts w:ascii="Tahoma" w:hAnsi="Tahoma" w:hint="cs"/>
          <w:sz w:val="27"/>
          <w:rtl/>
          <w:lang w:bidi="fa-IR"/>
        </w:rPr>
        <w:t>ّ</w:t>
      </w:r>
      <w:r w:rsidRPr="00904FCB">
        <w:rPr>
          <w:rFonts w:ascii="Tahoma" w:hAnsi="Tahoma"/>
          <w:sz w:val="27"/>
          <w:rtl/>
          <w:lang w:bidi="fa-IR"/>
        </w:rPr>
        <w:t xml:space="preserve"> والخاص</w:t>
      </w:r>
      <w:r w:rsidR="00AB671C" w:rsidRPr="00904FCB">
        <w:rPr>
          <w:rFonts w:ascii="Tahoma" w:hAnsi="Tahoma" w:hint="cs"/>
          <w:sz w:val="27"/>
          <w:rtl/>
          <w:lang w:bidi="fa-IR"/>
        </w:rPr>
        <w:t>ّ</w:t>
      </w:r>
      <w:r w:rsidRPr="00904FCB">
        <w:rPr>
          <w:rFonts w:ascii="Tahoma" w:hAnsi="Tahoma"/>
          <w:sz w:val="27"/>
          <w:rtl/>
          <w:lang w:bidi="fa-IR"/>
        </w:rPr>
        <w:t>، أو دلالات اللفظ ومقاصده. والأخيرة أكثر تعقيداً من سابقت</w:t>
      </w:r>
      <w:r w:rsidR="00AB671C" w:rsidRPr="00904FCB">
        <w:rPr>
          <w:rFonts w:ascii="Tahoma" w:hAnsi="Tahoma" w:hint="cs"/>
          <w:sz w:val="27"/>
          <w:rtl/>
          <w:lang w:bidi="fa-IR"/>
        </w:rPr>
        <w:t>َ</w:t>
      </w:r>
      <w:r w:rsidRPr="00904FCB">
        <w:rPr>
          <w:rFonts w:ascii="Tahoma" w:hAnsi="Tahoma"/>
          <w:sz w:val="27"/>
          <w:rtl/>
          <w:lang w:bidi="fa-IR"/>
        </w:rPr>
        <w:t>ي</w:t>
      </w:r>
      <w:r w:rsidR="00AB671C" w:rsidRPr="00904FCB">
        <w:rPr>
          <w:rFonts w:ascii="Tahoma" w:hAnsi="Tahoma" w:hint="cs"/>
          <w:sz w:val="27"/>
          <w:rtl/>
          <w:lang w:bidi="fa-IR"/>
        </w:rPr>
        <w:t>ْ</w:t>
      </w:r>
      <w:r w:rsidRPr="00904FCB">
        <w:rPr>
          <w:rFonts w:ascii="Tahoma" w:hAnsi="Tahoma"/>
          <w:sz w:val="27"/>
          <w:rtl/>
          <w:lang w:bidi="fa-IR"/>
        </w:rPr>
        <w:t>ها</w:t>
      </w:r>
      <w:r w:rsidR="00AB671C" w:rsidRPr="00904FCB">
        <w:rPr>
          <w:rFonts w:ascii="Tahoma" w:hAnsi="Tahoma" w:hint="cs"/>
          <w:sz w:val="27"/>
          <w:rtl/>
          <w:lang w:bidi="fa-IR"/>
        </w:rPr>
        <w:t>؛</w:t>
      </w:r>
      <w:r w:rsidRPr="00904FCB">
        <w:rPr>
          <w:rFonts w:ascii="Tahoma" w:hAnsi="Tahoma"/>
          <w:sz w:val="27"/>
          <w:rtl/>
          <w:lang w:bidi="fa-IR"/>
        </w:rPr>
        <w:t xml:space="preserve"> إذ تفر</w:t>
      </w:r>
      <w:r w:rsidR="00AB671C" w:rsidRPr="00904FCB">
        <w:rPr>
          <w:rFonts w:ascii="Tahoma" w:hAnsi="Tahoma" w:hint="cs"/>
          <w:sz w:val="27"/>
          <w:rtl/>
          <w:lang w:bidi="fa-IR"/>
        </w:rPr>
        <w:t>َّ</w:t>
      </w:r>
      <w:r w:rsidRPr="00904FCB">
        <w:rPr>
          <w:rFonts w:ascii="Tahoma" w:hAnsi="Tahoma"/>
          <w:sz w:val="27"/>
          <w:rtl/>
          <w:lang w:bidi="fa-IR"/>
        </w:rPr>
        <w:t>عت هذه الدلالات وفق العلوم التي تفر</w:t>
      </w:r>
      <w:r w:rsidR="00AB671C" w:rsidRPr="00904FCB">
        <w:rPr>
          <w:rFonts w:ascii="Tahoma" w:hAnsi="Tahoma" w:hint="cs"/>
          <w:sz w:val="27"/>
          <w:rtl/>
          <w:lang w:bidi="fa-IR"/>
        </w:rPr>
        <w:t>َّ</w:t>
      </w:r>
      <w:r w:rsidRPr="00904FCB">
        <w:rPr>
          <w:rFonts w:ascii="Tahoma" w:hAnsi="Tahoma"/>
          <w:sz w:val="27"/>
          <w:rtl/>
          <w:lang w:bidi="fa-IR"/>
        </w:rPr>
        <w:t>عت عليها</w:t>
      </w:r>
      <w:r w:rsidR="00AB671C" w:rsidRPr="00904FCB">
        <w:rPr>
          <w:rFonts w:ascii="Tahoma" w:hAnsi="Tahoma" w:hint="cs"/>
          <w:sz w:val="27"/>
          <w:rtl/>
          <w:lang w:bidi="fa-IR"/>
        </w:rPr>
        <w:t>.</w:t>
      </w:r>
      <w:r w:rsidRPr="00904FCB">
        <w:rPr>
          <w:rFonts w:ascii="Tahoma" w:hAnsi="Tahoma"/>
          <w:sz w:val="27"/>
          <w:rtl/>
          <w:lang w:bidi="fa-IR"/>
        </w:rPr>
        <w:t xml:space="preserve"> فللنحوي دلالة تختلف عن الص</w:t>
      </w:r>
      <w:r w:rsidR="00AB671C" w:rsidRPr="00904FCB">
        <w:rPr>
          <w:rFonts w:ascii="Tahoma" w:hAnsi="Tahoma" w:hint="cs"/>
          <w:sz w:val="27"/>
          <w:rtl/>
          <w:lang w:bidi="fa-IR"/>
        </w:rPr>
        <w:t>َّ</w:t>
      </w:r>
      <w:r w:rsidRPr="00904FCB">
        <w:rPr>
          <w:rFonts w:ascii="Tahoma" w:hAnsi="Tahoma"/>
          <w:sz w:val="27"/>
          <w:rtl/>
          <w:lang w:bidi="fa-IR"/>
        </w:rPr>
        <w:t>ر</w:t>
      </w:r>
      <w:r w:rsidR="00AB671C" w:rsidRPr="00904FCB">
        <w:rPr>
          <w:rFonts w:ascii="Tahoma" w:hAnsi="Tahoma" w:hint="cs"/>
          <w:sz w:val="27"/>
          <w:rtl/>
          <w:lang w:bidi="fa-IR"/>
        </w:rPr>
        <w:t>ْ</w:t>
      </w:r>
      <w:r w:rsidRPr="00904FCB">
        <w:rPr>
          <w:rFonts w:ascii="Tahoma" w:hAnsi="Tahoma"/>
          <w:sz w:val="27"/>
          <w:rtl/>
          <w:lang w:bidi="fa-IR"/>
        </w:rPr>
        <w:t>في والبلاغي. وكل</w:t>
      </w:r>
      <w:r w:rsidR="00AB671C" w:rsidRPr="00904FCB">
        <w:rPr>
          <w:rFonts w:ascii="Tahoma" w:hAnsi="Tahoma" w:hint="cs"/>
          <w:sz w:val="27"/>
          <w:rtl/>
          <w:lang w:bidi="fa-IR"/>
        </w:rPr>
        <w:t>ّ</w:t>
      </w:r>
      <w:r w:rsidRPr="00904FCB">
        <w:rPr>
          <w:rFonts w:ascii="Tahoma" w:hAnsi="Tahoma"/>
          <w:sz w:val="27"/>
          <w:rtl/>
          <w:lang w:bidi="fa-IR"/>
        </w:rPr>
        <w:t xml:space="preserve"> أولئك يختلفون عن دلالة المفسّ</w:t>
      </w:r>
      <w:r w:rsidR="00AB671C" w:rsidRPr="00904FCB">
        <w:rPr>
          <w:rFonts w:ascii="Tahoma" w:hAnsi="Tahoma" w:hint="cs"/>
          <w:sz w:val="27"/>
          <w:rtl/>
          <w:lang w:bidi="fa-IR"/>
        </w:rPr>
        <w:t>ِ</w:t>
      </w:r>
      <w:r w:rsidRPr="00904FCB">
        <w:rPr>
          <w:rFonts w:ascii="Tahoma" w:hAnsi="Tahoma"/>
          <w:sz w:val="27"/>
          <w:rtl/>
          <w:lang w:bidi="fa-IR"/>
        </w:rPr>
        <w:t>ر</w:t>
      </w:r>
      <w:r w:rsidR="00AB671C" w:rsidRPr="00904FCB">
        <w:rPr>
          <w:rFonts w:ascii="Tahoma" w:hAnsi="Tahoma" w:hint="cs"/>
          <w:sz w:val="27"/>
          <w:rtl/>
          <w:lang w:bidi="fa-IR"/>
        </w:rPr>
        <w:t>،</w:t>
      </w:r>
      <w:r w:rsidRPr="00904FCB">
        <w:rPr>
          <w:rFonts w:ascii="Tahoma" w:hAnsi="Tahoma"/>
          <w:sz w:val="27"/>
          <w:rtl/>
          <w:lang w:bidi="fa-IR"/>
        </w:rPr>
        <w:t xml:space="preserve"> ول</w:t>
      </w:r>
      <w:r w:rsidR="00AB671C" w:rsidRPr="00904FCB">
        <w:rPr>
          <w:rFonts w:ascii="Tahoma" w:hAnsi="Tahoma" w:hint="cs"/>
          <w:sz w:val="27"/>
          <w:rtl/>
          <w:lang w:bidi="fa-IR"/>
        </w:rPr>
        <w:t>كلٍّ من ا</w:t>
      </w:r>
      <w:r w:rsidRPr="00904FCB">
        <w:rPr>
          <w:rFonts w:ascii="Tahoma" w:hAnsi="Tahoma"/>
          <w:sz w:val="27"/>
          <w:rtl/>
          <w:lang w:bidi="fa-IR"/>
        </w:rPr>
        <w:t>لأصولي والفقيه أدواته للوصول إلى دلالاته</w:t>
      </w:r>
      <w:r w:rsidR="00AB671C" w:rsidRPr="00904FCB">
        <w:rPr>
          <w:rFonts w:ascii="Tahoma" w:hAnsi="Tahoma" w:hint="cs"/>
          <w:sz w:val="27"/>
          <w:rtl/>
          <w:lang w:bidi="fa-IR"/>
        </w:rPr>
        <w:t>،</w:t>
      </w:r>
      <w:r w:rsidRPr="00904FCB">
        <w:rPr>
          <w:rFonts w:ascii="Tahoma" w:hAnsi="Tahoma"/>
          <w:sz w:val="27"/>
          <w:rtl/>
          <w:lang w:bidi="fa-IR"/>
        </w:rPr>
        <w:t xml:space="preserve"> مما </w:t>
      </w:r>
      <w:r w:rsidR="00AB671C" w:rsidRPr="00904FCB">
        <w:rPr>
          <w:rFonts w:ascii="Tahoma" w:hAnsi="Tahoma" w:hint="cs"/>
          <w:sz w:val="27"/>
          <w:rtl/>
          <w:lang w:bidi="fa-IR"/>
        </w:rPr>
        <w:t>أ</w:t>
      </w:r>
      <w:r w:rsidRPr="00904FCB">
        <w:rPr>
          <w:rFonts w:ascii="Tahoma" w:hAnsi="Tahoma"/>
          <w:sz w:val="27"/>
          <w:rtl/>
          <w:lang w:bidi="fa-IR"/>
        </w:rPr>
        <w:t>نضج علم الدلالة</w:t>
      </w:r>
      <w:r w:rsidR="00AB671C" w:rsidRPr="00904FCB">
        <w:rPr>
          <w:rFonts w:ascii="Tahoma" w:hAnsi="Tahoma" w:hint="cs"/>
          <w:sz w:val="27"/>
          <w:rtl/>
          <w:lang w:bidi="fa-IR"/>
        </w:rPr>
        <w:t>،</w:t>
      </w:r>
      <w:r w:rsidRPr="00904FCB">
        <w:rPr>
          <w:rFonts w:ascii="Tahoma" w:hAnsi="Tahoma"/>
          <w:sz w:val="27"/>
          <w:rtl/>
          <w:lang w:bidi="fa-IR"/>
        </w:rPr>
        <w:t xml:space="preserve"> وأصبح له منهج</w:t>
      </w:r>
      <w:r w:rsidR="00AB671C" w:rsidRPr="00904FCB">
        <w:rPr>
          <w:rFonts w:ascii="Tahoma" w:hAnsi="Tahoma" w:hint="cs"/>
          <w:sz w:val="27"/>
          <w:rtl/>
          <w:lang w:bidi="fa-IR"/>
        </w:rPr>
        <w:t>ٌ</w:t>
      </w:r>
      <w:r w:rsidRPr="00904FCB">
        <w:rPr>
          <w:rFonts w:ascii="Tahoma" w:hAnsi="Tahoma"/>
          <w:sz w:val="27"/>
          <w:rtl/>
          <w:lang w:bidi="fa-IR"/>
        </w:rPr>
        <w:t xml:space="preserve"> خاص</w:t>
      </w:r>
      <w:r w:rsidR="00AB671C" w:rsidRPr="00904FCB">
        <w:rPr>
          <w:rFonts w:ascii="Tahoma" w:hAnsi="Tahoma" w:hint="cs"/>
          <w:sz w:val="27"/>
          <w:rtl/>
          <w:lang w:bidi="fa-IR"/>
        </w:rPr>
        <w:t>ٌّ</w:t>
      </w:r>
      <w:r w:rsidRPr="00904FCB">
        <w:rPr>
          <w:rFonts w:ascii="Tahoma" w:hAnsi="Tahoma"/>
          <w:sz w:val="27"/>
          <w:rtl/>
          <w:lang w:bidi="fa-IR"/>
        </w:rPr>
        <w:t xml:space="preserve"> به.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lang w:bidi="fa-IR"/>
        </w:rPr>
        <w:t xml:space="preserve"> </w:t>
      </w:r>
      <w:r w:rsidRPr="00904FCB">
        <w:rPr>
          <w:rFonts w:ascii="Tahoma" w:hAnsi="Tahoma"/>
          <w:sz w:val="27"/>
          <w:rtl/>
          <w:lang w:bidi="fa-IR"/>
        </w:rPr>
        <w:t>والأمران (</w:t>
      </w:r>
      <w:r w:rsidR="00AB671C" w:rsidRPr="00904FCB">
        <w:rPr>
          <w:rFonts w:ascii="Tahoma" w:hAnsi="Tahoma" w:hint="cs"/>
          <w:sz w:val="27"/>
          <w:rtl/>
          <w:lang w:bidi="fa-IR"/>
        </w:rPr>
        <w:t>أ</w:t>
      </w:r>
      <w:r w:rsidRPr="00904FCB">
        <w:rPr>
          <w:rFonts w:ascii="Tahoma" w:hAnsi="Tahoma"/>
          <w:sz w:val="27"/>
          <w:rtl/>
          <w:lang w:bidi="fa-IR"/>
        </w:rPr>
        <w:t>ولاً وثانياً) مقبولان في حركة الاستنباط</w:t>
      </w:r>
      <w:r w:rsidR="00AB671C" w:rsidRPr="00904FCB">
        <w:rPr>
          <w:rFonts w:ascii="Tahoma" w:hAnsi="Tahoma" w:hint="cs"/>
          <w:sz w:val="27"/>
          <w:rtl/>
          <w:lang w:bidi="fa-IR"/>
        </w:rPr>
        <w:t>،</w:t>
      </w:r>
      <w:r w:rsidRPr="00904FCB">
        <w:rPr>
          <w:rFonts w:ascii="Tahoma" w:hAnsi="Tahoma"/>
          <w:sz w:val="27"/>
          <w:rtl/>
          <w:lang w:bidi="fa-IR"/>
        </w:rPr>
        <w:t xml:space="preserve"> </w:t>
      </w:r>
      <w:r w:rsidR="00AB671C" w:rsidRPr="00904FCB">
        <w:rPr>
          <w:rFonts w:ascii="Tahoma" w:hAnsi="Tahoma" w:hint="cs"/>
          <w:sz w:val="27"/>
          <w:rtl/>
          <w:lang w:bidi="fa-IR"/>
        </w:rPr>
        <w:t>و</w:t>
      </w:r>
      <w:r w:rsidRPr="00904FCB">
        <w:rPr>
          <w:rFonts w:ascii="Tahoma" w:hAnsi="Tahoma"/>
          <w:sz w:val="27"/>
          <w:rtl/>
          <w:lang w:bidi="fa-IR"/>
        </w:rPr>
        <w:t>ما</w:t>
      </w:r>
      <w:r w:rsidR="00AB671C" w:rsidRPr="00904FCB">
        <w:rPr>
          <w:rFonts w:ascii="Tahoma" w:hAnsi="Tahoma" w:hint="cs"/>
          <w:sz w:val="27"/>
          <w:rtl/>
          <w:lang w:bidi="fa-IR"/>
        </w:rPr>
        <w:t xml:space="preserve"> </w:t>
      </w:r>
      <w:r w:rsidRPr="00904FCB">
        <w:rPr>
          <w:rFonts w:ascii="Tahoma" w:hAnsi="Tahoma"/>
          <w:sz w:val="27"/>
          <w:rtl/>
          <w:lang w:bidi="fa-IR"/>
        </w:rPr>
        <w:t>زالا يعتمدان على دليل علمي مقنع</w:t>
      </w:r>
      <w:r w:rsidR="00AB671C" w:rsidRPr="00904FCB">
        <w:rPr>
          <w:rFonts w:ascii="Tahoma" w:hAnsi="Tahoma" w:hint="cs"/>
          <w:sz w:val="27"/>
          <w:rtl/>
          <w:lang w:bidi="fa-IR"/>
        </w:rPr>
        <w:t>،</w:t>
      </w:r>
      <w:r w:rsidRPr="00904FCB">
        <w:rPr>
          <w:rFonts w:ascii="Tahoma" w:hAnsi="Tahoma"/>
          <w:sz w:val="27"/>
          <w:rtl/>
          <w:lang w:bidi="fa-IR"/>
        </w:rPr>
        <w:t xml:space="preserve"> حت</w:t>
      </w:r>
      <w:r w:rsidR="00AB671C" w:rsidRPr="00904FCB">
        <w:rPr>
          <w:rFonts w:ascii="Tahoma" w:hAnsi="Tahoma" w:hint="cs"/>
          <w:sz w:val="27"/>
          <w:rtl/>
          <w:lang w:bidi="fa-IR"/>
        </w:rPr>
        <w:t>ّ</w:t>
      </w:r>
      <w:r w:rsidRPr="00904FCB">
        <w:rPr>
          <w:rFonts w:ascii="Tahoma" w:hAnsi="Tahoma"/>
          <w:sz w:val="27"/>
          <w:rtl/>
          <w:lang w:bidi="fa-IR"/>
        </w:rPr>
        <w:t>ى و</w:t>
      </w:r>
      <w:r w:rsidR="00AB671C" w:rsidRPr="00904FCB">
        <w:rPr>
          <w:rFonts w:ascii="Tahoma" w:hAnsi="Tahoma" w:hint="cs"/>
          <w:sz w:val="27"/>
          <w:rtl/>
          <w:lang w:bidi="fa-IR"/>
        </w:rPr>
        <w:t>إ</w:t>
      </w:r>
      <w:r w:rsidRPr="00904FCB">
        <w:rPr>
          <w:rFonts w:ascii="Tahoma" w:hAnsi="Tahoma"/>
          <w:sz w:val="27"/>
          <w:rtl/>
          <w:lang w:bidi="fa-IR"/>
        </w:rPr>
        <w:t xml:space="preserve">ن اختلف الاثنان في حجية الدليل.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ويُعد</w:t>
      </w:r>
      <w:r w:rsidR="00AB671C" w:rsidRPr="00904FCB">
        <w:rPr>
          <w:rFonts w:ascii="Tahoma" w:hAnsi="Tahoma" w:hint="cs"/>
          <w:sz w:val="27"/>
          <w:rtl/>
          <w:lang w:bidi="fa-IR"/>
        </w:rPr>
        <w:t>ّ</w:t>
      </w:r>
      <w:r w:rsidRPr="00904FCB">
        <w:rPr>
          <w:rFonts w:ascii="Tahoma" w:hAnsi="Tahoma"/>
          <w:sz w:val="27"/>
          <w:rtl/>
          <w:lang w:bidi="fa-IR"/>
        </w:rPr>
        <w:t xml:space="preserve"> هذا الأمر</w:t>
      </w:r>
      <w:r w:rsidR="00AB671C" w:rsidRPr="00904FCB">
        <w:rPr>
          <w:rFonts w:ascii="Tahoma" w:hAnsi="Tahoma" w:hint="cs"/>
          <w:sz w:val="27"/>
          <w:rtl/>
          <w:lang w:bidi="fa-IR"/>
        </w:rPr>
        <w:t>، أي</w:t>
      </w:r>
      <w:r w:rsidRPr="00904FCB">
        <w:rPr>
          <w:rFonts w:ascii="Tahoma" w:hAnsi="Tahoma"/>
          <w:sz w:val="27"/>
          <w:rtl/>
          <w:lang w:bidi="fa-IR"/>
        </w:rPr>
        <w:t xml:space="preserve"> النص</w:t>
      </w:r>
      <w:r w:rsidR="00AB671C" w:rsidRPr="00904FCB">
        <w:rPr>
          <w:rFonts w:ascii="Tahoma" w:hAnsi="Tahoma" w:hint="cs"/>
          <w:sz w:val="27"/>
          <w:rtl/>
          <w:lang w:bidi="fa-IR"/>
        </w:rPr>
        <w:t>ّ</w:t>
      </w:r>
      <w:r w:rsidRPr="00904FCB">
        <w:rPr>
          <w:rFonts w:ascii="Tahoma" w:hAnsi="Tahoma"/>
          <w:sz w:val="27"/>
          <w:rtl/>
          <w:lang w:bidi="fa-IR"/>
        </w:rPr>
        <w:t xml:space="preserve"> (كتاباً أو سنّة)</w:t>
      </w:r>
      <w:r w:rsidR="00AB671C" w:rsidRPr="00904FCB">
        <w:rPr>
          <w:rFonts w:ascii="Tahoma" w:hAnsi="Tahoma" w:hint="cs"/>
          <w:sz w:val="27"/>
          <w:rtl/>
          <w:lang w:bidi="fa-IR"/>
        </w:rPr>
        <w:t>،</w:t>
      </w:r>
      <w:r w:rsidRPr="00904FCB">
        <w:rPr>
          <w:rFonts w:ascii="Tahoma" w:hAnsi="Tahoma"/>
          <w:sz w:val="27"/>
          <w:rtl/>
          <w:lang w:bidi="fa-IR"/>
        </w:rPr>
        <w:t xml:space="preserve"> بمثابة الأساس الذي تنطلق منه ثقافة الفكر الإسلامي.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ولذلك يحاول الأصوليون أن يجدوا حج</w:t>
      </w:r>
      <w:r w:rsidR="00AB671C" w:rsidRPr="00904FCB">
        <w:rPr>
          <w:rFonts w:ascii="Tahoma" w:hAnsi="Tahoma" w:hint="cs"/>
          <w:sz w:val="27"/>
          <w:rtl/>
          <w:lang w:bidi="fa-IR"/>
        </w:rPr>
        <w:t>ّ</w:t>
      </w:r>
      <w:r w:rsidRPr="00904FCB">
        <w:rPr>
          <w:rFonts w:ascii="Tahoma" w:hAnsi="Tahoma"/>
          <w:sz w:val="27"/>
          <w:rtl/>
          <w:lang w:bidi="fa-IR"/>
        </w:rPr>
        <w:t>ية</w:t>
      </w:r>
      <w:r w:rsidR="00AB671C" w:rsidRPr="00904FCB">
        <w:rPr>
          <w:rFonts w:ascii="Tahoma" w:hAnsi="Tahoma" w:hint="cs"/>
          <w:sz w:val="27"/>
          <w:rtl/>
          <w:lang w:bidi="fa-IR"/>
        </w:rPr>
        <w:t>ً</w:t>
      </w:r>
      <w:r w:rsidRPr="00904FCB">
        <w:rPr>
          <w:rFonts w:ascii="Tahoma" w:hAnsi="Tahoma"/>
          <w:sz w:val="27"/>
          <w:rtl/>
          <w:lang w:bidi="fa-IR"/>
        </w:rPr>
        <w:t xml:space="preserve"> لأدل</w:t>
      </w:r>
      <w:r w:rsidR="00AB671C" w:rsidRPr="00904FCB">
        <w:rPr>
          <w:rFonts w:ascii="Tahoma" w:hAnsi="Tahoma" w:hint="cs"/>
          <w:sz w:val="27"/>
          <w:rtl/>
          <w:lang w:bidi="fa-IR"/>
        </w:rPr>
        <w:t>ّ</w:t>
      </w:r>
      <w:r w:rsidRPr="00904FCB">
        <w:rPr>
          <w:rFonts w:ascii="Tahoma" w:hAnsi="Tahoma"/>
          <w:sz w:val="27"/>
          <w:rtl/>
          <w:lang w:bidi="fa-IR"/>
        </w:rPr>
        <w:t>ة الاستنباط الأخرى من الكتاب والسن</w:t>
      </w:r>
      <w:r w:rsidR="00AB671C" w:rsidRPr="00904FCB">
        <w:rPr>
          <w:rFonts w:ascii="Tahoma" w:hAnsi="Tahoma" w:hint="cs"/>
          <w:sz w:val="27"/>
          <w:rtl/>
          <w:lang w:bidi="fa-IR"/>
        </w:rPr>
        <w:t>ّ</w:t>
      </w:r>
      <w:r w:rsidRPr="00904FCB">
        <w:rPr>
          <w:rFonts w:ascii="Tahoma" w:hAnsi="Tahoma"/>
          <w:sz w:val="27"/>
          <w:rtl/>
          <w:lang w:bidi="fa-IR"/>
        </w:rPr>
        <w:t xml:space="preserve">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وُيعّد العقل الدليل الآخر في حركة الاستنباط</w:t>
      </w:r>
      <w:r w:rsidR="00AB671C" w:rsidRPr="00904FCB">
        <w:rPr>
          <w:rFonts w:ascii="Tahoma" w:hAnsi="Tahoma" w:hint="cs"/>
          <w:sz w:val="27"/>
          <w:rtl/>
          <w:lang w:bidi="fa-IR"/>
        </w:rPr>
        <w:t>؛</w:t>
      </w:r>
      <w:r w:rsidRPr="00904FCB">
        <w:rPr>
          <w:rFonts w:ascii="Tahoma" w:hAnsi="Tahoma"/>
          <w:sz w:val="27"/>
          <w:rtl/>
          <w:lang w:bidi="fa-IR"/>
        </w:rPr>
        <w:t xml:space="preserve"> ف</w:t>
      </w:r>
      <w:r w:rsidR="00F90BDB" w:rsidRPr="00904FCB">
        <w:rPr>
          <w:rFonts w:ascii="Tahoma" w:hAnsi="Tahoma" w:hint="cs"/>
          <w:sz w:val="27"/>
          <w:rtl/>
          <w:lang w:bidi="fa-IR"/>
        </w:rPr>
        <w:t>لئن</w:t>
      </w:r>
      <w:r w:rsidRPr="00904FCB">
        <w:rPr>
          <w:rFonts w:ascii="Tahoma" w:hAnsi="Tahoma"/>
          <w:sz w:val="27"/>
          <w:rtl/>
          <w:lang w:bidi="fa-IR"/>
        </w:rPr>
        <w:t xml:space="preserve"> رف</w:t>
      </w:r>
      <w:r w:rsidR="00F90BDB" w:rsidRPr="00904FCB">
        <w:rPr>
          <w:rFonts w:ascii="Tahoma" w:hAnsi="Tahoma"/>
          <w:sz w:val="27"/>
          <w:rtl/>
          <w:lang w:bidi="fa-IR"/>
        </w:rPr>
        <w:t>ض</w:t>
      </w:r>
      <w:r w:rsidRPr="00904FCB">
        <w:rPr>
          <w:rFonts w:ascii="Tahoma" w:hAnsi="Tahoma"/>
          <w:sz w:val="27"/>
          <w:rtl/>
          <w:lang w:bidi="fa-IR"/>
        </w:rPr>
        <w:t xml:space="preserve">ه بعضهم فقد </w:t>
      </w:r>
      <w:r w:rsidR="00F90BDB" w:rsidRPr="00904FCB">
        <w:rPr>
          <w:rFonts w:ascii="Tahoma" w:hAnsi="Tahoma" w:hint="cs"/>
          <w:sz w:val="27"/>
          <w:rtl/>
          <w:lang w:bidi="fa-IR"/>
        </w:rPr>
        <w:t>ا</w:t>
      </w:r>
      <w:r w:rsidRPr="00904FCB">
        <w:rPr>
          <w:rFonts w:ascii="Tahoma" w:hAnsi="Tahoma"/>
          <w:sz w:val="27"/>
          <w:rtl/>
          <w:lang w:bidi="fa-IR"/>
        </w:rPr>
        <w:t>ستعمله من حيث لا</w:t>
      </w:r>
      <w:r w:rsidR="00F90BDB" w:rsidRPr="00904FCB">
        <w:rPr>
          <w:rFonts w:ascii="Tahoma" w:hAnsi="Tahoma" w:hint="cs"/>
          <w:sz w:val="27"/>
          <w:rtl/>
          <w:lang w:bidi="fa-IR"/>
        </w:rPr>
        <w:t xml:space="preserve"> </w:t>
      </w:r>
      <w:r w:rsidRPr="00904FCB">
        <w:rPr>
          <w:rFonts w:ascii="Tahoma" w:hAnsi="Tahoma"/>
          <w:sz w:val="27"/>
          <w:rtl/>
          <w:lang w:bidi="fa-IR"/>
        </w:rPr>
        <w:t>يشعر</w:t>
      </w:r>
      <w:r w:rsidR="00F90BDB" w:rsidRPr="00904FCB">
        <w:rPr>
          <w:rFonts w:ascii="Tahoma" w:hAnsi="Tahoma" w:hint="cs"/>
          <w:sz w:val="27"/>
          <w:rtl/>
          <w:lang w:bidi="fa-IR"/>
        </w:rPr>
        <w:t>،</w:t>
      </w:r>
      <w:r w:rsidRPr="00904FCB">
        <w:rPr>
          <w:rFonts w:ascii="Tahoma" w:hAnsi="Tahoma"/>
          <w:sz w:val="27"/>
          <w:rtl/>
          <w:lang w:bidi="fa-IR"/>
        </w:rPr>
        <w:t xml:space="preserve"> وإلا</w:t>
      </w:r>
      <w:r w:rsidR="00F90BDB" w:rsidRPr="00904FCB">
        <w:rPr>
          <w:rFonts w:ascii="Tahoma" w:hAnsi="Tahoma" w:hint="cs"/>
          <w:sz w:val="27"/>
          <w:rtl/>
          <w:lang w:bidi="fa-IR"/>
        </w:rPr>
        <w:t>ّ</w:t>
      </w:r>
      <w:r w:rsidRPr="00904FCB">
        <w:rPr>
          <w:rFonts w:ascii="Tahoma" w:hAnsi="Tahoma"/>
          <w:sz w:val="27"/>
          <w:rtl/>
          <w:lang w:bidi="fa-IR"/>
        </w:rPr>
        <w:t xml:space="preserve"> كيف استدل</w:t>
      </w:r>
      <w:r w:rsidR="00F90BDB" w:rsidRPr="00904FCB">
        <w:rPr>
          <w:rFonts w:ascii="Tahoma" w:hAnsi="Tahoma" w:hint="cs"/>
          <w:sz w:val="27"/>
          <w:rtl/>
          <w:lang w:bidi="fa-IR"/>
        </w:rPr>
        <w:t>ّ</w:t>
      </w:r>
      <w:r w:rsidRPr="00904FCB">
        <w:rPr>
          <w:rFonts w:ascii="Tahoma" w:hAnsi="Tahoma"/>
          <w:sz w:val="27"/>
          <w:rtl/>
          <w:lang w:bidi="fa-IR"/>
        </w:rPr>
        <w:t xml:space="preserve"> على حج</w:t>
      </w:r>
      <w:r w:rsidR="00F90BDB" w:rsidRPr="00904FCB">
        <w:rPr>
          <w:rFonts w:ascii="Tahoma" w:hAnsi="Tahoma" w:hint="cs"/>
          <w:sz w:val="27"/>
          <w:rtl/>
          <w:lang w:bidi="fa-IR"/>
        </w:rPr>
        <w:t>ّ</w:t>
      </w:r>
      <w:r w:rsidRPr="00904FCB">
        <w:rPr>
          <w:rFonts w:ascii="Tahoma" w:hAnsi="Tahoma"/>
          <w:sz w:val="27"/>
          <w:rtl/>
          <w:lang w:bidi="fa-IR"/>
        </w:rPr>
        <w:t>ية النص</w:t>
      </w:r>
      <w:r w:rsidR="00F90BDB" w:rsidRPr="00904FCB">
        <w:rPr>
          <w:rFonts w:ascii="Tahoma" w:hAnsi="Tahoma" w:hint="cs"/>
          <w:sz w:val="27"/>
          <w:rtl/>
          <w:lang w:bidi="fa-IR"/>
        </w:rPr>
        <w:t>ّ</w:t>
      </w:r>
      <w:r w:rsidRPr="00904FCB">
        <w:rPr>
          <w:rFonts w:ascii="Tahoma" w:hAnsi="Tahoma"/>
          <w:sz w:val="27"/>
          <w:rtl/>
          <w:lang w:bidi="fa-IR"/>
        </w:rPr>
        <w:t>؟</w:t>
      </w:r>
      <w:r w:rsidR="00F90BDB" w:rsidRPr="00904FCB">
        <w:rPr>
          <w:rFonts w:ascii="Tahoma" w:hAnsi="Tahoma" w:hint="cs"/>
          <w:sz w:val="27"/>
          <w:rtl/>
          <w:lang w:bidi="fa-IR"/>
        </w:rPr>
        <w:t>!</w:t>
      </w:r>
      <w:r w:rsidRPr="00904FCB">
        <w:rPr>
          <w:rFonts w:ascii="Tahoma" w:hAnsi="Tahoma"/>
          <w:sz w:val="27"/>
          <w:rtl/>
          <w:lang w:bidi="fa-IR"/>
        </w:rPr>
        <w:t xml:space="preserve"> ف</w:t>
      </w:r>
      <w:r w:rsidR="00F90BDB" w:rsidRPr="00904FCB">
        <w:rPr>
          <w:rFonts w:ascii="Tahoma" w:hAnsi="Tahoma" w:hint="cs"/>
          <w:sz w:val="27"/>
          <w:rtl/>
          <w:lang w:bidi="fa-IR"/>
        </w:rPr>
        <w:t>إ</w:t>
      </w:r>
      <w:r w:rsidRPr="00904FCB">
        <w:rPr>
          <w:rFonts w:ascii="Tahoma" w:hAnsi="Tahoma"/>
          <w:sz w:val="27"/>
          <w:rtl/>
          <w:lang w:bidi="fa-IR"/>
        </w:rPr>
        <w:t>ن</w:t>
      </w:r>
      <w:r w:rsidR="00F90BDB" w:rsidRPr="00904FCB">
        <w:rPr>
          <w:rFonts w:ascii="Tahoma" w:hAnsi="Tahoma" w:hint="cs"/>
          <w:sz w:val="27"/>
          <w:rtl/>
          <w:lang w:bidi="fa-IR"/>
        </w:rPr>
        <w:t>ْ</w:t>
      </w:r>
      <w:r w:rsidRPr="00904FCB">
        <w:rPr>
          <w:rFonts w:ascii="Tahoma" w:hAnsi="Tahoma"/>
          <w:sz w:val="27"/>
          <w:rtl/>
          <w:lang w:bidi="fa-IR"/>
        </w:rPr>
        <w:t xml:space="preserve"> قال</w:t>
      </w:r>
      <w:r w:rsidR="00F90BDB" w:rsidRPr="00904FCB">
        <w:rPr>
          <w:rFonts w:ascii="Tahoma" w:hAnsi="Tahoma" w:hint="cs"/>
          <w:sz w:val="27"/>
          <w:rtl/>
          <w:lang w:bidi="fa-IR"/>
        </w:rPr>
        <w:t>:</w:t>
      </w:r>
      <w:r w:rsidRPr="00904FCB">
        <w:rPr>
          <w:rFonts w:ascii="Tahoma" w:hAnsi="Tahoma"/>
          <w:sz w:val="27"/>
          <w:rtl/>
          <w:lang w:bidi="fa-IR"/>
        </w:rPr>
        <w:t xml:space="preserve"> من نص</w:t>
      </w:r>
      <w:r w:rsidR="00F90BDB" w:rsidRPr="00904FCB">
        <w:rPr>
          <w:rFonts w:ascii="Tahoma" w:hAnsi="Tahoma" w:hint="cs"/>
          <w:sz w:val="27"/>
          <w:rtl/>
          <w:lang w:bidi="fa-IR"/>
        </w:rPr>
        <w:t>ٍّ</w:t>
      </w:r>
      <w:r w:rsidRPr="00904FCB">
        <w:rPr>
          <w:rFonts w:ascii="Tahoma" w:hAnsi="Tahoma"/>
          <w:sz w:val="27"/>
          <w:rtl/>
          <w:lang w:bidi="fa-IR"/>
        </w:rPr>
        <w:t xml:space="preserve"> </w:t>
      </w:r>
      <w:r w:rsidR="00F90BDB" w:rsidRPr="00904FCB">
        <w:rPr>
          <w:rFonts w:ascii="Tahoma" w:hAnsi="Tahoma" w:hint="cs"/>
          <w:sz w:val="27"/>
          <w:rtl/>
          <w:lang w:bidi="fa-IR"/>
        </w:rPr>
        <w:t>آ</w:t>
      </w:r>
      <w:r w:rsidRPr="00904FCB">
        <w:rPr>
          <w:rFonts w:ascii="Tahoma" w:hAnsi="Tahoma"/>
          <w:sz w:val="27"/>
          <w:rtl/>
          <w:lang w:bidi="fa-IR"/>
        </w:rPr>
        <w:t xml:space="preserve">خر </w:t>
      </w:r>
      <w:r w:rsidR="00F90BDB" w:rsidRPr="00904FCB">
        <w:rPr>
          <w:rFonts w:ascii="Tahoma" w:hAnsi="Tahoma" w:hint="cs"/>
          <w:sz w:val="27"/>
          <w:rtl/>
          <w:lang w:bidi="fa-IR"/>
        </w:rPr>
        <w:t>أ</w:t>
      </w:r>
      <w:r w:rsidRPr="00904FCB">
        <w:rPr>
          <w:rFonts w:ascii="Tahoma" w:hAnsi="Tahoma"/>
          <w:sz w:val="27"/>
          <w:rtl/>
          <w:lang w:bidi="fa-IR"/>
        </w:rPr>
        <w:t>سبق منه فقد لزم الد</w:t>
      </w:r>
      <w:r w:rsidR="00F90BDB" w:rsidRPr="00904FCB">
        <w:rPr>
          <w:rFonts w:ascii="Tahoma" w:hAnsi="Tahoma" w:hint="cs"/>
          <w:sz w:val="27"/>
          <w:rtl/>
          <w:lang w:bidi="fa-IR"/>
        </w:rPr>
        <w:t>َّ</w:t>
      </w:r>
      <w:r w:rsidRPr="00904FCB">
        <w:rPr>
          <w:rFonts w:ascii="Tahoma" w:hAnsi="Tahoma"/>
          <w:sz w:val="27"/>
          <w:rtl/>
          <w:lang w:bidi="fa-IR"/>
        </w:rPr>
        <w:t>و</w:t>
      </w:r>
      <w:r w:rsidR="00F90BDB" w:rsidRPr="00904FCB">
        <w:rPr>
          <w:rFonts w:ascii="Tahoma" w:hAnsi="Tahoma" w:hint="cs"/>
          <w:sz w:val="27"/>
          <w:rtl/>
          <w:lang w:bidi="fa-IR"/>
        </w:rPr>
        <w:t>ْ</w:t>
      </w:r>
      <w:r w:rsidRPr="00904FCB">
        <w:rPr>
          <w:rFonts w:ascii="Tahoma" w:hAnsi="Tahoma"/>
          <w:sz w:val="27"/>
          <w:rtl/>
          <w:lang w:bidi="fa-IR"/>
        </w:rPr>
        <w:t>ر. وقد رفض المنطق الد</w:t>
      </w:r>
      <w:r w:rsidR="00F90BDB" w:rsidRPr="00904FCB">
        <w:rPr>
          <w:rFonts w:ascii="Tahoma" w:hAnsi="Tahoma" w:hint="cs"/>
          <w:sz w:val="27"/>
          <w:rtl/>
          <w:lang w:bidi="fa-IR"/>
        </w:rPr>
        <w:t>َّ</w:t>
      </w:r>
      <w:r w:rsidRPr="00904FCB">
        <w:rPr>
          <w:rFonts w:ascii="Tahoma" w:hAnsi="Tahoma"/>
          <w:sz w:val="27"/>
          <w:rtl/>
          <w:lang w:bidi="fa-IR"/>
        </w:rPr>
        <w:t>و</w:t>
      </w:r>
      <w:r w:rsidR="00F90BDB" w:rsidRPr="00904FCB">
        <w:rPr>
          <w:rFonts w:ascii="Tahoma" w:hAnsi="Tahoma" w:hint="cs"/>
          <w:sz w:val="27"/>
          <w:rtl/>
          <w:lang w:bidi="fa-IR"/>
        </w:rPr>
        <w:t>ْ</w:t>
      </w:r>
      <w:r w:rsidRPr="00904FCB">
        <w:rPr>
          <w:rFonts w:ascii="Tahoma" w:hAnsi="Tahoma"/>
          <w:sz w:val="27"/>
          <w:rtl/>
          <w:lang w:bidi="fa-IR"/>
        </w:rPr>
        <w:t>ر. وكيف مي</w:t>
      </w:r>
      <w:r w:rsidR="00F90BDB" w:rsidRPr="00904FCB">
        <w:rPr>
          <w:rFonts w:ascii="Tahoma" w:hAnsi="Tahoma" w:hint="cs"/>
          <w:sz w:val="27"/>
          <w:rtl/>
          <w:lang w:bidi="fa-IR"/>
        </w:rPr>
        <w:t>َّ</w:t>
      </w:r>
      <w:r w:rsidRPr="00904FCB">
        <w:rPr>
          <w:rFonts w:ascii="Tahoma" w:hAnsi="Tahoma"/>
          <w:sz w:val="27"/>
          <w:rtl/>
          <w:lang w:bidi="fa-IR"/>
        </w:rPr>
        <w:t>ز الصحيح من ا</w:t>
      </w:r>
      <w:r w:rsidR="00F90BDB" w:rsidRPr="00904FCB">
        <w:rPr>
          <w:rFonts w:ascii="Tahoma" w:hAnsi="Tahoma"/>
          <w:sz w:val="27"/>
          <w:rtl/>
          <w:lang w:bidi="fa-IR"/>
        </w:rPr>
        <w:t>لسقيم من مرويات السن</w:t>
      </w:r>
      <w:r w:rsidR="00F90BDB" w:rsidRPr="00904FCB">
        <w:rPr>
          <w:rFonts w:ascii="Tahoma" w:hAnsi="Tahoma" w:hint="cs"/>
          <w:sz w:val="27"/>
          <w:rtl/>
          <w:lang w:bidi="fa-IR"/>
        </w:rPr>
        <w:t>ّ</w:t>
      </w:r>
      <w:r w:rsidRPr="00904FCB">
        <w:rPr>
          <w:rFonts w:ascii="Tahoma" w:hAnsi="Tahoma"/>
          <w:sz w:val="27"/>
          <w:rtl/>
          <w:lang w:bidi="fa-IR"/>
        </w:rPr>
        <w:t>ة؟</w:t>
      </w:r>
      <w:r w:rsidR="00F90BDB" w:rsidRPr="00904FCB">
        <w:rPr>
          <w:rFonts w:ascii="Tahoma" w:hAnsi="Tahoma" w:hint="cs"/>
          <w:sz w:val="27"/>
          <w:rtl/>
          <w:lang w:bidi="fa-IR"/>
        </w:rPr>
        <w:t>!</w:t>
      </w:r>
      <w:r w:rsidRPr="00904FCB">
        <w:rPr>
          <w:rFonts w:ascii="Tahoma" w:hAnsi="Tahoma"/>
          <w:sz w:val="27"/>
          <w:rtl/>
          <w:lang w:bidi="fa-IR"/>
        </w:rPr>
        <w:t xml:space="preserve"> ألم يستعمل العقل؟</w:t>
      </w:r>
      <w:r w:rsidR="00F90BDB" w:rsidRPr="00904FCB">
        <w:rPr>
          <w:rFonts w:ascii="Tahoma" w:hAnsi="Tahoma" w:hint="cs"/>
          <w:sz w:val="27"/>
          <w:rtl/>
          <w:lang w:bidi="fa-IR"/>
        </w:rPr>
        <w:t>!</w:t>
      </w:r>
      <w:r w:rsidRPr="00904FCB">
        <w:rPr>
          <w:rFonts w:ascii="Tahoma" w:hAnsi="Tahoma"/>
          <w:sz w:val="27"/>
          <w:rtl/>
          <w:lang w:bidi="fa-IR"/>
        </w:rPr>
        <w:t xml:space="preserve"> ثم</w:t>
      </w:r>
      <w:r w:rsidR="00F90BDB" w:rsidRPr="00904FCB">
        <w:rPr>
          <w:rFonts w:ascii="Tahoma" w:hAnsi="Tahoma" w:hint="cs"/>
          <w:sz w:val="27"/>
          <w:rtl/>
          <w:lang w:bidi="fa-IR"/>
        </w:rPr>
        <w:t>ّ</w:t>
      </w:r>
      <w:r w:rsidRPr="00904FCB">
        <w:rPr>
          <w:rFonts w:ascii="Tahoma" w:hAnsi="Tahoma"/>
          <w:sz w:val="27"/>
          <w:rtl/>
          <w:lang w:bidi="fa-IR"/>
        </w:rPr>
        <w:t xml:space="preserve"> </w:t>
      </w:r>
      <w:r w:rsidR="00F90BDB" w:rsidRPr="00904FCB">
        <w:rPr>
          <w:rFonts w:ascii="Tahoma" w:hAnsi="Tahoma" w:hint="cs"/>
          <w:sz w:val="27"/>
          <w:rtl/>
          <w:lang w:bidi="fa-IR"/>
        </w:rPr>
        <w:t>إ</w:t>
      </w:r>
      <w:r w:rsidRPr="00904FCB">
        <w:rPr>
          <w:rFonts w:ascii="Tahoma" w:hAnsi="Tahoma"/>
          <w:sz w:val="27"/>
          <w:rtl/>
          <w:lang w:bidi="fa-IR"/>
        </w:rPr>
        <w:t>ن مصادر الاستنباط الأخرى</w:t>
      </w:r>
      <w:r w:rsidR="00F90BDB" w:rsidRPr="00904FCB">
        <w:rPr>
          <w:rFonts w:ascii="Tahoma" w:hAnsi="Tahoma" w:hint="cs"/>
          <w:sz w:val="27"/>
          <w:rtl/>
          <w:lang w:bidi="fa-IR"/>
        </w:rPr>
        <w:t>،</w:t>
      </w:r>
      <w:r w:rsidRPr="00904FCB">
        <w:rPr>
          <w:rFonts w:ascii="Tahoma" w:hAnsi="Tahoma"/>
          <w:sz w:val="27"/>
          <w:rtl/>
          <w:lang w:bidi="fa-IR"/>
        </w:rPr>
        <w:t xml:space="preserve"> من </w:t>
      </w:r>
      <w:r w:rsidRPr="00904FCB">
        <w:rPr>
          <w:rFonts w:ascii="Tahoma" w:hAnsi="Tahoma"/>
          <w:sz w:val="27"/>
          <w:rtl/>
          <w:lang w:bidi="fa-IR"/>
        </w:rPr>
        <w:lastRenderedPageBreak/>
        <w:t xml:space="preserve">قياس أو </w:t>
      </w:r>
      <w:r w:rsidR="00F90BDB" w:rsidRPr="00904FCB">
        <w:rPr>
          <w:rFonts w:ascii="Tahoma" w:hAnsi="Tahoma" w:hint="cs"/>
          <w:sz w:val="27"/>
          <w:rtl/>
          <w:lang w:bidi="fa-IR"/>
        </w:rPr>
        <w:t>ا</w:t>
      </w:r>
      <w:r w:rsidRPr="00904FCB">
        <w:rPr>
          <w:rFonts w:ascii="Tahoma" w:hAnsi="Tahoma"/>
          <w:sz w:val="27"/>
          <w:rtl/>
          <w:lang w:bidi="fa-IR"/>
        </w:rPr>
        <w:t>ستحسان أو مصالح مرسلة أو أدل</w:t>
      </w:r>
      <w:r w:rsidR="00F90BDB" w:rsidRPr="00904FCB">
        <w:rPr>
          <w:rFonts w:ascii="Tahoma" w:hAnsi="Tahoma" w:hint="cs"/>
          <w:sz w:val="27"/>
          <w:rtl/>
          <w:lang w:bidi="fa-IR"/>
        </w:rPr>
        <w:t>ّ</w:t>
      </w:r>
      <w:r w:rsidRPr="00904FCB">
        <w:rPr>
          <w:rFonts w:ascii="Tahoma" w:hAnsi="Tahoma"/>
          <w:sz w:val="27"/>
          <w:rtl/>
          <w:lang w:bidi="fa-IR"/>
        </w:rPr>
        <w:t>ة عقلية</w:t>
      </w:r>
      <w:r w:rsidR="00F90BDB" w:rsidRPr="00904FCB">
        <w:rPr>
          <w:rFonts w:ascii="Tahoma" w:hAnsi="Tahoma" w:hint="cs"/>
          <w:sz w:val="27"/>
          <w:rtl/>
          <w:lang w:bidi="fa-IR"/>
        </w:rPr>
        <w:t>،</w:t>
      </w:r>
      <w:r w:rsidRPr="00904FCB">
        <w:rPr>
          <w:rFonts w:ascii="Tahoma" w:hAnsi="Tahoma"/>
          <w:sz w:val="27"/>
          <w:rtl/>
          <w:lang w:bidi="fa-IR"/>
        </w:rPr>
        <w:t xml:space="preserve"> من احتياط أو استصحاب أو براءة أو تخيير</w:t>
      </w:r>
      <w:r w:rsidR="00F90BDB" w:rsidRPr="00904FCB">
        <w:rPr>
          <w:rFonts w:ascii="Tahoma" w:hAnsi="Tahoma" w:hint="cs"/>
          <w:sz w:val="27"/>
          <w:rtl/>
          <w:lang w:bidi="fa-IR"/>
        </w:rPr>
        <w:t>،</w:t>
      </w:r>
      <w:r w:rsidRPr="00904FCB">
        <w:rPr>
          <w:rFonts w:ascii="Tahoma" w:hAnsi="Tahoma"/>
          <w:sz w:val="27"/>
          <w:rtl/>
          <w:lang w:bidi="fa-IR"/>
        </w:rPr>
        <w:t xml:space="preserve"> كل تلك الأدلة لا</w:t>
      </w:r>
      <w:r w:rsidR="00F90BDB" w:rsidRPr="00904FCB">
        <w:rPr>
          <w:rFonts w:ascii="Tahoma" w:hAnsi="Tahoma" w:hint="cs"/>
          <w:sz w:val="27"/>
          <w:rtl/>
          <w:lang w:bidi="fa-IR"/>
        </w:rPr>
        <w:t xml:space="preserve"> </w:t>
      </w:r>
      <w:r w:rsidRPr="00904FCB">
        <w:rPr>
          <w:rFonts w:ascii="Tahoma" w:hAnsi="Tahoma"/>
          <w:sz w:val="27"/>
          <w:rtl/>
          <w:lang w:bidi="fa-IR"/>
        </w:rPr>
        <w:t xml:space="preserve">يمكن العمل </w:t>
      </w:r>
      <w:r w:rsidR="00F90BDB" w:rsidRPr="00904FCB">
        <w:rPr>
          <w:rFonts w:ascii="Tahoma" w:hAnsi="Tahoma" w:hint="cs"/>
          <w:sz w:val="27"/>
          <w:rtl/>
          <w:lang w:bidi="fa-IR"/>
        </w:rPr>
        <w:t>ب</w:t>
      </w:r>
      <w:r w:rsidRPr="00904FCB">
        <w:rPr>
          <w:rFonts w:ascii="Tahoma" w:hAnsi="Tahoma"/>
          <w:sz w:val="27"/>
          <w:rtl/>
          <w:lang w:bidi="fa-IR"/>
        </w:rPr>
        <w:t>ها ما لم تفعل العقل</w:t>
      </w:r>
      <w:r w:rsidR="00F90BDB" w:rsidRPr="00904FCB">
        <w:rPr>
          <w:rFonts w:ascii="Tahoma" w:hAnsi="Tahoma" w:hint="cs"/>
          <w:sz w:val="27"/>
          <w:rtl/>
          <w:lang w:bidi="fa-IR"/>
        </w:rPr>
        <w:t>،</w:t>
      </w:r>
      <w:r w:rsidRPr="00904FCB">
        <w:rPr>
          <w:rFonts w:ascii="Tahoma" w:hAnsi="Tahoma"/>
          <w:sz w:val="27"/>
          <w:rtl/>
          <w:lang w:bidi="fa-IR"/>
        </w:rPr>
        <w:t xml:space="preserve"> سواء كان العقل المجر</w:t>
      </w:r>
      <w:r w:rsidR="00F90BDB" w:rsidRPr="00904FCB">
        <w:rPr>
          <w:rFonts w:ascii="Tahoma" w:hAnsi="Tahoma" w:hint="cs"/>
          <w:sz w:val="27"/>
          <w:rtl/>
          <w:lang w:bidi="fa-IR"/>
        </w:rPr>
        <w:t>ّ</w:t>
      </w:r>
      <w:r w:rsidRPr="00904FCB">
        <w:rPr>
          <w:rFonts w:ascii="Tahoma" w:hAnsi="Tahoma"/>
          <w:sz w:val="27"/>
          <w:rtl/>
          <w:lang w:bidi="fa-IR"/>
        </w:rPr>
        <w:t>د الذي يستدل على الكبريات أو العقل المعرفي الذي يقيس الصغريات على الكبريات.</w:t>
      </w:r>
      <w:r w:rsidR="00F90BDB"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ولا نريد هنا أن نستعرض أدلة الاستنباط وفق مدرس</w:t>
      </w:r>
      <w:r w:rsidR="00F90BDB" w:rsidRPr="00904FCB">
        <w:rPr>
          <w:rFonts w:ascii="Tahoma" w:hAnsi="Tahoma" w:hint="cs"/>
          <w:sz w:val="27"/>
          <w:rtl/>
          <w:lang w:bidi="fa-IR"/>
        </w:rPr>
        <w:t>ة</w:t>
      </w:r>
      <w:r w:rsidRPr="00904FCB">
        <w:rPr>
          <w:rFonts w:ascii="Tahoma" w:hAnsi="Tahoma"/>
          <w:sz w:val="27"/>
          <w:rtl/>
          <w:lang w:bidi="fa-IR"/>
        </w:rPr>
        <w:t xml:space="preserve"> أهل البيت</w:t>
      </w:r>
      <w:r w:rsidR="001C1A2A" w:rsidRPr="00904FCB">
        <w:rPr>
          <w:rFonts w:ascii="Tahoma" w:hAnsi="Tahoma" w:cs="Mosawi"/>
          <w:sz w:val="27"/>
          <w:szCs w:val="22"/>
          <w:rtl/>
          <w:lang w:bidi="fa-IR"/>
        </w:rPr>
        <w:t>×</w:t>
      </w:r>
      <w:r w:rsidRPr="00904FCB">
        <w:rPr>
          <w:rFonts w:ascii="Tahoma" w:hAnsi="Tahoma"/>
          <w:sz w:val="27"/>
          <w:rtl/>
          <w:lang w:bidi="fa-IR"/>
        </w:rPr>
        <w:t xml:space="preserve"> أو مدرسة الجمهور، ولكن</w:t>
      </w:r>
      <w:r w:rsidR="00F90BDB" w:rsidRPr="00904FCB">
        <w:rPr>
          <w:rFonts w:ascii="Tahoma" w:hAnsi="Tahoma" w:hint="cs"/>
          <w:sz w:val="27"/>
          <w:rtl/>
          <w:lang w:bidi="fa-IR"/>
        </w:rPr>
        <w:t>ْ</w:t>
      </w:r>
      <w:r w:rsidRPr="00904FCB">
        <w:rPr>
          <w:rFonts w:ascii="Tahoma" w:hAnsi="Tahoma"/>
          <w:sz w:val="27"/>
          <w:rtl/>
          <w:lang w:bidi="fa-IR"/>
        </w:rPr>
        <w:t xml:space="preserve"> نأخذها على الأعم</w:t>
      </w:r>
      <w:r w:rsidR="00F90BDB" w:rsidRPr="00904FCB">
        <w:rPr>
          <w:rFonts w:ascii="Tahoma" w:hAnsi="Tahoma" w:hint="cs"/>
          <w:sz w:val="27"/>
          <w:rtl/>
          <w:lang w:bidi="fa-IR"/>
        </w:rPr>
        <w:t>ّ</w:t>
      </w:r>
      <w:r w:rsidRPr="00904FCB">
        <w:rPr>
          <w:rFonts w:ascii="Tahoma" w:hAnsi="Tahoma"/>
          <w:sz w:val="27"/>
          <w:rtl/>
          <w:lang w:bidi="fa-IR"/>
        </w:rPr>
        <w:t xml:space="preserve"> الأغلب</w:t>
      </w:r>
      <w:r w:rsidR="00F90BDB" w:rsidRPr="00904FCB">
        <w:rPr>
          <w:rFonts w:ascii="Tahoma" w:hAnsi="Tahoma" w:hint="cs"/>
          <w:sz w:val="27"/>
          <w:rtl/>
          <w:lang w:bidi="fa-IR"/>
        </w:rPr>
        <w:t>؛</w:t>
      </w:r>
      <w:r w:rsidRPr="00904FCB">
        <w:rPr>
          <w:rFonts w:ascii="Tahoma" w:hAnsi="Tahoma"/>
          <w:sz w:val="27"/>
          <w:rtl/>
          <w:lang w:bidi="fa-IR"/>
        </w:rPr>
        <w:t xml:space="preserve"> كوننا</w:t>
      </w:r>
      <w:r w:rsidR="00F90BDB" w:rsidRPr="00904FCB">
        <w:rPr>
          <w:rFonts w:ascii="Tahoma" w:hAnsi="Tahoma"/>
          <w:sz w:val="27"/>
          <w:rtl/>
          <w:lang w:bidi="fa-IR"/>
        </w:rPr>
        <w:t xml:space="preserve"> نتعامل مع الفقه الإسلامي بعيد</w:t>
      </w:r>
      <w:r w:rsidR="00F90BDB" w:rsidRPr="00904FCB">
        <w:rPr>
          <w:rFonts w:ascii="Tahoma" w:hAnsi="Tahoma" w:hint="cs"/>
          <w:sz w:val="27"/>
          <w:rtl/>
          <w:lang w:bidi="fa-IR"/>
        </w:rPr>
        <w:t>اً</w:t>
      </w:r>
      <w:r w:rsidRPr="00904FCB">
        <w:rPr>
          <w:rFonts w:ascii="Tahoma" w:hAnsi="Tahoma"/>
          <w:sz w:val="27"/>
          <w:rtl/>
          <w:lang w:bidi="fa-IR"/>
        </w:rPr>
        <w:t xml:space="preserve"> عن النتائج المعطاة.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وإذا أردنا للفقه الإسلامي أن ينطلق من بعض قيوده وجب علينا أن نقف على أهم الأسباب التي دع</w:t>
      </w:r>
      <w:r w:rsidR="00F90BDB" w:rsidRPr="00904FCB">
        <w:rPr>
          <w:rFonts w:ascii="Tahoma" w:hAnsi="Tahoma" w:hint="cs"/>
          <w:sz w:val="27"/>
          <w:rtl/>
          <w:lang w:bidi="fa-IR"/>
        </w:rPr>
        <w:t>َ</w:t>
      </w:r>
      <w:r w:rsidRPr="00904FCB">
        <w:rPr>
          <w:rFonts w:ascii="Tahoma" w:hAnsi="Tahoma"/>
          <w:sz w:val="27"/>
          <w:rtl/>
          <w:lang w:bidi="fa-IR"/>
        </w:rPr>
        <w:t>ت</w:t>
      </w:r>
      <w:r w:rsidR="00F90BDB" w:rsidRPr="00904FCB">
        <w:rPr>
          <w:rFonts w:ascii="Tahoma" w:hAnsi="Tahoma" w:hint="cs"/>
          <w:sz w:val="27"/>
          <w:rtl/>
          <w:lang w:bidi="fa-IR"/>
        </w:rPr>
        <w:t>ْ</w:t>
      </w:r>
      <w:r w:rsidRPr="00904FCB">
        <w:rPr>
          <w:rFonts w:ascii="Tahoma" w:hAnsi="Tahoma"/>
          <w:sz w:val="27"/>
          <w:rtl/>
          <w:lang w:bidi="fa-IR"/>
        </w:rPr>
        <w:t xml:space="preserve"> إلى جموده</w:t>
      </w:r>
      <w:r w:rsidR="00F90BDB" w:rsidRPr="00904FCB">
        <w:rPr>
          <w:rFonts w:ascii="Tahoma" w:hAnsi="Tahoma" w:hint="cs"/>
          <w:sz w:val="27"/>
          <w:rtl/>
          <w:lang w:bidi="fa-IR"/>
        </w:rPr>
        <w:t>،</w:t>
      </w:r>
      <w:r w:rsidRPr="00904FCB">
        <w:rPr>
          <w:rFonts w:ascii="Tahoma" w:hAnsi="Tahoma"/>
          <w:sz w:val="27"/>
          <w:rtl/>
          <w:lang w:bidi="fa-IR"/>
        </w:rPr>
        <w:t xml:space="preserve"> ف</w:t>
      </w:r>
      <w:r w:rsidR="00F90BDB" w:rsidRPr="00904FCB">
        <w:rPr>
          <w:rFonts w:ascii="Tahoma" w:hAnsi="Tahoma" w:hint="cs"/>
          <w:sz w:val="27"/>
          <w:rtl/>
          <w:lang w:bidi="fa-IR"/>
        </w:rPr>
        <w:t>إ</w:t>
      </w:r>
      <w:r w:rsidRPr="00904FCB">
        <w:rPr>
          <w:rFonts w:ascii="Tahoma" w:hAnsi="Tahoma"/>
          <w:sz w:val="27"/>
          <w:rtl/>
          <w:lang w:bidi="fa-IR"/>
        </w:rPr>
        <w:t>ن «غياب العقلانية عن منهج التفكير</w:t>
      </w:r>
      <w:r w:rsidR="00F90BDB" w:rsidRPr="00904FCB">
        <w:rPr>
          <w:rFonts w:ascii="Tahoma" w:hAnsi="Tahoma" w:hint="cs"/>
          <w:sz w:val="27"/>
          <w:rtl/>
          <w:lang w:bidi="fa-IR"/>
        </w:rPr>
        <w:t>،</w:t>
      </w:r>
      <w:r w:rsidRPr="00904FCB">
        <w:rPr>
          <w:rFonts w:ascii="Tahoma" w:hAnsi="Tahoma"/>
          <w:sz w:val="27"/>
          <w:rtl/>
          <w:lang w:bidi="fa-IR"/>
        </w:rPr>
        <w:t xml:space="preserve"> والافتقار إلى الحرية والعدل في المضمار السياسي والاجتماعي، هما مشكلتان التف</w:t>
      </w:r>
      <w:r w:rsidR="00F90BDB" w:rsidRPr="00904FCB">
        <w:rPr>
          <w:rFonts w:ascii="Tahoma" w:hAnsi="Tahoma" w:hint="cs"/>
          <w:sz w:val="27"/>
          <w:rtl/>
          <w:lang w:bidi="fa-IR"/>
        </w:rPr>
        <w:t>ّ</w:t>
      </w:r>
      <w:r w:rsidRPr="00904FCB">
        <w:rPr>
          <w:rFonts w:ascii="Tahoma" w:hAnsi="Tahoma"/>
          <w:sz w:val="27"/>
          <w:rtl/>
          <w:lang w:bidi="fa-IR"/>
        </w:rPr>
        <w:t xml:space="preserve">ت حولهما </w:t>
      </w:r>
      <w:r w:rsidR="00F90BDB" w:rsidRPr="00904FCB">
        <w:rPr>
          <w:rFonts w:ascii="Tahoma" w:hAnsi="Tahoma" w:hint="cs"/>
          <w:sz w:val="27"/>
          <w:rtl/>
          <w:lang w:bidi="fa-IR"/>
        </w:rPr>
        <w:t>أ</w:t>
      </w:r>
      <w:r w:rsidRPr="00904FCB">
        <w:rPr>
          <w:rFonts w:ascii="Tahoma" w:hAnsi="Tahoma"/>
          <w:sz w:val="27"/>
          <w:rtl/>
          <w:lang w:bidi="fa-IR"/>
        </w:rPr>
        <w:t>غلب القراءات التي درست أسباب تخلف العالم العربي والإسلامي. ومن ثم أبدت تيارات النهوض ميولاً شديدة إلى كل</w:t>
      </w:r>
      <w:r w:rsidR="00F90BDB" w:rsidRPr="00904FCB">
        <w:rPr>
          <w:rFonts w:ascii="Tahoma" w:hAnsi="Tahoma" w:hint="cs"/>
          <w:sz w:val="27"/>
          <w:rtl/>
          <w:lang w:bidi="fa-IR"/>
        </w:rPr>
        <w:t>ّ</w:t>
      </w:r>
      <w:r w:rsidR="00867AB8" w:rsidRPr="00904FCB">
        <w:rPr>
          <w:rFonts w:ascii="Tahoma" w:hAnsi="Tahoma" w:hint="cs"/>
          <w:sz w:val="27"/>
          <w:rtl/>
          <w:lang w:bidi="fa-IR"/>
        </w:rPr>
        <w:t xml:space="preserve"> مَنْ</w:t>
      </w:r>
      <w:r w:rsidRPr="00904FCB">
        <w:rPr>
          <w:rFonts w:ascii="Tahoma" w:hAnsi="Tahoma"/>
          <w:sz w:val="27"/>
          <w:rtl/>
          <w:lang w:bidi="fa-IR"/>
        </w:rPr>
        <w:t xml:space="preserve"> يُجس</w:t>
      </w:r>
      <w:r w:rsidR="00867AB8" w:rsidRPr="00904FCB">
        <w:rPr>
          <w:rFonts w:ascii="Tahoma" w:hAnsi="Tahoma" w:hint="cs"/>
          <w:sz w:val="27"/>
          <w:rtl/>
          <w:lang w:bidi="fa-IR"/>
        </w:rPr>
        <w:t>ّ</w:t>
      </w:r>
      <w:r w:rsidRPr="00904FCB">
        <w:rPr>
          <w:rFonts w:ascii="Tahoma" w:hAnsi="Tahoma"/>
          <w:sz w:val="27"/>
          <w:rtl/>
          <w:lang w:bidi="fa-IR"/>
        </w:rPr>
        <w:t xml:space="preserve">د هذه القيم الغائبة، </w:t>
      </w:r>
      <w:r w:rsidR="00867AB8" w:rsidRPr="00904FCB">
        <w:rPr>
          <w:rFonts w:ascii="Tahoma" w:hAnsi="Tahoma" w:hint="cs"/>
          <w:sz w:val="27"/>
          <w:rtl/>
          <w:lang w:bidi="fa-IR"/>
        </w:rPr>
        <w:t>و</w:t>
      </w:r>
      <w:r w:rsidRPr="00904FCB">
        <w:rPr>
          <w:rFonts w:ascii="Tahoma" w:hAnsi="Tahoma"/>
          <w:sz w:val="27"/>
          <w:rtl/>
          <w:lang w:bidi="fa-IR"/>
        </w:rPr>
        <w:t>بخاص</w:t>
      </w:r>
      <w:r w:rsidR="00867AB8" w:rsidRPr="00904FCB">
        <w:rPr>
          <w:rFonts w:ascii="Tahoma" w:hAnsi="Tahoma" w:hint="cs"/>
          <w:sz w:val="27"/>
          <w:rtl/>
          <w:lang w:bidi="fa-IR"/>
        </w:rPr>
        <w:t>ّ</w:t>
      </w:r>
      <w:r w:rsidRPr="00904FCB">
        <w:rPr>
          <w:rFonts w:ascii="Tahoma" w:hAnsi="Tahoma"/>
          <w:sz w:val="27"/>
          <w:rtl/>
          <w:lang w:bidi="fa-IR"/>
        </w:rPr>
        <w:t>ة إذا كان ينتمي إلى المسلمين أنفسهم»</w:t>
      </w:r>
      <w:r w:rsidR="00867AB8" w:rsidRPr="00904FCB">
        <w:rPr>
          <w:rFonts w:ascii="Tahoma" w:hAnsi="Tahoma" w:hint="cs"/>
          <w:sz w:val="27"/>
          <w:rtl/>
          <w:lang w:bidi="fa-IR"/>
        </w:rPr>
        <w:t>.</w:t>
      </w:r>
      <w:r w:rsidRPr="00904FCB">
        <w:rPr>
          <w:rFonts w:ascii="Tahoma" w:hAnsi="Tahoma"/>
          <w:sz w:val="27"/>
          <w:rtl/>
          <w:lang w:bidi="fa-IR"/>
        </w:rPr>
        <w:t xml:space="preserve"> ولذلك ترى مدو</w:t>
      </w:r>
      <w:r w:rsidR="00867AB8" w:rsidRPr="00904FCB">
        <w:rPr>
          <w:rFonts w:ascii="Tahoma" w:hAnsi="Tahoma" w:hint="cs"/>
          <w:sz w:val="27"/>
          <w:rtl/>
          <w:lang w:bidi="fa-IR"/>
        </w:rPr>
        <w:t>َّ</w:t>
      </w:r>
      <w:r w:rsidRPr="00904FCB">
        <w:rPr>
          <w:rFonts w:ascii="Tahoma" w:hAnsi="Tahoma"/>
          <w:sz w:val="27"/>
          <w:rtl/>
          <w:lang w:bidi="fa-IR"/>
        </w:rPr>
        <w:t>نات الفقه قد التزمت بمحتوى مشترك</w:t>
      </w:r>
      <w:r w:rsidR="00867AB8" w:rsidRPr="00904FCB">
        <w:rPr>
          <w:rFonts w:ascii="Tahoma" w:hAnsi="Tahoma" w:hint="cs"/>
          <w:sz w:val="27"/>
          <w:rtl/>
          <w:lang w:bidi="fa-IR"/>
        </w:rPr>
        <w:t>،</w:t>
      </w:r>
      <w:r w:rsidRPr="00904FCB">
        <w:rPr>
          <w:rFonts w:ascii="Tahoma" w:hAnsi="Tahoma"/>
          <w:sz w:val="27"/>
          <w:rtl/>
          <w:lang w:bidi="fa-IR"/>
        </w:rPr>
        <w:t xml:space="preserve"> ولغة تكاد أن تتمي</w:t>
      </w:r>
      <w:r w:rsidR="00867AB8" w:rsidRPr="00904FCB">
        <w:rPr>
          <w:rFonts w:ascii="Tahoma" w:hAnsi="Tahoma" w:hint="cs"/>
          <w:sz w:val="27"/>
          <w:rtl/>
          <w:lang w:bidi="fa-IR"/>
        </w:rPr>
        <w:t>َّ</w:t>
      </w:r>
      <w:r w:rsidRPr="00904FCB">
        <w:rPr>
          <w:rFonts w:ascii="Tahoma" w:hAnsi="Tahoma"/>
          <w:sz w:val="27"/>
          <w:rtl/>
          <w:lang w:bidi="fa-IR"/>
        </w:rPr>
        <w:t>ز بأسلوبها عن العلوم الأخرى</w:t>
      </w:r>
      <w:r w:rsidR="00867AB8" w:rsidRPr="00904FCB">
        <w:rPr>
          <w:rFonts w:ascii="Tahoma" w:hAnsi="Tahoma" w:hint="cs"/>
          <w:sz w:val="27"/>
          <w:rtl/>
          <w:lang w:bidi="fa-IR"/>
        </w:rPr>
        <w:t>،</w:t>
      </w:r>
      <w:r w:rsidRPr="00904FCB">
        <w:rPr>
          <w:rFonts w:ascii="Tahoma" w:hAnsi="Tahoma"/>
          <w:sz w:val="27"/>
          <w:rtl/>
          <w:lang w:bidi="fa-IR"/>
        </w:rPr>
        <w:t xml:space="preserve"> وكأنها تخص</w:t>
      </w:r>
      <w:r w:rsidR="00867AB8" w:rsidRPr="00904FCB">
        <w:rPr>
          <w:rFonts w:ascii="Tahoma" w:hAnsi="Tahoma" w:hint="cs"/>
          <w:sz w:val="27"/>
          <w:rtl/>
          <w:lang w:bidi="fa-IR"/>
        </w:rPr>
        <w:t>ّ</w:t>
      </w:r>
      <w:r w:rsidRPr="00904FCB">
        <w:rPr>
          <w:rFonts w:ascii="Tahoma" w:hAnsi="Tahoma"/>
          <w:sz w:val="27"/>
          <w:rtl/>
          <w:lang w:bidi="fa-IR"/>
        </w:rPr>
        <w:t>صت للسالكين لدراسة</w:t>
      </w:r>
      <w:r w:rsidR="00867AB8" w:rsidRPr="00904FCB">
        <w:rPr>
          <w:rFonts w:ascii="Tahoma" w:hAnsi="Tahoma"/>
          <w:sz w:val="27"/>
          <w:rtl/>
          <w:lang w:bidi="fa-IR"/>
        </w:rPr>
        <w:t xml:space="preserve"> علم الفقه</w:t>
      </w:r>
      <w:r w:rsidR="00867AB8" w:rsidRPr="00904FCB">
        <w:rPr>
          <w:rFonts w:ascii="Tahoma" w:hAnsi="Tahoma" w:hint="cs"/>
          <w:sz w:val="27"/>
          <w:rtl/>
          <w:lang w:bidi="fa-IR"/>
        </w:rPr>
        <w:t>،</w:t>
      </w:r>
      <w:r w:rsidRPr="00904FCB">
        <w:rPr>
          <w:rFonts w:ascii="Tahoma" w:hAnsi="Tahoma"/>
          <w:sz w:val="27"/>
          <w:rtl/>
          <w:lang w:bidi="fa-IR"/>
        </w:rPr>
        <w:t xml:space="preserve"> وليس غيرهم</w:t>
      </w:r>
      <w:r w:rsidR="00867AB8" w:rsidRPr="00904FCB">
        <w:rPr>
          <w:rFonts w:ascii="Tahoma" w:hAnsi="Tahoma" w:hint="cs"/>
          <w:sz w:val="27"/>
          <w:rtl/>
          <w:lang w:bidi="fa-IR"/>
        </w:rPr>
        <w:t xml:space="preserve">، </w:t>
      </w:r>
      <w:r w:rsidRPr="00904FCB">
        <w:rPr>
          <w:rFonts w:ascii="Tahoma" w:hAnsi="Tahoma"/>
          <w:sz w:val="27"/>
          <w:rtl/>
          <w:lang w:bidi="fa-IR"/>
        </w:rPr>
        <w:t>بينما يجب أن تكون لغة الجميع</w:t>
      </w:r>
      <w:r w:rsidR="00867AB8" w:rsidRPr="00904FCB">
        <w:rPr>
          <w:rFonts w:ascii="Tahoma" w:hAnsi="Tahoma" w:hint="cs"/>
          <w:sz w:val="27"/>
          <w:rtl/>
          <w:lang w:bidi="fa-IR"/>
        </w:rPr>
        <w:t>؛</w:t>
      </w:r>
      <w:r w:rsidR="00867AB8" w:rsidRPr="00904FCB">
        <w:rPr>
          <w:rFonts w:ascii="Tahoma" w:hAnsi="Tahoma"/>
          <w:sz w:val="27"/>
          <w:rtl/>
          <w:lang w:bidi="fa-IR"/>
        </w:rPr>
        <w:t xml:space="preserve"> لاحتوائ</w:t>
      </w:r>
      <w:r w:rsidRPr="00904FCB">
        <w:rPr>
          <w:rFonts w:ascii="Tahoma" w:hAnsi="Tahoma"/>
          <w:sz w:val="27"/>
          <w:rtl/>
          <w:lang w:bidi="fa-IR"/>
        </w:rPr>
        <w:t>ها على حلول لإشكاليات الجميع</w:t>
      </w:r>
      <w:r w:rsidR="00867AB8" w:rsidRPr="00904FCB">
        <w:rPr>
          <w:rFonts w:ascii="Tahoma" w:hAnsi="Tahoma" w:hint="cs"/>
          <w:sz w:val="27"/>
          <w:rtl/>
          <w:lang w:bidi="fa-IR"/>
        </w:rPr>
        <w:t>، و</w:t>
      </w:r>
      <w:r w:rsidRPr="00904FCB">
        <w:rPr>
          <w:rFonts w:ascii="Tahoma" w:hAnsi="Tahoma"/>
          <w:sz w:val="27"/>
          <w:rtl/>
          <w:lang w:bidi="fa-IR"/>
        </w:rPr>
        <w:t>خاص</w:t>
      </w:r>
      <w:r w:rsidR="00867AB8" w:rsidRPr="00904FCB">
        <w:rPr>
          <w:rFonts w:ascii="Tahoma" w:hAnsi="Tahoma" w:hint="cs"/>
          <w:sz w:val="27"/>
          <w:rtl/>
          <w:lang w:bidi="fa-IR"/>
        </w:rPr>
        <w:t>ّ</w:t>
      </w:r>
      <w:r w:rsidRPr="00904FCB">
        <w:rPr>
          <w:rFonts w:ascii="Tahoma" w:hAnsi="Tahoma"/>
          <w:sz w:val="27"/>
          <w:rtl/>
          <w:lang w:bidi="fa-IR"/>
        </w:rPr>
        <w:t xml:space="preserve">ة </w:t>
      </w:r>
      <w:r w:rsidR="00867AB8" w:rsidRPr="00904FCB">
        <w:rPr>
          <w:rFonts w:ascii="Tahoma" w:hAnsi="Tahoma" w:hint="cs"/>
          <w:sz w:val="27"/>
          <w:rtl/>
          <w:lang w:bidi="fa-IR"/>
        </w:rPr>
        <w:t>إذا</w:t>
      </w:r>
      <w:r w:rsidRPr="00904FCB">
        <w:rPr>
          <w:rFonts w:ascii="Tahoma" w:hAnsi="Tahoma"/>
          <w:sz w:val="27"/>
          <w:rtl/>
          <w:lang w:bidi="fa-IR"/>
        </w:rPr>
        <w:t xml:space="preserve"> وافقنا علماء الشريعة في سعيهم للبحث في مقاصد الشريعة</w:t>
      </w:r>
      <w:r w:rsidR="00867AB8" w:rsidRPr="00904FCB">
        <w:rPr>
          <w:rFonts w:ascii="Tahoma" w:hAnsi="Tahoma" w:hint="cs"/>
          <w:sz w:val="27"/>
          <w:rtl/>
          <w:lang w:bidi="fa-IR"/>
        </w:rPr>
        <w:t>،</w:t>
      </w:r>
      <w:r w:rsidRPr="00904FCB">
        <w:rPr>
          <w:rFonts w:ascii="Tahoma" w:hAnsi="Tahoma"/>
          <w:sz w:val="27"/>
          <w:rtl/>
          <w:lang w:bidi="fa-IR"/>
        </w:rPr>
        <w:t xml:space="preserve"> وربطه في حكمة تنزيل الأحكام</w:t>
      </w:r>
      <w:r w:rsidR="00867AB8" w:rsidRPr="00904FCB">
        <w:rPr>
          <w:rFonts w:ascii="Tahoma" w:hAnsi="Tahoma" w:hint="cs"/>
          <w:sz w:val="27"/>
          <w:rtl/>
          <w:lang w:bidi="fa-IR"/>
        </w:rPr>
        <w:t>.</w:t>
      </w:r>
      <w:r w:rsidRPr="00904FCB">
        <w:rPr>
          <w:rFonts w:ascii="Tahoma" w:hAnsi="Tahoma"/>
          <w:sz w:val="27"/>
          <w:rtl/>
          <w:lang w:bidi="fa-IR"/>
        </w:rPr>
        <w:t xml:space="preserve"> وهم قد سلكوا في ذلك ثلاثة مسالك: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w:t>
      </w:r>
      <w:r w:rsidR="00867AB8" w:rsidRPr="00904FCB">
        <w:rPr>
          <w:rFonts w:ascii="Tahoma" w:hAnsi="Tahoma" w:hint="cs"/>
          <w:b/>
          <w:bCs/>
          <w:sz w:val="27"/>
          <w:rtl/>
          <w:lang w:bidi="fa-IR"/>
        </w:rPr>
        <w:t>ّ</w:t>
      </w:r>
      <w:r w:rsidRPr="00904FCB">
        <w:rPr>
          <w:rFonts w:ascii="Tahoma" w:hAnsi="Tahoma"/>
          <w:b/>
          <w:bCs/>
          <w:sz w:val="27"/>
          <w:rtl/>
          <w:lang w:bidi="fa-IR"/>
        </w:rPr>
        <w:t>ل</w:t>
      </w:r>
      <w:r w:rsidRPr="00904FCB">
        <w:rPr>
          <w:rFonts w:ascii="Tahoma" w:hAnsi="Tahoma"/>
          <w:sz w:val="27"/>
          <w:rtl/>
          <w:lang w:bidi="fa-IR"/>
        </w:rPr>
        <w:t>: كان أصولياً جزئياً. تمث</w:t>
      </w:r>
      <w:r w:rsidR="00867AB8" w:rsidRPr="00904FCB">
        <w:rPr>
          <w:rFonts w:ascii="Tahoma" w:hAnsi="Tahoma" w:hint="cs"/>
          <w:sz w:val="27"/>
          <w:rtl/>
          <w:lang w:bidi="fa-IR"/>
        </w:rPr>
        <w:t>َّ</w:t>
      </w:r>
      <w:r w:rsidRPr="00904FCB">
        <w:rPr>
          <w:rFonts w:ascii="Tahoma" w:hAnsi="Tahoma"/>
          <w:sz w:val="27"/>
          <w:rtl/>
          <w:lang w:bidi="fa-IR"/>
        </w:rPr>
        <w:t>ل في مباحث القياس والعل</w:t>
      </w:r>
      <w:r w:rsidR="00867AB8" w:rsidRPr="00904FCB">
        <w:rPr>
          <w:rFonts w:ascii="Tahoma" w:hAnsi="Tahoma" w:hint="cs"/>
          <w:sz w:val="27"/>
          <w:rtl/>
          <w:lang w:bidi="fa-IR"/>
        </w:rPr>
        <w:t>ة</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الثاني</w:t>
      </w:r>
      <w:r w:rsidRPr="00904FCB">
        <w:rPr>
          <w:rFonts w:ascii="Tahoma" w:hAnsi="Tahoma"/>
          <w:sz w:val="27"/>
          <w:rtl/>
          <w:lang w:bidi="fa-IR"/>
        </w:rPr>
        <w:t>: كان فقهياً تعليلياً. تضم</w:t>
      </w:r>
      <w:r w:rsidR="00867AB8" w:rsidRPr="00904FCB">
        <w:rPr>
          <w:rFonts w:ascii="Tahoma" w:hAnsi="Tahoma" w:hint="cs"/>
          <w:sz w:val="27"/>
          <w:rtl/>
          <w:lang w:bidi="fa-IR"/>
        </w:rPr>
        <w:t>َّ</w:t>
      </w:r>
      <w:r w:rsidRPr="00904FCB">
        <w:rPr>
          <w:rFonts w:ascii="Tahoma" w:hAnsi="Tahoma"/>
          <w:sz w:val="27"/>
          <w:rtl/>
          <w:lang w:bidi="fa-IR"/>
        </w:rPr>
        <w:t xml:space="preserve">نته أبواب الفقه.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الثالث</w:t>
      </w:r>
      <w:r w:rsidRPr="00904FCB">
        <w:rPr>
          <w:rFonts w:ascii="Tahoma" w:hAnsi="Tahoma"/>
          <w:sz w:val="27"/>
          <w:rtl/>
          <w:lang w:bidi="fa-IR"/>
        </w:rPr>
        <w:t>: كان جامعا</w:t>
      </w:r>
      <w:r w:rsidR="00867AB8" w:rsidRPr="00904FCB">
        <w:rPr>
          <w:rFonts w:ascii="Tahoma" w:hAnsi="Tahoma" w:hint="cs"/>
          <w:sz w:val="27"/>
          <w:rtl/>
          <w:lang w:bidi="fa-IR"/>
        </w:rPr>
        <w:t>ً</w:t>
      </w:r>
      <w:r w:rsidRPr="00904FCB">
        <w:rPr>
          <w:rFonts w:ascii="Tahoma" w:hAnsi="Tahoma"/>
          <w:sz w:val="27"/>
          <w:rtl/>
          <w:lang w:bidi="fa-IR"/>
        </w:rPr>
        <w:t xml:space="preserve"> بين الاثنين</w:t>
      </w:r>
      <w:r w:rsidR="00867AB8" w:rsidRPr="00904FCB">
        <w:rPr>
          <w:rFonts w:ascii="Tahoma" w:hAnsi="Tahoma" w:hint="cs"/>
          <w:sz w:val="27"/>
          <w:rtl/>
          <w:lang w:bidi="fa-IR"/>
        </w:rPr>
        <w:t>.</w:t>
      </w:r>
      <w:r w:rsidRPr="00904FCB">
        <w:rPr>
          <w:rFonts w:ascii="Tahoma" w:hAnsi="Tahoma"/>
          <w:sz w:val="27"/>
          <w:rtl/>
          <w:lang w:bidi="fa-IR"/>
        </w:rPr>
        <w:t xml:space="preserve"> وهذا ما أطلقه </w:t>
      </w:r>
      <w:r w:rsidRPr="00904FCB">
        <w:rPr>
          <w:rFonts w:ascii="Tahoma" w:hAnsi="Tahoma" w:hint="cs"/>
          <w:sz w:val="27"/>
          <w:rtl/>
          <w:lang w:bidi="fa-IR"/>
        </w:rPr>
        <w:t>ا</w:t>
      </w:r>
      <w:r w:rsidRPr="00904FCB">
        <w:rPr>
          <w:rFonts w:ascii="Tahoma" w:hAnsi="Tahoma"/>
          <w:sz w:val="27"/>
          <w:rtl/>
          <w:lang w:bidi="fa-IR"/>
        </w:rPr>
        <w:t>لشاطبي(</w:t>
      </w:r>
      <w:r w:rsidRPr="002814ED">
        <w:rPr>
          <w:rFonts w:ascii="Tahoma" w:hAnsi="Tahoma" w:hint="cs"/>
          <w:sz w:val="27"/>
          <w:rtl/>
          <w:lang w:bidi="ar-LB"/>
        </w:rPr>
        <w:t>790هـ</w:t>
      </w:r>
      <w:r w:rsidRPr="00904FCB">
        <w:rPr>
          <w:rFonts w:ascii="Tahoma" w:hAnsi="Tahoma"/>
          <w:sz w:val="27"/>
          <w:rtl/>
          <w:lang w:bidi="fa-IR"/>
        </w:rPr>
        <w:t>) في «موافقاته»</w:t>
      </w:r>
      <w:r w:rsidR="00867AB8" w:rsidRPr="00904FCB">
        <w:rPr>
          <w:rFonts w:ascii="Tahoma" w:hAnsi="Tahoma" w:hint="cs"/>
          <w:sz w:val="27"/>
          <w:rtl/>
          <w:lang w:bidi="fa-IR"/>
        </w:rPr>
        <w:t>.</w:t>
      </w:r>
      <w:r w:rsidRPr="00904FCB">
        <w:rPr>
          <w:rFonts w:ascii="Tahoma" w:hAnsi="Tahoma"/>
          <w:sz w:val="27"/>
          <w:rtl/>
          <w:lang w:bidi="fa-IR"/>
        </w:rPr>
        <w:t xml:space="preserve"> وإذا ما أعملنا جهودنا في هذا النوع من الدراسات، وجن</w:t>
      </w:r>
      <w:r w:rsidR="00867AB8" w:rsidRPr="00904FCB">
        <w:rPr>
          <w:rFonts w:ascii="Tahoma" w:hAnsi="Tahoma" w:hint="cs"/>
          <w:sz w:val="27"/>
          <w:rtl/>
          <w:lang w:bidi="fa-IR"/>
        </w:rPr>
        <w:t>َّ</w:t>
      </w:r>
      <w:r w:rsidRPr="00904FCB">
        <w:rPr>
          <w:rFonts w:ascii="Tahoma" w:hAnsi="Tahoma"/>
          <w:sz w:val="27"/>
          <w:rtl/>
          <w:lang w:bidi="fa-IR"/>
        </w:rPr>
        <w:t>دنا الفقه المعاملي خصوصاً</w:t>
      </w:r>
      <w:r w:rsidR="00867AB8" w:rsidRPr="00904FCB">
        <w:rPr>
          <w:rFonts w:ascii="Tahoma" w:hAnsi="Tahoma" w:hint="cs"/>
          <w:sz w:val="27"/>
          <w:rtl/>
          <w:lang w:bidi="fa-IR"/>
        </w:rPr>
        <w:t>،</w:t>
      </w:r>
      <w:r w:rsidR="00867AB8" w:rsidRPr="00904FCB">
        <w:rPr>
          <w:rFonts w:ascii="Tahoma" w:hAnsi="Tahoma"/>
          <w:sz w:val="27"/>
          <w:rtl/>
          <w:lang w:bidi="fa-IR"/>
        </w:rPr>
        <w:t xml:space="preserve"> فإننا سنستنتج قواعد</w:t>
      </w:r>
      <w:r w:rsidRPr="00904FCB">
        <w:rPr>
          <w:rFonts w:ascii="Tahoma" w:hAnsi="Tahoma"/>
          <w:sz w:val="27"/>
          <w:rtl/>
          <w:lang w:bidi="fa-IR"/>
        </w:rPr>
        <w:t xml:space="preserve"> و</w:t>
      </w:r>
      <w:r w:rsidR="00867AB8" w:rsidRPr="00904FCB">
        <w:rPr>
          <w:rFonts w:ascii="Tahoma" w:hAnsi="Tahoma" w:hint="cs"/>
          <w:sz w:val="27"/>
          <w:rtl/>
          <w:lang w:bidi="fa-IR"/>
        </w:rPr>
        <w:t>أ</w:t>
      </w:r>
      <w:r w:rsidRPr="00904FCB">
        <w:rPr>
          <w:rFonts w:ascii="Tahoma" w:hAnsi="Tahoma"/>
          <w:sz w:val="27"/>
          <w:rtl/>
          <w:lang w:bidi="fa-IR"/>
        </w:rPr>
        <w:t xml:space="preserve">حكاماً </w:t>
      </w:r>
      <w:r w:rsidR="00CA1FED" w:rsidRPr="00904FCB">
        <w:rPr>
          <w:rFonts w:ascii="Tahoma" w:hAnsi="Tahoma"/>
          <w:sz w:val="27"/>
          <w:rtl/>
          <w:lang w:bidi="fa-IR"/>
        </w:rPr>
        <w:t xml:space="preserve">ترتقي إلى أن تكون فيما </w:t>
      </w:r>
      <w:r w:rsidR="00CA1FED" w:rsidRPr="00904FCB">
        <w:rPr>
          <w:rFonts w:ascii="Tahoma" w:hAnsi="Tahoma" w:hint="cs"/>
          <w:sz w:val="27"/>
          <w:rtl/>
          <w:lang w:bidi="fa-IR"/>
        </w:rPr>
        <w:t>إ</w:t>
      </w:r>
      <w:r w:rsidRPr="00904FCB">
        <w:rPr>
          <w:rFonts w:ascii="Tahoma" w:hAnsi="Tahoma"/>
          <w:sz w:val="27"/>
          <w:rtl/>
          <w:lang w:bidi="fa-IR"/>
        </w:rPr>
        <w:t>ذا تحد</w:t>
      </w:r>
      <w:r w:rsidR="00416BC1" w:rsidRPr="00904FCB">
        <w:rPr>
          <w:rFonts w:ascii="Tahoma" w:hAnsi="Tahoma" w:hint="cs"/>
          <w:sz w:val="27"/>
          <w:rtl/>
          <w:lang w:bidi="fa-IR"/>
        </w:rPr>
        <w:t>ّ</w:t>
      </w:r>
      <w:r w:rsidRPr="00904FCB">
        <w:rPr>
          <w:rFonts w:ascii="Tahoma" w:hAnsi="Tahoma"/>
          <w:sz w:val="27"/>
          <w:rtl/>
          <w:lang w:bidi="fa-IR"/>
        </w:rPr>
        <w:t>ثنا بها أو دو</w:t>
      </w:r>
      <w:r w:rsidR="00416BC1" w:rsidRPr="00904FCB">
        <w:rPr>
          <w:rFonts w:ascii="Tahoma" w:hAnsi="Tahoma" w:hint="cs"/>
          <w:sz w:val="27"/>
          <w:rtl/>
          <w:lang w:bidi="fa-IR"/>
        </w:rPr>
        <w:t>ّ</w:t>
      </w:r>
      <w:r w:rsidRPr="00904FCB">
        <w:rPr>
          <w:rFonts w:ascii="Tahoma" w:hAnsi="Tahoma"/>
          <w:sz w:val="27"/>
          <w:rtl/>
          <w:lang w:bidi="fa-IR"/>
        </w:rPr>
        <w:t>ن</w:t>
      </w:r>
      <w:r w:rsidR="00416BC1" w:rsidRPr="00904FCB">
        <w:rPr>
          <w:rFonts w:ascii="Tahoma" w:hAnsi="Tahoma" w:hint="cs"/>
          <w:sz w:val="27"/>
          <w:rtl/>
          <w:lang w:bidi="fa-IR"/>
        </w:rPr>
        <w:t>ّ</w:t>
      </w:r>
      <w:r w:rsidRPr="00904FCB">
        <w:rPr>
          <w:rFonts w:ascii="Tahoma" w:hAnsi="Tahoma"/>
          <w:sz w:val="27"/>
          <w:rtl/>
          <w:lang w:bidi="fa-IR"/>
        </w:rPr>
        <w:t>اها بلغة أهل القانون</w:t>
      </w:r>
      <w:r w:rsidR="00416BC1" w:rsidRPr="00904FCB">
        <w:rPr>
          <w:rFonts w:ascii="Tahoma" w:hAnsi="Tahoma" w:hint="cs"/>
          <w:sz w:val="27"/>
          <w:rtl/>
          <w:lang w:bidi="fa-IR"/>
        </w:rPr>
        <w:t>؛</w:t>
      </w:r>
      <w:r w:rsidRPr="00904FCB">
        <w:rPr>
          <w:rFonts w:ascii="Tahoma" w:hAnsi="Tahoma"/>
          <w:sz w:val="27"/>
          <w:rtl/>
          <w:lang w:bidi="fa-IR"/>
        </w:rPr>
        <w:t xml:space="preserve"> كي تكون في متناول أيديهم</w:t>
      </w:r>
      <w:r w:rsidR="00416BC1" w:rsidRPr="00904FCB">
        <w:rPr>
          <w:rFonts w:ascii="Tahoma" w:hAnsi="Tahoma" w:hint="cs"/>
          <w:sz w:val="27"/>
          <w:rtl/>
          <w:lang w:bidi="fa-IR"/>
        </w:rPr>
        <w:t>،</w:t>
      </w:r>
      <w:r w:rsidRPr="00904FCB">
        <w:rPr>
          <w:rFonts w:ascii="Tahoma" w:hAnsi="Tahoma"/>
          <w:sz w:val="27"/>
          <w:rtl/>
          <w:lang w:bidi="fa-IR"/>
        </w:rPr>
        <w:t xml:space="preserve"> وفي مفهوم وسياق منهجهم في التطبيق</w:t>
      </w:r>
      <w:r w:rsidR="00416BC1" w:rsidRPr="00904FCB">
        <w:rPr>
          <w:rFonts w:ascii="Tahoma" w:hAnsi="Tahoma" w:hint="cs"/>
          <w:sz w:val="27"/>
          <w:rtl/>
          <w:lang w:bidi="fa-IR"/>
        </w:rPr>
        <w:t>.</w:t>
      </w:r>
      <w:r w:rsidRPr="00904FCB">
        <w:rPr>
          <w:rFonts w:ascii="Tahoma" w:hAnsi="Tahoma"/>
          <w:sz w:val="27"/>
          <w:rtl/>
          <w:lang w:bidi="fa-IR"/>
        </w:rPr>
        <w:t xml:space="preserve"> ومقاصد الشريعة في الأحكام تتلاقى كثيراً مع فقه القانون ومقاصده.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وإذا وافقنا </w:t>
      </w:r>
      <w:r w:rsidR="00416BC1" w:rsidRPr="00904FCB">
        <w:rPr>
          <w:rFonts w:ascii="Tahoma" w:hAnsi="Tahoma" w:hint="cs"/>
          <w:sz w:val="27"/>
          <w:rtl/>
          <w:lang w:bidi="fa-IR"/>
        </w:rPr>
        <w:t>ا</w:t>
      </w:r>
      <w:r w:rsidRPr="00904FCB">
        <w:rPr>
          <w:rFonts w:ascii="Tahoma" w:hAnsi="Tahoma"/>
          <w:sz w:val="27"/>
          <w:rtl/>
          <w:lang w:bidi="fa-IR"/>
        </w:rPr>
        <w:t>لشاطبي في مقد</w:t>
      </w:r>
      <w:r w:rsidR="00416BC1" w:rsidRPr="00904FCB">
        <w:rPr>
          <w:rFonts w:ascii="Tahoma" w:hAnsi="Tahoma" w:hint="cs"/>
          <w:sz w:val="27"/>
          <w:rtl/>
          <w:lang w:bidi="fa-IR"/>
        </w:rPr>
        <w:t>ّ</w:t>
      </w:r>
      <w:r w:rsidR="00416BC1" w:rsidRPr="00904FCB">
        <w:rPr>
          <w:rFonts w:ascii="Tahoma" w:hAnsi="Tahoma"/>
          <w:sz w:val="27"/>
          <w:rtl/>
          <w:lang w:bidi="fa-IR"/>
        </w:rPr>
        <w:t>مته التعليلية التي برهن بها</w:t>
      </w:r>
      <w:r w:rsidR="00416BC1" w:rsidRPr="00904FCB">
        <w:rPr>
          <w:rFonts w:ascii="Tahoma" w:hAnsi="Tahoma" w:hint="cs"/>
          <w:sz w:val="27"/>
          <w:rtl/>
          <w:lang w:bidi="fa-IR"/>
        </w:rPr>
        <w:t>،</w:t>
      </w:r>
      <w:r w:rsidRPr="00904FCB">
        <w:rPr>
          <w:rFonts w:ascii="Tahoma" w:hAnsi="Tahoma"/>
          <w:sz w:val="27"/>
          <w:rtl/>
          <w:lang w:bidi="fa-IR"/>
        </w:rPr>
        <w:t xml:space="preserve"> من خلال استقرا</w:t>
      </w:r>
      <w:r w:rsidR="00416BC1" w:rsidRPr="00904FCB">
        <w:rPr>
          <w:rFonts w:ascii="Tahoma" w:hAnsi="Tahoma" w:hint="cs"/>
          <w:sz w:val="27"/>
          <w:rtl/>
          <w:lang w:bidi="fa-IR"/>
        </w:rPr>
        <w:t>ئ</w:t>
      </w:r>
      <w:r w:rsidRPr="00904FCB">
        <w:rPr>
          <w:rFonts w:ascii="Tahoma" w:hAnsi="Tahoma"/>
          <w:sz w:val="27"/>
          <w:rtl/>
          <w:lang w:bidi="fa-IR"/>
        </w:rPr>
        <w:t xml:space="preserve">ه </w:t>
      </w:r>
      <w:r w:rsidRPr="00904FCB">
        <w:rPr>
          <w:rFonts w:ascii="Tahoma" w:hAnsi="Tahoma"/>
          <w:sz w:val="27"/>
          <w:rtl/>
          <w:lang w:bidi="fa-IR"/>
        </w:rPr>
        <w:lastRenderedPageBreak/>
        <w:t>للأدلة الكل</w:t>
      </w:r>
      <w:r w:rsidR="00416BC1" w:rsidRPr="00904FCB">
        <w:rPr>
          <w:rFonts w:ascii="Tahoma" w:hAnsi="Tahoma" w:hint="cs"/>
          <w:sz w:val="27"/>
          <w:rtl/>
          <w:lang w:bidi="fa-IR"/>
        </w:rPr>
        <w:t>ّ</w:t>
      </w:r>
      <w:r w:rsidRPr="00904FCB">
        <w:rPr>
          <w:rFonts w:ascii="Tahoma" w:hAnsi="Tahoma"/>
          <w:sz w:val="27"/>
          <w:rtl/>
          <w:lang w:bidi="fa-IR"/>
        </w:rPr>
        <w:t>ية والجزئية</w:t>
      </w:r>
      <w:r w:rsidR="00416BC1" w:rsidRPr="00904FCB">
        <w:rPr>
          <w:rFonts w:ascii="Tahoma" w:hAnsi="Tahoma" w:hint="cs"/>
          <w:sz w:val="27"/>
          <w:rtl/>
          <w:lang w:bidi="fa-IR"/>
        </w:rPr>
        <w:t>،</w:t>
      </w:r>
      <w:r w:rsidRPr="00904FCB">
        <w:rPr>
          <w:rFonts w:ascii="Tahoma" w:hAnsi="Tahoma"/>
          <w:sz w:val="27"/>
          <w:rtl/>
          <w:lang w:bidi="fa-IR"/>
        </w:rPr>
        <w:t xml:space="preserve"> </w:t>
      </w:r>
      <w:r w:rsidR="00416BC1" w:rsidRPr="00904FCB">
        <w:rPr>
          <w:rFonts w:ascii="Tahoma" w:hAnsi="Tahoma" w:hint="cs"/>
          <w:sz w:val="27"/>
          <w:rtl/>
          <w:lang w:bidi="fa-IR"/>
        </w:rPr>
        <w:t>أ</w:t>
      </w:r>
      <w:r w:rsidRPr="00904FCB">
        <w:rPr>
          <w:rFonts w:ascii="Tahoma" w:hAnsi="Tahoma"/>
          <w:sz w:val="27"/>
          <w:rtl/>
          <w:lang w:bidi="fa-IR"/>
        </w:rPr>
        <w:t>ن «فعل الله التشريعي معل</w:t>
      </w:r>
      <w:r w:rsidR="00416BC1" w:rsidRPr="00904FCB">
        <w:rPr>
          <w:rFonts w:ascii="Tahoma" w:hAnsi="Tahoma" w:hint="cs"/>
          <w:sz w:val="27"/>
          <w:rtl/>
          <w:lang w:bidi="fa-IR"/>
        </w:rPr>
        <w:t>ّ</w:t>
      </w:r>
      <w:r w:rsidRPr="00904FCB">
        <w:rPr>
          <w:rFonts w:ascii="Tahoma" w:hAnsi="Tahoma"/>
          <w:sz w:val="27"/>
          <w:rtl/>
          <w:lang w:bidi="fa-IR"/>
        </w:rPr>
        <w:t>ل بمصالح العباد»، و</w:t>
      </w:r>
      <w:r w:rsidR="00416BC1" w:rsidRPr="00904FCB">
        <w:rPr>
          <w:rFonts w:ascii="Tahoma" w:hAnsi="Tahoma" w:hint="cs"/>
          <w:sz w:val="27"/>
          <w:rtl/>
          <w:lang w:bidi="fa-IR"/>
        </w:rPr>
        <w:t>أ</w:t>
      </w:r>
      <w:r w:rsidRPr="00904FCB">
        <w:rPr>
          <w:rFonts w:ascii="Tahoma" w:hAnsi="Tahoma"/>
          <w:sz w:val="27"/>
          <w:rtl/>
          <w:lang w:bidi="fa-IR"/>
        </w:rPr>
        <w:t>ن كل</w:t>
      </w:r>
      <w:r w:rsidR="00416BC1" w:rsidRPr="00904FCB">
        <w:rPr>
          <w:rFonts w:ascii="Tahoma" w:hAnsi="Tahoma" w:hint="cs"/>
          <w:sz w:val="27"/>
          <w:rtl/>
          <w:lang w:bidi="fa-IR"/>
        </w:rPr>
        <w:t>ّ</w:t>
      </w:r>
      <w:r w:rsidRPr="00904FCB">
        <w:rPr>
          <w:rFonts w:ascii="Tahoma" w:hAnsi="Tahoma"/>
          <w:sz w:val="27"/>
          <w:rtl/>
          <w:lang w:bidi="fa-IR"/>
        </w:rPr>
        <w:t xml:space="preserve"> ما صدر من الله عز</w:t>
      </w:r>
      <w:r w:rsidR="00416BC1" w:rsidRPr="00904FCB">
        <w:rPr>
          <w:rFonts w:ascii="Tahoma" w:hAnsi="Tahoma" w:hint="cs"/>
          <w:sz w:val="27"/>
          <w:rtl/>
          <w:lang w:bidi="fa-IR"/>
        </w:rPr>
        <w:t>َّ</w:t>
      </w:r>
      <w:r w:rsidRPr="00904FCB">
        <w:rPr>
          <w:rFonts w:ascii="Tahoma" w:hAnsi="Tahoma"/>
          <w:sz w:val="27"/>
          <w:rtl/>
          <w:lang w:bidi="fa-IR"/>
        </w:rPr>
        <w:t xml:space="preserve"> وجل</w:t>
      </w:r>
      <w:r w:rsidR="00416BC1" w:rsidRPr="00904FCB">
        <w:rPr>
          <w:rFonts w:ascii="Tahoma" w:hAnsi="Tahoma" w:hint="cs"/>
          <w:sz w:val="27"/>
          <w:rtl/>
          <w:lang w:bidi="fa-IR"/>
        </w:rPr>
        <w:t>َّ</w:t>
      </w:r>
      <w:r w:rsidRPr="00904FCB">
        <w:rPr>
          <w:rFonts w:ascii="Tahoma" w:hAnsi="Tahoma"/>
          <w:sz w:val="27"/>
          <w:rtl/>
          <w:lang w:bidi="fa-IR"/>
        </w:rPr>
        <w:t xml:space="preserve"> وفرض على العباد طاعته بعمله أو بتركه</w:t>
      </w:r>
      <w:r w:rsidR="00281EEB" w:rsidRPr="00904FCB">
        <w:rPr>
          <w:rFonts w:ascii="Tahoma" w:hAnsi="Tahoma" w:hint="cs"/>
          <w:sz w:val="27"/>
          <w:rtl/>
          <w:lang w:bidi="fa-IR"/>
        </w:rPr>
        <w:t>،</w:t>
      </w:r>
      <w:r w:rsidRPr="00904FCB">
        <w:rPr>
          <w:rFonts w:ascii="Tahoma" w:hAnsi="Tahoma"/>
          <w:sz w:val="27"/>
          <w:rtl/>
          <w:lang w:bidi="fa-IR"/>
        </w:rPr>
        <w:t xml:space="preserve"> فهو مرتبط</w:t>
      </w:r>
      <w:r w:rsidR="00416BC1" w:rsidRPr="00904FCB">
        <w:rPr>
          <w:rFonts w:ascii="Tahoma" w:hAnsi="Tahoma" w:hint="cs"/>
          <w:sz w:val="27"/>
          <w:rtl/>
          <w:lang w:bidi="fa-IR"/>
        </w:rPr>
        <w:t>ٌ</w:t>
      </w:r>
      <w:r w:rsidRPr="00904FCB">
        <w:rPr>
          <w:rFonts w:ascii="Tahoma" w:hAnsi="Tahoma"/>
          <w:sz w:val="27"/>
          <w:rtl/>
          <w:lang w:bidi="fa-IR"/>
        </w:rPr>
        <w:t xml:space="preserve"> بمهمة الإنسان الأساسية على الأرض بإصلاحها، فإننا سنحتكم إلى العقل المعرفي</w:t>
      </w:r>
      <w:r w:rsidR="00281EEB" w:rsidRPr="00904FCB">
        <w:rPr>
          <w:rFonts w:ascii="Tahoma" w:hAnsi="Tahoma" w:hint="cs"/>
          <w:sz w:val="27"/>
          <w:rtl/>
          <w:lang w:bidi="fa-IR"/>
        </w:rPr>
        <w:t>،</w:t>
      </w:r>
      <w:r w:rsidRPr="00904FCB">
        <w:rPr>
          <w:rFonts w:ascii="Tahoma" w:hAnsi="Tahoma"/>
          <w:sz w:val="27"/>
          <w:rtl/>
          <w:lang w:bidi="fa-IR"/>
        </w:rPr>
        <w:t xml:space="preserve"> ونتبع في أحكامنا تلك المصالح</w:t>
      </w:r>
      <w:r w:rsidR="00281EEB" w:rsidRPr="00904FCB">
        <w:rPr>
          <w:rFonts w:ascii="Tahoma" w:hAnsi="Tahoma" w:hint="cs"/>
          <w:sz w:val="27"/>
          <w:rtl/>
          <w:lang w:bidi="fa-IR"/>
        </w:rPr>
        <w:t>،</w:t>
      </w:r>
      <w:r w:rsidRPr="00904FCB">
        <w:rPr>
          <w:rFonts w:ascii="Tahoma" w:hAnsi="Tahoma"/>
          <w:sz w:val="27"/>
          <w:rtl/>
          <w:lang w:bidi="fa-IR"/>
        </w:rPr>
        <w:t xml:space="preserve"> ونسعى إلى تحقيق تلك المقاصد. </w:t>
      </w:r>
      <w:r w:rsidR="00281EEB" w:rsidRPr="00904FCB">
        <w:rPr>
          <w:rFonts w:ascii="Tahoma" w:hAnsi="Tahoma"/>
          <w:sz w:val="27"/>
          <w:rtl/>
          <w:lang w:bidi="fa-IR"/>
        </w:rPr>
        <w:t>ومن هنا تو</w:t>
      </w:r>
      <w:r w:rsidRPr="00904FCB">
        <w:rPr>
          <w:rFonts w:ascii="Tahoma" w:hAnsi="Tahoma"/>
          <w:sz w:val="27"/>
          <w:rtl/>
          <w:lang w:bidi="fa-IR"/>
        </w:rPr>
        <w:t>ج</w:t>
      </w:r>
      <w:r w:rsidR="00281EEB" w:rsidRPr="00904FCB">
        <w:rPr>
          <w:rFonts w:ascii="Tahoma" w:hAnsi="Tahoma" w:hint="cs"/>
          <w:sz w:val="27"/>
          <w:rtl/>
          <w:lang w:bidi="fa-IR"/>
        </w:rPr>
        <w:t>ّ</w:t>
      </w:r>
      <w:r w:rsidRPr="00904FCB">
        <w:rPr>
          <w:rFonts w:ascii="Tahoma" w:hAnsi="Tahoma"/>
          <w:sz w:val="27"/>
          <w:rtl/>
          <w:lang w:bidi="fa-IR"/>
        </w:rPr>
        <w:t>ب أن تنطلق المواد القانونية في القوانين الوضعية لتكون رادع</w:t>
      </w:r>
      <w:r w:rsidR="00281EEB" w:rsidRPr="00904FCB">
        <w:rPr>
          <w:rFonts w:ascii="Tahoma" w:hAnsi="Tahoma" w:hint="cs"/>
          <w:sz w:val="27"/>
          <w:rtl/>
          <w:lang w:bidi="fa-IR"/>
        </w:rPr>
        <w:t>ة</w:t>
      </w:r>
      <w:r w:rsidRPr="00904FCB">
        <w:rPr>
          <w:rFonts w:ascii="Tahoma" w:hAnsi="Tahoma"/>
          <w:sz w:val="27"/>
          <w:rtl/>
          <w:lang w:bidi="fa-IR"/>
        </w:rPr>
        <w:t xml:space="preserve"> لوقوع الجريمة</w:t>
      </w:r>
      <w:r w:rsidR="00281EEB" w:rsidRPr="00904FCB">
        <w:rPr>
          <w:rFonts w:ascii="Tahoma" w:hAnsi="Tahoma" w:hint="cs"/>
          <w:sz w:val="27"/>
          <w:rtl/>
          <w:lang w:bidi="fa-IR"/>
        </w:rPr>
        <w:t>،</w:t>
      </w:r>
      <w:r w:rsidRPr="00904FCB">
        <w:rPr>
          <w:rFonts w:ascii="Tahoma" w:hAnsi="Tahoma"/>
          <w:sz w:val="27"/>
          <w:rtl/>
          <w:lang w:bidi="fa-IR"/>
        </w:rPr>
        <w:t xml:space="preserve"> لا محد</w:t>
      </w:r>
      <w:r w:rsidR="00281EEB" w:rsidRPr="00904FCB">
        <w:rPr>
          <w:rFonts w:ascii="Tahoma" w:hAnsi="Tahoma" w:hint="cs"/>
          <w:sz w:val="27"/>
          <w:rtl/>
          <w:lang w:bidi="fa-IR"/>
        </w:rPr>
        <w:t>ّ</w:t>
      </w:r>
      <w:r w:rsidRPr="00904FCB">
        <w:rPr>
          <w:rFonts w:ascii="Tahoma" w:hAnsi="Tahoma"/>
          <w:sz w:val="27"/>
          <w:rtl/>
          <w:lang w:bidi="fa-IR"/>
        </w:rPr>
        <w:t>د</w:t>
      </w:r>
      <w:r w:rsidR="00281EEB" w:rsidRPr="00904FCB">
        <w:rPr>
          <w:rFonts w:ascii="Tahoma" w:hAnsi="Tahoma" w:hint="cs"/>
          <w:sz w:val="27"/>
          <w:rtl/>
          <w:lang w:bidi="fa-IR"/>
        </w:rPr>
        <w:t>ة</w:t>
      </w:r>
      <w:r w:rsidRPr="00904FCB">
        <w:rPr>
          <w:rFonts w:ascii="Tahoma" w:hAnsi="Tahoma"/>
          <w:sz w:val="27"/>
          <w:rtl/>
          <w:lang w:bidi="fa-IR"/>
        </w:rPr>
        <w:t xml:space="preserve"> للقصاص عليها</w:t>
      </w:r>
      <w:r w:rsidR="00281EEB" w:rsidRPr="00904FCB">
        <w:rPr>
          <w:rFonts w:ascii="Tahoma" w:hAnsi="Tahoma" w:hint="cs"/>
          <w:sz w:val="27"/>
          <w:rtl/>
          <w:lang w:bidi="fa-IR"/>
        </w:rPr>
        <w:t>.</w:t>
      </w:r>
      <w:r w:rsidRPr="00904FCB">
        <w:rPr>
          <w:rFonts w:ascii="Tahoma" w:hAnsi="Tahoma"/>
          <w:sz w:val="27"/>
          <w:rtl/>
          <w:lang w:bidi="fa-IR"/>
        </w:rPr>
        <w:t xml:space="preserve"> ونحن</w:t>
      </w:r>
      <w:r w:rsidR="00281EEB" w:rsidRPr="00904FCB">
        <w:rPr>
          <w:rFonts w:ascii="Tahoma" w:hAnsi="Tahoma"/>
          <w:sz w:val="27"/>
          <w:rtl/>
          <w:lang w:bidi="fa-IR"/>
        </w:rPr>
        <w:t xml:space="preserve"> هنا لا نطلق العنان للقول بمقاصد الشريعة وعلل</w:t>
      </w:r>
      <w:r w:rsidRPr="00904FCB">
        <w:rPr>
          <w:rFonts w:ascii="Tahoma" w:hAnsi="Tahoma"/>
          <w:sz w:val="27"/>
          <w:rtl/>
          <w:lang w:bidi="fa-IR"/>
        </w:rPr>
        <w:t>ها</w:t>
      </w:r>
      <w:r w:rsidR="00281EEB" w:rsidRPr="00904FCB">
        <w:rPr>
          <w:rFonts w:ascii="Tahoma" w:hAnsi="Tahoma" w:hint="cs"/>
          <w:sz w:val="27"/>
          <w:rtl/>
          <w:lang w:bidi="fa-IR"/>
        </w:rPr>
        <w:t>،</w:t>
      </w:r>
      <w:r w:rsidRPr="00904FCB">
        <w:rPr>
          <w:rFonts w:ascii="Tahoma" w:hAnsi="Tahoma"/>
          <w:sz w:val="27"/>
          <w:rtl/>
          <w:lang w:bidi="fa-IR"/>
        </w:rPr>
        <w:t xml:space="preserve"> دون ضابط</w:t>
      </w:r>
      <w:r w:rsidR="00281EEB" w:rsidRPr="00904FCB">
        <w:rPr>
          <w:rFonts w:ascii="Tahoma" w:hAnsi="Tahoma" w:hint="cs"/>
          <w:sz w:val="27"/>
          <w:rtl/>
          <w:lang w:bidi="fa-IR"/>
        </w:rPr>
        <w:t>ٍ</w:t>
      </w:r>
      <w:r w:rsidRPr="00904FCB">
        <w:rPr>
          <w:rFonts w:ascii="Tahoma" w:hAnsi="Tahoma"/>
          <w:sz w:val="27"/>
          <w:rtl/>
          <w:lang w:bidi="fa-IR"/>
        </w:rPr>
        <w:t xml:space="preserve"> أو تقييد</w:t>
      </w:r>
      <w:r w:rsidR="00281EEB" w:rsidRPr="00904FCB">
        <w:rPr>
          <w:rFonts w:ascii="Tahoma" w:hAnsi="Tahoma" w:hint="cs"/>
          <w:sz w:val="27"/>
          <w:rtl/>
          <w:lang w:bidi="fa-IR"/>
        </w:rPr>
        <w:t>،</w:t>
      </w:r>
      <w:r w:rsidRPr="00904FCB">
        <w:rPr>
          <w:rFonts w:ascii="Tahoma" w:hAnsi="Tahoma"/>
          <w:sz w:val="27"/>
          <w:rtl/>
          <w:lang w:bidi="fa-IR"/>
        </w:rPr>
        <w:t xml:space="preserve"> كما يراها المعتزلة على حد</w:t>
      </w:r>
      <w:r w:rsidR="00281EEB" w:rsidRPr="00904FCB">
        <w:rPr>
          <w:rFonts w:ascii="Tahoma" w:hAnsi="Tahoma" w:hint="cs"/>
          <w:sz w:val="27"/>
          <w:rtl/>
          <w:lang w:bidi="fa-IR"/>
        </w:rPr>
        <w:t>ّ</w:t>
      </w:r>
      <w:r w:rsidRPr="00904FCB">
        <w:rPr>
          <w:rFonts w:ascii="Tahoma" w:hAnsi="Tahoma"/>
          <w:sz w:val="27"/>
          <w:rtl/>
          <w:lang w:bidi="fa-IR"/>
        </w:rPr>
        <w:t xml:space="preserve"> تعبير القاضي عبد الجب</w:t>
      </w:r>
      <w:r w:rsidR="00281EEB" w:rsidRPr="00904FCB">
        <w:rPr>
          <w:rFonts w:ascii="Tahoma" w:hAnsi="Tahoma" w:hint="cs"/>
          <w:sz w:val="27"/>
          <w:rtl/>
          <w:lang w:bidi="fa-IR"/>
        </w:rPr>
        <w:t>ّ</w:t>
      </w:r>
      <w:r w:rsidRPr="00904FCB">
        <w:rPr>
          <w:rFonts w:ascii="Tahoma" w:hAnsi="Tahoma"/>
          <w:sz w:val="27"/>
          <w:rtl/>
          <w:lang w:bidi="fa-IR"/>
        </w:rPr>
        <w:t>ار «بوجوب تعليل أفعال الله تعالى بالغرض»</w:t>
      </w:r>
      <w:r w:rsidR="00281EEB" w:rsidRPr="00904FCB">
        <w:rPr>
          <w:rFonts w:ascii="Tahoma" w:hAnsi="Tahoma" w:hint="cs"/>
          <w:sz w:val="27"/>
          <w:rtl/>
          <w:lang w:bidi="fa-IR"/>
        </w:rPr>
        <w:t>،</w:t>
      </w:r>
      <w:r w:rsidRPr="00904FCB">
        <w:rPr>
          <w:rFonts w:ascii="Tahoma" w:hAnsi="Tahoma"/>
          <w:sz w:val="27"/>
          <w:rtl/>
          <w:lang w:bidi="fa-IR"/>
        </w:rPr>
        <w:t xml:space="preserve"> ولا ننفي التعليل مطلقاً</w:t>
      </w:r>
      <w:r w:rsidR="00281EEB" w:rsidRPr="00904FCB">
        <w:rPr>
          <w:rFonts w:ascii="Tahoma" w:hAnsi="Tahoma" w:hint="cs"/>
          <w:sz w:val="27"/>
          <w:rtl/>
          <w:lang w:bidi="fa-IR"/>
        </w:rPr>
        <w:t xml:space="preserve">، </w:t>
      </w:r>
      <w:r w:rsidRPr="00904FCB">
        <w:rPr>
          <w:rFonts w:ascii="Tahoma" w:hAnsi="Tahoma"/>
          <w:sz w:val="27"/>
          <w:rtl/>
          <w:lang w:bidi="fa-IR"/>
        </w:rPr>
        <w:t>على رأي الاشاعرة</w:t>
      </w:r>
      <w:r w:rsidR="00281EEB" w:rsidRPr="00904FCB">
        <w:rPr>
          <w:rFonts w:ascii="Tahoma" w:hAnsi="Tahoma" w:hint="cs"/>
          <w:sz w:val="27"/>
          <w:rtl/>
          <w:lang w:bidi="fa-IR"/>
        </w:rPr>
        <w:t>،</w:t>
      </w:r>
      <w:r w:rsidRPr="00904FCB">
        <w:rPr>
          <w:rFonts w:ascii="Tahoma" w:hAnsi="Tahoma"/>
          <w:sz w:val="27"/>
          <w:rtl/>
          <w:lang w:bidi="fa-IR"/>
        </w:rPr>
        <w:t xml:space="preserve"> كما يقوله أبو الحسن ال</w:t>
      </w:r>
      <w:r w:rsidR="00281EEB" w:rsidRPr="00904FCB">
        <w:rPr>
          <w:rFonts w:ascii="Tahoma" w:hAnsi="Tahoma" w:hint="cs"/>
          <w:sz w:val="27"/>
          <w:rtl/>
          <w:lang w:bidi="fa-IR"/>
        </w:rPr>
        <w:t>أ</w:t>
      </w:r>
      <w:r w:rsidRPr="00904FCB">
        <w:rPr>
          <w:rFonts w:ascii="Tahoma" w:hAnsi="Tahoma"/>
          <w:sz w:val="27"/>
          <w:rtl/>
          <w:lang w:bidi="fa-IR"/>
        </w:rPr>
        <w:t>شعري</w:t>
      </w:r>
      <w:r w:rsidR="00281EEB" w:rsidRPr="00904FCB">
        <w:rPr>
          <w:rFonts w:ascii="Tahoma" w:hAnsi="Tahoma" w:hint="cs"/>
          <w:sz w:val="27"/>
          <w:rtl/>
          <w:lang w:bidi="fa-IR"/>
        </w:rPr>
        <w:t>،</w:t>
      </w:r>
      <w:r w:rsidRPr="00904FCB">
        <w:rPr>
          <w:rFonts w:ascii="Tahoma" w:hAnsi="Tahoma"/>
          <w:sz w:val="27"/>
          <w:rtl/>
          <w:lang w:bidi="fa-IR"/>
        </w:rPr>
        <w:t xml:space="preserve"> ب</w:t>
      </w:r>
      <w:r w:rsidR="00281EEB" w:rsidRPr="00904FCB">
        <w:rPr>
          <w:rFonts w:ascii="Tahoma" w:hAnsi="Tahoma" w:hint="cs"/>
          <w:sz w:val="27"/>
          <w:rtl/>
          <w:lang w:bidi="fa-IR"/>
        </w:rPr>
        <w:t>أ</w:t>
      </w:r>
      <w:r w:rsidRPr="00904FCB">
        <w:rPr>
          <w:rFonts w:ascii="Tahoma" w:hAnsi="Tahoma"/>
          <w:sz w:val="27"/>
          <w:rtl/>
          <w:lang w:bidi="fa-IR"/>
        </w:rPr>
        <w:t>ن</w:t>
      </w:r>
      <w:r w:rsidR="00281EEB" w:rsidRPr="00904FCB">
        <w:rPr>
          <w:rFonts w:ascii="Tahoma" w:hAnsi="Tahoma" w:hint="cs"/>
          <w:sz w:val="27"/>
          <w:rtl/>
          <w:lang w:bidi="fa-IR"/>
        </w:rPr>
        <w:t>ه</w:t>
      </w:r>
      <w:r w:rsidRPr="00904FCB">
        <w:rPr>
          <w:rFonts w:ascii="Tahoma" w:hAnsi="Tahoma"/>
          <w:sz w:val="27"/>
          <w:rtl/>
          <w:lang w:bidi="fa-IR"/>
        </w:rPr>
        <w:t xml:space="preserve"> «</w:t>
      </w:r>
      <w:r w:rsidR="00281EEB" w:rsidRPr="00904FCB">
        <w:rPr>
          <w:rFonts w:ascii="Tahoma" w:hAnsi="Tahoma" w:hint="cs"/>
          <w:sz w:val="27"/>
          <w:rtl/>
          <w:lang w:bidi="fa-IR"/>
        </w:rPr>
        <w:t xml:space="preserve">ليس </w:t>
      </w:r>
      <w:r w:rsidRPr="00904FCB">
        <w:rPr>
          <w:rFonts w:ascii="Tahoma" w:hAnsi="Tahoma"/>
          <w:sz w:val="27"/>
          <w:rtl/>
          <w:lang w:bidi="fa-IR"/>
        </w:rPr>
        <w:t>لأفعاله علل</w:t>
      </w:r>
      <w:r w:rsidR="00281EEB" w:rsidRPr="00904FCB">
        <w:rPr>
          <w:rFonts w:ascii="Tahoma" w:hAnsi="Tahoma" w:hint="cs"/>
          <w:sz w:val="27"/>
          <w:rtl/>
          <w:lang w:bidi="fa-IR"/>
        </w:rPr>
        <w:t>؛</w:t>
      </w:r>
      <w:r w:rsidRPr="00904FCB">
        <w:rPr>
          <w:rFonts w:ascii="Tahoma" w:hAnsi="Tahoma"/>
          <w:sz w:val="27"/>
          <w:rtl/>
          <w:lang w:bidi="fa-IR"/>
        </w:rPr>
        <w:t xml:space="preserve"> لأنه مالك غير مملوك</w:t>
      </w:r>
      <w:r w:rsidR="00281EEB" w:rsidRPr="00904FCB">
        <w:rPr>
          <w:rFonts w:hint="eastAsia"/>
          <w:sz w:val="27"/>
          <w:rtl/>
        </w:rPr>
        <w:t>»</w:t>
      </w:r>
      <w:r w:rsidR="00281EEB"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57607C">
      <w:pPr>
        <w:autoSpaceDE w:val="0"/>
        <w:autoSpaceDN w:val="0"/>
        <w:adjustRightInd w:val="0"/>
        <w:spacing w:line="400" w:lineRule="exact"/>
        <w:rPr>
          <w:rFonts w:ascii="Tahoma" w:hAnsi="Tahoma"/>
          <w:sz w:val="27"/>
          <w:lang w:bidi="fa-IR"/>
        </w:rPr>
      </w:pPr>
      <w:r w:rsidRPr="00904FCB">
        <w:rPr>
          <w:rFonts w:ascii="Tahoma" w:hAnsi="Tahoma"/>
          <w:sz w:val="27"/>
          <w:rtl/>
          <w:lang w:bidi="fa-IR"/>
        </w:rPr>
        <w:t>ولا نقول برأي الظاهري</w:t>
      </w:r>
      <w:r w:rsidR="00281EEB" w:rsidRPr="00904FCB">
        <w:rPr>
          <w:rFonts w:ascii="Tahoma" w:hAnsi="Tahoma" w:hint="cs"/>
          <w:sz w:val="27"/>
          <w:rtl/>
          <w:lang w:bidi="fa-IR"/>
        </w:rPr>
        <w:t>ة،</w:t>
      </w:r>
      <w:r w:rsidRPr="00904FCB">
        <w:rPr>
          <w:rFonts w:ascii="Tahoma" w:hAnsi="Tahoma"/>
          <w:sz w:val="27"/>
          <w:rtl/>
          <w:lang w:bidi="fa-IR"/>
        </w:rPr>
        <w:t xml:space="preserve"> كما يدو</w:t>
      </w:r>
      <w:r w:rsidR="00281EEB" w:rsidRPr="00904FCB">
        <w:rPr>
          <w:rFonts w:ascii="Tahoma" w:hAnsi="Tahoma" w:hint="cs"/>
          <w:sz w:val="27"/>
          <w:rtl/>
          <w:lang w:bidi="fa-IR"/>
        </w:rPr>
        <w:t>ِّ</w:t>
      </w:r>
      <w:r w:rsidRPr="00904FCB">
        <w:rPr>
          <w:rFonts w:ascii="Tahoma" w:hAnsi="Tahoma"/>
          <w:sz w:val="27"/>
          <w:rtl/>
          <w:lang w:bidi="fa-IR"/>
        </w:rPr>
        <w:t xml:space="preserve">نه </w:t>
      </w:r>
      <w:r w:rsidR="00281EEB" w:rsidRPr="00904FCB">
        <w:rPr>
          <w:rFonts w:ascii="Tahoma" w:hAnsi="Tahoma" w:hint="cs"/>
          <w:sz w:val="27"/>
          <w:rtl/>
          <w:lang w:bidi="fa-IR"/>
        </w:rPr>
        <w:t>ا</w:t>
      </w:r>
      <w:r w:rsidRPr="00904FCB">
        <w:rPr>
          <w:rFonts w:ascii="Tahoma" w:hAnsi="Tahoma"/>
          <w:sz w:val="27"/>
          <w:rtl/>
          <w:lang w:bidi="fa-IR"/>
        </w:rPr>
        <w:t>بن حزم الظاهري(</w:t>
      </w:r>
      <w:r w:rsidRPr="002814ED">
        <w:rPr>
          <w:rFonts w:ascii="Tahoma" w:hAnsi="Tahoma" w:hint="cs"/>
          <w:sz w:val="27"/>
          <w:rtl/>
          <w:lang w:bidi="ar-LB"/>
        </w:rPr>
        <w:t>456هـ</w:t>
      </w:r>
      <w:r w:rsidR="0057607C">
        <w:rPr>
          <w:rFonts w:ascii="Tahoma" w:hAnsi="Tahoma"/>
          <w:sz w:val="27"/>
          <w:rtl/>
          <w:lang w:bidi="fa-IR"/>
        </w:rPr>
        <w:t>)</w:t>
      </w:r>
      <w:r w:rsidR="0057607C">
        <w:rPr>
          <w:rFonts w:ascii="Tahoma" w:hAnsi="Tahoma" w:hint="cs"/>
          <w:sz w:val="27"/>
          <w:rtl/>
          <w:lang w:bidi="fa-IR"/>
        </w:rPr>
        <w:t xml:space="preserve"> </w:t>
      </w:r>
      <w:r w:rsidRPr="00904FCB">
        <w:rPr>
          <w:rFonts w:ascii="Tahoma" w:hAnsi="Tahoma"/>
          <w:sz w:val="27"/>
          <w:rtl/>
          <w:lang w:bidi="fa-IR"/>
        </w:rPr>
        <w:t>في (الإحكام)</w:t>
      </w:r>
      <w:r w:rsidR="00281EEB" w:rsidRPr="00904FCB">
        <w:rPr>
          <w:rFonts w:ascii="Tahoma" w:hAnsi="Tahoma" w:hint="cs"/>
          <w:sz w:val="27"/>
          <w:rtl/>
          <w:lang w:bidi="fa-IR"/>
        </w:rPr>
        <w:t>،</w:t>
      </w:r>
      <w:r w:rsidRPr="00904FCB">
        <w:rPr>
          <w:rFonts w:ascii="Tahoma" w:hAnsi="Tahoma"/>
          <w:sz w:val="27"/>
          <w:rtl/>
          <w:lang w:bidi="fa-IR"/>
        </w:rPr>
        <w:t xml:space="preserve"> ب</w:t>
      </w:r>
      <w:r w:rsidR="00281EEB" w:rsidRPr="00904FCB">
        <w:rPr>
          <w:rFonts w:ascii="Tahoma" w:hAnsi="Tahoma" w:hint="cs"/>
          <w:sz w:val="27"/>
          <w:rtl/>
          <w:lang w:bidi="fa-IR"/>
        </w:rPr>
        <w:t>أ</w:t>
      </w:r>
      <w:r w:rsidRPr="00904FCB">
        <w:rPr>
          <w:rFonts w:ascii="Tahoma" w:hAnsi="Tahoma"/>
          <w:sz w:val="27"/>
          <w:rtl/>
          <w:lang w:bidi="fa-IR"/>
        </w:rPr>
        <w:t>ن «أو</w:t>
      </w:r>
      <w:r w:rsidR="00281EEB" w:rsidRPr="00904FCB">
        <w:rPr>
          <w:rFonts w:ascii="Tahoma" w:hAnsi="Tahoma" w:hint="cs"/>
          <w:sz w:val="27"/>
          <w:rtl/>
          <w:lang w:bidi="fa-IR"/>
        </w:rPr>
        <w:t>ّ</w:t>
      </w:r>
      <w:r w:rsidRPr="00904FCB">
        <w:rPr>
          <w:rFonts w:ascii="Tahoma" w:hAnsi="Tahoma"/>
          <w:sz w:val="27"/>
          <w:rtl/>
          <w:lang w:bidi="fa-IR"/>
        </w:rPr>
        <w:t>ل ضلال هذه المسألة قياسهم الله تعالى على أنفسهم</w:t>
      </w:r>
      <w:r w:rsidR="00281EEB" w:rsidRPr="00904FCB">
        <w:rPr>
          <w:rFonts w:ascii="Tahoma" w:hAnsi="Tahoma" w:hint="cs"/>
          <w:sz w:val="27"/>
          <w:rtl/>
          <w:lang w:bidi="fa-IR"/>
        </w:rPr>
        <w:t>،</w:t>
      </w:r>
      <w:r w:rsidRPr="00904FCB">
        <w:rPr>
          <w:rFonts w:ascii="Tahoma" w:hAnsi="Tahoma"/>
          <w:sz w:val="27"/>
          <w:rtl/>
          <w:lang w:bidi="fa-IR"/>
        </w:rPr>
        <w:t xml:space="preserve"> في قولهم: </w:t>
      </w:r>
      <w:r w:rsidR="0057607C">
        <w:rPr>
          <w:rFonts w:ascii="Tahoma" w:hAnsi="Tahoma" w:hint="cs"/>
          <w:sz w:val="27"/>
          <w:rtl/>
          <w:lang w:bidi="fa-IR"/>
        </w:rPr>
        <w:t>إ</w:t>
      </w:r>
      <w:r w:rsidRPr="00904FCB">
        <w:rPr>
          <w:rFonts w:ascii="Tahoma" w:hAnsi="Tahoma"/>
          <w:sz w:val="27"/>
          <w:rtl/>
          <w:lang w:bidi="fa-IR"/>
        </w:rPr>
        <w:t>ن</w:t>
      </w:r>
      <w:r w:rsidR="0057607C">
        <w:rPr>
          <w:rFonts w:ascii="Tahoma" w:hAnsi="Tahoma" w:hint="cs"/>
          <w:sz w:val="27"/>
          <w:rtl/>
          <w:lang w:bidi="fa-IR"/>
        </w:rPr>
        <w:t>ّ</w:t>
      </w:r>
      <w:r w:rsidRPr="00904FCB">
        <w:rPr>
          <w:rFonts w:ascii="Tahoma" w:hAnsi="Tahoma"/>
          <w:sz w:val="27"/>
          <w:rtl/>
          <w:lang w:bidi="fa-IR"/>
        </w:rPr>
        <w:t xml:space="preserve"> الحكيم بيننا لا يفعل شيئـاً إلا</w:t>
      </w:r>
      <w:r w:rsidR="00281EEB" w:rsidRPr="00904FCB">
        <w:rPr>
          <w:rFonts w:ascii="Tahoma" w:hAnsi="Tahoma" w:hint="cs"/>
          <w:sz w:val="27"/>
          <w:rtl/>
          <w:lang w:bidi="fa-IR"/>
        </w:rPr>
        <w:t>ّ</w:t>
      </w:r>
      <w:r w:rsidRPr="00904FCB">
        <w:rPr>
          <w:rFonts w:ascii="Tahoma" w:hAnsi="Tahoma"/>
          <w:sz w:val="27"/>
          <w:rtl/>
          <w:lang w:bidi="fa-IR"/>
        </w:rPr>
        <w:t xml:space="preserve"> لعل</w:t>
      </w:r>
      <w:r w:rsidR="00281EEB" w:rsidRPr="00904FCB">
        <w:rPr>
          <w:rFonts w:ascii="Tahoma" w:hAnsi="Tahoma" w:hint="cs"/>
          <w:sz w:val="27"/>
          <w:rtl/>
          <w:lang w:bidi="fa-IR"/>
        </w:rPr>
        <w:t>ّ</w:t>
      </w:r>
      <w:r w:rsidRPr="00904FCB">
        <w:rPr>
          <w:rFonts w:ascii="Tahoma" w:hAnsi="Tahoma"/>
          <w:sz w:val="27"/>
          <w:rtl/>
          <w:lang w:bidi="fa-IR"/>
        </w:rPr>
        <w:t>ة</w:t>
      </w:r>
      <w:r w:rsidR="00281EEB" w:rsidRPr="00904FCB">
        <w:rPr>
          <w:rFonts w:ascii="Tahoma" w:hAnsi="Tahoma" w:hint="cs"/>
          <w:sz w:val="27"/>
          <w:rtl/>
          <w:lang w:bidi="fa-IR"/>
        </w:rPr>
        <w:t>ٍ</w:t>
      </w:r>
      <w:r w:rsidRPr="00904FCB">
        <w:rPr>
          <w:rFonts w:ascii="Tahoma" w:hAnsi="Tahoma"/>
          <w:sz w:val="27"/>
          <w:rtl/>
          <w:lang w:bidi="fa-IR"/>
        </w:rPr>
        <w:t xml:space="preserve"> [ويغلو في ذلك</w:t>
      </w:r>
      <w:r w:rsidR="00281EEB" w:rsidRPr="00904FCB">
        <w:rPr>
          <w:rFonts w:ascii="Tahoma" w:hAnsi="Tahoma" w:hint="cs"/>
          <w:sz w:val="27"/>
          <w:rtl/>
          <w:lang w:bidi="fa-IR"/>
        </w:rPr>
        <w:t>،</w:t>
      </w:r>
      <w:r w:rsidRPr="00904FCB">
        <w:rPr>
          <w:rFonts w:ascii="Tahoma" w:hAnsi="Tahoma"/>
          <w:sz w:val="27"/>
          <w:rtl/>
          <w:lang w:bidi="fa-IR"/>
        </w:rPr>
        <w:t xml:space="preserve"> فيصف ذلك بأنها قضية</w:t>
      </w:r>
      <w:r w:rsidR="00281EEB" w:rsidRPr="00904FCB">
        <w:rPr>
          <w:rFonts w:ascii="Tahoma" w:hAnsi="Tahoma" w:hint="cs"/>
          <w:sz w:val="27"/>
          <w:rtl/>
          <w:lang w:bidi="fa-IR"/>
        </w:rPr>
        <w:t>ٌ</w:t>
      </w:r>
      <w:r w:rsidRPr="00904FCB">
        <w:rPr>
          <w:rFonts w:ascii="Tahoma" w:hAnsi="Tahoma"/>
          <w:sz w:val="27"/>
          <w:rtl/>
          <w:lang w:bidi="fa-IR"/>
        </w:rPr>
        <w:t xml:space="preserve"> فاسدة] تكون أصلاً لكل</w:t>
      </w:r>
      <w:r w:rsidR="00281EEB" w:rsidRPr="00904FCB">
        <w:rPr>
          <w:rFonts w:ascii="Tahoma" w:hAnsi="Tahoma" w:hint="cs"/>
          <w:sz w:val="27"/>
          <w:rtl/>
          <w:lang w:bidi="fa-IR"/>
        </w:rPr>
        <w:t>ّ</w:t>
      </w:r>
      <w:r w:rsidRPr="00904FCB">
        <w:rPr>
          <w:rFonts w:ascii="Tahoma" w:hAnsi="Tahoma"/>
          <w:sz w:val="27"/>
          <w:rtl/>
          <w:lang w:bidi="fa-IR"/>
        </w:rPr>
        <w:t xml:space="preserve"> كُف</w:t>
      </w:r>
      <w:r w:rsidR="00281EEB" w:rsidRPr="00904FCB">
        <w:rPr>
          <w:rFonts w:ascii="Tahoma" w:hAnsi="Tahoma" w:hint="cs"/>
          <w:sz w:val="27"/>
          <w:rtl/>
          <w:lang w:bidi="fa-IR"/>
        </w:rPr>
        <w:t>ْ</w:t>
      </w:r>
      <w:r w:rsidRPr="00904FCB">
        <w:rPr>
          <w:rFonts w:ascii="Tahoma" w:hAnsi="Tahoma"/>
          <w:sz w:val="27"/>
          <w:rtl/>
          <w:lang w:bidi="fa-IR"/>
        </w:rPr>
        <w:t>ر</w:t>
      </w:r>
      <w:r w:rsidR="00281EEB" w:rsidRPr="00904FCB">
        <w:rPr>
          <w:rFonts w:ascii="Tahoma" w:hAnsi="Tahoma" w:hint="cs"/>
          <w:sz w:val="27"/>
          <w:rtl/>
          <w:lang w:bidi="fa-IR"/>
        </w:rPr>
        <w:t>ٍ</w:t>
      </w:r>
      <w:r w:rsidRPr="00904FCB">
        <w:rPr>
          <w:rFonts w:ascii="Tahoma" w:hAnsi="Tahoma"/>
          <w:sz w:val="27"/>
          <w:rtl/>
          <w:lang w:bidi="fa-IR"/>
        </w:rPr>
        <w:t xml:space="preserve"> في الأرض</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وإن</w:t>
      </w:r>
      <w:r w:rsidR="0057607C">
        <w:rPr>
          <w:rFonts w:ascii="Tahoma" w:hAnsi="Tahoma" w:hint="cs"/>
          <w:sz w:val="27"/>
          <w:rtl/>
          <w:lang w:bidi="fa-IR"/>
        </w:rPr>
        <w:t>ّ</w:t>
      </w:r>
      <w:r w:rsidRPr="00904FCB">
        <w:rPr>
          <w:rFonts w:ascii="Tahoma" w:hAnsi="Tahoma"/>
          <w:sz w:val="27"/>
          <w:rtl/>
          <w:lang w:bidi="fa-IR"/>
        </w:rPr>
        <w:t xml:space="preserve">ما نوافق </w:t>
      </w:r>
      <w:r w:rsidR="00281EEB" w:rsidRPr="00904FCB">
        <w:rPr>
          <w:rFonts w:ascii="Tahoma" w:hAnsi="Tahoma" w:hint="cs"/>
          <w:sz w:val="27"/>
          <w:rtl/>
          <w:lang w:bidi="fa-IR"/>
        </w:rPr>
        <w:t>إ</w:t>
      </w:r>
      <w:r w:rsidRPr="00904FCB">
        <w:rPr>
          <w:rFonts w:ascii="Tahoma" w:hAnsi="Tahoma"/>
          <w:sz w:val="27"/>
          <w:rtl/>
          <w:lang w:bidi="fa-IR"/>
        </w:rPr>
        <w:t>جماع أئم</w:t>
      </w:r>
      <w:r w:rsidR="00281EEB" w:rsidRPr="00904FCB">
        <w:rPr>
          <w:rFonts w:ascii="Tahoma" w:hAnsi="Tahoma" w:hint="cs"/>
          <w:sz w:val="27"/>
          <w:rtl/>
          <w:lang w:bidi="fa-IR"/>
        </w:rPr>
        <w:t>ّ</w:t>
      </w:r>
      <w:r w:rsidRPr="00904FCB">
        <w:rPr>
          <w:rFonts w:ascii="Tahoma" w:hAnsi="Tahoma"/>
          <w:sz w:val="27"/>
          <w:rtl/>
          <w:lang w:bidi="fa-IR"/>
        </w:rPr>
        <w:t>ة الفقه «على أن أحكام الله تعالى لا تخلو عن حكمة ومقصود»</w:t>
      </w:r>
      <w:r w:rsidR="00D6259F" w:rsidRPr="00904FCB">
        <w:rPr>
          <w:rFonts w:ascii="Tahoma" w:hAnsi="Tahoma" w:hint="cs"/>
          <w:sz w:val="27"/>
          <w:rtl/>
          <w:lang w:bidi="fa-IR"/>
        </w:rPr>
        <w:t>.</w:t>
      </w:r>
      <w:r w:rsidRPr="00904FCB">
        <w:rPr>
          <w:rFonts w:ascii="Tahoma" w:hAnsi="Tahoma"/>
          <w:sz w:val="27"/>
          <w:rtl/>
          <w:lang w:bidi="fa-IR"/>
        </w:rPr>
        <w:t xml:space="preserve"> ووضعوا ضوابط وقواعد يعتمدو</w:t>
      </w:r>
      <w:r w:rsidR="00D6259F" w:rsidRPr="00904FCB">
        <w:rPr>
          <w:rFonts w:ascii="Tahoma" w:hAnsi="Tahoma" w:hint="cs"/>
          <w:sz w:val="27"/>
          <w:rtl/>
          <w:lang w:bidi="fa-IR"/>
        </w:rPr>
        <w:t>ن</w:t>
      </w:r>
      <w:r w:rsidRPr="00904FCB">
        <w:rPr>
          <w:rFonts w:ascii="Tahoma" w:hAnsi="Tahoma"/>
          <w:sz w:val="27"/>
          <w:rtl/>
          <w:lang w:bidi="fa-IR"/>
        </w:rPr>
        <w:t>ها لوضع تلك العلل والمقاصد</w:t>
      </w:r>
      <w:r w:rsidR="00D6259F" w:rsidRPr="00904FCB">
        <w:rPr>
          <w:rFonts w:ascii="Tahoma" w:hAnsi="Tahoma" w:hint="cs"/>
          <w:sz w:val="27"/>
          <w:rtl/>
          <w:lang w:bidi="fa-IR"/>
        </w:rPr>
        <w:t>.</w:t>
      </w:r>
      <w:r w:rsidRPr="00904FCB">
        <w:rPr>
          <w:rFonts w:ascii="Tahoma" w:hAnsi="Tahoma"/>
          <w:sz w:val="27"/>
          <w:rtl/>
          <w:lang w:bidi="fa-IR"/>
        </w:rPr>
        <w:t>.. ولا نريد أن نتوس</w:t>
      </w:r>
      <w:r w:rsidR="00D6259F" w:rsidRPr="00904FCB">
        <w:rPr>
          <w:rFonts w:ascii="Tahoma" w:hAnsi="Tahoma" w:hint="cs"/>
          <w:sz w:val="27"/>
          <w:rtl/>
          <w:lang w:bidi="fa-IR"/>
        </w:rPr>
        <w:t>َّ</w:t>
      </w:r>
      <w:r w:rsidRPr="00904FCB">
        <w:rPr>
          <w:rFonts w:ascii="Tahoma" w:hAnsi="Tahoma"/>
          <w:sz w:val="27"/>
          <w:rtl/>
          <w:lang w:bidi="fa-IR"/>
        </w:rPr>
        <w:t>ع في أدل</w:t>
      </w:r>
      <w:r w:rsidR="00D6259F" w:rsidRPr="00904FCB">
        <w:rPr>
          <w:rFonts w:ascii="Tahoma" w:hAnsi="Tahoma" w:hint="cs"/>
          <w:sz w:val="27"/>
          <w:rtl/>
          <w:lang w:bidi="fa-IR"/>
        </w:rPr>
        <w:t>ّ</w:t>
      </w:r>
      <w:r w:rsidRPr="00904FCB">
        <w:rPr>
          <w:rFonts w:ascii="Tahoma" w:hAnsi="Tahoma"/>
          <w:sz w:val="27"/>
          <w:rtl/>
          <w:lang w:bidi="fa-IR"/>
        </w:rPr>
        <w:t>ة كل</w:t>
      </w:r>
      <w:r w:rsidR="00D6259F" w:rsidRPr="00904FCB">
        <w:rPr>
          <w:rFonts w:ascii="Tahoma" w:hAnsi="Tahoma" w:hint="cs"/>
          <w:sz w:val="27"/>
          <w:rtl/>
          <w:lang w:bidi="fa-IR"/>
        </w:rPr>
        <w:t>ّ</w:t>
      </w:r>
      <w:r w:rsidRPr="00904FCB">
        <w:rPr>
          <w:rFonts w:ascii="Tahoma" w:hAnsi="Tahoma"/>
          <w:sz w:val="27"/>
          <w:rtl/>
          <w:lang w:bidi="fa-IR"/>
        </w:rPr>
        <w:t xml:space="preserve"> فريق</w:t>
      </w:r>
      <w:r w:rsidR="00D6259F" w:rsidRPr="00904FCB">
        <w:rPr>
          <w:rFonts w:ascii="Tahoma" w:hAnsi="Tahoma" w:hint="cs"/>
          <w:sz w:val="27"/>
          <w:rtl/>
          <w:lang w:bidi="fa-IR"/>
        </w:rPr>
        <w:t>ٍ</w:t>
      </w:r>
      <w:r w:rsidRPr="00904FCB">
        <w:rPr>
          <w:rFonts w:ascii="Tahoma" w:hAnsi="Tahoma"/>
          <w:sz w:val="27"/>
          <w:rtl/>
          <w:lang w:bidi="fa-IR"/>
        </w:rPr>
        <w:t xml:space="preserve"> من هؤلاء</w:t>
      </w:r>
      <w:r w:rsidR="00D6259F" w:rsidRPr="00904FCB">
        <w:rPr>
          <w:rFonts w:ascii="Tahoma" w:hAnsi="Tahoma" w:hint="cs"/>
          <w:sz w:val="27"/>
          <w:rtl/>
          <w:lang w:bidi="fa-IR"/>
        </w:rPr>
        <w:t>؛</w:t>
      </w:r>
      <w:r w:rsidRPr="00904FCB">
        <w:rPr>
          <w:rFonts w:ascii="Tahoma" w:hAnsi="Tahoma"/>
          <w:sz w:val="27"/>
          <w:rtl/>
          <w:lang w:bidi="fa-IR"/>
        </w:rPr>
        <w:t xml:space="preserve"> فالبحث لا</w:t>
      </w:r>
      <w:r w:rsidR="00D6259F" w:rsidRPr="00904FCB">
        <w:rPr>
          <w:rFonts w:ascii="Tahoma" w:hAnsi="Tahoma" w:hint="cs"/>
          <w:sz w:val="27"/>
          <w:rtl/>
          <w:lang w:bidi="fa-IR"/>
        </w:rPr>
        <w:t xml:space="preserve"> </w:t>
      </w:r>
      <w:r w:rsidRPr="00904FCB">
        <w:rPr>
          <w:rFonts w:ascii="Tahoma" w:hAnsi="Tahoma"/>
          <w:sz w:val="27"/>
          <w:rtl/>
          <w:lang w:bidi="fa-IR"/>
        </w:rPr>
        <w:t>يت</w:t>
      </w:r>
      <w:r w:rsidR="00D6259F" w:rsidRPr="00904FCB">
        <w:rPr>
          <w:rFonts w:ascii="Tahoma" w:hAnsi="Tahoma" w:hint="cs"/>
          <w:sz w:val="27"/>
          <w:rtl/>
          <w:lang w:bidi="fa-IR"/>
        </w:rPr>
        <w:t>ّ</w:t>
      </w:r>
      <w:r w:rsidRPr="00904FCB">
        <w:rPr>
          <w:rFonts w:ascii="Tahoma" w:hAnsi="Tahoma"/>
          <w:sz w:val="27"/>
          <w:rtl/>
          <w:lang w:bidi="fa-IR"/>
        </w:rPr>
        <w:t>سع لذلك</w:t>
      </w:r>
      <w:r w:rsidR="00D6259F" w:rsidRPr="00904FCB">
        <w:rPr>
          <w:rFonts w:ascii="Tahoma" w:hAnsi="Tahoma" w:hint="cs"/>
          <w:sz w:val="27"/>
          <w:rtl/>
          <w:lang w:bidi="fa-IR"/>
        </w:rPr>
        <w:t>،</w:t>
      </w:r>
      <w:r w:rsidRPr="00904FCB">
        <w:rPr>
          <w:rFonts w:ascii="Tahoma" w:hAnsi="Tahoma"/>
          <w:sz w:val="27"/>
          <w:rtl/>
          <w:lang w:bidi="fa-IR"/>
        </w:rPr>
        <w:t xml:space="preserve"> ولكننا نريد أن نضع هذا الأمر ليكون علاقة</w:t>
      </w:r>
      <w:r w:rsidR="00D6259F" w:rsidRPr="00904FCB">
        <w:rPr>
          <w:rFonts w:ascii="Tahoma" w:hAnsi="Tahoma" w:hint="cs"/>
          <w:sz w:val="27"/>
          <w:rtl/>
          <w:lang w:bidi="fa-IR"/>
        </w:rPr>
        <w:t>ً</w:t>
      </w:r>
      <w:r w:rsidRPr="00904FCB">
        <w:rPr>
          <w:rFonts w:ascii="Tahoma" w:hAnsi="Tahoma"/>
          <w:sz w:val="27"/>
          <w:rtl/>
          <w:lang w:bidi="fa-IR"/>
        </w:rPr>
        <w:t xml:space="preserve"> رابطة بين الفقه الإسلامي والقانون الوضعي</w:t>
      </w:r>
      <w:r w:rsidR="00D6259F" w:rsidRPr="00904FCB">
        <w:rPr>
          <w:rFonts w:ascii="Tahoma" w:hAnsi="Tahoma" w:hint="cs"/>
          <w:sz w:val="27"/>
          <w:rtl/>
          <w:lang w:bidi="fa-IR"/>
        </w:rPr>
        <w:t>.</w:t>
      </w:r>
      <w:r w:rsidRPr="00904FCB">
        <w:rPr>
          <w:rFonts w:ascii="Tahoma" w:hAnsi="Tahoma"/>
          <w:sz w:val="27"/>
          <w:rtl/>
          <w:lang w:bidi="fa-IR"/>
        </w:rPr>
        <w:t xml:space="preserve"> فقد كان القاضي في مدرسة القضاء الإسلامية فقيها</w:t>
      </w:r>
      <w:r w:rsidR="00D6259F" w:rsidRPr="00904FCB">
        <w:rPr>
          <w:rFonts w:ascii="Tahoma" w:hAnsi="Tahoma" w:hint="cs"/>
          <w:sz w:val="27"/>
          <w:rtl/>
          <w:lang w:bidi="fa-IR"/>
        </w:rPr>
        <w:t>ً،</w:t>
      </w:r>
      <w:r w:rsidRPr="00904FCB">
        <w:rPr>
          <w:rFonts w:ascii="Tahoma" w:hAnsi="Tahoma"/>
          <w:sz w:val="27"/>
          <w:rtl/>
          <w:lang w:bidi="fa-IR"/>
        </w:rPr>
        <w:t xml:space="preserve"> ولا يمكن أن يكون قاضياً </w:t>
      </w:r>
      <w:r w:rsidR="00D6259F" w:rsidRPr="00904FCB">
        <w:rPr>
          <w:rFonts w:ascii="Tahoma" w:hAnsi="Tahoma" w:hint="cs"/>
          <w:sz w:val="27"/>
          <w:rtl/>
          <w:lang w:bidi="fa-IR"/>
        </w:rPr>
        <w:t>إ</w:t>
      </w:r>
      <w:r w:rsidRPr="00904FCB">
        <w:rPr>
          <w:rFonts w:ascii="Tahoma" w:hAnsi="Tahoma"/>
          <w:sz w:val="27"/>
          <w:rtl/>
          <w:lang w:bidi="fa-IR"/>
        </w:rPr>
        <w:t>لا</w:t>
      </w:r>
      <w:r w:rsidR="00D6259F" w:rsidRPr="00904FCB">
        <w:rPr>
          <w:rFonts w:ascii="Tahoma" w:hAnsi="Tahoma" w:hint="cs"/>
          <w:sz w:val="27"/>
          <w:rtl/>
          <w:lang w:bidi="fa-IR"/>
        </w:rPr>
        <w:t>ّ</w:t>
      </w:r>
      <w:r w:rsidRPr="00904FCB">
        <w:rPr>
          <w:rFonts w:ascii="Tahoma" w:hAnsi="Tahoma"/>
          <w:sz w:val="27"/>
          <w:rtl/>
          <w:lang w:bidi="fa-IR"/>
        </w:rPr>
        <w:t xml:space="preserve"> أن يكون فقيهاً</w:t>
      </w:r>
      <w:r w:rsidR="00D6259F" w:rsidRPr="00904FCB">
        <w:rPr>
          <w:rFonts w:ascii="Tahoma" w:hAnsi="Tahoma" w:hint="cs"/>
          <w:sz w:val="27"/>
          <w:rtl/>
          <w:lang w:bidi="fa-IR"/>
        </w:rPr>
        <w:t>.</w:t>
      </w:r>
      <w:r w:rsidRPr="00904FCB">
        <w:rPr>
          <w:rFonts w:ascii="Tahoma" w:hAnsi="Tahoma"/>
          <w:sz w:val="27"/>
          <w:rtl/>
          <w:lang w:bidi="fa-IR"/>
        </w:rPr>
        <w:t xml:space="preserve"> أما بعد عملية الفصل والتخص</w:t>
      </w:r>
      <w:r w:rsidR="00D6259F" w:rsidRPr="00904FCB">
        <w:rPr>
          <w:rFonts w:ascii="Tahoma" w:hAnsi="Tahoma" w:hint="cs"/>
          <w:sz w:val="27"/>
          <w:rtl/>
          <w:lang w:bidi="fa-IR"/>
        </w:rPr>
        <w:t>ُّ</w:t>
      </w:r>
      <w:r w:rsidRPr="00904FCB">
        <w:rPr>
          <w:rFonts w:ascii="Tahoma" w:hAnsi="Tahoma"/>
          <w:sz w:val="27"/>
          <w:rtl/>
          <w:lang w:bidi="fa-IR"/>
        </w:rPr>
        <w:t xml:space="preserve">ص الأضيق </w:t>
      </w:r>
      <w:r w:rsidR="00D6259F" w:rsidRPr="00904FCB">
        <w:rPr>
          <w:rFonts w:ascii="Tahoma" w:hAnsi="Tahoma" w:hint="cs"/>
          <w:sz w:val="27"/>
          <w:rtl/>
          <w:lang w:bidi="fa-IR"/>
        </w:rPr>
        <w:t>فقد ا</w:t>
      </w:r>
      <w:r w:rsidRPr="00904FCB">
        <w:rPr>
          <w:rFonts w:ascii="Tahoma" w:hAnsi="Tahoma"/>
          <w:sz w:val="27"/>
          <w:rtl/>
          <w:lang w:bidi="fa-IR"/>
        </w:rPr>
        <w:t>بتعد القاضي عن الفقه</w:t>
      </w:r>
      <w:r w:rsidR="00D6259F" w:rsidRPr="00904FCB">
        <w:rPr>
          <w:rFonts w:ascii="Tahoma" w:hAnsi="Tahoma" w:hint="cs"/>
          <w:sz w:val="27"/>
          <w:rtl/>
          <w:lang w:bidi="fa-IR"/>
        </w:rPr>
        <w:t>،</w:t>
      </w:r>
      <w:r w:rsidRPr="00904FCB">
        <w:rPr>
          <w:rFonts w:ascii="Tahoma" w:hAnsi="Tahoma"/>
          <w:sz w:val="27"/>
          <w:rtl/>
          <w:lang w:bidi="fa-IR"/>
        </w:rPr>
        <w:t xml:space="preserve"> واختلفت أدواته</w:t>
      </w:r>
      <w:r w:rsidR="00D6259F" w:rsidRPr="00904FCB">
        <w:rPr>
          <w:rFonts w:ascii="Tahoma" w:hAnsi="Tahoma" w:hint="cs"/>
          <w:sz w:val="27"/>
          <w:rtl/>
          <w:lang w:bidi="fa-IR"/>
        </w:rPr>
        <w:t>،</w:t>
      </w:r>
      <w:r w:rsidRPr="00904FCB">
        <w:rPr>
          <w:rFonts w:ascii="Tahoma" w:hAnsi="Tahoma"/>
          <w:sz w:val="27"/>
          <w:rtl/>
          <w:lang w:bidi="fa-IR"/>
        </w:rPr>
        <w:t xml:space="preserve"> وأصبح الفقيه </w:t>
      </w:r>
      <w:r w:rsidR="00D6259F" w:rsidRPr="00904FCB">
        <w:rPr>
          <w:rFonts w:ascii="Tahoma" w:hAnsi="Tahoma" w:hint="cs"/>
          <w:sz w:val="27"/>
          <w:rtl/>
          <w:lang w:bidi="fa-IR"/>
        </w:rPr>
        <w:t xml:space="preserve">مختلفاً عن </w:t>
      </w:r>
      <w:r w:rsidRPr="00904FCB">
        <w:rPr>
          <w:rFonts w:ascii="Tahoma" w:hAnsi="Tahoma"/>
          <w:sz w:val="27"/>
          <w:rtl/>
          <w:lang w:bidi="fa-IR"/>
        </w:rPr>
        <w:t>القانوني المعاصر أو القاضي المعاصر</w:t>
      </w:r>
      <w:r w:rsidR="00D6259F" w:rsidRPr="00904FCB">
        <w:rPr>
          <w:rFonts w:ascii="Tahoma" w:hAnsi="Tahoma" w:hint="cs"/>
          <w:sz w:val="27"/>
          <w:rtl/>
          <w:lang w:bidi="fa-IR"/>
        </w:rPr>
        <w:t>؛</w:t>
      </w:r>
      <w:r w:rsidRPr="00904FCB">
        <w:rPr>
          <w:rFonts w:ascii="Tahoma" w:hAnsi="Tahoma"/>
          <w:sz w:val="27"/>
          <w:rtl/>
          <w:lang w:bidi="fa-IR"/>
        </w:rPr>
        <w:t xml:space="preserve"> لأنه مكتشف القاعدة القانونية من نص</w:t>
      </w:r>
      <w:r w:rsidR="00D6259F" w:rsidRPr="00904FCB">
        <w:rPr>
          <w:rFonts w:ascii="Tahoma" w:hAnsi="Tahoma" w:hint="cs"/>
          <w:sz w:val="27"/>
          <w:rtl/>
          <w:lang w:bidi="fa-IR"/>
        </w:rPr>
        <w:t>ٍّ</w:t>
      </w:r>
      <w:r w:rsidRPr="00904FCB">
        <w:rPr>
          <w:rFonts w:ascii="Tahoma" w:hAnsi="Tahoma"/>
          <w:sz w:val="27"/>
          <w:rtl/>
          <w:lang w:bidi="fa-IR"/>
        </w:rPr>
        <w:t xml:space="preserve"> رفيع الأداء والمضمون، فعليه أن يتفو</w:t>
      </w:r>
      <w:r w:rsidR="00D6259F" w:rsidRPr="00904FCB">
        <w:rPr>
          <w:rFonts w:ascii="Tahoma" w:hAnsi="Tahoma" w:hint="cs"/>
          <w:sz w:val="27"/>
          <w:rtl/>
          <w:lang w:bidi="fa-IR"/>
        </w:rPr>
        <w:t>ّ</w:t>
      </w:r>
      <w:r w:rsidR="00D6259F" w:rsidRPr="00904FCB">
        <w:rPr>
          <w:rFonts w:ascii="Tahoma" w:hAnsi="Tahoma"/>
          <w:sz w:val="27"/>
          <w:rtl/>
          <w:lang w:bidi="fa-IR"/>
        </w:rPr>
        <w:t>ق في فقه المفردة المع</w:t>
      </w:r>
      <w:r w:rsidRPr="00904FCB">
        <w:rPr>
          <w:rFonts w:ascii="Tahoma" w:hAnsi="Tahoma"/>
          <w:sz w:val="27"/>
          <w:rtl/>
          <w:lang w:bidi="fa-IR"/>
        </w:rPr>
        <w:t>جمية، وفقه الجملة، وفقه الكتلة المعرفية (السياق بأنواعه</w:t>
      </w:r>
      <w:r w:rsidR="00D6259F" w:rsidRPr="00904FCB">
        <w:rPr>
          <w:rFonts w:ascii="Tahoma" w:hAnsi="Tahoma" w:hint="cs"/>
          <w:sz w:val="27"/>
          <w:rtl/>
          <w:lang w:bidi="fa-IR"/>
        </w:rPr>
        <w:t>:</w:t>
      </w:r>
      <w:r w:rsidRPr="00904FCB">
        <w:rPr>
          <w:rFonts w:ascii="Tahoma" w:hAnsi="Tahoma"/>
          <w:sz w:val="27"/>
          <w:rtl/>
          <w:lang w:bidi="fa-IR"/>
        </w:rPr>
        <w:t xml:space="preserve"> الأضيق والأوسط والأشمل)، وفقه الأداء البلاغي</w:t>
      </w:r>
      <w:r w:rsidR="00D6259F" w:rsidRPr="00904FCB">
        <w:rPr>
          <w:rFonts w:ascii="Tahoma" w:hAnsi="Tahoma" w:hint="cs"/>
          <w:sz w:val="27"/>
          <w:rtl/>
          <w:lang w:bidi="fa-IR"/>
        </w:rPr>
        <w:t>،</w:t>
      </w:r>
      <w:r w:rsidRPr="00904FCB">
        <w:rPr>
          <w:rFonts w:ascii="Tahoma" w:hAnsi="Tahoma"/>
          <w:sz w:val="27"/>
          <w:rtl/>
          <w:lang w:bidi="fa-IR"/>
        </w:rPr>
        <w:t xml:space="preserve"> وفقه الأبنية الصرفية، وتداعيات المعنى، ثم</w:t>
      </w:r>
      <w:r w:rsidR="00D6259F" w:rsidRPr="00904FCB">
        <w:rPr>
          <w:rFonts w:ascii="Tahoma" w:hAnsi="Tahoma" w:hint="cs"/>
          <w:sz w:val="27"/>
          <w:rtl/>
          <w:lang w:bidi="fa-IR"/>
        </w:rPr>
        <w:t>ّ</w:t>
      </w:r>
      <w:r w:rsidRPr="00904FCB">
        <w:rPr>
          <w:rFonts w:ascii="Tahoma" w:hAnsi="Tahoma"/>
          <w:sz w:val="27"/>
          <w:rtl/>
          <w:lang w:bidi="fa-IR"/>
        </w:rPr>
        <w:t xml:space="preserve"> فقه العلوم الأخرى المضيئة للنص</w:t>
      </w:r>
      <w:r w:rsidR="00D6259F" w:rsidRPr="00904FCB">
        <w:rPr>
          <w:rFonts w:ascii="Tahoma" w:hAnsi="Tahoma" w:hint="cs"/>
          <w:sz w:val="27"/>
          <w:rtl/>
          <w:lang w:bidi="fa-IR"/>
        </w:rPr>
        <w:t>ّ</w:t>
      </w:r>
      <w:r w:rsidRPr="00904FCB">
        <w:rPr>
          <w:rFonts w:ascii="Tahoma" w:hAnsi="Tahoma"/>
          <w:sz w:val="27"/>
          <w:rtl/>
          <w:lang w:bidi="fa-IR"/>
        </w:rPr>
        <w:t xml:space="preserve"> </w:t>
      </w:r>
      <w:r w:rsidR="007479E1" w:rsidRPr="00904FCB">
        <w:rPr>
          <w:rFonts w:ascii="Tahoma" w:hAnsi="Tahoma" w:hint="cs"/>
          <w:sz w:val="27"/>
          <w:rtl/>
          <w:lang w:bidi="fa-IR"/>
        </w:rPr>
        <w:t>(</w:t>
      </w:r>
      <w:r w:rsidRPr="00904FCB">
        <w:rPr>
          <w:rFonts w:ascii="Tahoma" w:hAnsi="Tahoma"/>
          <w:sz w:val="27"/>
          <w:rtl/>
          <w:lang w:bidi="fa-IR"/>
        </w:rPr>
        <w:t>مثل</w:t>
      </w:r>
      <w:r w:rsidR="00D6259F" w:rsidRPr="00904FCB">
        <w:rPr>
          <w:rFonts w:ascii="Tahoma" w:hAnsi="Tahoma" w:hint="cs"/>
          <w:sz w:val="27"/>
          <w:rtl/>
          <w:lang w:bidi="fa-IR"/>
        </w:rPr>
        <w:t>:</w:t>
      </w:r>
      <w:r w:rsidRPr="00904FCB">
        <w:rPr>
          <w:rFonts w:ascii="Tahoma" w:hAnsi="Tahoma"/>
          <w:sz w:val="27"/>
          <w:rtl/>
          <w:lang w:bidi="fa-IR"/>
        </w:rPr>
        <w:t xml:space="preserve"> المحكم والمتشابه وأسباب النزول، والبيان التفسيري من الحديث النبوي</w:t>
      </w:r>
      <w:r w:rsidR="00D6259F" w:rsidRPr="00904FCB">
        <w:rPr>
          <w:rFonts w:ascii="Tahoma" w:hAnsi="Tahoma" w:hint="cs"/>
          <w:sz w:val="27"/>
          <w:rtl/>
          <w:lang w:bidi="fa-IR"/>
        </w:rPr>
        <w:t>،</w:t>
      </w:r>
      <w:r w:rsidRPr="00904FCB">
        <w:rPr>
          <w:rFonts w:ascii="Tahoma" w:hAnsi="Tahoma"/>
          <w:sz w:val="27"/>
          <w:rtl/>
          <w:lang w:bidi="fa-IR"/>
        </w:rPr>
        <w:t xml:space="preserve"> وتراكم الآراء التفسيرية</w:t>
      </w:r>
      <w:r w:rsidR="007479E1" w:rsidRPr="00904FCB">
        <w:rPr>
          <w:rFonts w:ascii="Tahoma" w:hAnsi="Tahoma" w:hint="cs"/>
          <w:sz w:val="27"/>
          <w:rtl/>
          <w:lang w:bidi="fa-IR"/>
        </w:rPr>
        <w:t>)</w:t>
      </w:r>
      <w:r w:rsidRPr="00904FCB">
        <w:rPr>
          <w:rFonts w:ascii="Tahoma" w:hAnsi="Tahoma"/>
          <w:sz w:val="27"/>
          <w:rtl/>
          <w:lang w:bidi="fa-IR"/>
        </w:rPr>
        <w:t>. لذلك ف</w:t>
      </w:r>
      <w:r w:rsidR="00D6259F" w:rsidRPr="00904FCB">
        <w:rPr>
          <w:rFonts w:ascii="Tahoma" w:hAnsi="Tahoma" w:hint="cs"/>
          <w:sz w:val="27"/>
          <w:rtl/>
          <w:lang w:bidi="fa-IR"/>
        </w:rPr>
        <w:t>إ</w:t>
      </w:r>
      <w:r w:rsidRPr="00904FCB">
        <w:rPr>
          <w:rFonts w:ascii="Tahoma" w:hAnsi="Tahoma"/>
          <w:sz w:val="27"/>
          <w:rtl/>
          <w:lang w:bidi="fa-IR"/>
        </w:rPr>
        <w:t>ن الفقيه ينطلق من نص</w:t>
      </w:r>
      <w:r w:rsidR="00D6259F" w:rsidRPr="00904FCB">
        <w:rPr>
          <w:rFonts w:ascii="Tahoma" w:hAnsi="Tahoma" w:hint="cs"/>
          <w:sz w:val="27"/>
          <w:rtl/>
          <w:lang w:bidi="fa-IR"/>
        </w:rPr>
        <w:t>ٍّ</w:t>
      </w:r>
      <w:r w:rsidRPr="00904FCB">
        <w:rPr>
          <w:rFonts w:ascii="Tahoma" w:hAnsi="Tahoma"/>
          <w:sz w:val="27"/>
          <w:rtl/>
          <w:lang w:bidi="fa-IR"/>
        </w:rPr>
        <w:t xml:space="preserve"> استنطقه بأدواته</w:t>
      </w:r>
      <w:r w:rsidR="00D6259F" w:rsidRPr="00904FCB">
        <w:rPr>
          <w:rFonts w:ascii="Tahoma" w:hAnsi="Tahoma" w:hint="cs"/>
          <w:sz w:val="27"/>
          <w:rtl/>
          <w:lang w:bidi="fa-IR"/>
        </w:rPr>
        <w:t>،</w:t>
      </w:r>
      <w:r w:rsidRPr="00904FCB">
        <w:rPr>
          <w:rFonts w:ascii="Tahoma" w:hAnsi="Tahoma"/>
          <w:sz w:val="27"/>
          <w:rtl/>
          <w:lang w:bidi="fa-IR"/>
        </w:rPr>
        <w:t xml:space="preserve"> واستخرج مكنوناته، وأعطى نتائجه. </w:t>
      </w:r>
    </w:p>
    <w:p w:rsidR="00644408" w:rsidRPr="00904FCB" w:rsidRDefault="00644408" w:rsidP="0057607C">
      <w:pPr>
        <w:autoSpaceDE w:val="0"/>
        <w:autoSpaceDN w:val="0"/>
        <w:adjustRightInd w:val="0"/>
        <w:spacing w:line="400" w:lineRule="exact"/>
        <w:rPr>
          <w:rFonts w:ascii="Tahoma" w:hAnsi="Tahoma"/>
          <w:sz w:val="27"/>
          <w:lang w:bidi="fa-IR"/>
        </w:rPr>
      </w:pPr>
      <w:r w:rsidRPr="00904FCB">
        <w:rPr>
          <w:rFonts w:hint="eastAsia"/>
          <w:sz w:val="27"/>
          <w:rtl/>
        </w:rPr>
        <w:lastRenderedPageBreak/>
        <w:t>«</w:t>
      </w:r>
      <w:r w:rsidRPr="00904FCB">
        <w:rPr>
          <w:rFonts w:ascii="Tahoma" w:hAnsi="Tahoma"/>
          <w:sz w:val="27"/>
          <w:rtl/>
          <w:lang w:bidi="fa-IR"/>
        </w:rPr>
        <w:t xml:space="preserve">بينما القانوني المعاصر </w:t>
      </w:r>
      <w:r w:rsidR="007479E1" w:rsidRPr="00904FCB">
        <w:rPr>
          <w:rFonts w:ascii="Tahoma" w:hAnsi="Tahoma" w:hint="cs"/>
          <w:sz w:val="27"/>
          <w:rtl/>
          <w:lang w:bidi="fa-IR"/>
        </w:rPr>
        <w:t>إ</w:t>
      </w:r>
      <w:r w:rsidRPr="00904FCB">
        <w:rPr>
          <w:rFonts w:ascii="Tahoma" w:hAnsi="Tahoma"/>
          <w:sz w:val="27"/>
          <w:rtl/>
          <w:lang w:bidi="fa-IR"/>
        </w:rPr>
        <w:t>ذا ط</w:t>
      </w:r>
      <w:r w:rsidR="007479E1" w:rsidRPr="00904FCB">
        <w:rPr>
          <w:rFonts w:ascii="Tahoma" w:hAnsi="Tahoma" w:hint="cs"/>
          <w:sz w:val="27"/>
          <w:rtl/>
          <w:lang w:bidi="fa-IR"/>
        </w:rPr>
        <w:t>ُ</w:t>
      </w:r>
      <w:r w:rsidRPr="00904FCB">
        <w:rPr>
          <w:rFonts w:ascii="Tahoma" w:hAnsi="Tahoma"/>
          <w:sz w:val="27"/>
          <w:rtl/>
          <w:lang w:bidi="fa-IR"/>
        </w:rPr>
        <w:t>لِب منه وضع القاعدة الآمرة ف</w:t>
      </w:r>
      <w:r w:rsidR="007479E1" w:rsidRPr="00904FCB">
        <w:rPr>
          <w:rFonts w:ascii="Tahoma" w:hAnsi="Tahoma" w:hint="cs"/>
          <w:sz w:val="27"/>
          <w:rtl/>
          <w:lang w:bidi="fa-IR"/>
        </w:rPr>
        <w:t>إ</w:t>
      </w:r>
      <w:r w:rsidRPr="00904FCB">
        <w:rPr>
          <w:rFonts w:ascii="Tahoma" w:hAnsi="Tahoma"/>
          <w:sz w:val="27"/>
          <w:rtl/>
          <w:lang w:bidi="fa-IR"/>
        </w:rPr>
        <w:t>نه يلجأ إلى الأعراف وتجارب المجتمعات</w:t>
      </w:r>
      <w:r w:rsidR="007479E1" w:rsidRPr="00904FCB">
        <w:rPr>
          <w:rFonts w:ascii="Tahoma" w:hAnsi="Tahoma" w:hint="cs"/>
          <w:sz w:val="27"/>
          <w:rtl/>
          <w:lang w:bidi="fa-IR"/>
        </w:rPr>
        <w:t>؛</w:t>
      </w:r>
      <w:r w:rsidRPr="00904FCB">
        <w:rPr>
          <w:rFonts w:ascii="Tahoma" w:hAnsi="Tahoma"/>
          <w:sz w:val="27"/>
          <w:rtl/>
          <w:lang w:bidi="fa-IR"/>
        </w:rPr>
        <w:t xml:space="preserve"> ليضع القاعدة</w:t>
      </w:r>
      <w:r w:rsidR="007479E1" w:rsidRPr="00904FCB">
        <w:rPr>
          <w:rFonts w:ascii="Tahoma" w:hAnsi="Tahoma" w:hint="cs"/>
          <w:sz w:val="27"/>
          <w:rtl/>
          <w:lang w:bidi="fa-IR"/>
        </w:rPr>
        <w:t>،</w:t>
      </w:r>
      <w:r w:rsidRPr="00904FCB">
        <w:rPr>
          <w:rFonts w:ascii="Tahoma" w:hAnsi="Tahoma"/>
          <w:sz w:val="27"/>
          <w:rtl/>
          <w:lang w:bidi="fa-IR"/>
        </w:rPr>
        <w:t xml:space="preserve"> فلا يحتاج </w:t>
      </w:r>
      <w:r w:rsidR="007479E1" w:rsidRPr="00904FCB">
        <w:rPr>
          <w:rFonts w:ascii="Tahoma" w:hAnsi="Tahoma" w:hint="cs"/>
          <w:sz w:val="27"/>
          <w:rtl/>
          <w:lang w:bidi="fa-IR"/>
        </w:rPr>
        <w:t>إلاّ</w:t>
      </w:r>
      <w:r w:rsidRPr="00904FCB">
        <w:rPr>
          <w:rFonts w:ascii="Tahoma" w:hAnsi="Tahoma"/>
          <w:sz w:val="27"/>
          <w:rtl/>
          <w:lang w:bidi="fa-IR"/>
        </w:rPr>
        <w:t xml:space="preserve"> </w:t>
      </w:r>
      <w:r w:rsidR="007479E1" w:rsidRPr="00904FCB">
        <w:rPr>
          <w:rFonts w:ascii="Tahoma" w:hAnsi="Tahoma" w:hint="cs"/>
          <w:sz w:val="27"/>
          <w:rtl/>
          <w:lang w:bidi="fa-IR"/>
        </w:rPr>
        <w:t>أ</w:t>
      </w:r>
      <w:r w:rsidRPr="00904FCB">
        <w:rPr>
          <w:rFonts w:ascii="Tahoma" w:hAnsi="Tahoma"/>
          <w:sz w:val="27"/>
          <w:rtl/>
          <w:lang w:bidi="fa-IR"/>
        </w:rPr>
        <w:t>قل</w:t>
      </w:r>
      <w:r w:rsidR="007479E1" w:rsidRPr="00904FCB">
        <w:rPr>
          <w:rFonts w:ascii="Tahoma" w:hAnsi="Tahoma" w:hint="cs"/>
          <w:sz w:val="27"/>
          <w:rtl/>
          <w:lang w:bidi="fa-IR"/>
        </w:rPr>
        <w:t>ّ</w:t>
      </w:r>
      <w:r w:rsidRPr="00904FCB">
        <w:rPr>
          <w:rFonts w:ascii="Tahoma" w:hAnsi="Tahoma"/>
          <w:sz w:val="27"/>
          <w:rtl/>
          <w:lang w:bidi="fa-IR"/>
        </w:rPr>
        <w:t xml:space="preserve"> ق</w:t>
      </w:r>
      <w:r w:rsidR="007479E1" w:rsidRPr="00904FCB">
        <w:rPr>
          <w:rFonts w:ascii="Tahoma" w:hAnsi="Tahoma" w:hint="cs"/>
          <w:sz w:val="27"/>
          <w:rtl/>
          <w:lang w:bidi="fa-IR"/>
        </w:rPr>
        <w:t>َ</w:t>
      </w:r>
      <w:r w:rsidRPr="00904FCB">
        <w:rPr>
          <w:rFonts w:ascii="Tahoma" w:hAnsi="Tahoma"/>
          <w:sz w:val="27"/>
          <w:rtl/>
          <w:lang w:bidi="fa-IR"/>
        </w:rPr>
        <w:t>د</w:t>
      </w:r>
      <w:r w:rsidR="007479E1" w:rsidRPr="00904FCB">
        <w:rPr>
          <w:rFonts w:ascii="Tahoma" w:hAnsi="Tahoma" w:hint="cs"/>
          <w:sz w:val="27"/>
          <w:rtl/>
          <w:lang w:bidi="fa-IR"/>
        </w:rPr>
        <w:t>ْ</w:t>
      </w:r>
      <w:r w:rsidRPr="00904FCB">
        <w:rPr>
          <w:rFonts w:ascii="Tahoma" w:hAnsi="Tahoma"/>
          <w:sz w:val="27"/>
          <w:rtl/>
          <w:lang w:bidi="fa-IR"/>
        </w:rPr>
        <w:t>ر</w:t>
      </w:r>
      <w:r w:rsidR="007479E1" w:rsidRPr="00904FCB">
        <w:rPr>
          <w:rFonts w:ascii="Tahoma" w:hAnsi="Tahoma" w:hint="cs"/>
          <w:sz w:val="27"/>
          <w:rtl/>
          <w:lang w:bidi="fa-IR"/>
        </w:rPr>
        <w:t>ٍ</w:t>
      </w:r>
      <w:r w:rsidRPr="00904FCB">
        <w:rPr>
          <w:rFonts w:ascii="Tahoma" w:hAnsi="Tahoma"/>
          <w:sz w:val="27"/>
          <w:rtl/>
          <w:lang w:bidi="fa-IR"/>
        </w:rPr>
        <w:t xml:space="preserve"> من آلي</w:t>
      </w:r>
      <w:r w:rsidR="007479E1" w:rsidRPr="00904FCB">
        <w:rPr>
          <w:rFonts w:ascii="Tahoma" w:hAnsi="Tahoma" w:hint="cs"/>
          <w:sz w:val="27"/>
          <w:rtl/>
          <w:lang w:bidi="fa-IR"/>
        </w:rPr>
        <w:t>ّ</w:t>
      </w:r>
      <w:r w:rsidRPr="00904FCB">
        <w:rPr>
          <w:rFonts w:ascii="Tahoma" w:hAnsi="Tahoma"/>
          <w:sz w:val="27"/>
          <w:rtl/>
          <w:lang w:bidi="fa-IR"/>
        </w:rPr>
        <w:t>ات تحليل النص</w:t>
      </w:r>
      <w:r w:rsidR="007479E1" w:rsidRPr="00904FCB">
        <w:rPr>
          <w:rFonts w:ascii="Tahoma" w:hAnsi="Tahoma" w:hint="cs"/>
          <w:sz w:val="27"/>
          <w:rtl/>
          <w:lang w:bidi="fa-IR"/>
        </w:rPr>
        <w:t>ّ؛</w:t>
      </w:r>
      <w:r w:rsidRPr="00904FCB">
        <w:rPr>
          <w:rFonts w:ascii="Tahoma" w:hAnsi="Tahoma"/>
          <w:sz w:val="27"/>
          <w:rtl/>
          <w:lang w:bidi="fa-IR"/>
        </w:rPr>
        <w:t xml:space="preserve"> لتفسير ما وضع له من قواعد آمر</w:t>
      </w:r>
      <w:r w:rsidR="007479E1" w:rsidRPr="00904FCB">
        <w:rPr>
          <w:rFonts w:ascii="Tahoma" w:hAnsi="Tahoma" w:hint="cs"/>
          <w:sz w:val="27"/>
          <w:rtl/>
          <w:lang w:bidi="fa-IR"/>
        </w:rPr>
        <w:t>ة</w:t>
      </w:r>
      <w:r w:rsidRPr="00904FCB">
        <w:rPr>
          <w:rFonts w:ascii="Tahoma" w:hAnsi="Tahoma"/>
          <w:sz w:val="27"/>
          <w:rtl/>
          <w:lang w:bidi="fa-IR"/>
        </w:rPr>
        <w:t>»</w:t>
      </w:r>
      <w:r w:rsidR="007479E1" w:rsidRPr="00904FCB">
        <w:rPr>
          <w:rFonts w:ascii="Tahoma" w:hAnsi="Tahoma" w:hint="cs"/>
          <w:sz w:val="27"/>
          <w:rtl/>
          <w:lang w:bidi="fa-IR"/>
        </w:rPr>
        <w:t>؛</w:t>
      </w:r>
      <w:r w:rsidRPr="00904FCB">
        <w:rPr>
          <w:rFonts w:ascii="Tahoma" w:hAnsi="Tahoma"/>
          <w:sz w:val="27"/>
          <w:rtl/>
          <w:lang w:bidi="fa-IR"/>
        </w:rPr>
        <w:t xml:space="preserve"> ل</w:t>
      </w:r>
      <w:r w:rsidR="0057607C">
        <w:rPr>
          <w:rFonts w:ascii="Tahoma" w:hAnsi="Tahoma" w:hint="cs"/>
          <w:sz w:val="27"/>
          <w:rtl/>
          <w:lang w:bidi="fa-IR"/>
        </w:rPr>
        <w:t>أ</w:t>
      </w:r>
      <w:r w:rsidRPr="00904FCB">
        <w:rPr>
          <w:rFonts w:ascii="Tahoma" w:hAnsi="Tahoma"/>
          <w:sz w:val="27"/>
          <w:rtl/>
          <w:lang w:bidi="fa-IR"/>
        </w:rPr>
        <w:t>ن</w:t>
      </w:r>
      <w:r w:rsidR="0057607C">
        <w:rPr>
          <w:rFonts w:ascii="Tahoma" w:hAnsi="Tahoma" w:hint="cs"/>
          <w:sz w:val="27"/>
          <w:rtl/>
          <w:lang w:bidi="fa-IR"/>
        </w:rPr>
        <w:t>ّ</w:t>
      </w:r>
      <w:r w:rsidRPr="00904FCB">
        <w:rPr>
          <w:rFonts w:ascii="Tahoma" w:hAnsi="Tahoma"/>
          <w:sz w:val="27"/>
          <w:rtl/>
          <w:lang w:bidi="fa-IR"/>
        </w:rPr>
        <w:t xml:space="preserve"> القانوني المعاصر يتعامل مع الواقع المعاش في حاضره</w:t>
      </w:r>
      <w:r w:rsidR="007479E1" w:rsidRPr="00904FCB">
        <w:rPr>
          <w:rFonts w:ascii="Tahoma" w:hAnsi="Tahoma" w:hint="cs"/>
          <w:sz w:val="27"/>
          <w:rtl/>
          <w:lang w:bidi="fa-IR"/>
        </w:rPr>
        <w:t>،</w:t>
      </w:r>
      <w:r w:rsidRPr="00904FCB">
        <w:rPr>
          <w:rFonts w:ascii="Tahoma" w:hAnsi="Tahoma"/>
          <w:sz w:val="27"/>
          <w:rtl/>
          <w:lang w:bidi="fa-IR"/>
        </w:rPr>
        <w:t xml:space="preserve"> ناظراً إلى مخل</w:t>
      </w:r>
      <w:r w:rsidR="007479E1" w:rsidRPr="00904FCB">
        <w:rPr>
          <w:rFonts w:ascii="Tahoma" w:hAnsi="Tahoma" w:hint="cs"/>
          <w:sz w:val="27"/>
          <w:rtl/>
          <w:lang w:bidi="fa-IR"/>
        </w:rPr>
        <w:t>َّ</w:t>
      </w:r>
      <w:r w:rsidRPr="00904FCB">
        <w:rPr>
          <w:rFonts w:ascii="Tahoma" w:hAnsi="Tahoma"/>
          <w:sz w:val="27"/>
          <w:rtl/>
          <w:lang w:bidi="fa-IR"/>
        </w:rPr>
        <w:t>فات ماضيه القريب</w:t>
      </w:r>
      <w:r w:rsidR="007479E1" w:rsidRPr="00904FCB">
        <w:rPr>
          <w:rFonts w:ascii="Tahoma" w:hAnsi="Tahoma" w:hint="cs"/>
          <w:sz w:val="27"/>
          <w:rtl/>
          <w:lang w:bidi="fa-IR"/>
        </w:rPr>
        <w:t>،</w:t>
      </w:r>
      <w:r w:rsidRPr="00904FCB">
        <w:rPr>
          <w:rFonts w:ascii="Tahoma" w:hAnsi="Tahoma"/>
          <w:sz w:val="27"/>
          <w:rtl/>
          <w:lang w:bidi="fa-IR"/>
        </w:rPr>
        <w:t xml:space="preserve"> دون أن ينظر إلى مستحدثات المستقبل </w:t>
      </w:r>
      <w:r w:rsidR="007479E1" w:rsidRPr="00904FCB">
        <w:rPr>
          <w:rFonts w:ascii="Tahoma" w:hAnsi="Tahoma" w:hint="cs"/>
          <w:sz w:val="27"/>
          <w:rtl/>
          <w:lang w:bidi="fa-IR"/>
        </w:rPr>
        <w:t xml:space="preserve">إلاّ </w:t>
      </w:r>
      <w:r w:rsidR="007479E1" w:rsidRPr="00904FCB">
        <w:rPr>
          <w:rFonts w:ascii="Tahoma" w:hAnsi="Tahoma"/>
          <w:sz w:val="27"/>
          <w:rtl/>
          <w:lang w:bidi="fa-IR"/>
        </w:rPr>
        <w:t>من</w:t>
      </w:r>
      <w:r w:rsidRPr="00904FCB">
        <w:rPr>
          <w:rFonts w:ascii="Tahoma" w:hAnsi="Tahoma"/>
          <w:sz w:val="27"/>
          <w:rtl/>
          <w:lang w:bidi="fa-IR"/>
        </w:rPr>
        <w:t xml:space="preserve"> باب الظن</w:t>
      </w:r>
      <w:r w:rsidR="007479E1" w:rsidRPr="00904FCB">
        <w:rPr>
          <w:rFonts w:ascii="Tahoma" w:hAnsi="Tahoma" w:hint="cs"/>
          <w:sz w:val="27"/>
          <w:rtl/>
          <w:lang w:bidi="fa-IR"/>
        </w:rPr>
        <w:t>ّ</w:t>
      </w:r>
      <w:r w:rsidRPr="00904FCB">
        <w:rPr>
          <w:rFonts w:ascii="Tahoma" w:hAnsi="Tahoma"/>
          <w:sz w:val="27"/>
          <w:rtl/>
          <w:lang w:bidi="fa-IR"/>
        </w:rPr>
        <w:t xml:space="preserve"> أو الفرضيات</w:t>
      </w:r>
      <w:r w:rsidR="007479E1" w:rsidRPr="00904FCB">
        <w:rPr>
          <w:rFonts w:ascii="Tahoma" w:hAnsi="Tahoma" w:hint="cs"/>
          <w:sz w:val="27"/>
          <w:rtl/>
          <w:lang w:bidi="fa-IR"/>
        </w:rPr>
        <w:t>.</w:t>
      </w:r>
      <w:r w:rsidRPr="00904FCB">
        <w:rPr>
          <w:rFonts w:ascii="Tahoma" w:hAnsi="Tahoma"/>
          <w:sz w:val="27"/>
          <w:rtl/>
          <w:lang w:bidi="fa-IR"/>
        </w:rPr>
        <w:t xml:space="preserve"> ثم</w:t>
      </w:r>
      <w:r w:rsidR="007479E1" w:rsidRPr="00904FCB">
        <w:rPr>
          <w:rFonts w:ascii="Tahoma" w:hAnsi="Tahoma" w:hint="cs"/>
          <w:sz w:val="27"/>
          <w:rtl/>
          <w:lang w:bidi="fa-IR"/>
        </w:rPr>
        <w:t>ّ</w:t>
      </w:r>
      <w:r w:rsidRPr="00904FCB">
        <w:rPr>
          <w:rFonts w:ascii="Tahoma" w:hAnsi="Tahoma"/>
          <w:sz w:val="27"/>
          <w:rtl/>
          <w:lang w:bidi="fa-IR"/>
        </w:rPr>
        <w:t xml:space="preserve"> </w:t>
      </w:r>
      <w:r w:rsidR="007479E1" w:rsidRPr="00904FCB">
        <w:rPr>
          <w:rFonts w:ascii="Tahoma" w:hAnsi="Tahoma" w:hint="cs"/>
          <w:sz w:val="27"/>
          <w:rtl/>
          <w:lang w:bidi="fa-IR"/>
        </w:rPr>
        <w:t>إ</w:t>
      </w:r>
      <w:r w:rsidRPr="00904FCB">
        <w:rPr>
          <w:rFonts w:ascii="Tahoma" w:hAnsi="Tahoma"/>
          <w:sz w:val="27"/>
          <w:rtl/>
          <w:lang w:bidi="fa-IR"/>
        </w:rPr>
        <w:t>نه يتعامل مع نص</w:t>
      </w:r>
      <w:r w:rsidR="007479E1" w:rsidRPr="00904FCB">
        <w:rPr>
          <w:rFonts w:ascii="Tahoma" w:hAnsi="Tahoma" w:hint="cs"/>
          <w:sz w:val="27"/>
          <w:rtl/>
          <w:lang w:bidi="fa-IR"/>
        </w:rPr>
        <w:t>ٍّ</w:t>
      </w:r>
      <w:r w:rsidRPr="00904FCB">
        <w:rPr>
          <w:rFonts w:ascii="Tahoma" w:hAnsi="Tahoma"/>
          <w:sz w:val="27"/>
          <w:rtl/>
          <w:lang w:bidi="fa-IR"/>
        </w:rPr>
        <w:t xml:space="preserve"> متساوٍ مع طاقته البشرية</w:t>
      </w:r>
      <w:r w:rsidR="007479E1" w:rsidRPr="00904FCB">
        <w:rPr>
          <w:rFonts w:ascii="Tahoma" w:hAnsi="Tahoma" w:hint="cs"/>
          <w:sz w:val="27"/>
          <w:rtl/>
          <w:lang w:bidi="fa-IR"/>
        </w:rPr>
        <w:t>،</w:t>
      </w:r>
      <w:r w:rsidRPr="00904FCB">
        <w:rPr>
          <w:rFonts w:ascii="Tahoma" w:hAnsi="Tahoma"/>
          <w:sz w:val="27"/>
          <w:rtl/>
          <w:lang w:bidi="fa-IR"/>
        </w:rPr>
        <w:t xml:space="preserve"> أو ربما </w:t>
      </w:r>
      <w:r w:rsidR="007479E1" w:rsidRPr="00904FCB">
        <w:rPr>
          <w:rFonts w:ascii="Tahoma" w:hAnsi="Tahoma" w:hint="cs"/>
          <w:sz w:val="27"/>
          <w:rtl/>
          <w:lang w:bidi="fa-IR"/>
        </w:rPr>
        <w:t>أ</w:t>
      </w:r>
      <w:r w:rsidRPr="00904FCB">
        <w:rPr>
          <w:rFonts w:ascii="Tahoma" w:hAnsi="Tahoma"/>
          <w:sz w:val="27"/>
          <w:rtl/>
          <w:lang w:bidi="fa-IR"/>
        </w:rPr>
        <w:t>قل</w:t>
      </w:r>
      <w:r w:rsidR="007479E1" w:rsidRPr="00904FCB">
        <w:rPr>
          <w:rFonts w:ascii="Tahoma" w:hAnsi="Tahoma" w:hint="cs"/>
          <w:sz w:val="27"/>
          <w:rtl/>
          <w:lang w:bidi="fa-IR"/>
        </w:rPr>
        <w:t>ّ</w:t>
      </w:r>
      <w:r w:rsidRPr="00904FCB">
        <w:rPr>
          <w:rFonts w:ascii="Tahoma" w:hAnsi="Tahoma"/>
          <w:sz w:val="27"/>
          <w:rtl/>
          <w:lang w:bidi="fa-IR"/>
        </w:rPr>
        <w:t xml:space="preserve"> من طاقته</w:t>
      </w:r>
      <w:r w:rsidR="007479E1" w:rsidRPr="00904FCB">
        <w:rPr>
          <w:rFonts w:ascii="Tahoma" w:hAnsi="Tahoma" w:hint="cs"/>
          <w:sz w:val="27"/>
          <w:rtl/>
          <w:lang w:bidi="fa-IR"/>
        </w:rPr>
        <w:t>؛</w:t>
      </w:r>
      <w:r w:rsidR="007479E1" w:rsidRPr="00904FCB">
        <w:rPr>
          <w:rFonts w:ascii="Tahoma" w:hAnsi="Tahoma"/>
          <w:sz w:val="27"/>
          <w:rtl/>
          <w:lang w:bidi="fa-IR"/>
        </w:rPr>
        <w:t xml:space="preserve"> كونه صادراً من بشر مثله</w:t>
      </w:r>
      <w:r w:rsidRPr="00904FCB">
        <w:rPr>
          <w:rFonts w:ascii="Tahoma" w:hAnsi="Tahoma"/>
          <w:sz w:val="27"/>
          <w:rtl/>
          <w:lang w:bidi="fa-IR"/>
        </w:rPr>
        <w:t>، لكن</w:t>
      </w:r>
      <w:r w:rsidR="007479E1" w:rsidRPr="00904FCB">
        <w:rPr>
          <w:rFonts w:ascii="Tahoma" w:hAnsi="Tahoma" w:hint="cs"/>
          <w:sz w:val="27"/>
          <w:rtl/>
          <w:lang w:bidi="fa-IR"/>
        </w:rPr>
        <w:t>ّ</w:t>
      </w:r>
      <w:r w:rsidRPr="00904FCB">
        <w:rPr>
          <w:rFonts w:ascii="Tahoma" w:hAnsi="Tahoma"/>
          <w:sz w:val="27"/>
          <w:rtl/>
          <w:lang w:bidi="fa-IR"/>
        </w:rPr>
        <w:t xml:space="preserve"> الفقيه ي</w:t>
      </w:r>
      <w:r w:rsidR="007479E1" w:rsidRPr="00904FCB">
        <w:rPr>
          <w:rFonts w:ascii="Tahoma" w:hAnsi="Tahoma"/>
          <w:sz w:val="27"/>
          <w:rtl/>
          <w:lang w:bidi="fa-IR"/>
        </w:rPr>
        <w:t>تعامل مع الواقع المعاش في حاضره</w:t>
      </w:r>
      <w:r w:rsidR="007479E1" w:rsidRPr="00904FCB">
        <w:rPr>
          <w:rFonts w:ascii="Tahoma" w:hAnsi="Tahoma" w:hint="cs"/>
          <w:sz w:val="27"/>
          <w:rtl/>
          <w:lang w:bidi="fa-IR"/>
        </w:rPr>
        <w:t>،</w:t>
      </w:r>
      <w:r w:rsidRPr="00904FCB">
        <w:rPr>
          <w:rFonts w:ascii="Tahoma" w:hAnsi="Tahoma"/>
          <w:sz w:val="27"/>
          <w:rtl/>
          <w:lang w:bidi="fa-IR"/>
        </w:rPr>
        <w:t xml:space="preserve"> مستعيناً بمخل</w:t>
      </w:r>
      <w:r w:rsidR="007479E1" w:rsidRPr="00904FCB">
        <w:rPr>
          <w:rFonts w:ascii="Tahoma" w:hAnsi="Tahoma" w:hint="cs"/>
          <w:sz w:val="27"/>
          <w:rtl/>
          <w:lang w:bidi="fa-IR"/>
        </w:rPr>
        <w:t>َّ</w:t>
      </w:r>
      <w:r w:rsidRPr="00904FCB">
        <w:rPr>
          <w:rFonts w:ascii="Tahoma" w:hAnsi="Tahoma"/>
          <w:sz w:val="27"/>
          <w:rtl/>
          <w:lang w:bidi="fa-IR"/>
        </w:rPr>
        <w:t>فات الفقهاء الذين سبقوه</w:t>
      </w:r>
      <w:r w:rsidR="007479E1" w:rsidRPr="00904FCB">
        <w:rPr>
          <w:rFonts w:ascii="Tahoma" w:hAnsi="Tahoma" w:hint="cs"/>
          <w:sz w:val="27"/>
          <w:rtl/>
          <w:lang w:bidi="fa-IR"/>
        </w:rPr>
        <w:t>،</w:t>
      </w:r>
      <w:r w:rsidRPr="00904FCB">
        <w:rPr>
          <w:rFonts w:ascii="Tahoma" w:hAnsi="Tahoma"/>
          <w:sz w:val="27"/>
          <w:rtl/>
          <w:lang w:bidi="fa-IR"/>
        </w:rPr>
        <w:t xml:space="preserve"> باحثا</w:t>
      </w:r>
      <w:r w:rsidR="007479E1" w:rsidRPr="00904FCB">
        <w:rPr>
          <w:rFonts w:ascii="Tahoma" w:hAnsi="Tahoma" w:hint="cs"/>
          <w:sz w:val="27"/>
          <w:rtl/>
          <w:lang w:bidi="fa-IR"/>
        </w:rPr>
        <w:t>ً</w:t>
      </w:r>
      <w:r w:rsidRPr="00904FCB">
        <w:rPr>
          <w:rFonts w:ascii="Tahoma" w:hAnsi="Tahoma"/>
          <w:sz w:val="27"/>
          <w:rtl/>
          <w:lang w:bidi="fa-IR"/>
        </w:rPr>
        <w:t xml:space="preserve"> في دق</w:t>
      </w:r>
      <w:r w:rsidR="007479E1" w:rsidRPr="00904FCB">
        <w:rPr>
          <w:rFonts w:ascii="Tahoma" w:hAnsi="Tahoma" w:hint="cs"/>
          <w:sz w:val="27"/>
          <w:rtl/>
          <w:lang w:bidi="fa-IR"/>
        </w:rPr>
        <w:t>ّ</w:t>
      </w:r>
      <w:r w:rsidRPr="00904FCB">
        <w:rPr>
          <w:rFonts w:ascii="Tahoma" w:hAnsi="Tahoma"/>
          <w:sz w:val="27"/>
          <w:rtl/>
          <w:lang w:bidi="fa-IR"/>
        </w:rPr>
        <w:t>ة أدلتهم، ناظراً إلى المستقبل بعين المُط</w:t>
      </w:r>
      <w:r w:rsidR="007479E1" w:rsidRPr="00904FCB">
        <w:rPr>
          <w:rFonts w:ascii="Tahoma" w:hAnsi="Tahoma" w:hint="cs"/>
          <w:sz w:val="27"/>
          <w:rtl/>
          <w:lang w:bidi="fa-IR"/>
        </w:rPr>
        <w:t>ّ</w:t>
      </w:r>
      <w:r w:rsidRPr="00904FCB">
        <w:rPr>
          <w:rFonts w:ascii="Tahoma" w:hAnsi="Tahoma"/>
          <w:sz w:val="27"/>
          <w:rtl/>
          <w:lang w:bidi="fa-IR"/>
        </w:rPr>
        <w:t>لع المسؤول عم</w:t>
      </w:r>
      <w:r w:rsidR="007479E1" w:rsidRPr="00904FCB">
        <w:rPr>
          <w:rFonts w:ascii="Tahoma" w:hAnsi="Tahoma" w:hint="cs"/>
          <w:sz w:val="27"/>
          <w:rtl/>
          <w:lang w:bidi="fa-IR"/>
        </w:rPr>
        <w:t>ّ</w:t>
      </w:r>
      <w:r w:rsidRPr="00904FCB">
        <w:rPr>
          <w:rFonts w:ascii="Tahoma" w:hAnsi="Tahoma"/>
          <w:sz w:val="27"/>
          <w:rtl/>
          <w:lang w:bidi="fa-IR"/>
        </w:rPr>
        <w:t>ا يؤول إليه حكمه</w:t>
      </w:r>
      <w:r w:rsidR="007479E1" w:rsidRPr="00904FCB">
        <w:rPr>
          <w:rFonts w:ascii="Tahoma" w:hAnsi="Tahoma" w:hint="cs"/>
          <w:sz w:val="27"/>
          <w:rtl/>
          <w:lang w:bidi="fa-IR"/>
        </w:rPr>
        <w:t>،</w:t>
      </w:r>
      <w:r w:rsidRPr="00904FCB">
        <w:rPr>
          <w:rFonts w:ascii="Tahoma" w:hAnsi="Tahoma"/>
          <w:sz w:val="27"/>
          <w:rtl/>
          <w:lang w:bidi="fa-IR"/>
        </w:rPr>
        <w:t xml:space="preserve"> مبتعداً عن الظن</w:t>
      </w:r>
      <w:r w:rsidR="007479E1" w:rsidRPr="00904FCB">
        <w:rPr>
          <w:rFonts w:ascii="Tahoma" w:hAnsi="Tahoma" w:hint="cs"/>
          <w:sz w:val="27"/>
          <w:rtl/>
          <w:lang w:bidi="fa-IR"/>
        </w:rPr>
        <w:t>ّ</w:t>
      </w:r>
      <w:r w:rsidRPr="00904FCB">
        <w:rPr>
          <w:rFonts w:ascii="Tahoma" w:hAnsi="Tahoma"/>
          <w:sz w:val="27"/>
          <w:rtl/>
          <w:lang w:bidi="fa-IR"/>
        </w:rPr>
        <w:t xml:space="preserve"> الذي لا يغني عنده </w:t>
      </w:r>
      <w:r w:rsidR="007479E1" w:rsidRPr="00904FCB">
        <w:rPr>
          <w:rFonts w:ascii="Tahoma" w:hAnsi="Tahoma" w:hint="cs"/>
          <w:sz w:val="27"/>
          <w:rtl/>
          <w:lang w:bidi="fa-IR"/>
        </w:rPr>
        <w:t>م</w:t>
      </w:r>
      <w:r w:rsidRPr="00904FCB">
        <w:rPr>
          <w:rFonts w:ascii="Tahoma" w:hAnsi="Tahoma"/>
          <w:sz w:val="27"/>
          <w:rtl/>
          <w:lang w:bidi="fa-IR"/>
        </w:rPr>
        <w:t>ن الحق</w:t>
      </w:r>
      <w:r w:rsidR="007479E1" w:rsidRPr="00904FCB">
        <w:rPr>
          <w:rFonts w:ascii="Tahoma" w:hAnsi="Tahoma" w:hint="cs"/>
          <w:sz w:val="27"/>
          <w:rtl/>
          <w:lang w:bidi="fa-IR"/>
        </w:rPr>
        <w:t>ّ</w:t>
      </w:r>
      <w:r w:rsidRPr="00904FCB">
        <w:rPr>
          <w:rFonts w:ascii="Tahoma" w:hAnsi="Tahoma"/>
          <w:sz w:val="27"/>
          <w:rtl/>
          <w:lang w:bidi="fa-IR"/>
        </w:rPr>
        <w:t xml:space="preserve"> شيئاً، </w:t>
      </w:r>
      <w:r w:rsidR="007479E1" w:rsidRPr="00904FCB">
        <w:rPr>
          <w:rFonts w:ascii="Tahoma" w:hAnsi="Tahoma" w:hint="cs"/>
          <w:sz w:val="27"/>
          <w:rtl/>
          <w:lang w:bidi="fa-IR"/>
        </w:rPr>
        <w:t xml:space="preserve">حيث </w:t>
      </w:r>
      <w:r w:rsidRPr="00904FCB">
        <w:rPr>
          <w:rFonts w:ascii="Tahoma" w:hAnsi="Tahoma"/>
          <w:sz w:val="27"/>
          <w:rtl/>
          <w:lang w:bidi="fa-IR"/>
        </w:rPr>
        <w:t xml:space="preserve">قال الله سبحانه وتعالى: </w:t>
      </w:r>
      <w:r w:rsidRPr="00904FCB">
        <w:rPr>
          <w:rFonts w:ascii="Mosawi" w:hAnsi="Mosawi" w:cs="Mosawi"/>
          <w:sz w:val="24"/>
          <w:szCs w:val="24"/>
          <w:rtl/>
        </w:rPr>
        <w:t>﴿</w:t>
      </w:r>
      <w:r w:rsidR="007479E1" w:rsidRPr="00904FCB">
        <w:rPr>
          <w:b/>
          <w:bCs/>
          <w:sz w:val="27"/>
          <w:rtl/>
        </w:rPr>
        <w:t>وَإِنَّ الظَّنَّ لاَ يُغْنِي مِنْ الْحَقِّ شَيْئاً</w:t>
      </w:r>
      <w:r w:rsidRPr="00904FCB">
        <w:rPr>
          <w:rFonts w:ascii="Mosawi" w:hAnsi="Mosawi" w:cs="Mosawi"/>
          <w:sz w:val="24"/>
          <w:szCs w:val="24"/>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أض</w:t>
      </w:r>
      <w:r w:rsidR="007479E1" w:rsidRPr="00904FCB">
        <w:rPr>
          <w:rFonts w:ascii="Tahoma" w:hAnsi="Tahoma" w:hint="cs"/>
          <w:sz w:val="27"/>
          <w:rtl/>
          <w:lang w:bidi="fa-IR"/>
        </w:rPr>
        <w:t>ِ</w:t>
      </w:r>
      <w:r w:rsidRPr="00904FCB">
        <w:rPr>
          <w:rFonts w:ascii="Tahoma" w:hAnsi="Tahoma"/>
          <w:sz w:val="27"/>
          <w:rtl/>
          <w:lang w:bidi="fa-IR"/>
        </w:rPr>
        <w:t>ف</w:t>
      </w:r>
      <w:r w:rsidR="007479E1" w:rsidRPr="00904FCB">
        <w:rPr>
          <w:rFonts w:ascii="Tahoma" w:hAnsi="Tahoma" w:hint="cs"/>
          <w:sz w:val="27"/>
          <w:rtl/>
          <w:lang w:bidi="fa-IR"/>
        </w:rPr>
        <w:t>ْ</w:t>
      </w:r>
      <w:r w:rsidRPr="00904FCB">
        <w:rPr>
          <w:rFonts w:ascii="Tahoma" w:hAnsi="Tahoma"/>
          <w:sz w:val="27"/>
          <w:rtl/>
          <w:lang w:bidi="fa-IR"/>
        </w:rPr>
        <w:t xml:space="preserve"> إلى ذلك </w:t>
      </w:r>
      <w:r w:rsidR="007479E1" w:rsidRPr="00904FCB">
        <w:rPr>
          <w:rFonts w:ascii="Tahoma" w:hAnsi="Tahoma" w:hint="cs"/>
          <w:sz w:val="27"/>
          <w:rtl/>
          <w:lang w:bidi="fa-IR"/>
        </w:rPr>
        <w:t>أنّ</w:t>
      </w:r>
      <w:r w:rsidRPr="00904FCB">
        <w:rPr>
          <w:rFonts w:ascii="Tahoma" w:hAnsi="Tahoma"/>
          <w:sz w:val="27"/>
          <w:rtl/>
          <w:lang w:bidi="fa-IR"/>
        </w:rPr>
        <w:t>ه يتعامل مع نص</w:t>
      </w:r>
      <w:r w:rsidR="007479E1" w:rsidRPr="00904FCB">
        <w:rPr>
          <w:rFonts w:ascii="Tahoma" w:hAnsi="Tahoma" w:hint="cs"/>
          <w:sz w:val="27"/>
          <w:rtl/>
          <w:lang w:bidi="fa-IR"/>
        </w:rPr>
        <w:t>ٍّ</w:t>
      </w:r>
      <w:r w:rsidRPr="00904FCB">
        <w:rPr>
          <w:rFonts w:ascii="Tahoma" w:hAnsi="Tahoma"/>
          <w:sz w:val="27"/>
          <w:rtl/>
          <w:lang w:bidi="fa-IR"/>
        </w:rPr>
        <w:t xml:space="preserve"> أعلى من طاقاته بكثير</w:t>
      </w:r>
      <w:r w:rsidR="007479E1" w:rsidRPr="00904FCB">
        <w:rPr>
          <w:rFonts w:ascii="Tahoma" w:hAnsi="Tahoma" w:hint="cs"/>
          <w:sz w:val="27"/>
          <w:rtl/>
          <w:lang w:bidi="fa-IR"/>
        </w:rPr>
        <w:t>ٍ،</w:t>
      </w:r>
      <w:r w:rsidRPr="00904FCB">
        <w:rPr>
          <w:rFonts w:ascii="Tahoma" w:hAnsi="Tahoma"/>
          <w:sz w:val="27"/>
          <w:rtl/>
          <w:lang w:bidi="fa-IR"/>
        </w:rPr>
        <w:t xml:space="preserve"> يحتاج إلى جهود علمية كبيرة ليصل إلى استنطاقه</w:t>
      </w:r>
      <w:r w:rsidR="007479E1" w:rsidRPr="00904FCB">
        <w:rPr>
          <w:rFonts w:ascii="Tahoma" w:hAnsi="Tahoma" w:hint="cs"/>
          <w:sz w:val="27"/>
          <w:rtl/>
          <w:lang w:bidi="fa-IR"/>
        </w:rPr>
        <w:t>؛</w:t>
      </w:r>
      <w:r w:rsidRPr="00904FCB">
        <w:rPr>
          <w:rFonts w:ascii="Tahoma" w:hAnsi="Tahoma"/>
          <w:sz w:val="27"/>
          <w:rtl/>
          <w:lang w:bidi="fa-IR"/>
        </w:rPr>
        <w:t xml:space="preserve"> كونه صادراً من الله سبحانه وتعالى</w:t>
      </w:r>
      <w:r w:rsidR="007479E1" w:rsidRPr="00904FCB">
        <w:rPr>
          <w:rFonts w:ascii="Tahoma" w:hAnsi="Tahoma" w:hint="cs"/>
          <w:sz w:val="27"/>
          <w:rtl/>
          <w:lang w:bidi="fa-IR"/>
        </w:rPr>
        <w:t>.</w:t>
      </w:r>
      <w:r w:rsidRPr="00904FCB">
        <w:rPr>
          <w:rFonts w:ascii="Tahoma" w:hAnsi="Tahoma"/>
          <w:sz w:val="27"/>
          <w:rtl/>
          <w:lang w:bidi="fa-IR"/>
        </w:rPr>
        <w:t xml:space="preserve"> لذلك توج</w:t>
      </w:r>
      <w:r w:rsidR="00CE7E87" w:rsidRPr="00904FCB">
        <w:rPr>
          <w:rFonts w:ascii="Tahoma" w:hAnsi="Tahoma" w:hint="cs"/>
          <w:sz w:val="27"/>
          <w:rtl/>
          <w:lang w:bidi="fa-IR"/>
        </w:rPr>
        <w:t>َّ</w:t>
      </w:r>
      <w:r w:rsidRPr="00904FCB">
        <w:rPr>
          <w:rFonts w:ascii="Tahoma" w:hAnsi="Tahoma"/>
          <w:sz w:val="27"/>
          <w:rtl/>
          <w:lang w:bidi="fa-IR"/>
        </w:rPr>
        <w:t xml:space="preserve">ب على الفقيه </w:t>
      </w:r>
      <w:r w:rsidR="007479E1" w:rsidRPr="00904FCB">
        <w:rPr>
          <w:rFonts w:ascii="Tahoma" w:hAnsi="Tahoma" w:hint="cs"/>
          <w:sz w:val="27"/>
          <w:rtl/>
          <w:lang w:bidi="fa-IR"/>
        </w:rPr>
        <w:t>إذا</w:t>
      </w:r>
      <w:r w:rsidRPr="00904FCB">
        <w:rPr>
          <w:rFonts w:ascii="Tahoma" w:hAnsi="Tahoma"/>
          <w:sz w:val="27"/>
          <w:rtl/>
          <w:lang w:bidi="fa-IR"/>
        </w:rPr>
        <w:t xml:space="preserve"> </w:t>
      </w:r>
      <w:r w:rsidR="00CE7E87" w:rsidRPr="00904FCB">
        <w:rPr>
          <w:rFonts w:ascii="Tahoma" w:hAnsi="Tahoma" w:hint="cs"/>
          <w:sz w:val="27"/>
          <w:rtl/>
          <w:lang w:bidi="fa-IR"/>
        </w:rPr>
        <w:t>أراد</w:t>
      </w:r>
      <w:r w:rsidRPr="00904FCB">
        <w:rPr>
          <w:rFonts w:ascii="Tahoma" w:hAnsi="Tahoma"/>
          <w:sz w:val="27"/>
          <w:rtl/>
          <w:lang w:bidi="fa-IR"/>
        </w:rPr>
        <w:t xml:space="preserve"> </w:t>
      </w:r>
      <w:r w:rsidR="00CE7E87" w:rsidRPr="00904FCB">
        <w:rPr>
          <w:rFonts w:ascii="Tahoma" w:hAnsi="Tahoma" w:hint="cs"/>
          <w:sz w:val="27"/>
          <w:rtl/>
          <w:lang w:bidi="fa-IR"/>
        </w:rPr>
        <w:t xml:space="preserve">من </w:t>
      </w:r>
      <w:r w:rsidRPr="00904FCB">
        <w:rPr>
          <w:rFonts w:ascii="Tahoma" w:hAnsi="Tahoma"/>
          <w:sz w:val="27"/>
          <w:rtl/>
          <w:lang w:bidi="fa-IR"/>
        </w:rPr>
        <w:t>القانوني المعاصر أن يتبعه أن يحوّ</w:t>
      </w:r>
      <w:r w:rsidR="007479E1" w:rsidRPr="00904FCB">
        <w:rPr>
          <w:rFonts w:ascii="Tahoma" w:hAnsi="Tahoma" w:hint="cs"/>
          <w:sz w:val="27"/>
          <w:rtl/>
          <w:lang w:bidi="fa-IR"/>
        </w:rPr>
        <w:t>ِ</w:t>
      </w:r>
      <w:r w:rsidRPr="00904FCB">
        <w:rPr>
          <w:rFonts w:ascii="Tahoma" w:hAnsi="Tahoma"/>
          <w:sz w:val="27"/>
          <w:rtl/>
          <w:lang w:bidi="fa-IR"/>
        </w:rPr>
        <w:t>ل نتائجه إلى مفردات قانونية</w:t>
      </w:r>
      <w:r w:rsidR="00CE7E87" w:rsidRPr="00904FCB">
        <w:rPr>
          <w:rFonts w:ascii="Tahoma" w:hAnsi="Tahoma" w:hint="cs"/>
          <w:sz w:val="27"/>
          <w:rtl/>
          <w:lang w:bidi="fa-IR"/>
        </w:rPr>
        <w:t>،</w:t>
      </w:r>
      <w:r w:rsidRPr="00904FCB">
        <w:rPr>
          <w:rFonts w:ascii="Tahoma" w:hAnsi="Tahoma"/>
          <w:sz w:val="27"/>
          <w:rtl/>
          <w:lang w:bidi="fa-IR"/>
        </w:rPr>
        <w:t xml:space="preserve"> ومواد متسلسلة قابلة للتطبيق</w:t>
      </w:r>
      <w:r w:rsidR="00CE7E87" w:rsidRPr="00904FCB">
        <w:rPr>
          <w:rFonts w:ascii="Tahoma" w:hAnsi="Tahoma" w:hint="cs"/>
          <w:sz w:val="27"/>
          <w:rtl/>
          <w:lang w:bidi="fa-IR"/>
        </w:rPr>
        <w:t>،</w:t>
      </w:r>
      <w:r w:rsidRPr="00904FCB">
        <w:rPr>
          <w:rFonts w:ascii="Tahoma" w:hAnsi="Tahoma"/>
          <w:sz w:val="27"/>
          <w:rtl/>
          <w:lang w:bidi="fa-IR"/>
        </w:rPr>
        <w:t xml:space="preserve"> وبلغة القانوني المعاصر</w:t>
      </w:r>
      <w:r w:rsidR="00CE7E87" w:rsidRPr="00904FCB">
        <w:rPr>
          <w:rFonts w:ascii="Tahoma" w:hAnsi="Tahoma" w:hint="cs"/>
          <w:sz w:val="27"/>
          <w:rtl/>
          <w:lang w:bidi="fa-IR"/>
        </w:rPr>
        <w:t>،</w:t>
      </w:r>
      <w:r w:rsidRPr="00904FCB">
        <w:rPr>
          <w:rFonts w:ascii="Tahoma" w:hAnsi="Tahoma"/>
          <w:sz w:val="27"/>
          <w:rtl/>
          <w:lang w:bidi="fa-IR"/>
        </w:rPr>
        <w:t xml:space="preserve"> وبمتناول أدواته</w:t>
      </w:r>
      <w:r w:rsidR="00CE7E87" w:rsidRPr="00904FCB">
        <w:rPr>
          <w:rFonts w:ascii="Tahoma" w:hAnsi="Tahoma" w:hint="cs"/>
          <w:sz w:val="27"/>
          <w:rtl/>
          <w:lang w:bidi="fa-IR"/>
        </w:rPr>
        <w:t>.</w:t>
      </w:r>
      <w:r w:rsidRPr="00904FCB">
        <w:rPr>
          <w:rFonts w:ascii="Tahoma" w:hAnsi="Tahoma"/>
          <w:sz w:val="27"/>
          <w:rtl/>
          <w:lang w:bidi="fa-IR"/>
        </w:rPr>
        <w:t xml:space="preserve"> كما توج</w:t>
      </w:r>
      <w:r w:rsidR="00CE7E87" w:rsidRPr="00904FCB">
        <w:rPr>
          <w:rFonts w:ascii="Tahoma" w:hAnsi="Tahoma" w:hint="cs"/>
          <w:sz w:val="27"/>
          <w:rtl/>
          <w:lang w:bidi="fa-IR"/>
        </w:rPr>
        <w:t>َّ</w:t>
      </w:r>
      <w:r w:rsidRPr="00904FCB">
        <w:rPr>
          <w:rFonts w:ascii="Tahoma" w:hAnsi="Tahoma"/>
          <w:sz w:val="27"/>
          <w:rtl/>
          <w:lang w:bidi="fa-IR"/>
        </w:rPr>
        <w:t>ب على القانوني المعاصر أن يتوس</w:t>
      </w:r>
      <w:r w:rsidR="00CE7E87" w:rsidRPr="00904FCB">
        <w:rPr>
          <w:rFonts w:ascii="Tahoma" w:hAnsi="Tahoma" w:hint="cs"/>
          <w:sz w:val="27"/>
          <w:rtl/>
          <w:lang w:bidi="fa-IR"/>
        </w:rPr>
        <w:t>َّ</w:t>
      </w:r>
      <w:r w:rsidRPr="00904FCB">
        <w:rPr>
          <w:rFonts w:ascii="Tahoma" w:hAnsi="Tahoma"/>
          <w:sz w:val="27"/>
          <w:rtl/>
          <w:lang w:bidi="fa-IR"/>
        </w:rPr>
        <w:t>ع في أدواته وعلومه</w:t>
      </w:r>
      <w:r w:rsidR="00CE7E87" w:rsidRPr="00904FCB">
        <w:rPr>
          <w:rFonts w:ascii="Tahoma" w:hAnsi="Tahoma" w:hint="cs"/>
          <w:sz w:val="27"/>
          <w:rtl/>
          <w:lang w:bidi="fa-IR"/>
        </w:rPr>
        <w:t>؛</w:t>
      </w:r>
      <w:r w:rsidRPr="00904FCB">
        <w:rPr>
          <w:rFonts w:ascii="Tahoma" w:hAnsi="Tahoma"/>
          <w:sz w:val="27"/>
          <w:rtl/>
          <w:lang w:bidi="fa-IR"/>
        </w:rPr>
        <w:t xml:space="preserve"> كي يلحق بشأو الفقهاء</w:t>
      </w:r>
      <w:r w:rsidR="00CE7E87" w:rsidRPr="00904FCB">
        <w:rPr>
          <w:rFonts w:ascii="Tahoma" w:hAnsi="Tahoma" w:hint="cs"/>
          <w:sz w:val="27"/>
          <w:rtl/>
          <w:lang w:bidi="fa-IR"/>
        </w:rPr>
        <w:t>؛</w:t>
      </w:r>
      <w:r w:rsidRPr="00904FCB">
        <w:rPr>
          <w:rFonts w:ascii="Tahoma" w:hAnsi="Tahoma"/>
          <w:sz w:val="27"/>
          <w:rtl/>
          <w:lang w:bidi="fa-IR"/>
        </w:rPr>
        <w:t xml:space="preserve"> كي يستطيع أن يتحاور معهم بلغة</w:t>
      </w:r>
      <w:r w:rsidR="00CE7E87" w:rsidRPr="00904FCB">
        <w:rPr>
          <w:rFonts w:ascii="Tahoma" w:hAnsi="Tahoma" w:hint="cs"/>
          <w:sz w:val="27"/>
          <w:rtl/>
          <w:lang w:bidi="fa-IR"/>
        </w:rPr>
        <w:t>ٍ</w:t>
      </w:r>
      <w:r w:rsidRPr="00904FCB">
        <w:rPr>
          <w:rFonts w:ascii="Tahoma" w:hAnsi="Tahoma"/>
          <w:sz w:val="27"/>
          <w:rtl/>
          <w:lang w:bidi="fa-IR"/>
        </w:rPr>
        <w:t xml:space="preserve"> مشتركة.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المبحث الثاني</w:t>
      </w:r>
      <w:r w:rsidRPr="00904FCB">
        <w:rPr>
          <w:rFonts w:hint="cs"/>
          <w:color w:val="auto"/>
          <w:rtl/>
          <w:lang w:bidi="fa-IR"/>
        </w:rPr>
        <w:t xml:space="preserve">: </w:t>
      </w:r>
      <w:r w:rsidRPr="00904FCB">
        <w:rPr>
          <w:color w:val="auto"/>
          <w:rtl/>
          <w:lang w:bidi="fa-IR"/>
        </w:rPr>
        <w:t>مصادر الاستنباط في القانون الوضعي</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تتوض</w:t>
      </w:r>
      <w:r w:rsidR="00CE7E87" w:rsidRPr="00904FCB">
        <w:rPr>
          <w:rFonts w:ascii="Tahoma" w:hAnsi="Tahoma" w:hint="cs"/>
          <w:sz w:val="27"/>
          <w:rtl/>
          <w:lang w:bidi="fa-IR"/>
        </w:rPr>
        <w:t>ّ</w:t>
      </w:r>
      <w:r w:rsidRPr="00904FCB">
        <w:rPr>
          <w:rFonts w:ascii="Tahoma" w:hAnsi="Tahoma"/>
          <w:sz w:val="27"/>
          <w:rtl/>
          <w:lang w:bidi="fa-IR"/>
        </w:rPr>
        <w:t>ح مصادر الاستنباط لدى أصحاب القانون الوضعي</w:t>
      </w:r>
      <w:r w:rsidR="00CE7E87" w:rsidRPr="00904FCB">
        <w:rPr>
          <w:rFonts w:ascii="Tahoma" w:hAnsi="Tahoma" w:hint="cs"/>
          <w:sz w:val="27"/>
          <w:rtl/>
          <w:lang w:bidi="fa-IR"/>
        </w:rPr>
        <w:t>،</w:t>
      </w:r>
      <w:r w:rsidRPr="00904FCB">
        <w:rPr>
          <w:rFonts w:ascii="Tahoma" w:hAnsi="Tahoma"/>
          <w:sz w:val="27"/>
          <w:rtl/>
          <w:lang w:bidi="fa-IR"/>
        </w:rPr>
        <w:t xml:space="preserve"> وتنتظم</w:t>
      </w:r>
      <w:r w:rsidR="00CE7E87" w:rsidRPr="00904FCB">
        <w:rPr>
          <w:rFonts w:ascii="Tahoma" w:hAnsi="Tahoma" w:hint="cs"/>
          <w:sz w:val="27"/>
          <w:rtl/>
          <w:lang w:bidi="fa-IR"/>
        </w:rPr>
        <w:t>، كما يلي</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2814ED">
        <w:rPr>
          <w:rFonts w:ascii="Tahoma" w:hAnsi="Tahoma" w:hint="cs"/>
          <w:sz w:val="27"/>
          <w:rtl/>
          <w:lang w:bidi="ar-LB"/>
        </w:rPr>
        <w:t xml:space="preserve">1ـ </w:t>
      </w:r>
      <w:r w:rsidR="00CE7E87" w:rsidRPr="002814ED">
        <w:rPr>
          <w:rFonts w:ascii="Tahoma" w:hAnsi="Tahoma" w:hint="cs"/>
          <w:sz w:val="27"/>
          <w:rtl/>
          <w:lang w:bidi="fa-IR"/>
        </w:rPr>
        <w:t>إ</w:t>
      </w:r>
      <w:r w:rsidRPr="002814ED">
        <w:rPr>
          <w:rFonts w:ascii="Tahoma" w:hAnsi="Tahoma"/>
          <w:sz w:val="27"/>
          <w:rtl/>
          <w:lang w:bidi="fa-IR"/>
        </w:rPr>
        <w:t xml:space="preserve">ن </w:t>
      </w:r>
      <w:r w:rsidRPr="00904FCB">
        <w:rPr>
          <w:rFonts w:ascii="Tahoma" w:hAnsi="Tahoma"/>
          <w:sz w:val="27"/>
          <w:rtl/>
          <w:lang w:bidi="fa-IR"/>
        </w:rPr>
        <w:t>منطق الحياة البشرية وحركته</w:t>
      </w:r>
      <w:r w:rsidR="00CE7E87" w:rsidRPr="00904FCB">
        <w:rPr>
          <w:rFonts w:ascii="Tahoma" w:hAnsi="Tahoma" w:hint="cs"/>
          <w:sz w:val="27"/>
          <w:rtl/>
          <w:lang w:bidi="fa-IR"/>
        </w:rPr>
        <w:t>ا</w:t>
      </w:r>
      <w:r w:rsidRPr="00904FCB">
        <w:rPr>
          <w:rFonts w:ascii="Tahoma" w:hAnsi="Tahoma"/>
          <w:sz w:val="27"/>
          <w:rtl/>
          <w:lang w:bidi="fa-IR"/>
        </w:rPr>
        <w:t xml:space="preserve"> برّز القواعد القانونية</w:t>
      </w:r>
      <w:r w:rsidR="00CE7E87" w:rsidRPr="00904FCB">
        <w:rPr>
          <w:rFonts w:ascii="Tahoma" w:hAnsi="Tahoma" w:hint="cs"/>
          <w:sz w:val="27"/>
          <w:rtl/>
          <w:lang w:bidi="fa-IR"/>
        </w:rPr>
        <w:t>؛</w:t>
      </w:r>
      <w:r w:rsidRPr="00904FCB">
        <w:rPr>
          <w:rFonts w:ascii="Tahoma" w:hAnsi="Tahoma"/>
          <w:sz w:val="27"/>
          <w:rtl/>
          <w:lang w:bidi="fa-IR"/>
        </w:rPr>
        <w:t xml:space="preserve"> لتضطلع بمهمة تأمين الأصول الضرورية (النظام الاجتماعي)</w:t>
      </w:r>
      <w:r w:rsidR="00CE7E87" w:rsidRPr="00904FCB">
        <w:rPr>
          <w:rFonts w:ascii="Tahoma" w:hAnsi="Tahoma" w:hint="cs"/>
          <w:sz w:val="27"/>
          <w:rtl/>
          <w:lang w:bidi="fa-IR"/>
        </w:rPr>
        <w:t>؛</w:t>
      </w:r>
      <w:r w:rsidRPr="00904FCB">
        <w:rPr>
          <w:rFonts w:ascii="Tahoma" w:hAnsi="Tahoma"/>
          <w:sz w:val="27"/>
          <w:rtl/>
          <w:lang w:bidi="fa-IR"/>
        </w:rPr>
        <w:t xml:space="preserve"> للوصول إلى توازن مناسب يحافظ على وتيرة تحو</w:t>
      </w:r>
      <w:r w:rsidR="00CE7E87" w:rsidRPr="00904FCB">
        <w:rPr>
          <w:rFonts w:ascii="Tahoma" w:hAnsi="Tahoma" w:hint="cs"/>
          <w:sz w:val="27"/>
          <w:rtl/>
          <w:lang w:bidi="fa-IR"/>
        </w:rPr>
        <w:t>ُّ</w:t>
      </w:r>
      <w:r w:rsidRPr="00904FCB">
        <w:rPr>
          <w:rFonts w:ascii="Tahoma" w:hAnsi="Tahoma"/>
          <w:sz w:val="27"/>
          <w:rtl/>
          <w:lang w:bidi="fa-IR"/>
        </w:rPr>
        <w:t>ل بط</w:t>
      </w:r>
      <w:r w:rsidR="00CE7E87" w:rsidRPr="00904FCB">
        <w:rPr>
          <w:rFonts w:ascii="Tahoma" w:hAnsi="Tahoma" w:hint="cs"/>
          <w:sz w:val="27"/>
          <w:rtl/>
          <w:lang w:bidi="fa-IR"/>
        </w:rPr>
        <w:t>يء</w:t>
      </w:r>
      <w:r w:rsidRPr="00904FCB">
        <w:rPr>
          <w:rFonts w:ascii="Tahoma" w:hAnsi="Tahoma"/>
          <w:sz w:val="27"/>
          <w:rtl/>
          <w:lang w:bidi="fa-IR"/>
        </w:rPr>
        <w:t xml:space="preserve"> ومتجانس لمجموع الأوضاع والعلاقات الاجتماعية في مسيرتها الحتمية نحو التغي</w:t>
      </w:r>
      <w:r w:rsidR="00CE7E87" w:rsidRPr="00904FCB">
        <w:rPr>
          <w:rFonts w:ascii="Tahoma" w:hAnsi="Tahoma" w:hint="cs"/>
          <w:sz w:val="27"/>
          <w:rtl/>
          <w:lang w:bidi="fa-IR"/>
        </w:rPr>
        <w:t>ُّ</w:t>
      </w:r>
      <w:r w:rsidRPr="00904FCB">
        <w:rPr>
          <w:rFonts w:ascii="Tahoma" w:hAnsi="Tahoma"/>
          <w:sz w:val="27"/>
          <w:rtl/>
          <w:lang w:bidi="fa-IR"/>
        </w:rPr>
        <w:t>ر</w:t>
      </w:r>
      <w:r w:rsidR="00CE7E87" w:rsidRPr="00904FCB">
        <w:rPr>
          <w:rFonts w:ascii="Tahoma" w:hAnsi="Tahoma" w:hint="cs"/>
          <w:sz w:val="27"/>
          <w:rtl/>
          <w:lang w:bidi="fa-IR"/>
        </w:rPr>
        <w:t>،</w:t>
      </w:r>
      <w:r w:rsidRPr="00904FCB">
        <w:rPr>
          <w:rFonts w:ascii="Tahoma" w:hAnsi="Tahoma"/>
          <w:sz w:val="27"/>
          <w:rtl/>
          <w:lang w:bidi="fa-IR"/>
        </w:rPr>
        <w:t xml:space="preserve"> لا بمرور عامل الزمن وما ترتبط به من معطيات ومتغي</w:t>
      </w:r>
      <w:r w:rsidR="00CE7E87" w:rsidRPr="00904FCB">
        <w:rPr>
          <w:rFonts w:ascii="Tahoma" w:hAnsi="Tahoma" w:hint="cs"/>
          <w:sz w:val="27"/>
          <w:rtl/>
          <w:lang w:bidi="fa-IR"/>
        </w:rPr>
        <w:t>ّ</w:t>
      </w:r>
      <w:r w:rsidRPr="00904FCB">
        <w:rPr>
          <w:rFonts w:ascii="Tahoma" w:hAnsi="Tahoma"/>
          <w:sz w:val="27"/>
          <w:rtl/>
          <w:lang w:bidi="fa-IR"/>
        </w:rPr>
        <w:t>رات ومؤث</w:t>
      </w:r>
      <w:r w:rsidR="0057607C">
        <w:rPr>
          <w:rFonts w:ascii="Tahoma" w:hAnsi="Tahoma" w:hint="cs"/>
          <w:sz w:val="27"/>
          <w:rtl/>
          <w:lang w:bidi="fa-IR"/>
        </w:rPr>
        <w:t>ِّ</w:t>
      </w:r>
      <w:r w:rsidRPr="00904FCB">
        <w:rPr>
          <w:rFonts w:ascii="Tahoma" w:hAnsi="Tahoma"/>
          <w:sz w:val="27"/>
          <w:rtl/>
          <w:lang w:bidi="fa-IR"/>
        </w:rPr>
        <w:t>رات</w:t>
      </w:r>
      <w:r w:rsidR="00CE7E87" w:rsidRPr="00904FCB">
        <w:rPr>
          <w:rFonts w:ascii="Tahoma" w:hAnsi="Tahoma" w:hint="cs"/>
          <w:sz w:val="27"/>
          <w:rtl/>
          <w:lang w:bidi="fa-IR"/>
        </w:rPr>
        <w:t>؛</w:t>
      </w:r>
      <w:r w:rsidRPr="00904FCB">
        <w:rPr>
          <w:rFonts w:ascii="Tahoma" w:hAnsi="Tahoma"/>
          <w:sz w:val="27"/>
          <w:rtl/>
          <w:lang w:bidi="fa-IR"/>
        </w:rPr>
        <w:t xml:space="preserve"> فالقاعدة القانونية ضرورة للمجتمع</w:t>
      </w:r>
      <w:r w:rsidR="00CE7E87" w:rsidRPr="00904FCB">
        <w:rPr>
          <w:rFonts w:ascii="Tahoma" w:hAnsi="Tahoma" w:hint="cs"/>
          <w:sz w:val="27"/>
          <w:rtl/>
          <w:lang w:bidi="fa-IR"/>
        </w:rPr>
        <w:t>،</w:t>
      </w:r>
      <w:r w:rsidRPr="00904FCB">
        <w:rPr>
          <w:rFonts w:ascii="Tahoma" w:hAnsi="Tahoma"/>
          <w:sz w:val="27"/>
          <w:rtl/>
          <w:lang w:bidi="fa-IR"/>
        </w:rPr>
        <w:t xml:space="preserve"> ومنبعها حاجات المجتمع للتوا</w:t>
      </w:r>
      <w:r w:rsidR="005F2CDD" w:rsidRPr="00904FCB">
        <w:rPr>
          <w:rFonts w:ascii="Tahoma" w:hAnsi="Tahoma" w:hint="cs"/>
          <w:sz w:val="27"/>
          <w:rtl/>
          <w:lang w:bidi="fa-IR"/>
        </w:rPr>
        <w:t>ؤ</w:t>
      </w:r>
      <w:r w:rsidRPr="00904FCB">
        <w:rPr>
          <w:rFonts w:ascii="Tahoma" w:hAnsi="Tahoma"/>
          <w:sz w:val="27"/>
          <w:rtl/>
          <w:lang w:bidi="fa-IR"/>
        </w:rPr>
        <w:t>م</w:t>
      </w:r>
      <w:r w:rsidR="005F2CDD" w:rsidRPr="00904FCB">
        <w:rPr>
          <w:rFonts w:ascii="Tahoma" w:hAnsi="Tahoma" w:hint="cs"/>
          <w:sz w:val="27"/>
          <w:rtl/>
          <w:lang w:bidi="fa-IR"/>
        </w:rPr>
        <w:t>،</w:t>
      </w:r>
      <w:r w:rsidRPr="00904FCB">
        <w:rPr>
          <w:rFonts w:ascii="Tahoma" w:hAnsi="Tahoma"/>
          <w:sz w:val="27"/>
          <w:rtl/>
          <w:lang w:bidi="fa-IR"/>
        </w:rPr>
        <w:t xml:space="preserve"> وسلاسة العلاقات</w:t>
      </w:r>
      <w:r w:rsidR="005F2CDD" w:rsidRPr="00904FCB">
        <w:rPr>
          <w:rFonts w:ascii="Tahoma" w:hAnsi="Tahoma" w:hint="cs"/>
          <w:sz w:val="27"/>
          <w:rtl/>
          <w:lang w:bidi="fa-IR"/>
        </w:rPr>
        <w:t>،</w:t>
      </w:r>
      <w:r w:rsidRPr="00904FCB">
        <w:rPr>
          <w:rFonts w:ascii="Tahoma" w:hAnsi="Tahoma"/>
          <w:sz w:val="27"/>
          <w:rtl/>
          <w:lang w:bidi="fa-IR"/>
        </w:rPr>
        <w:t xml:space="preserve"> واستمرارها</w:t>
      </w:r>
      <w:r w:rsidR="005F2CDD" w:rsidRPr="00904FCB">
        <w:rPr>
          <w:rFonts w:ascii="Tahoma" w:hAnsi="Tahoma" w:hint="cs"/>
          <w:sz w:val="27"/>
          <w:rtl/>
          <w:lang w:bidi="fa-IR"/>
        </w:rPr>
        <w:t>،</w:t>
      </w:r>
      <w:r w:rsidRPr="00904FCB">
        <w:rPr>
          <w:rFonts w:ascii="Tahoma" w:hAnsi="Tahoma"/>
          <w:sz w:val="27"/>
          <w:rtl/>
          <w:lang w:bidi="fa-IR"/>
        </w:rPr>
        <w:t xml:space="preserve"> وتنظيم حدودها</w:t>
      </w:r>
      <w:r w:rsidR="005F2CDD" w:rsidRPr="00904FCB">
        <w:rPr>
          <w:rFonts w:ascii="Tahoma" w:hAnsi="Tahoma" w:hint="cs"/>
          <w:sz w:val="27"/>
          <w:rtl/>
          <w:lang w:bidi="fa-IR"/>
        </w:rPr>
        <w:t>،</w:t>
      </w:r>
      <w:r w:rsidRPr="00904FCB">
        <w:rPr>
          <w:rFonts w:ascii="Tahoma" w:hAnsi="Tahoma"/>
          <w:sz w:val="27"/>
          <w:rtl/>
          <w:lang w:bidi="fa-IR"/>
        </w:rPr>
        <w:t xml:space="preserve"> ومنع تصادم المصالح</w:t>
      </w:r>
      <w:r w:rsidR="005F2CDD" w:rsidRPr="00904FCB">
        <w:rPr>
          <w:rFonts w:ascii="Tahoma" w:hAnsi="Tahoma" w:hint="cs"/>
          <w:sz w:val="27"/>
          <w:rtl/>
          <w:lang w:bidi="fa-IR"/>
        </w:rPr>
        <w:t>،</w:t>
      </w:r>
      <w:r w:rsidRPr="00904FCB">
        <w:rPr>
          <w:rFonts w:ascii="Tahoma" w:hAnsi="Tahoma"/>
          <w:sz w:val="27"/>
          <w:rtl/>
          <w:lang w:bidi="fa-IR"/>
        </w:rPr>
        <w:t xml:space="preserve"> </w:t>
      </w:r>
      <w:r w:rsidR="005F2CDD" w:rsidRPr="00904FCB">
        <w:rPr>
          <w:rFonts w:ascii="Tahoma" w:hAnsi="Tahoma" w:hint="cs"/>
          <w:sz w:val="27"/>
          <w:rtl/>
          <w:lang w:bidi="fa-IR"/>
        </w:rPr>
        <w:t>و</w:t>
      </w:r>
      <w:r w:rsidRPr="00904FCB">
        <w:rPr>
          <w:rFonts w:ascii="Tahoma" w:hAnsi="Tahoma"/>
          <w:sz w:val="27"/>
          <w:rtl/>
          <w:lang w:bidi="fa-IR"/>
        </w:rPr>
        <w:t>لذلك وجدت القوانين التي تحافظ على الحقوق</w:t>
      </w:r>
      <w:r w:rsidR="005F2CDD" w:rsidRPr="00904FCB">
        <w:rPr>
          <w:rFonts w:ascii="Tahoma" w:hAnsi="Tahoma" w:hint="cs"/>
          <w:sz w:val="27"/>
          <w:rtl/>
          <w:lang w:bidi="fa-IR"/>
        </w:rPr>
        <w:t>،</w:t>
      </w:r>
      <w:r w:rsidRPr="00904FCB">
        <w:rPr>
          <w:rFonts w:ascii="Tahoma" w:hAnsi="Tahoma"/>
          <w:sz w:val="27"/>
          <w:rtl/>
          <w:lang w:bidi="fa-IR"/>
        </w:rPr>
        <w:t xml:space="preserve"> وتمنع البغي والتعد</w:t>
      </w:r>
      <w:r w:rsidR="005F2CDD" w:rsidRPr="00904FCB">
        <w:rPr>
          <w:rFonts w:ascii="Tahoma" w:hAnsi="Tahoma" w:hint="cs"/>
          <w:sz w:val="27"/>
          <w:rtl/>
          <w:lang w:bidi="fa-IR"/>
        </w:rPr>
        <w:t>ّ</w:t>
      </w:r>
      <w:r w:rsidRPr="00904FCB">
        <w:rPr>
          <w:rFonts w:ascii="Tahoma" w:hAnsi="Tahoma"/>
          <w:sz w:val="27"/>
          <w:rtl/>
          <w:lang w:bidi="fa-IR"/>
        </w:rPr>
        <w:t>ي</w:t>
      </w:r>
      <w:r w:rsidR="005F2CDD" w:rsidRPr="00904FCB">
        <w:rPr>
          <w:rFonts w:ascii="Tahoma" w:hAnsi="Tahoma" w:hint="cs"/>
          <w:sz w:val="27"/>
          <w:rtl/>
          <w:lang w:bidi="fa-IR"/>
        </w:rPr>
        <w:t>.</w:t>
      </w:r>
      <w:r w:rsidRPr="00904FCB">
        <w:rPr>
          <w:rFonts w:ascii="Tahoma" w:hAnsi="Tahoma"/>
          <w:sz w:val="27"/>
          <w:rtl/>
          <w:lang w:bidi="fa-IR"/>
        </w:rPr>
        <w:t xml:space="preserve"> </w:t>
      </w:r>
      <w:r w:rsidR="005F2CDD" w:rsidRPr="00904FCB">
        <w:rPr>
          <w:rFonts w:ascii="Tahoma" w:hAnsi="Tahoma" w:hint="cs"/>
          <w:sz w:val="27"/>
          <w:rtl/>
          <w:lang w:bidi="fa-IR"/>
        </w:rPr>
        <w:t>و</w:t>
      </w:r>
      <w:r w:rsidRPr="00904FCB">
        <w:rPr>
          <w:rFonts w:ascii="Tahoma" w:hAnsi="Tahoma"/>
          <w:sz w:val="27"/>
          <w:rtl/>
          <w:lang w:bidi="fa-IR"/>
        </w:rPr>
        <w:t>تارة</w:t>
      </w:r>
      <w:r w:rsidR="005F2CDD" w:rsidRPr="00904FCB">
        <w:rPr>
          <w:rFonts w:ascii="Tahoma" w:hAnsi="Tahoma" w:hint="cs"/>
          <w:sz w:val="27"/>
          <w:rtl/>
          <w:lang w:bidi="fa-IR"/>
        </w:rPr>
        <w:t>ً</w:t>
      </w:r>
      <w:r w:rsidRPr="00904FCB">
        <w:rPr>
          <w:rFonts w:ascii="Tahoma" w:hAnsi="Tahoma"/>
          <w:sz w:val="27"/>
          <w:rtl/>
          <w:lang w:bidi="fa-IR"/>
        </w:rPr>
        <w:t xml:space="preserve"> تكون هذه </w:t>
      </w:r>
      <w:r w:rsidRPr="00904FCB">
        <w:rPr>
          <w:rFonts w:ascii="Tahoma" w:hAnsi="Tahoma"/>
          <w:sz w:val="27"/>
          <w:rtl/>
          <w:lang w:bidi="fa-IR"/>
        </w:rPr>
        <w:lastRenderedPageBreak/>
        <w:t>القوانين خاص</w:t>
      </w:r>
      <w:r w:rsidR="005F2CDD" w:rsidRPr="00904FCB">
        <w:rPr>
          <w:rFonts w:ascii="Tahoma" w:hAnsi="Tahoma" w:hint="cs"/>
          <w:sz w:val="27"/>
          <w:rtl/>
          <w:lang w:bidi="fa-IR"/>
        </w:rPr>
        <w:t>ّ</w:t>
      </w:r>
      <w:r w:rsidRPr="00904FCB">
        <w:rPr>
          <w:rFonts w:ascii="Tahoma" w:hAnsi="Tahoma"/>
          <w:sz w:val="27"/>
          <w:rtl/>
          <w:lang w:bidi="fa-IR"/>
        </w:rPr>
        <w:t>ة بقوم</w:t>
      </w:r>
      <w:r w:rsidR="005F2CDD" w:rsidRPr="00904FCB">
        <w:rPr>
          <w:rFonts w:ascii="Tahoma" w:hAnsi="Tahoma" w:hint="cs"/>
          <w:sz w:val="27"/>
          <w:rtl/>
          <w:lang w:bidi="fa-IR"/>
        </w:rPr>
        <w:t>ٍ؛</w:t>
      </w:r>
      <w:r w:rsidRPr="00904FCB">
        <w:rPr>
          <w:rFonts w:ascii="Tahoma" w:hAnsi="Tahoma"/>
          <w:sz w:val="27"/>
          <w:rtl/>
          <w:lang w:bidi="fa-IR"/>
        </w:rPr>
        <w:t xml:space="preserve"> وأخرى خاص</w:t>
      </w:r>
      <w:r w:rsidR="005F2CDD" w:rsidRPr="00904FCB">
        <w:rPr>
          <w:rFonts w:ascii="Tahoma" w:hAnsi="Tahoma" w:hint="cs"/>
          <w:sz w:val="27"/>
          <w:rtl/>
          <w:lang w:bidi="fa-IR"/>
        </w:rPr>
        <w:t>ّ</w:t>
      </w:r>
      <w:r w:rsidRPr="00904FCB">
        <w:rPr>
          <w:rFonts w:ascii="Tahoma" w:hAnsi="Tahoma"/>
          <w:sz w:val="27"/>
          <w:rtl/>
          <w:lang w:bidi="fa-IR"/>
        </w:rPr>
        <w:t>ة بمكان</w:t>
      </w:r>
      <w:r w:rsidR="005F2CDD" w:rsidRPr="00904FCB">
        <w:rPr>
          <w:rFonts w:ascii="Tahoma" w:hAnsi="Tahoma" w:hint="cs"/>
          <w:sz w:val="27"/>
          <w:rtl/>
          <w:lang w:bidi="fa-IR"/>
        </w:rPr>
        <w:t>ٍ</w:t>
      </w:r>
      <w:r w:rsidRPr="00904FCB">
        <w:rPr>
          <w:rFonts w:ascii="Tahoma" w:hAnsi="Tahoma"/>
          <w:sz w:val="27"/>
          <w:rtl/>
          <w:lang w:bidi="fa-IR"/>
        </w:rPr>
        <w:t xml:space="preserve"> دون غيره</w:t>
      </w:r>
      <w:r w:rsidR="005F2CDD" w:rsidRPr="00904FCB">
        <w:rPr>
          <w:rFonts w:ascii="Tahoma" w:hAnsi="Tahoma" w:hint="cs"/>
          <w:sz w:val="27"/>
          <w:rtl/>
          <w:lang w:bidi="fa-IR"/>
        </w:rPr>
        <w:t>،</w:t>
      </w:r>
      <w:r w:rsidRPr="00904FCB">
        <w:rPr>
          <w:rFonts w:ascii="Tahoma" w:hAnsi="Tahoma"/>
          <w:sz w:val="27"/>
          <w:rtl/>
          <w:lang w:bidi="fa-IR"/>
        </w:rPr>
        <w:t xml:space="preserve"> أو بأم</w:t>
      </w:r>
      <w:r w:rsidR="005F2CDD" w:rsidRPr="00904FCB">
        <w:rPr>
          <w:rFonts w:ascii="Tahoma" w:hAnsi="Tahoma" w:hint="cs"/>
          <w:sz w:val="27"/>
          <w:rtl/>
          <w:lang w:bidi="fa-IR"/>
        </w:rPr>
        <w:t>ّ</w:t>
      </w:r>
      <w:r w:rsidRPr="00904FCB">
        <w:rPr>
          <w:rFonts w:ascii="Tahoma" w:hAnsi="Tahoma"/>
          <w:sz w:val="27"/>
          <w:rtl/>
          <w:lang w:bidi="fa-IR"/>
        </w:rPr>
        <w:t>ة</w:t>
      </w:r>
      <w:r w:rsidR="005F2CDD" w:rsidRPr="00904FCB">
        <w:rPr>
          <w:rFonts w:ascii="Tahoma" w:hAnsi="Tahoma" w:hint="cs"/>
          <w:sz w:val="27"/>
          <w:rtl/>
          <w:lang w:bidi="fa-IR"/>
        </w:rPr>
        <w:t>ٍ</w:t>
      </w:r>
      <w:r w:rsidRPr="00904FCB">
        <w:rPr>
          <w:rFonts w:ascii="Tahoma" w:hAnsi="Tahoma"/>
          <w:sz w:val="27"/>
          <w:rtl/>
          <w:lang w:bidi="fa-IR"/>
        </w:rPr>
        <w:t xml:space="preserve"> دون الأمم الأخرى</w:t>
      </w:r>
      <w:r w:rsidR="005F2CDD" w:rsidRPr="00904FCB">
        <w:rPr>
          <w:rFonts w:ascii="Tahoma" w:hAnsi="Tahoma" w:hint="cs"/>
          <w:sz w:val="27"/>
          <w:rtl/>
          <w:lang w:bidi="fa-IR"/>
        </w:rPr>
        <w:t>.</w:t>
      </w:r>
      <w:r w:rsidRPr="00904FCB">
        <w:rPr>
          <w:rFonts w:ascii="Tahoma" w:hAnsi="Tahoma"/>
          <w:sz w:val="27"/>
          <w:rtl/>
          <w:lang w:bidi="fa-IR"/>
        </w:rPr>
        <w:t xml:space="preserve"> وعند تطور الحياة المدنية أصبحت بمثابة قوانين خاص</w:t>
      </w:r>
      <w:r w:rsidR="005F2CDD" w:rsidRPr="00904FCB">
        <w:rPr>
          <w:rFonts w:ascii="Tahoma" w:hAnsi="Tahoma" w:hint="cs"/>
          <w:sz w:val="27"/>
          <w:rtl/>
          <w:lang w:bidi="fa-IR"/>
        </w:rPr>
        <w:t>ّ</w:t>
      </w:r>
      <w:r w:rsidRPr="00904FCB">
        <w:rPr>
          <w:rFonts w:ascii="Tahoma" w:hAnsi="Tahoma"/>
          <w:sz w:val="27"/>
          <w:rtl/>
          <w:lang w:bidi="fa-IR"/>
        </w:rPr>
        <w:t>ة بالدول، فقالوا: القانون البريطاني أو الفرنسي أو المصري أو القانون العراقي</w:t>
      </w:r>
      <w:r w:rsidR="005F2CDD" w:rsidRPr="00904FCB">
        <w:rPr>
          <w:rFonts w:ascii="Tahoma" w:hAnsi="Tahoma" w:hint="cs"/>
          <w:sz w:val="27"/>
          <w:rtl/>
          <w:lang w:bidi="fa-IR"/>
        </w:rPr>
        <w:t>.</w:t>
      </w:r>
      <w:r w:rsidRPr="00904FCB">
        <w:rPr>
          <w:rFonts w:ascii="Tahoma" w:hAnsi="Tahoma"/>
          <w:sz w:val="27"/>
          <w:rtl/>
          <w:lang w:bidi="fa-IR"/>
        </w:rPr>
        <w:t xml:space="preserve"> انطلقت هذه الاختلافات في مواد هذه القوانين من الأعراف والتقاليد والأديان التي يؤمن بها هذا الشعب</w:t>
      </w:r>
      <w:r w:rsidR="005F2CDD" w:rsidRPr="00904FCB">
        <w:rPr>
          <w:rFonts w:ascii="Tahoma" w:hAnsi="Tahoma" w:hint="cs"/>
          <w:sz w:val="27"/>
          <w:rtl/>
          <w:lang w:bidi="fa-IR"/>
        </w:rPr>
        <w:t>،</w:t>
      </w:r>
      <w:r w:rsidRPr="00904FCB">
        <w:rPr>
          <w:rFonts w:ascii="Tahoma" w:hAnsi="Tahoma"/>
          <w:sz w:val="27"/>
          <w:rtl/>
          <w:lang w:bidi="fa-IR"/>
        </w:rPr>
        <w:t xml:space="preserve"> دون غيره</w:t>
      </w:r>
      <w:r w:rsidR="005F2CDD" w:rsidRPr="00904FCB">
        <w:rPr>
          <w:rFonts w:ascii="Tahoma" w:hAnsi="Tahoma" w:hint="cs"/>
          <w:sz w:val="27"/>
          <w:rtl/>
          <w:lang w:bidi="fa-IR"/>
        </w:rPr>
        <w:t xml:space="preserve">، </w:t>
      </w:r>
      <w:r w:rsidRPr="00904FCB">
        <w:rPr>
          <w:rFonts w:ascii="Tahoma" w:hAnsi="Tahoma"/>
          <w:sz w:val="27"/>
          <w:rtl/>
          <w:lang w:bidi="fa-IR"/>
        </w:rPr>
        <w:t>والتراث الإنساني والتنظيمي الموروث</w:t>
      </w:r>
      <w:r w:rsidR="005F2CDD" w:rsidRPr="00904FCB">
        <w:rPr>
          <w:rFonts w:ascii="Tahoma" w:hAnsi="Tahoma" w:hint="cs"/>
          <w:sz w:val="27"/>
          <w:rtl/>
          <w:lang w:bidi="fa-IR"/>
        </w:rPr>
        <w:t>،</w:t>
      </w:r>
      <w:r w:rsidRPr="00904FCB">
        <w:rPr>
          <w:rFonts w:ascii="Tahoma" w:hAnsi="Tahoma"/>
          <w:sz w:val="27"/>
          <w:rtl/>
          <w:lang w:bidi="fa-IR"/>
        </w:rPr>
        <w:t xml:space="preserve"> والتجارب والظواهر الاجتماعية الوطنية</w:t>
      </w:r>
      <w:r w:rsidR="005F2CDD" w:rsidRPr="00904FCB">
        <w:rPr>
          <w:rFonts w:ascii="Tahoma" w:hAnsi="Tahoma" w:hint="cs"/>
          <w:sz w:val="27"/>
          <w:rtl/>
          <w:lang w:bidi="fa-IR"/>
        </w:rPr>
        <w:t>،</w:t>
      </w:r>
      <w:r w:rsidRPr="00904FCB">
        <w:rPr>
          <w:rFonts w:ascii="Tahoma" w:hAnsi="Tahoma"/>
          <w:sz w:val="27"/>
          <w:rtl/>
          <w:lang w:bidi="fa-IR"/>
        </w:rPr>
        <w:t xml:space="preserve"> والتجارب الإنسانية الدولية </w:t>
      </w:r>
      <w:r w:rsidR="005F2CDD" w:rsidRPr="00904FCB">
        <w:rPr>
          <w:rFonts w:ascii="Tahoma" w:hAnsi="Tahoma" w:hint="cs"/>
          <w:sz w:val="27"/>
          <w:rtl/>
          <w:lang w:bidi="fa-IR"/>
        </w:rPr>
        <w:t>ا</w:t>
      </w:r>
      <w:r w:rsidRPr="00904FCB">
        <w:rPr>
          <w:rFonts w:ascii="Tahoma" w:hAnsi="Tahoma"/>
          <w:sz w:val="27"/>
          <w:rtl/>
          <w:lang w:bidi="fa-IR"/>
        </w:rPr>
        <w:t>لمعاصر</w:t>
      </w:r>
      <w:r w:rsidR="005F2CDD" w:rsidRPr="00904FCB">
        <w:rPr>
          <w:rFonts w:ascii="Tahoma" w:hAnsi="Tahoma" w:hint="cs"/>
          <w:sz w:val="27"/>
          <w:rtl/>
          <w:lang w:bidi="fa-IR"/>
        </w:rPr>
        <w:t xml:space="preserve">ة </w:t>
      </w:r>
      <w:r w:rsidRPr="00904FCB">
        <w:rPr>
          <w:rFonts w:ascii="Tahoma" w:hAnsi="Tahoma"/>
          <w:sz w:val="27"/>
          <w:rtl/>
          <w:lang w:bidi="fa-IR"/>
        </w:rPr>
        <w:t>أو السابقة</w:t>
      </w:r>
      <w:r w:rsidR="005F2CDD" w:rsidRPr="00904FCB">
        <w:rPr>
          <w:rFonts w:ascii="Tahoma" w:hAnsi="Tahoma" w:hint="cs"/>
          <w:sz w:val="27"/>
          <w:rtl/>
          <w:lang w:bidi="fa-IR"/>
        </w:rPr>
        <w:t>.</w:t>
      </w:r>
      <w:r w:rsidRPr="00904FCB">
        <w:rPr>
          <w:rFonts w:ascii="Tahoma" w:hAnsi="Tahoma"/>
          <w:sz w:val="27"/>
          <w:rtl/>
          <w:lang w:bidi="fa-IR"/>
        </w:rPr>
        <w:t xml:space="preserve"> وطالما تنتاب هذه القوانين الوضعية تعديلات تلغي بموجبها مواد</w:t>
      </w:r>
      <w:r w:rsidR="005F2CDD" w:rsidRPr="00904FCB">
        <w:rPr>
          <w:rFonts w:ascii="Tahoma" w:hAnsi="Tahoma" w:hint="cs"/>
          <w:sz w:val="27"/>
          <w:rtl/>
          <w:lang w:bidi="fa-IR"/>
        </w:rPr>
        <w:t>ّ</w:t>
      </w:r>
      <w:r w:rsidRPr="00904FCB">
        <w:rPr>
          <w:rFonts w:ascii="Tahoma" w:hAnsi="Tahoma"/>
          <w:sz w:val="27"/>
          <w:rtl/>
          <w:lang w:bidi="fa-IR"/>
        </w:rPr>
        <w:t xml:space="preserve"> قانونية</w:t>
      </w:r>
      <w:r w:rsidR="005F2CDD" w:rsidRPr="00904FCB">
        <w:rPr>
          <w:rFonts w:ascii="Tahoma" w:hAnsi="Tahoma" w:hint="cs"/>
          <w:sz w:val="27"/>
          <w:rtl/>
          <w:lang w:bidi="fa-IR"/>
        </w:rPr>
        <w:t>،</w:t>
      </w:r>
      <w:r w:rsidRPr="00904FCB">
        <w:rPr>
          <w:rFonts w:ascii="Tahoma" w:hAnsi="Tahoma"/>
          <w:sz w:val="27"/>
          <w:rtl/>
          <w:lang w:bidi="fa-IR"/>
        </w:rPr>
        <w:t xml:space="preserve"> وتستحدث مواد</w:t>
      </w:r>
      <w:r w:rsidR="005F2CDD" w:rsidRPr="00904FCB">
        <w:rPr>
          <w:rFonts w:ascii="Tahoma" w:hAnsi="Tahoma" w:hint="cs"/>
          <w:sz w:val="27"/>
          <w:rtl/>
          <w:lang w:bidi="fa-IR"/>
        </w:rPr>
        <w:t>ّ</w:t>
      </w:r>
      <w:r w:rsidRPr="00904FCB">
        <w:rPr>
          <w:rFonts w:ascii="Tahoma" w:hAnsi="Tahoma"/>
          <w:sz w:val="27"/>
          <w:rtl/>
          <w:lang w:bidi="fa-IR"/>
        </w:rPr>
        <w:t xml:space="preserve"> أخرى</w:t>
      </w:r>
      <w:r w:rsidR="005F2CDD" w:rsidRPr="00904FCB">
        <w:rPr>
          <w:rFonts w:ascii="Tahoma" w:hAnsi="Tahoma" w:hint="cs"/>
          <w:sz w:val="27"/>
          <w:rtl/>
          <w:lang w:bidi="fa-IR"/>
        </w:rPr>
        <w:t>؛</w:t>
      </w:r>
      <w:r w:rsidRPr="00904FCB">
        <w:rPr>
          <w:rFonts w:ascii="Tahoma" w:hAnsi="Tahoma"/>
          <w:sz w:val="27"/>
          <w:rtl/>
          <w:lang w:bidi="fa-IR"/>
        </w:rPr>
        <w:t xml:space="preserve"> نتيجة استحداث مشكلات اجتماعية جديدة في الأجيال اللاحقة تستوجب حلولاً، مم</w:t>
      </w:r>
      <w:r w:rsidR="005F2CDD" w:rsidRPr="00904FCB">
        <w:rPr>
          <w:rFonts w:ascii="Tahoma" w:hAnsi="Tahoma" w:hint="cs"/>
          <w:sz w:val="27"/>
          <w:rtl/>
          <w:lang w:bidi="fa-IR"/>
        </w:rPr>
        <w:t>ّ</w:t>
      </w:r>
      <w:r w:rsidRPr="00904FCB">
        <w:rPr>
          <w:rFonts w:ascii="Tahoma" w:hAnsi="Tahoma"/>
          <w:sz w:val="27"/>
          <w:rtl/>
          <w:lang w:bidi="fa-IR"/>
        </w:rPr>
        <w:t>ا يثير نزاعاً بين الجيل السابق</w:t>
      </w:r>
      <w:r w:rsidR="005F2CDD" w:rsidRPr="00904FCB">
        <w:rPr>
          <w:rFonts w:ascii="Tahoma" w:hAnsi="Tahoma" w:hint="cs"/>
          <w:sz w:val="27"/>
          <w:rtl/>
          <w:lang w:bidi="fa-IR"/>
        </w:rPr>
        <w:t>؛</w:t>
      </w:r>
      <w:r w:rsidRPr="00904FCB">
        <w:rPr>
          <w:rFonts w:ascii="Tahoma" w:hAnsi="Tahoma"/>
          <w:sz w:val="27"/>
          <w:rtl/>
          <w:lang w:bidi="fa-IR"/>
        </w:rPr>
        <w:t xml:space="preserve"> حفاظاً على ما ير</w:t>
      </w:r>
      <w:r w:rsidR="005F2CDD" w:rsidRPr="00904FCB">
        <w:rPr>
          <w:rFonts w:ascii="Tahoma" w:hAnsi="Tahoma" w:hint="cs"/>
          <w:sz w:val="27"/>
          <w:rtl/>
          <w:lang w:bidi="fa-IR"/>
        </w:rPr>
        <w:t>َ</w:t>
      </w:r>
      <w:r w:rsidRPr="00904FCB">
        <w:rPr>
          <w:rFonts w:ascii="Tahoma" w:hAnsi="Tahoma"/>
          <w:sz w:val="27"/>
          <w:rtl/>
          <w:lang w:bidi="fa-IR"/>
        </w:rPr>
        <w:t>و</w:t>
      </w:r>
      <w:r w:rsidR="005F2CDD" w:rsidRPr="00904FCB">
        <w:rPr>
          <w:rFonts w:ascii="Tahoma" w:hAnsi="Tahoma" w:hint="cs"/>
          <w:sz w:val="27"/>
          <w:rtl/>
          <w:lang w:bidi="fa-IR"/>
        </w:rPr>
        <w:t>ْ</w:t>
      </w:r>
      <w:r w:rsidRPr="00904FCB">
        <w:rPr>
          <w:rFonts w:ascii="Tahoma" w:hAnsi="Tahoma"/>
          <w:sz w:val="27"/>
          <w:rtl/>
          <w:lang w:bidi="fa-IR"/>
        </w:rPr>
        <w:t>نه أصالة</w:t>
      </w:r>
      <w:r w:rsidR="005F2CDD" w:rsidRPr="00904FCB">
        <w:rPr>
          <w:rFonts w:ascii="Tahoma" w:hAnsi="Tahoma" w:hint="cs"/>
          <w:sz w:val="27"/>
          <w:rtl/>
          <w:lang w:bidi="fa-IR"/>
        </w:rPr>
        <w:t>ً</w:t>
      </w:r>
      <w:r w:rsidRPr="00904FCB">
        <w:rPr>
          <w:rFonts w:ascii="Tahoma" w:hAnsi="Tahoma"/>
          <w:sz w:val="27"/>
          <w:rtl/>
          <w:lang w:bidi="fa-IR"/>
        </w:rPr>
        <w:t xml:space="preserve"> لهم</w:t>
      </w:r>
      <w:r w:rsidR="005F2CDD" w:rsidRPr="00904FCB">
        <w:rPr>
          <w:rFonts w:ascii="Tahoma" w:hAnsi="Tahoma" w:hint="cs"/>
          <w:sz w:val="27"/>
          <w:rtl/>
          <w:lang w:bidi="fa-IR"/>
        </w:rPr>
        <w:t>،</w:t>
      </w:r>
      <w:r w:rsidRPr="00904FCB">
        <w:rPr>
          <w:rFonts w:ascii="Tahoma" w:hAnsi="Tahoma"/>
          <w:sz w:val="27"/>
          <w:rtl/>
          <w:lang w:bidi="fa-IR"/>
        </w:rPr>
        <w:t xml:space="preserve"> </w:t>
      </w:r>
      <w:r w:rsidR="005F2CDD" w:rsidRPr="00904FCB">
        <w:rPr>
          <w:rFonts w:ascii="Tahoma" w:hAnsi="Tahoma" w:hint="cs"/>
          <w:sz w:val="27"/>
          <w:rtl/>
          <w:lang w:bidi="fa-IR"/>
        </w:rPr>
        <w:t>و</w:t>
      </w:r>
      <w:r w:rsidRPr="00904FCB">
        <w:rPr>
          <w:rFonts w:ascii="Tahoma" w:hAnsi="Tahoma"/>
          <w:sz w:val="27"/>
          <w:rtl/>
          <w:lang w:bidi="fa-IR"/>
        </w:rPr>
        <w:t>الجيل اللاحق</w:t>
      </w:r>
      <w:r w:rsidR="005F2CDD" w:rsidRPr="00904FCB">
        <w:rPr>
          <w:rFonts w:ascii="Tahoma" w:hAnsi="Tahoma" w:hint="cs"/>
          <w:sz w:val="27"/>
          <w:rtl/>
          <w:lang w:bidi="fa-IR"/>
        </w:rPr>
        <w:t>؛</w:t>
      </w:r>
      <w:r w:rsidRPr="00904FCB">
        <w:rPr>
          <w:rFonts w:ascii="Tahoma" w:hAnsi="Tahoma"/>
          <w:sz w:val="27"/>
          <w:rtl/>
          <w:lang w:bidi="fa-IR"/>
        </w:rPr>
        <w:t xml:space="preserve"> انطلاقاً </w:t>
      </w:r>
      <w:r w:rsidR="005F2CDD" w:rsidRPr="00904FCB">
        <w:rPr>
          <w:rFonts w:ascii="Tahoma" w:hAnsi="Tahoma" w:hint="cs"/>
          <w:sz w:val="27"/>
          <w:rtl/>
          <w:lang w:bidi="fa-IR"/>
        </w:rPr>
        <w:t>م</w:t>
      </w:r>
      <w:r w:rsidRPr="00904FCB">
        <w:rPr>
          <w:rFonts w:ascii="Tahoma" w:hAnsi="Tahoma"/>
          <w:sz w:val="27"/>
          <w:rtl/>
          <w:lang w:bidi="fa-IR"/>
        </w:rPr>
        <w:t>م</w:t>
      </w:r>
      <w:r w:rsidR="005F2CDD" w:rsidRPr="00904FCB">
        <w:rPr>
          <w:rFonts w:ascii="Tahoma" w:hAnsi="Tahoma" w:hint="cs"/>
          <w:sz w:val="27"/>
          <w:rtl/>
          <w:lang w:bidi="fa-IR"/>
        </w:rPr>
        <w:t>ّ</w:t>
      </w:r>
      <w:r w:rsidRPr="00904FCB">
        <w:rPr>
          <w:rFonts w:ascii="Tahoma" w:hAnsi="Tahoma"/>
          <w:sz w:val="27"/>
          <w:rtl/>
          <w:lang w:bidi="fa-IR"/>
        </w:rPr>
        <w:t>ا ير</w:t>
      </w:r>
      <w:r w:rsidR="005F2CDD" w:rsidRPr="00904FCB">
        <w:rPr>
          <w:rFonts w:ascii="Tahoma" w:hAnsi="Tahoma" w:hint="cs"/>
          <w:sz w:val="27"/>
          <w:rtl/>
          <w:lang w:bidi="fa-IR"/>
        </w:rPr>
        <w:t>َ</w:t>
      </w:r>
      <w:r w:rsidRPr="00904FCB">
        <w:rPr>
          <w:rFonts w:ascii="Tahoma" w:hAnsi="Tahoma"/>
          <w:sz w:val="27"/>
          <w:rtl/>
          <w:lang w:bidi="fa-IR"/>
        </w:rPr>
        <w:t>و</w:t>
      </w:r>
      <w:r w:rsidR="005F2CDD" w:rsidRPr="00904FCB">
        <w:rPr>
          <w:rFonts w:ascii="Tahoma" w:hAnsi="Tahoma" w:hint="cs"/>
          <w:sz w:val="27"/>
          <w:rtl/>
          <w:lang w:bidi="fa-IR"/>
        </w:rPr>
        <w:t>ْ</w:t>
      </w:r>
      <w:r w:rsidRPr="00904FCB">
        <w:rPr>
          <w:rFonts w:ascii="Tahoma" w:hAnsi="Tahoma"/>
          <w:sz w:val="27"/>
          <w:rtl/>
          <w:lang w:bidi="fa-IR"/>
        </w:rPr>
        <w:t>نه تجديداً لواقعهم</w:t>
      </w:r>
      <w:r w:rsidR="005F2CDD" w:rsidRPr="00904FCB">
        <w:rPr>
          <w:rFonts w:ascii="Tahoma" w:hAnsi="Tahoma" w:hint="cs"/>
          <w:sz w:val="27"/>
          <w:rtl/>
          <w:lang w:bidi="fa-IR"/>
        </w:rPr>
        <w:t>.</w:t>
      </w:r>
      <w:r w:rsidRPr="00904FCB">
        <w:rPr>
          <w:rFonts w:ascii="Tahoma" w:hAnsi="Tahoma"/>
          <w:sz w:val="27"/>
          <w:rtl/>
          <w:lang w:bidi="fa-IR"/>
        </w:rPr>
        <w:t xml:space="preserve"> وهذا الأمر يجعل القوانين الوضعية تحمل صفة عدم الدوام والاستمرار</w:t>
      </w:r>
      <w:r w:rsidR="005F2CDD" w:rsidRPr="00904FCB">
        <w:rPr>
          <w:rFonts w:ascii="Tahoma" w:hAnsi="Tahoma" w:hint="cs"/>
          <w:sz w:val="27"/>
          <w:rtl/>
          <w:lang w:bidi="fa-IR"/>
        </w:rPr>
        <w:t>؛</w:t>
      </w:r>
      <w:r w:rsidRPr="00904FCB">
        <w:rPr>
          <w:rFonts w:ascii="Tahoma" w:hAnsi="Tahoma"/>
          <w:sz w:val="27"/>
          <w:rtl/>
          <w:lang w:bidi="fa-IR"/>
        </w:rPr>
        <w:t xml:space="preserve"> لتغيير في موارد استنباط قوانينه.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وهذا يختلف تماما</w:t>
      </w:r>
      <w:r w:rsidR="005F2CDD" w:rsidRPr="00904FCB">
        <w:rPr>
          <w:rFonts w:ascii="Tahoma" w:hAnsi="Tahoma" w:hint="cs"/>
          <w:sz w:val="27"/>
          <w:rtl/>
          <w:lang w:bidi="fa-IR"/>
        </w:rPr>
        <w:t>ً</w:t>
      </w:r>
      <w:r w:rsidRPr="00904FCB">
        <w:rPr>
          <w:rFonts w:ascii="Tahoma" w:hAnsi="Tahoma"/>
          <w:sz w:val="27"/>
          <w:rtl/>
          <w:lang w:bidi="fa-IR"/>
        </w:rPr>
        <w:t xml:space="preserve"> عن أحكام الفقه الإسلامي وتشريعاته</w:t>
      </w:r>
      <w:r w:rsidR="005F2CDD" w:rsidRPr="00904FCB">
        <w:rPr>
          <w:rFonts w:ascii="Tahoma" w:hAnsi="Tahoma" w:hint="cs"/>
          <w:sz w:val="27"/>
          <w:rtl/>
          <w:lang w:bidi="fa-IR"/>
        </w:rPr>
        <w:t>،</w:t>
      </w:r>
      <w:r w:rsidRPr="00904FCB">
        <w:rPr>
          <w:rFonts w:ascii="Tahoma" w:hAnsi="Tahoma"/>
          <w:sz w:val="27"/>
          <w:rtl/>
          <w:lang w:bidi="fa-IR"/>
        </w:rPr>
        <w:t xml:space="preserve"> ال</w:t>
      </w:r>
      <w:r w:rsidR="005F2CDD" w:rsidRPr="00904FCB">
        <w:rPr>
          <w:rFonts w:ascii="Tahoma" w:hAnsi="Tahoma" w:hint="cs"/>
          <w:sz w:val="27"/>
          <w:rtl/>
          <w:lang w:bidi="fa-IR"/>
        </w:rPr>
        <w:t>ت</w:t>
      </w:r>
      <w:r w:rsidRPr="00904FCB">
        <w:rPr>
          <w:rFonts w:ascii="Tahoma" w:hAnsi="Tahoma"/>
          <w:sz w:val="27"/>
          <w:rtl/>
          <w:lang w:bidi="fa-IR"/>
        </w:rPr>
        <w:t xml:space="preserve">ي </w:t>
      </w:r>
      <w:r w:rsidR="005F2CDD" w:rsidRPr="00904FCB">
        <w:rPr>
          <w:rFonts w:ascii="Tahoma" w:hAnsi="Tahoma" w:hint="cs"/>
          <w:sz w:val="27"/>
          <w:rtl/>
          <w:lang w:bidi="fa-IR"/>
        </w:rPr>
        <w:t>ت</w:t>
      </w:r>
      <w:r w:rsidRPr="00904FCB">
        <w:rPr>
          <w:rFonts w:ascii="Tahoma" w:hAnsi="Tahoma"/>
          <w:sz w:val="27"/>
          <w:rtl/>
          <w:lang w:bidi="fa-IR"/>
        </w:rPr>
        <w:t>ت</w:t>
      </w:r>
      <w:r w:rsidR="005F2CDD" w:rsidRPr="00904FCB">
        <w:rPr>
          <w:rFonts w:ascii="Tahoma" w:hAnsi="Tahoma" w:hint="cs"/>
          <w:sz w:val="27"/>
          <w:rtl/>
          <w:lang w:bidi="fa-IR"/>
        </w:rPr>
        <w:t>ّ</w:t>
      </w:r>
      <w:r w:rsidRPr="00904FCB">
        <w:rPr>
          <w:rFonts w:ascii="Tahoma" w:hAnsi="Tahoma"/>
          <w:sz w:val="27"/>
          <w:rtl/>
          <w:lang w:bidi="fa-IR"/>
        </w:rPr>
        <w:t>صف بالدوام والاستمرار</w:t>
      </w:r>
      <w:r w:rsidR="005F2CDD" w:rsidRPr="00904FCB">
        <w:rPr>
          <w:rFonts w:ascii="Tahoma" w:hAnsi="Tahoma" w:hint="cs"/>
          <w:sz w:val="27"/>
          <w:rtl/>
          <w:lang w:bidi="fa-IR"/>
        </w:rPr>
        <w:t xml:space="preserve">، </w:t>
      </w:r>
      <w:r w:rsidRPr="00904FCB">
        <w:rPr>
          <w:rFonts w:ascii="Tahoma" w:hAnsi="Tahoma"/>
          <w:sz w:val="27"/>
          <w:rtl/>
          <w:lang w:bidi="fa-IR"/>
        </w:rPr>
        <w:t>وعدم التأث</w:t>
      </w:r>
      <w:r w:rsidR="005F2CDD" w:rsidRPr="00904FCB">
        <w:rPr>
          <w:rFonts w:ascii="Tahoma" w:hAnsi="Tahoma" w:hint="cs"/>
          <w:sz w:val="27"/>
          <w:rtl/>
          <w:lang w:bidi="fa-IR"/>
        </w:rPr>
        <w:t>ُّ</w:t>
      </w:r>
      <w:r w:rsidRPr="00904FCB">
        <w:rPr>
          <w:rFonts w:ascii="Tahoma" w:hAnsi="Tahoma"/>
          <w:sz w:val="27"/>
          <w:rtl/>
          <w:lang w:bidi="fa-IR"/>
        </w:rPr>
        <w:t>ر زماناً أو مكاناً. ولا يحدث النزاع والتخاصم بين الأجيال فيه</w:t>
      </w:r>
      <w:r w:rsidR="005F2CDD" w:rsidRPr="00904FCB">
        <w:rPr>
          <w:rFonts w:ascii="Tahoma" w:hAnsi="Tahoma" w:hint="cs"/>
          <w:sz w:val="27"/>
          <w:rtl/>
          <w:lang w:bidi="fa-IR"/>
        </w:rPr>
        <w:t>؛</w:t>
      </w:r>
      <w:r w:rsidRPr="00904FCB">
        <w:rPr>
          <w:rFonts w:ascii="Tahoma" w:hAnsi="Tahoma"/>
          <w:sz w:val="27"/>
          <w:rtl/>
          <w:lang w:bidi="fa-IR"/>
        </w:rPr>
        <w:t xml:space="preserve"> </w:t>
      </w:r>
      <w:r w:rsidR="005F2CDD" w:rsidRPr="00904FCB">
        <w:rPr>
          <w:rFonts w:ascii="Tahoma" w:hAnsi="Tahoma"/>
          <w:sz w:val="27"/>
          <w:rtl/>
          <w:lang w:bidi="fa-IR"/>
        </w:rPr>
        <w:t>لأنه منطلق</w:t>
      </w:r>
      <w:r w:rsidR="005F2CDD" w:rsidRPr="00904FCB">
        <w:rPr>
          <w:rFonts w:ascii="Tahoma" w:hAnsi="Tahoma" w:hint="cs"/>
          <w:sz w:val="27"/>
          <w:rtl/>
          <w:lang w:bidi="fa-IR"/>
        </w:rPr>
        <w:t>ٌ</w:t>
      </w:r>
      <w:r w:rsidRPr="00904FCB">
        <w:rPr>
          <w:rFonts w:ascii="Tahoma" w:hAnsi="Tahoma"/>
          <w:sz w:val="27"/>
          <w:rtl/>
          <w:lang w:bidi="fa-IR"/>
        </w:rPr>
        <w:t xml:space="preserve"> من عقيدة الجيلين الثابتة بأن الخروج على هذه الأحكام</w:t>
      </w:r>
      <w:r w:rsidR="005F2CDD" w:rsidRPr="00904FCB">
        <w:rPr>
          <w:rFonts w:ascii="Tahoma" w:hAnsi="Tahoma" w:hint="cs"/>
          <w:sz w:val="27"/>
          <w:rtl/>
          <w:lang w:bidi="fa-IR"/>
        </w:rPr>
        <w:t xml:space="preserve"> هو</w:t>
      </w:r>
      <w:r w:rsidRPr="00904FCB">
        <w:rPr>
          <w:rFonts w:ascii="Tahoma" w:hAnsi="Tahoma"/>
          <w:sz w:val="27"/>
          <w:rtl/>
          <w:lang w:bidi="fa-IR"/>
        </w:rPr>
        <w:t xml:space="preserve"> خروج</w:t>
      </w:r>
      <w:r w:rsidR="005F2CDD" w:rsidRPr="00904FCB">
        <w:rPr>
          <w:rFonts w:ascii="Tahoma" w:hAnsi="Tahoma" w:hint="cs"/>
          <w:sz w:val="27"/>
          <w:rtl/>
          <w:lang w:bidi="fa-IR"/>
        </w:rPr>
        <w:t>ٌ</w:t>
      </w:r>
      <w:r w:rsidRPr="00904FCB">
        <w:rPr>
          <w:rFonts w:ascii="Tahoma" w:hAnsi="Tahoma"/>
          <w:sz w:val="27"/>
          <w:rtl/>
          <w:lang w:bidi="fa-IR"/>
        </w:rPr>
        <w:t xml:space="preserve"> عما يحمله من عقيدة</w:t>
      </w:r>
      <w:r w:rsidR="005F2CDD"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57607C">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ثم </w:t>
      </w:r>
      <w:r w:rsidR="005F2CDD" w:rsidRPr="00904FCB">
        <w:rPr>
          <w:rFonts w:ascii="Tahoma" w:hAnsi="Tahoma" w:hint="cs"/>
          <w:sz w:val="27"/>
          <w:rtl/>
          <w:lang w:bidi="fa-IR"/>
        </w:rPr>
        <w:t>إ</w:t>
      </w:r>
      <w:r w:rsidRPr="00904FCB">
        <w:rPr>
          <w:rFonts w:ascii="Tahoma" w:hAnsi="Tahoma"/>
          <w:sz w:val="27"/>
          <w:rtl/>
          <w:lang w:bidi="fa-IR"/>
        </w:rPr>
        <w:t>ن مصادر استنباط الفقه الإسلامي تستند إلى أسس لا</w:t>
      </w:r>
      <w:r w:rsidR="005F2CDD" w:rsidRPr="00904FCB">
        <w:rPr>
          <w:rFonts w:ascii="Tahoma" w:hAnsi="Tahoma" w:hint="cs"/>
          <w:sz w:val="27"/>
          <w:rtl/>
          <w:lang w:bidi="fa-IR"/>
        </w:rPr>
        <w:t xml:space="preserve"> </w:t>
      </w:r>
      <w:r w:rsidRPr="00904FCB">
        <w:rPr>
          <w:rFonts w:ascii="Tahoma" w:hAnsi="Tahoma"/>
          <w:sz w:val="27"/>
          <w:rtl/>
          <w:lang w:bidi="fa-IR"/>
        </w:rPr>
        <w:t>تدخل فيها النوازع أو الأطماع أو المصالح الخاص</w:t>
      </w:r>
      <w:r w:rsidR="005F2CDD" w:rsidRPr="00904FCB">
        <w:rPr>
          <w:rFonts w:ascii="Tahoma" w:hAnsi="Tahoma" w:hint="cs"/>
          <w:sz w:val="27"/>
          <w:rtl/>
          <w:lang w:bidi="fa-IR"/>
        </w:rPr>
        <w:t>ّ</w:t>
      </w:r>
      <w:r w:rsidRPr="00904FCB">
        <w:rPr>
          <w:rFonts w:ascii="Tahoma" w:hAnsi="Tahoma"/>
          <w:sz w:val="27"/>
          <w:rtl/>
          <w:lang w:bidi="fa-IR"/>
        </w:rPr>
        <w:t>ة</w:t>
      </w:r>
      <w:r w:rsidR="005F2CDD" w:rsidRPr="00904FCB">
        <w:rPr>
          <w:rFonts w:ascii="Tahoma" w:hAnsi="Tahoma" w:hint="cs"/>
          <w:sz w:val="27"/>
          <w:rtl/>
          <w:lang w:bidi="fa-IR"/>
        </w:rPr>
        <w:t>،</w:t>
      </w:r>
      <w:r w:rsidRPr="00904FCB">
        <w:rPr>
          <w:rFonts w:ascii="Tahoma" w:hAnsi="Tahoma"/>
          <w:sz w:val="27"/>
          <w:rtl/>
          <w:lang w:bidi="fa-IR"/>
        </w:rPr>
        <w:t xml:space="preserve"> أو الفلسفات السياسية... وصحيح</w:t>
      </w:r>
      <w:r w:rsidR="005F2CDD" w:rsidRPr="00904FCB">
        <w:rPr>
          <w:rFonts w:ascii="Tahoma" w:hAnsi="Tahoma" w:hint="cs"/>
          <w:sz w:val="27"/>
          <w:rtl/>
          <w:lang w:bidi="fa-IR"/>
        </w:rPr>
        <w:t>ٌ</w:t>
      </w:r>
      <w:r w:rsidRPr="00904FCB">
        <w:rPr>
          <w:rFonts w:ascii="Tahoma" w:hAnsi="Tahoma"/>
          <w:sz w:val="27"/>
          <w:rtl/>
          <w:lang w:bidi="fa-IR"/>
        </w:rPr>
        <w:t xml:space="preserve"> أن الفقه الإسلامي والقانون الوضعي كلاهما يدعو إلى تنظيم العلاقات الاجتماعية</w:t>
      </w:r>
      <w:r w:rsidR="005F2CDD" w:rsidRPr="00904FCB">
        <w:rPr>
          <w:rFonts w:ascii="Tahoma" w:hAnsi="Tahoma" w:hint="cs"/>
          <w:sz w:val="27"/>
          <w:rtl/>
          <w:lang w:bidi="fa-IR"/>
        </w:rPr>
        <w:t>،</w:t>
      </w:r>
      <w:r w:rsidRPr="00904FCB">
        <w:rPr>
          <w:rFonts w:ascii="Tahoma" w:hAnsi="Tahoma"/>
          <w:sz w:val="27"/>
          <w:rtl/>
          <w:lang w:bidi="fa-IR"/>
        </w:rPr>
        <w:t xml:space="preserve"> ولكن</w:t>
      </w:r>
      <w:r w:rsidR="005F2CDD" w:rsidRPr="00904FCB">
        <w:rPr>
          <w:rFonts w:ascii="Tahoma" w:hAnsi="Tahoma" w:hint="cs"/>
          <w:sz w:val="27"/>
          <w:rtl/>
          <w:lang w:bidi="fa-IR"/>
        </w:rPr>
        <w:t>ّ</w:t>
      </w:r>
      <w:r w:rsidRPr="00904FCB">
        <w:rPr>
          <w:rFonts w:ascii="Tahoma" w:hAnsi="Tahoma"/>
          <w:sz w:val="27"/>
          <w:rtl/>
          <w:lang w:bidi="fa-IR"/>
        </w:rPr>
        <w:t xml:space="preserve"> الفارق بينهما أن الفقه الإسلامي</w:t>
      </w:r>
      <w:r w:rsidR="005F2CDD" w:rsidRPr="00904FCB">
        <w:rPr>
          <w:rFonts w:ascii="Tahoma" w:hAnsi="Tahoma" w:hint="cs"/>
          <w:sz w:val="27"/>
          <w:rtl/>
          <w:lang w:bidi="fa-IR"/>
        </w:rPr>
        <w:t xml:space="preserve"> </w:t>
      </w:r>
      <w:r w:rsidRPr="00904FCB">
        <w:rPr>
          <w:rFonts w:ascii="Tahoma" w:hAnsi="Tahoma"/>
          <w:sz w:val="27"/>
          <w:rtl/>
          <w:lang w:bidi="fa-IR"/>
        </w:rPr>
        <w:t>يستند إلى أسس الكمال والقو</w:t>
      </w:r>
      <w:r w:rsidR="005F2CDD" w:rsidRPr="00904FCB">
        <w:rPr>
          <w:rFonts w:ascii="Tahoma" w:hAnsi="Tahoma" w:hint="cs"/>
          <w:sz w:val="27"/>
          <w:rtl/>
          <w:lang w:bidi="fa-IR"/>
        </w:rPr>
        <w:t>ّ</w:t>
      </w:r>
      <w:r w:rsidRPr="00904FCB">
        <w:rPr>
          <w:rFonts w:ascii="Tahoma" w:hAnsi="Tahoma"/>
          <w:sz w:val="27"/>
          <w:rtl/>
          <w:lang w:bidi="fa-IR"/>
        </w:rPr>
        <w:t>ة من النص</w:t>
      </w:r>
      <w:r w:rsidR="005F2CDD" w:rsidRPr="00904FCB">
        <w:rPr>
          <w:rFonts w:ascii="Tahoma" w:hAnsi="Tahoma" w:hint="cs"/>
          <w:sz w:val="27"/>
          <w:rtl/>
          <w:lang w:bidi="fa-IR"/>
        </w:rPr>
        <w:t>ّ</w:t>
      </w:r>
      <w:r w:rsidRPr="00904FCB">
        <w:rPr>
          <w:rFonts w:ascii="Tahoma" w:hAnsi="Tahoma"/>
          <w:sz w:val="27"/>
          <w:rtl/>
          <w:lang w:bidi="fa-IR"/>
        </w:rPr>
        <w:t xml:space="preserve"> المعصوم</w:t>
      </w:r>
      <w:r w:rsidR="005F2CDD" w:rsidRPr="00904FCB">
        <w:rPr>
          <w:rFonts w:ascii="Tahoma" w:hAnsi="Tahoma" w:hint="cs"/>
          <w:sz w:val="27"/>
          <w:rtl/>
          <w:lang w:bidi="fa-IR"/>
        </w:rPr>
        <w:t>،</w:t>
      </w:r>
      <w:r w:rsidRPr="00904FCB">
        <w:rPr>
          <w:rFonts w:ascii="Tahoma" w:hAnsi="Tahoma"/>
          <w:sz w:val="27"/>
          <w:rtl/>
          <w:lang w:bidi="fa-IR"/>
        </w:rPr>
        <w:t xml:space="preserve"> وأسس الاستنباط الواضحة</w:t>
      </w:r>
      <w:r w:rsidR="005F2CDD" w:rsidRPr="00904FCB">
        <w:rPr>
          <w:rFonts w:ascii="Tahoma" w:hAnsi="Tahoma" w:hint="cs"/>
          <w:sz w:val="27"/>
          <w:rtl/>
          <w:lang w:bidi="fa-IR"/>
        </w:rPr>
        <w:t>،</w:t>
      </w:r>
      <w:r w:rsidRPr="00904FCB">
        <w:rPr>
          <w:rFonts w:ascii="Tahoma" w:hAnsi="Tahoma"/>
          <w:sz w:val="27"/>
          <w:rtl/>
          <w:lang w:bidi="fa-IR"/>
        </w:rPr>
        <w:t xml:space="preserve"> والإمامة المستمر</w:t>
      </w:r>
      <w:r w:rsidR="005F2CDD" w:rsidRPr="00904FCB">
        <w:rPr>
          <w:rFonts w:ascii="Tahoma" w:hAnsi="Tahoma" w:hint="cs"/>
          <w:sz w:val="27"/>
          <w:rtl/>
          <w:lang w:bidi="fa-IR"/>
        </w:rPr>
        <w:t>ّ</w:t>
      </w:r>
      <w:r w:rsidRPr="00904FCB">
        <w:rPr>
          <w:rFonts w:ascii="Tahoma" w:hAnsi="Tahoma"/>
          <w:sz w:val="27"/>
          <w:rtl/>
          <w:lang w:bidi="fa-IR"/>
        </w:rPr>
        <w:t>ة</w:t>
      </w:r>
      <w:r w:rsidR="005F2CDD" w:rsidRPr="00904FCB">
        <w:rPr>
          <w:rFonts w:ascii="Tahoma" w:hAnsi="Tahoma" w:hint="cs"/>
          <w:sz w:val="27"/>
          <w:rtl/>
          <w:lang w:bidi="fa-IR"/>
        </w:rPr>
        <w:t>،</w:t>
      </w:r>
      <w:r w:rsidRPr="00904FCB">
        <w:rPr>
          <w:rFonts w:ascii="Tahoma" w:hAnsi="Tahoma"/>
          <w:sz w:val="27"/>
          <w:rtl/>
          <w:lang w:bidi="fa-IR"/>
        </w:rPr>
        <w:t xml:space="preserve"> وقو</w:t>
      </w:r>
      <w:r w:rsidR="005F2CDD" w:rsidRPr="00904FCB">
        <w:rPr>
          <w:rFonts w:ascii="Tahoma" w:hAnsi="Tahoma" w:hint="cs"/>
          <w:sz w:val="27"/>
          <w:rtl/>
          <w:lang w:bidi="fa-IR"/>
        </w:rPr>
        <w:t>ّ</w:t>
      </w:r>
      <w:r w:rsidRPr="00904FCB">
        <w:rPr>
          <w:rFonts w:ascii="Tahoma" w:hAnsi="Tahoma"/>
          <w:sz w:val="27"/>
          <w:rtl/>
          <w:lang w:bidi="fa-IR"/>
        </w:rPr>
        <w:t>ة ال</w:t>
      </w:r>
      <w:r w:rsidR="005F2CDD" w:rsidRPr="00904FCB">
        <w:rPr>
          <w:rFonts w:ascii="Tahoma" w:hAnsi="Tahoma" w:hint="cs"/>
          <w:sz w:val="27"/>
          <w:rtl/>
          <w:lang w:bidi="fa-IR"/>
        </w:rPr>
        <w:t>إ</w:t>
      </w:r>
      <w:r w:rsidRPr="00904FCB">
        <w:rPr>
          <w:rFonts w:ascii="Tahoma" w:hAnsi="Tahoma"/>
          <w:sz w:val="27"/>
          <w:rtl/>
          <w:lang w:bidi="fa-IR"/>
        </w:rPr>
        <w:t>يمان التي تشك</w:t>
      </w:r>
      <w:r w:rsidR="005F2CDD" w:rsidRPr="00904FCB">
        <w:rPr>
          <w:rFonts w:ascii="Tahoma" w:hAnsi="Tahoma" w:hint="cs"/>
          <w:sz w:val="27"/>
          <w:rtl/>
          <w:lang w:bidi="fa-IR"/>
        </w:rPr>
        <w:t>ِّ</w:t>
      </w:r>
      <w:r w:rsidRPr="00904FCB">
        <w:rPr>
          <w:rFonts w:ascii="Tahoma" w:hAnsi="Tahoma"/>
          <w:sz w:val="27"/>
          <w:rtl/>
          <w:lang w:bidi="fa-IR"/>
        </w:rPr>
        <w:t>ل ضمان</w:t>
      </w:r>
      <w:r w:rsidR="005F2CDD" w:rsidRPr="00904FCB">
        <w:rPr>
          <w:rFonts w:ascii="Tahoma" w:hAnsi="Tahoma" w:hint="cs"/>
          <w:sz w:val="27"/>
          <w:rtl/>
          <w:lang w:bidi="fa-IR"/>
        </w:rPr>
        <w:t>ة</w:t>
      </w:r>
      <w:r w:rsidRPr="00904FCB">
        <w:rPr>
          <w:rFonts w:ascii="Tahoma" w:hAnsi="Tahoma"/>
          <w:sz w:val="27"/>
          <w:rtl/>
          <w:lang w:bidi="fa-IR"/>
        </w:rPr>
        <w:t xml:space="preserve"> من ضمانات احترام القانون الإسلامي</w:t>
      </w:r>
      <w:r w:rsidR="005F2CDD" w:rsidRPr="00904FCB">
        <w:rPr>
          <w:rFonts w:ascii="Tahoma" w:hAnsi="Tahoma" w:hint="cs"/>
          <w:sz w:val="27"/>
          <w:rtl/>
          <w:lang w:bidi="fa-IR"/>
        </w:rPr>
        <w:t>،</w:t>
      </w:r>
      <w:r w:rsidRPr="00904FCB">
        <w:rPr>
          <w:rFonts w:ascii="Tahoma" w:hAnsi="Tahoma"/>
          <w:sz w:val="27"/>
          <w:rtl/>
          <w:lang w:bidi="fa-IR"/>
        </w:rPr>
        <w:t xml:space="preserve"> وتطبيقه تطبيقاً واعياً</w:t>
      </w:r>
      <w:r w:rsidR="005F2CDD" w:rsidRPr="00904FCB">
        <w:rPr>
          <w:rFonts w:ascii="Tahoma" w:hAnsi="Tahoma" w:hint="cs"/>
          <w:sz w:val="27"/>
          <w:rtl/>
          <w:lang w:bidi="fa-IR"/>
        </w:rPr>
        <w:t>،</w:t>
      </w:r>
      <w:r w:rsidRPr="00904FCB">
        <w:rPr>
          <w:rFonts w:ascii="Tahoma" w:hAnsi="Tahoma"/>
          <w:sz w:val="27"/>
          <w:rtl/>
          <w:lang w:bidi="fa-IR"/>
        </w:rPr>
        <w:t xml:space="preserve"> بالإضافة إلى تدر</w:t>
      </w:r>
      <w:r w:rsidR="005F2CDD" w:rsidRPr="00904FCB">
        <w:rPr>
          <w:rFonts w:ascii="Tahoma" w:hAnsi="Tahoma" w:hint="cs"/>
          <w:sz w:val="27"/>
          <w:rtl/>
          <w:lang w:bidi="fa-IR"/>
        </w:rPr>
        <w:t>ُّ</w:t>
      </w:r>
      <w:r w:rsidRPr="00904FCB">
        <w:rPr>
          <w:rFonts w:ascii="Tahoma" w:hAnsi="Tahoma"/>
          <w:sz w:val="27"/>
          <w:rtl/>
          <w:lang w:bidi="fa-IR"/>
        </w:rPr>
        <w:t>ج أحكامه في الإلزام لخمس مراتب (الوجوب، الندب، الإباحة، الكراهة، التحريم)</w:t>
      </w:r>
      <w:r w:rsidR="005F2CDD" w:rsidRPr="00904FCB">
        <w:rPr>
          <w:rFonts w:ascii="Tahoma" w:hAnsi="Tahoma" w:hint="cs"/>
          <w:sz w:val="27"/>
          <w:rtl/>
          <w:lang w:bidi="fa-IR"/>
        </w:rPr>
        <w:t>،</w:t>
      </w:r>
      <w:r w:rsidRPr="00904FCB">
        <w:rPr>
          <w:rFonts w:ascii="Tahoma" w:hAnsi="Tahoma"/>
          <w:sz w:val="27"/>
          <w:rtl/>
          <w:lang w:bidi="fa-IR"/>
        </w:rPr>
        <w:t xml:space="preserve"> بعكس مراتب الأحكام </w:t>
      </w:r>
      <w:r w:rsidR="005F2CDD" w:rsidRPr="00904FCB">
        <w:rPr>
          <w:rFonts w:ascii="Tahoma" w:hAnsi="Tahoma" w:hint="cs"/>
          <w:sz w:val="27"/>
          <w:rtl/>
          <w:lang w:bidi="fa-IR"/>
        </w:rPr>
        <w:t>ا</w:t>
      </w:r>
      <w:r w:rsidRPr="00904FCB">
        <w:rPr>
          <w:rFonts w:ascii="Tahoma" w:hAnsi="Tahoma"/>
          <w:sz w:val="27"/>
          <w:rtl/>
          <w:lang w:bidi="fa-IR"/>
        </w:rPr>
        <w:t>لوضعي</w:t>
      </w:r>
      <w:r w:rsidR="005F2CDD" w:rsidRPr="00904FCB">
        <w:rPr>
          <w:rFonts w:ascii="Tahoma" w:hAnsi="Tahoma" w:hint="cs"/>
          <w:sz w:val="27"/>
          <w:rtl/>
          <w:lang w:bidi="fa-IR"/>
        </w:rPr>
        <w:t>ة،</w:t>
      </w:r>
      <w:r w:rsidRPr="00904FCB">
        <w:rPr>
          <w:rFonts w:ascii="Tahoma" w:hAnsi="Tahoma"/>
          <w:sz w:val="27"/>
          <w:rtl/>
          <w:lang w:bidi="fa-IR"/>
        </w:rPr>
        <w:t xml:space="preserve"> التي تدور ما</w:t>
      </w:r>
      <w:r w:rsidR="005F2CDD" w:rsidRPr="00904FCB">
        <w:rPr>
          <w:rFonts w:ascii="Tahoma" w:hAnsi="Tahoma" w:hint="cs"/>
          <w:sz w:val="27"/>
          <w:rtl/>
          <w:lang w:bidi="fa-IR"/>
        </w:rPr>
        <w:t xml:space="preserve"> </w:t>
      </w:r>
      <w:r w:rsidRPr="00904FCB">
        <w:rPr>
          <w:rFonts w:ascii="Tahoma" w:hAnsi="Tahoma"/>
          <w:sz w:val="27"/>
          <w:rtl/>
          <w:lang w:bidi="fa-IR"/>
        </w:rPr>
        <w:t>بين الإباحة والح</w:t>
      </w:r>
      <w:r w:rsidR="005F2CDD" w:rsidRPr="00904FCB">
        <w:rPr>
          <w:rFonts w:ascii="Tahoma" w:hAnsi="Tahoma" w:hint="cs"/>
          <w:sz w:val="27"/>
          <w:rtl/>
          <w:lang w:bidi="fa-IR"/>
        </w:rPr>
        <w:t>ُ</w:t>
      </w:r>
      <w:r w:rsidRPr="00904FCB">
        <w:rPr>
          <w:rFonts w:ascii="Tahoma" w:hAnsi="Tahoma"/>
          <w:sz w:val="27"/>
          <w:rtl/>
          <w:lang w:bidi="fa-IR"/>
        </w:rPr>
        <w:t>ر</w:t>
      </w:r>
      <w:r w:rsidR="005F2CDD" w:rsidRPr="00904FCB">
        <w:rPr>
          <w:rFonts w:ascii="Tahoma" w:hAnsi="Tahoma" w:hint="cs"/>
          <w:sz w:val="27"/>
          <w:rtl/>
          <w:lang w:bidi="fa-IR"/>
        </w:rPr>
        <w:t>ْ</w:t>
      </w:r>
      <w:r w:rsidRPr="00904FCB">
        <w:rPr>
          <w:rFonts w:ascii="Tahoma" w:hAnsi="Tahoma"/>
          <w:sz w:val="27"/>
          <w:rtl/>
          <w:lang w:bidi="fa-IR"/>
        </w:rPr>
        <w:t>مة</w:t>
      </w:r>
      <w:r w:rsidR="00CA1FED" w:rsidRPr="00904FCB">
        <w:rPr>
          <w:rFonts w:ascii="Tahoma" w:hAnsi="Tahoma" w:hint="cs"/>
          <w:sz w:val="27"/>
          <w:rtl/>
          <w:lang w:bidi="fa-IR"/>
        </w:rPr>
        <w:t>،</w:t>
      </w:r>
      <w:r w:rsidRPr="00904FCB">
        <w:rPr>
          <w:rFonts w:ascii="Tahoma" w:hAnsi="Tahoma"/>
          <w:sz w:val="27"/>
          <w:rtl/>
          <w:lang w:bidi="fa-IR"/>
        </w:rPr>
        <w:t xml:space="preserve"> بينما «النظام في المجتمع ليس سلوكاً غريزياً</w:t>
      </w:r>
      <w:r w:rsidR="00E53A5B" w:rsidRPr="00904FCB">
        <w:rPr>
          <w:rFonts w:ascii="Tahoma" w:hAnsi="Tahoma" w:hint="cs"/>
          <w:sz w:val="27"/>
          <w:rtl/>
          <w:lang w:bidi="fa-IR"/>
        </w:rPr>
        <w:t>،</w:t>
      </w:r>
      <w:r w:rsidRPr="00904FCB">
        <w:rPr>
          <w:rFonts w:ascii="Tahoma" w:hAnsi="Tahoma"/>
          <w:sz w:val="27"/>
          <w:rtl/>
          <w:lang w:bidi="fa-IR"/>
        </w:rPr>
        <w:t xml:space="preserve"> ولا تلقائياً</w:t>
      </w:r>
      <w:r w:rsidR="00E53A5B" w:rsidRPr="00904FCB">
        <w:rPr>
          <w:rFonts w:ascii="Tahoma" w:hAnsi="Tahoma" w:hint="cs"/>
          <w:sz w:val="27"/>
          <w:rtl/>
          <w:lang w:bidi="fa-IR"/>
        </w:rPr>
        <w:t>،</w:t>
      </w:r>
      <w:r w:rsidRPr="00904FCB">
        <w:rPr>
          <w:rFonts w:ascii="Tahoma" w:hAnsi="Tahoma"/>
          <w:sz w:val="27"/>
          <w:rtl/>
          <w:lang w:bidi="fa-IR"/>
        </w:rPr>
        <w:t xml:space="preserve"> ولكنه ينجم عن الضبط الاجتماعي</w:t>
      </w:r>
      <w:r w:rsidR="00E53A5B" w:rsidRPr="00904FCB">
        <w:rPr>
          <w:rFonts w:ascii="Tahoma" w:hAnsi="Tahoma" w:hint="cs"/>
          <w:sz w:val="27"/>
          <w:rtl/>
          <w:lang w:bidi="fa-IR"/>
        </w:rPr>
        <w:t>،</w:t>
      </w:r>
      <w:r w:rsidRPr="00904FCB">
        <w:rPr>
          <w:rFonts w:ascii="Tahoma" w:hAnsi="Tahoma"/>
          <w:sz w:val="27"/>
          <w:rtl/>
          <w:lang w:bidi="fa-IR"/>
        </w:rPr>
        <w:t xml:space="preserve"> ويتوقف عليه»</w:t>
      </w:r>
      <w:r w:rsidR="00E53A5B" w:rsidRPr="00904FCB">
        <w:rPr>
          <w:rFonts w:ascii="Tahoma" w:hAnsi="Tahoma" w:hint="cs"/>
          <w:sz w:val="27"/>
          <w:rtl/>
          <w:lang w:bidi="fa-IR"/>
        </w:rPr>
        <w:t>.</w:t>
      </w:r>
      <w:r w:rsidRPr="00904FCB">
        <w:rPr>
          <w:rFonts w:ascii="Tahoma" w:hAnsi="Tahoma"/>
          <w:sz w:val="27"/>
          <w:rtl/>
          <w:lang w:bidi="fa-IR"/>
        </w:rPr>
        <w:t xml:space="preserve"> لذلك يعد</w:t>
      </w:r>
      <w:r w:rsidR="00E53A5B" w:rsidRPr="00904FCB">
        <w:rPr>
          <w:rFonts w:ascii="Tahoma" w:hAnsi="Tahoma" w:hint="cs"/>
          <w:sz w:val="27"/>
          <w:rtl/>
          <w:lang w:bidi="fa-IR"/>
        </w:rPr>
        <w:t>ّ</w:t>
      </w:r>
      <w:r w:rsidRPr="00904FCB">
        <w:rPr>
          <w:rFonts w:ascii="Tahoma" w:hAnsi="Tahoma"/>
          <w:sz w:val="27"/>
          <w:rtl/>
          <w:lang w:bidi="fa-IR"/>
        </w:rPr>
        <w:t xml:space="preserve"> القانون وفق المصطلح الأكاديمي الحديث له</w:t>
      </w:r>
      <w:r w:rsidR="00E53A5B" w:rsidRPr="00904FCB">
        <w:rPr>
          <w:rFonts w:ascii="Tahoma" w:hAnsi="Tahoma" w:hint="cs"/>
          <w:sz w:val="27"/>
          <w:rtl/>
          <w:lang w:bidi="fa-IR"/>
        </w:rPr>
        <w:t xml:space="preserve"> </w:t>
      </w:r>
      <w:r w:rsidRPr="00904FCB">
        <w:rPr>
          <w:rFonts w:ascii="Tahoma" w:hAnsi="Tahoma"/>
          <w:sz w:val="27"/>
          <w:rtl/>
          <w:lang w:bidi="fa-IR"/>
        </w:rPr>
        <w:t xml:space="preserve">«من </w:t>
      </w:r>
      <w:r w:rsidR="00E53A5B" w:rsidRPr="00904FCB">
        <w:rPr>
          <w:rFonts w:ascii="Tahoma" w:hAnsi="Tahoma" w:hint="cs"/>
          <w:sz w:val="27"/>
          <w:rtl/>
          <w:lang w:bidi="fa-IR"/>
        </w:rPr>
        <w:t>أ</w:t>
      </w:r>
      <w:r w:rsidRPr="00904FCB">
        <w:rPr>
          <w:rFonts w:ascii="Tahoma" w:hAnsi="Tahoma"/>
          <w:sz w:val="27"/>
          <w:rtl/>
          <w:lang w:bidi="fa-IR"/>
        </w:rPr>
        <w:t>هم</w:t>
      </w:r>
      <w:r w:rsidR="00E53A5B" w:rsidRPr="00904FCB">
        <w:rPr>
          <w:rFonts w:ascii="Tahoma" w:hAnsi="Tahoma" w:hint="cs"/>
          <w:sz w:val="27"/>
          <w:rtl/>
          <w:lang w:bidi="fa-IR"/>
        </w:rPr>
        <w:t>ّ</w:t>
      </w:r>
      <w:r w:rsidRPr="00904FCB">
        <w:rPr>
          <w:rFonts w:ascii="Tahoma" w:hAnsi="Tahoma"/>
          <w:sz w:val="27"/>
          <w:rtl/>
          <w:lang w:bidi="fa-IR"/>
        </w:rPr>
        <w:t xml:space="preserve"> وسائل الضبط الاجتماعي</w:t>
      </w:r>
      <w:r w:rsidR="00E53A5B" w:rsidRPr="00904FCB">
        <w:rPr>
          <w:rFonts w:ascii="Tahoma" w:hAnsi="Tahoma" w:hint="cs"/>
          <w:sz w:val="27"/>
          <w:rtl/>
          <w:lang w:bidi="fa-IR"/>
        </w:rPr>
        <w:t>،</w:t>
      </w:r>
      <w:r w:rsidRPr="00904FCB">
        <w:rPr>
          <w:rFonts w:ascii="Tahoma" w:hAnsi="Tahoma"/>
          <w:sz w:val="27"/>
          <w:rtl/>
          <w:lang w:bidi="fa-IR"/>
        </w:rPr>
        <w:t xml:space="preserve"> بل هو الوسيلة الأساس</w:t>
      </w:r>
      <w:r w:rsidR="00E53A5B" w:rsidRPr="00904FCB">
        <w:rPr>
          <w:rFonts w:ascii="Tahoma" w:hAnsi="Tahoma"/>
          <w:sz w:val="27"/>
          <w:rtl/>
          <w:lang w:bidi="fa-IR"/>
        </w:rPr>
        <w:t>ية التي يعتمد عليها المجتمع الم</w:t>
      </w:r>
      <w:r w:rsidRPr="00904FCB">
        <w:rPr>
          <w:rFonts w:ascii="Tahoma" w:hAnsi="Tahoma"/>
          <w:sz w:val="27"/>
          <w:rtl/>
          <w:lang w:bidi="fa-IR"/>
        </w:rPr>
        <w:t>نظ</w:t>
      </w:r>
      <w:r w:rsidR="00E53A5B" w:rsidRPr="00904FCB">
        <w:rPr>
          <w:rFonts w:ascii="Tahoma" w:hAnsi="Tahoma" w:hint="cs"/>
          <w:sz w:val="27"/>
          <w:rtl/>
          <w:lang w:bidi="fa-IR"/>
        </w:rPr>
        <w:t>ّ</w:t>
      </w:r>
      <w:r w:rsidRPr="00904FCB">
        <w:rPr>
          <w:rFonts w:ascii="Tahoma" w:hAnsi="Tahoma"/>
          <w:sz w:val="27"/>
          <w:rtl/>
          <w:lang w:bidi="fa-IR"/>
        </w:rPr>
        <w:t xml:space="preserve">م في </w:t>
      </w:r>
      <w:r w:rsidRPr="00904FCB">
        <w:rPr>
          <w:rFonts w:ascii="Tahoma" w:hAnsi="Tahoma"/>
          <w:sz w:val="27"/>
          <w:rtl/>
          <w:lang w:bidi="fa-IR"/>
        </w:rPr>
        <w:lastRenderedPageBreak/>
        <w:t>ضبط سلوك أفراده». ولهذ يرى بعض الباحثين الغربيين (روسكو باوند) «</w:t>
      </w:r>
      <w:r w:rsidR="00E53A5B" w:rsidRPr="00904FCB">
        <w:rPr>
          <w:rFonts w:ascii="Tahoma" w:hAnsi="Tahoma" w:hint="cs"/>
          <w:sz w:val="27"/>
          <w:rtl/>
          <w:lang w:bidi="fa-IR"/>
        </w:rPr>
        <w:t>أ</w:t>
      </w:r>
      <w:r w:rsidRPr="00904FCB">
        <w:rPr>
          <w:rFonts w:ascii="Tahoma" w:hAnsi="Tahoma"/>
          <w:sz w:val="27"/>
          <w:rtl/>
          <w:lang w:bidi="fa-IR"/>
        </w:rPr>
        <w:t>ن القانون هو علم الهندسة الاجتماعية الذي يتحق</w:t>
      </w:r>
      <w:r w:rsidR="00E53A5B" w:rsidRPr="00904FCB">
        <w:rPr>
          <w:rFonts w:ascii="Tahoma" w:hAnsi="Tahoma" w:hint="cs"/>
          <w:sz w:val="27"/>
          <w:rtl/>
          <w:lang w:bidi="fa-IR"/>
        </w:rPr>
        <w:t>ّ</w:t>
      </w:r>
      <w:r w:rsidR="00E53A5B" w:rsidRPr="00904FCB">
        <w:rPr>
          <w:rFonts w:ascii="Tahoma" w:hAnsi="Tahoma"/>
          <w:sz w:val="27"/>
          <w:rtl/>
          <w:lang w:bidi="fa-IR"/>
        </w:rPr>
        <w:t>ق من خلاله</w:t>
      </w:r>
      <w:r w:rsidRPr="00904FCB">
        <w:rPr>
          <w:rFonts w:ascii="Tahoma" w:hAnsi="Tahoma"/>
          <w:sz w:val="27"/>
          <w:rtl/>
          <w:lang w:bidi="fa-IR"/>
        </w:rPr>
        <w:t xml:space="preserve"> تنظيم العلاقات ال</w:t>
      </w:r>
      <w:r w:rsidR="00E53A5B" w:rsidRPr="00904FCB">
        <w:rPr>
          <w:rFonts w:ascii="Tahoma" w:hAnsi="Tahoma" w:hint="cs"/>
          <w:sz w:val="27"/>
          <w:rtl/>
          <w:lang w:bidi="fa-IR"/>
        </w:rPr>
        <w:t>إ</w:t>
      </w:r>
      <w:r w:rsidRPr="00904FCB">
        <w:rPr>
          <w:rFonts w:ascii="Tahoma" w:hAnsi="Tahoma"/>
          <w:sz w:val="27"/>
          <w:rtl/>
          <w:lang w:bidi="fa-IR"/>
        </w:rPr>
        <w:t>نسانية في المجتمع المنظم سياسياً</w:t>
      </w:r>
      <w:r w:rsidR="00E53A5B" w:rsidRPr="00904FCB">
        <w:rPr>
          <w:rFonts w:ascii="Tahoma" w:hAnsi="Tahoma" w:hint="cs"/>
          <w:sz w:val="27"/>
          <w:rtl/>
          <w:lang w:bidi="fa-IR"/>
        </w:rPr>
        <w:t>،</w:t>
      </w:r>
      <w:r w:rsidRPr="00904FCB">
        <w:rPr>
          <w:rFonts w:ascii="Tahoma" w:hAnsi="Tahoma"/>
          <w:sz w:val="27"/>
          <w:rtl/>
          <w:lang w:bidi="fa-IR"/>
        </w:rPr>
        <w:t xml:space="preserve"> </w:t>
      </w:r>
      <w:r w:rsidR="00E53A5B" w:rsidRPr="00904FCB">
        <w:rPr>
          <w:rFonts w:ascii="Tahoma" w:hAnsi="Tahoma" w:hint="cs"/>
          <w:sz w:val="27"/>
          <w:rtl/>
          <w:lang w:bidi="fa-IR"/>
        </w:rPr>
        <w:t>أ</w:t>
      </w:r>
      <w:r w:rsidRPr="00904FCB">
        <w:rPr>
          <w:rFonts w:ascii="Tahoma" w:hAnsi="Tahoma"/>
          <w:sz w:val="27"/>
          <w:rtl/>
          <w:lang w:bidi="fa-IR"/>
        </w:rPr>
        <w:t>و الضبط الاجتماعي عن طريق الاستخدام المنهجي المط</w:t>
      </w:r>
      <w:r w:rsidR="00E53A5B" w:rsidRPr="00904FCB">
        <w:rPr>
          <w:rFonts w:ascii="Tahoma" w:hAnsi="Tahoma" w:hint="cs"/>
          <w:sz w:val="27"/>
          <w:rtl/>
          <w:lang w:bidi="fa-IR"/>
        </w:rPr>
        <w:t>ّ</w:t>
      </w:r>
      <w:r w:rsidRPr="00904FCB">
        <w:rPr>
          <w:rFonts w:ascii="Tahoma" w:hAnsi="Tahoma"/>
          <w:sz w:val="27"/>
          <w:rtl/>
          <w:lang w:bidi="fa-IR"/>
        </w:rPr>
        <w:t>رد لقو</w:t>
      </w:r>
      <w:r w:rsidR="00E53A5B" w:rsidRPr="00904FCB">
        <w:rPr>
          <w:rFonts w:ascii="Tahoma" w:hAnsi="Tahoma" w:hint="cs"/>
          <w:sz w:val="27"/>
          <w:rtl/>
          <w:lang w:bidi="fa-IR"/>
        </w:rPr>
        <w:t>ّ</w:t>
      </w:r>
      <w:r w:rsidR="00E53A5B" w:rsidRPr="00904FCB">
        <w:rPr>
          <w:rFonts w:ascii="Tahoma" w:hAnsi="Tahoma"/>
          <w:sz w:val="27"/>
          <w:rtl/>
          <w:lang w:bidi="fa-IR"/>
        </w:rPr>
        <w:t>ة المجتمع الم</w:t>
      </w:r>
      <w:r w:rsidRPr="00904FCB">
        <w:rPr>
          <w:rFonts w:ascii="Tahoma" w:hAnsi="Tahoma"/>
          <w:sz w:val="27"/>
          <w:rtl/>
          <w:lang w:bidi="fa-IR"/>
        </w:rPr>
        <w:t>نظم سياسياً»</w:t>
      </w:r>
      <w:r w:rsidR="00E53A5B" w:rsidRPr="00904FCB">
        <w:rPr>
          <w:rFonts w:ascii="Tahoma" w:hAnsi="Tahoma" w:hint="cs"/>
          <w:sz w:val="27"/>
          <w:rtl/>
          <w:lang w:bidi="fa-IR"/>
        </w:rPr>
        <w:t>.</w:t>
      </w:r>
      <w:r w:rsidRPr="00904FCB">
        <w:rPr>
          <w:rFonts w:ascii="Tahoma" w:hAnsi="Tahoma"/>
          <w:sz w:val="27"/>
          <w:rtl/>
          <w:lang w:bidi="fa-IR"/>
        </w:rPr>
        <w:t xml:space="preserve"> وبهذا </w:t>
      </w:r>
      <w:r w:rsidR="00E53A5B" w:rsidRPr="00904FCB">
        <w:rPr>
          <w:rFonts w:ascii="Tahoma" w:hAnsi="Tahoma" w:hint="cs"/>
          <w:sz w:val="27"/>
          <w:rtl/>
          <w:lang w:bidi="fa-IR"/>
        </w:rPr>
        <w:t>إ</w:t>
      </w:r>
      <w:r w:rsidR="00E53A5B" w:rsidRPr="00904FCB">
        <w:rPr>
          <w:rFonts w:ascii="Tahoma" w:hAnsi="Tahoma"/>
          <w:sz w:val="27"/>
          <w:rtl/>
          <w:lang w:bidi="fa-IR"/>
        </w:rPr>
        <w:t>ذا</w:t>
      </w:r>
      <w:r w:rsidR="00E53A5B" w:rsidRPr="00904FCB">
        <w:rPr>
          <w:rFonts w:ascii="Tahoma" w:hAnsi="Tahoma" w:hint="cs"/>
          <w:sz w:val="27"/>
          <w:rtl/>
          <w:lang w:bidi="fa-IR"/>
        </w:rPr>
        <w:t xml:space="preserve"> </w:t>
      </w:r>
      <w:r w:rsidRPr="00904FCB">
        <w:rPr>
          <w:rFonts w:ascii="Tahoma" w:hAnsi="Tahoma"/>
          <w:sz w:val="27"/>
          <w:rtl/>
          <w:lang w:bidi="fa-IR"/>
        </w:rPr>
        <w:t>ضعفت سلطة القانون في مجتمع</w:t>
      </w:r>
      <w:r w:rsidR="00E53A5B" w:rsidRPr="00904FCB">
        <w:rPr>
          <w:rFonts w:ascii="Tahoma" w:hAnsi="Tahoma" w:hint="cs"/>
          <w:sz w:val="27"/>
          <w:rtl/>
          <w:lang w:bidi="fa-IR"/>
        </w:rPr>
        <w:t>ٍ</w:t>
      </w:r>
      <w:r w:rsidRPr="00904FCB">
        <w:rPr>
          <w:rFonts w:ascii="Tahoma" w:hAnsi="Tahoma"/>
          <w:sz w:val="27"/>
          <w:rtl/>
          <w:lang w:bidi="fa-IR"/>
        </w:rPr>
        <w:t xml:space="preserve"> ما</w:t>
      </w:r>
      <w:r w:rsidR="00E53A5B" w:rsidRPr="00904FCB">
        <w:rPr>
          <w:rFonts w:ascii="Tahoma" w:hAnsi="Tahoma" w:hint="cs"/>
          <w:sz w:val="27"/>
          <w:rtl/>
          <w:lang w:bidi="fa-IR"/>
        </w:rPr>
        <w:t>؛</w:t>
      </w:r>
      <w:r w:rsidRPr="00904FCB">
        <w:rPr>
          <w:rFonts w:ascii="Tahoma" w:hAnsi="Tahoma"/>
          <w:sz w:val="27"/>
          <w:rtl/>
          <w:lang w:bidi="fa-IR"/>
        </w:rPr>
        <w:t xml:space="preserve"> لأمر</w:t>
      </w:r>
      <w:r w:rsidR="00E53A5B" w:rsidRPr="00904FCB">
        <w:rPr>
          <w:rFonts w:ascii="Tahoma" w:hAnsi="Tahoma" w:hint="cs"/>
          <w:sz w:val="27"/>
          <w:rtl/>
          <w:lang w:bidi="fa-IR"/>
        </w:rPr>
        <w:t>ٍ</w:t>
      </w:r>
      <w:r w:rsidRPr="00904FCB">
        <w:rPr>
          <w:rFonts w:ascii="Tahoma" w:hAnsi="Tahoma"/>
          <w:sz w:val="27"/>
          <w:rtl/>
          <w:lang w:bidi="fa-IR"/>
        </w:rPr>
        <w:t xml:space="preserve"> من ال</w:t>
      </w:r>
      <w:r w:rsidR="00E53A5B" w:rsidRPr="00904FCB">
        <w:rPr>
          <w:rFonts w:ascii="Tahoma" w:hAnsi="Tahoma" w:hint="cs"/>
          <w:sz w:val="27"/>
          <w:rtl/>
          <w:lang w:bidi="fa-IR"/>
        </w:rPr>
        <w:t>أ</w:t>
      </w:r>
      <w:r w:rsidRPr="00904FCB">
        <w:rPr>
          <w:rFonts w:ascii="Tahoma" w:hAnsi="Tahoma"/>
          <w:sz w:val="27"/>
          <w:rtl/>
          <w:lang w:bidi="fa-IR"/>
        </w:rPr>
        <w:t>مور</w:t>
      </w:r>
      <w:r w:rsidR="00E53A5B" w:rsidRPr="00904FCB">
        <w:rPr>
          <w:rFonts w:ascii="Tahoma" w:hAnsi="Tahoma" w:hint="cs"/>
          <w:sz w:val="27"/>
          <w:rtl/>
          <w:lang w:bidi="fa-IR"/>
        </w:rPr>
        <w:t>،</w:t>
      </w:r>
      <w:r w:rsidRPr="00904FCB">
        <w:rPr>
          <w:rFonts w:ascii="Tahoma" w:hAnsi="Tahoma"/>
          <w:sz w:val="27"/>
          <w:rtl/>
          <w:lang w:bidi="fa-IR"/>
        </w:rPr>
        <w:t xml:space="preserve"> ف</w:t>
      </w:r>
      <w:r w:rsidR="00E53A5B" w:rsidRPr="00904FCB">
        <w:rPr>
          <w:rFonts w:ascii="Tahoma" w:hAnsi="Tahoma" w:hint="cs"/>
          <w:sz w:val="27"/>
          <w:rtl/>
          <w:lang w:bidi="fa-IR"/>
        </w:rPr>
        <w:t>إ</w:t>
      </w:r>
      <w:r w:rsidR="00E53A5B" w:rsidRPr="00904FCB">
        <w:rPr>
          <w:rFonts w:ascii="Tahoma" w:hAnsi="Tahoma"/>
          <w:sz w:val="27"/>
          <w:rtl/>
          <w:lang w:bidi="fa-IR"/>
        </w:rPr>
        <w:t>ن القانون لا يصبح رادعا</w:t>
      </w:r>
      <w:r w:rsidR="00E53A5B" w:rsidRPr="00904FCB">
        <w:rPr>
          <w:rFonts w:ascii="Tahoma" w:hAnsi="Tahoma" w:hint="cs"/>
          <w:sz w:val="27"/>
          <w:rtl/>
          <w:lang w:bidi="fa-IR"/>
        </w:rPr>
        <w:t>ً</w:t>
      </w:r>
      <w:r w:rsidRPr="00904FCB">
        <w:rPr>
          <w:rFonts w:ascii="Tahoma" w:hAnsi="Tahoma"/>
          <w:sz w:val="27"/>
          <w:rtl/>
          <w:lang w:bidi="fa-IR"/>
        </w:rPr>
        <w:t xml:space="preserve"> للجريمة، بل يتحو</w:t>
      </w:r>
      <w:r w:rsidR="00E53A5B" w:rsidRPr="00904FCB">
        <w:rPr>
          <w:rFonts w:ascii="Tahoma" w:hAnsi="Tahoma" w:hint="cs"/>
          <w:sz w:val="27"/>
          <w:rtl/>
          <w:lang w:bidi="fa-IR"/>
        </w:rPr>
        <w:t>ّ</w:t>
      </w:r>
      <w:r w:rsidRPr="00904FCB">
        <w:rPr>
          <w:rFonts w:ascii="Tahoma" w:hAnsi="Tahoma"/>
          <w:sz w:val="27"/>
          <w:rtl/>
          <w:lang w:bidi="fa-IR"/>
        </w:rPr>
        <w:t xml:space="preserve">ل المجتمع </w:t>
      </w:r>
      <w:r w:rsidR="00E53A5B" w:rsidRPr="00904FCB">
        <w:rPr>
          <w:rFonts w:ascii="Tahoma" w:hAnsi="Tahoma" w:hint="cs"/>
          <w:sz w:val="27"/>
          <w:rtl/>
          <w:lang w:bidi="fa-IR"/>
        </w:rPr>
        <w:t>إ</w:t>
      </w:r>
      <w:r w:rsidRPr="00904FCB">
        <w:rPr>
          <w:rFonts w:ascii="Tahoma" w:hAnsi="Tahoma"/>
          <w:sz w:val="27"/>
          <w:rtl/>
          <w:lang w:bidi="fa-IR"/>
        </w:rPr>
        <w:t>لى انفلات</w:t>
      </w:r>
      <w:r w:rsidR="00E53A5B" w:rsidRPr="00904FCB">
        <w:rPr>
          <w:rFonts w:ascii="Tahoma" w:hAnsi="Tahoma" w:hint="cs"/>
          <w:sz w:val="27"/>
          <w:rtl/>
          <w:lang w:bidi="fa-IR"/>
        </w:rPr>
        <w:t>ٍ،</w:t>
      </w:r>
      <w:r w:rsidRPr="00904FCB">
        <w:rPr>
          <w:rFonts w:ascii="Tahoma" w:hAnsi="Tahoma"/>
          <w:sz w:val="27"/>
          <w:rtl/>
          <w:lang w:bidi="fa-IR"/>
        </w:rPr>
        <w:t xml:space="preserve"> وينعدم الأمن والاستقرار</w:t>
      </w:r>
      <w:r w:rsidR="00E53A5B" w:rsidRPr="00904FCB">
        <w:rPr>
          <w:rFonts w:ascii="Tahoma" w:hAnsi="Tahoma" w:hint="cs"/>
          <w:sz w:val="27"/>
          <w:rtl/>
          <w:lang w:bidi="fa-IR"/>
        </w:rPr>
        <w:t>؛</w:t>
      </w:r>
      <w:r w:rsidRPr="00904FCB">
        <w:rPr>
          <w:rFonts w:ascii="Tahoma" w:hAnsi="Tahoma"/>
          <w:sz w:val="27"/>
          <w:rtl/>
          <w:lang w:bidi="fa-IR"/>
        </w:rPr>
        <w:t xml:space="preserve"> ل</w:t>
      </w:r>
      <w:r w:rsidR="0057607C">
        <w:rPr>
          <w:rFonts w:ascii="Tahoma" w:hAnsi="Tahoma" w:hint="cs"/>
          <w:sz w:val="27"/>
          <w:rtl/>
          <w:lang w:bidi="fa-IR"/>
        </w:rPr>
        <w:t>أ</w:t>
      </w:r>
      <w:r w:rsidRPr="00904FCB">
        <w:rPr>
          <w:rFonts w:ascii="Tahoma" w:hAnsi="Tahoma"/>
          <w:sz w:val="27"/>
          <w:rtl/>
          <w:lang w:bidi="fa-IR"/>
        </w:rPr>
        <w:t>ن</w:t>
      </w:r>
      <w:r w:rsidR="0057607C">
        <w:rPr>
          <w:rFonts w:ascii="Tahoma" w:hAnsi="Tahoma" w:hint="cs"/>
          <w:sz w:val="27"/>
          <w:rtl/>
          <w:lang w:bidi="fa-IR"/>
        </w:rPr>
        <w:t>ّ</w:t>
      </w:r>
      <w:r w:rsidRPr="00904FCB">
        <w:rPr>
          <w:rFonts w:ascii="Tahoma" w:hAnsi="Tahoma"/>
          <w:sz w:val="27"/>
          <w:rtl/>
          <w:lang w:bidi="fa-IR"/>
        </w:rPr>
        <w:t xml:space="preserve"> القانون الموضوع لا</w:t>
      </w:r>
      <w:r w:rsidR="00E53A5B" w:rsidRPr="00904FCB">
        <w:rPr>
          <w:rFonts w:ascii="Tahoma" w:hAnsi="Tahoma" w:hint="cs"/>
          <w:sz w:val="27"/>
          <w:rtl/>
          <w:lang w:bidi="fa-IR"/>
        </w:rPr>
        <w:t xml:space="preserve"> </w:t>
      </w:r>
      <w:r w:rsidRPr="00904FCB">
        <w:rPr>
          <w:rFonts w:ascii="Tahoma" w:hAnsi="Tahoma"/>
          <w:sz w:val="27"/>
          <w:rtl/>
          <w:lang w:bidi="fa-IR"/>
        </w:rPr>
        <w:t>يحمل قواعد</w:t>
      </w:r>
      <w:r w:rsidR="00E53A5B" w:rsidRPr="00904FCB">
        <w:rPr>
          <w:rFonts w:ascii="Tahoma" w:hAnsi="Tahoma" w:hint="cs"/>
          <w:sz w:val="27"/>
          <w:rtl/>
          <w:lang w:bidi="fa-IR"/>
        </w:rPr>
        <w:t>،</w:t>
      </w:r>
      <w:r w:rsidRPr="00904FCB">
        <w:rPr>
          <w:rFonts w:ascii="Tahoma" w:hAnsi="Tahoma"/>
          <w:sz w:val="27"/>
          <w:rtl/>
          <w:lang w:bidi="fa-IR"/>
        </w:rPr>
        <w:t xml:space="preserve"> ولا يستند </w:t>
      </w:r>
      <w:r w:rsidR="00E53A5B" w:rsidRPr="00904FCB">
        <w:rPr>
          <w:rFonts w:ascii="Tahoma" w:hAnsi="Tahoma" w:hint="cs"/>
          <w:sz w:val="27"/>
          <w:rtl/>
          <w:lang w:bidi="fa-IR"/>
        </w:rPr>
        <w:t>إ</w:t>
      </w:r>
      <w:r w:rsidRPr="00904FCB">
        <w:rPr>
          <w:rFonts w:ascii="Tahoma" w:hAnsi="Tahoma"/>
          <w:sz w:val="27"/>
          <w:rtl/>
          <w:lang w:bidi="fa-IR"/>
        </w:rPr>
        <w:t xml:space="preserve">لى </w:t>
      </w:r>
      <w:r w:rsidR="00E53A5B" w:rsidRPr="00904FCB">
        <w:rPr>
          <w:rFonts w:ascii="Tahoma" w:hAnsi="Tahoma" w:hint="cs"/>
          <w:sz w:val="27"/>
          <w:rtl/>
          <w:lang w:bidi="fa-IR"/>
        </w:rPr>
        <w:t>أ</w:t>
      </w:r>
      <w:r w:rsidRPr="00904FCB">
        <w:rPr>
          <w:rFonts w:ascii="Tahoma" w:hAnsi="Tahoma"/>
          <w:sz w:val="27"/>
          <w:rtl/>
          <w:lang w:bidi="fa-IR"/>
        </w:rPr>
        <w:t>سس منطلقة من ذات ال</w:t>
      </w:r>
      <w:r w:rsidR="00E53A5B" w:rsidRPr="00904FCB">
        <w:rPr>
          <w:rFonts w:ascii="Tahoma" w:hAnsi="Tahoma" w:hint="cs"/>
          <w:sz w:val="27"/>
          <w:rtl/>
          <w:lang w:bidi="fa-IR"/>
        </w:rPr>
        <w:t>إ</w:t>
      </w:r>
      <w:r w:rsidRPr="00904FCB">
        <w:rPr>
          <w:rFonts w:ascii="Tahoma" w:hAnsi="Tahoma"/>
          <w:sz w:val="27"/>
          <w:rtl/>
          <w:lang w:bidi="fa-IR"/>
        </w:rPr>
        <w:t xml:space="preserve">نسان قادرة على تحقيق </w:t>
      </w:r>
      <w:r w:rsidR="00E53A5B" w:rsidRPr="00904FCB">
        <w:rPr>
          <w:rFonts w:ascii="Tahoma" w:hAnsi="Tahoma" w:hint="cs"/>
          <w:sz w:val="27"/>
          <w:rtl/>
          <w:lang w:bidi="fa-IR"/>
        </w:rPr>
        <w:t>أ</w:t>
      </w:r>
      <w:r w:rsidRPr="00904FCB">
        <w:rPr>
          <w:rFonts w:ascii="Tahoma" w:hAnsi="Tahoma"/>
          <w:sz w:val="27"/>
          <w:rtl/>
          <w:lang w:bidi="fa-IR"/>
        </w:rPr>
        <w:t>هداف الأمن والحرية والعدالة والمساواة</w:t>
      </w:r>
      <w:r w:rsidR="00E53A5B" w:rsidRPr="00904FCB">
        <w:rPr>
          <w:rFonts w:ascii="Tahoma" w:hAnsi="Tahoma" w:hint="cs"/>
          <w:sz w:val="27"/>
          <w:rtl/>
          <w:lang w:bidi="fa-IR"/>
        </w:rPr>
        <w:t>.</w:t>
      </w:r>
      <w:r w:rsidRPr="00904FCB">
        <w:rPr>
          <w:rFonts w:ascii="Tahoma" w:hAnsi="Tahoma"/>
          <w:sz w:val="27"/>
          <w:rtl/>
          <w:lang w:bidi="fa-IR"/>
        </w:rPr>
        <w:t xml:space="preserve"> و</w:t>
      </w:r>
      <w:r w:rsidR="00E53A5B" w:rsidRPr="00904FCB">
        <w:rPr>
          <w:rFonts w:ascii="Tahoma" w:hAnsi="Tahoma" w:hint="cs"/>
          <w:sz w:val="27"/>
          <w:rtl/>
          <w:lang w:bidi="fa-IR"/>
        </w:rPr>
        <w:t>إ</w:t>
      </w:r>
      <w:r w:rsidRPr="00904FCB">
        <w:rPr>
          <w:rFonts w:ascii="Tahoma" w:hAnsi="Tahoma"/>
          <w:sz w:val="27"/>
          <w:rtl/>
          <w:lang w:bidi="fa-IR"/>
        </w:rPr>
        <w:t xml:space="preserve">ن «الواقع العملي </w:t>
      </w:r>
      <w:r w:rsidR="00E53A5B" w:rsidRPr="00904FCB">
        <w:rPr>
          <w:rFonts w:ascii="Tahoma" w:hAnsi="Tahoma" w:hint="cs"/>
          <w:sz w:val="27"/>
          <w:rtl/>
          <w:lang w:bidi="fa-IR"/>
        </w:rPr>
        <w:t>أ</w:t>
      </w:r>
      <w:r w:rsidRPr="00904FCB">
        <w:rPr>
          <w:rFonts w:ascii="Tahoma" w:hAnsi="Tahoma"/>
          <w:sz w:val="27"/>
          <w:rtl/>
          <w:lang w:bidi="fa-IR"/>
        </w:rPr>
        <w:t xml:space="preserve">ثبت عدم قدرة الكثير من الدساتير الوضعية على تحقيق تلك المثل العليا، بل </w:t>
      </w:r>
      <w:r w:rsidR="00E53A5B" w:rsidRPr="00904FCB">
        <w:rPr>
          <w:rFonts w:ascii="Tahoma" w:hAnsi="Tahoma" w:hint="cs"/>
          <w:sz w:val="27"/>
          <w:rtl/>
          <w:lang w:bidi="fa-IR"/>
        </w:rPr>
        <w:t>إ</w:t>
      </w:r>
      <w:r w:rsidRPr="00904FCB">
        <w:rPr>
          <w:rFonts w:ascii="Tahoma" w:hAnsi="Tahoma"/>
          <w:sz w:val="27"/>
          <w:rtl/>
          <w:lang w:bidi="fa-IR"/>
        </w:rPr>
        <w:t>نها في بعض ال</w:t>
      </w:r>
      <w:r w:rsidR="00E53A5B" w:rsidRPr="00904FCB">
        <w:rPr>
          <w:rFonts w:ascii="Tahoma" w:hAnsi="Tahoma" w:hint="cs"/>
          <w:sz w:val="27"/>
          <w:rtl/>
          <w:lang w:bidi="fa-IR"/>
        </w:rPr>
        <w:t>أ</w:t>
      </w:r>
      <w:r w:rsidRPr="00904FCB">
        <w:rPr>
          <w:rFonts w:ascii="Tahoma" w:hAnsi="Tahoma"/>
          <w:sz w:val="27"/>
          <w:rtl/>
          <w:lang w:bidi="fa-IR"/>
        </w:rPr>
        <w:t xml:space="preserve">حيان </w:t>
      </w:r>
      <w:r w:rsidR="00E53A5B" w:rsidRPr="00904FCB">
        <w:rPr>
          <w:rFonts w:ascii="Tahoma" w:hAnsi="Tahoma" w:hint="cs"/>
          <w:sz w:val="27"/>
          <w:rtl/>
          <w:lang w:bidi="fa-IR"/>
        </w:rPr>
        <w:t>أ</w:t>
      </w:r>
      <w:r w:rsidRPr="00904FCB">
        <w:rPr>
          <w:rFonts w:ascii="Tahoma" w:hAnsi="Tahoma"/>
          <w:sz w:val="27"/>
          <w:rtl/>
          <w:lang w:bidi="fa-IR"/>
        </w:rPr>
        <w:t>د</w:t>
      </w:r>
      <w:r w:rsidR="00E53A5B" w:rsidRPr="00904FCB">
        <w:rPr>
          <w:rFonts w:ascii="Tahoma" w:hAnsi="Tahoma" w:hint="cs"/>
          <w:sz w:val="27"/>
          <w:rtl/>
          <w:lang w:bidi="fa-IR"/>
        </w:rPr>
        <w:t>َّ</w:t>
      </w:r>
      <w:r w:rsidRPr="00904FCB">
        <w:rPr>
          <w:rFonts w:ascii="Tahoma" w:hAnsi="Tahoma"/>
          <w:sz w:val="27"/>
          <w:rtl/>
          <w:lang w:bidi="fa-IR"/>
        </w:rPr>
        <w:t>ت</w:t>
      </w:r>
      <w:r w:rsidR="00E53A5B" w:rsidRPr="00904FCB">
        <w:rPr>
          <w:rFonts w:ascii="Tahoma" w:hAnsi="Tahoma" w:hint="cs"/>
          <w:sz w:val="27"/>
          <w:rtl/>
          <w:lang w:bidi="fa-IR"/>
        </w:rPr>
        <w:t>ْ</w:t>
      </w:r>
      <w:r w:rsidRPr="00904FCB">
        <w:rPr>
          <w:rFonts w:ascii="Tahoma" w:hAnsi="Tahoma"/>
          <w:sz w:val="27"/>
          <w:rtl/>
          <w:lang w:bidi="fa-IR"/>
        </w:rPr>
        <w:t xml:space="preserve"> </w:t>
      </w:r>
      <w:r w:rsidR="00E53A5B" w:rsidRPr="00904FCB">
        <w:rPr>
          <w:rFonts w:ascii="Tahoma" w:hAnsi="Tahoma" w:hint="cs"/>
          <w:sz w:val="27"/>
          <w:rtl/>
          <w:lang w:bidi="fa-IR"/>
        </w:rPr>
        <w:t>إ</w:t>
      </w:r>
      <w:r w:rsidRPr="00904FCB">
        <w:rPr>
          <w:rFonts w:ascii="Tahoma" w:hAnsi="Tahoma"/>
          <w:sz w:val="27"/>
          <w:rtl/>
          <w:lang w:bidi="fa-IR"/>
        </w:rPr>
        <w:t>لى تصاعد الظلم والفوضى والاستغلال والعبودية</w:t>
      </w:r>
      <w:r w:rsidR="00E53A5B" w:rsidRPr="00904FCB">
        <w:rPr>
          <w:rFonts w:ascii="Tahoma" w:hAnsi="Tahoma" w:hint="cs"/>
          <w:sz w:val="27"/>
          <w:rtl/>
          <w:lang w:bidi="fa-IR"/>
        </w:rPr>
        <w:t>،</w:t>
      </w:r>
      <w:r w:rsidRPr="00904FCB">
        <w:rPr>
          <w:rFonts w:ascii="Tahoma" w:hAnsi="Tahoma"/>
          <w:sz w:val="27"/>
          <w:rtl/>
          <w:lang w:bidi="fa-IR"/>
        </w:rPr>
        <w:t xml:space="preserve"> </w:t>
      </w:r>
      <w:r w:rsidR="00E53A5B" w:rsidRPr="00904FCB">
        <w:rPr>
          <w:rFonts w:ascii="Tahoma" w:hAnsi="Tahoma" w:hint="cs"/>
          <w:sz w:val="27"/>
          <w:rtl/>
          <w:lang w:bidi="fa-IR"/>
        </w:rPr>
        <w:t>و</w:t>
      </w:r>
      <w:r w:rsidRPr="00904FCB">
        <w:rPr>
          <w:rFonts w:ascii="Tahoma" w:hAnsi="Tahoma"/>
          <w:sz w:val="27"/>
          <w:rtl/>
          <w:lang w:bidi="fa-IR"/>
        </w:rPr>
        <w:t>خاص</w:t>
      </w:r>
      <w:r w:rsidR="00E53A5B" w:rsidRPr="00904FCB">
        <w:rPr>
          <w:rFonts w:ascii="Tahoma" w:hAnsi="Tahoma" w:hint="cs"/>
          <w:sz w:val="27"/>
          <w:rtl/>
          <w:lang w:bidi="fa-IR"/>
        </w:rPr>
        <w:t>ّ</w:t>
      </w:r>
      <w:r w:rsidRPr="00904FCB">
        <w:rPr>
          <w:rFonts w:ascii="Tahoma" w:hAnsi="Tahoma"/>
          <w:sz w:val="27"/>
          <w:rtl/>
          <w:lang w:bidi="fa-IR"/>
        </w:rPr>
        <w:t>ة عندما يتعل</w:t>
      </w:r>
      <w:r w:rsidR="00E53A5B" w:rsidRPr="00904FCB">
        <w:rPr>
          <w:rFonts w:ascii="Tahoma" w:hAnsi="Tahoma" w:hint="cs"/>
          <w:sz w:val="27"/>
          <w:rtl/>
          <w:lang w:bidi="fa-IR"/>
        </w:rPr>
        <w:t>َّ</w:t>
      </w:r>
      <w:r w:rsidRPr="00904FCB">
        <w:rPr>
          <w:rFonts w:ascii="Tahoma" w:hAnsi="Tahoma"/>
          <w:sz w:val="27"/>
          <w:rtl/>
          <w:lang w:bidi="fa-IR"/>
        </w:rPr>
        <w:t>ق الأمر بسلطة مُستبد</w:t>
      </w:r>
      <w:r w:rsidR="00E53A5B" w:rsidRPr="00904FCB">
        <w:rPr>
          <w:rFonts w:ascii="Tahoma" w:hAnsi="Tahoma" w:hint="cs"/>
          <w:sz w:val="27"/>
          <w:rtl/>
          <w:lang w:bidi="fa-IR"/>
        </w:rPr>
        <w:t>ّ</w:t>
      </w:r>
      <w:r w:rsidRPr="00904FCB">
        <w:rPr>
          <w:rFonts w:ascii="Tahoma" w:hAnsi="Tahoma"/>
          <w:sz w:val="27"/>
          <w:rtl/>
          <w:lang w:bidi="fa-IR"/>
        </w:rPr>
        <w:t>ة</w:t>
      </w:r>
      <w:r w:rsidR="00E53A5B" w:rsidRPr="00904FCB">
        <w:rPr>
          <w:rFonts w:ascii="Tahoma" w:hAnsi="Tahoma" w:hint="cs"/>
          <w:sz w:val="27"/>
          <w:rtl/>
          <w:lang w:bidi="fa-IR"/>
        </w:rPr>
        <w:t>.</w:t>
      </w:r>
      <w:r w:rsidRPr="00904FCB">
        <w:rPr>
          <w:rFonts w:ascii="Tahoma" w:hAnsi="Tahoma"/>
          <w:sz w:val="27"/>
          <w:rtl/>
          <w:lang w:bidi="fa-IR"/>
        </w:rPr>
        <w:t xml:space="preserve"> وهذا الأمر يرتبط بالجوهر الذاتي للقانون الوضعي</w:t>
      </w:r>
      <w:r w:rsidR="00E53A5B" w:rsidRPr="00904FCB">
        <w:rPr>
          <w:rFonts w:ascii="Tahoma" w:hAnsi="Tahoma" w:hint="cs"/>
          <w:sz w:val="27"/>
          <w:rtl/>
          <w:lang w:bidi="fa-IR"/>
        </w:rPr>
        <w:t>،</w:t>
      </w:r>
      <w:r w:rsidRPr="00904FCB">
        <w:rPr>
          <w:rFonts w:ascii="Tahoma" w:hAnsi="Tahoma"/>
          <w:sz w:val="27"/>
          <w:rtl/>
          <w:lang w:bidi="fa-IR"/>
        </w:rPr>
        <w:t xml:space="preserve"> ومفهومه المعنوي</w:t>
      </w:r>
      <w:r w:rsidR="00E53A5B" w:rsidRPr="00904FCB">
        <w:rPr>
          <w:rFonts w:ascii="Tahoma" w:hAnsi="Tahoma" w:hint="cs"/>
          <w:sz w:val="27"/>
          <w:rtl/>
          <w:lang w:bidi="fa-IR"/>
        </w:rPr>
        <w:t>،</w:t>
      </w:r>
      <w:r w:rsidRPr="00904FCB">
        <w:rPr>
          <w:rFonts w:ascii="Tahoma" w:hAnsi="Tahoma"/>
          <w:sz w:val="27"/>
          <w:rtl/>
          <w:lang w:bidi="fa-IR"/>
        </w:rPr>
        <w:t xml:space="preserve"> ولا يتوق</w:t>
      </w:r>
      <w:r w:rsidR="00E53A5B" w:rsidRPr="00904FCB">
        <w:rPr>
          <w:rFonts w:ascii="Tahoma" w:hAnsi="Tahoma" w:hint="cs"/>
          <w:sz w:val="27"/>
          <w:rtl/>
          <w:lang w:bidi="fa-IR"/>
        </w:rPr>
        <w:t>َّ</w:t>
      </w:r>
      <w:r w:rsidRPr="00904FCB">
        <w:rPr>
          <w:rFonts w:ascii="Tahoma" w:hAnsi="Tahoma"/>
          <w:sz w:val="27"/>
          <w:rtl/>
          <w:lang w:bidi="fa-IR"/>
        </w:rPr>
        <w:t>ف على الكيفية السليمة التي تتم</w:t>
      </w:r>
      <w:r w:rsidR="00E53A5B" w:rsidRPr="00904FCB">
        <w:rPr>
          <w:rFonts w:ascii="Tahoma" w:hAnsi="Tahoma" w:hint="cs"/>
          <w:sz w:val="27"/>
          <w:rtl/>
          <w:lang w:bidi="fa-IR"/>
        </w:rPr>
        <w:t>ّ</w:t>
      </w:r>
      <w:r w:rsidRPr="00904FCB">
        <w:rPr>
          <w:rFonts w:ascii="Tahoma" w:hAnsi="Tahoma"/>
          <w:sz w:val="27"/>
          <w:rtl/>
          <w:lang w:bidi="fa-IR"/>
        </w:rPr>
        <w:t xml:space="preserve"> في تنفيذه، باعتبار </w:t>
      </w:r>
      <w:r w:rsidR="00E53A5B" w:rsidRPr="00904FCB">
        <w:rPr>
          <w:rFonts w:ascii="Tahoma" w:hAnsi="Tahoma" w:hint="cs"/>
          <w:sz w:val="27"/>
          <w:rtl/>
          <w:lang w:bidi="fa-IR"/>
        </w:rPr>
        <w:t>أ</w:t>
      </w:r>
      <w:r w:rsidRPr="00904FCB">
        <w:rPr>
          <w:rFonts w:ascii="Tahoma" w:hAnsi="Tahoma"/>
          <w:sz w:val="27"/>
          <w:rtl/>
          <w:lang w:bidi="fa-IR"/>
        </w:rPr>
        <w:t>ن واضع القانون هو نفس ال</w:t>
      </w:r>
      <w:r w:rsidR="00E53A5B" w:rsidRPr="00904FCB">
        <w:rPr>
          <w:rFonts w:ascii="Tahoma" w:hAnsi="Tahoma" w:hint="cs"/>
          <w:sz w:val="27"/>
          <w:rtl/>
          <w:lang w:bidi="fa-IR"/>
        </w:rPr>
        <w:t>إ</w:t>
      </w:r>
      <w:r w:rsidRPr="00904FCB">
        <w:rPr>
          <w:rFonts w:ascii="Tahoma" w:hAnsi="Tahoma"/>
          <w:sz w:val="27"/>
          <w:rtl/>
          <w:lang w:bidi="fa-IR"/>
        </w:rPr>
        <w:t>نسان المتحي</w:t>
      </w:r>
      <w:r w:rsidR="00E53A5B" w:rsidRPr="00904FCB">
        <w:rPr>
          <w:rFonts w:ascii="Tahoma" w:hAnsi="Tahoma" w:hint="cs"/>
          <w:sz w:val="27"/>
          <w:rtl/>
          <w:lang w:bidi="fa-IR"/>
        </w:rPr>
        <w:t>ِّ</w:t>
      </w:r>
      <w:r w:rsidRPr="00904FCB">
        <w:rPr>
          <w:rFonts w:ascii="Tahoma" w:hAnsi="Tahoma"/>
          <w:sz w:val="27"/>
          <w:rtl/>
          <w:lang w:bidi="fa-IR"/>
        </w:rPr>
        <w:t xml:space="preserve">ز </w:t>
      </w:r>
      <w:r w:rsidR="00E53A5B" w:rsidRPr="00904FCB">
        <w:rPr>
          <w:rFonts w:ascii="Tahoma" w:hAnsi="Tahoma" w:hint="cs"/>
          <w:sz w:val="27"/>
          <w:rtl/>
          <w:lang w:bidi="fa-IR"/>
        </w:rPr>
        <w:t>إ</w:t>
      </w:r>
      <w:r w:rsidRPr="00904FCB">
        <w:rPr>
          <w:rFonts w:ascii="Tahoma" w:hAnsi="Tahoma"/>
          <w:sz w:val="27"/>
          <w:rtl/>
          <w:lang w:bidi="fa-IR"/>
        </w:rPr>
        <w:t>لى اعتباراته الخاص</w:t>
      </w:r>
      <w:r w:rsidR="00E53A5B" w:rsidRPr="00904FCB">
        <w:rPr>
          <w:rFonts w:ascii="Tahoma" w:hAnsi="Tahoma" w:hint="cs"/>
          <w:sz w:val="27"/>
          <w:rtl/>
          <w:lang w:bidi="fa-IR"/>
        </w:rPr>
        <w:t>ّ</w:t>
      </w:r>
      <w:r w:rsidRPr="00904FCB">
        <w:rPr>
          <w:rFonts w:ascii="Tahoma" w:hAnsi="Tahoma"/>
          <w:sz w:val="27"/>
          <w:rtl/>
          <w:lang w:bidi="fa-IR"/>
        </w:rPr>
        <w:t>ة ومصالحه الشخصية</w:t>
      </w:r>
      <w:r w:rsidR="00E53A5B" w:rsidRPr="00904FCB">
        <w:rPr>
          <w:rFonts w:ascii="Tahoma" w:hAnsi="Tahoma" w:hint="cs"/>
          <w:sz w:val="27"/>
          <w:rtl/>
          <w:lang w:bidi="fa-IR"/>
        </w:rPr>
        <w:t>،</w:t>
      </w:r>
      <w:r w:rsidRPr="00904FCB">
        <w:rPr>
          <w:rFonts w:ascii="Tahoma" w:hAnsi="Tahoma"/>
          <w:sz w:val="27"/>
          <w:rtl/>
          <w:lang w:bidi="fa-IR"/>
        </w:rPr>
        <w:t xml:space="preserve"> وخضوعه لظروف الزمان والمكان المحدودة</w:t>
      </w:r>
      <w:r w:rsidR="00E53A5B" w:rsidRPr="00904FCB">
        <w:rPr>
          <w:rFonts w:ascii="Tahoma" w:hAnsi="Tahoma" w:hint="cs"/>
          <w:sz w:val="27"/>
          <w:rtl/>
          <w:lang w:bidi="fa-IR"/>
        </w:rPr>
        <w:t>،</w:t>
      </w:r>
      <w:r w:rsidRPr="00904FCB">
        <w:rPr>
          <w:rFonts w:ascii="Tahoma" w:hAnsi="Tahoma"/>
          <w:sz w:val="27"/>
          <w:rtl/>
          <w:lang w:bidi="fa-IR"/>
        </w:rPr>
        <w:t xml:space="preserve"> مهما كان هذا ال</w:t>
      </w:r>
      <w:r w:rsidR="00E53A5B" w:rsidRPr="00904FCB">
        <w:rPr>
          <w:rFonts w:ascii="Tahoma" w:hAnsi="Tahoma" w:hint="cs"/>
          <w:sz w:val="27"/>
          <w:rtl/>
          <w:lang w:bidi="fa-IR"/>
        </w:rPr>
        <w:t>إ</w:t>
      </w:r>
      <w:r w:rsidRPr="00904FCB">
        <w:rPr>
          <w:rFonts w:ascii="Tahoma" w:hAnsi="Tahoma"/>
          <w:sz w:val="27"/>
          <w:rtl/>
          <w:lang w:bidi="fa-IR"/>
        </w:rPr>
        <w:t xml:space="preserve">نسان نزيهاً </w:t>
      </w:r>
      <w:r w:rsidR="00E53A5B" w:rsidRPr="00904FCB">
        <w:rPr>
          <w:rFonts w:ascii="Tahoma" w:hAnsi="Tahoma" w:hint="cs"/>
          <w:sz w:val="27"/>
          <w:rtl/>
          <w:lang w:bidi="fa-IR"/>
        </w:rPr>
        <w:t>أ</w:t>
      </w:r>
      <w:r w:rsidRPr="00904FCB">
        <w:rPr>
          <w:rFonts w:ascii="Tahoma" w:hAnsi="Tahoma"/>
          <w:sz w:val="27"/>
          <w:rtl/>
          <w:lang w:bidi="fa-IR"/>
        </w:rPr>
        <w:t>و محايداً</w:t>
      </w:r>
      <w:r w:rsidR="00E53A5B" w:rsidRPr="00904FCB">
        <w:rPr>
          <w:rFonts w:ascii="Tahoma" w:hAnsi="Tahoma" w:hint="cs"/>
          <w:sz w:val="27"/>
          <w:rtl/>
          <w:lang w:bidi="fa-IR"/>
        </w:rPr>
        <w:t>.</w:t>
      </w:r>
      <w:r w:rsidRPr="00904FCB">
        <w:rPr>
          <w:rFonts w:ascii="Tahoma" w:hAnsi="Tahoma"/>
          <w:sz w:val="27"/>
          <w:rtl/>
          <w:lang w:bidi="fa-IR"/>
        </w:rPr>
        <w:t xml:space="preserve"> ولذا ف</w:t>
      </w:r>
      <w:r w:rsidR="00E53A5B" w:rsidRPr="00904FCB">
        <w:rPr>
          <w:rFonts w:ascii="Tahoma" w:hAnsi="Tahoma" w:hint="cs"/>
          <w:sz w:val="27"/>
          <w:rtl/>
          <w:lang w:bidi="fa-IR"/>
        </w:rPr>
        <w:t>إ</w:t>
      </w:r>
      <w:r w:rsidRPr="00904FCB">
        <w:rPr>
          <w:rFonts w:ascii="Tahoma" w:hAnsi="Tahoma"/>
          <w:sz w:val="27"/>
          <w:rtl/>
          <w:lang w:bidi="fa-IR"/>
        </w:rPr>
        <w:t>ن مفهوم العدل هذا لا</w:t>
      </w:r>
      <w:r w:rsidR="00E53A5B" w:rsidRPr="00904FCB">
        <w:rPr>
          <w:rFonts w:ascii="Tahoma" w:hAnsi="Tahoma" w:hint="cs"/>
          <w:sz w:val="27"/>
          <w:rtl/>
          <w:lang w:bidi="fa-IR"/>
        </w:rPr>
        <w:t xml:space="preserve"> </w:t>
      </w:r>
      <w:r w:rsidRPr="00904FCB">
        <w:rPr>
          <w:rFonts w:ascii="Tahoma" w:hAnsi="Tahoma"/>
          <w:sz w:val="27"/>
          <w:rtl/>
          <w:lang w:bidi="fa-IR"/>
        </w:rPr>
        <w:t xml:space="preserve">يكون </w:t>
      </w:r>
      <w:r w:rsidR="00E53A5B" w:rsidRPr="00904FCB">
        <w:rPr>
          <w:rFonts w:ascii="Tahoma" w:hAnsi="Tahoma" w:hint="cs"/>
          <w:sz w:val="27"/>
          <w:rtl/>
          <w:lang w:bidi="fa-IR"/>
        </w:rPr>
        <w:t>إ</w:t>
      </w:r>
      <w:r w:rsidRPr="00904FCB">
        <w:rPr>
          <w:rFonts w:ascii="Tahoma" w:hAnsi="Tahoma"/>
          <w:sz w:val="27"/>
          <w:rtl/>
          <w:lang w:bidi="fa-IR"/>
        </w:rPr>
        <w:t>لا</w:t>
      </w:r>
      <w:r w:rsidR="00E53A5B" w:rsidRPr="00904FCB">
        <w:rPr>
          <w:rFonts w:ascii="Tahoma" w:hAnsi="Tahoma" w:hint="cs"/>
          <w:sz w:val="27"/>
          <w:rtl/>
          <w:lang w:bidi="fa-IR"/>
        </w:rPr>
        <w:t>ّ</w:t>
      </w:r>
      <w:r w:rsidRPr="00904FCB">
        <w:rPr>
          <w:rFonts w:ascii="Tahoma" w:hAnsi="Tahoma"/>
          <w:sz w:val="27"/>
          <w:rtl/>
          <w:lang w:bidi="fa-IR"/>
        </w:rPr>
        <w:t xml:space="preserve"> نسبياً وضيقاً</w:t>
      </w:r>
      <w:r w:rsidR="00E53A5B" w:rsidRPr="00904FCB">
        <w:rPr>
          <w:rFonts w:ascii="Tahoma" w:hAnsi="Tahoma" w:hint="cs"/>
          <w:sz w:val="27"/>
          <w:rtl/>
          <w:lang w:bidi="fa-IR"/>
        </w:rPr>
        <w:t>،</w:t>
      </w:r>
      <w:r w:rsidRPr="00904FCB">
        <w:rPr>
          <w:rFonts w:ascii="Tahoma" w:hAnsi="Tahoma"/>
          <w:sz w:val="27"/>
          <w:rtl/>
          <w:lang w:bidi="fa-IR"/>
        </w:rPr>
        <w:t xml:space="preserve"> يراه واضع القانون من خلال زاويته البشرية الضيقة</w:t>
      </w:r>
      <w:r w:rsidR="00E53A5B" w:rsidRPr="00904FCB">
        <w:rPr>
          <w:rFonts w:ascii="Tahoma" w:hAnsi="Tahoma" w:hint="cs"/>
          <w:sz w:val="27"/>
          <w:rtl/>
          <w:lang w:bidi="fa-IR"/>
        </w:rPr>
        <w:t>.</w:t>
      </w:r>
      <w:r w:rsidRPr="00904FCB">
        <w:rPr>
          <w:rFonts w:ascii="Tahoma" w:hAnsi="Tahoma"/>
          <w:sz w:val="27"/>
          <w:rtl/>
          <w:lang w:bidi="fa-IR"/>
        </w:rPr>
        <w:t xml:space="preserve"> والعدل بمفهومه الشمولي والاستيعابي غير المحد</w:t>
      </w:r>
      <w:r w:rsidR="00E53A5B" w:rsidRPr="00904FCB">
        <w:rPr>
          <w:rFonts w:ascii="Tahoma" w:hAnsi="Tahoma" w:hint="cs"/>
          <w:sz w:val="27"/>
          <w:rtl/>
          <w:lang w:bidi="fa-IR"/>
        </w:rPr>
        <w:t>َّ</w:t>
      </w:r>
      <w:r w:rsidRPr="00904FCB">
        <w:rPr>
          <w:rFonts w:ascii="Tahoma" w:hAnsi="Tahoma"/>
          <w:sz w:val="27"/>
          <w:rtl/>
          <w:lang w:bidi="fa-IR"/>
        </w:rPr>
        <w:t>د وغير المتحي</w:t>
      </w:r>
      <w:r w:rsidR="00E53A5B" w:rsidRPr="00904FCB">
        <w:rPr>
          <w:rFonts w:ascii="Tahoma" w:hAnsi="Tahoma" w:hint="cs"/>
          <w:sz w:val="27"/>
          <w:rtl/>
          <w:lang w:bidi="fa-IR"/>
        </w:rPr>
        <w:t>ِّ</w:t>
      </w:r>
      <w:r w:rsidRPr="00904FCB">
        <w:rPr>
          <w:rFonts w:ascii="Tahoma" w:hAnsi="Tahoma"/>
          <w:sz w:val="27"/>
          <w:rtl/>
          <w:lang w:bidi="fa-IR"/>
        </w:rPr>
        <w:t>ز</w:t>
      </w:r>
      <w:r w:rsidR="00E53A5B" w:rsidRPr="00904FCB">
        <w:rPr>
          <w:rFonts w:ascii="Tahoma" w:hAnsi="Tahoma" w:hint="cs"/>
          <w:sz w:val="27"/>
          <w:rtl/>
          <w:lang w:bidi="fa-IR"/>
        </w:rPr>
        <w:t>،</w:t>
      </w:r>
      <w:r w:rsidRPr="00904FCB">
        <w:rPr>
          <w:rFonts w:ascii="Tahoma" w:hAnsi="Tahoma"/>
          <w:sz w:val="27"/>
          <w:rtl/>
          <w:lang w:bidi="fa-IR"/>
        </w:rPr>
        <w:t xml:space="preserve"> والقادر على توفير تلك الأهداف العليا</w:t>
      </w:r>
      <w:r w:rsidR="00E53A5B" w:rsidRPr="00904FCB">
        <w:rPr>
          <w:rFonts w:ascii="Tahoma" w:hAnsi="Tahoma" w:hint="cs"/>
          <w:sz w:val="27"/>
          <w:rtl/>
          <w:lang w:bidi="fa-IR"/>
        </w:rPr>
        <w:t>،</w:t>
      </w:r>
      <w:r w:rsidRPr="00904FCB">
        <w:rPr>
          <w:rFonts w:ascii="Tahoma" w:hAnsi="Tahoma"/>
          <w:sz w:val="27"/>
          <w:rtl/>
          <w:lang w:bidi="fa-IR"/>
        </w:rPr>
        <w:t xml:space="preserve"> لا</w:t>
      </w:r>
      <w:r w:rsidR="00E53A5B" w:rsidRPr="00904FCB">
        <w:rPr>
          <w:rFonts w:ascii="Tahoma" w:hAnsi="Tahoma" w:hint="cs"/>
          <w:sz w:val="27"/>
          <w:rtl/>
          <w:lang w:bidi="fa-IR"/>
        </w:rPr>
        <w:t xml:space="preserve"> </w:t>
      </w:r>
      <w:r w:rsidRPr="00904FCB">
        <w:rPr>
          <w:rFonts w:ascii="Tahoma" w:hAnsi="Tahoma"/>
          <w:sz w:val="27"/>
          <w:rtl/>
          <w:lang w:bidi="fa-IR"/>
        </w:rPr>
        <w:t>يتحق</w:t>
      </w:r>
      <w:r w:rsidR="00E53A5B" w:rsidRPr="00904FCB">
        <w:rPr>
          <w:rFonts w:ascii="Tahoma" w:hAnsi="Tahoma" w:hint="cs"/>
          <w:sz w:val="27"/>
          <w:rtl/>
          <w:lang w:bidi="fa-IR"/>
        </w:rPr>
        <w:t>َّ</w:t>
      </w:r>
      <w:r w:rsidRPr="00904FCB">
        <w:rPr>
          <w:rFonts w:ascii="Tahoma" w:hAnsi="Tahoma"/>
          <w:sz w:val="27"/>
          <w:rtl/>
          <w:lang w:bidi="fa-IR"/>
        </w:rPr>
        <w:t xml:space="preserve">ق </w:t>
      </w:r>
      <w:r w:rsidR="00E53A5B" w:rsidRPr="00904FCB">
        <w:rPr>
          <w:rFonts w:ascii="Tahoma" w:hAnsi="Tahoma" w:hint="cs"/>
          <w:sz w:val="27"/>
          <w:rtl/>
          <w:lang w:bidi="fa-IR"/>
        </w:rPr>
        <w:t>إ</w:t>
      </w:r>
      <w:r w:rsidRPr="00904FCB">
        <w:rPr>
          <w:rFonts w:ascii="Tahoma" w:hAnsi="Tahoma"/>
          <w:sz w:val="27"/>
          <w:rtl/>
          <w:lang w:bidi="fa-IR"/>
        </w:rPr>
        <w:t>لا</w:t>
      </w:r>
      <w:r w:rsidR="00E53A5B" w:rsidRPr="00904FCB">
        <w:rPr>
          <w:rFonts w:ascii="Tahoma" w:hAnsi="Tahoma" w:hint="cs"/>
          <w:sz w:val="27"/>
          <w:rtl/>
          <w:lang w:bidi="fa-IR"/>
        </w:rPr>
        <w:t>ّ</w:t>
      </w:r>
      <w:r w:rsidRPr="00904FCB">
        <w:rPr>
          <w:rFonts w:ascii="Tahoma" w:hAnsi="Tahoma"/>
          <w:sz w:val="27"/>
          <w:rtl/>
          <w:lang w:bidi="fa-IR"/>
        </w:rPr>
        <w:t xml:space="preserve"> من واضع</w:t>
      </w:r>
      <w:r w:rsidR="00E53A5B" w:rsidRPr="00904FCB">
        <w:rPr>
          <w:rFonts w:ascii="Tahoma" w:hAnsi="Tahoma" w:hint="cs"/>
          <w:sz w:val="27"/>
          <w:rtl/>
          <w:lang w:bidi="fa-IR"/>
        </w:rPr>
        <w:t>ٍ</w:t>
      </w:r>
      <w:r w:rsidRPr="00904FCB">
        <w:rPr>
          <w:rFonts w:ascii="Tahoma" w:hAnsi="Tahoma"/>
          <w:sz w:val="27"/>
          <w:rtl/>
          <w:lang w:bidi="fa-IR"/>
        </w:rPr>
        <w:t xml:space="preserve"> يمتلك تلك الخصوصيات</w:t>
      </w:r>
      <w:r w:rsidR="00E53A5B" w:rsidRPr="00904FCB">
        <w:rPr>
          <w:rFonts w:ascii="Tahoma" w:hAnsi="Tahoma" w:hint="cs"/>
          <w:sz w:val="27"/>
          <w:rtl/>
          <w:lang w:bidi="fa-IR"/>
        </w:rPr>
        <w:t>.</w:t>
      </w:r>
      <w:r w:rsidRPr="00904FCB">
        <w:rPr>
          <w:rFonts w:ascii="Tahoma" w:hAnsi="Tahoma"/>
          <w:sz w:val="27"/>
          <w:rtl/>
          <w:lang w:bidi="fa-IR"/>
        </w:rPr>
        <w:t xml:space="preserve"> ومن هنا يتمي</w:t>
      </w:r>
      <w:r w:rsidR="00E53A5B" w:rsidRPr="00904FCB">
        <w:rPr>
          <w:rFonts w:ascii="Tahoma" w:hAnsi="Tahoma" w:hint="cs"/>
          <w:sz w:val="27"/>
          <w:rtl/>
          <w:lang w:bidi="fa-IR"/>
        </w:rPr>
        <w:t>َّ</w:t>
      </w:r>
      <w:r w:rsidRPr="00904FCB">
        <w:rPr>
          <w:rFonts w:ascii="Tahoma" w:hAnsi="Tahoma"/>
          <w:sz w:val="27"/>
          <w:rtl/>
          <w:lang w:bidi="fa-IR"/>
        </w:rPr>
        <w:t xml:space="preserve">ز القانون الإلهي بأنه </w:t>
      </w:r>
      <w:r w:rsidR="00E53A5B" w:rsidRPr="00904FCB">
        <w:rPr>
          <w:rFonts w:ascii="Tahoma" w:hAnsi="Tahoma" w:hint="cs"/>
          <w:sz w:val="27"/>
          <w:rtl/>
          <w:lang w:bidi="fa-IR"/>
        </w:rPr>
        <w:t>أ</w:t>
      </w:r>
      <w:r w:rsidRPr="00904FCB">
        <w:rPr>
          <w:rFonts w:ascii="Tahoma" w:hAnsi="Tahoma"/>
          <w:sz w:val="27"/>
          <w:rtl/>
          <w:lang w:bidi="fa-IR"/>
        </w:rPr>
        <w:t>قدر على تحقيق العدل والأمن والاستقرار والحر</w:t>
      </w:r>
      <w:r w:rsidR="00E53A5B" w:rsidRPr="00904FCB">
        <w:rPr>
          <w:rFonts w:ascii="Tahoma" w:hAnsi="Tahoma" w:hint="cs"/>
          <w:sz w:val="27"/>
          <w:rtl/>
          <w:lang w:bidi="fa-IR"/>
        </w:rPr>
        <w:t>ّ</w:t>
      </w:r>
      <w:r w:rsidRPr="00904FCB">
        <w:rPr>
          <w:rFonts w:ascii="Tahoma" w:hAnsi="Tahoma"/>
          <w:sz w:val="27"/>
          <w:rtl/>
          <w:lang w:bidi="fa-IR"/>
        </w:rPr>
        <w:t>ية</w:t>
      </w:r>
      <w:r w:rsidR="00E53A5B" w:rsidRPr="00904FCB">
        <w:rPr>
          <w:rFonts w:ascii="Tahoma" w:hAnsi="Tahoma" w:hint="cs"/>
          <w:sz w:val="27"/>
          <w:rtl/>
          <w:lang w:bidi="fa-IR"/>
        </w:rPr>
        <w:t>؛</w:t>
      </w:r>
      <w:r w:rsidRPr="00904FCB">
        <w:rPr>
          <w:rFonts w:ascii="Tahoma" w:hAnsi="Tahoma"/>
          <w:sz w:val="27"/>
          <w:rtl/>
          <w:lang w:bidi="fa-IR"/>
        </w:rPr>
        <w:t xml:space="preserve"> باعتباره يمتلك الموضوعية المحايدة في التشريع والتقنين»</w:t>
      </w:r>
      <w:r w:rsidR="00E53A5B" w:rsidRPr="00904FCB">
        <w:rPr>
          <w:rFonts w:ascii="Tahoma" w:hAnsi="Tahoma" w:hint="cs"/>
          <w:sz w:val="27"/>
          <w:rtl/>
          <w:lang w:bidi="fa-IR"/>
        </w:rPr>
        <w:t>.</w:t>
      </w:r>
      <w:r w:rsidRPr="00904FCB">
        <w:rPr>
          <w:rFonts w:ascii="Tahoma" w:hAnsi="Tahoma"/>
          <w:sz w:val="27"/>
          <w:rtl/>
          <w:lang w:bidi="fa-IR"/>
        </w:rPr>
        <w:t xml:space="preserve"> ومن دواعي الأمن والاستقرار الاستقرار</w:t>
      </w:r>
      <w:r w:rsidR="00E53A5B" w:rsidRPr="00904FCB">
        <w:rPr>
          <w:rFonts w:ascii="Tahoma" w:hAnsi="Tahoma" w:hint="cs"/>
          <w:sz w:val="27"/>
          <w:rtl/>
          <w:lang w:bidi="fa-IR"/>
        </w:rPr>
        <w:t>ُ</w:t>
      </w:r>
      <w:r w:rsidRPr="00904FCB">
        <w:rPr>
          <w:rFonts w:ascii="Tahoma" w:hAnsi="Tahoma"/>
          <w:sz w:val="27"/>
          <w:rtl/>
          <w:lang w:bidi="fa-IR"/>
        </w:rPr>
        <w:t xml:space="preserve"> النفسي لذات الإنسان</w:t>
      </w:r>
      <w:r w:rsidR="00E53A5B" w:rsidRPr="00904FCB">
        <w:rPr>
          <w:rFonts w:ascii="Tahoma" w:hAnsi="Tahoma" w:hint="cs"/>
          <w:sz w:val="27"/>
          <w:rtl/>
          <w:lang w:bidi="fa-IR"/>
        </w:rPr>
        <w:t>.</w:t>
      </w:r>
      <w:r w:rsidRPr="00904FCB">
        <w:rPr>
          <w:rFonts w:ascii="Tahoma" w:hAnsi="Tahoma"/>
          <w:sz w:val="27"/>
          <w:rtl/>
          <w:lang w:bidi="fa-IR"/>
        </w:rPr>
        <w:t xml:space="preserve"> فحاجته إلى ال</w:t>
      </w:r>
      <w:r w:rsidR="00E53A5B" w:rsidRPr="00904FCB">
        <w:rPr>
          <w:rFonts w:ascii="Tahoma" w:hAnsi="Tahoma" w:hint="cs"/>
          <w:sz w:val="27"/>
          <w:rtl/>
          <w:lang w:bidi="fa-IR"/>
        </w:rPr>
        <w:t>إ</w:t>
      </w:r>
      <w:r w:rsidRPr="00904FCB">
        <w:rPr>
          <w:rFonts w:ascii="Tahoma" w:hAnsi="Tahoma"/>
          <w:sz w:val="27"/>
          <w:rtl/>
          <w:lang w:bidi="fa-IR"/>
        </w:rPr>
        <w:t>يمان والفضيلة والعلم والتقوى والتقد</w:t>
      </w:r>
      <w:r w:rsidR="00E53A5B" w:rsidRPr="00904FCB">
        <w:rPr>
          <w:rFonts w:ascii="Tahoma" w:hAnsi="Tahoma" w:hint="cs"/>
          <w:sz w:val="27"/>
          <w:rtl/>
          <w:lang w:bidi="fa-IR"/>
        </w:rPr>
        <w:t>ُّ</w:t>
      </w:r>
      <w:r w:rsidRPr="00904FCB">
        <w:rPr>
          <w:rFonts w:ascii="Tahoma" w:hAnsi="Tahoma"/>
          <w:sz w:val="27"/>
          <w:rtl/>
          <w:lang w:bidi="fa-IR"/>
        </w:rPr>
        <w:t>م والأمن والاستقلال والحر</w:t>
      </w:r>
      <w:r w:rsidR="00E53A5B" w:rsidRPr="00904FCB">
        <w:rPr>
          <w:rFonts w:ascii="Tahoma" w:hAnsi="Tahoma" w:hint="cs"/>
          <w:sz w:val="27"/>
          <w:rtl/>
          <w:lang w:bidi="fa-IR"/>
        </w:rPr>
        <w:t>ّ</w:t>
      </w:r>
      <w:r w:rsidRPr="00904FCB">
        <w:rPr>
          <w:rFonts w:ascii="Tahoma" w:hAnsi="Tahoma"/>
          <w:sz w:val="27"/>
          <w:rtl/>
          <w:lang w:bidi="fa-IR"/>
        </w:rPr>
        <w:t>ية والعدالة والمساواة حاجة</w:t>
      </w:r>
      <w:r w:rsidR="00E53A5B" w:rsidRPr="00904FCB">
        <w:rPr>
          <w:rFonts w:ascii="Tahoma" w:hAnsi="Tahoma" w:hint="cs"/>
          <w:sz w:val="27"/>
          <w:rtl/>
          <w:lang w:bidi="fa-IR"/>
        </w:rPr>
        <w:t>ٌ</w:t>
      </w:r>
      <w:r w:rsidRPr="00904FCB">
        <w:rPr>
          <w:rFonts w:ascii="Tahoma" w:hAnsi="Tahoma"/>
          <w:sz w:val="27"/>
          <w:rtl/>
          <w:lang w:bidi="fa-IR"/>
        </w:rPr>
        <w:t xml:space="preserve"> ملحة تنطلق من ذاته</w:t>
      </w:r>
      <w:r w:rsidR="00E53A5B" w:rsidRPr="00904FCB">
        <w:rPr>
          <w:rFonts w:ascii="Tahoma" w:hAnsi="Tahoma" w:hint="cs"/>
          <w:sz w:val="27"/>
          <w:rtl/>
          <w:lang w:bidi="fa-IR"/>
        </w:rPr>
        <w:t>،</w:t>
      </w:r>
      <w:r w:rsidRPr="00904FCB">
        <w:rPr>
          <w:rFonts w:ascii="Tahoma" w:hAnsi="Tahoma"/>
          <w:sz w:val="27"/>
          <w:rtl/>
          <w:lang w:bidi="fa-IR"/>
        </w:rPr>
        <w:t xml:space="preserve"> لا</w:t>
      </w:r>
      <w:r w:rsidR="00E53A5B" w:rsidRPr="00904FCB">
        <w:rPr>
          <w:rFonts w:ascii="Tahoma" w:hAnsi="Tahoma" w:hint="cs"/>
          <w:sz w:val="27"/>
          <w:rtl/>
          <w:lang w:bidi="fa-IR"/>
        </w:rPr>
        <w:t xml:space="preserve"> </w:t>
      </w:r>
      <w:r w:rsidRPr="00904FCB">
        <w:rPr>
          <w:rFonts w:ascii="Tahoma" w:hAnsi="Tahoma"/>
          <w:sz w:val="27"/>
          <w:rtl/>
          <w:lang w:bidi="fa-IR"/>
        </w:rPr>
        <w:t>ت</w:t>
      </w:r>
      <w:r w:rsidR="00E53A5B" w:rsidRPr="00904FCB">
        <w:rPr>
          <w:rFonts w:ascii="Tahoma" w:hAnsi="Tahoma" w:hint="cs"/>
          <w:sz w:val="27"/>
          <w:rtl/>
          <w:lang w:bidi="fa-IR"/>
        </w:rPr>
        <w:t>ُ</w:t>
      </w:r>
      <w:r w:rsidRPr="00904FCB">
        <w:rPr>
          <w:rFonts w:ascii="Tahoma" w:hAnsi="Tahoma"/>
          <w:sz w:val="27"/>
          <w:rtl/>
          <w:lang w:bidi="fa-IR"/>
        </w:rPr>
        <w:t>ع</w:t>
      </w:r>
      <w:r w:rsidR="00E53A5B" w:rsidRPr="00904FCB">
        <w:rPr>
          <w:rFonts w:ascii="Tahoma" w:hAnsi="Tahoma" w:hint="cs"/>
          <w:sz w:val="27"/>
          <w:rtl/>
          <w:lang w:bidi="fa-IR"/>
        </w:rPr>
        <w:t>ْ</w:t>
      </w:r>
      <w:r w:rsidRPr="00904FCB">
        <w:rPr>
          <w:rFonts w:ascii="Tahoma" w:hAnsi="Tahoma"/>
          <w:sz w:val="27"/>
          <w:rtl/>
          <w:lang w:bidi="fa-IR"/>
        </w:rPr>
        <w:t>ط</w:t>
      </w:r>
      <w:r w:rsidR="00E53A5B" w:rsidRPr="00904FCB">
        <w:rPr>
          <w:rFonts w:ascii="Tahoma" w:hAnsi="Tahoma" w:hint="cs"/>
          <w:sz w:val="27"/>
          <w:rtl/>
          <w:lang w:bidi="fa-IR"/>
        </w:rPr>
        <w:t>َ</w:t>
      </w:r>
      <w:r w:rsidRPr="00904FCB">
        <w:rPr>
          <w:rFonts w:ascii="Tahoma" w:hAnsi="Tahoma"/>
          <w:sz w:val="27"/>
          <w:rtl/>
          <w:lang w:bidi="fa-IR"/>
        </w:rPr>
        <w:t>ى له على شكل هبة</w:t>
      </w:r>
      <w:r w:rsidR="00E53A5B" w:rsidRPr="00904FCB">
        <w:rPr>
          <w:rFonts w:ascii="Tahoma" w:hAnsi="Tahoma" w:hint="cs"/>
          <w:sz w:val="27"/>
          <w:rtl/>
          <w:lang w:bidi="fa-IR"/>
        </w:rPr>
        <w:t>ٍ</w:t>
      </w:r>
      <w:r w:rsidRPr="00904FCB">
        <w:rPr>
          <w:rFonts w:ascii="Tahoma" w:hAnsi="Tahoma"/>
          <w:sz w:val="27"/>
          <w:rtl/>
          <w:lang w:bidi="fa-IR"/>
        </w:rPr>
        <w:t xml:space="preserve"> ممنوحة له، بينما لا</w:t>
      </w:r>
      <w:r w:rsidR="00E53A5B" w:rsidRPr="00904FCB">
        <w:rPr>
          <w:rFonts w:ascii="Tahoma" w:hAnsi="Tahoma" w:hint="cs"/>
          <w:sz w:val="27"/>
          <w:rtl/>
          <w:lang w:bidi="fa-IR"/>
        </w:rPr>
        <w:t xml:space="preserve"> </w:t>
      </w:r>
      <w:r w:rsidRPr="00904FCB">
        <w:rPr>
          <w:rFonts w:ascii="Tahoma" w:hAnsi="Tahoma"/>
          <w:sz w:val="27"/>
          <w:rtl/>
          <w:lang w:bidi="fa-IR"/>
        </w:rPr>
        <w:t xml:space="preserve">تتوافر هذه الحاجات في القوانين </w:t>
      </w:r>
      <w:r w:rsidR="00E53A5B" w:rsidRPr="00904FCB">
        <w:rPr>
          <w:rFonts w:ascii="Tahoma" w:hAnsi="Tahoma" w:hint="cs"/>
          <w:sz w:val="27"/>
          <w:rtl/>
          <w:lang w:bidi="fa-IR"/>
        </w:rPr>
        <w:t>ا</w:t>
      </w:r>
      <w:r w:rsidRPr="00904FCB">
        <w:rPr>
          <w:rFonts w:ascii="Tahoma" w:hAnsi="Tahoma"/>
          <w:sz w:val="27"/>
          <w:rtl/>
          <w:lang w:bidi="fa-IR"/>
        </w:rPr>
        <w:t>لوضعي</w:t>
      </w:r>
      <w:r w:rsidR="00E53A5B" w:rsidRPr="00904FCB">
        <w:rPr>
          <w:rFonts w:ascii="Tahoma" w:hAnsi="Tahoma" w:hint="cs"/>
          <w:sz w:val="27"/>
          <w:rtl/>
          <w:lang w:bidi="fa-IR"/>
        </w:rPr>
        <w:t>ة،</w:t>
      </w:r>
      <w:r w:rsidRPr="00904FCB">
        <w:rPr>
          <w:rFonts w:ascii="Tahoma" w:hAnsi="Tahoma"/>
          <w:sz w:val="27"/>
          <w:rtl/>
          <w:lang w:bidi="fa-IR"/>
        </w:rPr>
        <w:t xml:space="preserve"> ولا توف</w:t>
      </w:r>
      <w:r w:rsidR="00E53A5B" w:rsidRPr="00904FCB">
        <w:rPr>
          <w:rFonts w:ascii="Tahoma" w:hAnsi="Tahoma" w:hint="cs"/>
          <w:sz w:val="27"/>
          <w:rtl/>
          <w:lang w:bidi="fa-IR"/>
        </w:rPr>
        <w:t>ّ</w:t>
      </w:r>
      <w:r w:rsidRPr="00904FCB">
        <w:rPr>
          <w:rFonts w:ascii="Tahoma" w:hAnsi="Tahoma"/>
          <w:sz w:val="27"/>
          <w:rtl/>
          <w:lang w:bidi="fa-IR"/>
        </w:rPr>
        <w:t>رها له الأعراف والتقاليد</w:t>
      </w:r>
      <w:r w:rsidR="00E53A5B" w:rsidRPr="00904FCB">
        <w:rPr>
          <w:rFonts w:ascii="Tahoma" w:hAnsi="Tahoma" w:hint="cs"/>
          <w:sz w:val="27"/>
          <w:rtl/>
          <w:lang w:bidi="fa-IR"/>
        </w:rPr>
        <w:t>،</w:t>
      </w:r>
      <w:r w:rsidRPr="00904FCB">
        <w:rPr>
          <w:rFonts w:ascii="Tahoma" w:hAnsi="Tahoma"/>
          <w:sz w:val="27"/>
          <w:rtl/>
          <w:lang w:bidi="fa-IR"/>
        </w:rPr>
        <w:t xml:space="preserve"> ولن يجدها </w:t>
      </w:r>
      <w:r w:rsidR="00E53A5B" w:rsidRPr="00904FCB">
        <w:rPr>
          <w:rFonts w:ascii="Tahoma" w:hAnsi="Tahoma" w:hint="cs"/>
          <w:sz w:val="27"/>
          <w:rtl/>
          <w:lang w:bidi="fa-IR"/>
        </w:rPr>
        <w:t>إلاّ</w:t>
      </w:r>
      <w:r w:rsidRPr="00904FCB">
        <w:rPr>
          <w:rFonts w:ascii="Tahoma" w:hAnsi="Tahoma"/>
          <w:sz w:val="27"/>
          <w:rtl/>
          <w:lang w:bidi="fa-IR"/>
        </w:rPr>
        <w:t xml:space="preserve"> في التشريع الإلهي الناظر إلى هذه الحاجات</w:t>
      </w:r>
      <w:r w:rsidR="00E53A5B" w:rsidRPr="00904FCB">
        <w:rPr>
          <w:rFonts w:ascii="Tahoma" w:hAnsi="Tahoma"/>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أض</w:t>
      </w:r>
      <w:r w:rsidR="00E53A5B" w:rsidRPr="00904FCB">
        <w:rPr>
          <w:rFonts w:ascii="Tahoma" w:hAnsi="Tahoma" w:hint="cs"/>
          <w:sz w:val="27"/>
          <w:rtl/>
          <w:lang w:bidi="fa-IR"/>
        </w:rPr>
        <w:t>ِ</w:t>
      </w:r>
      <w:r w:rsidRPr="00904FCB">
        <w:rPr>
          <w:rFonts w:ascii="Tahoma" w:hAnsi="Tahoma"/>
          <w:sz w:val="27"/>
          <w:rtl/>
          <w:lang w:bidi="fa-IR"/>
        </w:rPr>
        <w:t>ف</w:t>
      </w:r>
      <w:r w:rsidR="00E53A5B" w:rsidRPr="00904FCB">
        <w:rPr>
          <w:rFonts w:ascii="Tahoma" w:hAnsi="Tahoma" w:hint="cs"/>
          <w:sz w:val="27"/>
          <w:rtl/>
          <w:lang w:bidi="fa-IR"/>
        </w:rPr>
        <w:t>ْ</w:t>
      </w:r>
      <w:r w:rsidRPr="00904FCB">
        <w:rPr>
          <w:rFonts w:ascii="Tahoma" w:hAnsi="Tahoma"/>
          <w:sz w:val="27"/>
          <w:rtl/>
          <w:lang w:bidi="fa-IR"/>
        </w:rPr>
        <w:t xml:space="preserve"> إلى ذلك طبيعة الإنسان الرافضة </w:t>
      </w:r>
      <w:r w:rsidR="00E53A5B" w:rsidRPr="00904FCB">
        <w:rPr>
          <w:rFonts w:ascii="Tahoma" w:hAnsi="Tahoma" w:hint="cs"/>
          <w:sz w:val="27"/>
          <w:rtl/>
          <w:lang w:bidi="fa-IR"/>
        </w:rPr>
        <w:t>ل</w:t>
      </w:r>
      <w:r w:rsidRPr="00904FCB">
        <w:rPr>
          <w:rFonts w:ascii="Tahoma" w:hAnsi="Tahoma"/>
          <w:sz w:val="27"/>
          <w:rtl/>
          <w:lang w:bidi="fa-IR"/>
        </w:rPr>
        <w:t xml:space="preserve">لإلزام </w:t>
      </w:r>
      <w:r w:rsidR="00E53A5B" w:rsidRPr="00904FCB">
        <w:rPr>
          <w:rFonts w:ascii="Tahoma" w:hAnsi="Tahoma" w:hint="cs"/>
          <w:sz w:val="27"/>
          <w:rtl/>
          <w:lang w:bidi="fa-IR"/>
        </w:rPr>
        <w:t>ا</w:t>
      </w:r>
      <w:r w:rsidRPr="00904FCB">
        <w:rPr>
          <w:rFonts w:ascii="Tahoma" w:hAnsi="Tahoma"/>
          <w:sz w:val="27"/>
          <w:rtl/>
          <w:lang w:bidi="fa-IR"/>
        </w:rPr>
        <w:t>لقسري، والحاكمة على سلوكه</w:t>
      </w:r>
      <w:r w:rsidR="00E53A5B" w:rsidRPr="00904FCB">
        <w:rPr>
          <w:rFonts w:ascii="Tahoma" w:hAnsi="Tahoma" w:hint="cs"/>
          <w:sz w:val="27"/>
          <w:rtl/>
          <w:lang w:bidi="fa-IR"/>
        </w:rPr>
        <w:t>.</w:t>
      </w:r>
      <w:r w:rsidRPr="00904FCB">
        <w:rPr>
          <w:rFonts w:ascii="Tahoma" w:hAnsi="Tahoma"/>
          <w:sz w:val="27"/>
          <w:rtl/>
          <w:lang w:bidi="fa-IR"/>
        </w:rPr>
        <w:t xml:space="preserve"> فالقانون الوضعي بأحكامه ومفهومه وفق المصطلح الحديث يحمل ذلك المعنى</w:t>
      </w:r>
      <w:r w:rsidR="00E53A5B" w:rsidRPr="00904FCB">
        <w:rPr>
          <w:rFonts w:ascii="Tahoma" w:hAnsi="Tahoma" w:hint="cs"/>
          <w:sz w:val="27"/>
          <w:rtl/>
          <w:lang w:bidi="fa-IR"/>
        </w:rPr>
        <w:t>؛</w:t>
      </w:r>
      <w:r w:rsidRPr="00904FCB">
        <w:rPr>
          <w:rFonts w:ascii="Tahoma" w:hAnsi="Tahoma"/>
          <w:sz w:val="27"/>
          <w:rtl/>
          <w:lang w:bidi="fa-IR"/>
        </w:rPr>
        <w:t xml:space="preserve"> كونه «قواعد ملزم</w:t>
      </w:r>
      <w:r w:rsidR="00E53A5B" w:rsidRPr="00904FCB">
        <w:rPr>
          <w:rFonts w:ascii="Tahoma" w:hAnsi="Tahoma" w:hint="cs"/>
          <w:sz w:val="27"/>
          <w:rtl/>
          <w:lang w:bidi="fa-IR"/>
        </w:rPr>
        <w:t>ة</w:t>
      </w:r>
      <w:r w:rsidRPr="00904FCB">
        <w:rPr>
          <w:rFonts w:ascii="Tahoma" w:hAnsi="Tahoma"/>
          <w:sz w:val="27"/>
          <w:rtl/>
          <w:lang w:bidi="fa-IR"/>
        </w:rPr>
        <w:t xml:space="preserve"> تنظ</w:t>
      </w:r>
      <w:r w:rsidR="00E53A5B" w:rsidRPr="00904FCB">
        <w:rPr>
          <w:rFonts w:ascii="Tahoma" w:hAnsi="Tahoma" w:hint="cs"/>
          <w:sz w:val="27"/>
          <w:rtl/>
          <w:lang w:bidi="fa-IR"/>
        </w:rPr>
        <w:t>ِّ</w:t>
      </w:r>
      <w:r w:rsidRPr="00904FCB">
        <w:rPr>
          <w:rFonts w:ascii="Tahoma" w:hAnsi="Tahoma"/>
          <w:sz w:val="27"/>
          <w:rtl/>
          <w:lang w:bidi="fa-IR"/>
        </w:rPr>
        <w:t>م سلوك الأشخاص في المجتمع</w:t>
      </w:r>
      <w:r w:rsidR="00E53A5B" w:rsidRPr="00904FCB">
        <w:rPr>
          <w:rFonts w:ascii="Tahoma" w:hAnsi="Tahoma" w:hint="cs"/>
          <w:sz w:val="27"/>
          <w:rtl/>
          <w:lang w:bidi="fa-IR"/>
        </w:rPr>
        <w:t>،</w:t>
      </w:r>
      <w:r w:rsidRPr="00904FCB">
        <w:rPr>
          <w:rFonts w:ascii="Tahoma" w:hAnsi="Tahoma"/>
          <w:sz w:val="27"/>
          <w:rtl/>
          <w:lang w:bidi="fa-IR"/>
        </w:rPr>
        <w:t xml:space="preserve"> على </w:t>
      </w:r>
      <w:r w:rsidR="00E53A5B" w:rsidRPr="00904FCB">
        <w:rPr>
          <w:rFonts w:ascii="Tahoma" w:hAnsi="Tahoma" w:hint="cs"/>
          <w:sz w:val="27"/>
          <w:rtl/>
          <w:lang w:bidi="fa-IR"/>
        </w:rPr>
        <w:t>أ</w:t>
      </w:r>
      <w:r w:rsidRPr="00904FCB">
        <w:rPr>
          <w:rFonts w:ascii="Tahoma" w:hAnsi="Tahoma"/>
          <w:sz w:val="27"/>
          <w:rtl/>
          <w:lang w:bidi="fa-IR"/>
        </w:rPr>
        <w:t xml:space="preserve">نه يفهم من </w:t>
      </w:r>
      <w:r w:rsidRPr="00904FCB">
        <w:rPr>
          <w:rFonts w:ascii="Tahoma" w:hAnsi="Tahoma"/>
          <w:sz w:val="27"/>
          <w:rtl/>
          <w:lang w:bidi="fa-IR"/>
        </w:rPr>
        <w:lastRenderedPageBreak/>
        <w:t>معنى الإلزام به أن له جزاء</w:t>
      </w:r>
      <w:r w:rsidR="00E53A5B" w:rsidRPr="00904FCB">
        <w:rPr>
          <w:rFonts w:ascii="Tahoma" w:hAnsi="Tahoma" w:hint="cs"/>
          <w:sz w:val="27"/>
          <w:rtl/>
          <w:lang w:bidi="fa-IR"/>
        </w:rPr>
        <w:t>ً</w:t>
      </w:r>
      <w:r w:rsidRPr="00904FCB">
        <w:rPr>
          <w:rFonts w:ascii="Tahoma" w:hAnsi="Tahoma"/>
          <w:sz w:val="27"/>
          <w:rtl/>
          <w:lang w:bidi="fa-IR"/>
        </w:rPr>
        <w:t xml:space="preserve"> ماد</w:t>
      </w:r>
      <w:r w:rsidR="00E53A5B" w:rsidRPr="00904FCB">
        <w:rPr>
          <w:rFonts w:ascii="Tahoma" w:hAnsi="Tahoma" w:hint="cs"/>
          <w:sz w:val="27"/>
          <w:rtl/>
          <w:lang w:bidi="fa-IR"/>
        </w:rPr>
        <w:t>ّ</w:t>
      </w:r>
      <w:r w:rsidRPr="00904FCB">
        <w:rPr>
          <w:rFonts w:ascii="Tahoma" w:hAnsi="Tahoma"/>
          <w:sz w:val="27"/>
          <w:rtl/>
          <w:lang w:bidi="fa-IR"/>
        </w:rPr>
        <w:t xml:space="preserve">ياً توقعه السلطة العليا في </w:t>
      </w:r>
      <w:r w:rsidR="00E53A5B" w:rsidRPr="00904FCB">
        <w:rPr>
          <w:rFonts w:ascii="Tahoma" w:hAnsi="Tahoma" w:hint="cs"/>
          <w:sz w:val="27"/>
          <w:rtl/>
          <w:lang w:bidi="fa-IR"/>
        </w:rPr>
        <w:t>ا</w:t>
      </w:r>
      <w:r w:rsidRPr="00904FCB">
        <w:rPr>
          <w:rFonts w:ascii="Tahoma" w:hAnsi="Tahoma"/>
          <w:sz w:val="27"/>
          <w:rtl/>
          <w:lang w:bidi="fa-IR"/>
        </w:rPr>
        <w:t>لجماع</w:t>
      </w:r>
      <w:r w:rsidR="00E53A5B" w:rsidRPr="00904FCB">
        <w:rPr>
          <w:rFonts w:ascii="Tahoma" w:hAnsi="Tahoma" w:hint="cs"/>
          <w:sz w:val="27"/>
          <w:rtl/>
          <w:lang w:bidi="fa-IR"/>
        </w:rPr>
        <w:t>ة</w:t>
      </w:r>
      <w:r w:rsidRPr="00904FCB">
        <w:rPr>
          <w:rFonts w:hint="eastAsia"/>
          <w:sz w:val="27"/>
          <w:rtl/>
        </w:rPr>
        <w:t>»</w:t>
      </w:r>
      <w:r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وإذا ما</w:t>
      </w:r>
      <w:r w:rsidR="00E53A5B" w:rsidRPr="00904FCB">
        <w:rPr>
          <w:rFonts w:ascii="Tahoma" w:hAnsi="Tahoma" w:hint="cs"/>
          <w:sz w:val="27"/>
          <w:rtl/>
          <w:lang w:bidi="fa-IR"/>
        </w:rPr>
        <w:t xml:space="preserve"> </w:t>
      </w:r>
      <w:r w:rsidRPr="00904FCB">
        <w:rPr>
          <w:rFonts w:ascii="Tahoma" w:hAnsi="Tahoma"/>
          <w:sz w:val="27"/>
          <w:rtl/>
          <w:lang w:bidi="fa-IR"/>
        </w:rPr>
        <w:t>رافقت هذه القوانين سلطة استبدادية ـ وما أكثرها</w:t>
      </w:r>
      <w:r w:rsidR="00E53A5B" w:rsidRPr="00904FCB">
        <w:rPr>
          <w:rFonts w:ascii="Tahoma" w:hAnsi="Tahoma" w:hint="cs"/>
          <w:sz w:val="27"/>
          <w:rtl/>
          <w:lang w:bidi="fa-IR"/>
        </w:rPr>
        <w:t>!</w:t>
      </w:r>
      <w:r w:rsidRPr="00904FCB">
        <w:rPr>
          <w:rFonts w:ascii="Tahoma" w:hAnsi="Tahoma"/>
          <w:sz w:val="27"/>
          <w:rtl/>
          <w:lang w:bidi="fa-IR"/>
        </w:rPr>
        <w:t xml:space="preserve"> ـ استغل</w:t>
      </w:r>
      <w:r w:rsidR="00E53A5B" w:rsidRPr="00904FCB">
        <w:rPr>
          <w:rFonts w:ascii="Tahoma" w:hAnsi="Tahoma" w:hint="cs"/>
          <w:sz w:val="27"/>
          <w:rtl/>
          <w:lang w:bidi="fa-IR"/>
        </w:rPr>
        <w:t>ّ</w:t>
      </w:r>
      <w:r w:rsidRPr="00904FCB">
        <w:rPr>
          <w:rFonts w:ascii="Tahoma" w:hAnsi="Tahoma"/>
          <w:sz w:val="27"/>
          <w:rtl/>
          <w:lang w:bidi="fa-IR"/>
        </w:rPr>
        <w:t>ت القانون استغلالاً سي</w:t>
      </w:r>
      <w:r w:rsidR="00E53A5B" w:rsidRPr="00904FCB">
        <w:rPr>
          <w:rFonts w:ascii="Tahoma" w:hAnsi="Tahoma" w:hint="cs"/>
          <w:sz w:val="27"/>
          <w:rtl/>
          <w:lang w:bidi="fa-IR"/>
        </w:rPr>
        <w:t>ّ</w:t>
      </w:r>
      <w:r w:rsidRPr="00904FCB">
        <w:rPr>
          <w:rFonts w:ascii="Tahoma" w:hAnsi="Tahoma"/>
          <w:sz w:val="27"/>
          <w:rtl/>
          <w:lang w:bidi="fa-IR"/>
        </w:rPr>
        <w:t>ئاً</w:t>
      </w:r>
      <w:r w:rsidR="00E53A5B" w:rsidRPr="00904FCB">
        <w:rPr>
          <w:rFonts w:ascii="Tahoma" w:hAnsi="Tahoma" w:hint="cs"/>
          <w:sz w:val="27"/>
          <w:rtl/>
          <w:lang w:bidi="fa-IR"/>
        </w:rPr>
        <w:t>،</w:t>
      </w:r>
      <w:r w:rsidRPr="00904FCB">
        <w:rPr>
          <w:rFonts w:ascii="Tahoma" w:hAnsi="Tahoma"/>
          <w:sz w:val="27"/>
          <w:rtl/>
          <w:lang w:bidi="fa-IR"/>
        </w:rPr>
        <w:t xml:space="preserve"> وجندته </w:t>
      </w:r>
      <w:r w:rsidR="00E53A5B" w:rsidRPr="00904FCB">
        <w:rPr>
          <w:rFonts w:ascii="Tahoma" w:hAnsi="Tahoma" w:hint="cs"/>
          <w:sz w:val="27"/>
          <w:rtl/>
          <w:lang w:bidi="fa-IR"/>
        </w:rPr>
        <w:t>ل</w:t>
      </w:r>
      <w:r w:rsidRPr="00904FCB">
        <w:rPr>
          <w:rFonts w:ascii="Tahoma" w:hAnsi="Tahoma"/>
          <w:sz w:val="27"/>
          <w:rtl/>
          <w:lang w:bidi="fa-IR"/>
        </w:rPr>
        <w:t>مصالحها</w:t>
      </w:r>
      <w:r w:rsidR="00E53A5B" w:rsidRPr="00904FCB">
        <w:rPr>
          <w:rFonts w:ascii="Tahoma" w:hAnsi="Tahoma" w:hint="cs"/>
          <w:sz w:val="27"/>
          <w:rtl/>
          <w:lang w:bidi="fa-IR"/>
        </w:rPr>
        <w:t>،</w:t>
      </w:r>
      <w:r w:rsidRPr="00904FCB">
        <w:rPr>
          <w:rFonts w:ascii="Tahoma" w:hAnsi="Tahoma"/>
          <w:sz w:val="27"/>
          <w:rtl/>
          <w:lang w:bidi="fa-IR"/>
        </w:rPr>
        <w:t xml:space="preserve"> ووضعت مواد</w:t>
      </w:r>
      <w:r w:rsidR="00E53A5B" w:rsidRPr="00904FCB">
        <w:rPr>
          <w:rFonts w:ascii="Tahoma" w:hAnsi="Tahoma" w:hint="cs"/>
          <w:sz w:val="27"/>
          <w:rtl/>
          <w:lang w:bidi="fa-IR"/>
        </w:rPr>
        <w:t>ّ</w:t>
      </w:r>
      <w:r w:rsidRPr="00904FCB">
        <w:rPr>
          <w:rFonts w:ascii="Tahoma" w:hAnsi="Tahoma"/>
          <w:sz w:val="27"/>
          <w:rtl/>
          <w:lang w:bidi="fa-IR"/>
        </w:rPr>
        <w:t xml:space="preserve"> قانونية تحد</w:t>
      </w:r>
      <w:r w:rsidR="00E53A5B" w:rsidRPr="00904FCB">
        <w:rPr>
          <w:rFonts w:ascii="Tahoma" w:hAnsi="Tahoma" w:hint="cs"/>
          <w:sz w:val="27"/>
          <w:rtl/>
          <w:lang w:bidi="fa-IR"/>
        </w:rPr>
        <w:t>ّ</w:t>
      </w:r>
      <w:r w:rsidRPr="00904FCB">
        <w:rPr>
          <w:rFonts w:ascii="Tahoma" w:hAnsi="Tahoma"/>
          <w:sz w:val="27"/>
          <w:rtl/>
          <w:lang w:bidi="fa-IR"/>
        </w:rPr>
        <w:t xml:space="preserve"> من حر</w:t>
      </w:r>
      <w:r w:rsidR="0057607C">
        <w:rPr>
          <w:rFonts w:ascii="Tahoma" w:hAnsi="Tahoma" w:hint="cs"/>
          <w:sz w:val="27"/>
          <w:rtl/>
          <w:lang w:bidi="fa-IR"/>
        </w:rPr>
        <w:t>ّ</w:t>
      </w:r>
      <w:r w:rsidRPr="00904FCB">
        <w:rPr>
          <w:rFonts w:ascii="Tahoma" w:hAnsi="Tahoma"/>
          <w:sz w:val="27"/>
          <w:rtl/>
          <w:lang w:bidi="fa-IR"/>
        </w:rPr>
        <w:t>يات الشعوب</w:t>
      </w:r>
      <w:r w:rsidR="00E53A5B" w:rsidRPr="00904FCB">
        <w:rPr>
          <w:rFonts w:ascii="Tahoma" w:hAnsi="Tahoma" w:hint="cs"/>
          <w:sz w:val="27"/>
          <w:rtl/>
          <w:lang w:bidi="fa-IR"/>
        </w:rPr>
        <w:t>،</w:t>
      </w:r>
      <w:r w:rsidRPr="00904FCB">
        <w:rPr>
          <w:rFonts w:ascii="Tahoma" w:hAnsi="Tahoma"/>
          <w:sz w:val="27"/>
          <w:rtl/>
          <w:lang w:bidi="fa-IR"/>
        </w:rPr>
        <w:t xml:space="preserve"> وتستغل ثروتها أبشع استغلال، وت</w:t>
      </w:r>
      <w:r w:rsidR="00E53A5B" w:rsidRPr="00904FCB">
        <w:rPr>
          <w:rFonts w:ascii="Tahoma" w:hAnsi="Tahoma" w:hint="cs"/>
          <w:sz w:val="27"/>
          <w:rtl/>
          <w:lang w:bidi="fa-IR"/>
        </w:rPr>
        <w:t>ت</w:t>
      </w:r>
      <w:r w:rsidRPr="00904FCB">
        <w:rPr>
          <w:rFonts w:ascii="Tahoma" w:hAnsi="Tahoma"/>
          <w:sz w:val="27"/>
          <w:rtl/>
          <w:lang w:bidi="fa-IR"/>
        </w:rPr>
        <w:t>فل</w:t>
      </w:r>
      <w:r w:rsidR="00E53A5B" w:rsidRPr="00904FCB">
        <w:rPr>
          <w:rFonts w:ascii="Tahoma" w:hAnsi="Tahoma" w:hint="cs"/>
          <w:sz w:val="27"/>
          <w:rtl/>
          <w:lang w:bidi="fa-IR"/>
        </w:rPr>
        <w:t>ّ</w:t>
      </w:r>
      <w:r w:rsidRPr="00904FCB">
        <w:rPr>
          <w:rFonts w:ascii="Tahoma" w:hAnsi="Tahoma"/>
          <w:sz w:val="27"/>
          <w:rtl/>
          <w:lang w:bidi="fa-IR"/>
        </w:rPr>
        <w:t>ت هي وأتباعها من مواد</w:t>
      </w:r>
      <w:r w:rsidR="00E53A5B" w:rsidRPr="00904FCB">
        <w:rPr>
          <w:rFonts w:ascii="Tahoma" w:hAnsi="Tahoma" w:hint="cs"/>
          <w:sz w:val="27"/>
          <w:rtl/>
          <w:lang w:bidi="fa-IR"/>
        </w:rPr>
        <w:t>ّ</w:t>
      </w:r>
      <w:r w:rsidRPr="00904FCB">
        <w:rPr>
          <w:rFonts w:ascii="Tahoma" w:hAnsi="Tahoma"/>
          <w:sz w:val="27"/>
          <w:rtl/>
          <w:lang w:bidi="fa-IR"/>
        </w:rPr>
        <w:t>ه</w:t>
      </w:r>
      <w:r w:rsidR="00E53A5B" w:rsidRPr="00904FCB">
        <w:rPr>
          <w:rFonts w:ascii="Tahoma" w:hAnsi="Tahoma" w:hint="cs"/>
          <w:sz w:val="27"/>
          <w:rtl/>
          <w:lang w:bidi="fa-IR"/>
        </w:rPr>
        <w:t>،</w:t>
      </w:r>
      <w:r w:rsidRPr="00904FCB">
        <w:rPr>
          <w:rFonts w:ascii="Tahoma" w:hAnsi="Tahoma"/>
          <w:sz w:val="27"/>
          <w:rtl/>
          <w:lang w:bidi="fa-IR"/>
        </w:rPr>
        <w:t xml:space="preserve"> بينما تلزم الشعوب وتحكمها به، مم</w:t>
      </w:r>
      <w:r w:rsidR="00E53A5B" w:rsidRPr="00904FCB">
        <w:rPr>
          <w:rFonts w:ascii="Tahoma" w:hAnsi="Tahoma" w:hint="cs"/>
          <w:sz w:val="27"/>
          <w:rtl/>
          <w:lang w:bidi="fa-IR"/>
        </w:rPr>
        <w:t>ّ</w:t>
      </w:r>
      <w:r w:rsidRPr="00904FCB">
        <w:rPr>
          <w:rFonts w:ascii="Tahoma" w:hAnsi="Tahoma"/>
          <w:sz w:val="27"/>
          <w:rtl/>
          <w:lang w:bidi="fa-IR"/>
        </w:rPr>
        <w:t>ا يفقد القانون احترامه لدى الشعوب</w:t>
      </w:r>
      <w:r w:rsidR="00E53A5B" w:rsidRPr="00904FCB">
        <w:rPr>
          <w:rFonts w:ascii="Tahoma" w:hAnsi="Tahoma" w:hint="cs"/>
          <w:sz w:val="27"/>
          <w:rtl/>
          <w:lang w:bidi="fa-IR"/>
        </w:rPr>
        <w:t>،</w:t>
      </w:r>
      <w:r w:rsidRPr="00904FCB">
        <w:rPr>
          <w:rFonts w:ascii="Tahoma" w:hAnsi="Tahoma"/>
          <w:sz w:val="27"/>
          <w:rtl/>
          <w:lang w:bidi="fa-IR"/>
        </w:rPr>
        <w:t xml:space="preserve"> فتصبح نظرتهم </w:t>
      </w:r>
      <w:r w:rsidR="00E53A5B" w:rsidRPr="00904FCB">
        <w:rPr>
          <w:rFonts w:ascii="Tahoma" w:hAnsi="Tahoma" w:hint="cs"/>
          <w:sz w:val="27"/>
          <w:rtl/>
          <w:lang w:bidi="fa-IR"/>
        </w:rPr>
        <w:t>إ</w:t>
      </w:r>
      <w:r w:rsidRPr="00904FCB">
        <w:rPr>
          <w:rFonts w:ascii="Tahoma" w:hAnsi="Tahoma"/>
          <w:sz w:val="27"/>
          <w:rtl/>
          <w:lang w:bidi="fa-IR"/>
        </w:rPr>
        <w:t>لى القانون كنظرتهم إلى واضعيه. وما دام واضعوه مستبد</w:t>
      </w:r>
      <w:r w:rsidR="00E53A5B" w:rsidRPr="00904FCB">
        <w:rPr>
          <w:rFonts w:ascii="Tahoma" w:hAnsi="Tahoma" w:hint="cs"/>
          <w:sz w:val="27"/>
          <w:rtl/>
          <w:lang w:bidi="fa-IR"/>
        </w:rPr>
        <w:t>ّ</w:t>
      </w:r>
      <w:r w:rsidRPr="00904FCB">
        <w:rPr>
          <w:rFonts w:ascii="Tahoma" w:hAnsi="Tahoma"/>
          <w:sz w:val="27"/>
          <w:rtl/>
          <w:lang w:bidi="fa-IR"/>
        </w:rPr>
        <w:t>ين فالقانون أداة الاستبداد التي يحكمونهم بها. لذلك يفقد القانون هيبته</w:t>
      </w:r>
      <w:r w:rsidR="00E53A5B" w:rsidRPr="00904FCB">
        <w:rPr>
          <w:rFonts w:ascii="Tahoma" w:hAnsi="Tahoma" w:hint="cs"/>
          <w:sz w:val="27"/>
          <w:rtl/>
          <w:lang w:bidi="fa-IR"/>
        </w:rPr>
        <w:t>،</w:t>
      </w:r>
      <w:r w:rsidRPr="00904FCB">
        <w:rPr>
          <w:rFonts w:ascii="Tahoma" w:hAnsi="Tahoma"/>
          <w:sz w:val="27"/>
          <w:rtl/>
          <w:lang w:bidi="fa-IR"/>
        </w:rPr>
        <w:t xml:space="preserve"> وتبقى مواد</w:t>
      </w:r>
      <w:r w:rsidR="00E53A5B" w:rsidRPr="00904FCB">
        <w:rPr>
          <w:rFonts w:ascii="Tahoma" w:hAnsi="Tahoma" w:hint="cs"/>
          <w:sz w:val="27"/>
          <w:rtl/>
          <w:lang w:bidi="fa-IR"/>
        </w:rPr>
        <w:t>ّ</w:t>
      </w:r>
      <w:r w:rsidRPr="00904FCB">
        <w:rPr>
          <w:rFonts w:ascii="Tahoma" w:hAnsi="Tahoma"/>
          <w:sz w:val="27"/>
          <w:rtl/>
          <w:lang w:bidi="fa-IR"/>
        </w:rPr>
        <w:t>ه حبراً على ورق</w:t>
      </w:r>
      <w:r w:rsidR="00E53A5B" w:rsidRPr="00904FCB">
        <w:rPr>
          <w:rFonts w:ascii="Tahoma" w:hAnsi="Tahoma"/>
          <w:sz w:val="27"/>
          <w:rtl/>
          <w:lang w:bidi="fa-IR"/>
        </w:rPr>
        <w:t>...</w:t>
      </w:r>
      <w:r w:rsidRPr="00904FCB">
        <w:rPr>
          <w:rFonts w:ascii="Tahoma" w:hAnsi="Tahoma"/>
          <w:sz w:val="27"/>
          <w:rtl/>
          <w:lang w:bidi="fa-IR"/>
        </w:rPr>
        <w:t xml:space="preserve">. </w:t>
      </w:r>
    </w:p>
    <w:p w:rsidR="00644408" w:rsidRPr="00904FCB" w:rsidRDefault="00E53A5B" w:rsidP="007A21AA">
      <w:pPr>
        <w:autoSpaceDE w:val="0"/>
        <w:autoSpaceDN w:val="0"/>
        <w:adjustRightInd w:val="0"/>
        <w:spacing w:line="400" w:lineRule="exact"/>
        <w:rPr>
          <w:rFonts w:ascii="Tahoma" w:hAnsi="Tahoma"/>
          <w:sz w:val="27"/>
          <w:lang w:bidi="fa-IR"/>
        </w:rPr>
      </w:pPr>
      <w:r w:rsidRPr="00904FCB">
        <w:rPr>
          <w:rFonts w:ascii="Tahoma" w:hAnsi="Tahoma" w:hint="cs"/>
          <w:sz w:val="27"/>
          <w:rtl/>
          <w:lang w:bidi="fa-IR"/>
        </w:rPr>
        <w:t>و</w:t>
      </w:r>
      <w:r w:rsidR="00644408" w:rsidRPr="00904FCB">
        <w:rPr>
          <w:rFonts w:ascii="Tahoma" w:hAnsi="Tahoma"/>
          <w:sz w:val="27"/>
          <w:rtl/>
          <w:lang w:bidi="fa-IR"/>
        </w:rPr>
        <w:t>من هنا توج</w:t>
      </w:r>
      <w:r w:rsidRPr="00904FCB">
        <w:rPr>
          <w:rFonts w:ascii="Tahoma" w:hAnsi="Tahoma" w:hint="cs"/>
          <w:sz w:val="27"/>
          <w:rtl/>
          <w:lang w:bidi="fa-IR"/>
        </w:rPr>
        <w:t>ّ</w:t>
      </w:r>
      <w:r w:rsidR="00644408" w:rsidRPr="00904FCB">
        <w:rPr>
          <w:rFonts w:ascii="Tahoma" w:hAnsi="Tahoma"/>
          <w:sz w:val="27"/>
          <w:rtl/>
          <w:lang w:bidi="fa-IR"/>
        </w:rPr>
        <w:t xml:space="preserve">ب دراسة الأسس التي </w:t>
      </w:r>
      <w:r w:rsidRPr="00904FCB">
        <w:rPr>
          <w:rFonts w:ascii="Tahoma" w:hAnsi="Tahoma" w:hint="cs"/>
          <w:sz w:val="27"/>
          <w:rtl/>
          <w:lang w:bidi="fa-IR"/>
        </w:rPr>
        <w:t>ي</w:t>
      </w:r>
      <w:r w:rsidR="00644408" w:rsidRPr="00904FCB">
        <w:rPr>
          <w:rFonts w:ascii="Tahoma" w:hAnsi="Tahoma"/>
          <w:sz w:val="27"/>
          <w:rtl/>
          <w:lang w:bidi="fa-IR"/>
        </w:rPr>
        <w:t>ستند عليها استنباط مواد القانون الوضعي</w:t>
      </w:r>
      <w:r w:rsidRPr="00904FCB">
        <w:rPr>
          <w:rFonts w:ascii="Tahoma" w:hAnsi="Tahoma" w:hint="cs"/>
          <w:sz w:val="27"/>
          <w:rtl/>
          <w:lang w:bidi="fa-IR"/>
        </w:rPr>
        <w:t>.</w:t>
      </w:r>
      <w:r w:rsidR="00644408" w:rsidRPr="00904FCB">
        <w:rPr>
          <w:rFonts w:ascii="Tahoma" w:hAnsi="Tahoma"/>
          <w:sz w:val="27"/>
          <w:rtl/>
          <w:lang w:bidi="fa-IR"/>
        </w:rPr>
        <w:t xml:space="preserve"> وما</w:t>
      </w:r>
      <w:r w:rsidRPr="00904FCB">
        <w:rPr>
          <w:rFonts w:ascii="Tahoma" w:hAnsi="Tahoma" w:hint="cs"/>
          <w:sz w:val="27"/>
          <w:rtl/>
          <w:lang w:bidi="fa-IR"/>
        </w:rPr>
        <w:t xml:space="preserve"> </w:t>
      </w:r>
      <w:r w:rsidR="00644408" w:rsidRPr="00904FCB">
        <w:rPr>
          <w:rFonts w:ascii="Tahoma" w:hAnsi="Tahoma"/>
          <w:sz w:val="27"/>
          <w:rtl/>
          <w:lang w:bidi="fa-IR"/>
        </w:rPr>
        <w:t>دامت أسس استنباط الأحكام الفقهية تمتلك من الثبوت والقدرة والمرونة والقبول ذلك المقدار الكافي لتطبيقها</w:t>
      </w:r>
      <w:r w:rsidRPr="00904FCB">
        <w:rPr>
          <w:rFonts w:ascii="Tahoma" w:hAnsi="Tahoma" w:hint="cs"/>
          <w:sz w:val="27"/>
          <w:rtl/>
          <w:lang w:bidi="fa-IR"/>
        </w:rPr>
        <w:t>،</w:t>
      </w:r>
      <w:r w:rsidR="00644408" w:rsidRPr="00904FCB">
        <w:rPr>
          <w:rFonts w:ascii="Tahoma" w:hAnsi="Tahoma"/>
          <w:sz w:val="27"/>
          <w:rtl/>
          <w:lang w:bidi="fa-IR"/>
        </w:rPr>
        <w:t xml:space="preserve"> ف</w:t>
      </w:r>
      <w:r w:rsidRPr="00904FCB">
        <w:rPr>
          <w:rFonts w:ascii="Tahoma" w:hAnsi="Tahoma" w:hint="cs"/>
          <w:sz w:val="27"/>
          <w:rtl/>
          <w:lang w:bidi="fa-IR"/>
        </w:rPr>
        <w:t>ي</w:t>
      </w:r>
      <w:r w:rsidR="00644408" w:rsidRPr="00904FCB">
        <w:rPr>
          <w:rFonts w:ascii="Tahoma" w:hAnsi="Tahoma"/>
          <w:sz w:val="27"/>
          <w:rtl/>
          <w:lang w:bidi="fa-IR"/>
        </w:rPr>
        <w:t xml:space="preserve">توجب على القانوني المعاصر أو فقيه القانون أو القاضي المعاصر </w:t>
      </w:r>
      <w:r w:rsidRPr="00904FCB">
        <w:rPr>
          <w:rFonts w:ascii="Tahoma" w:hAnsi="Tahoma" w:hint="cs"/>
          <w:sz w:val="27"/>
          <w:rtl/>
          <w:lang w:bidi="fa-IR"/>
        </w:rPr>
        <w:t>أ</w:t>
      </w:r>
      <w:r w:rsidR="00644408" w:rsidRPr="00904FCB">
        <w:rPr>
          <w:rFonts w:ascii="Tahoma" w:hAnsi="Tahoma"/>
          <w:sz w:val="27"/>
          <w:rtl/>
          <w:lang w:bidi="fa-IR"/>
        </w:rPr>
        <w:t>ن يستند في وضع أحكامه وقوانينه ومواد</w:t>
      </w:r>
      <w:r w:rsidRPr="00904FCB">
        <w:rPr>
          <w:rFonts w:ascii="Tahoma" w:hAnsi="Tahoma" w:hint="cs"/>
          <w:sz w:val="27"/>
          <w:rtl/>
          <w:lang w:bidi="fa-IR"/>
        </w:rPr>
        <w:t>ّ</w:t>
      </w:r>
      <w:r w:rsidR="00644408" w:rsidRPr="00904FCB">
        <w:rPr>
          <w:rFonts w:ascii="Tahoma" w:hAnsi="Tahoma"/>
          <w:sz w:val="27"/>
          <w:rtl/>
          <w:lang w:bidi="fa-IR"/>
        </w:rPr>
        <w:t>ه إلى مصادر الاستنباط هذه</w:t>
      </w:r>
      <w:r w:rsidRPr="00904FCB">
        <w:rPr>
          <w:rFonts w:ascii="Tahoma" w:hAnsi="Tahoma" w:hint="cs"/>
          <w:sz w:val="27"/>
          <w:rtl/>
          <w:lang w:bidi="fa-IR"/>
        </w:rPr>
        <w:t>.</w:t>
      </w:r>
      <w:r w:rsidR="00644408" w:rsidRPr="00904FCB">
        <w:rPr>
          <w:rFonts w:ascii="Tahoma" w:hAnsi="Tahoma"/>
          <w:sz w:val="27"/>
          <w:rtl/>
          <w:lang w:bidi="fa-IR"/>
        </w:rPr>
        <w:t xml:space="preserve"> لذا يجب أن تدرس مواد أصول الفقه الإسلامي وقواعده دراسة</w:t>
      </w:r>
      <w:r w:rsidRPr="00904FCB">
        <w:rPr>
          <w:rFonts w:ascii="Tahoma" w:hAnsi="Tahoma" w:hint="cs"/>
          <w:sz w:val="27"/>
          <w:rtl/>
          <w:lang w:bidi="fa-IR"/>
        </w:rPr>
        <w:t>ً</w:t>
      </w:r>
      <w:r w:rsidR="00644408" w:rsidRPr="00904FCB">
        <w:rPr>
          <w:rFonts w:ascii="Tahoma" w:hAnsi="Tahoma"/>
          <w:sz w:val="27"/>
          <w:rtl/>
          <w:lang w:bidi="fa-IR"/>
        </w:rPr>
        <w:t xml:space="preserve"> مستفيضة واعية دقيقة في كل</w:t>
      </w:r>
      <w:r w:rsidRPr="00904FCB">
        <w:rPr>
          <w:rFonts w:ascii="Tahoma" w:hAnsi="Tahoma" w:hint="cs"/>
          <w:sz w:val="27"/>
          <w:rtl/>
          <w:lang w:bidi="fa-IR"/>
        </w:rPr>
        <w:t>ّ</w:t>
      </w:r>
      <w:r w:rsidR="00644408" w:rsidRPr="00904FCB">
        <w:rPr>
          <w:rFonts w:ascii="Tahoma" w:hAnsi="Tahoma"/>
          <w:sz w:val="27"/>
          <w:rtl/>
          <w:lang w:bidi="fa-IR"/>
        </w:rPr>
        <w:t>يات القانون ومعاهده، لا على النحو المعروف اليوم</w:t>
      </w:r>
      <w:r w:rsidRPr="00904FCB">
        <w:rPr>
          <w:rFonts w:ascii="Tahoma" w:hAnsi="Tahoma" w:hint="cs"/>
          <w:sz w:val="27"/>
          <w:rtl/>
          <w:lang w:bidi="fa-IR"/>
        </w:rPr>
        <w:t>،</w:t>
      </w:r>
      <w:r w:rsidR="00644408" w:rsidRPr="00904FCB">
        <w:rPr>
          <w:rFonts w:ascii="Tahoma" w:hAnsi="Tahoma"/>
          <w:sz w:val="27"/>
          <w:rtl/>
          <w:lang w:bidi="fa-IR"/>
        </w:rPr>
        <w:t xml:space="preserve"> كدرس</w:t>
      </w:r>
      <w:r w:rsidRPr="00904FCB">
        <w:rPr>
          <w:rFonts w:ascii="Tahoma" w:hAnsi="Tahoma" w:hint="cs"/>
          <w:sz w:val="27"/>
          <w:rtl/>
          <w:lang w:bidi="fa-IR"/>
        </w:rPr>
        <w:t>ٍ</w:t>
      </w:r>
      <w:r w:rsidR="00644408" w:rsidRPr="00904FCB">
        <w:rPr>
          <w:rFonts w:ascii="Tahoma" w:hAnsi="Tahoma"/>
          <w:sz w:val="27"/>
          <w:rtl/>
          <w:lang w:bidi="fa-IR"/>
        </w:rPr>
        <w:t xml:space="preserve"> عابر لسويعات</w:t>
      </w:r>
      <w:r w:rsidRPr="00904FCB">
        <w:rPr>
          <w:rFonts w:ascii="Tahoma" w:hAnsi="Tahoma" w:hint="cs"/>
          <w:sz w:val="27"/>
          <w:rtl/>
          <w:lang w:bidi="fa-IR"/>
        </w:rPr>
        <w:t>ٍ</w:t>
      </w:r>
      <w:r w:rsidR="00644408" w:rsidRPr="00904FCB">
        <w:rPr>
          <w:rFonts w:ascii="Tahoma" w:hAnsi="Tahoma"/>
          <w:sz w:val="27"/>
          <w:rtl/>
          <w:lang w:bidi="fa-IR"/>
        </w:rPr>
        <w:t xml:space="preserve"> غير داخلة في اختصاصه.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فلأصول الفقه أهم</w:t>
      </w:r>
      <w:r w:rsidR="00E53A5B" w:rsidRPr="00904FCB">
        <w:rPr>
          <w:rFonts w:ascii="Tahoma" w:hAnsi="Tahoma" w:hint="cs"/>
          <w:sz w:val="27"/>
          <w:rtl/>
          <w:lang w:bidi="fa-IR"/>
        </w:rPr>
        <w:t>ّ</w:t>
      </w:r>
      <w:r w:rsidRPr="00904FCB">
        <w:rPr>
          <w:rFonts w:ascii="Tahoma" w:hAnsi="Tahoma"/>
          <w:sz w:val="27"/>
          <w:rtl/>
          <w:lang w:bidi="fa-IR"/>
        </w:rPr>
        <w:t>ية قصوى للقانوني</w:t>
      </w:r>
      <w:r w:rsidR="00E53A5B" w:rsidRPr="00904FCB">
        <w:rPr>
          <w:rFonts w:ascii="Tahoma" w:hAnsi="Tahoma" w:hint="cs"/>
          <w:sz w:val="27"/>
          <w:rtl/>
          <w:lang w:bidi="fa-IR"/>
        </w:rPr>
        <w:t>ّ</w:t>
      </w:r>
      <w:r w:rsidRPr="00904FCB">
        <w:rPr>
          <w:rFonts w:ascii="Tahoma" w:hAnsi="Tahoma"/>
          <w:sz w:val="27"/>
          <w:rtl/>
          <w:lang w:bidi="fa-IR"/>
        </w:rPr>
        <w:t>ين</w:t>
      </w:r>
      <w:r w:rsidR="00E53A5B" w:rsidRPr="00904FCB">
        <w:rPr>
          <w:rFonts w:ascii="Tahoma" w:hAnsi="Tahoma" w:hint="cs"/>
          <w:sz w:val="27"/>
          <w:rtl/>
          <w:lang w:bidi="fa-IR"/>
        </w:rPr>
        <w:t>،</w:t>
      </w:r>
      <w:r w:rsidRPr="00904FCB">
        <w:rPr>
          <w:rFonts w:ascii="Tahoma" w:hAnsi="Tahoma"/>
          <w:sz w:val="27"/>
          <w:rtl/>
          <w:lang w:bidi="fa-IR"/>
        </w:rPr>
        <w:t xml:space="preserve"> وصلة وثيقة بالقانون وأحكامه، لمعرفة الحكم العام</w:t>
      </w:r>
      <w:r w:rsidR="00E53A5B" w:rsidRPr="00904FCB">
        <w:rPr>
          <w:rFonts w:ascii="Tahoma" w:hAnsi="Tahoma" w:hint="cs"/>
          <w:sz w:val="27"/>
          <w:rtl/>
          <w:lang w:bidi="fa-IR"/>
        </w:rPr>
        <w:t>ّ</w:t>
      </w:r>
      <w:r w:rsidRPr="00904FCB">
        <w:rPr>
          <w:rFonts w:ascii="Tahoma" w:hAnsi="Tahoma"/>
          <w:sz w:val="27"/>
          <w:rtl/>
          <w:lang w:bidi="fa-IR"/>
        </w:rPr>
        <w:t xml:space="preserve"> من الخاص</w:t>
      </w:r>
      <w:r w:rsidR="00E53A5B" w:rsidRPr="00904FCB">
        <w:rPr>
          <w:rFonts w:ascii="Tahoma" w:hAnsi="Tahoma" w:hint="cs"/>
          <w:sz w:val="27"/>
          <w:rtl/>
          <w:lang w:bidi="fa-IR"/>
        </w:rPr>
        <w:t>ّ</w:t>
      </w:r>
      <w:r w:rsidRPr="00904FCB">
        <w:rPr>
          <w:rFonts w:ascii="Tahoma" w:hAnsi="Tahoma"/>
          <w:sz w:val="27"/>
          <w:rtl/>
          <w:lang w:bidi="fa-IR"/>
        </w:rPr>
        <w:t>، والمطلق من المقي</w:t>
      </w:r>
      <w:r w:rsidR="00E53A5B" w:rsidRPr="00904FCB">
        <w:rPr>
          <w:rFonts w:ascii="Tahoma" w:hAnsi="Tahoma" w:hint="cs"/>
          <w:sz w:val="27"/>
          <w:rtl/>
          <w:lang w:bidi="fa-IR"/>
        </w:rPr>
        <w:t>ّ</w:t>
      </w:r>
      <w:r w:rsidRPr="00904FCB">
        <w:rPr>
          <w:rFonts w:ascii="Tahoma" w:hAnsi="Tahoma"/>
          <w:sz w:val="27"/>
          <w:rtl/>
          <w:lang w:bidi="fa-IR"/>
        </w:rPr>
        <w:t>د، والمبهم من الواضح</w:t>
      </w:r>
      <w:r w:rsidR="00E53A5B" w:rsidRPr="00904FCB">
        <w:rPr>
          <w:rFonts w:ascii="Tahoma" w:hAnsi="Tahoma" w:hint="cs"/>
          <w:sz w:val="27"/>
          <w:rtl/>
          <w:lang w:bidi="fa-IR"/>
        </w:rPr>
        <w:t>.</w:t>
      </w:r>
      <w:r w:rsidRPr="00904FCB">
        <w:rPr>
          <w:rFonts w:ascii="Tahoma" w:hAnsi="Tahoma"/>
          <w:sz w:val="27"/>
          <w:rtl/>
          <w:lang w:bidi="fa-IR"/>
        </w:rPr>
        <w:t xml:space="preserve"> ولتوضيح ذلك نبين </w:t>
      </w:r>
      <w:r w:rsidR="00E53A5B" w:rsidRPr="00904FCB">
        <w:rPr>
          <w:rFonts w:ascii="Tahoma" w:hAnsi="Tahoma" w:hint="cs"/>
          <w:sz w:val="27"/>
          <w:rtl/>
          <w:lang w:bidi="fa-IR"/>
        </w:rPr>
        <w:t>التالي</w:t>
      </w:r>
      <w:r w:rsidRPr="00904FCB">
        <w:rPr>
          <w:rFonts w:ascii="Tahoma" w:hAnsi="Tahoma"/>
          <w:sz w:val="27"/>
          <w:rtl/>
          <w:lang w:bidi="fa-IR"/>
        </w:rPr>
        <w:t xml:space="preserve">: </w:t>
      </w:r>
    </w:p>
    <w:p w:rsidR="00644408" w:rsidRPr="00904FCB" w:rsidRDefault="00E53A5B" w:rsidP="0057607C">
      <w:pPr>
        <w:autoSpaceDE w:val="0"/>
        <w:autoSpaceDN w:val="0"/>
        <w:adjustRightInd w:val="0"/>
        <w:spacing w:line="400" w:lineRule="exact"/>
        <w:rPr>
          <w:rFonts w:ascii="Tahoma" w:hAnsi="Tahoma"/>
          <w:sz w:val="27"/>
          <w:lang w:bidi="fa-IR"/>
        </w:rPr>
      </w:pPr>
      <w:r w:rsidRPr="00904FCB">
        <w:rPr>
          <w:rFonts w:ascii="Tahoma" w:hAnsi="Tahoma" w:hint="cs"/>
          <w:b/>
          <w:bCs/>
          <w:sz w:val="27"/>
          <w:rtl/>
          <w:lang w:bidi="fa-IR"/>
        </w:rPr>
        <w:t>أ</w:t>
      </w:r>
      <w:r w:rsidR="00644408" w:rsidRPr="00904FCB">
        <w:rPr>
          <w:rFonts w:ascii="Tahoma" w:hAnsi="Tahoma"/>
          <w:b/>
          <w:bCs/>
          <w:sz w:val="27"/>
          <w:rtl/>
          <w:lang w:bidi="fa-IR"/>
        </w:rPr>
        <w:t>و</w:t>
      </w:r>
      <w:r w:rsidRPr="00904FCB">
        <w:rPr>
          <w:rFonts w:ascii="Tahoma" w:hAnsi="Tahoma" w:hint="cs"/>
          <w:b/>
          <w:bCs/>
          <w:sz w:val="27"/>
          <w:rtl/>
          <w:lang w:bidi="fa-IR"/>
        </w:rPr>
        <w:t>ّ</w:t>
      </w:r>
      <w:r w:rsidR="00644408" w:rsidRPr="00904FCB">
        <w:rPr>
          <w:rFonts w:ascii="Tahoma" w:hAnsi="Tahoma"/>
          <w:b/>
          <w:bCs/>
          <w:sz w:val="27"/>
          <w:rtl/>
          <w:lang w:bidi="fa-IR"/>
        </w:rPr>
        <w:t>لاً</w:t>
      </w:r>
      <w:r w:rsidR="00644408" w:rsidRPr="00904FCB">
        <w:rPr>
          <w:rFonts w:ascii="Tahoma" w:hAnsi="Tahoma"/>
          <w:sz w:val="27"/>
          <w:rtl/>
          <w:lang w:bidi="fa-IR"/>
        </w:rPr>
        <w:t>: رفع التعارض في المواد القانونية</w:t>
      </w:r>
      <w:r w:rsidRPr="00904FCB">
        <w:rPr>
          <w:rFonts w:ascii="Tahoma" w:hAnsi="Tahoma" w:hint="cs"/>
          <w:sz w:val="27"/>
          <w:rtl/>
          <w:lang w:bidi="fa-IR"/>
        </w:rPr>
        <w:t>،</w:t>
      </w:r>
      <w:r w:rsidR="00644408" w:rsidRPr="00904FCB">
        <w:rPr>
          <w:rFonts w:ascii="Tahoma" w:hAnsi="Tahoma"/>
          <w:sz w:val="27"/>
          <w:rtl/>
          <w:lang w:bidi="fa-IR"/>
        </w:rPr>
        <w:t xml:space="preserve"> والجمع بين النصوص المتعارضة</w:t>
      </w:r>
      <w:r w:rsidRPr="00904FCB">
        <w:rPr>
          <w:rFonts w:ascii="Tahoma" w:hAnsi="Tahoma" w:hint="cs"/>
          <w:sz w:val="27"/>
          <w:rtl/>
          <w:lang w:bidi="fa-IR"/>
        </w:rPr>
        <w:t>،</w:t>
      </w:r>
      <w:r w:rsidR="00644408" w:rsidRPr="00904FCB">
        <w:rPr>
          <w:rFonts w:ascii="Tahoma" w:hAnsi="Tahoma"/>
          <w:sz w:val="27"/>
          <w:rtl/>
          <w:lang w:bidi="fa-IR"/>
        </w:rPr>
        <w:t xml:space="preserve"> وترجيح </w:t>
      </w:r>
      <w:r w:rsidRPr="00904FCB">
        <w:rPr>
          <w:rFonts w:ascii="Tahoma" w:hAnsi="Tahoma" w:hint="cs"/>
          <w:sz w:val="27"/>
          <w:rtl/>
          <w:lang w:bidi="fa-IR"/>
        </w:rPr>
        <w:t>أ</w:t>
      </w:r>
      <w:r w:rsidR="00644408" w:rsidRPr="00904FCB">
        <w:rPr>
          <w:rFonts w:ascii="Tahoma" w:hAnsi="Tahoma"/>
          <w:sz w:val="27"/>
          <w:rtl/>
          <w:lang w:bidi="fa-IR"/>
        </w:rPr>
        <w:t>حد ال</w:t>
      </w:r>
      <w:r w:rsidR="0057607C">
        <w:rPr>
          <w:rFonts w:ascii="Tahoma" w:hAnsi="Tahoma" w:hint="cs"/>
          <w:sz w:val="27"/>
          <w:rtl/>
          <w:lang w:bidi="fa-IR"/>
        </w:rPr>
        <w:t>أ</w:t>
      </w:r>
      <w:r w:rsidR="00644408" w:rsidRPr="00904FCB">
        <w:rPr>
          <w:rFonts w:ascii="Tahoma" w:hAnsi="Tahoma"/>
          <w:sz w:val="27"/>
          <w:rtl/>
          <w:lang w:bidi="fa-IR"/>
        </w:rPr>
        <w:t xml:space="preserve">طراف.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ثانياً</w:t>
      </w:r>
      <w:r w:rsidRPr="00904FCB">
        <w:rPr>
          <w:rFonts w:ascii="Tahoma" w:hAnsi="Tahoma"/>
          <w:sz w:val="27"/>
          <w:rtl/>
          <w:lang w:bidi="fa-IR"/>
        </w:rPr>
        <w:t>: البحث عن تاريخ التشريع لمعرفة المتأخ</w:t>
      </w:r>
      <w:r w:rsidR="00E53A5B" w:rsidRPr="00904FCB">
        <w:rPr>
          <w:rFonts w:ascii="Tahoma" w:hAnsi="Tahoma" w:hint="cs"/>
          <w:sz w:val="27"/>
          <w:rtl/>
          <w:lang w:bidi="fa-IR"/>
        </w:rPr>
        <w:t>ِّ</w:t>
      </w:r>
      <w:r w:rsidRPr="00904FCB">
        <w:rPr>
          <w:rFonts w:ascii="Tahoma" w:hAnsi="Tahoma"/>
          <w:sz w:val="27"/>
          <w:rtl/>
          <w:lang w:bidi="fa-IR"/>
        </w:rPr>
        <w:t>ر عن المتقد</w:t>
      </w:r>
      <w:r w:rsidR="00E53A5B" w:rsidRPr="00904FCB">
        <w:rPr>
          <w:rFonts w:ascii="Tahoma" w:hAnsi="Tahoma" w:hint="cs"/>
          <w:sz w:val="27"/>
          <w:rtl/>
          <w:lang w:bidi="fa-IR"/>
        </w:rPr>
        <w:t>ّ</w:t>
      </w:r>
      <w:r w:rsidRPr="00904FCB">
        <w:rPr>
          <w:rFonts w:ascii="Tahoma" w:hAnsi="Tahoma"/>
          <w:sz w:val="27"/>
          <w:rtl/>
          <w:lang w:bidi="fa-IR"/>
        </w:rPr>
        <w:t>م</w:t>
      </w:r>
      <w:r w:rsidR="00E53A5B" w:rsidRPr="00904FCB">
        <w:rPr>
          <w:rFonts w:ascii="Tahoma" w:hAnsi="Tahoma" w:hint="cs"/>
          <w:sz w:val="27"/>
          <w:rtl/>
          <w:lang w:bidi="fa-IR"/>
        </w:rPr>
        <w:t>؛</w:t>
      </w:r>
      <w:r w:rsidRPr="00904FCB">
        <w:rPr>
          <w:rFonts w:ascii="Tahoma" w:hAnsi="Tahoma"/>
          <w:sz w:val="27"/>
          <w:rtl/>
          <w:lang w:bidi="fa-IR"/>
        </w:rPr>
        <w:t xml:space="preserve"> للوصول إلى الحكم الناسخ من المنسوخ.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ثالثاً</w:t>
      </w:r>
      <w:r w:rsidRPr="00904FCB">
        <w:rPr>
          <w:rFonts w:ascii="Tahoma" w:hAnsi="Tahoma"/>
          <w:sz w:val="27"/>
          <w:rtl/>
          <w:lang w:bidi="fa-IR"/>
        </w:rPr>
        <w:t xml:space="preserve">: </w:t>
      </w:r>
      <w:r w:rsidR="00B156F9" w:rsidRPr="00904FCB">
        <w:rPr>
          <w:rFonts w:ascii="Tahoma" w:hAnsi="Tahoma" w:hint="cs"/>
          <w:sz w:val="27"/>
          <w:rtl/>
          <w:lang w:bidi="fa-IR"/>
        </w:rPr>
        <w:t>ت</w:t>
      </w:r>
      <w:r w:rsidRPr="00904FCB">
        <w:rPr>
          <w:rFonts w:ascii="Tahoma" w:hAnsi="Tahoma"/>
          <w:sz w:val="27"/>
          <w:rtl/>
          <w:lang w:bidi="fa-IR"/>
        </w:rPr>
        <w:t>عتمد صياغة المواد القانونية لغة</w:t>
      </w:r>
      <w:r w:rsidR="00B156F9" w:rsidRPr="00904FCB">
        <w:rPr>
          <w:rFonts w:ascii="Tahoma" w:hAnsi="Tahoma" w:hint="cs"/>
          <w:sz w:val="27"/>
          <w:rtl/>
          <w:lang w:bidi="fa-IR"/>
        </w:rPr>
        <w:t>ً</w:t>
      </w:r>
      <w:r w:rsidRPr="00904FCB">
        <w:rPr>
          <w:rFonts w:ascii="Tahoma" w:hAnsi="Tahoma"/>
          <w:sz w:val="27"/>
          <w:rtl/>
          <w:lang w:bidi="fa-IR"/>
        </w:rPr>
        <w:t xml:space="preserve"> فنية دقيقة</w:t>
      </w:r>
      <w:r w:rsidR="00B156F9" w:rsidRPr="00904FCB">
        <w:rPr>
          <w:rFonts w:ascii="Tahoma" w:hAnsi="Tahoma" w:hint="cs"/>
          <w:sz w:val="27"/>
          <w:rtl/>
          <w:lang w:bidi="fa-IR"/>
        </w:rPr>
        <w:t>،</w:t>
      </w:r>
      <w:r w:rsidRPr="00904FCB">
        <w:rPr>
          <w:rFonts w:ascii="Tahoma" w:hAnsi="Tahoma"/>
          <w:sz w:val="27"/>
          <w:rtl/>
          <w:lang w:bidi="fa-IR"/>
        </w:rPr>
        <w:t xml:space="preserve"> بعيدة عن الحشو والتعقيد، وشاملة للنص</w:t>
      </w:r>
      <w:r w:rsidR="00B156F9" w:rsidRPr="00904FCB">
        <w:rPr>
          <w:rFonts w:ascii="Tahoma" w:hAnsi="Tahoma" w:hint="cs"/>
          <w:sz w:val="27"/>
          <w:rtl/>
          <w:lang w:bidi="fa-IR"/>
        </w:rPr>
        <w:t>ّ</w:t>
      </w:r>
      <w:r w:rsidRPr="00904FCB">
        <w:rPr>
          <w:rFonts w:ascii="Tahoma" w:hAnsi="Tahoma"/>
          <w:sz w:val="27"/>
          <w:rtl/>
          <w:lang w:bidi="fa-IR"/>
        </w:rPr>
        <w:t>، تحت</w:t>
      </w:r>
      <w:r w:rsidR="00B156F9" w:rsidRPr="00904FCB">
        <w:rPr>
          <w:rFonts w:ascii="Tahoma" w:hAnsi="Tahoma" w:hint="cs"/>
          <w:sz w:val="27"/>
          <w:rtl/>
          <w:lang w:bidi="fa-IR"/>
        </w:rPr>
        <w:t>ّ</w:t>
      </w:r>
      <w:r w:rsidRPr="00904FCB">
        <w:rPr>
          <w:rFonts w:ascii="Tahoma" w:hAnsi="Tahoma"/>
          <w:sz w:val="27"/>
          <w:rtl/>
          <w:lang w:bidi="fa-IR"/>
        </w:rPr>
        <w:t>م على القاضي أن لا يحكم بحكم</w:t>
      </w:r>
      <w:r w:rsidR="00B156F9" w:rsidRPr="00904FCB">
        <w:rPr>
          <w:rFonts w:ascii="Tahoma" w:hAnsi="Tahoma" w:hint="cs"/>
          <w:sz w:val="27"/>
          <w:rtl/>
          <w:lang w:bidi="fa-IR"/>
        </w:rPr>
        <w:t>ٍ</w:t>
      </w:r>
      <w:r w:rsidRPr="00904FCB">
        <w:rPr>
          <w:rFonts w:ascii="Tahoma" w:hAnsi="Tahoma"/>
          <w:sz w:val="27"/>
          <w:rtl/>
          <w:lang w:bidi="fa-IR"/>
        </w:rPr>
        <w:t xml:space="preserve"> مخالف للنص</w:t>
      </w:r>
      <w:r w:rsidR="00B156F9" w:rsidRPr="00904FCB">
        <w:rPr>
          <w:rFonts w:ascii="Tahoma" w:hAnsi="Tahoma" w:hint="cs"/>
          <w:sz w:val="27"/>
          <w:rtl/>
          <w:lang w:bidi="fa-IR"/>
        </w:rPr>
        <w:t>ّ،</w:t>
      </w:r>
      <w:r w:rsidRPr="00904FCB">
        <w:rPr>
          <w:rFonts w:ascii="Tahoma" w:hAnsi="Tahoma"/>
          <w:sz w:val="27"/>
          <w:rtl/>
          <w:lang w:bidi="fa-IR"/>
        </w:rPr>
        <w:t xml:space="preserve"> وتكون واضحة الدلالة</w:t>
      </w:r>
      <w:r w:rsidR="00B156F9" w:rsidRPr="00904FCB">
        <w:rPr>
          <w:rFonts w:ascii="Tahoma" w:hAnsi="Tahoma" w:hint="cs"/>
          <w:sz w:val="27"/>
          <w:rtl/>
          <w:lang w:bidi="fa-IR"/>
        </w:rPr>
        <w:t>،</w:t>
      </w:r>
      <w:r w:rsidRPr="00904FCB">
        <w:rPr>
          <w:rFonts w:ascii="Tahoma" w:hAnsi="Tahoma"/>
          <w:sz w:val="27"/>
          <w:rtl/>
          <w:lang w:bidi="fa-IR"/>
        </w:rPr>
        <w:t xml:space="preserve"> وصريحة المنطوق. </w:t>
      </w:r>
    </w:p>
    <w:p w:rsidR="00644408" w:rsidRPr="00904FCB" w:rsidRDefault="00644408" w:rsidP="007A21AA">
      <w:pPr>
        <w:autoSpaceDE w:val="0"/>
        <w:autoSpaceDN w:val="0"/>
        <w:adjustRightInd w:val="0"/>
        <w:spacing w:line="400" w:lineRule="exact"/>
        <w:rPr>
          <w:rFonts w:ascii="Tahoma" w:hAnsi="Tahoma"/>
          <w:sz w:val="27"/>
          <w:rtl/>
          <w:lang w:bidi="ar-LB"/>
        </w:rPr>
      </w:pPr>
      <w:r w:rsidRPr="00904FCB">
        <w:rPr>
          <w:rFonts w:ascii="Tahoma" w:hAnsi="Tahoma"/>
          <w:b/>
          <w:bCs/>
          <w:sz w:val="27"/>
          <w:rtl/>
          <w:lang w:bidi="fa-IR"/>
        </w:rPr>
        <w:t>رابعاً</w:t>
      </w:r>
      <w:r w:rsidRPr="00904FCB">
        <w:rPr>
          <w:rFonts w:ascii="Tahoma" w:hAnsi="Tahoma"/>
          <w:sz w:val="27"/>
          <w:rtl/>
          <w:lang w:bidi="fa-IR"/>
        </w:rPr>
        <w:t>: توُض</w:t>
      </w:r>
      <w:r w:rsidR="00B156F9" w:rsidRPr="00904FCB">
        <w:rPr>
          <w:rFonts w:ascii="Tahoma" w:hAnsi="Tahoma" w:hint="cs"/>
          <w:sz w:val="27"/>
          <w:rtl/>
          <w:lang w:bidi="fa-IR"/>
        </w:rPr>
        <w:t>ّ</w:t>
      </w:r>
      <w:r w:rsidRPr="00904FCB">
        <w:rPr>
          <w:rFonts w:ascii="Tahoma" w:hAnsi="Tahoma"/>
          <w:sz w:val="27"/>
          <w:rtl/>
          <w:lang w:bidi="fa-IR"/>
        </w:rPr>
        <w:t>ح الأركان والشروط والأسباب الموجبة لإصدار الأحكام والقوانين وتفر</w:t>
      </w:r>
      <w:r w:rsidR="00B156F9" w:rsidRPr="00904FCB">
        <w:rPr>
          <w:rFonts w:ascii="Tahoma" w:hAnsi="Tahoma" w:hint="cs"/>
          <w:sz w:val="27"/>
          <w:rtl/>
          <w:lang w:bidi="fa-IR"/>
        </w:rPr>
        <w:t>ّ</w:t>
      </w:r>
      <w:r w:rsidRPr="00904FCB">
        <w:rPr>
          <w:rFonts w:ascii="Tahoma" w:hAnsi="Tahoma"/>
          <w:sz w:val="27"/>
          <w:rtl/>
          <w:lang w:bidi="fa-IR"/>
        </w:rPr>
        <w:t xml:space="preserve">عاتها. </w:t>
      </w:r>
    </w:p>
    <w:p w:rsidR="00644408" w:rsidRPr="00904FCB" w:rsidRDefault="00644408" w:rsidP="007A21AA">
      <w:pPr>
        <w:pStyle w:val="31"/>
        <w:spacing w:line="400" w:lineRule="exact"/>
        <w:rPr>
          <w:color w:val="auto"/>
          <w:lang w:bidi="fa-IR"/>
        </w:rPr>
      </w:pPr>
      <w:r w:rsidRPr="00904FCB">
        <w:rPr>
          <w:color w:val="auto"/>
          <w:rtl/>
          <w:lang w:bidi="fa-IR"/>
        </w:rPr>
        <w:lastRenderedPageBreak/>
        <w:t>المبحث الثالث</w:t>
      </w:r>
      <w:r w:rsidRPr="00904FCB">
        <w:rPr>
          <w:rFonts w:hint="cs"/>
          <w:color w:val="auto"/>
          <w:rtl/>
          <w:lang w:bidi="fa-IR"/>
        </w:rPr>
        <w:t xml:space="preserve">: </w:t>
      </w:r>
      <w:r w:rsidRPr="00904FCB">
        <w:rPr>
          <w:color w:val="auto"/>
          <w:rtl/>
          <w:lang w:bidi="fa-IR"/>
        </w:rPr>
        <w:t>تقنين الفقه وتفق</w:t>
      </w:r>
      <w:r w:rsidR="00B156F9" w:rsidRPr="00904FCB">
        <w:rPr>
          <w:rFonts w:hint="cs"/>
          <w:color w:val="auto"/>
          <w:rtl/>
          <w:lang w:bidi="fa-IR"/>
        </w:rPr>
        <w:t>ّ</w:t>
      </w:r>
      <w:r w:rsidRPr="00904FCB">
        <w:rPr>
          <w:color w:val="auto"/>
          <w:rtl/>
          <w:lang w:bidi="fa-IR"/>
        </w:rPr>
        <w:t>ه القانون</w:t>
      </w:r>
    </w:p>
    <w:p w:rsidR="00644408" w:rsidRPr="00904FCB" w:rsidRDefault="00B156F9" w:rsidP="007A21AA">
      <w:pPr>
        <w:autoSpaceDE w:val="0"/>
        <w:autoSpaceDN w:val="0"/>
        <w:adjustRightInd w:val="0"/>
        <w:spacing w:line="400" w:lineRule="exact"/>
        <w:rPr>
          <w:rFonts w:ascii="Tahoma" w:hAnsi="Tahoma"/>
          <w:sz w:val="27"/>
          <w:lang w:bidi="fa-IR"/>
        </w:rPr>
      </w:pPr>
      <w:r w:rsidRPr="00904FCB">
        <w:rPr>
          <w:rFonts w:ascii="Tahoma" w:hAnsi="Tahoma" w:hint="cs"/>
          <w:sz w:val="27"/>
          <w:rtl/>
          <w:lang w:bidi="fa-IR"/>
        </w:rPr>
        <w:t>إ</w:t>
      </w:r>
      <w:r w:rsidR="00644408" w:rsidRPr="00904FCB">
        <w:rPr>
          <w:rFonts w:ascii="Tahoma" w:hAnsi="Tahoma"/>
          <w:sz w:val="27"/>
          <w:rtl/>
          <w:lang w:bidi="fa-IR"/>
        </w:rPr>
        <w:t>ن عملية التجديد أمر</w:t>
      </w:r>
      <w:r w:rsidRPr="00904FCB">
        <w:rPr>
          <w:rFonts w:ascii="Tahoma" w:hAnsi="Tahoma" w:hint="cs"/>
          <w:sz w:val="27"/>
          <w:rtl/>
          <w:lang w:bidi="fa-IR"/>
        </w:rPr>
        <w:t>ٌ</w:t>
      </w:r>
      <w:r w:rsidR="00644408" w:rsidRPr="00904FCB">
        <w:rPr>
          <w:rFonts w:ascii="Tahoma" w:hAnsi="Tahoma"/>
          <w:sz w:val="27"/>
          <w:rtl/>
          <w:lang w:bidi="fa-IR"/>
        </w:rPr>
        <w:t xml:space="preserve"> مفروغ منه في الفكر الإسلامي ما</w:t>
      </w:r>
      <w:r w:rsidRPr="00904FCB">
        <w:rPr>
          <w:rFonts w:ascii="Tahoma" w:hAnsi="Tahoma" w:hint="cs"/>
          <w:sz w:val="27"/>
          <w:rtl/>
          <w:lang w:bidi="fa-IR"/>
        </w:rPr>
        <w:t xml:space="preserve"> </w:t>
      </w:r>
      <w:r w:rsidR="00644408" w:rsidRPr="00904FCB">
        <w:rPr>
          <w:rFonts w:ascii="Tahoma" w:hAnsi="Tahoma"/>
          <w:sz w:val="27"/>
          <w:rtl/>
          <w:lang w:bidi="fa-IR"/>
        </w:rPr>
        <w:t>دمنا نعتقد أن التشريع الإسلامي يتماشى مع الواقع المعاش</w:t>
      </w:r>
      <w:r w:rsidRPr="00904FCB">
        <w:rPr>
          <w:rFonts w:ascii="Tahoma" w:hAnsi="Tahoma" w:hint="cs"/>
          <w:sz w:val="27"/>
          <w:rtl/>
          <w:lang w:bidi="fa-IR"/>
        </w:rPr>
        <w:t>،</w:t>
      </w:r>
      <w:r w:rsidR="00644408" w:rsidRPr="00904FCB">
        <w:rPr>
          <w:rFonts w:ascii="Tahoma" w:hAnsi="Tahoma"/>
          <w:sz w:val="27"/>
          <w:rtl/>
          <w:lang w:bidi="fa-IR"/>
        </w:rPr>
        <w:t xml:space="preserve"> وله حلول في كل</w:t>
      </w:r>
      <w:r w:rsidRPr="00904FCB">
        <w:rPr>
          <w:rFonts w:ascii="Tahoma" w:hAnsi="Tahoma" w:hint="cs"/>
          <w:sz w:val="27"/>
          <w:rtl/>
          <w:lang w:bidi="fa-IR"/>
        </w:rPr>
        <w:t>ّ</w:t>
      </w:r>
      <w:r w:rsidR="00644408" w:rsidRPr="00904FCB">
        <w:rPr>
          <w:rFonts w:ascii="Tahoma" w:hAnsi="Tahoma"/>
          <w:sz w:val="27"/>
          <w:rtl/>
          <w:lang w:bidi="fa-IR"/>
        </w:rPr>
        <w:t xml:space="preserve"> مستحد</w:t>
      </w:r>
      <w:r w:rsidRPr="00904FCB">
        <w:rPr>
          <w:rFonts w:ascii="Tahoma" w:hAnsi="Tahoma" w:hint="cs"/>
          <w:sz w:val="27"/>
          <w:rtl/>
          <w:lang w:bidi="fa-IR"/>
        </w:rPr>
        <w:t>َ</w:t>
      </w:r>
      <w:r w:rsidR="00644408" w:rsidRPr="00904FCB">
        <w:rPr>
          <w:rFonts w:ascii="Tahoma" w:hAnsi="Tahoma"/>
          <w:sz w:val="27"/>
          <w:rtl/>
          <w:lang w:bidi="fa-IR"/>
        </w:rPr>
        <w:t>ثات إشكالاته زماناً أو مكاناً. وهذا يدعو إلى حتمية تطوير الشرعية، أي بمعنى تفعيل الاجتهاد لدى المتخص</w:t>
      </w:r>
      <w:r w:rsidRPr="00904FCB">
        <w:rPr>
          <w:rFonts w:ascii="Tahoma" w:hAnsi="Tahoma" w:hint="cs"/>
          <w:sz w:val="27"/>
          <w:rtl/>
          <w:lang w:bidi="fa-IR"/>
        </w:rPr>
        <w:t>ِّ</w:t>
      </w:r>
      <w:r w:rsidR="00644408" w:rsidRPr="00904FCB">
        <w:rPr>
          <w:rFonts w:ascii="Tahoma" w:hAnsi="Tahoma"/>
          <w:sz w:val="27"/>
          <w:rtl/>
          <w:lang w:bidi="fa-IR"/>
        </w:rPr>
        <w:t xml:space="preserve">صين </w:t>
      </w:r>
      <w:r w:rsidRPr="00904FCB">
        <w:rPr>
          <w:rFonts w:ascii="Tahoma" w:hAnsi="Tahoma" w:hint="cs"/>
          <w:sz w:val="27"/>
          <w:rtl/>
          <w:lang w:bidi="fa-IR"/>
        </w:rPr>
        <w:t xml:space="preserve">في </w:t>
      </w:r>
      <w:r w:rsidR="00644408" w:rsidRPr="00904FCB">
        <w:rPr>
          <w:rFonts w:ascii="Tahoma" w:hAnsi="Tahoma"/>
          <w:sz w:val="27"/>
          <w:rtl/>
          <w:lang w:bidi="fa-IR"/>
        </w:rPr>
        <w:t>الفقه</w:t>
      </w:r>
      <w:r w:rsidRPr="00904FCB">
        <w:rPr>
          <w:rFonts w:ascii="Tahoma" w:hAnsi="Tahoma" w:hint="cs"/>
          <w:sz w:val="27"/>
          <w:rtl/>
          <w:lang w:bidi="fa-IR"/>
        </w:rPr>
        <w:t>،</w:t>
      </w:r>
      <w:r w:rsidR="00644408" w:rsidRPr="00904FCB">
        <w:rPr>
          <w:rFonts w:ascii="Tahoma" w:hAnsi="Tahoma"/>
          <w:sz w:val="27"/>
          <w:rtl/>
          <w:lang w:bidi="fa-IR"/>
        </w:rPr>
        <w:t xml:space="preserve"> المالكين لملكة الاستنباط</w:t>
      </w:r>
      <w:r w:rsidRPr="00904FCB">
        <w:rPr>
          <w:rFonts w:ascii="Tahoma" w:hAnsi="Tahoma"/>
          <w:sz w:val="27"/>
          <w:rtl/>
          <w:lang w:bidi="fa-IR"/>
        </w:rPr>
        <w:t>...</w:t>
      </w:r>
      <w:r w:rsidRPr="00904FCB">
        <w:rPr>
          <w:rFonts w:ascii="Tahoma" w:hAnsi="Tahoma" w:hint="cs"/>
          <w:sz w:val="27"/>
          <w:rtl/>
          <w:lang w:bidi="fa-IR"/>
        </w:rPr>
        <w:t xml:space="preserve">، </w:t>
      </w:r>
      <w:r w:rsidR="00644408" w:rsidRPr="00904FCB">
        <w:rPr>
          <w:rFonts w:ascii="Tahoma" w:hAnsi="Tahoma"/>
          <w:sz w:val="27"/>
          <w:rtl/>
          <w:lang w:bidi="fa-IR"/>
        </w:rPr>
        <w:t>لا على نحو فتح الباب على مصراع</w:t>
      </w:r>
      <w:r w:rsidRPr="00904FCB">
        <w:rPr>
          <w:rFonts w:ascii="Tahoma" w:hAnsi="Tahoma" w:hint="cs"/>
          <w:sz w:val="27"/>
          <w:rtl/>
          <w:lang w:bidi="fa-IR"/>
        </w:rPr>
        <w:t>َ</w:t>
      </w:r>
      <w:r w:rsidR="00644408" w:rsidRPr="00904FCB">
        <w:rPr>
          <w:rFonts w:ascii="Tahoma" w:hAnsi="Tahoma"/>
          <w:sz w:val="27"/>
          <w:rtl/>
          <w:lang w:bidi="fa-IR"/>
        </w:rPr>
        <w:t>ي</w:t>
      </w:r>
      <w:r w:rsidRPr="00904FCB">
        <w:rPr>
          <w:rFonts w:ascii="Tahoma" w:hAnsi="Tahoma" w:hint="cs"/>
          <w:sz w:val="27"/>
          <w:rtl/>
          <w:lang w:bidi="fa-IR"/>
        </w:rPr>
        <w:t>ْ</w:t>
      </w:r>
      <w:r w:rsidR="00644408" w:rsidRPr="00904FCB">
        <w:rPr>
          <w:rFonts w:ascii="Tahoma" w:hAnsi="Tahoma"/>
          <w:sz w:val="27"/>
          <w:rtl/>
          <w:lang w:bidi="fa-IR"/>
        </w:rPr>
        <w:t>ه دون ضوابط، أو لغير الواجدين لملكة الاجتهاد</w:t>
      </w:r>
      <w:r w:rsidRPr="00904FCB">
        <w:rPr>
          <w:rFonts w:ascii="Tahoma" w:hAnsi="Tahoma" w:hint="cs"/>
          <w:sz w:val="27"/>
          <w:rtl/>
          <w:lang w:bidi="fa-IR"/>
        </w:rPr>
        <w:t>،</w:t>
      </w:r>
      <w:r w:rsidR="00644408" w:rsidRPr="00904FCB">
        <w:rPr>
          <w:rFonts w:ascii="Tahoma" w:hAnsi="Tahoma"/>
          <w:sz w:val="27"/>
          <w:rtl/>
          <w:lang w:bidi="fa-IR"/>
        </w:rPr>
        <w:t xml:space="preserve"> وإنما وفق ضوابط </w:t>
      </w:r>
      <w:r w:rsidRPr="00904FCB">
        <w:rPr>
          <w:rFonts w:ascii="Tahoma" w:hAnsi="Tahoma" w:hint="cs"/>
          <w:sz w:val="27"/>
          <w:rtl/>
          <w:lang w:bidi="fa-IR"/>
        </w:rPr>
        <w:t>وقوانين</w:t>
      </w:r>
      <w:r w:rsidR="00644408" w:rsidRPr="00904FCB">
        <w:rPr>
          <w:rFonts w:ascii="Tahoma" w:hAnsi="Tahoma"/>
          <w:sz w:val="27"/>
          <w:rtl/>
          <w:lang w:bidi="fa-IR"/>
        </w:rPr>
        <w:t xml:space="preserve"> يل</w:t>
      </w:r>
      <w:r w:rsidRPr="00904FCB">
        <w:rPr>
          <w:rFonts w:ascii="Tahoma" w:hAnsi="Tahoma" w:hint="cs"/>
          <w:sz w:val="27"/>
          <w:rtl/>
          <w:lang w:bidi="fa-IR"/>
        </w:rPr>
        <w:t>ت</w:t>
      </w:r>
      <w:r w:rsidR="00644408" w:rsidRPr="00904FCB">
        <w:rPr>
          <w:rFonts w:ascii="Tahoma" w:hAnsi="Tahoma"/>
          <w:sz w:val="27"/>
          <w:rtl/>
          <w:lang w:bidi="fa-IR"/>
        </w:rPr>
        <w:t xml:space="preserve">زمها الساعون </w:t>
      </w:r>
      <w:r w:rsidRPr="00904FCB">
        <w:rPr>
          <w:rFonts w:ascii="Tahoma" w:hAnsi="Tahoma" w:hint="cs"/>
          <w:sz w:val="27"/>
          <w:rtl/>
          <w:lang w:bidi="fa-IR"/>
        </w:rPr>
        <w:t>إ</w:t>
      </w:r>
      <w:r w:rsidR="00644408" w:rsidRPr="00904FCB">
        <w:rPr>
          <w:rFonts w:ascii="Tahoma" w:hAnsi="Tahoma"/>
          <w:sz w:val="27"/>
          <w:rtl/>
          <w:lang w:bidi="fa-IR"/>
        </w:rPr>
        <w:t>ليه في إصدار أحكامهم. و</w:t>
      </w:r>
      <w:r w:rsidRPr="00904FCB">
        <w:rPr>
          <w:rFonts w:ascii="Tahoma" w:hAnsi="Tahoma" w:hint="cs"/>
          <w:sz w:val="27"/>
          <w:rtl/>
          <w:lang w:bidi="fa-IR"/>
        </w:rPr>
        <w:t>إ</w:t>
      </w:r>
      <w:r w:rsidR="00644408" w:rsidRPr="00904FCB">
        <w:rPr>
          <w:rFonts w:ascii="Tahoma" w:hAnsi="Tahoma"/>
          <w:sz w:val="27"/>
          <w:rtl/>
          <w:lang w:bidi="fa-IR"/>
        </w:rPr>
        <w:t>لا</w:t>
      </w:r>
      <w:r w:rsidR="0057607C">
        <w:rPr>
          <w:rFonts w:ascii="Tahoma" w:hAnsi="Tahoma" w:hint="cs"/>
          <w:sz w:val="27"/>
          <w:rtl/>
          <w:lang w:bidi="fa-IR"/>
        </w:rPr>
        <w:t>ّ</w:t>
      </w:r>
      <w:r w:rsidR="00644408" w:rsidRPr="00904FCB">
        <w:rPr>
          <w:rFonts w:ascii="Tahoma" w:hAnsi="Tahoma"/>
          <w:sz w:val="27"/>
          <w:rtl/>
          <w:lang w:bidi="fa-IR"/>
        </w:rPr>
        <w:t xml:space="preserve"> ف</w:t>
      </w:r>
      <w:r w:rsidRPr="00904FCB">
        <w:rPr>
          <w:rFonts w:ascii="Tahoma" w:hAnsi="Tahoma" w:hint="cs"/>
          <w:sz w:val="27"/>
          <w:rtl/>
          <w:lang w:bidi="fa-IR"/>
        </w:rPr>
        <w:t>إ</w:t>
      </w:r>
      <w:r w:rsidR="00644408" w:rsidRPr="00904FCB">
        <w:rPr>
          <w:rFonts w:ascii="Tahoma" w:hAnsi="Tahoma"/>
          <w:sz w:val="27"/>
          <w:rtl/>
          <w:lang w:bidi="fa-IR"/>
        </w:rPr>
        <w:t>ن</w:t>
      </w:r>
      <w:r w:rsidRPr="00904FCB">
        <w:rPr>
          <w:rFonts w:ascii="Tahoma" w:hAnsi="Tahoma" w:hint="cs"/>
          <w:sz w:val="27"/>
          <w:rtl/>
          <w:lang w:bidi="fa-IR"/>
        </w:rPr>
        <w:t>ّ</w:t>
      </w:r>
      <w:r w:rsidR="00644408" w:rsidRPr="00904FCB">
        <w:rPr>
          <w:rFonts w:ascii="Tahoma" w:hAnsi="Tahoma"/>
          <w:sz w:val="27"/>
          <w:rtl/>
          <w:lang w:bidi="fa-IR"/>
        </w:rPr>
        <w:t xml:space="preserve"> عدم تفعيل الاجتهاد يستوجب جمود الفقه وتحج</w:t>
      </w:r>
      <w:r w:rsidRPr="00904FCB">
        <w:rPr>
          <w:rFonts w:ascii="Tahoma" w:hAnsi="Tahoma" w:hint="cs"/>
          <w:sz w:val="27"/>
          <w:rtl/>
          <w:lang w:bidi="fa-IR"/>
        </w:rPr>
        <w:t>ّ</w:t>
      </w:r>
      <w:r w:rsidR="00644408" w:rsidRPr="00904FCB">
        <w:rPr>
          <w:rFonts w:ascii="Tahoma" w:hAnsi="Tahoma"/>
          <w:sz w:val="27"/>
          <w:rtl/>
          <w:lang w:bidi="fa-IR"/>
        </w:rPr>
        <w:t>ره</w:t>
      </w:r>
      <w:r w:rsidRPr="00904FCB">
        <w:rPr>
          <w:rFonts w:ascii="Tahoma" w:hAnsi="Tahoma" w:hint="cs"/>
          <w:sz w:val="27"/>
          <w:rtl/>
          <w:lang w:bidi="fa-IR"/>
        </w:rPr>
        <w:t>؛</w:t>
      </w:r>
      <w:r w:rsidRPr="00904FCB">
        <w:rPr>
          <w:rFonts w:ascii="Tahoma" w:hAnsi="Tahoma"/>
          <w:sz w:val="27"/>
          <w:rtl/>
          <w:lang w:bidi="fa-IR"/>
        </w:rPr>
        <w:t xml:space="preserve"> ل</w:t>
      </w:r>
      <w:r w:rsidRPr="00904FCB">
        <w:rPr>
          <w:rFonts w:ascii="Tahoma" w:hAnsi="Tahoma" w:hint="cs"/>
          <w:sz w:val="27"/>
          <w:rtl/>
          <w:lang w:bidi="fa-IR"/>
        </w:rPr>
        <w:t>أ</w:t>
      </w:r>
      <w:r w:rsidR="00644408" w:rsidRPr="00904FCB">
        <w:rPr>
          <w:rFonts w:ascii="Tahoma" w:hAnsi="Tahoma"/>
          <w:sz w:val="27"/>
          <w:rtl/>
          <w:lang w:bidi="fa-IR"/>
        </w:rPr>
        <w:t>ن ما يستجد</w:t>
      </w:r>
      <w:r w:rsidRPr="00904FCB">
        <w:rPr>
          <w:rFonts w:ascii="Tahoma" w:hAnsi="Tahoma" w:hint="cs"/>
          <w:sz w:val="27"/>
          <w:rtl/>
          <w:lang w:bidi="fa-IR"/>
        </w:rPr>
        <w:t>ّ</w:t>
      </w:r>
      <w:r w:rsidR="00644408" w:rsidRPr="00904FCB">
        <w:rPr>
          <w:rFonts w:ascii="Tahoma" w:hAnsi="Tahoma"/>
          <w:sz w:val="27"/>
          <w:rtl/>
          <w:lang w:bidi="fa-IR"/>
        </w:rPr>
        <w:t xml:space="preserve"> من علوم تدخل أحياناً في حياتنا الاجتماعية، وما </w:t>
      </w:r>
      <w:r w:rsidRPr="00904FCB">
        <w:rPr>
          <w:rFonts w:ascii="Tahoma" w:hAnsi="Tahoma" w:hint="cs"/>
          <w:sz w:val="27"/>
          <w:rtl/>
          <w:lang w:bidi="fa-IR"/>
        </w:rPr>
        <w:t>ي</w:t>
      </w:r>
      <w:r w:rsidR="00644408" w:rsidRPr="00904FCB">
        <w:rPr>
          <w:rFonts w:ascii="Tahoma" w:hAnsi="Tahoma"/>
          <w:sz w:val="27"/>
          <w:rtl/>
          <w:lang w:bidi="fa-IR"/>
        </w:rPr>
        <w:t>ستحدث من اكتشافات</w:t>
      </w:r>
      <w:r w:rsidRPr="00904FCB">
        <w:rPr>
          <w:rFonts w:ascii="Tahoma" w:hAnsi="Tahoma" w:hint="cs"/>
          <w:sz w:val="27"/>
          <w:rtl/>
          <w:lang w:bidi="fa-IR"/>
        </w:rPr>
        <w:t>ٍ</w:t>
      </w:r>
      <w:r w:rsidR="00644408" w:rsidRPr="00904FCB">
        <w:rPr>
          <w:rFonts w:ascii="Tahoma" w:hAnsi="Tahoma"/>
          <w:sz w:val="27"/>
          <w:rtl/>
          <w:lang w:bidi="fa-IR"/>
        </w:rPr>
        <w:t xml:space="preserve"> تتوق</w:t>
      </w:r>
      <w:r w:rsidRPr="00904FCB">
        <w:rPr>
          <w:rFonts w:ascii="Tahoma" w:hAnsi="Tahoma" w:hint="cs"/>
          <w:sz w:val="27"/>
          <w:rtl/>
          <w:lang w:bidi="fa-IR"/>
        </w:rPr>
        <w:t>ّ</w:t>
      </w:r>
      <w:r w:rsidR="00644408" w:rsidRPr="00904FCB">
        <w:rPr>
          <w:rFonts w:ascii="Tahoma" w:hAnsi="Tahoma"/>
          <w:sz w:val="27"/>
          <w:rtl/>
          <w:lang w:bidi="fa-IR"/>
        </w:rPr>
        <w:t>ف عجلة التطو</w:t>
      </w:r>
      <w:r w:rsidRPr="00904FCB">
        <w:rPr>
          <w:rFonts w:ascii="Tahoma" w:hAnsi="Tahoma" w:hint="cs"/>
          <w:sz w:val="27"/>
          <w:rtl/>
          <w:lang w:bidi="fa-IR"/>
        </w:rPr>
        <w:t>ّ</w:t>
      </w:r>
      <w:r w:rsidR="00644408" w:rsidRPr="00904FCB">
        <w:rPr>
          <w:rFonts w:ascii="Tahoma" w:hAnsi="Tahoma"/>
          <w:sz w:val="27"/>
          <w:rtl/>
          <w:lang w:bidi="fa-IR"/>
        </w:rPr>
        <w:t>ر على تفعيلها، لا</w:t>
      </w:r>
      <w:r w:rsidRPr="00904FCB">
        <w:rPr>
          <w:rFonts w:ascii="Tahoma" w:hAnsi="Tahoma" w:hint="cs"/>
          <w:sz w:val="27"/>
          <w:rtl/>
          <w:lang w:bidi="fa-IR"/>
        </w:rPr>
        <w:t xml:space="preserve"> </w:t>
      </w:r>
      <w:r w:rsidR="00644408" w:rsidRPr="00904FCB">
        <w:rPr>
          <w:rFonts w:ascii="Tahoma" w:hAnsi="Tahoma"/>
          <w:sz w:val="27"/>
          <w:rtl/>
          <w:lang w:bidi="fa-IR"/>
        </w:rPr>
        <w:t>ب</w:t>
      </w:r>
      <w:r w:rsidRPr="00904FCB">
        <w:rPr>
          <w:rFonts w:ascii="Tahoma" w:hAnsi="Tahoma" w:hint="cs"/>
          <w:sz w:val="27"/>
          <w:rtl/>
          <w:lang w:bidi="fa-IR"/>
        </w:rPr>
        <w:t>ُ</w:t>
      </w:r>
      <w:r w:rsidR="00644408" w:rsidRPr="00904FCB">
        <w:rPr>
          <w:rFonts w:ascii="Tahoma" w:hAnsi="Tahoma"/>
          <w:sz w:val="27"/>
          <w:rtl/>
          <w:lang w:bidi="fa-IR"/>
        </w:rPr>
        <w:t>د</w:t>
      </w:r>
      <w:r w:rsidRPr="00904FCB">
        <w:rPr>
          <w:rFonts w:ascii="Tahoma" w:hAnsi="Tahoma" w:hint="cs"/>
          <w:sz w:val="27"/>
          <w:rtl/>
          <w:lang w:bidi="fa-IR"/>
        </w:rPr>
        <w:t>َّ</w:t>
      </w:r>
      <w:r w:rsidR="00644408" w:rsidRPr="00904FCB">
        <w:rPr>
          <w:rFonts w:ascii="Tahoma" w:hAnsi="Tahoma"/>
          <w:sz w:val="27"/>
          <w:rtl/>
          <w:lang w:bidi="fa-IR"/>
        </w:rPr>
        <w:t xml:space="preserve"> أن يكون للمشر</w:t>
      </w:r>
      <w:r w:rsidR="0057607C">
        <w:rPr>
          <w:rFonts w:ascii="Tahoma" w:hAnsi="Tahoma" w:hint="cs"/>
          <w:sz w:val="27"/>
          <w:rtl/>
          <w:lang w:bidi="fa-IR"/>
        </w:rPr>
        <w:t>ِّ</w:t>
      </w:r>
      <w:r w:rsidR="00644408" w:rsidRPr="00904FCB">
        <w:rPr>
          <w:rFonts w:ascii="Tahoma" w:hAnsi="Tahoma"/>
          <w:sz w:val="27"/>
          <w:rtl/>
          <w:lang w:bidi="fa-IR"/>
        </w:rPr>
        <w:t>ع الإسلامي رأي</w:t>
      </w:r>
      <w:r w:rsidRPr="00904FCB">
        <w:rPr>
          <w:rFonts w:ascii="Tahoma" w:hAnsi="Tahoma" w:hint="cs"/>
          <w:sz w:val="27"/>
          <w:rtl/>
          <w:lang w:bidi="fa-IR"/>
        </w:rPr>
        <w:t>ٌ</w:t>
      </w:r>
      <w:r w:rsidR="00644408" w:rsidRPr="00904FCB">
        <w:rPr>
          <w:rFonts w:ascii="Tahoma" w:hAnsi="Tahoma"/>
          <w:sz w:val="27"/>
          <w:rtl/>
          <w:lang w:bidi="fa-IR"/>
        </w:rPr>
        <w:t xml:space="preserve"> فيها، </w:t>
      </w:r>
      <w:r w:rsidRPr="00904FCB">
        <w:rPr>
          <w:rFonts w:ascii="Tahoma" w:hAnsi="Tahoma" w:hint="cs"/>
          <w:sz w:val="27"/>
          <w:rtl/>
          <w:lang w:bidi="fa-IR"/>
        </w:rPr>
        <w:t>إ</w:t>
      </w:r>
      <w:r w:rsidR="00644408" w:rsidRPr="00904FCB">
        <w:rPr>
          <w:rFonts w:ascii="Tahoma" w:hAnsi="Tahoma"/>
          <w:sz w:val="27"/>
          <w:rtl/>
          <w:lang w:bidi="fa-IR"/>
        </w:rPr>
        <w:t>ما رافضاً</w:t>
      </w:r>
      <w:r w:rsidRPr="00904FCB">
        <w:rPr>
          <w:rFonts w:ascii="Tahoma" w:hAnsi="Tahoma" w:hint="cs"/>
          <w:sz w:val="27"/>
          <w:rtl/>
          <w:lang w:bidi="fa-IR"/>
        </w:rPr>
        <w:t>،</w:t>
      </w:r>
      <w:r w:rsidR="00644408" w:rsidRPr="00904FCB">
        <w:rPr>
          <w:rFonts w:ascii="Tahoma" w:hAnsi="Tahoma"/>
          <w:sz w:val="27"/>
          <w:rtl/>
          <w:lang w:bidi="fa-IR"/>
        </w:rPr>
        <w:t xml:space="preserve"> أو قابلاً لها</w:t>
      </w:r>
      <w:r w:rsidRPr="00904FCB">
        <w:rPr>
          <w:rFonts w:ascii="Tahoma" w:hAnsi="Tahoma" w:hint="cs"/>
          <w:sz w:val="27"/>
          <w:rtl/>
          <w:lang w:bidi="fa-IR"/>
        </w:rPr>
        <w:t>،</w:t>
      </w:r>
      <w:r w:rsidR="00644408" w:rsidRPr="00904FCB">
        <w:rPr>
          <w:rFonts w:ascii="Tahoma" w:hAnsi="Tahoma"/>
          <w:sz w:val="27"/>
          <w:rtl/>
          <w:lang w:bidi="fa-IR"/>
        </w:rPr>
        <w:t xml:space="preserve"> أو مصح</w:t>
      </w:r>
      <w:r w:rsidRPr="00904FCB">
        <w:rPr>
          <w:rFonts w:ascii="Tahoma" w:hAnsi="Tahoma" w:hint="cs"/>
          <w:sz w:val="27"/>
          <w:rtl/>
          <w:lang w:bidi="fa-IR"/>
        </w:rPr>
        <w:t>ِّ</w:t>
      </w:r>
      <w:r w:rsidR="00644408" w:rsidRPr="00904FCB">
        <w:rPr>
          <w:rFonts w:ascii="Tahoma" w:hAnsi="Tahoma"/>
          <w:sz w:val="27"/>
          <w:rtl/>
          <w:lang w:bidi="fa-IR"/>
        </w:rPr>
        <w:t>حاً لبعض جوانبها</w:t>
      </w:r>
      <w:r w:rsidRPr="00904FCB">
        <w:rPr>
          <w:rFonts w:ascii="Tahoma" w:hAnsi="Tahoma" w:hint="cs"/>
          <w:sz w:val="27"/>
          <w:rtl/>
          <w:lang w:bidi="fa-IR"/>
        </w:rPr>
        <w:t>،</w:t>
      </w:r>
      <w:r w:rsidR="00644408" w:rsidRPr="00904FCB">
        <w:rPr>
          <w:rFonts w:ascii="Tahoma" w:hAnsi="Tahoma"/>
          <w:sz w:val="27"/>
          <w:rtl/>
          <w:lang w:bidi="fa-IR"/>
        </w:rPr>
        <w:t xml:space="preserve"> و</w:t>
      </w:r>
      <w:r w:rsidRPr="00904FCB">
        <w:rPr>
          <w:rFonts w:ascii="Tahoma" w:hAnsi="Tahoma" w:hint="cs"/>
          <w:sz w:val="27"/>
          <w:rtl/>
          <w:lang w:bidi="fa-IR"/>
        </w:rPr>
        <w:t>إ</w:t>
      </w:r>
      <w:r w:rsidR="00644408" w:rsidRPr="00904FCB">
        <w:rPr>
          <w:rFonts w:ascii="Tahoma" w:hAnsi="Tahoma"/>
          <w:sz w:val="27"/>
          <w:rtl/>
          <w:lang w:bidi="fa-IR"/>
        </w:rPr>
        <w:t>لا</w:t>
      </w:r>
      <w:r w:rsidRPr="00904FCB">
        <w:rPr>
          <w:rFonts w:ascii="Tahoma" w:hAnsi="Tahoma" w:hint="cs"/>
          <w:sz w:val="27"/>
          <w:rtl/>
          <w:lang w:bidi="fa-IR"/>
        </w:rPr>
        <w:t>ّ</w:t>
      </w:r>
      <w:r w:rsidR="00644408" w:rsidRPr="00904FCB">
        <w:rPr>
          <w:rFonts w:ascii="Tahoma" w:hAnsi="Tahoma"/>
          <w:sz w:val="27"/>
          <w:rtl/>
          <w:lang w:bidi="fa-IR"/>
        </w:rPr>
        <w:t xml:space="preserve"> ففي اللارأي واللاأدري إشكال</w:t>
      </w:r>
      <w:r w:rsidRPr="00904FCB">
        <w:rPr>
          <w:rFonts w:ascii="Tahoma" w:hAnsi="Tahoma" w:hint="cs"/>
          <w:sz w:val="27"/>
          <w:rtl/>
          <w:lang w:bidi="fa-IR"/>
        </w:rPr>
        <w:t>ٌ</w:t>
      </w:r>
      <w:r w:rsidRPr="00904FCB">
        <w:rPr>
          <w:rFonts w:ascii="Tahoma" w:hAnsi="Tahoma"/>
          <w:sz w:val="27"/>
          <w:rtl/>
          <w:lang w:bidi="fa-IR"/>
        </w:rPr>
        <w:t xml:space="preserve"> يستغله أعداء الشريعة لصالح</w:t>
      </w:r>
      <w:r w:rsidR="00644408" w:rsidRPr="00904FCB">
        <w:rPr>
          <w:rFonts w:ascii="Tahoma" w:hAnsi="Tahoma"/>
          <w:sz w:val="27"/>
          <w:rtl/>
          <w:lang w:bidi="fa-IR"/>
        </w:rPr>
        <w:t>هم</w:t>
      </w:r>
      <w:r w:rsidRPr="00904FCB">
        <w:rPr>
          <w:rFonts w:ascii="Tahoma" w:hAnsi="Tahoma" w:hint="cs"/>
          <w:sz w:val="27"/>
          <w:rtl/>
          <w:lang w:bidi="fa-IR"/>
        </w:rPr>
        <w:t>.</w:t>
      </w:r>
      <w:r w:rsidR="00644408" w:rsidRPr="00904FCB">
        <w:rPr>
          <w:rFonts w:ascii="Tahoma" w:hAnsi="Tahoma"/>
          <w:sz w:val="27"/>
          <w:rtl/>
          <w:lang w:bidi="fa-IR"/>
        </w:rPr>
        <w:t xml:space="preserve"> ولذلك كان لفقهاء الإسلام ومجتهديه مواقف و</w:t>
      </w:r>
      <w:r w:rsidRPr="00904FCB">
        <w:rPr>
          <w:rFonts w:ascii="Tahoma" w:hAnsi="Tahoma" w:hint="cs"/>
          <w:sz w:val="27"/>
          <w:rtl/>
          <w:lang w:bidi="fa-IR"/>
        </w:rPr>
        <w:t>آ</w:t>
      </w:r>
      <w:r w:rsidR="00644408" w:rsidRPr="00904FCB">
        <w:rPr>
          <w:rFonts w:ascii="Tahoma" w:hAnsi="Tahoma"/>
          <w:sz w:val="27"/>
          <w:rtl/>
          <w:lang w:bidi="fa-IR"/>
        </w:rPr>
        <w:t>راء في الاستنساخ البشري</w:t>
      </w:r>
      <w:r w:rsidRPr="00904FCB">
        <w:rPr>
          <w:rFonts w:ascii="Tahoma" w:hAnsi="Tahoma" w:hint="cs"/>
          <w:sz w:val="27"/>
          <w:rtl/>
          <w:lang w:bidi="fa-IR"/>
        </w:rPr>
        <w:t>،</w:t>
      </w:r>
      <w:r w:rsidR="00644408" w:rsidRPr="00904FCB">
        <w:rPr>
          <w:rFonts w:ascii="Tahoma" w:hAnsi="Tahoma"/>
          <w:sz w:val="27"/>
          <w:rtl/>
          <w:lang w:bidi="fa-IR"/>
        </w:rPr>
        <w:t xml:space="preserve"> وأطفال الأنابيب، والصلاة على القمر</w:t>
      </w:r>
      <w:r w:rsidRPr="00904FCB">
        <w:rPr>
          <w:rFonts w:ascii="Tahoma" w:hAnsi="Tahoma" w:hint="cs"/>
          <w:sz w:val="27"/>
          <w:rtl/>
          <w:lang w:bidi="fa-IR"/>
        </w:rPr>
        <w:t>،</w:t>
      </w:r>
      <w:r w:rsidR="00644408" w:rsidRPr="00904FCB">
        <w:rPr>
          <w:rFonts w:ascii="Tahoma" w:hAnsi="Tahoma"/>
          <w:sz w:val="27"/>
          <w:rtl/>
          <w:lang w:bidi="fa-IR"/>
        </w:rPr>
        <w:t xml:space="preserve"> وغيره، </w:t>
      </w:r>
      <w:r w:rsidRPr="00904FCB">
        <w:rPr>
          <w:rFonts w:ascii="Tahoma" w:hAnsi="Tahoma" w:hint="cs"/>
          <w:sz w:val="27"/>
          <w:rtl/>
          <w:lang w:bidi="fa-IR"/>
        </w:rPr>
        <w:t xml:space="preserve">من خلال </w:t>
      </w:r>
      <w:r w:rsidR="00644408" w:rsidRPr="00904FCB">
        <w:rPr>
          <w:rFonts w:ascii="Tahoma" w:hAnsi="Tahoma"/>
          <w:sz w:val="27"/>
          <w:rtl/>
          <w:lang w:bidi="fa-IR"/>
        </w:rPr>
        <w:t>بحوث ودراسات أ</w:t>
      </w:r>
      <w:r w:rsidRPr="00904FCB">
        <w:rPr>
          <w:rFonts w:ascii="Tahoma" w:hAnsi="Tahoma" w:hint="cs"/>
          <w:sz w:val="27"/>
          <w:rtl/>
          <w:lang w:bidi="fa-IR"/>
        </w:rPr>
        <w:t>ُ</w:t>
      </w:r>
      <w:r w:rsidR="00644408" w:rsidRPr="00904FCB">
        <w:rPr>
          <w:rFonts w:ascii="Tahoma" w:hAnsi="Tahoma"/>
          <w:sz w:val="27"/>
          <w:rtl/>
          <w:lang w:bidi="fa-IR"/>
        </w:rPr>
        <w:t>ودعت هنا وهناك، احتو</w:t>
      </w:r>
      <w:r w:rsidRPr="00904FCB">
        <w:rPr>
          <w:rFonts w:ascii="Tahoma" w:hAnsi="Tahoma" w:hint="cs"/>
          <w:sz w:val="27"/>
          <w:rtl/>
          <w:lang w:bidi="fa-IR"/>
        </w:rPr>
        <w:t>َ</w:t>
      </w:r>
      <w:r w:rsidR="00644408" w:rsidRPr="00904FCB">
        <w:rPr>
          <w:rFonts w:ascii="Tahoma" w:hAnsi="Tahoma"/>
          <w:sz w:val="27"/>
          <w:rtl/>
          <w:lang w:bidi="fa-IR"/>
        </w:rPr>
        <w:t>ت</w:t>
      </w:r>
      <w:r w:rsidRPr="00904FCB">
        <w:rPr>
          <w:rFonts w:ascii="Tahoma" w:hAnsi="Tahoma" w:hint="cs"/>
          <w:sz w:val="27"/>
          <w:rtl/>
          <w:lang w:bidi="fa-IR"/>
        </w:rPr>
        <w:t>ْ</w:t>
      </w:r>
      <w:r w:rsidR="00644408" w:rsidRPr="00904FCB">
        <w:rPr>
          <w:rFonts w:ascii="Tahoma" w:hAnsi="Tahoma"/>
          <w:sz w:val="27"/>
          <w:rtl/>
          <w:lang w:bidi="fa-IR"/>
        </w:rPr>
        <w:t>ها مؤل</w:t>
      </w:r>
      <w:r w:rsidRPr="00904FCB">
        <w:rPr>
          <w:rFonts w:ascii="Tahoma" w:hAnsi="Tahoma" w:hint="cs"/>
          <w:sz w:val="27"/>
          <w:rtl/>
          <w:lang w:bidi="fa-IR"/>
        </w:rPr>
        <w:t>ّ</w:t>
      </w:r>
      <w:r w:rsidR="00644408" w:rsidRPr="00904FCB">
        <w:rPr>
          <w:rFonts w:ascii="Tahoma" w:hAnsi="Tahoma"/>
          <w:sz w:val="27"/>
          <w:rtl/>
          <w:lang w:bidi="fa-IR"/>
        </w:rPr>
        <w:t>فات مستقل</w:t>
      </w:r>
      <w:r w:rsidRPr="00904FCB">
        <w:rPr>
          <w:rFonts w:ascii="Tahoma" w:hAnsi="Tahoma" w:hint="cs"/>
          <w:sz w:val="27"/>
          <w:rtl/>
          <w:lang w:bidi="fa-IR"/>
        </w:rPr>
        <w:t>ّ</w:t>
      </w:r>
      <w:r w:rsidR="00644408" w:rsidRPr="00904FCB">
        <w:rPr>
          <w:rFonts w:ascii="Tahoma" w:hAnsi="Tahoma"/>
          <w:sz w:val="27"/>
          <w:rtl/>
          <w:lang w:bidi="fa-IR"/>
        </w:rPr>
        <w:t>ة أحياناً</w:t>
      </w:r>
      <w:r w:rsidRPr="00904FCB">
        <w:rPr>
          <w:rFonts w:ascii="Tahoma" w:hAnsi="Tahoma" w:hint="cs"/>
          <w:sz w:val="27"/>
          <w:rtl/>
          <w:lang w:bidi="fa-IR"/>
        </w:rPr>
        <w:t>،</w:t>
      </w:r>
      <w:r w:rsidR="00644408" w:rsidRPr="00904FCB">
        <w:rPr>
          <w:rFonts w:ascii="Tahoma" w:hAnsi="Tahoma"/>
          <w:sz w:val="27"/>
          <w:rtl/>
          <w:lang w:bidi="fa-IR"/>
        </w:rPr>
        <w:t xml:space="preserve"> وبحوث في مجالات متخص</w:t>
      </w:r>
      <w:r w:rsidRPr="00904FCB">
        <w:rPr>
          <w:rFonts w:ascii="Tahoma" w:hAnsi="Tahoma" w:hint="cs"/>
          <w:sz w:val="27"/>
          <w:rtl/>
          <w:lang w:bidi="fa-IR"/>
        </w:rPr>
        <w:t>ِّ</w:t>
      </w:r>
      <w:r w:rsidR="00644408" w:rsidRPr="00904FCB">
        <w:rPr>
          <w:rFonts w:ascii="Tahoma" w:hAnsi="Tahoma"/>
          <w:sz w:val="27"/>
          <w:rtl/>
          <w:lang w:bidi="fa-IR"/>
        </w:rPr>
        <w:t>صة أحياناً أخرى، كل</w:t>
      </w:r>
      <w:r w:rsidR="00C33795" w:rsidRPr="00904FCB">
        <w:rPr>
          <w:rFonts w:ascii="Tahoma" w:hAnsi="Tahoma" w:hint="cs"/>
          <w:sz w:val="27"/>
          <w:rtl/>
          <w:lang w:bidi="fa-IR"/>
        </w:rPr>
        <w:t>ّ</w:t>
      </w:r>
      <w:r w:rsidR="00644408" w:rsidRPr="00904FCB">
        <w:rPr>
          <w:rFonts w:ascii="Tahoma" w:hAnsi="Tahoma"/>
          <w:sz w:val="27"/>
          <w:rtl/>
          <w:lang w:bidi="fa-IR"/>
        </w:rPr>
        <w:t>ها تنم</w:t>
      </w:r>
      <w:r w:rsidR="00C33795" w:rsidRPr="00904FCB">
        <w:rPr>
          <w:rFonts w:ascii="Tahoma" w:hAnsi="Tahoma" w:hint="cs"/>
          <w:sz w:val="27"/>
          <w:rtl/>
          <w:lang w:bidi="fa-IR"/>
        </w:rPr>
        <w:t>ّ</w:t>
      </w:r>
      <w:r w:rsidR="00644408" w:rsidRPr="00904FCB">
        <w:rPr>
          <w:rFonts w:ascii="Tahoma" w:hAnsi="Tahoma"/>
          <w:sz w:val="27"/>
          <w:rtl/>
          <w:lang w:bidi="fa-IR"/>
        </w:rPr>
        <w:t xml:space="preserve"> عن طروح موضوعية بديعة، وملكة علمية رائعة. </w:t>
      </w:r>
    </w:p>
    <w:p w:rsidR="00C33795"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وحديثنا عن تقنين الفقه</w:t>
      </w:r>
      <w:r w:rsidR="00C33795" w:rsidRPr="00904FCB">
        <w:rPr>
          <w:rFonts w:ascii="Tahoma" w:hAnsi="Tahoma" w:hint="cs"/>
          <w:sz w:val="27"/>
          <w:rtl/>
          <w:lang w:bidi="fa-IR"/>
        </w:rPr>
        <w:t>.</w:t>
      </w:r>
      <w:r w:rsidRPr="00904FCB">
        <w:rPr>
          <w:rFonts w:ascii="Tahoma" w:hAnsi="Tahoma"/>
          <w:sz w:val="27"/>
          <w:rtl/>
          <w:lang w:bidi="fa-IR"/>
        </w:rPr>
        <w:t xml:space="preserve"> والتقنين يقصد به على وجه عام</w:t>
      </w:r>
      <w:r w:rsidR="00C33795" w:rsidRPr="00904FCB">
        <w:rPr>
          <w:rFonts w:ascii="Tahoma" w:hAnsi="Tahoma" w:hint="cs"/>
          <w:sz w:val="27"/>
          <w:rtl/>
          <w:lang w:bidi="fa-IR"/>
        </w:rPr>
        <w:t>ٍ</w:t>
      </w:r>
      <w:r w:rsidRPr="00904FCB">
        <w:rPr>
          <w:rFonts w:ascii="Tahoma" w:hAnsi="Tahoma"/>
          <w:sz w:val="27"/>
          <w:rtl/>
          <w:lang w:bidi="fa-IR"/>
        </w:rPr>
        <w:t xml:space="preserve"> «جمع الأحكام والقواعد التشريعية المتعل</w:t>
      </w:r>
      <w:r w:rsidR="00C33795" w:rsidRPr="00904FCB">
        <w:rPr>
          <w:rFonts w:ascii="Tahoma" w:hAnsi="Tahoma" w:hint="cs"/>
          <w:sz w:val="27"/>
          <w:rtl/>
          <w:lang w:bidi="fa-IR"/>
        </w:rPr>
        <w:t>ّ</w:t>
      </w:r>
      <w:r w:rsidRPr="00904FCB">
        <w:rPr>
          <w:rFonts w:ascii="Tahoma" w:hAnsi="Tahoma"/>
          <w:sz w:val="27"/>
          <w:rtl/>
          <w:lang w:bidi="fa-IR"/>
        </w:rPr>
        <w:t>قة بمجال</w:t>
      </w:r>
      <w:r w:rsidR="00C33795" w:rsidRPr="00904FCB">
        <w:rPr>
          <w:rFonts w:ascii="Tahoma" w:hAnsi="Tahoma" w:hint="cs"/>
          <w:sz w:val="27"/>
          <w:rtl/>
          <w:lang w:bidi="fa-IR"/>
        </w:rPr>
        <w:t>ٍ</w:t>
      </w:r>
      <w:r w:rsidRPr="00904FCB">
        <w:rPr>
          <w:rFonts w:ascii="Tahoma" w:hAnsi="Tahoma"/>
          <w:sz w:val="27"/>
          <w:rtl/>
          <w:lang w:bidi="fa-IR"/>
        </w:rPr>
        <w:t xml:space="preserve"> من مجالات العلاقات الاجتماعية وتبويبها، وترتيبها، وصياغتها بعبارات آمرة موجزة واضحة في بنود</w:t>
      </w:r>
      <w:r w:rsidR="00C33795" w:rsidRPr="00904FCB">
        <w:rPr>
          <w:rFonts w:ascii="Tahoma" w:hAnsi="Tahoma" w:hint="cs"/>
          <w:sz w:val="27"/>
          <w:rtl/>
          <w:lang w:bidi="fa-IR"/>
        </w:rPr>
        <w:t>،</w:t>
      </w:r>
      <w:r w:rsidRPr="00904FCB">
        <w:rPr>
          <w:rFonts w:ascii="Tahoma" w:hAnsi="Tahoma"/>
          <w:sz w:val="27"/>
          <w:rtl/>
          <w:lang w:bidi="fa-IR"/>
        </w:rPr>
        <w:t xml:space="preserve"> تسم</w:t>
      </w:r>
      <w:r w:rsidR="00C33795" w:rsidRPr="00904FCB">
        <w:rPr>
          <w:rFonts w:ascii="Tahoma" w:hAnsi="Tahoma" w:hint="cs"/>
          <w:sz w:val="27"/>
          <w:rtl/>
          <w:lang w:bidi="fa-IR"/>
        </w:rPr>
        <w:t>ّ</w:t>
      </w:r>
      <w:r w:rsidRPr="00904FCB">
        <w:rPr>
          <w:rFonts w:ascii="Tahoma" w:hAnsi="Tahoma"/>
          <w:sz w:val="27"/>
          <w:rtl/>
          <w:lang w:bidi="fa-IR"/>
        </w:rPr>
        <w:t>ى (مواد ذات أرقام متسلسلة)</w:t>
      </w:r>
      <w:r w:rsidR="00C33795" w:rsidRPr="00904FCB">
        <w:rPr>
          <w:rFonts w:ascii="Tahoma" w:hAnsi="Tahoma" w:hint="cs"/>
          <w:sz w:val="27"/>
          <w:rtl/>
          <w:lang w:bidi="fa-IR"/>
        </w:rPr>
        <w:t>،</w:t>
      </w:r>
      <w:r w:rsidRPr="00904FCB">
        <w:rPr>
          <w:rFonts w:ascii="Tahoma" w:hAnsi="Tahoma"/>
          <w:sz w:val="27"/>
          <w:rtl/>
          <w:lang w:bidi="fa-IR"/>
        </w:rPr>
        <w:t xml:space="preserve"> ثم اصدارها في صورة قانون </w:t>
      </w:r>
      <w:r w:rsidR="00C33795" w:rsidRPr="00904FCB">
        <w:rPr>
          <w:rFonts w:ascii="Tahoma" w:hAnsi="Tahoma" w:hint="cs"/>
          <w:sz w:val="27"/>
          <w:rtl/>
          <w:lang w:bidi="fa-IR"/>
        </w:rPr>
        <w:t>أ</w:t>
      </w:r>
      <w:r w:rsidRPr="00904FCB">
        <w:rPr>
          <w:rFonts w:ascii="Tahoma" w:hAnsi="Tahoma"/>
          <w:sz w:val="27"/>
          <w:rtl/>
          <w:lang w:bidi="fa-IR"/>
        </w:rPr>
        <w:t>و نظام تفرضه الدولة، ويلتزم القضاة بتطبيقه بين الناس»</w:t>
      </w:r>
      <w:r w:rsidR="00C33795" w:rsidRPr="00904FCB">
        <w:rPr>
          <w:rFonts w:ascii="Tahoma" w:hAnsi="Tahoma" w:hint="cs"/>
          <w:sz w:val="27"/>
          <w:rtl/>
          <w:lang w:bidi="fa-IR"/>
        </w:rPr>
        <w:t>،</w:t>
      </w:r>
      <w:r w:rsidRPr="00904FCB">
        <w:rPr>
          <w:rFonts w:ascii="Tahoma" w:hAnsi="Tahoma"/>
          <w:sz w:val="27"/>
          <w:rtl/>
          <w:lang w:bidi="fa-IR"/>
        </w:rPr>
        <w:t xml:space="preserve"> ويقصد بها تحديد ضوابط سلوكية لروابط اجتماعية بصياغة فن</w:t>
      </w:r>
      <w:r w:rsidR="00C33795" w:rsidRPr="00904FCB">
        <w:rPr>
          <w:rFonts w:ascii="Tahoma" w:hAnsi="Tahoma" w:hint="cs"/>
          <w:sz w:val="27"/>
          <w:rtl/>
          <w:lang w:bidi="fa-IR"/>
        </w:rPr>
        <w:t>ّ</w:t>
      </w:r>
      <w:r w:rsidRPr="00904FCB">
        <w:rPr>
          <w:rFonts w:ascii="Tahoma" w:hAnsi="Tahoma"/>
          <w:sz w:val="27"/>
          <w:rtl/>
          <w:lang w:bidi="fa-IR"/>
        </w:rPr>
        <w:t>ية يستلهم واضعها معطيات ديني</w:t>
      </w:r>
      <w:r w:rsidR="00C33795" w:rsidRPr="00904FCB">
        <w:rPr>
          <w:rFonts w:ascii="Tahoma" w:hAnsi="Tahoma" w:hint="cs"/>
          <w:sz w:val="27"/>
          <w:rtl/>
          <w:lang w:bidi="fa-IR"/>
        </w:rPr>
        <w:t>ة،</w:t>
      </w:r>
      <w:r w:rsidRPr="00904FCB">
        <w:rPr>
          <w:rFonts w:ascii="Tahoma" w:hAnsi="Tahoma"/>
          <w:sz w:val="27"/>
          <w:rtl/>
          <w:lang w:bidi="fa-IR"/>
        </w:rPr>
        <w:t xml:space="preserve"> </w:t>
      </w:r>
      <w:r w:rsidR="00C33795" w:rsidRPr="00904FCB">
        <w:rPr>
          <w:rFonts w:ascii="Tahoma" w:hAnsi="Tahoma" w:hint="cs"/>
          <w:sz w:val="27"/>
          <w:rtl/>
          <w:lang w:bidi="fa-IR"/>
        </w:rPr>
        <w:t>أ</w:t>
      </w:r>
      <w:r w:rsidRPr="00904FCB">
        <w:rPr>
          <w:rFonts w:ascii="Tahoma" w:hAnsi="Tahoma"/>
          <w:sz w:val="27"/>
          <w:rtl/>
          <w:lang w:bidi="fa-IR"/>
        </w:rPr>
        <w:t>خلاق</w:t>
      </w:r>
      <w:r w:rsidR="00C33795" w:rsidRPr="00904FCB">
        <w:rPr>
          <w:rFonts w:ascii="Tahoma" w:hAnsi="Tahoma" w:hint="cs"/>
          <w:sz w:val="27"/>
          <w:rtl/>
          <w:lang w:bidi="fa-IR"/>
        </w:rPr>
        <w:t>ية،</w:t>
      </w:r>
      <w:r w:rsidRPr="00904FCB">
        <w:rPr>
          <w:rFonts w:ascii="Tahoma" w:hAnsi="Tahoma"/>
          <w:sz w:val="27"/>
          <w:rtl/>
          <w:lang w:bidi="fa-IR"/>
        </w:rPr>
        <w:t xml:space="preserve"> ثقافي</w:t>
      </w:r>
      <w:r w:rsidR="00C33795" w:rsidRPr="00904FCB">
        <w:rPr>
          <w:rFonts w:ascii="Tahoma" w:hAnsi="Tahoma" w:hint="cs"/>
          <w:sz w:val="27"/>
          <w:rtl/>
          <w:lang w:bidi="fa-IR"/>
        </w:rPr>
        <w:t>ة،</w:t>
      </w:r>
      <w:r w:rsidRPr="00904FCB">
        <w:rPr>
          <w:rFonts w:ascii="Tahoma" w:hAnsi="Tahoma"/>
          <w:sz w:val="27"/>
          <w:rtl/>
          <w:lang w:bidi="fa-IR"/>
        </w:rPr>
        <w:t xml:space="preserve"> عرفي</w:t>
      </w:r>
      <w:r w:rsidR="00C33795" w:rsidRPr="00904FCB">
        <w:rPr>
          <w:rFonts w:ascii="Tahoma" w:hAnsi="Tahoma" w:hint="cs"/>
          <w:sz w:val="27"/>
          <w:rtl/>
          <w:lang w:bidi="fa-IR"/>
        </w:rPr>
        <w:t>ة،</w:t>
      </w:r>
      <w:r w:rsidRPr="00904FCB">
        <w:rPr>
          <w:rFonts w:ascii="Tahoma" w:hAnsi="Tahoma"/>
          <w:sz w:val="27"/>
          <w:rtl/>
          <w:lang w:bidi="fa-IR"/>
        </w:rPr>
        <w:t xml:space="preserve"> مقيد</w:t>
      </w:r>
      <w:r w:rsidR="00C33795" w:rsidRPr="00904FCB">
        <w:rPr>
          <w:rFonts w:ascii="Tahoma" w:hAnsi="Tahoma" w:hint="cs"/>
          <w:sz w:val="27"/>
          <w:rtl/>
          <w:lang w:bidi="fa-IR"/>
        </w:rPr>
        <w:t>ة</w:t>
      </w:r>
      <w:r w:rsidRPr="00904FCB">
        <w:rPr>
          <w:rFonts w:ascii="Tahoma" w:hAnsi="Tahoma"/>
          <w:sz w:val="27"/>
          <w:rtl/>
          <w:lang w:bidi="fa-IR"/>
        </w:rPr>
        <w:t xml:space="preserve"> بعامل الزمكان</w:t>
      </w:r>
      <w:r w:rsidR="00C33795" w:rsidRPr="00904FCB">
        <w:rPr>
          <w:rFonts w:ascii="Tahoma" w:hAnsi="Tahoma" w:hint="cs"/>
          <w:sz w:val="27"/>
          <w:rtl/>
          <w:lang w:bidi="fa-IR"/>
        </w:rPr>
        <w:t>،</w:t>
      </w:r>
      <w:r w:rsidRPr="00904FCB">
        <w:rPr>
          <w:rFonts w:ascii="Tahoma" w:hAnsi="Tahoma"/>
          <w:sz w:val="27"/>
          <w:rtl/>
          <w:lang w:bidi="fa-IR"/>
        </w:rPr>
        <w:t xml:space="preserve"> ومشفوعة بقو</w:t>
      </w:r>
      <w:r w:rsidR="00C33795" w:rsidRPr="00904FCB">
        <w:rPr>
          <w:rFonts w:ascii="Tahoma" w:hAnsi="Tahoma" w:hint="cs"/>
          <w:sz w:val="27"/>
          <w:rtl/>
          <w:lang w:bidi="fa-IR"/>
        </w:rPr>
        <w:t>ّ</w:t>
      </w:r>
      <w:r w:rsidRPr="00904FCB">
        <w:rPr>
          <w:rFonts w:ascii="Tahoma" w:hAnsi="Tahoma"/>
          <w:sz w:val="27"/>
          <w:rtl/>
          <w:lang w:bidi="fa-IR"/>
        </w:rPr>
        <w:t>ة وضعها. وهو في موضوع هذه الدراسة</w:t>
      </w:r>
      <w:r w:rsidR="00C33795" w:rsidRPr="00904FCB">
        <w:rPr>
          <w:rFonts w:ascii="Tahoma" w:hAnsi="Tahoma" w:hint="cs"/>
          <w:sz w:val="27"/>
          <w:rtl/>
          <w:lang w:bidi="fa-IR"/>
        </w:rPr>
        <w:t xml:space="preserve"> </w:t>
      </w:r>
      <w:r w:rsidRPr="00904FCB">
        <w:rPr>
          <w:rFonts w:ascii="Tahoma" w:hAnsi="Tahoma"/>
          <w:sz w:val="27"/>
          <w:rtl/>
          <w:lang w:bidi="fa-IR"/>
        </w:rPr>
        <w:t>«صياغة الفقه في صورة مواد قانونية مرت</w:t>
      </w:r>
      <w:r w:rsidR="00C33795" w:rsidRPr="00904FCB">
        <w:rPr>
          <w:rFonts w:ascii="Tahoma" w:hAnsi="Tahoma" w:hint="cs"/>
          <w:sz w:val="27"/>
          <w:rtl/>
          <w:lang w:bidi="fa-IR"/>
        </w:rPr>
        <w:t>ّ</w:t>
      </w:r>
      <w:r w:rsidRPr="00904FCB">
        <w:rPr>
          <w:rFonts w:ascii="Tahoma" w:hAnsi="Tahoma"/>
          <w:sz w:val="27"/>
          <w:rtl/>
          <w:lang w:bidi="fa-IR"/>
        </w:rPr>
        <w:t>بة على غرار القوانين الحديثة</w:t>
      </w:r>
      <w:r w:rsidR="00C33795" w:rsidRPr="00904FCB">
        <w:rPr>
          <w:rFonts w:ascii="Tahoma" w:hAnsi="Tahoma" w:hint="cs"/>
          <w:sz w:val="27"/>
          <w:rtl/>
          <w:lang w:bidi="fa-IR"/>
        </w:rPr>
        <w:t>،</w:t>
      </w:r>
      <w:r w:rsidRPr="00904FCB">
        <w:rPr>
          <w:rFonts w:ascii="Tahoma" w:hAnsi="Tahoma"/>
          <w:sz w:val="27"/>
          <w:rtl/>
          <w:lang w:bidi="fa-IR"/>
        </w:rPr>
        <w:t xml:space="preserve"> من مدنية وجنائية وإدارية</w:t>
      </w:r>
      <w:r w:rsidR="00C33795" w:rsidRPr="00904FCB">
        <w:rPr>
          <w:rFonts w:ascii="Tahoma" w:hAnsi="Tahoma" w:hint="cs"/>
          <w:sz w:val="27"/>
          <w:rtl/>
          <w:lang w:bidi="fa-IR"/>
        </w:rPr>
        <w:t>،</w:t>
      </w:r>
      <w:r w:rsidRPr="00904FCB">
        <w:rPr>
          <w:rFonts w:ascii="Tahoma" w:hAnsi="Tahoma"/>
          <w:sz w:val="27"/>
          <w:rtl/>
          <w:lang w:bidi="fa-IR"/>
        </w:rPr>
        <w:t xml:space="preserve"> وذلك لتكون منهجاً سهلاً محد</w:t>
      </w:r>
      <w:r w:rsidR="00C33795" w:rsidRPr="00904FCB">
        <w:rPr>
          <w:rFonts w:ascii="Tahoma" w:hAnsi="Tahoma" w:hint="cs"/>
          <w:sz w:val="27"/>
          <w:rtl/>
          <w:lang w:bidi="fa-IR"/>
        </w:rPr>
        <w:t>ّ</w:t>
      </w:r>
      <w:r w:rsidRPr="00904FCB">
        <w:rPr>
          <w:rFonts w:ascii="Tahoma" w:hAnsi="Tahoma"/>
          <w:sz w:val="27"/>
          <w:rtl/>
          <w:lang w:bidi="fa-IR"/>
        </w:rPr>
        <w:t>داً يمكن أن يتقي</w:t>
      </w:r>
      <w:r w:rsidR="00C33795" w:rsidRPr="00904FCB">
        <w:rPr>
          <w:rFonts w:ascii="Tahoma" w:hAnsi="Tahoma" w:hint="cs"/>
          <w:sz w:val="27"/>
          <w:rtl/>
          <w:lang w:bidi="fa-IR"/>
        </w:rPr>
        <w:t>َّ</w:t>
      </w:r>
      <w:r w:rsidRPr="00904FCB">
        <w:rPr>
          <w:rFonts w:ascii="Tahoma" w:hAnsi="Tahoma"/>
          <w:sz w:val="27"/>
          <w:rtl/>
          <w:lang w:bidi="fa-IR"/>
        </w:rPr>
        <w:t xml:space="preserve">د به القضاة، ويرجع </w:t>
      </w:r>
      <w:r w:rsidR="00C33795" w:rsidRPr="00904FCB">
        <w:rPr>
          <w:rFonts w:ascii="Tahoma" w:hAnsi="Tahoma" w:hint="cs"/>
          <w:sz w:val="27"/>
          <w:rtl/>
          <w:lang w:bidi="fa-IR"/>
        </w:rPr>
        <w:t>إ</w:t>
      </w:r>
      <w:r w:rsidRPr="00904FCB">
        <w:rPr>
          <w:rFonts w:ascii="Tahoma" w:hAnsi="Tahoma"/>
          <w:sz w:val="27"/>
          <w:rtl/>
          <w:lang w:bidi="fa-IR"/>
        </w:rPr>
        <w:t>ليه المحامون، ويتعامل على أساسه المواطنون»</w:t>
      </w:r>
      <w:r w:rsidR="00C33795" w:rsidRPr="00904FCB">
        <w:rPr>
          <w:rFonts w:ascii="Tahoma" w:hAnsi="Tahoma" w:hint="cs"/>
          <w:sz w:val="27"/>
          <w:rtl/>
          <w:lang w:bidi="fa-IR"/>
        </w:rPr>
        <w:t>.</w:t>
      </w:r>
      <w:r w:rsidRPr="00904FCB">
        <w:rPr>
          <w:rFonts w:ascii="Tahoma" w:hAnsi="Tahoma"/>
          <w:sz w:val="27"/>
          <w:rtl/>
          <w:lang w:bidi="fa-IR"/>
        </w:rPr>
        <w:t xml:space="preserve"> ولكل</w:t>
      </w:r>
      <w:r w:rsidR="0057607C">
        <w:rPr>
          <w:rFonts w:ascii="Tahoma" w:hAnsi="Tahoma" w:hint="cs"/>
          <w:sz w:val="27"/>
          <w:rtl/>
          <w:lang w:bidi="fa-IR"/>
        </w:rPr>
        <w:t>ّ</w:t>
      </w:r>
      <w:r w:rsidRPr="00904FCB">
        <w:rPr>
          <w:rFonts w:ascii="Tahoma" w:hAnsi="Tahoma"/>
          <w:sz w:val="27"/>
          <w:rtl/>
          <w:lang w:bidi="fa-IR"/>
        </w:rPr>
        <w:t xml:space="preserve"> جديد من البديهي </w:t>
      </w:r>
      <w:r w:rsidR="00C33795" w:rsidRPr="00904FCB">
        <w:rPr>
          <w:rFonts w:ascii="Tahoma" w:hAnsi="Tahoma" w:hint="cs"/>
          <w:sz w:val="27"/>
          <w:rtl/>
          <w:lang w:bidi="fa-IR"/>
        </w:rPr>
        <w:t>أ</w:t>
      </w:r>
      <w:r w:rsidRPr="00904FCB">
        <w:rPr>
          <w:rFonts w:ascii="Tahoma" w:hAnsi="Tahoma"/>
          <w:sz w:val="27"/>
          <w:rtl/>
          <w:lang w:bidi="fa-IR"/>
        </w:rPr>
        <w:t>ن يكون هناك موافقون ومخالفون</w:t>
      </w:r>
      <w:r w:rsidR="00C33795" w:rsidRPr="00904FCB">
        <w:rPr>
          <w:rFonts w:ascii="Tahoma" w:hAnsi="Tahoma" w:hint="cs"/>
          <w:sz w:val="27"/>
          <w:rtl/>
          <w:lang w:bidi="fa-IR"/>
        </w:rPr>
        <w:t>،</w:t>
      </w:r>
      <w:r w:rsidRPr="00904FCB">
        <w:rPr>
          <w:rFonts w:ascii="Tahoma" w:hAnsi="Tahoma"/>
          <w:sz w:val="27"/>
          <w:rtl/>
          <w:lang w:bidi="fa-IR"/>
        </w:rPr>
        <w:t xml:space="preserve"> ولكل</w:t>
      </w:r>
      <w:r w:rsidR="0057607C">
        <w:rPr>
          <w:rFonts w:ascii="Tahoma" w:hAnsi="Tahoma" w:hint="cs"/>
          <w:sz w:val="27"/>
          <w:rtl/>
          <w:lang w:bidi="fa-IR"/>
        </w:rPr>
        <w:t>ّ</w:t>
      </w:r>
      <w:r w:rsidRPr="00904FCB">
        <w:rPr>
          <w:rFonts w:ascii="Tahoma" w:hAnsi="Tahoma"/>
          <w:sz w:val="27"/>
          <w:rtl/>
          <w:lang w:bidi="fa-IR"/>
        </w:rPr>
        <w:t xml:space="preserve"> فريق منهم أدل</w:t>
      </w:r>
      <w:r w:rsidR="00C33795" w:rsidRPr="00904FCB">
        <w:rPr>
          <w:rFonts w:ascii="Tahoma" w:hAnsi="Tahoma" w:hint="cs"/>
          <w:sz w:val="27"/>
          <w:rtl/>
          <w:lang w:bidi="fa-IR"/>
        </w:rPr>
        <w:t>ّ</w:t>
      </w:r>
      <w:r w:rsidRPr="00904FCB">
        <w:rPr>
          <w:rFonts w:ascii="Tahoma" w:hAnsi="Tahoma"/>
          <w:sz w:val="27"/>
          <w:rtl/>
          <w:lang w:bidi="fa-IR"/>
        </w:rPr>
        <w:t>ته وحججه</w:t>
      </w:r>
      <w:r w:rsidR="00C33795" w:rsidRPr="00904FCB">
        <w:rPr>
          <w:rFonts w:ascii="Tahoma" w:hAnsi="Tahoma" w:hint="cs"/>
          <w:sz w:val="27"/>
          <w:rtl/>
          <w:lang w:bidi="fa-IR"/>
        </w:rPr>
        <w:t>.</w:t>
      </w:r>
      <w:r w:rsidRPr="00904FCB">
        <w:rPr>
          <w:rFonts w:ascii="Tahoma" w:hAnsi="Tahoma"/>
          <w:sz w:val="27"/>
          <w:rtl/>
          <w:lang w:bidi="fa-IR"/>
        </w:rPr>
        <w:t xml:space="preserve"> </w:t>
      </w:r>
      <w:r w:rsidR="00C33795" w:rsidRPr="00904FCB">
        <w:rPr>
          <w:rFonts w:ascii="Tahoma" w:hAnsi="Tahoma" w:hint="cs"/>
          <w:sz w:val="27"/>
          <w:rtl/>
          <w:lang w:bidi="fa-IR"/>
        </w:rPr>
        <w:t>وقد أ</w:t>
      </w:r>
      <w:r w:rsidRPr="00904FCB">
        <w:rPr>
          <w:rFonts w:ascii="Tahoma" w:hAnsi="Tahoma"/>
          <w:sz w:val="27"/>
          <w:rtl/>
          <w:lang w:bidi="fa-IR"/>
        </w:rPr>
        <w:t xml:space="preserve">عرضنا عنها هنا خوف الإسهاب </w:t>
      </w:r>
      <w:r w:rsidRPr="00904FCB">
        <w:rPr>
          <w:rFonts w:ascii="Tahoma" w:hAnsi="Tahoma"/>
          <w:sz w:val="27"/>
          <w:rtl/>
          <w:lang w:bidi="fa-IR"/>
        </w:rPr>
        <w:lastRenderedPageBreak/>
        <w:t>والإطالة</w:t>
      </w:r>
      <w:r w:rsidR="00C33795" w:rsidRPr="00904FCB">
        <w:rPr>
          <w:rFonts w:ascii="Tahoma" w:hAnsi="Tahoma" w:hint="cs"/>
          <w:sz w:val="27"/>
          <w:rtl/>
          <w:lang w:bidi="fa-IR"/>
        </w:rPr>
        <w:t>.</w:t>
      </w:r>
      <w:r w:rsidRPr="00904FCB">
        <w:rPr>
          <w:rFonts w:ascii="Tahoma" w:hAnsi="Tahoma"/>
          <w:sz w:val="27"/>
          <w:rtl/>
          <w:lang w:bidi="fa-IR"/>
        </w:rPr>
        <w:t xml:space="preserve"> ولكننا بالمجمل ما</w:t>
      </w:r>
      <w:r w:rsidR="00C33795" w:rsidRPr="00904FCB">
        <w:rPr>
          <w:rFonts w:ascii="Tahoma" w:hAnsi="Tahoma" w:hint="cs"/>
          <w:sz w:val="27"/>
          <w:rtl/>
          <w:lang w:bidi="fa-IR"/>
        </w:rPr>
        <w:t xml:space="preserve"> </w:t>
      </w:r>
      <w:r w:rsidRPr="00904FCB">
        <w:rPr>
          <w:rFonts w:ascii="Tahoma" w:hAnsi="Tahoma"/>
          <w:sz w:val="27"/>
          <w:rtl/>
          <w:lang w:bidi="fa-IR"/>
        </w:rPr>
        <w:t>دمنا نبحث في عملية تطبيق أحكام الشريعة الإسلامية، وفق التخص</w:t>
      </w:r>
      <w:r w:rsidR="00C33795" w:rsidRPr="00904FCB">
        <w:rPr>
          <w:rFonts w:ascii="Tahoma" w:hAnsi="Tahoma" w:hint="cs"/>
          <w:sz w:val="27"/>
          <w:rtl/>
          <w:lang w:bidi="fa-IR"/>
        </w:rPr>
        <w:t>ُّ</w:t>
      </w:r>
      <w:r w:rsidRPr="00904FCB">
        <w:rPr>
          <w:rFonts w:ascii="Tahoma" w:hAnsi="Tahoma"/>
          <w:sz w:val="27"/>
          <w:rtl/>
          <w:lang w:bidi="fa-IR"/>
        </w:rPr>
        <w:t>صات الواقعية للمحاكم الجزائية أو الاقتصادية أو الإدارية، ولحاجة المجتمع إلى هذه التخص</w:t>
      </w:r>
      <w:r w:rsidR="00C33795" w:rsidRPr="00904FCB">
        <w:rPr>
          <w:rFonts w:ascii="Tahoma" w:hAnsi="Tahoma" w:hint="cs"/>
          <w:sz w:val="27"/>
          <w:rtl/>
          <w:lang w:bidi="fa-IR"/>
        </w:rPr>
        <w:t>ُّ</w:t>
      </w:r>
      <w:r w:rsidRPr="00904FCB">
        <w:rPr>
          <w:rFonts w:ascii="Tahoma" w:hAnsi="Tahoma"/>
          <w:sz w:val="27"/>
          <w:rtl/>
          <w:lang w:bidi="fa-IR"/>
        </w:rPr>
        <w:t>صات تبعاً للتنظيم والدق</w:t>
      </w:r>
      <w:r w:rsidR="00C33795" w:rsidRPr="00904FCB">
        <w:rPr>
          <w:rFonts w:ascii="Tahoma" w:hAnsi="Tahoma" w:hint="cs"/>
          <w:sz w:val="27"/>
          <w:rtl/>
          <w:lang w:bidi="fa-IR"/>
        </w:rPr>
        <w:t>ّ</w:t>
      </w:r>
      <w:r w:rsidRPr="00904FCB">
        <w:rPr>
          <w:rFonts w:ascii="Tahoma" w:hAnsi="Tahoma"/>
          <w:sz w:val="27"/>
          <w:rtl/>
          <w:lang w:bidi="fa-IR"/>
        </w:rPr>
        <w:t>ة، وما</w:t>
      </w:r>
      <w:r w:rsidR="00C33795" w:rsidRPr="00904FCB">
        <w:rPr>
          <w:rFonts w:ascii="Tahoma" w:hAnsi="Tahoma" w:hint="cs"/>
          <w:sz w:val="27"/>
          <w:rtl/>
          <w:lang w:bidi="fa-IR"/>
        </w:rPr>
        <w:t xml:space="preserve"> </w:t>
      </w:r>
      <w:r w:rsidRPr="00904FCB">
        <w:rPr>
          <w:rFonts w:ascii="Tahoma" w:hAnsi="Tahoma"/>
          <w:sz w:val="27"/>
          <w:rtl/>
          <w:lang w:bidi="fa-IR"/>
        </w:rPr>
        <w:t>دام الأمر لا يخرج الأحكام الشرعية عن مسارها، فالداعي إلى ذلك لا غاية له سوى حرصه على تحقيق مجتمع إسلامي ينتمي ب</w:t>
      </w:r>
      <w:r w:rsidR="00C33795" w:rsidRPr="00904FCB">
        <w:rPr>
          <w:rFonts w:ascii="Tahoma" w:hAnsi="Tahoma" w:hint="cs"/>
          <w:sz w:val="27"/>
          <w:rtl/>
          <w:lang w:bidi="fa-IR"/>
        </w:rPr>
        <w:t>أ</w:t>
      </w:r>
      <w:r w:rsidR="00C33795" w:rsidRPr="00904FCB">
        <w:rPr>
          <w:rFonts w:ascii="Tahoma" w:hAnsi="Tahoma"/>
          <w:sz w:val="27"/>
          <w:rtl/>
          <w:lang w:bidi="fa-IR"/>
        </w:rPr>
        <w:t>حكامه</w:t>
      </w:r>
      <w:r w:rsidRPr="00904FCB">
        <w:rPr>
          <w:rFonts w:ascii="Tahoma" w:hAnsi="Tahoma"/>
          <w:sz w:val="27"/>
          <w:rtl/>
          <w:lang w:bidi="fa-IR"/>
        </w:rPr>
        <w:t xml:space="preserve"> وتقاليده و</w:t>
      </w:r>
      <w:r w:rsidR="00C33795" w:rsidRPr="00904FCB">
        <w:rPr>
          <w:rFonts w:ascii="Tahoma" w:hAnsi="Tahoma" w:hint="cs"/>
          <w:sz w:val="27"/>
          <w:rtl/>
          <w:lang w:bidi="fa-IR"/>
        </w:rPr>
        <w:t>أ</w:t>
      </w:r>
      <w:r w:rsidRPr="00904FCB">
        <w:rPr>
          <w:rFonts w:ascii="Tahoma" w:hAnsi="Tahoma"/>
          <w:sz w:val="27"/>
          <w:rtl/>
          <w:lang w:bidi="fa-IR"/>
        </w:rPr>
        <w:t xml:space="preserve">عرافه </w:t>
      </w:r>
      <w:r w:rsidR="00C33795" w:rsidRPr="00904FCB">
        <w:rPr>
          <w:rFonts w:ascii="Tahoma" w:hAnsi="Tahoma" w:hint="cs"/>
          <w:sz w:val="27"/>
          <w:rtl/>
          <w:lang w:bidi="fa-IR"/>
        </w:rPr>
        <w:t xml:space="preserve">إلى </w:t>
      </w:r>
      <w:r w:rsidRPr="00904FCB">
        <w:rPr>
          <w:rFonts w:ascii="Tahoma" w:hAnsi="Tahoma"/>
          <w:sz w:val="27"/>
          <w:rtl/>
          <w:lang w:bidi="fa-IR"/>
        </w:rPr>
        <w:t>التشريعات ال</w:t>
      </w:r>
      <w:r w:rsidR="00C33795" w:rsidRPr="00904FCB">
        <w:rPr>
          <w:rFonts w:ascii="Tahoma" w:hAnsi="Tahoma" w:hint="cs"/>
          <w:sz w:val="27"/>
          <w:rtl/>
          <w:lang w:bidi="fa-IR"/>
        </w:rPr>
        <w:t>إ</w:t>
      </w:r>
      <w:r w:rsidRPr="00904FCB">
        <w:rPr>
          <w:rFonts w:ascii="Tahoma" w:hAnsi="Tahoma"/>
          <w:sz w:val="27"/>
          <w:rtl/>
          <w:lang w:bidi="fa-IR"/>
        </w:rPr>
        <w:t xml:space="preserve">سلامية، لا </w:t>
      </w:r>
      <w:r w:rsidR="00C33795" w:rsidRPr="00904FCB">
        <w:rPr>
          <w:rFonts w:ascii="Tahoma" w:hAnsi="Tahoma" w:hint="cs"/>
          <w:sz w:val="27"/>
          <w:rtl/>
          <w:lang w:bidi="fa-IR"/>
        </w:rPr>
        <w:t>إ</w:t>
      </w:r>
      <w:r w:rsidRPr="00904FCB">
        <w:rPr>
          <w:rFonts w:ascii="Tahoma" w:hAnsi="Tahoma"/>
          <w:sz w:val="27"/>
          <w:rtl/>
          <w:lang w:bidi="fa-IR"/>
        </w:rPr>
        <w:t>لى الانتماء الإرثي فقط. وال</w:t>
      </w:r>
      <w:r w:rsidR="00C33795" w:rsidRPr="00904FCB">
        <w:rPr>
          <w:rFonts w:ascii="Tahoma" w:hAnsi="Tahoma" w:hint="cs"/>
          <w:sz w:val="27"/>
          <w:rtl/>
          <w:lang w:bidi="fa-IR"/>
        </w:rPr>
        <w:t>أ</w:t>
      </w:r>
      <w:r w:rsidRPr="00904FCB">
        <w:rPr>
          <w:rFonts w:ascii="Tahoma" w:hAnsi="Tahoma"/>
          <w:sz w:val="27"/>
          <w:rtl/>
          <w:lang w:bidi="fa-IR"/>
        </w:rPr>
        <w:t>مر يتطل</w:t>
      </w:r>
      <w:r w:rsidR="00C33795" w:rsidRPr="00904FCB">
        <w:rPr>
          <w:rFonts w:ascii="Tahoma" w:hAnsi="Tahoma" w:hint="cs"/>
          <w:sz w:val="27"/>
          <w:rtl/>
          <w:lang w:bidi="fa-IR"/>
        </w:rPr>
        <w:t>ّ</w:t>
      </w:r>
      <w:r w:rsidRPr="00904FCB">
        <w:rPr>
          <w:rFonts w:ascii="Tahoma" w:hAnsi="Tahoma"/>
          <w:sz w:val="27"/>
          <w:rtl/>
          <w:lang w:bidi="fa-IR"/>
        </w:rPr>
        <w:t>ب تنمية ثقافية يضع لها المتخص</w:t>
      </w:r>
      <w:r w:rsidR="00C33795" w:rsidRPr="00904FCB">
        <w:rPr>
          <w:rFonts w:ascii="Tahoma" w:hAnsi="Tahoma" w:hint="cs"/>
          <w:sz w:val="27"/>
          <w:rtl/>
          <w:lang w:bidi="fa-IR"/>
        </w:rPr>
        <w:t>ِّ</w:t>
      </w:r>
      <w:r w:rsidRPr="00904FCB">
        <w:rPr>
          <w:rFonts w:ascii="Tahoma" w:hAnsi="Tahoma"/>
          <w:sz w:val="27"/>
          <w:rtl/>
          <w:lang w:bidi="fa-IR"/>
        </w:rPr>
        <w:t>صون مساراً يبدأ من الفرد والعائلة</w:t>
      </w:r>
      <w:r w:rsidR="00C33795" w:rsidRPr="00904FCB">
        <w:rPr>
          <w:rFonts w:ascii="Tahoma" w:hAnsi="Tahoma" w:hint="cs"/>
          <w:sz w:val="27"/>
          <w:rtl/>
          <w:lang w:bidi="fa-IR"/>
        </w:rPr>
        <w:t>،</w:t>
      </w:r>
      <w:r w:rsidRPr="00904FCB">
        <w:rPr>
          <w:rFonts w:ascii="Tahoma" w:hAnsi="Tahoma"/>
          <w:sz w:val="27"/>
          <w:rtl/>
          <w:lang w:bidi="fa-IR"/>
        </w:rPr>
        <w:t xml:space="preserve"> فالمجتمع والنظم السياسية. فهذه حلقات</w:t>
      </w:r>
      <w:r w:rsidR="00C33795" w:rsidRPr="00904FCB">
        <w:rPr>
          <w:rFonts w:ascii="Tahoma" w:hAnsi="Tahoma" w:hint="cs"/>
          <w:sz w:val="27"/>
          <w:rtl/>
          <w:lang w:bidi="fa-IR"/>
        </w:rPr>
        <w:t>ٌ</w:t>
      </w:r>
      <w:r w:rsidRPr="00904FCB">
        <w:rPr>
          <w:rFonts w:ascii="Tahoma" w:hAnsi="Tahoma"/>
          <w:sz w:val="27"/>
          <w:rtl/>
          <w:lang w:bidi="fa-IR"/>
        </w:rPr>
        <w:t xml:space="preserve"> مت</w:t>
      </w:r>
      <w:r w:rsidR="00C33795" w:rsidRPr="00904FCB">
        <w:rPr>
          <w:rFonts w:ascii="Tahoma" w:hAnsi="Tahoma" w:hint="cs"/>
          <w:sz w:val="27"/>
          <w:rtl/>
          <w:lang w:bidi="fa-IR"/>
        </w:rPr>
        <w:t>ّ</w:t>
      </w:r>
      <w:r w:rsidRPr="00904FCB">
        <w:rPr>
          <w:rFonts w:ascii="Tahoma" w:hAnsi="Tahoma"/>
          <w:sz w:val="27"/>
          <w:rtl/>
          <w:lang w:bidi="fa-IR"/>
        </w:rPr>
        <w:t>صلة تشك</w:t>
      </w:r>
      <w:r w:rsidR="00C33795" w:rsidRPr="00904FCB">
        <w:rPr>
          <w:rFonts w:ascii="Tahoma" w:hAnsi="Tahoma" w:hint="cs"/>
          <w:sz w:val="27"/>
          <w:rtl/>
          <w:lang w:bidi="fa-IR"/>
        </w:rPr>
        <w:t>ِّ</w:t>
      </w:r>
      <w:r w:rsidRPr="00904FCB">
        <w:rPr>
          <w:rFonts w:ascii="Tahoma" w:hAnsi="Tahoma"/>
          <w:sz w:val="27"/>
          <w:rtl/>
          <w:lang w:bidi="fa-IR"/>
        </w:rPr>
        <w:t>ل سلسلة مترابطة لل</w:t>
      </w:r>
      <w:r w:rsidR="00C33795" w:rsidRPr="00904FCB">
        <w:rPr>
          <w:rFonts w:ascii="Tahoma" w:hAnsi="Tahoma" w:hint="cs"/>
          <w:sz w:val="27"/>
          <w:rtl/>
          <w:lang w:bidi="fa-IR"/>
        </w:rPr>
        <w:t>أ</w:t>
      </w:r>
      <w:r w:rsidRPr="00904FCB">
        <w:rPr>
          <w:rFonts w:ascii="Tahoma" w:hAnsi="Tahoma"/>
          <w:sz w:val="27"/>
          <w:rtl/>
          <w:lang w:bidi="fa-IR"/>
        </w:rPr>
        <w:t>م</w:t>
      </w:r>
      <w:r w:rsidR="00C33795" w:rsidRPr="00904FCB">
        <w:rPr>
          <w:rFonts w:ascii="Tahoma" w:hAnsi="Tahoma" w:hint="cs"/>
          <w:sz w:val="27"/>
          <w:rtl/>
          <w:lang w:bidi="fa-IR"/>
        </w:rPr>
        <w:t>ّ</w:t>
      </w:r>
      <w:r w:rsidRPr="00904FCB">
        <w:rPr>
          <w:rFonts w:ascii="Tahoma" w:hAnsi="Tahoma"/>
          <w:sz w:val="27"/>
          <w:rtl/>
          <w:lang w:bidi="fa-IR"/>
        </w:rPr>
        <w:t>ة</w:t>
      </w:r>
      <w:r w:rsidR="00C33795" w:rsidRPr="00904FCB">
        <w:rPr>
          <w:rFonts w:ascii="Tahoma" w:hAnsi="Tahoma" w:hint="cs"/>
          <w:sz w:val="27"/>
          <w:rtl/>
          <w:lang w:bidi="fa-IR"/>
        </w:rPr>
        <w:t>.</w:t>
      </w:r>
      <w:r w:rsidRPr="00904FCB">
        <w:rPr>
          <w:rFonts w:ascii="Tahoma" w:hAnsi="Tahoma"/>
          <w:sz w:val="27"/>
          <w:rtl/>
          <w:lang w:bidi="fa-IR"/>
        </w:rPr>
        <w:t xml:space="preserve"> وفصل أي</w:t>
      </w:r>
      <w:r w:rsidR="00C33795" w:rsidRPr="00904FCB">
        <w:rPr>
          <w:rFonts w:ascii="Tahoma" w:hAnsi="Tahoma" w:hint="cs"/>
          <w:sz w:val="27"/>
          <w:rtl/>
          <w:lang w:bidi="fa-IR"/>
        </w:rPr>
        <w:t>ّ</w:t>
      </w:r>
      <w:r w:rsidRPr="00904FCB">
        <w:rPr>
          <w:rFonts w:ascii="Tahoma" w:hAnsi="Tahoma"/>
          <w:sz w:val="27"/>
          <w:rtl/>
          <w:lang w:bidi="fa-IR"/>
        </w:rPr>
        <w:t xml:space="preserve"> حلقة من هذه الحلقات س</w:t>
      </w:r>
      <w:r w:rsidR="00C33795" w:rsidRPr="00904FCB">
        <w:rPr>
          <w:rFonts w:ascii="Tahoma" w:hAnsi="Tahoma" w:hint="cs"/>
          <w:sz w:val="27"/>
          <w:rtl/>
          <w:lang w:bidi="fa-IR"/>
        </w:rPr>
        <w:t>ي</w:t>
      </w:r>
      <w:r w:rsidRPr="00904FCB">
        <w:rPr>
          <w:rFonts w:ascii="Tahoma" w:hAnsi="Tahoma"/>
          <w:sz w:val="27"/>
          <w:rtl/>
          <w:lang w:bidi="fa-IR"/>
        </w:rPr>
        <w:t>ؤث</w:t>
      </w:r>
      <w:r w:rsidR="00C33795" w:rsidRPr="00904FCB">
        <w:rPr>
          <w:rFonts w:ascii="Tahoma" w:hAnsi="Tahoma" w:hint="cs"/>
          <w:sz w:val="27"/>
          <w:rtl/>
          <w:lang w:bidi="fa-IR"/>
        </w:rPr>
        <w:t>ِّ</w:t>
      </w:r>
      <w:r w:rsidRPr="00904FCB">
        <w:rPr>
          <w:rFonts w:ascii="Tahoma" w:hAnsi="Tahoma"/>
          <w:sz w:val="27"/>
          <w:rtl/>
          <w:lang w:bidi="fa-IR"/>
        </w:rPr>
        <w:t>ر سلباً على مشروع التنمية الثقافية</w:t>
      </w:r>
      <w:r w:rsidR="00C33795" w:rsidRPr="00904FCB">
        <w:rPr>
          <w:rFonts w:ascii="Tahoma" w:hAnsi="Tahoma" w:hint="cs"/>
          <w:sz w:val="27"/>
          <w:rtl/>
          <w:lang w:bidi="fa-IR"/>
        </w:rPr>
        <w:t>.</w:t>
      </w:r>
      <w:r w:rsidRPr="00904FCB">
        <w:rPr>
          <w:rFonts w:ascii="Tahoma" w:hAnsi="Tahoma"/>
          <w:sz w:val="27"/>
          <w:rtl/>
          <w:lang w:bidi="fa-IR"/>
        </w:rPr>
        <w:t xml:space="preserve"> ولعل</w:t>
      </w:r>
      <w:r w:rsidR="00C33795" w:rsidRPr="00904FCB">
        <w:rPr>
          <w:rFonts w:ascii="Tahoma" w:hAnsi="Tahoma" w:hint="cs"/>
          <w:sz w:val="27"/>
          <w:rtl/>
          <w:lang w:bidi="fa-IR"/>
        </w:rPr>
        <w:t>ّ</w:t>
      </w:r>
      <w:r w:rsidRPr="00904FCB">
        <w:rPr>
          <w:rFonts w:ascii="Tahoma" w:hAnsi="Tahoma"/>
          <w:sz w:val="27"/>
          <w:rtl/>
          <w:lang w:bidi="fa-IR"/>
        </w:rPr>
        <w:t xml:space="preserve"> </w:t>
      </w:r>
      <w:r w:rsidR="00C33795" w:rsidRPr="00904FCB">
        <w:rPr>
          <w:rFonts w:ascii="Tahoma" w:hAnsi="Tahoma" w:hint="cs"/>
          <w:sz w:val="27"/>
          <w:rtl/>
          <w:lang w:bidi="fa-IR"/>
        </w:rPr>
        <w:t>أ</w:t>
      </w:r>
      <w:r w:rsidRPr="00904FCB">
        <w:rPr>
          <w:rFonts w:ascii="Tahoma" w:hAnsi="Tahoma"/>
          <w:sz w:val="27"/>
          <w:rtl/>
          <w:lang w:bidi="fa-IR"/>
        </w:rPr>
        <w:t>و</w:t>
      </w:r>
      <w:r w:rsidR="00C33795" w:rsidRPr="00904FCB">
        <w:rPr>
          <w:rFonts w:ascii="Tahoma" w:hAnsi="Tahoma" w:hint="cs"/>
          <w:sz w:val="27"/>
          <w:rtl/>
          <w:lang w:bidi="fa-IR"/>
        </w:rPr>
        <w:t>ّ</w:t>
      </w:r>
      <w:r w:rsidRPr="00904FCB">
        <w:rPr>
          <w:rFonts w:ascii="Tahoma" w:hAnsi="Tahoma"/>
          <w:sz w:val="27"/>
          <w:rtl/>
          <w:lang w:bidi="fa-IR"/>
        </w:rPr>
        <w:t xml:space="preserve">ل مرتكز لمشروع التنمية الثقافية هذه </w:t>
      </w:r>
      <w:r w:rsidR="00C33795" w:rsidRPr="00904FCB">
        <w:rPr>
          <w:rFonts w:ascii="Tahoma" w:hAnsi="Tahoma" w:hint="cs"/>
          <w:sz w:val="27"/>
          <w:rtl/>
          <w:lang w:bidi="fa-IR"/>
        </w:rPr>
        <w:t>يس</w:t>
      </w:r>
      <w:r w:rsidRPr="00904FCB">
        <w:rPr>
          <w:rFonts w:ascii="Tahoma" w:hAnsi="Tahoma"/>
          <w:sz w:val="27"/>
          <w:rtl/>
          <w:lang w:bidi="fa-IR"/>
        </w:rPr>
        <w:t xml:space="preserve">توجب تحديداً </w:t>
      </w:r>
      <w:r w:rsidR="00C33795" w:rsidRPr="00904FCB">
        <w:rPr>
          <w:rFonts w:ascii="Tahoma" w:hAnsi="Tahoma" w:hint="cs"/>
          <w:sz w:val="27"/>
          <w:rtl/>
          <w:lang w:bidi="fa-IR"/>
        </w:rPr>
        <w:t>ل</w:t>
      </w:r>
      <w:r w:rsidRPr="00904FCB">
        <w:rPr>
          <w:rFonts w:ascii="Tahoma" w:hAnsi="Tahoma"/>
          <w:sz w:val="27"/>
          <w:rtl/>
          <w:lang w:bidi="fa-IR"/>
        </w:rPr>
        <w:t>لمفاهيم و</w:t>
      </w:r>
      <w:r w:rsidR="00C33795" w:rsidRPr="00904FCB">
        <w:rPr>
          <w:rFonts w:ascii="Tahoma" w:hAnsi="Tahoma" w:hint="cs"/>
          <w:sz w:val="27"/>
          <w:rtl/>
          <w:lang w:bidi="fa-IR"/>
        </w:rPr>
        <w:t>ال</w:t>
      </w:r>
      <w:r w:rsidRPr="00904FCB">
        <w:rPr>
          <w:rFonts w:ascii="Tahoma" w:hAnsi="Tahoma"/>
          <w:sz w:val="27"/>
          <w:rtl/>
          <w:lang w:bidi="fa-IR"/>
        </w:rPr>
        <w:t>مصطلحات المتداولة وفق الرؤية ال</w:t>
      </w:r>
      <w:r w:rsidR="00C33795" w:rsidRPr="00904FCB">
        <w:rPr>
          <w:rFonts w:ascii="Tahoma" w:hAnsi="Tahoma" w:hint="cs"/>
          <w:sz w:val="27"/>
          <w:rtl/>
          <w:lang w:bidi="fa-IR"/>
        </w:rPr>
        <w:t>إ</w:t>
      </w:r>
      <w:r w:rsidRPr="00904FCB">
        <w:rPr>
          <w:rFonts w:ascii="Tahoma" w:hAnsi="Tahoma"/>
          <w:sz w:val="27"/>
          <w:rtl/>
          <w:lang w:bidi="fa-IR"/>
        </w:rPr>
        <w:t>سلامية لها، لا</w:t>
      </w:r>
      <w:r w:rsidR="00C33795" w:rsidRPr="00904FCB">
        <w:rPr>
          <w:rFonts w:ascii="Tahoma" w:hAnsi="Tahoma" w:hint="cs"/>
          <w:sz w:val="27"/>
          <w:rtl/>
          <w:lang w:bidi="fa-IR"/>
        </w:rPr>
        <w:t xml:space="preserve"> </w:t>
      </w:r>
      <w:r w:rsidRPr="00904FCB">
        <w:rPr>
          <w:rFonts w:ascii="Tahoma" w:hAnsi="Tahoma"/>
          <w:sz w:val="27"/>
          <w:rtl/>
          <w:lang w:bidi="fa-IR"/>
        </w:rPr>
        <w:t>وفق ما ه</w:t>
      </w:r>
      <w:r w:rsidR="00C33795" w:rsidRPr="00904FCB">
        <w:rPr>
          <w:rFonts w:ascii="Tahoma" w:hAnsi="Tahoma" w:hint="cs"/>
          <w:sz w:val="27"/>
          <w:rtl/>
          <w:lang w:bidi="fa-IR"/>
        </w:rPr>
        <w:t>و</w:t>
      </w:r>
      <w:r w:rsidRPr="00904FCB">
        <w:rPr>
          <w:rFonts w:ascii="Tahoma" w:hAnsi="Tahoma"/>
          <w:sz w:val="27"/>
          <w:rtl/>
          <w:lang w:bidi="fa-IR"/>
        </w:rPr>
        <w:t xml:space="preserve"> متداول</w:t>
      </w:r>
      <w:r w:rsidR="00C33795" w:rsidRPr="00904FCB">
        <w:rPr>
          <w:rFonts w:ascii="Tahoma" w:hAnsi="Tahoma" w:hint="cs"/>
          <w:sz w:val="27"/>
          <w:rtl/>
          <w:lang w:bidi="fa-IR"/>
        </w:rPr>
        <w:t>ٌ</w:t>
      </w:r>
      <w:r w:rsidRPr="00904FCB">
        <w:rPr>
          <w:rFonts w:ascii="Tahoma" w:hAnsi="Tahoma"/>
          <w:sz w:val="27"/>
          <w:rtl/>
          <w:lang w:bidi="fa-IR"/>
        </w:rPr>
        <w:t xml:space="preserve"> </w:t>
      </w:r>
      <w:r w:rsidR="00C33795" w:rsidRPr="00904FCB">
        <w:rPr>
          <w:rFonts w:ascii="Tahoma" w:hAnsi="Tahoma" w:hint="cs"/>
          <w:sz w:val="27"/>
          <w:rtl/>
          <w:lang w:bidi="fa-IR"/>
        </w:rPr>
        <w:t>اليوم</w:t>
      </w:r>
      <w:r w:rsidRPr="00904FCB">
        <w:rPr>
          <w:rFonts w:ascii="Tahoma" w:hAnsi="Tahoma"/>
          <w:sz w:val="27"/>
          <w:rtl/>
          <w:lang w:bidi="fa-IR"/>
        </w:rPr>
        <w:t>، أي مشروع أسلمة المفاهيم والعناوين والاتجاهات والعلوم. وهذا جزء</w:t>
      </w:r>
      <w:r w:rsidR="00C33795" w:rsidRPr="00904FCB">
        <w:rPr>
          <w:rFonts w:ascii="Tahoma" w:hAnsi="Tahoma" w:hint="cs"/>
          <w:sz w:val="27"/>
          <w:rtl/>
          <w:lang w:bidi="fa-IR"/>
        </w:rPr>
        <w:t>ٌ</w:t>
      </w:r>
      <w:r w:rsidRPr="00904FCB">
        <w:rPr>
          <w:rFonts w:ascii="Tahoma" w:hAnsi="Tahoma"/>
          <w:sz w:val="27"/>
          <w:rtl/>
          <w:lang w:bidi="fa-IR"/>
        </w:rPr>
        <w:t xml:space="preserve"> مكم</w:t>
      </w:r>
      <w:r w:rsidR="00C33795" w:rsidRPr="00904FCB">
        <w:rPr>
          <w:rFonts w:ascii="Tahoma" w:hAnsi="Tahoma" w:hint="cs"/>
          <w:sz w:val="27"/>
          <w:rtl/>
          <w:lang w:bidi="fa-IR"/>
        </w:rPr>
        <w:t>ِّ</w:t>
      </w:r>
      <w:r w:rsidRPr="00904FCB">
        <w:rPr>
          <w:rFonts w:ascii="Tahoma" w:hAnsi="Tahoma"/>
          <w:sz w:val="27"/>
          <w:rtl/>
          <w:lang w:bidi="fa-IR"/>
        </w:rPr>
        <w:t>ل لعملية تقنين الفقه</w:t>
      </w:r>
      <w:r w:rsidR="00C33795" w:rsidRPr="00904FCB">
        <w:rPr>
          <w:rFonts w:ascii="Tahoma" w:hAnsi="Tahoma" w:hint="cs"/>
          <w:sz w:val="27"/>
          <w:rtl/>
          <w:lang w:bidi="fa-IR"/>
        </w:rPr>
        <w:t>.</w:t>
      </w:r>
    </w:p>
    <w:p w:rsidR="00644408" w:rsidRPr="00904FCB" w:rsidRDefault="00C33795" w:rsidP="00F8468B">
      <w:pPr>
        <w:autoSpaceDE w:val="0"/>
        <w:autoSpaceDN w:val="0"/>
        <w:adjustRightInd w:val="0"/>
        <w:spacing w:line="400" w:lineRule="exact"/>
        <w:rPr>
          <w:rFonts w:ascii="Tahoma" w:hAnsi="Tahoma"/>
          <w:sz w:val="27"/>
          <w:lang w:bidi="fa-IR"/>
        </w:rPr>
      </w:pPr>
      <w:r w:rsidRPr="00904FCB">
        <w:rPr>
          <w:rFonts w:ascii="Tahoma" w:hAnsi="Tahoma" w:hint="cs"/>
          <w:sz w:val="27"/>
          <w:rtl/>
          <w:lang w:bidi="fa-IR"/>
        </w:rPr>
        <w:t>ومن ال</w:t>
      </w:r>
      <w:r w:rsidR="00644408" w:rsidRPr="00904FCB">
        <w:rPr>
          <w:rFonts w:ascii="Tahoma" w:hAnsi="Tahoma"/>
          <w:sz w:val="27"/>
          <w:rtl/>
          <w:lang w:bidi="fa-IR"/>
        </w:rPr>
        <w:t xml:space="preserve">جدير بالذكر </w:t>
      </w:r>
      <w:r w:rsidRPr="00904FCB">
        <w:rPr>
          <w:rFonts w:ascii="Tahoma" w:hAnsi="Tahoma" w:hint="cs"/>
          <w:sz w:val="27"/>
          <w:rtl/>
          <w:lang w:bidi="fa-IR"/>
        </w:rPr>
        <w:t>أ</w:t>
      </w:r>
      <w:r w:rsidR="00644408" w:rsidRPr="00904FCB">
        <w:rPr>
          <w:rFonts w:ascii="Tahoma" w:hAnsi="Tahoma"/>
          <w:sz w:val="27"/>
          <w:rtl/>
          <w:lang w:bidi="fa-IR"/>
        </w:rPr>
        <w:t>ن</w:t>
      </w:r>
      <w:r w:rsidR="00F8468B">
        <w:rPr>
          <w:rFonts w:ascii="Tahoma" w:hAnsi="Tahoma" w:hint="cs"/>
          <w:sz w:val="27"/>
          <w:rtl/>
          <w:lang w:bidi="fa-IR"/>
        </w:rPr>
        <w:t>ّ</w:t>
      </w:r>
      <w:r w:rsidR="00644408" w:rsidRPr="00904FCB">
        <w:rPr>
          <w:rFonts w:ascii="Tahoma" w:hAnsi="Tahoma"/>
          <w:sz w:val="27"/>
          <w:rtl/>
          <w:lang w:bidi="fa-IR"/>
        </w:rPr>
        <w:t xml:space="preserve"> </w:t>
      </w:r>
      <w:r w:rsidR="00F8468B">
        <w:rPr>
          <w:rFonts w:ascii="Tahoma" w:hAnsi="Tahoma" w:hint="cs"/>
          <w:sz w:val="27"/>
          <w:rtl/>
          <w:lang w:bidi="fa-IR"/>
        </w:rPr>
        <w:t>أ</w:t>
      </w:r>
      <w:r w:rsidR="00644408" w:rsidRPr="00904FCB">
        <w:rPr>
          <w:rFonts w:ascii="Tahoma" w:hAnsi="Tahoma"/>
          <w:sz w:val="27"/>
          <w:rtl/>
          <w:lang w:bidi="fa-IR"/>
        </w:rPr>
        <w:t>سلمة المفاهيم</w:t>
      </w:r>
      <w:r w:rsidRPr="00904FCB">
        <w:rPr>
          <w:rFonts w:ascii="Tahoma" w:hAnsi="Tahoma" w:hint="cs"/>
          <w:sz w:val="27"/>
          <w:rtl/>
          <w:lang w:bidi="fa-IR"/>
        </w:rPr>
        <w:t>،</w:t>
      </w:r>
      <w:r w:rsidR="00644408" w:rsidRPr="00904FCB">
        <w:rPr>
          <w:rFonts w:ascii="Tahoma" w:hAnsi="Tahoma"/>
          <w:sz w:val="27"/>
          <w:rtl/>
          <w:lang w:bidi="fa-IR"/>
        </w:rPr>
        <w:t xml:space="preserve"> </w:t>
      </w:r>
      <w:r w:rsidRPr="00904FCB">
        <w:rPr>
          <w:rFonts w:ascii="Tahoma" w:hAnsi="Tahoma" w:hint="cs"/>
          <w:sz w:val="27"/>
          <w:rtl/>
          <w:lang w:bidi="fa-IR"/>
        </w:rPr>
        <w:t>أ</w:t>
      </w:r>
      <w:r w:rsidR="00644408" w:rsidRPr="00904FCB">
        <w:rPr>
          <w:rFonts w:ascii="Tahoma" w:hAnsi="Tahoma"/>
          <w:sz w:val="27"/>
          <w:rtl/>
          <w:lang w:bidi="fa-IR"/>
        </w:rPr>
        <w:t>و تدوين الفقه ال</w:t>
      </w:r>
      <w:r w:rsidRPr="00904FCB">
        <w:rPr>
          <w:rFonts w:ascii="Tahoma" w:hAnsi="Tahoma" w:hint="cs"/>
          <w:sz w:val="27"/>
          <w:rtl/>
          <w:lang w:bidi="fa-IR"/>
        </w:rPr>
        <w:t>إ</w:t>
      </w:r>
      <w:r w:rsidR="00644408" w:rsidRPr="00904FCB">
        <w:rPr>
          <w:rFonts w:ascii="Tahoma" w:hAnsi="Tahoma"/>
          <w:sz w:val="27"/>
          <w:rtl/>
          <w:lang w:bidi="fa-IR"/>
        </w:rPr>
        <w:t>سلامي</w:t>
      </w:r>
      <w:r w:rsidRPr="00904FCB">
        <w:rPr>
          <w:rFonts w:ascii="Tahoma" w:hAnsi="Tahoma" w:hint="cs"/>
          <w:sz w:val="27"/>
          <w:rtl/>
          <w:lang w:bidi="fa-IR"/>
        </w:rPr>
        <w:t>،</w:t>
      </w:r>
      <w:r w:rsidR="00644408" w:rsidRPr="00904FCB">
        <w:rPr>
          <w:rFonts w:ascii="Tahoma" w:hAnsi="Tahoma"/>
          <w:sz w:val="27"/>
          <w:rtl/>
          <w:lang w:bidi="fa-IR"/>
        </w:rPr>
        <w:t xml:space="preserve"> ليست بالب</w:t>
      </w:r>
      <w:r w:rsidRPr="00904FCB">
        <w:rPr>
          <w:rFonts w:ascii="Tahoma" w:hAnsi="Tahoma" w:hint="cs"/>
          <w:sz w:val="27"/>
          <w:rtl/>
          <w:lang w:bidi="fa-IR"/>
        </w:rPr>
        <w:t>ِ</w:t>
      </w:r>
      <w:r w:rsidR="00644408" w:rsidRPr="00904FCB">
        <w:rPr>
          <w:rFonts w:ascii="Tahoma" w:hAnsi="Tahoma"/>
          <w:sz w:val="27"/>
          <w:rtl/>
          <w:lang w:bidi="fa-IR"/>
        </w:rPr>
        <w:t>د</w:t>
      </w:r>
      <w:r w:rsidRPr="00904FCB">
        <w:rPr>
          <w:rFonts w:ascii="Tahoma" w:hAnsi="Tahoma" w:hint="cs"/>
          <w:sz w:val="27"/>
          <w:rtl/>
          <w:lang w:bidi="fa-IR"/>
        </w:rPr>
        <w:t>ْ</w:t>
      </w:r>
      <w:r w:rsidR="00644408" w:rsidRPr="00904FCB">
        <w:rPr>
          <w:rFonts w:ascii="Tahoma" w:hAnsi="Tahoma"/>
          <w:sz w:val="27"/>
          <w:rtl/>
          <w:lang w:bidi="fa-IR"/>
        </w:rPr>
        <w:t>ع</w:t>
      </w:r>
      <w:r w:rsidRPr="00904FCB">
        <w:rPr>
          <w:rFonts w:ascii="Tahoma" w:hAnsi="Tahoma" w:hint="cs"/>
          <w:sz w:val="27"/>
          <w:rtl/>
          <w:lang w:bidi="fa-IR"/>
        </w:rPr>
        <w:t xml:space="preserve">ة </w:t>
      </w:r>
      <w:r w:rsidR="00644408" w:rsidRPr="00904FCB">
        <w:rPr>
          <w:rFonts w:ascii="Tahoma" w:hAnsi="Tahoma"/>
          <w:sz w:val="27"/>
          <w:rtl/>
          <w:lang w:bidi="fa-IR"/>
        </w:rPr>
        <w:t>الجديدة</w:t>
      </w:r>
      <w:r w:rsidRPr="00904FCB">
        <w:rPr>
          <w:rFonts w:ascii="Tahoma" w:hAnsi="Tahoma" w:hint="cs"/>
          <w:sz w:val="27"/>
          <w:rtl/>
          <w:lang w:bidi="fa-IR"/>
        </w:rPr>
        <w:t>،</w:t>
      </w:r>
      <w:r w:rsidR="00644408" w:rsidRPr="00904FCB">
        <w:rPr>
          <w:rFonts w:ascii="Tahoma" w:hAnsi="Tahoma"/>
          <w:sz w:val="27"/>
          <w:rtl/>
          <w:lang w:bidi="fa-IR"/>
        </w:rPr>
        <w:t xml:space="preserve"> </w:t>
      </w:r>
      <w:r w:rsidRPr="00904FCB">
        <w:rPr>
          <w:rFonts w:ascii="Tahoma" w:hAnsi="Tahoma" w:hint="cs"/>
          <w:sz w:val="27"/>
          <w:rtl/>
          <w:lang w:bidi="fa-IR"/>
        </w:rPr>
        <w:t>إ</w:t>
      </w:r>
      <w:r w:rsidR="00644408" w:rsidRPr="00904FCB">
        <w:rPr>
          <w:rFonts w:ascii="Tahoma" w:hAnsi="Tahoma"/>
          <w:sz w:val="27"/>
          <w:rtl/>
          <w:lang w:bidi="fa-IR"/>
        </w:rPr>
        <w:t>ن</w:t>
      </w:r>
      <w:r w:rsidRPr="00904FCB">
        <w:rPr>
          <w:rFonts w:ascii="Tahoma" w:hAnsi="Tahoma" w:hint="cs"/>
          <w:sz w:val="27"/>
          <w:rtl/>
          <w:lang w:bidi="fa-IR"/>
        </w:rPr>
        <w:t>ّ</w:t>
      </w:r>
      <w:r w:rsidR="00644408" w:rsidRPr="00904FCB">
        <w:rPr>
          <w:rFonts w:ascii="Tahoma" w:hAnsi="Tahoma"/>
          <w:sz w:val="27"/>
          <w:rtl/>
          <w:lang w:bidi="fa-IR"/>
        </w:rPr>
        <w:t>ما هي حركة وعي</w:t>
      </w:r>
      <w:r w:rsidRPr="00904FCB">
        <w:rPr>
          <w:rFonts w:ascii="Tahoma" w:hAnsi="Tahoma" w:hint="cs"/>
          <w:sz w:val="27"/>
          <w:rtl/>
          <w:lang w:bidi="fa-IR"/>
        </w:rPr>
        <w:t>،</w:t>
      </w:r>
      <w:r w:rsidR="00644408" w:rsidRPr="00904FCB">
        <w:rPr>
          <w:rFonts w:ascii="Tahoma" w:hAnsi="Tahoma"/>
          <w:sz w:val="27"/>
          <w:rtl/>
          <w:lang w:bidi="fa-IR"/>
        </w:rPr>
        <w:t xml:space="preserve"> لها علماء ومفك</w:t>
      </w:r>
      <w:r w:rsidRPr="00904FCB">
        <w:rPr>
          <w:rFonts w:ascii="Tahoma" w:hAnsi="Tahoma" w:hint="cs"/>
          <w:sz w:val="27"/>
          <w:rtl/>
          <w:lang w:bidi="fa-IR"/>
        </w:rPr>
        <w:t>ِّ</w:t>
      </w:r>
      <w:r w:rsidR="00644408" w:rsidRPr="00904FCB">
        <w:rPr>
          <w:rFonts w:ascii="Tahoma" w:hAnsi="Tahoma"/>
          <w:sz w:val="27"/>
          <w:rtl/>
          <w:lang w:bidi="fa-IR"/>
        </w:rPr>
        <w:t xml:space="preserve">رون </w:t>
      </w:r>
      <w:r w:rsidRPr="00904FCB">
        <w:rPr>
          <w:rFonts w:ascii="Tahoma" w:hAnsi="Tahoma" w:hint="cs"/>
          <w:sz w:val="27"/>
          <w:rtl/>
          <w:lang w:bidi="fa-IR"/>
        </w:rPr>
        <w:t>إ</w:t>
      </w:r>
      <w:r w:rsidR="00644408" w:rsidRPr="00904FCB">
        <w:rPr>
          <w:rFonts w:ascii="Tahoma" w:hAnsi="Tahoma"/>
          <w:sz w:val="27"/>
          <w:rtl/>
          <w:lang w:bidi="fa-IR"/>
        </w:rPr>
        <w:t>سلاميون</w:t>
      </w:r>
      <w:r w:rsidRPr="00904FCB">
        <w:rPr>
          <w:rFonts w:ascii="Tahoma" w:hAnsi="Tahoma" w:hint="cs"/>
          <w:sz w:val="27"/>
          <w:rtl/>
          <w:lang w:bidi="fa-IR"/>
        </w:rPr>
        <w:t>،</w:t>
      </w:r>
      <w:r w:rsidR="00644408" w:rsidRPr="00904FCB">
        <w:rPr>
          <w:rFonts w:ascii="Tahoma" w:hAnsi="Tahoma"/>
          <w:sz w:val="27"/>
          <w:rtl/>
          <w:lang w:bidi="fa-IR"/>
        </w:rPr>
        <w:t xml:space="preserve"> تبلورت بشكل</w:t>
      </w:r>
      <w:r w:rsidRPr="00904FCB">
        <w:rPr>
          <w:rFonts w:ascii="Tahoma" w:hAnsi="Tahoma" w:hint="cs"/>
          <w:sz w:val="27"/>
          <w:rtl/>
          <w:lang w:bidi="fa-IR"/>
        </w:rPr>
        <w:t>ٍ</w:t>
      </w:r>
      <w:r w:rsidR="00644408" w:rsidRPr="00904FCB">
        <w:rPr>
          <w:rFonts w:ascii="Tahoma" w:hAnsi="Tahoma"/>
          <w:sz w:val="27"/>
          <w:rtl/>
          <w:lang w:bidi="fa-IR"/>
        </w:rPr>
        <w:t xml:space="preserve"> واضح في ثلاثينيات القرن العشرين</w:t>
      </w:r>
      <w:r w:rsidRPr="00904FCB">
        <w:rPr>
          <w:rFonts w:ascii="Tahoma" w:hAnsi="Tahoma" w:hint="cs"/>
          <w:sz w:val="27"/>
          <w:rtl/>
          <w:lang w:bidi="fa-IR"/>
        </w:rPr>
        <w:t>،</w:t>
      </w:r>
      <w:r w:rsidR="00644408" w:rsidRPr="00904FCB">
        <w:rPr>
          <w:rFonts w:ascii="Tahoma" w:hAnsi="Tahoma"/>
          <w:sz w:val="27"/>
          <w:rtl/>
          <w:lang w:bidi="fa-IR"/>
        </w:rPr>
        <w:t xml:space="preserve"> تحت مسم</w:t>
      </w:r>
      <w:r w:rsidRPr="00904FCB">
        <w:rPr>
          <w:rFonts w:ascii="Tahoma" w:hAnsi="Tahoma" w:hint="cs"/>
          <w:sz w:val="27"/>
          <w:rtl/>
          <w:lang w:bidi="fa-IR"/>
        </w:rPr>
        <w:t>ّ</w:t>
      </w:r>
      <w:r w:rsidR="00644408" w:rsidRPr="00904FCB">
        <w:rPr>
          <w:rFonts w:ascii="Tahoma" w:hAnsi="Tahoma"/>
          <w:sz w:val="27"/>
          <w:rtl/>
          <w:lang w:bidi="fa-IR"/>
        </w:rPr>
        <w:t xml:space="preserve">ى </w:t>
      </w:r>
      <w:r w:rsidRPr="00904FCB">
        <w:rPr>
          <w:rFonts w:ascii="Tahoma" w:hAnsi="Tahoma" w:hint="cs"/>
          <w:sz w:val="27"/>
          <w:rtl/>
          <w:lang w:bidi="fa-IR"/>
        </w:rPr>
        <w:t>(</w:t>
      </w:r>
      <w:r w:rsidR="00644408" w:rsidRPr="00904FCB">
        <w:rPr>
          <w:rFonts w:ascii="Tahoma" w:hAnsi="Tahoma"/>
          <w:sz w:val="27"/>
          <w:rtl/>
          <w:lang w:bidi="fa-IR"/>
        </w:rPr>
        <w:t>إحياء الشريعة ال</w:t>
      </w:r>
      <w:r w:rsidRPr="00904FCB">
        <w:rPr>
          <w:rFonts w:ascii="Tahoma" w:hAnsi="Tahoma" w:hint="cs"/>
          <w:sz w:val="27"/>
          <w:rtl/>
          <w:lang w:bidi="fa-IR"/>
        </w:rPr>
        <w:t>إ</w:t>
      </w:r>
      <w:r w:rsidR="00644408" w:rsidRPr="00904FCB">
        <w:rPr>
          <w:rFonts w:ascii="Tahoma" w:hAnsi="Tahoma"/>
          <w:sz w:val="27"/>
          <w:rtl/>
          <w:lang w:bidi="fa-IR"/>
        </w:rPr>
        <w:t>سلامية</w:t>
      </w:r>
      <w:r w:rsidRPr="00904FCB">
        <w:rPr>
          <w:rFonts w:ascii="Tahoma" w:hAnsi="Tahoma" w:hint="cs"/>
          <w:sz w:val="27"/>
          <w:rtl/>
          <w:lang w:bidi="fa-IR"/>
        </w:rPr>
        <w:t>)،</w:t>
      </w:r>
      <w:r w:rsidR="00644408" w:rsidRPr="00904FCB">
        <w:rPr>
          <w:rFonts w:ascii="Tahoma" w:hAnsi="Tahoma"/>
          <w:sz w:val="27"/>
          <w:rtl/>
          <w:lang w:bidi="fa-IR"/>
        </w:rPr>
        <w:t xml:space="preserve"> بدعوى وجوب تلاقي القانون وال</w:t>
      </w:r>
      <w:r w:rsidRPr="00904FCB">
        <w:rPr>
          <w:rFonts w:ascii="Tahoma" w:hAnsi="Tahoma" w:hint="cs"/>
          <w:sz w:val="27"/>
          <w:rtl/>
          <w:lang w:bidi="fa-IR"/>
        </w:rPr>
        <w:t>أ</w:t>
      </w:r>
      <w:r w:rsidR="00644408" w:rsidRPr="00904FCB">
        <w:rPr>
          <w:rFonts w:ascii="Tahoma" w:hAnsi="Tahoma"/>
          <w:sz w:val="27"/>
          <w:rtl/>
          <w:lang w:bidi="fa-IR"/>
        </w:rPr>
        <w:t>خلاق. و</w:t>
      </w:r>
      <w:r w:rsidRPr="00904FCB">
        <w:rPr>
          <w:rFonts w:ascii="Tahoma" w:hAnsi="Tahoma" w:hint="cs"/>
          <w:sz w:val="27"/>
          <w:rtl/>
          <w:lang w:bidi="fa-IR"/>
        </w:rPr>
        <w:t>إ</w:t>
      </w:r>
      <w:r w:rsidR="00644408" w:rsidRPr="00904FCB">
        <w:rPr>
          <w:rFonts w:ascii="Tahoma" w:hAnsi="Tahoma"/>
          <w:sz w:val="27"/>
          <w:rtl/>
          <w:lang w:bidi="fa-IR"/>
        </w:rPr>
        <w:t>ن الشريعة ال</w:t>
      </w:r>
      <w:r w:rsidRPr="00904FCB">
        <w:rPr>
          <w:rFonts w:ascii="Tahoma" w:hAnsi="Tahoma" w:hint="cs"/>
          <w:sz w:val="27"/>
          <w:rtl/>
          <w:lang w:bidi="fa-IR"/>
        </w:rPr>
        <w:t>إ</w:t>
      </w:r>
      <w:r w:rsidR="00644408" w:rsidRPr="00904FCB">
        <w:rPr>
          <w:rFonts w:ascii="Tahoma" w:hAnsi="Tahoma"/>
          <w:sz w:val="27"/>
          <w:rtl/>
          <w:lang w:bidi="fa-IR"/>
        </w:rPr>
        <w:t>سلامية هي البوتق</w:t>
      </w:r>
      <w:r w:rsidRPr="00904FCB">
        <w:rPr>
          <w:rFonts w:ascii="Tahoma" w:hAnsi="Tahoma" w:hint="cs"/>
          <w:sz w:val="27"/>
          <w:rtl/>
          <w:lang w:bidi="fa-IR"/>
        </w:rPr>
        <w:t>ة</w:t>
      </w:r>
      <w:r w:rsidR="00644408" w:rsidRPr="00904FCB">
        <w:rPr>
          <w:rFonts w:ascii="Tahoma" w:hAnsi="Tahoma"/>
          <w:sz w:val="27"/>
          <w:rtl/>
          <w:lang w:bidi="fa-IR"/>
        </w:rPr>
        <w:t xml:space="preserve"> التي يتداخل فيها القانون مع ال</w:t>
      </w:r>
      <w:r w:rsidRPr="00904FCB">
        <w:rPr>
          <w:rFonts w:ascii="Tahoma" w:hAnsi="Tahoma" w:hint="cs"/>
          <w:sz w:val="27"/>
          <w:rtl/>
          <w:lang w:bidi="fa-IR"/>
        </w:rPr>
        <w:t>أ</w:t>
      </w:r>
      <w:r w:rsidR="00644408" w:rsidRPr="00904FCB">
        <w:rPr>
          <w:rFonts w:ascii="Tahoma" w:hAnsi="Tahoma"/>
          <w:sz w:val="27"/>
          <w:rtl/>
          <w:lang w:bidi="fa-IR"/>
        </w:rPr>
        <w:t>خلاق</w:t>
      </w:r>
      <w:r w:rsidRPr="00904FCB">
        <w:rPr>
          <w:rFonts w:ascii="Tahoma" w:hAnsi="Tahoma" w:hint="cs"/>
          <w:sz w:val="27"/>
          <w:rtl/>
          <w:lang w:bidi="fa-IR"/>
        </w:rPr>
        <w:t>.</w:t>
      </w:r>
      <w:r w:rsidR="00644408" w:rsidRPr="00904FCB">
        <w:rPr>
          <w:rFonts w:ascii="Tahoma" w:hAnsi="Tahoma"/>
          <w:sz w:val="27"/>
          <w:rtl/>
          <w:lang w:bidi="fa-IR"/>
        </w:rPr>
        <w:t xml:space="preserve"> و</w:t>
      </w:r>
      <w:r w:rsidRPr="00904FCB">
        <w:rPr>
          <w:rFonts w:ascii="Tahoma" w:hAnsi="Tahoma" w:hint="cs"/>
          <w:sz w:val="27"/>
          <w:rtl/>
          <w:lang w:bidi="fa-IR"/>
        </w:rPr>
        <w:t>إ</w:t>
      </w:r>
      <w:r w:rsidR="00644408" w:rsidRPr="00904FCB">
        <w:rPr>
          <w:rFonts w:ascii="Tahoma" w:hAnsi="Tahoma"/>
          <w:sz w:val="27"/>
          <w:rtl/>
          <w:lang w:bidi="fa-IR"/>
        </w:rPr>
        <w:t>ن الشريعة ال</w:t>
      </w:r>
      <w:r w:rsidRPr="00904FCB">
        <w:rPr>
          <w:rFonts w:ascii="Tahoma" w:hAnsi="Tahoma" w:hint="cs"/>
          <w:sz w:val="27"/>
          <w:rtl/>
          <w:lang w:bidi="fa-IR"/>
        </w:rPr>
        <w:t>إ</w:t>
      </w:r>
      <w:r w:rsidR="00644408" w:rsidRPr="00904FCB">
        <w:rPr>
          <w:rFonts w:ascii="Tahoma" w:hAnsi="Tahoma"/>
          <w:sz w:val="27"/>
          <w:rtl/>
          <w:lang w:bidi="fa-IR"/>
        </w:rPr>
        <w:t>سلامية اشتملت على أحكام عالمية النطاق</w:t>
      </w:r>
      <w:r w:rsidRPr="00904FCB">
        <w:rPr>
          <w:rFonts w:ascii="Tahoma" w:hAnsi="Tahoma" w:hint="cs"/>
          <w:sz w:val="27"/>
          <w:rtl/>
          <w:lang w:bidi="fa-IR"/>
        </w:rPr>
        <w:t>،</w:t>
      </w:r>
      <w:r w:rsidR="00644408" w:rsidRPr="00904FCB">
        <w:rPr>
          <w:rFonts w:ascii="Tahoma" w:hAnsi="Tahoma"/>
          <w:sz w:val="27"/>
          <w:rtl/>
          <w:lang w:bidi="fa-IR"/>
        </w:rPr>
        <w:t xml:space="preserve"> مجردة المفهوم</w:t>
      </w:r>
      <w:r w:rsidRPr="00904FCB">
        <w:rPr>
          <w:rFonts w:ascii="Tahoma" w:hAnsi="Tahoma" w:hint="cs"/>
          <w:sz w:val="27"/>
          <w:rtl/>
          <w:lang w:bidi="fa-IR"/>
        </w:rPr>
        <w:t>،</w:t>
      </w:r>
      <w:r w:rsidR="00644408" w:rsidRPr="00904FCB">
        <w:rPr>
          <w:rFonts w:ascii="Tahoma" w:hAnsi="Tahoma"/>
          <w:sz w:val="27"/>
          <w:rtl/>
          <w:lang w:bidi="fa-IR"/>
        </w:rPr>
        <w:t xml:space="preserve"> قابلة للتطبيق</w:t>
      </w:r>
      <w:r w:rsidRPr="00904FCB">
        <w:rPr>
          <w:rFonts w:ascii="Tahoma" w:hAnsi="Tahoma" w:hint="cs"/>
          <w:sz w:val="27"/>
          <w:rtl/>
          <w:lang w:bidi="fa-IR"/>
        </w:rPr>
        <w:t>.</w:t>
      </w:r>
      <w:r w:rsidR="00644408" w:rsidRPr="00904FCB">
        <w:rPr>
          <w:rFonts w:ascii="Tahoma" w:hAnsi="Tahoma"/>
          <w:sz w:val="27"/>
          <w:rtl/>
          <w:lang w:bidi="fa-IR"/>
        </w:rPr>
        <w:t xml:space="preserve"> و</w:t>
      </w:r>
      <w:r w:rsidRPr="00904FCB">
        <w:rPr>
          <w:rFonts w:ascii="Tahoma" w:hAnsi="Tahoma" w:hint="cs"/>
          <w:sz w:val="27"/>
          <w:rtl/>
          <w:lang w:bidi="fa-IR"/>
        </w:rPr>
        <w:t>إ</w:t>
      </w:r>
      <w:r w:rsidR="00644408" w:rsidRPr="00904FCB">
        <w:rPr>
          <w:rFonts w:ascii="Tahoma" w:hAnsi="Tahoma"/>
          <w:sz w:val="27"/>
          <w:rtl/>
          <w:lang w:bidi="fa-IR"/>
        </w:rPr>
        <w:t>ن</w:t>
      </w:r>
      <w:r w:rsidRPr="00904FCB">
        <w:rPr>
          <w:rFonts w:ascii="Tahoma" w:hAnsi="Tahoma" w:hint="cs"/>
          <w:sz w:val="27"/>
          <w:rtl/>
          <w:lang w:bidi="fa-IR"/>
        </w:rPr>
        <w:t xml:space="preserve">ّ </w:t>
      </w:r>
      <w:r w:rsidR="00644408" w:rsidRPr="00904FCB">
        <w:rPr>
          <w:rFonts w:ascii="Tahoma" w:hAnsi="Tahoma"/>
          <w:sz w:val="27"/>
          <w:rtl/>
          <w:lang w:bidi="fa-IR"/>
        </w:rPr>
        <w:t xml:space="preserve">عملية تدوين الفقه تستلزم </w:t>
      </w:r>
      <w:r w:rsidRPr="00904FCB">
        <w:rPr>
          <w:rFonts w:ascii="Tahoma" w:hAnsi="Tahoma" w:hint="cs"/>
          <w:sz w:val="27"/>
          <w:rtl/>
          <w:lang w:bidi="fa-IR"/>
        </w:rPr>
        <w:t>أ</w:t>
      </w:r>
      <w:r w:rsidR="00644408" w:rsidRPr="00904FCB">
        <w:rPr>
          <w:rFonts w:ascii="Tahoma" w:hAnsi="Tahoma"/>
          <w:sz w:val="27"/>
          <w:rtl/>
          <w:lang w:bidi="fa-IR"/>
        </w:rPr>
        <w:t>و</w:t>
      </w:r>
      <w:r w:rsidRPr="00904FCB">
        <w:rPr>
          <w:rFonts w:ascii="Tahoma" w:hAnsi="Tahoma" w:hint="cs"/>
          <w:sz w:val="27"/>
          <w:rtl/>
          <w:lang w:bidi="fa-IR"/>
        </w:rPr>
        <w:t>ّ</w:t>
      </w:r>
      <w:r w:rsidR="00644408" w:rsidRPr="00904FCB">
        <w:rPr>
          <w:rFonts w:ascii="Tahoma" w:hAnsi="Tahoma"/>
          <w:sz w:val="27"/>
          <w:rtl/>
          <w:lang w:bidi="fa-IR"/>
        </w:rPr>
        <w:t>لاً تحق</w:t>
      </w:r>
      <w:r w:rsidRPr="00904FCB">
        <w:rPr>
          <w:rFonts w:ascii="Tahoma" w:hAnsi="Tahoma" w:hint="cs"/>
          <w:sz w:val="27"/>
          <w:rtl/>
          <w:lang w:bidi="fa-IR"/>
        </w:rPr>
        <w:t>ّ</w:t>
      </w:r>
      <w:r w:rsidR="00644408" w:rsidRPr="00904FCB">
        <w:rPr>
          <w:rFonts w:ascii="Tahoma" w:hAnsi="Tahoma"/>
          <w:sz w:val="27"/>
          <w:rtl/>
          <w:lang w:bidi="fa-IR"/>
        </w:rPr>
        <w:t>ق مستلزمات التقنيين ال</w:t>
      </w:r>
      <w:r w:rsidRPr="00904FCB">
        <w:rPr>
          <w:rFonts w:ascii="Tahoma" w:hAnsi="Tahoma" w:hint="cs"/>
          <w:sz w:val="27"/>
          <w:rtl/>
          <w:lang w:bidi="fa-IR"/>
        </w:rPr>
        <w:t>أ</w:t>
      </w:r>
      <w:r w:rsidR="00644408" w:rsidRPr="00904FCB">
        <w:rPr>
          <w:rFonts w:ascii="Tahoma" w:hAnsi="Tahoma"/>
          <w:sz w:val="27"/>
          <w:rtl/>
          <w:lang w:bidi="fa-IR"/>
        </w:rPr>
        <w:t>ولى</w:t>
      </w:r>
      <w:r w:rsidRPr="00904FCB">
        <w:rPr>
          <w:rFonts w:ascii="Tahoma" w:hAnsi="Tahoma" w:hint="cs"/>
          <w:sz w:val="27"/>
          <w:rtl/>
          <w:lang w:bidi="fa-IR"/>
        </w:rPr>
        <w:t>،</w:t>
      </w:r>
      <w:r w:rsidR="00644408" w:rsidRPr="00904FCB">
        <w:rPr>
          <w:rFonts w:ascii="Tahoma" w:hAnsi="Tahoma"/>
          <w:sz w:val="27"/>
          <w:rtl/>
          <w:lang w:bidi="fa-IR"/>
        </w:rPr>
        <w:t xml:space="preserve"> والمتمث</w:t>
      </w:r>
      <w:r w:rsidRPr="00904FCB">
        <w:rPr>
          <w:rFonts w:ascii="Tahoma" w:hAnsi="Tahoma" w:hint="cs"/>
          <w:sz w:val="27"/>
          <w:rtl/>
          <w:lang w:bidi="fa-IR"/>
        </w:rPr>
        <w:t>ِّ</w:t>
      </w:r>
      <w:r w:rsidR="00644408" w:rsidRPr="00904FCB">
        <w:rPr>
          <w:rFonts w:ascii="Tahoma" w:hAnsi="Tahoma"/>
          <w:sz w:val="27"/>
          <w:rtl/>
          <w:lang w:bidi="fa-IR"/>
        </w:rPr>
        <w:t xml:space="preserve">لة بخطوات التقنيين.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ثم</w:t>
      </w:r>
      <w:r w:rsidR="00C33795" w:rsidRPr="00904FCB">
        <w:rPr>
          <w:rFonts w:ascii="Tahoma" w:hAnsi="Tahoma" w:hint="cs"/>
          <w:sz w:val="27"/>
          <w:rtl/>
          <w:lang w:bidi="fa-IR"/>
        </w:rPr>
        <w:t>ّ</w:t>
      </w:r>
      <w:r w:rsidRPr="00904FCB">
        <w:rPr>
          <w:rFonts w:ascii="Tahoma" w:hAnsi="Tahoma"/>
          <w:sz w:val="27"/>
          <w:rtl/>
          <w:lang w:bidi="fa-IR"/>
        </w:rPr>
        <w:t xml:space="preserve"> </w:t>
      </w:r>
      <w:r w:rsidR="00C33795" w:rsidRPr="00904FCB">
        <w:rPr>
          <w:rFonts w:ascii="Tahoma" w:hAnsi="Tahoma" w:hint="cs"/>
          <w:sz w:val="27"/>
          <w:rtl/>
          <w:lang w:bidi="fa-IR"/>
        </w:rPr>
        <w:t>إ</w:t>
      </w:r>
      <w:r w:rsidRPr="00904FCB">
        <w:rPr>
          <w:rFonts w:ascii="Tahoma" w:hAnsi="Tahoma"/>
          <w:sz w:val="27"/>
          <w:rtl/>
          <w:lang w:bidi="fa-IR"/>
        </w:rPr>
        <w:t xml:space="preserve">ن «الفقه الذي نطالب بتدوين </w:t>
      </w:r>
      <w:r w:rsidR="00C33795" w:rsidRPr="00904FCB">
        <w:rPr>
          <w:rFonts w:ascii="Tahoma" w:hAnsi="Tahoma" w:hint="cs"/>
          <w:sz w:val="27"/>
          <w:rtl/>
          <w:lang w:bidi="fa-IR"/>
        </w:rPr>
        <w:t>أ</w:t>
      </w:r>
      <w:r w:rsidRPr="00904FCB">
        <w:rPr>
          <w:rFonts w:ascii="Tahoma" w:hAnsi="Tahoma"/>
          <w:sz w:val="27"/>
          <w:rtl/>
          <w:lang w:bidi="fa-IR"/>
        </w:rPr>
        <w:t>حكامه القضائية يتكو</w:t>
      </w:r>
      <w:r w:rsidR="00C33795" w:rsidRPr="00904FCB">
        <w:rPr>
          <w:rFonts w:ascii="Tahoma" w:hAnsi="Tahoma" w:hint="cs"/>
          <w:sz w:val="27"/>
          <w:rtl/>
          <w:lang w:bidi="fa-IR"/>
        </w:rPr>
        <w:t>َّ</w:t>
      </w:r>
      <w:r w:rsidRPr="00904FCB">
        <w:rPr>
          <w:rFonts w:ascii="Tahoma" w:hAnsi="Tahoma"/>
          <w:sz w:val="27"/>
          <w:rtl/>
          <w:lang w:bidi="fa-IR"/>
        </w:rPr>
        <w:t>ن من مسائل واقعي</w:t>
      </w:r>
      <w:r w:rsidR="00C33795" w:rsidRPr="00904FCB">
        <w:rPr>
          <w:rFonts w:ascii="Tahoma" w:hAnsi="Tahoma" w:hint="cs"/>
          <w:sz w:val="27"/>
          <w:rtl/>
          <w:lang w:bidi="fa-IR"/>
        </w:rPr>
        <w:t>ة</w:t>
      </w:r>
      <w:r w:rsidRPr="00904FCB">
        <w:rPr>
          <w:rFonts w:ascii="Tahoma" w:hAnsi="Tahoma"/>
          <w:sz w:val="27"/>
          <w:rtl/>
          <w:lang w:bidi="fa-IR"/>
        </w:rPr>
        <w:t xml:space="preserve"> وافتراضية</w:t>
      </w:r>
      <w:r w:rsidR="00C33795" w:rsidRPr="00904FCB">
        <w:rPr>
          <w:rFonts w:ascii="Tahoma" w:hAnsi="Tahoma" w:hint="cs"/>
          <w:sz w:val="27"/>
          <w:rtl/>
          <w:lang w:bidi="fa-IR"/>
        </w:rPr>
        <w:t>.</w:t>
      </w:r>
      <w:r w:rsidRPr="00904FCB">
        <w:rPr>
          <w:rFonts w:ascii="Tahoma" w:hAnsi="Tahoma"/>
          <w:sz w:val="27"/>
          <w:rtl/>
          <w:lang w:bidi="fa-IR"/>
        </w:rPr>
        <w:t xml:space="preserve"> </w:t>
      </w:r>
      <w:r w:rsidR="00C33795" w:rsidRPr="00904FCB">
        <w:rPr>
          <w:rFonts w:ascii="Tahoma" w:hAnsi="Tahoma" w:hint="cs"/>
          <w:sz w:val="27"/>
          <w:rtl/>
          <w:lang w:bidi="fa-IR"/>
        </w:rPr>
        <w:t>و</w:t>
      </w:r>
      <w:r w:rsidRPr="00904FCB">
        <w:rPr>
          <w:rFonts w:ascii="Tahoma" w:hAnsi="Tahoma"/>
          <w:sz w:val="27"/>
          <w:rtl/>
          <w:lang w:bidi="fa-IR"/>
        </w:rPr>
        <w:t>كل</w:t>
      </w:r>
      <w:r w:rsidR="00C33795" w:rsidRPr="00904FCB">
        <w:rPr>
          <w:rFonts w:ascii="Tahoma" w:hAnsi="Tahoma" w:hint="cs"/>
          <w:sz w:val="27"/>
          <w:rtl/>
          <w:lang w:bidi="fa-IR"/>
        </w:rPr>
        <w:t>ّ</w:t>
      </w:r>
      <w:r w:rsidRPr="00904FCB">
        <w:rPr>
          <w:rFonts w:ascii="Tahoma" w:hAnsi="Tahoma"/>
          <w:sz w:val="27"/>
          <w:rtl/>
          <w:lang w:bidi="fa-IR"/>
        </w:rPr>
        <w:t xml:space="preserve"> مسألة مستقل</w:t>
      </w:r>
      <w:r w:rsidR="00C33795" w:rsidRPr="00904FCB">
        <w:rPr>
          <w:rFonts w:ascii="Tahoma" w:hAnsi="Tahoma" w:hint="cs"/>
          <w:sz w:val="27"/>
          <w:rtl/>
          <w:lang w:bidi="fa-IR"/>
        </w:rPr>
        <w:t>ّ</w:t>
      </w:r>
      <w:r w:rsidRPr="00904FCB">
        <w:rPr>
          <w:rFonts w:ascii="Tahoma" w:hAnsi="Tahoma"/>
          <w:sz w:val="27"/>
          <w:rtl/>
          <w:lang w:bidi="fa-IR"/>
        </w:rPr>
        <w:t xml:space="preserve">ة عن </w:t>
      </w:r>
      <w:r w:rsidR="00C33795" w:rsidRPr="00904FCB">
        <w:rPr>
          <w:rFonts w:ascii="Tahoma" w:hAnsi="Tahoma" w:hint="cs"/>
          <w:sz w:val="27"/>
          <w:rtl/>
          <w:lang w:bidi="fa-IR"/>
        </w:rPr>
        <w:t>أ</w:t>
      </w:r>
      <w:r w:rsidRPr="00904FCB">
        <w:rPr>
          <w:rFonts w:ascii="Tahoma" w:hAnsi="Tahoma"/>
          <w:sz w:val="27"/>
          <w:rtl/>
          <w:lang w:bidi="fa-IR"/>
        </w:rPr>
        <w:t>ختها</w:t>
      </w:r>
      <w:r w:rsidR="00F8468B">
        <w:rPr>
          <w:rFonts w:ascii="Tahoma" w:hAnsi="Tahoma" w:hint="cs"/>
          <w:sz w:val="27"/>
          <w:rtl/>
          <w:lang w:bidi="fa-IR"/>
        </w:rPr>
        <w:t>،</w:t>
      </w:r>
      <w:r w:rsidRPr="00904FCB">
        <w:rPr>
          <w:rFonts w:ascii="Tahoma" w:hAnsi="Tahoma"/>
          <w:sz w:val="27"/>
          <w:rtl/>
          <w:lang w:bidi="fa-IR"/>
        </w:rPr>
        <w:t xml:space="preserve"> من حيث دليلها الذي تستند </w:t>
      </w:r>
      <w:r w:rsidR="00C33795" w:rsidRPr="00904FCB">
        <w:rPr>
          <w:rFonts w:ascii="Tahoma" w:hAnsi="Tahoma" w:hint="cs"/>
          <w:sz w:val="27"/>
          <w:rtl/>
          <w:lang w:bidi="fa-IR"/>
        </w:rPr>
        <w:t>إ</w:t>
      </w:r>
      <w:r w:rsidRPr="00904FCB">
        <w:rPr>
          <w:rFonts w:ascii="Tahoma" w:hAnsi="Tahoma"/>
          <w:sz w:val="27"/>
          <w:rtl/>
          <w:lang w:bidi="fa-IR"/>
        </w:rPr>
        <w:t>ليه</w:t>
      </w:r>
      <w:r w:rsidR="00F8468B">
        <w:rPr>
          <w:rFonts w:ascii="Tahoma" w:hAnsi="Tahoma" w:hint="cs"/>
          <w:sz w:val="27"/>
          <w:rtl/>
          <w:lang w:bidi="fa-IR"/>
        </w:rPr>
        <w:t>،</w:t>
      </w:r>
      <w:r w:rsidRPr="00904FCB">
        <w:rPr>
          <w:rFonts w:ascii="Tahoma" w:hAnsi="Tahoma"/>
          <w:sz w:val="27"/>
          <w:rtl/>
          <w:lang w:bidi="fa-IR"/>
        </w:rPr>
        <w:t xml:space="preserve"> من الكتاب والسن</w:t>
      </w:r>
      <w:r w:rsidR="00C33795" w:rsidRPr="00904FCB">
        <w:rPr>
          <w:rFonts w:ascii="Tahoma" w:hAnsi="Tahoma" w:hint="cs"/>
          <w:sz w:val="27"/>
          <w:rtl/>
          <w:lang w:bidi="fa-IR"/>
        </w:rPr>
        <w:t>ّ</w:t>
      </w:r>
      <w:r w:rsidRPr="00904FCB">
        <w:rPr>
          <w:rFonts w:ascii="Tahoma" w:hAnsi="Tahoma"/>
          <w:sz w:val="27"/>
          <w:rtl/>
          <w:lang w:bidi="fa-IR"/>
        </w:rPr>
        <w:t>ة وال</w:t>
      </w:r>
      <w:r w:rsidR="00C33795" w:rsidRPr="00904FCB">
        <w:rPr>
          <w:rFonts w:ascii="Tahoma" w:hAnsi="Tahoma" w:hint="cs"/>
          <w:sz w:val="27"/>
          <w:rtl/>
          <w:lang w:bidi="fa-IR"/>
        </w:rPr>
        <w:t>إ</w:t>
      </w:r>
      <w:r w:rsidRPr="00904FCB">
        <w:rPr>
          <w:rFonts w:ascii="Tahoma" w:hAnsi="Tahoma"/>
          <w:sz w:val="27"/>
          <w:rtl/>
          <w:lang w:bidi="fa-IR"/>
        </w:rPr>
        <w:t>جماع والقياس والاستصحاب والع</w:t>
      </w:r>
      <w:r w:rsidR="00C33795" w:rsidRPr="00904FCB">
        <w:rPr>
          <w:rFonts w:ascii="Tahoma" w:hAnsi="Tahoma" w:hint="cs"/>
          <w:sz w:val="27"/>
          <w:rtl/>
          <w:lang w:bidi="fa-IR"/>
        </w:rPr>
        <w:t>ُ</w:t>
      </w:r>
      <w:r w:rsidRPr="00904FCB">
        <w:rPr>
          <w:rFonts w:ascii="Tahoma" w:hAnsi="Tahoma"/>
          <w:sz w:val="27"/>
          <w:rtl/>
          <w:lang w:bidi="fa-IR"/>
        </w:rPr>
        <w:t>ر</w:t>
      </w:r>
      <w:r w:rsidR="00C33795" w:rsidRPr="00904FCB">
        <w:rPr>
          <w:rFonts w:ascii="Tahoma" w:hAnsi="Tahoma" w:hint="cs"/>
          <w:sz w:val="27"/>
          <w:rtl/>
          <w:lang w:bidi="fa-IR"/>
        </w:rPr>
        <w:t>ْ</w:t>
      </w:r>
      <w:r w:rsidRPr="00904FCB">
        <w:rPr>
          <w:rFonts w:ascii="Tahoma" w:hAnsi="Tahoma"/>
          <w:sz w:val="27"/>
          <w:rtl/>
          <w:lang w:bidi="fa-IR"/>
        </w:rPr>
        <w:t xml:space="preserve">ف </w:t>
      </w:r>
      <w:r w:rsidR="00C33795" w:rsidRPr="00904FCB">
        <w:rPr>
          <w:rFonts w:ascii="Tahoma" w:hAnsi="Tahoma" w:hint="cs"/>
          <w:sz w:val="27"/>
          <w:rtl/>
          <w:lang w:bidi="fa-IR"/>
        </w:rPr>
        <w:t>أ</w:t>
      </w:r>
      <w:r w:rsidRPr="00904FCB">
        <w:rPr>
          <w:rFonts w:ascii="Tahoma" w:hAnsi="Tahoma"/>
          <w:sz w:val="27"/>
          <w:rtl/>
          <w:lang w:bidi="fa-IR"/>
        </w:rPr>
        <w:t xml:space="preserve">و غيرها من مصادر الاستدلال المعروفة عند علماء </w:t>
      </w:r>
      <w:r w:rsidR="00C33795" w:rsidRPr="00904FCB">
        <w:rPr>
          <w:rFonts w:ascii="Tahoma" w:hAnsi="Tahoma" w:hint="cs"/>
          <w:sz w:val="27"/>
          <w:rtl/>
          <w:lang w:bidi="fa-IR"/>
        </w:rPr>
        <w:t>أ</w:t>
      </w:r>
      <w:r w:rsidRPr="00904FCB">
        <w:rPr>
          <w:rFonts w:ascii="Tahoma" w:hAnsi="Tahoma"/>
          <w:sz w:val="27"/>
          <w:rtl/>
          <w:lang w:bidi="fa-IR"/>
        </w:rPr>
        <w:t>صول الفقه</w:t>
      </w:r>
      <w:r w:rsidR="00C33795" w:rsidRPr="00904FCB">
        <w:rPr>
          <w:rFonts w:ascii="Tahoma" w:hAnsi="Tahoma" w:hint="cs"/>
          <w:sz w:val="27"/>
          <w:rtl/>
          <w:lang w:bidi="fa-IR"/>
        </w:rPr>
        <w:t>.</w:t>
      </w:r>
      <w:r w:rsidRPr="00904FCB">
        <w:rPr>
          <w:rFonts w:ascii="Tahoma" w:hAnsi="Tahoma"/>
          <w:sz w:val="27"/>
          <w:rtl/>
          <w:lang w:bidi="fa-IR"/>
        </w:rPr>
        <w:t xml:space="preserve"> كما </w:t>
      </w:r>
      <w:r w:rsidR="00C33795" w:rsidRPr="00904FCB">
        <w:rPr>
          <w:rFonts w:ascii="Tahoma" w:hAnsi="Tahoma" w:hint="cs"/>
          <w:sz w:val="27"/>
          <w:rtl/>
          <w:lang w:bidi="fa-IR"/>
        </w:rPr>
        <w:t>أ</w:t>
      </w:r>
      <w:r w:rsidRPr="00904FCB">
        <w:rPr>
          <w:rFonts w:ascii="Tahoma" w:hAnsi="Tahoma"/>
          <w:sz w:val="27"/>
          <w:rtl/>
          <w:lang w:bidi="fa-IR"/>
        </w:rPr>
        <w:t>ن هذه المسائل في غالبها تأخذ الصورة الوصفية لفعل العبد</w:t>
      </w:r>
      <w:r w:rsidR="00C33795" w:rsidRPr="00904FCB">
        <w:rPr>
          <w:rFonts w:ascii="Tahoma" w:hAnsi="Tahoma" w:hint="cs"/>
          <w:sz w:val="27"/>
          <w:rtl/>
          <w:lang w:bidi="fa-IR"/>
        </w:rPr>
        <w:t xml:space="preserve">، </w:t>
      </w:r>
      <w:r w:rsidRPr="00904FCB">
        <w:rPr>
          <w:rFonts w:ascii="Tahoma" w:hAnsi="Tahoma"/>
          <w:sz w:val="27"/>
          <w:rtl/>
          <w:lang w:bidi="fa-IR"/>
        </w:rPr>
        <w:t>مم</w:t>
      </w:r>
      <w:r w:rsidR="00C33795" w:rsidRPr="00904FCB">
        <w:rPr>
          <w:rFonts w:ascii="Tahoma" w:hAnsi="Tahoma" w:hint="cs"/>
          <w:sz w:val="27"/>
          <w:rtl/>
          <w:lang w:bidi="fa-IR"/>
        </w:rPr>
        <w:t>ّ</w:t>
      </w:r>
      <w:r w:rsidRPr="00904FCB">
        <w:rPr>
          <w:rFonts w:ascii="Tahoma" w:hAnsi="Tahoma"/>
          <w:sz w:val="27"/>
          <w:rtl/>
          <w:lang w:bidi="fa-IR"/>
        </w:rPr>
        <w:t>ا يتسب</w:t>
      </w:r>
      <w:r w:rsidR="00C33795" w:rsidRPr="00904FCB">
        <w:rPr>
          <w:rFonts w:ascii="Tahoma" w:hAnsi="Tahoma" w:hint="cs"/>
          <w:sz w:val="27"/>
          <w:rtl/>
          <w:lang w:bidi="fa-IR"/>
        </w:rPr>
        <w:t>َّ</w:t>
      </w:r>
      <w:r w:rsidRPr="00904FCB">
        <w:rPr>
          <w:rFonts w:ascii="Tahoma" w:hAnsi="Tahoma"/>
          <w:sz w:val="27"/>
          <w:rtl/>
          <w:lang w:bidi="fa-IR"/>
        </w:rPr>
        <w:t xml:space="preserve">ب في كثرتها وعدم تناهيها.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كما تتصو</w:t>
      </w:r>
      <w:r w:rsidR="00C33795" w:rsidRPr="00904FCB">
        <w:rPr>
          <w:rFonts w:ascii="Tahoma" w:hAnsi="Tahoma" w:hint="cs"/>
          <w:sz w:val="27"/>
          <w:rtl/>
          <w:lang w:bidi="fa-IR"/>
        </w:rPr>
        <w:t>ّ</w:t>
      </w:r>
      <w:r w:rsidRPr="00904FCB">
        <w:rPr>
          <w:rFonts w:ascii="Tahoma" w:hAnsi="Tahoma"/>
          <w:sz w:val="27"/>
          <w:rtl/>
          <w:lang w:bidi="fa-IR"/>
        </w:rPr>
        <w:t xml:space="preserve">ر علاقة هذه المسائل بالقاعدة الفقهية </w:t>
      </w:r>
      <w:r w:rsidR="00C33795" w:rsidRPr="00904FCB">
        <w:rPr>
          <w:rFonts w:ascii="Tahoma" w:hAnsi="Tahoma" w:hint="cs"/>
          <w:sz w:val="27"/>
          <w:rtl/>
          <w:lang w:bidi="fa-IR"/>
        </w:rPr>
        <w:t>أ</w:t>
      </w:r>
      <w:r w:rsidRPr="00904FCB">
        <w:rPr>
          <w:rFonts w:ascii="Tahoma" w:hAnsi="Tahoma"/>
          <w:sz w:val="27"/>
          <w:rtl/>
          <w:lang w:bidi="fa-IR"/>
        </w:rPr>
        <w:t xml:space="preserve">نها تأتي بعدها، بمعنى </w:t>
      </w:r>
      <w:r w:rsidR="00C33795" w:rsidRPr="00904FCB">
        <w:rPr>
          <w:rFonts w:ascii="Tahoma" w:hAnsi="Tahoma" w:hint="cs"/>
          <w:sz w:val="27"/>
          <w:rtl/>
          <w:lang w:bidi="fa-IR"/>
        </w:rPr>
        <w:t>أ</w:t>
      </w:r>
      <w:r w:rsidRPr="00904FCB">
        <w:rPr>
          <w:rFonts w:ascii="Tahoma" w:hAnsi="Tahoma"/>
          <w:sz w:val="27"/>
          <w:rtl/>
          <w:lang w:bidi="fa-IR"/>
        </w:rPr>
        <w:t>ن المسائل الفقهية تسبق في الوجود القاعدة التي تجمعها، ومعظم القواعد الفقهية الصغرى ليس لها دليل</w:t>
      </w:r>
      <w:r w:rsidR="00C33795" w:rsidRPr="00904FCB">
        <w:rPr>
          <w:rFonts w:ascii="Tahoma" w:hAnsi="Tahoma" w:hint="cs"/>
          <w:sz w:val="27"/>
          <w:rtl/>
          <w:lang w:bidi="fa-IR"/>
        </w:rPr>
        <w:t>ٌ</w:t>
      </w:r>
      <w:r w:rsidRPr="00904FCB">
        <w:rPr>
          <w:rFonts w:ascii="Tahoma" w:hAnsi="Tahoma"/>
          <w:sz w:val="27"/>
          <w:rtl/>
          <w:lang w:bidi="fa-IR"/>
        </w:rPr>
        <w:t xml:space="preserve"> مستقل</w:t>
      </w:r>
      <w:r w:rsidR="00C33795" w:rsidRPr="00904FCB">
        <w:rPr>
          <w:rFonts w:ascii="Tahoma" w:hAnsi="Tahoma" w:hint="cs"/>
          <w:sz w:val="27"/>
          <w:rtl/>
          <w:lang w:bidi="fa-IR"/>
        </w:rPr>
        <w:t>ّ،</w:t>
      </w:r>
      <w:r w:rsidR="00CA1FED" w:rsidRPr="00904FCB">
        <w:rPr>
          <w:rFonts w:ascii="Tahoma" w:hAnsi="Tahoma"/>
          <w:sz w:val="27"/>
          <w:rtl/>
          <w:lang w:bidi="fa-IR"/>
        </w:rPr>
        <w:t xml:space="preserve"> بل قيمتها</w:t>
      </w:r>
      <w:r w:rsidRPr="00904FCB">
        <w:rPr>
          <w:rFonts w:ascii="Tahoma" w:hAnsi="Tahoma"/>
          <w:sz w:val="27"/>
          <w:rtl/>
          <w:lang w:bidi="fa-IR"/>
        </w:rPr>
        <w:t xml:space="preserve"> مستندة </w:t>
      </w:r>
      <w:r w:rsidR="00C33795" w:rsidRPr="00904FCB">
        <w:rPr>
          <w:rFonts w:ascii="Tahoma" w:hAnsi="Tahoma" w:hint="cs"/>
          <w:sz w:val="27"/>
          <w:rtl/>
          <w:lang w:bidi="fa-IR"/>
        </w:rPr>
        <w:t>إ</w:t>
      </w:r>
      <w:r w:rsidRPr="00904FCB">
        <w:rPr>
          <w:rFonts w:ascii="Tahoma" w:hAnsi="Tahoma"/>
          <w:sz w:val="27"/>
          <w:rtl/>
          <w:lang w:bidi="fa-IR"/>
        </w:rPr>
        <w:t>لى المسائل التي تدخل تحتها</w:t>
      </w:r>
      <w:r w:rsidR="00C33795" w:rsidRPr="00904FCB">
        <w:rPr>
          <w:rFonts w:ascii="Tahoma" w:hAnsi="Tahoma" w:hint="cs"/>
          <w:sz w:val="27"/>
          <w:rtl/>
          <w:lang w:bidi="fa-IR"/>
        </w:rPr>
        <w:t>.</w:t>
      </w:r>
      <w:r w:rsidRPr="00904FCB">
        <w:rPr>
          <w:rFonts w:ascii="Tahoma" w:hAnsi="Tahoma"/>
          <w:sz w:val="27"/>
          <w:rtl/>
          <w:lang w:bidi="fa-IR"/>
        </w:rPr>
        <w:t xml:space="preserve"> ولذلك </w:t>
      </w:r>
      <w:r w:rsidRPr="00904FCB">
        <w:rPr>
          <w:rFonts w:ascii="Tahoma" w:hAnsi="Tahoma"/>
          <w:sz w:val="27"/>
          <w:rtl/>
          <w:lang w:bidi="fa-IR"/>
        </w:rPr>
        <w:lastRenderedPageBreak/>
        <w:t xml:space="preserve">فالقواعد الفقهية ليست كلية، بل </w:t>
      </w:r>
      <w:r w:rsidR="00C33795" w:rsidRPr="00904FCB">
        <w:rPr>
          <w:rFonts w:ascii="Tahoma" w:hAnsi="Tahoma" w:hint="cs"/>
          <w:sz w:val="27"/>
          <w:rtl/>
          <w:lang w:bidi="fa-IR"/>
        </w:rPr>
        <w:t>أ</w:t>
      </w:r>
      <w:r w:rsidRPr="00904FCB">
        <w:rPr>
          <w:rFonts w:ascii="Tahoma" w:hAnsi="Tahoma"/>
          <w:sz w:val="27"/>
          <w:rtl/>
          <w:lang w:bidi="fa-IR"/>
        </w:rPr>
        <w:t>غلبية</w:t>
      </w:r>
      <w:r w:rsidR="00C33795" w:rsidRPr="00904FCB">
        <w:rPr>
          <w:rFonts w:ascii="Tahoma" w:hAnsi="Tahoma" w:hint="cs"/>
          <w:sz w:val="27"/>
          <w:rtl/>
          <w:lang w:bidi="fa-IR"/>
        </w:rPr>
        <w:t>،</w:t>
      </w:r>
      <w:r w:rsidRPr="00904FCB">
        <w:rPr>
          <w:rFonts w:ascii="Tahoma" w:hAnsi="Tahoma"/>
          <w:sz w:val="27"/>
          <w:rtl/>
          <w:lang w:bidi="fa-IR"/>
        </w:rPr>
        <w:t xml:space="preserve"> يستعين الفقيه بها على حفظ </w:t>
      </w:r>
      <w:r w:rsidR="00C33795" w:rsidRPr="00904FCB">
        <w:rPr>
          <w:rFonts w:ascii="Tahoma" w:hAnsi="Tahoma" w:hint="cs"/>
          <w:sz w:val="27"/>
          <w:rtl/>
          <w:lang w:bidi="fa-IR"/>
        </w:rPr>
        <w:t>أ</w:t>
      </w:r>
      <w:r w:rsidRPr="00904FCB">
        <w:rPr>
          <w:rFonts w:ascii="Tahoma" w:hAnsi="Tahoma"/>
          <w:sz w:val="27"/>
          <w:rtl/>
          <w:lang w:bidi="fa-IR"/>
        </w:rPr>
        <w:t>فراد المسائل</w:t>
      </w:r>
      <w:r w:rsidR="00C33795" w:rsidRPr="00904FCB">
        <w:rPr>
          <w:rFonts w:ascii="Tahoma" w:hAnsi="Tahoma" w:hint="cs"/>
          <w:sz w:val="27"/>
          <w:rtl/>
          <w:lang w:bidi="fa-IR"/>
        </w:rPr>
        <w:t>،</w:t>
      </w:r>
      <w:r w:rsidRPr="00904FCB">
        <w:rPr>
          <w:rFonts w:ascii="Tahoma" w:hAnsi="Tahoma"/>
          <w:sz w:val="27"/>
          <w:rtl/>
          <w:lang w:bidi="fa-IR"/>
        </w:rPr>
        <w:t xml:space="preserve"> لكنه لا</w:t>
      </w:r>
      <w:r w:rsidR="00C33795" w:rsidRPr="00904FCB">
        <w:rPr>
          <w:rFonts w:ascii="Tahoma" w:hAnsi="Tahoma" w:hint="cs"/>
          <w:sz w:val="27"/>
          <w:rtl/>
          <w:lang w:bidi="fa-IR"/>
        </w:rPr>
        <w:t xml:space="preserve"> </w:t>
      </w:r>
      <w:r w:rsidRPr="00904FCB">
        <w:rPr>
          <w:rFonts w:ascii="Tahoma" w:hAnsi="Tahoma"/>
          <w:sz w:val="27"/>
          <w:rtl/>
          <w:lang w:bidi="fa-IR"/>
        </w:rPr>
        <w:t>يحكم بموجبها على ما يجد</w:t>
      </w:r>
      <w:r w:rsidR="00C33795" w:rsidRPr="00904FCB">
        <w:rPr>
          <w:rFonts w:ascii="Tahoma" w:hAnsi="Tahoma" w:hint="cs"/>
          <w:sz w:val="27"/>
          <w:rtl/>
          <w:lang w:bidi="fa-IR"/>
        </w:rPr>
        <w:t>ّ</w:t>
      </w:r>
      <w:r w:rsidRPr="00904FCB">
        <w:rPr>
          <w:rFonts w:ascii="Tahoma" w:hAnsi="Tahoma"/>
          <w:sz w:val="27"/>
          <w:rtl/>
          <w:lang w:bidi="fa-IR"/>
        </w:rPr>
        <w:t xml:space="preserve"> لديه من مشكلات</w:t>
      </w:r>
      <w:r w:rsidR="00C33795" w:rsidRPr="00904FCB">
        <w:rPr>
          <w:rFonts w:ascii="Tahoma" w:hAnsi="Tahoma" w:hint="cs"/>
          <w:sz w:val="27"/>
          <w:rtl/>
          <w:lang w:bidi="fa-IR"/>
        </w:rPr>
        <w:t>،</w:t>
      </w:r>
      <w:r w:rsidRPr="00904FCB">
        <w:rPr>
          <w:rFonts w:ascii="Tahoma" w:hAnsi="Tahoma"/>
          <w:sz w:val="27"/>
          <w:rtl/>
          <w:lang w:bidi="fa-IR"/>
        </w:rPr>
        <w:t xml:space="preserve"> إلاّ على سبيل القياس على مسألة</w:t>
      </w:r>
      <w:r w:rsidR="00C33795" w:rsidRPr="00904FCB">
        <w:rPr>
          <w:rFonts w:ascii="Tahoma" w:hAnsi="Tahoma" w:hint="cs"/>
          <w:sz w:val="27"/>
          <w:rtl/>
          <w:lang w:bidi="fa-IR"/>
        </w:rPr>
        <w:t>ٍ</w:t>
      </w:r>
      <w:r w:rsidRPr="00904FCB">
        <w:rPr>
          <w:rFonts w:ascii="Tahoma" w:hAnsi="Tahoma"/>
          <w:sz w:val="27"/>
          <w:rtl/>
          <w:lang w:bidi="fa-IR"/>
        </w:rPr>
        <w:t xml:space="preserve"> </w:t>
      </w:r>
      <w:r w:rsidR="00C33795" w:rsidRPr="00904FCB">
        <w:rPr>
          <w:rFonts w:ascii="Tahoma" w:hAnsi="Tahoma" w:hint="cs"/>
          <w:sz w:val="27"/>
          <w:rtl/>
          <w:lang w:bidi="fa-IR"/>
        </w:rPr>
        <w:t>أ</w:t>
      </w:r>
      <w:r w:rsidRPr="00904FCB">
        <w:rPr>
          <w:rFonts w:ascii="Tahoma" w:hAnsi="Tahoma"/>
          <w:sz w:val="27"/>
          <w:rtl/>
          <w:lang w:bidi="fa-IR"/>
        </w:rPr>
        <w:t>خرى من المسائل</w:t>
      </w:r>
      <w:r w:rsidR="00C33795" w:rsidRPr="00904FCB">
        <w:rPr>
          <w:rFonts w:ascii="Tahoma" w:hAnsi="Tahoma" w:hint="cs"/>
          <w:sz w:val="27"/>
          <w:rtl/>
          <w:lang w:bidi="fa-IR"/>
        </w:rPr>
        <w:t>،</w:t>
      </w:r>
      <w:r w:rsidRPr="00904FCB">
        <w:rPr>
          <w:rFonts w:ascii="Tahoma" w:hAnsi="Tahoma"/>
          <w:sz w:val="27"/>
          <w:rtl/>
          <w:lang w:bidi="fa-IR"/>
        </w:rPr>
        <w:t xml:space="preserve"> التي استقر</w:t>
      </w:r>
      <w:r w:rsidR="00C33795" w:rsidRPr="00904FCB">
        <w:rPr>
          <w:rFonts w:ascii="Tahoma" w:hAnsi="Tahoma" w:hint="cs"/>
          <w:sz w:val="27"/>
          <w:rtl/>
          <w:lang w:bidi="fa-IR"/>
        </w:rPr>
        <w:t>ّ</w:t>
      </w:r>
      <w:r w:rsidRPr="00904FCB">
        <w:rPr>
          <w:rFonts w:ascii="Tahoma" w:hAnsi="Tahoma"/>
          <w:sz w:val="27"/>
          <w:rtl/>
          <w:lang w:bidi="fa-IR"/>
        </w:rPr>
        <w:t xml:space="preserve"> دخولها تحت تلك القاعدة</w:t>
      </w:r>
      <w:r w:rsidR="00C33795" w:rsidRPr="00904FCB">
        <w:rPr>
          <w:rFonts w:ascii="Tahoma" w:hAnsi="Tahoma" w:hint="cs"/>
          <w:sz w:val="27"/>
          <w:rtl/>
          <w:lang w:bidi="fa-IR"/>
        </w:rPr>
        <w:t>.</w:t>
      </w:r>
      <w:r w:rsidRPr="00904FCB">
        <w:rPr>
          <w:rFonts w:ascii="Tahoma" w:hAnsi="Tahoma"/>
          <w:sz w:val="27"/>
          <w:rtl/>
          <w:lang w:bidi="fa-IR"/>
        </w:rPr>
        <w:t xml:space="preserve"> فارتباط الفقه بمصادر الاستنباط يجعل </w:t>
      </w:r>
      <w:r w:rsidR="00C33795" w:rsidRPr="00904FCB">
        <w:rPr>
          <w:rFonts w:ascii="Tahoma" w:hAnsi="Tahoma" w:hint="cs"/>
          <w:sz w:val="27"/>
          <w:rtl/>
          <w:lang w:bidi="fa-IR"/>
        </w:rPr>
        <w:t>أ</w:t>
      </w:r>
      <w:r w:rsidRPr="00904FCB">
        <w:rPr>
          <w:rFonts w:ascii="Tahoma" w:hAnsi="Tahoma"/>
          <w:sz w:val="27"/>
          <w:rtl/>
          <w:lang w:bidi="fa-IR"/>
        </w:rPr>
        <w:t xml:space="preserve">حكامه </w:t>
      </w:r>
      <w:r w:rsidR="00C33795" w:rsidRPr="00904FCB">
        <w:rPr>
          <w:rFonts w:ascii="Tahoma" w:hAnsi="Tahoma" w:hint="cs"/>
          <w:sz w:val="27"/>
          <w:rtl/>
          <w:lang w:bidi="fa-IR"/>
        </w:rPr>
        <w:t>أ</w:t>
      </w:r>
      <w:r w:rsidRPr="00904FCB">
        <w:rPr>
          <w:rFonts w:ascii="Tahoma" w:hAnsi="Tahoma"/>
          <w:sz w:val="27"/>
          <w:rtl/>
          <w:lang w:bidi="fa-IR"/>
        </w:rPr>
        <w:t>كثر دق</w:t>
      </w:r>
      <w:r w:rsidR="00C33795" w:rsidRPr="00904FCB">
        <w:rPr>
          <w:rFonts w:ascii="Tahoma" w:hAnsi="Tahoma" w:hint="cs"/>
          <w:sz w:val="27"/>
          <w:rtl/>
          <w:lang w:bidi="fa-IR"/>
        </w:rPr>
        <w:t>ّ</w:t>
      </w:r>
      <w:r w:rsidRPr="00904FCB">
        <w:rPr>
          <w:rFonts w:ascii="Tahoma" w:hAnsi="Tahoma"/>
          <w:sz w:val="27"/>
          <w:rtl/>
          <w:lang w:bidi="fa-IR"/>
        </w:rPr>
        <w:t>ة، و</w:t>
      </w:r>
      <w:r w:rsidR="00C33795" w:rsidRPr="00904FCB">
        <w:rPr>
          <w:rFonts w:ascii="Tahoma" w:hAnsi="Tahoma" w:hint="cs"/>
          <w:sz w:val="27"/>
          <w:rtl/>
          <w:lang w:bidi="fa-IR"/>
        </w:rPr>
        <w:t>أ</w:t>
      </w:r>
      <w:r w:rsidRPr="00904FCB">
        <w:rPr>
          <w:rFonts w:ascii="Tahoma" w:hAnsi="Tahoma"/>
          <w:sz w:val="27"/>
          <w:rtl/>
          <w:lang w:bidi="fa-IR"/>
        </w:rPr>
        <w:t>دق نتائجاً، ولكن</w:t>
      </w:r>
      <w:r w:rsidR="00C33795" w:rsidRPr="00904FCB">
        <w:rPr>
          <w:rFonts w:ascii="Tahoma" w:hAnsi="Tahoma" w:hint="cs"/>
          <w:sz w:val="27"/>
          <w:rtl/>
          <w:lang w:bidi="fa-IR"/>
        </w:rPr>
        <w:t>ّ</w:t>
      </w:r>
      <w:r w:rsidRPr="00904FCB">
        <w:rPr>
          <w:rFonts w:ascii="Tahoma" w:hAnsi="Tahoma"/>
          <w:sz w:val="27"/>
          <w:rtl/>
          <w:lang w:bidi="fa-IR"/>
        </w:rPr>
        <w:t>ه يبقيها محكومة بقواعد فقهية لا</w:t>
      </w:r>
      <w:r w:rsidR="002C312F" w:rsidRPr="00904FCB">
        <w:rPr>
          <w:rFonts w:ascii="Tahoma" w:hAnsi="Tahoma" w:hint="cs"/>
          <w:sz w:val="27"/>
          <w:rtl/>
          <w:lang w:bidi="fa-IR"/>
        </w:rPr>
        <w:t xml:space="preserve"> </w:t>
      </w:r>
      <w:r w:rsidRPr="00904FCB">
        <w:rPr>
          <w:rFonts w:ascii="Tahoma" w:hAnsi="Tahoma"/>
          <w:sz w:val="27"/>
          <w:rtl/>
          <w:lang w:bidi="fa-IR"/>
        </w:rPr>
        <w:t>تطلق العنان لتلك ال</w:t>
      </w:r>
      <w:r w:rsidR="002C312F" w:rsidRPr="00904FCB">
        <w:rPr>
          <w:rFonts w:ascii="Tahoma" w:hAnsi="Tahoma" w:hint="cs"/>
          <w:sz w:val="27"/>
          <w:rtl/>
          <w:lang w:bidi="fa-IR"/>
        </w:rPr>
        <w:t>أ</w:t>
      </w:r>
      <w:r w:rsidRPr="00904FCB">
        <w:rPr>
          <w:rFonts w:ascii="Tahoma" w:hAnsi="Tahoma"/>
          <w:sz w:val="27"/>
          <w:rtl/>
          <w:lang w:bidi="fa-IR"/>
        </w:rPr>
        <w:t xml:space="preserve">حكام </w:t>
      </w:r>
      <w:r w:rsidR="002C312F" w:rsidRPr="00904FCB">
        <w:rPr>
          <w:rFonts w:ascii="Tahoma" w:hAnsi="Tahoma" w:hint="cs"/>
          <w:sz w:val="27"/>
          <w:rtl/>
          <w:lang w:bidi="fa-IR"/>
        </w:rPr>
        <w:t>أ</w:t>
      </w:r>
      <w:r w:rsidRPr="00904FCB">
        <w:rPr>
          <w:rFonts w:ascii="Tahoma" w:hAnsi="Tahoma"/>
          <w:sz w:val="27"/>
          <w:rtl/>
          <w:lang w:bidi="fa-IR"/>
        </w:rPr>
        <w:t>ن تكون عام</w:t>
      </w:r>
      <w:r w:rsidR="002C312F" w:rsidRPr="00904FCB">
        <w:rPr>
          <w:rFonts w:ascii="Tahoma" w:hAnsi="Tahoma" w:hint="cs"/>
          <w:sz w:val="27"/>
          <w:rtl/>
          <w:lang w:bidi="fa-IR"/>
        </w:rPr>
        <w:t>ّ</w:t>
      </w:r>
      <w:r w:rsidRPr="00904FCB">
        <w:rPr>
          <w:rFonts w:ascii="Tahoma" w:hAnsi="Tahoma"/>
          <w:sz w:val="27"/>
          <w:rtl/>
          <w:lang w:bidi="fa-IR"/>
        </w:rPr>
        <w:t>ة لكل</w:t>
      </w:r>
      <w:r w:rsidR="002C312F" w:rsidRPr="00904FCB">
        <w:rPr>
          <w:rFonts w:ascii="Tahoma" w:hAnsi="Tahoma" w:hint="cs"/>
          <w:sz w:val="27"/>
          <w:rtl/>
          <w:lang w:bidi="fa-IR"/>
        </w:rPr>
        <w:t>ّ</w:t>
      </w:r>
      <w:r w:rsidRPr="00904FCB">
        <w:rPr>
          <w:rFonts w:ascii="Tahoma" w:hAnsi="Tahoma"/>
          <w:sz w:val="27"/>
          <w:rtl/>
          <w:lang w:bidi="fa-IR"/>
        </w:rPr>
        <w:t xml:space="preserve"> التفصيلات الدقيقة</w:t>
      </w:r>
      <w:r w:rsidR="002C312F" w:rsidRPr="00904FCB">
        <w:rPr>
          <w:rFonts w:ascii="Tahoma" w:hAnsi="Tahoma" w:hint="cs"/>
          <w:sz w:val="27"/>
          <w:rtl/>
          <w:lang w:bidi="fa-IR"/>
        </w:rPr>
        <w:t>،</w:t>
      </w:r>
      <w:r w:rsidRPr="00904FCB">
        <w:rPr>
          <w:rFonts w:ascii="Tahoma" w:hAnsi="Tahoma"/>
          <w:sz w:val="27"/>
          <w:rtl/>
          <w:lang w:bidi="fa-IR"/>
        </w:rPr>
        <w:t xml:space="preserve"> </w:t>
      </w:r>
      <w:r w:rsidR="002C312F" w:rsidRPr="00904FCB">
        <w:rPr>
          <w:rFonts w:ascii="Tahoma" w:hAnsi="Tahoma" w:hint="cs"/>
          <w:sz w:val="27"/>
          <w:rtl/>
          <w:lang w:bidi="fa-IR"/>
        </w:rPr>
        <w:t>أ</w:t>
      </w:r>
      <w:r w:rsidRPr="00904FCB">
        <w:rPr>
          <w:rFonts w:ascii="Tahoma" w:hAnsi="Tahoma"/>
          <w:sz w:val="27"/>
          <w:rtl/>
          <w:lang w:bidi="fa-IR"/>
        </w:rPr>
        <w:t>و القضايا المندرجة</w:t>
      </w:r>
      <w:r w:rsidR="002C312F" w:rsidRPr="00904FCB">
        <w:rPr>
          <w:rFonts w:ascii="Tahoma" w:hAnsi="Tahoma" w:hint="cs"/>
          <w:sz w:val="27"/>
          <w:rtl/>
          <w:lang w:bidi="fa-IR"/>
        </w:rPr>
        <w:t>،</w:t>
      </w:r>
      <w:r w:rsidRPr="00904FCB">
        <w:rPr>
          <w:rFonts w:ascii="Tahoma" w:hAnsi="Tahoma"/>
          <w:sz w:val="27"/>
          <w:rtl/>
          <w:lang w:bidi="fa-IR"/>
        </w:rPr>
        <w:t xml:space="preserve"> المتشابه</w:t>
      </w:r>
      <w:r w:rsidR="002C312F" w:rsidRPr="00904FCB">
        <w:rPr>
          <w:rFonts w:ascii="Tahoma" w:hAnsi="Tahoma" w:hint="cs"/>
          <w:sz w:val="27"/>
          <w:rtl/>
          <w:lang w:bidi="fa-IR"/>
        </w:rPr>
        <w:t>ة</w:t>
      </w:r>
      <w:r w:rsidRPr="00904FCB">
        <w:rPr>
          <w:rFonts w:ascii="Tahoma" w:hAnsi="Tahoma"/>
          <w:sz w:val="27"/>
          <w:rtl/>
          <w:lang w:bidi="fa-IR"/>
        </w:rPr>
        <w:t xml:space="preserve"> ال</w:t>
      </w:r>
      <w:r w:rsidR="002C312F" w:rsidRPr="00904FCB">
        <w:rPr>
          <w:rFonts w:ascii="Tahoma" w:hAnsi="Tahoma" w:hint="cs"/>
          <w:sz w:val="27"/>
          <w:rtl/>
          <w:lang w:bidi="fa-IR"/>
        </w:rPr>
        <w:t>أ</w:t>
      </w:r>
      <w:r w:rsidRPr="00904FCB">
        <w:rPr>
          <w:rFonts w:ascii="Tahoma" w:hAnsi="Tahoma"/>
          <w:sz w:val="27"/>
          <w:rtl/>
          <w:lang w:bidi="fa-IR"/>
        </w:rPr>
        <w:t>غراض</w:t>
      </w:r>
      <w:r w:rsidR="002C312F" w:rsidRPr="00904FCB">
        <w:rPr>
          <w:rFonts w:ascii="Tahoma" w:hAnsi="Tahoma" w:hint="cs"/>
          <w:sz w:val="27"/>
          <w:rtl/>
          <w:lang w:bidi="fa-IR"/>
        </w:rPr>
        <w:t>،</w:t>
      </w:r>
      <w:r w:rsidRPr="00904FCB">
        <w:rPr>
          <w:rFonts w:ascii="Tahoma" w:hAnsi="Tahoma"/>
          <w:sz w:val="27"/>
          <w:rtl/>
          <w:lang w:bidi="fa-IR"/>
        </w:rPr>
        <w:t xml:space="preserve"> المختلفة الموضوع</w:t>
      </w:r>
      <w:r w:rsidR="002C312F" w:rsidRPr="00904FCB">
        <w:rPr>
          <w:rFonts w:ascii="Tahoma" w:hAnsi="Tahoma" w:hint="cs"/>
          <w:sz w:val="27"/>
          <w:rtl/>
          <w:lang w:bidi="fa-IR"/>
        </w:rPr>
        <w:t>،</w:t>
      </w:r>
      <w:r w:rsidRPr="00904FCB">
        <w:rPr>
          <w:rFonts w:ascii="Tahoma" w:hAnsi="Tahoma"/>
          <w:sz w:val="27"/>
          <w:rtl/>
          <w:lang w:bidi="fa-IR"/>
        </w:rPr>
        <w:t xml:space="preserve"> كقضية جواز شرب الخمر لم</w:t>
      </w:r>
      <w:r w:rsidR="002C312F" w:rsidRPr="00904FCB">
        <w:rPr>
          <w:rFonts w:ascii="Tahoma" w:hAnsi="Tahoma" w:hint="cs"/>
          <w:sz w:val="27"/>
          <w:rtl/>
          <w:lang w:bidi="fa-IR"/>
        </w:rPr>
        <w:t>َ</w:t>
      </w:r>
      <w:r w:rsidRPr="00904FCB">
        <w:rPr>
          <w:rFonts w:ascii="Tahoma" w:hAnsi="Tahoma"/>
          <w:sz w:val="27"/>
          <w:rtl/>
          <w:lang w:bidi="fa-IR"/>
        </w:rPr>
        <w:t>ن</w:t>
      </w:r>
      <w:r w:rsidR="002C312F" w:rsidRPr="00904FCB">
        <w:rPr>
          <w:rFonts w:ascii="Tahoma" w:hAnsi="Tahoma" w:hint="cs"/>
          <w:sz w:val="27"/>
          <w:rtl/>
          <w:lang w:bidi="fa-IR"/>
        </w:rPr>
        <w:t>ْ</w:t>
      </w:r>
      <w:r w:rsidRPr="00904FCB">
        <w:rPr>
          <w:rFonts w:ascii="Tahoma" w:hAnsi="Tahoma"/>
          <w:sz w:val="27"/>
          <w:rtl/>
          <w:lang w:bidi="fa-IR"/>
        </w:rPr>
        <w:t xml:space="preserve"> </w:t>
      </w:r>
      <w:r w:rsidR="002C312F" w:rsidRPr="00904FCB">
        <w:rPr>
          <w:rFonts w:ascii="Tahoma" w:hAnsi="Tahoma" w:hint="cs"/>
          <w:sz w:val="27"/>
          <w:rtl/>
          <w:lang w:bidi="fa-IR"/>
        </w:rPr>
        <w:t>أ</w:t>
      </w:r>
      <w:r w:rsidRPr="00904FCB">
        <w:rPr>
          <w:rFonts w:ascii="Tahoma" w:hAnsi="Tahoma"/>
          <w:sz w:val="27"/>
          <w:rtl/>
          <w:lang w:bidi="fa-IR"/>
        </w:rPr>
        <w:t>شرف على الهلاك ع</w:t>
      </w:r>
      <w:r w:rsidR="002C312F" w:rsidRPr="00904FCB">
        <w:rPr>
          <w:rFonts w:ascii="Tahoma" w:hAnsi="Tahoma" w:hint="cs"/>
          <w:sz w:val="27"/>
          <w:rtl/>
          <w:lang w:bidi="fa-IR"/>
        </w:rPr>
        <w:t>َ</w:t>
      </w:r>
      <w:r w:rsidRPr="00904FCB">
        <w:rPr>
          <w:rFonts w:ascii="Tahoma" w:hAnsi="Tahoma"/>
          <w:sz w:val="27"/>
          <w:rtl/>
          <w:lang w:bidi="fa-IR"/>
        </w:rPr>
        <w:t>ط</w:t>
      </w:r>
      <w:r w:rsidR="002C312F" w:rsidRPr="00904FCB">
        <w:rPr>
          <w:rFonts w:ascii="Tahoma" w:hAnsi="Tahoma" w:hint="cs"/>
          <w:sz w:val="27"/>
          <w:rtl/>
          <w:lang w:bidi="fa-IR"/>
        </w:rPr>
        <w:t>َ</w:t>
      </w:r>
      <w:r w:rsidRPr="00904FCB">
        <w:rPr>
          <w:rFonts w:ascii="Tahoma" w:hAnsi="Tahoma"/>
          <w:sz w:val="27"/>
          <w:rtl/>
          <w:lang w:bidi="fa-IR"/>
        </w:rPr>
        <w:t>شاً ولم يج</w:t>
      </w:r>
      <w:r w:rsidR="002C312F" w:rsidRPr="00904FCB">
        <w:rPr>
          <w:rFonts w:ascii="Tahoma" w:hAnsi="Tahoma" w:hint="cs"/>
          <w:sz w:val="27"/>
          <w:rtl/>
          <w:lang w:bidi="fa-IR"/>
        </w:rPr>
        <w:t>ِ</w:t>
      </w:r>
      <w:r w:rsidRPr="00904FCB">
        <w:rPr>
          <w:rFonts w:ascii="Tahoma" w:hAnsi="Tahoma"/>
          <w:sz w:val="27"/>
          <w:rtl/>
          <w:lang w:bidi="fa-IR"/>
        </w:rPr>
        <w:t>د</w:t>
      </w:r>
      <w:r w:rsidR="002C312F" w:rsidRPr="00904FCB">
        <w:rPr>
          <w:rFonts w:ascii="Tahoma" w:hAnsi="Tahoma" w:hint="cs"/>
          <w:sz w:val="27"/>
          <w:rtl/>
          <w:lang w:bidi="fa-IR"/>
        </w:rPr>
        <w:t>ْ</w:t>
      </w:r>
      <w:r w:rsidRPr="00904FCB">
        <w:rPr>
          <w:rFonts w:ascii="Tahoma" w:hAnsi="Tahoma"/>
          <w:sz w:val="27"/>
          <w:rtl/>
          <w:lang w:bidi="fa-IR"/>
        </w:rPr>
        <w:t xml:space="preserve"> سوى الخمر، وعدم جواز تناوله لم</w:t>
      </w:r>
      <w:r w:rsidR="002C312F" w:rsidRPr="00904FCB">
        <w:rPr>
          <w:rFonts w:ascii="Tahoma" w:hAnsi="Tahoma" w:hint="cs"/>
          <w:sz w:val="27"/>
          <w:rtl/>
          <w:lang w:bidi="fa-IR"/>
        </w:rPr>
        <w:t>َ</w:t>
      </w:r>
      <w:r w:rsidRPr="00904FCB">
        <w:rPr>
          <w:rFonts w:ascii="Tahoma" w:hAnsi="Tahoma"/>
          <w:sz w:val="27"/>
          <w:rtl/>
          <w:lang w:bidi="fa-IR"/>
        </w:rPr>
        <w:t>ن</w:t>
      </w:r>
      <w:r w:rsidR="002C312F" w:rsidRPr="00904FCB">
        <w:rPr>
          <w:rFonts w:ascii="Tahoma" w:hAnsi="Tahoma" w:hint="cs"/>
          <w:sz w:val="27"/>
          <w:rtl/>
          <w:lang w:bidi="fa-IR"/>
        </w:rPr>
        <w:t>ْ</w:t>
      </w:r>
      <w:r w:rsidRPr="00904FCB">
        <w:rPr>
          <w:rFonts w:ascii="Tahoma" w:hAnsi="Tahoma"/>
          <w:sz w:val="27"/>
          <w:rtl/>
          <w:lang w:bidi="fa-IR"/>
        </w:rPr>
        <w:t xml:space="preserve"> </w:t>
      </w:r>
      <w:r w:rsidR="002C312F" w:rsidRPr="00904FCB">
        <w:rPr>
          <w:rFonts w:ascii="Tahoma" w:hAnsi="Tahoma" w:hint="cs"/>
          <w:sz w:val="27"/>
          <w:rtl/>
          <w:lang w:bidi="fa-IR"/>
        </w:rPr>
        <w:t>أ</w:t>
      </w:r>
      <w:r w:rsidRPr="00904FCB">
        <w:rPr>
          <w:rFonts w:ascii="Tahoma" w:hAnsi="Tahoma"/>
          <w:sz w:val="27"/>
          <w:rtl/>
          <w:lang w:bidi="fa-IR"/>
        </w:rPr>
        <w:t>شرف على الهلاك</w:t>
      </w:r>
      <w:r w:rsidR="002C312F" w:rsidRPr="00904FCB">
        <w:rPr>
          <w:rFonts w:ascii="Tahoma" w:hAnsi="Tahoma" w:hint="cs"/>
          <w:sz w:val="27"/>
          <w:rtl/>
          <w:lang w:bidi="fa-IR"/>
        </w:rPr>
        <w:t>؛</w:t>
      </w:r>
      <w:r w:rsidRPr="00904FCB">
        <w:rPr>
          <w:rFonts w:ascii="Tahoma" w:hAnsi="Tahoma"/>
          <w:sz w:val="27"/>
          <w:rtl/>
          <w:lang w:bidi="fa-IR"/>
        </w:rPr>
        <w:t xml:space="preserve"> بسبب مرض</w:t>
      </w:r>
      <w:r w:rsidR="002C312F" w:rsidRPr="00904FCB">
        <w:rPr>
          <w:rFonts w:ascii="Tahoma" w:hAnsi="Tahoma" w:hint="cs"/>
          <w:sz w:val="27"/>
          <w:rtl/>
          <w:lang w:bidi="fa-IR"/>
        </w:rPr>
        <w:t>ٍ</w:t>
      </w:r>
      <w:r w:rsidRPr="00904FCB">
        <w:rPr>
          <w:rFonts w:ascii="Tahoma" w:hAnsi="Tahoma"/>
          <w:sz w:val="27"/>
          <w:rtl/>
          <w:lang w:bidi="fa-IR"/>
        </w:rPr>
        <w:t xml:space="preserve"> لاعلاج له </w:t>
      </w:r>
      <w:r w:rsidR="002C312F" w:rsidRPr="00904FCB">
        <w:rPr>
          <w:rFonts w:ascii="Tahoma" w:hAnsi="Tahoma" w:hint="cs"/>
          <w:sz w:val="27"/>
          <w:rtl/>
          <w:lang w:bidi="fa-IR"/>
        </w:rPr>
        <w:t>إ</w:t>
      </w:r>
      <w:r w:rsidRPr="00904FCB">
        <w:rPr>
          <w:rFonts w:ascii="Tahoma" w:hAnsi="Tahoma"/>
          <w:sz w:val="27"/>
          <w:rtl/>
          <w:lang w:bidi="fa-IR"/>
        </w:rPr>
        <w:t>لا</w:t>
      </w:r>
      <w:r w:rsidR="002C312F" w:rsidRPr="00904FCB">
        <w:rPr>
          <w:rFonts w:ascii="Tahoma" w:hAnsi="Tahoma" w:hint="cs"/>
          <w:sz w:val="27"/>
          <w:rtl/>
          <w:lang w:bidi="fa-IR"/>
        </w:rPr>
        <w:t>ّ</w:t>
      </w:r>
      <w:r w:rsidRPr="00904FCB">
        <w:rPr>
          <w:rFonts w:ascii="Tahoma" w:hAnsi="Tahoma"/>
          <w:sz w:val="27"/>
          <w:rtl/>
          <w:lang w:bidi="fa-IR"/>
        </w:rPr>
        <w:t xml:space="preserve"> بالخمر</w:t>
      </w:r>
      <w:r w:rsidR="002C312F" w:rsidRPr="00904FCB">
        <w:rPr>
          <w:rFonts w:ascii="Tahoma" w:hAnsi="Tahoma" w:hint="cs"/>
          <w:sz w:val="27"/>
          <w:rtl/>
          <w:lang w:bidi="fa-IR"/>
        </w:rPr>
        <w:t xml:space="preserve">؛ </w:t>
      </w:r>
      <w:r w:rsidRPr="00904FCB">
        <w:rPr>
          <w:rFonts w:ascii="Tahoma" w:hAnsi="Tahoma"/>
          <w:sz w:val="27"/>
          <w:rtl/>
          <w:lang w:bidi="fa-IR"/>
        </w:rPr>
        <w:t>ل</w:t>
      </w:r>
      <w:r w:rsidR="002C312F" w:rsidRPr="00904FCB">
        <w:rPr>
          <w:rFonts w:ascii="Tahoma" w:hAnsi="Tahoma" w:hint="cs"/>
          <w:sz w:val="27"/>
          <w:rtl/>
          <w:lang w:bidi="fa-IR"/>
        </w:rPr>
        <w:t>أ</w:t>
      </w:r>
      <w:r w:rsidRPr="00904FCB">
        <w:rPr>
          <w:rFonts w:ascii="Tahoma" w:hAnsi="Tahoma"/>
          <w:sz w:val="27"/>
          <w:rtl/>
          <w:lang w:bidi="fa-IR"/>
        </w:rPr>
        <w:t>ن دليل ال</w:t>
      </w:r>
      <w:r w:rsidR="002C312F" w:rsidRPr="00904FCB">
        <w:rPr>
          <w:rFonts w:ascii="Tahoma" w:hAnsi="Tahoma" w:hint="cs"/>
          <w:sz w:val="27"/>
          <w:rtl/>
          <w:lang w:bidi="fa-IR"/>
        </w:rPr>
        <w:t>أ</w:t>
      </w:r>
      <w:r w:rsidRPr="00904FCB">
        <w:rPr>
          <w:rFonts w:ascii="Tahoma" w:hAnsi="Tahoma"/>
          <w:sz w:val="27"/>
          <w:rtl/>
          <w:lang w:bidi="fa-IR"/>
        </w:rPr>
        <w:t>ولى قاعدة «الضرورات تبيح المحظورات»</w:t>
      </w:r>
      <w:r w:rsidR="002C312F" w:rsidRPr="00904FCB">
        <w:rPr>
          <w:rFonts w:ascii="Tahoma" w:hAnsi="Tahoma" w:hint="cs"/>
          <w:sz w:val="27"/>
          <w:rtl/>
          <w:lang w:bidi="fa-IR"/>
        </w:rPr>
        <w:t>،</w:t>
      </w:r>
      <w:r w:rsidRPr="00904FCB">
        <w:rPr>
          <w:rFonts w:ascii="Tahoma" w:hAnsi="Tahoma"/>
          <w:sz w:val="27"/>
          <w:rtl/>
          <w:lang w:bidi="fa-IR"/>
        </w:rPr>
        <w:t xml:space="preserve"> ودليل ال</w:t>
      </w:r>
      <w:r w:rsidR="002C312F" w:rsidRPr="00904FCB">
        <w:rPr>
          <w:rFonts w:ascii="Tahoma" w:hAnsi="Tahoma" w:hint="cs"/>
          <w:sz w:val="27"/>
          <w:rtl/>
          <w:lang w:bidi="fa-IR"/>
        </w:rPr>
        <w:t>أ</w:t>
      </w:r>
      <w:r w:rsidRPr="00904FCB">
        <w:rPr>
          <w:rFonts w:ascii="Tahoma" w:hAnsi="Tahoma"/>
          <w:sz w:val="27"/>
          <w:rtl/>
          <w:lang w:bidi="fa-IR"/>
        </w:rPr>
        <w:t>خرى قوله</w:t>
      </w:r>
      <w:r w:rsidR="00635E51" w:rsidRPr="00904FCB">
        <w:rPr>
          <w:rFonts w:ascii="Tahoma" w:hAnsi="Tahoma" w:cs="Mosawi"/>
          <w:sz w:val="27"/>
          <w:szCs w:val="22"/>
          <w:rtl/>
          <w:lang w:bidi="fa-IR"/>
        </w:rPr>
        <w:t>|</w:t>
      </w:r>
      <w:r w:rsidRPr="00904FCB">
        <w:rPr>
          <w:rFonts w:ascii="Tahoma" w:hAnsi="Tahoma"/>
          <w:sz w:val="27"/>
          <w:rtl/>
          <w:lang w:bidi="fa-IR"/>
        </w:rPr>
        <w:t>: «م</w:t>
      </w:r>
      <w:r w:rsidR="002C312F" w:rsidRPr="00904FCB">
        <w:rPr>
          <w:rFonts w:ascii="Tahoma" w:hAnsi="Tahoma" w:hint="cs"/>
          <w:sz w:val="27"/>
          <w:rtl/>
          <w:lang w:bidi="fa-IR"/>
        </w:rPr>
        <w:t>َ</w:t>
      </w:r>
      <w:r w:rsidRPr="00904FCB">
        <w:rPr>
          <w:rFonts w:ascii="Tahoma" w:hAnsi="Tahoma"/>
          <w:sz w:val="27"/>
          <w:rtl/>
          <w:lang w:bidi="fa-IR"/>
        </w:rPr>
        <w:t>ن</w:t>
      </w:r>
      <w:r w:rsidR="002C312F" w:rsidRPr="00904FCB">
        <w:rPr>
          <w:rFonts w:ascii="Tahoma" w:hAnsi="Tahoma" w:hint="cs"/>
          <w:sz w:val="27"/>
          <w:rtl/>
          <w:lang w:bidi="fa-IR"/>
        </w:rPr>
        <w:t>ْ</w:t>
      </w:r>
      <w:r w:rsidRPr="00904FCB">
        <w:rPr>
          <w:rFonts w:ascii="Tahoma" w:hAnsi="Tahoma"/>
          <w:sz w:val="27"/>
          <w:rtl/>
          <w:lang w:bidi="fa-IR"/>
        </w:rPr>
        <w:t xml:space="preserve"> لم تن</w:t>
      </w:r>
      <w:r w:rsidR="002C312F" w:rsidRPr="00904FCB">
        <w:rPr>
          <w:rFonts w:ascii="Tahoma" w:hAnsi="Tahoma" w:hint="cs"/>
          <w:sz w:val="27"/>
          <w:rtl/>
          <w:lang w:bidi="fa-IR"/>
        </w:rPr>
        <w:t>ْ</w:t>
      </w:r>
      <w:r w:rsidRPr="00904FCB">
        <w:rPr>
          <w:rFonts w:ascii="Tahoma" w:hAnsi="Tahoma"/>
          <w:sz w:val="27"/>
          <w:rtl/>
          <w:lang w:bidi="fa-IR"/>
        </w:rPr>
        <w:t>ه</w:t>
      </w:r>
      <w:r w:rsidR="002C312F" w:rsidRPr="00904FCB">
        <w:rPr>
          <w:rFonts w:ascii="Tahoma" w:hAnsi="Tahoma" w:hint="cs"/>
          <w:sz w:val="27"/>
          <w:rtl/>
          <w:lang w:bidi="fa-IR"/>
        </w:rPr>
        <w:t>َ</w:t>
      </w:r>
      <w:r w:rsidRPr="00904FCB">
        <w:rPr>
          <w:rFonts w:ascii="Tahoma" w:hAnsi="Tahoma"/>
          <w:sz w:val="27"/>
          <w:rtl/>
          <w:lang w:bidi="fa-IR"/>
        </w:rPr>
        <w:t>هُ صلاته عن منكره لم يزد</w:t>
      </w:r>
      <w:r w:rsidR="002C312F" w:rsidRPr="00904FCB">
        <w:rPr>
          <w:rFonts w:ascii="Tahoma" w:hAnsi="Tahoma" w:hint="cs"/>
          <w:sz w:val="27"/>
          <w:rtl/>
          <w:lang w:bidi="fa-IR"/>
        </w:rPr>
        <w:t>َ</w:t>
      </w:r>
      <w:r w:rsidRPr="00904FCB">
        <w:rPr>
          <w:rFonts w:ascii="Tahoma" w:hAnsi="Tahoma"/>
          <w:sz w:val="27"/>
          <w:rtl/>
          <w:lang w:bidi="fa-IR"/>
        </w:rPr>
        <w:t>د</w:t>
      </w:r>
      <w:r w:rsidR="002C312F" w:rsidRPr="00904FCB">
        <w:rPr>
          <w:rFonts w:ascii="Tahoma" w:hAnsi="Tahoma" w:hint="cs"/>
          <w:sz w:val="27"/>
          <w:rtl/>
          <w:lang w:bidi="fa-IR"/>
        </w:rPr>
        <w:t>ْ</w:t>
      </w:r>
      <w:r w:rsidRPr="00904FCB">
        <w:rPr>
          <w:rFonts w:ascii="Tahoma" w:hAnsi="Tahoma"/>
          <w:sz w:val="27"/>
          <w:rtl/>
          <w:lang w:bidi="fa-IR"/>
        </w:rPr>
        <w:t xml:space="preserve"> من الله </w:t>
      </w:r>
      <w:r w:rsidR="002C312F" w:rsidRPr="00904FCB">
        <w:rPr>
          <w:rFonts w:ascii="Tahoma" w:hAnsi="Tahoma" w:hint="cs"/>
          <w:sz w:val="27"/>
          <w:rtl/>
          <w:lang w:bidi="fa-IR"/>
        </w:rPr>
        <w:t>إ</w:t>
      </w:r>
      <w:r w:rsidRPr="00904FCB">
        <w:rPr>
          <w:rFonts w:ascii="Tahoma" w:hAnsi="Tahoma"/>
          <w:sz w:val="27"/>
          <w:rtl/>
          <w:lang w:bidi="fa-IR"/>
        </w:rPr>
        <w:t>لا</w:t>
      </w:r>
      <w:r w:rsidR="002C312F" w:rsidRPr="00904FCB">
        <w:rPr>
          <w:rFonts w:ascii="Tahoma" w:hAnsi="Tahoma" w:hint="cs"/>
          <w:sz w:val="27"/>
          <w:rtl/>
          <w:lang w:bidi="fa-IR"/>
        </w:rPr>
        <w:t>ّ</w:t>
      </w:r>
      <w:r w:rsidRPr="00904FCB">
        <w:rPr>
          <w:rFonts w:ascii="Tahoma" w:hAnsi="Tahoma"/>
          <w:sz w:val="27"/>
          <w:rtl/>
          <w:lang w:bidi="fa-IR"/>
        </w:rPr>
        <w:t xml:space="preserve"> ب</w:t>
      </w:r>
      <w:r w:rsidR="002C312F" w:rsidRPr="00904FCB">
        <w:rPr>
          <w:rFonts w:ascii="Tahoma" w:hAnsi="Tahoma" w:hint="cs"/>
          <w:sz w:val="27"/>
          <w:rtl/>
          <w:lang w:bidi="fa-IR"/>
        </w:rPr>
        <w:t>ُ</w:t>
      </w:r>
      <w:r w:rsidRPr="00904FCB">
        <w:rPr>
          <w:rFonts w:ascii="Tahoma" w:hAnsi="Tahoma"/>
          <w:sz w:val="27"/>
          <w:rtl/>
          <w:lang w:bidi="fa-IR"/>
        </w:rPr>
        <w:t>ع</w:t>
      </w:r>
      <w:r w:rsidR="002C312F" w:rsidRPr="00904FCB">
        <w:rPr>
          <w:rFonts w:ascii="Tahoma" w:hAnsi="Tahoma" w:hint="cs"/>
          <w:sz w:val="27"/>
          <w:rtl/>
          <w:lang w:bidi="fa-IR"/>
        </w:rPr>
        <w:t>ْ</w:t>
      </w:r>
      <w:r w:rsidRPr="00904FCB">
        <w:rPr>
          <w:rFonts w:ascii="Tahoma" w:hAnsi="Tahoma"/>
          <w:sz w:val="27"/>
          <w:rtl/>
          <w:lang w:bidi="fa-IR"/>
        </w:rPr>
        <w:t>دا</w:t>
      </w:r>
      <w:r w:rsidR="002C312F" w:rsidRPr="00904FCB">
        <w:rPr>
          <w:rFonts w:ascii="Tahoma" w:hAnsi="Tahoma" w:hint="cs"/>
          <w:sz w:val="27"/>
          <w:rtl/>
          <w:lang w:bidi="fa-IR"/>
        </w:rPr>
        <w:t>ً</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ف</w:t>
      </w:r>
      <w:r w:rsidR="002C312F" w:rsidRPr="00904FCB">
        <w:rPr>
          <w:rFonts w:ascii="Tahoma" w:hAnsi="Tahoma" w:hint="cs"/>
          <w:sz w:val="27"/>
          <w:rtl/>
          <w:lang w:bidi="fa-IR"/>
        </w:rPr>
        <w:t>إ</w:t>
      </w:r>
      <w:r w:rsidRPr="00904FCB">
        <w:rPr>
          <w:rFonts w:ascii="Tahoma" w:hAnsi="Tahoma"/>
          <w:sz w:val="27"/>
          <w:rtl/>
          <w:lang w:bidi="fa-IR"/>
        </w:rPr>
        <w:t xml:space="preserve">ذا </w:t>
      </w:r>
      <w:r w:rsidR="002C312F" w:rsidRPr="00904FCB">
        <w:rPr>
          <w:rFonts w:ascii="Tahoma" w:hAnsi="Tahoma" w:hint="cs"/>
          <w:sz w:val="27"/>
          <w:rtl/>
          <w:lang w:bidi="fa-IR"/>
        </w:rPr>
        <w:t>أ</w:t>
      </w:r>
      <w:r w:rsidRPr="00904FCB">
        <w:rPr>
          <w:rFonts w:ascii="Tahoma" w:hAnsi="Tahoma"/>
          <w:sz w:val="27"/>
          <w:rtl/>
          <w:lang w:bidi="fa-IR"/>
        </w:rPr>
        <w:t>ج</w:t>
      </w:r>
      <w:r w:rsidR="002C312F" w:rsidRPr="00904FCB">
        <w:rPr>
          <w:rFonts w:ascii="Tahoma" w:hAnsi="Tahoma" w:hint="cs"/>
          <w:sz w:val="27"/>
          <w:rtl/>
          <w:lang w:bidi="fa-IR"/>
        </w:rPr>
        <w:t>َ</w:t>
      </w:r>
      <w:r w:rsidRPr="00904FCB">
        <w:rPr>
          <w:rFonts w:ascii="Tahoma" w:hAnsi="Tahoma"/>
          <w:sz w:val="27"/>
          <w:rtl/>
          <w:lang w:bidi="fa-IR"/>
        </w:rPr>
        <w:t>ب</w:t>
      </w:r>
      <w:r w:rsidR="002C312F" w:rsidRPr="00904FCB">
        <w:rPr>
          <w:rFonts w:ascii="Tahoma" w:hAnsi="Tahoma" w:hint="cs"/>
          <w:sz w:val="27"/>
          <w:rtl/>
          <w:lang w:bidi="fa-IR"/>
        </w:rPr>
        <w:t>ْ</w:t>
      </w:r>
      <w:r w:rsidRPr="00904FCB">
        <w:rPr>
          <w:rFonts w:ascii="Tahoma" w:hAnsi="Tahoma"/>
          <w:sz w:val="27"/>
          <w:rtl/>
          <w:lang w:bidi="fa-IR"/>
        </w:rPr>
        <w:t>نا عن استثناء القضية الثانية ب</w:t>
      </w:r>
      <w:r w:rsidR="002C312F" w:rsidRPr="00904FCB">
        <w:rPr>
          <w:rFonts w:ascii="Tahoma" w:hAnsi="Tahoma" w:hint="cs"/>
          <w:sz w:val="27"/>
          <w:rtl/>
          <w:lang w:bidi="fa-IR"/>
        </w:rPr>
        <w:t>أ</w:t>
      </w:r>
      <w:r w:rsidRPr="00904FCB">
        <w:rPr>
          <w:rFonts w:ascii="Tahoma" w:hAnsi="Tahoma"/>
          <w:sz w:val="27"/>
          <w:rtl/>
          <w:lang w:bidi="fa-IR"/>
        </w:rPr>
        <w:t>ن قاعدة الضرورات تبيح المح</w:t>
      </w:r>
      <w:r w:rsidR="002C312F" w:rsidRPr="00904FCB">
        <w:rPr>
          <w:rFonts w:ascii="Tahoma" w:hAnsi="Tahoma" w:hint="cs"/>
          <w:sz w:val="27"/>
          <w:rtl/>
          <w:lang w:bidi="fa-IR"/>
        </w:rPr>
        <w:t>ظ</w:t>
      </w:r>
      <w:r w:rsidRPr="00904FCB">
        <w:rPr>
          <w:rFonts w:ascii="Tahoma" w:hAnsi="Tahoma"/>
          <w:sz w:val="27"/>
          <w:rtl/>
          <w:lang w:bidi="fa-IR"/>
        </w:rPr>
        <w:t>ورات عام</w:t>
      </w:r>
      <w:r w:rsidR="002C312F" w:rsidRPr="00904FCB">
        <w:rPr>
          <w:rFonts w:ascii="Tahoma" w:hAnsi="Tahoma" w:hint="cs"/>
          <w:sz w:val="27"/>
          <w:rtl/>
          <w:lang w:bidi="fa-IR"/>
        </w:rPr>
        <w:t>ّ</w:t>
      </w:r>
      <w:r w:rsidRPr="00904FCB">
        <w:rPr>
          <w:rFonts w:ascii="Tahoma" w:hAnsi="Tahoma"/>
          <w:sz w:val="27"/>
          <w:rtl/>
          <w:lang w:bidi="fa-IR"/>
        </w:rPr>
        <w:t>ة، ولكل</w:t>
      </w:r>
      <w:r w:rsidR="002C312F" w:rsidRPr="00904FCB">
        <w:rPr>
          <w:rFonts w:ascii="Tahoma" w:hAnsi="Tahoma" w:hint="cs"/>
          <w:sz w:val="27"/>
          <w:rtl/>
          <w:lang w:bidi="fa-IR"/>
        </w:rPr>
        <w:t>ّ</w:t>
      </w:r>
      <w:r w:rsidRPr="00904FCB">
        <w:rPr>
          <w:rFonts w:ascii="Tahoma" w:hAnsi="Tahoma"/>
          <w:sz w:val="27"/>
          <w:rtl/>
          <w:lang w:bidi="fa-IR"/>
        </w:rPr>
        <w:t xml:space="preserve"> قاعدة عام</w:t>
      </w:r>
      <w:r w:rsidR="002C312F" w:rsidRPr="00904FCB">
        <w:rPr>
          <w:rFonts w:ascii="Tahoma" w:hAnsi="Tahoma" w:hint="cs"/>
          <w:sz w:val="27"/>
          <w:rtl/>
          <w:lang w:bidi="fa-IR"/>
        </w:rPr>
        <w:t>ّ</w:t>
      </w:r>
      <w:r w:rsidRPr="00904FCB">
        <w:rPr>
          <w:rFonts w:ascii="Tahoma" w:hAnsi="Tahoma"/>
          <w:sz w:val="27"/>
          <w:rtl/>
          <w:lang w:bidi="fa-IR"/>
        </w:rPr>
        <w:t>ة لا</w:t>
      </w:r>
      <w:r w:rsidR="002C312F" w:rsidRPr="00904FCB">
        <w:rPr>
          <w:rFonts w:ascii="Tahoma" w:hAnsi="Tahoma" w:hint="cs"/>
          <w:sz w:val="27"/>
          <w:rtl/>
          <w:lang w:bidi="fa-IR"/>
        </w:rPr>
        <w:t xml:space="preserve"> </w:t>
      </w:r>
      <w:r w:rsidRPr="00904FCB">
        <w:rPr>
          <w:rFonts w:ascii="Tahoma" w:hAnsi="Tahoma"/>
          <w:sz w:val="27"/>
          <w:rtl/>
          <w:lang w:bidi="fa-IR"/>
        </w:rPr>
        <w:t>ب</w:t>
      </w:r>
      <w:r w:rsidR="002C312F" w:rsidRPr="00904FCB">
        <w:rPr>
          <w:rFonts w:ascii="Tahoma" w:hAnsi="Tahoma" w:hint="cs"/>
          <w:sz w:val="27"/>
          <w:rtl/>
          <w:lang w:bidi="fa-IR"/>
        </w:rPr>
        <w:t>ُ</w:t>
      </w:r>
      <w:r w:rsidRPr="00904FCB">
        <w:rPr>
          <w:rFonts w:ascii="Tahoma" w:hAnsi="Tahoma"/>
          <w:sz w:val="27"/>
          <w:rtl/>
          <w:lang w:bidi="fa-IR"/>
        </w:rPr>
        <w:t>د</w:t>
      </w:r>
      <w:r w:rsidR="002C312F" w:rsidRPr="00904FCB">
        <w:rPr>
          <w:rFonts w:ascii="Tahoma" w:hAnsi="Tahoma" w:hint="cs"/>
          <w:sz w:val="27"/>
          <w:rtl/>
          <w:lang w:bidi="fa-IR"/>
        </w:rPr>
        <w:t>َّ</w:t>
      </w:r>
      <w:r w:rsidRPr="00904FCB">
        <w:rPr>
          <w:rFonts w:ascii="Tahoma" w:hAnsi="Tahoma"/>
          <w:sz w:val="27"/>
          <w:rtl/>
          <w:lang w:bidi="fa-IR"/>
        </w:rPr>
        <w:t xml:space="preserve"> من خاص</w:t>
      </w:r>
      <w:r w:rsidR="002C312F" w:rsidRPr="00904FCB">
        <w:rPr>
          <w:rFonts w:ascii="Tahoma" w:hAnsi="Tahoma" w:hint="cs"/>
          <w:sz w:val="27"/>
          <w:rtl/>
          <w:lang w:bidi="fa-IR"/>
        </w:rPr>
        <w:t>ّ</w:t>
      </w:r>
      <w:r w:rsidRPr="00904FCB">
        <w:rPr>
          <w:rFonts w:ascii="Tahoma" w:hAnsi="Tahoma"/>
          <w:sz w:val="27"/>
          <w:rtl/>
          <w:lang w:bidi="fa-IR"/>
        </w:rPr>
        <w:t xml:space="preserve">، والقضية الثانية هي </w:t>
      </w:r>
      <w:r w:rsidR="002C312F" w:rsidRPr="00904FCB">
        <w:rPr>
          <w:rFonts w:ascii="Tahoma" w:hAnsi="Tahoma" w:hint="cs"/>
          <w:sz w:val="27"/>
          <w:rtl/>
          <w:lang w:bidi="fa-IR"/>
        </w:rPr>
        <w:t>إ</w:t>
      </w:r>
      <w:r w:rsidRPr="00904FCB">
        <w:rPr>
          <w:rFonts w:ascii="Tahoma" w:hAnsi="Tahoma"/>
          <w:sz w:val="27"/>
          <w:rtl/>
          <w:lang w:bidi="fa-IR"/>
        </w:rPr>
        <w:t>حدى المخص</w:t>
      </w:r>
      <w:r w:rsidR="002C312F" w:rsidRPr="00904FCB">
        <w:rPr>
          <w:rFonts w:ascii="Tahoma" w:hAnsi="Tahoma" w:hint="cs"/>
          <w:sz w:val="27"/>
          <w:rtl/>
          <w:lang w:bidi="fa-IR"/>
        </w:rPr>
        <w:t>ِّ</w:t>
      </w:r>
      <w:r w:rsidRPr="00904FCB">
        <w:rPr>
          <w:rFonts w:ascii="Tahoma" w:hAnsi="Tahoma"/>
          <w:sz w:val="27"/>
          <w:rtl/>
          <w:lang w:bidi="fa-IR"/>
        </w:rPr>
        <w:t xml:space="preserve">صات، يقال: </w:t>
      </w:r>
      <w:r w:rsidR="002C312F" w:rsidRPr="00904FCB">
        <w:rPr>
          <w:rFonts w:ascii="Tahoma" w:hAnsi="Tahoma" w:hint="cs"/>
          <w:sz w:val="27"/>
          <w:rtl/>
          <w:lang w:bidi="fa-IR"/>
        </w:rPr>
        <w:t>إ</w:t>
      </w:r>
      <w:r w:rsidRPr="00904FCB">
        <w:rPr>
          <w:rFonts w:ascii="Tahoma" w:hAnsi="Tahoma"/>
          <w:sz w:val="27"/>
          <w:rtl/>
          <w:lang w:bidi="fa-IR"/>
        </w:rPr>
        <w:t>ن الحديث المروي</w:t>
      </w:r>
      <w:r w:rsidR="002C312F" w:rsidRPr="00904FCB">
        <w:rPr>
          <w:rFonts w:ascii="Tahoma" w:hAnsi="Tahoma" w:hint="cs"/>
          <w:sz w:val="27"/>
          <w:rtl/>
          <w:lang w:bidi="fa-IR"/>
        </w:rPr>
        <w:t>ّ</w:t>
      </w:r>
      <w:r w:rsidRPr="00904FCB">
        <w:rPr>
          <w:rFonts w:ascii="Tahoma" w:hAnsi="Tahoma"/>
          <w:sz w:val="27"/>
          <w:rtl/>
          <w:lang w:bidi="fa-IR"/>
        </w:rPr>
        <w:t xml:space="preserve"> عن الرسول</w:t>
      </w:r>
      <w:r w:rsidR="00635E51" w:rsidRPr="00904FCB">
        <w:rPr>
          <w:rFonts w:ascii="Tahoma" w:hAnsi="Tahoma" w:cs="Mosawi"/>
          <w:sz w:val="27"/>
          <w:szCs w:val="22"/>
          <w:rtl/>
          <w:lang w:bidi="fa-IR"/>
        </w:rPr>
        <w:t>|</w:t>
      </w:r>
      <w:r w:rsidRPr="00904FCB">
        <w:rPr>
          <w:rFonts w:ascii="Tahoma" w:hAnsi="Tahoma"/>
          <w:sz w:val="27"/>
          <w:rtl/>
          <w:lang w:bidi="fa-IR"/>
        </w:rPr>
        <w:t xml:space="preserve"> </w:t>
      </w:r>
      <w:r w:rsidR="002C312F" w:rsidRPr="00904FCB">
        <w:rPr>
          <w:rFonts w:ascii="Tahoma" w:hAnsi="Tahoma" w:hint="cs"/>
          <w:sz w:val="27"/>
          <w:rtl/>
          <w:lang w:bidi="fa-IR"/>
        </w:rPr>
        <w:t>أ</w:t>
      </w:r>
      <w:r w:rsidRPr="00904FCB">
        <w:rPr>
          <w:rFonts w:ascii="Tahoma" w:hAnsi="Tahoma"/>
          <w:sz w:val="27"/>
          <w:rtl/>
          <w:lang w:bidi="fa-IR"/>
        </w:rPr>
        <w:t>يضاً يعطينا قاعدة</w:t>
      </w:r>
      <w:r w:rsidR="002C312F" w:rsidRPr="00904FCB">
        <w:rPr>
          <w:rFonts w:ascii="Tahoma" w:hAnsi="Tahoma" w:hint="cs"/>
          <w:sz w:val="27"/>
          <w:rtl/>
          <w:lang w:bidi="fa-IR"/>
        </w:rPr>
        <w:t>ً</w:t>
      </w:r>
      <w:r w:rsidRPr="00904FCB">
        <w:rPr>
          <w:rFonts w:ascii="Tahoma" w:hAnsi="Tahoma"/>
          <w:sz w:val="27"/>
          <w:rtl/>
          <w:lang w:bidi="fa-IR"/>
        </w:rPr>
        <w:t xml:space="preserve"> عام</w:t>
      </w:r>
      <w:r w:rsidR="002C312F" w:rsidRPr="00904FCB">
        <w:rPr>
          <w:rFonts w:ascii="Tahoma" w:hAnsi="Tahoma" w:hint="cs"/>
          <w:sz w:val="27"/>
          <w:rtl/>
          <w:lang w:bidi="fa-IR"/>
        </w:rPr>
        <w:t>ّ</w:t>
      </w:r>
      <w:r w:rsidRPr="00904FCB">
        <w:rPr>
          <w:rFonts w:ascii="Tahoma" w:hAnsi="Tahoma"/>
          <w:sz w:val="27"/>
          <w:rtl/>
          <w:lang w:bidi="fa-IR"/>
        </w:rPr>
        <w:t xml:space="preserve">ة، </w:t>
      </w:r>
      <w:r w:rsidR="002C312F" w:rsidRPr="00904FCB">
        <w:rPr>
          <w:rFonts w:ascii="Tahoma" w:hAnsi="Tahoma" w:hint="cs"/>
          <w:sz w:val="27"/>
          <w:rtl/>
          <w:lang w:bidi="fa-IR"/>
        </w:rPr>
        <w:t>أ</w:t>
      </w:r>
      <w:r w:rsidRPr="00904FCB">
        <w:rPr>
          <w:rFonts w:ascii="Tahoma" w:hAnsi="Tahoma"/>
          <w:sz w:val="27"/>
          <w:rtl/>
          <w:lang w:bidi="fa-IR"/>
        </w:rPr>
        <w:t>لا من تخصيص له...</w:t>
      </w:r>
      <w:r w:rsidR="002C312F" w:rsidRPr="00904FCB">
        <w:rPr>
          <w:rFonts w:ascii="Tahoma" w:hAnsi="Tahoma" w:hint="cs"/>
          <w:sz w:val="27"/>
          <w:rtl/>
          <w:lang w:bidi="fa-IR"/>
        </w:rPr>
        <w:t>؟!</w:t>
      </w:r>
      <w:r w:rsidRPr="00904FCB">
        <w:rPr>
          <w:rFonts w:ascii="Tahoma" w:hAnsi="Tahoma"/>
          <w:sz w:val="27"/>
          <w:rtl/>
          <w:lang w:bidi="fa-IR"/>
        </w:rPr>
        <w:t xml:space="preserve"> </w:t>
      </w:r>
      <w:r w:rsidRPr="00904FCB">
        <w:rPr>
          <w:rFonts w:ascii="Tahoma" w:hAnsi="Tahoma" w:hint="cs"/>
          <w:sz w:val="27"/>
          <w:rtl/>
          <w:lang w:bidi="fa-IR"/>
        </w:rPr>
        <w:t>أ</w:t>
      </w:r>
      <w:r w:rsidRPr="00904FCB">
        <w:rPr>
          <w:rFonts w:ascii="Tahoma" w:hAnsi="Tahoma"/>
          <w:sz w:val="27"/>
          <w:rtl/>
          <w:lang w:bidi="fa-IR"/>
        </w:rPr>
        <w:t>و على ال</w:t>
      </w:r>
      <w:r w:rsidR="002C312F" w:rsidRPr="00904FCB">
        <w:rPr>
          <w:rFonts w:ascii="Tahoma" w:hAnsi="Tahoma" w:hint="cs"/>
          <w:sz w:val="27"/>
          <w:rtl/>
          <w:lang w:bidi="fa-IR"/>
        </w:rPr>
        <w:t>أ</w:t>
      </w:r>
      <w:r w:rsidRPr="00904FCB">
        <w:rPr>
          <w:rFonts w:ascii="Tahoma" w:hAnsi="Tahoma"/>
          <w:sz w:val="27"/>
          <w:rtl/>
          <w:lang w:bidi="fa-IR"/>
        </w:rPr>
        <w:t>قل</w:t>
      </w:r>
      <w:r w:rsidR="002C312F" w:rsidRPr="00904FCB">
        <w:rPr>
          <w:rFonts w:ascii="Tahoma" w:hAnsi="Tahoma" w:hint="cs"/>
          <w:sz w:val="27"/>
          <w:rtl/>
          <w:lang w:bidi="fa-IR"/>
        </w:rPr>
        <w:t>ّ</w:t>
      </w:r>
      <w:r w:rsidRPr="00904FCB">
        <w:rPr>
          <w:rFonts w:ascii="Tahoma" w:hAnsi="Tahoma"/>
          <w:sz w:val="27"/>
          <w:rtl/>
          <w:lang w:bidi="fa-IR"/>
        </w:rPr>
        <w:t xml:space="preserve"> دراسة الظروف التي ورد الحديث فيها، </w:t>
      </w:r>
      <w:r w:rsidR="002C312F" w:rsidRPr="00904FCB">
        <w:rPr>
          <w:rFonts w:ascii="Tahoma" w:hAnsi="Tahoma" w:hint="cs"/>
          <w:sz w:val="27"/>
          <w:rtl/>
          <w:lang w:bidi="fa-IR"/>
        </w:rPr>
        <w:t>أ</w:t>
      </w:r>
      <w:r w:rsidRPr="00904FCB">
        <w:rPr>
          <w:rFonts w:ascii="Tahoma" w:hAnsi="Tahoma"/>
          <w:sz w:val="27"/>
          <w:rtl/>
          <w:lang w:bidi="fa-IR"/>
        </w:rPr>
        <w:t>ي التوس</w:t>
      </w:r>
      <w:r w:rsidR="002C312F" w:rsidRPr="00904FCB">
        <w:rPr>
          <w:rFonts w:ascii="Tahoma" w:hAnsi="Tahoma" w:hint="cs"/>
          <w:sz w:val="27"/>
          <w:rtl/>
          <w:lang w:bidi="fa-IR"/>
        </w:rPr>
        <w:t>ُّ</w:t>
      </w:r>
      <w:r w:rsidRPr="00904FCB">
        <w:rPr>
          <w:rFonts w:ascii="Tahoma" w:hAnsi="Tahoma"/>
          <w:sz w:val="27"/>
          <w:rtl/>
          <w:lang w:bidi="fa-IR"/>
        </w:rPr>
        <w:t>ع في علم (أسباب ورود الحديث)</w:t>
      </w:r>
      <w:r w:rsidR="002C312F" w:rsidRPr="00904FCB">
        <w:rPr>
          <w:rFonts w:ascii="Tahoma" w:hAnsi="Tahoma" w:hint="cs"/>
          <w:sz w:val="27"/>
          <w:rtl/>
          <w:lang w:bidi="fa-IR"/>
        </w:rPr>
        <w:t>،</w:t>
      </w:r>
      <w:r w:rsidRPr="00904FCB">
        <w:rPr>
          <w:rFonts w:ascii="Tahoma" w:hAnsi="Tahoma"/>
          <w:sz w:val="27"/>
          <w:rtl/>
          <w:lang w:bidi="fa-IR"/>
        </w:rPr>
        <w:t xml:space="preserve"> لعل</w:t>
      </w:r>
      <w:r w:rsidR="002C312F" w:rsidRPr="00904FCB">
        <w:rPr>
          <w:rFonts w:ascii="Tahoma" w:hAnsi="Tahoma" w:hint="cs"/>
          <w:sz w:val="27"/>
          <w:rtl/>
          <w:lang w:bidi="fa-IR"/>
        </w:rPr>
        <w:t>ّ</w:t>
      </w:r>
      <w:r w:rsidRPr="00904FCB">
        <w:rPr>
          <w:rFonts w:ascii="Tahoma" w:hAnsi="Tahoma"/>
          <w:sz w:val="27"/>
          <w:rtl/>
          <w:lang w:bidi="fa-IR"/>
        </w:rPr>
        <w:t xml:space="preserve"> السبب يكون حاكماً على تخصيص الحديث</w:t>
      </w:r>
      <w:r w:rsidR="002C312F" w:rsidRPr="00904FCB">
        <w:rPr>
          <w:rFonts w:ascii="Tahoma" w:hAnsi="Tahoma" w:hint="cs"/>
          <w:sz w:val="27"/>
          <w:rtl/>
          <w:lang w:bidi="fa-IR"/>
        </w:rPr>
        <w:t>،</w:t>
      </w:r>
      <w:r w:rsidRPr="00904FCB">
        <w:rPr>
          <w:rFonts w:ascii="Tahoma" w:hAnsi="Tahoma"/>
          <w:sz w:val="27"/>
          <w:rtl/>
          <w:lang w:bidi="fa-IR"/>
        </w:rPr>
        <w:t xml:space="preserve"> لا عمومه. </w:t>
      </w:r>
    </w:p>
    <w:p w:rsidR="00644408" w:rsidRPr="00904FCB" w:rsidRDefault="002C312F" w:rsidP="007A21AA">
      <w:pPr>
        <w:autoSpaceDE w:val="0"/>
        <w:autoSpaceDN w:val="0"/>
        <w:adjustRightInd w:val="0"/>
        <w:spacing w:line="400" w:lineRule="exact"/>
        <w:rPr>
          <w:rFonts w:ascii="Tahoma" w:hAnsi="Tahoma"/>
          <w:sz w:val="27"/>
          <w:lang w:bidi="fa-IR"/>
        </w:rPr>
      </w:pPr>
      <w:r w:rsidRPr="00904FCB">
        <w:rPr>
          <w:rFonts w:ascii="Tahoma" w:hAnsi="Tahoma" w:hint="cs"/>
          <w:sz w:val="27"/>
          <w:rtl/>
          <w:lang w:bidi="fa-IR"/>
        </w:rPr>
        <w:t>أ</w:t>
      </w:r>
      <w:r w:rsidR="00644408" w:rsidRPr="00904FCB">
        <w:rPr>
          <w:rFonts w:ascii="Tahoma" w:hAnsi="Tahoma"/>
          <w:sz w:val="27"/>
          <w:rtl/>
          <w:lang w:bidi="fa-IR"/>
        </w:rPr>
        <w:t>ما الماد</w:t>
      </w:r>
      <w:r w:rsidRPr="00904FCB">
        <w:rPr>
          <w:rFonts w:ascii="Tahoma" w:hAnsi="Tahoma" w:hint="cs"/>
          <w:sz w:val="27"/>
          <w:rtl/>
          <w:lang w:bidi="fa-IR"/>
        </w:rPr>
        <w:t>ّ</w:t>
      </w:r>
      <w:r w:rsidR="00644408" w:rsidRPr="00904FCB">
        <w:rPr>
          <w:rFonts w:ascii="Tahoma" w:hAnsi="Tahoma"/>
          <w:sz w:val="27"/>
          <w:rtl/>
          <w:lang w:bidi="fa-IR"/>
        </w:rPr>
        <w:t>ة القانونية فتخلو من حاكمية</w:t>
      </w:r>
      <w:r w:rsidRPr="00904FCB">
        <w:rPr>
          <w:rFonts w:ascii="Tahoma" w:hAnsi="Tahoma" w:hint="cs"/>
          <w:sz w:val="27"/>
          <w:rtl/>
          <w:lang w:bidi="fa-IR"/>
        </w:rPr>
        <w:t>ٍ</w:t>
      </w:r>
      <w:r w:rsidR="00644408" w:rsidRPr="00904FCB">
        <w:rPr>
          <w:rFonts w:ascii="Tahoma" w:hAnsi="Tahoma"/>
          <w:sz w:val="27"/>
          <w:rtl/>
          <w:lang w:bidi="fa-IR"/>
        </w:rPr>
        <w:t xml:space="preserve"> كهذه</w:t>
      </w:r>
      <w:r w:rsidRPr="00904FCB">
        <w:rPr>
          <w:rFonts w:ascii="Tahoma" w:hAnsi="Tahoma" w:hint="cs"/>
          <w:sz w:val="27"/>
          <w:rtl/>
          <w:lang w:bidi="fa-IR"/>
        </w:rPr>
        <w:t>،</w:t>
      </w:r>
      <w:r w:rsidR="00644408" w:rsidRPr="00904FCB">
        <w:rPr>
          <w:rFonts w:ascii="Tahoma" w:hAnsi="Tahoma"/>
          <w:sz w:val="27"/>
          <w:rtl/>
          <w:lang w:bidi="fa-IR"/>
        </w:rPr>
        <w:t xml:space="preserve"> و</w:t>
      </w:r>
      <w:r w:rsidRPr="00904FCB">
        <w:rPr>
          <w:rFonts w:ascii="Tahoma" w:hAnsi="Tahoma" w:hint="cs"/>
          <w:sz w:val="27"/>
          <w:rtl/>
          <w:lang w:bidi="fa-IR"/>
        </w:rPr>
        <w:t>إ</w:t>
      </w:r>
      <w:r w:rsidR="00644408" w:rsidRPr="00904FCB">
        <w:rPr>
          <w:rFonts w:ascii="Tahoma" w:hAnsi="Tahoma"/>
          <w:sz w:val="27"/>
          <w:rtl/>
          <w:lang w:bidi="fa-IR"/>
        </w:rPr>
        <w:t>نما قواعده عام</w:t>
      </w:r>
      <w:r w:rsidRPr="00904FCB">
        <w:rPr>
          <w:rFonts w:ascii="Tahoma" w:hAnsi="Tahoma" w:hint="cs"/>
          <w:sz w:val="27"/>
          <w:rtl/>
          <w:lang w:bidi="fa-IR"/>
        </w:rPr>
        <w:t>ّ</w:t>
      </w:r>
      <w:r w:rsidR="00644408" w:rsidRPr="00904FCB">
        <w:rPr>
          <w:rFonts w:ascii="Tahoma" w:hAnsi="Tahoma"/>
          <w:sz w:val="27"/>
          <w:rtl/>
          <w:lang w:bidi="fa-IR"/>
        </w:rPr>
        <w:t>ة تندرج تحتها تف</w:t>
      </w:r>
      <w:r w:rsidRPr="00904FCB">
        <w:rPr>
          <w:rFonts w:ascii="Tahoma" w:hAnsi="Tahoma" w:hint="cs"/>
          <w:sz w:val="27"/>
          <w:rtl/>
          <w:lang w:bidi="fa-IR"/>
        </w:rPr>
        <w:t>ص</w:t>
      </w:r>
      <w:r w:rsidR="00644408" w:rsidRPr="00904FCB">
        <w:rPr>
          <w:rFonts w:ascii="Tahoma" w:hAnsi="Tahoma"/>
          <w:sz w:val="27"/>
          <w:rtl/>
          <w:lang w:bidi="fa-IR"/>
        </w:rPr>
        <w:t xml:space="preserve">يلات كل المواضيع التي تندرج تحتها </w:t>
      </w:r>
      <w:r w:rsidRPr="00904FCB">
        <w:rPr>
          <w:rFonts w:ascii="Tahoma" w:hAnsi="Tahoma" w:hint="cs"/>
          <w:sz w:val="27"/>
          <w:rtl/>
          <w:lang w:bidi="fa-IR"/>
        </w:rPr>
        <w:t>أ</w:t>
      </w:r>
      <w:r w:rsidR="00644408" w:rsidRPr="00904FCB">
        <w:rPr>
          <w:rFonts w:ascii="Tahoma" w:hAnsi="Tahoma"/>
          <w:sz w:val="27"/>
          <w:rtl/>
          <w:lang w:bidi="fa-IR"/>
        </w:rPr>
        <w:t xml:space="preserve">و تتشابه معها في الصور. </w:t>
      </w:r>
    </w:p>
    <w:p w:rsidR="00644408" w:rsidRPr="00904FCB" w:rsidRDefault="00644408" w:rsidP="00F8468B">
      <w:pPr>
        <w:autoSpaceDE w:val="0"/>
        <w:autoSpaceDN w:val="0"/>
        <w:adjustRightInd w:val="0"/>
        <w:spacing w:line="400" w:lineRule="exact"/>
        <w:rPr>
          <w:rFonts w:ascii="Tahoma" w:hAnsi="Tahoma"/>
          <w:sz w:val="27"/>
          <w:lang w:bidi="fa-IR"/>
        </w:rPr>
      </w:pPr>
      <w:r w:rsidRPr="00904FCB">
        <w:rPr>
          <w:rFonts w:hint="eastAsia"/>
          <w:sz w:val="27"/>
          <w:rtl/>
        </w:rPr>
        <w:t>«</w:t>
      </w:r>
      <w:r w:rsidRPr="00904FCB">
        <w:rPr>
          <w:rFonts w:ascii="Tahoma" w:hAnsi="Tahoma"/>
          <w:sz w:val="27"/>
          <w:rtl/>
          <w:lang w:bidi="fa-IR"/>
        </w:rPr>
        <w:t>وهذه السم</w:t>
      </w:r>
      <w:r w:rsidR="002C312F" w:rsidRPr="00904FCB">
        <w:rPr>
          <w:rFonts w:ascii="Tahoma" w:hAnsi="Tahoma" w:hint="cs"/>
          <w:sz w:val="27"/>
          <w:rtl/>
          <w:lang w:bidi="fa-IR"/>
        </w:rPr>
        <w:t>ة</w:t>
      </w:r>
      <w:r w:rsidRPr="00904FCB">
        <w:rPr>
          <w:rFonts w:ascii="Tahoma" w:hAnsi="Tahoma"/>
          <w:sz w:val="27"/>
          <w:rtl/>
          <w:lang w:bidi="fa-IR"/>
        </w:rPr>
        <w:t xml:space="preserve"> العامة في المواد القانوني</w:t>
      </w:r>
      <w:r w:rsidR="002C312F" w:rsidRPr="00904FCB">
        <w:rPr>
          <w:rFonts w:ascii="Tahoma" w:hAnsi="Tahoma" w:hint="cs"/>
          <w:sz w:val="27"/>
          <w:rtl/>
          <w:lang w:bidi="fa-IR"/>
        </w:rPr>
        <w:t>ة</w:t>
      </w:r>
      <w:r w:rsidRPr="00904FCB">
        <w:rPr>
          <w:rFonts w:ascii="Tahoma" w:hAnsi="Tahoma"/>
          <w:sz w:val="27"/>
          <w:rtl/>
          <w:lang w:bidi="fa-IR"/>
        </w:rPr>
        <w:t xml:space="preserve"> هي التي تجعل القانونيين يختلفون في تفسير المواد</w:t>
      </w:r>
      <w:r w:rsidR="002C312F" w:rsidRPr="00904FCB">
        <w:rPr>
          <w:rFonts w:ascii="Tahoma" w:hAnsi="Tahoma" w:hint="cs"/>
          <w:sz w:val="27"/>
          <w:rtl/>
          <w:lang w:bidi="fa-IR"/>
        </w:rPr>
        <w:t>ّ،</w:t>
      </w:r>
      <w:r w:rsidRPr="00904FCB">
        <w:rPr>
          <w:rFonts w:ascii="Tahoma" w:hAnsi="Tahoma"/>
          <w:sz w:val="27"/>
          <w:rtl/>
          <w:lang w:bidi="fa-IR"/>
        </w:rPr>
        <w:t xml:space="preserve"> وتجعل القضاة </w:t>
      </w:r>
      <w:r w:rsidR="002C312F" w:rsidRPr="00904FCB">
        <w:rPr>
          <w:rFonts w:ascii="Tahoma" w:hAnsi="Tahoma" w:hint="cs"/>
          <w:sz w:val="27"/>
          <w:rtl/>
          <w:lang w:bidi="fa-IR"/>
        </w:rPr>
        <w:t>أ</w:t>
      </w:r>
      <w:r w:rsidRPr="00904FCB">
        <w:rPr>
          <w:rFonts w:ascii="Tahoma" w:hAnsi="Tahoma"/>
          <w:sz w:val="27"/>
          <w:rtl/>
          <w:lang w:bidi="fa-IR"/>
        </w:rPr>
        <w:t>يضاً يختلفون في فهمها</w:t>
      </w:r>
      <w:r w:rsidR="002C312F" w:rsidRPr="00904FCB">
        <w:rPr>
          <w:rFonts w:ascii="Tahoma" w:hAnsi="Tahoma" w:hint="cs"/>
          <w:sz w:val="27"/>
          <w:rtl/>
          <w:lang w:bidi="fa-IR"/>
        </w:rPr>
        <w:t>،</w:t>
      </w:r>
      <w:r w:rsidRPr="00904FCB">
        <w:rPr>
          <w:rFonts w:ascii="Tahoma" w:hAnsi="Tahoma"/>
          <w:sz w:val="27"/>
          <w:rtl/>
          <w:lang w:bidi="fa-IR"/>
        </w:rPr>
        <w:t xml:space="preserve"> ويضطرون </w:t>
      </w:r>
      <w:r w:rsidR="002C312F" w:rsidRPr="00904FCB">
        <w:rPr>
          <w:rFonts w:ascii="Tahoma" w:hAnsi="Tahoma" w:hint="cs"/>
          <w:sz w:val="27"/>
          <w:rtl/>
          <w:lang w:bidi="fa-IR"/>
        </w:rPr>
        <w:t>أ</w:t>
      </w:r>
      <w:r w:rsidRPr="00904FCB">
        <w:rPr>
          <w:rFonts w:ascii="Tahoma" w:hAnsi="Tahoma"/>
          <w:sz w:val="27"/>
          <w:rtl/>
          <w:lang w:bidi="fa-IR"/>
        </w:rPr>
        <w:t xml:space="preserve">حياناً </w:t>
      </w:r>
      <w:r w:rsidR="002C312F" w:rsidRPr="00904FCB">
        <w:rPr>
          <w:rFonts w:ascii="Tahoma" w:hAnsi="Tahoma" w:hint="cs"/>
          <w:sz w:val="27"/>
          <w:rtl/>
          <w:lang w:bidi="fa-IR"/>
        </w:rPr>
        <w:t>إلى</w:t>
      </w:r>
      <w:r w:rsidRPr="00904FCB">
        <w:rPr>
          <w:rFonts w:ascii="Tahoma" w:hAnsi="Tahoma"/>
          <w:sz w:val="27"/>
          <w:rtl/>
          <w:lang w:bidi="fa-IR"/>
        </w:rPr>
        <w:t xml:space="preserve"> البرهنة على صح</w:t>
      </w:r>
      <w:r w:rsidR="002C312F" w:rsidRPr="00904FCB">
        <w:rPr>
          <w:rFonts w:ascii="Tahoma" w:hAnsi="Tahoma" w:hint="cs"/>
          <w:sz w:val="27"/>
          <w:rtl/>
          <w:lang w:bidi="fa-IR"/>
        </w:rPr>
        <w:t>ّ</w:t>
      </w:r>
      <w:r w:rsidRPr="00904FCB">
        <w:rPr>
          <w:rFonts w:ascii="Tahoma" w:hAnsi="Tahoma"/>
          <w:sz w:val="27"/>
          <w:rtl/>
          <w:lang w:bidi="fa-IR"/>
        </w:rPr>
        <w:t>ة فهمهم بما يتناسب واتجاهاتهم من الكتب التي اعتن</w:t>
      </w:r>
      <w:r w:rsidR="002C312F" w:rsidRPr="00904FCB">
        <w:rPr>
          <w:rFonts w:ascii="Tahoma" w:hAnsi="Tahoma" w:hint="cs"/>
          <w:sz w:val="27"/>
          <w:rtl/>
          <w:lang w:bidi="fa-IR"/>
        </w:rPr>
        <w:t>َ</w:t>
      </w:r>
      <w:r w:rsidRPr="00904FCB">
        <w:rPr>
          <w:rFonts w:ascii="Tahoma" w:hAnsi="Tahoma"/>
          <w:sz w:val="27"/>
          <w:rtl/>
          <w:lang w:bidi="fa-IR"/>
        </w:rPr>
        <w:t>ت</w:t>
      </w:r>
      <w:r w:rsidR="002C312F" w:rsidRPr="00904FCB">
        <w:rPr>
          <w:rFonts w:ascii="Tahoma" w:hAnsi="Tahoma" w:hint="cs"/>
          <w:sz w:val="27"/>
          <w:rtl/>
          <w:lang w:bidi="fa-IR"/>
        </w:rPr>
        <w:t>ْ</w:t>
      </w:r>
      <w:r w:rsidRPr="00904FCB">
        <w:rPr>
          <w:rFonts w:ascii="Tahoma" w:hAnsi="Tahoma"/>
          <w:sz w:val="27"/>
          <w:rtl/>
          <w:lang w:bidi="fa-IR"/>
        </w:rPr>
        <w:t xml:space="preserve"> بتفسير القانون</w:t>
      </w:r>
      <w:r w:rsidR="002C312F" w:rsidRPr="00904FCB">
        <w:rPr>
          <w:rFonts w:ascii="Tahoma" w:hAnsi="Tahoma" w:hint="cs"/>
          <w:sz w:val="27"/>
          <w:rtl/>
          <w:lang w:bidi="fa-IR"/>
        </w:rPr>
        <w:t>.</w:t>
      </w:r>
      <w:r w:rsidRPr="00904FCB">
        <w:rPr>
          <w:rFonts w:ascii="Tahoma" w:hAnsi="Tahoma"/>
          <w:sz w:val="27"/>
          <w:rtl/>
          <w:lang w:bidi="fa-IR"/>
        </w:rPr>
        <w:t xml:space="preserve"> يضاف </w:t>
      </w:r>
      <w:r w:rsidR="002C312F" w:rsidRPr="00904FCB">
        <w:rPr>
          <w:rFonts w:ascii="Tahoma" w:hAnsi="Tahoma" w:hint="cs"/>
          <w:sz w:val="27"/>
          <w:rtl/>
          <w:lang w:bidi="fa-IR"/>
        </w:rPr>
        <w:t>إ</w:t>
      </w:r>
      <w:r w:rsidRPr="00904FCB">
        <w:rPr>
          <w:rFonts w:ascii="Tahoma" w:hAnsi="Tahoma"/>
          <w:sz w:val="27"/>
          <w:rtl/>
          <w:lang w:bidi="fa-IR"/>
        </w:rPr>
        <w:t xml:space="preserve">لى ذلك </w:t>
      </w:r>
      <w:r w:rsidR="002C312F" w:rsidRPr="00904FCB">
        <w:rPr>
          <w:rFonts w:ascii="Tahoma" w:hAnsi="Tahoma" w:hint="cs"/>
          <w:sz w:val="27"/>
          <w:rtl/>
          <w:lang w:bidi="fa-IR"/>
        </w:rPr>
        <w:t>أ</w:t>
      </w:r>
      <w:r w:rsidRPr="00904FCB">
        <w:rPr>
          <w:rFonts w:ascii="Tahoma" w:hAnsi="Tahoma"/>
          <w:sz w:val="27"/>
          <w:rtl/>
          <w:lang w:bidi="fa-IR"/>
        </w:rPr>
        <w:t>ن المادة القانونية هي دليل</w:t>
      </w:r>
      <w:r w:rsidR="002C312F" w:rsidRPr="00904FCB">
        <w:rPr>
          <w:rFonts w:ascii="Tahoma" w:hAnsi="Tahoma" w:hint="cs"/>
          <w:sz w:val="27"/>
          <w:rtl/>
          <w:lang w:bidi="fa-IR"/>
        </w:rPr>
        <w:t>ٌ</w:t>
      </w:r>
      <w:r w:rsidRPr="00904FCB">
        <w:rPr>
          <w:rFonts w:ascii="Tahoma" w:hAnsi="Tahoma"/>
          <w:sz w:val="27"/>
          <w:rtl/>
          <w:lang w:bidi="fa-IR"/>
        </w:rPr>
        <w:t xml:space="preserve"> بذاتها، وحين يخرج القاضي عنها</w:t>
      </w:r>
      <w:r w:rsidR="002C312F" w:rsidRPr="00904FCB">
        <w:rPr>
          <w:rFonts w:ascii="Tahoma" w:hAnsi="Tahoma" w:hint="cs"/>
          <w:sz w:val="27"/>
          <w:rtl/>
          <w:lang w:bidi="fa-IR"/>
        </w:rPr>
        <w:t>؛</w:t>
      </w:r>
      <w:r w:rsidRPr="00904FCB">
        <w:rPr>
          <w:rFonts w:ascii="Tahoma" w:hAnsi="Tahoma"/>
          <w:sz w:val="27"/>
          <w:rtl/>
          <w:lang w:bidi="fa-IR"/>
        </w:rPr>
        <w:t xml:space="preserve"> ل</w:t>
      </w:r>
      <w:r w:rsidR="002C312F" w:rsidRPr="00904FCB">
        <w:rPr>
          <w:rFonts w:ascii="Tahoma" w:hAnsi="Tahoma" w:hint="cs"/>
          <w:sz w:val="27"/>
          <w:rtl/>
          <w:lang w:bidi="fa-IR"/>
        </w:rPr>
        <w:t>أ</w:t>
      </w:r>
      <w:r w:rsidRPr="00904FCB">
        <w:rPr>
          <w:rFonts w:ascii="Tahoma" w:hAnsi="Tahoma"/>
          <w:sz w:val="27"/>
          <w:rtl/>
          <w:lang w:bidi="fa-IR"/>
        </w:rPr>
        <w:t>ي</w:t>
      </w:r>
      <w:r w:rsidR="00F8468B">
        <w:rPr>
          <w:rFonts w:ascii="Tahoma" w:hAnsi="Tahoma" w:hint="cs"/>
          <w:sz w:val="27"/>
          <w:rtl/>
          <w:lang w:bidi="fa-IR"/>
        </w:rPr>
        <w:t>ّ</w:t>
      </w:r>
      <w:r w:rsidRPr="00904FCB">
        <w:rPr>
          <w:rFonts w:ascii="Tahoma" w:hAnsi="Tahoma"/>
          <w:sz w:val="27"/>
          <w:rtl/>
          <w:lang w:bidi="fa-IR"/>
        </w:rPr>
        <w:t xml:space="preserve"> سبب من ا</w:t>
      </w:r>
      <w:r w:rsidR="002C312F" w:rsidRPr="00904FCB">
        <w:rPr>
          <w:rFonts w:ascii="Tahoma" w:hAnsi="Tahoma" w:hint="cs"/>
          <w:sz w:val="27"/>
          <w:rtl/>
          <w:lang w:bidi="fa-IR"/>
        </w:rPr>
        <w:t>لأ</w:t>
      </w:r>
      <w:r w:rsidRPr="00904FCB">
        <w:rPr>
          <w:rFonts w:ascii="Tahoma" w:hAnsi="Tahoma"/>
          <w:sz w:val="27"/>
          <w:rtl/>
          <w:lang w:bidi="fa-IR"/>
        </w:rPr>
        <w:t>سباب</w:t>
      </w:r>
      <w:r w:rsidR="002C312F" w:rsidRPr="00904FCB">
        <w:rPr>
          <w:rFonts w:ascii="Tahoma" w:hAnsi="Tahoma" w:hint="cs"/>
          <w:sz w:val="27"/>
          <w:rtl/>
          <w:lang w:bidi="fa-IR"/>
        </w:rPr>
        <w:t>،</w:t>
      </w:r>
      <w:r w:rsidRPr="00904FCB">
        <w:rPr>
          <w:rFonts w:ascii="Tahoma" w:hAnsi="Tahoma"/>
          <w:sz w:val="27"/>
          <w:rtl/>
          <w:lang w:bidi="fa-IR"/>
        </w:rPr>
        <w:t xml:space="preserve"> فلا</w:t>
      </w:r>
      <w:r w:rsidR="002C312F" w:rsidRPr="00904FCB">
        <w:rPr>
          <w:rFonts w:ascii="Tahoma" w:hAnsi="Tahoma" w:hint="cs"/>
          <w:sz w:val="27"/>
          <w:rtl/>
          <w:lang w:bidi="fa-IR"/>
        </w:rPr>
        <w:t xml:space="preserve"> </w:t>
      </w:r>
      <w:r w:rsidRPr="00904FCB">
        <w:rPr>
          <w:rFonts w:ascii="Tahoma" w:hAnsi="Tahoma"/>
          <w:sz w:val="27"/>
          <w:rtl/>
          <w:lang w:bidi="fa-IR"/>
        </w:rPr>
        <w:t>ب</w:t>
      </w:r>
      <w:r w:rsidR="002C312F" w:rsidRPr="00904FCB">
        <w:rPr>
          <w:rFonts w:ascii="Tahoma" w:hAnsi="Tahoma" w:hint="cs"/>
          <w:sz w:val="27"/>
          <w:rtl/>
          <w:lang w:bidi="fa-IR"/>
        </w:rPr>
        <w:t>ُ</w:t>
      </w:r>
      <w:r w:rsidRPr="00904FCB">
        <w:rPr>
          <w:rFonts w:ascii="Tahoma" w:hAnsi="Tahoma"/>
          <w:sz w:val="27"/>
          <w:rtl/>
          <w:lang w:bidi="fa-IR"/>
        </w:rPr>
        <w:t>د</w:t>
      </w:r>
      <w:r w:rsidR="002C312F" w:rsidRPr="00904FCB">
        <w:rPr>
          <w:rFonts w:ascii="Tahoma" w:hAnsi="Tahoma" w:hint="cs"/>
          <w:sz w:val="27"/>
          <w:rtl/>
          <w:lang w:bidi="fa-IR"/>
        </w:rPr>
        <w:t>َّ</w:t>
      </w:r>
      <w:r w:rsidRPr="00904FCB">
        <w:rPr>
          <w:rFonts w:ascii="Tahoma" w:hAnsi="Tahoma"/>
          <w:sz w:val="27"/>
          <w:rtl/>
          <w:lang w:bidi="fa-IR"/>
        </w:rPr>
        <w:t xml:space="preserve"> </w:t>
      </w:r>
      <w:r w:rsidR="002C312F" w:rsidRPr="00904FCB">
        <w:rPr>
          <w:rFonts w:ascii="Tahoma" w:hAnsi="Tahoma" w:hint="cs"/>
          <w:sz w:val="27"/>
          <w:rtl/>
          <w:lang w:bidi="fa-IR"/>
        </w:rPr>
        <w:t>أ</w:t>
      </w:r>
      <w:r w:rsidRPr="00904FCB">
        <w:rPr>
          <w:rFonts w:ascii="Tahoma" w:hAnsi="Tahoma"/>
          <w:sz w:val="27"/>
          <w:rtl/>
          <w:lang w:bidi="fa-IR"/>
        </w:rPr>
        <w:t>ن يستدل</w:t>
      </w:r>
      <w:r w:rsidR="002C312F" w:rsidRPr="00904FCB">
        <w:rPr>
          <w:rFonts w:ascii="Tahoma" w:hAnsi="Tahoma" w:hint="cs"/>
          <w:sz w:val="27"/>
          <w:rtl/>
          <w:lang w:bidi="fa-IR"/>
        </w:rPr>
        <w:t>ّ</w:t>
      </w:r>
      <w:r w:rsidRPr="00904FCB">
        <w:rPr>
          <w:rFonts w:ascii="Tahoma" w:hAnsi="Tahoma"/>
          <w:sz w:val="27"/>
          <w:rtl/>
          <w:lang w:bidi="fa-IR"/>
        </w:rPr>
        <w:t xml:space="preserve"> لخروجه بماد</w:t>
      </w:r>
      <w:r w:rsidR="002C312F" w:rsidRPr="00904FCB">
        <w:rPr>
          <w:rFonts w:ascii="Tahoma" w:hAnsi="Tahoma" w:hint="cs"/>
          <w:sz w:val="27"/>
          <w:rtl/>
          <w:lang w:bidi="fa-IR"/>
        </w:rPr>
        <w:t>ّ</w:t>
      </w:r>
      <w:r w:rsidRPr="00904FCB">
        <w:rPr>
          <w:rFonts w:ascii="Tahoma" w:hAnsi="Tahoma"/>
          <w:sz w:val="27"/>
          <w:rtl/>
          <w:lang w:bidi="fa-IR"/>
        </w:rPr>
        <w:t xml:space="preserve">ة </w:t>
      </w:r>
      <w:r w:rsidR="002C312F" w:rsidRPr="00904FCB">
        <w:rPr>
          <w:rFonts w:ascii="Tahoma" w:hAnsi="Tahoma" w:hint="cs"/>
          <w:sz w:val="27"/>
          <w:rtl/>
          <w:lang w:bidi="fa-IR"/>
        </w:rPr>
        <w:t>أ</w:t>
      </w:r>
      <w:r w:rsidRPr="00904FCB">
        <w:rPr>
          <w:rFonts w:ascii="Tahoma" w:hAnsi="Tahoma"/>
          <w:sz w:val="27"/>
          <w:rtl/>
          <w:lang w:bidi="fa-IR"/>
        </w:rPr>
        <w:t>خرى من مواد القانون»</w:t>
      </w:r>
      <w:r w:rsidR="002C312F" w:rsidRPr="00904FCB">
        <w:rPr>
          <w:rFonts w:ascii="Tahoma" w:hAnsi="Tahoma" w:hint="cs"/>
          <w:sz w:val="27"/>
          <w:rtl/>
          <w:lang w:bidi="fa-IR"/>
        </w:rPr>
        <w:t>.</w:t>
      </w:r>
      <w:r w:rsidRPr="00904FCB">
        <w:rPr>
          <w:rFonts w:ascii="Tahoma" w:hAnsi="Tahoma"/>
          <w:sz w:val="27"/>
          <w:rtl/>
          <w:lang w:bidi="fa-IR"/>
        </w:rPr>
        <w:t xml:space="preserve"> ولكننا قد نجد الجواب بالفارق بين </w:t>
      </w:r>
      <w:r w:rsidR="002C312F" w:rsidRPr="00904FCB">
        <w:rPr>
          <w:rFonts w:ascii="Tahoma" w:hAnsi="Tahoma" w:hint="cs"/>
          <w:sz w:val="27"/>
          <w:rtl/>
          <w:lang w:bidi="fa-IR"/>
        </w:rPr>
        <w:t>أ</w:t>
      </w:r>
      <w:r w:rsidRPr="00904FCB">
        <w:rPr>
          <w:rFonts w:ascii="Tahoma" w:hAnsi="Tahoma"/>
          <w:sz w:val="27"/>
          <w:rtl/>
          <w:lang w:bidi="fa-IR"/>
        </w:rPr>
        <w:t>حكام الفقه ومواد القانون بإعذار الفقيه كونه محكوماً بطبيعة الفقه المرتبطة ارتباطاً وثيقاً بالق</w:t>
      </w:r>
      <w:r w:rsidR="002C312F" w:rsidRPr="00904FCB">
        <w:rPr>
          <w:rFonts w:ascii="Tahoma" w:hAnsi="Tahoma" w:hint="cs"/>
          <w:sz w:val="27"/>
          <w:rtl/>
          <w:lang w:bidi="fa-IR"/>
        </w:rPr>
        <w:t>ِ</w:t>
      </w:r>
      <w:r w:rsidRPr="00904FCB">
        <w:rPr>
          <w:rFonts w:ascii="Tahoma" w:hAnsi="Tahoma"/>
          <w:sz w:val="27"/>
          <w:rtl/>
          <w:lang w:bidi="fa-IR"/>
        </w:rPr>
        <w:t>ي</w:t>
      </w:r>
      <w:r w:rsidR="002C312F" w:rsidRPr="00904FCB">
        <w:rPr>
          <w:rFonts w:ascii="Tahoma" w:hAnsi="Tahoma" w:hint="cs"/>
          <w:sz w:val="27"/>
          <w:rtl/>
          <w:lang w:bidi="fa-IR"/>
        </w:rPr>
        <w:t>َ</w:t>
      </w:r>
      <w:r w:rsidRPr="00904FCB">
        <w:rPr>
          <w:rFonts w:ascii="Tahoma" w:hAnsi="Tahoma"/>
          <w:sz w:val="27"/>
          <w:rtl/>
          <w:lang w:bidi="fa-IR"/>
        </w:rPr>
        <w:t>م وال</w:t>
      </w:r>
      <w:r w:rsidR="002C312F" w:rsidRPr="00904FCB">
        <w:rPr>
          <w:rFonts w:ascii="Tahoma" w:hAnsi="Tahoma" w:hint="cs"/>
          <w:sz w:val="27"/>
          <w:rtl/>
          <w:lang w:bidi="fa-IR"/>
        </w:rPr>
        <w:t>أ</w:t>
      </w:r>
      <w:r w:rsidRPr="00904FCB">
        <w:rPr>
          <w:rFonts w:ascii="Tahoma" w:hAnsi="Tahoma"/>
          <w:sz w:val="27"/>
          <w:rtl/>
          <w:lang w:bidi="fa-IR"/>
        </w:rPr>
        <w:t>خلاق</w:t>
      </w:r>
      <w:r w:rsidR="002C312F" w:rsidRPr="00904FCB">
        <w:rPr>
          <w:rFonts w:ascii="Tahoma" w:hAnsi="Tahoma" w:hint="cs"/>
          <w:sz w:val="27"/>
          <w:rtl/>
          <w:lang w:bidi="fa-IR"/>
        </w:rPr>
        <w:t>؛</w:t>
      </w:r>
      <w:r w:rsidRPr="00904FCB">
        <w:rPr>
          <w:rFonts w:ascii="Tahoma" w:hAnsi="Tahoma"/>
          <w:sz w:val="27"/>
          <w:rtl/>
          <w:lang w:bidi="fa-IR"/>
        </w:rPr>
        <w:t xml:space="preserve"> كون مقاصد </w:t>
      </w:r>
      <w:r w:rsidR="002C312F" w:rsidRPr="00904FCB">
        <w:rPr>
          <w:rFonts w:ascii="Tahoma" w:hAnsi="Tahoma" w:hint="cs"/>
          <w:sz w:val="27"/>
          <w:rtl/>
          <w:lang w:bidi="fa-IR"/>
        </w:rPr>
        <w:t>أ</w:t>
      </w:r>
      <w:r w:rsidRPr="00904FCB">
        <w:rPr>
          <w:rFonts w:ascii="Tahoma" w:hAnsi="Tahoma"/>
          <w:sz w:val="27"/>
          <w:rtl/>
          <w:lang w:bidi="fa-IR"/>
        </w:rPr>
        <w:t xml:space="preserve">حكامها تتبع نظاماً </w:t>
      </w:r>
      <w:r w:rsidR="002C312F" w:rsidRPr="00904FCB">
        <w:rPr>
          <w:rFonts w:ascii="Tahoma" w:hAnsi="Tahoma" w:hint="cs"/>
          <w:sz w:val="27"/>
          <w:rtl/>
          <w:lang w:bidi="fa-IR"/>
        </w:rPr>
        <w:t>أ</w:t>
      </w:r>
      <w:r w:rsidRPr="00904FCB">
        <w:rPr>
          <w:rFonts w:ascii="Tahoma" w:hAnsi="Tahoma"/>
          <w:sz w:val="27"/>
          <w:rtl/>
          <w:lang w:bidi="fa-IR"/>
        </w:rPr>
        <w:t>خلاقياً يرنو إلى عدم التعد</w:t>
      </w:r>
      <w:r w:rsidR="002C312F" w:rsidRPr="00904FCB">
        <w:rPr>
          <w:rFonts w:ascii="Tahoma" w:hAnsi="Tahoma" w:hint="cs"/>
          <w:sz w:val="27"/>
          <w:rtl/>
          <w:lang w:bidi="fa-IR"/>
        </w:rPr>
        <w:t>ّ</w:t>
      </w:r>
      <w:r w:rsidRPr="00904FCB">
        <w:rPr>
          <w:rFonts w:ascii="Tahoma" w:hAnsi="Tahoma"/>
          <w:sz w:val="27"/>
          <w:rtl/>
          <w:lang w:bidi="fa-IR"/>
        </w:rPr>
        <w:t xml:space="preserve">ي أو إلى </w:t>
      </w:r>
      <w:r w:rsidR="002C312F" w:rsidRPr="00904FCB">
        <w:rPr>
          <w:rFonts w:ascii="Tahoma" w:hAnsi="Tahoma" w:hint="cs"/>
          <w:sz w:val="27"/>
          <w:rtl/>
          <w:lang w:bidi="fa-IR"/>
        </w:rPr>
        <w:t>إ</w:t>
      </w:r>
      <w:r w:rsidRPr="00904FCB">
        <w:rPr>
          <w:rFonts w:ascii="Tahoma" w:hAnsi="Tahoma"/>
          <w:sz w:val="27"/>
          <w:rtl/>
          <w:lang w:bidi="fa-IR"/>
        </w:rPr>
        <w:t>فساد المجتمع</w:t>
      </w:r>
      <w:r w:rsidR="002C312F" w:rsidRPr="00904FCB">
        <w:rPr>
          <w:rFonts w:ascii="Tahoma" w:hAnsi="Tahoma" w:hint="cs"/>
          <w:sz w:val="27"/>
          <w:rtl/>
          <w:lang w:bidi="fa-IR"/>
        </w:rPr>
        <w:t>.</w:t>
      </w:r>
      <w:r w:rsidRPr="00904FCB">
        <w:rPr>
          <w:rFonts w:ascii="Tahoma" w:hAnsi="Tahoma"/>
          <w:sz w:val="27"/>
          <w:rtl/>
          <w:lang w:bidi="fa-IR"/>
        </w:rPr>
        <w:t xml:space="preserve"> وإذا وافقنا القائلين ب</w:t>
      </w:r>
      <w:r w:rsidR="002C312F" w:rsidRPr="00904FCB">
        <w:rPr>
          <w:rFonts w:ascii="Tahoma" w:hAnsi="Tahoma" w:hint="cs"/>
          <w:sz w:val="27"/>
          <w:rtl/>
          <w:lang w:bidi="fa-IR"/>
        </w:rPr>
        <w:t>أ</w:t>
      </w:r>
      <w:r w:rsidRPr="00904FCB">
        <w:rPr>
          <w:rFonts w:ascii="Tahoma" w:hAnsi="Tahoma"/>
          <w:sz w:val="27"/>
          <w:rtl/>
          <w:lang w:bidi="fa-IR"/>
        </w:rPr>
        <w:t>ن الأحكام الشرعية تتبع المصالح والمفاسد، و</w:t>
      </w:r>
      <w:r w:rsidR="002C312F" w:rsidRPr="00904FCB">
        <w:rPr>
          <w:rFonts w:ascii="Tahoma" w:hAnsi="Tahoma" w:hint="cs"/>
          <w:sz w:val="27"/>
          <w:rtl/>
          <w:lang w:bidi="fa-IR"/>
        </w:rPr>
        <w:t>أ</w:t>
      </w:r>
      <w:r w:rsidRPr="00904FCB">
        <w:rPr>
          <w:rFonts w:ascii="Tahoma" w:hAnsi="Tahoma"/>
          <w:sz w:val="27"/>
          <w:rtl/>
          <w:lang w:bidi="fa-IR"/>
        </w:rPr>
        <w:t xml:space="preserve">ن المصالح والمفاسد هذه </w:t>
      </w:r>
      <w:r w:rsidRPr="00904FCB">
        <w:rPr>
          <w:rFonts w:ascii="Tahoma" w:hAnsi="Tahoma"/>
          <w:sz w:val="27"/>
          <w:rtl/>
          <w:lang w:bidi="fa-IR"/>
        </w:rPr>
        <w:lastRenderedPageBreak/>
        <w:t>وفق المفهوم الإلهي المُحد</w:t>
      </w:r>
      <w:r w:rsidR="002C312F" w:rsidRPr="00904FCB">
        <w:rPr>
          <w:rFonts w:ascii="Tahoma" w:hAnsi="Tahoma" w:hint="cs"/>
          <w:sz w:val="27"/>
          <w:rtl/>
          <w:lang w:bidi="fa-IR"/>
        </w:rPr>
        <w:t>َّ</w:t>
      </w:r>
      <w:r w:rsidRPr="00904FCB">
        <w:rPr>
          <w:rFonts w:ascii="Tahoma" w:hAnsi="Tahoma"/>
          <w:sz w:val="27"/>
          <w:rtl/>
          <w:lang w:bidi="fa-IR"/>
        </w:rPr>
        <w:t>د لها</w:t>
      </w:r>
      <w:r w:rsidR="002C312F" w:rsidRPr="00904FCB">
        <w:rPr>
          <w:rFonts w:ascii="Tahoma" w:hAnsi="Tahoma" w:hint="cs"/>
          <w:sz w:val="27"/>
          <w:rtl/>
          <w:lang w:bidi="fa-IR"/>
        </w:rPr>
        <w:t>،</w:t>
      </w:r>
      <w:r w:rsidRPr="00904FCB">
        <w:rPr>
          <w:rFonts w:ascii="Tahoma" w:hAnsi="Tahoma"/>
          <w:sz w:val="27"/>
          <w:rtl/>
          <w:lang w:bidi="fa-IR"/>
        </w:rPr>
        <w:t xml:space="preserve"> والذي لا</w:t>
      </w:r>
      <w:r w:rsidR="002C312F" w:rsidRPr="00904FCB">
        <w:rPr>
          <w:rFonts w:ascii="Tahoma" w:hAnsi="Tahoma" w:hint="cs"/>
          <w:sz w:val="27"/>
          <w:rtl/>
          <w:lang w:bidi="fa-IR"/>
        </w:rPr>
        <w:t xml:space="preserve"> </w:t>
      </w:r>
      <w:r w:rsidRPr="00904FCB">
        <w:rPr>
          <w:rFonts w:ascii="Tahoma" w:hAnsi="Tahoma"/>
          <w:sz w:val="27"/>
          <w:rtl/>
          <w:lang w:bidi="fa-IR"/>
        </w:rPr>
        <w:t>يتأث</w:t>
      </w:r>
      <w:r w:rsidR="002C312F" w:rsidRPr="00904FCB">
        <w:rPr>
          <w:rFonts w:ascii="Tahoma" w:hAnsi="Tahoma" w:hint="cs"/>
          <w:sz w:val="27"/>
          <w:rtl/>
          <w:lang w:bidi="fa-IR"/>
        </w:rPr>
        <w:t>َّ</w:t>
      </w:r>
      <w:r w:rsidRPr="00904FCB">
        <w:rPr>
          <w:rFonts w:ascii="Tahoma" w:hAnsi="Tahoma"/>
          <w:sz w:val="27"/>
          <w:rtl/>
          <w:lang w:bidi="fa-IR"/>
        </w:rPr>
        <w:t>ر بخلفي</w:t>
      </w:r>
      <w:r w:rsidR="002C312F" w:rsidRPr="00904FCB">
        <w:rPr>
          <w:rFonts w:ascii="Tahoma" w:hAnsi="Tahoma" w:hint="cs"/>
          <w:sz w:val="27"/>
          <w:rtl/>
          <w:lang w:bidi="fa-IR"/>
        </w:rPr>
        <w:t>ّ</w:t>
      </w:r>
      <w:r w:rsidRPr="00904FCB">
        <w:rPr>
          <w:rFonts w:ascii="Tahoma" w:hAnsi="Tahoma"/>
          <w:sz w:val="27"/>
          <w:rtl/>
          <w:lang w:bidi="fa-IR"/>
        </w:rPr>
        <w:t>ات الزمان أو المكان أو الأعراف.</w:t>
      </w:r>
      <w:r w:rsidR="002C312F" w:rsidRPr="00904FCB">
        <w:rPr>
          <w:rFonts w:ascii="Tahoma" w:hAnsi="Tahoma" w:hint="cs"/>
          <w:sz w:val="27"/>
          <w:rtl/>
          <w:lang w:bidi="fa-IR"/>
        </w:rPr>
        <w:t>.</w:t>
      </w:r>
      <w:r w:rsidRPr="00904FCB">
        <w:rPr>
          <w:rFonts w:ascii="Tahoma" w:hAnsi="Tahoma"/>
          <w:sz w:val="27"/>
          <w:rtl/>
          <w:lang w:bidi="fa-IR"/>
        </w:rPr>
        <w:t>.</w:t>
      </w:r>
      <w:r w:rsidR="00F8468B">
        <w:rPr>
          <w:rFonts w:ascii="Tahoma" w:hAnsi="Tahoma" w:hint="cs"/>
          <w:sz w:val="27"/>
          <w:rtl/>
          <w:lang w:bidi="fa-IR"/>
        </w:rPr>
        <w:t>،</w:t>
      </w:r>
      <w:r w:rsidRPr="00904FCB">
        <w:rPr>
          <w:rFonts w:ascii="Tahoma" w:hAnsi="Tahoma"/>
          <w:sz w:val="27"/>
          <w:rtl/>
          <w:lang w:bidi="fa-IR"/>
        </w:rPr>
        <w:t xml:space="preserve"> إذا وافقنا ذلك ف</w:t>
      </w:r>
      <w:r w:rsidR="002C312F" w:rsidRPr="00904FCB">
        <w:rPr>
          <w:rFonts w:ascii="Tahoma" w:hAnsi="Tahoma" w:hint="cs"/>
          <w:sz w:val="27"/>
          <w:rtl/>
          <w:lang w:bidi="fa-IR"/>
        </w:rPr>
        <w:t>إ</w:t>
      </w:r>
      <w:r w:rsidRPr="00904FCB">
        <w:rPr>
          <w:rFonts w:ascii="Tahoma" w:hAnsi="Tahoma"/>
          <w:sz w:val="27"/>
          <w:rtl/>
          <w:lang w:bidi="fa-IR"/>
        </w:rPr>
        <w:t>ننا سنجد أنفسنا مرغمين ب</w:t>
      </w:r>
      <w:r w:rsidR="002C312F" w:rsidRPr="00904FCB">
        <w:rPr>
          <w:rFonts w:ascii="Tahoma" w:hAnsi="Tahoma" w:hint="cs"/>
          <w:sz w:val="27"/>
          <w:rtl/>
          <w:lang w:bidi="fa-IR"/>
        </w:rPr>
        <w:t>ا</w:t>
      </w:r>
      <w:r w:rsidRPr="00904FCB">
        <w:rPr>
          <w:rFonts w:ascii="Tahoma" w:hAnsi="Tahoma"/>
          <w:sz w:val="27"/>
          <w:rtl/>
          <w:lang w:bidi="fa-IR"/>
        </w:rPr>
        <w:t>ت</w:t>
      </w:r>
      <w:r w:rsidR="002C312F" w:rsidRPr="00904FCB">
        <w:rPr>
          <w:rFonts w:ascii="Tahoma" w:hAnsi="Tahoma" w:hint="cs"/>
          <w:sz w:val="27"/>
          <w:rtl/>
          <w:lang w:bidi="fa-IR"/>
        </w:rPr>
        <w:t>ّ</w:t>
      </w:r>
      <w:r w:rsidRPr="00904FCB">
        <w:rPr>
          <w:rFonts w:ascii="Tahoma" w:hAnsi="Tahoma"/>
          <w:sz w:val="27"/>
          <w:rtl/>
          <w:lang w:bidi="fa-IR"/>
        </w:rPr>
        <w:t>باع تلك الأحكام على نحو الإلزام، حت</w:t>
      </w:r>
      <w:r w:rsidR="002C312F" w:rsidRPr="00904FCB">
        <w:rPr>
          <w:rFonts w:ascii="Tahoma" w:hAnsi="Tahoma" w:hint="cs"/>
          <w:sz w:val="27"/>
          <w:rtl/>
          <w:lang w:bidi="fa-IR"/>
        </w:rPr>
        <w:t>ّ</w:t>
      </w:r>
      <w:r w:rsidRPr="00904FCB">
        <w:rPr>
          <w:rFonts w:ascii="Tahoma" w:hAnsi="Tahoma"/>
          <w:sz w:val="27"/>
          <w:rtl/>
          <w:lang w:bidi="fa-IR"/>
        </w:rPr>
        <w:t>ى و</w:t>
      </w:r>
      <w:r w:rsidR="002C312F" w:rsidRPr="00904FCB">
        <w:rPr>
          <w:rFonts w:ascii="Tahoma" w:hAnsi="Tahoma" w:hint="cs"/>
          <w:sz w:val="27"/>
          <w:rtl/>
          <w:lang w:bidi="fa-IR"/>
        </w:rPr>
        <w:t>إ</w:t>
      </w:r>
      <w:r w:rsidRPr="00904FCB">
        <w:rPr>
          <w:rFonts w:ascii="Tahoma" w:hAnsi="Tahoma"/>
          <w:sz w:val="27"/>
          <w:rtl/>
          <w:lang w:bidi="fa-IR"/>
        </w:rPr>
        <w:t>ن</w:t>
      </w:r>
      <w:r w:rsidR="002C312F" w:rsidRPr="00904FCB">
        <w:rPr>
          <w:rFonts w:ascii="Tahoma" w:hAnsi="Tahoma" w:hint="cs"/>
          <w:sz w:val="27"/>
          <w:rtl/>
          <w:lang w:bidi="fa-IR"/>
        </w:rPr>
        <w:t>ْ</w:t>
      </w:r>
      <w:r w:rsidRPr="00904FCB">
        <w:rPr>
          <w:rFonts w:ascii="Tahoma" w:hAnsi="Tahoma"/>
          <w:sz w:val="27"/>
          <w:rtl/>
          <w:lang w:bidi="fa-IR"/>
        </w:rPr>
        <w:t xml:space="preserve"> رأينا عدم قناعتنا بالع</w:t>
      </w:r>
      <w:r w:rsidR="002C312F" w:rsidRPr="00904FCB">
        <w:rPr>
          <w:rFonts w:ascii="Tahoma" w:hAnsi="Tahoma" w:hint="cs"/>
          <w:sz w:val="27"/>
          <w:rtl/>
          <w:lang w:bidi="fa-IR"/>
        </w:rPr>
        <w:t>ُ</w:t>
      </w:r>
      <w:r w:rsidRPr="00904FCB">
        <w:rPr>
          <w:rFonts w:ascii="Tahoma" w:hAnsi="Tahoma"/>
          <w:sz w:val="27"/>
          <w:rtl/>
          <w:lang w:bidi="fa-IR"/>
        </w:rPr>
        <w:t>ذ</w:t>
      </w:r>
      <w:r w:rsidR="002C312F" w:rsidRPr="00904FCB">
        <w:rPr>
          <w:rFonts w:ascii="Tahoma" w:hAnsi="Tahoma" w:hint="cs"/>
          <w:sz w:val="27"/>
          <w:rtl/>
          <w:lang w:bidi="fa-IR"/>
        </w:rPr>
        <w:t>ْ</w:t>
      </w:r>
      <w:r w:rsidRPr="00904FCB">
        <w:rPr>
          <w:rFonts w:ascii="Tahoma" w:hAnsi="Tahoma"/>
          <w:sz w:val="27"/>
          <w:rtl/>
          <w:lang w:bidi="fa-IR"/>
        </w:rPr>
        <w:t>ر</w:t>
      </w:r>
      <w:r w:rsidR="002C312F" w:rsidRPr="00904FCB">
        <w:rPr>
          <w:rFonts w:ascii="Tahoma" w:hAnsi="Tahoma" w:hint="cs"/>
          <w:sz w:val="27"/>
          <w:rtl/>
          <w:lang w:bidi="fa-IR"/>
        </w:rPr>
        <w:t>؛</w:t>
      </w:r>
      <w:r w:rsidRPr="00904FCB">
        <w:rPr>
          <w:rFonts w:ascii="Tahoma" w:hAnsi="Tahoma"/>
          <w:sz w:val="27"/>
          <w:rtl/>
          <w:lang w:bidi="fa-IR"/>
        </w:rPr>
        <w:t xml:space="preserve"> وذلك لتأث</w:t>
      </w:r>
      <w:r w:rsidR="00895838" w:rsidRPr="00904FCB">
        <w:rPr>
          <w:rFonts w:ascii="Tahoma" w:hAnsi="Tahoma" w:hint="cs"/>
          <w:sz w:val="27"/>
          <w:rtl/>
          <w:lang w:bidi="fa-IR"/>
        </w:rPr>
        <w:t>ُّ</w:t>
      </w:r>
      <w:r w:rsidRPr="00904FCB">
        <w:rPr>
          <w:rFonts w:ascii="Tahoma" w:hAnsi="Tahoma"/>
          <w:sz w:val="27"/>
          <w:rtl/>
          <w:lang w:bidi="fa-IR"/>
        </w:rPr>
        <w:t>رنا بالظروف المكانية أو الزمانية أو المؤث</w:t>
      </w:r>
      <w:r w:rsidR="00895838" w:rsidRPr="00904FCB">
        <w:rPr>
          <w:rFonts w:ascii="Tahoma" w:hAnsi="Tahoma" w:hint="cs"/>
          <w:sz w:val="27"/>
          <w:rtl/>
          <w:lang w:bidi="fa-IR"/>
        </w:rPr>
        <w:t>ِّ</w:t>
      </w:r>
      <w:r w:rsidRPr="00904FCB">
        <w:rPr>
          <w:rFonts w:ascii="Tahoma" w:hAnsi="Tahoma"/>
          <w:sz w:val="27"/>
          <w:rtl/>
          <w:lang w:bidi="fa-IR"/>
        </w:rPr>
        <w:t xml:space="preserve">رات الخارجية الأخرى، ورغبتنا في </w:t>
      </w:r>
      <w:r w:rsidR="00F8468B">
        <w:rPr>
          <w:rFonts w:ascii="Tahoma" w:hAnsi="Tahoma" w:hint="cs"/>
          <w:sz w:val="27"/>
          <w:rtl/>
          <w:lang w:bidi="fa-IR"/>
        </w:rPr>
        <w:t>تبعيّة</w:t>
      </w:r>
      <w:r w:rsidRPr="00904FCB">
        <w:rPr>
          <w:rFonts w:ascii="Tahoma" w:hAnsi="Tahoma"/>
          <w:sz w:val="27"/>
          <w:rtl/>
          <w:lang w:bidi="fa-IR"/>
        </w:rPr>
        <w:t xml:space="preserve"> الأحكام لظروفنا أو مفهومنا القاصر عنها....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بينما لا نجد الع</w:t>
      </w:r>
      <w:r w:rsidR="00C62A20" w:rsidRPr="00904FCB">
        <w:rPr>
          <w:rFonts w:ascii="Tahoma" w:hAnsi="Tahoma" w:hint="cs"/>
          <w:sz w:val="27"/>
          <w:rtl/>
          <w:lang w:bidi="fa-IR"/>
        </w:rPr>
        <w:t>ُ</w:t>
      </w:r>
      <w:r w:rsidRPr="00904FCB">
        <w:rPr>
          <w:rFonts w:ascii="Tahoma" w:hAnsi="Tahoma"/>
          <w:sz w:val="27"/>
          <w:rtl/>
          <w:lang w:bidi="fa-IR"/>
        </w:rPr>
        <w:t>ذ</w:t>
      </w:r>
      <w:r w:rsidR="00C62A20" w:rsidRPr="00904FCB">
        <w:rPr>
          <w:rFonts w:ascii="Tahoma" w:hAnsi="Tahoma" w:hint="cs"/>
          <w:sz w:val="27"/>
          <w:rtl/>
          <w:lang w:bidi="fa-IR"/>
        </w:rPr>
        <w:t>ْ</w:t>
      </w:r>
      <w:r w:rsidRPr="00904FCB">
        <w:rPr>
          <w:rFonts w:ascii="Tahoma" w:hAnsi="Tahoma"/>
          <w:sz w:val="27"/>
          <w:rtl/>
          <w:lang w:bidi="fa-IR"/>
        </w:rPr>
        <w:t>ر في مواد القانون الوضعي</w:t>
      </w:r>
      <w:r w:rsidR="00C62A20" w:rsidRPr="00904FCB">
        <w:rPr>
          <w:rFonts w:ascii="Tahoma" w:hAnsi="Tahoma" w:hint="cs"/>
          <w:sz w:val="27"/>
          <w:rtl/>
          <w:lang w:bidi="fa-IR"/>
        </w:rPr>
        <w:t xml:space="preserve">، </w:t>
      </w:r>
      <w:r w:rsidRPr="00904FCB">
        <w:rPr>
          <w:rFonts w:ascii="Tahoma" w:hAnsi="Tahoma"/>
          <w:sz w:val="27"/>
          <w:rtl/>
          <w:lang w:bidi="fa-IR"/>
        </w:rPr>
        <w:t xml:space="preserve">التي تدعو أحياناً إلى الاستبداد والدكتاتورية، أو تلك التي </w:t>
      </w:r>
      <w:r w:rsidR="00C62A20" w:rsidRPr="00904FCB">
        <w:rPr>
          <w:rFonts w:ascii="Tahoma" w:hAnsi="Tahoma" w:hint="cs"/>
          <w:sz w:val="27"/>
          <w:rtl/>
          <w:lang w:bidi="fa-IR"/>
        </w:rPr>
        <w:t>ن</w:t>
      </w:r>
      <w:r w:rsidRPr="00904FCB">
        <w:rPr>
          <w:rFonts w:ascii="Tahoma" w:hAnsi="Tahoma"/>
          <w:sz w:val="27"/>
          <w:rtl/>
          <w:lang w:bidi="fa-IR"/>
        </w:rPr>
        <w:t>رى فيها أنها لا تمث</w:t>
      </w:r>
      <w:r w:rsidR="00C62A20" w:rsidRPr="00904FCB">
        <w:rPr>
          <w:rFonts w:ascii="Tahoma" w:hAnsi="Tahoma" w:hint="cs"/>
          <w:sz w:val="27"/>
          <w:rtl/>
          <w:lang w:bidi="fa-IR"/>
        </w:rPr>
        <w:t>ِّ</w:t>
      </w:r>
      <w:r w:rsidRPr="00904FCB">
        <w:rPr>
          <w:rFonts w:ascii="Tahoma" w:hAnsi="Tahoma"/>
          <w:sz w:val="27"/>
          <w:rtl/>
          <w:lang w:bidi="fa-IR"/>
        </w:rPr>
        <w:t>ل العدالة الاجتماعية</w:t>
      </w:r>
      <w:r w:rsidR="00C62A20" w:rsidRPr="00904FCB">
        <w:rPr>
          <w:rFonts w:ascii="Tahoma" w:hAnsi="Tahoma" w:hint="cs"/>
          <w:sz w:val="27"/>
          <w:rtl/>
          <w:lang w:bidi="fa-IR"/>
        </w:rPr>
        <w:t>؛</w:t>
      </w:r>
      <w:r w:rsidRPr="00904FCB">
        <w:rPr>
          <w:rFonts w:ascii="Tahoma" w:hAnsi="Tahoma"/>
          <w:sz w:val="27"/>
          <w:rtl/>
          <w:lang w:bidi="fa-IR"/>
        </w:rPr>
        <w:t xml:space="preserve"> كون الواضع لها يعيش الظروف التي نعيشها نحن من ملابسات الزمان أو المكان أو الأعراف والتقاليد</w:t>
      </w:r>
      <w:r w:rsidR="00C62A20" w:rsidRPr="00904FCB">
        <w:rPr>
          <w:rFonts w:ascii="Tahoma" w:hAnsi="Tahoma" w:hint="cs"/>
          <w:sz w:val="27"/>
          <w:rtl/>
          <w:lang w:bidi="fa-IR"/>
        </w:rPr>
        <w:t>،</w:t>
      </w:r>
      <w:r w:rsidRPr="00904FCB">
        <w:rPr>
          <w:rFonts w:ascii="Tahoma" w:hAnsi="Tahoma"/>
          <w:sz w:val="27"/>
          <w:rtl/>
          <w:lang w:bidi="fa-IR"/>
        </w:rPr>
        <w:t xml:space="preserve"> لذا توج</w:t>
      </w:r>
      <w:r w:rsidR="00C62A20" w:rsidRPr="00904FCB">
        <w:rPr>
          <w:rFonts w:ascii="Tahoma" w:hAnsi="Tahoma" w:hint="cs"/>
          <w:sz w:val="27"/>
          <w:rtl/>
          <w:lang w:bidi="fa-IR"/>
        </w:rPr>
        <w:t>ّ</w:t>
      </w:r>
      <w:r w:rsidRPr="00904FCB">
        <w:rPr>
          <w:rFonts w:ascii="Tahoma" w:hAnsi="Tahoma"/>
          <w:sz w:val="27"/>
          <w:rtl/>
          <w:lang w:bidi="fa-IR"/>
        </w:rPr>
        <w:t>ب أن تنظر مواد</w:t>
      </w:r>
      <w:r w:rsidR="00C62A20" w:rsidRPr="00904FCB">
        <w:rPr>
          <w:rFonts w:ascii="Tahoma" w:hAnsi="Tahoma" w:hint="cs"/>
          <w:sz w:val="27"/>
          <w:rtl/>
          <w:lang w:bidi="fa-IR"/>
        </w:rPr>
        <w:t>ّ</w:t>
      </w:r>
      <w:r w:rsidRPr="00904FCB">
        <w:rPr>
          <w:rFonts w:ascii="Tahoma" w:hAnsi="Tahoma"/>
          <w:sz w:val="27"/>
          <w:rtl/>
          <w:lang w:bidi="fa-IR"/>
        </w:rPr>
        <w:t>ه القانونية إلى تلك الملابسات. ثم</w:t>
      </w:r>
      <w:r w:rsidR="00C62A20" w:rsidRPr="00904FCB">
        <w:rPr>
          <w:rFonts w:ascii="Tahoma" w:hAnsi="Tahoma" w:hint="cs"/>
          <w:sz w:val="27"/>
          <w:rtl/>
          <w:lang w:bidi="fa-IR"/>
        </w:rPr>
        <w:t>ّ</w:t>
      </w:r>
      <w:r w:rsidRPr="00904FCB">
        <w:rPr>
          <w:rFonts w:ascii="Tahoma" w:hAnsi="Tahoma"/>
          <w:sz w:val="27"/>
          <w:rtl/>
          <w:lang w:bidi="fa-IR"/>
        </w:rPr>
        <w:t xml:space="preserve"> </w:t>
      </w:r>
      <w:r w:rsidR="00C62A20" w:rsidRPr="00904FCB">
        <w:rPr>
          <w:rFonts w:ascii="Tahoma" w:hAnsi="Tahoma" w:hint="cs"/>
          <w:sz w:val="27"/>
          <w:rtl/>
          <w:lang w:bidi="fa-IR"/>
        </w:rPr>
        <w:t>إ</w:t>
      </w:r>
      <w:r w:rsidRPr="00904FCB">
        <w:rPr>
          <w:rFonts w:ascii="Tahoma" w:hAnsi="Tahoma"/>
          <w:sz w:val="27"/>
          <w:rtl/>
          <w:lang w:bidi="fa-IR"/>
        </w:rPr>
        <w:t>ن</w:t>
      </w:r>
      <w:r w:rsidR="00F8468B">
        <w:rPr>
          <w:rFonts w:ascii="Tahoma" w:hAnsi="Tahoma" w:hint="cs"/>
          <w:sz w:val="27"/>
          <w:rtl/>
          <w:lang w:bidi="fa-IR"/>
        </w:rPr>
        <w:t>ّ</w:t>
      </w:r>
      <w:r w:rsidRPr="00904FCB">
        <w:rPr>
          <w:rFonts w:ascii="Tahoma" w:hAnsi="Tahoma"/>
          <w:sz w:val="27"/>
          <w:rtl/>
          <w:lang w:bidi="fa-IR"/>
        </w:rPr>
        <w:t xml:space="preserve"> حكمنا بجائرية بعض هذه المواد</w:t>
      </w:r>
      <w:r w:rsidR="00C62A20" w:rsidRPr="00904FCB">
        <w:rPr>
          <w:rFonts w:ascii="Tahoma" w:hAnsi="Tahoma" w:hint="cs"/>
          <w:sz w:val="27"/>
          <w:rtl/>
          <w:lang w:bidi="fa-IR"/>
        </w:rPr>
        <w:t>ّ</w:t>
      </w:r>
      <w:r w:rsidRPr="00904FCB">
        <w:rPr>
          <w:rFonts w:ascii="Tahoma" w:hAnsi="Tahoma"/>
          <w:sz w:val="27"/>
          <w:rtl/>
          <w:lang w:bidi="fa-IR"/>
        </w:rPr>
        <w:t xml:space="preserve"> يتأتى من ظن</w:t>
      </w:r>
      <w:r w:rsidR="00C62A20" w:rsidRPr="00904FCB">
        <w:rPr>
          <w:rFonts w:ascii="Tahoma" w:hAnsi="Tahoma" w:hint="cs"/>
          <w:sz w:val="27"/>
          <w:rtl/>
          <w:lang w:bidi="fa-IR"/>
        </w:rPr>
        <w:t>ّ</w:t>
      </w:r>
      <w:r w:rsidR="00C62A20" w:rsidRPr="00904FCB">
        <w:rPr>
          <w:rFonts w:ascii="Tahoma" w:hAnsi="Tahoma"/>
          <w:sz w:val="27"/>
          <w:rtl/>
          <w:lang w:bidi="fa-IR"/>
        </w:rPr>
        <w:t>ن</w:t>
      </w:r>
      <w:r w:rsidRPr="00904FCB">
        <w:rPr>
          <w:rFonts w:ascii="Tahoma" w:hAnsi="Tahoma"/>
          <w:sz w:val="27"/>
          <w:rtl/>
          <w:lang w:bidi="fa-IR"/>
        </w:rPr>
        <w:t xml:space="preserve">ا بأنها </w:t>
      </w:r>
      <w:r w:rsidR="00C62A20" w:rsidRPr="00904FCB">
        <w:rPr>
          <w:rFonts w:ascii="Tahoma" w:hAnsi="Tahoma" w:hint="cs"/>
          <w:sz w:val="27"/>
          <w:rtl/>
          <w:lang w:bidi="fa-IR"/>
        </w:rPr>
        <w:t>إ</w:t>
      </w:r>
      <w:r w:rsidRPr="00904FCB">
        <w:rPr>
          <w:rFonts w:ascii="Tahoma" w:hAnsi="Tahoma"/>
          <w:sz w:val="27"/>
          <w:rtl/>
          <w:lang w:bidi="fa-IR"/>
        </w:rPr>
        <w:t>ن</w:t>
      </w:r>
      <w:r w:rsidR="00C62A20" w:rsidRPr="00904FCB">
        <w:rPr>
          <w:rFonts w:ascii="Tahoma" w:hAnsi="Tahoma" w:hint="cs"/>
          <w:sz w:val="27"/>
          <w:rtl/>
          <w:lang w:bidi="fa-IR"/>
        </w:rPr>
        <w:t>ّ</w:t>
      </w:r>
      <w:r w:rsidRPr="00904FCB">
        <w:rPr>
          <w:rFonts w:ascii="Tahoma" w:hAnsi="Tahoma"/>
          <w:sz w:val="27"/>
          <w:rtl/>
          <w:lang w:bidi="fa-IR"/>
        </w:rPr>
        <w:t>ما ترنو إلى مصالح السلطة التي وضعت هذه المواد القانونية</w:t>
      </w:r>
      <w:r w:rsidR="00C62A20" w:rsidRPr="00904FCB">
        <w:rPr>
          <w:rFonts w:ascii="Tahoma" w:hAnsi="Tahoma" w:hint="cs"/>
          <w:sz w:val="27"/>
          <w:rtl/>
          <w:lang w:bidi="fa-IR"/>
        </w:rPr>
        <w:t>،</w:t>
      </w:r>
      <w:r w:rsidRPr="00904FCB">
        <w:rPr>
          <w:rFonts w:ascii="Tahoma" w:hAnsi="Tahoma"/>
          <w:sz w:val="27"/>
          <w:rtl/>
          <w:lang w:bidi="fa-IR"/>
        </w:rPr>
        <w:t xml:space="preserve"> وهذا الأمر تفرضه فلسفة تلك السلطة التي تؤمن بها</w:t>
      </w:r>
      <w:r w:rsidR="00C62A20" w:rsidRPr="00904FCB">
        <w:rPr>
          <w:rFonts w:ascii="Tahoma" w:hAnsi="Tahoma" w:hint="cs"/>
          <w:sz w:val="27"/>
          <w:rtl/>
          <w:lang w:bidi="fa-IR"/>
        </w:rPr>
        <w:t>،</w:t>
      </w:r>
      <w:r w:rsidRPr="00904FCB">
        <w:rPr>
          <w:rFonts w:ascii="Tahoma" w:hAnsi="Tahoma"/>
          <w:sz w:val="27"/>
          <w:rtl/>
          <w:lang w:bidi="fa-IR"/>
        </w:rPr>
        <w:t xml:space="preserve"> وتريد أن تطب</w:t>
      </w:r>
      <w:r w:rsidR="00C62A20" w:rsidRPr="00904FCB">
        <w:rPr>
          <w:rFonts w:ascii="Tahoma" w:hAnsi="Tahoma" w:hint="cs"/>
          <w:sz w:val="27"/>
          <w:rtl/>
          <w:lang w:bidi="fa-IR"/>
        </w:rPr>
        <w:t>ِّ</w:t>
      </w:r>
      <w:r w:rsidRPr="00904FCB">
        <w:rPr>
          <w:rFonts w:ascii="Tahoma" w:hAnsi="Tahoma"/>
          <w:sz w:val="27"/>
          <w:rtl/>
          <w:lang w:bidi="fa-IR"/>
        </w:rPr>
        <w:t>قها ق</w:t>
      </w:r>
      <w:r w:rsidR="00C62A20" w:rsidRPr="00904FCB">
        <w:rPr>
          <w:rFonts w:ascii="Tahoma" w:hAnsi="Tahoma" w:hint="cs"/>
          <w:sz w:val="27"/>
          <w:rtl/>
          <w:lang w:bidi="fa-IR"/>
        </w:rPr>
        <w:t>َ</w:t>
      </w:r>
      <w:r w:rsidRPr="00904FCB">
        <w:rPr>
          <w:rFonts w:ascii="Tahoma" w:hAnsi="Tahoma"/>
          <w:sz w:val="27"/>
          <w:rtl/>
          <w:lang w:bidi="fa-IR"/>
        </w:rPr>
        <w:t>س</w:t>
      </w:r>
      <w:r w:rsidR="00C62A20" w:rsidRPr="00904FCB">
        <w:rPr>
          <w:rFonts w:ascii="Tahoma" w:hAnsi="Tahoma" w:hint="cs"/>
          <w:sz w:val="27"/>
          <w:rtl/>
          <w:lang w:bidi="fa-IR"/>
        </w:rPr>
        <w:t>ْ</w:t>
      </w:r>
      <w:r w:rsidRPr="00904FCB">
        <w:rPr>
          <w:rFonts w:ascii="Tahoma" w:hAnsi="Tahoma"/>
          <w:sz w:val="27"/>
          <w:rtl/>
          <w:lang w:bidi="fa-IR"/>
        </w:rPr>
        <w:t>راً على فلسفات الشعب ال</w:t>
      </w:r>
      <w:r w:rsidR="00C62A20" w:rsidRPr="00904FCB">
        <w:rPr>
          <w:rFonts w:ascii="Tahoma" w:hAnsi="Tahoma" w:hint="cs"/>
          <w:sz w:val="27"/>
          <w:rtl/>
          <w:lang w:bidi="fa-IR"/>
        </w:rPr>
        <w:t>ذ</w:t>
      </w:r>
      <w:r w:rsidRPr="00904FCB">
        <w:rPr>
          <w:rFonts w:ascii="Tahoma" w:hAnsi="Tahoma"/>
          <w:sz w:val="27"/>
          <w:rtl/>
          <w:lang w:bidi="fa-IR"/>
        </w:rPr>
        <w:t>ي تحكمه</w:t>
      </w:r>
      <w:r w:rsidR="00C62A20" w:rsidRPr="00904FCB">
        <w:rPr>
          <w:rFonts w:ascii="Tahoma" w:hAnsi="Tahoma" w:hint="cs"/>
          <w:sz w:val="27"/>
          <w:rtl/>
          <w:lang w:bidi="fa-IR"/>
        </w:rPr>
        <w:t>.</w:t>
      </w:r>
      <w:r w:rsidRPr="00904FCB">
        <w:rPr>
          <w:rFonts w:ascii="Tahoma" w:hAnsi="Tahoma"/>
          <w:sz w:val="27"/>
          <w:rtl/>
          <w:lang w:bidi="fa-IR"/>
        </w:rPr>
        <w:t xml:space="preserve"> «وبما أن القانون الوضعي قد فصل نفسه عن الأخلاق والدين وق</w:t>
      </w:r>
      <w:r w:rsidR="00C62A20" w:rsidRPr="00904FCB">
        <w:rPr>
          <w:rFonts w:ascii="Tahoma" w:hAnsi="Tahoma" w:hint="cs"/>
          <w:sz w:val="27"/>
          <w:rtl/>
          <w:lang w:bidi="fa-IR"/>
        </w:rPr>
        <w:t>ِ</w:t>
      </w:r>
      <w:r w:rsidRPr="00904FCB">
        <w:rPr>
          <w:rFonts w:ascii="Tahoma" w:hAnsi="Tahoma"/>
          <w:sz w:val="27"/>
          <w:rtl/>
          <w:lang w:bidi="fa-IR"/>
        </w:rPr>
        <w:t>ي</w:t>
      </w:r>
      <w:r w:rsidR="00C62A20" w:rsidRPr="00904FCB">
        <w:rPr>
          <w:rFonts w:ascii="Tahoma" w:hAnsi="Tahoma" w:hint="cs"/>
          <w:sz w:val="27"/>
          <w:rtl/>
          <w:lang w:bidi="fa-IR"/>
        </w:rPr>
        <w:t>َ</w:t>
      </w:r>
      <w:r w:rsidRPr="00904FCB">
        <w:rPr>
          <w:rFonts w:ascii="Tahoma" w:hAnsi="Tahoma"/>
          <w:sz w:val="27"/>
          <w:rtl/>
          <w:lang w:bidi="fa-IR"/>
        </w:rPr>
        <w:t>م القانون الطبيعي ف</w:t>
      </w:r>
      <w:r w:rsidR="00C62A20" w:rsidRPr="00904FCB">
        <w:rPr>
          <w:rFonts w:ascii="Tahoma" w:hAnsi="Tahoma" w:hint="cs"/>
          <w:sz w:val="27"/>
          <w:rtl/>
          <w:lang w:bidi="fa-IR"/>
        </w:rPr>
        <w:t>إ</w:t>
      </w:r>
      <w:r w:rsidRPr="00904FCB">
        <w:rPr>
          <w:rFonts w:ascii="Tahoma" w:hAnsi="Tahoma"/>
          <w:sz w:val="27"/>
          <w:rtl/>
          <w:lang w:bidi="fa-IR"/>
        </w:rPr>
        <w:t>نه يجد صعوبة</w:t>
      </w:r>
      <w:r w:rsidR="00C62A20" w:rsidRPr="00904FCB">
        <w:rPr>
          <w:rFonts w:ascii="Tahoma" w:hAnsi="Tahoma" w:hint="cs"/>
          <w:sz w:val="27"/>
          <w:rtl/>
          <w:lang w:bidi="fa-IR"/>
        </w:rPr>
        <w:t>ً</w:t>
      </w:r>
      <w:r w:rsidRPr="00904FCB">
        <w:rPr>
          <w:rFonts w:ascii="Tahoma" w:hAnsi="Tahoma"/>
          <w:sz w:val="27"/>
          <w:rtl/>
          <w:lang w:bidi="fa-IR"/>
        </w:rPr>
        <w:t xml:space="preserve"> كبيرة في إقناع المحكومين بضرورة الالتزام الط</w:t>
      </w:r>
      <w:r w:rsidR="00C62A20" w:rsidRPr="00904FCB">
        <w:rPr>
          <w:rFonts w:ascii="Tahoma" w:hAnsi="Tahoma" w:hint="cs"/>
          <w:sz w:val="27"/>
          <w:rtl/>
          <w:lang w:bidi="fa-IR"/>
        </w:rPr>
        <w:t>َّ</w:t>
      </w:r>
      <w:r w:rsidRPr="00904FCB">
        <w:rPr>
          <w:rFonts w:ascii="Tahoma" w:hAnsi="Tahoma"/>
          <w:sz w:val="27"/>
          <w:rtl/>
          <w:lang w:bidi="fa-IR"/>
        </w:rPr>
        <w:t>و</w:t>
      </w:r>
      <w:r w:rsidR="00C62A20" w:rsidRPr="00904FCB">
        <w:rPr>
          <w:rFonts w:ascii="Tahoma" w:hAnsi="Tahoma" w:hint="cs"/>
          <w:sz w:val="27"/>
          <w:rtl/>
          <w:lang w:bidi="fa-IR"/>
        </w:rPr>
        <w:t>ْ</w:t>
      </w:r>
      <w:r w:rsidRPr="00904FCB">
        <w:rPr>
          <w:rFonts w:ascii="Tahoma" w:hAnsi="Tahoma"/>
          <w:sz w:val="27"/>
          <w:rtl/>
          <w:lang w:bidi="fa-IR"/>
        </w:rPr>
        <w:t>عي والإرادي بالقانون، لذلك ف</w:t>
      </w:r>
      <w:r w:rsidR="00C62A20" w:rsidRPr="00904FCB">
        <w:rPr>
          <w:rFonts w:ascii="Tahoma" w:hAnsi="Tahoma" w:hint="cs"/>
          <w:sz w:val="27"/>
          <w:rtl/>
          <w:lang w:bidi="fa-IR"/>
        </w:rPr>
        <w:t>إ</w:t>
      </w:r>
      <w:r w:rsidRPr="00904FCB">
        <w:rPr>
          <w:rFonts w:ascii="Tahoma" w:hAnsi="Tahoma"/>
          <w:sz w:val="27"/>
          <w:rtl/>
          <w:lang w:bidi="fa-IR"/>
        </w:rPr>
        <w:t>نه يعتمد على الإكراه الماد</w:t>
      </w:r>
      <w:r w:rsidR="00C62A20" w:rsidRPr="00904FCB">
        <w:rPr>
          <w:rFonts w:ascii="Tahoma" w:hAnsi="Tahoma" w:hint="cs"/>
          <w:sz w:val="27"/>
          <w:rtl/>
          <w:lang w:bidi="fa-IR"/>
        </w:rPr>
        <w:t>ّ</w:t>
      </w:r>
      <w:r w:rsidRPr="00904FCB">
        <w:rPr>
          <w:rFonts w:ascii="Tahoma" w:hAnsi="Tahoma"/>
          <w:sz w:val="27"/>
          <w:rtl/>
          <w:lang w:bidi="fa-IR"/>
        </w:rPr>
        <w:t>ي</w:t>
      </w:r>
      <w:r w:rsidR="00697D01" w:rsidRPr="00904FCB">
        <w:rPr>
          <w:rFonts w:ascii="Tahoma" w:hAnsi="Tahoma" w:hint="cs"/>
          <w:sz w:val="27"/>
          <w:rtl/>
          <w:lang w:bidi="fa-IR"/>
        </w:rPr>
        <w:t>،</w:t>
      </w:r>
      <w:r w:rsidRPr="00904FCB">
        <w:rPr>
          <w:rFonts w:ascii="Tahoma" w:hAnsi="Tahoma"/>
          <w:sz w:val="27"/>
          <w:rtl/>
          <w:lang w:bidi="fa-IR"/>
        </w:rPr>
        <w:t xml:space="preserve"> لذلك ف</w:t>
      </w:r>
      <w:r w:rsidR="00C62A20" w:rsidRPr="00904FCB">
        <w:rPr>
          <w:rFonts w:ascii="Tahoma" w:hAnsi="Tahoma" w:hint="cs"/>
          <w:sz w:val="27"/>
          <w:rtl/>
          <w:lang w:bidi="fa-IR"/>
        </w:rPr>
        <w:t>إ</w:t>
      </w:r>
      <w:r w:rsidRPr="00904FCB">
        <w:rPr>
          <w:rFonts w:ascii="Tahoma" w:hAnsi="Tahoma"/>
          <w:sz w:val="27"/>
          <w:rtl/>
          <w:lang w:bidi="fa-IR"/>
        </w:rPr>
        <w:t>ن القانون الوضعي يعتمد في ضبط سلوك ال</w:t>
      </w:r>
      <w:r w:rsidR="00C62A20" w:rsidRPr="00904FCB">
        <w:rPr>
          <w:rFonts w:ascii="Tahoma" w:hAnsi="Tahoma" w:hint="cs"/>
          <w:sz w:val="27"/>
          <w:rtl/>
          <w:lang w:bidi="fa-IR"/>
        </w:rPr>
        <w:t>أ</w:t>
      </w:r>
      <w:r w:rsidRPr="00904FCB">
        <w:rPr>
          <w:rFonts w:ascii="Tahoma" w:hAnsi="Tahoma"/>
          <w:sz w:val="27"/>
          <w:rtl/>
          <w:lang w:bidi="fa-IR"/>
        </w:rPr>
        <w:t>فراد على القوة الماد</w:t>
      </w:r>
      <w:r w:rsidR="00C62A20" w:rsidRPr="00904FCB">
        <w:rPr>
          <w:rFonts w:ascii="Tahoma" w:hAnsi="Tahoma" w:hint="cs"/>
          <w:sz w:val="27"/>
          <w:rtl/>
          <w:lang w:bidi="fa-IR"/>
        </w:rPr>
        <w:t>ّ</w:t>
      </w:r>
      <w:r w:rsidRPr="00904FCB">
        <w:rPr>
          <w:rFonts w:ascii="Tahoma" w:hAnsi="Tahoma"/>
          <w:sz w:val="27"/>
          <w:rtl/>
          <w:lang w:bidi="fa-IR"/>
        </w:rPr>
        <w:t>ية التي تظهر ممث</w:t>
      </w:r>
      <w:r w:rsidR="00C62A20" w:rsidRPr="00904FCB">
        <w:rPr>
          <w:rFonts w:ascii="Tahoma" w:hAnsi="Tahoma" w:hint="cs"/>
          <w:sz w:val="27"/>
          <w:rtl/>
          <w:lang w:bidi="fa-IR"/>
        </w:rPr>
        <w:t>ّ</w:t>
      </w:r>
      <w:r w:rsidRPr="00904FCB">
        <w:rPr>
          <w:rFonts w:ascii="Tahoma" w:hAnsi="Tahoma"/>
          <w:sz w:val="27"/>
          <w:rtl/>
          <w:lang w:bidi="fa-IR"/>
        </w:rPr>
        <w:t>لة بالإكراه البدني بشت</w:t>
      </w:r>
      <w:r w:rsidR="00C62A20" w:rsidRPr="00904FCB">
        <w:rPr>
          <w:rFonts w:ascii="Tahoma" w:hAnsi="Tahoma" w:hint="cs"/>
          <w:sz w:val="27"/>
          <w:rtl/>
          <w:lang w:bidi="fa-IR"/>
        </w:rPr>
        <w:t>ّ</w:t>
      </w:r>
      <w:r w:rsidRPr="00904FCB">
        <w:rPr>
          <w:rFonts w:ascii="Tahoma" w:hAnsi="Tahoma"/>
          <w:sz w:val="27"/>
          <w:rtl/>
          <w:lang w:bidi="fa-IR"/>
        </w:rPr>
        <w:t>ى الأشكال</w:t>
      </w:r>
      <w:r w:rsidR="00C62A20" w:rsidRPr="00904FCB">
        <w:rPr>
          <w:rFonts w:ascii="Tahoma" w:hAnsi="Tahoma" w:hint="cs"/>
          <w:sz w:val="27"/>
          <w:rtl/>
          <w:lang w:bidi="fa-IR"/>
        </w:rPr>
        <w:t>.</w:t>
      </w:r>
      <w:r w:rsidRPr="00904FCB">
        <w:rPr>
          <w:rFonts w:ascii="Tahoma" w:hAnsi="Tahoma"/>
          <w:sz w:val="27"/>
          <w:rtl/>
          <w:lang w:bidi="fa-IR"/>
        </w:rPr>
        <w:t xml:space="preserve"> ومن المؤك</w:t>
      </w:r>
      <w:r w:rsidR="00697D01" w:rsidRPr="00904FCB">
        <w:rPr>
          <w:rFonts w:ascii="Tahoma" w:hAnsi="Tahoma" w:hint="cs"/>
          <w:sz w:val="27"/>
          <w:rtl/>
          <w:lang w:bidi="fa-IR"/>
        </w:rPr>
        <w:t>َّ</w:t>
      </w:r>
      <w:r w:rsidRPr="00904FCB">
        <w:rPr>
          <w:rFonts w:ascii="Tahoma" w:hAnsi="Tahoma"/>
          <w:sz w:val="27"/>
          <w:rtl/>
          <w:lang w:bidi="fa-IR"/>
        </w:rPr>
        <w:t>د أن القوة المادية وحدها لا تستطيع حفظ النظام الاجتماعي</w:t>
      </w:r>
      <w:r w:rsidR="00697D01" w:rsidRPr="00904FCB">
        <w:rPr>
          <w:rFonts w:ascii="Tahoma" w:hAnsi="Tahoma" w:hint="cs"/>
          <w:sz w:val="27"/>
          <w:rtl/>
          <w:lang w:bidi="fa-IR"/>
        </w:rPr>
        <w:t>؛</w:t>
      </w:r>
      <w:r w:rsidRPr="00904FCB">
        <w:rPr>
          <w:rFonts w:ascii="Tahoma" w:hAnsi="Tahoma"/>
          <w:sz w:val="27"/>
          <w:rtl/>
          <w:lang w:bidi="fa-IR"/>
        </w:rPr>
        <w:t xml:space="preserve"> وذلك لطبيعتها الغريبة</w:t>
      </w:r>
      <w:r w:rsidR="00697D01" w:rsidRPr="00904FCB">
        <w:rPr>
          <w:rFonts w:ascii="Tahoma" w:hAnsi="Tahoma" w:hint="cs"/>
          <w:sz w:val="27"/>
          <w:rtl/>
          <w:lang w:bidi="fa-IR"/>
        </w:rPr>
        <w:t>،</w:t>
      </w:r>
      <w:r w:rsidRPr="00904FCB">
        <w:rPr>
          <w:rFonts w:ascii="Tahoma" w:hAnsi="Tahoma"/>
          <w:sz w:val="27"/>
          <w:rtl/>
          <w:lang w:bidi="fa-IR"/>
        </w:rPr>
        <w:t xml:space="preserve"> فهي تستبدل بالعلاقات الاجتماعية علاقات آلي</w:t>
      </w:r>
      <w:r w:rsidR="00697D01" w:rsidRPr="00904FCB">
        <w:rPr>
          <w:rFonts w:ascii="Tahoma" w:hAnsi="Tahoma" w:hint="cs"/>
          <w:sz w:val="27"/>
          <w:rtl/>
          <w:lang w:bidi="fa-IR"/>
        </w:rPr>
        <w:t>ّ</w:t>
      </w:r>
      <w:r w:rsidRPr="00904FCB">
        <w:rPr>
          <w:rFonts w:ascii="Tahoma" w:hAnsi="Tahoma"/>
          <w:sz w:val="27"/>
          <w:rtl/>
          <w:lang w:bidi="fa-IR"/>
        </w:rPr>
        <w:t>ة، والحقيقة أن المغالاة في استعمالها معناه أن النظام الاجتماعي قد تصد</w:t>
      </w:r>
      <w:r w:rsidR="00697D01" w:rsidRPr="00904FCB">
        <w:rPr>
          <w:rFonts w:ascii="Tahoma" w:hAnsi="Tahoma" w:hint="cs"/>
          <w:sz w:val="27"/>
          <w:rtl/>
          <w:lang w:bidi="fa-IR"/>
        </w:rPr>
        <w:t>َّ</w:t>
      </w:r>
      <w:r w:rsidRPr="00904FCB">
        <w:rPr>
          <w:rFonts w:ascii="Tahoma" w:hAnsi="Tahoma"/>
          <w:sz w:val="27"/>
          <w:rtl/>
          <w:lang w:bidi="fa-IR"/>
        </w:rPr>
        <w:t>ع</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ولا يبتعد الفقه الإسلامي كثيراً عن دستورية تحكمه</w:t>
      </w:r>
      <w:r w:rsidR="00697D01" w:rsidRPr="00904FCB">
        <w:rPr>
          <w:rFonts w:ascii="Tahoma" w:hAnsi="Tahoma" w:hint="cs"/>
          <w:sz w:val="27"/>
          <w:rtl/>
          <w:lang w:bidi="fa-IR"/>
        </w:rPr>
        <w:t>.</w:t>
      </w:r>
      <w:r w:rsidRPr="00904FCB">
        <w:rPr>
          <w:rFonts w:ascii="Tahoma" w:hAnsi="Tahoma"/>
          <w:sz w:val="27"/>
          <w:rtl/>
          <w:lang w:bidi="fa-IR"/>
        </w:rPr>
        <w:t xml:space="preserve"> فالقر</w:t>
      </w:r>
      <w:r w:rsidR="00697D01" w:rsidRPr="00904FCB">
        <w:rPr>
          <w:rFonts w:ascii="Tahoma" w:hAnsi="Tahoma" w:hint="cs"/>
          <w:sz w:val="27"/>
          <w:rtl/>
          <w:lang w:bidi="fa-IR"/>
        </w:rPr>
        <w:t>آ</w:t>
      </w:r>
      <w:r w:rsidRPr="00904FCB">
        <w:rPr>
          <w:rFonts w:ascii="Tahoma" w:hAnsi="Tahoma"/>
          <w:sz w:val="27"/>
          <w:rtl/>
          <w:lang w:bidi="fa-IR"/>
        </w:rPr>
        <w:t>ن الكريم والسن</w:t>
      </w:r>
      <w:r w:rsidR="00697D01" w:rsidRPr="00904FCB">
        <w:rPr>
          <w:rFonts w:ascii="Tahoma" w:hAnsi="Tahoma" w:hint="cs"/>
          <w:sz w:val="27"/>
          <w:rtl/>
          <w:lang w:bidi="fa-IR"/>
        </w:rPr>
        <w:t>ّ</w:t>
      </w:r>
      <w:r w:rsidRPr="00904FCB">
        <w:rPr>
          <w:rFonts w:ascii="Tahoma" w:hAnsi="Tahoma"/>
          <w:sz w:val="27"/>
          <w:rtl/>
          <w:lang w:bidi="fa-IR"/>
        </w:rPr>
        <w:t>ة المطه</w:t>
      </w:r>
      <w:r w:rsidR="00697D01" w:rsidRPr="00904FCB">
        <w:rPr>
          <w:rFonts w:ascii="Tahoma" w:hAnsi="Tahoma" w:hint="cs"/>
          <w:sz w:val="27"/>
          <w:rtl/>
          <w:lang w:bidi="fa-IR"/>
        </w:rPr>
        <w:t>َّ</w:t>
      </w:r>
      <w:r w:rsidRPr="00904FCB">
        <w:rPr>
          <w:rFonts w:ascii="Tahoma" w:hAnsi="Tahoma"/>
          <w:sz w:val="27"/>
          <w:rtl/>
          <w:lang w:bidi="fa-IR"/>
        </w:rPr>
        <w:t>رة تعتبر بمثابة الدستور</w:t>
      </w:r>
      <w:r w:rsidR="00697D01" w:rsidRPr="00904FCB">
        <w:rPr>
          <w:rFonts w:ascii="Tahoma" w:hAnsi="Tahoma" w:hint="cs"/>
          <w:sz w:val="27"/>
          <w:rtl/>
          <w:lang w:bidi="fa-IR"/>
        </w:rPr>
        <w:t>.</w:t>
      </w:r>
      <w:r w:rsidRPr="00904FCB">
        <w:rPr>
          <w:rFonts w:ascii="Tahoma" w:hAnsi="Tahoma"/>
          <w:sz w:val="27"/>
          <w:rtl/>
          <w:lang w:bidi="fa-IR"/>
        </w:rPr>
        <w:t xml:space="preserve"> فقد وضعت الآيات القرآنية وأحاديث المعصومين أ</w:t>
      </w:r>
      <w:r w:rsidR="00697D01" w:rsidRPr="00904FCB">
        <w:rPr>
          <w:rFonts w:ascii="Tahoma" w:hAnsi="Tahoma" w:hint="cs"/>
          <w:sz w:val="27"/>
          <w:rtl/>
          <w:lang w:bidi="fa-IR"/>
        </w:rPr>
        <w:t>ُ</w:t>
      </w:r>
      <w:r w:rsidRPr="00904FCB">
        <w:rPr>
          <w:rFonts w:ascii="Tahoma" w:hAnsi="Tahoma"/>
          <w:sz w:val="27"/>
          <w:rtl/>
          <w:lang w:bidi="fa-IR"/>
        </w:rPr>
        <w:t>سُساً عام</w:t>
      </w:r>
      <w:r w:rsidR="00697D01" w:rsidRPr="00904FCB">
        <w:rPr>
          <w:rFonts w:ascii="Tahoma" w:hAnsi="Tahoma" w:hint="cs"/>
          <w:sz w:val="27"/>
          <w:rtl/>
          <w:lang w:bidi="fa-IR"/>
        </w:rPr>
        <w:t>ّ</w:t>
      </w:r>
      <w:r w:rsidRPr="00904FCB">
        <w:rPr>
          <w:rFonts w:ascii="Tahoma" w:hAnsi="Tahoma"/>
          <w:sz w:val="27"/>
          <w:rtl/>
          <w:lang w:bidi="fa-IR"/>
        </w:rPr>
        <w:t>ة وقواعد كلية</w:t>
      </w:r>
      <w:r w:rsidR="00697D01" w:rsidRPr="00904FCB">
        <w:rPr>
          <w:rFonts w:ascii="Tahoma" w:hAnsi="Tahoma" w:hint="cs"/>
          <w:sz w:val="27"/>
          <w:rtl/>
          <w:lang w:bidi="fa-IR"/>
        </w:rPr>
        <w:t>،</w:t>
      </w:r>
      <w:r w:rsidRPr="00904FCB">
        <w:rPr>
          <w:rFonts w:ascii="Tahoma" w:hAnsi="Tahoma"/>
          <w:sz w:val="27"/>
          <w:rtl/>
          <w:lang w:bidi="fa-IR"/>
        </w:rPr>
        <w:t xml:space="preserve"> وضعت </w:t>
      </w:r>
      <w:r w:rsidR="00697D01" w:rsidRPr="00904FCB">
        <w:rPr>
          <w:rFonts w:ascii="Tahoma" w:hAnsi="Tahoma" w:hint="cs"/>
          <w:sz w:val="27"/>
          <w:rtl/>
          <w:lang w:bidi="fa-IR"/>
        </w:rPr>
        <w:t>إ</w:t>
      </w:r>
      <w:r w:rsidRPr="00904FCB">
        <w:rPr>
          <w:rFonts w:ascii="Tahoma" w:hAnsi="Tahoma"/>
          <w:sz w:val="27"/>
          <w:rtl/>
          <w:lang w:bidi="fa-IR"/>
        </w:rPr>
        <w:t>طاراً أخلاقياً حد</w:t>
      </w:r>
      <w:r w:rsidR="00697D01" w:rsidRPr="00904FCB">
        <w:rPr>
          <w:rFonts w:ascii="Tahoma" w:hAnsi="Tahoma" w:hint="cs"/>
          <w:sz w:val="27"/>
          <w:rtl/>
          <w:lang w:bidi="fa-IR"/>
        </w:rPr>
        <w:t>َّ</w:t>
      </w:r>
      <w:r w:rsidRPr="00904FCB">
        <w:rPr>
          <w:rFonts w:ascii="Tahoma" w:hAnsi="Tahoma"/>
          <w:sz w:val="27"/>
          <w:rtl/>
          <w:lang w:bidi="fa-IR"/>
        </w:rPr>
        <w:t>د</w:t>
      </w:r>
      <w:r w:rsidR="00697D01" w:rsidRPr="00904FCB">
        <w:rPr>
          <w:rFonts w:ascii="Tahoma" w:hAnsi="Tahoma" w:hint="cs"/>
          <w:sz w:val="27"/>
          <w:rtl/>
          <w:lang w:bidi="fa-IR"/>
        </w:rPr>
        <w:t>َ</w:t>
      </w:r>
      <w:r w:rsidRPr="00904FCB">
        <w:rPr>
          <w:rFonts w:ascii="Tahoma" w:hAnsi="Tahoma"/>
          <w:sz w:val="27"/>
          <w:rtl/>
          <w:lang w:bidi="fa-IR"/>
        </w:rPr>
        <w:t>ت</w:t>
      </w:r>
      <w:r w:rsidR="00697D01" w:rsidRPr="00904FCB">
        <w:rPr>
          <w:rFonts w:ascii="Tahoma" w:hAnsi="Tahoma" w:hint="cs"/>
          <w:sz w:val="27"/>
          <w:rtl/>
          <w:lang w:bidi="fa-IR"/>
        </w:rPr>
        <w:t>ْ</w:t>
      </w:r>
      <w:r w:rsidRPr="00904FCB">
        <w:rPr>
          <w:rFonts w:ascii="Tahoma" w:hAnsi="Tahoma"/>
          <w:sz w:val="27"/>
          <w:rtl/>
          <w:lang w:bidi="fa-IR"/>
        </w:rPr>
        <w:t xml:space="preserve"> به العقل البشري من ال</w:t>
      </w:r>
      <w:r w:rsidR="00697D01" w:rsidRPr="00904FCB">
        <w:rPr>
          <w:rFonts w:ascii="Tahoma" w:hAnsi="Tahoma" w:hint="cs"/>
          <w:sz w:val="27"/>
          <w:rtl/>
          <w:lang w:bidi="fa-IR"/>
        </w:rPr>
        <w:t>ا</w:t>
      </w:r>
      <w:r w:rsidRPr="00904FCB">
        <w:rPr>
          <w:rFonts w:ascii="Tahoma" w:hAnsi="Tahoma"/>
          <w:sz w:val="27"/>
          <w:rtl/>
          <w:lang w:bidi="fa-IR"/>
        </w:rPr>
        <w:t>نفلات في ضوء مستجد</w:t>
      </w:r>
      <w:r w:rsidR="00697D01" w:rsidRPr="00904FCB">
        <w:rPr>
          <w:rFonts w:ascii="Tahoma" w:hAnsi="Tahoma" w:hint="cs"/>
          <w:sz w:val="27"/>
          <w:rtl/>
          <w:lang w:bidi="fa-IR"/>
        </w:rPr>
        <w:t>ّ</w:t>
      </w:r>
      <w:r w:rsidRPr="00904FCB">
        <w:rPr>
          <w:rFonts w:ascii="Tahoma" w:hAnsi="Tahoma"/>
          <w:sz w:val="27"/>
          <w:rtl/>
          <w:lang w:bidi="fa-IR"/>
        </w:rPr>
        <w:t>ات المسائل</w:t>
      </w:r>
      <w:r w:rsidR="00697D01" w:rsidRPr="00904FCB">
        <w:rPr>
          <w:rFonts w:ascii="Tahoma" w:hAnsi="Tahoma" w:hint="cs"/>
          <w:sz w:val="27"/>
          <w:rtl/>
          <w:lang w:bidi="fa-IR"/>
        </w:rPr>
        <w:t>،</w:t>
      </w:r>
      <w:r w:rsidRPr="00904FCB">
        <w:rPr>
          <w:rFonts w:ascii="Tahoma" w:hAnsi="Tahoma"/>
          <w:sz w:val="27"/>
          <w:rtl/>
          <w:lang w:bidi="fa-IR"/>
        </w:rPr>
        <w:t xml:space="preserve"> والظروف التي تحيط به، وترك</w:t>
      </w:r>
      <w:r w:rsidR="00697D01" w:rsidRPr="00904FCB">
        <w:rPr>
          <w:rFonts w:ascii="Tahoma" w:hAnsi="Tahoma" w:hint="cs"/>
          <w:sz w:val="27"/>
          <w:rtl/>
          <w:lang w:bidi="fa-IR"/>
        </w:rPr>
        <w:t>َ</w:t>
      </w:r>
      <w:r w:rsidRPr="00904FCB">
        <w:rPr>
          <w:rFonts w:ascii="Tahoma" w:hAnsi="Tahoma"/>
          <w:sz w:val="27"/>
          <w:rtl/>
          <w:lang w:bidi="fa-IR"/>
        </w:rPr>
        <w:t>ت</w:t>
      </w:r>
      <w:r w:rsidR="00697D01" w:rsidRPr="00904FCB">
        <w:rPr>
          <w:rFonts w:ascii="Tahoma" w:hAnsi="Tahoma" w:hint="cs"/>
          <w:sz w:val="27"/>
          <w:rtl/>
          <w:lang w:bidi="fa-IR"/>
        </w:rPr>
        <w:t>ْ</w:t>
      </w:r>
      <w:r w:rsidRPr="00904FCB">
        <w:rPr>
          <w:rFonts w:ascii="Tahoma" w:hAnsi="Tahoma"/>
          <w:sz w:val="27"/>
          <w:rtl/>
          <w:lang w:bidi="fa-IR"/>
        </w:rPr>
        <w:t xml:space="preserve"> له مساحة</w:t>
      </w:r>
      <w:r w:rsidR="00697D01" w:rsidRPr="00904FCB">
        <w:rPr>
          <w:rFonts w:ascii="Tahoma" w:hAnsi="Tahoma" w:hint="cs"/>
          <w:sz w:val="27"/>
          <w:rtl/>
          <w:lang w:bidi="fa-IR"/>
        </w:rPr>
        <w:t>ً</w:t>
      </w:r>
      <w:r w:rsidRPr="00904FCB">
        <w:rPr>
          <w:rFonts w:ascii="Tahoma" w:hAnsi="Tahoma"/>
          <w:sz w:val="27"/>
          <w:rtl/>
          <w:lang w:bidi="fa-IR"/>
        </w:rPr>
        <w:t xml:space="preserve"> يتحر</w:t>
      </w:r>
      <w:r w:rsidR="00697D01" w:rsidRPr="00904FCB">
        <w:rPr>
          <w:rFonts w:ascii="Tahoma" w:hAnsi="Tahoma" w:hint="cs"/>
          <w:sz w:val="27"/>
          <w:rtl/>
          <w:lang w:bidi="fa-IR"/>
        </w:rPr>
        <w:t>ّ</w:t>
      </w:r>
      <w:r w:rsidRPr="00904FCB">
        <w:rPr>
          <w:rFonts w:ascii="Tahoma" w:hAnsi="Tahoma"/>
          <w:sz w:val="27"/>
          <w:rtl/>
          <w:lang w:bidi="fa-IR"/>
        </w:rPr>
        <w:t>ك بها</w:t>
      </w:r>
      <w:r w:rsidR="00697D01" w:rsidRPr="00904FCB">
        <w:rPr>
          <w:rFonts w:ascii="Tahoma" w:hAnsi="Tahoma" w:hint="cs"/>
          <w:sz w:val="27"/>
          <w:rtl/>
          <w:lang w:bidi="fa-IR"/>
        </w:rPr>
        <w:t>،</w:t>
      </w:r>
      <w:r w:rsidRPr="00904FCB">
        <w:rPr>
          <w:rFonts w:ascii="Tahoma" w:hAnsi="Tahoma"/>
          <w:sz w:val="27"/>
          <w:rtl/>
          <w:lang w:bidi="fa-IR"/>
        </w:rPr>
        <w:t xml:space="preserve"> دون المساس بالثوابت</w:t>
      </w:r>
      <w:r w:rsidR="00697D01" w:rsidRPr="00904FCB">
        <w:rPr>
          <w:rFonts w:ascii="Tahoma" w:hAnsi="Tahoma" w:hint="cs"/>
          <w:sz w:val="27"/>
          <w:rtl/>
          <w:lang w:bidi="fa-IR"/>
        </w:rPr>
        <w:t>،</w:t>
      </w:r>
      <w:r w:rsidRPr="00904FCB">
        <w:rPr>
          <w:rFonts w:ascii="Tahoma" w:hAnsi="Tahoma"/>
          <w:sz w:val="27"/>
          <w:rtl/>
          <w:lang w:bidi="fa-IR"/>
        </w:rPr>
        <w:t xml:space="preserve"> أو الخروج عن دائرة المسموح به. </w:t>
      </w:r>
    </w:p>
    <w:p w:rsidR="00644408" w:rsidRPr="00904FCB" w:rsidRDefault="00644408" w:rsidP="00BE70B3">
      <w:pPr>
        <w:autoSpaceDE w:val="0"/>
        <w:autoSpaceDN w:val="0"/>
        <w:adjustRightInd w:val="0"/>
        <w:spacing w:line="400" w:lineRule="exact"/>
        <w:ind w:firstLine="561"/>
        <w:rPr>
          <w:rFonts w:ascii="Tahoma" w:hAnsi="Tahoma"/>
          <w:sz w:val="27"/>
          <w:lang w:bidi="fa-IR"/>
        </w:rPr>
      </w:pPr>
      <w:r w:rsidRPr="00904FCB">
        <w:rPr>
          <w:rFonts w:ascii="Tahoma" w:hAnsi="Tahoma"/>
          <w:sz w:val="27"/>
          <w:rtl/>
          <w:lang w:bidi="fa-IR"/>
        </w:rPr>
        <w:t xml:space="preserve">قال سبحانه وتعالى: </w:t>
      </w:r>
      <w:r w:rsidR="00697D01" w:rsidRPr="00904FCB">
        <w:rPr>
          <w:rFonts w:ascii="Mosawi" w:hAnsi="Mosawi" w:cs="Mosawi"/>
          <w:sz w:val="24"/>
          <w:szCs w:val="24"/>
          <w:rtl/>
        </w:rPr>
        <w:t>﴿</w:t>
      </w:r>
      <w:r w:rsidR="00697D01" w:rsidRPr="00904FCB">
        <w:rPr>
          <w:b/>
          <w:bCs/>
          <w:sz w:val="27"/>
          <w:rtl/>
        </w:rPr>
        <w:t>إِنَّ الصَّلاَةَ تَنْهَى عَنْ الْفَحْشَاءِ وَالْمُنْكَرِ</w:t>
      </w:r>
      <w:r w:rsidR="00697D01" w:rsidRPr="00904FCB">
        <w:rPr>
          <w:rFonts w:ascii="Mosawi" w:hAnsi="Mosawi" w:cs="Mosawi"/>
          <w:sz w:val="24"/>
          <w:szCs w:val="24"/>
          <w:rtl/>
        </w:rPr>
        <w:t>﴾</w:t>
      </w:r>
      <w:r w:rsidR="00697D01" w:rsidRPr="00904FCB">
        <w:rPr>
          <w:rFonts w:ascii="Mosawi" w:hAnsi="Mosawi" w:cs="Mosawi" w:hint="cs"/>
          <w:sz w:val="24"/>
          <w:szCs w:val="24"/>
          <w:rtl/>
        </w:rPr>
        <w:t>.</w:t>
      </w:r>
      <w:r w:rsidR="00697D01" w:rsidRPr="00904FCB">
        <w:rPr>
          <w:rFonts w:ascii="Tahoma" w:hAnsi="Tahoma"/>
          <w:sz w:val="27"/>
          <w:rtl/>
          <w:lang w:bidi="fa-IR"/>
        </w:rPr>
        <w:t xml:space="preserve"> </w:t>
      </w:r>
      <w:r w:rsidRPr="00904FCB">
        <w:rPr>
          <w:rFonts w:ascii="Tahoma" w:hAnsi="Tahoma"/>
          <w:sz w:val="27"/>
          <w:rtl/>
          <w:lang w:bidi="fa-IR"/>
        </w:rPr>
        <w:t>والحقيقة التي يجب التأكيد عليها أن</w:t>
      </w:r>
      <w:r w:rsidR="00697D01" w:rsidRPr="00904FCB">
        <w:rPr>
          <w:rFonts w:ascii="Tahoma" w:hAnsi="Tahoma" w:hint="cs"/>
          <w:sz w:val="27"/>
          <w:rtl/>
          <w:lang w:bidi="fa-IR"/>
        </w:rPr>
        <w:t>ّ</w:t>
      </w:r>
      <w:r w:rsidRPr="00904FCB">
        <w:rPr>
          <w:rFonts w:ascii="Tahoma" w:hAnsi="Tahoma"/>
          <w:sz w:val="27"/>
          <w:rtl/>
          <w:lang w:bidi="fa-IR"/>
        </w:rPr>
        <w:t xml:space="preserve"> عالم الدنيا لا يمث</w:t>
      </w:r>
      <w:r w:rsidR="00697D01" w:rsidRPr="00904FCB">
        <w:rPr>
          <w:rFonts w:ascii="Tahoma" w:hAnsi="Tahoma" w:hint="cs"/>
          <w:sz w:val="27"/>
          <w:rtl/>
          <w:lang w:bidi="fa-IR"/>
        </w:rPr>
        <w:t>ِّ</w:t>
      </w:r>
      <w:r w:rsidRPr="00904FCB">
        <w:rPr>
          <w:rFonts w:ascii="Tahoma" w:hAnsi="Tahoma"/>
          <w:sz w:val="27"/>
          <w:rtl/>
          <w:lang w:bidi="fa-IR"/>
        </w:rPr>
        <w:t>ل غاية</w:t>
      </w:r>
      <w:r w:rsidR="00697D01" w:rsidRPr="00904FCB">
        <w:rPr>
          <w:rFonts w:ascii="Tahoma" w:hAnsi="Tahoma" w:hint="cs"/>
          <w:sz w:val="27"/>
          <w:rtl/>
          <w:lang w:bidi="fa-IR"/>
        </w:rPr>
        <w:t>ً</w:t>
      </w:r>
      <w:r w:rsidRPr="00904FCB">
        <w:rPr>
          <w:rFonts w:ascii="Tahoma" w:hAnsi="Tahoma"/>
          <w:sz w:val="27"/>
          <w:rtl/>
          <w:lang w:bidi="fa-IR"/>
        </w:rPr>
        <w:t xml:space="preserve"> في حد</w:t>
      </w:r>
      <w:r w:rsidR="00697D01" w:rsidRPr="00904FCB">
        <w:rPr>
          <w:rFonts w:ascii="Tahoma" w:hAnsi="Tahoma" w:hint="cs"/>
          <w:sz w:val="27"/>
          <w:rtl/>
          <w:lang w:bidi="fa-IR"/>
        </w:rPr>
        <w:t>ّ</w:t>
      </w:r>
      <w:r w:rsidRPr="00904FCB">
        <w:rPr>
          <w:rFonts w:ascii="Tahoma" w:hAnsi="Tahoma"/>
          <w:sz w:val="27"/>
          <w:rtl/>
          <w:lang w:bidi="fa-IR"/>
        </w:rPr>
        <w:t xml:space="preserve"> ذاته</w:t>
      </w:r>
      <w:r w:rsidR="00697D01" w:rsidRPr="00904FCB">
        <w:rPr>
          <w:rFonts w:ascii="Tahoma" w:hAnsi="Tahoma" w:hint="cs"/>
          <w:sz w:val="27"/>
          <w:rtl/>
          <w:lang w:bidi="fa-IR"/>
        </w:rPr>
        <w:t>،</w:t>
      </w:r>
      <w:r w:rsidRPr="00904FCB">
        <w:rPr>
          <w:rFonts w:ascii="Tahoma" w:hAnsi="Tahoma"/>
          <w:sz w:val="27"/>
          <w:rtl/>
          <w:lang w:bidi="fa-IR"/>
        </w:rPr>
        <w:t xml:space="preserve"> </w:t>
      </w:r>
      <w:r w:rsidR="00697D01" w:rsidRPr="00904FCB">
        <w:rPr>
          <w:rFonts w:ascii="Tahoma" w:hAnsi="Tahoma" w:hint="cs"/>
          <w:sz w:val="27"/>
          <w:rtl/>
          <w:lang w:bidi="fa-IR"/>
        </w:rPr>
        <w:t>إ</w:t>
      </w:r>
      <w:r w:rsidRPr="00904FCB">
        <w:rPr>
          <w:rFonts w:ascii="Tahoma" w:hAnsi="Tahoma"/>
          <w:sz w:val="27"/>
          <w:rtl/>
          <w:lang w:bidi="fa-IR"/>
        </w:rPr>
        <w:t>نما هو ممر</w:t>
      </w:r>
      <w:r w:rsidR="00697D01" w:rsidRPr="00904FCB">
        <w:rPr>
          <w:rFonts w:ascii="Tahoma" w:hAnsi="Tahoma" w:hint="cs"/>
          <w:sz w:val="27"/>
          <w:rtl/>
          <w:lang w:bidi="fa-IR"/>
        </w:rPr>
        <w:t>ّ</w:t>
      </w:r>
      <w:r w:rsidRPr="00904FCB">
        <w:rPr>
          <w:rFonts w:ascii="Tahoma" w:hAnsi="Tahoma"/>
          <w:sz w:val="27"/>
          <w:rtl/>
          <w:lang w:bidi="fa-IR"/>
        </w:rPr>
        <w:t xml:space="preserve"> ومعبر </w:t>
      </w:r>
      <w:r w:rsidRPr="00904FCB">
        <w:rPr>
          <w:rFonts w:ascii="Tahoma" w:hAnsi="Tahoma"/>
          <w:sz w:val="27"/>
          <w:rtl/>
          <w:lang w:bidi="fa-IR"/>
        </w:rPr>
        <w:lastRenderedPageBreak/>
        <w:t>مؤق</w:t>
      </w:r>
      <w:r w:rsidR="00697D01" w:rsidRPr="00904FCB">
        <w:rPr>
          <w:rFonts w:ascii="Tahoma" w:hAnsi="Tahoma" w:hint="cs"/>
          <w:sz w:val="27"/>
          <w:rtl/>
          <w:lang w:bidi="fa-IR"/>
        </w:rPr>
        <w:t>َّ</w:t>
      </w:r>
      <w:r w:rsidRPr="00904FCB">
        <w:rPr>
          <w:rFonts w:ascii="Tahoma" w:hAnsi="Tahoma"/>
          <w:sz w:val="27"/>
          <w:rtl/>
          <w:lang w:bidi="fa-IR"/>
        </w:rPr>
        <w:t>ت في انتظار الآخرة</w:t>
      </w:r>
      <w:r w:rsidR="00697D01" w:rsidRPr="00904FCB">
        <w:rPr>
          <w:rFonts w:ascii="Tahoma" w:hAnsi="Tahoma" w:hint="cs"/>
          <w:sz w:val="27"/>
          <w:rtl/>
          <w:lang w:bidi="fa-IR"/>
        </w:rPr>
        <w:t>.</w:t>
      </w:r>
      <w:r w:rsidRPr="00904FCB">
        <w:rPr>
          <w:rFonts w:ascii="Tahoma" w:hAnsi="Tahoma"/>
          <w:sz w:val="27"/>
          <w:rtl/>
          <w:lang w:bidi="fa-IR"/>
        </w:rPr>
        <w:t xml:space="preserve"> ومن هنا يتحت</w:t>
      </w:r>
      <w:r w:rsidR="00697D01" w:rsidRPr="00904FCB">
        <w:rPr>
          <w:rFonts w:ascii="Tahoma" w:hAnsi="Tahoma" w:hint="cs"/>
          <w:sz w:val="27"/>
          <w:rtl/>
          <w:lang w:bidi="fa-IR"/>
        </w:rPr>
        <w:t>َّ</w:t>
      </w:r>
      <w:r w:rsidRPr="00904FCB">
        <w:rPr>
          <w:rFonts w:ascii="Tahoma" w:hAnsi="Tahoma"/>
          <w:sz w:val="27"/>
          <w:rtl/>
          <w:lang w:bidi="fa-IR"/>
        </w:rPr>
        <w:t xml:space="preserve">م </w:t>
      </w:r>
      <w:r w:rsidR="00697D01" w:rsidRPr="00904FCB">
        <w:rPr>
          <w:rFonts w:ascii="Tahoma" w:hAnsi="Tahoma" w:hint="cs"/>
          <w:sz w:val="27"/>
          <w:rtl/>
          <w:lang w:bidi="fa-IR"/>
        </w:rPr>
        <w:t>أن</w:t>
      </w:r>
      <w:r w:rsidRPr="00904FCB">
        <w:rPr>
          <w:rFonts w:ascii="Tahoma" w:hAnsi="Tahoma"/>
          <w:sz w:val="27"/>
          <w:rtl/>
          <w:lang w:bidi="fa-IR"/>
        </w:rPr>
        <w:t xml:space="preserve"> يكون التشريع الدنيوي خاضعاً لكل</w:t>
      </w:r>
      <w:r w:rsidR="00697D01" w:rsidRPr="00904FCB">
        <w:rPr>
          <w:rFonts w:ascii="Tahoma" w:hAnsi="Tahoma" w:hint="cs"/>
          <w:sz w:val="27"/>
          <w:rtl/>
          <w:lang w:bidi="fa-IR"/>
        </w:rPr>
        <w:t>ّ</w:t>
      </w:r>
      <w:r w:rsidRPr="00904FCB">
        <w:rPr>
          <w:rFonts w:ascii="Tahoma" w:hAnsi="Tahoma"/>
          <w:sz w:val="27"/>
          <w:rtl/>
          <w:lang w:bidi="fa-IR"/>
        </w:rPr>
        <w:t>يات الشرع الإسلامي</w:t>
      </w:r>
      <w:r w:rsidR="00697D01" w:rsidRPr="00904FCB">
        <w:rPr>
          <w:rFonts w:ascii="Tahoma" w:hAnsi="Tahoma" w:hint="cs"/>
          <w:sz w:val="27"/>
          <w:rtl/>
          <w:lang w:bidi="fa-IR"/>
        </w:rPr>
        <w:t>.</w:t>
      </w:r>
      <w:r w:rsidRPr="00904FCB">
        <w:rPr>
          <w:rFonts w:ascii="Tahoma" w:hAnsi="Tahoma"/>
          <w:sz w:val="27"/>
          <w:rtl/>
          <w:lang w:bidi="fa-IR"/>
        </w:rPr>
        <w:t xml:space="preserve"> و</w:t>
      </w:r>
      <w:r w:rsidR="00697D01" w:rsidRPr="00904FCB">
        <w:rPr>
          <w:rFonts w:ascii="Tahoma" w:hAnsi="Tahoma" w:hint="cs"/>
          <w:sz w:val="27"/>
          <w:rtl/>
          <w:lang w:bidi="fa-IR"/>
        </w:rPr>
        <w:t>إ</w:t>
      </w:r>
      <w:r w:rsidRPr="00904FCB">
        <w:rPr>
          <w:rFonts w:ascii="Tahoma" w:hAnsi="Tahoma"/>
          <w:sz w:val="27"/>
          <w:rtl/>
          <w:lang w:bidi="fa-IR"/>
        </w:rPr>
        <w:t>ن</w:t>
      </w:r>
      <w:r w:rsidR="00F8468B">
        <w:rPr>
          <w:rFonts w:ascii="Tahoma" w:hAnsi="Tahoma" w:hint="cs"/>
          <w:sz w:val="27"/>
          <w:rtl/>
          <w:lang w:bidi="fa-IR"/>
        </w:rPr>
        <w:t>ْ</w:t>
      </w:r>
      <w:r w:rsidRPr="00904FCB">
        <w:rPr>
          <w:rFonts w:ascii="Tahoma" w:hAnsi="Tahoma"/>
          <w:sz w:val="27"/>
          <w:rtl/>
          <w:lang w:bidi="fa-IR"/>
        </w:rPr>
        <w:t xml:space="preserve"> ظهر عجز</w:t>
      </w:r>
      <w:r w:rsidR="00697D01" w:rsidRPr="00904FCB">
        <w:rPr>
          <w:rFonts w:ascii="Tahoma" w:hAnsi="Tahoma" w:hint="cs"/>
          <w:sz w:val="27"/>
          <w:rtl/>
          <w:lang w:bidi="fa-IR"/>
        </w:rPr>
        <w:t>ٌ</w:t>
      </w:r>
      <w:r w:rsidRPr="00904FCB">
        <w:rPr>
          <w:rFonts w:ascii="Tahoma" w:hAnsi="Tahoma"/>
          <w:sz w:val="27"/>
          <w:rtl/>
          <w:lang w:bidi="fa-IR"/>
        </w:rPr>
        <w:t xml:space="preserve"> أو تأخ</w:t>
      </w:r>
      <w:r w:rsidR="00697D01" w:rsidRPr="00904FCB">
        <w:rPr>
          <w:rFonts w:ascii="Tahoma" w:hAnsi="Tahoma" w:hint="cs"/>
          <w:sz w:val="27"/>
          <w:rtl/>
          <w:lang w:bidi="fa-IR"/>
        </w:rPr>
        <w:t>ّ</w:t>
      </w:r>
      <w:r w:rsidRPr="00904FCB">
        <w:rPr>
          <w:rFonts w:ascii="Tahoma" w:hAnsi="Tahoma"/>
          <w:sz w:val="27"/>
          <w:rtl/>
          <w:lang w:bidi="fa-IR"/>
        </w:rPr>
        <w:t xml:space="preserve">ر </w:t>
      </w:r>
      <w:r w:rsidR="00697D01" w:rsidRPr="00904FCB">
        <w:rPr>
          <w:rFonts w:ascii="Tahoma" w:hAnsi="Tahoma" w:hint="cs"/>
          <w:sz w:val="27"/>
          <w:rtl/>
          <w:lang w:bidi="fa-IR"/>
        </w:rPr>
        <w:t>ع</w:t>
      </w:r>
      <w:r w:rsidRPr="00904FCB">
        <w:rPr>
          <w:rFonts w:ascii="Tahoma" w:hAnsi="Tahoma"/>
          <w:sz w:val="27"/>
          <w:rtl/>
          <w:lang w:bidi="fa-IR"/>
        </w:rPr>
        <w:t>ن مواكبة الوقائع وال</w:t>
      </w:r>
      <w:r w:rsidR="00697D01" w:rsidRPr="00904FCB">
        <w:rPr>
          <w:rFonts w:ascii="Tahoma" w:hAnsi="Tahoma" w:hint="cs"/>
          <w:sz w:val="27"/>
          <w:rtl/>
          <w:lang w:bidi="fa-IR"/>
        </w:rPr>
        <w:t>أ</w:t>
      </w:r>
      <w:r w:rsidRPr="00904FCB">
        <w:rPr>
          <w:rFonts w:ascii="Tahoma" w:hAnsi="Tahoma"/>
          <w:sz w:val="27"/>
          <w:rtl/>
          <w:lang w:bidi="fa-IR"/>
        </w:rPr>
        <w:t>حداث فيجب أن تفتح أبواب التأويل</w:t>
      </w:r>
      <w:r w:rsidR="00697D01" w:rsidRPr="00904FCB">
        <w:rPr>
          <w:rFonts w:ascii="Tahoma" w:hAnsi="Tahoma" w:hint="cs"/>
          <w:sz w:val="27"/>
          <w:rtl/>
          <w:lang w:bidi="fa-IR"/>
        </w:rPr>
        <w:t>،</w:t>
      </w:r>
      <w:r w:rsidRPr="00904FCB">
        <w:rPr>
          <w:rFonts w:ascii="Tahoma" w:hAnsi="Tahoma"/>
          <w:sz w:val="27"/>
          <w:rtl/>
          <w:lang w:bidi="fa-IR"/>
        </w:rPr>
        <w:t xml:space="preserve"> وتبسط أدوات الاجتهاد</w:t>
      </w:r>
      <w:r w:rsidR="00697D01" w:rsidRPr="00904FCB">
        <w:rPr>
          <w:rFonts w:ascii="Tahoma" w:hAnsi="Tahoma" w:hint="cs"/>
          <w:sz w:val="27"/>
          <w:rtl/>
          <w:lang w:bidi="fa-IR"/>
        </w:rPr>
        <w:t>، ل</w:t>
      </w:r>
      <w:r w:rsidRPr="00904FCB">
        <w:rPr>
          <w:rFonts w:ascii="Tahoma" w:hAnsi="Tahoma"/>
          <w:sz w:val="27"/>
          <w:rtl/>
          <w:lang w:bidi="fa-IR"/>
        </w:rPr>
        <w:t>لوصول إلى الأحكام الصالحة</w:t>
      </w:r>
      <w:r w:rsidR="00697D01" w:rsidRPr="00904FCB">
        <w:rPr>
          <w:rFonts w:ascii="Tahoma" w:hAnsi="Tahoma" w:hint="cs"/>
          <w:sz w:val="27"/>
          <w:rtl/>
          <w:lang w:bidi="fa-IR"/>
        </w:rPr>
        <w:t>.</w:t>
      </w:r>
      <w:r w:rsidRPr="00904FCB">
        <w:rPr>
          <w:rFonts w:ascii="Tahoma" w:hAnsi="Tahoma"/>
          <w:sz w:val="27"/>
          <w:rtl/>
          <w:lang w:bidi="fa-IR"/>
        </w:rPr>
        <w:t xml:space="preserve"> وإذا ما استقرأنا أنواع الأحكام التي تضم</w:t>
      </w:r>
      <w:r w:rsidR="00697D01" w:rsidRPr="00904FCB">
        <w:rPr>
          <w:rFonts w:ascii="Tahoma" w:hAnsi="Tahoma" w:hint="cs"/>
          <w:sz w:val="27"/>
          <w:rtl/>
          <w:lang w:bidi="fa-IR"/>
        </w:rPr>
        <w:t>ّ</w:t>
      </w:r>
      <w:r w:rsidRPr="00904FCB">
        <w:rPr>
          <w:rFonts w:ascii="Tahoma" w:hAnsi="Tahoma"/>
          <w:sz w:val="27"/>
          <w:rtl/>
          <w:lang w:bidi="fa-IR"/>
        </w:rPr>
        <w:t>نها القر</w:t>
      </w:r>
      <w:r w:rsidR="00697D01" w:rsidRPr="00904FCB">
        <w:rPr>
          <w:rFonts w:ascii="Tahoma" w:hAnsi="Tahoma" w:hint="cs"/>
          <w:sz w:val="27"/>
          <w:rtl/>
          <w:lang w:bidi="fa-IR"/>
        </w:rPr>
        <w:t>آ</w:t>
      </w:r>
      <w:r w:rsidRPr="00904FCB">
        <w:rPr>
          <w:rFonts w:ascii="Tahoma" w:hAnsi="Tahoma"/>
          <w:sz w:val="27"/>
          <w:rtl/>
          <w:lang w:bidi="fa-IR"/>
        </w:rPr>
        <w:t>ن الكريم</w:t>
      </w:r>
      <w:r w:rsidR="00697D01" w:rsidRPr="00904FCB">
        <w:rPr>
          <w:rFonts w:ascii="Tahoma" w:hAnsi="Tahoma" w:hint="cs"/>
          <w:sz w:val="27"/>
          <w:rtl/>
          <w:lang w:bidi="fa-IR"/>
        </w:rPr>
        <w:t>،</w:t>
      </w:r>
      <w:r w:rsidRPr="00904FCB">
        <w:rPr>
          <w:rFonts w:ascii="Tahoma" w:hAnsi="Tahoma"/>
          <w:sz w:val="27"/>
          <w:rtl/>
          <w:lang w:bidi="fa-IR"/>
        </w:rPr>
        <w:t xml:space="preserve"> واحتوتها السن</w:t>
      </w:r>
      <w:r w:rsidR="00697D01" w:rsidRPr="00904FCB">
        <w:rPr>
          <w:rFonts w:ascii="Tahoma" w:hAnsi="Tahoma" w:hint="cs"/>
          <w:sz w:val="27"/>
          <w:rtl/>
          <w:lang w:bidi="fa-IR"/>
        </w:rPr>
        <w:t>ّ</w:t>
      </w:r>
      <w:r w:rsidRPr="00904FCB">
        <w:rPr>
          <w:rFonts w:ascii="Tahoma" w:hAnsi="Tahoma"/>
          <w:sz w:val="27"/>
          <w:rtl/>
          <w:lang w:bidi="fa-IR"/>
        </w:rPr>
        <w:t>ة المطه</w:t>
      </w:r>
      <w:r w:rsidR="00697D01" w:rsidRPr="00904FCB">
        <w:rPr>
          <w:rFonts w:ascii="Tahoma" w:hAnsi="Tahoma" w:hint="cs"/>
          <w:sz w:val="27"/>
          <w:rtl/>
          <w:lang w:bidi="fa-IR"/>
        </w:rPr>
        <w:t>َّ</w:t>
      </w:r>
      <w:r w:rsidRPr="00904FCB">
        <w:rPr>
          <w:rFonts w:ascii="Tahoma" w:hAnsi="Tahoma"/>
          <w:sz w:val="27"/>
          <w:rtl/>
          <w:lang w:bidi="fa-IR"/>
        </w:rPr>
        <w:t>رة</w:t>
      </w:r>
      <w:r w:rsidR="00697D01" w:rsidRPr="00904FCB">
        <w:rPr>
          <w:rFonts w:ascii="Tahoma" w:hAnsi="Tahoma" w:hint="cs"/>
          <w:sz w:val="27"/>
          <w:rtl/>
          <w:lang w:bidi="fa-IR"/>
        </w:rPr>
        <w:t>،</w:t>
      </w:r>
      <w:r w:rsidRPr="00904FCB">
        <w:rPr>
          <w:rFonts w:ascii="Tahoma" w:hAnsi="Tahoma"/>
          <w:sz w:val="27"/>
          <w:rtl/>
          <w:lang w:bidi="fa-IR"/>
        </w:rPr>
        <w:t xml:space="preserve"> ف</w:t>
      </w:r>
      <w:r w:rsidR="00697D01" w:rsidRPr="00904FCB">
        <w:rPr>
          <w:rFonts w:ascii="Tahoma" w:hAnsi="Tahoma" w:hint="cs"/>
          <w:sz w:val="27"/>
          <w:rtl/>
          <w:lang w:bidi="fa-IR"/>
        </w:rPr>
        <w:t>إ</w:t>
      </w:r>
      <w:r w:rsidRPr="00904FCB">
        <w:rPr>
          <w:rFonts w:ascii="Tahoma" w:hAnsi="Tahoma"/>
          <w:sz w:val="27"/>
          <w:rtl/>
          <w:lang w:bidi="fa-IR"/>
        </w:rPr>
        <w:t xml:space="preserve">ننا نقف على ثلاثة أنواع من هذه الأحكام: </w:t>
      </w:r>
    </w:p>
    <w:p w:rsidR="00644408" w:rsidRPr="002C04DA" w:rsidRDefault="00644408" w:rsidP="00BE70B3">
      <w:pPr>
        <w:autoSpaceDE w:val="0"/>
        <w:autoSpaceDN w:val="0"/>
        <w:adjustRightInd w:val="0"/>
        <w:spacing w:line="420" w:lineRule="exact"/>
        <w:rPr>
          <w:rFonts w:ascii="Tahoma" w:hAnsi="Tahoma"/>
          <w:sz w:val="27"/>
          <w:lang w:bidi="fa-IR"/>
        </w:rPr>
      </w:pPr>
      <w:r w:rsidRPr="002C04DA">
        <w:rPr>
          <w:rFonts w:ascii="Tahoma" w:hAnsi="Tahoma" w:hint="cs"/>
          <w:sz w:val="27"/>
          <w:rtl/>
          <w:lang w:bidi="ar-LB"/>
        </w:rPr>
        <w:t xml:space="preserve">1ـ </w:t>
      </w:r>
      <w:r w:rsidRPr="002C04DA">
        <w:rPr>
          <w:rFonts w:ascii="Tahoma" w:hAnsi="Tahoma"/>
          <w:sz w:val="27"/>
          <w:rtl/>
          <w:lang w:bidi="fa-IR"/>
        </w:rPr>
        <w:t>أحكام اعتقادي</w:t>
      </w:r>
      <w:r w:rsidR="00697D01" w:rsidRPr="002C04DA">
        <w:rPr>
          <w:rFonts w:ascii="Tahoma" w:hAnsi="Tahoma" w:hint="cs"/>
          <w:sz w:val="27"/>
          <w:rtl/>
          <w:lang w:bidi="fa-IR"/>
        </w:rPr>
        <w:t>ة</w:t>
      </w:r>
      <w:r w:rsidRPr="002C04DA">
        <w:rPr>
          <w:rFonts w:ascii="Tahoma" w:hAnsi="Tahoma"/>
          <w:sz w:val="27"/>
          <w:rtl/>
          <w:lang w:bidi="fa-IR"/>
        </w:rPr>
        <w:t xml:space="preserve">. </w:t>
      </w:r>
    </w:p>
    <w:p w:rsidR="00644408" w:rsidRPr="002C04DA" w:rsidRDefault="00644408" w:rsidP="00BE70B3">
      <w:pPr>
        <w:autoSpaceDE w:val="0"/>
        <w:autoSpaceDN w:val="0"/>
        <w:adjustRightInd w:val="0"/>
        <w:spacing w:line="420" w:lineRule="exact"/>
        <w:rPr>
          <w:rFonts w:ascii="Tahoma" w:hAnsi="Tahoma"/>
          <w:sz w:val="27"/>
          <w:lang w:bidi="fa-IR"/>
        </w:rPr>
      </w:pPr>
      <w:r w:rsidRPr="002C04DA">
        <w:rPr>
          <w:rFonts w:ascii="Tahoma" w:hAnsi="Tahoma" w:hint="cs"/>
          <w:sz w:val="27"/>
          <w:rtl/>
          <w:lang w:bidi="ar-LB"/>
        </w:rPr>
        <w:t xml:space="preserve">2ـ </w:t>
      </w:r>
      <w:r w:rsidRPr="002C04DA">
        <w:rPr>
          <w:rFonts w:ascii="Tahoma" w:hAnsi="Tahoma"/>
          <w:sz w:val="27"/>
          <w:rtl/>
          <w:lang w:bidi="fa-IR"/>
        </w:rPr>
        <w:t xml:space="preserve">أحكام خُلقية. </w:t>
      </w:r>
    </w:p>
    <w:p w:rsidR="00644408" w:rsidRPr="002C04DA" w:rsidRDefault="00644408" w:rsidP="00BE70B3">
      <w:pPr>
        <w:autoSpaceDE w:val="0"/>
        <w:autoSpaceDN w:val="0"/>
        <w:adjustRightInd w:val="0"/>
        <w:spacing w:line="420" w:lineRule="exact"/>
        <w:rPr>
          <w:rFonts w:ascii="Tahoma" w:hAnsi="Tahoma"/>
          <w:sz w:val="27"/>
          <w:lang w:bidi="fa-IR"/>
        </w:rPr>
      </w:pPr>
      <w:r w:rsidRPr="002C04DA">
        <w:rPr>
          <w:rFonts w:ascii="Tahoma" w:hAnsi="Tahoma" w:hint="cs"/>
          <w:sz w:val="27"/>
          <w:rtl/>
          <w:lang w:bidi="ar-LB"/>
        </w:rPr>
        <w:t xml:space="preserve">3ـ </w:t>
      </w:r>
      <w:r w:rsidRPr="002C04DA">
        <w:rPr>
          <w:rFonts w:ascii="Tahoma" w:hAnsi="Tahoma"/>
          <w:sz w:val="27"/>
          <w:rtl/>
          <w:lang w:bidi="fa-IR"/>
        </w:rPr>
        <w:t xml:space="preserve">أحكام عملية. </w:t>
      </w:r>
    </w:p>
    <w:p w:rsidR="00644408" w:rsidRPr="00904FCB" w:rsidRDefault="00644408" w:rsidP="00BE70B3">
      <w:pPr>
        <w:autoSpaceDE w:val="0"/>
        <w:autoSpaceDN w:val="0"/>
        <w:adjustRightInd w:val="0"/>
        <w:spacing w:line="420" w:lineRule="exact"/>
        <w:rPr>
          <w:rFonts w:ascii="Tahoma" w:hAnsi="Tahoma"/>
          <w:sz w:val="27"/>
          <w:lang w:bidi="fa-IR"/>
        </w:rPr>
      </w:pPr>
      <w:r w:rsidRPr="00904FCB">
        <w:rPr>
          <w:rFonts w:ascii="Tahoma" w:hAnsi="Tahoma"/>
          <w:sz w:val="27"/>
          <w:rtl/>
          <w:lang w:bidi="fa-IR"/>
        </w:rPr>
        <w:t>وهذه الأنواع تحد</w:t>
      </w:r>
      <w:r w:rsidR="00533A7F" w:rsidRPr="00904FCB">
        <w:rPr>
          <w:rFonts w:ascii="Tahoma" w:hAnsi="Tahoma" w:hint="cs"/>
          <w:sz w:val="27"/>
          <w:rtl/>
          <w:lang w:bidi="fa-IR"/>
        </w:rPr>
        <w:t>ّ</w:t>
      </w:r>
      <w:r w:rsidRPr="00904FCB">
        <w:rPr>
          <w:rFonts w:ascii="Tahoma" w:hAnsi="Tahoma"/>
          <w:sz w:val="27"/>
          <w:rtl/>
          <w:lang w:bidi="fa-IR"/>
        </w:rPr>
        <w:t>د للإنسان علاقته برب</w:t>
      </w:r>
      <w:r w:rsidR="00533A7F" w:rsidRPr="00904FCB">
        <w:rPr>
          <w:rFonts w:ascii="Tahoma" w:hAnsi="Tahoma" w:hint="cs"/>
          <w:sz w:val="27"/>
          <w:rtl/>
          <w:lang w:bidi="fa-IR"/>
        </w:rPr>
        <w:t>ّ</w:t>
      </w:r>
      <w:r w:rsidRPr="00904FCB">
        <w:rPr>
          <w:rFonts w:ascii="Tahoma" w:hAnsi="Tahoma"/>
          <w:sz w:val="27"/>
          <w:rtl/>
          <w:lang w:bidi="fa-IR"/>
        </w:rPr>
        <w:t xml:space="preserve">ه </w:t>
      </w:r>
      <w:r w:rsidR="00533A7F" w:rsidRPr="00904FCB">
        <w:rPr>
          <w:rFonts w:ascii="Tahoma" w:hAnsi="Tahoma" w:hint="cs"/>
          <w:sz w:val="27"/>
          <w:rtl/>
          <w:lang w:bidi="fa-IR"/>
        </w:rPr>
        <w:t>أ</w:t>
      </w:r>
      <w:r w:rsidRPr="00904FCB">
        <w:rPr>
          <w:rFonts w:ascii="Tahoma" w:hAnsi="Tahoma"/>
          <w:sz w:val="27"/>
          <w:rtl/>
          <w:lang w:bidi="fa-IR"/>
        </w:rPr>
        <w:t>ولاً، ثم</w:t>
      </w:r>
      <w:r w:rsidR="00533A7F" w:rsidRPr="00904FCB">
        <w:rPr>
          <w:rFonts w:ascii="Tahoma" w:hAnsi="Tahoma" w:hint="cs"/>
          <w:sz w:val="27"/>
          <w:rtl/>
          <w:lang w:bidi="fa-IR"/>
        </w:rPr>
        <w:t>ّ</w:t>
      </w:r>
      <w:r w:rsidRPr="00904FCB">
        <w:rPr>
          <w:rFonts w:ascii="Tahoma" w:hAnsi="Tahoma"/>
          <w:sz w:val="27"/>
          <w:rtl/>
          <w:lang w:bidi="fa-IR"/>
        </w:rPr>
        <w:t xml:space="preserve"> تحو</w:t>
      </w:r>
      <w:r w:rsidR="00533A7F" w:rsidRPr="00904FCB">
        <w:rPr>
          <w:rFonts w:ascii="Tahoma" w:hAnsi="Tahoma" w:hint="cs"/>
          <w:sz w:val="27"/>
          <w:rtl/>
          <w:lang w:bidi="fa-IR"/>
        </w:rPr>
        <w:t>ّ</w:t>
      </w:r>
      <w:r w:rsidRPr="00904FCB">
        <w:rPr>
          <w:rFonts w:ascii="Tahoma" w:hAnsi="Tahoma"/>
          <w:sz w:val="27"/>
          <w:rtl/>
          <w:lang w:bidi="fa-IR"/>
        </w:rPr>
        <w:t>لها إلى علاقة رابطة بين تلك العلاقة وعلاقته بالإنسان الذي يتعايش معه.</w:t>
      </w:r>
      <w:r w:rsidR="00533A7F" w:rsidRPr="00904FCB">
        <w:rPr>
          <w:rFonts w:ascii="Tahoma" w:hAnsi="Tahoma" w:hint="cs"/>
          <w:sz w:val="27"/>
          <w:rtl/>
          <w:lang w:bidi="fa-IR"/>
        </w:rPr>
        <w:t>.</w:t>
      </w:r>
      <w:r w:rsidRPr="00904FCB">
        <w:rPr>
          <w:rFonts w:ascii="Tahoma" w:hAnsi="Tahoma"/>
          <w:sz w:val="27"/>
          <w:rtl/>
          <w:lang w:bidi="fa-IR"/>
        </w:rPr>
        <w:t>. لذلك ف</w:t>
      </w:r>
      <w:r w:rsidR="00533A7F" w:rsidRPr="00904FCB">
        <w:rPr>
          <w:rFonts w:ascii="Tahoma" w:hAnsi="Tahoma" w:hint="cs"/>
          <w:sz w:val="27"/>
          <w:rtl/>
          <w:lang w:bidi="fa-IR"/>
        </w:rPr>
        <w:t>إ</w:t>
      </w:r>
      <w:r w:rsidRPr="00904FCB">
        <w:rPr>
          <w:rFonts w:ascii="Tahoma" w:hAnsi="Tahoma"/>
          <w:sz w:val="27"/>
          <w:rtl/>
          <w:lang w:bidi="fa-IR"/>
        </w:rPr>
        <w:t xml:space="preserve">ن الشريعة تستند </w:t>
      </w:r>
      <w:r w:rsidR="00533A7F" w:rsidRPr="00904FCB">
        <w:rPr>
          <w:rFonts w:ascii="Tahoma" w:hAnsi="Tahoma" w:hint="cs"/>
          <w:sz w:val="27"/>
          <w:rtl/>
          <w:lang w:bidi="fa-IR"/>
        </w:rPr>
        <w:t>إ</w:t>
      </w:r>
      <w:r w:rsidRPr="00904FCB">
        <w:rPr>
          <w:rFonts w:ascii="Tahoma" w:hAnsi="Tahoma"/>
          <w:sz w:val="27"/>
          <w:rtl/>
          <w:lang w:bidi="fa-IR"/>
        </w:rPr>
        <w:t xml:space="preserve">لى مرتكزات ثلاثة أيضاً. </w:t>
      </w:r>
    </w:p>
    <w:p w:rsidR="00644408" w:rsidRPr="002C04DA" w:rsidRDefault="00644408" w:rsidP="00BE70B3">
      <w:pPr>
        <w:autoSpaceDE w:val="0"/>
        <w:autoSpaceDN w:val="0"/>
        <w:adjustRightInd w:val="0"/>
        <w:spacing w:line="420" w:lineRule="exact"/>
        <w:rPr>
          <w:rFonts w:ascii="Tahoma" w:hAnsi="Tahoma"/>
          <w:sz w:val="27"/>
          <w:lang w:bidi="fa-IR"/>
        </w:rPr>
      </w:pPr>
      <w:r w:rsidRPr="002C04DA">
        <w:rPr>
          <w:rFonts w:ascii="Tahoma" w:hAnsi="Tahoma" w:hint="cs"/>
          <w:sz w:val="27"/>
          <w:rtl/>
          <w:lang w:bidi="ar-LB"/>
        </w:rPr>
        <w:t xml:space="preserve">1ـ </w:t>
      </w:r>
      <w:r w:rsidRPr="002C04DA">
        <w:rPr>
          <w:rFonts w:ascii="Tahoma" w:hAnsi="Tahoma"/>
          <w:sz w:val="27"/>
          <w:rtl/>
          <w:lang w:bidi="fa-IR"/>
        </w:rPr>
        <w:t>الفكر</w:t>
      </w:r>
      <w:r w:rsidR="00533A7F" w:rsidRPr="002C04DA">
        <w:rPr>
          <w:rFonts w:ascii="Tahoma" w:hAnsi="Tahoma" w:hint="cs"/>
          <w:sz w:val="27"/>
          <w:rtl/>
          <w:lang w:bidi="fa-IR"/>
        </w:rPr>
        <w:t>.</w:t>
      </w:r>
      <w:r w:rsidRPr="002C04DA">
        <w:rPr>
          <w:rFonts w:ascii="Tahoma" w:hAnsi="Tahoma"/>
          <w:sz w:val="27"/>
          <w:rtl/>
          <w:lang w:bidi="fa-IR"/>
        </w:rPr>
        <w:t xml:space="preserve"> والذي يتمث</w:t>
      </w:r>
      <w:r w:rsidR="00533A7F" w:rsidRPr="002C04DA">
        <w:rPr>
          <w:rFonts w:ascii="Tahoma" w:hAnsi="Tahoma" w:hint="cs"/>
          <w:sz w:val="27"/>
          <w:rtl/>
          <w:lang w:bidi="fa-IR"/>
        </w:rPr>
        <w:t>ّ</w:t>
      </w:r>
      <w:r w:rsidRPr="002C04DA">
        <w:rPr>
          <w:rFonts w:ascii="Tahoma" w:hAnsi="Tahoma"/>
          <w:sz w:val="27"/>
          <w:rtl/>
          <w:lang w:bidi="fa-IR"/>
        </w:rPr>
        <w:t xml:space="preserve">ل </w:t>
      </w:r>
      <w:r w:rsidR="00533A7F" w:rsidRPr="002C04DA">
        <w:rPr>
          <w:rFonts w:ascii="Tahoma" w:hAnsi="Tahoma" w:hint="cs"/>
          <w:sz w:val="27"/>
          <w:rtl/>
          <w:lang w:bidi="fa-IR"/>
        </w:rPr>
        <w:t>بالاعتقاد</w:t>
      </w:r>
      <w:r w:rsidRPr="002C04DA">
        <w:rPr>
          <w:rFonts w:ascii="Tahoma" w:hAnsi="Tahoma"/>
          <w:sz w:val="27"/>
          <w:rtl/>
          <w:lang w:bidi="fa-IR"/>
        </w:rPr>
        <w:t xml:space="preserve"> بأصول الدين</w:t>
      </w:r>
      <w:r w:rsidR="00533A7F" w:rsidRPr="002C04DA">
        <w:rPr>
          <w:rFonts w:ascii="Tahoma" w:hAnsi="Tahoma" w:hint="cs"/>
          <w:sz w:val="27"/>
          <w:rtl/>
          <w:lang w:bidi="fa-IR"/>
        </w:rPr>
        <w:t>،</w:t>
      </w:r>
      <w:r w:rsidRPr="002C04DA">
        <w:rPr>
          <w:rFonts w:ascii="Tahoma" w:hAnsi="Tahoma"/>
          <w:sz w:val="27"/>
          <w:rtl/>
          <w:lang w:bidi="fa-IR"/>
        </w:rPr>
        <w:t xml:space="preserve"> والإقرار بها. </w:t>
      </w:r>
    </w:p>
    <w:p w:rsidR="00644408" w:rsidRPr="002C04DA" w:rsidRDefault="00644408" w:rsidP="00BE70B3">
      <w:pPr>
        <w:autoSpaceDE w:val="0"/>
        <w:autoSpaceDN w:val="0"/>
        <w:adjustRightInd w:val="0"/>
        <w:spacing w:line="420" w:lineRule="exact"/>
        <w:rPr>
          <w:rFonts w:ascii="Tahoma" w:hAnsi="Tahoma"/>
          <w:sz w:val="27"/>
          <w:rtl/>
          <w:lang w:bidi="ar-LB"/>
        </w:rPr>
      </w:pPr>
      <w:r w:rsidRPr="002C04DA">
        <w:rPr>
          <w:rFonts w:ascii="Tahoma" w:hAnsi="Tahoma" w:hint="cs"/>
          <w:sz w:val="27"/>
          <w:rtl/>
          <w:lang w:bidi="ar-LB"/>
        </w:rPr>
        <w:t xml:space="preserve">2ـ </w:t>
      </w:r>
      <w:r w:rsidRPr="002C04DA">
        <w:rPr>
          <w:rFonts w:ascii="Tahoma" w:hAnsi="Tahoma"/>
          <w:sz w:val="27"/>
          <w:rtl/>
          <w:lang w:bidi="fa-IR"/>
        </w:rPr>
        <w:t>العبادات</w:t>
      </w:r>
      <w:r w:rsidR="00533A7F" w:rsidRPr="002C04DA">
        <w:rPr>
          <w:rFonts w:ascii="Tahoma" w:hAnsi="Tahoma" w:hint="cs"/>
          <w:sz w:val="27"/>
          <w:rtl/>
          <w:lang w:bidi="fa-IR"/>
        </w:rPr>
        <w:t>.</w:t>
      </w:r>
      <w:r w:rsidRPr="002C04DA">
        <w:rPr>
          <w:rFonts w:ascii="Tahoma" w:hAnsi="Tahoma"/>
          <w:sz w:val="27"/>
          <w:rtl/>
          <w:lang w:bidi="fa-IR"/>
        </w:rPr>
        <w:t xml:space="preserve"> وهذه تتمث</w:t>
      </w:r>
      <w:r w:rsidR="00533A7F" w:rsidRPr="002C04DA">
        <w:rPr>
          <w:rFonts w:ascii="Tahoma" w:hAnsi="Tahoma" w:hint="cs"/>
          <w:sz w:val="27"/>
          <w:rtl/>
          <w:lang w:bidi="fa-IR"/>
        </w:rPr>
        <w:t>َّ</w:t>
      </w:r>
      <w:r w:rsidRPr="002C04DA">
        <w:rPr>
          <w:rFonts w:ascii="Tahoma" w:hAnsi="Tahoma"/>
          <w:sz w:val="27"/>
          <w:rtl/>
          <w:lang w:bidi="fa-IR"/>
        </w:rPr>
        <w:t xml:space="preserve">ل </w:t>
      </w:r>
      <w:r w:rsidR="00533A7F" w:rsidRPr="002C04DA">
        <w:rPr>
          <w:rFonts w:ascii="Tahoma" w:hAnsi="Tahoma" w:hint="cs"/>
          <w:sz w:val="27"/>
          <w:rtl/>
          <w:lang w:bidi="fa-IR"/>
        </w:rPr>
        <w:t>ب</w:t>
      </w:r>
      <w:r w:rsidRPr="002C04DA">
        <w:rPr>
          <w:rFonts w:ascii="Tahoma" w:hAnsi="Tahoma"/>
          <w:sz w:val="27"/>
          <w:rtl/>
          <w:lang w:bidi="fa-IR"/>
        </w:rPr>
        <w:t>رموز تُعب</w:t>
      </w:r>
      <w:r w:rsidR="00533A7F" w:rsidRPr="002C04DA">
        <w:rPr>
          <w:rFonts w:ascii="Tahoma" w:hAnsi="Tahoma" w:hint="cs"/>
          <w:sz w:val="27"/>
          <w:rtl/>
          <w:lang w:bidi="fa-IR"/>
        </w:rPr>
        <w:t>ِّ</w:t>
      </w:r>
      <w:r w:rsidRPr="002C04DA">
        <w:rPr>
          <w:rFonts w:ascii="Tahoma" w:hAnsi="Tahoma"/>
          <w:sz w:val="27"/>
          <w:rtl/>
          <w:lang w:bidi="fa-IR"/>
        </w:rPr>
        <w:t>ر عم</w:t>
      </w:r>
      <w:r w:rsidR="00533A7F" w:rsidRPr="002C04DA">
        <w:rPr>
          <w:rFonts w:ascii="Tahoma" w:hAnsi="Tahoma" w:hint="cs"/>
          <w:sz w:val="27"/>
          <w:rtl/>
          <w:lang w:bidi="fa-IR"/>
        </w:rPr>
        <w:t>ّ</w:t>
      </w:r>
      <w:r w:rsidR="00533A7F" w:rsidRPr="002C04DA">
        <w:rPr>
          <w:rFonts w:ascii="Tahoma" w:hAnsi="Tahoma"/>
          <w:sz w:val="27"/>
          <w:rtl/>
          <w:lang w:bidi="fa-IR"/>
        </w:rPr>
        <w:t>ا يحمله من عقائد وفك</w:t>
      </w:r>
      <w:r w:rsidR="00533A7F" w:rsidRPr="002C04DA">
        <w:rPr>
          <w:rFonts w:ascii="Tahoma" w:hAnsi="Tahoma" w:hint="cs"/>
          <w:sz w:val="27"/>
          <w:rtl/>
          <w:lang w:bidi="ar-LB"/>
        </w:rPr>
        <w:t>ر.</w:t>
      </w:r>
    </w:p>
    <w:p w:rsidR="00644408" w:rsidRPr="002C04DA" w:rsidRDefault="00644408" w:rsidP="00BE70B3">
      <w:pPr>
        <w:autoSpaceDE w:val="0"/>
        <w:autoSpaceDN w:val="0"/>
        <w:adjustRightInd w:val="0"/>
        <w:spacing w:line="420" w:lineRule="exact"/>
        <w:rPr>
          <w:rFonts w:ascii="Tahoma" w:hAnsi="Tahoma"/>
          <w:sz w:val="27"/>
          <w:lang w:bidi="fa-IR"/>
        </w:rPr>
      </w:pPr>
      <w:r w:rsidRPr="002C04DA">
        <w:rPr>
          <w:rFonts w:ascii="Tahoma" w:hAnsi="Tahoma" w:hint="cs"/>
          <w:sz w:val="27"/>
          <w:rtl/>
          <w:lang w:bidi="ar-LB"/>
        </w:rPr>
        <w:t xml:space="preserve">3ـ </w:t>
      </w:r>
      <w:r w:rsidRPr="002C04DA">
        <w:rPr>
          <w:rFonts w:ascii="Tahoma" w:hAnsi="Tahoma"/>
          <w:sz w:val="27"/>
          <w:rtl/>
          <w:lang w:bidi="fa-IR"/>
        </w:rPr>
        <w:t>الأخلاق</w:t>
      </w:r>
      <w:r w:rsidR="00533A7F" w:rsidRPr="002C04DA">
        <w:rPr>
          <w:rFonts w:ascii="Tahoma" w:hAnsi="Tahoma" w:hint="cs"/>
          <w:sz w:val="27"/>
          <w:rtl/>
          <w:lang w:bidi="fa-IR"/>
        </w:rPr>
        <w:t>.</w:t>
      </w:r>
      <w:r w:rsidRPr="002C04DA">
        <w:rPr>
          <w:rFonts w:ascii="Tahoma" w:hAnsi="Tahoma"/>
          <w:sz w:val="27"/>
          <w:rtl/>
          <w:lang w:bidi="fa-IR"/>
        </w:rPr>
        <w:t xml:space="preserve"> وهي بمثابة السلوك الذي تقصده الرموز التي قام بها. </w:t>
      </w:r>
    </w:p>
    <w:p w:rsidR="00644408" w:rsidRPr="00904FCB" w:rsidRDefault="00644408" w:rsidP="00BE70B3">
      <w:pPr>
        <w:autoSpaceDE w:val="0"/>
        <w:autoSpaceDN w:val="0"/>
        <w:adjustRightInd w:val="0"/>
        <w:spacing w:line="420" w:lineRule="exact"/>
        <w:rPr>
          <w:rFonts w:ascii="Tahoma" w:hAnsi="Tahoma"/>
          <w:sz w:val="27"/>
          <w:lang w:bidi="fa-IR"/>
        </w:rPr>
      </w:pPr>
      <w:r w:rsidRPr="00904FCB">
        <w:rPr>
          <w:rFonts w:ascii="Tahoma" w:hAnsi="Tahoma"/>
          <w:sz w:val="27"/>
          <w:rtl/>
          <w:lang w:bidi="fa-IR"/>
        </w:rPr>
        <w:t>فإذا ما اشتركت هذه الثلاثة معا</w:t>
      </w:r>
      <w:r w:rsidR="00877F77" w:rsidRPr="00904FCB">
        <w:rPr>
          <w:rFonts w:ascii="Tahoma" w:hAnsi="Tahoma" w:hint="cs"/>
          <w:sz w:val="27"/>
          <w:rtl/>
          <w:lang w:bidi="fa-IR"/>
        </w:rPr>
        <w:t>ً</w:t>
      </w:r>
      <w:r w:rsidRPr="00904FCB">
        <w:rPr>
          <w:rFonts w:ascii="Tahoma" w:hAnsi="Tahoma"/>
          <w:sz w:val="27"/>
          <w:rtl/>
          <w:lang w:bidi="fa-IR"/>
        </w:rPr>
        <w:t xml:space="preserve"> عند المكل</w:t>
      </w:r>
      <w:r w:rsidR="008F1028" w:rsidRPr="00904FCB">
        <w:rPr>
          <w:rFonts w:ascii="Tahoma" w:hAnsi="Tahoma" w:hint="cs"/>
          <w:sz w:val="27"/>
          <w:rtl/>
          <w:lang w:bidi="fa-IR"/>
        </w:rPr>
        <w:t>َّ</w:t>
      </w:r>
      <w:r w:rsidRPr="00904FCB">
        <w:rPr>
          <w:rFonts w:ascii="Tahoma" w:hAnsi="Tahoma"/>
          <w:sz w:val="27"/>
          <w:rtl/>
          <w:lang w:bidi="fa-IR"/>
        </w:rPr>
        <w:t xml:space="preserve">ف يكون طريق نجاته مظنوناً أو ربما مضموناً </w:t>
      </w:r>
      <w:r w:rsidR="008F1028" w:rsidRPr="00904FCB">
        <w:rPr>
          <w:rFonts w:ascii="Tahoma" w:hAnsi="Tahoma" w:hint="cs"/>
          <w:sz w:val="27"/>
          <w:rtl/>
          <w:lang w:bidi="fa-IR"/>
        </w:rPr>
        <w:t>إ</w:t>
      </w:r>
      <w:r w:rsidRPr="00904FCB">
        <w:rPr>
          <w:rFonts w:ascii="Tahoma" w:hAnsi="Tahoma"/>
          <w:sz w:val="27"/>
          <w:rtl/>
          <w:lang w:bidi="fa-IR"/>
        </w:rPr>
        <w:t>ن</w:t>
      </w:r>
      <w:r w:rsidR="008F1028" w:rsidRPr="00904FCB">
        <w:rPr>
          <w:rFonts w:ascii="Tahoma" w:hAnsi="Tahoma" w:hint="cs"/>
          <w:sz w:val="27"/>
          <w:rtl/>
          <w:lang w:bidi="fa-IR"/>
        </w:rPr>
        <w:t>ْ</w:t>
      </w:r>
      <w:r w:rsidRPr="00904FCB">
        <w:rPr>
          <w:rFonts w:ascii="Tahoma" w:hAnsi="Tahoma"/>
          <w:sz w:val="27"/>
          <w:rtl/>
          <w:lang w:bidi="fa-IR"/>
        </w:rPr>
        <w:t xml:space="preserve"> شاء الله تعالى.... </w:t>
      </w:r>
    </w:p>
    <w:p w:rsidR="00644408" w:rsidRPr="00904FCB" w:rsidRDefault="00644408" w:rsidP="00BE70B3">
      <w:pPr>
        <w:autoSpaceDE w:val="0"/>
        <w:autoSpaceDN w:val="0"/>
        <w:adjustRightInd w:val="0"/>
        <w:spacing w:line="420" w:lineRule="exact"/>
        <w:rPr>
          <w:rFonts w:ascii="Tahoma" w:hAnsi="Tahoma"/>
          <w:sz w:val="27"/>
          <w:lang w:bidi="fa-IR"/>
        </w:rPr>
      </w:pPr>
      <w:r w:rsidRPr="00904FCB">
        <w:rPr>
          <w:rFonts w:ascii="Tahoma" w:hAnsi="Tahoma"/>
          <w:sz w:val="27"/>
          <w:rtl/>
          <w:lang w:bidi="fa-IR"/>
        </w:rPr>
        <w:t>أما القانون الوضعي فتنطلق مواد</w:t>
      </w:r>
      <w:r w:rsidR="009F1066" w:rsidRPr="00904FCB">
        <w:rPr>
          <w:rFonts w:ascii="Tahoma" w:hAnsi="Tahoma" w:hint="cs"/>
          <w:sz w:val="27"/>
          <w:rtl/>
          <w:lang w:bidi="fa-IR"/>
        </w:rPr>
        <w:t>ّ</w:t>
      </w:r>
      <w:r w:rsidRPr="00904FCB">
        <w:rPr>
          <w:rFonts w:ascii="Tahoma" w:hAnsi="Tahoma"/>
          <w:sz w:val="27"/>
          <w:rtl/>
          <w:lang w:bidi="fa-IR"/>
        </w:rPr>
        <w:t>ه هي الأخرى من دستور الدولة</w:t>
      </w:r>
      <w:r w:rsidR="009F1066" w:rsidRPr="00904FCB">
        <w:rPr>
          <w:rFonts w:ascii="Tahoma" w:hAnsi="Tahoma" w:hint="cs"/>
          <w:sz w:val="27"/>
          <w:rtl/>
          <w:lang w:bidi="fa-IR"/>
        </w:rPr>
        <w:t>،</w:t>
      </w:r>
      <w:r w:rsidRPr="00904FCB">
        <w:rPr>
          <w:rFonts w:ascii="Tahoma" w:hAnsi="Tahoma"/>
          <w:sz w:val="27"/>
          <w:rtl/>
          <w:lang w:bidi="fa-IR"/>
        </w:rPr>
        <w:t xml:space="preserve"> التي تكون بمثابة مواد</w:t>
      </w:r>
      <w:r w:rsidR="009F1066" w:rsidRPr="00904FCB">
        <w:rPr>
          <w:rFonts w:ascii="Tahoma" w:hAnsi="Tahoma" w:hint="cs"/>
          <w:sz w:val="27"/>
          <w:rtl/>
          <w:lang w:bidi="fa-IR"/>
        </w:rPr>
        <w:t>ّ</w:t>
      </w:r>
      <w:r w:rsidRPr="00904FCB">
        <w:rPr>
          <w:rFonts w:ascii="Tahoma" w:hAnsi="Tahoma"/>
          <w:sz w:val="27"/>
          <w:rtl/>
          <w:lang w:bidi="fa-IR"/>
        </w:rPr>
        <w:t xml:space="preserve"> أساسية عام</w:t>
      </w:r>
      <w:r w:rsidR="009F1066" w:rsidRPr="00904FCB">
        <w:rPr>
          <w:rFonts w:ascii="Tahoma" w:hAnsi="Tahoma" w:hint="cs"/>
          <w:sz w:val="27"/>
          <w:rtl/>
          <w:lang w:bidi="fa-IR"/>
        </w:rPr>
        <w:t>ّ</w:t>
      </w:r>
      <w:r w:rsidRPr="00904FCB">
        <w:rPr>
          <w:rFonts w:ascii="Tahoma" w:hAnsi="Tahoma"/>
          <w:sz w:val="27"/>
          <w:rtl/>
          <w:lang w:bidi="fa-IR"/>
        </w:rPr>
        <w:t>ة تعطي القواعد والكل</w:t>
      </w:r>
      <w:r w:rsidR="009F1066" w:rsidRPr="00904FCB">
        <w:rPr>
          <w:rFonts w:ascii="Tahoma" w:hAnsi="Tahoma" w:hint="cs"/>
          <w:sz w:val="27"/>
          <w:rtl/>
          <w:lang w:bidi="fa-IR"/>
        </w:rPr>
        <w:t>ّ</w:t>
      </w:r>
      <w:r w:rsidRPr="00904FCB">
        <w:rPr>
          <w:rFonts w:ascii="Tahoma" w:hAnsi="Tahoma"/>
          <w:sz w:val="27"/>
          <w:rtl/>
          <w:lang w:bidi="fa-IR"/>
        </w:rPr>
        <w:t>يات، دون التفصيلات الدقيقة والتفر</w:t>
      </w:r>
      <w:r w:rsidR="009F1066" w:rsidRPr="00904FCB">
        <w:rPr>
          <w:rFonts w:ascii="Tahoma" w:hAnsi="Tahoma" w:hint="cs"/>
          <w:sz w:val="27"/>
          <w:rtl/>
          <w:lang w:bidi="fa-IR"/>
        </w:rPr>
        <w:t>ي</w:t>
      </w:r>
      <w:r w:rsidRPr="00904FCB">
        <w:rPr>
          <w:rFonts w:ascii="Tahoma" w:hAnsi="Tahoma"/>
          <w:sz w:val="27"/>
          <w:rtl/>
          <w:lang w:bidi="fa-IR"/>
        </w:rPr>
        <w:t>عات</w:t>
      </w:r>
      <w:r w:rsidR="009F1066" w:rsidRPr="00904FCB">
        <w:rPr>
          <w:rFonts w:ascii="Tahoma" w:hAnsi="Tahoma" w:hint="cs"/>
          <w:sz w:val="27"/>
          <w:rtl/>
          <w:lang w:bidi="fa-IR"/>
        </w:rPr>
        <w:t>.</w:t>
      </w:r>
      <w:r w:rsidRPr="00904FCB">
        <w:rPr>
          <w:rFonts w:ascii="Tahoma" w:hAnsi="Tahoma"/>
          <w:sz w:val="27"/>
          <w:rtl/>
          <w:lang w:bidi="fa-IR"/>
        </w:rPr>
        <w:t xml:space="preserve"> ولكن</w:t>
      </w:r>
      <w:r w:rsidR="009F1066" w:rsidRPr="00904FCB">
        <w:rPr>
          <w:rFonts w:ascii="Tahoma" w:hAnsi="Tahoma" w:hint="cs"/>
          <w:sz w:val="27"/>
          <w:rtl/>
          <w:lang w:bidi="fa-IR"/>
        </w:rPr>
        <w:t>ّ</w:t>
      </w:r>
      <w:r w:rsidRPr="00904FCB">
        <w:rPr>
          <w:rFonts w:ascii="Tahoma" w:hAnsi="Tahoma"/>
          <w:sz w:val="27"/>
          <w:rtl/>
          <w:lang w:bidi="fa-IR"/>
        </w:rPr>
        <w:t xml:space="preserve"> القانون يفتقر إلى العلاقة الرابطة بين ذات الإنسان وخالقه، بل ربما تناقض بعض مواده تلك العلاقة</w:t>
      </w:r>
      <w:r w:rsidR="009F1066" w:rsidRPr="00904FCB">
        <w:rPr>
          <w:rFonts w:ascii="Tahoma" w:hAnsi="Tahoma" w:hint="cs"/>
          <w:sz w:val="27"/>
          <w:rtl/>
          <w:lang w:bidi="fa-IR"/>
        </w:rPr>
        <w:t>.</w:t>
      </w:r>
      <w:r w:rsidRPr="00904FCB">
        <w:rPr>
          <w:rFonts w:ascii="Tahoma" w:hAnsi="Tahoma"/>
          <w:sz w:val="27"/>
          <w:rtl/>
          <w:lang w:bidi="fa-IR"/>
        </w:rPr>
        <w:t xml:space="preserve"> عندما لا تتماشى مواده مع معتقدات الفرد، أو يسمح لبعض المحر</w:t>
      </w:r>
      <w:r w:rsidR="009F1066" w:rsidRPr="00904FCB">
        <w:rPr>
          <w:rFonts w:ascii="Tahoma" w:hAnsi="Tahoma" w:hint="cs"/>
          <w:sz w:val="27"/>
          <w:rtl/>
          <w:lang w:bidi="fa-IR"/>
        </w:rPr>
        <w:t>ّ</w:t>
      </w:r>
      <w:r w:rsidRPr="00904FCB">
        <w:rPr>
          <w:rFonts w:ascii="Tahoma" w:hAnsi="Tahoma"/>
          <w:sz w:val="27"/>
          <w:rtl/>
          <w:lang w:bidi="fa-IR"/>
        </w:rPr>
        <w:t>مات، ف</w:t>
      </w:r>
      <w:r w:rsidR="009F1066" w:rsidRPr="00904FCB">
        <w:rPr>
          <w:rFonts w:ascii="Tahoma" w:hAnsi="Tahoma" w:hint="cs"/>
          <w:sz w:val="27"/>
          <w:rtl/>
          <w:lang w:bidi="fa-IR"/>
        </w:rPr>
        <w:t>إ</w:t>
      </w:r>
      <w:r w:rsidRPr="00904FCB">
        <w:rPr>
          <w:rFonts w:ascii="Tahoma" w:hAnsi="Tahoma"/>
          <w:sz w:val="27"/>
          <w:rtl/>
          <w:lang w:bidi="fa-IR"/>
        </w:rPr>
        <w:t>ن الفرد يعتبر ذلك بمثابة انتهاك</w:t>
      </w:r>
      <w:r w:rsidR="009F1066" w:rsidRPr="00904FCB">
        <w:rPr>
          <w:rFonts w:ascii="Tahoma" w:hAnsi="Tahoma" w:hint="cs"/>
          <w:sz w:val="27"/>
          <w:rtl/>
          <w:lang w:bidi="fa-IR"/>
        </w:rPr>
        <w:t>ٍ</w:t>
      </w:r>
      <w:r w:rsidRPr="00904FCB">
        <w:rPr>
          <w:rFonts w:ascii="Tahoma" w:hAnsi="Tahoma"/>
          <w:sz w:val="27"/>
          <w:rtl/>
          <w:lang w:bidi="fa-IR"/>
        </w:rPr>
        <w:t xml:space="preserve"> لتلك العلاقة، فيعيش في حالة تناقض بين الإذعان لما يعتقد أو الإذعان بما يفرض عليه أن يلتزم</w:t>
      </w:r>
      <w:r w:rsidR="009F1066" w:rsidRPr="00904FCB">
        <w:rPr>
          <w:rFonts w:ascii="Tahoma" w:hAnsi="Tahoma" w:hint="cs"/>
          <w:sz w:val="27"/>
          <w:rtl/>
          <w:lang w:bidi="fa-IR"/>
        </w:rPr>
        <w:t>.</w:t>
      </w:r>
      <w:r w:rsidRPr="00904FCB">
        <w:rPr>
          <w:rFonts w:ascii="Tahoma" w:hAnsi="Tahoma"/>
          <w:sz w:val="27"/>
          <w:rtl/>
          <w:lang w:bidi="fa-IR"/>
        </w:rPr>
        <w:t xml:space="preserve"> وهذا الأمر يعد</w:t>
      </w:r>
      <w:r w:rsidR="009F1066" w:rsidRPr="00904FCB">
        <w:rPr>
          <w:rFonts w:ascii="Tahoma" w:hAnsi="Tahoma" w:hint="cs"/>
          <w:sz w:val="27"/>
          <w:rtl/>
          <w:lang w:bidi="fa-IR"/>
        </w:rPr>
        <w:t>ّ</w:t>
      </w:r>
      <w:r w:rsidRPr="00904FCB">
        <w:rPr>
          <w:rFonts w:ascii="Tahoma" w:hAnsi="Tahoma"/>
          <w:sz w:val="27"/>
          <w:rtl/>
          <w:lang w:bidi="fa-IR"/>
        </w:rPr>
        <w:t xml:space="preserve"> من </w:t>
      </w:r>
      <w:r w:rsidR="009F1066" w:rsidRPr="00904FCB">
        <w:rPr>
          <w:rFonts w:ascii="Tahoma" w:hAnsi="Tahoma" w:hint="cs"/>
          <w:sz w:val="27"/>
          <w:rtl/>
          <w:lang w:bidi="fa-IR"/>
        </w:rPr>
        <w:t>أ</w:t>
      </w:r>
      <w:r w:rsidRPr="00904FCB">
        <w:rPr>
          <w:rFonts w:ascii="Tahoma" w:hAnsi="Tahoma"/>
          <w:sz w:val="27"/>
          <w:rtl/>
          <w:lang w:bidi="fa-IR"/>
        </w:rPr>
        <w:t xml:space="preserve">خطر الويلات على القانون وتطبيقه. </w:t>
      </w:r>
    </w:p>
    <w:p w:rsidR="00644408" w:rsidRPr="00904FCB" w:rsidRDefault="00644408" w:rsidP="00BE70B3">
      <w:pPr>
        <w:autoSpaceDE w:val="0"/>
        <w:autoSpaceDN w:val="0"/>
        <w:adjustRightInd w:val="0"/>
        <w:spacing w:line="420" w:lineRule="exact"/>
        <w:rPr>
          <w:rFonts w:ascii="Tahoma" w:hAnsi="Tahoma"/>
          <w:sz w:val="27"/>
          <w:lang w:bidi="fa-IR"/>
        </w:rPr>
      </w:pPr>
      <w:r w:rsidRPr="00904FCB">
        <w:rPr>
          <w:rFonts w:ascii="Tahoma" w:hAnsi="Tahoma"/>
          <w:sz w:val="27"/>
          <w:rtl/>
          <w:lang w:bidi="fa-IR"/>
        </w:rPr>
        <w:t>لذلك ف</w:t>
      </w:r>
      <w:r w:rsidR="009F1066" w:rsidRPr="00904FCB">
        <w:rPr>
          <w:rFonts w:ascii="Tahoma" w:hAnsi="Tahoma" w:hint="cs"/>
          <w:sz w:val="27"/>
          <w:rtl/>
          <w:lang w:bidi="fa-IR"/>
        </w:rPr>
        <w:t>إ</w:t>
      </w:r>
      <w:r w:rsidRPr="00904FCB">
        <w:rPr>
          <w:rFonts w:ascii="Tahoma" w:hAnsi="Tahoma"/>
          <w:sz w:val="27"/>
          <w:rtl/>
          <w:lang w:bidi="fa-IR"/>
        </w:rPr>
        <w:t>ن المشّرع للقانون والقانوني يجب أن يأخذا بنظر الاعتبار هذه المس</w:t>
      </w:r>
      <w:r w:rsidR="009F1066" w:rsidRPr="00904FCB">
        <w:rPr>
          <w:rFonts w:ascii="Tahoma" w:hAnsi="Tahoma" w:hint="cs"/>
          <w:sz w:val="27"/>
          <w:rtl/>
          <w:lang w:bidi="fa-IR"/>
        </w:rPr>
        <w:t>أ</w:t>
      </w:r>
      <w:r w:rsidRPr="00904FCB">
        <w:rPr>
          <w:rFonts w:ascii="Tahoma" w:hAnsi="Tahoma"/>
          <w:sz w:val="27"/>
          <w:rtl/>
          <w:lang w:bidi="fa-IR"/>
        </w:rPr>
        <w:t>لة الشائكة بالنسبة لهما</w:t>
      </w:r>
      <w:r w:rsidR="009F1066" w:rsidRPr="00904FCB">
        <w:rPr>
          <w:rFonts w:ascii="Tahoma" w:hAnsi="Tahoma" w:hint="cs"/>
          <w:sz w:val="27"/>
          <w:rtl/>
          <w:lang w:bidi="fa-IR"/>
        </w:rPr>
        <w:t>؛</w:t>
      </w:r>
      <w:r w:rsidRPr="00904FCB">
        <w:rPr>
          <w:rFonts w:ascii="Tahoma" w:hAnsi="Tahoma"/>
          <w:sz w:val="27"/>
          <w:rtl/>
          <w:lang w:bidi="fa-IR"/>
        </w:rPr>
        <w:t xml:space="preserve"> كونهما يصنعان م</w:t>
      </w:r>
      <w:r w:rsidR="009F1066" w:rsidRPr="00904FCB">
        <w:rPr>
          <w:rFonts w:ascii="Tahoma" w:hAnsi="Tahoma"/>
          <w:sz w:val="27"/>
          <w:rtl/>
          <w:lang w:bidi="fa-IR"/>
        </w:rPr>
        <w:t>وا</w:t>
      </w:r>
      <w:r w:rsidR="009F1066" w:rsidRPr="00904FCB">
        <w:rPr>
          <w:rFonts w:ascii="Tahoma" w:hAnsi="Tahoma" w:hint="cs"/>
          <w:sz w:val="27"/>
          <w:rtl/>
          <w:lang w:bidi="fa-IR"/>
        </w:rPr>
        <w:t>دّ</w:t>
      </w:r>
      <w:r w:rsidRPr="00904FCB">
        <w:rPr>
          <w:rFonts w:ascii="Tahoma" w:hAnsi="Tahoma"/>
          <w:sz w:val="27"/>
          <w:rtl/>
          <w:lang w:bidi="fa-IR"/>
        </w:rPr>
        <w:t xml:space="preserve"> قانونية لشعوب اختلفت فيها الاعتقادات </w:t>
      </w:r>
      <w:r w:rsidRPr="00904FCB">
        <w:rPr>
          <w:rFonts w:ascii="Tahoma" w:hAnsi="Tahoma"/>
          <w:sz w:val="27"/>
          <w:rtl/>
          <w:lang w:bidi="fa-IR"/>
        </w:rPr>
        <w:lastRenderedPageBreak/>
        <w:t>وتباينت الأديان.... بينما يضع الفقه الإسلامي تفصيلاته لتلك العلاقات</w:t>
      </w:r>
      <w:r w:rsidR="009F1066" w:rsidRPr="00904FCB">
        <w:rPr>
          <w:rFonts w:ascii="Tahoma" w:hAnsi="Tahoma" w:hint="cs"/>
          <w:sz w:val="27"/>
          <w:rtl/>
          <w:lang w:bidi="fa-IR"/>
        </w:rPr>
        <w:t>،</w:t>
      </w:r>
      <w:r w:rsidRPr="00904FCB">
        <w:rPr>
          <w:rFonts w:ascii="Tahoma" w:hAnsi="Tahoma"/>
          <w:sz w:val="27"/>
          <w:rtl/>
          <w:lang w:bidi="fa-IR"/>
        </w:rPr>
        <w:t xml:space="preserve"> ويحد</w:t>
      </w:r>
      <w:r w:rsidR="009F1066" w:rsidRPr="00904FCB">
        <w:rPr>
          <w:rFonts w:ascii="Tahoma" w:hAnsi="Tahoma" w:hint="cs"/>
          <w:sz w:val="27"/>
          <w:rtl/>
          <w:lang w:bidi="fa-IR"/>
        </w:rPr>
        <w:t>ِّ</w:t>
      </w:r>
      <w:r w:rsidRPr="00904FCB">
        <w:rPr>
          <w:rFonts w:ascii="Tahoma" w:hAnsi="Tahoma"/>
          <w:sz w:val="27"/>
          <w:rtl/>
          <w:lang w:bidi="fa-IR"/>
        </w:rPr>
        <w:t>د موقفه منها</w:t>
      </w:r>
      <w:r w:rsidR="009F1066" w:rsidRPr="00904FCB">
        <w:rPr>
          <w:rFonts w:ascii="Tahoma" w:hAnsi="Tahoma" w:hint="cs"/>
          <w:sz w:val="27"/>
          <w:rtl/>
          <w:lang w:bidi="fa-IR"/>
        </w:rPr>
        <w:t>،</w:t>
      </w:r>
      <w:r w:rsidRPr="00904FCB">
        <w:rPr>
          <w:rFonts w:ascii="Tahoma" w:hAnsi="Tahoma"/>
          <w:sz w:val="27"/>
          <w:rtl/>
          <w:lang w:bidi="fa-IR"/>
        </w:rPr>
        <w:t xml:space="preserve"> انطلاقاً من عالمي</w:t>
      </w:r>
      <w:r w:rsidR="009F1066" w:rsidRPr="00904FCB">
        <w:rPr>
          <w:rFonts w:ascii="Tahoma" w:hAnsi="Tahoma" w:hint="cs"/>
          <w:sz w:val="27"/>
          <w:rtl/>
          <w:lang w:bidi="fa-IR"/>
        </w:rPr>
        <w:t>ّ</w:t>
      </w:r>
      <w:r w:rsidRPr="00904FCB">
        <w:rPr>
          <w:rFonts w:ascii="Tahoma" w:hAnsi="Tahoma"/>
          <w:sz w:val="27"/>
          <w:rtl/>
          <w:lang w:bidi="fa-IR"/>
        </w:rPr>
        <w:t xml:space="preserve">ته وموسوعيته وشموله واستمراريته.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المبحث الرابع</w:t>
      </w:r>
      <w:r w:rsidRPr="00904FCB">
        <w:rPr>
          <w:rFonts w:hint="cs"/>
          <w:color w:val="auto"/>
          <w:rtl/>
          <w:lang w:bidi="fa-IR"/>
        </w:rPr>
        <w:t xml:space="preserve">: </w:t>
      </w:r>
      <w:r w:rsidR="00F8468B">
        <w:rPr>
          <w:rFonts w:hint="cs"/>
          <w:color w:val="auto"/>
          <w:rtl/>
          <w:lang w:bidi="fa-IR"/>
        </w:rPr>
        <w:t>(</w:t>
      </w:r>
      <w:r w:rsidRPr="00904FCB">
        <w:rPr>
          <w:color w:val="auto"/>
          <w:rtl/>
          <w:lang w:bidi="fa-IR"/>
        </w:rPr>
        <w:t>مجل</w:t>
      </w:r>
      <w:r w:rsidR="009F1066" w:rsidRPr="00904FCB">
        <w:rPr>
          <w:rFonts w:hint="cs"/>
          <w:color w:val="auto"/>
          <w:rtl/>
          <w:lang w:bidi="fa-IR"/>
        </w:rPr>
        <w:t>ّ</w:t>
      </w:r>
      <w:r w:rsidRPr="00904FCB">
        <w:rPr>
          <w:color w:val="auto"/>
          <w:rtl/>
          <w:lang w:bidi="fa-IR"/>
        </w:rPr>
        <w:t>ة ال</w:t>
      </w:r>
      <w:r w:rsidR="00E2432E" w:rsidRPr="00904FCB">
        <w:rPr>
          <w:rFonts w:hint="cs"/>
          <w:color w:val="auto"/>
          <w:rtl/>
          <w:lang w:bidi="fa-IR"/>
        </w:rPr>
        <w:t>أ</w:t>
      </w:r>
      <w:r w:rsidRPr="00904FCB">
        <w:rPr>
          <w:color w:val="auto"/>
          <w:rtl/>
          <w:lang w:bidi="fa-IR"/>
        </w:rPr>
        <w:t>حكام العدلية</w:t>
      </w:r>
      <w:r w:rsidR="00F8468B">
        <w:rPr>
          <w:rFonts w:hint="cs"/>
          <w:color w:val="auto"/>
          <w:rtl/>
          <w:lang w:bidi="fa-IR"/>
        </w:rPr>
        <w:t>)</w:t>
      </w:r>
      <w:r w:rsidRPr="00904FCB">
        <w:rPr>
          <w:color w:val="auto"/>
          <w:rtl/>
          <w:lang w:bidi="fa-IR"/>
        </w:rPr>
        <w:t xml:space="preserve"> </w:t>
      </w:r>
      <w:r w:rsidRPr="00904FCB">
        <w:rPr>
          <w:rFonts w:hint="cs"/>
          <w:color w:val="auto"/>
          <w:rtl/>
          <w:lang w:bidi="fa-IR"/>
        </w:rPr>
        <w:t>أ</w:t>
      </w:r>
      <w:r w:rsidRPr="00904FCB">
        <w:rPr>
          <w:color w:val="auto"/>
          <w:rtl/>
          <w:lang w:bidi="fa-IR"/>
        </w:rPr>
        <w:t>نموذجا</w:t>
      </w:r>
      <w:r w:rsidRPr="00904FCB">
        <w:rPr>
          <w:rFonts w:hint="cs"/>
          <w:color w:val="auto"/>
          <w:rtl/>
          <w:lang w:bidi="fa-IR"/>
        </w:rPr>
        <w:t>ً</w:t>
      </w:r>
      <w:r w:rsidRPr="00904FCB">
        <w:rPr>
          <w:color w:val="auto"/>
          <w:rtl/>
          <w:lang w:bidi="fa-IR"/>
        </w:rPr>
        <w:t xml:space="preserve"> لت</w:t>
      </w:r>
      <w:r w:rsidR="00E2432E" w:rsidRPr="00904FCB">
        <w:rPr>
          <w:rFonts w:hint="cs"/>
          <w:color w:val="auto"/>
          <w:rtl/>
          <w:lang w:bidi="fa-IR"/>
        </w:rPr>
        <w:t>ق</w:t>
      </w:r>
      <w:r w:rsidRPr="00904FCB">
        <w:rPr>
          <w:color w:val="auto"/>
          <w:rtl/>
          <w:lang w:bidi="fa-IR"/>
        </w:rPr>
        <w:t xml:space="preserve">نين الفقه </w:t>
      </w:r>
    </w:p>
    <w:p w:rsidR="00644408" w:rsidRPr="00904FCB" w:rsidRDefault="00963E93" w:rsidP="00963E93">
      <w:pPr>
        <w:autoSpaceDE w:val="0"/>
        <w:autoSpaceDN w:val="0"/>
        <w:adjustRightInd w:val="0"/>
        <w:spacing w:line="420" w:lineRule="exact"/>
        <w:ind w:firstLine="561"/>
        <w:rPr>
          <w:rFonts w:ascii="Tahoma" w:hAnsi="Tahoma"/>
          <w:sz w:val="27"/>
          <w:lang w:bidi="fa-IR"/>
        </w:rPr>
      </w:pPr>
      <w:r>
        <w:rPr>
          <w:rFonts w:ascii="Tahoma" w:hAnsi="Tahoma" w:hint="cs"/>
          <w:sz w:val="27"/>
          <w:rtl/>
          <w:lang w:bidi="fa-IR"/>
        </w:rPr>
        <w:t>و</w:t>
      </w:r>
      <w:r w:rsidR="009F1066" w:rsidRPr="00904FCB">
        <w:rPr>
          <w:rFonts w:ascii="Tahoma" w:hAnsi="Tahoma" w:hint="cs"/>
          <w:sz w:val="27"/>
          <w:rtl/>
          <w:lang w:bidi="fa-IR"/>
        </w:rPr>
        <w:t>إ</w:t>
      </w:r>
      <w:r w:rsidR="00644408" w:rsidRPr="00904FCB">
        <w:rPr>
          <w:rFonts w:ascii="Tahoma" w:hAnsi="Tahoma"/>
          <w:sz w:val="27"/>
          <w:rtl/>
          <w:lang w:bidi="fa-IR"/>
        </w:rPr>
        <w:t>ذا كان لا</w:t>
      </w:r>
      <w:r w:rsidR="009F1066" w:rsidRPr="00904FCB">
        <w:rPr>
          <w:rFonts w:ascii="Tahoma" w:hAnsi="Tahoma" w:hint="cs"/>
          <w:sz w:val="27"/>
          <w:rtl/>
          <w:lang w:bidi="fa-IR"/>
        </w:rPr>
        <w:t xml:space="preserve"> </w:t>
      </w:r>
      <w:r w:rsidR="00644408" w:rsidRPr="00904FCB">
        <w:rPr>
          <w:rFonts w:ascii="Tahoma" w:hAnsi="Tahoma"/>
          <w:sz w:val="27"/>
          <w:rtl/>
          <w:lang w:bidi="fa-IR"/>
        </w:rPr>
        <w:t>ب</w:t>
      </w:r>
      <w:r w:rsidR="009F1066" w:rsidRPr="00904FCB">
        <w:rPr>
          <w:rFonts w:ascii="Tahoma" w:hAnsi="Tahoma" w:hint="cs"/>
          <w:sz w:val="27"/>
          <w:rtl/>
          <w:lang w:bidi="fa-IR"/>
        </w:rPr>
        <w:t>ُ</w:t>
      </w:r>
      <w:r w:rsidR="00644408" w:rsidRPr="00904FCB">
        <w:rPr>
          <w:rFonts w:ascii="Tahoma" w:hAnsi="Tahoma"/>
          <w:sz w:val="27"/>
          <w:rtl/>
          <w:lang w:bidi="fa-IR"/>
        </w:rPr>
        <w:t>د</w:t>
      </w:r>
      <w:r w:rsidR="009F1066" w:rsidRPr="00904FCB">
        <w:rPr>
          <w:rFonts w:ascii="Tahoma" w:hAnsi="Tahoma" w:hint="cs"/>
          <w:sz w:val="27"/>
          <w:rtl/>
          <w:lang w:bidi="fa-IR"/>
        </w:rPr>
        <w:t>َّ</w:t>
      </w:r>
      <w:r w:rsidR="00644408" w:rsidRPr="00904FCB">
        <w:rPr>
          <w:rFonts w:ascii="Tahoma" w:hAnsi="Tahoma"/>
          <w:sz w:val="27"/>
          <w:rtl/>
          <w:lang w:bidi="fa-IR"/>
        </w:rPr>
        <w:t xml:space="preserve"> من </w:t>
      </w:r>
      <w:r w:rsidR="009F1066" w:rsidRPr="00904FCB">
        <w:rPr>
          <w:rFonts w:ascii="Tahoma" w:hAnsi="Tahoma" w:hint="cs"/>
          <w:sz w:val="27"/>
          <w:rtl/>
          <w:lang w:bidi="fa-IR"/>
        </w:rPr>
        <w:t>إ</w:t>
      </w:r>
      <w:r w:rsidR="00644408" w:rsidRPr="00904FCB">
        <w:rPr>
          <w:rFonts w:ascii="Tahoma" w:hAnsi="Tahoma"/>
          <w:sz w:val="27"/>
          <w:rtl/>
          <w:lang w:bidi="fa-IR"/>
        </w:rPr>
        <w:t>عطاء نموذج</w:t>
      </w:r>
      <w:r w:rsidR="009F1066" w:rsidRPr="00904FCB">
        <w:rPr>
          <w:rFonts w:ascii="Tahoma" w:hAnsi="Tahoma" w:hint="cs"/>
          <w:sz w:val="27"/>
          <w:rtl/>
          <w:lang w:bidi="fa-IR"/>
        </w:rPr>
        <w:t>ٍ</w:t>
      </w:r>
      <w:r w:rsidR="00644408" w:rsidRPr="00904FCB">
        <w:rPr>
          <w:rFonts w:ascii="Tahoma" w:hAnsi="Tahoma"/>
          <w:sz w:val="27"/>
          <w:rtl/>
          <w:lang w:bidi="fa-IR"/>
        </w:rPr>
        <w:t xml:space="preserve"> حي</w:t>
      </w:r>
      <w:r w:rsidR="009F1066" w:rsidRPr="00904FCB">
        <w:rPr>
          <w:rFonts w:ascii="Tahoma" w:hAnsi="Tahoma" w:hint="cs"/>
          <w:sz w:val="27"/>
          <w:rtl/>
          <w:lang w:bidi="fa-IR"/>
        </w:rPr>
        <w:t>ّ</w:t>
      </w:r>
      <w:r w:rsidR="00644408" w:rsidRPr="00904FCB">
        <w:rPr>
          <w:rFonts w:ascii="Tahoma" w:hAnsi="Tahoma"/>
          <w:sz w:val="27"/>
          <w:rtl/>
          <w:lang w:bidi="fa-IR"/>
        </w:rPr>
        <w:t xml:space="preserve"> قابل</w:t>
      </w:r>
      <w:r w:rsidR="009F1066" w:rsidRPr="00904FCB">
        <w:rPr>
          <w:rFonts w:ascii="Tahoma" w:hAnsi="Tahoma" w:hint="cs"/>
          <w:sz w:val="27"/>
          <w:rtl/>
          <w:lang w:bidi="fa-IR"/>
        </w:rPr>
        <w:t>ٍ</w:t>
      </w:r>
      <w:r w:rsidR="00644408" w:rsidRPr="00904FCB">
        <w:rPr>
          <w:rFonts w:ascii="Tahoma" w:hAnsi="Tahoma"/>
          <w:sz w:val="27"/>
          <w:rtl/>
          <w:lang w:bidi="fa-IR"/>
        </w:rPr>
        <w:t xml:space="preserve"> للتطبيق على ما تقد</w:t>
      </w:r>
      <w:r w:rsidR="009F1066" w:rsidRPr="00904FCB">
        <w:rPr>
          <w:rFonts w:ascii="Tahoma" w:hAnsi="Tahoma" w:hint="cs"/>
          <w:sz w:val="27"/>
          <w:rtl/>
          <w:lang w:bidi="fa-IR"/>
        </w:rPr>
        <w:t>ّ</w:t>
      </w:r>
      <w:r w:rsidR="00644408" w:rsidRPr="00904FCB">
        <w:rPr>
          <w:rFonts w:ascii="Tahoma" w:hAnsi="Tahoma"/>
          <w:sz w:val="27"/>
          <w:rtl/>
          <w:lang w:bidi="fa-IR"/>
        </w:rPr>
        <w:t>م من قولنا ف</w:t>
      </w:r>
      <w:r w:rsidR="00980CD6" w:rsidRPr="00904FCB">
        <w:rPr>
          <w:rFonts w:ascii="Tahoma" w:hAnsi="Tahoma" w:hint="cs"/>
          <w:sz w:val="27"/>
          <w:rtl/>
          <w:lang w:bidi="fa-IR"/>
        </w:rPr>
        <w:t>إ</w:t>
      </w:r>
      <w:r w:rsidR="00644408" w:rsidRPr="00904FCB">
        <w:rPr>
          <w:rFonts w:ascii="Tahoma" w:hAnsi="Tahoma"/>
          <w:sz w:val="27"/>
          <w:rtl/>
          <w:lang w:bidi="fa-IR"/>
        </w:rPr>
        <w:t>ن</w:t>
      </w:r>
      <w:r w:rsidR="00980CD6" w:rsidRPr="00904FCB">
        <w:rPr>
          <w:rFonts w:ascii="Tahoma" w:hAnsi="Tahoma" w:hint="cs"/>
          <w:sz w:val="27"/>
          <w:rtl/>
          <w:lang w:bidi="fa-IR"/>
        </w:rPr>
        <w:t>ّه</w:t>
      </w:r>
      <w:r w:rsidR="00644408" w:rsidRPr="00904FCB">
        <w:rPr>
          <w:rFonts w:ascii="Tahoma" w:hAnsi="Tahoma"/>
          <w:sz w:val="27"/>
          <w:rtl/>
          <w:lang w:bidi="fa-IR"/>
        </w:rPr>
        <w:t xml:space="preserve"> </w:t>
      </w:r>
      <w:r w:rsidR="00F8468B">
        <w:rPr>
          <w:rFonts w:ascii="Tahoma" w:hAnsi="Tahoma" w:hint="cs"/>
          <w:sz w:val="27"/>
          <w:rtl/>
          <w:lang w:bidi="fa-IR"/>
        </w:rPr>
        <w:t>(</w:t>
      </w:r>
      <w:r w:rsidR="00644408" w:rsidRPr="00904FCB">
        <w:rPr>
          <w:rFonts w:ascii="Tahoma" w:hAnsi="Tahoma"/>
          <w:sz w:val="27"/>
          <w:rtl/>
          <w:lang w:bidi="fa-IR"/>
        </w:rPr>
        <w:t>مجل</w:t>
      </w:r>
      <w:r w:rsidR="00F8468B">
        <w:rPr>
          <w:rFonts w:ascii="Tahoma" w:hAnsi="Tahoma" w:hint="cs"/>
          <w:sz w:val="27"/>
          <w:rtl/>
          <w:lang w:bidi="fa-IR"/>
        </w:rPr>
        <w:t>ّ</w:t>
      </w:r>
      <w:r w:rsidR="00644408" w:rsidRPr="00904FCB">
        <w:rPr>
          <w:rFonts w:ascii="Tahoma" w:hAnsi="Tahoma"/>
          <w:sz w:val="27"/>
          <w:rtl/>
          <w:lang w:bidi="fa-IR"/>
        </w:rPr>
        <w:t>ة ال</w:t>
      </w:r>
      <w:r w:rsidR="00980CD6" w:rsidRPr="00904FCB">
        <w:rPr>
          <w:rFonts w:ascii="Tahoma" w:hAnsi="Tahoma" w:hint="cs"/>
          <w:sz w:val="27"/>
          <w:rtl/>
          <w:lang w:bidi="fa-IR"/>
        </w:rPr>
        <w:t>أ</w:t>
      </w:r>
      <w:r w:rsidR="00644408" w:rsidRPr="00904FCB">
        <w:rPr>
          <w:rFonts w:ascii="Tahoma" w:hAnsi="Tahoma"/>
          <w:sz w:val="27"/>
          <w:rtl/>
          <w:lang w:bidi="fa-IR"/>
        </w:rPr>
        <w:t>حكام العدلية</w:t>
      </w:r>
      <w:r w:rsidR="00F8468B">
        <w:rPr>
          <w:rFonts w:ascii="Tahoma" w:hAnsi="Tahoma" w:hint="cs"/>
          <w:sz w:val="27"/>
          <w:rtl/>
          <w:lang w:bidi="fa-IR"/>
        </w:rPr>
        <w:t>)</w:t>
      </w:r>
      <w:r w:rsidR="00980CD6" w:rsidRPr="00904FCB">
        <w:rPr>
          <w:rFonts w:ascii="Tahoma" w:hAnsi="Tahoma" w:hint="cs"/>
          <w:sz w:val="27"/>
          <w:rtl/>
          <w:lang w:bidi="fa-IR"/>
        </w:rPr>
        <w:t>،</w:t>
      </w:r>
      <w:r w:rsidR="00644408" w:rsidRPr="00904FCB">
        <w:rPr>
          <w:rFonts w:ascii="Tahoma" w:hAnsi="Tahoma"/>
          <w:sz w:val="27"/>
          <w:rtl/>
          <w:lang w:bidi="fa-IR"/>
        </w:rPr>
        <w:t xml:space="preserve"> التي أعد</w:t>
      </w:r>
      <w:r w:rsidR="00980CD6" w:rsidRPr="00904FCB">
        <w:rPr>
          <w:rFonts w:ascii="Tahoma" w:hAnsi="Tahoma" w:hint="cs"/>
          <w:sz w:val="27"/>
          <w:rtl/>
          <w:lang w:bidi="fa-IR"/>
        </w:rPr>
        <w:t>َّ</w:t>
      </w:r>
      <w:r w:rsidR="00644408" w:rsidRPr="00904FCB">
        <w:rPr>
          <w:rFonts w:ascii="Tahoma" w:hAnsi="Tahoma"/>
          <w:sz w:val="27"/>
          <w:rtl/>
          <w:lang w:bidi="fa-IR"/>
        </w:rPr>
        <w:t>تها لجنة متخص</w:t>
      </w:r>
      <w:r w:rsidR="00980CD6" w:rsidRPr="00904FCB">
        <w:rPr>
          <w:rFonts w:ascii="Tahoma" w:hAnsi="Tahoma" w:hint="cs"/>
          <w:sz w:val="27"/>
          <w:rtl/>
          <w:lang w:bidi="fa-IR"/>
        </w:rPr>
        <w:t>ِّ</w:t>
      </w:r>
      <w:r w:rsidR="00644408" w:rsidRPr="00904FCB">
        <w:rPr>
          <w:rFonts w:ascii="Tahoma" w:hAnsi="Tahoma"/>
          <w:sz w:val="27"/>
          <w:rtl/>
          <w:lang w:bidi="fa-IR"/>
        </w:rPr>
        <w:t xml:space="preserve">صة </w:t>
      </w:r>
      <w:r w:rsidR="00980CD6" w:rsidRPr="00904FCB">
        <w:rPr>
          <w:rFonts w:ascii="Tahoma" w:hAnsi="Tahoma" w:hint="cs"/>
          <w:sz w:val="27"/>
          <w:rtl/>
          <w:lang w:bidi="fa-IR"/>
        </w:rPr>
        <w:t>من</w:t>
      </w:r>
      <w:r w:rsidR="00644408" w:rsidRPr="00904FCB">
        <w:rPr>
          <w:rFonts w:ascii="Tahoma" w:hAnsi="Tahoma"/>
          <w:sz w:val="27"/>
          <w:rtl/>
          <w:lang w:bidi="fa-IR"/>
        </w:rPr>
        <w:t xml:space="preserve"> العاملين بالفقه والمتخص</w:t>
      </w:r>
      <w:r w:rsidR="00980CD6" w:rsidRPr="00904FCB">
        <w:rPr>
          <w:rFonts w:ascii="Tahoma" w:hAnsi="Tahoma" w:hint="cs"/>
          <w:sz w:val="27"/>
          <w:rtl/>
          <w:lang w:bidi="fa-IR"/>
        </w:rPr>
        <w:t>ِّ</w:t>
      </w:r>
      <w:r w:rsidR="00644408" w:rsidRPr="00904FCB">
        <w:rPr>
          <w:rFonts w:ascii="Tahoma" w:hAnsi="Tahoma"/>
          <w:sz w:val="27"/>
          <w:rtl/>
          <w:lang w:bidi="fa-IR"/>
        </w:rPr>
        <w:t xml:space="preserve">صين بالقانون في عام </w:t>
      </w:r>
      <w:r w:rsidR="00644408" w:rsidRPr="002C04DA">
        <w:rPr>
          <w:rFonts w:ascii="Tahoma" w:hAnsi="Tahoma" w:hint="cs"/>
          <w:sz w:val="27"/>
          <w:rtl/>
          <w:lang w:bidi="ar-LB"/>
        </w:rPr>
        <w:t>1869</w:t>
      </w:r>
      <w:r w:rsidR="00644408" w:rsidRPr="002C04DA">
        <w:rPr>
          <w:rFonts w:ascii="Tahoma" w:hAnsi="Tahoma"/>
          <w:sz w:val="27"/>
          <w:rtl/>
          <w:lang w:bidi="fa-IR"/>
        </w:rPr>
        <w:t>م</w:t>
      </w:r>
      <w:r w:rsidR="00980CD6" w:rsidRPr="00904FCB">
        <w:rPr>
          <w:rFonts w:ascii="Tahoma" w:hAnsi="Tahoma" w:hint="cs"/>
          <w:sz w:val="27"/>
          <w:rtl/>
          <w:lang w:bidi="fa-IR"/>
        </w:rPr>
        <w:t>،</w:t>
      </w:r>
      <w:r w:rsidR="00644408" w:rsidRPr="00904FCB">
        <w:rPr>
          <w:rFonts w:ascii="Tahoma" w:hAnsi="Tahoma"/>
          <w:sz w:val="27"/>
          <w:rtl/>
          <w:lang w:bidi="fa-IR"/>
        </w:rPr>
        <w:t xml:space="preserve"> وأقر</w:t>
      </w:r>
      <w:r w:rsidR="00980CD6" w:rsidRPr="00904FCB">
        <w:rPr>
          <w:rFonts w:ascii="Tahoma" w:hAnsi="Tahoma" w:hint="cs"/>
          <w:sz w:val="27"/>
          <w:rtl/>
          <w:lang w:bidi="fa-IR"/>
        </w:rPr>
        <w:t>َّ</w:t>
      </w:r>
      <w:r w:rsidR="00644408" w:rsidRPr="00904FCB">
        <w:rPr>
          <w:rFonts w:ascii="Tahoma" w:hAnsi="Tahoma"/>
          <w:sz w:val="27"/>
          <w:rtl/>
          <w:lang w:bidi="fa-IR"/>
        </w:rPr>
        <w:t>ت</w:t>
      </w:r>
      <w:r w:rsidR="00980CD6" w:rsidRPr="00904FCB">
        <w:rPr>
          <w:rFonts w:ascii="Tahoma" w:hAnsi="Tahoma" w:hint="cs"/>
          <w:sz w:val="27"/>
          <w:rtl/>
          <w:lang w:bidi="fa-IR"/>
        </w:rPr>
        <w:t>ْ</w:t>
      </w:r>
      <w:r w:rsidR="00644408" w:rsidRPr="00904FCB">
        <w:rPr>
          <w:rFonts w:ascii="Tahoma" w:hAnsi="Tahoma"/>
          <w:sz w:val="27"/>
          <w:rtl/>
          <w:lang w:bidi="fa-IR"/>
        </w:rPr>
        <w:t xml:space="preserve"> الدولة العثمانية تطبيقها</w:t>
      </w:r>
      <w:r w:rsidR="00980CD6" w:rsidRPr="00904FCB">
        <w:rPr>
          <w:rFonts w:ascii="Tahoma" w:hAnsi="Tahoma" w:hint="cs"/>
          <w:sz w:val="27"/>
          <w:rtl/>
          <w:lang w:bidi="fa-IR"/>
        </w:rPr>
        <w:t>،</w:t>
      </w:r>
      <w:r w:rsidR="00644408" w:rsidRPr="00904FCB">
        <w:rPr>
          <w:rFonts w:ascii="Tahoma" w:hAnsi="Tahoma"/>
          <w:sz w:val="27"/>
          <w:rtl/>
          <w:lang w:bidi="fa-IR"/>
        </w:rPr>
        <w:t xml:space="preserve"> واعتبرتها القانون الذي تعمل محاكمها فيه في عام (</w:t>
      </w:r>
      <w:r w:rsidR="00644408" w:rsidRPr="002C04DA">
        <w:rPr>
          <w:rFonts w:ascii="Tahoma" w:hAnsi="Tahoma" w:hint="cs"/>
          <w:sz w:val="27"/>
          <w:rtl/>
          <w:lang w:bidi="ar-LB"/>
        </w:rPr>
        <w:t>1876</w:t>
      </w:r>
      <w:r w:rsidR="00644408" w:rsidRPr="002C04DA">
        <w:rPr>
          <w:rFonts w:ascii="Tahoma" w:hAnsi="Tahoma"/>
          <w:sz w:val="27"/>
          <w:rtl/>
          <w:lang w:bidi="fa-IR"/>
        </w:rPr>
        <w:t>م</w:t>
      </w:r>
      <w:r w:rsidR="00644408" w:rsidRPr="00904FCB">
        <w:rPr>
          <w:rFonts w:ascii="Tahoma" w:hAnsi="Tahoma"/>
          <w:sz w:val="27"/>
          <w:rtl/>
          <w:lang w:bidi="fa-IR"/>
        </w:rPr>
        <w:t>)</w:t>
      </w:r>
      <w:r w:rsidR="00980CD6" w:rsidRPr="00904FCB">
        <w:rPr>
          <w:rFonts w:ascii="Tahoma" w:hAnsi="Tahoma" w:hint="cs"/>
          <w:sz w:val="27"/>
          <w:rtl/>
          <w:lang w:bidi="fa-IR"/>
        </w:rPr>
        <w:t>.</w:t>
      </w:r>
      <w:r w:rsidR="00644408" w:rsidRPr="00904FCB">
        <w:rPr>
          <w:rFonts w:ascii="Tahoma" w:hAnsi="Tahoma"/>
          <w:sz w:val="27"/>
          <w:rtl/>
          <w:lang w:bidi="fa-IR"/>
        </w:rPr>
        <w:t xml:space="preserve"> وقد احتو</w:t>
      </w:r>
      <w:r w:rsidR="00980CD6" w:rsidRPr="00904FCB">
        <w:rPr>
          <w:rFonts w:ascii="Tahoma" w:hAnsi="Tahoma" w:hint="cs"/>
          <w:sz w:val="27"/>
          <w:rtl/>
          <w:lang w:bidi="fa-IR"/>
        </w:rPr>
        <w:t>َ</w:t>
      </w:r>
      <w:r w:rsidR="00644408" w:rsidRPr="00904FCB">
        <w:rPr>
          <w:rFonts w:ascii="Tahoma" w:hAnsi="Tahoma"/>
          <w:sz w:val="27"/>
          <w:rtl/>
          <w:lang w:bidi="fa-IR"/>
        </w:rPr>
        <w:t>ت</w:t>
      </w:r>
      <w:r w:rsidR="00980CD6" w:rsidRPr="00904FCB">
        <w:rPr>
          <w:rFonts w:ascii="Tahoma" w:hAnsi="Tahoma" w:hint="cs"/>
          <w:sz w:val="27"/>
          <w:rtl/>
          <w:lang w:bidi="fa-IR"/>
        </w:rPr>
        <w:t xml:space="preserve">ْ </w:t>
      </w:r>
      <w:r w:rsidR="00644408" w:rsidRPr="00904FCB">
        <w:rPr>
          <w:rFonts w:ascii="Tahoma" w:hAnsi="Tahoma"/>
          <w:sz w:val="27"/>
          <w:rtl/>
          <w:lang w:bidi="fa-IR"/>
        </w:rPr>
        <w:t>(</w:t>
      </w:r>
      <w:r w:rsidR="00644408" w:rsidRPr="002C04DA">
        <w:rPr>
          <w:rFonts w:ascii="Tahoma" w:hAnsi="Tahoma" w:hint="cs"/>
          <w:sz w:val="27"/>
          <w:rtl/>
          <w:lang w:bidi="ar-LB"/>
        </w:rPr>
        <w:t>1851</w:t>
      </w:r>
      <w:r w:rsidR="00644408" w:rsidRPr="00904FCB">
        <w:rPr>
          <w:rFonts w:ascii="Tahoma" w:hAnsi="Tahoma" w:hint="cs"/>
          <w:sz w:val="27"/>
          <w:rtl/>
          <w:lang w:bidi="ar-LB"/>
        </w:rPr>
        <w:t xml:space="preserve"> </w:t>
      </w:r>
      <w:r w:rsidR="00644408" w:rsidRPr="00904FCB">
        <w:rPr>
          <w:rFonts w:ascii="Tahoma" w:hAnsi="Tahoma"/>
          <w:sz w:val="27"/>
          <w:rtl/>
          <w:lang w:bidi="fa-IR"/>
        </w:rPr>
        <w:t>ماد</w:t>
      </w:r>
      <w:r w:rsidR="00980CD6" w:rsidRPr="00904FCB">
        <w:rPr>
          <w:rFonts w:ascii="Tahoma" w:hAnsi="Tahoma" w:hint="cs"/>
          <w:sz w:val="27"/>
          <w:rtl/>
          <w:lang w:bidi="fa-IR"/>
        </w:rPr>
        <w:t>ّة</w:t>
      </w:r>
      <w:r w:rsidR="00644408" w:rsidRPr="00904FCB">
        <w:rPr>
          <w:rFonts w:ascii="Tahoma" w:hAnsi="Tahoma"/>
          <w:sz w:val="27"/>
          <w:rtl/>
          <w:lang w:bidi="fa-IR"/>
        </w:rPr>
        <w:t xml:space="preserve"> قانونية)</w:t>
      </w:r>
      <w:r w:rsidR="00980CD6" w:rsidRPr="00904FCB">
        <w:rPr>
          <w:rFonts w:ascii="Tahoma" w:hAnsi="Tahoma" w:hint="cs"/>
          <w:sz w:val="27"/>
          <w:rtl/>
          <w:lang w:bidi="fa-IR"/>
        </w:rPr>
        <w:t>،</w:t>
      </w:r>
      <w:r w:rsidR="00644408" w:rsidRPr="00904FCB">
        <w:rPr>
          <w:rFonts w:ascii="Tahoma" w:hAnsi="Tahoma"/>
          <w:sz w:val="27"/>
          <w:rtl/>
          <w:lang w:bidi="fa-IR"/>
        </w:rPr>
        <w:t xml:space="preserve"> ثم</w:t>
      </w:r>
      <w:r w:rsidR="00980CD6" w:rsidRPr="00904FCB">
        <w:rPr>
          <w:rFonts w:ascii="Tahoma" w:hAnsi="Tahoma" w:hint="cs"/>
          <w:sz w:val="27"/>
          <w:rtl/>
          <w:lang w:bidi="fa-IR"/>
        </w:rPr>
        <w:t>ّ</w:t>
      </w:r>
      <w:r w:rsidR="00644408" w:rsidRPr="00904FCB">
        <w:rPr>
          <w:rFonts w:ascii="Tahoma" w:hAnsi="Tahoma"/>
          <w:sz w:val="27"/>
          <w:rtl/>
          <w:lang w:bidi="fa-IR"/>
        </w:rPr>
        <w:t xml:space="preserve"> أقر</w:t>
      </w:r>
      <w:r w:rsidR="00980CD6" w:rsidRPr="00904FCB">
        <w:rPr>
          <w:rFonts w:ascii="Tahoma" w:hAnsi="Tahoma" w:hint="cs"/>
          <w:sz w:val="27"/>
          <w:rtl/>
          <w:lang w:bidi="fa-IR"/>
        </w:rPr>
        <w:t>ّ</w:t>
      </w:r>
      <w:r w:rsidR="00644408" w:rsidRPr="00904FCB">
        <w:rPr>
          <w:rFonts w:ascii="Tahoma" w:hAnsi="Tahoma"/>
          <w:sz w:val="27"/>
          <w:rtl/>
          <w:lang w:bidi="fa-IR"/>
        </w:rPr>
        <w:t>ت للتدريس في كل</w:t>
      </w:r>
      <w:r w:rsidR="00980CD6" w:rsidRPr="00904FCB">
        <w:rPr>
          <w:rFonts w:ascii="Tahoma" w:hAnsi="Tahoma" w:hint="cs"/>
          <w:sz w:val="27"/>
          <w:rtl/>
          <w:lang w:bidi="fa-IR"/>
        </w:rPr>
        <w:t>ّ</w:t>
      </w:r>
      <w:r w:rsidR="00644408" w:rsidRPr="00904FCB">
        <w:rPr>
          <w:rFonts w:ascii="Tahoma" w:hAnsi="Tahoma"/>
          <w:sz w:val="27"/>
          <w:rtl/>
          <w:lang w:bidi="fa-IR"/>
        </w:rPr>
        <w:t>يات الحقوق</w:t>
      </w:r>
      <w:r w:rsidR="00980CD6" w:rsidRPr="00904FCB">
        <w:rPr>
          <w:rFonts w:ascii="Tahoma" w:hAnsi="Tahoma" w:hint="cs"/>
          <w:sz w:val="27"/>
          <w:rtl/>
          <w:lang w:bidi="fa-IR"/>
        </w:rPr>
        <w:t xml:space="preserve">، </w:t>
      </w:r>
      <w:r w:rsidR="00644408" w:rsidRPr="00904FCB">
        <w:rPr>
          <w:rFonts w:ascii="Tahoma" w:hAnsi="Tahoma"/>
          <w:sz w:val="27"/>
          <w:rtl/>
          <w:lang w:bidi="fa-IR"/>
        </w:rPr>
        <w:t>حت</w:t>
      </w:r>
      <w:r w:rsidR="00980CD6" w:rsidRPr="00904FCB">
        <w:rPr>
          <w:rFonts w:ascii="Tahoma" w:hAnsi="Tahoma" w:hint="cs"/>
          <w:sz w:val="27"/>
          <w:rtl/>
          <w:lang w:bidi="fa-IR"/>
        </w:rPr>
        <w:t>ّ</w:t>
      </w:r>
      <w:r w:rsidR="00644408" w:rsidRPr="00904FCB">
        <w:rPr>
          <w:rFonts w:ascii="Tahoma" w:hAnsi="Tahoma"/>
          <w:sz w:val="27"/>
          <w:rtl/>
          <w:lang w:bidi="fa-IR"/>
        </w:rPr>
        <w:t>ى بعد انهيار الدولة العثمانية</w:t>
      </w:r>
      <w:r w:rsidR="00980CD6" w:rsidRPr="00904FCB">
        <w:rPr>
          <w:rFonts w:ascii="Tahoma" w:hAnsi="Tahoma" w:hint="cs"/>
          <w:sz w:val="27"/>
          <w:rtl/>
          <w:lang w:bidi="fa-IR"/>
        </w:rPr>
        <w:t>.</w:t>
      </w:r>
      <w:r w:rsidR="00644408" w:rsidRPr="00904FCB">
        <w:rPr>
          <w:rFonts w:ascii="Tahoma" w:hAnsi="Tahoma"/>
          <w:sz w:val="27"/>
          <w:rtl/>
          <w:lang w:bidi="fa-IR"/>
        </w:rPr>
        <w:t xml:space="preserve"> وبحق</w:t>
      </w:r>
      <w:r w:rsidR="00980CD6" w:rsidRPr="00904FCB">
        <w:rPr>
          <w:rFonts w:ascii="Tahoma" w:hAnsi="Tahoma" w:hint="cs"/>
          <w:sz w:val="27"/>
          <w:rtl/>
          <w:lang w:bidi="fa-IR"/>
        </w:rPr>
        <w:t>ٍّ</w:t>
      </w:r>
      <w:r w:rsidR="00644408" w:rsidRPr="00904FCB">
        <w:rPr>
          <w:rFonts w:ascii="Tahoma" w:hAnsi="Tahoma"/>
          <w:sz w:val="27"/>
          <w:rtl/>
          <w:lang w:bidi="fa-IR"/>
        </w:rPr>
        <w:t xml:space="preserve"> يعد</w:t>
      </w:r>
      <w:r w:rsidR="00980CD6" w:rsidRPr="00904FCB">
        <w:rPr>
          <w:rFonts w:ascii="Tahoma" w:hAnsi="Tahoma" w:hint="cs"/>
          <w:sz w:val="27"/>
          <w:rtl/>
          <w:lang w:bidi="fa-IR"/>
        </w:rPr>
        <w:t>ّ</w:t>
      </w:r>
      <w:r w:rsidR="00644408" w:rsidRPr="00904FCB">
        <w:rPr>
          <w:rFonts w:ascii="Tahoma" w:hAnsi="Tahoma"/>
          <w:sz w:val="27"/>
          <w:rtl/>
          <w:lang w:bidi="fa-IR"/>
        </w:rPr>
        <w:t xml:space="preserve"> هذا العمل </w:t>
      </w:r>
      <w:r w:rsidR="00980CD6" w:rsidRPr="00904FCB">
        <w:rPr>
          <w:rFonts w:ascii="Tahoma" w:hAnsi="Tahoma" w:hint="cs"/>
          <w:sz w:val="27"/>
          <w:rtl/>
          <w:lang w:bidi="fa-IR"/>
        </w:rPr>
        <w:t>أ</w:t>
      </w:r>
      <w:r w:rsidR="00644408" w:rsidRPr="00904FCB">
        <w:rPr>
          <w:rFonts w:ascii="Tahoma" w:hAnsi="Tahoma"/>
          <w:sz w:val="27"/>
          <w:rtl/>
          <w:lang w:bidi="fa-IR"/>
        </w:rPr>
        <w:t>و</w:t>
      </w:r>
      <w:r w:rsidR="00980CD6" w:rsidRPr="00904FCB">
        <w:rPr>
          <w:rFonts w:ascii="Tahoma" w:hAnsi="Tahoma" w:hint="cs"/>
          <w:sz w:val="27"/>
          <w:rtl/>
          <w:lang w:bidi="fa-IR"/>
        </w:rPr>
        <w:t>ّ</w:t>
      </w:r>
      <w:r w:rsidR="00644408" w:rsidRPr="00904FCB">
        <w:rPr>
          <w:rFonts w:ascii="Tahoma" w:hAnsi="Tahoma"/>
          <w:sz w:val="27"/>
          <w:rtl/>
          <w:lang w:bidi="fa-IR"/>
        </w:rPr>
        <w:t>ل تقنين في العصر الحاضر للشريعة ال</w:t>
      </w:r>
      <w:r w:rsidR="00980CD6" w:rsidRPr="00904FCB">
        <w:rPr>
          <w:rFonts w:ascii="Tahoma" w:hAnsi="Tahoma" w:hint="cs"/>
          <w:sz w:val="27"/>
          <w:rtl/>
          <w:lang w:bidi="fa-IR"/>
        </w:rPr>
        <w:t>إ</w:t>
      </w:r>
      <w:r w:rsidR="00644408" w:rsidRPr="00904FCB">
        <w:rPr>
          <w:rFonts w:ascii="Tahoma" w:hAnsi="Tahoma"/>
          <w:sz w:val="27"/>
          <w:rtl/>
          <w:lang w:bidi="fa-IR"/>
        </w:rPr>
        <w:t>سلامية، تل</w:t>
      </w:r>
      <w:r w:rsidR="00980CD6" w:rsidRPr="00904FCB">
        <w:rPr>
          <w:rFonts w:ascii="Tahoma" w:hAnsi="Tahoma" w:hint="cs"/>
          <w:sz w:val="27"/>
          <w:rtl/>
          <w:lang w:bidi="fa-IR"/>
        </w:rPr>
        <w:t>َ</w:t>
      </w:r>
      <w:r w:rsidR="00644408" w:rsidRPr="00904FCB">
        <w:rPr>
          <w:rFonts w:ascii="Tahoma" w:hAnsi="Tahoma"/>
          <w:sz w:val="27"/>
          <w:rtl/>
          <w:lang w:bidi="fa-IR"/>
        </w:rPr>
        <w:t>ت</w:t>
      </w:r>
      <w:r w:rsidR="00980CD6" w:rsidRPr="00904FCB">
        <w:rPr>
          <w:rFonts w:ascii="Tahoma" w:hAnsi="Tahoma" w:hint="cs"/>
          <w:sz w:val="27"/>
          <w:rtl/>
          <w:lang w:bidi="fa-IR"/>
        </w:rPr>
        <w:t>ْ</w:t>
      </w:r>
      <w:r w:rsidR="00644408" w:rsidRPr="00904FCB">
        <w:rPr>
          <w:rFonts w:ascii="Tahoma" w:hAnsi="Tahoma"/>
          <w:sz w:val="27"/>
          <w:rtl/>
          <w:lang w:bidi="fa-IR"/>
        </w:rPr>
        <w:t>ها محاولات</w:t>
      </w:r>
      <w:r w:rsidR="00980CD6" w:rsidRPr="00904FCB">
        <w:rPr>
          <w:rFonts w:ascii="Tahoma" w:hAnsi="Tahoma" w:hint="cs"/>
          <w:sz w:val="27"/>
          <w:rtl/>
          <w:lang w:bidi="fa-IR"/>
        </w:rPr>
        <w:t>ٌ</w:t>
      </w:r>
      <w:r w:rsidR="00644408" w:rsidRPr="00904FCB">
        <w:rPr>
          <w:rFonts w:ascii="Tahoma" w:hAnsi="Tahoma"/>
          <w:sz w:val="27"/>
          <w:rtl/>
          <w:lang w:bidi="fa-IR"/>
        </w:rPr>
        <w:t xml:space="preserve"> </w:t>
      </w:r>
      <w:r w:rsidR="00980CD6" w:rsidRPr="00904FCB">
        <w:rPr>
          <w:rFonts w:ascii="Tahoma" w:hAnsi="Tahoma" w:hint="cs"/>
          <w:sz w:val="27"/>
          <w:rtl/>
          <w:lang w:bidi="fa-IR"/>
        </w:rPr>
        <w:t>أ</w:t>
      </w:r>
      <w:r w:rsidR="00644408" w:rsidRPr="00904FCB">
        <w:rPr>
          <w:rFonts w:ascii="Tahoma" w:hAnsi="Tahoma"/>
          <w:sz w:val="27"/>
          <w:rtl/>
          <w:lang w:bidi="fa-IR"/>
        </w:rPr>
        <w:t>خرى من هنا وهناك</w:t>
      </w:r>
      <w:r w:rsidR="00CA1FED" w:rsidRPr="00904FCB">
        <w:rPr>
          <w:rFonts w:ascii="Tahoma" w:hAnsi="Tahoma" w:hint="cs"/>
          <w:sz w:val="27"/>
          <w:rtl/>
          <w:lang w:bidi="fa-IR"/>
        </w:rPr>
        <w:t>.</w:t>
      </w:r>
      <w:r w:rsidR="00644408" w:rsidRPr="00904FCB">
        <w:rPr>
          <w:rFonts w:ascii="Tahoma" w:hAnsi="Tahoma"/>
          <w:sz w:val="27"/>
          <w:rtl/>
          <w:lang w:bidi="fa-IR"/>
        </w:rPr>
        <w:t xml:space="preserve"> </w:t>
      </w:r>
    </w:p>
    <w:p w:rsidR="00644408" w:rsidRPr="00904FCB" w:rsidRDefault="00644408" w:rsidP="00963E93">
      <w:pPr>
        <w:autoSpaceDE w:val="0"/>
        <w:autoSpaceDN w:val="0"/>
        <w:adjustRightInd w:val="0"/>
        <w:spacing w:line="420" w:lineRule="exact"/>
        <w:ind w:firstLine="561"/>
        <w:rPr>
          <w:rFonts w:ascii="Tahoma" w:hAnsi="Tahoma"/>
          <w:sz w:val="27"/>
          <w:lang w:bidi="fa-IR"/>
        </w:rPr>
      </w:pPr>
      <w:r w:rsidRPr="00904FCB">
        <w:rPr>
          <w:rFonts w:ascii="Tahoma" w:hAnsi="Tahoma"/>
          <w:sz w:val="27"/>
          <w:lang w:bidi="fa-IR"/>
        </w:rPr>
        <w:t xml:space="preserve"> </w:t>
      </w:r>
      <w:r w:rsidR="00980CD6" w:rsidRPr="00904FCB">
        <w:rPr>
          <w:rFonts w:ascii="Tahoma" w:hAnsi="Tahoma"/>
          <w:sz w:val="27"/>
          <w:rtl/>
          <w:lang w:bidi="fa-IR"/>
        </w:rPr>
        <w:t>وقد ق</w:t>
      </w:r>
      <w:r w:rsidR="00980CD6" w:rsidRPr="00904FCB">
        <w:rPr>
          <w:rFonts w:ascii="Tahoma" w:hAnsi="Tahoma" w:hint="cs"/>
          <w:sz w:val="27"/>
          <w:rtl/>
          <w:lang w:bidi="fa-IR"/>
        </w:rPr>
        <w:t>ُ</w:t>
      </w:r>
      <w:r w:rsidR="00980CD6" w:rsidRPr="00904FCB">
        <w:rPr>
          <w:rFonts w:ascii="Tahoma" w:hAnsi="Tahoma"/>
          <w:sz w:val="27"/>
          <w:rtl/>
          <w:lang w:bidi="fa-IR"/>
        </w:rPr>
        <w:t>س</w:t>
      </w:r>
      <w:r w:rsidR="00980CD6" w:rsidRPr="00904FCB">
        <w:rPr>
          <w:rFonts w:ascii="Tahoma" w:hAnsi="Tahoma" w:hint="cs"/>
          <w:sz w:val="27"/>
          <w:rtl/>
          <w:lang w:bidi="fa-IR"/>
        </w:rPr>
        <w:t>ِّ</w:t>
      </w:r>
      <w:r w:rsidR="00980CD6" w:rsidRPr="00904FCB">
        <w:rPr>
          <w:rFonts w:ascii="Tahoma" w:hAnsi="Tahoma"/>
          <w:sz w:val="27"/>
          <w:rtl/>
          <w:lang w:bidi="fa-IR"/>
        </w:rPr>
        <w:t>م</w:t>
      </w:r>
      <w:r w:rsidR="00980CD6" w:rsidRPr="00904FCB">
        <w:rPr>
          <w:rFonts w:ascii="Tahoma" w:hAnsi="Tahoma" w:hint="cs"/>
          <w:sz w:val="27"/>
          <w:rtl/>
          <w:lang w:bidi="fa-IR"/>
        </w:rPr>
        <w:t>َ</w:t>
      </w:r>
      <w:r w:rsidRPr="00904FCB">
        <w:rPr>
          <w:rFonts w:ascii="Tahoma" w:hAnsi="Tahoma"/>
          <w:sz w:val="27"/>
          <w:rtl/>
          <w:lang w:bidi="fa-IR"/>
        </w:rPr>
        <w:t>ت</w:t>
      </w:r>
      <w:r w:rsidR="00980CD6" w:rsidRPr="00904FCB">
        <w:rPr>
          <w:rFonts w:ascii="Tahoma" w:hAnsi="Tahoma" w:hint="cs"/>
          <w:sz w:val="27"/>
          <w:rtl/>
          <w:lang w:bidi="fa-IR"/>
        </w:rPr>
        <w:t>ْ</w:t>
      </w:r>
      <w:r w:rsidRPr="00904FCB">
        <w:rPr>
          <w:rFonts w:ascii="Tahoma" w:hAnsi="Tahoma"/>
          <w:sz w:val="27"/>
          <w:rtl/>
          <w:lang w:bidi="fa-IR"/>
        </w:rPr>
        <w:t xml:space="preserve"> المجلة وفق المنهج القانوني وتقسيمات مواد</w:t>
      </w:r>
      <w:r w:rsidR="00980CD6" w:rsidRPr="00904FCB">
        <w:rPr>
          <w:rFonts w:ascii="Tahoma" w:hAnsi="Tahoma" w:hint="cs"/>
          <w:sz w:val="27"/>
          <w:rtl/>
          <w:lang w:bidi="fa-IR"/>
        </w:rPr>
        <w:t>ّ</w:t>
      </w:r>
      <w:r w:rsidRPr="00904FCB">
        <w:rPr>
          <w:rFonts w:ascii="Tahoma" w:hAnsi="Tahoma"/>
          <w:sz w:val="27"/>
          <w:rtl/>
          <w:lang w:bidi="fa-IR"/>
        </w:rPr>
        <w:t xml:space="preserve">ه. </w:t>
      </w:r>
    </w:p>
    <w:p w:rsidR="00644408" w:rsidRPr="00904FCB" w:rsidRDefault="00644408" w:rsidP="00963E93">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ف</w:t>
      </w:r>
      <w:r w:rsidR="00980CD6" w:rsidRPr="00904FCB">
        <w:rPr>
          <w:rFonts w:ascii="Tahoma" w:hAnsi="Tahoma" w:hint="cs"/>
          <w:sz w:val="27"/>
          <w:rtl/>
          <w:lang w:bidi="fa-IR"/>
        </w:rPr>
        <w:t>أ</w:t>
      </w:r>
      <w:r w:rsidRPr="00904FCB">
        <w:rPr>
          <w:rFonts w:ascii="Tahoma" w:hAnsi="Tahoma"/>
          <w:sz w:val="27"/>
          <w:rtl/>
          <w:lang w:bidi="fa-IR"/>
        </w:rPr>
        <w:t>فردت لقانون ال</w:t>
      </w:r>
      <w:r w:rsidR="00980CD6" w:rsidRPr="00904FCB">
        <w:rPr>
          <w:rFonts w:ascii="Tahoma" w:hAnsi="Tahoma" w:hint="cs"/>
          <w:sz w:val="27"/>
          <w:rtl/>
          <w:lang w:bidi="fa-IR"/>
        </w:rPr>
        <w:t>إ</w:t>
      </w:r>
      <w:r w:rsidRPr="00904FCB">
        <w:rPr>
          <w:rFonts w:ascii="Tahoma" w:hAnsi="Tahoma"/>
          <w:sz w:val="27"/>
          <w:rtl/>
          <w:lang w:bidi="fa-IR"/>
        </w:rPr>
        <w:t xml:space="preserve">جراءات المدنية </w:t>
      </w:r>
      <w:r w:rsidR="00980CD6" w:rsidRPr="00904FCB">
        <w:rPr>
          <w:rFonts w:ascii="Tahoma" w:hAnsi="Tahoma" w:hint="cs"/>
          <w:sz w:val="27"/>
          <w:rtl/>
          <w:lang w:bidi="fa-IR"/>
        </w:rPr>
        <w:t>أ</w:t>
      </w:r>
      <w:r w:rsidRPr="00904FCB">
        <w:rPr>
          <w:rFonts w:ascii="Tahoma" w:hAnsi="Tahoma"/>
          <w:sz w:val="27"/>
          <w:rtl/>
          <w:lang w:bidi="fa-IR"/>
        </w:rPr>
        <w:t>سسه، ثم</w:t>
      </w:r>
      <w:r w:rsidR="00980CD6" w:rsidRPr="00904FCB">
        <w:rPr>
          <w:rFonts w:ascii="Tahoma" w:hAnsi="Tahoma" w:hint="cs"/>
          <w:sz w:val="27"/>
          <w:rtl/>
          <w:lang w:bidi="fa-IR"/>
        </w:rPr>
        <w:t>ّ</w:t>
      </w:r>
      <w:r w:rsidRPr="00904FCB">
        <w:rPr>
          <w:rFonts w:ascii="Tahoma" w:hAnsi="Tahoma"/>
          <w:sz w:val="27"/>
          <w:rtl/>
          <w:lang w:bidi="fa-IR"/>
        </w:rPr>
        <w:t xml:space="preserve"> لقانون ال</w:t>
      </w:r>
      <w:r w:rsidR="00980CD6" w:rsidRPr="00904FCB">
        <w:rPr>
          <w:rFonts w:ascii="Tahoma" w:hAnsi="Tahoma" w:hint="cs"/>
          <w:sz w:val="27"/>
          <w:rtl/>
          <w:lang w:bidi="fa-IR"/>
        </w:rPr>
        <w:t>أ</w:t>
      </w:r>
      <w:r w:rsidRPr="00904FCB">
        <w:rPr>
          <w:rFonts w:ascii="Tahoma" w:hAnsi="Tahoma"/>
          <w:sz w:val="27"/>
          <w:rtl/>
          <w:lang w:bidi="fa-IR"/>
        </w:rPr>
        <w:t>راضي ضوابطه، ثم قن</w:t>
      </w:r>
      <w:r w:rsidR="00980CD6" w:rsidRPr="00904FCB">
        <w:rPr>
          <w:rFonts w:ascii="Tahoma" w:hAnsi="Tahoma" w:hint="cs"/>
          <w:sz w:val="27"/>
          <w:rtl/>
          <w:lang w:bidi="fa-IR"/>
        </w:rPr>
        <w:t>َّ</w:t>
      </w:r>
      <w:r w:rsidRPr="00904FCB">
        <w:rPr>
          <w:rFonts w:ascii="Tahoma" w:hAnsi="Tahoma"/>
          <w:sz w:val="27"/>
          <w:rtl/>
          <w:lang w:bidi="fa-IR"/>
        </w:rPr>
        <w:t xml:space="preserve">نت للأحوال الشخصية </w:t>
      </w:r>
      <w:r w:rsidR="00980CD6" w:rsidRPr="00904FCB">
        <w:rPr>
          <w:rFonts w:ascii="Tahoma" w:hAnsi="Tahoma" w:hint="cs"/>
          <w:sz w:val="27"/>
          <w:rtl/>
          <w:lang w:bidi="fa-IR"/>
        </w:rPr>
        <w:t>أ</w:t>
      </w:r>
      <w:r w:rsidRPr="00904FCB">
        <w:rPr>
          <w:rFonts w:ascii="Tahoma" w:hAnsi="Tahoma"/>
          <w:sz w:val="27"/>
          <w:rtl/>
          <w:lang w:bidi="fa-IR"/>
        </w:rPr>
        <w:t>حكامه، وغيرها... ولكن</w:t>
      </w:r>
      <w:r w:rsidR="00980CD6" w:rsidRPr="00904FCB">
        <w:rPr>
          <w:rFonts w:ascii="Tahoma" w:hAnsi="Tahoma" w:hint="cs"/>
          <w:sz w:val="27"/>
          <w:rtl/>
          <w:lang w:bidi="fa-IR"/>
        </w:rPr>
        <w:t>ّ</w:t>
      </w:r>
      <w:r w:rsidRPr="00904FCB">
        <w:rPr>
          <w:rFonts w:ascii="Tahoma" w:hAnsi="Tahoma"/>
          <w:sz w:val="27"/>
          <w:rtl/>
          <w:lang w:bidi="fa-IR"/>
        </w:rPr>
        <w:t xml:space="preserve"> المجلة هنا و</w:t>
      </w:r>
      <w:r w:rsidR="00980CD6" w:rsidRPr="00904FCB">
        <w:rPr>
          <w:rFonts w:ascii="Tahoma" w:hAnsi="Tahoma" w:hint="cs"/>
          <w:sz w:val="27"/>
          <w:rtl/>
          <w:lang w:bidi="fa-IR"/>
        </w:rPr>
        <w:t>إ</w:t>
      </w:r>
      <w:r w:rsidRPr="00904FCB">
        <w:rPr>
          <w:rFonts w:ascii="Tahoma" w:hAnsi="Tahoma"/>
          <w:sz w:val="27"/>
          <w:rtl/>
          <w:lang w:bidi="fa-IR"/>
        </w:rPr>
        <w:t>ن</w:t>
      </w:r>
      <w:r w:rsidR="00980CD6" w:rsidRPr="00904FCB">
        <w:rPr>
          <w:rFonts w:ascii="Tahoma" w:hAnsi="Tahoma" w:hint="cs"/>
          <w:sz w:val="27"/>
          <w:rtl/>
          <w:lang w:bidi="fa-IR"/>
        </w:rPr>
        <w:t>ْ</w:t>
      </w:r>
      <w:r w:rsidRPr="00904FCB">
        <w:rPr>
          <w:rFonts w:ascii="Tahoma" w:hAnsi="Tahoma"/>
          <w:sz w:val="27"/>
          <w:rtl/>
          <w:lang w:bidi="fa-IR"/>
        </w:rPr>
        <w:t xml:space="preserve"> كانت خطوة في طريق التقنين</w:t>
      </w:r>
      <w:r w:rsidR="00980CD6" w:rsidRPr="00904FCB">
        <w:rPr>
          <w:rFonts w:ascii="Tahoma" w:hAnsi="Tahoma" w:hint="cs"/>
          <w:sz w:val="27"/>
          <w:rtl/>
          <w:lang w:bidi="fa-IR"/>
        </w:rPr>
        <w:t>،</w:t>
      </w:r>
      <w:r w:rsidRPr="00904FCB">
        <w:rPr>
          <w:rFonts w:ascii="Tahoma" w:hAnsi="Tahoma"/>
          <w:sz w:val="27"/>
          <w:rtl/>
          <w:lang w:bidi="fa-IR"/>
        </w:rPr>
        <w:t xml:space="preserve"> لم تسبقها محاولة </w:t>
      </w:r>
      <w:r w:rsidR="00980CD6" w:rsidRPr="00904FCB">
        <w:rPr>
          <w:rFonts w:ascii="Tahoma" w:hAnsi="Tahoma" w:hint="cs"/>
          <w:sz w:val="27"/>
          <w:rtl/>
          <w:lang w:bidi="fa-IR"/>
        </w:rPr>
        <w:t>أ</w:t>
      </w:r>
      <w:r w:rsidRPr="00904FCB">
        <w:rPr>
          <w:rFonts w:ascii="Tahoma" w:hAnsi="Tahoma"/>
          <w:sz w:val="27"/>
          <w:rtl/>
          <w:lang w:bidi="fa-IR"/>
        </w:rPr>
        <w:t xml:space="preserve">بدع منها، </w:t>
      </w:r>
      <w:r w:rsidR="00980CD6" w:rsidRPr="00904FCB">
        <w:rPr>
          <w:rFonts w:ascii="Tahoma" w:hAnsi="Tahoma" w:hint="cs"/>
          <w:sz w:val="27"/>
          <w:rtl/>
          <w:lang w:bidi="fa-IR"/>
        </w:rPr>
        <w:t xml:space="preserve">فقد </w:t>
      </w:r>
      <w:r w:rsidRPr="00904FCB">
        <w:rPr>
          <w:rFonts w:ascii="Tahoma" w:hAnsi="Tahoma"/>
          <w:sz w:val="27"/>
          <w:rtl/>
          <w:lang w:bidi="fa-IR"/>
        </w:rPr>
        <w:t xml:space="preserve">اقتصرت بأحكامها وتشريعاتها على المذهب الحنفي، المذهب الذي تدين به الدولة العثمانية </w:t>
      </w:r>
      <w:r w:rsidR="00980CD6" w:rsidRPr="00904FCB">
        <w:rPr>
          <w:rFonts w:ascii="Tahoma" w:hAnsi="Tahoma" w:hint="cs"/>
          <w:sz w:val="27"/>
          <w:rtl/>
          <w:lang w:bidi="fa-IR"/>
        </w:rPr>
        <w:t>آ</w:t>
      </w:r>
      <w:r w:rsidRPr="00904FCB">
        <w:rPr>
          <w:rFonts w:ascii="Tahoma" w:hAnsi="Tahoma"/>
          <w:sz w:val="27"/>
          <w:rtl/>
          <w:lang w:bidi="fa-IR"/>
        </w:rPr>
        <w:t xml:space="preserve">نذاك، </w:t>
      </w:r>
      <w:r w:rsidR="00980CD6" w:rsidRPr="00904FCB">
        <w:rPr>
          <w:rFonts w:ascii="Tahoma" w:hAnsi="Tahoma" w:hint="cs"/>
          <w:sz w:val="27"/>
          <w:rtl/>
          <w:lang w:bidi="fa-IR"/>
        </w:rPr>
        <w:t>إ</w:t>
      </w:r>
      <w:r w:rsidRPr="00904FCB">
        <w:rPr>
          <w:rFonts w:ascii="Tahoma" w:hAnsi="Tahoma"/>
          <w:sz w:val="27"/>
          <w:rtl/>
          <w:lang w:bidi="fa-IR"/>
        </w:rPr>
        <w:t>لا</w:t>
      </w:r>
      <w:r w:rsidR="00980CD6" w:rsidRPr="00904FCB">
        <w:rPr>
          <w:rFonts w:ascii="Tahoma" w:hAnsi="Tahoma" w:hint="cs"/>
          <w:sz w:val="27"/>
          <w:rtl/>
          <w:lang w:bidi="fa-IR"/>
        </w:rPr>
        <w:t>ّ</w:t>
      </w:r>
      <w:r w:rsidRPr="00904FCB">
        <w:rPr>
          <w:rFonts w:ascii="Tahoma" w:hAnsi="Tahoma"/>
          <w:sz w:val="27"/>
          <w:rtl/>
          <w:lang w:bidi="fa-IR"/>
        </w:rPr>
        <w:t xml:space="preserve"> قليل</w:t>
      </w:r>
      <w:r w:rsidR="00980CD6" w:rsidRPr="00904FCB">
        <w:rPr>
          <w:rFonts w:ascii="Tahoma" w:hAnsi="Tahoma" w:hint="cs"/>
          <w:sz w:val="27"/>
          <w:rtl/>
          <w:lang w:bidi="fa-IR"/>
        </w:rPr>
        <w:t>اً</w:t>
      </w:r>
      <w:r w:rsidRPr="00904FCB">
        <w:rPr>
          <w:rFonts w:ascii="Tahoma" w:hAnsi="Tahoma"/>
          <w:sz w:val="27"/>
          <w:rtl/>
          <w:lang w:bidi="fa-IR"/>
        </w:rPr>
        <w:t xml:space="preserve"> جد</w:t>
      </w:r>
      <w:r w:rsidR="00980CD6" w:rsidRPr="00904FCB">
        <w:rPr>
          <w:rFonts w:ascii="Tahoma" w:hAnsi="Tahoma" w:hint="cs"/>
          <w:sz w:val="27"/>
          <w:rtl/>
          <w:lang w:bidi="fa-IR"/>
        </w:rPr>
        <w:t>ّ</w:t>
      </w:r>
      <w:r w:rsidRPr="00904FCB">
        <w:rPr>
          <w:rFonts w:ascii="Tahoma" w:hAnsi="Tahoma"/>
          <w:sz w:val="27"/>
          <w:rtl/>
          <w:lang w:bidi="fa-IR"/>
        </w:rPr>
        <w:t>ا</w:t>
      </w:r>
      <w:r w:rsidR="00980CD6" w:rsidRPr="00904FCB">
        <w:rPr>
          <w:rFonts w:ascii="Tahoma" w:hAnsi="Tahoma" w:hint="cs"/>
          <w:sz w:val="27"/>
          <w:rtl/>
          <w:lang w:bidi="fa-IR"/>
        </w:rPr>
        <w:t>ً</w:t>
      </w:r>
      <w:r w:rsidRPr="00904FCB">
        <w:rPr>
          <w:rFonts w:ascii="Tahoma" w:hAnsi="Tahoma"/>
          <w:sz w:val="27"/>
          <w:rtl/>
          <w:lang w:bidi="fa-IR"/>
        </w:rPr>
        <w:t xml:space="preserve"> من ال</w:t>
      </w:r>
      <w:r w:rsidR="00980CD6" w:rsidRPr="00904FCB">
        <w:rPr>
          <w:rFonts w:ascii="Tahoma" w:hAnsi="Tahoma" w:hint="cs"/>
          <w:sz w:val="27"/>
          <w:rtl/>
          <w:lang w:bidi="fa-IR"/>
        </w:rPr>
        <w:t>أ</w:t>
      </w:r>
      <w:r w:rsidRPr="00904FCB">
        <w:rPr>
          <w:rFonts w:ascii="Tahoma" w:hAnsi="Tahoma"/>
          <w:sz w:val="27"/>
          <w:rtl/>
          <w:lang w:bidi="fa-IR"/>
        </w:rPr>
        <w:t>حكام التي لم يتطر</w:t>
      </w:r>
      <w:r w:rsidR="00980CD6" w:rsidRPr="00904FCB">
        <w:rPr>
          <w:rFonts w:ascii="Tahoma" w:hAnsi="Tahoma" w:hint="cs"/>
          <w:sz w:val="27"/>
          <w:rtl/>
          <w:lang w:bidi="fa-IR"/>
        </w:rPr>
        <w:t>َّ</w:t>
      </w:r>
      <w:r w:rsidRPr="00904FCB">
        <w:rPr>
          <w:rFonts w:ascii="Tahoma" w:hAnsi="Tahoma"/>
          <w:sz w:val="27"/>
          <w:rtl/>
          <w:lang w:bidi="fa-IR"/>
        </w:rPr>
        <w:t xml:space="preserve">ق </w:t>
      </w:r>
      <w:r w:rsidR="00980CD6" w:rsidRPr="00904FCB">
        <w:rPr>
          <w:rFonts w:ascii="Tahoma" w:hAnsi="Tahoma" w:hint="cs"/>
          <w:sz w:val="27"/>
          <w:rtl/>
          <w:lang w:bidi="fa-IR"/>
        </w:rPr>
        <w:t>إ</w:t>
      </w:r>
      <w:r w:rsidRPr="00904FCB">
        <w:rPr>
          <w:rFonts w:ascii="Tahoma" w:hAnsi="Tahoma"/>
          <w:sz w:val="27"/>
          <w:rtl/>
          <w:lang w:bidi="fa-IR"/>
        </w:rPr>
        <w:t xml:space="preserve">ليها فقهاء المذهب الحنفي. </w:t>
      </w:r>
    </w:p>
    <w:p w:rsidR="00644408" w:rsidRPr="00904FCB" w:rsidRDefault="00644408" w:rsidP="00BE70B3">
      <w:pPr>
        <w:autoSpaceDE w:val="0"/>
        <w:autoSpaceDN w:val="0"/>
        <w:adjustRightInd w:val="0"/>
        <w:spacing w:line="410" w:lineRule="exact"/>
        <w:ind w:firstLine="561"/>
        <w:rPr>
          <w:rFonts w:ascii="Tahoma" w:hAnsi="Tahoma"/>
          <w:sz w:val="27"/>
          <w:rtl/>
          <w:lang w:bidi="fa-IR"/>
        </w:rPr>
      </w:pPr>
      <w:r w:rsidRPr="00904FCB">
        <w:rPr>
          <w:rFonts w:ascii="Tahoma" w:hAnsi="Tahoma"/>
          <w:sz w:val="27"/>
          <w:rtl/>
          <w:lang w:bidi="fa-IR"/>
        </w:rPr>
        <w:t>وهذا ال</w:t>
      </w:r>
      <w:r w:rsidR="00980CD6" w:rsidRPr="00904FCB">
        <w:rPr>
          <w:rFonts w:ascii="Tahoma" w:hAnsi="Tahoma" w:hint="cs"/>
          <w:sz w:val="27"/>
          <w:rtl/>
          <w:lang w:bidi="fa-IR"/>
        </w:rPr>
        <w:t>أ</w:t>
      </w:r>
      <w:r w:rsidRPr="00904FCB">
        <w:rPr>
          <w:rFonts w:ascii="Tahoma" w:hAnsi="Tahoma"/>
          <w:sz w:val="27"/>
          <w:rtl/>
          <w:lang w:bidi="fa-IR"/>
        </w:rPr>
        <w:t>مر بطبيعته يفتح لنا ثغرة في عالم التطبيق</w:t>
      </w:r>
      <w:r w:rsidR="00980CD6" w:rsidRPr="00904FCB">
        <w:rPr>
          <w:rFonts w:ascii="Tahoma" w:hAnsi="Tahoma" w:hint="cs"/>
          <w:sz w:val="27"/>
          <w:rtl/>
          <w:lang w:bidi="fa-IR"/>
        </w:rPr>
        <w:t>؛</w:t>
      </w:r>
      <w:r w:rsidRPr="00904FCB">
        <w:rPr>
          <w:rFonts w:ascii="Tahoma" w:hAnsi="Tahoma"/>
          <w:sz w:val="27"/>
          <w:rtl/>
          <w:lang w:bidi="fa-IR"/>
        </w:rPr>
        <w:t xml:space="preserve"> لتعد</w:t>
      </w:r>
      <w:r w:rsidR="00FD3BB1" w:rsidRPr="00904FCB">
        <w:rPr>
          <w:rFonts w:ascii="Tahoma" w:hAnsi="Tahoma" w:hint="cs"/>
          <w:sz w:val="27"/>
          <w:rtl/>
          <w:lang w:bidi="fa-IR"/>
        </w:rPr>
        <w:t>ُّ</w:t>
      </w:r>
      <w:r w:rsidRPr="00904FCB">
        <w:rPr>
          <w:rFonts w:ascii="Tahoma" w:hAnsi="Tahoma"/>
          <w:sz w:val="27"/>
          <w:rtl/>
          <w:lang w:bidi="fa-IR"/>
        </w:rPr>
        <w:t>د المذاهب في الفقه ال</w:t>
      </w:r>
      <w:r w:rsidR="00FD3BB1" w:rsidRPr="00904FCB">
        <w:rPr>
          <w:rFonts w:ascii="Tahoma" w:hAnsi="Tahoma" w:hint="cs"/>
          <w:sz w:val="27"/>
          <w:rtl/>
          <w:lang w:bidi="fa-IR"/>
        </w:rPr>
        <w:t>إ</w:t>
      </w:r>
      <w:r w:rsidRPr="00904FCB">
        <w:rPr>
          <w:rFonts w:ascii="Tahoma" w:hAnsi="Tahoma"/>
          <w:sz w:val="27"/>
          <w:rtl/>
          <w:lang w:bidi="fa-IR"/>
        </w:rPr>
        <w:t>سلامي، فيترك للقاضي مساحة</w:t>
      </w:r>
      <w:r w:rsidR="00FD3BB1" w:rsidRPr="00904FCB">
        <w:rPr>
          <w:rFonts w:ascii="Tahoma" w:hAnsi="Tahoma" w:hint="cs"/>
          <w:sz w:val="27"/>
          <w:rtl/>
          <w:lang w:bidi="fa-IR"/>
        </w:rPr>
        <w:t>ً</w:t>
      </w:r>
      <w:r w:rsidRPr="00904FCB">
        <w:rPr>
          <w:rFonts w:ascii="Tahoma" w:hAnsi="Tahoma"/>
          <w:sz w:val="27"/>
          <w:rtl/>
          <w:lang w:bidi="fa-IR"/>
        </w:rPr>
        <w:t xml:space="preserve"> </w:t>
      </w:r>
      <w:r w:rsidR="00FD3BB1" w:rsidRPr="00904FCB">
        <w:rPr>
          <w:rFonts w:ascii="Tahoma" w:hAnsi="Tahoma" w:hint="cs"/>
          <w:sz w:val="27"/>
          <w:rtl/>
          <w:lang w:bidi="fa-IR"/>
        </w:rPr>
        <w:t>ـ إ</w:t>
      </w:r>
      <w:r w:rsidRPr="00904FCB">
        <w:rPr>
          <w:rFonts w:ascii="Tahoma" w:hAnsi="Tahoma"/>
          <w:sz w:val="27"/>
          <w:rtl/>
          <w:lang w:bidi="fa-IR"/>
        </w:rPr>
        <w:t>ن</w:t>
      </w:r>
      <w:r w:rsidR="00FD3BB1" w:rsidRPr="00904FCB">
        <w:rPr>
          <w:rFonts w:ascii="Tahoma" w:hAnsi="Tahoma" w:hint="cs"/>
          <w:sz w:val="27"/>
          <w:rtl/>
          <w:lang w:bidi="fa-IR"/>
        </w:rPr>
        <w:t>ْ</w:t>
      </w:r>
      <w:r w:rsidRPr="00904FCB">
        <w:rPr>
          <w:rFonts w:ascii="Tahoma" w:hAnsi="Tahoma"/>
          <w:sz w:val="27"/>
          <w:rtl/>
          <w:lang w:bidi="fa-IR"/>
        </w:rPr>
        <w:t xml:space="preserve"> كان لا يدين بالمذهب الحنفي ـ يخرج من خلالها عن دائرة التطبيق، وعدم قناعة المتخاصمين </w:t>
      </w:r>
      <w:r w:rsidR="00FD3BB1" w:rsidRPr="00904FCB">
        <w:rPr>
          <w:rFonts w:ascii="Tahoma" w:hAnsi="Tahoma" w:hint="cs"/>
          <w:sz w:val="27"/>
          <w:rtl/>
          <w:lang w:bidi="fa-IR"/>
        </w:rPr>
        <w:t>أ</w:t>
      </w:r>
      <w:r w:rsidRPr="00904FCB">
        <w:rPr>
          <w:rFonts w:ascii="Tahoma" w:hAnsi="Tahoma"/>
          <w:sz w:val="27"/>
          <w:rtl/>
          <w:lang w:bidi="fa-IR"/>
        </w:rPr>
        <w:t>يضا</w:t>
      </w:r>
      <w:r w:rsidR="00FD3BB1" w:rsidRPr="00904FCB">
        <w:rPr>
          <w:rFonts w:ascii="Tahoma" w:hAnsi="Tahoma" w:hint="cs"/>
          <w:sz w:val="27"/>
          <w:rtl/>
          <w:lang w:bidi="fa-IR"/>
        </w:rPr>
        <w:t>ً</w:t>
      </w:r>
      <w:r w:rsidRPr="00904FCB">
        <w:rPr>
          <w:rFonts w:ascii="Tahoma" w:hAnsi="Tahoma"/>
          <w:sz w:val="27"/>
          <w:rtl/>
          <w:lang w:bidi="fa-IR"/>
        </w:rPr>
        <w:t xml:space="preserve"> بتطبيق العدالة. </w:t>
      </w:r>
      <w:r w:rsidR="00FD3BB1" w:rsidRPr="00904FCB">
        <w:rPr>
          <w:rFonts w:ascii="Tahoma" w:hAnsi="Tahoma" w:hint="cs"/>
          <w:sz w:val="27"/>
          <w:rtl/>
          <w:lang w:bidi="fa-IR"/>
        </w:rPr>
        <w:t>أ</w:t>
      </w:r>
      <w:r w:rsidRPr="00904FCB">
        <w:rPr>
          <w:rFonts w:ascii="Tahoma" w:hAnsi="Tahoma"/>
          <w:sz w:val="27"/>
          <w:rtl/>
          <w:lang w:bidi="fa-IR"/>
        </w:rPr>
        <w:t>ض</w:t>
      </w:r>
      <w:r w:rsidR="00FD3BB1" w:rsidRPr="00904FCB">
        <w:rPr>
          <w:rFonts w:ascii="Tahoma" w:hAnsi="Tahoma" w:hint="cs"/>
          <w:sz w:val="27"/>
          <w:rtl/>
          <w:lang w:bidi="fa-IR"/>
        </w:rPr>
        <w:t>ِ</w:t>
      </w:r>
      <w:r w:rsidRPr="00904FCB">
        <w:rPr>
          <w:rFonts w:ascii="Tahoma" w:hAnsi="Tahoma"/>
          <w:sz w:val="27"/>
          <w:rtl/>
          <w:lang w:bidi="fa-IR"/>
        </w:rPr>
        <w:t>ف</w:t>
      </w:r>
      <w:r w:rsidR="00FD3BB1" w:rsidRPr="00904FCB">
        <w:rPr>
          <w:rFonts w:ascii="Tahoma" w:hAnsi="Tahoma" w:hint="cs"/>
          <w:sz w:val="27"/>
          <w:rtl/>
          <w:lang w:bidi="fa-IR"/>
        </w:rPr>
        <w:t>ْ</w:t>
      </w:r>
      <w:r w:rsidRPr="00904FCB">
        <w:rPr>
          <w:rFonts w:ascii="Tahoma" w:hAnsi="Tahoma"/>
          <w:sz w:val="27"/>
          <w:rtl/>
          <w:lang w:bidi="fa-IR"/>
        </w:rPr>
        <w:t xml:space="preserve"> </w:t>
      </w:r>
      <w:r w:rsidR="00FD3BB1" w:rsidRPr="00904FCB">
        <w:rPr>
          <w:rFonts w:ascii="Tahoma" w:hAnsi="Tahoma" w:hint="cs"/>
          <w:sz w:val="27"/>
          <w:rtl/>
          <w:lang w:bidi="fa-IR"/>
        </w:rPr>
        <w:t>إ</w:t>
      </w:r>
      <w:r w:rsidRPr="00904FCB">
        <w:rPr>
          <w:rFonts w:ascii="Tahoma" w:hAnsi="Tahoma"/>
          <w:sz w:val="27"/>
          <w:rtl/>
          <w:lang w:bidi="fa-IR"/>
        </w:rPr>
        <w:t xml:space="preserve">لى ذلك </w:t>
      </w:r>
      <w:r w:rsidR="00FD3BB1" w:rsidRPr="00904FCB">
        <w:rPr>
          <w:rFonts w:ascii="Tahoma" w:hAnsi="Tahoma" w:hint="cs"/>
          <w:sz w:val="27"/>
          <w:rtl/>
          <w:lang w:bidi="fa-IR"/>
        </w:rPr>
        <w:t>أ</w:t>
      </w:r>
      <w:r w:rsidRPr="00904FCB">
        <w:rPr>
          <w:rFonts w:ascii="Tahoma" w:hAnsi="Tahoma"/>
          <w:sz w:val="27"/>
          <w:rtl/>
          <w:lang w:bidi="fa-IR"/>
        </w:rPr>
        <w:t>ن</w:t>
      </w:r>
      <w:r w:rsidR="00FD3BB1" w:rsidRPr="00904FCB">
        <w:rPr>
          <w:rFonts w:ascii="Tahoma" w:hAnsi="Tahoma" w:hint="cs"/>
          <w:sz w:val="27"/>
          <w:rtl/>
          <w:lang w:bidi="fa-IR"/>
        </w:rPr>
        <w:t>ّ</w:t>
      </w:r>
      <w:r w:rsidRPr="00904FCB">
        <w:rPr>
          <w:rFonts w:ascii="Tahoma" w:hAnsi="Tahoma"/>
          <w:sz w:val="27"/>
          <w:rtl/>
          <w:lang w:bidi="fa-IR"/>
        </w:rPr>
        <w:t xml:space="preserve"> العصر الذي د</w:t>
      </w:r>
      <w:r w:rsidR="00FD3BB1" w:rsidRPr="00904FCB">
        <w:rPr>
          <w:rFonts w:ascii="Tahoma" w:hAnsi="Tahoma" w:hint="cs"/>
          <w:sz w:val="27"/>
          <w:rtl/>
          <w:lang w:bidi="fa-IR"/>
        </w:rPr>
        <w:t>َ</w:t>
      </w:r>
      <w:r w:rsidRPr="00904FCB">
        <w:rPr>
          <w:rFonts w:ascii="Tahoma" w:hAnsi="Tahoma"/>
          <w:sz w:val="27"/>
          <w:rtl/>
          <w:lang w:bidi="fa-IR"/>
        </w:rPr>
        <w:t>ع</w:t>
      </w:r>
      <w:r w:rsidR="00FD3BB1" w:rsidRPr="00904FCB">
        <w:rPr>
          <w:rFonts w:ascii="Tahoma" w:hAnsi="Tahoma" w:hint="cs"/>
          <w:sz w:val="27"/>
          <w:rtl/>
          <w:lang w:bidi="fa-IR"/>
        </w:rPr>
        <w:t>َ</w:t>
      </w:r>
      <w:r w:rsidRPr="00904FCB">
        <w:rPr>
          <w:rFonts w:ascii="Tahoma" w:hAnsi="Tahoma"/>
          <w:sz w:val="27"/>
          <w:rtl/>
          <w:lang w:bidi="fa-IR"/>
        </w:rPr>
        <w:t>ت</w:t>
      </w:r>
      <w:r w:rsidR="00FD3BB1" w:rsidRPr="00904FCB">
        <w:rPr>
          <w:rFonts w:ascii="Tahoma" w:hAnsi="Tahoma" w:hint="cs"/>
          <w:sz w:val="27"/>
          <w:rtl/>
          <w:lang w:bidi="fa-IR"/>
        </w:rPr>
        <w:t>ْ</w:t>
      </w:r>
      <w:r w:rsidRPr="00904FCB">
        <w:rPr>
          <w:rFonts w:ascii="Tahoma" w:hAnsi="Tahoma"/>
          <w:sz w:val="27"/>
          <w:rtl/>
          <w:lang w:bidi="fa-IR"/>
        </w:rPr>
        <w:t xml:space="preserve"> المجلة </w:t>
      </w:r>
      <w:r w:rsidR="00FD3BB1" w:rsidRPr="00904FCB">
        <w:rPr>
          <w:rFonts w:ascii="Tahoma" w:hAnsi="Tahoma" w:hint="cs"/>
          <w:sz w:val="27"/>
          <w:rtl/>
          <w:lang w:bidi="fa-IR"/>
        </w:rPr>
        <w:t>إ</w:t>
      </w:r>
      <w:r w:rsidRPr="00904FCB">
        <w:rPr>
          <w:rFonts w:ascii="Tahoma" w:hAnsi="Tahoma"/>
          <w:sz w:val="27"/>
          <w:rtl/>
          <w:lang w:bidi="fa-IR"/>
        </w:rPr>
        <w:t xml:space="preserve">لى تطبيق </w:t>
      </w:r>
      <w:r w:rsidR="00FD3BB1" w:rsidRPr="00904FCB">
        <w:rPr>
          <w:rFonts w:ascii="Tahoma" w:hAnsi="Tahoma" w:hint="cs"/>
          <w:sz w:val="27"/>
          <w:rtl/>
          <w:lang w:bidi="fa-IR"/>
        </w:rPr>
        <w:t>أ</w:t>
      </w:r>
      <w:r w:rsidRPr="00904FCB">
        <w:rPr>
          <w:rFonts w:ascii="Tahoma" w:hAnsi="Tahoma"/>
          <w:sz w:val="27"/>
          <w:rtl/>
          <w:lang w:bidi="fa-IR"/>
        </w:rPr>
        <w:t>حكامه بعيد</w:t>
      </w:r>
      <w:r w:rsidR="00FD3BB1" w:rsidRPr="00904FCB">
        <w:rPr>
          <w:rFonts w:ascii="Tahoma" w:hAnsi="Tahoma" w:hint="cs"/>
          <w:sz w:val="27"/>
          <w:rtl/>
          <w:lang w:bidi="fa-IR"/>
        </w:rPr>
        <w:t>ٌ</w:t>
      </w:r>
      <w:r w:rsidRPr="00904FCB">
        <w:rPr>
          <w:rFonts w:ascii="Tahoma" w:hAnsi="Tahoma"/>
          <w:sz w:val="27"/>
          <w:rtl/>
          <w:lang w:bidi="fa-IR"/>
        </w:rPr>
        <w:t xml:space="preserve"> جد</w:t>
      </w:r>
      <w:r w:rsidR="00FD3BB1" w:rsidRPr="00904FCB">
        <w:rPr>
          <w:rFonts w:ascii="Tahoma" w:hAnsi="Tahoma" w:hint="cs"/>
          <w:sz w:val="27"/>
          <w:rtl/>
          <w:lang w:bidi="fa-IR"/>
        </w:rPr>
        <w:t>ّ</w:t>
      </w:r>
      <w:r w:rsidRPr="00904FCB">
        <w:rPr>
          <w:rFonts w:ascii="Tahoma" w:hAnsi="Tahoma"/>
          <w:sz w:val="27"/>
          <w:rtl/>
          <w:lang w:bidi="fa-IR"/>
        </w:rPr>
        <w:t>ا</w:t>
      </w:r>
      <w:r w:rsidR="00FD3BB1" w:rsidRPr="00904FCB">
        <w:rPr>
          <w:rFonts w:ascii="Tahoma" w:hAnsi="Tahoma" w:hint="cs"/>
          <w:sz w:val="27"/>
          <w:rtl/>
          <w:lang w:bidi="fa-IR"/>
        </w:rPr>
        <w:t>ً</w:t>
      </w:r>
      <w:r w:rsidRPr="00904FCB">
        <w:rPr>
          <w:rFonts w:ascii="Tahoma" w:hAnsi="Tahoma"/>
          <w:sz w:val="27"/>
          <w:rtl/>
          <w:lang w:bidi="fa-IR"/>
        </w:rPr>
        <w:t xml:space="preserve"> عن عصر ال</w:t>
      </w:r>
      <w:r w:rsidR="00FD3BB1" w:rsidRPr="00904FCB">
        <w:rPr>
          <w:rFonts w:ascii="Tahoma" w:hAnsi="Tahoma" w:hint="cs"/>
          <w:sz w:val="27"/>
          <w:rtl/>
          <w:lang w:bidi="fa-IR"/>
        </w:rPr>
        <w:t>إ</w:t>
      </w:r>
      <w:r w:rsidRPr="00904FCB">
        <w:rPr>
          <w:rFonts w:ascii="Tahoma" w:hAnsi="Tahoma"/>
          <w:sz w:val="27"/>
          <w:rtl/>
          <w:lang w:bidi="fa-IR"/>
        </w:rPr>
        <w:t xml:space="preserve">مام </w:t>
      </w:r>
      <w:r w:rsidR="00FD3BB1" w:rsidRPr="00904FCB">
        <w:rPr>
          <w:rFonts w:ascii="Tahoma" w:hAnsi="Tahoma" w:hint="cs"/>
          <w:sz w:val="27"/>
          <w:rtl/>
          <w:lang w:bidi="fa-IR"/>
        </w:rPr>
        <w:t>أ</w:t>
      </w:r>
      <w:r w:rsidRPr="00904FCB">
        <w:rPr>
          <w:rFonts w:ascii="Tahoma" w:hAnsi="Tahoma"/>
          <w:sz w:val="27"/>
          <w:rtl/>
          <w:lang w:bidi="fa-IR"/>
        </w:rPr>
        <w:t>ب</w:t>
      </w:r>
      <w:r w:rsidR="00FD3BB1" w:rsidRPr="00904FCB">
        <w:rPr>
          <w:rFonts w:ascii="Tahoma" w:hAnsi="Tahoma" w:hint="cs"/>
          <w:sz w:val="27"/>
          <w:rtl/>
          <w:lang w:bidi="fa-IR"/>
        </w:rPr>
        <w:t>ي</w:t>
      </w:r>
      <w:r w:rsidRPr="00904FCB">
        <w:rPr>
          <w:rFonts w:ascii="Tahoma" w:hAnsi="Tahoma"/>
          <w:sz w:val="27"/>
          <w:rtl/>
          <w:lang w:bidi="fa-IR"/>
        </w:rPr>
        <w:t xml:space="preserve"> حنيفة(</w:t>
      </w:r>
      <w:r w:rsidRPr="002C04DA">
        <w:rPr>
          <w:rFonts w:ascii="Tahoma" w:hAnsi="Tahoma" w:hint="cs"/>
          <w:sz w:val="27"/>
          <w:rtl/>
          <w:lang w:bidi="ar-LB"/>
        </w:rPr>
        <w:t>150</w:t>
      </w:r>
      <w:r w:rsidRPr="002C04DA">
        <w:rPr>
          <w:rFonts w:ascii="Tahoma" w:hAnsi="Tahoma"/>
          <w:sz w:val="27"/>
          <w:rtl/>
          <w:lang w:bidi="fa-IR"/>
        </w:rPr>
        <w:t>هـ</w:t>
      </w:r>
      <w:r w:rsidRPr="00904FCB">
        <w:rPr>
          <w:rFonts w:ascii="Tahoma" w:hAnsi="Tahoma"/>
          <w:sz w:val="27"/>
          <w:rtl/>
          <w:lang w:bidi="fa-IR"/>
        </w:rPr>
        <w:t>)</w:t>
      </w:r>
      <w:r w:rsidR="00FD3BB1" w:rsidRPr="00904FCB">
        <w:rPr>
          <w:rFonts w:ascii="Tahoma" w:hAnsi="Tahoma" w:hint="cs"/>
          <w:sz w:val="27"/>
          <w:rtl/>
          <w:lang w:bidi="fa-IR"/>
        </w:rPr>
        <w:t>.</w:t>
      </w:r>
      <w:r w:rsidRPr="00904FCB">
        <w:rPr>
          <w:rFonts w:ascii="Tahoma" w:hAnsi="Tahoma"/>
          <w:sz w:val="27"/>
          <w:rtl/>
          <w:lang w:bidi="fa-IR"/>
        </w:rPr>
        <w:t xml:space="preserve"> وقد تعترض التطبيق </w:t>
      </w:r>
      <w:r w:rsidR="00FD3BB1" w:rsidRPr="00904FCB">
        <w:rPr>
          <w:rFonts w:ascii="Tahoma" w:hAnsi="Tahoma" w:hint="cs"/>
          <w:sz w:val="27"/>
          <w:rtl/>
          <w:lang w:bidi="fa-IR"/>
        </w:rPr>
        <w:t>إ</w:t>
      </w:r>
      <w:r w:rsidRPr="00904FCB">
        <w:rPr>
          <w:rFonts w:ascii="Tahoma" w:hAnsi="Tahoma"/>
          <w:sz w:val="27"/>
          <w:rtl/>
          <w:lang w:bidi="fa-IR"/>
        </w:rPr>
        <w:t>شكاليات مستحدثة جديدة</w:t>
      </w:r>
      <w:r w:rsidR="00FD3BB1" w:rsidRPr="00904FCB">
        <w:rPr>
          <w:rFonts w:ascii="Tahoma" w:hAnsi="Tahoma" w:hint="cs"/>
          <w:sz w:val="27"/>
          <w:rtl/>
          <w:lang w:bidi="fa-IR"/>
        </w:rPr>
        <w:t>،</w:t>
      </w:r>
      <w:r w:rsidRPr="00904FCB">
        <w:rPr>
          <w:rFonts w:ascii="Tahoma" w:hAnsi="Tahoma"/>
          <w:sz w:val="27"/>
          <w:rtl/>
          <w:lang w:bidi="fa-IR"/>
        </w:rPr>
        <w:t xml:space="preserve"> تستوجب فتاوى واضحة</w:t>
      </w:r>
      <w:r w:rsidR="00FD3BB1" w:rsidRPr="00904FCB">
        <w:rPr>
          <w:rFonts w:ascii="Tahoma" w:hAnsi="Tahoma" w:hint="cs"/>
          <w:sz w:val="27"/>
          <w:rtl/>
          <w:lang w:bidi="fa-IR"/>
        </w:rPr>
        <w:t>،</w:t>
      </w:r>
      <w:r w:rsidRPr="00904FCB">
        <w:rPr>
          <w:rFonts w:ascii="Tahoma" w:hAnsi="Tahoma"/>
          <w:sz w:val="27"/>
          <w:rtl/>
          <w:lang w:bidi="fa-IR"/>
        </w:rPr>
        <w:t xml:space="preserve"> تستند </w:t>
      </w:r>
      <w:r w:rsidR="00FD3BB1" w:rsidRPr="00904FCB">
        <w:rPr>
          <w:rFonts w:ascii="Tahoma" w:hAnsi="Tahoma" w:hint="cs"/>
          <w:sz w:val="27"/>
          <w:rtl/>
          <w:lang w:bidi="fa-IR"/>
        </w:rPr>
        <w:t>إ</w:t>
      </w:r>
      <w:r w:rsidRPr="00904FCB">
        <w:rPr>
          <w:rFonts w:ascii="Tahoma" w:hAnsi="Tahoma"/>
          <w:sz w:val="27"/>
          <w:rtl/>
          <w:lang w:bidi="fa-IR"/>
        </w:rPr>
        <w:t xml:space="preserve">لى </w:t>
      </w:r>
      <w:r w:rsidR="00FD3BB1" w:rsidRPr="00904FCB">
        <w:rPr>
          <w:rFonts w:ascii="Tahoma" w:hAnsi="Tahoma" w:hint="cs"/>
          <w:sz w:val="27"/>
          <w:rtl/>
          <w:lang w:bidi="fa-IR"/>
        </w:rPr>
        <w:t>أ</w:t>
      </w:r>
      <w:r w:rsidRPr="00904FCB">
        <w:rPr>
          <w:rFonts w:ascii="Tahoma" w:hAnsi="Tahoma"/>
          <w:sz w:val="27"/>
          <w:rtl/>
          <w:lang w:bidi="fa-IR"/>
        </w:rPr>
        <w:t>سس رصينة</w:t>
      </w:r>
      <w:r w:rsidR="00FD3BB1" w:rsidRPr="00904FCB">
        <w:rPr>
          <w:rFonts w:ascii="Tahoma" w:hAnsi="Tahoma" w:hint="cs"/>
          <w:sz w:val="27"/>
          <w:rtl/>
          <w:lang w:bidi="fa-IR"/>
        </w:rPr>
        <w:t>،</w:t>
      </w:r>
      <w:r w:rsidRPr="00904FCB">
        <w:rPr>
          <w:rFonts w:ascii="Tahoma" w:hAnsi="Tahoma"/>
          <w:sz w:val="27"/>
          <w:rtl/>
          <w:lang w:bidi="fa-IR"/>
        </w:rPr>
        <w:t xml:space="preserve"> </w:t>
      </w:r>
      <w:r w:rsidR="00FD3BB1" w:rsidRPr="00904FCB">
        <w:rPr>
          <w:rFonts w:ascii="Tahoma" w:hAnsi="Tahoma" w:hint="cs"/>
          <w:sz w:val="27"/>
          <w:rtl/>
          <w:lang w:bidi="fa-IR"/>
        </w:rPr>
        <w:t>وإ</w:t>
      </w:r>
      <w:r w:rsidRPr="00904FCB">
        <w:rPr>
          <w:rFonts w:ascii="Tahoma" w:hAnsi="Tahoma"/>
          <w:sz w:val="27"/>
          <w:rtl/>
          <w:lang w:bidi="fa-IR"/>
        </w:rPr>
        <w:t>لى مصادر الاستنباط ال</w:t>
      </w:r>
      <w:r w:rsidR="00FD3BB1" w:rsidRPr="00904FCB">
        <w:rPr>
          <w:rFonts w:ascii="Tahoma" w:hAnsi="Tahoma" w:hint="cs"/>
          <w:sz w:val="27"/>
          <w:rtl/>
          <w:lang w:bidi="fa-IR"/>
        </w:rPr>
        <w:t>إ</w:t>
      </w:r>
      <w:r w:rsidRPr="00904FCB">
        <w:rPr>
          <w:rFonts w:ascii="Tahoma" w:hAnsi="Tahoma"/>
          <w:sz w:val="27"/>
          <w:rtl/>
          <w:lang w:bidi="fa-IR"/>
        </w:rPr>
        <w:t>سلامي الرصينة</w:t>
      </w:r>
      <w:r w:rsidR="00FD3BB1" w:rsidRPr="00904FCB">
        <w:rPr>
          <w:rFonts w:ascii="Tahoma" w:hAnsi="Tahoma" w:hint="cs"/>
          <w:sz w:val="27"/>
          <w:rtl/>
          <w:lang w:bidi="fa-IR"/>
        </w:rPr>
        <w:t>،</w:t>
      </w:r>
      <w:r w:rsidRPr="00904FCB">
        <w:rPr>
          <w:rFonts w:ascii="Tahoma" w:hAnsi="Tahoma"/>
          <w:sz w:val="27"/>
          <w:rtl/>
          <w:lang w:bidi="fa-IR"/>
        </w:rPr>
        <w:t xml:space="preserve"> مم</w:t>
      </w:r>
      <w:r w:rsidR="00FD3BB1" w:rsidRPr="00904FCB">
        <w:rPr>
          <w:rFonts w:ascii="Tahoma" w:hAnsi="Tahoma" w:hint="cs"/>
          <w:sz w:val="27"/>
          <w:rtl/>
          <w:lang w:bidi="fa-IR"/>
        </w:rPr>
        <w:t>ّ</w:t>
      </w:r>
      <w:r w:rsidRPr="00904FCB">
        <w:rPr>
          <w:rFonts w:ascii="Tahoma" w:hAnsi="Tahoma"/>
          <w:sz w:val="27"/>
          <w:rtl/>
          <w:lang w:bidi="fa-IR"/>
        </w:rPr>
        <w:t>ا يجعل قوانين المجلة قاصرة عن مسايرة العصر</w:t>
      </w:r>
      <w:r w:rsidR="00FD3BB1" w:rsidRPr="00904FCB">
        <w:rPr>
          <w:rFonts w:ascii="Tahoma" w:hAnsi="Tahoma" w:hint="cs"/>
          <w:sz w:val="27"/>
          <w:rtl/>
          <w:lang w:bidi="fa-IR"/>
        </w:rPr>
        <w:t>،</w:t>
      </w:r>
      <w:r w:rsidRPr="00904FCB">
        <w:rPr>
          <w:rFonts w:ascii="Tahoma" w:hAnsi="Tahoma"/>
          <w:sz w:val="27"/>
          <w:rtl/>
          <w:lang w:bidi="fa-IR"/>
        </w:rPr>
        <w:t xml:space="preserve"> وحل</w:t>
      </w:r>
      <w:r w:rsidR="00FD3BB1" w:rsidRPr="00904FCB">
        <w:rPr>
          <w:rFonts w:ascii="Tahoma" w:hAnsi="Tahoma" w:hint="cs"/>
          <w:sz w:val="27"/>
          <w:rtl/>
          <w:lang w:bidi="fa-IR"/>
        </w:rPr>
        <w:t>ّ</w:t>
      </w:r>
      <w:r w:rsidRPr="00904FCB">
        <w:rPr>
          <w:rFonts w:ascii="Tahoma" w:hAnsi="Tahoma"/>
          <w:sz w:val="27"/>
          <w:rtl/>
          <w:lang w:bidi="fa-IR"/>
        </w:rPr>
        <w:t xml:space="preserve"> </w:t>
      </w:r>
      <w:r w:rsidR="00FD3BB1" w:rsidRPr="00904FCB">
        <w:rPr>
          <w:rFonts w:ascii="Tahoma" w:hAnsi="Tahoma" w:hint="cs"/>
          <w:sz w:val="27"/>
          <w:rtl/>
          <w:lang w:bidi="fa-IR"/>
        </w:rPr>
        <w:t>إ</w:t>
      </w:r>
      <w:r w:rsidRPr="00904FCB">
        <w:rPr>
          <w:rFonts w:ascii="Tahoma" w:hAnsi="Tahoma"/>
          <w:sz w:val="27"/>
          <w:rtl/>
          <w:lang w:bidi="fa-IR"/>
        </w:rPr>
        <w:t>شكالي</w:t>
      </w:r>
      <w:r w:rsidR="00FD3BB1" w:rsidRPr="00904FCB">
        <w:rPr>
          <w:rFonts w:ascii="Tahoma" w:hAnsi="Tahoma" w:hint="cs"/>
          <w:sz w:val="27"/>
          <w:rtl/>
          <w:lang w:bidi="fa-IR"/>
        </w:rPr>
        <w:t>ّ</w:t>
      </w:r>
      <w:r w:rsidRPr="00904FCB">
        <w:rPr>
          <w:rFonts w:ascii="Tahoma" w:hAnsi="Tahoma"/>
          <w:sz w:val="27"/>
          <w:rtl/>
          <w:lang w:bidi="fa-IR"/>
        </w:rPr>
        <w:t>اته</w:t>
      </w:r>
      <w:r w:rsidR="00FD3BB1" w:rsidRPr="00904FCB">
        <w:rPr>
          <w:rFonts w:ascii="Tahoma" w:hAnsi="Tahoma" w:hint="cs"/>
          <w:sz w:val="27"/>
          <w:rtl/>
          <w:lang w:bidi="fa-IR"/>
        </w:rPr>
        <w:t>.</w:t>
      </w:r>
      <w:r w:rsidRPr="00904FCB">
        <w:rPr>
          <w:rFonts w:ascii="Tahoma" w:hAnsi="Tahoma"/>
          <w:sz w:val="27"/>
          <w:rtl/>
          <w:lang w:bidi="fa-IR"/>
        </w:rPr>
        <w:t xml:space="preserve"> ولذلك نستطيع </w:t>
      </w:r>
      <w:r w:rsidR="00FD3BB1" w:rsidRPr="00904FCB">
        <w:rPr>
          <w:rFonts w:ascii="Tahoma" w:hAnsi="Tahoma" w:hint="cs"/>
          <w:sz w:val="27"/>
          <w:rtl/>
          <w:lang w:bidi="fa-IR"/>
        </w:rPr>
        <w:t>أ</w:t>
      </w:r>
      <w:r w:rsidRPr="00904FCB">
        <w:rPr>
          <w:rFonts w:ascii="Tahoma" w:hAnsi="Tahoma"/>
          <w:sz w:val="27"/>
          <w:rtl/>
          <w:lang w:bidi="fa-IR"/>
        </w:rPr>
        <w:t>ن نسج</w:t>
      </w:r>
      <w:r w:rsidR="00FD3BB1" w:rsidRPr="00904FCB">
        <w:rPr>
          <w:rFonts w:ascii="Tahoma" w:hAnsi="Tahoma" w:hint="cs"/>
          <w:sz w:val="27"/>
          <w:rtl/>
          <w:lang w:bidi="fa-IR"/>
        </w:rPr>
        <w:t>ِّ</w:t>
      </w:r>
      <w:r w:rsidRPr="00904FCB">
        <w:rPr>
          <w:rFonts w:ascii="Tahoma" w:hAnsi="Tahoma"/>
          <w:sz w:val="27"/>
          <w:rtl/>
          <w:lang w:bidi="fa-IR"/>
        </w:rPr>
        <w:t>ل على المجل</w:t>
      </w:r>
      <w:r w:rsidR="00FD3BB1" w:rsidRPr="00904FCB">
        <w:rPr>
          <w:rFonts w:ascii="Tahoma" w:hAnsi="Tahoma" w:hint="cs"/>
          <w:sz w:val="27"/>
          <w:rtl/>
          <w:lang w:bidi="fa-IR"/>
        </w:rPr>
        <w:t>ّ</w:t>
      </w:r>
      <w:r w:rsidRPr="00904FCB">
        <w:rPr>
          <w:rFonts w:ascii="Tahoma" w:hAnsi="Tahoma"/>
          <w:sz w:val="27"/>
          <w:rtl/>
          <w:lang w:bidi="fa-IR"/>
        </w:rPr>
        <w:t>ة نق</w:t>
      </w:r>
      <w:r w:rsidR="00FD3BB1" w:rsidRPr="00904FCB">
        <w:rPr>
          <w:rFonts w:ascii="Tahoma" w:hAnsi="Tahoma" w:hint="cs"/>
          <w:sz w:val="27"/>
          <w:rtl/>
          <w:lang w:bidi="fa-IR"/>
        </w:rPr>
        <w:t>وداً</w:t>
      </w:r>
      <w:r w:rsidRPr="00904FCB">
        <w:rPr>
          <w:rFonts w:ascii="Tahoma" w:hAnsi="Tahoma"/>
          <w:sz w:val="27"/>
          <w:rtl/>
          <w:lang w:bidi="fa-IR"/>
        </w:rPr>
        <w:t xml:space="preserve"> تنحصر </w:t>
      </w:r>
      <w:r w:rsidR="00FD3BB1" w:rsidRPr="00904FCB">
        <w:rPr>
          <w:rFonts w:ascii="Tahoma" w:hAnsi="Tahoma" w:hint="cs"/>
          <w:sz w:val="27"/>
          <w:rtl/>
          <w:lang w:bidi="fa-IR"/>
        </w:rPr>
        <w:t>في</w:t>
      </w:r>
      <w:r w:rsidRPr="00904FCB">
        <w:rPr>
          <w:rFonts w:ascii="Tahoma" w:hAnsi="Tahoma"/>
          <w:sz w:val="27"/>
          <w:rtl/>
          <w:lang w:bidi="fa-IR"/>
        </w:rPr>
        <w:t xml:space="preserve"> ثلاث</w:t>
      </w:r>
      <w:r w:rsidR="00FD3BB1" w:rsidRPr="00904FCB">
        <w:rPr>
          <w:rFonts w:ascii="Tahoma" w:hAnsi="Tahoma" w:hint="cs"/>
          <w:sz w:val="27"/>
          <w:rtl/>
          <w:lang w:bidi="fa-IR"/>
        </w:rPr>
        <w:t>ة</w:t>
      </w:r>
      <w:r w:rsidRPr="00904FCB">
        <w:rPr>
          <w:rFonts w:ascii="Tahoma" w:hAnsi="Tahoma"/>
          <w:sz w:val="27"/>
          <w:rtl/>
          <w:lang w:bidi="fa-IR"/>
        </w:rPr>
        <w:t xml:space="preserve"> اتجاهات: </w:t>
      </w:r>
    </w:p>
    <w:p w:rsidR="00644408" w:rsidRPr="00904FCB" w:rsidRDefault="00644408" w:rsidP="007A21AA">
      <w:pPr>
        <w:pStyle w:val="31"/>
        <w:spacing w:line="400" w:lineRule="exact"/>
        <w:rPr>
          <w:color w:val="auto"/>
          <w:lang w:bidi="fa-IR"/>
        </w:rPr>
      </w:pPr>
      <w:r w:rsidRPr="00904FCB">
        <w:rPr>
          <w:color w:val="auto"/>
          <w:rtl/>
          <w:lang w:bidi="fa-IR"/>
        </w:rPr>
        <w:lastRenderedPageBreak/>
        <w:t>ال</w:t>
      </w:r>
      <w:r w:rsidRPr="00904FCB">
        <w:rPr>
          <w:rFonts w:hint="cs"/>
          <w:color w:val="auto"/>
          <w:rtl/>
          <w:lang w:bidi="fa-IR"/>
        </w:rPr>
        <w:t>أ</w:t>
      </w:r>
      <w:r w:rsidRPr="00904FCB">
        <w:rPr>
          <w:color w:val="auto"/>
          <w:rtl/>
          <w:lang w:bidi="fa-IR"/>
        </w:rPr>
        <w:t>ول</w:t>
      </w:r>
      <w:r w:rsidRPr="00904FCB">
        <w:rPr>
          <w:rFonts w:hint="cs"/>
          <w:color w:val="auto"/>
          <w:rtl/>
          <w:lang w:bidi="fa-IR"/>
        </w:rPr>
        <w:t>:</w:t>
      </w:r>
      <w:r w:rsidRPr="00904FCB">
        <w:rPr>
          <w:color w:val="auto"/>
          <w:rtl/>
          <w:lang w:bidi="fa-IR"/>
        </w:rPr>
        <w:t xml:space="preserve"> مصادر مجل</w:t>
      </w:r>
      <w:r w:rsidR="00FD3BB1" w:rsidRPr="00904FCB">
        <w:rPr>
          <w:rFonts w:hint="cs"/>
          <w:color w:val="auto"/>
          <w:rtl/>
          <w:lang w:bidi="fa-IR"/>
        </w:rPr>
        <w:t>ّ</w:t>
      </w:r>
      <w:r w:rsidRPr="00904FCB">
        <w:rPr>
          <w:color w:val="auto"/>
          <w:rtl/>
          <w:lang w:bidi="fa-IR"/>
        </w:rPr>
        <w:t>ة ال</w:t>
      </w:r>
      <w:r w:rsidR="00FD3BB1" w:rsidRPr="00904FCB">
        <w:rPr>
          <w:rFonts w:hint="cs"/>
          <w:color w:val="auto"/>
          <w:rtl/>
          <w:lang w:bidi="fa-IR"/>
        </w:rPr>
        <w:t>أ</w:t>
      </w:r>
      <w:r w:rsidRPr="00904FCB">
        <w:rPr>
          <w:color w:val="auto"/>
          <w:rtl/>
          <w:lang w:bidi="fa-IR"/>
        </w:rPr>
        <w:t xml:space="preserve">حكام العدلية </w:t>
      </w:r>
    </w:p>
    <w:p w:rsidR="007D66C1" w:rsidRPr="00904FCB" w:rsidRDefault="00644408" w:rsidP="00963E93">
      <w:pPr>
        <w:autoSpaceDE w:val="0"/>
        <w:autoSpaceDN w:val="0"/>
        <w:adjustRightInd w:val="0"/>
        <w:spacing w:line="400" w:lineRule="exact"/>
        <w:ind w:firstLine="561"/>
        <w:rPr>
          <w:rFonts w:ascii="Tahoma" w:hAnsi="Tahoma"/>
          <w:sz w:val="27"/>
          <w:rtl/>
          <w:lang w:bidi="fa-IR"/>
        </w:rPr>
      </w:pPr>
      <w:r w:rsidRPr="00904FCB">
        <w:rPr>
          <w:rFonts w:ascii="Tahoma" w:hAnsi="Tahoma"/>
          <w:sz w:val="27"/>
          <w:lang w:bidi="fa-IR"/>
        </w:rPr>
        <w:t xml:space="preserve"> </w:t>
      </w:r>
      <w:r w:rsidRPr="00904FCB">
        <w:rPr>
          <w:rFonts w:ascii="Tahoma" w:hAnsi="Tahoma"/>
          <w:sz w:val="27"/>
          <w:rtl/>
          <w:lang w:bidi="fa-IR"/>
        </w:rPr>
        <w:t>فقد اقتصرت المجل</w:t>
      </w:r>
      <w:r w:rsidR="00FD3BB1" w:rsidRPr="00904FCB">
        <w:rPr>
          <w:rFonts w:ascii="Tahoma" w:hAnsi="Tahoma" w:hint="cs"/>
          <w:sz w:val="27"/>
          <w:rtl/>
          <w:lang w:bidi="fa-IR"/>
        </w:rPr>
        <w:t>ّ</w:t>
      </w:r>
      <w:r w:rsidRPr="00904FCB">
        <w:rPr>
          <w:rFonts w:ascii="Tahoma" w:hAnsi="Tahoma"/>
          <w:sz w:val="27"/>
          <w:rtl/>
          <w:lang w:bidi="fa-IR"/>
        </w:rPr>
        <w:t xml:space="preserve">ة في </w:t>
      </w:r>
      <w:r w:rsidR="00FD3BB1" w:rsidRPr="00904FCB">
        <w:rPr>
          <w:rFonts w:ascii="Tahoma" w:hAnsi="Tahoma" w:hint="cs"/>
          <w:sz w:val="27"/>
          <w:rtl/>
          <w:lang w:bidi="fa-IR"/>
        </w:rPr>
        <w:t>أ</w:t>
      </w:r>
      <w:r w:rsidRPr="00904FCB">
        <w:rPr>
          <w:rFonts w:ascii="Tahoma" w:hAnsi="Tahoma"/>
          <w:sz w:val="27"/>
          <w:rtl/>
          <w:lang w:bidi="fa-IR"/>
        </w:rPr>
        <w:t>حكامها على القر</w:t>
      </w:r>
      <w:r w:rsidR="00FD3BB1" w:rsidRPr="00904FCB">
        <w:rPr>
          <w:rFonts w:ascii="Tahoma" w:hAnsi="Tahoma" w:hint="cs"/>
          <w:sz w:val="27"/>
          <w:rtl/>
          <w:lang w:bidi="fa-IR"/>
        </w:rPr>
        <w:t>آ</w:t>
      </w:r>
      <w:r w:rsidRPr="00904FCB">
        <w:rPr>
          <w:rFonts w:ascii="Tahoma" w:hAnsi="Tahoma"/>
          <w:sz w:val="27"/>
          <w:rtl/>
          <w:lang w:bidi="fa-IR"/>
        </w:rPr>
        <w:t xml:space="preserve">ن الكريم وعموميات </w:t>
      </w:r>
      <w:r w:rsidR="00FD3BB1" w:rsidRPr="00904FCB">
        <w:rPr>
          <w:rFonts w:ascii="Tahoma" w:hAnsi="Tahoma" w:hint="cs"/>
          <w:sz w:val="27"/>
          <w:rtl/>
          <w:lang w:bidi="fa-IR"/>
        </w:rPr>
        <w:t>أ</w:t>
      </w:r>
      <w:r w:rsidRPr="00904FCB">
        <w:rPr>
          <w:rFonts w:ascii="Tahoma" w:hAnsi="Tahoma"/>
          <w:sz w:val="27"/>
          <w:rtl/>
          <w:lang w:bidi="fa-IR"/>
        </w:rPr>
        <w:t>حكامه</w:t>
      </w:r>
      <w:r w:rsidR="00FD3BB1" w:rsidRPr="00904FCB">
        <w:rPr>
          <w:rFonts w:ascii="Tahoma" w:hAnsi="Tahoma" w:hint="cs"/>
          <w:sz w:val="27"/>
          <w:rtl/>
          <w:lang w:bidi="fa-IR"/>
        </w:rPr>
        <w:t>،</w:t>
      </w:r>
      <w:r w:rsidRPr="00904FCB">
        <w:rPr>
          <w:rFonts w:ascii="Tahoma" w:hAnsi="Tahoma"/>
          <w:sz w:val="27"/>
          <w:rtl/>
          <w:lang w:bidi="fa-IR"/>
        </w:rPr>
        <w:t xml:space="preserve"> وعلى الحديث الشريف</w:t>
      </w:r>
      <w:r w:rsidR="00FD3BB1" w:rsidRPr="00904FCB">
        <w:rPr>
          <w:rFonts w:ascii="Tahoma" w:hAnsi="Tahoma" w:hint="cs"/>
          <w:sz w:val="27"/>
          <w:rtl/>
          <w:lang w:bidi="fa-IR"/>
        </w:rPr>
        <w:t>،</w:t>
      </w:r>
      <w:r w:rsidRPr="00904FCB">
        <w:rPr>
          <w:rFonts w:ascii="Tahoma" w:hAnsi="Tahoma"/>
          <w:sz w:val="27"/>
          <w:rtl/>
          <w:lang w:bidi="fa-IR"/>
        </w:rPr>
        <w:t xml:space="preserve"> ووفق مذهب ال</w:t>
      </w:r>
      <w:r w:rsidR="00FD3BB1" w:rsidRPr="00904FCB">
        <w:rPr>
          <w:rFonts w:ascii="Tahoma" w:hAnsi="Tahoma" w:hint="cs"/>
          <w:sz w:val="27"/>
          <w:rtl/>
          <w:lang w:bidi="fa-IR"/>
        </w:rPr>
        <w:t>إ</w:t>
      </w:r>
      <w:r w:rsidRPr="00904FCB">
        <w:rPr>
          <w:rFonts w:ascii="Tahoma" w:hAnsi="Tahoma"/>
          <w:sz w:val="27"/>
          <w:rtl/>
          <w:lang w:bidi="fa-IR"/>
        </w:rPr>
        <w:t xml:space="preserve">مام </w:t>
      </w:r>
      <w:r w:rsidR="00FD3BB1" w:rsidRPr="00904FCB">
        <w:rPr>
          <w:rFonts w:ascii="Tahoma" w:hAnsi="Tahoma" w:hint="cs"/>
          <w:sz w:val="27"/>
          <w:rtl/>
          <w:lang w:bidi="fa-IR"/>
        </w:rPr>
        <w:t>أ</w:t>
      </w:r>
      <w:r w:rsidRPr="00904FCB">
        <w:rPr>
          <w:rFonts w:ascii="Tahoma" w:hAnsi="Tahoma"/>
          <w:sz w:val="27"/>
          <w:rtl/>
          <w:lang w:bidi="fa-IR"/>
        </w:rPr>
        <w:t>بي حنيفة وفقهاء المذهب الحنفي</w:t>
      </w:r>
      <w:r w:rsidR="00FD3BB1" w:rsidRPr="00904FCB">
        <w:rPr>
          <w:rFonts w:ascii="Tahoma" w:hAnsi="Tahoma" w:hint="cs"/>
          <w:sz w:val="27"/>
          <w:rtl/>
          <w:lang w:bidi="fa-IR"/>
        </w:rPr>
        <w:t>،</w:t>
      </w:r>
      <w:r w:rsidRPr="00904FCB">
        <w:rPr>
          <w:rFonts w:ascii="Tahoma" w:hAnsi="Tahoma"/>
          <w:sz w:val="27"/>
          <w:rtl/>
          <w:lang w:bidi="fa-IR"/>
        </w:rPr>
        <w:t xml:space="preserve"> مثل</w:t>
      </w:r>
      <w:r w:rsidR="00FD3BB1" w:rsidRPr="00904FCB">
        <w:rPr>
          <w:rFonts w:ascii="Tahoma" w:hAnsi="Tahoma" w:hint="cs"/>
          <w:sz w:val="27"/>
          <w:rtl/>
          <w:lang w:bidi="fa-IR"/>
        </w:rPr>
        <w:t>:</w:t>
      </w:r>
      <w:r w:rsidRPr="00904FCB">
        <w:rPr>
          <w:rFonts w:ascii="Tahoma" w:hAnsi="Tahoma"/>
          <w:sz w:val="27"/>
          <w:rtl/>
          <w:lang w:bidi="fa-IR"/>
        </w:rPr>
        <w:t xml:space="preserve"> </w:t>
      </w:r>
      <w:r w:rsidR="00FD3BB1" w:rsidRPr="00904FCB">
        <w:rPr>
          <w:rFonts w:ascii="Tahoma" w:hAnsi="Tahoma" w:hint="cs"/>
          <w:sz w:val="27"/>
          <w:rtl/>
          <w:lang w:bidi="fa-IR"/>
        </w:rPr>
        <w:t>أ</w:t>
      </w:r>
      <w:r w:rsidRPr="00904FCB">
        <w:rPr>
          <w:rFonts w:ascii="Tahoma" w:hAnsi="Tahoma"/>
          <w:sz w:val="27"/>
          <w:rtl/>
          <w:lang w:bidi="fa-IR"/>
        </w:rPr>
        <w:t xml:space="preserve">بي يوسف القاضي، وابن </w:t>
      </w:r>
      <w:r w:rsidR="00FD3BB1" w:rsidRPr="00904FCB">
        <w:rPr>
          <w:rFonts w:ascii="Tahoma" w:hAnsi="Tahoma" w:hint="cs"/>
          <w:sz w:val="27"/>
          <w:rtl/>
          <w:lang w:bidi="fa-IR"/>
        </w:rPr>
        <w:t>نج</w:t>
      </w:r>
      <w:r w:rsidRPr="00904FCB">
        <w:rPr>
          <w:rFonts w:ascii="Tahoma" w:hAnsi="Tahoma"/>
          <w:sz w:val="27"/>
          <w:rtl/>
          <w:lang w:bidi="fa-IR"/>
        </w:rPr>
        <w:t>يم المصري صاحب كتاب (ال</w:t>
      </w:r>
      <w:r w:rsidR="00FD3BB1" w:rsidRPr="00904FCB">
        <w:rPr>
          <w:rFonts w:ascii="Tahoma" w:hAnsi="Tahoma" w:hint="cs"/>
          <w:sz w:val="27"/>
          <w:rtl/>
          <w:lang w:bidi="fa-IR"/>
        </w:rPr>
        <w:t>أ</w:t>
      </w:r>
      <w:r w:rsidRPr="00904FCB">
        <w:rPr>
          <w:rFonts w:ascii="Tahoma" w:hAnsi="Tahoma"/>
          <w:sz w:val="27"/>
          <w:rtl/>
          <w:lang w:bidi="fa-IR"/>
        </w:rPr>
        <w:t>شباه والنظائر)، و</w:t>
      </w:r>
      <w:r w:rsidR="00FD3BB1" w:rsidRPr="00904FCB">
        <w:rPr>
          <w:rFonts w:ascii="Tahoma" w:hAnsi="Tahoma" w:hint="cs"/>
          <w:sz w:val="27"/>
          <w:rtl/>
          <w:lang w:bidi="fa-IR"/>
        </w:rPr>
        <w:t>أ</w:t>
      </w:r>
      <w:r w:rsidRPr="00904FCB">
        <w:rPr>
          <w:rFonts w:ascii="Tahoma" w:hAnsi="Tahoma"/>
          <w:sz w:val="27"/>
          <w:rtl/>
          <w:lang w:bidi="fa-IR"/>
        </w:rPr>
        <w:t>بي سعيد الخاوي صاحب (الحاشية على كتاب الدرر في شرح الغرر)</w:t>
      </w:r>
      <w:r w:rsidR="00FD3BB1" w:rsidRPr="00904FCB">
        <w:rPr>
          <w:rFonts w:ascii="Tahoma" w:hAnsi="Tahoma" w:hint="cs"/>
          <w:sz w:val="27"/>
          <w:rtl/>
          <w:lang w:bidi="fa-IR"/>
        </w:rPr>
        <w:t>.</w:t>
      </w:r>
    </w:p>
    <w:p w:rsidR="00644408" w:rsidRPr="00904FCB" w:rsidRDefault="007D66C1" w:rsidP="00963E93">
      <w:pPr>
        <w:autoSpaceDE w:val="0"/>
        <w:autoSpaceDN w:val="0"/>
        <w:adjustRightInd w:val="0"/>
        <w:spacing w:line="400" w:lineRule="exact"/>
        <w:ind w:firstLine="561"/>
        <w:rPr>
          <w:rFonts w:ascii="Tahoma" w:hAnsi="Tahoma"/>
          <w:sz w:val="27"/>
          <w:rtl/>
          <w:lang w:bidi="fa-IR"/>
        </w:rPr>
      </w:pPr>
      <w:r w:rsidRPr="00904FCB">
        <w:rPr>
          <w:rFonts w:ascii="Tahoma" w:hAnsi="Tahoma" w:hint="cs"/>
          <w:sz w:val="27"/>
          <w:rtl/>
          <w:lang w:bidi="fa-IR"/>
        </w:rPr>
        <w:t>وقد استندت</w:t>
      </w:r>
      <w:r w:rsidR="00644408" w:rsidRPr="00904FCB">
        <w:rPr>
          <w:rFonts w:ascii="Tahoma" w:hAnsi="Tahoma"/>
          <w:sz w:val="27"/>
          <w:rtl/>
          <w:lang w:bidi="fa-IR"/>
        </w:rPr>
        <w:t xml:space="preserve"> المجلة في بعض </w:t>
      </w:r>
      <w:r w:rsidR="00FD3BB1" w:rsidRPr="00904FCB">
        <w:rPr>
          <w:rFonts w:ascii="Tahoma" w:hAnsi="Tahoma" w:hint="cs"/>
          <w:sz w:val="27"/>
          <w:rtl/>
          <w:lang w:bidi="fa-IR"/>
        </w:rPr>
        <w:t>أ</w:t>
      </w:r>
      <w:r w:rsidR="00644408" w:rsidRPr="00904FCB">
        <w:rPr>
          <w:rFonts w:ascii="Tahoma" w:hAnsi="Tahoma"/>
          <w:sz w:val="27"/>
          <w:rtl/>
          <w:lang w:bidi="fa-IR"/>
        </w:rPr>
        <w:t xml:space="preserve">حكامها </w:t>
      </w:r>
      <w:r w:rsidR="00FD3BB1" w:rsidRPr="00904FCB">
        <w:rPr>
          <w:rFonts w:ascii="Tahoma" w:hAnsi="Tahoma" w:hint="cs"/>
          <w:sz w:val="27"/>
          <w:rtl/>
          <w:lang w:bidi="fa-IR"/>
        </w:rPr>
        <w:t>إ</w:t>
      </w:r>
      <w:r w:rsidR="00644408" w:rsidRPr="00904FCB">
        <w:rPr>
          <w:rFonts w:ascii="Tahoma" w:hAnsi="Tahoma"/>
          <w:sz w:val="27"/>
          <w:rtl/>
          <w:lang w:bidi="fa-IR"/>
        </w:rPr>
        <w:t>لى المذاهب السن</w:t>
      </w:r>
      <w:r w:rsidR="00FD3BB1" w:rsidRPr="00904FCB">
        <w:rPr>
          <w:rFonts w:ascii="Tahoma" w:hAnsi="Tahoma" w:hint="cs"/>
          <w:sz w:val="27"/>
          <w:rtl/>
          <w:lang w:bidi="fa-IR"/>
        </w:rPr>
        <w:t>ّ</w:t>
      </w:r>
      <w:r w:rsidR="00644408" w:rsidRPr="00904FCB">
        <w:rPr>
          <w:rFonts w:ascii="Tahoma" w:hAnsi="Tahoma"/>
          <w:sz w:val="27"/>
          <w:rtl/>
          <w:lang w:bidi="fa-IR"/>
        </w:rPr>
        <w:t>ية ال</w:t>
      </w:r>
      <w:r w:rsidR="00FD3BB1" w:rsidRPr="00904FCB">
        <w:rPr>
          <w:rFonts w:ascii="Tahoma" w:hAnsi="Tahoma" w:hint="cs"/>
          <w:sz w:val="27"/>
          <w:rtl/>
          <w:lang w:bidi="fa-IR"/>
        </w:rPr>
        <w:t>أ</w:t>
      </w:r>
      <w:r w:rsidR="00644408" w:rsidRPr="00904FCB">
        <w:rPr>
          <w:rFonts w:ascii="Tahoma" w:hAnsi="Tahoma"/>
          <w:sz w:val="27"/>
          <w:rtl/>
          <w:lang w:bidi="fa-IR"/>
        </w:rPr>
        <w:t>خرى، ولكن</w:t>
      </w:r>
      <w:r w:rsidR="00FD3BB1" w:rsidRPr="00904FCB">
        <w:rPr>
          <w:rFonts w:ascii="Tahoma" w:hAnsi="Tahoma" w:hint="cs"/>
          <w:sz w:val="27"/>
          <w:rtl/>
          <w:lang w:bidi="fa-IR"/>
        </w:rPr>
        <w:t>ّ</w:t>
      </w:r>
      <w:r w:rsidR="00644408" w:rsidRPr="00904FCB">
        <w:rPr>
          <w:rFonts w:ascii="Tahoma" w:hAnsi="Tahoma"/>
          <w:sz w:val="27"/>
          <w:rtl/>
          <w:lang w:bidi="fa-IR"/>
        </w:rPr>
        <w:t xml:space="preserve">ني </w:t>
      </w:r>
      <w:r w:rsidR="00FD3BB1" w:rsidRPr="00904FCB">
        <w:rPr>
          <w:rFonts w:ascii="Tahoma" w:hAnsi="Tahoma" w:hint="cs"/>
          <w:sz w:val="27"/>
          <w:rtl/>
          <w:lang w:bidi="fa-IR"/>
        </w:rPr>
        <w:t>أظ</w:t>
      </w:r>
      <w:r w:rsidR="00644408" w:rsidRPr="00904FCB">
        <w:rPr>
          <w:rFonts w:ascii="Tahoma" w:hAnsi="Tahoma"/>
          <w:sz w:val="27"/>
          <w:rtl/>
          <w:lang w:bidi="fa-IR"/>
        </w:rPr>
        <w:t>ن</w:t>
      </w:r>
      <w:r w:rsidR="00FD3BB1" w:rsidRPr="00904FCB">
        <w:rPr>
          <w:rFonts w:ascii="Tahoma" w:hAnsi="Tahoma" w:hint="cs"/>
          <w:sz w:val="27"/>
          <w:rtl/>
          <w:lang w:bidi="fa-IR"/>
        </w:rPr>
        <w:t>ّ</w:t>
      </w:r>
      <w:r w:rsidRPr="00904FCB">
        <w:rPr>
          <w:rFonts w:ascii="Tahoma" w:hAnsi="Tahoma" w:hint="cs"/>
          <w:sz w:val="27"/>
          <w:rtl/>
          <w:lang w:bidi="fa-IR"/>
        </w:rPr>
        <w:t xml:space="preserve"> أن ذلك</w:t>
      </w:r>
      <w:r w:rsidR="00644408" w:rsidRPr="00904FCB">
        <w:rPr>
          <w:rFonts w:ascii="Tahoma" w:hAnsi="Tahoma"/>
          <w:sz w:val="27"/>
          <w:rtl/>
          <w:lang w:bidi="fa-IR"/>
        </w:rPr>
        <w:t xml:space="preserve"> </w:t>
      </w:r>
      <w:r w:rsidRPr="00904FCB">
        <w:rPr>
          <w:rFonts w:ascii="Tahoma" w:hAnsi="Tahoma" w:hint="cs"/>
          <w:sz w:val="27"/>
          <w:rtl/>
          <w:lang w:bidi="fa-IR"/>
        </w:rPr>
        <w:t xml:space="preserve">كان </w:t>
      </w:r>
      <w:r w:rsidR="00644408" w:rsidRPr="00904FCB">
        <w:rPr>
          <w:rFonts w:ascii="Tahoma" w:hAnsi="Tahoma"/>
          <w:sz w:val="27"/>
          <w:rtl/>
          <w:lang w:bidi="fa-IR"/>
        </w:rPr>
        <w:t xml:space="preserve">عندما تتوافق بأحكامها مع اتجاهات المذهب الحنفي. </w:t>
      </w:r>
    </w:p>
    <w:p w:rsidR="00644408" w:rsidRPr="00904FCB" w:rsidRDefault="00644408" w:rsidP="007A21AA">
      <w:pPr>
        <w:autoSpaceDE w:val="0"/>
        <w:autoSpaceDN w:val="0"/>
        <w:adjustRightInd w:val="0"/>
        <w:spacing w:line="400" w:lineRule="exact"/>
        <w:rPr>
          <w:rFonts w:ascii="Tahoma" w:hAnsi="Tahoma"/>
          <w:sz w:val="41"/>
          <w:szCs w:val="41"/>
          <w:lang w:bidi="fa-IR"/>
        </w:rPr>
      </w:pPr>
    </w:p>
    <w:p w:rsidR="00644408" w:rsidRPr="00904FCB" w:rsidRDefault="00644408" w:rsidP="007A21AA">
      <w:pPr>
        <w:pStyle w:val="31"/>
        <w:spacing w:line="400" w:lineRule="exact"/>
        <w:rPr>
          <w:color w:val="auto"/>
          <w:lang w:bidi="fa-IR"/>
        </w:rPr>
      </w:pPr>
      <w:r w:rsidRPr="00904FCB">
        <w:rPr>
          <w:color w:val="auto"/>
          <w:rtl/>
          <w:lang w:bidi="fa-IR"/>
        </w:rPr>
        <w:t>الثاني</w:t>
      </w:r>
      <w:r w:rsidRPr="00904FCB">
        <w:rPr>
          <w:rFonts w:hint="cs"/>
          <w:color w:val="auto"/>
          <w:rtl/>
          <w:lang w:bidi="fa-IR"/>
        </w:rPr>
        <w:t>:</w:t>
      </w:r>
      <w:r w:rsidRPr="00904FCB">
        <w:rPr>
          <w:color w:val="auto"/>
          <w:rtl/>
          <w:lang w:bidi="fa-IR"/>
        </w:rPr>
        <w:t xml:space="preserve"> التوج</w:t>
      </w:r>
      <w:r w:rsidR="007D66C1" w:rsidRPr="00904FCB">
        <w:rPr>
          <w:rFonts w:hint="cs"/>
          <w:color w:val="auto"/>
          <w:rtl/>
          <w:lang w:bidi="fa-IR"/>
        </w:rPr>
        <w:t>ُّ</w:t>
      </w:r>
      <w:r w:rsidRPr="00904FCB">
        <w:rPr>
          <w:color w:val="auto"/>
          <w:rtl/>
          <w:lang w:bidi="fa-IR"/>
        </w:rPr>
        <w:t>هات المذهبي</w:t>
      </w:r>
      <w:r w:rsidR="007D66C1" w:rsidRPr="00904FCB">
        <w:rPr>
          <w:rFonts w:hint="cs"/>
          <w:color w:val="auto"/>
          <w:rtl/>
          <w:lang w:bidi="fa-IR"/>
        </w:rPr>
        <w:t>ّ</w:t>
      </w:r>
      <w:r w:rsidRPr="00904FCB">
        <w:rPr>
          <w:color w:val="auto"/>
          <w:rtl/>
          <w:lang w:bidi="fa-IR"/>
        </w:rPr>
        <w:t>ة للمجل</w:t>
      </w:r>
      <w:r w:rsidR="007D66C1" w:rsidRPr="00904FCB">
        <w:rPr>
          <w:rFonts w:hint="cs"/>
          <w:color w:val="auto"/>
          <w:rtl/>
          <w:lang w:bidi="fa-IR"/>
        </w:rPr>
        <w:t>ّ</w:t>
      </w:r>
      <w:r w:rsidRPr="00904FCB">
        <w:rPr>
          <w:color w:val="auto"/>
          <w:rtl/>
          <w:lang w:bidi="fa-IR"/>
        </w:rPr>
        <w:t xml:space="preserve">ة </w:t>
      </w:r>
    </w:p>
    <w:p w:rsidR="00644408" w:rsidRPr="00904FCB" w:rsidRDefault="00644408" w:rsidP="00963E93">
      <w:pPr>
        <w:autoSpaceDE w:val="0"/>
        <w:autoSpaceDN w:val="0"/>
        <w:adjustRightInd w:val="0"/>
        <w:spacing w:line="400" w:lineRule="exact"/>
        <w:ind w:firstLine="561"/>
        <w:rPr>
          <w:rFonts w:ascii="Tahoma" w:hAnsi="Tahoma"/>
          <w:sz w:val="27"/>
          <w:lang w:bidi="fa-IR"/>
        </w:rPr>
      </w:pPr>
      <w:r w:rsidRPr="00904FCB">
        <w:rPr>
          <w:rFonts w:ascii="Tahoma" w:hAnsi="Tahoma"/>
          <w:sz w:val="27"/>
          <w:rtl/>
          <w:lang w:bidi="fa-IR"/>
        </w:rPr>
        <w:t>تأث</w:t>
      </w:r>
      <w:r w:rsidR="007D66C1" w:rsidRPr="00904FCB">
        <w:rPr>
          <w:rFonts w:ascii="Tahoma" w:hAnsi="Tahoma" w:hint="cs"/>
          <w:sz w:val="27"/>
          <w:rtl/>
          <w:lang w:bidi="fa-IR"/>
        </w:rPr>
        <w:t>َّ</w:t>
      </w:r>
      <w:r w:rsidRPr="00904FCB">
        <w:rPr>
          <w:rFonts w:ascii="Tahoma" w:hAnsi="Tahoma"/>
          <w:sz w:val="27"/>
          <w:rtl/>
          <w:lang w:bidi="fa-IR"/>
        </w:rPr>
        <w:t>رت المجلة بالاتجاه السياسي للدولة التي اع</w:t>
      </w:r>
      <w:r w:rsidR="007D66C1" w:rsidRPr="00904FCB">
        <w:rPr>
          <w:rFonts w:ascii="Tahoma" w:hAnsi="Tahoma" w:hint="cs"/>
          <w:sz w:val="27"/>
          <w:rtl/>
          <w:lang w:bidi="fa-IR"/>
        </w:rPr>
        <w:t>ت</w:t>
      </w:r>
      <w:r w:rsidR="007D66C1" w:rsidRPr="00904FCB">
        <w:rPr>
          <w:rFonts w:ascii="Tahoma" w:hAnsi="Tahoma"/>
          <w:sz w:val="27"/>
          <w:rtl/>
          <w:lang w:bidi="fa-IR"/>
        </w:rPr>
        <w:t>م</w:t>
      </w:r>
      <w:r w:rsidRPr="00904FCB">
        <w:rPr>
          <w:rFonts w:ascii="Tahoma" w:hAnsi="Tahoma"/>
          <w:sz w:val="27"/>
          <w:rtl/>
          <w:lang w:bidi="fa-IR"/>
        </w:rPr>
        <w:t>دتها</w:t>
      </w:r>
      <w:r w:rsidR="007D66C1" w:rsidRPr="00904FCB">
        <w:rPr>
          <w:rFonts w:ascii="Tahoma" w:hAnsi="Tahoma" w:hint="cs"/>
          <w:sz w:val="27"/>
          <w:rtl/>
          <w:lang w:bidi="fa-IR"/>
        </w:rPr>
        <w:t>.</w:t>
      </w:r>
      <w:r w:rsidRPr="00904FCB">
        <w:rPr>
          <w:rFonts w:ascii="Tahoma" w:hAnsi="Tahoma"/>
          <w:sz w:val="27"/>
          <w:rtl/>
          <w:lang w:bidi="fa-IR"/>
        </w:rPr>
        <w:t xml:space="preserve"> وما</w:t>
      </w:r>
      <w:r w:rsidR="007D66C1" w:rsidRPr="00904FCB">
        <w:rPr>
          <w:rFonts w:ascii="Tahoma" w:hAnsi="Tahoma" w:hint="cs"/>
          <w:sz w:val="27"/>
          <w:rtl/>
          <w:lang w:bidi="fa-IR"/>
        </w:rPr>
        <w:t xml:space="preserve"> </w:t>
      </w:r>
      <w:r w:rsidRPr="00904FCB">
        <w:rPr>
          <w:rFonts w:ascii="Tahoma" w:hAnsi="Tahoma"/>
          <w:sz w:val="27"/>
          <w:rtl/>
          <w:lang w:bidi="fa-IR"/>
        </w:rPr>
        <w:t>دامت الدولة تتبن</w:t>
      </w:r>
      <w:r w:rsidR="007D66C1" w:rsidRPr="00904FCB">
        <w:rPr>
          <w:rFonts w:ascii="Tahoma" w:hAnsi="Tahoma" w:hint="cs"/>
          <w:sz w:val="27"/>
          <w:rtl/>
          <w:lang w:bidi="fa-IR"/>
        </w:rPr>
        <w:t>ّ</w:t>
      </w:r>
      <w:r w:rsidRPr="00904FCB">
        <w:rPr>
          <w:rFonts w:ascii="Tahoma" w:hAnsi="Tahoma"/>
          <w:sz w:val="27"/>
          <w:rtl/>
          <w:lang w:bidi="fa-IR"/>
        </w:rPr>
        <w:t>ى المذهب الحنفي اقتصرت مواد</w:t>
      </w:r>
      <w:r w:rsidR="007D66C1" w:rsidRPr="00904FCB">
        <w:rPr>
          <w:rFonts w:ascii="Tahoma" w:hAnsi="Tahoma" w:hint="cs"/>
          <w:sz w:val="27"/>
          <w:rtl/>
          <w:lang w:bidi="fa-IR"/>
        </w:rPr>
        <w:t>ّ</w:t>
      </w:r>
      <w:r w:rsidRPr="00904FCB">
        <w:rPr>
          <w:rFonts w:ascii="Tahoma" w:hAnsi="Tahoma"/>
          <w:sz w:val="27"/>
          <w:rtl/>
          <w:lang w:bidi="fa-IR"/>
        </w:rPr>
        <w:t>ها القانونية على اتجاه المذهب الحنفي و</w:t>
      </w:r>
      <w:r w:rsidR="007D66C1" w:rsidRPr="00904FCB">
        <w:rPr>
          <w:rFonts w:ascii="Tahoma" w:hAnsi="Tahoma" w:hint="cs"/>
          <w:sz w:val="27"/>
          <w:rtl/>
          <w:lang w:bidi="fa-IR"/>
        </w:rPr>
        <w:t>أ</w:t>
      </w:r>
      <w:r w:rsidRPr="00904FCB">
        <w:rPr>
          <w:rFonts w:ascii="Tahoma" w:hAnsi="Tahoma"/>
          <w:sz w:val="27"/>
          <w:rtl/>
          <w:lang w:bidi="fa-IR"/>
        </w:rPr>
        <w:t>حكامه، مم</w:t>
      </w:r>
      <w:r w:rsidR="007D66C1" w:rsidRPr="00904FCB">
        <w:rPr>
          <w:rFonts w:ascii="Tahoma" w:hAnsi="Tahoma" w:hint="cs"/>
          <w:sz w:val="27"/>
          <w:rtl/>
          <w:lang w:bidi="fa-IR"/>
        </w:rPr>
        <w:t>ّ</w:t>
      </w:r>
      <w:r w:rsidRPr="00904FCB">
        <w:rPr>
          <w:rFonts w:ascii="Tahoma" w:hAnsi="Tahoma"/>
          <w:sz w:val="27"/>
          <w:rtl/>
          <w:lang w:bidi="fa-IR"/>
        </w:rPr>
        <w:t>ا يؤث</w:t>
      </w:r>
      <w:r w:rsidR="007D66C1" w:rsidRPr="00904FCB">
        <w:rPr>
          <w:rFonts w:ascii="Tahoma" w:hAnsi="Tahoma" w:hint="cs"/>
          <w:sz w:val="27"/>
          <w:rtl/>
          <w:lang w:bidi="fa-IR"/>
        </w:rPr>
        <w:t>ِّ</w:t>
      </w:r>
      <w:r w:rsidRPr="00904FCB">
        <w:rPr>
          <w:rFonts w:ascii="Tahoma" w:hAnsi="Tahoma"/>
          <w:sz w:val="27"/>
          <w:rtl/>
          <w:lang w:bidi="fa-IR"/>
        </w:rPr>
        <w:t>ر في المنهج الفقهي الدقيق الذي لا</w:t>
      </w:r>
      <w:r w:rsidR="007D66C1" w:rsidRPr="00904FCB">
        <w:rPr>
          <w:rFonts w:ascii="Tahoma" w:hAnsi="Tahoma" w:hint="cs"/>
          <w:sz w:val="27"/>
          <w:rtl/>
          <w:lang w:bidi="fa-IR"/>
        </w:rPr>
        <w:t xml:space="preserve"> </w:t>
      </w:r>
      <w:r w:rsidRPr="00904FCB">
        <w:rPr>
          <w:rFonts w:ascii="Tahoma" w:hAnsi="Tahoma"/>
          <w:sz w:val="27"/>
          <w:rtl/>
          <w:lang w:bidi="fa-IR"/>
        </w:rPr>
        <w:t>ي</w:t>
      </w:r>
      <w:r w:rsidR="007D66C1" w:rsidRPr="00904FCB">
        <w:rPr>
          <w:rFonts w:ascii="Tahoma" w:hAnsi="Tahoma" w:hint="cs"/>
          <w:sz w:val="27"/>
          <w:rtl/>
          <w:lang w:bidi="fa-IR"/>
        </w:rPr>
        <w:t>ح</w:t>
      </w:r>
      <w:r w:rsidRPr="00904FCB">
        <w:rPr>
          <w:rFonts w:ascii="Tahoma" w:hAnsi="Tahoma"/>
          <w:sz w:val="27"/>
          <w:rtl/>
          <w:lang w:bidi="fa-IR"/>
        </w:rPr>
        <w:t xml:space="preserve">تكم </w:t>
      </w:r>
      <w:r w:rsidR="007D66C1" w:rsidRPr="00904FCB">
        <w:rPr>
          <w:rFonts w:ascii="Tahoma" w:hAnsi="Tahoma" w:hint="cs"/>
          <w:sz w:val="27"/>
          <w:rtl/>
          <w:lang w:bidi="fa-IR"/>
        </w:rPr>
        <w:t>إ</w:t>
      </w:r>
      <w:r w:rsidRPr="00904FCB">
        <w:rPr>
          <w:rFonts w:ascii="Tahoma" w:hAnsi="Tahoma"/>
          <w:sz w:val="27"/>
          <w:rtl/>
          <w:lang w:bidi="fa-IR"/>
        </w:rPr>
        <w:t>لى أي</w:t>
      </w:r>
      <w:r w:rsidR="007D66C1" w:rsidRPr="00904FCB">
        <w:rPr>
          <w:rFonts w:ascii="Tahoma" w:hAnsi="Tahoma" w:hint="cs"/>
          <w:sz w:val="27"/>
          <w:rtl/>
          <w:lang w:bidi="fa-IR"/>
        </w:rPr>
        <w:t>ّ</w:t>
      </w:r>
      <w:r w:rsidRPr="00904FCB">
        <w:rPr>
          <w:rFonts w:ascii="Tahoma" w:hAnsi="Tahoma"/>
          <w:sz w:val="27"/>
          <w:rtl/>
          <w:lang w:bidi="fa-IR"/>
        </w:rPr>
        <w:t xml:space="preserve"> اتجاه سياسي او اجتماعي... ف</w:t>
      </w:r>
      <w:r w:rsidR="007D66C1" w:rsidRPr="00904FCB">
        <w:rPr>
          <w:rFonts w:ascii="Tahoma" w:hAnsi="Tahoma" w:hint="cs"/>
          <w:sz w:val="27"/>
          <w:rtl/>
          <w:lang w:bidi="fa-IR"/>
        </w:rPr>
        <w:t>إ</w:t>
      </w:r>
      <w:r w:rsidRPr="00904FCB">
        <w:rPr>
          <w:rFonts w:ascii="Tahoma" w:hAnsi="Tahoma"/>
          <w:sz w:val="27"/>
          <w:rtl/>
          <w:lang w:bidi="fa-IR"/>
        </w:rPr>
        <w:t>ن النظام القضائي في ال</w:t>
      </w:r>
      <w:r w:rsidR="007D66C1" w:rsidRPr="00904FCB">
        <w:rPr>
          <w:rFonts w:ascii="Tahoma" w:hAnsi="Tahoma" w:hint="cs"/>
          <w:sz w:val="27"/>
          <w:rtl/>
          <w:lang w:bidi="fa-IR"/>
        </w:rPr>
        <w:t>إ</w:t>
      </w:r>
      <w:r w:rsidRPr="00904FCB">
        <w:rPr>
          <w:rFonts w:ascii="Tahoma" w:hAnsi="Tahoma"/>
          <w:sz w:val="27"/>
          <w:rtl/>
          <w:lang w:bidi="fa-IR"/>
        </w:rPr>
        <w:t>سلام لا</w:t>
      </w:r>
      <w:r w:rsidR="007D66C1" w:rsidRPr="00904FCB">
        <w:rPr>
          <w:rFonts w:ascii="Tahoma" w:hAnsi="Tahoma" w:hint="cs"/>
          <w:sz w:val="27"/>
          <w:rtl/>
          <w:lang w:bidi="fa-IR"/>
        </w:rPr>
        <w:t xml:space="preserve"> </w:t>
      </w:r>
      <w:r w:rsidRPr="00904FCB">
        <w:rPr>
          <w:rFonts w:ascii="Tahoma" w:hAnsi="Tahoma"/>
          <w:sz w:val="27"/>
          <w:rtl/>
          <w:lang w:bidi="fa-IR"/>
        </w:rPr>
        <w:t>يخد</w:t>
      </w:r>
      <w:r w:rsidR="007D66C1" w:rsidRPr="00904FCB">
        <w:rPr>
          <w:rFonts w:ascii="Tahoma" w:hAnsi="Tahoma" w:hint="cs"/>
          <w:sz w:val="27"/>
          <w:rtl/>
          <w:lang w:bidi="fa-IR"/>
        </w:rPr>
        <w:t>م</w:t>
      </w:r>
      <w:r w:rsidRPr="00904FCB">
        <w:rPr>
          <w:rFonts w:ascii="Tahoma" w:hAnsi="Tahoma"/>
          <w:sz w:val="27"/>
          <w:rtl/>
          <w:lang w:bidi="fa-IR"/>
        </w:rPr>
        <w:t xml:space="preserve"> الفلسفات الوضعية</w:t>
      </w:r>
      <w:r w:rsidR="007D66C1" w:rsidRPr="00904FCB">
        <w:rPr>
          <w:rFonts w:ascii="Tahoma" w:hAnsi="Tahoma" w:hint="cs"/>
          <w:sz w:val="27"/>
          <w:rtl/>
          <w:lang w:bidi="fa-IR"/>
        </w:rPr>
        <w:t>،</w:t>
      </w:r>
      <w:r w:rsidRPr="00904FCB">
        <w:rPr>
          <w:rFonts w:ascii="Tahoma" w:hAnsi="Tahoma"/>
          <w:sz w:val="27"/>
          <w:rtl/>
          <w:lang w:bidi="fa-IR"/>
        </w:rPr>
        <w:t xml:space="preserve"> ولا مطامع الحكام </w:t>
      </w:r>
      <w:r w:rsidR="007D66C1" w:rsidRPr="00904FCB">
        <w:rPr>
          <w:rFonts w:ascii="Tahoma" w:hAnsi="Tahoma" w:hint="cs"/>
          <w:sz w:val="27"/>
          <w:rtl/>
          <w:lang w:bidi="fa-IR"/>
        </w:rPr>
        <w:t>أ</w:t>
      </w:r>
      <w:r w:rsidRPr="00904FCB">
        <w:rPr>
          <w:rFonts w:ascii="Tahoma" w:hAnsi="Tahoma"/>
          <w:sz w:val="27"/>
          <w:rtl/>
          <w:lang w:bidi="fa-IR"/>
        </w:rPr>
        <w:t>و سلطاتهم</w:t>
      </w:r>
      <w:r w:rsidR="007D66C1" w:rsidRPr="00904FCB">
        <w:rPr>
          <w:rFonts w:ascii="Tahoma" w:hAnsi="Tahoma" w:hint="cs"/>
          <w:sz w:val="27"/>
          <w:rtl/>
          <w:lang w:bidi="fa-IR"/>
        </w:rPr>
        <w:t>،</w:t>
      </w:r>
      <w:r w:rsidRPr="00904FCB">
        <w:rPr>
          <w:rFonts w:ascii="Tahoma" w:hAnsi="Tahoma"/>
          <w:sz w:val="27"/>
          <w:rtl/>
          <w:lang w:bidi="fa-IR"/>
        </w:rPr>
        <w:t xml:space="preserve"> بل على العكس من ذلك </w:t>
      </w:r>
      <w:r w:rsidR="007D66C1" w:rsidRPr="00904FCB">
        <w:rPr>
          <w:rFonts w:ascii="Tahoma" w:hAnsi="Tahoma" w:hint="cs"/>
          <w:sz w:val="27"/>
          <w:rtl/>
          <w:lang w:bidi="fa-IR"/>
        </w:rPr>
        <w:t>هو</w:t>
      </w:r>
      <w:r w:rsidRPr="00904FCB">
        <w:rPr>
          <w:rFonts w:ascii="Tahoma" w:hAnsi="Tahoma"/>
          <w:sz w:val="27"/>
          <w:rtl/>
          <w:lang w:bidi="fa-IR"/>
        </w:rPr>
        <w:t xml:space="preserve"> يحد</w:t>
      </w:r>
      <w:r w:rsidR="007D66C1" w:rsidRPr="00904FCB">
        <w:rPr>
          <w:rFonts w:ascii="Tahoma" w:hAnsi="Tahoma" w:hint="cs"/>
          <w:sz w:val="27"/>
          <w:rtl/>
          <w:lang w:bidi="fa-IR"/>
        </w:rPr>
        <w:t>ّ</w:t>
      </w:r>
      <w:r w:rsidRPr="00904FCB">
        <w:rPr>
          <w:rFonts w:ascii="Tahoma" w:hAnsi="Tahoma"/>
          <w:sz w:val="27"/>
          <w:rtl/>
          <w:lang w:bidi="fa-IR"/>
        </w:rPr>
        <w:t xml:space="preserve"> من سلطتهم</w:t>
      </w:r>
      <w:r w:rsidR="007D66C1" w:rsidRPr="00904FCB">
        <w:rPr>
          <w:rFonts w:ascii="Tahoma" w:hAnsi="Tahoma" w:hint="cs"/>
          <w:sz w:val="27"/>
          <w:rtl/>
          <w:lang w:bidi="fa-IR"/>
        </w:rPr>
        <w:t>؛</w:t>
      </w:r>
      <w:r w:rsidRPr="00904FCB">
        <w:rPr>
          <w:rFonts w:ascii="Tahoma" w:hAnsi="Tahoma"/>
          <w:sz w:val="27"/>
          <w:rtl/>
          <w:lang w:bidi="fa-IR"/>
        </w:rPr>
        <w:t xml:space="preserve"> توخ</w:t>
      </w:r>
      <w:r w:rsidR="007D66C1" w:rsidRPr="00904FCB">
        <w:rPr>
          <w:rFonts w:ascii="Tahoma" w:hAnsi="Tahoma" w:hint="cs"/>
          <w:sz w:val="27"/>
          <w:rtl/>
          <w:lang w:bidi="fa-IR"/>
        </w:rPr>
        <w:t>ّ</w:t>
      </w:r>
      <w:r w:rsidRPr="00904FCB">
        <w:rPr>
          <w:rFonts w:ascii="Tahoma" w:hAnsi="Tahoma"/>
          <w:sz w:val="27"/>
          <w:rtl/>
          <w:lang w:bidi="fa-IR"/>
        </w:rPr>
        <w:t>يا</w:t>
      </w:r>
      <w:r w:rsidR="007D66C1" w:rsidRPr="00904FCB">
        <w:rPr>
          <w:rFonts w:ascii="Tahoma" w:hAnsi="Tahoma" w:hint="cs"/>
          <w:sz w:val="27"/>
          <w:rtl/>
          <w:lang w:bidi="fa-IR"/>
        </w:rPr>
        <w:t>ً</w:t>
      </w:r>
      <w:r w:rsidRPr="00904FCB">
        <w:rPr>
          <w:rFonts w:ascii="Tahoma" w:hAnsi="Tahoma"/>
          <w:sz w:val="27"/>
          <w:rtl/>
          <w:lang w:bidi="fa-IR"/>
        </w:rPr>
        <w:t xml:space="preserve"> للعدالة</w:t>
      </w:r>
      <w:r w:rsidR="007D66C1" w:rsidRPr="00904FCB">
        <w:rPr>
          <w:rFonts w:ascii="Tahoma" w:hAnsi="Tahoma" w:hint="cs"/>
          <w:sz w:val="27"/>
          <w:rtl/>
          <w:lang w:bidi="fa-IR"/>
        </w:rPr>
        <w:t>.</w:t>
      </w:r>
      <w:r w:rsidRPr="00904FCB">
        <w:rPr>
          <w:rFonts w:ascii="Tahoma" w:hAnsi="Tahoma"/>
          <w:sz w:val="27"/>
          <w:rtl/>
          <w:lang w:bidi="fa-IR"/>
        </w:rPr>
        <w:t xml:space="preserve"> ثم </w:t>
      </w:r>
      <w:r w:rsidR="007D66C1" w:rsidRPr="00904FCB">
        <w:rPr>
          <w:rFonts w:ascii="Tahoma" w:hAnsi="Tahoma" w:hint="cs"/>
          <w:sz w:val="27"/>
          <w:rtl/>
          <w:lang w:bidi="fa-IR"/>
        </w:rPr>
        <w:t>إ</w:t>
      </w:r>
      <w:r w:rsidRPr="00904FCB">
        <w:rPr>
          <w:rFonts w:ascii="Tahoma" w:hAnsi="Tahoma"/>
          <w:sz w:val="27"/>
          <w:rtl/>
          <w:lang w:bidi="fa-IR"/>
        </w:rPr>
        <w:t>ن الاستجابة للتطبيق وفق مذهب واحد في عالم</w:t>
      </w:r>
      <w:r w:rsidR="005E354C" w:rsidRPr="00904FCB">
        <w:rPr>
          <w:rFonts w:ascii="Tahoma" w:hAnsi="Tahoma" w:hint="cs"/>
          <w:sz w:val="27"/>
          <w:rtl/>
          <w:lang w:bidi="fa-IR"/>
        </w:rPr>
        <w:t>ٍ</w:t>
      </w:r>
      <w:r w:rsidRPr="00904FCB">
        <w:rPr>
          <w:rFonts w:ascii="Tahoma" w:hAnsi="Tahoma"/>
          <w:sz w:val="27"/>
          <w:rtl/>
          <w:lang w:bidi="fa-IR"/>
        </w:rPr>
        <w:t xml:space="preserve"> تتناوله المذاهب والطوائف تكون ضعيفة، ال</w:t>
      </w:r>
      <w:r w:rsidR="005E354C" w:rsidRPr="00904FCB">
        <w:rPr>
          <w:rFonts w:ascii="Tahoma" w:hAnsi="Tahoma" w:hint="cs"/>
          <w:sz w:val="27"/>
          <w:rtl/>
          <w:lang w:bidi="fa-IR"/>
        </w:rPr>
        <w:t>أ</w:t>
      </w:r>
      <w:r w:rsidRPr="00904FCB">
        <w:rPr>
          <w:rFonts w:ascii="Tahoma" w:hAnsi="Tahoma"/>
          <w:sz w:val="27"/>
          <w:rtl/>
          <w:lang w:bidi="fa-IR"/>
        </w:rPr>
        <w:t>مر الذي دعا العاملين في الفقه من المذاهب ال</w:t>
      </w:r>
      <w:r w:rsidR="005E354C" w:rsidRPr="00904FCB">
        <w:rPr>
          <w:rFonts w:ascii="Tahoma" w:hAnsi="Tahoma" w:hint="cs"/>
          <w:sz w:val="27"/>
          <w:rtl/>
          <w:lang w:bidi="fa-IR"/>
        </w:rPr>
        <w:t>إ</w:t>
      </w:r>
      <w:r w:rsidRPr="00904FCB">
        <w:rPr>
          <w:rFonts w:ascii="Tahoma" w:hAnsi="Tahoma"/>
          <w:sz w:val="27"/>
          <w:rtl/>
          <w:lang w:bidi="fa-IR"/>
        </w:rPr>
        <w:t>سلامية ال</w:t>
      </w:r>
      <w:r w:rsidR="005E354C" w:rsidRPr="00904FCB">
        <w:rPr>
          <w:rFonts w:ascii="Tahoma" w:hAnsi="Tahoma" w:hint="cs"/>
          <w:sz w:val="27"/>
          <w:rtl/>
          <w:lang w:bidi="fa-IR"/>
        </w:rPr>
        <w:t>أ</w:t>
      </w:r>
      <w:r w:rsidRPr="00904FCB">
        <w:rPr>
          <w:rFonts w:ascii="Tahoma" w:hAnsi="Tahoma"/>
          <w:sz w:val="27"/>
          <w:rtl/>
          <w:lang w:bidi="fa-IR"/>
        </w:rPr>
        <w:t>خرى، وكذلك رجال القانون الوضعي</w:t>
      </w:r>
      <w:r w:rsidR="005E354C" w:rsidRPr="00904FCB">
        <w:rPr>
          <w:rFonts w:ascii="Tahoma" w:hAnsi="Tahoma" w:hint="cs"/>
          <w:sz w:val="27"/>
          <w:rtl/>
          <w:lang w:bidi="fa-IR"/>
        </w:rPr>
        <w:t>،</w:t>
      </w:r>
      <w:r w:rsidRPr="00904FCB">
        <w:rPr>
          <w:rFonts w:ascii="Tahoma" w:hAnsi="Tahoma"/>
          <w:sz w:val="27"/>
          <w:rtl/>
          <w:lang w:bidi="fa-IR"/>
        </w:rPr>
        <w:t xml:space="preserve"> </w:t>
      </w:r>
      <w:r w:rsidR="005E354C" w:rsidRPr="00904FCB">
        <w:rPr>
          <w:rFonts w:ascii="Tahoma" w:hAnsi="Tahoma" w:hint="cs"/>
          <w:sz w:val="27"/>
          <w:rtl/>
          <w:lang w:bidi="fa-IR"/>
        </w:rPr>
        <w:t>إلى مراجعة</w:t>
      </w:r>
      <w:r w:rsidRPr="00904FCB">
        <w:rPr>
          <w:rFonts w:ascii="Tahoma" w:hAnsi="Tahoma"/>
          <w:sz w:val="27"/>
          <w:rtl/>
          <w:lang w:bidi="fa-IR"/>
        </w:rPr>
        <w:t xml:space="preserve"> بعض الأحكام والمواد التي ورد</w:t>
      </w:r>
      <w:r w:rsidR="005E354C" w:rsidRPr="00904FCB">
        <w:rPr>
          <w:rFonts w:ascii="Tahoma" w:hAnsi="Tahoma" w:hint="cs"/>
          <w:sz w:val="27"/>
          <w:rtl/>
          <w:lang w:bidi="fa-IR"/>
        </w:rPr>
        <w:t>ت</w:t>
      </w:r>
      <w:r w:rsidRPr="00904FCB">
        <w:rPr>
          <w:rFonts w:ascii="Tahoma" w:hAnsi="Tahoma"/>
          <w:sz w:val="27"/>
          <w:rtl/>
          <w:lang w:bidi="fa-IR"/>
        </w:rPr>
        <w:t xml:space="preserve"> فيها</w:t>
      </w:r>
      <w:r w:rsidR="005E354C" w:rsidRPr="00904FCB">
        <w:rPr>
          <w:rFonts w:ascii="Tahoma" w:hAnsi="Tahoma" w:hint="cs"/>
          <w:sz w:val="27"/>
          <w:rtl/>
          <w:lang w:bidi="fa-IR"/>
        </w:rPr>
        <w:t>،</w:t>
      </w:r>
      <w:r w:rsidRPr="00904FCB">
        <w:rPr>
          <w:rFonts w:ascii="Tahoma" w:hAnsi="Tahoma"/>
          <w:sz w:val="27"/>
          <w:rtl/>
          <w:lang w:bidi="fa-IR"/>
        </w:rPr>
        <w:t xml:space="preserve"> ف</w:t>
      </w:r>
      <w:r w:rsidR="005E354C" w:rsidRPr="00904FCB">
        <w:rPr>
          <w:rFonts w:ascii="Tahoma" w:hAnsi="Tahoma" w:hint="cs"/>
          <w:sz w:val="27"/>
          <w:rtl/>
          <w:lang w:bidi="fa-IR"/>
        </w:rPr>
        <w:t>أ</w:t>
      </w:r>
      <w:r w:rsidRPr="00904FCB">
        <w:rPr>
          <w:rFonts w:ascii="Tahoma" w:hAnsi="Tahoma"/>
          <w:sz w:val="27"/>
          <w:rtl/>
          <w:lang w:bidi="fa-IR"/>
        </w:rPr>
        <w:t>ل</w:t>
      </w:r>
      <w:r w:rsidR="005E354C" w:rsidRPr="00904FCB">
        <w:rPr>
          <w:rFonts w:ascii="Tahoma" w:hAnsi="Tahoma" w:hint="cs"/>
          <w:sz w:val="27"/>
          <w:rtl/>
          <w:lang w:bidi="fa-IR"/>
        </w:rPr>
        <w:t>ّ</w:t>
      </w:r>
      <w:r w:rsidRPr="00904FCB">
        <w:rPr>
          <w:rFonts w:ascii="Tahoma" w:hAnsi="Tahoma"/>
          <w:sz w:val="27"/>
          <w:rtl/>
          <w:lang w:bidi="fa-IR"/>
        </w:rPr>
        <w:t>ف الشيخ محمد قدوري باشا كتابا</w:t>
      </w:r>
      <w:r w:rsidR="005E354C" w:rsidRPr="00904FCB">
        <w:rPr>
          <w:rFonts w:ascii="Tahoma" w:hAnsi="Tahoma" w:hint="cs"/>
          <w:sz w:val="27"/>
          <w:rtl/>
          <w:lang w:bidi="fa-IR"/>
        </w:rPr>
        <w:t>ً</w:t>
      </w:r>
      <w:r w:rsidRPr="00904FCB">
        <w:rPr>
          <w:rFonts w:ascii="Tahoma" w:hAnsi="Tahoma"/>
          <w:sz w:val="27"/>
          <w:rtl/>
          <w:lang w:bidi="fa-IR"/>
        </w:rPr>
        <w:t xml:space="preserve"> </w:t>
      </w:r>
      <w:r w:rsidR="005E354C" w:rsidRPr="00904FCB">
        <w:rPr>
          <w:rFonts w:ascii="Tahoma" w:hAnsi="Tahoma" w:hint="cs"/>
          <w:sz w:val="27"/>
          <w:rtl/>
          <w:lang w:bidi="fa-IR"/>
        </w:rPr>
        <w:t>أ</w:t>
      </w:r>
      <w:r w:rsidRPr="00904FCB">
        <w:rPr>
          <w:rFonts w:ascii="Tahoma" w:hAnsi="Tahoma"/>
          <w:sz w:val="27"/>
          <w:rtl/>
          <w:lang w:bidi="fa-IR"/>
        </w:rPr>
        <w:t>طلق علي</w:t>
      </w:r>
      <w:r w:rsidR="005E354C" w:rsidRPr="00904FCB">
        <w:rPr>
          <w:rFonts w:ascii="Tahoma" w:hAnsi="Tahoma" w:hint="cs"/>
          <w:sz w:val="27"/>
          <w:rtl/>
          <w:lang w:bidi="fa-IR"/>
        </w:rPr>
        <w:t>ه</w:t>
      </w:r>
      <w:r w:rsidRPr="00904FCB">
        <w:rPr>
          <w:rFonts w:ascii="Tahoma" w:hAnsi="Tahoma"/>
          <w:sz w:val="27"/>
          <w:rtl/>
          <w:lang w:bidi="fa-IR"/>
        </w:rPr>
        <w:t xml:space="preserve"> </w:t>
      </w:r>
      <w:r w:rsidR="005E354C" w:rsidRPr="00904FCB">
        <w:rPr>
          <w:rFonts w:ascii="Tahoma" w:hAnsi="Tahoma" w:hint="cs"/>
          <w:sz w:val="27"/>
          <w:rtl/>
          <w:lang w:bidi="fa-IR"/>
        </w:rPr>
        <w:t xml:space="preserve">اسم </w:t>
      </w:r>
      <w:r w:rsidRPr="00904FCB">
        <w:rPr>
          <w:rFonts w:ascii="Tahoma" w:hAnsi="Tahoma"/>
          <w:sz w:val="27"/>
          <w:rtl/>
          <w:lang w:bidi="fa-IR"/>
        </w:rPr>
        <w:t xml:space="preserve">(مرشد الحيران </w:t>
      </w:r>
      <w:r w:rsidR="005E354C" w:rsidRPr="00904FCB">
        <w:rPr>
          <w:rFonts w:ascii="Tahoma" w:hAnsi="Tahoma" w:hint="cs"/>
          <w:sz w:val="27"/>
          <w:rtl/>
          <w:lang w:bidi="fa-IR"/>
        </w:rPr>
        <w:t>إ</w:t>
      </w:r>
      <w:r w:rsidRPr="00904FCB">
        <w:rPr>
          <w:rFonts w:ascii="Tahoma" w:hAnsi="Tahoma"/>
          <w:sz w:val="27"/>
          <w:rtl/>
          <w:lang w:bidi="fa-IR"/>
        </w:rPr>
        <w:t xml:space="preserve">لى معرفة </w:t>
      </w:r>
      <w:r w:rsidR="005E354C" w:rsidRPr="00904FCB">
        <w:rPr>
          <w:rFonts w:ascii="Tahoma" w:hAnsi="Tahoma" w:hint="cs"/>
          <w:sz w:val="27"/>
          <w:rtl/>
          <w:lang w:bidi="fa-IR"/>
        </w:rPr>
        <w:t>أ</w:t>
      </w:r>
      <w:r w:rsidRPr="00904FCB">
        <w:rPr>
          <w:rFonts w:ascii="Tahoma" w:hAnsi="Tahoma"/>
          <w:sz w:val="27"/>
          <w:rtl/>
          <w:lang w:bidi="fa-IR"/>
        </w:rPr>
        <w:t>حوال ال</w:t>
      </w:r>
      <w:r w:rsidR="005E354C" w:rsidRPr="00904FCB">
        <w:rPr>
          <w:rFonts w:ascii="Tahoma" w:hAnsi="Tahoma" w:hint="cs"/>
          <w:sz w:val="27"/>
          <w:rtl/>
          <w:lang w:bidi="fa-IR"/>
        </w:rPr>
        <w:t>إ</w:t>
      </w:r>
      <w:r w:rsidRPr="00904FCB">
        <w:rPr>
          <w:rFonts w:ascii="Tahoma" w:hAnsi="Tahoma"/>
          <w:sz w:val="27"/>
          <w:rtl/>
          <w:lang w:bidi="fa-IR"/>
        </w:rPr>
        <w:t>نسان)</w:t>
      </w:r>
      <w:r w:rsidR="005E354C" w:rsidRPr="00904FCB">
        <w:rPr>
          <w:rFonts w:ascii="Tahoma" w:hAnsi="Tahoma" w:hint="cs"/>
          <w:sz w:val="27"/>
          <w:rtl/>
          <w:lang w:bidi="fa-IR"/>
        </w:rPr>
        <w:t>،</w:t>
      </w:r>
      <w:r w:rsidRPr="00904FCB">
        <w:rPr>
          <w:rFonts w:ascii="Tahoma" w:hAnsi="Tahoma"/>
          <w:sz w:val="27"/>
          <w:rtl/>
          <w:lang w:bidi="fa-IR"/>
        </w:rPr>
        <w:t xml:space="preserve"> </w:t>
      </w:r>
      <w:r w:rsidR="00CA1FED" w:rsidRPr="00904FCB">
        <w:rPr>
          <w:rFonts w:ascii="Tahoma" w:hAnsi="Tahoma" w:hint="cs"/>
          <w:sz w:val="27"/>
          <w:rtl/>
          <w:lang w:bidi="fa-IR"/>
        </w:rPr>
        <w:t xml:space="preserve">وقد </w:t>
      </w:r>
      <w:r w:rsidRPr="00904FCB">
        <w:rPr>
          <w:rFonts w:ascii="Tahoma" w:hAnsi="Tahoma"/>
          <w:sz w:val="27"/>
          <w:rtl/>
          <w:lang w:bidi="fa-IR"/>
        </w:rPr>
        <w:t xml:space="preserve">انسجم الكتاب مع الفقه الحنفي. </w:t>
      </w:r>
    </w:p>
    <w:p w:rsidR="00644408" w:rsidRPr="00904FCB" w:rsidRDefault="00644408" w:rsidP="00963E93">
      <w:pPr>
        <w:autoSpaceDE w:val="0"/>
        <w:autoSpaceDN w:val="0"/>
        <w:adjustRightInd w:val="0"/>
        <w:spacing w:line="400" w:lineRule="exact"/>
        <w:ind w:firstLine="561"/>
        <w:rPr>
          <w:rFonts w:ascii="Tahoma" w:hAnsi="Tahoma"/>
          <w:sz w:val="27"/>
          <w:lang w:bidi="fa-IR"/>
        </w:rPr>
      </w:pPr>
      <w:r w:rsidRPr="00904FCB">
        <w:rPr>
          <w:rFonts w:ascii="Tahoma" w:hAnsi="Tahoma"/>
          <w:sz w:val="27"/>
          <w:rtl/>
          <w:lang w:bidi="fa-IR"/>
        </w:rPr>
        <w:t>و</w:t>
      </w:r>
      <w:r w:rsidR="005E354C" w:rsidRPr="00904FCB">
        <w:rPr>
          <w:rFonts w:ascii="Tahoma" w:hAnsi="Tahoma" w:hint="cs"/>
          <w:sz w:val="27"/>
          <w:rtl/>
          <w:lang w:bidi="fa-IR"/>
        </w:rPr>
        <w:t>أ</w:t>
      </w:r>
      <w:r w:rsidRPr="00904FCB">
        <w:rPr>
          <w:rFonts w:ascii="Tahoma" w:hAnsi="Tahoma"/>
          <w:sz w:val="27"/>
          <w:rtl/>
          <w:lang w:bidi="fa-IR"/>
        </w:rPr>
        <w:t>عقبه ال</w:t>
      </w:r>
      <w:r w:rsidR="005E354C" w:rsidRPr="00904FCB">
        <w:rPr>
          <w:rFonts w:ascii="Tahoma" w:hAnsi="Tahoma" w:hint="cs"/>
          <w:sz w:val="27"/>
          <w:rtl/>
          <w:lang w:bidi="fa-IR"/>
        </w:rPr>
        <w:t>أ</w:t>
      </w:r>
      <w:r w:rsidRPr="00904FCB">
        <w:rPr>
          <w:rFonts w:ascii="Tahoma" w:hAnsi="Tahoma"/>
          <w:sz w:val="27"/>
          <w:rtl/>
          <w:lang w:bidi="fa-IR"/>
        </w:rPr>
        <w:t>ستاذ الدكتور السنهوري</w:t>
      </w:r>
      <w:r w:rsidR="005E354C" w:rsidRPr="00904FCB">
        <w:rPr>
          <w:rFonts w:ascii="Tahoma" w:hAnsi="Tahoma" w:hint="cs"/>
          <w:sz w:val="27"/>
          <w:rtl/>
          <w:lang w:bidi="fa-IR"/>
        </w:rPr>
        <w:t>،</w:t>
      </w:r>
      <w:r w:rsidRPr="00904FCB">
        <w:rPr>
          <w:rFonts w:ascii="Tahoma" w:hAnsi="Tahoma"/>
          <w:sz w:val="27"/>
          <w:rtl/>
          <w:lang w:bidi="fa-IR"/>
        </w:rPr>
        <w:t xml:space="preserve"> ثم الشيخ محمد عامر</w:t>
      </w:r>
      <w:r w:rsidR="005E354C" w:rsidRPr="00904FCB">
        <w:rPr>
          <w:rFonts w:ascii="Tahoma" w:hAnsi="Tahoma" w:hint="cs"/>
          <w:sz w:val="27"/>
          <w:rtl/>
          <w:lang w:bidi="fa-IR"/>
        </w:rPr>
        <w:t>،</w:t>
      </w:r>
      <w:r w:rsidRPr="00904FCB">
        <w:rPr>
          <w:rFonts w:ascii="Tahoma" w:hAnsi="Tahoma"/>
          <w:sz w:val="27"/>
          <w:rtl/>
          <w:lang w:bidi="fa-IR"/>
        </w:rPr>
        <w:t xml:space="preserve"> الذي قنن الفقه المالكي على هيئة مواد قانونية. </w:t>
      </w:r>
    </w:p>
    <w:p w:rsidR="00644408" w:rsidRPr="00904FCB" w:rsidRDefault="00644408" w:rsidP="00963E93">
      <w:pPr>
        <w:autoSpaceDE w:val="0"/>
        <w:autoSpaceDN w:val="0"/>
        <w:adjustRightInd w:val="0"/>
        <w:spacing w:line="400" w:lineRule="exact"/>
        <w:ind w:firstLine="561"/>
        <w:rPr>
          <w:rFonts w:ascii="Tahoma" w:hAnsi="Tahoma"/>
          <w:sz w:val="27"/>
          <w:lang w:bidi="fa-IR"/>
        </w:rPr>
      </w:pPr>
      <w:r w:rsidRPr="00904FCB">
        <w:rPr>
          <w:rFonts w:ascii="Tahoma" w:hAnsi="Tahoma"/>
          <w:sz w:val="27"/>
          <w:rtl/>
          <w:lang w:bidi="fa-IR"/>
        </w:rPr>
        <w:t xml:space="preserve">وقد </w:t>
      </w:r>
      <w:r w:rsidR="005E354C" w:rsidRPr="00904FCB">
        <w:rPr>
          <w:rFonts w:ascii="Tahoma" w:hAnsi="Tahoma" w:hint="cs"/>
          <w:sz w:val="27"/>
          <w:rtl/>
          <w:lang w:bidi="fa-IR"/>
        </w:rPr>
        <w:t>أ</w:t>
      </w:r>
      <w:r w:rsidRPr="00904FCB">
        <w:rPr>
          <w:rFonts w:ascii="Tahoma" w:hAnsi="Tahoma"/>
          <w:sz w:val="27"/>
          <w:rtl/>
          <w:lang w:bidi="fa-IR"/>
        </w:rPr>
        <w:t>عقب هؤلاء المستشرق ال</w:t>
      </w:r>
      <w:r w:rsidR="005E354C" w:rsidRPr="00904FCB">
        <w:rPr>
          <w:rFonts w:ascii="Tahoma" w:hAnsi="Tahoma" w:hint="cs"/>
          <w:sz w:val="27"/>
          <w:rtl/>
          <w:lang w:bidi="fa-IR"/>
        </w:rPr>
        <w:t>إ</w:t>
      </w:r>
      <w:r w:rsidRPr="00904FCB">
        <w:rPr>
          <w:rFonts w:ascii="Tahoma" w:hAnsi="Tahoma"/>
          <w:sz w:val="27"/>
          <w:rtl/>
          <w:lang w:bidi="fa-IR"/>
        </w:rPr>
        <w:t>يطالي (سانتيلا)</w:t>
      </w:r>
      <w:r w:rsidR="005E354C" w:rsidRPr="00904FCB">
        <w:rPr>
          <w:rFonts w:ascii="Tahoma" w:hAnsi="Tahoma" w:hint="cs"/>
          <w:sz w:val="27"/>
          <w:rtl/>
          <w:lang w:bidi="fa-IR"/>
        </w:rPr>
        <w:t>،</w:t>
      </w:r>
      <w:r w:rsidRPr="00904FCB">
        <w:rPr>
          <w:rFonts w:ascii="Tahoma" w:hAnsi="Tahoma"/>
          <w:sz w:val="27"/>
          <w:rtl/>
          <w:lang w:bidi="fa-IR"/>
        </w:rPr>
        <w:t xml:space="preserve"> الذي صاغ المذهب المالكي على شكل موا</w:t>
      </w:r>
      <w:r w:rsidR="005E354C" w:rsidRPr="00904FCB">
        <w:rPr>
          <w:rFonts w:ascii="Tahoma" w:hAnsi="Tahoma" w:hint="cs"/>
          <w:sz w:val="27"/>
          <w:rtl/>
          <w:lang w:bidi="fa-IR"/>
        </w:rPr>
        <w:t xml:space="preserve">د </w:t>
      </w:r>
      <w:r w:rsidRPr="00904FCB">
        <w:rPr>
          <w:rFonts w:ascii="Tahoma" w:hAnsi="Tahoma"/>
          <w:sz w:val="27"/>
          <w:rtl/>
          <w:lang w:bidi="fa-IR"/>
        </w:rPr>
        <w:t>ق</w:t>
      </w:r>
      <w:r w:rsidR="005E354C" w:rsidRPr="00904FCB">
        <w:rPr>
          <w:rFonts w:ascii="Tahoma" w:hAnsi="Tahoma" w:hint="cs"/>
          <w:sz w:val="27"/>
          <w:rtl/>
          <w:lang w:bidi="fa-IR"/>
        </w:rPr>
        <w:t>ا</w:t>
      </w:r>
      <w:r w:rsidRPr="00904FCB">
        <w:rPr>
          <w:rFonts w:ascii="Tahoma" w:hAnsi="Tahoma"/>
          <w:sz w:val="27"/>
          <w:rtl/>
          <w:lang w:bidi="fa-IR"/>
        </w:rPr>
        <w:t>نوني</w:t>
      </w:r>
      <w:r w:rsidR="005E354C" w:rsidRPr="00904FCB">
        <w:rPr>
          <w:rFonts w:ascii="Tahoma" w:hAnsi="Tahoma" w:hint="cs"/>
          <w:sz w:val="27"/>
          <w:rtl/>
          <w:lang w:bidi="fa-IR"/>
        </w:rPr>
        <w:t>ة</w:t>
      </w:r>
      <w:r w:rsidRPr="00904FCB">
        <w:rPr>
          <w:rFonts w:ascii="Tahoma" w:hAnsi="Tahoma"/>
          <w:sz w:val="27"/>
          <w:rtl/>
          <w:lang w:bidi="fa-IR"/>
        </w:rPr>
        <w:t xml:space="preserve"> وضعها في (مجل</w:t>
      </w:r>
      <w:r w:rsidR="005E354C" w:rsidRPr="00904FCB">
        <w:rPr>
          <w:rFonts w:ascii="Tahoma" w:hAnsi="Tahoma" w:hint="cs"/>
          <w:sz w:val="27"/>
          <w:rtl/>
          <w:lang w:bidi="fa-IR"/>
        </w:rPr>
        <w:t>ّ</w:t>
      </w:r>
      <w:r w:rsidRPr="00904FCB">
        <w:rPr>
          <w:rFonts w:ascii="Tahoma" w:hAnsi="Tahoma"/>
          <w:sz w:val="27"/>
          <w:rtl/>
          <w:lang w:bidi="fa-IR"/>
        </w:rPr>
        <w:t>ة الالتزامات والعقود التونسية</w:t>
      </w:r>
      <w:r w:rsidR="00963E93">
        <w:rPr>
          <w:rFonts w:ascii="Tahoma" w:hAnsi="Tahoma" w:hint="cs"/>
          <w:sz w:val="27"/>
          <w:rtl/>
          <w:lang w:bidi="fa-IR"/>
        </w:rPr>
        <w:t>)،</w:t>
      </w:r>
      <w:r w:rsidRPr="00904FCB">
        <w:rPr>
          <w:rFonts w:ascii="Tahoma" w:hAnsi="Tahoma"/>
          <w:sz w:val="27"/>
          <w:rtl/>
          <w:lang w:bidi="fa-IR"/>
        </w:rPr>
        <w:t xml:space="preserve"> عام </w:t>
      </w:r>
      <w:r w:rsidRPr="002C04DA">
        <w:rPr>
          <w:rFonts w:ascii="Tahoma" w:hAnsi="Tahoma" w:hint="cs"/>
          <w:sz w:val="27"/>
          <w:rtl/>
          <w:lang w:bidi="ar-LB"/>
        </w:rPr>
        <w:t>1906</w:t>
      </w:r>
      <w:r w:rsidRPr="002C04DA">
        <w:rPr>
          <w:rFonts w:ascii="Tahoma" w:hAnsi="Tahoma"/>
          <w:sz w:val="27"/>
          <w:rtl/>
          <w:lang w:bidi="fa-IR"/>
        </w:rPr>
        <w:t>م</w:t>
      </w:r>
      <w:r w:rsidRPr="00904FCB">
        <w:rPr>
          <w:rFonts w:ascii="Tahoma" w:hAnsi="Tahoma"/>
          <w:sz w:val="27"/>
          <w:rtl/>
          <w:lang w:bidi="fa-IR"/>
        </w:rPr>
        <w:t xml:space="preserve">. </w:t>
      </w:r>
    </w:p>
    <w:p w:rsidR="00644408" w:rsidRPr="00904FCB" w:rsidRDefault="00644408" w:rsidP="00963E93">
      <w:pPr>
        <w:autoSpaceDE w:val="0"/>
        <w:autoSpaceDN w:val="0"/>
        <w:adjustRightInd w:val="0"/>
        <w:spacing w:line="400" w:lineRule="exact"/>
        <w:ind w:firstLine="561"/>
        <w:rPr>
          <w:rFonts w:ascii="Tahoma" w:hAnsi="Tahoma"/>
          <w:sz w:val="27"/>
          <w:rtl/>
          <w:lang w:bidi="fa-IR"/>
        </w:rPr>
      </w:pPr>
      <w:r w:rsidRPr="00904FCB">
        <w:rPr>
          <w:rFonts w:ascii="Tahoma" w:hAnsi="Tahoma"/>
          <w:sz w:val="27"/>
          <w:rtl/>
          <w:lang w:bidi="fa-IR"/>
        </w:rPr>
        <w:t>واستدرك الشيخ محمد حسين آل كاشف الغطاء على مواد</w:t>
      </w:r>
      <w:r w:rsidR="005E354C" w:rsidRPr="00904FCB">
        <w:rPr>
          <w:rFonts w:ascii="Tahoma" w:hAnsi="Tahoma" w:hint="cs"/>
          <w:sz w:val="27"/>
          <w:rtl/>
          <w:lang w:bidi="fa-IR"/>
        </w:rPr>
        <w:t>ّ</w:t>
      </w:r>
      <w:r w:rsidRPr="00904FCB">
        <w:rPr>
          <w:rFonts w:ascii="Tahoma" w:hAnsi="Tahoma"/>
          <w:sz w:val="27"/>
          <w:rtl/>
          <w:lang w:bidi="fa-IR"/>
        </w:rPr>
        <w:t xml:space="preserve">ها القانونية وفق مذهب </w:t>
      </w:r>
      <w:r w:rsidR="005E354C" w:rsidRPr="00904FCB">
        <w:rPr>
          <w:rFonts w:ascii="Tahoma" w:hAnsi="Tahoma" w:hint="cs"/>
          <w:sz w:val="27"/>
          <w:rtl/>
          <w:lang w:bidi="fa-IR"/>
        </w:rPr>
        <w:t>أ</w:t>
      </w:r>
      <w:r w:rsidRPr="00904FCB">
        <w:rPr>
          <w:rFonts w:ascii="Tahoma" w:hAnsi="Tahoma"/>
          <w:sz w:val="27"/>
          <w:rtl/>
          <w:lang w:bidi="fa-IR"/>
        </w:rPr>
        <w:t>هل البيت</w:t>
      </w:r>
      <w:r w:rsidR="00510A75" w:rsidRPr="00904FCB">
        <w:rPr>
          <w:rFonts w:ascii="Mosawi" w:hAnsi="Mosawi" w:cs="Mosawi"/>
          <w:sz w:val="27"/>
          <w:rtl/>
          <w:lang w:bidi="fa-IR"/>
        </w:rPr>
        <w:t>^</w:t>
      </w:r>
      <w:r w:rsidRPr="00904FCB">
        <w:rPr>
          <w:rFonts w:ascii="Tahoma" w:hAnsi="Tahoma"/>
          <w:sz w:val="27"/>
          <w:rtl/>
          <w:lang w:bidi="fa-IR"/>
        </w:rPr>
        <w:t>. والتي سنتحدث عنها بش</w:t>
      </w:r>
      <w:r w:rsidR="005E354C" w:rsidRPr="00904FCB">
        <w:rPr>
          <w:rFonts w:ascii="Tahoma" w:hAnsi="Tahoma" w:hint="cs"/>
          <w:sz w:val="27"/>
          <w:rtl/>
          <w:lang w:bidi="fa-IR"/>
        </w:rPr>
        <w:t>يءٍ</w:t>
      </w:r>
      <w:r w:rsidRPr="00904FCB">
        <w:rPr>
          <w:rFonts w:ascii="Tahoma" w:hAnsi="Tahoma"/>
          <w:sz w:val="27"/>
          <w:rtl/>
          <w:lang w:bidi="fa-IR"/>
        </w:rPr>
        <w:t xml:space="preserve"> من التفصيل في المبحث الخامس من هذه الدراسة. </w:t>
      </w:r>
    </w:p>
    <w:p w:rsidR="00644408" w:rsidRPr="00904FCB" w:rsidRDefault="00644408" w:rsidP="007A21AA">
      <w:pPr>
        <w:pStyle w:val="31"/>
        <w:spacing w:line="400" w:lineRule="exact"/>
        <w:rPr>
          <w:color w:val="auto"/>
          <w:lang w:bidi="fa-IR"/>
        </w:rPr>
      </w:pPr>
      <w:r w:rsidRPr="00904FCB">
        <w:rPr>
          <w:color w:val="auto"/>
          <w:rtl/>
          <w:lang w:bidi="fa-IR"/>
        </w:rPr>
        <w:lastRenderedPageBreak/>
        <w:t>الثالث</w:t>
      </w:r>
      <w:r w:rsidRPr="00904FCB">
        <w:rPr>
          <w:rFonts w:hint="cs"/>
          <w:color w:val="auto"/>
          <w:rtl/>
          <w:lang w:bidi="fa-IR"/>
        </w:rPr>
        <w:t>:</w:t>
      </w:r>
      <w:r w:rsidRPr="00904FCB">
        <w:rPr>
          <w:color w:val="auto"/>
          <w:rtl/>
          <w:lang w:bidi="fa-IR"/>
        </w:rPr>
        <w:t xml:space="preserve"> منهج مجل</w:t>
      </w:r>
      <w:r w:rsidR="005E354C" w:rsidRPr="00904FCB">
        <w:rPr>
          <w:rFonts w:hint="cs"/>
          <w:color w:val="auto"/>
          <w:rtl/>
          <w:lang w:bidi="fa-IR"/>
        </w:rPr>
        <w:t>ّ</w:t>
      </w:r>
      <w:r w:rsidRPr="00904FCB">
        <w:rPr>
          <w:color w:val="auto"/>
          <w:rtl/>
          <w:lang w:bidi="fa-IR"/>
        </w:rPr>
        <w:t>ة ال</w:t>
      </w:r>
      <w:r w:rsidR="005E354C" w:rsidRPr="00904FCB">
        <w:rPr>
          <w:rFonts w:hint="cs"/>
          <w:color w:val="auto"/>
          <w:rtl/>
          <w:lang w:bidi="fa-IR"/>
        </w:rPr>
        <w:t>أ</w:t>
      </w:r>
      <w:r w:rsidRPr="00904FCB">
        <w:rPr>
          <w:color w:val="auto"/>
          <w:rtl/>
          <w:lang w:bidi="fa-IR"/>
        </w:rPr>
        <w:t>حكام الع</w:t>
      </w:r>
      <w:r w:rsidR="005E354C" w:rsidRPr="00904FCB">
        <w:rPr>
          <w:rFonts w:hint="cs"/>
          <w:color w:val="auto"/>
          <w:rtl/>
          <w:lang w:bidi="fa-IR"/>
        </w:rPr>
        <w:t>َ</w:t>
      </w:r>
      <w:r w:rsidRPr="00904FCB">
        <w:rPr>
          <w:color w:val="auto"/>
          <w:rtl/>
          <w:lang w:bidi="fa-IR"/>
        </w:rPr>
        <w:t>د</w:t>
      </w:r>
      <w:r w:rsidR="005E354C" w:rsidRPr="00904FCB">
        <w:rPr>
          <w:rFonts w:hint="cs"/>
          <w:color w:val="auto"/>
          <w:rtl/>
          <w:lang w:bidi="fa-IR"/>
        </w:rPr>
        <w:t>ْ</w:t>
      </w:r>
      <w:r w:rsidRPr="00904FCB">
        <w:rPr>
          <w:color w:val="auto"/>
          <w:rtl/>
          <w:lang w:bidi="fa-IR"/>
        </w:rPr>
        <w:t xml:space="preserve">لية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عملت المجل</w:t>
      </w:r>
      <w:r w:rsidR="005E354C" w:rsidRPr="00904FCB">
        <w:rPr>
          <w:rFonts w:ascii="Tahoma" w:hAnsi="Tahoma" w:hint="cs"/>
          <w:sz w:val="27"/>
          <w:rtl/>
          <w:lang w:bidi="fa-IR"/>
        </w:rPr>
        <w:t>ّ</w:t>
      </w:r>
      <w:r w:rsidRPr="00904FCB">
        <w:rPr>
          <w:rFonts w:ascii="Tahoma" w:hAnsi="Tahoma"/>
          <w:sz w:val="27"/>
          <w:rtl/>
          <w:lang w:bidi="fa-IR"/>
        </w:rPr>
        <w:t>ة بالقوانين الشرعية والوضعية، ووازنت بين مواد</w:t>
      </w:r>
      <w:r w:rsidR="005E354C" w:rsidRPr="00904FCB">
        <w:rPr>
          <w:rFonts w:ascii="Tahoma" w:hAnsi="Tahoma" w:hint="cs"/>
          <w:sz w:val="27"/>
          <w:rtl/>
          <w:lang w:bidi="fa-IR"/>
        </w:rPr>
        <w:t>ّ</w:t>
      </w:r>
      <w:r w:rsidRPr="00904FCB">
        <w:rPr>
          <w:rFonts w:ascii="Tahoma" w:hAnsi="Tahoma"/>
          <w:sz w:val="27"/>
          <w:rtl/>
          <w:lang w:bidi="fa-IR"/>
        </w:rPr>
        <w:t>هما</w:t>
      </w:r>
      <w:r w:rsidR="005E354C" w:rsidRPr="00904FCB">
        <w:rPr>
          <w:rFonts w:ascii="Tahoma" w:hAnsi="Tahoma" w:hint="cs"/>
          <w:sz w:val="27"/>
          <w:rtl/>
          <w:lang w:bidi="fa-IR"/>
        </w:rPr>
        <w:t>؛</w:t>
      </w:r>
      <w:r w:rsidRPr="00904FCB">
        <w:rPr>
          <w:rFonts w:ascii="Tahoma" w:hAnsi="Tahoma"/>
          <w:sz w:val="27"/>
          <w:rtl/>
          <w:lang w:bidi="fa-IR"/>
        </w:rPr>
        <w:t xml:space="preserve"> حت</w:t>
      </w:r>
      <w:r w:rsidR="005E354C" w:rsidRPr="00904FCB">
        <w:rPr>
          <w:rFonts w:ascii="Tahoma" w:hAnsi="Tahoma" w:hint="cs"/>
          <w:sz w:val="27"/>
          <w:rtl/>
          <w:lang w:bidi="fa-IR"/>
        </w:rPr>
        <w:t>ّ</w:t>
      </w:r>
      <w:r w:rsidRPr="00904FCB">
        <w:rPr>
          <w:rFonts w:ascii="Tahoma" w:hAnsi="Tahoma"/>
          <w:sz w:val="27"/>
          <w:rtl/>
          <w:lang w:bidi="fa-IR"/>
        </w:rPr>
        <w:t>ى يتيسر للقضاة مراجعة ال</w:t>
      </w:r>
      <w:r w:rsidR="005E354C" w:rsidRPr="00904FCB">
        <w:rPr>
          <w:rFonts w:ascii="Tahoma" w:hAnsi="Tahoma" w:hint="cs"/>
          <w:sz w:val="27"/>
          <w:rtl/>
          <w:lang w:bidi="fa-IR"/>
        </w:rPr>
        <w:t>أ</w:t>
      </w:r>
      <w:r w:rsidRPr="00904FCB">
        <w:rPr>
          <w:rFonts w:ascii="Tahoma" w:hAnsi="Tahoma"/>
          <w:sz w:val="27"/>
          <w:rtl/>
          <w:lang w:bidi="fa-IR"/>
        </w:rPr>
        <w:t>حكام الشرعية وفق لغتهم القانونية، فجن</w:t>
      </w:r>
      <w:r w:rsidR="00BE70B3">
        <w:rPr>
          <w:rFonts w:ascii="Tahoma" w:hAnsi="Tahoma" w:hint="cs"/>
          <w:sz w:val="27"/>
          <w:rtl/>
          <w:lang w:bidi="fa-IR"/>
        </w:rPr>
        <w:t>َّ</w:t>
      </w:r>
      <w:r w:rsidRPr="00904FCB">
        <w:rPr>
          <w:rFonts w:ascii="Tahoma" w:hAnsi="Tahoma"/>
          <w:sz w:val="27"/>
          <w:rtl/>
          <w:lang w:bidi="fa-IR"/>
        </w:rPr>
        <w:t xml:space="preserve">بتهم الدولة العثمانية </w:t>
      </w:r>
      <w:r w:rsidR="005E354C" w:rsidRPr="00904FCB">
        <w:rPr>
          <w:rFonts w:ascii="Tahoma" w:hAnsi="Tahoma" w:hint="cs"/>
          <w:sz w:val="27"/>
          <w:rtl/>
          <w:lang w:bidi="fa-IR"/>
        </w:rPr>
        <w:t>آ</w:t>
      </w:r>
      <w:r w:rsidRPr="00904FCB">
        <w:rPr>
          <w:rFonts w:ascii="Tahoma" w:hAnsi="Tahoma"/>
          <w:sz w:val="27"/>
          <w:rtl/>
          <w:lang w:bidi="fa-IR"/>
        </w:rPr>
        <w:t>نذاك صعوبة الغوص في مصادر الفقه و</w:t>
      </w:r>
      <w:r w:rsidR="005E354C" w:rsidRPr="00904FCB">
        <w:rPr>
          <w:rFonts w:ascii="Tahoma" w:hAnsi="Tahoma" w:hint="cs"/>
          <w:sz w:val="27"/>
          <w:rtl/>
          <w:lang w:bidi="fa-IR"/>
        </w:rPr>
        <w:t>أ</w:t>
      </w:r>
      <w:r w:rsidRPr="00904FCB">
        <w:rPr>
          <w:rFonts w:ascii="Tahoma" w:hAnsi="Tahoma"/>
          <w:sz w:val="27"/>
          <w:rtl/>
          <w:lang w:bidi="fa-IR"/>
        </w:rPr>
        <w:t xml:space="preserve">دلة استنباطه. وبهذا </w:t>
      </w:r>
      <w:r w:rsidR="005E354C" w:rsidRPr="00904FCB">
        <w:rPr>
          <w:rFonts w:ascii="Tahoma" w:hAnsi="Tahoma" w:hint="cs"/>
          <w:sz w:val="27"/>
          <w:rtl/>
          <w:lang w:bidi="fa-IR"/>
        </w:rPr>
        <w:t>أ</w:t>
      </w:r>
      <w:r w:rsidRPr="00904FCB">
        <w:rPr>
          <w:rFonts w:ascii="Tahoma" w:hAnsi="Tahoma"/>
          <w:sz w:val="27"/>
          <w:rtl/>
          <w:lang w:bidi="fa-IR"/>
        </w:rPr>
        <w:t>نشأت المحاكم النظامية، ف</w:t>
      </w:r>
      <w:r w:rsidR="005E354C" w:rsidRPr="00904FCB">
        <w:rPr>
          <w:rFonts w:ascii="Tahoma" w:hAnsi="Tahoma" w:hint="cs"/>
          <w:sz w:val="27"/>
          <w:rtl/>
          <w:lang w:bidi="fa-IR"/>
        </w:rPr>
        <w:t>أ</w:t>
      </w:r>
      <w:r w:rsidRPr="00904FCB">
        <w:rPr>
          <w:rFonts w:ascii="Tahoma" w:hAnsi="Tahoma"/>
          <w:sz w:val="27"/>
          <w:rtl/>
          <w:lang w:bidi="fa-IR"/>
        </w:rPr>
        <w:t xml:space="preserve">مر السلطان العثماني تأليف لجنة </w:t>
      </w:r>
      <w:r w:rsidR="005E354C" w:rsidRPr="00904FCB">
        <w:rPr>
          <w:rFonts w:ascii="Tahoma" w:hAnsi="Tahoma" w:hint="cs"/>
          <w:sz w:val="27"/>
          <w:rtl/>
          <w:lang w:bidi="fa-IR"/>
        </w:rPr>
        <w:t>أ</w:t>
      </w:r>
      <w:r w:rsidRPr="00904FCB">
        <w:rPr>
          <w:rFonts w:ascii="Tahoma" w:hAnsi="Tahoma"/>
          <w:sz w:val="27"/>
          <w:rtl/>
          <w:lang w:bidi="fa-IR"/>
        </w:rPr>
        <w:t xml:space="preserve">طلق عليها «مجلتي جمعيتي» ـ باللغة التركية ـ </w:t>
      </w:r>
      <w:r w:rsidR="005E354C" w:rsidRPr="00904FCB">
        <w:rPr>
          <w:rFonts w:ascii="Tahoma" w:hAnsi="Tahoma" w:hint="cs"/>
          <w:sz w:val="27"/>
          <w:rtl/>
          <w:lang w:bidi="fa-IR"/>
        </w:rPr>
        <w:t>أ</w:t>
      </w:r>
      <w:r w:rsidRPr="00904FCB">
        <w:rPr>
          <w:rFonts w:ascii="Tahoma" w:hAnsi="Tahoma"/>
          <w:sz w:val="27"/>
          <w:rtl/>
          <w:lang w:bidi="fa-IR"/>
        </w:rPr>
        <w:t>ي (المجلة الجامعة)</w:t>
      </w:r>
      <w:r w:rsidR="005E354C" w:rsidRPr="00904FCB">
        <w:rPr>
          <w:rFonts w:ascii="Tahoma" w:hAnsi="Tahoma" w:hint="cs"/>
          <w:sz w:val="27"/>
          <w:rtl/>
          <w:lang w:bidi="fa-IR"/>
        </w:rPr>
        <w:t>،</w:t>
      </w:r>
      <w:r w:rsidRPr="00904FCB">
        <w:rPr>
          <w:rFonts w:ascii="Tahoma" w:hAnsi="Tahoma"/>
          <w:sz w:val="27"/>
          <w:rtl/>
          <w:lang w:bidi="fa-IR"/>
        </w:rPr>
        <w:t xml:space="preserve"> وكان عدد </w:t>
      </w:r>
      <w:r w:rsidR="005E354C" w:rsidRPr="00904FCB">
        <w:rPr>
          <w:rFonts w:ascii="Tahoma" w:hAnsi="Tahoma" w:hint="cs"/>
          <w:sz w:val="27"/>
          <w:rtl/>
          <w:lang w:bidi="fa-IR"/>
        </w:rPr>
        <w:t>أ</w:t>
      </w:r>
      <w:r w:rsidR="005E354C" w:rsidRPr="00904FCB">
        <w:rPr>
          <w:rFonts w:ascii="Tahoma" w:hAnsi="Tahoma"/>
          <w:sz w:val="27"/>
          <w:rtl/>
          <w:lang w:bidi="fa-IR"/>
        </w:rPr>
        <w:t>عضائها سبعة</w:t>
      </w:r>
      <w:r w:rsidRPr="00904FCB">
        <w:rPr>
          <w:rFonts w:ascii="Tahoma" w:hAnsi="Tahoma"/>
          <w:sz w:val="27"/>
          <w:rtl/>
          <w:lang w:bidi="fa-IR"/>
        </w:rPr>
        <w:t>، غايتها تأليف كتاب يجمع المعاملات الفقهية التي تتوافر على سهولة التطبيق، واحتواء ال</w:t>
      </w:r>
      <w:r w:rsidR="005E354C" w:rsidRPr="00904FCB">
        <w:rPr>
          <w:rFonts w:ascii="Tahoma" w:hAnsi="Tahoma" w:hint="cs"/>
          <w:sz w:val="27"/>
          <w:rtl/>
          <w:lang w:bidi="fa-IR"/>
        </w:rPr>
        <w:t>أ</w:t>
      </w:r>
      <w:r w:rsidRPr="00904FCB">
        <w:rPr>
          <w:rFonts w:ascii="Tahoma" w:hAnsi="Tahoma"/>
          <w:sz w:val="27"/>
          <w:rtl/>
          <w:lang w:bidi="fa-IR"/>
        </w:rPr>
        <w:t>قوال المختارة</w:t>
      </w:r>
      <w:r w:rsidR="005E354C" w:rsidRPr="00904FCB">
        <w:rPr>
          <w:rFonts w:ascii="Tahoma" w:hAnsi="Tahoma" w:hint="cs"/>
          <w:sz w:val="27"/>
          <w:rtl/>
          <w:lang w:bidi="fa-IR"/>
        </w:rPr>
        <w:t>.</w:t>
      </w:r>
      <w:r w:rsidRPr="00904FCB">
        <w:rPr>
          <w:rFonts w:ascii="Tahoma" w:hAnsi="Tahoma"/>
          <w:sz w:val="27"/>
          <w:rtl/>
          <w:lang w:bidi="fa-IR"/>
        </w:rPr>
        <w:t xml:space="preserve"> وبهذا سارت المجل</w:t>
      </w:r>
      <w:r w:rsidR="005E354C" w:rsidRPr="00904FCB">
        <w:rPr>
          <w:rFonts w:ascii="Tahoma" w:hAnsi="Tahoma" w:hint="cs"/>
          <w:sz w:val="27"/>
          <w:rtl/>
          <w:lang w:bidi="fa-IR"/>
        </w:rPr>
        <w:t>ّ</w:t>
      </w:r>
      <w:r w:rsidRPr="00904FCB">
        <w:rPr>
          <w:rFonts w:ascii="Tahoma" w:hAnsi="Tahoma"/>
          <w:sz w:val="27"/>
          <w:rtl/>
          <w:lang w:bidi="fa-IR"/>
        </w:rPr>
        <w:t>ة التي احت</w:t>
      </w:r>
      <w:r w:rsidR="005E354C" w:rsidRPr="00904FCB">
        <w:rPr>
          <w:rFonts w:ascii="Tahoma" w:hAnsi="Tahoma" w:hint="cs"/>
          <w:sz w:val="27"/>
          <w:rtl/>
          <w:lang w:bidi="fa-IR"/>
        </w:rPr>
        <w:t>َ</w:t>
      </w:r>
      <w:r w:rsidRPr="00904FCB">
        <w:rPr>
          <w:rFonts w:ascii="Tahoma" w:hAnsi="Tahoma"/>
          <w:sz w:val="27"/>
          <w:rtl/>
          <w:lang w:bidi="fa-IR"/>
        </w:rPr>
        <w:t>و</w:t>
      </w:r>
      <w:r w:rsidR="005E354C" w:rsidRPr="00904FCB">
        <w:rPr>
          <w:rFonts w:ascii="Tahoma" w:hAnsi="Tahoma" w:hint="cs"/>
          <w:sz w:val="27"/>
          <w:rtl/>
          <w:lang w:bidi="fa-IR"/>
        </w:rPr>
        <w:t>َ</w:t>
      </w:r>
      <w:r w:rsidRPr="00904FCB">
        <w:rPr>
          <w:rFonts w:ascii="Tahoma" w:hAnsi="Tahoma"/>
          <w:sz w:val="27"/>
          <w:rtl/>
          <w:lang w:bidi="fa-IR"/>
        </w:rPr>
        <w:t>ت</w:t>
      </w:r>
      <w:r w:rsidR="005E354C" w:rsidRPr="00904FCB">
        <w:rPr>
          <w:rFonts w:ascii="Tahoma" w:hAnsi="Tahoma" w:hint="cs"/>
          <w:sz w:val="27"/>
          <w:rtl/>
          <w:lang w:bidi="fa-IR"/>
        </w:rPr>
        <w:t>ْ</w:t>
      </w:r>
      <w:r w:rsidRPr="00904FCB">
        <w:rPr>
          <w:rFonts w:ascii="Tahoma" w:hAnsi="Tahoma"/>
          <w:sz w:val="27"/>
          <w:rtl/>
          <w:lang w:bidi="fa-IR"/>
        </w:rPr>
        <w:t xml:space="preserve"> ـ كما ذكرنا ـ على القانون المدني للدولة العثمانية، ولكن</w:t>
      </w:r>
      <w:r w:rsidR="005E354C" w:rsidRPr="00904FCB">
        <w:rPr>
          <w:rFonts w:ascii="Tahoma" w:hAnsi="Tahoma" w:hint="cs"/>
          <w:sz w:val="27"/>
          <w:rtl/>
          <w:lang w:bidi="fa-IR"/>
        </w:rPr>
        <w:t>ّ</w:t>
      </w:r>
      <w:r w:rsidRPr="00904FCB">
        <w:rPr>
          <w:rFonts w:ascii="Tahoma" w:hAnsi="Tahoma"/>
          <w:sz w:val="27"/>
          <w:rtl/>
          <w:lang w:bidi="fa-IR"/>
        </w:rPr>
        <w:t>ه مصبوغ</w:t>
      </w:r>
      <w:r w:rsidR="005E354C" w:rsidRPr="00904FCB">
        <w:rPr>
          <w:rFonts w:ascii="Tahoma" w:hAnsi="Tahoma" w:hint="cs"/>
          <w:sz w:val="27"/>
          <w:rtl/>
          <w:lang w:bidi="fa-IR"/>
        </w:rPr>
        <w:t>ٌ</w:t>
      </w:r>
      <w:r w:rsidRPr="00904FCB">
        <w:rPr>
          <w:rFonts w:ascii="Tahoma" w:hAnsi="Tahoma"/>
          <w:sz w:val="27"/>
          <w:rtl/>
          <w:lang w:bidi="fa-IR"/>
        </w:rPr>
        <w:t xml:space="preserve"> بالفقه العام، وبهذا فقد قن</w:t>
      </w:r>
      <w:r w:rsidR="005E354C" w:rsidRPr="00904FCB">
        <w:rPr>
          <w:rFonts w:ascii="Tahoma" w:hAnsi="Tahoma" w:hint="cs"/>
          <w:sz w:val="27"/>
          <w:rtl/>
          <w:lang w:bidi="fa-IR"/>
        </w:rPr>
        <w:t>َّ</w:t>
      </w:r>
      <w:r w:rsidRPr="00904FCB">
        <w:rPr>
          <w:rFonts w:ascii="Tahoma" w:hAnsi="Tahoma"/>
          <w:sz w:val="27"/>
          <w:rtl/>
          <w:lang w:bidi="fa-IR"/>
        </w:rPr>
        <w:t>نت الدولة العثمانية قواعد وفتاوى الفقه ال</w:t>
      </w:r>
      <w:r w:rsidR="005E354C" w:rsidRPr="00904FCB">
        <w:rPr>
          <w:rFonts w:ascii="Tahoma" w:hAnsi="Tahoma" w:hint="cs"/>
          <w:sz w:val="27"/>
          <w:rtl/>
          <w:lang w:bidi="fa-IR"/>
        </w:rPr>
        <w:t>إ</w:t>
      </w:r>
      <w:r w:rsidRPr="00904FCB">
        <w:rPr>
          <w:rFonts w:ascii="Tahoma" w:hAnsi="Tahoma"/>
          <w:sz w:val="27"/>
          <w:rtl/>
          <w:lang w:bidi="fa-IR"/>
        </w:rPr>
        <w:t>سلامي الذي تؤمن به على شكل مواد</w:t>
      </w:r>
      <w:r w:rsidR="005E354C" w:rsidRPr="00904FCB">
        <w:rPr>
          <w:rFonts w:ascii="Tahoma" w:hAnsi="Tahoma" w:hint="cs"/>
          <w:sz w:val="27"/>
          <w:rtl/>
          <w:lang w:bidi="fa-IR"/>
        </w:rPr>
        <w:t>ّ</w:t>
      </w:r>
      <w:r w:rsidRPr="00904FCB">
        <w:rPr>
          <w:rFonts w:ascii="Tahoma" w:hAnsi="Tahoma"/>
          <w:sz w:val="27"/>
          <w:rtl/>
          <w:lang w:bidi="fa-IR"/>
        </w:rPr>
        <w:t xml:space="preserve"> لا تبتعد كثيرا</w:t>
      </w:r>
      <w:r w:rsidR="005E354C" w:rsidRPr="00904FCB">
        <w:rPr>
          <w:rFonts w:ascii="Tahoma" w:hAnsi="Tahoma" w:hint="cs"/>
          <w:sz w:val="27"/>
          <w:rtl/>
          <w:lang w:bidi="fa-IR"/>
        </w:rPr>
        <w:t>ً</w:t>
      </w:r>
      <w:r w:rsidRPr="00904FCB">
        <w:rPr>
          <w:rFonts w:ascii="Tahoma" w:hAnsi="Tahoma"/>
          <w:sz w:val="27"/>
          <w:rtl/>
          <w:lang w:bidi="fa-IR"/>
        </w:rPr>
        <w:t xml:space="preserve"> عن القوانين الوضعية</w:t>
      </w:r>
      <w:r w:rsidR="005E354C" w:rsidRPr="00904FCB">
        <w:rPr>
          <w:rFonts w:ascii="Tahoma" w:hAnsi="Tahoma" w:hint="cs"/>
          <w:sz w:val="27"/>
          <w:rtl/>
          <w:lang w:bidi="fa-IR"/>
        </w:rPr>
        <w:t>؛</w:t>
      </w:r>
      <w:r w:rsidRPr="00904FCB">
        <w:rPr>
          <w:rFonts w:ascii="Tahoma" w:hAnsi="Tahoma"/>
          <w:sz w:val="27"/>
          <w:rtl/>
          <w:lang w:bidi="fa-IR"/>
        </w:rPr>
        <w:t xml:space="preserve"> ليسهل على القضاة الوصول </w:t>
      </w:r>
      <w:r w:rsidR="005E354C" w:rsidRPr="00904FCB">
        <w:rPr>
          <w:rFonts w:ascii="Tahoma" w:hAnsi="Tahoma" w:hint="cs"/>
          <w:sz w:val="27"/>
          <w:rtl/>
          <w:lang w:bidi="fa-IR"/>
        </w:rPr>
        <w:t>إ</w:t>
      </w:r>
      <w:r w:rsidRPr="00904FCB">
        <w:rPr>
          <w:rFonts w:ascii="Tahoma" w:hAnsi="Tahoma"/>
          <w:sz w:val="27"/>
          <w:rtl/>
          <w:lang w:bidi="fa-IR"/>
        </w:rPr>
        <w:t>لى ال</w:t>
      </w:r>
      <w:r w:rsidR="005E354C" w:rsidRPr="00904FCB">
        <w:rPr>
          <w:rFonts w:ascii="Tahoma" w:hAnsi="Tahoma" w:hint="cs"/>
          <w:sz w:val="27"/>
          <w:rtl/>
          <w:lang w:bidi="fa-IR"/>
        </w:rPr>
        <w:t>أ</w:t>
      </w:r>
      <w:r w:rsidRPr="00904FCB">
        <w:rPr>
          <w:rFonts w:ascii="Tahoma" w:hAnsi="Tahoma"/>
          <w:sz w:val="27"/>
          <w:rtl/>
          <w:lang w:bidi="fa-IR"/>
        </w:rPr>
        <w:t>حكام الشرعية من خلالها، وفق لغة</w:t>
      </w:r>
      <w:r w:rsidR="005E354C" w:rsidRPr="00904FCB">
        <w:rPr>
          <w:rFonts w:ascii="Tahoma" w:hAnsi="Tahoma" w:hint="cs"/>
          <w:sz w:val="27"/>
          <w:rtl/>
          <w:lang w:bidi="fa-IR"/>
        </w:rPr>
        <w:t>ٍ</w:t>
      </w:r>
      <w:r w:rsidRPr="00904FCB">
        <w:rPr>
          <w:rFonts w:ascii="Tahoma" w:hAnsi="Tahoma"/>
          <w:sz w:val="27"/>
          <w:rtl/>
          <w:lang w:bidi="fa-IR"/>
        </w:rPr>
        <w:t xml:space="preserve"> قانونية يفهمونها</w:t>
      </w:r>
      <w:r w:rsidR="005E354C" w:rsidRPr="00904FCB">
        <w:rPr>
          <w:rFonts w:ascii="Tahoma" w:hAnsi="Tahoma" w:hint="cs"/>
          <w:sz w:val="27"/>
          <w:rtl/>
          <w:lang w:bidi="fa-IR"/>
        </w:rPr>
        <w:t>.</w:t>
      </w:r>
      <w:r w:rsidRPr="00904FCB">
        <w:rPr>
          <w:rFonts w:ascii="Tahoma" w:hAnsi="Tahoma"/>
          <w:sz w:val="27"/>
          <w:rtl/>
          <w:lang w:bidi="fa-IR"/>
        </w:rPr>
        <w:t xml:space="preserve"> و</w:t>
      </w:r>
      <w:r w:rsidR="005E354C" w:rsidRPr="00904FCB">
        <w:rPr>
          <w:rFonts w:ascii="Tahoma" w:hAnsi="Tahoma" w:hint="cs"/>
          <w:sz w:val="27"/>
          <w:rtl/>
          <w:lang w:bidi="fa-IR"/>
        </w:rPr>
        <w:t>أ</w:t>
      </w:r>
      <w:r w:rsidRPr="00904FCB">
        <w:rPr>
          <w:rFonts w:ascii="Tahoma" w:hAnsi="Tahoma"/>
          <w:sz w:val="27"/>
          <w:rtl/>
          <w:lang w:bidi="fa-IR"/>
        </w:rPr>
        <w:t xml:space="preserve">حكام المجلة منسجمة </w:t>
      </w:r>
      <w:r w:rsidR="004D0B19" w:rsidRPr="00904FCB">
        <w:rPr>
          <w:rFonts w:ascii="Tahoma" w:hAnsi="Tahoma" w:hint="cs"/>
          <w:sz w:val="27"/>
          <w:rtl/>
          <w:lang w:bidi="fa-IR"/>
        </w:rPr>
        <w:t>ـ ب</w:t>
      </w:r>
      <w:r w:rsidRPr="00904FCB">
        <w:rPr>
          <w:rFonts w:ascii="Tahoma" w:hAnsi="Tahoma"/>
          <w:sz w:val="27"/>
          <w:rtl/>
          <w:lang w:bidi="fa-IR"/>
        </w:rPr>
        <w:t xml:space="preserve">معظمها </w:t>
      </w:r>
      <w:r w:rsidR="004D0B19" w:rsidRPr="00904FCB">
        <w:rPr>
          <w:rFonts w:ascii="Tahoma" w:hAnsi="Tahoma" w:hint="cs"/>
          <w:sz w:val="27"/>
          <w:rtl/>
          <w:lang w:bidi="fa-IR"/>
        </w:rPr>
        <w:t xml:space="preserve">ـ </w:t>
      </w:r>
      <w:r w:rsidR="005E354C" w:rsidRPr="00904FCB">
        <w:rPr>
          <w:rFonts w:ascii="Tahoma" w:hAnsi="Tahoma" w:hint="cs"/>
          <w:sz w:val="27"/>
          <w:rtl/>
          <w:lang w:bidi="fa-IR"/>
        </w:rPr>
        <w:t>أو</w:t>
      </w:r>
      <w:r w:rsidRPr="00904FCB">
        <w:rPr>
          <w:rFonts w:ascii="Tahoma" w:hAnsi="Tahoma"/>
          <w:sz w:val="27"/>
          <w:rtl/>
          <w:lang w:bidi="fa-IR"/>
        </w:rPr>
        <w:t xml:space="preserve"> مستمد</w:t>
      </w:r>
      <w:r w:rsidR="005E354C" w:rsidRPr="00904FCB">
        <w:rPr>
          <w:rFonts w:ascii="Tahoma" w:hAnsi="Tahoma" w:hint="cs"/>
          <w:sz w:val="27"/>
          <w:rtl/>
          <w:lang w:bidi="fa-IR"/>
        </w:rPr>
        <w:t>ّ</w:t>
      </w:r>
      <w:r w:rsidRPr="00904FCB">
        <w:rPr>
          <w:rFonts w:ascii="Tahoma" w:hAnsi="Tahoma"/>
          <w:sz w:val="27"/>
          <w:rtl/>
          <w:lang w:bidi="fa-IR"/>
        </w:rPr>
        <w:t>ة من القرآن</w:t>
      </w:r>
      <w:r w:rsidR="004D0B19" w:rsidRPr="00904FCB">
        <w:rPr>
          <w:rFonts w:ascii="Tahoma" w:hAnsi="Tahoma" w:hint="cs"/>
          <w:sz w:val="27"/>
          <w:rtl/>
          <w:lang w:bidi="fa-IR"/>
        </w:rPr>
        <w:t>،</w:t>
      </w:r>
      <w:r w:rsidRPr="00904FCB">
        <w:rPr>
          <w:rFonts w:ascii="Tahoma" w:hAnsi="Tahoma"/>
          <w:sz w:val="27"/>
          <w:rtl/>
          <w:lang w:bidi="fa-IR"/>
        </w:rPr>
        <w:t xml:space="preserve"> قال سبحانه وتعالى: </w:t>
      </w:r>
      <w:r w:rsidRPr="00904FCB">
        <w:rPr>
          <w:rFonts w:ascii="Mosawi" w:hAnsi="Mosawi" w:cs="Mosawi"/>
          <w:sz w:val="24"/>
          <w:szCs w:val="24"/>
          <w:rtl/>
        </w:rPr>
        <w:t>﴿</w:t>
      </w:r>
      <w:r w:rsidR="004D0B19" w:rsidRPr="00904FCB">
        <w:rPr>
          <w:b/>
          <w:bCs/>
          <w:sz w:val="27"/>
          <w:rtl/>
        </w:rPr>
        <w:t>إِنَّ الصَّلاَةَ تَنْهَى عَنْ الْفَحْشَاءِ وَالْمُنْكَرِ</w:t>
      </w:r>
      <w:r w:rsidRPr="00904FCB">
        <w:rPr>
          <w:rFonts w:ascii="Mosawi" w:hAnsi="Mosawi" w:cs="Mosawi"/>
          <w:sz w:val="24"/>
          <w:szCs w:val="24"/>
          <w:rtl/>
        </w:rPr>
        <w:t>﴾</w:t>
      </w:r>
      <w:r w:rsidR="004D0B19" w:rsidRPr="00904FCB">
        <w:rPr>
          <w:rFonts w:ascii="Tahoma" w:hAnsi="Tahoma" w:hint="cs"/>
          <w:sz w:val="27"/>
          <w:rtl/>
          <w:lang w:bidi="fa-IR"/>
        </w:rPr>
        <w:t>،</w:t>
      </w:r>
      <w:r w:rsidRPr="00904FCB">
        <w:rPr>
          <w:rFonts w:ascii="Tahoma" w:hAnsi="Tahoma"/>
          <w:sz w:val="27"/>
          <w:rtl/>
          <w:lang w:bidi="fa-IR"/>
        </w:rPr>
        <w:t xml:space="preserve"> ومن الحديث الشريف</w:t>
      </w:r>
      <w:r w:rsidR="004D0B19" w:rsidRPr="00904FCB">
        <w:rPr>
          <w:rFonts w:ascii="Tahoma" w:hAnsi="Tahoma" w:hint="cs"/>
          <w:sz w:val="27"/>
          <w:rtl/>
          <w:lang w:bidi="fa-IR"/>
        </w:rPr>
        <w:t>،</w:t>
      </w:r>
      <w:r w:rsidRPr="00904FCB">
        <w:rPr>
          <w:rFonts w:ascii="Tahoma" w:hAnsi="Tahoma"/>
          <w:sz w:val="27"/>
          <w:rtl/>
          <w:lang w:bidi="fa-IR"/>
        </w:rPr>
        <w:t xml:space="preserve"> كما في قوله</w:t>
      </w:r>
      <w:r w:rsidR="004D0B19" w:rsidRPr="00904FCB">
        <w:rPr>
          <w:rFonts w:ascii="Tahoma" w:hAnsi="Tahoma" w:hint="cs"/>
          <w:sz w:val="27"/>
          <w:rtl/>
          <w:lang w:bidi="fa-IR"/>
        </w:rPr>
        <w:t>:</w:t>
      </w:r>
      <w:r w:rsidRPr="00904FCB">
        <w:rPr>
          <w:rFonts w:ascii="Tahoma" w:hAnsi="Tahoma"/>
          <w:sz w:val="27"/>
          <w:rtl/>
          <w:lang w:bidi="fa-IR"/>
        </w:rPr>
        <w:t xml:space="preserve"> «لا ضرر</w:t>
      </w:r>
      <w:r w:rsidR="00BE70B3">
        <w:rPr>
          <w:rFonts w:ascii="Tahoma" w:hAnsi="Tahoma" w:hint="cs"/>
          <w:sz w:val="27"/>
          <w:rtl/>
          <w:lang w:bidi="fa-IR"/>
        </w:rPr>
        <w:t>،</w:t>
      </w:r>
      <w:r w:rsidRPr="00904FCB">
        <w:rPr>
          <w:rFonts w:ascii="Tahoma" w:hAnsi="Tahoma"/>
          <w:sz w:val="27"/>
          <w:rtl/>
          <w:lang w:bidi="fa-IR"/>
        </w:rPr>
        <w:t xml:space="preserve"> ولا ضرار»</w:t>
      </w:r>
      <w:r w:rsidR="004D0B19" w:rsidRPr="00904FCB">
        <w:rPr>
          <w:rFonts w:ascii="Tahoma" w:hAnsi="Tahoma" w:hint="cs"/>
          <w:sz w:val="27"/>
          <w:rtl/>
          <w:lang w:bidi="fa-IR"/>
        </w:rPr>
        <w:t>.</w:t>
      </w:r>
      <w:r w:rsidRPr="00904FCB">
        <w:rPr>
          <w:rFonts w:ascii="Tahoma" w:hAnsi="Tahoma"/>
          <w:sz w:val="27"/>
          <w:rtl/>
          <w:lang w:bidi="fa-IR"/>
        </w:rPr>
        <w:t xml:space="preserve"> وكان لهذه المجلة فضل كبير </w:t>
      </w:r>
      <w:r w:rsidR="004D0B19" w:rsidRPr="00904FCB">
        <w:rPr>
          <w:rFonts w:ascii="Tahoma" w:hAnsi="Tahoma" w:hint="cs"/>
          <w:sz w:val="27"/>
          <w:rtl/>
          <w:lang w:bidi="fa-IR"/>
        </w:rPr>
        <w:t xml:space="preserve">على </w:t>
      </w:r>
      <w:r w:rsidRPr="00904FCB">
        <w:rPr>
          <w:rFonts w:ascii="Tahoma" w:hAnsi="Tahoma"/>
          <w:sz w:val="27"/>
          <w:rtl/>
          <w:lang w:bidi="fa-IR"/>
        </w:rPr>
        <w:t>رجال القانون</w:t>
      </w:r>
      <w:r w:rsidR="004D0B19" w:rsidRPr="00904FCB">
        <w:rPr>
          <w:rFonts w:ascii="Tahoma" w:hAnsi="Tahoma" w:hint="cs"/>
          <w:sz w:val="27"/>
          <w:rtl/>
          <w:lang w:bidi="fa-IR"/>
        </w:rPr>
        <w:t xml:space="preserve">، </w:t>
      </w:r>
      <w:r w:rsidRPr="00904FCB">
        <w:rPr>
          <w:rFonts w:ascii="Tahoma" w:hAnsi="Tahoma"/>
          <w:sz w:val="27"/>
          <w:rtl/>
          <w:lang w:bidi="fa-IR"/>
        </w:rPr>
        <w:t>حيث جعلت ال</w:t>
      </w:r>
      <w:r w:rsidR="004D0B19" w:rsidRPr="00904FCB">
        <w:rPr>
          <w:rFonts w:ascii="Tahoma" w:hAnsi="Tahoma" w:hint="cs"/>
          <w:sz w:val="27"/>
          <w:rtl/>
          <w:lang w:bidi="fa-IR"/>
        </w:rPr>
        <w:t>أ</w:t>
      </w:r>
      <w:r w:rsidRPr="00904FCB">
        <w:rPr>
          <w:rFonts w:ascii="Tahoma" w:hAnsi="Tahoma"/>
          <w:sz w:val="27"/>
          <w:rtl/>
          <w:lang w:bidi="fa-IR"/>
        </w:rPr>
        <w:t>حكام الشرعية والفقه ال</w:t>
      </w:r>
      <w:r w:rsidR="004D0B19" w:rsidRPr="00904FCB">
        <w:rPr>
          <w:rFonts w:ascii="Tahoma" w:hAnsi="Tahoma" w:hint="cs"/>
          <w:sz w:val="27"/>
          <w:rtl/>
          <w:lang w:bidi="fa-IR"/>
        </w:rPr>
        <w:t>إ</w:t>
      </w:r>
      <w:r w:rsidRPr="00904FCB">
        <w:rPr>
          <w:rFonts w:ascii="Tahoma" w:hAnsi="Tahoma"/>
          <w:sz w:val="27"/>
          <w:rtl/>
          <w:lang w:bidi="fa-IR"/>
        </w:rPr>
        <w:t xml:space="preserve">سلامي في متناول </w:t>
      </w:r>
      <w:r w:rsidR="004D0B19" w:rsidRPr="00904FCB">
        <w:rPr>
          <w:rFonts w:ascii="Tahoma" w:hAnsi="Tahoma" w:hint="cs"/>
          <w:sz w:val="27"/>
          <w:rtl/>
          <w:lang w:bidi="fa-IR"/>
        </w:rPr>
        <w:t>أ</w:t>
      </w:r>
      <w:r w:rsidRPr="00904FCB">
        <w:rPr>
          <w:rFonts w:ascii="Tahoma" w:hAnsi="Tahoma"/>
          <w:sz w:val="27"/>
          <w:rtl/>
          <w:lang w:bidi="fa-IR"/>
        </w:rPr>
        <w:t xml:space="preserve">يديهم.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ولذا </w:t>
      </w:r>
      <w:r w:rsidR="004D0B19" w:rsidRPr="00904FCB">
        <w:rPr>
          <w:rFonts w:ascii="Tahoma" w:hAnsi="Tahoma" w:hint="cs"/>
          <w:sz w:val="27"/>
          <w:rtl/>
          <w:lang w:bidi="fa-IR"/>
        </w:rPr>
        <w:t>تداعى إ</w:t>
      </w:r>
      <w:r w:rsidRPr="00904FCB">
        <w:rPr>
          <w:rFonts w:ascii="Tahoma" w:hAnsi="Tahoma"/>
          <w:sz w:val="27"/>
          <w:rtl/>
          <w:lang w:bidi="fa-IR"/>
        </w:rPr>
        <w:t>لى شرحها أتراك</w:t>
      </w:r>
      <w:r w:rsidR="004D0B19" w:rsidRPr="00904FCB">
        <w:rPr>
          <w:rFonts w:ascii="Tahoma" w:hAnsi="Tahoma" w:hint="cs"/>
          <w:sz w:val="27"/>
          <w:rtl/>
          <w:lang w:bidi="fa-IR"/>
        </w:rPr>
        <w:t>ٌ</w:t>
      </w:r>
      <w:r w:rsidRPr="00904FCB">
        <w:rPr>
          <w:rFonts w:ascii="Tahoma" w:hAnsi="Tahoma"/>
          <w:sz w:val="27"/>
          <w:rtl/>
          <w:lang w:bidi="fa-IR"/>
        </w:rPr>
        <w:t xml:space="preserve"> وعرب</w:t>
      </w:r>
      <w:r w:rsidR="004D0B19" w:rsidRPr="00904FCB">
        <w:rPr>
          <w:rFonts w:ascii="Tahoma" w:hAnsi="Tahoma" w:hint="cs"/>
          <w:sz w:val="27"/>
          <w:rtl/>
          <w:lang w:bidi="fa-IR"/>
        </w:rPr>
        <w:t>،</w:t>
      </w:r>
      <w:r w:rsidRPr="00904FCB">
        <w:rPr>
          <w:rFonts w:ascii="Tahoma" w:hAnsi="Tahoma"/>
          <w:sz w:val="27"/>
          <w:rtl/>
          <w:lang w:bidi="fa-IR"/>
        </w:rPr>
        <w:t xml:space="preserve"> مسلمون ومستشرقون</w:t>
      </w:r>
      <w:r w:rsidR="004D0B19" w:rsidRPr="00904FCB">
        <w:rPr>
          <w:rFonts w:ascii="Tahoma" w:hAnsi="Tahoma" w:hint="cs"/>
          <w:sz w:val="27"/>
          <w:rtl/>
          <w:lang w:bidi="fa-IR"/>
        </w:rPr>
        <w:t>،</w:t>
      </w:r>
      <w:r w:rsidRPr="00904FCB">
        <w:rPr>
          <w:rFonts w:ascii="Tahoma" w:hAnsi="Tahoma"/>
          <w:sz w:val="27"/>
          <w:rtl/>
          <w:lang w:bidi="fa-IR"/>
        </w:rPr>
        <w:t xml:space="preserve"> مثل</w:t>
      </w:r>
      <w:r w:rsidR="004D0B19" w:rsidRPr="00904FCB">
        <w:rPr>
          <w:rFonts w:ascii="Tahoma" w:hAnsi="Tahoma" w:hint="cs"/>
          <w:sz w:val="27"/>
          <w:rtl/>
          <w:lang w:bidi="fa-IR"/>
        </w:rPr>
        <w:t>:</w:t>
      </w:r>
      <w:r w:rsidRPr="00904FCB">
        <w:rPr>
          <w:rFonts w:ascii="Tahoma" w:hAnsi="Tahoma"/>
          <w:sz w:val="27"/>
          <w:rtl/>
          <w:lang w:bidi="fa-IR"/>
        </w:rPr>
        <w:t xml:space="preserve"> مسعود </w:t>
      </w:r>
      <w:r w:rsidR="004D0B19" w:rsidRPr="00904FCB">
        <w:rPr>
          <w:rFonts w:ascii="Tahoma" w:hAnsi="Tahoma" w:hint="cs"/>
          <w:sz w:val="27"/>
          <w:rtl/>
          <w:lang w:bidi="fa-IR"/>
        </w:rPr>
        <w:t>أ</w:t>
      </w:r>
      <w:r w:rsidRPr="00904FCB">
        <w:rPr>
          <w:rFonts w:ascii="Tahoma" w:hAnsi="Tahoma"/>
          <w:sz w:val="27"/>
          <w:rtl/>
          <w:lang w:bidi="fa-IR"/>
        </w:rPr>
        <w:t xml:space="preserve">فندي، وسليم اللبناني، والسيد يوسف </w:t>
      </w:r>
      <w:r w:rsidR="004D0B19" w:rsidRPr="00904FCB">
        <w:rPr>
          <w:rFonts w:ascii="Tahoma" w:hAnsi="Tahoma" w:hint="cs"/>
          <w:sz w:val="27"/>
          <w:rtl/>
          <w:lang w:bidi="fa-IR"/>
        </w:rPr>
        <w:t>أ</w:t>
      </w:r>
      <w:r w:rsidRPr="00904FCB">
        <w:rPr>
          <w:rFonts w:ascii="Tahoma" w:hAnsi="Tahoma"/>
          <w:sz w:val="27"/>
          <w:rtl/>
          <w:lang w:bidi="fa-IR"/>
        </w:rPr>
        <w:t>صاف، وعلي حيدر</w:t>
      </w:r>
      <w:r w:rsidR="004D0B19" w:rsidRPr="00904FCB">
        <w:rPr>
          <w:rFonts w:ascii="Tahoma" w:hAnsi="Tahoma" w:hint="cs"/>
          <w:sz w:val="27"/>
          <w:rtl/>
          <w:lang w:bidi="fa-IR"/>
        </w:rPr>
        <w:t>،</w:t>
      </w:r>
      <w:r w:rsidRPr="00904FCB">
        <w:rPr>
          <w:rFonts w:ascii="Tahoma" w:hAnsi="Tahoma"/>
          <w:sz w:val="27"/>
          <w:rtl/>
          <w:lang w:bidi="fa-IR"/>
        </w:rPr>
        <w:t xml:space="preserve"> وكذلك محمد طاهر ال</w:t>
      </w:r>
      <w:r w:rsidR="004D0B19" w:rsidRPr="00904FCB">
        <w:rPr>
          <w:rFonts w:ascii="Tahoma" w:hAnsi="Tahoma" w:hint="cs"/>
          <w:sz w:val="27"/>
          <w:rtl/>
          <w:lang w:bidi="fa-IR"/>
        </w:rPr>
        <w:t>أ</w:t>
      </w:r>
      <w:r w:rsidR="00CA1FED" w:rsidRPr="00904FCB">
        <w:rPr>
          <w:rFonts w:ascii="Tahoma" w:hAnsi="Tahoma" w:hint="cs"/>
          <w:sz w:val="27"/>
          <w:rtl/>
          <w:lang w:bidi="fa-IR"/>
        </w:rPr>
        <w:t>ت</w:t>
      </w:r>
      <w:r w:rsidRPr="00904FCB">
        <w:rPr>
          <w:rFonts w:ascii="Tahoma" w:hAnsi="Tahoma"/>
          <w:sz w:val="27"/>
          <w:rtl/>
          <w:lang w:bidi="fa-IR"/>
        </w:rPr>
        <w:t>اسي، ومحمد سيد المحاسني، وأحمد الزرقا الحلبي، وال</w:t>
      </w:r>
      <w:r w:rsidR="004D0B19" w:rsidRPr="00904FCB">
        <w:rPr>
          <w:rFonts w:ascii="Tahoma" w:hAnsi="Tahoma" w:hint="cs"/>
          <w:sz w:val="27"/>
          <w:rtl/>
          <w:lang w:bidi="fa-IR"/>
        </w:rPr>
        <w:t>أ</w:t>
      </w:r>
      <w:r w:rsidRPr="00904FCB">
        <w:rPr>
          <w:rFonts w:ascii="Tahoma" w:hAnsi="Tahoma"/>
          <w:sz w:val="27"/>
          <w:rtl/>
          <w:lang w:bidi="fa-IR"/>
        </w:rPr>
        <w:t>ستاذ منير القاضي</w:t>
      </w:r>
      <w:r w:rsidR="004D0B19" w:rsidRPr="00904FCB">
        <w:rPr>
          <w:rFonts w:ascii="Tahoma" w:hAnsi="Tahoma" w:hint="cs"/>
          <w:sz w:val="27"/>
          <w:rtl/>
          <w:lang w:bidi="fa-IR"/>
        </w:rPr>
        <w:t xml:space="preserve">، </w:t>
      </w:r>
      <w:r w:rsidRPr="00904FCB">
        <w:rPr>
          <w:rFonts w:ascii="Tahoma" w:hAnsi="Tahoma"/>
          <w:sz w:val="27"/>
          <w:rtl/>
          <w:lang w:bidi="fa-IR"/>
        </w:rPr>
        <w:t>وعبد الستار القسطنطيني، والشيخ حمود حمزة، ومنهم</w:t>
      </w:r>
      <w:r w:rsidR="004D0B19" w:rsidRPr="00904FCB">
        <w:rPr>
          <w:rFonts w:ascii="Tahoma" w:hAnsi="Tahoma" w:hint="cs"/>
          <w:sz w:val="27"/>
          <w:rtl/>
          <w:lang w:bidi="fa-IR"/>
        </w:rPr>
        <w:t>:</w:t>
      </w:r>
      <w:r w:rsidRPr="00904FCB">
        <w:rPr>
          <w:rFonts w:ascii="Tahoma" w:hAnsi="Tahoma"/>
          <w:sz w:val="27"/>
          <w:rtl/>
          <w:lang w:bidi="fa-IR"/>
        </w:rPr>
        <w:t xml:space="preserve"> الشيخ محمد حسين آل كاشف الغطاء.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وقد تصد</w:t>
      </w:r>
      <w:r w:rsidR="004D0B19" w:rsidRPr="00904FCB">
        <w:rPr>
          <w:rFonts w:ascii="Tahoma" w:hAnsi="Tahoma" w:hint="cs"/>
          <w:sz w:val="27"/>
          <w:rtl/>
          <w:lang w:bidi="fa-IR"/>
        </w:rPr>
        <w:t>ّ</w:t>
      </w:r>
      <w:r w:rsidRPr="00904FCB">
        <w:rPr>
          <w:rFonts w:ascii="Tahoma" w:hAnsi="Tahoma"/>
          <w:sz w:val="27"/>
          <w:rtl/>
          <w:lang w:bidi="fa-IR"/>
        </w:rPr>
        <w:t>ى للمجلة الفقهاء والشر</w:t>
      </w:r>
      <w:r w:rsidR="004D0B19" w:rsidRPr="00904FCB">
        <w:rPr>
          <w:rFonts w:ascii="Tahoma" w:hAnsi="Tahoma" w:hint="cs"/>
          <w:sz w:val="27"/>
          <w:rtl/>
          <w:lang w:bidi="fa-IR"/>
        </w:rPr>
        <w:t>ّ</w:t>
      </w:r>
      <w:r w:rsidRPr="00904FCB">
        <w:rPr>
          <w:rFonts w:ascii="Tahoma" w:hAnsi="Tahoma"/>
          <w:sz w:val="27"/>
          <w:rtl/>
          <w:lang w:bidi="fa-IR"/>
        </w:rPr>
        <w:t>اح والناقدون</w:t>
      </w:r>
      <w:r w:rsidR="004D0B19" w:rsidRPr="00904FCB">
        <w:rPr>
          <w:rFonts w:ascii="Tahoma" w:hAnsi="Tahoma" w:hint="cs"/>
          <w:sz w:val="27"/>
          <w:rtl/>
          <w:lang w:bidi="fa-IR"/>
        </w:rPr>
        <w:t>،</w:t>
      </w:r>
      <w:r w:rsidRPr="00904FCB">
        <w:rPr>
          <w:rFonts w:ascii="Tahoma" w:hAnsi="Tahoma"/>
          <w:sz w:val="27"/>
          <w:rtl/>
          <w:lang w:bidi="fa-IR"/>
        </w:rPr>
        <w:t xml:space="preserve"> بين مؤي</w:t>
      </w:r>
      <w:r w:rsidR="004D0B19" w:rsidRPr="00904FCB">
        <w:rPr>
          <w:rFonts w:ascii="Tahoma" w:hAnsi="Tahoma" w:hint="cs"/>
          <w:sz w:val="27"/>
          <w:rtl/>
          <w:lang w:bidi="fa-IR"/>
        </w:rPr>
        <w:t>ِّ</w:t>
      </w:r>
      <w:r w:rsidRPr="00904FCB">
        <w:rPr>
          <w:rFonts w:ascii="Tahoma" w:hAnsi="Tahoma"/>
          <w:sz w:val="27"/>
          <w:rtl/>
          <w:lang w:bidi="fa-IR"/>
        </w:rPr>
        <w:t>د ومخالف</w:t>
      </w:r>
      <w:r w:rsidR="004D0B19" w:rsidRPr="00904FCB">
        <w:rPr>
          <w:rFonts w:ascii="Tahoma" w:hAnsi="Tahoma" w:hint="cs"/>
          <w:sz w:val="27"/>
          <w:rtl/>
          <w:lang w:bidi="fa-IR"/>
        </w:rPr>
        <w:t>،</w:t>
      </w:r>
      <w:r w:rsidRPr="00904FCB">
        <w:rPr>
          <w:rFonts w:ascii="Tahoma" w:hAnsi="Tahoma"/>
          <w:sz w:val="27"/>
          <w:rtl/>
          <w:lang w:bidi="fa-IR"/>
        </w:rPr>
        <w:t xml:space="preserve"> وبخاصة في المراكز الدينية</w:t>
      </w:r>
      <w:r w:rsidR="004D0B19" w:rsidRPr="00904FCB">
        <w:rPr>
          <w:rFonts w:ascii="Tahoma" w:hAnsi="Tahoma" w:hint="cs"/>
          <w:sz w:val="27"/>
          <w:rtl/>
          <w:lang w:bidi="fa-IR"/>
        </w:rPr>
        <w:t>،</w:t>
      </w:r>
      <w:r w:rsidRPr="00904FCB">
        <w:rPr>
          <w:rFonts w:ascii="Tahoma" w:hAnsi="Tahoma"/>
          <w:sz w:val="27"/>
          <w:rtl/>
          <w:lang w:bidi="fa-IR"/>
        </w:rPr>
        <w:t xml:space="preserve"> كالنجف ال</w:t>
      </w:r>
      <w:r w:rsidR="004D0B19" w:rsidRPr="00904FCB">
        <w:rPr>
          <w:rFonts w:ascii="Tahoma" w:hAnsi="Tahoma" w:hint="cs"/>
          <w:sz w:val="27"/>
          <w:rtl/>
          <w:lang w:bidi="fa-IR"/>
        </w:rPr>
        <w:t>أ</w:t>
      </w:r>
      <w:r w:rsidRPr="00904FCB">
        <w:rPr>
          <w:rFonts w:ascii="Tahoma" w:hAnsi="Tahoma"/>
          <w:sz w:val="27"/>
          <w:rtl/>
          <w:lang w:bidi="fa-IR"/>
        </w:rPr>
        <w:t>شرف، وقم المقدسة، وال</w:t>
      </w:r>
      <w:r w:rsidR="004D0B19" w:rsidRPr="00904FCB">
        <w:rPr>
          <w:rFonts w:ascii="Tahoma" w:hAnsi="Tahoma" w:hint="cs"/>
          <w:sz w:val="27"/>
          <w:rtl/>
          <w:lang w:bidi="fa-IR"/>
        </w:rPr>
        <w:t>أ</w:t>
      </w:r>
      <w:r w:rsidRPr="00904FCB">
        <w:rPr>
          <w:rFonts w:ascii="Tahoma" w:hAnsi="Tahoma"/>
          <w:sz w:val="27"/>
          <w:rtl/>
          <w:lang w:bidi="fa-IR"/>
        </w:rPr>
        <w:t>زهر الشريف</w:t>
      </w:r>
      <w:r w:rsidR="004D0B19" w:rsidRPr="00904FCB">
        <w:rPr>
          <w:rFonts w:ascii="Tahoma" w:hAnsi="Tahoma" w:hint="cs"/>
          <w:sz w:val="27"/>
          <w:rtl/>
          <w:lang w:bidi="fa-IR"/>
        </w:rPr>
        <w:t>،</w:t>
      </w:r>
      <w:r w:rsidRPr="00904FCB">
        <w:rPr>
          <w:rFonts w:ascii="Tahoma" w:hAnsi="Tahoma"/>
          <w:sz w:val="27"/>
          <w:rtl/>
          <w:lang w:bidi="fa-IR"/>
        </w:rPr>
        <w:t xml:space="preserve"> والزيتونة</w:t>
      </w:r>
      <w:r w:rsidR="004D0B19" w:rsidRPr="00904FCB">
        <w:rPr>
          <w:rFonts w:ascii="Tahoma" w:hAnsi="Tahoma" w:hint="cs"/>
          <w:sz w:val="27"/>
          <w:rtl/>
          <w:lang w:bidi="fa-IR"/>
        </w:rPr>
        <w:t>،</w:t>
      </w:r>
      <w:r w:rsidRPr="00904FCB">
        <w:rPr>
          <w:rFonts w:ascii="Tahoma" w:hAnsi="Tahoma"/>
          <w:sz w:val="27"/>
          <w:rtl/>
          <w:lang w:bidi="fa-IR"/>
        </w:rPr>
        <w:t xml:space="preserve"> والقيروان</w:t>
      </w:r>
      <w:r w:rsidR="004D0B19" w:rsidRPr="00904FCB">
        <w:rPr>
          <w:rFonts w:ascii="Tahoma" w:hAnsi="Tahoma" w:hint="cs"/>
          <w:sz w:val="27"/>
          <w:rtl/>
          <w:lang w:bidi="fa-IR"/>
        </w:rPr>
        <w:t>،</w:t>
      </w:r>
      <w:r w:rsidRPr="00904FCB">
        <w:rPr>
          <w:rFonts w:ascii="Tahoma" w:hAnsi="Tahoma"/>
          <w:sz w:val="27"/>
          <w:rtl/>
          <w:lang w:bidi="fa-IR"/>
        </w:rPr>
        <w:t xml:space="preserve"> فضلا</w:t>
      </w:r>
      <w:r w:rsidR="004D0B19" w:rsidRPr="00904FCB">
        <w:rPr>
          <w:rFonts w:ascii="Tahoma" w:hAnsi="Tahoma" w:hint="cs"/>
          <w:sz w:val="27"/>
          <w:rtl/>
          <w:lang w:bidi="fa-IR"/>
        </w:rPr>
        <w:t>ً</w:t>
      </w:r>
      <w:r w:rsidRPr="00904FCB">
        <w:rPr>
          <w:rFonts w:ascii="Tahoma" w:hAnsi="Tahoma"/>
          <w:sz w:val="27"/>
          <w:rtl/>
          <w:lang w:bidi="fa-IR"/>
        </w:rPr>
        <w:t xml:space="preserve"> عن المدارس الحقوقية الكثيرة، ومنها</w:t>
      </w:r>
      <w:r w:rsidR="004D0B19" w:rsidRPr="00904FCB">
        <w:rPr>
          <w:rFonts w:ascii="Tahoma" w:hAnsi="Tahoma" w:hint="cs"/>
          <w:sz w:val="27"/>
          <w:rtl/>
          <w:lang w:bidi="fa-IR"/>
        </w:rPr>
        <w:t>:</w:t>
      </w:r>
      <w:r w:rsidRPr="00904FCB">
        <w:rPr>
          <w:rFonts w:ascii="Tahoma" w:hAnsi="Tahoma"/>
          <w:sz w:val="27"/>
          <w:rtl/>
          <w:lang w:bidi="fa-IR"/>
        </w:rPr>
        <w:t xml:space="preserve"> مدرسة الخديوي</w:t>
      </w:r>
      <w:r w:rsidR="004D0B19" w:rsidRPr="00904FCB">
        <w:rPr>
          <w:rFonts w:ascii="Tahoma" w:hAnsi="Tahoma" w:hint="cs"/>
          <w:sz w:val="27"/>
          <w:rtl/>
          <w:lang w:bidi="fa-IR"/>
        </w:rPr>
        <w:t>،</w:t>
      </w:r>
      <w:r w:rsidRPr="00904FCB">
        <w:rPr>
          <w:rFonts w:ascii="Tahoma" w:hAnsi="Tahoma"/>
          <w:sz w:val="27"/>
          <w:rtl/>
          <w:lang w:bidi="fa-IR"/>
        </w:rPr>
        <w:t xml:space="preserve"> التي </w:t>
      </w:r>
      <w:r w:rsidR="004D0B19" w:rsidRPr="00904FCB">
        <w:rPr>
          <w:rFonts w:ascii="Tahoma" w:hAnsi="Tahoma" w:hint="cs"/>
          <w:sz w:val="27"/>
          <w:rtl/>
          <w:lang w:bidi="fa-IR"/>
        </w:rPr>
        <w:t>أ</w:t>
      </w:r>
      <w:r w:rsidRPr="00904FCB">
        <w:rPr>
          <w:rFonts w:ascii="Tahoma" w:hAnsi="Tahoma"/>
          <w:sz w:val="27"/>
          <w:rtl/>
          <w:lang w:bidi="fa-IR"/>
        </w:rPr>
        <w:t>س</w:t>
      </w:r>
      <w:r w:rsidR="004D0B19" w:rsidRPr="00904FCB">
        <w:rPr>
          <w:rFonts w:ascii="Tahoma" w:hAnsi="Tahoma" w:hint="cs"/>
          <w:sz w:val="27"/>
          <w:rtl/>
          <w:lang w:bidi="fa-IR"/>
        </w:rPr>
        <w:t>ّ</w:t>
      </w:r>
      <w:r w:rsidRPr="00904FCB">
        <w:rPr>
          <w:rFonts w:ascii="Tahoma" w:hAnsi="Tahoma"/>
          <w:sz w:val="27"/>
          <w:rtl/>
          <w:lang w:bidi="fa-IR"/>
        </w:rPr>
        <w:t>س</w:t>
      </w:r>
      <w:r w:rsidR="004D0B19" w:rsidRPr="00904FCB">
        <w:rPr>
          <w:rFonts w:ascii="Tahoma" w:hAnsi="Tahoma" w:hint="cs"/>
          <w:sz w:val="27"/>
          <w:rtl/>
          <w:lang w:bidi="fa-IR"/>
        </w:rPr>
        <w:t>ها</w:t>
      </w:r>
      <w:r w:rsidRPr="00904FCB">
        <w:rPr>
          <w:rFonts w:ascii="Tahoma" w:hAnsi="Tahoma"/>
          <w:sz w:val="27"/>
          <w:rtl/>
          <w:lang w:bidi="fa-IR"/>
        </w:rPr>
        <w:t xml:space="preserve"> عام (</w:t>
      </w:r>
      <w:r w:rsidRPr="002C04DA">
        <w:rPr>
          <w:rFonts w:ascii="Tahoma" w:hAnsi="Tahoma" w:hint="cs"/>
          <w:sz w:val="27"/>
          <w:rtl/>
          <w:lang w:bidi="ar-LB"/>
        </w:rPr>
        <w:t>1877</w:t>
      </w:r>
      <w:r w:rsidRPr="002C04DA">
        <w:rPr>
          <w:rFonts w:ascii="Tahoma" w:hAnsi="Tahoma"/>
          <w:sz w:val="27"/>
          <w:rtl/>
          <w:lang w:bidi="fa-IR"/>
        </w:rPr>
        <w:t>م</w:t>
      </w:r>
      <w:r w:rsidRPr="00904FCB">
        <w:rPr>
          <w:rFonts w:ascii="Tahoma" w:hAnsi="Tahoma"/>
          <w:sz w:val="27"/>
          <w:rtl/>
          <w:lang w:bidi="fa-IR"/>
        </w:rPr>
        <w:t>)</w:t>
      </w:r>
      <w:r w:rsidR="004D0B19" w:rsidRPr="00904FCB">
        <w:rPr>
          <w:rFonts w:ascii="Tahoma" w:hAnsi="Tahoma" w:hint="cs"/>
          <w:sz w:val="27"/>
          <w:rtl/>
          <w:lang w:bidi="fa-IR"/>
        </w:rPr>
        <w:t>،</w:t>
      </w:r>
      <w:r w:rsidRPr="00904FCB">
        <w:rPr>
          <w:rFonts w:ascii="Tahoma" w:hAnsi="Tahoma"/>
          <w:sz w:val="27"/>
          <w:rtl/>
          <w:lang w:bidi="fa-IR"/>
        </w:rPr>
        <w:t xml:space="preserve"> </w:t>
      </w:r>
      <w:r w:rsidR="004D0B19" w:rsidRPr="00904FCB">
        <w:rPr>
          <w:rFonts w:ascii="Tahoma" w:hAnsi="Tahoma" w:hint="cs"/>
          <w:sz w:val="27"/>
          <w:rtl/>
          <w:lang w:bidi="fa-IR"/>
        </w:rPr>
        <w:t>و</w:t>
      </w:r>
      <w:r w:rsidRPr="00904FCB">
        <w:rPr>
          <w:rFonts w:ascii="Tahoma" w:hAnsi="Tahoma"/>
          <w:sz w:val="27"/>
          <w:rtl/>
          <w:lang w:bidi="fa-IR"/>
        </w:rPr>
        <w:t>التي در</w:t>
      </w:r>
      <w:r w:rsidR="004D0B19" w:rsidRPr="00904FCB">
        <w:rPr>
          <w:rFonts w:ascii="Tahoma" w:hAnsi="Tahoma" w:hint="cs"/>
          <w:sz w:val="27"/>
          <w:rtl/>
          <w:lang w:bidi="fa-IR"/>
        </w:rPr>
        <w:t>ّ</w:t>
      </w:r>
      <w:r w:rsidRPr="00904FCB">
        <w:rPr>
          <w:rFonts w:ascii="Tahoma" w:hAnsi="Tahoma"/>
          <w:sz w:val="27"/>
          <w:rtl/>
          <w:lang w:bidi="fa-IR"/>
        </w:rPr>
        <w:t>ست قواعد الشريعة ال</w:t>
      </w:r>
      <w:r w:rsidR="004D0B19" w:rsidRPr="00904FCB">
        <w:rPr>
          <w:rFonts w:ascii="Tahoma" w:hAnsi="Tahoma" w:hint="cs"/>
          <w:sz w:val="27"/>
          <w:rtl/>
          <w:lang w:bidi="fa-IR"/>
        </w:rPr>
        <w:t>إ</w:t>
      </w:r>
      <w:r w:rsidRPr="00904FCB">
        <w:rPr>
          <w:rFonts w:ascii="Tahoma" w:hAnsi="Tahoma"/>
          <w:sz w:val="27"/>
          <w:rtl/>
          <w:lang w:bidi="fa-IR"/>
        </w:rPr>
        <w:t xml:space="preserve">سلامية مقابل القوانين الوضعية. </w:t>
      </w:r>
    </w:p>
    <w:p w:rsidR="00644408" w:rsidRPr="00904FCB" w:rsidRDefault="00644408" w:rsidP="00062936">
      <w:pPr>
        <w:autoSpaceDE w:val="0"/>
        <w:autoSpaceDN w:val="0"/>
        <w:adjustRightInd w:val="0"/>
        <w:spacing w:line="400" w:lineRule="exact"/>
        <w:rPr>
          <w:rFonts w:ascii="Tahoma" w:hAnsi="Tahoma"/>
          <w:sz w:val="27"/>
          <w:lang w:bidi="fa-IR"/>
        </w:rPr>
      </w:pPr>
      <w:r w:rsidRPr="00904FCB">
        <w:rPr>
          <w:rFonts w:ascii="Tahoma" w:hAnsi="Tahoma"/>
          <w:sz w:val="27"/>
          <w:rtl/>
          <w:lang w:bidi="fa-IR"/>
        </w:rPr>
        <w:t>وبالمقابل نشأت ت</w:t>
      </w:r>
      <w:r w:rsidR="004D0B19" w:rsidRPr="00904FCB">
        <w:rPr>
          <w:rFonts w:ascii="Tahoma" w:hAnsi="Tahoma" w:hint="cs"/>
          <w:sz w:val="27"/>
          <w:rtl/>
          <w:lang w:bidi="fa-IR"/>
        </w:rPr>
        <w:t>يّ</w:t>
      </w:r>
      <w:r w:rsidRPr="00904FCB">
        <w:rPr>
          <w:rFonts w:ascii="Tahoma" w:hAnsi="Tahoma"/>
          <w:sz w:val="27"/>
          <w:rtl/>
          <w:lang w:bidi="fa-IR"/>
        </w:rPr>
        <w:t>ارت تطالب المجل</w:t>
      </w:r>
      <w:r w:rsidR="004D0B19" w:rsidRPr="00904FCB">
        <w:rPr>
          <w:rFonts w:ascii="Tahoma" w:hAnsi="Tahoma" w:hint="cs"/>
          <w:sz w:val="27"/>
          <w:rtl/>
          <w:lang w:bidi="fa-IR"/>
        </w:rPr>
        <w:t>ّ</w:t>
      </w:r>
      <w:r w:rsidRPr="00904FCB">
        <w:rPr>
          <w:rFonts w:ascii="Tahoma" w:hAnsi="Tahoma"/>
          <w:sz w:val="27"/>
          <w:rtl/>
          <w:lang w:bidi="fa-IR"/>
        </w:rPr>
        <w:t xml:space="preserve">ة بالعودة في بعض </w:t>
      </w:r>
      <w:r w:rsidR="004D0B19" w:rsidRPr="00904FCB">
        <w:rPr>
          <w:rFonts w:ascii="Tahoma" w:hAnsi="Tahoma" w:hint="cs"/>
          <w:sz w:val="27"/>
          <w:rtl/>
          <w:lang w:bidi="fa-IR"/>
        </w:rPr>
        <w:t>أ</w:t>
      </w:r>
      <w:r w:rsidRPr="00904FCB">
        <w:rPr>
          <w:rFonts w:ascii="Tahoma" w:hAnsi="Tahoma"/>
          <w:sz w:val="27"/>
          <w:rtl/>
          <w:lang w:bidi="fa-IR"/>
        </w:rPr>
        <w:t xml:space="preserve">حكامها </w:t>
      </w:r>
      <w:r w:rsidR="004D0B19" w:rsidRPr="00904FCB">
        <w:rPr>
          <w:rFonts w:ascii="Tahoma" w:hAnsi="Tahoma" w:hint="cs"/>
          <w:sz w:val="27"/>
          <w:rtl/>
          <w:lang w:bidi="fa-IR"/>
        </w:rPr>
        <w:t>إ</w:t>
      </w:r>
      <w:r w:rsidRPr="00904FCB">
        <w:rPr>
          <w:rFonts w:ascii="Tahoma" w:hAnsi="Tahoma"/>
          <w:sz w:val="27"/>
          <w:rtl/>
          <w:lang w:bidi="fa-IR"/>
        </w:rPr>
        <w:t xml:space="preserve">لى </w:t>
      </w:r>
      <w:r w:rsidR="004D0B19" w:rsidRPr="00904FCB">
        <w:rPr>
          <w:rFonts w:ascii="Tahoma" w:hAnsi="Tahoma" w:hint="cs"/>
          <w:sz w:val="27"/>
          <w:rtl/>
          <w:lang w:bidi="fa-IR"/>
        </w:rPr>
        <w:t>أ</w:t>
      </w:r>
      <w:r w:rsidRPr="00904FCB">
        <w:rPr>
          <w:rFonts w:ascii="Tahoma" w:hAnsi="Tahoma"/>
          <w:sz w:val="27"/>
          <w:rtl/>
          <w:lang w:bidi="fa-IR"/>
        </w:rPr>
        <w:t>حضان ال</w:t>
      </w:r>
      <w:r w:rsidR="004D0B19" w:rsidRPr="00904FCB">
        <w:rPr>
          <w:rFonts w:ascii="Tahoma" w:hAnsi="Tahoma" w:hint="cs"/>
          <w:sz w:val="27"/>
          <w:rtl/>
          <w:lang w:bidi="fa-IR"/>
        </w:rPr>
        <w:t>أ</w:t>
      </w:r>
      <w:r w:rsidRPr="00904FCB">
        <w:rPr>
          <w:rFonts w:ascii="Tahoma" w:hAnsi="Tahoma"/>
          <w:sz w:val="27"/>
          <w:rtl/>
          <w:lang w:bidi="fa-IR"/>
        </w:rPr>
        <w:t>حكام الشرعية</w:t>
      </w:r>
      <w:r w:rsidR="004D0B19" w:rsidRPr="00904FCB">
        <w:rPr>
          <w:rFonts w:ascii="Tahoma" w:hAnsi="Tahoma" w:hint="cs"/>
          <w:sz w:val="27"/>
          <w:rtl/>
          <w:lang w:bidi="fa-IR"/>
        </w:rPr>
        <w:t>،</w:t>
      </w:r>
      <w:r w:rsidRPr="00904FCB">
        <w:rPr>
          <w:rFonts w:ascii="Tahoma" w:hAnsi="Tahoma"/>
          <w:sz w:val="27"/>
          <w:rtl/>
          <w:lang w:bidi="fa-IR"/>
        </w:rPr>
        <w:t xml:space="preserve"> ب</w:t>
      </w:r>
      <w:r w:rsidR="004D0B19" w:rsidRPr="00904FCB">
        <w:rPr>
          <w:rFonts w:ascii="Tahoma" w:hAnsi="Tahoma" w:hint="cs"/>
          <w:sz w:val="27"/>
          <w:rtl/>
          <w:lang w:bidi="fa-IR"/>
        </w:rPr>
        <w:t>َ</w:t>
      </w:r>
      <w:r w:rsidRPr="00904FCB">
        <w:rPr>
          <w:rFonts w:ascii="Tahoma" w:hAnsi="Tahoma"/>
          <w:sz w:val="27"/>
          <w:rtl/>
          <w:lang w:bidi="fa-IR"/>
        </w:rPr>
        <w:t>د</w:t>
      </w:r>
      <w:r w:rsidR="004D0B19" w:rsidRPr="00904FCB">
        <w:rPr>
          <w:rFonts w:ascii="Tahoma" w:hAnsi="Tahoma" w:hint="cs"/>
          <w:sz w:val="27"/>
          <w:rtl/>
          <w:lang w:bidi="fa-IR"/>
        </w:rPr>
        <w:t>َ</w:t>
      </w:r>
      <w:r w:rsidRPr="00904FCB">
        <w:rPr>
          <w:rFonts w:ascii="Tahoma" w:hAnsi="Tahoma"/>
          <w:sz w:val="27"/>
          <w:rtl/>
          <w:lang w:bidi="fa-IR"/>
        </w:rPr>
        <w:t>لا</w:t>
      </w:r>
      <w:r w:rsidR="004D0B19" w:rsidRPr="00904FCB">
        <w:rPr>
          <w:rFonts w:ascii="Tahoma" w:hAnsi="Tahoma" w:hint="cs"/>
          <w:sz w:val="27"/>
          <w:rtl/>
          <w:lang w:bidi="fa-IR"/>
        </w:rPr>
        <w:t>ً</w:t>
      </w:r>
      <w:r w:rsidRPr="00904FCB">
        <w:rPr>
          <w:rFonts w:ascii="Tahoma" w:hAnsi="Tahoma"/>
          <w:sz w:val="27"/>
          <w:rtl/>
          <w:lang w:bidi="fa-IR"/>
        </w:rPr>
        <w:t xml:space="preserve"> من ال</w:t>
      </w:r>
      <w:r w:rsidR="004D0B19" w:rsidRPr="00904FCB">
        <w:rPr>
          <w:rFonts w:ascii="Tahoma" w:hAnsi="Tahoma" w:hint="cs"/>
          <w:sz w:val="27"/>
          <w:rtl/>
          <w:lang w:bidi="fa-IR"/>
        </w:rPr>
        <w:t>أ</w:t>
      </w:r>
      <w:r w:rsidRPr="00904FCB">
        <w:rPr>
          <w:rFonts w:ascii="Tahoma" w:hAnsi="Tahoma"/>
          <w:sz w:val="27"/>
          <w:rtl/>
          <w:lang w:bidi="fa-IR"/>
        </w:rPr>
        <w:t xml:space="preserve">حكام الوضعية. </w:t>
      </w:r>
    </w:p>
    <w:p w:rsidR="00644408" w:rsidRPr="00904FCB" w:rsidRDefault="00644408" w:rsidP="00510A75">
      <w:pPr>
        <w:pStyle w:val="31"/>
        <w:spacing w:line="400" w:lineRule="exact"/>
        <w:rPr>
          <w:color w:val="auto"/>
          <w:lang w:bidi="fa-IR"/>
        </w:rPr>
      </w:pPr>
      <w:r w:rsidRPr="00904FCB">
        <w:rPr>
          <w:color w:val="auto"/>
          <w:rtl/>
          <w:lang w:bidi="fa-IR"/>
        </w:rPr>
        <w:lastRenderedPageBreak/>
        <w:t>المبحث الخامس</w:t>
      </w:r>
      <w:r w:rsidRPr="00904FCB">
        <w:rPr>
          <w:rFonts w:hint="cs"/>
          <w:color w:val="auto"/>
          <w:rtl/>
          <w:lang w:bidi="fa-IR"/>
        </w:rPr>
        <w:t>: (</w:t>
      </w:r>
      <w:r w:rsidRPr="00904FCB">
        <w:rPr>
          <w:color w:val="auto"/>
          <w:rtl/>
          <w:lang w:bidi="fa-IR"/>
        </w:rPr>
        <w:t>تحرير المجلة)</w:t>
      </w:r>
      <w:r w:rsidR="00106283" w:rsidRPr="00904FCB">
        <w:rPr>
          <w:rFonts w:hint="cs"/>
          <w:color w:val="auto"/>
          <w:rtl/>
          <w:lang w:bidi="fa-IR"/>
        </w:rPr>
        <w:t>،</w:t>
      </w:r>
      <w:r w:rsidRPr="00904FCB">
        <w:rPr>
          <w:color w:val="auto"/>
          <w:rtl/>
          <w:lang w:bidi="fa-IR"/>
        </w:rPr>
        <w:t xml:space="preserve"> للشيخ محمد حسين آل كاشف الغطاء</w:t>
      </w:r>
      <w:r w:rsidRPr="00904FCB">
        <w:rPr>
          <w:rFonts w:hint="cs"/>
          <w:color w:val="auto"/>
          <w:rtl/>
          <w:lang w:bidi="fa-IR"/>
        </w:rPr>
        <w:t xml:space="preserve"> (</w:t>
      </w:r>
      <w:r w:rsidRPr="00904FCB">
        <w:rPr>
          <w:color w:val="auto"/>
          <w:rtl/>
          <w:lang w:bidi="fa-IR"/>
        </w:rPr>
        <w:t>تطبيقا</w:t>
      </w:r>
      <w:r w:rsidR="00106283" w:rsidRPr="00904FCB">
        <w:rPr>
          <w:rFonts w:hint="cs"/>
          <w:color w:val="auto"/>
          <w:rtl/>
          <w:lang w:bidi="fa-IR"/>
        </w:rPr>
        <w:t>ً</w:t>
      </w:r>
      <w:r w:rsidRPr="00904FCB">
        <w:rPr>
          <w:color w:val="auto"/>
          <w:rtl/>
          <w:lang w:bidi="fa-IR"/>
        </w:rPr>
        <w:t xml:space="preserve"> لتقنين الفقه في مدرسة أهل البيت</w:t>
      </w:r>
      <w:r w:rsidR="00510A75" w:rsidRPr="00904FCB">
        <w:rPr>
          <w:rFonts w:ascii="Mosawi" w:hAnsi="Mosawi" w:cs="Mosawi"/>
          <w:color w:val="auto"/>
          <w:rtl/>
          <w:lang w:bidi="fa-IR"/>
        </w:rPr>
        <w:t>^</w:t>
      </w:r>
      <w:r w:rsidRPr="00904FCB">
        <w:rPr>
          <w:rFonts w:hint="cs"/>
          <w:color w:val="auto"/>
          <w:rtl/>
          <w:lang w:bidi="fa-IR"/>
        </w:rPr>
        <w:t>)</w:t>
      </w:r>
    </w:p>
    <w:p w:rsidR="00644408" w:rsidRPr="00904FCB" w:rsidRDefault="00644408" w:rsidP="00BE70B3">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كان الشيخ محمد حسين آل كاشف الغطاء(</w:t>
      </w:r>
      <w:r w:rsidRPr="002C04DA">
        <w:rPr>
          <w:rFonts w:ascii="Tahoma" w:hAnsi="Tahoma" w:hint="cs"/>
          <w:sz w:val="27"/>
          <w:rtl/>
          <w:lang w:bidi="ar-LB"/>
        </w:rPr>
        <w:t>1373</w:t>
      </w:r>
      <w:r w:rsidRPr="002C04DA">
        <w:rPr>
          <w:rFonts w:ascii="Tahoma" w:hAnsi="Tahoma"/>
          <w:sz w:val="27"/>
          <w:rtl/>
          <w:lang w:bidi="fa-IR"/>
        </w:rPr>
        <w:t>هـ</w:t>
      </w:r>
      <w:r w:rsidRPr="00904FCB">
        <w:rPr>
          <w:rFonts w:ascii="Tahoma" w:hAnsi="Tahoma"/>
          <w:sz w:val="27"/>
          <w:rtl/>
          <w:lang w:bidi="fa-IR"/>
        </w:rPr>
        <w:t xml:space="preserve"> ـ </w:t>
      </w:r>
      <w:r w:rsidRPr="002C04DA">
        <w:rPr>
          <w:rFonts w:ascii="Tahoma" w:hAnsi="Tahoma" w:hint="cs"/>
          <w:sz w:val="27"/>
          <w:rtl/>
          <w:lang w:bidi="ar-LB"/>
        </w:rPr>
        <w:t>1954</w:t>
      </w:r>
      <w:r w:rsidRPr="002C04DA">
        <w:rPr>
          <w:rFonts w:ascii="Tahoma" w:hAnsi="Tahoma"/>
          <w:sz w:val="27"/>
          <w:rtl/>
          <w:lang w:bidi="fa-IR"/>
        </w:rPr>
        <w:t>م</w:t>
      </w:r>
      <w:r w:rsidRPr="00904FCB">
        <w:rPr>
          <w:rFonts w:ascii="Tahoma" w:hAnsi="Tahoma"/>
          <w:sz w:val="27"/>
          <w:rtl/>
          <w:lang w:bidi="fa-IR"/>
        </w:rPr>
        <w:t>) من الذين شرحوا مجل</w:t>
      </w:r>
      <w:r w:rsidR="00106283" w:rsidRPr="00904FCB">
        <w:rPr>
          <w:rFonts w:ascii="Tahoma" w:hAnsi="Tahoma" w:hint="cs"/>
          <w:sz w:val="27"/>
          <w:rtl/>
          <w:lang w:bidi="fa-IR"/>
        </w:rPr>
        <w:t>ّ</w:t>
      </w:r>
      <w:r w:rsidRPr="00904FCB">
        <w:rPr>
          <w:rFonts w:ascii="Tahoma" w:hAnsi="Tahoma"/>
          <w:sz w:val="27"/>
          <w:rtl/>
          <w:lang w:bidi="fa-IR"/>
        </w:rPr>
        <w:t>ة ال</w:t>
      </w:r>
      <w:r w:rsidR="00106283" w:rsidRPr="00904FCB">
        <w:rPr>
          <w:rFonts w:ascii="Tahoma" w:hAnsi="Tahoma" w:hint="cs"/>
          <w:sz w:val="27"/>
          <w:rtl/>
          <w:lang w:bidi="fa-IR"/>
        </w:rPr>
        <w:t>أ</w:t>
      </w:r>
      <w:r w:rsidRPr="00904FCB">
        <w:rPr>
          <w:rFonts w:ascii="Tahoma" w:hAnsi="Tahoma"/>
          <w:sz w:val="27"/>
          <w:rtl/>
          <w:lang w:bidi="fa-IR"/>
        </w:rPr>
        <w:t>حكام العدلية، وعل</w:t>
      </w:r>
      <w:r w:rsidR="00106283" w:rsidRPr="00904FCB">
        <w:rPr>
          <w:rFonts w:ascii="Tahoma" w:hAnsi="Tahoma" w:hint="cs"/>
          <w:sz w:val="27"/>
          <w:rtl/>
          <w:lang w:bidi="fa-IR"/>
        </w:rPr>
        <w:t>َّ</w:t>
      </w:r>
      <w:r w:rsidRPr="00904FCB">
        <w:rPr>
          <w:rFonts w:ascii="Tahoma" w:hAnsi="Tahoma"/>
          <w:sz w:val="27"/>
          <w:rtl/>
          <w:lang w:bidi="fa-IR"/>
        </w:rPr>
        <w:t>ق عليها</w:t>
      </w:r>
      <w:r w:rsidR="00106283" w:rsidRPr="00904FCB">
        <w:rPr>
          <w:rFonts w:ascii="Tahoma" w:hAnsi="Tahoma" w:hint="cs"/>
          <w:sz w:val="27"/>
          <w:rtl/>
          <w:lang w:bidi="fa-IR"/>
        </w:rPr>
        <w:t>،</w:t>
      </w:r>
      <w:r w:rsidRPr="00904FCB">
        <w:rPr>
          <w:rFonts w:ascii="Tahoma" w:hAnsi="Tahoma"/>
          <w:sz w:val="27"/>
          <w:rtl/>
          <w:lang w:bidi="fa-IR"/>
        </w:rPr>
        <w:t xml:space="preserve"> ونقد بعض بنودها</w:t>
      </w:r>
      <w:r w:rsidR="00106283" w:rsidRPr="00904FCB">
        <w:rPr>
          <w:rFonts w:ascii="Tahoma" w:hAnsi="Tahoma" w:hint="cs"/>
          <w:sz w:val="27"/>
          <w:rtl/>
          <w:lang w:bidi="fa-IR"/>
        </w:rPr>
        <w:t>،</w:t>
      </w:r>
      <w:r w:rsidRPr="00904FCB">
        <w:rPr>
          <w:rFonts w:ascii="Tahoma" w:hAnsi="Tahoma"/>
          <w:sz w:val="27"/>
          <w:rtl/>
          <w:lang w:bidi="fa-IR"/>
        </w:rPr>
        <w:t xml:space="preserve"> و</w:t>
      </w:r>
      <w:r w:rsidR="00106283" w:rsidRPr="00904FCB">
        <w:rPr>
          <w:rFonts w:ascii="Tahoma" w:hAnsi="Tahoma" w:hint="cs"/>
          <w:sz w:val="27"/>
          <w:rtl/>
          <w:lang w:bidi="fa-IR"/>
        </w:rPr>
        <w:t>أ</w:t>
      </w:r>
      <w:r w:rsidRPr="00904FCB">
        <w:rPr>
          <w:rFonts w:ascii="Tahoma" w:hAnsi="Tahoma"/>
          <w:sz w:val="27"/>
          <w:rtl/>
          <w:lang w:bidi="fa-IR"/>
        </w:rPr>
        <w:t xml:space="preserve">ضاف </w:t>
      </w:r>
      <w:r w:rsidR="00106283" w:rsidRPr="00904FCB">
        <w:rPr>
          <w:rFonts w:ascii="Tahoma" w:hAnsi="Tahoma" w:hint="cs"/>
          <w:sz w:val="27"/>
          <w:rtl/>
          <w:lang w:bidi="fa-IR"/>
        </w:rPr>
        <w:t>إ</w:t>
      </w:r>
      <w:r w:rsidRPr="00904FCB">
        <w:rPr>
          <w:rFonts w:ascii="Tahoma" w:hAnsi="Tahoma"/>
          <w:sz w:val="27"/>
          <w:rtl/>
          <w:lang w:bidi="fa-IR"/>
        </w:rPr>
        <w:t>ليها دراسة</w:t>
      </w:r>
      <w:r w:rsidR="00106283" w:rsidRPr="00904FCB">
        <w:rPr>
          <w:rFonts w:ascii="Tahoma" w:hAnsi="Tahoma" w:hint="cs"/>
          <w:sz w:val="27"/>
          <w:rtl/>
          <w:lang w:bidi="fa-IR"/>
        </w:rPr>
        <w:t>ً</w:t>
      </w:r>
      <w:r w:rsidRPr="00904FCB">
        <w:rPr>
          <w:rFonts w:ascii="Tahoma" w:hAnsi="Tahoma"/>
          <w:sz w:val="27"/>
          <w:rtl/>
          <w:lang w:bidi="fa-IR"/>
        </w:rPr>
        <w:t xml:space="preserve"> علمية رصينة</w:t>
      </w:r>
      <w:r w:rsidR="00106283" w:rsidRPr="00904FCB">
        <w:rPr>
          <w:rFonts w:ascii="Tahoma" w:hAnsi="Tahoma" w:hint="cs"/>
          <w:sz w:val="27"/>
          <w:rtl/>
          <w:lang w:bidi="fa-IR"/>
        </w:rPr>
        <w:t>،</w:t>
      </w:r>
      <w:r w:rsidRPr="00904FCB">
        <w:rPr>
          <w:rFonts w:ascii="Tahoma" w:hAnsi="Tahoma"/>
          <w:sz w:val="27"/>
          <w:rtl/>
          <w:lang w:bidi="fa-IR"/>
        </w:rPr>
        <w:t xml:space="preserve"> واستدرك على </w:t>
      </w:r>
      <w:r w:rsidR="00106283" w:rsidRPr="00904FCB">
        <w:rPr>
          <w:rFonts w:ascii="Tahoma" w:hAnsi="Tahoma" w:hint="cs"/>
          <w:sz w:val="27"/>
          <w:rtl/>
          <w:lang w:bidi="fa-IR"/>
        </w:rPr>
        <w:t>أ</w:t>
      </w:r>
      <w:r w:rsidRPr="00904FCB">
        <w:rPr>
          <w:rFonts w:ascii="Tahoma" w:hAnsi="Tahoma"/>
          <w:sz w:val="27"/>
          <w:rtl/>
          <w:lang w:bidi="fa-IR"/>
        </w:rPr>
        <w:t xml:space="preserve">حكامها وفق مدرسة </w:t>
      </w:r>
      <w:r w:rsidR="00106283" w:rsidRPr="00904FCB">
        <w:rPr>
          <w:rFonts w:ascii="Tahoma" w:hAnsi="Tahoma" w:hint="cs"/>
          <w:sz w:val="27"/>
          <w:rtl/>
          <w:lang w:bidi="fa-IR"/>
        </w:rPr>
        <w:t>أ</w:t>
      </w:r>
      <w:r w:rsidRPr="00904FCB">
        <w:rPr>
          <w:rFonts w:ascii="Tahoma" w:hAnsi="Tahoma"/>
          <w:sz w:val="27"/>
          <w:rtl/>
          <w:lang w:bidi="fa-IR"/>
        </w:rPr>
        <w:t>هل البيت</w:t>
      </w:r>
      <w:r w:rsidR="001C1A2A" w:rsidRPr="00904FCB">
        <w:rPr>
          <w:rFonts w:ascii="Tahoma" w:hAnsi="Tahoma" w:cs="Mosawi"/>
          <w:sz w:val="27"/>
          <w:szCs w:val="22"/>
          <w:rtl/>
          <w:lang w:bidi="fa-IR"/>
        </w:rPr>
        <w:t>×</w:t>
      </w:r>
      <w:r w:rsidR="00106283" w:rsidRPr="00904FCB">
        <w:rPr>
          <w:rFonts w:ascii="Tahoma" w:hAnsi="Tahoma" w:hint="cs"/>
          <w:sz w:val="27"/>
          <w:rtl/>
          <w:lang w:bidi="fa-IR"/>
        </w:rPr>
        <w:t>.</w:t>
      </w:r>
      <w:r w:rsidRPr="00904FCB">
        <w:rPr>
          <w:rFonts w:ascii="Tahoma" w:hAnsi="Tahoma"/>
          <w:sz w:val="27"/>
          <w:rtl/>
          <w:lang w:bidi="fa-IR"/>
        </w:rPr>
        <w:t xml:space="preserve"> فجاء</w:t>
      </w:r>
      <w:r w:rsidR="00106283" w:rsidRPr="00904FCB">
        <w:rPr>
          <w:rFonts w:ascii="Tahoma" w:hAnsi="Tahoma" w:hint="cs"/>
          <w:sz w:val="27"/>
          <w:rtl/>
          <w:lang w:bidi="fa-IR"/>
        </w:rPr>
        <w:t>َ</w:t>
      </w:r>
      <w:r w:rsidRPr="00904FCB">
        <w:rPr>
          <w:rFonts w:ascii="Tahoma" w:hAnsi="Tahoma"/>
          <w:sz w:val="27"/>
          <w:rtl/>
          <w:lang w:bidi="fa-IR"/>
        </w:rPr>
        <w:t>ت</w:t>
      </w:r>
      <w:r w:rsidR="00106283" w:rsidRPr="00904FCB">
        <w:rPr>
          <w:rFonts w:ascii="Tahoma" w:hAnsi="Tahoma" w:hint="cs"/>
          <w:sz w:val="27"/>
          <w:rtl/>
          <w:lang w:bidi="fa-IR"/>
        </w:rPr>
        <w:t>ْ</w:t>
      </w:r>
      <w:r w:rsidRPr="00904FCB">
        <w:rPr>
          <w:rFonts w:ascii="Tahoma" w:hAnsi="Tahoma"/>
          <w:sz w:val="27"/>
          <w:rtl/>
          <w:lang w:bidi="fa-IR"/>
        </w:rPr>
        <w:t xml:space="preserve"> بحق</w:t>
      </w:r>
      <w:r w:rsidR="00106283" w:rsidRPr="00904FCB">
        <w:rPr>
          <w:rFonts w:ascii="Tahoma" w:hAnsi="Tahoma" w:hint="cs"/>
          <w:sz w:val="27"/>
          <w:rtl/>
          <w:lang w:bidi="fa-IR"/>
        </w:rPr>
        <w:t>ٍّ</w:t>
      </w:r>
      <w:r w:rsidRPr="00904FCB">
        <w:rPr>
          <w:rFonts w:ascii="Tahoma" w:hAnsi="Tahoma"/>
          <w:sz w:val="27"/>
          <w:rtl/>
          <w:lang w:bidi="fa-IR"/>
        </w:rPr>
        <w:t xml:space="preserve"> </w:t>
      </w:r>
      <w:r w:rsidR="00106283" w:rsidRPr="00904FCB">
        <w:rPr>
          <w:rFonts w:ascii="Tahoma" w:hAnsi="Tahoma" w:hint="cs"/>
          <w:sz w:val="27"/>
          <w:rtl/>
          <w:lang w:bidi="fa-IR"/>
        </w:rPr>
        <w:t>أ</w:t>
      </w:r>
      <w:r w:rsidRPr="00904FCB">
        <w:rPr>
          <w:rFonts w:ascii="Tahoma" w:hAnsi="Tahoma"/>
          <w:sz w:val="27"/>
          <w:rtl/>
          <w:lang w:bidi="fa-IR"/>
        </w:rPr>
        <w:t>ول دراسة في مجال تقنين الفقه ال</w:t>
      </w:r>
      <w:r w:rsidR="00106283" w:rsidRPr="00904FCB">
        <w:rPr>
          <w:rFonts w:ascii="Tahoma" w:hAnsi="Tahoma" w:hint="cs"/>
          <w:sz w:val="27"/>
          <w:rtl/>
          <w:lang w:bidi="fa-IR"/>
        </w:rPr>
        <w:t>إ</w:t>
      </w:r>
      <w:r w:rsidRPr="00904FCB">
        <w:rPr>
          <w:rFonts w:ascii="Tahoma" w:hAnsi="Tahoma"/>
          <w:sz w:val="27"/>
          <w:rtl/>
          <w:lang w:bidi="fa-IR"/>
        </w:rPr>
        <w:t>سلامي في هذه المدرسة</w:t>
      </w:r>
      <w:r w:rsidR="00106283" w:rsidRPr="00904FCB">
        <w:rPr>
          <w:rFonts w:ascii="Tahoma" w:hAnsi="Tahoma" w:hint="cs"/>
          <w:sz w:val="27"/>
          <w:rtl/>
          <w:lang w:bidi="fa-IR"/>
        </w:rPr>
        <w:t>،</w:t>
      </w:r>
      <w:r w:rsidRPr="00904FCB">
        <w:rPr>
          <w:rFonts w:ascii="Tahoma" w:hAnsi="Tahoma"/>
          <w:sz w:val="27"/>
          <w:rtl/>
          <w:lang w:bidi="fa-IR"/>
        </w:rPr>
        <w:t xml:space="preserve"> وعلى نهج (مجلة ا</w:t>
      </w:r>
      <w:r w:rsidR="00106283" w:rsidRPr="00904FCB">
        <w:rPr>
          <w:rFonts w:ascii="Tahoma" w:hAnsi="Tahoma" w:hint="cs"/>
          <w:sz w:val="27"/>
          <w:rtl/>
          <w:lang w:bidi="fa-IR"/>
        </w:rPr>
        <w:t>لأ</w:t>
      </w:r>
      <w:r w:rsidRPr="00904FCB">
        <w:rPr>
          <w:rFonts w:ascii="Tahoma" w:hAnsi="Tahoma"/>
          <w:sz w:val="27"/>
          <w:rtl/>
          <w:lang w:bidi="fa-IR"/>
        </w:rPr>
        <w:t>حكام العدلية)</w:t>
      </w:r>
      <w:r w:rsidR="00106283" w:rsidRPr="00904FCB">
        <w:rPr>
          <w:rFonts w:ascii="Tahoma" w:hAnsi="Tahoma" w:hint="cs"/>
          <w:sz w:val="27"/>
          <w:rtl/>
          <w:lang w:bidi="fa-IR"/>
        </w:rPr>
        <w:t>؛</w:t>
      </w:r>
      <w:r w:rsidRPr="00904FCB">
        <w:rPr>
          <w:rFonts w:ascii="Tahoma" w:hAnsi="Tahoma"/>
          <w:sz w:val="27"/>
          <w:rtl/>
          <w:lang w:bidi="fa-IR"/>
        </w:rPr>
        <w:t xml:space="preserve"> لأنها </w:t>
      </w:r>
      <w:r w:rsidR="00106283" w:rsidRPr="00904FCB">
        <w:rPr>
          <w:rFonts w:ascii="Tahoma" w:hAnsi="Tahoma" w:hint="cs"/>
          <w:sz w:val="27"/>
          <w:rtl/>
          <w:lang w:bidi="fa-IR"/>
        </w:rPr>
        <w:t xml:space="preserve">ـ </w:t>
      </w:r>
      <w:r w:rsidRPr="00904FCB">
        <w:rPr>
          <w:rFonts w:ascii="Tahoma" w:hAnsi="Tahoma"/>
          <w:sz w:val="27"/>
          <w:rtl/>
          <w:lang w:bidi="fa-IR"/>
        </w:rPr>
        <w:t>كما يقول الشيخ في مقد</w:t>
      </w:r>
      <w:r w:rsidR="00106283" w:rsidRPr="00904FCB">
        <w:rPr>
          <w:rFonts w:ascii="Tahoma" w:hAnsi="Tahoma" w:hint="cs"/>
          <w:sz w:val="27"/>
          <w:rtl/>
          <w:lang w:bidi="fa-IR"/>
        </w:rPr>
        <w:t>ّ</w:t>
      </w:r>
      <w:r w:rsidRPr="00904FCB">
        <w:rPr>
          <w:rFonts w:ascii="Tahoma" w:hAnsi="Tahoma"/>
          <w:sz w:val="27"/>
          <w:rtl/>
          <w:lang w:bidi="fa-IR"/>
        </w:rPr>
        <w:t xml:space="preserve">مته عنها </w:t>
      </w:r>
      <w:r w:rsidR="00106283" w:rsidRPr="00904FCB">
        <w:rPr>
          <w:rFonts w:ascii="Tahoma" w:hAnsi="Tahoma" w:hint="cs"/>
          <w:sz w:val="27"/>
          <w:rtl/>
          <w:lang w:bidi="fa-IR"/>
        </w:rPr>
        <w:t xml:space="preserve">ـ </w:t>
      </w:r>
      <w:r w:rsidR="00106283" w:rsidRPr="00904FCB">
        <w:rPr>
          <w:rFonts w:hint="eastAsia"/>
          <w:sz w:val="27"/>
          <w:rtl/>
        </w:rPr>
        <w:t>«</w:t>
      </w:r>
      <w:r w:rsidRPr="00904FCB">
        <w:rPr>
          <w:rFonts w:ascii="Tahoma" w:hAnsi="Tahoma"/>
          <w:sz w:val="27"/>
          <w:rtl/>
          <w:lang w:bidi="fa-IR"/>
        </w:rPr>
        <w:t>تضم</w:t>
      </w:r>
      <w:r w:rsidR="00106283" w:rsidRPr="00904FCB">
        <w:rPr>
          <w:rFonts w:ascii="Tahoma" w:hAnsi="Tahoma" w:hint="cs"/>
          <w:sz w:val="27"/>
          <w:rtl/>
          <w:lang w:bidi="fa-IR"/>
        </w:rPr>
        <w:t>ّ</w:t>
      </w:r>
      <w:r w:rsidRPr="00904FCB">
        <w:rPr>
          <w:rFonts w:ascii="Tahoma" w:hAnsi="Tahoma"/>
          <w:sz w:val="27"/>
          <w:rtl/>
          <w:lang w:bidi="fa-IR"/>
        </w:rPr>
        <w:t>نت فقها</w:t>
      </w:r>
      <w:r w:rsidR="00106283" w:rsidRPr="00904FCB">
        <w:rPr>
          <w:rFonts w:ascii="Tahoma" w:hAnsi="Tahoma" w:hint="cs"/>
          <w:sz w:val="27"/>
          <w:rtl/>
          <w:lang w:bidi="fa-IR"/>
        </w:rPr>
        <w:t>ً</w:t>
      </w:r>
      <w:r w:rsidRPr="00904FCB">
        <w:rPr>
          <w:rFonts w:ascii="Tahoma" w:hAnsi="Tahoma"/>
          <w:sz w:val="27"/>
          <w:rtl/>
          <w:lang w:bidi="fa-IR"/>
        </w:rPr>
        <w:t xml:space="preserve"> قانوني</w:t>
      </w:r>
      <w:r w:rsidR="00106283" w:rsidRPr="00904FCB">
        <w:rPr>
          <w:rFonts w:ascii="Tahoma" w:hAnsi="Tahoma" w:hint="cs"/>
          <w:sz w:val="27"/>
          <w:rtl/>
          <w:lang w:bidi="fa-IR"/>
        </w:rPr>
        <w:t>اً</w:t>
      </w:r>
      <w:r w:rsidRPr="00904FCB">
        <w:rPr>
          <w:rFonts w:ascii="Tahoma" w:hAnsi="Tahoma"/>
          <w:sz w:val="27"/>
          <w:rtl/>
          <w:lang w:bidi="fa-IR"/>
        </w:rPr>
        <w:t>، وقانونا</w:t>
      </w:r>
      <w:r w:rsidR="00106283" w:rsidRPr="00904FCB">
        <w:rPr>
          <w:rFonts w:ascii="Tahoma" w:hAnsi="Tahoma" w:hint="cs"/>
          <w:sz w:val="27"/>
          <w:rtl/>
          <w:lang w:bidi="fa-IR"/>
        </w:rPr>
        <w:t>ً</w:t>
      </w:r>
      <w:r w:rsidRPr="00904FCB">
        <w:rPr>
          <w:rFonts w:ascii="Tahoma" w:hAnsi="Tahoma"/>
          <w:sz w:val="27"/>
          <w:rtl/>
          <w:lang w:bidi="fa-IR"/>
        </w:rPr>
        <w:t xml:space="preserve"> فقهيا</w:t>
      </w:r>
      <w:r w:rsidR="00106283" w:rsidRPr="00904FCB">
        <w:rPr>
          <w:rFonts w:ascii="Tahoma" w:hAnsi="Tahoma" w:hint="cs"/>
          <w:sz w:val="27"/>
          <w:rtl/>
          <w:lang w:bidi="fa-IR"/>
        </w:rPr>
        <w:t>ً</w:t>
      </w:r>
      <w:r w:rsidR="00106283" w:rsidRPr="00904FCB">
        <w:rPr>
          <w:rFonts w:hint="eastAsia"/>
          <w:sz w:val="27"/>
          <w:rtl/>
        </w:rPr>
        <w:t>»</w:t>
      </w:r>
      <w:r w:rsidRPr="00904FCB">
        <w:rPr>
          <w:rFonts w:ascii="Tahoma" w:hAnsi="Tahoma"/>
          <w:sz w:val="27"/>
          <w:rtl/>
          <w:lang w:bidi="fa-IR"/>
        </w:rPr>
        <w:t xml:space="preserve">. </w:t>
      </w:r>
    </w:p>
    <w:p w:rsidR="00884C95" w:rsidRPr="00904FCB" w:rsidRDefault="00644408" w:rsidP="00B83F29">
      <w:pPr>
        <w:autoSpaceDE w:val="0"/>
        <w:autoSpaceDN w:val="0"/>
        <w:adjustRightInd w:val="0"/>
        <w:spacing w:line="420" w:lineRule="exact"/>
        <w:rPr>
          <w:rFonts w:ascii="Tahoma" w:hAnsi="Tahoma"/>
          <w:sz w:val="27"/>
          <w:rtl/>
          <w:lang w:bidi="fa-IR"/>
        </w:rPr>
      </w:pPr>
      <w:r w:rsidRPr="00904FCB">
        <w:rPr>
          <w:rFonts w:ascii="Tahoma" w:hAnsi="Tahoma"/>
          <w:sz w:val="27"/>
          <w:rtl/>
          <w:lang w:bidi="fa-IR"/>
        </w:rPr>
        <w:t xml:space="preserve">ولا نريد هنا </w:t>
      </w:r>
      <w:r w:rsidR="00106283" w:rsidRPr="00904FCB">
        <w:rPr>
          <w:rFonts w:ascii="Tahoma" w:hAnsi="Tahoma" w:hint="cs"/>
          <w:sz w:val="27"/>
          <w:rtl/>
          <w:lang w:bidi="fa-IR"/>
        </w:rPr>
        <w:t>أ</w:t>
      </w:r>
      <w:r w:rsidRPr="00904FCB">
        <w:rPr>
          <w:rFonts w:ascii="Tahoma" w:hAnsi="Tahoma"/>
          <w:sz w:val="27"/>
          <w:rtl/>
          <w:lang w:bidi="fa-IR"/>
        </w:rPr>
        <w:t>ن نستعرض كتاب (تحرير المجلة)</w:t>
      </w:r>
      <w:r w:rsidR="00106283" w:rsidRPr="00904FCB">
        <w:rPr>
          <w:rFonts w:ascii="Tahoma" w:hAnsi="Tahoma" w:hint="cs"/>
          <w:sz w:val="27"/>
          <w:rtl/>
          <w:lang w:bidi="fa-IR"/>
        </w:rPr>
        <w:t>،</w:t>
      </w:r>
      <w:r w:rsidRPr="00904FCB">
        <w:rPr>
          <w:rFonts w:ascii="Tahoma" w:hAnsi="Tahoma"/>
          <w:sz w:val="27"/>
          <w:rtl/>
          <w:lang w:bidi="fa-IR"/>
        </w:rPr>
        <w:t xml:space="preserve"> </w:t>
      </w:r>
      <w:r w:rsidR="00106283" w:rsidRPr="00904FCB">
        <w:rPr>
          <w:rFonts w:ascii="Tahoma" w:hAnsi="Tahoma" w:hint="cs"/>
          <w:sz w:val="27"/>
          <w:rtl/>
          <w:lang w:bidi="fa-IR"/>
        </w:rPr>
        <w:t>أ</w:t>
      </w:r>
      <w:r w:rsidRPr="00904FCB">
        <w:rPr>
          <w:rFonts w:ascii="Tahoma" w:hAnsi="Tahoma"/>
          <w:sz w:val="27"/>
          <w:rtl/>
          <w:lang w:bidi="fa-IR"/>
        </w:rPr>
        <w:t xml:space="preserve">و </w:t>
      </w:r>
      <w:r w:rsidR="00106283" w:rsidRPr="00904FCB">
        <w:rPr>
          <w:rFonts w:ascii="Tahoma" w:hAnsi="Tahoma"/>
          <w:sz w:val="27"/>
          <w:rtl/>
          <w:lang w:bidi="fa-IR"/>
        </w:rPr>
        <w:t>ن</w:t>
      </w:r>
      <w:r w:rsidRPr="00904FCB">
        <w:rPr>
          <w:rFonts w:ascii="Tahoma" w:hAnsi="Tahoma"/>
          <w:sz w:val="27"/>
          <w:rtl/>
          <w:lang w:bidi="fa-IR"/>
        </w:rPr>
        <w:t>سهب في البحث فيه</w:t>
      </w:r>
      <w:r w:rsidR="00106283" w:rsidRPr="00904FCB">
        <w:rPr>
          <w:rFonts w:ascii="Tahoma" w:hAnsi="Tahoma" w:hint="cs"/>
          <w:sz w:val="27"/>
          <w:rtl/>
          <w:lang w:bidi="fa-IR"/>
        </w:rPr>
        <w:t>؛</w:t>
      </w:r>
      <w:r w:rsidRPr="00904FCB">
        <w:rPr>
          <w:rFonts w:ascii="Tahoma" w:hAnsi="Tahoma"/>
          <w:sz w:val="27"/>
          <w:rtl/>
          <w:lang w:bidi="fa-IR"/>
        </w:rPr>
        <w:t xml:space="preserve"> لأنه يتطلب دراسة</w:t>
      </w:r>
      <w:r w:rsidR="00106283" w:rsidRPr="00904FCB">
        <w:rPr>
          <w:rFonts w:ascii="Tahoma" w:hAnsi="Tahoma" w:hint="cs"/>
          <w:sz w:val="27"/>
          <w:rtl/>
          <w:lang w:bidi="fa-IR"/>
        </w:rPr>
        <w:t>ً،</w:t>
      </w:r>
      <w:r w:rsidRPr="00904FCB">
        <w:rPr>
          <w:rFonts w:ascii="Tahoma" w:hAnsi="Tahoma"/>
          <w:sz w:val="27"/>
          <w:rtl/>
          <w:lang w:bidi="fa-IR"/>
        </w:rPr>
        <w:t xml:space="preserve"> بل دراسات واسعة فيها. ولكن</w:t>
      </w:r>
      <w:r w:rsidR="00106283" w:rsidRPr="00904FCB">
        <w:rPr>
          <w:rFonts w:ascii="Tahoma" w:hAnsi="Tahoma" w:hint="cs"/>
          <w:sz w:val="27"/>
          <w:rtl/>
          <w:lang w:bidi="fa-IR"/>
        </w:rPr>
        <w:t>ّ</w:t>
      </w:r>
      <w:r w:rsidRPr="00904FCB">
        <w:rPr>
          <w:rFonts w:ascii="Tahoma" w:hAnsi="Tahoma"/>
          <w:sz w:val="27"/>
          <w:rtl/>
          <w:lang w:bidi="fa-IR"/>
        </w:rPr>
        <w:t xml:space="preserve">نا سنقصر حديثنا عنها على </w:t>
      </w:r>
      <w:r w:rsidR="00106283" w:rsidRPr="00904FCB">
        <w:rPr>
          <w:rFonts w:ascii="Tahoma" w:hAnsi="Tahoma" w:hint="cs"/>
          <w:sz w:val="27"/>
          <w:rtl/>
          <w:lang w:bidi="fa-IR"/>
        </w:rPr>
        <w:t>أ</w:t>
      </w:r>
      <w:r w:rsidRPr="00904FCB">
        <w:rPr>
          <w:rFonts w:ascii="Tahoma" w:hAnsi="Tahoma"/>
          <w:sz w:val="27"/>
          <w:rtl/>
          <w:lang w:bidi="fa-IR"/>
        </w:rPr>
        <w:t>ربع محاور</w:t>
      </w:r>
      <w:r w:rsidR="00106283" w:rsidRPr="00904FCB">
        <w:rPr>
          <w:rFonts w:ascii="Tahoma" w:hAnsi="Tahoma" w:hint="cs"/>
          <w:sz w:val="27"/>
          <w:rtl/>
          <w:lang w:bidi="fa-IR"/>
        </w:rPr>
        <w:t>،</w:t>
      </w:r>
      <w:r w:rsidRPr="00904FCB">
        <w:rPr>
          <w:rFonts w:ascii="Tahoma" w:hAnsi="Tahoma"/>
          <w:sz w:val="27"/>
          <w:rtl/>
          <w:lang w:bidi="fa-IR"/>
        </w:rPr>
        <w:t xml:space="preserve"> نكتفي فيها بالإشارة والتلميح</w:t>
      </w:r>
      <w:r w:rsidR="00106283" w:rsidRPr="00904FCB">
        <w:rPr>
          <w:rFonts w:ascii="Tahoma" w:hAnsi="Tahoma" w:hint="cs"/>
          <w:sz w:val="27"/>
          <w:rtl/>
          <w:lang w:bidi="fa-IR"/>
        </w:rPr>
        <w:t>،</w:t>
      </w:r>
      <w:r w:rsidRPr="00904FCB">
        <w:rPr>
          <w:rFonts w:ascii="Tahoma" w:hAnsi="Tahoma"/>
          <w:sz w:val="27"/>
          <w:rtl/>
          <w:lang w:bidi="fa-IR"/>
        </w:rPr>
        <w:t xml:space="preserve"> بدلا</w:t>
      </w:r>
      <w:r w:rsidR="00106283" w:rsidRPr="00904FCB">
        <w:rPr>
          <w:rFonts w:ascii="Tahoma" w:hAnsi="Tahoma" w:hint="cs"/>
          <w:sz w:val="27"/>
          <w:rtl/>
          <w:lang w:bidi="fa-IR"/>
        </w:rPr>
        <w:t>ً</w:t>
      </w:r>
      <w:r w:rsidRPr="00904FCB">
        <w:rPr>
          <w:rFonts w:ascii="Tahoma" w:hAnsi="Tahoma"/>
          <w:sz w:val="27"/>
          <w:rtl/>
          <w:lang w:bidi="fa-IR"/>
        </w:rPr>
        <w:t xml:space="preserve"> من ال</w:t>
      </w:r>
      <w:r w:rsidR="00106283" w:rsidRPr="00904FCB">
        <w:rPr>
          <w:rFonts w:ascii="Tahoma" w:hAnsi="Tahoma" w:hint="cs"/>
          <w:sz w:val="27"/>
          <w:rtl/>
          <w:lang w:bidi="fa-IR"/>
        </w:rPr>
        <w:t>إ</w:t>
      </w:r>
      <w:r w:rsidRPr="00904FCB">
        <w:rPr>
          <w:rFonts w:ascii="Tahoma" w:hAnsi="Tahoma"/>
          <w:sz w:val="27"/>
          <w:rtl/>
          <w:lang w:bidi="fa-IR"/>
        </w:rPr>
        <w:t>سهاب والتوضيح</w:t>
      </w:r>
      <w:r w:rsidR="00106283" w:rsidRPr="00904FCB">
        <w:rPr>
          <w:rFonts w:ascii="Tahoma" w:hAnsi="Tahoma" w:hint="cs"/>
          <w:sz w:val="27"/>
          <w:rtl/>
          <w:lang w:bidi="fa-IR"/>
        </w:rPr>
        <w:t>.</w:t>
      </w:r>
    </w:p>
    <w:p w:rsidR="00644408" w:rsidRPr="00904FCB" w:rsidRDefault="00644408" w:rsidP="00B83F29">
      <w:pPr>
        <w:autoSpaceDE w:val="0"/>
        <w:autoSpaceDN w:val="0"/>
        <w:adjustRightInd w:val="0"/>
        <w:spacing w:line="420" w:lineRule="exact"/>
        <w:ind w:firstLine="561"/>
        <w:rPr>
          <w:rFonts w:ascii="Tahoma" w:hAnsi="Tahoma"/>
          <w:sz w:val="27"/>
          <w:rtl/>
          <w:lang w:bidi="fa-IR"/>
        </w:rPr>
      </w:pPr>
      <w:r w:rsidRPr="00904FCB">
        <w:rPr>
          <w:rFonts w:ascii="Tahoma" w:hAnsi="Tahoma"/>
          <w:sz w:val="27"/>
          <w:rtl/>
          <w:lang w:bidi="fa-IR"/>
        </w:rPr>
        <w:t>وهذه المحاور ال</w:t>
      </w:r>
      <w:r w:rsidR="00884C95" w:rsidRPr="00904FCB">
        <w:rPr>
          <w:rFonts w:ascii="Tahoma" w:hAnsi="Tahoma" w:hint="cs"/>
          <w:sz w:val="27"/>
          <w:rtl/>
          <w:lang w:bidi="fa-IR"/>
        </w:rPr>
        <w:t>أ</w:t>
      </w:r>
      <w:r w:rsidRPr="00904FCB">
        <w:rPr>
          <w:rFonts w:ascii="Tahoma" w:hAnsi="Tahoma"/>
          <w:sz w:val="27"/>
          <w:rtl/>
          <w:lang w:bidi="fa-IR"/>
        </w:rPr>
        <w:t>ربعة هي</w:t>
      </w:r>
      <w:r w:rsidR="00884C95" w:rsidRPr="00904FCB">
        <w:rPr>
          <w:rFonts w:ascii="Tahoma" w:hAnsi="Tahoma"/>
          <w:sz w:val="27"/>
          <w:rtl/>
          <w:lang w:bidi="fa-IR"/>
        </w:rPr>
        <w:t>:</w:t>
      </w:r>
    </w:p>
    <w:p w:rsidR="00884C95" w:rsidRPr="00904FCB" w:rsidRDefault="00884C95" w:rsidP="00C10DDE">
      <w:pPr>
        <w:autoSpaceDE w:val="0"/>
        <w:autoSpaceDN w:val="0"/>
        <w:adjustRightInd w:val="0"/>
        <w:spacing w:line="420" w:lineRule="exact"/>
        <w:ind w:firstLine="561"/>
        <w:rPr>
          <w:rFonts w:ascii="Tahoma" w:hAnsi="Tahoma"/>
          <w:sz w:val="27"/>
          <w:lang w:bidi="fa-IR"/>
        </w:rPr>
      </w:pPr>
    </w:p>
    <w:p w:rsidR="00884C95" w:rsidRPr="00904FCB" w:rsidRDefault="00884C95" w:rsidP="007A21AA">
      <w:pPr>
        <w:pStyle w:val="31"/>
        <w:spacing w:line="400" w:lineRule="exact"/>
        <w:rPr>
          <w:color w:val="auto"/>
          <w:rtl/>
          <w:lang w:bidi="fa-IR"/>
        </w:rPr>
      </w:pPr>
      <w:r w:rsidRPr="002C04DA">
        <w:rPr>
          <w:rFonts w:hint="cs"/>
          <w:color w:val="auto"/>
          <w:rtl/>
          <w:lang w:bidi="fa-IR"/>
        </w:rPr>
        <w:t>1ـ</w:t>
      </w:r>
      <w:r w:rsidR="00644408" w:rsidRPr="002C04DA">
        <w:rPr>
          <w:color w:val="auto"/>
          <w:rtl/>
          <w:lang w:bidi="fa-IR"/>
        </w:rPr>
        <w:t xml:space="preserve"> سبب</w:t>
      </w:r>
      <w:r w:rsidR="00644408" w:rsidRPr="00904FCB">
        <w:rPr>
          <w:color w:val="auto"/>
          <w:rtl/>
          <w:lang w:bidi="fa-IR"/>
        </w:rPr>
        <w:t xml:space="preserve"> التأليف</w:t>
      </w:r>
    </w:p>
    <w:p w:rsidR="00644408" w:rsidRPr="00904FCB" w:rsidRDefault="00644408" w:rsidP="00BE70B3">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 xml:space="preserve">وقد </w:t>
      </w:r>
      <w:r w:rsidR="00884C95" w:rsidRPr="00904FCB">
        <w:rPr>
          <w:rFonts w:ascii="Tahoma" w:hAnsi="Tahoma" w:hint="cs"/>
          <w:sz w:val="27"/>
          <w:rtl/>
          <w:lang w:bidi="fa-IR"/>
        </w:rPr>
        <w:t>أ</w:t>
      </w:r>
      <w:r w:rsidRPr="00904FCB">
        <w:rPr>
          <w:rFonts w:ascii="Tahoma" w:hAnsi="Tahoma"/>
          <w:sz w:val="27"/>
          <w:rtl/>
          <w:lang w:bidi="fa-IR"/>
        </w:rPr>
        <w:t>ورد الشيخ آل كاشف الغطاء سبب تأليفه (لتحرير المجلة) في مقد</w:t>
      </w:r>
      <w:r w:rsidR="00884C95" w:rsidRPr="00904FCB">
        <w:rPr>
          <w:rFonts w:ascii="Tahoma" w:hAnsi="Tahoma" w:hint="cs"/>
          <w:sz w:val="27"/>
          <w:rtl/>
          <w:lang w:bidi="fa-IR"/>
        </w:rPr>
        <w:t>ّ</w:t>
      </w:r>
      <w:r w:rsidRPr="00904FCB">
        <w:rPr>
          <w:rFonts w:ascii="Tahoma" w:hAnsi="Tahoma"/>
          <w:sz w:val="27"/>
          <w:rtl/>
          <w:lang w:bidi="fa-IR"/>
        </w:rPr>
        <w:t xml:space="preserve">مة كتابه </w:t>
      </w:r>
      <w:r w:rsidR="00884C95" w:rsidRPr="00904FCB">
        <w:rPr>
          <w:rFonts w:ascii="Tahoma" w:hAnsi="Tahoma" w:hint="cs"/>
          <w:sz w:val="27"/>
          <w:rtl/>
          <w:lang w:bidi="fa-IR"/>
        </w:rPr>
        <w:t>ب</w:t>
      </w:r>
      <w:r w:rsidRPr="00904FCB">
        <w:rPr>
          <w:rFonts w:ascii="Tahoma" w:hAnsi="Tahoma"/>
          <w:sz w:val="27"/>
          <w:rtl/>
          <w:lang w:bidi="fa-IR"/>
        </w:rPr>
        <w:t>ما نص</w:t>
      </w:r>
      <w:r w:rsidR="00884C95" w:rsidRPr="00904FCB">
        <w:rPr>
          <w:rFonts w:ascii="Tahoma" w:hAnsi="Tahoma" w:hint="cs"/>
          <w:sz w:val="27"/>
          <w:rtl/>
          <w:lang w:bidi="fa-IR"/>
        </w:rPr>
        <w:t>ّ</w:t>
      </w:r>
      <w:r w:rsidRPr="00904FCB">
        <w:rPr>
          <w:rFonts w:ascii="Tahoma" w:hAnsi="Tahoma"/>
          <w:sz w:val="27"/>
          <w:rtl/>
          <w:lang w:bidi="fa-IR"/>
        </w:rPr>
        <w:t>ه: «تكر</w:t>
      </w:r>
      <w:r w:rsidR="00884C95" w:rsidRPr="00904FCB">
        <w:rPr>
          <w:rFonts w:ascii="Tahoma" w:hAnsi="Tahoma" w:hint="cs"/>
          <w:sz w:val="27"/>
          <w:rtl/>
          <w:lang w:bidi="fa-IR"/>
        </w:rPr>
        <w:t>ّ</w:t>
      </w:r>
      <w:r w:rsidRPr="00904FCB">
        <w:rPr>
          <w:rFonts w:ascii="Tahoma" w:hAnsi="Tahoma"/>
          <w:sz w:val="27"/>
          <w:rtl/>
          <w:lang w:bidi="fa-IR"/>
        </w:rPr>
        <w:t>ر علي</w:t>
      </w:r>
      <w:r w:rsidR="00884C95" w:rsidRPr="00904FCB">
        <w:rPr>
          <w:rFonts w:ascii="Tahoma" w:hAnsi="Tahoma" w:hint="cs"/>
          <w:sz w:val="27"/>
          <w:rtl/>
          <w:lang w:bidi="fa-IR"/>
        </w:rPr>
        <w:t>ّ</w:t>
      </w:r>
      <w:r w:rsidRPr="00904FCB">
        <w:rPr>
          <w:rFonts w:ascii="Tahoma" w:hAnsi="Tahoma"/>
          <w:sz w:val="27"/>
          <w:rtl/>
          <w:lang w:bidi="fa-IR"/>
        </w:rPr>
        <w:t xml:space="preserve"> الطلب من بعض الشباب المهذ</w:t>
      </w:r>
      <w:r w:rsidR="00884C95" w:rsidRPr="00904FCB">
        <w:rPr>
          <w:rFonts w:ascii="Tahoma" w:hAnsi="Tahoma" w:hint="cs"/>
          <w:sz w:val="27"/>
          <w:rtl/>
          <w:lang w:bidi="fa-IR"/>
        </w:rPr>
        <w:t>ّ</w:t>
      </w:r>
      <w:r w:rsidRPr="00904FCB">
        <w:rPr>
          <w:rFonts w:ascii="Tahoma" w:hAnsi="Tahoma"/>
          <w:sz w:val="27"/>
          <w:rtl/>
          <w:lang w:bidi="fa-IR"/>
        </w:rPr>
        <w:t xml:space="preserve">ب من طلاب الحقوق </w:t>
      </w:r>
      <w:r w:rsidR="00884C95" w:rsidRPr="00904FCB">
        <w:rPr>
          <w:rFonts w:ascii="Tahoma" w:hAnsi="Tahoma" w:hint="cs"/>
          <w:sz w:val="27"/>
          <w:rtl/>
          <w:lang w:bidi="fa-IR"/>
        </w:rPr>
        <w:t>أ</w:t>
      </w:r>
      <w:r w:rsidRPr="00904FCB">
        <w:rPr>
          <w:rFonts w:ascii="Tahoma" w:hAnsi="Tahoma"/>
          <w:sz w:val="27"/>
          <w:rtl/>
          <w:lang w:bidi="fa-IR"/>
        </w:rPr>
        <w:t xml:space="preserve">ن </w:t>
      </w:r>
      <w:r w:rsidR="00884C95" w:rsidRPr="00904FCB">
        <w:rPr>
          <w:rFonts w:ascii="Tahoma" w:hAnsi="Tahoma" w:hint="cs"/>
          <w:sz w:val="27"/>
          <w:rtl/>
          <w:lang w:bidi="fa-IR"/>
        </w:rPr>
        <w:t>أ</w:t>
      </w:r>
      <w:r w:rsidRPr="00904FCB">
        <w:rPr>
          <w:rFonts w:ascii="Tahoma" w:hAnsi="Tahoma"/>
          <w:sz w:val="27"/>
          <w:rtl/>
          <w:lang w:bidi="fa-IR"/>
        </w:rPr>
        <w:t>كتب وجيزا</w:t>
      </w:r>
      <w:r w:rsidR="00884C95" w:rsidRPr="00904FCB">
        <w:rPr>
          <w:rFonts w:ascii="Tahoma" w:hAnsi="Tahoma" w:hint="cs"/>
          <w:sz w:val="27"/>
          <w:rtl/>
          <w:lang w:bidi="fa-IR"/>
        </w:rPr>
        <w:t>ً</w:t>
      </w:r>
      <w:r w:rsidRPr="00904FCB">
        <w:rPr>
          <w:rFonts w:ascii="Tahoma" w:hAnsi="Tahoma"/>
          <w:sz w:val="27"/>
          <w:rtl/>
          <w:lang w:bidi="fa-IR"/>
        </w:rPr>
        <w:t xml:space="preserve"> في ال</w:t>
      </w:r>
      <w:r w:rsidR="00884C95" w:rsidRPr="00904FCB">
        <w:rPr>
          <w:rFonts w:ascii="Tahoma" w:hAnsi="Tahoma" w:hint="cs"/>
          <w:sz w:val="27"/>
          <w:rtl/>
          <w:lang w:bidi="fa-IR"/>
        </w:rPr>
        <w:t>أ</w:t>
      </w:r>
      <w:r w:rsidRPr="00904FCB">
        <w:rPr>
          <w:rFonts w:ascii="Tahoma" w:hAnsi="Tahoma"/>
          <w:sz w:val="27"/>
          <w:rtl/>
          <w:lang w:bidi="fa-IR"/>
        </w:rPr>
        <w:t>حوال الشخصية والمعاملات المالية على طريق فقه ال</w:t>
      </w:r>
      <w:r w:rsidR="00884C95" w:rsidRPr="00904FCB">
        <w:rPr>
          <w:rFonts w:ascii="Tahoma" w:hAnsi="Tahoma" w:hint="cs"/>
          <w:sz w:val="27"/>
          <w:rtl/>
          <w:lang w:bidi="fa-IR"/>
        </w:rPr>
        <w:t>إ</w:t>
      </w:r>
      <w:r w:rsidRPr="00904FCB">
        <w:rPr>
          <w:rFonts w:ascii="Tahoma" w:hAnsi="Tahoma"/>
          <w:sz w:val="27"/>
          <w:rtl/>
          <w:lang w:bidi="fa-IR"/>
        </w:rPr>
        <w:t xml:space="preserve">مامية. </w:t>
      </w:r>
    </w:p>
    <w:p w:rsidR="00644408" w:rsidRPr="00904FCB" w:rsidRDefault="00644408" w:rsidP="00715694">
      <w:pPr>
        <w:autoSpaceDE w:val="0"/>
        <w:autoSpaceDN w:val="0"/>
        <w:adjustRightInd w:val="0"/>
        <w:spacing w:line="420" w:lineRule="exact"/>
        <w:rPr>
          <w:rFonts w:ascii="Tahoma" w:hAnsi="Tahoma"/>
          <w:sz w:val="27"/>
          <w:lang w:bidi="fa-IR"/>
        </w:rPr>
      </w:pPr>
      <w:r w:rsidRPr="00904FCB">
        <w:rPr>
          <w:rFonts w:ascii="Tahoma" w:hAnsi="Tahoma"/>
          <w:sz w:val="27"/>
          <w:rtl/>
          <w:lang w:bidi="fa-IR"/>
        </w:rPr>
        <w:t xml:space="preserve">ثم </w:t>
      </w:r>
      <w:r w:rsidR="00884C95" w:rsidRPr="00904FCB">
        <w:rPr>
          <w:rFonts w:ascii="Tahoma" w:hAnsi="Tahoma" w:hint="cs"/>
          <w:sz w:val="27"/>
          <w:rtl/>
          <w:lang w:bidi="fa-IR"/>
        </w:rPr>
        <w:t>إ</w:t>
      </w:r>
      <w:r w:rsidRPr="00904FCB">
        <w:rPr>
          <w:rFonts w:ascii="Tahoma" w:hAnsi="Tahoma"/>
          <w:sz w:val="27"/>
          <w:rtl/>
          <w:lang w:bidi="fa-IR"/>
        </w:rPr>
        <w:t>ن كتاب (تحرير المجلة) قد ضمن</w:t>
      </w:r>
      <w:r w:rsidR="00884C95" w:rsidRPr="00904FCB">
        <w:rPr>
          <w:rFonts w:ascii="Tahoma" w:hAnsi="Tahoma" w:hint="cs"/>
          <w:sz w:val="27"/>
          <w:rtl/>
          <w:lang w:bidi="fa-IR"/>
        </w:rPr>
        <w:t>ه</w:t>
      </w:r>
      <w:r w:rsidRPr="00904FCB">
        <w:rPr>
          <w:rFonts w:ascii="Tahoma" w:hAnsi="Tahoma"/>
          <w:sz w:val="27"/>
          <w:rtl/>
          <w:lang w:bidi="fa-IR"/>
        </w:rPr>
        <w:t xml:space="preserve"> الشيخ آل كاشف الغطاء </w:t>
      </w:r>
      <w:r w:rsidR="00884C95" w:rsidRPr="00904FCB">
        <w:rPr>
          <w:rFonts w:ascii="Tahoma" w:hAnsi="Tahoma" w:hint="cs"/>
          <w:sz w:val="27"/>
          <w:rtl/>
          <w:lang w:bidi="fa-IR"/>
        </w:rPr>
        <w:t>آ</w:t>
      </w:r>
      <w:r w:rsidRPr="00904FCB">
        <w:rPr>
          <w:rFonts w:ascii="Tahoma" w:hAnsi="Tahoma"/>
          <w:sz w:val="27"/>
          <w:rtl/>
          <w:lang w:bidi="fa-IR"/>
        </w:rPr>
        <w:t>راء المذهب ال</w:t>
      </w:r>
      <w:r w:rsidR="00884C95" w:rsidRPr="00904FCB">
        <w:rPr>
          <w:rFonts w:ascii="Tahoma" w:hAnsi="Tahoma" w:hint="cs"/>
          <w:sz w:val="27"/>
          <w:rtl/>
          <w:lang w:bidi="fa-IR"/>
        </w:rPr>
        <w:t>إ</w:t>
      </w:r>
      <w:r w:rsidRPr="00904FCB">
        <w:rPr>
          <w:rFonts w:ascii="Tahoma" w:hAnsi="Tahoma"/>
          <w:sz w:val="27"/>
          <w:rtl/>
          <w:lang w:bidi="fa-IR"/>
        </w:rPr>
        <w:t>مامي</w:t>
      </w:r>
      <w:r w:rsidR="00884C95" w:rsidRPr="00904FCB">
        <w:rPr>
          <w:rFonts w:ascii="Tahoma" w:hAnsi="Tahoma" w:hint="cs"/>
          <w:sz w:val="27"/>
          <w:rtl/>
          <w:lang w:bidi="fa-IR"/>
        </w:rPr>
        <w:t>،</w:t>
      </w:r>
      <w:r w:rsidRPr="00904FCB">
        <w:rPr>
          <w:rFonts w:ascii="Tahoma" w:hAnsi="Tahoma"/>
          <w:sz w:val="27"/>
          <w:rtl/>
          <w:lang w:bidi="fa-IR"/>
        </w:rPr>
        <w:t xml:space="preserve"> مقارنة بما جاء عن المذاهب ال</w:t>
      </w:r>
      <w:r w:rsidR="00884C95" w:rsidRPr="00904FCB">
        <w:rPr>
          <w:rFonts w:ascii="Tahoma" w:hAnsi="Tahoma" w:hint="cs"/>
          <w:sz w:val="27"/>
          <w:rtl/>
          <w:lang w:bidi="fa-IR"/>
        </w:rPr>
        <w:t>إ</w:t>
      </w:r>
      <w:r w:rsidRPr="00904FCB">
        <w:rPr>
          <w:rFonts w:ascii="Tahoma" w:hAnsi="Tahoma"/>
          <w:sz w:val="27"/>
          <w:rtl/>
          <w:lang w:bidi="fa-IR"/>
        </w:rPr>
        <w:t>سلامية ال</w:t>
      </w:r>
      <w:r w:rsidR="00884C95" w:rsidRPr="00904FCB">
        <w:rPr>
          <w:rFonts w:ascii="Tahoma" w:hAnsi="Tahoma" w:hint="cs"/>
          <w:sz w:val="27"/>
          <w:rtl/>
          <w:lang w:bidi="fa-IR"/>
        </w:rPr>
        <w:t>أ</w:t>
      </w:r>
      <w:r w:rsidRPr="00904FCB">
        <w:rPr>
          <w:rFonts w:ascii="Tahoma" w:hAnsi="Tahoma"/>
          <w:sz w:val="27"/>
          <w:rtl/>
          <w:lang w:bidi="fa-IR"/>
        </w:rPr>
        <w:t>خرى</w:t>
      </w:r>
      <w:r w:rsidR="00884C95" w:rsidRPr="00904FCB">
        <w:rPr>
          <w:rFonts w:ascii="Tahoma" w:hAnsi="Tahoma" w:hint="cs"/>
          <w:sz w:val="27"/>
          <w:rtl/>
          <w:lang w:bidi="fa-IR"/>
        </w:rPr>
        <w:t>.</w:t>
      </w:r>
      <w:r w:rsidRPr="00904FCB">
        <w:rPr>
          <w:rFonts w:ascii="Tahoma" w:hAnsi="Tahoma"/>
          <w:sz w:val="27"/>
          <w:rtl/>
          <w:lang w:bidi="fa-IR"/>
        </w:rPr>
        <w:t xml:space="preserve"> لذا </w:t>
      </w:r>
      <w:r w:rsidR="00394E51" w:rsidRPr="00904FCB">
        <w:rPr>
          <w:rFonts w:ascii="Tahoma" w:hAnsi="Tahoma" w:hint="cs"/>
          <w:sz w:val="27"/>
          <w:rtl/>
          <w:lang w:bidi="fa-IR"/>
        </w:rPr>
        <w:t>غدا</w:t>
      </w:r>
      <w:r w:rsidRPr="00904FCB">
        <w:rPr>
          <w:rFonts w:ascii="Tahoma" w:hAnsi="Tahoma"/>
          <w:sz w:val="27"/>
          <w:rtl/>
          <w:lang w:bidi="fa-IR"/>
        </w:rPr>
        <w:t xml:space="preserve"> الكتاب من مصادر الفقه المقارن، فأعطى للقاضي مساحة</w:t>
      </w:r>
      <w:r w:rsidR="00394E51" w:rsidRPr="00904FCB">
        <w:rPr>
          <w:rFonts w:ascii="Tahoma" w:hAnsi="Tahoma" w:hint="cs"/>
          <w:sz w:val="27"/>
          <w:rtl/>
          <w:lang w:bidi="fa-IR"/>
        </w:rPr>
        <w:t>ً</w:t>
      </w:r>
      <w:r w:rsidRPr="00904FCB">
        <w:rPr>
          <w:rFonts w:ascii="Tahoma" w:hAnsi="Tahoma"/>
          <w:sz w:val="27"/>
          <w:rtl/>
          <w:lang w:bidi="fa-IR"/>
        </w:rPr>
        <w:t xml:space="preserve"> </w:t>
      </w:r>
      <w:r w:rsidR="00394E51" w:rsidRPr="00904FCB">
        <w:rPr>
          <w:rFonts w:ascii="Tahoma" w:hAnsi="Tahoma" w:hint="cs"/>
          <w:sz w:val="27"/>
          <w:rtl/>
          <w:lang w:bidi="fa-IR"/>
        </w:rPr>
        <w:t>أ</w:t>
      </w:r>
      <w:r w:rsidRPr="00904FCB">
        <w:rPr>
          <w:rFonts w:ascii="Tahoma" w:hAnsi="Tahoma"/>
          <w:sz w:val="27"/>
          <w:rtl/>
          <w:lang w:bidi="fa-IR"/>
        </w:rPr>
        <w:t xml:space="preserve">وسع لاختيار المادة القانونية وفق مذهبه </w:t>
      </w:r>
      <w:r w:rsidR="00394E51" w:rsidRPr="00904FCB">
        <w:rPr>
          <w:rFonts w:ascii="Tahoma" w:hAnsi="Tahoma" w:hint="cs"/>
          <w:sz w:val="27"/>
          <w:rtl/>
          <w:lang w:bidi="fa-IR"/>
        </w:rPr>
        <w:t>أ</w:t>
      </w:r>
      <w:r w:rsidRPr="00904FCB">
        <w:rPr>
          <w:rFonts w:ascii="Tahoma" w:hAnsi="Tahoma"/>
          <w:sz w:val="27"/>
          <w:rtl/>
          <w:lang w:bidi="fa-IR"/>
        </w:rPr>
        <w:t>و مذهب المتخاصمين</w:t>
      </w:r>
      <w:r w:rsidR="00394E51" w:rsidRPr="00904FCB">
        <w:rPr>
          <w:rFonts w:ascii="Tahoma" w:hAnsi="Tahoma" w:hint="cs"/>
          <w:sz w:val="27"/>
          <w:rtl/>
          <w:lang w:bidi="fa-IR"/>
        </w:rPr>
        <w:t>.</w:t>
      </w:r>
      <w:r w:rsidRPr="00904FCB">
        <w:rPr>
          <w:rFonts w:ascii="Tahoma" w:hAnsi="Tahoma"/>
          <w:sz w:val="27"/>
          <w:rtl/>
          <w:lang w:bidi="fa-IR"/>
        </w:rPr>
        <w:t xml:space="preserve"> وهذا يكون </w:t>
      </w:r>
      <w:r w:rsidR="00394E51" w:rsidRPr="00904FCB">
        <w:rPr>
          <w:rFonts w:ascii="Tahoma" w:hAnsi="Tahoma" w:hint="cs"/>
          <w:sz w:val="27"/>
          <w:rtl/>
          <w:lang w:bidi="fa-IR"/>
        </w:rPr>
        <w:t>أ</w:t>
      </w:r>
      <w:r w:rsidRPr="00904FCB">
        <w:rPr>
          <w:rFonts w:ascii="Tahoma" w:hAnsi="Tahoma"/>
          <w:sz w:val="27"/>
          <w:rtl/>
          <w:lang w:bidi="fa-IR"/>
        </w:rPr>
        <w:t xml:space="preserve">قرب للقبول منهم </w:t>
      </w:r>
      <w:r w:rsidR="00394E51" w:rsidRPr="00904FCB">
        <w:rPr>
          <w:rFonts w:ascii="Tahoma" w:hAnsi="Tahoma" w:hint="cs"/>
          <w:sz w:val="27"/>
          <w:rtl/>
          <w:lang w:bidi="fa-IR"/>
        </w:rPr>
        <w:t>إ</w:t>
      </w:r>
      <w:r w:rsidRPr="00904FCB">
        <w:rPr>
          <w:rFonts w:ascii="Tahoma" w:hAnsi="Tahoma"/>
          <w:sz w:val="27"/>
          <w:rtl/>
          <w:lang w:bidi="fa-IR"/>
        </w:rPr>
        <w:t>ن</w:t>
      </w:r>
      <w:r w:rsidR="00BE70B3">
        <w:rPr>
          <w:rFonts w:ascii="Tahoma" w:hAnsi="Tahoma" w:hint="cs"/>
          <w:sz w:val="27"/>
          <w:rtl/>
          <w:lang w:bidi="fa-IR"/>
        </w:rPr>
        <w:t>ْ</w:t>
      </w:r>
      <w:r w:rsidRPr="00904FCB">
        <w:rPr>
          <w:rFonts w:ascii="Tahoma" w:hAnsi="Tahoma"/>
          <w:sz w:val="27"/>
          <w:rtl/>
          <w:lang w:bidi="fa-IR"/>
        </w:rPr>
        <w:t xml:space="preserve"> اشترطوا هم ذلك، ويكون ملزما</w:t>
      </w:r>
      <w:r w:rsidR="00394E51" w:rsidRPr="00904FCB">
        <w:rPr>
          <w:rFonts w:ascii="Tahoma" w:hAnsi="Tahoma" w:hint="cs"/>
          <w:sz w:val="27"/>
          <w:rtl/>
          <w:lang w:bidi="fa-IR"/>
        </w:rPr>
        <w:t>ً</w:t>
      </w:r>
      <w:r w:rsidRPr="00904FCB">
        <w:rPr>
          <w:rFonts w:ascii="Tahoma" w:hAnsi="Tahoma"/>
          <w:sz w:val="27"/>
          <w:rtl/>
          <w:lang w:bidi="fa-IR"/>
        </w:rPr>
        <w:t xml:space="preserve"> لهم بالانصياع </w:t>
      </w:r>
      <w:r w:rsidR="00394E51" w:rsidRPr="00904FCB">
        <w:rPr>
          <w:rFonts w:ascii="Tahoma" w:hAnsi="Tahoma" w:hint="cs"/>
          <w:sz w:val="27"/>
          <w:rtl/>
          <w:lang w:bidi="fa-IR"/>
        </w:rPr>
        <w:t>إ</w:t>
      </w:r>
      <w:r w:rsidRPr="00904FCB">
        <w:rPr>
          <w:rFonts w:ascii="Tahoma" w:hAnsi="Tahoma"/>
          <w:sz w:val="27"/>
          <w:rtl/>
          <w:lang w:bidi="fa-IR"/>
        </w:rPr>
        <w:t xml:space="preserve">ليه. </w:t>
      </w:r>
    </w:p>
    <w:p w:rsidR="00644408" w:rsidRPr="00904FCB" w:rsidRDefault="00644408" w:rsidP="00B83F29">
      <w:pPr>
        <w:autoSpaceDE w:val="0"/>
        <w:autoSpaceDN w:val="0"/>
        <w:adjustRightInd w:val="0"/>
        <w:spacing w:line="400" w:lineRule="exact"/>
        <w:ind w:firstLine="561"/>
        <w:rPr>
          <w:rFonts w:ascii="Tahoma" w:hAnsi="Tahoma"/>
          <w:sz w:val="27"/>
          <w:lang w:bidi="fa-IR"/>
        </w:rPr>
      </w:pPr>
      <w:r w:rsidRPr="00904FCB">
        <w:rPr>
          <w:rFonts w:ascii="Tahoma" w:hAnsi="Tahoma"/>
          <w:sz w:val="27"/>
          <w:rtl/>
          <w:lang w:bidi="fa-IR"/>
        </w:rPr>
        <w:t>ولأهم</w:t>
      </w:r>
      <w:r w:rsidR="00394E51" w:rsidRPr="00904FCB">
        <w:rPr>
          <w:rFonts w:ascii="Tahoma" w:hAnsi="Tahoma" w:hint="cs"/>
          <w:sz w:val="27"/>
          <w:rtl/>
          <w:lang w:bidi="fa-IR"/>
        </w:rPr>
        <w:t>ّ</w:t>
      </w:r>
      <w:r w:rsidRPr="00904FCB">
        <w:rPr>
          <w:rFonts w:ascii="Tahoma" w:hAnsi="Tahoma"/>
          <w:sz w:val="27"/>
          <w:rtl/>
          <w:lang w:bidi="fa-IR"/>
        </w:rPr>
        <w:t>ية كتاب (تحرير المجلة) ف</w:t>
      </w:r>
      <w:r w:rsidR="00394E51" w:rsidRPr="00904FCB">
        <w:rPr>
          <w:rFonts w:ascii="Tahoma" w:hAnsi="Tahoma" w:hint="cs"/>
          <w:sz w:val="27"/>
          <w:rtl/>
          <w:lang w:bidi="fa-IR"/>
        </w:rPr>
        <w:t>إ</w:t>
      </w:r>
      <w:r w:rsidRPr="00904FCB">
        <w:rPr>
          <w:rFonts w:ascii="Tahoma" w:hAnsi="Tahoma"/>
          <w:sz w:val="27"/>
          <w:rtl/>
          <w:lang w:bidi="fa-IR"/>
        </w:rPr>
        <w:t>ن</w:t>
      </w:r>
      <w:r w:rsidR="00BE70B3">
        <w:rPr>
          <w:rFonts w:ascii="Tahoma" w:hAnsi="Tahoma" w:hint="cs"/>
          <w:sz w:val="27"/>
          <w:rtl/>
          <w:lang w:bidi="fa-IR"/>
        </w:rPr>
        <w:t>ّ</w:t>
      </w:r>
      <w:r w:rsidRPr="00904FCB">
        <w:rPr>
          <w:rFonts w:ascii="Tahoma" w:hAnsi="Tahoma"/>
          <w:sz w:val="27"/>
          <w:rtl/>
          <w:lang w:bidi="fa-IR"/>
        </w:rPr>
        <w:t xml:space="preserve"> (المجمع العلمي العالمي للتقريب بين المذاهب ال</w:t>
      </w:r>
      <w:r w:rsidR="00394E51" w:rsidRPr="00904FCB">
        <w:rPr>
          <w:rFonts w:ascii="Tahoma" w:hAnsi="Tahoma" w:hint="cs"/>
          <w:sz w:val="27"/>
          <w:rtl/>
          <w:lang w:bidi="fa-IR"/>
        </w:rPr>
        <w:t>إ</w:t>
      </w:r>
      <w:r w:rsidRPr="00904FCB">
        <w:rPr>
          <w:rFonts w:ascii="Tahoma" w:hAnsi="Tahoma"/>
          <w:sz w:val="27"/>
          <w:rtl/>
          <w:lang w:bidi="fa-IR"/>
        </w:rPr>
        <w:t xml:space="preserve">سلامية) قد اختاره المصدر </w:t>
      </w:r>
      <w:r w:rsidR="00394E51" w:rsidRPr="00904FCB">
        <w:rPr>
          <w:rFonts w:ascii="Tahoma" w:hAnsi="Tahoma" w:hint="cs"/>
          <w:sz w:val="27"/>
          <w:rtl/>
          <w:lang w:bidi="fa-IR"/>
        </w:rPr>
        <w:t>ال</w:t>
      </w:r>
      <w:r w:rsidRPr="00904FCB">
        <w:rPr>
          <w:rFonts w:ascii="Tahoma" w:hAnsi="Tahoma"/>
          <w:sz w:val="27"/>
          <w:rtl/>
          <w:lang w:bidi="fa-IR"/>
        </w:rPr>
        <w:t>معو</w:t>
      </w:r>
      <w:r w:rsidR="00394E51" w:rsidRPr="00904FCB">
        <w:rPr>
          <w:rFonts w:ascii="Tahoma" w:hAnsi="Tahoma" w:hint="cs"/>
          <w:sz w:val="27"/>
          <w:rtl/>
          <w:lang w:bidi="fa-IR"/>
        </w:rPr>
        <w:t>َّ</w:t>
      </w:r>
      <w:r w:rsidRPr="00904FCB">
        <w:rPr>
          <w:rFonts w:ascii="Tahoma" w:hAnsi="Tahoma"/>
          <w:sz w:val="27"/>
          <w:rtl/>
          <w:lang w:bidi="fa-IR"/>
        </w:rPr>
        <w:t>ل عليه</w:t>
      </w:r>
      <w:r w:rsidR="00394E51" w:rsidRPr="00904FCB">
        <w:rPr>
          <w:rFonts w:ascii="Tahoma" w:hAnsi="Tahoma" w:hint="cs"/>
          <w:sz w:val="27"/>
          <w:rtl/>
          <w:lang w:bidi="fa-IR"/>
        </w:rPr>
        <w:t>،</w:t>
      </w:r>
      <w:r w:rsidRPr="00904FCB">
        <w:rPr>
          <w:rFonts w:ascii="Tahoma" w:hAnsi="Tahoma"/>
          <w:sz w:val="27"/>
          <w:rtl/>
          <w:lang w:bidi="fa-IR"/>
        </w:rPr>
        <w:t xml:space="preserve"> وأوكل مهمة تحقيقه </w:t>
      </w:r>
      <w:r w:rsidR="00394E51" w:rsidRPr="00904FCB">
        <w:rPr>
          <w:rFonts w:ascii="Tahoma" w:hAnsi="Tahoma" w:hint="cs"/>
          <w:sz w:val="27"/>
          <w:rtl/>
          <w:lang w:bidi="fa-IR"/>
        </w:rPr>
        <w:t>إ</w:t>
      </w:r>
      <w:r w:rsidRPr="00904FCB">
        <w:rPr>
          <w:rFonts w:ascii="Tahoma" w:hAnsi="Tahoma"/>
          <w:sz w:val="27"/>
          <w:rtl/>
          <w:lang w:bidi="fa-IR"/>
        </w:rPr>
        <w:t>لى الشيخ الجليل (محمد الساعدي)</w:t>
      </w:r>
      <w:r w:rsidR="00394E51" w:rsidRPr="00904FCB">
        <w:rPr>
          <w:rFonts w:ascii="Tahoma" w:hAnsi="Tahoma" w:hint="cs"/>
          <w:sz w:val="27"/>
          <w:rtl/>
          <w:lang w:bidi="fa-IR"/>
        </w:rPr>
        <w:t>،</w:t>
      </w:r>
      <w:r w:rsidRPr="00904FCB">
        <w:rPr>
          <w:rFonts w:ascii="Tahoma" w:hAnsi="Tahoma"/>
          <w:sz w:val="27"/>
          <w:rtl/>
          <w:lang w:bidi="fa-IR"/>
        </w:rPr>
        <w:t xml:space="preserve"> فبذل في تحقيقه جهدا</w:t>
      </w:r>
      <w:r w:rsidR="00394E51" w:rsidRPr="00904FCB">
        <w:rPr>
          <w:rFonts w:ascii="Tahoma" w:hAnsi="Tahoma" w:hint="cs"/>
          <w:sz w:val="27"/>
          <w:rtl/>
          <w:lang w:bidi="fa-IR"/>
        </w:rPr>
        <w:t>ً</w:t>
      </w:r>
      <w:r w:rsidRPr="00904FCB">
        <w:rPr>
          <w:rFonts w:ascii="Tahoma" w:hAnsi="Tahoma"/>
          <w:sz w:val="27"/>
          <w:rtl/>
          <w:lang w:bidi="fa-IR"/>
        </w:rPr>
        <w:t xml:space="preserve"> كبيرا</w:t>
      </w:r>
      <w:r w:rsidR="00394E51" w:rsidRPr="00904FCB">
        <w:rPr>
          <w:rFonts w:ascii="Tahoma" w:hAnsi="Tahoma" w:hint="cs"/>
          <w:sz w:val="27"/>
          <w:rtl/>
          <w:lang w:bidi="fa-IR"/>
        </w:rPr>
        <w:t>ً</w:t>
      </w:r>
      <w:r w:rsidRPr="00904FCB">
        <w:rPr>
          <w:rFonts w:ascii="Tahoma" w:hAnsi="Tahoma"/>
          <w:sz w:val="27"/>
          <w:rtl/>
          <w:lang w:bidi="fa-IR"/>
        </w:rPr>
        <w:t xml:space="preserve"> يشكر عليه، و</w:t>
      </w:r>
      <w:r w:rsidR="00394E51" w:rsidRPr="00904FCB">
        <w:rPr>
          <w:rFonts w:ascii="Tahoma" w:hAnsi="Tahoma" w:hint="cs"/>
          <w:sz w:val="27"/>
          <w:rtl/>
          <w:lang w:bidi="fa-IR"/>
        </w:rPr>
        <w:t>أ</w:t>
      </w:r>
      <w:r w:rsidRPr="00904FCB">
        <w:rPr>
          <w:rFonts w:ascii="Tahoma" w:hAnsi="Tahoma"/>
          <w:sz w:val="27"/>
          <w:rtl/>
          <w:lang w:bidi="fa-IR"/>
        </w:rPr>
        <w:t xml:space="preserve">وكل مهمة </w:t>
      </w:r>
      <w:r w:rsidRPr="00904FCB">
        <w:rPr>
          <w:rFonts w:ascii="Tahoma" w:hAnsi="Tahoma"/>
          <w:sz w:val="27"/>
          <w:rtl/>
          <w:lang w:bidi="fa-IR"/>
        </w:rPr>
        <w:lastRenderedPageBreak/>
        <w:t>ال</w:t>
      </w:r>
      <w:r w:rsidR="00394E51" w:rsidRPr="00904FCB">
        <w:rPr>
          <w:rFonts w:ascii="Tahoma" w:hAnsi="Tahoma" w:hint="cs"/>
          <w:sz w:val="27"/>
          <w:rtl/>
          <w:lang w:bidi="fa-IR"/>
        </w:rPr>
        <w:t>إ</w:t>
      </w:r>
      <w:r w:rsidRPr="00904FCB">
        <w:rPr>
          <w:rFonts w:ascii="Tahoma" w:hAnsi="Tahoma"/>
          <w:sz w:val="27"/>
          <w:rtl/>
          <w:lang w:bidi="fa-IR"/>
        </w:rPr>
        <w:t>شراف على التحقيق للشيخ محمد مهدي الآصفي، فكانا نعم التحقيق ونعم ال</w:t>
      </w:r>
      <w:r w:rsidR="00394E51" w:rsidRPr="00904FCB">
        <w:rPr>
          <w:rFonts w:ascii="Tahoma" w:hAnsi="Tahoma" w:hint="cs"/>
          <w:sz w:val="27"/>
          <w:rtl/>
          <w:lang w:bidi="fa-IR"/>
        </w:rPr>
        <w:t>إ</w:t>
      </w:r>
      <w:r w:rsidRPr="00904FCB">
        <w:rPr>
          <w:rFonts w:ascii="Tahoma" w:hAnsi="Tahoma"/>
          <w:sz w:val="27"/>
          <w:rtl/>
          <w:lang w:bidi="fa-IR"/>
        </w:rPr>
        <w:t xml:space="preserve">شراف. </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وقد تضم</w:t>
      </w:r>
      <w:r w:rsidR="00394E51" w:rsidRPr="00904FCB">
        <w:rPr>
          <w:rFonts w:ascii="Tahoma" w:hAnsi="Tahoma" w:hint="cs"/>
          <w:sz w:val="27"/>
          <w:rtl/>
          <w:lang w:bidi="fa-IR"/>
        </w:rPr>
        <w:t>َّ</w:t>
      </w:r>
      <w:r w:rsidRPr="00904FCB">
        <w:rPr>
          <w:rFonts w:ascii="Tahoma" w:hAnsi="Tahoma"/>
          <w:sz w:val="27"/>
          <w:rtl/>
          <w:lang w:bidi="fa-IR"/>
        </w:rPr>
        <w:t>ن الكتاب (تحرير</w:t>
      </w:r>
      <w:r w:rsidR="00394E51" w:rsidRPr="00904FCB">
        <w:rPr>
          <w:rFonts w:ascii="Tahoma" w:hAnsi="Tahoma" w:hint="cs"/>
          <w:sz w:val="27"/>
          <w:rtl/>
          <w:lang w:bidi="fa-IR"/>
        </w:rPr>
        <w:t xml:space="preserve"> </w:t>
      </w:r>
      <w:r w:rsidRPr="00904FCB">
        <w:rPr>
          <w:rFonts w:ascii="Tahoma" w:hAnsi="Tahoma"/>
          <w:sz w:val="27"/>
          <w:rtl/>
          <w:lang w:bidi="fa-IR"/>
        </w:rPr>
        <w:t>المجلة) استدراكات الشيخ آل كاشف الغطاء وتهذيباته ومقارناته لما جاء في مجلة (ال</w:t>
      </w:r>
      <w:r w:rsidR="00394E51" w:rsidRPr="00904FCB">
        <w:rPr>
          <w:rFonts w:ascii="Tahoma" w:hAnsi="Tahoma" w:hint="cs"/>
          <w:sz w:val="27"/>
          <w:rtl/>
          <w:lang w:bidi="fa-IR"/>
        </w:rPr>
        <w:t>أ</w:t>
      </w:r>
      <w:r w:rsidRPr="00904FCB">
        <w:rPr>
          <w:rFonts w:ascii="Tahoma" w:hAnsi="Tahoma"/>
          <w:sz w:val="27"/>
          <w:rtl/>
          <w:lang w:bidi="fa-IR"/>
        </w:rPr>
        <w:t>حكام العدلية) وفق المذهب ال</w:t>
      </w:r>
      <w:r w:rsidR="00394E51" w:rsidRPr="00904FCB">
        <w:rPr>
          <w:rFonts w:ascii="Tahoma" w:hAnsi="Tahoma" w:hint="cs"/>
          <w:sz w:val="27"/>
          <w:rtl/>
          <w:lang w:bidi="fa-IR"/>
        </w:rPr>
        <w:t>إ</w:t>
      </w:r>
      <w:r w:rsidRPr="00904FCB">
        <w:rPr>
          <w:rFonts w:ascii="Tahoma" w:hAnsi="Tahoma"/>
          <w:sz w:val="27"/>
          <w:rtl/>
          <w:lang w:bidi="fa-IR"/>
        </w:rPr>
        <w:t>مامي. فسل</w:t>
      </w:r>
      <w:r w:rsidR="00394E51" w:rsidRPr="00904FCB">
        <w:rPr>
          <w:rFonts w:ascii="Tahoma" w:hAnsi="Tahoma" w:hint="cs"/>
          <w:sz w:val="27"/>
          <w:rtl/>
          <w:lang w:bidi="fa-IR"/>
        </w:rPr>
        <w:t>َّ</w:t>
      </w:r>
      <w:r w:rsidRPr="00904FCB">
        <w:rPr>
          <w:rFonts w:ascii="Tahoma" w:hAnsi="Tahoma"/>
          <w:sz w:val="27"/>
          <w:rtl/>
          <w:lang w:bidi="fa-IR"/>
        </w:rPr>
        <w:t>ط ال</w:t>
      </w:r>
      <w:r w:rsidR="00394E51" w:rsidRPr="00904FCB">
        <w:rPr>
          <w:rFonts w:ascii="Tahoma" w:hAnsi="Tahoma" w:hint="cs"/>
          <w:sz w:val="27"/>
          <w:rtl/>
          <w:lang w:bidi="fa-IR"/>
        </w:rPr>
        <w:t>أ</w:t>
      </w:r>
      <w:r w:rsidRPr="00904FCB">
        <w:rPr>
          <w:rFonts w:ascii="Tahoma" w:hAnsi="Tahoma"/>
          <w:sz w:val="27"/>
          <w:rtl/>
          <w:lang w:bidi="fa-IR"/>
        </w:rPr>
        <w:t>ضواء على ما تفر</w:t>
      </w:r>
      <w:r w:rsidR="00394E51" w:rsidRPr="00904FCB">
        <w:rPr>
          <w:rFonts w:ascii="Tahoma" w:hAnsi="Tahoma" w:hint="cs"/>
          <w:sz w:val="27"/>
          <w:rtl/>
          <w:lang w:bidi="fa-IR"/>
        </w:rPr>
        <w:t>َّ</w:t>
      </w:r>
      <w:r w:rsidRPr="00904FCB">
        <w:rPr>
          <w:rFonts w:ascii="Tahoma" w:hAnsi="Tahoma"/>
          <w:sz w:val="27"/>
          <w:rtl/>
          <w:lang w:bidi="fa-IR"/>
        </w:rPr>
        <w:t>د به الفقه ال</w:t>
      </w:r>
      <w:r w:rsidR="00394E51" w:rsidRPr="00904FCB">
        <w:rPr>
          <w:rFonts w:ascii="Tahoma" w:hAnsi="Tahoma" w:hint="cs"/>
          <w:sz w:val="27"/>
          <w:rtl/>
          <w:lang w:bidi="fa-IR"/>
        </w:rPr>
        <w:t>إ</w:t>
      </w:r>
      <w:r w:rsidRPr="00904FCB">
        <w:rPr>
          <w:rFonts w:ascii="Tahoma" w:hAnsi="Tahoma"/>
          <w:sz w:val="27"/>
          <w:rtl/>
          <w:lang w:bidi="fa-IR"/>
        </w:rPr>
        <w:t>مامي من حلول ال</w:t>
      </w:r>
      <w:r w:rsidR="00394E51" w:rsidRPr="00904FCB">
        <w:rPr>
          <w:rFonts w:ascii="Tahoma" w:hAnsi="Tahoma" w:hint="cs"/>
          <w:sz w:val="27"/>
          <w:rtl/>
          <w:lang w:bidi="fa-IR"/>
        </w:rPr>
        <w:t>إ</w:t>
      </w:r>
      <w:r w:rsidRPr="00904FCB">
        <w:rPr>
          <w:rFonts w:ascii="Tahoma" w:hAnsi="Tahoma"/>
          <w:sz w:val="27"/>
          <w:rtl/>
          <w:lang w:bidi="fa-IR"/>
        </w:rPr>
        <w:t xml:space="preserve">شكاليات </w:t>
      </w:r>
      <w:r w:rsidR="00394E51" w:rsidRPr="00904FCB">
        <w:rPr>
          <w:rFonts w:ascii="Tahoma" w:hAnsi="Tahoma" w:hint="cs"/>
          <w:sz w:val="27"/>
          <w:rtl/>
          <w:lang w:bidi="fa-IR"/>
        </w:rPr>
        <w:t>ال</w:t>
      </w:r>
      <w:r w:rsidRPr="00904FCB">
        <w:rPr>
          <w:rFonts w:ascii="Tahoma" w:hAnsi="Tahoma"/>
          <w:sz w:val="27"/>
          <w:rtl/>
          <w:lang w:bidi="fa-IR"/>
        </w:rPr>
        <w:t>محدث</w:t>
      </w:r>
      <w:r w:rsidR="00394E51" w:rsidRPr="00904FCB">
        <w:rPr>
          <w:rFonts w:ascii="Tahoma" w:hAnsi="Tahoma" w:hint="cs"/>
          <w:sz w:val="27"/>
          <w:rtl/>
          <w:lang w:bidi="fa-IR"/>
        </w:rPr>
        <w:t>ة</w:t>
      </w:r>
      <w:r w:rsidRPr="00904FCB">
        <w:rPr>
          <w:rFonts w:ascii="Tahoma" w:hAnsi="Tahoma"/>
          <w:sz w:val="27"/>
          <w:rtl/>
          <w:lang w:bidi="fa-IR"/>
        </w:rPr>
        <w:t xml:space="preserve"> </w:t>
      </w:r>
      <w:r w:rsidR="00394E51" w:rsidRPr="00904FCB">
        <w:rPr>
          <w:rFonts w:ascii="Tahoma" w:hAnsi="Tahoma" w:hint="cs"/>
          <w:sz w:val="27"/>
          <w:rtl/>
          <w:lang w:bidi="fa-IR"/>
        </w:rPr>
        <w:t>ال</w:t>
      </w:r>
      <w:r w:rsidRPr="00904FCB">
        <w:rPr>
          <w:rFonts w:ascii="Tahoma" w:hAnsi="Tahoma"/>
          <w:sz w:val="27"/>
          <w:rtl/>
          <w:lang w:bidi="fa-IR"/>
        </w:rPr>
        <w:t>معاصرة وفق (الاجتهاد العقلي)</w:t>
      </w:r>
      <w:r w:rsidR="00394E51" w:rsidRPr="00904FCB">
        <w:rPr>
          <w:rFonts w:ascii="Tahoma" w:hAnsi="Tahoma" w:hint="cs"/>
          <w:sz w:val="27"/>
          <w:rtl/>
          <w:lang w:bidi="fa-IR"/>
        </w:rPr>
        <w:t>،</w:t>
      </w:r>
      <w:r w:rsidRPr="00904FCB">
        <w:rPr>
          <w:rFonts w:ascii="Tahoma" w:hAnsi="Tahoma"/>
          <w:sz w:val="27"/>
          <w:rtl/>
          <w:lang w:bidi="fa-IR"/>
        </w:rPr>
        <w:t xml:space="preserve"> الذي تمس</w:t>
      </w:r>
      <w:r w:rsidR="00394E51" w:rsidRPr="00904FCB">
        <w:rPr>
          <w:rFonts w:ascii="Tahoma" w:hAnsi="Tahoma" w:hint="cs"/>
          <w:sz w:val="27"/>
          <w:rtl/>
          <w:lang w:bidi="fa-IR"/>
        </w:rPr>
        <w:t>َّ</w:t>
      </w:r>
      <w:r w:rsidRPr="00904FCB">
        <w:rPr>
          <w:rFonts w:ascii="Tahoma" w:hAnsi="Tahoma"/>
          <w:sz w:val="27"/>
          <w:rtl/>
          <w:lang w:bidi="fa-IR"/>
        </w:rPr>
        <w:t xml:space="preserve">كت به مدرسة </w:t>
      </w:r>
      <w:r w:rsidR="00394E51" w:rsidRPr="00904FCB">
        <w:rPr>
          <w:rFonts w:ascii="Tahoma" w:hAnsi="Tahoma" w:hint="cs"/>
          <w:sz w:val="27"/>
          <w:rtl/>
          <w:lang w:bidi="fa-IR"/>
        </w:rPr>
        <w:t>أ</w:t>
      </w:r>
      <w:r w:rsidRPr="00904FCB">
        <w:rPr>
          <w:rFonts w:ascii="Tahoma" w:hAnsi="Tahoma"/>
          <w:sz w:val="27"/>
          <w:rtl/>
          <w:lang w:bidi="fa-IR"/>
        </w:rPr>
        <w:t>هل البيت</w:t>
      </w:r>
      <w:r w:rsidR="001C1A2A" w:rsidRPr="00904FCB">
        <w:rPr>
          <w:rFonts w:ascii="Tahoma" w:hAnsi="Tahoma" w:cs="Mosawi"/>
          <w:sz w:val="27"/>
          <w:szCs w:val="22"/>
          <w:rtl/>
          <w:lang w:bidi="fa-IR"/>
        </w:rPr>
        <w:t>×</w:t>
      </w:r>
      <w:r w:rsidR="00394E51" w:rsidRPr="00904FCB">
        <w:rPr>
          <w:rFonts w:ascii="Tahoma" w:hAnsi="Tahoma" w:hint="cs"/>
          <w:sz w:val="27"/>
          <w:rtl/>
          <w:lang w:bidi="fa-IR"/>
        </w:rPr>
        <w:t>،</w:t>
      </w:r>
      <w:r w:rsidRPr="00904FCB">
        <w:rPr>
          <w:rFonts w:ascii="Tahoma" w:hAnsi="Tahoma"/>
          <w:sz w:val="27"/>
          <w:rtl/>
          <w:lang w:bidi="fa-IR"/>
        </w:rPr>
        <w:t xml:space="preserve"> م</w:t>
      </w:r>
      <w:r w:rsidR="00B83F29">
        <w:rPr>
          <w:rFonts w:ascii="Tahoma" w:hAnsi="Tahoma" w:hint="cs"/>
          <w:sz w:val="27"/>
          <w:rtl/>
          <w:lang w:bidi="fa-IR"/>
        </w:rPr>
        <w:t>توخِّ</w:t>
      </w:r>
      <w:r w:rsidR="00394E51" w:rsidRPr="00904FCB">
        <w:rPr>
          <w:rFonts w:ascii="Tahoma" w:hAnsi="Tahoma" w:hint="cs"/>
          <w:sz w:val="27"/>
          <w:rtl/>
          <w:lang w:bidi="fa-IR"/>
        </w:rPr>
        <w:t>ي</w:t>
      </w:r>
      <w:r w:rsidRPr="00904FCB">
        <w:rPr>
          <w:rFonts w:ascii="Tahoma" w:hAnsi="Tahoma"/>
          <w:sz w:val="27"/>
          <w:rtl/>
          <w:lang w:bidi="fa-IR"/>
        </w:rPr>
        <w:t>ا</w:t>
      </w:r>
      <w:r w:rsidR="00394E51" w:rsidRPr="00904FCB">
        <w:rPr>
          <w:rFonts w:ascii="Tahoma" w:hAnsi="Tahoma" w:hint="cs"/>
          <w:sz w:val="27"/>
          <w:rtl/>
          <w:lang w:bidi="fa-IR"/>
        </w:rPr>
        <w:t>ً</w:t>
      </w:r>
      <w:r w:rsidRPr="00904FCB">
        <w:rPr>
          <w:rFonts w:ascii="Tahoma" w:hAnsi="Tahoma"/>
          <w:sz w:val="27"/>
          <w:rtl/>
          <w:lang w:bidi="fa-IR"/>
        </w:rPr>
        <w:t xml:space="preserve"> بهذا العمل المقارن </w:t>
      </w:r>
      <w:r w:rsidR="00394E51" w:rsidRPr="00904FCB">
        <w:rPr>
          <w:rFonts w:ascii="Tahoma" w:hAnsi="Tahoma" w:hint="cs"/>
          <w:sz w:val="27"/>
          <w:rtl/>
          <w:lang w:bidi="fa-IR"/>
        </w:rPr>
        <w:t>أ</w:t>
      </w:r>
      <w:r w:rsidRPr="00904FCB">
        <w:rPr>
          <w:rFonts w:ascii="Tahoma" w:hAnsi="Tahoma"/>
          <w:sz w:val="27"/>
          <w:rtl/>
          <w:lang w:bidi="fa-IR"/>
        </w:rPr>
        <w:t>ن يوضح ما للاجتهاد عند ال</w:t>
      </w:r>
      <w:r w:rsidR="00394E51" w:rsidRPr="00904FCB">
        <w:rPr>
          <w:rFonts w:ascii="Tahoma" w:hAnsi="Tahoma" w:hint="cs"/>
          <w:sz w:val="27"/>
          <w:rtl/>
          <w:lang w:bidi="fa-IR"/>
        </w:rPr>
        <w:t>إ</w:t>
      </w:r>
      <w:r w:rsidRPr="00904FCB">
        <w:rPr>
          <w:rFonts w:ascii="Tahoma" w:hAnsi="Tahoma"/>
          <w:sz w:val="27"/>
          <w:rtl/>
          <w:lang w:bidi="fa-IR"/>
        </w:rPr>
        <w:t>مامية من مرونة حي</w:t>
      </w:r>
      <w:r w:rsidR="00394E51" w:rsidRPr="00904FCB">
        <w:rPr>
          <w:rFonts w:ascii="Tahoma" w:hAnsi="Tahoma" w:hint="cs"/>
          <w:sz w:val="27"/>
          <w:rtl/>
          <w:lang w:bidi="fa-IR"/>
        </w:rPr>
        <w:t>ّ</w:t>
      </w:r>
      <w:r w:rsidRPr="00904FCB">
        <w:rPr>
          <w:rFonts w:ascii="Tahoma" w:hAnsi="Tahoma"/>
          <w:sz w:val="27"/>
          <w:rtl/>
          <w:lang w:bidi="fa-IR"/>
        </w:rPr>
        <w:t>ة اختص</w:t>
      </w:r>
      <w:r w:rsidR="00394E51" w:rsidRPr="00904FCB">
        <w:rPr>
          <w:rFonts w:ascii="Tahoma" w:hAnsi="Tahoma" w:hint="cs"/>
          <w:sz w:val="27"/>
          <w:rtl/>
          <w:lang w:bidi="fa-IR"/>
        </w:rPr>
        <w:t>ّ</w:t>
      </w:r>
      <w:r w:rsidRPr="00904FCB">
        <w:rPr>
          <w:rFonts w:ascii="Tahoma" w:hAnsi="Tahoma"/>
          <w:sz w:val="27"/>
          <w:rtl/>
          <w:lang w:bidi="fa-IR"/>
        </w:rPr>
        <w:t xml:space="preserve"> بها فقههم</w:t>
      </w:r>
      <w:r w:rsidR="00394E51" w:rsidRPr="00904FCB">
        <w:rPr>
          <w:rFonts w:ascii="Tahoma" w:hAnsi="Tahoma" w:hint="cs"/>
          <w:sz w:val="27"/>
          <w:rtl/>
          <w:lang w:bidi="fa-IR"/>
        </w:rPr>
        <w:t>،</w:t>
      </w:r>
      <w:r w:rsidRPr="00904FCB">
        <w:rPr>
          <w:rFonts w:ascii="Tahoma" w:hAnsi="Tahoma"/>
          <w:sz w:val="27"/>
          <w:rtl/>
          <w:lang w:bidi="fa-IR"/>
        </w:rPr>
        <w:t xml:space="preserve"> يتماشى ومتطل</w:t>
      </w:r>
      <w:r w:rsidR="00394E51" w:rsidRPr="00904FCB">
        <w:rPr>
          <w:rFonts w:ascii="Tahoma" w:hAnsi="Tahoma" w:hint="cs"/>
          <w:sz w:val="27"/>
          <w:rtl/>
          <w:lang w:bidi="fa-IR"/>
        </w:rPr>
        <w:t>ّ</w:t>
      </w:r>
      <w:r w:rsidRPr="00904FCB">
        <w:rPr>
          <w:rFonts w:ascii="Tahoma" w:hAnsi="Tahoma"/>
          <w:sz w:val="27"/>
          <w:rtl/>
          <w:lang w:bidi="fa-IR"/>
        </w:rPr>
        <w:t>بات كل</w:t>
      </w:r>
      <w:r w:rsidR="00394E51" w:rsidRPr="00904FCB">
        <w:rPr>
          <w:rFonts w:ascii="Tahoma" w:hAnsi="Tahoma" w:hint="cs"/>
          <w:sz w:val="27"/>
          <w:rtl/>
          <w:lang w:bidi="fa-IR"/>
        </w:rPr>
        <w:t>ّ</w:t>
      </w:r>
      <w:r w:rsidRPr="00904FCB">
        <w:rPr>
          <w:rFonts w:ascii="Tahoma" w:hAnsi="Tahoma"/>
          <w:sz w:val="27"/>
          <w:rtl/>
          <w:lang w:bidi="fa-IR"/>
        </w:rPr>
        <w:t xml:space="preserve"> </w:t>
      </w:r>
      <w:r w:rsidR="00394E51" w:rsidRPr="00904FCB">
        <w:rPr>
          <w:rFonts w:ascii="Tahoma" w:hAnsi="Tahoma" w:hint="cs"/>
          <w:sz w:val="27"/>
          <w:rtl/>
          <w:lang w:bidi="fa-IR"/>
        </w:rPr>
        <w:t>ع</w:t>
      </w:r>
      <w:r w:rsidRPr="00904FCB">
        <w:rPr>
          <w:rFonts w:ascii="Tahoma" w:hAnsi="Tahoma"/>
          <w:sz w:val="27"/>
          <w:rtl/>
          <w:lang w:bidi="fa-IR"/>
        </w:rPr>
        <w:t>صر</w:t>
      </w:r>
      <w:r w:rsidR="00394E51" w:rsidRPr="00904FCB">
        <w:rPr>
          <w:rFonts w:ascii="Tahoma" w:hAnsi="Tahoma" w:hint="cs"/>
          <w:sz w:val="27"/>
          <w:rtl/>
          <w:lang w:bidi="fa-IR"/>
        </w:rPr>
        <w:t>،</w:t>
      </w:r>
      <w:r w:rsidRPr="00904FCB">
        <w:rPr>
          <w:rFonts w:ascii="Tahoma" w:hAnsi="Tahoma"/>
          <w:sz w:val="27"/>
          <w:rtl/>
          <w:lang w:bidi="fa-IR"/>
        </w:rPr>
        <w:t xml:space="preserve"> والقدرة على تصويب الآراء و</w:t>
      </w:r>
      <w:r w:rsidR="00394E51" w:rsidRPr="00904FCB">
        <w:rPr>
          <w:rFonts w:ascii="Tahoma" w:hAnsi="Tahoma" w:hint="cs"/>
          <w:sz w:val="27"/>
          <w:rtl/>
          <w:lang w:bidi="fa-IR"/>
        </w:rPr>
        <w:t>إ</w:t>
      </w:r>
      <w:r w:rsidRPr="00904FCB">
        <w:rPr>
          <w:rFonts w:ascii="Tahoma" w:hAnsi="Tahoma"/>
          <w:sz w:val="27"/>
          <w:rtl/>
          <w:lang w:bidi="fa-IR"/>
        </w:rPr>
        <w:t>صدار ال</w:t>
      </w:r>
      <w:r w:rsidR="00394E51" w:rsidRPr="00904FCB">
        <w:rPr>
          <w:rFonts w:ascii="Tahoma" w:hAnsi="Tahoma" w:hint="cs"/>
          <w:sz w:val="27"/>
          <w:rtl/>
          <w:lang w:bidi="fa-IR"/>
        </w:rPr>
        <w:t>أ</w:t>
      </w:r>
      <w:r w:rsidRPr="00904FCB">
        <w:rPr>
          <w:rFonts w:ascii="Tahoma" w:hAnsi="Tahoma"/>
          <w:sz w:val="27"/>
          <w:rtl/>
          <w:lang w:bidi="fa-IR"/>
        </w:rPr>
        <w:t xml:space="preserve">حكام. </w:t>
      </w:r>
    </w:p>
    <w:p w:rsidR="00394E51" w:rsidRPr="00904FCB" w:rsidRDefault="00394E51" w:rsidP="007A21AA">
      <w:pPr>
        <w:autoSpaceDE w:val="0"/>
        <w:autoSpaceDN w:val="0"/>
        <w:adjustRightInd w:val="0"/>
        <w:spacing w:line="400" w:lineRule="exact"/>
        <w:rPr>
          <w:rFonts w:ascii="Tahoma" w:hAnsi="Tahoma"/>
          <w:sz w:val="27"/>
          <w:lang w:bidi="fa-IR"/>
        </w:rPr>
      </w:pPr>
    </w:p>
    <w:p w:rsidR="00884C95" w:rsidRPr="00904FCB" w:rsidRDefault="00394E51" w:rsidP="007A21AA">
      <w:pPr>
        <w:pStyle w:val="31"/>
        <w:spacing w:line="400" w:lineRule="exact"/>
        <w:rPr>
          <w:color w:val="auto"/>
          <w:rtl/>
          <w:lang w:bidi="fa-IR"/>
        </w:rPr>
      </w:pPr>
      <w:r w:rsidRPr="002C04DA">
        <w:rPr>
          <w:rFonts w:hint="cs"/>
          <w:color w:val="auto"/>
          <w:rtl/>
          <w:lang w:bidi="fa-IR"/>
        </w:rPr>
        <w:t>2ـ</w:t>
      </w:r>
      <w:r w:rsidR="00644408" w:rsidRPr="002C04DA">
        <w:rPr>
          <w:color w:val="auto"/>
          <w:rtl/>
          <w:lang w:bidi="fa-IR"/>
        </w:rPr>
        <w:t xml:space="preserve"> خصائص</w:t>
      </w:r>
      <w:r w:rsidR="00644408" w:rsidRPr="00904FCB">
        <w:rPr>
          <w:color w:val="auto"/>
          <w:rtl/>
          <w:lang w:bidi="fa-IR"/>
        </w:rPr>
        <w:t xml:space="preserve"> كتاب (تحرير المجلة)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يبدو لي من خلال مراجعة (كتاب تحرير المجلة) </w:t>
      </w:r>
      <w:r w:rsidR="00394E51" w:rsidRPr="00904FCB">
        <w:rPr>
          <w:rFonts w:ascii="Tahoma" w:hAnsi="Tahoma" w:hint="cs"/>
          <w:sz w:val="27"/>
          <w:rtl/>
          <w:lang w:bidi="fa-IR"/>
        </w:rPr>
        <w:t>أ</w:t>
      </w:r>
      <w:r w:rsidRPr="00904FCB">
        <w:rPr>
          <w:rFonts w:ascii="Tahoma" w:hAnsi="Tahoma"/>
          <w:sz w:val="27"/>
          <w:rtl/>
          <w:lang w:bidi="fa-IR"/>
        </w:rPr>
        <w:t>ن الشيخ قد وازن بين الفقه ال</w:t>
      </w:r>
      <w:r w:rsidR="00394E51" w:rsidRPr="00904FCB">
        <w:rPr>
          <w:rFonts w:ascii="Tahoma" w:hAnsi="Tahoma" w:hint="cs"/>
          <w:sz w:val="27"/>
          <w:rtl/>
          <w:lang w:bidi="fa-IR"/>
        </w:rPr>
        <w:t>إ</w:t>
      </w:r>
      <w:r w:rsidRPr="00904FCB">
        <w:rPr>
          <w:rFonts w:ascii="Tahoma" w:hAnsi="Tahoma"/>
          <w:sz w:val="27"/>
          <w:rtl/>
          <w:lang w:bidi="fa-IR"/>
        </w:rPr>
        <w:t>مامي وفق المذاهب ال</w:t>
      </w:r>
      <w:r w:rsidR="00394E51" w:rsidRPr="00904FCB">
        <w:rPr>
          <w:rFonts w:ascii="Tahoma" w:hAnsi="Tahoma" w:hint="cs"/>
          <w:sz w:val="27"/>
          <w:rtl/>
          <w:lang w:bidi="fa-IR"/>
        </w:rPr>
        <w:t>إ</w:t>
      </w:r>
      <w:r w:rsidRPr="00904FCB">
        <w:rPr>
          <w:rFonts w:ascii="Tahoma" w:hAnsi="Tahoma"/>
          <w:sz w:val="27"/>
          <w:rtl/>
          <w:lang w:bidi="fa-IR"/>
        </w:rPr>
        <w:t>سلامية ال</w:t>
      </w:r>
      <w:r w:rsidR="00394E51" w:rsidRPr="00904FCB">
        <w:rPr>
          <w:rFonts w:ascii="Tahoma" w:hAnsi="Tahoma" w:hint="cs"/>
          <w:sz w:val="27"/>
          <w:rtl/>
          <w:lang w:bidi="fa-IR"/>
        </w:rPr>
        <w:t>أ</w:t>
      </w:r>
      <w:r w:rsidRPr="00904FCB">
        <w:rPr>
          <w:rFonts w:ascii="Tahoma" w:hAnsi="Tahoma"/>
          <w:sz w:val="27"/>
          <w:rtl/>
          <w:lang w:bidi="fa-IR"/>
        </w:rPr>
        <w:t>خرى</w:t>
      </w:r>
      <w:r w:rsidR="00394E51" w:rsidRPr="00904FCB">
        <w:rPr>
          <w:rFonts w:ascii="Tahoma" w:hAnsi="Tahoma" w:hint="cs"/>
          <w:sz w:val="27"/>
          <w:rtl/>
          <w:lang w:bidi="fa-IR"/>
        </w:rPr>
        <w:t>.</w:t>
      </w:r>
      <w:r w:rsidRPr="00904FCB">
        <w:rPr>
          <w:rFonts w:ascii="Tahoma" w:hAnsi="Tahoma"/>
          <w:sz w:val="27"/>
          <w:rtl/>
          <w:lang w:bidi="fa-IR"/>
        </w:rPr>
        <w:t xml:space="preserve"> وقد سار على خطى شر</w:t>
      </w:r>
      <w:r w:rsidR="00394E51" w:rsidRPr="00904FCB">
        <w:rPr>
          <w:rFonts w:ascii="Tahoma" w:hAnsi="Tahoma" w:hint="cs"/>
          <w:sz w:val="27"/>
          <w:rtl/>
          <w:lang w:bidi="fa-IR"/>
        </w:rPr>
        <w:t>ّ</w:t>
      </w:r>
      <w:r w:rsidRPr="00904FCB">
        <w:rPr>
          <w:rFonts w:ascii="Tahoma" w:hAnsi="Tahoma"/>
          <w:sz w:val="27"/>
          <w:rtl/>
          <w:lang w:bidi="fa-IR"/>
        </w:rPr>
        <w:t>اح المجلة الذين سبقوه</w:t>
      </w:r>
      <w:r w:rsidR="00394E51" w:rsidRPr="00904FCB">
        <w:rPr>
          <w:rFonts w:ascii="Tahoma" w:hAnsi="Tahoma" w:hint="cs"/>
          <w:sz w:val="27"/>
          <w:rtl/>
          <w:lang w:bidi="fa-IR"/>
        </w:rPr>
        <w:t>،</w:t>
      </w:r>
      <w:r w:rsidRPr="00904FCB">
        <w:rPr>
          <w:rFonts w:ascii="Tahoma" w:hAnsi="Tahoma"/>
          <w:sz w:val="27"/>
          <w:rtl/>
          <w:lang w:bidi="fa-IR"/>
        </w:rPr>
        <w:t xml:space="preserve"> </w:t>
      </w:r>
      <w:r w:rsidR="00394E51" w:rsidRPr="00904FCB">
        <w:rPr>
          <w:rFonts w:ascii="Tahoma" w:hAnsi="Tahoma" w:hint="cs"/>
          <w:sz w:val="27"/>
          <w:rtl/>
          <w:lang w:bidi="fa-IR"/>
        </w:rPr>
        <w:t>أ</w:t>
      </w:r>
      <w:r w:rsidRPr="00904FCB">
        <w:rPr>
          <w:rFonts w:ascii="Tahoma" w:hAnsi="Tahoma"/>
          <w:sz w:val="27"/>
          <w:rtl/>
          <w:lang w:bidi="fa-IR"/>
        </w:rPr>
        <w:t>مثال</w:t>
      </w:r>
      <w:r w:rsidR="00394E51" w:rsidRPr="00904FCB">
        <w:rPr>
          <w:rFonts w:ascii="Tahoma" w:hAnsi="Tahoma" w:hint="cs"/>
          <w:sz w:val="27"/>
          <w:rtl/>
          <w:lang w:bidi="fa-IR"/>
        </w:rPr>
        <w:t>:</w:t>
      </w:r>
      <w:r w:rsidRPr="00904FCB">
        <w:rPr>
          <w:rFonts w:ascii="Tahoma" w:hAnsi="Tahoma"/>
          <w:sz w:val="27"/>
          <w:rtl/>
          <w:lang w:bidi="fa-IR"/>
        </w:rPr>
        <w:t xml:space="preserve"> (ابن نجيم المصري). </w:t>
      </w:r>
    </w:p>
    <w:p w:rsidR="00394E51"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 xml:space="preserve">وقد </w:t>
      </w:r>
      <w:r w:rsidR="00394E51" w:rsidRPr="00904FCB">
        <w:rPr>
          <w:rFonts w:ascii="Tahoma" w:hAnsi="Tahoma" w:hint="cs"/>
          <w:sz w:val="27"/>
          <w:rtl/>
          <w:lang w:bidi="fa-IR"/>
        </w:rPr>
        <w:t>أ</w:t>
      </w:r>
      <w:r w:rsidRPr="00904FCB">
        <w:rPr>
          <w:rFonts w:ascii="Tahoma" w:hAnsi="Tahoma"/>
          <w:sz w:val="27"/>
          <w:rtl/>
          <w:lang w:bidi="fa-IR"/>
        </w:rPr>
        <w:t xml:space="preserve">ضاف الشيخ آل كاشف الغطاء </w:t>
      </w:r>
      <w:r w:rsidR="00394E51" w:rsidRPr="00904FCB">
        <w:rPr>
          <w:rFonts w:ascii="Tahoma" w:hAnsi="Tahoma" w:hint="cs"/>
          <w:sz w:val="27"/>
          <w:rtl/>
          <w:lang w:bidi="fa-IR"/>
        </w:rPr>
        <w:t>أ</w:t>
      </w:r>
      <w:r w:rsidRPr="00904FCB">
        <w:rPr>
          <w:rFonts w:ascii="Tahoma" w:hAnsi="Tahoma"/>
          <w:sz w:val="27"/>
          <w:rtl/>
          <w:lang w:bidi="fa-IR"/>
        </w:rPr>
        <w:t>كثر من ثلاث وعشرين قاعدة فقهي</w:t>
      </w:r>
      <w:r w:rsidR="00394E51" w:rsidRPr="00904FCB">
        <w:rPr>
          <w:rFonts w:ascii="Tahoma" w:hAnsi="Tahoma" w:hint="cs"/>
          <w:sz w:val="27"/>
          <w:rtl/>
          <w:lang w:bidi="fa-IR"/>
        </w:rPr>
        <w:t>ة،</w:t>
      </w:r>
      <w:r w:rsidRPr="00904FCB">
        <w:rPr>
          <w:rFonts w:ascii="Tahoma" w:hAnsi="Tahoma"/>
          <w:sz w:val="27"/>
          <w:rtl/>
          <w:lang w:bidi="fa-IR"/>
        </w:rPr>
        <w:t xml:space="preserve"> منها: </w:t>
      </w:r>
      <w:r w:rsidRPr="00904FCB">
        <w:rPr>
          <w:rFonts w:hint="eastAsia"/>
          <w:sz w:val="27"/>
          <w:rtl/>
        </w:rPr>
        <w:t>«</w:t>
      </w:r>
      <w:r w:rsidRPr="00904FCB">
        <w:rPr>
          <w:rFonts w:ascii="Tahoma" w:hAnsi="Tahoma"/>
          <w:sz w:val="27"/>
          <w:rtl/>
          <w:lang w:bidi="fa-IR"/>
        </w:rPr>
        <w:t>الدواعي لا تغي</w:t>
      </w:r>
      <w:r w:rsidR="00394E51" w:rsidRPr="00904FCB">
        <w:rPr>
          <w:rFonts w:ascii="Tahoma" w:hAnsi="Tahoma" w:hint="cs"/>
          <w:sz w:val="27"/>
          <w:rtl/>
          <w:lang w:bidi="fa-IR"/>
        </w:rPr>
        <w:t>ِّ</w:t>
      </w:r>
      <w:r w:rsidRPr="00904FCB">
        <w:rPr>
          <w:rFonts w:ascii="Tahoma" w:hAnsi="Tahoma"/>
          <w:sz w:val="27"/>
          <w:rtl/>
          <w:lang w:bidi="fa-IR"/>
        </w:rPr>
        <w:t>ر ال</w:t>
      </w:r>
      <w:r w:rsidR="00394E51" w:rsidRPr="00904FCB">
        <w:rPr>
          <w:rFonts w:ascii="Tahoma" w:hAnsi="Tahoma" w:hint="cs"/>
          <w:sz w:val="27"/>
          <w:rtl/>
          <w:lang w:bidi="fa-IR"/>
        </w:rPr>
        <w:t>أ</w:t>
      </w:r>
      <w:r w:rsidRPr="00904FCB">
        <w:rPr>
          <w:rFonts w:ascii="Tahoma" w:hAnsi="Tahoma"/>
          <w:sz w:val="27"/>
          <w:rtl/>
          <w:lang w:bidi="fa-IR"/>
        </w:rPr>
        <w:t>سباب</w:t>
      </w:r>
      <w:r w:rsidR="00394E51" w:rsidRPr="00904FCB">
        <w:rPr>
          <w:rFonts w:ascii="Tahoma" w:hAnsi="Tahoma" w:hint="cs"/>
          <w:sz w:val="27"/>
          <w:rtl/>
          <w:lang w:bidi="fa-IR"/>
        </w:rPr>
        <w:t>؛</w:t>
      </w:r>
      <w:r w:rsidRPr="00904FCB">
        <w:rPr>
          <w:rFonts w:ascii="Tahoma" w:hAnsi="Tahoma"/>
          <w:sz w:val="27"/>
          <w:rtl/>
          <w:lang w:bidi="fa-IR"/>
        </w:rPr>
        <w:t xml:space="preserve"> وكل</w:t>
      </w:r>
      <w:r w:rsidR="00394E51" w:rsidRPr="00904FCB">
        <w:rPr>
          <w:rFonts w:ascii="Tahoma" w:hAnsi="Tahoma" w:hint="cs"/>
          <w:sz w:val="27"/>
          <w:rtl/>
          <w:lang w:bidi="fa-IR"/>
        </w:rPr>
        <w:t>ّ</w:t>
      </w:r>
      <w:r w:rsidRPr="00904FCB">
        <w:rPr>
          <w:rFonts w:ascii="Tahoma" w:hAnsi="Tahoma"/>
          <w:sz w:val="27"/>
          <w:rtl/>
          <w:lang w:bidi="fa-IR"/>
        </w:rPr>
        <w:t xml:space="preserve"> وقف زال جاز بيعه»</w:t>
      </w:r>
      <w:r w:rsidR="00394E51"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 xml:space="preserve">ويرى الشيخ </w:t>
      </w:r>
      <w:r w:rsidR="00394E51" w:rsidRPr="00904FCB">
        <w:rPr>
          <w:rFonts w:ascii="Tahoma" w:hAnsi="Tahoma" w:hint="cs"/>
          <w:sz w:val="27"/>
          <w:rtl/>
          <w:lang w:bidi="fa-IR"/>
        </w:rPr>
        <w:t>أ</w:t>
      </w:r>
      <w:r w:rsidRPr="00904FCB">
        <w:rPr>
          <w:rFonts w:ascii="Tahoma" w:hAnsi="Tahoma"/>
          <w:sz w:val="27"/>
          <w:rtl/>
          <w:lang w:bidi="fa-IR"/>
        </w:rPr>
        <w:t>ن مجلة «ال</w:t>
      </w:r>
      <w:r w:rsidR="00394E51" w:rsidRPr="00904FCB">
        <w:rPr>
          <w:rFonts w:ascii="Tahoma" w:hAnsi="Tahoma" w:hint="cs"/>
          <w:sz w:val="27"/>
          <w:rtl/>
          <w:lang w:bidi="fa-IR"/>
        </w:rPr>
        <w:t>أ</w:t>
      </w:r>
      <w:r w:rsidRPr="00904FCB">
        <w:rPr>
          <w:rFonts w:ascii="Tahoma" w:hAnsi="Tahoma"/>
          <w:sz w:val="27"/>
          <w:rtl/>
          <w:lang w:bidi="fa-IR"/>
        </w:rPr>
        <w:t xml:space="preserve">حكام العدلية» تحتاج </w:t>
      </w:r>
      <w:r w:rsidR="00394E51" w:rsidRPr="00904FCB">
        <w:rPr>
          <w:rFonts w:ascii="Tahoma" w:hAnsi="Tahoma" w:hint="cs"/>
          <w:sz w:val="27"/>
          <w:rtl/>
          <w:lang w:bidi="fa-IR"/>
        </w:rPr>
        <w:t>إ</w:t>
      </w:r>
      <w:r w:rsidRPr="00904FCB">
        <w:rPr>
          <w:rFonts w:ascii="Tahoma" w:hAnsi="Tahoma"/>
          <w:sz w:val="27"/>
          <w:rtl/>
          <w:lang w:bidi="fa-IR"/>
        </w:rPr>
        <w:t xml:space="preserve">لى تنقيح وتحرير وتوضيح بعض قواعدها والفروع، وقد </w:t>
      </w:r>
      <w:r w:rsidR="00394E51" w:rsidRPr="00904FCB">
        <w:rPr>
          <w:rFonts w:ascii="Tahoma" w:hAnsi="Tahoma" w:hint="cs"/>
          <w:sz w:val="27"/>
          <w:rtl/>
          <w:lang w:bidi="fa-IR"/>
        </w:rPr>
        <w:t>أد</w:t>
      </w:r>
      <w:r w:rsidRPr="00904FCB">
        <w:rPr>
          <w:rFonts w:ascii="Tahoma" w:hAnsi="Tahoma"/>
          <w:sz w:val="27"/>
          <w:rtl/>
          <w:lang w:bidi="fa-IR"/>
        </w:rPr>
        <w:t>رج غرضه في كتابة (تحرير المجلة) لحل</w:t>
      </w:r>
      <w:r w:rsidR="00394E51" w:rsidRPr="00904FCB">
        <w:rPr>
          <w:rFonts w:ascii="Tahoma" w:hAnsi="Tahoma" w:hint="cs"/>
          <w:sz w:val="27"/>
          <w:rtl/>
          <w:lang w:bidi="fa-IR"/>
        </w:rPr>
        <w:t>ّ</w:t>
      </w:r>
      <w:r w:rsidRPr="00904FCB">
        <w:rPr>
          <w:rFonts w:ascii="Tahoma" w:hAnsi="Tahoma"/>
          <w:sz w:val="27"/>
          <w:rtl/>
          <w:lang w:bidi="fa-IR"/>
        </w:rPr>
        <w:t xml:space="preserve"> المشاكل ومقارنة مواد</w:t>
      </w:r>
      <w:r w:rsidR="00394E51" w:rsidRPr="00904FCB">
        <w:rPr>
          <w:rFonts w:ascii="Tahoma" w:hAnsi="Tahoma" w:hint="cs"/>
          <w:sz w:val="27"/>
          <w:rtl/>
          <w:lang w:bidi="fa-IR"/>
        </w:rPr>
        <w:t>ّ</w:t>
      </w:r>
      <w:r w:rsidRPr="00904FCB">
        <w:rPr>
          <w:rFonts w:ascii="Tahoma" w:hAnsi="Tahoma"/>
          <w:sz w:val="27"/>
          <w:rtl/>
          <w:lang w:bidi="fa-IR"/>
        </w:rPr>
        <w:t>ها بمواد</w:t>
      </w:r>
      <w:r w:rsidR="00394E51" w:rsidRPr="00904FCB">
        <w:rPr>
          <w:rFonts w:ascii="Tahoma" w:hAnsi="Tahoma" w:hint="cs"/>
          <w:sz w:val="27"/>
          <w:rtl/>
          <w:lang w:bidi="fa-IR"/>
        </w:rPr>
        <w:t>ّ</w:t>
      </w:r>
      <w:r w:rsidRPr="00904FCB">
        <w:rPr>
          <w:rFonts w:ascii="Tahoma" w:hAnsi="Tahoma"/>
          <w:sz w:val="27"/>
          <w:rtl/>
          <w:lang w:bidi="fa-IR"/>
        </w:rPr>
        <w:t xml:space="preserve"> فقهية </w:t>
      </w:r>
      <w:r w:rsidR="00394E51" w:rsidRPr="00904FCB">
        <w:rPr>
          <w:rFonts w:ascii="Tahoma" w:hAnsi="Tahoma" w:hint="cs"/>
          <w:sz w:val="27"/>
          <w:rtl/>
          <w:lang w:bidi="fa-IR"/>
        </w:rPr>
        <w:t>أ</w:t>
      </w:r>
      <w:r w:rsidRPr="00904FCB">
        <w:rPr>
          <w:rFonts w:ascii="Tahoma" w:hAnsi="Tahoma"/>
          <w:sz w:val="27"/>
          <w:rtl/>
          <w:lang w:bidi="fa-IR"/>
        </w:rPr>
        <w:t>خرى عند المذاهب ال</w:t>
      </w:r>
      <w:r w:rsidR="00394E51" w:rsidRPr="00904FCB">
        <w:rPr>
          <w:rFonts w:ascii="Tahoma" w:hAnsi="Tahoma" w:hint="cs"/>
          <w:sz w:val="27"/>
          <w:rtl/>
          <w:lang w:bidi="fa-IR"/>
        </w:rPr>
        <w:t>أ</w:t>
      </w:r>
      <w:r w:rsidRPr="00904FCB">
        <w:rPr>
          <w:rFonts w:ascii="Tahoma" w:hAnsi="Tahoma"/>
          <w:sz w:val="27"/>
          <w:rtl/>
          <w:lang w:bidi="fa-IR"/>
        </w:rPr>
        <w:t>خرى</w:t>
      </w:r>
      <w:r w:rsidR="00394E51" w:rsidRPr="00904FCB">
        <w:rPr>
          <w:rFonts w:ascii="Tahoma" w:hAnsi="Tahoma" w:hint="cs"/>
          <w:sz w:val="27"/>
          <w:rtl/>
          <w:lang w:bidi="fa-IR"/>
        </w:rPr>
        <w:t>.</w:t>
      </w:r>
      <w:r w:rsidRPr="00904FCB">
        <w:rPr>
          <w:rFonts w:ascii="Tahoma" w:hAnsi="Tahoma"/>
          <w:sz w:val="27"/>
          <w:rtl/>
          <w:lang w:bidi="fa-IR"/>
        </w:rPr>
        <w:t xml:space="preserve"> و</w:t>
      </w:r>
      <w:r w:rsidR="00394E51" w:rsidRPr="00904FCB">
        <w:rPr>
          <w:rFonts w:ascii="Tahoma" w:hAnsi="Tahoma" w:hint="cs"/>
          <w:sz w:val="27"/>
          <w:rtl/>
          <w:lang w:bidi="fa-IR"/>
        </w:rPr>
        <w:t>أ</w:t>
      </w:r>
      <w:r w:rsidRPr="00904FCB">
        <w:rPr>
          <w:rFonts w:ascii="Tahoma" w:hAnsi="Tahoma"/>
          <w:sz w:val="27"/>
          <w:rtl/>
          <w:lang w:bidi="fa-IR"/>
        </w:rPr>
        <w:t xml:space="preserve">شار </w:t>
      </w:r>
      <w:r w:rsidR="00394E51" w:rsidRPr="00904FCB">
        <w:rPr>
          <w:rFonts w:ascii="Tahoma" w:hAnsi="Tahoma" w:hint="cs"/>
          <w:sz w:val="27"/>
          <w:rtl/>
          <w:lang w:bidi="fa-IR"/>
        </w:rPr>
        <w:t>إ</w:t>
      </w:r>
      <w:r w:rsidRPr="00904FCB">
        <w:rPr>
          <w:rFonts w:ascii="Tahoma" w:hAnsi="Tahoma"/>
          <w:sz w:val="27"/>
          <w:rtl/>
          <w:lang w:bidi="fa-IR"/>
        </w:rPr>
        <w:t>لى مواد</w:t>
      </w:r>
      <w:r w:rsidR="00394E51" w:rsidRPr="00904FCB">
        <w:rPr>
          <w:rFonts w:ascii="Tahoma" w:hAnsi="Tahoma" w:hint="cs"/>
          <w:sz w:val="27"/>
          <w:rtl/>
          <w:lang w:bidi="fa-IR"/>
        </w:rPr>
        <w:t>ّ</w:t>
      </w:r>
      <w:r w:rsidRPr="00904FCB">
        <w:rPr>
          <w:rFonts w:ascii="Tahoma" w:hAnsi="Tahoma"/>
          <w:sz w:val="27"/>
          <w:rtl/>
          <w:lang w:bidi="fa-IR"/>
        </w:rPr>
        <w:t xml:space="preserve"> مذهب ال</w:t>
      </w:r>
      <w:r w:rsidR="00394E51" w:rsidRPr="00904FCB">
        <w:rPr>
          <w:rFonts w:ascii="Tahoma" w:hAnsi="Tahoma" w:hint="cs"/>
          <w:sz w:val="27"/>
          <w:rtl/>
          <w:lang w:bidi="fa-IR"/>
        </w:rPr>
        <w:t>إ</w:t>
      </w:r>
      <w:r w:rsidRPr="00904FCB">
        <w:rPr>
          <w:rFonts w:ascii="Tahoma" w:hAnsi="Tahoma"/>
          <w:sz w:val="27"/>
          <w:rtl/>
          <w:lang w:bidi="fa-IR"/>
        </w:rPr>
        <w:t>مامية فيها</w:t>
      </w:r>
      <w:r w:rsidR="00394E51" w:rsidRPr="00904FCB">
        <w:rPr>
          <w:rFonts w:ascii="Tahoma" w:hAnsi="Tahoma" w:hint="cs"/>
          <w:sz w:val="27"/>
          <w:rtl/>
          <w:lang w:bidi="fa-IR"/>
        </w:rPr>
        <w:t>.</w:t>
      </w:r>
      <w:r w:rsidRPr="00904FCB">
        <w:rPr>
          <w:rFonts w:ascii="Tahoma" w:hAnsi="Tahoma"/>
          <w:sz w:val="27"/>
          <w:rtl/>
          <w:lang w:bidi="fa-IR"/>
        </w:rPr>
        <w:t xml:space="preserve"> ومن الملاح</w:t>
      </w:r>
      <w:r w:rsidR="00394E51" w:rsidRPr="00904FCB">
        <w:rPr>
          <w:rFonts w:ascii="Tahoma" w:hAnsi="Tahoma" w:hint="cs"/>
          <w:sz w:val="27"/>
          <w:rtl/>
          <w:lang w:bidi="fa-IR"/>
        </w:rPr>
        <w:t>َ</w:t>
      </w:r>
      <w:r w:rsidRPr="00904FCB">
        <w:rPr>
          <w:rFonts w:ascii="Tahoma" w:hAnsi="Tahoma"/>
          <w:sz w:val="27"/>
          <w:rtl/>
          <w:lang w:bidi="fa-IR"/>
        </w:rPr>
        <w:t xml:space="preserve">ظ الواضح </w:t>
      </w:r>
      <w:r w:rsidR="00394E51" w:rsidRPr="00904FCB">
        <w:rPr>
          <w:rFonts w:ascii="Tahoma" w:hAnsi="Tahoma" w:hint="cs"/>
          <w:sz w:val="27"/>
          <w:rtl/>
          <w:lang w:bidi="fa-IR"/>
        </w:rPr>
        <w:t>أ</w:t>
      </w:r>
      <w:r w:rsidRPr="00904FCB">
        <w:rPr>
          <w:rFonts w:ascii="Tahoma" w:hAnsi="Tahoma"/>
          <w:sz w:val="27"/>
          <w:rtl/>
          <w:lang w:bidi="fa-IR"/>
        </w:rPr>
        <w:t>ن الشيخ محمد حسين آل كاشف الغطاء لم يقل</w:t>
      </w:r>
      <w:r w:rsidR="00394E51" w:rsidRPr="00904FCB">
        <w:rPr>
          <w:rFonts w:ascii="Tahoma" w:hAnsi="Tahoma" w:hint="cs"/>
          <w:sz w:val="27"/>
          <w:rtl/>
          <w:lang w:bidi="fa-IR"/>
        </w:rPr>
        <w:t>ِّ</w:t>
      </w:r>
      <w:r w:rsidRPr="00904FCB">
        <w:rPr>
          <w:rFonts w:ascii="Tahoma" w:hAnsi="Tahoma"/>
          <w:sz w:val="27"/>
          <w:rtl/>
          <w:lang w:bidi="fa-IR"/>
        </w:rPr>
        <w:t>ل شأن علماء المذاهب ال</w:t>
      </w:r>
      <w:r w:rsidR="00394E51" w:rsidRPr="00904FCB">
        <w:rPr>
          <w:rFonts w:ascii="Tahoma" w:hAnsi="Tahoma" w:hint="cs"/>
          <w:sz w:val="27"/>
          <w:rtl/>
          <w:lang w:bidi="fa-IR"/>
        </w:rPr>
        <w:t>إ</w:t>
      </w:r>
      <w:r w:rsidRPr="00904FCB">
        <w:rPr>
          <w:rFonts w:ascii="Tahoma" w:hAnsi="Tahoma"/>
          <w:sz w:val="27"/>
          <w:rtl/>
          <w:lang w:bidi="fa-IR"/>
        </w:rPr>
        <w:t>سلامية ال</w:t>
      </w:r>
      <w:r w:rsidR="00394E51" w:rsidRPr="00904FCB">
        <w:rPr>
          <w:rFonts w:ascii="Tahoma" w:hAnsi="Tahoma" w:hint="cs"/>
          <w:sz w:val="27"/>
          <w:rtl/>
          <w:lang w:bidi="fa-IR"/>
        </w:rPr>
        <w:t>أ</w:t>
      </w:r>
      <w:r w:rsidRPr="00904FCB">
        <w:rPr>
          <w:rFonts w:ascii="Tahoma" w:hAnsi="Tahoma"/>
          <w:sz w:val="27"/>
          <w:rtl/>
          <w:lang w:bidi="fa-IR"/>
        </w:rPr>
        <w:t>خرى، و</w:t>
      </w:r>
      <w:r w:rsidR="00394E51" w:rsidRPr="00904FCB">
        <w:rPr>
          <w:rFonts w:ascii="Tahoma" w:hAnsi="Tahoma" w:hint="cs"/>
          <w:sz w:val="27"/>
          <w:rtl/>
          <w:lang w:bidi="fa-IR"/>
        </w:rPr>
        <w:t>إ</w:t>
      </w:r>
      <w:r w:rsidRPr="00904FCB">
        <w:rPr>
          <w:rFonts w:ascii="Tahoma" w:hAnsi="Tahoma"/>
          <w:sz w:val="27"/>
          <w:rtl/>
          <w:lang w:bidi="fa-IR"/>
        </w:rPr>
        <w:t>نما كان يلتمس العذر لهم في</w:t>
      </w:r>
      <w:r w:rsidR="00394E51" w:rsidRPr="00904FCB">
        <w:rPr>
          <w:rFonts w:ascii="Tahoma" w:hAnsi="Tahoma" w:hint="cs"/>
          <w:sz w:val="27"/>
          <w:rtl/>
          <w:lang w:bidi="fa-IR"/>
        </w:rPr>
        <w:t xml:space="preserve"> </w:t>
      </w:r>
      <w:r w:rsidRPr="00904FCB">
        <w:rPr>
          <w:rFonts w:ascii="Tahoma" w:hAnsi="Tahoma"/>
          <w:sz w:val="27"/>
          <w:rtl/>
          <w:lang w:bidi="fa-IR"/>
        </w:rPr>
        <w:t xml:space="preserve">ما يذهبون </w:t>
      </w:r>
      <w:r w:rsidR="00394E51" w:rsidRPr="00904FCB">
        <w:rPr>
          <w:rFonts w:ascii="Tahoma" w:hAnsi="Tahoma" w:hint="cs"/>
          <w:sz w:val="27"/>
          <w:rtl/>
          <w:lang w:bidi="fa-IR"/>
        </w:rPr>
        <w:t>إ</w:t>
      </w:r>
      <w:r w:rsidRPr="00904FCB">
        <w:rPr>
          <w:rFonts w:ascii="Tahoma" w:hAnsi="Tahoma"/>
          <w:sz w:val="27"/>
          <w:rtl/>
          <w:lang w:bidi="fa-IR"/>
        </w:rPr>
        <w:t>ليه</w:t>
      </w:r>
      <w:r w:rsidR="00394E51" w:rsidRPr="00904FCB">
        <w:rPr>
          <w:rFonts w:ascii="Tahoma" w:hAnsi="Tahoma" w:hint="cs"/>
          <w:sz w:val="27"/>
          <w:rtl/>
          <w:lang w:bidi="fa-IR"/>
        </w:rPr>
        <w:t>،</w:t>
      </w:r>
      <w:r w:rsidRPr="00904FCB">
        <w:rPr>
          <w:rFonts w:ascii="Tahoma" w:hAnsi="Tahoma"/>
          <w:sz w:val="27"/>
          <w:rtl/>
          <w:lang w:bidi="fa-IR"/>
        </w:rPr>
        <w:t xml:space="preserve"> مستندا</w:t>
      </w:r>
      <w:r w:rsidR="00394E51" w:rsidRPr="00904FCB">
        <w:rPr>
          <w:rFonts w:ascii="Tahoma" w:hAnsi="Tahoma" w:hint="cs"/>
          <w:sz w:val="27"/>
          <w:rtl/>
          <w:lang w:bidi="fa-IR"/>
        </w:rPr>
        <w:t>ً</w:t>
      </w:r>
      <w:r w:rsidRPr="00904FCB">
        <w:rPr>
          <w:rFonts w:ascii="Tahoma" w:hAnsi="Tahoma"/>
          <w:sz w:val="27"/>
          <w:rtl/>
          <w:lang w:bidi="fa-IR"/>
        </w:rPr>
        <w:t xml:space="preserve"> </w:t>
      </w:r>
      <w:r w:rsidR="00394E51" w:rsidRPr="00904FCB">
        <w:rPr>
          <w:rFonts w:ascii="Tahoma" w:hAnsi="Tahoma" w:hint="cs"/>
          <w:sz w:val="27"/>
          <w:rtl/>
          <w:lang w:bidi="fa-IR"/>
        </w:rPr>
        <w:t>إ</w:t>
      </w:r>
      <w:r w:rsidRPr="00904FCB">
        <w:rPr>
          <w:rFonts w:ascii="Tahoma" w:hAnsi="Tahoma"/>
          <w:sz w:val="27"/>
          <w:rtl/>
          <w:lang w:bidi="fa-IR"/>
        </w:rPr>
        <w:t>لى القر</w:t>
      </w:r>
      <w:r w:rsidR="00394E51" w:rsidRPr="00904FCB">
        <w:rPr>
          <w:rFonts w:ascii="Tahoma" w:hAnsi="Tahoma" w:hint="cs"/>
          <w:sz w:val="27"/>
          <w:rtl/>
          <w:lang w:bidi="fa-IR"/>
        </w:rPr>
        <w:t>آ</w:t>
      </w:r>
      <w:r w:rsidRPr="00904FCB">
        <w:rPr>
          <w:rFonts w:ascii="Tahoma" w:hAnsi="Tahoma"/>
          <w:sz w:val="27"/>
          <w:rtl/>
          <w:lang w:bidi="fa-IR"/>
        </w:rPr>
        <w:t>ن الكريم والسن</w:t>
      </w:r>
      <w:r w:rsidR="00394E51" w:rsidRPr="00904FCB">
        <w:rPr>
          <w:rFonts w:ascii="Tahoma" w:hAnsi="Tahoma" w:hint="cs"/>
          <w:sz w:val="27"/>
          <w:rtl/>
          <w:lang w:bidi="fa-IR"/>
        </w:rPr>
        <w:t>ّ</w:t>
      </w:r>
      <w:r w:rsidRPr="00904FCB">
        <w:rPr>
          <w:rFonts w:ascii="Tahoma" w:hAnsi="Tahoma"/>
          <w:sz w:val="27"/>
          <w:rtl/>
          <w:lang w:bidi="fa-IR"/>
        </w:rPr>
        <w:t xml:space="preserve">ة المطهرة الواردة عندهم. </w:t>
      </w:r>
    </w:p>
    <w:p w:rsidR="00394E51" w:rsidRPr="00904FCB" w:rsidRDefault="00394E51" w:rsidP="007A21AA">
      <w:pPr>
        <w:autoSpaceDE w:val="0"/>
        <w:autoSpaceDN w:val="0"/>
        <w:adjustRightInd w:val="0"/>
        <w:spacing w:line="400" w:lineRule="exact"/>
        <w:rPr>
          <w:rFonts w:ascii="Tahoma" w:hAnsi="Tahoma"/>
          <w:sz w:val="27"/>
          <w:lang w:bidi="fa-IR"/>
        </w:rPr>
      </w:pPr>
    </w:p>
    <w:p w:rsidR="00884C95" w:rsidRPr="00904FCB" w:rsidRDefault="00394E51" w:rsidP="007A21AA">
      <w:pPr>
        <w:pStyle w:val="31"/>
        <w:spacing w:line="400" w:lineRule="exact"/>
        <w:rPr>
          <w:color w:val="auto"/>
          <w:rtl/>
          <w:lang w:bidi="fa-IR"/>
        </w:rPr>
      </w:pPr>
      <w:r w:rsidRPr="002C04DA">
        <w:rPr>
          <w:rFonts w:hint="cs"/>
          <w:color w:val="auto"/>
          <w:rtl/>
          <w:lang w:bidi="fa-IR"/>
        </w:rPr>
        <w:t xml:space="preserve">3ـ </w:t>
      </w:r>
      <w:r w:rsidR="00644408" w:rsidRPr="002C04DA">
        <w:rPr>
          <w:color w:val="auto"/>
          <w:rtl/>
          <w:lang w:bidi="fa-IR"/>
        </w:rPr>
        <w:t xml:space="preserve"> نماذج</w:t>
      </w:r>
      <w:r w:rsidR="00644408" w:rsidRPr="00904FCB">
        <w:rPr>
          <w:color w:val="auto"/>
          <w:rtl/>
          <w:lang w:bidi="fa-IR"/>
        </w:rPr>
        <w:t xml:space="preserve"> من آراء الشيخ آل كاشف الغطاء في (تحرير المجلة)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ومن جملة آراء الشيخ آل كاشف الغطاء في تحريره لموارد مجل</w:t>
      </w:r>
      <w:r w:rsidR="00394E51" w:rsidRPr="00904FCB">
        <w:rPr>
          <w:rFonts w:ascii="Tahoma" w:hAnsi="Tahoma" w:hint="cs"/>
          <w:sz w:val="27"/>
          <w:rtl/>
          <w:lang w:bidi="fa-IR"/>
        </w:rPr>
        <w:t>ّ</w:t>
      </w:r>
      <w:r w:rsidRPr="00904FCB">
        <w:rPr>
          <w:rFonts w:ascii="Tahoma" w:hAnsi="Tahoma"/>
          <w:sz w:val="27"/>
          <w:rtl/>
          <w:lang w:bidi="fa-IR"/>
        </w:rPr>
        <w:t>ة ال</w:t>
      </w:r>
      <w:r w:rsidR="00394E51" w:rsidRPr="00904FCB">
        <w:rPr>
          <w:rFonts w:ascii="Tahoma" w:hAnsi="Tahoma" w:hint="cs"/>
          <w:sz w:val="27"/>
          <w:rtl/>
          <w:lang w:bidi="fa-IR"/>
        </w:rPr>
        <w:t>أ</w:t>
      </w:r>
      <w:r w:rsidRPr="00904FCB">
        <w:rPr>
          <w:rFonts w:ascii="Tahoma" w:hAnsi="Tahoma"/>
          <w:sz w:val="27"/>
          <w:rtl/>
          <w:lang w:bidi="fa-IR"/>
        </w:rPr>
        <w:t xml:space="preserve">حكام العدلية </w:t>
      </w:r>
      <w:r w:rsidR="00394E51" w:rsidRPr="00904FCB">
        <w:rPr>
          <w:rFonts w:ascii="Tahoma" w:hAnsi="Tahoma" w:hint="cs"/>
          <w:sz w:val="27"/>
          <w:rtl/>
          <w:lang w:bidi="fa-IR"/>
        </w:rPr>
        <w:t>أنّه</w:t>
      </w:r>
      <w:r w:rsidRPr="00904FCB">
        <w:rPr>
          <w:rFonts w:ascii="Tahoma" w:hAnsi="Tahoma"/>
          <w:sz w:val="27"/>
          <w:rtl/>
          <w:lang w:bidi="fa-IR"/>
        </w:rPr>
        <w:t xml:space="preserve"> عر</w:t>
      </w:r>
      <w:r w:rsidR="00394E51" w:rsidRPr="00904FCB">
        <w:rPr>
          <w:rFonts w:ascii="Tahoma" w:hAnsi="Tahoma" w:hint="cs"/>
          <w:sz w:val="27"/>
          <w:rtl/>
          <w:lang w:bidi="fa-IR"/>
        </w:rPr>
        <w:t>ّ</w:t>
      </w:r>
      <w:r w:rsidRPr="00904FCB">
        <w:rPr>
          <w:rFonts w:ascii="Tahoma" w:hAnsi="Tahoma"/>
          <w:sz w:val="27"/>
          <w:rtl/>
          <w:lang w:bidi="fa-IR"/>
        </w:rPr>
        <w:t>ف (المال) ب</w:t>
      </w:r>
      <w:r w:rsidR="00394E51" w:rsidRPr="00904FCB">
        <w:rPr>
          <w:rFonts w:ascii="Tahoma" w:hAnsi="Tahoma" w:hint="cs"/>
          <w:sz w:val="27"/>
          <w:rtl/>
          <w:lang w:bidi="fa-IR"/>
        </w:rPr>
        <w:t>أ</w:t>
      </w:r>
      <w:r w:rsidRPr="00904FCB">
        <w:rPr>
          <w:rFonts w:ascii="Tahoma" w:hAnsi="Tahoma"/>
          <w:sz w:val="27"/>
          <w:rtl/>
          <w:lang w:bidi="fa-IR"/>
        </w:rPr>
        <w:t>نه «مدار العقود والمعاملات... وهو حقيقة اعتبارية ينتزعها العقلاء من الموجودات الخارجية</w:t>
      </w:r>
      <w:r w:rsidR="006A3331"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lastRenderedPageBreak/>
        <w:t>وعر</w:t>
      </w:r>
      <w:r w:rsidR="006A3331" w:rsidRPr="00904FCB">
        <w:rPr>
          <w:rFonts w:ascii="Tahoma" w:hAnsi="Tahoma" w:hint="cs"/>
          <w:sz w:val="27"/>
          <w:rtl/>
          <w:lang w:bidi="fa-IR"/>
        </w:rPr>
        <w:t>ّ</w:t>
      </w:r>
      <w:r w:rsidRPr="00904FCB">
        <w:rPr>
          <w:rFonts w:ascii="Tahoma" w:hAnsi="Tahoma"/>
          <w:sz w:val="27"/>
          <w:rtl/>
          <w:lang w:bidi="fa-IR"/>
        </w:rPr>
        <w:t>ج الشيخ على اختيار الناس للذهب والفض</w:t>
      </w:r>
      <w:r w:rsidR="006A3331" w:rsidRPr="00904FCB">
        <w:rPr>
          <w:rFonts w:ascii="Tahoma" w:hAnsi="Tahoma" w:hint="cs"/>
          <w:sz w:val="27"/>
          <w:rtl/>
          <w:lang w:bidi="fa-IR"/>
        </w:rPr>
        <w:t>ّ</w:t>
      </w:r>
      <w:r w:rsidRPr="00904FCB">
        <w:rPr>
          <w:rFonts w:ascii="Tahoma" w:hAnsi="Tahoma"/>
          <w:sz w:val="27"/>
          <w:rtl/>
          <w:lang w:bidi="fa-IR"/>
        </w:rPr>
        <w:t>ة وسائر المعادن، والورق المطبوع، واعتبروا ذم</w:t>
      </w:r>
      <w:r w:rsidR="006A3331" w:rsidRPr="00904FCB">
        <w:rPr>
          <w:rFonts w:ascii="Tahoma" w:hAnsi="Tahoma" w:hint="cs"/>
          <w:sz w:val="27"/>
          <w:rtl/>
          <w:lang w:bidi="fa-IR"/>
        </w:rPr>
        <w:t>ّ</w:t>
      </w:r>
      <w:r w:rsidRPr="00904FCB">
        <w:rPr>
          <w:rFonts w:ascii="Tahoma" w:hAnsi="Tahoma"/>
          <w:sz w:val="27"/>
          <w:rtl/>
          <w:lang w:bidi="fa-IR"/>
        </w:rPr>
        <w:t>ة الرجل العاقل الرشيد مالا</w:t>
      </w:r>
      <w:r w:rsidR="006A3331" w:rsidRPr="00904FCB">
        <w:rPr>
          <w:rFonts w:ascii="Tahoma" w:hAnsi="Tahoma" w:hint="cs"/>
          <w:sz w:val="27"/>
          <w:rtl/>
          <w:lang w:bidi="fa-IR"/>
        </w:rPr>
        <w:t>ً</w:t>
      </w:r>
      <w:r w:rsidRPr="00904FCB">
        <w:rPr>
          <w:rFonts w:ascii="Tahoma" w:hAnsi="Tahoma"/>
          <w:sz w:val="27"/>
          <w:rtl/>
          <w:lang w:bidi="fa-IR"/>
        </w:rPr>
        <w:t>، والذمم عند الفقهاء (مال)</w:t>
      </w:r>
      <w:r w:rsidR="006A3331" w:rsidRPr="00904FCB">
        <w:rPr>
          <w:rFonts w:ascii="Tahoma" w:hAnsi="Tahoma" w:hint="cs"/>
          <w:sz w:val="27"/>
          <w:rtl/>
          <w:lang w:bidi="fa-IR"/>
        </w:rPr>
        <w:t>،</w:t>
      </w:r>
      <w:r w:rsidRPr="00904FCB">
        <w:rPr>
          <w:rFonts w:ascii="Tahoma" w:hAnsi="Tahoma"/>
          <w:sz w:val="27"/>
          <w:rtl/>
          <w:lang w:bidi="fa-IR"/>
        </w:rPr>
        <w:t xml:space="preserve"> حالها حال المعادن. لذا قس</w:t>
      </w:r>
      <w:r w:rsidR="006A3331" w:rsidRPr="00904FCB">
        <w:rPr>
          <w:rFonts w:ascii="Tahoma" w:hAnsi="Tahoma" w:hint="cs"/>
          <w:sz w:val="27"/>
          <w:rtl/>
          <w:lang w:bidi="fa-IR"/>
        </w:rPr>
        <w:t>ّ</w:t>
      </w:r>
      <w:r w:rsidRPr="00904FCB">
        <w:rPr>
          <w:rFonts w:ascii="Tahoma" w:hAnsi="Tahoma"/>
          <w:sz w:val="27"/>
          <w:rtl/>
          <w:lang w:bidi="fa-IR"/>
        </w:rPr>
        <w:t xml:space="preserve">م علماء الفقه ورجال القانون والاقتصاديون المال </w:t>
      </w:r>
      <w:r w:rsidR="006A3331" w:rsidRPr="00904FCB">
        <w:rPr>
          <w:rFonts w:ascii="Tahoma" w:hAnsi="Tahoma" w:hint="cs"/>
          <w:sz w:val="27"/>
          <w:rtl/>
          <w:lang w:bidi="fa-IR"/>
        </w:rPr>
        <w:t>إ</w:t>
      </w:r>
      <w:r w:rsidRPr="00904FCB">
        <w:rPr>
          <w:rFonts w:ascii="Tahoma" w:hAnsi="Tahoma"/>
          <w:sz w:val="27"/>
          <w:rtl/>
          <w:lang w:bidi="fa-IR"/>
        </w:rPr>
        <w:t xml:space="preserve">لى نوعين: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w:t>
      </w:r>
      <w:r w:rsidR="006A3331" w:rsidRPr="00904FCB">
        <w:rPr>
          <w:rFonts w:ascii="Tahoma" w:hAnsi="Tahoma" w:hint="cs"/>
          <w:b/>
          <w:bCs/>
          <w:sz w:val="27"/>
          <w:rtl/>
          <w:lang w:bidi="fa-IR"/>
        </w:rPr>
        <w:t>ّ</w:t>
      </w:r>
      <w:r w:rsidRPr="00904FCB">
        <w:rPr>
          <w:rFonts w:ascii="Tahoma" w:hAnsi="Tahoma"/>
          <w:b/>
          <w:bCs/>
          <w:sz w:val="27"/>
          <w:rtl/>
          <w:lang w:bidi="fa-IR"/>
        </w:rPr>
        <w:t>ل</w:t>
      </w:r>
      <w:r w:rsidRPr="00904FCB">
        <w:rPr>
          <w:rFonts w:ascii="Tahoma" w:hAnsi="Tahoma"/>
          <w:sz w:val="27"/>
          <w:rtl/>
          <w:lang w:bidi="fa-IR"/>
        </w:rPr>
        <w:t>: مال عيني</w:t>
      </w:r>
      <w:r w:rsidR="006A3331" w:rsidRPr="00904FCB">
        <w:rPr>
          <w:rFonts w:ascii="Tahoma" w:hAnsi="Tahoma" w:hint="cs"/>
          <w:sz w:val="27"/>
          <w:rtl/>
          <w:lang w:bidi="fa-IR"/>
        </w:rPr>
        <w:t>،</w:t>
      </w:r>
      <w:r w:rsidRPr="00904FCB">
        <w:rPr>
          <w:rFonts w:ascii="Tahoma" w:hAnsi="Tahoma"/>
          <w:sz w:val="27"/>
          <w:rtl/>
          <w:lang w:bidi="fa-IR"/>
        </w:rPr>
        <w:t xml:space="preserve"> </w:t>
      </w:r>
      <w:r w:rsidR="006A3331" w:rsidRPr="00904FCB">
        <w:rPr>
          <w:rFonts w:ascii="Tahoma" w:hAnsi="Tahoma" w:hint="cs"/>
          <w:sz w:val="27"/>
          <w:rtl/>
          <w:lang w:bidi="fa-IR"/>
        </w:rPr>
        <w:t>و</w:t>
      </w:r>
      <w:r w:rsidRPr="00904FCB">
        <w:rPr>
          <w:rFonts w:ascii="Tahoma" w:hAnsi="Tahoma"/>
          <w:sz w:val="27"/>
          <w:rtl/>
          <w:lang w:bidi="fa-IR"/>
        </w:rPr>
        <w:t xml:space="preserve">يقصدون به النقود والمعروض. </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b/>
          <w:bCs/>
          <w:sz w:val="27"/>
          <w:rtl/>
          <w:lang w:bidi="fa-IR"/>
        </w:rPr>
        <w:t>الثاني</w:t>
      </w:r>
      <w:r w:rsidRPr="00904FCB">
        <w:rPr>
          <w:rFonts w:ascii="Tahoma" w:hAnsi="Tahoma"/>
          <w:sz w:val="27"/>
          <w:rtl/>
          <w:lang w:bidi="fa-IR"/>
        </w:rPr>
        <w:t>: مال اعتباري</w:t>
      </w:r>
      <w:r w:rsidR="006A3331" w:rsidRPr="00904FCB">
        <w:rPr>
          <w:rFonts w:ascii="Tahoma" w:hAnsi="Tahoma" w:hint="cs"/>
          <w:sz w:val="27"/>
          <w:rtl/>
          <w:lang w:bidi="fa-IR"/>
        </w:rPr>
        <w:t>،</w:t>
      </w:r>
      <w:r w:rsidRPr="00904FCB">
        <w:rPr>
          <w:rFonts w:ascii="Tahoma" w:hAnsi="Tahoma"/>
          <w:sz w:val="27"/>
          <w:rtl/>
          <w:lang w:bidi="fa-IR"/>
        </w:rPr>
        <w:t xml:space="preserve"> وهو ما في الذمم</w:t>
      </w:r>
      <w:r w:rsidR="006A3331" w:rsidRPr="00904FCB">
        <w:rPr>
          <w:rFonts w:ascii="Tahoma" w:hAnsi="Tahoma" w:hint="cs"/>
          <w:sz w:val="27"/>
          <w:rtl/>
          <w:lang w:bidi="fa-IR"/>
        </w:rPr>
        <w:t>،</w:t>
      </w:r>
      <w:r w:rsidRPr="00904FCB">
        <w:rPr>
          <w:rFonts w:ascii="Tahoma" w:hAnsi="Tahoma"/>
          <w:sz w:val="27"/>
          <w:rtl/>
          <w:lang w:bidi="fa-IR"/>
        </w:rPr>
        <w:t xml:space="preserve"> يضبطه العقد الذي يعنون به الالتزام. </w:t>
      </w:r>
    </w:p>
    <w:p w:rsidR="00884C95" w:rsidRPr="00904FCB" w:rsidRDefault="00884C95" w:rsidP="007A21AA">
      <w:pPr>
        <w:autoSpaceDE w:val="0"/>
        <w:autoSpaceDN w:val="0"/>
        <w:adjustRightInd w:val="0"/>
        <w:spacing w:line="400" w:lineRule="exact"/>
        <w:rPr>
          <w:rFonts w:ascii="Tahoma" w:hAnsi="Tahoma"/>
          <w:sz w:val="27"/>
          <w:lang w:bidi="fa-IR"/>
        </w:rPr>
      </w:pPr>
    </w:p>
    <w:p w:rsidR="00884C95" w:rsidRPr="00904FCB" w:rsidRDefault="006A3331" w:rsidP="007A21AA">
      <w:pPr>
        <w:pStyle w:val="31"/>
        <w:spacing w:line="400" w:lineRule="exact"/>
        <w:rPr>
          <w:color w:val="auto"/>
          <w:rtl/>
          <w:lang w:bidi="fa-IR"/>
        </w:rPr>
      </w:pPr>
      <w:r w:rsidRPr="002C04DA">
        <w:rPr>
          <w:rFonts w:hint="cs"/>
          <w:color w:val="auto"/>
          <w:rtl/>
          <w:lang w:bidi="ar-LB"/>
        </w:rPr>
        <w:t>4ـ</w:t>
      </w:r>
      <w:r w:rsidR="00644408" w:rsidRPr="002C04DA">
        <w:rPr>
          <w:color w:val="auto"/>
          <w:rtl/>
          <w:lang w:bidi="fa-IR"/>
        </w:rPr>
        <w:t xml:space="preserve"> المصادر</w:t>
      </w:r>
      <w:r w:rsidR="00644408" w:rsidRPr="00904FCB">
        <w:rPr>
          <w:color w:val="auto"/>
          <w:rtl/>
          <w:lang w:bidi="fa-IR"/>
        </w:rPr>
        <w:t xml:space="preserve"> المعتمدة في (تحرير المجل</w:t>
      </w:r>
      <w:r w:rsidRPr="00904FCB">
        <w:rPr>
          <w:rFonts w:hint="cs"/>
          <w:color w:val="auto"/>
          <w:rtl/>
          <w:lang w:bidi="fa-IR"/>
        </w:rPr>
        <w:t>ّ</w:t>
      </w:r>
      <w:r w:rsidR="00644408" w:rsidRPr="00904FCB">
        <w:rPr>
          <w:color w:val="auto"/>
          <w:rtl/>
          <w:lang w:bidi="fa-IR"/>
        </w:rPr>
        <w:t xml:space="preserve">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فقد اعتمد الشيخ آل كاشف الغطاء في كتابه (تحرير المجلة) على مصادر ومراجع استقصى منها معلوماته، و</w:t>
      </w:r>
      <w:r w:rsidR="006A3331" w:rsidRPr="00904FCB">
        <w:rPr>
          <w:rFonts w:ascii="Tahoma" w:hAnsi="Tahoma" w:hint="cs"/>
          <w:sz w:val="27"/>
          <w:rtl/>
          <w:lang w:bidi="fa-IR"/>
        </w:rPr>
        <w:t>أ</w:t>
      </w:r>
      <w:r w:rsidRPr="00904FCB">
        <w:rPr>
          <w:rFonts w:ascii="Tahoma" w:hAnsi="Tahoma"/>
          <w:sz w:val="27"/>
          <w:rtl/>
          <w:lang w:bidi="fa-IR"/>
        </w:rPr>
        <w:t>ودعها كتابه</w:t>
      </w:r>
      <w:r w:rsidR="006A3331" w:rsidRPr="00904FCB">
        <w:rPr>
          <w:rFonts w:ascii="Tahoma" w:hAnsi="Tahoma" w:hint="cs"/>
          <w:sz w:val="27"/>
          <w:rtl/>
          <w:lang w:bidi="fa-IR"/>
        </w:rPr>
        <w:t>،</w:t>
      </w:r>
      <w:r w:rsidRPr="00904FCB">
        <w:rPr>
          <w:rFonts w:ascii="Tahoma" w:hAnsi="Tahoma"/>
          <w:sz w:val="27"/>
          <w:rtl/>
          <w:lang w:bidi="fa-IR"/>
        </w:rPr>
        <w:t xml:space="preserve"> واستند </w:t>
      </w:r>
      <w:r w:rsidR="006A3331" w:rsidRPr="00904FCB">
        <w:rPr>
          <w:rFonts w:ascii="Tahoma" w:hAnsi="Tahoma" w:hint="cs"/>
          <w:sz w:val="27"/>
          <w:rtl/>
          <w:lang w:bidi="fa-IR"/>
        </w:rPr>
        <w:t>إ</w:t>
      </w:r>
      <w:r w:rsidRPr="00904FCB">
        <w:rPr>
          <w:rFonts w:ascii="Tahoma" w:hAnsi="Tahoma"/>
          <w:sz w:val="27"/>
          <w:rtl/>
          <w:lang w:bidi="fa-IR"/>
        </w:rPr>
        <w:t>لى مصادر الاستنباط المعتمدة في آرائه واجتهاداته الخاص</w:t>
      </w:r>
      <w:r w:rsidR="006A3331" w:rsidRPr="00904FCB">
        <w:rPr>
          <w:rFonts w:ascii="Tahoma" w:hAnsi="Tahoma" w:hint="cs"/>
          <w:sz w:val="27"/>
          <w:rtl/>
          <w:lang w:bidi="fa-IR"/>
        </w:rPr>
        <w:t>ّ</w:t>
      </w:r>
      <w:r w:rsidRPr="00904FCB">
        <w:rPr>
          <w:rFonts w:ascii="Tahoma" w:hAnsi="Tahoma"/>
          <w:sz w:val="27"/>
          <w:rtl/>
          <w:lang w:bidi="fa-IR"/>
        </w:rPr>
        <w:t>ة</w:t>
      </w:r>
      <w:r w:rsidR="006A3331" w:rsidRPr="00904FCB">
        <w:rPr>
          <w:rFonts w:ascii="Tahoma" w:hAnsi="Tahoma" w:hint="cs"/>
          <w:sz w:val="27"/>
          <w:rtl/>
          <w:lang w:bidi="fa-IR"/>
        </w:rPr>
        <w:t>،</w:t>
      </w:r>
      <w:r w:rsidRPr="00904FCB">
        <w:rPr>
          <w:rFonts w:ascii="Tahoma" w:hAnsi="Tahoma"/>
          <w:sz w:val="27"/>
          <w:rtl/>
          <w:lang w:bidi="fa-IR"/>
        </w:rPr>
        <w:t xml:space="preserve"> ومن </w:t>
      </w:r>
      <w:r w:rsidR="006A3331" w:rsidRPr="00904FCB">
        <w:rPr>
          <w:rFonts w:ascii="Tahoma" w:hAnsi="Tahoma" w:hint="cs"/>
          <w:sz w:val="27"/>
          <w:rtl/>
          <w:lang w:bidi="fa-IR"/>
        </w:rPr>
        <w:t>أه</w:t>
      </w:r>
      <w:r w:rsidRPr="00904FCB">
        <w:rPr>
          <w:rFonts w:ascii="Tahoma" w:hAnsi="Tahoma"/>
          <w:sz w:val="27"/>
          <w:rtl/>
          <w:lang w:bidi="fa-IR"/>
        </w:rPr>
        <w:t>م</w:t>
      </w:r>
      <w:r w:rsidR="006A3331" w:rsidRPr="00904FCB">
        <w:rPr>
          <w:rFonts w:ascii="Tahoma" w:hAnsi="Tahoma" w:hint="cs"/>
          <w:sz w:val="27"/>
          <w:rtl/>
          <w:lang w:bidi="fa-IR"/>
        </w:rPr>
        <w:t>ّ</w:t>
      </w:r>
      <w:r w:rsidRPr="00904FCB">
        <w:rPr>
          <w:rFonts w:ascii="Tahoma" w:hAnsi="Tahoma"/>
          <w:sz w:val="27"/>
          <w:rtl/>
          <w:lang w:bidi="fa-IR"/>
        </w:rPr>
        <w:t>ها: القر</w:t>
      </w:r>
      <w:r w:rsidR="006A3331" w:rsidRPr="00904FCB">
        <w:rPr>
          <w:rFonts w:ascii="Tahoma" w:hAnsi="Tahoma" w:hint="cs"/>
          <w:sz w:val="27"/>
          <w:rtl/>
          <w:lang w:bidi="fa-IR"/>
        </w:rPr>
        <w:t>آ</w:t>
      </w:r>
      <w:r w:rsidRPr="00904FCB">
        <w:rPr>
          <w:rFonts w:ascii="Tahoma" w:hAnsi="Tahoma"/>
          <w:sz w:val="27"/>
          <w:rtl/>
          <w:lang w:bidi="fa-IR"/>
        </w:rPr>
        <w:t>ن الكريم</w:t>
      </w:r>
      <w:r w:rsidR="006A3331" w:rsidRPr="00904FCB">
        <w:rPr>
          <w:rFonts w:ascii="Tahoma" w:hAnsi="Tahoma" w:hint="cs"/>
          <w:sz w:val="27"/>
          <w:rtl/>
          <w:lang w:bidi="fa-IR"/>
        </w:rPr>
        <w:t>؛</w:t>
      </w:r>
      <w:r w:rsidRPr="00904FCB">
        <w:rPr>
          <w:rFonts w:ascii="Tahoma" w:hAnsi="Tahoma"/>
          <w:sz w:val="27"/>
          <w:rtl/>
          <w:lang w:bidi="fa-IR"/>
        </w:rPr>
        <w:t xml:space="preserve"> والسن</w:t>
      </w:r>
      <w:r w:rsidR="006A3331" w:rsidRPr="00904FCB">
        <w:rPr>
          <w:rFonts w:ascii="Tahoma" w:hAnsi="Tahoma" w:hint="cs"/>
          <w:sz w:val="27"/>
          <w:rtl/>
          <w:lang w:bidi="fa-IR"/>
        </w:rPr>
        <w:t>ّ</w:t>
      </w:r>
      <w:r w:rsidRPr="00904FCB">
        <w:rPr>
          <w:rFonts w:ascii="Tahoma" w:hAnsi="Tahoma"/>
          <w:sz w:val="27"/>
          <w:rtl/>
          <w:lang w:bidi="fa-IR"/>
        </w:rPr>
        <w:t>ة المطه</w:t>
      </w:r>
      <w:r w:rsidR="006A3331" w:rsidRPr="00904FCB">
        <w:rPr>
          <w:rFonts w:ascii="Tahoma" w:hAnsi="Tahoma" w:hint="cs"/>
          <w:sz w:val="27"/>
          <w:rtl/>
          <w:lang w:bidi="fa-IR"/>
        </w:rPr>
        <w:t>ّ</w:t>
      </w:r>
      <w:r w:rsidRPr="00904FCB">
        <w:rPr>
          <w:rFonts w:ascii="Tahoma" w:hAnsi="Tahoma"/>
          <w:sz w:val="27"/>
          <w:rtl/>
          <w:lang w:bidi="fa-IR"/>
        </w:rPr>
        <w:t xml:space="preserve">رة.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w:t>
      </w:r>
      <w:r w:rsidR="006A3331" w:rsidRPr="00904FCB">
        <w:rPr>
          <w:rFonts w:ascii="Tahoma" w:hAnsi="Tahoma" w:hint="cs"/>
          <w:sz w:val="27"/>
          <w:rtl/>
          <w:lang w:bidi="fa-IR"/>
        </w:rPr>
        <w:t>أ</w:t>
      </w:r>
      <w:r w:rsidRPr="00904FCB">
        <w:rPr>
          <w:rFonts w:ascii="Tahoma" w:hAnsi="Tahoma"/>
          <w:sz w:val="27"/>
          <w:rtl/>
          <w:lang w:bidi="fa-IR"/>
        </w:rPr>
        <w:t xml:space="preserve">حاول عرض </w:t>
      </w:r>
      <w:r w:rsidR="006A3331" w:rsidRPr="00904FCB">
        <w:rPr>
          <w:rFonts w:ascii="Tahoma" w:hAnsi="Tahoma" w:hint="cs"/>
          <w:sz w:val="27"/>
          <w:rtl/>
          <w:lang w:bidi="fa-IR"/>
        </w:rPr>
        <w:t>أ</w:t>
      </w:r>
      <w:r w:rsidRPr="00904FCB">
        <w:rPr>
          <w:rFonts w:ascii="Tahoma" w:hAnsi="Tahoma"/>
          <w:sz w:val="27"/>
          <w:rtl/>
          <w:lang w:bidi="fa-IR"/>
        </w:rPr>
        <w:t>هم المصادر التي اعتمدها</w:t>
      </w:r>
      <w:r w:rsidR="006A3331" w:rsidRPr="00904FCB">
        <w:rPr>
          <w:rFonts w:ascii="Tahoma" w:hAnsi="Tahoma" w:hint="cs"/>
          <w:sz w:val="27"/>
          <w:rtl/>
          <w:lang w:bidi="fa-IR"/>
        </w:rPr>
        <w:t>،</w:t>
      </w:r>
      <w:r w:rsidRPr="00904FCB">
        <w:rPr>
          <w:rFonts w:ascii="Tahoma" w:hAnsi="Tahoma"/>
          <w:sz w:val="27"/>
          <w:rtl/>
          <w:lang w:bidi="fa-IR"/>
        </w:rPr>
        <w:t xml:space="preserve"> و</w:t>
      </w:r>
      <w:r w:rsidR="006A3331" w:rsidRPr="00904FCB">
        <w:rPr>
          <w:rFonts w:ascii="Tahoma" w:hAnsi="Tahoma" w:hint="cs"/>
          <w:sz w:val="27"/>
          <w:rtl/>
          <w:lang w:bidi="fa-IR"/>
        </w:rPr>
        <w:t xml:space="preserve">ذلك </w:t>
      </w:r>
      <w:r w:rsidRPr="00904FCB">
        <w:rPr>
          <w:rFonts w:ascii="Tahoma" w:hAnsi="Tahoma"/>
          <w:sz w:val="27"/>
          <w:rtl/>
          <w:lang w:bidi="fa-IR"/>
        </w:rPr>
        <w:t xml:space="preserve">حسب المسار التاريخي لها: </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1ـ </w:t>
      </w:r>
      <w:r w:rsidRPr="002C04DA">
        <w:rPr>
          <w:rFonts w:ascii="Tahoma" w:hAnsi="Tahoma"/>
          <w:sz w:val="27"/>
          <w:rtl/>
          <w:lang w:bidi="fa-IR"/>
        </w:rPr>
        <w:t>شرائع ال</w:t>
      </w:r>
      <w:r w:rsidR="006A3331" w:rsidRPr="002C04DA">
        <w:rPr>
          <w:rFonts w:ascii="Tahoma" w:hAnsi="Tahoma" w:hint="cs"/>
          <w:sz w:val="27"/>
          <w:rtl/>
          <w:lang w:bidi="fa-IR"/>
        </w:rPr>
        <w:t>إ</w:t>
      </w:r>
      <w:r w:rsidRPr="002C04DA">
        <w:rPr>
          <w:rFonts w:ascii="Tahoma" w:hAnsi="Tahoma"/>
          <w:sz w:val="27"/>
          <w:rtl/>
          <w:lang w:bidi="fa-IR"/>
        </w:rPr>
        <w:t>سلام</w:t>
      </w:r>
      <w:r w:rsidR="006A3331" w:rsidRPr="002C04DA">
        <w:rPr>
          <w:rFonts w:ascii="Tahoma" w:hAnsi="Tahoma" w:hint="cs"/>
          <w:sz w:val="27"/>
          <w:rtl/>
          <w:lang w:bidi="fa-IR"/>
        </w:rPr>
        <w:t xml:space="preserve">، </w:t>
      </w:r>
      <w:r w:rsidRPr="002C04DA">
        <w:rPr>
          <w:rFonts w:ascii="Tahoma" w:hAnsi="Tahoma"/>
          <w:sz w:val="27"/>
          <w:rtl/>
          <w:lang w:bidi="fa-IR"/>
        </w:rPr>
        <w:t>للمحق</w:t>
      </w:r>
      <w:r w:rsidR="006A3331" w:rsidRPr="002C04DA">
        <w:rPr>
          <w:rFonts w:ascii="Tahoma" w:hAnsi="Tahoma" w:hint="cs"/>
          <w:sz w:val="27"/>
          <w:rtl/>
          <w:lang w:bidi="fa-IR"/>
        </w:rPr>
        <w:t>ِّ</w:t>
      </w:r>
      <w:r w:rsidRPr="002C04DA">
        <w:rPr>
          <w:rFonts w:ascii="Tahoma" w:hAnsi="Tahoma"/>
          <w:sz w:val="27"/>
          <w:rtl/>
          <w:lang w:bidi="fa-IR"/>
        </w:rPr>
        <w:t>ق الحل</w:t>
      </w:r>
      <w:r w:rsidR="006A3331" w:rsidRPr="002C04DA">
        <w:rPr>
          <w:rFonts w:ascii="Tahoma" w:hAnsi="Tahoma" w:hint="cs"/>
          <w:sz w:val="27"/>
          <w:rtl/>
          <w:lang w:bidi="fa-IR"/>
        </w:rPr>
        <w:t>ّ</w:t>
      </w:r>
      <w:r w:rsidRPr="002C04DA">
        <w:rPr>
          <w:rFonts w:ascii="Tahoma" w:hAnsi="Tahoma"/>
          <w:sz w:val="27"/>
          <w:rtl/>
          <w:lang w:bidi="fa-IR"/>
        </w:rPr>
        <w:t>ي(</w:t>
      </w:r>
      <w:r w:rsidRPr="002C04DA">
        <w:rPr>
          <w:rFonts w:ascii="Tahoma" w:hAnsi="Tahoma" w:hint="cs"/>
          <w:sz w:val="27"/>
          <w:rtl/>
          <w:lang w:bidi="ar-LB"/>
        </w:rPr>
        <w:t>676</w:t>
      </w:r>
      <w:r w:rsidRPr="002C04DA">
        <w:rPr>
          <w:rFonts w:ascii="Tahoma" w:hAnsi="Tahoma"/>
          <w:sz w:val="27"/>
          <w:rtl/>
          <w:lang w:bidi="fa-IR"/>
        </w:rPr>
        <w:t>هـ)</w:t>
      </w:r>
      <w:r w:rsidRPr="002C04DA">
        <w:rPr>
          <w:rFonts w:ascii="Tahoma" w:hAnsi="Tahoma" w:hint="cs"/>
          <w:sz w:val="27"/>
          <w:rtl/>
          <w:lang w:bidi="fa-IR"/>
        </w:rPr>
        <w:t>.</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2ـ </w:t>
      </w:r>
      <w:r w:rsidRPr="002C04DA">
        <w:rPr>
          <w:rFonts w:ascii="Tahoma" w:hAnsi="Tahoma"/>
          <w:sz w:val="27"/>
          <w:rtl/>
          <w:lang w:bidi="fa-IR"/>
        </w:rPr>
        <w:t>تبصرة المتعل</w:t>
      </w:r>
      <w:r w:rsidR="006A3331" w:rsidRPr="002C04DA">
        <w:rPr>
          <w:rFonts w:ascii="Tahoma" w:hAnsi="Tahoma" w:hint="cs"/>
          <w:sz w:val="27"/>
          <w:rtl/>
          <w:lang w:bidi="fa-IR"/>
        </w:rPr>
        <w:t>ِّ</w:t>
      </w:r>
      <w:r w:rsidRPr="002C04DA">
        <w:rPr>
          <w:rFonts w:ascii="Tahoma" w:hAnsi="Tahoma"/>
          <w:sz w:val="27"/>
          <w:rtl/>
          <w:lang w:bidi="fa-IR"/>
        </w:rPr>
        <w:t>مين</w:t>
      </w:r>
      <w:r w:rsidR="006A3331" w:rsidRPr="002C04DA">
        <w:rPr>
          <w:rFonts w:ascii="Tahoma" w:hAnsi="Tahoma" w:hint="cs"/>
          <w:sz w:val="27"/>
          <w:rtl/>
          <w:lang w:bidi="fa-IR"/>
        </w:rPr>
        <w:t xml:space="preserve">، </w:t>
      </w:r>
      <w:r w:rsidRPr="002C04DA">
        <w:rPr>
          <w:rFonts w:ascii="Tahoma" w:hAnsi="Tahoma"/>
          <w:sz w:val="27"/>
          <w:rtl/>
          <w:lang w:bidi="fa-IR"/>
        </w:rPr>
        <w:t>للعلا</w:t>
      </w:r>
      <w:r w:rsidR="006A3331" w:rsidRPr="002C04DA">
        <w:rPr>
          <w:rFonts w:ascii="Tahoma" w:hAnsi="Tahoma" w:hint="cs"/>
          <w:sz w:val="27"/>
          <w:rtl/>
          <w:lang w:bidi="fa-IR"/>
        </w:rPr>
        <w:t>ّ</w:t>
      </w:r>
      <w:r w:rsidRPr="002C04DA">
        <w:rPr>
          <w:rFonts w:ascii="Tahoma" w:hAnsi="Tahoma"/>
          <w:sz w:val="27"/>
          <w:rtl/>
          <w:lang w:bidi="fa-IR"/>
        </w:rPr>
        <w:t>مة الحل</w:t>
      </w:r>
      <w:r w:rsidR="006A3331" w:rsidRPr="002C04DA">
        <w:rPr>
          <w:rFonts w:ascii="Tahoma" w:hAnsi="Tahoma" w:hint="cs"/>
          <w:sz w:val="27"/>
          <w:rtl/>
          <w:lang w:bidi="fa-IR"/>
        </w:rPr>
        <w:t>ّ</w:t>
      </w:r>
      <w:r w:rsidRPr="002C04DA">
        <w:rPr>
          <w:rFonts w:ascii="Tahoma" w:hAnsi="Tahoma"/>
          <w:sz w:val="27"/>
          <w:rtl/>
          <w:lang w:bidi="fa-IR"/>
        </w:rPr>
        <w:t>ي(</w:t>
      </w:r>
      <w:r w:rsidRPr="002C04DA">
        <w:rPr>
          <w:rFonts w:ascii="Tahoma" w:hAnsi="Tahoma" w:hint="cs"/>
          <w:sz w:val="27"/>
          <w:rtl/>
          <w:lang w:bidi="ar-LB"/>
        </w:rPr>
        <w:t>726</w:t>
      </w:r>
      <w:r w:rsidRPr="002C04DA">
        <w:rPr>
          <w:rFonts w:ascii="Tahoma" w:hAnsi="Tahoma"/>
          <w:sz w:val="27"/>
          <w:rtl/>
          <w:lang w:bidi="fa-IR"/>
        </w:rPr>
        <w:t>هـ)</w:t>
      </w:r>
      <w:r w:rsidRPr="002C04DA">
        <w:rPr>
          <w:rFonts w:ascii="Tahoma" w:hAnsi="Tahoma" w:hint="cs"/>
          <w:sz w:val="27"/>
          <w:rtl/>
          <w:lang w:bidi="fa-IR"/>
        </w:rPr>
        <w:t>.</w:t>
      </w:r>
      <w:r w:rsidRPr="002C04DA">
        <w:rPr>
          <w:rFonts w:ascii="Tahoma" w:hAnsi="Tahoma"/>
          <w:sz w:val="27"/>
          <w:rtl/>
          <w:lang w:bidi="fa-IR"/>
        </w:rPr>
        <w:t xml:space="preserve"> </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3ـ </w:t>
      </w:r>
      <w:r w:rsidRPr="002C04DA">
        <w:rPr>
          <w:rFonts w:ascii="Tahoma" w:hAnsi="Tahoma"/>
          <w:sz w:val="27"/>
          <w:rtl/>
          <w:lang w:bidi="fa-IR"/>
        </w:rPr>
        <w:t>القواعد والفوائد</w:t>
      </w:r>
      <w:r w:rsidR="006A3331" w:rsidRPr="002C04DA">
        <w:rPr>
          <w:rFonts w:ascii="Tahoma" w:hAnsi="Tahoma" w:hint="cs"/>
          <w:sz w:val="27"/>
          <w:rtl/>
          <w:lang w:bidi="fa-IR"/>
        </w:rPr>
        <w:t>،</w:t>
      </w:r>
      <w:r w:rsidRPr="002C04DA">
        <w:rPr>
          <w:rFonts w:ascii="Tahoma" w:hAnsi="Tahoma"/>
          <w:sz w:val="27"/>
          <w:rtl/>
          <w:lang w:bidi="fa-IR"/>
        </w:rPr>
        <w:t xml:space="preserve"> للشهيد ال</w:t>
      </w:r>
      <w:r w:rsidR="006A3331" w:rsidRPr="002C04DA">
        <w:rPr>
          <w:rFonts w:ascii="Tahoma" w:hAnsi="Tahoma" w:hint="cs"/>
          <w:sz w:val="27"/>
          <w:rtl/>
          <w:lang w:bidi="fa-IR"/>
        </w:rPr>
        <w:t>أ</w:t>
      </w:r>
      <w:r w:rsidRPr="002C04DA">
        <w:rPr>
          <w:rFonts w:ascii="Tahoma" w:hAnsi="Tahoma"/>
          <w:sz w:val="27"/>
          <w:rtl/>
          <w:lang w:bidi="fa-IR"/>
        </w:rPr>
        <w:t>ول محمد بن مك</w:t>
      </w:r>
      <w:r w:rsidR="006A3331" w:rsidRPr="002C04DA">
        <w:rPr>
          <w:rFonts w:ascii="Tahoma" w:hAnsi="Tahoma" w:hint="cs"/>
          <w:sz w:val="27"/>
          <w:rtl/>
          <w:lang w:bidi="fa-IR"/>
        </w:rPr>
        <w:t>ّ</w:t>
      </w:r>
      <w:r w:rsidRPr="002C04DA">
        <w:rPr>
          <w:rFonts w:ascii="Tahoma" w:hAnsi="Tahoma"/>
          <w:sz w:val="27"/>
          <w:rtl/>
          <w:lang w:bidi="fa-IR"/>
        </w:rPr>
        <w:t>ي العاملي(</w:t>
      </w:r>
      <w:r w:rsidRPr="002C04DA">
        <w:rPr>
          <w:rFonts w:ascii="Tahoma" w:hAnsi="Tahoma" w:hint="cs"/>
          <w:sz w:val="27"/>
          <w:rtl/>
          <w:lang w:bidi="ar-LB"/>
        </w:rPr>
        <w:t>786</w:t>
      </w:r>
      <w:r w:rsidRPr="002C04DA">
        <w:rPr>
          <w:rFonts w:ascii="Tahoma" w:hAnsi="Tahoma"/>
          <w:sz w:val="27"/>
          <w:rtl/>
          <w:lang w:bidi="fa-IR"/>
        </w:rPr>
        <w:t>هـ)</w:t>
      </w:r>
      <w:r w:rsidRPr="002C04DA">
        <w:rPr>
          <w:rFonts w:ascii="Tahoma" w:hAnsi="Tahoma" w:hint="cs"/>
          <w:sz w:val="27"/>
          <w:rtl/>
          <w:lang w:bidi="fa-IR"/>
        </w:rPr>
        <w:t>.</w:t>
      </w:r>
      <w:r w:rsidRPr="002C04DA">
        <w:rPr>
          <w:rFonts w:ascii="Tahoma" w:hAnsi="Tahoma"/>
          <w:sz w:val="27"/>
          <w:rtl/>
          <w:lang w:bidi="fa-IR"/>
        </w:rPr>
        <w:t xml:space="preserve"> </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4ـ </w:t>
      </w:r>
      <w:r w:rsidRPr="002C04DA">
        <w:rPr>
          <w:rFonts w:ascii="Tahoma" w:hAnsi="Tahoma"/>
          <w:sz w:val="27"/>
          <w:rtl/>
          <w:lang w:bidi="fa-IR"/>
        </w:rPr>
        <w:t>تمهيد القواعد</w:t>
      </w:r>
      <w:r w:rsidR="006A3331" w:rsidRPr="002C04DA">
        <w:rPr>
          <w:rFonts w:ascii="Tahoma" w:hAnsi="Tahoma" w:hint="cs"/>
          <w:sz w:val="27"/>
          <w:rtl/>
          <w:lang w:bidi="fa-IR"/>
        </w:rPr>
        <w:t>،</w:t>
      </w:r>
      <w:r w:rsidRPr="002C04DA">
        <w:rPr>
          <w:rFonts w:ascii="Tahoma" w:hAnsi="Tahoma"/>
          <w:sz w:val="27"/>
          <w:rtl/>
          <w:lang w:bidi="fa-IR"/>
        </w:rPr>
        <w:t xml:space="preserve"> للشهيد الثاني زين الدين الجبعي العاملي(</w:t>
      </w:r>
      <w:r w:rsidRPr="002C04DA">
        <w:rPr>
          <w:rFonts w:ascii="Tahoma" w:hAnsi="Tahoma" w:hint="cs"/>
          <w:sz w:val="27"/>
          <w:rtl/>
          <w:lang w:bidi="ar-LB"/>
        </w:rPr>
        <w:t>965</w:t>
      </w:r>
      <w:r w:rsidRPr="002C04DA">
        <w:rPr>
          <w:rFonts w:ascii="Tahoma" w:hAnsi="Tahoma"/>
          <w:sz w:val="27"/>
          <w:rtl/>
          <w:lang w:bidi="fa-IR"/>
        </w:rPr>
        <w:t>هـ)</w:t>
      </w:r>
      <w:r w:rsidRPr="002C04DA">
        <w:rPr>
          <w:rFonts w:ascii="Tahoma" w:hAnsi="Tahoma" w:hint="cs"/>
          <w:sz w:val="27"/>
          <w:rtl/>
          <w:lang w:bidi="fa-IR"/>
        </w:rPr>
        <w:t>.</w:t>
      </w:r>
      <w:r w:rsidRPr="002C04DA">
        <w:rPr>
          <w:rFonts w:ascii="Tahoma" w:hAnsi="Tahoma"/>
          <w:sz w:val="27"/>
          <w:rtl/>
          <w:lang w:bidi="fa-IR"/>
        </w:rPr>
        <w:t xml:space="preserve"> </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5ـ </w:t>
      </w:r>
      <w:r w:rsidRPr="002C04DA">
        <w:rPr>
          <w:rFonts w:ascii="Tahoma" w:hAnsi="Tahoma"/>
          <w:sz w:val="27"/>
          <w:rtl/>
          <w:lang w:bidi="fa-IR"/>
        </w:rPr>
        <w:t>عناوين ال</w:t>
      </w:r>
      <w:r w:rsidR="006A3331" w:rsidRPr="002C04DA">
        <w:rPr>
          <w:rFonts w:ascii="Tahoma" w:hAnsi="Tahoma" w:hint="cs"/>
          <w:sz w:val="27"/>
          <w:rtl/>
          <w:lang w:bidi="fa-IR"/>
        </w:rPr>
        <w:t>أ</w:t>
      </w:r>
      <w:r w:rsidRPr="002C04DA">
        <w:rPr>
          <w:rFonts w:ascii="Tahoma" w:hAnsi="Tahoma"/>
          <w:sz w:val="27"/>
          <w:rtl/>
          <w:lang w:bidi="fa-IR"/>
        </w:rPr>
        <w:t>صول</w:t>
      </w:r>
      <w:r w:rsidR="006A3331" w:rsidRPr="002C04DA">
        <w:rPr>
          <w:rFonts w:ascii="Tahoma" w:hAnsi="Tahoma" w:hint="cs"/>
          <w:sz w:val="27"/>
          <w:rtl/>
          <w:lang w:bidi="fa-IR"/>
        </w:rPr>
        <w:t>، ل</w:t>
      </w:r>
      <w:r w:rsidRPr="002C04DA">
        <w:rPr>
          <w:rFonts w:ascii="Tahoma" w:hAnsi="Tahoma"/>
          <w:sz w:val="27"/>
          <w:rtl/>
          <w:lang w:bidi="fa-IR"/>
        </w:rPr>
        <w:t>مير عبد الفتاح المراغي(</w:t>
      </w:r>
      <w:r w:rsidRPr="002C04DA">
        <w:rPr>
          <w:rFonts w:ascii="Tahoma" w:hAnsi="Tahoma" w:hint="cs"/>
          <w:sz w:val="27"/>
          <w:rtl/>
          <w:lang w:bidi="ar-LB"/>
        </w:rPr>
        <w:t>1250</w:t>
      </w:r>
      <w:r w:rsidRPr="002C04DA">
        <w:rPr>
          <w:rFonts w:ascii="Tahoma" w:hAnsi="Tahoma"/>
          <w:sz w:val="27"/>
          <w:rtl/>
          <w:lang w:bidi="fa-IR"/>
        </w:rPr>
        <w:t>هـ)</w:t>
      </w:r>
      <w:r w:rsidRPr="002C04DA">
        <w:rPr>
          <w:rFonts w:ascii="Tahoma" w:hAnsi="Tahoma" w:hint="cs"/>
          <w:sz w:val="27"/>
          <w:rtl/>
          <w:lang w:bidi="fa-IR"/>
        </w:rPr>
        <w:t>.</w:t>
      </w:r>
      <w:r w:rsidRPr="002C04DA">
        <w:rPr>
          <w:rFonts w:ascii="Tahoma" w:hAnsi="Tahoma"/>
          <w:sz w:val="27"/>
          <w:rtl/>
          <w:lang w:bidi="fa-IR"/>
        </w:rPr>
        <w:t xml:space="preserve"> </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6ـ </w:t>
      </w:r>
      <w:r w:rsidRPr="002C04DA">
        <w:rPr>
          <w:rFonts w:ascii="Tahoma" w:hAnsi="Tahoma"/>
          <w:sz w:val="27"/>
          <w:rtl/>
          <w:lang w:bidi="fa-IR"/>
        </w:rPr>
        <w:t>العروة الوثقى</w:t>
      </w:r>
      <w:r w:rsidR="006A3331" w:rsidRPr="002C04DA">
        <w:rPr>
          <w:rFonts w:ascii="Tahoma" w:hAnsi="Tahoma" w:hint="cs"/>
          <w:sz w:val="27"/>
          <w:rtl/>
          <w:lang w:bidi="fa-IR"/>
        </w:rPr>
        <w:t xml:space="preserve">، </w:t>
      </w:r>
      <w:r w:rsidRPr="002C04DA">
        <w:rPr>
          <w:rFonts w:ascii="Tahoma" w:hAnsi="Tahoma"/>
          <w:sz w:val="27"/>
          <w:rtl/>
          <w:lang w:bidi="fa-IR"/>
        </w:rPr>
        <w:t>للسيد كاظم اليزدي(</w:t>
      </w:r>
      <w:r w:rsidRPr="002C04DA">
        <w:rPr>
          <w:rFonts w:ascii="Tahoma" w:hAnsi="Tahoma" w:hint="cs"/>
          <w:sz w:val="27"/>
          <w:rtl/>
          <w:lang w:bidi="ar-LB"/>
        </w:rPr>
        <w:t>1337</w:t>
      </w:r>
      <w:r w:rsidRPr="002C04DA">
        <w:rPr>
          <w:rFonts w:ascii="Tahoma" w:hAnsi="Tahoma"/>
          <w:sz w:val="27"/>
          <w:rtl/>
          <w:lang w:bidi="fa-IR"/>
        </w:rPr>
        <w:t>هـ)</w:t>
      </w:r>
      <w:r w:rsidRPr="002C04DA">
        <w:rPr>
          <w:rFonts w:ascii="Tahoma" w:hAnsi="Tahoma" w:hint="cs"/>
          <w:sz w:val="27"/>
          <w:rtl/>
          <w:lang w:bidi="fa-IR"/>
        </w:rPr>
        <w:t>.</w:t>
      </w:r>
      <w:r w:rsidRPr="002C04DA">
        <w:rPr>
          <w:rFonts w:ascii="Tahoma" w:hAnsi="Tahoma"/>
          <w:sz w:val="27"/>
          <w:rtl/>
          <w:lang w:bidi="fa-IR"/>
        </w:rPr>
        <w:t xml:space="preserve"> </w:t>
      </w:r>
    </w:p>
    <w:p w:rsidR="00644408" w:rsidRPr="00904FCB" w:rsidRDefault="00644408" w:rsidP="00B83F29">
      <w:pPr>
        <w:autoSpaceDE w:val="0"/>
        <w:autoSpaceDN w:val="0"/>
        <w:adjustRightInd w:val="0"/>
        <w:spacing w:line="400" w:lineRule="exact"/>
        <w:rPr>
          <w:rFonts w:ascii="Tahoma" w:hAnsi="Tahoma"/>
          <w:sz w:val="27"/>
          <w:lang w:bidi="fa-IR"/>
        </w:rPr>
      </w:pPr>
      <w:r w:rsidRPr="00904FCB">
        <w:rPr>
          <w:rFonts w:ascii="Tahoma" w:hAnsi="Tahoma"/>
          <w:sz w:val="27"/>
          <w:rtl/>
          <w:lang w:bidi="fa-IR"/>
        </w:rPr>
        <w:t>ولم يكتف</w:t>
      </w:r>
      <w:r w:rsidR="006A3331" w:rsidRPr="00904FCB">
        <w:rPr>
          <w:rFonts w:ascii="Tahoma" w:hAnsi="Tahoma" w:hint="cs"/>
          <w:sz w:val="27"/>
          <w:rtl/>
          <w:lang w:bidi="fa-IR"/>
        </w:rPr>
        <w:t>ِ</w:t>
      </w:r>
      <w:r w:rsidRPr="00904FCB">
        <w:rPr>
          <w:rFonts w:ascii="Tahoma" w:hAnsi="Tahoma"/>
          <w:sz w:val="27"/>
          <w:rtl/>
          <w:lang w:bidi="fa-IR"/>
        </w:rPr>
        <w:t xml:space="preserve"> بمصادر ال</w:t>
      </w:r>
      <w:r w:rsidR="006A3331" w:rsidRPr="00904FCB">
        <w:rPr>
          <w:rFonts w:ascii="Tahoma" w:hAnsi="Tahoma" w:hint="cs"/>
          <w:sz w:val="27"/>
          <w:rtl/>
          <w:lang w:bidi="fa-IR"/>
        </w:rPr>
        <w:t>إ</w:t>
      </w:r>
      <w:r w:rsidRPr="00904FCB">
        <w:rPr>
          <w:rFonts w:ascii="Tahoma" w:hAnsi="Tahoma"/>
          <w:sz w:val="27"/>
          <w:rtl/>
          <w:lang w:bidi="fa-IR"/>
        </w:rPr>
        <w:t>مامية هذه المتقد</w:t>
      </w:r>
      <w:r w:rsidR="006A3331" w:rsidRPr="00904FCB">
        <w:rPr>
          <w:rFonts w:ascii="Tahoma" w:hAnsi="Tahoma" w:hint="cs"/>
          <w:sz w:val="27"/>
          <w:rtl/>
          <w:lang w:bidi="fa-IR"/>
        </w:rPr>
        <w:t>ِّ</w:t>
      </w:r>
      <w:r w:rsidRPr="00904FCB">
        <w:rPr>
          <w:rFonts w:ascii="Tahoma" w:hAnsi="Tahoma"/>
          <w:sz w:val="27"/>
          <w:rtl/>
          <w:lang w:bidi="fa-IR"/>
        </w:rPr>
        <w:t>مة</w:t>
      </w:r>
      <w:r w:rsidR="006A3331" w:rsidRPr="00904FCB">
        <w:rPr>
          <w:rFonts w:ascii="Tahoma" w:hAnsi="Tahoma" w:hint="cs"/>
          <w:sz w:val="27"/>
          <w:rtl/>
          <w:lang w:bidi="fa-IR"/>
        </w:rPr>
        <w:t>،</w:t>
      </w:r>
      <w:r w:rsidRPr="00904FCB">
        <w:rPr>
          <w:rFonts w:ascii="Tahoma" w:hAnsi="Tahoma"/>
          <w:sz w:val="27"/>
          <w:rtl/>
          <w:lang w:bidi="fa-IR"/>
        </w:rPr>
        <w:t xml:space="preserve"> و</w:t>
      </w:r>
      <w:r w:rsidR="00B83F29">
        <w:rPr>
          <w:rFonts w:ascii="Tahoma" w:hAnsi="Tahoma" w:hint="cs"/>
          <w:sz w:val="27"/>
          <w:rtl/>
          <w:lang w:bidi="fa-IR"/>
        </w:rPr>
        <w:t>إ</w:t>
      </w:r>
      <w:r w:rsidRPr="00904FCB">
        <w:rPr>
          <w:rFonts w:ascii="Tahoma" w:hAnsi="Tahoma"/>
          <w:sz w:val="27"/>
          <w:rtl/>
          <w:lang w:bidi="fa-IR"/>
        </w:rPr>
        <w:t>ن</w:t>
      </w:r>
      <w:r w:rsidR="00B83F29">
        <w:rPr>
          <w:rFonts w:ascii="Tahoma" w:hAnsi="Tahoma" w:hint="cs"/>
          <w:sz w:val="27"/>
          <w:rtl/>
          <w:lang w:bidi="fa-IR"/>
        </w:rPr>
        <w:t>ّ</w:t>
      </w:r>
      <w:r w:rsidRPr="00904FCB">
        <w:rPr>
          <w:rFonts w:ascii="Tahoma" w:hAnsi="Tahoma"/>
          <w:sz w:val="27"/>
          <w:rtl/>
          <w:lang w:bidi="fa-IR"/>
        </w:rPr>
        <w:t>ما اعتمد على مصادر مدرسة الجمهور</w:t>
      </w:r>
      <w:r w:rsidR="006A3331" w:rsidRPr="00904FCB">
        <w:rPr>
          <w:rFonts w:ascii="Tahoma" w:hAnsi="Tahoma" w:hint="cs"/>
          <w:sz w:val="27"/>
          <w:rtl/>
          <w:lang w:bidi="fa-IR"/>
        </w:rPr>
        <w:t>؛</w:t>
      </w:r>
      <w:r w:rsidRPr="00904FCB">
        <w:rPr>
          <w:rFonts w:ascii="Tahoma" w:hAnsi="Tahoma"/>
          <w:sz w:val="27"/>
          <w:rtl/>
          <w:lang w:bidi="fa-IR"/>
        </w:rPr>
        <w:t xml:space="preserve"> ليوازن بين الآراء</w:t>
      </w:r>
      <w:r w:rsidR="006A3331" w:rsidRPr="00904FCB">
        <w:rPr>
          <w:rFonts w:ascii="Tahoma" w:hAnsi="Tahoma" w:hint="cs"/>
          <w:sz w:val="27"/>
          <w:rtl/>
          <w:lang w:bidi="fa-IR"/>
        </w:rPr>
        <w:t>،</w:t>
      </w:r>
      <w:r w:rsidRPr="00904FCB">
        <w:rPr>
          <w:rFonts w:ascii="Tahoma" w:hAnsi="Tahoma"/>
          <w:sz w:val="27"/>
          <w:rtl/>
          <w:lang w:bidi="fa-IR"/>
        </w:rPr>
        <w:t xml:space="preserve"> ويعرض </w:t>
      </w:r>
      <w:r w:rsidR="006A3331" w:rsidRPr="00904FCB">
        <w:rPr>
          <w:rFonts w:ascii="Tahoma" w:hAnsi="Tahoma" w:hint="cs"/>
          <w:sz w:val="27"/>
          <w:rtl/>
          <w:lang w:bidi="fa-IR"/>
        </w:rPr>
        <w:t>آ</w:t>
      </w:r>
      <w:r w:rsidRPr="00904FCB">
        <w:rPr>
          <w:rFonts w:ascii="Tahoma" w:hAnsi="Tahoma"/>
          <w:sz w:val="27"/>
          <w:rtl/>
          <w:lang w:bidi="fa-IR"/>
        </w:rPr>
        <w:t>راء المذاهب ال</w:t>
      </w:r>
      <w:r w:rsidR="006A3331" w:rsidRPr="00904FCB">
        <w:rPr>
          <w:rFonts w:ascii="Tahoma" w:hAnsi="Tahoma" w:hint="cs"/>
          <w:sz w:val="27"/>
          <w:rtl/>
          <w:lang w:bidi="fa-IR"/>
        </w:rPr>
        <w:t>أ</w:t>
      </w:r>
      <w:r w:rsidRPr="00904FCB">
        <w:rPr>
          <w:rFonts w:ascii="Tahoma" w:hAnsi="Tahoma"/>
          <w:sz w:val="27"/>
          <w:rtl/>
          <w:lang w:bidi="fa-IR"/>
        </w:rPr>
        <w:t>خرى</w:t>
      </w:r>
      <w:r w:rsidR="006A3331" w:rsidRPr="00904FCB">
        <w:rPr>
          <w:rFonts w:ascii="Tahoma" w:hAnsi="Tahoma" w:hint="cs"/>
          <w:sz w:val="27"/>
          <w:rtl/>
          <w:lang w:bidi="fa-IR"/>
        </w:rPr>
        <w:t>،</w:t>
      </w:r>
      <w:r w:rsidRPr="00904FCB">
        <w:rPr>
          <w:rFonts w:ascii="Tahoma" w:hAnsi="Tahoma"/>
          <w:sz w:val="27"/>
          <w:rtl/>
          <w:lang w:bidi="fa-IR"/>
        </w:rPr>
        <w:t xml:space="preserve"> مثل: </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1ـ </w:t>
      </w:r>
      <w:r w:rsidRPr="002C04DA">
        <w:rPr>
          <w:rFonts w:ascii="Tahoma" w:hAnsi="Tahoma"/>
          <w:sz w:val="27"/>
          <w:rtl/>
          <w:lang w:bidi="fa-IR"/>
        </w:rPr>
        <w:t>الجامع الصحيح</w:t>
      </w:r>
      <w:r w:rsidR="006A3331" w:rsidRPr="002C04DA">
        <w:rPr>
          <w:rFonts w:ascii="Tahoma" w:hAnsi="Tahoma" w:hint="cs"/>
          <w:sz w:val="27"/>
          <w:rtl/>
          <w:lang w:bidi="fa-IR"/>
        </w:rPr>
        <w:t>، ل</w:t>
      </w:r>
      <w:r w:rsidRPr="002C04DA">
        <w:rPr>
          <w:rFonts w:ascii="Tahoma" w:hAnsi="Tahoma"/>
          <w:sz w:val="27"/>
          <w:rtl/>
          <w:lang w:bidi="fa-IR"/>
        </w:rPr>
        <w:t xml:space="preserve">محمد بن </w:t>
      </w:r>
      <w:r w:rsidR="006A3331" w:rsidRPr="002C04DA">
        <w:rPr>
          <w:rFonts w:ascii="Tahoma" w:hAnsi="Tahoma" w:hint="cs"/>
          <w:sz w:val="27"/>
          <w:rtl/>
          <w:lang w:bidi="fa-IR"/>
        </w:rPr>
        <w:t>إ</w:t>
      </w:r>
      <w:r w:rsidRPr="002C04DA">
        <w:rPr>
          <w:rFonts w:ascii="Tahoma" w:hAnsi="Tahoma"/>
          <w:sz w:val="27"/>
          <w:rtl/>
          <w:lang w:bidi="fa-IR"/>
        </w:rPr>
        <w:t>سماعيل البخاري(</w:t>
      </w:r>
      <w:r w:rsidRPr="002C04DA">
        <w:rPr>
          <w:rFonts w:ascii="Tahoma" w:hAnsi="Tahoma" w:hint="cs"/>
          <w:sz w:val="27"/>
          <w:rtl/>
          <w:lang w:bidi="ar-LB"/>
        </w:rPr>
        <w:t>256</w:t>
      </w:r>
      <w:r w:rsidRPr="002C04DA">
        <w:rPr>
          <w:rFonts w:ascii="Tahoma" w:hAnsi="Tahoma"/>
          <w:sz w:val="27"/>
          <w:rtl/>
          <w:lang w:bidi="fa-IR"/>
        </w:rPr>
        <w:t>هـ)</w:t>
      </w:r>
      <w:r w:rsidRPr="002C04DA">
        <w:rPr>
          <w:rFonts w:ascii="Tahoma" w:hAnsi="Tahoma" w:hint="cs"/>
          <w:sz w:val="27"/>
          <w:rtl/>
          <w:lang w:bidi="fa-IR"/>
        </w:rPr>
        <w:t>.</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2ـ </w:t>
      </w:r>
      <w:r w:rsidRPr="002C04DA">
        <w:rPr>
          <w:rFonts w:ascii="Tahoma" w:hAnsi="Tahoma"/>
          <w:sz w:val="27"/>
          <w:rtl/>
          <w:lang w:bidi="fa-IR"/>
        </w:rPr>
        <w:t>ال</w:t>
      </w:r>
      <w:r w:rsidR="006A3331" w:rsidRPr="002C04DA">
        <w:rPr>
          <w:rFonts w:ascii="Tahoma" w:hAnsi="Tahoma" w:hint="cs"/>
          <w:sz w:val="27"/>
          <w:rtl/>
          <w:lang w:bidi="fa-IR"/>
        </w:rPr>
        <w:t>أ</w:t>
      </w:r>
      <w:r w:rsidRPr="002C04DA">
        <w:rPr>
          <w:rFonts w:ascii="Tahoma" w:hAnsi="Tahoma"/>
          <w:sz w:val="27"/>
          <w:rtl/>
          <w:lang w:bidi="fa-IR"/>
        </w:rPr>
        <w:t>شباه والنظائر</w:t>
      </w:r>
      <w:r w:rsidR="006A3331" w:rsidRPr="002C04DA">
        <w:rPr>
          <w:rFonts w:ascii="Tahoma" w:hAnsi="Tahoma" w:hint="cs"/>
          <w:sz w:val="27"/>
          <w:rtl/>
          <w:lang w:bidi="fa-IR"/>
        </w:rPr>
        <w:t>، ل</w:t>
      </w:r>
      <w:r w:rsidRPr="002C04DA">
        <w:rPr>
          <w:rFonts w:ascii="Tahoma" w:hAnsi="Tahoma"/>
          <w:sz w:val="27"/>
          <w:rtl/>
          <w:lang w:bidi="fa-IR"/>
        </w:rPr>
        <w:t>ابن نجيم المصري الحنفي(</w:t>
      </w:r>
      <w:r w:rsidRPr="002C04DA">
        <w:rPr>
          <w:rFonts w:ascii="Tahoma" w:hAnsi="Tahoma" w:hint="cs"/>
          <w:sz w:val="27"/>
          <w:rtl/>
          <w:lang w:bidi="ar-LB"/>
        </w:rPr>
        <w:t>970</w:t>
      </w:r>
      <w:r w:rsidRPr="002C04DA">
        <w:rPr>
          <w:rFonts w:ascii="Tahoma" w:hAnsi="Tahoma"/>
          <w:sz w:val="27"/>
          <w:rtl/>
          <w:lang w:bidi="fa-IR"/>
        </w:rPr>
        <w:t>هـ)</w:t>
      </w:r>
      <w:r w:rsidRPr="002C04DA">
        <w:rPr>
          <w:rFonts w:ascii="Tahoma" w:hAnsi="Tahoma" w:hint="cs"/>
          <w:sz w:val="27"/>
          <w:rtl/>
          <w:lang w:bidi="fa-IR"/>
        </w:rPr>
        <w:t>.</w:t>
      </w:r>
      <w:r w:rsidRPr="002C04DA">
        <w:rPr>
          <w:rFonts w:ascii="Tahoma" w:hAnsi="Tahoma"/>
          <w:sz w:val="27"/>
          <w:rtl/>
          <w:lang w:bidi="fa-IR"/>
        </w:rPr>
        <w:t xml:space="preserve"> </w:t>
      </w:r>
    </w:p>
    <w:p w:rsidR="00644408" w:rsidRPr="002C04DA" w:rsidRDefault="00644408" w:rsidP="007A21AA">
      <w:pPr>
        <w:autoSpaceDE w:val="0"/>
        <w:autoSpaceDN w:val="0"/>
        <w:adjustRightInd w:val="0"/>
        <w:spacing w:line="400" w:lineRule="exact"/>
        <w:rPr>
          <w:rFonts w:ascii="Tahoma" w:hAnsi="Tahoma"/>
          <w:sz w:val="27"/>
          <w:lang w:bidi="fa-IR"/>
        </w:rPr>
      </w:pPr>
      <w:r w:rsidRPr="002C04DA">
        <w:rPr>
          <w:rFonts w:ascii="Tahoma" w:hAnsi="Tahoma" w:hint="cs"/>
          <w:sz w:val="27"/>
          <w:rtl/>
          <w:lang w:bidi="ar-LB"/>
        </w:rPr>
        <w:t xml:space="preserve">3ـ </w:t>
      </w:r>
      <w:r w:rsidRPr="002C04DA">
        <w:rPr>
          <w:rFonts w:ascii="Tahoma" w:hAnsi="Tahoma"/>
          <w:sz w:val="27"/>
          <w:rtl/>
          <w:lang w:bidi="fa-IR"/>
        </w:rPr>
        <w:t>كنز العمال</w:t>
      </w:r>
      <w:r w:rsidR="006A3331" w:rsidRPr="002C04DA">
        <w:rPr>
          <w:rFonts w:ascii="Tahoma" w:hAnsi="Tahoma" w:hint="cs"/>
          <w:sz w:val="27"/>
          <w:rtl/>
          <w:lang w:bidi="fa-IR"/>
        </w:rPr>
        <w:t>،</w:t>
      </w:r>
      <w:r w:rsidRPr="002C04DA">
        <w:rPr>
          <w:rFonts w:ascii="Tahoma" w:hAnsi="Tahoma"/>
          <w:sz w:val="27"/>
          <w:rtl/>
          <w:lang w:bidi="fa-IR"/>
        </w:rPr>
        <w:t xml:space="preserve"> للمت</w:t>
      </w:r>
      <w:r w:rsidR="009D0919" w:rsidRPr="002C04DA">
        <w:rPr>
          <w:rFonts w:ascii="Tahoma" w:hAnsi="Tahoma" w:hint="cs"/>
          <w:sz w:val="27"/>
          <w:rtl/>
          <w:lang w:bidi="fa-IR"/>
        </w:rPr>
        <w:t>ّ</w:t>
      </w:r>
      <w:r w:rsidRPr="002C04DA">
        <w:rPr>
          <w:rFonts w:ascii="Tahoma" w:hAnsi="Tahoma"/>
          <w:sz w:val="27"/>
          <w:rtl/>
          <w:lang w:bidi="fa-IR"/>
        </w:rPr>
        <w:t>قي الهندي(</w:t>
      </w:r>
      <w:r w:rsidRPr="002C04DA">
        <w:rPr>
          <w:rFonts w:ascii="Tahoma" w:hAnsi="Tahoma" w:hint="cs"/>
          <w:sz w:val="27"/>
          <w:rtl/>
          <w:lang w:bidi="ar-LB"/>
        </w:rPr>
        <w:t>975</w:t>
      </w:r>
      <w:r w:rsidRPr="002C04DA">
        <w:rPr>
          <w:rFonts w:ascii="Tahoma" w:hAnsi="Tahoma"/>
          <w:sz w:val="27"/>
          <w:rtl/>
          <w:lang w:bidi="fa-IR"/>
        </w:rPr>
        <w:t>هـ)</w:t>
      </w:r>
      <w:r w:rsidRPr="002C04DA">
        <w:rPr>
          <w:rFonts w:ascii="Tahoma" w:hAnsi="Tahoma" w:hint="cs"/>
          <w:sz w:val="27"/>
          <w:rtl/>
          <w:lang w:bidi="fa-IR"/>
        </w:rPr>
        <w:t>.</w:t>
      </w:r>
      <w:r w:rsidRPr="002C04DA">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فضلا</w:t>
      </w:r>
      <w:r w:rsidR="006A3331" w:rsidRPr="00904FCB">
        <w:rPr>
          <w:rFonts w:ascii="Tahoma" w:hAnsi="Tahoma" w:hint="cs"/>
          <w:sz w:val="27"/>
          <w:rtl/>
          <w:lang w:bidi="fa-IR"/>
        </w:rPr>
        <w:t>ً</w:t>
      </w:r>
      <w:r w:rsidRPr="00904FCB">
        <w:rPr>
          <w:rFonts w:ascii="Tahoma" w:hAnsi="Tahoma"/>
          <w:sz w:val="27"/>
          <w:rtl/>
          <w:lang w:bidi="fa-IR"/>
        </w:rPr>
        <w:t xml:space="preserve"> عن كتب الحديث والفقه ال</w:t>
      </w:r>
      <w:r w:rsidR="006A3331" w:rsidRPr="00904FCB">
        <w:rPr>
          <w:rFonts w:ascii="Tahoma" w:hAnsi="Tahoma" w:hint="cs"/>
          <w:sz w:val="27"/>
          <w:rtl/>
          <w:lang w:bidi="fa-IR"/>
        </w:rPr>
        <w:t>أ</w:t>
      </w:r>
      <w:r w:rsidRPr="00904FCB">
        <w:rPr>
          <w:rFonts w:ascii="Tahoma" w:hAnsi="Tahoma"/>
          <w:sz w:val="27"/>
          <w:rtl/>
          <w:lang w:bidi="fa-IR"/>
        </w:rPr>
        <w:t xml:space="preserve">خرى المعتمدة لديهم. </w:t>
      </w:r>
    </w:p>
    <w:p w:rsidR="00E83C22" w:rsidRPr="00904FCB" w:rsidRDefault="00E83C2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82"/>
          <w:headerReference w:type="default" r:id="rId83"/>
          <w:footerReference w:type="even" r:id="rId84"/>
          <w:footerReference w:type="defaul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86"/>
          <w:headerReference w:type="default" r:id="rId87"/>
          <w:footerReference w:type="even" r:id="rId88"/>
          <w:footerReference w:type="default" r:id="rId89"/>
          <w:headerReference w:type="first" r:id="rId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B406BB" w:rsidP="00062936">
      <w:pPr>
        <w:pStyle w:val="10"/>
        <w:spacing w:line="240" w:lineRule="auto"/>
        <w:rPr>
          <w:rtl/>
        </w:rPr>
      </w:pPr>
      <w:bookmarkStart w:id="27" w:name="_Toc435577189"/>
      <w:r w:rsidRPr="00904FCB">
        <w:rPr>
          <w:rtl/>
          <w:lang w:bidi="fa-IR"/>
        </w:rPr>
        <w:t>المصلحة</w:t>
      </w:r>
      <w:bookmarkEnd w:id="27"/>
    </w:p>
    <w:p w:rsidR="00E83C22" w:rsidRPr="00904FCB" w:rsidRDefault="00B406BB" w:rsidP="00062936">
      <w:pPr>
        <w:pStyle w:val="10"/>
        <w:spacing w:line="240" w:lineRule="auto"/>
        <w:rPr>
          <w:sz w:val="26"/>
          <w:szCs w:val="42"/>
          <w:rtl/>
          <w:lang w:bidi="fa-IR"/>
        </w:rPr>
      </w:pPr>
      <w:bookmarkStart w:id="28" w:name="_Toc435577190"/>
      <w:r w:rsidRPr="00904FCB">
        <w:rPr>
          <w:rFonts w:hint="cs"/>
          <w:sz w:val="26"/>
          <w:szCs w:val="42"/>
          <w:rtl/>
          <w:lang w:bidi="fa-IR"/>
        </w:rPr>
        <w:t>بين</w:t>
      </w:r>
      <w:r w:rsidRPr="00904FCB">
        <w:rPr>
          <w:sz w:val="26"/>
          <w:szCs w:val="42"/>
          <w:rtl/>
          <w:lang w:bidi="fa-IR"/>
        </w:rPr>
        <w:t xml:space="preserve"> الفقه الإسلامي</w:t>
      </w:r>
      <w:r w:rsidRPr="00904FCB">
        <w:rPr>
          <w:rFonts w:hint="cs"/>
          <w:sz w:val="26"/>
          <w:szCs w:val="42"/>
          <w:rtl/>
          <w:lang w:bidi="fa-IR"/>
        </w:rPr>
        <w:t xml:space="preserve"> و</w:t>
      </w:r>
      <w:r w:rsidRPr="00904FCB">
        <w:rPr>
          <w:sz w:val="26"/>
          <w:szCs w:val="42"/>
          <w:rtl/>
          <w:lang w:bidi="fa-IR"/>
        </w:rPr>
        <w:t>روسكو باوند</w:t>
      </w:r>
      <w:bookmarkEnd w:id="28"/>
    </w:p>
    <w:p w:rsidR="00E83C22" w:rsidRPr="00904FCB" w:rsidRDefault="00E83C22" w:rsidP="007A21AA">
      <w:pPr>
        <w:spacing w:line="400" w:lineRule="exact"/>
        <w:rPr>
          <w:rtl/>
        </w:rPr>
      </w:pPr>
    </w:p>
    <w:p w:rsidR="00E83C22" w:rsidRPr="00904FCB" w:rsidRDefault="00B406BB" w:rsidP="007A21AA">
      <w:pPr>
        <w:pStyle w:val="Author"/>
        <w:spacing w:line="400" w:lineRule="exact"/>
        <w:rPr>
          <w:rtl/>
        </w:rPr>
      </w:pPr>
      <w:bookmarkStart w:id="29" w:name="_Toc435577191"/>
      <w:r w:rsidRPr="00904FCB">
        <w:rPr>
          <w:rtl/>
          <w:lang w:bidi="fa-IR"/>
        </w:rPr>
        <w:t>أ. د. منى أحمد أبو زيد</w:t>
      </w:r>
      <w:r w:rsidR="00527634" w:rsidRPr="00904FCB">
        <w:rPr>
          <w:rFonts w:cs="Taher" w:hint="cs"/>
          <w:vertAlign w:val="superscript"/>
          <w:rtl/>
        </w:rPr>
        <w:t>(</w:t>
      </w:r>
      <w:r w:rsidR="00527634" w:rsidRPr="00904FCB">
        <w:rPr>
          <w:rFonts w:cs="Taher"/>
          <w:vertAlign w:val="superscript"/>
          <w:rtl/>
        </w:rPr>
        <w:footnoteReference w:customMarkFollows="1" w:id="9"/>
        <w:t>*)</w:t>
      </w:r>
      <w:bookmarkEnd w:id="29"/>
    </w:p>
    <w:p w:rsidR="00E83C22" w:rsidRPr="00904FCB" w:rsidRDefault="00E83C22" w:rsidP="007A21AA">
      <w:pPr>
        <w:spacing w:line="400" w:lineRule="exact"/>
        <w:rPr>
          <w:rtl/>
        </w:rPr>
      </w:pPr>
    </w:p>
    <w:p w:rsidR="00644408" w:rsidRPr="00904FCB" w:rsidRDefault="00644408" w:rsidP="007A21AA">
      <w:pPr>
        <w:pStyle w:val="31"/>
        <w:spacing w:line="400" w:lineRule="exact"/>
        <w:rPr>
          <w:color w:val="auto"/>
          <w:lang w:bidi="fa-IR"/>
        </w:rPr>
      </w:pPr>
      <w:r w:rsidRPr="00904FCB">
        <w:rPr>
          <w:color w:val="auto"/>
          <w:rtl/>
          <w:lang w:bidi="fa-IR"/>
        </w:rPr>
        <w:t>تمهي</w:t>
      </w:r>
      <w:r w:rsidRPr="00904FCB">
        <w:rPr>
          <w:rFonts w:hint="cs"/>
          <w:color w:val="auto"/>
          <w:rtl/>
          <w:lang w:bidi="fa-IR"/>
        </w:rPr>
        <w:t>د</w:t>
      </w:r>
    </w:p>
    <w:p w:rsidR="00644408" w:rsidRPr="00904FCB" w:rsidRDefault="00644408" w:rsidP="00062936">
      <w:pPr>
        <w:autoSpaceDE w:val="0"/>
        <w:autoSpaceDN w:val="0"/>
        <w:adjustRightInd w:val="0"/>
        <w:rPr>
          <w:rFonts w:ascii="Tahoma" w:hAnsi="Tahoma"/>
          <w:sz w:val="27"/>
          <w:lang w:bidi="fa-IR"/>
        </w:rPr>
      </w:pPr>
      <w:r w:rsidRPr="00904FCB">
        <w:rPr>
          <w:rFonts w:ascii="Tahoma" w:hAnsi="Tahoma"/>
          <w:sz w:val="27"/>
          <w:rtl/>
          <w:lang w:bidi="fa-IR"/>
        </w:rPr>
        <w:t>ت</w:t>
      </w:r>
      <w:r w:rsidR="009D0919">
        <w:rPr>
          <w:rFonts w:ascii="Tahoma" w:hAnsi="Tahoma" w:hint="cs"/>
          <w:sz w:val="27"/>
          <w:rtl/>
          <w:lang w:bidi="fa-IR"/>
        </w:rPr>
        <w:t>ُ</w:t>
      </w:r>
      <w:r w:rsidRPr="00904FCB">
        <w:rPr>
          <w:rFonts w:ascii="Tahoma" w:hAnsi="Tahoma"/>
          <w:sz w:val="27"/>
          <w:rtl/>
          <w:lang w:bidi="fa-IR"/>
        </w:rPr>
        <w:t>ع</w:t>
      </w:r>
      <w:r w:rsidR="009D0919">
        <w:rPr>
          <w:rFonts w:ascii="Tahoma" w:hAnsi="Tahoma" w:hint="cs"/>
          <w:sz w:val="27"/>
          <w:rtl/>
          <w:lang w:bidi="fa-IR"/>
        </w:rPr>
        <w:t>َ</w:t>
      </w:r>
      <w:r w:rsidRPr="00904FCB">
        <w:rPr>
          <w:rFonts w:ascii="Tahoma" w:hAnsi="Tahoma"/>
          <w:sz w:val="27"/>
          <w:rtl/>
          <w:lang w:bidi="fa-IR"/>
        </w:rPr>
        <w:t>د</w:t>
      </w:r>
      <w:r w:rsidR="00C305C9" w:rsidRPr="00904FCB">
        <w:rPr>
          <w:rFonts w:ascii="Tahoma" w:hAnsi="Tahoma" w:hint="cs"/>
          <w:sz w:val="27"/>
          <w:rtl/>
          <w:lang w:bidi="fa-IR"/>
        </w:rPr>
        <w:t>ّ</w:t>
      </w:r>
      <w:r w:rsidRPr="00904FCB">
        <w:rPr>
          <w:rFonts w:ascii="Tahoma" w:hAnsi="Tahoma"/>
          <w:sz w:val="27"/>
          <w:rtl/>
          <w:lang w:bidi="fa-IR"/>
        </w:rPr>
        <w:t xml:space="preserve"> المصلحة هي الدافع الأول للنشاط الإنساني في كل</w:t>
      </w:r>
      <w:r w:rsidR="00142FFD" w:rsidRPr="00904FCB">
        <w:rPr>
          <w:rFonts w:ascii="Tahoma" w:hAnsi="Tahoma" w:hint="cs"/>
          <w:sz w:val="27"/>
          <w:rtl/>
          <w:lang w:bidi="fa-IR"/>
        </w:rPr>
        <w:t>ّ</w:t>
      </w:r>
      <w:r w:rsidRPr="00904FCB">
        <w:rPr>
          <w:rFonts w:ascii="Tahoma" w:hAnsi="Tahoma"/>
          <w:sz w:val="27"/>
          <w:rtl/>
          <w:lang w:bidi="fa-IR"/>
        </w:rPr>
        <w:t xml:space="preserve"> مجالات الحياة</w:t>
      </w:r>
      <w:r w:rsidR="00142FFD" w:rsidRPr="00904FCB">
        <w:rPr>
          <w:rFonts w:ascii="Tahoma" w:hAnsi="Tahoma" w:hint="cs"/>
          <w:sz w:val="27"/>
          <w:rtl/>
          <w:lang w:bidi="fa-IR"/>
        </w:rPr>
        <w:t>.</w:t>
      </w:r>
      <w:r w:rsidRPr="00904FCB">
        <w:rPr>
          <w:rFonts w:ascii="Tahoma" w:hAnsi="Tahoma"/>
          <w:sz w:val="27"/>
          <w:rtl/>
          <w:lang w:bidi="fa-IR"/>
        </w:rPr>
        <w:t xml:space="preserve"> فكل</w:t>
      </w:r>
      <w:r w:rsidR="00142FFD" w:rsidRPr="00904FCB">
        <w:rPr>
          <w:rFonts w:ascii="Tahoma" w:hAnsi="Tahoma" w:hint="cs"/>
          <w:sz w:val="27"/>
          <w:rtl/>
          <w:lang w:bidi="fa-IR"/>
        </w:rPr>
        <w:t>ّ</w:t>
      </w:r>
      <w:r w:rsidRPr="00904FCB">
        <w:rPr>
          <w:rFonts w:ascii="Tahoma" w:hAnsi="Tahoma"/>
          <w:sz w:val="27"/>
          <w:rtl/>
          <w:lang w:bidi="fa-IR"/>
        </w:rPr>
        <w:t xml:space="preserve"> ما يسعى إليه الإنسان من فكر</w:t>
      </w:r>
      <w:r w:rsidR="00142FFD" w:rsidRPr="00904FCB">
        <w:rPr>
          <w:rFonts w:ascii="Tahoma" w:hAnsi="Tahoma" w:hint="cs"/>
          <w:sz w:val="27"/>
          <w:rtl/>
          <w:lang w:bidi="fa-IR"/>
        </w:rPr>
        <w:t>ٍ</w:t>
      </w:r>
      <w:r w:rsidRPr="00904FCB">
        <w:rPr>
          <w:rFonts w:ascii="Tahoma" w:hAnsi="Tahoma"/>
          <w:sz w:val="27"/>
          <w:rtl/>
          <w:lang w:bidi="fa-IR"/>
        </w:rPr>
        <w:t xml:space="preserve"> أو عمل يرجع في حقيقته إلى دافع خفي</w:t>
      </w:r>
      <w:r w:rsidR="00142FFD" w:rsidRPr="00904FCB">
        <w:rPr>
          <w:rFonts w:ascii="Tahoma" w:hAnsi="Tahoma" w:hint="cs"/>
          <w:sz w:val="27"/>
          <w:rtl/>
          <w:lang w:bidi="fa-IR"/>
        </w:rPr>
        <w:t>ّ</w:t>
      </w:r>
      <w:r w:rsidRPr="00904FCB">
        <w:rPr>
          <w:rFonts w:ascii="Tahoma" w:hAnsi="Tahoma"/>
          <w:sz w:val="27"/>
          <w:rtl/>
          <w:lang w:bidi="fa-IR"/>
        </w:rPr>
        <w:t xml:space="preserve"> هو المصلحة. وهذا الدافع لا يتوق</w:t>
      </w:r>
      <w:r w:rsidR="00142FFD" w:rsidRPr="00904FCB">
        <w:rPr>
          <w:rFonts w:ascii="Tahoma" w:hAnsi="Tahoma" w:hint="cs"/>
          <w:sz w:val="27"/>
          <w:rtl/>
          <w:lang w:bidi="fa-IR"/>
        </w:rPr>
        <w:t>ّ</w:t>
      </w:r>
      <w:r w:rsidRPr="00904FCB">
        <w:rPr>
          <w:rFonts w:ascii="Tahoma" w:hAnsi="Tahoma"/>
          <w:sz w:val="27"/>
          <w:rtl/>
          <w:lang w:bidi="fa-IR"/>
        </w:rPr>
        <w:t>ف عند غاية الفرد، وإنّما هو ما تسعى إليه أيضاً الجماعة</w:t>
      </w:r>
      <w:r w:rsidR="00142FFD" w:rsidRPr="00904FCB">
        <w:rPr>
          <w:rFonts w:ascii="Tahoma" w:hAnsi="Tahoma" w:hint="cs"/>
          <w:sz w:val="27"/>
          <w:rtl/>
          <w:lang w:bidi="fa-IR"/>
        </w:rPr>
        <w:t>.</w:t>
      </w:r>
      <w:r w:rsidRPr="00904FCB">
        <w:rPr>
          <w:rFonts w:ascii="Tahoma" w:hAnsi="Tahoma"/>
          <w:sz w:val="27"/>
          <w:rtl/>
          <w:lang w:bidi="fa-IR"/>
        </w:rPr>
        <w:t xml:space="preserve"> فالكل</w:t>
      </w:r>
      <w:r w:rsidR="00142FFD" w:rsidRPr="00904FCB">
        <w:rPr>
          <w:rFonts w:ascii="Tahoma" w:hAnsi="Tahoma" w:hint="cs"/>
          <w:sz w:val="27"/>
          <w:rtl/>
          <w:lang w:bidi="fa-IR"/>
        </w:rPr>
        <w:t>ّ</w:t>
      </w:r>
      <w:r w:rsidRPr="00904FCB">
        <w:rPr>
          <w:rFonts w:ascii="Tahoma" w:hAnsi="Tahoma"/>
          <w:sz w:val="27"/>
          <w:rtl/>
          <w:lang w:bidi="fa-IR"/>
        </w:rPr>
        <w:t xml:space="preserve"> يسعى في الحياة بحثاً عن المصلحة</w:t>
      </w:r>
      <w:r w:rsidR="00142FFD" w:rsidRPr="00904FCB">
        <w:rPr>
          <w:rFonts w:ascii="Tahoma" w:hAnsi="Tahoma" w:hint="cs"/>
          <w:sz w:val="27"/>
          <w:rtl/>
          <w:lang w:bidi="fa-IR"/>
        </w:rPr>
        <w:t>،</w:t>
      </w:r>
      <w:r w:rsidRPr="00904FCB">
        <w:rPr>
          <w:rFonts w:ascii="Tahoma" w:hAnsi="Tahoma"/>
          <w:sz w:val="27"/>
          <w:rtl/>
          <w:lang w:bidi="fa-IR"/>
        </w:rPr>
        <w:t xml:space="preserve"> سواء كانت فردية أو جماعية، مادية أو معنوية، دنيوية أو أخروية. </w:t>
      </w:r>
    </w:p>
    <w:p w:rsidR="00644408" w:rsidRPr="00904FCB" w:rsidRDefault="00644408" w:rsidP="009D0919">
      <w:pPr>
        <w:autoSpaceDE w:val="0"/>
        <w:autoSpaceDN w:val="0"/>
        <w:adjustRightInd w:val="0"/>
        <w:rPr>
          <w:rFonts w:ascii="Tahoma" w:hAnsi="Tahoma"/>
          <w:sz w:val="27"/>
          <w:lang w:bidi="fa-IR"/>
        </w:rPr>
      </w:pPr>
      <w:r w:rsidRPr="00904FCB">
        <w:rPr>
          <w:rFonts w:ascii="Tahoma" w:hAnsi="Tahoma"/>
          <w:sz w:val="27"/>
          <w:rtl/>
          <w:lang w:bidi="fa-IR"/>
        </w:rPr>
        <w:t>إلا</w:t>
      </w:r>
      <w:r w:rsidR="00142FFD" w:rsidRPr="00904FCB">
        <w:rPr>
          <w:rFonts w:ascii="Tahoma" w:hAnsi="Tahoma" w:hint="cs"/>
          <w:sz w:val="27"/>
          <w:rtl/>
          <w:lang w:bidi="fa-IR"/>
        </w:rPr>
        <w:t>ّ</w:t>
      </w:r>
      <w:r w:rsidRPr="00904FCB">
        <w:rPr>
          <w:rFonts w:ascii="Tahoma" w:hAnsi="Tahoma"/>
          <w:sz w:val="27"/>
          <w:rtl/>
          <w:lang w:bidi="fa-IR"/>
        </w:rPr>
        <w:t xml:space="preserve"> أن المذاهب العقلية قد نظرت إلى المصلحة </w:t>
      </w:r>
      <w:r w:rsidR="009D0919">
        <w:rPr>
          <w:rFonts w:ascii="Tahoma" w:hAnsi="Tahoma" w:hint="cs"/>
          <w:sz w:val="27"/>
          <w:rtl/>
          <w:lang w:bidi="fa-IR"/>
        </w:rPr>
        <w:t>بما</w:t>
      </w:r>
      <w:r w:rsidRPr="00904FCB">
        <w:rPr>
          <w:rFonts w:ascii="Tahoma" w:hAnsi="Tahoma"/>
          <w:sz w:val="27"/>
          <w:rtl/>
          <w:lang w:bidi="fa-IR"/>
        </w:rPr>
        <w:t xml:space="preserve"> يخالف المصلحة كما </w:t>
      </w:r>
      <w:r w:rsidR="009D0919">
        <w:rPr>
          <w:rFonts w:ascii="Tahoma" w:hAnsi="Tahoma" w:hint="cs"/>
          <w:sz w:val="27"/>
          <w:rtl/>
          <w:lang w:bidi="fa-IR"/>
        </w:rPr>
        <w:t>حدَّدتها</w:t>
      </w:r>
      <w:r w:rsidRPr="00904FCB">
        <w:rPr>
          <w:rFonts w:ascii="Tahoma" w:hAnsi="Tahoma"/>
          <w:sz w:val="27"/>
          <w:rtl/>
          <w:lang w:bidi="fa-IR"/>
        </w:rPr>
        <w:t xml:space="preserve"> التشريعات الإلهية. فالمصلحة بالمنظور العقلي محدودة بحدود الزمان والمكان، وأيضاً بحدود عقل الإنسان ورغباته، في حين أن </w:t>
      </w:r>
      <w:r w:rsidR="00142FFD" w:rsidRPr="00904FCB">
        <w:rPr>
          <w:rFonts w:ascii="Tahoma" w:hAnsi="Tahoma" w:hint="cs"/>
          <w:sz w:val="27"/>
          <w:rtl/>
          <w:lang w:bidi="fa-IR"/>
        </w:rPr>
        <w:t>ل</w:t>
      </w:r>
      <w:r w:rsidRPr="00904FCB">
        <w:rPr>
          <w:rFonts w:ascii="Tahoma" w:hAnsi="Tahoma"/>
          <w:sz w:val="27"/>
          <w:rtl/>
          <w:lang w:bidi="fa-IR"/>
        </w:rPr>
        <w:t>لمصلحة كما حد</w:t>
      </w:r>
      <w:r w:rsidR="00142FFD" w:rsidRPr="00904FCB">
        <w:rPr>
          <w:rFonts w:ascii="Tahoma" w:hAnsi="Tahoma" w:hint="cs"/>
          <w:sz w:val="27"/>
          <w:rtl/>
          <w:lang w:bidi="fa-IR"/>
        </w:rPr>
        <w:t>َّ</w:t>
      </w:r>
      <w:r w:rsidRPr="00904FCB">
        <w:rPr>
          <w:rFonts w:ascii="Tahoma" w:hAnsi="Tahoma"/>
          <w:sz w:val="27"/>
          <w:rtl/>
          <w:lang w:bidi="fa-IR"/>
        </w:rPr>
        <w:t>دتها الشرائع الدينية مفهوم</w:t>
      </w:r>
      <w:r w:rsidR="00142FFD" w:rsidRPr="00904FCB">
        <w:rPr>
          <w:rFonts w:ascii="Tahoma" w:hAnsi="Tahoma" w:hint="cs"/>
          <w:sz w:val="27"/>
          <w:rtl/>
          <w:lang w:bidi="fa-IR"/>
        </w:rPr>
        <w:t>اً</w:t>
      </w:r>
      <w:r w:rsidRPr="00904FCB">
        <w:rPr>
          <w:rFonts w:ascii="Tahoma" w:hAnsi="Tahoma"/>
          <w:sz w:val="27"/>
          <w:rtl/>
          <w:lang w:bidi="fa-IR"/>
        </w:rPr>
        <w:t xml:space="preserve"> مختلف</w:t>
      </w:r>
      <w:r w:rsidR="00142FFD" w:rsidRPr="00904FCB">
        <w:rPr>
          <w:rFonts w:ascii="Tahoma" w:hAnsi="Tahoma" w:hint="cs"/>
          <w:sz w:val="27"/>
          <w:rtl/>
          <w:lang w:bidi="fa-IR"/>
        </w:rPr>
        <w:t>اً،</w:t>
      </w:r>
      <w:r w:rsidRPr="00904FCB">
        <w:rPr>
          <w:rFonts w:ascii="Tahoma" w:hAnsi="Tahoma"/>
          <w:sz w:val="27"/>
          <w:rtl/>
          <w:lang w:bidi="fa-IR"/>
        </w:rPr>
        <w:t xml:space="preserve"> وكذلك نطاق</w:t>
      </w:r>
      <w:r w:rsidR="00142FFD" w:rsidRPr="00904FCB">
        <w:rPr>
          <w:rFonts w:ascii="Tahoma" w:hAnsi="Tahoma" w:hint="cs"/>
          <w:sz w:val="27"/>
          <w:rtl/>
          <w:lang w:bidi="fa-IR"/>
        </w:rPr>
        <w:t>اً</w:t>
      </w:r>
      <w:r w:rsidRPr="00904FCB">
        <w:rPr>
          <w:rFonts w:ascii="Tahoma" w:hAnsi="Tahoma"/>
          <w:sz w:val="27"/>
          <w:rtl/>
          <w:lang w:bidi="fa-IR"/>
        </w:rPr>
        <w:t xml:space="preserve"> مختلف</w:t>
      </w:r>
      <w:r w:rsidR="00142FFD" w:rsidRPr="00904FCB">
        <w:rPr>
          <w:rFonts w:ascii="Tahoma" w:hAnsi="Tahoma" w:hint="cs"/>
          <w:sz w:val="27"/>
          <w:rtl/>
          <w:lang w:bidi="fa-IR"/>
        </w:rPr>
        <w:t>اً</w:t>
      </w:r>
      <w:r w:rsidRPr="00904FCB">
        <w:rPr>
          <w:rFonts w:ascii="Tahoma" w:hAnsi="Tahoma"/>
          <w:sz w:val="27"/>
          <w:rtl/>
          <w:lang w:bidi="fa-IR"/>
        </w:rPr>
        <w:t xml:space="preserve">. </w:t>
      </w:r>
    </w:p>
    <w:p w:rsidR="00644408" w:rsidRPr="00904FCB" w:rsidRDefault="00644408" w:rsidP="00062936">
      <w:pPr>
        <w:autoSpaceDE w:val="0"/>
        <w:autoSpaceDN w:val="0"/>
        <w:adjustRightInd w:val="0"/>
        <w:rPr>
          <w:rFonts w:ascii="Tahoma" w:hAnsi="Tahoma"/>
          <w:sz w:val="27"/>
          <w:lang w:bidi="fa-IR"/>
        </w:rPr>
      </w:pPr>
      <w:r w:rsidRPr="00904FCB">
        <w:rPr>
          <w:rFonts w:ascii="Tahoma" w:hAnsi="Tahoma"/>
          <w:sz w:val="27"/>
          <w:rtl/>
          <w:lang w:bidi="fa-IR"/>
        </w:rPr>
        <w:t>وفي هذه الدراسة الموجزة سنحاول أن نرصد أوجه التشابه والاختلاف بين تصو</w:t>
      </w:r>
      <w:r w:rsidR="00142FFD" w:rsidRPr="00904FCB">
        <w:rPr>
          <w:rFonts w:ascii="Tahoma" w:hAnsi="Tahoma" w:hint="cs"/>
          <w:sz w:val="27"/>
          <w:rtl/>
          <w:lang w:bidi="fa-IR"/>
        </w:rPr>
        <w:t>ُّ</w:t>
      </w:r>
      <w:r w:rsidRPr="00904FCB">
        <w:rPr>
          <w:rFonts w:ascii="Tahoma" w:hAnsi="Tahoma"/>
          <w:sz w:val="27"/>
          <w:rtl/>
          <w:lang w:bidi="fa-IR"/>
        </w:rPr>
        <w:t>ر الفقه الإسلامي للمصلحة، وبين تصو</w:t>
      </w:r>
      <w:r w:rsidR="00142FFD" w:rsidRPr="00904FCB">
        <w:rPr>
          <w:rFonts w:ascii="Tahoma" w:hAnsi="Tahoma" w:hint="cs"/>
          <w:sz w:val="27"/>
          <w:rtl/>
          <w:lang w:bidi="fa-IR"/>
        </w:rPr>
        <w:t>ُّ</w:t>
      </w:r>
      <w:r w:rsidRPr="00904FCB">
        <w:rPr>
          <w:rFonts w:ascii="Tahoma" w:hAnsi="Tahoma"/>
          <w:sz w:val="27"/>
          <w:rtl/>
          <w:lang w:bidi="fa-IR"/>
        </w:rPr>
        <w:t>ر «روسكو باوند»</w:t>
      </w:r>
      <w:r w:rsidR="00142FFD" w:rsidRPr="00904FCB">
        <w:rPr>
          <w:rFonts w:ascii="Tahoma" w:hAnsi="Tahoma" w:hint="cs"/>
          <w:sz w:val="27"/>
          <w:rtl/>
          <w:lang w:bidi="fa-IR"/>
        </w:rPr>
        <w:t>،</w:t>
      </w:r>
      <w:r w:rsidRPr="00904FCB">
        <w:rPr>
          <w:rFonts w:ascii="Tahoma" w:hAnsi="Tahoma"/>
          <w:sz w:val="27"/>
          <w:rtl/>
          <w:lang w:bidi="fa-IR"/>
        </w:rPr>
        <w:t xml:space="preserve"> أحد رو</w:t>
      </w:r>
      <w:r w:rsidR="00142FFD" w:rsidRPr="00904FCB">
        <w:rPr>
          <w:rFonts w:ascii="Tahoma" w:hAnsi="Tahoma" w:hint="cs"/>
          <w:sz w:val="27"/>
          <w:rtl/>
          <w:lang w:bidi="fa-IR"/>
        </w:rPr>
        <w:t>ّ</w:t>
      </w:r>
      <w:r w:rsidRPr="00904FCB">
        <w:rPr>
          <w:rFonts w:ascii="Tahoma" w:hAnsi="Tahoma"/>
          <w:sz w:val="27"/>
          <w:rtl/>
          <w:lang w:bidi="fa-IR"/>
        </w:rPr>
        <w:t>اد الفكر القانوني الاجتماعي في الولايات المت</w:t>
      </w:r>
      <w:r w:rsidR="00142FFD" w:rsidRPr="00904FCB">
        <w:rPr>
          <w:rFonts w:ascii="Tahoma" w:hAnsi="Tahoma" w:hint="cs"/>
          <w:sz w:val="27"/>
          <w:rtl/>
          <w:lang w:bidi="fa-IR"/>
        </w:rPr>
        <w:t>ّ</w:t>
      </w:r>
      <w:r w:rsidRPr="00904FCB">
        <w:rPr>
          <w:rFonts w:ascii="Tahoma" w:hAnsi="Tahoma"/>
          <w:sz w:val="27"/>
          <w:rtl/>
          <w:lang w:bidi="fa-IR"/>
        </w:rPr>
        <w:t xml:space="preserve">حدة الأمريكية. </w:t>
      </w:r>
      <w:r w:rsidRPr="00904FCB">
        <w:rPr>
          <w:rFonts w:ascii="Tahoma" w:hAnsi="Tahoma"/>
          <w:sz w:val="27"/>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ونعرض هذه المقارنة من خلال ثلاثة مباحث: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w:t>
      </w:r>
      <w:r w:rsidR="00142FFD" w:rsidRPr="00904FCB">
        <w:rPr>
          <w:rFonts w:ascii="Tahoma" w:hAnsi="Tahoma" w:hint="cs"/>
          <w:b/>
          <w:bCs/>
          <w:sz w:val="27"/>
          <w:rtl/>
          <w:lang w:bidi="fa-IR"/>
        </w:rPr>
        <w:t>ّ</w:t>
      </w:r>
      <w:r w:rsidRPr="00904FCB">
        <w:rPr>
          <w:rFonts w:ascii="Tahoma" w:hAnsi="Tahoma"/>
          <w:b/>
          <w:bCs/>
          <w:sz w:val="27"/>
          <w:rtl/>
          <w:lang w:bidi="fa-IR"/>
        </w:rPr>
        <w:t>ل</w:t>
      </w:r>
      <w:r w:rsidRPr="00904FCB">
        <w:rPr>
          <w:rFonts w:ascii="Tahoma" w:hAnsi="Tahoma"/>
          <w:sz w:val="27"/>
          <w:rtl/>
          <w:lang w:bidi="fa-IR"/>
        </w:rPr>
        <w:t xml:space="preserve">: المصلحة في الفقه الإسلامي.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الثاني</w:t>
      </w:r>
      <w:r w:rsidRPr="00904FCB">
        <w:rPr>
          <w:rFonts w:ascii="Tahoma" w:hAnsi="Tahoma"/>
          <w:sz w:val="27"/>
          <w:rtl/>
          <w:lang w:bidi="fa-IR"/>
        </w:rPr>
        <w:t xml:space="preserve">: المصلحة عند روسكو باوند.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lastRenderedPageBreak/>
        <w:t>الثالث</w:t>
      </w:r>
      <w:r w:rsidRPr="00904FCB">
        <w:rPr>
          <w:rFonts w:ascii="Tahoma" w:hAnsi="Tahoma"/>
          <w:sz w:val="27"/>
          <w:rtl/>
          <w:lang w:bidi="fa-IR"/>
        </w:rPr>
        <w:t xml:space="preserve">: عقد مقارنة بين المصلحة في الفقه الإسلامي وعند روسكو باوند.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المبحث الأول</w:t>
      </w:r>
      <w:r w:rsidRPr="00904FCB">
        <w:rPr>
          <w:rFonts w:hint="cs"/>
          <w:color w:val="auto"/>
          <w:rtl/>
          <w:lang w:bidi="fa-IR"/>
        </w:rPr>
        <w:t xml:space="preserve">: </w:t>
      </w:r>
      <w:r w:rsidRPr="00904FCB">
        <w:rPr>
          <w:color w:val="auto"/>
          <w:rtl/>
          <w:lang w:bidi="fa-IR"/>
        </w:rPr>
        <w:t>المصلحة في الفقه الإسلامي</w:t>
      </w:r>
    </w:p>
    <w:p w:rsidR="00644408" w:rsidRPr="00904FCB" w:rsidRDefault="00644408" w:rsidP="007A21AA">
      <w:pPr>
        <w:pStyle w:val="31"/>
        <w:spacing w:line="400" w:lineRule="exact"/>
        <w:rPr>
          <w:color w:val="auto"/>
          <w:lang w:bidi="fa-IR"/>
        </w:rPr>
      </w:pPr>
      <w:r w:rsidRPr="00904FCB">
        <w:rPr>
          <w:b/>
          <w:color w:val="auto"/>
          <w:rtl/>
          <w:lang w:bidi="fa-IR"/>
        </w:rPr>
        <w:t>أو</w:t>
      </w:r>
      <w:r w:rsidR="004667C5" w:rsidRPr="00904FCB">
        <w:rPr>
          <w:rFonts w:hint="cs"/>
          <w:b/>
          <w:color w:val="auto"/>
          <w:rtl/>
          <w:lang w:bidi="fa-IR"/>
        </w:rPr>
        <w:t>ّ</w:t>
      </w:r>
      <w:r w:rsidRPr="00904FCB">
        <w:rPr>
          <w:b/>
          <w:color w:val="auto"/>
          <w:rtl/>
          <w:lang w:bidi="fa-IR"/>
        </w:rPr>
        <w:t>لاً</w:t>
      </w:r>
      <w:r w:rsidRPr="00904FCB">
        <w:rPr>
          <w:color w:val="auto"/>
          <w:rtl/>
          <w:lang w:bidi="fa-IR"/>
        </w:rPr>
        <w:t>:</w:t>
      </w:r>
      <w:r w:rsidRPr="00904FCB">
        <w:rPr>
          <w:rFonts w:hint="cs"/>
          <w:color w:val="auto"/>
          <w:rtl/>
          <w:lang w:bidi="fa-IR"/>
        </w:rPr>
        <w:t xml:space="preserve"> </w:t>
      </w:r>
      <w:r w:rsidRPr="00904FCB">
        <w:rPr>
          <w:color w:val="auto"/>
          <w:rtl/>
          <w:lang w:bidi="fa-IR"/>
        </w:rPr>
        <w:t xml:space="preserve">الأساس الشرعي لنظرية المصلحة في الفقه الإسلامي </w:t>
      </w:r>
    </w:p>
    <w:p w:rsidR="00644408" w:rsidRPr="00904FCB" w:rsidRDefault="00644408" w:rsidP="00387F84">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اهتم</w:t>
      </w:r>
      <w:r w:rsidR="004667C5" w:rsidRPr="00904FCB">
        <w:rPr>
          <w:rFonts w:ascii="Tahoma" w:hAnsi="Tahoma" w:hint="cs"/>
          <w:sz w:val="27"/>
          <w:rtl/>
          <w:lang w:bidi="fa-IR"/>
        </w:rPr>
        <w:t>َّ</w:t>
      </w:r>
      <w:r w:rsidRPr="00904FCB">
        <w:rPr>
          <w:rFonts w:ascii="Tahoma" w:hAnsi="Tahoma"/>
          <w:sz w:val="27"/>
          <w:rtl/>
          <w:lang w:bidi="fa-IR"/>
        </w:rPr>
        <w:t>ت</w:t>
      </w:r>
      <w:r w:rsidR="004667C5" w:rsidRPr="00904FCB">
        <w:rPr>
          <w:rFonts w:ascii="Tahoma" w:hAnsi="Tahoma" w:hint="cs"/>
          <w:sz w:val="27"/>
          <w:rtl/>
          <w:lang w:bidi="fa-IR"/>
        </w:rPr>
        <w:t>ْ</w:t>
      </w:r>
      <w:r w:rsidRPr="00904FCB">
        <w:rPr>
          <w:rFonts w:ascii="Tahoma" w:hAnsi="Tahoma"/>
          <w:sz w:val="27"/>
          <w:rtl/>
          <w:lang w:bidi="fa-IR"/>
        </w:rPr>
        <w:t xml:space="preserve"> الشريعة الإسلامية بوضع النظم والقوانين الصالحة لحياة الفرد وحياة الجماعة</w:t>
      </w:r>
      <w:r w:rsidR="004667C5" w:rsidRPr="00904FCB">
        <w:rPr>
          <w:rFonts w:ascii="Tahoma" w:hAnsi="Tahoma" w:hint="cs"/>
          <w:sz w:val="27"/>
          <w:rtl/>
          <w:lang w:bidi="fa-IR"/>
        </w:rPr>
        <w:t>.</w:t>
      </w:r>
      <w:r w:rsidRPr="00904FCB">
        <w:rPr>
          <w:rFonts w:ascii="Tahoma" w:hAnsi="Tahoma"/>
          <w:sz w:val="27"/>
          <w:rtl/>
          <w:lang w:bidi="fa-IR"/>
        </w:rPr>
        <w:t xml:space="preserve"> وهذه النظم وتلك القوانين إنّما وضعت الناس جميعاً في إطار</w:t>
      </w:r>
      <w:r w:rsidR="004667C5" w:rsidRPr="00904FCB">
        <w:rPr>
          <w:rFonts w:ascii="Tahoma" w:hAnsi="Tahoma" w:hint="cs"/>
          <w:sz w:val="27"/>
          <w:rtl/>
          <w:lang w:bidi="fa-IR"/>
        </w:rPr>
        <w:t>ٍ</w:t>
      </w:r>
      <w:r w:rsidRPr="00904FCB">
        <w:rPr>
          <w:rFonts w:ascii="Tahoma" w:hAnsi="Tahoma"/>
          <w:sz w:val="27"/>
          <w:rtl/>
          <w:lang w:bidi="fa-IR"/>
        </w:rPr>
        <w:t xml:space="preserve"> واحد في المعاملات بما يحق</w:t>
      </w:r>
      <w:r w:rsidR="004667C5" w:rsidRPr="00904FCB">
        <w:rPr>
          <w:rFonts w:ascii="Tahoma" w:hAnsi="Tahoma" w:hint="cs"/>
          <w:sz w:val="27"/>
          <w:rtl/>
          <w:lang w:bidi="fa-IR"/>
        </w:rPr>
        <w:t>ِّ</w:t>
      </w:r>
      <w:r w:rsidRPr="00904FCB">
        <w:rPr>
          <w:rFonts w:ascii="Tahoma" w:hAnsi="Tahoma"/>
          <w:sz w:val="27"/>
          <w:rtl/>
          <w:lang w:bidi="fa-IR"/>
        </w:rPr>
        <w:t>ق مصلحة الإنسان في جميع أحواله وش</w:t>
      </w:r>
      <w:r w:rsidR="004667C5" w:rsidRPr="00904FCB">
        <w:rPr>
          <w:rFonts w:ascii="Tahoma" w:hAnsi="Tahoma" w:hint="cs"/>
          <w:sz w:val="27"/>
          <w:rtl/>
          <w:lang w:bidi="fa-IR"/>
        </w:rPr>
        <w:t>ؤ</w:t>
      </w:r>
      <w:r w:rsidRPr="00904FCB">
        <w:rPr>
          <w:rFonts w:ascii="Tahoma" w:hAnsi="Tahoma"/>
          <w:sz w:val="27"/>
          <w:rtl/>
          <w:lang w:bidi="fa-IR"/>
        </w:rPr>
        <w:t>ونه</w:t>
      </w:r>
      <w:r w:rsidR="004667C5" w:rsidRPr="00904FCB">
        <w:rPr>
          <w:rFonts w:ascii="Tahoma" w:hAnsi="Tahoma" w:hint="cs"/>
          <w:sz w:val="27"/>
          <w:rtl/>
          <w:lang w:bidi="fa-IR"/>
        </w:rPr>
        <w:t>،</w:t>
      </w:r>
      <w:r w:rsidRPr="00904FCB">
        <w:rPr>
          <w:rFonts w:ascii="Tahoma" w:hAnsi="Tahoma"/>
          <w:sz w:val="27"/>
          <w:rtl/>
          <w:lang w:bidi="fa-IR"/>
        </w:rPr>
        <w:t xml:space="preserve"> لا فرق في ذلك بين المسلمين وغيرهم</w:t>
      </w:r>
      <w:r w:rsidR="004667C5" w:rsidRPr="00904FCB">
        <w:rPr>
          <w:rFonts w:ascii="Tahoma" w:hAnsi="Tahoma" w:hint="cs"/>
          <w:sz w:val="27"/>
          <w:rtl/>
          <w:lang w:bidi="fa-IR"/>
        </w:rPr>
        <w:t>.</w:t>
      </w:r>
      <w:r w:rsidRPr="00904FCB">
        <w:rPr>
          <w:rFonts w:ascii="Tahoma" w:hAnsi="Tahoma"/>
          <w:sz w:val="27"/>
          <w:rtl/>
          <w:lang w:bidi="fa-IR"/>
        </w:rPr>
        <w:t xml:space="preserve"> وقد اصطلح علماء الإسلام على تسمية هذه النظم بـ «الفقه الإسلامي»</w:t>
      </w:r>
      <w:r w:rsidR="004667C5" w:rsidRPr="00904FCB">
        <w:rPr>
          <w:rFonts w:ascii="Tahoma" w:hAnsi="Tahoma" w:hint="cs"/>
          <w:sz w:val="27"/>
          <w:rtl/>
          <w:lang w:bidi="fa-IR"/>
        </w:rPr>
        <w:t>،</w:t>
      </w:r>
      <w:r w:rsidRPr="00904FCB">
        <w:rPr>
          <w:rFonts w:ascii="Tahoma" w:hAnsi="Tahoma"/>
          <w:sz w:val="27"/>
          <w:rtl/>
          <w:lang w:bidi="fa-IR"/>
        </w:rPr>
        <w:t xml:space="preserve"> أو «التشريع الإسلامي»</w:t>
      </w:r>
      <w:r w:rsidR="004667C5" w:rsidRPr="00904FCB">
        <w:rPr>
          <w:rFonts w:ascii="Tahoma" w:hAnsi="Tahoma" w:hint="cs"/>
          <w:sz w:val="27"/>
          <w:rtl/>
          <w:lang w:bidi="fa-IR"/>
        </w:rPr>
        <w:t>.</w:t>
      </w:r>
      <w:r w:rsidRPr="00904FCB">
        <w:rPr>
          <w:rFonts w:ascii="Tahoma" w:hAnsi="Tahoma"/>
          <w:sz w:val="27"/>
          <w:rtl/>
          <w:lang w:bidi="fa-IR"/>
        </w:rPr>
        <w:t xml:space="preserve"> والمشتغلون به هم «الفقهاء</w:t>
      </w:r>
      <w:r w:rsidR="004667C5" w:rsidRPr="00904FCB">
        <w:rPr>
          <w:rFonts w:ascii="Tahoma" w:hAnsi="Tahoma"/>
          <w:sz w:val="27"/>
          <w:rtl/>
          <w:lang w:bidi="fa-IR"/>
        </w:rPr>
        <w:t>»</w:t>
      </w:r>
      <w:r w:rsidRPr="00904FCB">
        <w:rPr>
          <w:rFonts w:ascii="Tahoma" w:hAnsi="Tahoma"/>
          <w:sz w:val="27"/>
          <w:rtl/>
          <w:lang w:bidi="fa-IR"/>
        </w:rPr>
        <w:t xml:space="preserve">.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sz w:val="27"/>
          <w:rtl/>
          <w:lang w:bidi="fa-IR"/>
        </w:rPr>
        <w:t>فقد تناول الإسلام تنظيم حياة المسلمين في كاف</w:t>
      </w:r>
      <w:r w:rsidR="004667C5" w:rsidRPr="00904FCB">
        <w:rPr>
          <w:rFonts w:ascii="Tahoma" w:hAnsi="Tahoma" w:hint="cs"/>
          <w:sz w:val="27"/>
          <w:rtl/>
          <w:lang w:bidi="fa-IR"/>
        </w:rPr>
        <w:t>ّ</w:t>
      </w:r>
      <w:r w:rsidRPr="00904FCB">
        <w:rPr>
          <w:rFonts w:ascii="Tahoma" w:hAnsi="Tahoma"/>
          <w:sz w:val="27"/>
          <w:rtl/>
          <w:lang w:bidi="fa-IR"/>
        </w:rPr>
        <w:t>ة جوانبها الدينية والدنيوية</w:t>
      </w:r>
      <w:r w:rsidR="004667C5" w:rsidRPr="00904FCB">
        <w:rPr>
          <w:rFonts w:ascii="Tahoma" w:hAnsi="Tahoma" w:hint="cs"/>
          <w:sz w:val="27"/>
          <w:rtl/>
          <w:lang w:bidi="fa-IR"/>
        </w:rPr>
        <w:t>.</w:t>
      </w:r>
      <w:r w:rsidRPr="00904FCB">
        <w:rPr>
          <w:rFonts w:ascii="Tahoma" w:hAnsi="Tahoma"/>
          <w:sz w:val="27"/>
          <w:rtl/>
          <w:lang w:bidi="fa-IR"/>
        </w:rPr>
        <w:t xml:space="preserve"> فهو نظام</w:t>
      </w:r>
      <w:r w:rsidR="004667C5" w:rsidRPr="00904FCB">
        <w:rPr>
          <w:rFonts w:ascii="Tahoma" w:hAnsi="Tahoma" w:hint="cs"/>
          <w:sz w:val="27"/>
          <w:rtl/>
          <w:lang w:bidi="fa-IR"/>
        </w:rPr>
        <w:t>ٌ</w:t>
      </w:r>
      <w:r w:rsidRPr="00904FCB">
        <w:rPr>
          <w:rFonts w:ascii="Tahoma" w:hAnsi="Tahoma"/>
          <w:sz w:val="27"/>
          <w:rtl/>
          <w:lang w:bidi="fa-IR"/>
        </w:rPr>
        <w:t xml:space="preserve"> روحي</w:t>
      </w:r>
      <w:r w:rsidR="004667C5" w:rsidRPr="00904FCB">
        <w:rPr>
          <w:rFonts w:ascii="Tahoma" w:hAnsi="Tahoma" w:hint="cs"/>
          <w:sz w:val="27"/>
          <w:rtl/>
          <w:lang w:bidi="fa-IR"/>
        </w:rPr>
        <w:t>ٌّ</w:t>
      </w:r>
      <w:r w:rsidRPr="00904FCB">
        <w:rPr>
          <w:rFonts w:ascii="Tahoma" w:hAnsi="Tahoma"/>
          <w:sz w:val="27"/>
          <w:rtl/>
          <w:lang w:bidi="fa-IR"/>
        </w:rPr>
        <w:t xml:space="preserve"> مدني</w:t>
      </w:r>
      <w:r w:rsidR="004667C5" w:rsidRPr="00904FCB">
        <w:rPr>
          <w:rFonts w:ascii="Tahoma" w:hAnsi="Tahoma" w:hint="cs"/>
          <w:sz w:val="27"/>
          <w:rtl/>
          <w:lang w:bidi="fa-IR"/>
        </w:rPr>
        <w:t>ّ</w:t>
      </w:r>
      <w:r w:rsidRPr="00904FCB">
        <w:rPr>
          <w:rFonts w:ascii="Tahoma" w:hAnsi="Tahoma"/>
          <w:sz w:val="27"/>
          <w:rtl/>
          <w:lang w:bidi="fa-IR"/>
        </w:rPr>
        <w:t xml:space="preserve"> معاً، لا يفر</w:t>
      </w:r>
      <w:r w:rsidR="004667C5" w:rsidRPr="00904FCB">
        <w:rPr>
          <w:rFonts w:ascii="Tahoma" w:hAnsi="Tahoma" w:hint="cs"/>
          <w:sz w:val="27"/>
          <w:rtl/>
          <w:lang w:bidi="fa-IR"/>
        </w:rPr>
        <w:t>ّ</w:t>
      </w:r>
      <w:r w:rsidRPr="00904FCB">
        <w:rPr>
          <w:rFonts w:ascii="Tahoma" w:hAnsi="Tahoma"/>
          <w:sz w:val="27"/>
          <w:rtl/>
          <w:lang w:bidi="fa-IR"/>
        </w:rPr>
        <w:t>ق بين أمور الدين والدنيا، ومن ثم</w:t>
      </w:r>
      <w:r w:rsidR="004667C5" w:rsidRPr="00904FCB">
        <w:rPr>
          <w:rFonts w:ascii="Tahoma" w:hAnsi="Tahoma" w:hint="cs"/>
          <w:sz w:val="27"/>
          <w:rtl/>
          <w:lang w:bidi="fa-IR"/>
        </w:rPr>
        <w:t>ّ</w:t>
      </w:r>
      <w:r w:rsidRPr="00904FCB">
        <w:rPr>
          <w:rFonts w:ascii="Tahoma" w:hAnsi="Tahoma"/>
          <w:sz w:val="27"/>
          <w:rtl/>
          <w:lang w:bidi="fa-IR"/>
        </w:rPr>
        <w:t xml:space="preserve"> اشتمل على الأحكام المتعل</w:t>
      </w:r>
      <w:r w:rsidR="004667C5" w:rsidRPr="00904FCB">
        <w:rPr>
          <w:rFonts w:ascii="Tahoma" w:hAnsi="Tahoma" w:hint="cs"/>
          <w:sz w:val="27"/>
          <w:rtl/>
          <w:lang w:bidi="fa-IR"/>
        </w:rPr>
        <w:t>ّ</w:t>
      </w:r>
      <w:r w:rsidRPr="00904FCB">
        <w:rPr>
          <w:rFonts w:ascii="Tahoma" w:hAnsi="Tahoma"/>
          <w:sz w:val="27"/>
          <w:rtl/>
          <w:lang w:bidi="fa-IR"/>
        </w:rPr>
        <w:t>قة بالعبادات والمعاملات والعلاقات الأ</w:t>
      </w:r>
      <w:r w:rsidR="004667C5" w:rsidRPr="00904FCB">
        <w:rPr>
          <w:rFonts w:ascii="Tahoma" w:hAnsi="Tahoma" w:hint="cs"/>
          <w:sz w:val="27"/>
          <w:rtl/>
          <w:lang w:bidi="fa-IR"/>
        </w:rPr>
        <w:t>ُ</w:t>
      </w:r>
      <w:r w:rsidRPr="00904FCB">
        <w:rPr>
          <w:rFonts w:ascii="Tahoma" w:hAnsi="Tahoma"/>
          <w:sz w:val="27"/>
          <w:rtl/>
          <w:lang w:bidi="fa-IR"/>
        </w:rPr>
        <w:t>س</w:t>
      </w:r>
      <w:r w:rsidR="004667C5" w:rsidRPr="00904FCB">
        <w:rPr>
          <w:rFonts w:ascii="Tahoma" w:hAnsi="Tahoma" w:hint="cs"/>
          <w:sz w:val="27"/>
          <w:rtl/>
          <w:lang w:bidi="fa-IR"/>
        </w:rPr>
        <w:t>ْ</w:t>
      </w:r>
      <w:r w:rsidRPr="00904FCB">
        <w:rPr>
          <w:rFonts w:ascii="Tahoma" w:hAnsi="Tahoma"/>
          <w:sz w:val="27"/>
          <w:rtl/>
          <w:lang w:bidi="fa-IR"/>
        </w:rPr>
        <w:t xml:space="preserve">رية والسياسة الشرعية وغيرها. </w:t>
      </w:r>
      <w:r w:rsidRPr="00904FCB">
        <w:rPr>
          <w:rFonts w:ascii="Tahoma" w:hAnsi="Tahoma"/>
          <w:sz w:val="27"/>
          <w:lang w:bidi="fa-IR"/>
        </w:rPr>
        <w:t>‍</w:t>
      </w:r>
    </w:p>
    <w:p w:rsidR="00644408" w:rsidRPr="00904FCB" w:rsidRDefault="00644408" w:rsidP="00387F84">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ولم يفارق النبي</w:t>
      </w:r>
      <w:r w:rsidR="004667C5" w:rsidRPr="00904FCB">
        <w:rPr>
          <w:rFonts w:ascii="Tahoma" w:hAnsi="Tahoma" w:hint="cs"/>
          <w:sz w:val="27"/>
          <w:rtl/>
          <w:lang w:bidi="fa-IR"/>
        </w:rPr>
        <w:t>ّ</w:t>
      </w:r>
      <w:r w:rsidR="00635E51" w:rsidRPr="00904FCB">
        <w:rPr>
          <w:rFonts w:ascii="Tahoma" w:hAnsi="Tahoma" w:cs="Mosawi"/>
          <w:sz w:val="27"/>
          <w:szCs w:val="22"/>
          <w:rtl/>
          <w:lang w:bidi="fa-IR"/>
        </w:rPr>
        <w:t>|</w:t>
      </w:r>
      <w:r w:rsidRPr="00904FCB">
        <w:rPr>
          <w:rFonts w:ascii="Tahoma" w:hAnsi="Tahoma"/>
          <w:sz w:val="27"/>
          <w:rtl/>
          <w:lang w:bidi="fa-IR"/>
        </w:rPr>
        <w:t xml:space="preserve"> هذه الحياة إلاّ بعد أن تكامل بناء الشريعة بالنص</w:t>
      </w:r>
      <w:r w:rsidR="004667C5" w:rsidRPr="00904FCB">
        <w:rPr>
          <w:rFonts w:ascii="Tahoma" w:hAnsi="Tahoma" w:hint="cs"/>
          <w:sz w:val="27"/>
          <w:rtl/>
          <w:lang w:bidi="fa-IR"/>
        </w:rPr>
        <w:t>ّ</w:t>
      </w:r>
      <w:r w:rsidRPr="00904FCB">
        <w:rPr>
          <w:rFonts w:ascii="Tahoma" w:hAnsi="Tahoma"/>
          <w:sz w:val="27"/>
          <w:rtl/>
          <w:lang w:bidi="fa-IR"/>
        </w:rPr>
        <w:t xml:space="preserve"> الصريح على الأسس والكل</w:t>
      </w:r>
      <w:r w:rsidR="004667C5" w:rsidRPr="00904FCB">
        <w:rPr>
          <w:rFonts w:ascii="Tahoma" w:hAnsi="Tahoma" w:hint="cs"/>
          <w:sz w:val="27"/>
          <w:rtl/>
          <w:lang w:bidi="fa-IR"/>
        </w:rPr>
        <w:t>ّ</w:t>
      </w:r>
      <w:r w:rsidRPr="00904FCB">
        <w:rPr>
          <w:rFonts w:ascii="Tahoma" w:hAnsi="Tahoma"/>
          <w:sz w:val="27"/>
          <w:rtl/>
          <w:lang w:bidi="fa-IR"/>
        </w:rPr>
        <w:t>يات</w:t>
      </w:r>
      <w:r w:rsidR="004667C5" w:rsidRPr="00904FCB">
        <w:rPr>
          <w:rFonts w:ascii="Tahoma" w:hAnsi="Tahoma" w:hint="cs"/>
          <w:sz w:val="27"/>
          <w:rtl/>
          <w:lang w:bidi="fa-IR"/>
        </w:rPr>
        <w:t>:</w:t>
      </w:r>
      <w:r w:rsidRPr="00904FCB">
        <w:rPr>
          <w:rFonts w:ascii="Tahoma" w:hAnsi="Tahoma"/>
          <w:sz w:val="27"/>
          <w:rtl/>
          <w:lang w:bidi="fa-IR"/>
        </w:rPr>
        <w:t xml:space="preserve"> </w:t>
      </w:r>
      <w:r w:rsidRPr="00904FCB">
        <w:rPr>
          <w:rFonts w:ascii="Mosawi" w:hAnsi="Mosawi" w:cs="Mosawi"/>
          <w:sz w:val="24"/>
          <w:szCs w:val="24"/>
          <w:rtl/>
        </w:rPr>
        <w:t>﴿</w:t>
      </w:r>
      <w:r w:rsidRPr="00904FCB">
        <w:rPr>
          <w:rFonts w:ascii="Tahoma" w:hAnsi="Tahoma"/>
          <w:b/>
          <w:bCs/>
          <w:sz w:val="27"/>
          <w:rtl/>
          <w:lang w:bidi="fa-IR"/>
        </w:rPr>
        <w:t>الْيَوْمَ أَكْمَلْتُ لَكُمْ دِينَكُمْ</w:t>
      </w:r>
      <w:r w:rsidRPr="00904FCB">
        <w:rPr>
          <w:rFonts w:ascii="Mosawi" w:hAnsi="Mosawi" w:cs="Mosawi"/>
          <w:sz w:val="24"/>
          <w:szCs w:val="24"/>
          <w:rtl/>
        </w:rPr>
        <w:t>﴾</w:t>
      </w:r>
      <w:r w:rsidRPr="00904FCB">
        <w:rPr>
          <w:rFonts w:ascii="Tahoma" w:hAnsi="Tahoma"/>
          <w:sz w:val="27"/>
          <w:rtl/>
          <w:lang w:bidi="fa-IR"/>
        </w:rPr>
        <w:t xml:space="preserve"> </w:t>
      </w:r>
      <w:r w:rsidRPr="00904FCB">
        <w:rPr>
          <w:rFonts w:ascii="Tahoma" w:hAnsi="Tahoma" w:hint="cs"/>
          <w:sz w:val="27"/>
          <w:rtl/>
          <w:lang w:bidi="fa-IR"/>
        </w:rPr>
        <w:t>(</w:t>
      </w:r>
      <w:r w:rsidRPr="00904FCB">
        <w:rPr>
          <w:rFonts w:ascii="Tahoma" w:hAnsi="Tahoma"/>
          <w:sz w:val="27"/>
          <w:rtl/>
          <w:lang w:bidi="fa-IR"/>
        </w:rPr>
        <w:t>المائدة</w:t>
      </w:r>
      <w:r w:rsidRPr="00904FCB">
        <w:rPr>
          <w:rFonts w:ascii="Tahoma" w:hAnsi="Tahoma" w:hint="cs"/>
          <w:sz w:val="27"/>
          <w:rtl/>
          <w:lang w:bidi="fa-IR"/>
        </w:rPr>
        <w:t xml:space="preserve">: </w:t>
      </w:r>
      <w:r w:rsidRPr="002C04DA">
        <w:rPr>
          <w:rFonts w:ascii="Tahoma" w:hAnsi="Tahoma" w:hint="cs"/>
          <w:sz w:val="27"/>
          <w:rtl/>
          <w:lang w:bidi="ar-LB"/>
        </w:rPr>
        <w:t>3</w:t>
      </w:r>
      <w:r w:rsidRPr="00904FCB">
        <w:rPr>
          <w:rFonts w:ascii="Tahoma" w:hAnsi="Tahoma" w:hint="cs"/>
          <w:sz w:val="27"/>
          <w:rtl/>
          <w:lang w:bidi="ar-LB"/>
        </w:rPr>
        <w:t>)</w:t>
      </w:r>
      <w:r w:rsidR="004667C5" w:rsidRPr="00904FCB">
        <w:rPr>
          <w:rFonts w:ascii="Tahoma" w:hAnsi="Tahoma" w:hint="cs"/>
          <w:sz w:val="27"/>
          <w:rtl/>
          <w:lang w:bidi="fa-IR"/>
        </w:rPr>
        <w:t>.</w:t>
      </w:r>
      <w:r w:rsidRPr="00904FCB">
        <w:rPr>
          <w:rFonts w:ascii="Tahoma" w:hAnsi="Tahoma"/>
          <w:sz w:val="27"/>
          <w:rtl/>
          <w:lang w:bidi="fa-IR"/>
        </w:rPr>
        <w:t xml:space="preserve"> وهو وإن</w:t>
      </w:r>
      <w:r w:rsidR="004667C5" w:rsidRPr="00904FCB">
        <w:rPr>
          <w:rFonts w:ascii="Tahoma" w:hAnsi="Tahoma" w:hint="cs"/>
          <w:sz w:val="27"/>
          <w:rtl/>
          <w:lang w:bidi="fa-IR"/>
        </w:rPr>
        <w:t>ْ</w:t>
      </w:r>
      <w:r w:rsidRPr="00904FCB">
        <w:rPr>
          <w:rFonts w:ascii="Tahoma" w:hAnsi="Tahoma"/>
          <w:sz w:val="27"/>
          <w:rtl/>
          <w:lang w:bidi="fa-IR"/>
        </w:rPr>
        <w:t xml:space="preserve"> لم يترك لأصحابه فقهاً مدو</w:t>
      </w:r>
      <w:r w:rsidR="004667C5" w:rsidRPr="00904FCB">
        <w:rPr>
          <w:rFonts w:ascii="Tahoma" w:hAnsi="Tahoma" w:hint="cs"/>
          <w:sz w:val="27"/>
          <w:rtl/>
          <w:lang w:bidi="fa-IR"/>
        </w:rPr>
        <w:t>َّ</w:t>
      </w:r>
      <w:r w:rsidRPr="00904FCB">
        <w:rPr>
          <w:rFonts w:ascii="Tahoma" w:hAnsi="Tahoma"/>
          <w:sz w:val="27"/>
          <w:rtl/>
          <w:lang w:bidi="fa-IR"/>
        </w:rPr>
        <w:t>ناً</w:t>
      </w:r>
      <w:r w:rsidR="004667C5" w:rsidRPr="00904FCB">
        <w:rPr>
          <w:rFonts w:ascii="Tahoma" w:hAnsi="Tahoma" w:hint="cs"/>
          <w:sz w:val="27"/>
          <w:rtl/>
          <w:lang w:bidi="fa-IR"/>
        </w:rPr>
        <w:t>،</w:t>
      </w:r>
      <w:r w:rsidRPr="00904FCB">
        <w:rPr>
          <w:rFonts w:ascii="Tahoma" w:hAnsi="Tahoma"/>
          <w:sz w:val="27"/>
          <w:rtl/>
          <w:lang w:bidi="fa-IR"/>
        </w:rPr>
        <w:t xml:space="preserve"> إلاّ أنّه ترك لهم جملة</w:t>
      </w:r>
      <w:r w:rsidR="004667C5" w:rsidRPr="00904FCB">
        <w:rPr>
          <w:rFonts w:ascii="Tahoma" w:hAnsi="Tahoma" w:hint="cs"/>
          <w:sz w:val="27"/>
          <w:rtl/>
          <w:lang w:bidi="fa-IR"/>
        </w:rPr>
        <w:t>ً</w:t>
      </w:r>
      <w:r w:rsidRPr="00904FCB">
        <w:rPr>
          <w:rFonts w:ascii="Tahoma" w:hAnsi="Tahoma"/>
          <w:sz w:val="27"/>
          <w:rtl/>
          <w:lang w:bidi="fa-IR"/>
        </w:rPr>
        <w:t xml:space="preserve"> من الأصول والقواعد الكل</w:t>
      </w:r>
      <w:r w:rsidR="004667C5" w:rsidRPr="00904FCB">
        <w:rPr>
          <w:rFonts w:ascii="Tahoma" w:hAnsi="Tahoma" w:hint="cs"/>
          <w:sz w:val="27"/>
          <w:rtl/>
          <w:lang w:bidi="fa-IR"/>
        </w:rPr>
        <w:t>ّ</w:t>
      </w:r>
      <w:r w:rsidRPr="00904FCB">
        <w:rPr>
          <w:rFonts w:ascii="Tahoma" w:hAnsi="Tahoma"/>
          <w:sz w:val="27"/>
          <w:rtl/>
          <w:lang w:bidi="fa-IR"/>
        </w:rPr>
        <w:t>ية</w:t>
      </w:r>
      <w:r w:rsidR="004667C5" w:rsidRPr="00904FCB">
        <w:rPr>
          <w:rFonts w:ascii="Tahoma" w:hAnsi="Tahoma" w:hint="cs"/>
          <w:sz w:val="27"/>
          <w:rtl/>
          <w:lang w:bidi="fa-IR"/>
        </w:rPr>
        <w:t>.</w:t>
      </w:r>
      <w:r w:rsidRPr="00904FCB">
        <w:rPr>
          <w:rFonts w:ascii="Tahoma" w:hAnsi="Tahoma"/>
          <w:sz w:val="27"/>
          <w:rtl/>
          <w:lang w:bidi="fa-IR"/>
        </w:rPr>
        <w:t xml:space="preserve"> </w:t>
      </w:r>
      <w:r w:rsidR="004667C5" w:rsidRPr="00904FCB">
        <w:rPr>
          <w:rFonts w:ascii="Tahoma" w:hAnsi="Tahoma" w:hint="cs"/>
          <w:sz w:val="27"/>
          <w:rtl/>
          <w:lang w:bidi="fa-IR"/>
        </w:rPr>
        <w:t>و</w:t>
      </w:r>
      <w:r w:rsidRPr="00904FCB">
        <w:rPr>
          <w:rFonts w:ascii="Tahoma" w:hAnsi="Tahoma"/>
          <w:sz w:val="27"/>
          <w:rtl/>
          <w:lang w:bidi="fa-IR"/>
        </w:rPr>
        <w:t>من هذه الأصول فكرة «مراعاة المصلحة»</w:t>
      </w:r>
      <w:r w:rsidR="004667C5" w:rsidRPr="00904FCB">
        <w:rPr>
          <w:rFonts w:ascii="Tahoma" w:hAnsi="Tahoma" w:hint="cs"/>
          <w:sz w:val="27"/>
          <w:rtl/>
          <w:lang w:bidi="fa-IR"/>
        </w:rPr>
        <w:t>،</w:t>
      </w:r>
      <w:r w:rsidRPr="00904FCB">
        <w:rPr>
          <w:rFonts w:ascii="Tahoma" w:hAnsi="Tahoma"/>
          <w:sz w:val="27"/>
          <w:rtl/>
          <w:lang w:bidi="fa-IR"/>
        </w:rPr>
        <w:t xml:space="preserve"> حيث إن أساس الشريعة قائم</w:t>
      </w:r>
      <w:r w:rsidR="004667C5" w:rsidRPr="00904FCB">
        <w:rPr>
          <w:rFonts w:ascii="Tahoma" w:hAnsi="Tahoma" w:hint="cs"/>
          <w:sz w:val="27"/>
          <w:rtl/>
          <w:lang w:bidi="fa-IR"/>
        </w:rPr>
        <w:t>ٌ</w:t>
      </w:r>
      <w:r w:rsidRPr="00904FCB">
        <w:rPr>
          <w:rFonts w:ascii="Tahoma" w:hAnsi="Tahoma"/>
          <w:sz w:val="27"/>
          <w:rtl/>
          <w:lang w:bidi="fa-IR"/>
        </w:rPr>
        <w:t xml:space="preserve"> على مراعاة مصالح العباد في الدنيا والآخرة</w:t>
      </w:r>
      <w:r w:rsidR="004667C5" w:rsidRPr="00904FCB">
        <w:rPr>
          <w:rFonts w:ascii="Tahoma" w:hAnsi="Tahoma" w:hint="cs"/>
          <w:sz w:val="27"/>
          <w:rtl/>
          <w:lang w:bidi="fa-IR"/>
        </w:rPr>
        <w:t>.</w:t>
      </w:r>
      <w:r w:rsidRPr="00904FCB">
        <w:rPr>
          <w:rFonts w:ascii="Tahoma" w:hAnsi="Tahoma"/>
          <w:sz w:val="27"/>
          <w:rtl/>
          <w:lang w:bidi="fa-IR"/>
        </w:rPr>
        <w:t xml:space="preserve"> وهذا ما أكده الإمام «ابن الق</w:t>
      </w:r>
      <w:r w:rsidR="004667C5" w:rsidRPr="00904FCB">
        <w:rPr>
          <w:rFonts w:ascii="Tahoma" w:hAnsi="Tahoma" w:hint="cs"/>
          <w:sz w:val="27"/>
          <w:rtl/>
          <w:lang w:bidi="fa-IR"/>
        </w:rPr>
        <w:t>َ</w:t>
      </w:r>
      <w:r w:rsidRPr="00904FCB">
        <w:rPr>
          <w:rFonts w:ascii="Tahoma" w:hAnsi="Tahoma"/>
          <w:sz w:val="27"/>
          <w:rtl/>
          <w:lang w:bidi="fa-IR"/>
        </w:rPr>
        <w:t>ي</w:t>
      </w:r>
      <w:r w:rsidR="004667C5" w:rsidRPr="00904FCB">
        <w:rPr>
          <w:rFonts w:ascii="Tahoma" w:hAnsi="Tahoma" w:hint="cs"/>
          <w:sz w:val="27"/>
          <w:rtl/>
          <w:lang w:bidi="fa-IR"/>
        </w:rPr>
        <w:t>ِّ</w:t>
      </w:r>
      <w:r w:rsidRPr="00904FCB">
        <w:rPr>
          <w:rFonts w:ascii="Tahoma" w:hAnsi="Tahoma"/>
          <w:sz w:val="27"/>
          <w:rtl/>
          <w:lang w:bidi="fa-IR"/>
        </w:rPr>
        <w:t>م»(</w:t>
      </w:r>
      <w:r w:rsidRPr="002C04DA">
        <w:rPr>
          <w:rFonts w:ascii="Tahoma" w:hAnsi="Tahoma" w:hint="cs"/>
          <w:sz w:val="27"/>
          <w:rtl/>
          <w:lang w:bidi="ar-LB"/>
        </w:rPr>
        <w:t>751</w:t>
      </w:r>
      <w:r w:rsidRPr="002C04DA">
        <w:rPr>
          <w:rFonts w:ascii="Tahoma" w:hAnsi="Tahoma"/>
          <w:sz w:val="27"/>
          <w:rtl/>
          <w:lang w:bidi="fa-IR"/>
        </w:rPr>
        <w:t>هـ</w:t>
      </w:r>
      <w:r w:rsidRPr="00904FCB">
        <w:rPr>
          <w:rFonts w:ascii="Tahoma" w:hAnsi="Tahoma"/>
          <w:sz w:val="27"/>
          <w:rtl/>
          <w:lang w:bidi="fa-IR"/>
        </w:rPr>
        <w:t>) بقوله: «إن الشريعة مبناها وأساسها على الحِكَم ومصالح العباد في المعاش والمعاد، وهي عدل كلها</w:t>
      </w:r>
      <w:r w:rsidR="001C2A98" w:rsidRPr="00904FCB">
        <w:rPr>
          <w:rFonts w:ascii="Tahoma" w:hAnsi="Tahoma" w:hint="cs"/>
          <w:sz w:val="27"/>
          <w:rtl/>
          <w:lang w:bidi="fa-IR"/>
        </w:rPr>
        <w:t>،</w:t>
      </w:r>
      <w:r w:rsidRPr="00904FCB">
        <w:rPr>
          <w:rFonts w:ascii="Tahoma" w:hAnsi="Tahoma"/>
          <w:sz w:val="27"/>
          <w:rtl/>
          <w:lang w:bidi="fa-IR"/>
        </w:rPr>
        <w:t xml:space="preserve"> ورحمة كلها</w:t>
      </w:r>
      <w:r w:rsidR="001C2A98" w:rsidRPr="00904FCB">
        <w:rPr>
          <w:rFonts w:ascii="Tahoma" w:hAnsi="Tahoma" w:hint="cs"/>
          <w:sz w:val="27"/>
          <w:rtl/>
          <w:lang w:bidi="fa-IR"/>
        </w:rPr>
        <w:t>،</w:t>
      </w:r>
      <w:r w:rsidRPr="00904FCB">
        <w:rPr>
          <w:rFonts w:ascii="Tahoma" w:hAnsi="Tahoma"/>
          <w:sz w:val="27"/>
          <w:rtl/>
          <w:lang w:bidi="fa-IR"/>
        </w:rPr>
        <w:t xml:space="preserve"> ومصالح كلها</w:t>
      </w:r>
      <w:r w:rsidR="001C2A98" w:rsidRPr="00904FCB">
        <w:rPr>
          <w:rFonts w:ascii="Tahoma" w:hAnsi="Tahoma" w:hint="cs"/>
          <w:sz w:val="27"/>
          <w:rtl/>
          <w:lang w:bidi="fa-IR"/>
        </w:rPr>
        <w:t>،</w:t>
      </w:r>
      <w:r w:rsidRPr="00904FCB">
        <w:rPr>
          <w:rFonts w:ascii="Tahoma" w:hAnsi="Tahoma"/>
          <w:sz w:val="27"/>
          <w:rtl/>
          <w:lang w:bidi="fa-IR"/>
        </w:rPr>
        <w:t xml:space="preserve"> وحكمة كلها</w:t>
      </w:r>
      <w:r w:rsidR="001C2A98" w:rsidRPr="00904FCB">
        <w:rPr>
          <w:rFonts w:ascii="Tahoma" w:hAnsi="Tahoma" w:hint="cs"/>
          <w:sz w:val="27"/>
          <w:rtl/>
          <w:lang w:bidi="fa-IR"/>
        </w:rPr>
        <w:t>.</w:t>
      </w:r>
      <w:r w:rsidRPr="00904FCB">
        <w:rPr>
          <w:rFonts w:ascii="Tahoma" w:hAnsi="Tahoma"/>
          <w:sz w:val="27"/>
          <w:rtl/>
          <w:lang w:bidi="fa-IR"/>
        </w:rPr>
        <w:t xml:space="preserve"> فكل</w:t>
      </w:r>
      <w:r w:rsidR="001C2A98" w:rsidRPr="00904FCB">
        <w:rPr>
          <w:rFonts w:ascii="Tahoma" w:hAnsi="Tahoma" w:hint="cs"/>
          <w:sz w:val="27"/>
          <w:rtl/>
          <w:lang w:bidi="fa-IR"/>
        </w:rPr>
        <w:t>ّ</w:t>
      </w:r>
      <w:r w:rsidRPr="00904FCB">
        <w:rPr>
          <w:rFonts w:ascii="Tahoma" w:hAnsi="Tahoma"/>
          <w:sz w:val="27"/>
          <w:rtl/>
          <w:lang w:bidi="fa-IR"/>
        </w:rPr>
        <w:t xml:space="preserve"> مسألة خرجت عن المصلحة إلى المفسدة، وعن الحكمة إلى الع</w:t>
      </w:r>
      <w:r w:rsidR="001C2A98" w:rsidRPr="00904FCB">
        <w:rPr>
          <w:rFonts w:ascii="Tahoma" w:hAnsi="Tahoma" w:hint="cs"/>
          <w:sz w:val="27"/>
          <w:rtl/>
          <w:lang w:bidi="fa-IR"/>
        </w:rPr>
        <w:t>َ</w:t>
      </w:r>
      <w:r w:rsidRPr="00904FCB">
        <w:rPr>
          <w:rFonts w:ascii="Tahoma" w:hAnsi="Tahoma"/>
          <w:sz w:val="27"/>
          <w:rtl/>
          <w:lang w:bidi="fa-IR"/>
        </w:rPr>
        <w:t>ب</w:t>
      </w:r>
      <w:r w:rsidR="001C2A98" w:rsidRPr="00904FCB">
        <w:rPr>
          <w:rFonts w:ascii="Tahoma" w:hAnsi="Tahoma" w:hint="cs"/>
          <w:sz w:val="27"/>
          <w:rtl/>
          <w:lang w:bidi="fa-IR"/>
        </w:rPr>
        <w:t>َ</w:t>
      </w:r>
      <w:r w:rsidRPr="00904FCB">
        <w:rPr>
          <w:rFonts w:ascii="Tahoma" w:hAnsi="Tahoma"/>
          <w:sz w:val="27"/>
          <w:rtl/>
          <w:lang w:bidi="fa-IR"/>
        </w:rPr>
        <w:t>ث</w:t>
      </w:r>
      <w:r w:rsidR="001C2A98" w:rsidRPr="00904FCB">
        <w:rPr>
          <w:rFonts w:ascii="Tahoma" w:hAnsi="Tahoma" w:hint="cs"/>
          <w:sz w:val="27"/>
          <w:rtl/>
          <w:lang w:bidi="fa-IR"/>
        </w:rPr>
        <w:t>،</w:t>
      </w:r>
      <w:r w:rsidRPr="00904FCB">
        <w:rPr>
          <w:rFonts w:ascii="Tahoma" w:hAnsi="Tahoma"/>
          <w:sz w:val="27"/>
          <w:rtl/>
          <w:lang w:bidi="fa-IR"/>
        </w:rPr>
        <w:t xml:space="preserve"> فليست من الشريعة»</w:t>
      </w:r>
      <w:r w:rsidRPr="00904FCB">
        <w:rPr>
          <w:rFonts w:hint="cs"/>
          <w:sz w:val="27"/>
          <w:vertAlign w:val="superscript"/>
          <w:rtl/>
        </w:rPr>
        <w:t>(</w:t>
      </w:r>
      <w:r w:rsidRPr="00904FCB">
        <w:rPr>
          <w:rStyle w:val="ac"/>
          <w:sz w:val="27"/>
          <w:rtl/>
        </w:rPr>
        <w:endnoteReference w:id="249"/>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387F84">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وهذا ما أكّ</w:t>
      </w:r>
      <w:r w:rsidR="001C2A98" w:rsidRPr="00904FCB">
        <w:rPr>
          <w:rFonts w:ascii="Tahoma" w:hAnsi="Tahoma" w:hint="cs"/>
          <w:sz w:val="27"/>
          <w:rtl/>
          <w:lang w:bidi="fa-IR"/>
        </w:rPr>
        <w:t>َ</w:t>
      </w:r>
      <w:r w:rsidRPr="00904FCB">
        <w:rPr>
          <w:rFonts w:ascii="Tahoma" w:hAnsi="Tahoma"/>
          <w:sz w:val="27"/>
          <w:rtl/>
          <w:lang w:bidi="fa-IR"/>
        </w:rPr>
        <w:t>ده الإمام «الشاطبي»(</w:t>
      </w:r>
      <w:r w:rsidRPr="002C04DA">
        <w:rPr>
          <w:rFonts w:ascii="Tahoma" w:hAnsi="Tahoma" w:hint="cs"/>
          <w:sz w:val="27"/>
          <w:rtl/>
          <w:lang w:bidi="ar-LB"/>
        </w:rPr>
        <w:t>790</w:t>
      </w:r>
      <w:r w:rsidRPr="002C04DA">
        <w:rPr>
          <w:rFonts w:ascii="Tahoma" w:hAnsi="Tahoma"/>
          <w:sz w:val="27"/>
          <w:rtl/>
          <w:lang w:bidi="fa-IR"/>
        </w:rPr>
        <w:t>هـ</w:t>
      </w:r>
      <w:r w:rsidRPr="00904FCB">
        <w:rPr>
          <w:rFonts w:ascii="Tahoma" w:hAnsi="Tahoma"/>
          <w:sz w:val="27"/>
          <w:rtl/>
          <w:lang w:bidi="fa-IR"/>
        </w:rPr>
        <w:t>) قائلاً: «إن</w:t>
      </w:r>
      <w:r w:rsidR="001C2A98" w:rsidRPr="00904FCB">
        <w:rPr>
          <w:rFonts w:ascii="Tahoma" w:hAnsi="Tahoma" w:hint="cs"/>
          <w:sz w:val="27"/>
          <w:rtl/>
          <w:lang w:bidi="fa-IR"/>
        </w:rPr>
        <w:t>ّ</w:t>
      </w:r>
      <w:r w:rsidRPr="00904FCB">
        <w:rPr>
          <w:rFonts w:ascii="Tahoma" w:hAnsi="Tahoma"/>
          <w:sz w:val="27"/>
          <w:rtl/>
          <w:lang w:bidi="fa-IR"/>
        </w:rPr>
        <w:t xml:space="preserve"> من المقدمات الكلامية المسل</w:t>
      </w:r>
      <w:r w:rsidR="001C2A98" w:rsidRPr="00904FCB">
        <w:rPr>
          <w:rFonts w:ascii="Tahoma" w:hAnsi="Tahoma" w:hint="cs"/>
          <w:sz w:val="27"/>
          <w:rtl/>
          <w:lang w:bidi="fa-IR"/>
        </w:rPr>
        <w:t>َّ</w:t>
      </w:r>
      <w:r w:rsidRPr="00904FCB">
        <w:rPr>
          <w:rFonts w:ascii="Tahoma" w:hAnsi="Tahoma"/>
          <w:sz w:val="27"/>
          <w:rtl/>
          <w:lang w:bidi="fa-IR"/>
        </w:rPr>
        <w:t>مة أن وضع الشرائع إنّما هو لمصلحة العباد في الآجل والعاجل معاً»</w:t>
      </w:r>
      <w:r w:rsidRPr="00904FCB">
        <w:rPr>
          <w:rFonts w:hint="cs"/>
          <w:sz w:val="27"/>
          <w:vertAlign w:val="superscript"/>
          <w:rtl/>
        </w:rPr>
        <w:t>(</w:t>
      </w:r>
      <w:r w:rsidRPr="00904FCB">
        <w:rPr>
          <w:rStyle w:val="ac"/>
          <w:sz w:val="27"/>
          <w:rtl/>
        </w:rPr>
        <w:endnoteReference w:id="250"/>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15694">
      <w:pPr>
        <w:autoSpaceDE w:val="0"/>
        <w:autoSpaceDN w:val="0"/>
        <w:adjustRightInd w:val="0"/>
        <w:spacing w:line="420" w:lineRule="exact"/>
        <w:rPr>
          <w:rFonts w:ascii="Tahoma" w:hAnsi="Tahoma"/>
          <w:sz w:val="27"/>
          <w:rtl/>
          <w:lang w:bidi="fa-IR"/>
        </w:rPr>
      </w:pPr>
      <w:r w:rsidRPr="00904FCB">
        <w:rPr>
          <w:rFonts w:ascii="Tahoma" w:hAnsi="Tahoma"/>
          <w:sz w:val="27"/>
          <w:rtl/>
          <w:lang w:bidi="fa-IR"/>
        </w:rPr>
        <w:t>فما استقر</w:t>
      </w:r>
      <w:r w:rsidR="001C2A98" w:rsidRPr="00904FCB">
        <w:rPr>
          <w:rFonts w:ascii="Tahoma" w:hAnsi="Tahoma" w:hint="cs"/>
          <w:sz w:val="27"/>
          <w:rtl/>
          <w:lang w:bidi="fa-IR"/>
        </w:rPr>
        <w:t>ّ</w:t>
      </w:r>
      <w:r w:rsidRPr="00904FCB">
        <w:rPr>
          <w:rFonts w:ascii="Tahoma" w:hAnsi="Tahoma"/>
          <w:sz w:val="27"/>
          <w:rtl/>
          <w:lang w:bidi="fa-IR"/>
        </w:rPr>
        <w:t xml:space="preserve"> عليه الأمر عند علماء الشريعة أن المصلحة هي الغاية والمقصود الذي ب</w:t>
      </w:r>
      <w:r w:rsidR="001C2A98" w:rsidRPr="00904FCB">
        <w:rPr>
          <w:rFonts w:ascii="Tahoma" w:hAnsi="Tahoma" w:hint="cs"/>
          <w:sz w:val="27"/>
          <w:rtl/>
          <w:lang w:bidi="fa-IR"/>
        </w:rPr>
        <w:t>ُ</w:t>
      </w:r>
      <w:r w:rsidRPr="00904FCB">
        <w:rPr>
          <w:rFonts w:ascii="Tahoma" w:hAnsi="Tahoma"/>
          <w:sz w:val="27"/>
          <w:rtl/>
          <w:lang w:bidi="fa-IR"/>
        </w:rPr>
        <w:t>ني عليه التشريع الإسلامي، فكانت المصلحة محل</w:t>
      </w:r>
      <w:r w:rsidR="001C2A98" w:rsidRPr="00904FCB">
        <w:rPr>
          <w:rFonts w:ascii="Tahoma" w:hAnsi="Tahoma" w:hint="cs"/>
          <w:sz w:val="27"/>
          <w:rtl/>
          <w:lang w:bidi="fa-IR"/>
        </w:rPr>
        <w:t>ّ</w:t>
      </w:r>
      <w:r w:rsidRPr="00904FCB">
        <w:rPr>
          <w:rFonts w:ascii="Tahoma" w:hAnsi="Tahoma"/>
          <w:sz w:val="27"/>
          <w:rtl/>
          <w:lang w:bidi="fa-IR"/>
        </w:rPr>
        <w:t xml:space="preserve"> اهتمامهم</w:t>
      </w:r>
      <w:r w:rsidR="001C2A98" w:rsidRPr="00904FCB">
        <w:rPr>
          <w:rFonts w:ascii="Tahoma" w:hAnsi="Tahoma" w:hint="cs"/>
          <w:sz w:val="27"/>
          <w:rtl/>
          <w:lang w:bidi="fa-IR"/>
        </w:rPr>
        <w:t>،</w:t>
      </w:r>
      <w:r w:rsidRPr="00904FCB">
        <w:rPr>
          <w:rFonts w:ascii="Tahoma" w:hAnsi="Tahoma"/>
          <w:sz w:val="27"/>
          <w:rtl/>
          <w:lang w:bidi="fa-IR"/>
        </w:rPr>
        <w:t xml:space="preserve"> واعتنوا بدراستها، وبدأوا بالبحث عن أصولها في مصادر التشريع المختلفة</w:t>
      </w:r>
      <w:r w:rsidR="001C2A98" w:rsidRPr="00904FCB">
        <w:rPr>
          <w:rFonts w:ascii="Tahoma" w:hAnsi="Tahoma" w:hint="cs"/>
          <w:sz w:val="27"/>
          <w:rtl/>
          <w:lang w:bidi="fa-IR"/>
        </w:rPr>
        <w:t>.</w:t>
      </w:r>
      <w:r w:rsidRPr="00904FCB">
        <w:rPr>
          <w:rFonts w:ascii="Tahoma" w:hAnsi="Tahoma"/>
          <w:sz w:val="27"/>
          <w:rtl/>
          <w:lang w:bidi="fa-IR"/>
        </w:rPr>
        <w:t xml:space="preserve"> ولكن</w:t>
      </w:r>
      <w:r w:rsidR="00CA36DA" w:rsidRPr="00904FCB">
        <w:rPr>
          <w:rFonts w:ascii="Tahoma" w:hAnsi="Tahoma" w:hint="cs"/>
          <w:sz w:val="27"/>
          <w:rtl/>
          <w:lang w:bidi="fa-IR"/>
        </w:rPr>
        <w:t>ّ</w:t>
      </w:r>
      <w:r w:rsidRPr="00904FCB">
        <w:rPr>
          <w:rFonts w:ascii="Tahoma" w:hAnsi="Tahoma"/>
          <w:sz w:val="27"/>
          <w:rtl/>
          <w:lang w:bidi="fa-IR"/>
        </w:rPr>
        <w:t>نا لن نعرض ـ هنا ـ لكل</w:t>
      </w:r>
      <w:r w:rsidR="00CA36DA" w:rsidRPr="00904FCB">
        <w:rPr>
          <w:rFonts w:ascii="Tahoma" w:hAnsi="Tahoma" w:hint="cs"/>
          <w:sz w:val="27"/>
          <w:rtl/>
          <w:lang w:bidi="fa-IR"/>
        </w:rPr>
        <w:t>ّ</w:t>
      </w:r>
      <w:r w:rsidRPr="00904FCB">
        <w:rPr>
          <w:rFonts w:ascii="Tahoma" w:hAnsi="Tahoma"/>
          <w:sz w:val="27"/>
          <w:rtl/>
          <w:lang w:bidi="fa-IR"/>
        </w:rPr>
        <w:t xml:space="preserve"> </w:t>
      </w:r>
      <w:r w:rsidRPr="00904FCB">
        <w:rPr>
          <w:rFonts w:ascii="Tahoma" w:hAnsi="Tahoma"/>
          <w:sz w:val="27"/>
          <w:rtl/>
          <w:lang w:bidi="fa-IR"/>
        </w:rPr>
        <w:lastRenderedPageBreak/>
        <w:t>المصادر</w:t>
      </w:r>
      <w:r w:rsidR="00CA36DA" w:rsidRPr="00904FCB">
        <w:rPr>
          <w:rFonts w:ascii="Tahoma" w:hAnsi="Tahoma" w:hint="cs"/>
          <w:sz w:val="27"/>
          <w:rtl/>
          <w:lang w:bidi="fa-IR"/>
        </w:rPr>
        <w:t>،</w:t>
      </w:r>
      <w:r w:rsidRPr="00904FCB">
        <w:rPr>
          <w:rFonts w:ascii="Tahoma" w:hAnsi="Tahoma"/>
          <w:sz w:val="27"/>
          <w:rtl/>
          <w:lang w:bidi="fa-IR"/>
        </w:rPr>
        <w:t xml:space="preserve"> وسنكتفي ببيان أصل المصلحة في مصدر</w:t>
      </w:r>
      <w:r w:rsidR="00CA36DA" w:rsidRPr="00904FCB">
        <w:rPr>
          <w:rFonts w:ascii="Tahoma" w:hAnsi="Tahoma" w:hint="cs"/>
          <w:sz w:val="27"/>
          <w:rtl/>
          <w:lang w:bidi="fa-IR"/>
        </w:rPr>
        <w:t>َ</w:t>
      </w:r>
      <w:r w:rsidRPr="00904FCB">
        <w:rPr>
          <w:rFonts w:ascii="Tahoma" w:hAnsi="Tahoma"/>
          <w:sz w:val="27"/>
          <w:rtl/>
          <w:lang w:bidi="fa-IR"/>
        </w:rPr>
        <w:t>ي</w:t>
      </w:r>
      <w:r w:rsidR="00CA36DA" w:rsidRPr="00904FCB">
        <w:rPr>
          <w:rFonts w:ascii="Tahoma" w:hAnsi="Tahoma" w:hint="cs"/>
          <w:sz w:val="27"/>
          <w:rtl/>
          <w:lang w:bidi="fa-IR"/>
        </w:rPr>
        <w:t>ْ</w:t>
      </w:r>
      <w:r w:rsidRPr="00904FCB">
        <w:rPr>
          <w:rFonts w:ascii="Tahoma" w:hAnsi="Tahoma"/>
          <w:sz w:val="27"/>
          <w:rtl/>
          <w:lang w:bidi="fa-IR"/>
        </w:rPr>
        <w:t xml:space="preserve"> التشريع الأساسيين</w:t>
      </w:r>
      <w:r w:rsidR="00CA36DA" w:rsidRPr="00904FCB">
        <w:rPr>
          <w:rFonts w:ascii="Tahoma" w:hAnsi="Tahoma" w:hint="cs"/>
          <w:sz w:val="27"/>
          <w:rtl/>
          <w:lang w:bidi="fa-IR"/>
        </w:rPr>
        <w:t>،</w:t>
      </w:r>
      <w:r w:rsidRPr="00904FCB">
        <w:rPr>
          <w:rFonts w:ascii="Tahoma" w:hAnsi="Tahoma"/>
          <w:sz w:val="27"/>
          <w:rtl/>
          <w:lang w:bidi="fa-IR"/>
        </w:rPr>
        <w:t xml:space="preserve"> وهما</w:t>
      </w:r>
      <w:r w:rsidR="00CA36DA" w:rsidRPr="00904FCB">
        <w:rPr>
          <w:rFonts w:ascii="Tahoma" w:hAnsi="Tahoma" w:hint="cs"/>
          <w:sz w:val="27"/>
          <w:rtl/>
          <w:lang w:bidi="fa-IR"/>
        </w:rPr>
        <w:t>:</w:t>
      </w:r>
      <w:r w:rsidRPr="00904FCB">
        <w:rPr>
          <w:rFonts w:ascii="Tahoma" w:hAnsi="Tahoma"/>
          <w:sz w:val="27"/>
          <w:rtl/>
          <w:lang w:bidi="fa-IR"/>
        </w:rPr>
        <w:t xml:space="preserve"> القرآن</w:t>
      </w:r>
      <w:r w:rsidR="00CA36DA" w:rsidRPr="00904FCB">
        <w:rPr>
          <w:rFonts w:ascii="Tahoma" w:hAnsi="Tahoma" w:hint="cs"/>
          <w:sz w:val="27"/>
          <w:rtl/>
          <w:lang w:bidi="fa-IR"/>
        </w:rPr>
        <w:t>؛</w:t>
      </w:r>
      <w:r w:rsidRPr="00904FCB">
        <w:rPr>
          <w:rFonts w:ascii="Tahoma" w:hAnsi="Tahoma"/>
          <w:sz w:val="27"/>
          <w:rtl/>
          <w:lang w:bidi="fa-IR"/>
        </w:rPr>
        <w:t xml:space="preserve"> والسُّنَّة.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2C04DA">
        <w:rPr>
          <w:rFonts w:hint="cs"/>
          <w:color w:val="auto"/>
          <w:rtl/>
          <w:lang w:bidi="ar-LB"/>
        </w:rPr>
        <w:t xml:space="preserve">1ـ </w:t>
      </w:r>
      <w:r w:rsidRPr="002C04DA">
        <w:rPr>
          <w:color w:val="auto"/>
          <w:rtl/>
          <w:lang w:bidi="fa-IR"/>
        </w:rPr>
        <w:t>الكتاب</w:t>
      </w:r>
      <w:r w:rsidRPr="00904FCB">
        <w:rPr>
          <w:color w:val="auto"/>
          <w:rtl/>
          <w:lang w:bidi="fa-IR"/>
        </w:rPr>
        <w:t xml:space="preserve"> الكريم </w:t>
      </w:r>
    </w:p>
    <w:p w:rsidR="00644408" w:rsidRPr="00904FCB" w:rsidRDefault="00644408" w:rsidP="00387F84">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وهو القرآن</w:t>
      </w:r>
      <w:r w:rsidR="00F12385" w:rsidRPr="00904FCB">
        <w:rPr>
          <w:rFonts w:ascii="Tahoma" w:hAnsi="Tahoma" w:hint="cs"/>
          <w:sz w:val="27"/>
          <w:rtl/>
          <w:lang w:bidi="fa-IR"/>
        </w:rPr>
        <w:t>،</w:t>
      </w:r>
      <w:r w:rsidRPr="00904FCB">
        <w:rPr>
          <w:rFonts w:ascii="Tahoma" w:hAnsi="Tahoma"/>
          <w:sz w:val="27"/>
          <w:rtl/>
          <w:lang w:bidi="fa-IR"/>
        </w:rPr>
        <w:t xml:space="preserve"> فإنّه الأصل في التشريع الإسلامي، وهو الحج</w:t>
      </w:r>
      <w:r w:rsidR="00F12385" w:rsidRPr="00904FCB">
        <w:rPr>
          <w:rFonts w:ascii="Tahoma" w:hAnsi="Tahoma" w:hint="cs"/>
          <w:sz w:val="27"/>
          <w:rtl/>
          <w:lang w:bidi="fa-IR"/>
        </w:rPr>
        <w:t>ّ</w:t>
      </w:r>
      <w:r w:rsidRPr="00904FCB">
        <w:rPr>
          <w:rFonts w:ascii="Tahoma" w:hAnsi="Tahoma"/>
          <w:sz w:val="27"/>
          <w:rtl/>
          <w:lang w:bidi="fa-IR"/>
        </w:rPr>
        <w:t>ة الكبرى والمرجع الأو</w:t>
      </w:r>
      <w:r w:rsidR="00F12385" w:rsidRPr="00904FCB">
        <w:rPr>
          <w:rFonts w:ascii="Tahoma" w:hAnsi="Tahoma" w:hint="cs"/>
          <w:sz w:val="27"/>
          <w:rtl/>
          <w:lang w:bidi="fa-IR"/>
        </w:rPr>
        <w:t>ّ</w:t>
      </w:r>
      <w:r w:rsidRPr="00904FCB">
        <w:rPr>
          <w:rFonts w:ascii="Tahoma" w:hAnsi="Tahoma"/>
          <w:sz w:val="27"/>
          <w:rtl/>
          <w:lang w:bidi="fa-IR"/>
        </w:rPr>
        <w:t>ل. وم</w:t>
      </w:r>
      <w:r w:rsidR="00F12385" w:rsidRPr="00904FCB">
        <w:rPr>
          <w:rFonts w:ascii="Tahoma" w:hAnsi="Tahoma" w:hint="cs"/>
          <w:sz w:val="27"/>
          <w:rtl/>
          <w:lang w:bidi="fa-IR"/>
        </w:rPr>
        <w:t>َ</w:t>
      </w:r>
      <w:r w:rsidRPr="00904FCB">
        <w:rPr>
          <w:rFonts w:ascii="Tahoma" w:hAnsi="Tahoma"/>
          <w:sz w:val="27"/>
          <w:rtl/>
          <w:lang w:bidi="fa-IR"/>
        </w:rPr>
        <w:t>ن</w:t>
      </w:r>
      <w:r w:rsidR="00F12385" w:rsidRPr="00904FCB">
        <w:rPr>
          <w:rFonts w:ascii="Tahoma" w:hAnsi="Tahoma" w:hint="cs"/>
          <w:sz w:val="27"/>
          <w:rtl/>
          <w:lang w:bidi="fa-IR"/>
        </w:rPr>
        <w:t>ْ</w:t>
      </w:r>
      <w:r w:rsidRPr="00904FCB">
        <w:rPr>
          <w:rFonts w:ascii="Tahoma" w:hAnsi="Tahoma"/>
          <w:sz w:val="27"/>
          <w:rtl/>
          <w:lang w:bidi="fa-IR"/>
        </w:rPr>
        <w:t xml:space="preserve"> يستقرئ نصوص التشريع القرآني يتبين له مدى مراعاته لمصالح العباد في مختلف جوانبها</w:t>
      </w:r>
      <w:r w:rsidR="00F12385" w:rsidRPr="00904FCB">
        <w:rPr>
          <w:rFonts w:ascii="Tahoma" w:hAnsi="Tahoma" w:hint="cs"/>
          <w:sz w:val="27"/>
          <w:rtl/>
          <w:lang w:bidi="fa-IR"/>
        </w:rPr>
        <w:t>،</w:t>
      </w:r>
      <w:r w:rsidRPr="00904FCB">
        <w:rPr>
          <w:rFonts w:ascii="Tahoma" w:hAnsi="Tahoma"/>
          <w:sz w:val="27"/>
          <w:rtl/>
          <w:lang w:bidi="fa-IR"/>
        </w:rPr>
        <w:t xml:space="preserve"> فوضع الأحكام الأساسية والمبادئ العامة دون تفريع أو تفصيل، حت</w:t>
      </w:r>
      <w:r w:rsidR="00F12385" w:rsidRPr="00904FCB">
        <w:rPr>
          <w:rFonts w:ascii="Tahoma" w:hAnsi="Tahoma" w:hint="cs"/>
          <w:sz w:val="27"/>
          <w:rtl/>
          <w:lang w:bidi="fa-IR"/>
        </w:rPr>
        <w:t>ّ</w:t>
      </w:r>
      <w:r w:rsidRPr="00904FCB">
        <w:rPr>
          <w:rFonts w:ascii="Tahoma" w:hAnsi="Tahoma"/>
          <w:sz w:val="27"/>
          <w:rtl/>
          <w:lang w:bidi="fa-IR"/>
        </w:rPr>
        <w:t>ى يكون في مقدور العلماء ـ في كل</w:t>
      </w:r>
      <w:r w:rsidR="00F12385" w:rsidRPr="00904FCB">
        <w:rPr>
          <w:rFonts w:ascii="Tahoma" w:hAnsi="Tahoma" w:hint="cs"/>
          <w:sz w:val="27"/>
          <w:rtl/>
          <w:lang w:bidi="fa-IR"/>
        </w:rPr>
        <w:t>ّ</w:t>
      </w:r>
      <w:r w:rsidRPr="00904FCB">
        <w:rPr>
          <w:rFonts w:ascii="Tahoma" w:hAnsi="Tahoma"/>
          <w:sz w:val="27"/>
          <w:rtl/>
          <w:lang w:bidi="fa-IR"/>
        </w:rPr>
        <w:t xml:space="preserve"> عصر</w:t>
      </w:r>
      <w:r w:rsidR="00F12385" w:rsidRPr="00904FCB">
        <w:rPr>
          <w:rFonts w:ascii="Tahoma" w:hAnsi="Tahoma" w:hint="cs"/>
          <w:sz w:val="27"/>
          <w:rtl/>
          <w:lang w:bidi="fa-IR"/>
        </w:rPr>
        <w:t>ٍ</w:t>
      </w:r>
      <w:r w:rsidRPr="00904FCB">
        <w:rPr>
          <w:rFonts w:ascii="Tahoma" w:hAnsi="Tahoma"/>
          <w:sz w:val="27"/>
          <w:rtl/>
          <w:lang w:bidi="fa-IR"/>
        </w:rPr>
        <w:t xml:space="preserve"> وفي كل</w:t>
      </w:r>
      <w:r w:rsidR="00F12385" w:rsidRPr="00904FCB">
        <w:rPr>
          <w:rFonts w:ascii="Tahoma" w:hAnsi="Tahoma" w:hint="cs"/>
          <w:sz w:val="27"/>
          <w:rtl/>
          <w:lang w:bidi="fa-IR"/>
        </w:rPr>
        <w:t>ّ</w:t>
      </w:r>
      <w:r w:rsidRPr="00904FCB">
        <w:rPr>
          <w:rFonts w:ascii="Tahoma" w:hAnsi="Tahoma"/>
          <w:sz w:val="27"/>
          <w:rtl/>
          <w:lang w:bidi="fa-IR"/>
        </w:rPr>
        <w:t xml:space="preserve"> مصر</w:t>
      </w:r>
      <w:r w:rsidR="00F12385" w:rsidRPr="00904FCB">
        <w:rPr>
          <w:rFonts w:ascii="Tahoma" w:hAnsi="Tahoma" w:hint="cs"/>
          <w:sz w:val="27"/>
          <w:rtl/>
          <w:lang w:bidi="fa-IR"/>
        </w:rPr>
        <w:t>ٍ</w:t>
      </w:r>
      <w:r w:rsidRPr="00904FCB">
        <w:rPr>
          <w:rFonts w:ascii="Tahoma" w:hAnsi="Tahoma"/>
          <w:sz w:val="27"/>
          <w:rtl/>
          <w:lang w:bidi="fa-IR"/>
        </w:rPr>
        <w:t xml:space="preserve"> ـ أن يضعوا من الفروع والتفصيلات ما يتلاءم مع ظروف مجتمعاتهم</w:t>
      </w:r>
      <w:r w:rsidR="00F12385" w:rsidRPr="00904FCB">
        <w:rPr>
          <w:rFonts w:ascii="Tahoma" w:hAnsi="Tahoma" w:hint="cs"/>
          <w:sz w:val="27"/>
          <w:rtl/>
          <w:lang w:bidi="fa-IR"/>
        </w:rPr>
        <w:t>،</w:t>
      </w:r>
      <w:r w:rsidRPr="00904FCB">
        <w:rPr>
          <w:rFonts w:ascii="Tahoma" w:hAnsi="Tahoma"/>
          <w:sz w:val="27"/>
          <w:rtl/>
          <w:lang w:bidi="fa-IR"/>
        </w:rPr>
        <w:t xml:space="preserve"> ويحقق مصالح أممهم. </w:t>
      </w:r>
    </w:p>
    <w:p w:rsidR="00F12385" w:rsidRPr="00904FCB" w:rsidRDefault="00644408" w:rsidP="00062936">
      <w:pPr>
        <w:autoSpaceDE w:val="0"/>
        <w:autoSpaceDN w:val="0"/>
        <w:adjustRightInd w:val="0"/>
        <w:spacing w:line="410" w:lineRule="exact"/>
        <w:rPr>
          <w:rFonts w:ascii="Tahoma" w:hAnsi="Tahoma"/>
          <w:sz w:val="27"/>
          <w:rtl/>
          <w:lang w:bidi="fa-IR"/>
        </w:rPr>
      </w:pPr>
      <w:r w:rsidRPr="00904FCB">
        <w:rPr>
          <w:rFonts w:ascii="Tahoma" w:hAnsi="Tahoma"/>
          <w:sz w:val="27"/>
          <w:rtl/>
          <w:lang w:bidi="fa-IR"/>
        </w:rPr>
        <w:t>و</w:t>
      </w:r>
      <w:r w:rsidR="00F12385" w:rsidRPr="00904FCB">
        <w:rPr>
          <w:rFonts w:ascii="Tahoma" w:hAnsi="Tahoma" w:hint="cs"/>
          <w:sz w:val="27"/>
          <w:rtl/>
          <w:lang w:bidi="fa-IR"/>
        </w:rPr>
        <w:t xml:space="preserve">في </w:t>
      </w:r>
      <w:r w:rsidRPr="00904FCB">
        <w:rPr>
          <w:rFonts w:ascii="Tahoma" w:hAnsi="Tahoma"/>
          <w:sz w:val="27"/>
          <w:rtl/>
          <w:lang w:bidi="fa-IR"/>
        </w:rPr>
        <w:t>القرآن آيات</w:t>
      </w:r>
      <w:r w:rsidR="00F12385" w:rsidRPr="00904FCB">
        <w:rPr>
          <w:rFonts w:ascii="Tahoma" w:hAnsi="Tahoma" w:hint="cs"/>
          <w:sz w:val="27"/>
          <w:rtl/>
          <w:lang w:bidi="fa-IR"/>
        </w:rPr>
        <w:t>ٌ</w:t>
      </w:r>
      <w:r w:rsidRPr="00904FCB">
        <w:rPr>
          <w:rFonts w:ascii="Tahoma" w:hAnsi="Tahoma"/>
          <w:sz w:val="27"/>
          <w:rtl/>
          <w:lang w:bidi="fa-IR"/>
        </w:rPr>
        <w:t xml:space="preserve"> كثيرة نص</w:t>
      </w:r>
      <w:r w:rsidR="00F12385" w:rsidRPr="00904FCB">
        <w:rPr>
          <w:rFonts w:ascii="Tahoma" w:hAnsi="Tahoma" w:hint="cs"/>
          <w:sz w:val="27"/>
          <w:rtl/>
          <w:lang w:bidi="fa-IR"/>
        </w:rPr>
        <w:t>َّ</w:t>
      </w:r>
      <w:r w:rsidRPr="00904FCB">
        <w:rPr>
          <w:rFonts w:ascii="Tahoma" w:hAnsi="Tahoma"/>
          <w:sz w:val="27"/>
          <w:rtl/>
          <w:lang w:bidi="fa-IR"/>
        </w:rPr>
        <w:t>ت</w:t>
      </w:r>
      <w:r w:rsidR="00F12385" w:rsidRPr="00904FCB">
        <w:rPr>
          <w:rFonts w:ascii="Tahoma" w:hAnsi="Tahoma" w:hint="cs"/>
          <w:sz w:val="27"/>
          <w:rtl/>
          <w:lang w:bidi="fa-IR"/>
        </w:rPr>
        <w:t>ْ</w:t>
      </w:r>
      <w:r w:rsidRPr="00904FCB">
        <w:rPr>
          <w:rFonts w:ascii="Tahoma" w:hAnsi="Tahoma"/>
          <w:sz w:val="27"/>
          <w:rtl/>
          <w:lang w:bidi="fa-IR"/>
        </w:rPr>
        <w:t xml:space="preserve"> على اعتبار مصالح العباد في تشريع الأحكام </w:t>
      </w:r>
      <w:r w:rsidR="00F12385" w:rsidRPr="00904FCB">
        <w:rPr>
          <w:rFonts w:ascii="Tahoma" w:hAnsi="Tahoma" w:hint="cs"/>
          <w:sz w:val="27"/>
          <w:rtl/>
          <w:lang w:bidi="fa-IR"/>
        </w:rPr>
        <w:t>إجمالاً وتفصيلاً</w:t>
      </w:r>
      <w:r w:rsidR="00F12385" w:rsidRPr="00904FCB">
        <w:rPr>
          <w:rFonts w:ascii="Tahoma" w:hAnsi="Tahoma"/>
          <w:sz w:val="27"/>
          <w:rtl/>
          <w:lang w:bidi="fa-IR"/>
        </w:rPr>
        <w:t>.</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sz w:val="27"/>
          <w:rtl/>
          <w:lang w:bidi="fa-IR"/>
        </w:rPr>
        <w:t>أما إجمال</w:t>
      </w:r>
      <w:r w:rsidR="00F12385" w:rsidRPr="00904FCB">
        <w:rPr>
          <w:rFonts w:ascii="Tahoma" w:hAnsi="Tahoma" w:hint="cs"/>
          <w:sz w:val="27"/>
          <w:rtl/>
          <w:lang w:bidi="fa-IR"/>
        </w:rPr>
        <w:t>اً</w:t>
      </w:r>
      <w:r w:rsidRPr="00904FCB">
        <w:rPr>
          <w:rFonts w:ascii="Tahoma" w:hAnsi="Tahoma"/>
          <w:sz w:val="27"/>
          <w:rtl/>
          <w:lang w:bidi="fa-IR"/>
        </w:rPr>
        <w:t xml:space="preserve"> فالآيات كثيرة</w:t>
      </w:r>
      <w:r w:rsidR="00F12385" w:rsidRPr="00904FCB">
        <w:rPr>
          <w:rFonts w:ascii="Tahoma" w:hAnsi="Tahoma" w:hint="cs"/>
          <w:sz w:val="27"/>
          <w:rtl/>
          <w:lang w:bidi="fa-IR"/>
        </w:rPr>
        <w:t>ٌ،</w:t>
      </w:r>
      <w:r w:rsidRPr="00904FCB">
        <w:rPr>
          <w:rFonts w:ascii="Tahoma" w:hAnsi="Tahoma"/>
          <w:sz w:val="27"/>
          <w:rtl/>
          <w:lang w:bidi="fa-IR"/>
        </w:rPr>
        <w:t xml:space="preserve"> </w:t>
      </w:r>
      <w:r w:rsidR="00F12385" w:rsidRPr="00904FCB">
        <w:rPr>
          <w:rFonts w:ascii="Tahoma" w:hAnsi="Tahoma" w:hint="cs"/>
          <w:sz w:val="27"/>
          <w:rtl/>
          <w:lang w:bidi="fa-IR"/>
        </w:rPr>
        <w:t>و</w:t>
      </w:r>
      <w:r w:rsidRPr="00904FCB">
        <w:rPr>
          <w:rFonts w:ascii="Tahoma" w:hAnsi="Tahoma"/>
          <w:sz w:val="27"/>
          <w:rtl/>
          <w:lang w:bidi="fa-IR"/>
        </w:rPr>
        <w:t>منها</w:t>
      </w:r>
      <w:r w:rsidR="00F12385" w:rsidRPr="00904FCB">
        <w:rPr>
          <w:rFonts w:ascii="Tahoma" w:hAnsi="Tahoma" w:hint="cs"/>
          <w:sz w:val="27"/>
          <w:rtl/>
          <w:lang w:bidi="fa-IR"/>
        </w:rPr>
        <w:t>:</w:t>
      </w:r>
      <w:r w:rsidRPr="00904FCB">
        <w:rPr>
          <w:rFonts w:ascii="Tahoma" w:hAnsi="Tahoma"/>
          <w:sz w:val="27"/>
          <w:rtl/>
          <w:lang w:bidi="fa-IR"/>
        </w:rPr>
        <w:t xml:space="preserve"> قوله تعالى في تعليل رسالة محمد</w:t>
      </w:r>
      <w:r w:rsidR="00635E51" w:rsidRPr="00904FCB">
        <w:rPr>
          <w:rFonts w:ascii="Tahoma" w:hAnsi="Tahoma" w:cs="Mosawi"/>
          <w:sz w:val="27"/>
          <w:szCs w:val="22"/>
          <w:rtl/>
          <w:lang w:bidi="fa-IR"/>
        </w:rPr>
        <w:t>|</w:t>
      </w:r>
      <w:r w:rsidRPr="00904FCB">
        <w:rPr>
          <w:rFonts w:ascii="Tahoma" w:hAnsi="Tahoma"/>
          <w:sz w:val="27"/>
          <w:rtl/>
          <w:lang w:bidi="fa-IR"/>
        </w:rPr>
        <w:t xml:space="preserve">: </w:t>
      </w:r>
      <w:r w:rsidRPr="00904FCB">
        <w:rPr>
          <w:rFonts w:ascii="Mosawi" w:hAnsi="Mosawi" w:cs="Mosawi"/>
          <w:sz w:val="24"/>
          <w:szCs w:val="24"/>
          <w:rtl/>
        </w:rPr>
        <w:t>﴿</w:t>
      </w:r>
      <w:r w:rsidRPr="00904FCB">
        <w:rPr>
          <w:rFonts w:ascii="Tahoma" w:hAnsi="Tahoma"/>
          <w:b/>
          <w:bCs/>
          <w:sz w:val="27"/>
          <w:rtl/>
          <w:lang w:bidi="fa-IR"/>
        </w:rPr>
        <w:t xml:space="preserve">وَمَا </w:t>
      </w:r>
      <w:r w:rsidR="00F12385" w:rsidRPr="00904FCB">
        <w:rPr>
          <w:rFonts w:ascii="Tahoma" w:hAnsi="Tahoma"/>
          <w:b/>
          <w:bCs/>
          <w:sz w:val="27"/>
          <w:rtl/>
          <w:lang w:bidi="fa-IR"/>
        </w:rPr>
        <w:t>أَرْسَلْنَاكَ إِلاَّ رَحْمَةً ل</w:t>
      </w:r>
      <w:r w:rsidR="00F12385" w:rsidRPr="00904FCB">
        <w:rPr>
          <w:rFonts w:ascii="Tahoma" w:hAnsi="Tahoma" w:hint="cs"/>
          <w:b/>
          <w:bCs/>
          <w:sz w:val="27"/>
          <w:rtl/>
          <w:lang w:bidi="fa-IR"/>
        </w:rPr>
        <w:t>ِ</w:t>
      </w:r>
      <w:r w:rsidRPr="00904FCB">
        <w:rPr>
          <w:rFonts w:ascii="Tahoma" w:hAnsi="Tahoma"/>
          <w:b/>
          <w:bCs/>
          <w:sz w:val="27"/>
          <w:rtl/>
          <w:lang w:bidi="fa-IR"/>
        </w:rPr>
        <w:t>لْعَالَمِينَ</w:t>
      </w:r>
      <w:r w:rsidRPr="00904FCB">
        <w:rPr>
          <w:rFonts w:ascii="Mosawi" w:hAnsi="Mosawi" w:cs="Mosawi"/>
          <w:sz w:val="24"/>
          <w:szCs w:val="24"/>
          <w:rtl/>
        </w:rPr>
        <w:t>﴾</w:t>
      </w:r>
      <w:r w:rsidRPr="00904FCB">
        <w:rPr>
          <w:rFonts w:ascii="Tahoma" w:hAnsi="Tahoma"/>
          <w:sz w:val="27"/>
          <w:rtl/>
          <w:lang w:bidi="fa-IR"/>
        </w:rPr>
        <w:t xml:space="preserve"> (الأنبياء: </w:t>
      </w:r>
      <w:r w:rsidRPr="002C04DA">
        <w:rPr>
          <w:rFonts w:ascii="Tahoma" w:hAnsi="Tahoma" w:hint="cs"/>
          <w:sz w:val="27"/>
          <w:rtl/>
          <w:lang w:bidi="ar-LB"/>
        </w:rPr>
        <w:t>107</w:t>
      </w:r>
      <w:r w:rsidRPr="00904FCB">
        <w:rPr>
          <w:rFonts w:ascii="Tahoma" w:hAnsi="Tahoma"/>
          <w:sz w:val="27"/>
          <w:rtl/>
          <w:lang w:bidi="fa-IR"/>
        </w:rPr>
        <w:t>)</w:t>
      </w:r>
      <w:r w:rsidR="00F12385" w:rsidRPr="00904FCB">
        <w:rPr>
          <w:rFonts w:ascii="Tahoma" w:hAnsi="Tahoma" w:hint="cs"/>
          <w:sz w:val="27"/>
          <w:rtl/>
          <w:lang w:bidi="fa-IR"/>
        </w:rPr>
        <w:t>.</w:t>
      </w:r>
      <w:r w:rsidRPr="00904FCB">
        <w:rPr>
          <w:rFonts w:ascii="Tahoma" w:hAnsi="Tahoma"/>
          <w:sz w:val="27"/>
          <w:rtl/>
          <w:lang w:bidi="fa-IR"/>
        </w:rPr>
        <w:t xml:space="preserve"> فالمصلحة من إرسال الرسل بالأديان هي الرحمة بالعالمين. </w:t>
      </w:r>
    </w:p>
    <w:p w:rsidR="00644408" w:rsidRPr="00904FCB" w:rsidRDefault="00644408" w:rsidP="00387F84">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 xml:space="preserve">أما </w:t>
      </w:r>
      <w:r w:rsidR="00F12385" w:rsidRPr="00904FCB">
        <w:rPr>
          <w:rFonts w:ascii="Tahoma" w:hAnsi="Tahoma" w:hint="cs"/>
          <w:sz w:val="27"/>
          <w:rtl/>
          <w:lang w:bidi="fa-IR"/>
        </w:rPr>
        <w:t>تفصيلاً</w:t>
      </w:r>
      <w:r w:rsidRPr="00904FCB">
        <w:rPr>
          <w:rFonts w:ascii="Tahoma" w:hAnsi="Tahoma"/>
          <w:sz w:val="27"/>
          <w:rtl/>
          <w:lang w:bidi="fa-IR"/>
        </w:rPr>
        <w:t xml:space="preserve"> فقد وردت آيات</w:t>
      </w:r>
      <w:r w:rsidR="00F12385" w:rsidRPr="00904FCB">
        <w:rPr>
          <w:rFonts w:ascii="Tahoma" w:hAnsi="Tahoma" w:hint="cs"/>
          <w:sz w:val="27"/>
          <w:rtl/>
          <w:lang w:bidi="fa-IR"/>
        </w:rPr>
        <w:t>ٌ</w:t>
      </w:r>
      <w:r w:rsidRPr="00904FCB">
        <w:rPr>
          <w:rFonts w:ascii="Tahoma" w:hAnsi="Tahoma"/>
          <w:sz w:val="27"/>
          <w:rtl/>
          <w:lang w:bidi="fa-IR"/>
        </w:rPr>
        <w:t xml:space="preserve"> لتعليل أحكام جزئية بمراعاة المصلحة في هذه التشريعات</w:t>
      </w:r>
      <w:r w:rsidR="00F12385" w:rsidRPr="00904FCB">
        <w:rPr>
          <w:rFonts w:ascii="Tahoma" w:hAnsi="Tahoma" w:hint="cs"/>
          <w:sz w:val="27"/>
          <w:rtl/>
          <w:lang w:bidi="fa-IR"/>
        </w:rPr>
        <w:t>،</w:t>
      </w:r>
      <w:r w:rsidRPr="00904FCB">
        <w:rPr>
          <w:rFonts w:ascii="Tahoma" w:hAnsi="Tahoma"/>
          <w:sz w:val="27"/>
          <w:rtl/>
          <w:lang w:bidi="fa-IR"/>
        </w:rPr>
        <w:t xml:space="preserve"> </w:t>
      </w:r>
      <w:r w:rsidR="00F12385" w:rsidRPr="00904FCB">
        <w:rPr>
          <w:rFonts w:ascii="Tahoma" w:hAnsi="Tahoma" w:hint="cs"/>
          <w:sz w:val="27"/>
          <w:rtl/>
          <w:lang w:bidi="fa-IR"/>
        </w:rPr>
        <w:t>و</w:t>
      </w:r>
      <w:r w:rsidRPr="00904FCB">
        <w:rPr>
          <w:rFonts w:ascii="Tahoma" w:hAnsi="Tahoma"/>
          <w:sz w:val="27"/>
          <w:rtl/>
          <w:lang w:bidi="fa-IR"/>
        </w:rPr>
        <w:t>منها</w:t>
      </w:r>
      <w:r w:rsidR="00F12385" w:rsidRPr="00904FCB">
        <w:rPr>
          <w:rFonts w:ascii="Tahoma" w:hAnsi="Tahoma" w:hint="cs"/>
          <w:sz w:val="27"/>
          <w:rtl/>
          <w:lang w:bidi="fa-IR"/>
        </w:rPr>
        <w:t>:</w:t>
      </w:r>
      <w:r w:rsidRPr="00904FCB">
        <w:rPr>
          <w:rFonts w:ascii="Tahoma" w:hAnsi="Tahoma"/>
          <w:sz w:val="27"/>
          <w:rtl/>
          <w:lang w:bidi="fa-IR"/>
        </w:rPr>
        <w:t xml:space="preserve"> قوله تعالى في القصاص: </w:t>
      </w:r>
      <w:r w:rsidRPr="00904FCB">
        <w:rPr>
          <w:rFonts w:ascii="Mosawi" w:hAnsi="Mosawi" w:cs="Mosawi"/>
          <w:sz w:val="24"/>
          <w:szCs w:val="24"/>
          <w:rtl/>
        </w:rPr>
        <w:t>﴿</w:t>
      </w:r>
      <w:r w:rsidRPr="00904FCB">
        <w:rPr>
          <w:rFonts w:ascii="Tahoma" w:hAnsi="Tahoma"/>
          <w:b/>
          <w:bCs/>
          <w:sz w:val="27"/>
          <w:rtl/>
          <w:lang w:bidi="fa-IR"/>
        </w:rPr>
        <w:t>وَلَكُمْ فِي الْقِصَاصِ حَيَاةٌ</w:t>
      </w:r>
      <w:r w:rsidRPr="00904FCB">
        <w:rPr>
          <w:rFonts w:ascii="Mosawi" w:hAnsi="Mosawi" w:cs="Mosawi"/>
          <w:sz w:val="24"/>
          <w:szCs w:val="24"/>
          <w:rtl/>
        </w:rPr>
        <w:t>﴾</w:t>
      </w:r>
      <w:r w:rsidRPr="00904FCB">
        <w:rPr>
          <w:rFonts w:ascii="Tahoma" w:hAnsi="Tahoma"/>
          <w:sz w:val="27"/>
          <w:rtl/>
          <w:lang w:bidi="fa-IR"/>
        </w:rPr>
        <w:t xml:space="preserve"> (البقرة: </w:t>
      </w:r>
      <w:r w:rsidRPr="002C04DA">
        <w:rPr>
          <w:rFonts w:ascii="Tahoma" w:hAnsi="Tahoma" w:hint="cs"/>
          <w:sz w:val="27"/>
          <w:rtl/>
          <w:lang w:bidi="ar-LB"/>
        </w:rPr>
        <w:t>179</w:t>
      </w:r>
      <w:r w:rsidRPr="00904FCB">
        <w:rPr>
          <w:rFonts w:ascii="Tahoma" w:hAnsi="Tahoma"/>
          <w:sz w:val="27"/>
          <w:rtl/>
          <w:lang w:bidi="fa-IR"/>
        </w:rPr>
        <w:t>)</w:t>
      </w:r>
      <w:r w:rsidR="00F12385" w:rsidRPr="00904FCB">
        <w:rPr>
          <w:rFonts w:ascii="Tahoma" w:hAnsi="Tahoma" w:hint="cs"/>
          <w:sz w:val="27"/>
          <w:rtl/>
          <w:lang w:bidi="fa-IR"/>
        </w:rPr>
        <w:t>.</w:t>
      </w:r>
      <w:r w:rsidRPr="00904FCB">
        <w:rPr>
          <w:rFonts w:ascii="Tahoma" w:hAnsi="Tahoma"/>
          <w:sz w:val="27"/>
          <w:rtl/>
          <w:lang w:bidi="fa-IR"/>
        </w:rPr>
        <w:t xml:space="preserve"> فقد أبان أن مصلحة العباد في القصاص</w:t>
      </w:r>
      <w:r w:rsidR="00F12385" w:rsidRPr="00904FCB">
        <w:rPr>
          <w:rFonts w:ascii="Tahoma" w:hAnsi="Tahoma" w:hint="cs"/>
          <w:sz w:val="27"/>
          <w:rtl/>
          <w:lang w:bidi="fa-IR"/>
        </w:rPr>
        <w:t>،</w:t>
      </w:r>
      <w:r w:rsidRPr="00904FCB">
        <w:rPr>
          <w:rFonts w:ascii="Tahoma" w:hAnsi="Tahoma"/>
          <w:sz w:val="27"/>
          <w:rtl/>
          <w:lang w:bidi="fa-IR"/>
        </w:rPr>
        <w:t xml:space="preserve"> وهي العل</w:t>
      </w:r>
      <w:r w:rsidR="00F12385" w:rsidRPr="00904FCB">
        <w:rPr>
          <w:rFonts w:ascii="Tahoma" w:hAnsi="Tahoma" w:hint="cs"/>
          <w:sz w:val="27"/>
          <w:rtl/>
          <w:lang w:bidi="fa-IR"/>
        </w:rPr>
        <w:t>ّ</w:t>
      </w:r>
      <w:r w:rsidRPr="00904FCB">
        <w:rPr>
          <w:rFonts w:ascii="Tahoma" w:hAnsi="Tahoma"/>
          <w:sz w:val="27"/>
          <w:rtl/>
          <w:lang w:bidi="fa-IR"/>
        </w:rPr>
        <w:t xml:space="preserve">ة التي بسببها أمر به. </w:t>
      </w:r>
    </w:p>
    <w:p w:rsidR="00644408" w:rsidRPr="00904FCB" w:rsidRDefault="00644408" w:rsidP="00387F84">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وفي كثير</w:t>
      </w:r>
      <w:r w:rsidR="00F12385" w:rsidRPr="00904FCB">
        <w:rPr>
          <w:rFonts w:ascii="Tahoma" w:hAnsi="Tahoma" w:hint="cs"/>
          <w:sz w:val="27"/>
          <w:rtl/>
          <w:lang w:bidi="fa-IR"/>
        </w:rPr>
        <w:t>ٍ</w:t>
      </w:r>
      <w:r w:rsidRPr="00904FCB">
        <w:rPr>
          <w:rFonts w:ascii="Tahoma" w:hAnsi="Tahoma"/>
          <w:sz w:val="27"/>
          <w:rtl/>
          <w:lang w:bidi="fa-IR"/>
        </w:rPr>
        <w:t xml:space="preserve"> من المواضع يأمر القرآن بالشيء مبي</w:t>
      </w:r>
      <w:r w:rsidR="00F12385" w:rsidRPr="00904FCB">
        <w:rPr>
          <w:rFonts w:ascii="Tahoma" w:hAnsi="Tahoma" w:hint="cs"/>
          <w:sz w:val="27"/>
          <w:rtl/>
          <w:lang w:bidi="fa-IR"/>
        </w:rPr>
        <w:t>ِّ</w:t>
      </w:r>
      <w:r w:rsidRPr="00904FCB">
        <w:rPr>
          <w:rFonts w:ascii="Tahoma" w:hAnsi="Tahoma"/>
          <w:sz w:val="27"/>
          <w:rtl/>
          <w:lang w:bidi="fa-IR"/>
        </w:rPr>
        <w:t>ناً مصالحه، أو يحر</w:t>
      </w:r>
      <w:r w:rsidR="00F12385" w:rsidRPr="00904FCB">
        <w:rPr>
          <w:rFonts w:ascii="Tahoma" w:hAnsi="Tahoma" w:hint="cs"/>
          <w:sz w:val="27"/>
          <w:rtl/>
          <w:lang w:bidi="fa-IR"/>
        </w:rPr>
        <w:t>ِّ</w:t>
      </w:r>
      <w:r w:rsidRPr="00904FCB">
        <w:rPr>
          <w:rFonts w:ascii="Tahoma" w:hAnsi="Tahoma"/>
          <w:sz w:val="27"/>
          <w:rtl/>
          <w:lang w:bidi="fa-IR"/>
        </w:rPr>
        <w:t>م الشيء مبي</w:t>
      </w:r>
      <w:r w:rsidR="00F12385" w:rsidRPr="00904FCB">
        <w:rPr>
          <w:rFonts w:ascii="Tahoma" w:hAnsi="Tahoma" w:hint="cs"/>
          <w:sz w:val="27"/>
          <w:rtl/>
          <w:lang w:bidi="fa-IR"/>
        </w:rPr>
        <w:t>ِّ</w:t>
      </w:r>
      <w:r w:rsidRPr="00904FCB">
        <w:rPr>
          <w:rFonts w:ascii="Tahoma" w:hAnsi="Tahoma"/>
          <w:sz w:val="27"/>
          <w:rtl/>
          <w:lang w:bidi="fa-IR"/>
        </w:rPr>
        <w:t>ناً مفاسده المترت</w:t>
      </w:r>
      <w:r w:rsidR="00F12385" w:rsidRPr="00904FCB">
        <w:rPr>
          <w:rFonts w:ascii="Tahoma" w:hAnsi="Tahoma" w:hint="cs"/>
          <w:sz w:val="27"/>
          <w:rtl/>
          <w:lang w:bidi="fa-IR"/>
        </w:rPr>
        <w:t>ِّ</w:t>
      </w:r>
      <w:r w:rsidRPr="00904FCB">
        <w:rPr>
          <w:rFonts w:ascii="Tahoma" w:hAnsi="Tahoma"/>
          <w:sz w:val="27"/>
          <w:rtl/>
          <w:lang w:bidi="fa-IR"/>
        </w:rPr>
        <w:t>بة على فعله</w:t>
      </w:r>
      <w:r w:rsidR="00F12385" w:rsidRPr="00904FCB">
        <w:rPr>
          <w:rFonts w:ascii="Tahoma" w:hAnsi="Tahoma" w:hint="cs"/>
          <w:sz w:val="27"/>
          <w:rtl/>
          <w:lang w:bidi="fa-IR"/>
        </w:rPr>
        <w:t>،</w:t>
      </w:r>
      <w:r w:rsidRPr="00904FCB">
        <w:rPr>
          <w:rFonts w:ascii="Tahoma" w:hAnsi="Tahoma"/>
          <w:sz w:val="27"/>
          <w:rtl/>
          <w:lang w:bidi="fa-IR"/>
        </w:rPr>
        <w:t xml:space="preserve"> كقوله تعالى: </w:t>
      </w:r>
      <w:r w:rsidRPr="00904FCB">
        <w:rPr>
          <w:rFonts w:ascii="Mosawi" w:hAnsi="Mosawi" w:cs="Mosawi"/>
          <w:sz w:val="24"/>
          <w:szCs w:val="24"/>
          <w:rtl/>
        </w:rPr>
        <w:t>﴿</w:t>
      </w:r>
      <w:r w:rsidR="00F12385" w:rsidRPr="00904FCB">
        <w:rPr>
          <w:rFonts w:ascii="Tahoma" w:hAnsi="Tahoma"/>
          <w:b/>
          <w:bCs/>
          <w:sz w:val="27"/>
          <w:rtl/>
          <w:lang w:bidi="fa-IR"/>
        </w:rPr>
        <w:t>وَلاَ تَسُبُّوا</w:t>
      </w:r>
      <w:r w:rsidRPr="00904FCB">
        <w:rPr>
          <w:rFonts w:ascii="Tahoma" w:hAnsi="Tahoma"/>
          <w:b/>
          <w:bCs/>
          <w:sz w:val="27"/>
          <w:rtl/>
          <w:lang w:bidi="fa-IR"/>
        </w:rPr>
        <w:t xml:space="preserve"> ال</w:t>
      </w:r>
      <w:r w:rsidR="00F12385" w:rsidRPr="00904FCB">
        <w:rPr>
          <w:rFonts w:ascii="Tahoma" w:hAnsi="Tahoma"/>
          <w:b/>
          <w:bCs/>
          <w:sz w:val="27"/>
          <w:rtl/>
          <w:lang w:bidi="fa-IR"/>
        </w:rPr>
        <w:t>َّذِينَ يَدْعُونَ مِن دُونِ اللهِ فَيَسُبُّوا اللهَ عَدْو</w:t>
      </w:r>
      <w:r w:rsidRPr="00904FCB">
        <w:rPr>
          <w:rFonts w:ascii="Tahoma" w:hAnsi="Tahoma"/>
          <w:b/>
          <w:bCs/>
          <w:sz w:val="27"/>
          <w:rtl/>
          <w:lang w:bidi="fa-IR"/>
        </w:rPr>
        <w:t>ا</w:t>
      </w:r>
      <w:r w:rsidR="00F12385" w:rsidRPr="00904FCB">
        <w:rPr>
          <w:rFonts w:ascii="Tahoma" w:hAnsi="Tahoma" w:hint="cs"/>
          <w:b/>
          <w:bCs/>
          <w:sz w:val="27"/>
          <w:rtl/>
          <w:lang w:bidi="fa-IR"/>
        </w:rPr>
        <w:t>ً</w:t>
      </w:r>
      <w:r w:rsidRPr="00904FCB">
        <w:rPr>
          <w:rFonts w:ascii="Tahoma" w:hAnsi="Tahoma"/>
          <w:b/>
          <w:bCs/>
          <w:sz w:val="27"/>
          <w:rtl/>
          <w:lang w:bidi="fa-IR"/>
        </w:rPr>
        <w:t xml:space="preserve"> بِغَيْرِ عِلْمٍ</w:t>
      </w:r>
      <w:r w:rsidRPr="00904FCB">
        <w:rPr>
          <w:rFonts w:ascii="Mosawi" w:hAnsi="Mosawi" w:cs="Mosawi"/>
          <w:sz w:val="24"/>
          <w:szCs w:val="24"/>
          <w:rtl/>
        </w:rPr>
        <w:t>﴾</w:t>
      </w:r>
      <w:r w:rsidRPr="00904FCB">
        <w:rPr>
          <w:rFonts w:ascii="Tahoma" w:hAnsi="Tahoma"/>
          <w:sz w:val="27"/>
          <w:rtl/>
          <w:lang w:bidi="fa-IR"/>
        </w:rPr>
        <w:t xml:space="preserve"> (الأنعام: </w:t>
      </w:r>
      <w:r w:rsidRPr="002C04DA">
        <w:rPr>
          <w:rFonts w:ascii="Tahoma" w:hAnsi="Tahoma" w:hint="cs"/>
          <w:sz w:val="27"/>
          <w:rtl/>
          <w:lang w:bidi="ar-LB"/>
        </w:rPr>
        <w:t>108</w:t>
      </w:r>
      <w:r w:rsidRPr="00904FCB">
        <w:rPr>
          <w:rFonts w:ascii="Tahoma" w:hAnsi="Tahoma"/>
          <w:sz w:val="27"/>
          <w:rtl/>
          <w:lang w:bidi="fa-IR"/>
        </w:rPr>
        <w:t xml:space="preserve">). </w:t>
      </w:r>
    </w:p>
    <w:p w:rsidR="00644408" w:rsidRPr="00904FCB" w:rsidRDefault="00644408" w:rsidP="00387F84">
      <w:pPr>
        <w:autoSpaceDE w:val="0"/>
        <w:autoSpaceDN w:val="0"/>
        <w:adjustRightInd w:val="0"/>
        <w:spacing w:line="420" w:lineRule="exact"/>
        <w:ind w:firstLine="561"/>
        <w:rPr>
          <w:rFonts w:ascii="Tahoma" w:hAnsi="Tahoma"/>
          <w:sz w:val="27"/>
          <w:rtl/>
          <w:lang w:bidi="fa-IR"/>
        </w:rPr>
      </w:pPr>
      <w:r w:rsidRPr="00904FCB">
        <w:rPr>
          <w:rFonts w:ascii="Tahoma" w:hAnsi="Tahoma"/>
          <w:sz w:val="27"/>
          <w:rtl/>
          <w:lang w:bidi="fa-IR"/>
        </w:rPr>
        <w:t>وما هذه إلاّ بعض الآيات التي ذكر فيها التشريع برعاية مصالح العباد</w:t>
      </w:r>
      <w:r w:rsidR="00C840F4" w:rsidRPr="00904FCB">
        <w:rPr>
          <w:rFonts w:ascii="Tahoma" w:hAnsi="Tahoma" w:hint="cs"/>
          <w:sz w:val="27"/>
          <w:rtl/>
          <w:lang w:bidi="fa-IR"/>
        </w:rPr>
        <w:t>.</w:t>
      </w:r>
      <w:r w:rsidRPr="00904FCB">
        <w:rPr>
          <w:rFonts w:ascii="Tahoma" w:hAnsi="Tahoma"/>
          <w:sz w:val="27"/>
          <w:rtl/>
          <w:lang w:bidi="fa-IR"/>
        </w:rPr>
        <w:t xml:space="preserve"> والمستقرئ لنصوص الكتاب يجد من الآيات ما لا حصر له، </w:t>
      </w:r>
      <w:r w:rsidR="00C840F4" w:rsidRPr="00904FCB">
        <w:rPr>
          <w:rFonts w:ascii="Tahoma" w:hAnsi="Tahoma" w:hint="cs"/>
          <w:sz w:val="27"/>
          <w:rtl/>
          <w:lang w:bidi="fa-IR"/>
        </w:rPr>
        <w:t>و</w:t>
      </w:r>
      <w:r w:rsidRPr="00904FCB">
        <w:rPr>
          <w:rFonts w:ascii="Tahoma" w:hAnsi="Tahoma"/>
          <w:sz w:val="27"/>
          <w:rtl/>
          <w:lang w:bidi="fa-IR"/>
        </w:rPr>
        <w:t>تتحد</w:t>
      </w:r>
      <w:r w:rsidR="00C840F4" w:rsidRPr="00904FCB">
        <w:rPr>
          <w:rFonts w:ascii="Tahoma" w:hAnsi="Tahoma" w:hint="cs"/>
          <w:sz w:val="27"/>
          <w:rtl/>
          <w:lang w:bidi="fa-IR"/>
        </w:rPr>
        <w:t>َّ</w:t>
      </w:r>
      <w:r w:rsidRPr="00904FCB">
        <w:rPr>
          <w:rFonts w:ascii="Tahoma" w:hAnsi="Tahoma"/>
          <w:sz w:val="27"/>
          <w:rtl/>
          <w:lang w:bidi="fa-IR"/>
        </w:rPr>
        <w:t>ث كل</w:t>
      </w:r>
      <w:r w:rsidR="00C840F4" w:rsidRPr="00904FCB">
        <w:rPr>
          <w:rFonts w:ascii="Tahoma" w:hAnsi="Tahoma" w:hint="cs"/>
          <w:sz w:val="27"/>
          <w:rtl/>
          <w:lang w:bidi="fa-IR"/>
        </w:rPr>
        <w:t>ّ</w:t>
      </w:r>
      <w:r w:rsidRPr="00904FCB">
        <w:rPr>
          <w:rFonts w:ascii="Tahoma" w:hAnsi="Tahoma"/>
          <w:sz w:val="27"/>
          <w:rtl/>
          <w:lang w:bidi="fa-IR"/>
        </w:rPr>
        <w:t>ها عن تعلي</w:t>
      </w:r>
      <w:r w:rsidR="00C840F4" w:rsidRPr="00904FCB">
        <w:rPr>
          <w:rFonts w:ascii="Tahoma" w:hAnsi="Tahoma"/>
          <w:sz w:val="27"/>
          <w:rtl/>
          <w:lang w:bidi="fa-IR"/>
        </w:rPr>
        <w:t>ل الأحكام الشرعية برعاية المصال</w:t>
      </w:r>
      <w:r w:rsidR="00C840F4" w:rsidRPr="00904FCB">
        <w:rPr>
          <w:rFonts w:ascii="Tahoma" w:hAnsi="Tahoma" w:hint="cs"/>
          <w:sz w:val="27"/>
          <w:rtl/>
          <w:lang w:bidi="fa-IR"/>
        </w:rPr>
        <w:t>ح</w:t>
      </w:r>
      <w:r w:rsidRPr="00904FCB">
        <w:rPr>
          <w:rFonts w:hint="cs"/>
          <w:sz w:val="27"/>
          <w:vertAlign w:val="superscript"/>
          <w:rtl/>
        </w:rPr>
        <w:t>(</w:t>
      </w:r>
      <w:r w:rsidRPr="00904FCB">
        <w:rPr>
          <w:rStyle w:val="ac"/>
          <w:sz w:val="27"/>
          <w:rtl/>
        </w:rPr>
        <w:endnoteReference w:id="251"/>
      </w:r>
      <w:r w:rsidRPr="00904FCB">
        <w:rPr>
          <w:rFonts w:hint="cs"/>
          <w:sz w:val="27"/>
          <w:vertAlign w:val="superscript"/>
          <w:rtl/>
        </w:rPr>
        <w:t>)</w:t>
      </w:r>
      <w:r w:rsidR="00C840F4" w:rsidRPr="00904FCB">
        <w:rPr>
          <w:rFonts w:ascii="Tahoma" w:hAnsi="Tahoma" w:hint="cs"/>
          <w:sz w:val="27"/>
          <w:rtl/>
          <w:lang w:bidi="fa-IR"/>
        </w:rPr>
        <w:t>،</w:t>
      </w:r>
      <w:r w:rsidRPr="00904FCB">
        <w:rPr>
          <w:rFonts w:ascii="Tahoma" w:hAnsi="Tahoma" w:hint="cs"/>
          <w:sz w:val="27"/>
          <w:rtl/>
          <w:lang w:bidi="fa-IR"/>
        </w:rPr>
        <w:t xml:space="preserve"> </w:t>
      </w:r>
      <w:r w:rsidRPr="00904FCB">
        <w:rPr>
          <w:rFonts w:ascii="Tahoma" w:hAnsi="Tahoma"/>
          <w:sz w:val="27"/>
          <w:rtl/>
          <w:lang w:bidi="fa-IR"/>
        </w:rPr>
        <w:t>مم</w:t>
      </w:r>
      <w:r w:rsidR="00C840F4" w:rsidRPr="00904FCB">
        <w:rPr>
          <w:rFonts w:ascii="Tahoma" w:hAnsi="Tahoma" w:hint="cs"/>
          <w:sz w:val="27"/>
          <w:rtl/>
          <w:lang w:bidi="fa-IR"/>
        </w:rPr>
        <w:t>ّ</w:t>
      </w:r>
      <w:r w:rsidRPr="00904FCB">
        <w:rPr>
          <w:rFonts w:ascii="Tahoma" w:hAnsi="Tahoma"/>
          <w:sz w:val="27"/>
          <w:rtl/>
          <w:lang w:bidi="fa-IR"/>
        </w:rPr>
        <w:t>ا يؤك</w:t>
      </w:r>
      <w:r w:rsidR="00C840F4" w:rsidRPr="00904FCB">
        <w:rPr>
          <w:rFonts w:ascii="Tahoma" w:hAnsi="Tahoma" w:hint="cs"/>
          <w:sz w:val="27"/>
          <w:rtl/>
          <w:lang w:bidi="fa-IR"/>
        </w:rPr>
        <w:t>ِّ</w:t>
      </w:r>
      <w:r w:rsidRPr="00904FCB">
        <w:rPr>
          <w:rFonts w:ascii="Tahoma" w:hAnsi="Tahoma"/>
          <w:sz w:val="27"/>
          <w:rtl/>
          <w:lang w:bidi="fa-IR"/>
        </w:rPr>
        <w:t>د أن غاية الشارع هو رعاية مصالح العباد، ود</w:t>
      </w:r>
      <w:r w:rsidR="00C840F4" w:rsidRPr="00904FCB">
        <w:rPr>
          <w:rFonts w:ascii="Tahoma" w:hAnsi="Tahoma" w:hint="cs"/>
          <w:sz w:val="27"/>
          <w:rtl/>
          <w:lang w:bidi="fa-IR"/>
        </w:rPr>
        <w:t>َ</w:t>
      </w:r>
      <w:r w:rsidRPr="00904FCB">
        <w:rPr>
          <w:rFonts w:ascii="Tahoma" w:hAnsi="Tahoma"/>
          <w:sz w:val="27"/>
          <w:rtl/>
          <w:lang w:bidi="fa-IR"/>
        </w:rPr>
        <w:t>ر</w:t>
      </w:r>
      <w:r w:rsidR="00C840F4" w:rsidRPr="00904FCB">
        <w:rPr>
          <w:rFonts w:ascii="Tahoma" w:hAnsi="Tahoma" w:hint="cs"/>
          <w:sz w:val="27"/>
          <w:rtl/>
          <w:lang w:bidi="fa-IR"/>
        </w:rPr>
        <w:t>ْ</w:t>
      </w:r>
      <w:r w:rsidRPr="00904FCB">
        <w:rPr>
          <w:rFonts w:ascii="Tahoma" w:hAnsi="Tahoma"/>
          <w:sz w:val="27"/>
          <w:rtl/>
          <w:lang w:bidi="fa-IR"/>
        </w:rPr>
        <w:t>ء المفاسد عنهم</w:t>
      </w:r>
      <w:r w:rsidR="00C840F4" w:rsidRPr="00904FCB">
        <w:rPr>
          <w:rFonts w:ascii="Tahoma" w:hAnsi="Tahoma" w:hint="cs"/>
          <w:sz w:val="27"/>
          <w:rtl/>
          <w:lang w:bidi="fa-IR"/>
        </w:rPr>
        <w:t>.</w:t>
      </w:r>
      <w:r w:rsidRPr="00904FCB">
        <w:rPr>
          <w:rFonts w:ascii="Tahoma" w:hAnsi="Tahoma"/>
          <w:sz w:val="27"/>
          <w:rtl/>
          <w:lang w:bidi="fa-IR"/>
        </w:rPr>
        <w:t xml:space="preserve"> وفي هذا توجيه</w:t>
      </w:r>
      <w:r w:rsidR="00C840F4" w:rsidRPr="00904FCB">
        <w:rPr>
          <w:rFonts w:ascii="Tahoma" w:hAnsi="Tahoma" w:hint="cs"/>
          <w:sz w:val="27"/>
          <w:rtl/>
          <w:lang w:bidi="fa-IR"/>
        </w:rPr>
        <w:t>ٌ</w:t>
      </w:r>
      <w:r w:rsidRPr="00904FCB">
        <w:rPr>
          <w:rFonts w:ascii="Tahoma" w:hAnsi="Tahoma"/>
          <w:sz w:val="27"/>
          <w:rtl/>
          <w:lang w:bidi="fa-IR"/>
        </w:rPr>
        <w:t xml:space="preserve"> إلى أن أحكام الشرع تدور مع مصالح العباد، وعلى الفقهاء عند الإفتاء أن يراع</w:t>
      </w:r>
      <w:r w:rsidR="00C840F4" w:rsidRPr="00904FCB">
        <w:rPr>
          <w:rFonts w:ascii="Tahoma" w:hAnsi="Tahoma" w:hint="cs"/>
          <w:sz w:val="27"/>
          <w:rtl/>
          <w:lang w:bidi="fa-IR"/>
        </w:rPr>
        <w:t>ُ</w:t>
      </w:r>
      <w:r w:rsidRPr="00904FCB">
        <w:rPr>
          <w:rFonts w:ascii="Tahoma" w:hAnsi="Tahoma"/>
          <w:sz w:val="27"/>
          <w:rtl/>
          <w:lang w:bidi="fa-IR"/>
        </w:rPr>
        <w:t xml:space="preserve">وا هذه الغاية. </w:t>
      </w:r>
    </w:p>
    <w:p w:rsidR="00644408" w:rsidRPr="00904FCB" w:rsidRDefault="00644408" w:rsidP="007A21AA">
      <w:pPr>
        <w:pStyle w:val="31"/>
        <w:spacing w:line="400" w:lineRule="exact"/>
        <w:rPr>
          <w:color w:val="auto"/>
          <w:lang w:bidi="fa-IR"/>
        </w:rPr>
      </w:pPr>
      <w:r w:rsidRPr="002C04DA">
        <w:rPr>
          <w:rFonts w:hint="cs"/>
          <w:color w:val="auto"/>
          <w:rtl/>
          <w:lang w:bidi="ar-LB"/>
        </w:rPr>
        <w:lastRenderedPageBreak/>
        <w:t xml:space="preserve">2ـ </w:t>
      </w:r>
      <w:r w:rsidRPr="002C04DA">
        <w:rPr>
          <w:color w:val="auto"/>
          <w:rtl/>
          <w:lang w:bidi="fa-IR"/>
        </w:rPr>
        <w:t>السنّة</w:t>
      </w:r>
      <w:r w:rsidRPr="00904FCB">
        <w:rPr>
          <w:color w:val="auto"/>
          <w:rtl/>
          <w:lang w:bidi="fa-IR"/>
        </w:rPr>
        <w:t xml:space="preserve"> النبوية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والسُّنَّة تلي الكتاب في مصدري</w:t>
      </w:r>
      <w:r w:rsidR="00C840F4" w:rsidRPr="00904FCB">
        <w:rPr>
          <w:rFonts w:ascii="Tahoma" w:hAnsi="Tahoma" w:hint="cs"/>
          <w:sz w:val="27"/>
          <w:rtl/>
          <w:lang w:bidi="fa-IR"/>
        </w:rPr>
        <w:t>ّ</w:t>
      </w:r>
      <w:r w:rsidRPr="00904FCB">
        <w:rPr>
          <w:rFonts w:ascii="Tahoma" w:hAnsi="Tahoma"/>
          <w:sz w:val="27"/>
          <w:rtl/>
          <w:lang w:bidi="fa-IR"/>
        </w:rPr>
        <w:t>ة التشريع. وما ورد فيها من أحكام لا يعدو أن يكون واحداً من ثلاثة: إما أن يكون مقر</w:t>
      </w:r>
      <w:r w:rsidR="00C840F4" w:rsidRPr="00904FCB">
        <w:rPr>
          <w:rFonts w:ascii="Tahoma" w:hAnsi="Tahoma" w:hint="cs"/>
          <w:sz w:val="27"/>
          <w:rtl/>
          <w:lang w:bidi="fa-IR"/>
        </w:rPr>
        <w:t>ِّ</w:t>
      </w:r>
      <w:r w:rsidRPr="00904FCB">
        <w:rPr>
          <w:rFonts w:ascii="Tahoma" w:hAnsi="Tahoma"/>
          <w:sz w:val="27"/>
          <w:rtl/>
          <w:lang w:bidi="fa-IR"/>
        </w:rPr>
        <w:t>راً لحكم</w:t>
      </w:r>
      <w:r w:rsidR="00C840F4" w:rsidRPr="00904FCB">
        <w:rPr>
          <w:rFonts w:ascii="Tahoma" w:hAnsi="Tahoma" w:hint="cs"/>
          <w:sz w:val="27"/>
          <w:rtl/>
          <w:lang w:bidi="fa-IR"/>
        </w:rPr>
        <w:t>ٍ</w:t>
      </w:r>
      <w:r w:rsidRPr="00904FCB">
        <w:rPr>
          <w:rFonts w:ascii="Tahoma" w:hAnsi="Tahoma"/>
          <w:sz w:val="27"/>
          <w:rtl/>
          <w:lang w:bidi="fa-IR"/>
        </w:rPr>
        <w:t xml:space="preserve"> شر</w:t>
      </w:r>
      <w:r w:rsidR="00C840F4" w:rsidRPr="00904FCB">
        <w:rPr>
          <w:rFonts w:ascii="Tahoma" w:hAnsi="Tahoma" w:hint="cs"/>
          <w:sz w:val="27"/>
          <w:rtl/>
          <w:lang w:bidi="fa-IR"/>
        </w:rPr>
        <w:t>َّ</w:t>
      </w:r>
      <w:r w:rsidRPr="00904FCB">
        <w:rPr>
          <w:rFonts w:ascii="Tahoma" w:hAnsi="Tahoma"/>
          <w:sz w:val="27"/>
          <w:rtl/>
          <w:lang w:bidi="fa-IR"/>
        </w:rPr>
        <w:t>عه القرآن</w:t>
      </w:r>
      <w:r w:rsidR="00C840F4" w:rsidRPr="00904FCB">
        <w:rPr>
          <w:rFonts w:ascii="Tahoma" w:hAnsi="Tahoma" w:hint="cs"/>
          <w:sz w:val="27"/>
          <w:rtl/>
          <w:lang w:bidi="fa-IR"/>
        </w:rPr>
        <w:t>؛</w:t>
      </w:r>
      <w:r w:rsidRPr="00904FCB">
        <w:rPr>
          <w:rFonts w:ascii="Tahoma" w:hAnsi="Tahoma"/>
          <w:sz w:val="27"/>
          <w:rtl/>
          <w:lang w:bidi="fa-IR"/>
        </w:rPr>
        <w:t xml:space="preserve"> أو مفس</w:t>
      </w:r>
      <w:r w:rsidR="00C840F4" w:rsidRPr="00904FCB">
        <w:rPr>
          <w:rFonts w:ascii="Tahoma" w:hAnsi="Tahoma" w:hint="cs"/>
          <w:sz w:val="27"/>
          <w:rtl/>
          <w:lang w:bidi="fa-IR"/>
        </w:rPr>
        <w:t>ِّ</w:t>
      </w:r>
      <w:r w:rsidRPr="00904FCB">
        <w:rPr>
          <w:rFonts w:ascii="Tahoma" w:hAnsi="Tahoma"/>
          <w:sz w:val="27"/>
          <w:rtl/>
          <w:lang w:bidi="fa-IR"/>
        </w:rPr>
        <w:t>راً له</w:t>
      </w:r>
      <w:r w:rsidR="00C840F4" w:rsidRPr="00904FCB">
        <w:rPr>
          <w:rFonts w:ascii="Tahoma" w:hAnsi="Tahoma" w:hint="cs"/>
          <w:sz w:val="27"/>
          <w:rtl/>
          <w:lang w:bidi="fa-IR"/>
        </w:rPr>
        <w:t>؛</w:t>
      </w:r>
      <w:r w:rsidRPr="00904FCB">
        <w:rPr>
          <w:rFonts w:ascii="Tahoma" w:hAnsi="Tahoma"/>
          <w:sz w:val="27"/>
          <w:rtl/>
          <w:lang w:bidi="fa-IR"/>
        </w:rPr>
        <w:t xml:space="preserve"> أو منش</w:t>
      </w:r>
      <w:r w:rsidR="00C840F4" w:rsidRPr="00904FCB">
        <w:rPr>
          <w:rFonts w:ascii="Tahoma" w:hAnsi="Tahoma" w:hint="cs"/>
          <w:sz w:val="27"/>
          <w:rtl/>
          <w:lang w:bidi="fa-IR"/>
        </w:rPr>
        <w:t>أً</w:t>
      </w:r>
      <w:r w:rsidRPr="00904FCB">
        <w:rPr>
          <w:rFonts w:ascii="Tahoma" w:hAnsi="Tahoma"/>
          <w:sz w:val="27"/>
          <w:rtl/>
          <w:lang w:bidi="fa-IR"/>
        </w:rPr>
        <w:t xml:space="preserve"> لحكم</w:t>
      </w:r>
      <w:r w:rsidR="00C840F4" w:rsidRPr="00904FCB">
        <w:rPr>
          <w:rFonts w:ascii="Tahoma" w:hAnsi="Tahoma" w:hint="cs"/>
          <w:sz w:val="27"/>
          <w:rtl/>
          <w:lang w:bidi="fa-IR"/>
        </w:rPr>
        <w:t>ٍ</w:t>
      </w:r>
      <w:r w:rsidRPr="00904FCB">
        <w:rPr>
          <w:rFonts w:ascii="Tahoma" w:hAnsi="Tahoma"/>
          <w:sz w:val="27"/>
          <w:rtl/>
          <w:lang w:bidi="fa-IR"/>
        </w:rPr>
        <w:t xml:space="preserve"> سكت القرآن عن تشريعه.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فأمّا ما سنّ</w:t>
      </w:r>
      <w:r w:rsidR="00C840F4" w:rsidRPr="00904FCB">
        <w:rPr>
          <w:rFonts w:ascii="Tahoma" w:hAnsi="Tahoma" w:hint="cs"/>
          <w:sz w:val="27"/>
          <w:rtl/>
          <w:lang w:bidi="fa-IR"/>
        </w:rPr>
        <w:t>َّه</w:t>
      </w:r>
      <w:r w:rsidRPr="00904FCB">
        <w:rPr>
          <w:rFonts w:ascii="Tahoma" w:hAnsi="Tahoma"/>
          <w:sz w:val="27"/>
          <w:rtl/>
          <w:lang w:bidi="fa-IR"/>
        </w:rPr>
        <w:t xml:space="preserve"> الرسول</w:t>
      </w:r>
      <w:r w:rsidR="00635E51" w:rsidRPr="00904FCB">
        <w:rPr>
          <w:rFonts w:ascii="Tahoma" w:hAnsi="Tahoma" w:cs="Mosawi"/>
          <w:sz w:val="27"/>
          <w:szCs w:val="22"/>
          <w:rtl/>
          <w:lang w:bidi="fa-IR"/>
        </w:rPr>
        <w:t>|</w:t>
      </w:r>
      <w:r w:rsidRPr="00904FCB">
        <w:rPr>
          <w:rFonts w:ascii="Tahoma" w:hAnsi="Tahoma"/>
          <w:sz w:val="27"/>
          <w:rtl/>
          <w:lang w:bidi="fa-IR"/>
        </w:rPr>
        <w:t xml:space="preserve"> مم</w:t>
      </w:r>
      <w:r w:rsidR="00C840F4" w:rsidRPr="00904FCB">
        <w:rPr>
          <w:rFonts w:ascii="Tahoma" w:hAnsi="Tahoma" w:hint="cs"/>
          <w:sz w:val="27"/>
          <w:rtl/>
          <w:lang w:bidi="fa-IR"/>
        </w:rPr>
        <w:t>ّ</w:t>
      </w:r>
      <w:r w:rsidRPr="00904FCB">
        <w:rPr>
          <w:rFonts w:ascii="Tahoma" w:hAnsi="Tahoma"/>
          <w:sz w:val="27"/>
          <w:rtl/>
          <w:lang w:bidi="fa-IR"/>
        </w:rPr>
        <w:t>ا هو تقرير</w:t>
      </w:r>
      <w:r w:rsidR="00C840F4" w:rsidRPr="00904FCB">
        <w:rPr>
          <w:rFonts w:ascii="Tahoma" w:hAnsi="Tahoma" w:hint="cs"/>
          <w:sz w:val="27"/>
          <w:rtl/>
          <w:lang w:bidi="fa-IR"/>
        </w:rPr>
        <w:t>ٌ</w:t>
      </w:r>
      <w:r w:rsidRPr="00904FCB">
        <w:rPr>
          <w:rFonts w:ascii="Tahoma" w:hAnsi="Tahoma"/>
          <w:sz w:val="27"/>
          <w:rtl/>
          <w:lang w:bidi="fa-IR"/>
        </w:rPr>
        <w:t xml:space="preserve"> لما شرعه الله في القرآن فإنّه لايختلف عم</w:t>
      </w:r>
      <w:r w:rsidR="00C840F4" w:rsidRPr="00904FCB">
        <w:rPr>
          <w:rFonts w:ascii="Tahoma" w:hAnsi="Tahoma" w:hint="cs"/>
          <w:sz w:val="27"/>
          <w:rtl/>
          <w:lang w:bidi="fa-IR"/>
        </w:rPr>
        <w:t>ّ</w:t>
      </w:r>
      <w:r w:rsidRPr="00904FCB">
        <w:rPr>
          <w:rFonts w:ascii="Tahoma" w:hAnsi="Tahoma"/>
          <w:sz w:val="27"/>
          <w:rtl/>
          <w:lang w:bidi="fa-IR"/>
        </w:rPr>
        <w:t xml:space="preserve">ا شرعه الله في القرآن من حيث مراعاة مصالح العباد.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والنوعان الآخران</w:t>
      </w:r>
      <w:r w:rsidR="00C840F4" w:rsidRPr="00904FCB">
        <w:rPr>
          <w:rFonts w:ascii="Tahoma" w:hAnsi="Tahoma" w:hint="cs"/>
          <w:sz w:val="27"/>
          <w:rtl/>
          <w:lang w:bidi="fa-IR"/>
        </w:rPr>
        <w:t xml:space="preserve"> ـ</w:t>
      </w:r>
      <w:r w:rsidRPr="00904FCB">
        <w:rPr>
          <w:rFonts w:ascii="Tahoma" w:hAnsi="Tahoma"/>
          <w:sz w:val="27"/>
          <w:rtl/>
          <w:lang w:bidi="fa-IR"/>
        </w:rPr>
        <w:t xml:space="preserve"> وهما: المبي</w:t>
      </w:r>
      <w:r w:rsidR="00C840F4" w:rsidRPr="00904FCB">
        <w:rPr>
          <w:rFonts w:ascii="Tahoma" w:hAnsi="Tahoma" w:hint="cs"/>
          <w:sz w:val="27"/>
          <w:rtl/>
          <w:lang w:bidi="fa-IR"/>
        </w:rPr>
        <w:t>ِّ</w:t>
      </w:r>
      <w:r w:rsidRPr="00904FCB">
        <w:rPr>
          <w:rFonts w:ascii="Tahoma" w:hAnsi="Tahoma"/>
          <w:sz w:val="27"/>
          <w:rtl/>
          <w:lang w:bidi="fa-IR"/>
        </w:rPr>
        <w:t>ن للمراد من النص</w:t>
      </w:r>
      <w:r w:rsidR="00C840F4" w:rsidRPr="00904FCB">
        <w:rPr>
          <w:rFonts w:ascii="Tahoma" w:hAnsi="Tahoma" w:hint="cs"/>
          <w:sz w:val="27"/>
          <w:rtl/>
          <w:lang w:bidi="fa-IR"/>
        </w:rPr>
        <w:t>ّ</w:t>
      </w:r>
      <w:r w:rsidRPr="00904FCB">
        <w:rPr>
          <w:rFonts w:ascii="Tahoma" w:hAnsi="Tahoma"/>
          <w:sz w:val="27"/>
          <w:rtl/>
          <w:lang w:bidi="fa-IR"/>
        </w:rPr>
        <w:t xml:space="preserve"> القرآني</w:t>
      </w:r>
      <w:r w:rsidR="00C840F4" w:rsidRPr="00904FCB">
        <w:rPr>
          <w:rFonts w:ascii="Tahoma" w:hAnsi="Tahoma" w:hint="cs"/>
          <w:sz w:val="27"/>
          <w:rtl/>
          <w:lang w:bidi="fa-IR"/>
        </w:rPr>
        <w:t>؛</w:t>
      </w:r>
      <w:r w:rsidRPr="00904FCB">
        <w:rPr>
          <w:rFonts w:ascii="Tahoma" w:hAnsi="Tahoma"/>
          <w:sz w:val="27"/>
          <w:rtl/>
          <w:lang w:bidi="fa-IR"/>
        </w:rPr>
        <w:t xml:space="preserve"> أو الم</w:t>
      </w:r>
      <w:r w:rsidR="00C840F4" w:rsidRPr="00904FCB">
        <w:rPr>
          <w:rFonts w:ascii="Tahoma" w:hAnsi="Tahoma" w:hint="cs"/>
          <w:sz w:val="27"/>
          <w:rtl/>
          <w:lang w:bidi="fa-IR"/>
        </w:rPr>
        <w:t>ُ</w:t>
      </w:r>
      <w:r w:rsidRPr="00904FCB">
        <w:rPr>
          <w:rFonts w:ascii="Tahoma" w:hAnsi="Tahoma"/>
          <w:sz w:val="27"/>
          <w:rtl/>
          <w:lang w:bidi="fa-IR"/>
        </w:rPr>
        <w:t>ن</w:t>
      </w:r>
      <w:r w:rsidR="00C840F4" w:rsidRPr="00904FCB">
        <w:rPr>
          <w:rFonts w:ascii="Tahoma" w:hAnsi="Tahoma" w:hint="cs"/>
          <w:sz w:val="27"/>
          <w:rtl/>
          <w:lang w:bidi="fa-IR"/>
        </w:rPr>
        <w:t>ْ</w:t>
      </w:r>
      <w:r w:rsidRPr="00904FCB">
        <w:rPr>
          <w:rFonts w:ascii="Tahoma" w:hAnsi="Tahoma"/>
          <w:sz w:val="27"/>
          <w:rtl/>
          <w:lang w:bidi="fa-IR"/>
        </w:rPr>
        <w:t>ش</w:t>
      </w:r>
      <w:r w:rsidR="00C840F4" w:rsidRPr="00904FCB">
        <w:rPr>
          <w:rFonts w:ascii="Tahoma" w:hAnsi="Tahoma" w:hint="cs"/>
          <w:sz w:val="27"/>
          <w:rtl/>
          <w:lang w:bidi="fa-IR"/>
        </w:rPr>
        <w:t>ِ</w:t>
      </w:r>
      <w:r w:rsidRPr="00904FCB">
        <w:rPr>
          <w:rFonts w:ascii="Tahoma" w:hAnsi="Tahoma"/>
          <w:sz w:val="27"/>
          <w:rtl/>
          <w:lang w:bidi="fa-IR"/>
        </w:rPr>
        <w:t>ئ لحكم</w:t>
      </w:r>
      <w:r w:rsidR="00C840F4" w:rsidRPr="00904FCB">
        <w:rPr>
          <w:rFonts w:ascii="Tahoma" w:hAnsi="Tahoma" w:hint="cs"/>
          <w:sz w:val="27"/>
          <w:rtl/>
          <w:lang w:bidi="fa-IR"/>
        </w:rPr>
        <w:t>ٍ</w:t>
      </w:r>
      <w:r w:rsidRPr="00904FCB">
        <w:rPr>
          <w:rFonts w:ascii="Tahoma" w:hAnsi="Tahoma"/>
          <w:sz w:val="27"/>
          <w:rtl/>
          <w:lang w:bidi="fa-IR"/>
        </w:rPr>
        <w:t xml:space="preserve"> سكت عنه القرآن ـ فإمّا أن تدل القرينة القاط</w:t>
      </w:r>
      <w:r w:rsidR="00C840F4" w:rsidRPr="00904FCB">
        <w:rPr>
          <w:rFonts w:ascii="Tahoma" w:hAnsi="Tahoma"/>
          <w:sz w:val="27"/>
          <w:rtl/>
          <w:lang w:bidi="fa-IR"/>
        </w:rPr>
        <w:t>عة على أن الحكم الوارد بها مراع</w:t>
      </w:r>
      <w:r w:rsidR="00C840F4" w:rsidRPr="00904FCB">
        <w:rPr>
          <w:rFonts w:ascii="Tahoma" w:hAnsi="Tahoma" w:hint="cs"/>
          <w:sz w:val="27"/>
          <w:rtl/>
          <w:lang w:bidi="fa-IR"/>
        </w:rPr>
        <w:t>ٍ</w:t>
      </w:r>
      <w:r w:rsidRPr="00904FCB">
        <w:rPr>
          <w:rFonts w:ascii="Tahoma" w:hAnsi="Tahoma"/>
          <w:sz w:val="27"/>
          <w:rtl/>
          <w:lang w:bidi="fa-IR"/>
        </w:rPr>
        <w:t xml:space="preserve"> حال البيئة الخاص</w:t>
      </w:r>
      <w:r w:rsidR="00C840F4" w:rsidRPr="00904FCB">
        <w:rPr>
          <w:rFonts w:ascii="Tahoma" w:hAnsi="Tahoma" w:hint="cs"/>
          <w:sz w:val="27"/>
          <w:rtl/>
          <w:lang w:bidi="fa-IR"/>
        </w:rPr>
        <w:t>ّ</w:t>
      </w:r>
      <w:r w:rsidRPr="00904FCB">
        <w:rPr>
          <w:rFonts w:ascii="Tahoma" w:hAnsi="Tahoma"/>
          <w:sz w:val="27"/>
          <w:rtl/>
          <w:lang w:bidi="fa-IR"/>
        </w:rPr>
        <w:t>ة بزمن التطبيق، فيكون تطبيقاً أو تشريعاً زمنياً</w:t>
      </w:r>
      <w:r w:rsidR="00C840F4" w:rsidRPr="00904FCB">
        <w:rPr>
          <w:rFonts w:ascii="Tahoma" w:hAnsi="Tahoma" w:hint="cs"/>
          <w:sz w:val="27"/>
          <w:rtl/>
          <w:lang w:bidi="fa-IR"/>
        </w:rPr>
        <w:t>؛</w:t>
      </w:r>
      <w:r w:rsidRPr="00904FCB">
        <w:rPr>
          <w:rFonts w:ascii="Tahoma" w:hAnsi="Tahoma"/>
          <w:sz w:val="27"/>
          <w:rtl/>
          <w:lang w:bidi="fa-IR"/>
        </w:rPr>
        <w:t xml:space="preserve"> أو لا تقوم القرينة القاطعة على ذلك</w:t>
      </w:r>
      <w:r w:rsidR="00C840F4" w:rsidRPr="00904FCB">
        <w:rPr>
          <w:rFonts w:ascii="Tahoma" w:hAnsi="Tahoma" w:hint="cs"/>
          <w:sz w:val="27"/>
          <w:rtl/>
          <w:lang w:bidi="fa-IR"/>
        </w:rPr>
        <w:t>،</w:t>
      </w:r>
      <w:r w:rsidRPr="00904FCB">
        <w:rPr>
          <w:rFonts w:ascii="Tahoma" w:hAnsi="Tahoma"/>
          <w:sz w:val="27"/>
          <w:rtl/>
          <w:lang w:bidi="fa-IR"/>
        </w:rPr>
        <w:t xml:space="preserve"> فيكون تشريعاً عاماً.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وقد أشارت السُّنَّة إلى تعليل الأحكام برعاية المصالح</w:t>
      </w:r>
      <w:r w:rsidRPr="00904FCB">
        <w:rPr>
          <w:rFonts w:hint="cs"/>
          <w:sz w:val="27"/>
          <w:vertAlign w:val="superscript"/>
          <w:rtl/>
        </w:rPr>
        <w:t>(</w:t>
      </w:r>
      <w:r w:rsidRPr="00904FCB">
        <w:rPr>
          <w:rStyle w:val="ac"/>
          <w:sz w:val="27"/>
          <w:rtl/>
        </w:rPr>
        <w:endnoteReference w:id="252"/>
      </w:r>
      <w:r w:rsidRPr="00904FCB">
        <w:rPr>
          <w:rFonts w:hint="cs"/>
          <w:sz w:val="27"/>
          <w:vertAlign w:val="superscript"/>
          <w:rtl/>
        </w:rPr>
        <w:t>)</w:t>
      </w:r>
      <w:r w:rsidRPr="00904FCB">
        <w:rPr>
          <w:rFonts w:ascii="Tahoma" w:hAnsi="Tahoma"/>
          <w:sz w:val="27"/>
          <w:rtl/>
          <w:lang w:bidi="fa-IR"/>
        </w:rPr>
        <w:t>، ونص</w:t>
      </w:r>
      <w:r w:rsidR="00D27688" w:rsidRPr="00904FCB">
        <w:rPr>
          <w:rFonts w:ascii="Tahoma" w:hAnsi="Tahoma" w:hint="cs"/>
          <w:sz w:val="27"/>
          <w:rtl/>
          <w:lang w:bidi="fa-IR"/>
        </w:rPr>
        <w:t>َّ</w:t>
      </w:r>
      <w:r w:rsidRPr="00904FCB">
        <w:rPr>
          <w:rFonts w:ascii="Tahoma" w:hAnsi="Tahoma"/>
          <w:sz w:val="27"/>
          <w:rtl/>
          <w:lang w:bidi="fa-IR"/>
        </w:rPr>
        <w:t>ت</w:t>
      </w:r>
      <w:r w:rsidR="00D27688" w:rsidRPr="00904FCB">
        <w:rPr>
          <w:rFonts w:ascii="Tahoma" w:hAnsi="Tahoma" w:hint="cs"/>
          <w:sz w:val="27"/>
          <w:rtl/>
          <w:lang w:bidi="fa-IR"/>
        </w:rPr>
        <w:t>ْ</w:t>
      </w:r>
      <w:r w:rsidRPr="00904FCB">
        <w:rPr>
          <w:rFonts w:ascii="Tahoma" w:hAnsi="Tahoma"/>
          <w:sz w:val="27"/>
          <w:rtl/>
          <w:lang w:bidi="fa-IR"/>
        </w:rPr>
        <w:t xml:space="preserve"> على ذلك كثيراً، مم</w:t>
      </w:r>
      <w:r w:rsidR="00D27688" w:rsidRPr="00904FCB">
        <w:rPr>
          <w:rFonts w:ascii="Tahoma" w:hAnsi="Tahoma" w:hint="cs"/>
          <w:sz w:val="27"/>
          <w:rtl/>
          <w:lang w:bidi="fa-IR"/>
        </w:rPr>
        <w:t>ّ</w:t>
      </w:r>
      <w:r w:rsidRPr="00904FCB">
        <w:rPr>
          <w:rFonts w:ascii="Tahoma" w:hAnsi="Tahoma"/>
          <w:sz w:val="27"/>
          <w:rtl/>
          <w:lang w:bidi="fa-IR"/>
        </w:rPr>
        <w:t>ا يدل</w:t>
      </w:r>
      <w:r w:rsidR="00D27688" w:rsidRPr="00904FCB">
        <w:rPr>
          <w:rFonts w:ascii="Tahoma" w:hAnsi="Tahoma" w:hint="cs"/>
          <w:sz w:val="27"/>
          <w:rtl/>
          <w:lang w:bidi="fa-IR"/>
        </w:rPr>
        <w:t>ّ</w:t>
      </w:r>
      <w:r w:rsidRPr="00904FCB">
        <w:rPr>
          <w:rFonts w:ascii="Tahoma" w:hAnsi="Tahoma"/>
          <w:sz w:val="27"/>
          <w:rtl/>
          <w:lang w:bidi="fa-IR"/>
        </w:rPr>
        <w:t xml:space="preserve"> على ابتغاء الشريعة بمصدر</w:t>
      </w:r>
      <w:r w:rsidR="00D27688" w:rsidRPr="00904FCB">
        <w:rPr>
          <w:rFonts w:ascii="Tahoma" w:hAnsi="Tahoma" w:hint="cs"/>
          <w:sz w:val="27"/>
          <w:rtl/>
          <w:lang w:bidi="fa-IR"/>
        </w:rPr>
        <w:t>َ</w:t>
      </w:r>
      <w:r w:rsidRPr="00904FCB">
        <w:rPr>
          <w:rFonts w:ascii="Tahoma" w:hAnsi="Tahoma"/>
          <w:sz w:val="27"/>
          <w:rtl/>
          <w:lang w:bidi="fa-IR"/>
        </w:rPr>
        <w:t>ي</w:t>
      </w:r>
      <w:r w:rsidR="00D27688" w:rsidRPr="00904FCB">
        <w:rPr>
          <w:rFonts w:ascii="Tahoma" w:hAnsi="Tahoma" w:hint="cs"/>
          <w:sz w:val="27"/>
          <w:rtl/>
          <w:lang w:bidi="fa-IR"/>
        </w:rPr>
        <w:t>ْ</w:t>
      </w:r>
      <w:r w:rsidRPr="00904FCB">
        <w:rPr>
          <w:rFonts w:ascii="Tahoma" w:hAnsi="Tahoma"/>
          <w:sz w:val="27"/>
          <w:rtl/>
          <w:lang w:bidi="fa-IR"/>
        </w:rPr>
        <w:t>ها الأساسيين رعاية مصالح العباد</w:t>
      </w:r>
      <w:r w:rsidR="00D27688" w:rsidRPr="00904FCB">
        <w:rPr>
          <w:rFonts w:ascii="Tahoma" w:hAnsi="Tahoma" w:hint="cs"/>
          <w:sz w:val="27"/>
          <w:rtl/>
          <w:lang w:bidi="fa-IR"/>
        </w:rPr>
        <w:t>. و</w:t>
      </w:r>
      <w:r w:rsidRPr="00904FCB">
        <w:rPr>
          <w:rFonts w:ascii="Tahoma" w:hAnsi="Tahoma"/>
          <w:sz w:val="27"/>
          <w:rtl/>
          <w:lang w:bidi="fa-IR"/>
        </w:rPr>
        <w:t>هذان هما الأصلان العظيمان ـ القرآن والسُّنَّة ـ اللذان ب</w:t>
      </w:r>
      <w:r w:rsidR="00D27688" w:rsidRPr="00904FCB">
        <w:rPr>
          <w:rFonts w:ascii="Tahoma" w:hAnsi="Tahoma" w:hint="cs"/>
          <w:sz w:val="27"/>
          <w:rtl/>
          <w:lang w:bidi="fa-IR"/>
        </w:rPr>
        <w:t>ُ</w:t>
      </w:r>
      <w:r w:rsidRPr="00904FCB">
        <w:rPr>
          <w:rFonts w:ascii="Tahoma" w:hAnsi="Tahoma"/>
          <w:sz w:val="27"/>
          <w:rtl/>
          <w:lang w:bidi="fa-IR"/>
        </w:rPr>
        <w:t xml:space="preserve">ني عليهما التشريع الإسلامي.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ورعاية المصالح تتمث</w:t>
      </w:r>
      <w:r w:rsidR="00D27688" w:rsidRPr="00904FCB">
        <w:rPr>
          <w:rFonts w:ascii="Tahoma" w:hAnsi="Tahoma" w:hint="cs"/>
          <w:sz w:val="27"/>
          <w:rtl/>
          <w:lang w:bidi="fa-IR"/>
        </w:rPr>
        <w:t>َّ</w:t>
      </w:r>
      <w:r w:rsidRPr="00904FCB">
        <w:rPr>
          <w:rFonts w:ascii="Tahoma" w:hAnsi="Tahoma"/>
          <w:sz w:val="27"/>
          <w:rtl/>
          <w:lang w:bidi="fa-IR"/>
        </w:rPr>
        <w:t>ل في أفعال الس</w:t>
      </w:r>
      <w:r w:rsidR="00D27688" w:rsidRPr="00904FCB">
        <w:rPr>
          <w:rFonts w:ascii="Tahoma" w:hAnsi="Tahoma" w:hint="cs"/>
          <w:sz w:val="27"/>
          <w:rtl/>
          <w:lang w:bidi="fa-IR"/>
        </w:rPr>
        <w:t>َّ</w:t>
      </w:r>
      <w:r w:rsidRPr="00904FCB">
        <w:rPr>
          <w:rFonts w:ascii="Tahoma" w:hAnsi="Tahoma"/>
          <w:sz w:val="27"/>
          <w:rtl/>
          <w:lang w:bidi="fa-IR"/>
        </w:rPr>
        <w:t>ل</w:t>
      </w:r>
      <w:r w:rsidR="00D27688" w:rsidRPr="00904FCB">
        <w:rPr>
          <w:rFonts w:ascii="Tahoma" w:hAnsi="Tahoma" w:hint="cs"/>
          <w:sz w:val="27"/>
          <w:rtl/>
          <w:lang w:bidi="fa-IR"/>
        </w:rPr>
        <w:t>َ</w:t>
      </w:r>
      <w:r w:rsidRPr="00904FCB">
        <w:rPr>
          <w:rFonts w:ascii="Tahoma" w:hAnsi="Tahoma"/>
          <w:sz w:val="27"/>
          <w:rtl/>
          <w:lang w:bidi="fa-IR"/>
        </w:rPr>
        <w:t>ف الصالح</w:t>
      </w:r>
      <w:r w:rsidR="00D27688" w:rsidRPr="00904FCB">
        <w:rPr>
          <w:rFonts w:ascii="Tahoma" w:hAnsi="Tahoma" w:hint="cs"/>
          <w:sz w:val="27"/>
          <w:rtl/>
          <w:lang w:bidi="fa-IR"/>
        </w:rPr>
        <w:t>.</w:t>
      </w:r>
      <w:r w:rsidRPr="00904FCB">
        <w:rPr>
          <w:rFonts w:ascii="Tahoma" w:hAnsi="Tahoma"/>
          <w:sz w:val="27"/>
          <w:rtl/>
          <w:lang w:bidi="fa-IR"/>
        </w:rPr>
        <w:t xml:space="preserve"> ففي أعمالهم ما يؤك</w:t>
      </w:r>
      <w:r w:rsidR="00D27688" w:rsidRPr="00904FCB">
        <w:rPr>
          <w:rFonts w:ascii="Tahoma" w:hAnsi="Tahoma" w:hint="cs"/>
          <w:sz w:val="27"/>
          <w:rtl/>
          <w:lang w:bidi="fa-IR"/>
        </w:rPr>
        <w:t>ِّ</w:t>
      </w:r>
      <w:r w:rsidRPr="00904FCB">
        <w:rPr>
          <w:rFonts w:ascii="Tahoma" w:hAnsi="Tahoma"/>
          <w:sz w:val="27"/>
          <w:rtl/>
          <w:lang w:bidi="fa-IR"/>
        </w:rPr>
        <w:t>د على وضع مصالح الأم</w:t>
      </w:r>
      <w:r w:rsidR="00D27688" w:rsidRPr="00904FCB">
        <w:rPr>
          <w:rFonts w:ascii="Tahoma" w:hAnsi="Tahoma" w:hint="cs"/>
          <w:sz w:val="27"/>
          <w:rtl/>
          <w:lang w:bidi="fa-IR"/>
        </w:rPr>
        <w:t>ّ</w:t>
      </w:r>
      <w:r w:rsidRPr="00904FCB">
        <w:rPr>
          <w:rFonts w:ascii="Tahoma" w:hAnsi="Tahoma"/>
          <w:sz w:val="27"/>
          <w:rtl/>
          <w:lang w:bidi="fa-IR"/>
        </w:rPr>
        <w:t>ة ن</w:t>
      </w:r>
      <w:r w:rsidR="00D27688" w:rsidRPr="00904FCB">
        <w:rPr>
          <w:rFonts w:ascii="Tahoma" w:hAnsi="Tahoma" w:hint="cs"/>
          <w:sz w:val="27"/>
          <w:rtl/>
          <w:lang w:bidi="fa-IR"/>
        </w:rPr>
        <w:t>َ</w:t>
      </w:r>
      <w:r w:rsidRPr="00904FCB">
        <w:rPr>
          <w:rFonts w:ascii="Tahoma" w:hAnsi="Tahoma"/>
          <w:sz w:val="27"/>
          <w:rtl/>
          <w:lang w:bidi="fa-IR"/>
        </w:rPr>
        <w:t>ص</w:t>
      </w:r>
      <w:r w:rsidR="00D27688" w:rsidRPr="00904FCB">
        <w:rPr>
          <w:rFonts w:ascii="Tahoma" w:hAnsi="Tahoma" w:hint="cs"/>
          <w:sz w:val="27"/>
          <w:rtl/>
          <w:lang w:bidi="fa-IR"/>
        </w:rPr>
        <w:t>ْ</w:t>
      </w:r>
      <w:r w:rsidRPr="00904FCB">
        <w:rPr>
          <w:rFonts w:ascii="Tahoma" w:hAnsi="Tahoma"/>
          <w:sz w:val="27"/>
          <w:rtl/>
          <w:lang w:bidi="fa-IR"/>
        </w:rPr>
        <w:t>ب أعينهم في</w:t>
      </w:r>
      <w:r w:rsidR="00D27688" w:rsidRPr="00904FCB">
        <w:rPr>
          <w:rFonts w:ascii="Tahoma" w:hAnsi="Tahoma" w:hint="cs"/>
          <w:sz w:val="27"/>
          <w:rtl/>
          <w:lang w:bidi="fa-IR"/>
        </w:rPr>
        <w:t xml:space="preserve"> </w:t>
      </w:r>
      <w:r w:rsidRPr="00904FCB">
        <w:rPr>
          <w:rFonts w:ascii="Tahoma" w:hAnsi="Tahoma"/>
          <w:sz w:val="27"/>
          <w:rtl/>
          <w:lang w:bidi="fa-IR"/>
        </w:rPr>
        <w:t>ما ات</w:t>
      </w:r>
      <w:r w:rsidR="00D27688" w:rsidRPr="00904FCB">
        <w:rPr>
          <w:rFonts w:ascii="Tahoma" w:hAnsi="Tahoma" w:hint="cs"/>
          <w:sz w:val="27"/>
          <w:rtl/>
          <w:lang w:bidi="fa-IR"/>
        </w:rPr>
        <w:t>َّ</w:t>
      </w:r>
      <w:r w:rsidRPr="00904FCB">
        <w:rPr>
          <w:rFonts w:ascii="Tahoma" w:hAnsi="Tahoma"/>
          <w:sz w:val="27"/>
          <w:rtl/>
          <w:lang w:bidi="fa-IR"/>
        </w:rPr>
        <w:t>بعوه أو أمروا به</w:t>
      </w:r>
      <w:r w:rsidR="00D27688" w:rsidRPr="00904FCB">
        <w:rPr>
          <w:rFonts w:ascii="Tahoma" w:hAnsi="Tahoma" w:hint="cs"/>
          <w:sz w:val="27"/>
          <w:rtl/>
          <w:lang w:bidi="fa-IR"/>
        </w:rPr>
        <w:t>.</w:t>
      </w:r>
      <w:r w:rsidRPr="00904FCB">
        <w:rPr>
          <w:rFonts w:ascii="Tahoma" w:hAnsi="Tahoma"/>
          <w:sz w:val="27"/>
          <w:rtl/>
          <w:lang w:bidi="fa-IR"/>
        </w:rPr>
        <w:t xml:space="preserve"> ومن ذلك</w:t>
      </w:r>
      <w:r w:rsidR="00D27688" w:rsidRPr="00904FCB">
        <w:rPr>
          <w:rFonts w:ascii="Tahoma" w:hAnsi="Tahoma" w:hint="cs"/>
          <w:sz w:val="27"/>
          <w:rtl/>
          <w:lang w:bidi="fa-IR"/>
        </w:rPr>
        <w:t>:</w:t>
      </w:r>
      <w:r w:rsidRPr="00904FCB">
        <w:rPr>
          <w:rFonts w:ascii="Tahoma" w:hAnsi="Tahoma"/>
          <w:sz w:val="27"/>
          <w:rtl/>
          <w:lang w:bidi="fa-IR"/>
        </w:rPr>
        <w:t xml:space="preserve"> ما أمر به «أبو</w:t>
      </w:r>
      <w:r w:rsidRPr="00904FCB">
        <w:rPr>
          <w:rFonts w:ascii="Tahoma" w:hAnsi="Tahoma" w:hint="cs"/>
          <w:sz w:val="27"/>
          <w:rtl/>
          <w:lang w:bidi="fa-IR"/>
        </w:rPr>
        <w:t xml:space="preserve"> </w:t>
      </w:r>
      <w:r w:rsidR="00D27688" w:rsidRPr="00904FCB">
        <w:rPr>
          <w:rFonts w:ascii="Tahoma" w:hAnsi="Tahoma"/>
          <w:sz w:val="27"/>
          <w:rtl/>
          <w:lang w:bidi="fa-IR"/>
        </w:rPr>
        <w:t>بكر»</w:t>
      </w:r>
      <w:r w:rsidRPr="00904FCB">
        <w:rPr>
          <w:rFonts w:ascii="Tahoma" w:hAnsi="Tahoma"/>
          <w:sz w:val="27"/>
          <w:rtl/>
          <w:lang w:bidi="fa-IR"/>
        </w:rPr>
        <w:t>(رضي الله عنه) من جمع</w:t>
      </w:r>
      <w:r w:rsidR="003021BC" w:rsidRPr="00904FCB">
        <w:rPr>
          <w:rFonts w:ascii="Tahoma" w:hAnsi="Tahoma" w:hint="cs"/>
          <w:sz w:val="27"/>
          <w:rtl/>
          <w:lang w:bidi="fa-IR"/>
        </w:rPr>
        <w:t>ٍ</w:t>
      </w:r>
      <w:r w:rsidRPr="00904FCB">
        <w:rPr>
          <w:rFonts w:ascii="Tahoma" w:hAnsi="Tahoma"/>
          <w:sz w:val="27"/>
          <w:rtl/>
          <w:lang w:bidi="fa-IR"/>
        </w:rPr>
        <w:t xml:space="preserve"> للقرآن بعد موت كثير</w:t>
      </w:r>
      <w:r w:rsidR="003021BC" w:rsidRPr="00904FCB">
        <w:rPr>
          <w:rFonts w:ascii="Tahoma" w:hAnsi="Tahoma" w:hint="cs"/>
          <w:sz w:val="27"/>
          <w:rtl/>
          <w:lang w:bidi="fa-IR"/>
        </w:rPr>
        <w:t>ٍ</w:t>
      </w:r>
      <w:r w:rsidRPr="00904FCB">
        <w:rPr>
          <w:rFonts w:ascii="Tahoma" w:hAnsi="Tahoma"/>
          <w:sz w:val="27"/>
          <w:rtl/>
          <w:lang w:bidi="fa-IR"/>
        </w:rPr>
        <w:t xml:space="preserve"> من ح</w:t>
      </w:r>
      <w:r w:rsidR="003021BC" w:rsidRPr="00904FCB">
        <w:rPr>
          <w:rFonts w:ascii="Tahoma" w:hAnsi="Tahoma" w:hint="cs"/>
          <w:sz w:val="27"/>
          <w:rtl/>
          <w:lang w:bidi="fa-IR"/>
        </w:rPr>
        <w:t>َ</w:t>
      </w:r>
      <w:r w:rsidRPr="00904FCB">
        <w:rPr>
          <w:rFonts w:ascii="Tahoma" w:hAnsi="Tahoma"/>
          <w:sz w:val="27"/>
          <w:rtl/>
          <w:lang w:bidi="fa-IR"/>
        </w:rPr>
        <w:t>ف</w:t>
      </w:r>
      <w:r w:rsidR="003021BC" w:rsidRPr="00904FCB">
        <w:rPr>
          <w:rFonts w:ascii="Tahoma" w:hAnsi="Tahoma" w:hint="cs"/>
          <w:sz w:val="27"/>
          <w:rtl/>
          <w:lang w:bidi="fa-IR"/>
        </w:rPr>
        <w:t>َ</w:t>
      </w:r>
      <w:r w:rsidRPr="00904FCB">
        <w:rPr>
          <w:rFonts w:ascii="Tahoma" w:hAnsi="Tahoma"/>
          <w:sz w:val="27"/>
          <w:rtl/>
          <w:lang w:bidi="fa-IR"/>
        </w:rPr>
        <w:t>ظته في موقعة اليمامة</w:t>
      </w:r>
      <w:r w:rsidR="003021BC" w:rsidRPr="00904FCB">
        <w:rPr>
          <w:rFonts w:ascii="Tahoma" w:hAnsi="Tahoma" w:hint="cs"/>
          <w:sz w:val="27"/>
          <w:rtl/>
          <w:lang w:bidi="fa-IR"/>
        </w:rPr>
        <w:t>.</w:t>
      </w:r>
      <w:r w:rsidRPr="00904FCB">
        <w:rPr>
          <w:rFonts w:ascii="Tahoma" w:hAnsi="Tahoma"/>
          <w:sz w:val="27"/>
          <w:rtl/>
          <w:lang w:bidi="fa-IR"/>
        </w:rPr>
        <w:t xml:space="preserve"> وهو أمر</w:t>
      </w:r>
      <w:r w:rsidR="003021BC" w:rsidRPr="00904FCB">
        <w:rPr>
          <w:rFonts w:ascii="Tahoma" w:hAnsi="Tahoma" w:hint="cs"/>
          <w:sz w:val="27"/>
          <w:rtl/>
          <w:lang w:bidi="fa-IR"/>
        </w:rPr>
        <w:t>ٌ</w:t>
      </w:r>
      <w:r w:rsidRPr="00904FCB">
        <w:rPr>
          <w:rFonts w:ascii="Tahoma" w:hAnsi="Tahoma"/>
          <w:sz w:val="27"/>
          <w:rtl/>
          <w:lang w:bidi="fa-IR"/>
        </w:rPr>
        <w:t xml:space="preserve"> لم يفعله النبي</w:t>
      </w:r>
      <w:r w:rsidR="003021BC" w:rsidRPr="00904FCB">
        <w:rPr>
          <w:rFonts w:ascii="Tahoma" w:hAnsi="Tahoma" w:hint="cs"/>
          <w:sz w:val="27"/>
          <w:rtl/>
          <w:lang w:bidi="fa-IR"/>
        </w:rPr>
        <w:t>ّ</w:t>
      </w:r>
      <w:r w:rsidR="00635E51" w:rsidRPr="00904FCB">
        <w:rPr>
          <w:rFonts w:ascii="Tahoma" w:hAnsi="Tahoma" w:cs="Mosawi" w:hint="cs"/>
          <w:sz w:val="27"/>
          <w:szCs w:val="22"/>
          <w:rtl/>
          <w:lang w:bidi="fa-IR"/>
        </w:rPr>
        <w:t>|</w:t>
      </w:r>
      <w:r w:rsidRPr="00904FCB">
        <w:rPr>
          <w:rFonts w:ascii="Tahoma" w:hAnsi="Tahoma"/>
          <w:sz w:val="27"/>
          <w:rtl/>
          <w:lang w:bidi="fa-IR"/>
        </w:rPr>
        <w:t xml:space="preserve">، وذلك بعدما بدا له من الخير والمصلحة للإسلام. </w:t>
      </w:r>
    </w:p>
    <w:p w:rsidR="003021BC"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وهذا ما دفع كذلك «عمر بن الخطاب»(رضي الله عنه) إلى إيقاف حد</w:t>
      </w:r>
      <w:r w:rsidR="003021BC" w:rsidRPr="00904FCB">
        <w:rPr>
          <w:rFonts w:ascii="Tahoma" w:hAnsi="Tahoma" w:hint="cs"/>
          <w:sz w:val="27"/>
          <w:rtl/>
          <w:lang w:bidi="fa-IR"/>
        </w:rPr>
        <w:t>ِّ</w:t>
      </w:r>
      <w:r w:rsidRPr="00904FCB">
        <w:rPr>
          <w:rFonts w:ascii="Tahoma" w:hAnsi="Tahoma"/>
          <w:sz w:val="27"/>
          <w:rtl/>
          <w:lang w:bidi="fa-IR"/>
        </w:rPr>
        <w:t xml:space="preserve"> القطع عن السارق في عام المجاعة، وإلى وضع الخراج</w:t>
      </w:r>
      <w:r w:rsidR="003021BC" w:rsidRPr="00904FCB">
        <w:rPr>
          <w:rFonts w:ascii="Tahoma" w:hAnsi="Tahoma" w:hint="cs"/>
          <w:sz w:val="27"/>
          <w:rtl/>
          <w:lang w:bidi="fa-IR"/>
        </w:rPr>
        <w:t>،</w:t>
      </w:r>
      <w:r w:rsidRPr="00904FCB">
        <w:rPr>
          <w:rFonts w:ascii="Tahoma" w:hAnsi="Tahoma"/>
          <w:sz w:val="27"/>
          <w:rtl/>
          <w:lang w:bidi="fa-IR"/>
        </w:rPr>
        <w:t xml:space="preserve"> وإنشاء الدواوين، وتمصير الأمصار</w:t>
      </w:r>
      <w:r w:rsidR="003021BC" w:rsidRPr="00904FCB">
        <w:rPr>
          <w:rFonts w:ascii="Tahoma" w:hAnsi="Tahoma" w:hint="cs"/>
          <w:sz w:val="27"/>
          <w:rtl/>
          <w:lang w:bidi="fa-IR"/>
        </w:rPr>
        <w:t>؛</w:t>
      </w:r>
      <w:r w:rsidRPr="00904FCB">
        <w:rPr>
          <w:rFonts w:ascii="Tahoma" w:hAnsi="Tahoma"/>
          <w:sz w:val="27"/>
          <w:rtl/>
          <w:lang w:bidi="fa-IR"/>
        </w:rPr>
        <w:t xml:space="preserve"> مراعاة لمصلحة الأمة</w:t>
      </w:r>
      <w:r w:rsidR="003021BC" w:rsidRPr="00904FCB">
        <w:rPr>
          <w:rFonts w:ascii="Tahoma" w:hAnsi="Tahoma"/>
          <w:sz w:val="27"/>
          <w:rtl/>
          <w:lang w:bidi="fa-IR"/>
        </w:rPr>
        <w:t>.</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وأيضاً ما قا</w:t>
      </w:r>
      <w:r w:rsidR="003021BC" w:rsidRPr="00904FCB">
        <w:rPr>
          <w:rFonts w:ascii="Tahoma" w:hAnsi="Tahoma" w:hint="cs"/>
          <w:sz w:val="27"/>
          <w:rtl/>
          <w:lang w:bidi="fa-IR"/>
        </w:rPr>
        <w:t>م</w:t>
      </w:r>
      <w:r w:rsidRPr="00904FCB">
        <w:rPr>
          <w:rFonts w:ascii="Tahoma" w:hAnsi="Tahoma"/>
          <w:sz w:val="27"/>
          <w:rtl/>
          <w:lang w:bidi="fa-IR"/>
        </w:rPr>
        <w:t xml:space="preserve"> به «علي</w:t>
      </w:r>
      <w:r w:rsidR="003021BC" w:rsidRPr="00904FCB">
        <w:rPr>
          <w:rFonts w:ascii="Tahoma" w:hAnsi="Tahoma" w:hint="cs"/>
          <w:sz w:val="27"/>
          <w:rtl/>
          <w:lang w:bidi="fa-IR"/>
        </w:rPr>
        <w:t>ّ</w:t>
      </w:r>
      <w:r w:rsidR="003021BC" w:rsidRPr="00904FCB">
        <w:rPr>
          <w:rFonts w:ascii="Tahoma" w:hAnsi="Tahoma"/>
          <w:sz w:val="27"/>
          <w:rtl/>
          <w:lang w:bidi="fa-IR"/>
        </w:rPr>
        <w:t xml:space="preserve"> بن أبي طالب»</w:t>
      </w:r>
      <w:r w:rsidRPr="00904FCB">
        <w:rPr>
          <w:rFonts w:ascii="Tahoma" w:hAnsi="Tahoma"/>
          <w:sz w:val="27"/>
          <w:rtl/>
          <w:lang w:bidi="fa-IR"/>
        </w:rPr>
        <w:t>(رضي الله عنه) من تضمين الصن</w:t>
      </w:r>
      <w:r w:rsidR="003021BC" w:rsidRPr="00904FCB">
        <w:rPr>
          <w:rFonts w:ascii="Tahoma" w:hAnsi="Tahoma" w:hint="cs"/>
          <w:sz w:val="27"/>
          <w:rtl/>
          <w:lang w:bidi="fa-IR"/>
        </w:rPr>
        <w:t>ّ</w:t>
      </w:r>
      <w:r w:rsidRPr="00904FCB">
        <w:rPr>
          <w:rFonts w:ascii="Tahoma" w:hAnsi="Tahoma"/>
          <w:sz w:val="27"/>
          <w:rtl/>
          <w:lang w:bidi="fa-IR"/>
        </w:rPr>
        <w:t>اع ما يد</w:t>
      </w:r>
      <w:r w:rsidR="003021BC" w:rsidRPr="00904FCB">
        <w:rPr>
          <w:rFonts w:ascii="Tahoma" w:hAnsi="Tahoma" w:hint="cs"/>
          <w:sz w:val="27"/>
          <w:rtl/>
          <w:lang w:bidi="fa-IR"/>
        </w:rPr>
        <w:t>َّ</w:t>
      </w:r>
      <w:r w:rsidRPr="00904FCB">
        <w:rPr>
          <w:rFonts w:ascii="Tahoma" w:hAnsi="Tahoma"/>
          <w:sz w:val="27"/>
          <w:rtl/>
          <w:lang w:bidi="fa-IR"/>
        </w:rPr>
        <w:t>عون تلفه إذا لم يقيموا الدليل على ت</w:t>
      </w:r>
      <w:r w:rsidR="003021BC" w:rsidRPr="00904FCB">
        <w:rPr>
          <w:rFonts w:ascii="Tahoma" w:hAnsi="Tahoma" w:hint="cs"/>
          <w:sz w:val="27"/>
          <w:rtl/>
          <w:lang w:bidi="fa-IR"/>
        </w:rPr>
        <w:t>َ</w:t>
      </w:r>
      <w:r w:rsidRPr="00904FCB">
        <w:rPr>
          <w:rFonts w:ascii="Tahoma" w:hAnsi="Tahoma"/>
          <w:sz w:val="27"/>
          <w:rtl/>
          <w:lang w:bidi="fa-IR"/>
        </w:rPr>
        <w:t>ل</w:t>
      </w:r>
      <w:r w:rsidR="003021BC" w:rsidRPr="00904FCB">
        <w:rPr>
          <w:rFonts w:ascii="Tahoma" w:hAnsi="Tahoma" w:hint="cs"/>
          <w:sz w:val="27"/>
          <w:rtl/>
          <w:lang w:bidi="fa-IR"/>
        </w:rPr>
        <w:t>َ</w:t>
      </w:r>
      <w:r w:rsidRPr="00904FCB">
        <w:rPr>
          <w:rFonts w:ascii="Tahoma" w:hAnsi="Tahoma"/>
          <w:sz w:val="27"/>
          <w:rtl/>
          <w:lang w:bidi="fa-IR"/>
        </w:rPr>
        <w:t>فه بغير سبب</w:t>
      </w:r>
      <w:r w:rsidR="003021BC" w:rsidRPr="00904FCB">
        <w:rPr>
          <w:rFonts w:ascii="Tahoma" w:hAnsi="Tahoma" w:hint="cs"/>
          <w:sz w:val="27"/>
          <w:rtl/>
          <w:lang w:bidi="fa-IR"/>
        </w:rPr>
        <w:t>ٍ</w:t>
      </w:r>
      <w:r w:rsidRPr="00904FCB">
        <w:rPr>
          <w:rFonts w:ascii="Tahoma" w:hAnsi="Tahoma"/>
          <w:sz w:val="27"/>
          <w:rtl/>
          <w:lang w:bidi="fa-IR"/>
        </w:rPr>
        <w:t xml:space="preserve"> منهم</w:t>
      </w:r>
      <w:r w:rsidR="003021BC" w:rsidRPr="00904FCB">
        <w:rPr>
          <w:rFonts w:ascii="Tahoma" w:hAnsi="Tahoma" w:hint="cs"/>
          <w:sz w:val="27"/>
          <w:rtl/>
          <w:lang w:bidi="fa-IR"/>
        </w:rPr>
        <w:t>،</w:t>
      </w:r>
      <w:r w:rsidRPr="00904FCB">
        <w:rPr>
          <w:rFonts w:ascii="Tahoma" w:hAnsi="Tahoma"/>
          <w:sz w:val="27"/>
          <w:rtl/>
          <w:lang w:bidi="fa-IR"/>
        </w:rPr>
        <w:t xml:space="preserve"> حيث قال: «لا يصلح الناس إلا</w:t>
      </w:r>
      <w:r w:rsidR="003021BC" w:rsidRPr="00904FCB">
        <w:rPr>
          <w:rFonts w:ascii="Tahoma" w:hAnsi="Tahoma" w:hint="cs"/>
          <w:sz w:val="27"/>
          <w:rtl/>
          <w:lang w:bidi="fa-IR"/>
        </w:rPr>
        <w:t xml:space="preserve">ّ </w:t>
      </w:r>
      <w:r w:rsidRPr="00904FCB">
        <w:rPr>
          <w:rFonts w:ascii="Tahoma" w:hAnsi="Tahoma"/>
          <w:sz w:val="27"/>
          <w:rtl/>
          <w:lang w:bidi="fa-IR"/>
        </w:rPr>
        <w:t>بذلك»</w:t>
      </w:r>
      <w:r w:rsidRPr="00904FCB">
        <w:rPr>
          <w:rFonts w:hint="cs"/>
          <w:sz w:val="27"/>
          <w:vertAlign w:val="superscript"/>
          <w:rtl/>
        </w:rPr>
        <w:t>(</w:t>
      </w:r>
      <w:r w:rsidRPr="00904FCB">
        <w:rPr>
          <w:rStyle w:val="ac"/>
          <w:sz w:val="27"/>
          <w:rtl/>
        </w:rPr>
        <w:endnoteReference w:id="253"/>
      </w:r>
      <w:r w:rsidRPr="00904FCB">
        <w:rPr>
          <w:rFonts w:hint="cs"/>
          <w:sz w:val="27"/>
          <w:vertAlign w:val="superscript"/>
          <w:rtl/>
        </w:rPr>
        <w:t>)</w:t>
      </w:r>
      <w:r w:rsidR="003021BC" w:rsidRPr="00904FCB">
        <w:rPr>
          <w:rFonts w:ascii="Tahoma" w:hAnsi="Tahoma" w:hint="cs"/>
          <w:sz w:val="27"/>
          <w:rtl/>
        </w:rPr>
        <w:t>.</w:t>
      </w:r>
      <w:r w:rsidRPr="00904FCB">
        <w:rPr>
          <w:rFonts w:ascii="Tahoma" w:hAnsi="Tahoma"/>
          <w:sz w:val="27"/>
          <w:rtl/>
          <w:lang w:bidi="fa-IR"/>
        </w:rPr>
        <w:t xml:space="preserve"> وعلى هذا المنوال سار التابعون والأئم</w:t>
      </w:r>
      <w:r w:rsidR="003021BC" w:rsidRPr="00904FCB">
        <w:rPr>
          <w:rFonts w:ascii="Tahoma" w:hAnsi="Tahoma" w:hint="cs"/>
          <w:sz w:val="27"/>
          <w:rtl/>
          <w:lang w:bidi="fa-IR"/>
        </w:rPr>
        <w:t>ّ</w:t>
      </w:r>
      <w:r w:rsidRPr="00904FCB">
        <w:rPr>
          <w:rFonts w:ascii="Tahoma" w:hAnsi="Tahoma"/>
          <w:sz w:val="27"/>
          <w:rtl/>
          <w:lang w:bidi="fa-IR"/>
        </w:rPr>
        <w:t xml:space="preserve">ة المجتهدون.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ثانياً</w:t>
      </w:r>
      <w:r w:rsidRPr="00904FCB">
        <w:rPr>
          <w:rFonts w:hint="cs"/>
          <w:color w:val="auto"/>
          <w:rtl/>
          <w:lang w:bidi="fa-IR"/>
        </w:rPr>
        <w:t>:</w:t>
      </w:r>
      <w:r w:rsidRPr="00904FCB">
        <w:rPr>
          <w:color w:val="auto"/>
          <w:rtl/>
          <w:lang w:bidi="fa-IR"/>
        </w:rPr>
        <w:t xml:space="preserve"> ملامح نظرية المصلحة في الفقه الإسلامي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المصلحة لغة</w:t>
      </w:r>
      <w:r w:rsidR="003021BC" w:rsidRPr="00904FCB">
        <w:rPr>
          <w:rFonts w:ascii="Tahoma" w:hAnsi="Tahoma" w:hint="cs"/>
          <w:sz w:val="27"/>
          <w:rtl/>
          <w:lang w:bidi="fa-IR"/>
        </w:rPr>
        <w:t>ً</w:t>
      </w:r>
      <w:r w:rsidRPr="00904FCB">
        <w:rPr>
          <w:rFonts w:ascii="Tahoma" w:hAnsi="Tahoma"/>
          <w:sz w:val="27"/>
          <w:rtl/>
          <w:lang w:bidi="fa-IR"/>
        </w:rPr>
        <w:t xml:space="preserve"> مصدر</w:t>
      </w:r>
      <w:r w:rsidR="003021BC" w:rsidRPr="00904FCB">
        <w:rPr>
          <w:rFonts w:ascii="Tahoma" w:hAnsi="Tahoma" w:hint="cs"/>
          <w:sz w:val="27"/>
          <w:rtl/>
          <w:lang w:bidi="fa-IR"/>
        </w:rPr>
        <w:t>ٌ</w:t>
      </w:r>
      <w:r w:rsidRPr="00904FCB">
        <w:rPr>
          <w:rFonts w:ascii="Tahoma" w:hAnsi="Tahoma"/>
          <w:sz w:val="27"/>
          <w:rtl/>
          <w:lang w:bidi="fa-IR"/>
        </w:rPr>
        <w:t xml:space="preserve"> بمعنى الصلاح</w:t>
      </w:r>
      <w:r w:rsidR="003021BC" w:rsidRPr="00904FCB">
        <w:rPr>
          <w:rFonts w:ascii="Tahoma" w:hAnsi="Tahoma" w:hint="cs"/>
          <w:sz w:val="27"/>
          <w:rtl/>
          <w:lang w:bidi="fa-IR"/>
        </w:rPr>
        <w:t>.</w:t>
      </w:r>
      <w:r w:rsidRPr="00904FCB">
        <w:rPr>
          <w:rFonts w:ascii="Tahoma" w:hAnsi="Tahoma"/>
          <w:sz w:val="27"/>
          <w:rtl/>
          <w:lang w:bidi="fa-IR"/>
        </w:rPr>
        <w:t xml:space="preserve"> والمصلحة مفرد المصالح</w:t>
      </w:r>
      <w:r w:rsidR="003021BC" w:rsidRPr="00904FCB">
        <w:rPr>
          <w:rFonts w:ascii="Tahoma" w:hAnsi="Tahoma" w:hint="cs"/>
          <w:sz w:val="27"/>
          <w:rtl/>
          <w:lang w:bidi="fa-IR"/>
        </w:rPr>
        <w:t>.</w:t>
      </w:r>
      <w:r w:rsidRPr="00904FCB">
        <w:rPr>
          <w:rFonts w:ascii="Tahoma" w:hAnsi="Tahoma"/>
          <w:sz w:val="27"/>
          <w:rtl/>
          <w:lang w:bidi="fa-IR"/>
        </w:rPr>
        <w:t xml:space="preserve"> والاستصلاح ضد</w:t>
      </w:r>
      <w:r w:rsidR="003021BC" w:rsidRPr="00904FCB">
        <w:rPr>
          <w:rFonts w:ascii="Tahoma" w:hAnsi="Tahoma" w:hint="cs"/>
          <w:sz w:val="27"/>
          <w:rtl/>
          <w:lang w:bidi="fa-IR"/>
        </w:rPr>
        <w:t>ّ</w:t>
      </w:r>
      <w:r w:rsidRPr="00904FCB">
        <w:rPr>
          <w:rFonts w:ascii="Tahoma" w:hAnsi="Tahoma"/>
          <w:sz w:val="27"/>
          <w:rtl/>
          <w:lang w:bidi="fa-IR"/>
        </w:rPr>
        <w:t xml:space="preserve"> </w:t>
      </w:r>
      <w:r w:rsidRPr="00904FCB">
        <w:rPr>
          <w:rFonts w:ascii="Tahoma" w:hAnsi="Tahoma"/>
          <w:sz w:val="27"/>
          <w:rtl/>
          <w:lang w:bidi="fa-IR"/>
        </w:rPr>
        <w:lastRenderedPageBreak/>
        <w:t>الاستفساد</w:t>
      </w:r>
      <w:r w:rsidRPr="00904FCB">
        <w:rPr>
          <w:rFonts w:hint="cs"/>
          <w:sz w:val="27"/>
          <w:vertAlign w:val="superscript"/>
          <w:rtl/>
        </w:rPr>
        <w:t>(</w:t>
      </w:r>
      <w:r w:rsidRPr="00904FCB">
        <w:rPr>
          <w:rStyle w:val="ac"/>
          <w:sz w:val="27"/>
          <w:rtl/>
        </w:rPr>
        <w:endnoteReference w:id="254"/>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أما فقهاء الإسلام فقد حد</w:t>
      </w:r>
      <w:r w:rsidR="003021BC" w:rsidRPr="00904FCB">
        <w:rPr>
          <w:rFonts w:ascii="Tahoma" w:hAnsi="Tahoma" w:hint="cs"/>
          <w:sz w:val="27"/>
          <w:rtl/>
          <w:lang w:bidi="fa-IR"/>
        </w:rPr>
        <w:t>َّ</w:t>
      </w:r>
      <w:r w:rsidRPr="00904FCB">
        <w:rPr>
          <w:rFonts w:ascii="Tahoma" w:hAnsi="Tahoma"/>
          <w:sz w:val="27"/>
          <w:rtl/>
          <w:lang w:bidi="fa-IR"/>
        </w:rPr>
        <w:t>دوا المصلحة في المنافع والخيرات والح</w:t>
      </w:r>
      <w:r w:rsidR="003021BC" w:rsidRPr="00904FCB">
        <w:rPr>
          <w:rFonts w:ascii="Tahoma" w:hAnsi="Tahoma" w:hint="cs"/>
          <w:sz w:val="27"/>
          <w:rtl/>
          <w:lang w:bidi="fa-IR"/>
        </w:rPr>
        <w:t>َ</w:t>
      </w:r>
      <w:r w:rsidRPr="00904FCB">
        <w:rPr>
          <w:rFonts w:ascii="Tahoma" w:hAnsi="Tahoma"/>
          <w:sz w:val="27"/>
          <w:rtl/>
          <w:lang w:bidi="fa-IR"/>
        </w:rPr>
        <w:t>س</w:t>
      </w:r>
      <w:r w:rsidR="003021BC" w:rsidRPr="00904FCB">
        <w:rPr>
          <w:rFonts w:ascii="Tahoma" w:hAnsi="Tahoma" w:hint="cs"/>
          <w:sz w:val="27"/>
          <w:rtl/>
          <w:lang w:bidi="fa-IR"/>
        </w:rPr>
        <w:t>َ</w:t>
      </w:r>
      <w:r w:rsidRPr="00904FCB">
        <w:rPr>
          <w:rFonts w:ascii="Tahoma" w:hAnsi="Tahoma"/>
          <w:sz w:val="27"/>
          <w:rtl/>
          <w:lang w:bidi="fa-IR"/>
        </w:rPr>
        <w:t>نات والن</w:t>
      </w:r>
      <w:r w:rsidR="003021BC" w:rsidRPr="00904FCB">
        <w:rPr>
          <w:rFonts w:ascii="Tahoma" w:hAnsi="Tahoma" w:hint="cs"/>
          <w:sz w:val="27"/>
          <w:rtl/>
          <w:lang w:bidi="fa-IR"/>
        </w:rPr>
        <w:t>ِّ</w:t>
      </w:r>
      <w:r w:rsidRPr="00904FCB">
        <w:rPr>
          <w:rFonts w:ascii="Tahoma" w:hAnsi="Tahoma"/>
          <w:sz w:val="27"/>
          <w:rtl/>
          <w:lang w:bidi="fa-IR"/>
        </w:rPr>
        <w:t>ع</w:t>
      </w:r>
      <w:r w:rsidR="003021BC" w:rsidRPr="00904FCB">
        <w:rPr>
          <w:rFonts w:ascii="Tahoma" w:hAnsi="Tahoma" w:hint="cs"/>
          <w:sz w:val="27"/>
          <w:rtl/>
          <w:lang w:bidi="fa-IR"/>
        </w:rPr>
        <w:t>َ</w:t>
      </w:r>
      <w:r w:rsidRPr="00904FCB">
        <w:rPr>
          <w:rFonts w:ascii="Tahoma" w:hAnsi="Tahoma"/>
          <w:sz w:val="27"/>
          <w:rtl/>
          <w:lang w:bidi="fa-IR"/>
        </w:rPr>
        <w:t>م الظاهرة والباطنة، الروحية والعقلية والبدنية، العائدة على الإنسان بكل</w:t>
      </w:r>
      <w:r w:rsidR="003021BC" w:rsidRPr="00904FCB">
        <w:rPr>
          <w:rFonts w:ascii="Tahoma" w:hAnsi="Tahoma" w:hint="cs"/>
          <w:sz w:val="27"/>
          <w:rtl/>
          <w:lang w:bidi="fa-IR"/>
        </w:rPr>
        <w:t>ّ</w:t>
      </w:r>
      <w:r w:rsidRPr="00904FCB">
        <w:rPr>
          <w:rFonts w:ascii="Tahoma" w:hAnsi="Tahoma"/>
          <w:sz w:val="27"/>
          <w:rtl/>
          <w:lang w:bidi="fa-IR"/>
        </w:rPr>
        <w:t xml:space="preserve"> ما يصلح أوضاعه</w:t>
      </w:r>
      <w:r w:rsidR="003021BC" w:rsidRPr="00904FCB">
        <w:rPr>
          <w:rFonts w:ascii="Tahoma" w:hAnsi="Tahoma" w:hint="cs"/>
          <w:sz w:val="27"/>
          <w:rtl/>
          <w:lang w:bidi="fa-IR"/>
        </w:rPr>
        <w:t>،</w:t>
      </w:r>
      <w:r w:rsidRPr="00904FCB">
        <w:rPr>
          <w:rFonts w:ascii="Tahoma" w:hAnsi="Tahoma"/>
          <w:sz w:val="27"/>
          <w:rtl/>
          <w:lang w:bidi="fa-IR"/>
        </w:rPr>
        <w:t xml:space="preserve"> ويقيم أحواله</w:t>
      </w:r>
      <w:r w:rsidR="003021BC" w:rsidRPr="00904FCB">
        <w:rPr>
          <w:rFonts w:ascii="Tahoma" w:hAnsi="Tahoma" w:hint="cs"/>
          <w:sz w:val="27"/>
          <w:rtl/>
          <w:lang w:bidi="fa-IR"/>
        </w:rPr>
        <w:t>،</w:t>
      </w:r>
      <w:r w:rsidRPr="00904FCB">
        <w:rPr>
          <w:rFonts w:ascii="Tahoma" w:hAnsi="Tahoma"/>
          <w:sz w:val="27"/>
          <w:rtl/>
          <w:lang w:bidi="fa-IR"/>
        </w:rPr>
        <w:t xml:space="preserve"> وفق مقاصد الشارع في الدنيا والآخرة.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يرى </w:t>
      </w:r>
      <w:r w:rsidR="003021BC" w:rsidRPr="00904FCB">
        <w:rPr>
          <w:rFonts w:ascii="Tahoma" w:hAnsi="Tahoma"/>
          <w:sz w:val="27"/>
          <w:rtl/>
          <w:lang w:bidi="fa-IR"/>
        </w:rPr>
        <w:t>«</w:t>
      </w:r>
      <w:r w:rsidRPr="00904FCB">
        <w:rPr>
          <w:rFonts w:ascii="Tahoma" w:hAnsi="Tahoma"/>
          <w:sz w:val="27"/>
          <w:rtl/>
          <w:lang w:bidi="fa-IR"/>
        </w:rPr>
        <w:t>الإمام الغزالي»(</w:t>
      </w:r>
      <w:r w:rsidRPr="00DB2AFA">
        <w:rPr>
          <w:rFonts w:ascii="Tahoma" w:hAnsi="Tahoma" w:hint="cs"/>
          <w:sz w:val="27"/>
          <w:rtl/>
          <w:lang w:bidi="ar-LB"/>
        </w:rPr>
        <w:t>505</w:t>
      </w:r>
      <w:r w:rsidRPr="00DB2AFA">
        <w:rPr>
          <w:rFonts w:ascii="Tahoma" w:hAnsi="Tahoma"/>
          <w:sz w:val="27"/>
          <w:rtl/>
          <w:lang w:bidi="fa-IR"/>
        </w:rPr>
        <w:t>هـ</w:t>
      </w:r>
      <w:r w:rsidRPr="00904FCB">
        <w:rPr>
          <w:rFonts w:ascii="Tahoma" w:hAnsi="Tahoma"/>
          <w:sz w:val="27"/>
          <w:rtl/>
          <w:lang w:bidi="fa-IR"/>
        </w:rPr>
        <w:t>) أن</w:t>
      </w:r>
      <w:r w:rsidR="003021BC" w:rsidRPr="00904FCB">
        <w:rPr>
          <w:rFonts w:ascii="Tahoma" w:hAnsi="Tahoma" w:hint="cs"/>
          <w:sz w:val="27"/>
          <w:rtl/>
          <w:lang w:bidi="fa-IR"/>
        </w:rPr>
        <w:t>ّ</w:t>
      </w:r>
      <w:r w:rsidRPr="00904FCB">
        <w:rPr>
          <w:rFonts w:ascii="Tahoma" w:hAnsi="Tahoma"/>
          <w:sz w:val="27"/>
          <w:rtl/>
          <w:lang w:bidi="fa-IR"/>
        </w:rPr>
        <w:t xml:space="preserve"> المصلحة في الأصل عبارة عن جلب منفعة</w:t>
      </w:r>
      <w:r w:rsidR="003021BC" w:rsidRPr="00904FCB">
        <w:rPr>
          <w:rFonts w:ascii="Tahoma" w:hAnsi="Tahoma" w:hint="cs"/>
          <w:sz w:val="27"/>
          <w:rtl/>
          <w:lang w:bidi="fa-IR"/>
        </w:rPr>
        <w:t>ٍ</w:t>
      </w:r>
      <w:r w:rsidRPr="00904FCB">
        <w:rPr>
          <w:rFonts w:ascii="Tahoma" w:hAnsi="Tahoma"/>
          <w:sz w:val="27"/>
          <w:rtl/>
          <w:lang w:bidi="fa-IR"/>
        </w:rPr>
        <w:t xml:space="preserve"> أو دفع مضر</w:t>
      </w:r>
      <w:r w:rsidR="003021BC" w:rsidRPr="00904FCB">
        <w:rPr>
          <w:rFonts w:ascii="Tahoma" w:hAnsi="Tahoma" w:hint="cs"/>
          <w:sz w:val="27"/>
          <w:rtl/>
          <w:lang w:bidi="fa-IR"/>
        </w:rPr>
        <w:t>ّ</w:t>
      </w:r>
      <w:r w:rsidRPr="00904FCB">
        <w:rPr>
          <w:rFonts w:ascii="Tahoma" w:hAnsi="Tahoma"/>
          <w:sz w:val="27"/>
          <w:rtl/>
          <w:lang w:bidi="fa-IR"/>
        </w:rPr>
        <w:t>ة</w:t>
      </w:r>
      <w:r w:rsidR="003021BC" w:rsidRPr="00904FCB">
        <w:rPr>
          <w:rFonts w:ascii="Tahoma" w:hAnsi="Tahoma" w:hint="cs"/>
          <w:sz w:val="27"/>
          <w:rtl/>
          <w:lang w:bidi="fa-IR"/>
        </w:rPr>
        <w:t>ٍ</w:t>
      </w:r>
      <w:r w:rsidRPr="00904FCB">
        <w:rPr>
          <w:rFonts w:ascii="Tahoma" w:hAnsi="Tahoma"/>
          <w:sz w:val="27"/>
          <w:rtl/>
          <w:lang w:bidi="fa-IR"/>
        </w:rPr>
        <w:t>، غير أنّه يقول بعد هذا: «ولسنا نعني بها ذلك</w:t>
      </w:r>
      <w:r w:rsidR="003021BC" w:rsidRPr="00904FCB">
        <w:rPr>
          <w:rFonts w:ascii="Tahoma" w:hAnsi="Tahoma" w:hint="cs"/>
          <w:sz w:val="27"/>
          <w:rtl/>
          <w:lang w:bidi="fa-IR"/>
        </w:rPr>
        <w:t>؛</w:t>
      </w:r>
      <w:r w:rsidRPr="00904FCB">
        <w:rPr>
          <w:rFonts w:ascii="Tahoma" w:hAnsi="Tahoma"/>
          <w:sz w:val="27"/>
          <w:rtl/>
          <w:lang w:bidi="fa-IR"/>
        </w:rPr>
        <w:t xml:space="preserve"> فإن جلب المنفعة ودفع المضر</w:t>
      </w:r>
      <w:r w:rsidR="003021BC" w:rsidRPr="00904FCB">
        <w:rPr>
          <w:rFonts w:ascii="Tahoma" w:hAnsi="Tahoma" w:hint="cs"/>
          <w:sz w:val="27"/>
          <w:rtl/>
          <w:lang w:bidi="fa-IR"/>
        </w:rPr>
        <w:t>ّ</w:t>
      </w:r>
      <w:r w:rsidRPr="00904FCB">
        <w:rPr>
          <w:rFonts w:ascii="Tahoma" w:hAnsi="Tahoma"/>
          <w:sz w:val="27"/>
          <w:rtl/>
          <w:lang w:bidi="fa-IR"/>
        </w:rPr>
        <w:t>ة مقاصد الخلق، وصلاح الخلق في تحصيل مقاصدهم، ولكن</w:t>
      </w:r>
      <w:r w:rsidR="003021BC" w:rsidRPr="00904FCB">
        <w:rPr>
          <w:rFonts w:ascii="Tahoma" w:hAnsi="Tahoma" w:hint="cs"/>
          <w:sz w:val="27"/>
          <w:rtl/>
          <w:lang w:bidi="fa-IR"/>
        </w:rPr>
        <w:t>ّ</w:t>
      </w:r>
      <w:r w:rsidRPr="00904FCB">
        <w:rPr>
          <w:rFonts w:ascii="Tahoma" w:hAnsi="Tahoma"/>
          <w:sz w:val="27"/>
          <w:rtl/>
          <w:lang w:bidi="fa-IR"/>
        </w:rPr>
        <w:t>ا نعني بالمصلحة المحافظة على مقصود الشرع، ومقصود الشرع من الخلق خمسة، وهي</w:t>
      </w:r>
      <w:r w:rsidR="003021BC" w:rsidRPr="00904FCB">
        <w:rPr>
          <w:rFonts w:ascii="Tahoma" w:hAnsi="Tahoma" w:hint="cs"/>
          <w:sz w:val="27"/>
          <w:rtl/>
          <w:lang w:bidi="fa-IR"/>
        </w:rPr>
        <w:t>:</w:t>
      </w:r>
      <w:r w:rsidRPr="00904FCB">
        <w:rPr>
          <w:rFonts w:ascii="Tahoma" w:hAnsi="Tahoma"/>
          <w:sz w:val="27"/>
          <w:rtl/>
          <w:lang w:bidi="fa-IR"/>
        </w:rPr>
        <w:t xml:space="preserve"> أن يحفظ عليهم دينهم ونفسهم وعقلهم ونسلهم ومالهم.. فكل</w:t>
      </w:r>
      <w:r w:rsidR="003021BC" w:rsidRPr="00904FCB">
        <w:rPr>
          <w:rFonts w:ascii="Tahoma" w:hAnsi="Tahoma" w:hint="cs"/>
          <w:sz w:val="27"/>
          <w:rtl/>
          <w:lang w:bidi="fa-IR"/>
        </w:rPr>
        <w:t>ّ</w:t>
      </w:r>
      <w:r w:rsidRPr="00904FCB">
        <w:rPr>
          <w:rFonts w:ascii="Tahoma" w:hAnsi="Tahoma"/>
          <w:sz w:val="27"/>
          <w:rtl/>
          <w:lang w:bidi="fa-IR"/>
        </w:rPr>
        <w:t xml:space="preserve"> ما يتضم</w:t>
      </w:r>
      <w:r w:rsidR="003021BC" w:rsidRPr="00904FCB">
        <w:rPr>
          <w:rFonts w:ascii="Tahoma" w:hAnsi="Tahoma" w:hint="cs"/>
          <w:sz w:val="27"/>
          <w:rtl/>
          <w:lang w:bidi="fa-IR"/>
        </w:rPr>
        <w:t>ّ</w:t>
      </w:r>
      <w:r w:rsidRPr="00904FCB">
        <w:rPr>
          <w:rFonts w:ascii="Tahoma" w:hAnsi="Tahoma"/>
          <w:sz w:val="27"/>
          <w:rtl/>
          <w:lang w:bidi="fa-IR"/>
        </w:rPr>
        <w:t>ن حفظ هذه الأصول الخمسة فهو مصلحة، وكل</w:t>
      </w:r>
      <w:r w:rsidR="003021BC" w:rsidRPr="00904FCB">
        <w:rPr>
          <w:rFonts w:ascii="Tahoma" w:hAnsi="Tahoma" w:hint="cs"/>
          <w:sz w:val="27"/>
          <w:rtl/>
          <w:lang w:bidi="fa-IR"/>
        </w:rPr>
        <w:t>ّ</w:t>
      </w:r>
      <w:r w:rsidRPr="00904FCB">
        <w:rPr>
          <w:rFonts w:ascii="Tahoma" w:hAnsi="Tahoma"/>
          <w:sz w:val="27"/>
          <w:rtl/>
          <w:lang w:bidi="fa-IR"/>
        </w:rPr>
        <w:t xml:space="preserve"> ما يفوّ</w:t>
      </w:r>
      <w:r w:rsidR="003021BC" w:rsidRPr="00904FCB">
        <w:rPr>
          <w:rFonts w:ascii="Tahoma" w:hAnsi="Tahoma" w:hint="cs"/>
          <w:sz w:val="27"/>
          <w:rtl/>
          <w:lang w:bidi="fa-IR"/>
        </w:rPr>
        <w:t>ِ</w:t>
      </w:r>
      <w:r w:rsidRPr="00904FCB">
        <w:rPr>
          <w:rFonts w:ascii="Tahoma" w:hAnsi="Tahoma"/>
          <w:sz w:val="27"/>
          <w:rtl/>
          <w:lang w:bidi="fa-IR"/>
        </w:rPr>
        <w:t>ت هذه الأصول فهو مفسدة، ودفعه مصلحة»</w:t>
      </w:r>
      <w:r w:rsidRPr="00904FCB">
        <w:rPr>
          <w:rFonts w:hint="cs"/>
          <w:sz w:val="27"/>
          <w:vertAlign w:val="superscript"/>
          <w:rtl/>
        </w:rPr>
        <w:t>(</w:t>
      </w:r>
      <w:r w:rsidRPr="00904FCB">
        <w:rPr>
          <w:rStyle w:val="ac"/>
          <w:sz w:val="27"/>
          <w:rtl/>
        </w:rPr>
        <w:endnoteReference w:id="255"/>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ويُعرِّف «الخوارزمي» المصلحة كما عرّ</w:t>
      </w:r>
      <w:r w:rsidR="003021BC" w:rsidRPr="00904FCB">
        <w:rPr>
          <w:rFonts w:ascii="Tahoma" w:hAnsi="Tahoma" w:hint="cs"/>
          <w:sz w:val="27"/>
          <w:rtl/>
          <w:lang w:bidi="fa-IR"/>
        </w:rPr>
        <w:t>َ</w:t>
      </w:r>
      <w:r w:rsidRPr="00904FCB">
        <w:rPr>
          <w:rFonts w:ascii="Tahoma" w:hAnsi="Tahoma"/>
          <w:sz w:val="27"/>
          <w:rtl/>
          <w:lang w:bidi="fa-IR"/>
        </w:rPr>
        <w:t>فها الغزالي، لكن</w:t>
      </w:r>
      <w:r w:rsidR="003021BC" w:rsidRPr="00904FCB">
        <w:rPr>
          <w:rFonts w:ascii="Tahoma" w:hAnsi="Tahoma" w:hint="cs"/>
          <w:sz w:val="27"/>
          <w:rtl/>
          <w:lang w:bidi="fa-IR"/>
        </w:rPr>
        <w:t>ّ</w:t>
      </w:r>
      <w:r w:rsidRPr="00904FCB">
        <w:rPr>
          <w:rFonts w:ascii="Tahoma" w:hAnsi="Tahoma"/>
          <w:sz w:val="27"/>
          <w:rtl/>
          <w:lang w:bidi="fa-IR"/>
        </w:rPr>
        <w:t xml:space="preserve">ه يضيق الدائرة، فيقول: هي المحافظة على مقصود الشرع بدفع المفاسد عن الخلق.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ويُعبّ</w:t>
      </w:r>
      <w:r w:rsidR="00DF4B98" w:rsidRPr="00904FCB">
        <w:rPr>
          <w:rFonts w:ascii="Tahoma" w:hAnsi="Tahoma" w:hint="cs"/>
          <w:sz w:val="27"/>
          <w:rtl/>
          <w:lang w:bidi="fa-IR"/>
        </w:rPr>
        <w:t>ِ</w:t>
      </w:r>
      <w:r w:rsidRPr="00904FCB">
        <w:rPr>
          <w:rFonts w:ascii="Tahoma" w:hAnsi="Tahoma"/>
          <w:sz w:val="27"/>
          <w:rtl/>
          <w:lang w:bidi="fa-IR"/>
        </w:rPr>
        <w:t>ر «العز</w:t>
      </w:r>
      <w:r w:rsidR="00DF4B98" w:rsidRPr="00904FCB">
        <w:rPr>
          <w:rFonts w:ascii="Tahoma" w:hAnsi="Tahoma" w:hint="cs"/>
          <w:sz w:val="27"/>
          <w:rtl/>
          <w:lang w:bidi="fa-IR"/>
        </w:rPr>
        <w:t>ّ</w:t>
      </w:r>
      <w:r w:rsidRPr="00904FCB">
        <w:rPr>
          <w:rFonts w:ascii="Tahoma" w:hAnsi="Tahoma"/>
          <w:sz w:val="27"/>
          <w:rtl/>
          <w:lang w:bidi="fa-IR"/>
        </w:rPr>
        <w:t xml:space="preserve"> بن عبد السلام»(</w:t>
      </w:r>
      <w:r w:rsidRPr="00DB2AFA">
        <w:rPr>
          <w:rFonts w:ascii="Tahoma" w:hAnsi="Tahoma" w:hint="cs"/>
          <w:sz w:val="27"/>
          <w:rtl/>
          <w:lang w:bidi="ar-LB"/>
        </w:rPr>
        <w:t>660</w:t>
      </w:r>
      <w:r w:rsidRPr="00DB2AFA">
        <w:rPr>
          <w:rFonts w:ascii="Tahoma" w:hAnsi="Tahoma"/>
          <w:sz w:val="27"/>
          <w:rtl/>
          <w:lang w:bidi="fa-IR"/>
        </w:rPr>
        <w:t>هـ</w:t>
      </w:r>
      <w:r w:rsidRPr="00904FCB">
        <w:rPr>
          <w:rFonts w:ascii="Tahoma" w:hAnsi="Tahoma"/>
          <w:sz w:val="27"/>
          <w:rtl/>
          <w:lang w:bidi="fa-IR"/>
        </w:rPr>
        <w:t>) عن المصالح والمفاسد بالخير والشر</w:t>
      </w:r>
      <w:r w:rsidR="00DF4B98" w:rsidRPr="00904FCB">
        <w:rPr>
          <w:rFonts w:ascii="Tahoma" w:hAnsi="Tahoma" w:hint="cs"/>
          <w:sz w:val="27"/>
          <w:rtl/>
          <w:lang w:bidi="fa-IR"/>
        </w:rPr>
        <w:t>ّ،</w:t>
      </w:r>
      <w:r w:rsidRPr="00904FCB">
        <w:rPr>
          <w:rFonts w:ascii="Tahoma" w:hAnsi="Tahoma"/>
          <w:sz w:val="27"/>
          <w:rtl/>
          <w:lang w:bidi="fa-IR"/>
        </w:rPr>
        <w:t xml:space="preserve"> والنفع والضر</w:t>
      </w:r>
      <w:r w:rsidR="00DF4B98" w:rsidRPr="00904FCB">
        <w:rPr>
          <w:rFonts w:ascii="Tahoma" w:hAnsi="Tahoma" w:hint="cs"/>
          <w:sz w:val="27"/>
          <w:rtl/>
          <w:lang w:bidi="fa-IR"/>
        </w:rPr>
        <w:t>ّ</w:t>
      </w:r>
      <w:r w:rsidRPr="00904FCB">
        <w:rPr>
          <w:rFonts w:ascii="Tahoma" w:hAnsi="Tahoma"/>
          <w:sz w:val="27"/>
          <w:rtl/>
          <w:lang w:bidi="fa-IR"/>
        </w:rPr>
        <w:t>، والحسنات والسيئات</w:t>
      </w:r>
      <w:r w:rsidR="00DF4B98" w:rsidRPr="00904FCB">
        <w:rPr>
          <w:rFonts w:ascii="Tahoma" w:hAnsi="Tahoma" w:hint="cs"/>
          <w:sz w:val="27"/>
          <w:rtl/>
          <w:lang w:bidi="fa-IR"/>
        </w:rPr>
        <w:t>؛</w:t>
      </w:r>
      <w:r w:rsidRPr="00904FCB">
        <w:rPr>
          <w:rFonts w:ascii="Tahoma" w:hAnsi="Tahoma"/>
          <w:sz w:val="27"/>
          <w:rtl/>
          <w:lang w:bidi="fa-IR"/>
        </w:rPr>
        <w:t xml:space="preserve"> لأن المصالح كل</w:t>
      </w:r>
      <w:r w:rsidR="00DF4B98" w:rsidRPr="00904FCB">
        <w:rPr>
          <w:rFonts w:ascii="Tahoma" w:hAnsi="Tahoma" w:hint="cs"/>
          <w:sz w:val="27"/>
          <w:rtl/>
          <w:lang w:bidi="fa-IR"/>
        </w:rPr>
        <w:t>ّ</w:t>
      </w:r>
      <w:r w:rsidRPr="00904FCB">
        <w:rPr>
          <w:rFonts w:ascii="Tahoma" w:hAnsi="Tahoma"/>
          <w:sz w:val="27"/>
          <w:rtl/>
          <w:lang w:bidi="fa-IR"/>
        </w:rPr>
        <w:t>ها خيور نافعات حسنات</w:t>
      </w:r>
      <w:r w:rsidRPr="00904FCB">
        <w:rPr>
          <w:rFonts w:hint="cs"/>
          <w:sz w:val="27"/>
          <w:vertAlign w:val="superscript"/>
          <w:rtl/>
        </w:rPr>
        <w:t>(</w:t>
      </w:r>
      <w:r w:rsidRPr="00904FCB">
        <w:rPr>
          <w:rStyle w:val="ac"/>
          <w:sz w:val="27"/>
          <w:rtl/>
        </w:rPr>
        <w:endnoteReference w:id="256"/>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أما «الطوفي»(</w:t>
      </w:r>
      <w:r w:rsidRPr="00DB2AFA">
        <w:rPr>
          <w:rFonts w:ascii="Tahoma" w:hAnsi="Tahoma" w:hint="cs"/>
          <w:sz w:val="27"/>
          <w:rtl/>
          <w:lang w:bidi="ar-LB"/>
        </w:rPr>
        <w:t>716</w:t>
      </w:r>
      <w:r w:rsidRPr="00DB2AFA">
        <w:rPr>
          <w:rFonts w:ascii="Tahoma" w:hAnsi="Tahoma"/>
          <w:sz w:val="27"/>
          <w:rtl/>
          <w:lang w:bidi="fa-IR"/>
        </w:rPr>
        <w:t>هـ</w:t>
      </w:r>
      <w:r w:rsidRPr="00904FCB">
        <w:rPr>
          <w:rFonts w:ascii="Tahoma" w:hAnsi="Tahoma"/>
          <w:sz w:val="27"/>
          <w:rtl/>
          <w:lang w:bidi="fa-IR"/>
        </w:rPr>
        <w:t>) فيُعرِّف المصلحة لفظاً وحداً</w:t>
      </w:r>
      <w:r w:rsidR="00DF4B98" w:rsidRPr="00904FCB">
        <w:rPr>
          <w:rFonts w:ascii="Tahoma" w:hAnsi="Tahoma" w:hint="cs"/>
          <w:sz w:val="27"/>
          <w:rtl/>
          <w:lang w:bidi="fa-IR"/>
        </w:rPr>
        <w:t>،</w:t>
      </w:r>
      <w:r w:rsidRPr="00904FCB">
        <w:rPr>
          <w:rFonts w:ascii="Tahoma" w:hAnsi="Tahoma"/>
          <w:sz w:val="27"/>
          <w:rtl/>
          <w:lang w:bidi="fa-IR"/>
        </w:rPr>
        <w:t xml:space="preserve"> فيقول: «أما لفظتها فهي مفعلة من الصلاح، وهو كون الشيء على هيئة</w:t>
      </w:r>
      <w:r w:rsidR="00DF4B98" w:rsidRPr="00904FCB">
        <w:rPr>
          <w:rFonts w:ascii="Tahoma" w:hAnsi="Tahoma" w:hint="cs"/>
          <w:sz w:val="27"/>
          <w:rtl/>
          <w:lang w:bidi="fa-IR"/>
        </w:rPr>
        <w:t>ٍ</w:t>
      </w:r>
      <w:r w:rsidRPr="00904FCB">
        <w:rPr>
          <w:rFonts w:ascii="Tahoma" w:hAnsi="Tahoma"/>
          <w:sz w:val="27"/>
          <w:rtl/>
          <w:lang w:bidi="fa-IR"/>
        </w:rPr>
        <w:t xml:space="preserve"> كاملة بح</w:t>
      </w:r>
      <w:r w:rsidR="00DF4B98" w:rsidRPr="00904FCB">
        <w:rPr>
          <w:rFonts w:ascii="Tahoma" w:hAnsi="Tahoma" w:hint="cs"/>
          <w:sz w:val="27"/>
          <w:rtl/>
          <w:lang w:bidi="fa-IR"/>
        </w:rPr>
        <w:t>َ</w:t>
      </w:r>
      <w:r w:rsidRPr="00904FCB">
        <w:rPr>
          <w:rFonts w:ascii="Tahoma" w:hAnsi="Tahoma"/>
          <w:sz w:val="27"/>
          <w:rtl/>
          <w:lang w:bidi="fa-IR"/>
        </w:rPr>
        <w:t>س</w:t>
      </w:r>
      <w:r w:rsidR="00DF4B98" w:rsidRPr="00904FCB">
        <w:rPr>
          <w:rFonts w:ascii="Tahoma" w:hAnsi="Tahoma" w:hint="cs"/>
          <w:sz w:val="27"/>
          <w:rtl/>
          <w:lang w:bidi="fa-IR"/>
        </w:rPr>
        <w:t>َ</w:t>
      </w:r>
      <w:r w:rsidRPr="00904FCB">
        <w:rPr>
          <w:rFonts w:ascii="Tahoma" w:hAnsi="Tahoma"/>
          <w:sz w:val="27"/>
          <w:rtl/>
          <w:lang w:bidi="fa-IR"/>
        </w:rPr>
        <w:t>ب ما يُراد ذلك الشيء له.</w:t>
      </w:r>
      <w:r w:rsidR="00DF4B98" w:rsidRPr="00904FCB">
        <w:rPr>
          <w:rFonts w:ascii="Tahoma" w:hAnsi="Tahoma" w:hint="cs"/>
          <w:sz w:val="27"/>
          <w:rtl/>
          <w:lang w:bidi="fa-IR"/>
        </w:rPr>
        <w:t>.</w:t>
      </w:r>
      <w:r w:rsidRPr="00904FCB">
        <w:rPr>
          <w:rFonts w:ascii="Tahoma" w:hAnsi="Tahoma"/>
          <w:sz w:val="27"/>
          <w:rtl/>
          <w:lang w:bidi="fa-IR"/>
        </w:rPr>
        <w:t>. وأما حد</w:t>
      </w:r>
      <w:r w:rsidR="00DF4B98" w:rsidRPr="00904FCB">
        <w:rPr>
          <w:rFonts w:ascii="Tahoma" w:hAnsi="Tahoma" w:hint="cs"/>
          <w:sz w:val="27"/>
          <w:rtl/>
          <w:lang w:bidi="fa-IR"/>
        </w:rPr>
        <w:t>ُّ</w:t>
      </w:r>
      <w:r w:rsidRPr="00904FCB">
        <w:rPr>
          <w:rFonts w:ascii="Tahoma" w:hAnsi="Tahoma"/>
          <w:sz w:val="27"/>
          <w:rtl/>
          <w:lang w:bidi="fa-IR"/>
        </w:rPr>
        <w:t>ها بح</w:t>
      </w:r>
      <w:r w:rsidR="00DF4B98" w:rsidRPr="00904FCB">
        <w:rPr>
          <w:rFonts w:ascii="Tahoma" w:hAnsi="Tahoma" w:hint="cs"/>
          <w:sz w:val="27"/>
          <w:rtl/>
          <w:lang w:bidi="fa-IR"/>
        </w:rPr>
        <w:t>َ</w:t>
      </w:r>
      <w:r w:rsidRPr="00904FCB">
        <w:rPr>
          <w:rFonts w:ascii="Tahoma" w:hAnsi="Tahoma"/>
          <w:sz w:val="27"/>
          <w:rtl/>
          <w:lang w:bidi="fa-IR"/>
        </w:rPr>
        <w:t>س</w:t>
      </w:r>
      <w:r w:rsidR="00DF4B98" w:rsidRPr="00904FCB">
        <w:rPr>
          <w:rFonts w:ascii="Tahoma" w:hAnsi="Tahoma" w:hint="cs"/>
          <w:sz w:val="27"/>
          <w:rtl/>
          <w:lang w:bidi="fa-IR"/>
        </w:rPr>
        <w:t>َ</w:t>
      </w:r>
      <w:r w:rsidRPr="00904FCB">
        <w:rPr>
          <w:rFonts w:ascii="Tahoma" w:hAnsi="Tahoma"/>
          <w:sz w:val="27"/>
          <w:rtl/>
          <w:lang w:bidi="fa-IR"/>
        </w:rPr>
        <w:t>ب الع</w:t>
      </w:r>
      <w:r w:rsidR="00DF4B98" w:rsidRPr="00904FCB">
        <w:rPr>
          <w:rFonts w:ascii="Tahoma" w:hAnsi="Tahoma" w:hint="cs"/>
          <w:sz w:val="27"/>
          <w:rtl/>
          <w:lang w:bidi="fa-IR"/>
        </w:rPr>
        <w:t>ُ</w:t>
      </w:r>
      <w:r w:rsidRPr="00904FCB">
        <w:rPr>
          <w:rFonts w:ascii="Tahoma" w:hAnsi="Tahoma"/>
          <w:sz w:val="27"/>
          <w:rtl/>
          <w:lang w:bidi="fa-IR"/>
        </w:rPr>
        <w:t>ر</w:t>
      </w:r>
      <w:r w:rsidR="00DF4B98" w:rsidRPr="00904FCB">
        <w:rPr>
          <w:rFonts w:ascii="Tahoma" w:hAnsi="Tahoma" w:hint="cs"/>
          <w:sz w:val="27"/>
          <w:rtl/>
          <w:lang w:bidi="fa-IR"/>
        </w:rPr>
        <w:t>ْ</w:t>
      </w:r>
      <w:r w:rsidRPr="00904FCB">
        <w:rPr>
          <w:rFonts w:ascii="Tahoma" w:hAnsi="Tahoma"/>
          <w:sz w:val="27"/>
          <w:rtl/>
          <w:lang w:bidi="fa-IR"/>
        </w:rPr>
        <w:t>ف فهي السبب المؤد</w:t>
      </w:r>
      <w:r w:rsidR="00DF4B98" w:rsidRPr="00904FCB">
        <w:rPr>
          <w:rFonts w:ascii="Tahoma" w:hAnsi="Tahoma" w:hint="cs"/>
          <w:sz w:val="27"/>
          <w:rtl/>
          <w:lang w:bidi="fa-IR"/>
        </w:rPr>
        <w:t>ّ</w:t>
      </w:r>
      <w:r w:rsidRPr="00904FCB">
        <w:rPr>
          <w:rFonts w:ascii="Tahoma" w:hAnsi="Tahoma"/>
          <w:sz w:val="27"/>
          <w:rtl/>
          <w:lang w:bidi="fa-IR"/>
        </w:rPr>
        <w:t>ي إلى مقصود الشارع</w:t>
      </w:r>
      <w:r w:rsidR="00DF4B98" w:rsidRPr="00904FCB">
        <w:rPr>
          <w:rFonts w:ascii="Tahoma" w:hAnsi="Tahoma" w:hint="cs"/>
          <w:sz w:val="27"/>
          <w:rtl/>
          <w:lang w:bidi="fa-IR"/>
        </w:rPr>
        <w:t xml:space="preserve">، </w:t>
      </w:r>
      <w:r w:rsidRPr="00904FCB">
        <w:rPr>
          <w:rFonts w:ascii="Tahoma" w:hAnsi="Tahoma"/>
          <w:sz w:val="27"/>
          <w:rtl/>
          <w:lang w:bidi="fa-IR"/>
        </w:rPr>
        <w:t>عبادة</w:t>
      </w:r>
      <w:r w:rsidR="00DF4B98" w:rsidRPr="00904FCB">
        <w:rPr>
          <w:rFonts w:ascii="Tahoma" w:hAnsi="Tahoma" w:hint="cs"/>
          <w:sz w:val="27"/>
          <w:rtl/>
          <w:lang w:bidi="fa-IR"/>
        </w:rPr>
        <w:t>ً</w:t>
      </w:r>
      <w:r w:rsidRPr="00904FCB">
        <w:rPr>
          <w:rFonts w:ascii="Tahoma" w:hAnsi="Tahoma"/>
          <w:sz w:val="27"/>
          <w:rtl/>
          <w:lang w:bidi="fa-IR"/>
        </w:rPr>
        <w:t xml:space="preserve"> أوعادة</w:t>
      </w:r>
      <w:r w:rsidR="00DF4B98" w:rsidRPr="00904FCB">
        <w:rPr>
          <w:rFonts w:ascii="Tahoma" w:hAnsi="Tahoma" w:hint="cs"/>
          <w:sz w:val="27"/>
          <w:rtl/>
          <w:lang w:bidi="fa-IR"/>
        </w:rPr>
        <w:t>ً</w:t>
      </w:r>
      <w:r w:rsidRPr="00904FCB">
        <w:rPr>
          <w:rFonts w:ascii="Tahoma" w:hAnsi="Tahoma"/>
          <w:sz w:val="27"/>
          <w:rtl/>
          <w:lang w:bidi="fa-IR"/>
        </w:rPr>
        <w:t>»</w:t>
      </w:r>
      <w:r w:rsidRPr="00904FCB">
        <w:rPr>
          <w:rFonts w:hint="cs"/>
          <w:sz w:val="27"/>
          <w:vertAlign w:val="superscript"/>
          <w:rtl/>
        </w:rPr>
        <w:t>(</w:t>
      </w:r>
      <w:r w:rsidRPr="00904FCB">
        <w:rPr>
          <w:rStyle w:val="ac"/>
          <w:sz w:val="27"/>
          <w:rtl/>
        </w:rPr>
        <w:endnoteReference w:id="257"/>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ومن الممكن استنباط بعض الحقائق اللازمة للتعريفات السابقة</w:t>
      </w:r>
      <w:r w:rsidR="00DF4B98" w:rsidRPr="00904FCB">
        <w:rPr>
          <w:rFonts w:ascii="Tahoma" w:hAnsi="Tahoma" w:hint="cs"/>
          <w:sz w:val="27"/>
          <w:rtl/>
          <w:lang w:bidi="fa-IR"/>
        </w:rPr>
        <w:t>.</w:t>
      </w:r>
      <w:r w:rsidRPr="00904FCB">
        <w:rPr>
          <w:rFonts w:ascii="Tahoma" w:hAnsi="Tahoma"/>
          <w:sz w:val="27"/>
          <w:rtl/>
          <w:lang w:bidi="fa-IR"/>
        </w:rPr>
        <w:t xml:space="preserve"> </w:t>
      </w:r>
      <w:r w:rsidR="00DF4B98" w:rsidRPr="00904FCB">
        <w:rPr>
          <w:rFonts w:ascii="Tahoma" w:hAnsi="Tahoma" w:hint="cs"/>
          <w:sz w:val="27"/>
          <w:rtl/>
          <w:lang w:bidi="fa-IR"/>
        </w:rPr>
        <w:t>و</w:t>
      </w:r>
      <w:r w:rsidRPr="00904FCB">
        <w:rPr>
          <w:rFonts w:ascii="Tahoma" w:hAnsi="Tahoma"/>
          <w:sz w:val="27"/>
          <w:rtl/>
          <w:lang w:bidi="fa-IR"/>
        </w:rPr>
        <w:t xml:space="preserve">تلك الحقائق هي: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الأولى</w:t>
      </w:r>
      <w:r w:rsidRPr="00904FCB">
        <w:rPr>
          <w:rFonts w:ascii="Tahoma" w:hAnsi="Tahoma"/>
          <w:sz w:val="27"/>
          <w:rtl/>
          <w:lang w:bidi="fa-IR"/>
        </w:rPr>
        <w:t xml:space="preserve">: </w:t>
      </w:r>
      <w:r w:rsidR="00DF4B98" w:rsidRPr="00904FCB">
        <w:rPr>
          <w:rFonts w:ascii="Tahoma" w:hAnsi="Tahoma" w:hint="cs"/>
          <w:sz w:val="27"/>
          <w:rtl/>
          <w:lang w:bidi="fa-IR"/>
        </w:rPr>
        <w:t>إ</w:t>
      </w:r>
      <w:r w:rsidRPr="00904FCB">
        <w:rPr>
          <w:rFonts w:ascii="Tahoma" w:hAnsi="Tahoma"/>
          <w:sz w:val="27"/>
          <w:rtl/>
          <w:lang w:bidi="fa-IR"/>
        </w:rPr>
        <w:t xml:space="preserve">ن المصلحة ـ </w:t>
      </w:r>
      <w:r w:rsidR="00DF4B98" w:rsidRPr="00904FCB">
        <w:rPr>
          <w:rFonts w:ascii="Tahoma" w:hAnsi="Tahoma" w:hint="cs"/>
          <w:sz w:val="27"/>
          <w:rtl/>
          <w:lang w:bidi="fa-IR"/>
        </w:rPr>
        <w:t>ك</w:t>
      </w:r>
      <w:r w:rsidRPr="00904FCB">
        <w:rPr>
          <w:rFonts w:ascii="Tahoma" w:hAnsi="Tahoma"/>
          <w:sz w:val="27"/>
          <w:rtl/>
          <w:lang w:bidi="fa-IR"/>
        </w:rPr>
        <w:t>ما عرفت ـ ليست هي الهوى، أو الش</w:t>
      </w:r>
      <w:r w:rsidR="00DF4B98" w:rsidRPr="00904FCB">
        <w:rPr>
          <w:rFonts w:ascii="Tahoma" w:hAnsi="Tahoma" w:hint="cs"/>
          <w:sz w:val="27"/>
          <w:rtl/>
          <w:lang w:bidi="fa-IR"/>
        </w:rPr>
        <w:t>َّ</w:t>
      </w:r>
      <w:r w:rsidRPr="00904FCB">
        <w:rPr>
          <w:rFonts w:ascii="Tahoma" w:hAnsi="Tahoma"/>
          <w:sz w:val="27"/>
          <w:rtl/>
          <w:lang w:bidi="fa-IR"/>
        </w:rPr>
        <w:t>ه</w:t>
      </w:r>
      <w:r w:rsidR="00DF4B98" w:rsidRPr="00904FCB">
        <w:rPr>
          <w:rFonts w:ascii="Tahoma" w:hAnsi="Tahoma" w:hint="cs"/>
          <w:sz w:val="27"/>
          <w:rtl/>
          <w:lang w:bidi="fa-IR"/>
        </w:rPr>
        <w:t>ْ</w:t>
      </w:r>
      <w:r w:rsidRPr="00904FCB">
        <w:rPr>
          <w:rFonts w:ascii="Tahoma" w:hAnsi="Tahoma"/>
          <w:sz w:val="27"/>
          <w:rtl/>
          <w:lang w:bidi="fa-IR"/>
        </w:rPr>
        <w:t>وة، أو الغرض الشخصي</w:t>
      </w:r>
      <w:r w:rsidR="00DF4B98" w:rsidRPr="00904FCB">
        <w:rPr>
          <w:rFonts w:ascii="Tahoma" w:hAnsi="Tahoma" w:hint="cs"/>
          <w:sz w:val="27"/>
          <w:rtl/>
          <w:lang w:bidi="fa-IR"/>
        </w:rPr>
        <w:t>.</w:t>
      </w:r>
      <w:r w:rsidRPr="00904FCB">
        <w:rPr>
          <w:rFonts w:ascii="Tahoma" w:hAnsi="Tahoma"/>
          <w:sz w:val="27"/>
          <w:rtl/>
          <w:lang w:bidi="fa-IR"/>
        </w:rPr>
        <w:t xml:space="preserve"> ويؤك</w:t>
      </w:r>
      <w:r w:rsidR="00DF4B98" w:rsidRPr="00904FCB">
        <w:rPr>
          <w:rFonts w:ascii="Tahoma" w:hAnsi="Tahoma" w:hint="cs"/>
          <w:sz w:val="27"/>
          <w:rtl/>
          <w:lang w:bidi="fa-IR"/>
        </w:rPr>
        <w:t>ِّ</w:t>
      </w:r>
      <w:r w:rsidRPr="00904FCB">
        <w:rPr>
          <w:rFonts w:ascii="Tahoma" w:hAnsi="Tahoma"/>
          <w:sz w:val="27"/>
          <w:rtl/>
          <w:lang w:bidi="fa-IR"/>
        </w:rPr>
        <w:t>د ذلك قول الغزالي حين يقر</w:t>
      </w:r>
      <w:r w:rsidR="00DF4B98" w:rsidRPr="00904FCB">
        <w:rPr>
          <w:rFonts w:ascii="Tahoma" w:hAnsi="Tahoma" w:hint="cs"/>
          <w:sz w:val="27"/>
          <w:rtl/>
          <w:lang w:bidi="fa-IR"/>
        </w:rPr>
        <w:t>ِّ</w:t>
      </w:r>
      <w:r w:rsidRPr="00904FCB">
        <w:rPr>
          <w:rFonts w:ascii="Tahoma" w:hAnsi="Tahoma"/>
          <w:sz w:val="27"/>
          <w:rtl/>
          <w:lang w:bidi="fa-IR"/>
        </w:rPr>
        <w:t xml:space="preserve">ر أنها المحافظة على مقصود الشرع.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الثانية</w:t>
      </w:r>
      <w:r w:rsidRPr="00904FCB">
        <w:rPr>
          <w:rFonts w:ascii="Tahoma" w:hAnsi="Tahoma"/>
          <w:sz w:val="27"/>
          <w:rtl/>
          <w:lang w:bidi="fa-IR"/>
        </w:rPr>
        <w:t xml:space="preserve">: </w:t>
      </w:r>
      <w:r w:rsidR="00DF4B98" w:rsidRPr="00904FCB">
        <w:rPr>
          <w:rFonts w:ascii="Tahoma" w:hAnsi="Tahoma" w:hint="cs"/>
          <w:sz w:val="27"/>
          <w:rtl/>
          <w:lang w:bidi="fa-IR"/>
        </w:rPr>
        <w:t>إ</w:t>
      </w:r>
      <w:r w:rsidRPr="00904FCB">
        <w:rPr>
          <w:rFonts w:ascii="Tahoma" w:hAnsi="Tahoma"/>
          <w:sz w:val="27"/>
          <w:rtl/>
          <w:lang w:bidi="fa-IR"/>
        </w:rPr>
        <w:t>ن دفع المفسدة كجلب المنفعة</w:t>
      </w:r>
      <w:r w:rsidR="00DF4B98" w:rsidRPr="00904FCB">
        <w:rPr>
          <w:rFonts w:ascii="Tahoma" w:hAnsi="Tahoma" w:hint="cs"/>
          <w:sz w:val="27"/>
          <w:rtl/>
          <w:lang w:bidi="fa-IR"/>
        </w:rPr>
        <w:t>،</w:t>
      </w:r>
      <w:r w:rsidRPr="00904FCB">
        <w:rPr>
          <w:rFonts w:ascii="Tahoma" w:hAnsi="Tahoma"/>
          <w:sz w:val="27"/>
          <w:rtl/>
          <w:lang w:bidi="fa-IR"/>
        </w:rPr>
        <w:t xml:space="preserve"> كلاهما سواء</w:t>
      </w:r>
      <w:r w:rsidR="00DF4B98" w:rsidRPr="00904FCB">
        <w:rPr>
          <w:rFonts w:ascii="Tahoma" w:hAnsi="Tahoma" w:hint="cs"/>
          <w:sz w:val="27"/>
          <w:rtl/>
          <w:lang w:bidi="fa-IR"/>
        </w:rPr>
        <w:t>ٌ</w:t>
      </w:r>
      <w:r w:rsidR="00DF4B98" w:rsidRPr="00904FCB">
        <w:rPr>
          <w:rFonts w:ascii="Tahoma" w:hAnsi="Tahoma"/>
          <w:sz w:val="27"/>
          <w:rtl/>
          <w:lang w:bidi="fa-IR"/>
        </w:rPr>
        <w:t xml:space="preserve"> في أن كلا</w:t>
      </w:r>
      <w:r w:rsidR="00DF4B98" w:rsidRPr="00904FCB">
        <w:rPr>
          <w:rFonts w:ascii="Tahoma" w:hAnsi="Tahoma" w:hint="cs"/>
          <w:sz w:val="27"/>
          <w:rtl/>
          <w:lang w:bidi="fa-IR"/>
        </w:rPr>
        <w:t>ًّ</w:t>
      </w:r>
      <w:r w:rsidRPr="00904FCB">
        <w:rPr>
          <w:rFonts w:ascii="Tahoma" w:hAnsi="Tahoma"/>
          <w:sz w:val="27"/>
          <w:rtl/>
          <w:lang w:bidi="fa-IR"/>
        </w:rPr>
        <w:t xml:space="preserve"> منهما تشمله كلمة «المصلحة»</w:t>
      </w:r>
      <w:r w:rsidR="00DF4B98" w:rsidRPr="00904FCB">
        <w:rPr>
          <w:rFonts w:ascii="Tahoma" w:hAnsi="Tahoma" w:hint="cs"/>
          <w:sz w:val="27"/>
          <w:rtl/>
          <w:lang w:bidi="fa-IR"/>
        </w:rPr>
        <w:t>.</w:t>
      </w:r>
      <w:r w:rsidRPr="00904FCB">
        <w:rPr>
          <w:rFonts w:ascii="Tahoma" w:hAnsi="Tahoma"/>
          <w:sz w:val="27"/>
          <w:rtl/>
          <w:lang w:bidi="fa-IR"/>
        </w:rPr>
        <w:t xml:space="preserve"> ولا ينقض هذا باقتصار «الخوارزمي» وهو بصدد تعريفه السابق أن «المصلحة دفع المفسدة»؛ لأن المحافظة على مقصود الشرع يتبادر منها لأو</w:t>
      </w:r>
      <w:r w:rsidR="00DF4B98" w:rsidRPr="00904FCB">
        <w:rPr>
          <w:rFonts w:ascii="Tahoma" w:hAnsi="Tahoma" w:hint="cs"/>
          <w:sz w:val="27"/>
          <w:rtl/>
          <w:lang w:bidi="fa-IR"/>
        </w:rPr>
        <w:t>ّ</w:t>
      </w:r>
      <w:r w:rsidRPr="00904FCB">
        <w:rPr>
          <w:rFonts w:ascii="Tahoma" w:hAnsi="Tahoma"/>
          <w:sz w:val="27"/>
          <w:rtl/>
          <w:lang w:bidi="fa-IR"/>
        </w:rPr>
        <w:t>ل و</w:t>
      </w:r>
      <w:r w:rsidR="00DF4B98" w:rsidRPr="00904FCB">
        <w:rPr>
          <w:rFonts w:ascii="Tahoma" w:hAnsi="Tahoma" w:hint="cs"/>
          <w:sz w:val="27"/>
          <w:rtl/>
          <w:lang w:bidi="fa-IR"/>
        </w:rPr>
        <w:t>َ</w:t>
      </w:r>
      <w:r w:rsidRPr="00904FCB">
        <w:rPr>
          <w:rFonts w:ascii="Tahoma" w:hAnsi="Tahoma"/>
          <w:sz w:val="27"/>
          <w:rtl/>
          <w:lang w:bidi="fa-IR"/>
        </w:rPr>
        <w:t>ه</w:t>
      </w:r>
      <w:r w:rsidR="00DF4B98" w:rsidRPr="00904FCB">
        <w:rPr>
          <w:rFonts w:ascii="Tahoma" w:hAnsi="Tahoma" w:hint="cs"/>
          <w:sz w:val="27"/>
          <w:rtl/>
          <w:lang w:bidi="fa-IR"/>
        </w:rPr>
        <w:t>ْ</w:t>
      </w:r>
      <w:r w:rsidRPr="00904FCB">
        <w:rPr>
          <w:rFonts w:ascii="Tahoma" w:hAnsi="Tahoma"/>
          <w:sz w:val="27"/>
          <w:rtl/>
          <w:lang w:bidi="fa-IR"/>
        </w:rPr>
        <w:t>لة ذلك الجانب الإيجابي الذي يتضمن في جلب المصلحة</w:t>
      </w:r>
      <w:r w:rsidR="009D103D" w:rsidRPr="00904FCB">
        <w:rPr>
          <w:rFonts w:ascii="Tahoma" w:hAnsi="Tahoma" w:hint="cs"/>
          <w:sz w:val="27"/>
          <w:rtl/>
          <w:lang w:bidi="fa-IR"/>
        </w:rPr>
        <w:t>.</w:t>
      </w:r>
      <w:r w:rsidRPr="00904FCB">
        <w:rPr>
          <w:rFonts w:ascii="Tahoma" w:hAnsi="Tahoma"/>
          <w:sz w:val="27"/>
          <w:rtl/>
          <w:lang w:bidi="fa-IR"/>
        </w:rPr>
        <w:t xml:space="preserve"> ولعل هذا التبادر هو السر</w:t>
      </w:r>
      <w:r w:rsidR="009D103D" w:rsidRPr="00904FCB">
        <w:rPr>
          <w:rFonts w:ascii="Tahoma" w:hAnsi="Tahoma" w:hint="cs"/>
          <w:sz w:val="27"/>
          <w:rtl/>
          <w:lang w:bidi="fa-IR"/>
        </w:rPr>
        <w:t>ّ</w:t>
      </w:r>
      <w:r w:rsidRPr="00904FCB">
        <w:rPr>
          <w:rFonts w:ascii="Tahoma" w:hAnsi="Tahoma"/>
          <w:sz w:val="27"/>
          <w:rtl/>
          <w:lang w:bidi="fa-IR"/>
        </w:rPr>
        <w:t xml:space="preserve"> في أنّه قد صر</w:t>
      </w:r>
      <w:r w:rsidR="009D103D" w:rsidRPr="00904FCB">
        <w:rPr>
          <w:rFonts w:ascii="Tahoma" w:hAnsi="Tahoma" w:hint="cs"/>
          <w:sz w:val="27"/>
          <w:rtl/>
          <w:lang w:bidi="fa-IR"/>
        </w:rPr>
        <w:t>ّ</w:t>
      </w:r>
      <w:r w:rsidRPr="00904FCB">
        <w:rPr>
          <w:rFonts w:ascii="Tahoma" w:hAnsi="Tahoma"/>
          <w:sz w:val="27"/>
          <w:rtl/>
          <w:lang w:bidi="fa-IR"/>
        </w:rPr>
        <w:t>ح بدفع المفسدة</w:t>
      </w:r>
      <w:r w:rsidR="009D103D" w:rsidRPr="00904FCB">
        <w:rPr>
          <w:rFonts w:ascii="Tahoma" w:hAnsi="Tahoma" w:hint="cs"/>
          <w:sz w:val="27"/>
          <w:rtl/>
          <w:lang w:bidi="fa-IR"/>
        </w:rPr>
        <w:t>؛</w:t>
      </w:r>
      <w:r w:rsidRPr="00904FCB">
        <w:rPr>
          <w:rFonts w:ascii="Tahoma" w:hAnsi="Tahoma"/>
          <w:sz w:val="27"/>
          <w:rtl/>
          <w:lang w:bidi="fa-IR"/>
        </w:rPr>
        <w:t xml:space="preserve"> ليدخله ضمن المراد، لا ليقي</w:t>
      </w:r>
      <w:r w:rsidR="009D103D" w:rsidRPr="00904FCB">
        <w:rPr>
          <w:rFonts w:ascii="Tahoma" w:hAnsi="Tahoma" w:hint="cs"/>
          <w:sz w:val="27"/>
          <w:rtl/>
          <w:lang w:bidi="fa-IR"/>
        </w:rPr>
        <w:t>ِّ</w:t>
      </w:r>
      <w:r w:rsidRPr="00904FCB">
        <w:rPr>
          <w:rFonts w:ascii="Tahoma" w:hAnsi="Tahoma"/>
          <w:sz w:val="27"/>
          <w:rtl/>
          <w:lang w:bidi="fa-IR"/>
        </w:rPr>
        <w:t xml:space="preserve">د المراد به.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lastRenderedPageBreak/>
        <w:t>الثالثة</w:t>
      </w:r>
      <w:r w:rsidRPr="00904FCB">
        <w:rPr>
          <w:rFonts w:ascii="Tahoma" w:hAnsi="Tahoma"/>
          <w:sz w:val="27"/>
          <w:rtl/>
          <w:lang w:bidi="fa-IR"/>
        </w:rPr>
        <w:t xml:space="preserve">: </w:t>
      </w:r>
      <w:r w:rsidR="009D103D" w:rsidRPr="00904FCB">
        <w:rPr>
          <w:rFonts w:ascii="Tahoma" w:hAnsi="Tahoma" w:hint="cs"/>
          <w:sz w:val="27"/>
          <w:rtl/>
          <w:lang w:bidi="fa-IR"/>
        </w:rPr>
        <w:t>إ</w:t>
      </w:r>
      <w:r w:rsidRPr="00904FCB">
        <w:rPr>
          <w:rFonts w:ascii="Tahoma" w:hAnsi="Tahoma"/>
          <w:sz w:val="27"/>
          <w:rtl/>
          <w:lang w:bidi="fa-IR"/>
        </w:rPr>
        <w:t>ن</w:t>
      </w:r>
      <w:r w:rsidR="009D103D" w:rsidRPr="00904FCB">
        <w:rPr>
          <w:rFonts w:ascii="Tahoma" w:hAnsi="Tahoma" w:hint="cs"/>
          <w:sz w:val="27"/>
          <w:rtl/>
          <w:lang w:bidi="fa-IR"/>
        </w:rPr>
        <w:t>ّ</w:t>
      </w:r>
      <w:r w:rsidRPr="00904FCB">
        <w:rPr>
          <w:rFonts w:ascii="Tahoma" w:hAnsi="Tahoma"/>
          <w:sz w:val="27"/>
          <w:rtl/>
          <w:lang w:bidi="fa-IR"/>
        </w:rPr>
        <w:t xml:space="preserve"> كل</w:t>
      </w:r>
      <w:r w:rsidR="009D103D" w:rsidRPr="00904FCB">
        <w:rPr>
          <w:rFonts w:ascii="Tahoma" w:hAnsi="Tahoma" w:hint="cs"/>
          <w:sz w:val="27"/>
          <w:rtl/>
          <w:lang w:bidi="fa-IR"/>
        </w:rPr>
        <w:t>ّ</w:t>
      </w:r>
      <w:r w:rsidRPr="00904FCB">
        <w:rPr>
          <w:rFonts w:ascii="Tahoma" w:hAnsi="Tahoma"/>
          <w:sz w:val="27"/>
          <w:rtl/>
          <w:lang w:bidi="fa-IR"/>
        </w:rPr>
        <w:t xml:space="preserve"> مصلحة</w:t>
      </w:r>
      <w:r w:rsidR="009D103D" w:rsidRPr="00904FCB">
        <w:rPr>
          <w:rFonts w:ascii="Tahoma" w:hAnsi="Tahoma" w:hint="cs"/>
          <w:sz w:val="27"/>
          <w:rtl/>
          <w:lang w:bidi="fa-IR"/>
        </w:rPr>
        <w:t>ٍ</w:t>
      </w:r>
      <w:r w:rsidRPr="00904FCB">
        <w:rPr>
          <w:rFonts w:ascii="Tahoma" w:hAnsi="Tahoma"/>
          <w:sz w:val="27"/>
          <w:rtl/>
          <w:lang w:bidi="fa-IR"/>
        </w:rPr>
        <w:t xml:space="preserve"> قد ظفرت برعاية</w:t>
      </w:r>
      <w:r w:rsidR="009D103D" w:rsidRPr="00904FCB">
        <w:rPr>
          <w:rFonts w:ascii="Tahoma" w:hAnsi="Tahoma" w:hint="cs"/>
          <w:sz w:val="27"/>
          <w:rtl/>
          <w:lang w:bidi="fa-IR"/>
        </w:rPr>
        <w:t>ٍ</w:t>
      </w:r>
      <w:r w:rsidRPr="00904FCB">
        <w:rPr>
          <w:rFonts w:ascii="Tahoma" w:hAnsi="Tahoma"/>
          <w:sz w:val="27"/>
          <w:rtl/>
          <w:lang w:bidi="fa-IR"/>
        </w:rPr>
        <w:t xml:space="preserve"> من الشارع لها</w:t>
      </w:r>
      <w:r w:rsidR="009D103D" w:rsidRPr="00904FCB">
        <w:rPr>
          <w:rFonts w:ascii="Tahoma" w:hAnsi="Tahoma" w:hint="cs"/>
          <w:sz w:val="27"/>
          <w:rtl/>
          <w:lang w:bidi="fa-IR"/>
        </w:rPr>
        <w:t>؛</w:t>
      </w:r>
      <w:r w:rsidRPr="00904FCB">
        <w:rPr>
          <w:rFonts w:ascii="Tahoma" w:hAnsi="Tahoma"/>
          <w:sz w:val="27"/>
          <w:rtl/>
          <w:lang w:bidi="fa-IR"/>
        </w:rPr>
        <w:t xml:space="preserve"> ضرورة أن المصالح جميعاً مت</w:t>
      </w:r>
      <w:r w:rsidR="009D103D" w:rsidRPr="00904FCB">
        <w:rPr>
          <w:rFonts w:ascii="Tahoma" w:hAnsi="Tahoma" w:hint="cs"/>
          <w:sz w:val="27"/>
          <w:rtl/>
          <w:lang w:bidi="fa-IR"/>
        </w:rPr>
        <w:t>ّ</w:t>
      </w:r>
      <w:r w:rsidRPr="00904FCB">
        <w:rPr>
          <w:rFonts w:ascii="Tahoma" w:hAnsi="Tahoma"/>
          <w:sz w:val="27"/>
          <w:rtl/>
          <w:lang w:bidi="fa-IR"/>
        </w:rPr>
        <w:t>صلة ـ من قريب</w:t>
      </w:r>
      <w:r w:rsidR="009D103D" w:rsidRPr="00904FCB">
        <w:rPr>
          <w:rFonts w:ascii="Tahoma" w:hAnsi="Tahoma" w:hint="cs"/>
          <w:sz w:val="27"/>
          <w:rtl/>
          <w:lang w:bidi="fa-IR"/>
        </w:rPr>
        <w:t>ٍ</w:t>
      </w:r>
      <w:r w:rsidRPr="00904FCB">
        <w:rPr>
          <w:rFonts w:ascii="Tahoma" w:hAnsi="Tahoma"/>
          <w:sz w:val="27"/>
          <w:rtl/>
          <w:lang w:bidi="fa-IR"/>
        </w:rPr>
        <w:t xml:space="preserve"> أو بعيد ـ بحفظ خمسة أصول</w:t>
      </w:r>
      <w:r w:rsidR="009D103D" w:rsidRPr="00904FCB">
        <w:rPr>
          <w:rFonts w:ascii="Tahoma" w:hAnsi="Tahoma" w:hint="cs"/>
          <w:sz w:val="27"/>
          <w:rtl/>
          <w:lang w:bidi="fa-IR"/>
        </w:rPr>
        <w:t>،</w:t>
      </w:r>
      <w:r w:rsidRPr="00904FCB">
        <w:rPr>
          <w:rFonts w:ascii="Tahoma" w:hAnsi="Tahoma"/>
          <w:sz w:val="27"/>
          <w:rtl/>
          <w:lang w:bidi="fa-IR"/>
        </w:rPr>
        <w:t xml:space="preserve"> هي: الدين، العقل، النسل، المال، النفس. وهي ما توضع تحت مرتبة المصالح الضرورية.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والمصالح التي تقوم عليها الشريعة ثلاثة أنواع: مصالح ضرورية</w:t>
      </w:r>
      <w:r w:rsidR="009D103D" w:rsidRPr="00904FCB">
        <w:rPr>
          <w:rFonts w:ascii="Tahoma" w:hAnsi="Tahoma" w:hint="cs"/>
          <w:sz w:val="27"/>
          <w:rtl/>
          <w:lang w:bidi="fa-IR"/>
        </w:rPr>
        <w:t>؛</w:t>
      </w:r>
      <w:r w:rsidRPr="00904FCB">
        <w:rPr>
          <w:rFonts w:ascii="Tahoma" w:hAnsi="Tahoma"/>
          <w:sz w:val="27"/>
          <w:rtl/>
          <w:lang w:bidi="fa-IR"/>
        </w:rPr>
        <w:t xml:space="preserve"> ومصالح حاجية</w:t>
      </w:r>
      <w:r w:rsidR="009D103D" w:rsidRPr="00904FCB">
        <w:rPr>
          <w:rFonts w:ascii="Tahoma" w:hAnsi="Tahoma" w:hint="cs"/>
          <w:sz w:val="27"/>
          <w:rtl/>
          <w:lang w:bidi="fa-IR"/>
        </w:rPr>
        <w:t>؛</w:t>
      </w:r>
      <w:r w:rsidRPr="00904FCB">
        <w:rPr>
          <w:rFonts w:ascii="Tahoma" w:hAnsi="Tahoma"/>
          <w:sz w:val="27"/>
          <w:rtl/>
          <w:lang w:bidi="fa-IR"/>
        </w:rPr>
        <w:t xml:space="preserve"> ومصالح تحسينية. </w:t>
      </w:r>
    </w:p>
    <w:p w:rsidR="00644408" w:rsidRPr="00904FCB" w:rsidRDefault="009D103D" w:rsidP="007A21AA">
      <w:pPr>
        <w:autoSpaceDE w:val="0"/>
        <w:autoSpaceDN w:val="0"/>
        <w:adjustRightInd w:val="0"/>
        <w:spacing w:line="400" w:lineRule="exact"/>
        <w:rPr>
          <w:rFonts w:ascii="Tahoma" w:hAnsi="Tahoma"/>
          <w:sz w:val="27"/>
          <w:lang w:bidi="fa-IR"/>
        </w:rPr>
      </w:pPr>
      <w:r w:rsidRPr="00904FCB">
        <w:rPr>
          <w:rFonts w:ascii="Tahoma" w:hAnsi="Tahoma" w:hint="cs"/>
          <w:b/>
          <w:bCs/>
          <w:sz w:val="27"/>
          <w:rtl/>
          <w:lang w:bidi="fa-IR"/>
        </w:rPr>
        <w:t>و</w:t>
      </w:r>
      <w:r w:rsidR="00644408" w:rsidRPr="00904FCB">
        <w:rPr>
          <w:rFonts w:ascii="Tahoma" w:hAnsi="Tahoma"/>
          <w:b/>
          <w:bCs/>
          <w:sz w:val="27"/>
          <w:rtl/>
          <w:lang w:bidi="fa-IR"/>
        </w:rPr>
        <w:t>المصالح الضرورية</w:t>
      </w:r>
      <w:r w:rsidRPr="00904FCB">
        <w:rPr>
          <w:rFonts w:ascii="Tahoma" w:hAnsi="Tahoma" w:hint="cs"/>
          <w:sz w:val="27"/>
          <w:rtl/>
          <w:lang w:bidi="fa-IR"/>
        </w:rPr>
        <w:t xml:space="preserve"> </w:t>
      </w:r>
      <w:r w:rsidR="00644408" w:rsidRPr="00904FCB">
        <w:rPr>
          <w:rFonts w:ascii="Tahoma" w:hAnsi="Tahoma"/>
          <w:sz w:val="27"/>
          <w:rtl/>
          <w:lang w:bidi="fa-IR"/>
        </w:rPr>
        <w:t>هي التي تتوق</w:t>
      </w:r>
      <w:r w:rsidRPr="00904FCB">
        <w:rPr>
          <w:rFonts w:ascii="Tahoma" w:hAnsi="Tahoma" w:hint="cs"/>
          <w:sz w:val="27"/>
          <w:rtl/>
          <w:lang w:bidi="fa-IR"/>
        </w:rPr>
        <w:t>ّ</w:t>
      </w:r>
      <w:r w:rsidR="00644408" w:rsidRPr="00904FCB">
        <w:rPr>
          <w:rFonts w:ascii="Tahoma" w:hAnsi="Tahoma"/>
          <w:sz w:val="27"/>
          <w:rtl/>
          <w:lang w:bidi="fa-IR"/>
        </w:rPr>
        <w:t>ف عليها حياة الناس الدينية والدنيوية، بحيث إذا فقدت اختل</w:t>
      </w:r>
      <w:r w:rsidRPr="00904FCB">
        <w:rPr>
          <w:rFonts w:ascii="Tahoma" w:hAnsi="Tahoma" w:hint="cs"/>
          <w:sz w:val="27"/>
          <w:rtl/>
          <w:lang w:bidi="fa-IR"/>
        </w:rPr>
        <w:t>َّ</w:t>
      </w:r>
      <w:r w:rsidR="00644408" w:rsidRPr="00904FCB">
        <w:rPr>
          <w:rFonts w:ascii="Tahoma" w:hAnsi="Tahoma"/>
          <w:sz w:val="27"/>
          <w:rtl/>
          <w:lang w:bidi="fa-IR"/>
        </w:rPr>
        <w:t>ت</w:t>
      </w:r>
      <w:r w:rsidRPr="00904FCB">
        <w:rPr>
          <w:rFonts w:ascii="Tahoma" w:hAnsi="Tahoma" w:hint="cs"/>
          <w:sz w:val="27"/>
          <w:rtl/>
          <w:lang w:bidi="fa-IR"/>
        </w:rPr>
        <w:t>ْ</w:t>
      </w:r>
      <w:r w:rsidR="00644408" w:rsidRPr="00904FCB">
        <w:rPr>
          <w:rFonts w:ascii="Tahoma" w:hAnsi="Tahoma"/>
          <w:sz w:val="27"/>
          <w:rtl/>
          <w:lang w:bidi="fa-IR"/>
        </w:rPr>
        <w:t xml:space="preserve"> الحياة في الدنيا، وفات النعيم وحل</w:t>
      </w:r>
      <w:r w:rsidRPr="00904FCB">
        <w:rPr>
          <w:rFonts w:ascii="Tahoma" w:hAnsi="Tahoma" w:hint="cs"/>
          <w:sz w:val="27"/>
          <w:rtl/>
          <w:lang w:bidi="fa-IR"/>
        </w:rPr>
        <w:t>َّ</w:t>
      </w:r>
      <w:r w:rsidR="00644408" w:rsidRPr="00904FCB">
        <w:rPr>
          <w:rFonts w:ascii="Tahoma" w:hAnsi="Tahoma"/>
          <w:sz w:val="27"/>
          <w:rtl/>
          <w:lang w:bidi="fa-IR"/>
        </w:rPr>
        <w:t xml:space="preserve"> العقاب في الآخرة.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والمصالح الحاجية</w:t>
      </w:r>
      <w:r w:rsidR="009D103D" w:rsidRPr="00904FCB">
        <w:rPr>
          <w:rFonts w:ascii="Tahoma" w:hAnsi="Tahoma" w:hint="cs"/>
          <w:sz w:val="27"/>
          <w:rtl/>
          <w:lang w:bidi="fa-IR"/>
        </w:rPr>
        <w:t xml:space="preserve"> </w:t>
      </w:r>
      <w:r w:rsidRPr="00904FCB">
        <w:rPr>
          <w:rFonts w:ascii="Tahoma" w:hAnsi="Tahoma"/>
          <w:sz w:val="27"/>
          <w:rtl/>
          <w:lang w:bidi="fa-IR"/>
        </w:rPr>
        <w:t>هي الأمور التي يحتاج إليها الناس لرفع المش</w:t>
      </w:r>
      <w:r w:rsidR="009D103D" w:rsidRPr="00904FCB">
        <w:rPr>
          <w:rFonts w:ascii="Tahoma" w:hAnsi="Tahoma" w:hint="cs"/>
          <w:sz w:val="27"/>
          <w:rtl/>
          <w:lang w:bidi="fa-IR"/>
        </w:rPr>
        <w:t>قّ</w:t>
      </w:r>
      <w:r w:rsidRPr="00904FCB">
        <w:rPr>
          <w:rFonts w:ascii="Tahoma" w:hAnsi="Tahoma"/>
          <w:sz w:val="27"/>
          <w:rtl/>
          <w:lang w:bidi="fa-IR"/>
        </w:rPr>
        <w:t>ة ودفع الح</w:t>
      </w:r>
      <w:r w:rsidR="009D103D" w:rsidRPr="00904FCB">
        <w:rPr>
          <w:rFonts w:ascii="Tahoma" w:hAnsi="Tahoma" w:hint="cs"/>
          <w:sz w:val="27"/>
          <w:rtl/>
          <w:lang w:bidi="fa-IR"/>
        </w:rPr>
        <w:t>َ</w:t>
      </w:r>
      <w:r w:rsidRPr="00904FCB">
        <w:rPr>
          <w:rFonts w:ascii="Tahoma" w:hAnsi="Tahoma"/>
          <w:sz w:val="27"/>
          <w:rtl/>
          <w:lang w:bidi="fa-IR"/>
        </w:rPr>
        <w:t>ر</w:t>
      </w:r>
      <w:r w:rsidR="009D103D" w:rsidRPr="00904FCB">
        <w:rPr>
          <w:rFonts w:ascii="Tahoma" w:hAnsi="Tahoma" w:hint="cs"/>
          <w:sz w:val="27"/>
          <w:rtl/>
          <w:lang w:bidi="fa-IR"/>
        </w:rPr>
        <w:t>َ</w:t>
      </w:r>
      <w:r w:rsidRPr="00904FCB">
        <w:rPr>
          <w:rFonts w:ascii="Tahoma" w:hAnsi="Tahoma"/>
          <w:sz w:val="27"/>
          <w:rtl/>
          <w:lang w:bidi="fa-IR"/>
        </w:rPr>
        <w:t>ج والضيق عنهم، بحيث إذا فقدت لا تختل</w:t>
      </w:r>
      <w:r w:rsidR="009D103D" w:rsidRPr="00904FCB">
        <w:rPr>
          <w:rFonts w:ascii="Tahoma" w:hAnsi="Tahoma" w:hint="cs"/>
          <w:sz w:val="27"/>
          <w:rtl/>
          <w:lang w:bidi="fa-IR"/>
        </w:rPr>
        <w:t>ّ</w:t>
      </w:r>
      <w:r w:rsidRPr="00904FCB">
        <w:rPr>
          <w:rFonts w:ascii="Tahoma" w:hAnsi="Tahoma"/>
          <w:sz w:val="27"/>
          <w:rtl/>
          <w:lang w:bidi="fa-IR"/>
        </w:rPr>
        <w:t xml:space="preserve"> بفقدها حياتهم، بل يصيبهم ح</w:t>
      </w:r>
      <w:r w:rsidR="009D103D" w:rsidRPr="00904FCB">
        <w:rPr>
          <w:rFonts w:ascii="Tahoma" w:hAnsi="Tahoma" w:hint="cs"/>
          <w:sz w:val="27"/>
          <w:rtl/>
          <w:lang w:bidi="fa-IR"/>
        </w:rPr>
        <w:t>َ</w:t>
      </w:r>
      <w:r w:rsidRPr="00904FCB">
        <w:rPr>
          <w:rFonts w:ascii="Tahoma" w:hAnsi="Tahoma"/>
          <w:sz w:val="27"/>
          <w:rtl/>
          <w:lang w:bidi="fa-IR"/>
        </w:rPr>
        <w:t>ر</w:t>
      </w:r>
      <w:r w:rsidR="009D103D" w:rsidRPr="00904FCB">
        <w:rPr>
          <w:rFonts w:ascii="Tahoma" w:hAnsi="Tahoma" w:hint="cs"/>
          <w:sz w:val="27"/>
          <w:rtl/>
          <w:lang w:bidi="fa-IR"/>
        </w:rPr>
        <w:t>َ</w:t>
      </w:r>
      <w:r w:rsidRPr="00904FCB">
        <w:rPr>
          <w:rFonts w:ascii="Tahoma" w:hAnsi="Tahoma"/>
          <w:sz w:val="27"/>
          <w:rtl/>
          <w:lang w:bidi="fa-IR"/>
        </w:rPr>
        <w:t>ج ومشق</w:t>
      </w:r>
      <w:r w:rsidR="009D103D" w:rsidRPr="00904FCB">
        <w:rPr>
          <w:rFonts w:ascii="Tahoma" w:hAnsi="Tahoma" w:hint="cs"/>
          <w:sz w:val="27"/>
          <w:rtl/>
          <w:lang w:bidi="fa-IR"/>
        </w:rPr>
        <w:t>ّ</w:t>
      </w:r>
      <w:r w:rsidRPr="00904FCB">
        <w:rPr>
          <w:rFonts w:ascii="Tahoma" w:hAnsi="Tahoma"/>
          <w:sz w:val="27"/>
          <w:rtl/>
          <w:lang w:bidi="fa-IR"/>
        </w:rPr>
        <w:t>ة لا يبلغان مبلغ الفساد المتوق</w:t>
      </w:r>
      <w:r w:rsidR="009D103D" w:rsidRPr="00904FCB">
        <w:rPr>
          <w:rFonts w:ascii="Tahoma" w:hAnsi="Tahoma" w:hint="cs"/>
          <w:sz w:val="27"/>
          <w:rtl/>
          <w:lang w:bidi="fa-IR"/>
        </w:rPr>
        <w:t>َّ</w:t>
      </w:r>
      <w:r w:rsidRPr="00904FCB">
        <w:rPr>
          <w:rFonts w:ascii="Tahoma" w:hAnsi="Tahoma"/>
          <w:sz w:val="27"/>
          <w:rtl/>
          <w:lang w:bidi="fa-IR"/>
        </w:rPr>
        <w:t>ع في فقد الضروريات. ومن أجلها شر</w:t>
      </w:r>
      <w:r w:rsidR="009D103D" w:rsidRPr="00904FCB">
        <w:rPr>
          <w:rFonts w:ascii="Tahoma" w:hAnsi="Tahoma" w:hint="cs"/>
          <w:sz w:val="27"/>
          <w:rtl/>
          <w:lang w:bidi="fa-IR"/>
        </w:rPr>
        <w:t>ِّ</w:t>
      </w:r>
      <w:r w:rsidRPr="00904FCB">
        <w:rPr>
          <w:rFonts w:ascii="Tahoma" w:hAnsi="Tahoma"/>
          <w:sz w:val="27"/>
          <w:rtl/>
          <w:lang w:bidi="fa-IR"/>
        </w:rPr>
        <w:t>ع</w:t>
      </w:r>
      <w:r w:rsidR="009D103D" w:rsidRPr="00904FCB">
        <w:rPr>
          <w:rFonts w:ascii="Tahoma" w:hAnsi="Tahoma" w:hint="cs"/>
          <w:sz w:val="27"/>
          <w:rtl/>
          <w:lang w:bidi="fa-IR"/>
        </w:rPr>
        <w:t>َ</w:t>
      </w:r>
      <w:r w:rsidRPr="00904FCB">
        <w:rPr>
          <w:rFonts w:ascii="Tahoma" w:hAnsi="Tahoma"/>
          <w:sz w:val="27"/>
          <w:rtl/>
          <w:lang w:bidi="fa-IR"/>
        </w:rPr>
        <w:t>ت</w:t>
      </w:r>
      <w:r w:rsidR="009D103D" w:rsidRPr="00904FCB">
        <w:rPr>
          <w:rFonts w:ascii="Tahoma" w:hAnsi="Tahoma" w:hint="cs"/>
          <w:sz w:val="27"/>
          <w:rtl/>
          <w:lang w:bidi="fa-IR"/>
        </w:rPr>
        <w:t>ْ</w:t>
      </w:r>
      <w:r w:rsidRPr="00904FCB">
        <w:rPr>
          <w:rFonts w:ascii="Tahoma" w:hAnsi="Tahoma"/>
          <w:sz w:val="27"/>
          <w:rtl/>
          <w:lang w:bidi="fa-IR"/>
        </w:rPr>
        <w:t xml:space="preserve"> الر</w:t>
      </w:r>
      <w:r w:rsidR="009D103D" w:rsidRPr="00904FCB">
        <w:rPr>
          <w:rFonts w:ascii="Tahoma" w:hAnsi="Tahoma" w:hint="cs"/>
          <w:sz w:val="27"/>
          <w:rtl/>
          <w:lang w:bidi="fa-IR"/>
        </w:rPr>
        <w:t>ُّ</w:t>
      </w:r>
      <w:r w:rsidRPr="00904FCB">
        <w:rPr>
          <w:rFonts w:ascii="Tahoma" w:hAnsi="Tahoma"/>
          <w:sz w:val="27"/>
          <w:rtl/>
          <w:lang w:bidi="fa-IR"/>
        </w:rPr>
        <w:t>خ</w:t>
      </w:r>
      <w:r w:rsidR="009D103D" w:rsidRPr="00904FCB">
        <w:rPr>
          <w:rFonts w:ascii="Tahoma" w:hAnsi="Tahoma" w:hint="cs"/>
          <w:sz w:val="27"/>
          <w:rtl/>
          <w:lang w:bidi="fa-IR"/>
        </w:rPr>
        <w:t>َ</w:t>
      </w:r>
      <w:r w:rsidRPr="00904FCB">
        <w:rPr>
          <w:rFonts w:ascii="Tahoma" w:hAnsi="Tahoma"/>
          <w:sz w:val="27"/>
          <w:rtl/>
          <w:lang w:bidi="fa-IR"/>
        </w:rPr>
        <w:t xml:space="preserve">ص المخففة، كقصر الصلاة الرباعية للمسافر، والفطر في رمضان لذوي الأعذار المذكورة في نصوص القرآن الكريم.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أما </w:t>
      </w:r>
      <w:r w:rsidRPr="00904FCB">
        <w:rPr>
          <w:rFonts w:ascii="Tahoma" w:hAnsi="Tahoma"/>
          <w:b/>
          <w:bCs/>
          <w:sz w:val="27"/>
          <w:rtl/>
          <w:lang w:bidi="fa-IR"/>
        </w:rPr>
        <w:t>المصالح التحسينية</w:t>
      </w:r>
      <w:r w:rsidRPr="00904FCB">
        <w:rPr>
          <w:rFonts w:ascii="Tahoma" w:hAnsi="Tahoma"/>
          <w:sz w:val="27"/>
          <w:rtl/>
          <w:lang w:bidi="fa-IR"/>
        </w:rPr>
        <w:t xml:space="preserve"> فهي من قبيل</w:t>
      </w:r>
      <w:r w:rsidR="009D103D" w:rsidRPr="00904FCB">
        <w:rPr>
          <w:rFonts w:ascii="Tahoma" w:hAnsi="Tahoma" w:hint="cs"/>
          <w:sz w:val="27"/>
          <w:rtl/>
          <w:lang w:bidi="fa-IR"/>
        </w:rPr>
        <w:t>:</w:t>
      </w:r>
      <w:r w:rsidRPr="00904FCB">
        <w:rPr>
          <w:rFonts w:ascii="Tahoma" w:hAnsi="Tahoma"/>
          <w:sz w:val="27"/>
          <w:rtl/>
          <w:lang w:bidi="fa-IR"/>
        </w:rPr>
        <w:t xml:space="preserve"> الأخذ بمحاسن العادات، وما تقتضيه مكارم الأخلاق</w:t>
      </w:r>
      <w:r w:rsidR="009D103D" w:rsidRPr="00904FCB">
        <w:rPr>
          <w:rFonts w:ascii="Tahoma" w:hAnsi="Tahoma" w:hint="cs"/>
          <w:sz w:val="27"/>
          <w:rtl/>
          <w:lang w:bidi="fa-IR"/>
        </w:rPr>
        <w:t>.</w:t>
      </w:r>
      <w:r w:rsidRPr="00904FCB">
        <w:rPr>
          <w:rFonts w:ascii="Tahoma" w:hAnsi="Tahoma"/>
          <w:sz w:val="27"/>
          <w:rtl/>
          <w:lang w:bidi="fa-IR"/>
        </w:rPr>
        <w:t xml:space="preserve"> ومن أمثلتها</w:t>
      </w:r>
      <w:r w:rsidR="009D103D" w:rsidRPr="00904FCB">
        <w:rPr>
          <w:rFonts w:ascii="Tahoma" w:hAnsi="Tahoma" w:hint="cs"/>
          <w:sz w:val="27"/>
          <w:rtl/>
          <w:lang w:bidi="fa-IR"/>
        </w:rPr>
        <w:t>:</w:t>
      </w:r>
      <w:r w:rsidRPr="00904FCB">
        <w:rPr>
          <w:rFonts w:ascii="Tahoma" w:hAnsi="Tahoma"/>
          <w:sz w:val="27"/>
          <w:rtl/>
          <w:lang w:bidi="fa-IR"/>
        </w:rPr>
        <w:t xml:space="preserve"> ما شر</w:t>
      </w:r>
      <w:r w:rsidR="009D103D" w:rsidRPr="00904FCB">
        <w:rPr>
          <w:rFonts w:ascii="Tahoma" w:hAnsi="Tahoma" w:hint="cs"/>
          <w:sz w:val="27"/>
          <w:rtl/>
          <w:lang w:bidi="fa-IR"/>
        </w:rPr>
        <w:t>َّ</w:t>
      </w:r>
      <w:r w:rsidRPr="00904FCB">
        <w:rPr>
          <w:rFonts w:ascii="Tahoma" w:hAnsi="Tahoma"/>
          <w:sz w:val="27"/>
          <w:rtl/>
          <w:lang w:bidi="fa-IR"/>
        </w:rPr>
        <w:t>عه الإسلام من أنواع الطهارات</w:t>
      </w:r>
      <w:r w:rsidR="00E247AB">
        <w:rPr>
          <w:rFonts w:ascii="Tahoma" w:hAnsi="Tahoma" w:hint="cs"/>
          <w:sz w:val="27"/>
          <w:rtl/>
          <w:lang w:bidi="fa-IR"/>
        </w:rPr>
        <w:t>،</w:t>
      </w:r>
      <w:r w:rsidRPr="00904FCB">
        <w:rPr>
          <w:rFonts w:ascii="Tahoma" w:hAnsi="Tahoma"/>
          <w:sz w:val="27"/>
          <w:rtl/>
          <w:lang w:bidi="fa-IR"/>
        </w:rPr>
        <w:t xml:space="preserve"> وآداب المأكل والمشرب</w:t>
      </w:r>
      <w:r w:rsidR="00E247AB">
        <w:rPr>
          <w:rFonts w:ascii="Tahoma" w:hAnsi="Tahoma" w:hint="cs"/>
          <w:sz w:val="27"/>
          <w:rtl/>
          <w:lang w:bidi="fa-IR"/>
        </w:rPr>
        <w:t>،</w:t>
      </w:r>
      <w:r w:rsidRPr="00904FCB">
        <w:rPr>
          <w:rFonts w:ascii="Tahoma" w:hAnsi="Tahoma"/>
          <w:sz w:val="27"/>
          <w:rtl/>
          <w:lang w:bidi="fa-IR"/>
        </w:rPr>
        <w:t xml:space="preserve"> وغيرها.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وللعلماء في اعتبار المصلحة وعدم اعتبارها مذاهب ثلاثة: </w:t>
      </w:r>
    </w:p>
    <w:p w:rsidR="00644408" w:rsidRPr="00DB2AFA" w:rsidRDefault="009D103D"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1</w:t>
      </w:r>
      <w:r w:rsidR="00644408" w:rsidRPr="00DB2AFA">
        <w:rPr>
          <w:rFonts w:ascii="Tahoma" w:hAnsi="Tahoma"/>
          <w:sz w:val="27"/>
          <w:rtl/>
          <w:lang w:bidi="fa-IR"/>
        </w:rPr>
        <w:t xml:space="preserve">ـ المنع مطلقاً. </w:t>
      </w:r>
    </w:p>
    <w:p w:rsidR="00644408" w:rsidRPr="00DB2AFA" w:rsidRDefault="009D103D"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2</w:t>
      </w:r>
      <w:r w:rsidR="00644408" w:rsidRPr="00DB2AFA">
        <w:rPr>
          <w:rFonts w:ascii="Tahoma" w:hAnsi="Tahoma"/>
          <w:sz w:val="27"/>
          <w:rtl/>
          <w:lang w:bidi="fa-IR"/>
        </w:rPr>
        <w:t xml:space="preserve">ـ الجواز بشروط. </w:t>
      </w:r>
    </w:p>
    <w:p w:rsidR="00644408" w:rsidRPr="00DB2AFA" w:rsidRDefault="009D103D"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3</w:t>
      </w:r>
      <w:r w:rsidR="00644408" w:rsidRPr="00DB2AFA">
        <w:rPr>
          <w:rFonts w:ascii="Tahoma" w:hAnsi="Tahoma"/>
          <w:sz w:val="27"/>
          <w:rtl/>
          <w:lang w:bidi="fa-IR"/>
        </w:rPr>
        <w:t xml:space="preserve">ـ الجواز مطلقاً.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w:t>
      </w:r>
      <w:r w:rsidR="00B65643" w:rsidRPr="00904FCB">
        <w:rPr>
          <w:rFonts w:ascii="Tahoma" w:hAnsi="Tahoma" w:hint="cs"/>
          <w:sz w:val="27"/>
          <w:rtl/>
          <w:lang w:bidi="fa-IR"/>
        </w:rPr>
        <w:t>أ</w:t>
      </w:r>
      <w:r w:rsidRPr="00904FCB">
        <w:rPr>
          <w:rFonts w:ascii="Tahoma" w:hAnsi="Tahoma"/>
          <w:sz w:val="27"/>
          <w:rtl/>
          <w:lang w:bidi="fa-IR"/>
        </w:rPr>
        <w:t xml:space="preserve">عتقد أن الخلاف بين هذه المذاهب ليس في </w:t>
      </w:r>
      <w:r w:rsidR="007C33B1" w:rsidRPr="00904FCB">
        <w:rPr>
          <w:rFonts w:ascii="Tahoma" w:hAnsi="Tahoma" w:hint="cs"/>
          <w:sz w:val="27"/>
          <w:rtl/>
          <w:lang w:bidi="fa-IR"/>
        </w:rPr>
        <w:t>كون</w:t>
      </w:r>
      <w:r w:rsidRPr="00904FCB">
        <w:rPr>
          <w:rFonts w:ascii="Tahoma" w:hAnsi="Tahoma"/>
          <w:sz w:val="27"/>
          <w:rtl/>
          <w:lang w:bidi="fa-IR"/>
        </w:rPr>
        <w:t xml:space="preserve"> الشريعة تهدف إلى تحقيق مصالح العباد أم لا، وإنّما الخلاف في اعتماد المصلحة دليلاً من الأدل</w:t>
      </w:r>
      <w:r w:rsidR="007C33B1" w:rsidRPr="00904FCB">
        <w:rPr>
          <w:rFonts w:ascii="Tahoma" w:hAnsi="Tahoma" w:hint="cs"/>
          <w:sz w:val="27"/>
          <w:rtl/>
          <w:lang w:bidi="fa-IR"/>
        </w:rPr>
        <w:t>ّ</w:t>
      </w:r>
      <w:r w:rsidRPr="00904FCB">
        <w:rPr>
          <w:rFonts w:ascii="Tahoma" w:hAnsi="Tahoma"/>
          <w:sz w:val="27"/>
          <w:rtl/>
          <w:lang w:bidi="fa-IR"/>
        </w:rPr>
        <w:t>ة الشرعية</w:t>
      </w:r>
      <w:r w:rsidR="007C33B1" w:rsidRPr="00904FCB">
        <w:rPr>
          <w:rFonts w:ascii="Tahoma" w:hAnsi="Tahoma" w:hint="cs"/>
          <w:sz w:val="27"/>
          <w:rtl/>
          <w:lang w:bidi="fa-IR"/>
        </w:rPr>
        <w:t>،</w:t>
      </w:r>
      <w:r w:rsidRPr="00904FCB">
        <w:rPr>
          <w:rFonts w:ascii="Tahoma" w:hAnsi="Tahoma"/>
          <w:sz w:val="27"/>
          <w:rtl/>
          <w:lang w:bidi="fa-IR"/>
        </w:rPr>
        <w:t xml:space="preserve"> وعلاقة المصلحة بالنصوص الدينية</w:t>
      </w:r>
      <w:r w:rsidR="007C33B1" w:rsidRPr="00904FCB">
        <w:rPr>
          <w:rFonts w:ascii="Tahoma" w:hAnsi="Tahoma" w:hint="cs"/>
          <w:sz w:val="27"/>
          <w:rtl/>
          <w:lang w:bidi="fa-IR"/>
        </w:rPr>
        <w:t>،</w:t>
      </w:r>
      <w:r w:rsidRPr="00904FCB">
        <w:rPr>
          <w:rFonts w:ascii="Tahoma" w:hAnsi="Tahoma"/>
          <w:sz w:val="27"/>
          <w:rtl/>
          <w:lang w:bidi="fa-IR"/>
        </w:rPr>
        <w:t xml:space="preserve"> وأي</w:t>
      </w:r>
      <w:r w:rsidR="007C33B1" w:rsidRPr="00904FCB">
        <w:rPr>
          <w:rFonts w:ascii="Tahoma" w:hAnsi="Tahoma" w:hint="cs"/>
          <w:sz w:val="27"/>
          <w:rtl/>
          <w:lang w:bidi="fa-IR"/>
        </w:rPr>
        <w:t>ّ</w:t>
      </w:r>
      <w:r w:rsidRPr="00904FCB">
        <w:rPr>
          <w:rFonts w:ascii="Tahoma" w:hAnsi="Tahoma"/>
          <w:sz w:val="27"/>
          <w:rtl/>
          <w:lang w:bidi="fa-IR"/>
        </w:rPr>
        <w:t>هما يتقد</w:t>
      </w:r>
      <w:r w:rsidR="007C33B1" w:rsidRPr="00904FCB">
        <w:rPr>
          <w:rFonts w:ascii="Tahoma" w:hAnsi="Tahoma" w:hint="cs"/>
          <w:sz w:val="27"/>
          <w:rtl/>
          <w:lang w:bidi="fa-IR"/>
        </w:rPr>
        <w:t>َّ</w:t>
      </w:r>
      <w:r w:rsidRPr="00904FCB">
        <w:rPr>
          <w:rFonts w:ascii="Tahoma" w:hAnsi="Tahoma"/>
          <w:sz w:val="27"/>
          <w:rtl/>
          <w:lang w:bidi="fa-IR"/>
        </w:rPr>
        <w:t>م</w:t>
      </w:r>
      <w:r w:rsidR="007C33B1" w:rsidRPr="00904FCB">
        <w:rPr>
          <w:rFonts w:ascii="Tahoma" w:hAnsi="Tahoma" w:hint="cs"/>
          <w:sz w:val="27"/>
          <w:rtl/>
          <w:lang w:bidi="fa-IR"/>
        </w:rPr>
        <w:t>؟</w:t>
      </w:r>
      <w:r w:rsidRPr="00904FCB">
        <w:rPr>
          <w:rFonts w:ascii="Tahoma" w:hAnsi="Tahoma"/>
          <w:sz w:val="27"/>
          <w:rtl/>
          <w:lang w:bidi="fa-IR"/>
        </w:rPr>
        <w:t xml:space="preserve"> إن مذاهب الفقه الإسلامي جميعها في موضوع المصلحة تعدّ ـ في نظرنا ـ مدرسة</w:t>
      </w:r>
      <w:r w:rsidR="007C33B1" w:rsidRPr="00904FCB">
        <w:rPr>
          <w:rFonts w:ascii="Tahoma" w:hAnsi="Tahoma" w:hint="cs"/>
          <w:sz w:val="27"/>
          <w:rtl/>
          <w:lang w:bidi="fa-IR"/>
        </w:rPr>
        <w:t>ً</w:t>
      </w:r>
      <w:r w:rsidRPr="00904FCB">
        <w:rPr>
          <w:rFonts w:ascii="Tahoma" w:hAnsi="Tahoma"/>
          <w:sz w:val="27"/>
          <w:rtl/>
          <w:lang w:bidi="fa-IR"/>
        </w:rPr>
        <w:t xml:space="preserve"> واحدة، </w:t>
      </w:r>
      <w:r w:rsidR="007C33B1" w:rsidRPr="00904FCB">
        <w:rPr>
          <w:rFonts w:ascii="Tahoma" w:hAnsi="Tahoma"/>
          <w:sz w:val="27"/>
          <w:rtl/>
          <w:lang w:bidi="fa-IR"/>
        </w:rPr>
        <w:t>رائدها الرسول</w:t>
      </w:r>
      <w:r w:rsidR="00635E51" w:rsidRPr="00904FCB">
        <w:rPr>
          <w:rFonts w:ascii="Tahoma" w:hAnsi="Tahoma" w:cs="Mosawi" w:hint="cs"/>
          <w:sz w:val="27"/>
          <w:szCs w:val="22"/>
          <w:rtl/>
          <w:lang w:bidi="fa-IR"/>
        </w:rPr>
        <w:t>|</w:t>
      </w:r>
      <w:r w:rsidRPr="00904FCB">
        <w:rPr>
          <w:rFonts w:ascii="Tahoma" w:hAnsi="Tahoma"/>
          <w:sz w:val="27"/>
          <w:rtl/>
          <w:lang w:bidi="fa-IR"/>
        </w:rPr>
        <w:t>، ودستورها الكتاب والسُّنَّة</w:t>
      </w:r>
      <w:r w:rsidR="007C33B1" w:rsidRPr="00904FCB">
        <w:rPr>
          <w:rFonts w:ascii="Tahoma" w:hAnsi="Tahoma" w:hint="cs"/>
          <w:sz w:val="27"/>
          <w:rtl/>
          <w:lang w:bidi="fa-IR"/>
        </w:rPr>
        <w:t>.</w:t>
      </w:r>
      <w:r w:rsidRPr="00904FCB">
        <w:rPr>
          <w:rFonts w:ascii="Tahoma" w:hAnsi="Tahoma"/>
          <w:sz w:val="27"/>
          <w:rtl/>
          <w:lang w:bidi="fa-IR"/>
        </w:rPr>
        <w:t xml:space="preserve"> فالشريعة واحدة، ولا يغي</w:t>
      </w:r>
      <w:r w:rsidR="007C33B1" w:rsidRPr="00904FCB">
        <w:rPr>
          <w:rFonts w:ascii="Tahoma" w:hAnsi="Tahoma" w:hint="cs"/>
          <w:sz w:val="27"/>
          <w:rtl/>
          <w:lang w:bidi="fa-IR"/>
        </w:rPr>
        <w:t>ِّ</w:t>
      </w:r>
      <w:r w:rsidRPr="00904FCB">
        <w:rPr>
          <w:rFonts w:ascii="Tahoma" w:hAnsi="Tahoma"/>
          <w:sz w:val="27"/>
          <w:rtl/>
          <w:lang w:bidi="fa-IR"/>
        </w:rPr>
        <w:t xml:space="preserve">ر من ذلك وجود مذاهب فرعية. </w:t>
      </w:r>
    </w:p>
    <w:p w:rsidR="00FC3925"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إن الفقهاء جميعاً يت</w:t>
      </w:r>
      <w:r w:rsidR="007C33B1" w:rsidRPr="00904FCB">
        <w:rPr>
          <w:rFonts w:ascii="Tahoma" w:hAnsi="Tahoma" w:hint="cs"/>
          <w:sz w:val="27"/>
          <w:rtl/>
          <w:lang w:bidi="fa-IR"/>
        </w:rPr>
        <w:t>ّ</w:t>
      </w:r>
      <w:r w:rsidRPr="00904FCB">
        <w:rPr>
          <w:rFonts w:ascii="Tahoma" w:hAnsi="Tahoma"/>
          <w:sz w:val="27"/>
          <w:rtl/>
          <w:lang w:bidi="fa-IR"/>
        </w:rPr>
        <w:t>فقون على اعتبار المصلحة في الشريعة الإسلامية، وأن الشريعة جاءت لمصالح العباد. ولكنهم يختلفون بعد ذلك</w:t>
      </w:r>
      <w:r w:rsidR="00FC3925" w:rsidRPr="00904FCB">
        <w:rPr>
          <w:rFonts w:ascii="Tahoma" w:hAnsi="Tahoma" w:hint="cs"/>
          <w:sz w:val="27"/>
          <w:rtl/>
          <w:lang w:bidi="fa-IR"/>
        </w:rPr>
        <w:t>:</w:t>
      </w:r>
    </w:p>
    <w:p w:rsidR="00FC3925"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lastRenderedPageBreak/>
        <w:t>فمنهم م</w:t>
      </w:r>
      <w:r w:rsidR="00FC3925" w:rsidRPr="00904FCB">
        <w:rPr>
          <w:rFonts w:ascii="Tahoma" w:hAnsi="Tahoma" w:hint="cs"/>
          <w:sz w:val="27"/>
          <w:rtl/>
          <w:lang w:bidi="fa-IR"/>
        </w:rPr>
        <w:t>َ</w:t>
      </w:r>
      <w:r w:rsidRPr="00904FCB">
        <w:rPr>
          <w:rFonts w:ascii="Tahoma" w:hAnsi="Tahoma"/>
          <w:sz w:val="27"/>
          <w:rtl/>
          <w:lang w:bidi="fa-IR"/>
        </w:rPr>
        <w:t>ن</w:t>
      </w:r>
      <w:r w:rsidR="00FC3925" w:rsidRPr="00904FCB">
        <w:rPr>
          <w:rFonts w:ascii="Tahoma" w:hAnsi="Tahoma" w:hint="cs"/>
          <w:sz w:val="27"/>
          <w:rtl/>
          <w:lang w:bidi="fa-IR"/>
        </w:rPr>
        <w:t>ْ</w:t>
      </w:r>
      <w:r w:rsidRPr="00904FCB">
        <w:rPr>
          <w:rFonts w:ascii="Tahoma" w:hAnsi="Tahoma"/>
          <w:sz w:val="27"/>
          <w:rtl/>
          <w:lang w:bidi="fa-IR"/>
        </w:rPr>
        <w:t xml:space="preserve"> يرى أن المصالح كلها جاءت بها النصوص بالنص</w:t>
      </w:r>
      <w:r w:rsidR="00FC3925" w:rsidRPr="00904FCB">
        <w:rPr>
          <w:rFonts w:ascii="Tahoma" w:hAnsi="Tahoma" w:hint="cs"/>
          <w:sz w:val="27"/>
          <w:rtl/>
          <w:lang w:bidi="fa-IR"/>
        </w:rPr>
        <w:t>ّ</w:t>
      </w:r>
      <w:r w:rsidRPr="00904FCB">
        <w:rPr>
          <w:rFonts w:ascii="Tahoma" w:hAnsi="Tahoma"/>
          <w:sz w:val="27"/>
          <w:rtl/>
          <w:lang w:bidi="fa-IR"/>
        </w:rPr>
        <w:t>، أو بيان الأصل، وهؤلاء يقولون</w:t>
      </w:r>
      <w:r w:rsidR="00FC3925" w:rsidRPr="00904FCB">
        <w:rPr>
          <w:rFonts w:ascii="Tahoma" w:hAnsi="Tahoma" w:hint="cs"/>
          <w:sz w:val="27"/>
          <w:rtl/>
          <w:lang w:bidi="fa-IR"/>
        </w:rPr>
        <w:t>:</w:t>
      </w:r>
      <w:r w:rsidRPr="00904FCB">
        <w:rPr>
          <w:rFonts w:ascii="Tahoma" w:hAnsi="Tahoma"/>
          <w:sz w:val="27"/>
          <w:rtl/>
          <w:lang w:bidi="fa-IR"/>
        </w:rPr>
        <w:t xml:space="preserve"> إن النصوص كاملة، فلا تعتبر المصلحة إلاّ إذا كان لها شبيه</w:t>
      </w:r>
      <w:r w:rsidR="00FC3925" w:rsidRPr="00904FCB">
        <w:rPr>
          <w:rFonts w:ascii="Tahoma" w:hAnsi="Tahoma" w:hint="cs"/>
          <w:sz w:val="27"/>
          <w:rtl/>
          <w:lang w:bidi="fa-IR"/>
        </w:rPr>
        <w:t>ٌ</w:t>
      </w:r>
      <w:r w:rsidRPr="00904FCB">
        <w:rPr>
          <w:rFonts w:ascii="Tahoma" w:hAnsi="Tahoma"/>
          <w:sz w:val="27"/>
          <w:rtl/>
          <w:lang w:bidi="fa-IR"/>
        </w:rPr>
        <w:t xml:space="preserve"> معين اعتبره الشارع بالنص</w:t>
      </w:r>
      <w:r w:rsidR="00FC3925" w:rsidRPr="00904FCB">
        <w:rPr>
          <w:rFonts w:ascii="Tahoma" w:hAnsi="Tahoma" w:hint="cs"/>
          <w:sz w:val="27"/>
          <w:rtl/>
          <w:lang w:bidi="fa-IR"/>
        </w:rPr>
        <w:t>ّ</w:t>
      </w:r>
      <w:r w:rsidRPr="00904FCB">
        <w:rPr>
          <w:rFonts w:ascii="Tahoma" w:hAnsi="Tahoma"/>
          <w:sz w:val="27"/>
          <w:rtl/>
          <w:lang w:bidi="fa-IR"/>
        </w:rPr>
        <w:t xml:space="preserve"> عليه</w:t>
      </w:r>
      <w:r w:rsidR="00FC3925" w:rsidRPr="00904FCB">
        <w:rPr>
          <w:rFonts w:ascii="Tahoma" w:hAnsi="Tahoma" w:hint="cs"/>
          <w:sz w:val="27"/>
          <w:rtl/>
          <w:lang w:bidi="fa-IR"/>
        </w:rPr>
        <w:t>.</w:t>
      </w:r>
      <w:r w:rsidRPr="00904FCB">
        <w:rPr>
          <w:rFonts w:ascii="Tahoma" w:hAnsi="Tahoma"/>
          <w:sz w:val="27"/>
          <w:rtl/>
          <w:lang w:bidi="fa-IR"/>
        </w:rPr>
        <w:t xml:space="preserve"> ومن هؤلاء</w:t>
      </w:r>
      <w:r w:rsidR="00FC3925" w:rsidRPr="00904FCB">
        <w:rPr>
          <w:rFonts w:ascii="Tahoma" w:hAnsi="Tahoma" w:hint="cs"/>
          <w:sz w:val="27"/>
          <w:rtl/>
          <w:lang w:bidi="fa-IR"/>
        </w:rPr>
        <w:t>:</w:t>
      </w:r>
      <w:r w:rsidRPr="00904FCB">
        <w:rPr>
          <w:rFonts w:ascii="Tahoma" w:hAnsi="Tahoma"/>
          <w:sz w:val="27"/>
          <w:rtl/>
          <w:lang w:bidi="fa-IR"/>
        </w:rPr>
        <w:t xml:space="preserve"> الشافعية والحنفية في الجملة</w:t>
      </w:r>
      <w:r w:rsidR="00FC3925"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ومن الفقهاء م</w:t>
      </w:r>
      <w:r w:rsidR="00FC3925" w:rsidRPr="00904FCB">
        <w:rPr>
          <w:rFonts w:ascii="Tahoma" w:hAnsi="Tahoma" w:hint="cs"/>
          <w:sz w:val="27"/>
          <w:rtl/>
          <w:lang w:bidi="fa-IR"/>
        </w:rPr>
        <w:t>َ</w:t>
      </w:r>
      <w:r w:rsidRPr="00904FCB">
        <w:rPr>
          <w:rFonts w:ascii="Tahoma" w:hAnsi="Tahoma"/>
          <w:sz w:val="27"/>
          <w:rtl/>
          <w:lang w:bidi="fa-IR"/>
        </w:rPr>
        <w:t>ن</w:t>
      </w:r>
      <w:r w:rsidR="00FC3925" w:rsidRPr="00904FCB">
        <w:rPr>
          <w:rFonts w:ascii="Tahoma" w:hAnsi="Tahoma" w:hint="cs"/>
          <w:sz w:val="27"/>
          <w:rtl/>
          <w:lang w:bidi="fa-IR"/>
        </w:rPr>
        <w:t>ْ</w:t>
      </w:r>
      <w:r w:rsidRPr="00904FCB">
        <w:rPr>
          <w:rFonts w:ascii="Tahoma" w:hAnsi="Tahoma"/>
          <w:sz w:val="27"/>
          <w:rtl/>
          <w:lang w:bidi="fa-IR"/>
        </w:rPr>
        <w:t xml:space="preserve"> اعتبر المصلحة إذا كانت من جنس المصالح التي اعتبرها الشارع في مجموع نصوصه وأحكامه، لا في نص</w:t>
      </w:r>
      <w:r w:rsidR="00FC3925" w:rsidRPr="00904FCB">
        <w:rPr>
          <w:rFonts w:ascii="Tahoma" w:hAnsi="Tahoma" w:hint="cs"/>
          <w:sz w:val="27"/>
          <w:rtl/>
          <w:lang w:bidi="fa-IR"/>
        </w:rPr>
        <w:t>ٍّ</w:t>
      </w:r>
      <w:r w:rsidRPr="00904FCB">
        <w:rPr>
          <w:rFonts w:ascii="Tahoma" w:hAnsi="Tahoma"/>
          <w:sz w:val="27"/>
          <w:rtl/>
          <w:lang w:bidi="fa-IR"/>
        </w:rPr>
        <w:t xml:space="preserve"> معين</w:t>
      </w:r>
      <w:r w:rsidR="00FC3925" w:rsidRPr="00904FCB">
        <w:rPr>
          <w:rFonts w:ascii="Tahoma" w:hAnsi="Tahoma" w:hint="cs"/>
          <w:sz w:val="27"/>
          <w:rtl/>
          <w:lang w:bidi="fa-IR"/>
        </w:rPr>
        <w:t>.</w:t>
      </w:r>
      <w:r w:rsidRPr="00904FCB">
        <w:rPr>
          <w:rFonts w:ascii="Tahoma" w:hAnsi="Tahoma"/>
          <w:sz w:val="27"/>
          <w:rtl/>
          <w:lang w:bidi="fa-IR"/>
        </w:rPr>
        <w:t xml:space="preserve"> وهؤلاء هم الذين أخذوا بالمصلحة المرسلة، وهي المصلحة التي لا يشهد لها نص</w:t>
      </w:r>
      <w:r w:rsidR="00FC3925" w:rsidRPr="00904FCB">
        <w:rPr>
          <w:rFonts w:ascii="Tahoma" w:hAnsi="Tahoma" w:hint="cs"/>
          <w:sz w:val="27"/>
          <w:rtl/>
          <w:lang w:bidi="fa-IR"/>
        </w:rPr>
        <w:t>ٌّ</w:t>
      </w:r>
      <w:r w:rsidRPr="00904FCB">
        <w:rPr>
          <w:rFonts w:ascii="Tahoma" w:hAnsi="Tahoma"/>
          <w:sz w:val="27"/>
          <w:rtl/>
          <w:lang w:bidi="fa-IR"/>
        </w:rPr>
        <w:t xml:space="preserve"> بالإبقاء أو الإلغاء، ولكن</w:t>
      </w:r>
      <w:r w:rsidR="00FC3925" w:rsidRPr="00904FCB">
        <w:rPr>
          <w:rFonts w:ascii="Tahoma" w:hAnsi="Tahoma" w:hint="cs"/>
          <w:sz w:val="27"/>
          <w:rtl/>
          <w:lang w:bidi="fa-IR"/>
        </w:rPr>
        <w:t>َّ</w:t>
      </w:r>
      <w:r w:rsidRPr="00904FCB">
        <w:rPr>
          <w:rFonts w:ascii="Tahoma" w:hAnsi="Tahoma"/>
          <w:sz w:val="27"/>
          <w:rtl/>
          <w:lang w:bidi="fa-IR"/>
        </w:rPr>
        <w:t>ها من جنس المصالح المعتبرة</w:t>
      </w:r>
      <w:r w:rsidR="00FC3925" w:rsidRPr="00904FCB">
        <w:rPr>
          <w:rFonts w:ascii="Tahoma" w:hAnsi="Tahoma" w:hint="cs"/>
          <w:sz w:val="27"/>
          <w:rtl/>
          <w:lang w:bidi="fa-IR"/>
        </w:rPr>
        <w:t>.</w:t>
      </w:r>
      <w:r w:rsidRPr="00904FCB">
        <w:rPr>
          <w:rFonts w:ascii="Tahoma" w:hAnsi="Tahoma"/>
          <w:sz w:val="27"/>
          <w:rtl/>
          <w:lang w:bidi="fa-IR"/>
        </w:rPr>
        <w:t xml:space="preserve"> وهؤلاء هم</w:t>
      </w:r>
      <w:r w:rsidR="00FC3925" w:rsidRPr="00904FCB">
        <w:rPr>
          <w:rFonts w:ascii="Tahoma" w:hAnsi="Tahoma" w:hint="cs"/>
          <w:sz w:val="27"/>
          <w:rtl/>
          <w:lang w:bidi="fa-IR"/>
        </w:rPr>
        <w:t>:</w:t>
      </w:r>
      <w:r w:rsidRPr="00904FCB">
        <w:rPr>
          <w:rFonts w:ascii="Tahoma" w:hAnsi="Tahoma"/>
          <w:sz w:val="27"/>
          <w:rtl/>
          <w:lang w:bidi="fa-IR"/>
        </w:rPr>
        <w:t xml:space="preserve"> المالكية</w:t>
      </w:r>
      <w:r w:rsidR="00FC3925" w:rsidRPr="00904FCB">
        <w:rPr>
          <w:rFonts w:ascii="Tahoma" w:hAnsi="Tahoma" w:hint="cs"/>
          <w:sz w:val="27"/>
          <w:rtl/>
          <w:lang w:bidi="fa-IR"/>
        </w:rPr>
        <w:t>،</w:t>
      </w:r>
      <w:r w:rsidRPr="00904FCB">
        <w:rPr>
          <w:rFonts w:ascii="Tahoma" w:hAnsi="Tahoma"/>
          <w:sz w:val="27"/>
          <w:rtl/>
          <w:lang w:bidi="fa-IR"/>
        </w:rPr>
        <w:t xml:space="preserve"> والحنابلة</w:t>
      </w:r>
      <w:r w:rsidR="00FC3925" w:rsidRPr="00904FCB">
        <w:rPr>
          <w:rFonts w:ascii="Tahoma" w:hAnsi="Tahoma" w:hint="cs"/>
          <w:sz w:val="27"/>
          <w:rtl/>
          <w:lang w:bidi="fa-IR"/>
        </w:rPr>
        <w:t>،</w:t>
      </w:r>
      <w:r w:rsidRPr="00904FCB">
        <w:rPr>
          <w:rFonts w:ascii="Tahoma" w:hAnsi="Tahoma"/>
          <w:sz w:val="27"/>
          <w:rtl/>
          <w:lang w:bidi="fa-IR"/>
        </w:rPr>
        <w:t xml:space="preserve"> والزيدية</w:t>
      </w:r>
      <w:r w:rsidR="00FC3925" w:rsidRPr="00904FCB">
        <w:rPr>
          <w:rFonts w:ascii="Tahoma" w:hAnsi="Tahoma" w:hint="cs"/>
          <w:sz w:val="27"/>
          <w:rtl/>
          <w:lang w:bidi="fa-IR"/>
        </w:rPr>
        <w:t>.</w:t>
      </w:r>
      <w:r w:rsidRPr="00904FCB">
        <w:rPr>
          <w:rFonts w:ascii="Tahoma" w:hAnsi="Tahoma"/>
          <w:sz w:val="27"/>
          <w:rtl/>
          <w:lang w:bidi="fa-IR"/>
        </w:rPr>
        <w:t xml:space="preserve"> ويشترطون في هذه المصلحة ثلاثة شروط</w:t>
      </w:r>
      <w:r w:rsidRPr="00904FCB">
        <w:rPr>
          <w:rFonts w:hint="cs"/>
          <w:sz w:val="27"/>
          <w:vertAlign w:val="superscript"/>
          <w:rtl/>
        </w:rPr>
        <w:t>(</w:t>
      </w:r>
      <w:r w:rsidRPr="00904FCB">
        <w:rPr>
          <w:rStyle w:val="ac"/>
          <w:sz w:val="27"/>
          <w:rtl/>
        </w:rPr>
        <w:endnoteReference w:id="258"/>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أو</w:t>
      </w:r>
      <w:r w:rsidR="00FC3925" w:rsidRPr="00904FCB">
        <w:rPr>
          <w:rFonts w:ascii="Tahoma" w:hAnsi="Tahoma" w:hint="cs"/>
          <w:b/>
          <w:bCs/>
          <w:sz w:val="27"/>
          <w:rtl/>
          <w:lang w:bidi="fa-IR"/>
        </w:rPr>
        <w:t>ّ</w:t>
      </w:r>
      <w:r w:rsidRPr="00904FCB">
        <w:rPr>
          <w:rFonts w:ascii="Tahoma" w:hAnsi="Tahoma"/>
          <w:b/>
          <w:bCs/>
          <w:sz w:val="27"/>
          <w:rtl/>
          <w:lang w:bidi="fa-IR"/>
        </w:rPr>
        <w:t>لها</w:t>
      </w:r>
      <w:r w:rsidRPr="00904FCB">
        <w:rPr>
          <w:rFonts w:ascii="Tahoma" w:hAnsi="Tahoma"/>
          <w:sz w:val="27"/>
          <w:rtl/>
          <w:lang w:bidi="fa-IR"/>
        </w:rPr>
        <w:t xml:space="preserve">: أن تكون ملائمة لمقاصد الشارع.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وثانيها</w:t>
      </w:r>
      <w:r w:rsidRPr="00904FCB">
        <w:rPr>
          <w:rFonts w:ascii="Tahoma" w:hAnsi="Tahoma"/>
          <w:sz w:val="27"/>
          <w:rtl/>
          <w:lang w:bidi="fa-IR"/>
        </w:rPr>
        <w:t>: أن يكون في الأخذ بها دفع ح</w:t>
      </w:r>
      <w:r w:rsidR="00FC3925" w:rsidRPr="00904FCB">
        <w:rPr>
          <w:rFonts w:ascii="Tahoma" w:hAnsi="Tahoma" w:hint="cs"/>
          <w:sz w:val="27"/>
          <w:rtl/>
          <w:lang w:bidi="fa-IR"/>
        </w:rPr>
        <w:t>َ</w:t>
      </w:r>
      <w:r w:rsidRPr="00904FCB">
        <w:rPr>
          <w:rFonts w:ascii="Tahoma" w:hAnsi="Tahoma"/>
          <w:sz w:val="27"/>
          <w:rtl/>
          <w:lang w:bidi="fa-IR"/>
        </w:rPr>
        <w:t>ر</w:t>
      </w:r>
      <w:r w:rsidR="00FC3925" w:rsidRPr="00904FCB">
        <w:rPr>
          <w:rFonts w:ascii="Tahoma" w:hAnsi="Tahoma" w:hint="cs"/>
          <w:sz w:val="27"/>
          <w:rtl/>
          <w:lang w:bidi="fa-IR"/>
        </w:rPr>
        <w:t>َ</w:t>
      </w:r>
      <w:r w:rsidRPr="00904FCB">
        <w:rPr>
          <w:rFonts w:ascii="Tahoma" w:hAnsi="Tahoma"/>
          <w:sz w:val="27"/>
          <w:rtl/>
          <w:lang w:bidi="fa-IR"/>
        </w:rPr>
        <w:t>ج</w:t>
      </w:r>
      <w:r w:rsidR="00FC3925" w:rsidRPr="00904FCB">
        <w:rPr>
          <w:rFonts w:ascii="Tahoma" w:hAnsi="Tahoma" w:hint="cs"/>
          <w:sz w:val="27"/>
          <w:rtl/>
          <w:lang w:bidi="fa-IR"/>
        </w:rPr>
        <w:t xml:space="preserve">، </w:t>
      </w:r>
      <w:r w:rsidRPr="00904FCB">
        <w:rPr>
          <w:rFonts w:ascii="Tahoma" w:hAnsi="Tahoma"/>
          <w:sz w:val="27"/>
          <w:rtl/>
          <w:lang w:bidi="fa-IR"/>
        </w:rPr>
        <w:t>أو في تركها ح</w:t>
      </w:r>
      <w:r w:rsidR="00FC3925" w:rsidRPr="00904FCB">
        <w:rPr>
          <w:rFonts w:ascii="Tahoma" w:hAnsi="Tahoma" w:hint="cs"/>
          <w:sz w:val="27"/>
          <w:rtl/>
          <w:lang w:bidi="fa-IR"/>
        </w:rPr>
        <w:t>َ</w:t>
      </w:r>
      <w:r w:rsidRPr="00904FCB">
        <w:rPr>
          <w:rFonts w:ascii="Tahoma" w:hAnsi="Tahoma"/>
          <w:sz w:val="27"/>
          <w:rtl/>
          <w:lang w:bidi="fa-IR"/>
        </w:rPr>
        <w:t>ر</w:t>
      </w:r>
      <w:r w:rsidR="00FC3925" w:rsidRPr="00904FCB">
        <w:rPr>
          <w:rFonts w:ascii="Tahoma" w:hAnsi="Tahoma" w:hint="cs"/>
          <w:sz w:val="27"/>
          <w:rtl/>
          <w:lang w:bidi="fa-IR"/>
        </w:rPr>
        <w:t>َ</w:t>
      </w:r>
      <w:r w:rsidRPr="00904FCB">
        <w:rPr>
          <w:rFonts w:ascii="Tahoma" w:hAnsi="Tahoma"/>
          <w:sz w:val="27"/>
          <w:rtl/>
          <w:lang w:bidi="fa-IR"/>
        </w:rPr>
        <w:t xml:space="preserve">ج.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وثالثها</w:t>
      </w:r>
      <w:r w:rsidRPr="00904FCB">
        <w:rPr>
          <w:rFonts w:ascii="Tahoma" w:hAnsi="Tahoma"/>
          <w:sz w:val="27"/>
          <w:rtl/>
          <w:lang w:bidi="fa-IR"/>
        </w:rPr>
        <w:t xml:space="preserve">: </w:t>
      </w:r>
      <w:r w:rsidR="00FC3925" w:rsidRPr="00904FCB">
        <w:rPr>
          <w:rFonts w:ascii="Tahoma" w:hAnsi="Tahoma" w:hint="cs"/>
          <w:sz w:val="27"/>
          <w:rtl/>
          <w:lang w:bidi="fa-IR"/>
        </w:rPr>
        <w:t>أن لا</w:t>
      </w:r>
      <w:r w:rsidRPr="00904FCB">
        <w:rPr>
          <w:rFonts w:ascii="Tahoma" w:hAnsi="Tahoma"/>
          <w:sz w:val="27"/>
          <w:rtl/>
          <w:lang w:bidi="fa-IR"/>
        </w:rPr>
        <w:t xml:space="preserve"> تعارض نص</w:t>
      </w:r>
      <w:r w:rsidR="00FC3925" w:rsidRPr="00904FCB">
        <w:rPr>
          <w:rFonts w:ascii="Tahoma" w:hAnsi="Tahoma" w:hint="cs"/>
          <w:sz w:val="27"/>
          <w:rtl/>
          <w:lang w:bidi="fa-IR"/>
        </w:rPr>
        <w:t>ّ</w:t>
      </w:r>
      <w:r w:rsidRPr="00904FCB">
        <w:rPr>
          <w:rFonts w:ascii="Tahoma" w:hAnsi="Tahoma"/>
          <w:sz w:val="27"/>
          <w:rtl/>
          <w:lang w:bidi="fa-IR"/>
        </w:rPr>
        <w:t>اً قطعي</w:t>
      </w:r>
      <w:r w:rsidR="00FC3925" w:rsidRPr="00904FCB">
        <w:rPr>
          <w:rFonts w:ascii="Tahoma" w:hAnsi="Tahoma" w:hint="cs"/>
          <w:sz w:val="27"/>
          <w:rtl/>
          <w:lang w:bidi="fa-IR"/>
        </w:rPr>
        <w:t>ّ</w:t>
      </w:r>
      <w:r w:rsidRPr="00904FCB">
        <w:rPr>
          <w:rFonts w:ascii="Tahoma" w:hAnsi="Tahoma"/>
          <w:sz w:val="27"/>
          <w:rtl/>
          <w:lang w:bidi="fa-IR"/>
        </w:rPr>
        <w:t xml:space="preserve"> الدلالة.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والقسم الثالث من الفقهاء يأخذ بالمصلحة المجر</w:t>
      </w:r>
      <w:r w:rsidR="00FC3925" w:rsidRPr="00904FCB">
        <w:rPr>
          <w:rFonts w:ascii="Tahoma" w:hAnsi="Tahoma" w:hint="cs"/>
          <w:sz w:val="27"/>
          <w:rtl/>
          <w:lang w:bidi="fa-IR"/>
        </w:rPr>
        <w:t>َّ</w:t>
      </w:r>
      <w:r w:rsidRPr="00904FCB">
        <w:rPr>
          <w:rFonts w:ascii="Tahoma" w:hAnsi="Tahoma"/>
          <w:sz w:val="27"/>
          <w:rtl/>
          <w:lang w:bidi="fa-IR"/>
        </w:rPr>
        <w:t>دة</w:t>
      </w:r>
      <w:r w:rsidR="00FC3925" w:rsidRPr="00904FCB">
        <w:rPr>
          <w:rFonts w:ascii="Tahoma" w:hAnsi="Tahoma" w:hint="cs"/>
          <w:sz w:val="27"/>
          <w:rtl/>
          <w:lang w:bidi="fa-IR"/>
        </w:rPr>
        <w:t>،</w:t>
      </w:r>
      <w:r w:rsidRPr="00904FCB">
        <w:rPr>
          <w:rFonts w:ascii="Tahoma" w:hAnsi="Tahoma"/>
          <w:sz w:val="27"/>
          <w:rtl/>
          <w:lang w:bidi="fa-IR"/>
        </w:rPr>
        <w:t xml:space="preserve"> من غير أن يشترط فيها الشروط السابقة</w:t>
      </w:r>
      <w:r w:rsidR="00FC3925" w:rsidRPr="00904FCB">
        <w:rPr>
          <w:rFonts w:ascii="Tahoma" w:hAnsi="Tahoma" w:hint="cs"/>
          <w:sz w:val="27"/>
          <w:rtl/>
          <w:lang w:bidi="fa-IR"/>
        </w:rPr>
        <w:t>.</w:t>
      </w:r>
      <w:r w:rsidRPr="00904FCB">
        <w:rPr>
          <w:rFonts w:ascii="Tahoma" w:hAnsi="Tahoma"/>
          <w:sz w:val="27"/>
          <w:rtl/>
          <w:lang w:bidi="fa-IR"/>
        </w:rPr>
        <w:t xml:space="preserve"> ولا نعرف أحداً أخذ بذلك إلاّ «الطوفي</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ولم</w:t>
      </w:r>
      <w:r w:rsidR="00FC3925" w:rsidRPr="00904FCB">
        <w:rPr>
          <w:rFonts w:ascii="Tahoma" w:hAnsi="Tahoma" w:hint="cs"/>
          <w:sz w:val="27"/>
          <w:rtl/>
          <w:lang w:bidi="fa-IR"/>
        </w:rPr>
        <w:t>ّ</w:t>
      </w:r>
      <w:r w:rsidRPr="00904FCB">
        <w:rPr>
          <w:rFonts w:ascii="Tahoma" w:hAnsi="Tahoma"/>
          <w:sz w:val="27"/>
          <w:rtl/>
          <w:lang w:bidi="fa-IR"/>
        </w:rPr>
        <w:t>ا كانت حكمة الله اقتض</w:t>
      </w:r>
      <w:r w:rsidR="00FC3925" w:rsidRPr="00904FCB">
        <w:rPr>
          <w:rFonts w:ascii="Tahoma" w:hAnsi="Tahoma" w:hint="cs"/>
          <w:sz w:val="27"/>
          <w:rtl/>
          <w:lang w:bidi="fa-IR"/>
        </w:rPr>
        <w:t>َ</w:t>
      </w:r>
      <w:r w:rsidRPr="00904FCB">
        <w:rPr>
          <w:rFonts w:ascii="Tahoma" w:hAnsi="Tahoma"/>
          <w:sz w:val="27"/>
          <w:rtl/>
          <w:lang w:bidi="fa-IR"/>
        </w:rPr>
        <w:t>ت</w:t>
      </w:r>
      <w:r w:rsidR="00FC3925" w:rsidRPr="00904FCB">
        <w:rPr>
          <w:rFonts w:ascii="Tahoma" w:hAnsi="Tahoma" w:hint="cs"/>
          <w:sz w:val="27"/>
          <w:rtl/>
          <w:lang w:bidi="fa-IR"/>
        </w:rPr>
        <w:t>ْ</w:t>
      </w:r>
      <w:r w:rsidRPr="00904FCB">
        <w:rPr>
          <w:rFonts w:ascii="Tahoma" w:hAnsi="Tahoma"/>
          <w:sz w:val="27"/>
          <w:rtl/>
          <w:lang w:bidi="fa-IR"/>
        </w:rPr>
        <w:t xml:space="preserve"> أن لا تنال المصالح والملاذ الأعلى إلاّ على حساب شيء</w:t>
      </w:r>
      <w:r w:rsidR="00FC3925" w:rsidRPr="00904FCB">
        <w:rPr>
          <w:rFonts w:ascii="Tahoma" w:hAnsi="Tahoma" w:hint="cs"/>
          <w:sz w:val="27"/>
          <w:rtl/>
          <w:lang w:bidi="fa-IR"/>
        </w:rPr>
        <w:t>ٍ</w:t>
      </w:r>
      <w:r w:rsidRPr="00904FCB">
        <w:rPr>
          <w:rFonts w:ascii="Tahoma" w:hAnsi="Tahoma"/>
          <w:sz w:val="27"/>
          <w:rtl/>
          <w:lang w:bidi="fa-IR"/>
        </w:rPr>
        <w:t xml:space="preserve"> من راحة الإنسان، ومراعاة المصالح تقتضي تقديم الأهم</w:t>
      </w:r>
      <w:r w:rsidR="00FC3925" w:rsidRPr="00904FCB">
        <w:rPr>
          <w:rFonts w:ascii="Tahoma" w:hAnsi="Tahoma" w:hint="cs"/>
          <w:sz w:val="27"/>
          <w:rtl/>
          <w:lang w:bidi="fa-IR"/>
        </w:rPr>
        <w:t>ّ</w:t>
      </w:r>
      <w:r w:rsidRPr="00904FCB">
        <w:rPr>
          <w:rFonts w:ascii="Tahoma" w:hAnsi="Tahoma"/>
          <w:sz w:val="27"/>
          <w:rtl/>
          <w:lang w:bidi="fa-IR"/>
        </w:rPr>
        <w:t xml:space="preserve"> منها على ما هو دونه، كان هناك ميزان لترتيب هذه المصالح ح</w:t>
      </w:r>
      <w:r w:rsidR="00FC3925" w:rsidRPr="00904FCB">
        <w:rPr>
          <w:rFonts w:ascii="Tahoma" w:hAnsi="Tahoma" w:hint="cs"/>
          <w:sz w:val="27"/>
          <w:rtl/>
          <w:lang w:bidi="fa-IR"/>
        </w:rPr>
        <w:t>َ</w:t>
      </w:r>
      <w:r w:rsidRPr="00904FCB">
        <w:rPr>
          <w:rFonts w:ascii="Tahoma" w:hAnsi="Tahoma"/>
          <w:sz w:val="27"/>
          <w:rtl/>
          <w:lang w:bidi="fa-IR"/>
        </w:rPr>
        <w:t>س</w:t>
      </w:r>
      <w:r w:rsidR="00FC3925" w:rsidRPr="00904FCB">
        <w:rPr>
          <w:rFonts w:ascii="Tahoma" w:hAnsi="Tahoma" w:hint="cs"/>
          <w:sz w:val="27"/>
          <w:rtl/>
          <w:lang w:bidi="fa-IR"/>
        </w:rPr>
        <w:t>ْ</w:t>
      </w:r>
      <w:r w:rsidRPr="00904FCB">
        <w:rPr>
          <w:rFonts w:ascii="Tahoma" w:hAnsi="Tahoma"/>
          <w:sz w:val="27"/>
          <w:rtl/>
          <w:lang w:bidi="fa-IR"/>
        </w:rPr>
        <w:t>ب درجات أهم</w:t>
      </w:r>
      <w:r w:rsidR="00FC3925" w:rsidRPr="00904FCB">
        <w:rPr>
          <w:rFonts w:ascii="Tahoma" w:hAnsi="Tahoma" w:hint="cs"/>
          <w:sz w:val="27"/>
          <w:rtl/>
          <w:lang w:bidi="fa-IR"/>
        </w:rPr>
        <w:t>ّ</w:t>
      </w:r>
      <w:r w:rsidRPr="00904FCB">
        <w:rPr>
          <w:rFonts w:ascii="Tahoma" w:hAnsi="Tahoma"/>
          <w:sz w:val="27"/>
          <w:rtl/>
          <w:lang w:bidi="fa-IR"/>
        </w:rPr>
        <w:t>يتها في نظر الشارع</w:t>
      </w:r>
      <w:r w:rsidR="00FC3925" w:rsidRPr="00904FCB">
        <w:rPr>
          <w:rFonts w:ascii="Tahoma" w:hAnsi="Tahoma" w:hint="cs"/>
          <w:sz w:val="27"/>
          <w:rtl/>
          <w:lang w:bidi="fa-IR"/>
        </w:rPr>
        <w:t>،</w:t>
      </w:r>
      <w:r w:rsidRPr="00904FCB">
        <w:rPr>
          <w:rFonts w:ascii="Tahoma" w:hAnsi="Tahoma"/>
          <w:sz w:val="27"/>
          <w:rtl/>
          <w:lang w:bidi="fa-IR"/>
        </w:rPr>
        <w:t xml:space="preserve"> وليس بنظر الإنسان. وهذا ما يؤك</w:t>
      </w:r>
      <w:r w:rsidR="00FC3925" w:rsidRPr="00904FCB">
        <w:rPr>
          <w:rFonts w:ascii="Tahoma" w:hAnsi="Tahoma" w:hint="cs"/>
          <w:sz w:val="27"/>
          <w:rtl/>
          <w:lang w:bidi="fa-IR"/>
        </w:rPr>
        <w:t>ِّ</w:t>
      </w:r>
      <w:r w:rsidRPr="00904FCB">
        <w:rPr>
          <w:rFonts w:ascii="Tahoma" w:hAnsi="Tahoma"/>
          <w:sz w:val="27"/>
          <w:rtl/>
          <w:lang w:bidi="fa-IR"/>
        </w:rPr>
        <w:t xml:space="preserve">ده قوله تعالى: </w:t>
      </w:r>
      <w:r w:rsidRPr="00904FCB">
        <w:rPr>
          <w:rFonts w:ascii="Mosawi" w:hAnsi="Mosawi" w:cs="Mosawi"/>
          <w:sz w:val="24"/>
          <w:szCs w:val="24"/>
          <w:rtl/>
        </w:rPr>
        <w:t>﴿</w:t>
      </w:r>
      <w:r w:rsidR="00FC3925" w:rsidRPr="00904FCB">
        <w:rPr>
          <w:rFonts w:ascii="Tahoma" w:hAnsi="Tahoma"/>
          <w:b/>
          <w:bCs/>
          <w:sz w:val="27"/>
          <w:rtl/>
          <w:lang w:bidi="fa-IR"/>
        </w:rPr>
        <w:t>وَأَن</w:t>
      </w:r>
      <w:r w:rsidR="00FC3925" w:rsidRPr="00904FCB">
        <w:rPr>
          <w:rFonts w:ascii="Tahoma" w:hAnsi="Tahoma" w:hint="cs"/>
          <w:b/>
          <w:bCs/>
          <w:sz w:val="27"/>
          <w:rtl/>
          <w:lang w:bidi="fa-IR"/>
        </w:rPr>
        <w:t>ْ</w:t>
      </w:r>
      <w:r w:rsidRPr="00904FCB">
        <w:rPr>
          <w:rFonts w:ascii="Tahoma" w:hAnsi="Tahoma"/>
          <w:b/>
          <w:bCs/>
          <w:sz w:val="27"/>
          <w:rtl/>
          <w:lang w:bidi="fa-IR"/>
        </w:rPr>
        <w:t xml:space="preserve"> احْكُم</w:t>
      </w:r>
      <w:r w:rsidR="00FC3925" w:rsidRPr="00904FCB">
        <w:rPr>
          <w:rFonts w:ascii="Tahoma" w:hAnsi="Tahoma" w:hint="cs"/>
          <w:b/>
          <w:bCs/>
          <w:sz w:val="27"/>
          <w:rtl/>
          <w:lang w:bidi="fa-IR"/>
        </w:rPr>
        <w:t>ْ</w:t>
      </w:r>
      <w:r w:rsidRPr="00904FCB">
        <w:rPr>
          <w:rFonts w:ascii="Tahoma" w:hAnsi="Tahoma"/>
          <w:b/>
          <w:bCs/>
          <w:sz w:val="27"/>
          <w:rtl/>
          <w:lang w:bidi="fa-IR"/>
        </w:rPr>
        <w:t xml:space="preserve"> بَيْنَهُم</w:t>
      </w:r>
      <w:r w:rsidR="00FC3925" w:rsidRPr="00904FCB">
        <w:rPr>
          <w:rFonts w:ascii="Tahoma" w:hAnsi="Tahoma" w:hint="cs"/>
          <w:b/>
          <w:bCs/>
          <w:sz w:val="27"/>
          <w:rtl/>
          <w:lang w:bidi="fa-IR"/>
        </w:rPr>
        <w:t>ْ</w:t>
      </w:r>
      <w:r w:rsidRPr="00904FCB">
        <w:rPr>
          <w:rFonts w:ascii="Tahoma" w:hAnsi="Tahoma"/>
          <w:b/>
          <w:bCs/>
          <w:sz w:val="27"/>
          <w:rtl/>
          <w:lang w:bidi="fa-IR"/>
        </w:rPr>
        <w:t xml:space="preserve"> بِمَ</w:t>
      </w:r>
      <w:r w:rsidR="00FC3925" w:rsidRPr="00904FCB">
        <w:rPr>
          <w:rFonts w:ascii="Tahoma" w:hAnsi="Tahoma" w:hint="cs"/>
          <w:b/>
          <w:bCs/>
          <w:sz w:val="27"/>
          <w:rtl/>
          <w:lang w:bidi="fa-IR"/>
        </w:rPr>
        <w:t>ا</w:t>
      </w:r>
      <w:r w:rsidR="00FC3925" w:rsidRPr="00904FCB">
        <w:rPr>
          <w:rFonts w:ascii="Tahoma" w:hAnsi="Tahoma"/>
          <w:b/>
          <w:bCs/>
          <w:sz w:val="27"/>
          <w:rtl/>
          <w:lang w:bidi="fa-IR"/>
        </w:rPr>
        <w:t xml:space="preserve"> أَنزَلَ الل</w:t>
      </w:r>
      <w:r w:rsidRPr="00904FCB">
        <w:rPr>
          <w:rFonts w:ascii="Tahoma" w:hAnsi="Tahoma"/>
          <w:b/>
          <w:bCs/>
          <w:sz w:val="27"/>
          <w:rtl/>
          <w:lang w:bidi="fa-IR"/>
        </w:rPr>
        <w:t>هُ وَلاَ تَتَّبِعْ أَهْوَاء</w:t>
      </w:r>
      <w:r w:rsidR="00FC3925" w:rsidRPr="00904FCB">
        <w:rPr>
          <w:rFonts w:ascii="Tahoma" w:hAnsi="Tahoma" w:hint="cs"/>
          <w:b/>
          <w:bCs/>
          <w:sz w:val="27"/>
          <w:rtl/>
          <w:lang w:bidi="fa-IR"/>
        </w:rPr>
        <w:t>َ</w:t>
      </w:r>
      <w:r w:rsidRPr="00904FCB">
        <w:rPr>
          <w:rFonts w:ascii="Tahoma" w:hAnsi="Tahoma"/>
          <w:b/>
          <w:bCs/>
          <w:sz w:val="27"/>
          <w:rtl/>
          <w:lang w:bidi="fa-IR"/>
        </w:rPr>
        <w:t>هُمْ</w:t>
      </w:r>
      <w:r w:rsidRPr="00904FCB">
        <w:rPr>
          <w:rFonts w:ascii="Mosawi" w:hAnsi="Mosawi" w:cs="Mosawi"/>
          <w:sz w:val="24"/>
          <w:szCs w:val="24"/>
          <w:rtl/>
        </w:rPr>
        <w:t>﴾</w:t>
      </w:r>
      <w:r w:rsidRPr="00904FCB">
        <w:rPr>
          <w:rFonts w:ascii="Tahoma" w:hAnsi="Tahoma"/>
          <w:sz w:val="27"/>
          <w:rtl/>
          <w:lang w:bidi="fa-IR"/>
        </w:rPr>
        <w:t xml:space="preserve"> (المائدة: </w:t>
      </w:r>
      <w:r w:rsidRPr="00DB2AFA">
        <w:rPr>
          <w:rFonts w:ascii="Tahoma" w:hAnsi="Tahoma" w:hint="cs"/>
          <w:sz w:val="27"/>
          <w:rtl/>
          <w:lang w:bidi="ar-LB"/>
        </w:rPr>
        <w:t>49</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إن المصالح بأقسامها الثلاثة ـ الضرورية</w:t>
      </w:r>
      <w:r w:rsidR="00FC3925" w:rsidRPr="00904FCB">
        <w:rPr>
          <w:rFonts w:ascii="Tahoma" w:hAnsi="Tahoma" w:hint="cs"/>
          <w:sz w:val="27"/>
          <w:rtl/>
          <w:lang w:bidi="fa-IR"/>
        </w:rPr>
        <w:t>؛</w:t>
      </w:r>
      <w:r w:rsidRPr="00904FCB">
        <w:rPr>
          <w:rFonts w:ascii="Tahoma" w:hAnsi="Tahoma"/>
          <w:sz w:val="27"/>
          <w:rtl/>
          <w:lang w:bidi="fa-IR"/>
        </w:rPr>
        <w:t xml:space="preserve"> والحاجية</w:t>
      </w:r>
      <w:r w:rsidR="00FC3925" w:rsidRPr="00904FCB">
        <w:rPr>
          <w:rFonts w:ascii="Tahoma" w:hAnsi="Tahoma" w:hint="cs"/>
          <w:sz w:val="27"/>
          <w:rtl/>
          <w:lang w:bidi="fa-IR"/>
        </w:rPr>
        <w:t>؛</w:t>
      </w:r>
      <w:r w:rsidRPr="00904FCB">
        <w:rPr>
          <w:rFonts w:ascii="Tahoma" w:hAnsi="Tahoma"/>
          <w:sz w:val="27"/>
          <w:rtl/>
          <w:lang w:bidi="fa-IR"/>
        </w:rPr>
        <w:t xml:space="preserve"> والتحسينية ـ وإن</w:t>
      </w:r>
      <w:r w:rsidR="00FC3925" w:rsidRPr="00904FCB">
        <w:rPr>
          <w:rFonts w:ascii="Tahoma" w:hAnsi="Tahoma" w:hint="cs"/>
          <w:sz w:val="27"/>
          <w:rtl/>
          <w:lang w:bidi="fa-IR"/>
        </w:rPr>
        <w:t>ْ</w:t>
      </w:r>
      <w:r w:rsidRPr="00904FCB">
        <w:rPr>
          <w:rFonts w:ascii="Tahoma" w:hAnsi="Tahoma"/>
          <w:sz w:val="27"/>
          <w:rtl/>
          <w:lang w:bidi="fa-IR"/>
        </w:rPr>
        <w:t xml:space="preserve"> كانت مبثوثة في جميع أبواب الشريعة وأدل</w:t>
      </w:r>
      <w:r w:rsidR="00FC3925" w:rsidRPr="00904FCB">
        <w:rPr>
          <w:rFonts w:ascii="Tahoma" w:hAnsi="Tahoma" w:hint="cs"/>
          <w:sz w:val="27"/>
          <w:rtl/>
          <w:lang w:bidi="fa-IR"/>
        </w:rPr>
        <w:t>ّ</w:t>
      </w:r>
      <w:r w:rsidRPr="00904FCB">
        <w:rPr>
          <w:rFonts w:ascii="Tahoma" w:hAnsi="Tahoma"/>
          <w:sz w:val="27"/>
          <w:rtl/>
          <w:lang w:bidi="fa-IR"/>
        </w:rPr>
        <w:t>تها، وكل</w:t>
      </w:r>
      <w:r w:rsidR="00FC3925" w:rsidRPr="00904FCB">
        <w:rPr>
          <w:rFonts w:ascii="Tahoma" w:hAnsi="Tahoma" w:hint="cs"/>
          <w:sz w:val="27"/>
          <w:rtl/>
          <w:lang w:bidi="fa-IR"/>
        </w:rPr>
        <w:t>ّ</w:t>
      </w:r>
      <w:r w:rsidRPr="00904FCB">
        <w:rPr>
          <w:rFonts w:ascii="Tahoma" w:hAnsi="Tahoma"/>
          <w:sz w:val="27"/>
          <w:rtl/>
          <w:lang w:bidi="fa-IR"/>
        </w:rPr>
        <w:t>ها واجبة الحفظ، فإنها ليست في مستوى واحد</w:t>
      </w:r>
      <w:r w:rsidR="00C86A3F" w:rsidRPr="00904FCB">
        <w:rPr>
          <w:rFonts w:ascii="Tahoma" w:hAnsi="Tahoma" w:hint="cs"/>
          <w:sz w:val="27"/>
          <w:rtl/>
          <w:lang w:bidi="fa-IR"/>
        </w:rPr>
        <w:t>ٍ</w:t>
      </w:r>
      <w:r w:rsidRPr="00904FCB">
        <w:rPr>
          <w:rFonts w:ascii="Tahoma" w:hAnsi="Tahoma"/>
          <w:sz w:val="27"/>
          <w:rtl/>
          <w:lang w:bidi="fa-IR"/>
        </w:rPr>
        <w:t xml:space="preserve"> من الأهم</w:t>
      </w:r>
      <w:r w:rsidR="00C86A3F" w:rsidRPr="00904FCB">
        <w:rPr>
          <w:rFonts w:ascii="Tahoma" w:hAnsi="Tahoma" w:hint="cs"/>
          <w:sz w:val="27"/>
          <w:rtl/>
          <w:lang w:bidi="fa-IR"/>
        </w:rPr>
        <w:t>ّ</w:t>
      </w:r>
      <w:r w:rsidRPr="00904FCB">
        <w:rPr>
          <w:rFonts w:ascii="Tahoma" w:hAnsi="Tahoma"/>
          <w:sz w:val="27"/>
          <w:rtl/>
          <w:lang w:bidi="fa-IR"/>
        </w:rPr>
        <w:t>ية</w:t>
      </w:r>
      <w:r w:rsidR="00C86A3F" w:rsidRPr="00904FCB">
        <w:rPr>
          <w:rFonts w:ascii="Tahoma" w:hAnsi="Tahoma" w:hint="cs"/>
          <w:sz w:val="27"/>
          <w:rtl/>
          <w:lang w:bidi="fa-IR"/>
        </w:rPr>
        <w:t>،</w:t>
      </w:r>
      <w:r w:rsidRPr="00904FCB">
        <w:rPr>
          <w:rFonts w:ascii="Tahoma" w:hAnsi="Tahoma"/>
          <w:sz w:val="27"/>
          <w:rtl/>
          <w:lang w:bidi="fa-IR"/>
        </w:rPr>
        <w:t xml:space="preserve"> ولا في مرتبة واحدة من الاعتبار، بل هي متفاوتة التفاضل، بحيث </w:t>
      </w:r>
      <w:r w:rsidR="00C86A3F" w:rsidRPr="00904FCB">
        <w:rPr>
          <w:rFonts w:ascii="Tahoma" w:hAnsi="Tahoma" w:hint="cs"/>
          <w:sz w:val="27"/>
          <w:rtl/>
          <w:lang w:bidi="fa-IR"/>
        </w:rPr>
        <w:t>إ</w:t>
      </w:r>
      <w:r w:rsidRPr="00904FCB">
        <w:rPr>
          <w:rFonts w:ascii="Tahoma" w:hAnsi="Tahoma"/>
          <w:sz w:val="27"/>
          <w:rtl/>
          <w:lang w:bidi="fa-IR"/>
        </w:rPr>
        <w:t>ن بعضها أعظم من بعض</w:t>
      </w:r>
      <w:r w:rsidR="00C86A3F" w:rsidRPr="00904FCB">
        <w:rPr>
          <w:rFonts w:ascii="Tahoma" w:hAnsi="Tahoma" w:hint="cs"/>
          <w:sz w:val="27"/>
          <w:rtl/>
          <w:lang w:bidi="fa-IR"/>
        </w:rPr>
        <w:t>ٍ</w:t>
      </w:r>
      <w:r w:rsidRPr="00904FCB">
        <w:rPr>
          <w:rFonts w:ascii="Tahoma" w:hAnsi="Tahoma"/>
          <w:sz w:val="27"/>
          <w:rtl/>
          <w:lang w:bidi="fa-IR"/>
        </w:rPr>
        <w:t>، ومتكاملة</w:t>
      </w:r>
      <w:r w:rsidR="00C86A3F" w:rsidRPr="00904FCB">
        <w:rPr>
          <w:rFonts w:ascii="Tahoma" w:hAnsi="Tahoma" w:hint="cs"/>
          <w:sz w:val="27"/>
          <w:rtl/>
          <w:lang w:bidi="fa-IR"/>
        </w:rPr>
        <w:t>،</w:t>
      </w:r>
      <w:r w:rsidRPr="00904FCB">
        <w:rPr>
          <w:rFonts w:ascii="Tahoma" w:hAnsi="Tahoma"/>
          <w:sz w:val="27"/>
          <w:rtl/>
          <w:lang w:bidi="fa-IR"/>
        </w:rPr>
        <w:t xml:space="preserve"> بحيث </w:t>
      </w:r>
      <w:r w:rsidR="00C86A3F" w:rsidRPr="00904FCB">
        <w:rPr>
          <w:rFonts w:ascii="Tahoma" w:hAnsi="Tahoma" w:hint="cs"/>
          <w:sz w:val="27"/>
          <w:rtl/>
          <w:lang w:bidi="fa-IR"/>
        </w:rPr>
        <w:t>إ</w:t>
      </w:r>
      <w:r w:rsidRPr="00904FCB">
        <w:rPr>
          <w:rFonts w:ascii="Tahoma" w:hAnsi="Tahoma"/>
          <w:sz w:val="27"/>
          <w:rtl/>
          <w:lang w:bidi="fa-IR"/>
        </w:rPr>
        <w:t>ن بعضها متوق</w:t>
      </w:r>
      <w:r w:rsidR="00C86A3F" w:rsidRPr="00904FCB">
        <w:rPr>
          <w:rFonts w:ascii="Tahoma" w:hAnsi="Tahoma" w:hint="cs"/>
          <w:sz w:val="27"/>
          <w:rtl/>
          <w:lang w:bidi="fa-IR"/>
        </w:rPr>
        <w:t>ِّ</w:t>
      </w:r>
      <w:r w:rsidRPr="00904FCB">
        <w:rPr>
          <w:rFonts w:ascii="Tahoma" w:hAnsi="Tahoma"/>
          <w:sz w:val="27"/>
          <w:rtl/>
          <w:lang w:bidi="fa-IR"/>
        </w:rPr>
        <w:t>ف على بعض</w:t>
      </w:r>
      <w:r w:rsidR="00C86A3F" w:rsidRPr="00904FCB">
        <w:rPr>
          <w:rFonts w:ascii="Tahoma" w:hAnsi="Tahoma" w:hint="cs"/>
          <w:sz w:val="27"/>
          <w:rtl/>
          <w:lang w:bidi="fa-IR"/>
        </w:rPr>
        <w:t>.</w:t>
      </w:r>
      <w:r w:rsidRPr="00904FCB">
        <w:rPr>
          <w:rFonts w:ascii="Tahoma" w:hAnsi="Tahoma"/>
          <w:sz w:val="27"/>
          <w:rtl/>
          <w:lang w:bidi="fa-IR"/>
        </w:rPr>
        <w:t xml:space="preserve"> لذلك وجب النظر فيها بح</w:t>
      </w:r>
      <w:r w:rsidR="00C86A3F" w:rsidRPr="00904FCB">
        <w:rPr>
          <w:rFonts w:ascii="Tahoma" w:hAnsi="Tahoma" w:hint="cs"/>
          <w:sz w:val="27"/>
          <w:rtl/>
          <w:lang w:bidi="fa-IR"/>
        </w:rPr>
        <w:t>َ</w:t>
      </w:r>
      <w:r w:rsidRPr="00904FCB">
        <w:rPr>
          <w:rFonts w:ascii="Tahoma" w:hAnsi="Tahoma"/>
          <w:sz w:val="27"/>
          <w:rtl/>
          <w:lang w:bidi="fa-IR"/>
        </w:rPr>
        <w:t>س</w:t>
      </w:r>
      <w:r w:rsidR="00C86A3F" w:rsidRPr="00904FCB">
        <w:rPr>
          <w:rFonts w:ascii="Tahoma" w:hAnsi="Tahoma" w:hint="cs"/>
          <w:sz w:val="27"/>
          <w:rtl/>
          <w:lang w:bidi="fa-IR"/>
        </w:rPr>
        <w:t>َ</w:t>
      </w:r>
      <w:r w:rsidRPr="00904FCB">
        <w:rPr>
          <w:rFonts w:ascii="Tahoma" w:hAnsi="Tahoma"/>
          <w:sz w:val="27"/>
          <w:rtl/>
          <w:lang w:bidi="fa-IR"/>
        </w:rPr>
        <w:t>ب ما هي عليه من الأولوية الشرعية</w:t>
      </w:r>
      <w:r w:rsidR="00C86A3F" w:rsidRPr="00904FCB">
        <w:rPr>
          <w:rFonts w:ascii="Tahoma" w:hAnsi="Tahoma" w:hint="cs"/>
          <w:sz w:val="27"/>
          <w:rtl/>
          <w:lang w:bidi="fa-IR"/>
        </w:rPr>
        <w:t>،</w:t>
      </w:r>
      <w:r w:rsidRPr="00904FCB">
        <w:rPr>
          <w:rFonts w:ascii="Tahoma" w:hAnsi="Tahoma"/>
          <w:sz w:val="27"/>
          <w:rtl/>
          <w:lang w:bidi="fa-IR"/>
        </w:rPr>
        <w:t xml:space="preserve"> والأرجحية الاعتبارية.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فالأمور المتعل</w:t>
      </w:r>
      <w:r w:rsidR="00C86A3F" w:rsidRPr="00904FCB">
        <w:rPr>
          <w:rFonts w:ascii="Tahoma" w:hAnsi="Tahoma" w:hint="cs"/>
          <w:sz w:val="27"/>
          <w:rtl/>
          <w:lang w:bidi="fa-IR"/>
        </w:rPr>
        <w:t>ِّ</w:t>
      </w:r>
      <w:r w:rsidRPr="00904FCB">
        <w:rPr>
          <w:rFonts w:ascii="Tahoma" w:hAnsi="Tahoma"/>
          <w:sz w:val="27"/>
          <w:rtl/>
          <w:lang w:bidi="fa-IR"/>
        </w:rPr>
        <w:t>قة بالمصالح الضرورية ليست كالأمور المتعل</w:t>
      </w:r>
      <w:r w:rsidR="00C86A3F" w:rsidRPr="00904FCB">
        <w:rPr>
          <w:rFonts w:ascii="Tahoma" w:hAnsi="Tahoma" w:hint="cs"/>
          <w:sz w:val="27"/>
          <w:rtl/>
          <w:lang w:bidi="fa-IR"/>
        </w:rPr>
        <w:t>ِّ</w:t>
      </w:r>
      <w:r w:rsidRPr="00904FCB">
        <w:rPr>
          <w:rFonts w:ascii="Tahoma" w:hAnsi="Tahoma"/>
          <w:sz w:val="27"/>
          <w:rtl/>
          <w:lang w:bidi="fa-IR"/>
        </w:rPr>
        <w:t>قة بالمصالح الحاجية</w:t>
      </w:r>
      <w:r w:rsidR="00C86A3F" w:rsidRPr="00904FCB">
        <w:rPr>
          <w:rFonts w:ascii="Tahoma" w:hAnsi="Tahoma" w:hint="cs"/>
          <w:sz w:val="27"/>
          <w:rtl/>
          <w:lang w:bidi="fa-IR"/>
        </w:rPr>
        <w:t>،</w:t>
      </w:r>
      <w:r w:rsidRPr="00904FCB">
        <w:rPr>
          <w:rFonts w:ascii="Tahoma" w:hAnsi="Tahoma"/>
          <w:sz w:val="27"/>
          <w:rtl/>
          <w:lang w:bidi="fa-IR"/>
        </w:rPr>
        <w:t xml:space="preserve"> ولا التحسينية</w:t>
      </w:r>
      <w:r w:rsidR="00C86A3F" w:rsidRPr="00904FCB">
        <w:rPr>
          <w:rFonts w:ascii="Tahoma" w:hAnsi="Tahoma" w:hint="cs"/>
          <w:sz w:val="27"/>
          <w:rtl/>
          <w:lang w:bidi="fa-IR"/>
        </w:rPr>
        <w:t>.</w:t>
      </w:r>
      <w:r w:rsidRPr="00904FCB">
        <w:rPr>
          <w:rFonts w:ascii="Tahoma" w:hAnsi="Tahoma"/>
          <w:sz w:val="27"/>
          <w:rtl/>
          <w:lang w:bidi="fa-IR"/>
        </w:rPr>
        <w:t xml:space="preserve"> بل </w:t>
      </w:r>
      <w:r w:rsidR="00C86A3F" w:rsidRPr="00904FCB">
        <w:rPr>
          <w:rFonts w:ascii="Tahoma" w:hAnsi="Tahoma" w:hint="cs"/>
          <w:sz w:val="27"/>
          <w:rtl/>
          <w:lang w:bidi="fa-IR"/>
        </w:rPr>
        <w:t>إ</w:t>
      </w:r>
      <w:r w:rsidRPr="00904FCB">
        <w:rPr>
          <w:rFonts w:ascii="Tahoma" w:hAnsi="Tahoma"/>
          <w:sz w:val="27"/>
          <w:rtl/>
          <w:lang w:bidi="fa-IR"/>
        </w:rPr>
        <w:t>ن المصالح الضرورية ليست على و</w:t>
      </w:r>
      <w:r w:rsidR="00C86A3F" w:rsidRPr="00904FCB">
        <w:rPr>
          <w:rFonts w:ascii="Tahoma" w:hAnsi="Tahoma" w:hint="cs"/>
          <w:sz w:val="27"/>
          <w:rtl/>
          <w:lang w:bidi="fa-IR"/>
        </w:rPr>
        <w:t>َ</w:t>
      </w:r>
      <w:r w:rsidRPr="00904FCB">
        <w:rPr>
          <w:rFonts w:ascii="Tahoma" w:hAnsi="Tahoma"/>
          <w:sz w:val="27"/>
          <w:rtl/>
          <w:lang w:bidi="fa-IR"/>
        </w:rPr>
        <w:t>ز</w:t>
      </w:r>
      <w:r w:rsidR="00C86A3F" w:rsidRPr="00904FCB">
        <w:rPr>
          <w:rFonts w:ascii="Tahoma" w:hAnsi="Tahoma" w:hint="cs"/>
          <w:sz w:val="27"/>
          <w:rtl/>
          <w:lang w:bidi="fa-IR"/>
        </w:rPr>
        <w:t>ْ</w:t>
      </w:r>
      <w:r w:rsidRPr="00904FCB">
        <w:rPr>
          <w:rFonts w:ascii="Tahoma" w:hAnsi="Tahoma"/>
          <w:sz w:val="27"/>
          <w:rtl/>
          <w:lang w:bidi="fa-IR"/>
        </w:rPr>
        <w:t>ن</w:t>
      </w:r>
      <w:r w:rsidR="00C86A3F" w:rsidRPr="00904FCB">
        <w:rPr>
          <w:rFonts w:ascii="Tahoma" w:hAnsi="Tahoma" w:hint="cs"/>
          <w:sz w:val="27"/>
          <w:rtl/>
          <w:lang w:bidi="fa-IR"/>
        </w:rPr>
        <w:t>ٍ</w:t>
      </w:r>
      <w:r w:rsidRPr="00904FCB">
        <w:rPr>
          <w:rFonts w:ascii="Tahoma" w:hAnsi="Tahoma"/>
          <w:sz w:val="27"/>
          <w:rtl/>
          <w:lang w:bidi="fa-IR"/>
        </w:rPr>
        <w:t xml:space="preserve"> واحد.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فإذا تعارضت مصلحة كل</w:t>
      </w:r>
      <w:r w:rsidR="00C86A3F" w:rsidRPr="00904FCB">
        <w:rPr>
          <w:rFonts w:ascii="Tahoma" w:hAnsi="Tahoma" w:hint="cs"/>
          <w:sz w:val="27"/>
          <w:rtl/>
          <w:lang w:bidi="fa-IR"/>
        </w:rPr>
        <w:t>ّ</w:t>
      </w:r>
      <w:r w:rsidRPr="00904FCB">
        <w:rPr>
          <w:rFonts w:ascii="Tahoma" w:hAnsi="Tahoma"/>
          <w:sz w:val="27"/>
          <w:rtl/>
          <w:lang w:bidi="fa-IR"/>
        </w:rPr>
        <w:t>ي الدين مع مصلحة كل</w:t>
      </w:r>
      <w:r w:rsidR="00C86A3F" w:rsidRPr="00904FCB">
        <w:rPr>
          <w:rFonts w:ascii="Tahoma" w:hAnsi="Tahoma" w:hint="cs"/>
          <w:sz w:val="27"/>
          <w:rtl/>
          <w:lang w:bidi="fa-IR"/>
        </w:rPr>
        <w:t>ّ</w:t>
      </w:r>
      <w:r w:rsidRPr="00904FCB">
        <w:rPr>
          <w:rFonts w:ascii="Tahoma" w:hAnsi="Tahoma"/>
          <w:sz w:val="27"/>
          <w:rtl/>
          <w:lang w:bidi="fa-IR"/>
        </w:rPr>
        <w:t>ي باقي المصالح، كأن</w:t>
      </w:r>
      <w:r w:rsidR="00C86A3F" w:rsidRPr="00904FCB">
        <w:rPr>
          <w:rFonts w:ascii="Tahoma" w:hAnsi="Tahoma" w:hint="cs"/>
          <w:sz w:val="27"/>
          <w:rtl/>
          <w:lang w:bidi="fa-IR"/>
        </w:rPr>
        <w:t>ْ</w:t>
      </w:r>
      <w:r w:rsidRPr="00904FCB">
        <w:rPr>
          <w:rFonts w:ascii="Tahoma" w:hAnsi="Tahoma"/>
          <w:sz w:val="27"/>
          <w:rtl/>
          <w:lang w:bidi="fa-IR"/>
        </w:rPr>
        <w:t xml:space="preserve"> </w:t>
      </w:r>
      <w:r w:rsidRPr="00904FCB">
        <w:rPr>
          <w:rFonts w:ascii="Tahoma" w:hAnsi="Tahoma"/>
          <w:sz w:val="27"/>
          <w:rtl/>
          <w:lang w:bidi="fa-IR"/>
        </w:rPr>
        <w:lastRenderedPageBreak/>
        <w:t>تصبح أصول الدين وأركانه كل</w:t>
      </w:r>
      <w:r w:rsidR="00C86A3F" w:rsidRPr="00904FCB">
        <w:rPr>
          <w:rFonts w:ascii="Tahoma" w:hAnsi="Tahoma" w:hint="cs"/>
          <w:sz w:val="27"/>
          <w:rtl/>
          <w:lang w:bidi="fa-IR"/>
        </w:rPr>
        <w:t>ّ</w:t>
      </w:r>
      <w:r w:rsidRPr="00904FCB">
        <w:rPr>
          <w:rFonts w:ascii="Tahoma" w:hAnsi="Tahoma"/>
          <w:sz w:val="27"/>
          <w:rtl/>
          <w:lang w:bidi="fa-IR"/>
        </w:rPr>
        <w:t>ها عرضة</w:t>
      </w:r>
      <w:r w:rsidR="00C86A3F" w:rsidRPr="00904FCB">
        <w:rPr>
          <w:rFonts w:ascii="Tahoma" w:hAnsi="Tahoma" w:hint="cs"/>
          <w:sz w:val="27"/>
          <w:rtl/>
          <w:lang w:bidi="fa-IR"/>
        </w:rPr>
        <w:t>ً</w:t>
      </w:r>
      <w:r w:rsidRPr="00904FCB">
        <w:rPr>
          <w:rFonts w:ascii="Tahoma" w:hAnsi="Tahoma"/>
          <w:sz w:val="27"/>
          <w:rtl/>
          <w:lang w:bidi="fa-IR"/>
        </w:rPr>
        <w:t xml:space="preserve"> لزوال</w:t>
      </w:r>
      <w:r w:rsidR="00C86A3F" w:rsidRPr="00904FCB">
        <w:rPr>
          <w:rFonts w:ascii="Tahoma" w:hAnsi="Tahoma" w:hint="cs"/>
          <w:sz w:val="27"/>
          <w:rtl/>
          <w:lang w:bidi="fa-IR"/>
        </w:rPr>
        <w:t>ٍ</w:t>
      </w:r>
      <w:r w:rsidRPr="00904FCB">
        <w:rPr>
          <w:rFonts w:ascii="Tahoma" w:hAnsi="Tahoma"/>
          <w:sz w:val="27"/>
          <w:rtl/>
          <w:lang w:bidi="fa-IR"/>
        </w:rPr>
        <w:t>، ففي هذه الحالة يكون حفظ الدين أ</w:t>
      </w:r>
      <w:r w:rsidR="00C86A3F" w:rsidRPr="00904FCB">
        <w:rPr>
          <w:rFonts w:ascii="Tahoma" w:hAnsi="Tahoma" w:hint="cs"/>
          <w:sz w:val="27"/>
          <w:rtl/>
          <w:lang w:bidi="fa-IR"/>
        </w:rPr>
        <w:t>َ</w:t>
      </w:r>
      <w:r w:rsidRPr="00904FCB">
        <w:rPr>
          <w:rFonts w:ascii="Tahoma" w:hAnsi="Tahoma"/>
          <w:sz w:val="27"/>
          <w:rtl/>
          <w:lang w:bidi="fa-IR"/>
        </w:rPr>
        <w:t>و</w:t>
      </w:r>
      <w:r w:rsidR="00C86A3F" w:rsidRPr="00904FCB">
        <w:rPr>
          <w:rFonts w:ascii="Tahoma" w:hAnsi="Tahoma" w:hint="cs"/>
          <w:sz w:val="27"/>
          <w:rtl/>
          <w:lang w:bidi="fa-IR"/>
        </w:rPr>
        <w:t>ْ</w:t>
      </w:r>
      <w:r w:rsidRPr="00904FCB">
        <w:rPr>
          <w:rFonts w:ascii="Tahoma" w:hAnsi="Tahoma"/>
          <w:sz w:val="27"/>
          <w:rtl/>
          <w:lang w:bidi="fa-IR"/>
        </w:rPr>
        <w:t>لى من كل</w:t>
      </w:r>
      <w:r w:rsidR="00C86A3F" w:rsidRPr="00904FCB">
        <w:rPr>
          <w:rFonts w:ascii="Tahoma" w:hAnsi="Tahoma" w:hint="cs"/>
          <w:sz w:val="27"/>
          <w:rtl/>
          <w:lang w:bidi="fa-IR"/>
        </w:rPr>
        <w:t>ّ</w:t>
      </w:r>
      <w:r w:rsidRPr="00904FCB">
        <w:rPr>
          <w:rFonts w:ascii="Tahoma" w:hAnsi="Tahoma"/>
          <w:sz w:val="27"/>
          <w:rtl/>
          <w:lang w:bidi="fa-IR"/>
        </w:rPr>
        <w:t xml:space="preserve"> شيء، وإن</w:t>
      </w:r>
      <w:r w:rsidR="00C86A3F" w:rsidRPr="00904FCB">
        <w:rPr>
          <w:rFonts w:ascii="Tahoma" w:hAnsi="Tahoma" w:hint="cs"/>
          <w:sz w:val="27"/>
          <w:rtl/>
          <w:lang w:bidi="fa-IR"/>
        </w:rPr>
        <w:t>ْ</w:t>
      </w:r>
      <w:r w:rsidRPr="00904FCB">
        <w:rPr>
          <w:rFonts w:ascii="Tahoma" w:hAnsi="Tahoma"/>
          <w:sz w:val="27"/>
          <w:rtl/>
          <w:lang w:bidi="fa-IR"/>
        </w:rPr>
        <w:t xml:space="preserve"> أد</w:t>
      </w:r>
      <w:r w:rsidR="00C86A3F" w:rsidRPr="00904FCB">
        <w:rPr>
          <w:rFonts w:ascii="Tahoma" w:hAnsi="Tahoma" w:hint="cs"/>
          <w:sz w:val="27"/>
          <w:rtl/>
          <w:lang w:bidi="fa-IR"/>
        </w:rPr>
        <w:t>ّ</w:t>
      </w:r>
      <w:r w:rsidRPr="00904FCB">
        <w:rPr>
          <w:rFonts w:ascii="Tahoma" w:hAnsi="Tahoma"/>
          <w:sz w:val="27"/>
          <w:rtl/>
          <w:lang w:bidi="fa-IR"/>
        </w:rPr>
        <w:t>ى الأمر في النهاية إلى التضحية بجميع المصالح الأخرى، كما هو واضح</w:t>
      </w:r>
      <w:r w:rsidR="00C86A3F" w:rsidRPr="00904FCB">
        <w:rPr>
          <w:rFonts w:ascii="Tahoma" w:hAnsi="Tahoma" w:hint="cs"/>
          <w:sz w:val="27"/>
          <w:rtl/>
          <w:lang w:bidi="fa-IR"/>
        </w:rPr>
        <w:t>ٌ</w:t>
      </w:r>
      <w:r w:rsidRPr="00904FCB">
        <w:rPr>
          <w:rFonts w:ascii="Tahoma" w:hAnsi="Tahoma"/>
          <w:sz w:val="27"/>
          <w:rtl/>
          <w:lang w:bidi="fa-IR"/>
        </w:rPr>
        <w:t xml:space="preserve"> في مسألة الجهاد</w:t>
      </w:r>
      <w:r w:rsidR="00C86A3F" w:rsidRPr="00904FCB">
        <w:rPr>
          <w:rFonts w:ascii="Tahoma" w:hAnsi="Tahoma" w:hint="cs"/>
          <w:sz w:val="27"/>
          <w:rtl/>
          <w:lang w:bidi="fa-IR"/>
        </w:rPr>
        <w:t>.</w:t>
      </w:r>
      <w:r w:rsidRPr="00904FCB">
        <w:rPr>
          <w:rFonts w:ascii="Tahoma" w:hAnsi="Tahoma"/>
          <w:sz w:val="27"/>
          <w:rtl/>
          <w:lang w:bidi="fa-IR"/>
        </w:rPr>
        <w:t xml:space="preserve"> فكل</w:t>
      </w:r>
      <w:r w:rsidR="00C86A3F" w:rsidRPr="00904FCB">
        <w:rPr>
          <w:rFonts w:ascii="Tahoma" w:hAnsi="Tahoma" w:hint="cs"/>
          <w:sz w:val="27"/>
          <w:rtl/>
          <w:lang w:bidi="fa-IR"/>
        </w:rPr>
        <w:t>ّ</w:t>
      </w:r>
      <w:r w:rsidRPr="00904FCB">
        <w:rPr>
          <w:rFonts w:ascii="Tahoma" w:hAnsi="Tahoma"/>
          <w:sz w:val="27"/>
          <w:rtl/>
          <w:lang w:bidi="fa-IR"/>
        </w:rPr>
        <w:t xml:space="preserve"> شيء يخص</w:t>
      </w:r>
      <w:r w:rsidR="00C86A3F" w:rsidRPr="00904FCB">
        <w:rPr>
          <w:rFonts w:ascii="Tahoma" w:hAnsi="Tahoma" w:hint="cs"/>
          <w:sz w:val="27"/>
          <w:rtl/>
          <w:lang w:bidi="fa-IR"/>
        </w:rPr>
        <w:t>ّ</w:t>
      </w:r>
      <w:r w:rsidRPr="00904FCB">
        <w:rPr>
          <w:rFonts w:ascii="Tahoma" w:hAnsi="Tahoma"/>
          <w:sz w:val="27"/>
          <w:rtl/>
          <w:lang w:bidi="fa-IR"/>
        </w:rPr>
        <w:t>ص</w:t>
      </w:r>
      <w:r w:rsidR="00CA1FED" w:rsidRPr="00904FCB">
        <w:rPr>
          <w:rFonts w:ascii="Tahoma" w:hAnsi="Tahoma" w:hint="cs"/>
          <w:sz w:val="27"/>
          <w:rtl/>
          <w:lang w:bidi="fa-IR"/>
        </w:rPr>
        <w:t xml:space="preserve"> حكمه</w:t>
      </w:r>
      <w:r w:rsidRPr="00904FCB">
        <w:rPr>
          <w:rFonts w:ascii="Tahoma" w:hAnsi="Tahoma"/>
          <w:sz w:val="27"/>
          <w:rtl/>
          <w:lang w:bidi="fa-IR"/>
        </w:rPr>
        <w:t xml:space="preserve"> من أجل حماية الدين. </w:t>
      </w:r>
    </w:p>
    <w:p w:rsidR="00644408" w:rsidRPr="00904FCB" w:rsidRDefault="00EB1BC7" w:rsidP="007A21AA">
      <w:pPr>
        <w:autoSpaceDE w:val="0"/>
        <w:autoSpaceDN w:val="0"/>
        <w:adjustRightInd w:val="0"/>
        <w:spacing w:line="400" w:lineRule="exact"/>
        <w:rPr>
          <w:rFonts w:ascii="Tahoma" w:hAnsi="Tahoma"/>
          <w:sz w:val="27"/>
          <w:lang w:bidi="fa-IR"/>
        </w:rPr>
      </w:pPr>
      <w:r w:rsidRPr="00904FCB">
        <w:rPr>
          <w:rFonts w:ascii="Tahoma" w:hAnsi="Tahoma" w:hint="cs"/>
          <w:sz w:val="27"/>
          <w:rtl/>
          <w:lang w:bidi="fa-IR"/>
        </w:rPr>
        <w:t>و</w:t>
      </w:r>
      <w:r w:rsidR="00644408" w:rsidRPr="00904FCB">
        <w:rPr>
          <w:rFonts w:ascii="Tahoma" w:hAnsi="Tahoma"/>
          <w:sz w:val="27"/>
          <w:rtl/>
          <w:lang w:bidi="fa-IR"/>
        </w:rPr>
        <w:t>هذا بخلاف ما إذا تعارضت مصلحة جزئي الدين ومصلحة كل</w:t>
      </w:r>
      <w:r w:rsidRPr="00904FCB">
        <w:rPr>
          <w:rFonts w:ascii="Tahoma" w:hAnsi="Tahoma" w:hint="cs"/>
          <w:sz w:val="27"/>
          <w:rtl/>
          <w:lang w:bidi="fa-IR"/>
        </w:rPr>
        <w:t>ّ</w:t>
      </w:r>
      <w:r w:rsidR="00644408" w:rsidRPr="00904FCB">
        <w:rPr>
          <w:rFonts w:ascii="Tahoma" w:hAnsi="Tahoma"/>
          <w:sz w:val="27"/>
          <w:rtl/>
          <w:lang w:bidi="fa-IR"/>
        </w:rPr>
        <w:t>ي النفس أو العقل أو النسل أو المال، فإن كل</w:t>
      </w:r>
      <w:r w:rsidRPr="00904FCB">
        <w:rPr>
          <w:rFonts w:ascii="Tahoma" w:hAnsi="Tahoma" w:hint="cs"/>
          <w:sz w:val="27"/>
          <w:rtl/>
          <w:lang w:bidi="fa-IR"/>
        </w:rPr>
        <w:t>ّ</w:t>
      </w:r>
      <w:r w:rsidR="00644408" w:rsidRPr="00904FCB">
        <w:rPr>
          <w:rFonts w:ascii="Tahoma" w:hAnsi="Tahoma"/>
          <w:sz w:val="27"/>
          <w:rtl/>
          <w:lang w:bidi="fa-IR"/>
        </w:rPr>
        <w:t>ية هذه المصالح أ</w:t>
      </w:r>
      <w:r w:rsidRPr="00904FCB">
        <w:rPr>
          <w:rFonts w:ascii="Tahoma" w:hAnsi="Tahoma" w:hint="cs"/>
          <w:sz w:val="27"/>
          <w:rtl/>
          <w:lang w:bidi="fa-IR"/>
        </w:rPr>
        <w:t>َ</w:t>
      </w:r>
      <w:r w:rsidR="00644408" w:rsidRPr="00904FCB">
        <w:rPr>
          <w:rFonts w:ascii="Tahoma" w:hAnsi="Tahoma"/>
          <w:sz w:val="27"/>
          <w:rtl/>
          <w:lang w:bidi="fa-IR"/>
        </w:rPr>
        <w:t>و</w:t>
      </w:r>
      <w:r w:rsidRPr="00904FCB">
        <w:rPr>
          <w:rFonts w:ascii="Tahoma" w:hAnsi="Tahoma" w:hint="cs"/>
          <w:sz w:val="27"/>
          <w:rtl/>
          <w:lang w:bidi="fa-IR"/>
        </w:rPr>
        <w:t>ْ</w:t>
      </w:r>
      <w:r w:rsidR="00644408" w:rsidRPr="00904FCB">
        <w:rPr>
          <w:rFonts w:ascii="Tahoma" w:hAnsi="Tahoma"/>
          <w:sz w:val="27"/>
          <w:rtl/>
          <w:lang w:bidi="fa-IR"/>
        </w:rPr>
        <w:t>لى بالتقديم، كما هو واضح</w:t>
      </w:r>
      <w:r w:rsidRPr="00904FCB">
        <w:rPr>
          <w:rFonts w:ascii="Tahoma" w:hAnsi="Tahoma" w:hint="cs"/>
          <w:sz w:val="27"/>
          <w:rtl/>
          <w:lang w:bidi="fa-IR"/>
        </w:rPr>
        <w:t>ٌ</w:t>
      </w:r>
      <w:r w:rsidR="00644408" w:rsidRPr="00904FCB">
        <w:rPr>
          <w:rFonts w:ascii="Tahoma" w:hAnsi="Tahoma"/>
          <w:sz w:val="27"/>
          <w:rtl/>
          <w:lang w:bidi="fa-IR"/>
        </w:rPr>
        <w:t xml:space="preserve"> من مشروعية الر</w:t>
      </w:r>
      <w:r w:rsidRPr="00904FCB">
        <w:rPr>
          <w:rFonts w:ascii="Tahoma" w:hAnsi="Tahoma" w:hint="cs"/>
          <w:sz w:val="27"/>
          <w:rtl/>
          <w:lang w:bidi="fa-IR"/>
        </w:rPr>
        <w:t>ُّ</w:t>
      </w:r>
      <w:r w:rsidR="00644408" w:rsidRPr="00904FCB">
        <w:rPr>
          <w:rFonts w:ascii="Tahoma" w:hAnsi="Tahoma"/>
          <w:sz w:val="27"/>
          <w:rtl/>
          <w:lang w:bidi="fa-IR"/>
        </w:rPr>
        <w:t>خ</w:t>
      </w:r>
      <w:r w:rsidRPr="00904FCB">
        <w:rPr>
          <w:rFonts w:ascii="Tahoma" w:hAnsi="Tahoma" w:hint="cs"/>
          <w:sz w:val="27"/>
          <w:rtl/>
          <w:lang w:bidi="fa-IR"/>
        </w:rPr>
        <w:t>َ</w:t>
      </w:r>
      <w:r w:rsidR="00644408" w:rsidRPr="00904FCB">
        <w:rPr>
          <w:rFonts w:ascii="Tahoma" w:hAnsi="Tahoma"/>
          <w:sz w:val="27"/>
          <w:rtl/>
          <w:lang w:bidi="fa-IR"/>
        </w:rPr>
        <w:t xml:space="preserve">ص. </w:t>
      </w:r>
    </w:p>
    <w:p w:rsidR="00EB1BC7"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وإذا تعارضت مصلحة نفس</w:t>
      </w:r>
      <w:r w:rsidR="00EB1BC7" w:rsidRPr="00904FCB">
        <w:rPr>
          <w:rFonts w:ascii="Tahoma" w:hAnsi="Tahoma" w:hint="cs"/>
          <w:sz w:val="27"/>
          <w:rtl/>
          <w:lang w:bidi="fa-IR"/>
        </w:rPr>
        <w:t>ٍ</w:t>
      </w:r>
      <w:r w:rsidRPr="00904FCB">
        <w:rPr>
          <w:rFonts w:ascii="Tahoma" w:hAnsi="Tahoma"/>
          <w:sz w:val="27"/>
          <w:rtl/>
          <w:lang w:bidi="fa-IR"/>
        </w:rPr>
        <w:t xml:space="preserve"> واحدة ومصلحة نفوس</w:t>
      </w:r>
      <w:r w:rsidR="00EB1BC7" w:rsidRPr="00904FCB">
        <w:rPr>
          <w:rFonts w:ascii="Tahoma" w:hAnsi="Tahoma" w:hint="cs"/>
          <w:sz w:val="27"/>
          <w:rtl/>
          <w:lang w:bidi="fa-IR"/>
        </w:rPr>
        <w:t>ٍ</w:t>
      </w:r>
      <w:r w:rsidRPr="00904FCB">
        <w:rPr>
          <w:rFonts w:ascii="Tahoma" w:hAnsi="Tahoma"/>
          <w:sz w:val="27"/>
          <w:rtl/>
          <w:lang w:bidi="fa-IR"/>
        </w:rPr>
        <w:t xml:space="preserve"> كثيرة فإن مصلحة النفوس الكثيرة تتقد</w:t>
      </w:r>
      <w:r w:rsidR="00EB1BC7" w:rsidRPr="00904FCB">
        <w:rPr>
          <w:rFonts w:ascii="Tahoma" w:hAnsi="Tahoma" w:hint="cs"/>
          <w:sz w:val="27"/>
          <w:rtl/>
          <w:lang w:bidi="fa-IR"/>
        </w:rPr>
        <w:t>َّ</w:t>
      </w:r>
      <w:r w:rsidRPr="00904FCB">
        <w:rPr>
          <w:rFonts w:ascii="Tahoma" w:hAnsi="Tahoma"/>
          <w:sz w:val="27"/>
          <w:rtl/>
          <w:lang w:bidi="fa-IR"/>
        </w:rPr>
        <w:t>م</w:t>
      </w:r>
      <w:r w:rsidR="00EB1BC7" w:rsidRPr="00904FCB">
        <w:rPr>
          <w:rFonts w:ascii="Tahoma" w:hAnsi="Tahoma"/>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وهذا التقويم والتوازن بين المصالح الإنسانية ليس فيه ما يتعارض مع قاعدة رعاية الشرع لمصالح الإنسان، أو كما قال «الشاطبي»: إن «مراسم الشريعة إن</w:t>
      </w:r>
      <w:r w:rsidR="00EB1BC7" w:rsidRPr="00904FCB">
        <w:rPr>
          <w:rFonts w:ascii="Tahoma" w:hAnsi="Tahoma" w:hint="cs"/>
          <w:sz w:val="27"/>
          <w:rtl/>
          <w:lang w:bidi="fa-IR"/>
        </w:rPr>
        <w:t>ْ</w:t>
      </w:r>
      <w:r w:rsidRPr="00904FCB">
        <w:rPr>
          <w:rFonts w:ascii="Tahoma" w:hAnsi="Tahoma"/>
          <w:sz w:val="27"/>
          <w:rtl/>
          <w:lang w:bidi="fa-IR"/>
        </w:rPr>
        <w:t xml:space="preserve"> كانت مخالفة للهوى فإنها أيضاً أت</w:t>
      </w:r>
      <w:r w:rsidR="00EB1BC7" w:rsidRPr="00904FCB">
        <w:rPr>
          <w:rFonts w:ascii="Tahoma" w:hAnsi="Tahoma" w:hint="cs"/>
          <w:sz w:val="27"/>
          <w:rtl/>
          <w:lang w:bidi="fa-IR"/>
        </w:rPr>
        <w:t>َ</w:t>
      </w:r>
      <w:r w:rsidRPr="00904FCB">
        <w:rPr>
          <w:rFonts w:ascii="Tahoma" w:hAnsi="Tahoma"/>
          <w:sz w:val="27"/>
          <w:rtl/>
          <w:lang w:bidi="fa-IR"/>
        </w:rPr>
        <w:t>ت</w:t>
      </w:r>
      <w:r w:rsidR="00EB1BC7" w:rsidRPr="00904FCB">
        <w:rPr>
          <w:rFonts w:ascii="Tahoma" w:hAnsi="Tahoma" w:hint="cs"/>
          <w:sz w:val="27"/>
          <w:rtl/>
          <w:lang w:bidi="fa-IR"/>
        </w:rPr>
        <w:t>ْ</w:t>
      </w:r>
      <w:r w:rsidRPr="00904FCB">
        <w:rPr>
          <w:rFonts w:ascii="Tahoma" w:hAnsi="Tahoma"/>
          <w:sz w:val="27"/>
          <w:rtl/>
          <w:lang w:bidi="fa-IR"/>
        </w:rPr>
        <w:t xml:space="preserve"> لمصالح العباد في دنياهم ودينهم، والهوى ليس بمذموم إلاّ إذا كان مخالفاً لمراسم الشريعة، فإن</w:t>
      </w:r>
      <w:r w:rsidR="00EB1BC7" w:rsidRPr="00904FCB">
        <w:rPr>
          <w:rFonts w:ascii="Tahoma" w:hAnsi="Tahoma" w:hint="cs"/>
          <w:sz w:val="27"/>
          <w:rtl/>
          <w:lang w:bidi="fa-IR"/>
        </w:rPr>
        <w:t>ْ</w:t>
      </w:r>
      <w:r w:rsidRPr="00904FCB">
        <w:rPr>
          <w:rFonts w:ascii="Tahoma" w:hAnsi="Tahoma"/>
          <w:sz w:val="27"/>
          <w:rtl/>
          <w:lang w:bidi="fa-IR"/>
        </w:rPr>
        <w:t xml:space="preserve"> كان موافقاً فليس بمذموم</w:t>
      </w:r>
      <w:r w:rsidR="00EB1BC7" w:rsidRPr="00904FCB">
        <w:rPr>
          <w:rFonts w:ascii="Tahoma" w:hAnsi="Tahoma" w:hint="cs"/>
          <w:sz w:val="27"/>
          <w:rtl/>
          <w:lang w:bidi="fa-IR"/>
        </w:rPr>
        <w:t>ٍ</w:t>
      </w:r>
      <w:r w:rsidRPr="00904FCB">
        <w:rPr>
          <w:rFonts w:ascii="Tahoma" w:hAnsi="Tahoma"/>
          <w:sz w:val="27"/>
          <w:rtl/>
          <w:lang w:bidi="fa-IR"/>
        </w:rPr>
        <w:t>»</w:t>
      </w:r>
      <w:r w:rsidRPr="00904FCB">
        <w:rPr>
          <w:rFonts w:hint="cs"/>
          <w:sz w:val="27"/>
          <w:vertAlign w:val="superscript"/>
          <w:rtl/>
        </w:rPr>
        <w:t>(</w:t>
      </w:r>
      <w:r w:rsidRPr="00904FCB">
        <w:rPr>
          <w:rStyle w:val="ac"/>
          <w:sz w:val="27"/>
          <w:rtl/>
        </w:rPr>
        <w:endnoteReference w:id="259"/>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وهذا استلزم من الفقهاء وضع ترتيب</w:t>
      </w:r>
      <w:r w:rsidR="00EB1BC7" w:rsidRPr="00904FCB">
        <w:rPr>
          <w:rFonts w:ascii="Tahoma" w:hAnsi="Tahoma" w:hint="cs"/>
          <w:sz w:val="27"/>
          <w:rtl/>
          <w:lang w:bidi="fa-IR"/>
        </w:rPr>
        <w:t>ٍ</w:t>
      </w:r>
      <w:r w:rsidRPr="00904FCB">
        <w:rPr>
          <w:rFonts w:ascii="Tahoma" w:hAnsi="Tahoma"/>
          <w:sz w:val="27"/>
          <w:rtl/>
          <w:lang w:bidi="fa-IR"/>
        </w:rPr>
        <w:t xml:space="preserve"> للمصالح</w:t>
      </w:r>
      <w:r w:rsidR="00EB1BC7" w:rsidRPr="00904FCB">
        <w:rPr>
          <w:rFonts w:ascii="Tahoma" w:hAnsi="Tahoma" w:hint="cs"/>
          <w:sz w:val="27"/>
          <w:rtl/>
          <w:lang w:bidi="fa-IR"/>
        </w:rPr>
        <w:t>،</w:t>
      </w:r>
      <w:r w:rsidRPr="00904FCB">
        <w:rPr>
          <w:rFonts w:ascii="Tahoma" w:hAnsi="Tahoma"/>
          <w:sz w:val="27"/>
          <w:rtl/>
          <w:lang w:bidi="fa-IR"/>
        </w:rPr>
        <w:t xml:space="preserve"> حت</w:t>
      </w:r>
      <w:r w:rsidR="00EB1BC7" w:rsidRPr="00904FCB">
        <w:rPr>
          <w:rFonts w:ascii="Tahoma" w:hAnsi="Tahoma" w:hint="cs"/>
          <w:sz w:val="27"/>
          <w:rtl/>
          <w:lang w:bidi="fa-IR"/>
        </w:rPr>
        <w:t>ّ</w:t>
      </w:r>
      <w:r w:rsidRPr="00904FCB">
        <w:rPr>
          <w:rFonts w:ascii="Tahoma" w:hAnsi="Tahoma"/>
          <w:sz w:val="27"/>
          <w:rtl/>
          <w:lang w:bidi="fa-IR"/>
        </w:rPr>
        <w:t>ى يعرف الناس ما هي المصلحة الأهم</w:t>
      </w:r>
      <w:r w:rsidR="00EB1BC7" w:rsidRPr="00904FCB">
        <w:rPr>
          <w:rFonts w:ascii="Tahoma" w:hAnsi="Tahoma" w:hint="cs"/>
          <w:sz w:val="27"/>
          <w:rtl/>
          <w:lang w:bidi="fa-IR"/>
        </w:rPr>
        <w:t>ّ،</w:t>
      </w:r>
      <w:r w:rsidRPr="00904FCB">
        <w:rPr>
          <w:rFonts w:ascii="Tahoma" w:hAnsi="Tahoma"/>
          <w:sz w:val="27"/>
          <w:rtl/>
          <w:lang w:bidi="fa-IR"/>
        </w:rPr>
        <w:t xml:space="preserve"> فيقد</w:t>
      </w:r>
      <w:r w:rsidR="00EB1BC7" w:rsidRPr="00904FCB">
        <w:rPr>
          <w:rFonts w:ascii="Tahoma" w:hAnsi="Tahoma" w:hint="cs"/>
          <w:sz w:val="27"/>
          <w:rtl/>
          <w:lang w:bidi="fa-IR"/>
        </w:rPr>
        <w:t>ّ</w:t>
      </w:r>
      <w:r w:rsidRPr="00904FCB">
        <w:rPr>
          <w:rFonts w:ascii="Tahoma" w:hAnsi="Tahoma"/>
          <w:sz w:val="27"/>
          <w:rtl/>
          <w:lang w:bidi="fa-IR"/>
        </w:rPr>
        <w:t>م</w:t>
      </w:r>
      <w:r w:rsidR="00EB1BC7" w:rsidRPr="00904FCB">
        <w:rPr>
          <w:rFonts w:ascii="Tahoma" w:hAnsi="Tahoma" w:hint="cs"/>
          <w:sz w:val="27"/>
          <w:rtl/>
          <w:lang w:bidi="fa-IR"/>
        </w:rPr>
        <w:t>ون</w:t>
      </w:r>
      <w:r w:rsidRPr="00904FCB">
        <w:rPr>
          <w:rFonts w:ascii="Tahoma" w:hAnsi="Tahoma"/>
          <w:sz w:val="27"/>
          <w:rtl/>
          <w:lang w:bidi="fa-IR"/>
        </w:rPr>
        <w:t>ها على ما يقل</w:t>
      </w:r>
      <w:r w:rsidR="00EB1BC7" w:rsidRPr="00904FCB">
        <w:rPr>
          <w:rFonts w:ascii="Tahoma" w:hAnsi="Tahoma" w:hint="cs"/>
          <w:sz w:val="27"/>
          <w:rtl/>
          <w:lang w:bidi="fa-IR"/>
        </w:rPr>
        <w:t>ّ</w:t>
      </w:r>
      <w:r w:rsidRPr="00904FCB">
        <w:rPr>
          <w:rFonts w:ascii="Tahoma" w:hAnsi="Tahoma"/>
          <w:sz w:val="27"/>
          <w:rtl/>
          <w:lang w:bidi="fa-IR"/>
        </w:rPr>
        <w:t xml:space="preserve"> عنها أهمية، وهو ما يُعرف باسم «الترجيح بين المصالح»</w:t>
      </w:r>
      <w:r w:rsidR="00EB1BC7" w:rsidRPr="00904FCB">
        <w:rPr>
          <w:rFonts w:ascii="Tahoma" w:hAnsi="Tahoma" w:hint="cs"/>
          <w:sz w:val="27"/>
          <w:rtl/>
          <w:lang w:bidi="fa-IR"/>
        </w:rPr>
        <w:t>،</w:t>
      </w:r>
      <w:r w:rsidRPr="00904FCB">
        <w:rPr>
          <w:rFonts w:ascii="Tahoma" w:hAnsi="Tahoma"/>
          <w:sz w:val="27"/>
          <w:rtl/>
          <w:lang w:bidi="fa-IR"/>
        </w:rPr>
        <w:t xml:space="preserve"> أو «ميزان تفاوت المصالح</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 xml:space="preserve">وهذا الميزان يتناول تصنيف المصالح من جوانب ثلاث: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w:t>
      </w:r>
      <w:r w:rsidR="00EB1BC7" w:rsidRPr="00904FCB">
        <w:rPr>
          <w:rFonts w:ascii="Tahoma" w:hAnsi="Tahoma" w:hint="cs"/>
          <w:b/>
          <w:bCs/>
          <w:sz w:val="27"/>
          <w:rtl/>
          <w:lang w:bidi="fa-IR"/>
        </w:rPr>
        <w:t>ّ</w:t>
      </w:r>
      <w:r w:rsidRPr="00904FCB">
        <w:rPr>
          <w:rFonts w:ascii="Tahoma" w:hAnsi="Tahoma"/>
          <w:b/>
          <w:bCs/>
          <w:sz w:val="27"/>
          <w:rtl/>
          <w:lang w:bidi="fa-IR"/>
        </w:rPr>
        <w:t>ل</w:t>
      </w:r>
      <w:r w:rsidRPr="00904FCB">
        <w:rPr>
          <w:rFonts w:ascii="Tahoma" w:hAnsi="Tahoma"/>
          <w:sz w:val="27"/>
          <w:rtl/>
          <w:lang w:bidi="fa-IR"/>
        </w:rPr>
        <w:t>: النظر إلى قيمتها من حيث ذاتها وترتيبها في الأهم</w:t>
      </w:r>
      <w:r w:rsidR="00EB1BC7" w:rsidRPr="00904FCB">
        <w:rPr>
          <w:rFonts w:ascii="Tahoma" w:hAnsi="Tahoma" w:hint="cs"/>
          <w:sz w:val="27"/>
          <w:rtl/>
          <w:lang w:bidi="fa-IR"/>
        </w:rPr>
        <w:t>ّ</w:t>
      </w:r>
      <w:r w:rsidRPr="00904FCB">
        <w:rPr>
          <w:rFonts w:ascii="Tahoma" w:hAnsi="Tahoma"/>
          <w:sz w:val="27"/>
          <w:rtl/>
          <w:lang w:bidi="fa-IR"/>
        </w:rPr>
        <w:t xml:space="preserve">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الثاني</w:t>
      </w:r>
      <w:r w:rsidRPr="00904FCB">
        <w:rPr>
          <w:rFonts w:ascii="Tahoma" w:hAnsi="Tahoma"/>
          <w:sz w:val="27"/>
          <w:rtl/>
          <w:lang w:bidi="fa-IR"/>
        </w:rPr>
        <w:t xml:space="preserve">: النظر إليها من حيث مقدار شمولها.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الثالث</w:t>
      </w:r>
      <w:r w:rsidRPr="00904FCB">
        <w:rPr>
          <w:rFonts w:ascii="Tahoma" w:hAnsi="Tahoma"/>
          <w:sz w:val="27"/>
          <w:rtl/>
          <w:lang w:bidi="fa-IR"/>
        </w:rPr>
        <w:t>: النظر إليها من حيث التأك</w:t>
      </w:r>
      <w:r w:rsidR="00EB1BC7" w:rsidRPr="00904FCB">
        <w:rPr>
          <w:rFonts w:ascii="Tahoma" w:hAnsi="Tahoma" w:hint="cs"/>
          <w:sz w:val="27"/>
          <w:rtl/>
          <w:lang w:bidi="fa-IR"/>
        </w:rPr>
        <w:t>ُّ</w:t>
      </w:r>
      <w:r w:rsidRPr="00904FCB">
        <w:rPr>
          <w:rFonts w:ascii="Tahoma" w:hAnsi="Tahoma"/>
          <w:sz w:val="27"/>
          <w:rtl/>
          <w:lang w:bidi="fa-IR"/>
        </w:rPr>
        <w:t xml:space="preserve">د من نتائجها أو عدمه.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وخلاصة القول عن المصلحة في الفقه الإسلامي</w:t>
      </w:r>
      <w:r w:rsidR="00EB1BC7" w:rsidRPr="00904FCB">
        <w:rPr>
          <w:rFonts w:ascii="Tahoma" w:hAnsi="Tahoma" w:hint="cs"/>
          <w:sz w:val="27"/>
          <w:rtl/>
          <w:lang w:bidi="fa-IR"/>
        </w:rPr>
        <w:t>:</w:t>
      </w:r>
      <w:r w:rsidRPr="00904FCB">
        <w:rPr>
          <w:rFonts w:ascii="Tahoma" w:hAnsi="Tahoma"/>
          <w:sz w:val="27"/>
          <w:rtl/>
          <w:lang w:bidi="fa-IR"/>
        </w:rPr>
        <w:t xml:space="preserve"> </w:t>
      </w:r>
      <w:r w:rsidR="00EB1BC7" w:rsidRPr="00904FCB">
        <w:rPr>
          <w:rFonts w:ascii="Tahoma" w:hAnsi="Tahoma" w:hint="cs"/>
          <w:sz w:val="27"/>
          <w:rtl/>
          <w:lang w:bidi="fa-IR"/>
        </w:rPr>
        <w:t>إ</w:t>
      </w:r>
      <w:r w:rsidRPr="00904FCB">
        <w:rPr>
          <w:rFonts w:ascii="Tahoma" w:hAnsi="Tahoma"/>
          <w:sz w:val="27"/>
          <w:rtl/>
          <w:lang w:bidi="fa-IR"/>
        </w:rPr>
        <w:t>ن مصدر</w:t>
      </w:r>
      <w:r w:rsidR="00EB1BC7" w:rsidRPr="00904FCB">
        <w:rPr>
          <w:rFonts w:ascii="Tahoma" w:hAnsi="Tahoma" w:hint="cs"/>
          <w:sz w:val="27"/>
          <w:rtl/>
          <w:lang w:bidi="fa-IR"/>
        </w:rPr>
        <w:t>َ</w:t>
      </w:r>
      <w:r w:rsidRPr="00904FCB">
        <w:rPr>
          <w:rFonts w:ascii="Tahoma" w:hAnsi="Tahoma"/>
          <w:sz w:val="27"/>
          <w:rtl/>
          <w:lang w:bidi="fa-IR"/>
        </w:rPr>
        <w:t>ي</w:t>
      </w:r>
      <w:r w:rsidR="00EB1BC7" w:rsidRPr="00904FCB">
        <w:rPr>
          <w:rFonts w:ascii="Tahoma" w:hAnsi="Tahoma" w:hint="cs"/>
          <w:sz w:val="27"/>
          <w:rtl/>
          <w:lang w:bidi="fa-IR"/>
        </w:rPr>
        <w:t>ْ</w:t>
      </w:r>
      <w:r w:rsidRPr="00904FCB">
        <w:rPr>
          <w:rFonts w:ascii="Tahoma" w:hAnsi="Tahoma"/>
          <w:sz w:val="27"/>
          <w:rtl/>
          <w:lang w:bidi="fa-IR"/>
        </w:rPr>
        <w:t xml:space="preserve"> التشريع الأساسي</w:t>
      </w:r>
      <w:r w:rsidR="00EB1BC7" w:rsidRPr="00904FCB">
        <w:rPr>
          <w:rFonts w:ascii="Tahoma" w:hAnsi="Tahoma" w:hint="cs"/>
          <w:sz w:val="27"/>
          <w:rtl/>
          <w:lang w:bidi="fa-IR"/>
        </w:rPr>
        <w:t>َّ</w:t>
      </w:r>
      <w:r w:rsidRPr="00904FCB">
        <w:rPr>
          <w:rFonts w:ascii="Tahoma" w:hAnsi="Tahoma"/>
          <w:sz w:val="27"/>
          <w:rtl/>
          <w:lang w:bidi="fa-IR"/>
        </w:rPr>
        <w:t>ين ـ القرآن والسُّنَّة ـ حرصا على الاهتمام بالمصالح الحقيقية للعباد، ووضعا المبادئ والأصول الكلية لتلك المصالح، وات</w:t>
      </w:r>
      <w:r w:rsidR="00EB1BC7" w:rsidRPr="00904FCB">
        <w:rPr>
          <w:rFonts w:ascii="Tahoma" w:hAnsi="Tahoma" w:hint="cs"/>
          <w:sz w:val="27"/>
          <w:rtl/>
          <w:lang w:bidi="fa-IR"/>
        </w:rPr>
        <w:t>َّ</w:t>
      </w:r>
      <w:r w:rsidRPr="00904FCB">
        <w:rPr>
          <w:rFonts w:ascii="Tahoma" w:hAnsi="Tahoma"/>
          <w:sz w:val="27"/>
          <w:rtl/>
          <w:lang w:bidi="fa-IR"/>
        </w:rPr>
        <w:t>سما بالمرونة اللازمة لتطوير الأحكام الشرعية لما يستجد</w:t>
      </w:r>
      <w:r w:rsidR="00EB1BC7" w:rsidRPr="00904FCB">
        <w:rPr>
          <w:rFonts w:ascii="Tahoma" w:hAnsi="Tahoma" w:hint="cs"/>
          <w:sz w:val="27"/>
          <w:rtl/>
          <w:lang w:bidi="fa-IR"/>
        </w:rPr>
        <w:t>ّ</w:t>
      </w:r>
      <w:r w:rsidRPr="00904FCB">
        <w:rPr>
          <w:rFonts w:ascii="Tahoma" w:hAnsi="Tahoma"/>
          <w:sz w:val="27"/>
          <w:rtl/>
          <w:lang w:bidi="fa-IR"/>
        </w:rPr>
        <w:t xml:space="preserve"> من وقائع وأحداث تتجد</w:t>
      </w:r>
      <w:r w:rsidR="00EB1BC7" w:rsidRPr="00904FCB">
        <w:rPr>
          <w:rFonts w:ascii="Tahoma" w:hAnsi="Tahoma" w:hint="cs"/>
          <w:sz w:val="27"/>
          <w:rtl/>
          <w:lang w:bidi="fa-IR"/>
        </w:rPr>
        <w:t>َّ</w:t>
      </w:r>
      <w:r w:rsidRPr="00904FCB">
        <w:rPr>
          <w:rFonts w:ascii="Tahoma" w:hAnsi="Tahoma"/>
          <w:sz w:val="27"/>
          <w:rtl/>
          <w:lang w:bidi="fa-IR"/>
        </w:rPr>
        <w:t>د وتتحد</w:t>
      </w:r>
      <w:r w:rsidR="00EB1BC7" w:rsidRPr="00904FCB">
        <w:rPr>
          <w:rFonts w:ascii="Tahoma" w:hAnsi="Tahoma" w:hint="cs"/>
          <w:sz w:val="27"/>
          <w:rtl/>
          <w:lang w:bidi="fa-IR"/>
        </w:rPr>
        <w:t>َّ</w:t>
      </w:r>
      <w:r w:rsidRPr="00904FCB">
        <w:rPr>
          <w:rFonts w:ascii="Tahoma" w:hAnsi="Tahoma"/>
          <w:sz w:val="27"/>
          <w:rtl/>
          <w:lang w:bidi="fa-IR"/>
        </w:rPr>
        <w:t>د تبعاً لتغي</w:t>
      </w:r>
      <w:r w:rsidR="00EB1BC7" w:rsidRPr="00904FCB">
        <w:rPr>
          <w:rFonts w:ascii="Tahoma" w:hAnsi="Tahoma" w:hint="cs"/>
          <w:sz w:val="27"/>
          <w:rtl/>
          <w:lang w:bidi="fa-IR"/>
        </w:rPr>
        <w:t>ُّ</w:t>
      </w:r>
      <w:r w:rsidRPr="00904FCB">
        <w:rPr>
          <w:rFonts w:ascii="Tahoma" w:hAnsi="Tahoma"/>
          <w:sz w:val="27"/>
          <w:rtl/>
          <w:lang w:bidi="fa-IR"/>
        </w:rPr>
        <w:t>ر الزمان</w:t>
      </w:r>
      <w:r w:rsidR="00EB1BC7" w:rsidRPr="00904FCB">
        <w:rPr>
          <w:rFonts w:ascii="Tahoma" w:hAnsi="Tahoma" w:hint="cs"/>
          <w:sz w:val="27"/>
          <w:rtl/>
          <w:lang w:bidi="fa-IR"/>
        </w:rPr>
        <w:t>،</w:t>
      </w:r>
      <w:r w:rsidRPr="00904FCB">
        <w:rPr>
          <w:rFonts w:ascii="Tahoma" w:hAnsi="Tahoma"/>
          <w:sz w:val="27"/>
          <w:rtl/>
          <w:lang w:bidi="fa-IR"/>
        </w:rPr>
        <w:t xml:space="preserve"> وتبد</w:t>
      </w:r>
      <w:r w:rsidR="00EB1BC7" w:rsidRPr="00904FCB">
        <w:rPr>
          <w:rFonts w:ascii="Tahoma" w:hAnsi="Tahoma" w:hint="cs"/>
          <w:sz w:val="27"/>
          <w:rtl/>
          <w:lang w:bidi="fa-IR"/>
        </w:rPr>
        <w:t>ُّ</w:t>
      </w:r>
      <w:r w:rsidRPr="00904FCB">
        <w:rPr>
          <w:rFonts w:ascii="Tahoma" w:hAnsi="Tahoma"/>
          <w:sz w:val="27"/>
          <w:rtl/>
          <w:lang w:bidi="fa-IR"/>
        </w:rPr>
        <w:t>ل الظروف</w:t>
      </w:r>
      <w:r w:rsidR="00EB1BC7" w:rsidRPr="00904FCB">
        <w:rPr>
          <w:rFonts w:ascii="Tahoma" w:hAnsi="Tahoma" w:hint="cs"/>
          <w:sz w:val="27"/>
          <w:rtl/>
          <w:lang w:bidi="fa-IR"/>
        </w:rPr>
        <w:t>،</w:t>
      </w:r>
      <w:r w:rsidRPr="00904FCB">
        <w:rPr>
          <w:rFonts w:ascii="Tahoma" w:hAnsi="Tahoma"/>
          <w:sz w:val="27"/>
          <w:rtl/>
          <w:lang w:bidi="fa-IR"/>
        </w:rPr>
        <w:t xml:space="preserve"> وتطو</w:t>
      </w:r>
      <w:r w:rsidR="00EB1BC7" w:rsidRPr="00904FCB">
        <w:rPr>
          <w:rFonts w:ascii="Tahoma" w:hAnsi="Tahoma" w:hint="cs"/>
          <w:sz w:val="27"/>
          <w:rtl/>
          <w:lang w:bidi="fa-IR"/>
        </w:rPr>
        <w:t>ُّ</w:t>
      </w:r>
      <w:r w:rsidRPr="00904FCB">
        <w:rPr>
          <w:rFonts w:ascii="Tahoma" w:hAnsi="Tahoma"/>
          <w:sz w:val="27"/>
          <w:rtl/>
          <w:lang w:bidi="fa-IR"/>
        </w:rPr>
        <w:t xml:space="preserve">ر أحوال الإنسان.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إن المصلحة التي أك</w:t>
      </w:r>
      <w:r w:rsidR="00EB1BC7" w:rsidRPr="00904FCB">
        <w:rPr>
          <w:rFonts w:ascii="Tahoma" w:hAnsi="Tahoma" w:hint="cs"/>
          <w:sz w:val="27"/>
          <w:rtl/>
          <w:lang w:bidi="fa-IR"/>
        </w:rPr>
        <w:t>َّ</w:t>
      </w:r>
      <w:r w:rsidRPr="00904FCB">
        <w:rPr>
          <w:rFonts w:ascii="Tahoma" w:hAnsi="Tahoma"/>
          <w:sz w:val="27"/>
          <w:rtl/>
          <w:lang w:bidi="fa-IR"/>
        </w:rPr>
        <w:t>دتها الشريعة الإسلامية في كل</w:t>
      </w:r>
      <w:r w:rsidR="00EB1BC7" w:rsidRPr="00904FCB">
        <w:rPr>
          <w:rFonts w:ascii="Tahoma" w:hAnsi="Tahoma" w:hint="cs"/>
          <w:sz w:val="27"/>
          <w:rtl/>
          <w:lang w:bidi="fa-IR"/>
        </w:rPr>
        <w:t>ّ</w:t>
      </w:r>
      <w:r w:rsidRPr="00904FCB">
        <w:rPr>
          <w:rFonts w:ascii="Tahoma" w:hAnsi="Tahoma"/>
          <w:sz w:val="27"/>
          <w:rtl/>
          <w:lang w:bidi="fa-IR"/>
        </w:rPr>
        <w:t>ياتها وجزئي</w:t>
      </w:r>
      <w:r w:rsidR="00EB1BC7" w:rsidRPr="00904FCB">
        <w:rPr>
          <w:rFonts w:ascii="Tahoma" w:hAnsi="Tahoma" w:hint="cs"/>
          <w:sz w:val="27"/>
          <w:rtl/>
          <w:lang w:bidi="fa-IR"/>
        </w:rPr>
        <w:t>ّ</w:t>
      </w:r>
      <w:r w:rsidRPr="00904FCB">
        <w:rPr>
          <w:rFonts w:ascii="Tahoma" w:hAnsi="Tahoma"/>
          <w:sz w:val="27"/>
          <w:rtl/>
          <w:lang w:bidi="fa-IR"/>
        </w:rPr>
        <w:t>اتها، وراع</w:t>
      </w:r>
      <w:r w:rsidR="00EB1BC7" w:rsidRPr="00904FCB">
        <w:rPr>
          <w:rFonts w:ascii="Tahoma" w:hAnsi="Tahoma" w:hint="cs"/>
          <w:sz w:val="27"/>
          <w:rtl/>
          <w:lang w:bidi="fa-IR"/>
        </w:rPr>
        <w:t>َ</w:t>
      </w:r>
      <w:r w:rsidRPr="00904FCB">
        <w:rPr>
          <w:rFonts w:ascii="Tahoma" w:hAnsi="Tahoma"/>
          <w:sz w:val="27"/>
          <w:rtl/>
          <w:lang w:bidi="fa-IR"/>
        </w:rPr>
        <w:t>ت</w:t>
      </w:r>
      <w:r w:rsidR="00EB1BC7" w:rsidRPr="00904FCB">
        <w:rPr>
          <w:rFonts w:ascii="Tahoma" w:hAnsi="Tahoma" w:hint="cs"/>
          <w:sz w:val="27"/>
          <w:rtl/>
          <w:lang w:bidi="fa-IR"/>
        </w:rPr>
        <w:t>ْ</w:t>
      </w:r>
      <w:r w:rsidRPr="00904FCB">
        <w:rPr>
          <w:rFonts w:ascii="Tahoma" w:hAnsi="Tahoma"/>
          <w:sz w:val="27"/>
          <w:rtl/>
          <w:lang w:bidi="fa-IR"/>
        </w:rPr>
        <w:t>ها في عام</w:t>
      </w:r>
      <w:r w:rsidR="00EB1BC7" w:rsidRPr="00904FCB">
        <w:rPr>
          <w:rFonts w:ascii="Tahoma" w:hAnsi="Tahoma" w:hint="cs"/>
          <w:sz w:val="27"/>
          <w:rtl/>
          <w:lang w:bidi="fa-IR"/>
        </w:rPr>
        <w:t>ّ</w:t>
      </w:r>
      <w:r w:rsidRPr="00904FCB">
        <w:rPr>
          <w:rFonts w:ascii="Tahoma" w:hAnsi="Tahoma"/>
          <w:sz w:val="27"/>
          <w:rtl/>
          <w:lang w:bidi="fa-IR"/>
        </w:rPr>
        <w:t>ة أحكامها، هي المصلحة التي ت</w:t>
      </w:r>
      <w:r w:rsidR="00EB1BC7" w:rsidRPr="00904FCB">
        <w:rPr>
          <w:rFonts w:ascii="Tahoma" w:hAnsi="Tahoma" w:hint="cs"/>
          <w:sz w:val="27"/>
          <w:rtl/>
          <w:lang w:bidi="fa-IR"/>
        </w:rPr>
        <w:t>َ</w:t>
      </w:r>
      <w:r w:rsidRPr="00904FCB">
        <w:rPr>
          <w:rFonts w:ascii="Tahoma" w:hAnsi="Tahoma"/>
          <w:sz w:val="27"/>
          <w:rtl/>
          <w:lang w:bidi="fa-IR"/>
        </w:rPr>
        <w:t>س</w:t>
      </w:r>
      <w:r w:rsidR="00EB1BC7" w:rsidRPr="00904FCB">
        <w:rPr>
          <w:rFonts w:ascii="Tahoma" w:hAnsi="Tahoma" w:hint="cs"/>
          <w:sz w:val="27"/>
          <w:rtl/>
          <w:lang w:bidi="fa-IR"/>
        </w:rPr>
        <w:t>َ</w:t>
      </w:r>
      <w:r w:rsidRPr="00904FCB">
        <w:rPr>
          <w:rFonts w:ascii="Tahoma" w:hAnsi="Tahoma"/>
          <w:sz w:val="27"/>
          <w:rtl/>
          <w:lang w:bidi="fa-IR"/>
        </w:rPr>
        <w:t>ع الدنيا والآخرة، وتشمل الماد</w:t>
      </w:r>
      <w:r w:rsidR="00EB1BC7" w:rsidRPr="00904FCB">
        <w:rPr>
          <w:rFonts w:ascii="Tahoma" w:hAnsi="Tahoma" w:hint="cs"/>
          <w:sz w:val="27"/>
          <w:rtl/>
          <w:lang w:bidi="fa-IR"/>
        </w:rPr>
        <w:t>ّ</w:t>
      </w:r>
      <w:r w:rsidRPr="00904FCB">
        <w:rPr>
          <w:rFonts w:ascii="Tahoma" w:hAnsi="Tahoma"/>
          <w:sz w:val="27"/>
          <w:rtl/>
          <w:lang w:bidi="fa-IR"/>
        </w:rPr>
        <w:t xml:space="preserve">ة والروح، وتوازن </w:t>
      </w:r>
      <w:r w:rsidRPr="00904FCB">
        <w:rPr>
          <w:rFonts w:ascii="Tahoma" w:hAnsi="Tahoma"/>
          <w:sz w:val="27"/>
          <w:rtl/>
          <w:lang w:bidi="fa-IR"/>
        </w:rPr>
        <w:lastRenderedPageBreak/>
        <w:t xml:space="preserve">بين الفرد والمجتمع. فهي التشريع الخالد إلى يوم القيامة.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lang w:bidi="fa-IR"/>
        </w:rPr>
        <w:t xml:space="preserve"> </w:t>
      </w:r>
    </w:p>
    <w:p w:rsidR="00644408" w:rsidRPr="00904FCB" w:rsidRDefault="00644408" w:rsidP="007A21AA">
      <w:pPr>
        <w:pStyle w:val="31"/>
        <w:spacing w:line="400" w:lineRule="exact"/>
        <w:rPr>
          <w:color w:val="auto"/>
          <w:lang w:bidi="fa-IR"/>
        </w:rPr>
      </w:pPr>
      <w:r w:rsidRPr="00904FCB">
        <w:rPr>
          <w:color w:val="auto"/>
          <w:rtl/>
          <w:lang w:bidi="fa-IR"/>
        </w:rPr>
        <w:t>المبحث الثاني</w:t>
      </w:r>
      <w:r w:rsidRPr="00904FCB">
        <w:rPr>
          <w:rFonts w:hint="cs"/>
          <w:color w:val="auto"/>
          <w:rtl/>
          <w:lang w:bidi="fa-IR"/>
        </w:rPr>
        <w:t xml:space="preserve">: </w:t>
      </w:r>
      <w:r w:rsidRPr="00904FCB">
        <w:rPr>
          <w:color w:val="auto"/>
          <w:rtl/>
          <w:lang w:bidi="fa-IR"/>
        </w:rPr>
        <w:t>المصلحة عند روسكو باوند</w:t>
      </w:r>
    </w:p>
    <w:p w:rsidR="00644408" w:rsidRPr="00904FCB" w:rsidRDefault="00644408" w:rsidP="007A21AA">
      <w:pPr>
        <w:pStyle w:val="31"/>
        <w:spacing w:line="400" w:lineRule="exact"/>
        <w:rPr>
          <w:color w:val="auto"/>
          <w:lang w:bidi="fa-IR"/>
        </w:rPr>
      </w:pPr>
      <w:r w:rsidRPr="00904FCB">
        <w:rPr>
          <w:color w:val="auto"/>
          <w:rtl/>
          <w:lang w:bidi="fa-IR"/>
        </w:rPr>
        <w:t>أو</w:t>
      </w:r>
      <w:r w:rsidR="00EB1BC7" w:rsidRPr="00904FCB">
        <w:rPr>
          <w:rFonts w:hint="cs"/>
          <w:color w:val="auto"/>
          <w:rtl/>
          <w:lang w:bidi="fa-IR"/>
        </w:rPr>
        <w:t>ّ</w:t>
      </w:r>
      <w:r w:rsidRPr="00904FCB">
        <w:rPr>
          <w:color w:val="auto"/>
          <w:rtl/>
          <w:lang w:bidi="fa-IR"/>
        </w:rPr>
        <w:t>لاً</w:t>
      </w:r>
      <w:r w:rsidRPr="00904FCB">
        <w:rPr>
          <w:rFonts w:hint="cs"/>
          <w:color w:val="auto"/>
          <w:rtl/>
          <w:lang w:bidi="fa-IR"/>
        </w:rPr>
        <w:t>:</w:t>
      </w:r>
      <w:r w:rsidRPr="00904FCB">
        <w:rPr>
          <w:color w:val="auto"/>
          <w:rtl/>
          <w:lang w:bidi="fa-IR"/>
        </w:rPr>
        <w:t xml:space="preserve"> الأساس الفلسفي لنظرية المصلحة عند روسكو باوند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إن م</w:t>
      </w:r>
      <w:r w:rsidR="00BC4D0B" w:rsidRPr="00904FCB">
        <w:rPr>
          <w:rFonts w:ascii="Tahoma" w:hAnsi="Tahoma" w:hint="cs"/>
          <w:sz w:val="27"/>
          <w:rtl/>
          <w:lang w:bidi="fa-IR"/>
        </w:rPr>
        <w:t>َ</w:t>
      </w:r>
      <w:r w:rsidRPr="00904FCB">
        <w:rPr>
          <w:rFonts w:ascii="Tahoma" w:hAnsi="Tahoma"/>
          <w:sz w:val="27"/>
          <w:rtl/>
          <w:lang w:bidi="fa-IR"/>
        </w:rPr>
        <w:t>ن</w:t>
      </w:r>
      <w:r w:rsidR="00BC4D0B" w:rsidRPr="00904FCB">
        <w:rPr>
          <w:rFonts w:ascii="Tahoma" w:hAnsi="Tahoma" w:hint="cs"/>
          <w:sz w:val="27"/>
          <w:rtl/>
          <w:lang w:bidi="fa-IR"/>
        </w:rPr>
        <w:t>ْ</w:t>
      </w:r>
      <w:r w:rsidRPr="00904FCB">
        <w:rPr>
          <w:rFonts w:ascii="Tahoma" w:hAnsi="Tahoma"/>
          <w:sz w:val="27"/>
          <w:rtl/>
          <w:lang w:bidi="fa-IR"/>
        </w:rPr>
        <w:t xml:space="preserve"> يستقرئ الفكر القانوني الأمريكي الحديث ـ منذ بداية القرن العشرين حتى الآن ـ سوف يلاحظ أن جميع الأفكار والمناهج الفلسفية القانونية الحديثة ذات الفاعلية والتأثير في النظام القانوني الأمريكي إنّما تجد أصولها وأساسها في المنهج البر</w:t>
      </w:r>
      <w:r w:rsidR="00BC4D0B" w:rsidRPr="00904FCB">
        <w:rPr>
          <w:rFonts w:ascii="Tahoma" w:hAnsi="Tahoma" w:hint="cs"/>
          <w:sz w:val="27"/>
          <w:rtl/>
          <w:lang w:bidi="fa-IR"/>
        </w:rPr>
        <w:t>اغ</w:t>
      </w:r>
      <w:r w:rsidRPr="00904FCB">
        <w:rPr>
          <w:rFonts w:ascii="Tahoma" w:hAnsi="Tahoma"/>
          <w:sz w:val="27"/>
          <w:rtl/>
          <w:lang w:bidi="fa-IR"/>
        </w:rPr>
        <w:t>ماتي الأمريكي</w:t>
      </w:r>
      <w:r w:rsidR="00BC4D0B" w:rsidRPr="00904FCB">
        <w:rPr>
          <w:rFonts w:ascii="Tahoma" w:hAnsi="Tahoma" w:hint="cs"/>
          <w:sz w:val="27"/>
          <w:rtl/>
          <w:lang w:bidi="fa-IR"/>
        </w:rPr>
        <w:t>،</w:t>
      </w:r>
      <w:r w:rsidRPr="00904FCB">
        <w:rPr>
          <w:rFonts w:ascii="Tahoma" w:hAnsi="Tahoma"/>
          <w:sz w:val="27"/>
          <w:rtl/>
          <w:lang w:bidi="fa-IR"/>
        </w:rPr>
        <w:t xml:space="preserve"> الذي كان تعبيراً عن روح العصر</w:t>
      </w:r>
      <w:r w:rsidR="00BC4D0B" w:rsidRPr="00904FCB">
        <w:rPr>
          <w:rFonts w:ascii="Tahoma" w:hAnsi="Tahoma" w:hint="cs"/>
          <w:sz w:val="27"/>
          <w:rtl/>
          <w:lang w:bidi="fa-IR"/>
        </w:rPr>
        <w:t>،</w:t>
      </w:r>
      <w:r w:rsidRPr="00904FCB">
        <w:rPr>
          <w:rFonts w:ascii="Tahoma" w:hAnsi="Tahoma"/>
          <w:sz w:val="27"/>
          <w:rtl/>
          <w:lang w:bidi="fa-IR"/>
        </w:rPr>
        <w:t xml:space="preserve"> وأداة ملائمة لظروف مجتمعه</w:t>
      </w:r>
      <w:r w:rsidR="00BC4D0B" w:rsidRPr="00904FCB">
        <w:rPr>
          <w:rFonts w:ascii="Tahoma" w:hAnsi="Tahoma" w:hint="cs"/>
          <w:sz w:val="27"/>
          <w:rtl/>
          <w:lang w:bidi="fa-IR"/>
        </w:rPr>
        <w:t>،</w:t>
      </w:r>
      <w:r w:rsidRPr="00904FCB">
        <w:rPr>
          <w:rFonts w:ascii="Tahoma" w:hAnsi="Tahoma"/>
          <w:sz w:val="27"/>
          <w:rtl/>
          <w:lang w:bidi="fa-IR"/>
        </w:rPr>
        <w:t xml:space="preserve"> ومبادئ حياته.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والبر</w:t>
      </w:r>
      <w:r w:rsidR="00FE12CA" w:rsidRPr="00904FCB">
        <w:rPr>
          <w:rFonts w:ascii="Tahoma" w:hAnsi="Tahoma" w:hint="cs"/>
          <w:sz w:val="27"/>
          <w:rtl/>
          <w:lang w:bidi="fa-IR"/>
        </w:rPr>
        <w:t>اغ</w:t>
      </w:r>
      <w:r w:rsidRPr="00904FCB">
        <w:rPr>
          <w:rFonts w:ascii="Tahoma" w:hAnsi="Tahoma"/>
          <w:sz w:val="27"/>
          <w:rtl/>
          <w:lang w:bidi="fa-IR"/>
        </w:rPr>
        <w:t>ماتية تعني «العمل»</w:t>
      </w:r>
      <w:r w:rsidR="00FE12CA" w:rsidRPr="00904FCB">
        <w:rPr>
          <w:rFonts w:ascii="Tahoma" w:hAnsi="Tahoma" w:hint="cs"/>
          <w:sz w:val="27"/>
          <w:rtl/>
          <w:lang w:bidi="fa-IR"/>
        </w:rPr>
        <w:t>.</w:t>
      </w:r>
      <w:r w:rsidRPr="00904FCB">
        <w:rPr>
          <w:rFonts w:ascii="Tahoma" w:hAnsi="Tahoma"/>
          <w:sz w:val="27"/>
          <w:rtl/>
          <w:lang w:bidi="fa-IR"/>
        </w:rPr>
        <w:t xml:space="preserve"> وكان استعمال هذا اللفظ في الفلسفة لأو</w:t>
      </w:r>
      <w:r w:rsidR="0063171C" w:rsidRPr="00904FCB">
        <w:rPr>
          <w:rFonts w:ascii="Tahoma" w:hAnsi="Tahoma" w:hint="cs"/>
          <w:sz w:val="27"/>
          <w:rtl/>
          <w:lang w:bidi="fa-IR"/>
        </w:rPr>
        <w:t>ّ</w:t>
      </w:r>
      <w:r w:rsidRPr="00904FCB">
        <w:rPr>
          <w:rFonts w:ascii="Tahoma" w:hAnsi="Tahoma"/>
          <w:sz w:val="27"/>
          <w:rtl/>
          <w:lang w:bidi="fa-IR"/>
        </w:rPr>
        <w:t xml:space="preserve">ل مرة سنة </w:t>
      </w:r>
      <w:r w:rsidRPr="00DB2AFA">
        <w:rPr>
          <w:rFonts w:ascii="Tahoma" w:hAnsi="Tahoma" w:hint="cs"/>
          <w:sz w:val="27"/>
          <w:rtl/>
          <w:lang w:bidi="ar-LB"/>
        </w:rPr>
        <w:t>1878</w:t>
      </w:r>
      <w:r w:rsidR="0063171C" w:rsidRPr="00904FCB">
        <w:rPr>
          <w:rFonts w:ascii="Tahoma" w:hAnsi="Tahoma" w:hint="cs"/>
          <w:sz w:val="27"/>
          <w:rtl/>
          <w:lang w:bidi="fa-IR"/>
        </w:rPr>
        <w:t>،</w:t>
      </w:r>
      <w:r w:rsidRPr="00904FCB">
        <w:rPr>
          <w:rFonts w:ascii="Tahoma" w:hAnsi="Tahoma" w:hint="cs"/>
          <w:sz w:val="27"/>
          <w:rtl/>
          <w:lang w:bidi="fa-IR"/>
        </w:rPr>
        <w:t xml:space="preserve"> </w:t>
      </w:r>
      <w:r w:rsidRPr="00904FCB">
        <w:rPr>
          <w:rFonts w:ascii="Tahoma" w:hAnsi="Tahoma"/>
          <w:sz w:val="27"/>
          <w:rtl/>
          <w:lang w:bidi="fa-IR"/>
        </w:rPr>
        <w:t>عندما ذكره «تشارلز بيرس» (</w:t>
      </w:r>
      <w:r w:rsidRPr="00DB2AFA">
        <w:rPr>
          <w:rFonts w:ascii="Tahoma" w:hAnsi="Tahoma" w:hint="cs"/>
          <w:sz w:val="27"/>
          <w:rtl/>
          <w:lang w:bidi="ar-LB"/>
        </w:rPr>
        <w:t>1839</w:t>
      </w:r>
      <w:r w:rsidRPr="00904FCB">
        <w:rPr>
          <w:rFonts w:ascii="Tahoma" w:hAnsi="Tahoma"/>
          <w:sz w:val="27"/>
          <w:rtl/>
          <w:lang w:bidi="fa-IR"/>
        </w:rPr>
        <w:t xml:space="preserve"> ـ </w:t>
      </w:r>
      <w:r w:rsidRPr="00DB2AFA">
        <w:rPr>
          <w:rFonts w:ascii="Tahoma" w:hAnsi="Tahoma" w:hint="cs"/>
          <w:sz w:val="27"/>
          <w:rtl/>
          <w:lang w:bidi="ar-LB"/>
        </w:rPr>
        <w:t>1914</w:t>
      </w:r>
      <w:r w:rsidRPr="00904FCB">
        <w:rPr>
          <w:rFonts w:ascii="Tahoma" w:hAnsi="Tahoma"/>
          <w:sz w:val="27"/>
          <w:rtl/>
          <w:lang w:bidi="fa-IR"/>
        </w:rPr>
        <w:t>) في مقالة</w:t>
      </w:r>
      <w:r w:rsidR="0063171C" w:rsidRPr="00904FCB">
        <w:rPr>
          <w:rFonts w:ascii="Tahoma" w:hAnsi="Tahoma" w:hint="cs"/>
          <w:sz w:val="27"/>
          <w:rtl/>
          <w:lang w:bidi="fa-IR"/>
        </w:rPr>
        <w:t>ٍ</w:t>
      </w:r>
      <w:r w:rsidRPr="00904FCB">
        <w:rPr>
          <w:rFonts w:ascii="Tahoma" w:hAnsi="Tahoma"/>
          <w:sz w:val="27"/>
          <w:rtl/>
          <w:lang w:bidi="fa-IR"/>
        </w:rPr>
        <w:t xml:space="preserve"> بعنوان «كيف نجعل أفكارنا واضحة</w:t>
      </w:r>
      <w:r w:rsidR="0063171C" w:rsidRPr="00904FCB">
        <w:rPr>
          <w:rFonts w:ascii="Tahoma" w:hAnsi="Tahoma" w:hint="cs"/>
          <w:sz w:val="27"/>
          <w:rtl/>
          <w:lang w:bidi="fa-IR"/>
        </w:rPr>
        <w:t>؟</w:t>
      </w:r>
      <w:r w:rsidRPr="00904FCB">
        <w:rPr>
          <w:rFonts w:ascii="Tahoma" w:hAnsi="Tahoma"/>
          <w:sz w:val="27"/>
          <w:rtl/>
          <w:lang w:bidi="fa-IR"/>
        </w:rPr>
        <w:t>»</w:t>
      </w:r>
      <w:r w:rsidR="0063171C" w:rsidRPr="00904FCB">
        <w:rPr>
          <w:rFonts w:ascii="Tahoma" w:hAnsi="Tahoma" w:hint="cs"/>
          <w:sz w:val="27"/>
          <w:rtl/>
          <w:lang w:bidi="fa-IR"/>
        </w:rPr>
        <w:t>،</w:t>
      </w:r>
      <w:r w:rsidRPr="00904FCB">
        <w:rPr>
          <w:rFonts w:ascii="Tahoma" w:hAnsi="Tahoma"/>
          <w:sz w:val="27"/>
          <w:rtl/>
          <w:lang w:bidi="fa-IR"/>
        </w:rPr>
        <w:t xml:space="preserve"> حيث كشف عن أن المعتقدات هي مجر</w:t>
      </w:r>
      <w:r w:rsidR="0063171C" w:rsidRPr="00904FCB">
        <w:rPr>
          <w:rFonts w:ascii="Tahoma" w:hAnsi="Tahoma" w:hint="cs"/>
          <w:sz w:val="27"/>
          <w:rtl/>
          <w:lang w:bidi="fa-IR"/>
        </w:rPr>
        <w:t>ّ</w:t>
      </w:r>
      <w:r w:rsidRPr="00904FCB">
        <w:rPr>
          <w:rFonts w:ascii="Tahoma" w:hAnsi="Tahoma"/>
          <w:sz w:val="27"/>
          <w:rtl/>
          <w:lang w:bidi="fa-IR"/>
        </w:rPr>
        <w:t>د قواعد للعمل، وأن المعنى الوحيد للفكرة إنّما يكمن في السلوك الناتج عنها، وأن الطريق نحو تحقيق واضح</w:t>
      </w:r>
      <w:r w:rsidR="0063171C" w:rsidRPr="00904FCB">
        <w:rPr>
          <w:rFonts w:ascii="Tahoma" w:hAnsi="Tahoma" w:hint="cs"/>
          <w:sz w:val="27"/>
          <w:rtl/>
          <w:lang w:bidi="fa-IR"/>
        </w:rPr>
        <w:t>ٍ</w:t>
      </w:r>
      <w:r w:rsidRPr="00904FCB">
        <w:rPr>
          <w:rFonts w:ascii="Tahoma" w:hAnsi="Tahoma"/>
          <w:sz w:val="27"/>
          <w:rtl/>
          <w:lang w:bidi="fa-IR"/>
        </w:rPr>
        <w:t xml:space="preserve"> وكامل في أفكارنا يوجد في مراعاة الآثار والنتائج المباشرة أو غير المباشرة للممارسة العملية.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والبر</w:t>
      </w:r>
      <w:r w:rsidR="0063171C" w:rsidRPr="00904FCB">
        <w:rPr>
          <w:rFonts w:ascii="Tahoma" w:hAnsi="Tahoma" w:hint="cs"/>
          <w:sz w:val="27"/>
          <w:rtl/>
          <w:lang w:bidi="fa-IR"/>
        </w:rPr>
        <w:t>اغ</w:t>
      </w:r>
      <w:r w:rsidRPr="00904FCB">
        <w:rPr>
          <w:rFonts w:ascii="Tahoma" w:hAnsi="Tahoma"/>
          <w:sz w:val="27"/>
          <w:rtl/>
          <w:lang w:bidi="fa-IR"/>
        </w:rPr>
        <w:t>ماتية فلسفة تعب</w:t>
      </w:r>
      <w:r w:rsidR="0063171C" w:rsidRPr="00904FCB">
        <w:rPr>
          <w:rFonts w:ascii="Tahoma" w:hAnsi="Tahoma" w:hint="cs"/>
          <w:sz w:val="27"/>
          <w:rtl/>
          <w:lang w:bidi="fa-IR"/>
        </w:rPr>
        <w:t>ِّ</w:t>
      </w:r>
      <w:r w:rsidRPr="00904FCB">
        <w:rPr>
          <w:rFonts w:ascii="Tahoma" w:hAnsi="Tahoma"/>
          <w:sz w:val="27"/>
          <w:rtl/>
          <w:lang w:bidi="fa-IR"/>
        </w:rPr>
        <w:t>ر عن مزاج العالم الجديد ـ المعروف بأمريكا ـ</w:t>
      </w:r>
      <w:r w:rsidR="0063171C" w:rsidRPr="00904FCB">
        <w:rPr>
          <w:rFonts w:ascii="Tahoma" w:hAnsi="Tahoma" w:hint="cs"/>
          <w:sz w:val="27"/>
          <w:rtl/>
          <w:lang w:bidi="fa-IR"/>
        </w:rPr>
        <w:t>،</w:t>
      </w:r>
      <w:r w:rsidRPr="00904FCB">
        <w:rPr>
          <w:rFonts w:ascii="Tahoma" w:hAnsi="Tahoma"/>
          <w:sz w:val="27"/>
          <w:rtl/>
          <w:lang w:bidi="fa-IR"/>
        </w:rPr>
        <w:t xml:space="preserve"> وهي ثمرة التفاعل بين الأفكار التي حملها المهاجرون الأور</w:t>
      </w:r>
      <w:r w:rsidR="0063171C" w:rsidRPr="00904FCB">
        <w:rPr>
          <w:rFonts w:ascii="Tahoma" w:hAnsi="Tahoma" w:hint="cs"/>
          <w:sz w:val="27"/>
          <w:rtl/>
          <w:lang w:bidi="fa-IR"/>
        </w:rPr>
        <w:t>و</w:t>
      </w:r>
      <w:r w:rsidRPr="00904FCB">
        <w:rPr>
          <w:rFonts w:ascii="Tahoma" w:hAnsi="Tahoma"/>
          <w:sz w:val="27"/>
          <w:rtl/>
          <w:lang w:bidi="fa-IR"/>
        </w:rPr>
        <w:t>بيون إلى أمريكا وبين البيئة الجديدة التي نشأوا فيها</w:t>
      </w:r>
      <w:r w:rsidR="0063171C" w:rsidRPr="00904FCB">
        <w:rPr>
          <w:rFonts w:ascii="Tahoma" w:hAnsi="Tahoma" w:hint="cs"/>
          <w:sz w:val="27"/>
          <w:rtl/>
          <w:lang w:bidi="fa-IR"/>
        </w:rPr>
        <w:t>،</w:t>
      </w:r>
      <w:r w:rsidRPr="00904FCB">
        <w:rPr>
          <w:rFonts w:ascii="Tahoma" w:hAnsi="Tahoma"/>
          <w:sz w:val="27"/>
          <w:rtl/>
          <w:lang w:bidi="fa-IR"/>
        </w:rPr>
        <w:t xml:space="preserve"> وشك</w:t>
      </w:r>
      <w:r w:rsidR="0063171C" w:rsidRPr="00904FCB">
        <w:rPr>
          <w:rFonts w:ascii="Tahoma" w:hAnsi="Tahoma" w:hint="cs"/>
          <w:sz w:val="27"/>
          <w:rtl/>
          <w:lang w:bidi="fa-IR"/>
        </w:rPr>
        <w:t>َّ</w:t>
      </w:r>
      <w:r w:rsidRPr="00904FCB">
        <w:rPr>
          <w:rFonts w:ascii="Tahoma" w:hAnsi="Tahoma"/>
          <w:sz w:val="27"/>
          <w:rtl/>
          <w:lang w:bidi="fa-IR"/>
        </w:rPr>
        <w:t>لت روحه الجديدة، هذه الروح التي تؤمن بأن ظروف الحياة يمكن تحسينها بالتصميم على العمل، وأن التفكير مرتبط</w:t>
      </w:r>
      <w:r w:rsidR="0063171C" w:rsidRPr="00904FCB">
        <w:rPr>
          <w:rFonts w:ascii="Tahoma" w:hAnsi="Tahoma" w:hint="cs"/>
          <w:sz w:val="27"/>
          <w:rtl/>
          <w:lang w:bidi="fa-IR"/>
        </w:rPr>
        <w:t>ٌ</w:t>
      </w:r>
      <w:r w:rsidRPr="00904FCB">
        <w:rPr>
          <w:rFonts w:ascii="Tahoma" w:hAnsi="Tahoma"/>
          <w:sz w:val="27"/>
          <w:rtl/>
          <w:lang w:bidi="fa-IR"/>
        </w:rPr>
        <w:t xml:space="preserve"> ارتباطاً وثيقاً بالعمل، وأن النظريات والمذاهب إنّما هي فروض</w:t>
      </w:r>
      <w:r w:rsidR="0063171C" w:rsidRPr="00904FCB">
        <w:rPr>
          <w:rFonts w:ascii="Tahoma" w:hAnsi="Tahoma" w:hint="cs"/>
          <w:sz w:val="27"/>
          <w:rtl/>
          <w:lang w:bidi="fa-IR"/>
        </w:rPr>
        <w:t>ٌ</w:t>
      </w:r>
      <w:r w:rsidRPr="00904FCB">
        <w:rPr>
          <w:rFonts w:ascii="Tahoma" w:hAnsi="Tahoma"/>
          <w:sz w:val="27"/>
          <w:rtl/>
          <w:lang w:bidi="fa-IR"/>
        </w:rPr>
        <w:t xml:space="preserve"> للعمل تمتحن بما ينتج عنها في المواقف الفعلية للحياة، وأن الم</w:t>
      </w:r>
      <w:r w:rsidR="0063171C" w:rsidRPr="00904FCB">
        <w:rPr>
          <w:rFonts w:ascii="Tahoma" w:hAnsi="Tahoma" w:hint="cs"/>
          <w:sz w:val="27"/>
          <w:rtl/>
          <w:lang w:bidi="fa-IR"/>
        </w:rPr>
        <w:t>ُ</w:t>
      </w:r>
      <w:r w:rsidRPr="00904FCB">
        <w:rPr>
          <w:rFonts w:ascii="Tahoma" w:hAnsi="Tahoma"/>
          <w:sz w:val="27"/>
          <w:rtl/>
          <w:lang w:bidi="fa-IR"/>
        </w:rPr>
        <w:t>ث</w:t>
      </w:r>
      <w:r w:rsidR="0063171C" w:rsidRPr="00904FCB">
        <w:rPr>
          <w:rFonts w:ascii="Tahoma" w:hAnsi="Tahoma" w:hint="cs"/>
          <w:sz w:val="27"/>
          <w:rtl/>
          <w:lang w:bidi="fa-IR"/>
        </w:rPr>
        <w:t>ُ</w:t>
      </w:r>
      <w:r w:rsidRPr="00904FCB">
        <w:rPr>
          <w:rFonts w:ascii="Tahoma" w:hAnsi="Tahoma"/>
          <w:sz w:val="27"/>
          <w:rtl/>
          <w:lang w:bidi="fa-IR"/>
        </w:rPr>
        <w:t>ل الأخلاقية قوالب فارغة عقيمة إذا انفصلت عن وسائل تحقيقها</w:t>
      </w:r>
      <w:r w:rsidR="0063171C" w:rsidRPr="00904FCB">
        <w:rPr>
          <w:rFonts w:ascii="Tahoma" w:hAnsi="Tahoma" w:hint="cs"/>
          <w:sz w:val="27"/>
          <w:rtl/>
          <w:lang w:bidi="fa-IR"/>
        </w:rPr>
        <w:t>.</w:t>
      </w:r>
      <w:r w:rsidRPr="00904FCB">
        <w:rPr>
          <w:rFonts w:ascii="Tahoma" w:hAnsi="Tahoma"/>
          <w:sz w:val="27"/>
          <w:rtl/>
          <w:lang w:bidi="fa-IR"/>
        </w:rPr>
        <w:t xml:space="preserve"> فالحقيقة ليست ثابتة</w:t>
      </w:r>
      <w:r w:rsidR="0063171C" w:rsidRPr="00904FCB">
        <w:rPr>
          <w:rFonts w:ascii="Tahoma" w:hAnsi="Tahoma" w:hint="cs"/>
          <w:sz w:val="27"/>
          <w:rtl/>
          <w:lang w:bidi="fa-IR"/>
        </w:rPr>
        <w:t>ً،</w:t>
      </w:r>
      <w:r w:rsidRPr="00904FCB">
        <w:rPr>
          <w:rFonts w:ascii="Tahoma" w:hAnsi="Tahoma"/>
          <w:sz w:val="27"/>
          <w:rtl/>
          <w:lang w:bidi="fa-IR"/>
        </w:rPr>
        <w:t xml:space="preserve"> وليست نظاماً كاملاً</w:t>
      </w:r>
      <w:r w:rsidR="0063171C" w:rsidRPr="00904FCB">
        <w:rPr>
          <w:rFonts w:ascii="Tahoma" w:hAnsi="Tahoma" w:hint="cs"/>
          <w:sz w:val="27"/>
          <w:rtl/>
          <w:lang w:bidi="fa-IR"/>
        </w:rPr>
        <w:t>،</w:t>
      </w:r>
      <w:r w:rsidRPr="00904FCB">
        <w:rPr>
          <w:rFonts w:ascii="Tahoma" w:hAnsi="Tahoma"/>
          <w:sz w:val="27"/>
          <w:rtl/>
          <w:lang w:bidi="fa-IR"/>
        </w:rPr>
        <w:t xml:space="preserve"> بل عملية</w:t>
      </w:r>
      <w:r w:rsidR="0063171C" w:rsidRPr="00904FCB">
        <w:rPr>
          <w:rFonts w:ascii="Tahoma" w:hAnsi="Tahoma" w:hint="cs"/>
          <w:sz w:val="27"/>
          <w:rtl/>
          <w:lang w:bidi="fa-IR"/>
        </w:rPr>
        <w:t>ٌ</w:t>
      </w:r>
      <w:r w:rsidRPr="00904FCB">
        <w:rPr>
          <w:rFonts w:ascii="Tahoma" w:hAnsi="Tahoma"/>
          <w:sz w:val="27"/>
          <w:rtl/>
          <w:lang w:bidi="fa-IR"/>
        </w:rPr>
        <w:t xml:space="preserve"> جارية في تغي</w:t>
      </w:r>
      <w:r w:rsidR="0063171C" w:rsidRPr="00904FCB">
        <w:rPr>
          <w:rFonts w:ascii="Tahoma" w:hAnsi="Tahoma" w:hint="cs"/>
          <w:sz w:val="27"/>
          <w:rtl/>
          <w:lang w:bidi="fa-IR"/>
        </w:rPr>
        <w:t>ُّ</w:t>
      </w:r>
      <w:r w:rsidRPr="00904FCB">
        <w:rPr>
          <w:rFonts w:ascii="Tahoma" w:hAnsi="Tahoma"/>
          <w:sz w:val="27"/>
          <w:rtl/>
          <w:lang w:bidi="fa-IR"/>
        </w:rPr>
        <w:t>ر مستمر</w:t>
      </w:r>
      <w:r w:rsidR="0063171C" w:rsidRPr="00904FCB">
        <w:rPr>
          <w:rFonts w:ascii="Tahoma" w:hAnsi="Tahoma" w:hint="cs"/>
          <w:sz w:val="27"/>
          <w:rtl/>
          <w:lang w:bidi="fa-IR"/>
        </w:rPr>
        <w:t>ّ</w:t>
      </w:r>
      <w:r w:rsidRPr="00904FCB">
        <w:rPr>
          <w:rFonts w:hint="cs"/>
          <w:sz w:val="27"/>
          <w:vertAlign w:val="superscript"/>
          <w:rtl/>
        </w:rPr>
        <w:t>(</w:t>
      </w:r>
      <w:r w:rsidRPr="00904FCB">
        <w:rPr>
          <w:rStyle w:val="ac"/>
          <w:sz w:val="27"/>
          <w:rtl/>
        </w:rPr>
        <w:endnoteReference w:id="260"/>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وهذا ما دفع أحد رو</w:t>
      </w:r>
      <w:r w:rsidR="0063171C" w:rsidRPr="00904FCB">
        <w:rPr>
          <w:rFonts w:ascii="Tahoma" w:hAnsi="Tahoma" w:hint="cs"/>
          <w:sz w:val="27"/>
          <w:rtl/>
          <w:lang w:bidi="fa-IR"/>
        </w:rPr>
        <w:t>ّ</w:t>
      </w:r>
      <w:r w:rsidRPr="00904FCB">
        <w:rPr>
          <w:rFonts w:ascii="Tahoma" w:hAnsi="Tahoma"/>
          <w:sz w:val="27"/>
          <w:rtl/>
          <w:lang w:bidi="fa-IR"/>
        </w:rPr>
        <w:t>اد البر</w:t>
      </w:r>
      <w:r w:rsidR="0063171C" w:rsidRPr="00904FCB">
        <w:rPr>
          <w:rFonts w:ascii="Tahoma" w:hAnsi="Tahoma" w:hint="cs"/>
          <w:sz w:val="27"/>
          <w:rtl/>
          <w:lang w:bidi="fa-IR"/>
        </w:rPr>
        <w:t>اغ</w:t>
      </w:r>
      <w:r w:rsidRPr="00904FCB">
        <w:rPr>
          <w:rFonts w:ascii="Tahoma" w:hAnsi="Tahoma"/>
          <w:sz w:val="27"/>
          <w:rtl/>
          <w:lang w:bidi="fa-IR"/>
        </w:rPr>
        <w:t>ماتية</w:t>
      </w:r>
      <w:r w:rsidR="0063171C" w:rsidRPr="00904FCB">
        <w:rPr>
          <w:rFonts w:ascii="Tahoma" w:hAnsi="Tahoma" w:hint="cs"/>
          <w:sz w:val="27"/>
          <w:rtl/>
          <w:lang w:bidi="fa-IR"/>
        </w:rPr>
        <w:t>،</w:t>
      </w:r>
      <w:r w:rsidR="00E247AB">
        <w:rPr>
          <w:rFonts w:ascii="Tahoma" w:hAnsi="Tahoma"/>
          <w:sz w:val="27"/>
          <w:rtl/>
          <w:lang w:bidi="fa-IR"/>
        </w:rPr>
        <w:t xml:space="preserve"> وهو «وليم جيمس»</w:t>
      </w:r>
      <w:r w:rsidRPr="00904FCB">
        <w:rPr>
          <w:rFonts w:ascii="Tahoma" w:hAnsi="Tahoma"/>
          <w:sz w:val="27"/>
          <w:rtl/>
          <w:lang w:bidi="fa-IR"/>
        </w:rPr>
        <w:t>(</w:t>
      </w:r>
      <w:r w:rsidRPr="00DB2AFA">
        <w:rPr>
          <w:rFonts w:ascii="Tahoma" w:hAnsi="Tahoma" w:hint="cs"/>
          <w:sz w:val="27"/>
          <w:rtl/>
          <w:lang w:bidi="ar-LB"/>
        </w:rPr>
        <w:t>1842</w:t>
      </w:r>
      <w:r w:rsidRPr="00904FCB">
        <w:rPr>
          <w:rFonts w:ascii="Tahoma" w:hAnsi="Tahoma"/>
          <w:sz w:val="27"/>
          <w:rtl/>
          <w:lang w:bidi="fa-IR"/>
        </w:rPr>
        <w:t xml:space="preserve"> ـ </w:t>
      </w:r>
      <w:r w:rsidRPr="00DB2AFA">
        <w:rPr>
          <w:rFonts w:ascii="Tahoma" w:hAnsi="Tahoma" w:hint="cs"/>
          <w:sz w:val="27"/>
          <w:rtl/>
          <w:lang w:bidi="ar-LB"/>
        </w:rPr>
        <w:t>1910</w:t>
      </w:r>
      <w:r w:rsidRPr="00904FCB">
        <w:rPr>
          <w:rFonts w:ascii="Tahoma" w:hAnsi="Tahoma"/>
          <w:sz w:val="27"/>
          <w:rtl/>
          <w:lang w:bidi="fa-IR"/>
        </w:rPr>
        <w:t>)</w:t>
      </w:r>
      <w:r w:rsidR="0063171C" w:rsidRPr="00904FCB">
        <w:rPr>
          <w:rFonts w:ascii="Tahoma" w:hAnsi="Tahoma" w:hint="cs"/>
          <w:sz w:val="27"/>
          <w:rtl/>
          <w:lang w:bidi="fa-IR"/>
        </w:rPr>
        <w:t>،</w:t>
      </w:r>
      <w:r w:rsidRPr="00904FCB">
        <w:rPr>
          <w:rFonts w:ascii="Tahoma" w:hAnsi="Tahoma"/>
          <w:sz w:val="27"/>
          <w:rtl/>
          <w:lang w:bidi="fa-IR"/>
        </w:rPr>
        <w:t xml:space="preserve"> إلى الربط بين التطو</w:t>
      </w:r>
      <w:r w:rsidR="0063171C" w:rsidRPr="00904FCB">
        <w:rPr>
          <w:rFonts w:ascii="Tahoma" w:hAnsi="Tahoma" w:hint="cs"/>
          <w:sz w:val="27"/>
          <w:rtl/>
          <w:lang w:bidi="fa-IR"/>
        </w:rPr>
        <w:t>ُّ</w:t>
      </w:r>
      <w:r w:rsidRPr="00904FCB">
        <w:rPr>
          <w:rFonts w:ascii="Tahoma" w:hAnsi="Tahoma"/>
          <w:sz w:val="27"/>
          <w:rtl/>
          <w:lang w:bidi="fa-IR"/>
        </w:rPr>
        <w:t>ر الاجتماعي للإنسان من ناحية وبين التطو</w:t>
      </w:r>
      <w:r w:rsidR="0063171C" w:rsidRPr="00904FCB">
        <w:rPr>
          <w:rFonts w:ascii="Tahoma" w:hAnsi="Tahoma" w:hint="cs"/>
          <w:sz w:val="27"/>
          <w:rtl/>
          <w:lang w:bidi="fa-IR"/>
        </w:rPr>
        <w:t>ُّ</w:t>
      </w:r>
      <w:r w:rsidRPr="00904FCB">
        <w:rPr>
          <w:rFonts w:ascii="Tahoma" w:hAnsi="Tahoma"/>
          <w:sz w:val="27"/>
          <w:rtl/>
          <w:lang w:bidi="fa-IR"/>
        </w:rPr>
        <w:t>ر البيولوجي من ناحية أخرى</w:t>
      </w:r>
      <w:r w:rsidR="0063171C" w:rsidRPr="00904FCB">
        <w:rPr>
          <w:rFonts w:ascii="Tahoma" w:hAnsi="Tahoma" w:hint="cs"/>
          <w:sz w:val="27"/>
          <w:rtl/>
          <w:lang w:bidi="fa-IR"/>
        </w:rPr>
        <w:t>،</w:t>
      </w:r>
      <w:r w:rsidRPr="00904FCB">
        <w:rPr>
          <w:rFonts w:ascii="Tahoma" w:hAnsi="Tahoma"/>
          <w:sz w:val="27"/>
          <w:rtl/>
          <w:lang w:bidi="fa-IR"/>
        </w:rPr>
        <w:t xml:space="preserve"> كما بيّنه تشارلز دارون</w:t>
      </w:r>
      <w:r w:rsidRPr="00904FCB">
        <w:rPr>
          <w:rFonts w:hint="cs"/>
          <w:sz w:val="27"/>
          <w:vertAlign w:val="superscript"/>
          <w:rtl/>
        </w:rPr>
        <w:t>(</w:t>
      </w:r>
      <w:r w:rsidRPr="00904FCB">
        <w:rPr>
          <w:rStyle w:val="ac"/>
          <w:sz w:val="27"/>
          <w:rtl/>
        </w:rPr>
        <w:endnoteReference w:id="261"/>
      </w:r>
      <w:r w:rsidRPr="00904FCB">
        <w:rPr>
          <w:rFonts w:hint="cs"/>
          <w:sz w:val="27"/>
          <w:vertAlign w:val="superscript"/>
          <w:rtl/>
        </w:rPr>
        <w:t>)</w:t>
      </w:r>
      <w:r w:rsidR="0063171C" w:rsidRPr="00904FCB">
        <w:rPr>
          <w:rFonts w:ascii="Tahoma" w:hAnsi="Tahoma" w:hint="cs"/>
          <w:sz w:val="27"/>
          <w:rtl/>
          <w:lang w:bidi="fa-IR"/>
        </w:rPr>
        <w:t>.</w:t>
      </w:r>
      <w:r w:rsidRPr="00904FCB">
        <w:rPr>
          <w:rFonts w:ascii="Tahoma" w:hAnsi="Tahoma"/>
          <w:sz w:val="27"/>
          <w:rtl/>
          <w:lang w:bidi="fa-IR"/>
        </w:rPr>
        <w:t xml:space="preserve"> وقد رأى «جيمس» أن التطو</w:t>
      </w:r>
      <w:r w:rsidR="0063171C" w:rsidRPr="00904FCB">
        <w:rPr>
          <w:rFonts w:ascii="Tahoma" w:hAnsi="Tahoma" w:hint="cs"/>
          <w:sz w:val="27"/>
          <w:rtl/>
          <w:lang w:bidi="fa-IR"/>
        </w:rPr>
        <w:t>ُّ</w:t>
      </w:r>
      <w:r w:rsidRPr="00904FCB">
        <w:rPr>
          <w:rFonts w:ascii="Tahoma" w:hAnsi="Tahoma"/>
          <w:sz w:val="27"/>
          <w:rtl/>
          <w:lang w:bidi="fa-IR"/>
        </w:rPr>
        <w:t xml:space="preserve">ر الاجتماعي نتيجة </w:t>
      </w:r>
      <w:r w:rsidRPr="00904FCB">
        <w:rPr>
          <w:rFonts w:ascii="Tahoma" w:hAnsi="Tahoma"/>
          <w:sz w:val="27"/>
          <w:rtl/>
          <w:lang w:bidi="fa-IR"/>
        </w:rPr>
        <w:lastRenderedPageBreak/>
        <w:t xml:space="preserve">تفاعل عنصرين متمايزين تمام التمايز: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الأو</w:t>
      </w:r>
      <w:r w:rsidR="0063171C" w:rsidRPr="00904FCB">
        <w:rPr>
          <w:rFonts w:ascii="Tahoma" w:hAnsi="Tahoma" w:hint="cs"/>
          <w:b/>
          <w:bCs/>
          <w:sz w:val="27"/>
          <w:rtl/>
          <w:lang w:bidi="fa-IR"/>
        </w:rPr>
        <w:t>ّ</w:t>
      </w:r>
      <w:r w:rsidRPr="00904FCB">
        <w:rPr>
          <w:rFonts w:ascii="Tahoma" w:hAnsi="Tahoma"/>
          <w:b/>
          <w:bCs/>
          <w:sz w:val="27"/>
          <w:rtl/>
          <w:lang w:bidi="fa-IR"/>
        </w:rPr>
        <w:t>ل</w:t>
      </w:r>
      <w:r w:rsidRPr="00904FCB">
        <w:rPr>
          <w:rFonts w:ascii="Tahoma" w:hAnsi="Tahoma"/>
          <w:sz w:val="27"/>
          <w:rtl/>
          <w:lang w:bidi="fa-IR"/>
        </w:rPr>
        <w:t xml:space="preserve">: هو الفرد. </w:t>
      </w:r>
    </w:p>
    <w:p w:rsidR="0063171C" w:rsidRPr="00904FCB" w:rsidRDefault="0063171C" w:rsidP="007A21AA">
      <w:pPr>
        <w:autoSpaceDE w:val="0"/>
        <w:autoSpaceDN w:val="0"/>
        <w:adjustRightInd w:val="0"/>
        <w:spacing w:line="400" w:lineRule="exact"/>
        <w:rPr>
          <w:rFonts w:ascii="Tahoma" w:hAnsi="Tahoma"/>
          <w:sz w:val="27"/>
          <w:rtl/>
          <w:lang w:bidi="fa-IR"/>
        </w:rPr>
      </w:pPr>
      <w:r w:rsidRPr="00904FCB">
        <w:rPr>
          <w:rFonts w:ascii="Tahoma" w:hAnsi="Tahoma" w:hint="cs"/>
          <w:b/>
          <w:bCs/>
          <w:sz w:val="27"/>
          <w:rtl/>
          <w:lang w:bidi="fa-IR"/>
        </w:rPr>
        <w:t>و</w:t>
      </w:r>
      <w:r w:rsidR="00644408" w:rsidRPr="00904FCB">
        <w:rPr>
          <w:rFonts w:ascii="Tahoma" w:hAnsi="Tahoma"/>
          <w:b/>
          <w:bCs/>
          <w:sz w:val="27"/>
          <w:rtl/>
          <w:lang w:bidi="fa-IR"/>
        </w:rPr>
        <w:t>الثاني</w:t>
      </w:r>
      <w:r w:rsidR="00644408" w:rsidRPr="00904FCB">
        <w:rPr>
          <w:rFonts w:ascii="Tahoma" w:hAnsi="Tahoma"/>
          <w:sz w:val="27"/>
          <w:rtl/>
          <w:lang w:bidi="fa-IR"/>
        </w:rPr>
        <w:t>: هو البيئة الاجتماعية</w:t>
      </w:r>
      <w:r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وكلا العنصرين ضروري</w:t>
      </w:r>
      <w:r w:rsidR="0063171C" w:rsidRPr="00904FCB">
        <w:rPr>
          <w:rFonts w:ascii="Tahoma" w:hAnsi="Tahoma" w:hint="cs"/>
          <w:sz w:val="27"/>
          <w:rtl/>
          <w:lang w:bidi="fa-IR"/>
        </w:rPr>
        <w:t>ٌّ</w:t>
      </w:r>
      <w:r w:rsidRPr="00904FCB">
        <w:rPr>
          <w:rFonts w:ascii="Tahoma" w:hAnsi="Tahoma"/>
          <w:sz w:val="27"/>
          <w:rtl/>
          <w:lang w:bidi="fa-IR"/>
        </w:rPr>
        <w:t xml:space="preserve"> للتغيير</w:t>
      </w:r>
      <w:r w:rsidRPr="00904FCB">
        <w:rPr>
          <w:rFonts w:hint="cs"/>
          <w:sz w:val="27"/>
          <w:vertAlign w:val="superscript"/>
          <w:rtl/>
        </w:rPr>
        <w:t>(</w:t>
      </w:r>
      <w:r w:rsidRPr="00904FCB">
        <w:rPr>
          <w:rStyle w:val="ac"/>
          <w:sz w:val="27"/>
          <w:rtl/>
        </w:rPr>
        <w:endnoteReference w:id="262"/>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وقد أث</w:t>
      </w:r>
      <w:r w:rsidR="0063171C" w:rsidRPr="00904FCB">
        <w:rPr>
          <w:rFonts w:ascii="Tahoma" w:hAnsi="Tahoma" w:hint="cs"/>
          <w:sz w:val="27"/>
          <w:rtl/>
          <w:lang w:bidi="fa-IR"/>
        </w:rPr>
        <w:t>َّ</w:t>
      </w:r>
      <w:r w:rsidRPr="00904FCB">
        <w:rPr>
          <w:rFonts w:ascii="Tahoma" w:hAnsi="Tahoma"/>
          <w:sz w:val="27"/>
          <w:rtl/>
          <w:lang w:bidi="fa-IR"/>
        </w:rPr>
        <w:t>رت هذه الأفكار الفلسفية على الخلفية القانونية الأمريكية</w:t>
      </w:r>
      <w:r w:rsidR="0063171C" w:rsidRPr="00904FCB">
        <w:rPr>
          <w:rFonts w:ascii="Tahoma" w:hAnsi="Tahoma" w:hint="cs"/>
          <w:sz w:val="27"/>
          <w:rtl/>
          <w:lang w:bidi="fa-IR"/>
        </w:rPr>
        <w:t>.</w:t>
      </w:r>
      <w:r w:rsidRPr="00904FCB">
        <w:rPr>
          <w:rFonts w:ascii="Tahoma" w:hAnsi="Tahoma"/>
          <w:sz w:val="27"/>
          <w:rtl/>
          <w:lang w:bidi="fa-IR"/>
        </w:rPr>
        <w:t xml:space="preserve"> ويعترف «باوند» بأثر الفلسفة على القانون قائلاً: إن «دخول القانون في نطاق الفلسفة أمر</w:t>
      </w:r>
      <w:r w:rsidR="0063171C" w:rsidRPr="00904FCB">
        <w:rPr>
          <w:rFonts w:ascii="Tahoma" w:hAnsi="Tahoma" w:hint="cs"/>
          <w:sz w:val="27"/>
          <w:rtl/>
          <w:lang w:bidi="fa-IR"/>
        </w:rPr>
        <w:t>ٌ</w:t>
      </w:r>
      <w:r w:rsidRPr="00904FCB">
        <w:rPr>
          <w:rFonts w:ascii="Tahoma" w:hAnsi="Tahoma"/>
          <w:sz w:val="27"/>
          <w:rtl/>
          <w:lang w:bidi="fa-IR"/>
        </w:rPr>
        <w:t xml:space="preserve"> لا</w:t>
      </w:r>
      <w:r w:rsidR="0063171C" w:rsidRPr="00904FCB">
        <w:rPr>
          <w:rFonts w:ascii="Tahoma" w:hAnsi="Tahoma" w:hint="cs"/>
          <w:sz w:val="27"/>
          <w:rtl/>
          <w:lang w:bidi="fa-IR"/>
        </w:rPr>
        <w:t xml:space="preserve"> </w:t>
      </w:r>
      <w:r w:rsidRPr="00904FCB">
        <w:rPr>
          <w:rFonts w:ascii="Tahoma" w:hAnsi="Tahoma"/>
          <w:sz w:val="27"/>
          <w:rtl/>
          <w:lang w:bidi="fa-IR"/>
        </w:rPr>
        <w:t>ب</w:t>
      </w:r>
      <w:r w:rsidR="0063171C" w:rsidRPr="00904FCB">
        <w:rPr>
          <w:rFonts w:ascii="Tahoma" w:hAnsi="Tahoma" w:hint="cs"/>
          <w:sz w:val="27"/>
          <w:rtl/>
          <w:lang w:bidi="fa-IR"/>
        </w:rPr>
        <w:t>ُ</w:t>
      </w:r>
      <w:r w:rsidRPr="00904FCB">
        <w:rPr>
          <w:rFonts w:ascii="Tahoma" w:hAnsi="Tahoma"/>
          <w:sz w:val="27"/>
          <w:rtl/>
          <w:lang w:bidi="fa-IR"/>
        </w:rPr>
        <w:t>د</w:t>
      </w:r>
      <w:r w:rsidR="0063171C" w:rsidRPr="00904FCB">
        <w:rPr>
          <w:rFonts w:ascii="Tahoma" w:hAnsi="Tahoma" w:hint="cs"/>
          <w:sz w:val="27"/>
          <w:rtl/>
          <w:lang w:bidi="fa-IR"/>
        </w:rPr>
        <w:t>َّ</w:t>
      </w:r>
      <w:r w:rsidRPr="00904FCB">
        <w:rPr>
          <w:rFonts w:ascii="Tahoma" w:hAnsi="Tahoma"/>
          <w:sz w:val="27"/>
          <w:rtl/>
          <w:lang w:bidi="fa-IR"/>
        </w:rPr>
        <w:t xml:space="preserve"> منه</w:t>
      </w:r>
      <w:r w:rsidR="0063171C" w:rsidRPr="00904FCB">
        <w:rPr>
          <w:rFonts w:ascii="Tahoma" w:hAnsi="Tahoma" w:hint="cs"/>
          <w:sz w:val="27"/>
          <w:rtl/>
          <w:lang w:bidi="fa-IR"/>
        </w:rPr>
        <w:t>.</w:t>
      </w:r>
      <w:r w:rsidRPr="00904FCB">
        <w:rPr>
          <w:rFonts w:ascii="Tahoma" w:hAnsi="Tahoma"/>
          <w:sz w:val="27"/>
          <w:rtl/>
          <w:lang w:bidi="fa-IR"/>
        </w:rPr>
        <w:t xml:space="preserve"> فالفلسفة كانت سلاحاً هام</w:t>
      </w:r>
      <w:r w:rsidR="0063171C" w:rsidRPr="00904FCB">
        <w:rPr>
          <w:rFonts w:ascii="Tahoma" w:hAnsi="Tahoma" w:hint="cs"/>
          <w:sz w:val="27"/>
          <w:rtl/>
          <w:lang w:bidi="fa-IR"/>
        </w:rPr>
        <w:t>ّ</w:t>
      </w:r>
      <w:r w:rsidRPr="00904FCB">
        <w:rPr>
          <w:rFonts w:ascii="Tahoma" w:hAnsi="Tahoma"/>
          <w:sz w:val="27"/>
          <w:rtl/>
          <w:lang w:bidi="fa-IR"/>
        </w:rPr>
        <w:t>اً في مستودع الأسلحة القانونية، والعصر ملائم</w:t>
      </w:r>
      <w:r w:rsidR="0063171C" w:rsidRPr="00904FCB">
        <w:rPr>
          <w:rFonts w:ascii="Tahoma" w:hAnsi="Tahoma" w:hint="cs"/>
          <w:sz w:val="27"/>
          <w:rtl/>
          <w:lang w:bidi="fa-IR"/>
        </w:rPr>
        <w:t>ٌ</w:t>
      </w:r>
      <w:r w:rsidRPr="00904FCB">
        <w:rPr>
          <w:rFonts w:ascii="Tahoma" w:hAnsi="Tahoma"/>
          <w:sz w:val="27"/>
          <w:rtl/>
          <w:lang w:bidi="fa-IR"/>
        </w:rPr>
        <w:t xml:space="preserve"> لإعادتها إلى مركزها القديم»</w:t>
      </w:r>
      <w:r w:rsidRPr="00904FCB">
        <w:rPr>
          <w:rFonts w:hint="cs"/>
          <w:sz w:val="27"/>
          <w:vertAlign w:val="superscript"/>
          <w:rtl/>
        </w:rPr>
        <w:t>(</w:t>
      </w:r>
      <w:r w:rsidRPr="00904FCB">
        <w:rPr>
          <w:rStyle w:val="ac"/>
          <w:sz w:val="27"/>
          <w:rtl/>
        </w:rPr>
        <w:endnoteReference w:id="263"/>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وبالفعل نجد أن الفلسفة البر</w:t>
      </w:r>
      <w:r w:rsidR="0063171C" w:rsidRPr="00904FCB">
        <w:rPr>
          <w:rFonts w:ascii="Tahoma" w:hAnsi="Tahoma" w:hint="cs"/>
          <w:sz w:val="27"/>
          <w:rtl/>
          <w:lang w:bidi="fa-IR"/>
        </w:rPr>
        <w:t>اغ</w:t>
      </w:r>
      <w:r w:rsidRPr="00904FCB">
        <w:rPr>
          <w:rFonts w:ascii="Tahoma" w:hAnsi="Tahoma"/>
          <w:sz w:val="27"/>
          <w:rtl/>
          <w:lang w:bidi="fa-IR"/>
        </w:rPr>
        <w:t>ماتية قد ترك</w:t>
      </w:r>
      <w:r w:rsidR="0063171C" w:rsidRPr="00904FCB">
        <w:rPr>
          <w:rFonts w:ascii="Tahoma" w:hAnsi="Tahoma" w:hint="cs"/>
          <w:sz w:val="27"/>
          <w:rtl/>
          <w:lang w:bidi="fa-IR"/>
        </w:rPr>
        <w:t>َ</w:t>
      </w:r>
      <w:r w:rsidRPr="00904FCB">
        <w:rPr>
          <w:rFonts w:ascii="Tahoma" w:hAnsi="Tahoma"/>
          <w:sz w:val="27"/>
          <w:rtl/>
          <w:lang w:bidi="fa-IR"/>
        </w:rPr>
        <w:t>ت</w:t>
      </w:r>
      <w:r w:rsidR="0063171C" w:rsidRPr="00904FCB">
        <w:rPr>
          <w:rFonts w:ascii="Tahoma" w:hAnsi="Tahoma" w:hint="cs"/>
          <w:sz w:val="27"/>
          <w:rtl/>
          <w:lang w:bidi="fa-IR"/>
        </w:rPr>
        <w:t>ْ</w:t>
      </w:r>
      <w:r w:rsidRPr="00904FCB">
        <w:rPr>
          <w:rFonts w:ascii="Tahoma" w:hAnsi="Tahoma"/>
          <w:sz w:val="27"/>
          <w:rtl/>
          <w:lang w:bidi="fa-IR"/>
        </w:rPr>
        <w:t xml:space="preserve"> بصماتها على العديد من التيارات القانونية في أمريكا، سواء</w:t>
      </w:r>
      <w:r w:rsidR="0063171C" w:rsidRPr="00904FCB">
        <w:rPr>
          <w:rFonts w:ascii="Tahoma" w:hAnsi="Tahoma" w:hint="cs"/>
          <w:sz w:val="27"/>
          <w:rtl/>
          <w:lang w:bidi="fa-IR"/>
        </w:rPr>
        <w:t>ٌ</w:t>
      </w:r>
      <w:r w:rsidRPr="00904FCB">
        <w:rPr>
          <w:rFonts w:ascii="Tahoma" w:hAnsi="Tahoma"/>
          <w:sz w:val="27"/>
          <w:rtl/>
          <w:lang w:bidi="fa-IR"/>
        </w:rPr>
        <w:t xml:space="preserve"> لأناس ات</w:t>
      </w:r>
      <w:r w:rsidR="0063171C" w:rsidRPr="00904FCB">
        <w:rPr>
          <w:rFonts w:ascii="Tahoma" w:hAnsi="Tahoma" w:hint="cs"/>
          <w:sz w:val="27"/>
          <w:rtl/>
          <w:lang w:bidi="fa-IR"/>
        </w:rPr>
        <w:t>َّ</w:t>
      </w:r>
      <w:r w:rsidRPr="00904FCB">
        <w:rPr>
          <w:rFonts w:ascii="Tahoma" w:hAnsi="Tahoma"/>
          <w:sz w:val="27"/>
          <w:rtl/>
          <w:lang w:bidi="fa-IR"/>
        </w:rPr>
        <w:t>فقت مفاهيمهم القانونية</w:t>
      </w:r>
      <w:r w:rsidR="0063171C" w:rsidRPr="00904FCB">
        <w:rPr>
          <w:rFonts w:ascii="Tahoma" w:hAnsi="Tahoma" w:hint="cs"/>
          <w:sz w:val="27"/>
          <w:rtl/>
          <w:lang w:bidi="fa-IR"/>
        </w:rPr>
        <w:t>،</w:t>
      </w:r>
      <w:r w:rsidRPr="00904FCB">
        <w:rPr>
          <w:rFonts w:ascii="Tahoma" w:hAnsi="Tahoma"/>
          <w:sz w:val="27"/>
          <w:rtl/>
          <w:lang w:bidi="fa-IR"/>
        </w:rPr>
        <w:t xml:space="preserve"> وتطابقت مناهجهم</w:t>
      </w:r>
      <w:r w:rsidR="0063171C" w:rsidRPr="00904FCB">
        <w:rPr>
          <w:rFonts w:ascii="Tahoma" w:hAnsi="Tahoma" w:hint="cs"/>
          <w:sz w:val="27"/>
          <w:rtl/>
          <w:lang w:bidi="fa-IR"/>
        </w:rPr>
        <w:t>،</w:t>
      </w:r>
      <w:r w:rsidRPr="00904FCB">
        <w:rPr>
          <w:rFonts w:ascii="Tahoma" w:hAnsi="Tahoma"/>
          <w:sz w:val="27"/>
          <w:rtl/>
          <w:lang w:bidi="fa-IR"/>
        </w:rPr>
        <w:t xml:space="preserve"> وانتظموا في مدرسة</w:t>
      </w:r>
      <w:r w:rsidR="0063171C" w:rsidRPr="00904FCB">
        <w:rPr>
          <w:rFonts w:ascii="Tahoma" w:hAnsi="Tahoma" w:hint="cs"/>
          <w:sz w:val="27"/>
          <w:rtl/>
          <w:lang w:bidi="fa-IR"/>
        </w:rPr>
        <w:t>ٍ</w:t>
      </w:r>
      <w:r w:rsidRPr="00904FCB">
        <w:rPr>
          <w:rFonts w:ascii="Tahoma" w:hAnsi="Tahoma"/>
          <w:sz w:val="27"/>
          <w:rtl/>
          <w:lang w:bidi="fa-IR"/>
        </w:rPr>
        <w:t xml:space="preserve"> واحدة، كما هو الحال بالنسبة </w:t>
      </w:r>
      <w:r w:rsidR="0063171C" w:rsidRPr="00904FCB">
        <w:rPr>
          <w:rFonts w:ascii="Tahoma" w:hAnsi="Tahoma" w:hint="cs"/>
          <w:sz w:val="27"/>
          <w:rtl/>
          <w:lang w:bidi="fa-IR"/>
        </w:rPr>
        <w:t xml:space="preserve">إلى </w:t>
      </w:r>
      <w:r w:rsidRPr="00904FCB">
        <w:rPr>
          <w:rFonts w:ascii="Tahoma" w:hAnsi="Tahoma"/>
          <w:sz w:val="27"/>
          <w:rtl/>
          <w:lang w:bidi="fa-IR"/>
        </w:rPr>
        <w:t>مدرسة الفقه القانوني الاجتماعي الأمريكي</w:t>
      </w:r>
      <w:r w:rsidR="0063171C" w:rsidRPr="00904FCB">
        <w:rPr>
          <w:rFonts w:ascii="Tahoma" w:hAnsi="Tahoma" w:hint="cs"/>
          <w:sz w:val="27"/>
          <w:rtl/>
          <w:lang w:bidi="fa-IR"/>
        </w:rPr>
        <w:t>،</w:t>
      </w:r>
      <w:r w:rsidRPr="00904FCB">
        <w:rPr>
          <w:rFonts w:ascii="Tahoma" w:hAnsi="Tahoma"/>
          <w:sz w:val="27"/>
          <w:rtl/>
          <w:lang w:bidi="fa-IR"/>
        </w:rPr>
        <w:t xml:space="preserve"> بقيادة العميد «روسكو باوند»</w:t>
      </w:r>
      <w:r w:rsidR="0063171C" w:rsidRPr="00904FCB">
        <w:rPr>
          <w:rFonts w:ascii="Tahoma" w:hAnsi="Tahoma" w:hint="cs"/>
          <w:sz w:val="27"/>
          <w:rtl/>
          <w:lang w:bidi="fa-IR"/>
        </w:rPr>
        <w:t>،</w:t>
      </w:r>
      <w:r w:rsidRPr="00904FCB">
        <w:rPr>
          <w:rFonts w:ascii="Tahoma" w:hAnsi="Tahoma"/>
          <w:sz w:val="27"/>
          <w:rtl/>
          <w:lang w:bidi="fa-IR"/>
        </w:rPr>
        <w:t xml:space="preserve"> أم كانت من أناس جمعت بينهم بعض المفاهيم</w:t>
      </w:r>
      <w:r w:rsidR="0063171C" w:rsidRPr="00904FCB">
        <w:rPr>
          <w:rFonts w:ascii="Tahoma" w:hAnsi="Tahoma" w:hint="cs"/>
          <w:sz w:val="27"/>
          <w:rtl/>
          <w:lang w:bidi="fa-IR"/>
        </w:rPr>
        <w:t>،</w:t>
      </w:r>
      <w:r w:rsidRPr="00904FCB">
        <w:rPr>
          <w:rFonts w:ascii="Tahoma" w:hAnsi="Tahoma"/>
          <w:sz w:val="27"/>
          <w:rtl/>
          <w:lang w:bidi="fa-IR"/>
        </w:rPr>
        <w:t xml:space="preserve"> وأثارتهم بعض الأخطاء والنواقص في النظام القضائي</w:t>
      </w:r>
      <w:r w:rsidR="0063171C" w:rsidRPr="00904FCB">
        <w:rPr>
          <w:rFonts w:ascii="Tahoma" w:hAnsi="Tahoma" w:hint="cs"/>
          <w:sz w:val="27"/>
          <w:rtl/>
          <w:lang w:bidi="fa-IR"/>
        </w:rPr>
        <w:t>،</w:t>
      </w:r>
      <w:r w:rsidRPr="00904FCB">
        <w:rPr>
          <w:rFonts w:ascii="Tahoma" w:hAnsi="Tahoma"/>
          <w:sz w:val="27"/>
          <w:rtl/>
          <w:lang w:bidi="fa-IR"/>
        </w:rPr>
        <w:t xml:space="preserve"> دون أن يشك</w:t>
      </w:r>
      <w:r w:rsidR="0063171C" w:rsidRPr="00904FCB">
        <w:rPr>
          <w:rFonts w:ascii="Tahoma" w:hAnsi="Tahoma" w:hint="cs"/>
          <w:sz w:val="27"/>
          <w:rtl/>
          <w:lang w:bidi="fa-IR"/>
        </w:rPr>
        <w:t>ِّ</w:t>
      </w:r>
      <w:r w:rsidRPr="00904FCB">
        <w:rPr>
          <w:rFonts w:ascii="Tahoma" w:hAnsi="Tahoma"/>
          <w:sz w:val="27"/>
          <w:rtl/>
          <w:lang w:bidi="fa-IR"/>
        </w:rPr>
        <w:t xml:space="preserve">لوا مدرسة واحدة.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ومن الحق</w:t>
      </w:r>
      <w:r w:rsidR="0063171C" w:rsidRPr="00904FCB">
        <w:rPr>
          <w:rFonts w:ascii="Tahoma" w:hAnsi="Tahoma" w:hint="cs"/>
          <w:sz w:val="27"/>
          <w:rtl/>
          <w:lang w:bidi="fa-IR"/>
        </w:rPr>
        <w:t>ّ</w:t>
      </w:r>
      <w:r w:rsidRPr="00904FCB">
        <w:rPr>
          <w:rFonts w:ascii="Tahoma" w:hAnsi="Tahoma"/>
          <w:sz w:val="27"/>
          <w:rtl/>
          <w:lang w:bidi="fa-IR"/>
        </w:rPr>
        <w:t xml:space="preserve"> الثابت أن كثيراً من الفقهاء القانونيين الأمريكيين الذين لم يت</w:t>
      </w:r>
      <w:r w:rsidR="0063171C" w:rsidRPr="00904FCB">
        <w:rPr>
          <w:rFonts w:ascii="Tahoma" w:hAnsi="Tahoma" w:hint="cs"/>
          <w:sz w:val="27"/>
          <w:rtl/>
          <w:lang w:bidi="fa-IR"/>
        </w:rPr>
        <w:t>َّ</w:t>
      </w:r>
      <w:r w:rsidRPr="00904FCB">
        <w:rPr>
          <w:rFonts w:ascii="Tahoma" w:hAnsi="Tahoma"/>
          <w:sz w:val="27"/>
          <w:rtl/>
          <w:lang w:bidi="fa-IR"/>
        </w:rPr>
        <w:t>بعوا مدرسة</w:t>
      </w:r>
      <w:r w:rsidR="0063171C" w:rsidRPr="00904FCB">
        <w:rPr>
          <w:rFonts w:ascii="Tahoma" w:hAnsi="Tahoma" w:hint="cs"/>
          <w:sz w:val="27"/>
          <w:rtl/>
          <w:lang w:bidi="fa-IR"/>
        </w:rPr>
        <w:t>ً،</w:t>
      </w:r>
      <w:r w:rsidRPr="00904FCB">
        <w:rPr>
          <w:rFonts w:ascii="Tahoma" w:hAnsi="Tahoma"/>
          <w:sz w:val="27"/>
          <w:rtl/>
          <w:lang w:bidi="fa-IR"/>
        </w:rPr>
        <w:t xml:space="preserve"> ولم يتوح</w:t>
      </w:r>
      <w:r w:rsidR="0063171C" w:rsidRPr="00904FCB">
        <w:rPr>
          <w:rFonts w:ascii="Tahoma" w:hAnsi="Tahoma" w:hint="cs"/>
          <w:sz w:val="27"/>
          <w:rtl/>
          <w:lang w:bidi="fa-IR"/>
        </w:rPr>
        <w:t>َّ</w:t>
      </w:r>
      <w:r w:rsidRPr="00904FCB">
        <w:rPr>
          <w:rFonts w:ascii="Tahoma" w:hAnsi="Tahoma"/>
          <w:sz w:val="27"/>
          <w:rtl/>
          <w:lang w:bidi="fa-IR"/>
        </w:rPr>
        <w:t>دوا في منهج</w:t>
      </w:r>
      <w:r w:rsidR="0063171C" w:rsidRPr="00904FCB">
        <w:rPr>
          <w:rFonts w:ascii="Tahoma" w:hAnsi="Tahoma" w:hint="cs"/>
          <w:sz w:val="27"/>
          <w:rtl/>
          <w:lang w:bidi="fa-IR"/>
        </w:rPr>
        <w:t>ٍ</w:t>
      </w:r>
      <w:r w:rsidRPr="00904FCB">
        <w:rPr>
          <w:rFonts w:ascii="Tahoma" w:hAnsi="Tahoma"/>
          <w:sz w:val="27"/>
          <w:rtl/>
          <w:lang w:bidi="fa-IR"/>
        </w:rPr>
        <w:t xml:space="preserve"> واحد</w:t>
      </w:r>
      <w:r w:rsidR="0063171C" w:rsidRPr="00904FCB">
        <w:rPr>
          <w:rFonts w:ascii="Tahoma" w:hAnsi="Tahoma" w:hint="cs"/>
          <w:sz w:val="27"/>
          <w:rtl/>
          <w:lang w:bidi="fa-IR"/>
        </w:rPr>
        <w:t>،</w:t>
      </w:r>
      <w:r w:rsidRPr="00904FCB">
        <w:rPr>
          <w:rFonts w:ascii="Tahoma" w:hAnsi="Tahoma"/>
          <w:sz w:val="27"/>
          <w:rtl/>
          <w:lang w:bidi="fa-IR"/>
        </w:rPr>
        <w:t xml:space="preserve"> قد تأث</w:t>
      </w:r>
      <w:r w:rsidR="0063171C" w:rsidRPr="00904FCB">
        <w:rPr>
          <w:rFonts w:ascii="Tahoma" w:hAnsi="Tahoma" w:hint="cs"/>
          <w:sz w:val="27"/>
          <w:rtl/>
          <w:lang w:bidi="fa-IR"/>
        </w:rPr>
        <w:t>َّ</w:t>
      </w:r>
      <w:r w:rsidRPr="00904FCB">
        <w:rPr>
          <w:rFonts w:ascii="Tahoma" w:hAnsi="Tahoma"/>
          <w:sz w:val="27"/>
          <w:rtl/>
          <w:lang w:bidi="fa-IR"/>
        </w:rPr>
        <w:t>روا إلى حد</w:t>
      </w:r>
      <w:r w:rsidR="0063171C" w:rsidRPr="00904FCB">
        <w:rPr>
          <w:rFonts w:ascii="Tahoma" w:hAnsi="Tahoma" w:hint="cs"/>
          <w:sz w:val="27"/>
          <w:rtl/>
          <w:lang w:bidi="fa-IR"/>
        </w:rPr>
        <w:t>ٍّ</w:t>
      </w:r>
      <w:r w:rsidRPr="00904FCB">
        <w:rPr>
          <w:rFonts w:ascii="Tahoma" w:hAnsi="Tahoma"/>
          <w:sz w:val="27"/>
          <w:rtl/>
          <w:lang w:bidi="fa-IR"/>
        </w:rPr>
        <w:t xml:space="preserve"> كبير بالمنهج البر</w:t>
      </w:r>
      <w:r w:rsidR="0063171C" w:rsidRPr="00904FCB">
        <w:rPr>
          <w:rFonts w:ascii="Tahoma" w:hAnsi="Tahoma" w:hint="cs"/>
          <w:sz w:val="27"/>
          <w:rtl/>
          <w:lang w:bidi="fa-IR"/>
        </w:rPr>
        <w:t>اغ</w:t>
      </w:r>
      <w:r w:rsidRPr="00904FCB">
        <w:rPr>
          <w:rFonts w:ascii="Tahoma" w:hAnsi="Tahoma"/>
          <w:sz w:val="27"/>
          <w:rtl/>
          <w:lang w:bidi="fa-IR"/>
        </w:rPr>
        <w:t>ماتي، واستفادوا منه، حت</w:t>
      </w:r>
      <w:r w:rsidR="0063171C" w:rsidRPr="00904FCB">
        <w:rPr>
          <w:rFonts w:ascii="Tahoma" w:hAnsi="Tahoma" w:hint="cs"/>
          <w:sz w:val="27"/>
          <w:rtl/>
          <w:lang w:bidi="fa-IR"/>
        </w:rPr>
        <w:t>ّ</w:t>
      </w:r>
      <w:r w:rsidRPr="00904FCB">
        <w:rPr>
          <w:rFonts w:ascii="Tahoma" w:hAnsi="Tahoma"/>
          <w:sz w:val="27"/>
          <w:rtl/>
          <w:lang w:bidi="fa-IR"/>
        </w:rPr>
        <w:t>ى وإن</w:t>
      </w:r>
      <w:r w:rsidR="0063171C" w:rsidRPr="00904FCB">
        <w:rPr>
          <w:rFonts w:ascii="Tahoma" w:hAnsi="Tahoma" w:hint="cs"/>
          <w:sz w:val="27"/>
          <w:rtl/>
          <w:lang w:bidi="fa-IR"/>
        </w:rPr>
        <w:t>ْ</w:t>
      </w:r>
      <w:r w:rsidRPr="00904FCB">
        <w:rPr>
          <w:rFonts w:ascii="Tahoma" w:hAnsi="Tahoma"/>
          <w:sz w:val="27"/>
          <w:rtl/>
          <w:lang w:bidi="fa-IR"/>
        </w:rPr>
        <w:t xml:space="preserve"> لم يصر</w:t>
      </w:r>
      <w:r w:rsidR="0063171C" w:rsidRPr="00904FCB">
        <w:rPr>
          <w:rFonts w:ascii="Tahoma" w:hAnsi="Tahoma" w:hint="cs"/>
          <w:sz w:val="27"/>
          <w:rtl/>
          <w:lang w:bidi="fa-IR"/>
        </w:rPr>
        <w:t>ِّ</w:t>
      </w:r>
      <w:r w:rsidRPr="00904FCB">
        <w:rPr>
          <w:rFonts w:ascii="Tahoma" w:hAnsi="Tahoma"/>
          <w:sz w:val="27"/>
          <w:rtl/>
          <w:lang w:bidi="fa-IR"/>
        </w:rPr>
        <w:t>حوا بذلك</w:t>
      </w:r>
      <w:r w:rsidRPr="00904FCB">
        <w:rPr>
          <w:rFonts w:hint="cs"/>
          <w:sz w:val="27"/>
          <w:vertAlign w:val="superscript"/>
          <w:rtl/>
        </w:rPr>
        <w:t>(</w:t>
      </w:r>
      <w:r w:rsidRPr="00904FCB">
        <w:rPr>
          <w:rStyle w:val="ac"/>
          <w:sz w:val="27"/>
          <w:rtl/>
        </w:rPr>
        <w:endnoteReference w:id="264"/>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فقد ات</w:t>
      </w:r>
      <w:r w:rsidR="0063171C" w:rsidRPr="00904FCB">
        <w:rPr>
          <w:rFonts w:ascii="Tahoma" w:hAnsi="Tahoma" w:hint="cs"/>
          <w:sz w:val="27"/>
          <w:rtl/>
          <w:lang w:bidi="fa-IR"/>
        </w:rPr>
        <w:t>ّ</w:t>
      </w:r>
      <w:r w:rsidRPr="00904FCB">
        <w:rPr>
          <w:rFonts w:ascii="Tahoma" w:hAnsi="Tahoma"/>
          <w:sz w:val="27"/>
          <w:rtl/>
          <w:lang w:bidi="fa-IR"/>
        </w:rPr>
        <w:t>فق رجال القانون ـ حينئذ</w:t>
      </w:r>
      <w:r w:rsidR="0063171C" w:rsidRPr="00904FCB">
        <w:rPr>
          <w:rFonts w:ascii="Tahoma" w:hAnsi="Tahoma" w:hint="cs"/>
          <w:sz w:val="27"/>
          <w:rtl/>
          <w:lang w:bidi="fa-IR"/>
        </w:rPr>
        <w:t>ٍ،</w:t>
      </w:r>
      <w:r w:rsidRPr="00904FCB">
        <w:rPr>
          <w:rFonts w:ascii="Tahoma" w:hAnsi="Tahoma"/>
          <w:sz w:val="27"/>
          <w:rtl/>
          <w:lang w:bidi="fa-IR"/>
        </w:rPr>
        <w:t xml:space="preserve"> </w:t>
      </w:r>
      <w:r w:rsidR="0063171C" w:rsidRPr="00904FCB">
        <w:rPr>
          <w:rFonts w:ascii="Tahoma" w:hAnsi="Tahoma" w:hint="cs"/>
          <w:sz w:val="27"/>
          <w:rtl/>
          <w:lang w:bidi="fa-IR"/>
        </w:rPr>
        <w:t>و</w:t>
      </w:r>
      <w:r w:rsidRPr="00904FCB">
        <w:rPr>
          <w:rFonts w:ascii="Tahoma" w:hAnsi="Tahoma"/>
          <w:sz w:val="27"/>
          <w:rtl/>
          <w:lang w:bidi="fa-IR"/>
        </w:rPr>
        <w:t>على الرغم من اختلافهم ـ على أهم</w:t>
      </w:r>
      <w:r w:rsidR="0063171C" w:rsidRPr="00904FCB">
        <w:rPr>
          <w:rFonts w:ascii="Tahoma" w:hAnsi="Tahoma" w:hint="cs"/>
          <w:sz w:val="27"/>
          <w:rtl/>
          <w:lang w:bidi="fa-IR"/>
        </w:rPr>
        <w:t>ّ</w:t>
      </w:r>
      <w:r w:rsidRPr="00904FCB">
        <w:rPr>
          <w:rFonts w:ascii="Tahoma" w:hAnsi="Tahoma"/>
          <w:sz w:val="27"/>
          <w:rtl/>
          <w:lang w:bidi="fa-IR"/>
        </w:rPr>
        <w:t>ي</w:t>
      </w:r>
      <w:r w:rsidR="00285EAD" w:rsidRPr="00904FCB">
        <w:rPr>
          <w:rFonts w:ascii="Tahoma" w:hAnsi="Tahoma" w:hint="cs"/>
          <w:sz w:val="27"/>
          <w:rtl/>
          <w:lang w:bidi="fa-IR"/>
        </w:rPr>
        <w:t>ّ</w:t>
      </w:r>
      <w:r w:rsidRPr="00904FCB">
        <w:rPr>
          <w:rFonts w:ascii="Tahoma" w:hAnsi="Tahoma"/>
          <w:sz w:val="27"/>
          <w:rtl/>
          <w:lang w:bidi="fa-IR"/>
        </w:rPr>
        <w:t>ة النظر إلى الجانب الوظيفي والعملي</w:t>
      </w:r>
      <w:r w:rsidRPr="00904FCB">
        <w:rPr>
          <w:rFonts w:hint="cs"/>
          <w:sz w:val="27"/>
          <w:vertAlign w:val="superscript"/>
          <w:rtl/>
        </w:rPr>
        <w:t>(</w:t>
      </w:r>
      <w:r w:rsidRPr="00904FCB">
        <w:rPr>
          <w:rStyle w:val="ac"/>
          <w:sz w:val="27"/>
          <w:rtl/>
        </w:rPr>
        <w:endnoteReference w:id="265"/>
      </w:r>
      <w:r w:rsidRPr="00904FCB">
        <w:rPr>
          <w:rFonts w:hint="cs"/>
          <w:sz w:val="27"/>
          <w:vertAlign w:val="superscript"/>
          <w:rtl/>
        </w:rPr>
        <w:t>)</w:t>
      </w:r>
      <w:r w:rsidRPr="00904FCB">
        <w:rPr>
          <w:rFonts w:ascii="Tahoma" w:hAnsi="Tahoma" w:hint="cs"/>
          <w:sz w:val="27"/>
          <w:rtl/>
          <w:lang w:bidi="fa-IR"/>
        </w:rPr>
        <w:t xml:space="preserve"> </w:t>
      </w:r>
      <w:r w:rsidRPr="00904FCB">
        <w:rPr>
          <w:rFonts w:ascii="Tahoma" w:hAnsi="Tahoma"/>
          <w:sz w:val="27"/>
          <w:rtl/>
          <w:lang w:bidi="fa-IR"/>
        </w:rPr>
        <w:t>من القانون</w:t>
      </w:r>
      <w:r w:rsidR="00285EAD" w:rsidRPr="00904FCB">
        <w:rPr>
          <w:rFonts w:ascii="Tahoma" w:hAnsi="Tahoma" w:hint="cs"/>
          <w:sz w:val="27"/>
          <w:rtl/>
          <w:lang w:bidi="fa-IR"/>
        </w:rPr>
        <w:t>،</w:t>
      </w:r>
      <w:r w:rsidRPr="00904FCB">
        <w:rPr>
          <w:rFonts w:ascii="Tahoma" w:hAnsi="Tahoma"/>
          <w:sz w:val="27"/>
          <w:rtl/>
          <w:lang w:bidi="fa-IR"/>
        </w:rPr>
        <w:t xml:space="preserve"> أكثر من البحث عن الجانب النظري المجر</w:t>
      </w:r>
      <w:r w:rsidR="00285EAD" w:rsidRPr="00904FCB">
        <w:rPr>
          <w:rFonts w:ascii="Tahoma" w:hAnsi="Tahoma" w:hint="cs"/>
          <w:sz w:val="27"/>
          <w:rtl/>
          <w:lang w:bidi="fa-IR"/>
        </w:rPr>
        <w:t>ّ</w:t>
      </w:r>
      <w:r w:rsidRPr="00904FCB">
        <w:rPr>
          <w:rFonts w:ascii="Tahoma" w:hAnsi="Tahoma"/>
          <w:sz w:val="27"/>
          <w:rtl/>
          <w:lang w:bidi="fa-IR"/>
        </w:rPr>
        <w:t>د. فالقانون لا يعدو أكثر من كونه «أداة</w:t>
      </w:r>
      <w:r w:rsidR="00285EAD" w:rsidRPr="00904FCB">
        <w:rPr>
          <w:rFonts w:ascii="Tahoma" w:hAnsi="Tahoma" w:hint="cs"/>
          <w:sz w:val="27"/>
          <w:rtl/>
          <w:lang w:bidi="fa-IR"/>
        </w:rPr>
        <w:t>ً</w:t>
      </w:r>
      <w:r w:rsidRPr="00904FCB">
        <w:rPr>
          <w:rFonts w:ascii="Tahoma" w:hAnsi="Tahoma"/>
          <w:sz w:val="27"/>
          <w:rtl/>
          <w:lang w:bidi="fa-IR"/>
        </w:rPr>
        <w:t xml:space="preserve"> بشرية لضبط الرغبات المتنازعة</w:t>
      </w:r>
      <w:r w:rsidR="00D4627C" w:rsidRPr="00904FCB">
        <w:rPr>
          <w:rFonts w:ascii="Tahoma" w:hAnsi="Tahoma" w:hint="cs"/>
          <w:sz w:val="27"/>
          <w:rtl/>
          <w:lang w:bidi="fa-IR"/>
        </w:rPr>
        <w:t>؛</w:t>
      </w:r>
      <w:r w:rsidRPr="00904FCB">
        <w:rPr>
          <w:rFonts w:ascii="Tahoma" w:hAnsi="Tahoma"/>
          <w:sz w:val="27"/>
          <w:rtl/>
          <w:lang w:bidi="fa-IR"/>
        </w:rPr>
        <w:t xml:space="preserve"> للكفاح من أجل البقاء</w:t>
      </w:r>
      <w:r w:rsidRPr="00904FCB">
        <w:rPr>
          <w:rFonts w:hint="eastAsia"/>
          <w:sz w:val="27"/>
          <w:rtl/>
        </w:rPr>
        <w:t>»</w:t>
      </w:r>
      <w:r w:rsidRPr="00904FCB">
        <w:rPr>
          <w:rFonts w:ascii="Tahoma" w:hAnsi="Tahoma"/>
          <w:sz w:val="27"/>
          <w:rtl/>
          <w:lang w:bidi="fa-IR"/>
        </w:rPr>
        <w:t xml:space="preserve">. </w:t>
      </w:r>
    </w:p>
    <w:p w:rsidR="00644408" w:rsidRPr="00904FCB" w:rsidRDefault="00644408" w:rsidP="00E247AB">
      <w:pPr>
        <w:autoSpaceDE w:val="0"/>
        <w:autoSpaceDN w:val="0"/>
        <w:adjustRightInd w:val="0"/>
        <w:spacing w:line="400" w:lineRule="exact"/>
        <w:rPr>
          <w:rFonts w:ascii="Tahoma" w:hAnsi="Tahoma"/>
          <w:sz w:val="27"/>
          <w:lang w:bidi="fa-IR"/>
        </w:rPr>
      </w:pPr>
      <w:r w:rsidRPr="00904FCB">
        <w:rPr>
          <w:rFonts w:ascii="Tahoma" w:hAnsi="Tahoma"/>
          <w:sz w:val="27"/>
          <w:rtl/>
          <w:lang w:bidi="fa-IR"/>
        </w:rPr>
        <w:t>ويت</w:t>
      </w:r>
      <w:r w:rsidR="00D4627C" w:rsidRPr="00904FCB">
        <w:rPr>
          <w:rFonts w:ascii="Tahoma" w:hAnsi="Tahoma" w:hint="cs"/>
          <w:sz w:val="27"/>
          <w:rtl/>
          <w:lang w:bidi="fa-IR"/>
        </w:rPr>
        <w:t>ّ</w:t>
      </w:r>
      <w:r w:rsidRPr="00904FCB">
        <w:rPr>
          <w:rFonts w:ascii="Tahoma" w:hAnsi="Tahoma"/>
          <w:sz w:val="27"/>
          <w:rtl/>
          <w:lang w:bidi="fa-IR"/>
        </w:rPr>
        <w:t>ضح أثر الدار</w:t>
      </w:r>
      <w:r w:rsidR="00E247AB">
        <w:rPr>
          <w:rFonts w:ascii="Tahoma" w:hAnsi="Tahoma" w:hint="cs"/>
          <w:sz w:val="27"/>
          <w:rtl/>
          <w:lang w:bidi="fa-IR"/>
        </w:rPr>
        <w:t>ْوِ</w:t>
      </w:r>
      <w:r w:rsidRPr="00904FCB">
        <w:rPr>
          <w:rFonts w:ascii="Tahoma" w:hAnsi="Tahoma"/>
          <w:sz w:val="27"/>
          <w:rtl/>
          <w:lang w:bidi="fa-IR"/>
        </w:rPr>
        <w:t>نية والبر</w:t>
      </w:r>
      <w:r w:rsidR="00D4627C" w:rsidRPr="00904FCB">
        <w:rPr>
          <w:rFonts w:ascii="Tahoma" w:hAnsi="Tahoma" w:hint="cs"/>
          <w:sz w:val="27"/>
          <w:rtl/>
          <w:lang w:bidi="fa-IR"/>
        </w:rPr>
        <w:t>اغ</w:t>
      </w:r>
      <w:r w:rsidRPr="00904FCB">
        <w:rPr>
          <w:rFonts w:ascii="Tahoma" w:hAnsi="Tahoma"/>
          <w:sz w:val="27"/>
          <w:rtl/>
          <w:lang w:bidi="fa-IR"/>
        </w:rPr>
        <w:t>ماتية على القانون في قو</w:t>
      </w:r>
      <w:r w:rsidR="00E247AB">
        <w:rPr>
          <w:rFonts w:ascii="Tahoma" w:hAnsi="Tahoma"/>
          <w:sz w:val="27"/>
          <w:rtl/>
          <w:lang w:bidi="fa-IR"/>
        </w:rPr>
        <w:t>ل القانوني «أوليفر ويندل هولمز»</w:t>
      </w:r>
      <w:r w:rsidRPr="00904FCB">
        <w:rPr>
          <w:rFonts w:ascii="Tahoma" w:hAnsi="Tahoma"/>
          <w:sz w:val="27"/>
          <w:rtl/>
          <w:lang w:bidi="fa-IR"/>
        </w:rPr>
        <w:t>(</w:t>
      </w:r>
      <w:r w:rsidRPr="00DB2AFA">
        <w:rPr>
          <w:rFonts w:ascii="Tahoma" w:hAnsi="Tahoma" w:hint="cs"/>
          <w:sz w:val="27"/>
          <w:rtl/>
          <w:lang w:bidi="ar-LB"/>
        </w:rPr>
        <w:t>1841</w:t>
      </w:r>
      <w:r w:rsidRPr="00904FCB">
        <w:rPr>
          <w:rFonts w:ascii="Tahoma" w:hAnsi="Tahoma"/>
          <w:sz w:val="27"/>
          <w:rtl/>
          <w:lang w:bidi="fa-IR"/>
        </w:rPr>
        <w:t xml:space="preserve"> ـ </w:t>
      </w:r>
      <w:r w:rsidRPr="00DB2AFA">
        <w:rPr>
          <w:rFonts w:ascii="Tahoma" w:hAnsi="Tahoma" w:hint="cs"/>
          <w:sz w:val="27"/>
          <w:rtl/>
          <w:lang w:bidi="ar-LB"/>
        </w:rPr>
        <w:t>1935</w:t>
      </w:r>
      <w:r w:rsidRPr="00904FCB">
        <w:rPr>
          <w:rFonts w:ascii="Tahoma" w:hAnsi="Tahoma"/>
          <w:sz w:val="27"/>
          <w:rtl/>
          <w:lang w:bidi="fa-IR"/>
        </w:rPr>
        <w:t>): إن القانون يجب أن يعكس قصة تطو</w:t>
      </w:r>
      <w:r w:rsidR="00D4627C" w:rsidRPr="00904FCB">
        <w:rPr>
          <w:rFonts w:ascii="Tahoma" w:hAnsi="Tahoma" w:hint="cs"/>
          <w:sz w:val="27"/>
          <w:rtl/>
          <w:lang w:bidi="fa-IR"/>
        </w:rPr>
        <w:t>ُّ</w:t>
      </w:r>
      <w:r w:rsidRPr="00904FCB">
        <w:rPr>
          <w:rFonts w:ascii="Tahoma" w:hAnsi="Tahoma"/>
          <w:sz w:val="27"/>
          <w:rtl/>
          <w:lang w:bidi="fa-IR"/>
        </w:rPr>
        <w:t>ر الأم</w:t>
      </w:r>
      <w:r w:rsidR="00D4627C" w:rsidRPr="00904FCB">
        <w:rPr>
          <w:rFonts w:ascii="Tahoma" w:hAnsi="Tahoma" w:hint="cs"/>
          <w:sz w:val="27"/>
          <w:rtl/>
          <w:lang w:bidi="fa-IR"/>
        </w:rPr>
        <w:t>ّ</w:t>
      </w:r>
      <w:r w:rsidRPr="00904FCB">
        <w:rPr>
          <w:rFonts w:ascii="Tahoma" w:hAnsi="Tahoma"/>
          <w:sz w:val="27"/>
          <w:rtl/>
          <w:lang w:bidi="fa-IR"/>
        </w:rPr>
        <w:t>ة عبر القرون، ولا يمكن معالجته كما لو كان يحتوي على مبادئ في علم الرياضيات</w:t>
      </w:r>
      <w:r w:rsidR="00D4627C" w:rsidRPr="00904FCB">
        <w:rPr>
          <w:rFonts w:ascii="Tahoma" w:hAnsi="Tahoma" w:hint="cs"/>
          <w:sz w:val="27"/>
          <w:rtl/>
          <w:lang w:bidi="fa-IR"/>
        </w:rPr>
        <w:t>.</w:t>
      </w:r>
      <w:r w:rsidRPr="00904FCB">
        <w:rPr>
          <w:rFonts w:ascii="Tahoma" w:hAnsi="Tahoma"/>
          <w:sz w:val="27"/>
          <w:rtl/>
          <w:lang w:bidi="fa-IR"/>
        </w:rPr>
        <w:t xml:space="preserve"> وأضاف: إن حياة القانون ليست منطقاً</w:t>
      </w:r>
      <w:r w:rsidR="00D4627C" w:rsidRPr="00904FCB">
        <w:rPr>
          <w:rFonts w:ascii="Tahoma" w:hAnsi="Tahoma" w:hint="cs"/>
          <w:sz w:val="27"/>
          <w:rtl/>
          <w:lang w:bidi="fa-IR"/>
        </w:rPr>
        <w:t>،</w:t>
      </w:r>
      <w:r w:rsidRPr="00904FCB">
        <w:rPr>
          <w:rFonts w:ascii="Tahoma" w:hAnsi="Tahoma"/>
          <w:sz w:val="27"/>
          <w:rtl/>
          <w:lang w:bidi="fa-IR"/>
        </w:rPr>
        <w:t xml:space="preserve"> ولكن تجربة</w:t>
      </w:r>
      <w:r w:rsidRPr="00904FCB">
        <w:rPr>
          <w:rFonts w:hint="cs"/>
          <w:sz w:val="27"/>
          <w:vertAlign w:val="superscript"/>
          <w:rtl/>
        </w:rPr>
        <w:t>(</w:t>
      </w:r>
      <w:r w:rsidRPr="00904FCB">
        <w:rPr>
          <w:rStyle w:val="ac"/>
          <w:sz w:val="27"/>
          <w:rtl/>
        </w:rPr>
        <w:endnoteReference w:id="266"/>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rtl/>
          <w:lang w:bidi="ar-LB"/>
        </w:rPr>
      </w:pPr>
      <w:r w:rsidRPr="00904FCB">
        <w:rPr>
          <w:rFonts w:ascii="Tahoma" w:hAnsi="Tahoma"/>
          <w:sz w:val="27"/>
          <w:lang w:bidi="fa-IR"/>
        </w:rPr>
        <w:tab/>
      </w:r>
      <w:r w:rsidRPr="00904FCB">
        <w:rPr>
          <w:rFonts w:ascii="Tahoma" w:hAnsi="Tahoma"/>
          <w:sz w:val="27"/>
          <w:rtl/>
          <w:lang w:bidi="fa-IR"/>
        </w:rPr>
        <w:t>وهكذا رفض رجال القانون البر</w:t>
      </w:r>
      <w:r w:rsidR="00D4627C" w:rsidRPr="00904FCB">
        <w:rPr>
          <w:rFonts w:ascii="Tahoma" w:hAnsi="Tahoma" w:hint="cs"/>
          <w:sz w:val="27"/>
          <w:rtl/>
          <w:lang w:bidi="fa-IR"/>
        </w:rPr>
        <w:t>اغ</w:t>
      </w:r>
      <w:r w:rsidRPr="00904FCB">
        <w:rPr>
          <w:rFonts w:ascii="Tahoma" w:hAnsi="Tahoma"/>
          <w:sz w:val="27"/>
          <w:rtl/>
          <w:lang w:bidi="fa-IR"/>
        </w:rPr>
        <w:t>ماتيون قبول الصيغة الواحدة المجر</w:t>
      </w:r>
      <w:r w:rsidR="00D4627C" w:rsidRPr="00904FCB">
        <w:rPr>
          <w:rFonts w:ascii="Tahoma" w:hAnsi="Tahoma" w:hint="cs"/>
          <w:sz w:val="27"/>
          <w:rtl/>
          <w:lang w:bidi="fa-IR"/>
        </w:rPr>
        <w:t>َّ</w:t>
      </w:r>
      <w:r w:rsidRPr="00904FCB">
        <w:rPr>
          <w:rFonts w:ascii="Tahoma" w:hAnsi="Tahoma"/>
          <w:sz w:val="27"/>
          <w:rtl/>
          <w:lang w:bidi="fa-IR"/>
        </w:rPr>
        <w:t xml:space="preserve">دة </w:t>
      </w:r>
      <w:r w:rsidRPr="00904FCB">
        <w:rPr>
          <w:rFonts w:ascii="Tahoma" w:hAnsi="Tahoma"/>
          <w:sz w:val="27"/>
          <w:rtl/>
          <w:lang w:bidi="fa-IR"/>
        </w:rPr>
        <w:lastRenderedPageBreak/>
        <w:t>للتعبير عن الغاية من القانون</w:t>
      </w:r>
      <w:r w:rsidR="00D4627C" w:rsidRPr="00904FCB">
        <w:rPr>
          <w:rFonts w:ascii="Tahoma" w:hAnsi="Tahoma" w:hint="cs"/>
          <w:sz w:val="27"/>
          <w:rtl/>
          <w:lang w:bidi="fa-IR"/>
        </w:rPr>
        <w:t>،</w:t>
      </w:r>
      <w:r w:rsidRPr="00904FCB">
        <w:rPr>
          <w:rFonts w:ascii="Tahoma" w:hAnsi="Tahoma"/>
          <w:sz w:val="27"/>
          <w:rtl/>
          <w:lang w:bidi="fa-IR"/>
        </w:rPr>
        <w:t xml:space="preserve"> «كالخير المطلق للعدد الأكبر» أو «الخير المشترك»</w:t>
      </w:r>
      <w:r w:rsidR="00D4627C" w:rsidRPr="00904FCB">
        <w:rPr>
          <w:rFonts w:ascii="Tahoma" w:hAnsi="Tahoma" w:hint="cs"/>
          <w:sz w:val="27"/>
          <w:rtl/>
          <w:lang w:bidi="fa-IR"/>
        </w:rPr>
        <w:t>؛</w:t>
      </w:r>
      <w:r w:rsidRPr="00904FCB">
        <w:rPr>
          <w:rFonts w:ascii="Tahoma" w:hAnsi="Tahoma"/>
          <w:sz w:val="27"/>
          <w:rtl/>
          <w:lang w:bidi="fa-IR"/>
        </w:rPr>
        <w:t xml:space="preserve"> لأن مثل هذه الصيغ النظرية المجر</w:t>
      </w:r>
      <w:r w:rsidR="00D4627C" w:rsidRPr="00904FCB">
        <w:rPr>
          <w:rFonts w:ascii="Tahoma" w:hAnsi="Tahoma" w:hint="cs"/>
          <w:sz w:val="27"/>
          <w:rtl/>
          <w:lang w:bidi="fa-IR"/>
        </w:rPr>
        <w:t>ّ</w:t>
      </w:r>
      <w:r w:rsidRPr="00904FCB">
        <w:rPr>
          <w:rFonts w:ascii="Tahoma" w:hAnsi="Tahoma"/>
          <w:sz w:val="27"/>
          <w:rtl/>
          <w:lang w:bidi="fa-IR"/>
        </w:rPr>
        <w:t>دة لا</w:t>
      </w:r>
      <w:r w:rsidR="00D4627C" w:rsidRPr="00904FCB">
        <w:rPr>
          <w:rFonts w:ascii="Tahoma" w:hAnsi="Tahoma" w:hint="cs"/>
          <w:sz w:val="27"/>
          <w:rtl/>
          <w:lang w:bidi="fa-IR"/>
        </w:rPr>
        <w:t xml:space="preserve"> </w:t>
      </w:r>
      <w:r w:rsidRPr="00904FCB">
        <w:rPr>
          <w:rFonts w:ascii="Tahoma" w:hAnsi="Tahoma"/>
          <w:sz w:val="27"/>
          <w:rtl/>
          <w:lang w:bidi="fa-IR"/>
        </w:rPr>
        <w:t>تقد</w:t>
      </w:r>
      <w:r w:rsidR="00D4627C" w:rsidRPr="00904FCB">
        <w:rPr>
          <w:rFonts w:ascii="Tahoma" w:hAnsi="Tahoma" w:hint="cs"/>
          <w:sz w:val="27"/>
          <w:rtl/>
          <w:lang w:bidi="fa-IR"/>
        </w:rPr>
        <w:t>ِّ</w:t>
      </w:r>
      <w:r w:rsidRPr="00904FCB">
        <w:rPr>
          <w:rFonts w:ascii="Tahoma" w:hAnsi="Tahoma"/>
          <w:sz w:val="27"/>
          <w:rtl/>
          <w:lang w:bidi="fa-IR"/>
        </w:rPr>
        <w:t>م أي</w:t>
      </w:r>
      <w:r w:rsidR="00D4627C" w:rsidRPr="00904FCB">
        <w:rPr>
          <w:rFonts w:ascii="Tahoma" w:hAnsi="Tahoma" w:hint="cs"/>
          <w:sz w:val="27"/>
          <w:rtl/>
          <w:lang w:bidi="fa-IR"/>
        </w:rPr>
        <w:t>َّ</w:t>
      </w:r>
      <w:r w:rsidRPr="00904FCB">
        <w:rPr>
          <w:rFonts w:ascii="Tahoma" w:hAnsi="Tahoma"/>
          <w:sz w:val="27"/>
          <w:rtl/>
          <w:lang w:bidi="fa-IR"/>
        </w:rPr>
        <w:t xml:space="preserve"> ع</w:t>
      </w:r>
      <w:r w:rsidR="00D4627C" w:rsidRPr="00904FCB">
        <w:rPr>
          <w:rFonts w:ascii="Tahoma" w:hAnsi="Tahoma" w:hint="cs"/>
          <w:sz w:val="27"/>
          <w:rtl/>
          <w:lang w:bidi="fa-IR"/>
        </w:rPr>
        <w:t>َ</w:t>
      </w:r>
      <w:r w:rsidRPr="00904FCB">
        <w:rPr>
          <w:rFonts w:ascii="Tahoma" w:hAnsi="Tahoma"/>
          <w:sz w:val="27"/>
          <w:rtl/>
          <w:lang w:bidi="fa-IR"/>
        </w:rPr>
        <w:t>و</w:t>
      </w:r>
      <w:r w:rsidR="00D4627C" w:rsidRPr="00904FCB">
        <w:rPr>
          <w:rFonts w:ascii="Tahoma" w:hAnsi="Tahoma" w:hint="cs"/>
          <w:sz w:val="27"/>
          <w:rtl/>
          <w:lang w:bidi="fa-IR"/>
        </w:rPr>
        <w:t>ْ</w:t>
      </w:r>
      <w:r w:rsidRPr="00904FCB">
        <w:rPr>
          <w:rFonts w:ascii="Tahoma" w:hAnsi="Tahoma"/>
          <w:sz w:val="27"/>
          <w:rtl/>
          <w:lang w:bidi="fa-IR"/>
        </w:rPr>
        <w:t>ن</w:t>
      </w:r>
      <w:r w:rsidR="00D4627C" w:rsidRPr="00904FCB">
        <w:rPr>
          <w:rFonts w:ascii="Tahoma" w:hAnsi="Tahoma" w:hint="cs"/>
          <w:sz w:val="27"/>
          <w:rtl/>
          <w:lang w:bidi="fa-IR"/>
        </w:rPr>
        <w:t>ٍ</w:t>
      </w:r>
      <w:r w:rsidRPr="00904FCB">
        <w:rPr>
          <w:rFonts w:ascii="Tahoma" w:hAnsi="Tahoma"/>
          <w:sz w:val="27"/>
          <w:rtl/>
          <w:lang w:bidi="fa-IR"/>
        </w:rPr>
        <w:t xml:space="preserve"> في الحياة العملية، بل القانون يتغي</w:t>
      </w:r>
      <w:r w:rsidR="00D4627C" w:rsidRPr="00904FCB">
        <w:rPr>
          <w:rFonts w:ascii="Tahoma" w:hAnsi="Tahoma" w:hint="cs"/>
          <w:sz w:val="27"/>
          <w:rtl/>
          <w:lang w:bidi="fa-IR"/>
        </w:rPr>
        <w:t>َّ</w:t>
      </w:r>
      <w:r w:rsidRPr="00904FCB">
        <w:rPr>
          <w:rFonts w:ascii="Tahoma" w:hAnsi="Tahoma"/>
          <w:sz w:val="27"/>
          <w:rtl/>
          <w:lang w:bidi="fa-IR"/>
        </w:rPr>
        <w:t>ر تبعاً لتغي</w:t>
      </w:r>
      <w:r w:rsidR="00D4627C" w:rsidRPr="00904FCB">
        <w:rPr>
          <w:rFonts w:ascii="Tahoma" w:hAnsi="Tahoma" w:hint="cs"/>
          <w:sz w:val="27"/>
          <w:rtl/>
          <w:lang w:bidi="fa-IR"/>
        </w:rPr>
        <w:t>ُّ</w:t>
      </w:r>
      <w:r w:rsidRPr="00904FCB">
        <w:rPr>
          <w:rFonts w:ascii="Tahoma" w:hAnsi="Tahoma"/>
          <w:sz w:val="27"/>
          <w:rtl/>
          <w:lang w:bidi="fa-IR"/>
        </w:rPr>
        <w:t>ر المجتمعات واستجابة</w:t>
      </w:r>
      <w:r w:rsidR="00D4627C" w:rsidRPr="00904FCB">
        <w:rPr>
          <w:rFonts w:ascii="Tahoma" w:hAnsi="Tahoma" w:hint="cs"/>
          <w:sz w:val="27"/>
          <w:rtl/>
          <w:lang w:bidi="fa-IR"/>
        </w:rPr>
        <w:t>ً</w:t>
      </w:r>
      <w:r w:rsidRPr="00904FCB">
        <w:rPr>
          <w:rFonts w:ascii="Tahoma" w:hAnsi="Tahoma"/>
          <w:sz w:val="27"/>
          <w:rtl/>
          <w:lang w:bidi="fa-IR"/>
        </w:rPr>
        <w:t xml:space="preserve"> له</w:t>
      </w:r>
      <w:r w:rsidR="00D4627C" w:rsidRPr="00904FCB">
        <w:rPr>
          <w:rFonts w:ascii="Tahoma" w:hAnsi="Tahoma" w:hint="cs"/>
          <w:sz w:val="27"/>
          <w:rtl/>
          <w:lang w:bidi="fa-IR"/>
        </w:rPr>
        <w:t>.</w:t>
      </w:r>
      <w:r w:rsidRPr="00904FCB">
        <w:rPr>
          <w:rFonts w:ascii="Tahoma" w:hAnsi="Tahoma"/>
          <w:sz w:val="27"/>
          <w:rtl/>
          <w:lang w:bidi="fa-IR"/>
        </w:rPr>
        <w:t xml:space="preserve"> وهذا ما فعله «باوند» عندما رصد تطو</w:t>
      </w:r>
      <w:r w:rsidR="00D4627C" w:rsidRPr="00904FCB">
        <w:rPr>
          <w:rFonts w:ascii="Tahoma" w:hAnsi="Tahoma" w:hint="cs"/>
          <w:sz w:val="27"/>
          <w:rtl/>
          <w:lang w:bidi="fa-IR"/>
        </w:rPr>
        <w:t>ُّ</w:t>
      </w:r>
      <w:r w:rsidRPr="00904FCB">
        <w:rPr>
          <w:rFonts w:ascii="Tahoma" w:hAnsi="Tahoma"/>
          <w:sz w:val="27"/>
          <w:rtl/>
          <w:lang w:bidi="fa-IR"/>
        </w:rPr>
        <w:t>ر الحضارات وتنو</w:t>
      </w:r>
      <w:r w:rsidR="00D4627C" w:rsidRPr="00904FCB">
        <w:rPr>
          <w:rFonts w:ascii="Tahoma" w:hAnsi="Tahoma" w:hint="cs"/>
          <w:sz w:val="27"/>
          <w:rtl/>
          <w:lang w:bidi="fa-IR"/>
        </w:rPr>
        <w:t>ُّ</w:t>
      </w:r>
      <w:r w:rsidRPr="00904FCB">
        <w:rPr>
          <w:rFonts w:ascii="Tahoma" w:hAnsi="Tahoma"/>
          <w:sz w:val="27"/>
          <w:rtl/>
          <w:lang w:bidi="fa-IR"/>
        </w:rPr>
        <w:t>ع قوانينها باختلاف فلسفتها، ورأى أن ما يحتاجه مجتمعه في هذا العصر هو تحقيق المصلحة الاجتماعية لأفراده، فرصد فلسفته للقانون من خلال نظريته في «المصلحة الاجتماعية</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ar-LB"/>
        </w:rPr>
      </w:pPr>
    </w:p>
    <w:p w:rsidR="00644408" w:rsidRPr="00904FCB" w:rsidRDefault="00644408" w:rsidP="007A21AA">
      <w:pPr>
        <w:pStyle w:val="31"/>
        <w:spacing w:line="400" w:lineRule="exact"/>
        <w:rPr>
          <w:color w:val="auto"/>
          <w:lang w:bidi="fa-IR"/>
        </w:rPr>
      </w:pPr>
      <w:r w:rsidRPr="00904FCB">
        <w:rPr>
          <w:color w:val="auto"/>
          <w:rtl/>
          <w:lang w:bidi="fa-IR"/>
        </w:rPr>
        <w:t>ثانياً</w:t>
      </w:r>
      <w:r w:rsidRPr="00904FCB">
        <w:rPr>
          <w:rFonts w:hint="cs"/>
          <w:color w:val="auto"/>
          <w:rtl/>
          <w:lang w:bidi="fa-IR"/>
        </w:rPr>
        <w:t>:</w:t>
      </w:r>
      <w:r w:rsidRPr="00904FCB">
        <w:rPr>
          <w:color w:val="auto"/>
          <w:rtl/>
          <w:lang w:bidi="fa-IR"/>
        </w:rPr>
        <w:t xml:space="preserve"> ملامح نظري</w:t>
      </w:r>
      <w:r w:rsidR="00D4627C" w:rsidRPr="00904FCB">
        <w:rPr>
          <w:rFonts w:hint="cs"/>
          <w:color w:val="auto"/>
          <w:rtl/>
          <w:lang w:bidi="fa-IR"/>
        </w:rPr>
        <w:t>ّ</w:t>
      </w:r>
      <w:r w:rsidRPr="00904FCB">
        <w:rPr>
          <w:color w:val="auto"/>
          <w:rtl/>
          <w:lang w:bidi="fa-IR"/>
        </w:rPr>
        <w:t xml:space="preserve">ة المصلحة عند روسكو باوند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يُع</w:t>
      </w:r>
      <w:r w:rsidR="00D4627C" w:rsidRPr="00904FCB">
        <w:rPr>
          <w:rFonts w:ascii="Tahoma" w:hAnsi="Tahoma" w:hint="cs"/>
          <w:sz w:val="27"/>
          <w:rtl/>
          <w:lang w:bidi="fa-IR"/>
        </w:rPr>
        <w:t>َ</w:t>
      </w:r>
      <w:r w:rsidRPr="00904FCB">
        <w:rPr>
          <w:rFonts w:ascii="Tahoma" w:hAnsi="Tahoma"/>
          <w:sz w:val="27"/>
          <w:rtl/>
          <w:lang w:bidi="fa-IR"/>
        </w:rPr>
        <w:t>د</w:t>
      </w:r>
      <w:r w:rsidR="00D4627C" w:rsidRPr="00904FCB">
        <w:rPr>
          <w:rFonts w:ascii="Tahoma" w:hAnsi="Tahoma" w:hint="cs"/>
          <w:sz w:val="27"/>
          <w:rtl/>
          <w:lang w:bidi="fa-IR"/>
        </w:rPr>
        <w:t>ّ</w:t>
      </w:r>
      <w:r w:rsidRPr="00904FCB">
        <w:rPr>
          <w:rFonts w:ascii="Tahoma" w:hAnsi="Tahoma"/>
          <w:sz w:val="27"/>
          <w:rtl/>
          <w:lang w:bidi="fa-IR"/>
        </w:rPr>
        <w:t xml:space="preserve"> «باوند» مؤس</w:t>
      </w:r>
      <w:r w:rsidR="00D4627C" w:rsidRPr="00904FCB">
        <w:rPr>
          <w:rFonts w:ascii="Tahoma" w:hAnsi="Tahoma" w:hint="cs"/>
          <w:sz w:val="27"/>
          <w:rtl/>
          <w:lang w:bidi="fa-IR"/>
        </w:rPr>
        <w:t>ِّ</w:t>
      </w:r>
      <w:r w:rsidRPr="00904FCB">
        <w:rPr>
          <w:rFonts w:ascii="Tahoma" w:hAnsi="Tahoma"/>
          <w:sz w:val="27"/>
          <w:rtl/>
          <w:lang w:bidi="fa-IR"/>
        </w:rPr>
        <w:t>س مدرسة الفقه القانوني الاجتماعي في أمريكا. وهو أو</w:t>
      </w:r>
      <w:r w:rsidR="00D4627C" w:rsidRPr="00904FCB">
        <w:rPr>
          <w:rFonts w:ascii="Tahoma" w:hAnsi="Tahoma" w:hint="cs"/>
          <w:sz w:val="27"/>
          <w:rtl/>
          <w:lang w:bidi="fa-IR"/>
        </w:rPr>
        <w:t>ّ</w:t>
      </w:r>
      <w:r w:rsidRPr="00904FCB">
        <w:rPr>
          <w:rFonts w:ascii="Tahoma" w:hAnsi="Tahoma"/>
          <w:sz w:val="27"/>
          <w:rtl/>
          <w:lang w:bidi="fa-IR"/>
        </w:rPr>
        <w:t>ل م</w:t>
      </w:r>
      <w:r w:rsidR="00D4627C" w:rsidRPr="00904FCB">
        <w:rPr>
          <w:rFonts w:ascii="Tahoma" w:hAnsi="Tahoma" w:hint="cs"/>
          <w:sz w:val="27"/>
          <w:rtl/>
          <w:lang w:bidi="fa-IR"/>
        </w:rPr>
        <w:t>َ</w:t>
      </w:r>
      <w:r w:rsidRPr="00904FCB">
        <w:rPr>
          <w:rFonts w:ascii="Tahoma" w:hAnsi="Tahoma"/>
          <w:sz w:val="27"/>
          <w:rtl/>
          <w:lang w:bidi="fa-IR"/>
        </w:rPr>
        <w:t>ن</w:t>
      </w:r>
      <w:r w:rsidR="00D4627C" w:rsidRPr="00904FCB">
        <w:rPr>
          <w:rFonts w:ascii="Tahoma" w:hAnsi="Tahoma" w:hint="cs"/>
          <w:sz w:val="27"/>
          <w:rtl/>
          <w:lang w:bidi="fa-IR"/>
        </w:rPr>
        <w:t>ْ</w:t>
      </w:r>
      <w:r w:rsidRPr="00904FCB">
        <w:rPr>
          <w:rFonts w:ascii="Tahoma" w:hAnsi="Tahoma"/>
          <w:sz w:val="27"/>
          <w:rtl/>
          <w:lang w:bidi="fa-IR"/>
        </w:rPr>
        <w:t xml:space="preserve"> تجر</w:t>
      </w:r>
      <w:r w:rsidR="00D4627C" w:rsidRPr="00904FCB">
        <w:rPr>
          <w:rFonts w:ascii="Tahoma" w:hAnsi="Tahoma" w:hint="cs"/>
          <w:sz w:val="27"/>
          <w:rtl/>
          <w:lang w:bidi="fa-IR"/>
        </w:rPr>
        <w:t>ّ</w:t>
      </w:r>
      <w:r w:rsidRPr="00904FCB">
        <w:rPr>
          <w:rFonts w:ascii="Tahoma" w:hAnsi="Tahoma"/>
          <w:sz w:val="27"/>
          <w:rtl/>
          <w:lang w:bidi="fa-IR"/>
        </w:rPr>
        <w:t>أ على وضع مؤل</w:t>
      </w:r>
      <w:r w:rsidR="00D4627C" w:rsidRPr="00904FCB">
        <w:rPr>
          <w:rFonts w:ascii="Tahoma" w:hAnsi="Tahoma" w:hint="cs"/>
          <w:sz w:val="27"/>
          <w:rtl/>
          <w:lang w:bidi="fa-IR"/>
        </w:rPr>
        <w:t>َّ</w:t>
      </w:r>
      <w:r w:rsidRPr="00904FCB">
        <w:rPr>
          <w:rFonts w:ascii="Tahoma" w:hAnsi="Tahoma"/>
          <w:sz w:val="27"/>
          <w:rtl/>
          <w:lang w:bidi="fa-IR"/>
        </w:rPr>
        <w:t>ف عنوانه «مدخل إلى فلسفة القانون»</w:t>
      </w:r>
      <w:r w:rsidR="00D4627C" w:rsidRPr="00904FCB">
        <w:rPr>
          <w:rFonts w:ascii="Tahoma" w:hAnsi="Tahoma" w:hint="cs"/>
          <w:sz w:val="27"/>
          <w:rtl/>
          <w:lang w:bidi="fa-IR"/>
        </w:rPr>
        <w:t>،</w:t>
      </w:r>
      <w:r w:rsidRPr="00904FCB">
        <w:rPr>
          <w:rFonts w:ascii="Tahoma" w:hAnsi="Tahoma"/>
          <w:sz w:val="27"/>
          <w:rtl/>
          <w:lang w:bidi="fa-IR"/>
        </w:rPr>
        <w:t xml:space="preserve"> اعتمد فيه على المبادئ الأو</w:t>
      </w:r>
      <w:r w:rsidR="00D4627C" w:rsidRPr="00904FCB">
        <w:rPr>
          <w:rFonts w:ascii="Tahoma" w:hAnsi="Tahoma" w:hint="cs"/>
          <w:sz w:val="27"/>
          <w:rtl/>
          <w:lang w:bidi="fa-IR"/>
        </w:rPr>
        <w:t>ّ</w:t>
      </w:r>
      <w:r w:rsidRPr="00904FCB">
        <w:rPr>
          <w:rFonts w:ascii="Tahoma" w:hAnsi="Tahoma"/>
          <w:sz w:val="27"/>
          <w:rtl/>
          <w:lang w:bidi="fa-IR"/>
        </w:rPr>
        <w:t>لية للفكر البر</w:t>
      </w:r>
      <w:r w:rsidR="00D4627C" w:rsidRPr="00904FCB">
        <w:rPr>
          <w:rFonts w:ascii="Tahoma" w:hAnsi="Tahoma" w:hint="cs"/>
          <w:sz w:val="27"/>
          <w:rtl/>
          <w:lang w:bidi="fa-IR"/>
        </w:rPr>
        <w:t>اغ</w:t>
      </w:r>
      <w:r w:rsidRPr="00904FCB">
        <w:rPr>
          <w:rFonts w:ascii="Tahoma" w:hAnsi="Tahoma"/>
          <w:sz w:val="27"/>
          <w:rtl/>
          <w:lang w:bidi="fa-IR"/>
        </w:rPr>
        <w:t xml:space="preserve">ماتي.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وقد ترك «باوند» فلسفته القانونية في عدد</w:t>
      </w:r>
      <w:r w:rsidR="00D4627C" w:rsidRPr="00904FCB">
        <w:rPr>
          <w:rFonts w:ascii="Tahoma" w:hAnsi="Tahoma" w:hint="cs"/>
          <w:sz w:val="27"/>
          <w:rtl/>
          <w:lang w:bidi="fa-IR"/>
        </w:rPr>
        <w:t>ٍ</w:t>
      </w:r>
      <w:r w:rsidRPr="00904FCB">
        <w:rPr>
          <w:rFonts w:ascii="Tahoma" w:hAnsi="Tahoma"/>
          <w:sz w:val="27"/>
          <w:rtl/>
          <w:lang w:bidi="fa-IR"/>
        </w:rPr>
        <w:t xml:space="preserve"> كبير من الكتب والمقالات</w:t>
      </w:r>
      <w:r w:rsidR="00D4627C" w:rsidRPr="00904FCB">
        <w:rPr>
          <w:rFonts w:ascii="Tahoma" w:hAnsi="Tahoma" w:hint="cs"/>
          <w:sz w:val="27"/>
          <w:rtl/>
          <w:lang w:bidi="fa-IR"/>
        </w:rPr>
        <w:t>.</w:t>
      </w:r>
      <w:r w:rsidRPr="00904FCB">
        <w:rPr>
          <w:rFonts w:ascii="Tahoma" w:hAnsi="Tahoma"/>
          <w:sz w:val="27"/>
          <w:rtl/>
          <w:lang w:bidi="fa-IR"/>
        </w:rPr>
        <w:t xml:space="preserve"> وكان محور فلسفته قائماً على فكرة «المصلحة» باعتبارها الموضوع الأساسي للقانون.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بدأ «باوند» الاهتمام بفكرة المصلحة منذ وقت</w:t>
      </w:r>
      <w:r w:rsidR="00D4627C" w:rsidRPr="00904FCB">
        <w:rPr>
          <w:rFonts w:ascii="Tahoma" w:hAnsi="Tahoma" w:hint="cs"/>
          <w:sz w:val="27"/>
          <w:rtl/>
          <w:lang w:bidi="fa-IR"/>
        </w:rPr>
        <w:t>ٍ</w:t>
      </w:r>
      <w:r w:rsidRPr="00904FCB">
        <w:rPr>
          <w:rFonts w:ascii="Tahoma" w:hAnsi="Tahoma"/>
          <w:sz w:val="27"/>
          <w:rtl/>
          <w:lang w:bidi="fa-IR"/>
        </w:rPr>
        <w:t xml:space="preserve"> مبك</w:t>
      </w:r>
      <w:r w:rsidR="00D4627C" w:rsidRPr="00904FCB">
        <w:rPr>
          <w:rFonts w:ascii="Tahoma" w:hAnsi="Tahoma" w:hint="cs"/>
          <w:sz w:val="27"/>
          <w:rtl/>
          <w:lang w:bidi="fa-IR"/>
        </w:rPr>
        <w:t>ِّ</w:t>
      </w:r>
      <w:r w:rsidRPr="00904FCB">
        <w:rPr>
          <w:rFonts w:ascii="Tahoma" w:hAnsi="Tahoma"/>
          <w:sz w:val="27"/>
          <w:rtl/>
          <w:lang w:bidi="fa-IR"/>
        </w:rPr>
        <w:t>ر (</w:t>
      </w:r>
      <w:r w:rsidRPr="00DB2AFA">
        <w:rPr>
          <w:rFonts w:ascii="Tahoma" w:hAnsi="Tahoma" w:hint="cs"/>
          <w:sz w:val="27"/>
          <w:rtl/>
          <w:lang w:bidi="ar-LB"/>
        </w:rPr>
        <w:t>1913</w:t>
      </w:r>
      <w:r w:rsidRPr="00904FCB">
        <w:rPr>
          <w:rFonts w:ascii="Tahoma" w:hAnsi="Tahoma"/>
          <w:sz w:val="27"/>
          <w:rtl/>
          <w:lang w:bidi="fa-IR"/>
        </w:rPr>
        <w:t>)</w:t>
      </w:r>
      <w:r w:rsidR="00D4627C" w:rsidRPr="00904FCB">
        <w:rPr>
          <w:rFonts w:ascii="Tahoma" w:hAnsi="Tahoma" w:hint="cs"/>
          <w:sz w:val="27"/>
          <w:rtl/>
          <w:lang w:bidi="fa-IR"/>
        </w:rPr>
        <w:t>،</w:t>
      </w:r>
      <w:r w:rsidRPr="00904FCB">
        <w:rPr>
          <w:rFonts w:ascii="Tahoma" w:hAnsi="Tahoma"/>
          <w:sz w:val="27"/>
          <w:rtl/>
          <w:lang w:bidi="fa-IR"/>
        </w:rPr>
        <w:t xml:space="preserve"> حت</w:t>
      </w:r>
      <w:r w:rsidR="00D4627C" w:rsidRPr="00904FCB">
        <w:rPr>
          <w:rFonts w:ascii="Tahoma" w:hAnsi="Tahoma" w:hint="cs"/>
          <w:sz w:val="27"/>
          <w:rtl/>
          <w:lang w:bidi="fa-IR"/>
        </w:rPr>
        <w:t>ّ</w:t>
      </w:r>
      <w:r w:rsidRPr="00904FCB">
        <w:rPr>
          <w:rFonts w:ascii="Tahoma" w:hAnsi="Tahoma"/>
          <w:sz w:val="27"/>
          <w:rtl/>
          <w:lang w:bidi="fa-IR"/>
        </w:rPr>
        <w:t>ى تمك</w:t>
      </w:r>
      <w:r w:rsidR="00D4627C" w:rsidRPr="00904FCB">
        <w:rPr>
          <w:rFonts w:ascii="Tahoma" w:hAnsi="Tahoma" w:hint="cs"/>
          <w:sz w:val="27"/>
          <w:rtl/>
          <w:lang w:bidi="fa-IR"/>
        </w:rPr>
        <w:t>َّ</w:t>
      </w:r>
      <w:r w:rsidRPr="00904FCB">
        <w:rPr>
          <w:rFonts w:ascii="Tahoma" w:hAnsi="Tahoma"/>
          <w:sz w:val="27"/>
          <w:rtl/>
          <w:lang w:bidi="fa-IR"/>
        </w:rPr>
        <w:t>ن بعد ما يقرب من ثماني سنوات (</w:t>
      </w:r>
      <w:r w:rsidRPr="00DB2AFA">
        <w:rPr>
          <w:rFonts w:ascii="Tahoma" w:hAnsi="Tahoma" w:hint="cs"/>
          <w:sz w:val="27"/>
          <w:rtl/>
          <w:lang w:bidi="ar-LB"/>
        </w:rPr>
        <w:t>1921</w:t>
      </w:r>
      <w:r w:rsidRPr="00904FCB">
        <w:rPr>
          <w:rFonts w:ascii="Tahoma" w:hAnsi="Tahoma"/>
          <w:sz w:val="27"/>
          <w:rtl/>
          <w:lang w:bidi="fa-IR"/>
        </w:rPr>
        <w:t>) من إخراجها في أو</w:t>
      </w:r>
      <w:r w:rsidR="00977655" w:rsidRPr="00904FCB">
        <w:rPr>
          <w:rFonts w:ascii="Tahoma" w:hAnsi="Tahoma" w:hint="cs"/>
          <w:sz w:val="27"/>
          <w:rtl/>
          <w:lang w:bidi="fa-IR"/>
        </w:rPr>
        <w:t>ّ</w:t>
      </w:r>
      <w:r w:rsidRPr="00904FCB">
        <w:rPr>
          <w:rFonts w:ascii="Tahoma" w:hAnsi="Tahoma"/>
          <w:sz w:val="27"/>
          <w:rtl/>
          <w:lang w:bidi="fa-IR"/>
        </w:rPr>
        <w:t>ل صورة</w:t>
      </w:r>
      <w:r w:rsidR="00977655" w:rsidRPr="00904FCB">
        <w:rPr>
          <w:rFonts w:ascii="Tahoma" w:hAnsi="Tahoma" w:hint="cs"/>
          <w:sz w:val="27"/>
          <w:rtl/>
          <w:lang w:bidi="fa-IR"/>
        </w:rPr>
        <w:t>ٍ</w:t>
      </w:r>
      <w:r w:rsidRPr="00904FCB">
        <w:rPr>
          <w:rFonts w:ascii="Tahoma" w:hAnsi="Tahoma"/>
          <w:sz w:val="27"/>
          <w:rtl/>
          <w:lang w:bidi="fa-IR"/>
        </w:rPr>
        <w:t xml:space="preserve"> كاملة لها</w:t>
      </w:r>
      <w:r w:rsidR="00977655" w:rsidRPr="00904FCB">
        <w:rPr>
          <w:rFonts w:ascii="Tahoma" w:hAnsi="Tahoma" w:hint="cs"/>
          <w:sz w:val="27"/>
          <w:rtl/>
          <w:lang w:bidi="fa-IR"/>
        </w:rPr>
        <w:t>.</w:t>
      </w:r>
      <w:r w:rsidRPr="00904FCB">
        <w:rPr>
          <w:rFonts w:ascii="Tahoma" w:hAnsi="Tahoma"/>
          <w:sz w:val="27"/>
          <w:rtl/>
          <w:lang w:bidi="fa-IR"/>
        </w:rPr>
        <w:t xml:space="preserve"> وفي عام (</w:t>
      </w:r>
      <w:r w:rsidRPr="00DB2AFA">
        <w:rPr>
          <w:rFonts w:ascii="Tahoma" w:hAnsi="Tahoma" w:hint="cs"/>
          <w:sz w:val="27"/>
          <w:rtl/>
          <w:lang w:bidi="ar-LB"/>
        </w:rPr>
        <w:t>1943</w:t>
      </w:r>
      <w:r w:rsidRPr="00904FCB">
        <w:rPr>
          <w:rFonts w:ascii="Tahoma" w:hAnsi="Tahoma"/>
          <w:sz w:val="27"/>
          <w:rtl/>
          <w:lang w:bidi="fa-IR"/>
        </w:rPr>
        <w:t>) أعاد كتابتها وتنقيحها من جديد</w:t>
      </w:r>
      <w:r w:rsidR="00977655" w:rsidRPr="00904FCB">
        <w:rPr>
          <w:rFonts w:ascii="Tahoma" w:hAnsi="Tahoma" w:hint="cs"/>
          <w:sz w:val="27"/>
          <w:rtl/>
          <w:lang w:bidi="fa-IR"/>
        </w:rPr>
        <w:t>ٍ،</w:t>
      </w:r>
      <w:r w:rsidRPr="00904FCB">
        <w:rPr>
          <w:rFonts w:ascii="Tahoma" w:hAnsi="Tahoma"/>
          <w:sz w:val="27"/>
          <w:rtl/>
          <w:lang w:bidi="fa-IR"/>
        </w:rPr>
        <w:t xml:space="preserve"> وبهذا اعت</w:t>
      </w:r>
      <w:r w:rsidR="00977655" w:rsidRPr="00904FCB">
        <w:rPr>
          <w:rFonts w:ascii="Tahoma" w:hAnsi="Tahoma" w:hint="cs"/>
          <w:sz w:val="27"/>
          <w:rtl/>
          <w:lang w:bidi="fa-IR"/>
        </w:rPr>
        <w:t>ُ</w:t>
      </w:r>
      <w:r w:rsidRPr="00904FCB">
        <w:rPr>
          <w:rFonts w:ascii="Tahoma" w:hAnsi="Tahoma"/>
          <w:sz w:val="27"/>
          <w:rtl/>
          <w:lang w:bidi="fa-IR"/>
        </w:rPr>
        <w:t>بر أستاذاً بارزاً للقانون</w:t>
      </w:r>
      <w:r w:rsidR="00977655" w:rsidRPr="00904FCB">
        <w:rPr>
          <w:rFonts w:ascii="Tahoma" w:hAnsi="Tahoma" w:hint="cs"/>
          <w:sz w:val="27"/>
          <w:rtl/>
          <w:lang w:bidi="fa-IR"/>
        </w:rPr>
        <w:t>،</w:t>
      </w:r>
      <w:r w:rsidRPr="00904FCB">
        <w:rPr>
          <w:rFonts w:ascii="Tahoma" w:hAnsi="Tahoma"/>
          <w:sz w:val="27"/>
          <w:rtl/>
          <w:lang w:bidi="fa-IR"/>
        </w:rPr>
        <w:t xml:space="preserve"> وفيلسوفاً متمي</w:t>
      </w:r>
      <w:r w:rsidR="00977655" w:rsidRPr="00904FCB">
        <w:rPr>
          <w:rFonts w:ascii="Tahoma" w:hAnsi="Tahoma" w:hint="cs"/>
          <w:sz w:val="27"/>
          <w:rtl/>
          <w:lang w:bidi="fa-IR"/>
        </w:rPr>
        <w:t>ِّ</w:t>
      </w:r>
      <w:r w:rsidRPr="00904FCB">
        <w:rPr>
          <w:rFonts w:ascii="Tahoma" w:hAnsi="Tahoma"/>
          <w:sz w:val="27"/>
          <w:rtl/>
          <w:lang w:bidi="fa-IR"/>
        </w:rPr>
        <w:t>زاً في الفكر القانوني الاجتماعي</w:t>
      </w:r>
      <w:r w:rsidRPr="00904FCB">
        <w:rPr>
          <w:rFonts w:hint="cs"/>
          <w:sz w:val="27"/>
          <w:vertAlign w:val="superscript"/>
          <w:rtl/>
        </w:rPr>
        <w:t>(</w:t>
      </w:r>
      <w:r w:rsidRPr="00904FCB">
        <w:rPr>
          <w:rStyle w:val="ac"/>
          <w:sz w:val="27"/>
          <w:rtl/>
        </w:rPr>
        <w:endnoteReference w:id="267"/>
      </w:r>
      <w:r w:rsidRPr="00904FCB">
        <w:rPr>
          <w:rFonts w:hint="cs"/>
          <w:sz w:val="27"/>
          <w:vertAlign w:val="superscript"/>
          <w:rtl/>
        </w:rPr>
        <w:t>)</w:t>
      </w:r>
      <w:r w:rsidRPr="00904FCB">
        <w:rPr>
          <w:rFonts w:ascii="Tahoma" w:hAnsi="Tahoma"/>
          <w:sz w:val="27"/>
          <w:rtl/>
          <w:lang w:bidi="fa-IR"/>
        </w:rPr>
        <w:t xml:space="preserve">. </w:t>
      </w:r>
    </w:p>
    <w:p w:rsidR="00977655"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 xml:space="preserve">فقد كتب «باوند» مقالاً سنة </w:t>
      </w:r>
      <w:r w:rsidRPr="00DB2AFA">
        <w:rPr>
          <w:rFonts w:ascii="Tahoma" w:hAnsi="Tahoma" w:hint="cs"/>
          <w:sz w:val="27"/>
          <w:rtl/>
          <w:lang w:bidi="ar-LB"/>
        </w:rPr>
        <w:t>1912</w:t>
      </w:r>
      <w:r w:rsidRPr="00904FCB">
        <w:rPr>
          <w:rFonts w:ascii="Tahoma" w:hAnsi="Tahoma" w:hint="cs"/>
          <w:sz w:val="27"/>
          <w:rtl/>
          <w:lang w:bidi="fa-IR"/>
        </w:rPr>
        <w:t xml:space="preserve"> </w:t>
      </w:r>
      <w:r w:rsidRPr="00904FCB">
        <w:rPr>
          <w:rFonts w:ascii="Tahoma" w:hAnsi="Tahoma"/>
          <w:sz w:val="27"/>
          <w:rtl/>
          <w:lang w:bidi="fa-IR"/>
        </w:rPr>
        <w:t>عنوانه «أبعاد وأغراض القوانين الاجتماعية»</w:t>
      </w:r>
      <w:r w:rsidR="00977655" w:rsidRPr="00904FCB">
        <w:rPr>
          <w:rFonts w:ascii="Tahoma" w:hAnsi="Tahoma" w:hint="cs"/>
          <w:sz w:val="27"/>
          <w:rtl/>
          <w:lang w:bidi="fa-IR"/>
        </w:rPr>
        <w:t>،</w:t>
      </w:r>
      <w:r w:rsidRPr="00904FCB">
        <w:rPr>
          <w:rFonts w:ascii="Tahoma" w:hAnsi="Tahoma"/>
          <w:sz w:val="27"/>
          <w:rtl/>
          <w:lang w:bidi="fa-IR"/>
        </w:rPr>
        <w:t xml:space="preserve"> حد</w:t>
      </w:r>
      <w:r w:rsidR="00977655" w:rsidRPr="00904FCB">
        <w:rPr>
          <w:rFonts w:ascii="Tahoma" w:hAnsi="Tahoma" w:hint="cs"/>
          <w:sz w:val="27"/>
          <w:rtl/>
          <w:lang w:bidi="fa-IR"/>
        </w:rPr>
        <w:t>َّ</w:t>
      </w:r>
      <w:r w:rsidRPr="00904FCB">
        <w:rPr>
          <w:rFonts w:ascii="Tahoma" w:hAnsi="Tahoma"/>
          <w:sz w:val="27"/>
          <w:rtl/>
          <w:lang w:bidi="fa-IR"/>
        </w:rPr>
        <w:t>د فيه برنامجه عن التصو</w:t>
      </w:r>
      <w:r w:rsidR="00977655" w:rsidRPr="00904FCB">
        <w:rPr>
          <w:rFonts w:ascii="Tahoma" w:hAnsi="Tahoma" w:hint="cs"/>
          <w:sz w:val="27"/>
          <w:rtl/>
          <w:lang w:bidi="fa-IR"/>
        </w:rPr>
        <w:t>ُّ</w:t>
      </w:r>
      <w:r w:rsidRPr="00904FCB">
        <w:rPr>
          <w:rFonts w:ascii="Tahoma" w:hAnsi="Tahoma"/>
          <w:sz w:val="27"/>
          <w:rtl/>
          <w:lang w:bidi="fa-IR"/>
        </w:rPr>
        <w:t>ر الاجتماعي للقانون</w:t>
      </w:r>
      <w:r w:rsidR="00977655"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وقد اشتمل هذا البرنامج على ست</w:t>
      </w:r>
      <w:r w:rsidR="00977655" w:rsidRPr="00904FCB">
        <w:rPr>
          <w:rFonts w:ascii="Tahoma" w:hAnsi="Tahoma" w:hint="cs"/>
          <w:sz w:val="27"/>
          <w:rtl/>
          <w:lang w:bidi="fa-IR"/>
        </w:rPr>
        <w:t>ّ</w:t>
      </w:r>
      <w:r w:rsidRPr="00904FCB">
        <w:rPr>
          <w:rFonts w:ascii="Tahoma" w:hAnsi="Tahoma"/>
          <w:sz w:val="27"/>
          <w:rtl/>
          <w:lang w:bidi="fa-IR"/>
        </w:rPr>
        <w:t xml:space="preserve"> نقاط</w:t>
      </w:r>
      <w:r w:rsidRPr="00904FCB">
        <w:rPr>
          <w:rFonts w:hint="cs"/>
          <w:sz w:val="27"/>
          <w:vertAlign w:val="superscript"/>
          <w:rtl/>
        </w:rPr>
        <w:t>(</w:t>
      </w:r>
      <w:r w:rsidRPr="00904FCB">
        <w:rPr>
          <w:rStyle w:val="ac"/>
          <w:sz w:val="27"/>
          <w:rtl/>
        </w:rPr>
        <w:endnoteReference w:id="268"/>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1ـ</w:t>
      </w:r>
      <w:r w:rsidRPr="00DB2AFA">
        <w:rPr>
          <w:rFonts w:ascii="Tahoma" w:hAnsi="Tahoma"/>
          <w:sz w:val="27"/>
          <w:rtl/>
          <w:lang w:bidi="fa-IR"/>
        </w:rPr>
        <w:t xml:space="preserve"> النظر إلى القانون وفاعلي</w:t>
      </w:r>
      <w:r w:rsidR="00977655" w:rsidRPr="00DB2AFA">
        <w:rPr>
          <w:rFonts w:ascii="Tahoma" w:hAnsi="Tahoma" w:hint="cs"/>
          <w:sz w:val="27"/>
          <w:rtl/>
          <w:lang w:bidi="fa-IR"/>
        </w:rPr>
        <w:t>ّ</w:t>
      </w:r>
      <w:r w:rsidRPr="00DB2AFA">
        <w:rPr>
          <w:rFonts w:ascii="Tahoma" w:hAnsi="Tahoma"/>
          <w:sz w:val="27"/>
          <w:rtl/>
          <w:lang w:bidi="fa-IR"/>
        </w:rPr>
        <w:t>ته</w:t>
      </w:r>
      <w:r w:rsidR="00977655" w:rsidRPr="00DB2AFA">
        <w:rPr>
          <w:rFonts w:ascii="Tahoma" w:hAnsi="Tahoma" w:hint="cs"/>
          <w:sz w:val="27"/>
          <w:rtl/>
          <w:lang w:bidi="fa-IR"/>
        </w:rPr>
        <w:t>،</w:t>
      </w:r>
      <w:r w:rsidRPr="00DB2AFA">
        <w:rPr>
          <w:rFonts w:ascii="Tahoma" w:hAnsi="Tahoma"/>
          <w:sz w:val="27"/>
          <w:rtl/>
          <w:lang w:bidi="fa-IR"/>
        </w:rPr>
        <w:t xml:space="preserve"> وعدم التوق</w:t>
      </w:r>
      <w:r w:rsidR="00977655" w:rsidRPr="00DB2AFA">
        <w:rPr>
          <w:rFonts w:ascii="Tahoma" w:hAnsi="Tahoma" w:hint="cs"/>
          <w:sz w:val="27"/>
          <w:rtl/>
          <w:lang w:bidi="fa-IR"/>
        </w:rPr>
        <w:t>ُّ</w:t>
      </w:r>
      <w:r w:rsidRPr="00DB2AFA">
        <w:rPr>
          <w:rFonts w:ascii="Tahoma" w:hAnsi="Tahoma"/>
          <w:sz w:val="27"/>
          <w:rtl/>
          <w:lang w:bidi="fa-IR"/>
        </w:rPr>
        <w:t>ف عند تجريد محتواه</w:t>
      </w:r>
      <w:r w:rsidR="00977655" w:rsidRPr="00DB2AFA">
        <w:rPr>
          <w:rFonts w:ascii="Tahoma" w:hAnsi="Tahoma" w:hint="cs"/>
          <w:sz w:val="27"/>
          <w:rtl/>
          <w:lang w:bidi="fa-IR"/>
        </w:rPr>
        <w:t>،</w:t>
      </w:r>
      <w:r w:rsidRPr="00DB2AFA">
        <w:rPr>
          <w:rFonts w:ascii="Tahoma" w:hAnsi="Tahoma"/>
          <w:sz w:val="27"/>
          <w:rtl/>
          <w:lang w:bidi="fa-IR"/>
        </w:rPr>
        <w:t xml:space="preserve"> أو الاكتفاء</w:t>
      </w:r>
      <w:r w:rsidRPr="00904FCB">
        <w:rPr>
          <w:rFonts w:ascii="Tahoma" w:hAnsi="Tahoma"/>
          <w:sz w:val="27"/>
          <w:rtl/>
          <w:lang w:bidi="fa-IR"/>
        </w:rPr>
        <w:t xml:space="preserve"> بالجانب النظري منه. </w:t>
      </w:r>
    </w:p>
    <w:p w:rsidR="00644408" w:rsidRPr="00904FCB" w:rsidRDefault="00644408"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2ـ</w:t>
      </w:r>
      <w:r w:rsidRPr="00DB2AFA">
        <w:rPr>
          <w:rFonts w:ascii="Tahoma" w:hAnsi="Tahoma"/>
          <w:sz w:val="27"/>
          <w:rtl/>
          <w:lang w:bidi="fa-IR"/>
        </w:rPr>
        <w:t xml:space="preserve"> الارتقاء بالدراسة الاجتماعية في</w:t>
      </w:r>
      <w:r w:rsidR="00977655" w:rsidRPr="00DB2AFA">
        <w:rPr>
          <w:rFonts w:ascii="Tahoma" w:hAnsi="Tahoma" w:hint="cs"/>
          <w:sz w:val="27"/>
          <w:rtl/>
          <w:lang w:bidi="fa-IR"/>
        </w:rPr>
        <w:t xml:space="preserve"> </w:t>
      </w:r>
      <w:r w:rsidRPr="00DB2AFA">
        <w:rPr>
          <w:rFonts w:ascii="Tahoma" w:hAnsi="Tahoma"/>
          <w:sz w:val="27"/>
          <w:rtl/>
          <w:lang w:bidi="fa-IR"/>
        </w:rPr>
        <w:t>ما يتعل</w:t>
      </w:r>
      <w:r w:rsidR="00977655" w:rsidRPr="00DB2AFA">
        <w:rPr>
          <w:rFonts w:ascii="Tahoma" w:hAnsi="Tahoma" w:hint="cs"/>
          <w:sz w:val="27"/>
          <w:rtl/>
          <w:lang w:bidi="fa-IR"/>
        </w:rPr>
        <w:t>َّ</w:t>
      </w:r>
      <w:r w:rsidRPr="00DB2AFA">
        <w:rPr>
          <w:rFonts w:ascii="Tahoma" w:hAnsi="Tahoma"/>
          <w:sz w:val="27"/>
          <w:rtl/>
          <w:lang w:bidi="fa-IR"/>
        </w:rPr>
        <w:t>ق بدراسة القانون أو التشريع</w:t>
      </w:r>
      <w:r w:rsidR="00977655" w:rsidRPr="00DB2AFA">
        <w:rPr>
          <w:rFonts w:ascii="Tahoma" w:hAnsi="Tahoma" w:hint="cs"/>
          <w:sz w:val="27"/>
          <w:rtl/>
          <w:lang w:bidi="fa-IR"/>
        </w:rPr>
        <w:t>.</w:t>
      </w:r>
      <w:r w:rsidRPr="00DB2AFA">
        <w:rPr>
          <w:rFonts w:ascii="Tahoma" w:hAnsi="Tahoma"/>
          <w:sz w:val="27"/>
          <w:rtl/>
          <w:lang w:bidi="fa-IR"/>
        </w:rPr>
        <w:t xml:space="preserve"> وبناء</w:t>
      </w:r>
      <w:r w:rsidR="00977655" w:rsidRPr="00DB2AFA">
        <w:rPr>
          <w:rFonts w:ascii="Tahoma" w:hAnsi="Tahoma" w:hint="cs"/>
          <w:sz w:val="27"/>
          <w:rtl/>
          <w:lang w:bidi="fa-IR"/>
        </w:rPr>
        <w:t>ً</w:t>
      </w:r>
      <w:r w:rsidRPr="00904FCB">
        <w:rPr>
          <w:rFonts w:ascii="Tahoma" w:hAnsi="Tahoma"/>
          <w:sz w:val="27"/>
          <w:rtl/>
          <w:lang w:bidi="fa-IR"/>
        </w:rPr>
        <w:t xml:space="preserve"> على ذلك نظر باوند إلى القانون باعتباره مؤس</w:t>
      </w:r>
      <w:r w:rsidR="00977655" w:rsidRPr="00904FCB">
        <w:rPr>
          <w:rFonts w:ascii="Tahoma" w:hAnsi="Tahoma" w:hint="cs"/>
          <w:sz w:val="27"/>
          <w:rtl/>
          <w:lang w:bidi="fa-IR"/>
        </w:rPr>
        <w:t>ّ</w:t>
      </w:r>
      <w:r w:rsidRPr="00904FCB">
        <w:rPr>
          <w:rFonts w:ascii="Tahoma" w:hAnsi="Tahoma"/>
          <w:sz w:val="27"/>
          <w:rtl/>
          <w:lang w:bidi="fa-IR"/>
        </w:rPr>
        <w:t>سة اجتماعية قد تتحس</w:t>
      </w:r>
      <w:r w:rsidR="00977655" w:rsidRPr="00904FCB">
        <w:rPr>
          <w:rFonts w:ascii="Tahoma" w:hAnsi="Tahoma" w:hint="cs"/>
          <w:sz w:val="27"/>
          <w:rtl/>
          <w:lang w:bidi="fa-IR"/>
        </w:rPr>
        <w:t>َّ</w:t>
      </w:r>
      <w:r w:rsidRPr="00904FCB">
        <w:rPr>
          <w:rFonts w:ascii="Tahoma" w:hAnsi="Tahoma"/>
          <w:sz w:val="27"/>
          <w:rtl/>
          <w:lang w:bidi="fa-IR"/>
        </w:rPr>
        <w:t>ن بالجهود الذكي</w:t>
      </w:r>
      <w:r w:rsidR="00977655" w:rsidRPr="00904FCB">
        <w:rPr>
          <w:rFonts w:ascii="Tahoma" w:hAnsi="Tahoma" w:hint="cs"/>
          <w:sz w:val="27"/>
          <w:rtl/>
          <w:lang w:bidi="fa-IR"/>
        </w:rPr>
        <w:t>ّ</w:t>
      </w:r>
      <w:r w:rsidRPr="00904FCB">
        <w:rPr>
          <w:rFonts w:ascii="Tahoma" w:hAnsi="Tahoma"/>
          <w:sz w:val="27"/>
          <w:rtl/>
          <w:lang w:bidi="fa-IR"/>
        </w:rPr>
        <w:t>ة</w:t>
      </w:r>
      <w:r w:rsidR="00977655" w:rsidRPr="00904FCB">
        <w:rPr>
          <w:rFonts w:ascii="Tahoma" w:hAnsi="Tahoma" w:hint="cs"/>
          <w:sz w:val="27"/>
          <w:rtl/>
          <w:lang w:bidi="fa-IR"/>
        </w:rPr>
        <w:t>،</w:t>
      </w:r>
      <w:r w:rsidRPr="00904FCB">
        <w:rPr>
          <w:rFonts w:ascii="Tahoma" w:hAnsi="Tahoma"/>
          <w:sz w:val="27"/>
          <w:rtl/>
          <w:lang w:bidi="fa-IR"/>
        </w:rPr>
        <w:t xml:space="preserve"> التي تحاول اكتشاف أحسن الوسائل لدفع وتوجيه هذه الجهود. </w:t>
      </w:r>
    </w:p>
    <w:p w:rsidR="00644408" w:rsidRPr="00904FCB" w:rsidRDefault="00644408"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3ـ</w:t>
      </w:r>
      <w:r w:rsidRPr="00DB2AFA">
        <w:rPr>
          <w:rFonts w:ascii="Tahoma" w:hAnsi="Tahoma"/>
          <w:sz w:val="27"/>
          <w:rtl/>
          <w:lang w:bidi="fa-IR"/>
        </w:rPr>
        <w:t xml:space="preserve"> القيام بدراسة وسائل تزيد من فاعلي</w:t>
      </w:r>
      <w:r w:rsidR="00977655" w:rsidRPr="00DB2AFA">
        <w:rPr>
          <w:rFonts w:ascii="Tahoma" w:hAnsi="Tahoma" w:hint="cs"/>
          <w:sz w:val="27"/>
          <w:rtl/>
          <w:lang w:bidi="fa-IR"/>
        </w:rPr>
        <w:t>ّ</w:t>
      </w:r>
      <w:r w:rsidRPr="00DB2AFA">
        <w:rPr>
          <w:rFonts w:ascii="Tahoma" w:hAnsi="Tahoma"/>
          <w:sz w:val="27"/>
          <w:rtl/>
          <w:lang w:bidi="fa-IR"/>
        </w:rPr>
        <w:t>ة القوانين، والتأكيد على الأهداف</w:t>
      </w:r>
      <w:r w:rsidRPr="00904FCB">
        <w:rPr>
          <w:rFonts w:ascii="Tahoma" w:hAnsi="Tahoma"/>
          <w:sz w:val="27"/>
          <w:rtl/>
          <w:lang w:bidi="fa-IR"/>
        </w:rPr>
        <w:t xml:space="preserve"> </w:t>
      </w:r>
      <w:r w:rsidRPr="00904FCB">
        <w:rPr>
          <w:rFonts w:ascii="Tahoma" w:hAnsi="Tahoma"/>
          <w:sz w:val="27"/>
          <w:rtl/>
          <w:lang w:bidi="fa-IR"/>
        </w:rPr>
        <w:lastRenderedPageBreak/>
        <w:t>الاجتماعية التي يخدمها القانون</w:t>
      </w:r>
      <w:r w:rsidR="00977655" w:rsidRPr="00904FCB">
        <w:rPr>
          <w:rFonts w:ascii="Tahoma" w:hAnsi="Tahoma" w:hint="cs"/>
          <w:sz w:val="27"/>
          <w:rtl/>
          <w:lang w:bidi="fa-IR"/>
        </w:rPr>
        <w:t>،</w:t>
      </w:r>
      <w:r w:rsidRPr="00904FCB">
        <w:rPr>
          <w:rFonts w:ascii="Tahoma" w:hAnsi="Tahoma"/>
          <w:sz w:val="27"/>
          <w:rtl/>
          <w:lang w:bidi="fa-IR"/>
        </w:rPr>
        <w:t xml:space="preserve"> أكثر من الاهتمام بالجانب العقابي. </w:t>
      </w:r>
    </w:p>
    <w:p w:rsidR="00644408" w:rsidRPr="00904FCB" w:rsidRDefault="00644408"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4ـ</w:t>
      </w:r>
      <w:r w:rsidRPr="00DB2AFA">
        <w:rPr>
          <w:rFonts w:ascii="Tahoma" w:hAnsi="Tahoma"/>
          <w:sz w:val="27"/>
          <w:rtl/>
          <w:lang w:bidi="fa-IR"/>
        </w:rPr>
        <w:t xml:space="preserve"> دراسة التاريخ الاجتماعي للقانون، أي ما نتج عن التأثير الاجتماعي للأفكار</w:t>
      </w:r>
      <w:r w:rsidRPr="00904FCB">
        <w:rPr>
          <w:rFonts w:ascii="Tahoma" w:hAnsi="Tahoma"/>
          <w:sz w:val="27"/>
          <w:rtl/>
          <w:lang w:bidi="fa-IR"/>
        </w:rPr>
        <w:t xml:space="preserve"> القانونية في الماضي</w:t>
      </w:r>
      <w:r w:rsidR="00977655" w:rsidRPr="00904FCB">
        <w:rPr>
          <w:rFonts w:ascii="Tahoma" w:hAnsi="Tahoma" w:hint="cs"/>
          <w:sz w:val="27"/>
          <w:rtl/>
          <w:lang w:bidi="fa-IR"/>
        </w:rPr>
        <w:t>،</w:t>
      </w:r>
      <w:r w:rsidRPr="00904FCB">
        <w:rPr>
          <w:rFonts w:ascii="Tahoma" w:hAnsi="Tahoma"/>
          <w:sz w:val="27"/>
          <w:rtl/>
          <w:lang w:bidi="fa-IR"/>
        </w:rPr>
        <w:t xml:space="preserve"> والاستفادة منه في الوقت الحالي</w:t>
      </w:r>
      <w:r w:rsidR="00977655" w:rsidRPr="00904FCB">
        <w:rPr>
          <w:rFonts w:ascii="Tahoma" w:hAnsi="Tahoma" w:hint="cs"/>
          <w:sz w:val="27"/>
          <w:rtl/>
          <w:lang w:bidi="fa-IR"/>
        </w:rPr>
        <w:t>؛</w:t>
      </w:r>
      <w:r w:rsidRPr="00904FCB">
        <w:rPr>
          <w:rFonts w:ascii="Tahoma" w:hAnsi="Tahoma"/>
          <w:sz w:val="27"/>
          <w:rtl/>
          <w:lang w:bidi="fa-IR"/>
        </w:rPr>
        <w:t xml:space="preserve"> لأن القانون مرآة</w:t>
      </w:r>
      <w:r w:rsidR="00977655" w:rsidRPr="00904FCB">
        <w:rPr>
          <w:rFonts w:ascii="Tahoma" w:hAnsi="Tahoma" w:hint="cs"/>
          <w:sz w:val="27"/>
          <w:rtl/>
          <w:lang w:bidi="fa-IR"/>
        </w:rPr>
        <w:t>ٌ</w:t>
      </w:r>
      <w:r w:rsidRPr="00904FCB">
        <w:rPr>
          <w:rFonts w:ascii="Tahoma" w:hAnsi="Tahoma"/>
          <w:sz w:val="27"/>
          <w:rtl/>
          <w:lang w:bidi="fa-IR"/>
        </w:rPr>
        <w:t xml:space="preserve"> لثقافة المجتمع. </w:t>
      </w:r>
    </w:p>
    <w:p w:rsidR="00644408" w:rsidRPr="00904FCB" w:rsidRDefault="00644408"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5ـ</w:t>
      </w:r>
      <w:r w:rsidRPr="00DB2AFA">
        <w:rPr>
          <w:rFonts w:ascii="Tahoma" w:hAnsi="Tahoma"/>
          <w:sz w:val="27"/>
          <w:rtl/>
          <w:lang w:bidi="fa-IR"/>
        </w:rPr>
        <w:t xml:space="preserve"> البحث عم</w:t>
      </w:r>
      <w:r w:rsidR="00977655" w:rsidRPr="00DB2AFA">
        <w:rPr>
          <w:rFonts w:ascii="Tahoma" w:hAnsi="Tahoma" w:hint="cs"/>
          <w:sz w:val="27"/>
          <w:rtl/>
          <w:lang w:bidi="fa-IR"/>
        </w:rPr>
        <w:t>ّ</w:t>
      </w:r>
      <w:r w:rsidRPr="00DB2AFA">
        <w:rPr>
          <w:rFonts w:ascii="Tahoma" w:hAnsi="Tahoma"/>
          <w:sz w:val="27"/>
          <w:rtl/>
          <w:lang w:bidi="fa-IR"/>
        </w:rPr>
        <w:t>ا ي</w:t>
      </w:r>
      <w:r w:rsidR="00977655" w:rsidRPr="00DB2AFA">
        <w:rPr>
          <w:rFonts w:ascii="Tahoma" w:hAnsi="Tahoma" w:hint="cs"/>
          <w:sz w:val="27"/>
          <w:rtl/>
          <w:lang w:bidi="fa-IR"/>
        </w:rPr>
        <w:t>ُ</w:t>
      </w:r>
      <w:r w:rsidRPr="00DB2AFA">
        <w:rPr>
          <w:rFonts w:ascii="Tahoma" w:hAnsi="Tahoma"/>
          <w:sz w:val="27"/>
          <w:rtl/>
          <w:lang w:bidi="fa-IR"/>
        </w:rPr>
        <w:t>س</w:t>
      </w:r>
      <w:r w:rsidR="00977655" w:rsidRPr="00DB2AFA">
        <w:rPr>
          <w:rFonts w:ascii="Tahoma" w:hAnsi="Tahoma" w:hint="cs"/>
          <w:sz w:val="27"/>
          <w:rtl/>
          <w:lang w:bidi="fa-IR"/>
        </w:rPr>
        <w:t>َ</w:t>
      </w:r>
      <w:r w:rsidRPr="00DB2AFA">
        <w:rPr>
          <w:rFonts w:ascii="Tahoma" w:hAnsi="Tahoma"/>
          <w:sz w:val="27"/>
          <w:rtl/>
          <w:lang w:bidi="fa-IR"/>
        </w:rPr>
        <w:t>م</w:t>
      </w:r>
      <w:r w:rsidR="00977655" w:rsidRPr="00DB2AFA">
        <w:rPr>
          <w:rFonts w:ascii="Tahoma" w:hAnsi="Tahoma" w:hint="cs"/>
          <w:sz w:val="27"/>
          <w:rtl/>
          <w:lang w:bidi="fa-IR"/>
        </w:rPr>
        <w:t>ّ</w:t>
      </w:r>
      <w:r w:rsidRPr="00DB2AFA">
        <w:rPr>
          <w:rFonts w:ascii="Tahoma" w:hAnsi="Tahoma"/>
          <w:sz w:val="27"/>
          <w:rtl/>
          <w:lang w:bidi="fa-IR"/>
        </w:rPr>
        <w:t>ى بـ«التطبيق العادل للقانون»</w:t>
      </w:r>
      <w:r w:rsidR="00977655" w:rsidRPr="00DB2AFA">
        <w:rPr>
          <w:rFonts w:ascii="Tahoma" w:hAnsi="Tahoma" w:hint="cs"/>
          <w:sz w:val="27"/>
          <w:rtl/>
          <w:lang w:bidi="fa-IR"/>
        </w:rPr>
        <w:t>،</w:t>
      </w:r>
      <w:r w:rsidRPr="00DB2AFA">
        <w:rPr>
          <w:rFonts w:ascii="Tahoma" w:hAnsi="Tahoma"/>
          <w:sz w:val="27"/>
          <w:rtl/>
          <w:lang w:bidi="fa-IR"/>
        </w:rPr>
        <w:t xml:space="preserve"> والنظر إلى المبادئ القانونية</w:t>
      </w:r>
      <w:r w:rsidRPr="00904FCB">
        <w:rPr>
          <w:rFonts w:ascii="Tahoma" w:hAnsi="Tahoma"/>
          <w:sz w:val="27"/>
          <w:rtl/>
          <w:lang w:bidi="fa-IR"/>
        </w:rPr>
        <w:t xml:space="preserve"> نظرة</w:t>
      </w:r>
      <w:r w:rsidR="00977655" w:rsidRPr="00904FCB">
        <w:rPr>
          <w:rFonts w:ascii="Tahoma" w:hAnsi="Tahoma" w:hint="cs"/>
          <w:sz w:val="27"/>
          <w:rtl/>
          <w:lang w:bidi="fa-IR"/>
        </w:rPr>
        <w:t>ً</w:t>
      </w:r>
      <w:r w:rsidRPr="00904FCB">
        <w:rPr>
          <w:rFonts w:ascii="Tahoma" w:hAnsi="Tahoma"/>
          <w:sz w:val="27"/>
          <w:rtl/>
          <w:lang w:bidi="fa-IR"/>
        </w:rPr>
        <w:t xml:space="preserve"> أعمق</w:t>
      </w:r>
      <w:r w:rsidR="00977655" w:rsidRPr="00904FCB">
        <w:rPr>
          <w:rFonts w:ascii="Tahoma" w:hAnsi="Tahoma" w:hint="cs"/>
          <w:sz w:val="27"/>
          <w:rtl/>
          <w:lang w:bidi="fa-IR"/>
        </w:rPr>
        <w:t>،</w:t>
      </w:r>
      <w:r w:rsidRPr="00904FCB">
        <w:rPr>
          <w:rFonts w:ascii="Tahoma" w:hAnsi="Tahoma"/>
          <w:sz w:val="27"/>
          <w:rtl/>
          <w:lang w:bidi="fa-IR"/>
        </w:rPr>
        <w:t xml:space="preserve"> على أنها م</w:t>
      </w:r>
      <w:r w:rsidR="00977655" w:rsidRPr="00904FCB">
        <w:rPr>
          <w:rFonts w:ascii="Tahoma" w:hAnsi="Tahoma" w:hint="cs"/>
          <w:sz w:val="27"/>
          <w:rtl/>
          <w:lang w:bidi="fa-IR"/>
        </w:rPr>
        <w:t>ُ</w:t>
      </w:r>
      <w:r w:rsidRPr="00904FCB">
        <w:rPr>
          <w:rFonts w:ascii="Tahoma" w:hAnsi="Tahoma"/>
          <w:sz w:val="27"/>
          <w:rtl/>
          <w:lang w:bidi="fa-IR"/>
        </w:rPr>
        <w:t>ع</w:t>
      </w:r>
      <w:r w:rsidR="00977655" w:rsidRPr="00904FCB">
        <w:rPr>
          <w:rFonts w:ascii="Tahoma" w:hAnsi="Tahoma" w:hint="cs"/>
          <w:sz w:val="27"/>
          <w:rtl/>
          <w:lang w:bidi="fa-IR"/>
        </w:rPr>
        <w:t>ِ</w:t>
      </w:r>
      <w:r w:rsidRPr="00904FCB">
        <w:rPr>
          <w:rFonts w:ascii="Tahoma" w:hAnsi="Tahoma"/>
          <w:sz w:val="27"/>
          <w:rtl/>
          <w:lang w:bidi="fa-IR"/>
        </w:rPr>
        <w:t>ينات للنتائج المنضبطة اجتماعياً. ولا تكون هذه المبادئ جامدة</w:t>
      </w:r>
      <w:r w:rsidR="00977655" w:rsidRPr="00904FCB">
        <w:rPr>
          <w:rFonts w:ascii="Tahoma" w:hAnsi="Tahoma" w:hint="cs"/>
          <w:sz w:val="27"/>
          <w:rtl/>
          <w:lang w:bidi="fa-IR"/>
        </w:rPr>
        <w:t>ً</w:t>
      </w:r>
      <w:r w:rsidRPr="00904FCB">
        <w:rPr>
          <w:rFonts w:ascii="Tahoma" w:hAnsi="Tahoma"/>
          <w:sz w:val="27"/>
          <w:rtl/>
          <w:lang w:bidi="fa-IR"/>
        </w:rPr>
        <w:t xml:space="preserve"> وغير مرنة. </w:t>
      </w:r>
    </w:p>
    <w:p w:rsidR="00644408" w:rsidRPr="00904FCB" w:rsidRDefault="00644408"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6ـ</w:t>
      </w:r>
      <w:r w:rsidRPr="00DB2AFA">
        <w:rPr>
          <w:rFonts w:ascii="Tahoma" w:hAnsi="Tahoma"/>
          <w:sz w:val="27"/>
          <w:rtl/>
          <w:lang w:bidi="fa-IR"/>
        </w:rPr>
        <w:t xml:space="preserve"> وأخيراً بذل المزيد من الجهد لجعل هذه المبادئ أكثر فاعلية وعملية</w:t>
      </w:r>
      <w:r w:rsidR="00977655" w:rsidRPr="00DB2AFA">
        <w:rPr>
          <w:rFonts w:ascii="Tahoma" w:hAnsi="Tahoma" w:hint="cs"/>
          <w:sz w:val="27"/>
          <w:rtl/>
          <w:lang w:bidi="fa-IR"/>
        </w:rPr>
        <w:t>؛</w:t>
      </w:r>
      <w:r w:rsidRPr="00DB2AFA">
        <w:rPr>
          <w:rFonts w:ascii="Tahoma" w:hAnsi="Tahoma"/>
          <w:sz w:val="27"/>
          <w:rtl/>
          <w:lang w:bidi="fa-IR"/>
        </w:rPr>
        <w:t xml:space="preserve"> لتحقيق</w:t>
      </w:r>
      <w:r w:rsidRPr="00904FCB">
        <w:rPr>
          <w:rFonts w:ascii="Tahoma" w:hAnsi="Tahoma"/>
          <w:sz w:val="27"/>
          <w:rtl/>
          <w:lang w:bidi="fa-IR"/>
        </w:rPr>
        <w:t xml:space="preserve"> أغراض القانون. </w:t>
      </w:r>
    </w:p>
    <w:p w:rsidR="00644408" w:rsidRPr="00904FCB" w:rsidRDefault="00146B62" w:rsidP="007A21AA">
      <w:pPr>
        <w:autoSpaceDE w:val="0"/>
        <w:autoSpaceDN w:val="0"/>
        <w:adjustRightInd w:val="0"/>
        <w:spacing w:line="400" w:lineRule="exact"/>
        <w:rPr>
          <w:rFonts w:ascii="Tahoma" w:hAnsi="Tahoma"/>
          <w:sz w:val="27"/>
          <w:lang w:bidi="fa-IR"/>
        </w:rPr>
      </w:pPr>
      <w:r w:rsidRPr="00904FCB">
        <w:rPr>
          <w:rFonts w:ascii="Tahoma" w:hAnsi="Tahoma" w:hint="cs"/>
          <w:sz w:val="27"/>
          <w:rtl/>
          <w:lang w:bidi="fa-IR"/>
        </w:rPr>
        <w:t>وبلا</w:t>
      </w:r>
      <w:r w:rsidR="00644408" w:rsidRPr="00904FCB">
        <w:rPr>
          <w:rFonts w:ascii="Tahoma" w:hAnsi="Tahoma"/>
          <w:sz w:val="27"/>
          <w:rtl/>
          <w:lang w:bidi="fa-IR"/>
        </w:rPr>
        <w:t xml:space="preserve"> ش</w:t>
      </w:r>
      <w:r w:rsidR="00977655" w:rsidRPr="00904FCB">
        <w:rPr>
          <w:rFonts w:ascii="Tahoma" w:hAnsi="Tahoma" w:hint="cs"/>
          <w:sz w:val="27"/>
          <w:rtl/>
          <w:lang w:bidi="fa-IR"/>
        </w:rPr>
        <w:t>َ</w:t>
      </w:r>
      <w:r w:rsidR="00644408" w:rsidRPr="00904FCB">
        <w:rPr>
          <w:rFonts w:ascii="Tahoma" w:hAnsi="Tahoma"/>
          <w:sz w:val="27"/>
          <w:rtl/>
          <w:lang w:bidi="fa-IR"/>
        </w:rPr>
        <w:t>ك</w:t>
      </w:r>
      <w:r w:rsidR="00977655" w:rsidRPr="00904FCB">
        <w:rPr>
          <w:rFonts w:ascii="Tahoma" w:hAnsi="Tahoma" w:hint="cs"/>
          <w:sz w:val="27"/>
          <w:rtl/>
          <w:lang w:bidi="fa-IR"/>
        </w:rPr>
        <w:t>ٍّ</w:t>
      </w:r>
      <w:r w:rsidR="00644408" w:rsidRPr="00904FCB">
        <w:rPr>
          <w:rFonts w:ascii="Tahoma" w:hAnsi="Tahoma"/>
          <w:sz w:val="27"/>
          <w:rtl/>
          <w:lang w:bidi="fa-IR"/>
        </w:rPr>
        <w:t xml:space="preserve"> </w:t>
      </w:r>
      <w:r w:rsidRPr="00904FCB">
        <w:rPr>
          <w:rFonts w:ascii="Tahoma" w:hAnsi="Tahoma" w:hint="cs"/>
          <w:sz w:val="27"/>
          <w:rtl/>
          <w:lang w:bidi="fa-IR"/>
        </w:rPr>
        <w:t>فإ</w:t>
      </w:r>
      <w:r w:rsidR="00644408" w:rsidRPr="00904FCB">
        <w:rPr>
          <w:rFonts w:ascii="Tahoma" w:hAnsi="Tahoma"/>
          <w:sz w:val="27"/>
          <w:rtl/>
          <w:lang w:bidi="fa-IR"/>
        </w:rPr>
        <w:t>ن اثنتين من النقاط الست</w:t>
      </w:r>
      <w:r w:rsidRPr="00904FCB">
        <w:rPr>
          <w:rFonts w:ascii="Tahoma" w:hAnsi="Tahoma" w:hint="cs"/>
          <w:sz w:val="27"/>
          <w:rtl/>
          <w:lang w:bidi="fa-IR"/>
        </w:rPr>
        <w:t>ّ</w:t>
      </w:r>
      <w:r w:rsidR="00644408" w:rsidRPr="00904FCB">
        <w:rPr>
          <w:rFonts w:ascii="Tahoma" w:hAnsi="Tahoma"/>
          <w:sz w:val="27"/>
          <w:rtl/>
          <w:lang w:bidi="fa-IR"/>
        </w:rPr>
        <w:t xml:space="preserve"> التي وضعها «باوند» في برنامجه تشير إلى أهم</w:t>
      </w:r>
      <w:r w:rsidRPr="00904FCB">
        <w:rPr>
          <w:rFonts w:ascii="Tahoma" w:hAnsi="Tahoma" w:hint="cs"/>
          <w:sz w:val="27"/>
          <w:rtl/>
          <w:lang w:bidi="fa-IR"/>
        </w:rPr>
        <w:t>ّ</w:t>
      </w:r>
      <w:r w:rsidR="00644408" w:rsidRPr="00904FCB">
        <w:rPr>
          <w:rFonts w:ascii="Tahoma" w:hAnsi="Tahoma"/>
          <w:sz w:val="27"/>
          <w:rtl/>
          <w:lang w:bidi="fa-IR"/>
        </w:rPr>
        <w:t>ي</w:t>
      </w:r>
      <w:r w:rsidRPr="00904FCB">
        <w:rPr>
          <w:rFonts w:ascii="Tahoma" w:hAnsi="Tahoma" w:hint="cs"/>
          <w:sz w:val="27"/>
          <w:rtl/>
          <w:lang w:bidi="fa-IR"/>
        </w:rPr>
        <w:t>ّ</w:t>
      </w:r>
      <w:r w:rsidR="00644408" w:rsidRPr="00904FCB">
        <w:rPr>
          <w:rFonts w:ascii="Tahoma" w:hAnsi="Tahoma"/>
          <w:sz w:val="27"/>
          <w:rtl/>
          <w:lang w:bidi="fa-IR"/>
        </w:rPr>
        <w:t>ة النظر إلى الجانب الاجتماعي للقانون</w:t>
      </w:r>
      <w:r w:rsidRPr="00904FCB">
        <w:rPr>
          <w:rFonts w:ascii="Tahoma" w:hAnsi="Tahoma" w:hint="cs"/>
          <w:sz w:val="27"/>
          <w:rtl/>
          <w:lang w:bidi="fa-IR"/>
        </w:rPr>
        <w:t>،</w:t>
      </w:r>
      <w:r w:rsidR="00644408" w:rsidRPr="00904FCB">
        <w:rPr>
          <w:rFonts w:ascii="Tahoma" w:hAnsi="Tahoma"/>
          <w:sz w:val="27"/>
          <w:rtl/>
          <w:lang w:bidi="fa-IR"/>
        </w:rPr>
        <w:t xml:space="preserve"> ودراسة التأثيرات الاجتماعية له، والاهتمام بالجانب المهني لحرفة القضاء والقاضي. أما الاهتمام الحقيقي بنظرية «المصلحة الاجتماعية» فقد ظهر فيما بعد</w:t>
      </w:r>
      <w:r w:rsidRPr="00904FCB">
        <w:rPr>
          <w:rFonts w:ascii="Tahoma" w:hAnsi="Tahoma" w:hint="cs"/>
          <w:sz w:val="27"/>
          <w:rtl/>
          <w:lang w:bidi="fa-IR"/>
        </w:rPr>
        <w:t>،</w:t>
      </w:r>
      <w:r w:rsidR="00644408" w:rsidRPr="00904FCB">
        <w:rPr>
          <w:rFonts w:ascii="Tahoma" w:hAnsi="Tahoma"/>
          <w:sz w:val="27"/>
          <w:rtl/>
          <w:lang w:bidi="fa-IR"/>
        </w:rPr>
        <w:t xml:space="preserve"> سنة</w:t>
      </w:r>
      <w:r w:rsidR="00644408" w:rsidRPr="00904FCB">
        <w:rPr>
          <w:rFonts w:ascii="Tahoma" w:hAnsi="Tahoma" w:hint="cs"/>
          <w:sz w:val="27"/>
          <w:rtl/>
          <w:lang w:bidi="fa-IR"/>
        </w:rPr>
        <w:t xml:space="preserve"> </w:t>
      </w:r>
      <w:r w:rsidR="00644408" w:rsidRPr="00DB2AFA">
        <w:rPr>
          <w:rFonts w:ascii="Tahoma" w:hAnsi="Tahoma" w:hint="cs"/>
          <w:sz w:val="27"/>
          <w:rtl/>
          <w:lang w:bidi="ar-LB"/>
        </w:rPr>
        <w:t>1913</w:t>
      </w:r>
      <w:r w:rsidR="00644408"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وبالإضافة إلى هذه المقالة كتب «باوند» دراسات</w:t>
      </w:r>
      <w:r w:rsidR="00146B62" w:rsidRPr="00904FCB">
        <w:rPr>
          <w:rFonts w:ascii="Tahoma" w:hAnsi="Tahoma" w:hint="cs"/>
          <w:sz w:val="27"/>
          <w:rtl/>
          <w:lang w:bidi="fa-IR"/>
        </w:rPr>
        <w:t>ٍ</w:t>
      </w:r>
      <w:r w:rsidRPr="00904FCB">
        <w:rPr>
          <w:rFonts w:ascii="Tahoma" w:hAnsi="Tahoma"/>
          <w:sz w:val="27"/>
          <w:rtl/>
          <w:lang w:bidi="fa-IR"/>
        </w:rPr>
        <w:t xml:space="preserve"> أخرى في عدد</w:t>
      </w:r>
      <w:r w:rsidR="00146B62" w:rsidRPr="00904FCB">
        <w:rPr>
          <w:rFonts w:ascii="Tahoma" w:hAnsi="Tahoma" w:hint="cs"/>
          <w:sz w:val="27"/>
          <w:rtl/>
          <w:lang w:bidi="fa-IR"/>
        </w:rPr>
        <w:t>ٍ</w:t>
      </w:r>
      <w:r w:rsidRPr="00904FCB">
        <w:rPr>
          <w:rFonts w:ascii="Tahoma" w:hAnsi="Tahoma"/>
          <w:sz w:val="27"/>
          <w:rtl/>
          <w:lang w:bidi="fa-IR"/>
        </w:rPr>
        <w:t xml:space="preserve"> من المجلات</w:t>
      </w:r>
      <w:r w:rsidR="00146B62" w:rsidRPr="00904FCB">
        <w:rPr>
          <w:rFonts w:ascii="Tahoma" w:hAnsi="Tahoma" w:hint="cs"/>
          <w:sz w:val="27"/>
          <w:rtl/>
          <w:lang w:bidi="fa-IR"/>
        </w:rPr>
        <w:t>.</w:t>
      </w:r>
      <w:r w:rsidRPr="00904FCB">
        <w:rPr>
          <w:rFonts w:ascii="Tahoma" w:hAnsi="Tahoma"/>
          <w:sz w:val="27"/>
          <w:rtl/>
          <w:lang w:bidi="fa-IR"/>
        </w:rPr>
        <w:t xml:space="preserve"> </w:t>
      </w:r>
      <w:r w:rsidR="00146B62" w:rsidRPr="00904FCB">
        <w:rPr>
          <w:rFonts w:ascii="Tahoma" w:hAnsi="Tahoma" w:hint="cs"/>
          <w:sz w:val="27"/>
          <w:rtl/>
          <w:lang w:bidi="fa-IR"/>
        </w:rPr>
        <w:t>و</w:t>
      </w:r>
      <w:r w:rsidRPr="00904FCB">
        <w:rPr>
          <w:rFonts w:ascii="Tahoma" w:hAnsi="Tahoma"/>
          <w:sz w:val="27"/>
          <w:rtl/>
          <w:lang w:bidi="fa-IR"/>
        </w:rPr>
        <w:t>كانت تدور حول الاهتمام بالجوانب الاجتماعية للقانون</w:t>
      </w:r>
      <w:r w:rsidR="00146B62" w:rsidRPr="00904FCB">
        <w:rPr>
          <w:rFonts w:ascii="Tahoma" w:hAnsi="Tahoma" w:hint="cs"/>
          <w:sz w:val="27"/>
          <w:rtl/>
          <w:lang w:bidi="fa-IR"/>
        </w:rPr>
        <w:t>،</w:t>
      </w:r>
      <w:r w:rsidRPr="00904FCB">
        <w:rPr>
          <w:rFonts w:ascii="Tahoma" w:hAnsi="Tahoma"/>
          <w:sz w:val="27"/>
          <w:rtl/>
          <w:lang w:bidi="fa-IR"/>
        </w:rPr>
        <w:t xml:space="preserve"> حتى أنّه رأى أن «علم الاجتماع يمكن تحقيقه على أكمل وجه</w:t>
      </w:r>
      <w:r w:rsidR="00146B62" w:rsidRPr="00904FCB">
        <w:rPr>
          <w:rFonts w:ascii="Tahoma" w:hAnsi="Tahoma" w:hint="cs"/>
          <w:sz w:val="27"/>
          <w:rtl/>
          <w:lang w:bidi="fa-IR"/>
        </w:rPr>
        <w:t>ٍ</w:t>
      </w:r>
      <w:r w:rsidRPr="00904FCB">
        <w:rPr>
          <w:rFonts w:ascii="Tahoma" w:hAnsi="Tahoma"/>
          <w:sz w:val="27"/>
          <w:rtl/>
          <w:lang w:bidi="fa-IR"/>
        </w:rPr>
        <w:t xml:space="preserve"> عن طريق الأهداف الاجتماعية التي يتبن</w:t>
      </w:r>
      <w:r w:rsidR="00146B62" w:rsidRPr="00904FCB">
        <w:rPr>
          <w:rFonts w:ascii="Tahoma" w:hAnsi="Tahoma" w:hint="cs"/>
          <w:sz w:val="27"/>
          <w:rtl/>
          <w:lang w:bidi="fa-IR"/>
        </w:rPr>
        <w:t>ّ</w:t>
      </w:r>
      <w:r w:rsidRPr="00904FCB">
        <w:rPr>
          <w:rFonts w:ascii="Tahoma" w:hAnsi="Tahoma"/>
          <w:sz w:val="27"/>
          <w:rtl/>
          <w:lang w:bidi="fa-IR"/>
        </w:rPr>
        <w:t>اها الفقيه»</w:t>
      </w:r>
      <w:r w:rsidRPr="00904FCB">
        <w:rPr>
          <w:rFonts w:hint="cs"/>
          <w:sz w:val="27"/>
          <w:vertAlign w:val="superscript"/>
          <w:rtl/>
        </w:rPr>
        <w:t>(</w:t>
      </w:r>
      <w:r w:rsidRPr="00904FCB">
        <w:rPr>
          <w:rStyle w:val="ac"/>
          <w:sz w:val="27"/>
          <w:rtl/>
        </w:rPr>
        <w:endnoteReference w:id="269"/>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وبتقد</w:t>
      </w:r>
      <w:r w:rsidR="00146B62" w:rsidRPr="00904FCB">
        <w:rPr>
          <w:rFonts w:ascii="Tahoma" w:hAnsi="Tahoma" w:hint="cs"/>
          <w:sz w:val="27"/>
          <w:rtl/>
          <w:lang w:bidi="fa-IR"/>
        </w:rPr>
        <w:t>ُّ</w:t>
      </w:r>
      <w:r w:rsidRPr="00904FCB">
        <w:rPr>
          <w:rFonts w:ascii="Tahoma" w:hAnsi="Tahoma"/>
          <w:sz w:val="27"/>
          <w:rtl/>
          <w:lang w:bidi="fa-IR"/>
        </w:rPr>
        <w:t>م المؤل</w:t>
      </w:r>
      <w:r w:rsidR="00146B62" w:rsidRPr="00904FCB">
        <w:rPr>
          <w:rFonts w:ascii="Tahoma" w:hAnsi="Tahoma" w:hint="cs"/>
          <w:sz w:val="27"/>
          <w:rtl/>
          <w:lang w:bidi="fa-IR"/>
        </w:rPr>
        <w:t>َّ</w:t>
      </w:r>
      <w:r w:rsidRPr="00904FCB">
        <w:rPr>
          <w:rFonts w:ascii="Tahoma" w:hAnsi="Tahoma"/>
          <w:sz w:val="27"/>
          <w:rtl/>
          <w:lang w:bidi="fa-IR"/>
        </w:rPr>
        <w:t>فات حرص «باوند» على تطوير نظري</w:t>
      </w:r>
      <w:r w:rsidR="00146B62" w:rsidRPr="00904FCB">
        <w:rPr>
          <w:rFonts w:ascii="Tahoma" w:hAnsi="Tahoma" w:hint="cs"/>
          <w:sz w:val="27"/>
          <w:rtl/>
          <w:lang w:bidi="fa-IR"/>
        </w:rPr>
        <w:t>ّ</w:t>
      </w:r>
      <w:r w:rsidRPr="00904FCB">
        <w:rPr>
          <w:rFonts w:ascii="Tahoma" w:hAnsi="Tahoma"/>
          <w:sz w:val="27"/>
          <w:rtl/>
          <w:lang w:bidi="fa-IR"/>
        </w:rPr>
        <w:t>ته الاجتماعية وتنقيحها، والتأكيد على أن «القانون أخذ في التحر</w:t>
      </w:r>
      <w:r w:rsidR="00146B62" w:rsidRPr="00904FCB">
        <w:rPr>
          <w:rFonts w:ascii="Tahoma" w:hAnsi="Tahoma" w:hint="cs"/>
          <w:sz w:val="27"/>
          <w:rtl/>
          <w:lang w:bidi="fa-IR"/>
        </w:rPr>
        <w:t>ُّ</w:t>
      </w:r>
      <w:r w:rsidRPr="00904FCB">
        <w:rPr>
          <w:rFonts w:ascii="Tahoma" w:hAnsi="Tahoma"/>
          <w:sz w:val="27"/>
          <w:rtl/>
          <w:lang w:bidi="fa-IR"/>
        </w:rPr>
        <w:t>ك نحو التأكيد على المصلحة الاجتماعية في تحقيق الحياة الكاملة للفرد»</w:t>
      </w:r>
      <w:r w:rsidRPr="00904FCB">
        <w:rPr>
          <w:rFonts w:hint="cs"/>
          <w:sz w:val="27"/>
          <w:vertAlign w:val="superscript"/>
          <w:rtl/>
        </w:rPr>
        <w:t>(</w:t>
      </w:r>
      <w:r w:rsidRPr="00904FCB">
        <w:rPr>
          <w:rStyle w:val="ac"/>
          <w:sz w:val="27"/>
          <w:rtl/>
        </w:rPr>
        <w:endnoteReference w:id="270"/>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بدأ «باوند» نظري</w:t>
      </w:r>
      <w:r w:rsidR="00146B62" w:rsidRPr="00904FCB">
        <w:rPr>
          <w:rFonts w:ascii="Tahoma" w:hAnsi="Tahoma" w:hint="cs"/>
          <w:sz w:val="27"/>
          <w:rtl/>
          <w:lang w:bidi="fa-IR"/>
        </w:rPr>
        <w:t>ّ</w:t>
      </w:r>
      <w:r w:rsidRPr="00904FCB">
        <w:rPr>
          <w:rFonts w:ascii="Tahoma" w:hAnsi="Tahoma"/>
          <w:sz w:val="27"/>
          <w:rtl/>
          <w:lang w:bidi="fa-IR"/>
        </w:rPr>
        <w:t>ته ببيان أن «المصالح الاجتماعية» هي الموضوع الحقيقي للقانون</w:t>
      </w:r>
      <w:r w:rsidR="00146B62" w:rsidRPr="00904FCB">
        <w:rPr>
          <w:rFonts w:ascii="Tahoma" w:hAnsi="Tahoma" w:hint="cs"/>
          <w:sz w:val="27"/>
          <w:rtl/>
          <w:lang w:bidi="fa-IR"/>
        </w:rPr>
        <w:t>،</w:t>
      </w:r>
      <w:r w:rsidRPr="00904FCB">
        <w:rPr>
          <w:rFonts w:ascii="Tahoma" w:hAnsi="Tahoma"/>
          <w:sz w:val="27"/>
          <w:rtl/>
          <w:lang w:bidi="fa-IR"/>
        </w:rPr>
        <w:t xml:space="preserve"> وأن غايته هي «الوفاء بحاجات</w:t>
      </w:r>
      <w:r w:rsidR="00146B62" w:rsidRPr="00904FCB">
        <w:rPr>
          <w:rFonts w:ascii="Tahoma" w:hAnsi="Tahoma" w:hint="cs"/>
          <w:sz w:val="27"/>
          <w:rtl/>
          <w:lang w:bidi="fa-IR"/>
        </w:rPr>
        <w:t>ٍ</w:t>
      </w:r>
      <w:r w:rsidRPr="00904FCB">
        <w:rPr>
          <w:rFonts w:ascii="Tahoma" w:hAnsi="Tahoma"/>
          <w:sz w:val="27"/>
          <w:rtl/>
          <w:lang w:bidi="fa-IR"/>
        </w:rPr>
        <w:t xml:space="preserve"> اجتماعية رئيسة</w:t>
      </w:r>
      <w:r w:rsidR="00146B62" w:rsidRPr="00904FCB">
        <w:rPr>
          <w:rFonts w:ascii="Tahoma" w:hAnsi="Tahoma" w:hint="cs"/>
          <w:sz w:val="27"/>
          <w:rtl/>
          <w:lang w:bidi="fa-IR"/>
        </w:rPr>
        <w:t>،</w:t>
      </w:r>
      <w:r w:rsidRPr="00904FCB">
        <w:rPr>
          <w:rFonts w:ascii="Tahoma" w:hAnsi="Tahoma"/>
          <w:sz w:val="27"/>
          <w:rtl/>
          <w:lang w:bidi="fa-IR"/>
        </w:rPr>
        <w:t xml:space="preserve"> هي الحاجة إلى الاستقرار والأمن العام»</w:t>
      </w:r>
      <w:r w:rsidRPr="00904FCB">
        <w:rPr>
          <w:rFonts w:hint="cs"/>
          <w:sz w:val="27"/>
          <w:vertAlign w:val="superscript"/>
          <w:rtl/>
        </w:rPr>
        <w:t>(</w:t>
      </w:r>
      <w:r w:rsidRPr="00904FCB">
        <w:rPr>
          <w:rStyle w:val="ac"/>
          <w:sz w:val="27"/>
          <w:rtl/>
        </w:rPr>
        <w:endnoteReference w:id="271"/>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ورأى «باوند» أن القانون الأمريكي يتكو</w:t>
      </w:r>
      <w:r w:rsidR="00146B62" w:rsidRPr="00904FCB">
        <w:rPr>
          <w:rFonts w:ascii="Tahoma" w:hAnsi="Tahoma" w:hint="cs"/>
          <w:sz w:val="27"/>
          <w:rtl/>
          <w:lang w:bidi="fa-IR"/>
        </w:rPr>
        <w:t>َّ</w:t>
      </w:r>
      <w:r w:rsidRPr="00904FCB">
        <w:rPr>
          <w:rFonts w:ascii="Tahoma" w:hAnsi="Tahoma"/>
          <w:sz w:val="27"/>
          <w:rtl/>
          <w:lang w:bidi="fa-IR"/>
        </w:rPr>
        <w:t>ن من مجموعة من التساويات بين المصالح الفردية المتنازعة</w:t>
      </w:r>
      <w:r w:rsidR="00146B62" w:rsidRPr="00904FCB">
        <w:rPr>
          <w:rFonts w:ascii="Tahoma" w:hAnsi="Tahoma" w:hint="cs"/>
          <w:sz w:val="27"/>
          <w:rtl/>
          <w:lang w:bidi="fa-IR"/>
        </w:rPr>
        <w:t>،</w:t>
      </w:r>
      <w:r w:rsidRPr="00904FCB">
        <w:rPr>
          <w:rFonts w:ascii="Tahoma" w:hAnsi="Tahoma"/>
          <w:sz w:val="27"/>
          <w:rtl/>
          <w:lang w:bidi="fa-IR"/>
        </w:rPr>
        <w:t xml:space="preserve"> والتي تعكس بدورها مصالح اجتماعية، حيث إن</w:t>
      </w:r>
      <w:r w:rsidR="00146B62" w:rsidRPr="00904FCB">
        <w:rPr>
          <w:rFonts w:ascii="Tahoma" w:hAnsi="Tahoma" w:hint="cs"/>
          <w:sz w:val="27"/>
          <w:rtl/>
          <w:lang w:bidi="fa-IR"/>
        </w:rPr>
        <w:t>ّ</w:t>
      </w:r>
      <w:r w:rsidRPr="00904FCB">
        <w:rPr>
          <w:rFonts w:ascii="Tahoma" w:hAnsi="Tahoma"/>
          <w:sz w:val="27"/>
          <w:rtl/>
          <w:lang w:bidi="fa-IR"/>
        </w:rPr>
        <w:t xml:space="preserve"> غاية القانون هي «الوصول إلى نظام عملي من التوفيقات بين الرغبات البشرية المتعارضة</w:t>
      </w:r>
      <w:r w:rsidR="00146B62" w:rsidRPr="00904FCB">
        <w:rPr>
          <w:rFonts w:ascii="Tahoma" w:hAnsi="Tahoma" w:hint="cs"/>
          <w:sz w:val="27"/>
          <w:rtl/>
          <w:lang w:bidi="fa-IR"/>
        </w:rPr>
        <w:t>،</w:t>
      </w:r>
      <w:r w:rsidRPr="00904FCB">
        <w:rPr>
          <w:rFonts w:ascii="Tahoma" w:hAnsi="Tahoma"/>
          <w:sz w:val="27"/>
          <w:rtl/>
          <w:lang w:bidi="fa-IR"/>
        </w:rPr>
        <w:t xml:space="preserve"> دون الاد</w:t>
      </w:r>
      <w:r w:rsidR="00146B62" w:rsidRPr="00904FCB">
        <w:rPr>
          <w:rFonts w:ascii="Tahoma" w:hAnsi="Tahoma" w:hint="cs"/>
          <w:sz w:val="27"/>
          <w:rtl/>
          <w:lang w:bidi="fa-IR"/>
        </w:rPr>
        <w:t>ِّ</w:t>
      </w:r>
      <w:r w:rsidRPr="00904FCB">
        <w:rPr>
          <w:rFonts w:ascii="Tahoma" w:hAnsi="Tahoma"/>
          <w:sz w:val="27"/>
          <w:rtl/>
          <w:lang w:bidi="fa-IR"/>
        </w:rPr>
        <w:t>عاء بأن</w:t>
      </w:r>
      <w:r w:rsidR="00146B62" w:rsidRPr="00904FCB">
        <w:rPr>
          <w:rFonts w:ascii="Tahoma" w:hAnsi="Tahoma" w:hint="cs"/>
          <w:sz w:val="27"/>
          <w:rtl/>
          <w:lang w:bidi="fa-IR"/>
        </w:rPr>
        <w:t>ّ</w:t>
      </w:r>
      <w:r w:rsidRPr="00904FCB">
        <w:rPr>
          <w:rFonts w:ascii="Tahoma" w:hAnsi="Tahoma"/>
          <w:sz w:val="27"/>
          <w:rtl/>
          <w:lang w:bidi="fa-IR"/>
        </w:rPr>
        <w:t xml:space="preserve"> ما توص</w:t>
      </w:r>
      <w:r w:rsidR="00146B62" w:rsidRPr="00904FCB">
        <w:rPr>
          <w:rFonts w:ascii="Tahoma" w:hAnsi="Tahoma" w:hint="cs"/>
          <w:sz w:val="27"/>
          <w:rtl/>
          <w:lang w:bidi="fa-IR"/>
        </w:rPr>
        <w:t>َّ</w:t>
      </w:r>
      <w:r w:rsidRPr="00904FCB">
        <w:rPr>
          <w:rFonts w:ascii="Tahoma" w:hAnsi="Tahoma"/>
          <w:sz w:val="27"/>
          <w:rtl/>
          <w:lang w:bidi="fa-IR"/>
        </w:rPr>
        <w:t>لنا إليه هو حل</w:t>
      </w:r>
      <w:r w:rsidR="00146B62" w:rsidRPr="00904FCB">
        <w:rPr>
          <w:rFonts w:ascii="Tahoma" w:hAnsi="Tahoma" w:hint="cs"/>
          <w:sz w:val="27"/>
          <w:rtl/>
          <w:lang w:bidi="fa-IR"/>
        </w:rPr>
        <w:t>ٌّ</w:t>
      </w:r>
      <w:r w:rsidRPr="00904FCB">
        <w:rPr>
          <w:rFonts w:ascii="Tahoma" w:hAnsi="Tahoma"/>
          <w:sz w:val="27"/>
          <w:rtl/>
          <w:lang w:bidi="fa-IR"/>
        </w:rPr>
        <w:t xml:space="preserve"> مثالي يصلح لكل</w:t>
      </w:r>
      <w:r w:rsidR="00146B62" w:rsidRPr="00904FCB">
        <w:rPr>
          <w:rFonts w:ascii="Tahoma" w:hAnsi="Tahoma" w:hint="cs"/>
          <w:sz w:val="27"/>
          <w:rtl/>
          <w:lang w:bidi="fa-IR"/>
        </w:rPr>
        <w:t>ّ</w:t>
      </w:r>
      <w:r w:rsidRPr="00904FCB">
        <w:rPr>
          <w:rFonts w:ascii="Tahoma" w:hAnsi="Tahoma"/>
          <w:sz w:val="27"/>
          <w:rtl/>
          <w:lang w:bidi="fa-IR"/>
        </w:rPr>
        <w:t xml:space="preserve"> زمان</w:t>
      </w:r>
      <w:r w:rsidR="00146B62" w:rsidRPr="00904FCB">
        <w:rPr>
          <w:rFonts w:ascii="Tahoma" w:hAnsi="Tahoma" w:hint="cs"/>
          <w:sz w:val="27"/>
          <w:rtl/>
          <w:lang w:bidi="fa-IR"/>
        </w:rPr>
        <w:t>ٍ</w:t>
      </w:r>
      <w:r w:rsidRPr="00904FCB">
        <w:rPr>
          <w:rFonts w:ascii="Tahoma" w:hAnsi="Tahoma"/>
          <w:sz w:val="27"/>
          <w:rtl/>
          <w:lang w:bidi="fa-IR"/>
        </w:rPr>
        <w:t xml:space="preserve"> ومكان»</w:t>
      </w:r>
      <w:r w:rsidRPr="00904FCB">
        <w:rPr>
          <w:rFonts w:hint="cs"/>
          <w:sz w:val="27"/>
          <w:vertAlign w:val="superscript"/>
          <w:rtl/>
        </w:rPr>
        <w:t>(</w:t>
      </w:r>
      <w:r w:rsidRPr="00904FCB">
        <w:rPr>
          <w:rStyle w:val="ac"/>
          <w:sz w:val="27"/>
          <w:rtl/>
        </w:rPr>
        <w:endnoteReference w:id="272"/>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E247AB">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lastRenderedPageBreak/>
        <w:t>وبناء</w:t>
      </w:r>
      <w:r w:rsidR="00146B62" w:rsidRPr="00904FCB">
        <w:rPr>
          <w:rFonts w:ascii="Tahoma" w:hAnsi="Tahoma" w:hint="cs"/>
          <w:sz w:val="27"/>
          <w:rtl/>
          <w:lang w:bidi="fa-IR"/>
        </w:rPr>
        <w:t>ً</w:t>
      </w:r>
      <w:r w:rsidRPr="00904FCB">
        <w:rPr>
          <w:rFonts w:ascii="Tahoma" w:hAnsi="Tahoma"/>
          <w:sz w:val="27"/>
          <w:rtl/>
          <w:lang w:bidi="fa-IR"/>
        </w:rPr>
        <w:t xml:space="preserve"> على هذا يُعرِّف «باوند» المصلحة بأنها هي «المطلب أو الحاجة أو الرغبة الخاص</w:t>
      </w:r>
      <w:r w:rsidR="00146B62" w:rsidRPr="00904FCB">
        <w:rPr>
          <w:rFonts w:ascii="Tahoma" w:hAnsi="Tahoma" w:hint="cs"/>
          <w:sz w:val="27"/>
          <w:rtl/>
          <w:lang w:bidi="fa-IR"/>
        </w:rPr>
        <w:t>ّ</w:t>
      </w:r>
      <w:r w:rsidRPr="00904FCB">
        <w:rPr>
          <w:rFonts w:ascii="Tahoma" w:hAnsi="Tahoma"/>
          <w:sz w:val="27"/>
          <w:rtl/>
          <w:lang w:bidi="fa-IR"/>
        </w:rPr>
        <w:t>ة بالكائنات البشرية</w:t>
      </w:r>
      <w:r w:rsidR="00146B62" w:rsidRPr="00904FCB">
        <w:rPr>
          <w:rFonts w:ascii="Tahoma" w:hAnsi="Tahoma" w:hint="cs"/>
          <w:sz w:val="27"/>
          <w:rtl/>
          <w:lang w:bidi="fa-IR"/>
        </w:rPr>
        <w:t>،</w:t>
      </w:r>
      <w:r w:rsidRPr="00904FCB">
        <w:rPr>
          <w:rFonts w:ascii="Tahoma" w:hAnsi="Tahoma"/>
          <w:sz w:val="27"/>
          <w:rtl/>
          <w:lang w:bidi="fa-IR"/>
        </w:rPr>
        <w:t xml:space="preserve"> التي تسعى هذه الكائنات ـ أفراداً وجماعات ـ إلى تحقيقها»</w:t>
      </w:r>
      <w:r w:rsidRPr="00904FCB">
        <w:rPr>
          <w:rFonts w:hint="cs"/>
          <w:sz w:val="27"/>
          <w:vertAlign w:val="superscript"/>
          <w:rtl/>
        </w:rPr>
        <w:t>(</w:t>
      </w:r>
      <w:r w:rsidRPr="00904FCB">
        <w:rPr>
          <w:rStyle w:val="ac"/>
          <w:sz w:val="27"/>
          <w:rtl/>
        </w:rPr>
        <w:endnoteReference w:id="273"/>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E247AB">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وهذه المطالب والحاجات والرغبات قد تقتضيها مباشرة</w:t>
      </w:r>
      <w:r w:rsidR="00C05501" w:rsidRPr="00904FCB">
        <w:rPr>
          <w:rFonts w:ascii="Tahoma" w:hAnsi="Tahoma" w:hint="cs"/>
          <w:sz w:val="27"/>
          <w:rtl/>
          <w:lang w:bidi="fa-IR"/>
        </w:rPr>
        <w:t>ً</w:t>
      </w:r>
      <w:r w:rsidRPr="00904FCB">
        <w:rPr>
          <w:rFonts w:ascii="Tahoma" w:hAnsi="Tahoma"/>
          <w:sz w:val="27"/>
          <w:rtl/>
          <w:lang w:bidi="fa-IR"/>
        </w:rPr>
        <w:t xml:space="preserve"> الحياة الفردية</w:t>
      </w:r>
      <w:r w:rsidR="00C05501" w:rsidRPr="00904FCB">
        <w:rPr>
          <w:rFonts w:ascii="Tahoma" w:hAnsi="Tahoma" w:hint="cs"/>
          <w:sz w:val="27"/>
          <w:rtl/>
          <w:lang w:bidi="fa-IR"/>
        </w:rPr>
        <w:t>،</w:t>
      </w:r>
      <w:r w:rsidRPr="00904FCB">
        <w:rPr>
          <w:rFonts w:ascii="Tahoma" w:hAnsi="Tahoma"/>
          <w:sz w:val="27"/>
          <w:rtl/>
          <w:lang w:bidi="fa-IR"/>
        </w:rPr>
        <w:t xml:space="preserve"> ومن ثم تكون مصالح فردية</w:t>
      </w:r>
      <w:r w:rsidR="00C05501" w:rsidRPr="00904FCB">
        <w:rPr>
          <w:rFonts w:ascii="Tahoma" w:hAnsi="Tahoma" w:hint="cs"/>
          <w:sz w:val="27"/>
          <w:rtl/>
          <w:lang w:bidi="fa-IR"/>
        </w:rPr>
        <w:t>؛</w:t>
      </w:r>
      <w:r w:rsidRPr="00904FCB">
        <w:rPr>
          <w:rFonts w:ascii="Tahoma" w:hAnsi="Tahoma"/>
          <w:sz w:val="27"/>
          <w:rtl/>
          <w:lang w:bidi="fa-IR"/>
        </w:rPr>
        <w:t xml:space="preserve"> أو يقتضيها التنظيم السياسي للمجتمع</w:t>
      </w:r>
      <w:r w:rsidR="00C05501" w:rsidRPr="00904FCB">
        <w:rPr>
          <w:rFonts w:ascii="Tahoma" w:hAnsi="Tahoma" w:hint="cs"/>
          <w:sz w:val="27"/>
          <w:rtl/>
          <w:lang w:bidi="fa-IR"/>
        </w:rPr>
        <w:t>،</w:t>
      </w:r>
      <w:r w:rsidRPr="00904FCB">
        <w:rPr>
          <w:rFonts w:ascii="Tahoma" w:hAnsi="Tahoma"/>
          <w:sz w:val="27"/>
          <w:rtl/>
          <w:lang w:bidi="fa-IR"/>
        </w:rPr>
        <w:t xml:space="preserve"> فتكون مصالح عامة</w:t>
      </w:r>
      <w:r w:rsidR="00C05501" w:rsidRPr="00904FCB">
        <w:rPr>
          <w:rFonts w:ascii="Tahoma" w:hAnsi="Tahoma" w:hint="cs"/>
          <w:sz w:val="27"/>
          <w:rtl/>
          <w:lang w:bidi="fa-IR"/>
        </w:rPr>
        <w:t>؛</w:t>
      </w:r>
      <w:r w:rsidRPr="00904FCB">
        <w:rPr>
          <w:rFonts w:ascii="Tahoma" w:hAnsi="Tahoma"/>
          <w:sz w:val="27"/>
          <w:rtl/>
          <w:lang w:bidi="fa-IR"/>
        </w:rPr>
        <w:t xml:space="preserve"> كما أنها قد تتعل</w:t>
      </w:r>
      <w:r w:rsidR="00C05501" w:rsidRPr="00904FCB">
        <w:rPr>
          <w:rFonts w:ascii="Tahoma" w:hAnsi="Tahoma" w:hint="cs"/>
          <w:sz w:val="27"/>
          <w:rtl/>
          <w:lang w:bidi="fa-IR"/>
        </w:rPr>
        <w:t>َّ</w:t>
      </w:r>
      <w:r w:rsidRPr="00904FCB">
        <w:rPr>
          <w:rFonts w:ascii="Tahoma" w:hAnsi="Tahoma"/>
          <w:sz w:val="27"/>
          <w:rtl/>
          <w:lang w:bidi="fa-IR"/>
        </w:rPr>
        <w:t>ق بكل</w:t>
      </w:r>
      <w:r w:rsidR="00C05501" w:rsidRPr="00904FCB">
        <w:rPr>
          <w:rFonts w:ascii="Tahoma" w:hAnsi="Tahoma" w:hint="cs"/>
          <w:sz w:val="27"/>
          <w:rtl/>
          <w:lang w:bidi="fa-IR"/>
        </w:rPr>
        <w:t>ّ</w:t>
      </w:r>
      <w:r w:rsidRPr="00904FCB">
        <w:rPr>
          <w:rFonts w:ascii="Tahoma" w:hAnsi="Tahoma"/>
          <w:sz w:val="27"/>
          <w:rtl/>
          <w:lang w:bidi="fa-IR"/>
        </w:rPr>
        <w:t xml:space="preserve"> المجموعة الاجتماعية</w:t>
      </w:r>
      <w:r w:rsidR="00C05501" w:rsidRPr="00904FCB">
        <w:rPr>
          <w:rFonts w:ascii="Tahoma" w:hAnsi="Tahoma" w:hint="cs"/>
          <w:sz w:val="27"/>
          <w:rtl/>
          <w:lang w:bidi="fa-IR"/>
        </w:rPr>
        <w:t>،</w:t>
      </w:r>
      <w:r w:rsidRPr="00904FCB">
        <w:rPr>
          <w:rFonts w:ascii="Tahoma" w:hAnsi="Tahoma"/>
          <w:sz w:val="27"/>
          <w:rtl/>
          <w:lang w:bidi="fa-IR"/>
        </w:rPr>
        <w:t xml:space="preserve"> فتصبح مصالح اجتماعية. </w:t>
      </w:r>
    </w:p>
    <w:p w:rsidR="00644408" w:rsidRPr="00904FCB" w:rsidRDefault="00644408" w:rsidP="00C163A6">
      <w:pPr>
        <w:autoSpaceDE w:val="0"/>
        <w:autoSpaceDN w:val="0"/>
        <w:adjustRightInd w:val="0"/>
        <w:spacing w:line="410" w:lineRule="exact"/>
        <w:rPr>
          <w:rFonts w:ascii="Tahoma" w:hAnsi="Tahoma"/>
          <w:sz w:val="27"/>
          <w:rtl/>
          <w:lang w:bidi="fa-IR"/>
        </w:rPr>
      </w:pPr>
      <w:r w:rsidRPr="00904FCB">
        <w:rPr>
          <w:rFonts w:ascii="Tahoma" w:hAnsi="Tahoma"/>
          <w:sz w:val="27"/>
          <w:rtl/>
          <w:lang w:bidi="fa-IR"/>
        </w:rPr>
        <w:t>وبناءً على هذا صن</w:t>
      </w:r>
      <w:r w:rsidR="00C05501" w:rsidRPr="00904FCB">
        <w:rPr>
          <w:rFonts w:ascii="Tahoma" w:hAnsi="Tahoma" w:hint="cs"/>
          <w:sz w:val="27"/>
          <w:rtl/>
          <w:lang w:bidi="fa-IR"/>
        </w:rPr>
        <w:t>َّ</w:t>
      </w:r>
      <w:r w:rsidRPr="00904FCB">
        <w:rPr>
          <w:rFonts w:ascii="Tahoma" w:hAnsi="Tahoma"/>
          <w:sz w:val="27"/>
          <w:rtl/>
          <w:lang w:bidi="fa-IR"/>
        </w:rPr>
        <w:t>ف «باوند» المصالح إلى ثلاثة أنواع: فردية</w:t>
      </w:r>
      <w:r w:rsidR="00C05501" w:rsidRPr="00904FCB">
        <w:rPr>
          <w:rFonts w:ascii="Tahoma" w:hAnsi="Tahoma" w:hint="cs"/>
          <w:sz w:val="27"/>
          <w:rtl/>
          <w:lang w:bidi="fa-IR"/>
        </w:rPr>
        <w:t>؛</w:t>
      </w:r>
      <w:r w:rsidRPr="00904FCB">
        <w:rPr>
          <w:rFonts w:ascii="Tahoma" w:hAnsi="Tahoma"/>
          <w:sz w:val="27"/>
          <w:rtl/>
          <w:lang w:bidi="fa-IR"/>
        </w:rPr>
        <w:t xml:space="preserve"> وعام</w:t>
      </w:r>
      <w:r w:rsidR="00C05501" w:rsidRPr="00904FCB">
        <w:rPr>
          <w:rFonts w:ascii="Tahoma" w:hAnsi="Tahoma" w:hint="cs"/>
          <w:sz w:val="27"/>
          <w:rtl/>
          <w:lang w:bidi="fa-IR"/>
        </w:rPr>
        <w:t>ّ</w:t>
      </w:r>
      <w:r w:rsidRPr="00904FCB">
        <w:rPr>
          <w:rFonts w:ascii="Tahoma" w:hAnsi="Tahoma"/>
          <w:sz w:val="27"/>
          <w:rtl/>
          <w:lang w:bidi="fa-IR"/>
        </w:rPr>
        <w:t>ة</w:t>
      </w:r>
      <w:r w:rsidR="00C05501" w:rsidRPr="00904FCB">
        <w:rPr>
          <w:rFonts w:ascii="Tahoma" w:hAnsi="Tahoma" w:hint="cs"/>
          <w:sz w:val="27"/>
          <w:rtl/>
          <w:lang w:bidi="fa-IR"/>
        </w:rPr>
        <w:t>؛</w:t>
      </w:r>
      <w:r w:rsidRPr="00904FCB">
        <w:rPr>
          <w:rFonts w:ascii="Tahoma" w:hAnsi="Tahoma"/>
          <w:sz w:val="27"/>
          <w:rtl/>
          <w:lang w:bidi="fa-IR"/>
        </w:rPr>
        <w:t xml:space="preserve"> واجتماعية</w:t>
      </w:r>
      <w:r w:rsidR="00E247A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DB2AFA">
        <w:rPr>
          <w:rFonts w:hint="cs"/>
          <w:color w:val="auto"/>
          <w:rtl/>
          <w:lang w:bidi="ar-LB"/>
        </w:rPr>
        <w:t>1ـ</w:t>
      </w:r>
      <w:r w:rsidRPr="00DB2AFA">
        <w:rPr>
          <w:color w:val="auto"/>
          <w:rtl/>
          <w:lang w:bidi="fa-IR"/>
        </w:rPr>
        <w:t xml:space="preserve"> المصالح</w:t>
      </w:r>
      <w:r w:rsidRPr="00904FCB">
        <w:rPr>
          <w:color w:val="auto"/>
          <w:rtl/>
          <w:lang w:bidi="fa-IR"/>
        </w:rPr>
        <w:t xml:space="preserve"> الفردية </w:t>
      </w:r>
    </w:p>
    <w:p w:rsidR="00C05501" w:rsidRPr="00904FCB" w:rsidRDefault="00644408" w:rsidP="00E247AB">
      <w:pPr>
        <w:autoSpaceDE w:val="0"/>
        <w:autoSpaceDN w:val="0"/>
        <w:adjustRightInd w:val="0"/>
        <w:spacing w:line="420" w:lineRule="exact"/>
        <w:rPr>
          <w:rFonts w:ascii="Tahoma" w:hAnsi="Tahoma"/>
          <w:sz w:val="27"/>
          <w:rtl/>
          <w:lang w:bidi="fa-IR"/>
        </w:rPr>
      </w:pPr>
      <w:r w:rsidRPr="00904FCB">
        <w:rPr>
          <w:rFonts w:ascii="Tahoma" w:hAnsi="Tahoma"/>
          <w:sz w:val="27"/>
          <w:rtl/>
          <w:lang w:bidi="fa-IR"/>
        </w:rPr>
        <w:t>وهي تشتمل على ثلاثة أنواع: مصالح خاص</w:t>
      </w:r>
      <w:r w:rsidR="00C05501" w:rsidRPr="00904FCB">
        <w:rPr>
          <w:rFonts w:ascii="Tahoma" w:hAnsi="Tahoma" w:hint="cs"/>
          <w:sz w:val="27"/>
          <w:rtl/>
          <w:lang w:bidi="fa-IR"/>
        </w:rPr>
        <w:t>ّ</w:t>
      </w:r>
      <w:r w:rsidRPr="00904FCB">
        <w:rPr>
          <w:rFonts w:ascii="Tahoma" w:hAnsi="Tahoma"/>
          <w:sz w:val="27"/>
          <w:rtl/>
          <w:lang w:bidi="fa-IR"/>
        </w:rPr>
        <w:t>ة بالشخصية</w:t>
      </w:r>
      <w:r w:rsidR="00C05501" w:rsidRPr="00904FCB">
        <w:rPr>
          <w:rFonts w:ascii="Tahoma" w:hAnsi="Tahoma" w:hint="cs"/>
          <w:sz w:val="27"/>
          <w:rtl/>
          <w:lang w:bidi="fa-IR"/>
        </w:rPr>
        <w:t>؛</w:t>
      </w:r>
      <w:r w:rsidRPr="00904FCB">
        <w:rPr>
          <w:rFonts w:ascii="Tahoma" w:hAnsi="Tahoma"/>
          <w:sz w:val="27"/>
          <w:rtl/>
          <w:lang w:bidi="fa-IR"/>
        </w:rPr>
        <w:t xml:space="preserve"> وأخرى بالعلاقات الأ</w:t>
      </w:r>
      <w:r w:rsidR="00C05501" w:rsidRPr="00904FCB">
        <w:rPr>
          <w:rFonts w:ascii="Tahoma" w:hAnsi="Tahoma" w:hint="cs"/>
          <w:sz w:val="27"/>
          <w:rtl/>
          <w:lang w:bidi="fa-IR"/>
        </w:rPr>
        <w:t>ُ</w:t>
      </w:r>
      <w:r w:rsidRPr="00904FCB">
        <w:rPr>
          <w:rFonts w:ascii="Tahoma" w:hAnsi="Tahoma"/>
          <w:sz w:val="27"/>
          <w:rtl/>
          <w:lang w:bidi="fa-IR"/>
        </w:rPr>
        <w:t>س</w:t>
      </w:r>
      <w:r w:rsidR="00C05501" w:rsidRPr="00904FCB">
        <w:rPr>
          <w:rFonts w:ascii="Tahoma" w:hAnsi="Tahoma" w:hint="cs"/>
          <w:sz w:val="27"/>
          <w:rtl/>
          <w:lang w:bidi="fa-IR"/>
        </w:rPr>
        <w:t>ْ</w:t>
      </w:r>
      <w:r w:rsidRPr="00904FCB">
        <w:rPr>
          <w:rFonts w:ascii="Tahoma" w:hAnsi="Tahoma"/>
          <w:sz w:val="27"/>
          <w:rtl/>
          <w:lang w:bidi="fa-IR"/>
        </w:rPr>
        <w:t>رية</w:t>
      </w:r>
      <w:r w:rsidR="00C05501" w:rsidRPr="00904FCB">
        <w:rPr>
          <w:rFonts w:ascii="Tahoma" w:hAnsi="Tahoma" w:hint="cs"/>
          <w:sz w:val="27"/>
          <w:rtl/>
          <w:lang w:bidi="fa-IR"/>
        </w:rPr>
        <w:t>؛</w:t>
      </w:r>
      <w:r w:rsidRPr="00904FCB">
        <w:rPr>
          <w:rFonts w:ascii="Tahoma" w:hAnsi="Tahoma"/>
          <w:sz w:val="27"/>
          <w:rtl/>
          <w:lang w:bidi="fa-IR"/>
        </w:rPr>
        <w:t xml:space="preserve"> وثالثة ماد</w:t>
      </w:r>
      <w:r w:rsidR="00C05501" w:rsidRPr="00904FCB">
        <w:rPr>
          <w:rFonts w:ascii="Tahoma" w:hAnsi="Tahoma" w:hint="cs"/>
          <w:sz w:val="27"/>
          <w:rtl/>
          <w:lang w:bidi="fa-IR"/>
        </w:rPr>
        <w:t>ّ</w:t>
      </w:r>
      <w:r w:rsidRPr="00904FCB">
        <w:rPr>
          <w:rFonts w:ascii="Tahoma" w:hAnsi="Tahoma"/>
          <w:sz w:val="27"/>
          <w:rtl/>
          <w:lang w:bidi="fa-IR"/>
        </w:rPr>
        <w:t>ية</w:t>
      </w:r>
      <w:r w:rsidR="00C05501" w:rsidRPr="00904FCB">
        <w:rPr>
          <w:rFonts w:ascii="Tahoma" w:hAnsi="Tahoma"/>
          <w:sz w:val="27"/>
          <w:rtl/>
          <w:lang w:bidi="fa-IR"/>
        </w:rPr>
        <w:t>.</w:t>
      </w:r>
    </w:p>
    <w:p w:rsidR="00644408" w:rsidRPr="00904FCB" w:rsidRDefault="00644408" w:rsidP="00E247AB">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والمصالح الشخصية هي التي يقتضيها الوجود الماد</w:t>
      </w:r>
      <w:r w:rsidR="00E247AB">
        <w:rPr>
          <w:rFonts w:ascii="Tahoma" w:hAnsi="Tahoma" w:hint="cs"/>
          <w:sz w:val="27"/>
          <w:rtl/>
          <w:lang w:bidi="fa-IR"/>
        </w:rPr>
        <w:t>ّ</w:t>
      </w:r>
      <w:r w:rsidRPr="00904FCB">
        <w:rPr>
          <w:rFonts w:ascii="Tahoma" w:hAnsi="Tahoma"/>
          <w:sz w:val="27"/>
          <w:rtl/>
          <w:lang w:bidi="fa-IR"/>
        </w:rPr>
        <w:t>ي والمعنوي للفرد، ويكون هدفها حمايته</w:t>
      </w:r>
      <w:r w:rsidR="00C05501" w:rsidRPr="00904FCB">
        <w:rPr>
          <w:rFonts w:ascii="Tahoma" w:hAnsi="Tahoma" w:hint="cs"/>
          <w:sz w:val="27"/>
          <w:rtl/>
          <w:lang w:bidi="fa-IR"/>
        </w:rPr>
        <w:t>.</w:t>
      </w:r>
      <w:r w:rsidRPr="00904FCB">
        <w:rPr>
          <w:rFonts w:ascii="Tahoma" w:hAnsi="Tahoma"/>
          <w:sz w:val="27"/>
          <w:rtl/>
          <w:lang w:bidi="fa-IR"/>
        </w:rPr>
        <w:t xml:space="preserve"> ومثالها: مصلحة الفرد في سلامة جسده، وصح</w:t>
      </w:r>
      <w:r w:rsidR="00C05501" w:rsidRPr="00904FCB">
        <w:rPr>
          <w:rFonts w:ascii="Tahoma" w:hAnsi="Tahoma" w:hint="cs"/>
          <w:sz w:val="27"/>
          <w:rtl/>
          <w:lang w:bidi="fa-IR"/>
        </w:rPr>
        <w:t>ّ</w:t>
      </w:r>
      <w:r w:rsidRPr="00904FCB">
        <w:rPr>
          <w:rFonts w:ascii="Tahoma" w:hAnsi="Tahoma"/>
          <w:sz w:val="27"/>
          <w:rtl/>
          <w:lang w:bidi="fa-IR"/>
        </w:rPr>
        <w:t>ته، وحماية سمعته، ومباشرته لإرادته الح</w:t>
      </w:r>
      <w:r w:rsidR="00C05501" w:rsidRPr="00904FCB">
        <w:rPr>
          <w:rFonts w:ascii="Tahoma" w:hAnsi="Tahoma" w:hint="cs"/>
          <w:sz w:val="27"/>
          <w:rtl/>
          <w:lang w:bidi="fa-IR"/>
        </w:rPr>
        <w:t>ُ</w:t>
      </w:r>
      <w:r w:rsidRPr="00904FCB">
        <w:rPr>
          <w:rFonts w:ascii="Tahoma" w:hAnsi="Tahoma"/>
          <w:sz w:val="27"/>
          <w:rtl/>
          <w:lang w:bidi="fa-IR"/>
        </w:rPr>
        <w:t>ر</w:t>
      </w:r>
      <w:r w:rsidR="00C05501" w:rsidRPr="00904FCB">
        <w:rPr>
          <w:rFonts w:ascii="Tahoma" w:hAnsi="Tahoma" w:hint="cs"/>
          <w:sz w:val="27"/>
          <w:rtl/>
          <w:lang w:bidi="fa-IR"/>
        </w:rPr>
        <w:t>ّ</w:t>
      </w:r>
      <w:r w:rsidRPr="00904FCB">
        <w:rPr>
          <w:rFonts w:ascii="Tahoma" w:hAnsi="Tahoma"/>
          <w:sz w:val="27"/>
          <w:rtl/>
          <w:lang w:bidi="fa-IR"/>
        </w:rPr>
        <w:t xml:space="preserve">ة. </w:t>
      </w:r>
    </w:p>
    <w:p w:rsidR="00644408" w:rsidRPr="00904FCB" w:rsidRDefault="00644408" w:rsidP="00C163A6">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أما المصالح الأ</w:t>
      </w:r>
      <w:r w:rsidR="00C05501" w:rsidRPr="00904FCB">
        <w:rPr>
          <w:rFonts w:ascii="Tahoma" w:hAnsi="Tahoma" w:hint="cs"/>
          <w:sz w:val="27"/>
          <w:rtl/>
          <w:lang w:bidi="fa-IR"/>
        </w:rPr>
        <w:t>ُ</w:t>
      </w:r>
      <w:r w:rsidRPr="00904FCB">
        <w:rPr>
          <w:rFonts w:ascii="Tahoma" w:hAnsi="Tahoma"/>
          <w:sz w:val="27"/>
          <w:rtl/>
          <w:lang w:bidi="fa-IR"/>
        </w:rPr>
        <w:t>س</w:t>
      </w:r>
      <w:r w:rsidR="00C05501" w:rsidRPr="00904FCB">
        <w:rPr>
          <w:rFonts w:ascii="Tahoma" w:hAnsi="Tahoma" w:hint="cs"/>
          <w:sz w:val="27"/>
          <w:rtl/>
          <w:lang w:bidi="fa-IR"/>
        </w:rPr>
        <w:t>ْ</w:t>
      </w:r>
      <w:r w:rsidRPr="00904FCB">
        <w:rPr>
          <w:rFonts w:ascii="Tahoma" w:hAnsi="Tahoma"/>
          <w:sz w:val="27"/>
          <w:rtl/>
          <w:lang w:bidi="fa-IR"/>
        </w:rPr>
        <w:t>رية فهي تلك التي تتعل</w:t>
      </w:r>
      <w:r w:rsidR="00C05501" w:rsidRPr="00904FCB">
        <w:rPr>
          <w:rFonts w:ascii="Tahoma" w:hAnsi="Tahoma" w:hint="cs"/>
          <w:sz w:val="27"/>
          <w:rtl/>
          <w:lang w:bidi="fa-IR"/>
        </w:rPr>
        <w:t>َّ</w:t>
      </w:r>
      <w:r w:rsidRPr="00904FCB">
        <w:rPr>
          <w:rFonts w:ascii="Tahoma" w:hAnsi="Tahoma"/>
          <w:sz w:val="27"/>
          <w:rtl/>
          <w:lang w:bidi="fa-IR"/>
        </w:rPr>
        <w:t>ق بحماية الزواج</w:t>
      </w:r>
      <w:r w:rsidR="00C05501" w:rsidRPr="00904FCB">
        <w:rPr>
          <w:rFonts w:ascii="Tahoma" w:hAnsi="Tahoma" w:hint="cs"/>
          <w:sz w:val="27"/>
          <w:rtl/>
          <w:lang w:bidi="fa-IR"/>
        </w:rPr>
        <w:t>،</w:t>
      </w:r>
      <w:r w:rsidRPr="00904FCB">
        <w:rPr>
          <w:rFonts w:ascii="Tahoma" w:hAnsi="Tahoma"/>
          <w:sz w:val="27"/>
          <w:rtl/>
          <w:lang w:bidi="fa-IR"/>
        </w:rPr>
        <w:t xml:space="preserve"> وعلاقة الوالدين بالأبناء. </w:t>
      </w:r>
    </w:p>
    <w:p w:rsidR="00644408" w:rsidRPr="00904FCB" w:rsidRDefault="00644408" w:rsidP="00E247AB">
      <w:pPr>
        <w:autoSpaceDE w:val="0"/>
        <w:autoSpaceDN w:val="0"/>
        <w:adjustRightInd w:val="0"/>
        <w:spacing w:line="420" w:lineRule="exact"/>
        <w:rPr>
          <w:rFonts w:ascii="Tahoma" w:hAnsi="Tahoma"/>
          <w:sz w:val="27"/>
          <w:rtl/>
          <w:lang w:bidi="fa-IR"/>
        </w:rPr>
      </w:pPr>
      <w:r w:rsidRPr="00904FCB">
        <w:rPr>
          <w:rFonts w:ascii="Tahoma" w:hAnsi="Tahoma"/>
          <w:sz w:val="27"/>
          <w:rtl/>
          <w:lang w:bidi="fa-IR"/>
        </w:rPr>
        <w:t>وتتعل</w:t>
      </w:r>
      <w:r w:rsidR="00C05501" w:rsidRPr="00904FCB">
        <w:rPr>
          <w:rFonts w:ascii="Tahoma" w:hAnsi="Tahoma" w:hint="cs"/>
          <w:sz w:val="27"/>
          <w:rtl/>
          <w:lang w:bidi="fa-IR"/>
        </w:rPr>
        <w:t>ّ</w:t>
      </w:r>
      <w:r w:rsidRPr="00904FCB">
        <w:rPr>
          <w:rFonts w:ascii="Tahoma" w:hAnsi="Tahoma"/>
          <w:sz w:val="27"/>
          <w:rtl/>
          <w:lang w:bidi="fa-IR"/>
        </w:rPr>
        <w:t>ق المصالح المادية بالجانب الاقتصادي للفرد</w:t>
      </w:r>
      <w:r w:rsidR="00C05501" w:rsidRPr="00904FCB">
        <w:rPr>
          <w:rFonts w:ascii="Tahoma" w:hAnsi="Tahoma" w:hint="cs"/>
          <w:sz w:val="27"/>
          <w:rtl/>
          <w:lang w:bidi="fa-IR"/>
        </w:rPr>
        <w:t>.</w:t>
      </w:r>
      <w:r w:rsidRPr="00904FCB">
        <w:rPr>
          <w:rFonts w:ascii="Tahoma" w:hAnsi="Tahoma"/>
          <w:sz w:val="27"/>
          <w:rtl/>
          <w:lang w:bidi="fa-IR"/>
        </w:rPr>
        <w:t xml:space="preserve"> ومثالها: المصالح الخاصة بحماية الم</w:t>
      </w:r>
      <w:r w:rsidR="00C05501" w:rsidRPr="00904FCB">
        <w:rPr>
          <w:rFonts w:ascii="Tahoma" w:hAnsi="Tahoma" w:hint="cs"/>
          <w:sz w:val="27"/>
          <w:rtl/>
          <w:lang w:bidi="fa-IR"/>
        </w:rPr>
        <w:t>ِ</w:t>
      </w:r>
      <w:r w:rsidRPr="00904FCB">
        <w:rPr>
          <w:rFonts w:ascii="Tahoma" w:hAnsi="Tahoma"/>
          <w:sz w:val="27"/>
          <w:rtl/>
          <w:lang w:bidi="fa-IR"/>
        </w:rPr>
        <w:t>ل</w:t>
      </w:r>
      <w:r w:rsidR="00C05501" w:rsidRPr="00904FCB">
        <w:rPr>
          <w:rFonts w:ascii="Tahoma" w:hAnsi="Tahoma" w:hint="cs"/>
          <w:sz w:val="27"/>
          <w:rtl/>
          <w:lang w:bidi="fa-IR"/>
        </w:rPr>
        <w:t>ْ</w:t>
      </w:r>
      <w:r w:rsidRPr="00904FCB">
        <w:rPr>
          <w:rFonts w:ascii="Tahoma" w:hAnsi="Tahoma"/>
          <w:sz w:val="27"/>
          <w:rtl/>
          <w:lang w:bidi="fa-IR"/>
        </w:rPr>
        <w:t>كية</w:t>
      </w:r>
      <w:r w:rsidR="00C05501" w:rsidRPr="00904FCB">
        <w:rPr>
          <w:rFonts w:ascii="Tahoma" w:hAnsi="Tahoma" w:hint="cs"/>
          <w:sz w:val="27"/>
          <w:rtl/>
          <w:lang w:bidi="fa-IR"/>
        </w:rPr>
        <w:t>،</w:t>
      </w:r>
      <w:r w:rsidRPr="00904FCB">
        <w:rPr>
          <w:rFonts w:ascii="Tahoma" w:hAnsi="Tahoma"/>
          <w:sz w:val="27"/>
          <w:rtl/>
          <w:lang w:bidi="fa-IR"/>
        </w:rPr>
        <w:t xml:space="preserve"> وحر</w:t>
      </w:r>
      <w:r w:rsidR="00C05501" w:rsidRPr="00904FCB">
        <w:rPr>
          <w:rFonts w:ascii="Tahoma" w:hAnsi="Tahoma" w:hint="cs"/>
          <w:sz w:val="27"/>
          <w:rtl/>
          <w:lang w:bidi="fa-IR"/>
        </w:rPr>
        <w:t>ّ</w:t>
      </w:r>
      <w:r w:rsidRPr="00904FCB">
        <w:rPr>
          <w:rFonts w:ascii="Tahoma" w:hAnsi="Tahoma"/>
          <w:sz w:val="27"/>
          <w:rtl/>
          <w:lang w:bidi="fa-IR"/>
        </w:rPr>
        <w:t>ية الصناعة</w:t>
      </w:r>
      <w:r w:rsidR="00C05501" w:rsidRPr="00904FCB">
        <w:rPr>
          <w:rFonts w:ascii="Tahoma" w:hAnsi="Tahoma" w:hint="cs"/>
          <w:sz w:val="27"/>
          <w:rtl/>
          <w:lang w:bidi="fa-IR"/>
        </w:rPr>
        <w:t>،</w:t>
      </w:r>
      <w:r w:rsidRPr="00904FCB">
        <w:rPr>
          <w:rFonts w:ascii="Tahoma" w:hAnsi="Tahoma"/>
          <w:sz w:val="27"/>
          <w:rtl/>
          <w:lang w:bidi="fa-IR"/>
        </w:rPr>
        <w:t xml:space="preserve"> وحر</w:t>
      </w:r>
      <w:r w:rsidR="00C05501" w:rsidRPr="00904FCB">
        <w:rPr>
          <w:rFonts w:ascii="Tahoma" w:hAnsi="Tahoma" w:hint="cs"/>
          <w:sz w:val="27"/>
          <w:rtl/>
          <w:lang w:bidi="fa-IR"/>
        </w:rPr>
        <w:t>ّ</w:t>
      </w:r>
      <w:r w:rsidRPr="00904FCB">
        <w:rPr>
          <w:rFonts w:ascii="Tahoma" w:hAnsi="Tahoma"/>
          <w:sz w:val="27"/>
          <w:rtl/>
          <w:lang w:bidi="fa-IR"/>
        </w:rPr>
        <w:t>ية التعاقد</w:t>
      </w:r>
      <w:r w:rsidR="00C05501" w:rsidRPr="00904FCB">
        <w:rPr>
          <w:rFonts w:ascii="Tahoma" w:hAnsi="Tahoma" w:hint="cs"/>
          <w:sz w:val="27"/>
          <w:rtl/>
          <w:lang w:bidi="fa-IR"/>
        </w:rPr>
        <w:t>،</w:t>
      </w:r>
      <w:r w:rsidRPr="00904FCB">
        <w:rPr>
          <w:rFonts w:ascii="Tahoma" w:hAnsi="Tahoma"/>
          <w:sz w:val="27"/>
          <w:rtl/>
          <w:lang w:bidi="fa-IR"/>
        </w:rPr>
        <w:t xml:space="preserve"> وغيرها.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DB2AFA">
        <w:rPr>
          <w:rFonts w:hint="cs"/>
          <w:color w:val="auto"/>
          <w:rtl/>
          <w:lang w:bidi="ar-LB"/>
        </w:rPr>
        <w:t>2ـ</w:t>
      </w:r>
      <w:r w:rsidRPr="00DB2AFA">
        <w:rPr>
          <w:color w:val="auto"/>
          <w:rtl/>
          <w:lang w:bidi="fa-IR"/>
        </w:rPr>
        <w:t xml:space="preserve"> المصالح</w:t>
      </w:r>
      <w:r w:rsidRPr="00904FCB">
        <w:rPr>
          <w:color w:val="auto"/>
          <w:rtl/>
          <w:lang w:bidi="fa-IR"/>
        </w:rPr>
        <w:t xml:space="preserve"> العامة </w:t>
      </w:r>
    </w:p>
    <w:p w:rsidR="00644408" w:rsidRPr="00904FCB" w:rsidRDefault="00644408" w:rsidP="00E247AB">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وهي المصالح أو الرغبات أو الحاجات التي تقتضيها الحياة في مجتمع</w:t>
      </w:r>
      <w:r w:rsidR="00C05501" w:rsidRPr="00904FCB">
        <w:rPr>
          <w:rFonts w:ascii="Tahoma" w:hAnsi="Tahoma" w:hint="cs"/>
          <w:sz w:val="27"/>
          <w:rtl/>
          <w:lang w:bidi="fa-IR"/>
        </w:rPr>
        <w:t>ٍ</w:t>
      </w:r>
      <w:r w:rsidRPr="00904FCB">
        <w:rPr>
          <w:rFonts w:ascii="Tahoma" w:hAnsi="Tahoma"/>
          <w:sz w:val="27"/>
          <w:rtl/>
          <w:lang w:bidi="fa-IR"/>
        </w:rPr>
        <w:t xml:space="preserve"> سياسي منظ</w:t>
      </w:r>
      <w:r w:rsidR="00C05501" w:rsidRPr="00904FCB">
        <w:rPr>
          <w:rFonts w:ascii="Tahoma" w:hAnsi="Tahoma" w:hint="cs"/>
          <w:sz w:val="27"/>
          <w:rtl/>
          <w:lang w:bidi="fa-IR"/>
        </w:rPr>
        <w:t>َّ</w:t>
      </w:r>
      <w:r w:rsidRPr="00904FCB">
        <w:rPr>
          <w:rFonts w:ascii="Tahoma" w:hAnsi="Tahoma"/>
          <w:sz w:val="27"/>
          <w:rtl/>
          <w:lang w:bidi="fa-IR"/>
        </w:rPr>
        <w:t>م</w:t>
      </w:r>
      <w:r w:rsidR="00C05501" w:rsidRPr="00904FCB">
        <w:rPr>
          <w:rFonts w:ascii="Tahoma" w:hAnsi="Tahoma" w:hint="cs"/>
          <w:sz w:val="27"/>
          <w:rtl/>
          <w:lang w:bidi="fa-IR"/>
        </w:rPr>
        <w:t>.</w:t>
      </w:r>
      <w:r w:rsidRPr="00904FCB">
        <w:rPr>
          <w:rFonts w:ascii="Tahoma" w:hAnsi="Tahoma"/>
          <w:sz w:val="27"/>
          <w:rtl/>
          <w:lang w:bidi="fa-IR"/>
        </w:rPr>
        <w:t xml:space="preserve"> وتشتمل على نوعين من المصالح: </w:t>
      </w:r>
    </w:p>
    <w:p w:rsidR="00644408" w:rsidRPr="00904FCB" w:rsidRDefault="00644408" w:rsidP="00E247AB">
      <w:pPr>
        <w:autoSpaceDE w:val="0"/>
        <w:autoSpaceDN w:val="0"/>
        <w:adjustRightInd w:val="0"/>
        <w:spacing w:line="420" w:lineRule="exact"/>
        <w:ind w:firstLine="561"/>
        <w:rPr>
          <w:rFonts w:ascii="Tahoma" w:hAnsi="Tahoma"/>
          <w:sz w:val="27"/>
          <w:lang w:bidi="fa-IR"/>
        </w:rPr>
      </w:pPr>
      <w:r w:rsidRPr="00904FCB">
        <w:rPr>
          <w:rFonts w:ascii="Tahoma" w:hAnsi="Tahoma"/>
          <w:b/>
          <w:bCs/>
          <w:sz w:val="27"/>
          <w:rtl/>
          <w:lang w:bidi="fa-IR"/>
        </w:rPr>
        <w:t>الأو</w:t>
      </w:r>
      <w:r w:rsidR="00C05501" w:rsidRPr="00904FCB">
        <w:rPr>
          <w:rFonts w:ascii="Tahoma" w:hAnsi="Tahoma" w:hint="cs"/>
          <w:b/>
          <w:bCs/>
          <w:sz w:val="27"/>
          <w:rtl/>
          <w:lang w:bidi="fa-IR"/>
        </w:rPr>
        <w:t>ّ</w:t>
      </w:r>
      <w:r w:rsidRPr="00904FCB">
        <w:rPr>
          <w:rFonts w:ascii="Tahoma" w:hAnsi="Tahoma"/>
          <w:b/>
          <w:bCs/>
          <w:sz w:val="27"/>
          <w:rtl/>
          <w:lang w:bidi="fa-IR"/>
        </w:rPr>
        <w:t>ل</w:t>
      </w:r>
      <w:r w:rsidRPr="00904FCB">
        <w:rPr>
          <w:rFonts w:ascii="Tahoma" w:hAnsi="Tahoma"/>
          <w:sz w:val="27"/>
          <w:rtl/>
          <w:lang w:bidi="fa-IR"/>
        </w:rPr>
        <w:t>: مصالح المجتمع السياسي المنظ</w:t>
      </w:r>
      <w:r w:rsidR="00C05501" w:rsidRPr="00904FCB">
        <w:rPr>
          <w:rFonts w:ascii="Tahoma" w:hAnsi="Tahoma" w:hint="cs"/>
          <w:sz w:val="27"/>
          <w:rtl/>
          <w:lang w:bidi="fa-IR"/>
        </w:rPr>
        <w:t>َّ</w:t>
      </w:r>
      <w:r w:rsidRPr="00904FCB">
        <w:rPr>
          <w:rFonts w:ascii="Tahoma" w:hAnsi="Tahoma"/>
          <w:sz w:val="27"/>
          <w:rtl/>
          <w:lang w:bidi="fa-IR"/>
        </w:rPr>
        <w:t>م (الدولة)</w:t>
      </w:r>
      <w:r w:rsidR="00C05501" w:rsidRPr="00904FCB">
        <w:rPr>
          <w:rFonts w:ascii="Tahoma" w:hAnsi="Tahoma" w:hint="cs"/>
          <w:sz w:val="27"/>
          <w:rtl/>
          <w:lang w:bidi="fa-IR"/>
        </w:rPr>
        <w:t>،</w:t>
      </w:r>
      <w:r w:rsidRPr="00904FCB">
        <w:rPr>
          <w:rFonts w:ascii="Tahoma" w:hAnsi="Tahoma"/>
          <w:sz w:val="27"/>
          <w:rtl/>
          <w:lang w:bidi="fa-IR"/>
        </w:rPr>
        <w:t xml:space="preserve"> باعتباره شخصاً قانونياً</w:t>
      </w:r>
      <w:r w:rsidR="00C05501" w:rsidRPr="00904FCB">
        <w:rPr>
          <w:rFonts w:ascii="Tahoma" w:hAnsi="Tahoma" w:hint="cs"/>
          <w:sz w:val="27"/>
          <w:rtl/>
          <w:lang w:bidi="fa-IR"/>
        </w:rPr>
        <w:t>،</w:t>
      </w:r>
      <w:r w:rsidRPr="00904FCB">
        <w:rPr>
          <w:rFonts w:ascii="Tahoma" w:hAnsi="Tahoma"/>
          <w:sz w:val="27"/>
          <w:rtl/>
          <w:lang w:bidi="fa-IR"/>
        </w:rPr>
        <w:t xml:space="preserve"> في المحافظة على شخصي</w:t>
      </w:r>
      <w:r w:rsidR="00C05501" w:rsidRPr="00904FCB">
        <w:rPr>
          <w:rFonts w:ascii="Tahoma" w:hAnsi="Tahoma" w:hint="cs"/>
          <w:sz w:val="27"/>
          <w:rtl/>
          <w:lang w:bidi="fa-IR"/>
        </w:rPr>
        <w:t>َّ</w:t>
      </w:r>
      <w:r w:rsidRPr="00904FCB">
        <w:rPr>
          <w:rFonts w:ascii="Tahoma" w:hAnsi="Tahoma"/>
          <w:sz w:val="27"/>
          <w:rtl/>
          <w:lang w:bidi="fa-IR"/>
        </w:rPr>
        <w:t xml:space="preserve">ته وأمواله. </w:t>
      </w:r>
    </w:p>
    <w:p w:rsidR="00644408" w:rsidRPr="00904FCB" w:rsidRDefault="00644408" w:rsidP="00C163A6">
      <w:pPr>
        <w:autoSpaceDE w:val="0"/>
        <w:autoSpaceDN w:val="0"/>
        <w:adjustRightInd w:val="0"/>
        <w:spacing w:line="410" w:lineRule="exact"/>
        <w:ind w:firstLine="561"/>
        <w:rPr>
          <w:rFonts w:ascii="Tahoma" w:hAnsi="Tahoma"/>
          <w:sz w:val="27"/>
          <w:rtl/>
          <w:lang w:bidi="fa-IR"/>
        </w:rPr>
      </w:pPr>
      <w:r w:rsidRPr="00904FCB">
        <w:rPr>
          <w:rFonts w:ascii="Tahoma" w:hAnsi="Tahoma"/>
          <w:b/>
          <w:bCs/>
          <w:sz w:val="27"/>
          <w:rtl/>
          <w:lang w:bidi="fa-IR"/>
        </w:rPr>
        <w:t>الثاني</w:t>
      </w:r>
      <w:r w:rsidRPr="00904FCB">
        <w:rPr>
          <w:rFonts w:ascii="Tahoma" w:hAnsi="Tahoma"/>
          <w:sz w:val="27"/>
          <w:rtl/>
          <w:lang w:bidi="fa-IR"/>
        </w:rPr>
        <w:t>: مصالح الدولة التي تقوم على كونها حارسة</w:t>
      </w:r>
      <w:r w:rsidR="00C05501" w:rsidRPr="00904FCB">
        <w:rPr>
          <w:rFonts w:ascii="Tahoma" w:hAnsi="Tahoma" w:hint="cs"/>
          <w:sz w:val="27"/>
          <w:rtl/>
          <w:lang w:bidi="fa-IR"/>
        </w:rPr>
        <w:t>ً</w:t>
      </w:r>
      <w:r w:rsidRPr="00904FCB">
        <w:rPr>
          <w:rFonts w:ascii="Tahoma" w:hAnsi="Tahoma"/>
          <w:sz w:val="27"/>
          <w:rtl/>
          <w:lang w:bidi="fa-IR"/>
        </w:rPr>
        <w:t xml:space="preserve"> </w:t>
      </w:r>
      <w:r w:rsidR="00983741" w:rsidRPr="00904FCB">
        <w:rPr>
          <w:rFonts w:ascii="Tahoma" w:hAnsi="Tahoma" w:hint="cs"/>
          <w:sz w:val="27"/>
          <w:rtl/>
          <w:lang w:bidi="fa-IR"/>
        </w:rPr>
        <w:t>ل</w:t>
      </w:r>
      <w:r w:rsidRPr="00904FCB">
        <w:rPr>
          <w:rFonts w:ascii="Tahoma" w:hAnsi="Tahoma"/>
          <w:sz w:val="27"/>
          <w:rtl/>
          <w:lang w:bidi="fa-IR"/>
        </w:rPr>
        <w:t xml:space="preserve">لمصالح الاجتماعية. </w:t>
      </w:r>
    </w:p>
    <w:p w:rsidR="00644408" w:rsidRPr="00904FCB" w:rsidRDefault="00644408" w:rsidP="007A21AA">
      <w:pPr>
        <w:pStyle w:val="31"/>
        <w:spacing w:line="400" w:lineRule="exact"/>
        <w:rPr>
          <w:color w:val="auto"/>
          <w:lang w:bidi="fa-IR"/>
        </w:rPr>
      </w:pPr>
      <w:r w:rsidRPr="00DB2AFA">
        <w:rPr>
          <w:rFonts w:hint="cs"/>
          <w:color w:val="auto"/>
          <w:rtl/>
          <w:lang w:bidi="ar-LB"/>
        </w:rPr>
        <w:lastRenderedPageBreak/>
        <w:t>3ـ</w:t>
      </w:r>
      <w:r w:rsidRPr="00DB2AFA">
        <w:rPr>
          <w:color w:val="auto"/>
          <w:rtl/>
          <w:lang w:bidi="fa-IR"/>
        </w:rPr>
        <w:t xml:space="preserve"> المصالح</w:t>
      </w:r>
      <w:r w:rsidRPr="00904FCB">
        <w:rPr>
          <w:color w:val="auto"/>
          <w:rtl/>
          <w:lang w:bidi="fa-IR"/>
        </w:rPr>
        <w:t xml:space="preserve"> الاجتماعية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sz w:val="27"/>
          <w:rtl/>
          <w:lang w:bidi="fa-IR"/>
        </w:rPr>
        <w:t>وهي المطالب أو الحاجات التي تقتضيها الحياة الاجتماعية</w:t>
      </w:r>
      <w:r w:rsidR="006B7607" w:rsidRPr="00904FCB">
        <w:rPr>
          <w:rFonts w:ascii="Tahoma" w:hAnsi="Tahoma" w:hint="cs"/>
          <w:sz w:val="27"/>
          <w:rtl/>
          <w:lang w:bidi="fa-IR"/>
        </w:rPr>
        <w:t>.</w:t>
      </w:r>
      <w:r w:rsidRPr="00904FCB">
        <w:rPr>
          <w:rFonts w:ascii="Tahoma" w:hAnsi="Tahoma"/>
          <w:sz w:val="27"/>
          <w:rtl/>
          <w:lang w:bidi="fa-IR"/>
        </w:rPr>
        <w:t xml:space="preserve"> وتشتمل على ست</w:t>
      </w:r>
      <w:r w:rsidR="006B7607" w:rsidRPr="00904FCB">
        <w:rPr>
          <w:rFonts w:ascii="Tahoma" w:hAnsi="Tahoma" w:hint="cs"/>
          <w:sz w:val="27"/>
          <w:rtl/>
          <w:lang w:bidi="fa-IR"/>
        </w:rPr>
        <w:t>ّ</w:t>
      </w:r>
      <w:r w:rsidRPr="00904FCB">
        <w:rPr>
          <w:rFonts w:ascii="Tahoma" w:hAnsi="Tahoma"/>
          <w:sz w:val="27"/>
          <w:rtl/>
          <w:lang w:bidi="fa-IR"/>
        </w:rPr>
        <w:t xml:space="preserve"> مصالح أساسية: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hint="cs"/>
          <w:sz w:val="27"/>
          <w:rtl/>
          <w:lang w:bidi="fa-IR"/>
        </w:rPr>
        <w:t xml:space="preserve">ـ </w:t>
      </w:r>
      <w:r w:rsidRPr="00904FCB">
        <w:rPr>
          <w:rFonts w:ascii="Tahoma" w:hAnsi="Tahoma"/>
          <w:sz w:val="27"/>
          <w:rtl/>
          <w:lang w:bidi="fa-IR"/>
        </w:rPr>
        <w:t xml:space="preserve">المصلحة الاجتماعية في الأمن العام.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hint="cs"/>
          <w:sz w:val="27"/>
          <w:rtl/>
          <w:lang w:bidi="fa-IR"/>
        </w:rPr>
        <w:t xml:space="preserve">ـ </w:t>
      </w:r>
      <w:r w:rsidRPr="00904FCB">
        <w:rPr>
          <w:rFonts w:ascii="Tahoma" w:hAnsi="Tahoma"/>
          <w:sz w:val="27"/>
          <w:rtl/>
          <w:lang w:bidi="fa-IR"/>
        </w:rPr>
        <w:t xml:space="preserve">المصلحة الاجتماعية في أمن الأنظمة الاجتماعية.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hint="cs"/>
          <w:sz w:val="27"/>
          <w:rtl/>
          <w:lang w:bidi="fa-IR"/>
        </w:rPr>
        <w:t xml:space="preserve">ـ </w:t>
      </w:r>
      <w:r w:rsidRPr="00904FCB">
        <w:rPr>
          <w:rFonts w:ascii="Tahoma" w:hAnsi="Tahoma"/>
          <w:sz w:val="27"/>
          <w:rtl/>
          <w:lang w:bidi="fa-IR"/>
        </w:rPr>
        <w:t>المصلحة الاجتماعية في الأخلاق العام</w:t>
      </w:r>
      <w:r w:rsidR="006B7607" w:rsidRPr="00904FCB">
        <w:rPr>
          <w:rFonts w:ascii="Tahoma" w:hAnsi="Tahoma" w:hint="cs"/>
          <w:sz w:val="27"/>
          <w:rtl/>
          <w:lang w:bidi="fa-IR"/>
        </w:rPr>
        <w:t>ّ</w:t>
      </w:r>
      <w:r w:rsidRPr="00904FCB">
        <w:rPr>
          <w:rFonts w:ascii="Tahoma" w:hAnsi="Tahoma"/>
          <w:sz w:val="27"/>
          <w:rtl/>
          <w:lang w:bidi="fa-IR"/>
        </w:rPr>
        <w:t xml:space="preserve">ة.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hint="cs"/>
          <w:sz w:val="27"/>
          <w:rtl/>
          <w:lang w:bidi="fa-IR"/>
        </w:rPr>
        <w:t xml:space="preserve">ـ </w:t>
      </w:r>
      <w:r w:rsidRPr="00904FCB">
        <w:rPr>
          <w:rFonts w:ascii="Tahoma" w:hAnsi="Tahoma"/>
          <w:sz w:val="27"/>
          <w:rtl/>
          <w:lang w:bidi="fa-IR"/>
        </w:rPr>
        <w:t xml:space="preserve">المصلحة الاجتماعية في المحافظة على مصادر ثروة المجتمع.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hint="cs"/>
          <w:sz w:val="27"/>
          <w:rtl/>
          <w:lang w:bidi="fa-IR"/>
        </w:rPr>
        <w:t xml:space="preserve">ـ </w:t>
      </w:r>
      <w:r w:rsidRPr="00904FCB">
        <w:rPr>
          <w:rFonts w:ascii="Tahoma" w:hAnsi="Tahoma"/>
          <w:sz w:val="27"/>
          <w:rtl/>
          <w:lang w:bidi="fa-IR"/>
        </w:rPr>
        <w:t>المصلحة الاجتماعية في التقد</w:t>
      </w:r>
      <w:r w:rsidR="006B7607" w:rsidRPr="00904FCB">
        <w:rPr>
          <w:rFonts w:ascii="Tahoma" w:hAnsi="Tahoma" w:hint="cs"/>
          <w:sz w:val="27"/>
          <w:rtl/>
          <w:lang w:bidi="fa-IR"/>
        </w:rPr>
        <w:t>ُّ</w:t>
      </w:r>
      <w:r w:rsidRPr="00904FCB">
        <w:rPr>
          <w:rFonts w:ascii="Tahoma" w:hAnsi="Tahoma"/>
          <w:sz w:val="27"/>
          <w:rtl/>
          <w:lang w:bidi="fa-IR"/>
        </w:rPr>
        <w:t xml:space="preserve">م العام.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hint="cs"/>
          <w:sz w:val="27"/>
          <w:rtl/>
          <w:lang w:bidi="fa-IR"/>
        </w:rPr>
        <w:t xml:space="preserve">ـ </w:t>
      </w:r>
      <w:r w:rsidRPr="00904FCB">
        <w:rPr>
          <w:rFonts w:ascii="Tahoma" w:hAnsi="Tahoma"/>
          <w:sz w:val="27"/>
          <w:rtl/>
          <w:lang w:bidi="fa-IR"/>
        </w:rPr>
        <w:t>المصلحة الاجتماعية في أن يحيا الأفراد حياة</w:t>
      </w:r>
      <w:r w:rsidR="006B7607" w:rsidRPr="00904FCB">
        <w:rPr>
          <w:rFonts w:ascii="Tahoma" w:hAnsi="Tahoma" w:hint="cs"/>
          <w:sz w:val="27"/>
          <w:rtl/>
          <w:lang w:bidi="fa-IR"/>
        </w:rPr>
        <w:t>ً</w:t>
      </w:r>
      <w:r w:rsidRPr="00904FCB">
        <w:rPr>
          <w:rFonts w:ascii="Tahoma" w:hAnsi="Tahoma"/>
          <w:sz w:val="27"/>
          <w:rtl/>
          <w:lang w:bidi="fa-IR"/>
        </w:rPr>
        <w:t xml:space="preserve"> إنسانية. </w:t>
      </w:r>
    </w:p>
    <w:p w:rsidR="00644408" w:rsidRPr="00904FCB" w:rsidRDefault="00644408" w:rsidP="00C163A6">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وإذا كان إشباع جميع الر</w:t>
      </w:r>
      <w:r w:rsidR="006B7607" w:rsidRPr="00904FCB">
        <w:rPr>
          <w:rFonts w:ascii="Tahoma" w:hAnsi="Tahoma" w:hint="cs"/>
          <w:sz w:val="27"/>
          <w:rtl/>
          <w:lang w:bidi="fa-IR"/>
        </w:rPr>
        <w:t>َّ</w:t>
      </w:r>
      <w:r w:rsidRPr="00904FCB">
        <w:rPr>
          <w:rFonts w:ascii="Tahoma" w:hAnsi="Tahoma"/>
          <w:sz w:val="27"/>
          <w:rtl/>
          <w:lang w:bidi="fa-IR"/>
        </w:rPr>
        <w:t>غ</w:t>
      </w:r>
      <w:r w:rsidR="006B7607" w:rsidRPr="00904FCB">
        <w:rPr>
          <w:rFonts w:ascii="Tahoma" w:hAnsi="Tahoma" w:hint="cs"/>
          <w:sz w:val="27"/>
          <w:rtl/>
          <w:lang w:bidi="fa-IR"/>
        </w:rPr>
        <w:t>َ</w:t>
      </w:r>
      <w:r w:rsidRPr="00904FCB">
        <w:rPr>
          <w:rFonts w:ascii="Tahoma" w:hAnsi="Tahoma"/>
          <w:sz w:val="27"/>
          <w:rtl/>
          <w:lang w:bidi="fa-IR"/>
        </w:rPr>
        <w:t>بات والمطالب والحاجات أمراً غير ممكن فقد وضع «باوند» طريقة</w:t>
      </w:r>
      <w:r w:rsidR="006B7607" w:rsidRPr="00904FCB">
        <w:rPr>
          <w:rFonts w:ascii="Tahoma" w:hAnsi="Tahoma" w:hint="cs"/>
          <w:sz w:val="27"/>
          <w:rtl/>
          <w:lang w:bidi="fa-IR"/>
        </w:rPr>
        <w:t>ً</w:t>
      </w:r>
      <w:r w:rsidRPr="00904FCB">
        <w:rPr>
          <w:rFonts w:ascii="Tahoma" w:hAnsi="Tahoma"/>
          <w:sz w:val="27"/>
          <w:rtl/>
          <w:lang w:bidi="fa-IR"/>
        </w:rPr>
        <w:t xml:space="preserve"> للترجيح بين المصالح والموازنة بينها</w:t>
      </w:r>
      <w:r w:rsidR="006B7607" w:rsidRPr="00904FCB">
        <w:rPr>
          <w:rFonts w:ascii="Tahoma" w:hAnsi="Tahoma" w:hint="cs"/>
          <w:sz w:val="27"/>
          <w:rtl/>
          <w:lang w:bidi="fa-IR"/>
        </w:rPr>
        <w:t>.</w:t>
      </w:r>
      <w:r w:rsidRPr="00904FCB">
        <w:rPr>
          <w:rFonts w:ascii="Tahoma" w:hAnsi="Tahoma"/>
          <w:sz w:val="27"/>
          <w:rtl/>
          <w:lang w:bidi="fa-IR"/>
        </w:rPr>
        <w:t xml:space="preserve"> فقد حاول عند تقييم المصالح والموازنة بينها أن تكون الموازنة بين مصلحتين من صنف</w:t>
      </w:r>
      <w:r w:rsidR="006B7607" w:rsidRPr="00904FCB">
        <w:rPr>
          <w:rFonts w:ascii="Tahoma" w:hAnsi="Tahoma" w:hint="cs"/>
          <w:sz w:val="27"/>
          <w:rtl/>
          <w:lang w:bidi="fa-IR"/>
        </w:rPr>
        <w:t>ٍ</w:t>
      </w:r>
      <w:r w:rsidRPr="00904FCB">
        <w:rPr>
          <w:rFonts w:ascii="Tahoma" w:hAnsi="Tahoma"/>
          <w:sz w:val="27"/>
          <w:rtl/>
          <w:lang w:bidi="fa-IR"/>
        </w:rPr>
        <w:t xml:space="preserve"> واحد</w:t>
      </w:r>
      <w:r w:rsidR="006B7607" w:rsidRPr="00904FCB">
        <w:rPr>
          <w:rFonts w:ascii="Tahoma" w:hAnsi="Tahoma" w:hint="cs"/>
          <w:sz w:val="27"/>
          <w:rtl/>
          <w:lang w:bidi="fa-IR"/>
        </w:rPr>
        <w:t>،</w:t>
      </w:r>
      <w:r w:rsidRPr="00904FCB">
        <w:rPr>
          <w:rFonts w:ascii="Tahoma" w:hAnsi="Tahoma"/>
          <w:sz w:val="27"/>
          <w:rtl/>
          <w:lang w:bidi="fa-IR"/>
        </w:rPr>
        <w:t xml:space="preserve"> أي أن تكون الموازنة إما بين مصلحتين فرديتين</w:t>
      </w:r>
      <w:r w:rsidR="006B7607" w:rsidRPr="00904FCB">
        <w:rPr>
          <w:rFonts w:ascii="Tahoma" w:hAnsi="Tahoma" w:hint="cs"/>
          <w:sz w:val="27"/>
          <w:rtl/>
          <w:lang w:bidi="fa-IR"/>
        </w:rPr>
        <w:t>؛</w:t>
      </w:r>
      <w:r w:rsidRPr="00904FCB">
        <w:rPr>
          <w:rFonts w:ascii="Tahoma" w:hAnsi="Tahoma"/>
          <w:sz w:val="27"/>
          <w:rtl/>
          <w:lang w:bidi="fa-IR"/>
        </w:rPr>
        <w:t xml:space="preserve"> أو بين مصلحتين عامتين</w:t>
      </w:r>
      <w:r w:rsidR="006B7607" w:rsidRPr="00904FCB">
        <w:rPr>
          <w:rFonts w:ascii="Tahoma" w:hAnsi="Tahoma" w:hint="cs"/>
          <w:sz w:val="27"/>
          <w:rtl/>
          <w:lang w:bidi="fa-IR"/>
        </w:rPr>
        <w:t>؛</w:t>
      </w:r>
      <w:r w:rsidRPr="00904FCB">
        <w:rPr>
          <w:rFonts w:ascii="Tahoma" w:hAnsi="Tahoma"/>
          <w:sz w:val="27"/>
          <w:rtl/>
          <w:lang w:bidi="fa-IR"/>
        </w:rPr>
        <w:t xml:space="preserve"> أو بين مصلحتين اجتماعي</w:t>
      </w:r>
      <w:r w:rsidR="00C163A6">
        <w:rPr>
          <w:rFonts w:ascii="Tahoma" w:hAnsi="Tahoma" w:hint="cs"/>
          <w:sz w:val="27"/>
          <w:rtl/>
          <w:lang w:bidi="fa-IR"/>
        </w:rPr>
        <w:t>ّ</w:t>
      </w:r>
      <w:r w:rsidRPr="00904FCB">
        <w:rPr>
          <w:rFonts w:ascii="Tahoma" w:hAnsi="Tahoma"/>
          <w:sz w:val="27"/>
          <w:rtl/>
          <w:lang w:bidi="fa-IR"/>
        </w:rPr>
        <w:t>تين</w:t>
      </w:r>
      <w:r w:rsidR="00C163A6">
        <w:rPr>
          <w:rFonts w:ascii="Tahoma" w:hAnsi="Tahoma" w:hint="cs"/>
          <w:sz w:val="27"/>
          <w:rtl/>
          <w:lang w:bidi="fa-IR"/>
        </w:rPr>
        <w:t>،</w:t>
      </w:r>
      <w:r w:rsidRPr="00904FCB">
        <w:rPr>
          <w:rFonts w:ascii="Tahoma" w:hAnsi="Tahoma"/>
          <w:sz w:val="27"/>
          <w:rtl/>
          <w:lang w:bidi="fa-IR"/>
        </w:rPr>
        <w:t xml:space="preserve"> بمعنى عدم جواز المقارنة أو الموازنة بين مصلحة</w:t>
      </w:r>
      <w:r w:rsidR="006B7607" w:rsidRPr="00904FCB">
        <w:rPr>
          <w:rFonts w:ascii="Tahoma" w:hAnsi="Tahoma" w:hint="cs"/>
          <w:sz w:val="27"/>
          <w:rtl/>
          <w:lang w:bidi="fa-IR"/>
        </w:rPr>
        <w:t>ٍ</w:t>
      </w:r>
      <w:r w:rsidRPr="00904FCB">
        <w:rPr>
          <w:rFonts w:ascii="Tahoma" w:hAnsi="Tahoma"/>
          <w:sz w:val="27"/>
          <w:rtl/>
          <w:lang w:bidi="fa-IR"/>
        </w:rPr>
        <w:t xml:space="preserve"> فردية وأخرى اجتماعية وثالثة عام</w:t>
      </w:r>
      <w:r w:rsidR="006B7607" w:rsidRPr="00904FCB">
        <w:rPr>
          <w:rFonts w:ascii="Tahoma" w:hAnsi="Tahoma" w:hint="cs"/>
          <w:sz w:val="27"/>
          <w:rtl/>
          <w:lang w:bidi="fa-IR"/>
        </w:rPr>
        <w:t>ّ</w:t>
      </w:r>
      <w:r w:rsidRPr="00904FCB">
        <w:rPr>
          <w:rFonts w:ascii="Tahoma" w:hAnsi="Tahoma"/>
          <w:sz w:val="27"/>
          <w:rtl/>
          <w:lang w:bidi="fa-IR"/>
        </w:rPr>
        <w:t xml:space="preserve">ة. </w:t>
      </w:r>
    </w:p>
    <w:p w:rsidR="00644408" w:rsidRPr="00904FCB" w:rsidRDefault="00644408" w:rsidP="00C163A6">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ولم</w:t>
      </w:r>
      <w:r w:rsidR="006B7607" w:rsidRPr="00904FCB">
        <w:rPr>
          <w:rFonts w:ascii="Tahoma" w:hAnsi="Tahoma" w:hint="cs"/>
          <w:sz w:val="27"/>
          <w:rtl/>
          <w:lang w:bidi="fa-IR"/>
        </w:rPr>
        <w:t>ّ</w:t>
      </w:r>
      <w:r w:rsidRPr="00904FCB">
        <w:rPr>
          <w:rFonts w:ascii="Tahoma" w:hAnsi="Tahoma"/>
          <w:sz w:val="27"/>
          <w:rtl/>
          <w:lang w:bidi="fa-IR"/>
        </w:rPr>
        <w:t>ا كانت المصالح الفردية بدورها تعكس مصالح اجتماعية معي</w:t>
      </w:r>
      <w:r w:rsidR="006B7607" w:rsidRPr="00904FCB">
        <w:rPr>
          <w:rFonts w:ascii="Tahoma" w:hAnsi="Tahoma" w:hint="cs"/>
          <w:sz w:val="27"/>
          <w:rtl/>
          <w:lang w:bidi="fa-IR"/>
        </w:rPr>
        <w:t>َّ</w:t>
      </w:r>
      <w:r w:rsidRPr="00904FCB">
        <w:rPr>
          <w:rFonts w:ascii="Tahoma" w:hAnsi="Tahoma"/>
          <w:sz w:val="27"/>
          <w:rtl/>
          <w:lang w:bidi="fa-IR"/>
        </w:rPr>
        <w:t>نة فقد رأى «باوند» أنّه من الملائم أن تتم</w:t>
      </w:r>
      <w:r w:rsidR="006B7607" w:rsidRPr="00904FCB">
        <w:rPr>
          <w:rFonts w:ascii="Tahoma" w:hAnsi="Tahoma" w:hint="cs"/>
          <w:sz w:val="27"/>
          <w:rtl/>
          <w:lang w:bidi="fa-IR"/>
        </w:rPr>
        <w:t>ّ</w:t>
      </w:r>
      <w:r w:rsidRPr="00904FCB">
        <w:rPr>
          <w:rFonts w:ascii="Tahoma" w:hAnsi="Tahoma"/>
          <w:sz w:val="27"/>
          <w:rtl/>
          <w:lang w:bidi="fa-IR"/>
        </w:rPr>
        <w:t xml:space="preserve"> المقارنة بين المصالح بعد تحويلها إلى صورتها الأكثر تعميماً، أي باعتبارها مصالح اجتماعية. </w:t>
      </w:r>
    </w:p>
    <w:p w:rsidR="00644408" w:rsidRPr="00904FCB" w:rsidRDefault="00644408" w:rsidP="00C163A6">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أما عن المعيار الذي يقد</w:t>
      </w:r>
      <w:r w:rsidR="006B7607" w:rsidRPr="00904FCB">
        <w:rPr>
          <w:rFonts w:ascii="Tahoma" w:hAnsi="Tahoma" w:hint="cs"/>
          <w:sz w:val="27"/>
          <w:rtl/>
          <w:lang w:bidi="fa-IR"/>
        </w:rPr>
        <w:t>ِّ</w:t>
      </w:r>
      <w:r w:rsidRPr="00904FCB">
        <w:rPr>
          <w:rFonts w:ascii="Tahoma" w:hAnsi="Tahoma"/>
          <w:sz w:val="27"/>
          <w:rtl/>
          <w:lang w:bidi="fa-IR"/>
        </w:rPr>
        <w:t>مه «باوند» لتقييم المصالح والموازنة والترجيح بينها فإنه يعلن صراحة</w:t>
      </w:r>
      <w:r w:rsidR="006B7607" w:rsidRPr="00904FCB">
        <w:rPr>
          <w:rFonts w:ascii="Tahoma" w:hAnsi="Tahoma" w:hint="cs"/>
          <w:sz w:val="27"/>
          <w:rtl/>
          <w:lang w:bidi="fa-IR"/>
        </w:rPr>
        <w:t>ً</w:t>
      </w:r>
      <w:r w:rsidRPr="00904FCB">
        <w:rPr>
          <w:rFonts w:ascii="Tahoma" w:hAnsi="Tahoma"/>
          <w:sz w:val="27"/>
          <w:rtl/>
          <w:lang w:bidi="fa-IR"/>
        </w:rPr>
        <w:t xml:space="preserve"> شك</w:t>
      </w:r>
      <w:r w:rsidR="006B7607" w:rsidRPr="00904FCB">
        <w:rPr>
          <w:rFonts w:ascii="Tahoma" w:hAnsi="Tahoma" w:hint="cs"/>
          <w:sz w:val="27"/>
          <w:rtl/>
          <w:lang w:bidi="fa-IR"/>
        </w:rPr>
        <w:t>َّ</w:t>
      </w:r>
      <w:r w:rsidRPr="00904FCB">
        <w:rPr>
          <w:rFonts w:ascii="Tahoma" w:hAnsi="Tahoma"/>
          <w:sz w:val="27"/>
          <w:rtl/>
          <w:lang w:bidi="fa-IR"/>
        </w:rPr>
        <w:t>ه في إمكانية وضع معيار</w:t>
      </w:r>
      <w:r w:rsidR="006B7607" w:rsidRPr="00904FCB">
        <w:rPr>
          <w:rFonts w:ascii="Tahoma" w:hAnsi="Tahoma" w:hint="cs"/>
          <w:sz w:val="27"/>
          <w:rtl/>
          <w:lang w:bidi="fa-IR"/>
        </w:rPr>
        <w:t>ٍ</w:t>
      </w:r>
      <w:r w:rsidRPr="00904FCB">
        <w:rPr>
          <w:rFonts w:ascii="Tahoma" w:hAnsi="Tahoma"/>
          <w:sz w:val="27"/>
          <w:rtl/>
          <w:lang w:bidi="fa-IR"/>
        </w:rPr>
        <w:t xml:space="preserve"> واحد واضح ومحد</w:t>
      </w:r>
      <w:r w:rsidR="006B7607" w:rsidRPr="00904FCB">
        <w:rPr>
          <w:rFonts w:ascii="Tahoma" w:hAnsi="Tahoma" w:hint="cs"/>
          <w:sz w:val="27"/>
          <w:rtl/>
          <w:lang w:bidi="fa-IR"/>
        </w:rPr>
        <w:t>َّ</w:t>
      </w:r>
      <w:r w:rsidRPr="00904FCB">
        <w:rPr>
          <w:rFonts w:ascii="Tahoma" w:hAnsi="Tahoma"/>
          <w:sz w:val="27"/>
          <w:rtl/>
          <w:lang w:bidi="fa-IR"/>
        </w:rPr>
        <w:t>د</w:t>
      </w:r>
      <w:r w:rsidR="006B7607" w:rsidRPr="00904FCB">
        <w:rPr>
          <w:rFonts w:ascii="Tahoma" w:hAnsi="Tahoma" w:hint="cs"/>
          <w:sz w:val="27"/>
          <w:rtl/>
          <w:lang w:bidi="fa-IR"/>
        </w:rPr>
        <w:t>،</w:t>
      </w:r>
      <w:r w:rsidRPr="00904FCB">
        <w:rPr>
          <w:rFonts w:ascii="Tahoma" w:hAnsi="Tahoma"/>
          <w:sz w:val="27"/>
          <w:rtl/>
          <w:lang w:bidi="fa-IR"/>
        </w:rPr>
        <w:t xml:space="preserve"> يمكن تطبيقه في الموازنة بين المصالح</w:t>
      </w:r>
      <w:r w:rsidR="006B7607" w:rsidRPr="00904FCB">
        <w:rPr>
          <w:rFonts w:ascii="Tahoma" w:hAnsi="Tahoma" w:hint="cs"/>
          <w:sz w:val="27"/>
          <w:rtl/>
          <w:lang w:bidi="fa-IR"/>
        </w:rPr>
        <w:t>.</w:t>
      </w:r>
      <w:r w:rsidRPr="00904FCB">
        <w:rPr>
          <w:rFonts w:ascii="Tahoma" w:hAnsi="Tahoma"/>
          <w:sz w:val="27"/>
          <w:rtl/>
          <w:lang w:bidi="fa-IR"/>
        </w:rPr>
        <w:t xml:space="preserve"> ومن ثم</w:t>
      </w:r>
      <w:r w:rsidR="006B7607" w:rsidRPr="00904FCB">
        <w:rPr>
          <w:rFonts w:ascii="Tahoma" w:hAnsi="Tahoma" w:hint="cs"/>
          <w:sz w:val="27"/>
          <w:rtl/>
          <w:lang w:bidi="fa-IR"/>
        </w:rPr>
        <w:t>ّ</w:t>
      </w:r>
      <w:r w:rsidRPr="00904FCB">
        <w:rPr>
          <w:rFonts w:ascii="Tahoma" w:hAnsi="Tahoma"/>
          <w:sz w:val="27"/>
          <w:rtl/>
          <w:lang w:bidi="fa-IR"/>
        </w:rPr>
        <w:t xml:space="preserve"> يرى ب</w:t>
      </w:r>
      <w:r w:rsidR="006B7607" w:rsidRPr="00904FCB">
        <w:rPr>
          <w:rFonts w:ascii="Tahoma" w:hAnsi="Tahoma" w:hint="cs"/>
          <w:sz w:val="27"/>
          <w:rtl/>
          <w:lang w:bidi="fa-IR"/>
        </w:rPr>
        <w:t>َ</w:t>
      </w:r>
      <w:r w:rsidRPr="00904FCB">
        <w:rPr>
          <w:rFonts w:ascii="Tahoma" w:hAnsi="Tahoma"/>
          <w:sz w:val="27"/>
          <w:rtl/>
          <w:lang w:bidi="fa-IR"/>
        </w:rPr>
        <w:t>د</w:t>
      </w:r>
      <w:r w:rsidR="006B7607" w:rsidRPr="00904FCB">
        <w:rPr>
          <w:rFonts w:ascii="Tahoma" w:hAnsi="Tahoma" w:hint="cs"/>
          <w:sz w:val="27"/>
          <w:rtl/>
          <w:lang w:bidi="fa-IR"/>
        </w:rPr>
        <w:t>َ</w:t>
      </w:r>
      <w:r w:rsidRPr="00904FCB">
        <w:rPr>
          <w:rFonts w:ascii="Tahoma" w:hAnsi="Tahoma"/>
          <w:sz w:val="27"/>
          <w:rtl/>
          <w:lang w:bidi="fa-IR"/>
        </w:rPr>
        <w:t>لاً من ذلك أن</w:t>
      </w:r>
      <w:r w:rsidR="006B7607" w:rsidRPr="00904FCB">
        <w:rPr>
          <w:rFonts w:ascii="Tahoma" w:hAnsi="Tahoma" w:hint="cs"/>
          <w:sz w:val="27"/>
          <w:rtl/>
          <w:lang w:bidi="fa-IR"/>
        </w:rPr>
        <w:t>ّ</w:t>
      </w:r>
      <w:r w:rsidRPr="00904FCB">
        <w:rPr>
          <w:rFonts w:ascii="Tahoma" w:hAnsi="Tahoma"/>
          <w:sz w:val="27"/>
          <w:rtl/>
          <w:lang w:bidi="fa-IR"/>
        </w:rPr>
        <w:t xml:space="preserve"> على رجل القانون أن يدرك الطبيعة الحقيقية لمس</w:t>
      </w:r>
      <w:r w:rsidR="006B7607" w:rsidRPr="00904FCB">
        <w:rPr>
          <w:rFonts w:ascii="Tahoma" w:hAnsi="Tahoma" w:hint="cs"/>
          <w:sz w:val="27"/>
          <w:rtl/>
          <w:lang w:bidi="fa-IR"/>
        </w:rPr>
        <w:t>ؤ</w:t>
      </w:r>
      <w:r w:rsidRPr="00904FCB">
        <w:rPr>
          <w:rFonts w:ascii="Tahoma" w:hAnsi="Tahoma"/>
          <w:sz w:val="27"/>
          <w:rtl/>
          <w:lang w:bidi="fa-IR"/>
        </w:rPr>
        <w:t>وليته في ضوء الأهداف الاجتماعية</w:t>
      </w:r>
      <w:r w:rsidR="006B7607" w:rsidRPr="00904FCB">
        <w:rPr>
          <w:rFonts w:ascii="Tahoma" w:hAnsi="Tahoma" w:hint="cs"/>
          <w:sz w:val="27"/>
          <w:rtl/>
          <w:lang w:bidi="fa-IR"/>
        </w:rPr>
        <w:t>؛</w:t>
      </w:r>
      <w:r w:rsidRPr="00904FCB">
        <w:rPr>
          <w:rFonts w:ascii="Tahoma" w:hAnsi="Tahoma"/>
          <w:sz w:val="27"/>
          <w:rtl/>
          <w:lang w:bidi="fa-IR"/>
        </w:rPr>
        <w:t xml:space="preserve"> من أجل تحقيقها وتأبيدها، وأن يسلك في سبيل ذلك طريق العقل، وأن يعتمد على أفضل المعلومات التي يمكنه الحصول عليها</w:t>
      </w:r>
      <w:r w:rsidR="006B7607" w:rsidRPr="00904FCB">
        <w:rPr>
          <w:rFonts w:ascii="Tahoma" w:hAnsi="Tahoma" w:hint="cs"/>
          <w:sz w:val="27"/>
          <w:rtl/>
          <w:lang w:bidi="fa-IR"/>
        </w:rPr>
        <w:t>،</w:t>
      </w:r>
      <w:r w:rsidRPr="00904FCB">
        <w:rPr>
          <w:rFonts w:ascii="Tahoma" w:hAnsi="Tahoma"/>
          <w:sz w:val="27"/>
          <w:rtl/>
          <w:lang w:bidi="fa-IR"/>
        </w:rPr>
        <w:t xml:space="preserve"> فيقول: «لا أعتقد بأنّه يتوج</w:t>
      </w:r>
      <w:r w:rsidR="006B7607" w:rsidRPr="00904FCB">
        <w:rPr>
          <w:rFonts w:ascii="Tahoma" w:hAnsi="Tahoma" w:hint="cs"/>
          <w:sz w:val="27"/>
          <w:rtl/>
          <w:lang w:bidi="fa-IR"/>
        </w:rPr>
        <w:t>َّ</w:t>
      </w:r>
      <w:r w:rsidRPr="00904FCB">
        <w:rPr>
          <w:rFonts w:ascii="Tahoma" w:hAnsi="Tahoma"/>
          <w:sz w:val="27"/>
          <w:rtl/>
          <w:lang w:bidi="fa-IR"/>
        </w:rPr>
        <w:t>ب على رجل القانون أكثر من أن يقر</w:t>
      </w:r>
      <w:r w:rsidR="006B7607" w:rsidRPr="00904FCB">
        <w:rPr>
          <w:rFonts w:ascii="Tahoma" w:hAnsi="Tahoma" w:hint="cs"/>
          <w:sz w:val="27"/>
          <w:rtl/>
          <w:lang w:bidi="fa-IR"/>
        </w:rPr>
        <w:t>ّ</w:t>
      </w:r>
      <w:r w:rsidRPr="00904FCB">
        <w:rPr>
          <w:rFonts w:ascii="Tahoma" w:hAnsi="Tahoma"/>
          <w:sz w:val="27"/>
          <w:rtl/>
          <w:lang w:bidi="fa-IR"/>
        </w:rPr>
        <w:t xml:space="preserve"> بوجود المشكلة</w:t>
      </w:r>
      <w:r w:rsidR="006B7607" w:rsidRPr="00904FCB">
        <w:rPr>
          <w:rFonts w:ascii="Tahoma" w:hAnsi="Tahoma" w:hint="cs"/>
          <w:sz w:val="27"/>
          <w:rtl/>
          <w:lang w:bidi="fa-IR"/>
        </w:rPr>
        <w:t>،</w:t>
      </w:r>
      <w:r w:rsidRPr="00904FCB">
        <w:rPr>
          <w:rFonts w:ascii="Tahoma" w:hAnsi="Tahoma"/>
          <w:sz w:val="27"/>
          <w:rtl/>
          <w:lang w:bidi="fa-IR"/>
        </w:rPr>
        <w:t xml:space="preserve"> وأن يدرك أن</w:t>
      </w:r>
      <w:r w:rsidR="006B7607" w:rsidRPr="00904FCB">
        <w:rPr>
          <w:rFonts w:ascii="Tahoma" w:hAnsi="Tahoma" w:hint="cs"/>
          <w:sz w:val="27"/>
          <w:rtl/>
          <w:lang w:bidi="fa-IR"/>
        </w:rPr>
        <w:t>ّ</w:t>
      </w:r>
      <w:r w:rsidRPr="00904FCB">
        <w:rPr>
          <w:rFonts w:ascii="Tahoma" w:hAnsi="Tahoma"/>
          <w:sz w:val="27"/>
          <w:rtl/>
          <w:lang w:bidi="fa-IR"/>
        </w:rPr>
        <w:t xml:space="preserve"> عليه أن يؤم</w:t>
      </w:r>
      <w:r w:rsidR="006B7607" w:rsidRPr="00904FCB">
        <w:rPr>
          <w:rFonts w:ascii="Tahoma" w:hAnsi="Tahoma" w:hint="cs"/>
          <w:sz w:val="27"/>
          <w:rtl/>
          <w:lang w:bidi="fa-IR"/>
        </w:rPr>
        <w:t>ّ</w:t>
      </w:r>
      <w:r w:rsidRPr="00904FCB">
        <w:rPr>
          <w:rFonts w:ascii="Tahoma" w:hAnsi="Tahoma"/>
          <w:sz w:val="27"/>
          <w:rtl/>
          <w:lang w:bidi="fa-IR"/>
        </w:rPr>
        <w:t>ن حماية جميع المصالح الاجتماعية بالق</w:t>
      </w:r>
      <w:r w:rsidR="006B7607" w:rsidRPr="00904FCB">
        <w:rPr>
          <w:rFonts w:ascii="Tahoma" w:hAnsi="Tahoma" w:hint="cs"/>
          <w:sz w:val="27"/>
          <w:rtl/>
          <w:lang w:bidi="fa-IR"/>
        </w:rPr>
        <w:t>َ</w:t>
      </w:r>
      <w:r w:rsidRPr="00904FCB">
        <w:rPr>
          <w:rFonts w:ascii="Tahoma" w:hAnsi="Tahoma"/>
          <w:sz w:val="27"/>
          <w:rtl/>
          <w:lang w:bidi="fa-IR"/>
        </w:rPr>
        <w:t>د</w:t>
      </w:r>
      <w:r w:rsidR="006B7607" w:rsidRPr="00904FCB">
        <w:rPr>
          <w:rFonts w:ascii="Tahoma" w:hAnsi="Tahoma" w:hint="cs"/>
          <w:sz w:val="27"/>
          <w:rtl/>
          <w:lang w:bidi="fa-IR"/>
        </w:rPr>
        <w:t>ْ</w:t>
      </w:r>
      <w:r w:rsidRPr="00904FCB">
        <w:rPr>
          <w:rFonts w:ascii="Tahoma" w:hAnsi="Tahoma"/>
          <w:sz w:val="27"/>
          <w:rtl/>
          <w:lang w:bidi="fa-IR"/>
        </w:rPr>
        <w:t>ر المستطاع، وأن يحافظ على إقامة توازن أو توافق بين هذه المصالح</w:t>
      </w:r>
      <w:r w:rsidR="006B7607" w:rsidRPr="00904FCB">
        <w:rPr>
          <w:rFonts w:ascii="Tahoma" w:hAnsi="Tahoma" w:hint="cs"/>
          <w:sz w:val="27"/>
          <w:rtl/>
          <w:lang w:bidi="fa-IR"/>
        </w:rPr>
        <w:t>،</w:t>
      </w:r>
      <w:r w:rsidRPr="00904FCB">
        <w:rPr>
          <w:rFonts w:ascii="Tahoma" w:hAnsi="Tahoma"/>
          <w:sz w:val="27"/>
          <w:rtl/>
          <w:lang w:bidi="fa-IR"/>
        </w:rPr>
        <w:t xml:space="preserve"> ينسجم ويتلاءم مع </w:t>
      </w:r>
      <w:r w:rsidRPr="00904FCB">
        <w:rPr>
          <w:rFonts w:ascii="Tahoma" w:hAnsi="Tahoma"/>
          <w:sz w:val="27"/>
          <w:rtl/>
          <w:lang w:bidi="fa-IR"/>
        </w:rPr>
        <w:lastRenderedPageBreak/>
        <w:t>فكرة ضمانها وحمايتها جميعاً. إن فقهاء القرن الحالي يميلون إلى تفضيل حماية حياة الفرد الأخلاقية والاجتماعية»</w:t>
      </w:r>
      <w:r w:rsidRPr="00904FCB">
        <w:rPr>
          <w:rFonts w:hint="cs"/>
          <w:sz w:val="27"/>
          <w:vertAlign w:val="superscript"/>
          <w:rtl/>
        </w:rPr>
        <w:t>(</w:t>
      </w:r>
      <w:r w:rsidRPr="00904FCB">
        <w:rPr>
          <w:rStyle w:val="ac"/>
          <w:sz w:val="27"/>
          <w:rtl/>
        </w:rPr>
        <w:endnoteReference w:id="274"/>
      </w:r>
      <w:r w:rsidRPr="00904FCB">
        <w:rPr>
          <w:rFonts w:hint="cs"/>
          <w:sz w:val="27"/>
          <w:vertAlign w:val="superscript"/>
          <w:rtl/>
        </w:rPr>
        <w:t>)</w:t>
      </w:r>
      <w:r w:rsidRPr="00904FCB">
        <w:rPr>
          <w:rFonts w:ascii="Tahoma" w:hAnsi="Tahoma"/>
          <w:sz w:val="27"/>
          <w:rtl/>
          <w:lang w:bidi="fa-IR"/>
        </w:rPr>
        <w:t xml:space="preserve">. </w:t>
      </w:r>
    </w:p>
    <w:p w:rsidR="00644408" w:rsidRPr="00904FCB" w:rsidRDefault="00644408" w:rsidP="00062936">
      <w:pPr>
        <w:autoSpaceDE w:val="0"/>
        <w:autoSpaceDN w:val="0"/>
        <w:adjustRightInd w:val="0"/>
        <w:spacing w:line="410" w:lineRule="exact"/>
        <w:rPr>
          <w:rFonts w:ascii="Tahoma" w:hAnsi="Tahoma"/>
          <w:sz w:val="27"/>
          <w:lang w:bidi="fa-IR"/>
        </w:rPr>
      </w:pPr>
      <w:r w:rsidRPr="00904FCB">
        <w:rPr>
          <w:rFonts w:ascii="Tahoma" w:hAnsi="Tahoma"/>
          <w:sz w:val="27"/>
          <w:rtl/>
          <w:lang w:bidi="fa-IR"/>
        </w:rPr>
        <w:t>فالحل</w:t>
      </w:r>
      <w:r w:rsidR="006B7607" w:rsidRPr="00904FCB">
        <w:rPr>
          <w:rFonts w:ascii="Tahoma" w:hAnsi="Tahoma" w:hint="cs"/>
          <w:sz w:val="27"/>
          <w:rtl/>
          <w:lang w:bidi="fa-IR"/>
        </w:rPr>
        <w:t>ّ</w:t>
      </w:r>
      <w:r w:rsidRPr="00904FCB">
        <w:rPr>
          <w:rFonts w:ascii="Tahoma" w:hAnsi="Tahoma"/>
          <w:sz w:val="27"/>
          <w:rtl/>
          <w:lang w:bidi="fa-IR"/>
        </w:rPr>
        <w:t xml:space="preserve"> إذن يكمن في إدراك رجل القانون أن المشكلة خاص</w:t>
      </w:r>
      <w:r w:rsidR="00AB0AF9" w:rsidRPr="00904FCB">
        <w:rPr>
          <w:rFonts w:ascii="Tahoma" w:hAnsi="Tahoma" w:hint="cs"/>
          <w:sz w:val="27"/>
          <w:rtl/>
          <w:lang w:bidi="fa-IR"/>
        </w:rPr>
        <w:t>ّ</w:t>
      </w:r>
      <w:r w:rsidRPr="00904FCB">
        <w:rPr>
          <w:rFonts w:ascii="Tahoma" w:hAnsi="Tahoma"/>
          <w:sz w:val="27"/>
          <w:rtl/>
          <w:lang w:bidi="fa-IR"/>
        </w:rPr>
        <w:t>ة بحماية المصالح الاجتماعية، وأن عليه أن يحافظ على توازن</w:t>
      </w:r>
      <w:r w:rsidR="00AB0AF9" w:rsidRPr="00904FCB">
        <w:rPr>
          <w:rFonts w:ascii="Tahoma" w:hAnsi="Tahoma" w:hint="cs"/>
          <w:sz w:val="27"/>
          <w:rtl/>
          <w:lang w:bidi="fa-IR"/>
        </w:rPr>
        <w:t>ٍ</w:t>
      </w:r>
      <w:r w:rsidRPr="00904FCB">
        <w:rPr>
          <w:rFonts w:ascii="Tahoma" w:hAnsi="Tahoma"/>
          <w:sz w:val="27"/>
          <w:rtl/>
          <w:lang w:bidi="fa-IR"/>
        </w:rPr>
        <w:t xml:space="preserve"> بينها</w:t>
      </w:r>
      <w:r w:rsidR="00AB0AF9" w:rsidRPr="00904FCB">
        <w:rPr>
          <w:rFonts w:ascii="Tahoma" w:hAnsi="Tahoma" w:hint="cs"/>
          <w:sz w:val="27"/>
          <w:rtl/>
          <w:lang w:bidi="fa-IR"/>
        </w:rPr>
        <w:t>،</w:t>
      </w:r>
      <w:r w:rsidRPr="00904FCB">
        <w:rPr>
          <w:rFonts w:ascii="Tahoma" w:hAnsi="Tahoma"/>
          <w:sz w:val="27"/>
          <w:rtl/>
          <w:lang w:bidi="fa-IR"/>
        </w:rPr>
        <w:t xml:space="preserve"> بما يت</w:t>
      </w:r>
      <w:r w:rsidR="00AB0AF9" w:rsidRPr="00904FCB">
        <w:rPr>
          <w:rFonts w:ascii="Tahoma" w:hAnsi="Tahoma" w:hint="cs"/>
          <w:sz w:val="27"/>
          <w:rtl/>
          <w:lang w:bidi="fa-IR"/>
        </w:rPr>
        <w:t>ّ</w:t>
      </w:r>
      <w:r w:rsidRPr="00904FCB">
        <w:rPr>
          <w:rFonts w:ascii="Tahoma" w:hAnsi="Tahoma"/>
          <w:sz w:val="27"/>
          <w:rtl/>
          <w:lang w:bidi="fa-IR"/>
        </w:rPr>
        <w:t>فق مع حماية كل</w:t>
      </w:r>
      <w:r w:rsidR="00AB0AF9" w:rsidRPr="00904FCB">
        <w:rPr>
          <w:rFonts w:ascii="Tahoma" w:hAnsi="Tahoma" w:hint="cs"/>
          <w:sz w:val="27"/>
          <w:rtl/>
          <w:lang w:bidi="fa-IR"/>
        </w:rPr>
        <w:t>ٍّ</w:t>
      </w:r>
      <w:r w:rsidRPr="00904FCB">
        <w:rPr>
          <w:rFonts w:ascii="Tahoma" w:hAnsi="Tahoma"/>
          <w:sz w:val="27"/>
          <w:rtl/>
          <w:lang w:bidi="fa-IR"/>
        </w:rPr>
        <w:t xml:space="preserve"> منها، مع تحقيق نوع من الهندسة الاجتماعية</w:t>
      </w:r>
      <w:r w:rsidR="00AB0AF9" w:rsidRPr="00904FCB">
        <w:rPr>
          <w:rFonts w:ascii="Tahoma" w:hAnsi="Tahoma" w:hint="cs"/>
          <w:sz w:val="27"/>
          <w:rtl/>
          <w:lang w:bidi="fa-IR"/>
        </w:rPr>
        <w:t>،</w:t>
      </w:r>
      <w:r w:rsidRPr="00904FCB">
        <w:rPr>
          <w:rFonts w:ascii="Tahoma" w:hAnsi="Tahoma"/>
          <w:sz w:val="27"/>
          <w:rtl/>
          <w:lang w:bidi="fa-IR"/>
        </w:rPr>
        <w:t xml:space="preserve"> وأن يسلك في ذلك سبيل العقل. </w:t>
      </w:r>
    </w:p>
    <w:p w:rsidR="00644408" w:rsidRPr="00904FCB" w:rsidRDefault="00644408" w:rsidP="00C163A6">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إن الغاية التي ي</w:t>
      </w:r>
      <w:r w:rsidR="00AB0AF9" w:rsidRPr="00904FCB">
        <w:rPr>
          <w:rFonts w:ascii="Tahoma" w:hAnsi="Tahoma" w:hint="cs"/>
          <w:sz w:val="27"/>
          <w:rtl/>
          <w:lang w:bidi="fa-IR"/>
        </w:rPr>
        <w:t>ُ</w:t>
      </w:r>
      <w:r w:rsidRPr="00904FCB">
        <w:rPr>
          <w:rFonts w:ascii="Tahoma" w:hAnsi="Tahoma"/>
          <w:sz w:val="27"/>
          <w:rtl/>
          <w:lang w:bidi="fa-IR"/>
        </w:rPr>
        <w:t>نشدها القانون من خلال أدائه لوظيفته هو التوفيق بين المصالح المتنازعة، و«إشباع أكبر قدر</w:t>
      </w:r>
      <w:r w:rsidR="00AB0AF9" w:rsidRPr="00904FCB">
        <w:rPr>
          <w:rFonts w:ascii="Tahoma" w:hAnsi="Tahoma" w:hint="cs"/>
          <w:sz w:val="27"/>
          <w:rtl/>
          <w:lang w:bidi="fa-IR"/>
        </w:rPr>
        <w:t>ٍ</w:t>
      </w:r>
      <w:r w:rsidRPr="00904FCB">
        <w:rPr>
          <w:rFonts w:ascii="Tahoma" w:hAnsi="Tahoma"/>
          <w:sz w:val="27"/>
          <w:rtl/>
          <w:lang w:bidi="fa-IR"/>
        </w:rPr>
        <w:t xml:space="preserve"> ممكن من الر</w:t>
      </w:r>
      <w:r w:rsidR="00AB0AF9" w:rsidRPr="00904FCB">
        <w:rPr>
          <w:rFonts w:ascii="Tahoma" w:hAnsi="Tahoma" w:hint="cs"/>
          <w:sz w:val="27"/>
          <w:rtl/>
          <w:lang w:bidi="fa-IR"/>
        </w:rPr>
        <w:t>َّ</w:t>
      </w:r>
      <w:r w:rsidRPr="00904FCB">
        <w:rPr>
          <w:rFonts w:ascii="Tahoma" w:hAnsi="Tahoma"/>
          <w:sz w:val="27"/>
          <w:rtl/>
          <w:lang w:bidi="fa-IR"/>
        </w:rPr>
        <w:t>غ</w:t>
      </w:r>
      <w:r w:rsidR="00AB0AF9" w:rsidRPr="00904FCB">
        <w:rPr>
          <w:rFonts w:ascii="Tahoma" w:hAnsi="Tahoma" w:hint="cs"/>
          <w:sz w:val="27"/>
          <w:rtl/>
          <w:lang w:bidi="fa-IR"/>
        </w:rPr>
        <w:t>َ</w:t>
      </w:r>
      <w:r w:rsidRPr="00904FCB">
        <w:rPr>
          <w:rFonts w:ascii="Tahoma" w:hAnsi="Tahoma"/>
          <w:sz w:val="27"/>
          <w:rtl/>
          <w:lang w:bidi="fa-IR"/>
        </w:rPr>
        <w:t>بات الخاص</w:t>
      </w:r>
      <w:r w:rsidR="00AB0AF9" w:rsidRPr="00904FCB">
        <w:rPr>
          <w:rFonts w:ascii="Tahoma" w:hAnsi="Tahoma" w:hint="cs"/>
          <w:sz w:val="27"/>
          <w:rtl/>
          <w:lang w:bidi="fa-IR"/>
        </w:rPr>
        <w:t>ّ</w:t>
      </w:r>
      <w:r w:rsidRPr="00904FCB">
        <w:rPr>
          <w:rFonts w:ascii="Tahoma" w:hAnsi="Tahoma"/>
          <w:sz w:val="27"/>
          <w:rtl/>
          <w:lang w:bidi="fa-IR"/>
        </w:rPr>
        <w:t>ة بالمجموع الاجتماعي، وبأقل</w:t>
      </w:r>
      <w:r w:rsidR="00AB0AF9" w:rsidRPr="00904FCB">
        <w:rPr>
          <w:rFonts w:ascii="Tahoma" w:hAnsi="Tahoma" w:hint="cs"/>
          <w:sz w:val="27"/>
          <w:rtl/>
          <w:lang w:bidi="fa-IR"/>
        </w:rPr>
        <w:t>ّ</w:t>
      </w:r>
      <w:r w:rsidRPr="00904FCB">
        <w:rPr>
          <w:rFonts w:ascii="Tahoma" w:hAnsi="Tahoma"/>
          <w:sz w:val="27"/>
          <w:rtl/>
          <w:lang w:bidi="fa-IR"/>
        </w:rPr>
        <w:t xml:space="preserve"> تضحية</w:t>
      </w:r>
      <w:r w:rsidR="00AB0AF9" w:rsidRPr="00904FCB">
        <w:rPr>
          <w:rFonts w:ascii="Tahoma" w:hAnsi="Tahoma" w:hint="cs"/>
          <w:sz w:val="27"/>
          <w:rtl/>
          <w:lang w:bidi="fa-IR"/>
        </w:rPr>
        <w:t>ٍ</w:t>
      </w:r>
      <w:r w:rsidRPr="00904FCB">
        <w:rPr>
          <w:rFonts w:ascii="Tahoma" w:hAnsi="Tahoma"/>
          <w:sz w:val="27"/>
          <w:rtl/>
          <w:lang w:bidi="fa-IR"/>
        </w:rPr>
        <w:t xml:space="preserve"> ممكنة لضمان المصالح الاجتماعية ضماناً أشمل وأشد</w:t>
      </w:r>
      <w:r w:rsidR="00AB0AF9" w:rsidRPr="00904FCB">
        <w:rPr>
          <w:rFonts w:ascii="Tahoma" w:hAnsi="Tahoma" w:hint="cs"/>
          <w:sz w:val="27"/>
          <w:rtl/>
          <w:lang w:bidi="fa-IR"/>
        </w:rPr>
        <w:t>ّ</w:t>
      </w:r>
      <w:r w:rsidRPr="00904FCB">
        <w:rPr>
          <w:rFonts w:ascii="Tahoma" w:hAnsi="Tahoma"/>
          <w:sz w:val="27"/>
          <w:rtl/>
          <w:lang w:bidi="fa-IR"/>
        </w:rPr>
        <w:t xml:space="preserve"> فاعلية، وللتخلص المستمر</w:t>
      </w:r>
      <w:r w:rsidR="00AB0AF9" w:rsidRPr="00904FCB">
        <w:rPr>
          <w:rFonts w:ascii="Tahoma" w:hAnsi="Tahoma" w:hint="cs"/>
          <w:sz w:val="27"/>
          <w:rtl/>
          <w:lang w:bidi="fa-IR"/>
        </w:rPr>
        <w:t>ّ</w:t>
      </w:r>
      <w:r w:rsidRPr="00904FCB">
        <w:rPr>
          <w:rFonts w:ascii="Tahoma" w:hAnsi="Tahoma"/>
          <w:sz w:val="27"/>
          <w:rtl/>
          <w:lang w:bidi="fa-IR"/>
        </w:rPr>
        <w:t xml:space="preserve"> من تبديد الموارد وإهدارها بصورة</w:t>
      </w:r>
      <w:r w:rsidR="00AB0AF9" w:rsidRPr="00904FCB">
        <w:rPr>
          <w:rFonts w:ascii="Tahoma" w:hAnsi="Tahoma" w:hint="cs"/>
          <w:sz w:val="27"/>
          <w:rtl/>
          <w:lang w:bidi="fa-IR"/>
        </w:rPr>
        <w:t>ٍ</w:t>
      </w:r>
      <w:r w:rsidRPr="00904FCB">
        <w:rPr>
          <w:rFonts w:ascii="Tahoma" w:hAnsi="Tahoma"/>
          <w:sz w:val="27"/>
          <w:rtl/>
          <w:lang w:bidi="fa-IR"/>
        </w:rPr>
        <w:t xml:space="preserve"> أكثر فعالية وكمالاً، وللحيلولة دون الاحتكاك لدى استمتاع الناس بأرزاقهم». </w:t>
      </w:r>
    </w:p>
    <w:p w:rsidR="00644408" w:rsidRPr="00904FCB" w:rsidRDefault="00644408" w:rsidP="00C163A6">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وخلاصة القول</w:t>
      </w:r>
      <w:r w:rsidR="00AB0AF9" w:rsidRPr="00904FCB">
        <w:rPr>
          <w:rFonts w:ascii="Tahoma" w:hAnsi="Tahoma" w:hint="cs"/>
          <w:sz w:val="27"/>
          <w:rtl/>
          <w:lang w:bidi="fa-IR"/>
        </w:rPr>
        <w:t>:</w:t>
      </w:r>
      <w:r w:rsidRPr="00904FCB">
        <w:rPr>
          <w:rFonts w:ascii="Tahoma" w:hAnsi="Tahoma"/>
          <w:sz w:val="27"/>
          <w:rtl/>
          <w:lang w:bidi="fa-IR"/>
        </w:rPr>
        <w:t xml:space="preserve"> إن نظري</w:t>
      </w:r>
      <w:r w:rsidR="00AB0AF9" w:rsidRPr="00904FCB">
        <w:rPr>
          <w:rFonts w:ascii="Tahoma" w:hAnsi="Tahoma" w:hint="cs"/>
          <w:sz w:val="27"/>
          <w:rtl/>
          <w:lang w:bidi="fa-IR"/>
        </w:rPr>
        <w:t>ّ</w:t>
      </w:r>
      <w:r w:rsidRPr="00904FCB">
        <w:rPr>
          <w:rFonts w:ascii="Tahoma" w:hAnsi="Tahoma"/>
          <w:sz w:val="27"/>
          <w:rtl/>
          <w:lang w:bidi="fa-IR"/>
        </w:rPr>
        <w:t>ة المصلحة عند «باوند» كانت انعكاساً للق</w:t>
      </w:r>
      <w:r w:rsidR="00AB0AF9" w:rsidRPr="00904FCB">
        <w:rPr>
          <w:rFonts w:ascii="Tahoma" w:hAnsi="Tahoma" w:hint="cs"/>
          <w:sz w:val="27"/>
          <w:rtl/>
          <w:lang w:bidi="fa-IR"/>
        </w:rPr>
        <w:t>ِ</w:t>
      </w:r>
      <w:r w:rsidRPr="00904FCB">
        <w:rPr>
          <w:rFonts w:ascii="Tahoma" w:hAnsi="Tahoma"/>
          <w:sz w:val="27"/>
          <w:rtl/>
          <w:lang w:bidi="fa-IR"/>
        </w:rPr>
        <w:t>ي</w:t>
      </w:r>
      <w:r w:rsidR="00AB0AF9" w:rsidRPr="00904FCB">
        <w:rPr>
          <w:rFonts w:ascii="Tahoma" w:hAnsi="Tahoma" w:hint="cs"/>
          <w:sz w:val="27"/>
          <w:rtl/>
          <w:lang w:bidi="fa-IR"/>
        </w:rPr>
        <w:t>َ</w:t>
      </w:r>
      <w:r w:rsidRPr="00904FCB">
        <w:rPr>
          <w:rFonts w:ascii="Tahoma" w:hAnsi="Tahoma"/>
          <w:sz w:val="27"/>
          <w:rtl/>
          <w:lang w:bidi="fa-IR"/>
        </w:rPr>
        <w:t>م الأخلاقية التي عك</w:t>
      </w:r>
      <w:r w:rsidR="00AB0AF9" w:rsidRPr="00904FCB">
        <w:rPr>
          <w:rFonts w:ascii="Tahoma" w:hAnsi="Tahoma" w:hint="cs"/>
          <w:sz w:val="27"/>
          <w:rtl/>
          <w:lang w:bidi="fa-IR"/>
        </w:rPr>
        <w:t>َ</w:t>
      </w:r>
      <w:r w:rsidRPr="00904FCB">
        <w:rPr>
          <w:rFonts w:ascii="Tahoma" w:hAnsi="Tahoma"/>
          <w:sz w:val="27"/>
          <w:rtl/>
          <w:lang w:bidi="fa-IR"/>
        </w:rPr>
        <w:t>س</w:t>
      </w:r>
      <w:r w:rsidR="00AB0AF9" w:rsidRPr="00904FCB">
        <w:rPr>
          <w:rFonts w:ascii="Tahoma" w:hAnsi="Tahoma" w:hint="cs"/>
          <w:sz w:val="27"/>
          <w:rtl/>
          <w:lang w:bidi="fa-IR"/>
        </w:rPr>
        <w:t>َ</w:t>
      </w:r>
      <w:r w:rsidRPr="00904FCB">
        <w:rPr>
          <w:rFonts w:ascii="Tahoma" w:hAnsi="Tahoma"/>
          <w:sz w:val="27"/>
          <w:rtl/>
          <w:lang w:bidi="fa-IR"/>
        </w:rPr>
        <w:t>ت</w:t>
      </w:r>
      <w:r w:rsidR="00AB0AF9" w:rsidRPr="00904FCB">
        <w:rPr>
          <w:rFonts w:ascii="Tahoma" w:hAnsi="Tahoma" w:hint="cs"/>
          <w:sz w:val="27"/>
          <w:rtl/>
          <w:lang w:bidi="fa-IR"/>
        </w:rPr>
        <w:t>ْ</w:t>
      </w:r>
      <w:r w:rsidRPr="00904FCB">
        <w:rPr>
          <w:rFonts w:ascii="Tahoma" w:hAnsi="Tahoma"/>
          <w:sz w:val="27"/>
          <w:rtl/>
          <w:lang w:bidi="fa-IR"/>
        </w:rPr>
        <w:t>ها البيئة الاجتماعية الأمريكية</w:t>
      </w:r>
      <w:r w:rsidR="002D7DD9" w:rsidRPr="00904FCB">
        <w:rPr>
          <w:rFonts w:ascii="Tahoma" w:hAnsi="Tahoma" w:hint="cs"/>
          <w:sz w:val="27"/>
          <w:rtl/>
          <w:lang w:bidi="fa-IR"/>
        </w:rPr>
        <w:t>،</w:t>
      </w:r>
      <w:r w:rsidRPr="00904FCB">
        <w:rPr>
          <w:rFonts w:ascii="Tahoma" w:hAnsi="Tahoma"/>
          <w:sz w:val="27"/>
          <w:rtl/>
          <w:lang w:bidi="fa-IR"/>
        </w:rPr>
        <w:t xml:space="preserve"> والتي قامت في أساسها على نظرية التطو</w:t>
      </w:r>
      <w:r w:rsidR="002D7DD9" w:rsidRPr="00904FCB">
        <w:rPr>
          <w:rFonts w:ascii="Tahoma" w:hAnsi="Tahoma" w:hint="cs"/>
          <w:sz w:val="27"/>
          <w:rtl/>
          <w:lang w:bidi="fa-IR"/>
        </w:rPr>
        <w:t>ُّ</w:t>
      </w:r>
      <w:r w:rsidRPr="00904FCB">
        <w:rPr>
          <w:rFonts w:ascii="Tahoma" w:hAnsi="Tahoma"/>
          <w:sz w:val="27"/>
          <w:rtl/>
          <w:lang w:bidi="fa-IR"/>
        </w:rPr>
        <w:t>ر لدار</w:t>
      </w:r>
      <w:r w:rsidR="00C163A6">
        <w:rPr>
          <w:rFonts w:ascii="Tahoma" w:hAnsi="Tahoma" w:hint="cs"/>
          <w:sz w:val="27"/>
          <w:rtl/>
          <w:lang w:bidi="fa-IR"/>
        </w:rPr>
        <w:t>ْ</w:t>
      </w:r>
      <w:r w:rsidRPr="00904FCB">
        <w:rPr>
          <w:rFonts w:ascii="Tahoma" w:hAnsi="Tahoma"/>
          <w:sz w:val="27"/>
          <w:rtl/>
          <w:lang w:bidi="fa-IR"/>
        </w:rPr>
        <w:t>و</w:t>
      </w:r>
      <w:r w:rsidR="00C163A6">
        <w:rPr>
          <w:rFonts w:ascii="Tahoma" w:hAnsi="Tahoma" w:hint="cs"/>
          <w:sz w:val="27"/>
          <w:rtl/>
          <w:lang w:bidi="fa-IR"/>
        </w:rPr>
        <w:t>ِ</w:t>
      </w:r>
      <w:r w:rsidRPr="00904FCB">
        <w:rPr>
          <w:rFonts w:ascii="Tahoma" w:hAnsi="Tahoma"/>
          <w:sz w:val="27"/>
          <w:rtl/>
          <w:lang w:bidi="fa-IR"/>
        </w:rPr>
        <w:t>ن</w:t>
      </w:r>
      <w:r w:rsidR="002D7DD9" w:rsidRPr="00904FCB">
        <w:rPr>
          <w:rFonts w:ascii="Tahoma" w:hAnsi="Tahoma" w:hint="cs"/>
          <w:sz w:val="27"/>
          <w:rtl/>
          <w:lang w:bidi="fa-IR"/>
        </w:rPr>
        <w:t>،</w:t>
      </w:r>
      <w:r w:rsidRPr="00904FCB">
        <w:rPr>
          <w:rFonts w:ascii="Tahoma" w:hAnsi="Tahoma"/>
          <w:sz w:val="27"/>
          <w:rtl/>
          <w:lang w:bidi="fa-IR"/>
        </w:rPr>
        <w:t xml:space="preserve"> والمفهوم البر</w:t>
      </w:r>
      <w:r w:rsidR="002D7DD9" w:rsidRPr="00904FCB">
        <w:rPr>
          <w:rFonts w:ascii="Tahoma" w:hAnsi="Tahoma" w:hint="cs"/>
          <w:sz w:val="27"/>
          <w:rtl/>
          <w:lang w:bidi="fa-IR"/>
        </w:rPr>
        <w:t>اغ</w:t>
      </w:r>
      <w:r w:rsidRPr="00904FCB">
        <w:rPr>
          <w:rFonts w:ascii="Tahoma" w:hAnsi="Tahoma"/>
          <w:sz w:val="27"/>
          <w:rtl/>
          <w:lang w:bidi="fa-IR"/>
        </w:rPr>
        <w:t>ماتي للق</w:t>
      </w:r>
      <w:r w:rsidR="002D7DD9" w:rsidRPr="00904FCB">
        <w:rPr>
          <w:rFonts w:ascii="Tahoma" w:hAnsi="Tahoma" w:hint="cs"/>
          <w:sz w:val="27"/>
          <w:rtl/>
          <w:lang w:bidi="fa-IR"/>
        </w:rPr>
        <w:t>ِ</w:t>
      </w:r>
      <w:r w:rsidRPr="00904FCB">
        <w:rPr>
          <w:rFonts w:ascii="Tahoma" w:hAnsi="Tahoma"/>
          <w:sz w:val="27"/>
          <w:rtl/>
          <w:lang w:bidi="fa-IR"/>
        </w:rPr>
        <w:t>ي</w:t>
      </w:r>
      <w:r w:rsidR="002D7DD9" w:rsidRPr="00904FCB">
        <w:rPr>
          <w:rFonts w:ascii="Tahoma" w:hAnsi="Tahoma" w:hint="cs"/>
          <w:sz w:val="27"/>
          <w:rtl/>
          <w:lang w:bidi="fa-IR"/>
        </w:rPr>
        <w:t>َ</w:t>
      </w:r>
      <w:r w:rsidRPr="00904FCB">
        <w:rPr>
          <w:rFonts w:ascii="Tahoma" w:hAnsi="Tahoma"/>
          <w:sz w:val="27"/>
          <w:rtl/>
          <w:lang w:bidi="fa-IR"/>
        </w:rPr>
        <w:t>م. وانعكست هذه الق</w:t>
      </w:r>
      <w:r w:rsidR="002D7DD9" w:rsidRPr="00904FCB">
        <w:rPr>
          <w:rFonts w:ascii="Tahoma" w:hAnsi="Tahoma" w:hint="cs"/>
          <w:sz w:val="27"/>
          <w:rtl/>
          <w:lang w:bidi="fa-IR"/>
        </w:rPr>
        <w:t>ِ</w:t>
      </w:r>
      <w:r w:rsidRPr="00904FCB">
        <w:rPr>
          <w:rFonts w:ascii="Tahoma" w:hAnsi="Tahoma"/>
          <w:sz w:val="27"/>
          <w:rtl/>
          <w:lang w:bidi="fa-IR"/>
        </w:rPr>
        <w:t>ي</w:t>
      </w:r>
      <w:r w:rsidR="002D7DD9" w:rsidRPr="00904FCB">
        <w:rPr>
          <w:rFonts w:ascii="Tahoma" w:hAnsi="Tahoma" w:hint="cs"/>
          <w:sz w:val="27"/>
          <w:rtl/>
          <w:lang w:bidi="fa-IR"/>
        </w:rPr>
        <w:t>َ</w:t>
      </w:r>
      <w:r w:rsidRPr="00904FCB">
        <w:rPr>
          <w:rFonts w:ascii="Tahoma" w:hAnsi="Tahoma"/>
          <w:sz w:val="27"/>
          <w:rtl/>
          <w:lang w:bidi="fa-IR"/>
        </w:rPr>
        <w:t>م في كل</w:t>
      </w:r>
      <w:r w:rsidR="002D7DD9" w:rsidRPr="00904FCB">
        <w:rPr>
          <w:rFonts w:ascii="Tahoma" w:hAnsi="Tahoma" w:hint="cs"/>
          <w:sz w:val="27"/>
          <w:rtl/>
          <w:lang w:bidi="fa-IR"/>
        </w:rPr>
        <w:t>ّ</w:t>
      </w:r>
      <w:r w:rsidRPr="00904FCB">
        <w:rPr>
          <w:rFonts w:ascii="Tahoma" w:hAnsi="Tahoma"/>
          <w:sz w:val="27"/>
          <w:rtl/>
          <w:lang w:bidi="fa-IR"/>
        </w:rPr>
        <w:t xml:space="preserve"> أنظمة المجتمع الأمريكي</w:t>
      </w:r>
      <w:r w:rsidR="002D7DD9" w:rsidRPr="00904FCB">
        <w:rPr>
          <w:rFonts w:ascii="Tahoma" w:hAnsi="Tahoma" w:hint="cs"/>
          <w:sz w:val="27"/>
          <w:rtl/>
          <w:lang w:bidi="fa-IR"/>
        </w:rPr>
        <w:t>،</w:t>
      </w:r>
      <w:r w:rsidRPr="00904FCB">
        <w:rPr>
          <w:rFonts w:ascii="Tahoma" w:hAnsi="Tahoma"/>
          <w:sz w:val="27"/>
          <w:rtl/>
          <w:lang w:bidi="fa-IR"/>
        </w:rPr>
        <w:t xml:space="preserve"> سواء كانت أنظمة اجتماعية أو سياسية أو اقتصادية أو قانونية. </w:t>
      </w:r>
    </w:p>
    <w:p w:rsidR="00644408" w:rsidRPr="00904FCB" w:rsidRDefault="00644408" w:rsidP="00C163A6">
      <w:pPr>
        <w:autoSpaceDE w:val="0"/>
        <w:autoSpaceDN w:val="0"/>
        <w:adjustRightInd w:val="0"/>
        <w:spacing w:line="420" w:lineRule="exact"/>
        <w:ind w:firstLine="561"/>
        <w:rPr>
          <w:rFonts w:ascii="Tahoma" w:hAnsi="Tahoma"/>
          <w:sz w:val="27"/>
          <w:lang w:bidi="fa-IR"/>
        </w:rPr>
      </w:pPr>
      <w:r w:rsidRPr="00904FCB">
        <w:rPr>
          <w:rFonts w:ascii="Tahoma" w:hAnsi="Tahoma"/>
          <w:sz w:val="27"/>
          <w:rtl/>
          <w:lang w:bidi="fa-IR"/>
        </w:rPr>
        <w:t>ونظر «باوند» إلى القانون على أنّه وسيلة لتلبية المصالح الاجتماعية</w:t>
      </w:r>
      <w:r w:rsidR="002D7DD9" w:rsidRPr="00904FCB">
        <w:rPr>
          <w:rFonts w:ascii="Tahoma" w:hAnsi="Tahoma" w:hint="cs"/>
          <w:sz w:val="27"/>
          <w:rtl/>
          <w:lang w:bidi="fa-IR"/>
        </w:rPr>
        <w:t>،</w:t>
      </w:r>
      <w:r w:rsidRPr="00904FCB">
        <w:rPr>
          <w:rFonts w:ascii="Tahoma" w:hAnsi="Tahoma"/>
          <w:sz w:val="27"/>
          <w:rtl/>
          <w:lang w:bidi="fa-IR"/>
        </w:rPr>
        <w:t xml:space="preserve"> وأداة للتنمية الاجتماعية. ولم ت</w:t>
      </w:r>
      <w:r w:rsidR="002D7DD9" w:rsidRPr="00904FCB">
        <w:rPr>
          <w:rFonts w:ascii="Tahoma" w:hAnsi="Tahoma" w:hint="cs"/>
          <w:sz w:val="27"/>
          <w:rtl/>
          <w:lang w:bidi="fa-IR"/>
        </w:rPr>
        <w:t>َ</w:t>
      </w:r>
      <w:r w:rsidRPr="00904FCB">
        <w:rPr>
          <w:rFonts w:ascii="Tahoma" w:hAnsi="Tahoma"/>
          <w:sz w:val="27"/>
          <w:rtl/>
          <w:lang w:bidi="fa-IR"/>
        </w:rPr>
        <w:t>ع</w:t>
      </w:r>
      <w:r w:rsidR="002D7DD9" w:rsidRPr="00904FCB">
        <w:rPr>
          <w:rFonts w:ascii="Tahoma" w:hAnsi="Tahoma" w:hint="cs"/>
          <w:sz w:val="27"/>
          <w:rtl/>
          <w:lang w:bidi="fa-IR"/>
        </w:rPr>
        <w:t>ُ</w:t>
      </w:r>
      <w:r w:rsidRPr="00904FCB">
        <w:rPr>
          <w:rFonts w:ascii="Tahoma" w:hAnsi="Tahoma"/>
          <w:sz w:val="27"/>
          <w:rtl/>
          <w:lang w:bidi="fa-IR"/>
        </w:rPr>
        <w:t>د</w:t>
      </w:r>
      <w:r w:rsidR="002D7DD9" w:rsidRPr="00904FCB">
        <w:rPr>
          <w:rFonts w:ascii="Tahoma" w:hAnsi="Tahoma" w:hint="cs"/>
          <w:sz w:val="27"/>
          <w:rtl/>
          <w:lang w:bidi="fa-IR"/>
        </w:rPr>
        <w:t>ْ</w:t>
      </w:r>
      <w:r w:rsidRPr="00904FCB">
        <w:rPr>
          <w:rFonts w:ascii="Tahoma" w:hAnsi="Tahoma"/>
          <w:sz w:val="27"/>
          <w:rtl/>
          <w:lang w:bidi="fa-IR"/>
        </w:rPr>
        <w:t xml:space="preserve"> للق</w:t>
      </w:r>
      <w:r w:rsidR="002D7DD9" w:rsidRPr="00904FCB">
        <w:rPr>
          <w:rFonts w:ascii="Tahoma" w:hAnsi="Tahoma" w:hint="cs"/>
          <w:sz w:val="27"/>
          <w:rtl/>
          <w:lang w:bidi="fa-IR"/>
        </w:rPr>
        <w:t>ِ</w:t>
      </w:r>
      <w:r w:rsidRPr="00904FCB">
        <w:rPr>
          <w:rFonts w:ascii="Tahoma" w:hAnsi="Tahoma"/>
          <w:sz w:val="27"/>
          <w:rtl/>
          <w:lang w:bidi="fa-IR"/>
        </w:rPr>
        <w:t>ي</w:t>
      </w:r>
      <w:r w:rsidR="002D7DD9" w:rsidRPr="00904FCB">
        <w:rPr>
          <w:rFonts w:ascii="Tahoma" w:hAnsi="Tahoma" w:hint="cs"/>
          <w:sz w:val="27"/>
          <w:rtl/>
          <w:lang w:bidi="fa-IR"/>
        </w:rPr>
        <w:t>َ</w:t>
      </w:r>
      <w:r w:rsidRPr="00904FCB">
        <w:rPr>
          <w:rFonts w:ascii="Tahoma" w:hAnsi="Tahoma"/>
          <w:sz w:val="27"/>
          <w:rtl/>
          <w:lang w:bidi="fa-IR"/>
        </w:rPr>
        <w:t>م قيمة</w:t>
      </w:r>
      <w:r w:rsidR="002D7DD9" w:rsidRPr="00904FCB">
        <w:rPr>
          <w:rFonts w:ascii="Tahoma" w:hAnsi="Tahoma" w:hint="cs"/>
          <w:sz w:val="27"/>
          <w:rtl/>
          <w:lang w:bidi="fa-IR"/>
        </w:rPr>
        <w:t>ٌ</w:t>
      </w:r>
      <w:r w:rsidRPr="00904FCB">
        <w:rPr>
          <w:rFonts w:ascii="Tahoma" w:hAnsi="Tahoma"/>
          <w:sz w:val="27"/>
          <w:rtl/>
          <w:lang w:bidi="fa-IR"/>
        </w:rPr>
        <w:t xml:space="preserve"> مطلقة، بل تتحد</w:t>
      </w:r>
      <w:r w:rsidR="002D7DD9" w:rsidRPr="00904FCB">
        <w:rPr>
          <w:rFonts w:ascii="Tahoma" w:hAnsi="Tahoma" w:hint="cs"/>
          <w:sz w:val="27"/>
          <w:rtl/>
          <w:lang w:bidi="fa-IR"/>
        </w:rPr>
        <w:t>َّ</w:t>
      </w:r>
      <w:r w:rsidRPr="00904FCB">
        <w:rPr>
          <w:rFonts w:ascii="Tahoma" w:hAnsi="Tahoma"/>
          <w:sz w:val="27"/>
          <w:rtl/>
          <w:lang w:bidi="fa-IR"/>
        </w:rPr>
        <w:t>د بمدى تحقيقها لأكبر قدر من المصالح لأكبر عدد</w:t>
      </w:r>
      <w:r w:rsidR="002D7DD9" w:rsidRPr="00904FCB">
        <w:rPr>
          <w:rFonts w:ascii="Tahoma" w:hAnsi="Tahoma" w:hint="cs"/>
          <w:sz w:val="27"/>
          <w:rtl/>
          <w:lang w:bidi="fa-IR"/>
        </w:rPr>
        <w:t>ٍ</w:t>
      </w:r>
      <w:r w:rsidRPr="00904FCB">
        <w:rPr>
          <w:rFonts w:ascii="Tahoma" w:hAnsi="Tahoma"/>
          <w:sz w:val="27"/>
          <w:rtl/>
          <w:lang w:bidi="fa-IR"/>
        </w:rPr>
        <w:t xml:space="preserve"> من الناس</w:t>
      </w:r>
      <w:r w:rsidR="002D7DD9" w:rsidRPr="00904FCB">
        <w:rPr>
          <w:rFonts w:ascii="Tahoma" w:hAnsi="Tahoma" w:hint="cs"/>
          <w:sz w:val="27"/>
          <w:rtl/>
          <w:lang w:bidi="fa-IR"/>
        </w:rPr>
        <w:t>،</w:t>
      </w:r>
      <w:r w:rsidRPr="00904FCB">
        <w:rPr>
          <w:rFonts w:ascii="Tahoma" w:hAnsi="Tahoma"/>
          <w:sz w:val="27"/>
          <w:rtl/>
          <w:lang w:bidi="fa-IR"/>
        </w:rPr>
        <w:t xml:space="preserve"> أو ما أسماه بـ</w:t>
      </w:r>
      <w:r w:rsidR="002D7DD9" w:rsidRPr="00904FCB">
        <w:rPr>
          <w:rFonts w:ascii="Tahoma" w:hAnsi="Tahoma" w:hint="cs"/>
          <w:sz w:val="27"/>
          <w:rtl/>
          <w:lang w:bidi="fa-IR"/>
        </w:rPr>
        <w:t xml:space="preserve"> </w:t>
      </w:r>
      <w:r w:rsidRPr="00904FCB">
        <w:rPr>
          <w:rFonts w:ascii="Tahoma" w:hAnsi="Tahoma"/>
          <w:sz w:val="27"/>
          <w:rtl/>
          <w:lang w:bidi="fa-IR"/>
        </w:rPr>
        <w:t>«الهندسة الاجتماعية»، وهي التي تلبي أكبر قدر من اللذ</w:t>
      </w:r>
      <w:r w:rsidR="002D7DD9" w:rsidRPr="00904FCB">
        <w:rPr>
          <w:rFonts w:ascii="Tahoma" w:hAnsi="Tahoma" w:hint="cs"/>
          <w:sz w:val="27"/>
          <w:rtl/>
          <w:lang w:bidi="fa-IR"/>
        </w:rPr>
        <w:t>ّ</w:t>
      </w:r>
      <w:r w:rsidRPr="00904FCB">
        <w:rPr>
          <w:rFonts w:ascii="Tahoma" w:hAnsi="Tahoma"/>
          <w:sz w:val="27"/>
          <w:rtl/>
          <w:lang w:bidi="fa-IR"/>
        </w:rPr>
        <w:t>ة والرغبات والمصالح لأكبر عدد</w:t>
      </w:r>
      <w:r w:rsidR="002D7DD9" w:rsidRPr="00904FCB">
        <w:rPr>
          <w:rFonts w:ascii="Tahoma" w:hAnsi="Tahoma" w:hint="cs"/>
          <w:sz w:val="27"/>
          <w:rtl/>
          <w:lang w:bidi="fa-IR"/>
        </w:rPr>
        <w:t>ٍ</w:t>
      </w:r>
      <w:r w:rsidRPr="00904FCB">
        <w:rPr>
          <w:rFonts w:ascii="Tahoma" w:hAnsi="Tahoma"/>
          <w:sz w:val="27"/>
          <w:rtl/>
          <w:lang w:bidi="fa-IR"/>
        </w:rPr>
        <w:t xml:space="preserve"> من الأفراد. فإذا تنازعت هذه الرغبات وتداخلت كانت وظيفة</w:t>
      </w:r>
      <w:r w:rsidR="00F05A34" w:rsidRPr="00904FCB">
        <w:rPr>
          <w:rFonts w:ascii="Tahoma" w:hAnsi="Tahoma" w:hint="cs"/>
          <w:sz w:val="27"/>
          <w:rtl/>
          <w:lang w:bidi="fa-IR"/>
        </w:rPr>
        <w:t>ُ</w:t>
      </w:r>
      <w:r w:rsidRPr="00904FCB">
        <w:rPr>
          <w:rFonts w:ascii="Tahoma" w:hAnsi="Tahoma"/>
          <w:sz w:val="27"/>
          <w:rtl/>
          <w:lang w:bidi="fa-IR"/>
        </w:rPr>
        <w:t xml:space="preserve"> القانون ورجل القانون ضبط</w:t>
      </w:r>
      <w:r w:rsidR="00F05A34" w:rsidRPr="00904FCB">
        <w:rPr>
          <w:rFonts w:ascii="Tahoma" w:hAnsi="Tahoma" w:hint="cs"/>
          <w:sz w:val="27"/>
          <w:rtl/>
          <w:lang w:bidi="fa-IR"/>
        </w:rPr>
        <w:t>َ</w:t>
      </w:r>
      <w:r w:rsidRPr="00904FCB">
        <w:rPr>
          <w:rFonts w:ascii="Tahoma" w:hAnsi="Tahoma"/>
          <w:sz w:val="27"/>
          <w:rtl/>
          <w:lang w:bidi="fa-IR"/>
        </w:rPr>
        <w:t xml:space="preserve"> سلوك الأفراد وتنظيم العلاقات بينهم، والتوفيق بين المصالح المتنازعة</w:t>
      </w:r>
      <w:r w:rsidR="00F05A34" w:rsidRPr="00904FCB">
        <w:rPr>
          <w:rFonts w:ascii="Tahoma" w:hAnsi="Tahoma" w:hint="cs"/>
          <w:sz w:val="27"/>
          <w:rtl/>
          <w:lang w:bidi="fa-IR"/>
        </w:rPr>
        <w:t>.</w:t>
      </w:r>
      <w:r w:rsidRPr="00904FCB">
        <w:rPr>
          <w:rFonts w:ascii="Tahoma" w:hAnsi="Tahoma"/>
          <w:sz w:val="27"/>
          <w:rtl/>
          <w:lang w:bidi="fa-IR"/>
        </w:rPr>
        <w:t xml:space="preserve"> وعند التعذ</w:t>
      </w:r>
      <w:r w:rsidR="00F05A34" w:rsidRPr="00904FCB">
        <w:rPr>
          <w:rFonts w:ascii="Tahoma" w:hAnsi="Tahoma" w:hint="cs"/>
          <w:sz w:val="27"/>
          <w:rtl/>
          <w:lang w:bidi="fa-IR"/>
        </w:rPr>
        <w:t>ُّ</w:t>
      </w:r>
      <w:r w:rsidRPr="00904FCB">
        <w:rPr>
          <w:rFonts w:ascii="Tahoma" w:hAnsi="Tahoma"/>
          <w:sz w:val="27"/>
          <w:rtl/>
          <w:lang w:bidi="fa-IR"/>
        </w:rPr>
        <w:t>ر يُت</w:t>
      </w:r>
      <w:r w:rsidR="00F05A34" w:rsidRPr="00904FCB">
        <w:rPr>
          <w:rFonts w:ascii="Tahoma" w:hAnsi="Tahoma" w:hint="cs"/>
          <w:sz w:val="27"/>
          <w:rtl/>
          <w:lang w:bidi="fa-IR"/>
        </w:rPr>
        <w:t>ْ</w:t>
      </w:r>
      <w:r w:rsidRPr="00904FCB">
        <w:rPr>
          <w:rFonts w:ascii="Tahoma" w:hAnsi="Tahoma"/>
          <w:sz w:val="27"/>
          <w:rtl/>
          <w:lang w:bidi="fa-IR"/>
        </w:rPr>
        <w:t>ر</w:t>
      </w:r>
      <w:r w:rsidR="00F05A34" w:rsidRPr="00904FCB">
        <w:rPr>
          <w:rFonts w:ascii="Tahoma" w:hAnsi="Tahoma" w:hint="cs"/>
          <w:sz w:val="27"/>
          <w:rtl/>
          <w:lang w:bidi="fa-IR"/>
        </w:rPr>
        <w:t>َ</w:t>
      </w:r>
      <w:r w:rsidRPr="00904FCB">
        <w:rPr>
          <w:rFonts w:ascii="Tahoma" w:hAnsi="Tahoma"/>
          <w:sz w:val="27"/>
          <w:rtl/>
          <w:lang w:bidi="fa-IR"/>
        </w:rPr>
        <w:t xml:space="preserve">ك الأمر لاجتهاد القاضي.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color w:val="auto"/>
          <w:rtl/>
          <w:lang w:bidi="fa-IR"/>
        </w:rPr>
        <w:t>المبحث الثالث</w:t>
      </w:r>
      <w:r w:rsidRPr="00904FCB">
        <w:rPr>
          <w:rFonts w:hint="cs"/>
          <w:color w:val="auto"/>
          <w:rtl/>
          <w:lang w:bidi="fa-IR"/>
        </w:rPr>
        <w:t xml:space="preserve">: </w:t>
      </w:r>
      <w:r w:rsidRPr="00904FCB">
        <w:rPr>
          <w:color w:val="auto"/>
          <w:rtl/>
          <w:lang w:bidi="fa-IR"/>
        </w:rPr>
        <w:t>المقارنة بين المصلحة في الفقه الإسلامي وعند روسكو باوند</w:t>
      </w:r>
    </w:p>
    <w:p w:rsidR="00644408" w:rsidRPr="00904FCB" w:rsidRDefault="00644408" w:rsidP="00C163A6">
      <w:pPr>
        <w:autoSpaceDE w:val="0"/>
        <w:autoSpaceDN w:val="0"/>
        <w:adjustRightInd w:val="0"/>
        <w:spacing w:line="410" w:lineRule="exact"/>
        <w:ind w:firstLine="561"/>
        <w:rPr>
          <w:rFonts w:ascii="Tahoma" w:hAnsi="Tahoma"/>
          <w:sz w:val="27"/>
          <w:rtl/>
          <w:lang w:bidi="fa-IR"/>
        </w:rPr>
      </w:pPr>
      <w:r w:rsidRPr="00904FCB">
        <w:rPr>
          <w:rFonts w:ascii="Tahoma" w:hAnsi="Tahoma"/>
          <w:sz w:val="27"/>
          <w:rtl/>
          <w:lang w:bidi="fa-IR"/>
        </w:rPr>
        <w:t>يتناول العرض المقارن بين النظري</w:t>
      </w:r>
      <w:r w:rsidR="00F05A34" w:rsidRPr="00904FCB">
        <w:rPr>
          <w:rFonts w:ascii="Tahoma" w:hAnsi="Tahoma" w:hint="cs"/>
          <w:sz w:val="27"/>
          <w:rtl/>
          <w:lang w:bidi="fa-IR"/>
        </w:rPr>
        <w:t>ّ</w:t>
      </w:r>
      <w:r w:rsidRPr="00904FCB">
        <w:rPr>
          <w:rFonts w:ascii="Tahoma" w:hAnsi="Tahoma"/>
          <w:sz w:val="27"/>
          <w:rtl/>
          <w:lang w:bidi="fa-IR"/>
        </w:rPr>
        <w:t>تين بيان تعريف كل</w:t>
      </w:r>
      <w:r w:rsidR="00F05A34" w:rsidRPr="00904FCB">
        <w:rPr>
          <w:rFonts w:ascii="Tahoma" w:hAnsi="Tahoma" w:hint="cs"/>
          <w:sz w:val="27"/>
          <w:rtl/>
          <w:lang w:bidi="fa-IR"/>
        </w:rPr>
        <w:t>ٍّ</w:t>
      </w:r>
      <w:r w:rsidRPr="00904FCB">
        <w:rPr>
          <w:rFonts w:ascii="Tahoma" w:hAnsi="Tahoma"/>
          <w:sz w:val="27"/>
          <w:rtl/>
          <w:lang w:bidi="fa-IR"/>
        </w:rPr>
        <w:t xml:space="preserve"> منهما للمصلحة</w:t>
      </w:r>
      <w:r w:rsidR="00F05A34" w:rsidRPr="00904FCB">
        <w:rPr>
          <w:rFonts w:ascii="Tahoma" w:hAnsi="Tahoma" w:hint="cs"/>
          <w:sz w:val="27"/>
          <w:rtl/>
          <w:lang w:bidi="fa-IR"/>
        </w:rPr>
        <w:t>،</w:t>
      </w:r>
      <w:r w:rsidRPr="00904FCB">
        <w:rPr>
          <w:rFonts w:ascii="Tahoma" w:hAnsi="Tahoma"/>
          <w:sz w:val="27"/>
          <w:rtl/>
          <w:lang w:bidi="fa-IR"/>
        </w:rPr>
        <w:t xml:space="preserve"> وطرق استخراجها، ثم</w:t>
      </w:r>
      <w:r w:rsidR="00F05A34" w:rsidRPr="00904FCB">
        <w:rPr>
          <w:rFonts w:ascii="Tahoma" w:hAnsi="Tahoma" w:hint="cs"/>
          <w:sz w:val="27"/>
          <w:rtl/>
          <w:lang w:bidi="fa-IR"/>
        </w:rPr>
        <w:t>ّ</w:t>
      </w:r>
      <w:r w:rsidRPr="00904FCB">
        <w:rPr>
          <w:rFonts w:ascii="Tahoma" w:hAnsi="Tahoma"/>
          <w:sz w:val="27"/>
          <w:rtl/>
          <w:lang w:bidi="fa-IR"/>
        </w:rPr>
        <w:t xml:space="preserve"> طريقة تصنيفها</w:t>
      </w:r>
      <w:r w:rsidR="00F05A34" w:rsidRPr="00904FCB">
        <w:rPr>
          <w:rFonts w:ascii="Tahoma" w:hAnsi="Tahoma" w:hint="cs"/>
          <w:sz w:val="27"/>
          <w:rtl/>
          <w:lang w:bidi="fa-IR"/>
        </w:rPr>
        <w:t>،</w:t>
      </w:r>
      <w:r w:rsidRPr="00904FCB">
        <w:rPr>
          <w:rFonts w:ascii="Tahoma" w:hAnsi="Tahoma"/>
          <w:sz w:val="27"/>
          <w:rtl/>
          <w:lang w:bidi="fa-IR"/>
        </w:rPr>
        <w:t xml:space="preserve"> وخصائصها</w:t>
      </w:r>
      <w:r w:rsidR="00F05A34" w:rsidRPr="00904FCB">
        <w:rPr>
          <w:rFonts w:ascii="Tahoma" w:hAnsi="Tahoma" w:hint="cs"/>
          <w:sz w:val="27"/>
          <w:rtl/>
          <w:lang w:bidi="fa-IR"/>
        </w:rPr>
        <w:t>،</w:t>
      </w:r>
      <w:r w:rsidRPr="00904FCB">
        <w:rPr>
          <w:rFonts w:ascii="Tahoma" w:hAnsi="Tahoma"/>
          <w:sz w:val="27"/>
          <w:rtl/>
          <w:lang w:bidi="fa-IR"/>
        </w:rPr>
        <w:t xml:space="preserve"> وأخيراً كيفي</w:t>
      </w:r>
      <w:r w:rsidR="00F05A34" w:rsidRPr="00904FCB">
        <w:rPr>
          <w:rFonts w:ascii="Tahoma" w:hAnsi="Tahoma" w:hint="cs"/>
          <w:sz w:val="27"/>
          <w:rtl/>
          <w:lang w:bidi="fa-IR"/>
        </w:rPr>
        <w:t>ّ</w:t>
      </w:r>
      <w:r w:rsidRPr="00904FCB">
        <w:rPr>
          <w:rFonts w:ascii="Tahoma" w:hAnsi="Tahoma"/>
          <w:sz w:val="27"/>
          <w:rtl/>
          <w:lang w:bidi="fa-IR"/>
        </w:rPr>
        <w:t xml:space="preserve">ة الترجيح بينها. </w:t>
      </w:r>
    </w:p>
    <w:p w:rsidR="00644408" w:rsidRPr="00904FCB" w:rsidRDefault="00644408" w:rsidP="007A21AA">
      <w:pPr>
        <w:pStyle w:val="31"/>
        <w:spacing w:line="400" w:lineRule="exact"/>
        <w:rPr>
          <w:color w:val="auto"/>
          <w:lang w:bidi="fa-IR"/>
        </w:rPr>
      </w:pPr>
      <w:r w:rsidRPr="00904FCB">
        <w:rPr>
          <w:rFonts w:hint="cs"/>
          <w:color w:val="auto"/>
          <w:rtl/>
          <w:lang w:bidi="fa-IR"/>
        </w:rPr>
        <w:lastRenderedPageBreak/>
        <w:t xml:space="preserve">أـ </w:t>
      </w:r>
      <w:r w:rsidRPr="00904FCB">
        <w:rPr>
          <w:color w:val="auto"/>
          <w:rtl/>
          <w:lang w:bidi="fa-IR"/>
        </w:rPr>
        <w:t xml:space="preserve">تعريف المصلحة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ذهب الفقهاء في تعريفهم للمصلحة إلى أنها قد تكون هي المنفعة والراحة والمتعة والصح</w:t>
      </w:r>
      <w:r w:rsidR="00F05A34" w:rsidRPr="00904FCB">
        <w:rPr>
          <w:rFonts w:ascii="Tahoma" w:hAnsi="Tahoma" w:hint="cs"/>
          <w:sz w:val="27"/>
          <w:rtl/>
          <w:lang w:bidi="fa-IR"/>
        </w:rPr>
        <w:t>ّ</w:t>
      </w:r>
      <w:r w:rsidRPr="00904FCB">
        <w:rPr>
          <w:rFonts w:ascii="Tahoma" w:hAnsi="Tahoma"/>
          <w:sz w:val="27"/>
          <w:rtl/>
          <w:lang w:bidi="fa-IR"/>
        </w:rPr>
        <w:t>ة ونحوها</w:t>
      </w:r>
      <w:r w:rsidR="00F05A34" w:rsidRPr="00904FCB">
        <w:rPr>
          <w:rFonts w:ascii="Tahoma" w:hAnsi="Tahoma" w:hint="cs"/>
          <w:sz w:val="27"/>
          <w:rtl/>
          <w:lang w:bidi="fa-IR"/>
        </w:rPr>
        <w:t>.</w:t>
      </w:r>
      <w:r w:rsidRPr="00904FCB">
        <w:rPr>
          <w:rFonts w:ascii="Tahoma" w:hAnsi="Tahoma"/>
          <w:sz w:val="27"/>
          <w:rtl/>
          <w:lang w:bidi="fa-IR"/>
        </w:rPr>
        <w:t xml:space="preserve"> وكل</w:t>
      </w:r>
      <w:r w:rsidR="00F05A34" w:rsidRPr="00904FCB">
        <w:rPr>
          <w:rFonts w:ascii="Tahoma" w:hAnsi="Tahoma" w:hint="cs"/>
          <w:sz w:val="27"/>
          <w:rtl/>
          <w:lang w:bidi="fa-IR"/>
        </w:rPr>
        <w:t>ّ</w:t>
      </w:r>
      <w:r w:rsidRPr="00904FCB">
        <w:rPr>
          <w:rFonts w:ascii="Tahoma" w:hAnsi="Tahoma"/>
          <w:sz w:val="27"/>
          <w:rtl/>
          <w:lang w:bidi="fa-IR"/>
        </w:rPr>
        <w:t>ها منافع أو مصالح في ذاتها، لكن</w:t>
      </w:r>
      <w:r w:rsidR="00F05A34" w:rsidRPr="00904FCB">
        <w:rPr>
          <w:rFonts w:ascii="Tahoma" w:hAnsi="Tahoma" w:hint="cs"/>
          <w:sz w:val="27"/>
          <w:rtl/>
          <w:lang w:bidi="fa-IR"/>
        </w:rPr>
        <w:t>ّ</w:t>
      </w:r>
      <w:r w:rsidRPr="00904FCB">
        <w:rPr>
          <w:rFonts w:ascii="Tahoma" w:hAnsi="Tahoma"/>
          <w:sz w:val="27"/>
          <w:rtl/>
          <w:lang w:bidi="fa-IR"/>
        </w:rPr>
        <w:t xml:space="preserve"> المصلحة الحقيقية ـ كما وصفها الغزالي ـ هي المحافظة على مقصود الشرع</w:t>
      </w:r>
      <w:r w:rsidR="00F05A34" w:rsidRPr="00904FCB">
        <w:rPr>
          <w:rFonts w:ascii="Tahoma" w:hAnsi="Tahoma" w:hint="cs"/>
          <w:sz w:val="27"/>
          <w:rtl/>
          <w:lang w:bidi="fa-IR"/>
        </w:rPr>
        <w:t>.</w:t>
      </w:r>
      <w:r w:rsidRPr="00904FCB">
        <w:rPr>
          <w:rFonts w:ascii="Tahoma" w:hAnsi="Tahoma"/>
          <w:sz w:val="27"/>
          <w:rtl/>
          <w:lang w:bidi="fa-IR"/>
        </w:rPr>
        <w:t xml:space="preserve"> ومقصود الشرع من الخلق خمسة: أن يحفظ عليهم دينهم ونفسهم وعقلهم ونسلهم</w:t>
      </w:r>
      <w:r w:rsidR="00F05A34" w:rsidRPr="00904FCB">
        <w:rPr>
          <w:rFonts w:ascii="Tahoma" w:hAnsi="Tahoma" w:hint="cs"/>
          <w:sz w:val="27"/>
          <w:rtl/>
          <w:lang w:bidi="fa-IR"/>
        </w:rPr>
        <w:t xml:space="preserve"> ومالهم</w:t>
      </w:r>
      <w:r w:rsidRPr="00904FCB">
        <w:rPr>
          <w:rFonts w:ascii="Tahoma" w:hAnsi="Tahoma"/>
          <w:sz w:val="27"/>
          <w:rtl/>
          <w:lang w:bidi="fa-IR"/>
        </w:rPr>
        <w:t>. وكل</w:t>
      </w:r>
      <w:r w:rsidR="00F05A34" w:rsidRPr="00904FCB">
        <w:rPr>
          <w:rFonts w:ascii="Tahoma" w:hAnsi="Tahoma" w:hint="cs"/>
          <w:sz w:val="27"/>
          <w:rtl/>
          <w:lang w:bidi="fa-IR"/>
        </w:rPr>
        <w:t>ّ</w:t>
      </w:r>
      <w:r w:rsidRPr="00904FCB">
        <w:rPr>
          <w:rFonts w:ascii="Tahoma" w:hAnsi="Tahoma"/>
          <w:sz w:val="27"/>
          <w:rtl/>
          <w:lang w:bidi="fa-IR"/>
        </w:rPr>
        <w:t xml:space="preserve"> ما يتضمن هذه الكليات الخمسة فهو مصلحة، وكل</w:t>
      </w:r>
      <w:r w:rsidR="00F05A34" w:rsidRPr="00904FCB">
        <w:rPr>
          <w:rFonts w:ascii="Tahoma" w:hAnsi="Tahoma" w:hint="cs"/>
          <w:sz w:val="27"/>
          <w:rtl/>
          <w:lang w:bidi="fa-IR"/>
        </w:rPr>
        <w:t>ّ</w:t>
      </w:r>
      <w:r w:rsidRPr="00904FCB">
        <w:rPr>
          <w:rFonts w:ascii="Tahoma" w:hAnsi="Tahoma"/>
          <w:sz w:val="27"/>
          <w:rtl/>
          <w:lang w:bidi="fa-IR"/>
        </w:rPr>
        <w:t xml:space="preserve"> ما يفوت هذه الكليات فهو مفسدة</w:t>
      </w:r>
      <w:r w:rsidR="00F05A34" w:rsidRPr="00904FCB">
        <w:rPr>
          <w:rFonts w:ascii="Tahoma" w:hAnsi="Tahoma" w:hint="cs"/>
          <w:sz w:val="27"/>
          <w:rtl/>
          <w:lang w:bidi="fa-IR"/>
        </w:rPr>
        <w:t>،</w:t>
      </w:r>
      <w:r w:rsidRPr="00904FCB">
        <w:rPr>
          <w:rFonts w:ascii="Tahoma" w:hAnsi="Tahoma"/>
          <w:sz w:val="27"/>
          <w:rtl/>
          <w:lang w:bidi="fa-IR"/>
        </w:rPr>
        <w:t xml:space="preserve"> ودفعه مصلحة.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أما تعريف «باوند» للمصلحة فهي «الرغبة أو الحاجة التي ينشد الفرد أو مجموعة من الأفراد إشباعها، والتي يكون على الهندسة الاجتماعية أن تدخلها في حسابها وتقديرها</w:t>
      </w:r>
      <w:r w:rsidRPr="00904FCB">
        <w:rPr>
          <w:rFonts w:hint="eastAsia"/>
          <w:sz w:val="27"/>
          <w:rtl/>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ويت</w:t>
      </w:r>
      <w:r w:rsidR="00F05A34" w:rsidRPr="00904FCB">
        <w:rPr>
          <w:rFonts w:ascii="Tahoma" w:hAnsi="Tahoma" w:hint="cs"/>
          <w:sz w:val="27"/>
          <w:rtl/>
          <w:lang w:bidi="fa-IR"/>
        </w:rPr>
        <w:t>ّ</w:t>
      </w:r>
      <w:r w:rsidRPr="00904FCB">
        <w:rPr>
          <w:rFonts w:ascii="Tahoma" w:hAnsi="Tahoma"/>
          <w:sz w:val="27"/>
          <w:rtl/>
          <w:lang w:bidi="fa-IR"/>
        </w:rPr>
        <w:t>ضح من هذين التعريفين أن تعريف المصلحة في الفقه الإسلامي إنّما يعكس ما يت</w:t>
      </w:r>
      <w:r w:rsidR="00F05A34" w:rsidRPr="00904FCB">
        <w:rPr>
          <w:rFonts w:ascii="Tahoma" w:hAnsi="Tahoma" w:hint="cs"/>
          <w:sz w:val="27"/>
          <w:rtl/>
          <w:lang w:bidi="fa-IR"/>
        </w:rPr>
        <w:t>َّ</w:t>
      </w:r>
      <w:r w:rsidRPr="00904FCB">
        <w:rPr>
          <w:rFonts w:ascii="Tahoma" w:hAnsi="Tahoma"/>
          <w:sz w:val="27"/>
          <w:rtl/>
          <w:lang w:bidi="fa-IR"/>
        </w:rPr>
        <w:t>سم به هذا الفقه من كونه نظاماً روحياً ومدنياً معاً، يهتم</w:t>
      </w:r>
      <w:r w:rsidR="00F05A34" w:rsidRPr="00904FCB">
        <w:rPr>
          <w:rFonts w:ascii="Tahoma" w:hAnsi="Tahoma" w:hint="cs"/>
          <w:sz w:val="27"/>
          <w:rtl/>
          <w:lang w:bidi="fa-IR"/>
        </w:rPr>
        <w:t>ّ</w:t>
      </w:r>
      <w:r w:rsidRPr="00904FCB">
        <w:rPr>
          <w:rFonts w:ascii="Tahoma" w:hAnsi="Tahoma"/>
          <w:sz w:val="27"/>
          <w:rtl/>
          <w:lang w:bidi="fa-IR"/>
        </w:rPr>
        <w:t xml:space="preserve"> بالمصالح التي تحقق مقاصد الشرع، وترتقي بأخلاقيات المسلم. بينما جاء التعريف الأمريكي من خلال نظرية باوند ـ الفردية الدنيوية القاصرة ـ مكتفياً بتحقيق رغبات الناس وأهوائهم</w:t>
      </w:r>
      <w:r w:rsidR="00F05A34" w:rsidRPr="00904FCB">
        <w:rPr>
          <w:rFonts w:ascii="Tahoma" w:hAnsi="Tahoma" w:hint="cs"/>
          <w:sz w:val="27"/>
          <w:rtl/>
          <w:lang w:bidi="fa-IR"/>
        </w:rPr>
        <w:t>،</w:t>
      </w:r>
      <w:r w:rsidRPr="00904FCB">
        <w:rPr>
          <w:rFonts w:ascii="Tahoma" w:hAnsi="Tahoma"/>
          <w:sz w:val="27"/>
          <w:rtl/>
          <w:lang w:bidi="fa-IR"/>
        </w:rPr>
        <w:t xml:space="preserve"> دون الالتزام بق</w:t>
      </w:r>
      <w:r w:rsidR="00F05A34" w:rsidRPr="00904FCB">
        <w:rPr>
          <w:rFonts w:ascii="Tahoma" w:hAnsi="Tahoma" w:hint="cs"/>
          <w:sz w:val="27"/>
          <w:rtl/>
          <w:lang w:bidi="fa-IR"/>
        </w:rPr>
        <w:t>ِ</w:t>
      </w:r>
      <w:r w:rsidRPr="00904FCB">
        <w:rPr>
          <w:rFonts w:ascii="Tahoma" w:hAnsi="Tahoma"/>
          <w:sz w:val="27"/>
          <w:rtl/>
          <w:lang w:bidi="fa-IR"/>
        </w:rPr>
        <w:t>ي</w:t>
      </w:r>
      <w:r w:rsidR="00F05A34" w:rsidRPr="00904FCB">
        <w:rPr>
          <w:rFonts w:ascii="Tahoma" w:hAnsi="Tahoma" w:hint="cs"/>
          <w:sz w:val="27"/>
          <w:rtl/>
          <w:lang w:bidi="fa-IR"/>
        </w:rPr>
        <w:t>َ</w:t>
      </w:r>
      <w:r w:rsidRPr="00904FCB">
        <w:rPr>
          <w:rFonts w:ascii="Tahoma" w:hAnsi="Tahoma"/>
          <w:sz w:val="27"/>
          <w:rtl/>
          <w:lang w:bidi="fa-IR"/>
        </w:rPr>
        <w:t>م عليا أو م</w:t>
      </w:r>
      <w:r w:rsidR="00F05A34" w:rsidRPr="00904FCB">
        <w:rPr>
          <w:rFonts w:ascii="Tahoma" w:hAnsi="Tahoma" w:hint="cs"/>
          <w:sz w:val="27"/>
          <w:rtl/>
          <w:lang w:bidi="fa-IR"/>
        </w:rPr>
        <w:t>ُ</w:t>
      </w:r>
      <w:r w:rsidRPr="00904FCB">
        <w:rPr>
          <w:rFonts w:ascii="Tahoma" w:hAnsi="Tahoma"/>
          <w:sz w:val="27"/>
          <w:rtl/>
          <w:lang w:bidi="fa-IR"/>
        </w:rPr>
        <w:t>ث</w:t>
      </w:r>
      <w:r w:rsidR="00F05A34" w:rsidRPr="00904FCB">
        <w:rPr>
          <w:rFonts w:ascii="Tahoma" w:hAnsi="Tahoma" w:hint="cs"/>
          <w:sz w:val="27"/>
          <w:rtl/>
          <w:lang w:bidi="fa-IR"/>
        </w:rPr>
        <w:t>ُ</w:t>
      </w:r>
      <w:r w:rsidRPr="00904FCB">
        <w:rPr>
          <w:rFonts w:ascii="Tahoma" w:hAnsi="Tahoma"/>
          <w:sz w:val="27"/>
          <w:rtl/>
          <w:lang w:bidi="fa-IR"/>
        </w:rPr>
        <w:t>ل سامية</w:t>
      </w:r>
      <w:r w:rsidR="00F05A34" w:rsidRPr="00904FCB">
        <w:rPr>
          <w:rFonts w:ascii="Tahoma" w:hAnsi="Tahoma" w:hint="cs"/>
          <w:sz w:val="27"/>
          <w:rtl/>
          <w:lang w:bidi="fa-IR"/>
        </w:rPr>
        <w:t>،</w:t>
      </w:r>
      <w:r w:rsidRPr="00904FCB">
        <w:rPr>
          <w:rFonts w:ascii="Tahoma" w:hAnsi="Tahoma"/>
          <w:sz w:val="27"/>
          <w:rtl/>
          <w:lang w:bidi="fa-IR"/>
        </w:rPr>
        <w:t xml:space="preserve"> ت</w:t>
      </w:r>
      <w:r w:rsidR="00F05A34" w:rsidRPr="00904FCB">
        <w:rPr>
          <w:rFonts w:ascii="Tahoma" w:hAnsi="Tahoma" w:hint="cs"/>
          <w:sz w:val="27"/>
          <w:rtl/>
          <w:lang w:bidi="fa-IR"/>
        </w:rPr>
        <w:t>ُ</w:t>
      </w:r>
      <w:r w:rsidRPr="00904FCB">
        <w:rPr>
          <w:rFonts w:ascii="Tahoma" w:hAnsi="Tahoma"/>
          <w:sz w:val="27"/>
          <w:rtl/>
          <w:lang w:bidi="fa-IR"/>
        </w:rPr>
        <w:t>ع</w:t>
      </w:r>
      <w:r w:rsidR="00F05A34" w:rsidRPr="00904FCB">
        <w:rPr>
          <w:rFonts w:ascii="Tahoma" w:hAnsi="Tahoma" w:hint="cs"/>
          <w:sz w:val="27"/>
          <w:rtl/>
          <w:lang w:bidi="fa-IR"/>
        </w:rPr>
        <w:t>ْ</w:t>
      </w:r>
      <w:r w:rsidRPr="00904FCB">
        <w:rPr>
          <w:rFonts w:ascii="Tahoma" w:hAnsi="Tahoma"/>
          <w:sz w:val="27"/>
          <w:rtl/>
          <w:lang w:bidi="fa-IR"/>
        </w:rPr>
        <w:t>لي من قدر الإنسان</w:t>
      </w:r>
      <w:r w:rsidR="00F05A34" w:rsidRPr="00904FCB">
        <w:rPr>
          <w:rFonts w:ascii="Tahoma" w:hAnsi="Tahoma" w:hint="cs"/>
          <w:sz w:val="27"/>
          <w:rtl/>
          <w:lang w:bidi="fa-IR"/>
        </w:rPr>
        <w:t>،</w:t>
      </w:r>
      <w:r w:rsidRPr="00904FCB">
        <w:rPr>
          <w:rFonts w:ascii="Tahoma" w:hAnsi="Tahoma"/>
          <w:sz w:val="27"/>
          <w:rtl/>
          <w:lang w:bidi="fa-IR"/>
        </w:rPr>
        <w:t xml:space="preserve"> وترفعه عن مرتبة إشباع رغباته</w:t>
      </w:r>
      <w:r w:rsidR="00F05A34" w:rsidRPr="00904FCB">
        <w:rPr>
          <w:rFonts w:ascii="Tahoma" w:hAnsi="Tahoma" w:hint="cs"/>
          <w:sz w:val="27"/>
          <w:rtl/>
          <w:lang w:bidi="fa-IR"/>
        </w:rPr>
        <w:t xml:space="preserve">، </w:t>
      </w:r>
      <w:r w:rsidRPr="00904FCB">
        <w:rPr>
          <w:rFonts w:ascii="Tahoma" w:hAnsi="Tahoma"/>
          <w:sz w:val="27"/>
          <w:rtl/>
          <w:lang w:bidi="fa-IR"/>
        </w:rPr>
        <w:t>التي قد يتساوى فيها الإنسان مع بقية الحيوانات</w:t>
      </w:r>
      <w:r w:rsidR="00F05A34" w:rsidRPr="00904FCB">
        <w:rPr>
          <w:rFonts w:ascii="Tahoma" w:hAnsi="Tahoma" w:hint="cs"/>
          <w:sz w:val="27"/>
          <w:rtl/>
          <w:lang w:bidi="fa-IR"/>
        </w:rPr>
        <w:t>،</w:t>
      </w:r>
      <w:r w:rsidRPr="00904FCB">
        <w:rPr>
          <w:rFonts w:ascii="Tahoma" w:hAnsi="Tahoma"/>
          <w:sz w:val="27"/>
          <w:rtl/>
          <w:lang w:bidi="fa-IR"/>
        </w:rPr>
        <w:t xml:space="preserve"> فلا تسمو به إلى مستوى الإنسانية الأرقى. </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وهذا ما دفع أحد الباحثين الغربيين إلى نقده</w:t>
      </w:r>
      <w:r w:rsidR="00F05A34" w:rsidRPr="00904FCB">
        <w:rPr>
          <w:rFonts w:ascii="Tahoma" w:hAnsi="Tahoma" w:hint="cs"/>
          <w:sz w:val="27"/>
          <w:rtl/>
          <w:lang w:bidi="fa-IR"/>
        </w:rPr>
        <w:t>،</w:t>
      </w:r>
      <w:r w:rsidRPr="00904FCB">
        <w:rPr>
          <w:rFonts w:ascii="Tahoma" w:hAnsi="Tahoma"/>
          <w:sz w:val="27"/>
          <w:rtl/>
          <w:lang w:bidi="fa-IR"/>
        </w:rPr>
        <w:t xml:space="preserve"> قائلاً: إن باوند «لم يمي</w:t>
      </w:r>
      <w:r w:rsidR="00F05A34" w:rsidRPr="00904FCB">
        <w:rPr>
          <w:rFonts w:ascii="Tahoma" w:hAnsi="Tahoma" w:hint="cs"/>
          <w:sz w:val="27"/>
          <w:rtl/>
          <w:lang w:bidi="fa-IR"/>
        </w:rPr>
        <w:t>ِّ</w:t>
      </w:r>
      <w:r w:rsidRPr="00904FCB">
        <w:rPr>
          <w:rFonts w:ascii="Tahoma" w:hAnsi="Tahoma"/>
          <w:sz w:val="27"/>
          <w:rtl/>
          <w:lang w:bidi="fa-IR"/>
        </w:rPr>
        <w:t>ز بين الانعكاسات الفلسفية التي تتحق</w:t>
      </w:r>
      <w:r w:rsidR="00F05A34" w:rsidRPr="00904FCB">
        <w:rPr>
          <w:rFonts w:ascii="Tahoma" w:hAnsi="Tahoma" w:hint="cs"/>
          <w:sz w:val="27"/>
          <w:rtl/>
          <w:lang w:bidi="fa-IR"/>
        </w:rPr>
        <w:t>َّ</w:t>
      </w:r>
      <w:r w:rsidRPr="00904FCB">
        <w:rPr>
          <w:rFonts w:ascii="Tahoma" w:hAnsi="Tahoma"/>
          <w:sz w:val="27"/>
          <w:rtl/>
          <w:lang w:bidi="fa-IR"/>
        </w:rPr>
        <w:t>ق من موضوعية الق</w:t>
      </w:r>
      <w:r w:rsidR="00F05A34" w:rsidRPr="00904FCB">
        <w:rPr>
          <w:rFonts w:ascii="Tahoma" w:hAnsi="Tahoma" w:hint="cs"/>
          <w:sz w:val="27"/>
          <w:rtl/>
          <w:lang w:bidi="fa-IR"/>
        </w:rPr>
        <w:t>ِ</w:t>
      </w:r>
      <w:r w:rsidRPr="00904FCB">
        <w:rPr>
          <w:rFonts w:ascii="Tahoma" w:hAnsi="Tahoma"/>
          <w:sz w:val="27"/>
          <w:rtl/>
          <w:lang w:bidi="fa-IR"/>
        </w:rPr>
        <w:t>ي</w:t>
      </w:r>
      <w:r w:rsidR="00F05A34" w:rsidRPr="00904FCB">
        <w:rPr>
          <w:rFonts w:ascii="Tahoma" w:hAnsi="Tahoma" w:hint="cs"/>
          <w:sz w:val="27"/>
          <w:rtl/>
          <w:lang w:bidi="fa-IR"/>
        </w:rPr>
        <w:t>َ</w:t>
      </w:r>
      <w:r w:rsidRPr="00904FCB">
        <w:rPr>
          <w:rFonts w:ascii="Tahoma" w:hAnsi="Tahoma"/>
          <w:sz w:val="27"/>
          <w:rtl/>
          <w:lang w:bidi="fa-IR"/>
        </w:rPr>
        <w:t>م والتوصيف الاجتماعي الذي ينجم عن مناقشة أصالة وموضوعية الق</w:t>
      </w:r>
      <w:r w:rsidR="00F05A34" w:rsidRPr="00904FCB">
        <w:rPr>
          <w:rFonts w:ascii="Tahoma" w:hAnsi="Tahoma" w:hint="cs"/>
          <w:sz w:val="27"/>
          <w:rtl/>
          <w:lang w:bidi="fa-IR"/>
        </w:rPr>
        <w:t>ِ</w:t>
      </w:r>
      <w:r w:rsidRPr="00904FCB">
        <w:rPr>
          <w:rFonts w:ascii="Tahoma" w:hAnsi="Tahoma"/>
          <w:sz w:val="27"/>
          <w:rtl/>
          <w:lang w:bidi="fa-IR"/>
        </w:rPr>
        <w:t>ي</w:t>
      </w:r>
      <w:r w:rsidR="00F05A34" w:rsidRPr="00904FCB">
        <w:rPr>
          <w:rFonts w:ascii="Tahoma" w:hAnsi="Tahoma" w:hint="cs"/>
          <w:sz w:val="27"/>
          <w:rtl/>
          <w:lang w:bidi="fa-IR"/>
        </w:rPr>
        <w:t>َ</w:t>
      </w:r>
      <w:r w:rsidRPr="00904FCB">
        <w:rPr>
          <w:rFonts w:ascii="Tahoma" w:hAnsi="Tahoma"/>
          <w:sz w:val="27"/>
          <w:rtl/>
          <w:lang w:bidi="fa-IR"/>
        </w:rPr>
        <w:t>م</w:t>
      </w:r>
      <w:r w:rsidR="00D46B6F" w:rsidRPr="00904FCB">
        <w:rPr>
          <w:rFonts w:ascii="Tahoma" w:hAnsi="Tahoma" w:hint="cs"/>
          <w:sz w:val="27"/>
          <w:rtl/>
          <w:lang w:bidi="fa-IR"/>
        </w:rPr>
        <w:t>،</w:t>
      </w:r>
      <w:r w:rsidRPr="00904FCB">
        <w:rPr>
          <w:rFonts w:ascii="Tahoma" w:hAnsi="Tahoma"/>
          <w:sz w:val="27"/>
          <w:rtl/>
          <w:lang w:bidi="fa-IR"/>
        </w:rPr>
        <w:t xml:space="preserve"> والتي تراعي تحقيقها. لقد زحف</w:t>
      </w:r>
      <w:r w:rsidR="00D46B6F" w:rsidRPr="00904FCB">
        <w:rPr>
          <w:rFonts w:ascii="Tahoma" w:hAnsi="Tahoma" w:hint="cs"/>
          <w:sz w:val="27"/>
          <w:rtl/>
          <w:lang w:bidi="fa-IR"/>
        </w:rPr>
        <w:t>َ</w:t>
      </w:r>
      <w:r w:rsidRPr="00904FCB">
        <w:rPr>
          <w:rFonts w:ascii="Tahoma" w:hAnsi="Tahoma"/>
          <w:sz w:val="27"/>
          <w:rtl/>
          <w:lang w:bidi="fa-IR"/>
        </w:rPr>
        <w:t>ت</w:t>
      </w:r>
      <w:r w:rsidR="00D46B6F" w:rsidRPr="00904FCB">
        <w:rPr>
          <w:rFonts w:ascii="Tahoma" w:hAnsi="Tahoma" w:hint="cs"/>
          <w:sz w:val="27"/>
          <w:rtl/>
          <w:lang w:bidi="fa-IR"/>
        </w:rPr>
        <w:t>ْ</w:t>
      </w:r>
      <w:r w:rsidRPr="00904FCB">
        <w:rPr>
          <w:rFonts w:ascii="Tahoma" w:hAnsi="Tahoma"/>
          <w:sz w:val="27"/>
          <w:rtl/>
          <w:lang w:bidi="fa-IR"/>
        </w:rPr>
        <w:t xml:space="preserve"> فوضى أحكام الق</w:t>
      </w:r>
      <w:r w:rsidR="00D46B6F" w:rsidRPr="00904FCB">
        <w:rPr>
          <w:rFonts w:ascii="Tahoma" w:hAnsi="Tahoma" w:hint="cs"/>
          <w:sz w:val="27"/>
          <w:rtl/>
          <w:lang w:bidi="fa-IR"/>
        </w:rPr>
        <w:t>ِ</w:t>
      </w:r>
      <w:r w:rsidRPr="00904FCB">
        <w:rPr>
          <w:rFonts w:ascii="Tahoma" w:hAnsi="Tahoma"/>
          <w:sz w:val="27"/>
          <w:rtl/>
          <w:lang w:bidi="fa-IR"/>
        </w:rPr>
        <w:t>ي</w:t>
      </w:r>
      <w:r w:rsidR="00D46B6F" w:rsidRPr="00904FCB">
        <w:rPr>
          <w:rFonts w:ascii="Tahoma" w:hAnsi="Tahoma" w:hint="cs"/>
          <w:sz w:val="27"/>
          <w:rtl/>
          <w:lang w:bidi="fa-IR"/>
        </w:rPr>
        <w:t>َ</w:t>
      </w:r>
      <w:r w:rsidRPr="00904FCB">
        <w:rPr>
          <w:rFonts w:ascii="Tahoma" w:hAnsi="Tahoma"/>
          <w:sz w:val="27"/>
          <w:rtl/>
          <w:lang w:bidi="fa-IR"/>
        </w:rPr>
        <w:t>م وأحكام الواقعية على ما نشره باوند من اجتماعية القانون، ولم يمي</w:t>
      </w:r>
      <w:r w:rsidR="00D46B6F" w:rsidRPr="00904FCB">
        <w:rPr>
          <w:rFonts w:ascii="Tahoma" w:hAnsi="Tahoma" w:hint="cs"/>
          <w:sz w:val="27"/>
          <w:rtl/>
          <w:lang w:bidi="fa-IR"/>
        </w:rPr>
        <w:t>ِّ</w:t>
      </w:r>
      <w:r w:rsidRPr="00904FCB">
        <w:rPr>
          <w:rFonts w:ascii="Tahoma" w:hAnsi="Tahoma"/>
          <w:sz w:val="27"/>
          <w:rtl/>
          <w:lang w:bidi="fa-IR"/>
        </w:rPr>
        <w:t>ز بوضوح ما بين الق</w:t>
      </w:r>
      <w:r w:rsidR="00D46B6F" w:rsidRPr="00904FCB">
        <w:rPr>
          <w:rFonts w:ascii="Tahoma" w:hAnsi="Tahoma" w:hint="cs"/>
          <w:sz w:val="27"/>
          <w:rtl/>
          <w:lang w:bidi="fa-IR"/>
        </w:rPr>
        <w:t>ِ</w:t>
      </w:r>
      <w:r w:rsidRPr="00904FCB">
        <w:rPr>
          <w:rFonts w:ascii="Tahoma" w:hAnsi="Tahoma"/>
          <w:sz w:val="27"/>
          <w:rtl/>
          <w:lang w:bidi="fa-IR"/>
        </w:rPr>
        <w:t>ي</w:t>
      </w:r>
      <w:r w:rsidR="00D46B6F" w:rsidRPr="00904FCB">
        <w:rPr>
          <w:rFonts w:ascii="Tahoma" w:hAnsi="Tahoma" w:hint="cs"/>
          <w:sz w:val="27"/>
          <w:rtl/>
          <w:lang w:bidi="fa-IR"/>
        </w:rPr>
        <w:t>َ</w:t>
      </w:r>
      <w:r w:rsidRPr="00904FCB">
        <w:rPr>
          <w:rFonts w:ascii="Tahoma" w:hAnsi="Tahoma"/>
          <w:sz w:val="27"/>
          <w:rtl/>
          <w:lang w:bidi="fa-IR"/>
        </w:rPr>
        <w:t xml:space="preserve">م القضائية والأخلاق».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rFonts w:hint="cs"/>
          <w:color w:val="auto"/>
          <w:rtl/>
          <w:lang w:bidi="fa-IR"/>
        </w:rPr>
        <w:t>ب ـ</w:t>
      </w:r>
      <w:r w:rsidRPr="00904FCB">
        <w:rPr>
          <w:color w:val="auto"/>
          <w:rtl/>
          <w:lang w:bidi="fa-IR"/>
        </w:rPr>
        <w:t xml:space="preserve"> منهج استخراج المصالح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سعى الإسلام من خلال مصدر</w:t>
      </w:r>
      <w:r w:rsidR="00D46B6F" w:rsidRPr="00904FCB">
        <w:rPr>
          <w:rFonts w:ascii="Tahoma" w:hAnsi="Tahoma" w:hint="cs"/>
          <w:sz w:val="27"/>
          <w:rtl/>
          <w:lang w:bidi="fa-IR"/>
        </w:rPr>
        <w:t>َ</w:t>
      </w:r>
      <w:r w:rsidRPr="00904FCB">
        <w:rPr>
          <w:rFonts w:ascii="Tahoma" w:hAnsi="Tahoma"/>
          <w:sz w:val="27"/>
          <w:rtl/>
          <w:lang w:bidi="fa-IR"/>
        </w:rPr>
        <w:t>ي</w:t>
      </w:r>
      <w:r w:rsidR="00D46B6F" w:rsidRPr="00904FCB">
        <w:rPr>
          <w:rFonts w:ascii="Tahoma" w:hAnsi="Tahoma" w:hint="cs"/>
          <w:sz w:val="27"/>
          <w:rtl/>
          <w:lang w:bidi="fa-IR"/>
        </w:rPr>
        <w:t>ْ</w:t>
      </w:r>
      <w:r w:rsidRPr="00904FCB">
        <w:rPr>
          <w:rFonts w:ascii="Tahoma" w:hAnsi="Tahoma"/>
          <w:sz w:val="27"/>
          <w:rtl/>
          <w:lang w:bidi="fa-IR"/>
        </w:rPr>
        <w:t>ه ـ القرآن والسُّنَّة ـ إلى بيان علل الأحكام التي أمر بها أو نهى عنها</w:t>
      </w:r>
      <w:r w:rsidR="00D46B6F" w:rsidRPr="00904FCB">
        <w:rPr>
          <w:rFonts w:ascii="Tahoma" w:hAnsi="Tahoma" w:hint="cs"/>
          <w:sz w:val="27"/>
          <w:rtl/>
          <w:lang w:bidi="fa-IR"/>
        </w:rPr>
        <w:t>.</w:t>
      </w:r>
      <w:r w:rsidRPr="00904FCB">
        <w:rPr>
          <w:rFonts w:ascii="Tahoma" w:hAnsi="Tahoma"/>
          <w:sz w:val="27"/>
          <w:rtl/>
          <w:lang w:bidi="fa-IR"/>
        </w:rPr>
        <w:t xml:space="preserve"> كما أوضح أن هذا مرتبط</w:t>
      </w:r>
      <w:r w:rsidR="00D46B6F" w:rsidRPr="00904FCB">
        <w:rPr>
          <w:rFonts w:ascii="Tahoma" w:hAnsi="Tahoma" w:hint="cs"/>
          <w:sz w:val="27"/>
          <w:rtl/>
          <w:lang w:bidi="fa-IR"/>
        </w:rPr>
        <w:t>ٌ</w:t>
      </w:r>
      <w:r w:rsidRPr="00904FCB">
        <w:rPr>
          <w:rFonts w:ascii="Tahoma" w:hAnsi="Tahoma"/>
          <w:sz w:val="27"/>
          <w:rtl/>
          <w:lang w:bidi="fa-IR"/>
        </w:rPr>
        <w:t xml:space="preserve"> ارتباط</w:t>
      </w:r>
      <w:r w:rsidR="00D46B6F" w:rsidRPr="00904FCB">
        <w:rPr>
          <w:rFonts w:ascii="Tahoma" w:hAnsi="Tahoma" w:hint="cs"/>
          <w:sz w:val="27"/>
          <w:rtl/>
          <w:lang w:bidi="fa-IR"/>
        </w:rPr>
        <w:t>اً</w:t>
      </w:r>
      <w:r w:rsidRPr="00904FCB">
        <w:rPr>
          <w:rFonts w:ascii="Tahoma" w:hAnsi="Tahoma"/>
          <w:sz w:val="27"/>
          <w:rtl/>
          <w:lang w:bidi="fa-IR"/>
        </w:rPr>
        <w:t xml:space="preserve"> شديد</w:t>
      </w:r>
      <w:r w:rsidR="00D46B6F" w:rsidRPr="00904FCB">
        <w:rPr>
          <w:rFonts w:ascii="Tahoma" w:hAnsi="Tahoma" w:hint="cs"/>
          <w:sz w:val="27"/>
          <w:rtl/>
          <w:lang w:bidi="fa-IR"/>
        </w:rPr>
        <w:t>اً</w:t>
      </w:r>
      <w:r w:rsidRPr="00904FCB">
        <w:rPr>
          <w:rFonts w:ascii="Tahoma" w:hAnsi="Tahoma"/>
          <w:sz w:val="27"/>
          <w:rtl/>
          <w:lang w:bidi="fa-IR"/>
        </w:rPr>
        <w:t xml:space="preserve"> بفكرة المصلحة. فما أمر الله تعالى بشيء</w:t>
      </w:r>
      <w:r w:rsidR="00D46B6F" w:rsidRPr="00904FCB">
        <w:rPr>
          <w:rFonts w:ascii="Tahoma" w:hAnsi="Tahoma" w:hint="cs"/>
          <w:sz w:val="27"/>
          <w:rtl/>
          <w:lang w:bidi="fa-IR"/>
        </w:rPr>
        <w:t>ٍ</w:t>
      </w:r>
      <w:r w:rsidRPr="00904FCB">
        <w:rPr>
          <w:rFonts w:ascii="Tahoma" w:hAnsi="Tahoma"/>
          <w:sz w:val="27"/>
          <w:rtl/>
          <w:lang w:bidi="fa-IR"/>
        </w:rPr>
        <w:t xml:space="preserve"> إلاّ وفيه مصلحة للعباد، وما نهى عن شيء إلاّ وفيه مفسدة لهم.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lastRenderedPageBreak/>
        <w:t>وقد دعا الإسلام علماءه لمعرفة الحكمة والعلة أو المصلحة من وراء أحكامه العملية في المعاملات</w:t>
      </w:r>
      <w:r w:rsidR="00D46B6F" w:rsidRPr="00904FCB">
        <w:rPr>
          <w:rFonts w:ascii="Tahoma" w:hAnsi="Tahoma" w:hint="cs"/>
          <w:sz w:val="27"/>
          <w:rtl/>
          <w:lang w:bidi="fa-IR"/>
        </w:rPr>
        <w:t>.</w:t>
      </w:r>
      <w:r w:rsidRPr="00904FCB">
        <w:rPr>
          <w:rFonts w:ascii="Tahoma" w:hAnsi="Tahoma"/>
          <w:sz w:val="27"/>
          <w:rtl/>
          <w:lang w:bidi="fa-IR"/>
        </w:rPr>
        <w:t xml:space="preserve"> حت</w:t>
      </w:r>
      <w:r w:rsidR="00D46B6F" w:rsidRPr="00904FCB">
        <w:rPr>
          <w:rFonts w:ascii="Tahoma" w:hAnsi="Tahoma" w:hint="cs"/>
          <w:sz w:val="27"/>
          <w:rtl/>
          <w:lang w:bidi="fa-IR"/>
        </w:rPr>
        <w:t>ّ</w:t>
      </w:r>
      <w:r w:rsidRPr="00904FCB">
        <w:rPr>
          <w:rFonts w:ascii="Tahoma" w:hAnsi="Tahoma"/>
          <w:sz w:val="27"/>
          <w:rtl/>
          <w:lang w:bidi="fa-IR"/>
        </w:rPr>
        <w:t>ى إذا عرفوا هذه الحكمة استطاعوا أن يطو</w:t>
      </w:r>
      <w:r w:rsidR="00D46B6F" w:rsidRPr="00904FCB">
        <w:rPr>
          <w:rFonts w:ascii="Tahoma" w:hAnsi="Tahoma" w:hint="cs"/>
          <w:sz w:val="27"/>
          <w:rtl/>
          <w:lang w:bidi="fa-IR"/>
        </w:rPr>
        <w:t>ِّ</w:t>
      </w:r>
      <w:r w:rsidRPr="00904FCB">
        <w:rPr>
          <w:rFonts w:ascii="Tahoma" w:hAnsi="Tahoma"/>
          <w:sz w:val="27"/>
          <w:rtl/>
          <w:lang w:bidi="fa-IR"/>
        </w:rPr>
        <w:t>روا من أحكامه</w:t>
      </w:r>
      <w:r w:rsidR="00D46B6F" w:rsidRPr="00904FCB">
        <w:rPr>
          <w:rFonts w:ascii="Tahoma" w:hAnsi="Tahoma" w:hint="cs"/>
          <w:sz w:val="27"/>
          <w:rtl/>
          <w:lang w:bidi="fa-IR"/>
        </w:rPr>
        <w:t>،</w:t>
      </w:r>
      <w:r w:rsidRPr="00904FCB">
        <w:rPr>
          <w:rFonts w:ascii="Tahoma" w:hAnsi="Tahoma"/>
          <w:sz w:val="27"/>
          <w:rtl/>
          <w:lang w:bidi="fa-IR"/>
        </w:rPr>
        <w:t xml:space="preserve"> تبعاً لتغي</w:t>
      </w:r>
      <w:r w:rsidR="00D46B6F" w:rsidRPr="00904FCB">
        <w:rPr>
          <w:rFonts w:ascii="Tahoma" w:hAnsi="Tahoma" w:hint="cs"/>
          <w:sz w:val="27"/>
          <w:rtl/>
          <w:lang w:bidi="fa-IR"/>
        </w:rPr>
        <w:t>ُّ</w:t>
      </w:r>
      <w:r w:rsidRPr="00904FCB">
        <w:rPr>
          <w:rFonts w:ascii="Tahoma" w:hAnsi="Tahoma"/>
          <w:sz w:val="27"/>
          <w:rtl/>
          <w:lang w:bidi="fa-IR"/>
        </w:rPr>
        <w:t>ر الوقائع والمستجدات</w:t>
      </w:r>
      <w:r w:rsidR="00D46B6F" w:rsidRPr="00904FCB">
        <w:rPr>
          <w:rFonts w:ascii="Tahoma" w:hAnsi="Tahoma" w:hint="cs"/>
          <w:sz w:val="27"/>
          <w:rtl/>
          <w:lang w:bidi="fa-IR"/>
        </w:rPr>
        <w:t>،</w:t>
      </w:r>
      <w:r w:rsidRPr="00904FCB">
        <w:rPr>
          <w:rFonts w:ascii="Tahoma" w:hAnsi="Tahoma"/>
          <w:sz w:val="27"/>
          <w:rtl/>
          <w:lang w:bidi="fa-IR"/>
        </w:rPr>
        <w:t xml:space="preserve"> لتستوعب كل</w:t>
      </w:r>
      <w:r w:rsidR="00D46B6F" w:rsidRPr="00904FCB">
        <w:rPr>
          <w:rFonts w:ascii="Tahoma" w:hAnsi="Tahoma" w:hint="cs"/>
          <w:sz w:val="27"/>
          <w:rtl/>
          <w:lang w:bidi="fa-IR"/>
        </w:rPr>
        <w:t>ّ</w:t>
      </w:r>
      <w:r w:rsidRPr="00904FCB">
        <w:rPr>
          <w:rFonts w:ascii="Tahoma" w:hAnsi="Tahoma"/>
          <w:sz w:val="27"/>
          <w:rtl/>
          <w:lang w:bidi="fa-IR"/>
        </w:rPr>
        <w:t xml:space="preserve"> ما يستجد</w:t>
      </w:r>
      <w:r w:rsidR="00D46B6F" w:rsidRPr="00904FCB">
        <w:rPr>
          <w:rFonts w:ascii="Tahoma" w:hAnsi="Tahoma" w:hint="cs"/>
          <w:sz w:val="27"/>
          <w:rtl/>
          <w:lang w:bidi="fa-IR"/>
        </w:rPr>
        <w:t>ّ</w:t>
      </w:r>
      <w:r w:rsidRPr="00904FCB">
        <w:rPr>
          <w:rFonts w:ascii="Tahoma" w:hAnsi="Tahoma"/>
          <w:sz w:val="27"/>
          <w:rtl/>
          <w:lang w:bidi="fa-IR"/>
        </w:rPr>
        <w:t xml:space="preserve"> في الحياة من أمور</w:t>
      </w:r>
      <w:r w:rsidR="00D46B6F" w:rsidRPr="00904FCB">
        <w:rPr>
          <w:rFonts w:ascii="Tahoma" w:hAnsi="Tahoma" w:hint="cs"/>
          <w:sz w:val="27"/>
          <w:rtl/>
          <w:lang w:bidi="fa-IR"/>
        </w:rPr>
        <w:t>.</w:t>
      </w:r>
      <w:r w:rsidRPr="00904FCB">
        <w:rPr>
          <w:rFonts w:ascii="Tahoma" w:hAnsi="Tahoma"/>
          <w:sz w:val="27"/>
          <w:rtl/>
          <w:lang w:bidi="fa-IR"/>
        </w:rPr>
        <w:t xml:space="preserve"> وحرص الإسلام على تحديد هذه الكل</w:t>
      </w:r>
      <w:r w:rsidR="00D46B6F" w:rsidRPr="00904FCB">
        <w:rPr>
          <w:rFonts w:ascii="Tahoma" w:hAnsi="Tahoma" w:hint="cs"/>
          <w:sz w:val="27"/>
          <w:rtl/>
          <w:lang w:bidi="fa-IR"/>
        </w:rPr>
        <w:t>ّ</w:t>
      </w:r>
      <w:r w:rsidRPr="00904FCB">
        <w:rPr>
          <w:rFonts w:ascii="Tahoma" w:hAnsi="Tahoma"/>
          <w:sz w:val="27"/>
          <w:rtl/>
          <w:lang w:bidi="fa-IR"/>
        </w:rPr>
        <w:t>يات أو المصالح، وترك التفاصيل والجزئيات في مراحل التطبيق لاجتهاد العلماء في كل</w:t>
      </w:r>
      <w:r w:rsidR="00D46B6F" w:rsidRPr="00904FCB">
        <w:rPr>
          <w:rFonts w:ascii="Tahoma" w:hAnsi="Tahoma" w:hint="cs"/>
          <w:sz w:val="27"/>
          <w:rtl/>
          <w:lang w:bidi="fa-IR"/>
        </w:rPr>
        <w:t>ّ</w:t>
      </w:r>
      <w:r w:rsidRPr="00904FCB">
        <w:rPr>
          <w:rFonts w:ascii="Tahoma" w:hAnsi="Tahoma"/>
          <w:sz w:val="27"/>
          <w:rtl/>
          <w:lang w:bidi="fa-IR"/>
        </w:rPr>
        <w:t xml:space="preserve"> زمان ومكان</w:t>
      </w:r>
      <w:r w:rsidR="00D46B6F" w:rsidRPr="00904FCB">
        <w:rPr>
          <w:rFonts w:ascii="Tahoma" w:hAnsi="Tahoma" w:hint="cs"/>
          <w:sz w:val="27"/>
          <w:rtl/>
          <w:lang w:bidi="fa-IR"/>
        </w:rPr>
        <w:t>،</w:t>
      </w:r>
      <w:r w:rsidRPr="00904FCB">
        <w:rPr>
          <w:rFonts w:ascii="Tahoma" w:hAnsi="Tahoma"/>
          <w:sz w:val="27"/>
          <w:rtl/>
          <w:lang w:bidi="fa-IR"/>
        </w:rPr>
        <w:t xml:space="preserve"> على نحو</w:t>
      </w:r>
      <w:r w:rsidR="00D46B6F" w:rsidRPr="00904FCB">
        <w:rPr>
          <w:rFonts w:ascii="Tahoma" w:hAnsi="Tahoma" w:hint="cs"/>
          <w:sz w:val="27"/>
          <w:rtl/>
          <w:lang w:bidi="fa-IR"/>
        </w:rPr>
        <w:t>ٍ</w:t>
      </w:r>
      <w:r w:rsidRPr="00904FCB">
        <w:rPr>
          <w:rFonts w:ascii="Tahoma" w:hAnsi="Tahoma"/>
          <w:sz w:val="27"/>
          <w:rtl/>
          <w:lang w:bidi="fa-IR"/>
        </w:rPr>
        <w:t xml:space="preserve"> يكفل استيعاب كل</w:t>
      </w:r>
      <w:r w:rsidR="00D46B6F" w:rsidRPr="00904FCB">
        <w:rPr>
          <w:rFonts w:ascii="Tahoma" w:hAnsi="Tahoma" w:hint="cs"/>
          <w:sz w:val="27"/>
          <w:rtl/>
          <w:lang w:bidi="fa-IR"/>
        </w:rPr>
        <w:t>ّ</w:t>
      </w:r>
      <w:r w:rsidRPr="00904FCB">
        <w:rPr>
          <w:rFonts w:ascii="Tahoma" w:hAnsi="Tahoma"/>
          <w:sz w:val="27"/>
          <w:rtl/>
          <w:lang w:bidi="fa-IR"/>
        </w:rPr>
        <w:t xml:space="preserve"> المصالح الواقعة أو المتوق</w:t>
      </w:r>
      <w:r w:rsidR="00D46B6F" w:rsidRPr="00904FCB">
        <w:rPr>
          <w:rFonts w:ascii="Tahoma" w:hAnsi="Tahoma" w:hint="cs"/>
          <w:sz w:val="27"/>
          <w:rtl/>
          <w:lang w:bidi="fa-IR"/>
        </w:rPr>
        <w:t>َّ</w:t>
      </w:r>
      <w:r w:rsidRPr="00904FCB">
        <w:rPr>
          <w:rFonts w:ascii="Tahoma" w:hAnsi="Tahoma"/>
          <w:sz w:val="27"/>
          <w:rtl/>
          <w:lang w:bidi="fa-IR"/>
        </w:rPr>
        <w:t xml:space="preserve">عة.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أما «باوند» فقد رفض الاعتماد على المنطق والعقل، ورجع إلى الواقع لاستخراج المصالح، ووضع قوائم لها، وأشار إلى وجوب النظر إليها كل</w:t>
      </w:r>
      <w:r w:rsidR="00D46B6F" w:rsidRPr="00904FCB">
        <w:rPr>
          <w:rFonts w:ascii="Tahoma" w:hAnsi="Tahoma" w:hint="cs"/>
          <w:sz w:val="27"/>
          <w:rtl/>
          <w:lang w:bidi="fa-IR"/>
        </w:rPr>
        <w:t>ّ</w:t>
      </w:r>
      <w:r w:rsidRPr="00904FCB">
        <w:rPr>
          <w:rFonts w:ascii="Tahoma" w:hAnsi="Tahoma"/>
          <w:sz w:val="27"/>
          <w:rtl/>
          <w:lang w:bidi="fa-IR"/>
        </w:rPr>
        <w:t xml:space="preserve"> فترة</w:t>
      </w:r>
      <w:r w:rsidR="00D46B6F" w:rsidRPr="00904FCB">
        <w:rPr>
          <w:rFonts w:ascii="Tahoma" w:hAnsi="Tahoma" w:hint="cs"/>
          <w:sz w:val="27"/>
          <w:rtl/>
          <w:lang w:bidi="fa-IR"/>
        </w:rPr>
        <w:t>ٍ؛</w:t>
      </w:r>
      <w:r w:rsidRPr="00904FCB">
        <w:rPr>
          <w:rFonts w:ascii="Tahoma" w:hAnsi="Tahoma"/>
          <w:sz w:val="27"/>
          <w:rtl/>
          <w:lang w:bidi="fa-IR"/>
        </w:rPr>
        <w:t xml:space="preserve"> لمراجعتها وتحديثها بما يت</w:t>
      </w:r>
      <w:r w:rsidR="00D46B6F" w:rsidRPr="00904FCB">
        <w:rPr>
          <w:rFonts w:ascii="Tahoma" w:hAnsi="Tahoma" w:hint="cs"/>
          <w:sz w:val="27"/>
          <w:rtl/>
          <w:lang w:bidi="fa-IR"/>
        </w:rPr>
        <w:t>ّ</w:t>
      </w:r>
      <w:r w:rsidRPr="00904FCB">
        <w:rPr>
          <w:rFonts w:ascii="Tahoma" w:hAnsi="Tahoma"/>
          <w:sz w:val="27"/>
          <w:rtl/>
          <w:lang w:bidi="fa-IR"/>
        </w:rPr>
        <w:t>فق مع تغي</w:t>
      </w:r>
      <w:r w:rsidR="00D46B6F" w:rsidRPr="00904FCB">
        <w:rPr>
          <w:rFonts w:ascii="Tahoma" w:hAnsi="Tahoma" w:hint="cs"/>
          <w:sz w:val="27"/>
          <w:rtl/>
          <w:lang w:bidi="fa-IR"/>
        </w:rPr>
        <w:t>ُّ</w:t>
      </w:r>
      <w:r w:rsidRPr="00904FCB">
        <w:rPr>
          <w:rFonts w:ascii="Tahoma" w:hAnsi="Tahoma"/>
          <w:sz w:val="27"/>
          <w:rtl/>
          <w:lang w:bidi="fa-IR"/>
        </w:rPr>
        <w:t xml:space="preserve">ر الظروف والأحوال. </w:t>
      </w:r>
    </w:p>
    <w:p w:rsidR="00644408"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وفي اختلاف منهج استخراج المصالح بين الجانبين ـ الفقه الإسلامي وباوند ـ نجد تفو</w:t>
      </w:r>
      <w:r w:rsidR="0022328B" w:rsidRPr="00904FCB">
        <w:rPr>
          <w:rFonts w:ascii="Tahoma" w:hAnsi="Tahoma" w:hint="cs"/>
          <w:sz w:val="27"/>
          <w:rtl/>
          <w:lang w:bidi="fa-IR"/>
        </w:rPr>
        <w:t>ُّ</w:t>
      </w:r>
      <w:r w:rsidRPr="00904FCB">
        <w:rPr>
          <w:rFonts w:ascii="Tahoma" w:hAnsi="Tahoma"/>
          <w:sz w:val="27"/>
          <w:rtl/>
          <w:lang w:bidi="fa-IR"/>
        </w:rPr>
        <w:t>ق منهج الشريعة الإسلامية</w:t>
      </w:r>
      <w:r w:rsidR="0022328B" w:rsidRPr="00904FCB">
        <w:rPr>
          <w:rFonts w:ascii="Tahoma" w:hAnsi="Tahoma" w:hint="cs"/>
          <w:sz w:val="27"/>
          <w:rtl/>
          <w:lang w:bidi="fa-IR"/>
        </w:rPr>
        <w:t>،</w:t>
      </w:r>
      <w:r w:rsidRPr="00904FCB">
        <w:rPr>
          <w:rFonts w:ascii="Tahoma" w:hAnsi="Tahoma"/>
          <w:sz w:val="27"/>
          <w:rtl/>
          <w:lang w:bidi="fa-IR"/>
        </w:rPr>
        <w:t xml:space="preserve"> الذي التزم بوضع مجموعة من الق</w:t>
      </w:r>
      <w:r w:rsidR="0022328B" w:rsidRPr="00904FCB">
        <w:rPr>
          <w:rFonts w:ascii="Tahoma" w:hAnsi="Tahoma" w:hint="cs"/>
          <w:sz w:val="27"/>
          <w:rtl/>
          <w:lang w:bidi="fa-IR"/>
        </w:rPr>
        <w:t>ِ</w:t>
      </w:r>
      <w:r w:rsidRPr="00904FCB">
        <w:rPr>
          <w:rFonts w:ascii="Tahoma" w:hAnsi="Tahoma"/>
          <w:sz w:val="27"/>
          <w:rtl/>
          <w:lang w:bidi="fa-IR"/>
        </w:rPr>
        <w:t>ي</w:t>
      </w:r>
      <w:r w:rsidR="0022328B" w:rsidRPr="00904FCB">
        <w:rPr>
          <w:rFonts w:ascii="Tahoma" w:hAnsi="Tahoma" w:hint="cs"/>
          <w:sz w:val="27"/>
          <w:rtl/>
          <w:lang w:bidi="fa-IR"/>
        </w:rPr>
        <w:t>َ</w:t>
      </w:r>
      <w:r w:rsidRPr="00904FCB">
        <w:rPr>
          <w:rFonts w:ascii="Tahoma" w:hAnsi="Tahoma"/>
          <w:sz w:val="27"/>
          <w:rtl/>
          <w:lang w:bidi="fa-IR"/>
        </w:rPr>
        <w:t>م والمصالح والكل</w:t>
      </w:r>
      <w:r w:rsidR="0022328B" w:rsidRPr="00904FCB">
        <w:rPr>
          <w:rFonts w:ascii="Tahoma" w:hAnsi="Tahoma" w:hint="cs"/>
          <w:sz w:val="27"/>
          <w:rtl/>
          <w:lang w:bidi="fa-IR"/>
        </w:rPr>
        <w:t>ّ</w:t>
      </w:r>
      <w:r w:rsidRPr="00904FCB">
        <w:rPr>
          <w:rFonts w:ascii="Tahoma" w:hAnsi="Tahoma"/>
          <w:sz w:val="27"/>
          <w:rtl/>
          <w:lang w:bidi="fa-IR"/>
        </w:rPr>
        <w:t>يات</w:t>
      </w:r>
      <w:r w:rsidR="0022328B" w:rsidRPr="00904FCB">
        <w:rPr>
          <w:rFonts w:ascii="Tahoma" w:hAnsi="Tahoma" w:hint="cs"/>
          <w:sz w:val="27"/>
          <w:rtl/>
          <w:lang w:bidi="fa-IR"/>
        </w:rPr>
        <w:t>،</w:t>
      </w:r>
      <w:r w:rsidRPr="00904FCB">
        <w:rPr>
          <w:rFonts w:ascii="Tahoma" w:hAnsi="Tahoma"/>
          <w:sz w:val="27"/>
          <w:rtl/>
          <w:lang w:bidi="fa-IR"/>
        </w:rPr>
        <w:t xml:space="preserve"> ووض</w:t>
      </w:r>
      <w:r w:rsidR="0022328B" w:rsidRPr="00904FCB">
        <w:rPr>
          <w:rFonts w:ascii="Tahoma" w:hAnsi="Tahoma" w:hint="cs"/>
          <w:sz w:val="27"/>
          <w:rtl/>
          <w:lang w:bidi="fa-IR"/>
        </w:rPr>
        <w:t>َّ</w:t>
      </w:r>
      <w:r w:rsidRPr="00904FCB">
        <w:rPr>
          <w:rFonts w:ascii="Tahoma" w:hAnsi="Tahoma"/>
          <w:sz w:val="27"/>
          <w:rtl/>
          <w:lang w:bidi="fa-IR"/>
        </w:rPr>
        <w:t>ح أهم</w:t>
      </w:r>
      <w:r w:rsidR="0022328B" w:rsidRPr="00904FCB">
        <w:rPr>
          <w:rFonts w:ascii="Tahoma" w:hAnsi="Tahoma" w:hint="cs"/>
          <w:sz w:val="27"/>
          <w:rtl/>
          <w:lang w:bidi="fa-IR"/>
        </w:rPr>
        <w:t>ّ</w:t>
      </w:r>
      <w:r w:rsidRPr="00904FCB">
        <w:rPr>
          <w:rFonts w:ascii="Tahoma" w:hAnsi="Tahoma"/>
          <w:sz w:val="27"/>
          <w:rtl/>
          <w:lang w:bidi="fa-IR"/>
        </w:rPr>
        <w:t>يتها، وعل</w:t>
      </w:r>
      <w:r w:rsidR="0022328B" w:rsidRPr="00904FCB">
        <w:rPr>
          <w:rFonts w:ascii="Tahoma" w:hAnsi="Tahoma" w:hint="cs"/>
          <w:sz w:val="27"/>
          <w:rtl/>
          <w:lang w:bidi="fa-IR"/>
        </w:rPr>
        <w:t>ّ</w:t>
      </w:r>
      <w:r w:rsidRPr="00904FCB">
        <w:rPr>
          <w:rFonts w:ascii="Tahoma" w:hAnsi="Tahoma"/>
          <w:sz w:val="27"/>
          <w:rtl/>
          <w:lang w:bidi="fa-IR"/>
        </w:rPr>
        <w:t>ة حكمها، ثم</w:t>
      </w:r>
      <w:r w:rsidR="0022328B" w:rsidRPr="00904FCB">
        <w:rPr>
          <w:rFonts w:ascii="Tahoma" w:hAnsi="Tahoma" w:hint="cs"/>
          <w:sz w:val="27"/>
          <w:rtl/>
          <w:lang w:bidi="fa-IR"/>
        </w:rPr>
        <w:t>ّ</w:t>
      </w:r>
      <w:r w:rsidRPr="00904FCB">
        <w:rPr>
          <w:rFonts w:ascii="Tahoma" w:hAnsi="Tahoma"/>
          <w:sz w:val="27"/>
          <w:rtl/>
          <w:lang w:bidi="fa-IR"/>
        </w:rPr>
        <w:t xml:space="preserve"> ترك للعلماء تطوير تطبيقها ت</w:t>
      </w:r>
      <w:r w:rsidR="0022328B" w:rsidRPr="00904FCB">
        <w:rPr>
          <w:rFonts w:ascii="Tahoma" w:hAnsi="Tahoma" w:hint="cs"/>
          <w:sz w:val="27"/>
          <w:rtl/>
          <w:lang w:bidi="fa-IR"/>
        </w:rPr>
        <w:t>َ</w:t>
      </w:r>
      <w:r w:rsidRPr="00904FCB">
        <w:rPr>
          <w:rFonts w:ascii="Tahoma" w:hAnsi="Tahoma"/>
          <w:sz w:val="27"/>
          <w:rtl/>
          <w:lang w:bidi="fa-IR"/>
        </w:rPr>
        <w:t>ب</w:t>
      </w:r>
      <w:r w:rsidR="0022328B" w:rsidRPr="00904FCB">
        <w:rPr>
          <w:rFonts w:ascii="Tahoma" w:hAnsi="Tahoma" w:hint="cs"/>
          <w:sz w:val="27"/>
          <w:rtl/>
          <w:lang w:bidi="fa-IR"/>
        </w:rPr>
        <w:t>َ</w:t>
      </w:r>
      <w:r w:rsidRPr="00904FCB">
        <w:rPr>
          <w:rFonts w:ascii="Tahoma" w:hAnsi="Tahoma"/>
          <w:sz w:val="27"/>
          <w:rtl/>
          <w:lang w:bidi="fa-IR"/>
        </w:rPr>
        <w:t>عاً لتغير الجزئيات. في حين التزم باوند بالواقع الح</w:t>
      </w:r>
      <w:r w:rsidR="0022328B" w:rsidRPr="00904FCB">
        <w:rPr>
          <w:rFonts w:ascii="Tahoma" w:hAnsi="Tahoma" w:hint="cs"/>
          <w:sz w:val="27"/>
          <w:rtl/>
          <w:lang w:bidi="fa-IR"/>
        </w:rPr>
        <w:t>ِ</w:t>
      </w:r>
      <w:r w:rsidRPr="00904FCB">
        <w:rPr>
          <w:rFonts w:ascii="Tahoma" w:hAnsi="Tahoma"/>
          <w:sz w:val="27"/>
          <w:rtl/>
          <w:lang w:bidi="fa-IR"/>
        </w:rPr>
        <w:t>س</w:t>
      </w:r>
      <w:r w:rsidR="0022328B" w:rsidRPr="00904FCB">
        <w:rPr>
          <w:rFonts w:ascii="Tahoma" w:hAnsi="Tahoma" w:hint="cs"/>
          <w:sz w:val="27"/>
          <w:rtl/>
          <w:lang w:bidi="fa-IR"/>
        </w:rPr>
        <w:t>ّ</w:t>
      </w:r>
      <w:r w:rsidRPr="00904FCB">
        <w:rPr>
          <w:rFonts w:ascii="Tahoma" w:hAnsi="Tahoma"/>
          <w:sz w:val="27"/>
          <w:rtl/>
          <w:lang w:bidi="fa-IR"/>
        </w:rPr>
        <w:t>ي والمصالح الجزئية، التي قد تسب</w:t>
      </w:r>
      <w:r w:rsidR="0022328B" w:rsidRPr="00904FCB">
        <w:rPr>
          <w:rFonts w:ascii="Tahoma" w:hAnsi="Tahoma" w:hint="cs"/>
          <w:sz w:val="27"/>
          <w:rtl/>
          <w:lang w:bidi="fa-IR"/>
        </w:rPr>
        <w:t>ِّ</w:t>
      </w:r>
      <w:r w:rsidRPr="00904FCB">
        <w:rPr>
          <w:rFonts w:ascii="Tahoma" w:hAnsi="Tahoma"/>
          <w:sz w:val="27"/>
          <w:rtl/>
          <w:lang w:bidi="fa-IR"/>
        </w:rPr>
        <w:t xml:space="preserve">ب تنازعاً كبيراً.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rFonts w:hint="cs"/>
          <w:color w:val="auto"/>
          <w:rtl/>
          <w:lang w:bidi="fa-IR"/>
        </w:rPr>
        <w:t xml:space="preserve">ج ـ </w:t>
      </w:r>
      <w:r w:rsidRPr="00904FCB">
        <w:rPr>
          <w:color w:val="auto"/>
          <w:rtl/>
          <w:lang w:bidi="fa-IR"/>
        </w:rPr>
        <w:t xml:space="preserve">تصنيف المصالح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وضع الفقه الإسلامي تقسيمات متعد</w:t>
      </w:r>
      <w:r w:rsidR="0022328B" w:rsidRPr="00904FCB">
        <w:rPr>
          <w:rFonts w:ascii="Tahoma" w:hAnsi="Tahoma" w:hint="cs"/>
          <w:sz w:val="27"/>
          <w:rtl/>
          <w:lang w:bidi="fa-IR"/>
        </w:rPr>
        <w:t>ِّ</w:t>
      </w:r>
      <w:r w:rsidRPr="00904FCB">
        <w:rPr>
          <w:rFonts w:ascii="Tahoma" w:hAnsi="Tahoma"/>
          <w:sz w:val="27"/>
          <w:rtl/>
          <w:lang w:bidi="fa-IR"/>
        </w:rPr>
        <w:t>دة للمصلحة، منها</w:t>
      </w:r>
      <w:r w:rsidR="0022328B" w:rsidRPr="00904FCB">
        <w:rPr>
          <w:rFonts w:ascii="Tahoma" w:hAnsi="Tahoma" w:hint="cs"/>
          <w:sz w:val="27"/>
          <w:rtl/>
          <w:lang w:bidi="fa-IR"/>
        </w:rPr>
        <w:t>:</w:t>
      </w:r>
      <w:r w:rsidRPr="00904FCB">
        <w:rPr>
          <w:rFonts w:ascii="Tahoma" w:hAnsi="Tahoma"/>
          <w:sz w:val="27"/>
          <w:rtl/>
          <w:lang w:bidi="fa-IR"/>
        </w:rPr>
        <w:t xml:space="preserve"> تقسيم بحسب شهادة الشرع لها</w:t>
      </w:r>
      <w:r w:rsidR="0022328B" w:rsidRPr="00904FCB">
        <w:rPr>
          <w:rFonts w:ascii="Tahoma" w:hAnsi="Tahoma" w:hint="cs"/>
          <w:sz w:val="27"/>
          <w:rtl/>
          <w:lang w:bidi="fa-IR"/>
        </w:rPr>
        <w:t>؛</w:t>
      </w:r>
      <w:r w:rsidRPr="00904FCB">
        <w:rPr>
          <w:rFonts w:ascii="Tahoma" w:hAnsi="Tahoma"/>
          <w:sz w:val="27"/>
          <w:rtl/>
          <w:lang w:bidi="fa-IR"/>
        </w:rPr>
        <w:t xml:space="preserve"> أو بحسب قوتها، أو بالنظر إلى مدى شمولها وعمقها</w:t>
      </w:r>
      <w:r w:rsidR="0022328B" w:rsidRPr="00904FCB">
        <w:rPr>
          <w:rFonts w:ascii="Tahoma" w:hAnsi="Tahoma" w:hint="cs"/>
          <w:sz w:val="27"/>
          <w:rtl/>
          <w:lang w:bidi="fa-IR"/>
        </w:rPr>
        <w:t>؛</w:t>
      </w:r>
      <w:r w:rsidRPr="00904FCB">
        <w:rPr>
          <w:rFonts w:ascii="Tahoma" w:hAnsi="Tahoma"/>
          <w:sz w:val="27"/>
          <w:rtl/>
          <w:lang w:bidi="fa-IR"/>
        </w:rPr>
        <w:t xml:space="preserve"> وغيرها من تقسيمات. ونختار من هذه التقسيمات تقسيمها إلى قسمين: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القسم الأول</w:t>
      </w:r>
      <w:r w:rsidR="0022328B" w:rsidRPr="00904FCB">
        <w:rPr>
          <w:rFonts w:ascii="Tahoma" w:hAnsi="Tahoma" w:hint="cs"/>
          <w:sz w:val="27"/>
          <w:rtl/>
          <w:lang w:bidi="fa-IR"/>
        </w:rPr>
        <w:t>،</w:t>
      </w:r>
      <w:r w:rsidRPr="00904FCB">
        <w:rPr>
          <w:rFonts w:ascii="Tahoma" w:hAnsi="Tahoma"/>
          <w:sz w:val="27"/>
          <w:rtl/>
          <w:lang w:bidi="fa-IR"/>
        </w:rPr>
        <w:t xml:space="preserve"> </w:t>
      </w:r>
      <w:r w:rsidR="0022328B" w:rsidRPr="00904FCB">
        <w:rPr>
          <w:rFonts w:ascii="Tahoma" w:hAnsi="Tahoma" w:hint="cs"/>
          <w:sz w:val="27"/>
          <w:rtl/>
          <w:lang w:bidi="fa-IR"/>
        </w:rPr>
        <w:t>وهو الم</w:t>
      </w:r>
      <w:r w:rsidRPr="00904FCB">
        <w:rPr>
          <w:rFonts w:ascii="Tahoma" w:hAnsi="Tahoma"/>
          <w:sz w:val="27"/>
          <w:rtl/>
          <w:lang w:bidi="fa-IR"/>
        </w:rPr>
        <w:t>رتبط بمقاصد الشريعة الإسلامية</w:t>
      </w:r>
      <w:r w:rsidR="0022328B" w:rsidRPr="00904FCB">
        <w:rPr>
          <w:rFonts w:ascii="Tahoma" w:hAnsi="Tahoma" w:hint="cs"/>
          <w:sz w:val="27"/>
          <w:rtl/>
          <w:lang w:bidi="fa-IR"/>
        </w:rPr>
        <w:t>،</w:t>
      </w:r>
      <w:r w:rsidRPr="00904FCB">
        <w:rPr>
          <w:rFonts w:ascii="Tahoma" w:hAnsi="Tahoma"/>
          <w:sz w:val="27"/>
          <w:rtl/>
          <w:lang w:bidi="fa-IR"/>
        </w:rPr>
        <w:t xml:space="preserve"> ويحوي التقسيمات التالية: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أو</w:t>
      </w:r>
      <w:r w:rsidR="0022328B" w:rsidRPr="00904FCB">
        <w:rPr>
          <w:rFonts w:ascii="Tahoma" w:hAnsi="Tahoma" w:hint="cs"/>
          <w:b/>
          <w:bCs/>
          <w:sz w:val="27"/>
          <w:rtl/>
          <w:lang w:bidi="fa-IR"/>
        </w:rPr>
        <w:t>ّ</w:t>
      </w:r>
      <w:r w:rsidRPr="00904FCB">
        <w:rPr>
          <w:rFonts w:ascii="Tahoma" w:hAnsi="Tahoma"/>
          <w:b/>
          <w:bCs/>
          <w:sz w:val="27"/>
          <w:rtl/>
          <w:lang w:bidi="fa-IR"/>
        </w:rPr>
        <w:t>لاً</w:t>
      </w:r>
      <w:r w:rsidRPr="00904FCB">
        <w:rPr>
          <w:rFonts w:ascii="Tahoma" w:hAnsi="Tahoma"/>
          <w:sz w:val="27"/>
          <w:rtl/>
          <w:lang w:bidi="fa-IR"/>
        </w:rPr>
        <w:t xml:space="preserve">: المصلحة المعتبرة والملغاة والمرسلة.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ثانياً</w:t>
      </w:r>
      <w:r w:rsidRPr="00904FCB">
        <w:rPr>
          <w:rFonts w:ascii="Tahoma" w:hAnsi="Tahoma"/>
          <w:sz w:val="27"/>
          <w:rtl/>
          <w:lang w:bidi="fa-IR"/>
        </w:rPr>
        <w:t>: الفرض والمندوب والمباح والمكروه والمحرّ</w:t>
      </w:r>
      <w:r w:rsidR="0022328B" w:rsidRPr="00904FCB">
        <w:rPr>
          <w:rFonts w:ascii="Tahoma" w:hAnsi="Tahoma" w:hint="cs"/>
          <w:sz w:val="27"/>
          <w:rtl/>
          <w:lang w:bidi="fa-IR"/>
        </w:rPr>
        <w:t>َ</w:t>
      </w:r>
      <w:r w:rsidRPr="00904FCB">
        <w:rPr>
          <w:rFonts w:ascii="Tahoma" w:hAnsi="Tahoma"/>
          <w:sz w:val="27"/>
          <w:rtl/>
          <w:lang w:bidi="fa-IR"/>
        </w:rPr>
        <w:t xml:space="preserve">م.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ثالثاً</w:t>
      </w:r>
      <w:r w:rsidRPr="00904FCB">
        <w:rPr>
          <w:rFonts w:ascii="Tahoma" w:hAnsi="Tahoma"/>
          <w:sz w:val="27"/>
          <w:rtl/>
          <w:lang w:bidi="fa-IR"/>
        </w:rPr>
        <w:t xml:space="preserve">: الضرويات والحاجيات والتحسينات.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رابعاً</w:t>
      </w:r>
      <w:r w:rsidRPr="00904FCB">
        <w:rPr>
          <w:rFonts w:ascii="Tahoma" w:hAnsi="Tahoma"/>
          <w:sz w:val="27"/>
          <w:rtl/>
          <w:lang w:bidi="fa-IR"/>
        </w:rPr>
        <w:t xml:space="preserve">: مصلحة حفظ الدين والنفس والعقل والنسل والمال.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أما القسم الثاني</w:t>
      </w:r>
      <w:r w:rsidRPr="00904FCB">
        <w:rPr>
          <w:rFonts w:ascii="Tahoma" w:hAnsi="Tahoma"/>
          <w:sz w:val="27"/>
          <w:rtl/>
          <w:lang w:bidi="fa-IR"/>
        </w:rPr>
        <w:t xml:space="preserve"> فهو بناء</w:t>
      </w:r>
      <w:r w:rsidR="0022328B" w:rsidRPr="00904FCB">
        <w:rPr>
          <w:rFonts w:ascii="Tahoma" w:hAnsi="Tahoma" w:hint="cs"/>
          <w:sz w:val="27"/>
          <w:rtl/>
          <w:lang w:bidi="fa-IR"/>
        </w:rPr>
        <w:t>ً</w:t>
      </w:r>
      <w:r w:rsidRPr="00904FCB">
        <w:rPr>
          <w:rFonts w:ascii="Tahoma" w:hAnsi="Tahoma"/>
          <w:sz w:val="27"/>
          <w:rtl/>
          <w:lang w:bidi="fa-IR"/>
        </w:rPr>
        <w:t xml:space="preserve"> على الاعتبارات الأخرى المختلفة لتقسيم المصالح</w:t>
      </w:r>
      <w:r w:rsidR="0022328B" w:rsidRPr="00904FCB">
        <w:rPr>
          <w:rFonts w:ascii="Tahoma" w:hAnsi="Tahoma" w:hint="cs"/>
          <w:sz w:val="27"/>
          <w:rtl/>
          <w:lang w:bidi="fa-IR"/>
        </w:rPr>
        <w:t>،</w:t>
      </w:r>
      <w:r w:rsidRPr="00904FCB">
        <w:rPr>
          <w:rFonts w:ascii="Tahoma" w:hAnsi="Tahoma"/>
          <w:sz w:val="27"/>
          <w:rtl/>
          <w:lang w:bidi="fa-IR"/>
        </w:rPr>
        <w:t xml:space="preserve"> </w:t>
      </w:r>
      <w:r w:rsidRPr="00904FCB">
        <w:rPr>
          <w:rFonts w:ascii="Tahoma" w:hAnsi="Tahoma"/>
          <w:sz w:val="27"/>
          <w:rtl/>
          <w:lang w:bidi="fa-IR"/>
        </w:rPr>
        <w:lastRenderedPageBreak/>
        <w:t xml:space="preserve">ويحوي: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أو</w:t>
      </w:r>
      <w:r w:rsidR="0022328B" w:rsidRPr="00904FCB">
        <w:rPr>
          <w:rFonts w:ascii="Tahoma" w:hAnsi="Tahoma" w:hint="cs"/>
          <w:b/>
          <w:bCs/>
          <w:sz w:val="27"/>
          <w:rtl/>
          <w:lang w:bidi="fa-IR"/>
        </w:rPr>
        <w:t>ّ</w:t>
      </w:r>
      <w:r w:rsidRPr="00904FCB">
        <w:rPr>
          <w:rFonts w:ascii="Tahoma" w:hAnsi="Tahoma"/>
          <w:b/>
          <w:bCs/>
          <w:sz w:val="27"/>
          <w:rtl/>
          <w:lang w:bidi="fa-IR"/>
        </w:rPr>
        <w:t>لاً</w:t>
      </w:r>
      <w:r w:rsidRPr="00904FCB">
        <w:rPr>
          <w:rFonts w:ascii="Tahoma" w:hAnsi="Tahoma"/>
          <w:sz w:val="27"/>
          <w:rtl/>
          <w:lang w:bidi="fa-IR"/>
        </w:rPr>
        <w:t>: المصلحة القطعية والظن</w:t>
      </w:r>
      <w:r w:rsidR="0022328B" w:rsidRPr="00904FCB">
        <w:rPr>
          <w:rFonts w:ascii="Tahoma" w:hAnsi="Tahoma" w:hint="cs"/>
          <w:sz w:val="27"/>
          <w:rtl/>
          <w:lang w:bidi="fa-IR"/>
        </w:rPr>
        <w:t>ّ</w:t>
      </w:r>
      <w:r w:rsidRPr="00904FCB">
        <w:rPr>
          <w:rFonts w:ascii="Tahoma" w:hAnsi="Tahoma"/>
          <w:sz w:val="27"/>
          <w:rtl/>
          <w:lang w:bidi="fa-IR"/>
        </w:rPr>
        <w:t>ية والمتوه</w:t>
      </w:r>
      <w:r w:rsidR="0022328B" w:rsidRPr="00904FCB">
        <w:rPr>
          <w:rFonts w:ascii="Tahoma" w:hAnsi="Tahoma" w:hint="cs"/>
          <w:sz w:val="27"/>
          <w:rtl/>
          <w:lang w:bidi="fa-IR"/>
        </w:rPr>
        <w:t>َّ</w:t>
      </w:r>
      <w:r w:rsidRPr="00904FCB">
        <w:rPr>
          <w:rFonts w:ascii="Tahoma" w:hAnsi="Tahoma"/>
          <w:sz w:val="27"/>
          <w:rtl/>
          <w:lang w:bidi="fa-IR"/>
        </w:rPr>
        <w:t xml:space="preserve">مة.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ثانياً</w:t>
      </w:r>
      <w:r w:rsidRPr="00904FCB">
        <w:rPr>
          <w:rFonts w:ascii="Tahoma" w:hAnsi="Tahoma"/>
          <w:sz w:val="27"/>
          <w:rtl/>
          <w:lang w:bidi="fa-IR"/>
        </w:rPr>
        <w:t>: المصلحة المضي</w:t>
      </w:r>
      <w:r w:rsidR="0022328B" w:rsidRPr="00904FCB">
        <w:rPr>
          <w:rFonts w:ascii="Tahoma" w:hAnsi="Tahoma" w:hint="cs"/>
          <w:sz w:val="27"/>
          <w:rtl/>
          <w:lang w:bidi="fa-IR"/>
        </w:rPr>
        <w:t>َّ</w:t>
      </w:r>
      <w:r w:rsidRPr="00904FCB">
        <w:rPr>
          <w:rFonts w:ascii="Tahoma" w:hAnsi="Tahoma"/>
          <w:sz w:val="27"/>
          <w:rtl/>
          <w:lang w:bidi="fa-IR"/>
        </w:rPr>
        <w:t>قة والموس</w:t>
      </w:r>
      <w:r w:rsidR="0022328B" w:rsidRPr="00904FCB">
        <w:rPr>
          <w:rFonts w:ascii="Tahoma" w:hAnsi="Tahoma" w:hint="cs"/>
          <w:sz w:val="27"/>
          <w:rtl/>
          <w:lang w:bidi="fa-IR"/>
        </w:rPr>
        <w:t>َّ</w:t>
      </w:r>
      <w:r w:rsidRPr="00904FCB">
        <w:rPr>
          <w:rFonts w:ascii="Tahoma" w:hAnsi="Tahoma"/>
          <w:sz w:val="27"/>
          <w:rtl/>
          <w:lang w:bidi="fa-IR"/>
        </w:rPr>
        <w:t xml:space="preserve">عة.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ثالثاً</w:t>
      </w:r>
      <w:r w:rsidRPr="00904FCB">
        <w:rPr>
          <w:rFonts w:ascii="Tahoma" w:hAnsi="Tahoma"/>
          <w:sz w:val="27"/>
          <w:rtl/>
          <w:lang w:bidi="fa-IR"/>
        </w:rPr>
        <w:t>: المصلحة العام</w:t>
      </w:r>
      <w:r w:rsidR="0022328B" w:rsidRPr="00904FCB">
        <w:rPr>
          <w:rFonts w:ascii="Tahoma" w:hAnsi="Tahoma" w:hint="cs"/>
          <w:sz w:val="27"/>
          <w:rtl/>
          <w:lang w:bidi="fa-IR"/>
        </w:rPr>
        <w:t>ّ</w:t>
      </w:r>
      <w:r w:rsidRPr="00904FCB">
        <w:rPr>
          <w:rFonts w:ascii="Tahoma" w:hAnsi="Tahoma"/>
          <w:sz w:val="27"/>
          <w:rtl/>
          <w:lang w:bidi="fa-IR"/>
        </w:rPr>
        <w:t>ة والخاص</w:t>
      </w:r>
      <w:r w:rsidR="0022328B" w:rsidRPr="00904FCB">
        <w:rPr>
          <w:rFonts w:ascii="Tahoma" w:hAnsi="Tahoma" w:hint="cs"/>
          <w:sz w:val="27"/>
          <w:rtl/>
          <w:lang w:bidi="fa-IR"/>
        </w:rPr>
        <w:t>ّ</w:t>
      </w:r>
      <w:r w:rsidRPr="00904FCB">
        <w:rPr>
          <w:rFonts w:ascii="Tahoma" w:hAnsi="Tahoma"/>
          <w:sz w:val="27"/>
          <w:rtl/>
          <w:lang w:bidi="fa-IR"/>
        </w:rPr>
        <w:t xml:space="preserve">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رابعاً</w:t>
      </w:r>
      <w:r w:rsidRPr="00904FCB">
        <w:rPr>
          <w:rFonts w:ascii="Tahoma" w:hAnsi="Tahoma"/>
          <w:sz w:val="27"/>
          <w:rtl/>
          <w:lang w:bidi="fa-IR"/>
        </w:rPr>
        <w:t xml:space="preserve">: المصلحة الدائمة والمنقطعة.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خامساً</w:t>
      </w:r>
      <w:r w:rsidRPr="00904FCB">
        <w:rPr>
          <w:rFonts w:ascii="Tahoma" w:hAnsi="Tahoma"/>
          <w:sz w:val="27"/>
          <w:rtl/>
          <w:lang w:bidi="fa-IR"/>
        </w:rPr>
        <w:t>: مصلحة جلب المنفعة ود</w:t>
      </w:r>
      <w:r w:rsidR="0022328B" w:rsidRPr="00904FCB">
        <w:rPr>
          <w:rFonts w:ascii="Tahoma" w:hAnsi="Tahoma" w:hint="cs"/>
          <w:sz w:val="27"/>
          <w:rtl/>
          <w:lang w:bidi="fa-IR"/>
        </w:rPr>
        <w:t>َ</w:t>
      </w:r>
      <w:r w:rsidRPr="00904FCB">
        <w:rPr>
          <w:rFonts w:ascii="Tahoma" w:hAnsi="Tahoma"/>
          <w:sz w:val="27"/>
          <w:rtl/>
          <w:lang w:bidi="fa-IR"/>
        </w:rPr>
        <w:t>ر</w:t>
      </w:r>
      <w:r w:rsidR="0022328B" w:rsidRPr="00904FCB">
        <w:rPr>
          <w:rFonts w:ascii="Tahoma" w:hAnsi="Tahoma" w:hint="cs"/>
          <w:sz w:val="27"/>
          <w:rtl/>
          <w:lang w:bidi="fa-IR"/>
        </w:rPr>
        <w:t>ْ</w:t>
      </w:r>
      <w:r w:rsidRPr="00904FCB">
        <w:rPr>
          <w:rFonts w:ascii="Tahoma" w:hAnsi="Tahoma"/>
          <w:sz w:val="27"/>
          <w:rtl/>
          <w:lang w:bidi="fa-IR"/>
        </w:rPr>
        <w:t xml:space="preserve">ء المفسدة.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سادساً</w:t>
      </w:r>
      <w:r w:rsidRPr="00904FCB">
        <w:rPr>
          <w:rFonts w:ascii="Tahoma" w:hAnsi="Tahoma"/>
          <w:sz w:val="27"/>
          <w:rtl/>
          <w:lang w:bidi="fa-IR"/>
        </w:rPr>
        <w:t>: المصلحة المتعل</w:t>
      </w:r>
      <w:r w:rsidR="0022328B" w:rsidRPr="00904FCB">
        <w:rPr>
          <w:rFonts w:ascii="Tahoma" w:hAnsi="Tahoma" w:hint="cs"/>
          <w:sz w:val="27"/>
          <w:rtl/>
          <w:lang w:bidi="fa-IR"/>
        </w:rPr>
        <w:t>ِّ</w:t>
      </w:r>
      <w:r w:rsidRPr="00904FCB">
        <w:rPr>
          <w:rFonts w:ascii="Tahoma" w:hAnsi="Tahoma"/>
          <w:sz w:val="27"/>
          <w:rtl/>
          <w:lang w:bidi="fa-IR"/>
        </w:rPr>
        <w:t>قة بالذات والمتعل</w:t>
      </w:r>
      <w:r w:rsidR="0022328B" w:rsidRPr="00904FCB">
        <w:rPr>
          <w:rFonts w:ascii="Tahoma" w:hAnsi="Tahoma" w:hint="cs"/>
          <w:sz w:val="27"/>
          <w:rtl/>
          <w:lang w:bidi="fa-IR"/>
        </w:rPr>
        <w:t>ِّ</w:t>
      </w:r>
      <w:r w:rsidRPr="00904FCB">
        <w:rPr>
          <w:rFonts w:ascii="Tahoma" w:hAnsi="Tahoma"/>
          <w:sz w:val="27"/>
          <w:rtl/>
          <w:lang w:bidi="fa-IR"/>
        </w:rPr>
        <w:t xml:space="preserve">قة بالغير.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سابعاً</w:t>
      </w:r>
      <w:r w:rsidRPr="00904FCB">
        <w:rPr>
          <w:rFonts w:ascii="Tahoma" w:hAnsi="Tahoma"/>
          <w:sz w:val="27"/>
          <w:rtl/>
          <w:lang w:bidi="fa-IR"/>
        </w:rPr>
        <w:t>: مصلحة العزيمة والر</w:t>
      </w:r>
      <w:r w:rsidR="0022328B" w:rsidRPr="00904FCB">
        <w:rPr>
          <w:rFonts w:ascii="Tahoma" w:hAnsi="Tahoma" w:hint="cs"/>
          <w:sz w:val="27"/>
          <w:rtl/>
          <w:lang w:bidi="fa-IR"/>
        </w:rPr>
        <w:t>ُّ</w:t>
      </w:r>
      <w:r w:rsidRPr="00904FCB">
        <w:rPr>
          <w:rFonts w:ascii="Tahoma" w:hAnsi="Tahoma"/>
          <w:sz w:val="27"/>
          <w:rtl/>
          <w:lang w:bidi="fa-IR"/>
        </w:rPr>
        <w:t>خ</w:t>
      </w:r>
      <w:r w:rsidR="0022328B" w:rsidRPr="00904FCB">
        <w:rPr>
          <w:rFonts w:ascii="Tahoma" w:hAnsi="Tahoma" w:hint="cs"/>
          <w:sz w:val="27"/>
          <w:rtl/>
          <w:lang w:bidi="fa-IR"/>
        </w:rPr>
        <w:t>ْ</w:t>
      </w:r>
      <w:r w:rsidRPr="00904FCB">
        <w:rPr>
          <w:rFonts w:ascii="Tahoma" w:hAnsi="Tahoma"/>
          <w:sz w:val="27"/>
          <w:rtl/>
          <w:lang w:bidi="fa-IR"/>
        </w:rPr>
        <w:t xml:space="preserve">صة.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ثامناً</w:t>
      </w:r>
      <w:r w:rsidRPr="00904FCB">
        <w:rPr>
          <w:rFonts w:ascii="Tahoma" w:hAnsi="Tahoma"/>
          <w:sz w:val="27"/>
          <w:rtl/>
          <w:lang w:bidi="fa-IR"/>
        </w:rPr>
        <w:t>: المصلحة المت</w:t>
      </w:r>
      <w:r w:rsidR="0022328B" w:rsidRPr="00904FCB">
        <w:rPr>
          <w:rFonts w:ascii="Tahoma" w:hAnsi="Tahoma" w:hint="cs"/>
          <w:sz w:val="27"/>
          <w:rtl/>
          <w:lang w:bidi="fa-IR"/>
        </w:rPr>
        <w:t>َّ</w:t>
      </w:r>
      <w:r w:rsidRPr="00904FCB">
        <w:rPr>
          <w:rFonts w:ascii="Tahoma" w:hAnsi="Tahoma"/>
          <w:sz w:val="27"/>
          <w:rtl/>
          <w:lang w:bidi="fa-IR"/>
        </w:rPr>
        <w:t xml:space="preserve">فق عليها والمختلف فيها.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تاسعاً</w:t>
      </w:r>
      <w:r w:rsidRPr="00904FCB">
        <w:rPr>
          <w:rFonts w:ascii="Tahoma" w:hAnsi="Tahoma"/>
          <w:sz w:val="27"/>
          <w:rtl/>
          <w:lang w:bidi="fa-IR"/>
        </w:rPr>
        <w:t>: مصلحة حق</w:t>
      </w:r>
      <w:r w:rsidR="0022328B" w:rsidRPr="00904FCB">
        <w:rPr>
          <w:rFonts w:ascii="Tahoma" w:hAnsi="Tahoma" w:hint="cs"/>
          <w:sz w:val="27"/>
          <w:rtl/>
          <w:lang w:bidi="fa-IR"/>
        </w:rPr>
        <w:t>ّ</w:t>
      </w:r>
      <w:r w:rsidRPr="00904FCB">
        <w:rPr>
          <w:rFonts w:ascii="Tahoma" w:hAnsi="Tahoma"/>
          <w:sz w:val="27"/>
          <w:rtl/>
          <w:lang w:bidi="fa-IR"/>
        </w:rPr>
        <w:t xml:space="preserve"> الرب</w:t>
      </w:r>
      <w:r w:rsidR="0022328B" w:rsidRPr="00904FCB">
        <w:rPr>
          <w:rFonts w:ascii="Tahoma" w:hAnsi="Tahoma" w:hint="cs"/>
          <w:sz w:val="27"/>
          <w:rtl/>
          <w:lang w:bidi="fa-IR"/>
        </w:rPr>
        <w:t>ّ</w:t>
      </w:r>
      <w:r w:rsidRPr="00904FCB">
        <w:rPr>
          <w:rFonts w:ascii="Tahoma" w:hAnsi="Tahoma"/>
          <w:sz w:val="27"/>
          <w:rtl/>
          <w:lang w:bidi="fa-IR"/>
        </w:rPr>
        <w:t xml:space="preserve"> وحق</w:t>
      </w:r>
      <w:r w:rsidR="0022328B" w:rsidRPr="00904FCB">
        <w:rPr>
          <w:rFonts w:ascii="Tahoma" w:hAnsi="Tahoma" w:hint="cs"/>
          <w:sz w:val="27"/>
          <w:rtl/>
          <w:lang w:bidi="fa-IR"/>
        </w:rPr>
        <w:t>ّ</w:t>
      </w:r>
      <w:r w:rsidRPr="00904FCB">
        <w:rPr>
          <w:rFonts w:ascii="Tahoma" w:hAnsi="Tahoma"/>
          <w:sz w:val="27"/>
          <w:rtl/>
          <w:lang w:bidi="fa-IR"/>
        </w:rPr>
        <w:t xml:space="preserve"> العبد.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b/>
          <w:bCs/>
          <w:sz w:val="27"/>
          <w:rtl/>
          <w:lang w:bidi="fa-IR"/>
        </w:rPr>
        <w:t>عاشراً</w:t>
      </w:r>
      <w:r w:rsidRPr="00904FCB">
        <w:rPr>
          <w:rFonts w:ascii="Tahoma" w:hAnsi="Tahoma"/>
          <w:sz w:val="27"/>
          <w:rtl/>
          <w:lang w:bidi="fa-IR"/>
        </w:rPr>
        <w:t xml:space="preserve">: المصلحة الكبرى والصغرى. </w:t>
      </w:r>
    </w:p>
    <w:p w:rsidR="00A14E14"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أما عند «باوند» فلا يوجد إلاّ ثلاثة أقسام للمصلحة</w:t>
      </w:r>
      <w:r w:rsidR="00A14E14" w:rsidRPr="00904FCB">
        <w:rPr>
          <w:rFonts w:ascii="Tahoma" w:hAnsi="Tahoma"/>
          <w:sz w:val="27"/>
          <w:rtl/>
          <w:lang w:bidi="fa-IR"/>
        </w:rPr>
        <w:t>:</w:t>
      </w:r>
    </w:p>
    <w:p w:rsidR="00A14E14"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مصلحة فردية خاص</w:t>
      </w:r>
      <w:r w:rsidR="00A14E14" w:rsidRPr="00904FCB">
        <w:rPr>
          <w:rFonts w:ascii="Tahoma" w:hAnsi="Tahoma" w:hint="cs"/>
          <w:sz w:val="27"/>
          <w:rtl/>
          <w:lang w:bidi="fa-IR"/>
        </w:rPr>
        <w:t>ّ</w:t>
      </w:r>
      <w:r w:rsidRPr="00904FCB">
        <w:rPr>
          <w:rFonts w:ascii="Tahoma" w:hAnsi="Tahoma"/>
          <w:sz w:val="27"/>
          <w:rtl/>
          <w:lang w:bidi="fa-IR"/>
        </w:rPr>
        <w:t>ة</w:t>
      </w:r>
      <w:r w:rsidR="00A14E14" w:rsidRPr="00904FCB">
        <w:rPr>
          <w:rFonts w:ascii="Tahoma" w:hAnsi="Tahoma" w:hint="cs"/>
          <w:sz w:val="27"/>
          <w:rtl/>
          <w:lang w:bidi="fa-IR"/>
        </w:rPr>
        <w:t>،</w:t>
      </w:r>
      <w:r w:rsidRPr="00904FCB">
        <w:rPr>
          <w:rFonts w:ascii="Tahoma" w:hAnsi="Tahoma"/>
          <w:sz w:val="27"/>
          <w:rtl/>
          <w:lang w:bidi="fa-IR"/>
        </w:rPr>
        <w:t xml:space="preserve"> تتعلق بمطلب أو رغبة أو حاجة فردية</w:t>
      </w:r>
      <w:r w:rsidR="00A14E14" w:rsidRPr="00904FCB">
        <w:rPr>
          <w:rFonts w:ascii="Tahoma" w:hAnsi="Tahoma" w:hint="cs"/>
          <w:sz w:val="27"/>
          <w:rtl/>
          <w:lang w:bidi="fa-IR"/>
        </w:rPr>
        <w:t>.</w:t>
      </w:r>
    </w:p>
    <w:p w:rsidR="00A14E14" w:rsidRPr="00904FCB" w:rsidRDefault="00644408" w:rsidP="007A21AA">
      <w:pPr>
        <w:autoSpaceDE w:val="0"/>
        <w:autoSpaceDN w:val="0"/>
        <w:adjustRightInd w:val="0"/>
        <w:spacing w:line="400" w:lineRule="exact"/>
        <w:rPr>
          <w:rFonts w:ascii="Tahoma" w:hAnsi="Tahoma"/>
          <w:sz w:val="27"/>
          <w:rtl/>
          <w:lang w:bidi="fa-IR"/>
        </w:rPr>
      </w:pPr>
      <w:r w:rsidRPr="00904FCB">
        <w:rPr>
          <w:rFonts w:ascii="Tahoma" w:hAnsi="Tahoma"/>
          <w:sz w:val="27"/>
          <w:rtl/>
          <w:lang w:bidi="fa-IR"/>
        </w:rPr>
        <w:t>أو مصلحة اجتماعية</w:t>
      </w:r>
      <w:r w:rsidR="00A14E14" w:rsidRPr="00904FCB">
        <w:rPr>
          <w:rFonts w:ascii="Tahoma" w:hAnsi="Tahoma" w:hint="cs"/>
          <w:sz w:val="27"/>
          <w:rtl/>
          <w:lang w:bidi="fa-IR"/>
        </w:rPr>
        <w:t>،</w:t>
      </w:r>
      <w:r w:rsidRPr="00904FCB">
        <w:rPr>
          <w:rFonts w:ascii="Tahoma" w:hAnsi="Tahoma"/>
          <w:sz w:val="27"/>
          <w:rtl/>
          <w:lang w:bidi="fa-IR"/>
        </w:rPr>
        <w:t xml:space="preserve"> تعكس مطلب أو حاجة أو رغبة المجموعة الاجتماعية</w:t>
      </w:r>
      <w:r w:rsidR="00A14E14" w:rsidRPr="00904FCB">
        <w:rPr>
          <w:rFonts w:ascii="Tahoma" w:hAnsi="Tahoma" w:hint="cs"/>
          <w:sz w:val="27"/>
          <w:rtl/>
          <w:lang w:bidi="fa-IR"/>
        </w:rPr>
        <w:t>.</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أو مصلحة عام</w:t>
      </w:r>
      <w:r w:rsidR="00A14E14" w:rsidRPr="00904FCB">
        <w:rPr>
          <w:rFonts w:ascii="Tahoma" w:hAnsi="Tahoma" w:hint="cs"/>
          <w:sz w:val="27"/>
          <w:rtl/>
          <w:lang w:bidi="fa-IR"/>
        </w:rPr>
        <w:t>ّ</w:t>
      </w:r>
      <w:r w:rsidRPr="00904FCB">
        <w:rPr>
          <w:rFonts w:ascii="Tahoma" w:hAnsi="Tahoma"/>
          <w:sz w:val="27"/>
          <w:rtl/>
          <w:lang w:bidi="fa-IR"/>
        </w:rPr>
        <w:t xml:space="preserve">ة مرتبطة بالجماعة باعتبارها وحدة سياسية. </w:t>
      </w:r>
    </w:p>
    <w:p w:rsidR="00644408" w:rsidRPr="00904FCB" w:rsidRDefault="00644408" w:rsidP="007A21AA">
      <w:pPr>
        <w:autoSpaceDE w:val="0"/>
        <w:autoSpaceDN w:val="0"/>
        <w:adjustRightInd w:val="0"/>
        <w:spacing w:line="400" w:lineRule="exact"/>
        <w:rPr>
          <w:rFonts w:ascii="Tahoma" w:hAnsi="Tahoma"/>
          <w:sz w:val="27"/>
          <w:lang w:bidi="fa-IR"/>
        </w:rPr>
      </w:pPr>
      <w:r w:rsidRPr="00904FCB">
        <w:rPr>
          <w:rFonts w:ascii="Tahoma" w:hAnsi="Tahoma"/>
          <w:sz w:val="27"/>
          <w:rtl/>
          <w:lang w:bidi="fa-IR"/>
        </w:rPr>
        <w:t>ويت</w:t>
      </w:r>
      <w:r w:rsidR="00A14E14" w:rsidRPr="00904FCB">
        <w:rPr>
          <w:rFonts w:ascii="Tahoma" w:hAnsi="Tahoma" w:hint="cs"/>
          <w:sz w:val="27"/>
          <w:rtl/>
          <w:lang w:bidi="fa-IR"/>
        </w:rPr>
        <w:t>ّ</w:t>
      </w:r>
      <w:r w:rsidRPr="00904FCB">
        <w:rPr>
          <w:rFonts w:ascii="Tahoma" w:hAnsi="Tahoma"/>
          <w:sz w:val="27"/>
          <w:rtl/>
          <w:lang w:bidi="fa-IR"/>
        </w:rPr>
        <w:t>ضح من مقارنة تقسيمات المصلحة في كل</w:t>
      </w:r>
      <w:r w:rsidR="00A14E14" w:rsidRPr="00904FCB">
        <w:rPr>
          <w:rFonts w:ascii="Tahoma" w:hAnsi="Tahoma" w:hint="cs"/>
          <w:sz w:val="27"/>
          <w:rtl/>
          <w:lang w:bidi="fa-IR"/>
        </w:rPr>
        <w:t>ٍّ</w:t>
      </w:r>
      <w:r w:rsidRPr="00904FCB">
        <w:rPr>
          <w:rFonts w:ascii="Tahoma" w:hAnsi="Tahoma"/>
          <w:sz w:val="27"/>
          <w:rtl/>
          <w:lang w:bidi="fa-IR"/>
        </w:rPr>
        <w:t xml:space="preserve"> من الفقه الإسلامي و«روسكو باوند» ما يلي: </w:t>
      </w:r>
    </w:p>
    <w:p w:rsidR="00644408" w:rsidRPr="00904FCB" w:rsidRDefault="00644408"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1</w:t>
      </w:r>
      <w:r w:rsidRPr="00DB2AFA">
        <w:rPr>
          <w:rFonts w:ascii="Tahoma" w:hAnsi="Tahoma" w:hint="cs"/>
          <w:sz w:val="27"/>
          <w:rtl/>
          <w:lang w:bidi="fa-IR"/>
        </w:rPr>
        <w:t xml:space="preserve">ـ </w:t>
      </w:r>
      <w:r w:rsidR="00A14E14" w:rsidRPr="00DB2AFA">
        <w:rPr>
          <w:rFonts w:ascii="Tahoma" w:hAnsi="Tahoma" w:hint="cs"/>
          <w:sz w:val="27"/>
          <w:rtl/>
          <w:lang w:bidi="fa-IR"/>
        </w:rPr>
        <w:t>إ</w:t>
      </w:r>
      <w:r w:rsidRPr="00DB2AFA">
        <w:rPr>
          <w:rFonts w:ascii="Tahoma" w:hAnsi="Tahoma"/>
          <w:sz w:val="27"/>
          <w:rtl/>
          <w:lang w:bidi="fa-IR"/>
        </w:rPr>
        <w:t>ن تقسيم الفقه الإسلامي للمصلحة من حيث اعتبار الشارع لها إنّما يرجع إلى</w:t>
      </w:r>
      <w:r w:rsidRPr="00904FCB">
        <w:rPr>
          <w:rFonts w:ascii="Tahoma" w:hAnsi="Tahoma"/>
          <w:sz w:val="27"/>
          <w:rtl/>
          <w:lang w:bidi="fa-IR"/>
        </w:rPr>
        <w:t xml:space="preserve"> ما تصطبغ به الشريعة من صبغة</w:t>
      </w:r>
      <w:r w:rsidR="00A14E14" w:rsidRPr="00904FCB">
        <w:rPr>
          <w:rFonts w:ascii="Tahoma" w:hAnsi="Tahoma" w:hint="cs"/>
          <w:sz w:val="27"/>
          <w:rtl/>
          <w:lang w:bidi="fa-IR"/>
        </w:rPr>
        <w:t>ٍ</w:t>
      </w:r>
      <w:r w:rsidRPr="00904FCB">
        <w:rPr>
          <w:rFonts w:ascii="Tahoma" w:hAnsi="Tahoma"/>
          <w:sz w:val="27"/>
          <w:rtl/>
          <w:lang w:bidi="fa-IR"/>
        </w:rPr>
        <w:t xml:space="preserve"> دينية</w:t>
      </w:r>
      <w:r w:rsidR="00A14E14" w:rsidRPr="00904FCB">
        <w:rPr>
          <w:rFonts w:ascii="Tahoma" w:hAnsi="Tahoma" w:hint="cs"/>
          <w:sz w:val="27"/>
          <w:rtl/>
          <w:lang w:bidi="fa-IR"/>
        </w:rPr>
        <w:t>.</w:t>
      </w:r>
      <w:r w:rsidRPr="00904FCB">
        <w:rPr>
          <w:rFonts w:ascii="Tahoma" w:hAnsi="Tahoma"/>
          <w:sz w:val="27"/>
          <w:rtl/>
          <w:lang w:bidi="fa-IR"/>
        </w:rPr>
        <w:t xml:space="preserve"> والقيمة الحقيقية لهذا التقسيم إنّما تكمن في التحذير من الأخذ بالمصالح التي أبطلها الشرع</w:t>
      </w:r>
      <w:r w:rsidR="00A14E14" w:rsidRPr="00904FCB">
        <w:rPr>
          <w:rFonts w:ascii="Tahoma" w:hAnsi="Tahoma" w:hint="cs"/>
          <w:sz w:val="27"/>
          <w:rtl/>
          <w:lang w:bidi="fa-IR"/>
        </w:rPr>
        <w:t>؛</w:t>
      </w:r>
      <w:r w:rsidRPr="00904FCB">
        <w:rPr>
          <w:rFonts w:ascii="Tahoma" w:hAnsi="Tahoma"/>
          <w:sz w:val="27"/>
          <w:rtl/>
          <w:lang w:bidi="fa-IR"/>
        </w:rPr>
        <w:t xml:space="preserve"> استناداً إلى زيف</w:t>
      </w:r>
      <w:r w:rsidR="00A14E14" w:rsidRPr="00904FCB">
        <w:rPr>
          <w:rFonts w:ascii="Tahoma" w:hAnsi="Tahoma" w:hint="cs"/>
          <w:sz w:val="27"/>
          <w:rtl/>
          <w:lang w:bidi="fa-IR"/>
        </w:rPr>
        <w:t>ٍ</w:t>
      </w:r>
      <w:r w:rsidRPr="00904FCB">
        <w:rPr>
          <w:rFonts w:ascii="Tahoma" w:hAnsi="Tahoma"/>
          <w:sz w:val="27"/>
          <w:rtl/>
          <w:lang w:bidi="fa-IR"/>
        </w:rPr>
        <w:t xml:space="preserve"> ما قد يكون فيها</w:t>
      </w:r>
      <w:r w:rsidR="00A14E14" w:rsidRPr="00904FCB">
        <w:rPr>
          <w:rFonts w:ascii="Tahoma" w:hAnsi="Tahoma" w:hint="cs"/>
          <w:sz w:val="27"/>
          <w:rtl/>
          <w:lang w:bidi="fa-IR"/>
        </w:rPr>
        <w:t>،</w:t>
      </w:r>
      <w:r w:rsidRPr="00904FCB">
        <w:rPr>
          <w:rFonts w:ascii="Tahoma" w:hAnsi="Tahoma"/>
          <w:sz w:val="27"/>
          <w:rtl/>
          <w:lang w:bidi="fa-IR"/>
        </w:rPr>
        <w:t xml:space="preserve"> من منفعة</w:t>
      </w:r>
      <w:r w:rsidR="00A14E14" w:rsidRPr="00904FCB">
        <w:rPr>
          <w:rFonts w:ascii="Tahoma" w:hAnsi="Tahoma" w:hint="cs"/>
          <w:sz w:val="27"/>
          <w:rtl/>
          <w:lang w:bidi="fa-IR"/>
        </w:rPr>
        <w:t>ٍ</w:t>
      </w:r>
      <w:r w:rsidRPr="00904FCB">
        <w:rPr>
          <w:rFonts w:ascii="Tahoma" w:hAnsi="Tahoma"/>
          <w:sz w:val="27"/>
          <w:rtl/>
          <w:lang w:bidi="fa-IR"/>
        </w:rPr>
        <w:t xml:space="preserve"> ظاهرة أو غ</w:t>
      </w:r>
      <w:r w:rsidR="00A14E14" w:rsidRPr="00904FCB">
        <w:rPr>
          <w:rFonts w:ascii="Tahoma" w:hAnsi="Tahoma" w:hint="cs"/>
          <w:sz w:val="27"/>
          <w:rtl/>
          <w:lang w:bidi="fa-IR"/>
        </w:rPr>
        <w:t>َ</w:t>
      </w:r>
      <w:r w:rsidRPr="00904FCB">
        <w:rPr>
          <w:rFonts w:ascii="Tahoma" w:hAnsi="Tahoma"/>
          <w:sz w:val="27"/>
          <w:rtl/>
          <w:lang w:bidi="fa-IR"/>
        </w:rPr>
        <w:t>ل</w:t>
      </w:r>
      <w:r w:rsidR="00A14E14" w:rsidRPr="00904FCB">
        <w:rPr>
          <w:rFonts w:ascii="Tahoma" w:hAnsi="Tahoma" w:hint="cs"/>
          <w:sz w:val="27"/>
          <w:rtl/>
          <w:lang w:bidi="fa-IR"/>
        </w:rPr>
        <w:t>َ</w:t>
      </w:r>
      <w:r w:rsidRPr="00904FCB">
        <w:rPr>
          <w:rFonts w:ascii="Tahoma" w:hAnsi="Tahoma"/>
          <w:sz w:val="27"/>
          <w:rtl/>
          <w:lang w:bidi="fa-IR"/>
        </w:rPr>
        <w:t xml:space="preserve">بة المفسدة عليها. </w:t>
      </w:r>
    </w:p>
    <w:p w:rsidR="00644408" w:rsidRPr="00904FCB" w:rsidRDefault="00644408" w:rsidP="007A21AA">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2</w:t>
      </w:r>
      <w:r w:rsidRPr="00DB2AFA">
        <w:rPr>
          <w:rFonts w:ascii="Tahoma" w:hAnsi="Tahoma" w:hint="cs"/>
          <w:sz w:val="27"/>
          <w:rtl/>
          <w:lang w:bidi="fa-IR"/>
        </w:rPr>
        <w:t xml:space="preserve">ـ </w:t>
      </w:r>
      <w:r w:rsidR="00A14E14" w:rsidRPr="00DB2AFA">
        <w:rPr>
          <w:rFonts w:ascii="Tahoma" w:hAnsi="Tahoma" w:hint="cs"/>
          <w:sz w:val="27"/>
          <w:rtl/>
          <w:lang w:bidi="fa-IR"/>
        </w:rPr>
        <w:t>إ</w:t>
      </w:r>
      <w:r w:rsidRPr="00DB2AFA">
        <w:rPr>
          <w:rFonts w:ascii="Tahoma" w:hAnsi="Tahoma"/>
          <w:sz w:val="27"/>
          <w:rtl/>
          <w:lang w:bidi="fa-IR"/>
        </w:rPr>
        <w:t>ن تقسيم المصلحة في الفقه الإسلامي من حيث قو</w:t>
      </w:r>
      <w:r w:rsidR="00A14E14" w:rsidRPr="00DB2AFA">
        <w:rPr>
          <w:rFonts w:ascii="Tahoma" w:hAnsi="Tahoma" w:hint="cs"/>
          <w:sz w:val="27"/>
          <w:rtl/>
          <w:lang w:bidi="fa-IR"/>
        </w:rPr>
        <w:t>ّ</w:t>
      </w:r>
      <w:r w:rsidRPr="00DB2AFA">
        <w:rPr>
          <w:rFonts w:ascii="Tahoma" w:hAnsi="Tahoma"/>
          <w:sz w:val="27"/>
          <w:rtl/>
          <w:lang w:bidi="fa-IR"/>
        </w:rPr>
        <w:t>تها إلى</w:t>
      </w:r>
      <w:r w:rsidR="00A14E14" w:rsidRPr="00DB2AFA">
        <w:rPr>
          <w:rFonts w:ascii="Tahoma" w:hAnsi="Tahoma" w:hint="cs"/>
          <w:sz w:val="27"/>
          <w:rtl/>
          <w:lang w:bidi="fa-IR"/>
        </w:rPr>
        <w:t>:</w:t>
      </w:r>
      <w:r w:rsidRPr="00DB2AFA">
        <w:rPr>
          <w:rFonts w:ascii="Tahoma" w:hAnsi="Tahoma"/>
          <w:sz w:val="27"/>
          <w:rtl/>
          <w:lang w:bidi="fa-IR"/>
        </w:rPr>
        <w:t xml:space="preserve"> مصلحة ضرورية</w:t>
      </w:r>
      <w:r w:rsidR="00A14E14" w:rsidRPr="00DB2AFA">
        <w:rPr>
          <w:rFonts w:ascii="Tahoma" w:hAnsi="Tahoma" w:hint="cs"/>
          <w:sz w:val="27"/>
          <w:rtl/>
          <w:lang w:bidi="fa-IR"/>
        </w:rPr>
        <w:t>؛</w:t>
      </w:r>
      <w:r w:rsidRPr="00904FCB">
        <w:rPr>
          <w:rFonts w:ascii="Tahoma" w:hAnsi="Tahoma"/>
          <w:sz w:val="27"/>
          <w:rtl/>
          <w:lang w:bidi="fa-IR"/>
        </w:rPr>
        <w:t xml:space="preserve"> وأخرى حاجية</w:t>
      </w:r>
      <w:r w:rsidR="00A14E14" w:rsidRPr="00904FCB">
        <w:rPr>
          <w:rFonts w:ascii="Tahoma" w:hAnsi="Tahoma" w:hint="cs"/>
          <w:sz w:val="27"/>
          <w:rtl/>
          <w:lang w:bidi="fa-IR"/>
        </w:rPr>
        <w:t>؛</w:t>
      </w:r>
      <w:r w:rsidRPr="00904FCB">
        <w:rPr>
          <w:rFonts w:ascii="Tahoma" w:hAnsi="Tahoma"/>
          <w:sz w:val="27"/>
          <w:rtl/>
          <w:lang w:bidi="fa-IR"/>
        </w:rPr>
        <w:t xml:space="preserve"> وثالثة تحسينية، هو التقسيم الذي يعكس بحق</w:t>
      </w:r>
      <w:r w:rsidR="00A14E14" w:rsidRPr="00904FCB">
        <w:rPr>
          <w:rFonts w:ascii="Tahoma" w:hAnsi="Tahoma" w:hint="cs"/>
          <w:sz w:val="27"/>
          <w:rtl/>
          <w:lang w:bidi="fa-IR"/>
        </w:rPr>
        <w:t>ٍّ</w:t>
      </w:r>
      <w:r w:rsidRPr="00904FCB">
        <w:rPr>
          <w:rFonts w:ascii="Tahoma" w:hAnsi="Tahoma"/>
          <w:sz w:val="27"/>
          <w:rtl/>
          <w:lang w:bidi="fa-IR"/>
        </w:rPr>
        <w:t xml:space="preserve"> مدى سبق الفقه الإسلامي ودق</w:t>
      </w:r>
      <w:r w:rsidR="00A14E14" w:rsidRPr="00904FCB">
        <w:rPr>
          <w:rFonts w:ascii="Tahoma" w:hAnsi="Tahoma" w:hint="cs"/>
          <w:sz w:val="27"/>
          <w:rtl/>
          <w:lang w:bidi="fa-IR"/>
        </w:rPr>
        <w:t>ّ</w:t>
      </w:r>
      <w:r w:rsidRPr="00904FCB">
        <w:rPr>
          <w:rFonts w:ascii="Tahoma" w:hAnsi="Tahoma"/>
          <w:sz w:val="27"/>
          <w:rtl/>
          <w:lang w:bidi="fa-IR"/>
        </w:rPr>
        <w:t>ة مفاهيمه، ويقد</w:t>
      </w:r>
      <w:r w:rsidR="00A14E14" w:rsidRPr="00904FCB">
        <w:rPr>
          <w:rFonts w:ascii="Tahoma" w:hAnsi="Tahoma" w:hint="cs"/>
          <w:sz w:val="27"/>
          <w:rtl/>
          <w:lang w:bidi="fa-IR"/>
        </w:rPr>
        <w:t>ِّ</w:t>
      </w:r>
      <w:r w:rsidRPr="00904FCB">
        <w:rPr>
          <w:rFonts w:ascii="Tahoma" w:hAnsi="Tahoma"/>
          <w:sz w:val="27"/>
          <w:rtl/>
          <w:lang w:bidi="fa-IR"/>
        </w:rPr>
        <w:t>م لنا وللفكر القانوني العالمي أساساً مناسباً لتصنيف المصالح التي يقوم عليها النظام الاجتماعي في كل</w:t>
      </w:r>
      <w:r w:rsidR="00A14E14" w:rsidRPr="00904FCB">
        <w:rPr>
          <w:rFonts w:ascii="Tahoma" w:hAnsi="Tahoma" w:hint="cs"/>
          <w:sz w:val="27"/>
          <w:rtl/>
          <w:lang w:bidi="fa-IR"/>
        </w:rPr>
        <w:t>ّ</w:t>
      </w:r>
      <w:r w:rsidRPr="00904FCB">
        <w:rPr>
          <w:rFonts w:ascii="Tahoma" w:hAnsi="Tahoma"/>
          <w:sz w:val="27"/>
          <w:rtl/>
          <w:lang w:bidi="fa-IR"/>
        </w:rPr>
        <w:t xml:space="preserve"> أم</w:t>
      </w:r>
      <w:r w:rsidR="00A14E14" w:rsidRPr="00904FCB">
        <w:rPr>
          <w:rFonts w:ascii="Tahoma" w:hAnsi="Tahoma" w:hint="cs"/>
          <w:sz w:val="27"/>
          <w:rtl/>
          <w:lang w:bidi="fa-IR"/>
        </w:rPr>
        <w:t>ّ</w:t>
      </w:r>
      <w:r w:rsidRPr="00904FCB">
        <w:rPr>
          <w:rFonts w:ascii="Tahoma" w:hAnsi="Tahoma"/>
          <w:sz w:val="27"/>
          <w:rtl/>
          <w:lang w:bidi="fa-IR"/>
        </w:rPr>
        <w:t>ة</w:t>
      </w:r>
      <w:r w:rsidR="00A14E14" w:rsidRPr="00904FCB">
        <w:rPr>
          <w:rFonts w:ascii="Tahoma" w:hAnsi="Tahoma" w:hint="cs"/>
          <w:sz w:val="27"/>
          <w:rtl/>
          <w:lang w:bidi="fa-IR"/>
        </w:rPr>
        <w:t>ٍ</w:t>
      </w:r>
      <w:r w:rsidRPr="00904FCB">
        <w:rPr>
          <w:rFonts w:ascii="Tahoma" w:hAnsi="Tahoma"/>
          <w:sz w:val="27"/>
          <w:rtl/>
          <w:lang w:bidi="fa-IR"/>
        </w:rPr>
        <w:t xml:space="preserve"> من الأمم. </w:t>
      </w:r>
    </w:p>
    <w:p w:rsidR="00644408" w:rsidRPr="00904FCB" w:rsidRDefault="00644408" w:rsidP="009A5201">
      <w:pPr>
        <w:autoSpaceDE w:val="0"/>
        <w:autoSpaceDN w:val="0"/>
        <w:adjustRightInd w:val="0"/>
        <w:spacing w:line="400" w:lineRule="exact"/>
        <w:rPr>
          <w:rFonts w:ascii="Tahoma" w:hAnsi="Tahoma"/>
          <w:sz w:val="27"/>
          <w:lang w:bidi="fa-IR"/>
        </w:rPr>
      </w:pPr>
      <w:r w:rsidRPr="00DB2AFA">
        <w:rPr>
          <w:rFonts w:ascii="Tahoma" w:hAnsi="Tahoma" w:hint="cs"/>
          <w:sz w:val="27"/>
          <w:rtl/>
          <w:lang w:bidi="ar-LB"/>
        </w:rPr>
        <w:t>3</w:t>
      </w:r>
      <w:r w:rsidRPr="00DB2AFA">
        <w:rPr>
          <w:rFonts w:ascii="Tahoma" w:hAnsi="Tahoma" w:hint="cs"/>
          <w:sz w:val="27"/>
          <w:rtl/>
          <w:lang w:bidi="fa-IR"/>
        </w:rPr>
        <w:t xml:space="preserve">ـ </w:t>
      </w:r>
      <w:r w:rsidR="00A14E14" w:rsidRPr="00DB2AFA">
        <w:rPr>
          <w:rFonts w:ascii="Tahoma" w:hAnsi="Tahoma" w:hint="cs"/>
          <w:sz w:val="27"/>
          <w:rtl/>
          <w:lang w:bidi="fa-IR"/>
        </w:rPr>
        <w:t>إ</w:t>
      </w:r>
      <w:r w:rsidRPr="00DB2AFA">
        <w:rPr>
          <w:rFonts w:ascii="Tahoma" w:hAnsi="Tahoma"/>
          <w:sz w:val="27"/>
          <w:rtl/>
          <w:lang w:bidi="fa-IR"/>
        </w:rPr>
        <w:t xml:space="preserve">ن تقسيم المصلحة من حيث العموم والخصوص </w:t>
      </w:r>
      <w:r w:rsidR="00A14E14" w:rsidRPr="00DB2AFA">
        <w:rPr>
          <w:rFonts w:ascii="Tahoma" w:hAnsi="Tahoma" w:hint="cs"/>
          <w:sz w:val="27"/>
          <w:rtl/>
          <w:lang w:bidi="fa-IR"/>
        </w:rPr>
        <w:t>ي</w:t>
      </w:r>
      <w:r w:rsidRPr="00DB2AFA">
        <w:rPr>
          <w:rFonts w:ascii="Tahoma" w:hAnsi="Tahoma"/>
          <w:sz w:val="27"/>
          <w:rtl/>
          <w:lang w:bidi="fa-IR"/>
        </w:rPr>
        <w:t>شترك فيه الفقه الإسلامي</w:t>
      </w:r>
      <w:r w:rsidRPr="00904FCB">
        <w:rPr>
          <w:rFonts w:ascii="Tahoma" w:hAnsi="Tahoma"/>
          <w:sz w:val="27"/>
          <w:rtl/>
          <w:lang w:bidi="fa-IR"/>
        </w:rPr>
        <w:t xml:space="preserve"> </w:t>
      </w:r>
      <w:r w:rsidRPr="00904FCB">
        <w:rPr>
          <w:rFonts w:ascii="Tahoma" w:hAnsi="Tahoma"/>
          <w:sz w:val="27"/>
          <w:rtl/>
          <w:lang w:bidi="fa-IR"/>
        </w:rPr>
        <w:lastRenderedPageBreak/>
        <w:t>والفكر الأمريكي</w:t>
      </w:r>
      <w:r w:rsidR="00A14E14" w:rsidRPr="00904FCB">
        <w:rPr>
          <w:rFonts w:ascii="Tahoma" w:hAnsi="Tahoma" w:hint="cs"/>
          <w:sz w:val="27"/>
          <w:rtl/>
          <w:lang w:bidi="fa-IR"/>
        </w:rPr>
        <w:t>،</w:t>
      </w:r>
      <w:r w:rsidRPr="00904FCB">
        <w:rPr>
          <w:rFonts w:ascii="Tahoma" w:hAnsi="Tahoma"/>
          <w:sz w:val="27"/>
          <w:rtl/>
          <w:lang w:bidi="fa-IR"/>
        </w:rPr>
        <w:t xml:space="preserve"> </w:t>
      </w:r>
      <w:r w:rsidR="00A14E14" w:rsidRPr="00904FCB">
        <w:rPr>
          <w:rFonts w:ascii="Tahoma" w:hAnsi="Tahoma" w:hint="cs"/>
          <w:sz w:val="27"/>
          <w:rtl/>
          <w:lang w:bidi="fa-IR"/>
        </w:rPr>
        <w:t>وهو</w:t>
      </w:r>
      <w:r w:rsidRPr="00904FCB">
        <w:rPr>
          <w:rFonts w:ascii="Tahoma" w:hAnsi="Tahoma"/>
          <w:sz w:val="27"/>
          <w:rtl/>
          <w:lang w:bidi="fa-IR"/>
        </w:rPr>
        <w:t xml:space="preserve"> يثبت اهتمام الإسلام بالعام</w:t>
      </w:r>
      <w:r w:rsidR="00A14E14" w:rsidRPr="00904FCB">
        <w:rPr>
          <w:rFonts w:ascii="Tahoma" w:hAnsi="Tahoma" w:hint="cs"/>
          <w:sz w:val="27"/>
          <w:rtl/>
          <w:lang w:bidi="fa-IR"/>
        </w:rPr>
        <w:t>ّ</w:t>
      </w:r>
      <w:r w:rsidRPr="00904FCB">
        <w:rPr>
          <w:rFonts w:ascii="Tahoma" w:hAnsi="Tahoma"/>
          <w:sz w:val="27"/>
          <w:rtl/>
          <w:lang w:bidi="fa-IR"/>
        </w:rPr>
        <w:t xml:space="preserve"> مع عدم إغفال الخاص</w:t>
      </w:r>
      <w:r w:rsidR="00A14E14" w:rsidRPr="00904FCB">
        <w:rPr>
          <w:rFonts w:ascii="Tahoma" w:hAnsi="Tahoma" w:hint="cs"/>
          <w:sz w:val="27"/>
          <w:rtl/>
          <w:lang w:bidi="fa-IR"/>
        </w:rPr>
        <w:t>ّ،</w:t>
      </w:r>
      <w:r w:rsidRPr="00904FCB">
        <w:rPr>
          <w:rFonts w:ascii="Tahoma" w:hAnsi="Tahoma"/>
          <w:sz w:val="27"/>
          <w:rtl/>
          <w:lang w:bidi="fa-IR"/>
        </w:rPr>
        <w:t xml:space="preserve"> إلاّ إذا حدث تعارض</w:t>
      </w:r>
      <w:r w:rsidR="00A14E14" w:rsidRPr="00904FCB">
        <w:rPr>
          <w:rFonts w:ascii="Tahoma" w:hAnsi="Tahoma" w:hint="cs"/>
          <w:sz w:val="27"/>
          <w:rtl/>
          <w:lang w:bidi="fa-IR"/>
        </w:rPr>
        <w:t>ٌ.</w:t>
      </w:r>
      <w:r w:rsidRPr="00904FCB">
        <w:rPr>
          <w:rFonts w:ascii="Tahoma" w:hAnsi="Tahoma"/>
          <w:sz w:val="27"/>
          <w:rtl/>
          <w:lang w:bidi="fa-IR"/>
        </w:rPr>
        <w:t xml:space="preserve"> في حين أن الفكر الأمريكي ينشد الفردية وإشباع حاجاتها</w:t>
      </w:r>
      <w:r w:rsidR="00A14E14" w:rsidRPr="00904FCB">
        <w:rPr>
          <w:rFonts w:ascii="Tahoma" w:hAnsi="Tahoma" w:hint="cs"/>
          <w:sz w:val="27"/>
          <w:rtl/>
          <w:lang w:bidi="fa-IR"/>
        </w:rPr>
        <w:t>،</w:t>
      </w:r>
      <w:r w:rsidRPr="00904FCB">
        <w:rPr>
          <w:rFonts w:ascii="Tahoma" w:hAnsi="Tahoma"/>
          <w:sz w:val="27"/>
          <w:rtl/>
          <w:lang w:bidi="fa-IR"/>
        </w:rPr>
        <w:t xml:space="preserve"> حت</w:t>
      </w:r>
      <w:r w:rsidR="00A14E14" w:rsidRPr="00904FCB">
        <w:rPr>
          <w:rFonts w:ascii="Tahoma" w:hAnsi="Tahoma" w:hint="cs"/>
          <w:sz w:val="27"/>
          <w:rtl/>
          <w:lang w:bidi="fa-IR"/>
        </w:rPr>
        <w:t>ّ</w:t>
      </w:r>
      <w:r w:rsidRPr="00904FCB">
        <w:rPr>
          <w:rFonts w:ascii="Tahoma" w:hAnsi="Tahoma"/>
          <w:sz w:val="27"/>
          <w:rtl/>
          <w:lang w:bidi="fa-IR"/>
        </w:rPr>
        <w:t>ى لو أد</w:t>
      </w:r>
      <w:r w:rsidR="00A14E14" w:rsidRPr="00904FCB">
        <w:rPr>
          <w:rFonts w:ascii="Tahoma" w:hAnsi="Tahoma" w:hint="cs"/>
          <w:sz w:val="27"/>
          <w:rtl/>
          <w:lang w:bidi="fa-IR"/>
        </w:rPr>
        <w:t>ّ</w:t>
      </w:r>
      <w:r w:rsidRPr="00904FCB">
        <w:rPr>
          <w:rFonts w:ascii="Tahoma" w:hAnsi="Tahoma"/>
          <w:sz w:val="27"/>
          <w:rtl/>
          <w:lang w:bidi="fa-IR"/>
        </w:rPr>
        <w:t>ى إلى ضرر</w:t>
      </w:r>
      <w:r w:rsidR="00A14E14" w:rsidRPr="00904FCB">
        <w:rPr>
          <w:rFonts w:ascii="Tahoma" w:hAnsi="Tahoma" w:hint="cs"/>
          <w:sz w:val="27"/>
          <w:rtl/>
          <w:lang w:bidi="fa-IR"/>
        </w:rPr>
        <w:t>ٍ</w:t>
      </w:r>
      <w:r w:rsidRPr="00904FCB">
        <w:rPr>
          <w:rFonts w:ascii="Tahoma" w:hAnsi="Tahoma"/>
          <w:sz w:val="27"/>
          <w:rtl/>
          <w:lang w:bidi="fa-IR"/>
        </w:rPr>
        <w:t xml:space="preserve"> عام</w:t>
      </w:r>
      <w:r w:rsidR="00A14E14"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7A21AA">
      <w:pPr>
        <w:autoSpaceDE w:val="0"/>
        <w:autoSpaceDN w:val="0"/>
        <w:adjustRightInd w:val="0"/>
        <w:spacing w:line="400" w:lineRule="exact"/>
        <w:rPr>
          <w:rFonts w:ascii="Tahoma" w:hAnsi="Tahoma"/>
          <w:sz w:val="27"/>
          <w:rtl/>
          <w:lang w:bidi="fa-IR"/>
        </w:rPr>
      </w:pPr>
    </w:p>
    <w:p w:rsidR="00644408" w:rsidRPr="00904FCB" w:rsidRDefault="00644408" w:rsidP="007A21AA">
      <w:pPr>
        <w:pStyle w:val="31"/>
        <w:spacing w:line="400" w:lineRule="exact"/>
        <w:rPr>
          <w:color w:val="auto"/>
          <w:lang w:bidi="fa-IR"/>
        </w:rPr>
      </w:pPr>
      <w:r w:rsidRPr="00904FCB">
        <w:rPr>
          <w:rFonts w:hint="cs"/>
          <w:color w:val="auto"/>
          <w:rtl/>
          <w:lang w:bidi="fa-IR"/>
        </w:rPr>
        <w:t>د ـ</w:t>
      </w:r>
      <w:r w:rsidRPr="00904FCB">
        <w:rPr>
          <w:color w:val="auto"/>
          <w:rtl/>
          <w:lang w:bidi="fa-IR"/>
        </w:rPr>
        <w:t xml:space="preserve"> خصائص المصلحة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sz w:val="27"/>
          <w:rtl/>
          <w:lang w:bidi="fa-IR"/>
        </w:rPr>
        <w:t>ويمكن أيضاً المقارنة بين خصائص المصلحة في الشريعة الإسلامية وخصائصها عند «باوند</w:t>
      </w:r>
      <w:r w:rsidRPr="00904FCB">
        <w:rPr>
          <w:rFonts w:hint="eastAsia"/>
          <w:sz w:val="27"/>
          <w:rtl/>
        </w:rPr>
        <w:t>»</w:t>
      </w:r>
      <w:r w:rsidRPr="00904FCB">
        <w:rPr>
          <w:rFonts w:ascii="Tahoma" w:hAnsi="Tahoma"/>
          <w:sz w:val="27"/>
          <w:rtl/>
          <w:lang w:bidi="fa-IR"/>
        </w:rPr>
        <w:t xml:space="preserve">.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sz w:val="27"/>
          <w:rtl/>
          <w:lang w:bidi="fa-IR"/>
        </w:rPr>
        <w:t>إن أهم</w:t>
      </w:r>
      <w:r w:rsidR="00574705" w:rsidRPr="00904FCB">
        <w:rPr>
          <w:rFonts w:ascii="Tahoma" w:hAnsi="Tahoma" w:hint="cs"/>
          <w:sz w:val="27"/>
          <w:rtl/>
          <w:lang w:bidi="fa-IR"/>
        </w:rPr>
        <w:t>ّ</w:t>
      </w:r>
      <w:r w:rsidRPr="00904FCB">
        <w:rPr>
          <w:rFonts w:ascii="Tahoma" w:hAnsi="Tahoma"/>
          <w:sz w:val="27"/>
          <w:rtl/>
          <w:lang w:bidi="fa-IR"/>
        </w:rPr>
        <w:t xml:space="preserve"> خصائص المصلحة في الشريعة الإسلامية يمكن حصرها في ثلاث: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b/>
          <w:bCs/>
          <w:sz w:val="27"/>
          <w:rtl/>
          <w:lang w:bidi="fa-IR"/>
        </w:rPr>
        <w:t>الأولى</w:t>
      </w:r>
      <w:r w:rsidRPr="00904FCB">
        <w:rPr>
          <w:rFonts w:ascii="Tahoma" w:hAnsi="Tahoma"/>
          <w:sz w:val="27"/>
          <w:rtl/>
          <w:lang w:bidi="fa-IR"/>
        </w:rPr>
        <w:t xml:space="preserve">: </w:t>
      </w:r>
      <w:r w:rsidR="00574705" w:rsidRPr="00904FCB">
        <w:rPr>
          <w:rFonts w:ascii="Tahoma" w:hAnsi="Tahoma" w:hint="cs"/>
          <w:sz w:val="27"/>
          <w:rtl/>
          <w:lang w:bidi="fa-IR"/>
        </w:rPr>
        <w:t>إ</w:t>
      </w:r>
      <w:r w:rsidRPr="00904FCB">
        <w:rPr>
          <w:rFonts w:ascii="Tahoma" w:hAnsi="Tahoma"/>
          <w:sz w:val="27"/>
          <w:rtl/>
          <w:lang w:bidi="fa-IR"/>
        </w:rPr>
        <w:t>ن الزمن الذي يظهر فيه أثر كل</w:t>
      </w:r>
      <w:r w:rsidR="00574705" w:rsidRPr="00904FCB">
        <w:rPr>
          <w:rFonts w:ascii="Tahoma" w:hAnsi="Tahoma" w:hint="cs"/>
          <w:sz w:val="27"/>
          <w:rtl/>
          <w:lang w:bidi="fa-IR"/>
        </w:rPr>
        <w:t>ٍّ</w:t>
      </w:r>
      <w:r w:rsidRPr="00904FCB">
        <w:rPr>
          <w:rFonts w:ascii="Tahoma" w:hAnsi="Tahoma"/>
          <w:sz w:val="27"/>
          <w:rtl/>
          <w:lang w:bidi="fa-IR"/>
        </w:rPr>
        <w:t xml:space="preserve"> من المصلحة والمفسدة ليس محصوراً في الدنيا وحدها، بل ي</w:t>
      </w:r>
      <w:r w:rsidR="00574705" w:rsidRPr="00904FCB">
        <w:rPr>
          <w:rFonts w:ascii="Tahoma" w:hAnsi="Tahoma" w:hint="cs"/>
          <w:sz w:val="27"/>
          <w:rtl/>
          <w:lang w:bidi="fa-IR"/>
        </w:rPr>
        <w:t>َ</w:t>
      </w:r>
      <w:r w:rsidRPr="00904FCB">
        <w:rPr>
          <w:rFonts w:ascii="Tahoma" w:hAnsi="Tahoma"/>
          <w:sz w:val="27"/>
          <w:rtl/>
          <w:lang w:bidi="fa-IR"/>
        </w:rPr>
        <w:t>س</w:t>
      </w:r>
      <w:r w:rsidR="00574705" w:rsidRPr="00904FCB">
        <w:rPr>
          <w:rFonts w:ascii="Tahoma" w:hAnsi="Tahoma" w:hint="cs"/>
          <w:sz w:val="27"/>
          <w:rtl/>
          <w:lang w:bidi="fa-IR"/>
        </w:rPr>
        <w:t>َ</w:t>
      </w:r>
      <w:r w:rsidRPr="00904FCB">
        <w:rPr>
          <w:rFonts w:ascii="Tahoma" w:hAnsi="Tahoma"/>
          <w:sz w:val="27"/>
          <w:rtl/>
          <w:lang w:bidi="fa-IR"/>
        </w:rPr>
        <w:t xml:space="preserve">ع الدنيا والآخرة معاً.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b/>
          <w:bCs/>
          <w:sz w:val="27"/>
          <w:rtl/>
          <w:lang w:bidi="fa-IR"/>
        </w:rPr>
        <w:t>الثانية</w:t>
      </w:r>
      <w:r w:rsidRPr="00904FCB">
        <w:rPr>
          <w:rFonts w:ascii="Tahoma" w:hAnsi="Tahoma"/>
          <w:sz w:val="27"/>
          <w:rtl/>
          <w:lang w:bidi="fa-IR"/>
        </w:rPr>
        <w:t xml:space="preserve">: </w:t>
      </w:r>
      <w:r w:rsidR="00574705" w:rsidRPr="00904FCB">
        <w:rPr>
          <w:rFonts w:ascii="Tahoma" w:hAnsi="Tahoma" w:hint="cs"/>
          <w:sz w:val="27"/>
          <w:rtl/>
          <w:lang w:bidi="fa-IR"/>
        </w:rPr>
        <w:t>إ</w:t>
      </w:r>
      <w:r w:rsidRPr="00904FCB">
        <w:rPr>
          <w:rFonts w:ascii="Tahoma" w:hAnsi="Tahoma"/>
          <w:sz w:val="27"/>
          <w:rtl/>
          <w:lang w:bidi="fa-IR"/>
        </w:rPr>
        <w:t>ن قيمة المصلحة لا تنحصر في</w:t>
      </w:r>
      <w:r w:rsidR="00574705" w:rsidRPr="00904FCB">
        <w:rPr>
          <w:rFonts w:ascii="Tahoma" w:hAnsi="Tahoma" w:hint="cs"/>
          <w:sz w:val="27"/>
          <w:rtl/>
          <w:lang w:bidi="fa-IR"/>
        </w:rPr>
        <w:t xml:space="preserve"> </w:t>
      </w:r>
      <w:r w:rsidRPr="00904FCB">
        <w:rPr>
          <w:rFonts w:ascii="Tahoma" w:hAnsi="Tahoma"/>
          <w:sz w:val="27"/>
          <w:rtl/>
          <w:lang w:bidi="fa-IR"/>
        </w:rPr>
        <w:t>ما تنطوي عليه من لذ</w:t>
      </w:r>
      <w:r w:rsidR="00574705" w:rsidRPr="00904FCB">
        <w:rPr>
          <w:rFonts w:ascii="Tahoma" w:hAnsi="Tahoma" w:hint="cs"/>
          <w:sz w:val="27"/>
          <w:rtl/>
          <w:lang w:bidi="fa-IR"/>
        </w:rPr>
        <w:t>ّ</w:t>
      </w:r>
      <w:r w:rsidRPr="00904FCB">
        <w:rPr>
          <w:rFonts w:ascii="Tahoma" w:hAnsi="Tahoma"/>
          <w:sz w:val="27"/>
          <w:rtl/>
          <w:lang w:bidi="fa-IR"/>
        </w:rPr>
        <w:t>ة</w:t>
      </w:r>
      <w:r w:rsidR="00574705" w:rsidRPr="00904FCB">
        <w:rPr>
          <w:rFonts w:ascii="Tahoma" w:hAnsi="Tahoma" w:hint="cs"/>
          <w:sz w:val="27"/>
          <w:rtl/>
          <w:lang w:bidi="fa-IR"/>
        </w:rPr>
        <w:t>ٍ</w:t>
      </w:r>
      <w:r w:rsidRPr="00904FCB">
        <w:rPr>
          <w:rFonts w:ascii="Tahoma" w:hAnsi="Tahoma"/>
          <w:sz w:val="27"/>
          <w:rtl/>
          <w:lang w:bidi="fa-IR"/>
        </w:rPr>
        <w:t xml:space="preserve"> ماد</w:t>
      </w:r>
      <w:r w:rsidR="00574705" w:rsidRPr="00904FCB">
        <w:rPr>
          <w:rFonts w:ascii="Tahoma" w:hAnsi="Tahoma" w:hint="cs"/>
          <w:sz w:val="27"/>
          <w:rtl/>
          <w:lang w:bidi="fa-IR"/>
        </w:rPr>
        <w:t>ّ</w:t>
      </w:r>
      <w:r w:rsidRPr="00904FCB">
        <w:rPr>
          <w:rFonts w:ascii="Tahoma" w:hAnsi="Tahoma"/>
          <w:sz w:val="27"/>
          <w:rtl/>
          <w:lang w:bidi="fa-IR"/>
        </w:rPr>
        <w:t>ية، بل هي نابعة</w:t>
      </w:r>
      <w:r w:rsidR="00574705" w:rsidRPr="00904FCB">
        <w:rPr>
          <w:rFonts w:ascii="Tahoma" w:hAnsi="Tahoma" w:hint="cs"/>
          <w:sz w:val="27"/>
          <w:rtl/>
          <w:lang w:bidi="fa-IR"/>
        </w:rPr>
        <w:t>ٌ</w:t>
      </w:r>
      <w:r w:rsidRPr="00904FCB">
        <w:rPr>
          <w:rFonts w:ascii="Tahoma" w:hAnsi="Tahoma"/>
          <w:sz w:val="27"/>
          <w:rtl/>
          <w:lang w:bidi="fa-IR"/>
        </w:rPr>
        <w:t xml:space="preserve"> من حاجت</w:t>
      </w:r>
      <w:r w:rsidR="00574705" w:rsidRPr="00904FCB">
        <w:rPr>
          <w:rFonts w:ascii="Tahoma" w:hAnsi="Tahoma" w:hint="cs"/>
          <w:sz w:val="27"/>
          <w:rtl/>
          <w:lang w:bidi="fa-IR"/>
        </w:rPr>
        <w:t>َ</w:t>
      </w:r>
      <w:r w:rsidRPr="00904FCB">
        <w:rPr>
          <w:rFonts w:ascii="Tahoma" w:hAnsi="Tahoma"/>
          <w:sz w:val="27"/>
          <w:rtl/>
          <w:lang w:bidi="fa-IR"/>
        </w:rPr>
        <w:t>ي</w:t>
      </w:r>
      <w:r w:rsidR="00574705" w:rsidRPr="00904FCB">
        <w:rPr>
          <w:rFonts w:ascii="Tahoma" w:hAnsi="Tahoma" w:hint="cs"/>
          <w:sz w:val="27"/>
          <w:rtl/>
          <w:lang w:bidi="fa-IR"/>
        </w:rPr>
        <w:t>ْ</w:t>
      </w:r>
      <w:r w:rsidRPr="00904FCB">
        <w:rPr>
          <w:rFonts w:ascii="Tahoma" w:hAnsi="Tahoma"/>
          <w:sz w:val="27"/>
          <w:rtl/>
          <w:lang w:bidi="fa-IR"/>
        </w:rPr>
        <w:t xml:space="preserve"> كل</w:t>
      </w:r>
      <w:r w:rsidR="00574705" w:rsidRPr="00904FCB">
        <w:rPr>
          <w:rFonts w:ascii="Tahoma" w:hAnsi="Tahoma" w:hint="cs"/>
          <w:sz w:val="27"/>
          <w:rtl/>
          <w:lang w:bidi="fa-IR"/>
        </w:rPr>
        <w:t>ٍّ</w:t>
      </w:r>
      <w:r w:rsidRPr="00904FCB">
        <w:rPr>
          <w:rFonts w:ascii="Tahoma" w:hAnsi="Tahoma"/>
          <w:sz w:val="27"/>
          <w:rtl/>
          <w:lang w:bidi="fa-IR"/>
        </w:rPr>
        <w:t xml:space="preserve"> من الجسم والروح معاً.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b/>
          <w:bCs/>
          <w:sz w:val="27"/>
          <w:rtl/>
          <w:lang w:bidi="fa-IR"/>
        </w:rPr>
        <w:t>الثالثة</w:t>
      </w:r>
      <w:r w:rsidRPr="00904FCB">
        <w:rPr>
          <w:rFonts w:ascii="Tahoma" w:hAnsi="Tahoma"/>
          <w:sz w:val="27"/>
          <w:rtl/>
          <w:lang w:bidi="fa-IR"/>
        </w:rPr>
        <w:t xml:space="preserve">: </w:t>
      </w:r>
      <w:r w:rsidR="00574705" w:rsidRPr="00904FCB">
        <w:rPr>
          <w:rFonts w:ascii="Tahoma" w:hAnsi="Tahoma" w:hint="cs"/>
          <w:sz w:val="27"/>
          <w:rtl/>
          <w:lang w:bidi="fa-IR"/>
        </w:rPr>
        <w:t>إ</w:t>
      </w:r>
      <w:r w:rsidRPr="00904FCB">
        <w:rPr>
          <w:rFonts w:ascii="Tahoma" w:hAnsi="Tahoma"/>
          <w:sz w:val="27"/>
          <w:rtl/>
          <w:lang w:bidi="fa-IR"/>
        </w:rPr>
        <w:t>ن مصلحة الدين أساس</w:t>
      </w:r>
      <w:r w:rsidR="0043319E" w:rsidRPr="00904FCB">
        <w:rPr>
          <w:rFonts w:ascii="Tahoma" w:hAnsi="Tahoma" w:hint="cs"/>
          <w:sz w:val="27"/>
          <w:rtl/>
          <w:lang w:bidi="fa-IR"/>
        </w:rPr>
        <w:t>ٌ</w:t>
      </w:r>
      <w:r w:rsidRPr="00904FCB">
        <w:rPr>
          <w:rFonts w:ascii="Tahoma" w:hAnsi="Tahoma"/>
          <w:sz w:val="27"/>
          <w:rtl/>
          <w:lang w:bidi="fa-IR"/>
        </w:rPr>
        <w:t xml:space="preserve"> للمصالح الأخرى</w:t>
      </w:r>
      <w:r w:rsidR="0043319E" w:rsidRPr="00904FCB">
        <w:rPr>
          <w:rFonts w:ascii="Tahoma" w:hAnsi="Tahoma" w:hint="cs"/>
          <w:sz w:val="27"/>
          <w:rtl/>
          <w:lang w:bidi="fa-IR"/>
        </w:rPr>
        <w:t>،</w:t>
      </w:r>
      <w:r w:rsidRPr="00904FCB">
        <w:rPr>
          <w:rFonts w:ascii="Tahoma" w:hAnsi="Tahoma"/>
          <w:sz w:val="27"/>
          <w:rtl/>
          <w:lang w:bidi="fa-IR"/>
        </w:rPr>
        <w:t xml:space="preserve"> ومقد</w:t>
      </w:r>
      <w:r w:rsidR="0043319E" w:rsidRPr="00904FCB">
        <w:rPr>
          <w:rFonts w:ascii="Tahoma" w:hAnsi="Tahoma" w:hint="cs"/>
          <w:sz w:val="27"/>
          <w:rtl/>
          <w:lang w:bidi="fa-IR"/>
        </w:rPr>
        <w:t>َّ</w:t>
      </w:r>
      <w:r w:rsidRPr="00904FCB">
        <w:rPr>
          <w:rFonts w:ascii="Tahoma" w:hAnsi="Tahoma"/>
          <w:sz w:val="27"/>
          <w:rtl/>
          <w:lang w:bidi="fa-IR"/>
        </w:rPr>
        <w:t>مة عليها، فيجب التضحية بما سواها مم</w:t>
      </w:r>
      <w:r w:rsidR="0043319E" w:rsidRPr="00904FCB">
        <w:rPr>
          <w:rFonts w:ascii="Tahoma" w:hAnsi="Tahoma" w:hint="cs"/>
          <w:sz w:val="27"/>
          <w:rtl/>
          <w:lang w:bidi="fa-IR"/>
        </w:rPr>
        <w:t>ّ</w:t>
      </w:r>
      <w:r w:rsidRPr="00904FCB">
        <w:rPr>
          <w:rFonts w:ascii="Tahoma" w:hAnsi="Tahoma"/>
          <w:sz w:val="27"/>
          <w:rtl/>
          <w:lang w:bidi="fa-IR"/>
        </w:rPr>
        <w:t>ا قد يعارضها من المصالح الأخرى</w:t>
      </w:r>
      <w:r w:rsidR="0043319E" w:rsidRPr="00904FCB">
        <w:rPr>
          <w:rFonts w:ascii="Tahoma" w:hAnsi="Tahoma" w:hint="cs"/>
          <w:sz w:val="27"/>
          <w:rtl/>
          <w:lang w:bidi="fa-IR"/>
        </w:rPr>
        <w:t>؛</w:t>
      </w:r>
      <w:r w:rsidRPr="00904FCB">
        <w:rPr>
          <w:rFonts w:ascii="Tahoma" w:hAnsi="Tahoma"/>
          <w:sz w:val="27"/>
          <w:rtl/>
          <w:lang w:bidi="fa-IR"/>
        </w:rPr>
        <w:t xml:space="preserve"> إبقاءً لها</w:t>
      </w:r>
      <w:r w:rsidR="0043319E" w:rsidRPr="00904FCB">
        <w:rPr>
          <w:rFonts w:ascii="Tahoma" w:hAnsi="Tahoma" w:hint="cs"/>
          <w:sz w:val="27"/>
          <w:rtl/>
          <w:lang w:bidi="fa-IR"/>
        </w:rPr>
        <w:t>،</w:t>
      </w:r>
      <w:r w:rsidRPr="00904FCB">
        <w:rPr>
          <w:rFonts w:ascii="Tahoma" w:hAnsi="Tahoma"/>
          <w:sz w:val="27"/>
          <w:rtl/>
          <w:lang w:bidi="fa-IR"/>
        </w:rPr>
        <w:t xml:space="preserve"> وحفاظاً عليها.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sz w:val="27"/>
          <w:rtl/>
          <w:lang w:bidi="fa-IR"/>
        </w:rPr>
        <w:t>أما المصلحة عند «باوند» فهي قائمة</w:t>
      </w:r>
      <w:r w:rsidR="0043319E" w:rsidRPr="00904FCB">
        <w:rPr>
          <w:rFonts w:ascii="Tahoma" w:hAnsi="Tahoma" w:hint="cs"/>
          <w:sz w:val="27"/>
          <w:rtl/>
          <w:lang w:bidi="fa-IR"/>
        </w:rPr>
        <w:t>ٌ</w:t>
      </w:r>
      <w:r w:rsidRPr="00904FCB">
        <w:rPr>
          <w:rFonts w:ascii="Tahoma" w:hAnsi="Tahoma"/>
          <w:sz w:val="27"/>
          <w:rtl/>
          <w:lang w:bidi="fa-IR"/>
        </w:rPr>
        <w:t xml:space="preserve"> على اللذ</w:t>
      </w:r>
      <w:r w:rsidR="0043319E" w:rsidRPr="00904FCB">
        <w:rPr>
          <w:rFonts w:ascii="Tahoma" w:hAnsi="Tahoma" w:hint="cs"/>
          <w:sz w:val="27"/>
          <w:rtl/>
          <w:lang w:bidi="fa-IR"/>
        </w:rPr>
        <w:t>ّ</w:t>
      </w:r>
      <w:r w:rsidRPr="00904FCB">
        <w:rPr>
          <w:rFonts w:ascii="Tahoma" w:hAnsi="Tahoma"/>
          <w:sz w:val="27"/>
          <w:rtl/>
          <w:lang w:bidi="fa-IR"/>
        </w:rPr>
        <w:t>ة والمنفعة</w:t>
      </w:r>
      <w:r w:rsidR="0043319E" w:rsidRPr="00904FCB">
        <w:rPr>
          <w:rFonts w:ascii="Tahoma" w:hAnsi="Tahoma" w:hint="cs"/>
          <w:sz w:val="27"/>
          <w:rtl/>
          <w:lang w:bidi="fa-IR"/>
        </w:rPr>
        <w:t>،</w:t>
      </w:r>
      <w:r w:rsidRPr="00904FCB">
        <w:rPr>
          <w:rFonts w:ascii="Tahoma" w:hAnsi="Tahoma"/>
          <w:sz w:val="27"/>
          <w:rtl/>
          <w:lang w:bidi="fa-IR"/>
        </w:rPr>
        <w:t xml:space="preserve"> وأساسها الفرد</w:t>
      </w:r>
      <w:r w:rsidR="0043319E" w:rsidRPr="00904FCB">
        <w:rPr>
          <w:rFonts w:ascii="Tahoma" w:hAnsi="Tahoma" w:hint="cs"/>
          <w:sz w:val="27"/>
          <w:rtl/>
          <w:lang w:bidi="fa-IR"/>
        </w:rPr>
        <w:t>،</w:t>
      </w:r>
      <w:r w:rsidRPr="00904FCB">
        <w:rPr>
          <w:rFonts w:ascii="Tahoma" w:hAnsi="Tahoma"/>
          <w:sz w:val="27"/>
          <w:rtl/>
          <w:lang w:bidi="fa-IR"/>
        </w:rPr>
        <w:t xml:space="preserve"> حت</w:t>
      </w:r>
      <w:r w:rsidR="0043319E" w:rsidRPr="00904FCB">
        <w:rPr>
          <w:rFonts w:ascii="Tahoma" w:hAnsi="Tahoma" w:hint="cs"/>
          <w:sz w:val="27"/>
          <w:rtl/>
          <w:lang w:bidi="fa-IR"/>
        </w:rPr>
        <w:t>ّ</w:t>
      </w:r>
      <w:r w:rsidRPr="00904FCB">
        <w:rPr>
          <w:rFonts w:ascii="Tahoma" w:hAnsi="Tahoma"/>
          <w:sz w:val="27"/>
          <w:rtl/>
          <w:lang w:bidi="fa-IR"/>
        </w:rPr>
        <w:t>ى ولو تعل</w:t>
      </w:r>
      <w:r w:rsidR="0043319E" w:rsidRPr="00904FCB">
        <w:rPr>
          <w:rFonts w:ascii="Tahoma" w:hAnsi="Tahoma" w:hint="cs"/>
          <w:sz w:val="27"/>
          <w:rtl/>
          <w:lang w:bidi="fa-IR"/>
        </w:rPr>
        <w:t>َّ</w:t>
      </w:r>
      <w:r w:rsidRPr="00904FCB">
        <w:rPr>
          <w:rFonts w:ascii="Tahoma" w:hAnsi="Tahoma"/>
          <w:sz w:val="27"/>
          <w:rtl/>
          <w:lang w:bidi="fa-IR"/>
        </w:rPr>
        <w:t>قت في بعض الأحيان بالجماعة. وإقامة المصلحة على المنفعة المادية أو اللذ</w:t>
      </w:r>
      <w:r w:rsidR="0043319E" w:rsidRPr="00904FCB">
        <w:rPr>
          <w:rFonts w:ascii="Tahoma" w:hAnsi="Tahoma" w:hint="cs"/>
          <w:sz w:val="27"/>
          <w:rtl/>
          <w:lang w:bidi="fa-IR"/>
        </w:rPr>
        <w:t>ّ</w:t>
      </w:r>
      <w:r w:rsidRPr="00904FCB">
        <w:rPr>
          <w:rFonts w:ascii="Tahoma" w:hAnsi="Tahoma"/>
          <w:sz w:val="27"/>
          <w:rtl/>
          <w:lang w:bidi="fa-IR"/>
        </w:rPr>
        <w:t>ة يفقدها وجود المعيار الثابت الدائم</w:t>
      </w:r>
      <w:r w:rsidR="0043319E" w:rsidRPr="00904FCB">
        <w:rPr>
          <w:rFonts w:ascii="Tahoma" w:hAnsi="Tahoma" w:hint="cs"/>
          <w:sz w:val="27"/>
          <w:rtl/>
          <w:lang w:bidi="fa-IR"/>
        </w:rPr>
        <w:t>؛</w:t>
      </w:r>
      <w:r w:rsidRPr="00904FCB">
        <w:rPr>
          <w:rFonts w:ascii="Tahoma" w:hAnsi="Tahoma"/>
          <w:sz w:val="27"/>
          <w:rtl/>
          <w:lang w:bidi="fa-IR"/>
        </w:rPr>
        <w:t xml:space="preserve"> لأن التنازع الفردي سيؤد</w:t>
      </w:r>
      <w:r w:rsidR="0043319E" w:rsidRPr="00904FCB">
        <w:rPr>
          <w:rFonts w:ascii="Tahoma" w:hAnsi="Tahoma" w:hint="cs"/>
          <w:sz w:val="27"/>
          <w:rtl/>
          <w:lang w:bidi="fa-IR"/>
        </w:rPr>
        <w:t>ّ</w:t>
      </w:r>
      <w:r w:rsidRPr="00904FCB">
        <w:rPr>
          <w:rFonts w:ascii="Tahoma" w:hAnsi="Tahoma"/>
          <w:sz w:val="27"/>
          <w:rtl/>
          <w:lang w:bidi="fa-IR"/>
        </w:rPr>
        <w:t>ي إلى ظهور الاختلاف</w:t>
      </w:r>
      <w:r w:rsidR="0043319E" w:rsidRPr="00904FCB">
        <w:rPr>
          <w:rFonts w:ascii="Tahoma" w:hAnsi="Tahoma" w:hint="cs"/>
          <w:sz w:val="27"/>
          <w:rtl/>
          <w:lang w:bidi="fa-IR"/>
        </w:rPr>
        <w:t>.</w:t>
      </w:r>
      <w:r w:rsidRPr="00904FCB">
        <w:rPr>
          <w:rFonts w:ascii="Tahoma" w:hAnsi="Tahoma"/>
          <w:sz w:val="27"/>
          <w:rtl/>
          <w:lang w:bidi="fa-IR"/>
        </w:rPr>
        <w:t xml:space="preserve"> وهذا ما يتضح من اعتراف الفيلسوف «بنتام» ـ وهو من أكبر الباحثين في المنفعة ـ</w:t>
      </w:r>
      <w:r w:rsidR="0043319E" w:rsidRPr="00904FCB">
        <w:rPr>
          <w:rFonts w:ascii="Tahoma" w:hAnsi="Tahoma" w:hint="cs"/>
          <w:sz w:val="27"/>
          <w:rtl/>
          <w:lang w:bidi="fa-IR"/>
        </w:rPr>
        <w:t>،</w:t>
      </w:r>
      <w:r w:rsidRPr="00904FCB">
        <w:rPr>
          <w:rFonts w:ascii="Tahoma" w:hAnsi="Tahoma"/>
          <w:sz w:val="27"/>
          <w:rtl/>
          <w:lang w:bidi="fa-IR"/>
        </w:rPr>
        <w:t xml:space="preserve"> حيث قال: «إن الناس اختلفوا اختلافاً كبيراً في فهم المنفعة وتقديرها حق</w:t>
      </w:r>
      <w:r w:rsidR="0043319E" w:rsidRPr="00904FCB">
        <w:rPr>
          <w:rFonts w:ascii="Tahoma" w:hAnsi="Tahoma" w:hint="cs"/>
          <w:sz w:val="27"/>
          <w:rtl/>
          <w:lang w:bidi="fa-IR"/>
        </w:rPr>
        <w:t>ّ</w:t>
      </w:r>
      <w:r w:rsidRPr="00904FCB">
        <w:rPr>
          <w:rFonts w:ascii="Tahoma" w:hAnsi="Tahoma"/>
          <w:sz w:val="27"/>
          <w:rtl/>
          <w:lang w:bidi="fa-IR"/>
        </w:rPr>
        <w:t xml:space="preserve"> قدرها، ولذلك تشع</w:t>
      </w:r>
      <w:r w:rsidR="0043319E" w:rsidRPr="00904FCB">
        <w:rPr>
          <w:rFonts w:ascii="Tahoma" w:hAnsi="Tahoma" w:hint="cs"/>
          <w:sz w:val="27"/>
          <w:rtl/>
          <w:lang w:bidi="fa-IR"/>
        </w:rPr>
        <w:t>َّ</w:t>
      </w:r>
      <w:r w:rsidRPr="00904FCB">
        <w:rPr>
          <w:rFonts w:ascii="Tahoma" w:hAnsi="Tahoma"/>
          <w:sz w:val="27"/>
          <w:rtl/>
          <w:lang w:bidi="fa-IR"/>
        </w:rPr>
        <w:t>ب</w:t>
      </w:r>
      <w:r w:rsidR="0043319E" w:rsidRPr="00904FCB">
        <w:rPr>
          <w:rFonts w:ascii="Tahoma" w:hAnsi="Tahoma" w:hint="cs"/>
          <w:sz w:val="27"/>
          <w:rtl/>
          <w:lang w:bidi="fa-IR"/>
        </w:rPr>
        <w:t>َ</w:t>
      </w:r>
      <w:r w:rsidRPr="00904FCB">
        <w:rPr>
          <w:rFonts w:ascii="Tahoma" w:hAnsi="Tahoma"/>
          <w:sz w:val="27"/>
          <w:rtl/>
          <w:lang w:bidi="fa-IR"/>
        </w:rPr>
        <w:t>ت</w:t>
      </w:r>
      <w:r w:rsidR="0043319E" w:rsidRPr="00904FCB">
        <w:rPr>
          <w:rFonts w:ascii="Tahoma" w:hAnsi="Tahoma" w:hint="cs"/>
          <w:sz w:val="27"/>
          <w:rtl/>
          <w:lang w:bidi="fa-IR"/>
        </w:rPr>
        <w:t>ْ</w:t>
      </w:r>
      <w:r w:rsidRPr="00904FCB">
        <w:rPr>
          <w:rFonts w:ascii="Tahoma" w:hAnsi="Tahoma"/>
          <w:sz w:val="27"/>
          <w:rtl/>
          <w:lang w:bidi="fa-IR"/>
        </w:rPr>
        <w:t xml:space="preserve"> مقد</w:t>
      </w:r>
      <w:r w:rsidR="0043319E" w:rsidRPr="00904FCB">
        <w:rPr>
          <w:rFonts w:ascii="Tahoma" w:hAnsi="Tahoma" w:hint="cs"/>
          <w:sz w:val="27"/>
          <w:rtl/>
          <w:lang w:bidi="fa-IR"/>
        </w:rPr>
        <w:t>ّ</w:t>
      </w:r>
      <w:r w:rsidRPr="00904FCB">
        <w:rPr>
          <w:rFonts w:ascii="Tahoma" w:hAnsi="Tahoma"/>
          <w:sz w:val="27"/>
          <w:rtl/>
          <w:lang w:bidi="fa-IR"/>
        </w:rPr>
        <w:t>ماتهم</w:t>
      </w:r>
      <w:r w:rsidR="0043319E" w:rsidRPr="00904FCB">
        <w:rPr>
          <w:rFonts w:ascii="Tahoma" w:hAnsi="Tahoma" w:hint="cs"/>
          <w:sz w:val="27"/>
          <w:rtl/>
          <w:lang w:bidi="fa-IR"/>
        </w:rPr>
        <w:t>،</w:t>
      </w:r>
      <w:r w:rsidRPr="00904FCB">
        <w:rPr>
          <w:rFonts w:ascii="Tahoma" w:hAnsi="Tahoma"/>
          <w:sz w:val="27"/>
          <w:rtl/>
          <w:lang w:bidi="fa-IR"/>
        </w:rPr>
        <w:t xml:space="preserve"> وتباعدت نتائجهم».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sz w:val="27"/>
          <w:rtl/>
          <w:lang w:bidi="fa-IR"/>
        </w:rPr>
        <w:t>ولذا كان من أهم خصائص المنفعة لدى أرباب الن</w:t>
      </w:r>
      <w:r w:rsidR="0043319E" w:rsidRPr="00904FCB">
        <w:rPr>
          <w:rFonts w:ascii="Tahoma" w:hAnsi="Tahoma" w:hint="cs"/>
          <w:sz w:val="27"/>
          <w:rtl/>
          <w:lang w:bidi="fa-IR"/>
        </w:rPr>
        <w:t>ُّ</w:t>
      </w:r>
      <w:r w:rsidRPr="00904FCB">
        <w:rPr>
          <w:rFonts w:ascii="Tahoma" w:hAnsi="Tahoma"/>
          <w:sz w:val="27"/>
          <w:rtl/>
          <w:lang w:bidi="fa-IR"/>
        </w:rPr>
        <w:t>ظ</w:t>
      </w:r>
      <w:r w:rsidR="0043319E" w:rsidRPr="00904FCB">
        <w:rPr>
          <w:rFonts w:ascii="Tahoma" w:hAnsi="Tahoma" w:hint="cs"/>
          <w:sz w:val="27"/>
          <w:rtl/>
          <w:lang w:bidi="fa-IR"/>
        </w:rPr>
        <w:t>ُ</w:t>
      </w:r>
      <w:r w:rsidRPr="00904FCB">
        <w:rPr>
          <w:rFonts w:ascii="Tahoma" w:hAnsi="Tahoma"/>
          <w:sz w:val="27"/>
          <w:rtl/>
          <w:lang w:bidi="fa-IR"/>
        </w:rPr>
        <w:t xml:space="preserve">م الوضعية، ومنهم «باوند»، ثلاث خصائص: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b/>
          <w:bCs/>
          <w:sz w:val="27"/>
          <w:rtl/>
          <w:lang w:bidi="fa-IR"/>
        </w:rPr>
        <w:t>الأولى</w:t>
      </w:r>
      <w:r w:rsidRPr="00904FCB">
        <w:rPr>
          <w:rFonts w:ascii="Tahoma" w:hAnsi="Tahoma"/>
          <w:sz w:val="27"/>
          <w:rtl/>
          <w:lang w:bidi="fa-IR"/>
        </w:rPr>
        <w:t xml:space="preserve">: </w:t>
      </w:r>
      <w:r w:rsidR="0043319E" w:rsidRPr="00904FCB">
        <w:rPr>
          <w:rFonts w:ascii="Tahoma" w:hAnsi="Tahoma" w:hint="cs"/>
          <w:sz w:val="27"/>
          <w:rtl/>
          <w:lang w:bidi="fa-IR"/>
        </w:rPr>
        <w:t>إ</w:t>
      </w:r>
      <w:r w:rsidRPr="00904FCB">
        <w:rPr>
          <w:rFonts w:ascii="Tahoma" w:hAnsi="Tahoma"/>
          <w:sz w:val="27"/>
          <w:rtl/>
          <w:lang w:bidi="fa-IR"/>
        </w:rPr>
        <w:t>ن المعايير الزمنية التي يقيسون بها المصالح والمفاسد معايير ضيقة بعمر الدنيا وحدها، وهي عند «باوند» صورة لق</w:t>
      </w:r>
      <w:r w:rsidR="0043319E" w:rsidRPr="00904FCB">
        <w:rPr>
          <w:rFonts w:ascii="Tahoma" w:hAnsi="Tahoma" w:hint="cs"/>
          <w:sz w:val="27"/>
          <w:rtl/>
          <w:lang w:bidi="fa-IR"/>
        </w:rPr>
        <w:t>ِ</w:t>
      </w:r>
      <w:r w:rsidRPr="00904FCB">
        <w:rPr>
          <w:rFonts w:ascii="Tahoma" w:hAnsi="Tahoma"/>
          <w:sz w:val="27"/>
          <w:rtl/>
          <w:lang w:bidi="fa-IR"/>
        </w:rPr>
        <w:t>ي</w:t>
      </w:r>
      <w:r w:rsidR="0043319E" w:rsidRPr="00904FCB">
        <w:rPr>
          <w:rFonts w:ascii="Tahoma" w:hAnsi="Tahoma" w:hint="cs"/>
          <w:sz w:val="27"/>
          <w:rtl/>
          <w:lang w:bidi="fa-IR"/>
        </w:rPr>
        <w:t>َ</w:t>
      </w:r>
      <w:r w:rsidRPr="00904FCB">
        <w:rPr>
          <w:rFonts w:ascii="Tahoma" w:hAnsi="Tahoma"/>
          <w:sz w:val="27"/>
          <w:rtl/>
          <w:lang w:bidi="fa-IR"/>
        </w:rPr>
        <w:t xml:space="preserve">م الحياة الاجتماعية والسياسية والاقتصادية للنظم الوضعية في مجتمعه.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b/>
          <w:bCs/>
          <w:sz w:val="27"/>
          <w:rtl/>
          <w:lang w:bidi="fa-IR"/>
        </w:rPr>
        <w:t>الثانية</w:t>
      </w:r>
      <w:r w:rsidRPr="00904FCB">
        <w:rPr>
          <w:rFonts w:ascii="Tahoma" w:hAnsi="Tahoma"/>
          <w:sz w:val="27"/>
          <w:rtl/>
          <w:lang w:bidi="fa-IR"/>
        </w:rPr>
        <w:t xml:space="preserve">: </w:t>
      </w:r>
      <w:r w:rsidR="0043319E" w:rsidRPr="00904FCB">
        <w:rPr>
          <w:rFonts w:ascii="Tahoma" w:hAnsi="Tahoma" w:hint="cs"/>
          <w:sz w:val="27"/>
          <w:rtl/>
          <w:lang w:bidi="fa-IR"/>
        </w:rPr>
        <w:t>إ</w:t>
      </w:r>
      <w:r w:rsidRPr="00904FCB">
        <w:rPr>
          <w:rFonts w:ascii="Tahoma" w:hAnsi="Tahoma"/>
          <w:sz w:val="27"/>
          <w:rtl/>
          <w:lang w:bidi="fa-IR"/>
        </w:rPr>
        <w:t>نها مقو</w:t>
      </w:r>
      <w:r w:rsidR="0043319E" w:rsidRPr="00904FCB">
        <w:rPr>
          <w:rFonts w:ascii="Tahoma" w:hAnsi="Tahoma" w:hint="cs"/>
          <w:sz w:val="27"/>
          <w:rtl/>
          <w:lang w:bidi="fa-IR"/>
        </w:rPr>
        <w:t>ّ</w:t>
      </w:r>
      <w:r w:rsidRPr="00904FCB">
        <w:rPr>
          <w:rFonts w:ascii="Tahoma" w:hAnsi="Tahoma"/>
          <w:sz w:val="27"/>
          <w:rtl/>
          <w:lang w:bidi="fa-IR"/>
        </w:rPr>
        <w:t>مة بقيمة اللذ</w:t>
      </w:r>
      <w:r w:rsidR="0043319E" w:rsidRPr="00904FCB">
        <w:rPr>
          <w:rFonts w:ascii="Tahoma" w:hAnsi="Tahoma" w:hint="cs"/>
          <w:sz w:val="27"/>
          <w:rtl/>
          <w:lang w:bidi="fa-IR"/>
        </w:rPr>
        <w:t>ّ</w:t>
      </w:r>
      <w:r w:rsidRPr="00904FCB">
        <w:rPr>
          <w:rFonts w:ascii="Tahoma" w:hAnsi="Tahoma"/>
          <w:sz w:val="27"/>
          <w:rtl/>
          <w:lang w:bidi="fa-IR"/>
        </w:rPr>
        <w:t>ة الماد</w:t>
      </w:r>
      <w:r w:rsidR="0043319E" w:rsidRPr="00904FCB">
        <w:rPr>
          <w:rFonts w:ascii="Tahoma" w:hAnsi="Tahoma" w:hint="cs"/>
          <w:sz w:val="27"/>
          <w:rtl/>
          <w:lang w:bidi="fa-IR"/>
        </w:rPr>
        <w:t>ّ</w:t>
      </w:r>
      <w:r w:rsidRPr="00904FCB">
        <w:rPr>
          <w:rFonts w:ascii="Tahoma" w:hAnsi="Tahoma"/>
          <w:sz w:val="27"/>
          <w:rtl/>
          <w:lang w:bidi="fa-IR"/>
        </w:rPr>
        <w:t>ية فقط، سواء ر</w:t>
      </w:r>
      <w:r w:rsidR="0043319E" w:rsidRPr="00904FCB">
        <w:rPr>
          <w:rFonts w:ascii="Tahoma" w:hAnsi="Tahoma" w:hint="cs"/>
          <w:sz w:val="27"/>
          <w:rtl/>
          <w:lang w:bidi="fa-IR"/>
        </w:rPr>
        <w:t>ُ</w:t>
      </w:r>
      <w:r w:rsidRPr="00904FCB">
        <w:rPr>
          <w:rFonts w:ascii="Tahoma" w:hAnsi="Tahoma"/>
          <w:sz w:val="27"/>
          <w:rtl/>
          <w:lang w:bidi="fa-IR"/>
        </w:rPr>
        <w:t>وعي في ذلك ما تعود ثمرته على شخصية الفرد وحده، أو على الشخصية العام</w:t>
      </w:r>
      <w:r w:rsidR="0043319E" w:rsidRPr="00904FCB">
        <w:rPr>
          <w:rFonts w:ascii="Tahoma" w:hAnsi="Tahoma" w:hint="cs"/>
          <w:sz w:val="27"/>
          <w:rtl/>
          <w:lang w:bidi="fa-IR"/>
        </w:rPr>
        <w:t>ّ</w:t>
      </w:r>
      <w:r w:rsidRPr="00904FCB">
        <w:rPr>
          <w:rFonts w:ascii="Tahoma" w:hAnsi="Tahoma"/>
          <w:sz w:val="27"/>
          <w:rtl/>
          <w:lang w:bidi="fa-IR"/>
        </w:rPr>
        <w:t xml:space="preserve">ة للمجتمع. ولذا يصعب على «باوند» </w:t>
      </w:r>
      <w:r w:rsidRPr="00904FCB">
        <w:rPr>
          <w:rFonts w:ascii="Tahoma" w:hAnsi="Tahoma"/>
          <w:sz w:val="27"/>
          <w:rtl/>
          <w:lang w:bidi="fa-IR"/>
        </w:rPr>
        <w:lastRenderedPageBreak/>
        <w:t>أن يحد</w:t>
      </w:r>
      <w:r w:rsidR="0043319E" w:rsidRPr="00904FCB">
        <w:rPr>
          <w:rFonts w:ascii="Tahoma" w:hAnsi="Tahoma" w:hint="cs"/>
          <w:sz w:val="27"/>
          <w:rtl/>
          <w:lang w:bidi="fa-IR"/>
        </w:rPr>
        <w:t>ِّ</w:t>
      </w:r>
      <w:r w:rsidRPr="00904FCB">
        <w:rPr>
          <w:rFonts w:ascii="Tahoma" w:hAnsi="Tahoma"/>
          <w:sz w:val="27"/>
          <w:rtl/>
          <w:lang w:bidi="fa-IR"/>
        </w:rPr>
        <w:t>د معياراً للمصلحة يستطيع القاضي تطبيقه، ويترك الأمر لتقديره الخاص</w:t>
      </w:r>
      <w:r w:rsidR="0043319E" w:rsidRPr="00904FCB">
        <w:rPr>
          <w:rFonts w:ascii="Tahoma" w:hAnsi="Tahoma" w:hint="cs"/>
          <w:sz w:val="27"/>
          <w:rtl/>
          <w:lang w:bidi="fa-IR"/>
        </w:rPr>
        <w:t>ّ</w:t>
      </w:r>
      <w:r w:rsidRPr="00904FCB">
        <w:rPr>
          <w:rFonts w:ascii="Tahoma" w:hAnsi="Tahoma"/>
          <w:sz w:val="27"/>
          <w:rtl/>
          <w:lang w:bidi="fa-IR"/>
        </w:rPr>
        <w:t xml:space="preserve">. </w:t>
      </w:r>
    </w:p>
    <w:p w:rsidR="00644408" w:rsidRPr="00904FCB" w:rsidRDefault="00644408" w:rsidP="00062936">
      <w:pPr>
        <w:autoSpaceDE w:val="0"/>
        <w:autoSpaceDN w:val="0"/>
        <w:adjustRightInd w:val="0"/>
        <w:spacing w:line="380" w:lineRule="exact"/>
        <w:rPr>
          <w:rFonts w:ascii="Tahoma" w:hAnsi="Tahoma"/>
          <w:sz w:val="27"/>
          <w:rtl/>
          <w:lang w:bidi="fa-IR"/>
        </w:rPr>
      </w:pPr>
      <w:r w:rsidRPr="00904FCB">
        <w:rPr>
          <w:rFonts w:ascii="Tahoma" w:hAnsi="Tahoma"/>
          <w:b/>
          <w:bCs/>
          <w:sz w:val="27"/>
          <w:rtl/>
          <w:lang w:bidi="fa-IR"/>
        </w:rPr>
        <w:t>الثالثة</w:t>
      </w:r>
      <w:r w:rsidRPr="00904FCB">
        <w:rPr>
          <w:rFonts w:ascii="Tahoma" w:hAnsi="Tahoma"/>
          <w:sz w:val="27"/>
          <w:rtl/>
          <w:lang w:bidi="fa-IR"/>
        </w:rPr>
        <w:t xml:space="preserve">: اعتبار الدين فرعاً للمصلحة، أي </w:t>
      </w:r>
      <w:r w:rsidR="0043319E" w:rsidRPr="00904FCB">
        <w:rPr>
          <w:rFonts w:ascii="Tahoma" w:hAnsi="Tahoma" w:hint="cs"/>
          <w:sz w:val="27"/>
          <w:rtl/>
          <w:lang w:bidi="fa-IR"/>
        </w:rPr>
        <w:t>إ</w:t>
      </w:r>
      <w:r w:rsidRPr="00904FCB">
        <w:rPr>
          <w:rFonts w:ascii="Tahoma" w:hAnsi="Tahoma"/>
          <w:sz w:val="27"/>
          <w:rtl/>
          <w:lang w:bidi="fa-IR"/>
        </w:rPr>
        <w:t>نّه ي</w:t>
      </w:r>
      <w:r w:rsidR="0043319E" w:rsidRPr="00904FCB">
        <w:rPr>
          <w:rFonts w:ascii="Tahoma" w:hAnsi="Tahoma" w:hint="cs"/>
          <w:sz w:val="27"/>
          <w:rtl/>
          <w:lang w:bidi="fa-IR"/>
        </w:rPr>
        <w:t>ُ</w:t>
      </w:r>
      <w:r w:rsidRPr="00904FCB">
        <w:rPr>
          <w:rFonts w:ascii="Tahoma" w:hAnsi="Tahoma"/>
          <w:sz w:val="27"/>
          <w:rtl/>
          <w:lang w:bidi="fa-IR"/>
        </w:rPr>
        <w:t>س</w:t>
      </w:r>
      <w:r w:rsidR="0043319E" w:rsidRPr="00904FCB">
        <w:rPr>
          <w:rFonts w:ascii="Tahoma" w:hAnsi="Tahoma" w:hint="cs"/>
          <w:sz w:val="27"/>
          <w:rtl/>
          <w:lang w:bidi="fa-IR"/>
        </w:rPr>
        <w:t>ْ</w:t>
      </w:r>
      <w:r w:rsidRPr="00904FCB">
        <w:rPr>
          <w:rFonts w:ascii="Tahoma" w:hAnsi="Tahoma"/>
          <w:sz w:val="27"/>
          <w:rtl/>
          <w:lang w:bidi="fa-IR"/>
        </w:rPr>
        <w:t>ت</w:t>
      </w:r>
      <w:r w:rsidR="0043319E" w:rsidRPr="00904FCB">
        <w:rPr>
          <w:rFonts w:ascii="Tahoma" w:hAnsi="Tahoma" w:hint="cs"/>
          <w:sz w:val="27"/>
          <w:rtl/>
          <w:lang w:bidi="fa-IR"/>
        </w:rPr>
        <w:t>َ</w:t>
      </w:r>
      <w:r w:rsidRPr="00904FCB">
        <w:rPr>
          <w:rFonts w:ascii="Tahoma" w:hAnsi="Tahoma"/>
          <w:sz w:val="27"/>
          <w:rtl/>
          <w:lang w:bidi="fa-IR"/>
        </w:rPr>
        <w:t>عان به من حيث كونه مؤث</w:t>
      </w:r>
      <w:r w:rsidR="0043319E" w:rsidRPr="00904FCB">
        <w:rPr>
          <w:rFonts w:ascii="Tahoma" w:hAnsi="Tahoma" w:hint="cs"/>
          <w:sz w:val="27"/>
          <w:rtl/>
          <w:lang w:bidi="fa-IR"/>
        </w:rPr>
        <w:t>ِّ</w:t>
      </w:r>
      <w:r w:rsidRPr="00904FCB">
        <w:rPr>
          <w:rFonts w:ascii="Tahoma" w:hAnsi="Tahoma"/>
          <w:sz w:val="27"/>
          <w:rtl/>
          <w:lang w:bidi="fa-IR"/>
        </w:rPr>
        <w:t xml:space="preserve">راً في تنفيذ وجوه المصلحة المعتبرة لديهم. </w:t>
      </w:r>
    </w:p>
    <w:p w:rsidR="00644408" w:rsidRPr="00904FCB" w:rsidRDefault="00644408" w:rsidP="007A21AA">
      <w:pPr>
        <w:autoSpaceDE w:val="0"/>
        <w:autoSpaceDN w:val="0"/>
        <w:adjustRightInd w:val="0"/>
        <w:spacing w:line="400" w:lineRule="exact"/>
        <w:rPr>
          <w:rFonts w:ascii="Tahoma" w:hAnsi="Tahoma"/>
          <w:sz w:val="27"/>
          <w:lang w:bidi="fa-IR"/>
        </w:rPr>
      </w:pPr>
    </w:p>
    <w:p w:rsidR="00644408" w:rsidRPr="00904FCB" w:rsidRDefault="00644408" w:rsidP="007A21AA">
      <w:pPr>
        <w:pStyle w:val="31"/>
        <w:spacing w:line="400" w:lineRule="exact"/>
        <w:rPr>
          <w:color w:val="auto"/>
          <w:lang w:bidi="fa-IR"/>
        </w:rPr>
      </w:pPr>
      <w:r w:rsidRPr="00904FCB">
        <w:rPr>
          <w:rFonts w:hint="cs"/>
          <w:color w:val="auto"/>
          <w:rtl/>
          <w:lang w:bidi="fa-IR"/>
        </w:rPr>
        <w:t>هـ ـ</w:t>
      </w:r>
      <w:r w:rsidRPr="00904FCB">
        <w:rPr>
          <w:color w:val="auto"/>
          <w:rtl/>
          <w:lang w:bidi="fa-IR"/>
        </w:rPr>
        <w:t xml:space="preserve"> الترجيح بين المصالح </w:t>
      </w:r>
    </w:p>
    <w:p w:rsidR="00644408" w:rsidRPr="00904FCB" w:rsidRDefault="00644408" w:rsidP="00062936">
      <w:pPr>
        <w:autoSpaceDE w:val="0"/>
        <w:autoSpaceDN w:val="0"/>
        <w:adjustRightInd w:val="0"/>
        <w:spacing w:line="380" w:lineRule="exact"/>
        <w:rPr>
          <w:rFonts w:ascii="Tahoma" w:hAnsi="Tahoma"/>
          <w:sz w:val="27"/>
          <w:lang w:bidi="fa-IR"/>
        </w:rPr>
      </w:pPr>
      <w:r w:rsidRPr="00904FCB">
        <w:rPr>
          <w:rFonts w:ascii="Tahoma" w:hAnsi="Tahoma"/>
          <w:sz w:val="27"/>
          <w:rtl/>
          <w:lang w:bidi="fa-IR"/>
        </w:rPr>
        <w:t>يقوم الترجيح أو الموازنة بين المصالح في الفقه الإسلامي بالنظر إلى قو</w:t>
      </w:r>
      <w:r w:rsidR="00487B37" w:rsidRPr="00904FCB">
        <w:rPr>
          <w:rFonts w:ascii="Tahoma" w:hAnsi="Tahoma" w:hint="cs"/>
          <w:sz w:val="27"/>
          <w:rtl/>
          <w:lang w:bidi="fa-IR"/>
        </w:rPr>
        <w:t>ّ</w:t>
      </w:r>
      <w:r w:rsidRPr="00904FCB">
        <w:rPr>
          <w:rFonts w:ascii="Tahoma" w:hAnsi="Tahoma"/>
          <w:sz w:val="27"/>
          <w:rtl/>
          <w:lang w:bidi="fa-IR"/>
        </w:rPr>
        <w:t>تها الذاتية (ضرورية ـ حاجية ـ تحسينية)</w:t>
      </w:r>
      <w:r w:rsidR="00487B37" w:rsidRPr="00904FCB">
        <w:rPr>
          <w:rFonts w:ascii="Tahoma" w:hAnsi="Tahoma" w:hint="cs"/>
          <w:sz w:val="27"/>
          <w:rtl/>
          <w:lang w:bidi="fa-IR"/>
        </w:rPr>
        <w:t>،</w:t>
      </w:r>
      <w:r w:rsidRPr="00904FCB">
        <w:rPr>
          <w:rFonts w:ascii="Tahoma" w:hAnsi="Tahoma"/>
          <w:sz w:val="27"/>
          <w:rtl/>
          <w:lang w:bidi="fa-IR"/>
        </w:rPr>
        <w:t xml:space="preserve"> أو النظر إلى عمومها (كل</w:t>
      </w:r>
      <w:r w:rsidR="00487B37" w:rsidRPr="00904FCB">
        <w:rPr>
          <w:rFonts w:ascii="Tahoma" w:hAnsi="Tahoma" w:hint="cs"/>
          <w:sz w:val="27"/>
          <w:rtl/>
          <w:lang w:bidi="fa-IR"/>
        </w:rPr>
        <w:t>ّ</w:t>
      </w:r>
      <w:r w:rsidRPr="00904FCB">
        <w:rPr>
          <w:rFonts w:ascii="Tahoma" w:hAnsi="Tahoma"/>
          <w:sz w:val="27"/>
          <w:rtl/>
          <w:lang w:bidi="fa-IR"/>
        </w:rPr>
        <w:t>ية أو خاصة، عام</w:t>
      </w:r>
      <w:r w:rsidR="00487B37" w:rsidRPr="00904FCB">
        <w:rPr>
          <w:rFonts w:ascii="Tahoma" w:hAnsi="Tahoma" w:hint="cs"/>
          <w:sz w:val="27"/>
          <w:rtl/>
          <w:lang w:bidi="fa-IR"/>
        </w:rPr>
        <w:t>ّ</w:t>
      </w:r>
      <w:r w:rsidRPr="00904FCB">
        <w:rPr>
          <w:rFonts w:ascii="Tahoma" w:hAnsi="Tahoma"/>
          <w:sz w:val="27"/>
          <w:rtl/>
          <w:lang w:bidi="fa-IR"/>
        </w:rPr>
        <w:t>ة أو فردية)</w:t>
      </w:r>
      <w:r w:rsidR="00487B37" w:rsidRPr="00904FCB">
        <w:rPr>
          <w:rFonts w:ascii="Tahoma" w:hAnsi="Tahoma" w:hint="cs"/>
          <w:sz w:val="27"/>
          <w:rtl/>
          <w:lang w:bidi="fa-IR"/>
        </w:rPr>
        <w:t>،</w:t>
      </w:r>
      <w:r w:rsidRPr="00904FCB">
        <w:rPr>
          <w:rFonts w:ascii="Tahoma" w:hAnsi="Tahoma"/>
          <w:sz w:val="27"/>
          <w:rtl/>
          <w:lang w:bidi="fa-IR"/>
        </w:rPr>
        <w:t xml:space="preserve"> وغيرها. وبناء</w:t>
      </w:r>
      <w:r w:rsidR="00487B37" w:rsidRPr="00904FCB">
        <w:rPr>
          <w:rFonts w:ascii="Tahoma" w:hAnsi="Tahoma" w:hint="cs"/>
          <w:sz w:val="27"/>
          <w:rtl/>
          <w:lang w:bidi="fa-IR"/>
        </w:rPr>
        <w:t>ً</w:t>
      </w:r>
      <w:r w:rsidRPr="00904FCB">
        <w:rPr>
          <w:rFonts w:ascii="Tahoma" w:hAnsi="Tahoma"/>
          <w:sz w:val="27"/>
          <w:rtl/>
          <w:lang w:bidi="fa-IR"/>
        </w:rPr>
        <w:t xml:space="preserve"> عليه وضعت المصالح على ترتيب متدر</w:t>
      </w:r>
      <w:r w:rsidR="00487B37" w:rsidRPr="00904FCB">
        <w:rPr>
          <w:rFonts w:ascii="Tahoma" w:hAnsi="Tahoma" w:hint="cs"/>
          <w:sz w:val="27"/>
          <w:rtl/>
          <w:lang w:bidi="fa-IR"/>
        </w:rPr>
        <w:t>ِّ</w:t>
      </w:r>
      <w:r w:rsidRPr="00904FCB">
        <w:rPr>
          <w:rFonts w:ascii="Tahoma" w:hAnsi="Tahoma"/>
          <w:sz w:val="27"/>
          <w:rtl/>
          <w:lang w:bidi="fa-IR"/>
        </w:rPr>
        <w:t>ج يوض</w:t>
      </w:r>
      <w:r w:rsidR="00487B37" w:rsidRPr="00904FCB">
        <w:rPr>
          <w:rFonts w:ascii="Tahoma" w:hAnsi="Tahoma" w:hint="cs"/>
          <w:sz w:val="27"/>
          <w:rtl/>
          <w:lang w:bidi="fa-IR"/>
        </w:rPr>
        <w:t>ِّ</w:t>
      </w:r>
      <w:r w:rsidRPr="00904FCB">
        <w:rPr>
          <w:rFonts w:ascii="Tahoma" w:hAnsi="Tahoma"/>
          <w:sz w:val="27"/>
          <w:rtl/>
          <w:lang w:bidi="fa-IR"/>
        </w:rPr>
        <w:t>ح المصلحة الأهم والمصلحة الأدنى</w:t>
      </w:r>
      <w:r w:rsidR="00487B37" w:rsidRPr="00904FCB">
        <w:rPr>
          <w:rFonts w:ascii="Tahoma" w:hAnsi="Tahoma" w:hint="cs"/>
          <w:sz w:val="27"/>
          <w:rtl/>
          <w:lang w:bidi="fa-IR"/>
        </w:rPr>
        <w:t>،</w:t>
      </w:r>
      <w:r w:rsidRPr="00904FCB">
        <w:rPr>
          <w:rFonts w:ascii="Tahoma" w:hAnsi="Tahoma"/>
          <w:sz w:val="27"/>
          <w:rtl/>
          <w:lang w:bidi="fa-IR"/>
        </w:rPr>
        <w:t xml:space="preserve"> بحيث يقد</w:t>
      </w:r>
      <w:r w:rsidR="00487B37" w:rsidRPr="00904FCB">
        <w:rPr>
          <w:rFonts w:ascii="Tahoma" w:hAnsi="Tahoma" w:hint="cs"/>
          <w:sz w:val="27"/>
          <w:rtl/>
          <w:lang w:bidi="fa-IR"/>
        </w:rPr>
        <w:t>ّ</w:t>
      </w:r>
      <w:r w:rsidRPr="00904FCB">
        <w:rPr>
          <w:rFonts w:ascii="Tahoma" w:hAnsi="Tahoma"/>
          <w:sz w:val="27"/>
          <w:rtl/>
          <w:lang w:bidi="fa-IR"/>
        </w:rPr>
        <w:t>م مصلحة الدين على بقية المصالح، ويقد</w:t>
      </w:r>
      <w:r w:rsidR="00487B37" w:rsidRPr="00904FCB">
        <w:rPr>
          <w:rFonts w:ascii="Tahoma" w:hAnsi="Tahoma" w:hint="cs"/>
          <w:sz w:val="27"/>
          <w:rtl/>
          <w:lang w:bidi="fa-IR"/>
        </w:rPr>
        <w:t>ّ</w:t>
      </w:r>
      <w:r w:rsidRPr="00904FCB">
        <w:rPr>
          <w:rFonts w:ascii="Tahoma" w:hAnsi="Tahoma"/>
          <w:sz w:val="27"/>
          <w:rtl/>
          <w:lang w:bidi="fa-IR"/>
        </w:rPr>
        <w:t>م مصلحة الأكثرية على مصلحة الفرد أو الأقل</w:t>
      </w:r>
      <w:r w:rsidR="00487B37" w:rsidRPr="00904FCB">
        <w:rPr>
          <w:rFonts w:ascii="Tahoma" w:hAnsi="Tahoma" w:hint="cs"/>
          <w:sz w:val="27"/>
          <w:rtl/>
          <w:lang w:bidi="fa-IR"/>
        </w:rPr>
        <w:t>ّ</w:t>
      </w:r>
      <w:r w:rsidRPr="00904FCB">
        <w:rPr>
          <w:rFonts w:ascii="Tahoma" w:hAnsi="Tahoma"/>
          <w:sz w:val="27"/>
          <w:rtl/>
          <w:lang w:bidi="fa-IR"/>
        </w:rPr>
        <w:t>ية. ورصد هذا الترجيح من خلال قواعد شرعية منها «الضرر الأشد</w:t>
      </w:r>
      <w:r w:rsidR="00487B37" w:rsidRPr="00904FCB">
        <w:rPr>
          <w:rFonts w:ascii="Tahoma" w:hAnsi="Tahoma" w:hint="cs"/>
          <w:sz w:val="27"/>
          <w:rtl/>
          <w:lang w:bidi="fa-IR"/>
        </w:rPr>
        <w:t>ّ</w:t>
      </w:r>
      <w:r w:rsidRPr="00904FCB">
        <w:rPr>
          <w:rFonts w:ascii="Tahoma" w:hAnsi="Tahoma"/>
          <w:sz w:val="27"/>
          <w:rtl/>
          <w:lang w:bidi="fa-IR"/>
        </w:rPr>
        <w:t xml:space="preserve"> ي</w:t>
      </w:r>
      <w:r w:rsidR="00487B37" w:rsidRPr="00904FCB">
        <w:rPr>
          <w:rFonts w:ascii="Tahoma" w:hAnsi="Tahoma" w:hint="cs"/>
          <w:sz w:val="27"/>
          <w:rtl/>
          <w:lang w:bidi="fa-IR"/>
        </w:rPr>
        <w:t>ُ</w:t>
      </w:r>
      <w:r w:rsidRPr="00904FCB">
        <w:rPr>
          <w:rFonts w:ascii="Tahoma" w:hAnsi="Tahoma"/>
          <w:sz w:val="27"/>
          <w:rtl/>
          <w:lang w:bidi="fa-IR"/>
        </w:rPr>
        <w:t>زال بالضرر الأخف</w:t>
      </w:r>
      <w:r w:rsidR="00487B37" w:rsidRPr="00904FCB">
        <w:rPr>
          <w:rFonts w:ascii="Tahoma" w:hAnsi="Tahoma" w:hint="cs"/>
          <w:sz w:val="27"/>
          <w:rtl/>
          <w:lang w:bidi="fa-IR"/>
        </w:rPr>
        <w:t>ّ</w:t>
      </w:r>
      <w:r w:rsidRPr="00904FCB">
        <w:rPr>
          <w:rFonts w:hint="eastAsia"/>
          <w:sz w:val="27"/>
          <w:rtl/>
        </w:rPr>
        <w:t>»</w:t>
      </w:r>
      <w:r w:rsidRPr="00904FCB">
        <w:rPr>
          <w:rFonts w:ascii="Tahoma" w:hAnsi="Tahoma"/>
          <w:sz w:val="27"/>
          <w:rtl/>
          <w:lang w:bidi="fa-IR"/>
        </w:rPr>
        <w:t xml:space="preserve">. </w:t>
      </w:r>
    </w:p>
    <w:p w:rsidR="00E83C22" w:rsidRPr="00904FCB" w:rsidRDefault="00644408" w:rsidP="00062936">
      <w:pPr>
        <w:spacing w:line="380" w:lineRule="exact"/>
        <w:rPr>
          <w:rtl/>
          <w:lang w:bidi="fa-IR"/>
        </w:rPr>
      </w:pPr>
      <w:r w:rsidRPr="00904FCB">
        <w:rPr>
          <w:rtl/>
          <w:lang w:bidi="fa-IR"/>
        </w:rPr>
        <w:t>أما «باوند» فلم يتمك</w:t>
      </w:r>
      <w:r w:rsidR="00487B37" w:rsidRPr="00904FCB">
        <w:rPr>
          <w:rFonts w:hint="cs"/>
          <w:rtl/>
          <w:lang w:bidi="fa-IR"/>
        </w:rPr>
        <w:t>َّ</w:t>
      </w:r>
      <w:r w:rsidRPr="00904FCB">
        <w:rPr>
          <w:rtl/>
          <w:lang w:bidi="fa-IR"/>
        </w:rPr>
        <w:t>ن من تقديم معيار محد</w:t>
      </w:r>
      <w:r w:rsidR="00487B37" w:rsidRPr="00904FCB">
        <w:rPr>
          <w:rFonts w:hint="cs"/>
          <w:rtl/>
          <w:lang w:bidi="fa-IR"/>
        </w:rPr>
        <w:t>َّ</w:t>
      </w:r>
      <w:r w:rsidRPr="00904FCB">
        <w:rPr>
          <w:rtl/>
          <w:lang w:bidi="fa-IR"/>
        </w:rPr>
        <w:t>د للترجيح بين المصالح، حيث طالب بالاعتماد في ذلك على التجربة والعقل والع</w:t>
      </w:r>
      <w:r w:rsidR="00487B37" w:rsidRPr="00904FCB">
        <w:rPr>
          <w:rFonts w:hint="cs"/>
          <w:rtl/>
          <w:lang w:bidi="fa-IR"/>
        </w:rPr>
        <w:t>ُ</w:t>
      </w:r>
      <w:r w:rsidRPr="00904FCB">
        <w:rPr>
          <w:rtl/>
          <w:lang w:bidi="fa-IR"/>
        </w:rPr>
        <w:t>ر</w:t>
      </w:r>
      <w:r w:rsidR="00487B37" w:rsidRPr="00904FCB">
        <w:rPr>
          <w:rFonts w:hint="cs"/>
          <w:rtl/>
          <w:lang w:bidi="fa-IR"/>
        </w:rPr>
        <w:t>ْ</w:t>
      </w:r>
      <w:r w:rsidRPr="00904FCB">
        <w:rPr>
          <w:rtl/>
          <w:lang w:bidi="fa-IR"/>
        </w:rPr>
        <w:t>ف؛ والسبب في هذا العجز يكمن في اقتصار الفكر الأمريكي على تقسيم المصلحة بالنظر إلى الغاية المنشودة منها</w:t>
      </w:r>
      <w:r w:rsidR="008C473C" w:rsidRPr="00904FCB">
        <w:rPr>
          <w:rFonts w:hint="cs"/>
          <w:rtl/>
          <w:lang w:bidi="fa-IR"/>
        </w:rPr>
        <w:t>،</w:t>
      </w:r>
      <w:r w:rsidRPr="00904FCB">
        <w:rPr>
          <w:rtl/>
          <w:lang w:bidi="fa-IR"/>
        </w:rPr>
        <w:t xml:space="preserve"> دون النظر إلى المصلحة من حيث قو</w:t>
      </w:r>
      <w:r w:rsidR="008C473C" w:rsidRPr="00904FCB">
        <w:rPr>
          <w:rFonts w:hint="cs"/>
          <w:rtl/>
          <w:lang w:bidi="fa-IR"/>
        </w:rPr>
        <w:t>ّ</w:t>
      </w:r>
      <w:r w:rsidRPr="00904FCB">
        <w:rPr>
          <w:rtl/>
          <w:lang w:bidi="fa-IR"/>
        </w:rPr>
        <w:t>تها وأهميتها. وكانت المصالح عنده انعكاس</w:t>
      </w:r>
      <w:r w:rsidR="008C473C" w:rsidRPr="00904FCB">
        <w:rPr>
          <w:rFonts w:hint="cs"/>
          <w:rtl/>
          <w:lang w:bidi="fa-IR"/>
        </w:rPr>
        <w:t>اً</w:t>
      </w:r>
      <w:r w:rsidRPr="00904FCB">
        <w:rPr>
          <w:rtl/>
          <w:lang w:bidi="fa-IR"/>
        </w:rPr>
        <w:t xml:space="preserve"> لمصالح مجتمع محد</w:t>
      </w:r>
      <w:r w:rsidR="008C473C" w:rsidRPr="00904FCB">
        <w:rPr>
          <w:rFonts w:hint="cs"/>
          <w:rtl/>
          <w:lang w:bidi="fa-IR"/>
        </w:rPr>
        <w:t>َّ</w:t>
      </w:r>
      <w:r w:rsidRPr="00904FCB">
        <w:rPr>
          <w:rtl/>
          <w:lang w:bidi="fa-IR"/>
        </w:rPr>
        <w:t>د عاش فيه، وهي مصالح المجتمع التجاري الاقتصادي الأمريكي</w:t>
      </w:r>
      <w:r w:rsidR="008C473C" w:rsidRPr="00904FCB">
        <w:rPr>
          <w:rFonts w:hint="cs"/>
          <w:rtl/>
          <w:lang w:bidi="fa-IR"/>
        </w:rPr>
        <w:t>،</w:t>
      </w:r>
      <w:r w:rsidRPr="00904FCB">
        <w:rPr>
          <w:rtl/>
          <w:lang w:bidi="fa-IR"/>
        </w:rPr>
        <w:t xml:space="preserve"> وما يحتاجه من مصالح اجتماعية تتوافق مع شروط هذا المجتمع. ومن هنا لا نستطيع القول</w:t>
      </w:r>
      <w:r w:rsidR="008C473C" w:rsidRPr="00904FCB">
        <w:rPr>
          <w:rFonts w:hint="cs"/>
          <w:rtl/>
          <w:lang w:bidi="fa-IR"/>
        </w:rPr>
        <w:t>:</w:t>
      </w:r>
      <w:r w:rsidRPr="00904FCB">
        <w:rPr>
          <w:rtl/>
          <w:lang w:bidi="fa-IR"/>
        </w:rPr>
        <w:t xml:space="preserve"> إن هذه النظرية يمكن تعميمها</w:t>
      </w:r>
      <w:r w:rsidR="008C473C" w:rsidRPr="00904FCB">
        <w:rPr>
          <w:rFonts w:hint="cs"/>
          <w:rtl/>
          <w:lang w:bidi="fa-IR"/>
        </w:rPr>
        <w:t>؛</w:t>
      </w:r>
      <w:r w:rsidRPr="00904FCB">
        <w:rPr>
          <w:rtl/>
          <w:lang w:bidi="fa-IR"/>
        </w:rPr>
        <w:t xml:space="preserve"> لأنها نظرية مرتبطة بزمان</w:t>
      </w:r>
      <w:r w:rsidR="008C473C" w:rsidRPr="00904FCB">
        <w:rPr>
          <w:rFonts w:hint="cs"/>
          <w:rtl/>
          <w:lang w:bidi="fa-IR"/>
        </w:rPr>
        <w:t>ٍ</w:t>
      </w:r>
      <w:r w:rsidRPr="00904FCB">
        <w:rPr>
          <w:rtl/>
          <w:lang w:bidi="fa-IR"/>
        </w:rPr>
        <w:t xml:space="preserve"> ومكان ومجتمع معين</w:t>
      </w:r>
      <w:r w:rsidR="008C473C" w:rsidRPr="00904FCB">
        <w:rPr>
          <w:rFonts w:hint="cs"/>
          <w:rtl/>
          <w:lang w:bidi="fa-IR"/>
        </w:rPr>
        <w:t>.</w:t>
      </w:r>
      <w:r w:rsidRPr="00904FCB">
        <w:rPr>
          <w:rtl/>
          <w:lang w:bidi="fa-IR"/>
        </w:rPr>
        <w:t xml:space="preserve"> أما نظرية المصلحة كما حد</w:t>
      </w:r>
      <w:r w:rsidR="008C473C" w:rsidRPr="00904FCB">
        <w:rPr>
          <w:rFonts w:hint="cs"/>
          <w:rtl/>
          <w:lang w:bidi="fa-IR"/>
        </w:rPr>
        <w:t>َّ</w:t>
      </w:r>
      <w:r w:rsidRPr="00904FCB">
        <w:rPr>
          <w:rtl/>
          <w:lang w:bidi="fa-IR"/>
        </w:rPr>
        <w:t>دتها الشريعة الإسلامية</w:t>
      </w:r>
      <w:r w:rsidR="008C473C" w:rsidRPr="00904FCB">
        <w:rPr>
          <w:rFonts w:hint="cs"/>
          <w:rtl/>
          <w:lang w:bidi="fa-IR"/>
        </w:rPr>
        <w:t>،</w:t>
      </w:r>
      <w:r w:rsidRPr="00904FCB">
        <w:rPr>
          <w:rtl/>
          <w:lang w:bidi="fa-IR"/>
        </w:rPr>
        <w:t xml:space="preserve"> ووضعت ميزان ترجيحها، فهي نظري</w:t>
      </w:r>
      <w:r w:rsidR="008C473C" w:rsidRPr="00904FCB">
        <w:rPr>
          <w:rFonts w:hint="cs"/>
          <w:rtl/>
          <w:lang w:bidi="fa-IR"/>
        </w:rPr>
        <w:t>ّ</w:t>
      </w:r>
      <w:r w:rsidRPr="00904FCB">
        <w:rPr>
          <w:rtl/>
          <w:lang w:bidi="fa-IR"/>
        </w:rPr>
        <w:t>ة</w:t>
      </w:r>
      <w:r w:rsidR="008C473C" w:rsidRPr="00904FCB">
        <w:rPr>
          <w:rFonts w:hint="cs"/>
          <w:rtl/>
          <w:lang w:bidi="fa-IR"/>
        </w:rPr>
        <w:t>ٌ</w:t>
      </w:r>
      <w:r w:rsidRPr="00904FCB">
        <w:rPr>
          <w:rtl/>
          <w:lang w:bidi="fa-IR"/>
        </w:rPr>
        <w:t xml:space="preserve"> يمكن لأي</w:t>
      </w:r>
      <w:r w:rsidR="008C473C" w:rsidRPr="00904FCB">
        <w:rPr>
          <w:rFonts w:hint="cs"/>
          <w:rtl/>
          <w:lang w:bidi="fa-IR"/>
        </w:rPr>
        <w:t>ّ</w:t>
      </w:r>
      <w:r w:rsidRPr="00904FCB">
        <w:rPr>
          <w:rtl/>
          <w:lang w:bidi="fa-IR"/>
        </w:rPr>
        <w:t xml:space="preserve"> مجتمع</w:t>
      </w:r>
      <w:r w:rsidR="008C473C" w:rsidRPr="00904FCB">
        <w:rPr>
          <w:rFonts w:hint="cs"/>
          <w:rtl/>
          <w:lang w:bidi="fa-IR"/>
        </w:rPr>
        <w:t>ٍ</w:t>
      </w:r>
      <w:r w:rsidRPr="00904FCB">
        <w:rPr>
          <w:rtl/>
          <w:lang w:bidi="fa-IR"/>
        </w:rPr>
        <w:t xml:space="preserve"> ـ على طول الزمان وسعة المكان ـ الأخذ بها</w:t>
      </w:r>
      <w:r w:rsidR="008C473C" w:rsidRPr="00904FCB">
        <w:rPr>
          <w:rFonts w:hint="cs"/>
          <w:rtl/>
          <w:lang w:bidi="fa-IR"/>
        </w:rPr>
        <w:t>؛</w:t>
      </w:r>
      <w:r w:rsidRPr="00904FCB">
        <w:rPr>
          <w:rtl/>
          <w:lang w:bidi="fa-IR"/>
        </w:rPr>
        <w:t xml:space="preserve"> لأنها نظرية متكاملة في المصالح</w:t>
      </w:r>
      <w:r w:rsidR="008C473C" w:rsidRPr="00904FCB">
        <w:rPr>
          <w:rFonts w:hint="cs"/>
          <w:rtl/>
          <w:lang w:bidi="fa-IR"/>
        </w:rPr>
        <w:t>،</w:t>
      </w:r>
      <w:r w:rsidRPr="00904FCB">
        <w:rPr>
          <w:rtl/>
          <w:lang w:bidi="fa-IR"/>
        </w:rPr>
        <w:t xml:space="preserve"> لا تتوق</w:t>
      </w:r>
      <w:r w:rsidR="008C473C" w:rsidRPr="00904FCB">
        <w:rPr>
          <w:rFonts w:hint="cs"/>
          <w:rtl/>
          <w:lang w:bidi="fa-IR"/>
        </w:rPr>
        <w:t>َّ</w:t>
      </w:r>
      <w:r w:rsidRPr="00904FCB">
        <w:rPr>
          <w:rtl/>
          <w:lang w:bidi="fa-IR"/>
        </w:rPr>
        <w:t>ف عند الجوانب الاجتماعية الإنسانية الدنيوية فقط، بل تخط</w:t>
      </w:r>
      <w:r w:rsidR="008C473C" w:rsidRPr="00904FCB">
        <w:rPr>
          <w:rFonts w:hint="cs"/>
          <w:rtl/>
          <w:lang w:bidi="fa-IR"/>
        </w:rPr>
        <w:t>َّ</w:t>
      </w:r>
      <w:r w:rsidRPr="00904FCB">
        <w:rPr>
          <w:rtl/>
          <w:lang w:bidi="fa-IR"/>
        </w:rPr>
        <w:t>ت</w:t>
      </w:r>
      <w:r w:rsidR="008C473C" w:rsidRPr="00904FCB">
        <w:rPr>
          <w:rFonts w:hint="cs"/>
          <w:rtl/>
          <w:lang w:bidi="fa-IR"/>
        </w:rPr>
        <w:t>ْ</w:t>
      </w:r>
      <w:r w:rsidRPr="00904FCB">
        <w:rPr>
          <w:rtl/>
          <w:lang w:bidi="fa-IR"/>
        </w:rPr>
        <w:t>ها إلى كاف</w:t>
      </w:r>
      <w:r w:rsidR="008C473C" w:rsidRPr="00904FCB">
        <w:rPr>
          <w:rFonts w:hint="cs"/>
          <w:rtl/>
          <w:lang w:bidi="fa-IR"/>
        </w:rPr>
        <w:t>ّ</w:t>
      </w:r>
      <w:r w:rsidRPr="00904FCB">
        <w:rPr>
          <w:rtl/>
          <w:lang w:bidi="fa-IR"/>
        </w:rPr>
        <w:t>ة الجوانب، بل إلى ما وراء هذه الحياة.</w:t>
      </w:r>
    </w:p>
    <w:p w:rsidR="00E83C22" w:rsidRPr="00904FCB" w:rsidRDefault="00E83C22" w:rsidP="007A21AA">
      <w:pPr>
        <w:spacing w:line="400" w:lineRule="exact"/>
        <w:rPr>
          <w:rtl/>
        </w:rPr>
      </w:pPr>
    </w:p>
    <w:p w:rsidR="00E83C22" w:rsidRDefault="00E83C22" w:rsidP="007A21AA">
      <w:pPr>
        <w:spacing w:line="400" w:lineRule="exact"/>
        <w:rPr>
          <w:rtl/>
        </w:rPr>
      </w:pPr>
    </w:p>
    <w:p w:rsidR="009A5201" w:rsidRDefault="009A5201" w:rsidP="007A21AA">
      <w:pPr>
        <w:spacing w:line="400" w:lineRule="exact"/>
        <w:rPr>
          <w:rtl/>
        </w:rPr>
      </w:pPr>
    </w:p>
    <w:p w:rsidR="009A5201" w:rsidRDefault="009A5201" w:rsidP="007A21AA">
      <w:pPr>
        <w:spacing w:line="400" w:lineRule="exact"/>
        <w:rPr>
          <w:rtl/>
        </w:rPr>
      </w:pPr>
    </w:p>
    <w:p w:rsidR="009A5201" w:rsidRPr="00904FCB" w:rsidRDefault="009A5201"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91"/>
          <w:headerReference w:type="default" r:id="rId92"/>
          <w:footerReference w:type="even" r:id="rId93"/>
          <w:foot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2B0FE9" w:rsidP="00062936">
      <w:pPr>
        <w:pStyle w:val="10"/>
        <w:spacing w:line="240" w:lineRule="auto"/>
        <w:rPr>
          <w:rtl/>
        </w:rPr>
      </w:pPr>
      <w:bookmarkStart w:id="30" w:name="_Toc435577192"/>
      <w:r w:rsidRPr="00904FCB">
        <w:rPr>
          <w:rFonts w:hint="cs"/>
          <w:rtl/>
          <w:lang w:bidi="fa-IR"/>
        </w:rPr>
        <w:t>الأسس الدينيّة للأصوليّة اليهوديّة</w:t>
      </w:r>
      <w:bookmarkEnd w:id="30"/>
    </w:p>
    <w:p w:rsidR="00E83C22" w:rsidRPr="00904FCB" w:rsidRDefault="00E83C22" w:rsidP="007A21AA">
      <w:pPr>
        <w:spacing w:line="400" w:lineRule="exact"/>
        <w:rPr>
          <w:rtl/>
        </w:rPr>
      </w:pPr>
    </w:p>
    <w:p w:rsidR="00E83C22" w:rsidRPr="00904FCB" w:rsidRDefault="002B0FE9" w:rsidP="007A21AA">
      <w:pPr>
        <w:pStyle w:val="Author"/>
        <w:spacing w:line="400" w:lineRule="exact"/>
        <w:rPr>
          <w:rtl/>
        </w:rPr>
      </w:pPr>
      <w:bookmarkStart w:id="31" w:name="_Toc435577193"/>
      <w:r w:rsidRPr="00904FCB">
        <w:rPr>
          <w:rFonts w:hint="cs"/>
          <w:rtl/>
          <w:lang w:bidi="fa-IR"/>
        </w:rPr>
        <w:t>أ. د. عبد الأمير كاظم زاهد</w:t>
      </w:r>
      <w:r w:rsidR="00527634" w:rsidRPr="00904FCB">
        <w:rPr>
          <w:rFonts w:cs="Taher" w:hint="cs"/>
          <w:vertAlign w:val="superscript"/>
          <w:rtl/>
        </w:rPr>
        <w:t>(</w:t>
      </w:r>
      <w:r w:rsidR="00527634" w:rsidRPr="00904FCB">
        <w:rPr>
          <w:rFonts w:cs="Taher"/>
          <w:vertAlign w:val="superscript"/>
          <w:rtl/>
        </w:rPr>
        <w:footnoteReference w:customMarkFollows="1" w:id="10"/>
        <w:t>*)</w:t>
      </w:r>
      <w:bookmarkEnd w:id="31"/>
    </w:p>
    <w:p w:rsidR="00E83C22" w:rsidRPr="00904FCB" w:rsidRDefault="00E83C22" w:rsidP="007A21AA">
      <w:pPr>
        <w:spacing w:line="400" w:lineRule="exact"/>
        <w:rPr>
          <w:rtl/>
        </w:rPr>
      </w:pPr>
    </w:p>
    <w:p w:rsidR="00952E59" w:rsidRPr="00904FCB" w:rsidRDefault="00952E59" w:rsidP="007A21AA">
      <w:pPr>
        <w:pStyle w:val="31"/>
        <w:spacing w:line="400" w:lineRule="exact"/>
        <w:rPr>
          <w:color w:val="auto"/>
          <w:rtl/>
          <w:lang w:bidi="ar-IQ"/>
        </w:rPr>
      </w:pPr>
      <w:r w:rsidRPr="00904FCB">
        <w:rPr>
          <w:rFonts w:hint="cs"/>
          <w:color w:val="auto"/>
          <w:rtl/>
          <w:lang w:bidi="ar-IQ"/>
        </w:rPr>
        <w:t>مدخل</w:t>
      </w:r>
      <w:r w:rsidR="002B0FE9" w:rsidRPr="00904FCB">
        <w:rPr>
          <w:rFonts w:hint="cs"/>
          <w:color w:val="auto"/>
          <w:rtl/>
          <w:lang w:bidi="ar-IQ"/>
        </w:rPr>
        <w:t>ٌ</w:t>
      </w:r>
    </w:p>
    <w:p w:rsidR="00D80637" w:rsidRPr="00904FCB" w:rsidRDefault="00952E59" w:rsidP="006226C1">
      <w:pPr>
        <w:spacing w:line="410" w:lineRule="exact"/>
        <w:ind w:firstLine="561"/>
        <w:rPr>
          <w:sz w:val="27"/>
          <w:lang w:bidi="ar-IQ"/>
        </w:rPr>
      </w:pPr>
      <w:r w:rsidRPr="00904FCB">
        <w:rPr>
          <w:rFonts w:hint="cs"/>
          <w:sz w:val="27"/>
          <w:rtl/>
          <w:lang w:bidi="ar-IQ"/>
        </w:rPr>
        <w:t xml:space="preserve">يهدف هذا البحث </w:t>
      </w:r>
      <w:r w:rsidR="00D80637" w:rsidRPr="00904FCB">
        <w:rPr>
          <w:rFonts w:hint="cs"/>
          <w:sz w:val="27"/>
          <w:rtl/>
          <w:lang w:bidi="ar-IQ"/>
        </w:rPr>
        <w:t>إ</w:t>
      </w:r>
      <w:r w:rsidRPr="00904FCB">
        <w:rPr>
          <w:rFonts w:hint="cs"/>
          <w:sz w:val="27"/>
          <w:rtl/>
          <w:lang w:bidi="ar-IQ"/>
        </w:rPr>
        <w:t>لى اكتشاف دور النص</w:t>
      </w:r>
      <w:r w:rsidR="00D80637" w:rsidRPr="00904FCB">
        <w:rPr>
          <w:rFonts w:hint="cs"/>
          <w:sz w:val="27"/>
          <w:rtl/>
          <w:lang w:bidi="ar-IQ"/>
        </w:rPr>
        <w:t>ّ</w:t>
      </w:r>
      <w:r w:rsidRPr="00904FCB">
        <w:rPr>
          <w:rFonts w:hint="cs"/>
          <w:sz w:val="27"/>
          <w:rtl/>
          <w:lang w:bidi="ar-IQ"/>
        </w:rPr>
        <w:t xml:space="preserve"> الديني في خلق القيم العامة التي تشكل العقل المعرفي ال</w:t>
      </w:r>
      <w:r w:rsidR="006226C1">
        <w:rPr>
          <w:rFonts w:hint="cs"/>
          <w:sz w:val="27"/>
          <w:rtl/>
          <w:lang w:bidi="ar-IQ"/>
        </w:rPr>
        <w:t>إ</w:t>
      </w:r>
      <w:r w:rsidRPr="00904FCB">
        <w:rPr>
          <w:rFonts w:hint="cs"/>
          <w:sz w:val="27"/>
          <w:rtl/>
          <w:lang w:bidi="ar-IQ"/>
        </w:rPr>
        <w:t>نساني، والقيم السلوكية</w:t>
      </w:r>
      <w:r w:rsidR="00D80637" w:rsidRPr="00904FCB">
        <w:rPr>
          <w:rFonts w:hint="cs"/>
          <w:sz w:val="27"/>
          <w:rtl/>
          <w:lang w:bidi="ar-IQ"/>
        </w:rPr>
        <w:t>،</w:t>
      </w:r>
      <w:r w:rsidRPr="00904FCB">
        <w:rPr>
          <w:rFonts w:hint="cs"/>
          <w:sz w:val="27"/>
          <w:rtl/>
          <w:lang w:bidi="ar-IQ"/>
        </w:rPr>
        <w:t xml:space="preserve"> سواء بمعطياتها المباشرة </w:t>
      </w:r>
      <w:r w:rsidR="00D80637" w:rsidRPr="00904FCB">
        <w:rPr>
          <w:rFonts w:hint="cs"/>
          <w:sz w:val="27"/>
          <w:rtl/>
          <w:lang w:bidi="ar-IQ"/>
        </w:rPr>
        <w:t>أ</w:t>
      </w:r>
      <w:r w:rsidRPr="00904FCB">
        <w:rPr>
          <w:rFonts w:hint="cs"/>
          <w:sz w:val="27"/>
          <w:rtl/>
          <w:lang w:bidi="ar-IQ"/>
        </w:rPr>
        <w:t>و ب</w:t>
      </w:r>
      <w:r w:rsidR="006226C1">
        <w:rPr>
          <w:rFonts w:hint="cs"/>
          <w:sz w:val="27"/>
          <w:rtl/>
          <w:lang w:bidi="ar-IQ"/>
        </w:rPr>
        <w:t>إ</w:t>
      </w:r>
      <w:r w:rsidRPr="00904FCB">
        <w:rPr>
          <w:rFonts w:hint="cs"/>
          <w:sz w:val="27"/>
          <w:rtl/>
          <w:lang w:bidi="ar-IQ"/>
        </w:rPr>
        <w:t>مكان تداولها الت</w:t>
      </w:r>
      <w:r w:rsidR="00D80637" w:rsidRPr="00904FCB">
        <w:rPr>
          <w:rFonts w:hint="cs"/>
          <w:sz w:val="27"/>
          <w:rtl/>
          <w:lang w:bidi="ar-IQ"/>
        </w:rPr>
        <w:t>أ</w:t>
      </w:r>
      <w:r w:rsidRPr="00904FCB">
        <w:rPr>
          <w:rFonts w:hint="cs"/>
          <w:sz w:val="27"/>
          <w:rtl/>
          <w:lang w:bidi="ar-IQ"/>
        </w:rPr>
        <w:t>ويلي</w:t>
      </w:r>
      <w:r w:rsidR="00D80637" w:rsidRPr="00904FCB">
        <w:rPr>
          <w:rFonts w:hint="cs"/>
          <w:sz w:val="27"/>
          <w:rtl/>
          <w:lang w:bidi="ar-IQ"/>
        </w:rPr>
        <w:t>،</w:t>
      </w:r>
      <w:r w:rsidRPr="00904FCB">
        <w:rPr>
          <w:rFonts w:hint="cs"/>
          <w:sz w:val="27"/>
          <w:rtl/>
          <w:lang w:bidi="ar-IQ"/>
        </w:rPr>
        <w:t xml:space="preserve"> واستنباط الرؤية لل</w:t>
      </w:r>
      <w:r w:rsidR="00D80637" w:rsidRPr="00904FCB">
        <w:rPr>
          <w:rFonts w:hint="cs"/>
          <w:sz w:val="27"/>
          <w:rtl/>
          <w:lang w:bidi="ar-IQ"/>
        </w:rPr>
        <w:t>آ</w:t>
      </w:r>
      <w:r w:rsidRPr="00904FCB">
        <w:rPr>
          <w:rFonts w:hint="cs"/>
          <w:sz w:val="27"/>
          <w:rtl/>
          <w:lang w:bidi="ar-IQ"/>
        </w:rPr>
        <w:t xml:space="preserve">خر الديني </w:t>
      </w:r>
      <w:r w:rsidR="00D80637" w:rsidRPr="00904FCB">
        <w:rPr>
          <w:rFonts w:hint="cs"/>
          <w:sz w:val="27"/>
          <w:rtl/>
          <w:lang w:bidi="ar-IQ"/>
        </w:rPr>
        <w:t>أ</w:t>
      </w:r>
      <w:r w:rsidRPr="00904FCB">
        <w:rPr>
          <w:rFonts w:hint="cs"/>
          <w:sz w:val="27"/>
          <w:rtl/>
          <w:lang w:bidi="ar-IQ"/>
        </w:rPr>
        <w:t>و العرقي من خلالها</w:t>
      </w:r>
      <w:r w:rsidR="00D80637" w:rsidRPr="00904FCB">
        <w:rPr>
          <w:rFonts w:hint="cs"/>
          <w:sz w:val="27"/>
          <w:rtl/>
          <w:lang w:bidi="ar-IQ"/>
        </w:rPr>
        <w:t>.</w:t>
      </w:r>
    </w:p>
    <w:p w:rsidR="00952E59" w:rsidRPr="00904FCB" w:rsidRDefault="00952E59" w:rsidP="006226C1">
      <w:pPr>
        <w:spacing w:line="410" w:lineRule="exact"/>
        <w:ind w:firstLine="561"/>
        <w:rPr>
          <w:sz w:val="27"/>
          <w:rtl/>
          <w:lang w:bidi="ar-IQ"/>
        </w:rPr>
      </w:pPr>
      <w:r w:rsidRPr="00904FCB">
        <w:rPr>
          <w:rFonts w:hint="cs"/>
          <w:sz w:val="27"/>
          <w:rtl/>
          <w:lang w:bidi="ar-IQ"/>
        </w:rPr>
        <w:t xml:space="preserve">كما يهدف </w:t>
      </w:r>
      <w:r w:rsidR="00D80637" w:rsidRPr="00904FCB">
        <w:rPr>
          <w:rFonts w:hint="cs"/>
          <w:sz w:val="27"/>
          <w:rtl/>
          <w:lang w:bidi="ar-IQ"/>
        </w:rPr>
        <w:t>إ</w:t>
      </w:r>
      <w:r w:rsidRPr="00904FCB">
        <w:rPr>
          <w:rFonts w:hint="cs"/>
          <w:sz w:val="27"/>
          <w:rtl/>
          <w:lang w:bidi="ar-IQ"/>
        </w:rPr>
        <w:t>لى تلم</w:t>
      </w:r>
      <w:r w:rsidR="006226C1">
        <w:rPr>
          <w:rFonts w:hint="cs"/>
          <w:sz w:val="27"/>
          <w:rtl/>
          <w:lang w:bidi="ar-IQ"/>
        </w:rPr>
        <w:t>ّ</w:t>
      </w:r>
      <w:r w:rsidRPr="00904FCB">
        <w:rPr>
          <w:rFonts w:hint="cs"/>
          <w:sz w:val="27"/>
          <w:rtl/>
          <w:lang w:bidi="ar-IQ"/>
        </w:rPr>
        <w:t>س ال</w:t>
      </w:r>
      <w:r w:rsidR="00D80637" w:rsidRPr="00904FCB">
        <w:rPr>
          <w:rFonts w:hint="cs"/>
          <w:sz w:val="27"/>
          <w:rtl/>
          <w:lang w:bidi="ar-LB"/>
        </w:rPr>
        <w:t>إ</w:t>
      </w:r>
      <w:r w:rsidRPr="00904FCB">
        <w:rPr>
          <w:rFonts w:hint="cs"/>
          <w:sz w:val="27"/>
          <w:rtl/>
          <w:lang w:bidi="ar-IQ"/>
        </w:rPr>
        <w:t>جابة عن سؤال مهم</w:t>
      </w:r>
      <w:r w:rsidR="00D80637" w:rsidRPr="00904FCB">
        <w:rPr>
          <w:rFonts w:hint="cs"/>
          <w:sz w:val="27"/>
          <w:rtl/>
          <w:lang w:bidi="ar-IQ"/>
        </w:rPr>
        <w:t>،</w:t>
      </w:r>
      <w:r w:rsidRPr="00904FCB">
        <w:rPr>
          <w:rFonts w:hint="cs"/>
          <w:sz w:val="27"/>
          <w:rtl/>
          <w:lang w:bidi="ar-IQ"/>
        </w:rPr>
        <w:t xml:space="preserve"> وهو</w:t>
      </w:r>
      <w:r w:rsidR="00D80637" w:rsidRPr="00904FCB">
        <w:rPr>
          <w:rFonts w:hint="cs"/>
          <w:sz w:val="27"/>
          <w:rtl/>
          <w:lang w:bidi="ar-IQ"/>
        </w:rPr>
        <w:t>:</w:t>
      </w:r>
      <w:r w:rsidRPr="00904FCB">
        <w:rPr>
          <w:rFonts w:hint="cs"/>
          <w:sz w:val="27"/>
          <w:rtl/>
          <w:lang w:bidi="ar-IQ"/>
        </w:rPr>
        <w:t xml:space="preserve"> هل الوسط (الديني) وسط تنمو فيه ال</w:t>
      </w:r>
      <w:r w:rsidR="00D80637" w:rsidRPr="00904FCB">
        <w:rPr>
          <w:rFonts w:hint="cs"/>
          <w:sz w:val="27"/>
          <w:rtl/>
          <w:lang w:bidi="ar-IQ"/>
        </w:rPr>
        <w:t>أ</w:t>
      </w:r>
      <w:r w:rsidRPr="00904FCB">
        <w:rPr>
          <w:rFonts w:hint="cs"/>
          <w:sz w:val="27"/>
          <w:rtl/>
          <w:lang w:bidi="ar-IQ"/>
        </w:rPr>
        <w:t xml:space="preserve">صوليات </w:t>
      </w:r>
      <w:r w:rsidR="00D80637" w:rsidRPr="00904FCB">
        <w:rPr>
          <w:rFonts w:hint="cs"/>
          <w:sz w:val="27"/>
          <w:rtl/>
          <w:lang w:bidi="ar-IQ"/>
        </w:rPr>
        <w:t>أ</w:t>
      </w:r>
      <w:r w:rsidRPr="00904FCB">
        <w:rPr>
          <w:rFonts w:hint="cs"/>
          <w:sz w:val="27"/>
          <w:rtl/>
          <w:lang w:bidi="ar-IQ"/>
        </w:rPr>
        <w:t>كثر من الوسط</w:t>
      </w:r>
      <w:r w:rsidR="002B0FE9" w:rsidRPr="00904FCB">
        <w:rPr>
          <w:rFonts w:hint="cs"/>
          <w:sz w:val="27"/>
          <w:rtl/>
          <w:lang w:bidi="ar-IQ"/>
        </w:rPr>
        <w:t xml:space="preserve"> </w:t>
      </w:r>
      <w:r w:rsidRPr="00904FCB">
        <w:rPr>
          <w:rFonts w:hint="cs"/>
          <w:sz w:val="27"/>
          <w:rtl/>
          <w:lang w:bidi="ar-IQ"/>
        </w:rPr>
        <w:t>(غير الديني)</w:t>
      </w:r>
      <w:r w:rsidR="00D80637" w:rsidRPr="00904FCB">
        <w:rPr>
          <w:rFonts w:hint="cs"/>
          <w:sz w:val="27"/>
          <w:rtl/>
          <w:lang w:bidi="ar-IQ"/>
        </w:rPr>
        <w:t>؟</w:t>
      </w:r>
      <w:r w:rsidRPr="00904FCB">
        <w:rPr>
          <w:rFonts w:hint="cs"/>
          <w:sz w:val="27"/>
          <w:rtl/>
          <w:lang w:bidi="ar-IQ"/>
        </w:rPr>
        <w:t xml:space="preserve"> </w:t>
      </w:r>
    </w:p>
    <w:p w:rsidR="00952E59" w:rsidRPr="00904FCB" w:rsidRDefault="00952E59" w:rsidP="006226C1">
      <w:pPr>
        <w:spacing w:line="410" w:lineRule="exact"/>
        <w:ind w:firstLine="561"/>
        <w:rPr>
          <w:sz w:val="27"/>
          <w:rtl/>
          <w:lang w:bidi="ar-IQ"/>
        </w:rPr>
      </w:pPr>
      <w:r w:rsidRPr="00904FCB">
        <w:rPr>
          <w:rFonts w:hint="cs"/>
          <w:sz w:val="27"/>
          <w:rtl/>
          <w:lang w:bidi="ar-IQ"/>
        </w:rPr>
        <w:t xml:space="preserve">ويهدف البحث </w:t>
      </w:r>
      <w:r w:rsidR="00D80637" w:rsidRPr="00904FCB">
        <w:rPr>
          <w:rFonts w:hint="cs"/>
          <w:sz w:val="27"/>
          <w:rtl/>
          <w:lang w:bidi="ar-IQ"/>
        </w:rPr>
        <w:t>إ</w:t>
      </w:r>
      <w:r w:rsidRPr="00904FCB">
        <w:rPr>
          <w:rFonts w:hint="cs"/>
          <w:sz w:val="27"/>
          <w:rtl/>
          <w:lang w:bidi="ar-IQ"/>
        </w:rPr>
        <w:t xml:space="preserve">لى البرهنة على </w:t>
      </w:r>
      <w:r w:rsidR="00D80637" w:rsidRPr="00904FCB">
        <w:rPr>
          <w:rFonts w:hint="cs"/>
          <w:sz w:val="27"/>
          <w:rtl/>
          <w:lang w:bidi="ar-IQ"/>
        </w:rPr>
        <w:t>أ</w:t>
      </w:r>
      <w:r w:rsidRPr="00904FCB">
        <w:rPr>
          <w:rFonts w:hint="cs"/>
          <w:sz w:val="27"/>
          <w:rtl/>
          <w:lang w:bidi="ar-IQ"/>
        </w:rPr>
        <w:t>ن ظهور ال</w:t>
      </w:r>
      <w:r w:rsidR="00D80637" w:rsidRPr="00904FCB">
        <w:rPr>
          <w:rFonts w:hint="cs"/>
          <w:sz w:val="27"/>
          <w:rtl/>
          <w:lang w:bidi="ar-IQ"/>
        </w:rPr>
        <w:t>أ</w:t>
      </w:r>
      <w:r w:rsidRPr="00904FCB">
        <w:rPr>
          <w:rFonts w:hint="cs"/>
          <w:sz w:val="27"/>
          <w:rtl/>
          <w:lang w:bidi="ar-IQ"/>
        </w:rPr>
        <w:t>صوليات في دين</w:t>
      </w:r>
      <w:r w:rsidR="00D80637" w:rsidRPr="00904FCB">
        <w:rPr>
          <w:rFonts w:hint="cs"/>
          <w:sz w:val="27"/>
          <w:rtl/>
          <w:lang w:bidi="ar-IQ"/>
        </w:rPr>
        <w:t>ٍ</w:t>
      </w:r>
      <w:r w:rsidRPr="00904FCB">
        <w:rPr>
          <w:rFonts w:hint="cs"/>
          <w:sz w:val="27"/>
          <w:rtl/>
          <w:lang w:bidi="ar-IQ"/>
        </w:rPr>
        <w:t xml:space="preserve"> ما أو في عصر من العصور لا</w:t>
      </w:r>
      <w:r w:rsidR="00D80637" w:rsidRPr="00904FCB">
        <w:rPr>
          <w:rFonts w:hint="cs"/>
          <w:sz w:val="27"/>
          <w:rtl/>
          <w:lang w:bidi="ar-IQ"/>
        </w:rPr>
        <w:t xml:space="preserve"> </w:t>
      </w:r>
      <w:r w:rsidRPr="00904FCB">
        <w:rPr>
          <w:rFonts w:hint="cs"/>
          <w:sz w:val="27"/>
          <w:rtl/>
          <w:lang w:bidi="ar-IQ"/>
        </w:rPr>
        <w:t>يسو</w:t>
      </w:r>
      <w:r w:rsidR="00D80637" w:rsidRPr="00904FCB">
        <w:rPr>
          <w:rFonts w:hint="cs"/>
          <w:sz w:val="27"/>
          <w:rtl/>
          <w:lang w:bidi="ar-IQ"/>
        </w:rPr>
        <w:t>ِّ</w:t>
      </w:r>
      <w:r w:rsidRPr="00904FCB">
        <w:rPr>
          <w:rFonts w:hint="cs"/>
          <w:sz w:val="27"/>
          <w:rtl/>
          <w:lang w:bidi="ar-IQ"/>
        </w:rPr>
        <w:t>غ القول</w:t>
      </w:r>
      <w:r w:rsidR="00D80637" w:rsidRPr="00904FCB">
        <w:rPr>
          <w:rFonts w:hint="cs"/>
          <w:sz w:val="27"/>
          <w:rtl/>
          <w:lang w:bidi="ar-IQ"/>
        </w:rPr>
        <w:t>:</w:t>
      </w:r>
      <w:r w:rsidRPr="00904FCB">
        <w:rPr>
          <w:rFonts w:hint="cs"/>
          <w:sz w:val="27"/>
          <w:rtl/>
          <w:lang w:bidi="ar-IQ"/>
        </w:rPr>
        <w:t xml:space="preserve"> </w:t>
      </w:r>
      <w:r w:rsidR="00D80637" w:rsidRPr="00904FCB">
        <w:rPr>
          <w:rFonts w:hint="cs"/>
          <w:sz w:val="27"/>
          <w:rtl/>
          <w:lang w:bidi="ar-IQ"/>
        </w:rPr>
        <w:t>إ</w:t>
      </w:r>
      <w:r w:rsidRPr="00904FCB">
        <w:rPr>
          <w:rFonts w:hint="cs"/>
          <w:sz w:val="27"/>
          <w:rtl/>
          <w:lang w:bidi="ar-IQ"/>
        </w:rPr>
        <w:t xml:space="preserve">ن ذلك الدين هو دين </w:t>
      </w:r>
      <w:r w:rsidR="00D80637" w:rsidRPr="00904FCB">
        <w:rPr>
          <w:rFonts w:hint="cs"/>
          <w:sz w:val="27"/>
          <w:rtl/>
          <w:lang w:bidi="ar-IQ"/>
        </w:rPr>
        <w:t>أ</w:t>
      </w:r>
      <w:r w:rsidRPr="00904FCB">
        <w:rPr>
          <w:rFonts w:hint="cs"/>
          <w:sz w:val="27"/>
          <w:rtl/>
          <w:lang w:bidi="ar-IQ"/>
        </w:rPr>
        <w:t>صولي في منابع</w:t>
      </w:r>
      <w:r w:rsidR="00D80637" w:rsidRPr="00904FCB">
        <w:rPr>
          <w:rFonts w:hint="cs"/>
          <w:sz w:val="27"/>
          <w:rtl/>
          <w:lang w:bidi="ar-IQ"/>
        </w:rPr>
        <w:t>ه</w:t>
      </w:r>
      <w:r w:rsidRPr="00904FCB">
        <w:rPr>
          <w:rFonts w:hint="cs"/>
          <w:sz w:val="27"/>
          <w:rtl/>
          <w:lang w:bidi="ar-IQ"/>
        </w:rPr>
        <w:t xml:space="preserve"> و</w:t>
      </w:r>
      <w:r w:rsidR="00D80637" w:rsidRPr="00904FCB">
        <w:rPr>
          <w:rFonts w:hint="cs"/>
          <w:sz w:val="27"/>
          <w:rtl/>
          <w:lang w:bidi="ar-IQ"/>
        </w:rPr>
        <w:t>أ</w:t>
      </w:r>
      <w:r w:rsidRPr="00904FCB">
        <w:rPr>
          <w:rFonts w:hint="cs"/>
          <w:sz w:val="27"/>
          <w:rtl/>
          <w:lang w:bidi="ar-IQ"/>
        </w:rPr>
        <w:t>سسه</w:t>
      </w:r>
      <w:r w:rsidR="00D80637" w:rsidRPr="00904FCB">
        <w:rPr>
          <w:rFonts w:hint="cs"/>
          <w:sz w:val="27"/>
          <w:rtl/>
          <w:lang w:bidi="ar-IQ"/>
        </w:rPr>
        <w:t>.</w:t>
      </w:r>
      <w:r w:rsidRPr="00904FCB">
        <w:rPr>
          <w:rFonts w:hint="cs"/>
          <w:sz w:val="27"/>
          <w:rtl/>
          <w:lang w:bidi="ar-IQ"/>
        </w:rPr>
        <w:t xml:space="preserve"> لذلك سيكون هذا البحث الحلقة ال</w:t>
      </w:r>
      <w:r w:rsidR="00D80637" w:rsidRPr="00904FCB">
        <w:rPr>
          <w:rFonts w:hint="cs"/>
          <w:sz w:val="27"/>
          <w:rtl/>
          <w:lang w:bidi="ar-IQ"/>
        </w:rPr>
        <w:t>أ</w:t>
      </w:r>
      <w:r w:rsidRPr="00904FCB">
        <w:rPr>
          <w:rFonts w:hint="cs"/>
          <w:sz w:val="27"/>
          <w:rtl/>
          <w:lang w:bidi="ar-IQ"/>
        </w:rPr>
        <w:t>ولى من ثلاث حلقات تبحث في ال</w:t>
      </w:r>
      <w:r w:rsidR="00D80637" w:rsidRPr="00904FCB">
        <w:rPr>
          <w:rFonts w:hint="cs"/>
          <w:sz w:val="27"/>
          <w:rtl/>
          <w:lang w:bidi="ar-IQ"/>
        </w:rPr>
        <w:t>أ</w:t>
      </w:r>
      <w:r w:rsidRPr="00904FCB">
        <w:rPr>
          <w:rFonts w:hint="cs"/>
          <w:sz w:val="27"/>
          <w:rtl/>
          <w:lang w:bidi="ar-IQ"/>
        </w:rPr>
        <w:t>سس الاعتقادية لل</w:t>
      </w:r>
      <w:r w:rsidR="00D80637" w:rsidRPr="00904FCB">
        <w:rPr>
          <w:rFonts w:hint="cs"/>
          <w:sz w:val="27"/>
          <w:rtl/>
          <w:lang w:bidi="ar-IQ"/>
        </w:rPr>
        <w:t>أ</w:t>
      </w:r>
      <w:r w:rsidRPr="00904FCB">
        <w:rPr>
          <w:rFonts w:hint="cs"/>
          <w:sz w:val="27"/>
          <w:rtl/>
          <w:lang w:bidi="ar-IQ"/>
        </w:rPr>
        <w:t>صوليات في ال</w:t>
      </w:r>
      <w:r w:rsidR="00D80637" w:rsidRPr="00904FCB">
        <w:rPr>
          <w:rFonts w:hint="cs"/>
          <w:sz w:val="27"/>
          <w:rtl/>
          <w:lang w:bidi="ar-IQ"/>
        </w:rPr>
        <w:t>أ</w:t>
      </w:r>
      <w:r w:rsidRPr="00904FCB">
        <w:rPr>
          <w:rFonts w:hint="cs"/>
          <w:sz w:val="27"/>
          <w:rtl/>
          <w:lang w:bidi="ar-IQ"/>
        </w:rPr>
        <w:t>ديان ال</w:t>
      </w:r>
      <w:r w:rsidR="00D80637" w:rsidRPr="00904FCB">
        <w:rPr>
          <w:rFonts w:hint="cs"/>
          <w:sz w:val="27"/>
          <w:rtl/>
          <w:lang w:bidi="ar-IQ"/>
        </w:rPr>
        <w:t>إ</w:t>
      </w:r>
      <w:r w:rsidRPr="00904FCB">
        <w:rPr>
          <w:rFonts w:hint="cs"/>
          <w:sz w:val="27"/>
          <w:rtl/>
          <w:lang w:bidi="ar-IQ"/>
        </w:rPr>
        <w:t>براهيمية</w:t>
      </w:r>
      <w:r w:rsidR="00D80637" w:rsidRPr="00904FCB">
        <w:rPr>
          <w:rFonts w:hint="cs"/>
          <w:sz w:val="27"/>
          <w:rtl/>
          <w:lang w:bidi="ar-IQ"/>
        </w:rPr>
        <w:t>،</w:t>
      </w:r>
      <w:r w:rsidRPr="00904FCB">
        <w:rPr>
          <w:rFonts w:hint="cs"/>
          <w:sz w:val="27"/>
          <w:rtl/>
          <w:lang w:bidi="ar-IQ"/>
        </w:rPr>
        <w:t xml:space="preserve"> سواء كانت هذه ال</w:t>
      </w:r>
      <w:r w:rsidR="00D80637" w:rsidRPr="00904FCB">
        <w:rPr>
          <w:rFonts w:hint="cs"/>
          <w:sz w:val="27"/>
          <w:rtl/>
          <w:lang w:bidi="ar-IQ"/>
        </w:rPr>
        <w:t>أ</w:t>
      </w:r>
      <w:r w:rsidRPr="00904FCB">
        <w:rPr>
          <w:rFonts w:hint="cs"/>
          <w:sz w:val="27"/>
          <w:rtl/>
          <w:lang w:bidi="ar-IQ"/>
        </w:rPr>
        <w:t xml:space="preserve">سس نصوصاً مرجعية مباشرة أو نصوصاً تفسيرية </w:t>
      </w:r>
      <w:r w:rsidR="00D80637" w:rsidRPr="00904FCB">
        <w:rPr>
          <w:rFonts w:hint="cs"/>
          <w:sz w:val="27"/>
          <w:rtl/>
          <w:lang w:bidi="ar-IQ"/>
        </w:rPr>
        <w:t>أ</w:t>
      </w:r>
      <w:r w:rsidRPr="00904FCB">
        <w:rPr>
          <w:rFonts w:hint="cs"/>
          <w:sz w:val="27"/>
          <w:rtl/>
          <w:lang w:bidi="ar-IQ"/>
        </w:rPr>
        <w:t xml:space="preserve">و مؤولة، </w:t>
      </w:r>
      <w:r w:rsidR="00D80637" w:rsidRPr="00904FCB">
        <w:rPr>
          <w:rFonts w:hint="cs"/>
          <w:sz w:val="27"/>
          <w:rtl/>
          <w:lang w:bidi="ar-IQ"/>
        </w:rPr>
        <w:t>أ</w:t>
      </w:r>
      <w:r w:rsidRPr="00904FCB">
        <w:rPr>
          <w:rFonts w:hint="cs"/>
          <w:sz w:val="27"/>
          <w:rtl/>
          <w:lang w:bidi="ar-IQ"/>
        </w:rPr>
        <w:t>و كانت تجارب تاريخية سلوكية</w:t>
      </w:r>
      <w:r w:rsidR="00D80637" w:rsidRPr="00904FCB">
        <w:rPr>
          <w:rFonts w:hint="cs"/>
          <w:sz w:val="27"/>
          <w:rtl/>
          <w:lang w:bidi="ar-IQ"/>
        </w:rPr>
        <w:t>،</w:t>
      </w:r>
      <w:r w:rsidRPr="00904FCB">
        <w:rPr>
          <w:rFonts w:hint="cs"/>
          <w:sz w:val="27"/>
          <w:rtl/>
          <w:lang w:bidi="ar-IQ"/>
        </w:rPr>
        <w:t xml:space="preserve"> ل</w:t>
      </w:r>
      <w:r w:rsidR="00D80637" w:rsidRPr="00904FCB">
        <w:rPr>
          <w:rFonts w:hint="cs"/>
          <w:sz w:val="27"/>
          <w:rtl/>
          <w:lang w:bidi="ar-IQ"/>
        </w:rPr>
        <w:t>جماعةٍ أو أفراد،</w:t>
      </w:r>
      <w:r w:rsidRPr="00904FCB">
        <w:rPr>
          <w:rFonts w:hint="cs"/>
          <w:sz w:val="27"/>
          <w:rtl/>
          <w:lang w:bidi="ar-IQ"/>
        </w:rPr>
        <w:t xml:space="preserve"> تحو</w:t>
      </w:r>
      <w:r w:rsidR="00D80637" w:rsidRPr="00904FCB">
        <w:rPr>
          <w:rFonts w:hint="cs"/>
          <w:sz w:val="27"/>
          <w:rtl/>
          <w:lang w:bidi="ar-IQ"/>
        </w:rPr>
        <w:t>ّ</w:t>
      </w:r>
      <w:r w:rsidRPr="00904FCB">
        <w:rPr>
          <w:rFonts w:hint="cs"/>
          <w:sz w:val="27"/>
          <w:rtl/>
          <w:lang w:bidi="ar-IQ"/>
        </w:rPr>
        <w:t xml:space="preserve">لت فيما بعد </w:t>
      </w:r>
      <w:r w:rsidR="00D80637" w:rsidRPr="00904FCB">
        <w:rPr>
          <w:rFonts w:hint="cs"/>
          <w:sz w:val="27"/>
          <w:rtl/>
          <w:lang w:bidi="ar-IQ"/>
        </w:rPr>
        <w:t>إ</w:t>
      </w:r>
      <w:r w:rsidRPr="00904FCB">
        <w:rPr>
          <w:rFonts w:hint="cs"/>
          <w:sz w:val="27"/>
          <w:rtl/>
          <w:lang w:bidi="ar-IQ"/>
        </w:rPr>
        <w:t xml:space="preserve">لى مستند ديني. </w:t>
      </w:r>
    </w:p>
    <w:p w:rsidR="00952E59" w:rsidRPr="00904FCB" w:rsidRDefault="00952E59" w:rsidP="006226C1">
      <w:pPr>
        <w:spacing w:line="410" w:lineRule="exact"/>
        <w:ind w:firstLine="561"/>
        <w:rPr>
          <w:sz w:val="27"/>
          <w:rtl/>
          <w:lang w:bidi="ar-IQ"/>
        </w:rPr>
      </w:pPr>
      <w:r w:rsidRPr="00904FCB">
        <w:rPr>
          <w:rFonts w:hint="cs"/>
          <w:sz w:val="27"/>
          <w:rtl/>
          <w:lang w:bidi="ar-IQ"/>
        </w:rPr>
        <w:t xml:space="preserve">ولقد </w:t>
      </w:r>
      <w:r w:rsidR="00D80637" w:rsidRPr="00904FCB">
        <w:rPr>
          <w:rFonts w:hint="cs"/>
          <w:sz w:val="27"/>
          <w:rtl/>
          <w:lang w:bidi="ar-IQ"/>
        </w:rPr>
        <w:t>أ</w:t>
      </w:r>
      <w:r w:rsidRPr="00904FCB">
        <w:rPr>
          <w:rFonts w:hint="cs"/>
          <w:sz w:val="27"/>
          <w:rtl/>
          <w:lang w:bidi="ar-IQ"/>
        </w:rPr>
        <w:t xml:space="preserve">خذنا في الاعتبار </w:t>
      </w:r>
      <w:r w:rsidR="00D80637" w:rsidRPr="00904FCB">
        <w:rPr>
          <w:rFonts w:hint="cs"/>
          <w:sz w:val="27"/>
          <w:rtl/>
          <w:lang w:bidi="ar-IQ"/>
        </w:rPr>
        <w:t>أ</w:t>
      </w:r>
      <w:r w:rsidRPr="00904FCB">
        <w:rPr>
          <w:rFonts w:hint="cs"/>
          <w:sz w:val="27"/>
          <w:rtl/>
          <w:lang w:bidi="ar-IQ"/>
        </w:rPr>
        <w:t>ن في داخل رجال الدين في كل ال</w:t>
      </w:r>
      <w:r w:rsidR="00D80637" w:rsidRPr="00904FCB">
        <w:rPr>
          <w:rFonts w:hint="cs"/>
          <w:sz w:val="27"/>
          <w:rtl/>
          <w:lang w:bidi="ar-IQ"/>
        </w:rPr>
        <w:t>أ</w:t>
      </w:r>
      <w:r w:rsidRPr="00904FCB">
        <w:rPr>
          <w:rFonts w:hint="cs"/>
          <w:sz w:val="27"/>
          <w:rtl/>
          <w:lang w:bidi="ar-IQ"/>
        </w:rPr>
        <w:t>ديان تي</w:t>
      </w:r>
      <w:r w:rsidR="00D80637" w:rsidRPr="00904FCB">
        <w:rPr>
          <w:rFonts w:hint="cs"/>
          <w:sz w:val="27"/>
          <w:rtl/>
          <w:lang w:bidi="ar-IQ"/>
        </w:rPr>
        <w:t>ّ</w:t>
      </w:r>
      <w:r w:rsidRPr="00904FCB">
        <w:rPr>
          <w:rFonts w:hint="cs"/>
          <w:sz w:val="27"/>
          <w:rtl/>
          <w:lang w:bidi="ar-IQ"/>
        </w:rPr>
        <w:t xml:space="preserve">ار يدعو </w:t>
      </w:r>
      <w:r w:rsidR="00D80637" w:rsidRPr="00904FCB">
        <w:rPr>
          <w:rFonts w:hint="cs"/>
          <w:sz w:val="27"/>
          <w:rtl/>
          <w:lang w:bidi="ar-IQ"/>
        </w:rPr>
        <w:t>إ</w:t>
      </w:r>
      <w:r w:rsidRPr="00904FCB">
        <w:rPr>
          <w:rFonts w:hint="cs"/>
          <w:sz w:val="27"/>
          <w:rtl/>
          <w:lang w:bidi="ar-IQ"/>
        </w:rPr>
        <w:t>لى التسامح ونسبية المعرفية وتعد</w:t>
      </w:r>
      <w:r w:rsidR="00D80637" w:rsidRPr="00904FCB">
        <w:rPr>
          <w:rFonts w:hint="cs"/>
          <w:sz w:val="27"/>
          <w:rtl/>
          <w:lang w:bidi="ar-IQ"/>
        </w:rPr>
        <w:t>ُّ</w:t>
      </w:r>
      <w:r w:rsidRPr="00904FCB">
        <w:rPr>
          <w:rFonts w:hint="cs"/>
          <w:sz w:val="27"/>
          <w:rtl/>
          <w:lang w:bidi="ar-IQ"/>
        </w:rPr>
        <w:t>دية طرق الخلاص</w:t>
      </w:r>
      <w:r w:rsidR="00D80637" w:rsidRPr="00904FCB">
        <w:rPr>
          <w:rFonts w:hint="cs"/>
          <w:sz w:val="27"/>
          <w:rtl/>
          <w:lang w:bidi="ar-IQ"/>
        </w:rPr>
        <w:t>.</w:t>
      </w:r>
      <w:r w:rsidRPr="00904FCB">
        <w:rPr>
          <w:rFonts w:hint="cs"/>
          <w:sz w:val="27"/>
          <w:rtl/>
          <w:lang w:bidi="ar-IQ"/>
        </w:rPr>
        <w:t xml:space="preserve"> ولكن هذا التيار جزء</w:t>
      </w:r>
      <w:r w:rsidR="00D80637" w:rsidRPr="00904FCB">
        <w:rPr>
          <w:rFonts w:hint="cs"/>
          <w:sz w:val="27"/>
          <w:rtl/>
          <w:lang w:bidi="ar-IQ"/>
        </w:rPr>
        <w:t>ٌ</w:t>
      </w:r>
      <w:r w:rsidRPr="00904FCB">
        <w:rPr>
          <w:rFonts w:hint="cs"/>
          <w:sz w:val="27"/>
          <w:rtl/>
          <w:lang w:bidi="ar-IQ"/>
        </w:rPr>
        <w:t xml:space="preserve"> من ال</w:t>
      </w:r>
      <w:r w:rsidR="00D80637" w:rsidRPr="00904FCB">
        <w:rPr>
          <w:rFonts w:hint="cs"/>
          <w:sz w:val="27"/>
          <w:rtl/>
          <w:lang w:bidi="ar-IQ"/>
        </w:rPr>
        <w:t>أ</w:t>
      </w:r>
      <w:r w:rsidRPr="00904FCB">
        <w:rPr>
          <w:rFonts w:hint="cs"/>
          <w:sz w:val="27"/>
          <w:rtl/>
          <w:lang w:bidi="ar-IQ"/>
        </w:rPr>
        <w:t xml:space="preserve">غلبية الصامتة. </w:t>
      </w:r>
    </w:p>
    <w:p w:rsidR="00952E59" w:rsidRPr="00904FCB" w:rsidRDefault="00952E59" w:rsidP="007A21AA">
      <w:pPr>
        <w:spacing w:line="400" w:lineRule="exact"/>
        <w:rPr>
          <w:sz w:val="27"/>
          <w:rtl/>
          <w:lang w:bidi="ar-IQ"/>
        </w:rPr>
      </w:pPr>
      <w:r w:rsidRPr="00904FCB">
        <w:rPr>
          <w:rFonts w:hint="cs"/>
          <w:sz w:val="27"/>
          <w:rtl/>
          <w:lang w:bidi="ar-IQ"/>
        </w:rPr>
        <w:t>سيقف البحث على المفهوم المعاصر لل</w:t>
      </w:r>
      <w:r w:rsidR="00D80637" w:rsidRPr="00904FCB">
        <w:rPr>
          <w:rFonts w:hint="cs"/>
          <w:sz w:val="27"/>
          <w:rtl/>
          <w:lang w:bidi="ar-IQ"/>
        </w:rPr>
        <w:t>أ</w:t>
      </w:r>
      <w:r w:rsidRPr="00904FCB">
        <w:rPr>
          <w:rFonts w:hint="cs"/>
          <w:sz w:val="27"/>
          <w:rtl/>
          <w:lang w:bidi="ar-IQ"/>
        </w:rPr>
        <w:t>صولية، والنشأة المبك</w:t>
      </w:r>
      <w:r w:rsidR="00D80637" w:rsidRPr="00904FCB">
        <w:rPr>
          <w:rFonts w:hint="cs"/>
          <w:sz w:val="27"/>
          <w:rtl/>
          <w:lang w:bidi="ar-IQ"/>
        </w:rPr>
        <w:t>ِّ</w:t>
      </w:r>
      <w:r w:rsidRPr="00904FCB">
        <w:rPr>
          <w:rFonts w:hint="cs"/>
          <w:sz w:val="27"/>
          <w:rtl/>
          <w:lang w:bidi="ar-IQ"/>
        </w:rPr>
        <w:t>رة لل</w:t>
      </w:r>
      <w:r w:rsidR="00D80637" w:rsidRPr="00904FCB">
        <w:rPr>
          <w:rFonts w:hint="cs"/>
          <w:sz w:val="27"/>
          <w:rtl/>
          <w:lang w:bidi="ar-IQ"/>
        </w:rPr>
        <w:t>أ</w:t>
      </w:r>
      <w:r w:rsidRPr="00904FCB">
        <w:rPr>
          <w:rFonts w:hint="cs"/>
          <w:sz w:val="27"/>
          <w:rtl/>
          <w:lang w:bidi="ar-IQ"/>
        </w:rPr>
        <w:t>صولية اليهودية، ومنظومة المعتقدات اليهودية ونصوصها التوراتية...</w:t>
      </w:r>
      <w:r w:rsidR="00D80637" w:rsidRPr="00904FCB">
        <w:rPr>
          <w:rFonts w:hint="cs"/>
          <w:sz w:val="27"/>
          <w:rtl/>
          <w:lang w:bidi="ar-IQ"/>
        </w:rPr>
        <w:t>،</w:t>
      </w:r>
      <w:r w:rsidRPr="00904FCB">
        <w:rPr>
          <w:rFonts w:hint="cs"/>
          <w:sz w:val="27"/>
          <w:rtl/>
          <w:lang w:bidi="ar-IQ"/>
        </w:rPr>
        <w:t xml:space="preserve"> و</w:t>
      </w:r>
      <w:r w:rsidR="00D80637" w:rsidRPr="00904FCB">
        <w:rPr>
          <w:rFonts w:hint="cs"/>
          <w:sz w:val="27"/>
          <w:rtl/>
          <w:lang w:bidi="ar-IQ"/>
        </w:rPr>
        <w:t>أ</w:t>
      </w:r>
      <w:r w:rsidRPr="00904FCB">
        <w:rPr>
          <w:rFonts w:hint="cs"/>
          <w:sz w:val="27"/>
          <w:rtl/>
          <w:lang w:bidi="ar-IQ"/>
        </w:rPr>
        <w:t>ثر ذلك كل</w:t>
      </w:r>
      <w:r w:rsidR="00D80637" w:rsidRPr="00904FCB">
        <w:rPr>
          <w:rFonts w:hint="cs"/>
          <w:sz w:val="27"/>
          <w:rtl/>
          <w:lang w:bidi="ar-IQ"/>
        </w:rPr>
        <w:t>ّ</w:t>
      </w:r>
      <w:r w:rsidRPr="00904FCB">
        <w:rPr>
          <w:rFonts w:hint="cs"/>
          <w:sz w:val="27"/>
          <w:rtl/>
          <w:lang w:bidi="ar-IQ"/>
        </w:rPr>
        <w:t xml:space="preserve">ه على خلق </w:t>
      </w:r>
      <w:r w:rsidRPr="00904FCB">
        <w:rPr>
          <w:rFonts w:hint="cs"/>
          <w:sz w:val="27"/>
          <w:rtl/>
          <w:lang w:bidi="ar-IQ"/>
        </w:rPr>
        <w:lastRenderedPageBreak/>
        <w:t>النزعة ال</w:t>
      </w:r>
      <w:r w:rsidR="00D80637" w:rsidRPr="00904FCB">
        <w:rPr>
          <w:rFonts w:hint="cs"/>
          <w:sz w:val="27"/>
          <w:rtl/>
          <w:lang w:bidi="ar-IQ"/>
        </w:rPr>
        <w:t>أ</w:t>
      </w:r>
      <w:r w:rsidRPr="00904FCB">
        <w:rPr>
          <w:rFonts w:hint="cs"/>
          <w:sz w:val="27"/>
          <w:rtl/>
          <w:lang w:bidi="ar-IQ"/>
        </w:rPr>
        <w:t xml:space="preserve">صولية، </w:t>
      </w:r>
      <w:r w:rsidR="00D80637" w:rsidRPr="00904FCB">
        <w:rPr>
          <w:rFonts w:hint="cs"/>
          <w:sz w:val="27"/>
          <w:rtl/>
          <w:lang w:bidi="ar-IQ"/>
        </w:rPr>
        <w:t>مشيراً إلى</w:t>
      </w:r>
      <w:r w:rsidRPr="00904FCB">
        <w:rPr>
          <w:rFonts w:hint="cs"/>
          <w:sz w:val="27"/>
          <w:rtl/>
          <w:lang w:bidi="ar-IQ"/>
        </w:rPr>
        <w:t xml:space="preserve"> السمات العامة للنزعة ال</w:t>
      </w:r>
      <w:r w:rsidR="00D80637" w:rsidRPr="00904FCB">
        <w:rPr>
          <w:rFonts w:hint="cs"/>
          <w:sz w:val="27"/>
          <w:rtl/>
          <w:lang w:bidi="ar-IQ"/>
        </w:rPr>
        <w:t>أ</w:t>
      </w:r>
      <w:r w:rsidRPr="00904FCB">
        <w:rPr>
          <w:rFonts w:hint="cs"/>
          <w:sz w:val="27"/>
          <w:rtl/>
          <w:lang w:bidi="ar-IQ"/>
        </w:rPr>
        <w:t>صولية اليهودية</w:t>
      </w:r>
      <w:r w:rsidR="00D80637" w:rsidRPr="00904FCB">
        <w:rPr>
          <w:rFonts w:hint="cs"/>
          <w:sz w:val="27"/>
          <w:rtl/>
          <w:lang w:bidi="ar-IQ"/>
        </w:rPr>
        <w:t>،</w:t>
      </w:r>
      <w:r w:rsidRPr="00904FCB">
        <w:rPr>
          <w:rFonts w:hint="cs"/>
          <w:sz w:val="27"/>
          <w:rtl/>
          <w:lang w:bidi="ar-IQ"/>
        </w:rPr>
        <w:t xml:space="preserve"> التي نفترض </w:t>
      </w:r>
      <w:r w:rsidR="00D80637" w:rsidRPr="00904FCB">
        <w:rPr>
          <w:rFonts w:hint="cs"/>
          <w:sz w:val="27"/>
          <w:rtl/>
          <w:lang w:bidi="ar-IQ"/>
        </w:rPr>
        <w:t>أ</w:t>
      </w:r>
      <w:r w:rsidRPr="00904FCB">
        <w:rPr>
          <w:rFonts w:hint="cs"/>
          <w:sz w:val="27"/>
          <w:rtl/>
          <w:lang w:bidi="ar-IQ"/>
        </w:rPr>
        <w:t>ننا قد نجدها في ال</w:t>
      </w:r>
      <w:r w:rsidR="00D80637" w:rsidRPr="00904FCB">
        <w:rPr>
          <w:rFonts w:hint="cs"/>
          <w:sz w:val="27"/>
          <w:rtl/>
          <w:lang w:bidi="ar-IQ"/>
        </w:rPr>
        <w:t>أ</w:t>
      </w:r>
      <w:r w:rsidRPr="00904FCB">
        <w:rPr>
          <w:rFonts w:hint="cs"/>
          <w:sz w:val="27"/>
          <w:rtl/>
          <w:lang w:bidi="ar-IQ"/>
        </w:rPr>
        <w:t>صولية ال</w:t>
      </w:r>
      <w:r w:rsidR="00D80637" w:rsidRPr="00904FCB">
        <w:rPr>
          <w:rFonts w:hint="cs"/>
          <w:sz w:val="27"/>
          <w:rtl/>
          <w:lang w:bidi="ar-IQ"/>
        </w:rPr>
        <w:t>إ</w:t>
      </w:r>
      <w:r w:rsidRPr="00904FCB">
        <w:rPr>
          <w:rFonts w:hint="cs"/>
          <w:sz w:val="27"/>
          <w:rtl/>
          <w:lang w:bidi="ar-IQ"/>
        </w:rPr>
        <w:t xml:space="preserve">نجيلية </w:t>
      </w:r>
      <w:r w:rsidR="00D80637" w:rsidRPr="00904FCB">
        <w:rPr>
          <w:rFonts w:hint="cs"/>
          <w:sz w:val="27"/>
          <w:rtl/>
          <w:lang w:bidi="ar-IQ"/>
        </w:rPr>
        <w:t>أ</w:t>
      </w:r>
      <w:r w:rsidRPr="00904FCB">
        <w:rPr>
          <w:rFonts w:hint="cs"/>
          <w:sz w:val="27"/>
          <w:rtl/>
          <w:lang w:bidi="ar-IQ"/>
        </w:rPr>
        <w:t>و ال</w:t>
      </w:r>
      <w:r w:rsidR="00D80637" w:rsidRPr="00904FCB">
        <w:rPr>
          <w:rFonts w:hint="cs"/>
          <w:sz w:val="27"/>
          <w:rtl/>
          <w:lang w:bidi="ar-IQ"/>
        </w:rPr>
        <w:t>أ</w:t>
      </w:r>
      <w:r w:rsidRPr="00904FCB">
        <w:rPr>
          <w:rFonts w:hint="cs"/>
          <w:sz w:val="27"/>
          <w:rtl/>
          <w:lang w:bidi="ar-IQ"/>
        </w:rPr>
        <w:t>صولية ال</w:t>
      </w:r>
      <w:r w:rsidR="00D80637" w:rsidRPr="00904FCB">
        <w:rPr>
          <w:rFonts w:hint="cs"/>
          <w:sz w:val="27"/>
          <w:rtl/>
          <w:lang w:bidi="ar-IQ"/>
        </w:rPr>
        <w:t>إ</w:t>
      </w:r>
      <w:r w:rsidRPr="00904FCB">
        <w:rPr>
          <w:rFonts w:hint="cs"/>
          <w:sz w:val="27"/>
          <w:rtl/>
          <w:lang w:bidi="ar-IQ"/>
        </w:rPr>
        <w:t>سلامية</w:t>
      </w:r>
      <w:r w:rsidR="00D80637" w:rsidRPr="00904FCB">
        <w:rPr>
          <w:rFonts w:hint="cs"/>
          <w:sz w:val="27"/>
          <w:rtl/>
          <w:lang w:bidi="ar-IQ"/>
        </w:rPr>
        <w:t>،</w:t>
      </w:r>
      <w:r w:rsidRPr="00904FCB">
        <w:rPr>
          <w:rFonts w:hint="cs"/>
          <w:sz w:val="27"/>
          <w:rtl/>
          <w:lang w:bidi="ar-IQ"/>
        </w:rPr>
        <w:t xml:space="preserve"> في الحلقتين الثانية والثالثة من هذا البحث. </w:t>
      </w:r>
    </w:p>
    <w:p w:rsidR="00952E59" w:rsidRPr="00904FCB" w:rsidRDefault="00952E59" w:rsidP="007A21AA">
      <w:pPr>
        <w:spacing w:line="400" w:lineRule="exact"/>
        <w:rPr>
          <w:sz w:val="27"/>
          <w:rtl/>
          <w:lang w:bidi="ar-IQ"/>
        </w:rPr>
      </w:pPr>
    </w:p>
    <w:p w:rsidR="00952E59" w:rsidRPr="00904FCB" w:rsidRDefault="00952E59" w:rsidP="007A21AA">
      <w:pPr>
        <w:pStyle w:val="31"/>
        <w:spacing w:line="400" w:lineRule="exact"/>
        <w:rPr>
          <w:color w:val="auto"/>
          <w:rtl/>
          <w:lang w:bidi="ar-IQ"/>
        </w:rPr>
      </w:pPr>
      <w:r w:rsidRPr="00904FCB">
        <w:rPr>
          <w:rFonts w:hint="cs"/>
          <w:color w:val="auto"/>
          <w:rtl/>
          <w:lang w:bidi="ar-IQ"/>
        </w:rPr>
        <w:t>أو</w:t>
      </w:r>
      <w:r w:rsidR="00D80637" w:rsidRPr="00904FCB">
        <w:rPr>
          <w:rFonts w:hint="cs"/>
          <w:color w:val="auto"/>
          <w:rtl/>
          <w:lang w:bidi="ar-IQ"/>
        </w:rPr>
        <w:t>ّ</w:t>
      </w:r>
      <w:r w:rsidRPr="00904FCB">
        <w:rPr>
          <w:rFonts w:hint="cs"/>
          <w:color w:val="auto"/>
          <w:rtl/>
          <w:lang w:bidi="ar-IQ"/>
        </w:rPr>
        <w:t xml:space="preserve">لاً: المفهوم المعاصر للأصولية </w:t>
      </w:r>
    </w:p>
    <w:p w:rsidR="00952E59" w:rsidRPr="00904FCB" w:rsidRDefault="00952E59" w:rsidP="007A21AA">
      <w:pPr>
        <w:spacing w:line="400" w:lineRule="exact"/>
        <w:rPr>
          <w:sz w:val="27"/>
          <w:lang w:bidi="ar-IQ"/>
        </w:rPr>
      </w:pPr>
      <w:r w:rsidRPr="00904FCB">
        <w:rPr>
          <w:rFonts w:hint="cs"/>
          <w:sz w:val="27"/>
          <w:rtl/>
          <w:lang w:bidi="ar-IQ"/>
        </w:rPr>
        <w:t>يعود مفهوم الأصولية في التداول المعجمي إلى المراد من لفظ</w:t>
      </w:r>
      <w:r w:rsidR="00E35B89" w:rsidRPr="00904FCB">
        <w:rPr>
          <w:rFonts w:hint="cs"/>
          <w:sz w:val="27"/>
          <w:rtl/>
          <w:lang w:bidi="ar-IQ"/>
        </w:rPr>
        <w:t>ة</w:t>
      </w:r>
      <w:r w:rsidRPr="00904FCB">
        <w:rPr>
          <w:rFonts w:hint="cs"/>
          <w:sz w:val="27"/>
          <w:rtl/>
          <w:lang w:bidi="ar-IQ"/>
        </w:rPr>
        <w:t xml:space="preserve"> أصل</w:t>
      </w:r>
      <w:r w:rsidR="00E35B89" w:rsidRPr="00904FCB">
        <w:rPr>
          <w:rFonts w:hint="cs"/>
          <w:sz w:val="27"/>
          <w:rtl/>
          <w:lang w:bidi="ar-IQ"/>
        </w:rPr>
        <w:t>.</w:t>
      </w:r>
      <w:r w:rsidRPr="00904FCB">
        <w:rPr>
          <w:rFonts w:hint="cs"/>
          <w:sz w:val="27"/>
          <w:rtl/>
          <w:lang w:bidi="ar-IQ"/>
        </w:rPr>
        <w:t xml:space="preserve"> فقد قال الجرجاني في التعريفات: إن الأصل هو ما يبنى عليه غيره</w:t>
      </w:r>
      <w:r w:rsidR="00E35B89" w:rsidRPr="00904FCB">
        <w:rPr>
          <w:rFonts w:hint="cs"/>
          <w:sz w:val="27"/>
          <w:rtl/>
          <w:lang w:bidi="ar-IQ"/>
        </w:rPr>
        <w:t>.</w:t>
      </w:r>
      <w:r w:rsidRPr="00904FCB">
        <w:rPr>
          <w:rFonts w:hint="cs"/>
          <w:sz w:val="27"/>
          <w:rtl/>
          <w:lang w:bidi="ar-IQ"/>
        </w:rPr>
        <w:t xml:space="preserve"> والأصول جمع أصل</w:t>
      </w:r>
      <w:r w:rsidR="00E35B89" w:rsidRPr="00904FCB">
        <w:rPr>
          <w:rFonts w:hint="cs"/>
          <w:sz w:val="27"/>
          <w:rtl/>
          <w:lang w:bidi="ar-IQ"/>
        </w:rPr>
        <w:t>.</w:t>
      </w:r>
      <w:r w:rsidRPr="00904FCB">
        <w:rPr>
          <w:rFonts w:hint="cs"/>
          <w:sz w:val="27"/>
          <w:rtl/>
          <w:lang w:bidi="ar-IQ"/>
        </w:rPr>
        <w:t xml:space="preserve"> وهو في اللغة عبارة عم</w:t>
      </w:r>
      <w:r w:rsidR="00E35B89" w:rsidRPr="00904FCB">
        <w:rPr>
          <w:rFonts w:hint="cs"/>
          <w:sz w:val="27"/>
          <w:rtl/>
          <w:lang w:bidi="ar-IQ"/>
        </w:rPr>
        <w:t>ّ</w:t>
      </w:r>
      <w:r w:rsidRPr="00904FCB">
        <w:rPr>
          <w:rFonts w:hint="cs"/>
          <w:sz w:val="27"/>
          <w:rtl/>
          <w:lang w:bidi="ar-IQ"/>
        </w:rPr>
        <w:t xml:space="preserve">ا يفتقر </w:t>
      </w:r>
      <w:r w:rsidR="00E35B89" w:rsidRPr="00904FCB">
        <w:rPr>
          <w:rFonts w:hint="cs"/>
          <w:sz w:val="27"/>
          <w:rtl/>
          <w:lang w:bidi="ar-IQ"/>
        </w:rPr>
        <w:t>إ</w:t>
      </w:r>
      <w:r w:rsidRPr="00904FCB">
        <w:rPr>
          <w:rFonts w:hint="cs"/>
          <w:sz w:val="27"/>
          <w:rtl/>
          <w:lang w:bidi="ar-IQ"/>
        </w:rPr>
        <w:t xml:space="preserve">ليه غيره، ولا يفتقر هو </w:t>
      </w:r>
      <w:r w:rsidR="00E35B89" w:rsidRPr="00904FCB">
        <w:rPr>
          <w:rFonts w:hint="cs"/>
          <w:sz w:val="27"/>
          <w:rtl/>
          <w:lang w:bidi="ar-IQ"/>
        </w:rPr>
        <w:t>إ</w:t>
      </w:r>
      <w:r w:rsidRPr="00904FCB">
        <w:rPr>
          <w:rFonts w:hint="cs"/>
          <w:sz w:val="27"/>
          <w:rtl/>
          <w:lang w:bidi="ar-IQ"/>
        </w:rPr>
        <w:t>لى شيء</w:t>
      </w:r>
      <w:r w:rsidR="00E35B89" w:rsidRPr="00904FCB">
        <w:rPr>
          <w:rFonts w:hint="cs"/>
          <w:sz w:val="27"/>
          <w:rtl/>
          <w:lang w:bidi="ar-IQ"/>
        </w:rPr>
        <w:t>.</w:t>
      </w:r>
      <w:r w:rsidRPr="00904FCB">
        <w:rPr>
          <w:rFonts w:hint="cs"/>
          <w:sz w:val="27"/>
          <w:rtl/>
          <w:lang w:bidi="ar-IQ"/>
        </w:rPr>
        <w:t xml:space="preserve"> وهو ما يثبت حكمه بنفسه</w:t>
      </w:r>
      <w:r w:rsidR="00E35B89" w:rsidRPr="00904FCB">
        <w:rPr>
          <w:rFonts w:hint="cs"/>
          <w:sz w:val="27"/>
          <w:rtl/>
          <w:lang w:bidi="ar-IQ"/>
        </w:rPr>
        <w:t>،</w:t>
      </w:r>
      <w:r w:rsidRPr="00904FCB">
        <w:rPr>
          <w:rFonts w:hint="cs"/>
          <w:sz w:val="27"/>
          <w:rtl/>
          <w:lang w:bidi="ar-IQ"/>
        </w:rPr>
        <w:t xml:space="preserve"> ويبنى عليه غيره</w:t>
      </w:r>
      <w:r w:rsidRPr="00904FCB">
        <w:rPr>
          <w:rFonts w:hint="cs"/>
          <w:sz w:val="27"/>
          <w:vertAlign w:val="superscript"/>
          <w:rtl/>
          <w:lang w:bidi="ar-IQ"/>
        </w:rPr>
        <w:t>(</w:t>
      </w:r>
      <w:r w:rsidRPr="00904FCB">
        <w:rPr>
          <w:rStyle w:val="ac"/>
          <w:sz w:val="27"/>
          <w:rtl/>
          <w:lang w:bidi="ar-IQ"/>
        </w:rPr>
        <w:endnoteReference w:id="275"/>
      </w:r>
      <w:r w:rsidRPr="00904FCB">
        <w:rPr>
          <w:rFonts w:hint="cs"/>
          <w:sz w:val="27"/>
          <w:vertAlign w:val="superscript"/>
          <w:rtl/>
          <w:lang w:bidi="ar-IQ"/>
        </w:rPr>
        <w:t>)</w:t>
      </w:r>
      <w:r w:rsidR="00E35B89" w:rsidRPr="00904FCB">
        <w:rPr>
          <w:rFonts w:hint="cs"/>
          <w:sz w:val="27"/>
          <w:rtl/>
          <w:lang w:bidi="ar-IQ"/>
        </w:rPr>
        <w:t>.</w:t>
      </w:r>
      <w:r w:rsidRPr="00904FCB">
        <w:rPr>
          <w:rFonts w:hint="cs"/>
          <w:sz w:val="27"/>
          <w:vertAlign w:val="superscript"/>
          <w:rtl/>
          <w:lang w:bidi="ar-IQ"/>
        </w:rPr>
        <w:t xml:space="preserve"> </w:t>
      </w:r>
      <w:r w:rsidRPr="00904FCB">
        <w:rPr>
          <w:rFonts w:hint="cs"/>
          <w:sz w:val="27"/>
          <w:rtl/>
          <w:lang w:bidi="ar-IQ"/>
        </w:rPr>
        <w:t>ومنه جاءت تسمية ال</w:t>
      </w:r>
      <w:r w:rsidR="00E35B89" w:rsidRPr="00904FCB">
        <w:rPr>
          <w:rFonts w:hint="cs"/>
          <w:sz w:val="27"/>
          <w:rtl/>
          <w:lang w:bidi="ar-IQ"/>
        </w:rPr>
        <w:t>أ</w:t>
      </w:r>
      <w:r w:rsidRPr="00904FCB">
        <w:rPr>
          <w:rFonts w:hint="cs"/>
          <w:sz w:val="27"/>
          <w:rtl/>
          <w:lang w:bidi="ar-IQ"/>
        </w:rPr>
        <w:t>سس والقواعد العامة بال</w:t>
      </w:r>
      <w:r w:rsidR="00E35B89" w:rsidRPr="00904FCB">
        <w:rPr>
          <w:rFonts w:hint="cs"/>
          <w:sz w:val="27"/>
          <w:rtl/>
          <w:lang w:bidi="ar-IQ"/>
        </w:rPr>
        <w:t>أ</w:t>
      </w:r>
      <w:r w:rsidRPr="00904FCB">
        <w:rPr>
          <w:rFonts w:hint="cs"/>
          <w:sz w:val="27"/>
          <w:rtl/>
          <w:lang w:bidi="ar-IQ"/>
        </w:rPr>
        <w:t>صول</w:t>
      </w:r>
      <w:r w:rsidR="00E35B89" w:rsidRPr="00904FCB">
        <w:rPr>
          <w:rFonts w:hint="cs"/>
          <w:sz w:val="27"/>
          <w:rtl/>
          <w:lang w:bidi="ar-IQ"/>
        </w:rPr>
        <w:t>.</w:t>
      </w:r>
      <w:r w:rsidRPr="00904FCB">
        <w:rPr>
          <w:rFonts w:hint="cs"/>
          <w:sz w:val="27"/>
          <w:rtl/>
          <w:lang w:bidi="ar-IQ"/>
        </w:rPr>
        <w:t xml:space="preserve"> وقد س</w:t>
      </w:r>
      <w:r w:rsidR="00006ECF">
        <w:rPr>
          <w:rFonts w:hint="cs"/>
          <w:sz w:val="27"/>
          <w:rtl/>
          <w:lang w:bidi="ar-IQ"/>
        </w:rPr>
        <w:t>ُ</w:t>
      </w:r>
      <w:r w:rsidRPr="00904FCB">
        <w:rPr>
          <w:rFonts w:hint="cs"/>
          <w:sz w:val="27"/>
          <w:rtl/>
          <w:lang w:bidi="ar-IQ"/>
        </w:rPr>
        <w:t>م</w:t>
      </w:r>
      <w:r w:rsidR="00E35B89" w:rsidRPr="00904FCB">
        <w:rPr>
          <w:rFonts w:hint="cs"/>
          <w:sz w:val="27"/>
          <w:rtl/>
          <w:lang w:bidi="ar-IQ"/>
        </w:rPr>
        <w:t>ِّ</w:t>
      </w:r>
      <w:r w:rsidRPr="00904FCB">
        <w:rPr>
          <w:rFonts w:hint="cs"/>
          <w:sz w:val="27"/>
          <w:rtl/>
          <w:lang w:bidi="ar-IQ"/>
        </w:rPr>
        <w:t xml:space="preserve">يت بذلك لأنها </w:t>
      </w:r>
      <w:r w:rsidR="00E35B89" w:rsidRPr="00904FCB">
        <w:rPr>
          <w:rFonts w:hint="cs"/>
          <w:sz w:val="27"/>
          <w:rtl/>
          <w:lang w:bidi="ar-IQ"/>
        </w:rPr>
        <w:t>أ</w:t>
      </w:r>
      <w:r w:rsidRPr="00904FCB">
        <w:rPr>
          <w:rFonts w:hint="cs"/>
          <w:sz w:val="27"/>
          <w:rtl/>
          <w:lang w:bidi="ar-IQ"/>
        </w:rPr>
        <w:t xml:space="preserve">سس يفتقر </w:t>
      </w:r>
      <w:r w:rsidR="00E35B89" w:rsidRPr="00904FCB">
        <w:rPr>
          <w:rFonts w:hint="cs"/>
          <w:sz w:val="27"/>
          <w:rtl/>
          <w:lang w:bidi="ar-IQ"/>
        </w:rPr>
        <w:t>إ</w:t>
      </w:r>
      <w:r w:rsidRPr="00904FCB">
        <w:rPr>
          <w:rFonts w:hint="cs"/>
          <w:sz w:val="27"/>
          <w:rtl/>
          <w:lang w:bidi="ar-IQ"/>
        </w:rPr>
        <w:t>ليها</w:t>
      </w:r>
      <w:r w:rsidR="00E35B89" w:rsidRPr="00904FCB">
        <w:rPr>
          <w:rFonts w:hint="cs"/>
          <w:sz w:val="27"/>
          <w:rtl/>
          <w:lang w:bidi="ar-IQ"/>
        </w:rPr>
        <w:t>،</w:t>
      </w:r>
      <w:r w:rsidRPr="00904FCB">
        <w:rPr>
          <w:rFonts w:hint="cs"/>
          <w:sz w:val="27"/>
          <w:rtl/>
          <w:lang w:bidi="ar-IQ"/>
        </w:rPr>
        <w:t xml:space="preserve"> وتصلح دليلاً على ما يؤس</w:t>
      </w:r>
      <w:r w:rsidR="00E35B89" w:rsidRPr="00904FCB">
        <w:rPr>
          <w:rFonts w:hint="cs"/>
          <w:sz w:val="27"/>
          <w:rtl/>
          <w:lang w:bidi="ar-IQ"/>
        </w:rPr>
        <w:t>َّ</w:t>
      </w:r>
      <w:r w:rsidRPr="00904FCB">
        <w:rPr>
          <w:rFonts w:hint="cs"/>
          <w:sz w:val="27"/>
          <w:rtl/>
          <w:lang w:bidi="ar-IQ"/>
        </w:rPr>
        <w:t>س عليها</w:t>
      </w:r>
      <w:r w:rsidR="00E35B89" w:rsidRPr="00904FCB">
        <w:rPr>
          <w:rFonts w:hint="cs"/>
          <w:sz w:val="27"/>
          <w:rtl/>
          <w:lang w:bidi="ar-IQ"/>
        </w:rPr>
        <w:t>،</w:t>
      </w:r>
      <w:r w:rsidRPr="00904FCB">
        <w:rPr>
          <w:rFonts w:hint="cs"/>
          <w:sz w:val="27"/>
          <w:rtl/>
          <w:lang w:bidi="ar-IQ"/>
        </w:rPr>
        <w:t xml:space="preserve"> وهي قواعد عامة مبرهن عليها..</w:t>
      </w:r>
      <w:r w:rsidR="00E35B89" w:rsidRPr="00904FCB">
        <w:rPr>
          <w:rFonts w:hint="cs"/>
          <w:sz w:val="27"/>
          <w:rtl/>
          <w:lang w:bidi="ar-IQ"/>
        </w:rPr>
        <w:t>.</w:t>
      </w:r>
      <w:r w:rsidRPr="00904FCB">
        <w:rPr>
          <w:rFonts w:hint="cs"/>
          <w:sz w:val="27"/>
          <w:rtl/>
          <w:lang w:bidi="ar-IQ"/>
        </w:rPr>
        <w:t xml:space="preserve"> فال</w:t>
      </w:r>
      <w:r w:rsidR="00E35B89" w:rsidRPr="00904FCB">
        <w:rPr>
          <w:rFonts w:hint="cs"/>
          <w:sz w:val="27"/>
          <w:rtl/>
          <w:lang w:bidi="ar-IQ"/>
        </w:rPr>
        <w:t>أ</w:t>
      </w:r>
      <w:r w:rsidRPr="00904FCB">
        <w:rPr>
          <w:rFonts w:hint="cs"/>
          <w:sz w:val="27"/>
          <w:rtl/>
          <w:lang w:bidi="ar-IQ"/>
        </w:rPr>
        <w:t>صولية إذن مصطلح</w:t>
      </w:r>
      <w:r w:rsidR="00E35B89" w:rsidRPr="00904FCB">
        <w:rPr>
          <w:rFonts w:hint="cs"/>
          <w:sz w:val="27"/>
          <w:rtl/>
          <w:lang w:bidi="ar-IQ"/>
        </w:rPr>
        <w:t>ٌ</w:t>
      </w:r>
      <w:r w:rsidRPr="00904FCB">
        <w:rPr>
          <w:rFonts w:hint="cs"/>
          <w:sz w:val="27"/>
          <w:rtl/>
          <w:lang w:bidi="ar-IQ"/>
        </w:rPr>
        <w:t xml:space="preserve"> مشتق</w:t>
      </w:r>
      <w:r w:rsidR="00E35B89" w:rsidRPr="00904FCB">
        <w:rPr>
          <w:rFonts w:hint="cs"/>
          <w:sz w:val="27"/>
          <w:rtl/>
          <w:lang w:bidi="ar-IQ"/>
        </w:rPr>
        <w:t>ّ</w:t>
      </w:r>
      <w:r w:rsidRPr="00904FCB">
        <w:rPr>
          <w:rFonts w:hint="cs"/>
          <w:sz w:val="27"/>
          <w:rtl/>
          <w:lang w:bidi="ar-IQ"/>
        </w:rPr>
        <w:t xml:space="preserve"> من لفظة الأصل</w:t>
      </w:r>
      <w:r w:rsidR="00E35B89" w:rsidRPr="00904FCB">
        <w:rPr>
          <w:rFonts w:hint="cs"/>
          <w:sz w:val="27"/>
          <w:rtl/>
          <w:lang w:bidi="ar-IQ"/>
        </w:rPr>
        <w:t>،</w:t>
      </w:r>
      <w:r w:rsidRPr="00904FCB">
        <w:rPr>
          <w:rFonts w:hint="cs"/>
          <w:sz w:val="27"/>
          <w:rtl/>
          <w:lang w:bidi="ar-IQ"/>
        </w:rPr>
        <w:t xml:space="preserve"> الذي يرتكز عليه الشيء وي</w:t>
      </w:r>
      <w:r w:rsidR="00E35B89" w:rsidRPr="00904FCB">
        <w:rPr>
          <w:rFonts w:hint="cs"/>
          <w:sz w:val="27"/>
          <w:rtl/>
          <w:lang w:bidi="ar-IQ"/>
        </w:rPr>
        <w:t>ُ</w:t>
      </w:r>
      <w:r w:rsidRPr="00904FCB">
        <w:rPr>
          <w:rFonts w:hint="cs"/>
          <w:sz w:val="27"/>
          <w:rtl/>
          <w:lang w:bidi="ar-IQ"/>
        </w:rPr>
        <w:t>ب</w:t>
      </w:r>
      <w:r w:rsidR="00E35B89" w:rsidRPr="00904FCB">
        <w:rPr>
          <w:rFonts w:hint="cs"/>
          <w:sz w:val="27"/>
          <w:rtl/>
          <w:lang w:bidi="ar-IQ"/>
        </w:rPr>
        <w:t>ْ</w:t>
      </w:r>
      <w:r w:rsidRPr="00904FCB">
        <w:rPr>
          <w:rFonts w:hint="cs"/>
          <w:sz w:val="27"/>
          <w:rtl/>
          <w:lang w:bidi="ar-IQ"/>
        </w:rPr>
        <w:t xml:space="preserve">نى، فيكون بمعنى القاعدة </w:t>
      </w:r>
      <w:r w:rsidR="00E35B89" w:rsidRPr="00904FCB">
        <w:rPr>
          <w:rFonts w:hint="cs"/>
          <w:sz w:val="27"/>
          <w:rtl/>
          <w:lang w:bidi="ar-IQ"/>
        </w:rPr>
        <w:t>أ</w:t>
      </w:r>
      <w:r w:rsidRPr="00904FCB">
        <w:rPr>
          <w:rFonts w:hint="cs"/>
          <w:sz w:val="27"/>
          <w:rtl/>
          <w:lang w:bidi="ar-IQ"/>
        </w:rPr>
        <w:t>و الركيزة التي يرتكز عليها الشيء</w:t>
      </w:r>
      <w:r w:rsidRPr="00904FCB">
        <w:rPr>
          <w:rFonts w:hint="cs"/>
          <w:sz w:val="27"/>
          <w:vertAlign w:val="superscript"/>
          <w:rtl/>
          <w:lang w:bidi="ar-IQ"/>
        </w:rPr>
        <w:t>(</w:t>
      </w:r>
      <w:r w:rsidRPr="00904FCB">
        <w:rPr>
          <w:rStyle w:val="ac"/>
          <w:sz w:val="27"/>
          <w:rtl/>
          <w:lang w:bidi="ar-IQ"/>
        </w:rPr>
        <w:endnoteReference w:id="276"/>
      </w:r>
      <w:r w:rsidRPr="00904FCB">
        <w:rPr>
          <w:rFonts w:hint="cs"/>
          <w:sz w:val="27"/>
          <w:vertAlign w:val="superscript"/>
          <w:rtl/>
          <w:lang w:bidi="ar-IQ"/>
        </w:rPr>
        <w:t>)</w:t>
      </w:r>
      <w:r w:rsidR="00E35B89" w:rsidRPr="00904FCB">
        <w:rPr>
          <w:rFonts w:hint="cs"/>
          <w:sz w:val="27"/>
          <w:rtl/>
          <w:lang w:bidi="ar-IQ"/>
        </w:rPr>
        <w:t>.</w:t>
      </w:r>
      <w:r w:rsidRPr="00904FCB">
        <w:rPr>
          <w:rFonts w:hint="cs"/>
          <w:sz w:val="27"/>
          <w:vertAlign w:val="superscript"/>
          <w:rtl/>
          <w:lang w:bidi="ar-IQ"/>
        </w:rPr>
        <w:t xml:space="preserve"> </w:t>
      </w:r>
      <w:r w:rsidRPr="00904FCB">
        <w:rPr>
          <w:rFonts w:hint="cs"/>
          <w:sz w:val="27"/>
          <w:rtl/>
          <w:lang w:bidi="ar-IQ"/>
        </w:rPr>
        <w:t>قال في المحيط</w:t>
      </w:r>
      <w:r w:rsidR="00E35B89" w:rsidRPr="00904FCB">
        <w:rPr>
          <w:rFonts w:hint="cs"/>
          <w:sz w:val="27"/>
          <w:rtl/>
          <w:lang w:bidi="ar-IQ"/>
        </w:rPr>
        <w:t>:</w:t>
      </w:r>
      <w:r w:rsidRPr="00904FCB">
        <w:rPr>
          <w:rFonts w:hint="cs"/>
          <w:sz w:val="27"/>
          <w:rtl/>
          <w:lang w:bidi="ar-IQ"/>
        </w:rPr>
        <w:t xml:space="preserve"> ال</w:t>
      </w:r>
      <w:r w:rsidR="00E35B89" w:rsidRPr="00904FCB">
        <w:rPr>
          <w:rFonts w:hint="cs"/>
          <w:sz w:val="27"/>
          <w:rtl/>
          <w:lang w:bidi="ar-IQ"/>
        </w:rPr>
        <w:t>أ</w:t>
      </w:r>
      <w:r w:rsidRPr="00904FCB">
        <w:rPr>
          <w:rFonts w:hint="cs"/>
          <w:sz w:val="27"/>
          <w:rtl/>
          <w:lang w:bidi="ar-IQ"/>
        </w:rPr>
        <w:t xml:space="preserve">صل </w:t>
      </w:r>
      <w:r w:rsidR="00E35B89" w:rsidRPr="00904FCB">
        <w:rPr>
          <w:rFonts w:hint="cs"/>
          <w:sz w:val="27"/>
          <w:rtl/>
          <w:lang w:bidi="ar-IQ"/>
        </w:rPr>
        <w:t>أ</w:t>
      </w:r>
      <w:r w:rsidRPr="00904FCB">
        <w:rPr>
          <w:rFonts w:hint="cs"/>
          <w:sz w:val="27"/>
          <w:rtl/>
          <w:lang w:bidi="ar-IQ"/>
        </w:rPr>
        <w:t>سفل الشيء</w:t>
      </w:r>
      <w:r w:rsidRPr="00904FCB">
        <w:rPr>
          <w:rFonts w:hint="cs"/>
          <w:sz w:val="27"/>
          <w:vertAlign w:val="superscript"/>
          <w:rtl/>
          <w:lang w:bidi="ar-IQ"/>
        </w:rPr>
        <w:t>(</w:t>
      </w:r>
      <w:r w:rsidRPr="00904FCB">
        <w:rPr>
          <w:rStyle w:val="ac"/>
          <w:sz w:val="27"/>
          <w:rtl/>
          <w:lang w:bidi="ar-IQ"/>
        </w:rPr>
        <w:endnoteReference w:id="277"/>
      </w:r>
      <w:r w:rsidRPr="00904FCB">
        <w:rPr>
          <w:rFonts w:hint="cs"/>
          <w:sz w:val="27"/>
          <w:vertAlign w:val="superscript"/>
          <w:rtl/>
          <w:lang w:bidi="ar-IQ"/>
        </w:rPr>
        <w:t>)</w:t>
      </w:r>
      <w:r w:rsidR="00E35B89" w:rsidRPr="00904FCB">
        <w:rPr>
          <w:rFonts w:hint="cs"/>
          <w:sz w:val="27"/>
          <w:rtl/>
          <w:lang w:bidi="ar-IQ"/>
        </w:rPr>
        <w:t>،</w:t>
      </w:r>
      <w:r w:rsidRPr="00904FCB">
        <w:rPr>
          <w:rFonts w:hint="cs"/>
          <w:sz w:val="27"/>
          <w:vertAlign w:val="superscript"/>
          <w:rtl/>
          <w:lang w:bidi="ar-IQ"/>
        </w:rPr>
        <w:t xml:space="preserve"> </w:t>
      </w:r>
      <w:r w:rsidRPr="00904FCB">
        <w:rPr>
          <w:rFonts w:hint="cs"/>
          <w:sz w:val="27"/>
          <w:rtl/>
          <w:lang w:bidi="ar-IQ"/>
        </w:rPr>
        <w:t>وي</w:t>
      </w:r>
      <w:r w:rsidR="00E35B89" w:rsidRPr="00904FCB">
        <w:rPr>
          <w:rFonts w:hint="cs"/>
          <w:sz w:val="27"/>
          <w:rtl/>
          <w:lang w:bidi="ar-IQ"/>
        </w:rPr>
        <w:t>ُ</w:t>
      </w:r>
      <w:r w:rsidRPr="00904FCB">
        <w:rPr>
          <w:rFonts w:hint="cs"/>
          <w:sz w:val="27"/>
          <w:rtl/>
          <w:lang w:bidi="ar-IQ"/>
        </w:rPr>
        <w:t xml:space="preserve">راد به </w:t>
      </w:r>
      <w:r w:rsidR="00E35B89" w:rsidRPr="00904FCB">
        <w:rPr>
          <w:rFonts w:hint="cs"/>
          <w:sz w:val="27"/>
          <w:rtl/>
          <w:lang w:bidi="ar-IQ"/>
        </w:rPr>
        <w:t>أيضاً</w:t>
      </w:r>
      <w:r w:rsidRPr="00904FCB">
        <w:rPr>
          <w:rFonts w:hint="cs"/>
          <w:sz w:val="27"/>
          <w:rtl/>
          <w:lang w:bidi="ar-IQ"/>
        </w:rPr>
        <w:t xml:space="preserve"> مفهوم ال</w:t>
      </w:r>
      <w:r w:rsidR="00E35B89" w:rsidRPr="00904FCB">
        <w:rPr>
          <w:rFonts w:hint="cs"/>
          <w:sz w:val="27"/>
          <w:rtl/>
          <w:lang w:bidi="ar-IQ"/>
        </w:rPr>
        <w:t>أ</w:t>
      </w:r>
      <w:r w:rsidRPr="00904FCB">
        <w:rPr>
          <w:rFonts w:hint="cs"/>
          <w:sz w:val="27"/>
          <w:rtl/>
          <w:lang w:bidi="ar-IQ"/>
        </w:rPr>
        <w:t>ساس</w:t>
      </w:r>
      <w:r w:rsidR="00E35B89" w:rsidRPr="00904FCB">
        <w:rPr>
          <w:rFonts w:hint="cs"/>
          <w:sz w:val="27"/>
          <w:rtl/>
          <w:lang w:bidi="ar-IQ"/>
        </w:rPr>
        <w:t>.</w:t>
      </w:r>
      <w:r w:rsidRPr="00904FCB">
        <w:rPr>
          <w:rFonts w:hint="cs"/>
          <w:sz w:val="27"/>
          <w:rtl/>
          <w:lang w:bidi="ar-IQ"/>
        </w:rPr>
        <w:t xml:space="preserve"> وهنا تظهر دلالة </w:t>
      </w:r>
      <w:r w:rsidR="00E35B89" w:rsidRPr="00904FCB">
        <w:rPr>
          <w:rFonts w:hint="cs"/>
          <w:sz w:val="27"/>
          <w:rtl/>
          <w:lang w:bidi="ar-IQ"/>
        </w:rPr>
        <w:t>أ</w:t>
      </w:r>
      <w:r w:rsidRPr="00904FCB">
        <w:rPr>
          <w:rFonts w:hint="cs"/>
          <w:sz w:val="27"/>
          <w:rtl/>
          <w:lang w:bidi="ar-IQ"/>
        </w:rPr>
        <w:t>خرى هي البدايات ال</w:t>
      </w:r>
      <w:r w:rsidR="00E35B89" w:rsidRPr="00904FCB">
        <w:rPr>
          <w:rFonts w:hint="cs"/>
          <w:sz w:val="27"/>
          <w:rtl/>
          <w:lang w:bidi="ar-IQ"/>
        </w:rPr>
        <w:t>أ</w:t>
      </w:r>
      <w:r w:rsidRPr="00904FCB">
        <w:rPr>
          <w:rFonts w:hint="cs"/>
          <w:sz w:val="27"/>
          <w:rtl/>
          <w:lang w:bidi="ar-IQ"/>
        </w:rPr>
        <w:t>ولى لنشأة ال</w:t>
      </w:r>
      <w:r w:rsidR="00E35B89" w:rsidRPr="00904FCB">
        <w:rPr>
          <w:rFonts w:hint="cs"/>
          <w:sz w:val="27"/>
          <w:rtl/>
          <w:lang w:bidi="ar-IQ"/>
        </w:rPr>
        <w:t>أ</w:t>
      </w:r>
      <w:r w:rsidRPr="00904FCB">
        <w:rPr>
          <w:rFonts w:hint="cs"/>
          <w:sz w:val="27"/>
          <w:rtl/>
          <w:lang w:bidi="ar-IQ"/>
        </w:rPr>
        <w:t xml:space="preserve">فكار. </w:t>
      </w:r>
    </w:p>
    <w:p w:rsidR="00D20F62" w:rsidRPr="00904FCB" w:rsidRDefault="00952E59" w:rsidP="007A21AA">
      <w:pPr>
        <w:spacing w:line="400" w:lineRule="exact"/>
        <w:rPr>
          <w:sz w:val="27"/>
          <w:rtl/>
          <w:lang w:bidi="ar-IQ"/>
        </w:rPr>
      </w:pPr>
      <w:r w:rsidRPr="00904FCB">
        <w:rPr>
          <w:rFonts w:hint="cs"/>
          <w:sz w:val="27"/>
          <w:rtl/>
          <w:lang w:bidi="ar-IQ"/>
        </w:rPr>
        <w:t>وقد ورد في لسان العرب أن الأصولية في اللغة مأخوذة من الفعل أصَّلَ</w:t>
      </w:r>
      <w:r w:rsidR="00E35B89" w:rsidRPr="00904FCB">
        <w:rPr>
          <w:rFonts w:hint="cs"/>
          <w:sz w:val="27"/>
          <w:rtl/>
          <w:lang w:bidi="ar-IQ"/>
        </w:rPr>
        <w:t>.</w:t>
      </w:r>
      <w:r w:rsidRPr="00904FCB">
        <w:rPr>
          <w:rFonts w:hint="cs"/>
          <w:sz w:val="27"/>
          <w:rtl/>
          <w:lang w:bidi="ar-IQ"/>
        </w:rPr>
        <w:t xml:space="preserve"> و</w:t>
      </w:r>
      <w:r w:rsidR="00E35B89" w:rsidRPr="00904FCB">
        <w:rPr>
          <w:rFonts w:hint="cs"/>
          <w:sz w:val="27"/>
          <w:rtl/>
          <w:lang w:bidi="ar-IQ"/>
        </w:rPr>
        <w:t>أ</w:t>
      </w:r>
      <w:r w:rsidRPr="00904FCB">
        <w:rPr>
          <w:rFonts w:hint="cs"/>
          <w:sz w:val="27"/>
          <w:rtl/>
          <w:lang w:bidi="ar-IQ"/>
        </w:rPr>
        <w:t>ص</w:t>
      </w:r>
      <w:r w:rsidR="00E35B89" w:rsidRPr="00904FCB">
        <w:rPr>
          <w:rFonts w:hint="cs"/>
          <w:sz w:val="27"/>
          <w:rtl/>
          <w:lang w:bidi="ar-IQ"/>
        </w:rPr>
        <w:t>َّ</w:t>
      </w:r>
      <w:r w:rsidRPr="00904FCB">
        <w:rPr>
          <w:rFonts w:hint="cs"/>
          <w:sz w:val="27"/>
          <w:rtl/>
          <w:lang w:bidi="ar-IQ"/>
        </w:rPr>
        <w:t>ل الشيء يؤص</w:t>
      </w:r>
      <w:r w:rsidR="00E35B89" w:rsidRPr="00904FCB">
        <w:rPr>
          <w:rFonts w:hint="cs"/>
          <w:sz w:val="27"/>
          <w:rtl/>
          <w:lang w:bidi="ar-IQ"/>
        </w:rPr>
        <w:t>ِّ</w:t>
      </w:r>
      <w:r w:rsidRPr="00904FCB">
        <w:rPr>
          <w:rFonts w:hint="cs"/>
          <w:sz w:val="27"/>
          <w:rtl/>
          <w:lang w:bidi="ar-IQ"/>
        </w:rPr>
        <w:t xml:space="preserve">له </w:t>
      </w:r>
      <w:r w:rsidR="00E35B89" w:rsidRPr="00904FCB">
        <w:rPr>
          <w:rFonts w:hint="cs"/>
          <w:sz w:val="27"/>
          <w:rtl/>
          <w:lang w:bidi="ar-IQ"/>
        </w:rPr>
        <w:t>إ</w:t>
      </w:r>
      <w:r w:rsidRPr="00904FCB">
        <w:rPr>
          <w:rFonts w:hint="cs"/>
          <w:sz w:val="27"/>
          <w:rtl/>
          <w:lang w:bidi="ar-IQ"/>
        </w:rPr>
        <w:t xml:space="preserve">ذا عاد به </w:t>
      </w:r>
      <w:r w:rsidR="00E35B89" w:rsidRPr="00904FCB">
        <w:rPr>
          <w:rFonts w:hint="cs"/>
          <w:sz w:val="27"/>
          <w:rtl/>
          <w:lang w:bidi="ar-IQ"/>
        </w:rPr>
        <w:t>إ</w:t>
      </w:r>
      <w:r w:rsidRPr="00904FCB">
        <w:rPr>
          <w:rFonts w:hint="cs"/>
          <w:sz w:val="27"/>
          <w:rtl/>
          <w:lang w:bidi="ar-IQ"/>
        </w:rPr>
        <w:t>لى ا</w:t>
      </w:r>
      <w:r w:rsidR="00E35B89" w:rsidRPr="00904FCB">
        <w:rPr>
          <w:rFonts w:hint="cs"/>
          <w:sz w:val="27"/>
          <w:rtl/>
          <w:lang w:bidi="ar-IQ"/>
        </w:rPr>
        <w:t>لأ</w:t>
      </w:r>
      <w:r w:rsidRPr="00904FCB">
        <w:rPr>
          <w:rFonts w:hint="cs"/>
          <w:sz w:val="27"/>
          <w:rtl/>
          <w:lang w:bidi="ar-IQ"/>
        </w:rPr>
        <w:t>صول ال</w:t>
      </w:r>
      <w:r w:rsidR="00E35B89" w:rsidRPr="00904FCB">
        <w:rPr>
          <w:rFonts w:hint="cs"/>
          <w:sz w:val="27"/>
          <w:rtl/>
          <w:lang w:bidi="ar-IQ"/>
        </w:rPr>
        <w:t>أ</w:t>
      </w:r>
      <w:r w:rsidRPr="00904FCB">
        <w:rPr>
          <w:rFonts w:hint="cs"/>
          <w:sz w:val="27"/>
          <w:rtl/>
          <w:lang w:bidi="ar-IQ"/>
        </w:rPr>
        <w:t>ولى والثوابت</w:t>
      </w:r>
      <w:r w:rsidR="00D20F62" w:rsidRPr="00904FCB">
        <w:rPr>
          <w:rFonts w:hint="cs"/>
          <w:sz w:val="27"/>
          <w:rtl/>
          <w:lang w:bidi="ar-IQ"/>
        </w:rPr>
        <w:t xml:space="preserve">؛ </w:t>
      </w:r>
      <w:r w:rsidRPr="00904FCB">
        <w:rPr>
          <w:rFonts w:hint="cs"/>
          <w:sz w:val="27"/>
          <w:rtl/>
          <w:lang w:bidi="ar-IQ"/>
        </w:rPr>
        <w:t xml:space="preserve">لأن أصل الشيء </w:t>
      </w:r>
      <w:r w:rsidR="00E35B89" w:rsidRPr="00904FCB">
        <w:rPr>
          <w:rFonts w:hint="cs"/>
          <w:sz w:val="27"/>
          <w:rtl/>
          <w:lang w:bidi="ar-IQ"/>
        </w:rPr>
        <w:t>أ</w:t>
      </w:r>
      <w:r w:rsidRPr="00904FCB">
        <w:rPr>
          <w:rFonts w:hint="cs"/>
          <w:sz w:val="27"/>
          <w:rtl/>
          <w:lang w:bidi="ar-IQ"/>
        </w:rPr>
        <w:t>ساسه الذي يقوم عليه</w:t>
      </w:r>
      <w:r w:rsidR="00D20F62" w:rsidRPr="00904FCB">
        <w:rPr>
          <w:rFonts w:hint="cs"/>
          <w:sz w:val="27"/>
          <w:rtl/>
          <w:lang w:bidi="ar-IQ"/>
        </w:rPr>
        <w:t>.</w:t>
      </w:r>
      <w:r w:rsidRPr="00904FCB">
        <w:rPr>
          <w:rFonts w:hint="cs"/>
          <w:sz w:val="27"/>
          <w:rtl/>
          <w:lang w:bidi="ar-IQ"/>
        </w:rPr>
        <w:t xml:space="preserve"> والنسبة </w:t>
      </w:r>
      <w:r w:rsidR="00D20F62" w:rsidRPr="00904FCB">
        <w:rPr>
          <w:rFonts w:hint="cs"/>
          <w:sz w:val="27"/>
          <w:rtl/>
          <w:lang w:bidi="ar-IQ"/>
        </w:rPr>
        <w:t>إ</w:t>
      </w:r>
      <w:r w:rsidRPr="00904FCB">
        <w:rPr>
          <w:rFonts w:hint="cs"/>
          <w:sz w:val="27"/>
          <w:rtl/>
          <w:lang w:bidi="ar-IQ"/>
        </w:rPr>
        <w:t>ليه أصولي</w:t>
      </w:r>
      <w:r w:rsidRPr="00904FCB">
        <w:rPr>
          <w:rFonts w:hint="cs"/>
          <w:sz w:val="27"/>
          <w:vertAlign w:val="superscript"/>
          <w:rtl/>
          <w:lang w:bidi="ar-IQ"/>
        </w:rPr>
        <w:t>(</w:t>
      </w:r>
      <w:r w:rsidRPr="00904FCB">
        <w:rPr>
          <w:rStyle w:val="ac"/>
          <w:sz w:val="27"/>
          <w:rtl/>
          <w:lang w:bidi="ar-IQ"/>
        </w:rPr>
        <w:endnoteReference w:id="278"/>
      </w:r>
      <w:r w:rsidRPr="00904FCB">
        <w:rPr>
          <w:rFonts w:hint="cs"/>
          <w:sz w:val="27"/>
          <w:vertAlign w:val="superscript"/>
          <w:rtl/>
          <w:lang w:bidi="ar-IQ"/>
        </w:rPr>
        <w:t>)</w:t>
      </w:r>
      <w:r w:rsidR="00D20F62" w:rsidRPr="00904FCB">
        <w:rPr>
          <w:rFonts w:hint="cs"/>
          <w:sz w:val="27"/>
          <w:rtl/>
          <w:lang w:bidi="ar-IQ"/>
        </w:rPr>
        <w:t>.</w:t>
      </w:r>
    </w:p>
    <w:p w:rsidR="00952E59" w:rsidRPr="00904FCB" w:rsidRDefault="00D20F62" w:rsidP="007A21AA">
      <w:pPr>
        <w:spacing w:line="400" w:lineRule="exact"/>
        <w:rPr>
          <w:sz w:val="27"/>
          <w:lang w:bidi="ar-IQ"/>
        </w:rPr>
      </w:pPr>
      <w:r w:rsidRPr="00904FCB">
        <w:rPr>
          <w:rFonts w:hint="cs"/>
          <w:sz w:val="27"/>
          <w:rtl/>
          <w:lang w:bidi="ar-IQ"/>
        </w:rPr>
        <w:t xml:space="preserve">إذن </w:t>
      </w:r>
      <w:r w:rsidR="00952E59" w:rsidRPr="00904FCB">
        <w:rPr>
          <w:rFonts w:hint="cs"/>
          <w:sz w:val="27"/>
          <w:rtl/>
          <w:lang w:bidi="ar-IQ"/>
        </w:rPr>
        <w:t>يكون معنى التأصيل الكشف عن هذا ال</w:t>
      </w:r>
      <w:r w:rsidRPr="00904FCB">
        <w:rPr>
          <w:rFonts w:hint="cs"/>
          <w:sz w:val="27"/>
          <w:rtl/>
          <w:lang w:bidi="ar-IQ"/>
        </w:rPr>
        <w:t>أ</w:t>
      </w:r>
      <w:r w:rsidR="00952E59" w:rsidRPr="00904FCB">
        <w:rPr>
          <w:rFonts w:hint="cs"/>
          <w:sz w:val="27"/>
          <w:rtl/>
          <w:lang w:bidi="ar-IQ"/>
        </w:rPr>
        <w:t>صل</w:t>
      </w:r>
      <w:r w:rsidRPr="00904FCB">
        <w:rPr>
          <w:rFonts w:hint="cs"/>
          <w:sz w:val="27"/>
          <w:rtl/>
          <w:lang w:bidi="ar-IQ"/>
        </w:rPr>
        <w:t>،</w:t>
      </w:r>
      <w:r w:rsidR="00952E59" w:rsidRPr="00904FCB">
        <w:rPr>
          <w:rFonts w:hint="cs"/>
          <w:sz w:val="27"/>
          <w:rtl/>
          <w:lang w:bidi="ar-IQ"/>
        </w:rPr>
        <w:t xml:space="preserve"> وتحديد طبيعة الانتساب </w:t>
      </w:r>
      <w:r w:rsidRPr="00904FCB">
        <w:rPr>
          <w:rFonts w:hint="cs"/>
          <w:sz w:val="27"/>
          <w:rtl/>
          <w:lang w:bidi="ar-IQ"/>
        </w:rPr>
        <w:t>إ</w:t>
      </w:r>
      <w:r w:rsidR="00952E59" w:rsidRPr="00904FCB">
        <w:rPr>
          <w:rFonts w:hint="cs"/>
          <w:sz w:val="27"/>
          <w:rtl/>
          <w:lang w:bidi="ar-IQ"/>
        </w:rPr>
        <w:t xml:space="preserve">ليه، </w:t>
      </w:r>
      <w:r w:rsidRPr="00904FCB">
        <w:rPr>
          <w:rFonts w:hint="cs"/>
          <w:sz w:val="27"/>
          <w:rtl/>
          <w:lang w:bidi="ar-IQ"/>
        </w:rPr>
        <w:t>أ</w:t>
      </w:r>
      <w:r w:rsidR="00952E59" w:rsidRPr="00904FCB">
        <w:rPr>
          <w:rFonts w:hint="cs"/>
          <w:sz w:val="27"/>
          <w:rtl/>
          <w:lang w:bidi="ar-IQ"/>
        </w:rPr>
        <w:t>ي تحديد هويته من حيث النشأة</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أ</w:t>
      </w:r>
      <w:r w:rsidR="00952E59" w:rsidRPr="00904FCB">
        <w:rPr>
          <w:rFonts w:hint="cs"/>
          <w:sz w:val="27"/>
          <w:rtl/>
          <w:lang w:bidi="ar-IQ"/>
        </w:rPr>
        <w:t xml:space="preserve">ي </w:t>
      </w:r>
      <w:r w:rsidRPr="00904FCB">
        <w:rPr>
          <w:rFonts w:hint="cs"/>
          <w:sz w:val="27"/>
          <w:rtl/>
          <w:lang w:bidi="ar-IQ"/>
        </w:rPr>
        <w:t>إ</w:t>
      </w:r>
      <w:r w:rsidR="00952E59" w:rsidRPr="00904FCB">
        <w:rPr>
          <w:rFonts w:hint="cs"/>
          <w:sz w:val="27"/>
          <w:rtl/>
          <w:lang w:bidi="ar-IQ"/>
        </w:rPr>
        <w:t>ن الفكر الراهن ناتج عن الأسس التي تقوم عليه</w:t>
      </w:r>
      <w:r w:rsidRPr="00904FCB">
        <w:rPr>
          <w:rFonts w:hint="cs"/>
          <w:sz w:val="27"/>
          <w:rtl/>
          <w:lang w:bidi="ar-IQ"/>
        </w:rPr>
        <w:t>ا</w:t>
      </w:r>
      <w:r w:rsidR="00952E59" w:rsidRPr="00904FCB">
        <w:rPr>
          <w:rFonts w:hint="cs"/>
          <w:sz w:val="27"/>
          <w:rtl/>
          <w:lang w:bidi="ar-IQ"/>
        </w:rPr>
        <w:t xml:space="preserve"> الظواهر </w:t>
      </w:r>
      <w:r w:rsidRPr="00904FCB">
        <w:rPr>
          <w:rFonts w:hint="cs"/>
          <w:sz w:val="27"/>
          <w:rtl/>
          <w:lang w:bidi="ar-IQ"/>
        </w:rPr>
        <w:t>أ</w:t>
      </w:r>
      <w:r w:rsidR="00952E59" w:rsidRPr="00904FCB">
        <w:rPr>
          <w:rFonts w:hint="cs"/>
          <w:sz w:val="27"/>
          <w:rtl/>
          <w:lang w:bidi="ar-IQ"/>
        </w:rPr>
        <w:t>و الواقع ال</w:t>
      </w:r>
      <w:r w:rsidRPr="00904FCB">
        <w:rPr>
          <w:rFonts w:hint="cs"/>
          <w:sz w:val="27"/>
          <w:rtl/>
          <w:lang w:bidi="ar-IQ"/>
        </w:rPr>
        <w:t>ا</w:t>
      </w:r>
      <w:r w:rsidR="00952E59" w:rsidRPr="00904FCB">
        <w:rPr>
          <w:rFonts w:hint="cs"/>
          <w:sz w:val="27"/>
          <w:rtl/>
          <w:lang w:bidi="ar-IQ"/>
        </w:rPr>
        <w:t>جتماعي المعين</w:t>
      </w:r>
      <w:r w:rsidRPr="00904FCB">
        <w:rPr>
          <w:rFonts w:hint="cs"/>
          <w:sz w:val="27"/>
          <w:rtl/>
          <w:lang w:bidi="ar-IQ"/>
        </w:rPr>
        <w:t>.</w:t>
      </w:r>
      <w:r w:rsidR="00952E59" w:rsidRPr="00904FCB">
        <w:rPr>
          <w:rFonts w:hint="cs"/>
          <w:sz w:val="27"/>
          <w:rtl/>
          <w:lang w:bidi="ar-IQ"/>
        </w:rPr>
        <w:t xml:space="preserve"> ويسم</w:t>
      </w:r>
      <w:r w:rsidRPr="00904FCB">
        <w:rPr>
          <w:rFonts w:hint="cs"/>
          <w:sz w:val="27"/>
          <w:rtl/>
          <w:lang w:bidi="ar-IQ"/>
        </w:rPr>
        <w:t>ّ</w:t>
      </w:r>
      <w:r w:rsidR="00952E59" w:rsidRPr="00904FCB">
        <w:rPr>
          <w:rFonts w:hint="cs"/>
          <w:sz w:val="27"/>
          <w:rtl/>
          <w:lang w:bidi="ar-IQ"/>
        </w:rPr>
        <w:t xml:space="preserve">ى الشيء </w:t>
      </w:r>
      <w:r w:rsidRPr="00904FCB">
        <w:rPr>
          <w:rFonts w:hint="cs"/>
          <w:sz w:val="27"/>
          <w:rtl/>
          <w:lang w:bidi="ar-IQ"/>
        </w:rPr>
        <w:t>أ</w:t>
      </w:r>
      <w:r w:rsidR="00952E59" w:rsidRPr="00904FCB">
        <w:rPr>
          <w:rFonts w:hint="cs"/>
          <w:sz w:val="27"/>
          <w:rtl/>
          <w:lang w:bidi="ar-IQ"/>
        </w:rPr>
        <w:t xml:space="preserve">صيلاً </w:t>
      </w:r>
      <w:r w:rsidRPr="00904FCB">
        <w:rPr>
          <w:rFonts w:hint="cs"/>
          <w:sz w:val="27"/>
          <w:rtl/>
          <w:lang w:bidi="ar-IQ"/>
        </w:rPr>
        <w:t>إ</w:t>
      </w:r>
      <w:r w:rsidR="00952E59" w:rsidRPr="00904FCB">
        <w:rPr>
          <w:rFonts w:hint="cs"/>
          <w:sz w:val="27"/>
          <w:rtl/>
          <w:lang w:bidi="ar-IQ"/>
        </w:rPr>
        <w:t xml:space="preserve">ذا كان ينتمي </w:t>
      </w:r>
      <w:r w:rsidRPr="00904FCB">
        <w:rPr>
          <w:rFonts w:hint="cs"/>
          <w:sz w:val="27"/>
          <w:rtl/>
          <w:lang w:bidi="ar-IQ"/>
        </w:rPr>
        <w:t>إ</w:t>
      </w:r>
      <w:r w:rsidR="00952E59" w:rsidRPr="00904FCB">
        <w:rPr>
          <w:rFonts w:hint="cs"/>
          <w:sz w:val="27"/>
          <w:rtl/>
          <w:lang w:bidi="ar-IQ"/>
        </w:rPr>
        <w:t>لى ال</w:t>
      </w:r>
      <w:r w:rsidRPr="00904FCB">
        <w:rPr>
          <w:rFonts w:hint="cs"/>
          <w:sz w:val="27"/>
          <w:rtl/>
          <w:lang w:bidi="ar-IQ"/>
        </w:rPr>
        <w:t>أ</w:t>
      </w:r>
      <w:r w:rsidR="00952E59" w:rsidRPr="00904FCB">
        <w:rPr>
          <w:rFonts w:hint="cs"/>
          <w:sz w:val="27"/>
          <w:rtl/>
          <w:lang w:bidi="ar-IQ"/>
        </w:rPr>
        <w:t xml:space="preserve">صل </w:t>
      </w:r>
      <w:r w:rsidRPr="00904FCB">
        <w:rPr>
          <w:rFonts w:hint="cs"/>
          <w:sz w:val="27"/>
          <w:rtl/>
          <w:lang w:bidi="ar-IQ"/>
        </w:rPr>
        <w:t>أ</w:t>
      </w:r>
      <w:r w:rsidR="00952E59" w:rsidRPr="00904FCB">
        <w:rPr>
          <w:rFonts w:hint="cs"/>
          <w:sz w:val="27"/>
          <w:rtl/>
          <w:lang w:bidi="ar-IQ"/>
        </w:rPr>
        <w:t xml:space="preserve">و يتمسك به. </w:t>
      </w:r>
    </w:p>
    <w:p w:rsidR="00952E59" w:rsidRPr="00904FCB" w:rsidRDefault="00D20F62" w:rsidP="007A21AA">
      <w:pPr>
        <w:spacing w:line="400" w:lineRule="exact"/>
        <w:rPr>
          <w:sz w:val="27"/>
          <w:lang w:bidi="ar-IQ"/>
        </w:rPr>
      </w:pPr>
      <w:r w:rsidRPr="00904FCB">
        <w:rPr>
          <w:rFonts w:hint="cs"/>
          <w:sz w:val="27"/>
          <w:rtl/>
          <w:lang w:bidi="ar-IQ"/>
        </w:rPr>
        <w:t>أ</w:t>
      </w:r>
      <w:r w:rsidR="00952E59" w:rsidRPr="00904FCB">
        <w:rPr>
          <w:rFonts w:hint="cs"/>
          <w:sz w:val="27"/>
          <w:rtl/>
          <w:lang w:bidi="ar-IQ"/>
        </w:rPr>
        <w:t>ما في الاصطلاح التقليدي فقد استخدم ال</w:t>
      </w:r>
      <w:r w:rsidRPr="00904FCB">
        <w:rPr>
          <w:rFonts w:hint="cs"/>
          <w:sz w:val="27"/>
          <w:rtl/>
          <w:lang w:bidi="ar-IQ"/>
        </w:rPr>
        <w:t>أ</w:t>
      </w:r>
      <w:r w:rsidR="00952E59" w:rsidRPr="00904FCB">
        <w:rPr>
          <w:rFonts w:hint="cs"/>
          <w:sz w:val="27"/>
          <w:rtl/>
          <w:lang w:bidi="ar-IQ"/>
        </w:rPr>
        <w:t>صل بما يقابل الفرع، و</w:t>
      </w:r>
      <w:r w:rsidRPr="00904FCB">
        <w:rPr>
          <w:rFonts w:hint="cs"/>
          <w:sz w:val="27"/>
          <w:rtl/>
          <w:lang w:bidi="ar-IQ"/>
        </w:rPr>
        <w:t>ا</w:t>
      </w:r>
      <w:r w:rsidR="00952E59" w:rsidRPr="00904FCB">
        <w:rPr>
          <w:rFonts w:hint="cs"/>
          <w:sz w:val="27"/>
          <w:rtl/>
          <w:lang w:bidi="ar-IQ"/>
        </w:rPr>
        <w:t xml:space="preserve">ستعمله </w:t>
      </w:r>
      <w:r w:rsidRPr="00904FCB">
        <w:rPr>
          <w:rFonts w:hint="cs"/>
          <w:sz w:val="27"/>
          <w:rtl/>
          <w:lang w:bidi="ar-IQ"/>
        </w:rPr>
        <w:t>أ</w:t>
      </w:r>
      <w:r w:rsidR="00952E59" w:rsidRPr="00904FCB">
        <w:rPr>
          <w:rFonts w:hint="cs"/>
          <w:sz w:val="27"/>
          <w:rtl/>
          <w:lang w:bidi="ar-IQ"/>
        </w:rPr>
        <w:t>هل اللغة وعلوم ال</w:t>
      </w:r>
      <w:r w:rsidRPr="00904FCB">
        <w:rPr>
          <w:rFonts w:hint="cs"/>
          <w:sz w:val="27"/>
          <w:rtl/>
          <w:lang w:bidi="ar-IQ"/>
        </w:rPr>
        <w:t>أ</w:t>
      </w:r>
      <w:r w:rsidR="00952E59" w:rsidRPr="00904FCB">
        <w:rPr>
          <w:rFonts w:hint="cs"/>
          <w:sz w:val="27"/>
          <w:rtl/>
          <w:lang w:bidi="ar-IQ"/>
        </w:rPr>
        <w:t xml:space="preserve">ولين بمعنى الدليل، </w:t>
      </w:r>
      <w:r w:rsidRPr="00904FCB">
        <w:rPr>
          <w:rFonts w:hint="cs"/>
          <w:sz w:val="27"/>
          <w:rtl/>
          <w:lang w:bidi="ar-IQ"/>
        </w:rPr>
        <w:t>أ</w:t>
      </w:r>
      <w:r w:rsidR="00952E59" w:rsidRPr="00904FCB">
        <w:rPr>
          <w:rFonts w:hint="cs"/>
          <w:sz w:val="27"/>
          <w:rtl/>
          <w:lang w:bidi="ar-IQ"/>
        </w:rPr>
        <w:t>و المستند</w:t>
      </w:r>
      <w:r w:rsidR="00952E59" w:rsidRPr="00904FCB">
        <w:rPr>
          <w:rFonts w:hint="cs"/>
          <w:sz w:val="27"/>
          <w:vertAlign w:val="superscript"/>
          <w:rtl/>
          <w:lang w:bidi="ar-IQ"/>
        </w:rPr>
        <w:t>(</w:t>
      </w:r>
      <w:r w:rsidR="00952E59" w:rsidRPr="00904FCB">
        <w:rPr>
          <w:rStyle w:val="ac"/>
          <w:sz w:val="27"/>
          <w:rtl/>
          <w:lang w:bidi="ar-IQ"/>
        </w:rPr>
        <w:endnoteReference w:id="279"/>
      </w:r>
      <w:r w:rsidR="00952E59" w:rsidRPr="00904FCB">
        <w:rPr>
          <w:rFonts w:hint="cs"/>
          <w:sz w:val="27"/>
          <w:vertAlign w:val="superscript"/>
          <w:rtl/>
          <w:lang w:bidi="ar-IQ"/>
        </w:rPr>
        <w:t>)</w:t>
      </w:r>
      <w:r w:rsidRPr="00904FCB">
        <w:rPr>
          <w:rFonts w:hint="cs"/>
          <w:sz w:val="27"/>
          <w:rtl/>
          <w:lang w:bidi="ar-IQ"/>
        </w:rPr>
        <w:t>.</w:t>
      </w:r>
      <w:r w:rsidR="00952E59" w:rsidRPr="00904FCB">
        <w:rPr>
          <w:rFonts w:hint="cs"/>
          <w:sz w:val="27"/>
          <w:vertAlign w:val="superscript"/>
          <w:rtl/>
          <w:lang w:bidi="ar-IQ"/>
        </w:rPr>
        <w:t xml:space="preserve"> </w:t>
      </w:r>
      <w:r w:rsidR="00952E59" w:rsidRPr="00904FCB">
        <w:rPr>
          <w:rFonts w:hint="cs"/>
          <w:sz w:val="27"/>
          <w:rtl/>
          <w:lang w:bidi="ar-IQ"/>
        </w:rPr>
        <w:t>ف</w:t>
      </w:r>
      <w:r w:rsidRPr="00904FCB">
        <w:rPr>
          <w:rFonts w:hint="cs"/>
          <w:sz w:val="27"/>
          <w:rtl/>
          <w:lang w:bidi="ar-IQ"/>
        </w:rPr>
        <w:t>إ</w:t>
      </w:r>
      <w:r w:rsidR="00952E59" w:rsidRPr="00904FCB">
        <w:rPr>
          <w:rFonts w:hint="cs"/>
          <w:sz w:val="27"/>
          <w:rtl/>
          <w:lang w:bidi="ar-IQ"/>
        </w:rPr>
        <w:t>ذا قيل</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إ</w:t>
      </w:r>
      <w:r w:rsidR="00952E59" w:rsidRPr="00904FCB">
        <w:rPr>
          <w:rFonts w:hint="cs"/>
          <w:sz w:val="27"/>
          <w:rtl/>
          <w:lang w:bidi="ar-IQ"/>
        </w:rPr>
        <w:t>ن أصل المس</w:t>
      </w:r>
      <w:r w:rsidRPr="00904FCB">
        <w:rPr>
          <w:rFonts w:hint="cs"/>
          <w:sz w:val="27"/>
          <w:rtl/>
          <w:lang w:bidi="ar-IQ"/>
        </w:rPr>
        <w:t>أ</w:t>
      </w:r>
      <w:r w:rsidR="00952E59" w:rsidRPr="00904FCB">
        <w:rPr>
          <w:rFonts w:hint="cs"/>
          <w:sz w:val="27"/>
          <w:rtl/>
          <w:lang w:bidi="ar-IQ"/>
        </w:rPr>
        <w:t xml:space="preserve">لة كذا </w:t>
      </w:r>
      <w:r w:rsidRPr="00904FCB">
        <w:rPr>
          <w:rFonts w:hint="cs"/>
          <w:sz w:val="27"/>
          <w:rtl/>
          <w:lang w:bidi="ar-IQ"/>
        </w:rPr>
        <w:t>أ</w:t>
      </w:r>
      <w:r w:rsidR="00952E59" w:rsidRPr="00904FCB">
        <w:rPr>
          <w:rFonts w:hint="cs"/>
          <w:sz w:val="27"/>
          <w:rtl/>
          <w:lang w:bidi="ar-IQ"/>
        </w:rPr>
        <w:t>ي دليلها كذا</w:t>
      </w:r>
      <w:r w:rsidRPr="00904FCB">
        <w:rPr>
          <w:rFonts w:hint="cs"/>
          <w:sz w:val="27"/>
          <w:rtl/>
          <w:lang w:bidi="ar-IQ"/>
        </w:rPr>
        <w:t xml:space="preserve">. </w:t>
      </w:r>
      <w:r w:rsidR="00952E59" w:rsidRPr="00904FCB">
        <w:rPr>
          <w:rFonts w:hint="cs"/>
          <w:sz w:val="27"/>
          <w:rtl/>
          <w:lang w:bidi="ar-IQ"/>
        </w:rPr>
        <w:t>وقيل</w:t>
      </w:r>
      <w:r w:rsidRPr="00904FCB">
        <w:rPr>
          <w:rFonts w:hint="cs"/>
          <w:sz w:val="27"/>
          <w:rtl/>
          <w:lang w:bidi="ar-IQ"/>
        </w:rPr>
        <w:t>:</w:t>
      </w:r>
      <w:r w:rsidR="00952E59" w:rsidRPr="00904FCB">
        <w:rPr>
          <w:rFonts w:hint="cs"/>
          <w:sz w:val="27"/>
          <w:rtl/>
          <w:lang w:bidi="ar-IQ"/>
        </w:rPr>
        <w:t xml:space="preserve"> هو المبدأ الذي نشأ عنه نمط</w:t>
      </w:r>
      <w:r w:rsidRPr="00904FCB">
        <w:rPr>
          <w:rFonts w:hint="cs"/>
          <w:sz w:val="27"/>
          <w:rtl/>
          <w:lang w:bidi="ar-IQ"/>
        </w:rPr>
        <w:t>ٌ</w:t>
      </w:r>
      <w:r w:rsidR="00952E59" w:rsidRPr="00904FCB">
        <w:rPr>
          <w:rFonts w:hint="cs"/>
          <w:sz w:val="27"/>
          <w:rtl/>
          <w:lang w:bidi="ar-IQ"/>
        </w:rPr>
        <w:t xml:space="preserve"> من الفكر الراهن </w:t>
      </w:r>
      <w:r w:rsidRPr="00904FCB">
        <w:rPr>
          <w:rFonts w:hint="cs"/>
          <w:sz w:val="27"/>
          <w:rtl/>
          <w:lang w:bidi="ar-IQ"/>
        </w:rPr>
        <w:t>أ</w:t>
      </w:r>
      <w:r w:rsidR="00952E59" w:rsidRPr="00904FCB">
        <w:rPr>
          <w:rFonts w:hint="cs"/>
          <w:sz w:val="27"/>
          <w:rtl/>
          <w:lang w:bidi="ar-IQ"/>
        </w:rPr>
        <w:t xml:space="preserve">و النظرية التي تنتسب </w:t>
      </w:r>
      <w:r w:rsidRPr="00904FCB">
        <w:rPr>
          <w:rFonts w:hint="cs"/>
          <w:sz w:val="27"/>
          <w:rtl/>
          <w:lang w:bidi="ar-IQ"/>
        </w:rPr>
        <w:t>إ</w:t>
      </w:r>
      <w:r w:rsidR="00952E59" w:rsidRPr="00904FCB">
        <w:rPr>
          <w:rFonts w:hint="cs"/>
          <w:sz w:val="27"/>
          <w:rtl/>
          <w:lang w:bidi="ar-IQ"/>
        </w:rPr>
        <w:t>ليه</w:t>
      </w:r>
      <w:r w:rsidRPr="00904FCB">
        <w:rPr>
          <w:rFonts w:hint="cs"/>
          <w:sz w:val="27"/>
          <w:rtl/>
          <w:lang w:bidi="ar-IQ"/>
        </w:rPr>
        <w:t>،</w:t>
      </w:r>
      <w:r w:rsidR="00952E59" w:rsidRPr="00904FCB">
        <w:rPr>
          <w:rFonts w:hint="cs"/>
          <w:sz w:val="27"/>
          <w:rtl/>
          <w:lang w:bidi="ar-IQ"/>
        </w:rPr>
        <w:t xml:space="preserve"> فيكون بمعنى الجذر </w:t>
      </w:r>
      <w:r w:rsidRPr="00904FCB">
        <w:rPr>
          <w:rFonts w:hint="cs"/>
          <w:sz w:val="27"/>
          <w:rtl/>
          <w:lang w:bidi="ar-IQ"/>
        </w:rPr>
        <w:t>أ</w:t>
      </w:r>
      <w:r w:rsidR="00952E59" w:rsidRPr="00904FCB">
        <w:rPr>
          <w:rFonts w:hint="cs"/>
          <w:sz w:val="27"/>
          <w:rtl/>
          <w:lang w:bidi="ar-IQ"/>
        </w:rPr>
        <w:t xml:space="preserve">و السبب </w:t>
      </w:r>
      <w:r w:rsidRPr="00904FCB">
        <w:rPr>
          <w:rFonts w:hint="cs"/>
          <w:sz w:val="27"/>
          <w:rtl/>
          <w:lang w:bidi="ar-IQ"/>
        </w:rPr>
        <w:t>أ</w:t>
      </w:r>
      <w:r w:rsidR="00952E59" w:rsidRPr="00904FCB">
        <w:rPr>
          <w:rFonts w:hint="cs"/>
          <w:sz w:val="27"/>
          <w:rtl/>
          <w:lang w:bidi="ar-IQ"/>
        </w:rPr>
        <w:t>و الشرط لرؤية فكرية متأخ</w:t>
      </w:r>
      <w:r w:rsidRPr="00904FCB">
        <w:rPr>
          <w:rFonts w:hint="cs"/>
          <w:sz w:val="27"/>
          <w:rtl/>
          <w:lang w:bidi="ar-IQ"/>
        </w:rPr>
        <w:t>ِّ</w:t>
      </w:r>
      <w:r w:rsidR="00952E59" w:rsidRPr="00904FCB">
        <w:rPr>
          <w:rFonts w:hint="cs"/>
          <w:sz w:val="27"/>
          <w:rtl/>
          <w:lang w:bidi="ar-IQ"/>
        </w:rPr>
        <w:t>رة عنه ومؤس</w:t>
      </w:r>
      <w:r w:rsidRPr="00904FCB">
        <w:rPr>
          <w:rFonts w:hint="cs"/>
          <w:sz w:val="27"/>
          <w:rtl/>
          <w:lang w:bidi="ar-IQ"/>
        </w:rPr>
        <w:t>ّ</w:t>
      </w:r>
      <w:r w:rsidR="00952E59" w:rsidRPr="00904FCB">
        <w:rPr>
          <w:rFonts w:hint="cs"/>
          <w:sz w:val="27"/>
          <w:rtl/>
          <w:lang w:bidi="ar-IQ"/>
        </w:rPr>
        <w:t>سة عليه</w:t>
      </w:r>
      <w:r w:rsidRPr="00904FCB">
        <w:rPr>
          <w:rFonts w:hint="cs"/>
          <w:sz w:val="27"/>
          <w:rtl/>
          <w:lang w:bidi="ar-IQ"/>
        </w:rPr>
        <w:t>.</w:t>
      </w:r>
      <w:r w:rsidR="00952E59" w:rsidRPr="00904FCB">
        <w:rPr>
          <w:rFonts w:hint="cs"/>
          <w:sz w:val="27"/>
          <w:rtl/>
          <w:lang w:bidi="ar-IQ"/>
        </w:rPr>
        <w:t xml:space="preserve"> وتكون ال</w:t>
      </w:r>
      <w:r w:rsidRPr="00904FCB">
        <w:rPr>
          <w:rFonts w:hint="cs"/>
          <w:sz w:val="27"/>
          <w:rtl/>
          <w:lang w:bidi="ar-IQ"/>
        </w:rPr>
        <w:t>أ</w:t>
      </w:r>
      <w:r w:rsidR="00952E59" w:rsidRPr="00904FCB">
        <w:rPr>
          <w:rFonts w:hint="cs"/>
          <w:sz w:val="27"/>
          <w:rtl/>
          <w:lang w:bidi="ar-IQ"/>
        </w:rPr>
        <w:t>صولية على ما تقد</w:t>
      </w:r>
      <w:r w:rsidRPr="00904FCB">
        <w:rPr>
          <w:rFonts w:hint="cs"/>
          <w:sz w:val="27"/>
          <w:rtl/>
          <w:lang w:bidi="ar-IQ"/>
        </w:rPr>
        <w:t>َّ</w:t>
      </w:r>
      <w:r w:rsidR="00952E59" w:rsidRPr="00904FCB">
        <w:rPr>
          <w:rFonts w:hint="cs"/>
          <w:sz w:val="27"/>
          <w:rtl/>
          <w:lang w:bidi="ar-IQ"/>
        </w:rPr>
        <w:t>م من معان</w:t>
      </w:r>
      <w:r w:rsidRPr="00904FCB">
        <w:rPr>
          <w:rFonts w:hint="cs"/>
          <w:sz w:val="27"/>
          <w:rtl/>
          <w:lang w:bidi="ar-IQ"/>
        </w:rPr>
        <w:t>ٍ</w:t>
      </w:r>
      <w:r w:rsidR="00952E59" w:rsidRPr="00904FCB">
        <w:rPr>
          <w:rFonts w:hint="cs"/>
          <w:sz w:val="27"/>
          <w:rtl/>
          <w:lang w:bidi="ar-IQ"/>
        </w:rPr>
        <w:t xml:space="preserve"> معجمية و</w:t>
      </w:r>
      <w:r w:rsidRPr="00904FCB">
        <w:rPr>
          <w:rFonts w:hint="cs"/>
          <w:sz w:val="27"/>
          <w:rtl/>
          <w:lang w:bidi="ar-IQ"/>
        </w:rPr>
        <w:t>ا</w:t>
      </w:r>
      <w:r w:rsidR="00952E59" w:rsidRPr="00904FCB">
        <w:rPr>
          <w:rFonts w:hint="cs"/>
          <w:sz w:val="27"/>
          <w:rtl/>
          <w:lang w:bidi="ar-IQ"/>
        </w:rPr>
        <w:t xml:space="preserve">ستعمالية هي الآراء </w:t>
      </w:r>
      <w:r w:rsidR="00952E59" w:rsidRPr="00904FCB">
        <w:rPr>
          <w:rFonts w:hint="cs"/>
          <w:sz w:val="27"/>
          <w:rtl/>
          <w:lang w:bidi="ar-IQ"/>
        </w:rPr>
        <w:lastRenderedPageBreak/>
        <w:t>وال</w:t>
      </w:r>
      <w:r w:rsidRPr="00904FCB">
        <w:rPr>
          <w:rFonts w:hint="cs"/>
          <w:sz w:val="27"/>
          <w:rtl/>
          <w:lang w:bidi="ar-IQ"/>
        </w:rPr>
        <w:t>أ</w:t>
      </w:r>
      <w:r w:rsidR="00952E59" w:rsidRPr="00904FCB">
        <w:rPr>
          <w:rFonts w:hint="cs"/>
          <w:sz w:val="27"/>
          <w:rtl/>
          <w:lang w:bidi="ar-IQ"/>
        </w:rPr>
        <w:t xml:space="preserve">فكار والنظريات المنتسبة </w:t>
      </w:r>
      <w:r w:rsidRPr="00904FCB">
        <w:rPr>
          <w:rFonts w:hint="cs"/>
          <w:sz w:val="27"/>
          <w:rtl/>
          <w:lang w:bidi="ar-IQ"/>
        </w:rPr>
        <w:t>إ</w:t>
      </w:r>
      <w:r w:rsidR="00952E59" w:rsidRPr="00904FCB">
        <w:rPr>
          <w:rFonts w:hint="cs"/>
          <w:sz w:val="27"/>
          <w:rtl/>
          <w:lang w:bidi="ar-IQ"/>
        </w:rPr>
        <w:t>لى أصل</w:t>
      </w:r>
      <w:r w:rsidRPr="00904FCB">
        <w:rPr>
          <w:rFonts w:hint="cs"/>
          <w:sz w:val="27"/>
          <w:rtl/>
          <w:lang w:bidi="ar-IQ"/>
        </w:rPr>
        <w:t>ٍ</w:t>
      </w:r>
      <w:r w:rsidR="00952E59" w:rsidRPr="00904FCB">
        <w:rPr>
          <w:rFonts w:hint="cs"/>
          <w:sz w:val="27"/>
          <w:rtl/>
          <w:lang w:bidi="ar-IQ"/>
        </w:rPr>
        <w:t xml:space="preserve"> فكري</w:t>
      </w:r>
      <w:r w:rsidRPr="00904FCB">
        <w:rPr>
          <w:rFonts w:hint="cs"/>
          <w:sz w:val="27"/>
          <w:rtl/>
          <w:lang w:bidi="ar-IQ"/>
        </w:rPr>
        <w:t>، سواء كان ديني</w:t>
      </w:r>
      <w:r w:rsidR="00952E59" w:rsidRPr="00904FCB">
        <w:rPr>
          <w:rFonts w:hint="cs"/>
          <w:sz w:val="27"/>
          <w:rtl/>
          <w:lang w:bidi="ar-IQ"/>
        </w:rPr>
        <w:t>ا</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أم فلسفي</w:t>
      </w:r>
      <w:r w:rsidR="00952E59" w:rsidRPr="00904FCB">
        <w:rPr>
          <w:rFonts w:hint="cs"/>
          <w:sz w:val="27"/>
          <w:rtl/>
          <w:lang w:bidi="ar-IQ"/>
        </w:rPr>
        <w:t>ا</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أم</w:t>
      </w:r>
      <w:r w:rsidR="00952E59" w:rsidRPr="00904FCB">
        <w:rPr>
          <w:rFonts w:hint="cs"/>
          <w:sz w:val="27"/>
          <w:rtl/>
          <w:lang w:bidi="ar-IQ"/>
        </w:rPr>
        <w:t xml:space="preserve"> </w:t>
      </w:r>
      <w:r w:rsidRPr="00904FCB">
        <w:rPr>
          <w:rFonts w:hint="cs"/>
          <w:sz w:val="27"/>
          <w:rtl/>
          <w:lang w:bidi="ar-IQ"/>
        </w:rPr>
        <w:t>أ</w:t>
      </w:r>
      <w:r w:rsidR="00952E59" w:rsidRPr="00904FCB">
        <w:rPr>
          <w:rFonts w:hint="cs"/>
          <w:sz w:val="27"/>
          <w:rtl/>
          <w:lang w:bidi="ar-IQ"/>
        </w:rPr>
        <w:t>صولاً ثقافية ت</w:t>
      </w:r>
      <w:r w:rsidRPr="00904FCB">
        <w:rPr>
          <w:rFonts w:hint="cs"/>
          <w:sz w:val="27"/>
          <w:rtl/>
          <w:lang w:bidi="ar-IQ"/>
        </w:rPr>
        <w:t>أ</w:t>
      </w:r>
      <w:r w:rsidR="00952E59" w:rsidRPr="00904FCB">
        <w:rPr>
          <w:rFonts w:hint="cs"/>
          <w:sz w:val="27"/>
          <w:rtl/>
          <w:lang w:bidi="ar-IQ"/>
        </w:rPr>
        <w:t xml:space="preserve">سيسية أخرى. </w:t>
      </w:r>
    </w:p>
    <w:p w:rsidR="00502AC2" w:rsidRPr="00904FCB" w:rsidRDefault="00D20F62" w:rsidP="00006ECF">
      <w:pPr>
        <w:spacing w:line="400" w:lineRule="exact"/>
        <w:rPr>
          <w:sz w:val="27"/>
          <w:rtl/>
          <w:lang w:bidi="ar-IQ"/>
        </w:rPr>
      </w:pPr>
      <w:r w:rsidRPr="00904FCB">
        <w:rPr>
          <w:rFonts w:hint="cs"/>
          <w:sz w:val="27"/>
          <w:rtl/>
          <w:lang w:bidi="ar-IQ"/>
        </w:rPr>
        <w:t>أ</w:t>
      </w:r>
      <w:r w:rsidR="00952E59" w:rsidRPr="00904FCB">
        <w:rPr>
          <w:rFonts w:hint="cs"/>
          <w:sz w:val="27"/>
          <w:rtl/>
          <w:lang w:bidi="ar-IQ"/>
        </w:rPr>
        <w:t>ما الاستعمال المتداول في هذه ال</w:t>
      </w:r>
      <w:r w:rsidRPr="00904FCB">
        <w:rPr>
          <w:rFonts w:hint="cs"/>
          <w:sz w:val="27"/>
          <w:rtl/>
          <w:lang w:bidi="ar-IQ"/>
        </w:rPr>
        <w:t>أ</w:t>
      </w:r>
      <w:r w:rsidR="00952E59" w:rsidRPr="00904FCB">
        <w:rPr>
          <w:rFonts w:hint="cs"/>
          <w:sz w:val="27"/>
          <w:rtl/>
          <w:lang w:bidi="ar-IQ"/>
        </w:rPr>
        <w:t xml:space="preserve">يام فقد </w:t>
      </w:r>
      <w:r w:rsidRPr="00904FCB">
        <w:rPr>
          <w:rFonts w:hint="cs"/>
          <w:sz w:val="27"/>
          <w:rtl/>
          <w:lang w:bidi="ar-IQ"/>
        </w:rPr>
        <w:t>ا</w:t>
      </w:r>
      <w:r w:rsidR="00952E59" w:rsidRPr="00904FCB">
        <w:rPr>
          <w:rFonts w:hint="cs"/>
          <w:sz w:val="27"/>
          <w:rtl/>
          <w:lang w:bidi="ar-IQ"/>
        </w:rPr>
        <w:t>ت</w:t>
      </w:r>
      <w:r w:rsidRPr="00904FCB">
        <w:rPr>
          <w:rFonts w:hint="cs"/>
          <w:sz w:val="27"/>
          <w:rtl/>
          <w:lang w:bidi="ar-IQ"/>
        </w:rPr>
        <w:t>ّ</w:t>
      </w:r>
      <w:r w:rsidR="00952E59" w:rsidRPr="00904FCB">
        <w:rPr>
          <w:rFonts w:hint="cs"/>
          <w:sz w:val="27"/>
          <w:rtl/>
          <w:lang w:bidi="ar-IQ"/>
        </w:rPr>
        <w:t>خذ منحى</w:t>
      </w:r>
      <w:r w:rsidRPr="00904FCB">
        <w:rPr>
          <w:rFonts w:hint="cs"/>
          <w:sz w:val="27"/>
          <w:rtl/>
          <w:lang w:bidi="ar-IQ"/>
        </w:rPr>
        <w:t>ً</w:t>
      </w:r>
      <w:r w:rsidR="00952E59" w:rsidRPr="00904FCB">
        <w:rPr>
          <w:rFonts w:hint="cs"/>
          <w:sz w:val="27"/>
          <w:rtl/>
          <w:lang w:bidi="ar-IQ"/>
        </w:rPr>
        <w:t xml:space="preserve"> آخر</w:t>
      </w:r>
      <w:r w:rsidRPr="00904FCB">
        <w:rPr>
          <w:rFonts w:hint="cs"/>
          <w:sz w:val="27"/>
          <w:rtl/>
          <w:lang w:bidi="ar-IQ"/>
        </w:rPr>
        <w:t>،</w:t>
      </w:r>
      <w:r w:rsidR="00952E59" w:rsidRPr="00904FCB">
        <w:rPr>
          <w:rFonts w:hint="cs"/>
          <w:sz w:val="27"/>
          <w:rtl/>
          <w:lang w:bidi="ar-IQ"/>
        </w:rPr>
        <w:t xml:space="preserve"> بحيث </w:t>
      </w:r>
      <w:r w:rsidRPr="00904FCB">
        <w:rPr>
          <w:rFonts w:hint="cs"/>
          <w:sz w:val="27"/>
          <w:rtl/>
          <w:lang w:bidi="ar-IQ"/>
        </w:rPr>
        <w:t>ا</w:t>
      </w:r>
      <w:r w:rsidR="00952E59" w:rsidRPr="00904FCB">
        <w:rPr>
          <w:rFonts w:hint="cs"/>
          <w:sz w:val="27"/>
          <w:rtl/>
          <w:lang w:bidi="ar-IQ"/>
        </w:rPr>
        <w:t>ختلفت دلالته بحسب بنية الثقافة التي يستعمل في نطاقها المفاهيمي</w:t>
      </w:r>
      <w:r w:rsidRPr="00904FCB">
        <w:rPr>
          <w:rFonts w:hint="cs"/>
          <w:sz w:val="27"/>
          <w:rtl/>
          <w:lang w:bidi="ar-IQ"/>
        </w:rPr>
        <w:t>.</w:t>
      </w:r>
      <w:r w:rsidR="00952E59" w:rsidRPr="00904FCB">
        <w:rPr>
          <w:rFonts w:hint="cs"/>
          <w:sz w:val="27"/>
          <w:rtl/>
          <w:lang w:bidi="ar-IQ"/>
        </w:rPr>
        <w:t xml:space="preserve"> فالمصطلح المعاصر لم يكن من منتجات الثقافة العربية، ولم يتدر</w:t>
      </w:r>
      <w:r w:rsidRPr="00904FCB">
        <w:rPr>
          <w:rFonts w:hint="cs"/>
          <w:sz w:val="27"/>
          <w:rtl/>
          <w:lang w:bidi="ar-IQ"/>
        </w:rPr>
        <w:t>ّ</w:t>
      </w:r>
      <w:r w:rsidR="00952E59" w:rsidRPr="00904FCB">
        <w:rPr>
          <w:rFonts w:hint="cs"/>
          <w:sz w:val="27"/>
          <w:rtl/>
          <w:lang w:bidi="ar-IQ"/>
        </w:rPr>
        <w:t>ج معناه في عرف التخاطب العربي</w:t>
      </w:r>
      <w:r w:rsidRPr="00904FCB">
        <w:rPr>
          <w:rFonts w:hint="cs"/>
          <w:sz w:val="27"/>
          <w:rtl/>
          <w:lang w:bidi="ar-IQ"/>
        </w:rPr>
        <w:t>.</w:t>
      </w:r>
      <w:r w:rsidR="00952E59" w:rsidRPr="00904FCB">
        <w:rPr>
          <w:rFonts w:hint="cs"/>
          <w:sz w:val="27"/>
          <w:rtl/>
          <w:lang w:bidi="ar-IQ"/>
        </w:rPr>
        <w:t xml:space="preserve"> أما ال</w:t>
      </w:r>
      <w:r w:rsidR="00006ECF">
        <w:rPr>
          <w:rFonts w:hint="cs"/>
          <w:sz w:val="27"/>
          <w:rtl/>
          <w:lang w:bidi="ar-IQ"/>
        </w:rPr>
        <w:t>إ</w:t>
      </w:r>
      <w:r w:rsidR="00952E59" w:rsidRPr="00904FCB">
        <w:rPr>
          <w:rFonts w:hint="cs"/>
          <w:sz w:val="27"/>
          <w:rtl/>
          <w:lang w:bidi="ar-IQ"/>
        </w:rPr>
        <w:t>طلاق المعاصر فقد نشأ في رحم الثقافة الغربية</w:t>
      </w:r>
      <w:r w:rsidR="00502AC2" w:rsidRPr="00904FCB">
        <w:rPr>
          <w:rFonts w:hint="cs"/>
          <w:sz w:val="27"/>
          <w:rtl/>
          <w:lang w:bidi="ar-IQ"/>
        </w:rPr>
        <w:t>،</w:t>
      </w:r>
      <w:r w:rsidR="00952E59" w:rsidRPr="00904FCB">
        <w:rPr>
          <w:rFonts w:hint="cs"/>
          <w:sz w:val="27"/>
          <w:rtl/>
          <w:lang w:bidi="ar-IQ"/>
        </w:rPr>
        <w:t xml:space="preserve"> و</w:t>
      </w:r>
      <w:r w:rsidR="00502AC2" w:rsidRPr="00904FCB">
        <w:rPr>
          <w:rFonts w:hint="cs"/>
          <w:sz w:val="27"/>
          <w:rtl/>
          <w:lang w:bidi="ar-IQ"/>
        </w:rPr>
        <w:t>ا</w:t>
      </w:r>
      <w:r w:rsidR="00952E59" w:rsidRPr="00904FCB">
        <w:rPr>
          <w:rFonts w:hint="cs"/>
          <w:sz w:val="27"/>
          <w:rtl/>
          <w:lang w:bidi="ar-IQ"/>
        </w:rPr>
        <w:t xml:space="preserve">نتقل معناه من الثقافة الغربية </w:t>
      </w:r>
      <w:r w:rsidR="00502AC2" w:rsidRPr="00904FCB">
        <w:rPr>
          <w:rFonts w:hint="cs"/>
          <w:sz w:val="27"/>
          <w:rtl/>
          <w:lang w:bidi="ar-IQ"/>
        </w:rPr>
        <w:t>إلى</w:t>
      </w:r>
      <w:r w:rsidR="00952E59" w:rsidRPr="00904FCB">
        <w:rPr>
          <w:rFonts w:hint="cs"/>
          <w:sz w:val="27"/>
          <w:rtl/>
          <w:lang w:bidi="ar-IQ"/>
        </w:rPr>
        <w:t xml:space="preserve"> ثقافة العرب والمسلمين</w:t>
      </w:r>
      <w:r w:rsidR="00502AC2" w:rsidRPr="00904FCB">
        <w:rPr>
          <w:rFonts w:hint="cs"/>
          <w:sz w:val="27"/>
          <w:rtl/>
          <w:lang w:bidi="ar-IQ"/>
        </w:rPr>
        <w:t>،</w:t>
      </w:r>
      <w:r w:rsidR="00952E59" w:rsidRPr="00904FCB">
        <w:rPr>
          <w:rFonts w:hint="cs"/>
          <w:sz w:val="27"/>
          <w:rtl/>
          <w:lang w:bidi="ar-IQ"/>
        </w:rPr>
        <w:t xml:space="preserve"> وكان معناه في المنشأ الثقافي له هو الرؤية</w:t>
      </w:r>
      <w:r w:rsidR="00502AC2" w:rsidRPr="00904FCB">
        <w:rPr>
          <w:rFonts w:hint="cs"/>
          <w:sz w:val="27"/>
          <w:rtl/>
          <w:lang w:bidi="ar-IQ"/>
        </w:rPr>
        <w:t xml:space="preserve"> </w:t>
      </w:r>
      <w:r w:rsidR="00952E59" w:rsidRPr="00904FCB">
        <w:rPr>
          <w:rFonts w:hint="cs"/>
          <w:sz w:val="27"/>
          <w:rtl/>
          <w:lang w:bidi="ar-IQ"/>
        </w:rPr>
        <w:t>الفكرية المعاصرة التي تت</w:t>
      </w:r>
      <w:r w:rsidR="00502AC2" w:rsidRPr="00904FCB">
        <w:rPr>
          <w:rFonts w:hint="cs"/>
          <w:sz w:val="27"/>
          <w:rtl/>
          <w:lang w:bidi="ar-IQ"/>
        </w:rPr>
        <w:t>ّ</w:t>
      </w:r>
      <w:r w:rsidR="00952E59" w:rsidRPr="00904FCB">
        <w:rPr>
          <w:rFonts w:hint="cs"/>
          <w:sz w:val="27"/>
          <w:rtl/>
          <w:lang w:bidi="ar-IQ"/>
        </w:rPr>
        <w:t>خذ من الأصل الت</w:t>
      </w:r>
      <w:r w:rsidR="00502AC2" w:rsidRPr="00904FCB">
        <w:rPr>
          <w:rFonts w:hint="cs"/>
          <w:sz w:val="27"/>
          <w:rtl/>
          <w:lang w:bidi="ar-IQ"/>
        </w:rPr>
        <w:t>أ</w:t>
      </w:r>
      <w:r w:rsidR="00952E59" w:rsidRPr="00904FCB">
        <w:rPr>
          <w:rFonts w:hint="cs"/>
          <w:sz w:val="27"/>
          <w:rtl/>
          <w:lang w:bidi="ar-IQ"/>
        </w:rPr>
        <w:t xml:space="preserve">سيسي مرجعاً </w:t>
      </w:r>
      <w:r w:rsidR="00502AC2" w:rsidRPr="00904FCB">
        <w:rPr>
          <w:rFonts w:hint="cs"/>
          <w:sz w:val="27"/>
          <w:rtl/>
          <w:lang w:bidi="ar-IQ"/>
        </w:rPr>
        <w:t>أ</w:t>
      </w:r>
      <w:r w:rsidR="00952E59" w:rsidRPr="00904FCB">
        <w:rPr>
          <w:rFonts w:hint="cs"/>
          <w:sz w:val="27"/>
          <w:rtl/>
          <w:lang w:bidi="ar-IQ"/>
        </w:rPr>
        <w:t>ساسياً لها</w:t>
      </w:r>
      <w:r w:rsidR="00502AC2" w:rsidRPr="00904FCB">
        <w:rPr>
          <w:rFonts w:hint="cs"/>
          <w:sz w:val="27"/>
          <w:rtl/>
          <w:lang w:bidi="ar-IQ"/>
        </w:rPr>
        <w:t>،</w:t>
      </w:r>
      <w:r w:rsidR="00952E59" w:rsidRPr="00904FCB">
        <w:rPr>
          <w:rFonts w:hint="cs"/>
          <w:sz w:val="27"/>
          <w:rtl/>
          <w:lang w:bidi="ar-IQ"/>
        </w:rPr>
        <w:t xml:space="preserve"> وسنداً مطلقاً ونهائياً، سواء أكان ذلك الأصل دينياً أم سياسياً </w:t>
      </w:r>
      <w:r w:rsidR="00502AC2" w:rsidRPr="00904FCB">
        <w:rPr>
          <w:rFonts w:hint="cs"/>
          <w:sz w:val="27"/>
          <w:rtl/>
          <w:lang w:bidi="ar-IQ"/>
        </w:rPr>
        <w:t>أ</w:t>
      </w:r>
      <w:r w:rsidR="00952E59" w:rsidRPr="00904FCB">
        <w:rPr>
          <w:rFonts w:hint="cs"/>
          <w:sz w:val="27"/>
          <w:rtl/>
          <w:lang w:bidi="ar-IQ"/>
        </w:rPr>
        <w:t>م عرقياً</w:t>
      </w:r>
      <w:r w:rsidR="00502AC2" w:rsidRPr="00904FCB">
        <w:rPr>
          <w:rFonts w:hint="cs"/>
          <w:sz w:val="27"/>
          <w:rtl/>
          <w:lang w:bidi="ar-IQ"/>
        </w:rPr>
        <w:t>؛</w:t>
      </w:r>
      <w:r w:rsidR="00952E59" w:rsidRPr="00904FCB">
        <w:rPr>
          <w:rFonts w:hint="cs"/>
          <w:sz w:val="27"/>
          <w:rtl/>
          <w:lang w:bidi="ar-IQ"/>
        </w:rPr>
        <w:t xml:space="preserve"> ليكون ال</w:t>
      </w:r>
      <w:r w:rsidR="00502AC2" w:rsidRPr="00904FCB">
        <w:rPr>
          <w:rFonts w:hint="cs"/>
          <w:sz w:val="27"/>
          <w:rtl/>
          <w:lang w:bidi="ar-IQ"/>
        </w:rPr>
        <w:t>أ</w:t>
      </w:r>
      <w:r w:rsidR="00952E59" w:rsidRPr="00904FCB">
        <w:rPr>
          <w:rFonts w:hint="cs"/>
          <w:sz w:val="27"/>
          <w:rtl/>
          <w:lang w:bidi="ar-IQ"/>
        </w:rPr>
        <w:t>ساس في مفاهيمها والضابط لسلوكها</w:t>
      </w:r>
      <w:r w:rsidR="00952E59" w:rsidRPr="00904FCB">
        <w:rPr>
          <w:rFonts w:hint="cs"/>
          <w:sz w:val="27"/>
          <w:vertAlign w:val="superscript"/>
          <w:rtl/>
          <w:lang w:bidi="ar-IQ"/>
        </w:rPr>
        <w:t>(</w:t>
      </w:r>
      <w:r w:rsidR="00952E59" w:rsidRPr="00904FCB">
        <w:rPr>
          <w:rStyle w:val="ac"/>
          <w:sz w:val="27"/>
          <w:rtl/>
          <w:lang w:bidi="ar-IQ"/>
        </w:rPr>
        <w:endnoteReference w:id="280"/>
      </w:r>
      <w:r w:rsidR="00952E59" w:rsidRPr="00904FCB">
        <w:rPr>
          <w:rFonts w:hint="cs"/>
          <w:sz w:val="27"/>
          <w:vertAlign w:val="superscript"/>
          <w:rtl/>
          <w:lang w:bidi="ar-IQ"/>
        </w:rPr>
        <w:t>)</w:t>
      </w:r>
      <w:r w:rsidR="00502AC2" w:rsidRPr="00904FCB">
        <w:rPr>
          <w:rFonts w:hint="cs"/>
          <w:sz w:val="27"/>
          <w:rtl/>
          <w:lang w:bidi="ar-IQ"/>
        </w:rPr>
        <w:t>.</w:t>
      </w:r>
    </w:p>
    <w:p w:rsidR="00952E59" w:rsidRPr="00904FCB" w:rsidRDefault="00952E59" w:rsidP="007A21AA">
      <w:pPr>
        <w:spacing w:line="400" w:lineRule="exact"/>
        <w:rPr>
          <w:sz w:val="27"/>
          <w:lang w:bidi="ar-IQ"/>
        </w:rPr>
      </w:pPr>
      <w:r w:rsidRPr="00904FCB">
        <w:rPr>
          <w:rFonts w:hint="cs"/>
          <w:sz w:val="27"/>
          <w:rtl/>
          <w:lang w:bidi="ar-IQ"/>
        </w:rPr>
        <w:t>وطبقاً لهذا التعريف ف</w:t>
      </w:r>
      <w:r w:rsidR="00502AC2" w:rsidRPr="00904FCB">
        <w:rPr>
          <w:rFonts w:hint="cs"/>
          <w:sz w:val="27"/>
          <w:rtl/>
          <w:lang w:bidi="ar-IQ"/>
        </w:rPr>
        <w:t>إ</w:t>
      </w:r>
      <w:r w:rsidRPr="00904FCB">
        <w:rPr>
          <w:rFonts w:hint="cs"/>
          <w:sz w:val="27"/>
          <w:rtl/>
          <w:lang w:bidi="ar-IQ"/>
        </w:rPr>
        <w:t>ن الاتجاهات الدينية جميعاً هي ات</w:t>
      </w:r>
      <w:r w:rsidR="00502AC2" w:rsidRPr="00904FCB">
        <w:rPr>
          <w:rFonts w:hint="cs"/>
          <w:sz w:val="27"/>
          <w:rtl/>
          <w:lang w:bidi="ar-IQ"/>
        </w:rPr>
        <w:t>ّ</w:t>
      </w:r>
      <w:r w:rsidRPr="00904FCB">
        <w:rPr>
          <w:rFonts w:hint="cs"/>
          <w:sz w:val="27"/>
          <w:rtl/>
          <w:lang w:bidi="ar-IQ"/>
        </w:rPr>
        <w:t xml:space="preserve">جاهات </w:t>
      </w:r>
      <w:r w:rsidR="00502AC2" w:rsidRPr="00904FCB">
        <w:rPr>
          <w:rFonts w:hint="cs"/>
          <w:sz w:val="27"/>
          <w:rtl/>
          <w:lang w:bidi="ar-IQ"/>
        </w:rPr>
        <w:t>أ</w:t>
      </w:r>
      <w:r w:rsidRPr="00904FCB">
        <w:rPr>
          <w:rFonts w:hint="cs"/>
          <w:sz w:val="27"/>
          <w:rtl/>
          <w:lang w:bidi="ar-IQ"/>
        </w:rPr>
        <w:t>صولية</w:t>
      </w:r>
      <w:r w:rsidR="00502AC2" w:rsidRPr="00904FCB">
        <w:rPr>
          <w:rFonts w:hint="cs"/>
          <w:sz w:val="27"/>
          <w:rtl/>
          <w:lang w:bidi="ar-IQ"/>
        </w:rPr>
        <w:t>؛</w:t>
      </w:r>
      <w:r w:rsidRPr="00904FCB">
        <w:rPr>
          <w:rFonts w:hint="cs"/>
          <w:sz w:val="27"/>
          <w:rtl/>
          <w:lang w:bidi="ar-IQ"/>
        </w:rPr>
        <w:t xml:space="preserve"> لأنها جميعاً رؤية تت</w:t>
      </w:r>
      <w:r w:rsidR="00502AC2" w:rsidRPr="00904FCB">
        <w:rPr>
          <w:rFonts w:hint="cs"/>
          <w:sz w:val="27"/>
          <w:rtl/>
          <w:lang w:bidi="ar-IQ"/>
        </w:rPr>
        <w:t>ّ</w:t>
      </w:r>
      <w:r w:rsidRPr="00904FCB">
        <w:rPr>
          <w:rFonts w:hint="cs"/>
          <w:sz w:val="27"/>
          <w:rtl/>
          <w:lang w:bidi="ar-IQ"/>
        </w:rPr>
        <w:t>خذ من أصولها الدينية مرجعاً أساسياً</w:t>
      </w:r>
      <w:r w:rsidR="00502AC2" w:rsidRPr="00904FCB">
        <w:rPr>
          <w:rFonts w:hint="cs"/>
          <w:sz w:val="27"/>
          <w:rtl/>
          <w:lang w:bidi="ar-IQ"/>
        </w:rPr>
        <w:t>،</w:t>
      </w:r>
      <w:r w:rsidRPr="00904FCB">
        <w:rPr>
          <w:rFonts w:hint="cs"/>
          <w:sz w:val="27"/>
          <w:rtl/>
          <w:lang w:bidi="ar-IQ"/>
        </w:rPr>
        <w:t xml:space="preserve"> وسنداً مطلقاً ونهائياً</w:t>
      </w:r>
      <w:r w:rsidR="00502AC2" w:rsidRPr="00904FCB">
        <w:rPr>
          <w:rFonts w:hint="cs"/>
          <w:sz w:val="27"/>
          <w:rtl/>
          <w:lang w:bidi="ar-IQ"/>
        </w:rPr>
        <w:t>.</w:t>
      </w:r>
      <w:r w:rsidRPr="00904FCB">
        <w:rPr>
          <w:rFonts w:hint="cs"/>
          <w:sz w:val="27"/>
          <w:rtl/>
          <w:lang w:bidi="ar-IQ"/>
        </w:rPr>
        <w:t xml:space="preserve"> ولعل هذا هو سبب نزعة أغلب الباحثين والكت</w:t>
      </w:r>
      <w:r w:rsidR="00502AC2" w:rsidRPr="00904FCB">
        <w:rPr>
          <w:rFonts w:hint="cs"/>
          <w:sz w:val="27"/>
          <w:rtl/>
          <w:lang w:bidi="ar-IQ"/>
        </w:rPr>
        <w:t>ّ</w:t>
      </w:r>
      <w:r w:rsidRPr="00904FCB">
        <w:rPr>
          <w:rFonts w:hint="cs"/>
          <w:sz w:val="27"/>
          <w:rtl/>
          <w:lang w:bidi="ar-IQ"/>
        </w:rPr>
        <w:t>اب عندما يربطون هذا المفهوم بال</w:t>
      </w:r>
      <w:r w:rsidR="00502AC2" w:rsidRPr="00904FCB">
        <w:rPr>
          <w:rFonts w:hint="cs"/>
          <w:sz w:val="27"/>
          <w:rtl/>
          <w:lang w:bidi="ar-IQ"/>
        </w:rPr>
        <w:t>أ</w:t>
      </w:r>
      <w:r w:rsidRPr="00904FCB">
        <w:rPr>
          <w:rFonts w:hint="cs"/>
          <w:sz w:val="27"/>
          <w:rtl/>
          <w:lang w:bidi="ar-IQ"/>
        </w:rPr>
        <w:t>ديان</w:t>
      </w:r>
      <w:r w:rsidR="00502AC2" w:rsidRPr="00904FCB">
        <w:rPr>
          <w:rFonts w:hint="cs"/>
          <w:sz w:val="27"/>
          <w:rtl/>
          <w:lang w:bidi="ar-IQ"/>
        </w:rPr>
        <w:t>.</w:t>
      </w:r>
      <w:r w:rsidRPr="00904FCB">
        <w:rPr>
          <w:rFonts w:hint="cs"/>
          <w:sz w:val="27"/>
          <w:rtl/>
          <w:lang w:bidi="ar-IQ"/>
        </w:rPr>
        <w:t xml:space="preserve"> وكان </w:t>
      </w:r>
      <w:r w:rsidR="00502AC2" w:rsidRPr="00904FCB">
        <w:rPr>
          <w:rFonts w:hint="cs"/>
          <w:sz w:val="27"/>
          <w:rtl/>
          <w:lang w:bidi="ar-IQ"/>
        </w:rPr>
        <w:t xml:space="preserve">بعضهم </w:t>
      </w:r>
      <w:r w:rsidRPr="00904FCB">
        <w:rPr>
          <w:rFonts w:hint="cs"/>
          <w:sz w:val="27"/>
          <w:rtl/>
          <w:lang w:bidi="ar-IQ"/>
        </w:rPr>
        <w:t xml:space="preserve">قد </w:t>
      </w:r>
      <w:r w:rsidR="00502AC2" w:rsidRPr="00904FCB">
        <w:rPr>
          <w:rFonts w:hint="cs"/>
          <w:sz w:val="27"/>
          <w:rtl/>
          <w:lang w:bidi="ar-IQ"/>
        </w:rPr>
        <w:t>أ</w:t>
      </w:r>
      <w:r w:rsidRPr="00904FCB">
        <w:rPr>
          <w:rFonts w:hint="cs"/>
          <w:sz w:val="27"/>
          <w:rtl/>
          <w:lang w:bidi="ar-IQ"/>
        </w:rPr>
        <w:t xml:space="preserve">طلقه </w:t>
      </w:r>
      <w:r w:rsidR="00502AC2" w:rsidRPr="00904FCB">
        <w:rPr>
          <w:rFonts w:hint="cs"/>
          <w:sz w:val="27"/>
          <w:rtl/>
          <w:lang w:bidi="ar-IQ"/>
        </w:rPr>
        <w:t>ع</w:t>
      </w:r>
      <w:r w:rsidRPr="00904FCB">
        <w:rPr>
          <w:rFonts w:hint="cs"/>
          <w:sz w:val="27"/>
          <w:rtl/>
          <w:lang w:bidi="ar-IQ"/>
        </w:rPr>
        <w:t>لى التيارات الدينية المتشد</w:t>
      </w:r>
      <w:r w:rsidR="00502AC2" w:rsidRPr="00904FCB">
        <w:rPr>
          <w:rFonts w:hint="cs"/>
          <w:sz w:val="27"/>
          <w:rtl/>
          <w:lang w:bidi="ar-IQ"/>
        </w:rPr>
        <w:t>ِّ</w:t>
      </w:r>
      <w:r w:rsidRPr="00904FCB">
        <w:rPr>
          <w:rFonts w:hint="cs"/>
          <w:sz w:val="27"/>
          <w:rtl/>
          <w:lang w:bidi="ar-IQ"/>
        </w:rPr>
        <w:t xml:space="preserve">دة، </w:t>
      </w:r>
      <w:r w:rsidR="00502AC2" w:rsidRPr="00904FCB">
        <w:rPr>
          <w:rFonts w:hint="cs"/>
          <w:sz w:val="27"/>
          <w:rtl/>
          <w:lang w:bidi="ar-IQ"/>
        </w:rPr>
        <w:t>أ</w:t>
      </w:r>
      <w:r w:rsidRPr="00904FCB">
        <w:rPr>
          <w:rFonts w:hint="cs"/>
          <w:sz w:val="27"/>
          <w:rtl/>
          <w:lang w:bidi="ar-IQ"/>
        </w:rPr>
        <w:t>و غير المتشد</w:t>
      </w:r>
      <w:r w:rsidR="00502AC2" w:rsidRPr="00904FCB">
        <w:rPr>
          <w:rFonts w:hint="cs"/>
          <w:sz w:val="27"/>
          <w:rtl/>
          <w:lang w:bidi="ar-IQ"/>
        </w:rPr>
        <w:t>ِّ</w:t>
      </w:r>
      <w:r w:rsidRPr="00904FCB">
        <w:rPr>
          <w:rFonts w:hint="cs"/>
          <w:sz w:val="27"/>
          <w:rtl/>
          <w:lang w:bidi="ar-IQ"/>
        </w:rPr>
        <w:t>دة</w:t>
      </w:r>
      <w:r w:rsidR="00502AC2" w:rsidRPr="00904FCB">
        <w:rPr>
          <w:rFonts w:hint="cs"/>
          <w:sz w:val="27"/>
          <w:rtl/>
          <w:lang w:bidi="ar-IQ"/>
        </w:rPr>
        <w:t>.</w:t>
      </w:r>
      <w:r w:rsidRPr="00904FCB">
        <w:rPr>
          <w:rFonts w:hint="cs"/>
          <w:sz w:val="27"/>
          <w:rtl/>
          <w:lang w:bidi="ar-IQ"/>
        </w:rPr>
        <w:t xml:space="preserve"> وهذه النزعة تتعامل مع كل</w:t>
      </w:r>
      <w:r w:rsidR="00502AC2" w:rsidRPr="00904FCB">
        <w:rPr>
          <w:rFonts w:hint="cs"/>
          <w:sz w:val="27"/>
          <w:rtl/>
          <w:lang w:bidi="ar-IQ"/>
        </w:rPr>
        <w:t>ّ</w:t>
      </w:r>
      <w:r w:rsidRPr="00904FCB">
        <w:rPr>
          <w:rFonts w:hint="cs"/>
          <w:sz w:val="27"/>
          <w:rtl/>
          <w:lang w:bidi="ar-IQ"/>
        </w:rPr>
        <w:t xml:space="preserve"> المنظمات الدينية بوصفها منظمات أصولية</w:t>
      </w:r>
      <w:r w:rsidR="00502AC2" w:rsidRPr="00904FCB">
        <w:rPr>
          <w:rFonts w:hint="cs"/>
          <w:sz w:val="27"/>
          <w:rtl/>
          <w:lang w:bidi="ar-IQ"/>
        </w:rPr>
        <w:t>،</w:t>
      </w:r>
      <w:r w:rsidRPr="00904FCB">
        <w:rPr>
          <w:rFonts w:hint="cs"/>
          <w:sz w:val="27"/>
          <w:rtl/>
          <w:lang w:bidi="ar-IQ"/>
        </w:rPr>
        <w:t xml:space="preserve"> فيكون المراد بال</w:t>
      </w:r>
      <w:r w:rsidR="00502AC2" w:rsidRPr="00904FCB">
        <w:rPr>
          <w:rFonts w:hint="cs"/>
          <w:sz w:val="27"/>
          <w:rtl/>
          <w:lang w:bidi="ar-IQ"/>
        </w:rPr>
        <w:t>أ</w:t>
      </w:r>
      <w:r w:rsidRPr="00904FCB">
        <w:rPr>
          <w:rFonts w:hint="cs"/>
          <w:sz w:val="27"/>
          <w:rtl/>
          <w:lang w:bidi="ar-IQ"/>
        </w:rPr>
        <w:t xml:space="preserve">صوليات على هذا الفهم </w:t>
      </w:r>
      <w:r w:rsidR="00502AC2" w:rsidRPr="00904FCB">
        <w:rPr>
          <w:rFonts w:hint="cs"/>
          <w:sz w:val="27"/>
          <w:rtl/>
          <w:lang w:bidi="ar-IQ"/>
        </w:rPr>
        <w:t>أ</w:t>
      </w:r>
      <w:r w:rsidRPr="00904FCB">
        <w:rPr>
          <w:rFonts w:hint="cs"/>
          <w:sz w:val="27"/>
          <w:rtl/>
          <w:lang w:bidi="ar-IQ"/>
        </w:rPr>
        <w:t>ن ال</w:t>
      </w:r>
      <w:r w:rsidR="00502AC2" w:rsidRPr="00904FCB">
        <w:rPr>
          <w:rFonts w:hint="cs"/>
          <w:sz w:val="27"/>
          <w:rtl/>
          <w:lang w:bidi="ar-IQ"/>
        </w:rPr>
        <w:t>أ</w:t>
      </w:r>
      <w:r w:rsidRPr="00904FCB">
        <w:rPr>
          <w:rFonts w:hint="cs"/>
          <w:sz w:val="27"/>
          <w:rtl/>
          <w:lang w:bidi="ar-IQ"/>
        </w:rPr>
        <w:t>صوليات هي التيارات أو الجماعات الدينية كاف</w:t>
      </w:r>
      <w:r w:rsidR="00502AC2" w:rsidRPr="00904FCB">
        <w:rPr>
          <w:rFonts w:hint="cs"/>
          <w:sz w:val="27"/>
          <w:rtl/>
          <w:lang w:bidi="ar-IQ"/>
        </w:rPr>
        <w:t>ّ</w:t>
      </w:r>
      <w:r w:rsidRPr="00904FCB">
        <w:rPr>
          <w:rFonts w:hint="cs"/>
          <w:sz w:val="27"/>
          <w:rtl/>
          <w:lang w:bidi="ar-IQ"/>
        </w:rPr>
        <w:t>ة</w:t>
      </w:r>
      <w:r w:rsidR="00502AC2" w:rsidRPr="00904FCB">
        <w:rPr>
          <w:rFonts w:hint="cs"/>
          <w:sz w:val="27"/>
          <w:rtl/>
          <w:lang w:bidi="ar-IQ"/>
        </w:rPr>
        <w:t>.</w:t>
      </w:r>
      <w:r w:rsidRPr="00904FCB">
        <w:rPr>
          <w:rFonts w:hint="cs"/>
          <w:sz w:val="27"/>
          <w:rtl/>
          <w:lang w:bidi="ar-IQ"/>
        </w:rPr>
        <w:t xml:space="preserve"> وعلى هذا المعيار ف</w:t>
      </w:r>
      <w:r w:rsidR="00502AC2" w:rsidRPr="00904FCB">
        <w:rPr>
          <w:rFonts w:hint="cs"/>
          <w:sz w:val="27"/>
          <w:rtl/>
          <w:lang w:bidi="ar-IQ"/>
        </w:rPr>
        <w:t>إ</w:t>
      </w:r>
      <w:r w:rsidRPr="00904FCB">
        <w:rPr>
          <w:rFonts w:hint="cs"/>
          <w:sz w:val="27"/>
          <w:rtl/>
          <w:lang w:bidi="ar-IQ"/>
        </w:rPr>
        <w:t>ن كل</w:t>
      </w:r>
      <w:r w:rsidR="00502AC2" w:rsidRPr="00904FCB">
        <w:rPr>
          <w:rFonts w:hint="cs"/>
          <w:sz w:val="27"/>
          <w:rtl/>
          <w:lang w:bidi="ar-IQ"/>
        </w:rPr>
        <w:t>ّ</w:t>
      </w:r>
      <w:r w:rsidRPr="00904FCB">
        <w:rPr>
          <w:rFonts w:hint="cs"/>
          <w:sz w:val="27"/>
          <w:rtl/>
          <w:lang w:bidi="ar-IQ"/>
        </w:rPr>
        <w:t xml:space="preserve"> منتسب</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إل</w:t>
      </w:r>
      <w:r w:rsidRPr="00904FCB">
        <w:rPr>
          <w:rFonts w:hint="cs"/>
          <w:sz w:val="27"/>
          <w:rtl/>
          <w:lang w:bidi="ar-IQ"/>
        </w:rPr>
        <w:t>ى فكر</w:t>
      </w:r>
      <w:r w:rsidR="00502AC2" w:rsidRPr="00904FCB">
        <w:rPr>
          <w:rFonts w:hint="cs"/>
          <w:sz w:val="27"/>
          <w:rtl/>
          <w:lang w:bidi="ar-IQ"/>
        </w:rPr>
        <w:t>ٍ</w:t>
      </w:r>
      <w:r w:rsidRPr="00904FCB">
        <w:rPr>
          <w:rFonts w:hint="cs"/>
          <w:sz w:val="27"/>
          <w:rtl/>
          <w:lang w:bidi="ar-IQ"/>
        </w:rPr>
        <w:t xml:space="preserve"> تراثي قديم يتمس</w:t>
      </w:r>
      <w:r w:rsidR="00502AC2" w:rsidRPr="00904FCB">
        <w:rPr>
          <w:rFonts w:hint="cs"/>
          <w:sz w:val="27"/>
          <w:rtl/>
          <w:lang w:bidi="ar-IQ"/>
        </w:rPr>
        <w:t>َّ</w:t>
      </w:r>
      <w:r w:rsidRPr="00904FCB">
        <w:rPr>
          <w:rFonts w:hint="cs"/>
          <w:sz w:val="27"/>
          <w:rtl/>
          <w:lang w:bidi="ar-IQ"/>
        </w:rPr>
        <w:t>ك به كرؤية للحاضر هو أصولي</w:t>
      </w:r>
      <w:r w:rsidR="00502AC2" w:rsidRPr="00904FCB">
        <w:rPr>
          <w:rFonts w:hint="cs"/>
          <w:sz w:val="27"/>
          <w:rtl/>
          <w:lang w:bidi="ar-IQ"/>
        </w:rPr>
        <w:t>ّ.</w:t>
      </w:r>
      <w:r w:rsidRPr="00904FCB">
        <w:rPr>
          <w:rFonts w:hint="cs"/>
          <w:sz w:val="27"/>
          <w:rtl/>
          <w:lang w:bidi="ar-IQ"/>
        </w:rPr>
        <w:t xml:space="preserve"> ولوجود هذا المعنى في مختلف المذاهب الدينية فكل</w:t>
      </w:r>
      <w:r w:rsidR="00502AC2" w:rsidRPr="00904FCB">
        <w:rPr>
          <w:rFonts w:hint="cs"/>
          <w:sz w:val="27"/>
          <w:rtl/>
          <w:lang w:bidi="ar-IQ"/>
        </w:rPr>
        <w:t>ّ</w:t>
      </w:r>
      <w:r w:rsidRPr="00904FCB">
        <w:rPr>
          <w:rFonts w:hint="cs"/>
          <w:sz w:val="27"/>
          <w:rtl/>
          <w:lang w:bidi="ar-IQ"/>
        </w:rPr>
        <w:t xml:space="preserve"> الرؤى ذات ال</w:t>
      </w:r>
      <w:r w:rsidR="00502AC2" w:rsidRPr="00904FCB">
        <w:rPr>
          <w:rFonts w:hint="cs"/>
          <w:sz w:val="27"/>
          <w:rtl/>
          <w:lang w:bidi="ar-IQ"/>
        </w:rPr>
        <w:t>أ</w:t>
      </w:r>
      <w:r w:rsidRPr="00904FCB">
        <w:rPr>
          <w:rFonts w:hint="cs"/>
          <w:sz w:val="27"/>
          <w:rtl/>
          <w:lang w:bidi="ar-IQ"/>
        </w:rPr>
        <w:t xml:space="preserve">سس الفكرية رؤى </w:t>
      </w:r>
      <w:r w:rsidR="00502AC2" w:rsidRPr="00904FCB">
        <w:rPr>
          <w:rFonts w:hint="cs"/>
          <w:sz w:val="27"/>
          <w:rtl/>
          <w:lang w:bidi="ar-IQ"/>
        </w:rPr>
        <w:t>أ</w:t>
      </w:r>
      <w:r w:rsidRPr="00904FCB">
        <w:rPr>
          <w:rFonts w:hint="cs"/>
          <w:sz w:val="27"/>
          <w:rtl/>
          <w:lang w:bidi="ar-IQ"/>
        </w:rPr>
        <w:t>صولية</w:t>
      </w:r>
      <w:r w:rsidR="00502AC2" w:rsidRPr="00904FCB">
        <w:rPr>
          <w:rFonts w:hint="cs"/>
          <w:sz w:val="27"/>
          <w:rtl/>
          <w:lang w:bidi="ar-IQ"/>
        </w:rPr>
        <w:t>،</w:t>
      </w:r>
      <w:r w:rsidRPr="00904FCB">
        <w:rPr>
          <w:rFonts w:hint="cs"/>
          <w:sz w:val="27"/>
          <w:rtl/>
          <w:lang w:bidi="ar-IQ"/>
        </w:rPr>
        <w:t xml:space="preserve"> بينما الواقع الماثل </w:t>
      </w:r>
      <w:r w:rsidR="00502AC2" w:rsidRPr="00904FCB">
        <w:rPr>
          <w:rFonts w:hint="cs"/>
          <w:sz w:val="27"/>
          <w:rtl/>
          <w:lang w:bidi="ar-IQ"/>
        </w:rPr>
        <w:t>أ</w:t>
      </w:r>
      <w:r w:rsidRPr="00904FCB">
        <w:rPr>
          <w:rFonts w:hint="cs"/>
          <w:sz w:val="27"/>
          <w:rtl/>
          <w:lang w:bidi="ar-IQ"/>
        </w:rPr>
        <w:t>مامنا ليس كذلك</w:t>
      </w:r>
      <w:r w:rsidR="00502AC2" w:rsidRPr="00904FCB">
        <w:rPr>
          <w:rFonts w:hint="cs"/>
          <w:sz w:val="27"/>
          <w:rtl/>
          <w:lang w:bidi="ar-IQ"/>
        </w:rPr>
        <w:t>،</w:t>
      </w:r>
      <w:r w:rsidRPr="00904FCB">
        <w:rPr>
          <w:rFonts w:hint="cs"/>
          <w:sz w:val="27"/>
          <w:rtl/>
          <w:lang w:bidi="ar-IQ"/>
        </w:rPr>
        <w:t xml:space="preserve"> مما نعتقد معه </w:t>
      </w:r>
      <w:r w:rsidR="00502AC2" w:rsidRPr="00904FCB">
        <w:rPr>
          <w:rFonts w:hint="cs"/>
          <w:sz w:val="27"/>
          <w:rtl/>
          <w:lang w:bidi="ar-IQ"/>
        </w:rPr>
        <w:t>أ</w:t>
      </w:r>
      <w:r w:rsidRPr="00904FCB">
        <w:rPr>
          <w:rFonts w:hint="cs"/>
          <w:sz w:val="27"/>
          <w:rtl/>
          <w:lang w:bidi="ar-IQ"/>
        </w:rPr>
        <w:t xml:space="preserve">ن التباساً تداولياً </w:t>
      </w:r>
      <w:r w:rsidR="00502AC2" w:rsidRPr="00904FCB">
        <w:rPr>
          <w:rFonts w:hint="cs"/>
          <w:sz w:val="27"/>
          <w:rtl/>
          <w:lang w:bidi="ar-IQ"/>
        </w:rPr>
        <w:t>أ</w:t>
      </w:r>
      <w:r w:rsidRPr="00904FCB">
        <w:rPr>
          <w:rFonts w:hint="cs"/>
          <w:sz w:val="27"/>
          <w:rtl/>
          <w:lang w:bidi="ar-IQ"/>
        </w:rPr>
        <w:t xml:space="preserve">صاب المصطلح مفهوماً وتجسيداً. </w:t>
      </w:r>
    </w:p>
    <w:p w:rsidR="00952E59" w:rsidRPr="00904FCB" w:rsidRDefault="00952E59" w:rsidP="007A21AA">
      <w:pPr>
        <w:spacing w:line="400" w:lineRule="exact"/>
        <w:rPr>
          <w:sz w:val="27"/>
          <w:rtl/>
          <w:lang w:bidi="ar-IQ"/>
        </w:rPr>
      </w:pPr>
      <w:r w:rsidRPr="00904FCB">
        <w:rPr>
          <w:rFonts w:hint="cs"/>
          <w:sz w:val="27"/>
          <w:rtl/>
          <w:lang w:bidi="ar-IQ"/>
        </w:rPr>
        <w:t>فلقد ظهر</w:t>
      </w:r>
      <w:r w:rsidR="00502AC2" w:rsidRPr="00904FCB">
        <w:rPr>
          <w:rFonts w:hint="cs"/>
          <w:sz w:val="27"/>
          <w:rtl/>
          <w:lang w:bidi="ar-IQ"/>
        </w:rPr>
        <w:t>َتْ</w:t>
      </w:r>
      <w:r w:rsidRPr="00904FCB">
        <w:rPr>
          <w:rFonts w:hint="cs"/>
          <w:sz w:val="27"/>
          <w:rtl/>
          <w:lang w:bidi="ar-IQ"/>
        </w:rPr>
        <w:t xml:space="preserve"> في القرن الماضي في العالم ال</w:t>
      </w:r>
      <w:r w:rsidR="00502AC2" w:rsidRPr="00904FCB">
        <w:rPr>
          <w:rFonts w:hint="cs"/>
          <w:sz w:val="27"/>
          <w:rtl/>
          <w:lang w:bidi="ar-IQ"/>
        </w:rPr>
        <w:t>إ</w:t>
      </w:r>
      <w:r w:rsidRPr="00904FCB">
        <w:rPr>
          <w:rFonts w:hint="cs"/>
          <w:sz w:val="27"/>
          <w:rtl/>
          <w:lang w:bidi="ar-IQ"/>
        </w:rPr>
        <w:t xml:space="preserve">سلامي حركات </w:t>
      </w:r>
      <w:r w:rsidR="00502AC2" w:rsidRPr="00904FCB">
        <w:rPr>
          <w:rFonts w:hint="cs"/>
          <w:sz w:val="27"/>
          <w:rtl/>
          <w:lang w:bidi="ar-IQ"/>
        </w:rPr>
        <w:t>إ</w:t>
      </w:r>
      <w:r w:rsidRPr="00904FCB">
        <w:rPr>
          <w:rFonts w:hint="cs"/>
          <w:sz w:val="27"/>
          <w:rtl/>
          <w:lang w:bidi="ar-IQ"/>
        </w:rPr>
        <w:t xml:space="preserve">حيائية تدعو </w:t>
      </w:r>
      <w:r w:rsidR="00502AC2" w:rsidRPr="00904FCB">
        <w:rPr>
          <w:rFonts w:hint="cs"/>
          <w:sz w:val="27"/>
          <w:rtl/>
          <w:lang w:bidi="ar-IQ"/>
        </w:rPr>
        <w:t>إ</w:t>
      </w:r>
      <w:r w:rsidRPr="00904FCB">
        <w:rPr>
          <w:rFonts w:hint="cs"/>
          <w:sz w:val="27"/>
          <w:rtl/>
          <w:lang w:bidi="ar-IQ"/>
        </w:rPr>
        <w:t>لى إعادة فهم ال</w:t>
      </w:r>
      <w:r w:rsidR="00502AC2" w:rsidRPr="00904FCB">
        <w:rPr>
          <w:rFonts w:hint="cs"/>
          <w:sz w:val="27"/>
          <w:rtl/>
          <w:lang w:bidi="ar-IQ"/>
        </w:rPr>
        <w:t>إ</w:t>
      </w:r>
      <w:r w:rsidRPr="00904FCB">
        <w:rPr>
          <w:rFonts w:hint="cs"/>
          <w:sz w:val="27"/>
          <w:rtl/>
          <w:lang w:bidi="ar-IQ"/>
        </w:rPr>
        <w:t>سلام وتطبيقه في الحياة المعاصرة</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و</w:t>
      </w:r>
      <w:r w:rsidRPr="00904FCB">
        <w:rPr>
          <w:rFonts w:hint="cs"/>
          <w:sz w:val="27"/>
          <w:rtl/>
          <w:lang w:bidi="ar-IQ"/>
        </w:rPr>
        <w:t>لكن</w:t>
      </w:r>
      <w:r w:rsidR="00502AC2" w:rsidRPr="00904FCB">
        <w:rPr>
          <w:rFonts w:hint="cs"/>
          <w:sz w:val="27"/>
          <w:rtl/>
          <w:lang w:bidi="ar-IQ"/>
        </w:rPr>
        <w:t>ّ</w:t>
      </w:r>
      <w:r w:rsidRPr="00904FCB">
        <w:rPr>
          <w:rFonts w:hint="cs"/>
          <w:sz w:val="27"/>
          <w:rtl/>
          <w:lang w:bidi="ar-IQ"/>
        </w:rPr>
        <w:t>ها لم تكن تت</w:t>
      </w:r>
      <w:r w:rsidR="00502AC2" w:rsidRPr="00904FCB">
        <w:rPr>
          <w:rFonts w:hint="cs"/>
          <w:sz w:val="27"/>
          <w:rtl/>
          <w:lang w:bidi="ar-IQ"/>
        </w:rPr>
        <w:t>ّ</w:t>
      </w:r>
      <w:r w:rsidRPr="00904FCB">
        <w:rPr>
          <w:rFonts w:hint="cs"/>
          <w:sz w:val="27"/>
          <w:rtl/>
          <w:lang w:bidi="ar-IQ"/>
        </w:rPr>
        <w:t>خذ كلمة ال</w:t>
      </w:r>
      <w:r w:rsidR="00502AC2" w:rsidRPr="00904FCB">
        <w:rPr>
          <w:rFonts w:hint="cs"/>
          <w:sz w:val="27"/>
          <w:rtl/>
          <w:lang w:bidi="ar-IQ"/>
        </w:rPr>
        <w:t>أصولية اسماً</w:t>
      </w:r>
      <w:r w:rsidRPr="00904FCB">
        <w:rPr>
          <w:rFonts w:hint="cs"/>
          <w:sz w:val="27"/>
          <w:rtl/>
          <w:lang w:bidi="ar-IQ"/>
        </w:rPr>
        <w:t xml:space="preserve"> لها، ولم يطلق عليها آنذاك هذا ال</w:t>
      </w:r>
      <w:r w:rsidR="00502AC2" w:rsidRPr="00904FCB">
        <w:rPr>
          <w:rFonts w:hint="cs"/>
          <w:sz w:val="27"/>
          <w:rtl/>
          <w:lang w:bidi="ar-IQ"/>
        </w:rPr>
        <w:t>ا</w:t>
      </w:r>
      <w:r w:rsidRPr="00904FCB">
        <w:rPr>
          <w:rFonts w:hint="cs"/>
          <w:sz w:val="27"/>
          <w:rtl/>
          <w:lang w:bidi="ar-IQ"/>
        </w:rPr>
        <w:t>سم، ولم تت</w:t>
      </w:r>
      <w:r w:rsidR="00502AC2" w:rsidRPr="00904FCB">
        <w:rPr>
          <w:rFonts w:hint="cs"/>
          <w:sz w:val="27"/>
          <w:rtl/>
          <w:lang w:bidi="ar-IQ"/>
        </w:rPr>
        <w:t>ّ</w:t>
      </w:r>
      <w:r w:rsidRPr="00904FCB">
        <w:rPr>
          <w:rFonts w:hint="cs"/>
          <w:sz w:val="27"/>
          <w:rtl/>
          <w:lang w:bidi="ar-IQ"/>
        </w:rPr>
        <w:t>سم بالتشد</w:t>
      </w:r>
      <w:r w:rsidR="00502AC2" w:rsidRPr="00904FCB">
        <w:rPr>
          <w:rFonts w:hint="cs"/>
          <w:sz w:val="27"/>
          <w:rtl/>
          <w:lang w:bidi="ar-IQ"/>
        </w:rPr>
        <w:t>ُّ</w:t>
      </w:r>
      <w:r w:rsidRPr="00904FCB">
        <w:rPr>
          <w:rFonts w:hint="cs"/>
          <w:sz w:val="27"/>
          <w:rtl/>
          <w:lang w:bidi="ar-IQ"/>
        </w:rPr>
        <w:t>د والعنف والذهنية التغييرية الانقلابية</w:t>
      </w:r>
      <w:r w:rsidR="00502AC2" w:rsidRPr="00904FCB">
        <w:rPr>
          <w:rFonts w:hint="cs"/>
          <w:sz w:val="27"/>
          <w:rtl/>
          <w:lang w:bidi="ar-IQ"/>
        </w:rPr>
        <w:t>.</w:t>
      </w:r>
      <w:r w:rsidRPr="00904FCB">
        <w:rPr>
          <w:rFonts w:hint="cs"/>
          <w:sz w:val="27"/>
          <w:rtl/>
          <w:lang w:bidi="ar-IQ"/>
        </w:rPr>
        <w:t xml:space="preserve"> وربما </w:t>
      </w:r>
      <w:r w:rsidR="00502AC2" w:rsidRPr="00904FCB">
        <w:rPr>
          <w:rFonts w:hint="cs"/>
          <w:sz w:val="27"/>
          <w:rtl/>
          <w:lang w:bidi="ar-IQ"/>
        </w:rPr>
        <w:t>أ</w:t>
      </w:r>
      <w:r w:rsidRPr="00904FCB">
        <w:rPr>
          <w:rFonts w:hint="cs"/>
          <w:sz w:val="27"/>
          <w:rtl/>
          <w:lang w:bidi="ar-IQ"/>
        </w:rPr>
        <w:t xml:space="preserve">طلق على بعضها </w:t>
      </w:r>
      <w:r w:rsidR="00502AC2" w:rsidRPr="00904FCB">
        <w:rPr>
          <w:rFonts w:hint="cs"/>
          <w:sz w:val="27"/>
          <w:rtl/>
          <w:lang w:bidi="ar-IQ"/>
        </w:rPr>
        <w:t>(</w:t>
      </w:r>
      <w:r w:rsidRPr="00904FCB">
        <w:rPr>
          <w:rFonts w:hint="cs"/>
          <w:sz w:val="27"/>
          <w:rtl/>
          <w:lang w:bidi="ar-IQ"/>
        </w:rPr>
        <w:t>الاتجاهات الس</w:t>
      </w:r>
      <w:r w:rsidR="00502AC2" w:rsidRPr="00904FCB">
        <w:rPr>
          <w:rFonts w:hint="cs"/>
          <w:sz w:val="27"/>
          <w:rtl/>
          <w:lang w:bidi="ar-IQ"/>
        </w:rPr>
        <w:t>َّ</w:t>
      </w:r>
      <w:r w:rsidRPr="00904FCB">
        <w:rPr>
          <w:rFonts w:hint="cs"/>
          <w:sz w:val="27"/>
          <w:rtl/>
          <w:lang w:bidi="ar-IQ"/>
        </w:rPr>
        <w:t>ل</w:t>
      </w:r>
      <w:r w:rsidR="00502AC2" w:rsidRPr="00904FCB">
        <w:rPr>
          <w:rFonts w:hint="cs"/>
          <w:sz w:val="27"/>
          <w:rtl/>
          <w:lang w:bidi="ar-IQ"/>
        </w:rPr>
        <w:t>َ</w:t>
      </w:r>
      <w:r w:rsidRPr="00904FCB">
        <w:rPr>
          <w:rFonts w:hint="cs"/>
          <w:sz w:val="27"/>
          <w:rtl/>
          <w:lang w:bidi="ar-IQ"/>
        </w:rPr>
        <w:t>فية</w:t>
      </w:r>
      <w:r w:rsidR="00502AC2" w:rsidRPr="00904FCB">
        <w:rPr>
          <w:rFonts w:hint="cs"/>
          <w:sz w:val="27"/>
          <w:rtl/>
          <w:lang w:bidi="ar-IQ"/>
        </w:rPr>
        <w:t>)</w:t>
      </w:r>
      <w:r w:rsidRPr="00904FCB">
        <w:rPr>
          <w:rFonts w:hint="cs"/>
          <w:sz w:val="27"/>
          <w:rtl/>
          <w:lang w:bidi="ar-IQ"/>
        </w:rPr>
        <w:t>، إلا</w:t>
      </w:r>
      <w:r w:rsidR="00502AC2" w:rsidRPr="00904FCB">
        <w:rPr>
          <w:rFonts w:hint="cs"/>
          <w:sz w:val="27"/>
          <w:rtl/>
          <w:lang w:bidi="ar-IQ"/>
        </w:rPr>
        <w:t>ّ</w:t>
      </w:r>
      <w:r w:rsidRPr="00904FCB">
        <w:rPr>
          <w:rFonts w:hint="cs"/>
          <w:sz w:val="27"/>
          <w:rtl/>
          <w:lang w:bidi="ar-IQ"/>
        </w:rPr>
        <w:t xml:space="preserve"> أن الباحث المدق</w:t>
      </w:r>
      <w:r w:rsidR="00502AC2" w:rsidRPr="00904FCB">
        <w:rPr>
          <w:rFonts w:hint="cs"/>
          <w:sz w:val="27"/>
          <w:rtl/>
          <w:lang w:bidi="ar-IQ"/>
        </w:rPr>
        <w:t>ِّ</w:t>
      </w:r>
      <w:r w:rsidRPr="00904FCB">
        <w:rPr>
          <w:rFonts w:hint="cs"/>
          <w:sz w:val="27"/>
          <w:rtl/>
          <w:lang w:bidi="ar-IQ"/>
        </w:rPr>
        <w:t>ق لا</w:t>
      </w:r>
      <w:r w:rsidR="00502AC2" w:rsidRPr="00904FCB">
        <w:rPr>
          <w:rFonts w:hint="cs"/>
          <w:sz w:val="27"/>
          <w:rtl/>
          <w:lang w:bidi="ar-IQ"/>
        </w:rPr>
        <w:t xml:space="preserve"> </w:t>
      </w:r>
      <w:r w:rsidRPr="00904FCB">
        <w:rPr>
          <w:rFonts w:hint="cs"/>
          <w:sz w:val="27"/>
          <w:rtl/>
          <w:lang w:bidi="ar-IQ"/>
        </w:rPr>
        <w:t>يرادف بين مصطلح السلفية ومصطلح ال</w:t>
      </w:r>
      <w:r w:rsidR="00502AC2" w:rsidRPr="00904FCB">
        <w:rPr>
          <w:rFonts w:hint="cs"/>
          <w:sz w:val="27"/>
          <w:rtl/>
          <w:lang w:bidi="ar-IQ"/>
        </w:rPr>
        <w:t>أ</w:t>
      </w:r>
      <w:r w:rsidRPr="00904FCB">
        <w:rPr>
          <w:rFonts w:hint="cs"/>
          <w:sz w:val="27"/>
          <w:rtl/>
          <w:lang w:bidi="ar-IQ"/>
        </w:rPr>
        <w:t>صولية</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إ</w:t>
      </w:r>
      <w:r w:rsidRPr="00904FCB">
        <w:rPr>
          <w:rFonts w:hint="cs"/>
          <w:sz w:val="27"/>
          <w:rtl/>
          <w:lang w:bidi="ar-IQ"/>
        </w:rPr>
        <w:t>لا</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إ</w:t>
      </w:r>
      <w:r w:rsidRPr="00904FCB">
        <w:rPr>
          <w:rFonts w:hint="cs"/>
          <w:sz w:val="27"/>
          <w:rtl/>
          <w:lang w:bidi="ar-IQ"/>
        </w:rPr>
        <w:t xml:space="preserve">ذا وقع في الالتباس، </w:t>
      </w:r>
      <w:r w:rsidR="00502AC2" w:rsidRPr="00904FCB">
        <w:rPr>
          <w:rFonts w:hint="cs"/>
          <w:sz w:val="27"/>
          <w:rtl/>
          <w:lang w:bidi="ar-IQ"/>
        </w:rPr>
        <w:t>أ</w:t>
      </w:r>
      <w:r w:rsidRPr="00904FCB">
        <w:rPr>
          <w:rFonts w:hint="cs"/>
          <w:sz w:val="27"/>
          <w:rtl/>
          <w:lang w:bidi="ar-IQ"/>
        </w:rPr>
        <w:t>و كان ي</w:t>
      </w:r>
      <w:r w:rsidR="00502AC2" w:rsidRPr="00904FCB">
        <w:rPr>
          <w:rFonts w:hint="cs"/>
          <w:sz w:val="27"/>
          <w:rtl/>
          <w:lang w:bidi="ar-IQ"/>
        </w:rPr>
        <w:t>ُ</w:t>
      </w:r>
      <w:r w:rsidRPr="00904FCB">
        <w:rPr>
          <w:rFonts w:hint="cs"/>
          <w:sz w:val="27"/>
          <w:rtl/>
          <w:lang w:bidi="ar-IQ"/>
        </w:rPr>
        <w:t xml:space="preserve">راد باللفظ العودة </w:t>
      </w:r>
      <w:r w:rsidR="00502AC2" w:rsidRPr="00904FCB">
        <w:rPr>
          <w:rFonts w:hint="cs"/>
          <w:sz w:val="27"/>
          <w:rtl/>
          <w:lang w:bidi="ar-IQ"/>
        </w:rPr>
        <w:t>إلى ا</w:t>
      </w:r>
      <w:r w:rsidRPr="00904FCB">
        <w:rPr>
          <w:rFonts w:hint="cs"/>
          <w:sz w:val="27"/>
          <w:rtl/>
          <w:lang w:bidi="ar-IQ"/>
        </w:rPr>
        <w:t>ل</w:t>
      </w:r>
      <w:r w:rsidR="00502AC2" w:rsidRPr="00904FCB">
        <w:rPr>
          <w:rFonts w:hint="cs"/>
          <w:sz w:val="27"/>
          <w:rtl/>
          <w:lang w:bidi="ar-IQ"/>
        </w:rPr>
        <w:t>أ</w:t>
      </w:r>
      <w:r w:rsidRPr="00904FCB">
        <w:rPr>
          <w:rFonts w:hint="cs"/>
          <w:sz w:val="27"/>
          <w:rtl/>
          <w:lang w:bidi="ar-IQ"/>
        </w:rPr>
        <w:t>صول</w:t>
      </w:r>
      <w:r w:rsidR="00502AC2" w:rsidRPr="00904FCB">
        <w:rPr>
          <w:rFonts w:hint="cs"/>
          <w:sz w:val="27"/>
          <w:rtl/>
          <w:lang w:bidi="ar-IQ"/>
        </w:rPr>
        <w:t>،</w:t>
      </w:r>
      <w:r w:rsidRPr="00904FCB">
        <w:rPr>
          <w:rFonts w:hint="cs"/>
          <w:sz w:val="27"/>
          <w:rtl/>
          <w:lang w:bidi="ar-IQ"/>
        </w:rPr>
        <w:t xml:space="preserve"> والعمل بمقتضاها</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إ</w:t>
      </w:r>
      <w:r w:rsidRPr="00904FCB">
        <w:rPr>
          <w:rFonts w:hint="cs"/>
          <w:sz w:val="27"/>
          <w:rtl/>
          <w:lang w:bidi="ar-IQ"/>
        </w:rPr>
        <w:t>لا</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أ</w:t>
      </w:r>
      <w:r w:rsidRPr="00904FCB">
        <w:rPr>
          <w:rFonts w:hint="cs"/>
          <w:sz w:val="27"/>
          <w:rtl/>
          <w:lang w:bidi="ar-IQ"/>
        </w:rPr>
        <w:t xml:space="preserve">ن هذه </w:t>
      </w:r>
      <w:r w:rsidRPr="00904FCB">
        <w:rPr>
          <w:rFonts w:hint="cs"/>
          <w:sz w:val="27"/>
          <w:rtl/>
          <w:lang w:bidi="ar-IQ"/>
        </w:rPr>
        <w:lastRenderedPageBreak/>
        <w:t>الجماعات لم ت</w:t>
      </w:r>
      <w:r w:rsidR="00006ECF">
        <w:rPr>
          <w:rFonts w:hint="cs"/>
          <w:sz w:val="27"/>
          <w:rtl/>
          <w:lang w:bidi="ar-IQ"/>
        </w:rPr>
        <w:t>َ</w:t>
      </w:r>
      <w:r w:rsidR="00502AC2" w:rsidRPr="00904FCB">
        <w:rPr>
          <w:rFonts w:hint="cs"/>
          <w:sz w:val="27"/>
          <w:rtl/>
          <w:lang w:bidi="ar-IQ"/>
        </w:rPr>
        <w:t>ت</w:t>
      </w:r>
      <w:r w:rsidR="00006ECF">
        <w:rPr>
          <w:rFonts w:hint="cs"/>
          <w:sz w:val="27"/>
          <w:rtl/>
          <w:lang w:bidi="ar-IQ"/>
        </w:rPr>
        <w:t>َ</w:t>
      </w:r>
      <w:r w:rsidRPr="00904FCB">
        <w:rPr>
          <w:rFonts w:hint="cs"/>
          <w:sz w:val="27"/>
          <w:rtl/>
          <w:lang w:bidi="ar-IQ"/>
        </w:rPr>
        <w:t>س</w:t>
      </w:r>
      <w:r w:rsidR="00502AC2" w:rsidRPr="00904FCB">
        <w:rPr>
          <w:rFonts w:hint="cs"/>
          <w:sz w:val="27"/>
          <w:rtl/>
          <w:lang w:bidi="ar-IQ"/>
        </w:rPr>
        <w:t>َمَّ</w:t>
      </w:r>
      <w:r w:rsidRPr="00904FCB">
        <w:rPr>
          <w:rFonts w:hint="cs"/>
          <w:sz w:val="27"/>
          <w:rtl/>
          <w:lang w:bidi="ar-IQ"/>
        </w:rPr>
        <w:t xml:space="preserve"> بال</w:t>
      </w:r>
      <w:r w:rsidR="00502AC2" w:rsidRPr="00904FCB">
        <w:rPr>
          <w:rFonts w:hint="cs"/>
          <w:sz w:val="27"/>
          <w:rtl/>
          <w:lang w:bidi="ar-IQ"/>
        </w:rPr>
        <w:t>أ</w:t>
      </w:r>
      <w:r w:rsidRPr="00904FCB">
        <w:rPr>
          <w:rFonts w:hint="cs"/>
          <w:sz w:val="27"/>
          <w:rtl/>
          <w:lang w:bidi="ar-IQ"/>
        </w:rPr>
        <w:t>صولية</w:t>
      </w:r>
      <w:r w:rsidR="00502AC2" w:rsidRPr="00904FCB">
        <w:rPr>
          <w:rFonts w:hint="cs"/>
          <w:sz w:val="27"/>
          <w:rtl/>
          <w:lang w:bidi="ar-IQ"/>
        </w:rPr>
        <w:t>،</w:t>
      </w:r>
      <w:r w:rsidRPr="00904FCB">
        <w:rPr>
          <w:rFonts w:hint="cs"/>
          <w:sz w:val="27"/>
          <w:rtl/>
          <w:lang w:bidi="ar-IQ"/>
        </w:rPr>
        <w:t xml:space="preserve"> ولم تكن كل</w:t>
      </w:r>
      <w:r w:rsidR="00502AC2" w:rsidRPr="00904FCB">
        <w:rPr>
          <w:rFonts w:hint="cs"/>
          <w:sz w:val="27"/>
          <w:rtl/>
          <w:lang w:bidi="ar-IQ"/>
        </w:rPr>
        <w:t>ّ</w:t>
      </w:r>
      <w:r w:rsidRPr="00904FCB">
        <w:rPr>
          <w:rFonts w:hint="cs"/>
          <w:sz w:val="27"/>
          <w:rtl/>
          <w:lang w:bidi="ar-IQ"/>
        </w:rPr>
        <w:t>ها متشد</w:t>
      </w:r>
      <w:r w:rsidR="00502AC2" w:rsidRPr="00904FCB">
        <w:rPr>
          <w:rFonts w:hint="cs"/>
          <w:sz w:val="27"/>
          <w:rtl/>
          <w:lang w:bidi="ar-IQ"/>
        </w:rPr>
        <w:t>ِّ</w:t>
      </w:r>
      <w:r w:rsidRPr="00904FCB">
        <w:rPr>
          <w:rFonts w:hint="cs"/>
          <w:sz w:val="27"/>
          <w:rtl/>
          <w:lang w:bidi="ar-IQ"/>
        </w:rPr>
        <w:t>دة تفرض مقولاتها بكل</w:t>
      </w:r>
      <w:r w:rsidR="00502AC2" w:rsidRPr="00904FCB">
        <w:rPr>
          <w:rFonts w:hint="cs"/>
          <w:sz w:val="27"/>
          <w:rtl/>
          <w:lang w:bidi="ar-IQ"/>
        </w:rPr>
        <w:t>ّ</w:t>
      </w:r>
      <w:r w:rsidRPr="00904FCB">
        <w:rPr>
          <w:rFonts w:hint="cs"/>
          <w:sz w:val="27"/>
          <w:rtl/>
          <w:lang w:bidi="ar-IQ"/>
        </w:rPr>
        <w:t xml:space="preserve"> الوسائل على الغير</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وكان لبعضها منهجٌ</w:t>
      </w:r>
      <w:r w:rsidRPr="00904FCB">
        <w:rPr>
          <w:rFonts w:hint="cs"/>
          <w:sz w:val="27"/>
          <w:rtl/>
          <w:lang w:bidi="ar-IQ"/>
        </w:rPr>
        <w:t xml:space="preserve"> </w:t>
      </w:r>
      <w:r w:rsidR="00502AC2" w:rsidRPr="00904FCB">
        <w:rPr>
          <w:rFonts w:hint="cs"/>
          <w:sz w:val="27"/>
          <w:rtl/>
          <w:lang w:bidi="ar-IQ"/>
        </w:rPr>
        <w:t>إصلاحيٌّ</w:t>
      </w:r>
      <w:r w:rsidRPr="00904FCB">
        <w:rPr>
          <w:rFonts w:hint="cs"/>
          <w:sz w:val="27"/>
          <w:rtl/>
          <w:lang w:bidi="ar-IQ"/>
        </w:rPr>
        <w:t>، كحركة جمال الدين ال</w:t>
      </w:r>
      <w:r w:rsidR="00502AC2" w:rsidRPr="00904FCB">
        <w:rPr>
          <w:rFonts w:hint="cs"/>
          <w:sz w:val="27"/>
          <w:rtl/>
          <w:lang w:bidi="ar-IQ"/>
        </w:rPr>
        <w:t>أ</w:t>
      </w:r>
      <w:r w:rsidRPr="00904FCB">
        <w:rPr>
          <w:rFonts w:hint="cs"/>
          <w:sz w:val="27"/>
          <w:rtl/>
          <w:lang w:bidi="ar-IQ"/>
        </w:rPr>
        <w:t>فغاني ومحمد عبد</w:t>
      </w:r>
      <w:r w:rsidR="00502AC2" w:rsidRPr="00904FCB">
        <w:rPr>
          <w:rFonts w:hint="cs"/>
          <w:sz w:val="27"/>
          <w:rtl/>
          <w:lang w:bidi="ar-IQ"/>
        </w:rPr>
        <w:t>ه.</w:t>
      </w:r>
      <w:r w:rsidRPr="00904FCB">
        <w:rPr>
          <w:rFonts w:hint="cs"/>
          <w:sz w:val="27"/>
          <w:rtl/>
          <w:lang w:bidi="ar-IQ"/>
        </w:rPr>
        <w:t xml:space="preserve"> إضافة </w:t>
      </w:r>
      <w:r w:rsidR="00502AC2" w:rsidRPr="00904FCB">
        <w:rPr>
          <w:rFonts w:hint="cs"/>
          <w:sz w:val="27"/>
          <w:rtl/>
          <w:lang w:bidi="ar-IQ"/>
        </w:rPr>
        <w:t>إ</w:t>
      </w:r>
      <w:r w:rsidRPr="00904FCB">
        <w:rPr>
          <w:rFonts w:hint="cs"/>
          <w:sz w:val="27"/>
          <w:rtl/>
          <w:lang w:bidi="ar-IQ"/>
        </w:rPr>
        <w:t xml:space="preserve">لى </w:t>
      </w:r>
      <w:r w:rsidR="00502AC2" w:rsidRPr="00904FCB">
        <w:rPr>
          <w:rFonts w:hint="cs"/>
          <w:sz w:val="27"/>
          <w:rtl/>
          <w:lang w:bidi="ar-IQ"/>
        </w:rPr>
        <w:t>أ</w:t>
      </w:r>
      <w:r w:rsidRPr="00904FCB">
        <w:rPr>
          <w:rFonts w:hint="cs"/>
          <w:sz w:val="27"/>
          <w:rtl/>
          <w:lang w:bidi="ar-IQ"/>
        </w:rPr>
        <w:t>نها لا ترى استعمال الوسائل الق</w:t>
      </w:r>
      <w:r w:rsidR="00502AC2" w:rsidRPr="00904FCB">
        <w:rPr>
          <w:rFonts w:hint="cs"/>
          <w:sz w:val="27"/>
          <w:rtl/>
          <w:lang w:bidi="ar-IQ"/>
        </w:rPr>
        <w:t>َ</w:t>
      </w:r>
      <w:r w:rsidRPr="00904FCB">
        <w:rPr>
          <w:rFonts w:hint="cs"/>
          <w:sz w:val="27"/>
          <w:rtl/>
          <w:lang w:bidi="ar-IQ"/>
        </w:rPr>
        <w:t>س</w:t>
      </w:r>
      <w:r w:rsidR="00502AC2" w:rsidRPr="00904FCB">
        <w:rPr>
          <w:rFonts w:hint="cs"/>
          <w:sz w:val="27"/>
          <w:rtl/>
          <w:lang w:bidi="ar-IQ"/>
        </w:rPr>
        <w:t>ْ</w:t>
      </w:r>
      <w:r w:rsidRPr="00904FCB">
        <w:rPr>
          <w:rFonts w:hint="cs"/>
          <w:sz w:val="27"/>
          <w:rtl/>
          <w:lang w:bidi="ar-IQ"/>
        </w:rPr>
        <w:t xml:space="preserve">رية </w:t>
      </w:r>
      <w:r w:rsidR="00502AC2" w:rsidRPr="00904FCB">
        <w:rPr>
          <w:rFonts w:hint="cs"/>
          <w:sz w:val="27"/>
          <w:rtl/>
          <w:lang w:bidi="ar-IQ"/>
        </w:rPr>
        <w:t>طريقاً</w:t>
      </w:r>
      <w:r w:rsidRPr="00904FCB">
        <w:rPr>
          <w:rFonts w:hint="cs"/>
          <w:sz w:val="27"/>
          <w:rtl/>
          <w:lang w:bidi="ar-IQ"/>
        </w:rPr>
        <w:t xml:space="preserve"> لنشر الفكر أو نشر الدين. </w:t>
      </w:r>
    </w:p>
    <w:p w:rsidR="00952E59" w:rsidRPr="00904FCB" w:rsidRDefault="00952E59" w:rsidP="007A21AA">
      <w:pPr>
        <w:spacing w:line="400" w:lineRule="exact"/>
        <w:rPr>
          <w:sz w:val="27"/>
          <w:lang w:bidi="ar-IQ"/>
        </w:rPr>
      </w:pPr>
      <w:r w:rsidRPr="00904FCB">
        <w:rPr>
          <w:rFonts w:hint="cs"/>
          <w:sz w:val="27"/>
          <w:rtl/>
          <w:lang w:bidi="ar-IQ"/>
        </w:rPr>
        <w:t>لهذه ال</w:t>
      </w:r>
      <w:r w:rsidR="00502AC2" w:rsidRPr="00904FCB">
        <w:rPr>
          <w:rFonts w:hint="cs"/>
          <w:sz w:val="27"/>
          <w:rtl/>
          <w:lang w:bidi="ar-IQ"/>
        </w:rPr>
        <w:t>أ</w:t>
      </w:r>
      <w:r w:rsidRPr="00904FCB">
        <w:rPr>
          <w:rFonts w:hint="cs"/>
          <w:sz w:val="27"/>
          <w:rtl/>
          <w:lang w:bidi="ar-IQ"/>
        </w:rPr>
        <w:t>سباب</w:t>
      </w:r>
      <w:r w:rsidR="00502AC2" w:rsidRPr="00904FCB">
        <w:rPr>
          <w:rFonts w:hint="cs"/>
          <w:sz w:val="27"/>
          <w:rtl/>
          <w:lang w:bidi="ar-IQ"/>
        </w:rPr>
        <w:t>،</w:t>
      </w:r>
      <w:r w:rsidRPr="00904FCB">
        <w:rPr>
          <w:rFonts w:hint="cs"/>
          <w:sz w:val="27"/>
          <w:rtl/>
          <w:lang w:bidi="ar-IQ"/>
        </w:rPr>
        <w:t xml:space="preserve"> ولما تقد</w:t>
      </w:r>
      <w:r w:rsidR="00502AC2" w:rsidRPr="00904FCB">
        <w:rPr>
          <w:rFonts w:hint="cs"/>
          <w:sz w:val="27"/>
          <w:rtl/>
          <w:lang w:bidi="ar-IQ"/>
        </w:rPr>
        <w:t>َّ</w:t>
      </w:r>
      <w:r w:rsidRPr="00904FCB">
        <w:rPr>
          <w:rFonts w:hint="cs"/>
          <w:sz w:val="27"/>
          <w:rtl/>
          <w:lang w:bidi="ar-IQ"/>
        </w:rPr>
        <w:t>م من ال</w:t>
      </w:r>
      <w:r w:rsidR="00502AC2" w:rsidRPr="00904FCB">
        <w:rPr>
          <w:rFonts w:hint="cs"/>
          <w:sz w:val="27"/>
          <w:rtl/>
          <w:lang w:bidi="ar-IQ"/>
        </w:rPr>
        <w:t>ا</w:t>
      </w:r>
      <w:r w:rsidRPr="00904FCB">
        <w:rPr>
          <w:rFonts w:hint="cs"/>
          <w:sz w:val="27"/>
          <w:rtl/>
          <w:lang w:bidi="ar-IQ"/>
        </w:rPr>
        <w:t>لتباس في دلالة المصطلح</w:t>
      </w:r>
      <w:r w:rsidR="00502AC2" w:rsidRPr="00904FCB">
        <w:rPr>
          <w:rFonts w:hint="cs"/>
          <w:sz w:val="27"/>
          <w:rtl/>
          <w:lang w:bidi="ar-IQ"/>
        </w:rPr>
        <w:t>،</w:t>
      </w:r>
      <w:r w:rsidRPr="00904FCB">
        <w:rPr>
          <w:rFonts w:hint="cs"/>
          <w:sz w:val="27"/>
          <w:rtl/>
          <w:lang w:bidi="ar-IQ"/>
        </w:rPr>
        <w:t xml:space="preserve"> فقد صار ضرورياً الكشف عن أثر مواطن نشأة المصطلح على المعنى الذي يحمله</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أ</w:t>
      </w:r>
      <w:r w:rsidRPr="00904FCB">
        <w:rPr>
          <w:rFonts w:hint="cs"/>
          <w:sz w:val="27"/>
          <w:rtl/>
          <w:lang w:bidi="ar-IQ"/>
        </w:rPr>
        <w:t>و المراد المقصود</w:t>
      </w:r>
      <w:r w:rsidR="00502AC2" w:rsidRPr="00904FCB">
        <w:rPr>
          <w:rFonts w:hint="cs"/>
          <w:sz w:val="27"/>
          <w:rtl/>
          <w:lang w:bidi="ar-IQ"/>
        </w:rPr>
        <w:t>؛</w:t>
      </w:r>
      <w:r w:rsidRPr="00904FCB">
        <w:rPr>
          <w:rFonts w:hint="cs"/>
          <w:sz w:val="27"/>
          <w:rtl/>
          <w:lang w:bidi="ar-IQ"/>
        </w:rPr>
        <w:t xml:space="preserve"> لأن مفهوم ال</w:t>
      </w:r>
      <w:r w:rsidR="00502AC2" w:rsidRPr="00904FCB">
        <w:rPr>
          <w:rFonts w:hint="cs"/>
          <w:sz w:val="27"/>
          <w:rtl/>
          <w:lang w:bidi="ar-IQ"/>
        </w:rPr>
        <w:t>أ</w:t>
      </w:r>
      <w:r w:rsidRPr="00904FCB">
        <w:rPr>
          <w:rFonts w:hint="cs"/>
          <w:sz w:val="27"/>
          <w:rtl/>
          <w:lang w:bidi="ar-IQ"/>
        </w:rPr>
        <w:t>صولية من المفاهيم التي استعملت استعمالا</w:t>
      </w:r>
      <w:r w:rsidR="00502AC2" w:rsidRPr="00904FCB">
        <w:rPr>
          <w:rFonts w:hint="cs"/>
          <w:sz w:val="27"/>
          <w:rtl/>
          <w:lang w:bidi="ar-IQ"/>
        </w:rPr>
        <w:t>ً</w:t>
      </w:r>
      <w:r w:rsidRPr="00904FCB">
        <w:rPr>
          <w:rFonts w:hint="cs"/>
          <w:sz w:val="27"/>
          <w:rtl/>
          <w:lang w:bidi="ar-IQ"/>
        </w:rPr>
        <w:t xml:space="preserve"> غير دقيق من جهة المعنى والدلالة</w:t>
      </w:r>
      <w:r w:rsidR="00502AC2" w:rsidRPr="00904FCB">
        <w:rPr>
          <w:rFonts w:hint="cs"/>
          <w:sz w:val="27"/>
          <w:rtl/>
          <w:lang w:bidi="ar-IQ"/>
        </w:rPr>
        <w:t>؛</w:t>
      </w:r>
      <w:r w:rsidRPr="00904FCB">
        <w:rPr>
          <w:rFonts w:hint="cs"/>
          <w:sz w:val="27"/>
          <w:rtl/>
          <w:lang w:bidi="ar-IQ"/>
        </w:rPr>
        <w:t xml:space="preserve"> لأن هذا المفهوم لا</w:t>
      </w:r>
      <w:r w:rsidR="00502AC2" w:rsidRPr="00904FCB">
        <w:rPr>
          <w:rFonts w:hint="cs"/>
          <w:sz w:val="27"/>
          <w:rtl/>
          <w:lang w:bidi="ar-IQ"/>
        </w:rPr>
        <w:t xml:space="preserve"> </w:t>
      </w:r>
      <w:r w:rsidRPr="00904FCB">
        <w:rPr>
          <w:rFonts w:hint="cs"/>
          <w:sz w:val="27"/>
          <w:rtl/>
          <w:lang w:bidi="ar-IQ"/>
        </w:rPr>
        <w:t>يخلو من العمومية</w:t>
      </w:r>
      <w:r w:rsidR="00502AC2" w:rsidRPr="00904FCB">
        <w:rPr>
          <w:rFonts w:hint="cs"/>
          <w:sz w:val="27"/>
          <w:rtl/>
          <w:lang w:bidi="ar-IQ"/>
        </w:rPr>
        <w:t>.</w:t>
      </w:r>
      <w:r w:rsidRPr="00904FCB">
        <w:rPr>
          <w:rFonts w:hint="cs"/>
          <w:sz w:val="27"/>
          <w:rtl/>
          <w:lang w:bidi="ar-IQ"/>
        </w:rPr>
        <w:t xml:space="preserve"> وعليه ف</w:t>
      </w:r>
      <w:r w:rsidR="00502AC2" w:rsidRPr="00904FCB">
        <w:rPr>
          <w:rFonts w:hint="cs"/>
          <w:sz w:val="27"/>
          <w:rtl/>
          <w:lang w:bidi="ar-IQ"/>
        </w:rPr>
        <w:t>إ</w:t>
      </w:r>
      <w:r w:rsidRPr="00904FCB">
        <w:rPr>
          <w:rFonts w:hint="cs"/>
          <w:sz w:val="27"/>
          <w:rtl/>
          <w:lang w:bidi="ar-IQ"/>
        </w:rPr>
        <w:t>ن التحقيق في مفهومه ودق</w:t>
      </w:r>
      <w:r w:rsidR="00502AC2" w:rsidRPr="00904FCB">
        <w:rPr>
          <w:rFonts w:hint="cs"/>
          <w:sz w:val="27"/>
          <w:rtl/>
          <w:lang w:bidi="ar-IQ"/>
        </w:rPr>
        <w:t>ّ</w:t>
      </w:r>
      <w:r w:rsidRPr="00904FCB">
        <w:rPr>
          <w:rFonts w:hint="cs"/>
          <w:sz w:val="27"/>
          <w:rtl/>
          <w:lang w:bidi="ar-IQ"/>
        </w:rPr>
        <w:t xml:space="preserve">ة استعماله </w:t>
      </w:r>
      <w:r w:rsidR="00502AC2" w:rsidRPr="00904FCB">
        <w:rPr>
          <w:rFonts w:hint="cs"/>
          <w:sz w:val="27"/>
          <w:rtl/>
          <w:lang w:bidi="ar-IQ"/>
        </w:rPr>
        <w:t>أ</w:t>
      </w:r>
      <w:r w:rsidRPr="00904FCB">
        <w:rPr>
          <w:rFonts w:hint="cs"/>
          <w:sz w:val="27"/>
          <w:rtl/>
          <w:lang w:bidi="ar-IQ"/>
        </w:rPr>
        <w:t>صبح حاجة معرفية</w:t>
      </w:r>
      <w:r w:rsidR="00502AC2" w:rsidRPr="00904FCB">
        <w:rPr>
          <w:rFonts w:hint="cs"/>
          <w:sz w:val="27"/>
          <w:rtl/>
          <w:lang w:bidi="ar-IQ"/>
        </w:rPr>
        <w:t>.</w:t>
      </w:r>
      <w:r w:rsidRPr="00904FCB">
        <w:rPr>
          <w:rFonts w:hint="cs"/>
          <w:sz w:val="27"/>
          <w:rtl/>
          <w:lang w:bidi="ar-IQ"/>
        </w:rPr>
        <w:t xml:space="preserve"> ففي الثقافة ال</w:t>
      </w:r>
      <w:r w:rsidR="00502AC2" w:rsidRPr="00904FCB">
        <w:rPr>
          <w:rFonts w:hint="cs"/>
          <w:sz w:val="27"/>
          <w:rtl/>
          <w:lang w:bidi="ar-IQ"/>
        </w:rPr>
        <w:t>إ</w:t>
      </w:r>
      <w:r w:rsidRPr="00904FCB">
        <w:rPr>
          <w:rFonts w:hint="cs"/>
          <w:sz w:val="27"/>
          <w:rtl/>
          <w:lang w:bidi="ar-IQ"/>
        </w:rPr>
        <w:t>سلامية التقليدية مثلاً كان ولا</w:t>
      </w:r>
      <w:r w:rsidR="00502AC2" w:rsidRPr="00904FCB">
        <w:rPr>
          <w:rFonts w:hint="cs"/>
          <w:sz w:val="27"/>
          <w:rtl/>
          <w:lang w:bidi="ar-IQ"/>
        </w:rPr>
        <w:t xml:space="preserve"> </w:t>
      </w:r>
      <w:r w:rsidRPr="00904FCB">
        <w:rPr>
          <w:rFonts w:hint="cs"/>
          <w:sz w:val="27"/>
          <w:rtl/>
          <w:lang w:bidi="ar-IQ"/>
        </w:rPr>
        <w:t>يزال يستعمل لفظ ال</w:t>
      </w:r>
      <w:r w:rsidR="00502AC2" w:rsidRPr="00904FCB">
        <w:rPr>
          <w:rFonts w:hint="cs"/>
          <w:sz w:val="27"/>
          <w:rtl/>
          <w:lang w:bidi="ar-IQ"/>
        </w:rPr>
        <w:t>أ</w:t>
      </w:r>
      <w:r w:rsidRPr="00904FCB">
        <w:rPr>
          <w:rFonts w:hint="cs"/>
          <w:sz w:val="27"/>
          <w:rtl/>
          <w:lang w:bidi="ar-IQ"/>
        </w:rPr>
        <w:t>صل وال</w:t>
      </w:r>
      <w:r w:rsidR="00502AC2" w:rsidRPr="00904FCB">
        <w:rPr>
          <w:rFonts w:hint="cs"/>
          <w:sz w:val="27"/>
          <w:rtl/>
          <w:lang w:bidi="ar-IQ"/>
        </w:rPr>
        <w:t>أ</w:t>
      </w:r>
      <w:r w:rsidRPr="00904FCB">
        <w:rPr>
          <w:rFonts w:hint="cs"/>
          <w:sz w:val="27"/>
          <w:rtl/>
          <w:lang w:bidi="ar-IQ"/>
        </w:rPr>
        <w:t>صول بمعناه اللغوي المعجمي</w:t>
      </w:r>
      <w:r w:rsidR="00502AC2" w:rsidRPr="00904FCB">
        <w:rPr>
          <w:rFonts w:hint="cs"/>
          <w:sz w:val="27"/>
          <w:rtl/>
          <w:lang w:bidi="ar-IQ"/>
        </w:rPr>
        <w:t>،</w:t>
      </w:r>
      <w:r w:rsidRPr="00904FCB">
        <w:rPr>
          <w:rFonts w:hint="cs"/>
          <w:sz w:val="27"/>
          <w:rtl/>
          <w:lang w:bidi="ar-IQ"/>
        </w:rPr>
        <w:t xml:space="preserve"> وي</w:t>
      </w:r>
      <w:r w:rsidR="00502AC2" w:rsidRPr="00904FCB">
        <w:rPr>
          <w:rFonts w:hint="cs"/>
          <w:sz w:val="27"/>
          <w:rtl/>
          <w:lang w:bidi="ar-IQ"/>
        </w:rPr>
        <w:t>ُ</w:t>
      </w:r>
      <w:r w:rsidRPr="00904FCB">
        <w:rPr>
          <w:rFonts w:hint="cs"/>
          <w:sz w:val="27"/>
          <w:rtl/>
          <w:lang w:bidi="ar-IQ"/>
        </w:rPr>
        <w:t>راد به ال</w:t>
      </w:r>
      <w:r w:rsidR="00502AC2" w:rsidRPr="00904FCB">
        <w:rPr>
          <w:rFonts w:hint="cs"/>
          <w:sz w:val="27"/>
          <w:rtl/>
          <w:lang w:bidi="ar-IQ"/>
        </w:rPr>
        <w:t>أ</w:t>
      </w:r>
      <w:r w:rsidRPr="00904FCB">
        <w:rPr>
          <w:rFonts w:hint="cs"/>
          <w:sz w:val="27"/>
          <w:rtl/>
          <w:lang w:bidi="ar-IQ"/>
        </w:rPr>
        <w:t>سس</w:t>
      </w:r>
      <w:r w:rsidR="00502AC2" w:rsidRPr="00904FCB">
        <w:rPr>
          <w:rFonts w:hint="cs"/>
          <w:sz w:val="27"/>
          <w:rtl/>
          <w:lang w:bidi="ar-IQ"/>
        </w:rPr>
        <w:t>،</w:t>
      </w:r>
      <w:r w:rsidRPr="00904FCB">
        <w:rPr>
          <w:rFonts w:hint="cs"/>
          <w:sz w:val="27"/>
          <w:rtl/>
          <w:lang w:bidi="ar-IQ"/>
        </w:rPr>
        <w:t xml:space="preserve"> ومنه</w:t>
      </w:r>
      <w:r w:rsidR="00502AC2" w:rsidRPr="00904FCB">
        <w:rPr>
          <w:rFonts w:hint="cs"/>
          <w:sz w:val="27"/>
          <w:rtl/>
          <w:lang w:bidi="ar-IQ"/>
        </w:rPr>
        <w:t>:</w:t>
      </w:r>
      <w:r w:rsidRPr="00904FCB">
        <w:rPr>
          <w:rFonts w:hint="cs"/>
          <w:sz w:val="27"/>
          <w:rtl/>
          <w:lang w:bidi="ar-IQ"/>
        </w:rPr>
        <w:t xml:space="preserve"> علم </w:t>
      </w:r>
      <w:r w:rsidR="00502AC2" w:rsidRPr="00904FCB">
        <w:rPr>
          <w:rFonts w:hint="cs"/>
          <w:sz w:val="27"/>
          <w:rtl/>
          <w:lang w:bidi="ar-IQ"/>
        </w:rPr>
        <w:t>أ</w:t>
      </w:r>
      <w:r w:rsidRPr="00904FCB">
        <w:rPr>
          <w:rFonts w:hint="cs"/>
          <w:sz w:val="27"/>
          <w:rtl/>
          <w:lang w:bidi="ar-IQ"/>
        </w:rPr>
        <w:t>صول الدين</w:t>
      </w:r>
      <w:r w:rsidR="00502AC2" w:rsidRPr="00904FCB">
        <w:rPr>
          <w:rFonts w:hint="cs"/>
          <w:sz w:val="27"/>
          <w:rtl/>
          <w:lang w:bidi="ar-IQ"/>
        </w:rPr>
        <w:t>،</w:t>
      </w:r>
      <w:r w:rsidRPr="00904FCB">
        <w:rPr>
          <w:rFonts w:hint="cs"/>
          <w:sz w:val="27"/>
          <w:rtl/>
          <w:lang w:bidi="ar-IQ"/>
        </w:rPr>
        <w:t xml:space="preserve"> أي أسسه ومرتكزاته وحقائقه ال</w:t>
      </w:r>
      <w:r w:rsidR="00502AC2" w:rsidRPr="00904FCB">
        <w:rPr>
          <w:rFonts w:hint="cs"/>
          <w:sz w:val="27"/>
          <w:rtl/>
          <w:lang w:bidi="ar-IQ"/>
        </w:rPr>
        <w:t>أ</w:t>
      </w:r>
      <w:r w:rsidRPr="00904FCB">
        <w:rPr>
          <w:rFonts w:hint="cs"/>
          <w:sz w:val="27"/>
          <w:rtl/>
          <w:lang w:bidi="ar-IQ"/>
        </w:rPr>
        <w:t>ولى والمبادئ العام</w:t>
      </w:r>
      <w:r w:rsidR="00502AC2" w:rsidRPr="00904FCB">
        <w:rPr>
          <w:rFonts w:hint="cs"/>
          <w:sz w:val="27"/>
          <w:rtl/>
          <w:lang w:bidi="ar-IQ"/>
        </w:rPr>
        <w:t>ّ</w:t>
      </w:r>
      <w:r w:rsidRPr="00904FCB">
        <w:rPr>
          <w:rFonts w:hint="cs"/>
          <w:sz w:val="27"/>
          <w:rtl/>
          <w:lang w:bidi="ar-IQ"/>
        </w:rPr>
        <w:t>ة له</w:t>
      </w:r>
      <w:r w:rsidR="00502AC2" w:rsidRPr="00904FCB">
        <w:rPr>
          <w:rFonts w:hint="cs"/>
          <w:sz w:val="27"/>
          <w:rtl/>
          <w:lang w:bidi="ar-IQ"/>
        </w:rPr>
        <w:t>؛</w:t>
      </w:r>
      <w:r w:rsidRPr="00904FCB">
        <w:rPr>
          <w:rFonts w:hint="cs"/>
          <w:sz w:val="27"/>
          <w:rtl/>
          <w:lang w:bidi="ar-IQ"/>
        </w:rPr>
        <w:t xml:space="preserve"> ومنه</w:t>
      </w:r>
      <w:r w:rsidR="00502AC2" w:rsidRPr="00904FCB">
        <w:rPr>
          <w:rFonts w:hint="cs"/>
          <w:sz w:val="27"/>
          <w:rtl/>
          <w:lang w:bidi="ar-IQ"/>
        </w:rPr>
        <w:t>:</w:t>
      </w:r>
      <w:r w:rsidRPr="00904FCB">
        <w:rPr>
          <w:rFonts w:hint="cs"/>
          <w:sz w:val="27"/>
          <w:rtl/>
          <w:lang w:bidi="ar-IQ"/>
        </w:rPr>
        <w:t xml:space="preserve"> علم </w:t>
      </w:r>
      <w:r w:rsidR="00502AC2" w:rsidRPr="00904FCB">
        <w:rPr>
          <w:rFonts w:hint="cs"/>
          <w:sz w:val="27"/>
          <w:rtl/>
          <w:lang w:bidi="ar-IQ"/>
        </w:rPr>
        <w:t>أ</w:t>
      </w:r>
      <w:r w:rsidRPr="00904FCB">
        <w:rPr>
          <w:rFonts w:hint="cs"/>
          <w:sz w:val="27"/>
          <w:rtl/>
          <w:lang w:bidi="ar-IQ"/>
        </w:rPr>
        <w:t>صول الفقه</w:t>
      </w:r>
      <w:r w:rsidR="00502AC2" w:rsidRPr="00904FCB">
        <w:rPr>
          <w:rFonts w:hint="cs"/>
          <w:sz w:val="27"/>
          <w:rtl/>
          <w:lang w:bidi="ar-IQ"/>
        </w:rPr>
        <w:t>،</w:t>
      </w:r>
      <w:r w:rsidRPr="00904FCB">
        <w:rPr>
          <w:rFonts w:hint="cs"/>
          <w:sz w:val="27"/>
          <w:rtl/>
          <w:lang w:bidi="ar-IQ"/>
        </w:rPr>
        <w:t xml:space="preserve"> </w:t>
      </w:r>
      <w:r w:rsidR="00502AC2" w:rsidRPr="00904FCB">
        <w:rPr>
          <w:rFonts w:hint="cs"/>
          <w:sz w:val="27"/>
          <w:rtl/>
          <w:lang w:bidi="ar-IQ"/>
        </w:rPr>
        <w:t>أ</w:t>
      </w:r>
      <w:r w:rsidRPr="00904FCB">
        <w:rPr>
          <w:rFonts w:hint="cs"/>
          <w:sz w:val="27"/>
          <w:rtl/>
          <w:lang w:bidi="ar-IQ"/>
        </w:rPr>
        <w:t>ي المصادر ال</w:t>
      </w:r>
      <w:r w:rsidR="00502AC2" w:rsidRPr="00904FCB">
        <w:rPr>
          <w:rFonts w:hint="cs"/>
          <w:sz w:val="27"/>
          <w:rtl/>
          <w:lang w:bidi="ar-IQ"/>
        </w:rPr>
        <w:t>أ</w:t>
      </w:r>
      <w:r w:rsidRPr="00904FCB">
        <w:rPr>
          <w:rFonts w:hint="cs"/>
          <w:sz w:val="27"/>
          <w:rtl/>
          <w:lang w:bidi="ar-IQ"/>
        </w:rPr>
        <w:t>ساسية التي يستقي منها التشريع ال</w:t>
      </w:r>
      <w:r w:rsidR="00502AC2" w:rsidRPr="00904FCB">
        <w:rPr>
          <w:rFonts w:hint="cs"/>
          <w:sz w:val="27"/>
          <w:rtl/>
          <w:lang w:bidi="ar-IQ"/>
        </w:rPr>
        <w:t>إ</w:t>
      </w:r>
      <w:r w:rsidRPr="00904FCB">
        <w:rPr>
          <w:rFonts w:hint="cs"/>
          <w:sz w:val="27"/>
          <w:rtl/>
          <w:lang w:bidi="ar-IQ"/>
        </w:rPr>
        <w:t>سلامي</w:t>
      </w:r>
      <w:r w:rsidR="00502AC2" w:rsidRPr="00904FCB">
        <w:rPr>
          <w:rFonts w:hint="cs"/>
          <w:sz w:val="27"/>
          <w:rtl/>
          <w:lang w:bidi="ar-IQ"/>
        </w:rPr>
        <w:t xml:space="preserve">، </w:t>
      </w:r>
      <w:r w:rsidRPr="00904FCB">
        <w:rPr>
          <w:rFonts w:hint="cs"/>
          <w:sz w:val="27"/>
          <w:rtl/>
          <w:lang w:bidi="ar-IQ"/>
        </w:rPr>
        <w:t>أو هو قوانين الاستنباط ال</w:t>
      </w:r>
      <w:r w:rsidR="00502AC2" w:rsidRPr="00904FCB">
        <w:rPr>
          <w:rFonts w:hint="cs"/>
          <w:sz w:val="27"/>
          <w:rtl/>
          <w:lang w:bidi="ar-IQ"/>
        </w:rPr>
        <w:t>أ</w:t>
      </w:r>
      <w:r w:rsidRPr="00904FCB">
        <w:rPr>
          <w:rFonts w:hint="cs"/>
          <w:sz w:val="27"/>
          <w:rtl/>
          <w:lang w:bidi="ar-IQ"/>
        </w:rPr>
        <w:t>ساسية للفقه ال</w:t>
      </w:r>
      <w:r w:rsidR="00502AC2" w:rsidRPr="00904FCB">
        <w:rPr>
          <w:rFonts w:hint="cs"/>
          <w:sz w:val="27"/>
          <w:rtl/>
          <w:lang w:bidi="ar-IQ"/>
        </w:rPr>
        <w:t>إ</w:t>
      </w:r>
      <w:r w:rsidRPr="00904FCB">
        <w:rPr>
          <w:rFonts w:hint="cs"/>
          <w:sz w:val="27"/>
          <w:rtl/>
          <w:lang w:bidi="ar-IQ"/>
        </w:rPr>
        <w:t>سلامي</w:t>
      </w:r>
      <w:r w:rsidR="00502AC2" w:rsidRPr="00904FCB">
        <w:rPr>
          <w:rFonts w:hint="cs"/>
          <w:sz w:val="27"/>
          <w:rtl/>
          <w:lang w:bidi="ar-IQ"/>
        </w:rPr>
        <w:t>.</w:t>
      </w:r>
      <w:r w:rsidRPr="00904FCB">
        <w:rPr>
          <w:rFonts w:hint="cs"/>
          <w:sz w:val="27"/>
          <w:rtl/>
          <w:lang w:bidi="ar-IQ"/>
        </w:rPr>
        <w:t xml:space="preserve"> ولم نجد في تراثنا العربي المعنى المستعمل حالياً لل</w:t>
      </w:r>
      <w:r w:rsidR="00502AC2" w:rsidRPr="00904FCB">
        <w:rPr>
          <w:rFonts w:hint="cs"/>
          <w:sz w:val="27"/>
          <w:rtl/>
          <w:lang w:bidi="ar-IQ"/>
        </w:rPr>
        <w:t>أ</w:t>
      </w:r>
      <w:r w:rsidRPr="00904FCB">
        <w:rPr>
          <w:rFonts w:hint="cs"/>
          <w:sz w:val="27"/>
          <w:rtl/>
          <w:lang w:bidi="ar-IQ"/>
        </w:rPr>
        <w:t>صولية</w:t>
      </w:r>
      <w:r w:rsidR="00502AC2" w:rsidRPr="00904FCB">
        <w:rPr>
          <w:rFonts w:hint="cs"/>
          <w:sz w:val="27"/>
          <w:rtl/>
          <w:lang w:bidi="ar-IQ"/>
        </w:rPr>
        <w:t>.</w:t>
      </w:r>
      <w:r w:rsidRPr="00904FCB">
        <w:rPr>
          <w:rFonts w:hint="cs"/>
          <w:sz w:val="27"/>
          <w:rtl/>
          <w:lang w:bidi="ar-IQ"/>
        </w:rPr>
        <w:t xml:space="preserve"> فمصطلح ال</w:t>
      </w:r>
      <w:r w:rsidR="00502AC2" w:rsidRPr="00904FCB">
        <w:rPr>
          <w:rFonts w:hint="cs"/>
          <w:sz w:val="27"/>
          <w:rtl/>
          <w:lang w:bidi="ar-IQ"/>
        </w:rPr>
        <w:t>أ</w:t>
      </w:r>
      <w:r w:rsidRPr="00904FCB">
        <w:rPr>
          <w:rFonts w:hint="cs"/>
          <w:sz w:val="27"/>
          <w:rtl/>
          <w:lang w:bidi="ar-IQ"/>
        </w:rPr>
        <w:t>صولية الذي يستعمل اليوم مصطلح</w:t>
      </w:r>
      <w:r w:rsidR="00502AC2" w:rsidRPr="00904FCB">
        <w:rPr>
          <w:rFonts w:hint="cs"/>
          <w:sz w:val="27"/>
          <w:rtl/>
          <w:lang w:bidi="ar-IQ"/>
        </w:rPr>
        <w:t>ٌ</w:t>
      </w:r>
      <w:r w:rsidRPr="00904FCB">
        <w:rPr>
          <w:rFonts w:hint="cs"/>
          <w:sz w:val="27"/>
          <w:rtl/>
          <w:lang w:bidi="ar-IQ"/>
        </w:rPr>
        <w:t xml:space="preserve"> نشأ في </w:t>
      </w:r>
      <w:r w:rsidR="00502AC2" w:rsidRPr="00904FCB">
        <w:rPr>
          <w:rFonts w:hint="cs"/>
          <w:sz w:val="27"/>
          <w:rtl/>
          <w:lang w:bidi="ar-IQ"/>
        </w:rPr>
        <w:t>أ</w:t>
      </w:r>
      <w:r w:rsidRPr="00904FCB">
        <w:rPr>
          <w:rFonts w:hint="cs"/>
          <w:sz w:val="27"/>
          <w:rtl/>
          <w:lang w:bidi="ar-IQ"/>
        </w:rPr>
        <w:t>روقة ثقافة الغرب مؤخ</w:t>
      </w:r>
      <w:r w:rsidR="00502AC2" w:rsidRPr="00904FCB">
        <w:rPr>
          <w:rFonts w:hint="cs"/>
          <w:sz w:val="27"/>
          <w:rtl/>
          <w:lang w:bidi="ar-IQ"/>
        </w:rPr>
        <w:t>َّ</w:t>
      </w:r>
      <w:r w:rsidRPr="00904FCB">
        <w:rPr>
          <w:rFonts w:hint="cs"/>
          <w:sz w:val="27"/>
          <w:rtl/>
          <w:lang w:bidi="ar-IQ"/>
        </w:rPr>
        <w:t xml:space="preserve">راً بمعناه الحالي الذي نشأ في رواق ذلك الفكر. </w:t>
      </w:r>
    </w:p>
    <w:p w:rsidR="00952E59" w:rsidRPr="00904FCB" w:rsidRDefault="00952E59" w:rsidP="00006ECF">
      <w:pPr>
        <w:spacing w:line="400" w:lineRule="exact"/>
        <w:rPr>
          <w:sz w:val="27"/>
          <w:rtl/>
          <w:lang w:bidi="ar-IQ"/>
        </w:rPr>
      </w:pPr>
      <w:r w:rsidRPr="00904FCB">
        <w:rPr>
          <w:rFonts w:hint="cs"/>
          <w:sz w:val="27"/>
          <w:rtl/>
          <w:lang w:bidi="ar-IQ"/>
        </w:rPr>
        <w:t>يقول جيل ك</w:t>
      </w:r>
      <w:r w:rsidR="00006ECF" w:rsidRPr="00904FCB">
        <w:rPr>
          <w:rFonts w:hint="cs"/>
          <w:sz w:val="27"/>
          <w:rtl/>
          <w:lang w:bidi="ar-IQ"/>
        </w:rPr>
        <w:t>ي</w:t>
      </w:r>
      <w:r w:rsidRPr="00904FCB">
        <w:rPr>
          <w:rFonts w:hint="cs"/>
          <w:sz w:val="27"/>
          <w:rtl/>
          <w:lang w:bidi="ar-IQ"/>
        </w:rPr>
        <w:t>بل: لقد ظهر المصطلح على أثر نشر سلسلة من اثني عشر مجلداً في الولايات المتحدة بين (</w:t>
      </w:r>
      <w:r w:rsidRPr="009B1673">
        <w:rPr>
          <w:rFonts w:hint="cs"/>
          <w:sz w:val="27"/>
          <w:rtl/>
          <w:lang w:bidi="ar-IQ"/>
        </w:rPr>
        <w:t>1910</w:t>
      </w:r>
      <w:r w:rsidR="0061318F" w:rsidRPr="00904FCB">
        <w:rPr>
          <w:rFonts w:hint="cs"/>
          <w:sz w:val="27"/>
          <w:rtl/>
          <w:lang w:bidi="ar-IQ"/>
        </w:rPr>
        <w:t xml:space="preserve"> ـ </w:t>
      </w:r>
      <w:r w:rsidRPr="009B1673">
        <w:rPr>
          <w:rFonts w:hint="cs"/>
          <w:sz w:val="27"/>
          <w:rtl/>
          <w:lang w:bidi="ar-IQ"/>
        </w:rPr>
        <w:t>1915</w:t>
      </w:r>
      <w:r w:rsidRPr="00904FCB">
        <w:rPr>
          <w:rFonts w:hint="cs"/>
          <w:sz w:val="27"/>
          <w:rtl/>
          <w:lang w:bidi="ar-IQ"/>
        </w:rPr>
        <w:t>)</w:t>
      </w:r>
      <w:r w:rsidR="0061318F" w:rsidRPr="00904FCB">
        <w:rPr>
          <w:rFonts w:hint="cs"/>
          <w:sz w:val="27"/>
          <w:rtl/>
          <w:lang w:bidi="ar-IQ"/>
        </w:rPr>
        <w:t>،</w:t>
      </w:r>
      <w:r w:rsidRPr="00904FCB">
        <w:rPr>
          <w:rFonts w:hint="cs"/>
          <w:sz w:val="27"/>
          <w:rtl/>
          <w:lang w:bidi="ar-IQ"/>
        </w:rPr>
        <w:t xml:space="preserve"> تحت عنوان ال</w:t>
      </w:r>
      <w:r w:rsidR="0061318F" w:rsidRPr="00904FCB">
        <w:rPr>
          <w:rFonts w:hint="cs"/>
          <w:sz w:val="27"/>
          <w:rtl/>
          <w:lang w:bidi="ar-IQ"/>
        </w:rPr>
        <w:t>أ</w:t>
      </w:r>
      <w:r w:rsidRPr="00904FCB">
        <w:rPr>
          <w:rFonts w:hint="cs"/>
          <w:sz w:val="27"/>
          <w:rtl/>
          <w:lang w:bidi="ar-IQ"/>
        </w:rPr>
        <w:t>صول</w:t>
      </w:r>
      <w:r w:rsidR="0061318F" w:rsidRPr="00904FCB">
        <w:rPr>
          <w:rFonts w:hint="cs"/>
          <w:sz w:val="27"/>
          <w:rtl/>
          <w:lang w:bidi="ar-IQ"/>
        </w:rPr>
        <w:t>.</w:t>
      </w:r>
      <w:r w:rsidRPr="00904FCB">
        <w:rPr>
          <w:rFonts w:hint="cs"/>
          <w:sz w:val="27"/>
          <w:rtl/>
          <w:lang w:bidi="ar-IQ"/>
        </w:rPr>
        <w:t xml:space="preserve"> وكانت تلك المجلدات تضم</w:t>
      </w:r>
      <w:r w:rsidR="0061318F" w:rsidRPr="00904FCB">
        <w:rPr>
          <w:rFonts w:hint="cs"/>
          <w:sz w:val="27"/>
          <w:rtl/>
          <w:lang w:bidi="ar-IQ"/>
        </w:rPr>
        <w:t>ّ</w:t>
      </w:r>
      <w:r w:rsidRPr="00904FCB">
        <w:rPr>
          <w:rFonts w:hint="cs"/>
          <w:sz w:val="27"/>
          <w:rtl/>
          <w:lang w:bidi="ar-IQ"/>
        </w:rPr>
        <w:t xml:space="preserve"> تسعين مقالة حر</w:t>
      </w:r>
      <w:r w:rsidR="0061318F" w:rsidRPr="00904FCB">
        <w:rPr>
          <w:rFonts w:hint="cs"/>
          <w:sz w:val="27"/>
          <w:rtl/>
          <w:lang w:bidi="ar-IQ"/>
        </w:rPr>
        <w:t>َّ</w:t>
      </w:r>
      <w:r w:rsidRPr="00904FCB">
        <w:rPr>
          <w:rFonts w:hint="cs"/>
          <w:sz w:val="27"/>
          <w:rtl/>
          <w:lang w:bidi="ar-IQ"/>
        </w:rPr>
        <w:t>رها اللاهوتيون البروتستانت المعارضون للمصالحة مع الحداثة</w:t>
      </w:r>
      <w:r w:rsidRPr="00904FCB">
        <w:rPr>
          <w:rFonts w:hint="cs"/>
          <w:sz w:val="27"/>
          <w:vertAlign w:val="superscript"/>
          <w:rtl/>
          <w:lang w:bidi="ar-IQ"/>
        </w:rPr>
        <w:t>(</w:t>
      </w:r>
      <w:r w:rsidRPr="00904FCB">
        <w:rPr>
          <w:rStyle w:val="ac"/>
          <w:sz w:val="27"/>
          <w:rtl/>
          <w:lang w:bidi="ar-IQ"/>
        </w:rPr>
        <w:endnoteReference w:id="281"/>
      </w:r>
      <w:r w:rsidRPr="00904FCB">
        <w:rPr>
          <w:rFonts w:hint="cs"/>
          <w:sz w:val="27"/>
          <w:vertAlign w:val="superscript"/>
          <w:rtl/>
          <w:lang w:bidi="ar-IQ"/>
        </w:rPr>
        <w:t>)</w:t>
      </w:r>
      <w:r w:rsidR="0061318F" w:rsidRPr="00904FCB">
        <w:rPr>
          <w:rFonts w:hint="cs"/>
          <w:sz w:val="27"/>
          <w:rtl/>
          <w:lang w:bidi="ar-IQ"/>
        </w:rPr>
        <w:t>.</w:t>
      </w:r>
      <w:r w:rsidRPr="00904FCB">
        <w:rPr>
          <w:rFonts w:hint="cs"/>
          <w:sz w:val="27"/>
          <w:vertAlign w:val="superscript"/>
          <w:rtl/>
          <w:lang w:bidi="ar-IQ"/>
        </w:rPr>
        <w:t xml:space="preserve"> </w:t>
      </w:r>
      <w:r w:rsidRPr="00904FCB">
        <w:rPr>
          <w:rFonts w:hint="cs"/>
          <w:sz w:val="27"/>
          <w:rtl/>
          <w:lang w:bidi="ar-IQ"/>
        </w:rPr>
        <w:t>وقد استخدمت هذه الرسائل لتبيان العناصر التقليدية للعقيدة المسيحية</w:t>
      </w:r>
      <w:r w:rsidR="0061318F" w:rsidRPr="00904FCB">
        <w:rPr>
          <w:rFonts w:hint="cs"/>
          <w:sz w:val="27"/>
          <w:rtl/>
          <w:lang w:bidi="ar-IQ"/>
        </w:rPr>
        <w:t>،</w:t>
      </w:r>
      <w:r w:rsidRPr="00904FCB">
        <w:rPr>
          <w:rFonts w:hint="cs"/>
          <w:sz w:val="27"/>
          <w:rtl/>
          <w:lang w:bidi="ar-IQ"/>
        </w:rPr>
        <w:t xml:space="preserve"> والثوابت التي يراها ال</w:t>
      </w:r>
      <w:r w:rsidR="0061318F" w:rsidRPr="00904FCB">
        <w:rPr>
          <w:rFonts w:hint="cs"/>
          <w:sz w:val="27"/>
          <w:rtl/>
          <w:lang w:bidi="ar-IQ"/>
        </w:rPr>
        <w:t>أ</w:t>
      </w:r>
      <w:r w:rsidRPr="00904FCB">
        <w:rPr>
          <w:rFonts w:hint="cs"/>
          <w:sz w:val="27"/>
          <w:rtl/>
          <w:lang w:bidi="ar-IQ"/>
        </w:rPr>
        <w:t xml:space="preserve">صوليون </w:t>
      </w:r>
      <w:r w:rsidR="0061318F" w:rsidRPr="00904FCB">
        <w:rPr>
          <w:rFonts w:hint="cs"/>
          <w:sz w:val="27"/>
          <w:rtl/>
          <w:lang w:bidi="ar-IQ"/>
        </w:rPr>
        <w:t>أ</w:t>
      </w:r>
      <w:r w:rsidRPr="00904FCB">
        <w:rPr>
          <w:rFonts w:hint="cs"/>
          <w:sz w:val="27"/>
          <w:rtl/>
          <w:lang w:bidi="ar-IQ"/>
        </w:rPr>
        <w:t>ركان</w:t>
      </w:r>
      <w:r w:rsidR="0061318F" w:rsidRPr="00904FCB">
        <w:rPr>
          <w:rFonts w:hint="cs"/>
          <w:sz w:val="27"/>
          <w:rtl/>
          <w:lang w:bidi="ar-IQ"/>
        </w:rPr>
        <w:t>َ</w:t>
      </w:r>
      <w:r w:rsidRPr="00904FCB">
        <w:rPr>
          <w:rFonts w:hint="cs"/>
          <w:sz w:val="27"/>
          <w:rtl/>
          <w:lang w:bidi="ar-IQ"/>
        </w:rPr>
        <w:t xml:space="preserve"> المسيحية ال</w:t>
      </w:r>
      <w:r w:rsidR="0061318F" w:rsidRPr="00904FCB">
        <w:rPr>
          <w:rFonts w:hint="cs"/>
          <w:sz w:val="27"/>
          <w:rtl/>
          <w:lang w:bidi="ar-IQ"/>
        </w:rPr>
        <w:t>أ</w:t>
      </w:r>
      <w:r w:rsidRPr="00904FCB">
        <w:rPr>
          <w:rFonts w:hint="cs"/>
          <w:sz w:val="27"/>
          <w:rtl/>
          <w:lang w:bidi="ar-IQ"/>
        </w:rPr>
        <w:t>ولى</w:t>
      </w:r>
      <w:r w:rsidR="0061318F" w:rsidRPr="00904FCB">
        <w:rPr>
          <w:rFonts w:hint="cs"/>
          <w:sz w:val="27"/>
          <w:rtl/>
          <w:lang w:bidi="ar-IQ"/>
        </w:rPr>
        <w:t>.</w:t>
      </w:r>
      <w:r w:rsidRPr="00904FCB">
        <w:rPr>
          <w:rFonts w:hint="cs"/>
          <w:sz w:val="27"/>
          <w:rtl/>
          <w:lang w:bidi="ar-IQ"/>
        </w:rPr>
        <w:t xml:space="preserve"> وبذلك يؤك</w:t>
      </w:r>
      <w:r w:rsidR="0061318F" w:rsidRPr="00904FCB">
        <w:rPr>
          <w:rFonts w:hint="cs"/>
          <w:sz w:val="27"/>
          <w:rtl/>
          <w:lang w:bidi="ar-IQ"/>
        </w:rPr>
        <w:t>ِّ</w:t>
      </w:r>
      <w:r w:rsidRPr="00904FCB">
        <w:rPr>
          <w:rFonts w:hint="cs"/>
          <w:sz w:val="27"/>
          <w:rtl/>
          <w:lang w:bidi="ar-IQ"/>
        </w:rPr>
        <w:t xml:space="preserve">د كيبل </w:t>
      </w:r>
      <w:r w:rsidR="0061318F" w:rsidRPr="00904FCB">
        <w:rPr>
          <w:rFonts w:hint="cs"/>
          <w:sz w:val="27"/>
          <w:rtl/>
          <w:lang w:bidi="ar-IQ"/>
        </w:rPr>
        <w:t>أنّ</w:t>
      </w:r>
      <w:r w:rsidRPr="00904FCB">
        <w:rPr>
          <w:rFonts w:hint="cs"/>
          <w:sz w:val="27"/>
          <w:rtl/>
          <w:lang w:bidi="ar-IQ"/>
        </w:rPr>
        <w:t xml:space="preserve"> المصطلح نشأ في رواق الفكر الغربي</w:t>
      </w:r>
      <w:r w:rsidR="0061318F" w:rsidRPr="00904FCB">
        <w:rPr>
          <w:rFonts w:hint="cs"/>
          <w:sz w:val="27"/>
          <w:rtl/>
          <w:lang w:bidi="ar-IQ"/>
        </w:rPr>
        <w:t>،</w:t>
      </w:r>
      <w:r w:rsidRPr="00904FCB">
        <w:rPr>
          <w:rFonts w:hint="cs"/>
          <w:sz w:val="27"/>
          <w:rtl/>
          <w:lang w:bidi="ar-IQ"/>
        </w:rPr>
        <w:t xml:space="preserve"> وأحضان الفكر الديني المسيحي، ثم</w:t>
      </w:r>
      <w:r w:rsidR="0061318F" w:rsidRPr="00904FCB">
        <w:rPr>
          <w:rFonts w:hint="cs"/>
          <w:sz w:val="27"/>
          <w:rtl/>
          <w:lang w:bidi="ar-IQ"/>
        </w:rPr>
        <w:t>ّ</w:t>
      </w:r>
      <w:r w:rsidRPr="00904FCB">
        <w:rPr>
          <w:rFonts w:hint="cs"/>
          <w:sz w:val="27"/>
          <w:rtl/>
          <w:lang w:bidi="ar-IQ"/>
        </w:rPr>
        <w:t xml:space="preserve"> نقل من ثقافة الغرب </w:t>
      </w:r>
      <w:r w:rsidR="0061318F" w:rsidRPr="00904FCB">
        <w:rPr>
          <w:rFonts w:hint="cs"/>
          <w:sz w:val="27"/>
          <w:rtl/>
          <w:lang w:bidi="ar-IQ"/>
        </w:rPr>
        <w:t>إ</w:t>
      </w:r>
      <w:r w:rsidRPr="00904FCB">
        <w:rPr>
          <w:rFonts w:hint="cs"/>
          <w:sz w:val="27"/>
          <w:rtl/>
          <w:lang w:bidi="ar-IQ"/>
        </w:rPr>
        <w:t>لى الواقع المعرفي ال</w:t>
      </w:r>
      <w:r w:rsidR="0061318F" w:rsidRPr="00904FCB">
        <w:rPr>
          <w:rFonts w:hint="cs"/>
          <w:sz w:val="27"/>
          <w:rtl/>
          <w:lang w:bidi="ar-IQ"/>
        </w:rPr>
        <w:t>إسلامي، ليطلق مصطلح</w:t>
      </w:r>
      <w:r w:rsidRPr="00904FCB">
        <w:rPr>
          <w:rFonts w:hint="cs"/>
          <w:sz w:val="27"/>
          <w:rtl/>
          <w:lang w:bidi="ar-IQ"/>
        </w:rPr>
        <w:t>ا</w:t>
      </w:r>
      <w:r w:rsidR="0061318F" w:rsidRPr="00904FCB">
        <w:rPr>
          <w:rFonts w:hint="cs"/>
          <w:sz w:val="27"/>
          <w:rtl/>
          <w:lang w:bidi="ar-IQ"/>
        </w:rPr>
        <w:t>ً</w:t>
      </w:r>
      <w:r w:rsidRPr="00904FCB">
        <w:rPr>
          <w:rFonts w:hint="cs"/>
          <w:sz w:val="27"/>
          <w:rtl/>
          <w:lang w:bidi="ar-IQ"/>
        </w:rPr>
        <w:t xml:space="preserve"> على الجماعات ال</w:t>
      </w:r>
      <w:r w:rsidR="0061318F" w:rsidRPr="00904FCB">
        <w:rPr>
          <w:rFonts w:hint="cs"/>
          <w:sz w:val="27"/>
          <w:rtl/>
          <w:lang w:bidi="ar-IQ"/>
        </w:rPr>
        <w:t>إ</w:t>
      </w:r>
      <w:r w:rsidRPr="00904FCB">
        <w:rPr>
          <w:rFonts w:hint="cs"/>
          <w:sz w:val="27"/>
          <w:rtl/>
          <w:lang w:bidi="ar-IQ"/>
        </w:rPr>
        <w:t>سلامية التي تتبن</w:t>
      </w:r>
      <w:r w:rsidR="0061318F" w:rsidRPr="00904FCB">
        <w:rPr>
          <w:rFonts w:hint="cs"/>
          <w:sz w:val="27"/>
          <w:rtl/>
          <w:lang w:bidi="ar-IQ"/>
        </w:rPr>
        <w:t>ّ</w:t>
      </w:r>
      <w:r w:rsidRPr="00904FCB">
        <w:rPr>
          <w:rFonts w:hint="cs"/>
          <w:sz w:val="27"/>
          <w:rtl/>
          <w:lang w:bidi="ar-IQ"/>
        </w:rPr>
        <w:t>ى الظواهر المتشد</w:t>
      </w:r>
      <w:r w:rsidR="0061318F" w:rsidRPr="00904FCB">
        <w:rPr>
          <w:rFonts w:hint="cs"/>
          <w:sz w:val="27"/>
          <w:rtl/>
          <w:lang w:bidi="ar-IQ"/>
        </w:rPr>
        <w:t>ِّ</w:t>
      </w:r>
      <w:r w:rsidRPr="00904FCB">
        <w:rPr>
          <w:rFonts w:hint="cs"/>
          <w:sz w:val="27"/>
          <w:rtl/>
          <w:lang w:bidi="ar-IQ"/>
        </w:rPr>
        <w:t>دة في الثقافة ال</w:t>
      </w:r>
      <w:r w:rsidR="0061318F" w:rsidRPr="00904FCB">
        <w:rPr>
          <w:rFonts w:hint="cs"/>
          <w:sz w:val="27"/>
          <w:rtl/>
          <w:lang w:bidi="ar-IQ"/>
        </w:rPr>
        <w:t>إ</w:t>
      </w:r>
      <w:r w:rsidRPr="00904FCB">
        <w:rPr>
          <w:rFonts w:hint="cs"/>
          <w:sz w:val="27"/>
          <w:rtl/>
          <w:lang w:bidi="ar-IQ"/>
        </w:rPr>
        <w:t>سلامية</w:t>
      </w:r>
      <w:r w:rsidR="0061318F" w:rsidRPr="00904FCB">
        <w:rPr>
          <w:rFonts w:hint="cs"/>
          <w:sz w:val="27"/>
          <w:rtl/>
          <w:lang w:bidi="ar-IQ"/>
        </w:rPr>
        <w:t>.</w:t>
      </w:r>
      <w:r w:rsidRPr="00904FCB">
        <w:rPr>
          <w:rFonts w:hint="cs"/>
          <w:sz w:val="27"/>
          <w:rtl/>
          <w:lang w:bidi="ar-IQ"/>
        </w:rPr>
        <w:t xml:space="preserve"> لذلك شكا كثيرون من تعد</w:t>
      </w:r>
      <w:r w:rsidR="0061318F" w:rsidRPr="00904FCB">
        <w:rPr>
          <w:rFonts w:hint="cs"/>
          <w:sz w:val="27"/>
          <w:rtl/>
          <w:lang w:bidi="ar-IQ"/>
        </w:rPr>
        <w:t>ُّ</w:t>
      </w:r>
      <w:r w:rsidRPr="00904FCB">
        <w:rPr>
          <w:rFonts w:hint="cs"/>
          <w:sz w:val="27"/>
          <w:rtl/>
          <w:lang w:bidi="ar-IQ"/>
        </w:rPr>
        <w:t>د التداعيات الدلالية في استعماله كوصف للظواهر الدينية ال</w:t>
      </w:r>
      <w:r w:rsidR="0061318F" w:rsidRPr="00904FCB">
        <w:rPr>
          <w:rFonts w:hint="cs"/>
          <w:sz w:val="27"/>
          <w:rtl/>
          <w:lang w:bidi="ar-IQ"/>
        </w:rPr>
        <w:t>إ</w:t>
      </w:r>
      <w:r w:rsidRPr="00904FCB">
        <w:rPr>
          <w:rFonts w:hint="cs"/>
          <w:sz w:val="27"/>
          <w:rtl/>
          <w:lang w:bidi="ar-IQ"/>
        </w:rPr>
        <w:t>سلامية المتعد</w:t>
      </w:r>
      <w:r w:rsidR="0061318F" w:rsidRPr="00904FCB">
        <w:rPr>
          <w:rFonts w:hint="cs"/>
          <w:sz w:val="27"/>
          <w:rtl/>
          <w:lang w:bidi="ar-IQ"/>
        </w:rPr>
        <w:t>ّ</w:t>
      </w:r>
      <w:r w:rsidRPr="00904FCB">
        <w:rPr>
          <w:rFonts w:hint="cs"/>
          <w:sz w:val="27"/>
          <w:rtl/>
          <w:lang w:bidi="ar-IQ"/>
        </w:rPr>
        <w:t>دة</w:t>
      </w:r>
      <w:r w:rsidRPr="00904FCB">
        <w:rPr>
          <w:rFonts w:hint="cs"/>
          <w:sz w:val="27"/>
          <w:vertAlign w:val="superscript"/>
          <w:rtl/>
          <w:lang w:bidi="ar-IQ"/>
        </w:rPr>
        <w:t>(</w:t>
      </w:r>
      <w:r w:rsidRPr="00904FCB">
        <w:rPr>
          <w:rStyle w:val="ac"/>
          <w:sz w:val="27"/>
          <w:rtl/>
          <w:lang w:bidi="ar-IQ"/>
        </w:rPr>
        <w:endnoteReference w:id="282"/>
      </w:r>
      <w:r w:rsidRPr="00904FCB">
        <w:rPr>
          <w:rFonts w:hint="cs"/>
          <w:sz w:val="27"/>
          <w:vertAlign w:val="superscript"/>
          <w:rtl/>
          <w:lang w:bidi="ar-IQ"/>
        </w:rPr>
        <w:t>)</w:t>
      </w:r>
      <w:r w:rsidRPr="00904FCB">
        <w:rPr>
          <w:rFonts w:hint="cs"/>
          <w:sz w:val="27"/>
          <w:rtl/>
          <w:lang w:bidi="ar-IQ"/>
        </w:rPr>
        <w:t xml:space="preserve">. </w:t>
      </w:r>
    </w:p>
    <w:p w:rsidR="00952E59" w:rsidRPr="00904FCB" w:rsidRDefault="00952E59" w:rsidP="00DC3A4B">
      <w:pPr>
        <w:spacing w:line="400" w:lineRule="exact"/>
        <w:rPr>
          <w:sz w:val="27"/>
          <w:rtl/>
          <w:lang w:bidi="ar-IQ"/>
        </w:rPr>
      </w:pPr>
      <w:r w:rsidRPr="00904FCB">
        <w:rPr>
          <w:rFonts w:hint="cs"/>
          <w:sz w:val="27"/>
          <w:rtl/>
          <w:lang w:bidi="ar-IQ"/>
        </w:rPr>
        <w:t>ولتغاير الثقافتين الغربية وال</w:t>
      </w:r>
      <w:r w:rsidR="0061318F" w:rsidRPr="00904FCB">
        <w:rPr>
          <w:rFonts w:hint="cs"/>
          <w:sz w:val="27"/>
          <w:rtl/>
          <w:lang w:bidi="ar-IQ"/>
        </w:rPr>
        <w:t>إ</w:t>
      </w:r>
      <w:r w:rsidRPr="00904FCB">
        <w:rPr>
          <w:rFonts w:hint="cs"/>
          <w:sz w:val="27"/>
          <w:rtl/>
          <w:lang w:bidi="ar-IQ"/>
        </w:rPr>
        <w:t>سلامية</w:t>
      </w:r>
      <w:r w:rsidR="0061318F" w:rsidRPr="00904FCB">
        <w:rPr>
          <w:rFonts w:hint="cs"/>
          <w:sz w:val="27"/>
          <w:rtl/>
          <w:lang w:bidi="ar-IQ"/>
        </w:rPr>
        <w:t>،</w:t>
      </w:r>
      <w:r w:rsidRPr="00904FCB">
        <w:rPr>
          <w:rFonts w:hint="cs"/>
          <w:sz w:val="27"/>
          <w:rtl/>
          <w:lang w:bidi="ar-IQ"/>
        </w:rPr>
        <w:t xml:space="preserve"> ولاختلاف نشأة المصطلح ومجاله التداولي</w:t>
      </w:r>
      <w:r w:rsidR="0061318F" w:rsidRPr="00904FCB">
        <w:rPr>
          <w:rFonts w:hint="cs"/>
          <w:sz w:val="27"/>
          <w:rtl/>
          <w:lang w:bidi="ar-IQ"/>
        </w:rPr>
        <w:t>، فقد صار معناه متغير</w:t>
      </w:r>
      <w:r w:rsidRPr="00904FCB">
        <w:rPr>
          <w:rFonts w:hint="cs"/>
          <w:sz w:val="27"/>
          <w:rtl/>
          <w:lang w:bidi="ar-IQ"/>
        </w:rPr>
        <w:t>ا</w:t>
      </w:r>
      <w:r w:rsidR="0061318F" w:rsidRPr="00904FCB">
        <w:rPr>
          <w:rFonts w:hint="cs"/>
          <w:sz w:val="27"/>
          <w:rtl/>
          <w:lang w:bidi="ar-IQ"/>
        </w:rPr>
        <w:t>ً متفاوت</w:t>
      </w:r>
      <w:r w:rsidRPr="00904FCB">
        <w:rPr>
          <w:rFonts w:hint="cs"/>
          <w:sz w:val="27"/>
          <w:rtl/>
          <w:lang w:bidi="ar-IQ"/>
        </w:rPr>
        <w:t>ا</w:t>
      </w:r>
      <w:r w:rsidR="0061318F" w:rsidRPr="00904FCB">
        <w:rPr>
          <w:rFonts w:hint="cs"/>
          <w:sz w:val="27"/>
          <w:rtl/>
          <w:lang w:bidi="ar-IQ"/>
        </w:rPr>
        <w:t>ً</w:t>
      </w:r>
      <w:r w:rsidRPr="00904FCB">
        <w:rPr>
          <w:rFonts w:hint="cs"/>
          <w:sz w:val="27"/>
          <w:rtl/>
          <w:lang w:bidi="ar-IQ"/>
        </w:rPr>
        <w:t xml:space="preserve"> بحسب الاستعمال (</w:t>
      </w:r>
      <w:r w:rsidR="0061318F" w:rsidRPr="00904FCB">
        <w:rPr>
          <w:rFonts w:hint="cs"/>
          <w:sz w:val="27"/>
          <w:rtl/>
          <w:lang w:bidi="ar-IQ"/>
        </w:rPr>
        <w:t>إ</w:t>
      </w:r>
      <w:r w:rsidRPr="00904FCB">
        <w:rPr>
          <w:rFonts w:hint="cs"/>
          <w:sz w:val="27"/>
          <w:rtl/>
          <w:lang w:bidi="ar-IQ"/>
        </w:rPr>
        <w:t>رادة الخطاب)</w:t>
      </w:r>
      <w:r w:rsidRPr="00904FCB">
        <w:rPr>
          <w:rFonts w:hint="cs"/>
          <w:sz w:val="27"/>
          <w:vertAlign w:val="superscript"/>
          <w:rtl/>
          <w:lang w:bidi="ar-IQ"/>
        </w:rPr>
        <w:t>(</w:t>
      </w:r>
      <w:r w:rsidRPr="00904FCB">
        <w:rPr>
          <w:rStyle w:val="ac"/>
          <w:sz w:val="27"/>
          <w:rtl/>
          <w:lang w:bidi="ar-IQ"/>
        </w:rPr>
        <w:endnoteReference w:id="283"/>
      </w:r>
      <w:r w:rsidRPr="00904FCB">
        <w:rPr>
          <w:rFonts w:hint="cs"/>
          <w:sz w:val="27"/>
          <w:vertAlign w:val="superscript"/>
          <w:rtl/>
          <w:lang w:bidi="ar-IQ"/>
        </w:rPr>
        <w:t>)</w:t>
      </w:r>
      <w:r w:rsidR="0061318F" w:rsidRPr="00904FCB">
        <w:rPr>
          <w:rFonts w:hint="cs"/>
          <w:sz w:val="27"/>
          <w:rtl/>
          <w:lang w:bidi="ar-IQ"/>
        </w:rPr>
        <w:t>.</w:t>
      </w:r>
      <w:r w:rsidRPr="00904FCB">
        <w:rPr>
          <w:rFonts w:hint="cs"/>
          <w:sz w:val="27"/>
          <w:vertAlign w:val="superscript"/>
          <w:rtl/>
          <w:lang w:bidi="ar-IQ"/>
        </w:rPr>
        <w:t xml:space="preserve"> </w:t>
      </w:r>
      <w:r w:rsidRPr="00904FCB">
        <w:rPr>
          <w:rFonts w:hint="cs"/>
          <w:sz w:val="27"/>
          <w:rtl/>
          <w:lang w:bidi="ar-IQ"/>
        </w:rPr>
        <w:t xml:space="preserve">ففي </w:t>
      </w:r>
      <w:r w:rsidR="0061318F" w:rsidRPr="00904FCB">
        <w:rPr>
          <w:rFonts w:hint="cs"/>
          <w:sz w:val="27"/>
          <w:rtl/>
          <w:lang w:bidi="ar-IQ"/>
        </w:rPr>
        <w:lastRenderedPageBreak/>
        <w:t>أ</w:t>
      </w:r>
      <w:r w:rsidRPr="00904FCB">
        <w:rPr>
          <w:rFonts w:hint="cs"/>
          <w:sz w:val="27"/>
          <w:rtl/>
          <w:lang w:bidi="ar-IQ"/>
        </w:rPr>
        <w:t>مريكا</w:t>
      </w:r>
      <w:r w:rsidR="00DC3A4B">
        <w:rPr>
          <w:rFonts w:hint="cs"/>
          <w:sz w:val="27"/>
          <w:rtl/>
          <w:lang w:bidi="ar-IQ"/>
        </w:rPr>
        <w:t xml:space="preserve"> كان معناه اسماً</w:t>
      </w:r>
      <w:r w:rsidRPr="00904FCB">
        <w:rPr>
          <w:rFonts w:hint="cs"/>
          <w:sz w:val="27"/>
          <w:rtl/>
          <w:lang w:bidi="ar-IQ"/>
        </w:rPr>
        <w:t xml:space="preserve"> ل</w:t>
      </w:r>
      <w:r w:rsidR="0061318F" w:rsidRPr="00904FCB">
        <w:rPr>
          <w:rFonts w:hint="cs"/>
          <w:sz w:val="27"/>
          <w:rtl/>
          <w:lang w:bidi="ar-IQ"/>
        </w:rPr>
        <w:t>أو</w:t>
      </w:r>
      <w:r w:rsidRPr="00904FCB">
        <w:rPr>
          <w:rFonts w:hint="cs"/>
          <w:sz w:val="27"/>
          <w:rtl/>
          <w:lang w:bidi="ar-IQ"/>
        </w:rPr>
        <w:t>لئك الذين آمنوا والتزموا بما جاء بالسلسلة التي صدرت مطلع القرن الماضي</w:t>
      </w:r>
      <w:r w:rsidR="0061318F" w:rsidRPr="00904FCB">
        <w:rPr>
          <w:rFonts w:hint="cs"/>
          <w:sz w:val="27"/>
          <w:rtl/>
          <w:lang w:bidi="ar-IQ"/>
        </w:rPr>
        <w:t>،</w:t>
      </w:r>
      <w:r w:rsidRPr="00904FCB">
        <w:rPr>
          <w:rFonts w:hint="cs"/>
          <w:sz w:val="27"/>
          <w:rtl/>
          <w:lang w:bidi="ar-IQ"/>
        </w:rPr>
        <w:t xml:space="preserve"> وتكو</w:t>
      </w:r>
      <w:r w:rsidR="0061318F" w:rsidRPr="00904FCB">
        <w:rPr>
          <w:rFonts w:hint="cs"/>
          <w:sz w:val="27"/>
          <w:rtl/>
          <w:lang w:bidi="ar-IQ"/>
        </w:rPr>
        <w:t>ّ</w:t>
      </w:r>
      <w:r w:rsidRPr="00904FCB">
        <w:rPr>
          <w:rFonts w:hint="cs"/>
          <w:sz w:val="27"/>
          <w:rtl/>
          <w:lang w:bidi="ar-IQ"/>
        </w:rPr>
        <w:t xml:space="preserve">نت </w:t>
      </w:r>
      <w:r w:rsidR="0061318F" w:rsidRPr="00904FCB">
        <w:rPr>
          <w:rFonts w:hint="cs"/>
          <w:sz w:val="27"/>
          <w:rtl/>
          <w:lang w:bidi="ar-IQ"/>
        </w:rPr>
        <w:t>أف</w:t>
      </w:r>
      <w:r w:rsidRPr="00904FCB">
        <w:rPr>
          <w:rFonts w:hint="cs"/>
          <w:sz w:val="27"/>
          <w:rtl/>
          <w:lang w:bidi="ar-IQ"/>
        </w:rPr>
        <w:t>كارهم ورؤاهم بناء عليها</w:t>
      </w:r>
      <w:r w:rsidR="0061318F" w:rsidRPr="00904FCB">
        <w:rPr>
          <w:rFonts w:hint="cs"/>
          <w:sz w:val="27"/>
          <w:rtl/>
          <w:lang w:bidi="ar-IQ"/>
        </w:rPr>
        <w:t>.</w:t>
      </w:r>
      <w:r w:rsidRPr="00904FCB">
        <w:rPr>
          <w:rFonts w:hint="cs"/>
          <w:sz w:val="27"/>
          <w:rtl/>
          <w:lang w:bidi="ar-IQ"/>
        </w:rPr>
        <w:t xml:space="preserve"> أما في </w:t>
      </w:r>
      <w:r w:rsidR="0061318F" w:rsidRPr="00904FCB">
        <w:rPr>
          <w:rFonts w:hint="cs"/>
          <w:sz w:val="27"/>
          <w:rtl/>
          <w:lang w:bidi="ar-IQ"/>
        </w:rPr>
        <w:t>أ</w:t>
      </w:r>
      <w:r w:rsidRPr="00904FCB">
        <w:rPr>
          <w:rFonts w:hint="cs"/>
          <w:sz w:val="27"/>
          <w:rtl/>
          <w:lang w:bidi="ar-IQ"/>
        </w:rPr>
        <w:t>وروبا الغربية فيرى روجي</w:t>
      </w:r>
      <w:r w:rsidR="0061318F" w:rsidRPr="00904FCB">
        <w:rPr>
          <w:rFonts w:hint="cs"/>
          <w:sz w:val="27"/>
          <w:rtl/>
          <w:lang w:bidi="ar-IQ"/>
        </w:rPr>
        <w:t>ه</w:t>
      </w:r>
      <w:r w:rsidRPr="00904FCB">
        <w:rPr>
          <w:rFonts w:hint="cs"/>
          <w:sz w:val="27"/>
          <w:rtl/>
          <w:lang w:bidi="ar-IQ"/>
        </w:rPr>
        <w:t xml:space="preserve"> </w:t>
      </w:r>
      <w:r w:rsidR="0061318F" w:rsidRPr="00904FCB">
        <w:rPr>
          <w:rFonts w:hint="cs"/>
          <w:sz w:val="27"/>
          <w:rtl/>
          <w:lang w:bidi="ar-IQ"/>
        </w:rPr>
        <w:t>غ</w:t>
      </w:r>
      <w:r w:rsidRPr="00904FCB">
        <w:rPr>
          <w:rFonts w:hint="cs"/>
          <w:sz w:val="27"/>
          <w:rtl/>
          <w:lang w:bidi="ar-IQ"/>
        </w:rPr>
        <w:t>ا</w:t>
      </w:r>
      <w:r w:rsidR="00DC3A4B" w:rsidRPr="00904FCB">
        <w:rPr>
          <w:rFonts w:hint="cs"/>
          <w:sz w:val="27"/>
          <w:rtl/>
          <w:lang w:bidi="ar-IQ"/>
        </w:rPr>
        <w:t>ر</w:t>
      </w:r>
      <w:r w:rsidRPr="00904FCB">
        <w:rPr>
          <w:rFonts w:hint="cs"/>
          <w:sz w:val="27"/>
          <w:rtl/>
          <w:lang w:bidi="ar-IQ"/>
        </w:rPr>
        <w:t>ودي أن المصطلح لم يدرج في المعاجم والقواميس الشهيرة</w:t>
      </w:r>
      <w:r w:rsidR="0061318F" w:rsidRPr="00904FCB">
        <w:rPr>
          <w:rFonts w:hint="cs"/>
          <w:sz w:val="27"/>
          <w:rtl/>
          <w:lang w:bidi="ar-IQ"/>
        </w:rPr>
        <w:t>،</w:t>
      </w:r>
      <w:r w:rsidRPr="00904FCB">
        <w:rPr>
          <w:rFonts w:hint="cs"/>
          <w:sz w:val="27"/>
          <w:rtl/>
          <w:lang w:bidi="ar-IQ"/>
        </w:rPr>
        <w:t xml:space="preserve"> كمعجم روبير الكبير</w:t>
      </w:r>
      <w:r w:rsidR="0061318F" w:rsidRPr="00904FCB">
        <w:rPr>
          <w:rFonts w:hint="cs"/>
          <w:sz w:val="27"/>
          <w:rtl/>
          <w:lang w:bidi="ar-IQ"/>
        </w:rPr>
        <w:t>،</w:t>
      </w:r>
      <w:r w:rsidRPr="00904FCB">
        <w:rPr>
          <w:rFonts w:hint="cs"/>
          <w:sz w:val="27"/>
          <w:rtl/>
          <w:lang w:bidi="ar-IQ"/>
        </w:rPr>
        <w:t xml:space="preserve"> والموسوعة العالمية الفرنسية</w:t>
      </w:r>
      <w:r w:rsidR="0061318F" w:rsidRPr="00904FCB">
        <w:rPr>
          <w:rFonts w:hint="cs"/>
          <w:sz w:val="27"/>
          <w:rtl/>
          <w:lang w:bidi="ar-IQ"/>
        </w:rPr>
        <w:t>،</w:t>
      </w:r>
      <w:r w:rsidRPr="00904FCB">
        <w:rPr>
          <w:rFonts w:hint="cs"/>
          <w:sz w:val="27"/>
          <w:rtl/>
          <w:lang w:bidi="ar-IQ"/>
        </w:rPr>
        <w:t xml:space="preserve"> حت</w:t>
      </w:r>
      <w:r w:rsidR="0061318F" w:rsidRPr="00904FCB">
        <w:rPr>
          <w:rFonts w:hint="cs"/>
          <w:sz w:val="27"/>
          <w:rtl/>
          <w:lang w:bidi="ar-IQ"/>
        </w:rPr>
        <w:t>ّ</w:t>
      </w:r>
      <w:r w:rsidRPr="00904FCB">
        <w:rPr>
          <w:rFonts w:hint="cs"/>
          <w:sz w:val="27"/>
          <w:rtl/>
          <w:lang w:bidi="ar-IQ"/>
        </w:rPr>
        <w:t xml:space="preserve">ى </w:t>
      </w:r>
      <w:r w:rsidRPr="009B1673">
        <w:rPr>
          <w:rFonts w:hint="cs"/>
          <w:sz w:val="27"/>
          <w:rtl/>
          <w:lang w:bidi="ar-IQ"/>
        </w:rPr>
        <w:t>1966</w:t>
      </w:r>
      <w:r w:rsidRPr="00904FCB">
        <w:rPr>
          <w:rFonts w:hint="cs"/>
          <w:sz w:val="27"/>
          <w:rtl/>
          <w:lang w:bidi="ar-IQ"/>
        </w:rPr>
        <w:t xml:space="preserve">، </w:t>
      </w:r>
      <w:r w:rsidR="0061318F" w:rsidRPr="00904FCB">
        <w:rPr>
          <w:rFonts w:hint="cs"/>
          <w:sz w:val="27"/>
          <w:rtl/>
          <w:lang w:bidi="ar-IQ"/>
        </w:rPr>
        <w:t>و</w:t>
      </w:r>
      <w:r w:rsidRPr="00904FCB">
        <w:rPr>
          <w:rFonts w:hint="cs"/>
          <w:sz w:val="27"/>
          <w:rtl/>
          <w:lang w:bidi="ar-IQ"/>
        </w:rPr>
        <w:t>بعدها عرّ</w:t>
      </w:r>
      <w:r w:rsidR="0061318F" w:rsidRPr="00904FCB">
        <w:rPr>
          <w:rFonts w:hint="cs"/>
          <w:sz w:val="27"/>
          <w:rtl/>
          <w:lang w:bidi="ar-IQ"/>
        </w:rPr>
        <w:t>َ</w:t>
      </w:r>
      <w:r w:rsidRPr="00904FCB">
        <w:rPr>
          <w:rFonts w:hint="cs"/>
          <w:sz w:val="27"/>
          <w:rtl/>
          <w:lang w:bidi="ar-IQ"/>
        </w:rPr>
        <w:t xml:space="preserve">فه قاموس لاروس الصغير </w:t>
      </w:r>
      <w:r w:rsidR="0061318F" w:rsidRPr="00904FCB">
        <w:rPr>
          <w:rFonts w:hint="cs"/>
          <w:sz w:val="27"/>
          <w:rtl/>
          <w:lang w:bidi="ar-IQ"/>
        </w:rPr>
        <w:t>بأ</w:t>
      </w:r>
      <w:r w:rsidRPr="00904FCB">
        <w:rPr>
          <w:rFonts w:hint="cs"/>
          <w:sz w:val="27"/>
          <w:rtl/>
          <w:lang w:bidi="ar-IQ"/>
        </w:rPr>
        <w:t xml:space="preserve">نه موقف </w:t>
      </w:r>
      <w:r w:rsidR="0061318F" w:rsidRPr="00904FCB">
        <w:rPr>
          <w:rFonts w:hint="cs"/>
          <w:sz w:val="27"/>
          <w:rtl/>
          <w:lang w:bidi="ar-IQ"/>
        </w:rPr>
        <w:t>أو</w:t>
      </w:r>
      <w:r w:rsidRPr="00904FCB">
        <w:rPr>
          <w:rFonts w:hint="cs"/>
          <w:sz w:val="27"/>
          <w:rtl/>
          <w:lang w:bidi="ar-IQ"/>
        </w:rPr>
        <w:t xml:space="preserve">لئك الذين يرفضون تكييف </w:t>
      </w:r>
      <w:r w:rsidR="0061318F" w:rsidRPr="00904FCB">
        <w:rPr>
          <w:rFonts w:hint="cs"/>
          <w:sz w:val="27"/>
          <w:rtl/>
          <w:lang w:bidi="ar-IQ"/>
        </w:rPr>
        <w:t>أ</w:t>
      </w:r>
      <w:r w:rsidRPr="00904FCB">
        <w:rPr>
          <w:rFonts w:hint="cs"/>
          <w:sz w:val="27"/>
          <w:rtl/>
          <w:lang w:bidi="ar-IQ"/>
        </w:rPr>
        <w:t>ي عقيدة مع الظروف الجديدة</w:t>
      </w:r>
      <w:r w:rsidR="0061318F" w:rsidRPr="00904FCB">
        <w:rPr>
          <w:rFonts w:hint="cs"/>
          <w:sz w:val="27"/>
          <w:rtl/>
          <w:lang w:bidi="ar-IQ"/>
        </w:rPr>
        <w:t>.</w:t>
      </w:r>
      <w:r w:rsidRPr="00904FCB">
        <w:rPr>
          <w:rFonts w:hint="cs"/>
          <w:sz w:val="27"/>
          <w:rtl/>
          <w:lang w:bidi="ar-IQ"/>
        </w:rPr>
        <w:t xml:space="preserve"> وكان قد أطلقه قاموس لاروس على الكاثوليكية</w:t>
      </w:r>
      <w:r w:rsidRPr="00904FCB">
        <w:rPr>
          <w:rFonts w:hint="cs"/>
          <w:sz w:val="27"/>
          <w:vertAlign w:val="superscript"/>
          <w:rtl/>
          <w:lang w:bidi="ar-IQ"/>
        </w:rPr>
        <w:t>(</w:t>
      </w:r>
      <w:r w:rsidRPr="00904FCB">
        <w:rPr>
          <w:rStyle w:val="ac"/>
          <w:sz w:val="27"/>
          <w:rtl/>
          <w:lang w:bidi="ar-IQ"/>
        </w:rPr>
        <w:endnoteReference w:id="284"/>
      </w:r>
      <w:r w:rsidRPr="00904FCB">
        <w:rPr>
          <w:rFonts w:hint="cs"/>
          <w:sz w:val="27"/>
          <w:vertAlign w:val="superscript"/>
          <w:rtl/>
          <w:lang w:bidi="ar-IQ"/>
        </w:rPr>
        <w:t>)</w:t>
      </w:r>
      <w:r w:rsidR="0061318F" w:rsidRPr="00904FCB">
        <w:rPr>
          <w:rFonts w:hint="cs"/>
          <w:sz w:val="27"/>
          <w:rtl/>
          <w:lang w:bidi="ar-IQ"/>
        </w:rPr>
        <w:t>،</w:t>
      </w:r>
      <w:r w:rsidRPr="00904FCB">
        <w:rPr>
          <w:rFonts w:hint="cs"/>
          <w:sz w:val="27"/>
          <w:vertAlign w:val="superscript"/>
          <w:rtl/>
          <w:lang w:bidi="ar-IQ"/>
        </w:rPr>
        <w:t xml:space="preserve"> </w:t>
      </w:r>
      <w:r w:rsidRPr="00904FCB">
        <w:rPr>
          <w:rFonts w:hint="cs"/>
          <w:sz w:val="27"/>
          <w:rtl/>
          <w:lang w:bidi="ar-IQ"/>
        </w:rPr>
        <w:t xml:space="preserve">وذلك بعد عام </w:t>
      </w:r>
      <w:r w:rsidRPr="009B1673">
        <w:rPr>
          <w:rFonts w:hint="cs"/>
          <w:sz w:val="27"/>
          <w:rtl/>
          <w:lang w:bidi="ar-IQ"/>
        </w:rPr>
        <w:t>1966</w:t>
      </w:r>
      <w:r w:rsidR="0061318F" w:rsidRPr="00904FCB">
        <w:rPr>
          <w:rFonts w:hint="cs"/>
          <w:sz w:val="27"/>
          <w:rtl/>
          <w:lang w:bidi="ar-IQ"/>
        </w:rPr>
        <w:t>.</w:t>
      </w:r>
      <w:r w:rsidRPr="00904FCB">
        <w:rPr>
          <w:rFonts w:hint="cs"/>
          <w:sz w:val="27"/>
          <w:rtl/>
          <w:lang w:bidi="ar-IQ"/>
        </w:rPr>
        <w:t xml:space="preserve"> وعرفها قاموس </w:t>
      </w:r>
      <w:r w:rsidR="00DC3A4B">
        <w:rPr>
          <w:rFonts w:hint="cs"/>
          <w:sz w:val="27"/>
          <w:rtl/>
          <w:lang w:bidi="ar-IQ"/>
        </w:rPr>
        <w:t>أُ</w:t>
      </w:r>
      <w:r w:rsidRPr="00904FCB">
        <w:rPr>
          <w:rFonts w:hint="cs"/>
          <w:sz w:val="27"/>
          <w:rtl/>
          <w:lang w:bidi="ar-IQ"/>
        </w:rPr>
        <w:t>كسفورد ب</w:t>
      </w:r>
      <w:r w:rsidR="0061318F" w:rsidRPr="00904FCB">
        <w:rPr>
          <w:rFonts w:hint="cs"/>
          <w:sz w:val="27"/>
          <w:rtl/>
          <w:lang w:bidi="ar-IQ"/>
        </w:rPr>
        <w:t>أ</w:t>
      </w:r>
      <w:r w:rsidRPr="00904FCB">
        <w:rPr>
          <w:rFonts w:hint="cs"/>
          <w:sz w:val="27"/>
          <w:rtl/>
          <w:lang w:bidi="ar-IQ"/>
        </w:rPr>
        <w:t>نها عبارة عن (التمس</w:t>
      </w:r>
      <w:r w:rsidR="0061318F" w:rsidRPr="00904FCB">
        <w:rPr>
          <w:rFonts w:hint="cs"/>
          <w:sz w:val="27"/>
          <w:rtl/>
          <w:lang w:bidi="ar-IQ"/>
        </w:rPr>
        <w:t>ُّ</w:t>
      </w:r>
      <w:r w:rsidRPr="00904FCB">
        <w:rPr>
          <w:rFonts w:hint="cs"/>
          <w:sz w:val="27"/>
          <w:rtl/>
          <w:lang w:bidi="ar-IQ"/>
        </w:rPr>
        <w:t>ك الصارم بالمضامين ال</w:t>
      </w:r>
      <w:r w:rsidR="0061318F" w:rsidRPr="00904FCB">
        <w:rPr>
          <w:rFonts w:hint="cs"/>
          <w:sz w:val="27"/>
          <w:rtl/>
          <w:lang w:bidi="ar-IQ"/>
        </w:rPr>
        <w:t>أ</w:t>
      </w:r>
      <w:r w:rsidRPr="00904FCB">
        <w:rPr>
          <w:rFonts w:hint="cs"/>
          <w:sz w:val="27"/>
          <w:rtl/>
          <w:lang w:bidi="ar-IQ"/>
        </w:rPr>
        <w:t>رثوذكسية التقليدية</w:t>
      </w:r>
      <w:r w:rsidR="0061318F" w:rsidRPr="00904FCB">
        <w:rPr>
          <w:rFonts w:hint="cs"/>
          <w:sz w:val="27"/>
          <w:rtl/>
          <w:lang w:bidi="ar-IQ"/>
        </w:rPr>
        <w:t>،</w:t>
      </w:r>
      <w:r w:rsidRPr="00904FCB">
        <w:rPr>
          <w:rFonts w:hint="cs"/>
          <w:sz w:val="27"/>
          <w:rtl/>
          <w:lang w:bidi="ar-IQ"/>
        </w:rPr>
        <w:t xml:space="preserve"> وبحرفية النصوص المقد</w:t>
      </w:r>
      <w:r w:rsidR="0061318F" w:rsidRPr="00904FCB">
        <w:rPr>
          <w:rFonts w:hint="cs"/>
          <w:sz w:val="27"/>
          <w:rtl/>
          <w:lang w:bidi="ar-IQ"/>
        </w:rPr>
        <w:t>ّ</w:t>
      </w:r>
      <w:r w:rsidRPr="00904FCB">
        <w:rPr>
          <w:rFonts w:hint="cs"/>
          <w:sz w:val="27"/>
          <w:rtl/>
          <w:lang w:bidi="ar-IQ"/>
        </w:rPr>
        <w:t>سة</w:t>
      </w:r>
      <w:r w:rsidR="0061318F" w:rsidRPr="00904FCB">
        <w:rPr>
          <w:rFonts w:hint="cs"/>
          <w:sz w:val="27"/>
          <w:rtl/>
          <w:lang w:bidi="ar-IQ"/>
        </w:rPr>
        <w:t>،</w:t>
      </w:r>
      <w:r w:rsidRPr="00904FCB">
        <w:rPr>
          <w:rFonts w:hint="cs"/>
          <w:sz w:val="27"/>
          <w:rtl/>
          <w:lang w:bidi="ar-IQ"/>
        </w:rPr>
        <w:t xml:space="preserve"> ومعاداة الليبرالية والحداثة)</w:t>
      </w:r>
      <w:r w:rsidRPr="00904FCB">
        <w:rPr>
          <w:rFonts w:hint="cs"/>
          <w:sz w:val="27"/>
          <w:vertAlign w:val="superscript"/>
          <w:rtl/>
          <w:lang w:bidi="ar-IQ"/>
        </w:rPr>
        <w:t>(</w:t>
      </w:r>
      <w:r w:rsidRPr="00904FCB">
        <w:rPr>
          <w:rStyle w:val="ac"/>
          <w:sz w:val="27"/>
          <w:rtl/>
          <w:lang w:bidi="ar-IQ"/>
        </w:rPr>
        <w:endnoteReference w:id="285"/>
      </w:r>
      <w:r w:rsidRPr="00904FCB">
        <w:rPr>
          <w:rFonts w:hint="cs"/>
          <w:sz w:val="27"/>
          <w:vertAlign w:val="superscript"/>
          <w:rtl/>
          <w:lang w:bidi="ar-IQ"/>
        </w:rPr>
        <w:t>)</w:t>
      </w:r>
      <w:r w:rsidRPr="00904FCB">
        <w:rPr>
          <w:rFonts w:hint="cs"/>
          <w:sz w:val="27"/>
          <w:rtl/>
          <w:lang w:bidi="ar-IQ"/>
        </w:rPr>
        <w:t xml:space="preserve">. </w:t>
      </w:r>
    </w:p>
    <w:p w:rsidR="00952E59" w:rsidRPr="00904FCB" w:rsidRDefault="00952E59" w:rsidP="007A21AA">
      <w:pPr>
        <w:spacing w:line="400" w:lineRule="exact"/>
        <w:rPr>
          <w:sz w:val="27"/>
          <w:lang w:bidi="ar-IQ"/>
        </w:rPr>
      </w:pPr>
      <w:r w:rsidRPr="00904FCB">
        <w:rPr>
          <w:rFonts w:hint="cs"/>
          <w:sz w:val="27"/>
          <w:rtl/>
          <w:lang w:bidi="ar-IQ"/>
        </w:rPr>
        <w:t>وتعتبر نهاية السبعينيات من القرن الماضي البداية الزمنية لانتشار مصطلح ال</w:t>
      </w:r>
      <w:r w:rsidR="00CF3563" w:rsidRPr="00904FCB">
        <w:rPr>
          <w:rFonts w:hint="cs"/>
          <w:sz w:val="27"/>
          <w:rtl/>
          <w:lang w:bidi="ar-IQ"/>
        </w:rPr>
        <w:t>أ</w:t>
      </w:r>
      <w:r w:rsidRPr="00904FCB">
        <w:rPr>
          <w:rFonts w:hint="cs"/>
          <w:sz w:val="27"/>
          <w:rtl/>
          <w:lang w:bidi="ar-IQ"/>
        </w:rPr>
        <w:t>صولية في المجال التداولي العربي ال</w:t>
      </w:r>
      <w:r w:rsidR="00CF3563" w:rsidRPr="00904FCB">
        <w:rPr>
          <w:rFonts w:hint="cs"/>
          <w:sz w:val="27"/>
          <w:rtl/>
          <w:lang w:bidi="ar-IQ"/>
        </w:rPr>
        <w:t>إ</w:t>
      </w:r>
      <w:r w:rsidRPr="00904FCB">
        <w:rPr>
          <w:rFonts w:hint="cs"/>
          <w:sz w:val="27"/>
          <w:rtl/>
          <w:lang w:bidi="ar-IQ"/>
        </w:rPr>
        <w:t xml:space="preserve">سلامي، </w:t>
      </w:r>
      <w:r w:rsidR="00CF3563" w:rsidRPr="00904FCB">
        <w:rPr>
          <w:rFonts w:hint="cs"/>
          <w:sz w:val="27"/>
          <w:rtl/>
          <w:lang w:bidi="ar-IQ"/>
        </w:rPr>
        <w:t>إ</w:t>
      </w:r>
      <w:r w:rsidRPr="00904FCB">
        <w:rPr>
          <w:rFonts w:hint="cs"/>
          <w:sz w:val="27"/>
          <w:rtl/>
          <w:lang w:bidi="ar-IQ"/>
        </w:rPr>
        <w:t>ذ في عام (</w:t>
      </w:r>
      <w:r w:rsidRPr="009B1673">
        <w:rPr>
          <w:rFonts w:hint="cs"/>
          <w:sz w:val="27"/>
          <w:rtl/>
          <w:lang w:bidi="ar-IQ"/>
        </w:rPr>
        <w:t>1980</w:t>
      </w:r>
      <w:r w:rsidRPr="00904FCB">
        <w:rPr>
          <w:rFonts w:hint="cs"/>
          <w:sz w:val="27"/>
          <w:rtl/>
          <w:lang w:bidi="ar-IQ"/>
        </w:rPr>
        <w:t>) كانت الصحف ال</w:t>
      </w:r>
      <w:r w:rsidR="00CF3563" w:rsidRPr="00904FCB">
        <w:rPr>
          <w:rFonts w:hint="cs"/>
          <w:sz w:val="27"/>
          <w:rtl/>
          <w:lang w:bidi="ar-IQ"/>
        </w:rPr>
        <w:t>أ</w:t>
      </w:r>
      <w:r w:rsidRPr="00904FCB">
        <w:rPr>
          <w:rFonts w:hint="cs"/>
          <w:sz w:val="27"/>
          <w:rtl/>
          <w:lang w:bidi="ar-IQ"/>
        </w:rPr>
        <w:t>مريكية تنشر الكثير عم</w:t>
      </w:r>
      <w:r w:rsidR="00CF3563" w:rsidRPr="00904FCB">
        <w:rPr>
          <w:rFonts w:hint="cs"/>
          <w:sz w:val="27"/>
          <w:rtl/>
          <w:lang w:bidi="ar-IQ"/>
        </w:rPr>
        <w:t>ّ</w:t>
      </w:r>
      <w:r w:rsidRPr="00904FCB">
        <w:rPr>
          <w:rFonts w:hint="cs"/>
          <w:sz w:val="27"/>
          <w:rtl/>
          <w:lang w:bidi="ar-IQ"/>
        </w:rPr>
        <w:t>ا تسمية بالمد</w:t>
      </w:r>
      <w:r w:rsidR="00CF3563" w:rsidRPr="00904FCB">
        <w:rPr>
          <w:rFonts w:hint="cs"/>
          <w:sz w:val="27"/>
          <w:rtl/>
          <w:lang w:bidi="ar-IQ"/>
        </w:rPr>
        <w:t>ّ</w:t>
      </w:r>
      <w:r w:rsidRPr="00904FCB">
        <w:rPr>
          <w:rFonts w:hint="cs"/>
          <w:sz w:val="27"/>
          <w:rtl/>
          <w:lang w:bidi="ar-IQ"/>
        </w:rPr>
        <w:t xml:space="preserve"> ال</w:t>
      </w:r>
      <w:r w:rsidR="00CF3563" w:rsidRPr="00904FCB">
        <w:rPr>
          <w:rFonts w:hint="cs"/>
          <w:sz w:val="27"/>
          <w:rtl/>
          <w:lang w:bidi="ar-IQ"/>
        </w:rPr>
        <w:t>أ</w:t>
      </w:r>
      <w:r w:rsidRPr="00904FCB">
        <w:rPr>
          <w:rFonts w:hint="cs"/>
          <w:sz w:val="27"/>
          <w:rtl/>
          <w:lang w:bidi="ar-IQ"/>
        </w:rPr>
        <w:t>صولي ال</w:t>
      </w:r>
      <w:r w:rsidR="00CF3563" w:rsidRPr="00904FCB">
        <w:rPr>
          <w:rFonts w:hint="cs"/>
          <w:sz w:val="27"/>
          <w:rtl/>
          <w:lang w:bidi="ar-IQ"/>
        </w:rPr>
        <w:t>إ</w:t>
      </w:r>
      <w:r w:rsidRPr="00904FCB">
        <w:rPr>
          <w:rFonts w:hint="cs"/>
          <w:sz w:val="27"/>
          <w:rtl/>
          <w:lang w:bidi="ar-IQ"/>
        </w:rPr>
        <w:t>سلامي</w:t>
      </w:r>
      <w:r w:rsidR="00CF3563" w:rsidRPr="00904FCB">
        <w:rPr>
          <w:rFonts w:hint="cs"/>
          <w:sz w:val="27"/>
          <w:rtl/>
          <w:lang w:bidi="ar-IQ"/>
        </w:rPr>
        <w:t>،</w:t>
      </w:r>
      <w:r w:rsidRPr="00904FCB">
        <w:rPr>
          <w:rFonts w:hint="cs"/>
          <w:sz w:val="27"/>
          <w:rtl/>
          <w:lang w:bidi="ar-IQ"/>
        </w:rPr>
        <w:t xml:space="preserve"> </w:t>
      </w:r>
      <w:r w:rsidR="00CF3563" w:rsidRPr="00904FCB">
        <w:rPr>
          <w:rFonts w:hint="cs"/>
          <w:sz w:val="27"/>
          <w:rtl/>
          <w:lang w:bidi="ar-IQ"/>
        </w:rPr>
        <w:t>و</w:t>
      </w:r>
      <w:r w:rsidRPr="00904FCB">
        <w:rPr>
          <w:rFonts w:hint="cs"/>
          <w:sz w:val="27"/>
          <w:rtl/>
          <w:lang w:bidi="ar-IQ"/>
        </w:rPr>
        <w:t>لا</w:t>
      </w:r>
      <w:r w:rsidR="00CF3563" w:rsidRPr="00904FCB">
        <w:rPr>
          <w:rFonts w:hint="cs"/>
          <w:sz w:val="27"/>
          <w:rtl/>
          <w:lang w:bidi="ar-IQ"/>
        </w:rPr>
        <w:t xml:space="preserve"> </w:t>
      </w:r>
      <w:r w:rsidRPr="00904FCB">
        <w:rPr>
          <w:rFonts w:hint="cs"/>
          <w:sz w:val="27"/>
          <w:rtl/>
          <w:lang w:bidi="ar-IQ"/>
        </w:rPr>
        <w:t>سي</w:t>
      </w:r>
      <w:r w:rsidR="00CF3563" w:rsidRPr="00904FCB">
        <w:rPr>
          <w:rFonts w:hint="cs"/>
          <w:sz w:val="27"/>
          <w:rtl/>
          <w:lang w:bidi="ar-IQ"/>
        </w:rPr>
        <w:t>َّ</w:t>
      </w:r>
      <w:r w:rsidRPr="00904FCB">
        <w:rPr>
          <w:rFonts w:hint="cs"/>
          <w:sz w:val="27"/>
          <w:rtl/>
          <w:lang w:bidi="ar-IQ"/>
        </w:rPr>
        <w:t>ما بعد ظهور التجربة ال</w:t>
      </w:r>
      <w:r w:rsidR="00CF3563" w:rsidRPr="00904FCB">
        <w:rPr>
          <w:rFonts w:hint="cs"/>
          <w:sz w:val="27"/>
          <w:rtl/>
          <w:lang w:bidi="ar-IQ"/>
        </w:rPr>
        <w:t>إ</w:t>
      </w:r>
      <w:r w:rsidRPr="00904FCB">
        <w:rPr>
          <w:rFonts w:hint="cs"/>
          <w:sz w:val="27"/>
          <w:rtl/>
          <w:lang w:bidi="ar-IQ"/>
        </w:rPr>
        <w:t xml:space="preserve">سلامية في </w:t>
      </w:r>
      <w:r w:rsidR="00CF3563" w:rsidRPr="00904FCB">
        <w:rPr>
          <w:rFonts w:hint="cs"/>
          <w:sz w:val="27"/>
          <w:rtl/>
          <w:lang w:bidi="ar-IQ"/>
        </w:rPr>
        <w:t>إ</w:t>
      </w:r>
      <w:r w:rsidRPr="00904FCB">
        <w:rPr>
          <w:rFonts w:hint="cs"/>
          <w:sz w:val="27"/>
          <w:rtl/>
          <w:lang w:bidi="ar-IQ"/>
        </w:rPr>
        <w:t>يران على مسرح الح</w:t>
      </w:r>
      <w:r w:rsidR="00CF3563" w:rsidRPr="00904FCB">
        <w:rPr>
          <w:rFonts w:hint="cs"/>
          <w:sz w:val="27"/>
          <w:rtl/>
          <w:lang w:bidi="ar-IQ"/>
        </w:rPr>
        <w:t>َ</w:t>
      </w:r>
      <w:r w:rsidRPr="00904FCB">
        <w:rPr>
          <w:rFonts w:hint="cs"/>
          <w:sz w:val="27"/>
          <w:rtl/>
          <w:lang w:bidi="ar-IQ"/>
        </w:rPr>
        <w:t>د</w:t>
      </w:r>
      <w:r w:rsidR="00CF3563" w:rsidRPr="00904FCB">
        <w:rPr>
          <w:rFonts w:hint="cs"/>
          <w:sz w:val="27"/>
          <w:rtl/>
          <w:lang w:bidi="ar-IQ"/>
        </w:rPr>
        <w:t>َ</w:t>
      </w:r>
      <w:r w:rsidRPr="00904FCB">
        <w:rPr>
          <w:rFonts w:hint="cs"/>
          <w:sz w:val="27"/>
          <w:rtl/>
          <w:lang w:bidi="ar-IQ"/>
        </w:rPr>
        <w:t>ث العالمي</w:t>
      </w:r>
      <w:r w:rsidRPr="00904FCB">
        <w:rPr>
          <w:rFonts w:hint="cs"/>
          <w:sz w:val="27"/>
          <w:vertAlign w:val="superscript"/>
          <w:rtl/>
          <w:lang w:bidi="ar-IQ"/>
        </w:rPr>
        <w:t>(</w:t>
      </w:r>
      <w:r w:rsidRPr="00904FCB">
        <w:rPr>
          <w:rStyle w:val="ac"/>
          <w:sz w:val="27"/>
          <w:rtl/>
          <w:lang w:bidi="ar-IQ"/>
        </w:rPr>
        <w:endnoteReference w:id="286"/>
      </w:r>
      <w:r w:rsidRPr="00904FCB">
        <w:rPr>
          <w:rFonts w:hint="cs"/>
          <w:sz w:val="27"/>
          <w:vertAlign w:val="superscript"/>
          <w:rtl/>
          <w:lang w:bidi="ar-IQ"/>
        </w:rPr>
        <w:t>)</w:t>
      </w:r>
      <w:r w:rsidR="00CF3563" w:rsidRPr="00904FCB">
        <w:rPr>
          <w:rFonts w:hint="cs"/>
          <w:sz w:val="27"/>
          <w:rtl/>
          <w:lang w:bidi="ar-IQ"/>
        </w:rPr>
        <w:t>،</w:t>
      </w:r>
      <w:r w:rsidRPr="00904FCB">
        <w:rPr>
          <w:rFonts w:hint="cs"/>
          <w:sz w:val="27"/>
          <w:rtl/>
          <w:lang w:bidi="ar-IQ"/>
        </w:rPr>
        <w:t xml:space="preserve"> ثم</w:t>
      </w:r>
      <w:r w:rsidR="00CF3563" w:rsidRPr="00904FCB">
        <w:rPr>
          <w:rFonts w:hint="cs"/>
          <w:sz w:val="27"/>
          <w:rtl/>
          <w:lang w:bidi="ar-IQ"/>
        </w:rPr>
        <w:t>ّ عمم بعد ذلك فصار مصطلحاً دالاًّ</w:t>
      </w:r>
      <w:r w:rsidRPr="00904FCB">
        <w:rPr>
          <w:rFonts w:hint="cs"/>
          <w:sz w:val="27"/>
          <w:rtl/>
          <w:lang w:bidi="ar-IQ"/>
        </w:rPr>
        <w:t xml:space="preserve"> على جماعات ال</w:t>
      </w:r>
      <w:r w:rsidR="00CF3563" w:rsidRPr="00904FCB">
        <w:rPr>
          <w:rFonts w:hint="cs"/>
          <w:sz w:val="27"/>
          <w:rtl/>
          <w:lang w:bidi="ar-IQ"/>
        </w:rPr>
        <w:t>إ</w:t>
      </w:r>
      <w:r w:rsidRPr="00904FCB">
        <w:rPr>
          <w:rFonts w:hint="cs"/>
          <w:sz w:val="27"/>
          <w:rtl/>
          <w:lang w:bidi="ar-IQ"/>
        </w:rPr>
        <w:t>سلام السياسي ذات البعد المحلي وال</w:t>
      </w:r>
      <w:r w:rsidR="00CF3563" w:rsidRPr="00904FCB">
        <w:rPr>
          <w:rFonts w:hint="cs"/>
          <w:sz w:val="27"/>
          <w:rtl/>
          <w:lang w:bidi="ar-IQ"/>
        </w:rPr>
        <w:t>إ</w:t>
      </w:r>
      <w:r w:rsidRPr="00904FCB">
        <w:rPr>
          <w:rFonts w:hint="cs"/>
          <w:sz w:val="27"/>
          <w:rtl/>
          <w:lang w:bidi="ar-IQ"/>
        </w:rPr>
        <w:t>قليمي والدولي</w:t>
      </w:r>
      <w:r w:rsidRPr="00904FCB">
        <w:rPr>
          <w:rFonts w:hint="cs"/>
          <w:sz w:val="27"/>
          <w:vertAlign w:val="superscript"/>
          <w:rtl/>
          <w:lang w:bidi="ar-IQ"/>
        </w:rPr>
        <w:t>(</w:t>
      </w:r>
      <w:r w:rsidRPr="00904FCB">
        <w:rPr>
          <w:rStyle w:val="ac"/>
          <w:sz w:val="27"/>
          <w:rtl/>
          <w:lang w:bidi="ar-IQ"/>
        </w:rPr>
        <w:endnoteReference w:id="287"/>
      </w:r>
      <w:r w:rsidRPr="00904FCB">
        <w:rPr>
          <w:rFonts w:hint="cs"/>
          <w:sz w:val="27"/>
          <w:vertAlign w:val="superscript"/>
          <w:rtl/>
          <w:lang w:bidi="ar-IQ"/>
        </w:rPr>
        <w:t>)</w:t>
      </w:r>
      <w:r w:rsidR="00CF3563" w:rsidRPr="00904FCB">
        <w:rPr>
          <w:rFonts w:hint="cs"/>
          <w:sz w:val="27"/>
          <w:rtl/>
          <w:lang w:bidi="ar-IQ"/>
        </w:rPr>
        <w:t xml:space="preserve">، </w:t>
      </w:r>
      <w:r w:rsidRPr="00904FCB">
        <w:rPr>
          <w:rFonts w:hint="cs"/>
          <w:sz w:val="27"/>
          <w:rtl/>
          <w:lang w:bidi="ar-IQ"/>
        </w:rPr>
        <w:t xml:space="preserve">من دون </w:t>
      </w:r>
      <w:r w:rsidR="00CF3563" w:rsidRPr="00904FCB">
        <w:rPr>
          <w:rFonts w:hint="cs"/>
          <w:sz w:val="27"/>
          <w:rtl/>
          <w:lang w:bidi="ar-IQ"/>
        </w:rPr>
        <w:t>أ</w:t>
      </w:r>
      <w:r w:rsidRPr="00904FCB">
        <w:rPr>
          <w:rFonts w:hint="cs"/>
          <w:sz w:val="27"/>
          <w:rtl/>
          <w:lang w:bidi="ar-IQ"/>
        </w:rPr>
        <w:t>ن نجد دق</w:t>
      </w:r>
      <w:r w:rsidR="00CF3563" w:rsidRPr="00904FCB">
        <w:rPr>
          <w:rFonts w:hint="cs"/>
          <w:sz w:val="27"/>
          <w:rtl/>
          <w:lang w:bidi="ar-IQ"/>
        </w:rPr>
        <w:t>ّ</w:t>
      </w:r>
      <w:r w:rsidRPr="00904FCB">
        <w:rPr>
          <w:rFonts w:hint="cs"/>
          <w:sz w:val="27"/>
          <w:rtl/>
          <w:lang w:bidi="ar-IQ"/>
        </w:rPr>
        <w:t>ة في تصنيف هذه الجماعات بحسب الس</w:t>
      </w:r>
      <w:r w:rsidR="00CF3563" w:rsidRPr="00904FCB">
        <w:rPr>
          <w:rFonts w:hint="cs"/>
          <w:sz w:val="27"/>
          <w:rtl/>
          <w:lang w:bidi="ar-IQ"/>
        </w:rPr>
        <w:t>ِّ</w:t>
      </w:r>
      <w:r w:rsidRPr="00904FCB">
        <w:rPr>
          <w:rFonts w:hint="cs"/>
          <w:sz w:val="27"/>
          <w:rtl/>
          <w:lang w:bidi="ar-IQ"/>
        </w:rPr>
        <w:t>مات العامة والتفصيلية التي يتفاوت توف</w:t>
      </w:r>
      <w:r w:rsidR="00CF3563" w:rsidRPr="00904FCB">
        <w:rPr>
          <w:rFonts w:hint="cs"/>
          <w:sz w:val="27"/>
          <w:rtl/>
          <w:lang w:bidi="ar-IQ"/>
        </w:rPr>
        <w:t>ُّ</w:t>
      </w:r>
      <w:r w:rsidRPr="00904FCB">
        <w:rPr>
          <w:rFonts w:hint="cs"/>
          <w:sz w:val="27"/>
          <w:rtl/>
          <w:lang w:bidi="ar-IQ"/>
        </w:rPr>
        <w:t xml:space="preserve">رها والالتزام بها في هذه الجماعات. </w:t>
      </w:r>
    </w:p>
    <w:p w:rsidR="00952E59" w:rsidRPr="00904FCB" w:rsidRDefault="00952E59" w:rsidP="007A21AA">
      <w:pPr>
        <w:spacing w:line="400" w:lineRule="exact"/>
        <w:rPr>
          <w:sz w:val="27"/>
          <w:rtl/>
          <w:lang w:bidi="ar-IQ"/>
        </w:rPr>
      </w:pPr>
      <w:r w:rsidRPr="00904FCB">
        <w:rPr>
          <w:rFonts w:hint="cs"/>
          <w:sz w:val="27"/>
          <w:rtl/>
          <w:lang w:bidi="ar-IQ"/>
        </w:rPr>
        <w:t>وينبه روجي</w:t>
      </w:r>
      <w:r w:rsidR="00CF3563" w:rsidRPr="00904FCB">
        <w:rPr>
          <w:rFonts w:hint="cs"/>
          <w:sz w:val="27"/>
          <w:rtl/>
          <w:lang w:bidi="ar-IQ"/>
        </w:rPr>
        <w:t>ه</w:t>
      </w:r>
      <w:r w:rsidRPr="00904FCB">
        <w:rPr>
          <w:rFonts w:hint="cs"/>
          <w:sz w:val="27"/>
          <w:rtl/>
          <w:lang w:bidi="ar-IQ"/>
        </w:rPr>
        <w:t xml:space="preserve"> </w:t>
      </w:r>
      <w:r w:rsidR="00CF3563" w:rsidRPr="00904FCB">
        <w:rPr>
          <w:rFonts w:hint="cs"/>
          <w:sz w:val="27"/>
          <w:rtl/>
          <w:lang w:bidi="ar-IQ"/>
        </w:rPr>
        <w:t>غ</w:t>
      </w:r>
      <w:r w:rsidRPr="00904FCB">
        <w:rPr>
          <w:rFonts w:hint="cs"/>
          <w:sz w:val="27"/>
          <w:rtl/>
          <w:lang w:bidi="ar-IQ"/>
        </w:rPr>
        <w:t xml:space="preserve">ارودي </w:t>
      </w:r>
      <w:r w:rsidR="00CF3563" w:rsidRPr="00904FCB">
        <w:rPr>
          <w:rFonts w:hint="cs"/>
          <w:sz w:val="27"/>
          <w:rtl/>
          <w:lang w:bidi="ar-IQ"/>
        </w:rPr>
        <w:t>إ</w:t>
      </w:r>
      <w:r w:rsidRPr="00904FCB">
        <w:rPr>
          <w:rFonts w:hint="cs"/>
          <w:sz w:val="27"/>
          <w:rtl/>
          <w:lang w:bidi="ar-IQ"/>
        </w:rPr>
        <w:t>لى أن من الس</w:t>
      </w:r>
      <w:r w:rsidR="00CF3563" w:rsidRPr="00904FCB">
        <w:rPr>
          <w:rFonts w:hint="cs"/>
          <w:sz w:val="27"/>
          <w:rtl/>
          <w:lang w:bidi="ar-IQ"/>
        </w:rPr>
        <w:t>ِّ</w:t>
      </w:r>
      <w:r w:rsidRPr="00904FCB">
        <w:rPr>
          <w:rFonts w:hint="cs"/>
          <w:sz w:val="27"/>
          <w:rtl/>
          <w:lang w:bidi="ar-IQ"/>
        </w:rPr>
        <w:t xml:space="preserve">مات </w:t>
      </w:r>
      <w:r w:rsidR="00CF3563" w:rsidRPr="00904FCB">
        <w:rPr>
          <w:rFonts w:hint="cs"/>
          <w:sz w:val="27"/>
          <w:rtl/>
          <w:lang w:bidi="ar-IQ"/>
        </w:rPr>
        <w:t>المهمة للأصولية أنها ترتبط دائم</w:t>
      </w:r>
      <w:r w:rsidRPr="00904FCB">
        <w:rPr>
          <w:rFonts w:hint="cs"/>
          <w:sz w:val="27"/>
          <w:rtl/>
          <w:lang w:bidi="ar-IQ"/>
        </w:rPr>
        <w:t>ا</w:t>
      </w:r>
      <w:r w:rsidR="00CF3563" w:rsidRPr="00904FCB">
        <w:rPr>
          <w:rFonts w:hint="cs"/>
          <w:sz w:val="27"/>
          <w:rtl/>
          <w:lang w:bidi="ar-IQ"/>
        </w:rPr>
        <w:t>ً</w:t>
      </w:r>
      <w:r w:rsidRPr="00904FCB">
        <w:rPr>
          <w:rFonts w:hint="cs"/>
          <w:sz w:val="27"/>
          <w:rtl/>
          <w:lang w:bidi="ar-IQ"/>
        </w:rPr>
        <w:t xml:space="preserve"> بزمن</w:t>
      </w:r>
      <w:r w:rsidR="00CF3563" w:rsidRPr="00904FCB">
        <w:rPr>
          <w:rFonts w:hint="cs"/>
          <w:sz w:val="27"/>
          <w:rtl/>
          <w:lang w:bidi="ar-IQ"/>
        </w:rPr>
        <w:t>ٍ</w:t>
      </w:r>
      <w:r w:rsidRPr="00904FCB">
        <w:rPr>
          <w:rFonts w:hint="cs"/>
          <w:sz w:val="27"/>
          <w:rtl/>
          <w:lang w:bidi="ar-IQ"/>
        </w:rPr>
        <w:t xml:space="preserve"> ماض، وتقوم على معتقد مؤس</w:t>
      </w:r>
      <w:r w:rsidR="00CF3563" w:rsidRPr="00904FCB">
        <w:rPr>
          <w:rFonts w:hint="cs"/>
          <w:sz w:val="27"/>
          <w:rtl/>
          <w:lang w:bidi="ar-IQ"/>
        </w:rPr>
        <w:t>ّ</w:t>
      </w:r>
      <w:r w:rsidRPr="00904FCB">
        <w:rPr>
          <w:rFonts w:hint="cs"/>
          <w:sz w:val="27"/>
          <w:rtl/>
          <w:lang w:bidi="ar-IQ"/>
        </w:rPr>
        <w:t>س في عصر سابق</w:t>
      </w:r>
      <w:r w:rsidRPr="00904FCB">
        <w:rPr>
          <w:rFonts w:hint="cs"/>
          <w:sz w:val="27"/>
          <w:vertAlign w:val="superscript"/>
          <w:rtl/>
          <w:lang w:bidi="ar-IQ"/>
        </w:rPr>
        <w:t>(</w:t>
      </w:r>
      <w:r w:rsidRPr="00904FCB">
        <w:rPr>
          <w:rStyle w:val="ac"/>
          <w:sz w:val="27"/>
          <w:rtl/>
          <w:lang w:bidi="ar-IQ"/>
        </w:rPr>
        <w:endnoteReference w:id="288"/>
      </w:r>
      <w:r w:rsidRPr="00904FCB">
        <w:rPr>
          <w:rFonts w:hint="cs"/>
          <w:sz w:val="27"/>
          <w:vertAlign w:val="superscript"/>
          <w:rtl/>
          <w:lang w:bidi="ar-IQ"/>
        </w:rPr>
        <w:t>)</w:t>
      </w:r>
      <w:r w:rsidR="00CF3563" w:rsidRPr="00904FCB">
        <w:rPr>
          <w:rFonts w:hint="cs"/>
          <w:sz w:val="27"/>
          <w:rtl/>
          <w:lang w:bidi="ar-IQ"/>
        </w:rPr>
        <w:t>.</w:t>
      </w:r>
      <w:r w:rsidRPr="00904FCB">
        <w:rPr>
          <w:rFonts w:hint="cs"/>
          <w:sz w:val="27"/>
          <w:rtl/>
          <w:lang w:bidi="ar-IQ"/>
        </w:rPr>
        <w:t xml:space="preserve"> وهنا يتعمد </w:t>
      </w:r>
      <w:r w:rsidR="00CF3563" w:rsidRPr="00904FCB">
        <w:rPr>
          <w:rFonts w:hint="cs"/>
          <w:sz w:val="27"/>
          <w:rtl/>
          <w:lang w:bidi="ar-IQ"/>
        </w:rPr>
        <w:t>غ</w:t>
      </w:r>
      <w:r w:rsidRPr="00904FCB">
        <w:rPr>
          <w:rFonts w:hint="cs"/>
          <w:sz w:val="27"/>
          <w:rtl/>
          <w:lang w:bidi="ar-IQ"/>
        </w:rPr>
        <w:t xml:space="preserve">ارودي </w:t>
      </w:r>
      <w:r w:rsidR="00CF3563" w:rsidRPr="00904FCB">
        <w:rPr>
          <w:rFonts w:hint="cs"/>
          <w:sz w:val="27"/>
          <w:rtl/>
          <w:lang w:bidi="ar-IQ"/>
        </w:rPr>
        <w:t xml:space="preserve">أن </w:t>
      </w:r>
      <w:r w:rsidRPr="00904FCB">
        <w:rPr>
          <w:rFonts w:hint="cs"/>
          <w:sz w:val="27"/>
          <w:rtl/>
          <w:lang w:bidi="ar-IQ"/>
        </w:rPr>
        <w:t xml:space="preserve">لا يفرق بين كون المعتقد معتقداً تاريخياً </w:t>
      </w:r>
      <w:r w:rsidR="00CF3563" w:rsidRPr="00904FCB">
        <w:rPr>
          <w:rFonts w:hint="cs"/>
          <w:sz w:val="27"/>
          <w:rtl/>
          <w:lang w:bidi="ar-IQ"/>
        </w:rPr>
        <w:t>أ</w:t>
      </w:r>
      <w:r w:rsidRPr="00904FCB">
        <w:rPr>
          <w:rFonts w:hint="cs"/>
          <w:sz w:val="27"/>
          <w:rtl/>
          <w:lang w:bidi="ar-IQ"/>
        </w:rPr>
        <w:t>و معتقداً دينياً ماضوياً</w:t>
      </w:r>
      <w:r w:rsidR="00CF3563" w:rsidRPr="00904FCB">
        <w:rPr>
          <w:rFonts w:hint="cs"/>
          <w:sz w:val="27"/>
          <w:rtl/>
          <w:lang w:bidi="ar-IQ"/>
        </w:rPr>
        <w:t>؛ إيمان</w:t>
      </w:r>
      <w:r w:rsidRPr="00904FCB">
        <w:rPr>
          <w:rFonts w:hint="cs"/>
          <w:sz w:val="27"/>
          <w:rtl/>
          <w:lang w:bidi="ar-IQ"/>
        </w:rPr>
        <w:t>ا</w:t>
      </w:r>
      <w:r w:rsidR="00CF3563" w:rsidRPr="00904FCB">
        <w:rPr>
          <w:rFonts w:hint="cs"/>
          <w:sz w:val="27"/>
          <w:rtl/>
          <w:lang w:bidi="ar-IQ"/>
        </w:rPr>
        <w:t>ً</w:t>
      </w:r>
      <w:r w:rsidRPr="00904FCB">
        <w:rPr>
          <w:rFonts w:hint="cs"/>
          <w:sz w:val="27"/>
          <w:rtl/>
          <w:lang w:bidi="ar-IQ"/>
        </w:rPr>
        <w:t xml:space="preserve"> منه بوجود </w:t>
      </w:r>
      <w:r w:rsidR="00CF3563" w:rsidRPr="00904FCB">
        <w:rPr>
          <w:rFonts w:hint="cs"/>
          <w:sz w:val="27"/>
          <w:rtl/>
          <w:lang w:bidi="ar-IQ"/>
        </w:rPr>
        <w:t>أ</w:t>
      </w:r>
      <w:r w:rsidRPr="00904FCB">
        <w:rPr>
          <w:rFonts w:hint="cs"/>
          <w:sz w:val="27"/>
          <w:rtl/>
          <w:lang w:bidi="ar-IQ"/>
        </w:rPr>
        <w:t>نواع متعد</w:t>
      </w:r>
      <w:r w:rsidR="00CF3563" w:rsidRPr="00904FCB">
        <w:rPr>
          <w:rFonts w:hint="cs"/>
          <w:sz w:val="27"/>
          <w:rtl/>
          <w:lang w:bidi="ar-IQ"/>
        </w:rPr>
        <w:t>ِّ</w:t>
      </w:r>
      <w:r w:rsidRPr="00904FCB">
        <w:rPr>
          <w:rFonts w:hint="cs"/>
          <w:sz w:val="27"/>
          <w:rtl/>
          <w:lang w:bidi="ar-IQ"/>
        </w:rPr>
        <w:t>دة من ال</w:t>
      </w:r>
      <w:r w:rsidR="00CF3563" w:rsidRPr="00904FCB">
        <w:rPr>
          <w:rFonts w:hint="cs"/>
          <w:sz w:val="27"/>
          <w:rtl/>
          <w:lang w:bidi="ar-IQ"/>
        </w:rPr>
        <w:t>أ</w:t>
      </w:r>
      <w:r w:rsidRPr="00904FCB">
        <w:rPr>
          <w:rFonts w:hint="cs"/>
          <w:sz w:val="27"/>
          <w:rtl/>
          <w:lang w:bidi="ar-IQ"/>
        </w:rPr>
        <w:t>صوليات، أو ربما لأنه لا</w:t>
      </w:r>
      <w:r w:rsidR="00CF3563" w:rsidRPr="00904FCB">
        <w:rPr>
          <w:rFonts w:hint="cs"/>
          <w:sz w:val="27"/>
          <w:rtl/>
          <w:lang w:bidi="ar-IQ"/>
        </w:rPr>
        <w:t xml:space="preserve"> </w:t>
      </w:r>
      <w:r w:rsidRPr="00904FCB">
        <w:rPr>
          <w:rFonts w:hint="cs"/>
          <w:sz w:val="27"/>
          <w:rtl/>
          <w:lang w:bidi="ar-IQ"/>
        </w:rPr>
        <w:t>يفصل بين الحقائق الدينية والحدث التاريخي حين يتحو</w:t>
      </w:r>
      <w:r w:rsidR="00CF3563" w:rsidRPr="00904FCB">
        <w:rPr>
          <w:rFonts w:hint="cs"/>
          <w:sz w:val="27"/>
          <w:rtl/>
          <w:lang w:bidi="ar-IQ"/>
        </w:rPr>
        <w:t>ّ</w:t>
      </w:r>
      <w:r w:rsidRPr="00904FCB">
        <w:rPr>
          <w:rFonts w:hint="cs"/>
          <w:sz w:val="27"/>
          <w:rtl/>
          <w:lang w:bidi="ar-IQ"/>
        </w:rPr>
        <w:t xml:space="preserve">ل </w:t>
      </w:r>
      <w:r w:rsidR="00CF3563" w:rsidRPr="00904FCB">
        <w:rPr>
          <w:rFonts w:hint="cs"/>
          <w:sz w:val="27"/>
          <w:rtl/>
          <w:lang w:bidi="ar-IQ"/>
        </w:rPr>
        <w:t>إ</w:t>
      </w:r>
      <w:r w:rsidRPr="00904FCB">
        <w:rPr>
          <w:rFonts w:hint="cs"/>
          <w:sz w:val="27"/>
          <w:rtl/>
          <w:lang w:bidi="ar-IQ"/>
        </w:rPr>
        <w:t>لى مستند للتدليل والبرهنة على قيمة أفكار الحاضر</w:t>
      </w:r>
      <w:r w:rsidR="00593F14" w:rsidRPr="00904FCB">
        <w:rPr>
          <w:rFonts w:hint="cs"/>
          <w:sz w:val="27"/>
          <w:rtl/>
          <w:lang w:bidi="ar-IQ"/>
        </w:rPr>
        <w:t>.</w:t>
      </w:r>
      <w:r w:rsidRPr="00904FCB">
        <w:rPr>
          <w:rFonts w:hint="cs"/>
          <w:sz w:val="27"/>
          <w:rtl/>
          <w:lang w:bidi="ar-IQ"/>
        </w:rPr>
        <w:t xml:space="preserve"> و</w:t>
      </w:r>
      <w:r w:rsidR="00593F14" w:rsidRPr="00904FCB">
        <w:rPr>
          <w:rFonts w:hint="cs"/>
          <w:sz w:val="27"/>
          <w:rtl/>
          <w:lang w:bidi="ar-IQ"/>
        </w:rPr>
        <w:t>إ</w:t>
      </w:r>
      <w:r w:rsidRPr="00904FCB">
        <w:rPr>
          <w:rFonts w:hint="cs"/>
          <w:sz w:val="27"/>
          <w:rtl/>
          <w:lang w:bidi="ar-IQ"/>
        </w:rPr>
        <w:t>ن هذا الارتباط بالماضي ليس ارتباطاً تاريخياً</w:t>
      </w:r>
      <w:r w:rsidR="00593F14" w:rsidRPr="00904FCB">
        <w:rPr>
          <w:rFonts w:hint="cs"/>
          <w:sz w:val="27"/>
          <w:rtl/>
          <w:lang w:bidi="ar-IQ"/>
        </w:rPr>
        <w:t>،</w:t>
      </w:r>
      <w:r w:rsidRPr="00904FCB">
        <w:rPr>
          <w:rFonts w:hint="cs"/>
          <w:sz w:val="27"/>
          <w:rtl/>
          <w:lang w:bidi="ar-IQ"/>
        </w:rPr>
        <w:t xml:space="preserve"> كبقية ظواهرنا المعاصرة، إنما ال</w:t>
      </w:r>
      <w:r w:rsidR="00593F14" w:rsidRPr="00904FCB">
        <w:rPr>
          <w:rFonts w:hint="cs"/>
          <w:sz w:val="27"/>
          <w:rtl/>
          <w:lang w:bidi="ar-IQ"/>
        </w:rPr>
        <w:t>ا</w:t>
      </w:r>
      <w:r w:rsidRPr="00904FCB">
        <w:rPr>
          <w:rFonts w:hint="cs"/>
          <w:sz w:val="27"/>
          <w:rtl/>
          <w:lang w:bidi="ar-IQ"/>
        </w:rPr>
        <w:t xml:space="preserve">رتباط عبارة عن تحول الحدث التاريخي </w:t>
      </w:r>
      <w:r w:rsidR="00593F14" w:rsidRPr="00904FCB">
        <w:rPr>
          <w:rFonts w:hint="cs"/>
          <w:sz w:val="27"/>
          <w:rtl/>
          <w:lang w:bidi="ar-IQ"/>
        </w:rPr>
        <w:t>إ</w:t>
      </w:r>
      <w:r w:rsidRPr="00904FCB">
        <w:rPr>
          <w:rFonts w:hint="cs"/>
          <w:sz w:val="27"/>
          <w:rtl/>
          <w:lang w:bidi="ar-IQ"/>
        </w:rPr>
        <w:t>لى نص</w:t>
      </w:r>
      <w:r w:rsidR="00593F14" w:rsidRPr="00904FCB">
        <w:rPr>
          <w:rFonts w:hint="cs"/>
          <w:sz w:val="27"/>
          <w:rtl/>
          <w:lang w:bidi="ar-IQ"/>
        </w:rPr>
        <w:t>ٍّ</w:t>
      </w:r>
      <w:r w:rsidRPr="00904FCB">
        <w:rPr>
          <w:rFonts w:hint="cs"/>
          <w:sz w:val="27"/>
          <w:rtl/>
          <w:lang w:bidi="ar-IQ"/>
        </w:rPr>
        <w:t xml:space="preserve"> ديني</w:t>
      </w:r>
      <w:r w:rsidR="00593F14" w:rsidRPr="00904FCB">
        <w:rPr>
          <w:rFonts w:hint="cs"/>
          <w:sz w:val="27"/>
          <w:rtl/>
          <w:lang w:bidi="ar-IQ"/>
        </w:rPr>
        <w:t xml:space="preserve">، </w:t>
      </w:r>
      <w:r w:rsidRPr="00904FCB">
        <w:rPr>
          <w:rFonts w:hint="cs"/>
          <w:sz w:val="27"/>
          <w:rtl/>
          <w:lang w:bidi="ar-IQ"/>
        </w:rPr>
        <w:t xml:space="preserve">ويجري </w:t>
      </w:r>
      <w:r w:rsidR="00593F14" w:rsidRPr="00904FCB">
        <w:rPr>
          <w:rFonts w:hint="cs"/>
          <w:sz w:val="27"/>
          <w:rtl/>
          <w:lang w:bidi="ar-IQ"/>
        </w:rPr>
        <w:t>ا</w:t>
      </w:r>
      <w:r w:rsidRPr="00904FCB">
        <w:rPr>
          <w:rFonts w:hint="cs"/>
          <w:sz w:val="27"/>
          <w:rtl/>
          <w:lang w:bidi="ar-IQ"/>
        </w:rPr>
        <w:t>ستمداد المقولات والأفكار منه، وبذلك يتحو</w:t>
      </w:r>
      <w:r w:rsidR="00593F14" w:rsidRPr="00904FCB">
        <w:rPr>
          <w:rFonts w:hint="cs"/>
          <w:sz w:val="27"/>
          <w:rtl/>
          <w:lang w:bidi="ar-IQ"/>
        </w:rPr>
        <w:t>َّ</w:t>
      </w:r>
      <w:r w:rsidRPr="00904FCB">
        <w:rPr>
          <w:rFonts w:hint="cs"/>
          <w:sz w:val="27"/>
          <w:rtl/>
          <w:lang w:bidi="ar-IQ"/>
        </w:rPr>
        <w:t xml:space="preserve">ل ذلك الماضي </w:t>
      </w:r>
      <w:r w:rsidR="00593F14" w:rsidRPr="00904FCB">
        <w:rPr>
          <w:rFonts w:hint="cs"/>
          <w:sz w:val="27"/>
          <w:rtl/>
          <w:lang w:bidi="ar-IQ"/>
        </w:rPr>
        <w:t>إ</w:t>
      </w:r>
      <w:r w:rsidRPr="00904FCB">
        <w:rPr>
          <w:rFonts w:hint="cs"/>
          <w:sz w:val="27"/>
          <w:rtl/>
          <w:lang w:bidi="ar-IQ"/>
        </w:rPr>
        <w:t xml:space="preserve">لى </w:t>
      </w:r>
      <w:r w:rsidR="00593F14" w:rsidRPr="00904FCB">
        <w:rPr>
          <w:rFonts w:hint="cs"/>
          <w:sz w:val="27"/>
          <w:rtl/>
          <w:lang w:bidi="ar-IQ"/>
        </w:rPr>
        <w:t>أ</w:t>
      </w:r>
      <w:r w:rsidRPr="00904FCB">
        <w:rPr>
          <w:rFonts w:hint="cs"/>
          <w:sz w:val="27"/>
          <w:rtl/>
          <w:lang w:bidi="ar-IQ"/>
        </w:rPr>
        <w:t xml:space="preserve">نموذج يفرض على </w:t>
      </w:r>
      <w:r w:rsidR="00593F14" w:rsidRPr="00904FCB">
        <w:rPr>
          <w:rFonts w:hint="cs"/>
          <w:sz w:val="27"/>
          <w:rtl/>
          <w:lang w:bidi="ar-IQ"/>
        </w:rPr>
        <w:t>أ</w:t>
      </w:r>
      <w:r w:rsidRPr="00904FCB">
        <w:rPr>
          <w:rFonts w:hint="cs"/>
          <w:sz w:val="27"/>
          <w:rtl/>
          <w:lang w:bidi="ar-IQ"/>
        </w:rPr>
        <w:t>تباع تلك الاتجاهات وأنماط الفهم الخاص للمعتقدات وال</w:t>
      </w:r>
      <w:r w:rsidR="00593F14" w:rsidRPr="00904FCB">
        <w:rPr>
          <w:rFonts w:hint="cs"/>
          <w:sz w:val="27"/>
          <w:rtl/>
          <w:lang w:bidi="ar-IQ"/>
        </w:rPr>
        <w:t>أ</w:t>
      </w:r>
      <w:r w:rsidRPr="00904FCB">
        <w:rPr>
          <w:rFonts w:hint="cs"/>
          <w:sz w:val="27"/>
          <w:rtl/>
          <w:lang w:bidi="ar-IQ"/>
        </w:rPr>
        <w:t>فعال، وجعل ذلك كل</w:t>
      </w:r>
      <w:r w:rsidR="00593F14" w:rsidRPr="00904FCB">
        <w:rPr>
          <w:rFonts w:hint="cs"/>
          <w:sz w:val="27"/>
          <w:rtl/>
          <w:lang w:bidi="ar-IQ"/>
        </w:rPr>
        <w:t xml:space="preserve">ّه معياراً </w:t>
      </w:r>
      <w:r w:rsidRPr="00904FCB">
        <w:rPr>
          <w:rFonts w:hint="cs"/>
          <w:sz w:val="27"/>
          <w:rtl/>
          <w:lang w:bidi="ar-IQ"/>
        </w:rPr>
        <w:t>للحاضر</w:t>
      </w:r>
      <w:r w:rsidR="00593F14" w:rsidRPr="00904FCB">
        <w:rPr>
          <w:rFonts w:hint="cs"/>
          <w:sz w:val="27"/>
          <w:rtl/>
          <w:lang w:bidi="ar-IQ"/>
        </w:rPr>
        <w:t>،</w:t>
      </w:r>
      <w:r w:rsidRPr="00904FCB">
        <w:rPr>
          <w:rFonts w:hint="cs"/>
          <w:sz w:val="27"/>
          <w:rtl/>
          <w:lang w:bidi="ar-IQ"/>
        </w:rPr>
        <w:t xml:space="preserve"> ودليلاً للمواقف </w:t>
      </w:r>
      <w:r w:rsidR="00593F14" w:rsidRPr="00904FCB">
        <w:rPr>
          <w:rFonts w:hint="cs"/>
          <w:sz w:val="27"/>
          <w:rtl/>
          <w:lang w:bidi="ar-IQ"/>
        </w:rPr>
        <w:t>إ</w:t>
      </w:r>
      <w:r w:rsidRPr="00904FCB">
        <w:rPr>
          <w:rFonts w:hint="cs"/>
          <w:sz w:val="27"/>
          <w:rtl/>
          <w:lang w:bidi="ar-IQ"/>
        </w:rPr>
        <w:t>زاء ال</w:t>
      </w:r>
      <w:r w:rsidR="00593F14" w:rsidRPr="00904FCB">
        <w:rPr>
          <w:rFonts w:hint="cs"/>
          <w:sz w:val="27"/>
          <w:rtl/>
          <w:lang w:bidi="ar-IQ"/>
        </w:rPr>
        <w:t>أ</w:t>
      </w:r>
      <w:r w:rsidRPr="00904FCB">
        <w:rPr>
          <w:rFonts w:hint="cs"/>
          <w:sz w:val="27"/>
          <w:rtl/>
          <w:lang w:bidi="ar-IQ"/>
        </w:rPr>
        <w:t>فكار وال</w:t>
      </w:r>
      <w:r w:rsidR="00593F14" w:rsidRPr="00904FCB">
        <w:rPr>
          <w:rFonts w:hint="cs"/>
          <w:sz w:val="27"/>
          <w:rtl/>
          <w:lang w:bidi="ar-IQ"/>
        </w:rPr>
        <w:t>آ</w:t>
      </w:r>
      <w:r w:rsidRPr="00904FCB">
        <w:rPr>
          <w:rFonts w:hint="cs"/>
          <w:sz w:val="27"/>
          <w:rtl/>
          <w:lang w:bidi="ar-IQ"/>
        </w:rPr>
        <w:t>راء والنظريات المعاصرة في مجالات بناء ال</w:t>
      </w:r>
      <w:r w:rsidR="00593F14" w:rsidRPr="00904FCB">
        <w:rPr>
          <w:rFonts w:hint="cs"/>
          <w:sz w:val="27"/>
          <w:rtl/>
          <w:lang w:bidi="ar-IQ"/>
        </w:rPr>
        <w:t>إ</w:t>
      </w:r>
      <w:r w:rsidRPr="00904FCB">
        <w:rPr>
          <w:rFonts w:hint="cs"/>
          <w:sz w:val="27"/>
          <w:rtl/>
          <w:lang w:bidi="ar-IQ"/>
        </w:rPr>
        <w:t xml:space="preserve">نسان والدولة. </w:t>
      </w:r>
    </w:p>
    <w:p w:rsidR="00952E59" w:rsidRPr="00904FCB" w:rsidRDefault="00952E59" w:rsidP="00062936">
      <w:pPr>
        <w:spacing w:line="410" w:lineRule="exact"/>
        <w:rPr>
          <w:sz w:val="27"/>
          <w:rtl/>
          <w:lang w:bidi="ar-IQ"/>
        </w:rPr>
      </w:pPr>
      <w:r w:rsidRPr="00904FCB">
        <w:rPr>
          <w:rFonts w:hint="cs"/>
          <w:sz w:val="27"/>
          <w:rtl/>
          <w:lang w:bidi="ar-IQ"/>
        </w:rPr>
        <w:t>و</w:t>
      </w:r>
      <w:r w:rsidR="00593F14" w:rsidRPr="00904FCB">
        <w:rPr>
          <w:rFonts w:hint="cs"/>
          <w:sz w:val="27"/>
          <w:rtl/>
          <w:lang w:bidi="ar-IQ"/>
        </w:rPr>
        <w:t>أ</w:t>
      </w:r>
      <w:r w:rsidRPr="00904FCB">
        <w:rPr>
          <w:rFonts w:hint="cs"/>
          <w:sz w:val="27"/>
          <w:rtl/>
          <w:lang w:bidi="ar-IQ"/>
        </w:rPr>
        <w:t xml:space="preserve">عتقد </w:t>
      </w:r>
      <w:r w:rsidR="00593F14" w:rsidRPr="00904FCB">
        <w:rPr>
          <w:rFonts w:hint="cs"/>
          <w:sz w:val="27"/>
          <w:rtl/>
          <w:lang w:bidi="ar-IQ"/>
        </w:rPr>
        <w:t>أ</w:t>
      </w:r>
      <w:r w:rsidRPr="00904FCB">
        <w:rPr>
          <w:rFonts w:hint="cs"/>
          <w:sz w:val="27"/>
          <w:rtl/>
          <w:lang w:bidi="ar-IQ"/>
        </w:rPr>
        <w:t>ن ما يصح</w:t>
      </w:r>
      <w:r w:rsidR="00DC3A4B">
        <w:rPr>
          <w:rFonts w:hint="cs"/>
          <w:sz w:val="27"/>
          <w:rtl/>
          <w:lang w:bidi="ar-IQ"/>
        </w:rPr>
        <w:t>ّ</w:t>
      </w:r>
      <w:r w:rsidRPr="00904FCB">
        <w:rPr>
          <w:rFonts w:hint="cs"/>
          <w:sz w:val="27"/>
          <w:rtl/>
          <w:lang w:bidi="ar-IQ"/>
        </w:rPr>
        <w:t xml:space="preserve"> </w:t>
      </w:r>
      <w:r w:rsidR="00593F14" w:rsidRPr="00904FCB">
        <w:rPr>
          <w:rFonts w:hint="cs"/>
          <w:sz w:val="27"/>
          <w:rtl/>
          <w:lang w:bidi="ar-IQ"/>
        </w:rPr>
        <w:t>إ</w:t>
      </w:r>
      <w:r w:rsidRPr="00904FCB">
        <w:rPr>
          <w:rFonts w:hint="cs"/>
          <w:sz w:val="27"/>
          <w:rtl/>
          <w:lang w:bidi="ar-IQ"/>
        </w:rPr>
        <w:t>طلاق مصطلح ال</w:t>
      </w:r>
      <w:r w:rsidR="00593F14" w:rsidRPr="00904FCB">
        <w:rPr>
          <w:rFonts w:hint="cs"/>
          <w:sz w:val="27"/>
          <w:rtl/>
          <w:lang w:bidi="ar-IQ"/>
        </w:rPr>
        <w:t>أ</w:t>
      </w:r>
      <w:r w:rsidRPr="00904FCB">
        <w:rPr>
          <w:rFonts w:hint="cs"/>
          <w:sz w:val="27"/>
          <w:rtl/>
          <w:lang w:bidi="ar-IQ"/>
        </w:rPr>
        <w:t>صولية عليه</w:t>
      </w:r>
      <w:r w:rsidR="00593F14" w:rsidRPr="00904FCB">
        <w:rPr>
          <w:rFonts w:hint="cs"/>
          <w:sz w:val="27"/>
          <w:rtl/>
          <w:lang w:bidi="ar-IQ"/>
        </w:rPr>
        <w:t xml:space="preserve"> هو </w:t>
      </w:r>
      <w:r w:rsidRPr="00904FCB">
        <w:rPr>
          <w:rFonts w:hint="cs"/>
          <w:sz w:val="27"/>
          <w:rtl/>
          <w:lang w:bidi="ar-IQ"/>
        </w:rPr>
        <w:t xml:space="preserve">الجماعات التي تعتمد </w:t>
      </w:r>
      <w:r w:rsidRPr="00904FCB">
        <w:rPr>
          <w:rFonts w:hint="cs"/>
          <w:sz w:val="27"/>
          <w:rtl/>
          <w:lang w:bidi="ar-IQ"/>
        </w:rPr>
        <w:lastRenderedPageBreak/>
        <w:t xml:space="preserve">على </w:t>
      </w:r>
      <w:r w:rsidR="00593F14" w:rsidRPr="00904FCB">
        <w:rPr>
          <w:rFonts w:hint="cs"/>
          <w:sz w:val="27"/>
          <w:rtl/>
          <w:lang w:bidi="ar-IQ"/>
        </w:rPr>
        <w:t>أ</w:t>
      </w:r>
      <w:r w:rsidRPr="00904FCB">
        <w:rPr>
          <w:rFonts w:hint="cs"/>
          <w:sz w:val="27"/>
          <w:rtl/>
          <w:lang w:bidi="ar-IQ"/>
        </w:rPr>
        <w:t>صول أساسية (كعقيدة وتعاليم)</w:t>
      </w:r>
      <w:r w:rsidR="00593F14" w:rsidRPr="00904FCB">
        <w:rPr>
          <w:rFonts w:hint="cs"/>
          <w:sz w:val="27"/>
          <w:rtl/>
          <w:lang w:bidi="ar-IQ"/>
        </w:rPr>
        <w:t>،</w:t>
      </w:r>
      <w:r w:rsidRPr="00904FCB">
        <w:rPr>
          <w:rFonts w:hint="cs"/>
          <w:sz w:val="27"/>
          <w:rtl/>
          <w:lang w:bidi="ar-IQ"/>
        </w:rPr>
        <w:t xml:space="preserve"> نص</w:t>
      </w:r>
      <w:r w:rsidR="00593F14" w:rsidRPr="00904FCB">
        <w:rPr>
          <w:rFonts w:hint="cs"/>
          <w:sz w:val="27"/>
          <w:rtl/>
          <w:lang w:bidi="ar-IQ"/>
        </w:rPr>
        <w:t>ّ</w:t>
      </w:r>
      <w:r w:rsidRPr="00904FCB">
        <w:rPr>
          <w:rFonts w:hint="cs"/>
          <w:sz w:val="27"/>
          <w:rtl/>
          <w:lang w:bidi="ar-IQ"/>
        </w:rPr>
        <w:t>اً أو</w:t>
      </w:r>
      <w:r w:rsidR="00593F14" w:rsidRPr="00904FCB">
        <w:rPr>
          <w:rFonts w:hint="cs"/>
          <w:sz w:val="27"/>
          <w:rtl/>
          <w:lang w:bidi="ar-IQ"/>
        </w:rPr>
        <w:t xml:space="preserve"> </w:t>
      </w:r>
      <w:r w:rsidRPr="00904FCB">
        <w:rPr>
          <w:rFonts w:hint="cs"/>
          <w:sz w:val="27"/>
          <w:rtl/>
          <w:lang w:bidi="ar-IQ"/>
        </w:rPr>
        <w:t>تأويلاً، وتؤمن بأن تلك الأصول هي الحقيقة التامة والمطلقة والخالدة، و</w:t>
      </w:r>
      <w:r w:rsidR="00593F14" w:rsidRPr="00904FCB">
        <w:rPr>
          <w:rFonts w:hint="cs"/>
          <w:sz w:val="27"/>
          <w:rtl/>
          <w:lang w:bidi="ar-IQ"/>
        </w:rPr>
        <w:t>أ</w:t>
      </w:r>
      <w:r w:rsidRPr="00904FCB">
        <w:rPr>
          <w:rFonts w:hint="cs"/>
          <w:sz w:val="27"/>
          <w:rtl/>
          <w:lang w:bidi="ar-IQ"/>
        </w:rPr>
        <w:t>ن الدفاع عنها والالتزام بفرضها على الغير واجب إلهي</w:t>
      </w:r>
      <w:r w:rsidR="00593F14" w:rsidRPr="00904FCB">
        <w:rPr>
          <w:rFonts w:hint="cs"/>
          <w:sz w:val="27"/>
          <w:rtl/>
          <w:lang w:bidi="ar-IQ"/>
        </w:rPr>
        <w:t>ّ</w:t>
      </w:r>
      <w:r w:rsidRPr="00904FCB">
        <w:rPr>
          <w:rFonts w:hint="cs"/>
          <w:sz w:val="27"/>
          <w:rtl/>
          <w:lang w:bidi="ar-IQ"/>
        </w:rPr>
        <w:t>، وتؤمن بطريقة تغييرية شاملة للمجتمع</w:t>
      </w:r>
      <w:r w:rsidR="00593F14" w:rsidRPr="00904FCB">
        <w:rPr>
          <w:rFonts w:hint="cs"/>
          <w:sz w:val="27"/>
          <w:rtl/>
          <w:lang w:bidi="ar-IQ"/>
        </w:rPr>
        <w:t>،</w:t>
      </w:r>
      <w:r w:rsidRPr="00904FCB">
        <w:rPr>
          <w:rFonts w:hint="cs"/>
          <w:sz w:val="27"/>
          <w:rtl/>
          <w:lang w:bidi="ar-IQ"/>
        </w:rPr>
        <w:t xml:space="preserve"> وبالوسائل كاف</w:t>
      </w:r>
      <w:r w:rsidR="00593F14" w:rsidRPr="00904FCB">
        <w:rPr>
          <w:rFonts w:hint="cs"/>
          <w:sz w:val="27"/>
          <w:rtl/>
          <w:lang w:bidi="ar-IQ"/>
        </w:rPr>
        <w:t>ّ</w:t>
      </w:r>
      <w:r w:rsidRPr="00904FCB">
        <w:rPr>
          <w:rFonts w:hint="cs"/>
          <w:sz w:val="27"/>
          <w:rtl/>
          <w:lang w:bidi="ar-IQ"/>
        </w:rPr>
        <w:t>ة، وتعتبر التجربة العملية ال</w:t>
      </w:r>
      <w:r w:rsidR="00593F14" w:rsidRPr="00904FCB">
        <w:rPr>
          <w:rFonts w:hint="cs"/>
          <w:sz w:val="27"/>
          <w:rtl/>
          <w:lang w:bidi="ar-IQ"/>
        </w:rPr>
        <w:t>أ</w:t>
      </w:r>
      <w:r w:rsidRPr="00904FCB">
        <w:rPr>
          <w:rFonts w:hint="cs"/>
          <w:sz w:val="27"/>
          <w:rtl/>
          <w:lang w:bidi="ar-IQ"/>
        </w:rPr>
        <w:t>ولى لتلك الأصول النظرية هي التجربة المعيارية، وتقرأ التطو</w:t>
      </w:r>
      <w:r w:rsidR="00593F14" w:rsidRPr="00904FCB">
        <w:rPr>
          <w:rFonts w:hint="cs"/>
          <w:sz w:val="27"/>
          <w:rtl/>
          <w:lang w:bidi="ar-IQ"/>
        </w:rPr>
        <w:t>ُّ</w:t>
      </w:r>
      <w:r w:rsidRPr="00904FCB">
        <w:rPr>
          <w:rFonts w:hint="cs"/>
          <w:sz w:val="27"/>
          <w:rtl/>
          <w:lang w:bidi="ar-IQ"/>
        </w:rPr>
        <w:t>رات الحضارية اللاحقة بناءً عليها بمنهجي</w:t>
      </w:r>
      <w:r w:rsidR="00593F14" w:rsidRPr="00904FCB">
        <w:rPr>
          <w:rFonts w:hint="cs"/>
          <w:sz w:val="27"/>
          <w:rtl/>
          <w:lang w:bidi="ar-IQ"/>
        </w:rPr>
        <w:t>ّ</w:t>
      </w:r>
      <w:r w:rsidRPr="00904FCB">
        <w:rPr>
          <w:rFonts w:hint="cs"/>
          <w:sz w:val="27"/>
          <w:rtl/>
          <w:lang w:bidi="ar-IQ"/>
        </w:rPr>
        <w:t>ة حرفية نصوصية ماضوية متعص</w:t>
      </w:r>
      <w:r w:rsidR="00593F14" w:rsidRPr="00904FCB">
        <w:rPr>
          <w:rFonts w:hint="cs"/>
          <w:sz w:val="27"/>
          <w:rtl/>
          <w:lang w:bidi="ar-IQ"/>
        </w:rPr>
        <w:t>ِّ</w:t>
      </w:r>
      <w:r w:rsidRPr="00904FCB">
        <w:rPr>
          <w:rFonts w:hint="cs"/>
          <w:sz w:val="27"/>
          <w:rtl/>
          <w:lang w:bidi="ar-IQ"/>
        </w:rPr>
        <w:t>بة</w:t>
      </w:r>
      <w:r w:rsidR="00593F14" w:rsidRPr="00904FCB">
        <w:rPr>
          <w:rFonts w:hint="cs"/>
          <w:sz w:val="27"/>
          <w:rtl/>
          <w:lang w:bidi="ar-IQ"/>
        </w:rPr>
        <w:t>،</w:t>
      </w:r>
      <w:r w:rsidRPr="00904FCB">
        <w:rPr>
          <w:rFonts w:hint="cs"/>
          <w:sz w:val="27"/>
          <w:rtl/>
          <w:lang w:bidi="ar-IQ"/>
        </w:rPr>
        <w:t xml:space="preserve"> رافضة لكل</w:t>
      </w:r>
      <w:r w:rsidR="00593F14" w:rsidRPr="00904FCB">
        <w:rPr>
          <w:rFonts w:hint="cs"/>
          <w:sz w:val="27"/>
          <w:rtl/>
          <w:lang w:bidi="ar-IQ"/>
        </w:rPr>
        <w:t>ّ</w:t>
      </w:r>
      <w:r w:rsidRPr="00904FCB">
        <w:rPr>
          <w:rFonts w:hint="cs"/>
          <w:sz w:val="27"/>
          <w:rtl/>
          <w:lang w:bidi="ar-IQ"/>
        </w:rPr>
        <w:t xml:space="preserve"> التطورات المدنية والتحديث، وبحيث يستحيل عليها التكي</w:t>
      </w:r>
      <w:r w:rsidR="00593F14" w:rsidRPr="00904FCB">
        <w:rPr>
          <w:rFonts w:hint="cs"/>
          <w:sz w:val="27"/>
          <w:rtl/>
          <w:lang w:bidi="ar-IQ"/>
        </w:rPr>
        <w:t>ُّ</w:t>
      </w:r>
      <w:r w:rsidRPr="00904FCB">
        <w:rPr>
          <w:rFonts w:hint="cs"/>
          <w:sz w:val="27"/>
          <w:rtl/>
          <w:lang w:bidi="ar-IQ"/>
        </w:rPr>
        <w:t>ف مع ضرورات ال</w:t>
      </w:r>
      <w:r w:rsidR="00593F14" w:rsidRPr="00904FCB">
        <w:rPr>
          <w:rFonts w:hint="cs"/>
          <w:sz w:val="27"/>
          <w:rtl/>
          <w:lang w:bidi="ar-IQ"/>
        </w:rPr>
        <w:t>أ</w:t>
      </w:r>
      <w:r w:rsidRPr="00904FCB">
        <w:rPr>
          <w:rFonts w:hint="cs"/>
          <w:sz w:val="27"/>
          <w:rtl/>
          <w:lang w:bidi="ar-IQ"/>
        </w:rPr>
        <w:t xml:space="preserve">زمنة. </w:t>
      </w:r>
    </w:p>
    <w:p w:rsidR="00952E59" w:rsidRPr="00904FCB" w:rsidRDefault="00952E59" w:rsidP="00062936">
      <w:pPr>
        <w:spacing w:line="410" w:lineRule="exact"/>
        <w:rPr>
          <w:sz w:val="27"/>
          <w:rtl/>
          <w:lang w:bidi="ar-IQ"/>
        </w:rPr>
      </w:pPr>
      <w:r w:rsidRPr="00904FCB">
        <w:rPr>
          <w:rFonts w:hint="cs"/>
          <w:sz w:val="27"/>
          <w:rtl/>
          <w:lang w:bidi="ar-IQ"/>
        </w:rPr>
        <w:t xml:space="preserve">ومن التعريف يظهر </w:t>
      </w:r>
      <w:r w:rsidR="00593F14" w:rsidRPr="00904FCB">
        <w:rPr>
          <w:rFonts w:hint="cs"/>
          <w:sz w:val="27"/>
          <w:rtl/>
          <w:lang w:bidi="ar-IQ"/>
        </w:rPr>
        <w:t>أ</w:t>
      </w:r>
      <w:r w:rsidRPr="00904FCB">
        <w:rPr>
          <w:rFonts w:hint="cs"/>
          <w:sz w:val="27"/>
          <w:rtl/>
          <w:lang w:bidi="ar-IQ"/>
        </w:rPr>
        <w:t xml:space="preserve">ن المعتقدات الدينية </w:t>
      </w:r>
      <w:r w:rsidR="00593F14" w:rsidRPr="00904FCB">
        <w:rPr>
          <w:rFonts w:hint="cs"/>
          <w:sz w:val="27"/>
          <w:rtl/>
          <w:lang w:bidi="ar-IQ"/>
        </w:rPr>
        <w:t>أ</w:t>
      </w:r>
      <w:r w:rsidRPr="00904FCB">
        <w:rPr>
          <w:rFonts w:hint="cs"/>
          <w:sz w:val="27"/>
          <w:rtl/>
          <w:lang w:bidi="ar-IQ"/>
        </w:rPr>
        <w:t>و ال</w:t>
      </w:r>
      <w:r w:rsidR="00593F14" w:rsidRPr="00904FCB">
        <w:rPr>
          <w:rFonts w:hint="cs"/>
          <w:sz w:val="27"/>
          <w:rtl/>
          <w:lang w:bidi="ar-IQ"/>
        </w:rPr>
        <w:t>أ</w:t>
      </w:r>
      <w:r w:rsidRPr="00904FCB">
        <w:rPr>
          <w:rFonts w:hint="cs"/>
          <w:sz w:val="27"/>
          <w:rtl/>
          <w:lang w:bidi="ar-IQ"/>
        </w:rPr>
        <w:t>سطورية التي تشك</w:t>
      </w:r>
      <w:r w:rsidR="00593F14" w:rsidRPr="00904FCB">
        <w:rPr>
          <w:rFonts w:hint="cs"/>
          <w:sz w:val="27"/>
          <w:rtl/>
          <w:lang w:bidi="ar-IQ"/>
        </w:rPr>
        <w:t>ِّ</w:t>
      </w:r>
      <w:r w:rsidRPr="00904FCB">
        <w:rPr>
          <w:rFonts w:hint="cs"/>
          <w:sz w:val="27"/>
          <w:rtl/>
          <w:lang w:bidi="ar-IQ"/>
        </w:rPr>
        <w:t>ل حضوراً قوياً في الذهن والسلوك</w:t>
      </w:r>
      <w:r w:rsidR="00593F14" w:rsidRPr="00904FCB">
        <w:rPr>
          <w:rFonts w:hint="cs"/>
          <w:sz w:val="27"/>
          <w:rtl/>
          <w:lang w:bidi="ar-IQ"/>
        </w:rPr>
        <w:t>،</w:t>
      </w:r>
      <w:r w:rsidRPr="00904FCB">
        <w:rPr>
          <w:rFonts w:hint="cs"/>
          <w:sz w:val="27"/>
          <w:rtl/>
          <w:lang w:bidi="ar-IQ"/>
        </w:rPr>
        <w:t xml:space="preserve"> وتعامل كأنها الحقائق النهائية والخالدة والنموذج المتطل</w:t>
      </w:r>
      <w:r w:rsidR="00593F14" w:rsidRPr="00904FCB">
        <w:rPr>
          <w:rFonts w:hint="cs"/>
          <w:sz w:val="27"/>
          <w:rtl/>
          <w:lang w:bidi="ar-IQ"/>
        </w:rPr>
        <w:t>َّ</w:t>
      </w:r>
      <w:r w:rsidRPr="00904FCB">
        <w:rPr>
          <w:rFonts w:hint="cs"/>
          <w:sz w:val="27"/>
          <w:rtl/>
          <w:lang w:bidi="ar-IQ"/>
        </w:rPr>
        <w:t xml:space="preserve">ع </w:t>
      </w:r>
      <w:r w:rsidR="00593F14" w:rsidRPr="00904FCB">
        <w:rPr>
          <w:rFonts w:hint="cs"/>
          <w:sz w:val="27"/>
          <w:rtl/>
          <w:lang w:bidi="ar-IQ"/>
        </w:rPr>
        <w:t>إ</w:t>
      </w:r>
      <w:r w:rsidRPr="00904FCB">
        <w:rPr>
          <w:rFonts w:hint="cs"/>
          <w:sz w:val="27"/>
          <w:rtl/>
          <w:lang w:bidi="ar-IQ"/>
        </w:rPr>
        <w:t>ليه والمعيار</w:t>
      </w:r>
      <w:r w:rsidR="00593F14" w:rsidRPr="00904FCB">
        <w:rPr>
          <w:rFonts w:hint="cs"/>
          <w:sz w:val="27"/>
          <w:rtl/>
          <w:lang w:bidi="ar-IQ"/>
        </w:rPr>
        <w:t>،</w:t>
      </w:r>
      <w:r w:rsidRPr="00904FCB">
        <w:rPr>
          <w:rFonts w:hint="cs"/>
          <w:sz w:val="27"/>
          <w:rtl/>
          <w:lang w:bidi="ar-IQ"/>
        </w:rPr>
        <w:t xml:space="preserve"> هي ال</w:t>
      </w:r>
      <w:r w:rsidR="00593F14" w:rsidRPr="00904FCB">
        <w:rPr>
          <w:rFonts w:hint="cs"/>
          <w:sz w:val="27"/>
          <w:rtl/>
          <w:lang w:bidi="ar-IQ"/>
        </w:rPr>
        <w:t>أ</w:t>
      </w:r>
      <w:r w:rsidRPr="00904FCB">
        <w:rPr>
          <w:rFonts w:hint="cs"/>
          <w:sz w:val="27"/>
          <w:rtl/>
          <w:lang w:bidi="ar-IQ"/>
        </w:rPr>
        <w:t>ساس لل</w:t>
      </w:r>
      <w:r w:rsidR="00593F14" w:rsidRPr="00904FCB">
        <w:rPr>
          <w:rFonts w:hint="cs"/>
          <w:sz w:val="27"/>
          <w:rtl/>
          <w:lang w:bidi="ar-IQ"/>
        </w:rPr>
        <w:t>أ</w:t>
      </w:r>
      <w:r w:rsidRPr="00904FCB">
        <w:rPr>
          <w:rFonts w:hint="cs"/>
          <w:sz w:val="27"/>
          <w:rtl/>
          <w:lang w:bidi="ar-IQ"/>
        </w:rPr>
        <w:t>صوليات المعاصرة</w:t>
      </w:r>
      <w:r w:rsidR="00593F14" w:rsidRPr="00904FCB">
        <w:rPr>
          <w:rFonts w:hint="cs"/>
          <w:sz w:val="27"/>
          <w:rtl/>
          <w:lang w:bidi="ar-IQ"/>
        </w:rPr>
        <w:t>،</w:t>
      </w:r>
      <w:r w:rsidRPr="00904FCB">
        <w:rPr>
          <w:rFonts w:hint="cs"/>
          <w:sz w:val="27"/>
          <w:rtl/>
          <w:lang w:bidi="ar-IQ"/>
        </w:rPr>
        <w:t xml:space="preserve"> سواء كانت دينية </w:t>
      </w:r>
      <w:r w:rsidR="00593F14" w:rsidRPr="00904FCB">
        <w:rPr>
          <w:rFonts w:hint="cs"/>
          <w:sz w:val="27"/>
          <w:rtl/>
          <w:lang w:bidi="ar-IQ"/>
        </w:rPr>
        <w:t>أ</w:t>
      </w:r>
      <w:r w:rsidRPr="00904FCB">
        <w:rPr>
          <w:rFonts w:hint="cs"/>
          <w:sz w:val="27"/>
          <w:rtl/>
          <w:lang w:bidi="ar-IQ"/>
        </w:rPr>
        <w:t xml:space="preserve">و سياسية </w:t>
      </w:r>
      <w:r w:rsidR="00593F14" w:rsidRPr="00904FCB">
        <w:rPr>
          <w:rFonts w:hint="cs"/>
          <w:sz w:val="27"/>
          <w:rtl/>
          <w:lang w:bidi="ar-IQ"/>
        </w:rPr>
        <w:t>أ</w:t>
      </w:r>
      <w:r w:rsidRPr="00904FCB">
        <w:rPr>
          <w:rFonts w:hint="cs"/>
          <w:sz w:val="27"/>
          <w:rtl/>
          <w:lang w:bidi="ar-IQ"/>
        </w:rPr>
        <w:t xml:space="preserve">و عرقية </w:t>
      </w:r>
      <w:r w:rsidR="00593F14" w:rsidRPr="00904FCB">
        <w:rPr>
          <w:rFonts w:hint="cs"/>
          <w:sz w:val="27"/>
          <w:rtl/>
          <w:lang w:bidi="ar-IQ"/>
        </w:rPr>
        <w:t>أ</w:t>
      </w:r>
      <w:r w:rsidRPr="00904FCB">
        <w:rPr>
          <w:rFonts w:hint="cs"/>
          <w:sz w:val="27"/>
          <w:rtl/>
          <w:lang w:bidi="ar-IQ"/>
        </w:rPr>
        <w:t>و ثقافية</w:t>
      </w:r>
      <w:r w:rsidR="00857013">
        <w:rPr>
          <w:rFonts w:hint="cs"/>
          <w:sz w:val="27"/>
          <w:rtl/>
          <w:lang w:bidi="ar-IQ"/>
        </w:rPr>
        <w:t>...، إلخ</w:t>
      </w:r>
      <w:r w:rsidR="00593F14" w:rsidRPr="00904FCB">
        <w:rPr>
          <w:rFonts w:hint="cs"/>
          <w:sz w:val="27"/>
          <w:rtl/>
          <w:lang w:bidi="ar-IQ"/>
        </w:rPr>
        <w:t>.</w:t>
      </w:r>
      <w:r w:rsidRPr="00904FCB">
        <w:rPr>
          <w:rFonts w:hint="cs"/>
          <w:sz w:val="27"/>
          <w:rtl/>
          <w:lang w:bidi="ar-IQ"/>
        </w:rPr>
        <w:t xml:space="preserve"> لكن</w:t>
      </w:r>
      <w:r w:rsidR="00593F14" w:rsidRPr="00904FCB">
        <w:rPr>
          <w:rFonts w:hint="cs"/>
          <w:sz w:val="27"/>
          <w:rtl/>
          <w:lang w:bidi="ar-IQ"/>
        </w:rPr>
        <w:t>ّ</w:t>
      </w:r>
      <w:r w:rsidRPr="00904FCB">
        <w:rPr>
          <w:rFonts w:hint="cs"/>
          <w:sz w:val="27"/>
          <w:rtl/>
          <w:lang w:bidi="ar-IQ"/>
        </w:rPr>
        <w:t xml:space="preserve"> هذا التوصيف </w:t>
      </w:r>
      <w:r w:rsidR="00593F14" w:rsidRPr="00904FCB">
        <w:rPr>
          <w:rFonts w:hint="cs"/>
          <w:sz w:val="27"/>
          <w:rtl/>
          <w:lang w:bidi="ar-IQ"/>
        </w:rPr>
        <w:t>أ</w:t>
      </w:r>
      <w:r w:rsidRPr="00904FCB">
        <w:rPr>
          <w:rFonts w:hint="cs"/>
          <w:sz w:val="27"/>
          <w:rtl/>
          <w:lang w:bidi="ar-IQ"/>
        </w:rPr>
        <w:t>كثر ما يصدق على الاتجاهات الدينية الحركية القائمة اليوم</w:t>
      </w:r>
      <w:r w:rsidR="00593F14" w:rsidRPr="00904FCB">
        <w:rPr>
          <w:rFonts w:hint="cs"/>
          <w:sz w:val="27"/>
          <w:rtl/>
          <w:lang w:bidi="ar-IQ"/>
        </w:rPr>
        <w:t>،</w:t>
      </w:r>
      <w:r w:rsidRPr="00904FCB">
        <w:rPr>
          <w:rFonts w:hint="cs"/>
          <w:sz w:val="27"/>
          <w:rtl/>
          <w:lang w:bidi="ar-IQ"/>
        </w:rPr>
        <w:t xml:space="preserve"> والتي تسعى لبناء عالم</w:t>
      </w:r>
      <w:r w:rsidR="00593F14" w:rsidRPr="00904FCB">
        <w:rPr>
          <w:rFonts w:hint="cs"/>
          <w:sz w:val="27"/>
          <w:rtl/>
          <w:lang w:bidi="ar-IQ"/>
        </w:rPr>
        <w:t>ٍ</w:t>
      </w:r>
      <w:r w:rsidRPr="00904FCB">
        <w:rPr>
          <w:rFonts w:hint="cs"/>
          <w:sz w:val="27"/>
          <w:rtl/>
          <w:lang w:bidi="ar-IQ"/>
        </w:rPr>
        <w:t xml:space="preserve"> جديد على تصو</w:t>
      </w:r>
      <w:r w:rsidR="00593F14" w:rsidRPr="00904FCB">
        <w:rPr>
          <w:rFonts w:hint="cs"/>
          <w:sz w:val="27"/>
          <w:rtl/>
          <w:lang w:bidi="ar-IQ"/>
        </w:rPr>
        <w:t>ّ</w:t>
      </w:r>
      <w:r w:rsidRPr="00904FCB">
        <w:rPr>
          <w:rFonts w:hint="cs"/>
          <w:sz w:val="27"/>
          <w:rtl/>
          <w:lang w:bidi="ar-IQ"/>
        </w:rPr>
        <w:t>ر</w:t>
      </w:r>
      <w:r w:rsidR="00593F14" w:rsidRPr="00904FCB">
        <w:rPr>
          <w:rFonts w:hint="cs"/>
          <w:sz w:val="27"/>
          <w:rtl/>
          <w:lang w:bidi="ar-IQ"/>
        </w:rPr>
        <w:t>ا</w:t>
      </w:r>
      <w:r w:rsidRPr="00904FCB">
        <w:rPr>
          <w:rFonts w:hint="cs"/>
          <w:sz w:val="27"/>
          <w:rtl/>
          <w:lang w:bidi="ar-IQ"/>
        </w:rPr>
        <w:t>تها الماضوية</w:t>
      </w:r>
      <w:r w:rsidR="00593F14" w:rsidRPr="00904FCB">
        <w:rPr>
          <w:rFonts w:hint="cs"/>
          <w:sz w:val="27"/>
          <w:rtl/>
          <w:lang w:bidi="ar-IQ"/>
        </w:rPr>
        <w:t>،</w:t>
      </w:r>
      <w:r w:rsidRPr="00904FCB">
        <w:rPr>
          <w:rFonts w:hint="cs"/>
          <w:sz w:val="27"/>
          <w:rtl/>
          <w:lang w:bidi="ar-IQ"/>
        </w:rPr>
        <w:t xml:space="preserve"> </w:t>
      </w:r>
      <w:r w:rsidR="005760D6" w:rsidRPr="00904FCB">
        <w:rPr>
          <w:rFonts w:hint="cs"/>
          <w:sz w:val="27"/>
          <w:rtl/>
          <w:lang w:bidi="ar-IQ"/>
        </w:rPr>
        <w:t>و</w:t>
      </w:r>
      <w:r w:rsidRPr="00904FCB">
        <w:rPr>
          <w:rFonts w:hint="cs"/>
          <w:sz w:val="27"/>
          <w:rtl/>
          <w:lang w:bidi="ar-IQ"/>
        </w:rPr>
        <w:t xml:space="preserve">كذلك ظهرت </w:t>
      </w:r>
      <w:r w:rsidR="005760D6" w:rsidRPr="00904FCB">
        <w:rPr>
          <w:rFonts w:hint="cs"/>
          <w:sz w:val="27"/>
          <w:rtl/>
          <w:lang w:bidi="ar-IQ"/>
        </w:rPr>
        <w:t>أ</w:t>
      </w:r>
      <w:r w:rsidRPr="00904FCB">
        <w:rPr>
          <w:rFonts w:hint="cs"/>
          <w:sz w:val="27"/>
          <w:rtl/>
          <w:lang w:bidi="ar-IQ"/>
        </w:rPr>
        <w:t>صوليات في الوسط اليهودي المسيحي والإسلامي</w:t>
      </w:r>
      <w:r w:rsidR="005760D6" w:rsidRPr="00904FCB">
        <w:rPr>
          <w:rFonts w:hint="cs"/>
          <w:sz w:val="27"/>
          <w:rtl/>
          <w:lang w:bidi="ar-IQ"/>
        </w:rPr>
        <w:t>.</w:t>
      </w:r>
    </w:p>
    <w:p w:rsidR="00952E59" w:rsidRPr="00904FCB" w:rsidRDefault="005760D6" w:rsidP="00DC3A4B">
      <w:pPr>
        <w:spacing w:line="420" w:lineRule="exact"/>
        <w:ind w:firstLine="561"/>
        <w:rPr>
          <w:sz w:val="27"/>
          <w:rtl/>
          <w:lang w:bidi="ar-IQ"/>
        </w:rPr>
      </w:pPr>
      <w:r w:rsidRPr="00904FCB">
        <w:rPr>
          <w:rFonts w:hint="cs"/>
          <w:sz w:val="27"/>
          <w:rtl/>
          <w:lang w:bidi="ar-IQ"/>
        </w:rPr>
        <w:t>أ</w:t>
      </w:r>
      <w:r w:rsidR="00952E59" w:rsidRPr="00904FCB">
        <w:rPr>
          <w:rFonts w:hint="cs"/>
          <w:sz w:val="27"/>
          <w:rtl/>
          <w:lang w:bidi="ar-IQ"/>
        </w:rPr>
        <w:t>ما الأسس الدينية لليهودية ف</w:t>
      </w:r>
      <w:r w:rsidRPr="00904FCB">
        <w:rPr>
          <w:rFonts w:hint="cs"/>
          <w:sz w:val="27"/>
          <w:rtl/>
          <w:lang w:bidi="ar-IQ"/>
        </w:rPr>
        <w:t>إ</w:t>
      </w:r>
      <w:r w:rsidR="00952E59" w:rsidRPr="00904FCB">
        <w:rPr>
          <w:rFonts w:hint="cs"/>
          <w:sz w:val="27"/>
          <w:rtl/>
          <w:lang w:bidi="ar-IQ"/>
        </w:rPr>
        <w:t>ن اليهودية ديانة سماوية مشتق</w:t>
      </w:r>
      <w:r w:rsidRPr="00904FCB">
        <w:rPr>
          <w:rFonts w:hint="cs"/>
          <w:sz w:val="27"/>
          <w:rtl/>
          <w:lang w:bidi="ar-IQ"/>
        </w:rPr>
        <w:t>ّ</w:t>
      </w:r>
      <w:r w:rsidR="00952E59" w:rsidRPr="00904FCB">
        <w:rPr>
          <w:rFonts w:hint="cs"/>
          <w:sz w:val="27"/>
          <w:rtl/>
          <w:lang w:bidi="ar-IQ"/>
        </w:rPr>
        <w:t>ة من اليهود</w:t>
      </w:r>
      <w:r w:rsidRPr="00904FCB">
        <w:rPr>
          <w:rFonts w:hint="cs"/>
          <w:sz w:val="27"/>
          <w:rtl/>
          <w:lang w:bidi="ar-IQ"/>
        </w:rPr>
        <w:t>،</w:t>
      </w:r>
      <w:r w:rsidR="00952E59" w:rsidRPr="00904FCB">
        <w:rPr>
          <w:rFonts w:hint="cs"/>
          <w:sz w:val="27"/>
          <w:rtl/>
          <w:lang w:bidi="ar-IQ"/>
        </w:rPr>
        <w:t xml:space="preserve"> وهم سلالة </w:t>
      </w:r>
      <w:r w:rsidRPr="00904FCB">
        <w:rPr>
          <w:rFonts w:hint="cs"/>
          <w:sz w:val="27"/>
          <w:rtl/>
          <w:lang w:bidi="ar-IQ"/>
        </w:rPr>
        <w:t>إ</w:t>
      </w:r>
      <w:r w:rsidR="00952E59" w:rsidRPr="00904FCB">
        <w:rPr>
          <w:rFonts w:hint="cs"/>
          <w:sz w:val="27"/>
          <w:rtl/>
          <w:lang w:bidi="ar-IQ"/>
        </w:rPr>
        <w:t>براهيم</w:t>
      </w:r>
      <w:r w:rsidR="001C1A2A" w:rsidRPr="00904FCB">
        <w:rPr>
          <w:rFonts w:cs="Mosawi" w:hint="cs"/>
          <w:sz w:val="27"/>
          <w:szCs w:val="22"/>
          <w:rtl/>
          <w:lang w:bidi="ar-IQ"/>
        </w:rPr>
        <w:t>×</w:t>
      </w:r>
      <w:r w:rsidR="00952E59" w:rsidRPr="00904FCB">
        <w:rPr>
          <w:rFonts w:hint="cs"/>
          <w:sz w:val="27"/>
          <w:rtl/>
          <w:lang w:bidi="ar-IQ"/>
        </w:rPr>
        <w:t xml:space="preserve"> الذي هاجر مع جماعته</w:t>
      </w:r>
      <w:r w:rsidRPr="00904FCB">
        <w:rPr>
          <w:rFonts w:hint="cs"/>
          <w:sz w:val="27"/>
          <w:rtl/>
          <w:lang w:bidi="ar-IQ"/>
        </w:rPr>
        <w:t>،</w:t>
      </w:r>
      <w:r w:rsidR="00952E59" w:rsidRPr="00904FCB">
        <w:rPr>
          <w:rFonts w:hint="cs"/>
          <w:sz w:val="27"/>
          <w:rtl/>
          <w:lang w:bidi="ar-IQ"/>
        </w:rPr>
        <w:t xml:space="preserve"> وهم رعاة</w:t>
      </w:r>
      <w:r w:rsidRPr="00904FCB">
        <w:rPr>
          <w:rFonts w:hint="cs"/>
          <w:sz w:val="27"/>
          <w:rtl/>
          <w:lang w:bidi="ar-IQ"/>
        </w:rPr>
        <w:t>ٌ،</w:t>
      </w:r>
      <w:r w:rsidR="00952E59" w:rsidRPr="00904FCB">
        <w:rPr>
          <w:rFonts w:hint="cs"/>
          <w:sz w:val="27"/>
          <w:rtl/>
          <w:lang w:bidi="ar-IQ"/>
        </w:rPr>
        <w:t xml:space="preserve"> من </w:t>
      </w:r>
      <w:r w:rsidRPr="00904FCB">
        <w:rPr>
          <w:rFonts w:hint="cs"/>
          <w:sz w:val="27"/>
          <w:rtl/>
          <w:lang w:bidi="ar-IQ"/>
        </w:rPr>
        <w:t>أ</w:t>
      </w:r>
      <w:r w:rsidR="00952E59" w:rsidRPr="00904FCB">
        <w:rPr>
          <w:rFonts w:hint="cs"/>
          <w:sz w:val="27"/>
          <w:rtl/>
          <w:lang w:bidi="ar-IQ"/>
        </w:rPr>
        <w:t xml:space="preserve">ور الكلدانية </w:t>
      </w:r>
      <w:r w:rsidRPr="00904FCB">
        <w:rPr>
          <w:rFonts w:hint="cs"/>
          <w:sz w:val="27"/>
          <w:rtl/>
          <w:lang w:bidi="ar-IQ"/>
        </w:rPr>
        <w:t>إ</w:t>
      </w:r>
      <w:r w:rsidR="00952E59" w:rsidRPr="00904FCB">
        <w:rPr>
          <w:rFonts w:hint="cs"/>
          <w:sz w:val="27"/>
          <w:rtl/>
          <w:lang w:bidi="ar-IQ"/>
        </w:rPr>
        <w:t xml:space="preserve">لى </w:t>
      </w:r>
      <w:r w:rsidRPr="00904FCB">
        <w:rPr>
          <w:rFonts w:hint="cs"/>
          <w:sz w:val="27"/>
          <w:rtl/>
          <w:lang w:bidi="ar-IQ"/>
        </w:rPr>
        <w:t>أ</w:t>
      </w:r>
      <w:r w:rsidR="00952E59" w:rsidRPr="00904FCB">
        <w:rPr>
          <w:rFonts w:hint="cs"/>
          <w:sz w:val="27"/>
          <w:rtl/>
          <w:lang w:bidi="ar-IQ"/>
        </w:rPr>
        <w:t xml:space="preserve">رض كنعان في </w:t>
      </w:r>
      <w:r w:rsidR="00952E59" w:rsidRPr="009B1673">
        <w:rPr>
          <w:rFonts w:hint="cs"/>
          <w:sz w:val="27"/>
          <w:rtl/>
          <w:lang w:bidi="ar-IQ"/>
        </w:rPr>
        <w:t>1850ق</w:t>
      </w:r>
      <w:r w:rsidR="00952E59" w:rsidRPr="00904FCB">
        <w:rPr>
          <w:rFonts w:hint="cs"/>
          <w:sz w:val="27"/>
          <w:rtl/>
          <w:lang w:bidi="ar-IQ"/>
        </w:rPr>
        <w:t>.م</w:t>
      </w:r>
      <w:r w:rsidRPr="00904FCB">
        <w:rPr>
          <w:rFonts w:hint="cs"/>
          <w:sz w:val="27"/>
          <w:rtl/>
          <w:lang w:bidi="ar-IQ"/>
        </w:rPr>
        <w:t>.</w:t>
      </w:r>
      <w:r w:rsidR="00952E59" w:rsidRPr="00904FCB">
        <w:rPr>
          <w:rFonts w:hint="cs"/>
          <w:sz w:val="27"/>
          <w:rtl/>
          <w:lang w:bidi="ar-IQ"/>
        </w:rPr>
        <w:t xml:space="preserve"> وسم</w:t>
      </w:r>
      <w:r w:rsidRPr="00904FCB">
        <w:rPr>
          <w:rFonts w:hint="cs"/>
          <w:sz w:val="27"/>
          <w:rtl/>
          <w:lang w:bidi="ar-IQ"/>
        </w:rPr>
        <w:t>ِّ</w:t>
      </w:r>
      <w:r w:rsidR="00952E59" w:rsidRPr="00904FCB">
        <w:rPr>
          <w:rFonts w:hint="cs"/>
          <w:sz w:val="27"/>
          <w:rtl/>
          <w:lang w:bidi="ar-IQ"/>
        </w:rPr>
        <w:t>يت هذه الجماعة بالعبرانية</w:t>
      </w:r>
      <w:r w:rsidRPr="00904FCB">
        <w:rPr>
          <w:rFonts w:hint="cs"/>
          <w:sz w:val="27"/>
          <w:rtl/>
          <w:lang w:bidi="ar-IQ"/>
        </w:rPr>
        <w:t xml:space="preserve">، </w:t>
      </w:r>
      <w:r w:rsidR="00952E59" w:rsidRPr="00904FCB">
        <w:rPr>
          <w:rFonts w:hint="cs"/>
          <w:sz w:val="27"/>
          <w:rtl/>
          <w:lang w:bidi="ar-IQ"/>
        </w:rPr>
        <w:t xml:space="preserve">نسبة </w:t>
      </w:r>
      <w:r w:rsidRPr="00904FCB">
        <w:rPr>
          <w:rFonts w:hint="cs"/>
          <w:sz w:val="27"/>
          <w:rtl/>
          <w:lang w:bidi="ar-IQ"/>
        </w:rPr>
        <w:t>إ</w:t>
      </w:r>
      <w:r w:rsidR="00952E59" w:rsidRPr="00904FCB">
        <w:rPr>
          <w:rFonts w:hint="cs"/>
          <w:sz w:val="27"/>
          <w:rtl/>
          <w:lang w:bidi="ar-IQ"/>
        </w:rPr>
        <w:t>لى عبرى</w:t>
      </w:r>
      <w:r w:rsidRPr="00904FCB">
        <w:rPr>
          <w:rFonts w:hint="cs"/>
          <w:sz w:val="27"/>
          <w:rtl/>
          <w:lang w:bidi="ar-IQ"/>
        </w:rPr>
        <w:t>،</w:t>
      </w:r>
      <w:r w:rsidR="00952E59" w:rsidRPr="00904FCB">
        <w:rPr>
          <w:rFonts w:hint="cs"/>
          <w:sz w:val="27"/>
          <w:rtl/>
          <w:lang w:bidi="ar-IQ"/>
        </w:rPr>
        <w:t xml:space="preserve"> التي تحمل معنى الرحيل والهجرة</w:t>
      </w:r>
      <w:r w:rsidRPr="00904FCB">
        <w:rPr>
          <w:rFonts w:hint="cs"/>
          <w:sz w:val="27"/>
          <w:rtl/>
          <w:lang w:bidi="ar-IQ"/>
        </w:rPr>
        <w:t>؛</w:t>
      </w:r>
      <w:r w:rsidR="00952E59" w:rsidRPr="00904FCB">
        <w:rPr>
          <w:rFonts w:hint="cs"/>
          <w:sz w:val="27"/>
          <w:rtl/>
          <w:lang w:bidi="ar-IQ"/>
        </w:rPr>
        <w:t xml:space="preserve"> وقيل</w:t>
      </w:r>
      <w:r w:rsidRPr="00904FCB">
        <w:rPr>
          <w:rFonts w:hint="cs"/>
          <w:sz w:val="27"/>
          <w:rtl/>
          <w:lang w:bidi="ar-IQ"/>
        </w:rPr>
        <w:t>:</w:t>
      </w:r>
      <w:r w:rsidR="00952E59" w:rsidRPr="00904FCB">
        <w:rPr>
          <w:rFonts w:hint="cs"/>
          <w:sz w:val="27"/>
          <w:rtl/>
          <w:lang w:bidi="ar-IQ"/>
        </w:rPr>
        <w:t xml:space="preserve"> لأن </w:t>
      </w:r>
      <w:r w:rsidRPr="00904FCB">
        <w:rPr>
          <w:rFonts w:hint="cs"/>
          <w:sz w:val="27"/>
          <w:rtl/>
          <w:lang w:bidi="ar-IQ"/>
        </w:rPr>
        <w:t>إ</w:t>
      </w:r>
      <w:r w:rsidR="00952E59" w:rsidRPr="00904FCB">
        <w:rPr>
          <w:rFonts w:hint="cs"/>
          <w:sz w:val="27"/>
          <w:rtl/>
          <w:lang w:bidi="ar-IQ"/>
        </w:rPr>
        <w:t xml:space="preserve">براهيم عبر نهر الفرات </w:t>
      </w:r>
      <w:r w:rsidRPr="00904FCB">
        <w:rPr>
          <w:rFonts w:hint="cs"/>
          <w:sz w:val="27"/>
          <w:rtl/>
          <w:lang w:bidi="ar-IQ"/>
        </w:rPr>
        <w:t>أ</w:t>
      </w:r>
      <w:r w:rsidR="00952E59" w:rsidRPr="00904FCB">
        <w:rPr>
          <w:rFonts w:hint="cs"/>
          <w:sz w:val="27"/>
          <w:rtl/>
          <w:lang w:bidi="ar-IQ"/>
        </w:rPr>
        <w:t>و نهر ال</w:t>
      </w:r>
      <w:r w:rsidRPr="00904FCB">
        <w:rPr>
          <w:rFonts w:hint="cs"/>
          <w:sz w:val="27"/>
          <w:rtl/>
          <w:lang w:bidi="ar-IQ"/>
        </w:rPr>
        <w:t>أ</w:t>
      </w:r>
      <w:r w:rsidR="00952E59" w:rsidRPr="00904FCB">
        <w:rPr>
          <w:rFonts w:hint="cs"/>
          <w:sz w:val="27"/>
          <w:rtl/>
          <w:lang w:bidi="ar-IQ"/>
        </w:rPr>
        <w:t>ردن</w:t>
      </w:r>
      <w:r w:rsidR="00952E59" w:rsidRPr="00904FCB">
        <w:rPr>
          <w:rFonts w:hint="cs"/>
          <w:sz w:val="27"/>
          <w:vertAlign w:val="superscript"/>
          <w:rtl/>
          <w:lang w:bidi="ar-IQ"/>
        </w:rPr>
        <w:t>(</w:t>
      </w:r>
      <w:r w:rsidR="00952E59" w:rsidRPr="00904FCB">
        <w:rPr>
          <w:rStyle w:val="ac"/>
          <w:sz w:val="27"/>
          <w:rtl/>
          <w:lang w:bidi="ar-IQ"/>
        </w:rPr>
        <w:endnoteReference w:id="289"/>
      </w:r>
      <w:r w:rsidR="00952E59" w:rsidRPr="00904FCB">
        <w:rPr>
          <w:rFonts w:hint="cs"/>
          <w:sz w:val="27"/>
          <w:vertAlign w:val="superscript"/>
          <w:rtl/>
          <w:lang w:bidi="ar-IQ"/>
        </w:rPr>
        <w:t>)</w:t>
      </w:r>
      <w:r w:rsidRPr="00904FCB">
        <w:rPr>
          <w:rFonts w:hint="cs"/>
          <w:sz w:val="27"/>
          <w:rtl/>
          <w:lang w:bidi="ar-IQ"/>
        </w:rPr>
        <w:t>،</w:t>
      </w:r>
      <w:r w:rsidR="00952E59" w:rsidRPr="00904FCB">
        <w:rPr>
          <w:rFonts w:hint="cs"/>
          <w:sz w:val="27"/>
          <w:rtl/>
          <w:lang w:bidi="ar-IQ"/>
        </w:rPr>
        <w:t xml:space="preserve"> فكلمة عبري مثل كلمة بدوي</w:t>
      </w:r>
      <w:r w:rsidRPr="00904FCB">
        <w:rPr>
          <w:rFonts w:hint="cs"/>
          <w:sz w:val="27"/>
          <w:rtl/>
          <w:lang w:bidi="ar-IQ"/>
        </w:rPr>
        <w:t>؛</w:t>
      </w:r>
      <w:r w:rsidR="00952E59" w:rsidRPr="00904FCB">
        <w:rPr>
          <w:rFonts w:hint="cs"/>
          <w:sz w:val="27"/>
          <w:rtl/>
          <w:lang w:bidi="ar-IQ"/>
        </w:rPr>
        <w:t xml:space="preserve"> وقيل</w:t>
      </w:r>
      <w:r w:rsidRPr="00904FCB">
        <w:rPr>
          <w:rFonts w:hint="cs"/>
          <w:sz w:val="27"/>
          <w:rtl/>
          <w:lang w:bidi="ar-IQ"/>
        </w:rPr>
        <w:t>:</w:t>
      </w:r>
      <w:r w:rsidR="00952E59" w:rsidRPr="00904FCB">
        <w:rPr>
          <w:rFonts w:hint="cs"/>
          <w:sz w:val="27"/>
          <w:rtl/>
          <w:lang w:bidi="ar-IQ"/>
        </w:rPr>
        <w:t xml:space="preserve"> سم</w:t>
      </w:r>
      <w:r w:rsidRPr="00904FCB">
        <w:rPr>
          <w:rFonts w:hint="cs"/>
          <w:sz w:val="27"/>
          <w:rtl/>
          <w:lang w:bidi="ar-IQ"/>
        </w:rPr>
        <w:t>ّ</w:t>
      </w:r>
      <w:r w:rsidR="00952E59" w:rsidRPr="00904FCB">
        <w:rPr>
          <w:rFonts w:hint="cs"/>
          <w:sz w:val="27"/>
          <w:rtl/>
          <w:lang w:bidi="ar-IQ"/>
        </w:rPr>
        <w:t>وا بالعبريين لعلاقتهم بالصحراء</w:t>
      </w:r>
      <w:r w:rsidRPr="00904FCB">
        <w:rPr>
          <w:rFonts w:hint="cs"/>
          <w:sz w:val="27"/>
          <w:rtl/>
          <w:lang w:bidi="ar-IQ"/>
        </w:rPr>
        <w:t>.</w:t>
      </w:r>
      <w:r w:rsidR="00952E59" w:rsidRPr="00904FCB">
        <w:rPr>
          <w:rFonts w:hint="cs"/>
          <w:sz w:val="27"/>
          <w:rtl/>
          <w:lang w:bidi="ar-IQ"/>
        </w:rPr>
        <w:t xml:space="preserve"> ثم هاجر هؤلاء القوم </w:t>
      </w:r>
      <w:r w:rsidRPr="00904FCB">
        <w:rPr>
          <w:rFonts w:hint="cs"/>
          <w:sz w:val="27"/>
          <w:rtl/>
          <w:lang w:bidi="ar-IQ"/>
        </w:rPr>
        <w:t>إ</w:t>
      </w:r>
      <w:r w:rsidR="00952E59" w:rsidRPr="00904FCB">
        <w:rPr>
          <w:rFonts w:hint="cs"/>
          <w:sz w:val="27"/>
          <w:rtl/>
          <w:lang w:bidi="ar-IQ"/>
        </w:rPr>
        <w:t xml:space="preserve">لى مصر </w:t>
      </w:r>
      <w:r w:rsidR="00952E59" w:rsidRPr="006333E0">
        <w:rPr>
          <w:rFonts w:cs="Ya-Ali" w:hint="cs"/>
          <w:sz w:val="27"/>
          <w:rtl/>
          <w:lang w:bidi="ar-IQ"/>
        </w:rPr>
        <w:t>1656</w:t>
      </w:r>
      <w:r w:rsidR="00952E59" w:rsidRPr="00904FCB">
        <w:rPr>
          <w:rFonts w:hint="cs"/>
          <w:sz w:val="27"/>
          <w:rtl/>
          <w:lang w:bidi="ar-IQ"/>
        </w:rPr>
        <w:t>ق.م</w:t>
      </w:r>
      <w:r w:rsidRPr="00904FCB">
        <w:rPr>
          <w:rFonts w:hint="cs"/>
          <w:sz w:val="27"/>
          <w:rtl/>
          <w:lang w:bidi="ar-IQ"/>
        </w:rPr>
        <w:t>؛</w:t>
      </w:r>
      <w:r w:rsidR="00952E59" w:rsidRPr="00904FCB">
        <w:rPr>
          <w:rFonts w:hint="cs"/>
          <w:sz w:val="27"/>
          <w:rtl/>
          <w:lang w:bidi="ar-IQ"/>
        </w:rPr>
        <w:t xml:space="preserve"> بسبب القحط </w:t>
      </w:r>
      <w:r w:rsidRPr="00904FCB">
        <w:rPr>
          <w:rFonts w:hint="cs"/>
          <w:sz w:val="27"/>
          <w:rtl/>
          <w:lang w:bidi="ar-IQ"/>
        </w:rPr>
        <w:t>أ</w:t>
      </w:r>
      <w:r w:rsidR="00952E59" w:rsidRPr="00904FCB">
        <w:rPr>
          <w:rFonts w:hint="cs"/>
          <w:sz w:val="27"/>
          <w:rtl/>
          <w:lang w:bidi="ar-IQ"/>
        </w:rPr>
        <w:t>و بأمر</w:t>
      </w:r>
      <w:r w:rsidRPr="00904FCB">
        <w:rPr>
          <w:rFonts w:hint="cs"/>
          <w:sz w:val="27"/>
          <w:rtl/>
          <w:lang w:bidi="ar-IQ"/>
        </w:rPr>
        <w:t>ٍ</w:t>
      </w:r>
      <w:r w:rsidR="00952E59" w:rsidRPr="00904FCB">
        <w:rPr>
          <w:rFonts w:hint="cs"/>
          <w:sz w:val="27"/>
          <w:rtl/>
          <w:lang w:bidi="ar-IQ"/>
        </w:rPr>
        <w:t xml:space="preserve"> إلهي</w:t>
      </w:r>
      <w:r w:rsidRPr="00904FCB">
        <w:rPr>
          <w:rFonts w:hint="cs"/>
          <w:sz w:val="27"/>
          <w:rtl/>
          <w:lang w:bidi="ar-IQ"/>
        </w:rPr>
        <w:t>؛</w:t>
      </w:r>
      <w:r w:rsidR="00952E59" w:rsidRPr="00904FCB">
        <w:rPr>
          <w:rFonts w:hint="cs"/>
          <w:sz w:val="27"/>
          <w:rtl/>
          <w:lang w:bidi="ar-IQ"/>
        </w:rPr>
        <w:t xml:space="preserve"> للالتحاق بعزيز مصر</w:t>
      </w:r>
      <w:r w:rsidRPr="00904FCB">
        <w:rPr>
          <w:rFonts w:hint="cs"/>
          <w:sz w:val="27"/>
          <w:rtl/>
          <w:lang w:bidi="ar-IQ"/>
        </w:rPr>
        <w:t>.</w:t>
      </w:r>
      <w:r w:rsidR="00952E59" w:rsidRPr="00904FCB">
        <w:rPr>
          <w:rFonts w:hint="cs"/>
          <w:sz w:val="27"/>
          <w:rtl/>
          <w:lang w:bidi="ar-IQ"/>
        </w:rPr>
        <w:t xml:space="preserve"> فقد جاء في سفر الخروج أن</w:t>
      </w:r>
      <w:r w:rsidRPr="00904FCB">
        <w:rPr>
          <w:rFonts w:hint="cs"/>
          <w:sz w:val="27"/>
          <w:rtl/>
          <w:lang w:bidi="ar-IQ"/>
        </w:rPr>
        <w:t>ّ</w:t>
      </w:r>
      <w:r w:rsidR="00952E59" w:rsidRPr="00904FCB">
        <w:rPr>
          <w:rFonts w:hint="cs"/>
          <w:sz w:val="27"/>
          <w:rtl/>
          <w:lang w:bidi="ar-IQ"/>
        </w:rPr>
        <w:t xml:space="preserve"> الله قال ليعقوب</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أ</w:t>
      </w:r>
      <w:r w:rsidR="00952E59" w:rsidRPr="00904FCB">
        <w:rPr>
          <w:rFonts w:hint="cs"/>
          <w:sz w:val="27"/>
          <w:rtl/>
          <w:lang w:bidi="ar-IQ"/>
        </w:rPr>
        <w:t xml:space="preserve">نا الله </w:t>
      </w:r>
      <w:r w:rsidRPr="00904FCB">
        <w:rPr>
          <w:rFonts w:hint="cs"/>
          <w:sz w:val="27"/>
          <w:rtl/>
          <w:lang w:bidi="ar-IQ"/>
        </w:rPr>
        <w:t>إ</w:t>
      </w:r>
      <w:r w:rsidR="00952E59" w:rsidRPr="00904FCB">
        <w:rPr>
          <w:rFonts w:hint="cs"/>
          <w:sz w:val="27"/>
          <w:rtl/>
          <w:lang w:bidi="ar-IQ"/>
        </w:rPr>
        <w:t xml:space="preserve">له </w:t>
      </w:r>
      <w:r w:rsidRPr="00904FCB">
        <w:rPr>
          <w:rFonts w:hint="cs"/>
          <w:sz w:val="27"/>
          <w:rtl/>
          <w:lang w:bidi="ar-IQ"/>
        </w:rPr>
        <w:t>أب</w:t>
      </w:r>
      <w:r w:rsidR="00952E59" w:rsidRPr="00904FCB">
        <w:rPr>
          <w:rFonts w:hint="cs"/>
          <w:sz w:val="27"/>
          <w:rtl/>
          <w:lang w:bidi="ar-IQ"/>
        </w:rPr>
        <w:t>يك</w:t>
      </w:r>
      <w:r w:rsidRPr="00904FCB">
        <w:rPr>
          <w:rFonts w:hint="cs"/>
          <w:sz w:val="27"/>
          <w:rtl/>
          <w:lang w:bidi="ar-IQ"/>
        </w:rPr>
        <w:t>.</w:t>
      </w:r>
      <w:r w:rsidR="00952E59" w:rsidRPr="00904FCB">
        <w:rPr>
          <w:rFonts w:hint="cs"/>
          <w:sz w:val="27"/>
          <w:rtl/>
          <w:lang w:bidi="ar-IQ"/>
        </w:rPr>
        <w:t xml:space="preserve"> لا</w:t>
      </w:r>
      <w:r w:rsidRPr="00904FCB">
        <w:rPr>
          <w:rFonts w:hint="cs"/>
          <w:sz w:val="27"/>
          <w:rtl/>
          <w:lang w:bidi="ar-IQ"/>
        </w:rPr>
        <w:t xml:space="preserve"> </w:t>
      </w:r>
      <w:r w:rsidR="00952E59" w:rsidRPr="00904FCB">
        <w:rPr>
          <w:rFonts w:hint="cs"/>
          <w:sz w:val="27"/>
          <w:rtl/>
          <w:lang w:bidi="ar-IQ"/>
        </w:rPr>
        <w:t>تخ</w:t>
      </w:r>
      <w:r w:rsidRPr="00904FCB">
        <w:rPr>
          <w:rFonts w:hint="cs"/>
          <w:sz w:val="27"/>
          <w:rtl/>
          <w:lang w:bidi="ar-IQ"/>
        </w:rPr>
        <w:t>َ</w:t>
      </w:r>
      <w:r w:rsidR="00952E59" w:rsidRPr="00904FCB">
        <w:rPr>
          <w:rFonts w:hint="cs"/>
          <w:sz w:val="27"/>
          <w:rtl/>
          <w:lang w:bidi="ar-IQ"/>
        </w:rPr>
        <w:t>ف</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أ</w:t>
      </w:r>
      <w:r w:rsidR="00952E59" w:rsidRPr="00904FCB">
        <w:rPr>
          <w:rFonts w:hint="cs"/>
          <w:sz w:val="27"/>
          <w:rtl/>
          <w:lang w:bidi="ar-IQ"/>
        </w:rPr>
        <w:t xml:space="preserve">ن تنزل </w:t>
      </w:r>
      <w:r w:rsidRPr="00904FCB">
        <w:rPr>
          <w:rFonts w:hint="cs"/>
          <w:sz w:val="27"/>
          <w:rtl/>
          <w:lang w:bidi="ar-IQ"/>
        </w:rPr>
        <w:t>إ</w:t>
      </w:r>
      <w:r w:rsidR="00952E59" w:rsidRPr="00904FCB">
        <w:rPr>
          <w:rFonts w:hint="cs"/>
          <w:sz w:val="27"/>
          <w:rtl/>
          <w:lang w:bidi="ar-IQ"/>
        </w:rPr>
        <w:t>لى مصر</w:t>
      </w:r>
      <w:r w:rsidRPr="00904FCB">
        <w:rPr>
          <w:rFonts w:hint="cs"/>
          <w:sz w:val="27"/>
          <w:rtl/>
          <w:lang w:bidi="ar-IQ"/>
        </w:rPr>
        <w:t>،</w:t>
      </w:r>
      <w:r w:rsidR="00952E59" w:rsidRPr="00904FCB">
        <w:rPr>
          <w:rFonts w:hint="cs"/>
          <w:sz w:val="27"/>
          <w:rtl/>
          <w:lang w:bidi="ar-IQ"/>
        </w:rPr>
        <w:t xml:space="preserve"> فس</w:t>
      </w:r>
      <w:r w:rsidRPr="00904FCB">
        <w:rPr>
          <w:rFonts w:hint="cs"/>
          <w:sz w:val="27"/>
          <w:rtl/>
          <w:lang w:bidi="ar-IQ"/>
        </w:rPr>
        <w:t>أ</w:t>
      </w:r>
      <w:r w:rsidR="00952E59" w:rsidRPr="00904FCB">
        <w:rPr>
          <w:rFonts w:hint="cs"/>
          <w:sz w:val="27"/>
          <w:rtl/>
          <w:lang w:bidi="ar-IQ"/>
        </w:rPr>
        <w:t xml:space="preserve">جعلك </w:t>
      </w:r>
      <w:r w:rsidRPr="00904FCB">
        <w:rPr>
          <w:rFonts w:hint="cs"/>
          <w:sz w:val="27"/>
          <w:rtl/>
          <w:lang w:bidi="ar-IQ"/>
        </w:rPr>
        <w:t>أ</w:t>
      </w:r>
      <w:r w:rsidR="00952E59" w:rsidRPr="00904FCB">
        <w:rPr>
          <w:rFonts w:hint="cs"/>
          <w:sz w:val="27"/>
          <w:rtl/>
          <w:lang w:bidi="ar-IQ"/>
        </w:rPr>
        <w:t>مة عظيمة هناك)، (</w:t>
      </w:r>
      <w:r w:rsidRPr="00904FCB">
        <w:rPr>
          <w:rFonts w:hint="cs"/>
          <w:sz w:val="27"/>
          <w:rtl/>
          <w:lang w:bidi="ar-IQ"/>
        </w:rPr>
        <w:t>أ</w:t>
      </w:r>
      <w:r w:rsidR="00952E59" w:rsidRPr="00904FCB">
        <w:rPr>
          <w:rFonts w:hint="cs"/>
          <w:sz w:val="27"/>
          <w:rtl/>
          <w:lang w:bidi="ar-IQ"/>
        </w:rPr>
        <w:t xml:space="preserve">نا </w:t>
      </w:r>
      <w:r w:rsidRPr="00904FCB">
        <w:rPr>
          <w:rFonts w:hint="cs"/>
          <w:sz w:val="27"/>
          <w:rtl/>
          <w:lang w:bidi="ar-IQ"/>
        </w:rPr>
        <w:t>أ</w:t>
      </w:r>
      <w:r w:rsidR="00952E59" w:rsidRPr="00904FCB">
        <w:rPr>
          <w:rFonts w:hint="cs"/>
          <w:sz w:val="27"/>
          <w:rtl/>
          <w:lang w:bidi="ar-IQ"/>
        </w:rPr>
        <w:t xml:space="preserve">نزل معك </w:t>
      </w:r>
      <w:r w:rsidRPr="00904FCB">
        <w:rPr>
          <w:rFonts w:hint="cs"/>
          <w:sz w:val="27"/>
          <w:rtl/>
          <w:lang w:bidi="ar-IQ"/>
        </w:rPr>
        <w:t>إ</w:t>
      </w:r>
      <w:r w:rsidR="00952E59" w:rsidRPr="00904FCB">
        <w:rPr>
          <w:rFonts w:hint="cs"/>
          <w:sz w:val="27"/>
          <w:rtl/>
          <w:lang w:bidi="ar-IQ"/>
        </w:rPr>
        <w:t>لى مصر</w:t>
      </w:r>
      <w:r w:rsidRPr="00904FCB">
        <w:rPr>
          <w:rFonts w:hint="cs"/>
          <w:sz w:val="27"/>
          <w:rtl/>
          <w:lang w:bidi="ar-IQ"/>
        </w:rPr>
        <w:t>،</w:t>
      </w:r>
      <w:r w:rsidR="00952E59" w:rsidRPr="00904FCB">
        <w:rPr>
          <w:rFonts w:hint="cs"/>
          <w:sz w:val="27"/>
          <w:rtl/>
          <w:lang w:bidi="ar-IQ"/>
        </w:rPr>
        <w:t xml:space="preserve"> و</w:t>
      </w:r>
      <w:r w:rsidRPr="00904FCB">
        <w:rPr>
          <w:rFonts w:hint="cs"/>
          <w:sz w:val="27"/>
          <w:rtl/>
          <w:lang w:bidi="ar-IQ"/>
        </w:rPr>
        <w:t>أ</w:t>
      </w:r>
      <w:r w:rsidR="00952E59" w:rsidRPr="00904FCB">
        <w:rPr>
          <w:rFonts w:hint="cs"/>
          <w:sz w:val="27"/>
          <w:rtl/>
          <w:lang w:bidi="ar-IQ"/>
        </w:rPr>
        <w:t xml:space="preserve">نا </w:t>
      </w:r>
      <w:r w:rsidRPr="00904FCB">
        <w:rPr>
          <w:rFonts w:hint="cs"/>
          <w:sz w:val="27"/>
          <w:rtl/>
          <w:lang w:bidi="ar-IQ"/>
        </w:rPr>
        <w:t>أ</w:t>
      </w:r>
      <w:r w:rsidR="00952E59" w:rsidRPr="00904FCB">
        <w:rPr>
          <w:rFonts w:hint="cs"/>
          <w:sz w:val="27"/>
          <w:rtl/>
          <w:lang w:bidi="ar-IQ"/>
        </w:rPr>
        <w:t>صعدك منها</w:t>
      </w:r>
      <w:r w:rsidRPr="00904FCB">
        <w:rPr>
          <w:rFonts w:hint="cs"/>
          <w:sz w:val="27"/>
          <w:rtl/>
          <w:lang w:bidi="ar-IQ"/>
        </w:rPr>
        <w:t>.</w:t>
      </w:r>
      <w:r w:rsidR="00952E59" w:rsidRPr="00904FCB">
        <w:rPr>
          <w:rFonts w:hint="cs"/>
          <w:sz w:val="27"/>
          <w:rtl/>
          <w:lang w:bidi="ar-IQ"/>
        </w:rPr>
        <w:t xml:space="preserve"> ويوسف هو الذي يغمض عينيك ساعة تموت)</w:t>
      </w:r>
      <w:r w:rsidR="00952E59" w:rsidRPr="00904FCB">
        <w:rPr>
          <w:rFonts w:hint="cs"/>
          <w:sz w:val="27"/>
          <w:vertAlign w:val="superscript"/>
          <w:rtl/>
          <w:lang w:bidi="ar-IQ"/>
        </w:rPr>
        <w:t>(</w:t>
      </w:r>
      <w:r w:rsidR="00952E59" w:rsidRPr="00904FCB">
        <w:rPr>
          <w:rStyle w:val="ac"/>
          <w:sz w:val="27"/>
          <w:rtl/>
          <w:lang w:bidi="ar-IQ"/>
        </w:rPr>
        <w:endnoteReference w:id="290"/>
      </w:r>
      <w:r w:rsidR="00952E59" w:rsidRPr="00904FCB">
        <w:rPr>
          <w:rFonts w:hint="cs"/>
          <w:sz w:val="27"/>
          <w:vertAlign w:val="superscript"/>
          <w:rtl/>
          <w:lang w:bidi="ar-IQ"/>
        </w:rPr>
        <w:t>)</w:t>
      </w:r>
      <w:r w:rsidRPr="00904FCB">
        <w:rPr>
          <w:rFonts w:hint="cs"/>
          <w:sz w:val="27"/>
          <w:rtl/>
          <w:lang w:bidi="ar-IQ"/>
        </w:rPr>
        <w:t>.</w:t>
      </w:r>
      <w:r w:rsidR="00952E59" w:rsidRPr="00904FCB">
        <w:rPr>
          <w:rFonts w:hint="cs"/>
          <w:sz w:val="27"/>
          <w:rtl/>
          <w:lang w:bidi="ar-IQ"/>
        </w:rPr>
        <w:t xml:space="preserve"> لقد كان بن</w:t>
      </w:r>
      <w:r w:rsidRPr="00904FCB">
        <w:rPr>
          <w:rFonts w:hint="cs"/>
          <w:sz w:val="27"/>
          <w:rtl/>
          <w:lang w:bidi="ar-IQ"/>
        </w:rPr>
        <w:t>و</w:t>
      </w:r>
      <w:r w:rsidR="00952E59" w:rsidRPr="00904FCB">
        <w:rPr>
          <w:rFonts w:hint="cs"/>
          <w:sz w:val="27"/>
          <w:rtl/>
          <w:lang w:bidi="ar-IQ"/>
        </w:rPr>
        <w:t xml:space="preserve"> يعقوب و</w:t>
      </w:r>
      <w:r w:rsidRPr="00904FCB">
        <w:rPr>
          <w:rFonts w:hint="cs"/>
          <w:sz w:val="27"/>
          <w:rtl/>
          <w:lang w:bidi="ar-IQ"/>
        </w:rPr>
        <w:t>أ</w:t>
      </w:r>
      <w:r w:rsidR="00952E59" w:rsidRPr="00904FCB">
        <w:rPr>
          <w:rFonts w:hint="cs"/>
          <w:sz w:val="27"/>
          <w:rtl/>
          <w:lang w:bidi="ar-IQ"/>
        </w:rPr>
        <w:t>حفاده قوم</w:t>
      </w:r>
      <w:r w:rsidRPr="00904FCB">
        <w:rPr>
          <w:rFonts w:hint="cs"/>
          <w:sz w:val="27"/>
          <w:rtl/>
          <w:lang w:bidi="ar-IQ"/>
        </w:rPr>
        <w:t>اً</w:t>
      </w:r>
      <w:r w:rsidR="00952E59" w:rsidRPr="00904FCB">
        <w:rPr>
          <w:rFonts w:hint="cs"/>
          <w:sz w:val="27"/>
          <w:rtl/>
          <w:lang w:bidi="ar-IQ"/>
        </w:rPr>
        <w:t xml:space="preserve"> بزعامة يعقوب</w:t>
      </w:r>
      <w:r w:rsidR="001C1A2A" w:rsidRPr="00904FCB">
        <w:rPr>
          <w:rFonts w:cs="Mosawi" w:hint="cs"/>
          <w:sz w:val="27"/>
          <w:szCs w:val="22"/>
          <w:rtl/>
          <w:lang w:bidi="ar-IQ"/>
        </w:rPr>
        <w:t>×</w:t>
      </w:r>
      <w:r w:rsidRPr="00904FCB">
        <w:rPr>
          <w:rFonts w:hint="cs"/>
          <w:sz w:val="27"/>
          <w:rtl/>
          <w:lang w:bidi="ar-IQ"/>
        </w:rPr>
        <w:t>،</w:t>
      </w:r>
      <w:r w:rsidR="00952E59" w:rsidRPr="00904FCB">
        <w:rPr>
          <w:rFonts w:hint="cs"/>
          <w:sz w:val="27"/>
          <w:rtl/>
          <w:lang w:bidi="ar-IQ"/>
        </w:rPr>
        <w:t xml:space="preserve"> الذي </w:t>
      </w:r>
      <w:r w:rsidRPr="00904FCB">
        <w:rPr>
          <w:rFonts w:hint="cs"/>
          <w:sz w:val="27"/>
          <w:rtl/>
          <w:lang w:bidi="ar-IQ"/>
        </w:rPr>
        <w:t>أ</w:t>
      </w:r>
      <w:r w:rsidR="00952E59" w:rsidRPr="00904FCB">
        <w:rPr>
          <w:rFonts w:hint="cs"/>
          <w:sz w:val="27"/>
          <w:rtl/>
          <w:lang w:bidi="ar-IQ"/>
        </w:rPr>
        <w:t>سموه ب</w:t>
      </w:r>
      <w:r w:rsidRPr="00904FCB">
        <w:rPr>
          <w:rFonts w:hint="cs"/>
          <w:sz w:val="27"/>
          <w:rtl/>
          <w:lang w:bidi="ar-IQ"/>
        </w:rPr>
        <w:t>إ</w:t>
      </w:r>
      <w:r w:rsidR="00952E59" w:rsidRPr="00904FCB">
        <w:rPr>
          <w:rFonts w:hint="cs"/>
          <w:sz w:val="27"/>
          <w:rtl/>
          <w:lang w:bidi="ar-IQ"/>
        </w:rPr>
        <w:t>سرائيل</w:t>
      </w:r>
      <w:r w:rsidRPr="00904FCB">
        <w:rPr>
          <w:rFonts w:hint="cs"/>
          <w:sz w:val="27"/>
          <w:rtl/>
          <w:lang w:bidi="ar-IQ"/>
        </w:rPr>
        <w:t>،</w:t>
      </w:r>
      <w:r w:rsidR="00952E59" w:rsidRPr="00904FCB">
        <w:rPr>
          <w:rFonts w:hint="cs"/>
          <w:sz w:val="27"/>
          <w:rtl/>
          <w:lang w:bidi="ar-IQ"/>
        </w:rPr>
        <w:t xml:space="preserve"> ونسبوا </w:t>
      </w:r>
      <w:r w:rsidRPr="00904FCB">
        <w:rPr>
          <w:rFonts w:hint="cs"/>
          <w:sz w:val="27"/>
          <w:rtl/>
          <w:lang w:bidi="ar-IQ"/>
        </w:rPr>
        <w:t>إ</w:t>
      </w:r>
      <w:r w:rsidR="00952E59" w:rsidRPr="00904FCB">
        <w:rPr>
          <w:rFonts w:hint="cs"/>
          <w:sz w:val="27"/>
          <w:rtl/>
          <w:lang w:bidi="ar-IQ"/>
        </w:rPr>
        <w:t>ليه</w:t>
      </w:r>
      <w:r w:rsidRPr="00904FCB">
        <w:rPr>
          <w:rFonts w:hint="cs"/>
          <w:sz w:val="27"/>
          <w:rtl/>
          <w:lang w:bidi="ar-IQ"/>
        </w:rPr>
        <w:t>،</w:t>
      </w:r>
      <w:r w:rsidR="00952E59" w:rsidRPr="00904FCB">
        <w:rPr>
          <w:rFonts w:hint="cs"/>
          <w:sz w:val="27"/>
          <w:rtl/>
          <w:lang w:bidi="ar-IQ"/>
        </w:rPr>
        <w:t xml:space="preserve"> فسم</w:t>
      </w:r>
      <w:r w:rsidRPr="00904FCB">
        <w:rPr>
          <w:rFonts w:hint="cs"/>
          <w:sz w:val="27"/>
          <w:rtl/>
          <w:lang w:bidi="ar-IQ"/>
        </w:rPr>
        <w:t>ّ</w:t>
      </w:r>
      <w:r w:rsidR="00952E59" w:rsidRPr="00904FCB">
        <w:rPr>
          <w:rFonts w:hint="cs"/>
          <w:sz w:val="27"/>
          <w:rtl/>
          <w:lang w:bidi="ar-IQ"/>
        </w:rPr>
        <w:t xml:space="preserve">وا </w:t>
      </w:r>
      <w:r w:rsidRPr="00904FCB">
        <w:rPr>
          <w:rFonts w:hint="cs"/>
          <w:sz w:val="27"/>
          <w:rtl/>
          <w:lang w:bidi="ar-IQ"/>
        </w:rPr>
        <w:t>أ</w:t>
      </w:r>
      <w:r w:rsidR="00952E59" w:rsidRPr="00904FCB">
        <w:rPr>
          <w:rFonts w:hint="cs"/>
          <w:sz w:val="27"/>
          <w:rtl/>
          <w:lang w:bidi="ar-IQ"/>
        </w:rPr>
        <w:t xml:space="preserve">نفسهم بني </w:t>
      </w:r>
      <w:r w:rsidRPr="00904FCB">
        <w:rPr>
          <w:rFonts w:hint="cs"/>
          <w:sz w:val="27"/>
          <w:rtl/>
          <w:lang w:bidi="ar-IQ"/>
        </w:rPr>
        <w:t>إ</w:t>
      </w:r>
      <w:r w:rsidR="00952E59" w:rsidRPr="00904FCB">
        <w:rPr>
          <w:rFonts w:hint="cs"/>
          <w:sz w:val="27"/>
          <w:rtl/>
          <w:lang w:bidi="ar-IQ"/>
        </w:rPr>
        <w:t>سرائيل</w:t>
      </w:r>
      <w:r w:rsidRPr="00904FCB">
        <w:rPr>
          <w:rFonts w:hint="cs"/>
          <w:sz w:val="27"/>
          <w:rtl/>
          <w:lang w:bidi="ar-IQ"/>
        </w:rPr>
        <w:t>.</w:t>
      </w:r>
      <w:r w:rsidR="00952E59" w:rsidRPr="00904FCB">
        <w:rPr>
          <w:rFonts w:hint="cs"/>
          <w:sz w:val="27"/>
          <w:rtl/>
          <w:lang w:bidi="ar-IQ"/>
        </w:rPr>
        <w:t xml:space="preserve"> وعادوا بعد دعوة موسى</w:t>
      </w:r>
      <w:r w:rsidR="001C1A2A" w:rsidRPr="00904FCB">
        <w:rPr>
          <w:rFonts w:cs="Mosawi" w:hint="cs"/>
          <w:sz w:val="27"/>
          <w:szCs w:val="22"/>
          <w:rtl/>
          <w:lang w:bidi="ar-IQ"/>
        </w:rPr>
        <w:t>×</w:t>
      </w:r>
      <w:r w:rsidR="00952E59" w:rsidRPr="00904FCB">
        <w:rPr>
          <w:rFonts w:hint="cs"/>
          <w:sz w:val="27"/>
          <w:rtl/>
          <w:lang w:bidi="ar-IQ"/>
        </w:rPr>
        <w:t xml:space="preserve"> </w:t>
      </w:r>
      <w:r w:rsidRPr="00904FCB">
        <w:rPr>
          <w:rFonts w:hint="cs"/>
          <w:sz w:val="27"/>
          <w:rtl/>
          <w:lang w:bidi="ar-IQ"/>
        </w:rPr>
        <w:t>إ</w:t>
      </w:r>
      <w:r w:rsidR="00952E59" w:rsidRPr="00904FCB">
        <w:rPr>
          <w:rFonts w:hint="cs"/>
          <w:sz w:val="27"/>
          <w:rtl/>
          <w:lang w:bidi="ar-IQ"/>
        </w:rPr>
        <w:t xml:space="preserve">لى </w:t>
      </w:r>
      <w:r w:rsidRPr="00904FCB">
        <w:rPr>
          <w:rFonts w:hint="cs"/>
          <w:sz w:val="27"/>
          <w:rtl/>
          <w:lang w:bidi="ar-IQ"/>
        </w:rPr>
        <w:t>أ</w:t>
      </w:r>
      <w:r w:rsidR="00952E59" w:rsidRPr="00904FCB">
        <w:rPr>
          <w:rFonts w:hint="cs"/>
          <w:sz w:val="27"/>
          <w:rtl/>
          <w:lang w:bidi="ar-IQ"/>
        </w:rPr>
        <w:t>رض كنعان في (</w:t>
      </w:r>
      <w:r w:rsidR="00952E59" w:rsidRPr="009B1673">
        <w:rPr>
          <w:rFonts w:hint="cs"/>
          <w:sz w:val="27"/>
          <w:rtl/>
          <w:lang w:bidi="ar-IQ"/>
        </w:rPr>
        <w:t>1290ق</w:t>
      </w:r>
      <w:r w:rsidR="00952E59" w:rsidRPr="00904FCB">
        <w:rPr>
          <w:rFonts w:hint="cs"/>
          <w:sz w:val="27"/>
          <w:rtl/>
          <w:lang w:bidi="ar-IQ"/>
        </w:rPr>
        <w:t>.م)</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إ</w:t>
      </w:r>
      <w:r w:rsidR="00952E59" w:rsidRPr="00904FCB">
        <w:rPr>
          <w:rFonts w:hint="cs"/>
          <w:sz w:val="27"/>
          <w:rtl/>
          <w:lang w:bidi="ar-IQ"/>
        </w:rPr>
        <w:t>لى فلسطين</w:t>
      </w:r>
      <w:r w:rsidRPr="00904FCB">
        <w:rPr>
          <w:rFonts w:hint="cs"/>
          <w:sz w:val="27"/>
          <w:rtl/>
          <w:lang w:bidi="ar-IQ"/>
        </w:rPr>
        <w:t>،</w:t>
      </w:r>
      <w:r w:rsidR="00952E59" w:rsidRPr="00904FCB">
        <w:rPr>
          <w:rFonts w:hint="cs"/>
          <w:sz w:val="27"/>
          <w:rtl/>
          <w:lang w:bidi="ar-IQ"/>
        </w:rPr>
        <w:t xml:space="preserve"> وقيل</w:t>
      </w:r>
      <w:r w:rsidRPr="00904FCB">
        <w:rPr>
          <w:rFonts w:hint="cs"/>
          <w:sz w:val="27"/>
          <w:rtl/>
          <w:lang w:bidi="ar-IQ"/>
        </w:rPr>
        <w:t>:</w:t>
      </w:r>
      <w:r w:rsidR="00952E59" w:rsidRPr="00904FCB">
        <w:rPr>
          <w:rFonts w:hint="cs"/>
          <w:sz w:val="27"/>
          <w:rtl/>
          <w:lang w:bidi="ar-IQ"/>
        </w:rPr>
        <w:t xml:space="preserve"> سنة </w:t>
      </w:r>
      <w:r w:rsidR="00952E59" w:rsidRPr="009B1673">
        <w:rPr>
          <w:rFonts w:hint="cs"/>
          <w:sz w:val="27"/>
          <w:rtl/>
          <w:lang w:bidi="ar-IQ"/>
        </w:rPr>
        <w:t>1213ق</w:t>
      </w:r>
      <w:r w:rsidR="00952E59" w:rsidRPr="00904FCB">
        <w:rPr>
          <w:rFonts w:hint="cs"/>
          <w:sz w:val="27"/>
          <w:rtl/>
          <w:lang w:bidi="ar-IQ"/>
        </w:rPr>
        <w:t>.م</w:t>
      </w:r>
      <w:r w:rsidR="00952E59" w:rsidRPr="00904FCB">
        <w:rPr>
          <w:rFonts w:hint="cs"/>
          <w:sz w:val="27"/>
          <w:vertAlign w:val="superscript"/>
          <w:rtl/>
          <w:lang w:bidi="ar-IQ"/>
        </w:rPr>
        <w:t>(</w:t>
      </w:r>
      <w:r w:rsidR="00952E59" w:rsidRPr="00904FCB">
        <w:rPr>
          <w:rStyle w:val="ac"/>
          <w:sz w:val="27"/>
          <w:rtl/>
          <w:lang w:bidi="ar-IQ"/>
        </w:rPr>
        <w:endnoteReference w:id="291"/>
      </w:r>
      <w:r w:rsidR="00952E59" w:rsidRPr="00904FCB">
        <w:rPr>
          <w:rFonts w:hint="cs"/>
          <w:sz w:val="27"/>
          <w:vertAlign w:val="superscript"/>
          <w:rtl/>
          <w:lang w:bidi="ar-IQ"/>
        </w:rPr>
        <w:t>)</w:t>
      </w:r>
      <w:r w:rsidR="00952E59" w:rsidRPr="00904FCB">
        <w:rPr>
          <w:rFonts w:hint="cs"/>
          <w:sz w:val="27"/>
          <w:rtl/>
          <w:lang w:bidi="ar-IQ"/>
        </w:rPr>
        <w:t xml:space="preserve">. </w:t>
      </w:r>
    </w:p>
    <w:p w:rsidR="00952E59" w:rsidRPr="00904FCB" w:rsidRDefault="00952E59" w:rsidP="00062936">
      <w:pPr>
        <w:spacing w:line="410" w:lineRule="exact"/>
        <w:rPr>
          <w:sz w:val="27"/>
          <w:rtl/>
          <w:lang w:bidi="ar-IQ"/>
        </w:rPr>
      </w:pPr>
      <w:r w:rsidRPr="00904FCB">
        <w:rPr>
          <w:rFonts w:hint="cs"/>
          <w:sz w:val="27"/>
          <w:rtl/>
          <w:lang w:bidi="ar-IQ"/>
        </w:rPr>
        <w:t xml:space="preserve">وفي سنة </w:t>
      </w:r>
      <w:r w:rsidRPr="009B1673">
        <w:rPr>
          <w:rFonts w:hint="cs"/>
          <w:sz w:val="27"/>
          <w:rtl/>
          <w:lang w:bidi="ar-IQ"/>
        </w:rPr>
        <w:t>930ق</w:t>
      </w:r>
      <w:r w:rsidRPr="00904FCB">
        <w:rPr>
          <w:rFonts w:hint="cs"/>
          <w:sz w:val="27"/>
          <w:rtl/>
          <w:lang w:bidi="ar-IQ"/>
        </w:rPr>
        <w:t xml:space="preserve">.م </w:t>
      </w:r>
      <w:r w:rsidR="005760D6" w:rsidRPr="00904FCB">
        <w:rPr>
          <w:rFonts w:hint="cs"/>
          <w:sz w:val="27"/>
          <w:rtl/>
          <w:lang w:bidi="ar-IQ"/>
        </w:rPr>
        <w:t>أ</w:t>
      </w:r>
      <w:r w:rsidRPr="00904FCB">
        <w:rPr>
          <w:rFonts w:hint="cs"/>
          <w:sz w:val="27"/>
          <w:rtl/>
          <w:lang w:bidi="ar-IQ"/>
        </w:rPr>
        <w:t xml:space="preserve">قام </w:t>
      </w:r>
      <w:r w:rsidR="005760D6" w:rsidRPr="00904FCB">
        <w:rPr>
          <w:rFonts w:hint="cs"/>
          <w:sz w:val="27"/>
          <w:rtl/>
          <w:lang w:bidi="ar-IQ"/>
        </w:rPr>
        <w:t>أ</w:t>
      </w:r>
      <w:r w:rsidRPr="00904FCB">
        <w:rPr>
          <w:rFonts w:hint="cs"/>
          <w:sz w:val="27"/>
          <w:rtl/>
          <w:lang w:bidi="ar-IQ"/>
        </w:rPr>
        <w:t>سباط يهوذا وبنيامين</w:t>
      </w:r>
      <w:r w:rsidR="005760D6" w:rsidRPr="00904FCB">
        <w:rPr>
          <w:rFonts w:hint="cs"/>
          <w:sz w:val="27"/>
          <w:rtl/>
          <w:lang w:bidi="ar-IQ"/>
        </w:rPr>
        <w:t>،</w:t>
      </w:r>
      <w:r w:rsidRPr="00904FCB">
        <w:rPr>
          <w:rFonts w:hint="cs"/>
          <w:sz w:val="27"/>
          <w:rtl/>
          <w:lang w:bidi="ar-IQ"/>
        </w:rPr>
        <w:t xml:space="preserve"> الموالين لرحبعام بن سليمان بن </w:t>
      </w:r>
      <w:r w:rsidRPr="00904FCB">
        <w:rPr>
          <w:rFonts w:hint="cs"/>
          <w:sz w:val="27"/>
          <w:rtl/>
          <w:lang w:bidi="ar-IQ"/>
        </w:rPr>
        <w:lastRenderedPageBreak/>
        <w:t>داو</w:t>
      </w:r>
      <w:r w:rsidR="005760D6" w:rsidRPr="00904FCB">
        <w:rPr>
          <w:rFonts w:hint="cs"/>
          <w:sz w:val="27"/>
          <w:rtl/>
          <w:lang w:bidi="ar-IQ"/>
        </w:rPr>
        <w:t>و</w:t>
      </w:r>
      <w:r w:rsidRPr="00904FCB">
        <w:rPr>
          <w:rFonts w:hint="cs"/>
          <w:sz w:val="27"/>
          <w:rtl/>
          <w:lang w:bidi="ar-IQ"/>
        </w:rPr>
        <w:t>د مملكة يهوذا</w:t>
      </w:r>
      <w:r w:rsidR="005760D6" w:rsidRPr="00904FCB">
        <w:rPr>
          <w:rFonts w:hint="cs"/>
          <w:sz w:val="27"/>
          <w:rtl/>
          <w:lang w:bidi="ar-IQ"/>
        </w:rPr>
        <w:t>،</w:t>
      </w:r>
      <w:r w:rsidRPr="00904FCB">
        <w:rPr>
          <w:rFonts w:hint="cs"/>
          <w:sz w:val="27"/>
          <w:rtl/>
          <w:lang w:bidi="ar-IQ"/>
        </w:rPr>
        <w:t xml:space="preserve"> نسبة </w:t>
      </w:r>
      <w:r w:rsidR="005760D6" w:rsidRPr="00904FCB">
        <w:rPr>
          <w:rFonts w:hint="cs"/>
          <w:sz w:val="27"/>
          <w:rtl/>
          <w:lang w:bidi="ar-IQ"/>
        </w:rPr>
        <w:t>إ</w:t>
      </w:r>
      <w:r w:rsidRPr="00904FCB">
        <w:rPr>
          <w:rFonts w:hint="cs"/>
          <w:sz w:val="27"/>
          <w:rtl/>
          <w:lang w:bidi="ar-IQ"/>
        </w:rPr>
        <w:t>لى م</w:t>
      </w:r>
      <w:r w:rsidR="005760D6" w:rsidRPr="00904FCB">
        <w:rPr>
          <w:rFonts w:hint="cs"/>
          <w:sz w:val="27"/>
          <w:rtl/>
          <w:lang w:bidi="ar-IQ"/>
        </w:rPr>
        <w:t>َ</w:t>
      </w:r>
      <w:r w:rsidRPr="00904FCB">
        <w:rPr>
          <w:rFonts w:hint="cs"/>
          <w:sz w:val="27"/>
          <w:rtl/>
          <w:lang w:bidi="ar-IQ"/>
        </w:rPr>
        <w:t>ن</w:t>
      </w:r>
      <w:r w:rsidR="005760D6" w:rsidRPr="00904FCB">
        <w:rPr>
          <w:rFonts w:hint="cs"/>
          <w:sz w:val="27"/>
          <w:rtl/>
          <w:lang w:bidi="ar-IQ"/>
        </w:rPr>
        <w:t>ْ</w:t>
      </w:r>
      <w:r w:rsidRPr="00904FCB">
        <w:rPr>
          <w:rFonts w:hint="cs"/>
          <w:sz w:val="27"/>
          <w:rtl/>
          <w:lang w:bidi="ar-IQ"/>
        </w:rPr>
        <w:t xml:space="preserve"> تناسل من يهوذا</w:t>
      </w:r>
      <w:r w:rsidR="005760D6" w:rsidRPr="00904FCB">
        <w:rPr>
          <w:rFonts w:hint="cs"/>
          <w:sz w:val="27"/>
          <w:rtl/>
          <w:lang w:bidi="ar-IQ"/>
        </w:rPr>
        <w:t>،</w:t>
      </w:r>
      <w:r w:rsidRPr="00904FCB">
        <w:rPr>
          <w:rFonts w:hint="cs"/>
          <w:sz w:val="27"/>
          <w:rtl/>
          <w:lang w:bidi="ar-IQ"/>
        </w:rPr>
        <w:t xml:space="preserve"> فغلبت عليهم تسمية اليهود</w:t>
      </w:r>
      <w:r w:rsidRPr="00904FCB">
        <w:rPr>
          <w:rFonts w:hint="cs"/>
          <w:sz w:val="27"/>
          <w:vertAlign w:val="superscript"/>
          <w:rtl/>
          <w:lang w:bidi="ar-IQ"/>
        </w:rPr>
        <w:t>(</w:t>
      </w:r>
      <w:r w:rsidRPr="00904FCB">
        <w:rPr>
          <w:sz w:val="27"/>
          <w:vertAlign w:val="superscript"/>
          <w:rtl/>
          <w:lang w:bidi="ar-IQ"/>
        </w:rPr>
        <w:endnoteReference w:id="292"/>
      </w:r>
      <w:r w:rsidRPr="00904FCB">
        <w:rPr>
          <w:rFonts w:hint="cs"/>
          <w:sz w:val="27"/>
          <w:vertAlign w:val="superscript"/>
          <w:rtl/>
          <w:lang w:bidi="ar-IQ"/>
        </w:rPr>
        <w:t>)</w:t>
      </w:r>
      <w:r w:rsidR="005760D6" w:rsidRPr="00904FCB">
        <w:rPr>
          <w:rFonts w:hint="cs"/>
          <w:sz w:val="27"/>
          <w:rtl/>
          <w:lang w:bidi="ar-IQ"/>
        </w:rPr>
        <w:t>.</w:t>
      </w:r>
      <w:r w:rsidRPr="00904FCB">
        <w:rPr>
          <w:rFonts w:hint="cs"/>
          <w:sz w:val="27"/>
          <w:rtl/>
          <w:lang w:bidi="ar-IQ"/>
        </w:rPr>
        <w:t xml:space="preserve"> تقول التوراة في سفر الملوك ال</w:t>
      </w:r>
      <w:r w:rsidR="005760D6" w:rsidRPr="00904FCB">
        <w:rPr>
          <w:rFonts w:hint="cs"/>
          <w:sz w:val="27"/>
          <w:rtl/>
          <w:lang w:bidi="ar-IQ"/>
        </w:rPr>
        <w:t>أ</w:t>
      </w:r>
      <w:r w:rsidRPr="00904FCB">
        <w:rPr>
          <w:rFonts w:hint="cs"/>
          <w:sz w:val="27"/>
          <w:rtl/>
          <w:lang w:bidi="ar-IQ"/>
        </w:rPr>
        <w:t>ول</w:t>
      </w:r>
      <w:r w:rsidR="005760D6" w:rsidRPr="00904FCB">
        <w:rPr>
          <w:rFonts w:hint="cs"/>
          <w:sz w:val="27"/>
          <w:rtl/>
          <w:lang w:bidi="ar-IQ"/>
        </w:rPr>
        <w:t>:</w:t>
      </w:r>
      <w:r w:rsidRPr="00904FCB">
        <w:rPr>
          <w:rFonts w:hint="cs"/>
          <w:sz w:val="27"/>
          <w:rtl/>
          <w:lang w:bidi="ar-IQ"/>
        </w:rPr>
        <w:t xml:space="preserve"> </w:t>
      </w:r>
      <w:r w:rsidRPr="00904FCB">
        <w:rPr>
          <w:rFonts w:hint="eastAsia"/>
          <w:sz w:val="27"/>
          <w:rtl/>
        </w:rPr>
        <w:t>«</w:t>
      </w:r>
      <w:r w:rsidRPr="00904FCB">
        <w:rPr>
          <w:rFonts w:hint="cs"/>
          <w:sz w:val="27"/>
          <w:rtl/>
          <w:lang w:bidi="ar-IQ"/>
        </w:rPr>
        <w:t>وكان شعب يهوذا و</w:t>
      </w:r>
      <w:r w:rsidR="005760D6" w:rsidRPr="00904FCB">
        <w:rPr>
          <w:rFonts w:hint="cs"/>
          <w:sz w:val="27"/>
          <w:rtl/>
          <w:lang w:bidi="ar-IQ"/>
        </w:rPr>
        <w:t>إ</w:t>
      </w:r>
      <w:r w:rsidRPr="00904FCB">
        <w:rPr>
          <w:rFonts w:hint="cs"/>
          <w:sz w:val="27"/>
          <w:rtl/>
          <w:lang w:bidi="ar-IQ"/>
        </w:rPr>
        <w:t>سرائيل في الكثرة كرمل النجر</w:t>
      </w:r>
      <w:r w:rsidR="005760D6" w:rsidRPr="00904FCB">
        <w:rPr>
          <w:rFonts w:hint="cs"/>
          <w:sz w:val="27"/>
          <w:rtl/>
          <w:lang w:bidi="ar-IQ"/>
        </w:rPr>
        <w:t>،</w:t>
      </w:r>
      <w:r w:rsidRPr="00904FCB">
        <w:rPr>
          <w:rFonts w:hint="cs"/>
          <w:sz w:val="27"/>
          <w:rtl/>
          <w:lang w:bidi="ar-IQ"/>
        </w:rPr>
        <w:t xml:space="preserve"> يأكلون ويشربون</w:t>
      </w:r>
      <w:r w:rsidRPr="00904FCB">
        <w:rPr>
          <w:rFonts w:hint="eastAsia"/>
          <w:sz w:val="27"/>
          <w:rtl/>
        </w:rPr>
        <w:t>»</w:t>
      </w:r>
      <w:r w:rsidRPr="00904FCB">
        <w:rPr>
          <w:rFonts w:hint="cs"/>
          <w:sz w:val="27"/>
          <w:rtl/>
          <w:lang w:bidi="ar-IQ"/>
        </w:rPr>
        <w:t xml:space="preserve">. </w:t>
      </w:r>
    </w:p>
    <w:p w:rsidR="00952E59" w:rsidRPr="00904FCB" w:rsidRDefault="00952E59" w:rsidP="00DC3A4B">
      <w:pPr>
        <w:spacing w:line="420" w:lineRule="exact"/>
        <w:ind w:firstLine="561"/>
        <w:rPr>
          <w:sz w:val="27"/>
          <w:rtl/>
          <w:lang w:bidi="ar-IQ"/>
        </w:rPr>
      </w:pPr>
      <w:r w:rsidRPr="00904FCB">
        <w:rPr>
          <w:rFonts w:hint="cs"/>
          <w:sz w:val="27"/>
          <w:rtl/>
          <w:lang w:bidi="ar-IQ"/>
        </w:rPr>
        <w:t xml:space="preserve">ويعتقد اليهود استمراراً لموثوقية اليهودية </w:t>
      </w:r>
      <w:r w:rsidR="005760D6" w:rsidRPr="00904FCB">
        <w:rPr>
          <w:rFonts w:hint="cs"/>
          <w:sz w:val="27"/>
          <w:rtl/>
          <w:lang w:bidi="ar-IQ"/>
        </w:rPr>
        <w:t>أ</w:t>
      </w:r>
      <w:r w:rsidRPr="00904FCB">
        <w:rPr>
          <w:rFonts w:hint="cs"/>
          <w:sz w:val="27"/>
          <w:rtl/>
          <w:lang w:bidi="ar-IQ"/>
        </w:rPr>
        <w:t>ن التوراة خالدة وثابتة</w:t>
      </w:r>
      <w:r w:rsidR="005760D6" w:rsidRPr="00904FCB">
        <w:rPr>
          <w:rFonts w:hint="cs"/>
          <w:sz w:val="27"/>
          <w:rtl/>
          <w:lang w:bidi="ar-IQ"/>
        </w:rPr>
        <w:t>،</w:t>
      </w:r>
      <w:r w:rsidRPr="00904FCB">
        <w:rPr>
          <w:rFonts w:hint="cs"/>
          <w:sz w:val="27"/>
          <w:rtl/>
          <w:lang w:bidi="ar-IQ"/>
        </w:rPr>
        <w:t xml:space="preserve"> ولا</w:t>
      </w:r>
      <w:r w:rsidR="005760D6" w:rsidRPr="00904FCB">
        <w:rPr>
          <w:rFonts w:hint="cs"/>
          <w:sz w:val="27"/>
          <w:rtl/>
          <w:lang w:bidi="ar-IQ"/>
        </w:rPr>
        <w:t xml:space="preserve"> </w:t>
      </w:r>
      <w:r w:rsidRPr="00904FCB">
        <w:rPr>
          <w:rFonts w:hint="cs"/>
          <w:sz w:val="27"/>
          <w:rtl/>
          <w:lang w:bidi="ar-IQ"/>
        </w:rPr>
        <w:t>تنسخ</w:t>
      </w:r>
      <w:r w:rsidR="005760D6" w:rsidRPr="00904FCB">
        <w:rPr>
          <w:rFonts w:hint="cs"/>
          <w:sz w:val="27"/>
          <w:rtl/>
          <w:lang w:bidi="ar-IQ"/>
        </w:rPr>
        <w:t>.</w:t>
      </w:r>
      <w:r w:rsidRPr="00904FCB">
        <w:rPr>
          <w:rFonts w:hint="cs"/>
          <w:sz w:val="27"/>
          <w:rtl/>
          <w:lang w:bidi="ar-IQ"/>
        </w:rPr>
        <w:t xml:space="preserve"> وهي دعوى ضد</w:t>
      </w:r>
      <w:r w:rsidR="005760D6" w:rsidRPr="00904FCB">
        <w:rPr>
          <w:rFonts w:hint="cs"/>
          <w:sz w:val="27"/>
          <w:rtl/>
          <w:lang w:bidi="ar-IQ"/>
        </w:rPr>
        <w:t>ّ</w:t>
      </w:r>
      <w:r w:rsidRPr="00904FCB">
        <w:rPr>
          <w:rFonts w:hint="cs"/>
          <w:sz w:val="27"/>
          <w:rtl/>
          <w:lang w:bidi="ar-IQ"/>
        </w:rPr>
        <w:t xml:space="preserve"> ال</w:t>
      </w:r>
      <w:r w:rsidR="005760D6" w:rsidRPr="00904FCB">
        <w:rPr>
          <w:rFonts w:hint="cs"/>
          <w:sz w:val="27"/>
          <w:rtl/>
          <w:lang w:bidi="ar-IQ"/>
        </w:rPr>
        <w:t>أ</w:t>
      </w:r>
      <w:r w:rsidRPr="00904FCB">
        <w:rPr>
          <w:rFonts w:hint="cs"/>
          <w:sz w:val="27"/>
          <w:rtl/>
          <w:lang w:bidi="ar-IQ"/>
        </w:rPr>
        <w:t>ديان ال</w:t>
      </w:r>
      <w:r w:rsidR="005760D6" w:rsidRPr="00904FCB">
        <w:rPr>
          <w:rFonts w:hint="cs"/>
          <w:sz w:val="27"/>
          <w:rtl/>
          <w:lang w:bidi="ar-IQ"/>
        </w:rPr>
        <w:t>أ</w:t>
      </w:r>
      <w:r w:rsidRPr="00904FCB">
        <w:rPr>
          <w:rFonts w:hint="cs"/>
          <w:sz w:val="27"/>
          <w:rtl/>
          <w:lang w:bidi="ar-IQ"/>
        </w:rPr>
        <w:t>خرى</w:t>
      </w:r>
      <w:r w:rsidR="005760D6" w:rsidRPr="00904FCB">
        <w:rPr>
          <w:rFonts w:hint="cs"/>
          <w:sz w:val="27"/>
          <w:rtl/>
          <w:lang w:bidi="ar-IQ"/>
        </w:rPr>
        <w:t>، و</w:t>
      </w:r>
      <w:r w:rsidRPr="00904FCB">
        <w:rPr>
          <w:rFonts w:hint="cs"/>
          <w:sz w:val="27"/>
          <w:rtl/>
          <w:lang w:bidi="ar-IQ"/>
        </w:rPr>
        <w:t>لا</w:t>
      </w:r>
      <w:r w:rsidR="005760D6" w:rsidRPr="00904FCB">
        <w:rPr>
          <w:rFonts w:hint="cs"/>
          <w:sz w:val="27"/>
          <w:rtl/>
          <w:lang w:bidi="ar-IQ"/>
        </w:rPr>
        <w:t xml:space="preserve"> </w:t>
      </w:r>
      <w:r w:rsidRPr="00904FCB">
        <w:rPr>
          <w:rFonts w:hint="cs"/>
          <w:sz w:val="27"/>
          <w:rtl/>
          <w:lang w:bidi="ar-IQ"/>
        </w:rPr>
        <w:t>سي</w:t>
      </w:r>
      <w:r w:rsidR="005760D6" w:rsidRPr="00904FCB">
        <w:rPr>
          <w:rFonts w:hint="cs"/>
          <w:sz w:val="27"/>
          <w:rtl/>
          <w:lang w:bidi="ar-IQ"/>
        </w:rPr>
        <w:t>َّ</w:t>
      </w:r>
      <w:r w:rsidRPr="00904FCB">
        <w:rPr>
          <w:rFonts w:hint="cs"/>
          <w:sz w:val="27"/>
          <w:rtl/>
          <w:lang w:bidi="ar-IQ"/>
        </w:rPr>
        <w:t>ما المسيحية بوصفها الوحي التالي لليهودية</w:t>
      </w:r>
      <w:r w:rsidR="005760D6" w:rsidRPr="00904FCB">
        <w:rPr>
          <w:rFonts w:hint="cs"/>
          <w:sz w:val="27"/>
          <w:rtl/>
          <w:lang w:bidi="ar-IQ"/>
        </w:rPr>
        <w:t>،</w:t>
      </w:r>
      <w:r w:rsidRPr="00904FCB">
        <w:rPr>
          <w:rFonts w:hint="cs"/>
          <w:sz w:val="27"/>
          <w:rtl/>
          <w:lang w:bidi="ar-IQ"/>
        </w:rPr>
        <w:t xml:space="preserve"> فهي عندهم (اللوجوس ال</w:t>
      </w:r>
      <w:r w:rsidR="005760D6" w:rsidRPr="00904FCB">
        <w:rPr>
          <w:rFonts w:hint="cs"/>
          <w:sz w:val="27"/>
          <w:rtl/>
          <w:lang w:bidi="ar-IQ"/>
        </w:rPr>
        <w:t>إ</w:t>
      </w:r>
      <w:r w:rsidRPr="00904FCB">
        <w:rPr>
          <w:rFonts w:hint="cs"/>
          <w:sz w:val="27"/>
          <w:rtl/>
          <w:lang w:bidi="ar-IQ"/>
        </w:rPr>
        <w:t>لهي) (</w:t>
      </w:r>
      <w:r w:rsidRPr="00904FCB">
        <w:rPr>
          <w:rFonts w:asciiTheme="majorBidi" w:hAnsiTheme="majorBidi" w:cstheme="majorBidi"/>
          <w:sz w:val="22"/>
          <w:szCs w:val="22"/>
          <w:lang w:bidi="fa-IR"/>
        </w:rPr>
        <w:t>the divine logos</w:t>
      </w:r>
      <w:r w:rsidRPr="00904FCB">
        <w:rPr>
          <w:rFonts w:hint="cs"/>
          <w:sz w:val="27"/>
          <w:rtl/>
          <w:lang w:bidi="ar-IQ"/>
        </w:rPr>
        <w:t>)</w:t>
      </w:r>
      <w:r w:rsidR="005760D6" w:rsidRPr="00904FCB">
        <w:rPr>
          <w:rFonts w:hint="cs"/>
          <w:sz w:val="27"/>
          <w:rtl/>
          <w:lang w:bidi="ar-IQ"/>
        </w:rPr>
        <w:t>،</w:t>
      </w:r>
      <w:r w:rsidRPr="00904FCB">
        <w:rPr>
          <w:rFonts w:hint="cs"/>
          <w:sz w:val="27"/>
          <w:rtl/>
          <w:lang w:bidi="ar-IQ"/>
        </w:rPr>
        <w:t xml:space="preserve"> والتعبير عن الحكمة السرمدية، وهي ثابتة مثل ثبات الله</w:t>
      </w:r>
      <w:r w:rsidR="005760D6" w:rsidRPr="00904FCB">
        <w:rPr>
          <w:rFonts w:hint="cs"/>
          <w:sz w:val="27"/>
          <w:rtl/>
          <w:lang w:bidi="ar-IQ"/>
        </w:rPr>
        <w:t>.</w:t>
      </w:r>
      <w:r w:rsidRPr="00904FCB">
        <w:rPr>
          <w:rFonts w:hint="cs"/>
          <w:sz w:val="27"/>
          <w:rtl/>
          <w:lang w:bidi="ar-IQ"/>
        </w:rPr>
        <w:t xml:space="preserve"> </w:t>
      </w:r>
      <w:r w:rsidR="005760D6" w:rsidRPr="00904FCB">
        <w:rPr>
          <w:rFonts w:hint="cs"/>
          <w:sz w:val="27"/>
          <w:rtl/>
          <w:lang w:bidi="ar-IQ"/>
        </w:rPr>
        <w:t>أ</w:t>
      </w:r>
      <w:r w:rsidRPr="00904FCB">
        <w:rPr>
          <w:rFonts w:hint="cs"/>
          <w:sz w:val="27"/>
          <w:rtl/>
          <w:lang w:bidi="ar-IQ"/>
        </w:rPr>
        <w:t>ما اللاهوت اليهودي فهو أقل</w:t>
      </w:r>
      <w:r w:rsidR="005760D6" w:rsidRPr="00904FCB">
        <w:rPr>
          <w:rFonts w:hint="cs"/>
          <w:sz w:val="27"/>
          <w:rtl/>
          <w:lang w:bidi="ar-IQ"/>
        </w:rPr>
        <w:t>ّ</w:t>
      </w:r>
      <w:r w:rsidRPr="00904FCB">
        <w:rPr>
          <w:rFonts w:hint="cs"/>
          <w:sz w:val="27"/>
          <w:rtl/>
          <w:lang w:bidi="ar-IQ"/>
        </w:rPr>
        <w:t xml:space="preserve"> اعتماداً على المعرفة ال</w:t>
      </w:r>
      <w:r w:rsidR="005760D6" w:rsidRPr="00904FCB">
        <w:rPr>
          <w:rFonts w:hint="cs"/>
          <w:sz w:val="27"/>
          <w:rtl/>
          <w:lang w:bidi="ar-IQ"/>
        </w:rPr>
        <w:t>إ</w:t>
      </w:r>
      <w:r w:rsidRPr="00904FCB">
        <w:rPr>
          <w:rFonts w:hint="cs"/>
          <w:sz w:val="27"/>
          <w:rtl/>
          <w:lang w:bidi="ar-IQ"/>
        </w:rPr>
        <w:t>غريقية</w:t>
      </w:r>
      <w:r w:rsidR="005760D6" w:rsidRPr="00904FCB">
        <w:rPr>
          <w:rFonts w:hint="cs"/>
          <w:sz w:val="27"/>
          <w:rtl/>
          <w:lang w:bidi="ar-IQ"/>
        </w:rPr>
        <w:t>.</w:t>
      </w:r>
      <w:r w:rsidRPr="00904FCB">
        <w:rPr>
          <w:rFonts w:hint="cs"/>
          <w:sz w:val="27"/>
          <w:rtl/>
          <w:lang w:bidi="ar-IQ"/>
        </w:rPr>
        <w:t xml:space="preserve"> ويسم</w:t>
      </w:r>
      <w:r w:rsidR="005760D6" w:rsidRPr="00904FCB">
        <w:rPr>
          <w:rFonts w:hint="cs"/>
          <w:sz w:val="27"/>
          <w:rtl/>
          <w:lang w:bidi="ar-IQ"/>
        </w:rPr>
        <w:t>ّي</w:t>
      </w:r>
      <w:r w:rsidRPr="00904FCB">
        <w:rPr>
          <w:rFonts w:hint="cs"/>
          <w:sz w:val="27"/>
          <w:rtl/>
          <w:lang w:bidi="ar-IQ"/>
        </w:rPr>
        <w:t xml:space="preserve"> اليهود </w:t>
      </w:r>
      <w:r w:rsidR="005760D6" w:rsidRPr="00904FCB">
        <w:rPr>
          <w:rFonts w:hint="cs"/>
          <w:sz w:val="27"/>
          <w:rtl/>
          <w:lang w:bidi="ar-IQ"/>
        </w:rPr>
        <w:t>أن</w:t>
      </w:r>
      <w:r w:rsidRPr="00904FCB">
        <w:rPr>
          <w:rFonts w:hint="cs"/>
          <w:sz w:val="27"/>
          <w:rtl/>
          <w:lang w:bidi="ar-IQ"/>
        </w:rPr>
        <w:t>فسهم شعب التوراة</w:t>
      </w:r>
      <w:r w:rsidR="005760D6" w:rsidRPr="00904FCB">
        <w:rPr>
          <w:rFonts w:hint="cs"/>
          <w:sz w:val="27"/>
          <w:rtl/>
          <w:lang w:bidi="ar-IQ"/>
        </w:rPr>
        <w:t>.</w:t>
      </w:r>
      <w:r w:rsidRPr="00904FCB">
        <w:rPr>
          <w:rFonts w:hint="cs"/>
          <w:sz w:val="27"/>
          <w:rtl/>
          <w:lang w:bidi="ar-IQ"/>
        </w:rPr>
        <w:t xml:space="preserve"> ومحتويات التوراة في رأيهم </w:t>
      </w:r>
      <w:r w:rsidR="005760D6" w:rsidRPr="00904FCB">
        <w:rPr>
          <w:rFonts w:hint="cs"/>
          <w:sz w:val="27"/>
          <w:rtl/>
          <w:lang w:bidi="ar-IQ"/>
        </w:rPr>
        <w:t xml:space="preserve">ليست </w:t>
      </w:r>
      <w:r w:rsidRPr="00904FCB">
        <w:rPr>
          <w:rFonts w:hint="cs"/>
          <w:sz w:val="27"/>
          <w:rtl/>
          <w:lang w:bidi="ar-IQ"/>
        </w:rPr>
        <w:t xml:space="preserve">ديناً </w:t>
      </w:r>
      <w:r w:rsidR="005760D6" w:rsidRPr="00904FCB">
        <w:rPr>
          <w:rFonts w:hint="cs"/>
          <w:sz w:val="27"/>
          <w:rtl/>
          <w:lang w:bidi="ar-IQ"/>
        </w:rPr>
        <w:t>أ</w:t>
      </w:r>
      <w:r w:rsidRPr="00904FCB">
        <w:rPr>
          <w:rFonts w:hint="cs"/>
          <w:sz w:val="27"/>
          <w:rtl/>
          <w:lang w:bidi="ar-IQ"/>
        </w:rPr>
        <w:t xml:space="preserve">و عقيدة </w:t>
      </w:r>
      <w:r w:rsidR="005760D6" w:rsidRPr="00904FCB">
        <w:rPr>
          <w:rFonts w:hint="cs"/>
          <w:sz w:val="27"/>
          <w:rtl/>
          <w:lang w:bidi="ar-IQ"/>
        </w:rPr>
        <w:t>أ</w:t>
      </w:r>
      <w:r w:rsidRPr="00904FCB">
        <w:rPr>
          <w:rFonts w:hint="cs"/>
          <w:sz w:val="27"/>
          <w:rtl/>
          <w:lang w:bidi="ar-IQ"/>
        </w:rPr>
        <w:t xml:space="preserve">و </w:t>
      </w:r>
      <w:r w:rsidR="005760D6" w:rsidRPr="00904FCB">
        <w:rPr>
          <w:rFonts w:hint="cs"/>
          <w:sz w:val="27"/>
          <w:rtl/>
          <w:lang w:bidi="ar-IQ"/>
        </w:rPr>
        <w:t>أ</w:t>
      </w:r>
      <w:r w:rsidRPr="00904FCB">
        <w:rPr>
          <w:rFonts w:hint="cs"/>
          <w:sz w:val="27"/>
          <w:rtl/>
          <w:lang w:bidi="ar-IQ"/>
        </w:rPr>
        <w:t xml:space="preserve">خلاقاً </w:t>
      </w:r>
      <w:r w:rsidR="005760D6" w:rsidRPr="00904FCB">
        <w:rPr>
          <w:rFonts w:hint="cs"/>
          <w:sz w:val="27"/>
          <w:rtl/>
          <w:lang w:bidi="ar-IQ"/>
        </w:rPr>
        <w:t>أ</w:t>
      </w:r>
      <w:r w:rsidRPr="00904FCB">
        <w:rPr>
          <w:rFonts w:hint="cs"/>
          <w:sz w:val="27"/>
          <w:rtl/>
          <w:lang w:bidi="ar-IQ"/>
        </w:rPr>
        <w:t xml:space="preserve">و تشريعاً </w:t>
      </w:r>
      <w:r w:rsidR="005760D6" w:rsidRPr="00904FCB">
        <w:rPr>
          <w:rFonts w:hint="cs"/>
          <w:sz w:val="27"/>
          <w:rtl/>
          <w:lang w:bidi="ar-IQ"/>
        </w:rPr>
        <w:t>أ</w:t>
      </w:r>
      <w:r w:rsidRPr="00904FCB">
        <w:rPr>
          <w:rFonts w:hint="cs"/>
          <w:sz w:val="27"/>
          <w:rtl/>
          <w:lang w:bidi="ar-IQ"/>
        </w:rPr>
        <w:t>و علماً فقط</w:t>
      </w:r>
      <w:r w:rsidR="005760D6" w:rsidRPr="00904FCB">
        <w:rPr>
          <w:rFonts w:hint="cs"/>
          <w:sz w:val="27"/>
          <w:rtl/>
          <w:lang w:bidi="ar-IQ"/>
        </w:rPr>
        <w:t>،</w:t>
      </w:r>
      <w:r w:rsidRPr="00904FCB">
        <w:rPr>
          <w:rFonts w:hint="cs"/>
          <w:sz w:val="27"/>
          <w:rtl/>
          <w:lang w:bidi="ar-IQ"/>
        </w:rPr>
        <w:t xml:space="preserve"> </w:t>
      </w:r>
      <w:r w:rsidR="005760D6" w:rsidRPr="00904FCB">
        <w:rPr>
          <w:rFonts w:hint="cs"/>
          <w:sz w:val="27"/>
          <w:rtl/>
          <w:lang w:bidi="ar-IQ"/>
        </w:rPr>
        <w:t>إ</w:t>
      </w:r>
      <w:r w:rsidRPr="00904FCB">
        <w:rPr>
          <w:rFonts w:hint="cs"/>
          <w:sz w:val="27"/>
          <w:rtl/>
          <w:lang w:bidi="ar-IQ"/>
        </w:rPr>
        <w:t xml:space="preserve">نما هي حياتهم ودنياهم وماضيهم وحاضرهم ومستقبلهم. </w:t>
      </w:r>
    </w:p>
    <w:p w:rsidR="00952E59" w:rsidRPr="00904FCB" w:rsidRDefault="00952E59" w:rsidP="00DC3A4B">
      <w:pPr>
        <w:spacing w:line="420" w:lineRule="exact"/>
        <w:ind w:firstLine="561"/>
        <w:rPr>
          <w:sz w:val="27"/>
          <w:rtl/>
          <w:lang w:bidi="ar-IQ"/>
        </w:rPr>
      </w:pPr>
      <w:r w:rsidRPr="00904FCB">
        <w:rPr>
          <w:rFonts w:hint="cs"/>
          <w:sz w:val="27"/>
          <w:rtl/>
          <w:lang w:bidi="ar-IQ"/>
        </w:rPr>
        <w:t xml:space="preserve">كما يعتقدون </w:t>
      </w:r>
      <w:r w:rsidR="005760D6" w:rsidRPr="00904FCB">
        <w:rPr>
          <w:rFonts w:hint="cs"/>
          <w:sz w:val="27"/>
          <w:rtl/>
          <w:lang w:bidi="ar-IQ"/>
        </w:rPr>
        <w:t>أ</w:t>
      </w:r>
      <w:r w:rsidRPr="00904FCB">
        <w:rPr>
          <w:rFonts w:hint="cs"/>
          <w:sz w:val="27"/>
          <w:rtl/>
          <w:lang w:bidi="ar-IQ"/>
        </w:rPr>
        <w:t xml:space="preserve">ن التوراة </w:t>
      </w:r>
      <w:r w:rsidR="005760D6" w:rsidRPr="00904FCB">
        <w:rPr>
          <w:rFonts w:hint="cs"/>
          <w:sz w:val="27"/>
          <w:rtl/>
          <w:lang w:bidi="ar-IQ"/>
        </w:rPr>
        <w:t>أ</w:t>
      </w:r>
      <w:r w:rsidRPr="00904FCB">
        <w:rPr>
          <w:rFonts w:hint="cs"/>
          <w:sz w:val="27"/>
          <w:rtl/>
          <w:lang w:bidi="ar-IQ"/>
        </w:rPr>
        <w:t>قدم من هذا العالم</w:t>
      </w:r>
      <w:r w:rsidR="005760D6" w:rsidRPr="00904FCB">
        <w:rPr>
          <w:rFonts w:hint="cs"/>
          <w:sz w:val="27"/>
          <w:rtl/>
          <w:lang w:bidi="ar-IQ"/>
        </w:rPr>
        <w:t>،</w:t>
      </w:r>
      <w:r w:rsidRPr="00904FCB">
        <w:rPr>
          <w:rFonts w:hint="cs"/>
          <w:sz w:val="27"/>
          <w:rtl/>
          <w:lang w:bidi="ar-IQ"/>
        </w:rPr>
        <w:t xml:space="preserve"> ول</w:t>
      </w:r>
      <w:r w:rsidR="005760D6" w:rsidRPr="00904FCB">
        <w:rPr>
          <w:rFonts w:hint="cs"/>
          <w:sz w:val="27"/>
          <w:rtl/>
          <w:lang w:bidi="ar-IQ"/>
        </w:rPr>
        <w:t>أ</w:t>
      </w:r>
      <w:r w:rsidRPr="00904FCB">
        <w:rPr>
          <w:rFonts w:hint="cs"/>
          <w:sz w:val="27"/>
          <w:rtl/>
          <w:lang w:bidi="ar-IQ"/>
        </w:rPr>
        <w:t>جلها خلق الله الدنيا</w:t>
      </w:r>
      <w:r w:rsidRPr="00904FCB">
        <w:rPr>
          <w:rFonts w:hint="cs"/>
          <w:sz w:val="27"/>
          <w:vertAlign w:val="superscript"/>
          <w:rtl/>
          <w:lang w:bidi="ar-IQ"/>
        </w:rPr>
        <w:t>(</w:t>
      </w:r>
      <w:r w:rsidRPr="00904FCB">
        <w:rPr>
          <w:rStyle w:val="ac"/>
          <w:sz w:val="27"/>
          <w:rtl/>
          <w:lang w:bidi="ar-IQ"/>
        </w:rPr>
        <w:endnoteReference w:id="293"/>
      </w:r>
      <w:r w:rsidRPr="00904FCB">
        <w:rPr>
          <w:rFonts w:hint="cs"/>
          <w:sz w:val="27"/>
          <w:vertAlign w:val="superscript"/>
          <w:rtl/>
          <w:lang w:bidi="ar-IQ"/>
        </w:rPr>
        <w:t>)</w:t>
      </w:r>
      <w:r w:rsidR="005760D6" w:rsidRPr="00904FCB">
        <w:rPr>
          <w:rFonts w:hint="cs"/>
          <w:sz w:val="27"/>
          <w:rtl/>
          <w:lang w:bidi="ar-IQ"/>
        </w:rPr>
        <w:t>.</w:t>
      </w:r>
      <w:r w:rsidRPr="00904FCB">
        <w:rPr>
          <w:rFonts w:hint="cs"/>
          <w:sz w:val="27"/>
          <w:rtl/>
          <w:lang w:bidi="ar-IQ"/>
        </w:rPr>
        <w:t xml:space="preserve"> وبعد التوراة ي</w:t>
      </w:r>
      <w:r w:rsidR="005760D6" w:rsidRPr="00904FCB">
        <w:rPr>
          <w:rFonts w:hint="cs"/>
          <w:sz w:val="27"/>
          <w:rtl/>
          <w:lang w:bidi="ar-IQ"/>
        </w:rPr>
        <w:t>ُ</w:t>
      </w:r>
      <w:r w:rsidRPr="00904FCB">
        <w:rPr>
          <w:rFonts w:hint="cs"/>
          <w:sz w:val="27"/>
          <w:rtl/>
          <w:lang w:bidi="ar-IQ"/>
        </w:rPr>
        <w:t>ع</w:t>
      </w:r>
      <w:r w:rsidR="005760D6" w:rsidRPr="00904FCB">
        <w:rPr>
          <w:rFonts w:hint="cs"/>
          <w:sz w:val="27"/>
          <w:rtl/>
          <w:lang w:bidi="ar-IQ"/>
        </w:rPr>
        <w:t>َ</w:t>
      </w:r>
      <w:r w:rsidRPr="00904FCB">
        <w:rPr>
          <w:rFonts w:hint="cs"/>
          <w:sz w:val="27"/>
          <w:rtl/>
          <w:lang w:bidi="ar-IQ"/>
        </w:rPr>
        <w:t>د</w:t>
      </w:r>
      <w:r w:rsidR="005760D6" w:rsidRPr="00904FCB">
        <w:rPr>
          <w:rFonts w:hint="cs"/>
          <w:sz w:val="27"/>
          <w:rtl/>
          <w:lang w:bidi="ar-IQ"/>
        </w:rPr>
        <w:t>ّ</w:t>
      </w:r>
      <w:r w:rsidRPr="00904FCB">
        <w:rPr>
          <w:rFonts w:hint="cs"/>
          <w:sz w:val="27"/>
          <w:rtl/>
          <w:lang w:bidi="ar-IQ"/>
        </w:rPr>
        <w:t xml:space="preserve"> التلمود النص</w:t>
      </w:r>
      <w:r w:rsidR="005760D6" w:rsidRPr="00904FCB">
        <w:rPr>
          <w:rFonts w:hint="cs"/>
          <w:sz w:val="27"/>
          <w:rtl/>
          <w:lang w:bidi="ar-IQ"/>
        </w:rPr>
        <w:t>ّ</w:t>
      </w:r>
      <w:r w:rsidRPr="00904FCB">
        <w:rPr>
          <w:rFonts w:hint="cs"/>
          <w:sz w:val="27"/>
          <w:rtl/>
          <w:lang w:bidi="ar-IQ"/>
        </w:rPr>
        <w:t xml:space="preserve"> المرجعي الثاني. </w:t>
      </w:r>
    </w:p>
    <w:p w:rsidR="00952E59" w:rsidRPr="00904FCB" w:rsidRDefault="00952E59" w:rsidP="00DC3A4B">
      <w:pPr>
        <w:spacing w:line="420" w:lineRule="exact"/>
        <w:ind w:firstLine="561"/>
        <w:rPr>
          <w:sz w:val="27"/>
          <w:rtl/>
          <w:lang w:bidi="ar-IQ"/>
        </w:rPr>
      </w:pPr>
      <w:r w:rsidRPr="00904FCB">
        <w:rPr>
          <w:rFonts w:hint="cs"/>
          <w:sz w:val="27"/>
          <w:rtl/>
          <w:lang w:bidi="ar-IQ"/>
        </w:rPr>
        <w:t>والتلمود هي الروايات الشفه</w:t>
      </w:r>
      <w:r w:rsidR="00DC3A4B">
        <w:rPr>
          <w:rFonts w:hint="cs"/>
          <w:sz w:val="27"/>
          <w:rtl/>
          <w:lang w:bidi="ar-IQ"/>
        </w:rPr>
        <w:t>ية التي تناقلها الحاخامات من جيلٍ</w:t>
      </w:r>
      <w:r w:rsidRPr="00904FCB">
        <w:rPr>
          <w:rFonts w:hint="cs"/>
          <w:sz w:val="27"/>
          <w:rtl/>
          <w:lang w:bidi="ar-IQ"/>
        </w:rPr>
        <w:t xml:space="preserve"> </w:t>
      </w:r>
      <w:r w:rsidR="00DC3A4B">
        <w:rPr>
          <w:rFonts w:hint="cs"/>
          <w:sz w:val="27"/>
          <w:rtl/>
          <w:lang w:bidi="ar-IQ"/>
        </w:rPr>
        <w:t>إ</w:t>
      </w:r>
      <w:r w:rsidRPr="00904FCB">
        <w:rPr>
          <w:rFonts w:hint="cs"/>
          <w:sz w:val="27"/>
          <w:rtl/>
          <w:lang w:bidi="ar-IQ"/>
        </w:rPr>
        <w:t>لى جيل</w:t>
      </w:r>
      <w:r w:rsidR="005760D6" w:rsidRPr="00904FCB">
        <w:rPr>
          <w:rFonts w:hint="cs"/>
          <w:sz w:val="27"/>
          <w:rtl/>
          <w:lang w:bidi="ar-IQ"/>
        </w:rPr>
        <w:t>.</w:t>
      </w:r>
      <w:r w:rsidRPr="00904FCB">
        <w:rPr>
          <w:rFonts w:hint="cs"/>
          <w:sz w:val="27"/>
          <w:rtl/>
          <w:lang w:bidi="ar-IQ"/>
        </w:rPr>
        <w:t xml:space="preserve"> وقد جمعت متأخ</w:t>
      </w:r>
      <w:r w:rsidR="005760D6" w:rsidRPr="00904FCB">
        <w:rPr>
          <w:rFonts w:hint="cs"/>
          <w:sz w:val="27"/>
          <w:rtl/>
          <w:lang w:bidi="ar-IQ"/>
        </w:rPr>
        <w:t>ّ</w:t>
      </w:r>
      <w:r w:rsidRPr="00904FCB">
        <w:rPr>
          <w:rFonts w:hint="cs"/>
          <w:sz w:val="27"/>
          <w:rtl/>
          <w:lang w:bidi="ar-IQ"/>
        </w:rPr>
        <w:t>رة ب</w:t>
      </w:r>
      <w:r w:rsidR="005760D6" w:rsidRPr="00904FCB">
        <w:rPr>
          <w:rFonts w:hint="cs"/>
          <w:sz w:val="27"/>
          <w:rtl/>
          <w:lang w:bidi="ar-IQ"/>
        </w:rPr>
        <w:t>ا</w:t>
      </w:r>
      <w:r w:rsidRPr="00904FCB">
        <w:rPr>
          <w:rFonts w:hint="cs"/>
          <w:sz w:val="27"/>
          <w:rtl/>
          <w:lang w:bidi="ar-IQ"/>
        </w:rPr>
        <w:t>سم المنشأ</w:t>
      </w:r>
      <w:r w:rsidR="005760D6" w:rsidRPr="00904FCB">
        <w:rPr>
          <w:rFonts w:hint="cs"/>
          <w:sz w:val="27"/>
          <w:rtl/>
          <w:lang w:bidi="ar-IQ"/>
        </w:rPr>
        <w:t>،</w:t>
      </w:r>
      <w:r w:rsidRPr="00904FCB">
        <w:rPr>
          <w:rFonts w:hint="cs"/>
          <w:sz w:val="27"/>
          <w:rtl/>
          <w:lang w:bidi="ar-IQ"/>
        </w:rPr>
        <w:t xml:space="preserve"> </w:t>
      </w:r>
      <w:r w:rsidR="005760D6" w:rsidRPr="00904FCB">
        <w:rPr>
          <w:rFonts w:hint="cs"/>
          <w:sz w:val="27"/>
          <w:rtl/>
          <w:lang w:bidi="ar-IQ"/>
        </w:rPr>
        <w:t>أ</w:t>
      </w:r>
      <w:r w:rsidRPr="00904FCB">
        <w:rPr>
          <w:rFonts w:hint="cs"/>
          <w:sz w:val="27"/>
          <w:rtl/>
          <w:lang w:bidi="ar-IQ"/>
        </w:rPr>
        <w:t>ي الشريعة الثانية</w:t>
      </w:r>
      <w:r w:rsidR="005760D6" w:rsidRPr="00904FCB">
        <w:rPr>
          <w:rFonts w:hint="cs"/>
          <w:sz w:val="27"/>
          <w:rtl/>
          <w:lang w:bidi="ar-IQ"/>
        </w:rPr>
        <w:t>.</w:t>
      </w:r>
      <w:r w:rsidR="00DC3A4B">
        <w:rPr>
          <w:rFonts w:hint="cs"/>
          <w:sz w:val="27"/>
          <w:rtl/>
          <w:lang w:bidi="ar-IQ"/>
        </w:rPr>
        <w:t xml:space="preserve"> وشرحت فيما بعد شروحاً سُمِّيت</w:t>
      </w:r>
      <w:r w:rsidRPr="00904FCB">
        <w:rPr>
          <w:rFonts w:hint="cs"/>
          <w:sz w:val="27"/>
          <w:rtl/>
          <w:lang w:bidi="ar-IQ"/>
        </w:rPr>
        <w:t xml:space="preserve"> جمارا، ومن المنشأ وجمارا يتكو</w:t>
      </w:r>
      <w:r w:rsidR="005760D6" w:rsidRPr="00904FCB">
        <w:rPr>
          <w:rFonts w:hint="cs"/>
          <w:sz w:val="27"/>
          <w:rtl/>
          <w:lang w:bidi="ar-IQ"/>
        </w:rPr>
        <w:t>ّ</w:t>
      </w:r>
      <w:r w:rsidRPr="00904FCB">
        <w:rPr>
          <w:rFonts w:hint="cs"/>
          <w:sz w:val="27"/>
          <w:rtl/>
          <w:lang w:bidi="ar-IQ"/>
        </w:rPr>
        <w:t>ن التلمود</w:t>
      </w:r>
      <w:r w:rsidR="005760D6" w:rsidRPr="00904FCB">
        <w:rPr>
          <w:rFonts w:hint="cs"/>
          <w:sz w:val="27"/>
          <w:rtl/>
          <w:lang w:bidi="ar-IQ"/>
        </w:rPr>
        <w:t>.</w:t>
      </w:r>
      <w:r w:rsidRPr="00904FCB">
        <w:rPr>
          <w:rFonts w:hint="cs"/>
          <w:sz w:val="27"/>
          <w:rtl/>
          <w:lang w:bidi="ar-IQ"/>
        </w:rPr>
        <w:t xml:space="preserve"> ويعتبره </w:t>
      </w:r>
      <w:r w:rsidR="005760D6" w:rsidRPr="00904FCB">
        <w:rPr>
          <w:rFonts w:hint="cs"/>
          <w:sz w:val="27"/>
          <w:rtl/>
          <w:lang w:bidi="ar-IQ"/>
        </w:rPr>
        <w:t>أ</w:t>
      </w:r>
      <w:r w:rsidRPr="00904FCB">
        <w:rPr>
          <w:rFonts w:hint="cs"/>
          <w:sz w:val="27"/>
          <w:rtl/>
          <w:lang w:bidi="ar-IQ"/>
        </w:rPr>
        <w:t>كثر اليهود كتاباً منزلاً</w:t>
      </w:r>
      <w:r w:rsidR="005760D6" w:rsidRPr="00904FCB">
        <w:rPr>
          <w:rFonts w:hint="cs"/>
          <w:sz w:val="27"/>
          <w:rtl/>
          <w:lang w:bidi="ar-IQ"/>
        </w:rPr>
        <w:t>،</w:t>
      </w:r>
      <w:r w:rsidRPr="00904FCB">
        <w:rPr>
          <w:rFonts w:hint="cs"/>
          <w:sz w:val="27"/>
          <w:rtl/>
          <w:lang w:bidi="ar-IQ"/>
        </w:rPr>
        <w:t xml:space="preserve"> ويضعه بعضهم بمنزلة أك</w:t>
      </w:r>
      <w:r w:rsidR="00DC3A4B">
        <w:rPr>
          <w:rFonts w:hint="cs"/>
          <w:sz w:val="27"/>
          <w:rtl/>
          <w:lang w:bidi="ar-IQ"/>
        </w:rPr>
        <w:t>ب</w:t>
      </w:r>
      <w:r w:rsidRPr="00904FCB">
        <w:rPr>
          <w:rFonts w:hint="cs"/>
          <w:sz w:val="27"/>
          <w:rtl/>
          <w:lang w:bidi="ar-IQ"/>
        </w:rPr>
        <w:t xml:space="preserve">ر من التوراة. </w:t>
      </w:r>
    </w:p>
    <w:p w:rsidR="00952E59" w:rsidRPr="00904FCB" w:rsidRDefault="00952E59" w:rsidP="00062936">
      <w:pPr>
        <w:spacing w:line="410" w:lineRule="exact"/>
        <w:rPr>
          <w:sz w:val="27"/>
          <w:rtl/>
          <w:lang w:bidi="ar-IQ"/>
        </w:rPr>
      </w:pPr>
      <w:r w:rsidRPr="00904FCB">
        <w:rPr>
          <w:rFonts w:hint="cs"/>
          <w:sz w:val="27"/>
          <w:rtl/>
          <w:lang w:bidi="ar-IQ"/>
        </w:rPr>
        <w:t xml:space="preserve">وهنا </w:t>
      </w:r>
      <w:r w:rsidR="005760D6" w:rsidRPr="00904FCB">
        <w:rPr>
          <w:rFonts w:hint="cs"/>
          <w:sz w:val="27"/>
          <w:rtl/>
          <w:lang w:bidi="ar-IQ"/>
        </w:rPr>
        <w:t>أ</w:t>
      </w:r>
      <w:r w:rsidRPr="00904FCB">
        <w:rPr>
          <w:rFonts w:hint="cs"/>
          <w:sz w:val="27"/>
          <w:rtl/>
          <w:lang w:bidi="ar-IQ"/>
        </w:rPr>
        <w:t>درج نصوصاً تلمودية</w:t>
      </w:r>
      <w:r w:rsidR="005760D6" w:rsidRPr="00904FCB">
        <w:rPr>
          <w:rFonts w:hint="cs"/>
          <w:sz w:val="27"/>
          <w:rtl/>
          <w:lang w:bidi="ar-IQ"/>
        </w:rPr>
        <w:t>؛</w:t>
      </w:r>
      <w:r w:rsidRPr="00904FCB">
        <w:rPr>
          <w:rFonts w:hint="cs"/>
          <w:sz w:val="27"/>
          <w:rtl/>
          <w:lang w:bidi="ar-IQ"/>
        </w:rPr>
        <w:t xml:space="preserve"> لبيان أثر النصوص في صياغة العقل ال</w:t>
      </w:r>
      <w:r w:rsidR="005760D6" w:rsidRPr="00904FCB">
        <w:rPr>
          <w:rFonts w:hint="cs"/>
          <w:sz w:val="27"/>
          <w:rtl/>
          <w:lang w:bidi="ar-IQ"/>
        </w:rPr>
        <w:t>أ</w:t>
      </w:r>
      <w:r w:rsidRPr="00904FCB">
        <w:rPr>
          <w:rFonts w:hint="cs"/>
          <w:sz w:val="27"/>
          <w:rtl/>
          <w:lang w:bidi="ar-IQ"/>
        </w:rPr>
        <w:t>صولي</w:t>
      </w:r>
      <w:r w:rsidRPr="00904FCB">
        <w:rPr>
          <w:rFonts w:hint="cs"/>
          <w:sz w:val="27"/>
          <w:vertAlign w:val="superscript"/>
          <w:rtl/>
          <w:lang w:bidi="ar-IQ"/>
        </w:rPr>
        <w:t>(</w:t>
      </w:r>
      <w:r w:rsidRPr="00904FCB">
        <w:rPr>
          <w:rStyle w:val="ac"/>
          <w:sz w:val="27"/>
          <w:rtl/>
          <w:lang w:bidi="ar-IQ"/>
        </w:rPr>
        <w:endnoteReference w:id="294"/>
      </w:r>
      <w:r w:rsidRPr="00904FCB">
        <w:rPr>
          <w:rFonts w:hint="cs"/>
          <w:sz w:val="27"/>
          <w:vertAlign w:val="superscript"/>
          <w:rtl/>
          <w:lang w:bidi="ar-IQ"/>
        </w:rPr>
        <w:t>)</w:t>
      </w:r>
      <w:r w:rsidRPr="00904FCB">
        <w:rPr>
          <w:rFonts w:hint="cs"/>
          <w:sz w:val="27"/>
          <w:rtl/>
          <w:lang w:bidi="ar-IQ"/>
        </w:rPr>
        <w:t xml:space="preserve">. </w:t>
      </w:r>
    </w:p>
    <w:p w:rsidR="00952E59" w:rsidRPr="00904FCB" w:rsidRDefault="00952E59" w:rsidP="00062936">
      <w:pPr>
        <w:spacing w:line="410" w:lineRule="exact"/>
        <w:rPr>
          <w:sz w:val="27"/>
          <w:rtl/>
          <w:lang w:bidi="ar-IQ"/>
        </w:rPr>
      </w:pPr>
      <w:r w:rsidRPr="00904FCB">
        <w:rPr>
          <w:rFonts w:hint="cs"/>
          <w:sz w:val="27"/>
          <w:rtl/>
          <w:lang w:bidi="ar-IQ"/>
        </w:rPr>
        <w:t xml:space="preserve">فقد جاء في التلمود: </w:t>
      </w:r>
    </w:p>
    <w:p w:rsidR="00952E59" w:rsidRPr="009B1673" w:rsidRDefault="00952E59" w:rsidP="00062936">
      <w:pPr>
        <w:pStyle w:val="af1"/>
        <w:spacing w:after="0" w:line="410" w:lineRule="exact"/>
        <w:ind w:left="0" w:firstLine="567"/>
        <w:jc w:val="both"/>
        <w:rPr>
          <w:rFonts w:cs="AL-Mohanad"/>
          <w:sz w:val="27"/>
          <w:szCs w:val="27"/>
          <w:lang w:bidi="ar-IQ"/>
        </w:rPr>
      </w:pPr>
      <w:r w:rsidRPr="009B1673">
        <w:rPr>
          <w:rFonts w:cs="AL-Mohanad" w:hint="cs"/>
          <w:sz w:val="27"/>
          <w:szCs w:val="27"/>
          <w:rtl/>
          <w:lang w:bidi="ar-IQ"/>
        </w:rPr>
        <w:t xml:space="preserve">1ـ </w:t>
      </w:r>
      <w:r w:rsidR="005760D6" w:rsidRPr="009B1673">
        <w:rPr>
          <w:rFonts w:cs="AL-Mohanad" w:hint="cs"/>
          <w:sz w:val="27"/>
          <w:szCs w:val="27"/>
          <w:rtl/>
          <w:lang w:bidi="ar-IQ"/>
        </w:rPr>
        <w:t>إ</w:t>
      </w:r>
      <w:r w:rsidRPr="009B1673">
        <w:rPr>
          <w:rFonts w:cs="AL-Mohanad" w:hint="cs"/>
          <w:sz w:val="27"/>
          <w:szCs w:val="27"/>
          <w:rtl/>
          <w:lang w:bidi="ar-IQ"/>
        </w:rPr>
        <w:t>ن ال</w:t>
      </w:r>
      <w:r w:rsidR="005760D6" w:rsidRPr="009B1673">
        <w:rPr>
          <w:rFonts w:cs="AL-Mohanad" w:hint="cs"/>
          <w:sz w:val="27"/>
          <w:szCs w:val="27"/>
          <w:rtl/>
          <w:lang w:bidi="ar-IQ"/>
        </w:rPr>
        <w:t>إسرائيلي معتبرٌ</w:t>
      </w:r>
      <w:r w:rsidRPr="009B1673">
        <w:rPr>
          <w:rFonts w:cs="AL-Mohanad" w:hint="cs"/>
          <w:sz w:val="27"/>
          <w:szCs w:val="27"/>
          <w:rtl/>
          <w:lang w:bidi="ar-IQ"/>
        </w:rPr>
        <w:t xml:space="preserve"> عند الله أكثر من الملائكة</w:t>
      </w:r>
      <w:r w:rsidR="005760D6" w:rsidRPr="009B1673">
        <w:rPr>
          <w:rFonts w:cs="AL-Mohanad" w:hint="cs"/>
          <w:sz w:val="27"/>
          <w:szCs w:val="27"/>
          <w:rtl/>
          <w:lang w:bidi="ar-IQ"/>
        </w:rPr>
        <w:t>.</w:t>
      </w:r>
    </w:p>
    <w:p w:rsidR="00952E59" w:rsidRPr="009B1673" w:rsidRDefault="00952E59" w:rsidP="00062936">
      <w:pPr>
        <w:pStyle w:val="af1"/>
        <w:spacing w:after="0" w:line="410" w:lineRule="exact"/>
        <w:ind w:left="0" w:firstLine="567"/>
        <w:jc w:val="both"/>
        <w:rPr>
          <w:rFonts w:cs="AL-Mohanad"/>
          <w:sz w:val="27"/>
          <w:szCs w:val="27"/>
          <w:lang w:bidi="ar-IQ"/>
        </w:rPr>
      </w:pPr>
      <w:r w:rsidRPr="009B1673">
        <w:rPr>
          <w:rFonts w:cs="AL-Mohanad" w:hint="cs"/>
          <w:sz w:val="27"/>
          <w:szCs w:val="27"/>
          <w:rtl/>
          <w:lang w:bidi="ar-IQ"/>
        </w:rPr>
        <w:t xml:space="preserve">2ـ </w:t>
      </w:r>
      <w:r w:rsidR="005760D6" w:rsidRPr="009B1673">
        <w:rPr>
          <w:rFonts w:cs="AL-Mohanad" w:hint="cs"/>
          <w:sz w:val="27"/>
          <w:szCs w:val="27"/>
          <w:rtl/>
          <w:lang w:bidi="ar-IQ"/>
        </w:rPr>
        <w:t>إ</w:t>
      </w:r>
      <w:r w:rsidRPr="009B1673">
        <w:rPr>
          <w:rFonts w:cs="AL-Mohanad" w:hint="cs"/>
          <w:sz w:val="27"/>
          <w:szCs w:val="27"/>
          <w:rtl/>
          <w:lang w:bidi="ar-IQ"/>
        </w:rPr>
        <w:t>ن اليهودي جزء من الله</w:t>
      </w:r>
      <w:r w:rsidR="005760D6" w:rsidRPr="009B1673">
        <w:rPr>
          <w:rFonts w:cs="AL-Mohanad" w:hint="cs"/>
          <w:sz w:val="27"/>
          <w:szCs w:val="27"/>
          <w:rtl/>
          <w:lang w:bidi="ar-IQ"/>
        </w:rPr>
        <w:t>،</w:t>
      </w:r>
      <w:r w:rsidRPr="009B1673">
        <w:rPr>
          <w:rFonts w:cs="AL-Mohanad" w:hint="cs"/>
          <w:sz w:val="27"/>
          <w:szCs w:val="27"/>
          <w:rtl/>
          <w:lang w:bidi="ar-IQ"/>
        </w:rPr>
        <w:t xml:space="preserve"> فم</w:t>
      </w:r>
      <w:r w:rsidR="005760D6" w:rsidRPr="009B1673">
        <w:rPr>
          <w:rFonts w:cs="AL-Mohanad" w:hint="cs"/>
          <w:sz w:val="27"/>
          <w:szCs w:val="27"/>
          <w:rtl/>
          <w:lang w:bidi="ar-IQ"/>
        </w:rPr>
        <w:t>َ</w:t>
      </w:r>
      <w:r w:rsidRPr="009B1673">
        <w:rPr>
          <w:rFonts w:cs="AL-Mohanad" w:hint="cs"/>
          <w:sz w:val="27"/>
          <w:szCs w:val="27"/>
          <w:rtl/>
          <w:lang w:bidi="ar-IQ"/>
        </w:rPr>
        <w:t>ن</w:t>
      </w:r>
      <w:r w:rsidR="005760D6" w:rsidRPr="009B1673">
        <w:rPr>
          <w:rFonts w:cs="AL-Mohanad" w:hint="cs"/>
          <w:sz w:val="27"/>
          <w:szCs w:val="27"/>
          <w:rtl/>
          <w:lang w:bidi="ar-IQ"/>
        </w:rPr>
        <w:t>ْ</w:t>
      </w:r>
      <w:r w:rsidRPr="009B1673">
        <w:rPr>
          <w:rFonts w:cs="AL-Mohanad" w:hint="cs"/>
          <w:sz w:val="27"/>
          <w:szCs w:val="27"/>
          <w:rtl/>
          <w:lang w:bidi="ar-IQ"/>
        </w:rPr>
        <w:t xml:space="preserve"> ضربه فقد ضرب العزة ال</w:t>
      </w:r>
      <w:r w:rsidR="005760D6" w:rsidRPr="009B1673">
        <w:rPr>
          <w:rFonts w:cs="AL-Mohanad" w:hint="cs"/>
          <w:sz w:val="27"/>
          <w:szCs w:val="27"/>
          <w:rtl/>
          <w:lang w:bidi="ar-IQ"/>
        </w:rPr>
        <w:t>إ</w:t>
      </w:r>
      <w:r w:rsidRPr="009B1673">
        <w:rPr>
          <w:rFonts w:cs="AL-Mohanad" w:hint="cs"/>
          <w:sz w:val="27"/>
          <w:szCs w:val="27"/>
          <w:rtl/>
          <w:lang w:bidi="ar-IQ"/>
        </w:rPr>
        <w:t>لهية</w:t>
      </w:r>
      <w:r w:rsidR="005760D6" w:rsidRPr="009B1673">
        <w:rPr>
          <w:rFonts w:cs="AL-Mohanad" w:hint="cs"/>
          <w:sz w:val="27"/>
          <w:szCs w:val="27"/>
          <w:rtl/>
          <w:lang w:bidi="ar-IQ"/>
        </w:rPr>
        <w:t>.</w:t>
      </w:r>
    </w:p>
    <w:p w:rsidR="00952E59" w:rsidRPr="009B1673" w:rsidRDefault="00952E59" w:rsidP="00062936">
      <w:pPr>
        <w:pStyle w:val="af1"/>
        <w:spacing w:after="0" w:line="410" w:lineRule="exact"/>
        <w:ind w:left="0" w:firstLine="567"/>
        <w:jc w:val="both"/>
        <w:rPr>
          <w:rFonts w:cs="AL-Mohanad"/>
          <w:sz w:val="27"/>
          <w:szCs w:val="27"/>
          <w:lang w:bidi="ar-IQ"/>
        </w:rPr>
      </w:pPr>
      <w:r w:rsidRPr="009B1673">
        <w:rPr>
          <w:rFonts w:cs="AL-Mohanad" w:hint="cs"/>
          <w:sz w:val="27"/>
          <w:szCs w:val="27"/>
          <w:rtl/>
          <w:lang w:bidi="ar-IQ"/>
        </w:rPr>
        <w:t>3ـ الفرق بين اليهودي وغيره كالفرق بين ال</w:t>
      </w:r>
      <w:r w:rsidR="005760D6" w:rsidRPr="009B1673">
        <w:rPr>
          <w:rFonts w:cs="AL-Mohanad" w:hint="cs"/>
          <w:sz w:val="27"/>
          <w:szCs w:val="27"/>
          <w:rtl/>
          <w:lang w:bidi="ar-IQ"/>
        </w:rPr>
        <w:t>إ</w:t>
      </w:r>
      <w:r w:rsidRPr="009B1673">
        <w:rPr>
          <w:rFonts w:cs="AL-Mohanad" w:hint="cs"/>
          <w:sz w:val="27"/>
          <w:szCs w:val="27"/>
          <w:rtl/>
          <w:lang w:bidi="ar-IQ"/>
        </w:rPr>
        <w:t>نسان والحيوان</w:t>
      </w:r>
      <w:r w:rsidR="005760D6" w:rsidRPr="009B1673">
        <w:rPr>
          <w:rFonts w:cs="AL-Mohanad" w:hint="cs"/>
          <w:sz w:val="27"/>
          <w:szCs w:val="27"/>
          <w:rtl/>
          <w:lang w:bidi="ar-IQ"/>
        </w:rPr>
        <w:t>.</w:t>
      </w:r>
    </w:p>
    <w:p w:rsidR="00952E59" w:rsidRPr="009B1673" w:rsidRDefault="00952E59" w:rsidP="00062936">
      <w:pPr>
        <w:pStyle w:val="af1"/>
        <w:spacing w:after="0" w:line="410" w:lineRule="exact"/>
        <w:ind w:left="0" w:firstLine="567"/>
        <w:jc w:val="both"/>
        <w:rPr>
          <w:rFonts w:cs="AL-Mohanad"/>
          <w:sz w:val="27"/>
          <w:szCs w:val="27"/>
          <w:lang w:bidi="ar-IQ"/>
        </w:rPr>
      </w:pPr>
      <w:r w:rsidRPr="009B1673">
        <w:rPr>
          <w:rFonts w:cs="AL-Mohanad" w:hint="cs"/>
          <w:sz w:val="27"/>
          <w:szCs w:val="27"/>
          <w:rtl/>
          <w:lang w:bidi="ar-IQ"/>
        </w:rPr>
        <w:t xml:space="preserve">4ـ لليهودي </w:t>
      </w:r>
      <w:r w:rsidR="005760D6" w:rsidRPr="009B1673">
        <w:rPr>
          <w:rFonts w:cs="AL-Mohanad" w:hint="cs"/>
          <w:sz w:val="27"/>
          <w:szCs w:val="27"/>
          <w:rtl/>
          <w:lang w:bidi="ar-IQ"/>
        </w:rPr>
        <w:t>أ</w:t>
      </w:r>
      <w:r w:rsidRPr="009B1673">
        <w:rPr>
          <w:rFonts w:cs="AL-Mohanad" w:hint="cs"/>
          <w:sz w:val="27"/>
          <w:szCs w:val="27"/>
          <w:rtl/>
          <w:lang w:bidi="ar-IQ"/>
        </w:rPr>
        <w:t>ن يطعم الكلب</w:t>
      </w:r>
      <w:r w:rsidR="005760D6" w:rsidRPr="009B1673">
        <w:rPr>
          <w:rFonts w:cs="AL-Mohanad" w:hint="cs"/>
          <w:sz w:val="27"/>
          <w:szCs w:val="27"/>
          <w:rtl/>
          <w:lang w:bidi="ar-IQ"/>
        </w:rPr>
        <w:t>،</w:t>
      </w:r>
      <w:r w:rsidRPr="009B1673">
        <w:rPr>
          <w:rFonts w:cs="AL-Mohanad" w:hint="cs"/>
          <w:sz w:val="27"/>
          <w:szCs w:val="27"/>
          <w:rtl/>
          <w:lang w:bidi="ar-IQ"/>
        </w:rPr>
        <w:t xml:space="preserve"> وليس له </w:t>
      </w:r>
      <w:r w:rsidR="005760D6" w:rsidRPr="009B1673">
        <w:rPr>
          <w:rFonts w:cs="AL-Mohanad" w:hint="cs"/>
          <w:sz w:val="27"/>
          <w:szCs w:val="27"/>
          <w:rtl/>
          <w:lang w:bidi="ar-IQ"/>
        </w:rPr>
        <w:t>أ</w:t>
      </w:r>
      <w:r w:rsidRPr="009B1673">
        <w:rPr>
          <w:rFonts w:cs="AL-Mohanad" w:hint="cs"/>
          <w:sz w:val="27"/>
          <w:szCs w:val="27"/>
          <w:rtl/>
          <w:lang w:bidi="ar-IQ"/>
        </w:rPr>
        <w:t>ن يطعم غير اليهودي</w:t>
      </w:r>
      <w:r w:rsidR="005760D6" w:rsidRPr="009B1673">
        <w:rPr>
          <w:rFonts w:cs="AL-Mohanad" w:hint="cs"/>
          <w:sz w:val="27"/>
          <w:szCs w:val="27"/>
          <w:rtl/>
          <w:lang w:bidi="ar-IQ"/>
        </w:rPr>
        <w:t>.</w:t>
      </w:r>
    </w:p>
    <w:p w:rsidR="00952E59" w:rsidRPr="00904FCB" w:rsidRDefault="00952E59" w:rsidP="00062936">
      <w:pPr>
        <w:pStyle w:val="af1"/>
        <w:spacing w:after="0" w:line="410" w:lineRule="exact"/>
        <w:ind w:left="0" w:firstLine="567"/>
        <w:jc w:val="both"/>
        <w:rPr>
          <w:rFonts w:cs="AL-Mohanad"/>
          <w:sz w:val="27"/>
          <w:szCs w:val="27"/>
          <w:lang w:bidi="ar-IQ"/>
        </w:rPr>
      </w:pPr>
      <w:r w:rsidRPr="009B1673">
        <w:rPr>
          <w:rFonts w:cs="AL-Mohanad" w:hint="cs"/>
          <w:sz w:val="27"/>
          <w:szCs w:val="27"/>
          <w:rtl/>
          <w:lang w:bidi="ar-IQ"/>
        </w:rPr>
        <w:t xml:space="preserve">5ـ غير اليهود بالضرورة هم </w:t>
      </w:r>
      <w:r w:rsidR="005760D6" w:rsidRPr="009B1673">
        <w:rPr>
          <w:rFonts w:cs="AL-Mohanad" w:hint="cs"/>
          <w:sz w:val="27"/>
          <w:szCs w:val="27"/>
          <w:rtl/>
          <w:lang w:bidi="ar-IQ"/>
        </w:rPr>
        <w:t>أ</w:t>
      </w:r>
      <w:r w:rsidRPr="009B1673">
        <w:rPr>
          <w:rFonts w:cs="AL-Mohanad" w:hint="cs"/>
          <w:sz w:val="27"/>
          <w:szCs w:val="27"/>
          <w:rtl/>
          <w:lang w:bidi="ar-IQ"/>
        </w:rPr>
        <w:t>عداء لليهود</w:t>
      </w:r>
      <w:r w:rsidR="005760D6" w:rsidRPr="009B1673">
        <w:rPr>
          <w:rFonts w:cs="AL-Mohanad" w:hint="cs"/>
          <w:sz w:val="27"/>
          <w:szCs w:val="27"/>
          <w:rtl/>
          <w:lang w:bidi="ar-IQ"/>
        </w:rPr>
        <w:t>،</w:t>
      </w:r>
      <w:r w:rsidRPr="009B1673">
        <w:rPr>
          <w:rFonts w:cs="AL-Mohanad" w:hint="cs"/>
          <w:sz w:val="27"/>
          <w:szCs w:val="27"/>
          <w:rtl/>
          <w:lang w:bidi="ar-IQ"/>
        </w:rPr>
        <w:t xml:space="preserve"> وعلى اليهود </w:t>
      </w:r>
      <w:r w:rsidR="005760D6" w:rsidRPr="009B1673">
        <w:rPr>
          <w:rFonts w:cs="AL-Mohanad" w:hint="cs"/>
          <w:sz w:val="27"/>
          <w:szCs w:val="27"/>
          <w:rtl/>
          <w:lang w:bidi="ar-IQ"/>
        </w:rPr>
        <w:t>أ</w:t>
      </w:r>
      <w:r w:rsidRPr="009B1673">
        <w:rPr>
          <w:rFonts w:cs="AL-Mohanad" w:hint="cs"/>
          <w:sz w:val="27"/>
          <w:szCs w:val="27"/>
          <w:rtl/>
          <w:lang w:bidi="ar-IQ"/>
        </w:rPr>
        <w:t>ن يغش</w:t>
      </w:r>
      <w:r w:rsidR="005760D6" w:rsidRPr="009B1673">
        <w:rPr>
          <w:rFonts w:cs="AL-Mohanad" w:hint="cs"/>
          <w:sz w:val="27"/>
          <w:szCs w:val="27"/>
          <w:rtl/>
          <w:lang w:bidi="ar-IQ"/>
        </w:rPr>
        <w:t>ّ</w:t>
      </w:r>
      <w:r w:rsidRPr="009B1673">
        <w:rPr>
          <w:rFonts w:cs="AL-Mohanad" w:hint="cs"/>
          <w:sz w:val="27"/>
          <w:szCs w:val="27"/>
          <w:rtl/>
          <w:lang w:bidi="ar-IQ"/>
        </w:rPr>
        <w:t>وا م</w:t>
      </w:r>
      <w:r w:rsidR="005760D6" w:rsidRPr="009B1673">
        <w:rPr>
          <w:rFonts w:cs="AL-Mohanad" w:hint="cs"/>
          <w:sz w:val="27"/>
          <w:szCs w:val="27"/>
          <w:rtl/>
          <w:lang w:bidi="ar-IQ"/>
        </w:rPr>
        <w:t>َ</w:t>
      </w:r>
      <w:r w:rsidRPr="009B1673">
        <w:rPr>
          <w:rFonts w:cs="AL-Mohanad" w:hint="cs"/>
          <w:sz w:val="27"/>
          <w:szCs w:val="27"/>
          <w:rtl/>
          <w:lang w:bidi="ar-IQ"/>
        </w:rPr>
        <w:t>ن</w:t>
      </w:r>
      <w:r w:rsidR="005760D6" w:rsidRPr="009B1673">
        <w:rPr>
          <w:rFonts w:cs="AL-Mohanad" w:hint="cs"/>
          <w:sz w:val="27"/>
          <w:szCs w:val="27"/>
          <w:rtl/>
          <w:lang w:bidi="ar-IQ"/>
        </w:rPr>
        <w:t>ْ</w:t>
      </w:r>
      <w:r w:rsidRPr="009B1673">
        <w:rPr>
          <w:rFonts w:cs="AL-Mohanad" w:hint="cs"/>
          <w:sz w:val="27"/>
          <w:szCs w:val="27"/>
          <w:rtl/>
          <w:lang w:bidi="ar-IQ"/>
        </w:rPr>
        <w:t xml:space="preserve"> سواهم</w:t>
      </w:r>
      <w:r w:rsidR="005760D6" w:rsidRPr="009B1673">
        <w:rPr>
          <w:rFonts w:cs="AL-Mohanad" w:hint="cs"/>
          <w:sz w:val="27"/>
          <w:szCs w:val="27"/>
          <w:rtl/>
          <w:lang w:bidi="ar-IQ"/>
        </w:rPr>
        <w:t>،</w:t>
      </w:r>
      <w:r w:rsidRPr="00904FCB">
        <w:rPr>
          <w:rFonts w:cs="AL-Mohanad" w:hint="cs"/>
          <w:sz w:val="27"/>
          <w:szCs w:val="27"/>
          <w:rtl/>
          <w:lang w:bidi="ar-IQ"/>
        </w:rPr>
        <w:t xml:space="preserve"> ويقتلوهم. </w:t>
      </w:r>
    </w:p>
    <w:p w:rsidR="00062936" w:rsidRPr="009B1673" w:rsidRDefault="00952E59" w:rsidP="00062936">
      <w:pPr>
        <w:pStyle w:val="af1"/>
        <w:spacing w:after="0" w:line="410" w:lineRule="exact"/>
        <w:ind w:left="0" w:firstLine="567"/>
        <w:jc w:val="both"/>
        <w:rPr>
          <w:rFonts w:cs="AL-Mohanad"/>
          <w:sz w:val="27"/>
          <w:szCs w:val="27"/>
          <w:lang w:bidi="ar-IQ"/>
        </w:rPr>
      </w:pPr>
      <w:r w:rsidRPr="009B1673">
        <w:rPr>
          <w:rFonts w:cs="AL-Mohanad" w:hint="cs"/>
          <w:sz w:val="27"/>
          <w:szCs w:val="27"/>
          <w:rtl/>
          <w:lang w:bidi="ar-IQ"/>
        </w:rPr>
        <w:t xml:space="preserve">6ـ لايجوز لليهود </w:t>
      </w:r>
      <w:r w:rsidR="005760D6" w:rsidRPr="009B1673">
        <w:rPr>
          <w:rFonts w:cs="AL-Mohanad" w:hint="cs"/>
          <w:sz w:val="27"/>
          <w:szCs w:val="27"/>
          <w:rtl/>
          <w:lang w:bidi="ar-IQ"/>
        </w:rPr>
        <w:t>أ</w:t>
      </w:r>
      <w:r w:rsidRPr="009B1673">
        <w:rPr>
          <w:rFonts w:cs="AL-Mohanad" w:hint="cs"/>
          <w:sz w:val="27"/>
          <w:szCs w:val="27"/>
          <w:rtl/>
          <w:lang w:bidi="ar-IQ"/>
        </w:rPr>
        <w:t>ن يحيوا غير اليهود مالم يخش</w:t>
      </w:r>
      <w:r w:rsidR="005760D6" w:rsidRPr="009B1673">
        <w:rPr>
          <w:rFonts w:cs="AL-Mohanad" w:hint="cs"/>
          <w:sz w:val="27"/>
          <w:szCs w:val="27"/>
          <w:rtl/>
          <w:lang w:bidi="ar-IQ"/>
        </w:rPr>
        <w:t>َ</w:t>
      </w:r>
      <w:r w:rsidRPr="009B1673">
        <w:rPr>
          <w:rFonts w:cs="AL-Mohanad" w:hint="cs"/>
          <w:sz w:val="27"/>
          <w:szCs w:val="27"/>
          <w:rtl/>
          <w:lang w:bidi="ar-IQ"/>
        </w:rPr>
        <w:t>و</w:t>
      </w:r>
      <w:r w:rsidR="005760D6" w:rsidRPr="009B1673">
        <w:rPr>
          <w:rFonts w:cs="AL-Mohanad" w:hint="cs"/>
          <w:sz w:val="27"/>
          <w:szCs w:val="27"/>
          <w:rtl/>
          <w:lang w:bidi="ar-IQ"/>
        </w:rPr>
        <w:t>ْ</w:t>
      </w:r>
      <w:r w:rsidRPr="009B1673">
        <w:rPr>
          <w:rFonts w:cs="AL-Mohanad" w:hint="cs"/>
          <w:sz w:val="27"/>
          <w:szCs w:val="27"/>
          <w:rtl/>
          <w:lang w:bidi="ar-IQ"/>
        </w:rPr>
        <w:t>ا شر</w:t>
      </w:r>
      <w:r w:rsidR="005760D6" w:rsidRPr="009B1673">
        <w:rPr>
          <w:rFonts w:cs="AL-Mohanad" w:hint="cs"/>
          <w:sz w:val="27"/>
          <w:szCs w:val="27"/>
          <w:rtl/>
          <w:lang w:bidi="ar-IQ"/>
        </w:rPr>
        <w:t>َّ</w:t>
      </w:r>
      <w:r w:rsidRPr="009B1673">
        <w:rPr>
          <w:rFonts w:cs="AL-Mohanad" w:hint="cs"/>
          <w:sz w:val="27"/>
          <w:szCs w:val="27"/>
          <w:rtl/>
          <w:lang w:bidi="ar-IQ"/>
        </w:rPr>
        <w:t>هم</w:t>
      </w:r>
      <w:r w:rsidR="005760D6" w:rsidRPr="009B1673">
        <w:rPr>
          <w:rFonts w:cs="AL-Mohanad" w:hint="cs"/>
          <w:sz w:val="27"/>
          <w:szCs w:val="27"/>
          <w:rtl/>
          <w:lang w:bidi="ar-IQ"/>
        </w:rPr>
        <w:t>.</w:t>
      </w:r>
      <w:r w:rsidRPr="009B1673">
        <w:rPr>
          <w:rFonts w:cs="AL-Mohanad" w:hint="cs"/>
          <w:sz w:val="27"/>
          <w:szCs w:val="27"/>
          <w:rtl/>
          <w:lang w:bidi="ar-IQ"/>
        </w:rPr>
        <w:t xml:space="preserve"> </w:t>
      </w:r>
    </w:p>
    <w:p w:rsidR="00952E59" w:rsidRPr="00904FCB" w:rsidRDefault="00952E59" w:rsidP="00062936">
      <w:pPr>
        <w:pStyle w:val="af1"/>
        <w:spacing w:after="0" w:line="390" w:lineRule="exact"/>
        <w:ind w:left="0" w:firstLine="562"/>
        <w:jc w:val="both"/>
        <w:rPr>
          <w:rFonts w:cs="AL-Mohanad"/>
          <w:sz w:val="27"/>
          <w:szCs w:val="27"/>
          <w:rtl/>
          <w:lang w:bidi="ar-IQ"/>
        </w:rPr>
      </w:pPr>
      <w:r w:rsidRPr="009B1673">
        <w:rPr>
          <w:rFonts w:cs="AL-Mohanad" w:hint="cs"/>
          <w:sz w:val="27"/>
          <w:szCs w:val="27"/>
          <w:rtl/>
          <w:lang w:bidi="ar-IQ"/>
        </w:rPr>
        <w:lastRenderedPageBreak/>
        <w:t>7ـ اليهود</w:t>
      </w:r>
      <w:r w:rsidR="005760D6" w:rsidRPr="009B1673">
        <w:rPr>
          <w:rFonts w:cs="AL-Mohanad" w:hint="cs"/>
          <w:sz w:val="27"/>
          <w:szCs w:val="27"/>
          <w:rtl/>
          <w:lang w:bidi="ar-IQ"/>
        </w:rPr>
        <w:t xml:space="preserve"> ـ</w:t>
      </w:r>
      <w:r w:rsidRPr="009B1673">
        <w:rPr>
          <w:rFonts w:cs="AL-Mohanad" w:hint="cs"/>
          <w:sz w:val="27"/>
          <w:szCs w:val="27"/>
          <w:rtl/>
          <w:lang w:bidi="ar-IQ"/>
        </w:rPr>
        <w:t xml:space="preserve"> ت</w:t>
      </w:r>
      <w:r w:rsidR="005760D6" w:rsidRPr="009B1673">
        <w:rPr>
          <w:rFonts w:cs="AL-Mohanad" w:hint="cs"/>
          <w:sz w:val="27"/>
          <w:szCs w:val="27"/>
          <w:rtl/>
          <w:lang w:bidi="ar-IQ"/>
        </w:rPr>
        <w:t>َ</w:t>
      </w:r>
      <w:r w:rsidRPr="009B1673">
        <w:rPr>
          <w:rFonts w:cs="AL-Mohanad" w:hint="cs"/>
          <w:sz w:val="27"/>
          <w:szCs w:val="27"/>
          <w:rtl/>
          <w:lang w:bidi="ar-IQ"/>
        </w:rPr>
        <w:t>ب</w:t>
      </w:r>
      <w:r w:rsidR="005760D6" w:rsidRPr="009B1673">
        <w:rPr>
          <w:rFonts w:cs="AL-Mohanad" w:hint="cs"/>
          <w:sz w:val="27"/>
          <w:szCs w:val="27"/>
          <w:rtl/>
          <w:lang w:bidi="ar-IQ"/>
        </w:rPr>
        <w:t>َ</w:t>
      </w:r>
      <w:r w:rsidRPr="009B1673">
        <w:rPr>
          <w:rFonts w:cs="AL-Mohanad" w:hint="cs"/>
          <w:sz w:val="27"/>
          <w:szCs w:val="27"/>
          <w:rtl/>
          <w:lang w:bidi="ar-IQ"/>
        </w:rPr>
        <w:t xml:space="preserve">عاً لله </w:t>
      </w:r>
      <w:r w:rsidR="005760D6" w:rsidRPr="009B1673">
        <w:rPr>
          <w:rFonts w:cs="AL-Mohanad" w:hint="cs"/>
          <w:sz w:val="27"/>
          <w:szCs w:val="27"/>
          <w:rtl/>
          <w:lang w:bidi="ar-IQ"/>
        </w:rPr>
        <w:t xml:space="preserve">ـ </w:t>
      </w:r>
      <w:r w:rsidRPr="009B1673">
        <w:rPr>
          <w:rFonts w:cs="AL-Mohanad" w:hint="cs"/>
          <w:sz w:val="27"/>
          <w:szCs w:val="27"/>
          <w:rtl/>
          <w:lang w:bidi="ar-IQ"/>
        </w:rPr>
        <w:t>يملكون كل</w:t>
      </w:r>
      <w:r w:rsidR="005760D6" w:rsidRPr="009B1673">
        <w:rPr>
          <w:rFonts w:cs="AL-Mohanad" w:hint="cs"/>
          <w:sz w:val="27"/>
          <w:szCs w:val="27"/>
          <w:rtl/>
          <w:lang w:bidi="ar-IQ"/>
        </w:rPr>
        <w:t>ّ</w:t>
      </w:r>
      <w:r w:rsidRPr="009B1673">
        <w:rPr>
          <w:rFonts w:cs="AL-Mohanad" w:hint="cs"/>
          <w:sz w:val="27"/>
          <w:szCs w:val="27"/>
          <w:rtl/>
          <w:lang w:bidi="ar-IQ"/>
        </w:rPr>
        <w:t xml:space="preserve"> ما في ال</w:t>
      </w:r>
      <w:r w:rsidR="005760D6" w:rsidRPr="009B1673">
        <w:rPr>
          <w:rFonts w:cs="AL-Mohanad" w:hint="cs"/>
          <w:sz w:val="27"/>
          <w:szCs w:val="27"/>
          <w:rtl/>
          <w:lang w:bidi="ar-IQ"/>
        </w:rPr>
        <w:t>أ</w:t>
      </w:r>
      <w:r w:rsidRPr="009B1673">
        <w:rPr>
          <w:rFonts w:cs="AL-Mohanad" w:hint="cs"/>
          <w:sz w:val="27"/>
          <w:szCs w:val="27"/>
          <w:rtl/>
          <w:lang w:bidi="ar-IQ"/>
        </w:rPr>
        <w:t>رض من ثراء</w:t>
      </w:r>
      <w:r w:rsidR="005760D6" w:rsidRPr="009B1673">
        <w:rPr>
          <w:rFonts w:cs="AL-Mohanad" w:hint="cs"/>
          <w:sz w:val="27"/>
          <w:szCs w:val="27"/>
          <w:rtl/>
          <w:lang w:bidi="ar-IQ"/>
        </w:rPr>
        <w:t>، ولا يملك غير اليهود</w:t>
      </w:r>
      <w:r w:rsidR="005760D6" w:rsidRPr="00904FCB">
        <w:rPr>
          <w:rFonts w:cs="AL-Mohanad" w:hint="cs"/>
          <w:sz w:val="27"/>
          <w:szCs w:val="27"/>
          <w:rtl/>
          <w:lang w:bidi="ar-IQ"/>
        </w:rPr>
        <w:t xml:space="preserve"> </w:t>
      </w:r>
      <w:r w:rsidRPr="00904FCB">
        <w:rPr>
          <w:rFonts w:cs="AL-Mohanad" w:hint="cs"/>
          <w:sz w:val="27"/>
          <w:szCs w:val="27"/>
          <w:rtl/>
          <w:lang w:bidi="ar-IQ"/>
        </w:rPr>
        <w:t>شيئا</w:t>
      </w:r>
      <w:r w:rsidR="005760D6" w:rsidRPr="00904FCB">
        <w:rPr>
          <w:rFonts w:cs="AL-Mohanad" w:hint="cs"/>
          <w:sz w:val="27"/>
          <w:szCs w:val="27"/>
          <w:rtl/>
          <w:lang w:bidi="ar-IQ"/>
        </w:rPr>
        <w:t>ً</w:t>
      </w:r>
      <w:r w:rsidRPr="00904FCB">
        <w:rPr>
          <w:rFonts w:cs="AL-Mohanad" w:hint="cs"/>
          <w:sz w:val="27"/>
          <w:szCs w:val="27"/>
          <w:rtl/>
          <w:lang w:bidi="ar-IQ"/>
        </w:rPr>
        <w:t>. فلو سرق اليهودي مال غير اليهودي فقد استرد</w:t>
      </w:r>
      <w:r w:rsidR="005760D6" w:rsidRPr="00904FCB">
        <w:rPr>
          <w:rFonts w:cs="AL-Mohanad" w:hint="cs"/>
          <w:sz w:val="27"/>
          <w:szCs w:val="27"/>
          <w:rtl/>
          <w:lang w:bidi="ar-IQ"/>
        </w:rPr>
        <w:t>ّ</w:t>
      </w:r>
      <w:r w:rsidRPr="00904FCB">
        <w:rPr>
          <w:rFonts w:cs="AL-Mohanad" w:hint="cs"/>
          <w:sz w:val="27"/>
          <w:szCs w:val="27"/>
          <w:rtl/>
          <w:lang w:bidi="ar-IQ"/>
        </w:rPr>
        <w:t xml:space="preserve"> ما استلب منه</w:t>
      </w:r>
      <w:r w:rsidRPr="00904FCB">
        <w:rPr>
          <w:rFonts w:cs="AL-Mohanad" w:hint="cs"/>
          <w:sz w:val="27"/>
          <w:szCs w:val="27"/>
          <w:vertAlign w:val="superscript"/>
          <w:rtl/>
          <w:lang w:bidi="ar-IQ"/>
        </w:rPr>
        <w:t>(</w:t>
      </w:r>
      <w:r w:rsidRPr="00904FCB">
        <w:rPr>
          <w:rFonts w:cs="AL-Mohanad"/>
          <w:szCs w:val="27"/>
          <w:vertAlign w:val="superscript"/>
          <w:rtl/>
        </w:rPr>
        <w:endnoteReference w:id="295"/>
      </w:r>
      <w:r w:rsidRPr="00904FCB">
        <w:rPr>
          <w:rFonts w:cs="AL-Mohanad" w:hint="cs"/>
          <w:sz w:val="27"/>
          <w:szCs w:val="27"/>
          <w:vertAlign w:val="superscript"/>
          <w:rtl/>
          <w:lang w:bidi="ar-IQ"/>
        </w:rPr>
        <w:t>)</w:t>
      </w:r>
      <w:r w:rsidR="005760D6" w:rsidRPr="00904FCB">
        <w:rPr>
          <w:rFonts w:cs="AL-Mohanad" w:hint="cs"/>
          <w:sz w:val="27"/>
          <w:szCs w:val="27"/>
          <w:rtl/>
          <w:lang w:bidi="ar-IQ"/>
        </w:rPr>
        <w:t>،</w:t>
      </w:r>
      <w:r w:rsidRPr="00904FCB">
        <w:rPr>
          <w:rFonts w:cs="AL-Mohanad" w:hint="cs"/>
          <w:sz w:val="27"/>
          <w:szCs w:val="27"/>
          <w:rtl/>
          <w:lang w:bidi="ar-IQ"/>
        </w:rPr>
        <w:t xml:space="preserve"> وغير مسموح لليهودي </w:t>
      </w:r>
      <w:r w:rsidR="005760D6" w:rsidRPr="00904FCB">
        <w:rPr>
          <w:rFonts w:cs="AL-Mohanad" w:hint="cs"/>
          <w:sz w:val="27"/>
          <w:szCs w:val="27"/>
          <w:rtl/>
          <w:lang w:bidi="ar-IQ"/>
        </w:rPr>
        <w:t>أ</w:t>
      </w:r>
      <w:r w:rsidRPr="00904FCB">
        <w:rPr>
          <w:rFonts w:cs="AL-Mohanad" w:hint="cs"/>
          <w:sz w:val="27"/>
          <w:szCs w:val="27"/>
          <w:rtl/>
          <w:lang w:bidi="ar-IQ"/>
        </w:rPr>
        <w:t>ن يقرض ال</w:t>
      </w:r>
      <w:r w:rsidR="005760D6" w:rsidRPr="00904FCB">
        <w:rPr>
          <w:rFonts w:cs="AL-Mohanad" w:hint="cs"/>
          <w:sz w:val="27"/>
          <w:szCs w:val="27"/>
          <w:rtl/>
          <w:lang w:bidi="ar-IQ"/>
        </w:rPr>
        <w:t>أ</w:t>
      </w:r>
      <w:r w:rsidRPr="00904FCB">
        <w:rPr>
          <w:rFonts w:cs="AL-Mohanad" w:hint="cs"/>
          <w:sz w:val="27"/>
          <w:szCs w:val="27"/>
          <w:rtl/>
          <w:lang w:bidi="ar-IQ"/>
        </w:rPr>
        <w:t xml:space="preserve">جنبي </w:t>
      </w:r>
      <w:r w:rsidR="005760D6" w:rsidRPr="00904FCB">
        <w:rPr>
          <w:rFonts w:cs="AL-Mohanad" w:hint="cs"/>
          <w:sz w:val="27"/>
          <w:szCs w:val="27"/>
          <w:rtl/>
          <w:lang w:bidi="ar-IQ"/>
        </w:rPr>
        <w:t>إ</w:t>
      </w:r>
      <w:r w:rsidRPr="00904FCB">
        <w:rPr>
          <w:rFonts w:cs="AL-Mohanad" w:hint="cs"/>
          <w:sz w:val="27"/>
          <w:szCs w:val="27"/>
          <w:rtl/>
          <w:lang w:bidi="ar-IQ"/>
        </w:rPr>
        <w:t>لا</w:t>
      </w:r>
      <w:r w:rsidR="005760D6" w:rsidRPr="00904FCB">
        <w:rPr>
          <w:rFonts w:cs="AL-Mohanad" w:hint="cs"/>
          <w:sz w:val="27"/>
          <w:szCs w:val="27"/>
          <w:rtl/>
          <w:lang w:bidi="ar-IQ"/>
        </w:rPr>
        <w:t>ّ</w:t>
      </w:r>
      <w:r w:rsidRPr="00904FCB">
        <w:rPr>
          <w:rFonts w:cs="AL-Mohanad" w:hint="cs"/>
          <w:sz w:val="27"/>
          <w:szCs w:val="27"/>
          <w:rtl/>
          <w:lang w:bidi="ar-IQ"/>
        </w:rPr>
        <w:t xml:space="preserve"> بالر</w:t>
      </w:r>
      <w:r w:rsidR="005760D6" w:rsidRPr="00904FCB">
        <w:rPr>
          <w:rFonts w:cs="AL-Mohanad" w:hint="cs"/>
          <w:sz w:val="27"/>
          <w:szCs w:val="27"/>
          <w:rtl/>
          <w:lang w:bidi="ar-IQ"/>
        </w:rPr>
        <w:t>ِّ</w:t>
      </w:r>
      <w:r w:rsidRPr="00904FCB">
        <w:rPr>
          <w:rFonts w:cs="AL-Mohanad" w:hint="cs"/>
          <w:sz w:val="27"/>
          <w:szCs w:val="27"/>
          <w:rtl/>
          <w:lang w:bidi="ar-IQ"/>
        </w:rPr>
        <w:t>با</w:t>
      </w:r>
      <w:r w:rsidR="005760D6" w:rsidRPr="00904FCB">
        <w:rPr>
          <w:rFonts w:cs="AL-Mohanad" w:hint="cs"/>
          <w:sz w:val="27"/>
          <w:szCs w:val="27"/>
          <w:rtl/>
          <w:lang w:bidi="ar-IQ"/>
        </w:rPr>
        <w:t>؛</w:t>
      </w:r>
      <w:r w:rsidRPr="00904FCB">
        <w:rPr>
          <w:rFonts w:cs="AL-Mohanad" w:hint="cs"/>
          <w:sz w:val="27"/>
          <w:szCs w:val="27"/>
          <w:rtl/>
          <w:lang w:bidi="ar-IQ"/>
        </w:rPr>
        <w:t xml:space="preserve"> لاستنزاف ثروة ال</w:t>
      </w:r>
      <w:r w:rsidR="005760D6" w:rsidRPr="00904FCB">
        <w:rPr>
          <w:rFonts w:cs="AL-Mohanad" w:hint="cs"/>
          <w:sz w:val="27"/>
          <w:szCs w:val="27"/>
          <w:rtl/>
          <w:lang w:bidi="ar-IQ"/>
        </w:rPr>
        <w:t>آ</w:t>
      </w:r>
      <w:r w:rsidRPr="00904FCB">
        <w:rPr>
          <w:rFonts w:cs="AL-Mohanad" w:hint="cs"/>
          <w:sz w:val="27"/>
          <w:szCs w:val="27"/>
          <w:rtl/>
          <w:lang w:bidi="ar-IQ"/>
        </w:rPr>
        <w:t>خرين</w:t>
      </w:r>
      <w:r w:rsidR="005760D6" w:rsidRPr="00904FCB">
        <w:rPr>
          <w:rFonts w:cs="AL-Mohanad" w:hint="cs"/>
          <w:sz w:val="27"/>
          <w:szCs w:val="27"/>
          <w:rtl/>
          <w:lang w:bidi="ar-IQ"/>
        </w:rPr>
        <w:t>.</w:t>
      </w:r>
      <w:r w:rsidRPr="00904FCB">
        <w:rPr>
          <w:rFonts w:cs="AL-Mohanad" w:hint="cs"/>
          <w:sz w:val="27"/>
          <w:szCs w:val="27"/>
          <w:rtl/>
          <w:lang w:bidi="ar-IQ"/>
        </w:rPr>
        <w:t xml:space="preserve"> </w:t>
      </w:r>
    </w:p>
    <w:p w:rsidR="00952E59" w:rsidRPr="00904FCB" w:rsidRDefault="005760D6" w:rsidP="007A21AA">
      <w:pPr>
        <w:pStyle w:val="af1"/>
        <w:spacing w:after="0" w:line="400" w:lineRule="exact"/>
        <w:ind w:left="0" w:firstLine="567"/>
        <w:jc w:val="both"/>
        <w:rPr>
          <w:rFonts w:cs="AL-Mohanad"/>
          <w:sz w:val="27"/>
          <w:szCs w:val="27"/>
          <w:lang w:bidi="ar-IQ"/>
        </w:rPr>
      </w:pPr>
      <w:r w:rsidRPr="009B1673">
        <w:rPr>
          <w:rFonts w:cs="AL-Mohanad" w:hint="cs"/>
          <w:sz w:val="27"/>
          <w:szCs w:val="27"/>
          <w:rtl/>
          <w:lang w:bidi="ar-IQ"/>
        </w:rPr>
        <w:t>8</w:t>
      </w:r>
      <w:r w:rsidR="00952E59" w:rsidRPr="009B1673">
        <w:rPr>
          <w:rFonts w:cs="AL-Mohanad" w:hint="cs"/>
          <w:sz w:val="27"/>
          <w:szCs w:val="27"/>
          <w:rtl/>
          <w:lang w:bidi="ar-IQ"/>
        </w:rPr>
        <w:t>ـ ينص</w:t>
      </w:r>
      <w:r w:rsidRPr="009B1673">
        <w:rPr>
          <w:rFonts w:cs="AL-Mohanad" w:hint="cs"/>
          <w:sz w:val="27"/>
          <w:szCs w:val="27"/>
          <w:rtl/>
          <w:lang w:bidi="ar-IQ"/>
        </w:rPr>
        <w:t>ّ</w:t>
      </w:r>
      <w:r w:rsidR="00952E59" w:rsidRPr="009B1673">
        <w:rPr>
          <w:rFonts w:cs="AL-Mohanad" w:hint="cs"/>
          <w:sz w:val="27"/>
          <w:szCs w:val="27"/>
          <w:rtl/>
          <w:lang w:bidi="ar-IQ"/>
        </w:rPr>
        <w:t xml:space="preserve"> التلمود </w:t>
      </w:r>
      <w:r w:rsidRPr="009B1673">
        <w:rPr>
          <w:rFonts w:cs="AL-Mohanad" w:hint="cs"/>
          <w:sz w:val="27"/>
          <w:szCs w:val="27"/>
          <w:rtl/>
          <w:lang w:bidi="ar-IQ"/>
        </w:rPr>
        <w:t>أ</w:t>
      </w:r>
      <w:r w:rsidR="00952E59" w:rsidRPr="009B1673">
        <w:rPr>
          <w:rFonts w:cs="AL-Mohanad" w:hint="cs"/>
          <w:sz w:val="27"/>
          <w:szCs w:val="27"/>
          <w:rtl/>
          <w:lang w:bidi="ar-IQ"/>
        </w:rPr>
        <w:t xml:space="preserve">ن من العدل </w:t>
      </w:r>
      <w:r w:rsidRPr="009B1673">
        <w:rPr>
          <w:rFonts w:cs="AL-Mohanad" w:hint="cs"/>
          <w:sz w:val="27"/>
          <w:szCs w:val="27"/>
          <w:rtl/>
          <w:lang w:bidi="ar-IQ"/>
        </w:rPr>
        <w:t>أ</w:t>
      </w:r>
      <w:r w:rsidR="00952E59" w:rsidRPr="009B1673">
        <w:rPr>
          <w:rFonts w:cs="AL-Mohanad" w:hint="cs"/>
          <w:sz w:val="27"/>
          <w:szCs w:val="27"/>
          <w:rtl/>
          <w:lang w:bidi="ar-IQ"/>
        </w:rPr>
        <w:t>ن يقتل اليهودي كل</w:t>
      </w:r>
      <w:r w:rsidRPr="009B1673">
        <w:rPr>
          <w:rFonts w:cs="AL-Mohanad" w:hint="cs"/>
          <w:sz w:val="27"/>
          <w:szCs w:val="27"/>
          <w:rtl/>
          <w:lang w:bidi="ar-IQ"/>
        </w:rPr>
        <w:t>ّ</w:t>
      </w:r>
      <w:r w:rsidR="00952E59" w:rsidRPr="009B1673">
        <w:rPr>
          <w:rFonts w:cs="AL-Mohanad" w:hint="cs"/>
          <w:sz w:val="27"/>
          <w:szCs w:val="27"/>
          <w:rtl/>
          <w:lang w:bidi="ar-IQ"/>
        </w:rPr>
        <w:t xml:space="preserve"> أممي</w:t>
      </w:r>
      <w:r w:rsidRPr="009B1673">
        <w:rPr>
          <w:rFonts w:cs="AL-Mohanad" w:hint="cs"/>
          <w:sz w:val="27"/>
          <w:szCs w:val="27"/>
          <w:rtl/>
          <w:lang w:bidi="ar-IQ"/>
        </w:rPr>
        <w:t>؛</w:t>
      </w:r>
      <w:r w:rsidR="00952E59" w:rsidRPr="009B1673">
        <w:rPr>
          <w:rFonts w:cs="AL-Mohanad" w:hint="cs"/>
          <w:sz w:val="27"/>
          <w:szCs w:val="27"/>
          <w:rtl/>
          <w:lang w:bidi="ar-IQ"/>
        </w:rPr>
        <w:t xml:space="preserve"> لأنه بذلك يقر</w:t>
      </w:r>
      <w:r w:rsidRPr="009B1673">
        <w:rPr>
          <w:rFonts w:cs="AL-Mohanad" w:hint="cs"/>
          <w:sz w:val="27"/>
          <w:szCs w:val="27"/>
          <w:rtl/>
          <w:lang w:bidi="ar-IQ"/>
        </w:rPr>
        <w:t>ِّ</w:t>
      </w:r>
      <w:r w:rsidR="00952E59" w:rsidRPr="009B1673">
        <w:rPr>
          <w:rFonts w:cs="AL-Mohanad" w:hint="cs"/>
          <w:sz w:val="27"/>
          <w:szCs w:val="27"/>
          <w:rtl/>
          <w:lang w:bidi="ar-IQ"/>
        </w:rPr>
        <w:t>ب</w:t>
      </w:r>
      <w:r w:rsidR="00952E59" w:rsidRPr="00904FCB">
        <w:rPr>
          <w:rFonts w:cs="AL-Mohanad" w:hint="cs"/>
          <w:sz w:val="27"/>
          <w:szCs w:val="27"/>
          <w:rtl/>
          <w:lang w:bidi="ar-IQ"/>
        </w:rPr>
        <w:t xml:space="preserve"> قرباناً</w:t>
      </w:r>
      <w:r w:rsidR="00952E59" w:rsidRPr="00904FCB">
        <w:rPr>
          <w:rFonts w:cs="AL-Mohanad" w:hint="cs"/>
          <w:sz w:val="27"/>
          <w:szCs w:val="27"/>
          <w:vertAlign w:val="superscript"/>
          <w:rtl/>
          <w:lang w:bidi="ar-IQ"/>
        </w:rPr>
        <w:t>(</w:t>
      </w:r>
      <w:r w:rsidR="00952E59" w:rsidRPr="00904FCB">
        <w:rPr>
          <w:rStyle w:val="ac"/>
          <w:rFonts w:cs="AL-Mohanad"/>
          <w:sz w:val="27"/>
          <w:szCs w:val="27"/>
          <w:rtl/>
          <w:lang w:bidi="ar-IQ"/>
        </w:rPr>
        <w:endnoteReference w:id="296"/>
      </w:r>
      <w:r w:rsidR="00952E59" w:rsidRPr="00904FCB">
        <w:rPr>
          <w:rFonts w:cs="AL-Mohanad" w:hint="cs"/>
          <w:sz w:val="27"/>
          <w:szCs w:val="27"/>
          <w:vertAlign w:val="superscript"/>
          <w:rtl/>
          <w:lang w:bidi="ar-IQ"/>
        </w:rPr>
        <w:t>)</w:t>
      </w:r>
      <w:r w:rsidR="00952E59" w:rsidRPr="00904FCB">
        <w:rPr>
          <w:rFonts w:cs="AL-Mohanad" w:hint="cs"/>
          <w:sz w:val="27"/>
          <w:szCs w:val="27"/>
          <w:rtl/>
          <w:lang w:bidi="ar-IQ"/>
        </w:rPr>
        <w:t xml:space="preserve"> لله. </w:t>
      </w:r>
    </w:p>
    <w:p w:rsidR="005760D6" w:rsidRPr="00904FCB" w:rsidRDefault="005760D6" w:rsidP="007A21AA">
      <w:pPr>
        <w:pStyle w:val="af1"/>
        <w:spacing w:after="0" w:line="400" w:lineRule="exact"/>
        <w:ind w:left="0" w:firstLine="567"/>
        <w:jc w:val="both"/>
        <w:rPr>
          <w:rFonts w:cs="AL-Mohanad"/>
          <w:sz w:val="27"/>
          <w:szCs w:val="27"/>
          <w:rtl/>
          <w:lang w:bidi="ar-IQ"/>
        </w:rPr>
      </w:pPr>
      <w:r w:rsidRPr="009B1673">
        <w:rPr>
          <w:rFonts w:cs="AL-Mohanad" w:hint="cs"/>
          <w:sz w:val="27"/>
          <w:szCs w:val="27"/>
          <w:rtl/>
          <w:lang w:bidi="ar-IQ"/>
        </w:rPr>
        <w:t>9</w:t>
      </w:r>
      <w:r w:rsidR="00952E59" w:rsidRPr="009B1673">
        <w:rPr>
          <w:rFonts w:cs="AL-Mohanad" w:hint="cs"/>
          <w:sz w:val="27"/>
          <w:szCs w:val="27"/>
          <w:rtl/>
          <w:lang w:bidi="ar-IQ"/>
        </w:rPr>
        <w:t xml:space="preserve">ـ في التلمود </w:t>
      </w:r>
      <w:r w:rsidRPr="009B1673">
        <w:rPr>
          <w:rFonts w:cs="AL-Mohanad" w:hint="cs"/>
          <w:sz w:val="27"/>
          <w:szCs w:val="27"/>
          <w:rtl/>
          <w:lang w:bidi="ar-IQ"/>
        </w:rPr>
        <w:t>إ</w:t>
      </w:r>
      <w:r w:rsidR="00952E59" w:rsidRPr="009B1673">
        <w:rPr>
          <w:rFonts w:cs="AL-Mohanad" w:hint="cs"/>
          <w:sz w:val="27"/>
          <w:szCs w:val="27"/>
          <w:rtl/>
          <w:lang w:bidi="ar-IQ"/>
        </w:rPr>
        <w:t>ساءة لسي</w:t>
      </w:r>
      <w:r w:rsidRPr="009B1673">
        <w:rPr>
          <w:rFonts w:cs="AL-Mohanad" w:hint="cs"/>
          <w:sz w:val="27"/>
          <w:szCs w:val="27"/>
          <w:rtl/>
          <w:lang w:bidi="ar-IQ"/>
        </w:rPr>
        <w:t>ِّ</w:t>
      </w:r>
      <w:r w:rsidR="00952E59" w:rsidRPr="009B1673">
        <w:rPr>
          <w:rFonts w:cs="AL-Mohanad" w:hint="cs"/>
          <w:sz w:val="27"/>
          <w:szCs w:val="27"/>
          <w:rtl/>
          <w:lang w:bidi="ar-IQ"/>
        </w:rPr>
        <w:t>دنا عيسى</w:t>
      </w:r>
      <w:r w:rsidR="001C1A2A" w:rsidRPr="009B1673">
        <w:rPr>
          <w:rFonts w:cs="AL-Mohanad" w:hint="cs"/>
          <w:sz w:val="27"/>
          <w:rtl/>
          <w:lang w:bidi="ar-IQ"/>
        </w:rPr>
        <w:t>×</w:t>
      </w:r>
      <w:r w:rsidRPr="009B1673">
        <w:rPr>
          <w:rFonts w:cs="AL-Mohanad" w:hint="cs"/>
          <w:sz w:val="27"/>
          <w:szCs w:val="27"/>
          <w:rtl/>
          <w:lang w:bidi="ar-IQ"/>
        </w:rPr>
        <w:t>،</w:t>
      </w:r>
      <w:r w:rsidR="00952E59" w:rsidRPr="009B1673">
        <w:rPr>
          <w:rFonts w:cs="AL-Mohanad" w:hint="cs"/>
          <w:sz w:val="27"/>
          <w:szCs w:val="27"/>
          <w:rtl/>
          <w:lang w:bidi="ar-IQ"/>
        </w:rPr>
        <w:t xml:space="preserve"> و</w:t>
      </w:r>
      <w:r w:rsidRPr="009B1673">
        <w:rPr>
          <w:rFonts w:cs="AL-Mohanad" w:hint="cs"/>
          <w:sz w:val="27"/>
          <w:szCs w:val="27"/>
          <w:rtl/>
          <w:lang w:bidi="ar-IQ"/>
        </w:rPr>
        <w:t>إ</w:t>
      </w:r>
      <w:r w:rsidR="00952E59" w:rsidRPr="009B1673">
        <w:rPr>
          <w:rFonts w:cs="AL-Mohanad" w:hint="cs"/>
          <w:sz w:val="27"/>
          <w:szCs w:val="27"/>
          <w:rtl/>
          <w:lang w:bidi="ar-IQ"/>
        </w:rPr>
        <w:t>ساءة للكنائس المسيحية والمسيحيين</w:t>
      </w:r>
      <w:r w:rsidR="00952E59" w:rsidRPr="00904FCB">
        <w:rPr>
          <w:rFonts w:cs="AL-Mohanad" w:hint="cs"/>
          <w:sz w:val="27"/>
          <w:szCs w:val="27"/>
          <w:rtl/>
          <w:lang w:bidi="ar-IQ"/>
        </w:rPr>
        <w:t xml:space="preserve"> جميعا</w:t>
      </w:r>
      <w:r w:rsidRPr="00904FCB">
        <w:rPr>
          <w:rFonts w:cs="AL-Mohanad" w:hint="cs"/>
          <w:sz w:val="27"/>
          <w:szCs w:val="27"/>
          <w:rtl/>
          <w:lang w:bidi="ar-IQ"/>
        </w:rPr>
        <w:t>ً</w:t>
      </w:r>
      <w:r w:rsidR="00952E59" w:rsidRPr="00904FCB">
        <w:rPr>
          <w:rFonts w:cs="AL-Mohanad" w:hint="cs"/>
          <w:sz w:val="27"/>
          <w:szCs w:val="27"/>
          <w:rtl/>
          <w:lang w:bidi="ar-IQ"/>
        </w:rPr>
        <w:t xml:space="preserve">. </w:t>
      </w:r>
    </w:p>
    <w:p w:rsidR="00952E59" w:rsidRPr="00904FCB" w:rsidRDefault="00952E59" w:rsidP="007A21AA">
      <w:pPr>
        <w:spacing w:line="400" w:lineRule="exact"/>
        <w:rPr>
          <w:rtl/>
          <w:lang w:bidi="ar-IQ"/>
        </w:rPr>
      </w:pPr>
      <w:r w:rsidRPr="00904FCB">
        <w:rPr>
          <w:rFonts w:hint="cs"/>
          <w:rtl/>
          <w:lang w:bidi="ar-IQ"/>
        </w:rPr>
        <w:t>من النصوص التلمودية المتقد</w:t>
      </w:r>
      <w:r w:rsidR="005760D6" w:rsidRPr="00904FCB">
        <w:rPr>
          <w:rFonts w:hint="cs"/>
          <w:rtl/>
          <w:lang w:bidi="ar-IQ"/>
        </w:rPr>
        <w:t>ّ</w:t>
      </w:r>
      <w:r w:rsidRPr="00904FCB">
        <w:rPr>
          <w:rFonts w:hint="cs"/>
          <w:rtl/>
          <w:lang w:bidi="ar-IQ"/>
        </w:rPr>
        <w:t xml:space="preserve">مة نلحظ </w:t>
      </w:r>
      <w:r w:rsidR="005760D6" w:rsidRPr="00904FCB">
        <w:rPr>
          <w:rFonts w:hint="cs"/>
          <w:rtl/>
          <w:lang w:bidi="ar-IQ"/>
        </w:rPr>
        <w:t>أ</w:t>
      </w:r>
      <w:r w:rsidRPr="00904FCB">
        <w:rPr>
          <w:rFonts w:hint="cs"/>
          <w:rtl/>
          <w:lang w:bidi="ar-IQ"/>
        </w:rPr>
        <w:t>ن التمييز والسيادة على بني البشر كانت القاعدة ال</w:t>
      </w:r>
      <w:r w:rsidR="005760D6" w:rsidRPr="00904FCB">
        <w:rPr>
          <w:rFonts w:hint="cs"/>
          <w:rtl/>
          <w:lang w:bidi="ar-IQ"/>
        </w:rPr>
        <w:t>أ</w:t>
      </w:r>
      <w:r w:rsidRPr="00904FCB">
        <w:rPr>
          <w:rFonts w:hint="cs"/>
          <w:rtl/>
          <w:lang w:bidi="ar-IQ"/>
        </w:rPr>
        <w:t>ساسية للعدوان على بقية شعوب ال</w:t>
      </w:r>
      <w:r w:rsidR="005760D6" w:rsidRPr="00904FCB">
        <w:rPr>
          <w:rFonts w:hint="cs"/>
          <w:rtl/>
          <w:lang w:bidi="ar-IQ"/>
        </w:rPr>
        <w:t>أ</w:t>
      </w:r>
      <w:r w:rsidRPr="00904FCB">
        <w:rPr>
          <w:rFonts w:hint="cs"/>
          <w:rtl/>
          <w:lang w:bidi="ar-IQ"/>
        </w:rPr>
        <w:t>رض</w:t>
      </w:r>
      <w:r w:rsidR="005760D6" w:rsidRPr="00904FCB">
        <w:rPr>
          <w:rFonts w:hint="cs"/>
          <w:rtl/>
          <w:lang w:bidi="ar-IQ"/>
        </w:rPr>
        <w:t>،</w:t>
      </w:r>
      <w:r w:rsidRPr="00904FCB">
        <w:rPr>
          <w:rFonts w:hint="cs"/>
          <w:rtl/>
          <w:lang w:bidi="ar-IQ"/>
        </w:rPr>
        <w:t xml:space="preserve"> دون </w:t>
      </w:r>
      <w:r w:rsidR="005760D6" w:rsidRPr="00904FCB">
        <w:rPr>
          <w:rFonts w:hint="cs"/>
          <w:rtl/>
          <w:lang w:bidi="ar-IQ"/>
        </w:rPr>
        <w:t>أ</w:t>
      </w:r>
      <w:r w:rsidRPr="00904FCB">
        <w:rPr>
          <w:rFonts w:hint="cs"/>
          <w:rtl/>
          <w:lang w:bidi="ar-IQ"/>
        </w:rPr>
        <w:t>ن ترتكب تلك الشعوب أي</w:t>
      </w:r>
      <w:r w:rsidR="005760D6" w:rsidRPr="00904FCB">
        <w:rPr>
          <w:rFonts w:hint="cs"/>
          <w:rtl/>
          <w:lang w:bidi="ar-IQ"/>
        </w:rPr>
        <w:t>ّ</w:t>
      </w:r>
      <w:r w:rsidRPr="00904FCB">
        <w:rPr>
          <w:rFonts w:hint="cs"/>
          <w:rtl/>
          <w:lang w:bidi="ar-IQ"/>
        </w:rPr>
        <w:t xml:space="preserve"> </w:t>
      </w:r>
      <w:r w:rsidR="005760D6" w:rsidRPr="00904FCB">
        <w:rPr>
          <w:rFonts w:hint="cs"/>
          <w:rtl/>
          <w:lang w:bidi="ar-IQ"/>
        </w:rPr>
        <w:t>أ</w:t>
      </w:r>
      <w:r w:rsidRPr="00904FCB">
        <w:rPr>
          <w:rFonts w:hint="cs"/>
          <w:rtl/>
          <w:lang w:bidi="ar-IQ"/>
        </w:rPr>
        <w:t>عمال ضد</w:t>
      </w:r>
      <w:r w:rsidR="005760D6" w:rsidRPr="00904FCB">
        <w:rPr>
          <w:rFonts w:hint="cs"/>
          <w:rtl/>
          <w:lang w:bidi="ar-IQ"/>
        </w:rPr>
        <w:t>ّ</w:t>
      </w:r>
      <w:r w:rsidRPr="00904FCB">
        <w:rPr>
          <w:rFonts w:hint="cs"/>
          <w:rtl/>
          <w:lang w:bidi="ar-IQ"/>
        </w:rPr>
        <w:t xml:space="preserve"> اليهود</w:t>
      </w:r>
      <w:r w:rsidR="005760D6" w:rsidRPr="00904FCB">
        <w:rPr>
          <w:rFonts w:hint="cs"/>
          <w:rtl/>
          <w:lang w:bidi="ar-IQ"/>
        </w:rPr>
        <w:t>،</w:t>
      </w:r>
      <w:r w:rsidRPr="00904FCB">
        <w:rPr>
          <w:rFonts w:hint="cs"/>
          <w:rtl/>
          <w:lang w:bidi="ar-IQ"/>
        </w:rPr>
        <w:t xml:space="preserve"> سواء كان عدوانا</w:t>
      </w:r>
      <w:r w:rsidR="005760D6" w:rsidRPr="00904FCB">
        <w:rPr>
          <w:rFonts w:hint="cs"/>
          <w:rtl/>
          <w:lang w:bidi="ar-IQ"/>
        </w:rPr>
        <w:t>ً</w:t>
      </w:r>
      <w:r w:rsidRPr="00904FCB">
        <w:rPr>
          <w:rFonts w:hint="cs"/>
          <w:rtl/>
          <w:lang w:bidi="ar-IQ"/>
        </w:rPr>
        <w:t xml:space="preserve"> على </w:t>
      </w:r>
      <w:r w:rsidR="005760D6" w:rsidRPr="00904FCB">
        <w:rPr>
          <w:rFonts w:hint="cs"/>
          <w:rtl/>
          <w:lang w:bidi="ar-IQ"/>
        </w:rPr>
        <w:t>أر</w:t>
      </w:r>
      <w:r w:rsidRPr="00904FCB">
        <w:rPr>
          <w:rFonts w:hint="cs"/>
          <w:rtl/>
          <w:lang w:bidi="ar-IQ"/>
        </w:rPr>
        <w:t xml:space="preserve">واحهم </w:t>
      </w:r>
      <w:r w:rsidR="005760D6" w:rsidRPr="00904FCB">
        <w:rPr>
          <w:rFonts w:hint="cs"/>
          <w:rtl/>
          <w:lang w:bidi="ar-IQ"/>
        </w:rPr>
        <w:t>أ</w:t>
      </w:r>
      <w:r w:rsidRPr="00904FCB">
        <w:rPr>
          <w:rFonts w:hint="cs"/>
          <w:rtl/>
          <w:lang w:bidi="ar-IQ"/>
        </w:rPr>
        <w:t>و حر</w:t>
      </w:r>
      <w:r w:rsidR="005760D6" w:rsidRPr="00904FCB">
        <w:rPr>
          <w:rFonts w:hint="cs"/>
          <w:rtl/>
          <w:lang w:bidi="ar-IQ"/>
        </w:rPr>
        <w:t>ّ</w:t>
      </w:r>
      <w:r w:rsidRPr="00904FCB">
        <w:rPr>
          <w:rFonts w:hint="cs"/>
          <w:rtl/>
          <w:lang w:bidi="ar-IQ"/>
        </w:rPr>
        <w:t xml:space="preserve">ياتهم </w:t>
      </w:r>
      <w:r w:rsidR="005760D6" w:rsidRPr="00904FCB">
        <w:rPr>
          <w:rFonts w:hint="cs"/>
          <w:rtl/>
          <w:lang w:bidi="ar-IQ"/>
        </w:rPr>
        <w:t>أ</w:t>
      </w:r>
      <w:r w:rsidRPr="00904FCB">
        <w:rPr>
          <w:rFonts w:hint="cs"/>
          <w:rtl/>
          <w:lang w:bidi="ar-IQ"/>
        </w:rPr>
        <w:t>و ممتلكاتهم</w:t>
      </w:r>
      <w:r w:rsidR="005760D6" w:rsidRPr="00904FCB">
        <w:rPr>
          <w:rFonts w:hint="cs"/>
          <w:rtl/>
          <w:lang w:bidi="ar-IQ"/>
        </w:rPr>
        <w:t>.</w:t>
      </w:r>
      <w:r w:rsidRPr="00904FCB">
        <w:rPr>
          <w:rFonts w:hint="cs"/>
          <w:rtl/>
          <w:lang w:bidi="ar-IQ"/>
        </w:rPr>
        <w:t xml:space="preserve"> ويلاحظ </w:t>
      </w:r>
      <w:r w:rsidR="005760D6" w:rsidRPr="00904FCB">
        <w:rPr>
          <w:rFonts w:hint="cs"/>
          <w:rtl/>
          <w:lang w:bidi="ar-IQ"/>
        </w:rPr>
        <w:t>أ</w:t>
      </w:r>
      <w:r w:rsidRPr="00904FCB">
        <w:rPr>
          <w:rFonts w:hint="cs"/>
          <w:rtl/>
          <w:lang w:bidi="ar-IQ"/>
        </w:rPr>
        <w:t>ن ال</w:t>
      </w:r>
      <w:r w:rsidR="005760D6" w:rsidRPr="00904FCB">
        <w:rPr>
          <w:rFonts w:hint="cs"/>
          <w:rtl/>
          <w:lang w:bidi="ar-IQ"/>
        </w:rPr>
        <w:t>إ</w:t>
      </w:r>
      <w:r w:rsidRPr="00904FCB">
        <w:rPr>
          <w:rFonts w:hint="cs"/>
          <w:rtl/>
          <w:lang w:bidi="ar-IQ"/>
        </w:rPr>
        <w:t xml:space="preserve">ساءة </w:t>
      </w:r>
      <w:r w:rsidR="005760D6" w:rsidRPr="00904FCB">
        <w:rPr>
          <w:rFonts w:hint="cs"/>
          <w:rtl/>
          <w:lang w:bidi="ar-IQ"/>
        </w:rPr>
        <w:t>إلى ا</w:t>
      </w:r>
      <w:r w:rsidRPr="00904FCB">
        <w:rPr>
          <w:rFonts w:hint="cs"/>
          <w:rtl/>
          <w:lang w:bidi="ar-IQ"/>
        </w:rPr>
        <w:t>ل</w:t>
      </w:r>
      <w:r w:rsidR="005760D6" w:rsidRPr="00904FCB">
        <w:rPr>
          <w:rFonts w:hint="cs"/>
          <w:rtl/>
          <w:lang w:bidi="ar-IQ"/>
        </w:rPr>
        <w:t>أ</w:t>
      </w:r>
      <w:r w:rsidRPr="00904FCB">
        <w:rPr>
          <w:rFonts w:hint="cs"/>
          <w:rtl/>
          <w:lang w:bidi="ar-IQ"/>
        </w:rPr>
        <w:t>ديان والمعتقدات ال</w:t>
      </w:r>
      <w:r w:rsidR="005760D6" w:rsidRPr="00904FCB">
        <w:rPr>
          <w:rFonts w:hint="cs"/>
          <w:rtl/>
          <w:lang w:bidi="ar-IQ"/>
        </w:rPr>
        <w:t>أ</w:t>
      </w:r>
      <w:r w:rsidRPr="00904FCB">
        <w:rPr>
          <w:rFonts w:hint="cs"/>
          <w:rtl/>
          <w:lang w:bidi="ar-IQ"/>
        </w:rPr>
        <w:t>خرى فيها دلالة على تفكير متدن</w:t>
      </w:r>
      <w:r w:rsidR="005760D6" w:rsidRPr="00904FCB">
        <w:rPr>
          <w:rFonts w:hint="cs"/>
          <w:rtl/>
          <w:lang w:bidi="ar-IQ"/>
        </w:rPr>
        <w:t>ٍّ</w:t>
      </w:r>
      <w:r w:rsidRPr="00904FCB">
        <w:rPr>
          <w:rFonts w:hint="cs"/>
          <w:rtl/>
          <w:lang w:bidi="ar-IQ"/>
        </w:rPr>
        <w:t xml:space="preserve"> ترك</w:t>
      </w:r>
      <w:r w:rsidR="005760D6" w:rsidRPr="00904FCB">
        <w:rPr>
          <w:rFonts w:hint="cs"/>
          <w:rtl/>
          <w:lang w:bidi="ar-IQ"/>
        </w:rPr>
        <w:t>ِّ</w:t>
      </w:r>
      <w:r w:rsidRPr="00904FCB">
        <w:rPr>
          <w:rFonts w:hint="cs"/>
          <w:rtl/>
          <w:lang w:bidi="ar-IQ"/>
        </w:rPr>
        <w:t xml:space="preserve">زه النصوص الدينية لدى اليهود. </w:t>
      </w:r>
    </w:p>
    <w:p w:rsidR="00952E59" w:rsidRPr="00904FCB" w:rsidRDefault="002B0FE9" w:rsidP="007A21AA">
      <w:pPr>
        <w:spacing w:line="400" w:lineRule="exact"/>
        <w:rPr>
          <w:rtl/>
          <w:lang w:bidi="ar-IQ"/>
        </w:rPr>
      </w:pPr>
      <w:r w:rsidRPr="00904FCB">
        <w:rPr>
          <w:rFonts w:hint="cs"/>
          <w:rtl/>
          <w:lang w:bidi="ar-IQ"/>
        </w:rPr>
        <w:t>و</w:t>
      </w:r>
      <w:r w:rsidR="00952E59" w:rsidRPr="00904FCB">
        <w:rPr>
          <w:rFonts w:hint="cs"/>
          <w:rtl/>
          <w:lang w:bidi="ar-IQ"/>
        </w:rPr>
        <w:t xml:space="preserve">على </w:t>
      </w:r>
      <w:r w:rsidR="005760D6" w:rsidRPr="00904FCB">
        <w:rPr>
          <w:rFonts w:hint="cs"/>
          <w:rtl/>
          <w:lang w:bidi="ar-IQ"/>
        </w:rPr>
        <w:t>أ</w:t>
      </w:r>
      <w:r w:rsidR="00952E59" w:rsidRPr="00904FCB">
        <w:rPr>
          <w:rFonts w:hint="cs"/>
          <w:rtl/>
          <w:lang w:bidi="ar-IQ"/>
        </w:rPr>
        <w:t>ساس</w:t>
      </w:r>
      <w:r w:rsidR="005760D6" w:rsidRPr="00904FCB">
        <w:rPr>
          <w:rFonts w:hint="cs"/>
          <w:rtl/>
          <w:lang w:bidi="ar-IQ"/>
        </w:rPr>
        <w:t>ٍ</w:t>
      </w:r>
      <w:r w:rsidR="00952E59" w:rsidRPr="00904FCB">
        <w:rPr>
          <w:rFonts w:hint="cs"/>
          <w:rtl/>
          <w:lang w:bidi="ar-IQ"/>
        </w:rPr>
        <w:t xml:space="preserve"> من تلك النصوص المرجعية مباشرة</w:t>
      </w:r>
      <w:r w:rsidR="005760D6" w:rsidRPr="00904FCB">
        <w:rPr>
          <w:rFonts w:hint="cs"/>
          <w:rtl/>
          <w:lang w:bidi="ar-IQ"/>
        </w:rPr>
        <w:t>ً</w:t>
      </w:r>
      <w:r w:rsidR="00952E59" w:rsidRPr="00904FCB">
        <w:rPr>
          <w:rFonts w:hint="cs"/>
          <w:rtl/>
          <w:lang w:bidi="ar-IQ"/>
        </w:rPr>
        <w:t xml:space="preserve"> </w:t>
      </w:r>
      <w:r w:rsidR="00952E59" w:rsidRPr="00904FCB">
        <w:rPr>
          <w:rtl/>
          <w:lang w:bidi="ar-IQ"/>
        </w:rPr>
        <w:t>ـ</w:t>
      </w:r>
      <w:r w:rsidR="00952E59" w:rsidRPr="00904FCB">
        <w:rPr>
          <w:rFonts w:hint="cs"/>
          <w:rtl/>
          <w:lang w:bidi="ar-IQ"/>
        </w:rPr>
        <w:t xml:space="preserve"> وليس على تفاسيرها والت</w:t>
      </w:r>
      <w:r w:rsidR="005760D6" w:rsidRPr="00904FCB">
        <w:rPr>
          <w:rFonts w:hint="cs"/>
          <w:rtl/>
          <w:lang w:bidi="ar-IQ"/>
        </w:rPr>
        <w:t>أ</w:t>
      </w:r>
      <w:r w:rsidR="00952E59" w:rsidRPr="00904FCB">
        <w:rPr>
          <w:rFonts w:hint="cs"/>
          <w:rtl/>
          <w:lang w:bidi="ar-IQ"/>
        </w:rPr>
        <w:t xml:space="preserve">ويل المستند </w:t>
      </w:r>
      <w:r w:rsidR="005760D6" w:rsidRPr="00904FCB">
        <w:rPr>
          <w:rFonts w:hint="cs"/>
          <w:rtl/>
          <w:lang w:bidi="ar-IQ"/>
        </w:rPr>
        <w:t>إل</w:t>
      </w:r>
      <w:r w:rsidR="00952E59" w:rsidRPr="00904FCB">
        <w:rPr>
          <w:rFonts w:hint="cs"/>
          <w:rtl/>
          <w:lang w:bidi="ar-IQ"/>
        </w:rPr>
        <w:t xml:space="preserve">يها </w:t>
      </w:r>
      <w:r w:rsidR="005760D6" w:rsidRPr="00904FCB">
        <w:rPr>
          <w:rFonts w:hint="cs"/>
          <w:rtl/>
          <w:lang w:bidi="ar-IQ"/>
        </w:rPr>
        <w:t xml:space="preserve">ـ </w:t>
      </w:r>
      <w:r w:rsidR="00952E59" w:rsidRPr="00904FCB">
        <w:rPr>
          <w:rFonts w:hint="cs"/>
          <w:rtl/>
          <w:lang w:bidi="ar-IQ"/>
        </w:rPr>
        <w:t>يتشك</w:t>
      </w:r>
      <w:r w:rsidR="005760D6" w:rsidRPr="00904FCB">
        <w:rPr>
          <w:rFonts w:hint="cs"/>
          <w:rtl/>
          <w:lang w:bidi="ar-IQ"/>
        </w:rPr>
        <w:t>َّ</w:t>
      </w:r>
      <w:r w:rsidR="00952E59" w:rsidRPr="00904FCB">
        <w:rPr>
          <w:rFonts w:hint="cs"/>
          <w:rtl/>
          <w:lang w:bidi="ar-IQ"/>
        </w:rPr>
        <w:t>ل العقل ال</w:t>
      </w:r>
      <w:r w:rsidR="005760D6" w:rsidRPr="00904FCB">
        <w:rPr>
          <w:rFonts w:hint="cs"/>
          <w:rtl/>
          <w:lang w:bidi="ar-IQ"/>
        </w:rPr>
        <w:t>أ</w:t>
      </w:r>
      <w:r w:rsidR="00952E59" w:rsidRPr="00904FCB">
        <w:rPr>
          <w:rFonts w:hint="cs"/>
          <w:rtl/>
          <w:lang w:bidi="ar-IQ"/>
        </w:rPr>
        <w:t>صولي اليهودي</w:t>
      </w:r>
      <w:r w:rsidR="005760D6" w:rsidRPr="00904FCB">
        <w:rPr>
          <w:rFonts w:hint="cs"/>
          <w:rtl/>
          <w:lang w:bidi="ar-IQ"/>
        </w:rPr>
        <w:t>،</w:t>
      </w:r>
      <w:r w:rsidR="00952E59" w:rsidRPr="00904FCB">
        <w:rPr>
          <w:rFonts w:hint="cs"/>
          <w:rtl/>
          <w:lang w:bidi="ar-IQ"/>
        </w:rPr>
        <w:t xml:space="preserve"> والق</w:t>
      </w:r>
      <w:r w:rsidR="005760D6" w:rsidRPr="00904FCB">
        <w:rPr>
          <w:rFonts w:hint="cs"/>
          <w:rtl/>
          <w:lang w:bidi="ar-IQ"/>
        </w:rPr>
        <w:t>ِ</w:t>
      </w:r>
      <w:r w:rsidR="00952E59" w:rsidRPr="00904FCB">
        <w:rPr>
          <w:rFonts w:hint="cs"/>
          <w:rtl/>
          <w:lang w:bidi="ar-IQ"/>
        </w:rPr>
        <w:t>ي</w:t>
      </w:r>
      <w:r w:rsidR="005760D6" w:rsidRPr="00904FCB">
        <w:rPr>
          <w:rFonts w:hint="cs"/>
          <w:rtl/>
          <w:lang w:bidi="ar-IQ"/>
        </w:rPr>
        <w:t>َ</w:t>
      </w:r>
      <w:r w:rsidR="00952E59" w:rsidRPr="00904FCB">
        <w:rPr>
          <w:rFonts w:hint="cs"/>
          <w:rtl/>
          <w:lang w:bidi="ar-IQ"/>
        </w:rPr>
        <w:t>م ال</w:t>
      </w:r>
      <w:r w:rsidR="005760D6" w:rsidRPr="00904FCB">
        <w:rPr>
          <w:rFonts w:hint="cs"/>
          <w:rtl/>
          <w:lang w:bidi="ar-IQ"/>
        </w:rPr>
        <w:t>أ</w:t>
      </w:r>
      <w:r w:rsidR="00952E59" w:rsidRPr="00904FCB">
        <w:rPr>
          <w:rFonts w:hint="cs"/>
          <w:rtl/>
          <w:lang w:bidi="ar-IQ"/>
        </w:rPr>
        <w:t>صولية العدوانية المتجس</w:t>
      </w:r>
      <w:r w:rsidR="005760D6" w:rsidRPr="00904FCB">
        <w:rPr>
          <w:rFonts w:hint="cs"/>
          <w:rtl/>
          <w:lang w:bidi="ar-IQ"/>
        </w:rPr>
        <w:t>ِّ</w:t>
      </w:r>
      <w:r w:rsidR="00952E59" w:rsidRPr="00904FCB">
        <w:rPr>
          <w:rFonts w:hint="cs"/>
          <w:rtl/>
          <w:lang w:bidi="ar-IQ"/>
        </w:rPr>
        <w:t>دة في السلوك الفردي لعصابات القتل</w:t>
      </w:r>
      <w:r w:rsidR="005760D6" w:rsidRPr="00904FCB">
        <w:rPr>
          <w:rFonts w:hint="cs"/>
          <w:rtl/>
          <w:lang w:bidi="ar-IQ"/>
        </w:rPr>
        <w:t>،</w:t>
      </w:r>
      <w:r w:rsidR="00952E59" w:rsidRPr="00904FCB">
        <w:rPr>
          <w:rFonts w:hint="cs"/>
          <w:rtl/>
          <w:lang w:bidi="ar-IQ"/>
        </w:rPr>
        <w:t xml:space="preserve"> </w:t>
      </w:r>
      <w:r w:rsidR="005760D6" w:rsidRPr="00904FCB">
        <w:rPr>
          <w:rFonts w:hint="cs"/>
          <w:rtl/>
          <w:lang w:bidi="ar-IQ"/>
        </w:rPr>
        <w:t>أ</w:t>
      </w:r>
      <w:r w:rsidR="00952E59" w:rsidRPr="00904FCB">
        <w:rPr>
          <w:rFonts w:hint="cs"/>
          <w:rtl/>
          <w:lang w:bidi="ar-IQ"/>
        </w:rPr>
        <w:t>و السلوك الدولي ل</w:t>
      </w:r>
      <w:r w:rsidR="005760D6" w:rsidRPr="00904FCB">
        <w:rPr>
          <w:rFonts w:hint="cs"/>
          <w:rtl/>
          <w:lang w:bidi="ar-IQ"/>
        </w:rPr>
        <w:t>إ</w:t>
      </w:r>
      <w:r w:rsidR="00952E59" w:rsidRPr="00904FCB">
        <w:rPr>
          <w:rFonts w:hint="cs"/>
          <w:rtl/>
          <w:lang w:bidi="ar-IQ"/>
        </w:rPr>
        <w:t xml:space="preserve">سرائيل. </w:t>
      </w:r>
    </w:p>
    <w:p w:rsidR="00952E59" w:rsidRPr="00904FCB" w:rsidRDefault="00952E59" w:rsidP="007A21AA">
      <w:pPr>
        <w:spacing w:line="400" w:lineRule="exact"/>
        <w:rPr>
          <w:sz w:val="27"/>
          <w:rtl/>
          <w:lang w:bidi="ar-IQ"/>
        </w:rPr>
      </w:pPr>
      <w:r w:rsidRPr="00904FCB">
        <w:rPr>
          <w:rFonts w:hint="cs"/>
          <w:sz w:val="27"/>
          <w:rtl/>
          <w:lang w:bidi="ar-IQ"/>
        </w:rPr>
        <w:t>لقد تكل</w:t>
      </w:r>
      <w:r w:rsidR="005760D6" w:rsidRPr="00904FCB">
        <w:rPr>
          <w:rFonts w:hint="cs"/>
          <w:sz w:val="27"/>
          <w:rtl/>
          <w:lang w:bidi="ar-IQ"/>
        </w:rPr>
        <w:t>َّ</w:t>
      </w:r>
      <w:r w:rsidRPr="00904FCB">
        <w:rPr>
          <w:rFonts w:hint="cs"/>
          <w:sz w:val="27"/>
          <w:rtl/>
          <w:lang w:bidi="ar-IQ"/>
        </w:rPr>
        <w:t>م سفر القضاة عن الفترة ال</w:t>
      </w:r>
      <w:r w:rsidR="007C6936" w:rsidRPr="00904FCB">
        <w:rPr>
          <w:rFonts w:hint="cs"/>
          <w:sz w:val="27"/>
          <w:rtl/>
          <w:lang w:bidi="ar-IQ"/>
        </w:rPr>
        <w:t>أ</w:t>
      </w:r>
      <w:r w:rsidRPr="00904FCB">
        <w:rPr>
          <w:rFonts w:hint="cs"/>
          <w:sz w:val="27"/>
          <w:rtl/>
          <w:lang w:bidi="ar-IQ"/>
        </w:rPr>
        <w:t xml:space="preserve">ولى من دخول بني </w:t>
      </w:r>
      <w:r w:rsidR="007C6936" w:rsidRPr="00904FCB">
        <w:rPr>
          <w:rFonts w:hint="cs"/>
          <w:sz w:val="27"/>
          <w:rtl/>
          <w:lang w:bidi="ar-IQ"/>
        </w:rPr>
        <w:t>إ</w:t>
      </w:r>
      <w:r w:rsidRPr="00904FCB">
        <w:rPr>
          <w:rFonts w:hint="cs"/>
          <w:sz w:val="27"/>
          <w:rtl/>
          <w:lang w:bidi="ar-IQ"/>
        </w:rPr>
        <w:t xml:space="preserve">سرائيل </w:t>
      </w:r>
      <w:r w:rsidR="007C6936" w:rsidRPr="00904FCB">
        <w:rPr>
          <w:rFonts w:hint="cs"/>
          <w:sz w:val="27"/>
          <w:rtl/>
          <w:lang w:bidi="ar-IQ"/>
        </w:rPr>
        <w:t>إ</w:t>
      </w:r>
      <w:r w:rsidRPr="00904FCB">
        <w:rPr>
          <w:rFonts w:hint="cs"/>
          <w:sz w:val="27"/>
          <w:rtl/>
          <w:lang w:bidi="ar-IQ"/>
        </w:rPr>
        <w:t xml:space="preserve">لى </w:t>
      </w:r>
      <w:r w:rsidR="007C6936" w:rsidRPr="00904FCB">
        <w:rPr>
          <w:rFonts w:hint="cs"/>
          <w:sz w:val="27"/>
          <w:rtl/>
          <w:lang w:bidi="ar-IQ"/>
        </w:rPr>
        <w:t>أ</w:t>
      </w:r>
      <w:r w:rsidRPr="00904FCB">
        <w:rPr>
          <w:rFonts w:hint="cs"/>
          <w:sz w:val="27"/>
          <w:rtl/>
          <w:lang w:bidi="ar-IQ"/>
        </w:rPr>
        <w:t>رض كنعان</w:t>
      </w:r>
      <w:r w:rsidR="007C6936" w:rsidRPr="00904FCB">
        <w:rPr>
          <w:rFonts w:hint="cs"/>
          <w:sz w:val="27"/>
          <w:rtl/>
          <w:lang w:bidi="ar-IQ"/>
        </w:rPr>
        <w:t>،</w:t>
      </w:r>
      <w:r w:rsidRPr="00904FCB">
        <w:rPr>
          <w:rFonts w:hint="cs"/>
          <w:sz w:val="27"/>
          <w:rtl/>
          <w:lang w:bidi="ar-IQ"/>
        </w:rPr>
        <w:t xml:space="preserve"> وآنذاك لم تتشك</w:t>
      </w:r>
      <w:r w:rsidR="007C6936" w:rsidRPr="00904FCB">
        <w:rPr>
          <w:rFonts w:hint="cs"/>
          <w:sz w:val="27"/>
          <w:rtl/>
          <w:lang w:bidi="ar-IQ"/>
        </w:rPr>
        <w:t>َّ</w:t>
      </w:r>
      <w:r w:rsidRPr="00904FCB">
        <w:rPr>
          <w:rFonts w:hint="cs"/>
          <w:sz w:val="27"/>
          <w:rtl/>
          <w:lang w:bidi="ar-IQ"/>
        </w:rPr>
        <w:t xml:space="preserve">ل </w:t>
      </w:r>
      <w:r w:rsidR="007C6936" w:rsidRPr="00904FCB">
        <w:rPr>
          <w:rFonts w:hint="cs"/>
          <w:sz w:val="27"/>
          <w:rtl/>
          <w:lang w:bidi="ar-IQ"/>
        </w:rPr>
        <w:t>أ</w:t>
      </w:r>
      <w:r w:rsidRPr="00904FCB">
        <w:rPr>
          <w:rFonts w:hint="cs"/>
          <w:sz w:val="27"/>
          <w:rtl/>
          <w:lang w:bidi="ar-IQ"/>
        </w:rPr>
        <w:t xml:space="preserve">مة اليهود </w:t>
      </w:r>
      <w:r w:rsidR="007C6936" w:rsidRPr="00904FCB">
        <w:rPr>
          <w:rFonts w:hint="cs"/>
          <w:sz w:val="27"/>
          <w:rtl/>
          <w:lang w:bidi="ar-IQ"/>
        </w:rPr>
        <w:t>أ</w:t>
      </w:r>
      <w:r w:rsidRPr="00904FCB">
        <w:rPr>
          <w:rFonts w:hint="cs"/>
          <w:sz w:val="27"/>
          <w:rtl/>
          <w:lang w:bidi="ar-IQ"/>
        </w:rPr>
        <w:t>مة موحدة</w:t>
      </w:r>
      <w:r w:rsidR="007C6936" w:rsidRPr="00904FCB">
        <w:rPr>
          <w:rFonts w:hint="cs"/>
          <w:sz w:val="27"/>
          <w:rtl/>
          <w:lang w:bidi="ar-IQ"/>
        </w:rPr>
        <w:t>،</w:t>
      </w:r>
      <w:r w:rsidRPr="00904FCB">
        <w:rPr>
          <w:rFonts w:hint="cs"/>
          <w:sz w:val="27"/>
          <w:rtl/>
          <w:lang w:bidi="ar-IQ"/>
        </w:rPr>
        <w:t xml:space="preserve"> بل لا يزالون </w:t>
      </w:r>
      <w:r w:rsidR="007C6936" w:rsidRPr="00904FCB">
        <w:rPr>
          <w:rFonts w:hint="cs"/>
          <w:sz w:val="27"/>
          <w:rtl/>
          <w:lang w:bidi="ar-IQ"/>
        </w:rPr>
        <w:t>أ</w:t>
      </w:r>
      <w:r w:rsidRPr="00904FCB">
        <w:rPr>
          <w:rFonts w:hint="cs"/>
          <w:sz w:val="27"/>
          <w:rtl/>
          <w:lang w:bidi="ar-IQ"/>
        </w:rPr>
        <w:t>تباعاً لاثني عشر سبطاً على نظام الجماعات البدوية المترك</w:t>
      </w:r>
      <w:r w:rsidR="007C6936" w:rsidRPr="00904FCB">
        <w:rPr>
          <w:rFonts w:hint="cs"/>
          <w:sz w:val="27"/>
          <w:rtl/>
          <w:lang w:bidi="ar-IQ"/>
        </w:rPr>
        <w:t>ّ</w:t>
      </w:r>
      <w:r w:rsidRPr="00904FCB">
        <w:rPr>
          <w:rFonts w:hint="cs"/>
          <w:sz w:val="27"/>
          <w:rtl/>
          <w:lang w:bidi="ar-IQ"/>
        </w:rPr>
        <w:t xml:space="preserve">زة حول مفهوم القبيلة. </w:t>
      </w:r>
    </w:p>
    <w:p w:rsidR="00952E59" w:rsidRPr="00904FCB" w:rsidRDefault="00952E59" w:rsidP="00D17AF6">
      <w:pPr>
        <w:spacing w:line="400" w:lineRule="exact"/>
        <w:rPr>
          <w:sz w:val="27"/>
          <w:rtl/>
          <w:lang w:bidi="ar-IQ"/>
        </w:rPr>
      </w:pPr>
      <w:r w:rsidRPr="00904FCB">
        <w:rPr>
          <w:rFonts w:hint="cs"/>
          <w:sz w:val="27"/>
          <w:rtl/>
          <w:lang w:bidi="ar-IQ"/>
        </w:rPr>
        <w:t xml:space="preserve">فقد خرج موسى بهم من مصر في </w:t>
      </w:r>
      <w:r w:rsidRPr="009B1673">
        <w:rPr>
          <w:rFonts w:hint="cs"/>
          <w:sz w:val="27"/>
          <w:rtl/>
          <w:lang w:bidi="ar-IQ"/>
        </w:rPr>
        <w:t>1210ق</w:t>
      </w:r>
      <w:r w:rsidRPr="00904FCB">
        <w:rPr>
          <w:rFonts w:hint="cs"/>
          <w:sz w:val="27"/>
          <w:rtl/>
          <w:lang w:bidi="ar-IQ"/>
        </w:rPr>
        <w:t>.م</w:t>
      </w:r>
      <w:r w:rsidR="007C6936" w:rsidRPr="00904FCB">
        <w:rPr>
          <w:rFonts w:hint="cs"/>
          <w:sz w:val="27"/>
          <w:rtl/>
          <w:lang w:bidi="ar-IQ"/>
        </w:rPr>
        <w:t>،</w:t>
      </w:r>
      <w:r w:rsidRPr="00904FCB">
        <w:rPr>
          <w:rFonts w:hint="cs"/>
          <w:sz w:val="27"/>
          <w:rtl/>
          <w:lang w:bidi="ar-IQ"/>
        </w:rPr>
        <w:t xml:space="preserve"> وتزع</w:t>
      </w:r>
      <w:r w:rsidR="007C6936" w:rsidRPr="00904FCB">
        <w:rPr>
          <w:rFonts w:hint="cs"/>
          <w:sz w:val="27"/>
          <w:rtl/>
          <w:lang w:bidi="ar-IQ"/>
        </w:rPr>
        <w:t>ّ</w:t>
      </w:r>
      <w:r w:rsidRPr="00904FCB">
        <w:rPr>
          <w:rFonts w:hint="cs"/>
          <w:sz w:val="27"/>
          <w:rtl/>
          <w:lang w:bidi="ar-IQ"/>
        </w:rPr>
        <w:t>مهم مع يوشع بن نون ثمانين سنة</w:t>
      </w:r>
      <w:r w:rsidR="007C6936" w:rsidRPr="00904FCB">
        <w:rPr>
          <w:rFonts w:hint="cs"/>
          <w:sz w:val="27"/>
          <w:rtl/>
          <w:lang w:bidi="ar-IQ"/>
        </w:rPr>
        <w:t>،</w:t>
      </w:r>
      <w:r w:rsidRPr="00904FCB">
        <w:rPr>
          <w:rFonts w:hint="cs"/>
          <w:sz w:val="27"/>
          <w:rtl/>
          <w:lang w:bidi="ar-IQ"/>
        </w:rPr>
        <w:t xml:space="preserve"> حت</w:t>
      </w:r>
      <w:r w:rsidR="007C6936" w:rsidRPr="00904FCB">
        <w:rPr>
          <w:rFonts w:hint="cs"/>
          <w:sz w:val="27"/>
          <w:rtl/>
          <w:lang w:bidi="ar-IQ"/>
        </w:rPr>
        <w:t>ّ</w:t>
      </w:r>
      <w:r w:rsidRPr="00904FCB">
        <w:rPr>
          <w:rFonts w:hint="cs"/>
          <w:sz w:val="27"/>
          <w:rtl/>
          <w:lang w:bidi="ar-IQ"/>
        </w:rPr>
        <w:t xml:space="preserve">ى </w:t>
      </w:r>
      <w:r w:rsidRPr="009B1673">
        <w:rPr>
          <w:rFonts w:hint="cs"/>
          <w:sz w:val="27"/>
          <w:rtl/>
          <w:lang w:bidi="ar-IQ"/>
        </w:rPr>
        <w:t>1130ق</w:t>
      </w:r>
      <w:r w:rsidRPr="00904FCB">
        <w:rPr>
          <w:rFonts w:hint="cs"/>
          <w:sz w:val="27"/>
          <w:rtl/>
          <w:lang w:bidi="ar-IQ"/>
        </w:rPr>
        <w:t>.م</w:t>
      </w:r>
      <w:r w:rsidR="007C6936" w:rsidRPr="00904FCB">
        <w:rPr>
          <w:rFonts w:hint="cs"/>
          <w:sz w:val="27"/>
          <w:rtl/>
          <w:lang w:bidi="ar-IQ"/>
        </w:rPr>
        <w:t>،</w:t>
      </w:r>
      <w:r w:rsidRPr="00904FCB">
        <w:rPr>
          <w:rFonts w:hint="cs"/>
          <w:sz w:val="27"/>
          <w:rtl/>
          <w:lang w:bidi="ar-IQ"/>
        </w:rPr>
        <w:t xml:space="preserve"> وبعد ذلك جاء عهد القضاة</w:t>
      </w:r>
      <w:r w:rsidR="00D17AF6">
        <w:rPr>
          <w:rFonts w:hint="cs"/>
          <w:sz w:val="27"/>
          <w:rtl/>
          <w:lang w:bidi="ar-IQ"/>
        </w:rPr>
        <w:t>، وامتدّ</w:t>
      </w:r>
      <w:r w:rsidRPr="00904FCB">
        <w:rPr>
          <w:rFonts w:hint="cs"/>
          <w:sz w:val="27"/>
          <w:rtl/>
          <w:lang w:bidi="ar-IQ"/>
        </w:rPr>
        <w:t xml:space="preserve"> قرن</w:t>
      </w:r>
      <w:r w:rsidR="00D17AF6">
        <w:rPr>
          <w:rFonts w:hint="cs"/>
          <w:sz w:val="27"/>
          <w:rtl/>
          <w:lang w:bidi="ar-IQ"/>
        </w:rPr>
        <w:t>اً</w:t>
      </w:r>
      <w:r w:rsidRPr="00904FCB">
        <w:rPr>
          <w:rFonts w:hint="cs"/>
          <w:sz w:val="27"/>
          <w:rtl/>
          <w:lang w:bidi="ar-IQ"/>
        </w:rPr>
        <w:t xml:space="preserve"> من الزمن. </w:t>
      </w:r>
    </w:p>
    <w:p w:rsidR="00952E59" w:rsidRPr="00904FCB" w:rsidRDefault="00952E59" w:rsidP="00CA1FED">
      <w:pPr>
        <w:spacing w:line="400" w:lineRule="exact"/>
        <w:rPr>
          <w:sz w:val="27"/>
          <w:rtl/>
          <w:lang w:bidi="ar-IQ"/>
        </w:rPr>
      </w:pPr>
      <w:r w:rsidRPr="00904FCB">
        <w:rPr>
          <w:rFonts w:hint="cs"/>
          <w:sz w:val="27"/>
          <w:rtl/>
          <w:lang w:bidi="ar-IQ"/>
        </w:rPr>
        <w:t>ثم</w:t>
      </w:r>
      <w:r w:rsidR="007C6936" w:rsidRPr="00904FCB">
        <w:rPr>
          <w:rFonts w:hint="cs"/>
          <w:sz w:val="27"/>
          <w:rtl/>
          <w:lang w:bidi="ar-IQ"/>
        </w:rPr>
        <w:t>ّ</w:t>
      </w:r>
      <w:r w:rsidRPr="00904FCB">
        <w:rPr>
          <w:rFonts w:hint="cs"/>
          <w:sz w:val="27"/>
          <w:rtl/>
          <w:lang w:bidi="ar-IQ"/>
        </w:rPr>
        <w:t xml:space="preserve"> انهار نظام القبلية</w:t>
      </w:r>
      <w:r w:rsidR="007C6936" w:rsidRPr="00904FCB">
        <w:rPr>
          <w:rFonts w:hint="cs"/>
          <w:sz w:val="27"/>
          <w:rtl/>
          <w:lang w:bidi="ar-IQ"/>
        </w:rPr>
        <w:t>،</w:t>
      </w:r>
      <w:r w:rsidRPr="00904FCB">
        <w:rPr>
          <w:rFonts w:hint="cs"/>
          <w:sz w:val="27"/>
          <w:rtl/>
          <w:lang w:bidi="ar-IQ"/>
        </w:rPr>
        <w:t xml:space="preserve"> كما ورد في سفر صموئيل ال</w:t>
      </w:r>
      <w:r w:rsidR="007C6936" w:rsidRPr="00904FCB">
        <w:rPr>
          <w:rFonts w:hint="cs"/>
          <w:sz w:val="27"/>
          <w:rtl/>
          <w:lang w:bidi="ar-IQ"/>
        </w:rPr>
        <w:t>أ</w:t>
      </w:r>
      <w:r w:rsidRPr="00904FCB">
        <w:rPr>
          <w:rFonts w:hint="cs"/>
          <w:sz w:val="27"/>
          <w:rtl/>
          <w:lang w:bidi="ar-IQ"/>
        </w:rPr>
        <w:t>ول</w:t>
      </w:r>
      <w:r w:rsidR="007C6936" w:rsidRPr="00904FCB">
        <w:rPr>
          <w:rFonts w:hint="cs"/>
          <w:sz w:val="27"/>
          <w:rtl/>
          <w:lang w:bidi="ar-IQ"/>
        </w:rPr>
        <w:t>،</w:t>
      </w:r>
      <w:r w:rsidRPr="00904FCB">
        <w:rPr>
          <w:rFonts w:hint="cs"/>
          <w:sz w:val="27"/>
          <w:rtl/>
          <w:lang w:bidi="ar-IQ"/>
        </w:rPr>
        <w:t xml:space="preserve"> فانتقلوا </w:t>
      </w:r>
      <w:r w:rsidR="007C6936" w:rsidRPr="00904FCB">
        <w:rPr>
          <w:rFonts w:hint="cs"/>
          <w:sz w:val="27"/>
          <w:rtl/>
          <w:lang w:bidi="ar-IQ"/>
        </w:rPr>
        <w:t>إ</w:t>
      </w:r>
      <w:r w:rsidRPr="00904FCB">
        <w:rPr>
          <w:rFonts w:hint="cs"/>
          <w:sz w:val="27"/>
          <w:rtl/>
          <w:lang w:bidi="ar-IQ"/>
        </w:rPr>
        <w:t>لى عهد الملوك</w:t>
      </w:r>
      <w:r w:rsidR="00CA1FED" w:rsidRPr="00904FCB">
        <w:rPr>
          <w:rFonts w:hint="cs"/>
          <w:sz w:val="27"/>
          <w:rtl/>
          <w:lang w:bidi="ar-IQ"/>
        </w:rPr>
        <w:t>.</w:t>
      </w:r>
      <w:r w:rsidRPr="00904FCB">
        <w:rPr>
          <w:rFonts w:hint="cs"/>
          <w:sz w:val="27"/>
          <w:rtl/>
          <w:lang w:bidi="ar-IQ"/>
        </w:rPr>
        <w:t xml:space="preserve"> </w:t>
      </w:r>
    </w:p>
    <w:p w:rsidR="00952E59" w:rsidRPr="00904FCB" w:rsidRDefault="00952E59" w:rsidP="007A21AA">
      <w:pPr>
        <w:spacing w:line="400" w:lineRule="exact"/>
        <w:rPr>
          <w:sz w:val="27"/>
          <w:rtl/>
          <w:lang w:bidi="ar-IQ"/>
        </w:rPr>
      </w:pPr>
      <w:r w:rsidRPr="00904FCB">
        <w:rPr>
          <w:rFonts w:hint="cs"/>
          <w:sz w:val="27"/>
          <w:rtl/>
          <w:lang w:bidi="ar-IQ"/>
        </w:rPr>
        <w:t>يقول د. سليمان مظهر</w:t>
      </w:r>
      <w:r w:rsidR="002B0FE9" w:rsidRPr="00904FCB">
        <w:rPr>
          <w:rFonts w:hint="cs"/>
          <w:sz w:val="27"/>
          <w:rtl/>
          <w:lang w:bidi="ar-IQ"/>
        </w:rPr>
        <w:t xml:space="preserve">: </w:t>
      </w:r>
      <w:r w:rsidR="007C6936" w:rsidRPr="00904FCB">
        <w:rPr>
          <w:rFonts w:hint="cs"/>
          <w:sz w:val="27"/>
          <w:rtl/>
          <w:lang w:bidi="ar-IQ"/>
        </w:rPr>
        <w:t>إ</w:t>
      </w:r>
      <w:r w:rsidRPr="00904FCB">
        <w:rPr>
          <w:rFonts w:hint="cs"/>
          <w:sz w:val="27"/>
          <w:rtl/>
          <w:lang w:bidi="ar-IQ"/>
        </w:rPr>
        <w:t>ن</w:t>
      </w:r>
      <w:r w:rsidR="007C6936" w:rsidRPr="00904FCB">
        <w:rPr>
          <w:rFonts w:hint="cs"/>
          <w:sz w:val="27"/>
          <w:rtl/>
          <w:lang w:bidi="ar-IQ"/>
        </w:rPr>
        <w:t>ّ</w:t>
      </w:r>
      <w:r w:rsidRPr="00904FCB">
        <w:rPr>
          <w:rFonts w:hint="cs"/>
          <w:sz w:val="27"/>
          <w:rtl/>
          <w:lang w:bidi="ar-IQ"/>
        </w:rPr>
        <w:t xml:space="preserve"> الفرس هم الذين </w:t>
      </w:r>
      <w:r w:rsidR="007C6936" w:rsidRPr="00904FCB">
        <w:rPr>
          <w:rFonts w:hint="cs"/>
          <w:sz w:val="27"/>
          <w:rtl/>
          <w:lang w:bidi="ar-IQ"/>
        </w:rPr>
        <w:t>أ</w:t>
      </w:r>
      <w:r w:rsidRPr="00904FCB">
        <w:rPr>
          <w:rFonts w:hint="cs"/>
          <w:sz w:val="27"/>
          <w:rtl/>
          <w:lang w:bidi="ar-IQ"/>
        </w:rPr>
        <w:t xml:space="preserve">طلقوا على بني </w:t>
      </w:r>
      <w:r w:rsidR="007C6936" w:rsidRPr="00904FCB">
        <w:rPr>
          <w:rFonts w:hint="cs"/>
          <w:sz w:val="27"/>
          <w:rtl/>
          <w:lang w:bidi="ar-IQ"/>
        </w:rPr>
        <w:t>إ</w:t>
      </w:r>
      <w:r w:rsidRPr="00904FCB">
        <w:rPr>
          <w:rFonts w:hint="cs"/>
          <w:sz w:val="27"/>
          <w:rtl/>
          <w:lang w:bidi="ar-IQ"/>
        </w:rPr>
        <w:t>سرائيل اسم اليهود</w:t>
      </w:r>
      <w:r w:rsidR="007C6936" w:rsidRPr="00904FCB">
        <w:rPr>
          <w:rFonts w:hint="cs"/>
          <w:sz w:val="27"/>
          <w:rtl/>
          <w:lang w:bidi="ar-IQ"/>
        </w:rPr>
        <w:t>،</w:t>
      </w:r>
      <w:r w:rsidRPr="00904FCB">
        <w:rPr>
          <w:rFonts w:hint="cs"/>
          <w:sz w:val="27"/>
          <w:rtl/>
          <w:lang w:bidi="ar-IQ"/>
        </w:rPr>
        <w:t xml:space="preserve"> و</w:t>
      </w:r>
      <w:r w:rsidR="007C6936" w:rsidRPr="00904FCB">
        <w:rPr>
          <w:rFonts w:hint="cs"/>
          <w:sz w:val="27"/>
          <w:rtl/>
          <w:lang w:bidi="ar-IQ"/>
        </w:rPr>
        <w:t>أ</w:t>
      </w:r>
      <w:r w:rsidRPr="00904FCB">
        <w:rPr>
          <w:rFonts w:hint="cs"/>
          <w:sz w:val="27"/>
          <w:rtl/>
          <w:lang w:bidi="ar-IQ"/>
        </w:rPr>
        <w:t>طلقوا على عقيدتهم</w:t>
      </w:r>
      <w:r w:rsidRPr="00904FCB">
        <w:rPr>
          <w:rFonts w:hint="cs"/>
          <w:sz w:val="27"/>
          <w:vertAlign w:val="superscript"/>
          <w:rtl/>
          <w:lang w:bidi="ar-IQ"/>
        </w:rPr>
        <w:t>(</w:t>
      </w:r>
      <w:r w:rsidRPr="00904FCB">
        <w:rPr>
          <w:rStyle w:val="ac"/>
          <w:sz w:val="27"/>
          <w:rtl/>
          <w:lang w:bidi="ar-IQ"/>
        </w:rPr>
        <w:endnoteReference w:id="297"/>
      </w:r>
      <w:r w:rsidRPr="00904FCB">
        <w:rPr>
          <w:rFonts w:hint="cs"/>
          <w:sz w:val="27"/>
          <w:vertAlign w:val="superscript"/>
          <w:rtl/>
          <w:lang w:bidi="ar-IQ"/>
        </w:rPr>
        <w:t>)</w:t>
      </w:r>
      <w:r w:rsidRPr="00904FCB">
        <w:rPr>
          <w:rFonts w:hint="cs"/>
          <w:sz w:val="27"/>
          <w:rtl/>
          <w:lang w:bidi="ar-IQ"/>
        </w:rPr>
        <w:t xml:space="preserve"> اليهودية. وصارت كلمة اليهودي تعني م</w:t>
      </w:r>
      <w:r w:rsidR="00473F4B" w:rsidRPr="00904FCB">
        <w:rPr>
          <w:rFonts w:hint="cs"/>
          <w:sz w:val="27"/>
          <w:rtl/>
          <w:lang w:bidi="ar-IQ"/>
        </w:rPr>
        <w:t>َ</w:t>
      </w:r>
      <w:r w:rsidRPr="00904FCB">
        <w:rPr>
          <w:rFonts w:hint="cs"/>
          <w:sz w:val="27"/>
          <w:rtl/>
          <w:lang w:bidi="ar-IQ"/>
        </w:rPr>
        <w:t>ن</w:t>
      </w:r>
      <w:r w:rsidR="00473F4B" w:rsidRPr="00904FCB">
        <w:rPr>
          <w:rFonts w:hint="cs"/>
          <w:sz w:val="27"/>
          <w:rtl/>
          <w:lang w:bidi="ar-IQ"/>
        </w:rPr>
        <w:t>ْ</w:t>
      </w:r>
      <w:r w:rsidRPr="00904FCB">
        <w:rPr>
          <w:rFonts w:hint="cs"/>
          <w:sz w:val="27"/>
          <w:rtl/>
          <w:lang w:bidi="ar-IQ"/>
        </w:rPr>
        <w:t xml:space="preserve"> اعتنق اليهودي</w:t>
      </w:r>
      <w:r w:rsidR="00473F4B" w:rsidRPr="00904FCB">
        <w:rPr>
          <w:rFonts w:hint="cs"/>
          <w:sz w:val="27"/>
          <w:rtl/>
          <w:lang w:bidi="ar-IQ"/>
        </w:rPr>
        <w:t>ّ</w:t>
      </w:r>
      <w:r w:rsidRPr="00904FCB">
        <w:rPr>
          <w:rFonts w:hint="cs"/>
          <w:sz w:val="27"/>
          <w:rtl/>
          <w:lang w:bidi="ar-IQ"/>
        </w:rPr>
        <w:t>ة</w:t>
      </w:r>
      <w:r w:rsidR="00473F4B" w:rsidRPr="00904FCB">
        <w:rPr>
          <w:rFonts w:hint="cs"/>
          <w:sz w:val="27"/>
          <w:rtl/>
          <w:lang w:bidi="ar-IQ"/>
        </w:rPr>
        <w:t>،</w:t>
      </w:r>
      <w:r w:rsidRPr="00904FCB">
        <w:rPr>
          <w:rFonts w:hint="cs"/>
          <w:sz w:val="27"/>
          <w:rtl/>
          <w:lang w:bidi="ar-IQ"/>
        </w:rPr>
        <w:t xml:space="preserve"> و</w:t>
      </w:r>
      <w:r w:rsidR="00473F4B" w:rsidRPr="00904FCB">
        <w:rPr>
          <w:rFonts w:hint="cs"/>
          <w:sz w:val="27"/>
          <w:rtl/>
          <w:lang w:bidi="ar-IQ"/>
        </w:rPr>
        <w:t>إ</w:t>
      </w:r>
      <w:r w:rsidRPr="00904FCB">
        <w:rPr>
          <w:rFonts w:hint="cs"/>
          <w:sz w:val="27"/>
          <w:rtl/>
          <w:lang w:bidi="ar-IQ"/>
        </w:rPr>
        <w:t>ن</w:t>
      </w:r>
      <w:r w:rsidR="00473F4B" w:rsidRPr="00904FCB">
        <w:rPr>
          <w:rFonts w:hint="cs"/>
          <w:sz w:val="27"/>
          <w:rtl/>
          <w:lang w:bidi="ar-IQ"/>
        </w:rPr>
        <w:t>ْ</w:t>
      </w:r>
      <w:r w:rsidRPr="00904FCB">
        <w:rPr>
          <w:rFonts w:hint="cs"/>
          <w:sz w:val="27"/>
          <w:rtl/>
          <w:lang w:bidi="ar-IQ"/>
        </w:rPr>
        <w:t xml:space="preserve"> يكن من بني </w:t>
      </w:r>
      <w:r w:rsidR="00473F4B" w:rsidRPr="00904FCB">
        <w:rPr>
          <w:rFonts w:hint="cs"/>
          <w:sz w:val="27"/>
          <w:rtl/>
          <w:lang w:bidi="ar-IQ"/>
        </w:rPr>
        <w:t>إ</w:t>
      </w:r>
      <w:r w:rsidRPr="00904FCB">
        <w:rPr>
          <w:rFonts w:hint="cs"/>
          <w:sz w:val="27"/>
          <w:rtl/>
          <w:lang w:bidi="ar-IQ"/>
        </w:rPr>
        <w:t>سرائيل</w:t>
      </w:r>
      <w:r w:rsidRPr="00904FCB">
        <w:rPr>
          <w:rFonts w:hint="cs"/>
          <w:sz w:val="27"/>
          <w:vertAlign w:val="superscript"/>
          <w:rtl/>
          <w:lang w:bidi="ar-IQ"/>
        </w:rPr>
        <w:t>(</w:t>
      </w:r>
      <w:r w:rsidRPr="00904FCB">
        <w:rPr>
          <w:rStyle w:val="ac"/>
          <w:sz w:val="27"/>
          <w:rtl/>
          <w:lang w:bidi="ar-IQ"/>
        </w:rPr>
        <w:endnoteReference w:id="298"/>
      </w:r>
      <w:r w:rsidRPr="00904FCB">
        <w:rPr>
          <w:rFonts w:hint="cs"/>
          <w:sz w:val="27"/>
          <w:vertAlign w:val="superscript"/>
          <w:rtl/>
          <w:lang w:bidi="ar-IQ"/>
        </w:rPr>
        <w:t>)</w:t>
      </w:r>
      <w:r w:rsidRPr="00904FCB">
        <w:rPr>
          <w:rFonts w:hint="cs"/>
          <w:sz w:val="27"/>
          <w:rtl/>
          <w:lang w:bidi="ar-IQ"/>
        </w:rPr>
        <w:t xml:space="preserve">. </w:t>
      </w:r>
    </w:p>
    <w:p w:rsidR="00952E59" w:rsidRPr="00904FCB" w:rsidRDefault="00952E59" w:rsidP="007A21AA">
      <w:pPr>
        <w:spacing w:line="400" w:lineRule="exact"/>
        <w:rPr>
          <w:sz w:val="27"/>
          <w:rtl/>
          <w:lang w:bidi="ar-IQ"/>
        </w:rPr>
      </w:pPr>
      <w:r w:rsidRPr="00904FCB">
        <w:rPr>
          <w:rFonts w:hint="cs"/>
          <w:sz w:val="27"/>
          <w:rtl/>
          <w:lang w:bidi="ar-IQ"/>
        </w:rPr>
        <w:t xml:space="preserve"> </w:t>
      </w:r>
      <w:r w:rsidR="00473F4B" w:rsidRPr="00904FCB">
        <w:rPr>
          <w:rFonts w:hint="cs"/>
          <w:sz w:val="27"/>
          <w:rtl/>
          <w:lang w:bidi="ar-IQ"/>
        </w:rPr>
        <w:t>أ</w:t>
      </w:r>
      <w:r w:rsidRPr="00904FCB">
        <w:rPr>
          <w:rFonts w:hint="cs"/>
          <w:sz w:val="27"/>
          <w:rtl/>
          <w:lang w:bidi="ar-IQ"/>
        </w:rPr>
        <w:t xml:space="preserve">ما الذي يحقق التغيير في معتقداتهم فهو عصر المسياه (المشيح) </w:t>
      </w:r>
      <w:r w:rsidR="00473F4B" w:rsidRPr="00904FCB">
        <w:rPr>
          <w:rFonts w:hint="cs"/>
          <w:sz w:val="27"/>
          <w:rtl/>
          <w:lang w:bidi="ar-IQ"/>
        </w:rPr>
        <w:t>أ</w:t>
      </w:r>
      <w:r w:rsidRPr="00904FCB">
        <w:rPr>
          <w:rFonts w:hint="cs"/>
          <w:sz w:val="27"/>
          <w:rtl/>
          <w:lang w:bidi="ar-IQ"/>
        </w:rPr>
        <w:t xml:space="preserve">و المسيح </w:t>
      </w:r>
      <w:r w:rsidRPr="00904FCB">
        <w:rPr>
          <w:rFonts w:hint="cs"/>
          <w:sz w:val="27"/>
          <w:rtl/>
          <w:lang w:bidi="ar-IQ"/>
        </w:rPr>
        <w:lastRenderedPageBreak/>
        <w:t>الآتي</w:t>
      </w:r>
      <w:r w:rsidR="00473F4B" w:rsidRPr="00904FCB">
        <w:rPr>
          <w:rFonts w:hint="cs"/>
          <w:sz w:val="27"/>
          <w:rtl/>
          <w:lang w:bidi="ar-IQ"/>
        </w:rPr>
        <w:t>،</w:t>
      </w:r>
      <w:r w:rsidRPr="00904FCB">
        <w:rPr>
          <w:rFonts w:hint="cs"/>
          <w:sz w:val="27"/>
          <w:rtl/>
          <w:lang w:bidi="ar-IQ"/>
        </w:rPr>
        <w:t xml:space="preserve"> وهو عند</w:t>
      </w:r>
      <w:r w:rsidR="00473F4B" w:rsidRPr="00904FCB">
        <w:rPr>
          <w:rFonts w:hint="cs"/>
          <w:sz w:val="27"/>
          <w:rtl/>
          <w:lang w:bidi="ar-IQ"/>
        </w:rPr>
        <w:t>ه</w:t>
      </w:r>
      <w:r w:rsidRPr="00904FCB">
        <w:rPr>
          <w:rFonts w:hint="cs"/>
          <w:sz w:val="27"/>
          <w:rtl/>
          <w:lang w:bidi="ar-IQ"/>
        </w:rPr>
        <w:t>م غير عيسى</w:t>
      </w:r>
      <w:r w:rsidR="001C1A2A" w:rsidRPr="00904FCB">
        <w:rPr>
          <w:rFonts w:cs="Mosawi" w:hint="cs"/>
          <w:sz w:val="27"/>
          <w:szCs w:val="22"/>
          <w:rtl/>
          <w:lang w:bidi="ar-IQ"/>
        </w:rPr>
        <w:t>×</w:t>
      </w:r>
      <w:r w:rsidR="00473F4B" w:rsidRPr="00904FCB">
        <w:rPr>
          <w:rFonts w:hint="cs"/>
          <w:sz w:val="27"/>
          <w:rtl/>
          <w:lang w:bidi="ar-IQ"/>
        </w:rPr>
        <w:t>.</w:t>
      </w:r>
      <w:r w:rsidRPr="00904FCB">
        <w:rPr>
          <w:rFonts w:hint="cs"/>
          <w:sz w:val="27"/>
          <w:rtl/>
          <w:lang w:bidi="ar-IQ"/>
        </w:rPr>
        <w:t xml:space="preserve"> ويعد</w:t>
      </w:r>
      <w:r w:rsidR="00473F4B" w:rsidRPr="00904FCB">
        <w:rPr>
          <w:rFonts w:hint="cs"/>
          <w:sz w:val="27"/>
          <w:rtl/>
          <w:lang w:bidi="ar-IQ"/>
        </w:rPr>
        <w:t>ّ</w:t>
      </w:r>
      <w:r w:rsidRPr="00904FCB">
        <w:rPr>
          <w:rFonts w:hint="cs"/>
          <w:sz w:val="27"/>
          <w:rtl/>
          <w:lang w:bidi="ar-IQ"/>
        </w:rPr>
        <w:t xml:space="preserve"> المسيح عندهم نهاية التاريخ اليهودي للعالم الدنيوي.</w:t>
      </w:r>
      <w:r w:rsidR="00473F4B" w:rsidRPr="00904FCB">
        <w:rPr>
          <w:rFonts w:hint="cs"/>
          <w:sz w:val="27"/>
          <w:rtl/>
          <w:lang w:bidi="ar-IQ"/>
        </w:rPr>
        <w:t>.</w:t>
      </w:r>
      <w:r w:rsidRPr="00904FCB">
        <w:rPr>
          <w:rFonts w:hint="cs"/>
          <w:sz w:val="27"/>
          <w:rtl/>
          <w:lang w:bidi="ar-IQ"/>
        </w:rPr>
        <w:t>. فقدومه عندهم يعني تحر</w:t>
      </w:r>
      <w:r w:rsidR="00473F4B" w:rsidRPr="00904FCB">
        <w:rPr>
          <w:rFonts w:hint="cs"/>
          <w:sz w:val="27"/>
          <w:rtl/>
          <w:lang w:bidi="ar-IQ"/>
        </w:rPr>
        <w:t>ّ</w:t>
      </w:r>
      <w:r w:rsidRPr="00904FCB">
        <w:rPr>
          <w:rFonts w:hint="cs"/>
          <w:sz w:val="27"/>
          <w:rtl/>
          <w:lang w:bidi="ar-IQ"/>
        </w:rPr>
        <w:t>رهم من الاضطهاد</w:t>
      </w:r>
      <w:r w:rsidR="00473F4B" w:rsidRPr="00904FCB">
        <w:rPr>
          <w:rFonts w:hint="cs"/>
          <w:sz w:val="27"/>
          <w:rtl/>
          <w:lang w:bidi="ar-IQ"/>
        </w:rPr>
        <w:t>،</w:t>
      </w:r>
      <w:r w:rsidRPr="00904FCB">
        <w:rPr>
          <w:rFonts w:hint="cs"/>
          <w:sz w:val="27"/>
          <w:rtl/>
          <w:lang w:bidi="ar-IQ"/>
        </w:rPr>
        <w:t xml:space="preserve"> وعودتهم </w:t>
      </w:r>
      <w:r w:rsidR="00473F4B" w:rsidRPr="00904FCB">
        <w:rPr>
          <w:rFonts w:hint="cs"/>
          <w:sz w:val="27"/>
          <w:rtl/>
          <w:lang w:bidi="ar-IQ"/>
        </w:rPr>
        <w:t>إ</w:t>
      </w:r>
      <w:r w:rsidRPr="00904FCB">
        <w:rPr>
          <w:rFonts w:hint="cs"/>
          <w:sz w:val="27"/>
          <w:rtl/>
          <w:lang w:bidi="ar-IQ"/>
        </w:rPr>
        <w:t>لى وطنهم (القديم)</w:t>
      </w:r>
      <w:r w:rsidR="00473F4B" w:rsidRPr="00904FCB">
        <w:rPr>
          <w:rFonts w:hint="cs"/>
          <w:sz w:val="27"/>
          <w:rtl/>
          <w:lang w:bidi="ar-IQ"/>
        </w:rPr>
        <w:t>،</w:t>
      </w:r>
      <w:r w:rsidRPr="00904FCB">
        <w:rPr>
          <w:rFonts w:hint="cs"/>
          <w:sz w:val="27"/>
          <w:rtl/>
          <w:lang w:bidi="ar-IQ"/>
        </w:rPr>
        <w:t xml:space="preserve"> واستعادتهم لمملكة داو</w:t>
      </w:r>
      <w:r w:rsidR="00473F4B" w:rsidRPr="00904FCB">
        <w:rPr>
          <w:rFonts w:hint="cs"/>
          <w:sz w:val="27"/>
          <w:rtl/>
          <w:lang w:bidi="ar-IQ"/>
        </w:rPr>
        <w:t>و</w:t>
      </w:r>
      <w:r w:rsidRPr="00904FCB">
        <w:rPr>
          <w:rFonts w:hint="cs"/>
          <w:sz w:val="27"/>
          <w:rtl/>
          <w:lang w:bidi="ar-IQ"/>
        </w:rPr>
        <w:t>د</w:t>
      </w:r>
      <w:r w:rsidR="00473F4B" w:rsidRPr="00904FCB">
        <w:rPr>
          <w:rFonts w:hint="cs"/>
          <w:sz w:val="27"/>
          <w:rtl/>
          <w:lang w:bidi="ar-IQ"/>
        </w:rPr>
        <w:t>،</w:t>
      </w:r>
      <w:r w:rsidRPr="00904FCB">
        <w:rPr>
          <w:rFonts w:hint="cs"/>
          <w:sz w:val="27"/>
          <w:rtl/>
          <w:lang w:bidi="ar-IQ"/>
        </w:rPr>
        <w:t xml:space="preserve"> و</w:t>
      </w:r>
      <w:r w:rsidR="00473F4B" w:rsidRPr="00904FCB">
        <w:rPr>
          <w:rFonts w:hint="cs"/>
          <w:sz w:val="27"/>
          <w:rtl/>
          <w:lang w:bidi="ar-IQ"/>
        </w:rPr>
        <w:t>إ</w:t>
      </w:r>
      <w:r w:rsidRPr="00904FCB">
        <w:rPr>
          <w:rFonts w:hint="cs"/>
          <w:sz w:val="27"/>
          <w:rtl/>
          <w:lang w:bidi="ar-IQ"/>
        </w:rPr>
        <w:t>عادة بناء الهيكل، و</w:t>
      </w:r>
      <w:r w:rsidR="00473F4B" w:rsidRPr="00904FCB">
        <w:rPr>
          <w:rFonts w:hint="cs"/>
          <w:sz w:val="27"/>
          <w:rtl/>
          <w:lang w:bidi="ar-IQ"/>
        </w:rPr>
        <w:t>إ</w:t>
      </w:r>
      <w:r w:rsidRPr="00904FCB">
        <w:rPr>
          <w:rFonts w:hint="cs"/>
          <w:sz w:val="27"/>
          <w:rtl/>
          <w:lang w:bidi="ar-IQ"/>
        </w:rPr>
        <w:t>جبار كل</w:t>
      </w:r>
      <w:r w:rsidR="00473F4B" w:rsidRPr="00904FCB">
        <w:rPr>
          <w:rFonts w:hint="cs"/>
          <w:sz w:val="27"/>
          <w:rtl/>
          <w:lang w:bidi="ar-IQ"/>
        </w:rPr>
        <w:t>ّ</w:t>
      </w:r>
      <w:r w:rsidRPr="00904FCB">
        <w:rPr>
          <w:rFonts w:hint="cs"/>
          <w:sz w:val="27"/>
          <w:rtl/>
          <w:lang w:bidi="ar-IQ"/>
        </w:rPr>
        <w:t xml:space="preserve"> ا</w:t>
      </w:r>
      <w:r w:rsidR="00473F4B" w:rsidRPr="00904FCB">
        <w:rPr>
          <w:rFonts w:hint="cs"/>
          <w:sz w:val="27"/>
          <w:rtl/>
          <w:lang w:bidi="ar-IQ"/>
        </w:rPr>
        <w:t>لأ</w:t>
      </w:r>
      <w:r w:rsidRPr="00904FCB">
        <w:rPr>
          <w:rFonts w:hint="cs"/>
          <w:sz w:val="27"/>
          <w:rtl/>
          <w:lang w:bidi="ar-IQ"/>
        </w:rPr>
        <w:t xml:space="preserve">مم على الاعتراف بدعوى </w:t>
      </w:r>
      <w:r w:rsidR="00473F4B" w:rsidRPr="00904FCB">
        <w:rPr>
          <w:rFonts w:hint="cs"/>
          <w:sz w:val="27"/>
          <w:rtl/>
          <w:lang w:bidi="ar-IQ"/>
        </w:rPr>
        <w:t>إ</w:t>
      </w:r>
      <w:r w:rsidRPr="00904FCB">
        <w:rPr>
          <w:rFonts w:hint="cs"/>
          <w:sz w:val="27"/>
          <w:rtl/>
          <w:lang w:bidi="ar-IQ"/>
        </w:rPr>
        <w:t xml:space="preserve">سرائيل بأن اليهود هم شعب الله المختار. </w:t>
      </w:r>
    </w:p>
    <w:p w:rsidR="00952E59" w:rsidRPr="00904FCB" w:rsidRDefault="00952E59" w:rsidP="007A21AA">
      <w:pPr>
        <w:spacing w:line="400" w:lineRule="exact"/>
        <w:rPr>
          <w:sz w:val="27"/>
          <w:rtl/>
          <w:lang w:bidi="ar-IQ"/>
        </w:rPr>
      </w:pPr>
      <w:r w:rsidRPr="00904FCB">
        <w:rPr>
          <w:rFonts w:hint="cs"/>
          <w:sz w:val="27"/>
          <w:rtl/>
          <w:lang w:bidi="ar-IQ"/>
        </w:rPr>
        <w:t>وير</w:t>
      </w:r>
      <w:r w:rsidR="00473F4B" w:rsidRPr="00904FCB">
        <w:rPr>
          <w:rFonts w:hint="cs"/>
          <w:sz w:val="27"/>
          <w:rtl/>
          <w:lang w:bidi="ar-IQ"/>
        </w:rPr>
        <w:t>َ</w:t>
      </w:r>
      <w:r w:rsidRPr="00904FCB">
        <w:rPr>
          <w:rFonts w:hint="cs"/>
          <w:sz w:val="27"/>
          <w:rtl/>
          <w:lang w:bidi="ar-IQ"/>
        </w:rPr>
        <w:t>و</w:t>
      </w:r>
      <w:r w:rsidR="00473F4B" w:rsidRPr="00904FCB">
        <w:rPr>
          <w:rFonts w:hint="cs"/>
          <w:sz w:val="27"/>
          <w:rtl/>
          <w:lang w:bidi="ar-IQ"/>
        </w:rPr>
        <w:t>ْ</w:t>
      </w:r>
      <w:r w:rsidRPr="00904FCB">
        <w:rPr>
          <w:rFonts w:hint="cs"/>
          <w:sz w:val="27"/>
          <w:rtl/>
          <w:lang w:bidi="ar-IQ"/>
        </w:rPr>
        <w:t>ن في ظهوره الخلاص الدنيوي، و</w:t>
      </w:r>
      <w:r w:rsidR="00473F4B" w:rsidRPr="00904FCB">
        <w:rPr>
          <w:rFonts w:hint="cs"/>
          <w:sz w:val="27"/>
          <w:rtl/>
          <w:lang w:bidi="ar-IQ"/>
        </w:rPr>
        <w:t>أ</w:t>
      </w:r>
      <w:r w:rsidRPr="00904FCB">
        <w:rPr>
          <w:rFonts w:hint="cs"/>
          <w:sz w:val="27"/>
          <w:rtl/>
          <w:lang w:bidi="ar-IQ"/>
        </w:rPr>
        <w:t>نه مرتبط بهزيمة قوى الشر</w:t>
      </w:r>
      <w:r w:rsidR="00473F4B" w:rsidRPr="00904FCB">
        <w:rPr>
          <w:rFonts w:hint="cs"/>
          <w:sz w:val="27"/>
          <w:rtl/>
          <w:lang w:bidi="ar-IQ"/>
        </w:rPr>
        <w:t>ّ،</w:t>
      </w:r>
      <w:r w:rsidRPr="00904FCB">
        <w:rPr>
          <w:rFonts w:hint="cs"/>
          <w:sz w:val="27"/>
          <w:rtl/>
          <w:lang w:bidi="ar-IQ"/>
        </w:rPr>
        <w:t xml:space="preserve"> وهم كل ال</w:t>
      </w:r>
      <w:r w:rsidR="00473F4B" w:rsidRPr="00904FCB">
        <w:rPr>
          <w:rFonts w:hint="cs"/>
          <w:sz w:val="27"/>
          <w:rtl/>
          <w:lang w:bidi="ar-IQ"/>
        </w:rPr>
        <w:t>أ</w:t>
      </w:r>
      <w:r w:rsidRPr="00904FCB">
        <w:rPr>
          <w:rFonts w:hint="cs"/>
          <w:sz w:val="27"/>
          <w:rtl/>
          <w:lang w:bidi="ar-IQ"/>
        </w:rPr>
        <w:t>قوام من غير اليهود</w:t>
      </w:r>
      <w:r w:rsidR="00473F4B" w:rsidRPr="00904FCB">
        <w:rPr>
          <w:rFonts w:hint="cs"/>
          <w:sz w:val="27"/>
          <w:rtl/>
          <w:lang w:bidi="ar-IQ"/>
        </w:rPr>
        <w:t>.</w:t>
      </w:r>
      <w:r w:rsidRPr="00904FCB">
        <w:rPr>
          <w:rFonts w:hint="cs"/>
          <w:sz w:val="27"/>
          <w:rtl/>
          <w:lang w:bidi="ar-IQ"/>
        </w:rPr>
        <w:t xml:space="preserve"> لذلك ف</w:t>
      </w:r>
      <w:r w:rsidR="00473F4B" w:rsidRPr="00904FCB">
        <w:rPr>
          <w:rFonts w:hint="cs"/>
          <w:sz w:val="27"/>
          <w:rtl/>
          <w:lang w:bidi="ar-IQ"/>
        </w:rPr>
        <w:t>إ</w:t>
      </w:r>
      <w:r w:rsidRPr="00904FCB">
        <w:rPr>
          <w:rFonts w:hint="cs"/>
          <w:sz w:val="27"/>
          <w:rtl/>
          <w:lang w:bidi="ar-IQ"/>
        </w:rPr>
        <w:t>ن المسيانية تحظى باهتمام كبير في اللاهوت اليهودي</w:t>
      </w:r>
      <w:r w:rsidR="00473F4B" w:rsidRPr="00904FCB">
        <w:rPr>
          <w:rFonts w:hint="cs"/>
          <w:sz w:val="27"/>
          <w:rtl/>
          <w:lang w:bidi="ar-IQ"/>
        </w:rPr>
        <w:t>.</w:t>
      </w:r>
      <w:r w:rsidRPr="00904FCB">
        <w:rPr>
          <w:rFonts w:hint="cs"/>
          <w:sz w:val="27"/>
          <w:rtl/>
          <w:lang w:bidi="ar-IQ"/>
        </w:rPr>
        <w:t xml:space="preserve"> وليس المسيح المنتظر هو المخلص فقط، </w:t>
      </w:r>
      <w:r w:rsidR="00473F4B" w:rsidRPr="00904FCB">
        <w:rPr>
          <w:rFonts w:hint="cs"/>
          <w:sz w:val="27"/>
          <w:rtl/>
          <w:lang w:bidi="ar-IQ"/>
        </w:rPr>
        <w:t>إ</w:t>
      </w:r>
      <w:r w:rsidRPr="00904FCB">
        <w:rPr>
          <w:rFonts w:hint="cs"/>
          <w:sz w:val="27"/>
          <w:rtl/>
          <w:lang w:bidi="ar-IQ"/>
        </w:rPr>
        <w:t xml:space="preserve">نما ظهوره دلالة على </w:t>
      </w:r>
      <w:r w:rsidR="00473F4B" w:rsidRPr="00904FCB">
        <w:rPr>
          <w:rFonts w:hint="cs"/>
          <w:sz w:val="27"/>
          <w:rtl/>
          <w:lang w:bidi="ar-IQ"/>
        </w:rPr>
        <w:t>أ</w:t>
      </w:r>
      <w:r w:rsidRPr="00904FCB">
        <w:rPr>
          <w:rFonts w:hint="cs"/>
          <w:sz w:val="27"/>
          <w:rtl/>
          <w:lang w:bidi="ar-IQ"/>
        </w:rPr>
        <w:t xml:space="preserve">ن الله </w:t>
      </w:r>
      <w:r w:rsidR="00473F4B" w:rsidRPr="00904FCB">
        <w:rPr>
          <w:rFonts w:hint="cs"/>
          <w:sz w:val="27"/>
          <w:rtl/>
          <w:lang w:bidi="ar-IQ"/>
        </w:rPr>
        <w:t>أ</w:t>
      </w:r>
      <w:r w:rsidRPr="00904FCB">
        <w:rPr>
          <w:rFonts w:hint="cs"/>
          <w:sz w:val="27"/>
          <w:rtl/>
          <w:lang w:bidi="ar-IQ"/>
        </w:rPr>
        <w:t>نجز لهم عمله العظيم</w:t>
      </w:r>
      <w:r w:rsidR="00473F4B" w:rsidRPr="00904FCB">
        <w:rPr>
          <w:rFonts w:hint="cs"/>
          <w:sz w:val="27"/>
          <w:rtl/>
          <w:lang w:bidi="ar-IQ"/>
        </w:rPr>
        <w:t>،</w:t>
      </w:r>
      <w:r w:rsidRPr="00904FCB">
        <w:rPr>
          <w:rFonts w:hint="cs"/>
          <w:sz w:val="27"/>
          <w:rtl/>
          <w:lang w:bidi="ar-IQ"/>
        </w:rPr>
        <w:t xml:space="preserve"> وأوفى لهم حق</w:t>
      </w:r>
      <w:r w:rsidR="00473F4B" w:rsidRPr="00904FCB">
        <w:rPr>
          <w:rFonts w:hint="cs"/>
          <w:sz w:val="27"/>
          <w:rtl/>
          <w:lang w:bidi="ar-IQ"/>
        </w:rPr>
        <w:t>ّ</w:t>
      </w:r>
      <w:r w:rsidRPr="00904FCB">
        <w:rPr>
          <w:rFonts w:hint="cs"/>
          <w:sz w:val="27"/>
          <w:rtl/>
          <w:lang w:bidi="ar-IQ"/>
        </w:rPr>
        <w:t xml:space="preserve"> السيادة والامتياز على البشر. </w:t>
      </w:r>
    </w:p>
    <w:p w:rsidR="00952E59" w:rsidRPr="00904FCB" w:rsidRDefault="00952E59" w:rsidP="007A21AA">
      <w:pPr>
        <w:spacing w:line="400" w:lineRule="exact"/>
        <w:rPr>
          <w:sz w:val="27"/>
          <w:rtl/>
          <w:lang w:bidi="ar-IQ"/>
        </w:rPr>
      </w:pPr>
      <w:r w:rsidRPr="00904FCB">
        <w:rPr>
          <w:rFonts w:hint="cs"/>
          <w:sz w:val="27"/>
          <w:rtl/>
          <w:lang w:bidi="ar-IQ"/>
        </w:rPr>
        <w:t xml:space="preserve">لهذه العقائد عارض اليهود الحداثة </w:t>
      </w:r>
      <w:r w:rsidR="00473F4B" w:rsidRPr="00904FCB">
        <w:rPr>
          <w:rFonts w:hint="cs"/>
          <w:sz w:val="27"/>
          <w:rtl/>
          <w:lang w:bidi="ar-IQ"/>
        </w:rPr>
        <w:t>إ</w:t>
      </w:r>
      <w:r w:rsidRPr="00904FCB">
        <w:rPr>
          <w:rFonts w:hint="cs"/>
          <w:sz w:val="27"/>
          <w:rtl/>
          <w:lang w:bidi="ar-IQ"/>
        </w:rPr>
        <w:t>بان عصر التنوير ال</w:t>
      </w:r>
      <w:r w:rsidR="00473F4B" w:rsidRPr="00904FCB">
        <w:rPr>
          <w:rFonts w:hint="cs"/>
          <w:sz w:val="27"/>
          <w:rtl/>
          <w:lang w:bidi="ar-IQ"/>
        </w:rPr>
        <w:t>أ</w:t>
      </w:r>
      <w:r w:rsidRPr="00904FCB">
        <w:rPr>
          <w:rFonts w:hint="cs"/>
          <w:sz w:val="27"/>
          <w:rtl/>
          <w:lang w:bidi="ar-IQ"/>
        </w:rPr>
        <w:t>وروبي</w:t>
      </w:r>
      <w:r w:rsidR="00473F4B" w:rsidRPr="00904FCB">
        <w:rPr>
          <w:rFonts w:hint="cs"/>
          <w:sz w:val="27"/>
          <w:rtl/>
          <w:lang w:bidi="ar-IQ"/>
        </w:rPr>
        <w:t>؛</w:t>
      </w:r>
      <w:r w:rsidRPr="00904FCB">
        <w:rPr>
          <w:rFonts w:hint="cs"/>
          <w:sz w:val="27"/>
          <w:rtl/>
          <w:lang w:bidi="ar-IQ"/>
        </w:rPr>
        <w:t xml:space="preserve"> لئلا</w:t>
      </w:r>
      <w:r w:rsidR="00473F4B" w:rsidRPr="00904FCB">
        <w:rPr>
          <w:rFonts w:hint="cs"/>
          <w:sz w:val="27"/>
          <w:rtl/>
          <w:lang w:bidi="ar-IQ"/>
        </w:rPr>
        <w:t>ّ</w:t>
      </w:r>
      <w:r w:rsidRPr="00904FCB">
        <w:rPr>
          <w:rFonts w:hint="cs"/>
          <w:sz w:val="27"/>
          <w:rtl/>
          <w:lang w:bidi="ar-IQ"/>
        </w:rPr>
        <w:t xml:space="preserve"> يضيع العنصر المتفو</w:t>
      </w:r>
      <w:r w:rsidR="00473F4B" w:rsidRPr="00904FCB">
        <w:rPr>
          <w:rFonts w:hint="cs"/>
          <w:sz w:val="27"/>
          <w:rtl/>
          <w:lang w:bidi="ar-IQ"/>
        </w:rPr>
        <w:t>ّ</w:t>
      </w:r>
      <w:r w:rsidRPr="00904FCB">
        <w:rPr>
          <w:rFonts w:hint="cs"/>
          <w:sz w:val="27"/>
          <w:rtl/>
          <w:lang w:bidi="ar-IQ"/>
        </w:rPr>
        <w:t>ق بين الشعوب ال</w:t>
      </w:r>
      <w:r w:rsidR="00473F4B" w:rsidRPr="00904FCB">
        <w:rPr>
          <w:rFonts w:hint="cs"/>
          <w:sz w:val="27"/>
          <w:rtl/>
          <w:lang w:bidi="ar-IQ"/>
        </w:rPr>
        <w:t>أ</w:t>
      </w:r>
      <w:r w:rsidRPr="00904FCB">
        <w:rPr>
          <w:rFonts w:hint="cs"/>
          <w:sz w:val="27"/>
          <w:rtl/>
          <w:lang w:bidi="ar-IQ"/>
        </w:rPr>
        <w:t>خرى ال</w:t>
      </w:r>
      <w:r w:rsidR="00473F4B" w:rsidRPr="00904FCB">
        <w:rPr>
          <w:rFonts w:hint="cs"/>
          <w:sz w:val="27"/>
          <w:rtl/>
          <w:lang w:bidi="ar-IQ"/>
        </w:rPr>
        <w:t>أ</w:t>
      </w:r>
      <w:r w:rsidRPr="00904FCB">
        <w:rPr>
          <w:rFonts w:hint="cs"/>
          <w:sz w:val="27"/>
          <w:rtl/>
          <w:lang w:bidi="ar-IQ"/>
        </w:rPr>
        <w:t>قل</w:t>
      </w:r>
      <w:r w:rsidR="00473F4B" w:rsidRPr="00904FCB">
        <w:rPr>
          <w:rFonts w:hint="cs"/>
          <w:sz w:val="27"/>
          <w:rtl/>
          <w:lang w:bidi="ar-IQ"/>
        </w:rPr>
        <w:t>ّ</w:t>
      </w:r>
      <w:r w:rsidRPr="00904FCB">
        <w:rPr>
          <w:rFonts w:hint="cs"/>
          <w:sz w:val="27"/>
          <w:rtl/>
          <w:lang w:bidi="ar-IQ"/>
        </w:rPr>
        <w:t xml:space="preserve"> منهم شأناً</w:t>
      </w:r>
      <w:r w:rsidRPr="00904FCB">
        <w:rPr>
          <w:rFonts w:hint="cs"/>
          <w:sz w:val="27"/>
          <w:vertAlign w:val="superscript"/>
          <w:rtl/>
          <w:lang w:bidi="ar-IQ"/>
        </w:rPr>
        <w:t>(</w:t>
      </w:r>
      <w:r w:rsidRPr="00904FCB">
        <w:rPr>
          <w:sz w:val="27"/>
          <w:vertAlign w:val="superscript"/>
          <w:rtl/>
        </w:rPr>
        <w:endnoteReference w:id="299"/>
      </w:r>
      <w:r w:rsidRPr="00904FCB">
        <w:rPr>
          <w:rFonts w:hint="cs"/>
          <w:sz w:val="27"/>
          <w:vertAlign w:val="superscript"/>
          <w:rtl/>
          <w:lang w:bidi="ar-IQ"/>
        </w:rPr>
        <w:t>)</w:t>
      </w:r>
      <w:r w:rsidR="00473F4B" w:rsidRPr="00904FCB">
        <w:rPr>
          <w:rFonts w:hint="cs"/>
          <w:sz w:val="27"/>
          <w:rtl/>
          <w:lang w:bidi="ar-IQ"/>
        </w:rPr>
        <w:t>،</w:t>
      </w:r>
      <w:r w:rsidRPr="00904FCB">
        <w:rPr>
          <w:rFonts w:hint="cs"/>
          <w:sz w:val="27"/>
          <w:rtl/>
          <w:lang w:bidi="ar-IQ"/>
        </w:rPr>
        <w:t xml:space="preserve"> كما يعتقدون</w:t>
      </w:r>
      <w:r w:rsidR="00473F4B" w:rsidRPr="00904FCB">
        <w:rPr>
          <w:rFonts w:hint="cs"/>
          <w:sz w:val="27"/>
          <w:rtl/>
          <w:lang w:bidi="ar-IQ"/>
        </w:rPr>
        <w:t>.</w:t>
      </w:r>
      <w:r w:rsidRPr="00904FCB">
        <w:rPr>
          <w:rFonts w:hint="cs"/>
          <w:sz w:val="27"/>
          <w:rtl/>
          <w:lang w:bidi="ar-IQ"/>
        </w:rPr>
        <w:t xml:space="preserve"> ولا</w:t>
      </w:r>
      <w:r w:rsidR="00473F4B" w:rsidRPr="00904FCB">
        <w:rPr>
          <w:rFonts w:hint="cs"/>
          <w:sz w:val="27"/>
          <w:rtl/>
          <w:lang w:bidi="ar-IQ"/>
        </w:rPr>
        <w:t xml:space="preserve"> </w:t>
      </w:r>
      <w:r w:rsidRPr="00904FCB">
        <w:rPr>
          <w:rFonts w:hint="cs"/>
          <w:sz w:val="27"/>
          <w:rtl/>
          <w:lang w:bidi="ar-IQ"/>
        </w:rPr>
        <w:t>يزال هذا الاعتقاد سارياً</w:t>
      </w:r>
      <w:r w:rsidR="00473F4B" w:rsidRPr="00904FCB">
        <w:rPr>
          <w:rFonts w:hint="cs"/>
          <w:sz w:val="27"/>
          <w:rtl/>
          <w:lang w:bidi="ar-IQ"/>
        </w:rPr>
        <w:t>؛</w:t>
      </w:r>
      <w:r w:rsidRPr="00904FCB">
        <w:rPr>
          <w:rFonts w:hint="cs"/>
          <w:sz w:val="27"/>
          <w:rtl/>
          <w:lang w:bidi="ar-IQ"/>
        </w:rPr>
        <w:t xml:space="preserve"> إذ تزعم الصهيونية </w:t>
      </w:r>
      <w:r w:rsidR="00473F4B" w:rsidRPr="00904FCB">
        <w:rPr>
          <w:rFonts w:hint="cs"/>
          <w:sz w:val="27"/>
          <w:rtl/>
          <w:lang w:bidi="ar-IQ"/>
        </w:rPr>
        <w:t>أ</w:t>
      </w:r>
      <w:r w:rsidRPr="00904FCB">
        <w:rPr>
          <w:rFonts w:hint="cs"/>
          <w:sz w:val="27"/>
          <w:rtl/>
          <w:lang w:bidi="ar-IQ"/>
        </w:rPr>
        <w:t>ن يهود اليوم هم النسل المباشر ليهود التوراة</w:t>
      </w:r>
      <w:r w:rsidR="00473F4B" w:rsidRPr="00904FCB">
        <w:rPr>
          <w:rFonts w:hint="cs"/>
          <w:sz w:val="27"/>
          <w:rtl/>
          <w:lang w:bidi="ar-IQ"/>
        </w:rPr>
        <w:t>؛</w:t>
      </w:r>
      <w:r w:rsidRPr="00904FCB">
        <w:rPr>
          <w:rFonts w:hint="cs"/>
          <w:sz w:val="27"/>
          <w:rtl/>
          <w:lang w:bidi="ar-IQ"/>
        </w:rPr>
        <w:t xml:space="preserve"> لتبرير اغتصاب فلسطين، على الرغم من </w:t>
      </w:r>
      <w:r w:rsidR="00473F4B" w:rsidRPr="00904FCB">
        <w:rPr>
          <w:rFonts w:hint="cs"/>
          <w:sz w:val="27"/>
          <w:rtl/>
          <w:lang w:bidi="ar-IQ"/>
        </w:rPr>
        <w:t>أ</w:t>
      </w:r>
      <w:r w:rsidRPr="00904FCB">
        <w:rPr>
          <w:rFonts w:hint="cs"/>
          <w:sz w:val="27"/>
          <w:rtl/>
          <w:lang w:bidi="ar-IQ"/>
        </w:rPr>
        <w:t xml:space="preserve">ن الواقع التاريخي صريح في </w:t>
      </w:r>
      <w:r w:rsidR="00473F4B" w:rsidRPr="00904FCB">
        <w:rPr>
          <w:rFonts w:hint="cs"/>
          <w:sz w:val="27"/>
          <w:rtl/>
          <w:lang w:bidi="ar-IQ"/>
        </w:rPr>
        <w:t>أ</w:t>
      </w:r>
      <w:r w:rsidRPr="00904FCB">
        <w:rPr>
          <w:rFonts w:hint="cs"/>
          <w:sz w:val="27"/>
          <w:rtl/>
          <w:lang w:bidi="ar-IQ"/>
        </w:rPr>
        <w:t xml:space="preserve">نهم ينتمون </w:t>
      </w:r>
      <w:r w:rsidR="00473F4B" w:rsidRPr="00904FCB">
        <w:rPr>
          <w:rFonts w:hint="cs"/>
          <w:sz w:val="27"/>
          <w:rtl/>
          <w:lang w:bidi="ar-IQ"/>
        </w:rPr>
        <w:t>إ</w:t>
      </w:r>
      <w:r w:rsidRPr="00904FCB">
        <w:rPr>
          <w:rFonts w:hint="cs"/>
          <w:sz w:val="27"/>
          <w:rtl/>
          <w:lang w:bidi="ar-IQ"/>
        </w:rPr>
        <w:t>لى عدد كبير من السلالات البشرية</w:t>
      </w:r>
      <w:r w:rsidR="00473F4B" w:rsidRPr="00904FCB">
        <w:rPr>
          <w:rFonts w:hint="cs"/>
          <w:sz w:val="27"/>
          <w:rtl/>
          <w:lang w:bidi="ar-IQ"/>
        </w:rPr>
        <w:t>؛ إذ ينكر علم الأنثروبو</w:t>
      </w:r>
      <w:r w:rsidRPr="00904FCB">
        <w:rPr>
          <w:rFonts w:hint="cs"/>
          <w:sz w:val="27"/>
          <w:rtl/>
          <w:lang w:bidi="ar-IQ"/>
        </w:rPr>
        <w:t>لوجيا زعمهم ب</w:t>
      </w:r>
      <w:r w:rsidR="00473F4B" w:rsidRPr="00904FCB">
        <w:rPr>
          <w:rFonts w:hint="cs"/>
          <w:sz w:val="27"/>
          <w:rtl/>
          <w:lang w:bidi="ar-IQ"/>
        </w:rPr>
        <w:t>أ</w:t>
      </w:r>
      <w:r w:rsidRPr="00904FCB">
        <w:rPr>
          <w:rFonts w:hint="cs"/>
          <w:sz w:val="27"/>
          <w:rtl/>
          <w:lang w:bidi="ar-IQ"/>
        </w:rPr>
        <w:t>نهم أم</w:t>
      </w:r>
      <w:r w:rsidR="00473F4B" w:rsidRPr="00904FCB">
        <w:rPr>
          <w:rFonts w:hint="cs"/>
          <w:sz w:val="27"/>
          <w:rtl/>
          <w:lang w:bidi="ar-IQ"/>
        </w:rPr>
        <w:t>ّ</w:t>
      </w:r>
      <w:r w:rsidRPr="00904FCB">
        <w:rPr>
          <w:rFonts w:hint="cs"/>
          <w:sz w:val="27"/>
          <w:rtl/>
          <w:lang w:bidi="ar-IQ"/>
        </w:rPr>
        <w:t>ة</w:t>
      </w:r>
      <w:r w:rsidR="00473F4B" w:rsidRPr="00904FCB">
        <w:rPr>
          <w:rFonts w:hint="cs"/>
          <w:sz w:val="27"/>
          <w:rtl/>
          <w:lang w:bidi="ar-IQ"/>
        </w:rPr>
        <w:t>،</w:t>
      </w:r>
      <w:r w:rsidRPr="00904FCB">
        <w:rPr>
          <w:rFonts w:hint="cs"/>
          <w:sz w:val="27"/>
          <w:rtl/>
          <w:lang w:bidi="ar-IQ"/>
        </w:rPr>
        <w:t xml:space="preserve"> فهم من أجناس</w:t>
      </w:r>
      <w:r w:rsidR="00473F4B" w:rsidRPr="00904FCB">
        <w:rPr>
          <w:rFonts w:hint="cs"/>
          <w:sz w:val="27"/>
          <w:rtl/>
          <w:lang w:bidi="ar-IQ"/>
        </w:rPr>
        <w:t>ٍ</w:t>
      </w:r>
      <w:r w:rsidRPr="00904FCB">
        <w:rPr>
          <w:rFonts w:hint="cs"/>
          <w:sz w:val="27"/>
          <w:rtl/>
          <w:lang w:bidi="ar-IQ"/>
        </w:rPr>
        <w:t xml:space="preserve"> مختلفة لا</w:t>
      </w:r>
      <w:r w:rsidR="00473F4B" w:rsidRPr="00904FCB">
        <w:rPr>
          <w:rFonts w:hint="cs"/>
          <w:sz w:val="27"/>
          <w:rtl/>
          <w:lang w:bidi="ar-IQ"/>
        </w:rPr>
        <w:t xml:space="preserve"> </w:t>
      </w:r>
      <w:r w:rsidRPr="00904FCB">
        <w:rPr>
          <w:rFonts w:hint="cs"/>
          <w:sz w:val="27"/>
          <w:rtl/>
          <w:lang w:bidi="ar-IQ"/>
        </w:rPr>
        <w:t>تربطها رابطة عرقية</w:t>
      </w:r>
      <w:r w:rsidRPr="00904FCB">
        <w:rPr>
          <w:rFonts w:hint="cs"/>
          <w:sz w:val="27"/>
          <w:vertAlign w:val="superscript"/>
          <w:rtl/>
          <w:lang w:bidi="ar-IQ"/>
        </w:rPr>
        <w:t>(</w:t>
      </w:r>
      <w:r w:rsidRPr="00904FCB">
        <w:rPr>
          <w:sz w:val="27"/>
          <w:vertAlign w:val="superscript"/>
          <w:rtl/>
        </w:rPr>
        <w:endnoteReference w:id="300"/>
      </w:r>
      <w:r w:rsidRPr="00904FCB">
        <w:rPr>
          <w:rFonts w:hint="cs"/>
          <w:sz w:val="27"/>
          <w:vertAlign w:val="superscript"/>
          <w:rtl/>
          <w:lang w:bidi="ar-IQ"/>
        </w:rPr>
        <w:t>)</w:t>
      </w:r>
      <w:r w:rsidRPr="00904FCB">
        <w:rPr>
          <w:rFonts w:hint="cs"/>
          <w:sz w:val="27"/>
          <w:rtl/>
          <w:lang w:bidi="ar-IQ"/>
        </w:rPr>
        <w:t xml:space="preserve">. </w:t>
      </w:r>
    </w:p>
    <w:p w:rsidR="00952E59" w:rsidRPr="00904FCB" w:rsidRDefault="00952E59" w:rsidP="007A21AA">
      <w:pPr>
        <w:spacing w:line="400" w:lineRule="exact"/>
        <w:rPr>
          <w:sz w:val="27"/>
          <w:rtl/>
          <w:lang w:bidi="ar-IQ"/>
        </w:rPr>
      </w:pPr>
      <w:r w:rsidRPr="00904FCB">
        <w:rPr>
          <w:rFonts w:hint="cs"/>
          <w:sz w:val="27"/>
          <w:rtl/>
          <w:lang w:bidi="ar-IQ"/>
        </w:rPr>
        <w:t>لقد تكو</w:t>
      </w:r>
      <w:r w:rsidR="00473F4B" w:rsidRPr="00904FCB">
        <w:rPr>
          <w:rFonts w:hint="cs"/>
          <w:sz w:val="27"/>
          <w:rtl/>
          <w:lang w:bidi="ar-IQ"/>
        </w:rPr>
        <w:t>َّ</w:t>
      </w:r>
      <w:r w:rsidRPr="00904FCB">
        <w:rPr>
          <w:rFonts w:hint="cs"/>
          <w:sz w:val="27"/>
          <w:rtl/>
          <w:lang w:bidi="ar-IQ"/>
        </w:rPr>
        <w:t xml:space="preserve">نت الشخصية </w:t>
      </w:r>
      <w:r w:rsidR="00473F4B" w:rsidRPr="00904FCB">
        <w:rPr>
          <w:rFonts w:hint="cs"/>
          <w:sz w:val="27"/>
          <w:rtl/>
          <w:lang w:bidi="ar-IQ"/>
        </w:rPr>
        <w:t>أ</w:t>
      </w:r>
      <w:r w:rsidRPr="00904FCB">
        <w:rPr>
          <w:rFonts w:hint="cs"/>
          <w:sz w:val="27"/>
          <w:rtl/>
          <w:lang w:bidi="ar-IQ"/>
        </w:rPr>
        <w:t>و النزعة النفسية لليهود تحت هذه المؤث</w:t>
      </w:r>
      <w:r w:rsidR="00473F4B" w:rsidRPr="00904FCB">
        <w:rPr>
          <w:rFonts w:hint="cs"/>
          <w:sz w:val="27"/>
          <w:rtl/>
          <w:lang w:bidi="ar-IQ"/>
        </w:rPr>
        <w:t>ِّ</w:t>
      </w:r>
      <w:r w:rsidRPr="00904FCB">
        <w:rPr>
          <w:rFonts w:hint="cs"/>
          <w:sz w:val="27"/>
          <w:rtl/>
          <w:lang w:bidi="ar-IQ"/>
        </w:rPr>
        <w:t>رات الاعتقادية</w:t>
      </w:r>
      <w:r w:rsidR="00473F4B" w:rsidRPr="00904FCB">
        <w:rPr>
          <w:rFonts w:hint="cs"/>
          <w:sz w:val="27"/>
          <w:rtl/>
          <w:lang w:bidi="ar-IQ"/>
        </w:rPr>
        <w:t>،</w:t>
      </w:r>
      <w:r w:rsidRPr="00904FCB">
        <w:rPr>
          <w:rFonts w:hint="cs"/>
          <w:sz w:val="27"/>
          <w:rtl/>
          <w:lang w:bidi="ar-IQ"/>
        </w:rPr>
        <w:t xml:space="preserve"> وفي ظل</w:t>
      </w:r>
      <w:r w:rsidR="00473F4B" w:rsidRPr="00904FCB">
        <w:rPr>
          <w:rFonts w:hint="cs"/>
          <w:sz w:val="27"/>
          <w:rtl/>
          <w:lang w:bidi="ar-IQ"/>
        </w:rPr>
        <w:t>ّ</w:t>
      </w:r>
      <w:r w:rsidRPr="00904FCB">
        <w:rPr>
          <w:rFonts w:hint="cs"/>
          <w:sz w:val="27"/>
          <w:rtl/>
          <w:lang w:bidi="ar-IQ"/>
        </w:rPr>
        <w:t xml:space="preserve"> قسوة (ال</w:t>
      </w:r>
      <w:r w:rsidR="00473F4B" w:rsidRPr="00904FCB">
        <w:rPr>
          <w:rFonts w:hint="cs"/>
          <w:sz w:val="27"/>
          <w:rtl/>
          <w:lang w:bidi="ar-IQ"/>
        </w:rPr>
        <w:t>إ</w:t>
      </w:r>
      <w:r w:rsidRPr="00904FCB">
        <w:rPr>
          <w:rFonts w:hint="cs"/>
          <w:sz w:val="27"/>
          <w:rtl/>
          <w:lang w:bidi="ar-IQ"/>
        </w:rPr>
        <w:t>له) الذي صو</w:t>
      </w:r>
      <w:r w:rsidR="00473F4B" w:rsidRPr="00904FCB">
        <w:rPr>
          <w:rFonts w:hint="cs"/>
          <w:sz w:val="27"/>
          <w:rtl/>
          <w:lang w:bidi="ar-IQ"/>
        </w:rPr>
        <w:t>ّ</w:t>
      </w:r>
      <w:r w:rsidRPr="00904FCB">
        <w:rPr>
          <w:rFonts w:hint="cs"/>
          <w:sz w:val="27"/>
          <w:rtl/>
          <w:lang w:bidi="ar-IQ"/>
        </w:rPr>
        <w:t>ره عزرا عند كتابته للتوراة</w:t>
      </w:r>
      <w:r w:rsidR="00473F4B" w:rsidRPr="00904FCB">
        <w:rPr>
          <w:rFonts w:hint="cs"/>
          <w:sz w:val="27"/>
          <w:rtl/>
          <w:lang w:bidi="ar-IQ"/>
        </w:rPr>
        <w:t>،</w:t>
      </w:r>
      <w:r w:rsidRPr="00904FCB">
        <w:rPr>
          <w:rFonts w:hint="cs"/>
          <w:sz w:val="27"/>
          <w:rtl/>
          <w:lang w:bidi="ar-IQ"/>
        </w:rPr>
        <w:t xml:space="preserve"> فهو يهد</w:t>
      </w:r>
      <w:r w:rsidR="00473F4B" w:rsidRPr="00904FCB">
        <w:rPr>
          <w:rFonts w:hint="cs"/>
          <w:sz w:val="27"/>
          <w:rtl/>
          <w:lang w:bidi="ar-IQ"/>
        </w:rPr>
        <w:t>ِّ</w:t>
      </w:r>
      <w:r w:rsidRPr="00904FCB">
        <w:rPr>
          <w:rFonts w:hint="cs"/>
          <w:sz w:val="27"/>
          <w:rtl/>
          <w:lang w:bidi="ar-IQ"/>
        </w:rPr>
        <w:t>د شعبه بال</w:t>
      </w:r>
      <w:r w:rsidR="00473F4B" w:rsidRPr="00904FCB">
        <w:rPr>
          <w:rFonts w:hint="cs"/>
          <w:sz w:val="27"/>
          <w:rtl/>
          <w:lang w:bidi="ar-IQ"/>
        </w:rPr>
        <w:t>إ</w:t>
      </w:r>
      <w:r w:rsidRPr="00904FCB">
        <w:rPr>
          <w:rFonts w:hint="cs"/>
          <w:sz w:val="27"/>
          <w:rtl/>
          <w:lang w:bidi="ar-IQ"/>
        </w:rPr>
        <w:t xml:space="preserve">بادة </w:t>
      </w:r>
      <w:r w:rsidR="00473F4B" w:rsidRPr="00904FCB">
        <w:rPr>
          <w:rFonts w:hint="cs"/>
          <w:sz w:val="27"/>
          <w:rtl/>
          <w:lang w:bidi="ar-IQ"/>
        </w:rPr>
        <w:t>إ</w:t>
      </w:r>
      <w:r w:rsidRPr="00904FCB">
        <w:rPr>
          <w:rFonts w:hint="cs"/>
          <w:sz w:val="27"/>
          <w:rtl/>
          <w:lang w:bidi="ar-IQ"/>
        </w:rPr>
        <w:t>ن</w:t>
      </w:r>
      <w:r w:rsidR="00473F4B" w:rsidRPr="00904FCB">
        <w:rPr>
          <w:rFonts w:hint="cs"/>
          <w:sz w:val="27"/>
          <w:rtl/>
          <w:lang w:bidi="ar-IQ"/>
        </w:rPr>
        <w:t>ْ</w:t>
      </w:r>
      <w:r w:rsidRPr="00904FCB">
        <w:rPr>
          <w:rFonts w:hint="cs"/>
          <w:sz w:val="27"/>
          <w:rtl/>
          <w:lang w:bidi="ar-IQ"/>
        </w:rPr>
        <w:t xml:space="preserve"> لم يلتزموا بوصاياه</w:t>
      </w:r>
      <w:r w:rsidR="00391F7A" w:rsidRPr="00904FCB">
        <w:rPr>
          <w:rFonts w:hint="cs"/>
          <w:sz w:val="27"/>
          <w:rtl/>
          <w:lang w:bidi="ar-IQ"/>
        </w:rPr>
        <w:t>.</w:t>
      </w:r>
      <w:r w:rsidRPr="00904FCB">
        <w:rPr>
          <w:rFonts w:hint="cs"/>
          <w:sz w:val="27"/>
          <w:rtl/>
          <w:lang w:bidi="ar-IQ"/>
        </w:rPr>
        <w:t xml:space="preserve"> (ويهوه) إلههم لا</w:t>
      </w:r>
      <w:r w:rsidR="00391F7A" w:rsidRPr="00904FCB">
        <w:rPr>
          <w:rFonts w:hint="cs"/>
          <w:sz w:val="27"/>
          <w:rtl/>
          <w:lang w:bidi="ar-IQ"/>
        </w:rPr>
        <w:t xml:space="preserve"> </w:t>
      </w:r>
      <w:r w:rsidRPr="00904FCB">
        <w:rPr>
          <w:rFonts w:hint="cs"/>
          <w:sz w:val="27"/>
          <w:rtl/>
          <w:lang w:bidi="ar-IQ"/>
        </w:rPr>
        <w:t>يحب</w:t>
      </w:r>
      <w:r w:rsidR="00391F7A" w:rsidRPr="00904FCB">
        <w:rPr>
          <w:rFonts w:hint="cs"/>
          <w:sz w:val="27"/>
          <w:rtl/>
          <w:lang w:bidi="ar-IQ"/>
        </w:rPr>
        <w:t>ّ</w:t>
      </w:r>
      <w:r w:rsidRPr="00904FCB">
        <w:rPr>
          <w:rFonts w:hint="cs"/>
          <w:sz w:val="27"/>
          <w:rtl/>
          <w:lang w:bidi="ar-IQ"/>
        </w:rPr>
        <w:t xml:space="preserve"> الرآي الآخر</w:t>
      </w:r>
      <w:r w:rsidR="00D17AF6">
        <w:rPr>
          <w:rFonts w:hint="cs"/>
          <w:sz w:val="27"/>
          <w:rtl/>
          <w:lang w:bidi="ar-IQ"/>
        </w:rPr>
        <w:t>،</w:t>
      </w:r>
      <w:r w:rsidRPr="00904FCB">
        <w:rPr>
          <w:rFonts w:hint="cs"/>
          <w:sz w:val="27"/>
          <w:rtl/>
          <w:lang w:bidi="ar-IQ"/>
        </w:rPr>
        <w:t xml:space="preserve"> ولا</w:t>
      </w:r>
      <w:r w:rsidR="00391F7A" w:rsidRPr="00904FCB">
        <w:rPr>
          <w:rFonts w:hint="cs"/>
          <w:sz w:val="27"/>
          <w:rtl/>
          <w:lang w:bidi="ar-IQ"/>
        </w:rPr>
        <w:t xml:space="preserve"> </w:t>
      </w:r>
      <w:r w:rsidRPr="00904FCB">
        <w:rPr>
          <w:rFonts w:hint="cs"/>
          <w:sz w:val="27"/>
          <w:rtl/>
          <w:lang w:bidi="ar-IQ"/>
        </w:rPr>
        <w:t>مكان في رعي</w:t>
      </w:r>
      <w:r w:rsidR="00391F7A" w:rsidRPr="00904FCB">
        <w:rPr>
          <w:rFonts w:hint="cs"/>
          <w:sz w:val="27"/>
          <w:rtl/>
          <w:lang w:bidi="ar-IQ"/>
        </w:rPr>
        <w:t>ّ</w:t>
      </w:r>
      <w:r w:rsidRPr="00904FCB">
        <w:rPr>
          <w:rFonts w:hint="cs"/>
          <w:sz w:val="27"/>
          <w:rtl/>
          <w:lang w:bidi="ar-IQ"/>
        </w:rPr>
        <w:t>ته لحر</w:t>
      </w:r>
      <w:r w:rsidR="00391F7A" w:rsidRPr="00904FCB">
        <w:rPr>
          <w:rFonts w:hint="cs"/>
          <w:sz w:val="27"/>
          <w:rtl/>
          <w:lang w:bidi="ar-IQ"/>
        </w:rPr>
        <w:t>ّ</w:t>
      </w:r>
      <w:r w:rsidRPr="00904FCB">
        <w:rPr>
          <w:rFonts w:hint="cs"/>
          <w:sz w:val="27"/>
          <w:rtl/>
          <w:lang w:bidi="ar-IQ"/>
        </w:rPr>
        <w:t>ية المعتقد، فقد صو</w:t>
      </w:r>
      <w:r w:rsidR="00391F7A" w:rsidRPr="00904FCB">
        <w:rPr>
          <w:rFonts w:hint="cs"/>
          <w:sz w:val="27"/>
          <w:rtl/>
          <w:lang w:bidi="ar-IQ"/>
        </w:rPr>
        <w:t>ّ</w:t>
      </w:r>
      <w:r w:rsidRPr="00904FCB">
        <w:rPr>
          <w:rFonts w:hint="cs"/>
          <w:sz w:val="27"/>
          <w:rtl/>
          <w:lang w:bidi="ar-IQ"/>
        </w:rPr>
        <w:t xml:space="preserve">رته التوراة </w:t>
      </w:r>
      <w:r w:rsidR="00391F7A" w:rsidRPr="00904FCB">
        <w:rPr>
          <w:rFonts w:hint="cs"/>
          <w:sz w:val="27"/>
          <w:rtl/>
          <w:lang w:bidi="ar-IQ"/>
        </w:rPr>
        <w:t>إ</w:t>
      </w:r>
      <w:r w:rsidRPr="00904FCB">
        <w:rPr>
          <w:rFonts w:hint="cs"/>
          <w:sz w:val="27"/>
          <w:rtl/>
          <w:lang w:bidi="ar-IQ"/>
        </w:rPr>
        <w:t xml:space="preserve">لهاً قبلياً دموياً. </w:t>
      </w:r>
    </w:p>
    <w:p w:rsidR="00952E59" w:rsidRPr="00904FCB" w:rsidRDefault="00952E59" w:rsidP="00D17AF6">
      <w:pPr>
        <w:spacing w:line="400" w:lineRule="exact"/>
        <w:rPr>
          <w:b/>
          <w:bCs/>
          <w:sz w:val="27"/>
          <w:rtl/>
          <w:lang w:bidi="ar-IQ"/>
        </w:rPr>
      </w:pPr>
      <w:r w:rsidRPr="00904FCB">
        <w:rPr>
          <w:rFonts w:hint="cs"/>
          <w:sz w:val="27"/>
          <w:rtl/>
          <w:lang w:bidi="ar-IQ"/>
        </w:rPr>
        <w:t>ولم يستند التعص</w:t>
      </w:r>
      <w:r w:rsidR="00391F7A" w:rsidRPr="00904FCB">
        <w:rPr>
          <w:rFonts w:hint="cs"/>
          <w:sz w:val="27"/>
          <w:rtl/>
          <w:lang w:bidi="ar-IQ"/>
        </w:rPr>
        <w:t>ُّ</w:t>
      </w:r>
      <w:r w:rsidRPr="00904FCB">
        <w:rPr>
          <w:rFonts w:hint="cs"/>
          <w:sz w:val="27"/>
          <w:rtl/>
          <w:lang w:bidi="ar-IQ"/>
        </w:rPr>
        <w:t xml:space="preserve">ب اليهودي </w:t>
      </w:r>
      <w:r w:rsidR="00391F7A" w:rsidRPr="00904FCB">
        <w:rPr>
          <w:rFonts w:hint="cs"/>
          <w:sz w:val="27"/>
          <w:rtl/>
          <w:lang w:bidi="ar-IQ"/>
        </w:rPr>
        <w:t>إ</w:t>
      </w:r>
      <w:r w:rsidRPr="00904FCB">
        <w:rPr>
          <w:rFonts w:hint="cs"/>
          <w:sz w:val="27"/>
          <w:rtl/>
          <w:lang w:bidi="ar-IQ"/>
        </w:rPr>
        <w:t>لى فكر</w:t>
      </w:r>
      <w:r w:rsidR="00391F7A" w:rsidRPr="00904FCB">
        <w:rPr>
          <w:rFonts w:hint="cs"/>
          <w:sz w:val="27"/>
          <w:rtl/>
          <w:lang w:bidi="ar-IQ"/>
        </w:rPr>
        <w:t>ٍ</w:t>
      </w:r>
      <w:r w:rsidRPr="00904FCB">
        <w:rPr>
          <w:rFonts w:hint="cs"/>
          <w:sz w:val="27"/>
          <w:rtl/>
          <w:lang w:bidi="ar-IQ"/>
        </w:rPr>
        <w:t xml:space="preserve"> ديني مفس</w:t>
      </w:r>
      <w:r w:rsidR="00391F7A" w:rsidRPr="00904FCB">
        <w:rPr>
          <w:rFonts w:hint="cs"/>
          <w:sz w:val="27"/>
          <w:rtl/>
          <w:lang w:bidi="ar-IQ"/>
        </w:rPr>
        <w:t>ّ</w:t>
      </w:r>
      <w:r w:rsidRPr="00904FCB">
        <w:rPr>
          <w:rFonts w:hint="cs"/>
          <w:sz w:val="27"/>
          <w:rtl/>
          <w:lang w:bidi="ar-IQ"/>
        </w:rPr>
        <w:t>ر لنص</w:t>
      </w:r>
      <w:r w:rsidR="00391F7A" w:rsidRPr="00904FCB">
        <w:rPr>
          <w:rFonts w:hint="cs"/>
          <w:sz w:val="27"/>
          <w:rtl/>
          <w:lang w:bidi="ar-IQ"/>
        </w:rPr>
        <w:t>ّ</w:t>
      </w:r>
      <w:r w:rsidRPr="00904FCB">
        <w:rPr>
          <w:rFonts w:hint="cs"/>
          <w:sz w:val="27"/>
          <w:rtl/>
          <w:lang w:bidi="ar-IQ"/>
        </w:rPr>
        <w:t xml:space="preserve"> التوراة، </w:t>
      </w:r>
      <w:r w:rsidR="00391F7A" w:rsidRPr="00904FCB">
        <w:rPr>
          <w:rFonts w:hint="cs"/>
          <w:sz w:val="27"/>
          <w:rtl/>
          <w:lang w:bidi="ar-IQ"/>
        </w:rPr>
        <w:t>إ</w:t>
      </w:r>
      <w:r w:rsidRPr="00904FCB">
        <w:rPr>
          <w:rFonts w:hint="cs"/>
          <w:sz w:val="27"/>
          <w:rtl/>
          <w:lang w:bidi="ar-IQ"/>
        </w:rPr>
        <w:t>نما من المقولات التوراتية نفسها</w:t>
      </w:r>
      <w:r w:rsidR="00391F7A" w:rsidRPr="00904FCB">
        <w:rPr>
          <w:rFonts w:hint="cs"/>
          <w:sz w:val="27"/>
          <w:rtl/>
          <w:lang w:bidi="ar-IQ"/>
        </w:rPr>
        <w:t>،</w:t>
      </w:r>
      <w:r w:rsidRPr="00904FCB">
        <w:rPr>
          <w:rFonts w:hint="cs"/>
          <w:sz w:val="27"/>
          <w:rtl/>
          <w:lang w:bidi="ar-IQ"/>
        </w:rPr>
        <w:t xml:space="preserve"> والمثبتة في كتاب ديني</w:t>
      </w:r>
      <w:r w:rsidR="00391F7A" w:rsidRPr="00904FCB">
        <w:rPr>
          <w:rFonts w:hint="cs"/>
          <w:sz w:val="27"/>
          <w:rtl/>
          <w:lang w:bidi="ar-IQ"/>
        </w:rPr>
        <w:t>،</w:t>
      </w:r>
      <w:r w:rsidRPr="00904FCB">
        <w:rPr>
          <w:rFonts w:hint="cs"/>
          <w:sz w:val="27"/>
          <w:rtl/>
          <w:lang w:bidi="ar-IQ"/>
        </w:rPr>
        <w:t xml:space="preserve"> اعتبره </w:t>
      </w:r>
      <w:r w:rsidR="00391F7A" w:rsidRPr="00904FCB">
        <w:rPr>
          <w:rFonts w:hint="cs"/>
          <w:sz w:val="27"/>
          <w:rtl/>
          <w:lang w:bidi="ar-IQ"/>
        </w:rPr>
        <w:t>أ</w:t>
      </w:r>
      <w:r w:rsidRPr="00904FCB">
        <w:rPr>
          <w:rFonts w:hint="cs"/>
          <w:sz w:val="27"/>
          <w:rtl/>
          <w:lang w:bidi="ar-IQ"/>
        </w:rPr>
        <w:t>صحابه (سفر الحضارة الخالد)</w:t>
      </w:r>
      <w:r w:rsidR="00391F7A" w:rsidRPr="00904FCB">
        <w:rPr>
          <w:rFonts w:hint="cs"/>
          <w:sz w:val="27"/>
          <w:rtl/>
          <w:lang w:bidi="ar-IQ"/>
        </w:rPr>
        <w:t>،</w:t>
      </w:r>
      <w:r w:rsidRPr="00904FCB">
        <w:rPr>
          <w:rFonts w:hint="cs"/>
          <w:sz w:val="27"/>
          <w:rtl/>
          <w:lang w:bidi="ar-IQ"/>
        </w:rPr>
        <w:t xml:space="preserve"> فتحو</w:t>
      </w:r>
      <w:r w:rsidR="00391F7A" w:rsidRPr="00904FCB">
        <w:rPr>
          <w:rFonts w:hint="cs"/>
          <w:sz w:val="27"/>
          <w:rtl/>
          <w:lang w:bidi="ar-IQ"/>
        </w:rPr>
        <w:t>ّ</w:t>
      </w:r>
      <w:r w:rsidRPr="00904FCB">
        <w:rPr>
          <w:rFonts w:hint="cs"/>
          <w:sz w:val="27"/>
          <w:rtl/>
          <w:lang w:bidi="ar-IQ"/>
        </w:rPr>
        <w:t xml:space="preserve">ل التعصب </w:t>
      </w:r>
      <w:r w:rsidR="00391F7A" w:rsidRPr="00904FCB">
        <w:rPr>
          <w:rFonts w:hint="cs"/>
          <w:sz w:val="27"/>
          <w:rtl/>
          <w:lang w:bidi="ar-IQ"/>
        </w:rPr>
        <w:t>إ</w:t>
      </w:r>
      <w:r w:rsidRPr="00904FCB">
        <w:rPr>
          <w:rFonts w:hint="cs"/>
          <w:sz w:val="27"/>
          <w:rtl/>
          <w:lang w:bidi="ar-IQ"/>
        </w:rPr>
        <w:t xml:space="preserve">لى </w:t>
      </w:r>
      <w:r w:rsidR="00391F7A" w:rsidRPr="00904FCB">
        <w:rPr>
          <w:rFonts w:hint="cs"/>
          <w:sz w:val="27"/>
          <w:rtl/>
          <w:lang w:bidi="ar-IQ"/>
        </w:rPr>
        <w:t>إ</w:t>
      </w:r>
      <w:r w:rsidRPr="00904FCB">
        <w:rPr>
          <w:rFonts w:hint="cs"/>
          <w:sz w:val="27"/>
          <w:rtl/>
          <w:lang w:bidi="ar-IQ"/>
        </w:rPr>
        <w:t xml:space="preserve">رهاب منظم وتاريخي منذ ثلاثة </w:t>
      </w:r>
      <w:r w:rsidR="00391F7A" w:rsidRPr="00904FCB">
        <w:rPr>
          <w:rFonts w:hint="cs"/>
          <w:sz w:val="27"/>
          <w:rtl/>
          <w:lang w:bidi="ar-IQ"/>
        </w:rPr>
        <w:t>آ</w:t>
      </w:r>
      <w:r w:rsidRPr="00904FCB">
        <w:rPr>
          <w:rFonts w:hint="cs"/>
          <w:sz w:val="27"/>
          <w:rtl/>
          <w:lang w:bidi="ar-IQ"/>
        </w:rPr>
        <w:t>لاف سنة</w:t>
      </w:r>
      <w:r w:rsidR="00391F7A" w:rsidRPr="00904FCB">
        <w:rPr>
          <w:rFonts w:hint="cs"/>
          <w:sz w:val="27"/>
          <w:rtl/>
          <w:lang w:bidi="ar-IQ"/>
        </w:rPr>
        <w:t>،</w:t>
      </w:r>
      <w:r w:rsidRPr="00904FCB">
        <w:rPr>
          <w:rFonts w:hint="cs"/>
          <w:sz w:val="27"/>
          <w:rtl/>
          <w:lang w:bidi="ar-IQ"/>
        </w:rPr>
        <w:t xml:space="preserve"> ولا</w:t>
      </w:r>
      <w:r w:rsidR="00391F7A" w:rsidRPr="00904FCB">
        <w:rPr>
          <w:rFonts w:hint="cs"/>
          <w:sz w:val="27"/>
          <w:rtl/>
          <w:lang w:bidi="ar-IQ"/>
        </w:rPr>
        <w:t xml:space="preserve"> </w:t>
      </w:r>
      <w:r w:rsidRPr="00904FCB">
        <w:rPr>
          <w:rFonts w:hint="cs"/>
          <w:sz w:val="27"/>
          <w:rtl/>
          <w:lang w:bidi="ar-IQ"/>
        </w:rPr>
        <w:t xml:space="preserve">يزال مستمراً طالما بقي هدف اليهود </w:t>
      </w:r>
      <w:r w:rsidR="00391F7A" w:rsidRPr="00904FCB">
        <w:rPr>
          <w:rFonts w:hint="cs"/>
          <w:sz w:val="27"/>
          <w:rtl/>
          <w:lang w:bidi="ar-IQ"/>
        </w:rPr>
        <w:t>إ</w:t>
      </w:r>
      <w:r w:rsidRPr="00904FCB">
        <w:rPr>
          <w:rFonts w:hint="cs"/>
          <w:sz w:val="27"/>
          <w:rtl/>
          <w:lang w:bidi="ar-IQ"/>
        </w:rPr>
        <w:t>خضاع العالم ل</w:t>
      </w:r>
      <w:r w:rsidR="00391F7A" w:rsidRPr="00904FCB">
        <w:rPr>
          <w:rFonts w:hint="cs"/>
          <w:sz w:val="27"/>
          <w:rtl/>
          <w:lang w:bidi="ar-IQ"/>
        </w:rPr>
        <w:t>إ</w:t>
      </w:r>
      <w:r w:rsidRPr="00904FCB">
        <w:rPr>
          <w:rFonts w:hint="cs"/>
          <w:sz w:val="27"/>
          <w:rtl/>
          <w:lang w:bidi="ar-IQ"/>
        </w:rPr>
        <w:t>رادتهم</w:t>
      </w:r>
      <w:r w:rsidRPr="00904FCB">
        <w:rPr>
          <w:rFonts w:hint="cs"/>
          <w:sz w:val="27"/>
          <w:vertAlign w:val="superscript"/>
          <w:rtl/>
          <w:lang w:bidi="ar-IQ"/>
        </w:rPr>
        <w:t>(</w:t>
      </w:r>
      <w:r w:rsidRPr="00904FCB">
        <w:rPr>
          <w:sz w:val="27"/>
          <w:vertAlign w:val="superscript"/>
          <w:rtl/>
        </w:rPr>
        <w:endnoteReference w:id="301"/>
      </w:r>
      <w:r w:rsidRPr="00904FCB">
        <w:rPr>
          <w:rFonts w:hint="cs"/>
          <w:sz w:val="27"/>
          <w:vertAlign w:val="superscript"/>
          <w:rtl/>
          <w:lang w:bidi="ar-IQ"/>
        </w:rPr>
        <w:t>)</w:t>
      </w:r>
      <w:r w:rsidR="00391F7A" w:rsidRPr="00904FCB">
        <w:rPr>
          <w:rFonts w:hint="cs"/>
          <w:sz w:val="27"/>
          <w:rtl/>
          <w:lang w:bidi="ar-IQ"/>
        </w:rPr>
        <w:t>،</w:t>
      </w:r>
      <w:r w:rsidRPr="00904FCB">
        <w:rPr>
          <w:rFonts w:hint="cs"/>
          <w:sz w:val="27"/>
          <w:rtl/>
          <w:lang w:bidi="ar-IQ"/>
        </w:rPr>
        <w:t xml:space="preserve"> بدءاً بفلسطين وانتهاءً بكل </w:t>
      </w:r>
      <w:r w:rsidR="00391F7A" w:rsidRPr="00904FCB">
        <w:rPr>
          <w:rFonts w:hint="cs"/>
          <w:sz w:val="27"/>
          <w:rtl/>
          <w:lang w:bidi="ar-IQ"/>
        </w:rPr>
        <w:t>أ</w:t>
      </w:r>
      <w:r w:rsidRPr="00904FCB">
        <w:rPr>
          <w:rFonts w:hint="cs"/>
          <w:sz w:val="27"/>
          <w:rtl/>
          <w:lang w:bidi="ar-IQ"/>
        </w:rPr>
        <w:t>نحاء العالم</w:t>
      </w:r>
      <w:r w:rsidR="00391F7A" w:rsidRPr="00904FCB">
        <w:rPr>
          <w:rFonts w:hint="cs"/>
          <w:sz w:val="27"/>
          <w:rtl/>
          <w:lang w:bidi="ar-IQ"/>
        </w:rPr>
        <w:t>.</w:t>
      </w:r>
      <w:r w:rsidRPr="00904FCB">
        <w:rPr>
          <w:rFonts w:hint="cs"/>
          <w:sz w:val="27"/>
          <w:rtl/>
          <w:lang w:bidi="ar-IQ"/>
        </w:rPr>
        <w:t xml:space="preserve"> فلقد ربطت ال</w:t>
      </w:r>
      <w:r w:rsidR="00D17AF6">
        <w:rPr>
          <w:rFonts w:hint="cs"/>
          <w:sz w:val="27"/>
          <w:rtl/>
          <w:lang w:bidi="ar-IQ"/>
        </w:rPr>
        <w:t>أ</w:t>
      </w:r>
      <w:r w:rsidRPr="00904FCB">
        <w:rPr>
          <w:rFonts w:hint="cs"/>
          <w:sz w:val="27"/>
          <w:rtl/>
          <w:lang w:bidi="ar-IQ"/>
        </w:rPr>
        <w:t>يديولوجي</w:t>
      </w:r>
      <w:r w:rsidR="00D17AF6">
        <w:rPr>
          <w:rFonts w:hint="cs"/>
          <w:sz w:val="27"/>
          <w:rtl/>
          <w:lang w:bidi="ar-IQ"/>
        </w:rPr>
        <w:t>ا</w:t>
      </w:r>
      <w:r w:rsidRPr="00904FCB">
        <w:rPr>
          <w:rFonts w:hint="cs"/>
          <w:sz w:val="27"/>
          <w:rtl/>
          <w:lang w:bidi="ar-IQ"/>
        </w:rPr>
        <w:t xml:space="preserve"> ال</w:t>
      </w:r>
      <w:r w:rsidR="00391F7A" w:rsidRPr="00904FCB">
        <w:rPr>
          <w:rFonts w:hint="cs"/>
          <w:sz w:val="27"/>
          <w:rtl/>
          <w:lang w:bidi="ar-IQ"/>
        </w:rPr>
        <w:t>أ</w:t>
      </w:r>
      <w:r w:rsidRPr="00904FCB">
        <w:rPr>
          <w:rFonts w:hint="cs"/>
          <w:sz w:val="27"/>
          <w:rtl/>
          <w:lang w:bidi="ar-IQ"/>
        </w:rPr>
        <w:t>صولية لليهود بين فكرة الشعب المختار و</w:t>
      </w:r>
      <w:r w:rsidR="00391F7A" w:rsidRPr="00904FCB">
        <w:rPr>
          <w:rFonts w:hint="cs"/>
          <w:sz w:val="27"/>
          <w:rtl/>
          <w:lang w:bidi="ar-IQ"/>
        </w:rPr>
        <w:t>أ</w:t>
      </w:r>
      <w:r w:rsidRPr="00904FCB">
        <w:rPr>
          <w:rFonts w:hint="cs"/>
          <w:sz w:val="27"/>
          <w:rtl/>
          <w:lang w:bidi="ar-IQ"/>
        </w:rPr>
        <w:t>رض الميعاد ربطاً وجودياً</w:t>
      </w:r>
      <w:r w:rsidRPr="00904FCB">
        <w:rPr>
          <w:rFonts w:hint="cs"/>
          <w:sz w:val="27"/>
          <w:vertAlign w:val="superscript"/>
          <w:rtl/>
          <w:lang w:bidi="ar-IQ"/>
        </w:rPr>
        <w:t>(</w:t>
      </w:r>
      <w:r w:rsidRPr="00904FCB">
        <w:rPr>
          <w:sz w:val="27"/>
          <w:vertAlign w:val="superscript"/>
          <w:rtl/>
        </w:rPr>
        <w:endnoteReference w:id="302"/>
      </w:r>
      <w:r w:rsidRPr="00904FCB">
        <w:rPr>
          <w:rFonts w:hint="cs"/>
          <w:sz w:val="27"/>
          <w:vertAlign w:val="superscript"/>
          <w:rtl/>
          <w:lang w:bidi="ar-IQ"/>
        </w:rPr>
        <w:t>)</w:t>
      </w:r>
      <w:r w:rsidR="00391F7A" w:rsidRPr="00904FCB">
        <w:rPr>
          <w:rFonts w:hint="cs"/>
          <w:sz w:val="27"/>
          <w:rtl/>
          <w:lang w:bidi="ar-IQ"/>
        </w:rPr>
        <w:t>،</w:t>
      </w:r>
      <w:r w:rsidRPr="00904FCB">
        <w:rPr>
          <w:rFonts w:hint="cs"/>
          <w:sz w:val="27"/>
          <w:rtl/>
          <w:lang w:bidi="ar-IQ"/>
        </w:rPr>
        <w:t xml:space="preserve"> لايتحق</w:t>
      </w:r>
      <w:r w:rsidR="00391F7A" w:rsidRPr="00904FCB">
        <w:rPr>
          <w:rFonts w:hint="cs"/>
          <w:sz w:val="27"/>
          <w:rtl/>
          <w:lang w:bidi="ar-IQ"/>
        </w:rPr>
        <w:t>ّ</w:t>
      </w:r>
      <w:r w:rsidRPr="00904FCB">
        <w:rPr>
          <w:rFonts w:hint="cs"/>
          <w:sz w:val="27"/>
          <w:rtl/>
          <w:lang w:bidi="ar-IQ"/>
        </w:rPr>
        <w:t>ق كل</w:t>
      </w:r>
      <w:r w:rsidR="00391F7A" w:rsidRPr="00904FCB">
        <w:rPr>
          <w:rFonts w:hint="cs"/>
          <w:sz w:val="27"/>
          <w:rtl/>
          <w:lang w:bidi="ar-IQ"/>
        </w:rPr>
        <w:t>ٌّ</w:t>
      </w:r>
      <w:r w:rsidRPr="00904FCB">
        <w:rPr>
          <w:rFonts w:hint="cs"/>
          <w:sz w:val="27"/>
          <w:rtl/>
          <w:lang w:bidi="ar-IQ"/>
        </w:rPr>
        <w:t xml:space="preserve"> منهما في الواقع </w:t>
      </w:r>
      <w:r w:rsidR="00391F7A" w:rsidRPr="00904FCB">
        <w:rPr>
          <w:rFonts w:hint="cs"/>
          <w:sz w:val="27"/>
          <w:rtl/>
          <w:lang w:bidi="ar-IQ"/>
        </w:rPr>
        <w:t>إ</w:t>
      </w:r>
      <w:r w:rsidRPr="00904FCB">
        <w:rPr>
          <w:rFonts w:hint="cs"/>
          <w:sz w:val="27"/>
          <w:rtl/>
          <w:lang w:bidi="ar-IQ"/>
        </w:rPr>
        <w:t>لا</w:t>
      </w:r>
      <w:r w:rsidR="00391F7A" w:rsidRPr="00904FCB">
        <w:rPr>
          <w:rFonts w:hint="cs"/>
          <w:sz w:val="27"/>
          <w:rtl/>
          <w:lang w:bidi="ar-IQ"/>
        </w:rPr>
        <w:t>ّ</w:t>
      </w:r>
      <w:r w:rsidRPr="00904FCB">
        <w:rPr>
          <w:rFonts w:hint="cs"/>
          <w:sz w:val="27"/>
          <w:rtl/>
          <w:lang w:bidi="ar-IQ"/>
        </w:rPr>
        <w:t xml:space="preserve"> بتحق</w:t>
      </w:r>
      <w:r w:rsidR="00391F7A" w:rsidRPr="00904FCB">
        <w:rPr>
          <w:rFonts w:hint="cs"/>
          <w:sz w:val="27"/>
          <w:rtl/>
          <w:lang w:bidi="ar-IQ"/>
        </w:rPr>
        <w:t>ُّ</w:t>
      </w:r>
      <w:r w:rsidRPr="00904FCB">
        <w:rPr>
          <w:rFonts w:hint="cs"/>
          <w:sz w:val="27"/>
          <w:rtl/>
          <w:lang w:bidi="ar-IQ"/>
        </w:rPr>
        <w:t>ق الآخر</w:t>
      </w:r>
      <w:r w:rsidR="00391F7A" w:rsidRPr="00904FCB">
        <w:rPr>
          <w:rFonts w:hint="cs"/>
          <w:sz w:val="27"/>
          <w:rtl/>
          <w:lang w:bidi="ar-IQ"/>
        </w:rPr>
        <w:t>،</w:t>
      </w:r>
      <w:r w:rsidRPr="00904FCB">
        <w:rPr>
          <w:rFonts w:hint="cs"/>
          <w:sz w:val="27"/>
          <w:rtl/>
          <w:lang w:bidi="ar-IQ"/>
        </w:rPr>
        <w:t xml:space="preserve"> وهكذا تولدت عن اليهودية موجات من ال</w:t>
      </w:r>
      <w:r w:rsidR="00391F7A" w:rsidRPr="00904FCB">
        <w:rPr>
          <w:rFonts w:hint="cs"/>
          <w:sz w:val="27"/>
          <w:rtl/>
          <w:lang w:bidi="ar-IQ"/>
        </w:rPr>
        <w:t>أ</w:t>
      </w:r>
      <w:r w:rsidRPr="00904FCB">
        <w:rPr>
          <w:rFonts w:hint="cs"/>
          <w:sz w:val="27"/>
          <w:rtl/>
          <w:lang w:bidi="ar-IQ"/>
        </w:rPr>
        <w:t xml:space="preserve">صوليات الدينية المتعاقبة. </w:t>
      </w:r>
    </w:p>
    <w:p w:rsidR="00952E59" w:rsidRPr="00904FCB" w:rsidRDefault="00952E59" w:rsidP="007A21AA">
      <w:pPr>
        <w:spacing w:line="400" w:lineRule="exact"/>
        <w:rPr>
          <w:sz w:val="27"/>
          <w:rtl/>
          <w:lang w:bidi="ar-IQ"/>
        </w:rPr>
      </w:pPr>
      <w:r w:rsidRPr="00904FCB">
        <w:rPr>
          <w:rFonts w:hint="cs"/>
          <w:sz w:val="27"/>
          <w:rtl/>
          <w:lang w:bidi="ar-IQ"/>
        </w:rPr>
        <w:t>وتعد</w:t>
      </w:r>
      <w:r w:rsidR="00391F7A" w:rsidRPr="00904FCB">
        <w:rPr>
          <w:rFonts w:hint="cs"/>
          <w:sz w:val="27"/>
          <w:rtl/>
          <w:lang w:bidi="ar-IQ"/>
        </w:rPr>
        <w:t>ّ</w:t>
      </w:r>
      <w:r w:rsidRPr="00904FCB">
        <w:rPr>
          <w:rFonts w:hint="cs"/>
          <w:sz w:val="27"/>
          <w:rtl/>
          <w:lang w:bidi="ar-IQ"/>
        </w:rPr>
        <w:t xml:space="preserve"> اليهودية من </w:t>
      </w:r>
      <w:r w:rsidR="00391F7A" w:rsidRPr="00904FCB">
        <w:rPr>
          <w:rFonts w:hint="cs"/>
          <w:sz w:val="27"/>
          <w:rtl/>
          <w:lang w:bidi="ar-IQ"/>
        </w:rPr>
        <w:t>أ</w:t>
      </w:r>
      <w:r w:rsidRPr="00904FCB">
        <w:rPr>
          <w:rFonts w:hint="cs"/>
          <w:sz w:val="27"/>
          <w:rtl/>
          <w:lang w:bidi="ar-IQ"/>
        </w:rPr>
        <w:t>قدم الديانات ال</w:t>
      </w:r>
      <w:r w:rsidR="00BC1B97" w:rsidRPr="00904FCB">
        <w:rPr>
          <w:rFonts w:hint="cs"/>
          <w:sz w:val="27"/>
          <w:rtl/>
          <w:lang w:bidi="ar-IQ"/>
        </w:rPr>
        <w:t>إ</w:t>
      </w:r>
      <w:r w:rsidRPr="00904FCB">
        <w:rPr>
          <w:rFonts w:hint="cs"/>
          <w:sz w:val="27"/>
          <w:rtl/>
          <w:lang w:bidi="ar-IQ"/>
        </w:rPr>
        <w:t>براهيمية</w:t>
      </w:r>
      <w:r w:rsidR="00BC1B97" w:rsidRPr="00904FCB">
        <w:rPr>
          <w:rFonts w:hint="cs"/>
          <w:sz w:val="27"/>
          <w:rtl/>
          <w:lang w:bidi="ar-IQ"/>
        </w:rPr>
        <w:t>.</w:t>
      </w:r>
      <w:r w:rsidRPr="00904FCB">
        <w:rPr>
          <w:rFonts w:hint="cs"/>
          <w:sz w:val="27"/>
          <w:rtl/>
          <w:lang w:bidi="ar-IQ"/>
        </w:rPr>
        <w:t xml:space="preserve"> والتوراة هو الكتاب العبراني </w:t>
      </w:r>
      <w:r w:rsidRPr="00904FCB">
        <w:rPr>
          <w:rFonts w:hint="cs"/>
          <w:sz w:val="27"/>
          <w:rtl/>
          <w:lang w:bidi="ar-IQ"/>
        </w:rPr>
        <w:lastRenderedPageBreak/>
        <w:t>المقدس المعروف بالعهد القديم</w:t>
      </w:r>
      <w:r w:rsidR="00BC1B97" w:rsidRPr="00904FCB">
        <w:rPr>
          <w:rFonts w:hint="cs"/>
          <w:sz w:val="27"/>
          <w:rtl/>
          <w:lang w:bidi="ar-IQ"/>
        </w:rPr>
        <w:t>.</w:t>
      </w:r>
      <w:r w:rsidRPr="00904FCB">
        <w:rPr>
          <w:rFonts w:hint="cs"/>
          <w:sz w:val="27"/>
          <w:rtl/>
          <w:lang w:bidi="ar-IQ"/>
        </w:rPr>
        <w:t xml:space="preserve"> وهذا النص الديني هو ال</w:t>
      </w:r>
      <w:r w:rsidR="00BC1B97" w:rsidRPr="00904FCB">
        <w:rPr>
          <w:rFonts w:hint="cs"/>
          <w:sz w:val="27"/>
          <w:rtl/>
          <w:lang w:bidi="ar-IQ"/>
        </w:rPr>
        <w:t>أ</w:t>
      </w:r>
      <w:r w:rsidRPr="00904FCB">
        <w:rPr>
          <w:rFonts w:hint="cs"/>
          <w:sz w:val="27"/>
          <w:rtl/>
          <w:lang w:bidi="ar-IQ"/>
        </w:rPr>
        <w:t>ساس لليهودية</w:t>
      </w:r>
      <w:r w:rsidR="00BC1B97" w:rsidRPr="00904FCB">
        <w:rPr>
          <w:rFonts w:hint="cs"/>
          <w:sz w:val="27"/>
          <w:rtl/>
          <w:lang w:bidi="ar-IQ"/>
        </w:rPr>
        <w:t>،</w:t>
      </w:r>
      <w:r w:rsidRPr="00904FCB">
        <w:rPr>
          <w:rFonts w:hint="cs"/>
          <w:sz w:val="27"/>
          <w:rtl/>
          <w:lang w:bidi="ar-IQ"/>
        </w:rPr>
        <w:t xml:space="preserve"> ونعني به </w:t>
      </w:r>
      <w:r w:rsidR="00BC1B97" w:rsidRPr="00904FCB">
        <w:rPr>
          <w:rFonts w:hint="cs"/>
          <w:sz w:val="27"/>
          <w:rtl/>
          <w:lang w:bidi="ar-IQ"/>
        </w:rPr>
        <w:t>أ</w:t>
      </w:r>
      <w:r w:rsidRPr="00904FCB">
        <w:rPr>
          <w:rFonts w:hint="cs"/>
          <w:sz w:val="27"/>
          <w:rtl/>
          <w:lang w:bidi="ar-IQ"/>
        </w:rPr>
        <w:t>سفار موسى الخمسة</w:t>
      </w:r>
      <w:r w:rsidR="00BC1B97" w:rsidRPr="00904FCB">
        <w:rPr>
          <w:rFonts w:hint="cs"/>
          <w:sz w:val="27"/>
          <w:rtl/>
          <w:lang w:bidi="ar-IQ"/>
        </w:rPr>
        <w:t>،</w:t>
      </w:r>
      <w:r w:rsidRPr="00904FCB">
        <w:rPr>
          <w:rFonts w:hint="cs"/>
          <w:sz w:val="27"/>
          <w:rtl/>
          <w:lang w:bidi="ar-IQ"/>
        </w:rPr>
        <w:t xml:space="preserve"> التي يعتقد اليهود </w:t>
      </w:r>
      <w:r w:rsidR="00BC1B97" w:rsidRPr="00904FCB">
        <w:rPr>
          <w:rFonts w:hint="cs"/>
          <w:sz w:val="27"/>
          <w:rtl/>
          <w:lang w:bidi="ar-IQ"/>
        </w:rPr>
        <w:t>أ</w:t>
      </w:r>
      <w:r w:rsidRPr="00904FCB">
        <w:rPr>
          <w:rFonts w:hint="cs"/>
          <w:sz w:val="27"/>
          <w:rtl/>
          <w:lang w:bidi="ar-IQ"/>
        </w:rPr>
        <w:t>نها وحي</w:t>
      </w:r>
      <w:r w:rsidR="00BC1B97" w:rsidRPr="00904FCB">
        <w:rPr>
          <w:rFonts w:hint="cs"/>
          <w:sz w:val="27"/>
          <w:rtl/>
          <w:lang w:bidi="ar-IQ"/>
        </w:rPr>
        <w:t>ٌ</w:t>
      </w:r>
      <w:r w:rsidRPr="00904FCB">
        <w:rPr>
          <w:rFonts w:hint="cs"/>
          <w:sz w:val="27"/>
          <w:rtl/>
          <w:lang w:bidi="ar-IQ"/>
        </w:rPr>
        <w:t xml:space="preserve"> من الله، ف</w:t>
      </w:r>
      <w:r w:rsidR="00BC1B97" w:rsidRPr="00904FCB">
        <w:rPr>
          <w:rFonts w:hint="cs"/>
          <w:sz w:val="27"/>
          <w:rtl/>
          <w:lang w:bidi="ar-IQ"/>
        </w:rPr>
        <w:t>إ</w:t>
      </w:r>
      <w:r w:rsidRPr="00904FCB">
        <w:rPr>
          <w:rFonts w:hint="cs"/>
          <w:sz w:val="27"/>
          <w:rtl/>
          <w:lang w:bidi="ar-IQ"/>
        </w:rPr>
        <w:t>ن هذا الكتاب (النص المقدس) ذاته يؤس</w:t>
      </w:r>
      <w:r w:rsidR="00BC1B97" w:rsidRPr="00904FCB">
        <w:rPr>
          <w:rFonts w:hint="cs"/>
          <w:sz w:val="27"/>
          <w:rtl/>
          <w:lang w:bidi="ar-IQ"/>
        </w:rPr>
        <w:t>ّ</w:t>
      </w:r>
      <w:r w:rsidRPr="00904FCB">
        <w:rPr>
          <w:rFonts w:hint="cs"/>
          <w:sz w:val="27"/>
          <w:rtl/>
          <w:lang w:bidi="ar-IQ"/>
        </w:rPr>
        <w:t>س للموجات ال</w:t>
      </w:r>
      <w:r w:rsidR="00BC1B97" w:rsidRPr="00904FCB">
        <w:rPr>
          <w:rFonts w:hint="cs"/>
          <w:sz w:val="27"/>
          <w:rtl/>
          <w:lang w:bidi="ar-IQ"/>
        </w:rPr>
        <w:t>أ</w:t>
      </w:r>
      <w:r w:rsidRPr="00904FCB">
        <w:rPr>
          <w:rFonts w:hint="cs"/>
          <w:sz w:val="27"/>
          <w:rtl/>
          <w:lang w:bidi="ar-IQ"/>
        </w:rPr>
        <w:t>صولية بال</w:t>
      </w:r>
      <w:r w:rsidR="00BC1B97" w:rsidRPr="00904FCB">
        <w:rPr>
          <w:rFonts w:hint="cs"/>
          <w:sz w:val="27"/>
          <w:rtl/>
          <w:lang w:bidi="ar-IQ"/>
        </w:rPr>
        <w:t>أ</w:t>
      </w:r>
      <w:r w:rsidRPr="00904FCB">
        <w:rPr>
          <w:rFonts w:hint="cs"/>
          <w:sz w:val="27"/>
          <w:rtl/>
          <w:lang w:bidi="ar-IQ"/>
        </w:rPr>
        <w:t>فكار والمضامين التي وجدت فيه</w:t>
      </w:r>
      <w:r w:rsidR="00BC1B97" w:rsidRPr="00904FCB">
        <w:rPr>
          <w:rFonts w:hint="cs"/>
          <w:sz w:val="27"/>
          <w:rtl/>
          <w:lang w:bidi="ar-IQ"/>
        </w:rPr>
        <w:t>،</w:t>
      </w:r>
      <w:r w:rsidRPr="00904FCB">
        <w:rPr>
          <w:rFonts w:hint="cs"/>
          <w:sz w:val="27"/>
          <w:rtl/>
          <w:lang w:bidi="ar-IQ"/>
        </w:rPr>
        <w:t xml:space="preserve"> وسواء قرأناه بوصفه وحياً سماويا</w:t>
      </w:r>
      <w:r w:rsidR="00BC1B97" w:rsidRPr="00904FCB">
        <w:rPr>
          <w:rFonts w:hint="cs"/>
          <w:sz w:val="27"/>
          <w:rtl/>
          <w:lang w:bidi="ar-IQ"/>
        </w:rPr>
        <w:t>ً</w:t>
      </w:r>
      <w:r w:rsidRPr="00904FCB">
        <w:rPr>
          <w:rFonts w:hint="cs"/>
          <w:sz w:val="27"/>
          <w:rtl/>
          <w:lang w:bidi="ar-IQ"/>
        </w:rPr>
        <w:t xml:space="preserve"> </w:t>
      </w:r>
      <w:r w:rsidR="00BC1B97" w:rsidRPr="00904FCB">
        <w:rPr>
          <w:rFonts w:hint="cs"/>
          <w:sz w:val="27"/>
          <w:rtl/>
          <w:lang w:bidi="ar-IQ"/>
        </w:rPr>
        <w:t>أ</w:t>
      </w:r>
      <w:r w:rsidRPr="00904FCB">
        <w:rPr>
          <w:rFonts w:hint="cs"/>
          <w:sz w:val="27"/>
          <w:rtl/>
          <w:lang w:bidi="ar-IQ"/>
        </w:rPr>
        <w:t>و بوصفه وثيقة تاريخية، ففي كل</w:t>
      </w:r>
      <w:r w:rsidR="00D17AF6">
        <w:rPr>
          <w:rFonts w:hint="cs"/>
          <w:sz w:val="27"/>
          <w:rtl/>
          <w:lang w:bidi="ar-IQ"/>
        </w:rPr>
        <w:t>ت</w:t>
      </w:r>
      <w:r w:rsidRPr="00904FCB">
        <w:rPr>
          <w:rFonts w:hint="cs"/>
          <w:sz w:val="27"/>
          <w:rtl/>
          <w:lang w:bidi="ar-IQ"/>
        </w:rPr>
        <w:t xml:space="preserve">ا الحالتين يمكن </w:t>
      </w:r>
      <w:r w:rsidR="00BC1B97" w:rsidRPr="00904FCB">
        <w:rPr>
          <w:rFonts w:hint="cs"/>
          <w:sz w:val="27"/>
          <w:rtl/>
          <w:lang w:bidi="ar-IQ"/>
        </w:rPr>
        <w:t>أ</w:t>
      </w:r>
      <w:r w:rsidRPr="00904FCB">
        <w:rPr>
          <w:rFonts w:hint="cs"/>
          <w:sz w:val="27"/>
          <w:rtl/>
          <w:lang w:bidi="ar-IQ"/>
        </w:rPr>
        <w:t>ن نكتشف أثر هذه النصوص على ال</w:t>
      </w:r>
      <w:r w:rsidR="00BC1B97" w:rsidRPr="00904FCB">
        <w:rPr>
          <w:rFonts w:hint="cs"/>
          <w:sz w:val="27"/>
          <w:rtl/>
          <w:lang w:bidi="ar-IQ"/>
        </w:rPr>
        <w:t>أ</w:t>
      </w:r>
      <w:r w:rsidRPr="00904FCB">
        <w:rPr>
          <w:rFonts w:hint="cs"/>
          <w:sz w:val="27"/>
          <w:rtl/>
          <w:lang w:bidi="ar-IQ"/>
        </w:rPr>
        <w:t xml:space="preserve">حداث التاريخية </w:t>
      </w:r>
      <w:r w:rsidR="00BC1B97" w:rsidRPr="00904FCB">
        <w:rPr>
          <w:rFonts w:hint="cs"/>
          <w:sz w:val="27"/>
          <w:rtl/>
          <w:lang w:bidi="ar-IQ"/>
        </w:rPr>
        <w:t>أ</w:t>
      </w:r>
      <w:r w:rsidRPr="00904FCB">
        <w:rPr>
          <w:rFonts w:hint="cs"/>
          <w:sz w:val="27"/>
          <w:rtl/>
          <w:lang w:bidi="ar-IQ"/>
        </w:rPr>
        <w:t>و طريقة تجاوب المؤمنين به</w:t>
      </w:r>
      <w:r w:rsidR="00BC1B97" w:rsidRPr="00904FCB">
        <w:rPr>
          <w:rFonts w:hint="cs"/>
          <w:sz w:val="27"/>
          <w:rtl/>
          <w:lang w:bidi="ar-IQ"/>
        </w:rPr>
        <w:t>.</w:t>
      </w:r>
      <w:r w:rsidRPr="00904FCB">
        <w:rPr>
          <w:rFonts w:hint="cs"/>
          <w:sz w:val="27"/>
          <w:rtl/>
          <w:lang w:bidi="ar-IQ"/>
        </w:rPr>
        <w:t xml:space="preserve"> وعلى هذه النصوص نرصد نوع العلاقة التي حصلت مع الآخرين</w:t>
      </w:r>
      <w:r w:rsidR="00BC1B97" w:rsidRPr="00904FCB">
        <w:rPr>
          <w:rFonts w:hint="cs"/>
          <w:sz w:val="27"/>
          <w:rtl/>
          <w:lang w:bidi="ar-IQ"/>
        </w:rPr>
        <w:t>،</w:t>
      </w:r>
      <w:r w:rsidRPr="00904FCB">
        <w:rPr>
          <w:rFonts w:hint="cs"/>
          <w:sz w:val="27"/>
          <w:rtl/>
          <w:lang w:bidi="ar-IQ"/>
        </w:rPr>
        <w:t xml:space="preserve"> </w:t>
      </w:r>
      <w:r w:rsidR="00BC1B97" w:rsidRPr="00904FCB">
        <w:rPr>
          <w:rFonts w:hint="cs"/>
          <w:sz w:val="27"/>
          <w:rtl/>
          <w:lang w:bidi="ar-IQ"/>
        </w:rPr>
        <w:t>و</w:t>
      </w:r>
      <w:r w:rsidRPr="00904FCB">
        <w:rPr>
          <w:rFonts w:hint="cs"/>
          <w:sz w:val="27"/>
          <w:rtl/>
          <w:lang w:bidi="ar-IQ"/>
        </w:rPr>
        <w:t>لا</w:t>
      </w:r>
      <w:r w:rsidR="00BC1B97" w:rsidRPr="00904FCB">
        <w:rPr>
          <w:rFonts w:hint="cs"/>
          <w:sz w:val="27"/>
          <w:rtl/>
          <w:lang w:bidi="ar-IQ"/>
        </w:rPr>
        <w:t xml:space="preserve"> </w:t>
      </w:r>
      <w:r w:rsidRPr="00904FCB">
        <w:rPr>
          <w:rFonts w:hint="cs"/>
          <w:sz w:val="27"/>
          <w:rtl/>
          <w:lang w:bidi="ar-IQ"/>
        </w:rPr>
        <w:t>سي</w:t>
      </w:r>
      <w:r w:rsidR="00BC1B97" w:rsidRPr="00904FCB">
        <w:rPr>
          <w:rFonts w:hint="cs"/>
          <w:sz w:val="27"/>
          <w:rtl/>
          <w:lang w:bidi="ar-IQ"/>
        </w:rPr>
        <w:t>َّ</w:t>
      </w:r>
      <w:r w:rsidRPr="00904FCB">
        <w:rPr>
          <w:rFonts w:hint="cs"/>
          <w:sz w:val="27"/>
          <w:rtl/>
          <w:lang w:bidi="ar-IQ"/>
        </w:rPr>
        <w:t xml:space="preserve">ما بعد </w:t>
      </w:r>
      <w:r w:rsidR="00BC1B97" w:rsidRPr="00904FCB">
        <w:rPr>
          <w:rFonts w:hint="cs"/>
          <w:sz w:val="27"/>
          <w:rtl/>
          <w:lang w:bidi="ar-IQ"/>
        </w:rPr>
        <w:t>أ</w:t>
      </w:r>
      <w:r w:rsidR="008900DF" w:rsidRPr="00904FCB">
        <w:rPr>
          <w:rFonts w:hint="cs"/>
          <w:sz w:val="27"/>
          <w:rtl/>
          <w:lang w:bidi="ar-IQ"/>
        </w:rPr>
        <w:t>ن استقر</w:t>
      </w:r>
      <w:r w:rsidRPr="00904FCB">
        <w:rPr>
          <w:rFonts w:hint="cs"/>
          <w:sz w:val="27"/>
          <w:rtl/>
          <w:lang w:bidi="ar-IQ"/>
        </w:rPr>
        <w:t xml:space="preserve"> هذا الكتاب </w:t>
      </w:r>
      <w:r w:rsidR="008900DF" w:rsidRPr="00904FCB">
        <w:rPr>
          <w:rFonts w:hint="cs"/>
          <w:sz w:val="27"/>
          <w:rtl/>
          <w:lang w:bidi="ar-IQ"/>
        </w:rPr>
        <w:t>بوصفه</w:t>
      </w:r>
      <w:r w:rsidRPr="00904FCB">
        <w:rPr>
          <w:rFonts w:hint="cs"/>
          <w:sz w:val="27"/>
          <w:rtl/>
          <w:lang w:bidi="ar-IQ"/>
        </w:rPr>
        <w:t xml:space="preserve"> </w:t>
      </w:r>
      <w:r w:rsidR="00BC1B97" w:rsidRPr="00904FCB">
        <w:rPr>
          <w:rFonts w:hint="cs"/>
          <w:sz w:val="27"/>
          <w:rtl/>
          <w:lang w:bidi="ar-IQ"/>
        </w:rPr>
        <w:t>أ</w:t>
      </w:r>
      <w:r w:rsidRPr="00904FCB">
        <w:rPr>
          <w:rFonts w:hint="cs"/>
          <w:sz w:val="27"/>
          <w:rtl/>
          <w:lang w:bidi="ar-IQ"/>
        </w:rPr>
        <w:t>ساس ال</w:t>
      </w:r>
      <w:r w:rsidR="00BC1B97" w:rsidRPr="00904FCB">
        <w:rPr>
          <w:rFonts w:hint="cs"/>
          <w:sz w:val="27"/>
          <w:rtl/>
          <w:lang w:bidi="ar-IQ"/>
        </w:rPr>
        <w:t>إ</w:t>
      </w:r>
      <w:r w:rsidRPr="00904FCB">
        <w:rPr>
          <w:rFonts w:hint="cs"/>
          <w:sz w:val="27"/>
          <w:rtl/>
          <w:lang w:bidi="ar-IQ"/>
        </w:rPr>
        <w:t>يمان للشعب اليهودي</w:t>
      </w:r>
      <w:r w:rsidR="00BC1B97" w:rsidRPr="00904FCB">
        <w:rPr>
          <w:rFonts w:hint="cs"/>
          <w:sz w:val="27"/>
          <w:rtl/>
          <w:lang w:bidi="ar-IQ"/>
        </w:rPr>
        <w:t>،</w:t>
      </w:r>
      <w:r w:rsidRPr="00904FCB">
        <w:rPr>
          <w:rFonts w:hint="cs"/>
          <w:sz w:val="27"/>
          <w:rtl/>
          <w:lang w:bidi="ar-IQ"/>
        </w:rPr>
        <w:t xml:space="preserve"> وهم </w:t>
      </w:r>
      <w:r w:rsidR="00BC1B97" w:rsidRPr="00904FCB">
        <w:rPr>
          <w:rFonts w:hint="cs"/>
          <w:sz w:val="27"/>
          <w:rtl/>
          <w:lang w:bidi="ar-IQ"/>
        </w:rPr>
        <w:t>أ</w:t>
      </w:r>
      <w:r w:rsidRPr="00904FCB">
        <w:rPr>
          <w:rFonts w:hint="cs"/>
          <w:sz w:val="27"/>
          <w:rtl/>
          <w:lang w:bidi="ar-IQ"/>
        </w:rPr>
        <w:t>صحاب العهد الخالد من الله</w:t>
      </w:r>
      <w:r w:rsidRPr="00904FCB">
        <w:rPr>
          <w:rFonts w:hint="cs"/>
          <w:sz w:val="27"/>
          <w:vertAlign w:val="superscript"/>
          <w:rtl/>
          <w:lang w:bidi="ar-IQ"/>
        </w:rPr>
        <w:t>(</w:t>
      </w:r>
      <w:r w:rsidRPr="00904FCB">
        <w:rPr>
          <w:rStyle w:val="ac"/>
          <w:sz w:val="27"/>
          <w:rtl/>
          <w:lang w:bidi="ar-IQ"/>
        </w:rPr>
        <w:endnoteReference w:id="303"/>
      </w:r>
      <w:r w:rsidRPr="00904FCB">
        <w:rPr>
          <w:rFonts w:hint="cs"/>
          <w:sz w:val="27"/>
          <w:vertAlign w:val="superscript"/>
          <w:rtl/>
          <w:lang w:bidi="ar-IQ"/>
        </w:rPr>
        <w:t>)</w:t>
      </w:r>
      <w:r w:rsidR="00BC1B97" w:rsidRPr="00904FCB">
        <w:rPr>
          <w:rFonts w:hint="cs"/>
          <w:sz w:val="27"/>
          <w:rtl/>
          <w:lang w:bidi="ar-IQ"/>
        </w:rPr>
        <w:t>.</w:t>
      </w:r>
      <w:r w:rsidRPr="00904FCB">
        <w:rPr>
          <w:rFonts w:hint="cs"/>
          <w:sz w:val="27"/>
          <w:rtl/>
          <w:lang w:bidi="ar-IQ"/>
        </w:rPr>
        <w:t xml:space="preserve"> وبالرغم من المحن والويلات والتجارب القاسية ف</w:t>
      </w:r>
      <w:r w:rsidR="00BC1B97" w:rsidRPr="00904FCB">
        <w:rPr>
          <w:rFonts w:hint="cs"/>
          <w:sz w:val="27"/>
          <w:rtl/>
          <w:lang w:bidi="ar-IQ"/>
        </w:rPr>
        <w:t>إ</w:t>
      </w:r>
      <w:r w:rsidRPr="00904FCB">
        <w:rPr>
          <w:rFonts w:hint="cs"/>
          <w:sz w:val="27"/>
          <w:rtl/>
          <w:lang w:bidi="ar-IQ"/>
        </w:rPr>
        <w:t>ن ع</w:t>
      </w:r>
      <w:r w:rsidR="00BC1B97" w:rsidRPr="00904FCB">
        <w:rPr>
          <w:rFonts w:hint="cs"/>
          <w:sz w:val="27"/>
          <w:rtl/>
          <w:lang w:bidi="ar-IQ"/>
        </w:rPr>
        <w:t>قائدهم ظلت دين</w:t>
      </w:r>
      <w:r w:rsidRPr="00904FCB">
        <w:rPr>
          <w:rFonts w:hint="cs"/>
          <w:sz w:val="27"/>
          <w:rtl/>
          <w:lang w:bidi="ar-IQ"/>
        </w:rPr>
        <w:t>ا</w:t>
      </w:r>
      <w:r w:rsidR="00BC1B97" w:rsidRPr="00904FCB">
        <w:rPr>
          <w:rFonts w:hint="cs"/>
          <w:sz w:val="27"/>
          <w:rtl/>
          <w:lang w:bidi="ar-IQ"/>
        </w:rPr>
        <w:t>ً مرتبطاً بالشعب اليهودي ارتباط</w:t>
      </w:r>
      <w:r w:rsidRPr="00904FCB">
        <w:rPr>
          <w:rFonts w:hint="cs"/>
          <w:sz w:val="27"/>
          <w:rtl/>
          <w:lang w:bidi="ar-IQ"/>
        </w:rPr>
        <w:t>ا</w:t>
      </w:r>
      <w:r w:rsidR="00BC1B97" w:rsidRPr="00904FCB">
        <w:rPr>
          <w:rFonts w:hint="cs"/>
          <w:sz w:val="27"/>
          <w:rtl/>
          <w:lang w:bidi="ar-IQ"/>
        </w:rPr>
        <w:t>ً</w:t>
      </w:r>
      <w:r w:rsidRPr="00904FCB">
        <w:rPr>
          <w:rFonts w:hint="cs"/>
          <w:sz w:val="27"/>
          <w:rtl/>
          <w:lang w:bidi="ar-IQ"/>
        </w:rPr>
        <w:t xml:space="preserve"> عرقياً</w:t>
      </w:r>
      <w:r w:rsidR="00BC1B97" w:rsidRPr="00904FCB">
        <w:rPr>
          <w:rFonts w:hint="cs"/>
          <w:sz w:val="27"/>
          <w:rtl/>
          <w:lang w:bidi="ar-IQ"/>
        </w:rPr>
        <w:t>،</w:t>
      </w:r>
      <w:r w:rsidRPr="00904FCB">
        <w:rPr>
          <w:rFonts w:hint="cs"/>
          <w:sz w:val="27"/>
          <w:rtl/>
          <w:lang w:bidi="ar-IQ"/>
        </w:rPr>
        <w:t xml:space="preserve"> فهو </w:t>
      </w:r>
      <w:r w:rsidR="00BC1B97" w:rsidRPr="00904FCB">
        <w:rPr>
          <w:rFonts w:hint="cs"/>
          <w:sz w:val="27"/>
          <w:rtl/>
          <w:lang w:bidi="ar-IQ"/>
        </w:rPr>
        <w:t>أ</w:t>
      </w:r>
      <w:r w:rsidRPr="00904FCB">
        <w:rPr>
          <w:rFonts w:hint="cs"/>
          <w:sz w:val="27"/>
          <w:rtl/>
          <w:lang w:bidi="ar-IQ"/>
        </w:rPr>
        <w:t>كثر من ارتباط المسيحية بالشعب ال</w:t>
      </w:r>
      <w:r w:rsidR="00BC1B97" w:rsidRPr="00904FCB">
        <w:rPr>
          <w:rFonts w:hint="cs"/>
          <w:sz w:val="27"/>
          <w:rtl/>
          <w:lang w:bidi="ar-IQ"/>
        </w:rPr>
        <w:t>إ</w:t>
      </w:r>
      <w:r w:rsidRPr="00904FCB">
        <w:rPr>
          <w:rFonts w:hint="cs"/>
          <w:sz w:val="27"/>
          <w:rtl/>
          <w:lang w:bidi="ar-IQ"/>
        </w:rPr>
        <w:t>يطالي</w:t>
      </w:r>
      <w:r w:rsidR="00BC1B97" w:rsidRPr="00904FCB">
        <w:rPr>
          <w:rFonts w:hint="cs"/>
          <w:sz w:val="27"/>
          <w:rtl/>
          <w:lang w:bidi="ar-IQ"/>
        </w:rPr>
        <w:t>،</w:t>
      </w:r>
      <w:r w:rsidRPr="00904FCB">
        <w:rPr>
          <w:rFonts w:hint="cs"/>
          <w:sz w:val="27"/>
          <w:rtl/>
          <w:lang w:bidi="ar-IQ"/>
        </w:rPr>
        <w:t xml:space="preserve"> و</w:t>
      </w:r>
      <w:r w:rsidR="00BC1B97" w:rsidRPr="00904FCB">
        <w:rPr>
          <w:rFonts w:hint="cs"/>
          <w:sz w:val="27"/>
          <w:rtl/>
          <w:lang w:bidi="ar-IQ"/>
        </w:rPr>
        <w:t>أ</w:t>
      </w:r>
      <w:r w:rsidRPr="00904FCB">
        <w:rPr>
          <w:rFonts w:hint="cs"/>
          <w:sz w:val="27"/>
          <w:rtl/>
          <w:lang w:bidi="ar-IQ"/>
        </w:rPr>
        <w:t>كثر من ارتباط ال</w:t>
      </w:r>
      <w:r w:rsidR="00BC1B97" w:rsidRPr="00904FCB">
        <w:rPr>
          <w:rFonts w:hint="cs"/>
          <w:sz w:val="27"/>
          <w:rtl/>
          <w:lang w:bidi="ar-IQ"/>
        </w:rPr>
        <w:t>إ</w:t>
      </w:r>
      <w:r w:rsidRPr="00904FCB">
        <w:rPr>
          <w:rFonts w:hint="cs"/>
          <w:sz w:val="27"/>
          <w:rtl/>
          <w:lang w:bidi="ar-IQ"/>
        </w:rPr>
        <w:t>سلام بالعرب</w:t>
      </w:r>
      <w:r w:rsidR="00BC1B97" w:rsidRPr="00904FCB">
        <w:rPr>
          <w:rFonts w:hint="cs"/>
          <w:sz w:val="27"/>
          <w:rtl/>
          <w:lang w:bidi="ar-IQ"/>
        </w:rPr>
        <w:t>؛</w:t>
      </w:r>
      <w:r w:rsidRPr="00904FCB">
        <w:rPr>
          <w:rFonts w:hint="cs"/>
          <w:sz w:val="27"/>
          <w:rtl/>
          <w:lang w:bidi="ar-IQ"/>
        </w:rPr>
        <w:t xml:space="preserve"> ل</w:t>
      </w:r>
      <w:r w:rsidR="00BC1B97" w:rsidRPr="00904FCB">
        <w:rPr>
          <w:rFonts w:hint="cs"/>
          <w:sz w:val="27"/>
          <w:rtl/>
          <w:lang w:bidi="ar-IQ"/>
        </w:rPr>
        <w:t>أ</w:t>
      </w:r>
      <w:r w:rsidRPr="00904FCB">
        <w:rPr>
          <w:rFonts w:hint="cs"/>
          <w:sz w:val="27"/>
          <w:rtl/>
          <w:lang w:bidi="ar-IQ"/>
        </w:rPr>
        <w:t>ن الفوارق الاثني</w:t>
      </w:r>
      <w:r w:rsidR="00BC1B97" w:rsidRPr="00904FCB">
        <w:rPr>
          <w:rFonts w:hint="cs"/>
          <w:sz w:val="27"/>
          <w:rtl/>
          <w:lang w:bidi="ar-IQ"/>
        </w:rPr>
        <w:t>ّ</w:t>
      </w:r>
      <w:r w:rsidRPr="00904FCB">
        <w:rPr>
          <w:rFonts w:hint="cs"/>
          <w:sz w:val="27"/>
          <w:rtl/>
          <w:lang w:bidi="ar-IQ"/>
        </w:rPr>
        <w:t>ة معو</w:t>
      </w:r>
      <w:r w:rsidR="00BC1B97" w:rsidRPr="00904FCB">
        <w:rPr>
          <w:rFonts w:hint="cs"/>
          <w:sz w:val="27"/>
          <w:rtl/>
          <w:lang w:bidi="ar-IQ"/>
        </w:rPr>
        <w:t>ّق ديني</w:t>
      </w:r>
      <w:r w:rsidR="00D17AF6">
        <w:rPr>
          <w:rFonts w:hint="cs"/>
          <w:sz w:val="27"/>
          <w:rtl/>
          <w:lang w:bidi="ar-IQ"/>
        </w:rPr>
        <w:t>،</w:t>
      </w:r>
      <w:r w:rsidR="00BC1B97" w:rsidRPr="00904FCB">
        <w:rPr>
          <w:rFonts w:hint="cs"/>
          <w:sz w:val="27"/>
          <w:rtl/>
          <w:lang w:bidi="ar-IQ"/>
        </w:rPr>
        <w:t xml:space="preserve"> وسببٌ</w:t>
      </w:r>
      <w:r w:rsidRPr="00904FCB">
        <w:rPr>
          <w:rFonts w:hint="cs"/>
          <w:sz w:val="27"/>
          <w:rtl/>
          <w:lang w:bidi="ar-IQ"/>
        </w:rPr>
        <w:t xml:space="preserve"> من </w:t>
      </w:r>
      <w:r w:rsidR="00BC1B97" w:rsidRPr="00904FCB">
        <w:rPr>
          <w:rFonts w:hint="cs"/>
          <w:sz w:val="27"/>
          <w:rtl/>
          <w:lang w:bidi="ar-IQ"/>
        </w:rPr>
        <w:t>أ</w:t>
      </w:r>
      <w:r w:rsidRPr="00904FCB">
        <w:rPr>
          <w:rFonts w:hint="cs"/>
          <w:sz w:val="27"/>
          <w:rtl/>
          <w:lang w:bidi="ar-IQ"/>
        </w:rPr>
        <w:t>سباب تعدد الاجتهادات الدينية داخل الدين الواحد</w:t>
      </w:r>
      <w:r w:rsidR="0078554E" w:rsidRPr="00904FCB">
        <w:rPr>
          <w:rFonts w:hint="cs"/>
          <w:sz w:val="27"/>
          <w:rtl/>
          <w:lang w:bidi="ar-IQ"/>
        </w:rPr>
        <w:t>.</w:t>
      </w:r>
      <w:r w:rsidRPr="00904FCB">
        <w:rPr>
          <w:rFonts w:hint="cs"/>
          <w:sz w:val="27"/>
          <w:rtl/>
          <w:lang w:bidi="ar-IQ"/>
        </w:rPr>
        <w:t xml:space="preserve"> ف</w:t>
      </w:r>
      <w:r w:rsidR="0078554E" w:rsidRPr="00904FCB">
        <w:rPr>
          <w:rFonts w:hint="cs"/>
          <w:sz w:val="27"/>
          <w:rtl/>
          <w:lang w:bidi="ar-IQ"/>
        </w:rPr>
        <w:t>إ</w:t>
      </w:r>
      <w:r w:rsidRPr="00904FCB">
        <w:rPr>
          <w:rFonts w:hint="cs"/>
          <w:sz w:val="27"/>
          <w:rtl/>
          <w:lang w:bidi="ar-IQ"/>
        </w:rPr>
        <w:t>ن اليهود ير</w:t>
      </w:r>
      <w:r w:rsidR="0078554E" w:rsidRPr="00904FCB">
        <w:rPr>
          <w:rFonts w:hint="cs"/>
          <w:sz w:val="27"/>
          <w:rtl/>
          <w:lang w:bidi="ar-IQ"/>
        </w:rPr>
        <w:t>َ</w:t>
      </w:r>
      <w:r w:rsidRPr="00904FCB">
        <w:rPr>
          <w:rFonts w:hint="cs"/>
          <w:sz w:val="27"/>
          <w:rtl/>
          <w:lang w:bidi="ar-IQ"/>
        </w:rPr>
        <w:t>و</w:t>
      </w:r>
      <w:r w:rsidR="0078554E" w:rsidRPr="00904FCB">
        <w:rPr>
          <w:rFonts w:hint="cs"/>
          <w:sz w:val="27"/>
          <w:rtl/>
          <w:lang w:bidi="ar-IQ"/>
        </w:rPr>
        <w:t>ْ</w:t>
      </w:r>
      <w:r w:rsidRPr="00904FCB">
        <w:rPr>
          <w:rFonts w:hint="cs"/>
          <w:sz w:val="27"/>
          <w:rtl/>
          <w:lang w:bidi="ar-IQ"/>
        </w:rPr>
        <w:t xml:space="preserve">ن </w:t>
      </w:r>
      <w:r w:rsidR="0078554E" w:rsidRPr="00904FCB">
        <w:rPr>
          <w:rFonts w:hint="cs"/>
          <w:sz w:val="27"/>
          <w:rtl/>
          <w:lang w:bidi="ar-IQ"/>
        </w:rPr>
        <w:t>أ</w:t>
      </w:r>
      <w:r w:rsidRPr="00904FCB">
        <w:rPr>
          <w:rFonts w:hint="cs"/>
          <w:sz w:val="27"/>
          <w:rtl/>
          <w:lang w:bidi="ar-IQ"/>
        </w:rPr>
        <w:t>ن</w:t>
      </w:r>
      <w:r w:rsidR="00D17AF6">
        <w:rPr>
          <w:rFonts w:hint="cs"/>
          <w:sz w:val="27"/>
          <w:rtl/>
          <w:lang w:bidi="ar-IQ"/>
        </w:rPr>
        <w:t>ّ</w:t>
      </w:r>
      <w:r w:rsidRPr="00904FCB">
        <w:rPr>
          <w:rFonts w:hint="cs"/>
          <w:sz w:val="27"/>
          <w:rtl/>
          <w:lang w:bidi="ar-IQ"/>
        </w:rPr>
        <w:t xml:space="preserve"> كل</w:t>
      </w:r>
      <w:r w:rsidR="0078554E" w:rsidRPr="00904FCB">
        <w:rPr>
          <w:rFonts w:hint="cs"/>
          <w:sz w:val="27"/>
          <w:rtl/>
          <w:lang w:bidi="ar-IQ"/>
        </w:rPr>
        <w:t>ّ</w:t>
      </w:r>
      <w:r w:rsidRPr="00904FCB">
        <w:rPr>
          <w:rFonts w:hint="cs"/>
          <w:sz w:val="27"/>
          <w:rtl/>
          <w:lang w:bidi="ar-IQ"/>
        </w:rPr>
        <w:t xml:space="preserve"> قيمة دينية لا</w:t>
      </w:r>
      <w:r w:rsidR="0078554E" w:rsidRPr="00904FCB">
        <w:rPr>
          <w:rFonts w:hint="cs"/>
          <w:sz w:val="27"/>
          <w:rtl/>
          <w:lang w:bidi="ar-IQ"/>
        </w:rPr>
        <w:t xml:space="preserve"> </w:t>
      </w:r>
      <w:r w:rsidRPr="00904FCB">
        <w:rPr>
          <w:rFonts w:hint="cs"/>
          <w:sz w:val="27"/>
          <w:rtl/>
          <w:lang w:bidi="ar-IQ"/>
        </w:rPr>
        <w:t>ب</w:t>
      </w:r>
      <w:r w:rsidR="0078554E" w:rsidRPr="00904FCB">
        <w:rPr>
          <w:rFonts w:hint="cs"/>
          <w:sz w:val="27"/>
          <w:rtl/>
          <w:lang w:bidi="ar-IQ"/>
        </w:rPr>
        <w:t>ُ</w:t>
      </w:r>
      <w:r w:rsidRPr="00904FCB">
        <w:rPr>
          <w:rFonts w:hint="cs"/>
          <w:sz w:val="27"/>
          <w:rtl/>
          <w:lang w:bidi="ar-IQ"/>
        </w:rPr>
        <w:t>د</w:t>
      </w:r>
      <w:r w:rsidR="0078554E" w:rsidRPr="00904FCB">
        <w:rPr>
          <w:rFonts w:hint="cs"/>
          <w:sz w:val="27"/>
          <w:rtl/>
          <w:lang w:bidi="ar-IQ"/>
        </w:rPr>
        <w:t>َّ</w:t>
      </w:r>
      <w:r w:rsidRPr="00904FCB">
        <w:rPr>
          <w:rFonts w:hint="cs"/>
          <w:sz w:val="27"/>
          <w:rtl/>
          <w:lang w:bidi="ar-IQ"/>
        </w:rPr>
        <w:t xml:space="preserve"> </w:t>
      </w:r>
      <w:r w:rsidR="0078554E" w:rsidRPr="00904FCB">
        <w:rPr>
          <w:rFonts w:hint="cs"/>
          <w:sz w:val="27"/>
          <w:rtl/>
          <w:lang w:bidi="ar-IQ"/>
        </w:rPr>
        <w:t>أ</w:t>
      </w:r>
      <w:r w:rsidRPr="00904FCB">
        <w:rPr>
          <w:rFonts w:hint="cs"/>
          <w:sz w:val="27"/>
          <w:rtl/>
          <w:lang w:bidi="ar-IQ"/>
        </w:rPr>
        <w:t>ن تكون مرتبطة بالعرق وبالتاريخ</w:t>
      </w:r>
      <w:r w:rsidR="0078554E" w:rsidRPr="00904FCB">
        <w:rPr>
          <w:rFonts w:hint="cs"/>
          <w:sz w:val="27"/>
          <w:rtl/>
          <w:lang w:bidi="ar-IQ"/>
        </w:rPr>
        <w:t>،</w:t>
      </w:r>
      <w:r w:rsidRPr="00904FCB">
        <w:rPr>
          <w:rFonts w:hint="cs"/>
          <w:sz w:val="27"/>
          <w:rtl/>
          <w:lang w:bidi="ar-IQ"/>
        </w:rPr>
        <w:t xml:space="preserve"> وإن</w:t>
      </w:r>
      <w:r w:rsidR="00D17AF6">
        <w:rPr>
          <w:rFonts w:hint="cs"/>
          <w:sz w:val="27"/>
          <w:rtl/>
          <w:lang w:bidi="ar-IQ"/>
        </w:rPr>
        <w:t>ّ</w:t>
      </w:r>
      <w:r w:rsidRPr="00904FCB">
        <w:rPr>
          <w:rFonts w:hint="cs"/>
          <w:sz w:val="27"/>
          <w:rtl/>
          <w:lang w:bidi="ar-IQ"/>
        </w:rPr>
        <w:t xml:space="preserve"> الحقيقة الاجتماعية للشعب اليهودي ملتصقة بالتوراة</w:t>
      </w:r>
      <w:r w:rsidR="00D17AF6">
        <w:rPr>
          <w:rFonts w:hint="cs"/>
          <w:sz w:val="27"/>
          <w:rtl/>
          <w:lang w:bidi="ar-IQ"/>
        </w:rPr>
        <w:t xml:space="preserve">، </w:t>
      </w:r>
      <w:r w:rsidRPr="00904FCB">
        <w:rPr>
          <w:rFonts w:hint="cs"/>
          <w:sz w:val="27"/>
          <w:rtl/>
          <w:lang w:bidi="ar-IQ"/>
        </w:rPr>
        <w:t>وصانع</w:t>
      </w:r>
      <w:r w:rsidR="0078554E" w:rsidRPr="00904FCB">
        <w:rPr>
          <w:rFonts w:hint="cs"/>
          <w:sz w:val="27"/>
          <w:rtl/>
          <w:lang w:bidi="ar-IQ"/>
        </w:rPr>
        <w:t>ٌ</w:t>
      </w:r>
      <w:r w:rsidRPr="00904FCB">
        <w:rPr>
          <w:rFonts w:hint="cs"/>
          <w:sz w:val="27"/>
          <w:rtl/>
          <w:lang w:bidi="ar-IQ"/>
        </w:rPr>
        <w:t xml:space="preserve"> للتاريخ بالتلمود</w:t>
      </w:r>
      <w:r w:rsidR="0078554E" w:rsidRPr="00904FCB">
        <w:rPr>
          <w:rFonts w:hint="cs"/>
          <w:sz w:val="27"/>
          <w:rtl/>
          <w:lang w:bidi="ar-IQ"/>
        </w:rPr>
        <w:t>،</w:t>
      </w:r>
      <w:r w:rsidRPr="00904FCB">
        <w:rPr>
          <w:rFonts w:hint="cs"/>
          <w:sz w:val="27"/>
          <w:rtl/>
          <w:lang w:bidi="ar-IQ"/>
        </w:rPr>
        <w:t xml:space="preserve"> فتضاءلت فرصة الفصل بين الديني والدنيوي عندهم</w:t>
      </w:r>
      <w:r w:rsidR="0078554E" w:rsidRPr="00904FCB">
        <w:rPr>
          <w:rFonts w:hint="cs"/>
          <w:sz w:val="27"/>
          <w:rtl/>
          <w:lang w:bidi="ar-IQ"/>
        </w:rPr>
        <w:t>،</w:t>
      </w:r>
      <w:r w:rsidRPr="00904FCB">
        <w:rPr>
          <w:rFonts w:hint="cs"/>
          <w:sz w:val="27"/>
          <w:rtl/>
          <w:lang w:bidi="ar-IQ"/>
        </w:rPr>
        <w:t xml:space="preserve"> حتى أن</w:t>
      </w:r>
      <w:r w:rsidR="0078554E" w:rsidRPr="00904FCB">
        <w:rPr>
          <w:rFonts w:hint="cs"/>
          <w:sz w:val="27"/>
          <w:rtl/>
          <w:lang w:bidi="ar-IQ"/>
        </w:rPr>
        <w:t xml:space="preserve"> أ</w:t>
      </w:r>
      <w:r w:rsidRPr="00904FCB">
        <w:rPr>
          <w:rFonts w:hint="cs"/>
          <w:sz w:val="27"/>
          <w:rtl/>
          <w:lang w:bidi="ar-IQ"/>
        </w:rPr>
        <w:t xml:space="preserve">نبياء بني </w:t>
      </w:r>
      <w:r w:rsidR="0078554E" w:rsidRPr="00904FCB">
        <w:rPr>
          <w:rFonts w:hint="cs"/>
          <w:sz w:val="27"/>
          <w:rtl/>
          <w:lang w:bidi="ar-IQ"/>
        </w:rPr>
        <w:t>إ</w:t>
      </w:r>
      <w:r w:rsidRPr="00904FCB">
        <w:rPr>
          <w:rFonts w:hint="cs"/>
          <w:sz w:val="27"/>
          <w:rtl/>
          <w:lang w:bidi="ar-IQ"/>
        </w:rPr>
        <w:t>سرائيل فس</w:t>
      </w:r>
      <w:r w:rsidR="0078554E" w:rsidRPr="00904FCB">
        <w:rPr>
          <w:rFonts w:hint="cs"/>
          <w:sz w:val="27"/>
          <w:rtl/>
          <w:lang w:bidi="ar-IQ"/>
        </w:rPr>
        <w:t>ّ</w:t>
      </w:r>
      <w:r w:rsidRPr="00904FCB">
        <w:rPr>
          <w:rFonts w:hint="cs"/>
          <w:sz w:val="27"/>
          <w:rtl/>
          <w:lang w:bidi="ar-IQ"/>
        </w:rPr>
        <w:t>روا الهزائم التي م</w:t>
      </w:r>
      <w:r w:rsidR="00D17AF6">
        <w:rPr>
          <w:rFonts w:hint="cs"/>
          <w:sz w:val="27"/>
          <w:rtl/>
          <w:lang w:bidi="ar-IQ"/>
        </w:rPr>
        <w:t>ُ</w:t>
      </w:r>
      <w:r w:rsidRPr="00904FCB">
        <w:rPr>
          <w:rFonts w:hint="cs"/>
          <w:sz w:val="27"/>
          <w:rtl/>
          <w:lang w:bidi="ar-IQ"/>
        </w:rPr>
        <w:t>ن</w:t>
      </w:r>
      <w:r w:rsidR="00D17AF6">
        <w:rPr>
          <w:rFonts w:hint="cs"/>
          <w:sz w:val="27"/>
          <w:rtl/>
          <w:lang w:bidi="ar-IQ"/>
        </w:rPr>
        <w:t>ُ</w:t>
      </w:r>
      <w:r w:rsidRPr="00904FCB">
        <w:rPr>
          <w:rFonts w:hint="cs"/>
          <w:sz w:val="27"/>
          <w:rtl/>
          <w:lang w:bidi="ar-IQ"/>
        </w:rPr>
        <w:t xml:space="preserve">وا بها </w:t>
      </w:r>
      <w:r w:rsidR="00D17AF6">
        <w:rPr>
          <w:rFonts w:hint="cs"/>
          <w:sz w:val="27"/>
          <w:rtl/>
          <w:lang w:bidi="ar-IQ"/>
        </w:rPr>
        <w:t>ب</w:t>
      </w:r>
      <w:r w:rsidR="0078554E" w:rsidRPr="00904FCB">
        <w:rPr>
          <w:rFonts w:hint="cs"/>
          <w:sz w:val="27"/>
          <w:rtl/>
          <w:lang w:bidi="ar-IQ"/>
        </w:rPr>
        <w:t>أ</w:t>
      </w:r>
      <w:r w:rsidRPr="00904FCB">
        <w:rPr>
          <w:rFonts w:hint="cs"/>
          <w:sz w:val="27"/>
          <w:rtl/>
          <w:lang w:bidi="ar-IQ"/>
        </w:rPr>
        <w:t>ن</w:t>
      </w:r>
      <w:r w:rsidR="00D17AF6">
        <w:rPr>
          <w:rFonts w:hint="cs"/>
          <w:sz w:val="27"/>
          <w:rtl/>
          <w:lang w:bidi="ar-IQ"/>
        </w:rPr>
        <w:t>ّ</w:t>
      </w:r>
      <w:r w:rsidRPr="00904FCB">
        <w:rPr>
          <w:rFonts w:hint="cs"/>
          <w:sz w:val="27"/>
          <w:rtl/>
          <w:lang w:bidi="ar-IQ"/>
        </w:rPr>
        <w:t xml:space="preserve">ها نتائج فشل اليهود في تحقيق </w:t>
      </w:r>
      <w:r w:rsidR="0078554E" w:rsidRPr="00904FCB">
        <w:rPr>
          <w:rFonts w:hint="cs"/>
          <w:sz w:val="27"/>
          <w:rtl/>
          <w:lang w:bidi="ar-IQ"/>
        </w:rPr>
        <w:t>إ</w:t>
      </w:r>
      <w:r w:rsidRPr="00904FCB">
        <w:rPr>
          <w:rFonts w:hint="cs"/>
          <w:sz w:val="27"/>
          <w:rtl/>
          <w:lang w:bidi="ar-IQ"/>
        </w:rPr>
        <w:t>رادة الله، وبذلك لم ينفصل الدين عن التاريخ في انتصاراته</w:t>
      </w:r>
      <w:r w:rsidR="0078554E" w:rsidRPr="00904FCB">
        <w:rPr>
          <w:rFonts w:hint="cs"/>
          <w:sz w:val="27"/>
          <w:rtl/>
          <w:lang w:bidi="ar-IQ"/>
        </w:rPr>
        <w:t xml:space="preserve">، </w:t>
      </w:r>
      <w:r w:rsidRPr="00904FCB">
        <w:rPr>
          <w:rFonts w:hint="cs"/>
          <w:sz w:val="27"/>
          <w:rtl/>
          <w:lang w:bidi="ar-IQ"/>
        </w:rPr>
        <w:t xml:space="preserve">وحتى في </w:t>
      </w:r>
      <w:r w:rsidR="0078554E" w:rsidRPr="00904FCB">
        <w:rPr>
          <w:rFonts w:hint="cs"/>
          <w:sz w:val="27"/>
          <w:rtl/>
          <w:lang w:bidi="ar-IQ"/>
        </w:rPr>
        <w:t>إ</w:t>
      </w:r>
      <w:r w:rsidRPr="00904FCB">
        <w:rPr>
          <w:rFonts w:hint="cs"/>
          <w:sz w:val="27"/>
          <w:rtl/>
          <w:lang w:bidi="ar-IQ"/>
        </w:rPr>
        <w:t>خفاقاته</w:t>
      </w:r>
      <w:r w:rsidR="0078554E" w:rsidRPr="00904FCB">
        <w:rPr>
          <w:rFonts w:hint="cs"/>
          <w:sz w:val="27"/>
          <w:rtl/>
          <w:lang w:bidi="ar-IQ"/>
        </w:rPr>
        <w:t>.</w:t>
      </w:r>
      <w:r w:rsidRPr="00904FCB">
        <w:rPr>
          <w:rFonts w:hint="cs"/>
          <w:sz w:val="27"/>
          <w:rtl/>
          <w:lang w:bidi="ar-IQ"/>
        </w:rPr>
        <w:t xml:space="preserve"> فقد كان التاريخ كل</w:t>
      </w:r>
      <w:r w:rsidR="0078554E" w:rsidRPr="00904FCB">
        <w:rPr>
          <w:rFonts w:hint="cs"/>
          <w:sz w:val="27"/>
          <w:rtl/>
          <w:lang w:bidi="ar-IQ"/>
        </w:rPr>
        <w:t>ّ</w:t>
      </w:r>
      <w:r w:rsidRPr="00904FCB">
        <w:rPr>
          <w:rFonts w:hint="cs"/>
          <w:sz w:val="27"/>
          <w:rtl/>
          <w:lang w:bidi="ar-IQ"/>
        </w:rPr>
        <w:t>ه صانع</w:t>
      </w:r>
      <w:r w:rsidR="0078554E" w:rsidRPr="00904FCB">
        <w:rPr>
          <w:rFonts w:hint="cs"/>
          <w:sz w:val="27"/>
          <w:rtl/>
          <w:lang w:bidi="ar-IQ"/>
        </w:rPr>
        <w:t>اً</w:t>
      </w:r>
      <w:r w:rsidRPr="00904FCB">
        <w:rPr>
          <w:rFonts w:hint="cs"/>
          <w:sz w:val="27"/>
          <w:rtl/>
          <w:lang w:bidi="ar-IQ"/>
        </w:rPr>
        <w:t xml:space="preserve"> للدين</w:t>
      </w:r>
      <w:r w:rsidR="0078554E" w:rsidRPr="00904FCB">
        <w:rPr>
          <w:rFonts w:hint="cs"/>
          <w:sz w:val="27"/>
          <w:rtl/>
          <w:lang w:bidi="ar-IQ"/>
        </w:rPr>
        <w:t>،</w:t>
      </w:r>
      <w:r w:rsidRPr="00904FCB">
        <w:rPr>
          <w:rFonts w:hint="cs"/>
          <w:sz w:val="27"/>
          <w:rtl/>
          <w:lang w:bidi="ar-IQ"/>
        </w:rPr>
        <w:t xml:space="preserve"> والدين صانع</w:t>
      </w:r>
      <w:r w:rsidR="0078554E" w:rsidRPr="00904FCB">
        <w:rPr>
          <w:rFonts w:hint="cs"/>
          <w:sz w:val="27"/>
          <w:rtl/>
          <w:lang w:bidi="ar-IQ"/>
        </w:rPr>
        <w:t>ٌ</w:t>
      </w:r>
      <w:r w:rsidRPr="00904FCB">
        <w:rPr>
          <w:rFonts w:hint="cs"/>
          <w:sz w:val="27"/>
          <w:rtl/>
          <w:lang w:bidi="ar-IQ"/>
        </w:rPr>
        <w:t xml:space="preserve"> للتاريخ. </w:t>
      </w:r>
    </w:p>
    <w:p w:rsidR="00952E59" w:rsidRPr="00904FCB" w:rsidRDefault="00952E59" w:rsidP="007A21AA">
      <w:pPr>
        <w:spacing w:line="400" w:lineRule="exact"/>
        <w:rPr>
          <w:sz w:val="27"/>
          <w:rtl/>
          <w:lang w:bidi="ar-IQ"/>
        </w:rPr>
      </w:pPr>
      <w:r w:rsidRPr="00904FCB">
        <w:rPr>
          <w:rFonts w:hint="cs"/>
          <w:sz w:val="27"/>
          <w:rtl/>
          <w:lang w:bidi="ar-IQ"/>
        </w:rPr>
        <w:t xml:space="preserve">لقد </w:t>
      </w:r>
      <w:r w:rsidR="0078554E" w:rsidRPr="00904FCB">
        <w:rPr>
          <w:rFonts w:hint="cs"/>
          <w:sz w:val="27"/>
          <w:rtl/>
          <w:lang w:bidi="ar-IQ"/>
        </w:rPr>
        <w:t>أ</w:t>
      </w:r>
      <w:r w:rsidRPr="00904FCB">
        <w:rPr>
          <w:rFonts w:hint="cs"/>
          <w:sz w:val="27"/>
          <w:rtl/>
          <w:lang w:bidi="ar-IQ"/>
        </w:rPr>
        <w:t>دخلتهم تجربتهم التاريخية كما ير</w:t>
      </w:r>
      <w:r w:rsidR="0078554E" w:rsidRPr="00904FCB">
        <w:rPr>
          <w:rFonts w:hint="cs"/>
          <w:sz w:val="27"/>
          <w:rtl/>
          <w:lang w:bidi="ar-IQ"/>
        </w:rPr>
        <w:t>َ</w:t>
      </w:r>
      <w:r w:rsidRPr="00904FCB">
        <w:rPr>
          <w:rFonts w:hint="cs"/>
          <w:sz w:val="27"/>
          <w:rtl/>
          <w:lang w:bidi="ar-IQ"/>
        </w:rPr>
        <w:t>و</w:t>
      </w:r>
      <w:r w:rsidR="0078554E" w:rsidRPr="00904FCB">
        <w:rPr>
          <w:rFonts w:hint="cs"/>
          <w:sz w:val="27"/>
          <w:rtl/>
          <w:lang w:bidi="ar-IQ"/>
        </w:rPr>
        <w:t>ْ</w:t>
      </w:r>
      <w:r w:rsidRPr="00904FCB">
        <w:rPr>
          <w:rFonts w:hint="cs"/>
          <w:sz w:val="27"/>
          <w:rtl/>
          <w:lang w:bidi="ar-IQ"/>
        </w:rPr>
        <w:t>ن في علاقة تعاهدية مع الله (رب</w:t>
      </w:r>
      <w:r w:rsidR="0078554E" w:rsidRPr="00904FCB">
        <w:rPr>
          <w:rFonts w:hint="cs"/>
          <w:sz w:val="27"/>
          <w:rtl/>
          <w:lang w:bidi="ar-IQ"/>
        </w:rPr>
        <w:t>ّ</w:t>
      </w:r>
      <w:r w:rsidRPr="00904FCB">
        <w:rPr>
          <w:rFonts w:hint="cs"/>
          <w:sz w:val="27"/>
          <w:rtl/>
          <w:lang w:bidi="ar-IQ"/>
        </w:rPr>
        <w:t>هم)</w:t>
      </w:r>
      <w:r w:rsidR="0078554E" w:rsidRPr="00904FCB">
        <w:rPr>
          <w:rFonts w:hint="cs"/>
          <w:sz w:val="27"/>
          <w:rtl/>
          <w:lang w:bidi="ar-IQ"/>
        </w:rPr>
        <w:t>،</w:t>
      </w:r>
      <w:r w:rsidRPr="00904FCB">
        <w:rPr>
          <w:rFonts w:hint="cs"/>
          <w:sz w:val="27"/>
          <w:rtl/>
          <w:lang w:bidi="ar-IQ"/>
        </w:rPr>
        <w:t xml:space="preserve"> وهي علاقة خاص</w:t>
      </w:r>
      <w:r w:rsidR="0078554E" w:rsidRPr="00904FCB">
        <w:rPr>
          <w:rFonts w:hint="cs"/>
          <w:sz w:val="27"/>
          <w:rtl/>
          <w:lang w:bidi="ar-IQ"/>
        </w:rPr>
        <w:t>ّ</w:t>
      </w:r>
      <w:r w:rsidRPr="00904FCB">
        <w:rPr>
          <w:rFonts w:hint="cs"/>
          <w:sz w:val="27"/>
          <w:rtl/>
          <w:lang w:bidi="ar-IQ"/>
        </w:rPr>
        <w:t>ة</w:t>
      </w:r>
      <w:r w:rsidR="0078554E" w:rsidRPr="00904FCB">
        <w:rPr>
          <w:rFonts w:hint="cs"/>
          <w:sz w:val="27"/>
          <w:rtl/>
          <w:lang w:bidi="ar-IQ"/>
        </w:rPr>
        <w:t>،</w:t>
      </w:r>
      <w:r w:rsidRPr="00904FCB">
        <w:rPr>
          <w:rFonts w:hint="cs"/>
          <w:sz w:val="27"/>
          <w:rtl/>
          <w:lang w:bidi="ar-IQ"/>
        </w:rPr>
        <w:t xml:space="preserve"> وسارية المفعول</w:t>
      </w:r>
      <w:r w:rsidR="0078554E" w:rsidRPr="00904FCB">
        <w:rPr>
          <w:rFonts w:hint="cs"/>
          <w:sz w:val="27"/>
          <w:rtl/>
          <w:lang w:bidi="ar-IQ"/>
        </w:rPr>
        <w:t>،</w:t>
      </w:r>
      <w:r w:rsidRPr="00904FCB">
        <w:rPr>
          <w:rFonts w:hint="cs"/>
          <w:sz w:val="27"/>
          <w:rtl/>
          <w:lang w:bidi="ar-IQ"/>
        </w:rPr>
        <w:t xml:space="preserve"> وشبيهة بعهد الله للطبيعة</w:t>
      </w:r>
      <w:r w:rsidRPr="00904FCB">
        <w:rPr>
          <w:rFonts w:hint="cs"/>
          <w:sz w:val="27"/>
          <w:vertAlign w:val="superscript"/>
          <w:rtl/>
          <w:lang w:bidi="ar-IQ"/>
        </w:rPr>
        <w:t>(</w:t>
      </w:r>
      <w:r w:rsidRPr="00904FCB">
        <w:rPr>
          <w:rStyle w:val="ac"/>
          <w:sz w:val="27"/>
          <w:rtl/>
          <w:lang w:bidi="ar-IQ"/>
        </w:rPr>
        <w:endnoteReference w:id="304"/>
      </w:r>
      <w:r w:rsidRPr="00904FCB">
        <w:rPr>
          <w:rFonts w:hint="cs"/>
          <w:sz w:val="27"/>
          <w:vertAlign w:val="superscript"/>
          <w:rtl/>
          <w:lang w:bidi="ar-IQ"/>
        </w:rPr>
        <w:t>)</w:t>
      </w:r>
      <w:r w:rsidR="0078554E" w:rsidRPr="00904FCB">
        <w:rPr>
          <w:rFonts w:hint="cs"/>
          <w:sz w:val="27"/>
          <w:rtl/>
          <w:lang w:bidi="ar-IQ"/>
        </w:rPr>
        <w:t>،</w:t>
      </w:r>
      <w:r w:rsidRPr="00904FCB">
        <w:rPr>
          <w:rFonts w:hint="cs"/>
          <w:sz w:val="27"/>
          <w:rtl/>
          <w:lang w:bidi="ar-IQ"/>
        </w:rPr>
        <w:t xml:space="preserve"> بحيث لو كفر اليهودي فلا يخل</w:t>
      </w:r>
      <w:r w:rsidR="0078554E" w:rsidRPr="00904FCB">
        <w:rPr>
          <w:rFonts w:hint="cs"/>
          <w:sz w:val="27"/>
          <w:rtl/>
          <w:lang w:bidi="ar-IQ"/>
        </w:rPr>
        <w:t>ّ</w:t>
      </w:r>
      <w:r w:rsidRPr="00904FCB">
        <w:rPr>
          <w:rFonts w:hint="cs"/>
          <w:sz w:val="27"/>
          <w:rtl/>
          <w:lang w:bidi="ar-IQ"/>
        </w:rPr>
        <w:t xml:space="preserve"> الكفر بذلك العهد</w:t>
      </w:r>
      <w:r w:rsidR="0078554E" w:rsidRPr="00904FCB">
        <w:rPr>
          <w:rFonts w:hint="cs"/>
          <w:sz w:val="27"/>
          <w:rtl/>
          <w:lang w:bidi="ar-IQ"/>
        </w:rPr>
        <w:t>،</w:t>
      </w:r>
      <w:r w:rsidRPr="00904FCB">
        <w:rPr>
          <w:rFonts w:hint="cs"/>
          <w:sz w:val="27"/>
          <w:rtl/>
          <w:lang w:bidi="ar-IQ"/>
        </w:rPr>
        <w:t xml:space="preserve"> </w:t>
      </w:r>
      <w:r w:rsidR="0078554E" w:rsidRPr="00904FCB">
        <w:rPr>
          <w:rFonts w:hint="cs"/>
          <w:sz w:val="27"/>
          <w:rtl/>
          <w:lang w:bidi="ar-IQ"/>
        </w:rPr>
        <w:t>إ</w:t>
      </w:r>
      <w:r w:rsidRPr="00904FCB">
        <w:rPr>
          <w:rFonts w:hint="cs"/>
          <w:sz w:val="27"/>
          <w:rtl/>
          <w:lang w:bidi="ar-IQ"/>
        </w:rPr>
        <w:t>ن</w:t>
      </w:r>
      <w:r w:rsidR="00D17AF6">
        <w:rPr>
          <w:rFonts w:hint="cs"/>
          <w:sz w:val="27"/>
          <w:rtl/>
          <w:lang w:bidi="ar-IQ"/>
        </w:rPr>
        <w:t>ّ</w:t>
      </w:r>
      <w:r w:rsidRPr="00904FCB">
        <w:rPr>
          <w:rFonts w:hint="cs"/>
          <w:sz w:val="27"/>
          <w:rtl/>
          <w:lang w:bidi="ar-IQ"/>
        </w:rPr>
        <w:t>ما ي</w:t>
      </w:r>
      <w:r w:rsidR="00D17AF6">
        <w:rPr>
          <w:rFonts w:hint="cs"/>
          <w:sz w:val="27"/>
          <w:rtl/>
          <w:lang w:bidi="ar-IQ"/>
        </w:rPr>
        <w:t>ُ</w:t>
      </w:r>
      <w:r w:rsidRPr="00904FCB">
        <w:rPr>
          <w:rFonts w:hint="cs"/>
          <w:sz w:val="27"/>
          <w:rtl/>
          <w:lang w:bidi="ar-IQ"/>
        </w:rPr>
        <w:t>حاس</w:t>
      </w:r>
      <w:r w:rsidR="0078554E" w:rsidRPr="00904FCB">
        <w:rPr>
          <w:rFonts w:hint="cs"/>
          <w:sz w:val="27"/>
          <w:rtl/>
          <w:lang w:bidi="ar-IQ"/>
        </w:rPr>
        <w:t>َ</w:t>
      </w:r>
      <w:r w:rsidRPr="00904FCB">
        <w:rPr>
          <w:rFonts w:hint="cs"/>
          <w:sz w:val="27"/>
          <w:rtl/>
          <w:lang w:bidi="ar-IQ"/>
        </w:rPr>
        <w:t>ب كعاص</w:t>
      </w:r>
      <w:r w:rsidR="0078554E" w:rsidRPr="00904FCB">
        <w:rPr>
          <w:rFonts w:hint="cs"/>
          <w:sz w:val="27"/>
          <w:rtl/>
          <w:lang w:bidi="ar-IQ"/>
        </w:rPr>
        <w:t>ٍ</w:t>
      </w:r>
      <w:r w:rsidRPr="00904FCB">
        <w:rPr>
          <w:rFonts w:hint="cs"/>
          <w:sz w:val="27"/>
          <w:rtl/>
          <w:lang w:bidi="ar-IQ"/>
        </w:rPr>
        <w:t>، ولايخرج عن اليهودية</w:t>
      </w:r>
      <w:r w:rsidR="0078554E" w:rsidRPr="00904FCB">
        <w:rPr>
          <w:rFonts w:hint="cs"/>
          <w:sz w:val="27"/>
          <w:rtl/>
          <w:lang w:bidi="ar-IQ"/>
        </w:rPr>
        <w:t>.</w:t>
      </w:r>
      <w:r w:rsidRPr="00904FCB">
        <w:rPr>
          <w:rFonts w:hint="cs"/>
          <w:sz w:val="27"/>
          <w:rtl/>
          <w:lang w:bidi="ar-IQ"/>
        </w:rPr>
        <w:t xml:space="preserve"> و</w:t>
      </w:r>
      <w:r w:rsidR="0078554E" w:rsidRPr="00904FCB">
        <w:rPr>
          <w:rFonts w:hint="cs"/>
          <w:sz w:val="27"/>
          <w:rtl/>
          <w:lang w:bidi="ar-IQ"/>
        </w:rPr>
        <w:t>إ</w:t>
      </w:r>
      <w:r w:rsidRPr="00904FCB">
        <w:rPr>
          <w:rFonts w:hint="cs"/>
          <w:sz w:val="27"/>
          <w:rtl/>
          <w:lang w:bidi="ar-IQ"/>
        </w:rPr>
        <w:t xml:space="preserve">ن اليهود يشاركون الله المسؤولية في </w:t>
      </w:r>
      <w:r w:rsidR="0078554E" w:rsidRPr="00904FCB">
        <w:rPr>
          <w:rFonts w:hint="cs"/>
          <w:sz w:val="27"/>
          <w:rtl/>
          <w:lang w:bidi="ar-IQ"/>
        </w:rPr>
        <w:t>إ</w:t>
      </w:r>
      <w:r w:rsidRPr="00904FCB">
        <w:rPr>
          <w:rFonts w:hint="cs"/>
          <w:sz w:val="27"/>
          <w:rtl/>
          <w:lang w:bidi="ar-IQ"/>
        </w:rPr>
        <w:t>دارة ال</w:t>
      </w:r>
      <w:r w:rsidR="0078554E" w:rsidRPr="00904FCB">
        <w:rPr>
          <w:rFonts w:hint="cs"/>
          <w:sz w:val="27"/>
          <w:rtl/>
          <w:lang w:bidi="ar-IQ"/>
        </w:rPr>
        <w:t>أ</w:t>
      </w:r>
      <w:r w:rsidRPr="00904FCB">
        <w:rPr>
          <w:rFonts w:hint="cs"/>
          <w:sz w:val="27"/>
          <w:rtl/>
          <w:lang w:bidi="ar-IQ"/>
        </w:rPr>
        <w:t>رض والعالم</w:t>
      </w:r>
      <w:r w:rsidR="0078554E" w:rsidRPr="00904FCB">
        <w:rPr>
          <w:rFonts w:hint="cs"/>
          <w:sz w:val="27"/>
          <w:rtl/>
          <w:lang w:bidi="ar-IQ"/>
        </w:rPr>
        <w:t>،</w:t>
      </w:r>
      <w:r w:rsidRPr="00904FCB">
        <w:rPr>
          <w:rFonts w:hint="cs"/>
          <w:sz w:val="27"/>
          <w:rtl/>
          <w:lang w:bidi="ar-IQ"/>
        </w:rPr>
        <w:t xml:space="preserve"> ويشاركون في ملكية ثرواته</w:t>
      </w:r>
      <w:r w:rsidR="0078554E" w:rsidRPr="00904FCB">
        <w:rPr>
          <w:rFonts w:hint="cs"/>
          <w:sz w:val="27"/>
          <w:rtl/>
          <w:lang w:bidi="ar-IQ"/>
        </w:rPr>
        <w:t>،</w:t>
      </w:r>
      <w:r w:rsidRPr="00904FCB">
        <w:rPr>
          <w:rFonts w:hint="cs"/>
          <w:sz w:val="27"/>
          <w:rtl/>
          <w:lang w:bidi="ar-IQ"/>
        </w:rPr>
        <w:t xml:space="preserve"> مع ضرورة الاستجابة لله بسماعه وطاعته وال</w:t>
      </w:r>
      <w:r w:rsidR="0078554E" w:rsidRPr="00904FCB">
        <w:rPr>
          <w:rFonts w:hint="cs"/>
          <w:sz w:val="27"/>
          <w:rtl/>
          <w:lang w:bidi="ar-IQ"/>
        </w:rPr>
        <w:t>إ</w:t>
      </w:r>
      <w:r w:rsidRPr="00904FCB">
        <w:rPr>
          <w:rFonts w:hint="cs"/>
          <w:sz w:val="27"/>
          <w:rtl/>
          <w:lang w:bidi="ar-IQ"/>
        </w:rPr>
        <w:t>صغاء</w:t>
      </w:r>
      <w:r w:rsidR="0078554E" w:rsidRPr="00904FCB">
        <w:rPr>
          <w:rFonts w:hint="cs"/>
          <w:sz w:val="27"/>
          <w:rtl/>
          <w:lang w:bidi="ar-IQ"/>
        </w:rPr>
        <w:t>؛</w:t>
      </w:r>
      <w:r w:rsidRPr="00904FCB">
        <w:rPr>
          <w:rFonts w:hint="cs"/>
          <w:sz w:val="27"/>
          <w:rtl/>
          <w:lang w:bidi="ar-IQ"/>
        </w:rPr>
        <w:t xml:space="preserve"> ل</w:t>
      </w:r>
      <w:r w:rsidR="0078554E" w:rsidRPr="00904FCB">
        <w:rPr>
          <w:rFonts w:hint="cs"/>
          <w:sz w:val="27"/>
          <w:rtl/>
          <w:lang w:bidi="ar-IQ"/>
        </w:rPr>
        <w:t>أ</w:t>
      </w:r>
      <w:r w:rsidRPr="00904FCB">
        <w:rPr>
          <w:rFonts w:hint="cs"/>
          <w:sz w:val="27"/>
          <w:rtl/>
          <w:lang w:bidi="ar-IQ"/>
        </w:rPr>
        <w:t xml:space="preserve">جل تحقيق </w:t>
      </w:r>
      <w:r w:rsidR="0078554E" w:rsidRPr="00904FCB">
        <w:rPr>
          <w:rFonts w:hint="cs"/>
          <w:sz w:val="27"/>
          <w:rtl/>
          <w:lang w:bidi="ar-IQ"/>
        </w:rPr>
        <w:t>إ</w:t>
      </w:r>
      <w:r w:rsidRPr="00904FCB">
        <w:rPr>
          <w:rFonts w:hint="cs"/>
          <w:sz w:val="27"/>
          <w:rtl/>
          <w:lang w:bidi="ar-IQ"/>
        </w:rPr>
        <w:t>رادة الله</w:t>
      </w:r>
      <w:r w:rsidR="0078554E" w:rsidRPr="00904FCB">
        <w:rPr>
          <w:rFonts w:hint="cs"/>
          <w:sz w:val="27"/>
          <w:rtl/>
          <w:lang w:bidi="ar-IQ"/>
        </w:rPr>
        <w:t>.</w:t>
      </w:r>
      <w:r w:rsidRPr="00904FCB">
        <w:rPr>
          <w:rFonts w:hint="cs"/>
          <w:sz w:val="27"/>
          <w:rtl/>
          <w:lang w:bidi="ar-IQ"/>
        </w:rPr>
        <w:t xml:space="preserve"> فالعلاقة مع الله علاقة انصياع</w:t>
      </w:r>
      <w:r w:rsidR="0078554E" w:rsidRPr="00904FCB">
        <w:rPr>
          <w:rFonts w:hint="cs"/>
          <w:sz w:val="27"/>
          <w:rtl/>
          <w:lang w:bidi="ar-IQ"/>
        </w:rPr>
        <w:t>ٍ</w:t>
      </w:r>
      <w:r w:rsidRPr="00904FCB">
        <w:rPr>
          <w:rFonts w:hint="cs"/>
          <w:sz w:val="27"/>
          <w:rtl/>
          <w:lang w:bidi="ar-IQ"/>
        </w:rPr>
        <w:t xml:space="preserve"> محض. </w:t>
      </w:r>
    </w:p>
    <w:p w:rsidR="00952E59" w:rsidRPr="00904FCB" w:rsidRDefault="00952E59" w:rsidP="007A21AA">
      <w:pPr>
        <w:spacing w:line="400" w:lineRule="exact"/>
        <w:rPr>
          <w:sz w:val="27"/>
          <w:rtl/>
          <w:lang w:bidi="ar-IQ"/>
        </w:rPr>
      </w:pPr>
      <w:r w:rsidRPr="00904FCB">
        <w:rPr>
          <w:rFonts w:hint="cs"/>
          <w:sz w:val="27"/>
          <w:rtl/>
          <w:lang w:bidi="ar-IQ"/>
        </w:rPr>
        <w:t>بعكس الرؤية ال</w:t>
      </w:r>
      <w:r w:rsidR="0078554E" w:rsidRPr="00904FCB">
        <w:rPr>
          <w:rFonts w:hint="cs"/>
          <w:sz w:val="27"/>
          <w:rtl/>
          <w:lang w:bidi="ar-IQ"/>
        </w:rPr>
        <w:t>إ</w:t>
      </w:r>
      <w:r w:rsidRPr="00904FCB">
        <w:rPr>
          <w:rFonts w:hint="cs"/>
          <w:sz w:val="27"/>
          <w:rtl/>
          <w:lang w:bidi="ar-IQ"/>
        </w:rPr>
        <w:t>غريقية التي تقر</w:t>
      </w:r>
      <w:r w:rsidR="0078554E" w:rsidRPr="00904FCB">
        <w:rPr>
          <w:rFonts w:hint="cs"/>
          <w:sz w:val="27"/>
          <w:rtl/>
          <w:lang w:bidi="ar-IQ"/>
        </w:rPr>
        <w:t>ِّ</w:t>
      </w:r>
      <w:r w:rsidRPr="00904FCB">
        <w:rPr>
          <w:rFonts w:hint="cs"/>
          <w:sz w:val="27"/>
          <w:rtl/>
          <w:lang w:bidi="ar-IQ"/>
        </w:rPr>
        <w:t xml:space="preserve">ر </w:t>
      </w:r>
      <w:r w:rsidR="0078554E" w:rsidRPr="00904FCB">
        <w:rPr>
          <w:rFonts w:hint="cs"/>
          <w:sz w:val="27"/>
          <w:rtl/>
          <w:lang w:bidi="ar-IQ"/>
        </w:rPr>
        <w:t>أ</w:t>
      </w:r>
      <w:r w:rsidRPr="00904FCB">
        <w:rPr>
          <w:rFonts w:hint="cs"/>
          <w:sz w:val="27"/>
          <w:rtl/>
          <w:lang w:bidi="ar-IQ"/>
        </w:rPr>
        <w:t>ن ال</w:t>
      </w:r>
      <w:r w:rsidR="0078554E" w:rsidRPr="00904FCB">
        <w:rPr>
          <w:rFonts w:hint="cs"/>
          <w:sz w:val="27"/>
          <w:rtl/>
          <w:lang w:bidi="ar-IQ"/>
        </w:rPr>
        <w:t>إ</w:t>
      </w:r>
      <w:r w:rsidRPr="00904FCB">
        <w:rPr>
          <w:rFonts w:hint="cs"/>
          <w:sz w:val="27"/>
          <w:rtl/>
          <w:lang w:bidi="ar-IQ"/>
        </w:rPr>
        <w:t xml:space="preserve">صغاء </w:t>
      </w:r>
      <w:r w:rsidR="0078554E" w:rsidRPr="00904FCB">
        <w:rPr>
          <w:rFonts w:hint="cs"/>
          <w:sz w:val="27"/>
          <w:rtl/>
          <w:lang w:bidi="ar-IQ"/>
        </w:rPr>
        <w:t>إ</w:t>
      </w:r>
      <w:r w:rsidRPr="00904FCB">
        <w:rPr>
          <w:rFonts w:hint="cs"/>
          <w:sz w:val="27"/>
          <w:rtl/>
          <w:lang w:bidi="ar-IQ"/>
        </w:rPr>
        <w:t>ليه ل</w:t>
      </w:r>
      <w:r w:rsidR="0078554E" w:rsidRPr="00904FCB">
        <w:rPr>
          <w:rFonts w:hint="cs"/>
          <w:sz w:val="27"/>
          <w:rtl/>
          <w:lang w:bidi="ar-IQ"/>
        </w:rPr>
        <w:t>أ</w:t>
      </w:r>
      <w:r w:rsidRPr="00904FCB">
        <w:rPr>
          <w:rFonts w:hint="cs"/>
          <w:sz w:val="27"/>
          <w:rtl/>
          <w:lang w:bidi="ar-IQ"/>
        </w:rPr>
        <w:t>جل الت</w:t>
      </w:r>
      <w:r w:rsidR="0078554E" w:rsidRPr="00904FCB">
        <w:rPr>
          <w:rFonts w:hint="cs"/>
          <w:sz w:val="27"/>
          <w:rtl/>
          <w:lang w:bidi="ar-IQ"/>
        </w:rPr>
        <w:t>أ</w:t>
      </w:r>
      <w:r w:rsidRPr="00904FCB">
        <w:rPr>
          <w:rFonts w:hint="cs"/>
          <w:sz w:val="27"/>
          <w:rtl/>
          <w:lang w:bidi="ar-IQ"/>
        </w:rPr>
        <w:t>م</w:t>
      </w:r>
      <w:r w:rsidR="00D17AF6">
        <w:rPr>
          <w:rFonts w:hint="cs"/>
          <w:sz w:val="27"/>
          <w:rtl/>
          <w:lang w:bidi="ar-IQ"/>
        </w:rPr>
        <w:t>ُّ</w:t>
      </w:r>
      <w:r w:rsidRPr="00904FCB">
        <w:rPr>
          <w:rFonts w:hint="cs"/>
          <w:sz w:val="27"/>
          <w:rtl/>
          <w:lang w:bidi="ar-IQ"/>
        </w:rPr>
        <w:t>ل والاحتكام للعقل، وليس فقط لأعمال ال</w:t>
      </w:r>
      <w:r w:rsidR="0078554E" w:rsidRPr="00904FCB">
        <w:rPr>
          <w:rFonts w:hint="cs"/>
          <w:sz w:val="27"/>
          <w:rtl/>
          <w:lang w:bidi="ar-IQ"/>
        </w:rPr>
        <w:t>إ</w:t>
      </w:r>
      <w:r w:rsidRPr="00904FCB">
        <w:rPr>
          <w:rFonts w:hint="cs"/>
          <w:sz w:val="27"/>
          <w:rtl/>
          <w:lang w:bidi="ar-IQ"/>
        </w:rPr>
        <w:t>يمان</w:t>
      </w:r>
      <w:r w:rsidR="0078554E" w:rsidRPr="00904FCB">
        <w:rPr>
          <w:rFonts w:hint="cs"/>
          <w:sz w:val="27"/>
          <w:rtl/>
          <w:lang w:bidi="ar-IQ"/>
        </w:rPr>
        <w:t>.</w:t>
      </w:r>
      <w:r w:rsidRPr="00904FCB">
        <w:rPr>
          <w:rFonts w:hint="cs"/>
          <w:sz w:val="27"/>
          <w:rtl/>
          <w:lang w:bidi="ar-IQ"/>
        </w:rPr>
        <w:t xml:space="preserve"> لذلك كانت الشعائر اليهودية شحنة من الحيوية تتخل</w:t>
      </w:r>
      <w:r w:rsidR="00347C4D" w:rsidRPr="00904FCB">
        <w:rPr>
          <w:rFonts w:hint="cs"/>
          <w:sz w:val="27"/>
          <w:rtl/>
          <w:lang w:bidi="ar-IQ"/>
        </w:rPr>
        <w:t>ّ</w:t>
      </w:r>
      <w:r w:rsidRPr="00904FCB">
        <w:rPr>
          <w:rFonts w:hint="cs"/>
          <w:sz w:val="27"/>
          <w:rtl/>
          <w:lang w:bidi="ar-IQ"/>
        </w:rPr>
        <w:t>ل في العلاقة بين ال</w:t>
      </w:r>
      <w:r w:rsidR="00347C4D" w:rsidRPr="00904FCB">
        <w:rPr>
          <w:rFonts w:hint="cs"/>
          <w:sz w:val="27"/>
          <w:rtl/>
          <w:lang w:bidi="ar-IQ"/>
        </w:rPr>
        <w:t>إ</w:t>
      </w:r>
      <w:r w:rsidRPr="00904FCB">
        <w:rPr>
          <w:rFonts w:hint="cs"/>
          <w:sz w:val="27"/>
          <w:rtl/>
          <w:lang w:bidi="ar-IQ"/>
        </w:rPr>
        <w:t>نسان والدين</w:t>
      </w:r>
      <w:r w:rsidR="00347C4D" w:rsidRPr="00904FCB">
        <w:rPr>
          <w:rFonts w:hint="cs"/>
          <w:sz w:val="27"/>
          <w:rtl/>
          <w:lang w:bidi="ar-IQ"/>
        </w:rPr>
        <w:t>،</w:t>
      </w:r>
      <w:r w:rsidRPr="00904FCB">
        <w:rPr>
          <w:rFonts w:hint="cs"/>
          <w:sz w:val="27"/>
          <w:rtl/>
          <w:lang w:bidi="ar-IQ"/>
        </w:rPr>
        <w:t xml:space="preserve"> وهي في ذات الوقت استعادة و</w:t>
      </w:r>
      <w:r w:rsidR="00347C4D" w:rsidRPr="00904FCB">
        <w:rPr>
          <w:rFonts w:hint="cs"/>
          <w:sz w:val="27"/>
          <w:rtl/>
          <w:lang w:bidi="ar-IQ"/>
        </w:rPr>
        <w:t>ا</w:t>
      </w:r>
      <w:r w:rsidRPr="00904FCB">
        <w:rPr>
          <w:rFonts w:hint="cs"/>
          <w:sz w:val="27"/>
          <w:rtl/>
          <w:lang w:bidi="ar-IQ"/>
        </w:rPr>
        <w:t>ستذكار لل</w:t>
      </w:r>
      <w:r w:rsidR="00347C4D" w:rsidRPr="00904FCB">
        <w:rPr>
          <w:rFonts w:hint="cs"/>
          <w:sz w:val="27"/>
          <w:rtl/>
          <w:lang w:bidi="ar-IQ"/>
        </w:rPr>
        <w:t>أ</w:t>
      </w:r>
      <w:r w:rsidRPr="00904FCB">
        <w:rPr>
          <w:rFonts w:hint="cs"/>
          <w:sz w:val="27"/>
          <w:rtl/>
          <w:lang w:bidi="ar-IQ"/>
        </w:rPr>
        <w:t>حداث التاريخية الكبرى في مسيرة التجربة الدينية للارتباط التام</w:t>
      </w:r>
      <w:r w:rsidR="00347C4D" w:rsidRPr="00904FCB">
        <w:rPr>
          <w:rFonts w:hint="cs"/>
          <w:sz w:val="27"/>
          <w:rtl/>
          <w:lang w:bidi="ar-IQ"/>
        </w:rPr>
        <w:t>ّ</w:t>
      </w:r>
      <w:r w:rsidRPr="00904FCB">
        <w:rPr>
          <w:rFonts w:hint="cs"/>
          <w:sz w:val="27"/>
          <w:rtl/>
          <w:lang w:bidi="ar-IQ"/>
        </w:rPr>
        <w:t xml:space="preserve"> بالماضي</w:t>
      </w:r>
      <w:r w:rsidR="00347C4D" w:rsidRPr="00904FCB">
        <w:rPr>
          <w:rFonts w:hint="cs"/>
          <w:sz w:val="27"/>
          <w:rtl/>
          <w:lang w:bidi="ar-IQ"/>
        </w:rPr>
        <w:t>.</w:t>
      </w:r>
      <w:r w:rsidRPr="00904FCB">
        <w:rPr>
          <w:rFonts w:hint="cs"/>
          <w:sz w:val="27"/>
          <w:rtl/>
          <w:lang w:bidi="ar-IQ"/>
        </w:rPr>
        <w:t xml:space="preserve"> ولكي </w:t>
      </w:r>
      <w:r w:rsidRPr="00904FCB">
        <w:rPr>
          <w:rFonts w:hint="cs"/>
          <w:sz w:val="27"/>
          <w:rtl/>
          <w:lang w:bidi="ar-IQ"/>
        </w:rPr>
        <w:lastRenderedPageBreak/>
        <w:t>يتعامل اليهود مع تاريخهم بوصفه مجموع المعاني النهائية ف</w:t>
      </w:r>
      <w:r w:rsidR="00347C4D" w:rsidRPr="00904FCB">
        <w:rPr>
          <w:rFonts w:hint="cs"/>
          <w:sz w:val="27"/>
          <w:rtl/>
          <w:lang w:bidi="ar-IQ"/>
        </w:rPr>
        <w:t>إ</w:t>
      </w:r>
      <w:r w:rsidRPr="00904FCB">
        <w:rPr>
          <w:rFonts w:hint="cs"/>
          <w:sz w:val="27"/>
          <w:rtl/>
          <w:lang w:bidi="ar-IQ"/>
        </w:rPr>
        <w:t>نهم يرتبطون به، حت</w:t>
      </w:r>
      <w:r w:rsidR="00347C4D" w:rsidRPr="00904FCB">
        <w:rPr>
          <w:rFonts w:hint="cs"/>
          <w:sz w:val="27"/>
          <w:rtl/>
          <w:lang w:bidi="ar-IQ"/>
        </w:rPr>
        <w:t>ّ</w:t>
      </w:r>
      <w:r w:rsidRPr="00904FCB">
        <w:rPr>
          <w:rFonts w:hint="cs"/>
          <w:sz w:val="27"/>
          <w:rtl/>
          <w:lang w:bidi="ar-IQ"/>
        </w:rPr>
        <w:t>ى ظن</w:t>
      </w:r>
      <w:r w:rsidR="00347C4D" w:rsidRPr="00904FCB">
        <w:rPr>
          <w:rFonts w:hint="cs"/>
          <w:sz w:val="27"/>
          <w:rtl/>
          <w:lang w:bidi="ar-IQ"/>
        </w:rPr>
        <w:t>ّ</w:t>
      </w:r>
      <w:r w:rsidRPr="00904FCB">
        <w:rPr>
          <w:rFonts w:hint="cs"/>
          <w:sz w:val="27"/>
          <w:rtl/>
          <w:lang w:bidi="ar-IQ"/>
        </w:rPr>
        <w:t xml:space="preserve"> </w:t>
      </w:r>
      <w:r w:rsidR="00347C4D" w:rsidRPr="00904FCB">
        <w:rPr>
          <w:rFonts w:hint="cs"/>
          <w:sz w:val="27"/>
          <w:rtl/>
          <w:lang w:bidi="ar-IQ"/>
        </w:rPr>
        <w:t>أ</w:t>
      </w:r>
      <w:r w:rsidRPr="00904FCB">
        <w:rPr>
          <w:rFonts w:hint="cs"/>
          <w:sz w:val="27"/>
          <w:rtl/>
          <w:lang w:bidi="ar-IQ"/>
        </w:rPr>
        <w:t>كثر من واحد</w:t>
      </w:r>
      <w:r w:rsidR="00347C4D" w:rsidRPr="00904FCB">
        <w:rPr>
          <w:rFonts w:hint="cs"/>
          <w:sz w:val="27"/>
          <w:rtl/>
          <w:lang w:bidi="ar-IQ"/>
        </w:rPr>
        <w:t>ٍ</w:t>
      </w:r>
      <w:r w:rsidRPr="00904FCB">
        <w:rPr>
          <w:rFonts w:hint="cs"/>
          <w:sz w:val="27"/>
          <w:rtl/>
          <w:lang w:bidi="ar-IQ"/>
        </w:rPr>
        <w:t xml:space="preserve"> </w:t>
      </w:r>
      <w:r w:rsidR="00347C4D" w:rsidRPr="00904FCB">
        <w:rPr>
          <w:rFonts w:hint="cs"/>
          <w:sz w:val="27"/>
          <w:rtl/>
          <w:lang w:bidi="ar-IQ"/>
        </w:rPr>
        <w:t>أ</w:t>
      </w:r>
      <w:r w:rsidRPr="00904FCB">
        <w:rPr>
          <w:rFonts w:hint="cs"/>
          <w:sz w:val="27"/>
          <w:rtl/>
          <w:lang w:bidi="ar-IQ"/>
        </w:rPr>
        <w:t>ن اليهودية دين</w:t>
      </w:r>
      <w:r w:rsidR="00347C4D" w:rsidRPr="00904FCB">
        <w:rPr>
          <w:rFonts w:hint="cs"/>
          <w:sz w:val="27"/>
          <w:rtl/>
          <w:lang w:bidi="ar-IQ"/>
        </w:rPr>
        <w:t>ٌ</w:t>
      </w:r>
      <w:r w:rsidRPr="00904FCB">
        <w:rPr>
          <w:rFonts w:hint="cs"/>
          <w:sz w:val="27"/>
          <w:rtl/>
          <w:lang w:bidi="ar-IQ"/>
        </w:rPr>
        <w:t xml:space="preserve"> يهتم</w:t>
      </w:r>
      <w:r w:rsidR="00347C4D" w:rsidRPr="00904FCB">
        <w:rPr>
          <w:rFonts w:hint="cs"/>
          <w:sz w:val="27"/>
          <w:rtl/>
          <w:lang w:bidi="ar-IQ"/>
        </w:rPr>
        <w:t>ّ</w:t>
      </w:r>
      <w:r w:rsidRPr="00904FCB">
        <w:rPr>
          <w:rFonts w:hint="cs"/>
          <w:sz w:val="27"/>
          <w:rtl/>
          <w:lang w:bidi="ar-IQ"/>
        </w:rPr>
        <w:t xml:space="preserve"> بتشكيل القواعد العرقية المجتمعية التي تربط بين الفعل ال</w:t>
      </w:r>
      <w:r w:rsidR="00347C4D" w:rsidRPr="00904FCB">
        <w:rPr>
          <w:rFonts w:hint="cs"/>
          <w:sz w:val="27"/>
          <w:rtl/>
          <w:lang w:bidi="ar-IQ"/>
        </w:rPr>
        <w:t>إ</w:t>
      </w:r>
      <w:r w:rsidRPr="00904FCB">
        <w:rPr>
          <w:rFonts w:hint="cs"/>
          <w:sz w:val="27"/>
          <w:rtl/>
          <w:lang w:bidi="ar-IQ"/>
        </w:rPr>
        <w:t>نساني والمشيئة ال</w:t>
      </w:r>
      <w:r w:rsidR="00347C4D" w:rsidRPr="00904FCB">
        <w:rPr>
          <w:rFonts w:hint="cs"/>
          <w:sz w:val="27"/>
          <w:rtl/>
          <w:lang w:bidi="ar-IQ"/>
        </w:rPr>
        <w:t>إ</w:t>
      </w:r>
      <w:r w:rsidRPr="00904FCB">
        <w:rPr>
          <w:rFonts w:hint="cs"/>
          <w:sz w:val="27"/>
          <w:rtl/>
          <w:lang w:bidi="ar-IQ"/>
        </w:rPr>
        <w:t xml:space="preserve">لهية، بمعنى </w:t>
      </w:r>
      <w:r w:rsidR="00347C4D" w:rsidRPr="00904FCB">
        <w:rPr>
          <w:rFonts w:hint="cs"/>
          <w:sz w:val="27"/>
          <w:rtl/>
          <w:lang w:bidi="ar-IQ"/>
        </w:rPr>
        <w:t>أ</w:t>
      </w:r>
      <w:r w:rsidRPr="00904FCB">
        <w:rPr>
          <w:rFonts w:hint="cs"/>
          <w:sz w:val="27"/>
          <w:rtl/>
          <w:lang w:bidi="ar-IQ"/>
        </w:rPr>
        <w:t xml:space="preserve">نه دين عملي تشريعي </w:t>
      </w:r>
      <w:r w:rsidR="00347C4D" w:rsidRPr="00904FCB">
        <w:rPr>
          <w:rFonts w:hint="cs"/>
          <w:sz w:val="27"/>
          <w:rtl/>
          <w:lang w:bidi="ar-IQ"/>
        </w:rPr>
        <w:t>أ</w:t>
      </w:r>
      <w:r w:rsidRPr="00904FCB">
        <w:rPr>
          <w:rFonts w:hint="cs"/>
          <w:sz w:val="27"/>
          <w:rtl/>
          <w:lang w:bidi="ar-IQ"/>
        </w:rPr>
        <w:t>كثر منه دين</w:t>
      </w:r>
      <w:r w:rsidR="00347C4D" w:rsidRPr="00904FCB">
        <w:rPr>
          <w:rFonts w:hint="cs"/>
          <w:sz w:val="27"/>
          <w:rtl/>
          <w:lang w:bidi="ar-IQ"/>
        </w:rPr>
        <w:t>اً</w:t>
      </w:r>
      <w:r w:rsidRPr="00904FCB">
        <w:rPr>
          <w:rFonts w:hint="cs"/>
          <w:sz w:val="27"/>
          <w:rtl/>
          <w:lang w:bidi="ar-IQ"/>
        </w:rPr>
        <w:t xml:space="preserve"> لاهوتي</w:t>
      </w:r>
      <w:r w:rsidR="00347C4D" w:rsidRPr="00904FCB">
        <w:rPr>
          <w:rFonts w:hint="cs"/>
          <w:sz w:val="27"/>
          <w:rtl/>
          <w:lang w:bidi="ar-IQ"/>
        </w:rPr>
        <w:t>اً.</w:t>
      </w:r>
      <w:r w:rsidRPr="00904FCB">
        <w:rPr>
          <w:rFonts w:hint="cs"/>
          <w:sz w:val="27"/>
          <w:rtl/>
          <w:lang w:bidi="ar-IQ"/>
        </w:rPr>
        <w:t xml:space="preserve"> فقد كان الرابيون مشر</w:t>
      </w:r>
      <w:r w:rsidR="00510624">
        <w:rPr>
          <w:rFonts w:hint="cs"/>
          <w:sz w:val="27"/>
          <w:rtl/>
          <w:lang w:bidi="ar-IQ"/>
        </w:rPr>
        <w:t>ِّ</w:t>
      </w:r>
      <w:r w:rsidRPr="00904FCB">
        <w:rPr>
          <w:rFonts w:hint="cs"/>
          <w:sz w:val="27"/>
          <w:rtl/>
          <w:lang w:bidi="ar-IQ"/>
        </w:rPr>
        <w:t>عين (</w:t>
      </w:r>
      <w:r w:rsidRPr="00904FCB">
        <w:rPr>
          <w:rFonts w:asciiTheme="majorBidi" w:hAnsiTheme="majorBidi" w:cstheme="majorBidi"/>
          <w:sz w:val="22"/>
          <w:szCs w:val="22"/>
          <w:lang w:bidi="fa-IR"/>
        </w:rPr>
        <w:t>Lawers</w:t>
      </w:r>
      <w:r w:rsidRPr="00904FCB">
        <w:rPr>
          <w:rFonts w:hint="cs"/>
          <w:sz w:val="27"/>
          <w:rtl/>
          <w:lang w:bidi="ar-IQ"/>
        </w:rPr>
        <w:t>)</w:t>
      </w:r>
      <w:r w:rsidR="00347C4D" w:rsidRPr="00904FCB">
        <w:rPr>
          <w:rFonts w:hint="cs"/>
          <w:sz w:val="27"/>
          <w:rtl/>
          <w:lang w:bidi="ar-IQ"/>
        </w:rPr>
        <w:t>،</w:t>
      </w:r>
      <w:r w:rsidRPr="00904FCB">
        <w:rPr>
          <w:rFonts w:hint="cs"/>
          <w:sz w:val="27"/>
          <w:rtl/>
          <w:lang w:bidi="ar-IQ"/>
        </w:rPr>
        <w:t xml:space="preserve"> حت</w:t>
      </w:r>
      <w:r w:rsidR="00347C4D" w:rsidRPr="00904FCB">
        <w:rPr>
          <w:rFonts w:hint="cs"/>
          <w:sz w:val="27"/>
          <w:rtl/>
          <w:lang w:bidi="ar-IQ"/>
        </w:rPr>
        <w:t>ّ</w:t>
      </w:r>
      <w:r w:rsidRPr="00904FCB">
        <w:rPr>
          <w:rFonts w:hint="cs"/>
          <w:sz w:val="27"/>
          <w:rtl/>
          <w:lang w:bidi="ar-IQ"/>
        </w:rPr>
        <w:t>ى شاعت المقولة الشهيرة</w:t>
      </w:r>
      <w:r w:rsidR="00347C4D" w:rsidRPr="00904FCB">
        <w:rPr>
          <w:rFonts w:hint="cs"/>
          <w:sz w:val="27"/>
          <w:rtl/>
          <w:lang w:bidi="ar-IQ"/>
        </w:rPr>
        <w:t>:</w:t>
      </w:r>
      <w:r w:rsidRPr="00904FCB">
        <w:rPr>
          <w:rFonts w:hint="cs"/>
          <w:sz w:val="27"/>
          <w:rtl/>
          <w:lang w:bidi="ar-IQ"/>
        </w:rPr>
        <w:t xml:space="preserve"> </w:t>
      </w:r>
      <w:r w:rsidR="00347C4D" w:rsidRPr="00904FCB">
        <w:rPr>
          <w:rFonts w:hint="cs"/>
          <w:sz w:val="27"/>
          <w:rtl/>
          <w:lang w:bidi="ar-IQ"/>
        </w:rPr>
        <w:t>إ</w:t>
      </w:r>
      <w:r w:rsidRPr="00904FCB">
        <w:rPr>
          <w:rFonts w:hint="cs"/>
          <w:sz w:val="27"/>
          <w:rtl/>
          <w:lang w:bidi="ar-IQ"/>
        </w:rPr>
        <w:t>ن اليهودية لا</w:t>
      </w:r>
      <w:r w:rsidR="00347C4D" w:rsidRPr="00904FCB">
        <w:rPr>
          <w:rFonts w:hint="cs"/>
          <w:sz w:val="27"/>
          <w:rtl/>
          <w:lang w:bidi="ar-IQ"/>
        </w:rPr>
        <w:t xml:space="preserve"> </w:t>
      </w:r>
      <w:r w:rsidRPr="00904FCB">
        <w:rPr>
          <w:rFonts w:hint="cs"/>
          <w:sz w:val="27"/>
          <w:rtl/>
          <w:lang w:bidi="ar-IQ"/>
        </w:rPr>
        <w:t>تهتم</w:t>
      </w:r>
      <w:r w:rsidR="00347C4D" w:rsidRPr="00904FCB">
        <w:rPr>
          <w:rFonts w:hint="cs"/>
          <w:sz w:val="27"/>
          <w:rtl/>
          <w:lang w:bidi="ar-IQ"/>
        </w:rPr>
        <w:t>ّ</w:t>
      </w:r>
      <w:r w:rsidRPr="00904FCB">
        <w:rPr>
          <w:rFonts w:hint="cs"/>
          <w:sz w:val="27"/>
          <w:rtl/>
          <w:lang w:bidi="ar-IQ"/>
        </w:rPr>
        <w:t xml:space="preserve"> بال</w:t>
      </w:r>
      <w:r w:rsidR="00347C4D" w:rsidRPr="00904FCB">
        <w:rPr>
          <w:rFonts w:hint="cs"/>
          <w:sz w:val="27"/>
          <w:rtl/>
          <w:lang w:bidi="ar-IQ"/>
        </w:rPr>
        <w:t>إ</w:t>
      </w:r>
      <w:r w:rsidRPr="00904FCB">
        <w:rPr>
          <w:rFonts w:hint="cs"/>
          <w:sz w:val="27"/>
          <w:rtl/>
          <w:lang w:bidi="ar-IQ"/>
        </w:rPr>
        <w:t>يمان الصحيح بقدر ما تهتم</w:t>
      </w:r>
      <w:r w:rsidR="00347C4D" w:rsidRPr="00904FCB">
        <w:rPr>
          <w:rFonts w:hint="cs"/>
          <w:sz w:val="27"/>
          <w:rtl/>
          <w:lang w:bidi="ar-IQ"/>
        </w:rPr>
        <w:t>ّ</w:t>
      </w:r>
      <w:r w:rsidRPr="00904FCB">
        <w:rPr>
          <w:rFonts w:hint="cs"/>
          <w:sz w:val="27"/>
          <w:rtl/>
          <w:lang w:bidi="ar-IQ"/>
        </w:rPr>
        <w:t xml:space="preserve"> بالفعل الصحيح. </w:t>
      </w:r>
    </w:p>
    <w:p w:rsidR="00952E59" w:rsidRPr="00904FCB" w:rsidRDefault="00952E59" w:rsidP="007A21AA">
      <w:pPr>
        <w:spacing w:line="400" w:lineRule="exact"/>
        <w:rPr>
          <w:sz w:val="27"/>
          <w:rtl/>
          <w:lang w:bidi="ar-IQ"/>
        </w:rPr>
      </w:pPr>
      <w:r w:rsidRPr="00904FCB">
        <w:rPr>
          <w:rFonts w:hint="cs"/>
          <w:sz w:val="27"/>
          <w:rtl/>
          <w:lang w:bidi="ar-IQ"/>
        </w:rPr>
        <w:t>ويمكن القول</w:t>
      </w:r>
      <w:r w:rsidR="00347C4D" w:rsidRPr="00904FCB">
        <w:rPr>
          <w:rFonts w:hint="cs"/>
          <w:sz w:val="27"/>
          <w:rtl/>
          <w:lang w:bidi="ar-IQ"/>
        </w:rPr>
        <w:t>:</w:t>
      </w:r>
      <w:r w:rsidRPr="00904FCB">
        <w:rPr>
          <w:rFonts w:hint="cs"/>
          <w:sz w:val="27"/>
          <w:rtl/>
          <w:lang w:bidi="ar-IQ"/>
        </w:rPr>
        <w:t xml:space="preserve"> إن من أكثر الأسس الدينية لليهودية تأسيساً لل</w:t>
      </w:r>
      <w:r w:rsidR="00347C4D" w:rsidRPr="00904FCB">
        <w:rPr>
          <w:rFonts w:hint="cs"/>
          <w:sz w:val="27"/>
          <w:rtl/>
          <w:lang w:bidi="ar-IQ"/>
        </w:rPr>
        <w:t>أ</w:t>
      </w:r>
      <w:r w:rsidRPr="00904FCB">
        <w:rPr>
          <w:rFonts w:hint="cs"/>
          <w:sz w:val="27"/>
          <w:rtl/>
          <w:lang w:bidi="ar-IQ"/>
        </w:rPr>
        <w:t>صولية هو الاعتقاد ب</w:t>
      </w:r>
      <w:r w:rsidR="00347C4D" w:rsidRPr="00904FCB">
        <w:rPr>
          <w:rFonts w:hint="cs"/>
          <w:sz w:val="27"/>
          <w:rtl/>
          <w:lang w:bidi="ar-IQ"/>
        </w:rPr>
        <w:t>أ</w:t>
      </w:r>
      <w:r w:rsidRPr="00904FCB">
        <w:rPr>
          <w:rFonts w:hint="cs"/>
          <w:sz w:val="27"/>
          <w:rtl/>
          <w:lang w:bidi="ar-IQ"/>
        </w:rPr>
        <w:t>ن اليهود الأم</w:t>
      </w:r>
      <w:r w:rsidR="00347C4D" w:rsidRPr="00904FCB">
        <w:rPr>
          <w:rFonts w:hint="cs"/>
          <w:sz w:val="27"/>
          <w:rtl/>
          <w:lang w:bidi="ar-IQ"/>
        </w:rPr>
        <w:t>ّ</w:t>
      </w:r>
      <w:r w:rsidRPr="00904FCB">
        <w:rPr>
          <w:rFonts w:hint="cs"/>
          <w:sz w:val="27"/>
          <w:rtl/>
          <w:lang w:bidi="ar-IQ"/>
        </w:rPr>
        <w:t>ة المختارة من الله، وهم شعبه الممي</w:t>
      </w:r>
      <w:r w:rsidR="00347C4D" w:rsidRPr="00904FCB">
        <w:rPr>
          <w:rFonts w:hint="cs"/>
          <w:sz w:val="27"/>
          <w:rtl/>
          <w:lang w:bidi="ar-IQ"/>
        </w:rPr>
        <w:t>َّ</w:t>
      </w:r>
      <w:r w:rsidRPr="00904FCB">
        <w:rPr>
          <w:rFonts w:hint="cs"/>
          <w:sz w:val="27"/>
          <w:rtl/>
          <w:lang w:bidi="ar-IQ"/>
        </w:rPr>
        <w:t>ز والمنتقى، وأن لهم ما</w:t>
      </w:r>
      <w:r w:rsidR="00347C4D" w:rsidRPr="00904FCB">
        <w:rPr>
          <w:rFonts w:hint="cs"/>
          <w:sz w:val="27"/>
          <w:rtl/>
          <w:lang w:bidi="ar-IQ"/>
        </w:rPr>
        <w:t xml:space="preserve"> </w:t>
      </w:r>
      <w:r w:rsidRPr="00904FCB">
        <w:rPr>
          <w:rFonts w:hint="cs"/>
          <w:sz w:val="27"/>
          <w:rtl/>
          <w:lang w:bidi="ar-IQ"/>
        </w:rPr>
        <w:t>ليس لغيرهم</w:t>
      </w:r>
      <w:r w:rsidR="00347C4D" w:rsidRPr="00904FCB">
        <w:rPr>
          <w:rFonts w:hint="cs"/>
          <w:sz w:val="27"/>
          <w:rtl/>
          <w:lang w:bidi="ar-IQ"/>
        </w:rPr>
        <w:t>.</w:t>
      </w:r>
      <w:r w:rsidRPr="00904FCB">
        <w:rPr>
          <w:rFonts w:hint="cs"/>
          <w:sz w:val="27"/>
          <w:rtl/>
          <w:lang w:bidi="ar-IQ"/>
        </w:rPr>
        <w:t xml:space="preserve"> وكمثال</w:t>
      </w:r>
      <w:r w:rsidR="00347C4D" w:rsidRPr="00904FCB">
        <w:rPr>
          <w:rFonts w:hint="cs"/>
          <w:sz w:val="27"/>
          <w:rtl/>
          <w:lang w:bidi="ar-IQ"/>
        </w:rPr>
        <w:t>ٍ</w:t>
      </w:r>
      <w:r w:rsidRPr="00904FCB">
        <w:rPr>
          <w:rFonts w:hint="cs"/>
          <w:sz w:val="27"/>
          <w:rtl/>
          <w:lang w:bidi="ar-IQ"/>
        </w:rPr>
        <w:t xml:space="preserve"> على هذه العقيدة الدينية ما جاء في النص</w:t>
      </w:r>
      <w:r w:rsidR="00347C4D" w:rsidRPr="00904FCB">
        <w:rPr>
          <w:rFonts w:hint="cs"/>
          <w:sz w:val="27"/>
          <w:rtl/>
          <w:lang w:bidi="ar-IQ"/>
        </w:rPr>
        <w:t>ّ</w:t>
      </w:r>
      <w:r w:rsidRPr="00904FCB">
        <w:rPr>
          <w:rFonts w:hint="cs"/>
          <w:sz w:val="27"/>
          <w:rtl/>
          <w:lang w:bidi="ar-IQ"/>
        </w:rPr>
        <w:t xml:space="preserve"> التوراتي في سفر اللاويين ما نص</w:t>
      </w:r>
      <w:r w:rsidR="00823099" w:rsidRPr="00904FCB">
        <w:rPr>
          <w:rFonts w:hint="cs"/>
          <w:sz w:val="27"/>
          <w:rtl/>
          <w:lang w:bidi="ar-IQ"/>
        </w:rPr>
        <w:t>ّه:</w:t>
      </w:r>
      <w:r w:rsidRPr="00904FCB">
        <w:rPr>
          <w:rFonts w:hint="cs"/>
          <w:sz w:val="27"/>
          <w:rtl/>
          <w:lang w:bidi="ar-IQ"/>
        </w:rPr>
        <w:t xml:space="preserve"> </w:t>
      </w:r>
      <w:r w:rsidR="00823099" w:rsidRPr="00904FCB">
        <w:rPr>
          <w:rFonts w:hint="eastAsia"/>
          <w:sz w:val="27"/>
          <w:rtl/>
        </w:rPr>
        <w:t>«</w:t>
      </w:r>
      <w:r w:rsidRPr="00904FCB">
        <w:rPr>
          <w:rFonts w:hint="cs"/>
          <w:sz w:val="27"/>
          <w:rtl/>
          <w:lang w:bidi="ar-IQ"/>
        </w:rPr>
        <w:t>وتكونون لي قد</w:t>
      </w:r>
      <w:r w:rsidR="00823099" w:rsidRPr="00904FCB">
        <w:rPr>
          <w:rFonts w:hint="cs"/>
          <w:sz w:val="27"/>
          <w:rtl/>
          <w:lang w:bidi="ar-IQ"/>
        </w:rPr>
        <w:t>ّ</w:t>
      </w:r>
      <w:r w:rsidRPr="00904FCB">
        <w:rPr>
          <w:rFonts w:hint="cs"/>
          <w:sz w:val="27"/>
          <w:rtl/>
          <w:lang w:bidi="ar-IQ"/>
        </w:rPr>
        <w:t>يسين</w:t>
      </w:r>
      <w:r w:rsidR="00823099" w:rsidRPr="00904FCB">
        <w:rPr>
          <w:rFonts w:hint="cs"/>
          <w:sz w:val="27"/>
          <w:rtl/>
          <w:lang w:bidi="ar-IQ"/>
        </w:rPr>
        <w:t>؛</w:t>
      </w:r>
      <w:r w:rsidRPr="00904FCB">
        <w:rPr>
          <w:rFonts w:hint="cs"/>
          <w:sz w:val="27"/>
          <w:rtl/>
          <w:lang w:bidi="ar-IQ"/>
        </w:rPr>
        <w:t xml:space="preserve"> لأني قد</w:t>
      </w:r>
      <w:r w:rsidR="00823099" w:rsidRPr="00904FCB">
        <w:rPr>
          <w:rFonts w:hint="cs"/>
          <w:sz w:val="27"/>
          <w:rtl/>
          <w:lang w:bidi="ar-IQ"/>
        </w:rPr>
        <w:t>ّ</w:t>
      </w:r>
      <w:r w:rsidRPr="00904FCB">
        <w:rPr>
          <w:rFonts w:hint="cs"/>
          <w:sz w:val="27"/>
          <w:rtl/>
          <w:lang w:bidi="ar-IQ"/>
        </w:rPr>
        <w:t>وس</w:t>
      </w:r>
      <w:r w:rsidR="00823099" w:rsidRPr="00904FCB">
        <w:rPr>
          <w:rFonts w:hint="cs"/>
          <w:sz w:val="27"/>
          <w:rtl/>
          <w:lang w:bidi="ar-IQ"/>
        </w:rPr>
        <w:t>.</w:t>
      </w:r>
      <w:r w:rsidRPr="00904FCB">
        <w:rPr>
          <w:rFonts w:hint="cs"/>
          <w:sz w:val="27"/>
          <w:rtl/>
          <w:lang w:bidi="ar-IQ"/>
        </w:rPr>
        <w:t xml:space="preserve"> أنا الرب</w:t>
      </w:r>
      <w:r w:rsidR="00823099" w:rsidRPr="00904FCB">
        <w:rPr>
          <w:rFonts w:hint="cs"/>
          <w:sz w:val="27"/>
          <w:rtl/>
          <w:lang w:bidi="ar-IQ"/>
        </w:rPr>
        <w:t>ّ</w:t>
      </w:r>
      <w:r w:rsidRPr="00904FCB">
        <w:rPr>
          <w:rFonts w:hint="cs"/>
          <w:sz w:val="27"/>
          <w:rtl/>
          <w:lang w:bidi="ar-IQ"/>
        </w:rPr>
        <w:t xml:space="preserve"> وقد مي</w:t>
      </w:r>
      <w:r w:rsidR="00823099" w:rsidRPr="00904FCB">
        <w:rPr>
          <w:rFonts w:hint="cs"/>
          <w:sz w:val="27"/>
          <w:rtl/>
          <w:lang w:bidi="ar-IQ"/>
        </w:rPr>
        <w:t>ّ</w:t>
      </w:r>
      <w:r w:rsidRPr="00904FCB">
        <w:rPr>
          <w:rFonts w:hint="cs"/>
          <w:sz w:val="27"/>
          <w:rtl/>
          <w:lang w:bidi="ar-IQ"/>
        </w:rPr>
        <w:t>زتكم من الشعوب</w:t>
      </w:r>
      <w:r w:rsidR="00823099" w:rsidRPr="00904FCB">
        <w:rPr>
          <w:rFonts w:hint="cs"/>
          <w:sz w:val="27"/>
          <w:rtl/>
          <w:lang w:bidi="ar-IQ"/>
        </w:rPr>
        <w:t>؛</w:t>
      </w:r>
      <w:r w:rsidRPr="00904FCB">
        <w:rPr>
          <w:rFonts w:hint="cs"/>
          <w:sz w:val="27"/>
          <w:rtl/>
          <w:lang w:bidi="ar-IQ"/>
        </w:rPr>
        <w:t xml:space="preserve"> لتكونوا لي</w:t>
      </w:r>
      <w:r w:rsidR="00823099" w:rsidRPr="00904FCB">
        <w:rPr>
          <w:rFonts w:hint="eastAsia"/>
          <w:sz w:val="27"/>
          <w:rtl/>
        </w:rPr>
        <w:t>»</w:t>
      </w:r>
      <w:r w:rsidRPr="00904FCB">
        <w:rPr>
          <w:rFonts w:hint="cs"/>
          <w:sz w:val="27"/>
          <w:vertAlign w:val="superscript"/>
          <w:rtl/>
          <w:lang w:bidi="ar-IQ"/>
        </w:rPr>
        <w:t>(</w:t>
      </w:r>
      <w:r w:rsidRPr="00904FCB">
        <w:rPr>
          <w:sz w:val="27"/>
          <w:vertAlign w:val="superscript"/>
          <w:rtl/>
        </w:rPr>
        <w:endnoteReference w:id="305"/>
      </w:r>
      <w:r w:rsidRPr="00904FCB">
        <w:rPr>
          <w:rFonts w:hint="cs"/>
          <w:sz w:val="27"/>
          <w:vertAlign w:val="superscript"/>
          <w:rtl/>
          <w:lang w:bidi="ar-IQ"/>
        </w:rPr>
        <w:t>)</w:t>
      </w:r>
      <w:r w:rsidR="00823099" w:rsidRPr="00904FCB">
        <w:rPr>
          <w:rFonts w:hint="cs"/>
          <w:sz w:val="27"/>
          <w:rtl/>
          <w:lang w:bidi="ar-IQ"/>
        </w:rPr>
        <w:t>.</w:t>
      </w:r>
      <w:r w:rsidRPr="00904FCB">
        <w:rPr>
          <w:rFonts w:hint="cs"/>
          <w:sz w:val="27"/>
          <w:rtl/>
          <w:lang w:bidi="ar-IQ"/>
        </w:rPr>
        <w:t xml:space="preserve"> وهذا النص</w:t>
      </w:r>
      <w:r w:rsidR="00823099" w:rsidRPr="00904FCB">
        <w:rPr>
          <w:rFonts w:hint="cs"/>
          <w:sz w:val="27"/>
          <w:rtl/>
          <w:lang w:bidi="ar-IQ"/>
        </w:rPr>
        <w:t>ّ</w:t>
      </w:r>
      <w:r w:rsidRPr="00904FCB">
        <w:rPr>
          <w:rFonts w:hint="cs"/>
          <w:sz w:val="27"/>
          <w:rtl/>
          <w:lang w:bidi="ar-IQ"/>
        </w:rPr>
        <w:t xml:space="preserve"> صريح</w:t>
      </w:r>
      <w:r w:rsidR="00823099" w:rsidRPr="00904FCB">
        <w:rPr>
          <w:rFonts w:hint="cs"/>
          <w:sz w:val="27"/>
          <w:rtl/>
          <w:lang w:bidi="ar-IQ"/>
        </w:rPr>
        <w:t>ٌ</w:t>
      </w:r>
      <w:r w:rsidRPr="00904FCB">
        <w:rPr>
          <w:rFonts w:hint="cs"/>
          <w:sz w:val="27"/>
          <w:rtl/>
          <w:lang w:bidi="ar-IQ"/>
        </w:rPr>
        <w:t xml:space="preserve"> في تمييز بني </w:t>
      </w:r>
      <w:r w:rsidR="00823099" w:rsidRPr="00904FCB">
        <w:rPr>
          <w:rFonts w:hint="cs"/>
          <w:sz w:val="27"/>
          <w:rtl/>
          <w:lang w:bidi="ar-IQ"/>
        </w:rPr>
        <w:t>إ</w:t>
      </w:r>
      <w:r w:rsidRPr="00904FCB">
        <w:rPr>
          <w:rFonts w:hint="cs"/>
          <w:sz w:val="27"/>
          <w:rtl/>
          <w:lang w:bidi="ar-IQ"/>
        </w:rPr>
        <w:t>سرائيل على بقي</w:t>
      </w:r>
      <w:r w:rsidR="00823099" w:rsidRPr="00904FCB">
        <w:rPr>
          <w:rFonts w:hint="cs"/>
          <w:sz w:val="27"/>
          <w:rtl/>
          <w:lang w:bidi="ar-IQ"/>
        </w:rPr>
        <w:t>ّ</w:t>
      </w:r>
      <w:r w:rsidRPr="00904FCB">
        <w:rPr>
          <w:rFonts w:hint="cs"/>
          <w:sz w:val="27"/>
          <w:rtl/>
          <w:lang w:bidi="ar-IQ"/>
        </w:rPr>
        <w:t>ة شعوب العالم، وصريح في ربط التمييز بالله صدوراً وممارسة</w:t>
      </w:r>
      <w:r w:rsidR="00823099" w:rsidRPr="00904FCB">
        <w:rPr>
          <w:rFonts w:hint="cs"/>
          <w:sz w:val="27"/>
          <w:rtl/>
          <w:lang w:bidi="ar-IQ"/>
        </w:rPr>
        <w:t>.</w:t>
      </w:r>
      <w:r w:rsidRPr="00904FCB">
        <w:rPr>
          <w:rFonts w:hint="cs"/>
          <w:sz w:val="27"/>
          <w:rtl/>
          <w:lang w:bidi="ar-IQ"/>
        </w:rPr>
        <w:t xml:space="preserve"> وجاء فيه أيضاً</w:t>
      </w:r>
      <w:r w:rsidR="00823099" w:rsidRPr="00904FCB">
        <w:rPr>
          <w:rFonts w:hint="cs"/>
          <w:sz w:val="27"/>
          <w:rtl/>
          <w:lang w:bidi="ar-IQ"/>
        </w:rPr>
        <w:t>،</w:t>
      </w:r>
      <w:r w:rsidRPr="00904FCB">
        <w:rPr>
          <w:rFonts w:hint="cs"/>
          <w:sz w:val="27"/>
          <w:rtl/>
          <w:lang w:bidi="ar-IQ"/>
        </w:rPr>
        <w:t xml:space="preserve"> بعد عد</w:t>
      </w:r>
      <w:r w:rsidR="00823099" w:rsidRPr="00904FCB">
        <w:rPr>
          <w:rFonts w:hint="cs"/>
          <w:sz w:val="27"/>
          <w:rtl/>
          <w:lang w:bidi="ar-IQ"/>
        </w:rPr>
        <w:t>ّ</w:t>
      </w:r>
      <w:r w:rsidRPr="00904FCB">
        <w:rPr>
          <w:rFonts w:hint="cs"/>
          <w:sz w:val="27"/>
          <w:rtl/>
          <w:lang w:bidi="ar-IQ"/>
        </w:rPr>
        <w:t>ة وصايا</w:t>
      </w:r>
      <w:r w:rsidR="00823099" w:rsidRPr="00904FCB">
        <w:rPr>
          <w:rFonts w:hint="cs"/>
          <w:sz w:val="27"/>
          <w:rtl/>
          <w:lang w:bidi="ar-IQ"/>
        </w:rPr>
        <w:t>،</w:t>
      </w:r>
      <w:r w:rsidRPr="00904FCB">
        <w:rPr>
          <w:rFonts w:hint="cs"/>
          <w:sz w:val="27"/>
          <w:rtl/>
          <w:lang w:bidi="ar-IQ"/>
        </w:rPr>
        <w:t xml:space="preserve"> قوله</w:t>
      </w:r>
      <w:r w:rsidR="00823099" w:rsidRPr="00904FCB">
        <w:rPr>
          <w:rFonts w:hint="cs"/>
          <w:sz w:val="27"/>
          <w:rtl/>
          <w:lang w:bidi="ar-IQ"/>
        </w:rPr>
        <w:t>:</w:t>
      </w:r>
      <w:r w:rsidRPr="00904FCB">
        <w:rPr>
          <w:rFonts w:hint="cs"/>
          <w:sz w:val="27"/>
          <w:rtl/>
          <w:lang w:bidi="ar-IQ"/>
        </w:rPr>
        <w:t xml:space="preserve"> </w:t>
      </w:r>
      <w:r w:rsidR="00823099" w:rsidRPr="00904FCB">
        <w:rPr>
          <w:rFonts w:hint="eastAsia"/>
          <w:sz w:val="27"/>
          <w:rtl/>
        </w:rPr>
        <w:t>«</w:t>
      </w:r>
      <w:r w:rsidRPr="00904FCB">
        <w:rPr>
          <w:rFonts w:hint="cs"/>
          <w:sz w:val="27"/>
          <w:rtl/>
          <w:lang w:bidi="ar-IQ"/>
        </w:rPr>
        <w:t>وأكون لكم إلهاً</w:t>
      </w:r>
      <w:r w:rsidR="00823099" w:rsidRPr="00904FCB">
        <w:rPr>
          <w:rFonts w:hint="cs"/>
          <w:sz w:val="27"/>
          <w:rtl/>
          <w:lang w:bidi="ar-IQ"/>
        </w:rPr>
        <w:t>،</w:t>
      </w:r>
      <w:r w:rsidRPr="00904FCB">
        <w:rPr>
          <w:rFonts w:hint="cs"/>
          <w:sz w:val="27"/>
          <w:rtl/>
          <w:lang w:bidi="ar-IQ"/>
        </w:rPr>
        <w:t xml:space="preserve"> وأنتم تكونون لي شعباً</w:t>
      </w:r>
      <w:r w:rsidR="00823099" w:rsidRPr="00904FCB">
        <w:rPr>
          <w:rFonts w:hint="eastAsia"/>
          <w:sz w:val="27"/>
          <w:rtl/>
        </w:rPr>
        <w:t>»</w:t>
      </w:r>
      <w:r w:rsidRPr="00904FCB">
        <w:rPr>
          <w:rFonts w:hint="cs"/>
          <w:sz w:val="27"/>
          <w:vertAlign w:val="superscript"/>
          <w:rtl/>
          <w:lang w:bidi="ar-IQ"/>
        </w:rPr>
        <w:t>(</w:t>
      </w:r>
      <w:r w:rsidRPr="00904FCB">
        <w:rPr>
          <w:sz w:val="27"/>
          <w:vertAlign w:val="superscript"/>
          <w:rtl/>
        </w:rPr>
        <w:endnoteReference w:id="306"/>
      </w:r>
      <w:r w:rsidRPr="00904FCB">
        <w:rPr>
          <w:rFonts w:hint="cs"/>
          <w:sz w:val="27"/>
          <w:vertAlign w:val="superscript"/>
          <w:rtl/>
          <w:lang w:bidi="ar-IQ"/>
        </w:rPr>
        <w:t>)</w:t>
      </w:r>
      <w:r w:rsidR="00823099" w:rsidRPr="00904FCB">
        <w:rPr>
          <w:rFonts w:hint="cs"/>
          <w:sz w:val="27"/>
          <w:rtl/>
          <w:lang w:bidi="ar-IQ"/>
        </w:rPr>
        <w:t>.</w:t>
      </w:r>
      <w:r w:rsidRPr="00904FCB">
        <w:rPr>
          <w:rFonts w:hint="cs"/>
          <w:sz w:val="27"/>
          <w:rtl/>
          <w:lang w:bidi="ar-IQ"/>
        </w:rPr>
        <w:t xml:space="preserve"> ويشير هذا النص</w:t>
      </w:r>
      <w:r w:rsidR="00823099" w:rsidRPr="00904FCB">
        <w:rPr>
          <w:rFonts w:hint="cs"/>
          <w:sz w:val="27"/>
          <w:rtl/>
          <w:lang w:bidi="ar-IQ"/>
        </w:rPr>
        <w:t>ّ</w:t>
      </w:r>
      <w:r w:rsidRPr="00904FCB">
        <w:rPr>
          <w:rFonts w:hint="cs"/>
          <w:sz w:val="27"/>
          <w:rtl/>
          <w:lang w:bidi="ar-IQ"/>
        </w:rPr>
        <w:t xml:space="preserve"> </w:t>
      </w:r>
      <w:r w:rsidR="00823099" w:rsidRPr="00904FCB">
        <w:rPr>
          <w:rFonts w:hint="cs"/>
          <w:sz w:val="27"/>
          <w:rtl/>
          <w:lang w:bidi="ar-IQ"/>
        </w:rPr>
        <w:t>إل</w:t>
      </w:r>
      <w:r w:rsidRPr="00904FCB">
        <w:rPr>
          <w:rFonts w:hint="cs"/>
          <w:sz w:val="27"/>
          <w:rtl/>
          <w:lang w:bidi="ar-IQ"/>
        </w:rPr>
        <w:t xml:space="preserve">ى </w:t>
      </w:r>
      <w:r w:rsidR="00823099" w:rsidRPr="00904FCB">
        <w:rPr>
          <w:rFonts w:hint="cs"/>
          <w:sz w:val="27"/>
          <w:rtl/>
          <w:lang w:bidi="ar-IQ"/>
        </w:rPr>
        <w:t>أ</w:t>
      </w:r>
      <w:r w:rsidRPr="00904FCB">
        <w:rPr>
          <w:rFonts w:hint="cs"/>
          <w:sz w:val="27"/>
          <w:rtl/>
          <w:lang w:bidi="ar-IQ"/>
        </w:rPr>
        <w:t xml:space="preserve">ن بني </w:t>
      </w:r>
      <w:r w:rsidR="00823099" w:rsidRPr="00904FCB">
        <w:rPr>
          <w:rFonts w:hint="cs"/>
          <w:sz w:val="27"/>
          <w:rtl/>
          <w:lang w:bidi="ar-IQ"/>
        </w:rPr>
        <w:t>إ</w:t>
      </w:r>
      <w:r w:rsidRPr="00904FCB">
        <w:rPr>
          <w:rFonts w:hint="cs"/>
          <w:sz w:val="27"/>
          <w:rtl/>
          <w:lang w:bidi="ar-IQ"/>
        </w:rPr>
        <w:t>سرائيل سيكونون طرفاً في علاقة تعاهدية مع الله فهو ال</w:t>
      </w:r>
      <w:r w:rsidR="00823099" w:rsidRPr="00904FCB">
        <w:rPr>
          <w:rFonts w:hint="cs"/>
          <w:sz w:val="27"/>
          <w:rtl/>
          <w:lang w:bidi="ar-IQ"/>
        </w:rPr>
        <w:t>إ</w:t>
      </w:r>
      <w:r w:rsidRPr="00904FCB">
        <w:rPr>
          <w:rFonts w:hint="cs"/>
          <w:sz w:val="27"/>
          <w:rtl/>
          <w:lang w:bidi="ar-IQ"/>
        </w:rPr>
        <w:t>له</w:t>
      </w:r>
      <w:r w:rsidR="00823099" w:rsidRPr="00904FCB">
        <w:rPr>
          <w:rFonts w:hint="cs"/>
          <w:sz w:val="27"/>
          <w:rtl/>
          <w:lang w:bidi="ar-IQ"/>
        </w:rPr>
        <w:t>،</w:t>
      </w:r>
      <w:r w:rsidRPr="00904FCB">
        <w:rPr>
          <w:rFonts w:hint="cs"/>
          <w:sz w:val="27"/>
          <w:rtl/>
          <w:lang w:bidi="ar-IQ"/>
        </w:rPr>
        <w:t xml:space="preserve"> الذي تصو</w:t>
      </w:r>
      <w:r w:rsidR="00823099" w:rsidRPr="00904FCB">
        <w:rPr>
          <w:rFonts w:hint="cs"/>
          <w:sz w:val="27"/>
          <w:rtl/>
          <w:lang w:bidi="ar-IQ"/>
        </w:rPr>
        <w:t>ّ</w:t>
      </w:r>
      <w:r w:rsidRPr="00904FCB">
        <w:rPr>
          <w:rFonts w:hint="cs"/>
          <w:sz w:val="27"/>
          <w:rtl/>
          <w:lang w:bidi="ar-IQ"/>
        </w:rPr>
        <w:t>ره التوراة بصورة الملك</w:t>
      </w:r>
      <w:r w:rsidR="00823099" w:rsidRPr="00904FCB">
        <w:rPr>
          <w:rFonts w:hint="cs"/>
          <w:sz w:val="27"/>
          <w:rtl/>
          <w:lang w:bidi="ar-IQ"/>
        </w:rPr>
        <w:t>،</w:t>
      </w:r>
      <w:r w:rsidRPr="00904FCB">
        <w:rPr>
          <w:rFonts w:hint="cs"/>
          <w:sz w:val="27"/>
          <w:rtl/>
          <w:lang w:bidi="ar-IQ"/>
        </w:rPr>
        <w:t xml:space="preserve"> وهم الشعب</w:t>
      </w:r>
      <w:r w:rsidR="00823099" w:rsidRPr="00904FCB">
        <w:rPr>
          <w:rFonts w:hint="cs"/>
          <w:sz w:val="27"/>
          <w:rtl/>
          <w:lang w:bidi="ar-IQ"/>
        </w:rPr>
        <w:t>،</w:t>
      </w:r>
      <w:r w:rsidRPr="00904FCB">
        <w:rPr>
          <w:rFonts w:hint="cs"/>
          <w:sz w:val="27"/>
          <w:rtl/>
          <w:lang w:bidi="ar-IQ"/>
        </w:rPr>
        <w:t xml:space="preserve"> الذي تصو</w:t>
      </w:r>
      <w:r w:rsidR="00823099" w:rsidRPr="00904FCB">
        <w:rPr>
          <w:rFonts w:hint="cs"/>
          <w:sz w:val="27"/>
          <w:rtl/>
          <w:lang w:bidi="ar-IQ"/>
        </w:rPr>
        <w:t>ّ</w:t>
      </w:r>
      <w:r w:rsidRPr="00904FCB">
        <w:rPr>
          <w:rFonts w:hint="cs"/>
          <w:sz w:val="27"/>
          <w:rtl/>
          <w:lang w:bidi="ar-IQ"/>
        </w:rPr>
        <w:t>ره التوراة ب</w:t>
      </w:r>
      <w:r w:rsidR="00823099" w:rsidRPr="00904FCB">
        <w:rPr>
          <w:rFonts w:hint="cs"/>
          <w:sz w:val="27"/>
          <w:rtl/>
          <w:lang w:bidi="ar-IQ"/>
        </w:rPr>
        <w:t>أ</w:t>
      </w:r>
      <w:r w:rsidRPr="00904FCB">
        <w:rPr>
          <w:rFonts w:hint="cs"/>
          <w:sz w:val="27"/>
          <w:rtl/>
          <w:lang w:bidi="ar-IQ"/>
        </w:rPr>
        <w:t>نه الشعب الخاص</w:t>
      </w:r>
      <w:r w:rsidR="00823099" w:rsidRPr="00904FCB">
        <w:rPr>
          <w:rFonts w:hint="cs"/>
          <w:sz w:val="27"/>
          <w:rtl/>
          <w:lang w:bidi="ar-IQ"/>
        </w:rPr>
        <w:t>ّ</w:t>
      </w:r>
      <w:r w:rsidRPr="00904FCB">
        <w:rPr>
          <w:rFonts w:hint="cs"/>
          <w:sz w:val="27"/>
          <w:rtl/>
          <w:lang w:bidi="ar-IQ"/>
        </w:rPr>
        <w:t xml:space="preserve"> بذلك ال</w:t>
      </w:r>
      <w:r w:rsidR="00823099" w:rsidRPr="00904FCB">
        <w:rPr>
          <w:rFonts w:hint="cs"/>
          <w:sz w:val="27"/>
          <w:rtl/>
          <w:lang w:bidi="ar-IQ"/>
        </w:rPr>
        <w:t>إ</w:t>
      </w:r>
      <w:r w:rsidRPr="00904FCB">
        <w:rPr>
          <w:rFonts w:hint="cs"/>
          <w:sz w:val="27"/>
          <w:rtl/>
          <w:lang w:bidi="ar-IQ"/>
        </w:rPr>
        <w:t>له</w:t>
      </w:r>
      <w:r w:rsidR="00823099" w:rsidRPr="00904FCB">
        <w:rPr>
          <w:rFonts w:hint="cs"/>
          <w:sz w:val="27"/>
          <w:rtl/>
          <w:lang w:bidi="ar-IQ"/>
        </w:rPr>
        <w:t>.</w:t>
      </w:r>
      <w:r w:rsidRPr="00904FCB">
        <w:rPr>
          <w:rFonts w:hint="cs"/>
          <w:sz w:val="27"/>
          <w:rtl/>
          <w:lang w:bidi="ar-IQ"/>
        </w:rPr>
        <w:t xml:space="preserve"> ويلاحظ أن هذه النصوص تثير في النفوس الشعور بالتفو</w:t>
      </w:r>
      <w:r w:rsidR="00823099" w:rsidRPr="00904FCB">
        <w:rPr>
          <w:rFonts w:hint="cs"/>
          <w:sz w:val="27"/>
          <w:rtl/>
          <w:lang w:bidi="ar-IQ"/>
        </w:rPr>
        <w:t>ّ</w:t>
      </w:r>
      <w:r w:rsidRPr="00904FCB">
        <w:rPr>
          <w:rFonts w:hint="cs"/>
          <w:sz w:val="27"/>
          <w:rtl/>
          <w:lang w:bidi="ar-IQ"/>
        </w:rPr>
        <w:t>ق والعلو</w:t>
      </w:r>
      <w:r w:rsidR="00823099" w:rsidRPr="00904FCB">
        <w:rPr>
          <w:rFonts w:hint="cs"/>
          <w:sz w:val="27"/>
          <w:rtl/>
          <w:lang w:bidi="ar-IQ"/>
        </w:rPr>
        <w:t>ّ</w:t>
      </w:r>
      <w:r w:rsidRPr="00904FCB">
        <w:rPr>
          <w:rFonts w:hint="cs"/>
          <w:sz w:val="27"/>
          <w:rtl/>
          <w:lang w:bidi="ar-IQ"/>
        </w:rPr>
        <w:t xml:space="preserve"> والتمييز على الأمم الأخرى. </w:t>
      </w:r>
    </w:p>
    <w:p w:rsidR="00952E59" w:rsidRPr="00904FCB" w:rsidRDefault="00952E59" w:rsidP="00510624">
      <w:pPr>
        <w:spacing w:line="400" w:lineRule="exact"/>
        <w:rPr>
          <w:sz w:val="27"/>
          <w:rtl/>
          <w:lang w:bidi="ar-IQ"/>
        </w:rPr>
      </w:pPr>
      <w:r w:rsidRPr="00904FCB">
        <w:rPr>
          <w:rFonts w:hint="cs"/>
          <w:sz w:val="27"/>
          <w:rtl/>
          <w:lang w:bidi="ar-IQ"/>
        </w:rPr>
        <w:t>لقد نقل روهل</w:t>
      </w:r>
      <w:r w:rsidR="00510624">
        <w:rPr>
          <w:rFonts w:hint="cs"/>
          <w:sz w:val="27"/>
          <w:rtl/>
          <w:lang w:bidi="ar-IQ"/>
        </w:rPr>
        <w:t>بخ</w:t>
      </w:r>
      <w:r w:rsidRPr="00904FCB">
        <w:rPr>
          <w:rFonts w:hint="cs"/>
          <w:sz w:val="27"/>
          <w:rtl/>
          <w:lang w:bidi="ar-IQ"/>
        </w:rPr>
        <w:t xml:space="preserve"> من التلمود نص</w:t>
      </w:r>
      <w:r w:rsidR="00823099" w:rsidRPr="00904FCB">
        <w:rPr>
          <w:rFonts w:hint="cs"/>
          <w:sz w:val="27"/>
          <w:rtl/>
          <w:lang w:bidi="ar-IQ"/>
        </w:rPr>
        <w:t>ّ</w:t>
      </w:r>
      <w:r w:rsidRPr="00904FCB">
        <w:rPr>
          <w:rFonts w:hint="cs"/>
          <w:sz w:val="27"/>
          <w:rtl/>
          <w:lang w:bidi="ar-IQ"/>
        </w:rPr>
        <w:t>اً يقول</w:t>
      </w:r>
      <w:r w:rsidR="00823099" w:rsidRPr="00904FCB">
        <w:rPr>
          <w:rFonts w:hint="cs"/>
          <w:sz w:val="27"/>
          <w:rtl/>
          <w:lang w:bidi="ar-IQ"/>
        </w:rPr>
        <w:t>:</w:t>
      </w:r>
      <w:r w:rsidRPr="00904FCB">
        <w:rPr>
          <w:rFonts w:hint="cs"/>
          <w:sz w:val="27"/>
          <w:rtl/>
          <w:lang w:bidi="ar-IQ"/>
        </w:rPr>
        <w:t xml:space="preserve"> </w:t>
      </w:r>
      <w:r w:rsidR="00823099" w:rsidRPr="00904FCB">
        <w:rPr>
          <w:rFonts w:hint="eastAsia"/>
          <w:sz w:val="27"/>
          <w:rtl/>
        </w:rPr>
        <w:t>«</w:t>
      </w:r>
      <w:r w:rsidR="00823099" w:rsidRPr="00904FCB">
        <w:rPr>
          <w:rFonts w:hint="cs"/>
          <w:sz w:val="27"/>
          <w:rtl/>
          <w:lang w:bidi="ar-IQ"/>
        </w:rPr>
        <w:t>إ</w:t>
      </w:r>
      <w:r w:rsidRPr="00904FCB">
        <w:rPr>
          <w:rFonts w:hint="cs"/>
          <w:sz w:val="27"/>
          <w:rtl/>
          <w:lang w:bidi="ar-IQ"/>
        </w:rPr>
        <w:t>ن الاسرائيلي معتبر عند الله أكثر من الملائكة، و</w:t>
      </w:r>
      <w:r w:rsidR="00823099" w:rsidRPr="00904FCB">
        <w:rPr>
          <w:rFonts w:hint="cs"/>
          <w:sz w:val="27"/>
          <w:rtl/>
          <w:lang w:bidi="ar-IQ"/>
        </w:rPr>
        <w:t>إ</w:t>
      </w:r>
      <w:r w:rsidRPr="00904FCB">
        <w:rPr>
          <w:rFonts w:hint="cs"/>
          <w:sz w:val="27"/>
          <w:rtl/>
          <w:lang w:bidi="ar-IQ"/>
        </w:rPr>
        <w:t>ن اليهودي جزء</w:t>
      </w:r>
      <w:r w:rsidR="00823099" w:rsidRPr="00904FCB">
        <w:rPr>
          <w:rFonts w:hint="cs"/>
          <w:sz w:val="27"/>
          <w:rtl/>
          <w:lang w:bidi="ar-IQ"/>
        </w:rPr>
        <w:t>ٌ</w:t>
      </w:r>
      <w:r w:rsidRPr="00904FCB">
        <w:rPr>
          <w:rFonts w:hint="cs"/>
          <w:sz w:val="27"/>
          <w:rtl/>
          <w:lang w:bidi="ar-IQ"/>
        </w:rPr>
        <w:t xml:space="preserve"> من الله، و</w:t>
      </w:r>
      <w:r w:rsidR="00823099" w:rsidRPr="00904FCB">
        <w:rPr>
          <w:rFonts w:hint="cs"/>
          <w:sz w:val="27"/>
          <w:rtl/>
          <w:lang w:bidi="ar-IQ"/>
        </w:rPr>
        <w:t>إ</w:t>
      </w:r>
      <w:r w:rsidRPr="00904FCB">
        <w:rPr>
          <w:rFonts w:hint="cs"/>
          <w:sz w:val="27"/>
          <w:rtl/>
          <w:lang w:bidi="ar-IQ"/>
        </w:rPr>
        <w:t>ن الشعب المختار هم اليهود فقط</w:t>
      </w:r>
      <w:r w:rsidR="00823099" w:rsidRPr="00904FCB">
        <w:rPr>
          <w:rFonts w:hint="cs"/>
          <w:sz w:val="27"/>
          <w:rtl/>
          <w:lang w:bidi="ar-IQ"/>
        </w:rPr>
        <w:t>،</w:t>
      </w:r>
      <w:r w:rsidRPr="00904FCB">
        <w:rPr>
          <w:rFonts w:hint="cs"/>
          <w:sz w:val="27"/>
          <w:rtl/>
          <w:lang w:bidi="ar-IQ"/>
        </w:rPr>
        <w:t xml:space="preserve"> أما باقي الشعوب فهم حيوانات</w:t>
      </w:r>
      <w:r w:rsidR="00823099" w:rsidRPr="00904FCB">
        <w:rPr>
          <w:rFonts w:hint="eastAsia"/>
          <w:sz w:val="27"/>
          <w:rtl/>
        </w:rPr>
        <w:t>»</w:t>
      </w:r>
      <w:r w:rsidRPr="00904FCB">
        <w:rPr>
          <w:rFonts w:hint="cs"/>
          <w:sz w:val="27"/>
          <w:vertAlign w:val="superscript"/>
          <w:rtl/>
          <w:lang w:bidi="ar-IQ"/>
        </w:rPr>
        <w:t>(</w:t>
      </w:r>
      <w:r w:rsidRPr="00904FCB">
        <w:rPr>
          <w:sz w:val="27"/>
          <w:vertAlign w:val="superscript"/>
          <w:rtl/>
        </w:rPr>
        <w:endnoteReference w:id="307"/>
      </w:r>
      <w:r w:rsidRPr="00904FCB">
        <w:rPr>
          <w:rFonts w:hint="cs"/>
          <w:sz w:val="27"/>
          <w:vertAlign w:val="superscript"/>
          <w:rtl/>
          <w:lang w:bidi="ar-IQ"/>
        </w:rPr>
        <w:t>)</w:t>
      </w:r>
      <w:r w:rsidR="00823099" w:rsidRPr="00904FCB">
        <w:rPr>
          <w:rFonts w:hint="cs"/>
          <w:sz w:val="27"/>
          <w:rtl/>
          <w:lang w:bidi="ar-IQ"/>
        </w:rPr>
        <w:t>.</w:t>
      </w:r>
      <w:r w:rsidRPr="00904FCB">
        <w:rPr>
          <w:rFonts w:hint="cs"/>
          <w:sz w:val="27"/>
          <w:rtl/>
          <w:lang w:bidi="ar-IQ"/>
        </w:rPr>
        <w:t xml:space="preserve"> وهذا النص التلمودي يدعم بقية النصوص وال</w:t>
      </w:r>
      <w:r w:rsidR="00823099" w:rsidRPr="00904FCB">
        <w:rPr>
          <w:rFonts w:hint="cs"/>
          <w:sz w:val="27"/>
          <w:rtl/>
          <w:lang w:bidi="ar-IQ"/>
        </w:rPr>
        <w:t>أ</w:t>
      </w:r>
      <w:r w:rsidRPr="00904FCB">
        <w:rPr>
          <w:rFonts w:hint="cs"/>
          <w:sz w:val="27"/>
          <w:rtl/>
          <w:lang w:bidi="ar-IQ"/>
        </w:rPr>
        <w:t>فكار التي تؤس</w:t>
      </w:r>
      <w:r w:rsidR="00823099" w:rsidRPr="00904FCB">
        <w:rPr>
          <w:rFonts w:hint="cs"/>
          <w:sz w:val="27"/>
          <w:rtl/>
          <w:lang w:bidi="ar-IQ"/>
        </w:rPr>
        <w:t>ّ</w:t>
      </w:r>
      <w:r w:rsidRPr="00904FCB">
        <w:rPr>
          <w:rFonts w:hint="cs"/>
          <w:sz w:val="27"/>
          <w:rtl/>
          <w:lang w:bidi="ar-IQ"/>
        </w:rPr>
        <w:t>س لاستعداد نفسي وعقائدي لتبن</w:t>
      </w:r>
      <w:r w:rsidR="00823099" w:rsidRPr="00904FCB">
        <w:rPr>
          <w:rFonts w:hint="cs"/>
          <w:sz w:val="27"/>
          <w:rtl/>
          <w:lang w:bidi="ar-IQ"/>
        </w:rPr>
        <w:t>ّ</w:t>
      </w:r>
      <w:r w:rsidRPr="00904FCB">
        <w:rPr>
          <w:rFonts w:hint="cs"/>
          <w:sz w:val="27"/>
          <w:rtl/>
          <w:lang w:bidi="ar-IQ"/>
        </w:rPr>
        <w:t>ي العقل اليهودي لل</w:t>
      </w:r>
      <w:r w:rsidR="00823099" w:rsidRPr="00904FCB">
        <w:rPr>
          <w:rFonts w:hint="cs"/>
          <w:sz w:val="27"/>
          <w:rtl/>
          <w:lang w:bidi="ar-IQ"/>
        </w:rPr>
        <w:t>أ</w:t>
      </w:r>
      <w:r w:rsidRPr="00904FCB">
        <w:rPr>
          <w:rFonts w:hint="cs"/>
          <w:sz w:val="27"/>
          <w:rtl/>
          <w:lang w:bidi="ar-IQ"/>
        </w:rPr>
        <w:t>صولية</w:t>
      </w:r>
      <w:r w:rsidR="00823099" w:rsidRPr="00904FCB">
        <w:rPr>
          <w:rFonts w:hint="cs"/>
          <w:sz w:val="27"/>
          <w:rtl/>
          <w:lang w:bidi="ar-IQ"/>
        </w:rPr>
        <w:t xml:space="preserve">، </w:t>
      </w:r>
      <w:r w:rsidRPr="00904FCB">
        <w:rPr>
          <w:rFonts w:hint="cs"/>
          <w:sz w:val="27"/>
          <w:rtl/>
          <w:lang w:bidi="ar-IQ"/>
        </w:rPr>
        <w:t>والأيديولوجي</w:t>
      </w:r>
      <w:r w:rsidR="00510624">
        <w:rPr>
          <w:rFonts w:hint="cs"/>
          <w:sz w:val="27"/>
          <w:rtl/>
          <w:lang w:bidi="ar-IQ"/>
        </w:rPr>
        <w:t>ا</w:t>
      </w:r>
      <w:r w:rsidRPr="00904FCB">
        <w:rPr>
          <w:rFonts w:hint="cs"/>
          <w:sz w:val="27"/>
          <w:rtl/>
          <w:lang w:bidi="ar-IQ"/>
        </w:rPr>
        <w:t xml:space="preserve"> المتشد</w:t>
      </w:r>
      <w:r w:rsidR="00823099" w:rsidRPr="00904FCB">
        <w:rPr>
          <w:rFonts w:hint="cs"/>
          <w:sz w:val="27"/>
          <w:rtl/>
          <w:lang w:bidi="ar-IQ"/>
        </w:rPr>
        <w:t>ّ</w:t>
      </w:r>
      <w:r w:rsidRPr="00904FCB">
        <w:rPr>
          <w:rFonts w:hint="cs"/>
          <w:sz w:val="27"/>
          <w:rtl/>
          <w:lang w:bidi="ar-IQ"/>
        </w:rPr>
        <w:t>د</w:t>
      </w:r>
      <w:r w:rsidR="00823099" w:rsidRPr="00904FCB">
        <w:rPr>
          <w:rFonts w:hint="cs"/>
          <w:sz w:val="27"/>
          <w:rtl/>
          <w:lang w:bidi="ar-IQ"/>
        </w:rPr>
        <w:t>ة.</w:t>
      </w:r>
      <w:r w:rsidRPr="00904FCB">
        <w:rPr>
          <w:rFonts w:hint="cs"/>
          <w:sz w:val="27"/>
          <w:rtl/>
          <w:lang w:bidi="ar-IQ"/>
        </w:rPr>
        <w:t xml:space="preserve"> ويمكن أن تتحو</w:t>
      </w:r>
      <w:r w:rsidR="00823099" w:rsidRPr="00904FCB">
        <w:rPr>
          <w:rFonts w:hint="cs"/>
          <w:sz w:val="27"/>
          <w:rtl/>
          <w:lang w:bidi="ar-IQ"/>
        </w:rPr>
        <w:t>ّ</w:t>
      </w:r>
      <w:r w:rsidRPr="00904FCB">
        <w:rPr>
          <w:rFonts w:hint="cs"/>
          <w:sz w:val="27"/>
          <w:rtl/>
          <w:lang w:bidi="ar-IQ"/>
        </w:rPr>
        <w:t xml:space="preserve">ل هذه المفاهيم </w:t>
      </w:r>
      <w:r w:rsidR="00823099" w:rsidRPr="00904FCB">
        <w:rPr>
          <w:rFonts w:hint="cs"/>
          <w:sz w:val="27"/>
          <w:rtl/>
          <w:lang w:bidi="ar-IQ"/>
        </w:rPr>
        <w:t>إ</w:t>
      </w:r>
      <w:r w:rsidRPr="00904FCB">
        <w:rPr>
          <w:rFonts w:hint="cs"/>
          <w:sz w:val="27"/>
          <w:rtl/>
          <w:lang w:bidi="ar-IQ"/>
        </w:rPr>
        <w:t>لى ممارسات عنيفة وثقافة عرقية ذات ب</w:t>
      </w:r>
      <w:r w:rsidR="00510624">
        <w:rPr>
          <w:rFonts w:hint="cs"/>
          <w:sz w:val="27"/>
          <w:rtl/>
          <w:lang w:bidi="ar-IQ"/>
        </w:rPr>
        <w:t>ُ</w:t>
      </w:r>
      <w:r w:rsidRPr="00904FCB">
        <w:rPr>
          <w:rFonts w:hint="cs"/>
          <w:sz w:val="27"/>
          <w:rtl/>
          <w:lang w:bidi="ar-IQ"/>
        </w:rPr>
        <w:t>ع</w:t>
      </w:r>
      <w:r w:rsidR="00510624">
        <w:rPr>
          <w:rFonts w:hint="cs"/>
          <w:sz w:val="27"/>
          <w:rtl/>
          <w:lang w:bidi="ar-IQ"/>
        </w:rPr>
        <w:t>ْ</w:t>
      </w:r>
      <w:r w:rsidRPr="00904FCB">
        <w:rPr>
          <w:rFonts w:hint="cs"/>
          <w:sz w:val="27"/>
          <w:rtl/>
          <w:lang w:bidi="ar-IQ"/>
        </w:rPr>
        <w:t>د</w:t>
      </w:r>
      <w:r w:rsidR="00510624">
        <w:rPr>
          <w:rFonts w:hint="cs"/>
          <w:sz w:val="27"/>
          <w:rtl/>
          <w:lang w:bidi="ar-IQ"/>
        </w:rPr>
        <w:t>ٍ</w:t>
      </w:r>
      <w:r w:rsidRPr="00904FCB">
        <w:rPr>
          <w:rFonts w:hint="cs"/>
          <w:sz w:val="27"/>
          <w:rtl/>
          <w:lang w:bidi="ar-IQ"/>
        </w:rPr>
        <w:t xml:space="preserve"> عنصري طالما كان لها مستندها الديني من التوراة والتلمود وتعاليم ال</w:t>
      </w:r>
      <w:r w:rsidR="00510624">
        <w:rPr>
          <w:rFonts w:hint="cs"/>
          <w:sz w:val="27"/>
          <w:rtl/>
          <w:lang w:bidi="ar-IQ"/>
        </w:rPr>
        <w:t>حا</w:t>
      </w:r>
      <w:r w:rsidRPr="00904FCB">
        <w:rPr>
          <w:rFonts w:hint="cs"/>
          <w:sz w:val="27"/>
          <w:rtl/>
          <w:lang w:bidi="ar-IQ"/>
        </w:rPr>
        <w:t>خامات</w:t>
      </w:r>
      <w:r w:rsidR="00784464" w:rsidRPr="00904FCB">
        <w:rPr>
          <w:rFonts w:hint="cs"/>
          <w:sz w:val="27"/>
          <w:rtl/>
          <w:lang w:bidi="ar-IQ"/>
        </w:rPr>
        <w:t>.</w:t>
      </w:r>
      <w:r w:rsidRPr="00904FCB">
        <w:rPr>
          <w:rFonts w:hint="cs"/>
          <w:sz w:val="27"/>
          <w:rtl/>
          <w:lang w:bidi="ar-IQ"/>
        </w:rPr>
        <w:t xml:space="preserve"> و</w:t>
      </w:r>
      <w:r w:rsidR="00784464" w:rsidRPr="00904FCB">
        <w:rPr>
          <w:rFonts w:hint="cs"/>
          <w:sz w:val="27"/>
          <w:rtl/>
          <w:lang w:bidi="ar-IQ"/>
        </w:rPr>
        <w:t xml:space="preserve">في </w:t>
      </w:r>
      <w:r w:rsidRPr="00904FCB">
        <w:rPr>
          <w:rFonts w:hint="cs"/>
          <w:sz w:val="27"/>
          <w:rtl/>
          <w:lang w:bidi="ar-IQ"/>
        </w:rPr>
        <w:t xml:space="preserve">المحصلة </w:t>
      </w:r>
      <w:r w:rsidR="00784464" w:rsidRPr="00904FCB">
        <w:rPr>
          <w:rFonts w:hint="cs"/>
          <w:sz w:val="27"/>
          <w:rtl/>
          <w:lang w:bidi="ar-IQ"/>
        </w:rPr>
        <w:t>إ</w:t>
      </w:r>
      <w:r w:rsidRPr="00904FCB">
        <w:rPr>
          <w:rFonts w:hint="cs"/>
          <w:sz w:val="27"/>
          <w:rtl/>
          <w:lang w:bidi="ar-IQ"/>
        </w:rPr>
        <w:t>ن ال</w:t>
      </w:r>
      <w:r w:rsidR="00784464" w:rsidRPr="00904FCB">
        <w:rPr>
          <w:rFonts w:hint="cs"/>
          <w:sz w:val="27"/>
          <w:rtl/>
          <w:lang w:bidi="ar-IQ"/>
        </w:rPr>
        <w:t>أ</w:t>
      </w:r>
      <w:r w:rsidRPr="00904FCB">
        <w:rPr>
          <w:rFonts w:hint="cs"/>
          <w:sz w:val="27"/>
          <w:rtl/>
          <w:lang w:bidi="ar-IQ"/>
        </w:rPr>
        <w:t>صولية اليهودية ناتج</w:t>
      </w:r>
      <w:r w:rsidR="00784464" w:rsidRPr="00904FCB">
        <w:rPr>
          <w:rFonts w:hint="cs"/>
          <w:sz w:val="27"/>
          <w:rtl/>
          <w:lang w:bidi="ar-IQ"/>
        </w:rPr>
        <w:t>ٌ</w:t>
      </w:r>
      <w:r w:rsidRPr="00904FCB">
        <w:rPr>
          <w:rFonts w:hint="cs"/>
          <w:sz w:val="27"/>
          <w:rtl/>
          <w:lang w:bidi="ar-IQ"/>
        </w:rPr>
        <w:t xml:space="preserve"> عن مركب </w:t>
      </w:r>
      <w:r w:rsidR="00510624">
        <w:rPr>
          <w:rFonts w:hint="cs"/>
          <w:sz w:val="27"/>
          <w:rtl/>
          <w:lang w:bidi="ar-IQ"/>
        </w:rPr>
        <w:t>أ</w:t>
      </w:r>
      <w:r w:rsidRPr="00904FCB">
        <w:rPr>
          <w:rFonts w:hint="cs"/>
          <w:sz w:val="27"/>
          <w:rtl/>
          <w:lang w:bidi="ar-IQ"/>
        </w:rPr>
        <w:t>يديولوجي من نزعة عنصرية مؤس</w:t>
      </w:r>
      <w:r w:rsidR="00784464" w:rsidRPr="00904FCB">
        <w:rPr>
          <w:rFonts w:hint="cs"/>
          <w:sz w:val="27"/>
          <w:rtl/>
          <w:lang w:bidi="ar-IQ"/>
        </w:rPr>
        <w:t>ّ</w:t>
      </w:r>
      <w:r w:rsidRPr="00904FCB">
        <w:rPr>
          <w:rFonts w:hint="cs"/>
          <w:sz w:val="27"/>
          <w:rtl/>
          <w:lang w:bidi="ar-IQ"/>
        </w:rPr>
        <w:t>سة على تفوق ديني، وتميز عرقي</w:t>
      </w:r>
      <w:r w:rsidR="00784464" w:rsidRPr="00904FCB">
        <w:rPr>
          <w:rFonts w:hint="cs"/>
          <w:sz w:val="27"/>
          <w:rtl/>
          <w:lang w:bidi="ar-IQ"/>
        </w:rPr>
        <w:t>.</w:t>
      </w:r>
      <w:r w:rsidRPr="00904FCB">
        <w:rPr>
          <w:rFonts w:hint="cs"/>
          <w:sz w:val="27"/>
          <w:rtl/>
          <w:lang w:bidi="ar-IQ"/>
        </w:rPr>
        <w:t xml:space="preserve"> وهذه ال</w:t>
      </w:r>
      <w:r w:rsidR="00510624">
        <w:rPr>
          <w:rFonts w:hint="cs"/>
          <w:sz w:val="27"/>
          <w:rtl/>
          <w:lang w:bidi="ar-IQ"/>
        </w:rPr>
        <w:t>أ</w:t>
      </w:r>
      <w:r w:rsidRPr="00904FCB">
        <w:rPr>
          <w:rFonts w:hint="cs"/>
          <w:sz w:val="27"/>
          <w:rtl/>
          <w:lang w:bidi="ar-IQ"/>
        </w:rPr>
        <w:t>يديولوجي</w:t>
      </w:r>
      <w:r w:rsidR="00510624">
        <w:rPr>
          <w:rFonts w:hint="cs"/>
          <w:sz w:val="27"/>
          <w:rtl/>
          <w:lang w:bidi="ar-IQ"/>
        </w:rPr>
        <w:t>ا</w:t>
      </w:r>
      <w:r w:rsidRPr="00904FCB">
        <w:rPr>
          <w:rFonts w:hint="cs"/>
          <w:sz w:val="27"/>
          <w:rtl/>
          <w:lang w:bidi="ar-IQ"/>
        </w:rPr>
        <w:t xml:space="preserve"> تحفز كل</w:t>
      </w:r>
      <w:r w:rsidR="00784464" w:rsidRPr="00904FCB">
        <w:rPr>
          <w:rFonts w:hint="cs"/>
          <w:sz w:val="27"/>
          <w:rtl/>
          <w:lang w:bidi="ar-IQ"/>
        </w:rPr>
        <w:t>ّ</w:t>
      </w:r>
      <w:r w:rsidRPr="00904FCB">
        <w:rPr>
          <w:rFonts w:hint="cs"/>
          <w:sz w:val="27"/>
          <w:rtl/>
          <w:lang w:bidi="ar-IQ"/>
        </w:rPr>
        <w:t xml:space="preserve"> الاستعدادات النفسية الأخرى لتبن</w:t>
      </w:r>
      <w:r w:rsidR="00784464" w:rsidRPr="00904FCB">
        <w:rPr>
          <w:rFonts w:hint="cs"/>
          <w:sz w:val="27"/>
          <w:rtl/>
          <w:lang w:bidi="ar-IQ"/>
        </w:rPr>
        <w:t>ّ</w:t>
      </w:r>
      <w:r w:rsidRPr="00904FCB">
        <w:rPr>
          <w:rFonts w:hint="cs"/>
          <w:sz w:val="27"/>
          <w:rtl/>
          <w:lang w:bidi="ar-IQ"/>
        </w:rPr>
        <w:t>ي ال</w:t>
      </w:r>
      <w:r w:rsidR="00784464" w:rsidRPr="00904FCB">
        <w:rPr>
          <w:rFonts w:hint="cs"/>
          <w:sz w:val="27"/>
          <w:rtl/>
          <w:lang w:bidi="ar-IQ"/>
        </w:rPr>
        <w:t>أ</w:t>
      </w:r>
      <w:r w:rsidRPr="00904FCB">
        <w:rPr>
          <w:rFonts w:hint="cs"/>
          <w:sz w:val="27"/>
          <w:rtl/>
          <w:lang w:bidi="ar-IQ"/>
        </w:rPr>
        <w:t>صولية</w:t>
      </w:r>
      <w:r w:rsidRPr="00904FCB">
        <w:rPr>
          <w:rFonts w:hint="cs"/>
          <w:sz w:val="27"/>
          <w:vertAlign w:val="superscript"/>
          <w:rtl/>
          <w:lang w:bidi="ar-IQ"/>
        </w:rPr>
        <w:t>(</w:t>
      </w:r>
      <w:r w:rsidRPr="00904FCB">
        <w:rPr>
          <w:sz w:val="27"/>
          <w:vertAlign w:val="superscript"/>
          <w:rtl/>
        </w:rPr>
        <w:endnoteReference w:id="308"/>
      </w:r>
      <w:r w:rsidRPr="00904FCB">
        <w:rPr>
          <w:rFonts w:hint="cs"/>
          <w:sz w:val="27"/>
          <w:vertAlign w:val="superscript"/>
          <w:rtl/>
          <w:lang w:bidi="ar-IQ"/>
        </w:rPr>
        <w:t>)</w:t>
      </w:r>
      <w:r w:rsidRPr="00904FCB">
        <w:rPr>
          <w:rFonts w:hint="cs"/>
          <w:sz w:val="27"/>
          <w:rtl/>
          <w:lang w:bidi="ar-IQ"/>
        </w:rPr>
        <w:t xml:space="preserve">، والسير </w:t>
      </w:r>
      <w:r w:rsidR="00784464" w:rsidRPr="00904FCB">
        <w:rPr>
          <w:rFonts w:hint="cs"/>
          <w:sz w:val="27"/>
          <w:rtl/>
          <w:lang w:bidi="ar-IQ"/>
        </w:rPr>
        <w:t>وفق</w:t>
      </w:r>
      <w:r w:rsidRPr="00904FCB">
        <w:rPr>
          <w:rFonts w:hint="cs"/>
          <w:sz w:val="27"/>
          <w:rtl/>
          <w:lang w:bidi="ar-IQ"/>
        </w:rPr>
        <w:t xml:space="preserve"> مقتضياتها النظرية والسلوكية. </w:t>
      </w:r>
    </w:p>
    <w:p w:rsidR="00952E59" w:rsidRPr="00904FCB" w:rsidRDefault="00952E59" w:rsidP="009314BC">
      <w:pPr>
        <w:spacing w:line="400" w:lineRule="exact"/>
        <w:rPr>
          <w:sz w:val="27"/>
          <w:rtl/>
          <w:lang w:bidi="ar-IQ"/>
        </w:rPr>
      </w:pPr>
      <w:r w:rsidRPr="00904FCB">
        <w:rPr>
          <w:rFonts w:hint="cs"/>
          <w:sz w:val="27"/>
          <w:rtl/>
          <w:lang w:bidi="ar-IQ"/>
        </w:rPr>
        <w:t>لهذا السبب في</w:t>
      </w:r>
      <w:r w:rsidR="00784464" w:rsidRPr="00904FCB">
        <w:rPr>
          <w:rFonts w:hint="cs"/>
          <w:sz w:val="27"/>
          <w:rtl/>
          <w:lang w:bidi="ar-IQ"/>
        </w:rPr>
        <w:t xml:space="preserve"> </w:t>
      </w:r>
      <w:r w:rsidRPr="00904FCB">
        <w:rPr>
          <w:rFonts w:hint="cs"/>
          <w:sz w:val="27"/>
          <w:rtl/>
          <w:lang w:bidi="ar-IQ"/>
        </w:rPr>
        <w:t>ما أظن</w:t>
      </w:r>
      <w:r w:rsidR="00784464" w:rsidRPr="00904FCB">
        <w:rPr>
          <w:rFonts w:hint="cs"/>
          <w:sz w:val="27"/>
          <w:rtl/>
          <w:lang w:bidi="ar-IQ"/>
        </w:rPr>
        <w:t>ّ</w:t>
      </w:r>
      <w:r w:rsidRPr="00904FCB">
        <w:rPr>
          <w:rFonts w:hint="cs"/>
          <w:sz w:val="27"/>
          <w:rtl/>
          <w:lang w:bidi="ar-IQ"/>
        </w:rPr>
        <w:t xml:space="preserve"> ظهرت ال</w:t>
      </w:r>
      <w:r w:rsidR="00784464" w:rsidRPr="00904FCB">
        <w:rPr>
          <w:rFonts w:hint="cs"/>
          <w:sz w:val="27"/>
          <w:rtl/>
          <w:lang w:bidi="ar-IQ"/>
        </w:rPr>
        <w:t>أ</w:t>
      </w:r>
      <w:r w:rsidRPr="00904FCB">
        <w:rPr>
          <w:rFonts w:hint="cs"/>
          <w:sz w:val="27"/>
          <w:rtl/>
          <w:lang w:bidi="ar-IQ"/>
        </w:rPr>
        <w:t>صولي</w:t>
      </w:r>
      <w:r w:rsidR="00784464" w:rsidRPr="00904FCB">
        <w:rPr>
          <w:rFonts w:hint="cs"/>
          <w:sz w:val="27"/>
          <w:rtl/>
          <w:lang w:bidi="ar-IQ"/>
        </w:rPr>
        <w:t>ة</w:t>
      </w:r>
      <w:r w:rsidRPr="00904FCB">
        <w:rPr>
          <w:rFonts w:hint="cs"/>
          <w:sz w:val="27"/>
          <w:rtl/>
          <w:lang w:bidi="ar-IQ"/>
        </w:rPr>
        <w:t xml:space="preserve"> بشكل</w:t>
      </w:r>
      <w:r w:rsidR="00784464" w:rsidRPr="00904FCB">
        <w:rPr>
          <w:rFonts w:hint="cs"/>
          <w:sz w:val="27"/>
          <w:rtl/>
          <w:lang w:bidi="ar-IQ"/>
        </w:rPr>
        <w:t>ٍ</w:t>
      </w:r>
      <w:r w:rsidRPr="00904FCB">
        <w:rPr>
          <w:rFonts w:hint="cs"/>
          <w:sz w:val="27"/>
          <w:rtl/>
          <w:lang w:bidi="ar-IQ"/>
        </w:rPr>
        <w:t xml:space="preserve"> مبك</w:t>
      </w:r>
      <w:r w:rsidR="00510624">
        <w:rPr>
          <w:rFonts w:hint="cs"/>
          <w:sz w:val="27"/>
          <w:rtl/>
          <w:lang w:bidi="ar-IQ"/>
        </w:rPr>
        <w:t>ِّ</w:t>
      </w:r>
      <w:r w:rsidRPr="00904FCB">
        <w:rPr>
          <w:rFonts w:hint="cs"/>
          <w:sz w:val="27"/>
          <w:rtl/>
          <w:lang w:bidi="ar-IQ"/>
        </w:rPr>
        <w:t>ر في المجتمع اليهودي</w:t>
      </w:r>
      <w:r w:rsidR="00784464" w:rsidRPr="00904FCB">
        <w:rPr>
          <w:rFonts w:hint="cs"/>
          <w:sz w:val="27"/>
          <w:rtl/>
          <w:lang w:bidi="ar-IQ"/>
        </w:rPr>
        <w:t>.</w:t>
      </w:r>
      <w:r w:rsidRPr="00904FCB">
        <w:rPr>
          <w:rFonts w:hint="cs"/>
          <w:sz w:val="27"/>
          <w:rtl/>
          <w:lang w:bidi="ar-IQ"/>
        </w:rPr>
        <w:t xml:space="preserve"> فقد جاء في قاموس ال</w:t>
      </w:r>
      <w:r w:rsidR="00784464" w:rsidRPr="00904FCB">
        <w:rPr>
          <w:rFonts w:hint="cs"/>
          <w:sz w:val="27"/>
          <w:rtl/>
          <w:lang w:bidi="ar-IQ"/>
        </w:rPr>
        <w:t>أ</w:t>
      </w:r>
      <w:r w:rsidRPr="00904FCB">
        <w:rPr>
          <w:rFonts w:hint="cs"/>
          <w:sz w:val="27"/>
          <w:rtl/>
          <w:lang w:bidi="ar-IQ"/>
        </w:rPr>
        <w:t>ديان الكبرى الثلاث</w:t>
      </w:r>
      <w:r w:rsidR="00510624">
        <w:rPr>
          <w:rFonts w:hint="cs"/>
          <w:sz w:val="27"/>
          <w:rtl/>
          <w:lang w:bidi="ar-IQ"/>
        </w:rPr>
        <w:t>ة</w:t>
      </w:r>
      <w:r w:rsidRPr="00904FCB">
        <w:rPr>
          <w:rFonts w:hint="cs"/>
          <w:sz w:val="27"/>
          <w:rtl/>
          <w:lang w:bidi="ar-IQ"/>
        </w:rPr>
        <w:t xml:space="preserve"> أن الوسط الديني اليهودي أفرز مبكراً </w:t>
      </w:r>
      <w:r w:rsidRPr="00904FCB">
        <w:rPr>
          <w:rFonts w:hint="cs"/>
          <w:sz w:val="27"/>
          <w:rtl/>
          <w:lang w:bidi="ar-IQ"/>
        </w:rPr>
        <w:lastRenderedPageBreak/>
        <w:t xml:space="preserve">حركة </w:t>
      </w:r>
      <w:r w:rsidR="00784464" w:rsidRPr="00904FCB">
        <w:rPr>
          <w:rFonts w:hint="cs"/>
          <w:sz w:val="27"/>
          <w:rtl/>
          <w:lang w:bidi="ar-IQ"/>
        </w:rPr>
        <w:t>أ</w:t>
      </w:r>
      <w:r w:rsidRPr="00904FCB">
        <w:rPr>
          <w:rFonts w:hint="cs"/>
          <w:sz w:val="27"/>
          <w:rtl/>
          <w:lang w:bidi="ar-IQ"/>
        </w:rPr>
        <w:t>صولي</w:t>
      </w:r>
      <w:r w:rsidR="009314BC">
        <w:rPr>
          <w:rFonts w:hint="cs"/>
          <w:sz w:val="27"/>
          <w:rtl/>
          <w:lang w:bidi="ar-IQ"/>
        </w:rPr>
        <w:t>ة</w:t>
      </w:r>
      <w:r w:rsidRPr="00904FCB">
        <w:rPr>
          <w:rFonts w:hint="cs"/>
          <w:sz w:val="27"/>
          <w:rtl/>
          <w:lang w:bidi="ar-IQ"/>
        </w:rPr>
        <w:t xml:space="preserve"> قديمة</w:t>
      </w:r>
      <w:r w:rsidR="009314BC">
        <w:rPr>
          <w:rFonts w:hint="cs"/>
          <w:sz w:val="27"/>
          <w:rtl/>
          <w:lang w:bidi="ar-IQ"/>
        </w:rPr>
        <w:t xml:space="preserve"> سُمِّيت</w:t>
      </w:r>
      <w:r w:rsidRPr="00904FCB">
        <w:rPr>
          <w:rFonts w:hint="cs"/>
          <w:sz w:val="27"/>
          <w:rtl/>
          <w:lang w:bidi="ar-IQ"/>
        </w:rPr>
        <w:t xml:space="preserve"> بـ (المتعص</w:t>
      </w:r>
      <w:r w:rsidR="00784464" w:rsidRPr="00904FCB">
        <w:rPr>
          <w:rFonts w:hint="cs"/>
          <w:sz w:val="27"/>
          <w:rtl/>
          <w:lang w:bidi="ar-IQ"/>
        </w:rPr>
        <w:t>ِّ</w:t>
      </w:r>
      <w:r w:rsidRPr="00904FCB">
        <w:rPr>
          <w:rFonts w:hint="cs"/>
          <w:sz w:val="27"/>
          <w:rtl/>
          <w:lang w:bidi="ar-IQ"/>
        </w:rPr>
        <w:t>بون)</w:t>
      </w:r>
      <w:r w:rsidR="00784464" w:rsidRPr="00904FCB">
        <w:rPr>
          <w:rFonts w:hint="cs"/>
          <w:sz w:val="27"/>
          <w:rtl/>
          <w:lang w:bidi="ar-IQ"/>
        </w:rPr>
        <w:t>.</w:t>
      </w:r>
      <w:r w:rsidRPr="00904FCB">
        <w:rPr>
          <w:rFonts w:hint="cs"/>
          <w:sz w:val="27"/>
          <w:rtl/>
          <w:lang w:bidi="ar-IQ"/>
        </w:rPr>
        <w:t xml:space="preserve"> فقد ظهرت </w:t>
      </w:r>
      <w:r w:rsidRPr="009B1673">
        <w:rPr>
          <w:rFonts w:hint="cs"/>
          <w:sz w:val="27"/>
          <w:rtl/>
          <w:lang w:bidi="ar-IQ"/>
        </w:rPr>
        <w:t>بين (66 ـ 70م) وكان</w:t>
      </w:r>
      <w:r w:rsidRPr="00904FCB">
        <w:rPr>
          <w:rFonts w:hint="cs"/>
          <w:sz w:val="27"/>
          <w:rtl/>
          <w:lang w:bidi="ar-IQ"/>
        </w:rPr>
        <w:t xml:space="preserve"> هم</w:t>
      </w:r>
      <w:r w:rsidR="00784464" w:rsidRPr="00904FCB">
        <w:rPr>
          <w:rFonts w:hint="cs"/>
          <w:sz w:val="27"/>
          <w:rtl/>
          <w:lang w:bidi="ar-IQ"/>
        </w:rPr>
        <w:t>ّ</w:t>
      </w:r>
      <w:r w:rsidRPr="00904FCB">
        <w:rPr>
          <w:rFonts w:hint="cs"/>
          <w:sz w:val="27"/>
          <w:rtl/>
          <w:lang w:bidi="ar-IQ"/>
        </w:rPr>
        <w:t>ها المحافظة على الحياة الدينية لليهود، وكانت تعارض اليهود الذين يسع</w:t>
      </w:r>
      <w:r w:rsidR="00784464" w:rsidRPr="00904FCB">
        <w:rPr>
          <w:rFonts w:hint="cs"/>
          <w:sz w:val="27"/>
          <w:rtl/>
          <w:lang w:bidi="ar-IQ"/>
        </w:rPr>
        <w:t>َ</w:t>
      </w:r>
      <w:r w:rsidRPr="00904FCB">
        <w:rPr>
          <w:rFonts w:hint="cs"/>
          <w:sz w:val="27"/>
          <w:rtl/>
          <w:lang w:bidi="ar-IQ"/>
        </w:rPr>
        <w:t>و</w:t>
      </w:r>
      <w:r w:rsidR="00784464" w:rsidRPr="00904FCB">
        <w:rPr>
          <w:rFonts w:hint="cs"/>
          <w:sz w:val="27"/>
          <w:rtl/>
          <w:lang w:bidi="ar-IQ"/>
        </w:rPr>
        <w:t>ْ</w:t>
      </w:r>
      <w:r w:rsidRPr="00904FCB">
        <w:rPr>
          <w:rFonts w:hint="cs"/>
          <w:sz w:val="27"/>
          <w:rtl/>
          <w:lang w:bidi="ar-IQ"/>
        </w:rPr>
        <w:t>ن للمصالحة والتعايش مع السلطات الرومانية</w:t>
      </w:r>
      <w:r w:rsidR="00E606E2" w:rsidRPr="00904FCB">
        <w:rPr>
          <w:rFonts w:hint="cs"/>
          <w:sz w:val="27"/>
          <w:rtl/>
          <w:lang w:bidi="ar-IQ"/>
        </w:rPr>
        <w:t>.</w:t>
      </w:r>
      <w:r w:rsidRPr="00904FCB">
        <w:rPr>
          <w:rFonts w:hint="cs"/>
          <w:sz w:val="27"/>
          <w:rtl/>
          <w:lang w:bidi="ar-IQ"/>
        </w:rPr>
        <w:t xml:space="preserve"> وتوس</w:t>
      </w:r>
      <w:r w:rsidR="00784464" w:rsidRPr="00904FCB">
        <w:rPr>
          <w:rFonts w:hint="cs"/>
          <w:sz w:val="27"/>
          <w:rtl/>
          <w:lang w:bidi="ar-IQ"/>
        </w:rPr>
        <w:t>َّ</w:t>
      </w:r>
      <w:r w:rsidRPr="00904FCB">
        <w:rPr>
          <w:rFonts w:hint="cs"/>
          <w:sz w:val="27"/>
          <w:rtl/>
          <w:lang w:bidi="ar-IQ"/>
        </w:rPr>
        <w:t>ل</w:t>
      </w:r>
      <w:r w:rsidR="00784464" w:rsidRPr="00904FCB">
        <w:rPr>
          <w:rFonts w:hint="cs"/>
          <w:sz w:val="27"/>
          <w:rtl/>
          <w:lang w:bidi="ar-IQ"/>
        </w:rPr>
        <w:t>َ</w:t>
      </w:r>
      <w:r w:rsidRPr="00904FCB">
        <w:rPr>
          <w:rFonts w:hint="cs"/>
          <w:sz w:val="27"/>
          <w:rtl/>
          <w:lang w:bidi="ar-IQ"/>
        </w:rPr>
        <w:t>ت</w:t>
      </w:r>
      <w:r w:rsidR="00784464" w:rsidRPr="00904FCB">
        <w:rPr>
          <w:rFonts w:hint="cs"/>
          <w:sz w:val="27"/>
          <w:rtl/>
          <w:lang w:bidi="ar-IQ"/>
        </w:rPr>
        <w:t>ْ</w:t>
      </w:r>
      <w:r w:rsidRPr="00904FCB">
        <w:rPr>
          <w:rFonts w:hint="cs"/>
          <w:sz w:val="27"/>
          <w:rtl/>
          <w:lang w:bidi="ar-IQ"/>
        </w:rPr>
        <w:t xml:space="preserve"> هذه الجماع</w:t>
      </w:r>
      <w:r w:rsidR="00784464" w:rsidRPr="00904FCB">
        <w:rPr>
          <w:rFonts w:hint="cs"/>
          <w:sz w:val="27"/>
          <w:rtl/>
          <w:lang w:bidi="ar-IQ"/>
        </w:rPr>
        <w:t>ة</w:t>
      </w:r>
      <w:r w:rsidRPr="00904FCB">
        <w:rPr>
          <w:rFonts w:hint="cs"/>
          <w:sz w:val="27"/>
          <w:rtl/>
          <w:lang w:bidi="ar-IQ"/>
        </w:rPr>
        <w:t xml:space="preserve"> </w:t>
      </w:r>
      <w:r w:rsidR="00784464" w:rsidRPr="00904FCB">
        <w:rPr>
          <w:rFonts w:hint="cs"/>
          <w:sz w:val="27"/>
          <w:rtl/>
          <w:lang w:bidi="ar-IQ"/>
        </w:rPr>
        <w:t>إ</w:t>
      </w:r>
      <w:r w:rsidRPr="00904FCB">
        <w:rPr>
          <w:rFonts w:hint="cs"/>
          <w:sz w:val="27"/>
          <w:rtl/>
          <w:lang w:bidi="ar-IQ"/>
        </w:rPr>
        <w:t>لى أهدافها بالتشد</w:t>
      </w:r>
      <w:r w:rsidR="00784464" w:rsidRPr="00904FCB">
        <w:rPr>
          <w:rFonts w:hint="cs"/>
          <w:sz w:val="27"/>
          <w:rtl/>
          <w:lang w:bidi="ar-IQ"/>
        </w:rPr>
        <w:t>ُّ</w:t>
      </w:r>
      <w:r w:rsidRPr="00904FCB">
        <w:rPr>
          <w:rFonts w:hint="cs"/>
          <w:sz w:val="27"/>
          <w:rtl/>
          <w:lang w:bidi="ar-IQ"/>
        </w:rPr>
        <w:t>د والتمس</w:t>
      </w:r>
      <w:r w:rsidR="00784464" w:rsidRPr="00904FCB">
        <w:rPr>
          <w:rFonts w:hint="cs"/>
          <w:sz w:val="27"/>
          <w:rtl/>
          <w:lang w:bidi="ar-IQ"/>
        </w:rPr>
        <w:t>ُّ</w:t>
      </w:r>
      <w:r w:rsidRPr="00904FCB">
        <w:rPr>
          <w:rFonts w:hint="cs"/>
          <w:sz w:val="27"/>
          <w:rtl/>
          <w:lang w:bidi="ar-IQ"/>
        </w:rPr>
        <w:t>ك بال</w:t>
      </w:r>
      <w:r w:rsidR="00784464" w:rsidRPr="00904FCB">
        <w:rPr>
          <w:rFonts w:hint="cs"/>
          <w:sz w:val="27"/>
          <w:rtl/>
          <w:lang w:bidi="ar-IQ"/>
        </w:rPr>
        <w:t>أ</w:t>
      </w:r>
      <w:r w:rsidRPr="00904FCB">
        <w:rPr>
          <w:rFonts w:hint="cs"/>
          <w:sz w:val="27"/>
          <w:rtl/>
          <w:lang w:bidi="ar-IQ"/>
        </w:rPr>
        <w:t>صول</w:t>
      </w:r>
      <w:r w:rsidR="00784464" w:rsidRPr="00904FCB">
        <w:rPr>
          <w:rFonts w:hint="cs"/>
          <w:sz w:val="27"/>
          <w:rtl/>
          <w:lang w:bidi="ar-IQ"/>
        </w:rPr>
        <w:t>،</w:t>
      </w:r>
      <w:r w:rsidRPr="00904FCB">
        <w:rPr>
          <w:rFonts w:hint="cs"/>
          <w:sz w:val="27"/>
          <w:rtl/>
          <w:lang w:bidi="ar-IQ"/>
        </w:rPr>
        <w:t xml:space="preserve"> ونشرت </w:t>
      </w:r>
      <w:r w:rsidR="00784464" w:rsidRPr="00904FCB">
        <w:rPr>
          <w:rFonts w:hint="cs"/>
          <w:sz w:val="27"/>
          <w:rtl/>
          <w:lang w:bidi="ar-IQ"/>
        </w:rPr>
        <w:t>ا</w:t>
      </w:r>
      <w:r w:rsidRPr="00904FCB">
        <w:rPr>
          <w:rFonts w:hint="cs"/>
          <w:sz w:val="27"/>
          <w:rtl/>
          <w:lang w:bidi="ar-IQ"/>
        </w:rPr>
        <w:t>عتقاد</w:t>
      </w:r>
      <w:r w:rsidR="00784464" w:rsidRPr="00904FCB">
        <w:rPr>
          <w:rFonts w:hint="cs"/>
          <w:sz w:val="27"/>
          <w:rtl/>
          <w:lang w:bidi="ar-IQ"/>
        </w:rPr>
        <w:t>ا</w:t>
      </w:r>
      <w:r w:rsidRPr="00904FCB">
        <w:rPr>
          <w:rFonts w:hint="cs"/>
          <w:sz w:val="27"/>
          <w:rtl/>
          <w:lang w:bidi="ar-IQ"/>
        </w:rPr>
        <w:t>تها من خلال تسويغها السلوك العنيف</w:t>
      </w:r>
      <w:r w:rsidR="00784464" w:rsidRPr="00904FCB">
        <w:rPr>
          <w:rFonts w:hint="cs"/>
          <w:sz w:val="27"/>
          <w:rtl/>
          <w:lang w:bidi="ar-IQ"/>
        </w:rPr>
        <w:t>،</w:t>
      </w:r>
      <w:r w:rsidRPr="00904FCB">
        <w:rPr>
          <w:rFonts w:hint="cs"/>
          <w:sz w:val="27"/>
          <w:rtl/>
          <w:lang w:bidi="ar-IQ"/>
        </w:rPr>
        <w:t xml:space="preserve"> مم</w:t>
      </w:r>
      <w:r w:rsidR="00784464" w:rsidRPr="00904FCB">
        <w:rPr>
          <w:rFonts w:hint="cs"/>
          <w:sz w:val="27"/>
          <w:rtl/>
          <w:lang w:bidi="ar-IQ"/>
        </w:rPr>
        <w:t>ّ</w:t>
      </w:r>
      <w:r w:rsidRPr="00904FCB">
        <w:rPr>
          <w:rFonts w:hint="cs"/>
          <w:sz w:val="27"/>
          <w:rtl/>
          <w:lang w:bidi="ar-IQ"/>
        </w:rPr>
        <w:t xml:space="preserve">ا دفع سلطات الرومان </w:t>
      </w:r>
      <w:r w:rsidR="00784464" w:rsidRPr="00904FCB">
        <w:rPr>
          <w:rFonts w:hint="cs"/>
          <w:sz w:val="27"/>
          <w:rtl/>
          <w:lang w:bidi="ar-IQ"/>
        </w:rPr>
        <w:t>إ</w:t>
      </w:r>
      <w:r w:rsidRPr="00904FCB">
        <w:rPr>
          <w:rFonts w:hint="cs"/>
          <w:sz w:val="27"/>
          <w:rtl/>
          <w:lang w:bidi="ar-IQ"/>
        </w:rPr>
        <w:t>لى شن</w:t>
      </w:r>
      <w:r w:rsidR="00784464" w:rsidRPr="00904FCB">
        <w:rPr>
          <w:rFonts w:hint="cs"/>
          <w:sz w:val="27"/>
          <w:rtl/>
          <w:lang w:bidi="ar-IQ"/>
        </w:rPr>
        <w:t>ّ</w:t>
      </w:r>
      <w:r w:rsidRPr="00904FCB">
        <w:rPr>
          <w:rFonts w:hint="cs"/>
          <w:sz w:val="27"/>
          <w:rtl/>
          <w:lang w:bidi="ar-IQ"/>
        </w:rPr>
        <w:t xml:space="preserve"> الحرب على منطقة أورشليم</w:t>
      </w:r>
      <w:r w:rsidR="00784464" w:rsidRPr="00904FCB">
        <w:rPr>
          <w:rFonts w:hint="cs"/>
          <w:sz w:val="27"/>
          <w:rtl/>
          <w:lang w:bidi="ar-IQ"/>
        </w:rPr>
        <w:t>،</w:t>
      </w:r>
      <w:r w:rsidRPr="00904FCB">
        <w:rPr>
          <w:rFonts w:hint="cs"/>
          <w:sz w:val="27"/>
          <w:rtl/>
          <w:lang w:bidi="ar-IQ"/>
        </w:rPr>
        <w:t xml:space="preserve"> وسيطر الرومان عليه</w:t>
      </w:r>
      <w:r w:rsidR="00784464" w:rsidRPr="00904FCB">
        <w:rPr>
          <w:rFonts w:hint="cs"/>
          <w:sz w:val="27"/>
          <w:rtl/>
          <w:lang w:bidi="ar-IQ"/>
        </w:rPr>
        <w:t>،</w:t>
      </w:r>
      <w:r w:rsidRPr="00904FCB">
        <w:rPr>
          <w:rFonts w:hint="cs"/>
          <w:sz w:val="27"/>
          <w:rtl/>
          <w:lang w:bidi="ar-IQ"/>
        </w:rPr>
        <w:t xml:space="preserve"> وهدموا الهيكل عقاباً لهم</w:t>
      </w:r>
      <w:r w:rsidRPr="00904FCB">
        <w:rPr>
          <w:rFonts w:hint="cs"/>
          <w:sz w:val="27"/>
          <w:vertAlign w:val="superscript"/>
          <w:rtl/>
          <w:lang w:bidi="ar-IQ"/>
        </w:rPr>
        <w:t>(</w:t>
      </w:r>
      <w:r w:rsidRPr="00904FCB">
        <w:rPr>
          <w:sz w:val="27"/>
          <w:vertAlign w:val="superscript"/>
          <w:rtl/>
        </w:rPr>
        <w:endnoteReference w:id="309"/>
      </w:r>
      <w:r w:rsidRPr="00904FCB">
        <w:rPr>
          <w:rFonts w:hint="cs"/>
          <w:sz w:val="27"/>
          <w:vertAlign w:val="superscript"/>
          <w:rtl/>
          <w:lang w:bidi="ar-IQ"/>
        </w:rPr>
        <w:t>)</w:t>
      </w:r>
      <w:r w:rsidR="00784464" w:rsidRPr="00904FCB">
        <w:rPr>
          <w:rFonts w:hint="cs"/>
          <w:sz w:val="27"/>
          <w:rtl/>
          <w:lang w:bidi="ar-IQ"/>
        </w:rPr>
        <w:t>.</w:t>
      </w:r>
      <w:r w:rsidRPr="00904FCB">
        <w:rPr>
          <w:rFonts w:hint="cs"/>
          <w:sz w:val="27"/>
          <w:rtl/>
          <w:lang w:bidi="ar-IQ"/>
        </w:rPr>
        <w:t xml:space="preserve"> وكان هذا هو التدمير الثاني للمدينة والمعبد</w:t>
      </w:r>
      <w:r w:rsidR="00E606E2" w:rsidRPr="00904FCB">
        <w:rPr>
          <w:rFonts w:hint="cs"/>
          <w:sz w:val="27"/>
          <w:rtl/>
          <w:lang w:bidi="ar-IQ"/>
        </w:rPr>
        <w:t>،</w:t>
      </w:r>
      <w:r w:rsidRPr="00904FCB">
        <w:rPr>
          <w:rFonts w:hint="cs"/>
          <w:sz w:val="27"/>
          <w:rtl/>
          <w:lang w:bidi="ar-IQ"/>
        </w:rPr>
        <w:t xml:space="preserve"> بعد التدمير الأول الذي أحدثه بختنصر</w:t>
      </w:r>
      <w:r w:rsidR="00E606E2" w:rsidRPr="00904FCB">
        <w:rPr>
          <w:rFonts w:hint="cs"/>
          <w:sz w:val="27"/>
          <w:rtl/>
          <w:lang w:bidi="ar-IQ"/>
        </w:rPr>
        <w:t>،</w:t>
      </w:r>
      <w:r w:rsidRPr="00904FCB">
        <w:rPr>
          <w:rFonts w:hint="cs"/>
          <w:sz w:val="27"/>
          <w:rtl/>
          <w:lang w:bidi="ar-IQ"/>
        </w:rPr>
        <w:t xml:space="preserve"> وتم</w:t>
      </w:r>
      <w:r w:rsidR="00E606E2" w:rsidRPr="00904FCB">
        <w:rPr>
          <w:rFonts w:hint="cs"/>
          <w:sz w:val="27"/>
          <w:rtl/>
          <w:lang w:bidi="ar-IQ"/>
        </w:rPr>
        <w:t>ّ</w:t>
      </w:r>
      <w:r w:rsidRPr="00904FCB">
        <w:rPr>
          <w:rFonts w:hint="cs"/>
          <w:sz w:val="27"/>
          <w:rtl/>
          <w:lang w:bidi="ar-IQ"/>
        </w:rPr>
        <w:t xml:space="preserve"> إخماد الحركة ال</w:t>
      </w:r>
      <w:r w:rsidR="00E606E2" w:rsidRPr="00904FCB">
        <w:rPr>
          <w:rFonts w:hint="cs"/>
          <w:sz w:val="27"/>
          <w:rtl/>
          <w:lang w:bidi="ar-IQ"/>
        </w:rPr>
        <w:t>أ</w:t>
      </w:r>
      <w:r w:rsidRPr="00904FCB">
        <w:rPr>
          <w:rFonts w:hint="cs"/>
          <w:sz w:val="27"/>
          <w:rtl/>
          <w:lang w:bidi="ar-IQ"/>
        </w:rPr>
        <w:t>صولية تلك بالقمع</w:t>
      </w:r>
      <w:r w:rsidR="00E606E2" w:rsidRPr="00904FCB">
        <w:rPr>
          <w:rFonts w:hint="cs"/>
          <w:sz w:val="27"/>
          <w:rtl/>
          <w:lang w:bidi="ar-IQ"/>
        </w:rPr>
        <w:t>،</w:t>
      </w:r>
      <w:r w:rsidRPr="00904FCB">
        <w:rPr>
          <w:rFonts w:hint="cs"/>
          <w:sz w:val="27"/>
          <w:rtl/>
          <w:lang w:bidi="ar-IQ"/>
        </w:rPr>
        <w:t xml:space="preserve"> كرد</w:t>
      </w:r>
      <w:r w:rsidR="00E606E2" w:rsidRPr="00904FCB">
        <w:rPr>
          <w:rFonts w:hint="cs"/>
          <w:sz w:val="27"/>
          <w:rtl/>
          <w:lang w:bidi="ar-IQ"/>
        </w:rPr>
        <w:t>ٍّ</w:t>
      </w:r>
      <w:r w:rsidRPr="00904FCB">
        <w:rPr>
          <w:rFonts w:hint="cs"/>
          <w:sz w:val="27"/>
          <w:rtl/>
          <w:lang w:bidi="ar-IQ"/>
        </w:rPr>
        <w:t xml:space="preserve"> من السلطات الرومانية آنذاك على الموجة ال</w:t>
      </w:r>
      <w:r w:rsidR="00E606E2" w:rsidRPr="00904FCB">
        <w:rPr>
          <w:rFonts w:hint="cs"/>
          <w:sz w:val="27"/>
          <w:rtl/>
          <w:lang w:bidi="ar-IQ"/>
        </w:rPr>
        <w:t>أ</w:t>
      </w:r>
      <w:r w:rsidRPr="00904FCB">
        <w:rPr>
          <w:rFonts w:hint="cs"/>
          <w:sz w:val="27"/>
          <w:rtl/>
          <w:lang w:bidi="ar-IQ"/>
        </w:rPr>
        <w:t>صولية المبك</w:t>
      </w:r>
      <w:r w:rsidR="00E606E2" w:rsidRPr="00904FCB">
        <w:rPr>
          <w:rFonts w:hint="cs"/>
          <w:sz w:val="27"/>
          <w:rtl/>
          <w:lang w:bidi="ar-IQ"/>
        </w:rPr>
        <w:t>ّ</w:t>
      </w:r>
      <w:r w:rsidRPr="00904FCB">
        <w:rPr>
          <w:rFonts w:hint="cs"/>
          <w:sz w:val="27"/>
          <w:rtl/>
          <w:lang w:bidi="ar-IQ"/>
        </w:rPr>
        <w:t xml:space="preserve">رة. </w:t>
      </w:r>
    </w:p>
    <w:p w:rsidR="00952E59" w:rsidRPr="00904FCB" w:rsidRDefault="00952E59" w:rsidP="007A21AA">
      <w:pPr>
        <w:spacing w:line="400" w:lineRule="exact"/>
        <w:rPr>
          <w:sz w:val="27"/>
          <w:rtl/>
          <w:lang w:bidi="ar-IQ"/>
        </w:rPr>
      </w:pPr>
      <w:r w:rsidRPr="00904FCB">
        <w:rPr>
          <w:rFonts w:hint="cs"/>
          <w:sz w:val="27"/>
          <w:rtl/>
          <w:lang w:bidi="ar-IQ"/>
        </w:rPr>
        <w:t>لكن</w:t>
      </w:r>
      <w:r w:rsidR="00E606E2" w:rsidRPr="00904FCB">
        <w:rPr>
          <w:rFonts w:hint="cs"/>
          <w:sz w:val="27"/>
          <w:rtl/>
          <w:lang w:bidi="ar-IQ"/>
        </w:rPr>
        <w:t>ّ</w:t>
      </w:r>
      <w:r w:rsidRPr="00904FCB">
        <w:rPr>
          <w:rFonts w:hint="cs"/>
          <w:sz w:val="27"/>
          <w:rtl/>
          <w:lang w:bidi="ar-IQ"/>
        </w:rPr>
        <w:t xml:space="preserve"> هذا الإخماد لم يضع نهاي</w:t>
      </w:r>
      <w:r w:rsidR="00E606E2" w:rsidRPr="00904FCB">
        <w:rPr>
          <w:rFonts w:hint="cs"/>
          <w:sz w:val="27"/>
          <w:rtl/>
          <w:lang w:bidi="ar-IQ"/>
        </w:rPr>
        <w:t>ة</w:t>
      </w:r>
      <w:r w:rsidRPr="00904FCB">
        <w:rPr>
          <w:rFonts w:hint="cs"/>
          <w:sz w:val="27"/>
          <w:rtl/>
          <w:lang w:bidi="ar-IQ"/>
        </w:rPr>
        <w:t xml:space="preserve"> للمتعص</w:t>
      </w:r>
      <w:r w:rsidR="00E606E2" w:rsidRPr="00904FCB">
        <w:rPr>
          <w:rFonts w:hint="cs"/>
          <w:sz w:val="27"/>
          <w:rtl/>
          <w:lang w:bidi="ar-IQ"/>
        </w:rPr>
        <w:t>ِّ</w:t>
      </w:r>
      <w:r w:rsidRPr="00904FCB">
        <w:rPr>
          <w:rFonts w:hint="cs"/>
          <w:sz w:val="27"/>
          <w:rtl/>
          <w:lang w:bidi="ar-IQ"/>
        </w:rPr>
        <w:t>بين اليهود</w:t>
      </w:r>
      <w:r w:rsidR="00E606E2" w:rsidRPr="00904FCB">
        <w:rPr>
          <w:rFonts w:hint="cs"/>
          <w:sz w:val="27"/>
          <w:rtl/>
          <w:lang w:bidi="ar-IQ"/>
        </w:rPr>
        <w:t>،</w:t>
      </w:r>
      <w:r w:rsidRPr="00904FCB">
        <w:rPr>
          <w:rFonts w:hint="cs"/>
          <w:sz w:val="27"/>
          <w:rtl/>
          <w:lang w:bidi="ar-IQ"/>
        </w:rPr>
        <w:t xml:space="preserve"> فقد تجم</w:t>
      </w:r>
      <w:r w:rsidR="00E606E2" w:rsidRPr="00904FCB">
        <w:rPr>
          <w:rFonts w:hint="cs"/>
          <w:sz w:val="27"/>
          <w:rtl/>
          <w:lang w:bidi="ar-IQ"/>
        </w:rPr>
        <w:t>ّ</w:t>
      </w:r>
      <w:r w:rsidRPr="00904FCB">
        <w:rPr>
          <w:rFonts w:hint="cs"/>
          <w:sz w:val="27"/>
          <w:rtl/>
          <w:lang w:bidi="ar-IQ"/>
        </w:rPr>
        <w:t>ع عدد</w:t>
      </w:r>
      <w:r w:rsidR="00E606E2" w:rsidRPr="00904FCB">
        <w:rPr>
          <w:rFonts w:hint="cs"/>
          <w:sz w:val="27"/>
          <w:rtl/>
          <w:lang w:bidi="ar-IQ"/>
        </w:rPr>
        <w:t>ٌ</w:t>
      </w:r>
      <w:r w:rsidRPr="00904FCB">
        <w:rPr>
          <w:rFonts w:hint="cs"/>
          <w:sz w:val="27"/>
          <w:rtl/>
          <w:lang w:bidi="ar-IQ"/>
        </w:rPr>
        <w:t xml:space="preserve"> منهم لتدبير عملية التمر</w:t>
      </w:r>
      <w:r w:rsidR="00E606E2" w:rsidRPr="00904FCB">
        <w:rPr>
          <w:rFonts w:hint="cs"/>
          <w:sz w:val="27"/>
          <w:rtl/>
          <w:lang w:bidi="ar-IQ"/>
        </w:rPr>
        <w:t>ّ</w:t>
      </w:r>
      <w:r w:rsidRPr="00904FCB">
        <w:rPr>
          <w:rFonts w:hint="cs"/>
          <w:sz w:val="27"/>
          <w:rtl/>
          <w:lang w:bidi="ar-IQ"/>
        </w:rPr>
        <w:t>د ضد</w:t>
      </w:r>
      <w:r w:rsidR="00E606E2" w:rsidRPr="00904FCB">
        <w:rPr>
          <w:rFonts w:hint="cs"/>
          <w:sz w:val="27"/>
          <w:rtl/>
          <w:lang w:bidi="ar-IQ"/>
        </w:rPr>
        <w:t>ّ</w:t>
      </w:r>
      <w:r w:rsidRPr="00904FCB">
        <w:rPr>
          <w:rFonts w:hint="cs"/>
          <w:sz w:val="27"/>
          <w:rtl/>
          <w:lang w:bidi="ar-IQ"/>
        </w:rPr>
        <w:t xml:space="preserve"> الرومان، وعند ذاك </w:t>
      </w:r>
      <w:r w:rsidR="00E606E2" w:rsidRPr="00904FCB">
        <w:rPr>
          <w:rFonts w:hint="cs"/>
          <w:sz w:val="27"/>
          <w:rtl/>
          <w:lang w:bidi="ar-IQ"/>
        </w:rPr>
        <w:t>أ</w:t>
      </w:r>
      <w:r w:rsidRPr="00904FCB">
        <w:rPr>
          <w:rFonts w:hint="cs"/>
          <w:sz w:val="27"/>
          <w:rtl/>
          <w:lang w:bidi="ar-IQ"/>
        </w:rPr>
        <w:t>لغى الرومان السلطة المحلية التي منحوها لليهود</w:t>
      </w:r>
      <w:r w:rsidR="00E606E2" w:rsidRPr="00904FCB">
        <w:rPr>
          <w:rFonts w:hint="cs"/>
          <w:sz w:val="27"/>
          <w:rtl/>
          <w:lang w:bidi="ar-IQ"/>
        </w:rPr>
        <w:t>،</w:t>
      </w:r>
      <w:r w:rsidRPr="00904FCB">
        <w:rPr>
          <w:rFonts w:hint="cs"/>
          <w:sz w:val="27"/>
          <w:rtl/>
          <w:lang w:bidi="ar-IQ"/>
        </w:rPr>
        <w:t xml:space="preserve"> وحكموا مناطقهم حكماً مباشراً، فلجأ المتعص</w:t>
      </w:r>
      <w:r w:rsidR="00E606E2" w:rsidRPr="00904FCB">
        <w:rPr>
          <w:rFonts w:hint="cs"/>
          <w:sz w:val="27"/>
          <w:rtl/>
          <w:lang w:bidi="ar-IQ"/>
        </w:rPr>
        <w:t>ِّ</w:t>
      </w:r>
      <w:r w:rsidRPr="00904FCB">
        <w:rPr>
          <w:rFonts w:hint="cs"/>
          <w:sz w:val="27"/>
          <w:rtl/>
          <w:lang w:bidi="ar-IQ"/>
        </w:rPr>
        <w:t xml:space="preserve">بون </w:t>
      </w:r>
      <w:r w:rsidR="00E606E2" w:rsidRPr="00904FCB">
        <w:rPr>
          <w:rFonts w:hint="cs"/>
          <w:sz w:val="27"/>
          <w:rtl/>
          <w:lang w:bidi="ar-IQ"/>
        </w:rPr>
        <w:t>إ</w:t>
      </w:r>
      <w:r w:rsidRPr="00904FCB">
        <w:rPr>
          <w:rFonts w:hint="cs"/>
          <w:sz w:val="27"/>
          <w:rtl/>
          <w:lang w:bidi="ar-IQ"/>
        </w:rPr>
        <w:t>لى الاغتيالات ضد</w:t>
      </w:r>
      <w:r w:rsidR="00E606E2" w:rsidRPr="00904FCB">
        <w:rPr>
          <w:rFonts w:hint="cs"/>
          <w:sz w:val="27"/>
          <w:rtl/>
          <w:lang w:bidi="ar-IQ"/>
        </w:rPr>
        <w:t>ّ</w:t>
      </w:r>
      <w:r w:rsidRPr="00904FCB">
        <w:rPr>
          <w:rFonts w:hint="cs"/>
          <w:sz w:val="27"/>
          <w:rtl/>
          <w:lang w:bidi="ar-IQ"/>
        </w:rPr>
        <w:t xml:space="preserve"> م</w:t>
      </w:r>
      <w:r w:rsidR="00E606E2" w:rsidRPr="00904FCB">
        <w:rPr>
          <w:rFonts w:hint="cs"/>
          <w:sz w:val="27"/>
          <w:rtl/>
          <w:lang w:bidi="ar-IQ"/>
        </w:rPr>
        <w:t>َ</w:t>
      </w:r>
      <w:r w:rsidRPr="00904FCB">
        <w:rPr>
          <w:rFonts w:hint="cs"/>
          <w:sz w:val="27"/>
          <w:rtl/>
          <w:lang w:bidi="ar-IQ"/>
        </w:rPr>
        <w:t>ن</w:t>
      </w:r>
      <w:r w:rsidR="00E606E2" w:rsidRPr="00904FCB">
        <w:rPr>
          <w:rFonts w:hint="cs"/>
          <w:sz w:val="27"/>
          <w:rtl/>
          <w:lang w:bidi="ar-IQ"/>
        </w:rPr>
        <w:t>ْ</w:t>
      </w:r>
      <w:r w:rsidRPr="00904FCB">
        <w:rPr>
          <w:rFonts w:hint="cs"/>
          <w:sz w:val="27"/>
          <w:rtl/>
          <w:lang w:bidi="ar-IQ"/>
        </w:rPr>
        <w:t xml:space="preserve"> يتعاون مع الحكم الروماني</w:t>
      </w:r>
      <w:r w:rsidR="00E606E2" w:rsidRPr="00904FCB">
        <w:rPr>
          <w:rFonts w:hint="cs"/>
          <w:sz w:val="27"/>
          <w:rtl/>
          <w:lang w:bidi="ar-IQ"/>
        </w:rPr>
        <w:t>،</w:t>
      </w:r>
      <w:r w:rsidRPr="00904FCB">
        <w:rPr>
          <w:rFonts w:hint="cs"/>
          <w:sz w:val="27"/>
          <w:rtl/>
          <w:lang w:bidi="ar-IQ"/>
        </w:rPr>
        <w:t xml:space="preserve"> وقاموا باعتداءات علنية على الرومان</w:t>
      </w:r>
      <w:r w:rsidR="00E606E2" w:rsidRPr="00904FCB">
        <w:rPr>
          <w:rFonts w:hint="cs"/>
          <w:sz w:val="27"/>
          <w:rtl/>
          <w:lang w:bidi="ar-IQ"/>
        </w:rPr>
        <w:t>.</w:t>
      </w:r>
      <w:r w:rsidRPr="00904FCB">
        <w:rPr>
          <w:rFonts w:hint="cs"/>
          <w:sz w:val="27"/>
          <w:rtl/>
          <w:lang w:bidi="ar-IQ"/>
        </w:rPr>
        <w:t xml:space="preserve"> وقد أطلق على هذه المجموعات التي تمارس العدوان </w:t>
      </w:r>
      <w:r w:rsidR="00E606E2" w:rsidRPr="00904FCB">
        <w:rPr>
          <w:rFonts w:hint="eastAsia"/>
          <w:sz w:val="27"/>
          <w:rtl/>
        </w:rPr>
        <w:t>«</w:t>
      </w:r>
      <w:r w:rsidRPr="00904FCB">
        <w:rPr>
          <w:rFonts w:hint="cs"/>
          <w:sz w:val="27"/>
          <w:rtl/>
          <w:lang w:bidi="ar-IQ"/>
        </w:rPr>
        <w:t>السف</w:t>
      </w:r>
      <w:r w:rsidR="00E606E2" w:rsidRPr="00904FCB">
        <w:rPr>
          <w:rFonts w:hint="cs"/>
          <w:sz w:val="27"/>
          <w:rtl/>
          <w:lang w:bidi="ar-IQ"/>
        </w:rPr>
        <w:t>ّ</w:t>
      </w:r>
      <w:r w:rsidRPr="00904FCB">
        <w:rPr>
          <w:rFonts w:hint="cs"/>
          <w:sz w:val="27"/>
          <w:rtl/>
          <w:lang w:bidi="ar-IQ"/>
        </w:rPr>
        <w:t>اكون</w:t>
      </w:r>
      <w:r w:rsidR="00E606E2" w:rsidRPr="00904FCB">
        <w:rPr>
          <w:rFonts w:hint="eastAsia"/>
          <w:sz w:val="27"/>
          <w:rtl/>
        </w:rPr>
        <w:t>»</w:t>
      </w:r>
      <w:r w:rsidRPr="00904FCB">
        <w:rPr>
          <w:rFonts w:hint="cs"/>
          <w:sz w:val="27"/>
          <w:rtl/>
          <w:lang w:bidi="ar-IQ"/>
        </w:rPr>
        <w:t xml:space="preserve"> (</w:t>
      </w:r>
      <w:r w:rsidRPr="00904FCB">
        <w:rPr>
          <w:rFonts w:asciiTheme="majorBidi" w:hAnsiTheme="majorBidi" w:cstheme="majorBidi"/>
          <w:sz w:val="22"/>
          <w:szCs w:val="22"/>
          <w:lang w:bidi="fa-IR"/>
        </w:rPr>
        <w:t>Assassins</w:t>
      </w:r>
      <w:r w:rsidRPr="00904FCB">
        <w:rPr>
          <w:sz w:val="27"/>
          <w:rtl/>
          <w:lang w:bidi="ar-IQ"/>
        </w:rPr>
        <w:t>)</w:t>
      </w:r>
      <w:r w:rsidR="00C10CEE" w:rsidRPr="00904FCB">
        <w:rPr>
          <w:rFonts w:hint="cs"/>
          <w:sz w:val="27"/>
          <w:rtl/>
          <w:lang w:bidi="ar-IQ"/>
        </w:rPr>
        <w:t>،</w:t>
      </w:r>
      <w:r w:rsidRPr="00904FCB">
        <w:rPr>
          <w:rFonts w:hint="cs"/>
          <w:sz w:val="27"/>
          <w:rtl/>
          <w:lang w:bidi="ar-IQ"/>
        </w:rPr>
        <w:t xml:space="preserve"> </w:t>
      </w:r>
      <w:r w:rsidR="00C10CEE" w:rsidRPr="00904FCB">
        <w:rPr>
          <w:rFonts w:hint="cs"/>
          <w:sz w:val="27"/>
          <w:rtl/>
          <w:lang w:bidi="ar-IQ"/>
        </w:rPr>
        <w:t>أ</w:t>
      </w:r>
      <w:r w:rsidRPr="00904FCB">
        <w:rPr>
          <w:rFonts w:hint="cs"/>
          <w:sz w:val="27"/>
          <w:rtl/>
          <w:lang w:bidi="ar-IQ"/>
        </w:rPr>
        <w:t>ي الذين مارسوا القتل</w:t>
      </w:r>
      <w:r w:rsidR="00C10CEE" w:rsidRPr="00904FCB">
        <w:rPr>
          <w:rFonts w:hint="cs"/>
          <w:sz w:val="27"/>
          <w:rtl/>
          <w:lang w:bidi="ar-IQ"/>
        </w:rPr>
        <w:t>،</w:t>
      </w:r>
      <w:r w:rsidRPr="00904FCB">
        <w:rPr>
          <w:rFonts w:hint="cs"/>
          <w:sz w:val="27"/>
          <w:rtl/>
          <w:lang w:bidi="ar-IQ"/>
        </w:rPr>
        <w:t xml:space="preserve"> ولجأوا </w:t>
      </w:r>
      <w:r w:rsidR="00C10CEE" w:rsidRPr="00904FCB">
        <w:rPr>
          <w:rFonts w:hint="cs"/>
          <w:sz w:val="27"/>
          <w:rtl/>
          <w:lang w:bidi="ar-IQ"/>
        </w:rPr>
        <w:t>إ</w:t>
      </w:r>
      <w:r w:rsidRPr="00904FCB">
        <w:rPr>
          <w:rFonts w:hint="cs"/>
          <w:sz w:val="27"/>
          <w:rtl/>
          <w:lang w:bidi="ar-IQ"/>
        </w:rPr>
        <w:t>لى النهب واللصوصية ضد</w:t>
      </w:r>
      <w:r w:rsidR="00C10CEE" w:rsidRPr="00904FCB">
        <w:rPr>
          <w:rFonts w:hint="cs"/>
          <w:sz w:val="27"/>
          <w:rtl/>
          <w:lang w:bidi="ar-IQ"/>
        </w:rPr>
        <w:t>ّ</w:t>
      </w:r>
      <w:r w:rsidRPr="00904FCB">
        <w:rPr>
          <w:rFonts w:hint="cs"/>
          <w:sz w:val="27"/>
          <w:rtl/>
          <w:lang w:bidi="ar-IQ"/>
        </w:rPr>
        <w:t xml:space="preserve"> مخالفيهم</w:t>
      </w:r>
      <w:r w:rsidRPr="00904FCB">
        <w:rPr>
          <w:rFonts w:hint="cs"/>
          <w:sz w:val="27"/>
          <w:vertAlign w:val="superscript"/>
          <w:rtl/>
          <w:lang w:bidi="ar-IQ"/>
        </w:rPr>
        <w:t>(</w:t>
      </w:r>
      <w:r w:rsidRPr="00904FCB">
        <w:rPr>
          <w:sz w:val="27"/>
          <w:vertAlign w:val="superscript"/>
          <w:rtl/>
        </w:rPr>
        <w:endnoteReference w:id="310"/>
      </w:r>
      <w:r w:rsidRPr="00904FCB">
        <w:rPr>
          <w:rFonts w:hint="cs"/>
          <w:sz w:val="27"/>
          <w:vertAlign w:val="superscript"/>
          <w:rtl/>
          <w:lang w:bidi="ar-IQ"/>
        </w:rPr>
        <w:t>)</w:t>
      </w:r>
      <w:r w:rsidR="00C10CEE" w:rsidRPr="00904FCB">
        <w:rPr>
          <w:rFonts w:hint="cs"/>
          <w:sz w:val="27"/>
          <w:rtl/>
          <w:lang w:bidi="ar-IQ"/>
        </w:rPr>
        <w:t xml:space="preserve"> </w:t>
      </w:r>
      <w:r w:rsidRPr="00904FCB">
        <w:rPr>
          <w:rFonts w:hint="cs"/>
          <w:sz w:val="27"/>
          <w:rtl/>
          <w:lang w:bidi="ar-IQ"/>
        </w:rPr>
        <w:t>في الرأي من اليهود أنفسهم</w:t>
      </w:r>
      <w:r w:rsidR="00C10CEE" w:rsidRPr="00904FCB">
        <w:rPr>
          <w:rFonts w:hint="cs"/>
          <w:sz w:val="27"/>
          <w:rtl/>
          <w:lang w:bidi="ar-IQ"/>
        </w:rPr>
        <w:t>؛</w:t>
      </w:r>
      <w:r w:rsidRPr="00904FCB">
        <w:rPr>
          <w:rFonts w:hint="cs"/>
          <w:sz w:val="27"/>
          <w:rtl/>
          <w:lang w:bidi="ar-IQ"/>
        </w:rPr>
        <w:t xml:space="preserve"> لأنهم سالموا المخالفين لهم في الاعتقاد. </w:t>
      </w:r>
    </w:p>
    <w:p w:rsidR="00952E59" w:rsidRPr="00904FCB" w:rsidRDefault="00952E59" w:rsidP="007A21AA">
      <w:pPr>
        <w:spacing w:line="400" w:lineRule="exact"/>
        <w:rPr>
          <w:sz w:val="27"/>
          <w:rtl/>
          <w:lang w:bidi="ar-IQ"/>
        </w:rPr>
      </w:pPr>
      <w:r w:rsidRPr="00904FCB">
        <w:rPr>
          <w:rFonts w:hint="cs"/>
          <w:sz w:val="27"/>
          <w:rtl/>
          <w:lang w:bidi="ar-IQ"/>
        </w:rPr>
        <w:t>يقول د. شلبي: ومن أجل هذا يعد</w:t>
      </w:r>
      <w:r w:rsidR="00C10CEE" w:rsidRPr="00904FCB">
        <w:rPr>
          <w:rFonts w:hint="cs"/>
          <w:sz w:val="27"/>
          <w:rtl/>
          <w:lang w:bidi="ar-IQ"/>
        </w:rPr>
        <w:t>ّ</w:t>
      </w:r>
      <w:r w:rsidRPr="00904FCB">
        <w:rPr>
          <w:rFonts w:hint="cs"/>
          <w:sz w:val="27"/>
          <w:rtl/>
          <w:lang w:bidi="ar-IQ"/>
        </w:rPr>
        <w:t xml:space="preserve"> الباحثون هذه الفرقة ضمن الفرق السياسية أو فرق العصابات</w:t>
      </w:r>
      <w:r w:rsidR="00C10CEE" w:rsidRPr="00904FCB">
        <w:rPr>
          <w:rFonts w:hint="cs"/>
          <w:sz w:val="27"/>
          <w:rtl/>
          <w:lang w:bidi="ar-IQ"/>
        </w:rPr>
        <w:t>،</w:t>
      </w:r>
      <w:r w:rsidRPr="00904FCB">
        <w:rPr>
          <w:rFonts w:hint="cs"/>
          <w:sz w:val="27"/>
          <w:rtl/>
          <w:lang w:bidi="ar-IQ"/>
        </w:rPr>
        <w:t xml:space="preserve"> رغم أنهم بدأوا حركتهم في إطار ديني</w:t>
      </w:r>
      <w:r w:rsidR="00C10CEE" w:rsidRPr="00904FCB">
        <w:rPr>
          <w:rFonts w:hint="cs"/>
          <w:sz w:val="27"/>
          <w:rtl/>
          <w:lang w:bidi="ar-IQ"/>
        </w:rPr>
        <w:t>،</w:t>
      </w:r>
      <w:r w:rsidRPr="00904FCB">
        <w:rPr>
          <w:rFonts w:hint="cs"/>
          <w:sz w:val="27"/>
          <w:rtl/>
          <w:lang w:bidi="ar-IQ"/>
        </w:rPr>
        <w:t xml:space="preserve"> ولهدف</w:t>
      </w:r>
      <w:r w:rsidR="009314BC">
        <w:rPr>
          <w:rFonts w:hint="cs"/>
          <w:sz w:val="27"/>
          <w:rtl/>
          <w:lang w:bidi="ar-IQ"/>
        </w:rPr>
        <w:t>ٍ</w:t>
      </w:r>
      <w:r w:rsidRPr="00904FCB">
        <w:rPr>
          <w:rFonts w:hint="cs"/>
          <w:sz w:val="27"/>
          <w:rtl/>
          <w:lang w:bidi="ar-IQ"/>
        </w:rPr>
        <w:t xml:space="preserve"> ديني</w:t>
      </w:r>
      <w:r w:rsidRPr="00904FCB">
        <w:rPr>
          <w:rFonts w:hint="cs"/>
          <w:sz w:val="27"/>
          <w:vertAlign w:val="superscript"/>
          <w:rtl/>
          <w:lang w:bidi="ar-IQ"/>
        </w:rPr>
        <w:t>(</w:t>
      </w:r>
      <w:r w:rsidRPr="00904FCB">
        <w:rPr>
          <w:sz w:val="27"/>
          <w:vertAlign w:val="superscript"/>
          <w:rtl/>
        </w:rPr>
        <w:endnoteReference w:id="311"/>
      </w:r>
      <w:r w:rsidRPr="00904FCB">
        <w:rPr>
          <w:rFonts w:hint="cs"/>
          <w:sz w:val="27"/>
          <w:vertAlign w:val="superscript"/>
          <w:rtl/>
          <w:lang w:bidi="ar-IQ"/>
        </w:rPr>
        <w:t>)</w:t>
      </w:r>
      <w:r w:rsidRPr="00904FCB">
        <w:rPr>
          <w:rFonts w:hint="cs"/>
          <w:sz w:val="27"/>
          <w:rtl/>
          <w:lang w:bidi="ar-IQ"/>
        </w:rPr>
        <w:t>. وهذا الاستنتاج يؤي</w:t>
      </w:r>
      <w:r w:rsidR="00C10CEE" w:rsidRPr="00904FCB">
        <w:rPr>
          <w:rFonts w:hint="cs"/>
          <w:sz w:val="27"/>
          <w:rtl/>
          <w:lang w:bidi="ar-IQ"/>
        </w:rPr>
        <w:t>ّ</w:t>
      </w:r>
      <w:r w:rsidRPr="00904FCB">
        <w:rPr>
          <w:rFonts w:hint="cs"/>
          <w:sz w:val="27"/>
          <w:rtl/>
          <w:lang w:bidi="ar-IQ"/>
        </w:rPr>
        <w:t xml:space="preserve">د ما نذهب </w:t>
      </w:r>
      <w:r w:rsidR="00C10CEE" w:rsidRPr="00904FCB">
        <w:rPr>
          <w:rFonts w:hint="cs"/>
          <w:sz w:val="27"/>
          <w:rtl/>
          <w:lang w:bidi="ar-IQ"/>
        </w:rPr>
        <w:t>إ</w:t>
      </w:r>
      <w:r w:rsidRPr="00904FCB">
        <w:rPr>
          <w:rFonts w:hint="cs"/>
          <w:sz w:val="27"/>
          <w:rtl/>
          <w:lang w:bidi="ar-IQ"/>
        </w:rPr>
        <w:t>ليه من أن ال</w:t>
      </w:r>
      <w:r w:rsidR="00C10CEE" w:rsidRPr="00904FCB">
        <w:rPr>
          <w:rFonts w:hint="cs"/>
          <w:sz w:val="27"/>
          <w:rtl/>
          <w:lang w:bidi="ar-IQ"/>
        </w:rPr>
        <w:t>أ</w:t>
      </w:r>
      <w:r w:rsidRPr="00904FCB">
        <w:rPr>
          <w:rFonts w:hint="cs"/>
          <w:sz w:val="27"/>
          <w:rtl/>
          <w:lang w:bidi="ar-IQ"/>
        </w:rPr>
        <w:t>صوليات الدينية عبارة عن تحر</w:t>
      </w:r>
      <w:r w:rsidR="00C10CEE" w:rsidRPr="00904FCB">
        <w:rPr>
          <w:rFonts w:hint="cs"/>
          <w:sz w:val="27"/>
          <w:rtl/>
          <w:lang w:bidi="ar-IQ"/>
        </w:rPr>
        <w:t>ّ</w:t>
      </w:r>
      <w:r w:rsidRPr="00904FCB">
        <w:rPr>
          <w:rFonts w:hint="cs"/>
          <w:sz w:val="27"/>
          <w:rtl/>
          <w:lang w:bidi="ar-IQ"/>
        </w:rPr>
        <w:t xml:space="preserve">ك سياسي يرتدي </w:t>
      </w:r>
      <w:r w:rsidR="00C10CEE" w:rsidRPr="00904FCB">
        <w:rPr>
          <w:rFonts w:hint="cs"/>
          <w:sz w:val="27"/>
          <w:rtl/>
          <w:lang w:bidi="ar-IQ"/>
        </w:rPr>
        <w:t>دائماً قناع</w:t>
      </w:r>
      <w:r w:rsidRPr="00904FCB">
        <w:rPr>
          <w:rFonts w:hint="cs"/>
          <w:sz w:val="27"/>
          <w:rtl/>
          <w:lang w:bidi="ar-IQ"/>
        </w:rPr>
        <w:t>ا</w:t>
      </w:r>
      <w:r w:rsidR="00C10CEE" w:rsidRPr="00904FCB">
        <w:rPr>
          <w:rFonts w:hint="cs"/>
          <w:sz w:val="27"/>
          <w:rtl/>
          <w:lang w:bidi="ar-IQ"/>
        </w:rPr>
        <w:t>ً ديني</w:t>
      </w:r>
      <w:r w:rsidRPr="00904FCB">
        <w:rPr>
          <w:rFonts w:hint="cs"/>
          <w:sz w:val="27"/>
          <w:rtl/>
          <w:lang w:bidi="ar-IQ"/>
        </w:rPr>
        <w:t>ا</w:t>
      </w:r>
      <w:r w:rsidR="00C10CEE" w:rsidRPr="00904FCB">
        <w:rPr>
          <w:rFonts w:hint="cs"/>
          <w:sz w:val="27"/>
          <w:rtl/>
          <w:lang w:bidi="ar-IQ"/>
        </w:rPr>
        <w:t>ً،</w:t>
      </w:r>
      <w:r w:rsidRPr="00904FCB">
        <w:rPr>
          <w:rFonts w:hint="cs"/>
          <w:sz w:val="27"/>
          <w:rtl/>
          <w:lang w:bidi="ar-IQ"/>
        </w:rPr>
        <w:t xml:space="preserve"> وقناع تلك الجماعات ال</w:t>
      </w:r>
      <w:r w:rsidR="00C10CEE" w:rsidRPr="00904FCB">
        <w:rPr>
          <w:rFonts w:hint="cs"/>
          <w:sz w:val="27"/>
          <w:rtl/>
          <w:lang w:bidi="ar-IQ"/>
        </w:rPr>
        <w:t>أ</w:t>
      </w:r>
      <w:r w:rsidRPr="00904FCB">
        <w:rPr>
          <w:rFonts w:hint="cs"/>
          <w:sz w:val="27"/>
          <w:rtl/>
          <w:lang w:bidi="ar-IQ"/>
        </w:rPr>
        <w:t>صولية المبكرة هو أنهم قد خو</w:t>
      </w:r>
      <w:r w:rsidR="009314BC">
        <w:rPr>
          <w:rFonts w:hint="cs"/>
          <w:sz w:val="27"/>
          <w:rtl/>
          <w:lang w:bidi="ar-IQ"/>
        </w:rPr>
        <w:t>َّ</w:t>
      </w:r>
      <w:r w:rsidRPr="00904FCB">
        <w:rPr>
          <w:rFonts w:hint="cs"/>
          <w:sz w:val="27"/>
          <w:rtl/>
          <w:lang w:bidi="ar-IQ"/>
        </w:rPr>
        <w:t>لهم الرب</w:t>
      </w:r>
      <w:r w:rsidR="00C10CEE" w:rsidRPr="00904FCB">
        <w:rPr>
          <w:rFonts w:hint="cs"/>
          <w:sz w:val="27"/>
          <w:rtl/>
          <w:lang w:bidi="ar-IQ"/>
        </w:rPr>
        <w:t>ّ</w:t>
      </w:r>
      <w:r w:rsidRPr="00904FCB">
        <w:rPr>
          <w:rFonts w:hint="cs"/>
          <w:sz w:val="27"/>
          <w:rtl/>
          <w:lang w:bidi="ar-IQ"/>
        </w:rPr>
        <w:t xml:space="preserve"> السيطرة على أراضي الغير وأموالهم، وخو</w:t>
      </w:r>
      <w:r w:rsidR="009314BC">
        <w:rPr>
          <w:rFonts w:hint="cs"/>
          <w:sz w:val="27"/>
          <w:rtl/>
          <w:lang w:bidi="ar-IQ"/>
        </w:rPr>
        <w:t>َّ</w:t>
      </w:r>
      <w:r w:rsidRPr="00904FCB">
        <w:rPr>
          <w:rFonts w:hint="cs"/>
          <w:sz w:val="27"/>
          <w:rtl/>
          <w:lang w:bidi="ar-IQ"/>
        </w:rPr>
        <w:t xml:space="preserve">لهم </w:t>
      </w:r>
      <w:r w:rsidR="00C10CEE" w:rsidRPr="00904FCB">
        <w:rPr>
          <w:rFonts w:hint="cs"/>
          <w:sz w:val="27"/>
          <w:rtl/>
          <w:lang w:bidi="ar-IQ"/>
        </w:rPr>
        <w:t>ا</w:t>
      </w:r>
      <w:r w:rsidRPr="00904FCB">
        <w:rPr>
          <w:rFonts w:hint="cs"/>
          <w:sz w:val="27"/>
          <w:rtl/>
          <w:lang w:bidi="ar-IQ"/>
        </w:rPr>
        <w:t xml:space="preserve">ستعمال أي وسيلة </w:t>
      </w:r>
      <w:r w:rsidR="00C10CEE" w:rsidRPr="00904FCB">
        <w:rPr>
          <w:rFonts w:hint="cs"/>
          <w:sz w:val="27"/>
          <w:rtl/>
          <w:lang w:bidi="ar-IQ"/>
        </w:rPr>
        <w:t>أ</w:t>
      </w:r>
      <w:r w:rsidRPr="00904FCB">
        <w:rPr>
          <w:rFonts w:hint="cs"/>
          <w:sz w:val="27"/>
          <w:rtl/>
          <w:lang w:bidi="ar-IQ"/>
        </w:rPr>
        <w:t>خرى للاستحواذ على بلدانهم وثرواتهم</w:t>
      </w:r>
      <w:r w:rsidR="00C10CEE" w:rsidRPr="00904FCB">
        <w:rPr>
          <w:rFonts w:hint="cs"/>
          <w:sz w:val="27"/>
          <w:rtl/>
          <w:lang w:bidi="ar-IQ"/>
        </w:rPr>
        <w:t>،</w:t>
      </w:r>
      <w:r w:rsidRPr="00904FCB">
        <w:rPr>
          <w:rFonts w:hint="cs"/>
          <w:sz w:val="27"/>
          <w:rtl/>
          <w:lang w:bidi="ar-IQ"/>
        </w:rPr>
        <w:t xml:space="preserve"> فصار من السائغ عندهم استعمال العنف وممارسة الإبادة ب</w:t>
      </w:r>
      <w:r w:rsidR="00C10CEE" w:rsidRPr="00904FCB">
        <w:rPr>
          <w:rFonts w:hint="cs"/>
          <w:sz w:val="27"/>
          <w:rtl/>
          <w:lang w:bidi="ar-IQ"/>
        </w:rPr>
        <w:t>ا</w:t>
      </w:r>
      <w:r w:rsidRPr="00904FCB">
        <w:rPr>
          <w:rFonts w:hint="cs"/>
          <w:sz w:val="27"/>
          <w:rtl/>
          <w:lang w:bidi="ar-IQ"/>
        </w:rPr>
        <w:t>سم الشرايع</w:t>
      </w:r>
      <w:r w:rsidR="00C10CEE" w:rsidRPr="00904FCB">
        <w:rPr>
          <w:rFonts w:hint="cs"/>
          <w:sz w:val="27"/>
          <w:rtl/>
          <w:lang w:bidi="ar-IQ"/>
        </w:rPr>
        <w:t>.</w:t>
      </w:r>
      <w:r w:rsidRPr="00904FCB">
        <w:rPr>
          <w:rFonts w:hint="cs"/>
          <w:sz w:val="27"/>
          <w:rtl/>
          <w:lang w:bidi="ar-IQ"/>
        </w:rPr>
        <w:t xml:space="preserve"> وير</w:t>
      </w:r>
      <w:r w:rsidR="00C10CEE" w:rsidRPr="00904FCB">
        <w:rPr>
          <w:rFonts w:hint="cs"/>
          <w:sz w:val="27"/>
          <w:rtl/>
          <w:lang w:bidi="ar-IQ"/>
        </w:rPr>
        <w:t>َ</w:t>
      </w:r>
      <w:r w:rsidRPr="00904FCB">
        <w:rPr>
          <w:rFonts w:hint="cs"/>
          <w:sz w:val="27"/>
          <w:rtl/>
          <w:lang w:bidi="ar-IQ"/>
        </w:rPr>
        <w:t>و</w:t>
      </w:r>
      <w:r w:rsidR="00C10CEE" w:rsidRPr="00904FCB">
        <w:rPr>
          <w:rFonts w:hint="cs"/>
          <w:sz w:val="27"/>
          <w:rtl/>
          <w:lang w:bidi="ar-IQ"/>
        </w:rPr>
        <w:t>ْ</w:t>
      </w:r>
      <w:r w:rsidRPr="00904FCB">
        <w:rPr>
          <w:rFonts w:hint="cs"/>
          <w:sz w:val="27"/>
          <w:rtl/>
          <w:lang w:bidi="ar-IQ"/>
        </w:rPr>
        <w:t xml:space="preserve">ن </w:t>
      </w:r>
      <w:r w:rsidR="00C10CEE" w:rsidRPr="00904FCB">
        <w:rPr>
          <w:rFonts w:hint="cs"/>
          <w:sz w:val="27"/>
          <w:rtl/>
          <w:lang w:bidi="ar-IQ"/>
        </w:rPr>
        <w:t>أ</w:t>
      </w:r>
      <w:r w:rsidRPr="00904FCB">
        <w:rPr>
          <w:rFonts w:hint="cs"/>
          <w:sz w:val="27"/>
          <w:rtl/>
          <w:lang w:bidi="ar-IQ"/>
        </w:rPr>
        <w:t>ن نصوص التوراة تؤي</w:t>
      </w:r>
      <w:r w:rsidR="00C10CEE" w:rsidRPr="00904FCB">
        <w:rPr>
          <w:rFonts w:hint="cs"/>
          <w:sz w:val="27"/>
          <w:rtl/>
          <w:lang w:bidi="ar-IQ"/>
        </w:rPr>
        <w:t>ِّ</w:t>
      </w:r>
      <w:r w:rsidRPr="00904FCB">
        <w:rPr>
          <w:rFonts w:hint="cs"/>
          <w:sz w:val="27"/>
          <w:rtl/>
          <w:lang w:bidi="ar-IQ"/>
        </w:rPr>
        <w:t>دهم</w:t>
      </w:r>
      <w:r w:rsidR="00C10CEE" w:rsidRPr="00904FCB">
        <w:rPr>
          <w:rFonts w:hint="cs"/>
          <w:sz w:val="27"/>
          <w:rtl/>
          <w:lang w:bidi="ar-IQ"/>
        </w:rPr>
        <w:t>.</w:t>
      </w:r>
      <w:r w:rsidRPr="00904FCB">
        <w:rPr>
          <w:rFonts w:hint="cs"/>
          <w:sz w:val="27"/>
          <w:rtl/>
          <w:lang w:bidi="ar-IQ"/>
        </w:rPr>
        <w:t xml:space="preserve"> وكمثال على</w:t>
      </w:r>
      <w:r w:rsidR="00C10CEE" w:rsidRPr="00904FCB">
        <w:rPr>
          <w:rFonts w:hint="cs"/>
          <w:sz w:val="27"/>
          <w:rtl/>
          <w:lang w:bidi="ar-IQ"/>
        </w:rPr>
        <w:t xml:space="preserve"> ذلك:</w:t>
      </w:r>
      <w:r w:rsidRPr="00904FCB">
        <w:rPr>
          <w:rFonts w:hint="cs"/>
          <w:sz w:val="27"/>
          <w:rtl/>
          <w:lang w:bidi="ar-IQ"/>
        </w:rPr>
        <w:t xml:space="preserve"> ما جاء في قصة يشوع الذي قام بإعمال الإبادة والقتل الجماعي تحت </w:t>
      </w:r>
      <w:r w:rsidR="00C10CEE" w:rsidRPr="00904FCB">
        <w:rPr>
          <w:rFonts w:hint="cs"/>
          <w:sz w:val="27"/>
          <w:rtl/>
          <w:lang w:bidi="ar-IQ"/>
        </w:rPr>
        <w:t>أ</w:t>
      </w:r>
      <w:r w:rsidRPr="00904FCB">
        <w:rPr>
          <w:rFonts w:hint="cs"/>
          <w:sz w:val="27"/>
          <w:rtl/>
          <w:lang w:bidi="ar-IQ"/>
        </w:rPr>
        <w:t>هداف ومد</w:t>
      </w:r>
      <w:r w:rsidR="00C10CEE" w:rsidRPr="00904FCB">
        <w:rPr>
          <w:rFonts w:hint="cs"/>
          <w:sz w:val="27"/>
          <w:rtl/>
          <w:lang w:bidi="ar-IQ"/>
        </w:rPr>
        <w:t>ّ</w:t>
      </w:r>
      <w:r w:rsidRPr="00904FCB">
        <w:rPr>
          <w:rFonts w:hint="cs"/>
          <w:sz w:val="27"/>
          <w:rtl/>
          <w:lang w:bidi="ar-IQ"/>
        </w:rPr>
        <w:t>عيات دينية</w:t>
      </w:r>
      <w:r w:rsidR="00C10CEE" w:rsidRPr="00904FCB">
        <w:rPr>
          <w:rFonts w:hint="cs"/>
          <w:sz w:val="27"/>
          <w:rtl/>
          <w:lang w:bidi="ar-IQ"/>
        </w:rPr>
        <w:t>.</w:t>
      </w:r>
      <w:r w:rsidRPr="00904FCB">
        <w:rPr>
          <w:rFonts w:hint="cs"/>
          <w:sz w:val="27"/>
          <w:rtl/>
          <w:lang w:bidi="ar-IQ"/>
        </w:rPr>
        <w:t xml:space="preserve"> فقد جاء في سفر يوشع</w:t>
      </w:r>
      <w:r w:rsidR="00C10CEE" w:rsidRPr="00904FCB">
        <w:rPr>
          <w:rFonts w:hint="cs"/>
          <w:sz w:val="27"/>
          <w:rtl/>
          <w:lang w:bidi="ar-IQ"/>
        </w:rPr>
        <w:t>:</w:t>
      </w:r>
      <w:r w:rsidRPr="00904FCB">
        <w:rPr>
          <w:rFonts w:hint="cs"/>
          <w:sz w:val="27"/>
          <w:rtl/>
          <w:lang w:bidi="ar-IQ"/>
        </w:rPr>
        <w:t xml:space="preserve"> </w:t>
      </w:r>
      <w:r w:rsidR="00C10CEE" w:rsidRPr="00904FCB">
        <w:rPr>
          <w:rFonts w:hint="cs"/>
          <w:sz w:val="27"/>
          <w:rtl/>
          <w:lang w:bidi="ar-IQ"/>
        </w:rPr>
        <w:t>إ</w:t>
      </w:r>
      <w:r w:rsidRPr="00904FCB">
        <w:rPr>
          <w:rFonts w:hint="cs"/>
          <w:sz w:val="27"/>
          <w:rtl/>
          <w:lang w:bidi="ar-IQ"/>
        </w:rPr>
        <w:t>نه بعد وفاة موسى قال الرب ليشوع بن نون</w:t>
      </w:r>
      <w:r w:rsidR="00C10CEE" w:rsidRPr="00904FCB">
        <w:rPr>
          <w:rFonts w:hint="cs"/>
          <w:sz w:val="27"/>
          <w:rtl/>
          <w:lang w:bidi="ar-IQ"/>
        </w:rPr>
        <w:t>:</w:t>
      </w:r>
      <w:r w:rsidRPr="00904FCB">
        <w:rPr>
          <w:rFonts w:hint="cs"/>
          <w:sz w:val="27"/>
          <w:rtl/>
          <w:lang w:bidi="ar-IQ"/>
        </w:rPr>
        <w:t xml:space="preserve"> مات عبدي موسى</w:t>
      </w:r>
      <w:r w:rsidR="00C10CEE" w:rsidRPr="00904FCB">
        <w:rPr>
          <w:rFonts w:hint="cs"/>
          <w:sz w:val="27"/>
          <w:rtl/>
          <w:lang w:bidi="ar-IQ"/>
        </w:rPr>
        <w:t>،</w:t>
      </w:r>
      <w:r w:rsidRPr="00904FCB">
        <w:rPr>
          <w:rFonts w:hint="cs"/>
          <w:sz w:val="27"/>
          <w:rtl/>
          <w:lang w:bidi="ar-IQ"/>
        </w:rPr>
        <w:t xml:space="preserve"> فق</w:t>
      </w:r>
      <w:r w:rsidR="00C10CEE" w:rsidRPr="00904FCB">
        <w:rPr>
          <w:rFonts w:hint="cs"/>
          <w:sz w:val="27"/>
          <w:rtl/>
          <w:lang w:bidi="ar-IQ"/>
        </w:rPr>
        <w:t>ُ</w:t>
      </w:r>
      <w:r w:rsidRPr="00904FCB">
        <w:rPr>
          <w:rFonts w:hint="cs"/>
          <w:sz w:val="27"/>
          <w:rtl/>
          <w:lang w:bidi="ar-IQ"/>
        </w:rPr>
        <w:t>م</w:t>
      </w:r>
      <w:r w:rsidR="00C10CEE" w:rsidRPr="00904FCB">
        <w:rPr>
          <w:rFonts w:hint="cs"/>
          <w:sz w:val="27"/>
          <w:rtl/>
          <w:lang w:bidi="ar-IQ"/>
        </w:rPr>
        <w:t>ْ</w:t>
      </w:r>
      <w:r w:rsidRPr="00904FCB">
        <w:rPr>
          <w:rFonts w:hint="cs"/>
          <w:sz w:val="27"/>
          <w:rtl/>
          <w:lang w:bidi="ar-IQ"/>
        </w:rPr>
        <w:t xml:space="preserve"> الآن واعبر ال</w:t>
      </w:r>
      <w:r w:rsidR="00C10CEE" w:rsidRPr="00904FCB">
        <w:rPr>
          <w:rFonts w:hint="cs"/>
          <w:sz w:val="27"/>
          <w:rtl/>
          <w:lang w:bidi="ar-IQ"/>
        </w:rPr>
        <w:t>أ</w:t>
      </w:r>
      <w:r w:rsidRPr="00904FCB">
        <w:rPr>
          <w:rFonts w:hint="cs"/>
          <w:sz w:val="27"/>
          <w:rtl/>
          <w:lang w:bidi="ar-IQ"/>
        </w:rPr>
        <w:t>ردن</w:t>
      </w:r>
      <w:r w:rsidR="00C10CEE" w:rsidRPr="00904FCB">
        <w:rPr>
          <w:rFonts w:hint="cs"/>
          <w:sz w:val="27"/>
          <w:rtl/>
          <w:lang w:bidi="ar-IQ"/>
        </w:rPr>
        <w:t>،</w:t>
      </w:r>
      <w:r w:rsidRPr="00904FCB">
        <w:rPr>
          <w:rFonts w:hint="cs"/>
          <w:sz w:val="27"/>
          <w:rtl/>
          <w:lang w:bidi="ar-IQ"/>
        </w:rPr>
        <w:t xml:space="preserve"> </w:t>
      </w:r>
      <w:r w:rsidR="00C10CEE" w:rsidRPr="00904FCB">
        <w:rPr>
          <w:rFonts w:hint="cs"/>
          <w:sz w:val="27"/>
          <w:rtl/>
          <w:lang w:bidi="ar-IQ"/>
        </w:rPr>
        <w:t>أ</w:t>
      </w:r>
      <w:r w:rsidRPr="00904FCB">
        <w:rPr>
          <w:rFonts w:hint="cs"/>
          <w:sz w:val="27"/>
          <w:rtl/>
          <w:lang w:bidi="ar-IQ"/>
        </w:rPr>
        <w:t>نت وجميع ب</w:t>
      </w:r>
      <w:r w:rsidR="00C10CEE" w:rsidRPr="00904FCB">
        <w:rPr>
          <w:rFonts w:hint="cs"/>
          <w:sz w:val="27"/>
          <w:rtl/>
          <w:lang w:bidi="ar-IQ"/>
        </w:rPr>
        <w:t>ن</w:t>
      </w:r>
      <w:r w:rsidRPr="00904FCB">
        <w:rPr>
          <w:rFonts w:hint="cs"/>
          <w:sz w:val="27"/>
          <w:rtl/>
          <w:lang w:bidi="ar-IQ"/>
        </w:rPr>
        <w:t xml:space="preserve">ي </w:t>
      </w:r>
      <w:r w:rsidR="00C10CEE" w:rsidRPr="00904FCB">
        <w:rPr>
          <w:rFonts w:hint="cs"/>
          <w:sz w:val="27"/>
          <w:rtl/>
          <w:lang w:bidi="ar-IQ"/>
        </w:rPr>
        <w:t>إ</w:t>
      </w:r>
      <w:r w:rsidRPr="00904FCB">
        <w:rPr>
          <w:rFonts w:hint="cs"/>
          <w:sz w:val="27"/>
          <w:rtl/>
          <w:lang w:bidi="ar-IQ"/>
        </w:rPr>
        <w:t>سرائيل</w:t>
      </w:r>
      <w:r w:rsidR="00C10CEE" w:rsidRPr="00904FCB">
        <w:rPr>
          <w:rFonts w:hint="cs"/>
          <w:sz w:val="27"/>
          <w:rtl/>
          <w:lang w:bidi="ar-IQ"/>
        </w:rPr>
        <w:t>،</w:t>
      </w:r>
      <w:r w:rsidRPr="00904FCB">
        <w:rPr>
          <w:rFonts w:hint="cs"/>
          <w:sz w:val="27"/>
          <w:rtl/>
          <w:lang w:bidi="ar-IQ"/>
        </w:rPr>
        <w:t xml:space="preserve"> </w:t>
      </w:r>
      <w:r w:rsidR="00C10CEE" w:rsidRPr="00904FCB">
        <w:rPr>
          <w:rFonts w:hint="cs"/>
          <w:sz w:val="27"/>
          <w:rtl/>
          <w:lang w:bidi="ar-IQ"/>
        </w:rPr>
        <w:t>إ</w:t>
      </w:r>
      <w:r w:rsidRPr="00904FCB">
        <w:rPr>
          <w:rFonts w:hint="cs"/>
          <w:sz w:val="27"/>
          <w:rtl/>
          <w:lang w:bidi="ar-IQ"/>
        </w:rPr>
        <w:t>لى ال</w:t>
      </w:r>
      <w:r w:rsidR="00C10CEE" w:rsidRPr="00904FCB">
        <w:rPr>
          <w:rFonts w:hint="cs"/>
          <w:sz w:val="27"/>
          <w:rtl/>
          <w:lang w:bidi="ar-IQ"/>
        </w:rPr>
        <w:t>أ</w:t>
      </w:r>
      <w:r w:rsidRPr="00904FCB">
        <w:rPr>
          <w:rFonts w:hint="cs"/>
          <w:sz w:val="27"/>
          <w:rtl/>
          <w:lang w:bidi="ar-IQ"/>
        </w:rPr>
        <w:t xml:space="preserve">رض التي </w:t>
      </w:r>
      <w:r w:rsidR="00C10CEE" w:rsidRPr="00904FCB">
        <w:rPr>
          <w:rFonts w:hint="cs"/>
          <w:sz w:val="27"/>
          <w:rtl/>
          <w:lang w:bidi="ar-IQ"/>
        </w:rPr>
        <w:t>أ</w:t>
      </w:r>
      <w:r w:rsidRPr="00904FCB">
        <w:rPr>
          <w:rFonts w:hint="cs"/>
          <w:sz w:val="27"/>
          <w:rtl/>
          <w:lang w:bidi="ar-IQ"/>
        </w:rPr>
        <w:t>عطيتها لهم</w:t>
      </w:r>
      <w:r w:rsidRPr="00904FCB">
        <w:rPr>
          <w:rFonts w:hint="cs"/>
          <w:sz w:val="27"/>
          <w:vertAlign w:val="superscript"/>
          <w:rtl/>
          <w:lang w:bidi="ar-IQ"/>
        </w:rPr>
        <w:t>(</w:t>
      </w:r>
      <w:r w:rsidRPr="00904FCB">
        <w:rPr>
          <w:rStyle w:val="ac"/>
          <w:sz w:val="27"/>
          <w:rtl/>
          <w:lang w:bidi="ar-IQ"/>
        </w:rPr>
        <w:endnoteReference w:id="312"/>
      </w:r>
      <w:r w:rsidRPr="00904FCB">
        <w:rPr>
          <w:rFonts w:hint="cs"/>
          <w:sz w:val="27"/>
          <w:vertAlign w:val="superscript"/>
          <w:rtl/>
          <w:lang w:bidi="ar-IQ"/>
        </w:rPr>
        <w:t>)</w:t>
      </w:r>
      <w:r w:rsidR="00C10CEE" w:rsidRPr="00904FCB">
        <w:rPr>
          <w:rFonts w:hint="cs"/>
          <w:sz w:val="27"/>
          <w:rtl/>
          <w:lang w:bidi="ar-IQ"/>
        </w:rPr>
        <w:t>.</w:t>
      </w:r>
      <w:r w:rsidRPr="00904FCB">
        <w:rPr>
          <w:rFonts w:hint="cs"/>
          <w:sz w:val="27"/>
          <w:rtl/>
          <w:lang w:bidi="ar-IQ"/>
        </w:rPr>
        <w:t xml:space="preserve"> </w:t>
      </w:r>
      <w:r w:rsidR="00C10CEE" w:rsidRPr="00904FCB">
        <w:rPr>
          <w:rFonts w:hint="cs"/>
          <w:sz w:val="27"/>
          <w:rtl/>
          <w:lang w:bidi="ar-IQ"/>
        </w:rPr>
        <w:t>و</w:t>
      </w:r>
      <w:r w:rsidRPr="00904FCB">
        <w:rPr>
          <w:rFonts w:hint="cs"/>
          <w:sz w:val="27"/>
          <w:rtl/>
          <w:lang w:bidi="ar-IQ"/>
        </w:rPr>
        <w:t>قد جاء في سفر يشوع ما نص</w:t>
      </w:r>
      <w:r w:rsidR="00C10CEE" w:rsidRPr="00904FCB">
        <w:rPr>
          <w:rFonts w:hint="cs"/>
          <w:sz w:val="27"/>
          <w:rtl/>
          <w:lang w:bidi="ar-IQ"/>
        </w:rPr>
        <w:t>ّ</w:t>
      </w:r>
      <w:r w:rsidRPr="00904FCB">
        <w:rPr>
          <w:rFonts w:hint="cs"/>
          <w:sz w:val="27"/>
          <w:rtl/>
          <w:lang w:bidi="ar-IQ"/>
        </w:rPr>
        <w:t>ه</w:t>
      </w:r>
      <w:r w:rsidR="00C10CEE" w:rsidRPr="00904FCB">
        <w:rPr>
          <w:rFonts w:hint="cs"/>
          <w:sz w:val="27"/>
          <w:rtl/>
          <w:lang w:bidi="ar-IQ"/>
        </w:rPr>
        <w:t>:</w:t>
      </w:r>
      <w:r w:rsidRPr="00904FCB">
        <w:rPr>
          <w:rFonts w:hint="cs"/>
          <w:sz w:val="27"/>
          <w:rtl/>
          <w:lang w:bidi="ar-IQ"/>
        </w:rPr>
        <w:t xml:space="preserve"> </w:t>
      </w:r>
      <w:r w:rsidRPr="00904FCB">
        <w:rPr>
          <w:rFonts w:hint="eastAsia"/>
          <w:sz w:val="27"/>
          <w:rtl/>
        </w:rPr>
        <w:t>«</w:t>
      </w:r>
      <w:r w:rsidRPr="00904FCB">
        <w:rPr>
          <w:rFonts w:hint="cs"/>
          <w:sz w:val="27"/>
          <w:rtl/>
          <w:lang w:bidi="ar-IQ"/>
        </w:rPr>
        <w:t xml:space="preserve">ولما </w:t>
      </w:r>
      <w:r w:rsidR="00C10CEE" w:rsidRPr="00904FCB">
        <w:rPr>
          <w:rFonts w:hint="cs"/>
          <w:sz w:val="27"/>
          <w:rtl/>
          <w:lang w:bidi="ar-IQ"/>
        </w:rPr>
        <w:t>ا</w:t>
      </w:r>
      <w:r w:rsidRPr="00904FCB">
        <w:rPr>
          <w:rFonts w:hint="cs"/>
          <w:sz w:val="27"/>
          <w:rtl/>
          <w:lang w:bidi="ar-IQ"/>
        </w:rPr>
        <w:t xml:space="preserve">نتهى بنو </w:t>
      </w:r>
      <w:r w:rsidR="00C10CEE" w:rsidRPr="00904FCB">
        <w:rPr>
          <w:rFonts w:hint="cs"/>
          <w:sz w:val="27"/>
          <w:rtl/>
          <w:lang w:bidi="ar-IQ"/>
        </w:rPr>
        <w:t>إ</w:t>
      </w:r>
      <w:r w:rsidRPr="00904FCB">
        <w:rPr>
          <w:rFonts w:hint="cs"/>
          <w:sz w:val="27"/>
          <w:rtl/>
          <w:lang w:bidi="ar-IQ"/>
        </w:rPr>
        <w:t>سرائيل من قتل جميع سكان عاي في البرية</w:t>
      </w:r>
      <w:r w:rsidR="00C10CEE" w:rsidRPr="00904FCB">
        <w:rPr>
          <w:rFonts w:hint="cs"/>
          <w:sz w:val="27"/>
          <w:rtl/>
          <w:lang w:bidi="ar-IQ"/>
        </w:rPr>
        <w:t>،</w:t>
      </w:r>
      <w:r w:rsidRPr="00904FCB">
        <w:rPr>
          <w:rFonts w:hint="cs"/>
          <w:sz w:val="27"/>
          <w:rtl/>
          <w:lang w:bidi="ar-IQ"/>
        </w:rPr>
        <w:t xml:space="preserve"> </w:t>
      </w:r>
      <w:r w:rsidRPr="00904FCB">
        <w:rPr>
          <w:rFonts w:hint="cs"/>
          <w:sz w:val="27"/>
          <w:rtl/>
          <w:lang w:bidi="ar-IQ"/>
        </w:rPr>
        <w:lastRenderedPageBreak/>
        <w:t>وطاردوهم</w:t>
      </w:r>
      <w:r w:rsidR="00C10CEE" w:rsidRPr="00904FCB">
        <w:rPr>
          <w:rFonts w:hint="cs"/>
          <w:sz w:val="27"/>
          <w:rtl/>
          <w:lang w:bidi="ar-IQ"/>
        </w:rPr>
        <w:t>،</w:t>
      </w:r>
      <w:r w:rsidRPr="00904FCB">
        <w:rPr>
          <w:rFonts w:hint="cs"/>
          <w:sz w:val="27"/>
          <w:rtl/>
          <w:lang w:bidi="ar-IQ"/>
        </w:rPr>
        <w:t xml:space="preserve"> وأسقطوهم بحد</w:t>
      </w:r>
      <w:r w:rsidR="00C10CEE" w:rsidRPr="00904FCB">
        <w:rPr>
          <w:rFonts w:hint="cs"/>
          <w:sz w:val="27"/>
          <w:rtl/>
          <w:lang w:bidi="ar-IQ"/>
        </w:rPr>
        <w:t>ّ</w:t>
      </w:r>
      <w:r w:rsidRPr="00904FCB">
        <w:rPr>
          <w:rFonts w:hint="cs"/>
          <w:sz w:val="27"/>
          <w:rtl/>
          <w:lang w:bidi="ar-IQ"/>
        </w:rPr>
        <w:t xml:space="preserve"> السيف عن </w:t>
      </w:r>
      <w:r w:rsidR="00C10CEE" w:rsidRPr="00904FCB">
        <w:rPr>
          <w:rFonts w:hint="cs"/>
          <w:sz w:val="27"/>
          <w:rtl/>
          <w:lang w:bidi="ar-IQ"/>
        </w:rPr>
        <w:t>آ</w:t>
      </w:r>
      <w:r w:rsidRPr="00904FCB">
        <w:rPr>
          <w:rFonts w:hint="cs"/>
          <w:sz w:val="27"/>
          <w:rtl/>
          <w:lang w:bidi="ar-IQ"/>
        </w:rPr>
        <w:t xml:space="preserve">خرهم، رجعوا </w:t>
      </w:r>
      <w:r w:rsidR="00C10CEE" w:rsidRPr="00904FCB">
        <w:rPr>
          <w:rFonts w:hint="cs"/>
          <w:sz w:val="27"/>
          <w:rtl/>
          <w:lang w:bidi="ar-IQ"/>
        </w:rPr>
        <w:t>إل</w:t>
      </w:r>
      <w:r w:rsidRPr="00904FCB">
        <w:rPr>
          <w:rFonts w:hint="cs"/>
          <w:sz w:val="27"/>
          <w:rtl/>
          <w:lang w:bidi="ar-IQ"/>
        </w:rPr>
        <w:t>ى عاي</w:t>
      </w:r>
      <w:r w:rsidR="00C10CEE" w:rsidRPr="00904FCB">
        <w:rPr>
          <w:rFonts w:hint="cs"/>
          <w:sz w:val="27"/>
          <w:rtl/>
          <w:lang w:bidi="ar-IQ"/>
        </w:rPr>
        <w:t>،</w:t>
      </w:r>
      <w:r w:rsidRPr="00904FCB">
        <w:rPr>
          <w:rFonts w:hint="cs"/>
          <w:sz w:val="27"/>
          <w:rtl/>
          <w:lang w:bidi="ar-IQ"/>
        </w:rPr>
        <w:t xml:space="preserve"> وقضوا أيضاً على م</w:t>
      </w:r>
      <w:r w:rsidR="00C10CEE" w:rsidRPr="00904FCB">
        <w:rPr>
          <w:rFonts w:hint="cs"/>
          <w:sz w:val="27"/>
          <w:rtl/>
          <w:lang w:bidi="ar-IQ"/>
        </w:rPr>
        <w:t>َ</w:t>
      </w:r>
      <w:r w:rsidRPr="00904FCB">
        <w:rPr>
          <w:rFonts w:hint="cs"/>
          <w:sz w:val="27"/>
          <w:rtl/>
          <w:lang w:bidi="ar-IQ"/>
        </w:rPr>
        <w:t>ن</w:t>
      </w:r>
      <w:r w:rsidR="00C10CEE" w:rsidRPr="00904FCB">
        <w:rPr>
          <w:rFonts w:hint="cs"/>
          <w:sz w:val="27"/>
          <w:rtl/>
          <w:lang w:bidi="ar-IQ"/>
        </w:rPr>
        <w:t>ْ بقي</w:t>
      </w:r>
      <w:r w:rsidRPr="00904FCB">
        <w:rPr>
          <w:rFonts w:hint="cs"/>
          <w:sz w:val="27"/>
          <w:rtl/>
          <w:lang w:bidi="ar-IQ"/>
        </w:rPr>
        <w:t xml:space="preserve"> فيها بحد</w:t>
      </w:r>
      <w:r w:rsidR="00C10CEE" w:rsidRPr="00904FCB">
        <w:rPr>
          <w:rFonts w:hint="cs"/>
          <w:sz w:val="27"/>
          <w:rtl/>
          <w:lang w:bidi="ar-IQ"/>
        </w:rPr>
        <w:t>ّ</w:t>
      </w:r>
      <w:r w:rsidRPr="00904FCB">
        <w:rPr>
          <w:rFonts w:hint="cs"/>
          <w:sz w:val="27"/>
          <w:rtl/>
          <w:lang w:bidi="ar-IQ"/>
        </w:rPr>
        <w:t xml:space="preserve"> السيف</w:t>
      </w:r>
      <w:r w:rsidRPr="00904FCB">
        <w:rPr>
          <w:rFonts w:hint="eastAsia"/>
          <w:sz w:val="27"/>
          <w:rtl/>
        </w:rPr>
        <w:t>»</w:t>
      </w:r>
      <w:r w:rsidRPr="00904FCB">
        <w:rPr>
          <w:rFonts w:hint="cs"/>
          <w:sz w:val="27"/>
          <w:vertAlign w:val="superscript"/>
          <w:rtl/>
          <w:lang w:bidi="ar-IQ"/>
        </w:rPr>
        <w:t>(</w:t>
      </w:r>
      <w:r w:rsidRPr="00904FCB">
        <w:rPr>
          <w:sz w:val="27"/>
          <w:vertAlign w:val="superscript"/>
          <w:rtl/>
        </w:rPr>
        <w:endnoteReference w:id="313"/>
      </w:r>
      <w:r w:rsidRPr="00904FCB">
        <w:rPr>
          <w:rFonts w:hint="cs"/>
          <w:sz w:val="27"/>
          <w:vertAlign w:val="superscript"/>
          <w:rtl/>
          <w:lang w:bidi="ar-IQ"/>
        </w:rPr>
        <w:t>)</w:t>
      </w:r>
      <w:r w:rsidR="00C10CEE" w:rsidRPr="00904FCB">
        <w:rPr>
          <w:rFonts w:hint="cs"/>
          <w:sz w:val="27"/>
          <w:rtl/>
          <w:lang w:bidi="ar-IQ"/>
        </w:rPr>
        <w:t xml:space="preserve">، </w:t>
      </w:r>
      <w:r w:rsidRPr="00904FCB">
        <w:rPr>
          <w:rFonts w:hint="cs"/>
          <w:sz w:val="27"/>
          <w:rtl/>
          <w:lang w:bidi="ar-IQ"/>
        </w:rPr>
        <w:t>ويقصد النساء وال</w:t>
      </w:r>
      <w:r w:rsidR="00C10CEE" w:rsidRPr="00904FCB">
        <w:rPr>
          <w:rFonts w:hint="cs"/>
          <w:sz w:val="27"/>
          <w:rtl/>
          <w:lang w:bidi="ar-IQ"/>
        </w:rPr>
        <w:t>أ</w:t>
      </w:r>
      <w:r w:rsidRPr="00904FCB">
        <w:rPr>
          <w:rFonts w:hint="cs"/>
          <w:sz w:val="27"/>
          <w:rtl/>
          <w:lang w:bidi="ar-IQ"/>
        </w:rPr>
        <w:t xml:space="preserve">طفال والذين لم يكونوا من المقاتلين الذين </w:t>
      </w:r>
      <w:r w:rsidR="00C10CEE" w:rsidRPr="00904FCB">
        <w:rPr>
          <w:rFonts w:hint="cs"/>
          <w:sz w:val="27"/>
          <w:rtl/>
          <w:lang w:bidi="ar-IQ"/>
        </w:rPr>
        <w:t>أ</w:t>
      </w:r>
      <w:r w:rsidRPr="00904FCB">
        <w:rPr>
          <w:rFonts w:hint="cs"/>
          <w:sz w:val="27"/>
          <w:rtl/>
          <w:lang w:bidi="ar-IQ"/>
        </w:rPr>
        <w:t>بيدوا في الجولة ال</w:t>
      </w:r>
      <w:r w:rsidR="00C10CEE" w:rsidRPr="00904FCB">
        <w:rPr>
          <w:rFonts w:hint="cs"/>
          <w:sz w:val="27"/>
          <w:rtl/>
          <w:lang w:bidi="ar-IQ"/>
        </w:rPr>
        <w:t>أ</w:t>
      </w:r>
      <w:r w:rsidRPr="00904FCB">
        <w:rPr>
          <w:rFonts w:hint="cs"/>
          <w:sz w:val="27"/>
          <w:rtl/>
          <w:lang w:bidi="ar-IQ"/>
        </w:rPr>
        <w:t xml:space="preserve">ولى من ممارسات العنف الديني. </w:t>
      </w:r>
    </w:p>
    <w:p w:rsidR="00952E59" w:rsidRPr="00904FCB" w:rsidRDefault="00952E59" w:rsidP="007A21AA">
      <w:pPr>
        <w:spacing w:line="400" w:lineRule="exact"/>
        <w:rPr>
          <w:sz w:val="27"/>
          <w:rtl/>
          <w:lang w:bidi="ar-IQ"/>
        </w:rPr>
      </w:pPr>
      <w:r w:rsidRPr="00904FCB">
        <w:rPr>
          <w:rFonts w:hint="cs"/>
          <w:sz w:val="27"/>
          <w:rtl/>
          <w:lang w:bidi="ar-IQ"/>
        </w:rPr>
        <w:t>جاء في سفر يشوع</w:t>
      </w:r>
      <w:r w:rsidR="00C10CEE" w:rsidRPr="00904FCB">
        <w:rPr>
          <w:rFonts w:hint="cs"/>
          <w:sz w:val="27"/>
          <w:rtl/>
          <w:lang w:bidi="ar-IQ"/>
        </w:rPr>
        <w:t>، ال</w:t>
      </w:r>
      <w:r w:rsidR="00C10CEE" w:rsidRPr="002F5255">
        <w:rPr>
          <w:rFonts w:hint="cs"/>
          <w:sz w:val="27"/>
          <w:rtl/>
          <w:lang w:bidi="ar-IQ"/>
        </w:rPr>
        <w:t xml:space="preserve">آية </w:t>
      </w:r>
      <w:r w:rsidRPr="002F5255">
        <w:rPr>
          <w:rFonts w:hint="cs"/>
          <w:sz w:val="27"/>
          <w:rtl/>
          <w:lang w:bidi="ar-IQ"/>
        </w:rPr>
        <w:t>11</w:t>
      </w:r>
      <w:r w:rsidR="00C10CEE" w:rsidRPr="00904FCB">
        <w:rPr>
          <w:rFonts w:hint="cs"/>
          <w:sz w:val="27"/>
          <w:rtl/>
          <w:lang w:bidi="ar-IQ"/>
        </w:rPr>
        <w:t>:</w:t>
      </w:r>
      <w:r w:rsidRPr="00904FCB">
        <w:rPr>
          <w:rFonts w:hint="cs"/>
          <w:sz w:val="27"/>
          <w:rtl/>
          <w:lang w:bidi="ar-IQ"/>
        </w:rPr>
        <w:t xml:space="preserve"> واستولى يشوع على كل</w:t>
      </w:r>
      <w:r w:rsidR="00C10CEE" w:rsidRPr="00904FCB">
        <w:rPr>
          <w:rFonts w:hint="cs"/>
          <w:sz w:val="27"/>
          <w:rtl/>
          <w:lang w:bidi="ar-IQ"/>
        </w:rPr>
        <w:t>ّ</w:t>
      </w:r>
      <w:r w:rsidRPr="00904FCB">
        <w:rPr>
          <w:rFonts w:hint="cs"/>
          <w:sz w:val="27"/>
          <w:rtl/>
          <w:lang w:bidi="ar-IQ"/>
        </w:rPr>
        <w:t xml:space="preserve"> مدن </w:t>
      </w:r>
      <w:r w:rsidR="00C10CEE" w:rsidRPr="00904FCB">
        <w:rPr>
          <w:rFonts w:hint="cs"/>
          <w:sz w:val="27"/>
          <w:rtl/>
          <w:lang w:bidi="ar-IQ"/>
        </w:rPr>
        <w:t>أو</w:t>
      </w:r>
      <w:r w:rsidRPr="00904FCB">
        <w:rPr>
          <w:rFonts w:hint="cs"/>
          <w:sz w:val="27"/>
          <w:rtl/>
          <w:lang w:bidi="ar-IQ"/>
        </w:rPr>
        <w:t>لئك الم</w:t>
      </w:r>
      <w:r w:rsidR="00C10CEE" w:rsidRPr="00904FCB">
        <w:rPr>
          <w:rFonts w:hint="cs"/>
          <w:sz w:val="27"/>
          <w:rtl/>
          <w:lang w:bidi="ar-IQ"/>
        </w:rPr>
        <w:t>ل</w:t>
      </w:r>
      <w:r w:rsidRPr="00904FCB">
        <w:rPr>
          <w:rFonts w:hint="cs"/>
          <w:sz w:val="27"/>
          <w:rtl/>
          <w:lang w:bidi="ar-IQ"/>
        </w:rPr>
        <w:t>وك</w:t>
      </w:r>
      <w:r w:rsidR="00C10CEE" w:rsidRPr="00904FCB">
        <w:rPr>
          <w:rFonts w:hint="cs"/>
          <w:sz w:val="27"/>
          <w:rtl/>
          <w:lang w:bidi="ar-IQ"/>
        </w:rPr>
        <w:t>،</w:t>
      </w:r>
      <w:r w:rsidRPr="00904FCB">
        <w:rPr>
          <w:rFonts w:hint="cs"/>
          <w:sz w:val="27"/>
          <w:rtl/>
          <w:lang w:bidi="ar-IQ"/>
        </w:rPr>
        <w:t xml:space="preserve"> وضربهم بحد</w:t>
      </w:r>
      <w:r w:rsidR="00C10CEE" w:rsidRPr="00904FCB">
        <w:rPr>
          <w:rFonts w:hint="cs"/>
          <w:sz w:val="27"/>
          <w:rtl/>
          <w:lang w:bidi="ar-IQ"/>
        </w:rPr>
        <w:t>ّ</w:t>
      </w:r>
      <w:r w:rsidRPr="00904FCB">
        <w:rPr>
          <w:rFonts w:hint="cs"/>
          <w:sz w:val="27"/>
          <w:rtl/>
          <w:lang w:bidi="ar-IQ"/>
        </w:rPr>
        <w:t xml:space="preserve"> السيف</w:t>
      </w:r>
      <w:r w:rsidR="00C10CEE" w:rsidRPr="00904FCB">
        <w:rPr>
          <w:rFonts w:hint="cs"/>
          <w:sz w:val="27"/>
          <w:rtl/>
          <w:lang w:bidi="ar-IQ"/>
        </w:rPr>
        <w:t>،</w:t>
      </w:r>
      <w:r w:rsidRPr="00904FCB">
        <w:rPr>
          <w:rFonts w:hint="cs"/>
          <w:sz w:val="27"/>
          <w:rtl/>
          <w:lang w:bidi="ar-IQ"/>
        </w:rPr>
        <w:t xml:space="preserve"> ولم ي</w:t>
      </w:r>
      <w:r w:rsidR="00C10CEE" w:rsidRPr="00904FCB">
        <w:rPr>
          <w:rFonts w:hint="cs"/>
          <w:sz w:val="27"/>
          <w:rtl/>
          <w:lang w:bidi="ar-IQ"/>
        </w:rPr>
        <w:t>ُ</w:t>
      </w:r>
      <w:r w:rsidRPr="00904FCB">
        <w:rPr>
          <w:rFonts w:hint="cs"/>
          <w:sz w:val="27"/>
          <w:rtl/>
          <w:lang w:bidi="ar-IQ"/>
        </w:rPr>
        <w:t>ب</w:t>
      </w:r>
      <w:r w:rsidR="00C10CEE" w:rsidRPr="00904FCB">
        <w:rPr>
          <w:rFonts w:hint="cs"/>
          <w:sz w:val="27"/>
          <w:rtl/>
          <w:lang w:bidi="ar-IQ"/>
        </w:rPr>
        <w:t>ْ</w:t>
      </w:r>
      <w:r w:rsidRPr="00904FCB">
        <w:rPr>
          <w:rFonts w:hint="cs"/>
          <w:sz w:val="27"/>
          <w:rtl/>
          <w:lang w:bidi="ar-IQ"/>
        </w:rPr>
        <w:t>ق</w:t>
      </w:r>
      <w:r w:rsidR="00C10CEE" w:rsidRPr="00904FCB">
        <w:rPr>
          <w:rFonts w:hint="cs"/>
          <w:sz w:val="27"/>
          <w:rtl/>
          <w:lang w:bidi="ar-IQ"/>
        </w:rPr>
        <w:t>ِ</w:t>
      </w:r>
      <w:r w:rsidRPr="00904FCB">
        <w:rPr>
          <w:rFonts w:hint="cs"/>
          <w:sz w:val="27"/>
          <w:rtl/>
          <w:lang w:bidi="ar-IQ"/>
        </w:rPr>
        <w:t xml:space="preserve"> على أحد</w:t>
      </w:r>
      <w:r w:rsidR="00C10CEE" w:rsidRPr="00904FCB">
        <w:rPr>
          <w:rFonts w:hint="cs"/>
          <w:sz w:val="27"/>
          <w:rtl/>
          <w:lang w:bidi="ar-IQ"/>
        </w:rPr>
        <w:t>ٍ</w:t>
      </w:r>
      <w:r w:rsidRPr="00904FCB">
        <w:rPr>
          <w:rFonts w:hint="cs"/>
          <w:sz w:val="27"/>
          <w:rtl/>
          <w:lang w:bidi="ar-IQ"/>
        </w:rPr>
        <w:t xml:space="preserve">. </w:t>
      </w:r>
      <w:r w:rsidR="00C10CEE" w:rsidRPr="00904FCB">
        <w:rPr>
          <w:rFonts w:hint="cs"/>
          <w:sz w:val="27"/>
          <w:rtl/>
          <w:lang w:bidi="ar-IQ"/>
        </w:rPr>
        <w:t>أ</w:t>
      </w:r>
      <w:r w:rsidRPr="00904FCB">
        <w:rPr>
          <w:rFonts w:hint="cs"/>
          <w:sz w:val="27"/>
          <w:rtl/>
          <w:lang w:bidi="ar-IQ"/>
        </w:rPr>
        <w:t>ما السكان فضربوهم جميعاً بحد</w:t>
      </w:r>
      <w:r w:rsidR="00C10CEE" w:rsidRPr="00904FCB">
        <w:rPr>
          <w:rFonts w:hint="cs"/>
          <w:sz w:val="27"/>
          <w:rtl/>
          <w:lang w:bidi="ar-IQ"/>
        </w:rPr>
        <w:t>ّ</w:t>
      </w:r>
      <w:r w:rsidRPr="00904FCB">
        <w:rPr>
          <w:rFonts w:hint="cs"/>
          <w:sz w:val="27"/>
          <w:rtl/>
          <w:lang w:bidi="ar-IQ"/>
        </w:rPr>
        <w:t xml:space="preserve"> السيف حت</w:t>
      </w:r>
      <w:r w:rsidR="00C10CEE" w:rsidRPr="00904FCB">
        <w:rPr>
          <w:rFonts w:hint="cs"/>
          <w:sz w:val="27"/>
          <w:rtl/>
          <w:lang w:bidi="ar-IQ"/>
        </w:rPr>
        <w:t>ّ</w:t>
      </w:r>
      <w:r w:rsidRPr="00904FCB">
        <w:rPr>
          <w:rFonts w:hint="cs"/>
          <w:sz w:val="27"/>
          <w:rtl/>
          <w:lang w:bidi="ar-IQ"/>
        </w:rPr>
        <w:t xml:space="preserve">ى </w:t>
      </w:r>
      <w:r w:rsidR="00C10CEE" w:rsidRPr="00904FCB">
        <w:rPr>
          <w:rFonts w:hint="cs"/>
          <w:sz w:val="27"/>
          <w:rtl/>
          <w:lang w:bidi="ar-IQ"/>
        </w:rPr>
        <w:t>أ</w:t>
      </w:r>
      <w:r w:rsidRPr="00904FCB">
        <w:rPr>
          <w:rFonts w:hint="cs"/>
          <w:sz w:val="27"/>
          <w:rtl/>
          <w:lang w:bidi="ar-IQ"/>
        </w:rPr>
        <w:t>فنوهم</w:t>
      </w:r>
      <w:r w:rsidR="00C10CEE" w:rsidRPr="00904FCB">
        <w:rPr>
          <w:rFonts w:hint="cs"/>
          <w:sz w:val="27"/>
          <w:rtl/>
          <w:lang w:bidi="ar-IQ"/>
        </w:rPr>
        <w:t>،</w:t>
      </w:r>
      <w:r w:rsidRPr="00904FCB">
        <w:rPr>
          <w:rFonts w:hint="cs"/>
          <w:sz w:val="27"/>
          <w:rtl/>
          <w:lang w:bidi="ar-IQ"/>
        </w:rPr>
        <w:t xml:space="preserve"> ولم يبقوا على أحد</w:t>
      </w:r>
      <w:r w:rsidR="00C10CEE" w:rsidRPr="00904FCB">
        <w:rPr>
          <w:rFonts w:hint="cs"/>
          <w:sz w:val="27"/>
          <w:rtl/>
          <w:lang w:bidi="ar-IQ"/>
        </w:rPr>
        <w:t>ٍ،</w:t>
      </w:r>
      <w:r w:rsidRPr="00904FCB">
        <w:rPr>
          <w:rFonts w:hint="cs"/>
          <w:sz w:val="27"/>
          <w:rtl/>
          <w:lang w:bidi="ar-IQ"/>
        </w:rPr>
        <w:t xml:space="preserve"> كما أمر الرب</w:t>
      </w:r>
      <w:r w:rsidR="00C10CEE" w:rsidRPr="00904FCB">
        <w:rPr>
          <w:rFonts w:hint="cs"/>
          <w:sz w:val="27"/>
          <w:rtl/>
          <w:lang w:bidi="ar-IQ"/>
        </w:rPr>
        <w:t>ّ</w:t>
      </w:r>
      <w:r w:rsidRPr="00904FCB">
        <w:rPr>
          <w:rFonts w:hint="cs"/>
          <w:sz w:val="27"/>
          <w:rtl/>
          <w:lang w:bidi="ar-IQ"/>
        </w:rPr>
        <w:t xml:space="preserve"> موسى</w:t>
      </w:r>
      <w:r w:rsidR="00C10CEE" w:rsidRPr="00904FCB">
        <w:rPr>
          <w:rFonts w:hint="cs"/>
          <w:sz w:val="27"/>
          <w:rtl/>
          <w:lang w:bidi="ar-IQ"/>
        </w:rPr>
        <w:t>،</w:t>
      </w:r>
      <w:r w:rsidRPr="00904FCB">
        <w:rPr>
          <w:rFonts w:hint="cs"/>
          <w:sz w:val="27"/>
          <w:rtl/>
          <w:lang w:bidi="ar-IQ"/>
        </w:rPr>
        <w:t xml:space="preserve"> فهكذا أمر موسى يشوع</w:t>
      </w:r>
      <w:r w:rsidRPr="00904FCB">
        <w:rPr>
          <w:rFonts w:hint="cs"/>
          <w:sz w:val="27"/>
          <w:vertAlign w:val="superscript"/>
          <w:rtl/>
          <w:lang w:bidi="ar-IQ"/>
        </w:rPr>
        <w:t>(</w:t>
      </w:r>
      <w:r w:rsidRPr="00904FCB">
        <w:rPr>
          <w:rStyle w:val="ac"/>
          <w:sz w:val="27"/>
          <w:rtl/>
          <w:lang w:bidi="ar-IQ"/>
        </w:rPr>
        <w:endnoteReference w:id="314"/>
      </w:r>
      <w:r w:rsidRPr="00904FCB">
        <w:rPr>
          <w:rFonts w:hint="cs"/>
          <w:sz w:val="27"/>
          <w:vertAlign w:val="superscript"/>
          <w:rtl/>
          <w:lang w:bidi="ar-IQ"/>
        </w:rPr>
        <w:t>)</w:t>
      </w:r>
      <w:r w:rsidRPr="00904FCB">
        <w:rPr>
          <w:rFonts w:hint="cs"/>
          <w:sz w:val="27"/>
          <w:rtl/>
          <w:lang w:bidi="ar-IQ"/>
        </w:rPr>
        <w:t>.</w:t>
      </w:r>
    </w:p>
    <w:p w:rsidR="00952E59" w:rsidRPr="00904FCB" w:rsidRDefault="00952E59" w:rsidP="007A21AA">
      <w:pPr>
        <w:spacing w:line="400" w:lineRule="exact"/>
        <w:rPr>
          <w:sz w:val="27"/>
          <w:rtl/>
          <w:lang w:bidi="ar-IQ"/>
        </w:rPr>
      </w:pPr>
      <w:r w:rsidRPr="00904FCB">
        <w:rPr>
          <w:rFonts w:hint="cs"/>
          <w:sz w:val="27"/>
          <w:rtl/>
          <w:lang w:bidi="ar-IQ"/>
        </w:rPr>
        <w:t xml:space="preserve">وجاء في سفر العدد: </w:t>
      </w:r>
      <w:r w:rsidRPr="00904FCB">
        <w:rPr>
          <w:rFonts w:hint="eastAsia"/>
          <w:sz w:val="27"/>
          <w:rtl/>
        </w:rPr>
        <w:t>«</w:t>
      </w:r>
      <w:r w:rsidRPr="00904FCB">
        <w:rPr>
          <w:rFonts w:hint="cs"/>
          <w:sz w:val="27"/>
          <w:rtl/>
          <w:lang w:bidi="ar-IQ"/>
        </w:rPr>
        <w:t>وكل</w:t>
      </w:r>
      <w:r w:rsidR="009314BC">
        <w:rPr>
          <w:rFonts w:hint="cs"/>
          <w:sz w:val="27"/>
          <w:rtl/>
          <w:lang w:bidi="ar-IQ"/>
        </w:rPr>
        <w:t>َّ</w:t>
      </w:r>
      <w:r w:rsidRPr="00904FCB">
        <w:rPr>
          <w:rFonts w:hint="cs"/>
          <w:sz w:val="27"/>
          <w:rtl/>
          <w:lang w:bidi="ar-IQ"/>
        </w:rPr>
        <w:t>م الرب</w:t>
      </w:r>
      <w:r w:rsidR="00C10CEE" w:rsidRPr="00904FCB">
        <w:rPr>
          <w:rFonts w:hint="cs"/>
          <w:sz w:val="27"/>
          <w:rtl/>
          <w:lang w:bidi="ar-IQ"/>
        </w:rPr>
        <w:t>ّ</w:t>
      </w:r>
      <w:r w:rsidRPr="00904FCB">
        <w:rPr>
          <w:rFonts w:hint="cs"/>
          <w:sz w:val="27"/>
          <w:rtl/>
          <w:lang w:bidi="ar-IQ"/>
        </w:rPr>
        <w:t xml:space="preserve"> موسى قائلاً: كل</w:t>
      </w:r>
      <w:r w:rsidR="009314BC">
        <w:rPr>
          <w:rFonts w:hint="cs"/>
          <w:sz w:val="27"/>
          <w:rtl/>
          <w:lang w:bidi="ar-IQ"/>
        </w:rPr>
        <w:t>ِّ</w:t>
      </w:r>
      <w:r w:rsidRPr="00904FCB">
        <w:rPr>
          <w:rFonts w:hint="cs"/>
          <w:sz w:val="27"/>
          <w:rtl/>
          <w:lang w:bidi="ar-IQ"/>
        </w:rPr>
        <w:t>م</w:t>
      </w:r>
      <w:r w:rsidR="009314BC">
        <w:rPr>
          <w:rFonts w:hint="cs"/>
          <w:sz w:val="27"/>
          <w:rtl/>
          <w:lang w:bidi="ar-IQ"/>
        </w:rPr>
        <w:t>ْ</w:t>
      </w:r>
      <w:r w:rsidRPr="00904FCB">
        <w:rPr>
          <w:rFonts w:hint="cs"/>
          <w:sz w:val="27"/>
          <w:rtl/>
          <w:lang w:bidi="ar-IQ"/>
        </w:rPr>
        <w:t xml:space="preserve"> ب</w:t>
      </w:r>
      <w:r w:rsidR="009314BC">
        <w:rPr>
          <w:rFonts w:hint="cs"/>
          <w:sz w:val="27"/>
          <w:rtl/>
          <w:lang w:bidi="ar-IQ"/>
        </w:rPr>
        <w:t>َ</w:t>
      </w:r>
      <w:r w:rsidRPr="00904FCB">
        <w:rPr>
          <w:rFonts w:hint="cs"/>
          <w:sz w:val="27"/>
          <w:rtl/>
          <w:lang w:bidi="ar-IQ"/>
        </w:rPr>
        <w:t>ن</w:t>
      </w:r>
      <w:r w:rsidR="009314BC">
        <w:rPr>
          <w:rFonts w:hint="cs"/>
          <w:sz w:val="27"/>
          <w:rtl/>
          <w:lang w:bidi="ar-IQ"/>
        </w:rPr>
        <w:t>ِ</w:t>
      </w:r>
      <w:r w:rsidRPr="00904FCB">
        <w:rPr>
          <w:rFonts w:hint="cs"/>
          <w:sz w:val="27"/>
          <w:rtl/>
          <w:lang w:bidi="ar-IQ"/>
        </w:rPr>
        <w:t>ي</w:t>
      </w:r>
      <w:r w:rsidR="009314BC">
        <w:rPr>
          <w:rFonts w:hint="cs"/>
          <w:sz w:val="27"/>
          <w:rtl/>
          <w:lang w:bidi="ar-IQ"/>
        </w:rPr>
        <w:t>َّ</w:t>
      </w:r>
      <w:r w:rsidRPr="00904FCB">
        <w:rPr>
          <w:rFonts w:hint="cs"/>
          <w:sz w:val="27"/>
          <w:rtl/>
          <w:lang w:bidi="ar-IQ"/>
        </w:rPr>
        <w:t xml:space="preserve"> وقل لهم</w:t>
      </w:r>
      <w:r w:rsidR="00C10CEE" w:rsidRPr="00904FCB">
        <w:rPr>
          <w:rFonts w:hint="cs"/>
          <w:sz w:val="27"/>
          <w:rtl/>
          <w:lang w:bidi="ar-IQ"/>
        </w:rPr>
        <w:t>:</w:t>
      </w:r>
      <w:r w:rsidRPr="00904FCB">
        <w:rPr>
          <w:rFonts w:hint="cs"/>
          <w:sz w:val="27"/>
          <w:rtl/>
          <w:lang w:bidi="ar-IQ"/>
        </w:rPr>
        <w:t xml:space="preserve"> </w:t>
      </w:r>
      <w:r w:rsidR="00C10CEE" w:rsidRPr="00904FCB">
        <w:rPr>
          <w:rFonts w:hint="cs"/>
          <w:sz w:val="27"/>
          <w:rtl/>
          <w:lang w:bidi="ar-IQ"/>
        </w:rPr>
        <w:t>إ</w:t>
      </w:r>
      <w:r w:rsidRPr="00904FCB">
        <w:rPr>
          <w:rFonts w:hint="cs"/>
          <w:sz w:val="27"/>
          <w:rtl/>
          <w:lang w:bidi="ar-IQ"/>
        </w:rPr>
        <w:t>نكم عابرون ال</w:t>
      </w:r>
      <w:r w:rsidR="00C10CEE" w:rsidRPr="00904FCB">
        <w:rPr>
          <w:rFonts w:hint="cs"/>
          <w:sz w:val="27"/>
          <w:rtl/>
          <w:lang w:bidi="ar-IQ"/>
        </w:rPr>
        <w:t>أ</w:t>
      </w:r>
      <w:r w:rsidRPr="00904FCB">
        <w:rPr>
          <w:rFonts w:hint="cs"/>
          <w:sz w:val="27"/>
          <w:rtl/>
          <w:lang w:bidi="ar-IQ"/>
        </w:rPr>
        <w:t xml:space="preserve">ردن </w:t>
      </w:r>
      <w:r w:rsidR="00C10CEE" w:rsidRPr="00904FCB">
        <w:rPr>
          <w:rFonts w:hint="cs"/>
          <w:sz w:val="27"/>
          <w:rtl/>
          <w:lang w:bidi="ar-IQ"/>
        </w:rPr>
        <w:t>إل</w:t>
      </w:r>
      <w:r w:rsidRPr="00904FCB">
        <w:rPr>
          <w:rFonts w:hint="cs"/>
          <w:sz w:val="27"/>
          <w:rtl/>
          <w:lang w:bidi="ar-IQ"/>
        </w:rPr>
        <w:t>ى أرض كنعان</w:t>
      </w:r>
      <w:r w:rsidR="00C10CEE" w:rsidRPr="00904FCB">
        <w:rPr>
          <w:rFonts w:hint="cs"/>
          <w:sz w:val="27"/>
          <w:rtl/>
          <w:lang w:bidi="ar-IQ"/>
        </w:rPr>
        <w:t>،</w:t>
      </w:r>
      <w:r w:rsidRPr="00904FCB">
        <w:rPr>
          <w:rFonts w:hint="cs"/>
          <w:sz w:val="27"/>
          <w:rtl/>
          <w:lang w:bidi="ar-IQ"/>
        </w:rPr>
        <w:t xml:space="preserve"> فتطردون كل سكان ال</w:t>
      </w:r>
      <w:r w:rsidR="00C10CEE" w:rsidRPr="00904FCB">
        <w:rPr>
          <w:rFonts w:hint="cs"/>
          <w:sz w:val="27"/>
          <w:rtl/>
          <w:lang w:bidi="ar-IQ"/>
        </w:rPr>
        <w:t>أ</w:t>
      </w:r>
      <w:r w:rsidRPr="00904FCB">
        <w:rPr>
          <w:rFonts w:hint="cs"/>
          <w:sz w:val="27"/>
          <w:rtl/>
          <w:lang w:bidi="ar-IQ"/>
        </w:rPr>
        <w:t xml:space="preserve">رض من </w:t>
      </w:r>
      <w:r w:rsidR="00C10CEE" w:rsidRPr="00904FCB">
        <w:rPr>
          <w:rFonts w:hint="cs"/>
          <w:sz w:val="27"/>
          <w:rtl/>
          <w:lang w:bidi="ar-IQ"/>
        </w:rPr>
        <w:t>أ</w:t>
      </w:r>
      <w:r w:rsidRPr="00904FCB">
        <w:rPr>
          <w:rFonts w:hint="cs"/>
          <w:sz w:val="27"/>
          <w:rtl/>
          <w:lang w:bidi="ar-IQ"/>
        </w:rPr>
        <w:t>ماكنكم</w:t>
      </w:r>
      <w:r w:rsidR="00C10CEE" w:rsidRPr="00904FCB">
        <w:rPr>
          <w:rFonts w:hint="cs"/>
          <w:sz w:val="27"/>
          <w:rtl/>
          <w:lang w:bidi="ar-IQ"/>
        </w:rPr>
        <w:t>،</w:t>
      </w:r>
      <w:r w:rsidRPr="00904FCB">
        <w:rPr>
          <w:rFonts w:hint="cs"/>
          <w:sz w:val="27"/>
          <w:rtl/>
          <w:lang w:bidi="ar-IQ"/>
        </w:rPr>
        <w:t xml:space="preserve"> وتمحون جميع تصاويرهم</w:t>
      </w:r>
      <w:r w:rsidR="00C10CEE" w:rsidRPr="00904FCB">
        <w:rPr>
          <w:rFonts w:hint="cs"/>
          <w:sz w:val="27"/>
          <w:rtl/>
          <w:lang w:bidi="ar-IQ"/>
        </w:rPr>
        <w:t>،</w:t>
      </w:r>
      <w:r w:rsidRPr="00904FCB">
        <w:rPr>
          <w:rFonts w:hint="cs"/>
          <w:sz w:val="27"/>
          <w:rtl/>
          <w:lang w:bidi="ar-IQ"/>
        </w:rPr>
        <w:t xml:space="preserve"> وتبيدون كل</w:t>
      </w:r>
      <w:r w:rsidR="00C10CEE" w:rsidRPr="00904FCB">
        <w:rPr>
          <w:rFonts w:hint="cs"/>
          <w:sz w:val="27"/>
          <w:rtl/>
          <w:lang w:bidi="ar-IQ"/>
        </w:rPr>
        <w:t>ّ</w:t>
      </w:r>
      <w:r w:rsidRPr="00904FCB">
        <w:rPr>
          <w:rFonts w:hint="cs"/>
          <w:sz w:val="27"/>
          <w:rtl/>
          <w:lang w:bidi="ar-IQ"/>
        </w:rPr>
        <w:t xml:space="preserve"> </w:t>
      </w:r>
      <w:r w:rsidR="00C10CEE" w:rsidRPr="00904FCB">
        <w:rPr>
          <w:rFonts w:hint="cs"/>
          <w:sz w:val="27"/>
          <w:rtl/>
          <w:lang w:bidi="ar-IQ"/>
        </w:rPr>
        <w:t>أ</w:t>
      </w:r>
      <w:r w:rsidRPr="00904FCB">
        <w:rPr>
          <w:rFonts w:hint="cs"/>
          <w:sz w:val="27"/>
          <w:rtl/>
          <w:lang w:bidi="ar-IQ"/>
        </w:rPr>
        <w:t>جناسهم المسبوكة</w:t>
      </w:r>
      <w:r w:rsidR="00C10CEE" w:rsidRPr="00904FCB">
        <w:rPr>
          <w:rFonts w:hint="cs"/>
          <w:sz w:val="27"/>
          <w:rtl/>
          <w:lang w:bidi="ar-IQ"/>
        </w:rPr>
        <w:t>،</w:t>
      </w:r>
      <w:r w:rsidRPr="00904FCB">
        <w:rPr>
          <w:rFonts w:hint="cs"/>
          <w:sz w:val="27"/>
          <w:rtl/>
          <w:lang w:bidi="ar-IQ"/>
        </w:rPr>
        <w:t xml:space="preserve"> وتخ</w:t>
      </w:r>
      <w:r w:rsidR="00C10CEE" w:rsidRPr="00904FCB">
        <w:rPr>
          <w:rFonts w:hint="cs"/>
          <w:sz w:val="27"/>
          <w:rtl/>
          <w:lang w:bidi="ar-IQ"/>
        </w:rPr>
        <w:t>ر</w:t>
      </w:r>
      <w:r w:rsidRPr="00904FCB">
        <w:rPr>
          <w:rFonts w:hint="cs"/>
          <w:sz w:val="27"/>
          <w:rtl/>
          <w:lang w:bidi="ar-IQ"/>
        </w:rPr>
        <w:t>بون مرتفعاتهم</w:t>
      </w:r>
      <w:r w:rsidR="00C10CEE" w:rsidRPr="00904FCB">
        <w:rPr>
          <w:rFonts w:hint="cs"/>
          <w:sz w:val="27"/>
          <w:rtl/>
          <w:lang w:bidi="ar-IQ"/>
        </w:rPr>
        <w:t>.</w:t>
      </w:r>
      <w:r w:rsidRPr="00904FCB">
        <w:rPr>
          <w:rFonts w:hint="cs"/>
          <w:sz w:val="27"/>
          <w:rtl/>
          <w:lang w:bidi="ar-IQ"/>
        </w:rPr>
        <w:t xml:space="preserve"> تملكون ال</w:t>
      </w:r>
      <w:r w:rsidR="00C10CEE" w:rsidRPr="00904FCB">
        <w:rPr>
          <w:rFonts w:hint="cs"/>
          <w:sz w:val="27"/>
          <w:rtl/>
          <w:lang w:bidi="ar-IQ"/>
        </w:rPr>
        <w:t>أ</w:t>
      </w:r>
      <w:r w:rsidRPr="00904FCB">
        <w:rPr>
          <w:rFonts w:hint="cs"/>
          <w:sz w:val="27"/>
          <w:rtl/>
          <w:lang w:bidi="ar-IQ"/>
        </w:rPr>
        <w:t>رض</w:t>
      </w:r>
      <w:r w:rsidR="00C10CEE" w:rsidRPr="00904FCB">
        <w:rPr>
          <w:rFonts w:hint="cs"/>
          <w:sz w:val="27"/>
          <w:rtl/>
          <w:lang w:bidi="ar-IQ"/>
        </w:rPr>
        <w:t>،</w:t>
      </w:r>
      <w:r w:rsidRPr="00904FCB">
        <w:rPr>
          <w:rFonts w:hint="cs"/>
          <w:sz w:val="27"/>
          <w:rtl/>
          <w:lang w:bidi="ar-IQ"/>
        </w:rPr>
        <w:t xml:space="preserve"> وتسكنون فيها</w:t>
      </w:r>
      <w:r w:rsidR="00C10CEE" w:rsidRPr="00904FCB">
        <w:rPr>
          <w:rFonts w:hint="cs"/>
          <w:sz w:val="27"/>
          <w:rtl/>
          <w:lang w:bidi="ar-IQ"/>
        </w:rPr>
        <w:t>؛</w:t>
      </w:r>
      <w:r w:rsidRPr="00904FCB">
        <w:rPr>
          <w:rFonts w:hint="cs"/>
          <w:sz w:val="27"/>
          <w:rtl/>
          <w:lang w:bidi="ar-IQ"/>
        </w:rPr>
        <w:t xml:space="preserve"> ل</w:t>
      </w:r>
      <w:r w:rsidR="00C10CEE" w:rsidRPr="00904FCB">
        <w:rPr>
          <w:rFonts w:hint="cs"/>
          <w:sz w:val="27"/>
          <w:rtl/>
          <w:lang w:bidi="ar-IQ"/>
        </w:rPr>
        <w:t>أ</w:t>
      </w:r>
      <w:r w:rsidRPr="00904FCB">
        <w:rPr>
          <w:rFonts w:hint="cs"/>
          <w:sz w:val="27"/>
          <w:rtl/>
          <w:lang w:bidi="ar-IQ"/>
        </w:rPr>
        <w:t xml:space="preserve">ني </w:t>
      </w:r>
      <w:r w:rsidR="00C10CEE" w:rsidRPr="00904FCB">
        <w:rPr>
          <w:rFonts w:hint="cs"/>
          <w:sz w:val="27"/>
          <w:rtl/>
          <w:lang w:bidi="ar-IQ"/>
        </w:rPr>
        <w:t>أ</w:t>
      </w:r>
      <w:r w:rsidRPr="00904FCB">
        <w:rPr>
          <w:rFonts w:hint="cs"/>
          <w:sz w:val="27"/>
          <w:rtl/>
          <w:lang w:bidi="ar-IQ"/>
        </w:rPr>
        <w:t>عطيتكم ال</w:t>
      </w:r>
      <w:r w:rsidR="00C10CEE" w:rsidRPr="00904FCB">
        <w:rPr>
          <w:rFonts w:hint="cs"/>
          <w:sz w:val="27"/>
          <w:rtl/>
          <w:lang w:bidi="ar-IQ"/>
        </w:rPr>
        <w:t>أ</w:t>
      </w:r>
      <w:r w:rsidRPr="00904FCB">
        <w:rPr>
          <w:rFonts w:hint="cs"/>
          <w:sz w:val="27"/>
          <w:rtl/>
          <w:lang w:bidi="ar-IQ"/>
        </w:rPr>
        <w:t>رض لكي تملكوها</w:t>
      </w:r>
      <w:r w:rsidRPr="00904FCB">
        <w:rPr>
          <w:rFonts w:hint="eastAsia"/>
          <w:sz w:val="27"/>
          <w:rtl/>
        </w:rPr>
        <w:t>»</w:t>
      </w:r>
      <w:r w:rsidRPr="00904FCB">
        <w:rPr>
          <w:rFonts w:hint="cs"/>
          <w:sz w:val="27"/>
          <w:vertAlign w:val="superscript"/>
          <w:rtl/>
          <w:lang w:bidi="ar-IQ"/>
        </w:rPr>
        <w:t>(</w:t>
      </w:r>
      <w:r w:rsidRPr="00904FCB">
        <w:rPr>
          <w:rStyle w:val="ac"/>
          <w:sz w:val="27"/>
          <w:rtl/>
          <w:lang w:bidi="ar-IQ"/>
        </w:rPr>
        <w:endnoteReference w:id="315"/>
      </w:r>
      <w:r w:rsidRPr="00904FCB">
        <w:rPr>
          <w:rFonts w:hint="cs"/>
          <w:sz w:val="27"/>
          <w:vertAlign w:val="superscript"/>
          <w:rtl/>
          <w:lang w:bidi="ar-IQ"/>
        </w:rPr>
        <w:t>)</w:t>
      </w:r>
      <w:r w:rsidRPr="00904FCB">
        <w:rPr>
          <w:rFonts w:hint="cs"/>
          <w:sz w:val="27"/>
          <w:rtl/>
          <w:lang w:bidi="ar-IQ"/>
        </w:rPr>
        <w:t>.</w:t>
      </w:r>
    </w:p>
    <w:p w:rsidR="00952E59" w:rsidRPr="00904FCB" w:rsidRDefault="00C10CEE" w:rsidP="009314BC">
      <w:pPr>
        <w:spacing w:line="400" w:lineRule="exact"/>
        <w:rPr>
          <w:sz w:val="27"/>
          <w:rtl/>
          <w:lang w:bidi="ar-IQ"/>
        </w:rPr>
      </w:pPr>
      <w:r w:rsidRPr="00904FCB">
        <w:rPr>
          <w:rFonts w:hint="cs"/>
          <w:sz w:val="27"/>
          <w:rtl/>
          <w:lang w:bidi="ar-IQ"/>
        </w:rPr>
        <w:t>إ</w:t>
      </w:r>
      <w:r w:rsidR="00952E59" w:rsidRPr="00904FCB">
        <w:rPr>
          <w:rFonts w:hint="cs"/>
          <w:sz w:val="27"/>
          <w:rtl/>
          <w:lang w:bidi="ar-IQ"/>
        </w:rPr>
        <w:t>ن هذه النصوص تبيح العنف</w:t>
      </w:r>
      <w:r w:rsidRPr="00904FCB">
        <w:rPr>
          <w:rFonts w:hint="cs"/>
          <w:sz w:val="27"/>
          <w:rtl/>
          <w:lang w:bidi="ar-IQ"/>
        </w:rPr>
        <w:t>،</w:t>
      </w:r>
      <w:r w:rsidR="00952E59" w:rsidRPr="00904FCB">
        <w:rPr>
          <w:rFonts w:hint="cs"/>
          <w:sz w:val="27"/>
          <w:rtl/>
          <w:lang w:bidi="ar-IQ"/>
        </w:rPr>
        <w:t xml:space="preserve"> بل ال</w:t>
      </w:r>
      <w:r w:rsidRPr="00904FCB">
        <w:rPr>
          <w:rFonts w:hint="cs"/>
          <w:sz w:val="27"/>
          <w:rtl/>
          <w:lang w:bidi="ar-IQ"/>
        </w:rPr>
        <w:t>إ</w:t>
      </w:r>
      <w:r w:rsidR="00952E59" w:rsidRPr="00904FCB">
        <w:rPr>
          <w:rFonts w:hint="cs"/>
          <w:sz w:val="27"/>
          <w:rtl/>
          <w:lang w:bidi="ar-IQ"/>
        </w:rPr>
        <w:t>بادة الكاملة للغير عدوانا</w:t>
      </w:r>
      <w:r w:rsidRPr="00904FCB">
        <w:rPr>
          <w:rFonts w:hint="cs"/>
          <w:sz w:val="27"/>
          <w:rtl/>
          <w:lang w:bidi="ar-IQ"/>
        </w:rPr>
        <w:t>ً</w:t>
      </w:r>
      <w:r w:rsidR="00952E59" w:rsidRPr="00904FCB">
        <w:rPr>
          <w:rFonts w:hint="cs"/>
          <w:sz w:val="27"/>
          <w:rtl/>
          <w:lang w:bidi="ar-IQ"/>
        </w:rPr>
        <w:t xml:space="preserve"> على ال</w:t>
      </w:r>
      <w:r w:rsidRPr="00904FCB">
        <w:rPr>
          <w:rFonts w:hint="cs"/>
          <w:sz w:val="27"/>
          <w:rtl/>
          <w:lang w:bidi="ar-IQ"/>
        </w:rPr>
        <w:t>أ</w:t>
      </w:r>
      <w:r w:rsidR="00952E59" w:rsidRPr="00904FCB">
        <w:rPr>
          <w:rFonts w:hint="cs"/>
          <w:sz w:val="27"/>
          <w:rtl/>
          <w:lang w:bidi="ar-IQ"/>
        </w:rPr>
        <w:t>مم، بل هناك نصوص تؤس</w:t>
      </w:r>
      <w:r w:rsidRPr="00904FCB">
        <w:rPr>
          <w:rFonts w:hint="cs"/>
          <w:sz w:val="27"/>
          <w:rtl/>
          <w:lang w:bidi="ar-IQ"/>
        </w:rPr>
        <w:t>ّ</w:t>
      </w:r>
      <w:r w:rsidR="00952E59" w:rsidRPr="00904FCB">
        <w:rPr>
          <w:rFonts w:hint="cs"/>
          <w:sz w:val="27"/>
          <w:rtl/>
          <w:lang w:bidi="ar-IQ"/>
        </w:rPr>
        <w:t>س</w:t>
      </w:r>
      <w:r w:rsidRPr="00904FCB">
        <w:rPr>
          <w:rFonts w:hint="cs"/>
          <w:sz w:val="27"/>
          <w:rtl/>
          <w:lang w:bidi="ar-IQ"/>
        </w:rPr>
        <w:t xml:space="preserve"> </w:t>
      </w:r>
      <w:r w:rsidR="00952E59" w:rsidRPr="00904FCB">
        <w:rPr>
          <w:rFonts w:hint="cs"/>
          <w:sz w:val="27"/>
          <w:rtl/>
          <w:lang w:bidi="ar-IQ"/>
        </w:rPr>
        <w:t>لقتل بعضهم بعضاً</w:t>
      </w:r>
      <w:r w:rsidRPr="00904FCB">
        <w:rPr>
          <w:rFonts w:hint="cs"/>
          <w:sz w:val="27"/>
          <w:rtl/>
          <w:lang w:bidi="ar-IQ"/>
        </w:rPr>
        <w:t>.</w:t>
      </w:r>
      <w:r w:rsidR="00952E59" w:rsidRPr="00904FCB">
        <w:rPr>
          <w:rFonts w:hint="cs"/>
          <w:sz w:val="27"/>
          <w:rtl/>
          <w:lang w:bidi="ar-IQ"/>
        </w:rPr>
        <w:t xml:space="preserve"> فقد جاء في سفر الخروج أن</w:t>
      </w:r>
      <w:r w:rsidRPr="00904FCB">
        <w:rPr>
          <w:rFonts w:hint="cs"/>
          <w:sz w:val="27"/>
          <w:rtl/>
          <w:lang w:bidi="ar-IQ"/>
        </w:rPr>
        <w:t>ّ</w:t>
      </w:r>
      <w:r w:rsidR="00952E59" w:rsidRPr="00904FCB">
        <w:rPr>
          <w:rFonts w:hint="cs"/>
          <w:sz w:val="27"/>
          <w:rtl/>
          <w:lang w:bidi="ar-IQ"/>
        </w:rPr>
        <w:t xml:space="preserve"> موسى أمر اللاويين بقتل </w:t>
      </w:r>
      <w:r w:rsidRPr="00904FCB">
        <w:rPr>
          <w:rFonts w:hint="cs"/>
          <w:sz w:val="27"/>
          <w:rtl/>
          <w:lang w:bidi="ar-IQ"/>
        </w:rPr>
        <w:t>إ</w:t>
      </w:r>
      <w:r w:rsidR="00952E59" w:rsidRPr="00904FCB">
        <w:rPr>
          <w:rFonts w:hint="cs"/>
          <w:sz w:val="27"/>
          <w:rtl/>
          <w:lang w:bidi="ar-IQ"/>
        </w:rPr>
        <w:t>خوانهم وجيرانهم من ع</w:t>
      </w:r>
      <w:r w:rsidRPr="00904FCB">
        <w:rPr>
          <w:rFonts w:hint="cs"/>
          <w:sz w:val="27"/>
          <w:rtl/>
          <w:lang w:bidi="ar-IQ"/>
        </w:rPr>
        <w:t>َ</w:t>
      </w:r>
      <w:r w:rsidR="00952E59" w:rsidRPr="00904FCB">
        <w:rPr>
          <w:rFonts w:hint="cs"/>
          <w:sz w:val="27"/>
          <w:rtl/>
          <w:lang w:bidi="ar-IQ"/>
        </w:rPr>
        <w:t>ب</w:t>
      </w:r>
      <w:r w:rsidRPr="00904FCB">
        <w:rPr>
          <w:rFonts w:hint="cs"/>
          <w:sz w:val="27"/>
          <w:rtl/>
          <w:lang w:bidi="ar-IQ"/>
        </w:rPr>
        <w:t>َ</w:t>
      </w:r>
      <w:r w:rsidR="00952E59" w:rsidRPr="00904FCB">
        <w:rPr>
          <w:rFonts w:hint="cs"/>
          <w:sz w:val="27"/>
          <w:rtl/>
          <w:lang w:bidi="ar-IQ"/>
        </w:rPr>
        <w:t>دة العجل</w:t>
      </w:r>
      <w:r w:rsidRPr="00904FCB">
        <w:rPr>
          <w:rFonts w:hint="cs"/>
          <w:sz w:val="27"/>
          <w:rtl/>
          <w:lang w:bidi="ar-IQ"/>
        </w:rPr>
        <w:t xml:space="preserve">، </w:t>
      </w:r>
      <w:r w:rsidR="00952E59" w:rsidRPr="00904FCB">
        <w:rPr>
          <w:rFonts w:hint="cs"/>
          <w:sz w:val="27"/>
          <w:rtl/>
          <w:lang w:bidi="ar-IQ"/>
        </w:rPr>
        <w:t xml:space="preserve">فقتل بذلك ثلاثة </w:t>
      </w:r>
      <w:r w:rsidRPr="00904FCB">
        <w:rPr>
          <w:rFonts w:hint="cs"/>
          <w:sz w:val="27"/>
          <w:rtl/>
          <w:lang w:bidi="ar-IQ"/>
        </w:rPr>
        <w:t>آ</w:t>
      </w:r>
      <w:r w:rsidR="00952E59" w:rsidRPr="00904FCB">
        <w:rPr>
          <w:rFonts w:hint="cs"/>
          <w:sz w:val="27"/>
          <w:rtl/>
          <w:lang w:bidi="ar-IQ"/>
        </w:rPr>
        <w:t>لاف رجل</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ا</w:t>
      </w:r>
      <w:r w:rsidR="00952E59" w:rsidRPr="00904FCB">
        <w:rPr>
          <w:rFonts w:hint="cs"/>
          <w:sz w:val="27"/>
          <w:rtl/>
          <w:lang w:bidi="ar-IQ"/>
        </w:rPr>
        <w:t>ختيروا عشوائيا</w:t>
      </w:r>
      <w:r w:rsidRPr="00904FCB">
        <w:rPr>
          <w:rFonts w:hint="cs"/>
          <w:sz w:val="27"/>
          <w:rtl/>
          <w:lang w:bidi="ar-IQ"/>
        </w:rPr>
        <w:t>ً،</w:t>
      </w:r>
      <w:r w:rsidR="00952E59" w:rsidRPr="00904FCB">
        <w:rPr>
          <w:rFonts w:hint="cs"/>
          <w:sz w:val="27"/>
          <w:rtl/>
          <w:lang w:bidi="ar-IQ"/>
        </w:rPr>
        <w:t xml:space="preserve"> كعقاب</w:t>
      </w:r>
      <w:r w:rsidR="009314BC" w:rsidRPr="009314BC">
        <w:rPr>
          <w:rFonts w:hint="cs"/>
          <w:sz w:val="27"/>
          <w:rtl/>
          <w:lang w:bidi="ar-IQ"/>
        </w:rPr>
        <w:t>ٍ</w:t>
      </w:r>
      <w:r w:rsidR="00952E59" w:rsidRPr="00904FCB">
        <w:rPr>
          <w:rFonts w:hint="cs"/>
          <w:sz w:val="27"/>
          <w:rtl/>
          <w:lang w:bidi="ar-IQ"/>
        </w:rPr>
        <w:t xml:space="preserve"> ديني</w:t>
      </w:r>
      <w:r w:rsidR="00952E59" w:rsidRPr="00904FCB">
        <w:rPr>
          <w:rFonts w:hint="cs"/>
          <w:sz w:val="27"/>
          <w:vertAlign w:val="superscript"/>
          <w:rtl/>
          <w:lang w:bidi="ar-IQ"/>
        </w:rPr>
        <w:t>(</w:t>
      </w:r>
      <w:r w:rsidR="00952E59" w:rsidRPr="00904FCB">
        <w:rPr>
          <w:sz w:val="27"/>
          <w:vertAlign w:val="superscript"/>
          <w:rtl/>
        </w:rPr>
        <w:endnoteReference w:id="316"/>
      </w:r>
      <w:r w:rsidR="00952E59" w:rsidRPr="00904FCB">
        <w:rPr>
          <w:rFonts w:hint="cs"/>
          <w:sz w:val="27"/>
          <w:vertAlign w:val="superscript"/>
          <w:rtl/>
          <w:lang w:bidi="ar-IQ"/>
        </w:rPr>
        <w:t>)</w:t>
      </w:r>
      <w:r w:rsidRPr="00904FCB">
        <w:rPr>
          <w:rFonts w:hint="cs"/>
          <w:sz w:val="27"/>
          <w:rtl/>
          <w:lang w:bidi="ar-IQ"/>
        </w:rPr>
        <w:t>.</w:t>
      </w:r>
      <w:r w:rsidR="00952E59" w:rsidRPr="00904FCB">
        <w:rPr>
          <w:rFonts w:hint="cs"/>
          <w:sz w:val="27"/>
          <w:rtl/>
          <w:lang w:bidi="ar-IQ"/>
        </w:rPr>
        <w:t xml:space="preserve"> وبهذا نجد </w:t>
      </w:r>
      <w:r w:rsidRPr="00904FCB">
        <w:rPr>
          <w:rFonts w:hint="cs"/>
          <w:sz w:val="27"/>
          <w:rtl/>
          <w:lang w:bidi="ar-IQ"/>
        </w:rPr>
        <w:t>أ</w:t>
      </w:r>
      <w:r w:rsidR="00952E59" w:rsidRPr="00904FCB">
        <w:rPr>
          <w:rFonts w:hint="cs"/>
          <w:sz w:val="27"/>
          <w:rtl/>
          <w:lang w:bidi="ar-IQ"/>
        </w:rPr>
        <w:t>ن النصوص الدينية تؤس</w:t>
      </w:r>
      <w:r w:rsidRPr="00904FCB">
        <w:rPr>
          <w:rFonts w:hint="cs"/>
          <w:sz w:val="27"/>
          <w:rtl/>
          <w:lang w:bidi="ar-IQ"/>
        </w:rPr>
        <w:t>ّ</w:t>
      </w:r>
      <w:r w:rsidR="00952E59" w:rsidRPr="00904FCB">
        <w:rPr>
          <w:rFonts w:hint="cs"/>
          <w:sz w:val="27"/>
          <w:rtl/>
          <w:lang w:bidi="ar-IQ"/>
        </w:rPr>
        <w:t>س لممارسة دموية عنيفة</w:t>
      </w:r>
      <w:r w:rsidRPr="00904FCB">
        <w:rPr>
          <w:rFonts w:hint="cs"/>
          <w:sz w:val="27"/>
          <w:rtl/>
          <w:lang w:bidi="ar-IQ"/>
        </w:rPr>
        <w:t xml:space="preserve">، </w:t>
      </w:r>
      <w:r w:rsidR="00952E59" w:rsidRPr="00904FCB">
        <w:rPr>
          <w:rFonts w:hint="cs"/>
          <w:sz w:val="27"/>
          <w:rtl/>
          <w:lang w:bidi="ar-IQ"/>
        </w:rPr>
        <w:t>حت</w:t>
      </w:r>
      <w:r w:rsidRPr="00904FCB">
        <w:rPr>
          <w:rFonts w:hint="cs"/>
          <w:sz w:val="27"/>
          <w:rtl/>
          <w:lang w:bidi="ar-IQ"/>
        </w:rPr>
        <w:t>ّ</w:t>
      </w:r>
      <w:r w:rsidR="00952E59" w:rsidRPr="00904FCB">
        <w:rPr>
          <w:rFonts w:hint="cs"/>
          <w:sz w:val="27"/>
          <w:rtl/>
          <w:lang w:bidi="ar-IQ"/>
        </w:rPr>
        <w:t xml:space="preserve">ى </w:t>
      </w:r>
      <w:r w:rsidRPr="00904FCB">
        <w:rPr>
          <w:rFonts w:hint="cs"/>
          <w:sz w:val="27"/>
          <w:rtl/>
          <w:lang w:bidi="ar-IQ"/>
        </w:rPr>
        <w:t>أ</w:t>
      </w:r>
      <w:r w:rsidR="00952E59" w:rsidRPr="00904FCB">
        <w:rPr>
          <w:rFonts w:hint="cs"/>
          <w:sz w:val="27"/>
          <w:rtl/>
          <w:lang w:bidi="ar-IQ"/>
        </w:rPr>
        <w:t xml:space="preserve">ن أيمانويل هيمان يقول: </w:t>
      </w:r>
      <w:r w:rsidR="00952E59" w:rsidRPr="00904FCB">
        <w:rPr>
          <w:rFonts w:hint="eastAsia"/>
          <w:sz w:val="27"/>
          <w:rtl/>
        </w:rPr>
        <w:t>«</w:t>
      </w:r>
      <w:r w:rsidRPr="00904FCB">
        <w:rPr>
          <w:rFonts w:hint="cs"/>
          <w:sz w:val="27"/>
          <w:rtl/>
          <w:lang w:bidi="ar-IQ"/>
        </w:rPr>
        <w:t>إ</w:t>
      </w:r>
      <w:r w:rsidR="00952E59" w:rsidRPr="00904FCB">
        <w:rPr>
          <w:rFonts w:hint="cs"/>
          <w:sz w:val="27"/>
          <w:rtl/>
          <w:lang w:bidi="ar-IQ"/>
        </w:rPr>
        <w:t>ن هذه النصوص تفرض ديان</w:t>
      </w:r>
      <w:r w:rsidRPr="00904FCB">
        <w:rPr>
          <w:rFonts w:hint="cs"/>
          <w:sz w:val="27"/>
          <w:rtl/>
          <w:lang w:bidi="ar-IQ"/>
        </w:rPr>
        <w:t>ة</w:t>
      </w:r>
      <w:r w:rsidR="00952E59" w:rsidRPr="00904FCB">
        <w:rPr>
          <w:rFonts w:hint="cs"/>
          <w:sz w:val="27"/>
          <w:rtl/>
          <w:lang w:bidi="ar-IQ"/>
        </w:rPr>
        <w:t xml:space="preserve"> متوح</w:t>
      </w:r>
      <w:r w:rsidRPr="00904FCB">
        <w:rPr>
          <w:rFonts w:hint="cs"/>
          <w:sz w:val="27"/>
          <w:rtl/>
          <w:lang w:bidi="ar-IQ"/>
        </w:rPr>
        <w:t>ِّ</w:t>
      </w:r>
      <w:r w:rsidR="00952E59" w:rsidRPr="00904FCB">
        <w:rPr>
          <w:rFonts w:hint="cs"/>
          <w:sz w:val="27"/>
          <w:rtl/>
          <w:lang w:bidi="ar-IQ"/>
        </w:rPr>
        <w:t>ش</w:t>
      </w:r>
      <w:r w:rsidRPr="00904FCB">
        <w:rPr>
          <w:rFonts w:hint="cs"/>
          <w:sz w:val="27"/>
          <w:rtl/>
          <w:lang w:bidi="ar-IQ"/>
        </w:rPr>
        <w:t>ة</w:t>
      </w:r>
      <w:r w:rsidR="00952E59" w:rsidRPr="00904FCB">
        <w:rPr>
          <w:rFonts w:hint="cs"/>
          <w:sz w:val="27"/>
          <w:rtl/>
          <w:lang w:bidi="ar-IQ"/>
        </w:rPr>
        <w:t xml:space="preserve"> ودموية</w:t>
      </w:r>
      <w:r w:rsidR="00952E59" w:rsidRPr="00904FCB">
        <w:rPr>
          <w:rFonts w:hint="eastAsia"/>
          <w:sz w:val="27"/>
          <w:rtl/>
        </w:rPr>
        <w:t>»</w:t>
      </w:r>
      <w:r w:rsidRPr="00904FCB">
        <w:rPr>
          <w:rFonts w:hint="cs"/>
          <w:sz w:val="27"/>
          <w:rtl/>
        </w:rPr>
        <w:t>،</w:t>
      </w:r>
      <w:r w:rsidR="00952E59" w:rsidRPr="00904FCB">
        <w:rPr>
          <w:rFonts w:hint="cs"/>
          <w:sz w:val="27"/>
          <w:rtl/>
          <w:lang w:bidi="ar-IQ"/>
        </w:rPr>
        <w:t xml:space="preserve"> </w:t>
      </w:r>
      <w:r w:rsidRPr="00904FCB">
        <w:rPr>
          <w:rFonts w:hint="cs"/>
          <w:sz w:val="27"/>
          <w:rtl/>
          <w:lang w:bidi="ar-IQ"/>
        </w:rPr>
        <w:t>إ</w:t>
      </w:r>
      <w:r w:rsidR="00952E59" w:rsidRPr="00904FCB">
        <w:rPr>
          <w:rFonts w:hint="cs"/>
          <w:sz w:val="27"/>
          <w:rtl/>
          <w:lang w:bidi="ar-IQ"/>
        </w:rPr>
        <w:t xml:space="preserve">شارة </w:t>
      </w:r>
      <w:r w:rsidRPr="00904FCB">
        <w:rPr>
          <w:rFonts w:hint="cs"/>
          <w:sz w:val="27"/>
          <w:rtl/>
          <w:lang w:bidi="ar-IQ"/>
        </w:rPr>
        <w:t>إ</w:t>
      </w:r>
      <w:r w:rsidR="00952E59" w:rsidRPr="00904FCB">
        <w:rPr>
          <w:rFonts w:hint="cs"/>
          <w:sz w:val="27"/>
          <w:rtl/>
          <w:lang w:bidi="ar-IQ"/>
        </w:rPr>
        <w:t>لى ت</w:t>
      </w:r>
      <w:r w:rsidR="009314BC">
        <w:rPr>
          <w:rFonts w:hint="cs"/>
          <w:sz w:val="27"/>
          <w:rtl/>
          <w:lang w:bidi="ar-IQ"/>
        </w:rPr>
        <w:t>أ</w:t>
      </w:r>
      <w:r w:rsidR="00952E59" w:rsidRPr="00904FCB">
        <w:rPr>
          <w:rFonts w:hint="cs"/>
          <w:sz w:val="27"/>
          <w:rtl/>
          <w:lang w:bidi="ar-IQ"/>
        </w:rPr>
        <w:t>ثير النص</w:t>
      </w:r>
      <w:r w:rsidRPr="00904FCB">
        <w:rPr>
          <w:rFonts w:hint="cs"/>
          <w:sz w:val="27"/>
          <w:rtl/>
          <w:lang w:bidi="ar-IQ"/>
        </w:rPr>
        <w:t>ّ</w:t>
      </w:r>
      <w:r w:rsidR="00952E59" w:rsidRPr="00904FCB">
        <w:rPr>
          <w:rFonts w:hint="cs"/>
          <w:sz w:val="27"/>
          <w:rtl/>
          <w:lang w:bidi="ar-IQ"/>
        </w:rPr>
        <w:t xml:space="preserve"> السوسيولوجي</w:t>
      </w:r>
      <w:r w:rsidR="00952E59" w:rsidRPr="00904FCB">
        <w:rPr>
          <w:rFonts w:hint="cs"/>
          <w:sz w:val="27"/>
          <w:vertAlign w:val="superscript"/>
          <w:rtl/>
          <w:lang w:bidi="ar-IQ"/>
        </w:rPr>
        <w:t>(</w:t>
      </w:r>
      <w:r w:rsidR="00952E59" w:rsidRPr="00904FCB">
        <w:rPr>
          <w:sz w:val="27"/>
          <w:vertAlign w:val="superscript"/>
          <w:rtl/>
        </w:rPr>
        <w:endnoteReference w:id="317"/>
      </w:r>
      <w:r w:rsidR="00952E59" w:rsidRPr="00904FCB">
        <w:rPr>
          <w:rFonts w:hint="cs"/>
          <w:sz w:val="27"/>
          <w:vertAlign w:val="superscript"/>
          <w:rtl/>
          <w:lang w:bidi="ar-IQ"/>
        </w:rPr>
        <w:t xml:space="preserve">) </w:t>
      </w:r>
      <w:r w:rsidR="00952E59" w:rsidRPr="00904FCB">
        <w:rPr>
          <w:rFonts w:hint="cs"/>
          <w:sz w:val="27"/>
          <w:rtl/>
          <w:lang w:bidi="ar-IQ"/>
        </w:rPr>
        <w:t>على البشر والق</w:t>
      </w:r>
      <w:r w:rsidRPr="00904FCB">
        <w:rPr>
          <w:rFonts w:hint="cs"/>
          <w:sz w:val="27"/>
          <w:rtl/>
          <w:lang w:bidi="ar-IQ"/>
        </w:rPr>
        <w:t>ِ</w:t>
      </w:r>
      <w:r w:rsidR="00952E59" w:rsidRPr="00904FCB">
        <w:rPr>
          <w:rFonts w:hint="cs"/>
          <w:sz w:val="27"/>
          <w:rtl/>
          <w:lang w:bidi="ar-IQ"/>
        </w:rPr>
        <w:t>ي</w:t>
      </w:r>
      <w:r w:rsidRPr="00904FCB">
        <w:rPr>
          <w:rFonts w:hint="cs"/>
          <w:sz w:val="27"/>
          <w:rtl/>
          <w:lang w:bidi="ar-IQ"/>
        </w:rPr>
        <w:t>َ</w:t>
      </w:r>
      <w:r w:rsidR="00952E59" w:rsidRPr="00904FCB">
        <w:rPr>
          <w:rFonts w:hint="cs"/>
          <w:sz w:val="27"/>
          <w:rtl/>
          <w:lang w:bidi="ar-IQ"/>
        </w:rPr>
        <w:t xml:space="preserve">م السلوكية. </w:t>
      </w:r>
    </w:p>
    <w:p w:rsidR="00952E59" w:rsidRPr="00904FCB" w:rsidRDefault="00C10CEE" w:rsidP="007A21AA">
      <w:pPr>
        <w:spacing w:line="400" w:lineRule="exact"/>
        <w:rPr>
          <w:sz w:val="27"/>
          <w:rtl/>
          <w:lang w:bidi="ar-IQ"/>
        </w:rPr>
      </w:pPr>
      <w:r w:rsidRPr="00904FCB">
        <w:rPr>
          <w:rFonts w:hint="cs"/>
          <w:sz w:val="27"/>
          <w:rtl/>
          <w:lang w:bidi="ar-IQ"/>
        </w:rPr>
        <w:t>إ</w:t>
      </w:r>
      <w:r w:rsidR="00952E59" w:rsidRPr="00904FCB">
        <w:rPr>
          <w:rFonts w:hint="cs"/>
          <w:sz w:val="27"/>
          <w:rtl/>
          <w:lang w:bidi="ar-IQ"/>
        </w:rPr>
        <w:t>ن هذا الهدر لحقوق ال</w:t>
      </w:r>
      <w:r w:rsidRPr="00904FCB">
        <w:rPr>
          <w:rFonts w:hint="cs"/>
          <w:sz w:val="27"/>
          <w:rtl/>
          <w:lang w:bidi="ar-IQ"/>
        </w:rPr>
        <w:t>إ</w:t>
      </w:r>
      <w:r w:rsidR="00952E59" w:rsidRPr="00904FCB">
        <w:rPr>
          <w:rFonts w:hint="cs"/>
          <w:sz w:val="27"/>
          <w:rtl/>
          <w:lang w:bidi="ar-IQ"/>
        </w:rPr>
        <w:t>نسان</w:t>
      </w:r>
      <w:r w:rsidRPr="00904FCB">
        <w:rPr>
          <w:rFonts w:hint="cs"/>
          <w:sz w:val="27"/>
          <w:rtl/>
          <w:lang w:bidi="ar-IQ"/>
        </w:rPr>
        <w:t>،</w:t>
      </w:r>
      <w:r w:rsidR="00952E59" w:rsidRPr="00904FCB">
        <w:rPr>
          <w:rFonts w:hint="cs"/>
          <w:sz w:val="27"/>
          <w:rtl/>
          <w:lang w:bidi="ar-IQ"/>
        </w:rPr>
        <w:t xml:space="preserve"> كالحق</w:t>
      </w:r>
      <w:r w:rsidRPr="00904FCB">
        <w:rPr>
          <w:rFonts w:hint="cs"/>
          <w:sz w:val="27"/>
          <w:rtl/>
          <w:lang w:bidi="ar-IQ"/>
        </w:rPr>
        <w:t>ّ</w:t>
      </w:r>
      <w:r w:rsidR="00952E59" w:rsidRPr="00904FCB">
        <w:rPr>
          <w:rFonts w:hint="cs"/>
          <w:sz w:val="27"/>
          <w:rtl/>
          <w:lang w:bidi="ar-IQ"/>
        </w:rPr>
        <w:t xml:space="preserve"> بالحياة والأمن</w:t>
      </w:r>
      <w:r w:rsidR="007008AC" w:rsidRPr="00904FCB">
        <w:rPr>
          <w:rFonts w:hint="cs"/>
          <w:sz w:val="27"/>
          <w:rtl/>
          <w:lang w:bidi="ar-IQ"/>
        </w:rPr>
        <w:t xml:space="preserve">، </w:t>
      </w:r>
      <w:r w:rsidR="00952E59" w:rsidRPr="00904FCB">
        <w:rPr>
          <w:rFonts w:hint="cs"/>
          <w:sz w:val="27"/>
          <w:rtl/>
          <w:lang w:bidi="ar-IQ"/>
        </w:rPr>
        <w:t>ومصادرة اختياره للعقيدة والتعبير عنها، وتسويغ عمليات ال</w:t>
      </w:r>
      <w:r w:rsidR="007008AC" w:rsidRPr="00904FCB">
        <w:rPr>
          <w:rFonts w:hint="cs"/>
          <w:sz w:val="27"/>
          <w:rtl/>
          <w:lang w:bidi="ar-IQ"/>
        </w:rPr>
        <w:t>إ</w:t>
      </w:r>
      <w:r w:rsidR="00952E59" w:rsidRPr="00904FCB">
        <w:rPr>
          <w:rFonts w:hint="cs"/>
          <w:sz w:val="27"/>
          <w:rtl/>
          <w:lang w:bidi="ar-IQ"/>
        </w:rPr>
        <w:t>بادة</w:t>
      </w:r>
      <w:r w:rsidR="007008AC" w:rsidRPr="00904FCB">
        <w:rPr>
          <w:rFonts w:hint="cs"/>
          <w:sz w:val="27"/>
          <w:rtl/>
          <w:lang w:bidi="ar-IQ"/>
        </w:rPr>
        <w:t>،</w:t>
      </w:r>
      <w:r w:rsidR="00952E59" w:rsidRPr="00904FCB">
        <w:rPr>
          <w:rFonts w:hint="cs"/>
          <w:sz w:val="27"/>
          <w:rtl/>
          <w:lang w:bidi="ar-IQ"/>
        </w:rPr>
        <w:t xml:space="preserve"> صادر</w:t>
      </w:r>
      <w:r w:rsidR="007008AC" w:rsidRPr="00904FCB">
        <w:rPr>
          <w:rFonts w:hint="cs"/>
          <w:sz w:val="27"/>
          <w:rtl/>
          <w:lang w:bidi="ar-IQ"/>
        </w:rPr>
        <w:t>ٌ من عقل يعتنق تمييز</w:t>
      </w:r>
      <w:r w:rsidR="00952E59" w:rsidRPr="00904FCB">
        <w:rPr>
          <w:rFonts w:hint="cs"/>
          <w:sz w:val="27"/>
          <w:rtl/>
          <w:lang w:bidi="ar-IQ"/>
        </w:rPr>
        <w:t>ا</w:t>
      </w:r>
      <w:r w:rsidR="007008AC" w:rsidRPr="00904FCB">
        <w:rPr>
          <w:rFonts w:hint="cs"/>
          <w:sz w:val="27"/>
          <w:rtl/>
          <w:lang w:bidi="ar-IQ"/>
        </w:rPr>
        <w:t>ً صريح</w:t>
      </w:r>
      <w:r w:rsidR="00952E59" w:rsidRPr="00904FCB">
        <w:rPr>
          <w:rFonts w:hint="cs"/>
          <w:sz w:val="27"/>
          <w:rtl/>
          <w:lang w:bidi="ar-IQ"/>
        </w:rPr>
        <w:t>ا</w:t>
      </w:r>
      <w:r w:rsidR="007008AC" w:rsidRPr="00904FCB">
        <w:rPr>
          <w:rFonts w:hint="cs"/>
          <w:sz w:val="27"/>
          <w:rtl/>
          <w:lang w:bidi="ar-IQ"/>
        </w:rPr>
        <w:t>ً</w:t>
      </w:r>
      <w:r w:rsidR="00952E59" w:rsidRPr="00904FCB">
        <w:rPr>
          <w:rFonts w:hint="cs"/>
          <w:sz w:val="27"/>
          <w:rtl/>
          <w:lang w:bidi="ar-IQ"/>
        </w:rPr>
        <w:t xml:space="preserve"> لمجموعة (عرقية دينية) على كل</w:t>
      </w:r>
      <w:r w:rsidR="007008AC" w:rsidRPr="00904FCB">
        <w:rPr>
          <w:rFonts w:hint="cs"/>
          <w:sz w:val="27"/>
          <w:rtl/>
          <w:lang w:bidi="ar-IQ"/>
        </w:rPr>
        <w:t>ّ البشر الذين خلقهم الله أيض</w:t>
      </w:r>
      <w:r w:rsidR="00952E59" w:rsidRPr="00904FCB">
        <w:rPr>
          <w:rFonts w:hint="cs"/>
          <w:sz w:val="27"/>
          <w:rtl/>
          <w:lang w:bidi="ar-IQ"/>
        </w:rPr>
        <w:t>ا</w:t>
      </w:r>
      <w:r w:rsidR="007008AC" w:rsidRPr="00904FCB">
        <w:rPr>
          <w:rFonts w:hint="cs"/>
          <w:sz w:val="27"/>
          <w:rtl/>
          <w:lang w:bidi="ar-IQ"/>
        </w:rPr>
        <w:t>ً.</w:t>
      </w:r>
      <w:r w:rsidR="00952E59" w:rsidRPr="00904FCB">
        <w:rPr>
          <w:rFonts w:hint="cs"/>
          <w:sz w:val="27"/>
          <w:rtl/>
          <w:lang w:bidi="ar-IQ"/>
        </w:rPr>
        <w:t xml:space="preserve"> فقد جاء في التلمود أن أرواح اليهود تتميز عن بقية ال</w:t>
      </w:r>
      <w:r w:rsidR="007008AC" w:rsidRPr="00904FCB">
        <w:rPr>
          <w:rFonts w:hint="cs"/>
          <w:sz w:val="27"/>
          <w:rtl/>
          <w:lang w:bidi="ar-IQ"/>
        </w:rPr>
        <w:t>أ</w:t>
      </w:r>
      <w:r w:rsidR="00952E59" w:rsidRPr="00904FCB">
        <w:rPr>
          <w:rFonts w:hint="cs"/>
          <w:sz w:val="27"/>
          <w:rtl/>
          <w:lang w:bidi="ar-IQ"/>
        </w:rPr>
        <w:t>رواح</w:t>
      </w:r>
      <w:r w:rsidR="007008AC" w:rsidRPr="00904FCB">
        <w:rPr>
          <w:rFonts w:hint="cs"/>
          <w:sz w:val="27"/>
          <w:rtl/>
          <w:lang w:bidi="ar-IQ"/>
        </w:rPr>
        <w:t>؛</w:t>
      </w:r>
      <w:r w:rsidR="00952E59" w:rsidRPr="00904FCB">
        <w:rPr>
          <w:rFonts w:hint="cs"/>
          <w:sz w:val="27"/>
          <w:rtl/>
          <w:lang w:bidi="ar-IQ"/>
        </w:rPr>
        <w:t xml:space="preserve"> ل</w:t>
      </w:r>
      <w:r w:rsidR="007008AC" w:rsidRPr="00904FCB">
        <w:rPr>
          <w:rFonts w:hint="cs"/>
          <w:sz w:val="27"/>
          <w:rtl/>
          <w:lang w:bidi="ar-IQ"/>
        </w:rPr>
        <w:t>أ</w:t>
      </w:r>
      <w:r w:rsidR="00952E59" w:rsidRPr="00904FCB">
        <w:rPr>
          <w:rFonts w:hint="cs"/>
          <w:sz w:val="27"/>
          <w:rtl/>
          <w:lang w:bidi="ar-IQ"/>
        </w:rPr>
        <w:t>نها جزء</w:t>
      </w:r>
      <w:r w:rsidR="007008AC" w:rsidRPr="00904FCB">
        <w:rPr>
          <w:rFonts w:hint="cs"/>
          <w:sz w:val="27"/>
          <w:rtl/>
          <w:lang w:bidi="ar-IQ"/>
        </w:rPr>
        <w:t>ٌ</w:t>
      </w:r>
      <w:r w:rsidR="00952E59" w:rsidRPr="00904FCB">
        <w:rPr>
          <w:rFonts w:hint="cs"/>
          <w:sz w:val="27"/>
          <w:rtl/>
          <w:lang w:bidi="ar-IQ"/>
        </w:rPr>
        <w:t xml:space="preserve"> من الله</w:t>
      </w:r>
      <w:r w:rsidR="00952E59" w:rsidRPr="00904FCB">
        <w:rPr>
          <w:rFonts w:hint="cs"/>
          <w:sz w:val="27"/>
          <w:vertAlign w:val="superscript"/>
          <w:rtl/>
          <w:lang w:bidi="ar-IQ"/>
        </w:rPr>
        <w:t>(</w:t>
      </w:r>
      <w:r w:rsidR="00952E59" w:rsidRPr="00904FCB">
        <w:rPr>
          <w:sz w:val="27"/>
          <w:vertAlign w:val="superscript"/>
          <w:rtl/>
        </w:rPr>
        <w:endnoteReference w:id="318"/>
      </w:r>
      <w:r w:rsidR="00952E59" w:rsidRPr="00904FCB">
        <w:rPr>
          <w:rFonts w:hint="cs"/>
          <w:sz w:val="27"/>
          <w:vertAlign w:val="superscript"/>
          <w:rtl/>
          <w:lang w:bidi="ar-IQ"/>
        </w:rPr>
        <w:t>)</w:t>
      </w:r>
      <w:r w:rsidR="007008AC" w:rsidRPr="00904FCB">
        <w:rPr>
          <w:rFonts w:hint="cs"/>
          <w:sz w:val="27"/>
          <w:rtl/>
          <w:lang w:bidi="ar-IQ"/>
        </w:rPr>
        <w:t xml:space="preserve">. </w:t>
      </w:r>
      <w:r w:rsidR="00952E59" w:rsidRPr="00904FCB">
        <w:rPr>
          <w:rFonts w:hint="cs"/>
          <w:sz w:val="27"/>
          <w:rtl/>
          <w:lang w:bidi="ar-IQ"/>
        </w:rPr>
        <w:t>ويؤك</w:t>
      </w:r>
      <w:r w:rsidR="007008AC" w:rsidRPr="00904FCB">
        <w:rPr>
          <w:rFonts w:hint="cs"/>
          <w:sz w:val="27"/>
          <w:rtl/>
          <w:lang w:bidi="ar-IQ"/>
        </w:rPr>
        <w:t>ّ</w:t>
      </w:r>
      <w:r w:rsidR="009314BC">
        <w:rPr>
          <w:rFonts w:hint="cs"/>
          <w:sz w:val="27"/>
          <w:rtl/>
          <w:lang w:bidi="ar-IQ"/>
        </w:rPr>
        <w:t>ِ</w:t>
      </w:r>
      <w:r w:rsidR="00952E59" w:rsidRPr="00904FCB">
        <w:rPr>
          <w:rFonts w:hint="cs"/>
          <w:sz w:val="27"/>
          <w:rtl/>
          <w:lang w:bidi="ar-IQ"/>
        </w:rPr>
        <w:t>د التلمود أن ثروات الأرض كلها لليهود فقط، وعلى كل</w:t>
      </w:r>
      <w:r w:rsidR="007008AC" w:rsidRPr="00904FCB">
        <w:rPr>
          <w:rFonts w:hint="cs"/>
          <w:sz w:val="27"/>
          <w:rtl/>
          <w:lang w:bidi="ar-IQ"/>
        </w:rPr>
        <w:t>ّ</w:t>
      </w:r>
      <w:r w:rsidR="00952E59" w:rsidRPr="00904FCB">
        <w:rPr>
          <w:rFonts w:hint="cs"/>
          <w:sz w:val="27"/>
          <w:rtl/>
          <w:lang w:bidi="ar-IQ"/>
        </w:rPr>
        <w:t xml:space="preserve"> يهودي أن يمنع تسل</w:t>
      </w:r>
      <w:r w:rsidR="007008AC" w:rsidRPr="00904FCB">
        <w:rPr>
          <w:rFonts w:hint="cs"/>
          <w:sz w:val="27"/>
          <w:rtl/>
          <w:lang w:bidi="ar-IQ"/>
        </w:rPr>
        <w:t>ّ</w:t>
      </w:r>
      <w:r w:rsidR="00952E59" w:rsidRPr="00904FCB">
        <w:rPr>
          <w:rFonts w:hint="cs"/>
          <w:sz w:val="27"/>
          <w:rtl/>
          <w:lang w:bidi="ar-IQ"/>
        </w:rPr>
        <w:t>ط باقي ال</w:t>
      </w:r>
      <w:r w:rsidR="007008AC" w:rsidRPr="00904FCB">
        <w:rPr>
          <w:rFonts w:hint="cs"/>
          <w:sz w:val="27"/>
          <w:rtl/>
          <w:lang w:bidi="ar-IQ"/>
        </w:rPr>
        <w:t>أ</w:t>
      </w:r>
      <w:r w:rsidR="00952E59" w:rsidRPr="00904FCB">
        <w:rPr>
          <w:rFonts w:hint="cs"/>
          <w:sz w:val="27"/>
          <w:rtl/>
          <w:lang w:bidi="ar-IQ"/>
        </w:rPr>
        <w:t>مم في الأرض على الثروة</w:t>
      </w:r>
      <w:r w:rsidR="007008AC" w:rsidRPr="00904FCB">
        <w:rPr>
          <w:rFonts w:hint="cs"/>
          <w:sz w:val="27"/>
          <w:rtl/>
          <w:lang w:bidi="ar-IQ"/>
        </w:rPr>
        <w:t>؛</w:t>
      </w:r>
      <w:r w:rsidR="00952E59" w:rsidRPr="00904FCB">
        <w:rPr>
          <w:rFonts w:hint="cs"/>
          <w:sz w:val="27"/>
          <w:rtl/>
          <w:lang w:bidi="ar-IQ"/>
        </w:rPr>
        <w:t xml:space="preserve"> لتكون السلط</w:t>
      </w:r>
      <w:r w:rsidR="007008AC" w:rsidRPr="00904FCB">
        <w:rPr>
          <w:rFonts w:hint="cs"/>
          <w:sz w:val="27"/>
          <w:rtl/>
          <w:lang w:bidi="ar-IQ"/>
        </w:rPr>
        <w:t>ة</w:t>
      </w:r>
      <w:r w:rsidR="00952E59" w:rsidRPr="00904FCB">
        <w:rPr>
          <w:rFonts w:hint="cs"/>
          <w:sz w:val="27"/>
          <w:rtl/>
          <w:lang w:bidi="ar-IQ"/>
        </w:rPr>
        <w:t xml:space="preserve"> لليهود وحدهم</w:t>
      </w:r>
      <w:r w:rsidR="007008AC" w:rsidRPr="00904FCB">
        <w:rPr>
          <w:rFonts w:hint="cs"/>
          <w:sz w:val="27"/>
          <w:rtl/>
          <w:lang w:bidi="ar-IQ"/>
        </w:rPr>
        <w:t>.</w:t>
      </w:r>
      <w:r w:rsidR="00952E59" w:rsidRPr="00904FCB">
        <w:rPr>
          <w:rFonts w:hint="cs"/>
          <w:sz w:val="27"/>
          <w:rtl/>
          <w:lang w:bidi="ar-IQ"/>
        </w:rPr>
        <w:t xml:space="preserve"> لذلك يعيش اليهود في حرب دائمية غير معلنة مع كل</w:t>
      </w:r>
      <w:r w:rsidR="007008AC" w:rsidRPr="00904FCB">
        <w:rPr>
          <w:rFonts w:hint="cs"/>
          <w:sz w:val="27"/>
          <w:rtl/>
          <w:lang w:bidi="ar-IQ"/>
        </w:rPr>
        <w:t>ّ</w:t>
      </w:r>
      <w:r w:rsidR="00952E59" w:rsidRPr="00904FCB">
        <w:rPr>
          <w:rFonts w:hint="cs"/>
          <w:sz w:val="27"/>
          <w:rtl/>
          <w:lang w:bidi="ar-IQ"/>
        </w:rPr>
        <w:t xml:space="preserve"> شعوب الأرض</w:t>
      </w:r>
      <w:r w:rsidR="00952E59" w:rsidRPr="00904FCB">
        <w:rPr>
          <w:rFonts w:hint="cs"/>
          <w:sz w:val="27"/>
          <w:vertAlign w:val="superscript"/>
          <w:rtl/>
          <w:lang w:bidi="ar-IQ"/>
        </w:rPr>
        <w:t>(</w:t>
      </w:r>
      <w:r w:rsidR="00952E59" w:rsidRPr="00904FCB">
        <w:rPr>
          <w:sz w:val="27"/>
          <w:vertAlign w:val="superscript"/>
          <w:rtl/>
        </w:rPr>
        <w:endnoteReference w:id="319"/>
      </w:r>
      <w:r w:rsidR="00952E59" w:rsidRPr="00904FCB">
        <w:rPr>
          <w:rFonts w:hint="cs"/>
          <w:sz w:val="27"/>
          <w:vertAlign w:val="superscript"/>
          <w:rtl/>
          <w:lang w:bidi="ar-IQ"/>
        </w:rPr>
        <w:t>)</w:t>
      </w:r>
      <w:r w:rsidR="007008AC" w:rsidRPr="00904FCB">
        <w:rPr>
          <w:rFonts w:hint="cs"/>
          <w:sz w:val="27"/>
          <w:rtl/>
          <w:lang w:bidi="ar-IQ"/>
        </w:rPr>
        <w:t>،</w:t>
      </w:r>
      <w:r w:rsidR="00952E59" w:rsidRPr="00904FCB">
        <w:rPr>
          <w:rFonts w:hint="cs"/>
          <w:sz w:val="27"/>
          <w:rtl/>
          <w:lang w:bidi="ar-IQ"/>
        </w:rPr>
        <w:t xml:space="preserve"> مم</w:t>
      </w:r>
      <w:r w:rsidR="007008AC" w:rsidRPr="00904FCB">
        <w:rPr>
          <w:rFonts w:hint="cs"/>
          <w:sz w:val="27"/>
          <w:rtl/>
          <w:lang w:bidi="ar-IQ"/>
        </w:rPr>
        <w:t>ّ</w:t>
      </w:r>
      <w:r w:rsidR="00952E59" w:rsidRPr="00904FCB">
        <w:rPr>
          <w:rFonts w:hint="cs"/>
          <w:sz w:val="27"/>
          <w:rtl/>
          <w:lang w:bidi="ar-IQ"/>
        </w:rPr>
        <w:t xml:space="preserve">ا يعني </w:t>
      </w:r>
      <w:r w:rsidR="007008AC" w:rsidRPr="00904FCB">
        <w:rPr>
          <w:rFonts w:hint="cs"/>
          <w:sz w:val="27"/>
          <w:rtl/>
          <w:lang w:bidi="ar-IQ"/>
        </w:rPr>
        <w:t>أ</w:t>
      </w:r>
      <w:r w:rsidR="00952E59" w:rsidRPr="00904FCB">
        <w:rPr>
          <w:rFonts w:hint="cs"/>
          <w:sz w:val="27"/>
          <w:rtl/>
          <w:lang w:bidi="ar-IQ"/>
        </w:rPr>
        <w:t xml:space="preserve">ن </w:t>
      </w:r>
      <w:r w:rsidR="007008AC" w:rsidRPr="00904FCB">
        <w:rPr>
          <w:rFonts w:hint="cs"/>
          <w:sz w:val="27"/>
          <w:rtl/>
          <w:lang w:bidi="ar-IQ"/>
        </w:rPr>
        <w:t>أ</w:t>
      </w:r>
      <w:r w:rsidR="00952E59" w:rsidRPr="00904FCB">
        <w:rPr>
          <w:rFonts w:hint="cs"/>
          <w:sz w:val="27"/>
          <w:rtl/>
          <w:lang w:bidi="ar-IQ"/>
        </w:rPr>
        <w:t xml:space="preserve">غلب اليهود </w:t>
      </w:r>
      <w:r w:rsidR="007008AC" w:rsidRPr="00904FCB">
        <w:rPr>
          <w:rFonts w:hint="cs"/>
          <w:sz w:val="27"/>
          <w:rtl/>
          <w:lang w:bidi="ar-IQ"/>
        </w:rPr>
        <w:t>يؤيِّدون،</w:t>
      </w:r>
      <w:r w:rsidR="00952E59" w:rsidRPr="00904FCB">
        <w:rPr>
          <w:rFonts w:hint="cs"/>
          <w:sz w:val="27"/>
          <w:rtl/>
          <w:lang w:bidi="ar-IQ"/>
        </w:rPr>
        <w:t xml:space="preserve"> </w:t>
      </w:r>
      <w:r w:rsidR="007008AC" w:rsidRPr="00904FCB">
        <w:rPr>
          <w:rFonts w:hint="cs"/>
          <w:sz w:val="27"/>
          <w:rtl/>
          <w:lang w:bidi="ar-IQ"/>
        </w:rPr>
        <w:t>أ</w:t>
      </w:r>
      <w:r w:rsidR="00952E59" w:rsidRPr="00904FCB">
        <w:rPr>
          <w:rFonts w:hint="cs"/>
          <w:sz w:val="27"/>
          <w:rtl/>
          <w:lang w:bidi="ar-IQ"/>
        </w:rPr>
        <w:t>و على الأقل</w:t>
      </w:r>
      <w:r w:rsidR="007008AC" w:rsidRPr="00904FCB">
        <w:rPr>
          <w:rFonts w:hint="cs"/>
          <w:sz w:val="27"/>
          <w:rtl/>
          <w:lang w:bidi="ar-IQ"/>
        </w:rPr>
        <w:t>ّ</w:t>
      </w:r>
      <w:r w:rsidR="00952E59" w:rsidRPr="00904FCB">
        <w:rPr>
          <w:rFonts w:hint="cs"/>
          <w:sz w:val="27"/>
          <w:rtl/>
          <w:lang w:bidi="ar-IQ"/>
        </w:rPr>
        <w:t xml:space="preserve"> لا</w:t>
      </w:r>
      <w:r w:rsidR="007008AC" w:rsidRPr="00904FCB">
        <w:rPr>
          <w:rFonts w:hint="cs"/>
          <w:sz w:val="27"/>
          <w:rtl/>
          <w:lang w:bidi="ar-IQ"/>
        </w:rPr>
        <w:t xml:space="preserve"> </w:t>
      </w:r>
      <w:r w:rsidR="00952E59" w:rsidRPr="00904FCB">
        <w:rPr>
          <w:rFonts w:hint="cs"/>
          <w:sz w:val="27"/>
          <w:rtl/>
          <w:lang w:bidi="ar-IQ"/>
        </w:rPr>
        <w:t>يم</w:t>
      </w:r>
      <w:r w:rsidR="007008AC" w:rsidRPr="00904FCB">
        <w:rPr>
          <w:rFonts w:hint="cs"/>
          <w:sz w:val="27"/>
          <w:rtl/>
          <w:lang w:bidi="ar-IQ"/>
        </w:rPr>
        <w:t>ا</w:t>
      </w:r>
      <w:r w:rsidR="00952E59" w:rsidRPr="00904FCB">
        <w:rPr>
          <w:rFonts w:hint="cs"/>
          <w:sz w:val="27"/>
          <w:rtl/>
          <w:lang w:bidi="ar-IQ"/>
        </w:rPr>
        <w:t>نع</w:t>
      </w:r>
      <w:r w:rsidR="007008AC" w:rsidRPr="00904FCB">
        <w:rPr>
          <w:rFonts w:hint="cs"/>
          <w:sz w:val="27"/>
          <w:rtl/>
          <w:lang w:bidi="ar-IQ"/>
        </w:rPr>
        <w:t>ون،</w:t>
      </w:r>
      <w:r w:rsidR="00952E59" w:rsidRPr="00904FCB">
        <w:rPr>
          <w:rFonts w:hint="cs"/>
          <w:sz w:val="27"/>
          <w:rtl/>
          <w:lang w:bidi="ar-IQ"/>
        </w:rPr>
        <w:t xml:space="preserve"> تبن</w:t>
      </w:r>
      <w:r w:rsidR="007008AC" w:rsidRPr="00904FCB">
        <w:rPr>
          <w:rFonts w:hint="cs"/>
          <w:sz w:val="27"/>
          <w:rtl/>
          <w:lang w:bidi="ar-IQ"/>
        </w:rPr>
        <w:t>ّي</w:t>
      </w:r>
      <w:r w:rsidR="00952E59" w:rsidRPr="00904FCB">
        <w:rPr>
          <w:rFonts w:hint="cs"/>
          <w:sz w:val="27"/>
          <w:rtl/>
          <w:lang w:bidi="ar-IQ"/>
        </w:rPr>
        <w:t xml:space="preserve"> النزعة ال</w:t>
      </w:r>
      <w:r w:rsidR="007008AC" w:rsidRPr="00904FCB">
        <w:rPr>
          <w:rFonts w:hint="cs"/>
          <w:sz w:val="27"/>
          <w:rtl/>
          <w:lang w:bidi="ar-IQ"/>
        </w:rPr>
        <w:t>أ</w:t>
      </w:r>
      <w:r w:rsidR="00952E59" w:rsidRPr="00904FCB">
        <w:rPr>
          <w:rFonts w:hint="cs"/>
          <w:sz w:val="27"/>
          <w:rtl/>
          <w:lang w:bidi="ar-IQ"/>
        </w:rPr>
        <w:t>صولية والعنف</w:t>
      </w:r>
      <w:r w:rsidR="007008AC" w:rsidRPr="00904FCB">
        <w:rPr>
          <w:rFonts w:hint="cs"/>
          <w:sz w:val="27"/>
          <w:rtl/>
          <w:lang w:bidi="ar-IQ"/>
        </w:rPr>
        <w:t>.</w:t>
      </w:r>
      <w:r w:rsidR="00952E59" w:rsidRPr="00904FCB">
        <w:rPr>
          <w:rFonts w:hint="cs"/>
          <w:sz w:val="27"/>
          <w:rtl/>
          <w:lang w:bidi="ar-IQ"/>
        </w:rPr>
        <w:t xml:space="preserve"> ويؤك</w:t>
      </w:r>
      <w:r w:rsidR="007008AC" w:rsidRPr="00904FCB">
        <w:rPr>
          <w:rFonts w:hint="cs"/>
          <w:sz w:val="27"/>
          <w:rtl/>
          <w:lang w:bidi="ar-IQ"/>
        </w:rPr>
        <w:t>ّ</w:t>
      </w:r>
      <w:r w:rsidR="00952E59" w:rsidRPr="00904FCB">
        <w:rPr>
          <w:rFonts w:hint="cs"/>
          <w:sz w:val="27"/>
          <w:rtl/>
          <w:lang w:bidi="ar-IQ"/>
        </w:rPr>
        <w:t>د التلمود أن ال</w:t>
      </w:r>
      <w:r w:rsidR="007008AC" w:rsidRPr="00904FCB">
        <w:rPr>
          <w:rFonts w:hint="cs"/>
          <w:sz w:val="27"/>
          <w:rtl/>
          <w:lang w:bidi="ar-IQ"/>
        </w:rPr>
        <w:t>إ</w:t>
      </w:r>
      <w:r w:rsidR="00952E59" w:rsidRPr="00904FCB">
        <w:rPr>
          <w:rFonts w:hint="cs"/>
          <w:sz w:val="27"/>
          <w:rtl/>
          <w:lang w:bidi="ar-IQ"/>
        </w:rPr>
        <w:t>سرائيلي معتبر عند الله أكثر من الملائكة</w:t>
      </w:r>
      <w:r w:rsidR="007008AC" w:rsidRPr="00904FCB">
        <w:rPr>
          <w:rFonts w:hint="cs"/>
          <w:sz w:val="27"/>
          <w:rtl/>
          <w:lang w:bidi="ar-IQ"/>
        </w:rPr>
        <w:t>،</w:t>
      </w:r>
      <w:r w:rsidR="00952E59" w:rsidRPr="00904FCB">
        <w:rPr>
          <w:rFonts w:hint="cs"/>
          <w:sz w:val="27"/>
          <w:rtl/>
          <w:lang w:bidi="ar-IQ"/>
        </w:rPr>
        <w:t xml:space="preserve"> فإذا ضرب أميّ </w:t>
      </w:r>
      <w:r w:rsidR="007008AC" w:rsidRPr="00904FCB">
        <w:rPr>
          <w:rFonts w:hint="cs"/>
          <w:sz w:val="27"/>
          <w:rtl/>
          <w:lang w:bidi="ar-IQ"/>
        </w:rPr>
        <w:t>إ</w:t>
      </w:r>
      <w:r w:rsidR="00952E59" w:rsidRPr="00904FCB">
        <w:rPr>
          <w:rFonts w:hint="cs"/>
          <w:sz w:val="27"/>
          <w:rtl/>
          <w:lang w:bidi="ar-IQ"/>
        </w:rPr>
        <w:t>سرائيلياً فكأن</w:t>
      </w:r>
      <w:r w:rsidR="007008AC" w:rsidRPr="00904FCB">
        <w:rPr>
          <w:rFonts w:hint="cs"/>
          <w:sz w:val="27"/>
          <w:rtl/>
          <w:lang w:bidi="ar-IQ"/>
        </w:rPr>
        <w:t>ّ</w:t>
      </w:r>
      <w:r w:rsidR="00952E59" w:rsidRPr="00904FCB">
        <w:rPr>
          <w:rFonts w:hint="cs"/>
          <w:sz w:val="27"/>
          <w:rtl/>
          <w:lang w:bidi="ar-IQ"/>
        </w:rPr>
        <w:t>ه ضرب العزة ال</w:t>
      </w:r>
      <w:r w:rsidR="007008AC" w:rsidRPr="00904FCB">
        <w:rPr>
          <w:rFonts w:hint="cs"/>
          <w:sz w:val="27"/>
          <w:rtl/>
          <w:lang w:bidi="ar-IQ"/>
        </w:rPr>
        <w:t>إ</w:t>
      </w:r>
      <w:r w:rsidR="00952E59" w:rsidRPr="00904FCB">
        <w:rPr>
          <w:rFonts w:hint="cs"/>
          <w:sz w:val="27"/>
          <w:rtl/>
          <w:lang w:bidi="ar-IQ"/>
        </w:rPr>
        <w:t>لهية</w:t>
      </w:r>
      <w:r w:rsidR="007008AC" w:rsidRPr="00904FCB">
        <w:rPr>
          <w:rFonts w:hint="cs"/>
          <w:sz w:val="27"/>
          <w:rtl/>
          <w:lang w:bidi="ar-IQ"/>
        </w:rPr>
        <w:t>.</w:t>
      </w:r>
      <w:r w:rsidR="00952E59" w:rsidRPr="00904FCB">
        <w:rPr>
          <w:rFonts w:hint="cs"/>
          <w:sz w:val="27"/>
          <w:rtl/>
          <w:lang w:bidi="ar-IQ"/>
        </w:rPr>
        <w:t xml:space="preserve"> ويعتقد </w:t>
      </w:r>
      <w:r w:rsidR="00952E59" w:rsidRPr="00904FCB">
        <w:rPr>
          <w:rFonts w:hint="cs"/>
          <w:sz w:val="27"/>
          <w:rtl/>
          <w:lang w:bidi="ar-IQ"/>
        </w:rPr>
        <w:lastRenderedPageBreak/>
        <w:t xml:space="preserve">اليهود </w:t>
      </w:r>
      <w:r w:rsidR="007008AC" w:rsidRPr="00904FCB">
        <w:rPr>
          <w:rFonts w:hint="cs"/>
          <w:sz w:val="27"/>
          <w:rtl/>
          <w:lang w:bidi="ar-IQ"/>
        </w:rPr>
        <w:t xml:space="preserve">أنّ </w:t>
      </w:r>
      <w:r w:rsidR="00952E59" w:rsidRPr="00904FCB">
        <w:rPr>
          <w:rFonts w:hint="cs"/>
          <w:sz w:val="27"/>
          <w:rtl/>
          <w:lang w:bidi="ar-IQ"/>
        </w:rPr>
        <w:t>الشعوب ال</w:t>
      </w:r>
      <w:r w:rsidR="007008AC" w:rsidRPr="00904FCB">
        <w:rPr>
          <w:rFonts w:hint="cs"/>
          <w:sz w:val="27"/>
          <w:rtl/>
          <w:lang w:bidi="ar-IQ"/>
        </w:rPr>
        <w:t>أ</w:t>
      </w:r>
      <w:r w:rsidR="00952E59" w:rsidRPr="00904FCB">
        <w:rPr>
          <w:rFonts w:hint="cs"/>
          <w:sz w:val="27"/>
          <w:rtl/>
          <w:lang w:bidi="ar-IQ"/>
        </w:rPr>
        <w:t>خرى أعداء</w:t>
      </w:r>
      <w:r w:rsidR="007008AC" w:rsidRPr="00904FCB">
        <w:rPr>
          <w:rFonts w:hint="cs"/>
          <w:sz w:val="27"/>
          <w:rtl/>
          <w:lang w:bidi="ar-IQ"/>
        </w:rPr>
        <w:t>ٌ</w:t>
      </w:r>
      <w:r w:rsidR="00952E59" w:rsidRPr="00904FCB">
        <w:rPr>
          <w:rFonts w:hint="cs"/>
          <w:sz w:val="27"/>
          <w:rtl/>
          <w:lang w:bidi="ar-IQ"/>
        </w:rPr>
        <w:t xml:space="preserve"> لهم</w:t>
      </w:r>
      <w:r w:rsidR="007008AC" w:rsidRPr="00904FCB">
        <w:rPr>
          <w:rFonts w:hint="cs"/>
          <w:sz w:val="27"/>
          <w:rtl/>
          <w:lang w:bidi="ar-IQ"/>
        </w:rPr>
        <w:t xml:space="preserve">، </w:t>
      </w:r>
      <w:r w:rsidR="00952E59" w:rsidRPr="00904FCB">
        <w:rPr>
          <w:rFonts w:hint="cs"/>
          <w:sz w:val="27"/>
          <w:rtl/>
          <w:lang w:bidi="ar-IQ"/>
        </w:rPr>
        <w:t>ولا يجوز أن يشفق اليهود على أعدائهم</w:t>
      </w:r>
      <w:r w:rsidR="00952E59" w:rsidRPr="00904FCB">
        <w:rPr>
          <w:rFonts w:hint="cs"/>
          <w:sz w:val="27"/>
          <w:vertAlign w:val="superscript"/>
          <w:rtl/>
          <w:lang w:bidi="ar-IQ"/>
        </w:rPr>
        <w:t>(</w:t>
      </w:r>
      <w:r w:rsidR="00952E59" w:rsidRPr="00904FCB">
        <w:rPr>
          <w:sz w:val="27"/>
          <w:vertAlign w:val="superscript"/>
          <w:rtl/>
        </w:rPr>
        <w:endnoteReference w:id="320"/>
      </w:r>
      <w:r w:rsidR="00952E59" w:rsidRPr="00904FCB">
        <w:rPr>
          <w:rFonts w:hint="cs"/>
          <w:sz w:val="27"/>
          <w:vertAlign w:val="superscript"/>
          <w:rtl/>
          <w:lang w:bidi="ar-IQ"/>
        </w:rPr>
        <w:t>)</w:t>
      </w:r>
      <w:r w:rsidR="007008AC" w:rsidRPr="00904FCB">
        <w:rPr>
          <w:rFonts w:hint="cs"/>
          <w:sz w:val="27"/>
          <w:rtl/>
          <w:lang w:bidi="ar-IQ"/>
        </w:rPr>
        <w:t>.</w:t>
      </w:r>
      <w:r w:rsidR="00952E59" w:rsidRPr="00904FCB">
        <w:rPr>
          <w:rFonts w:hint="cs"/>
          <w:sz w:val="27"/>
          <w:rtl/>
          <w:lang w:bidi="ar-IQ"/>
        </w:rPr>
        <w:t xml:space="preserve"> وبذلك تؤس</w:t>
      </w:r>
      <w:r w:rsidR="007008AC" w:rsidRPr="00904FCB">
        <w:rPr>
          <w:rFonts w:hint="cs"/>
          <w:sz w:val="27"/>
          <w:rtl/>
          <w:lang w:bidi="ar-IQ"/>
        </w:rPr>
        <w:t>ّ</w:t>
      </w:r>
      <w:r w:rsidR="00952E59" w:rsidRPr="00904FCB">
        <w:rPr>
          <w:rFonts w:hint="cs"/>
          <w:sz w:val="27"/>
          <w:rtl/>
          <w:lang w:bidi="ar-IQ"/>
        </w:rPr>
        <w:t>س علاقة حرب دائمة مع كل</w:t>
      </w:r>
      <w:r w:rsidR="007008AC" w:rsidRPr="00904FCB">
        <w:rPr>
          <w:rFonts w:hint="cs"/>
          <w:sz w:val="27"/>
          <w:rtl/>
          <w:lang w:bidi="ar-IQ"/>
        </w:rPr>
        <w:t>ّ</w:t>
      </w:r>
      <w:r w:rsidR="00952E59" w:rsidRPr="00904FCB">
        <w:rPr>
          <w:rFonts w:hint="cs"/>
          <w:sz w:val="27"/>
          <w:rtl/>
          <w:lang w:bidi="ar-IQ"/>
        </w:rPr>
        <w:t xml:space="preserve"> الأمم</w:t>
      </w:r>
      <w:r w:rsidR="007008AC" w:rsidRPr="00904FCB">
        <w:rPr>
          <w:rFonts w:hint="cs"/>
          <w:sz w:val="27"/>
          <w:rtl/>
          <w:lang w:bidi="ar-IQ"/>
        </w:rPr>
        <w:t>؛</w:t>
      </w:r>
      <w:r w:rsidR="00952E59" w:rsidRPr="00904FCB">
        <w:rPr>
          <w:rFonts w:hint="cs"/>
          <w:sz w:val="27"/>
          <w:rtl/>
          <w:lang w:bidi="ar-IQ"/>
        </w:rPr>
        <w:t xml:space="preserve"> نتيجة للنزعة ا</w:t>
      </w:r>
      <w:r w:rsidR="007008AC" w:rsidRPr="00904FCB">
        <w:rPr>
          <w:rFonts w:hint="cs"/>
          <w:sz w:val="27"/>
          <w:rtl/>
          <w:lang w:bidi="ar-IQ"/>
        </w:rPr>
        <w:t>لأ</w:t>
      </w:r>
      <w:r w:rsidR="00952E59" w:rsidRPr="00904FCB">
        <w:rPr>
          <w:rFonts w:hint="cs"/>
          <w:sz w:val="27"/>
          <w:rtl/>
          <w:lang w:bidi="ar-IQ"/>
        </w:rPr>
        <w:t>صولية التي تؤس</w:t>
      </w:r>
      <w:r w:rsidR="007008AC" w:rsidRPr="00904FCB">
        <w:rPr>
          <w:rFonts w:hint="cs"/>
          <w:sz w:val="27"/>
          <w:rtl/>
          <w:lang w:bidi="ar-IQ"/>
        </w:rPr>
        <w:t>ّ</w:t>
      </w:r>
      <w:r w:rsidR="00952E59" w:rsidRPr="00904FCB">
        <w:rPr>
          <w:rFonts w:hint="cs"/>
          <w:sz w:val="27"/>
          <w:rtl/>
          <w:lang w:bidi="ar-IQ"/>
        </w:rPr>
        <w:t xml:space="preserve">سها النصوص التوراتية والتلمودية. </w:t>
      </w:r>
    </w:p>
    <w:p w:rsidR="00952E59" w:rsidRPr="00904FCB" w:rsidRDefault="007008AC" w:rsidP="007A21AA">
      <w:pPr>
        <w:spacing w:line="400" w:lineRule="exact"/>
        <w:rPr>
          <w:sz w:val="27"/>
          <w:rtl/>
          <w:lang w:bidi="ar-IQ"/>
        </w:rPr>
      </w:pPr>
      <w:r w:rsidRPr="00904FCB">
        <w:rPr>
          <w:rFonts w:hint="cs"/>
          <w:sz w:val="27"/>
          <w:rtl/>
          <w:lang w:bidi="ar-IQ"/>
        </w:rPr>
        <w:t>إ</w:t>
      </w:r>
      <w:r w:rsidR="00952E59" w:rsidRPr="00904FCB">
        <w:rPr>
          <w:rFonts w:hint="cs"/>
          <w:sz w:val="27"/>
          <w:rtl/>
          <w:lang w:bidi="ar-IQ"/>
        </w:rPr>
        <w:t>ن هذه النصوص تؤس</w:t>
      </w:r>
      <w:r w:rsidRPr="00904FCB">
        <w:rPr>
          <w:rFonts w:hint="cs"/>
          <w:sz w:val="27"/>
          <w:rtl/>
          <w:lang w:bidi="ar-IQ"/>
        </w:rPr>
        <w:t>ّ</w:t>
      </w:r>
      <w:r w:rsidR="00952E59" w:rsidRPr="00904FCB">
        <w:rPr>
          <w:rFonts w:hint="cs"/>
          <w:sz w:val="27"/>
          <w:rtl/>
          <w:lang w:bidi="ar-IQ"/>
        </w:rPr>
        <w:t>س لتنامي ال</w:t>
      </w:r>
      <w:r w:rsidRPr="00904FCB">
        <w:rPr>
          <w:rFonts w:hint="cs"/>
          <w:sz w:val="27"/>
          <w:rtl/>
          <w:lang w:bidi="ar-IQ"/>
        </w:rPr>
        <w:t>أ</w:t>
      </w:r>
      <w:r w:rsidR="00952E59" w:rsidRPr="00904FCB">
        <w:rPr>
          <w:rFonts w:hint="cs"/>
          <w:sz w:val="27"/>
          <w:rtl/>
          <w:lang w:bidi="ar-IQ"/>
        </w:rPr>
        <w:t>صوليات</w:t>
      </w:r>
      <w:r w:rsidRPr="00904FCB">
        <w:rPr>
          <w:rFonts w:hint="cs"/>
          <w:sz w:val="27"/>
          <w:rtl/>
          <w:lang w:bidi="ar-IQ"/>
        </w:rPr>
        <w:t>،</w:t>
      </w:r>
      <w:r w:rsidR="00952E59" w:rsidRPr="00904FCB">
        <w:rPr>
          <w:rFonts w:hint="cs"/>
          <w:sz w:val="27"/>
          <w:rtl/>
          <w:lang w:bidi="ar-IQ"/>
        </w:rPr>
        <w:t xml:space="preserve"> وتحفز الميل البشري </w:t>
      </w:r>
      <w:r w:rsidRPr="00904FCB">
        <w:rPr>
          <w:rFonts w:hint="cs"/>
          <w:sz w:val="27"/>
          <w:rtl/>
          <w:lang w:bidi="ar-IQ"/>
        </w:rPr>
        <w:t>إلى ا</w:t>
      </w:r>
      <w:r w:rsidR="00952E59" w:rsidRPr="00904FCB">
        <w:rPr>
          <w:rFonts w:hint="cs"/>
          <w:sz w:val="27"/>
          <w:rtl/>
          <w:lang w:bidi="ar-IQ"/>
        </w:rPr>
        <w:t>لتشد</w:t>
      </w:r>
      <w:r w:rsidRPr="00904FCB">
        <w:rPr>
          <w:rFonts w:hint="cs"/>
          <w:sz w:val="27"/>
          <w:rtl/>
          <w:lang w:bidi="ar-IQ"/>
        </w:rPr>
        <w:t>ُّ</w:t>
      </w:r>
      <w:r w:rsidR="00952E59" w:rsidRPr="00904FCB">
        <w:rPr>
          <w:rFonts w:hint="cs"/>
          <w:sz w:val="27"/>
          <w:rtl/>
          <w:lang w:bidi="ar-IQ"/>
        </w:rPr>
        <w:t>د</w:t>
      </w:r>
      <w:r w:rsidRPr="00904FCB">
        <w:rPr>
          <w:rFonts w:hint="cs"/>
          <w:sz w:val="27"/>
          <w:rtl/>
          <w:lang w:bidi="ar-IQ"/>
        </w:rPr>
        <w:t>.</w:t>
      </w:r>
      <w:r w:rsidR="00952E59" w:rsidRPr="00904FCB">
        <w:rPr>
          <w:rFonts w:hint="cs"/>
          <w:sz w:val="27"/>
          <w:rtl/>
          <w:lang w:bidi="ar-IQ"/>
        </w:rPr>
        <w:t xml:space="preserve"> وكما ظهرت التيارات ال</w:t>
      </w:r>
      <w:r w:rsidRPr="00904FCB">
        <w:rPr>
          <w:rFonts w:hint="cs"/>
          <w:sz w:val="27"/>
          <w:rtl/>
          <w:lang w:bidi="ar-IQ"/>
        </w:rPr>
        <w:t>أ</w:t>
      </w:r>
      <w:r w:rsidR="00952E59" w:rsidRPr="00904FCB">
        <w:rPr>
          <w:rFonts w:hint="cs"/>
          <w:sz w:val="27"/>
          <w:rtl/>
          <w:lang w:bidi="ar-IQ"/>
        </w:rPr>
        <w:t>صولية لليهود القدماء</w:t>
      </w:r>
      <w:r w:rsidRPr="00904FCB">
        <w:rPr>
          <w:rFonts w:hint="cs"/>
          <w:sz w:val="27"/>
          <w:rtl/>
          <w:lang w:bidi="ar-IQ"/>
        </w:rPr>
        <w:t>،</w:t>
      </w:r>
      <w:r w:rsidR="00952E59" w:rsidRPr="00904FCB">
        <w:rPr>
          <w:rFonts w:hint="cs"/>
          <w:sz w:val="27"/>
          <w:rtl/>
          <w:lang w:bidi="ar-IQ"/>
        </w:rPr>
        <w:t xml:space="preserve"> ولم تجد فرصة للمراجعة </w:t>
      </w:r>
      <w:r w:rsidRPr="00904FCB">
        <w:rPr>
          <w:rFonts w:hint="cs"/>
          <w:sz w:val="27"/>
          <w:rtl/>
          <w:lang w:bidi="ar-IQ"/>
        </w:rPr>
        <w:t>أ</w:t>
      </w:r>
      <w:r w:rsidR="00952E59" w:rsidRPr="00904FCB">
        <w:rPr>
          <w:rFonts w:hint="cs"/>
          <w:sz w:val="27"/>
          <w:rtl/>
          <w:lang w:bidi="ar-IQ"/>
        </w:rPr>
        <w:t xml:space="preserve">و التراجع </w:t>
      </w:r>
      <w:r w:rsidRPr="00904FCB">
        <w:rPr>
          <w:rFonts w:hint="cs"/>
          <w:sz w:val="27"/>
          <w:rtl/>
          <w:lang w:bidi="ar-IQ"/>
        </w:rPr>
        <w:t>أ</w:t>
      </w:r>
      <w:r w:rsidR="00952E59" w:rsidRPr="00904FCB">
        <w:rPr>
          <w:rFonts w:hint="cs"/>
          <w:sz w:val="27"/>
          <w:rtl/>
          <w:lang w:bidi="ar-IQ"/>
        </w:rPr>
        <w:t xml:space="preserve">و </w:t>
      </w:r>
      <w:r w:rsidRPr="00904FCB">
        <w:rPr>
          <w:rFonts w:hint="cs"/>
          <w:sz w:val="27"/>
          <w:rtl/>
          <w:lang w:bidi="ar-IQ"/>
        </w:rPr>
        <w:t>إ</w:t>
      </w:r>
      <w:r w:rsidR="00952E59" w:rsidRPr="00904FCB">
        <w:rPr>
          <w:rFonts w:hint="cs"/>
          <w:sz w:val="27"/>
          <w:rtl/>
          <w:lang w:bidi="ar-IQ"/>
        </w:rPr>
        <w:t>عادة النظر بسلوكها الدموي</w:t>
      </w:r>
      <w:r w:rsidRPr="00904FCB">
        <w:rPr>
          <w:rFonts w:hint="cs"/>
          <w:sz w:val="27"/>
          <w:rtl/>
          <w:lang w:bidi="ar-IQ"/>
        </w:rPr>
        <w:t>،</w:t>
      </w:r>
      <w:r w:rsidR="00952E59" w:rsidRPr="00904FCB">
        <w:rPr>
          <w:rFonts w:hint="cs"/>
          <w:sz w:val="27"/>
          <w:rtl/>
          <w:lang w:bidi="ar-IQ"/>
        </w:rPr>
        <w:t xml:space="preserve"> فقد استمر</w:t>
      </w:r>
      <w:r w:rsidRPr="00904FCB">
        <w:rPr>
          <w:rFonts w:hint="cs"/>
          <w:sz w:val="27"/>
          <w:rtl/>
          <w:lang w:bidi="ar-IQ"/>
        </w:rPr>
        <w:t>ّ</w:t>
      </w:r>
      <w:r w:rsidR="00952E59" w:rsidRPr="00904FCB">
        <w:rPr>
          <w:rFonts w:hint="cs"/>
          <w:sz w:val="27"/>
          <w:rtl/>
          <w:lang w:bidi="ar-IQ"/>
        </w:rPr>
        <w:t>ت الدموية تتصاعد مع التاريخ اليهودي</w:t>
      </w:r>
      <w:r w:rsidRPr="00904FCB">
        <w:rPr>
          <w:rFonts w:hint="cs"/>
          <w:sz w:val="27"/>
          <w:rtl/>
          <w:lang w:bidi="ar-IQ"/>
        </w:rPr>
        <w:t>،</w:t>
      </w:r>
      <w:r w:rsidR="00952E59" w:rsidRPr="00904FCB">
        <w:rPr>
          <w:rFonts w:hint="cs"/>
          <w:sz w:val="27"/>
          <w:rtl/>
          <w:lang w:bidi="ar-IQ"/>
        </w:rPr>
        <w:t xml:space="preserve"> و</w:t>
      </w:r>
      <w:r w:rsidRPr="00904FCB">
        <w:rPr>
          <w:rFonts w:hint="cs"/>
          <w:sz w:val="27"/>
          <w:rtl/>
          <w:lang w:bidi="ar-IQ"/>
        </w:rPr>
        <w:t>تظهر كلما حانت الفرصة ظهور</w:t>
      </w:r>
      <w:r w:rsidR="00952E59" w:rsidRPr="00904FCB">
        <w:rPr>
          <w:rFonts w:hint="cs"/>
          <w:sz w:val="27"/>
          <w:rtl/>
          <w:lang w:bidi="ar-IQ"/>
        </w:rPr>
        <w:t>ا</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لافت</w:t>
      </w:r>
      <w:r w:rsidR="00952E59" w:rsidRPr="00904FCB">
        <w:rPr>
          <w:rFonts w:hint="cs"/>
          <w:sz w:val="27"/>
          <w:rtl/>
          <w:lang w:bidi="ar-IQ"/>
        </w:rPr>
        <w:t>ا</w:t>
      </w:r>
      <w:r w:rsidRPr="00904FCB">
        <w:rPr>
          <w:rFonts w:hint="cs"/>
          <w:sz w:val="27"/>
          <w:rtl/>
          <w:lang w:bidi="ar-IQ"/>
        </w:rPr>
        <w:t>ً.</w:t>
      </w:r>
      <w:r w:rsidR="00952E59" w:rsidRPr="00904FCB">
        <w:rPr>
          <w:rFonts w:hint="cs"/>
          <w:sz w:val="27"/>
          <w:rtl/>
          <w:lang w:bidi="ar-IQ"/>
        </w:rPr>
        <w:t xml:space="preserve"> فقد ظهر في القرن الثامن عشر م</w:t>
      </w:r>
      <w:r w:rsidRPr="00904FCB">
        <w:rPr>
          <w:rFonts w:hint="cs"/>
          <w:sz w:val="27"/>
          <w:rtl/>
          <w:lang w:bidi="ar-IQ"/>
        </w:rPr>
        <w:t>َ</w:t>
      </w:r>
      <w:r w:rsidR="00952E59" w:rsidRPr="00904FCB">
        <w:rPr>
          <w:rFonts w:hint="cs"/>
          <w:sz w:val="27"/>
          <w:rtl/>
          <w:lang w:bidi="ar-IQ"/>
        </w:rPr>
        <w:t>ن</w:t>
      </w:r>
      <w:r w:rsidRPr="00904FCB">
        <w:rPr>
          <w:rFonts w:hint="cs"/>
          <w:sz w:val="27"/>
          <w:rtl/>
          <w:lang w:bidi="ar-IQ"/>
        </w:rPr>
        <w:t>ْ</w:t>
      </w:r>
      <w:r w:rsidR="00952E59" w:rsidRPr="00904FCB">
        <w:rPr>
          <w:rFonts w:hint="cs"/>
          <w:sz w:val="27"/>
          <w:rtl/>
          <w:lang w:bidi="ar-IQ"/>
        </w:rPr>
        <w:t xml:space="preserve"> يتمسك بشد</w:t>
      </w:r>
      <w:r w:rsidRPr="00904FCB">
        <w:rPr>
          <w:rFonts w:hint="cs"/>
          <w:sz w:val="27"/>
          <w:rtl/>
          <w:lang w:bidi="ar-IQ"/>
        </w:rPr>
        <w:t>ّ</w:t>
      </w:r>
      <w:r w:rsidR="00952E59" w:rsidRPr="00904FCB">
        <w:rPr>
          <w:rFonts w:hint="cs"/>
          <w:sz w:val="27"/>
          <w:rtl/>
          <w:lang w:bidi="ar-IQ"/>
        </w:rPr>
        <w:t>ة</w:t>
      </w:r>
      <w:r w:rsidRPr="00904FCB">
        <w:rPr>
          <w:rFonts w:hint="cs"/>
          <w:sz w:val="27"/>
          <w:rtl/>
          <w:lang w:bidi="ar-IQ"/>
        </w:rPr>
        <w:t>ٍ</w:t>
      </w:r>
      <w:r w:rsidR="00952E59" w:rsidRPr="00904FCB">
        <w:rPr>
          <w:rFonts w:hint="cs"/>
          <w:sz w:val="27"/>
          <w:rtl/>
          <w:lang w:bidi="ar-IQ"/>
        </w:rPr>
        <w:t xml:space="preserve"> بال</w:t>
      </w:r>
      <w:r w:rsidRPr="00904FCB">
        <w:rPr>
          <w:rFonts w:hint="cs"/>
          <w:sz w:val="27"/>
          <w:rtl/>
          <w:lang w:bidi="ar-IQ"/>
        </w:rPr>
        <w:t>أ</w:t>
      </w:r>
      <w:r w:rsidR="00952E59" w:rsidRPr="00904FCB">
        <w:rPr>
          <w:rFonts w:hint="cs"/>
          <w:sz w:val="27"/>
          <w:rtl/>
          <w:lang w:bidi="ar-IQ"/>
        </w:rPr>
        <w:t>صول التوراتي</w:t>
      </w:r>
      <w:r w:rsidRPr="00904FCB">
        <w:rPr>
          <w:rFonts w:hint="cs"/>
          <w:sz w:val="27"/>
          <w:rtl/>
          <w:lang w:bidi="ar-IQ"/>
        </w:rPr>
        <w:t>ة</w:t>
      </w:r>
      <w:r w:rsidR="00952E59" w:rsidRPr="00904FCB">
        <w:rPr>
          <w:rFonts w:hint="cs"/>
          <w:sz w:val="27"/>
          <w:vertAlign w:val="superscript"/>
          <w:rtl/>
          <w:lang w:bidi="ar-IQ"/>
        </w:rPr>
        <w:t>(</w:t>
      </w:r>
      <w:r w:rsidR="00952E59" w:rsidRPr="00904FCB">
        <w:rPr>
          <w:sz w:val="27"/>
          <w:vertAlign w:val="superscript"/>
          <w:rtl/>
        </w:rPr>
        <w:endnoteReference w:id="321"/>
      </w:r>
      <w:r w:rsidR="00952E59" w:rsidRPr="00904FCB">
        <w:rPr>
          <w:rFonts w:hint="cs"/>
          <w:sz w:val="27"/>
          <w:vertAlign w:val="superscript"/>
          <w:rtl/>
          <w:lang w:bidi="ar-IQ"/>
        </w:rPr>
        <w:t>)</w:t>
      </w:r>
      <w:r w:rsidRPr="00904FCB">
        <w:rPr>
          <w:rFonts w:hint="cs"/>
          <w:sz w:val="27"/>
          <w:rtl/>
          <w:lang w:bidi="ar-IQ"/>
        </w:rPr>
        <w:t>،</w:t>
      </w:r>
      <w:r w:rsidR="00952E59" w:rsidRPr="00904FCB">
        <w:rPr>
          <w:rFonts w:hint="cs"/>
          <w:sz w:val="27"/>
          <w:rtl/>
          <w:lang w:bidi="ar-IQ"/>
        </w:rPr>
        <w:t xml:space="preserve"> ويعتقد بالتشد</w:t>
      </w:r>
      <w:r w:rsidRPr="00904FCB">
        <w:rPr>
          <w:rFonts w:hint="cs"/>
          <w:sz w:val="27"/>
          <w:rtl/>
          <w:lang w:bidi="ar-IQ"/>
        </w:rPr>
        <w:t>ّ</w:t>
      </w:r>
      <w:r w:rsidR="00952E59" w:rsidRPr="00904FCB">
        <w:rPr>
          <w:rFonts w:hint="cs"/>
          <w:sz w:val="27"/>
          <w:rtl/>
          <w:lang w:bidi="ar-IQ"/>
        </w:rPr>
        <w:t>د أكثر من القدماء</w:t>
      </w:r>
      <w:r w:rsidRPr="00904FCB">
        <w:rPr>
          <w:rFonts w:hint="cs"/>
          <w:sz w:val="27"/>
          <w:rtl/>
          <w:lang w:bidi="ar-IQ"/>
        </w:rPr>
        <w:t>،</w:t>
      </w:r>
      <w:r w:rsidR="00952E59" w:rsidRPr="00904FCB">
        <w:rPr>
          <w:rFonts w:hint="cs"/>
          <w:sz w:val="27"/>
          <w:rtl/>
          <w:lang w:bidi="ar-IQ"/>
        </w:rPr>
        <w:t xml:space="preserve"> رغم فكر التنوير</w:t>
      </w:r>
      <w:r w:rsidRPr="00904FCB">
        <w:rPr>
          <w:rFonts w:hint="cs"/>
          <w:sz w:val="27"/>
          <w:rtl/>
          <w:lang w:bidi="ar-IQ"/>
        </w:rPr>
        <w:t>،</w:t>
      </w:r>
      <w:r w:rsidR="00952E59" w:rsidRPr="00904FCB">
        <w:rPr>
          <w:rFonts w:hint="cs"/>
          <w:sz w:val="27"/>
          <w:rtl/>
          <w:lang w:bidi="ar-IQ"/>
        </w:rPr>
        <w:t xml:space="preserve"> ويرى </w:t>
      </w:r>
      <w:r w:rsidRPr="00904FCB">
        <w:rPr>
          <w:rFonts w:hint="cs"/>
          <w:sz w:val="27"/>
          <w:rtl/>
          <w:lang w:bidi="ar-IQ"/>
        </w:rPr>
        <w:t>أ</w:t>
      </w:r>
      <w:r w:rsidR="00952E59" w:rsidRPr="00904FCB">
        <w:rPr>
          <w:rFonts w:hint="cs"/>
          <w:sz w:val="27"/>
          <w:rtl/>
          <w:lang w:bidi="ar-IQ"/>
        </w:rPr>
        <w:t>ن اليهود هم صفوة الله</w:t>
      </w:r>
      <w:r w:rsidRPr="00904FCB">
        <w:rPr>
          <w:rFonts w:hint="cs"/>
          <w:sz w:val="27"/>
          <w:rtl/>
          <w:lang w:bidi="ar-IQ"/>
        </w:rPr>
        <w:t>،</w:t>
      </w:r>
      <w:r w:rsidR="00952E59" w:rsidRPr="00904FCB">
        <w:rPr>
          <w:rFonts w:hint="cs"/>
          <w:sz w:val="27"/>
          <w:rtl/>
          <w:lang w:bidi="ar-IQ"/>
        </w:rPr>
        <w:t xml:space="preserve"> فوق كونهم شعبه المختار</w:t>
      </w:r>
      <w:r w:rsidR="00952E59" w:rsidRPr="00904FCB">
        <w:rPr>
          <w:rFonts w:hint="cs"/>
          <w:sz w:val="27"/>
          <w:vertAlign w:val="superscript"/>
          <w:rtl/>
          <w:lang w:bidi="ar-IQ"/>
        </w:rPr>
        <w:t>(</w:t>
      </w:r>
      <w:r w:rsidR="00952E59" w:rsidRPr="00904FCB">
        <w:rPr>
          <w:sz w:val="27"/>
          <w:vertAlign w:val="superscript"/>
          <w:rtl/>
        </w:rPr>
        <w:endnoteReference w:id="322"/>
      </w:r>
      <w:r w:rsidR="00952E59" w:rsidRPr="00904FCB">
        <w:rPr>
          <w:rFonts w:hint="cs"/>
          <w:sz w:val="27"/>
          <w:vertAlign w:val="superscript"/>
          <w:rtl/>
          <w:lang w:bidi="ar-IQ"/>
        </w:rPr>
        <w:t>)</w:t>
      </w:r>
      <w:r w:rsidRPr="00904FCB">
        <w:rPr>
          <w:rFonts w:hint="cs"/>
          <w:sz w:val="27"/>
          <w:rtl/>
          <w:lang w:bidi="ar-IQ"/>
        </w:rPr>
        <w:t>،</w:t>
      </w:r>
      <w:r w:rsidR="00952E59" w:rsidRPr="00904FCB">
        <w:rPr>
          <w:rFonts w:hint="cs"/>
          <w:sz w:val="27"/>
          <w:rtl/>
          <w:lang w:bidi="ar-IQ"/>
        </w:rPr>
        <w:t xml:space="preserve"> ويعلن ت</w:t>
      </w:r>
      <w:r w:rsidRPr="00904FCB">
        <w:rPr>
          <w:rFonts w:hint="cs"/>
          <w:sz w:val="27"/>
          <w:rtl/>
          <w:lang w:bidi="ar-IQ"/>
        </w:rPr>
        <w:t>َ</w:t>
      </w:r>
      <w:r w:rsidR="00952E59" w:rsidRPr="00904FCB">
        <w:rPr>
          <w:rFonts w:hint="cs"/>
          <w:sz w:val="27"/>
          <w:rtl/>
          <w:lang w:bidi="ar-IQ"/>
        </w:rPr>
        <w:t>ب</w:t>
      </w:r>
      <w:r w:rsidRPr="00904FCB">
        <w:rPr>
          <w:rFonts w:hint="cs"/>
          <w:sz w:val="27"/>
          <w:rtl/>
          <w:lang w:bidi="ar-IQ"/>
        </w:rPr>
        <w:t>َ</w:t>
      </w:r>
      <w:r w:rsidR="00952E59" w:rsidRPr="00904FCB">
        <w:rPr>
          <w:rFonts w:hint="cs"/>
          <w:sz w:val="27"/>
          <w:rtl/>
          <w:lang w:bidi="ar-IQ"/>
        </w:rPr>
        <w:t>عاً لما تقد</w:t>
      </w:r>
      <w:r w:rsidRPr="00904FCB">
        <w:rPr>
          <w:rFonts w:hint="cs"/>
          <w:sz w:val="27"/>
          <w:rtl/>
          <w:lang w:bidi="ar-IQ"/>
        </w:rPr>
        <w:t>ّ</w:t>
      </w:r>
      <w:r w:rsidR="00952E59" w:rsidRPr="00904FCB">
        <w:rPr>
          <w:rFonts w:hint="cs"/>
          <w:sz w:val="27"/>
          <w:rtl/>
          <w:lang w:bidi="ar-IQ"/>
        </w:rPr>
        <w:t xml:space="preserve">م </w:t>
      </w:r>
      <w:r w:rsidRPr="00904FCB">
        <w:rPr>
          <w:rFonts w:hint="cs"/>
          <w:sz w:val="27"/>
          <w:rtl/>
          <w:lang w:bidi="ar-IQ"/>
        </w:rPr>
        <w:t>أ</w:t>
      </w:r>
      <w:r w:rsidR="00952E59" w:rsidRPr="00904FCB">
        <w:rPr>
          <w:rFonts w:hint="cs"/>
          <w:sz w:val="27"/>
          <w:rtl/>
          <w:lang w:bidi="ar-IQ"/>
        </w:rPr>
        <w:t>ن لهم كل</w:t>
      </w:r>
      <w:r w:rsidRPr="00904FCB">
        <w:rPr>
          <w:rFonts w:hint="cs"/>
          <w:sz w:val="27"/>
          <w:rtl/>
          <w:lang w:bidi="ar-IQ"/>
        </w:rPr>
        <w:t xml:space="preserve">ّ </w:t>
      </w:r>
      <w:r w:rsidR="00952E59" w:rsidRPr="00904FCB">
        <w:rPr>
          <w:rFonts w:hint="cs"/>
          <w:sz w:val="27"/>
          <w:rtl/>
          <w:lang w:bidi="ar-IQ"/>
        </w:rPr>
        <w:t>الحق</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أن</w:t>
      </w:r>
      <w:r w:rsidR="00952E59" w:rsidRPr="00904FCB">
        <w:rPr>
          <w:rFonts w:hint="cs"/>
          <w:sz w:val="27"/>
          <w:rtl/>
          <w:lang w:bidi="ar-IQ"/>
        </w:rPr>
        <w:t xml:space="preserve"> لا يطب</w:t>
      </w:r>
      <w:r w:rsidRPr="00904FCB">
        <w:rPr>
          <w:rFonts w:hint="cs"/>
          <w:sz w:val="27"/>
          <w:rtl/>
          <w:lang w:bidi="ar-IQ"/>
        </w:rPr>
        <w:t>ِّ</w:t>
      </w:r>
      <w:r w:rsidR="00952E59" w:rsidRPr="00904FCB">
        <w:rPr>
          <w:rFonts w:hint="cs"/>
          <w:sz w:val="27"/>
          <w:rtl/>
          <w:lang w:bidi="ar-IQ"/>
        </w:rPr>
        <w:t>ق</w:t>
      </w:r>
      <w:r w:rsidRPr="00904FCB">
        <w:rPr>
          <w:rFonts w:hint="cs"/>
          <w:sz w:val="27"/>
          <w:rtl/>
          <w:lang w:bidi="ar-IQ"/>
        </w:rPr>
        <w:t>وا القوانين التي يشرِّ</w:t>
      </w:r>
      <w:r w:rsidR="00952E59" w:rsidRPr="00904FCB">
        <w:rPr>
          <w:rFonts w:hint="cs"/>
          <w:sz w:val="27"/>
          <w:rtl/>
          <w:lang w:bidi="ar-IQ"/>
        </w:rPr>
        <w:t>عها ال</w:t>
      </w:r>
      <w:r w:rsidRPr="00904FCB">
        <w:rPr>
          <w:rFonts w:hint="cs"/>
          <w:sz w:val="27"/>
          <w:rtl/>
          <w:lang w:bidi="ar-IQ"/>
        </w:rPr>
        <w:t>إ</w:t>
      </w:r>
      <w:r w:rsidR="00952E59" w:rsidRPr="00904FCB">
        <w:rPr>
          <w:rFonts w:hint="cs"/>
          <w:sz w:val="27"/>
          <w:rtl/>
          <w:lang w:bidi="ar-IQ"/>
        </w:rPr>
        <w:t>نسان</w:t>
      </w:r>
      <w:r w:rsidRPr="00904FCB">
        <w:rPr>
          <w:rFonts w:hint="cs"/>
          <w:sz w:val="27"/>
          <w:rtl/>
          <w:lang w:bidi="ar-IQ"/>
        </w:rPr>
        <w:t>،</w:t>
      </w:r>
      <w:r w:rsidR="00952E59" w:rsidRPr="00904FCB">
        <w:rPr>
          <w:rFonts w:hint="cs"/>
          <w:sz w:val="27"/>
          <w:rtl/>
          <w:lang w:bidi="ar-IQ"/>
        </w:rPr>
        <w:t xml:space="preserve"> سواء أكانت من جنس المعاهدات ال</w:t>
      </w:r>
      <w:r w:rsidRPr="00904FCB">
        <w:rPr>
          <w:rFonts w:hint="cs"/>
          <w:sz w:val="27"/>
          <w:rtl/>
          <w:lang w:bidi="ar-IQ"/>
        </w:rPr>
        <w:t>إ</w:t>
      </w:r>
      <w:r w:rsidR="00952E59" w:rsidRPr="00904FCB">
        <w:rPr>
          <w:rFonts w:hint="cs"/>
          <w:sz w:val="27"/>
          <w:rtl/>
          <w:lang w:bidi="ar-IQ"/>
        </w:rPr>
        <w:t xml:space="preserve">قليمية </w:t>
      </w:r>
      <w:r w:rsidRPr="00904FCB">
        <w:rPr>
          <w:rFonts w:hint="cs"/>
          <w:sz w:val="27"/>
          <w:rtl/>
          <w:lang w:bidi="ar-IQ"/>
        </w:rPr>
        <w:t>أ</w:t>
      </w:r>
      <w:r w:rsidR="00952E59" w:rsidRPr="00904FCB">
        <w:rPr>
          <w:rFonts w:hint="cs"/>
          <w:sz w:val="27"/>
          <w:rtl/>
          <w:lang w:bidi="ar-IQ"/>
        </w:rPr>
        <w:t>و الدولية</w:t>
      </w:r>
      <w:r w:rsidRPr="00904FCB">
        <w:rPr>
          <w:rFonts w:hint="cs"/>
          <w:sz w:val="27"/>
          <w:rtl/>
          <w:lang w:bidi="ar-IQ"/>
        </w:rPr>
        <w:t>؛</w:t>
      </w:r>
      <w:r w:rsidR="00952E59" w:rsidRPr="00904FCB">
        <w:rPr>
          <w:rFonts w:hint="cs"/>
          <w:sz w:val="27"/>
          <w:rtl/>
          <w:lang w:bidi="ar-IQ"/>
        </w:rPr>
        <w:t xml:space="preserve"> ل</w:t>
      </w:r>
      <w:r w:rsidRPr="00904FCB">
        <w:rPr>
          <w:rFonts w:hint="cs"/>
          <w:sz w:val="27"/>
          <w:rtl/>
          <w:lang w:bidi="ar-IQ"/>
        </w:rPr>
        <w:t>أ</w:t>
      </w:r>
      <w:r w:rsidR="00952E59" w:rsidRPr="00904FCB">
        <w:rPr>
          <w:rFonts w:hint="cs"/>
          <w:sz w:val="27"/>
          <w:rtl/>
          <w:lang w:bidi="ar-IQ"/>
        </w:rPr>
        <w:t>نهم يرتبطون عقائدياً وعملياً فقط ب</w:t>
      </w:r>
      <w:r w:rsidRPr="00904FCB">
        <w:rPr>
          <w:rFonts w:hint="cs"/>
          <w:sz w:val="27"/>
          <w:rtl/>
          <w:lang w:bidi="ar-IQ"/>
        </w:rPr>
        <w:t>أ</w:t>
      </w:r>
      <w:r w:rsidR="00952E59" w:rsidRPr="00904FCB">
        <w:rPr>
          <w:rFonts w:hint="cs"/>
          <w:sz w:val="27"/>
          <w:rtl/>
          <w:lang w:bidi="ar-IQ"/>
        </w:rPr>
        <w:t>قوال الحاخامات</w:t>
      </w:r>
      <w:r w:rsidRPr="00904FCB">
        <w:rPr>
          <w:rFonts w:hint="cs"/>
          <w:sz w:val="27"/>
          <w:rtl/>
          <w:lang w:bidi="ar-IQ"/>
        </w:rPr>
        <w:t>،</w:t>
      </w:r>
      <w:r w:rsidR="00952E59" w:rsidRPr="00904FCB">
        <w:rPr>
          <w:rFonts w:hint="cs"/>
          <w:sz w:val="27"/>
          <w:rtl/>
          <w:lang w:bidi="ar-IQ"/>
        </w:rPr>
        <w:t xml:space="preserve"> الذي يعد</w:t>
      </w:r>
      <w:r w:rsidRPr="00904FCB">
        <w:rPr>
          <w:rFonts w:hint="cs"/>
          <w:sz w:val="27"/>
          <w:rtl/>
          <w:lang w:bidi="ar-IQ"/>
        </w:rPr>
        <w:t>ّ</w:t>
      </w:r>
      <w:r w:rsidR="00952E59" w:rsidRPr="00904FCB">
        <w:rPr>
          <w:rFonts w:hint="cs"/>
          <w:sz w:val="27"/>
          <w:rtl/>
          <w:lang w:bidi="ar-IQ"/>
        </w:rPr>
        <w:t>ون وحدهم الناطقين عن الله</w:t>
      </w:r>
      <w:r w:rsidRPr="00904FCB">
        <w:rPr>
          <w:rFonts w:hint="cs"/>
          <w:sz w:val="27"/>
          <w:rtl/>
          <w:lang w:bidi="ar-IQ"/>
        </w:rPr>
        <w:t>.</w:t>
      </w:r>
      <w:r w:rsidR="00952E59" w:rsidRPr="00904FCB">
        <w:rPr>
          <w:rFonts w:hint="cs"/>
          <w:sz w:val="27"/>
          <w:rtl/>
          <w:lang w:bidi="ar-IQ"/>
        </w:rPr>
        <w:t xml:space="preserve"> ويعل</w:t>
      </w:r>
      <w:r w:rsidR="00E5013B" w:rsidRPr="00904FCB">
        <w:rPr>
          <w:rFonts w:hint="cs"/>
          <w:sz w:val="27"/>
          <w:rtl/>
          <w:lang w:bidi="ar-IQ"/>
        </w:rPr>
        <w:t>ِّ</w:t>
      </w:r>
      <w:r w:rsidR="00952E59" w:rsidRPr="00904FCB">
        <w:rPr>
          <w:rFonts w:hint="cs"/>
          <w:sz w:val="27"/>
          <w:rtl/>
          <w:lang w:bidi="ar-IQ"/>
        </w:rPr>
        <w:t>ل الحاخام شلومو أفنير</w:t>
      </w:r>
      <w:r w:rsidR="00E5013B" w:rsidRPr="00904FCB">
        <w:rPr>
          <w:rFonts w:hint="cs"/>
          <w:sz w:val="27"/>
          <w:rtl/>
          <w:lang w:bidi="ar-IQ"/>
        </w:rPr>
        <w:t>،</w:t>
      </w:r>
      <w:r w:rsidR="00952E59" w:rsidRPr="00904FCB">
        <w:rPr>
          <w:rFonts w:hint="cs"/>
          <w:sz w:val="27"/>
          <w:rtl/>
          <w:lang w:bidi="ar-IQ"/>
        </w:rPr>
        <w:t xml:space="preserve"> الذي ي</w:t>
      </w:r>
      <w:r w:rsidR="009314BC">
        <w:rPr>
          <w:rFonts w:hint="cs"/>
          <w:sz w:val="27"/>
          <w:rtl/>
          <w:lang w:bidi="ar-IQ"/>
        </w:rPr>
        <w:t>ُ</w:t>
      </w:r>
      <w:r w:rsidR="00952E59" w:rsidRPr="00904FCB">
        <w:rPr>
          <w:rFonts w:hint="cs"/>
          <w:sz w:val="27"/>
          <w:rtl/>
          <w:lang w:bidi="ar-IQ"/>
        </w:rPr>
        <w:t>ع</w:t>
      </w:r>
      <w:r w:rsidR="009314BC">
        <w:rPr>
          <w:rFonts w:hint="cs"/>
          <w:sz w:val="27"/>
          <w:rtl/>
          <w:lang w:bidi="ar-IQ"/>
        </w:rPr>
        <w:t>َ</w:t>
      </w:r>
      <w:r w:rsidR="00952E59" w:rsidRPr="00904FCB">
        <w:rPr>
          <w:rFonts w:hint="cs"/>
          <w:sz w:val="27"/>
          <w:rtl/>
          <w:lang w:bidi="ar-IQ"/>
        </w:rPr>
        <w:t>د</w:t>
      </w:r>
      <w:r w:rsidR="009314BC">
        <w:rPr>
          <w:rFonts w:hint="cs"/>
          <w:sz w:val="27"/>
          <w:rtl/>
          <w:lang w:bidi="ar-IQ"/>
        </w:rPr>
        <w:t>ّ</w:t>
      </w:r>
      <w:r w:rsidR="00952E59" w:rsidRPr="00904FCB">
        <w:rPr>
          <w:rFonts w:hint="cs"/>
          <w:sz w:val="27"/>
          <w:rtl/>
          <w:lang w:bidi="ar-IQ"/>
        </w:rPr>
        <w:t xml:space="preserve"> من أبرز الشخصيات المنظّ</w:t>
      </w:r>
      <w:r w:rsidR="00E5013B" w:rsidRPr="00904FCB">
        <w:rPr>
          <w:rFonts w:hint="cs"/>
          <w:sz w:val="27"/>
          <w:rtl/>
          <w:lang w:bidi="ar-IQ"/>
        </w:rPr>
        <w:t>ِ</w:t>
      </w:r>
      <w:r w:rsidR="00952E59" w:rsidRPr="00904FCB">
        <w:rPr>
          <w:rFonts w:hint="cs"/>
          <w:sz w:val="27"/>
          <w:rtl/>
          <w:lang w:bidi="ar-IQ"/>
        </w:rPr>
        <w:t>رة لل</w:t>
      </w:r>
      <w:r w:rsidR="00E5013B" w:rsidRPr="00904FCB">
        <w:rPr>
          <w:rFonts w:hint="cs"/>
          <w:sz w:val="27"/>
          <w:rtl/>
          <w:lang w:bidi="ar-IQ"/>
        </w:rPr>
        <w:t>أ</w:t>
      </w:r>
      <w:r w:rsidR="00952E59" w:rsidRPr="00904FCB">
        <w:rPr>
          <w:rFonts w:hint="cs"/>
          <w:sz w:val="27"/>
          <w:rtl/>
          <w:lang w:bidi="ar-IQ"/>
        </w:rPr>
        <w:t>صولية اليهودية</w:t>
      </w:r>
      <w:r w:rsidR="00E5013B" w:rsidRPr="00904FCB">
        <w:rPr>
          <w:rFonts w:hint="cs"/>
          <w:sz w:val="27"/>
          <w:rtl/>
          <w:lang w:bidi="ar-IQ"/>
        </w:rPr>
        <w:t>،</w:t>
      </w:r>
      <w:r w:rsidR="00952E59" w:rsidRPr="00904FCB">
        <w:rPr>
          <w:rFonts w:hint="cs"/>
          <w:sz w:val="27"/>
          <w:rtl/>
          <w:lang w:bidi="ar-IQ"/>
        </w:rPr>
        <w:t xml:space="preserve"> ذلك بقوله</w:t>
      </w:r>
      <w:r w:rsidR="00E5013B" w:rsidRPr="00904FCB">
        <w:rPr>
          <w:rFonts w:hint="cs"/>
          <w:sz w:val="27"/>
          <w:rtl/>
          <w:lang w:bidi="ar-IQ"/>
        </w:rPr>
        <w:t>:</w:t>
      </w:r>
      <w:r w:rsidR="00952E59" w:rsidRPr="00904FCB">
        <w:rPr>
          <w:rFonts w:hint="cs"/>
          <w:sz w:val="27"/>
          <w:rtl/>
          <w:lang w:bidi="ar-IQ"/>
        </w:rPr>
        <w:t xml:space="preserve"> </w:t>
      </w:r>
      <w:r w:rsidR="00952E59" w:rsidRPr="00904FCB">
        <w:rPr>
          <w:rFonts w:hint="eastAsia"/>
          <w:sz w:val="27"/>
          <w:rtl/>
        </w:rPr>
        <w:t>«</w:t>
      </w:r>
      <w:r w:rsidR="00E5013B" w:rsidRPr="00904FCB">
        <w:rPr>
          <w:rFonts w:hint="cs"/>
          <w:sz w:val="27"/>
          <w:rtl/>
          <w:lang w:bidi="ar-IQ"/>
        </w:rPr>
        <w:t>إ</w:t>
      </w:r>
      <w:r w:rsidR="00952E59" w:rsidRPr="00904FCB">
        <w:rPr>
          <w:rFonts w:hint="cs"/>
          <w:sz w:val="27"/>
          <w:rtl/>
          <w:lang w:bidi="ar-IQ"/>
        </w:rPr>
        <w:t>ن الوصايا ال</w:t>
      </w:r>
      <w:r w:rsidR="00E5013B" w:rsidRPr="00904FCB">
        <w:rPr>
          <w:rFonts w:hint="cs"/>
          <w:sz w:val="27"/>
          <w:rtl/>
          <w:lang w:bidi="ar-IQ"/>
        </w:rPr>
        <w:t>إ</w:t>
      </w:r>
      <w:r w:rsidR="00952E59" w:rsidRPr="00904FCB">
        <w:rPr>
          <w:rFonts w:hint="cs"/>
          <w:sz w:val="27"/>
          <w:rtl/>
          <w:lang w:bidi="ar-IQ"/>
        </w:rPr>
        <w:t>لهية للشعب اليهودي تسمو على ال</w:t>
      </w:r>
      <w:r w:rsidR="00E5013B" w:rsidRPr="00904FCB">
        <w:rPr>
          <w:rFonts w:hint="cs"/>
          <w:sz w:val="27"/>
          <w:rtl/>
          <w:lang w:bidi="ar-IQ"/>
        </w:rPr>
        <w:t>أ</w:t>
      </w:r>
      <w:r w:rsidR="00952E59" w:rsidRPr="00904FCB">
        <w:rPr>
          <w:rFonts w:hint="cs"/>
          <w:sz w:val="27"/>
          <w:rtl/>
          <w:lang w:bidi="ar-IQ"/>
        </w:rPr>
        <w:t>فكار ال</w:t>
      </w:r>
      <w:r w:rsidR="00E5013B" w:rsidRPr="00904FCB">
        <w:rPr>
          <w:rFonts w:hint="cs"/>
          <w:sz w:val="27"/>
          <w:rtl/>
          <w:lang w:bidi="ar-IQ"/>
        </w:rPr>
        <w:t>إ</w:t>
      </w:r>
      <w:r w:rsidR="00952E59" w:rsidRPr="00904FCB">
        <w:rPr>
          <w:rFonts w:hint="cs"/>
          <w:sz w:val="27"/>
          <w:rtl/>
          <w:lang w:bidi="ar-IQ"/>
        </w:rPr>
        <w:t>نسانية</w:t>
      </w:r>
      <w:r w:rsidR="00952E59" w:rsidRPr="00904FCB">
        <w:rPr>
          <w:rFonts w:hint="eastAsia"/>
          <w:sz w:val="27"/>
          <w:rtl/>
        </w:rPr>
        <w:t>»</w:t>
      </w:r>
      <w:r w:rsidR="00952E59" w:rsidRPr="00904FCB">
        <w:rPr>
          <w:rFonts w:hint="cs"/>
          <w:sz w:val="27"/>
          <w:vertAlign w:val="superscript"/>
          <w:rtl/>
          <w:lang w:bidi="ar-IQ"/>
        </w:rPr>
        <w:t>(</w:t>
      </w:r>
      <w:r w:rsidR="00952E59" w:rsidRPr="00904FCB">
        <w:rPr>
          <w:rStyle w:val="ac"/>
          <w:sz w:val="27"/>
          <w:rtl/>
          <w:lang w:bidi="ar-IQ"/>
        </w:rPr>
        <w:endnoteReference w:id="323"/>
      </w:r>
      <w:r w:rsidR="00952E59" w:rsidRPr="00904FCB">
        <w:rPr>
          <w:rFonts w:hint="cs"/>
          <w:sz w:val="27"/>
          <w:vertAlign w:val="superscript"/>
          <w:rtl/>
          <w:lang w:bidi="ar-IQ"/>
        </w:rPr>
        <w:t>)</w:t>
      </w:r>
      <w:r w:rsidR="00E5013B" w:rsidRPr="00904FCB">
        <w:rPr>
          <w:rFonts w:hint="cs"/>
          <w:sz w:val="27"/>
          <w:rtl/>
          <w:lang w:bidi="ar-IQ"/>
        </w:rPr>
        <w:t>.</w:t>
      </w:r>
      <w:r w:rsidR="00952E59" w:rsidRPr="00904FCB">
        <w:rPr>
          <w:rFonts w:hint="cs"/>
          <w:sz w:val="27"/>
          <w:rtl/>
          <w:lang w:bidi="ar-IQ"/>
        </w:rPr>
        <w:t xml:space="preserve"> ول</w:t>
      </w:r>
      <w:r w:rsidR="00E5013B" w:rsidRPr="00904FCB">
        <w:rPr>
          <w:rFonts w:hint="cs"/>
          <w:sz w:val="27"/>
          <w:rtl/>
          <w:lang w:bidi="ar-IQ"/>
        </w:rPr>
        <w:t>أ</w:t>
      </w:r>
      <w:r w:rsidR="00952E59" w:rsidRPr="00904FCB">
        <w:rPr>
          <w:rFonts w:hint="cs"/>
          <w:sz w:val="27"/>
          <w:rtl/>
          <w:lang w:bidi="ar-IQ"/>
        </w:rPr>
        <w:t>نهم يعتقدون أن تعاليم العهد القديم والتلمود وشروح فقهاء الشريع</w:t>
      </w:r>
      <w:r w:rsidR="00E5013B" w:rsidRPr="00904FCB">
        <w:rPr>
          <w:rFonts w:hint="cs"/>
          <w:sz w:val="27"/>
          <w:rtl/>
          <w:lang w:bidi="ar-IQ"/>
        </w:rPr>
        <w:t>ة</w:t>
      </w:r>
      <w:r w:rsidR="00952E59" w:rsidRPr="00904FCB">
        <w:rPr>
          <w:rFonts w:hint="cs"/>
          <w:sz w:val="27"/>
          <w:rtl/>
          <w:lang w:bidi="ar-IQ"/>
        </w:rPr>
        <w:t xml:space="preserve"> تنطوي على </w:t>
      </w:r>
      <w:r w:rsidR="00E5013B" w:rsidRPr="00904FCB">
        <w:rPr>
          <w:rFonts w:hint="cs"/>
          <w:sz w:val="27"/>
          <w:rtl/>
          <w:lang w:bidi="ar-IQ"/>
        </w:rPr>
        <w:t>إ</w:t>
      </w:r>
      <w:r w:rsidR="00952E59" w:rsidRPr="00904FCB">
        <w:rPr>
          <w:rFonts w:hint="cs"/>
          <w:sz w:val="27"/>
          <w:rtl/>
          <w:lang w:bidi="ar-IQ"/>
        </w:rPr>
        <w:t>جابات نهائي</w:t>
      </w:r>
      <w:r w:rsidR="00E5013B" w:rsidRPr="00904FCB">
        <w:rPr>
          <w:rFonts w:hint="cs"/>
          <w:sz w:val="27"/>
          <w:rtl/>
          <w:lang w:bidi="ar-IQ"/>
        </w:rPr>
        <w:t>ة</w:t>
      </w:r>
      <w:r w:rsidR="00952E59" w:rsidRPr="00904FCB">
        <w:rPr>
          <w:rFonts w:hint="cs"/>
          <w:sz w:val="27"/>
          <w:rtl/>
          <w:lang w:bidi="ar-IQ"/>
        </w:rPr>
        <w:t xml:space="preserve"> وصائبة لكل</w:t>
      </w:r>
      <w:r w:rsidR="00E5013B" w:rsidRPr="00904FCB">
        <w:rPr>
          <w:rFonts w:hint="cs"/>
          <w:sz w:val="27"/>
          <w:rtl/>
          <w:lang w:bidi="ar-IQ"/>
        </w:rPr>
        <w:t>ّ</w:t>
      </w:r>
      <w:r w:rsidR="00952E59" w:rsidRPr="00904FCB">
        <w:rPr>
          <w:rFonts w:hint="cs"/>
          <w:sz w:val="27"/>
          <w:rtl/>
          <w:lang w:bidi="ar-IQ"/>
        </w:rPr>
        <w:t xml:space="preserve"> قضايا العصر</w:t>
      </w:r>
      <w:r w:rsidR="00E5013B" w:rsidRPr="00904FCB">
        <w:rPr>
          <w:rFonts w:hint="cs"/>
          <w:sz w:val="27"/>
          <w:rtl/>
          <w:lang w:bidi="ar-IQ"/>
        </w:rPr>
        <w:t>،</w:t>
      </w:r>
      <w:r w:rsidR="00952E59" w:rsidRPr="00904FCB">
        <w:rPr>
          <w:rFonts w:hint="cs"/>
          <w:sz w:val="27"/>
          <w:rtl/>
          <w:lang w:bidi="ar-IQ"/>
        </w:rPr>
        <w:t xml:space="preserve"> بقطع النظر عن ظروف صدورها التاريخي</w:t>
      </w:r>
      <w:r w:rsidR="00E5013B" w:rsidRPr="00904FCB">
        <w:rPr>
          <w:rFonts w:hint="cs"/>
          <w:sz w:val="27"/>
          <w:rtl/>
          <w:lang w:bidi="ar-IQ"/>
        </w:rPr>
        <w:t xml:space="preserve">، </w:t>
      </w:r>
      <w:r w:rsidR="00952E59" w:rsidRPr="00904FCB">
        <w:rPr>
          <w:rFonts w:hint="cs"/>
          <w:sz w:val="27"/>
          <w:rtl/>
          <w:lang w:bidi="ar-IQ"/>
        </w:rPr>
        <w:t>ف</w:t>
      </w:r>
      <w:r w:rsidR="00E5013B" w:rsidRPr="00904FCB">
        <w:rPr>
          <w:rFonts w:hint="cs"/>
          <w:sz w:val="27"/>
          <w:rtl/>
          <w:lang w:bidi="ar-IQ"/>
        </w:rPr>
        <w:t>إ</w:t>
      </w:r>
      <w:r w:rsidR="00952E59" w:rsidRPr="00904FCB">
        <w:rPr>
          <w:rFonts w:hint="cs"/>
          <w:sz w:val="27"/>
          <w:rtl/>
          <w:lang w:bidi="ar-IQ"/>
        </w:rPr>
        <w:t>نهم يتمر</w:t>
      </w:r>
      <w:r w:rsidR="00E5013B" w:rsidRPr="00904FCB">
        <w:rPr>
          <w:rFonts w:hint="cs"/>
          <w:sz w:val="27"/>
          <w:rtl/>
          <w:lang w:bidi="ar-IQ"/>
        </w:rPr>
        <w:t>َّ</w:t>
      </w:r>
      <w:r w:rsidR="00952E59" w:rsidRPr="00904FCB">
        <w:rPr>
          <w:rFonts w:hint="cs"/>
          <w:sz w:val="27"/>
          <w:rtl/>
          <w:lang w:bidi="ar-IQ"/>
        </w:rPr>
        <w:t>دون دائماً على ال</w:t>
      </w:r>
      <w:r w:rsidR="00E5013B" w:rsidRPr="00904FCB">
        <w:rPr>
          <w:rFonts w:hint="cs"/>
          <w:sz w:val="27"/>
          <w:rtl/>
          <w:lang w:bidi="ar-IQ"/>
        </w:rPr>
        <w:t>إ</w:t>
      </w:r>
      <w:r w:rsidR="00952E59" w:rsidRPr="00904FCB">
        <w:rPr>
          <w:rFonts w:hint="cs"/>
          <w:sz w:val="27"/>
          <w:rtl/>
          <w:lang w:bidi="ar-IQ"/>
        </w:rPr>
        <w:t>جماع ال</w:t>
      </w:r>
      <w:r w:rsidR="00E5013B" w:rsidRPr="00904FCB">
        <w:rPr>
          <w:rFonts w:hint="cs"/>
          <w:sz w:val="27"/>
          <w:rtl/>
          <w:lang w:bidi="ar-IQ"/>
        </w:rPr>
        <w:t>أ</w:t>
      </w:r>
      <w:r w:rsidR="00952E59" w:rsidRPr="00904FCB">
        <w:rPr>
          <w:rFonts w:hint="cs"/>
          <w:sz w:val="27"/>
          <w:rtl/>
          <w:lang w:bidi="ar-IQ"/>
        </w:rPr>
        <w:t>ممي، وبذلك ير</w:t>
      </w:r>
      <w:r w:rsidR="00E5013B" w:rsidRPr="00904FCB">
        <w:rPr>
          <w:rFonts w:hint="cs"/>
          <w:sz w:val="27"/>
          <w:rtl/>
          <w:lang w:bidi="ar-IQ"/>
        </w:rPr>
        <w:t>َ</w:t>
      </w:r>
      <w:r w:rsidR="00952E59" w:rsidRPr="00904FCB">
        <w:rPr>
          <w:rFonts w:hint="cs"/>
          <w:sz w:val="27"/>
          <w:rtl/>
          <w:lang w:bidi="ar-IQ"/>
        </w:rPr>
        <w:t>و</w:t>
      </w:r>
      <w:r w:rsidR="00E5013B" w:rsidRPr="00904FCB">
        <w:rPr>
          <w:rFonts w:hint="cs"/>
          <w:sz w:val="27"/>
          <w:rtl/>
          <w:lang w:bidi="ar-IQ"/>
        </w:rPr>
        <w:t>ْ</w:t>
      </w:r>
      <w:r w:rsidR="00952E59" w:rsidRPr="00904FCB">
        <w:rPr>
          <w:rFonts w:hint="cs"/>
          <w:sz w:val="27"/>
          <w:rtl/>
          <w:lang w:bidi="ar-IQ"/>
        </w:rPr>
        <w:t>ن أن حركة التاريخ تزدهر عند لحظة</w:t>
      </w:r>
      <w:r w:rsidR="00E5013B" w:rsidRPr="00904FCB">
        <w:rPr>
          <w:rFonts w:hint="cs"/>
          <w:sz w:val="27"/>
          <w:rtl/>
          <w:lang w:bidi="ar-IQ"/>
        </w:rPr>
        <w:t>ٍ</w:t>
      </w:r>
      <w:r w:rsidR="00952E59" w:rsidRPr="00904FCB">
        <w:rPr>
          <w:rFonts w:hint="cs"/>
          <w:sz w:val="27"/>
          <w:rtl/>
          <w:lang w:bidi="ar-IQ"/>
        </w:rPr>
        <w:t xml:space="preserve"> بعينها</w:t>
      </w:r>
      <w:r w:rsidR="00E5013B" w:rsidRPr="00904FCB">
        <w:rPr>
          <w:rFonts w:hint="cs"/>
          <w:sz w:val="27"/>
          <w:rtl/>
          <w:lang w:bidi="ar-IQ"/>
        </w:rPr>
        <w:t>،</w:t>
      </w:r>
      <w:r w:rsidR="00952E59" w:rsidRPr="00904FCB">
        <w:rPr>
          <w:rFonts w:hint="cs"/>
          <w:sz w:val="27"/>
          <w:rtl/>
          <w:lang w:bidi="ar-IQ"/>
        </w:rPr>
        <w:t xml:space="preserve"> هي لحظة انتصار اليهودية على كل</w:t>
      </w:r>
      <w:r w:rsidR="00E5013B" w:rsidRPr="00904FCB">
        <w:rPr>
          <w:rFonts w:hint="cs"/>
          <w:sz w:val="27"/>
          <w:rtl/>
          <w:lang w:bidi="ar-IQ"/>
        </w:rPr>
        <w:t>ّ</w:t>
      </w:r>
      <w:r w:rsidR="00952E59" w:rsidRPr="00904FCB">
        <w:rPr>
          <w:rFonts w:hint="cs"/>
          <w:sz w:val="27"/>
          <w:rtl/>
          <w:lang w:bidi="ar-IQ"/>
        </w:rPr>
        <w:t xml:space="preserve"> المعتقدات الدينية الأخرى</w:t>
      </w:r>
      <w:r w:rsidR="00E5013B" w:rsidRPr="00904FCB">
        <w:rPr>
          <w:rFonts w:hint="cs"/>
          <w:sz w:val="27"/>
          <w:rtl/>
          <w:lang w:bidi="ar-IQ"/>
        </w:rPr>
        <w:t>،</w:t>
      </w:r>
      <w:r w:rsidR="00952E59" w:rsidRPr="00904FCB">
        <w:rPr>
          <w:rFonts w:hint="cs"/>
          <w:sz w:val="27"/>
          <w:rtl/>
          <w:lang w:bidi="ar-IQ"/>
        </w:rPr>
        <w:t xml:space="preserve"> وأن أحداث العالم المعاصر ليست </w:t>
      </w:r>
      <w:r w:rsidR="00E5013B" w:rsidRPr="00904FCB">
        <w:rPr>
          <w:rFonts w:hint="cs"/>
          <w:sz w:val="27"/>
          <w:rtl/>
          <w:lang w:bidi="ar-IQ"/>
        </w:rPr>
        <w:t>إ</w:t>
      </w:r>
      <w:r w:rsidR="00952E59" w:rsidRPr="00904FCB">
        <w:rPr>
          <w:rFonts w:hint="cs"/>
          <w:sz w:val="27"/>
          <w:rtl/>
          <w:lang w:bidi="ar-IQ"/>
        </w:rPr>
        <w:t>لا</w:t>
      </w:r>
      <w:r w:rsidR="00E5013B" w:rsidRPr="00904FCB">
        <w:rPr>
          <w:rFonts w:hint="cs"/>
          <w:sz w:val="27"/>
          <w:rtl/>
          <w:lang w:bidi="ar-IQ"/>
        </w:rPr>
        <w:t>ّ ا</w:t>
      </w:r>
      <w:r w:rsidR="00952E59" w:rsidRPr="00904FCB">
        <w:rPr>
          <w:rFonts w:hint="cs"/>
          <w:sz w:val="27"/>
          <w:rtl/>
          <w:lang w:bidi="ar-IQ"/>
        </w:rPr>
        <w:t>متداد</w:t>
      </w:r>
      <w:r w:rsidR="00E5013B" w:rsidRPr="00904FCB">
        <w:rPr>
          <w:rFonts w:hint="cs"/>
          <w:sz w:val="27"/>
          <w:rtl/>
          <w:lang w:bidi="ar-IQ"/>
        </w:rPr>
        <w:t>اً</w:t>
      </w:r>
      <w:r w:rsidR="00952E59" w:rsidRPr="00904FCB">
        <w:rPr>
          <w:rFonts w:hint="cs"/>
          <w:sz w:val="27"/>
          <w:rtl/>
          <w:lang w:bidi="ar-IQ"/>
        </w:rPr>
        <w:t xml:space="preserve"> لل</w:t>
      </w:r>
      <w:r w:rsidR="00E5013B" w:rsidRPr="00904FCB">
        <w:rPr>
          <w:rFonts w:hint="cs"/>
          <w:sz w:val="27"/>
          <w:rtl/>
          <w:lang w:bidi="ar-IQ"/>
        </w:rPr>
        <w:t>أ</w:t>
      </w:r>
      <w:r w:rsidR="00952E59" w:rsidRPr="00904FCB">
        <w:rPr>
          <w:rFonts w:hint="cs"/>
          <w:sz w:val="27"/>
          <w:rtl/>
          <w:lang w:bidi="ar-IQ"/>
        </w:rPr>
        <w:t>حداث التي وقعت في ال</w:t>
      </w:r>
      <w:r w:rsidR="00E5013B" w:rsidRPr="00904FCB">
        <w:rPr>
          <w:rFonts w:hint="cs"/>
          <w:sz w:val="27"/>
          <w:rtl/>
          <w:lang w:bidi="ar-IQ"/>
        </w:rPr>
        <w:t>أ</w:t>
      </w:r>
      <w:r w:rsidR="00952E59" w:rsidRPr="00904FCB">
        <w:rPr>
          <w:rFonts w:hint="cs"/>
          <w:sz w:val="27"/>
          <w:rtl/>
          <w:lang w:bidi="ar-IQ"/>
        </w:rPr>
        <w:t>زمن</w:t>
      </w:r>
      <w:r w:rsidR="00E5013B" w:rsidRPr="00904FCB">
        <w:rPr>
          <w:rFonts w:hint="cs"/>
          <w:sz w:val="27"/>
          <w:rtl/>
          <w:lang w:bidi="ar-IQ"/>
        </w:rPr>
        <w:t>ة</w:t>
      </w:r>
      <w:r w:rsidR="00952E59" w:rsidRPr="00904FCB">
        <w:rPr>
          <w:rFonts w:hint="cs"/>
          <w:sz w:val="27"/>
          <w:rtl/>
          <w:lang w:bidi="ar-IQ"/>
        </w:rPr>
        <w:t xml:space="preserve"> السحيق</w:t>
      </w:r>
      <w:r w:rsidR="00E5013B" w:rsidRPr="00904FCB">
        <w:rPr>
          <w:rFonts w:hint="cs"/>
          <w:sz w:val="27"/>
          <w:rtl/>
          <w:lang w:bidi="ar-IQ"/>
        </w:rPr>
        <w:t>ة</w:t>
      </w:r>
      <w:r w:rsidR="00952E59" w:rsidRPr="00904FCB">
        <w:rPr>
          <w:rFonts w:hint="cs"/>
          <w:sz w:val="27"/>
          <w:vertAlign w:val="superscript"/>
          <w:rtl/>
          <w:lang w:bidi="ar-IQ"/>
        </w:rPr>
        <w:t>(</w:t>
      </w:r>
      <w:r w:rsidR="00952E59" w:rsidRPr="00904FCB">
        <w:rPr>
          <w:sz w:val="27"/>
          <w:vertAlign w:val="superscript"/>
          <w:rtl/>
        </w:rPr>
        <w:endnoteReference w:id="324"/>
      </w:r>
      <w:r w:rsidR="00952E59" w:rsidRPr="00904FCB">
        <w:rPr>
          <w:rFonts w:hint="cs"/>
          <w:sz w:val="27"/>
          <w:vertAlign w:val="superscript"/>
          <w:rtl/>
          <w:lang w:bidi="ar-IQ"/>
        </w:rPr>
        <w:t xml:space="preserve">) </w:t>
      </w:r>
      <w:r w:rsidR="00952E59" w:rsidRPr="00904FCB">
        <w:rPr>
          <w:rFonts w:hint="cs"/>
          <w:sz w:val="27"/>
          <w:rtl/>
          <w:lang w:bidi="ar-IQ"/>
        </w:rPr>
        <w:t>من الصراع</w:t>
      </w:r>
      <w:r w:rsidR="00E5013B" w:rsidRPr="00904FCB">
        <w:rPr>
          <w:rFonts w:hint="cs"/>
          <w:sz w:val="27"/>
          <w:rtl/>
          <w:lang w:bidi="ar-IQ"/>
        </w:rPr>
        <w:t>ات</w:t>
      </w:r>
      <w:r w:rsidR="00952E59" w:rsidRPr="00904FCB">
        <w:rPr>
          <w:rFonts w:hint="cs"/>
          <w:sz w:val="27"/>
          <w:rtl/>
          <w:lang w:bidi="ar-IQ"/>
        </w:rPr>
        <w:t xml:space="preserve"> بين اليهود وبين بقية ال</w:t>
      </w:r>
      <w:r w:rsidR="00E5013B" w:rsidRPr="00904FCB">
        <w:rPr>
          <w:rFonts w:hint="cs"/>
          <w:sz w:val="27"/>
          <w:rtl/>
          <w:lang w:bidi="ar-IQ"/>
        </w:rPr>
        <w:t>أ</w:t>
      </w:r>
      <w:r w:rsidR="00952E59" w:rsidRPr="00904FCB">
        <w:rPr>
          <w:rFonts w:hint="cs"/>
          <w:sz w:val="27"/>
          <w:rtl/>
          <w:lang w:bidi="ar-IQ"/>
        </w:rPr>
        <w:t xml:space="preserve">مم. </w:t>
      </w:r>
    </w:p>
    <w:p w:rsidR="00952E59" w:rsidRPr="00904FCB" w:rsidRDefault="00E5013B" w:rsidP="007A21AA">
      <w:pPr>
        <w:spacing w:line="400" w:lineRule="exact"/>
        <w:rPr>
          <w:sz w:val="27"/>
          <w:rtl/>
          <w:lang w:bidi="ar-IQ"/>
        </w:rPr>
      </w:pPr>
      <w:r w:rsidRPr="00904FCB">
        <w:rPr>
          <w:rFonts w:hint="cs"/>
          <w:sz w:val="27"/>
          <w:rtl/>
          <w:lang w:bidi="ar-IQ"/>
        </w:rPr>
        <w:t>إ</w:t>
      </w:r>
      <w:r w:rsidR="00952E59" w:rsidRPr="00904FCB">
        <w:rPr>
          <w:rFonts w:hint="cs"/>
          <w:sz w:val="27"/>
          <w:rtl/>
          <w:lang w:bidi="ar-IQ"/>
        </w:rPr>
        <w:t xml:space="preserve">ن أخطر ما </w:t>
      </w:r>
      <w:r w:rsidRPr="00904FCB">
        <w:rPr>
          <w:rFonts w:hint="cs"/>
          <w:sz w:val="27"/>
          <w:rtl/>
          <w:lang w:bidi="ar-IQ"/>
        </w:rPr>
        <w:t>أ</w:t>
      </w:r>
      <w:r w:rsidR="00952E59" w:rsidRPr="00904FCB">
        <w:rPr>
          <w:rFonts w:hint="cs"/>
          <w:sz w:val="27"/>
          <w:rtl/>
          <w:lang w:bidi="ar-IQ"/>
        </w:rPr>
        <w:t>شاعته ال</w:t>
      </w:r>
      <w:r w:rsidRPr="00904FCB">
        <w:rPr>
          <w:rFonts w:hint="cs"/>
          <w:sz w:val="27"/>
          <w:rtl/>
          <w:lang w:bidi="ar-IQ"/>
        </w:rPr>
        <w:t>أ</w:t>
      </w:r>
      <w:r w:rsidR="00952E59" w:rsidRPr="00904FCB">
        <w:rPr>
          <w:rFonts w:hint="cs"/>
          <w:sz w:val="27"/>
          <w:rtl/>
          <w:lang w:bidi="ar-IQ"/>
        </w:rPr>
        <w:t>صوليه اليهودية اعتقادها أن التقد</w:t>
      </w:r>
      <w:r w:rsidRPr="00904FCB">
        <w:rPr>
          <w:rFonts w:hint="cs"/>
          <w:sz w:val="27"/>
          <w:rtl/>
          <w:lang w:bidi="ar-IQ"/>
        </w:rPr>
        <w:t>ّ</w:t>
      </w:r>
      <w:r w:rsidR="00952E59" w:rsidRPr="00904FCB">
        <w:rPr>
          <w:rFonts w:hint="cs"/>
          <w:sz w:val="27"/>
          <w:rtl/>
          <w:lang w:bidi="ar-IQ"/>
        </w:rPr>
        <w:t xml:space="preserve">م في تاريخ العالم لا يحصل </w:t>
      </w:r>
      <w:r w:rsidRPr="00904FCB">
        <w:rPr>
          <w:rFonts w:hint="cs"/>
          <w:sz w:val="27"/>
          <w:rtl/>
          <w:lang w:bidi="ar-IQ"/>
        </w:rPr>
        <w:t>إ</w:t>
      </w:r>
      <w:r w:rsidR="00952E59" w:rsidRPr="00904FCB">
        <w:rPr>
          <w:rFonts w:hint="cs"/>
          <w:sz w:val="27"/>
          <w:rtl/>
          <w:lang w:bidi="ar-IQ"/>
        </w:rPr>
        <w:t>لا</w:t>
      </w:r>
      <w:r w:rsidRPr="00904FCB">
        <w:rPr>
          <w:rFonts w:hint="cs"/>
          <w:sz w:val="27"/>
          <w:rtl/>
          <w:lang w:bidi="ar-IQ"/>
        </w:rPr>
        <w:t>ّ</w:t>
      </w:r>
      <w:r w:rsidR="00952E59" w:rsidRPr="00904FCB">
        <w:rPr>
          <w:rFonts w:hint="cs"/>
          <w:sz w:val="27"/>
          <w:rtl/>
          <w:lang w:bidi="ar-IQ"/>
        </w:rPr>
        <w:t xml:space="preserve"> بالقوة والحروب</w:t>
      </w:r>
      <w:r w:rsidRPr="00904FCB">
        <w:rPr>
          <w:rFonts w:hint="cs"/>
          <w:sz w:val="27"/>
          <w:rtl/>
          <w:lang w:bidi="ar-IQ"/>
        </w:rPr>
        <w:t>،</w:t>
      </w:r>
      <w:r w:rsidR="00952E59" w:rsidRPr="00904FCB">
        <w:rPr>
          <w:rFonts w:hint="cs"/>
          <w:sz w:val="27"/>
          <w:rtl/>
          <w:lang w:bidi="ar-IQ"/>
        </w:rPr>
        <w:t xml:space="preserve"> وليس بالسلام</w:t>
      </w:r>
      <w:r w:rsidRPr="00904FCB">
        <w:rPr>
          <w:rFonts w:hint="cs"/>
          <w:sz w:val="27"/>
          <w:rtl/>
          <w:lang w:bidi="ar-IQ"/>
        </w:rPr>
        <w:t>؛</w:t>
      </w:r>
      <w:r w:rsidR="00952E59" w:rsidRPr="00904FCB">
        <w:rPr>
          <w:rFonts w:hint="cs"/>
          <w:sz w:val="27"/>
          <w:rtl/>
          <w:lang w:bidi="ar-IQ"/>
        </w:rPr>
        <w:t xml:space="preserve"> لأن السلام لا يحل</w:t>
      </w:r>
      <w:r w:rsidRPr="00904FCB">
        <w:rPr>
          <w:rFonts w:hint="cs"/>
          <w:sz w:val="27"/>
          <w:rtl/>
          <w:lang w:bidi="ar-IQ"/>
        </w:rPr>
        <w:t>ّ</w:t>
      </w:r>
      <w:r w:rsidR="00952E59" w:rsidRPr="00904FCB">
        <w:rPr>
          <w:rFonts w:hint="cs"/>
          <w:sz w:val="27"/>
          <w:rtl/>
          <w:lang w:bidi="ar-IQ"/>
        </w:rPr>
        <w:t xml:space="preserve"> على الأرض </w:t>
      </w:r>
      <w:r w:rsidRPr="00904FCB">
        <w:rPr>
          <w:rFonts w:hint="cs"/>
          <w:sz w:val="27"/>
          <w:rtl/>
          <w:lang w:bidi="ar-IQ"/>
        </w:rPr>
        <w:t>أب</w:t>
      </w:r>
      <w:r w:rsidR="00952E59" w:rsidRPr="00904FCB">
        <w:rPr>
          <w:rFonts w:hint="cs"/>
          <w:sz w:val="27"/>
          <w:rtl/>
          <w:lang w:bidi="ar-IQ"/>
        </w:rPr>
        <w:t>داً</w:t>
      </w:r>
      <w:r w:rsidRPr="00904FCB">
        <w:rPr>
          <w:rFonts w:hint="cs"/>
          <w:sz w:val="27"/>
          <w:rtl/>
          <w:lang w:bidi="ar-IQ"/>
        </w:rPr>
        <w:t xml:space="preserve">، </w:t>
      </w:r>
      <w:r w:rsidR="00952E59" w:rsidRPr="00904FCB">
        <w:rPr>
          <w:rFonts w:hint="cs"/>
          <w:sz w:val="27"/>
          <w:rtl/>
          <w:lang w:bidi="ar-IQ"/>
        </w:rPr>
        <w:t>كما تؤكد العقيدة اليهودية</w:t>
      </w:r>
      <w:r w:rsidRPr="00904FCB">
        <w:rPr>
          <w:rFonts w:hint="cs"/>
          <w:sz w:val="27"/>
          <w:rtl/>
          <w:lang w:bidi="ar-IQ"/>
        </w:rPr>
        <w:t>،</w:t>
      </w:r>
      <w:r w:rsidR="00952E59" w:rsidRPr="00904FCB">
        <w:rPr>
          <w:rFonts w:hint="cs"/>
          <w:sz w:val="27"/>
          <w:rtl/>
          <w:lang w:bidi="ar-IQ"/>
        </w:rPr>
        <w:t xml:space="preserve"> </w:t>
      </w:r>
      <w:r w:rsidRPr="00904FCB">
        <w:rPr>
          <w:rFonts w:hint="cs"/>
          <w:sz w:val="27"/>
          <w:rtl/>
          <w:lang w:bidi="ar-IQ"/>
        </w:rPr>
        <w:t>إل</w:t>
      </w:r>
      <w:r w:rsidR="00952E59" w:rsidRPr="00904FCB">
        <w:rPr>
          <w:rFonts w:hint="cs"/>
          <w:sz w:val="27"/>
          <w:rtl/>
          <w:lang w:bidi="ar-IQ"/>
        </w:rPr>
        <w:t>ا</w:t>
      </w:r>
      <w:r w:rsidRPr="00904FCB">
        <w:rPr>
          <w:rFonts w:hint="cs"/>
          <w:sz w:val="27"/>
          <w:rtl/>
          <w:lang w:bidi="ar-IQ"/>
        </w:rPr>
        <w:t>ّ</w:t>
      </w:r>
      <w:r w:rsidR="00952E59" w:rsidRPr="00904FCB">
        <w:rPr>
          <w:rFonts w:hint="cs"/>
          <w:sz w:val="27"/>
          <w:rtl/>
          <w:lang w:bidi="ar-IQ"/>
        </w:rPr>
        <w:t xml:space="preserve"> في نهاية الزمن</w:t>
      </w:r>
      <w:r w:rsidRPr="00904FCB">
        <w:rPr>
          <w:rFonts w:hint="cs"/>
          <w:sz w:val="27"/>
          <w:rtl/>
          <w:lang w:bidi="ar-IQ"/>
        </w:rPr>
        <w:t>،</w:t>
      </w:r>
      <w:r w:rsidR="00952E59" w:rsidRPr="00904FCB">
        <w:rPr>
          <w:rFonts w:hint="cs"/>
          <w:sz w:val="27"/>
          <w:rtl/>
          <w:lang w:bidi="ar-IQ"/>
        </w:rPr>
        <w:t xml:space="preserve"> عند ظهور المسيح المنتظر</w:t>
      </w:r>
      <w:r w:rsidRPr="00904FCB">
        <w:rPr>
          <w:rFonts w:hint="cs"/>
          <w:sz w:val="27"/>
          <w:rtl/>
          <w:lang w:bidi="ar-IQ"/>
        </w:rPr>
        <w:t>،</w:t>
      </w:r>
      <w:r w:rsidR="00952E59" w:rsidRPr="00904FCB">
        <w:rPr>
          <w:rFonts w:hint="cs"/>
          <w:sz w:val="27"/>
          <w:rtl/>
          <w:lang w:bidi="ar-IQ"/>
        </w:rPr>
        <w:t xml:space="preserve"> عندما يبيد كل ال</w:t>
      </w:r>
      <w:r w:rsidRPr="00904FCB">
        <w:rPr>
          <w:rFonts w:hint="cs"/>
          <w:sz w:val="27"/>
          <w:rtl/>
          <w:lang w:bidi="ar-IQ"/>
        </w:rPr>
        <w:t>أ</w:t>
      </w:r>
      <w:r w:rsidR="00952E59" w:rsidRPr="00904FCB">
        <w:rPr>
          <w:rFonts w:hint="cs"/>
          <w:sz w:val="27"/>
          <w:rtl/>
          <w:lang w:bidi="ar-IQ"/>
        </w:rPr>
        <w:t>قوام الشريرة</w:t>
      </w:r>
      <w:r w:rsidRPr="00904FCB">
        <w:rPr>
          <w:rFonts w:hint="cs"/>
          <w:sz w:val="27"/>
          <w:rtl/>
          <w:lang w:bidi="ar-IQ"/>
        </w:rPr>
        <w:t>.</w:t>
      </w:r>
      <w:r w:rsidR="00952E59" w:rsidRPr="00904FCB">
        <w:rPr>
          <w:rFonts w:hint="cs"/>
          <w:sz w:val="27"/>
          <w:rtl/>
          <w:lang w:bidi="ar-IQ"/>
        </w:rPr>
        <w:t xml:space="preserve"> فالزمن الذي يسبق ذلك الظهور هو زمن مشحون بالحروب والصدام والمزيد من </w:t>
      </w:r>
      <w:r w:rsidRPr="00904FCB">
        <w:rPr>
          <w:rFonts w:hint="cs"/>
          <w:sz w:val="27"/>
          <w:rtl/>
          <w:lang w:bidi="ar-IQ"/>
        </w:rPr>
        <w:t>ا</w:t>
      </w:r>
      <w:r w:rsidR="00952E59" w:rsidRPr="00904FCB">
        <w:rPr>
          <w:rFonts w:hint="cs"/>
          <w:sz w:val="27"/>
          <w:rtl/>
          <w:lang w:bidi="ar-IQ"/>
        </w:rPr>
        <w:t>ستخدام القو</w:t>
      </w:r>
      <w:r w:rsidRPr="00904FCB">
        <w:rPr>
          <w:rFonts w:hint="cs"/>
          <w:sz w:val="27"/>
          <w:rtl/>
          <w:lang w:bidi="ar-IQ"/>
        </w:rPr>
        <w:t>ّ</w:t>
      </w:r>
      <w:r w:rsidR="00952E59" w:rsidRPr="00904FCB">
        <w:rPr>
          <w:rFonts w:hint="cs"/>
          <w:sz w:val="27"/>
          <w:rtl/>
          <w:lang w:bidi="ar-IQ"/>
        </w:rPr>
        <w:t>ة، وحروب ال</w:t>
      </w:r>
      <w:r w:rsidRPr="00904FCB">
        <w:rPr>
          <w:rFonts w:hint="cs"/>
          <w:sz w:val="27"/>
          <w:rtl/>
          <w:lang w:bidi="ar-IQ"/>
        </w:rPr>
        <w:t>إ</w:t>
      </w:r>
      <w:r w:rsidR="00952E59" w:rsidRPr="00904FCB">
        <w:rPr>
          <w:rFonts w:hint="cs"/>
          <w:sz w:val="27"/>
          <w:rtl/>
          <w:lang w:bidi="ar-IQ"/>
        </w:rPr>
        <w:t>بادات الجماعية</w:t>
      </w:r>
      <w:r w:rsidRPr="00904FCB">
        <w:rPr>
          <w:rFonts w:hint="cs"/>
          <w:sz w:val="27"/>
          <w:rtl/>
          <w:lang w:bidi="ar-IQ"/>
        </w:rPr>
        <w:t>.</w:t>
      </w:r>
      <w:r w:rsidR="00952E59" w:rsidRPr="00904FCB">
        <w:rPr>
          <w:rFonts w:hint="cs"/>
          <w:sz w:val="27"/>
          <w:rtl/>
          <w:lang w:bidi="ar-IQ"/>
        </w:rPr>
        <w:t xml:space="preserve"> فعلى اليهود </w:t>
      </w:r>
      <w:r w:rsidRPr="00904FCB">
        <w:rPr>
          <w:rFonts w:hint="cs"/>
          <w:sz w:val="27"/>
          <w:rtl/>
          <w:lang w:bidi="ar-IQ"/>
        </w:rPr>
        <w:t>أ</w:t>
      </w:r>
      <w:r w:rsidR="00952E59" w:rsidRPr="00904FCB">
        <w:rPr>
          <w:rFonts w:hint="cs"/>
          <w:sz w:val="27"/>
          <w:rtl/>
          <w:lang w:bidi="ar-IQ"/>
        </w:rPr>
        <w:t>ن يحكموا السيطرة على القرار لسياسات دول العالم القوية</w:t>
      </w:r>
      <w:r w:rsidRPr="00904FCB">
        <w:rPr>
          <w:rFonts w:hint="cs"/>
          <w:sz w:val="27"/>
          <w:rtl/>
          <w:lang w:bidi="ar-IQ"/>
        </w:rPr>
        <w:t>،</w:t>
      </w:r>
      <w:r w:rsidR="00952E59" w:rsidRPr="00904FCB">
        <w:rPr>
          <w:rFonts w:hint="cs"/>
          <w:sz w:val="27"/>
          <w:rtl/>
          <w:lang w:bidi="ar-IQ"/>
        </w:rPr>
        <w:t xml:space="preserve"> ومواطن القوة كاف</w:t>
      </w:r>
      <w:r w:rsidRPr="00904FCB">
        <w:rPr>
          <w:rFonts w:hint="cs"/>
          <w:sz w:val="27"/>
          <w:rtl/>
          <w:lang w:bidi="ar-IQ"/>
        </w:rPr>
        <w:t>ّ</w:t>
      </w:r>
      <w:r w:rsidR="00952E59" w:rsidRPr="00904FCB">
        <w:rPr>
          <w:rFonts w:hint="cs"/>
          <w:sz w:val="27"/>
          <w:rtl/>
          <w:lang w:bidi="ar-IQ"/>
        </w:rPr>
        <w:t xml:space="preserve">ة </w:t>
      </w:r>
      <w:r w:rsidR="00952E59" w:rsidRPr="00904FCB">
        <w:rPr>
          <w:rFonts w:hint="cs"/>
          <w:sz w:val="27"/>
          <w:rtl/>
          <w:lang w:bidi="ar-IQ"/>
        </w:rPr>
        <w:lastRenderedPageBreak/>
        <w:t>(المال، السلاح، ومراكز القرار، وال</w:t>
      </w:r>
      <w:r w:rsidRPr="00904FCB">
        <w:rPr>
          <w:rFonts w:hint="cs"/>
          <w:sz w:val="27"/>
          <w:rtl/>
          <w:lang w:bidi="ar-IQ"/>
        </w:rPr>
        <w:t>إ</w:t>
      </w:r>
      <w:r w:rsidR="00952E59" w:rsidRPr="00904FCB">
        <w:rPr>
          <w:rFonts w:hint="cs"/>
          <w:sz w:val="27"/>
          <w:rtl/>
          <w:lang w:bidi="ar-IQ"/>
        </w:rPr>
        <w:t>علام</w:t>
      </w:r>
      <w:r w:rsidRPr="00904FCB">
        <w:rPr>
          <w:rFonts w:hint="cs"/>
          <w:sz w:val="27"/>
          <w:rtl/>
          <w:lang w:bidi="ar-IQ"/>
        </w:rPr>
        <w:t>...</w:t>
      </w:r>
      <w:r w:rsidR="009314BC">
        <w:rPr>
          <w:rFonts w:hint="cs"/>
          <w:sz w:val="27"/>
          <w:rtl/>
          <w:lang w:bidi="ar-IQ"/>
        </w:rPr>
        <w:t xml:space="preserve">، </w:t>
      </w:r>
      <w:r w:rsidRPr="00904FCB">
        <w:rPr>
          <w:rFonts w:hint="cs"/>
          <w:sz w:val="27"/>
          <w:rtl/>
          <w:lang w:bidi="ar-IQ"/>
        </w:rPr>
        <w:t>إ</w:t>
      </w:r>
      <w:r w:rsidR="00952E59" w:rsidRPr="00904FCB">
        <w:rPr>
          <w:rFonts w:hint="cs"/>
          <w:sz w:val="27"/>
          <w:rtl/>
          <w:lang w:bidi="ar-IQ"/>
        </w:rPr>
        <w:t>لخ)</w:t>
      </w:r>
      <w:r w:rsidRPr="00904FCB">
        <w:rPr>
          <w:rFonts w:hint="cs"/>
          <w:sz w:val="27"/>
          <w:rtl/>
          <w:lang w:bidi="ar-IQ"/>
        </w:rPr>
        <w:t>،</w:t>
      </w:r>
      <w:r w:rsidR="00952E59" w:rsidRPr="00904FCB">
        <w:rPr>
          <w:rFonts w:hint="cs"/>
          <w:sz w:val="27"/>
          <w:rtl/>
          <w:lang w:bidi="ar-IQ"/>
        </w:rPr>
        <w:t xml:space="preserve"> وجعلها ضمن التوج</w:t>
      </w:r>
      <w:r w:rsidR="009314BC">
        <w:rPr>
          <w:rFonts w:hint="cs"/>
          <w:sz w:val="27"/>
          <w:rtl/>
          <w:lang w:bidi="ar-IQ"/>
        </w:rPr>
        <w:t>ُّ</w:t>
      </w:r>
      <w:r w:rsidR="00952E59" w:rsidRPr="00904FCB">
        <w:rPr>
          <w:rFonts w:hint="cs"/>
          <w:sz w:val="27"/>
          <w:rtl/>
          <w:lang w:bidi="ar-IQ"/>
        </w:rPr>
        <w:t xml:space="preserve">ه اليهودي. </w:t>
      </w:r>
    </w:p>
    <w:p w:rsidR="00952E59" w:rsidRPr="00904FCB" w:rsidRDefault="00952E59" w:rsidP="007A21AA">
      <w:pPr>
        <w:spacing w:line="400" w:lineRule="exact"/>
        <w:rPr>
          <w:sz w:val="27"/>
          <w:rtl/>
          <w:lang w:bidi="ar-IQ"/>
        </w:rPr>
      </w:pPr>
      <w:r w:rsidRPr="00904FCB">
        <w:rPr>
          <w:rFonts w:hint="cs"/>
          <w:sz w:val="27"/>
          <w:rtl/>
          <w:lang w:bidi="ar-IQ"/>
        </w:rPr>
        <w:t>م</w:t>
      </w:r>
      <w:r w:rsidR="00E5013B" w:rsidRPr="00904FCB">
        <w:rPr>
          <w:rFonts w:hint="cs"/>
          <w:sz w:val="27"/>
          <w:rtl/>
          <w:lang w:bidi="ar-IQ"/>
        </w:rPr>
        <w:t>م</w:t>
      </w:r>
      <w:r w:rsidRPr="00904FCB">
        <w:rPr>
          <w:rFonts w:hint="cs"/>
          <w:sz w:val="27"/>
          <w:rtl/>
          <w:lang w:bidi="ar-IQ"/>
        </w:rPr>
        <w:t>ا تقد</w:t>
      </w:r>
      <w:r w:rsidR="00E5013B" w:rsidRPr="00904FCB">
        <w:rPr>
          <w:rFonts w:hint="cs"/>
          <w:sz w:val="27"/>
          <w:rtl/>
          <w:lang w:bidi="ar-IQ"/>
        </w:rPr>
        <w:t>ّ</w:t>
      </w:r>
      <w:r w:rsidRPr="00904FCB">
        <w:rPr>
          <w:rFonts w:hint="cs"/>
          <w:sz w:val="27"/>
          <w:rtl/>
          <w:lang w:bidi="ar-IQ"/>
        </w:rPr>
        <w:t>م نلحظ أن المواجهة بين ال</w:t>
      </w:r>
      <w:r w:rsidR="00E5013B" w:rsidRPr="00904FCB">
        <w:rPr>
          <w:rFonts w:hint="cs"/>
          <w:sz w:val="27"/>
          <w:rtl/>
          <w:lang w:bidi="ar-IQ"/>
        </w:rPr>
        <w:t>أ</w:t>
      </w:r>
      <w:r w:rsidRPr="00904FCB">
        <w:rPr>
          <w:rFonts w:hint="cs"/>
          <w:sz w:val="27"/>
          <w:rtl/>
          <w:lang w:bidi="ar-IQ"/>
        </w:rPr>
        <w:t>صولية اليهودية و</w:t>
      </w:r>
      <w:r w:rsidR="00E5013B" w:rsidRPr="00904FCB">
        <w:rPr>
          <w:rFonts w:hint="cs"/>
          <w:sz w:val="27"/>
          <w:rtl/>
          <w:lang w:bidi="ar-IQ"/>
        </w:rPr>
        <w:t>ا</w:t>
      </w:r>
      <w:r w:rsidRPr="00904FCB">
        <w:rPr>
          <w:rFonts w:hint="cs"/>
          <w:sz w:val="27"/>
          <w:rtl/>
          <w:lang w:bidi="ar-IQ"/>
        </w:rPr>
        <w:t>ت</w:t>
      </w:r>
      <w:r w:rsidR="00E5013B" w:rsidRPr="00904FCB">
        <w:rPr>
          <w:rFonts w:hint="cs"/>
          <w:sz w:val="27"/>
          <w:rtl/>
          <w:lang w:bidi="ar-IQ"/>
        </w:rPr>
        <w:t>ّ</w:t>
      </w:r>
      <w:r w:rsidRPr="00904FCB">
        <w:rPr>
          <w:rFonts w:hint="cs"/>
          <w:sz w:val="27"/>
          <w:rtl/>
          <w:lang w:bidi="ar-IQ"/>
        </w:rPr>
        <w:t>جاهات الحداث</w:t>
      </w:r>
      <w:r w:rsidR="00E5013B" w:rsidRPr="00904FCB">
        <w:rPr>
          <w:rFonts w:hint="cs"/>
          <w:sz w:val="27"/>
          <w:rtl/>
          <w:lang w:bidi="ar-IQ"/>
        </w:rPr>
        <w:t>ة</w:t>
      </w:r>
      <w:r w:rsidRPr="00904FCB">
        <w:rPr>
          <w:rFonts w:hint="cs"/>
          <w:sz w:val="27"/>
          <w:rtl/>
          <w:lang w:bidi="ar-IQ"/>
        </w:rPr>
        <w:t xml:space="preserve"> (في القرنين الثامن عشر والتاسع عشر)</w:t>
      </w:r>
      <w:r w:rsidR="00E5013B" w:rsidRPr="00904FCB">
        <w:rPr>
          <w:rFonts w:hint="cs"/>
          <w:sz w:val="27"/>
          <w:rtl/>
          <w:lang w:bidi="ar-IQ"/>
        </w:rPr>
        <w:t>،</w:t>
      </w:r>
      <w:r w:rsidRPr="00904FCB">
        <w:rPr>
          <w:rFonts w:hint="cs"/>
          <w:sz w:val="27"/>
          <w:rtl/>
          <w:lang w:bidi="ar-IQ"/>
        </w:rPr>
        <w:t xml:space="preserve"> التي ظهرت فيها دعوات التسامح والمساواة</w:t>
      </w:r>
      <w:r w:rsidR="00E5013B" w:rsidRPr="00904FCB">
        <w:rPr>
          <w:rFonts w:hint="cs"/>
          <w:sz w:val="27"/>
          <w:rtl/>
          <w:lang w:bidi="ar-IQ"/>
        </w:rPr>
        <w:t xml:space="preserve">، </w:t>
      </w:r>
      <w:r w:rsidRPr="00904FCB">
        <w:rPr>
          <w:rFonts w:hint="cs"/>
          <w:sz w:val="27"/>
          <w:rtl/>
          <w:lang w:bidi="ar-IQ"/>
        </w:rPr>
        <w:t>كانت مواجهة حادة</w:t>
      </w:r>
      <w:r w:rsidR="00E5013B" w:rsidRPr="00904FCB">
        <w:rPr>
          <w:rFonts w:hint="cs"/>
          <w:sz w:val="27"/>
          <w:rtl/>
          <w:lang w:bidi="ar-IQ"/>
        </w:rPr>
        <w:t>؛</w:t>
      </w:r>
      <w:r w:rsidRPr="00904FCB">
        <w:rPr>
          <w:rFonts w:hint="cs"/>
          <w:sz w:val="27"/>
          <w:rtl/>
          <w:lang w:bidi="ar-IQ"/>
        </w:rPr>
        <w:t xml:space="preserve"> ل</w:t>
      </w:r>
      <w:r w:rsidR="00E5013B" w:rsidRPr="00904FCB">
        <w:rPr>
          <w:rFonts w:hint="cs"/>
          <w:sz w:val="27"/>
          <w:rtl/>
          <w:lang w:bidi="ar-IQ"/>
        </w:rPr>
        <w:t>أ</w:t>
      </w:r>
      <w:r w:rsidRPr="00904FCB">
        <w:rPr>
          <w:rFonts w:hint="cs"/>
          <w:sz w:val="27"/>
          <w:rtl/>
          <w:lang w:bidi="ar-IQ"/>
        </w:rPr>
        <w:t xml:space="preserve">ن الحداثة كانت تهدف </w:t>
      </w:r>
      <w:r w:rsidR="00E5013B" w:rsidRPr="00904FCB">
        <w:rPr>
          <w:rFonts w:hint="cs"/>
          <w:sz w:val="27"/>
          <w:rtl/>
          <w:lang w:bidi="ar-IQ"/>
        </w:rPr>
        <w:t>إ</w:t>
      </w:r>
      <w:r w:rsidRPr="00904FCB">
        <w:rPr>
          <w:rFonts w:hint="cs"/>
          <w:sz w:val="27"/>
          <w:rtl/>
          <w:lang w:bidi="ar-IQ"/>
        </w:rPr>
        <w:t xml:space="preserve">لى </w:t>
      </w:r>
      <w:r w:rsidR="00E5013B" w:rsidRPr="00904FCB">
        <w:rPr>
          <w:rFonts w:hint="cs"/>
          <w:sz w:val="27"/>
          <w:rtl/>
          <w:lang w:bidi="ar-IQ"/>
        </w:rPr>
        <w:t>إ</w:t>
      </w:r>
      <w:r w:rsidRPr="00904FCB">
        <w:rPr>
          <w:rFonts w:hint="cs"/>
          <w:sz w:val="27"/>
          <w:rtl/>
          <w:lang w:bidi="ar-IQ"/>
        </w:rPr>
        <w:t>خراج اليهود من الجيتو التاريخي (العزلة)</w:t>
      </w:r>
      <w:r w:rsidR="00E5013B" w:rsidRPr="00904FCB">
        <w:rPr>
          <w:rFonts w:hint="cs"/>
          <w:sz w:val="27"/>
          <w:rtl/>
          <w:lang w:bidi="ar-IQ"/>
        </w:rPr>
        <w:t>،</w:t>
      </w:r>
      <w:r w:rsidRPr="00904FCB">
        <w:rPr>
          <w:rFonts w:hint="cs"/>
          <w:sz w:val="27"/>
          <w:rtl/>
          <w:lang w:bidi="ar-IQ"/>
        </w:rPr>
        <w:t xml:space="preserve"> وتدعوهم </w:t>
      </w:r>
      <w:r w:rsidR="00E5013B" w:rsidRPr="00904FCB">
        <w:rPr>
          <w:rFonts w:hint="cs"/>
          <w:sz w:val="27"/>
          <w:rtl/>
          <w:lang w:bidi="ar-IQ"/>
        </w:rPr>
        <w:t>إ</w:t>
      </w:r>
      <w:r w:rsidRPr="00904FCB">
        <w:rPr>
          <w:rFonts w:hint="cs"/>
          <w:sz w:val="27"/>
          <w:rtl/>
          <w:lang w:bidi="ar-IQ"/>
        </w:rPr>
        <w:t>لى الاندماج بالمجتمعات ال</w:t>
      </w:r>
      <w:r w:rsidR="00E5013B" w:rsidRPr="00904FCB">
        <w:rPr>
          <w:rFonts w:hint="cs"/>
          <w:sz w:val="27"/>
          <w:rtl/>
          <w:lang w:bidi="ar-IQ"/>
        </w:rPr>
        <w:t>إ</w:t>
      </w:r>
      <w:r w:rsidRPr="00904FCB">
        <w:rPr>
          <w:rFonts w:hint="cs"/>
          <w:sz w:val="27"/>
          <w:rtl/>
          <w:lang w:bidi="ar-IQ"/>
        </w:rPr>
        <w:t>نسانية، لكن</w:t>
      </w:r>
      <w:r w:rsidR="00E5013B" w:rsidRPr="00904FCB">
        <w:rPr>
          <w:rFonts w:hint="cs"/>
          <w:sz w:val="27"/>
          <w:rtl/>
          <w:lang w:bidi="ar-IQ"/>
        </w:rPr>
        <w:t>ّ</w:t>
      </w:r>
      <w:r w:rsidRPr="00904FCB">
        <w:rPr>
          <w:rFonts w:hint="cs"/>
          <w:sz w:val="27"/>
          <w:rtl/>
          <w:lang w:bidi="ar-IQ"/>
        </w:rPr>
        <w:t>ها لم تؤث</w:t>
      </w:r>
      <w:r w:rsidR="00E5013B" w:rsidRPr="00904FCB">
        <w:rPr>
          <w:rFonts w:hint="cs"/>
          <w:sz w:val="27"/>
          <w:rtl/>
          <w:lang w:bidi="ar-IQ"/>
        </w:rPr>
        <w:t>ِّ</w:t>
      </w:r>
      <w:r w:rsidRPr="00904FCB">
        <w:rPr>
          <w:rFonts w:hint="cs"/>
          <w:sz w:val="27"/>
          <w:rtl/>
          <w:lang w:bidi="ar-IQ"/>
        </w:rPr>
        <w:t>ر فيهم</w:t>
      </w:r>
      <w:r w:rsidR="00E5013B" w:rsidRPr="00904FCB">
        <w:rPr>
          <w:rFonts w:hint="cs"/>
          <w:sz w:val="27"/>
          <w:rtl/>
          <w:lang w:bidi="ar-IQ"/>
        </w:rPr>
        <w:t>،</w:t>
      </w:r>
      <w:r w:rsidRPr="00904FCB">
        <w:rPr>
          <w:rFonts w:hint="cs"/>
          <w:sz w:val="27"/>
          <w:rtl/>
          <w:lang w:bidi="ar-IQ"/>
        </w:rPr>
        <w:t xml:space="preserve"> وبقي اليهود في عزلتهم</w:t>
      </w:r>
      <w:r w:rsidR="00E5013B" w:rsidRPr="00904FCB">
        <w:rPr>
          <w:rFonts w:hint="cs"/>
          <w:sz w:val="27"/>
          <w:rtl/>
          <w:lang w:bidi="ar-IQ"/>
        </w:rPr>
        <w:t>.</w:t>
      </w:r>
      <w:r w:rsidRPr="00904FCB">
        <w:rPr>
          <w:rFonts w:hint="cs"/>
          <w:sz w:val="27"/>
          <w:rtl/>
          <w:lang w:bidi="ar-IQ"/>
        </w:rPr>
        <w:t xml:space="preserve"> لقد صو</w:t>
      </w:r>
      <w:r w:rsidR="00E5013B" w:rsidRPr="00904FCB">
        <w:rPr>
          <w:rFonts w:hint="cs"/>
          <w:sz w:val="27"/>
          <w:rtl/>
          <w:lang w:bidi="ar-IQ"/>
        </w:rPr>
        <w:t>َّ</w:t>
      </w:r>
      <w:r w:rsidRPr="00904FCB">
        <w:rPr>
          <w:rFonts w:hint="cs"/>
          <w:sz w:val="27"/>
          <w:rtl/>
          <w:lang w:bidi="ar-IQ"/>
        </w:rPr>
        <w:t>ر ال</w:t>
      </w:r>
      <w:r w:rsidR="00E5013B" w:rsidRPr="00904FCB">
        <w:rPr>
          <w:rFonts w:hint="cs"/>
          <w:sz w:val="27"/>
          <w:rtl/>
          <w:lang w:bidi="ar-IQ"/>
        </w:rPr>
        <w:t>حا</w:t>
      </w:r>
      <w:r w:rsidRPr="00904FCB">
        <w:rPr>
          <w:rFonts w:hint="cs"/>
          <w:sz w:val="27"/>
          <w:rtl/>
          <w:lang w:bidi="ar-IQ"/>
        </w:rPr>
        <w:t>خامات تلك المواجهة بين هذين الاتجاهين أن</w:t>
      </w:r>
      <w:r w:rsidR="00E5013B" w:rsidRPr="00904FCB">
        <w:rPr>
          <w:rFonts w:hint="cs"/>
          <w:sz w:val="27"/>
          <w:rtl/>
          <w:lang w:bidi="ar-IQ"/>
        </w:rPr>
        <w:t>ّ</w:t>
      </w:r>
      <w:r w:rsidRPr="00904FCB">
        <w:rPr>
          <w:rFonts w:hint="cs"/>
          <w:sz w:val="27"/>
          <w:rtl/>
          <w:lang w:bidi="ar-IQ"/>
        </w:rPr>
        <w:t>ها مواجهة بين أم</w:t>
      </w:r>
      <w:r w:rsidR="00E5013B" w:rsidRPr="00904FCB">
        <w:rPr>
          <w:rFonts w:hint="cs"/>
          <w:sz w:val="27"/>
          <w:rtl/>
          <w:lang w:bidi="ar-IQ"/>
        </w:rPr>
        <w:t>ّ</w:t>
      </w:r>
      <w:r w:rsidRPr="00904FCB">
        <w:rPr>
          <w:rFonts w:hint="cs"/>
          <w:sz w:val="27"/>
          <w:rtl/>
          <w:lang w:bidi="ar-IQ"/>
        </w:rPr>
        <w:t>ة الله والجوييم، واعتبرت الأصولية هذه الرؤى التسامحية كارثة تؤد</w:t>
      </w:r>
      <w:r w:rsidR="00E5013B" w:rsidRPr="00904FCB">
        <w:rPr>
          <w:rFonts w:hint="cs"/>
          <w:sz w:val="27"/>
          <w:rtl/>
          <w:lang w:bidi="ar-IQ"/>
        </w:rPr>
        <w:t>ّ</w:t>
      </w:r>
      <w:r w:rsidRPr="00904FCB">
        <w:rPr>
          <w:rFonts w:hint="cs"/>
          <w:sz w:val="27"/>
          <w:rtl/>
          <w:lang w:bidi="ar-IQ"/>
        </w:rPr>
        <w:t xml:space="preserve">ي </w:t>
      </w:r>
      <w:r w:rsidR="00E5013B" w:rsidRPr="00904FCB">
        <w:rPr>
          <w:rFonts w:hint="cs"/>
          <w:sz w:val="27"/>
          <w:rtl/>
          <w:lang w:bidi="ar-IQ"/>
        </w:rPr>
        <w:t>إ</w:t>
      </w:r>
      <w:r w:rsidRPr="00904FCB">
        <w:rPr>
          <w:rFonts w:hint="cs"/>
          <w:sz w:val="27"/>
          <w:rtl/>
          <w:lang w:bidi="ar-IQ"/>
        </w:rPr>
        <w:t>لى فقدان الهوية اليهودية</w:t>
      </w:r>
      <w:r w:rsidR="00E5013B" w:rsidRPr="00904FCB">
        <w:rPr>
          <w:rFonts w:hint="cs"/>
          <w:sz w:val="27"/>
          <w:rtl/>
          <w:lang w:bidi="ar-IQ"/>
        </w:rPr>
        <w:t>.</w:t>
      </w:r>
      <w:r w:rsidRPr="00904FCB">
        <w:rPr>
          <w:rFonts w:hint="cs"/>
          <w:sz w:val="27"/>
          <w:rtl/>
          <w:lang w:bidi="ar-IQ"/>
        </w:rPr>
        <w:t xml:space="preserve"> وكان أهم المرو</w:t>
      </w:r>
      <w:r w:rsidR="009314BC">
        <w:rPr>
          <w:rFonts w:hint="cs"/>
          <w:sz w:val="27"/>
          <w:rtl/>
          <w:lang w:bidi="ar-IQ"/>
        </w:rPr>
        <w:t>ِّ</w:t>
      </w:r>
      <w:r w:rsidRPr="00904FCB">
        <w:rPr>
          <w:rFonts w:hint="cs"/>
          <w:sz w:val="27"/>
          <w:rtl/>
          <w:lang w:bidi="ar-IQ"/>
        </w:rPr>
        <w:t>جين لهذه التصورات حاخامات اليهود</w:t>
      </w:r>
      <w:r w:rsidRPr="00904FCB">
        <w:rPr>
          <w:rFonts w:hint="cs"/>
          <w:sz w:val="27"/>
          <w:vertAlign w:val="superscript"/>
          <w:rtl/>
          <w:lang w:bidi="ar-IQ"/>
        </w:rPr>
        <w:t>(</w:t>
      </w:r>
      <w:r w:rsidRPr="00904FCB">
        <w:rPr>
          <w:rStyle w:val="ac"/>
          <w:sz w:val="27"/>
          <w:rtl/>
          <w:lang w:bidi="ar-IQ"/>
        </w:rPr>
        <w:endnoteReference w:id="325"/>
      </w:r>
      <w:r w:rsidRPr="00904FCB">
        <w:rPr>
          <w:rFonts w:hint="cs"/>
          <w:sz w:val="27"/>
          <w:vertAlign w:val="superscript"/>
          <w:rtl/>
          <w:lang w:bidi="ar-IQ"/>
        </w:rPr>
        <w:t>)</w:t>
      </w:r>
      <w:r w:rsidR="00E5013B" w:rsidRPr="00904FCB">
        <w:rPr>
          <w:rFonts w:hint="cs"/>
          <w:sz w:val="27"/>
          <w:rtl/>
          <w:lang w:bidi="ar-IQ"/>
        </w:rPr>
        <w:t>.</w:t>
      </w:r>
      <w:r w:rsidRPr="00904FCB">
        <w:rPr>
          <w:rFonts w:hint="cs"/>
          <w:sz w:val="27"/>
          <w:rtl/>
          <w:lang w:bidi="ar-IQ"/>
        </w:rPr>
        <w:t xml:space="preserve"> لقد أعطاهم التنوير فرصة ل</w:t>
      </w:r>
      <w:r w:rsidR="00E5013B" w:rsidRPr="00904FCB">
        <w:rPr>
          <w:rFonts w:hint="cs"/>
          <w:sz w:val="27"/>
          <w:rtl/>
          <w:lang w:bidi="ar-IQ"/>
        </w:rPr>
        <w:t>ا</w:t>
      </w:r>
      <w:r w:rsidRPr="00904FCB">
        <w:rPr>
          <w:rFonts w:hint="cs"/>
          <w:sz w:val="27"/>
          <w:rtl/>
          <w:lang w:bidi="ar-IQ"/>
        </w:rPr>
        <w:t xml:space="preserve">سترداد الكرامة والمساواة بشرط </w:t>
      </w:r>
      <w:r w:rsidR="00E5013B" w:rsidRPr="00904FCB">
        <w:rPr>
          <w:rFonts w:hint="cs"/>
          <w:sz w:val="27"/>
          <w:rtl/>
          <w:lang w:bidi="ar-IQ"/>
        </w:rPr>
        <w:t>أ</w:t>
      </w:r>
      <w:r w:rsidRPr="00904FCB">
        <w:rPr>
          <w:rFonts w:hint="cs"/>
          <w:sz w:val="27"/>
          <w:rtl/>
          <w:lang w:bidi="ar-IQ"/>
        </w:rPr>
        <w:t>ن يتخل</w:t>
      </w:r>
      <w:r w:rsidR="00E5013B" w:rsidRPr="00904FCB">
        <w:rPr>
          <w:rFonts w:hint="cs"/>
          <w:sz w:val="27"/>
          <w:rtl/>
          <w:lang w:bidi="ar-IQ"/>
        </w:rPr>
        <w:t>ّ</w:t>
      </w:r>
      <w:r w:rsidRPr="00904FCB">
        <w:rPr>
          <w:rFonts w:hint="cs"/>
          <w:sz w:val="27"/>
          <w:rtl/>
          <w:lang w:bidi="ar-IQ"/>
        </w:rPr>
        <w:t xml:space="preserve">ى اليهودي عن </w:t>
      </w:r>
      <w:r w:rsidR="00E5013B" w:rsidRPr="00904FCB">
        <w:rPr>
          <w:rFonts w:hint="cs"/>
          <w:sz w:val="27"/>
          <w:rtl/>
          <w:lang w:bidi="ar-IQ"/>
        </w:rPr>
        <w:t>أ</w:t>
      </w:r>
      <w:r w:rsidRPr="00904FCB">
        <w:rPr>
          <w:rFonts w:hint="cs"/>
          <w:sz w:val="27"/>
          <w:rtl/>
          <w:lang w:bidi="ar-IQ"/>
        </w:rPr>
        <w:t>ن يكون مختلفاً، و</w:t>
      </w:r>
      <w:r w:rsidR="00E5013B" w:rsidRPr="00904FCB">
        <w:rPr>
          <w:rFonts w:hint="cs"/>
          <w:sz w:val="27"/>
          <w:rtl/>
          <w:lang w:bidi="ar-IQ"/>
        </w:rPr>
        <w:t>أ</w:t>
      </w:r>
      <w:r w:rsidRPr="00904FCB">
        <w:rPr>
          <w:rFonts w:hint="cs"/>
          <w:sz w:val="27"/>
          <w:rtl/>
          <w:lang w:bidi="ar-IQ"/>
        </w:rPr>
        <w:t>ن يشارك في القيم المدنية، لكن</w:t>
      </w:r>
      <w:r w:rsidR="00E5013B" w:rsidRPr="00904FCB">
        <w:rPr>
          <w:rFonts w:hint="cs"/>
          <w:sz w:val="27"/>
          <w:rtl/>
          <w:lang w:bidi="ar-IQ"/>
        </w:rPr>
        <w:t>ّ</w:t>
      </w:r>
      <w:r w:rsidRPr="00904FCB">
        <w:rPr>
          <w:rFonts w:hint="cs"/>
          <w:sz w:val="27"/>
          <w:rtl/>
          <w:lang w:bidi="ar-IQ"/>
        </w:rPr>
        <w:t xml:space="preserve"> الرابيون ال</w:t>
      </w:r>
      <w:r w:rsidR="00E5013B" w:rsidRPr="00904FCB">
        <w:rPr>
          <w:rFonts w:hint="cs"/>
          <w:sz w:val="27"/>
          <w:rtl/>
          <w:lang w:bidi="ar-IQ"/>
        </w:rPr>
        <w:t>أ</w:t>
      </w:r>
      <w:r w:rsidRPr="00904FCB">
        <w:rPr>
          <w:rFonts w:hint="cs"/>
          <w:sz w:val="27"/>
          <w:rtl/>
          <w:lang w:bidi="ar-IQ"/>
        </w:rPr>
        <w:t>رثوذكس عارضوه</w:t>
      </w:r>
      <w:r w:rsidR="00E5013B" w:rsidRPr="00904FCB">
        <w:rPr>
          <w:rFonts w:hint="cs"/>
          <w:sz w:val="27"/>
          <w:rtl/>
          <w:lang w:bidi="ar-IQ"/>
        </w:rPr>
        <w:t>،</w:t>
      </w:r>
      <w:r w:rsidRPr="00904FCB">
        <w:rPr>
          <w:rFonts w:hint="cs"/>
          <w:sz w:val="27"/>
          <w:rtl/>
          <w:lang w:bidi="ar-IQ"/>
        </w:rPr>
        <w:t xml:space="preserve"> وقالوا</w:t>
      </w:r>
      <w:r w:rsidR="00E5013B" w:rsidRPr="00904FCB">
        <w:rPr>
          <w:rFonts w:hint="cs"/>
          <w:sz w:val="27"/>
          <w:rtl/>
          <w:lang w:bidi="ar-IQ"/>
        </w:rPr>
        <w:t>:</w:t>
      </w:r>
      <w:r w:rsidRPr="00904FCB">
        <w:rPr>
          <w:rFonts w:hint="cs"/>
          <w:sz w:val="27"/>
          <w:rtl/>
          <w:lang w:bidi="ar-IQ"/>
        </w:rPr>
        <w:t xml:space="preserve"> </w:t>
      </w:r>
      <w:r w:rsidR="00E5013B" w:rsidRPr="00904FCB">
        <w:rPr>
          <w:rFonts w:hint="cs"/>
          <w:sz w:val="27"/>
          <w:rtl/>
          <w:lang w:bidi="ar-IQ"/>
        </w:rPr>
        <w:t>إ</w:t>
      </w:r>
      <w:r w:rsidRPr="00904FCB">
        <w:rPr>
          <w:rFonts w:hint="cs"/>
          <w:sz w:val="27"/>
          <w:rtl/>
          <w:lang w:bidi="ar-IQ"/>
        </w:rPr>
        <w:t>نهم تحم</w:t>
      </w:r>
      <w:r w:rsidR="00E5013B" w:rsidRPr="00904FCB">
        <w:rPr>
          <w:rFonts w:hint="cs"/>
          <w:sz w:val="27"/>
          <w:rtl/>
          <w:lang w:bidi="ar-IQ"/>
        </w:rPr>
        <w:t>ّ</w:t>
      </w:r>
      <w:r w:rsidRPr="00904FCB">
        <w:rPr>
          <w:rFonts w:hint="cs"/>
          <w:sz w:val="27"/>
          <w:rtl/>
          <w:lang w:bidi="ar-IQ"/>
        </w:rPr>
        <w:t>لوا المذابح والجيتوات لأنهم شعب الله المختار</w:t>
      </w:r>
      <w:r w:rsidR="00E5013B" w:rsidRPr="00904FCB">
        <w:rPr>
          <w:rFonts w:hint="cs"/>
          <w:sz w:val="27"/>
          <w:rtl/>
          <w:lang w:bidi="ar-IQ"/>
        </w:rPr>
        <w:t>،</w:t>
      </w:r>
      <w:r w:rsidRPr="00904FCB">
        <w:rPr>
          <w:rFonts w:hint="cs"/>
          <w:sz w:val="27"/>
          <w:rtl/>
          <w:lang w:bidi="ar-IQ"/>
        </w:rPr>
        <w:t xml:space="preserve"> فلم يتنازلوا عن الشعور بالتمي</w:t>
      </w:r>
      <w:r w:rsidR="00E5013B" w:rsidRPr="00904FCB">
        <w:rPr>
          <w:rFonts w:hint="cs"/>
          <w:sz w:val="27"/>
          <w:rtl/>
          <w:lang w:bidi="ar-IQ"/>
        </w:rPr>
        <w:t>ُّ</w:t>
      </w:r>
      <w:r w:rsidRPr="00904FCB">
        <w:rPr>
          <w:rFonts w:hint="cs"/>
          <w:sz w:val="27"/>
          <w:rtl/>
          <w:lang w:bidi="ar-IQ"/>
        </w:rPr>
        <w:t>ز</w:t>
      </w:r>
      <w:r w:rsidR="00E5013B" w:rsidRPr="00904FCB">
        <w:rPr>
          <w:rFonts w:hint="cs"/>
          <w:sz w:val="27"/>
          <w:rtl/>
          <w:lang w:bidi="ar-IQ"/>
        </w:rPr>
        <w:t>.</w:t>
      </w:r>
      <w:r w:rsidRPr="00904FCB">
        <w:rPr>
          <w:rFonts w:hint="cs"/>
          <w:sz w:val="27"/>
          <w:rtl/>
          <w:lang w:bidi="ar-IQ"/>
        </w:rPr>
        <w:t xml:space="preserve"> ولم تنظم العلاقة بين عموم اليهود والعالم في ممارسة الانتظار، والانعزال عن ال</w:t>
      </w:r>
      <w:r w:rsidR="00E5013B" w:rsidRPr="00904FCB">
        <w:rPr>
          <w:rFonts w:hint="cs"/>
          <w:sz w:val="27"/>
          <w:rtl/>
          <w:lang w:bidi="ar-IQ"/>
        </w:rPr>
        <w:t>أ</w:t>
      </w:r>
      <w:r w:rsidRPr="00904FCB">
        <w:rPr>
          <w:rFonts w:hint="cs"/>
          <w:sz w:val="27"/>
          <w:rtl/>
          <w:lang w:bidi="ar-IQ"/>
        </w:rPr>
        <w:t>مم لقبض مكامن المال</w:t>
      </w:r>
      <w:r w:rsidR="00E5013B" w:rsidRPr="00904FCB">
        <w:rPr>
          <w:rFonts w:hint="cs"/>
          <w:sz w:val="27"/>
          <w:rtl/>
          <w:lang w:bidi="ar-IQ"/>
        </w:rPr>
        <w:t>،</w:t>
      </w:r>
      <w:r w:rsidRPr="00904FCB">
        <w:rPr>
          <w:rFonts w:hint="cs"/>
          <w:sz w:val="27"/>
          <w:rtl/>
          <w:lang w:bidi="ar-IQ"/>
        </w:rPr>
        <w:t xml:space="preserve"> بظهور</w:t>
      </w:r>
      <w:r w:rsidR="00E5013B" w:rsidRPr="00904FCB">
        <w:rPr>
          <w:rFonts w:hint="cs"/>
          <w:sz w:val="27"/>
          <w:rtl/>
          <w:lang w:bidi="ar-IQ"/>
        </w:rPr>
        <w:t xml:space="preserve"> </w:t>
      </w:r>
      <w:r w:rsidRPr="00904FCB">
        <w:rPr>
          <w:rFonts w:hint="cs"/>
          <w:sz w:val="27"/>
          <w:rtl/>
          <w:lang w:bidi="ar-IQ"/>
        </w:rPr>
        <w:t>الحركة الصهيونية</w:t>
      </w:r>
      <w:r w:rsidR="00E5013B" w:rsidRPr="00904FCB">
        <w:rPr>
          <w:rFonts w:hint="cs"/>
          <w:sz w:val="27"/>
          <w:rtl/>
          <w:lang w:bidi="ar-IQ"/>
        </w:rPr>
        <w:t>،</w:t>
      </w:r>
      <w:r w:rsidRPr="00904FCB">
        <w:rPr>
          <w:rFonts w:hint="cs"/>
          <w:sz w:val="27"/>
          <w:rtl/>
          <w:lang w:bidi="ar-IQ"/>
        </w:rPr>
        <w:t xml:space="preserve"> التي جمعت </w:t>
      </w:r>
      <w:r w:rsidR="00E5013B" w:rsidRPr="00904FCB">
        <w:rPr>
          <w:rFonts w:hint="cs"/>
          <w:sz w:val="27"/>
          <w:rtl/>
          <w:lang w:bidi="ar-IQ"/>
        </w:rPr>
        <w:t>أ</w:t>
      </w:r>
      <w:r w:rsidRPr="00904FCB">
        <w:rPr>
          <w:rFonts w:hint="cs"/>
          <w:sz w:val="27"/>
          <w:rtl/>
          <w:lang w:bidi="ar-IQ"/>
        </w:rPr>
        <w:t>غلب اليهود في فلسطين</w:t>
      </w:r>
      <w:r w:rsidR="00E5013B" w:rsidRPr="00904FCB">
        <w:rPr>
          <w:rFonts w:hint="cs"/>
          <w:sz w:val="27"/>
          <w:rtl/>
          <w:lang w:bidi="ar-IQ"/>
        </w:rPr>
        <w:t>،</w:t>
      </w:r>
      <w:r w:rsidRPr="00904FCB">
        <w:rPr>
          <w:rFonts w:hint="cs"/>
          <w:sz w:val="27"/>
          <w:rtl/>
          <w:lang w:bidi="ar-IQ"/>
        </w:rPr>
        <w:t xml:space="preserve"> و</w:t>
      </w:r>
      <w:r w:rsidR="00E5013B" w:rsidRPr="00904FCB">
        <w:rPr>
          <w:rFonts w:hint="cs"/>
          <w:sz w:val="27"/>
          <w:rtl/>
          <w:lang w:bidi="ar-IQ"/>
        </w:rPr>
        <w:t>ا</w:t>
      </w:r>
      <w:r w:rsidRPr="00904FCB">
        <w:rPr>
          <w:rFonts w:hint="cs"/>
          <w:sz w:val="27"/>
          <w:rtl/>
          <w:lang w:bidi="ar-IQ"/>
        </w:rPr>
        <w:t>عتبرتها الجيتو الكوني الكبير الذي سيتوس</w:t>
      </w:r>
      <w:r w:rsidR="00E5013B" w:rsidRPr="00904FCB">
        <w:rPr>
          <w:rFonts w:hint="cs"/>
          <w:sz w:val="27"/>
          <w:rtl/>
          <w:lang w:bidi="ar-IQ"/>
        </w:rPr>
        <w:t>َّ</w:t>
      </w:r>
      <w:r w:rsidRPr="00904FCB">
        <w:rPr>
          <w:rFonts w:hint="cs"/>
          <w:sz w:val="27"/>
          <w:rtl/>
          <w:lang w:bidi="ar-IQ"/>
        </w:rPr>
        <w:t xml:space="preserve">ع من الفرات </w:t>
      </w:r>
      <w:r w:rsidR="00E5013B" w:rsidRPr="00904FCB">
        <w:rPr>
          <w:rFonts w:hint="cs"/>
          <w:sz w:val="27"/>
          <w:rtl/>
          <w:lang w:bidi="ar-IQ"/>
        </w:rPr>
        <w:t>إ</w:t>
      </w:r>
      <w:r w:rsidRPr="00904FCB">
        <w:rPr>
          <w:rFonts w:hint="cs"/>
          <w:sz w:val="27"/>
          <w:rtl/>
          <w:lang w:bidi="ar-IQ"/>
        </w:rPr>
        <w:t xml:space="preserve">لى النيل. </w:t>
      </w:r>
      <w:r w:rsidR="00070E6B" w:rsidRPr="00904FCB">
        <w:rPr>
          <w:rFonts w:hint="cs"/>
          <w:sz w:val="27"/>
          <w:rtl/>
          <w:lang w:bidi="ar-IQ"/>
        </w:rPr>
        <w:t xml:space="preserve">لقد </w:t>
      </w:r>
      <w:r w:rsidR="00E5013B" w:rsidRPr="00904FCB">
        <w:rPr>
          <w:rFonts w:hint="cs"/>
          <w:sz w:val="27"/>
          <w:rtl/>
          <w:lang w:bidi="ar-IQ"/>
        </w:rPr>
        <w:t>أ</w:t>
      </w:r>
      <w:r w:rsidRPr="00904FCB">
        <w:rPr>
          <w:rFonts w:hint="cs"/>
          <w:sz w:val="27"/>
          <w:rtl/>
          <w:lang w:bidi="ar-IQ"/>
        </w:rPr>
        <w:t>وجدت لهم دولة خاص</w:t>
      </w:r>
      <w:r w:rsidR="00E5013B" w:rsidRPr="00904FCB">
        <w:rPr>
          <w:rFonts w:hint="cs"/>
          <w:sz w:val="27"/>
          <w:rtl/>
          <w:lang w:bidi="ar-IQ"/>
        </w:rPr>
        <w:t>ّ</w:t>
      </w:r>
      <w:r w:rsidRPr="00904FCB">
        <w:rPr>
          <w:rFonts w:hint="cs"/>
          <w:sz w:val="27"/>
          <w:rtl/>
          <w:lang w:bidi="ar-IQ"/>
        </w:rPr>
        <w:t>ة بهم كما يزعمون</w:t>
      </w:r>
      <w:r w:rsidR="00E5013B" w:rsidRPr="00904FCB">
        <w:rPr>
          <w:rFonts w:hint="cs"/>
          <w:sz w:val="27"/>
          <w:rtl/>
          <w:lang w:bidi="ar-IQ"/>
        </w:rPr>
        <w:t>،</w:t>
      </w:r>
      <w:r w:rsidRPr="00904FCB">
        <w:rPr>
          <w:rFonts w:hint="cs"/>
          <w:sz w:val="27"/>
          <w:rtl/>
          <w:lang w:bidi="ar-IQ"/>
        </w:rPr>
        <w:t xml:space="preserve"> ونظمت لوبيات يهودية في أغلب دول الغرب</w:t>
      </w:r>
      <w:r w:rsidR="00070E6B" w:rsidRPr="00904FCB">
        <w:rPr>
          <w:rFonts w:hint="cs"/>
          <w:sz w:val="27"/>
          <w:rtl/>
          <w:lang w:bidi="ar-IQ"/>
        </w:rPr>
        <w:t>؛</w:t>
      </w:r>
      <w:r w:rsidRPr="00904FCB">
        <w:rPr>
          <w:rFonts w:hint="cs"/>
          <w:sz w:val="27"/>
          <w:rtl/>
          <w:lang w:bidi="ar-IQ"/>
        </w:rPr>
        <w:t xml:space="preserve"> للسيطرة على القرار الدولي ومؤس</w:t>
      </w:r>
      <w:r w:rsidR="00070E6B" w:rsidRPr="00904FCB">
        <w:rPr>
          <w:rFonts w:hint="cs"/>
          <w:sz w:val="27"/>
          <w:rtl/>
          <w:lang w:bidi="ar-IQ"/>
        </w:rPr>
        <w:t>ّ</w:t>
      </w:r>
      <w:r w:rsidRPr="00904FCB">
        <w:rPr>
          <w:rFonts w:hint="cs"/>
          <w:sz w:val="27"/>
          <w:rtl/>
          <w:lang w:bidi="ar-IQ"/>
        </w:rPr>
        <w:t>سات والمال وال</w:t>
      </w:r>
      <w:r w:rsidR="00070E6B" w:rsidRPr="00904FCB">
        <w:rPr>
          <w:rFonts w:hint="cs"/>
          <w:sz w:val="27"/>
          <w:rtl/>
          <w:lang w:bidi="ar-IQ"/>
        </w:rPr>
        <w:t>إ</w:t>
      </w:r>
      <w:r w:rsidRPr="00904FCB">
        <w:rPr>
          <w:rFonts w:hint="cs"/>
          <w:sz w:val="27"/>
          <w:rtl/>
          <w:lang w:bidi="ar-IQ"/>
        </w:rPr>
        <w:t>علام، وساهمت مساهمة فاعلة في تشجيع المسيحية ال</w:t>
      </w:r>
      <w:r w:rsidR="00070E6B" w:rsidRPr="00904FCB">
        <w:rPr>
          <w:rFonts w:hint="cs"/>
          <w:sz w:val="27"/>
          <w:rtl/>
          <w:lang w:bidi="ar-IQ"/>
        </w:rPr>
        <w:t>إ</w:t>
      </w:r>
      <w:r w:rsidRPr="00904FCB">
        <w:rPr>
          <w:rFonts w:hint="cs"/>
          <w:sz w:val="27"/>
          <w:rtl/>
          <w:lang w:bidi="ar-IQ"/>
        </w:rPr>
        <w:t>نجيلية</w:t>
      </w:r>
      <w:r w:rsidRPr="00904FCB">
        <w:rPr>
          <w:rFonts w:hint="cs"/>
          <w:sz w:val="27"/>
          <w:vertAlign w:val="superscript"/>
          <w:rtl/>
          <w:lang w:bidi="ar-IQ"/>
        </w:rPr>
        <w:t>(</w:t>
      </w:r>
      <w:r w:rsidRPr="00904FCB">
        <w:rPr>
          <w:sz w:val="27"/>
          <w:vertAlign w:val="superscript"/>
          <w:rtl/>
        </w:rPr>
        <w:endnoteReference w:id="326"/>
      </w:r>
      <w:r w:rsidRPr="00904FCB">
        <w:rPr>
          <w:rFonts w:hint="cs"/>
          <w:sz w:val="27"/>
          <w:vertAlign w:val="superscript"/>
          <w:rtl/>
          <w:lang w:bidi="ar-IQ"/>
        </w:rPr>
        <w:t>)</w:t>
      </w:r>
      <w:r w:rsidR="00070E6B" w:rsidRPr="00904FCB">
        <w:rPr>
          <w:rFonts w:hint="cs"/>
          <w:sz w:val="27"/>
          <w:rtl/>
          <w:lang w:bidi="ar-IQ"/>
        </w:rPr>
        <w:t>.</w:t>
      </w:r>
      <w:r w:rsidRPr="00904FCB">
        <w:rPr>
          <w:rFonts w:hint="cs"/>
          <w:sz w:val="27"/>
          <w:rtl/>
          <w:lang w:bidi="ar-IQ"/>
        </w:rPr>
        <w:t xml:space="preserve"> وتضم </w:t>
      </w:r>
      <w:r w:rsidR="00070E6B" w:rsidRPr="00904FCB">
        <w:rPr>
          <w:rFonts w:hint="cs"/>
          <w:sz w:val="27"/>
          <w:rtl/>
          <w:lang w:bidi="ar-IQ"/>
        </w:rPr>
        <w:t>إ</w:t>
      </w:r>
      <w:r w:rsidRPr="00904FCB">
        <w:rPr>
          <w:rFonts w:hint="cs"/>
          <w:sz w:val="27"/>
          <w:rtl/>
          <w:lang w:bidi="ar-IQ"/>
        </w:rPr>
        <w:t xml:space="preserve">سرائيل حالياً </w:t>
      </w:r>
      <w:r w:rsidR="00070E6B" w:rsidRPr="00904FCB">
        <w:rPr>
          <w:rFonts w:hint="cs"/>
          <w:sz w:val="27"/>
          <w:rtl/>
          <w:lang w:bidi="ar-IQ"/>
        </w:rPr>
        <w:t>أ</w:t>
      </w:r>
      <w:r w:rsidRPr="00904FCB">
        <w:rPr>
          <w:rFonts w:hint="cs"/>
          <w:sz w:val="27"/>
          <w:rtl/>
          <w:lang w:bidi="ar-IQ"/>
        </w:rPr>
        <w:t>غلب يهود العالم</w:t>
      </w:r>
      <w:r w:rsidR="00070E6B" w:rsidRPr="00904FCB">
        <w:rPr>
          <w:rFonts w:hint="cs"/>
          <w:sz w:val="27"/>
          <w:rtl/>
          <w:lang w:bidi="ar-IQ"/>
        </w:rPr>
        <w:t>.</w:t>
      </w:r>
      <w:r w:rsidRPr="00904FCB">
        <w:rPr>
          <w:rFonts w:hint="cs"/>
          <w:sz w:val="27"/>
          <w:rtl/>
          <w:lang w:bidi="ar-IQ"/>
        </w:rPr>
        <w:t xml:space="preserve"> وتعتبر صهيونية هرتزل صهيونية سياسية</w:t>
      </w:r>
      <w:r w:rsidR="00070E6B" w:rsidRPr="00904FCB">
        <w:rPr>
          <w:rFonts w:hint="cs"/>
          <w:sz w:val="27"/>
          <w:rtl/>
          <w:lang w:bidi="ar-IQ"/>
        </w:rPr>
        <w:t>؛</w:t>
      </w:r>
      <w:r w:rsidRPr="00904FCB">
        <w:rPr>
          <w:rFonts w:hint="cs"/>
          <w:sz w:val="27"/>
          <w:rtl/>
          <w:lang w:bidi="ar-IQ"/>
        </w:rPr>
        <w:t xml:space="preserve"> لأنها حو</w:t>
      </w:r>
      <w:r w:rsidR="009314BC">
        <w:rPr>
          <w:rFonts w:hint="cs"/>
          <w:sz w:val="27"/>
          <w:rtl/>
          <w:lang w:bidi="ar-IQ"/>
        </w:rPr>
        <w:t>َّ</w:t>
      </w:r>
      <w:r w:rsidRPr="00904FCB">
        <w:rPr>
          <w:rFonts w:hint="cs"/>
          <w:sz w:val="27"/>
          <w:rtl/>
          <w:lang w:bidi="ar-IQ"/>
        </w:rPr>
        <w:t xml:space="preserve">لت المشكلة اليهودية من صراع ديني </w:t>
      </w:r>
      <w:r w:rsidR="00070E6B" w:rsidRPr="00904FCB">
        <w:rPr>
          <w:rFonts w:hint="cs"/>
          <w:sz w:val="27"/>
          <w:rtl/>
          <w:lang w:bidi="ar-IQ"/>
        </w:rPr>
        <w:t>إ</w:t>
      </w:r>
      <w:r w:rsidRPr="00904FCB">
        <w:rPr>
          <w:rFonts w:hint="cs"/>
          <w:sz w:val="27"/>
          <w:rtl/>
          <w:lang w:bidi="ar-IQ"/>
        </w:rPr>
        <w:t>لى مشكلة سياسية ذات جذور دينية، وأوجدت حركه سياسية منظ</w:t>
      </w:r>
      <w:r w:rsidR="00070E6B" w:rsidRPr="00904FCB">
        <w:rPr>
          <w:rFonts w:hint="cs"/>
          <w:sz w:val="27"/>
          <w:rtl/>
          <w:lang w:bidi="ar-IQ"/>
        </w:rPr>
        <w:t>ّ</w:t>
      </w:r>
      <w:r w:rsidRPr="00904FCB">
        <w:rPr>
          <w:rFonts w:hint="cs"/>
          <w:sz w:val="27"/>
          <w:rtl/>
          <w:lang w:bidi="ar-IQ"/>
        </w:rPr>
        <w:t>مة</w:t>
      </w:r>
      <w:r w:rsidR="00070E6B" w:rsidRPr="00904FCB">
        <w:rPr>
          <w:rFonts w:hint="cs"/>
          <w:sz w:val="27"/>
          <w:rtl/>
          <w:lang w:bidi="ar-IQ"/>
        </w:rPr>
        <w:t>،</w:t>
      </w:r>
      <w:r w:rsidRPr="00904FCB">
        <w:rPr>
          <w:rFonts w:hint="cs"/>
          <w:sz w:val="27"/>
          <w:rtl/>
          <w:lang w:bidi="ar-IQ"/>
        </w:rPr>
        <w:t xml:space="preserve"> ومحد</w:t>
      </w:r>
      <w:r w:rsidR="00070E6B" w:rsidRPr="00904FCB">
        <w:rPr>
          <w:rFonts w:hint="cs"/>
          <w:sz w:val="27"/>
          <w:rtl/>
          <w:lang w:bidi="ar-IQ"/>
        </w:rPr>
        <w:t>ّد</w:t>
      </w:r>
      <w:r w:rsidRPr="00904FCB">
        <w:rPr>
          <w:rFonts w:hint="cs"/>
          <w:sz w:val="27"/>
          <w:rtl/>
          <w:lang w:bidi="ar-IQ"/>
        </w:rPr>
        <w:t>ة ال</w:t>
      </w:r>
      <w:r w:rsidR="00070E6B" w:rsidRPr="00904FCB">
        <w:rPr>
          <w:rFonts w:hint="cs"/>
          <w:sz w:val="27"/>
          <w:rtl/>
          <w:lang w:bidi="ar-IQ"/>
        </w:rPr>
        <w:t>أ</w:t>
      </w:r>
      <w:r w:rsidRPr="00904FCB">
        <w:rPr>
          <w:rFonts w:hint="cs"/>
          <w:sz w:val="27"/>
          <w:rtl/>
          <w:lang w:bidi="ar-IQ"/>
        </w:rPr>
        <w:t>هداف والوسائل، ثم</w:t>
      </w:r>
      <w:r w:rsidR="00070E6B" w:rsidRPr="00904FCB">
        <w:rPr>
          <w:rFonts w:hint="cs"/>
          <w:sz w:val="27"/>
          <w:rtl/>
          <w:lang w:bidi="ar-IQ"/>
        </w:rPr>
        <w:t>ّ</w:t>
      </w:r>
      <w:r w:rsidRPr="00904FCB">
        <w:rPr>
          <w:rFonts w:hint="cs"/>
          <w:sz w:val="27"/>
          <w:rtl/>
          <w:lang w:bidi="ar-IQ"/>
        </w:rPr>
        <w:t xml:space="preserve"> تحو</w:t>
      </w:r>
      <w:r w:rsidR="00070E6B" w:rsidRPr="00904FCB">
        <w:rPr>
          <w:rFonts w:hint="cs"/>
          <w:sz w:val="27"/>
          <w:rtl/>
          <w:lang w:bidi="ar-IQ"/>
        </w:rPr>
        <w:t>َّ</w:t>
      </w:r>
      <w:r w:rsidRPr="00904FCB">
        <w:rPr>
          <w:rFonts w:hint="cs"/>
          <w:sz w:val="27"/>
          <w:rtl/>
          <w:lang w:bidi="ar-IQ"/>
        </w:rPr>
        <w:t xml:space="preserve">لت الحركة الصهيونية </w:t>
      </w:r>
      <w:r w:rsidR="00070E6B" w:rsidRPr="00904FCB">
        <w:rPr>
          <w:rFonts w:hint="cs"/>
          <w:sz w:val="27"/>
          <w:rtl/>
          <w:lang w:bidi="ar-IQ"/>
        </w:rPr>
        <w:t>إ</w:t>
      </w:r>
      <w:r w:rsidRPr="00904FCB">
        <w:rPr>
          <w:rFonts w:hint="cs"/>
          <w:sz w:val="27"/>
          <w:rtl/>
          <w:lang w:bidi="ar-IQ"/>
        </w:rPr>
        <w:t xml:space="preserve">لى دولة تمتلك </w:t>
      </w:r>
      <w:r w:rsidR="00070E6B" w:rsidRPr="00904FCB">
        <w:rPr>
          <w:rFonts w:hint="cs"/>
          <w:sz w:val="27"/>
          <w:rtl/>
          <w:lang w:bidi="ar-IQ"/>
        </w:rPr>
        <w:t>أ</w:t>
      </w:r>
      <w:r w:rsidRPr="00904FCB">
        <w:rPr>
          <w:rFonts w:hint="cs"/>
          <w:sz w:val="27"/>
          <w:rtl/>
          <w:lang w:bidi="ar-IQ"/>
        </w:rPr>
        <w:t>سلحة الدمار الشامل</w:t>
      </w:r>
      <w:r w:rsidR="00070E6B" w:rsidRPr="00904FCB">
        <w:rPr>
          <w:rFonts w:hint="cs"/>
          <w:sz w:val="27"/>
          <w:rtl/>
          <w:lang w:bidi="ar-IQ"/>
        </w:rPr>
        <w:t>،</w:t>
      </w:r>
      <w:r w:rsidRPr="00904FCB">
        <w:rPr>
          <w:rFonts w:hint="cs"/>
          <w:sz w:val="27"/>
          <w:rtl/>
          <w:lang w:bidi="ar-IQ"/>
        </w:rPr>
        <w:t xml:space="preserve"> وكانت فلسفتها هي العقيدة الصهيونية و</w:t>
      </w:r>
      <w:r w:rsidR="00070E6B" w:rsidRPr="00904FCB">
        <w:rPr>
          <w:rFonts w:hint="cs"/>
          <w:sz w:val="27"/>
          <w:rtl/>
          <w:lang w:bidi="ar-IQ"/>
        </w:rPr>
        <w:t>أب</w:t>
      </w:r>
      <w:r w:rsidRPr="00904FCB">
        <w:rPr>
          <w:rFonts w:hint="cs"/>
          <w:sz w:val="27"/>
          <w:rtl/>
          <w:lang w:bidi="ar-IQ"/>
        </w:rPr>
        <w:t>عادها الدينية</w:t>
      </w:r>
      <w:r w:rsidR="00070E6B" w:rsidRPr="00904FCB">
        <w:rPr>
          <w:rFonts w:hint="cs"/>
          <w:sz w:val="27"/>
          <w:rtl/>
          <w:lang w:bidi="ar-IQ"/>
        </w:rPr>
        <w:t>،</w:t>
      </w:r>
      <w:r w:rsidRPr="00904FCB">
        <w:rPr>
          <w:rFonts w:hint="cs"/>
          <w:sz w:val="27"/>
          <w:rtl/>
          <w:lang w:bidi="ar-IQ"/>
        </w:rPr>
        <w:t xml:space="preserve"> كخلفية نظرية لهذه الحركة السياسية</w:t>
      </w:r>
      <w:r w:rsidR="00070E6B" w:rsidRPr="00904FCB">
        <w:rPr>
          <w:rFonts w:hint="cs"/>
          <w:sz w:val="27"/>
          <w:rtl/>
          <w:lang w:bidi="ar-IQ"/>
        </w:rPr>
        <w:t>.</w:t>
      </w:r>
      <w:r w:rsidRPr="00904FCB">
        <w:rPr>
          <w:rFonts w:hint="cs"/>
          <w:sz w:val="27"/>
          <w:rtl/>
          <w:lang w:bidi="ar-IQ"/>
        </w:rPr>
        <w:t xml:space="preserve"> لذلك يجد الباحثون أن </w:t>
      </w:r>
      <w:r w:rsidRPr="00904FCB">
        <w:rPr>
          <w:rFonts w:hint="eastAsia"/>
          <w:sz w:val="27"/>
          <w:rtl/>
        </w:rPr>
        <w:t>«</w:t>
      </w:r>
      <w:r w:rsidRPr="00904FCB">
        <w:rPr>
          <w:rFonts w:hint="cs"/>
          <w:sz w:val="27"/>
          <w:rtl/>
          <w:lang w:bidi="ar-IQ"/>
        </w:rPr>
        <w:t>دولة الكيان الصهيوني</w:t>
      </w:r>
      <w:r w:rsidRPr="00904FCB">
        <w:rPr>
          <w:rFonts w:hint="eastAsia"/>
          <w:sz w:val="27"/>
          <w:rtl/>
        </w:rPr>
        <w:t>»</w:t>
      </w:r>
      <w:r w:rsidRPr="00904FCB">
        <w:rPr>
          <w:rFonts w:hint="cs"/>
          <w:sz w:val="27"/>
          <w:rtl/>
          <w:lang w:bidi="ar-IQ"/>
        </w:rPr>
        <w:t xml:space="preserve"> في فلسطين مثال</w:t>
      </w:r>
      <w:r w:rsidR="00070E6B" w:rsidRPr="00904FCB">
        <w:rPr>
          <w:rFonts w:hint="cs"/>
          <w:sz w:val="27"/>
          <w:rtl/>
          <w:lang w:bidi="ar-IQ"/>
        </w:rPr>
        <w:t>ٌ</w:t>
      </w:r>
      <w:r w:rsidRPr="00904FCB">
        <w:rPr>
          <w:rFonts w:hint="cs"/>
          <w:sz w:val="27"/>
          <w:rtl/>
          <w:lang w:bidi="ar-IQ"/>
        </w:rPr>
        <w:t xml:space="preserve"> حي</w:t>
      </w:r>
      <w:r w:rsidR="00070E6B" w:rsidRPr="00904FCB">
        <w:rPr>
          <w:rFonts w:hint="cs"/>
          <w:sz w:val="27"/>
          <w:rtl/>
          <w:lang w:bidi="ar-IQ"/>
        </w:rPr>
        <w:t>ّ</w:t>
      </w:r>
      <w:r w:rsidRPr="00904FCB">
        <w:rPr>
          <w:rFonts w:hint="cs"/>
          <w:sz w:val="27"/>
          <w:rtl/>
          <w:lang w:bidi="ar-IQ"/>
        </w:rPr>
        <w:t xml:space="preserve"> لممارسة الدولة اليهودية للسلوكيات الأصولية بكل</w:t>
      </w:r>
      <w:r w:rsidR="00070E6B" w:rsidRPr="00904FCB">
        <w:rPr>
          <w:rFonts w:hint="cs"/>
          <w:sz w:val="27"/>
          <w:rtl/>
          <w:lang w:bidi="ar-IQ"/>
        </w:rPr>
        <w:t>ّ</w:t>
      </w:r>
      <w:r w:rsidRPr="00904FCB">
        <w:rPr>
          <w:rFonts w:hint="cs"/>
          <w:sz w:val="27"/>
          <w:rtl/>
          <w:lang w:bidi="ar-IQ"/>
        </w:rPr>
        <w:t xml:space="preserve"> تداعياتها وتحد</w:t>
      </w:r>
      <w:r w:rsidR="00070E6B" w:rsidRPr="00904FCB">
        <w:rPr>
          <w:rFonts w:hint="cs"/>
          <w:sz w:val="27"/>
          <w:rtl/>
          <w:lang w:bidi="ar-IQ"/>
        </w:rPr>
        <w:t>ّ</w:t>
      </w:r>
      <w:r w:rsidRPr="00904FCB">
        <w:rPr>
          <w:rFonts w:hint="cs"/>
          <w:sz w:val="27"/>
          <w:rtl/>
          <w:lang w:bidi="ar-IQ"/>
        </w:rPr>
        <w:t>ياتها المحل</w:t>
      </w:r>
      <w:r w:rsidR="00070E6B" w:rsidRPr="00904FCB">
        <w:rPr>
          <w:rFonts w:hint="cs"/>
          <w:sz w:val="27"/>
          <w:rtl/>
          <w:lang w:bidi="ar-IQ"/>
        </w:rPr>
        <w:t>ّ</w:t>
      </w:r>
      <w:r w:rsidRPr="00904FCB">
        <w:rPr>
          <w:rFonts w:hint="cs"/>
          <w:sz w:val="27"/>
          <w:rtl/>
          <w:lang w:bidi="ar-IQ"/>
        </w:rPr>
        <w:t>ية وال</w:t>
      </w:r>
      <w:r w:rsidR="00070E6B" w:rsidRPr="00904FCB">
        <w:rPr>
          <w:rFonts w:hint="cs"/>
          <w:sz w:val="27"/>
          <w:rtl/>
          <w:lang w:bidi="ar-IQ"/>
        </w:rPr>
        <w:t>إ</w:t>
      </w:r>
      <w:r w:rsidRPr="00904FCB">
        <w:rPr>
          <w:rFonts w:hint="cs"/>
          <w:sz w:val="27"/>
          <w:rtl/>
          <w:lang w:bidi="ar-IQ"/>
        </w:rPr>
        <w:t>قليمية والعالمية</w:t>
      </w:r>
      <w:r w:rsidR="00070E6B" w:rsidRPr="00904FCB">
        <w:rPr>
          <w:rFonts w:hint="cs"/>
          <w:sz w:val="27"/>
          <w:rtl/>
          <w:lang w:bidi="ar-IQ"/>
        </w:rPr>
        <w:t>.</w:t>
      </w:r>
      <w:r w:rsidRPr="00904FCB">
        <w:rPr>
          <w:rFonts w:hint="cs"/>
          <w:sz w:val="27"/>
          <w:rtl/>
          <w:lang w:bidi="ar-IQ"/>
        </w:rPr>
        <w:t xml:space="preserve"> ومن أخطر </w:t>
      </w:r>
      <w:r w:rsidR="00070E6B" w:rsidRPr="00904FCB">
        <w:rPr>
          <w:rFonts w:hint="cs"/>
          <w:sz w:val="27"/>
          <w:rtl/>
          <w:lang w:bidi="ar-IQ"/>
        </w:rPr>
        <w:t>أ</w:t>
      </w:r>
      <w:r w:rsidRPr="00904FCB">
        <w:rPr>
          <w:rFonts w:hint="cs"/>
          <w:sz w:val="27"/>
          <w:rtl/>
          <w:lang w:bidi="ar-IQ"/>
        </w:rPr>
        <w:t>سس تلك التحد</w:t>
      </w:r>
      <w:r w:rsidR="00070E6B" w:rsidRPr="00904FCB">
        <w:rPr>
          <w:rFonts w:hint="cs"/>
          <w:sz w:val="27"/>
          <w:rtl/>
          <w:lang w:bidi="ar-IQ"/>
        </w:rPr>
        <w:t>ّ</w:t>
      </w:r>
      <w:r w:rsidRPr="00904FCB">
        <w:rPr>
          <w:rFonts w:hint="cs"/>
          <w:sz w:val="27"/>
          <w:rtl/>
          <w:lang w:bidi="ar-IQ"/>
        </w:rPr>
        <w:t>يات الربط بين الدين والقومية ل</w:t>
      </w:r>
      <w:r w:rsidR="00070E6B" w:rsidRPr="00904FCB">
        <w:rPr>
          <w:rFonts w:hint="cs"/>
          <w:sz w:val="27"/>
          <w:rtl/>
          <w:lang w:bidi="ar-IQ"/>
        </w:rPr>
        <w:t>إ</w:t>
      </w:r>
      <w:r w:rsidRPr="00904FCB">
        <w:rPr>
          <w:rFonts w:hint="cs"/>
          <w:sz w:val="27"/>
          <w:rtl/>
          <w:lang w:bidi="ar-IQ"/>
        </w:rPr>
        <w:t>نتاج أصولية مرك</w:t>
      </w:r>
      <w:r w:rsidR="00070E6B" w:rsidRPr="00904FCB">
        <w:rPr>
          <w:rFonts w:hint="cs"/>
          <w:sz w:val="27"/>
          <w:rtl/>
          <w:lang w:bidi="ar-IQ"/>
        </w:rPr>
        <w:t>ّ</w:t>
      </w:r>
      <w:r w:rsidRPr="00904FCB">
        <w:rPr>
          <w:rFonts w:hint="cs"/>
          <w:sz w:val="27"/>
          <w:rtl/>
          <w:lang w:bidi="ar-IQ"/>
        </w:rPr>
        <w:t>بة تسم</w:t>
      </w:r>
      <w:r w:rsidR="00070E6B" w:rsidRPr="00904FCB">
        <w:rPr>
          <w:rFonts w:hint="cs"/>
          <w:sz w:val="27"/>
          <w:rtl/>
          <w:lang w:bidi="ar-IQ"/>
        </w:rPr>
        <w:t>ّى أمة الله المختارة، التي تش</w:t>
      </w:r>
      <w:r w:rsidRPr="00904FCB">
        <w:rPr>
          <w:rFonts w:hint="cs"/>
          <w:sz w:val="27"/>
          <w:rtl/>
          <w:lang w:bidi="ar-IQ"/>
        </w:rPr>
        <w:t>ر</w:t>
      </w:r>
      <w:r w:rsidR="00070E6B" w:rsidRPr="00904FCB">
        <w:rPr>
          <w:rFonts w:hint="cs"/>
          <w:sz w:val="27"/>
          <w:rtl/>
          <w:lang w:bidi="ar-IQ"/>
        </w:rPr>
        <w:t>ِّ</w:t>
      </w:r>
      <w:r w:rsidRPr="00904FCB">
        <w:rPr>
          <w:rFonts w:hint="cs"/>
          <w:sz w:val="27"/>
          <w:rtl/>
          <w:lang w:bidi="ar-IQ"/>
        </w:rPr>
        <w:t>ع لهم هدر القيمة ال</w:t>
      </w:r>
      <w:r w:rsidR="00070E6B" w:rsidRPr="00904FCB">
        <w:rPr>
          <w:rFonts w:hint="cs"/>
          <w:sz w:val="27"/>
          <w:rtl/>
          <w:lang w:bidi="ar-IQ"/>
        </w:rPr>
        <w:t>إ</w:t>
      </w:r>
      <w:r w:rsidRPr="00904FCB">
        <w:rPr>
          <w:rFonts w:hint="cs"/>
          <w:sz w:val="27"/>
          <w:rtl/>
          <w:lang w:bidi="ar-IQ"/>
        </w:rPr>
        <w:t>نسانية</w:t>
      </w:r>
      <w:r w:rsidR="00070E6B" w:rsidRPr="00904FCB">
        <w:rPr>
          <w:rFonts w:hint="cs"/>
          <w:sz w:val="27"/>
          <w:rtl/>
          <w:lang w:bidi="ar-IQ"/>
        </w:rPr>
        <w:t>،</w:t>
      </w:r>
      <w:r w:rsidRPr="00904FCB">
        <w:rPr>
          <w:rFonts w:hint="cs"/>
          <w:sz w:val="27"/>
          <w:rtl/>
          <w:lang w:bidi="ar-IQ"/>
        </w:rPr>
        <w:t xml:space="preserve"> والسيطرة على ثروات الشعوب</w:t>
      </w:r>
      <w:r w:rsidR="00070E6B" w:rsidRPr="00904FCB">
        <w:rPr>
          <w:rFonts w:hint="cs"/>
          <w:sz w:val="27"/>
          <w:rtl/>
          <w:lang w:bidi="ar-IQ"/>
        </w:rPr>
        <w:t>،</w:t>
      </w:r>
      <w:r w:rsidRPr="00904FCB">
        <w:rPr>
          <w:rFonts w:hint="cs"/>
          <w:sz w:val="27"/>
          <w:rtl/>
          <w:lang w:bidi="ar-IQ"/>
        </w:rPr>
        <w:t xml:space="preserve"> وال</w:t>
      </w:r>
      <w:r w:rsidR="00070E6B" w:rsidRPr="00904FCB">
        <w:rPr>
          <w:rFonts w:hint="cs"/>
          <w:sz w:val="27"/>
          <w:rtl/>
          <w:lang w:bidi="ar-IQ"/>
        </w:rPr>
        <w:t>ا</w:t>
      </w:r>
      <w:r w:rsidRPr="00904FCB">
        <w:rPr>
          <w:rFonts w:hint="cs"/>
          <w:sz w:val="27"/>
          <w:rtl/>
          <w:lang w:bidi="ar-IQ"/>
        </w:rPr>
        <w:t>ستمرار بتهديد ال</w:t>
      </w:r>
      <w:r w:rsidR="00070E6B" w:rsidRPr="00904FCB">
        <w:rPr>
          <w:rFonts w:hint="cs"/>
          <w:sz w:val="27"/>
          <w:rtl/>
          <w:lang w:bidi="ar-IQ"/>
        </w:rPr>
        <w:t>أ</w:t>
      </w:r>
      <w:r w:rsidRPr="00904FCB">
        <w:rPr>
          <w:rFonts w:hint="cs"/>
          <w:sz w:val="27"/>
          <w:rtl/>
          <w:lang w:bidi="ar-IQ"/>
        </w:rPr>
        <w:t xml:space="preserve">من والسلم العالمي، وعدم </w:t>
      </w:r>
      <w:r w:rsidRPr="00904FCB">
        <w:rPr>
          <w:rFonts w:hint="cs"/>
          <w:sz w:val="27"/>
          <w:rtl/>
          <w:lang w:bidi="ar-IQ"/>
        </w:rPr>
        <w:lastRenderedPageBreak/>
        <w:t>التعاون مع ال</w:t>
      </w:r>
      <w:r w:rsidR="00070E6B" w:rsidRPr="00904FCB">
        <w:rPr>
          <w:rFonts w:hint="cs"/>
          <w:sz w:val="27"/>
          <w:rtl/>
          <w:lang w:bidi="ar-IQ"/>
        </w:rPr>
        <w:t>أ</w:t>
      </w:r>
      <w:r w:rsidRPr="00904FCB">
        <w:rPr>
          <w:rFonts w:hint="cs"/>
          <w:sz w:val="27"/>
          <w:rtl/>
          <w:lang w:bidi="ar-IQ"/>
        </w:rPr>
        <w:t>مم</w:t>
      </w:r>
      <w:r w:rsidR="00070E6B" w:rsidRPr="00904FCB">
        <w:rPr>
          <w:rFonts w:hint="cs"/>
          <w:sz w:val="27"/>
          <w:rtl/>
          <w:lang w:bidi="ar-IQ"/>
        </w:rPr>
        <w:t>؛</w:t>
      </w:r>
      <w:r w:rsidRPr="00904FCB">
        <w:rPr>
          <w:rFonts w:hint="cs"/>
          <w:sz w:val="27"/>
          <w:rtl/>
          <w:lang w:bidi="ar-IQ"/>
        </w:rPr>
        <w:t xml:space="preserve"> </w:t>
      </w:r>
      <w:r w:rsidR="00070E6B" w:rsidRPr="00904FCB">
        <w:rPr>
          <w:rFonts w:hint="cs"/>
          <w:sz w:val="27"/>
          <w:rtl/>
          <w:lang w:bidi="ar-IQ"/>
        </w:rPr>
        <w:t>إ</w:t>
      </w:r>
      <w:r w:rsidRPr="00904FCB">
        <w:rPr>
          <w:rFonts w:hint="cs"/>
          <w:sz w:val="27"/>
          <w:rtl/>
          <w:lang w:bidi="ar-IQ"/>
        </w:rPr>
        <w:t>ذ ير</w:t>
      </w:r>
      <w:r w:rsidR="00070E6B" w:rsidRPr="00904FCB">
        <w:rPr>
          <w:rFonts w:hint="cs"/>
          <w:sz w:val="27"/>
          <w:rtl/>
          <w:lang w:bidi="ar-IQ"/>
        </w:rPr>
        <w:t>َ</w:t>
      </w:r>
      <w:r w:rsidRPr="00904FCB">
        <w:rPr>
          <w:rFonts w:hint="cs"/>
          <w:sz w:val="27"/>
          <w:rtl/>
          <w:lang w:bidi="ar-IQ"/>
        </w:rPr>
        <w:t>و</w:t>
      </w:r>
      <w:r w:rsidR="00070E6B" w:rsidRPr="00904FCB">
        <w:rPr>
          <w:rFonts w:hint="cs"/>
          <w:sz w:val="27"/>
          <w:rtl/>
          <w:lang w:bidi="ar-IQ"/>
        </w:rPr>
        <w:t>ْ</w:t>
      </w:r>
      <w:r w:rsidRPr="00904FCB">
        <w:rPr>
          <w:rFonts w:hint="cs"/>
          <w:sz w:val="27"/>
          <w:rtl/>
          <w:lang w:bidi="ar-IQ"/>
        </w:rPr>
        <w:t>ن أن</w:t>
      </w:r>
      <w:r w:rsidR="00070E6B" w:rsidRPr="00904FCB">
        <w:rPr>
          <w:rFonts w:hint="cs"/>
          <w:sz w:val="27"/>
          <w:rtl/>
          <w:lang w:bidi="ar-IQ"/>
        </w:rPr>
        <w:t>ّ</w:t>
      </w:r>
      <w:r w:rsidRPr="00904FCB">
        <w:rPr>
          <w:rFonts w:hint="cs"/>
          <w:sz w:val="27"/>
          <w:rtl/>
          <w:lang w:bidi="ar-IQ"/>
        </w:rPr>
        <w:t>ه لا</w:t>
      </w:r>
      <w:r w:rsidR="00070E6B" w:rsidRPr="00904FCB">
        <w:rPr>
          <w:rFonts w:hint="cs"/>
          <w:sz w:val="27"/>
          <w:rtl/>
          <w:lang w:bidi="ar-IQ"/>
        </w:rPr>
        <w:t xml:space="preserve"> </w:t>
      </w:r>
      <w:r w:rsidRPr="00904FCB">
        <w:rPr>
          <w:rFonts w:hint="cs"/>
          <w:sz w:val="27"/>
          <w:rtl/>
          <w:lang w:bidi="ar-IQ"/>
        </w:rPr>
        <w:t>ب</w:t>
      </w:r>
      <w:r w:rsidR="00070E6B" w:rsidRPr="00904FCB">
        <w:rPr>
          <w:rFonts w:hint="cs"/>
          <w:sz w:val="27"/>
          <w:rtl/>
          <w:lang w:bidi="ar-IQ"/>
        </w:rPr>
        <w:t>ُ</w:t>
      </w:r>
      <w:r w:rsidRPr="00904FCB">
        <w:rPr>
          <w:rFonts w:hint="cs"/>
          <w:sz w:val="27"/>
          <w:rtl/>
          <w:lang w:bidi="ar-IQ"/>
        </w:rPr>
        <w:t>د</w:t>
      </w:r>
      <w:r w:rsidR="00070E6B" w:rsidRPr="00904FCB">
        <w:rPr>
          <w:rFonts w:hint="cs"/>
          <w:sz w:val="27"/>
          <w:rtl/>
          <w:lang w:bidi="ar-IQ"/>
        </w:rPr>
        <w:t>َّ</w:t>
      </w:r>
      <w:r w:rsidRPr="00904FCB">
        <w:rPr>
          <w:rFonts w:hint="cs"/>
          <w:sz w:val="27"/>
          <w:rtl/>
          <w:lang w:bidi="ar-IQ"/>
        </w:rPr>
        <w:t xml:space="preserve"> من الانكفاء على الذات</w:t>
      </w:r>
      <w:r w:rsidR="00070E6B" w:rsidRPr="00904FCB">
        <w:rPr>
          <w:rFonts w:hint="cs"/>
          <w:sz w:val="27"/>
          <w:rtl/>
          <w:lang w:bidi="ar-IQ"/>
        </w:rPr>
        <w:t>؛</w:t>
      </w:r>
      <w:r w:rsidRPr="00904FCB">
        <w:rPr>
          <w:rFonts w:hint="cs"/>
          <w:sz w:val="27"/>
          <w:rtl/>
          <w:lang w:bidi="ar-IQ"/>
        </w:rPr>
        <w:t xml:space="preserve"> للحفاظ على النقاء العرقي</w:t>
      </w:r>
      <w:r w:rsidR="00070E6B" w:rsidRPr="00904FCB">
        <w:rPr>
          <w:rFonts w:hint="cs"/>
          <w:sz w:val="27"/>
          <w:rtl/>
          <w:lang w:bidi="ar-IQ"/>
        </w:rPr>
        <w:t>،</w:t>
      </w:r>
      <w:r w:rsidRPr="00904FCB">
        <w:rPr>
          <w:rFonts w:hint="cs"/>
          <w:sz w:val="27"/>
          <w:rtl/>
          <w:lang w:bidi="ar-IQ"/>
        </w:rPr>
        <w:t xml:space="preserve"> وقطع الطريق نهائياً أمام فكرة قبول الآخر، حت</w:t>
      </w:r>
      <w:r w:rsidR="00070E6B" w:rsidRPr="00904FCB">
        <w:rPr>
          <w:rFonts w:hint="cs"/>
          <w:sz w:val="27"/>
          <w:rtl/>
          <w:lang w:bidi="ar-IQ"/>
        </w:rPr>
        <w:t>ّ</w:t>
      </w:r>
      <w:r w:rsidRPr="00904FCB">
        <w:rPr>
          <w:rFonts w:hint="cs"/>
          <w:sz w:val="27"/>
          <w:rtl/>
          <w:lang w:bidi="ar-IQ"/>
        </w:rPr>
        <w:t xml:space="preserve">ى أن العلمانيين اليهود داخل </w:t>
      </w:r>
      <w:r w:rsidR="00070E6B" w:rsidRPr="00904FCB">
        <w:rPr>
          <w:rFonts w:hint="cs"/>
          <w:sz w:val="27"/>
          <w:rtl/>
          <w:lang w:bidi="ar-IQ"/>
        </w:rPr>
        <w:t>إ</w:t>
      </w:r>
      <w:r w:rsidRPr="00904FCB">
        <w:rPr>
          <w:rFonts w:hint="cs"/>
          <w:sz w:val="27"/>
          <w:rtl/>
          <w:lang w:bidi="ar-IQ"/>
        </w:rPr>
        <w:t>سرائيل لم يتخل</w:t>
      </w:r>
      <w:r w:rsidR="00070E6B" w:rsidRPr="00904FCB">
        <w:rPr>
          <w:rFonts w:hint="cs"/>
          <w:sz w:val="27"/>
          <w:rtl/>
          <w:lang w:bidi="ar-IQ"/>
        </w:rPr>
        <w:t>ّ</w:t>
      </w:r>
      <w:r w:rsidRPr="00904FCB">
        <w:rPr>
          <w:rFonts w:hint="cs"/>
          <w:sz w:val="27"/>
          <w:rtl/>
          <w:lang w:bidi="ar-IQ"/>
        </w:rPr>
        <w:t>و</w:t>
      </w:r>
      <w:r w:rsidR="002B0FE9" w:rsidRPr="00904FCB">
        <w:rPr>
          <w:rFonts w:hint="cs"/>
          <w:sz w:val="27"/>
          <w:rtl/>
          <w:lang w:bidi="ar-IQ"/>
        </w:rPr>
        <w:t>ا عن هذه التصو</w:t>
      </w:r>
      <w:r w:rsidR="00070E6B" w:rsidRPr="00904FCB">
        <w:rPr>
          <w:rFonts w:hint="cs"/>
          <w:sz w:val="27"/>
          <w:rtl/>
          <w:lang w:bidi="ar-IQ"/>
        </w:rPr>
        <w:t>ُّ</w:t>
      </w:r>
      <w:r w:rsidR="002B0FE9" w:rsidRPr="00904FCB">
        <w:rPr>
          <w:rFonts w:hint="cs"/>
          <w:sz w:val="27"/>
          <w:rtl/>
          <w:lang w:bidi="ar-IQ"/>
        </w:rPr>
        <w:t>رات رغم علماني</w:t>
      </w:r>
      <w:r w:rsidR="00070E6B" w:rsidRPr="00904FCB">
        <w:rPr>
          <w:rFonts w:hint="cs"/>
          <w:sz w:val="27"/>
          <w:rtl/>
          <w:lang w:bidi="ar-IQ"/>
        </w:rPr>
        <w:t>ّ</w:t>
      </w:r>
      <w:r w:rsidR="002B0FE9" w:rsidRPr="00904FCB">
        <w:rPr>
          <w:rFonts w:hint="cs"/>
          <w:sz w:val="27"/>
          <w:rtl/>
          <w:lang w:bidi="ar-IQ"/>
        </w:rPr>
        <w:t>تهم</w:t>
      </w:r>
      <w:r w:rsidRPr="00904FCB">
        <w:rPr>
          <w:rFonts w:hint="cs"/>
          <w:sz w:val="27"/>
          <w:vertAlign w:val="superscript"/>
          <w:rtl/>
          <w:lang w:bidi="ar-IQ"/>
        </w:rPr>
        <w:t>(</w:t>
      </w:r>
      <w:r w:rsidRPr="00904FCB">
        <w:rPr>
          <w:sz w:val="27"/>
          <w:vertAlign w:val="superscript"/>
          <w:rtl/>
        </w:rPr>
        <w:endnoteReference w:id="327"/>
      </w:r>
      <w:r w:rsidRPr="00904FCB">
        <w:rPr>
          <w:rFonts w:hint="cs"/>
          <w:sz w:val="27"/>
          <w:vertAlign w:val="superscript"/>
          <w:rtl/>
          <w:lang w:bidi="ar-IQ"/>
        </w:rPr>
        <w:t>)</w:t>
      </w:r>
      <w:r w:rsidRPr="00904FCB">
        <w:rPr>
          <w:rFonts w:hint="cs"/>
          <w:sz w:val="27"/>
          <w:rtl/>
          <w:lang w:bidi="ar-IQ"/>
        </w:rPr>
        <w:t xml:space="preserve">. </w:t>
      </w:r>
    </w:p>
    <w:p w:rsidR="00952E59" w:rsidRPr="00904FCB" w:rsidRDefault="00952E59" w:rsidP="007A21AA">
      <w:pPr>
        <w:spacing w:line="400" w:lineRule="exact"/>
        <w:rPr>
          <w:sz w:val="27"/>
          <w:rtl/>
          <w:lang w:bidi="ar-IQ"/>
        </w:rPr>
      </w:pPr>
      <w:r w:rsidRPr="00904FCB">
        <w:rPr>
          <w:rFonts w:hint="cs"/>
          <w:sz w:val="27"/>
          <w:rtl/>
          <w:lang w:bidi="ar-IQ"/>
        </w:rPr>
        <w:t xml:space="preserve">يقول لوستيك: </w:t>
      </w:r>
      <w:r w:rsidR="00070E6B" w:rsidRPr="00904FCB">
        <w:rPr>
          <w:rFonts w:hint="cs"/>
          <w:sz w:val="27"/>
          <w:rtl/>
          <w:lang w:bidi="ar-IQ"/>
        </w:rPr>
        <w:t>إ</w:t>
      </w:r>
      <w:r w:rsidRPr="00904FCB">
        <w:rPr>
          <w:rFonts w:hint="cs"/>
          <w:sz w:val="27"/>
          <w:rtl/>
          <w:lang w:bidi="ar-IQ"/>
        </w:rPr>
        <w:t>ن الخطر الرئيس الذي تتعر</w:t>
      </w:r>
      <w:r w:rsidR="00070E6B" w:rsidRPr="00904FCB">
        <w:rPr>
          <w:rFonts w:hint="cs"/>
          <w:sz w:val="27"/>
          <w:rtl/>
          <w:lang w:bidi="ar-IQ"/>
        </w:rPr>
        <w:t>ّ</w:t>
      </w:r>
      <w:r w:rsidRPr="00904FCB">
        <w:rPr>
          <w:rFonts w:hint="cs"/>
          <w:sz w:val="27"/>
          <w:rtl/>
          <w:lang w:bidi="ar-IQ"/>
        </w:rPr>
        <w:t>ض له الديمقراطية ال</w:t>
      </w:r>
      <w:r w:rsidR="00070E6B" w:rsidRPr="00904FCB">
        <w:rPr>
          <w:rFonts w:hint="cs"/>
          <w:sz w:val="27"/>
          <w:rtl/>
          <w:lang w:bidi="ar-IQ"/>
        </w:rPr>
        <w:t>إ</w:t>
      </w:r>
      <w:r w:rsidRPr="00904FCB">
        <w:rPr>
          <w:rFonts w:hint="cs"/>
          <w:sz w:val="27"/>
          <w:rtl/>
          <w:lang w:bidi="ar-IQ"/>
        </w:rPr>
        <w:t>سرائيلية يكمن في الاتجاهات المتعص</w:t>
      </w:r>
      <w:r w:rsidR="00070E6B" w:rsidRPr="00904FCB">
        <w:rPr>
          <w:rFonts w:hint="cs"/>
          <w:sz w:val="27"/>
          <w:rtl/>
          <w:lang w:bidi="ar-IQ"/>
        </w:rPr>
        <w:t>ّ</w:t>
      </w:r>
      <w:r w:rsidRPr="00904FCB">
        <w:rPr>
          <w:rFonts w:hint="cs"/>
          <w:sz w:val="27"/>
          <w:rtl/>
          <w:lang w:bidi="ar-IQ"/>
        </w:rPr>
        <w:t>ب</w:t>
      </w:r>
      <w:r w:rsidR="00070E6B" w:rsidRPr="00904FCB">
        <w:rPr>
          <w:rFonts w:hint="cs"/>
          <w:sz w:val="27"/>
          <w:rtl/>
          <w:lang w:bidi="ar-IQ"/>
        </w:rPr>
        <w:t>ة</w:t>
      </w:r>
      <w:r w:rsidRPr="00904FCB">
        <w:rPr>
          <w:rFonts w:hint="cs"/>
          <w:sz w:val="27"/>
          <w:rtl/>
          <w:lang w:bidi="ar-IQ"/>
        </w:rPr>
        <w:t xml:space="preserve"> المتمس</w:t>
      </w:r>
      <w:r w:rsidR="00070E6B" w:rsidRPr="00904FCB">
        <w:rPr>
          <w:rFonts w:hint="cs"/>
          <w:sz w:val="27"/>
          <w:rtl/>
          <w:lang w:bidi="ar-IQ"/>
        </w:rPr>
        <w:t>ّ</w:t>
      </w:r>
      <w:r w:rsidRPr="00904FCB">
        <w:rPr>
          <w:rFonts w:hint="cs"/>
          <w:sz w:val="27"/>
          <w:rtl/>
          <w:lang w:bidi="ar-IQ"/>
        </w:rPr>
        <w:t>كة بحرفي</w:t>
      </w:r>
      <w:r w:rsidR="00070E6B" w:rsidRPr="00904FCB">
        <w:rPr>
          <w:rFonts w:hint="cs"/>
          <w:sz w:val="27"/>
          <w:rtl/>
          <w:lang w:bidi="ar-IQ"/>
        </w:rPr>
        <w:t>ّ</w:t>
      </w:r>
      <w:r w:rsidRPr="00904FCB">
        <w:rPr>
          <w:rFonts w:hint="cs"/>
          <w:sz w:val="27"/>
          <w:rtl/>
          <w:lang w:bidi="ar-IQ"/>
        </w:rPr>
        <w:t>ة النصوص</w:t>
      </w:r>
      <w:r w:rsidR="00070E6B" w:rsidRPr="00904FCB">
        <w:rPr>
          <w:rFonts w:hint="cs"/>
          <w:sz w:val="27"/>
          <w:rtl/>
          <w:lang w:bidi="ar-IQ"/>
        </w:rPr>
        <w:t>،</w:t>
      </w:r>
      <w:r w:rsidRPr="00904FCB">
        <w:rPr>
          <w:rFonts w:hint="cs"/>
          <w:sz w:val="27"/>
          <w:rtl/>
          <w:lang w:bidi="ar-IQ"/>
        </w:rPr>
        <w:t xml:space="preserve"> دون إعمال العقل أو تطوير الفكر الديني اليهودي</w:t>
      </w:r>
      <w:r w:rsidR="00070E6B" w:rsidRPr="00904FCB">
        <w:rPr>
          <w:rFonts w:hint="cs"/>
          <w:sz w:val="27"/>
          <w:rtl/>
          <w:lang w:bidi="ar-IQ"/>
        </w:rPr>
        <w:t>،</w:t>
      </w:r>
      <w:r w:rsidRPr="00904FCB">
        <w:rPr>
          <w:rFonts w:hint="cs"/>
          <w:sz w:val="27"/>
          <w:rtl/>
          <w:lang w:bidi="ar-IQ"/>
        </w:rPr>
        <w:t xml:space="preserve"> وتكييف النصوص لصالح التقد</w:t>
      </w:r>
      <w:r w:rsidR="00070E6B" w:rsidRPr="00904FCB">
        <w:rPr>
          <w:rFonts w:hint="cs"/>
          <w:sz w:val="27"/>
          <w:rtl/>
          <w:lang w:bidi="ar-IQ"/>
        </w:rPr>
        <w:t>ُّ</w:t>
      </w:r>
      <w:r w:rsidRPr="00904FCB">
        <w:rPr>
          <w:rFonts w:hint="cs"/>
          <w:sz w:val="27"/>
          <w:rtl/>
          <w:lang w:bidi="ar-IQ"/>
        </w:rPr>
        <w:t>م</w:t>
      </w:r>
      <w:r w:rsidRPr="00904FCB">
        <w:rPr>
          <w:rFonts w:hint="cs"/>
          <w:sz w:val="27"/>
          <w:vertAlign w:val="superscript"/>
          <w:rtl/>
          <w:lang w:bidi="ar-IQ"/>
        </w:rPr>
        <w:t>(</w:t>
      </w:r>
      <w:r w:rsidRPr="00904FCB">
        <w:rPr>
          <w:sz w:val="27"/>
          <w:vertAlign w:val="superscript"/>
          <w:rtl/>
        </w:rPr>
        <w:endnoteReference w:id="328"/>
      </w:r>
      <w:r w:rsidRPr="00904FCB">
        <w:rPr>
          <w:rFonts w:hint="cs"/>
          <w:sz w:val="27"/>
          <w:vertAlign w:val="superscript"/>
          <w:rtl/>
          <w:lang w:bidi="ar-IQ"/>
        </w:rPr>
        <w:t>)</w:t>
      </w:r>
      <w:r w:rsidR="00070E6B" w:rsidRPr="00904FCB">
        <w:rPr>
          <w:rFonts w:hint="cs"/>
          <w:sz w:val="27"/>
          <w:rtl/>
          <w:lang w:bidi="ar-IQ"/>
        </w:rPr>
        <w:t>.</w:t>
      </w:r>
      <w:r w:rsidRPr="00904FCB">
        <w:rPr>
          <w:rFonts w:hint="cs"/>
          <w:sz w:val="27"/>
          <w:rtl/>
          <w:lang w:bidi="ar-IQ"/>
        </w:rPr>
        <w:t xml:space="preserve"> ومن تداعياته ظهور جماعات </w:t>
      </w:r>
      <w:r w:rsidR="00070E6B" w:rsidRPr="00904FCB">
        <w:rPr>
          <w:rFonts w:hint="cs"/>
          <w:sz w:val="27"/>
          <w:rtl/>
          <w:lang w:bidi="ar-IQ"/>
        </w:rPr>
        <w:t>أ</w:t>
      </w:r>
      <w:r w:rsidRPr="00904FCB">
        <w:rPr>
          <w:rFonts w:hint="cs"/>
          <w:sz w:val="27"/>
          <w:rtl/>
          <w:lang w:bidi="ar-IQ"/>
        </w:rPr>
        <w:t>صولية شديدة التطر</w:t>
      </w:r>
      <w:r w:rsidR="00070E6B" w:rsidRPr="00904FCB">
        <w:rPr>
          <w:rFonts w:hint="cs"/>
          <w:sz w:val="27"/>
          <w:rtl/>
          <w:lang w:bidi="ar-IQ"/>
        </w:rPr>
        <w:t>ُّ</w:t>
      </w:r>
      <w:r w:rsidRPr="00904FCB">
        <w:rPr>
          <w:rFonts w:hint="cs"/>
          <w:sz w:val="27"/>
          <w:rtl/>
          <w:lang w:bidi="ar-IQ"/>
        </w:rPr>
        <w:t>ف</w:t>
      </w:r>
      <w:r w:rsidR="00070E6B" w:rsidRPr="00904FCB">
        <w:rPr>
          <w:rFonts w:hint="cs"/>
          <w:sz w:val="27"/>
          <w:rtl/>
          <w:lang w:bidi="ar-IQ"/>
        </w:rPr>
        <w:t>،</w:t>
      </w:r>
      <w:r w:rsidRPr="00904FCB">
        <w:rPr>
          <w:rFonts w:hint="cs"/>
          <w:sz w:val="27"/>
          <w:rtl/>
          <w:lang w:bidi="ar-IQ"/>
        </w:rPr>
        <w:t xml:space="preserve"> مثل</w:t>
      </w:r>
      <w:r w:rsidR="00070E6B" w:rsidRPr="00904FCB">
        <w:rPr>
          <w:rFonts w:hint="cs"/>
          <w:sz w:val="27"/>
          <w:rtl/>
          <w:lang w:bidi="ar-IQ"/>
        </w:rPr>
        <w:t>:</w:t>
      </w:r>
      <w:r w:rsidRPr="00904FCB">
        <w:rPr>
          <w:rFonts w:hint="cs"/>
          <w:sz w:val="27"/>
          <w:rtl/>
          <w:lang w:bidi="ar-IQ"/>
        </w:rPr>
        <w:t xml:space="preserve"> جماعة (</w:t>
      </w:r>
      <w:r w:rsidR="00070E6B" w:rsidRPr="00904FCB">
        <w:rPr>
          <w:rFonts w:hint="cs"/>
          <w:sz w:val="27"/>
          <w:rtl/>
          <w:lang w:bidi="ar-IQ"/>
        </w:rPr>
        <w:t>إ</w:t>
      </w:r>
      <w:r w:rsidRPr="00904FCB">
        <w:rPr>
          <w:rFonts w:hint="cs"/>
          <w:sz w:val="27"/>
          <w:rtl/>
          <w:lang w:bidi="ar-IQ"/>
        </w:rPr>
        <w:t>عودات) و(ينطوري كارتا) و(الحسيدي</w:t>
      </w:r>
      <w:r w:rsidR="00070E6B" w:rsidRPr="00904FCB">
        <w:rPr>
          <w:rFonts w:hint="cs"/>
          <w:sz w:val="27"/>
          <w:rtl/>
          <w:lang w:bidi="ar-IQ"/>
        </w:rPr>
        <w:t>ة</w:t>
      </w:r>
      <w:r w:rsidRPr="00904FCB">
        <w:rPr>
          <w:rFonts w:hint="cs"/>
          <w:sz w:val="27"/>
          <w:rtl/>
          <w:lang w:bidi="ar-IQ"/>
        </w:rPr>
        <w:t xml:space="preserve">) و(غوش </w:t>
      </w:r>
      <w:r w:rsidR="00070E6B" w:rsidRPr="00904FCB">
        <w:rPr>
          <w:rFonts w:hint="cs"/>
          <w:sz w:val="27"/>
          <w:rtl/>
          <w:lang w:bidi="ar-IQ"/>
        </w:rPr>
        <w:t>إ</w:t>
      </w:r>
      <w:r w:rsidRPr="00904FCB">
        <w:rPr>
          <w:rFonts w:hint="cs"/>
          <w:sz w:val="27"/>
          <w:rtl/>
          <w:lang w:bidi="ar-IQ"/>
        </w:rPr>
        <w:t>يمونيم)</w:t>
      </w:r>
      <w:r w:rsidRPr="00904FCB">
        <w:rPr>
          <w:rFonts w:hint="cs"/>
          <w:sz w:val="27"/>
          <w:vertAlign w:val="superscript"/>
          <w:rtl/>
          <w:lang w:bidi="ar-IQ"/>
        </w:rPr>
        <w:t>(</w:t>
      </w:r>
      <w:r w:rsidRPr="00904FCB">
        <w:rPr>
          <w:sz w:val="27"/>
          <w:vertAlign w:val="superscript"/>
          <w:rtl/>
        </w:rPr>
        <w:endnoteReference w:id="329"/>
      </w:r>
      <w:r w:rsidRPr="00904FCB">
        <w:rPr>
          <w:rFonts w:hint="cs"/>
          <w:sz w:val="27"/>
          <w:vertAlign w:val="superscript"/>
          <w:rtl/>
          <w:lang w:bidi="ar-IQ"/>
        </w:rPr>
        <w:t>)</w:t>
      </w:r>
      <w:r w:rsidRPr="00904FCB">
        <w:rPr>
          <w:rFonts w:hint="cs"/>
          <w:sz w:val="27"/>
          <w:rtl/>
          <w:lang w:bidi="ar-IQ"/>
        </w:rPr>
        <w:t xml:space="preserve">. </w:t>
      </w:r>
    </w:p>
    <w:p w:rsidR="00952E59" w:rsidRPr="00904FCB" w:rsidRDefault="00952E59" w:rsidP="007A21AA">
      <w:pPr>
        <w:spacing w:line="400" w:lineRule="exact"/>
        <w:rPr>
          <w:rtl/>
          <w:lang w:bidi="ar-IQ"/>
        </w:rPr>
      </w:pPr>
      <w:r w:rsidRPr="00904FCB">
        <w:rPr>
          <w:rFonts w:hint="cs"/>
          <w:rtl/>
          <w:lang w:bidi="ar-IQ"/>
        </w:rPr>
        <w:t>لقد أفرز الفكر ال</w:t>
      </w:r>
      <w:r w:rsidR="00070E6B" w:rsidRPr="00904FCB">
        <w:rPr>
          <w:rFonts w:hint="cs"/>
          <w:rtl/>
          <w:lang w:bidi="ar-IQ"/>
        </w:rPr>
        <w:t>أ</w:t>
      </w:r>
      <w:r w:rsidRPr="00904FCB">
        <w:rPr>
          <w:rFonts w:hint="cs"/>
          <w:rtl/>
          <w:lang w:bidi="ar-IQ"/>
        </w:rPr>
        <w:t>صولي اليهودي مجموعة من الوصايا السياسية الدينية</w:t>
      </w:r>
      <w:r w:rsidR="00070E6B" w:rsidRPr="00904FCB">
        <w:rPr>
          <w:rFonts w:hint="cs"/>
          <w:rtl/>
          <w:lang w:bidi="ar-IQ"/>
        </w:rPr>
        <w:t>،</w:t>
      </w:r>
      <w:r w:rsidRPr="00904FCB">
        <w:rPr>
          <w:rFonts w:hint="cs"/>
          <w:rtl/>
          <w:lang w:bidi="ar-IQ"/>
        </w:rPr>
        <w:t xml:space="preserve"> ذات الأثر المهم</w:t>
      </w:r>
      <w:r w:rsidR="00070E6B" w:rsidRPr="00904FCB">
        <w:rPr>
          <w:rFonts w:hint="cs"/>
          <w:rtl/>
          <w:lang w:bidi="ar-IQ"/>
        </w:rPr>
        <w:t>ّ</w:t>
      </w:r>
      <w:r w:rsidRPr="00904FCB">
        <w:rPr>
          <w:rFonts w:hint="cs"/>
          <w:rtl/>
          <w:lang w:bidi="ar-IQ"/>
        </w:rPr>
        <w:t xml:space="preserve"> على السياسات العالمية</w:t>
      </w:r>
      <w:r w:rsidR="00070E6B" w:rsidRPr="00904FCB">
        <w:rPr>
          <w:rFonts w:hint="cs"/>
          <w:rtl/>
          <w:lang w:bidi="ar-IQ"/>
        </w:rPr>
        <w:t>.</w:t>
      </w:r>
      <w:r w:rsidRPr="00904FCB">
        <w:rPr>
          <w:rFonts w:hint="cs"/>
          <w:rtl/>
          <w:lang w:bidi="ar-IQ"/>
        </w:rPr>
        <w:t xml:space="preserve"> وأبرز تلك الوصايا: </w:t>
      </w:r>
    </w:p>
    <w:p w:rsidR="00952E59" w:rsidRPr="00904FCB" w:rsidRDefault="00952E59" w:rsidP="007A21AA">
      <w:pPr>
        <w:spacing w:line="400" w:lineRule="exact"/>
        <w:rPr>
          <w:lang w:bidi="ar-IQ"/>
        </w:rPr>
      </w:pPr>
      <w:r w:rsidRPr="002F5255">
        <w:rPr>
          <w:rFonts w:hint="cs"/>
          <w:rtl/>
          <w:lang w:bidi="ar-IQ"/>
        </w:rPr>
        <w:t xml:space="preserve">1ـ </w:t>
      </w:r>
      <w:r w:rsidR="00070E6B" w:rsidRPr="002F5255">
        <w:rPr>
          <w:rFonts w:hint="cs"/>
          <w:rtl/>
          <w:lang w:bidi="ar-IQ"/>
        </w:rPr>
        <w:t>إ</w:t>
      </w:r>
      <w:r w:rsidRPr="002F5255">
        <w:rPr>
          <w:rFonts w:hint="cs"/>
          <w:rtl/>
          <w:lang w:bidi="ar-IQ"/>
        </w:rPr>
        <w:t xml:space="preserve">ن تحقيق مصلحة </w:t>
      </w:r>
      <w:r w:rsidR="00070E6B" w:rsidRPr="002F5255">
        <w:rPr>
          <w:rFonts w:hint="cs"/>
          <w:rtl/>
          <w:lang w:bidi="ar-IQ"/>
        </w:rPr>
        <w:t>إ</w:t>
      </w:r>
      <w:r w:rsidRPr="002F5255">
        <w:rPr>
          <w:rFonts w:hint="cs"/>
          <w:rtl/>
          <w:lang w:bidi="ar-IQ"/>
        </w:rPr>
        <w:t xml:space="preserve">سرائيل واجب ديني، وليست هناك </w:t>
      </w:r>
      <w:r w:rsidR="00070E6B" w:rsidRPr="002F5255">
        <w:rPr>
          <w:rFonts w:hint="cs"/>
          <w:rtl/>
          <w:lang w:bidi="ar-IQ"/>
        </w:rPr>
        <w:t>ا</w:t>
      </w:r>
      <w:r w:rsidRPr="002F5255">
        <w:rPr>
          <w:rFonts w:hint="cs"/>
          <w:rtl/>
          <w:lang w:bidi="ar-IQ"/>
        </w:rPr>
        <w:t>ستحقاقات تعارض</w:t>
      </w:r>
      <w:r w:rsidRPr="00904FCB">
        <w:rPr>
          <w:rFonts w:hint="cs"/>
          <w:rtl/>
          <w:lang w:bidi="ar-IQ"/>
        </w:rPr>
        <w:t xml:space="preserve"> هذه المصلحة المقد</w:t>
      </w:r>
      <w:r w:rsidR="00070E6B" w:rsidRPr="00904FCB">
        <w:rPr>
          <w:rFonts w:hint="cs"/>
          <w:rtl/>
          <w:lang w:bidi="ar-IQ"/>
        </w:rPr>
        <w:t>ّ</w:t>
      </w:r>
      <w:r w:rsidRPr="00904FCB">
        <w:rPr>
          <w:rFonts w:hint="cs"/>
          <w:rtl/>
          <w:lang w:bidi="ar-IQ"/>
        </w:rPr>
        <w:t>سة للآخرين في فلسطين</w:t>
      </w:r>
      <w:r w:rsidR="00070E6B" w:rsidRPr="00904FCB">
        <w:rPr>
          <w:rFonts w:hint="cs"/>
          <w:rtl/>
          <w:lang w:bidi="ar-IQ"/>
        </w:rPr>
        <w:t>؛</w:t>
      </w:r>
      <w:r w:rsidRPr="00904FCB">
        <w:rPr>
          <w:rFonts w:hint="cs"/>
          <w:rtl/>
          <w:lang w:bidi="ar-IQ"/>
        </w:rPr>
        <w:t xml:space="preserve"> لأن سكانها كف</w:t>
      </w:r>
      <w:r w:rsidR="00070E6B" w:rsidRPr="00904FCB">
        <w:rPr>
          <w:rFonts w:hint="cs"/>
          <w:rtl/>
          <w:lang w:bidi="ar-IQ"/>
        </w:rPr>
        <w:t>ّ</w:t>
      </w:r>
      <w:r w:rsidRPr="00904FCB">
        <w:rPr>
          <w:rFonts w:hint="cs"/>
          <w:rtl/>
          <w:lang w:bidi="ar-IQ"/>
        </w:rPr>
        <w:t>ار</w:t>
      </w:r>
      <w:r w:rsidR="00070E6B" w:rsidRPr="00904FCB">
        <w:rPr>
          <w:rFonts w:hint="cs"/>
          <w:rtl/>
          <w:lang w:bidi="ar-IQ"/>
        </w:rPr>
        <w:t>،</w:t>
      </w:r>
      <w:r w:rsidRPr="00904FCB">
        <w:rPr>
          <w:rFonts w:hint="cs"/>
          <w:rtl/>
          <w:lang w:bidi="ar-IQ"/>
        </w:rPr>
        <w:t xml:space="preserve"> ويستحقون القتل والإبادة</w:t>
      </w:r>
      <w:r w:rsidR="00070E6B" w:rsidRPr="00904FCB">
        <w:rPr>
          <w:rFonts w:hint="cs"/>
          <w:rtl/>
          <w:lang w:bidi="ar-IQ"/>
        </w:rPr>
        <w:t>.</w:t>
      </w:r>
      <w:r w:rsidRPr="00904FCB">
        <w:rPr>
          <w:rFonts w:hint="cs"/>
          <w:rtl/>
          <w:lang w:bidi="ar-IQ"/>
        </w:rPr>
        <w:t xml:space="preserve"> و</w:t>
      </w:r>
      <w:r w:rsidR="00070E6B" w:rsidRPr="00904FCB">
        <w:rPr>
          <w:rFonts w:hint="cs"/>
          <w:rtl/>
          <w:lang w:bidi="ar-IQ"/>
        </w:rPr>
        <w:t>هذا يجعل كل توراتيّي العالم صفّ</w:t>
      </w:r>
      <w:r w:rsidRPr="00904FCB">
        <w:rPr>
          <w:rFonts w:hint="cs"/>
          <w:rtl/>
          <w:lang w:bidi="ar-IQ"/>
        </w:rPr>
        <w:t>ا</w:t>
      </w:r>
      <w:r w:rsidR="00070E6B" w:rsidRPr="00904FCB">
        <w:rPr>
          <w:rFonts w:hint="cs"/>
          <w:rtl/>
          <w:lang w:bidi="ar-IQ"/>
        </w:rPr>
        <w:t>ً</w:t>
      </w:r>
      <w:r w:rsidRPr="00904FCB">
        <w:rPr>
          <w:rFonts w:hint="cs"/>
          <w:rtl/>
          <w:lang w:bidi="ar-IQ"/>
        </w:rPr>
        <w:t xml:space="preserve"> لمساندة </w:t>
      </w:r>
      <w:r w:rsidR="00070E6B" w:rsidRPr="00904FCB">
        <w:rPr>
          <w:rFonts w:hint="cs"/>
          <w:rtl/>
          <w:lang w:bidi="ar-IQ"/>
        </w:rPr>
        <w:t>إسرائيل بوصفها واجب</w:t>
      </w:r>
      <w:r w:rsidRPr="00904FCB">
        <w:rPr>
          <w:rFonts w:hint="cs"/>
          <w:rtl/>
          <w:lang w:bidi="ar-IQ"/>
        </w:rPr>
        <w:t>ا</w:t>
      </w:r>
      <w:r w:rsidR="00070E6B" w:rsidRPr="00904FCB">
        <w:rPr>
          <w:rFonts w:hint="cs"/>
          <w:rtl/>
          <w:lang w:bidi="ar-IQ"/>
        </w:rPr>
        <w:t>ً ديني</w:t>
      </w:r>
      <w:r w:rsidRPr="00904FCB">
        <w:rPr>
          <w:rFonts w:hint="cs"/>
          <w:rtl/>
          <w:lang w:bidi="ar-IQ"/>
        </w:rPr>
        <w:t>ا</w:t>
      </w:r>
      <w:r w:rsidR="00070E6B" w:rsidRPr="00904FCB">
        <w:rPr>
          <w:rFonts w:hint="cs"/>
          <w:rtl/>
          <w:lang w:bidi="ar-IQ"/>
        </w:rPr>
        <w:t>ً</w:t>
      </w:r>
      <w:r w:rsidRPr="00904FCB">
        <w:rPr>
          <w:rFonts w:hint="cs"/>
          <w:vertAlign w:val="superscript"/>
          <w:rtl/>
          <w:lang w:bidi="ar-IQ"/>
        </w:rPr>
        <w:t>(</w:t>
      </w:r>
      <w:r w:rsidRPr="00904FCB">
        <w:rPr>
          <w:rStyle w:val="ac"/>
          <w:sz w:val="27"/>
          <w:rtl/>
          <w:lang w:bidi="ar-IQ"/>
        </w:rPr>
        <w:endnoteReference w:id="330"/>
      </w:r>
      <w:r w:rsidRPr="00904FCB">
        <w:rPr>
          <w:rFonts w:hint="cs"/>
          <w:vertAlign w:val="superscript"/>
          <w:rtl/>
          <w:lang w:bidi="ar-IQ"/>
        </w:rPr>
        <w:t>)</w:t>
      </w:r>
      <w:r w:rsidR="00070E6B" w:rsidRPr="00904FCB">
        <w:rPr>
          <w:rFonts w:hint="cs"/>
          <w:rtl/>
          <w:lang w:bidi="ar-IQ"/>
        </w:rPr>
        <w:t>،</w:t>
      </w:r>
      <w:r w:rsidRPr="00904FCB">
        <w:rPr>
          <w:rFonts w:hint="cs"/>
          <w:rtl/>
          <w:lang w:bidi="ar-IQ"/>
        </w:rPr>
        <w:t xml:space="preserve"> دون النظر </w:t>
      </w:r>
      <w:r w:rsidR="00070E6B" w:rsidRPr="00904FCB">
        <w:rPr>
          <w:rFonts w:hint="cs"/>
          <w:rtl/>
          <w:lang w:bidi="ar-IQ"/>
        </w:rPr>
        <w:t>إ</w:t>
      </w:r>
      <w:r w:rsidRPr="00904FCB">
        <w:rPr>
          <w:rFonts w:hint="cs"/>
          <w:rtl/>
          <w:lang w:bidi="ar-IQ"/>
        </w:rPr>
        <w:t xml:space="preserve">لى المظالم التي تلحق بالآخرين. </w:t>
      </w:r>
    </w:p>
    <w:p w:rsidR="00952E59" w:rsidRPr="00904FCB" w:rsidRDefault="00952E59" w:rsidP="007A21AA">
      <w:pPr>
        <w:spacing w:line="400" w:lineRule="exact"/>
        <w:rPr>
          <w:lang w:bidi="ar-IQ"/>
        </w:rPr>
      </w:pPr>
      <w:r w:rsidRPr="002F5255">
        <w:rPr>
          <w:rFonts w:hint="cs"/>
          <w:rtl/>
          <w:lang w:bidi="ar-IQ"/>
        </w:rPr>
        <w:t xml:space="preserve">2ـ </w:t>
      </w:r>
      <w:r w:rsidR="00070E6B" w:rsidRPr="002F5255">
        <w:rPr>
          <w:rFonts w:hint="cs"/>
          <w:rtl/>
          <w:lang w:bidi="ar-IQ"/>
        </w:rPr>
        <w:t>إ</w:t>
      </w:r>
      <w:r w:rsidRPr="002F5255">
        <w:rPr>
          <w:rFonts w:hint="cs"/>
          <w:rtl/>
          <w:lang w:bidi="ar-IQ"/>
        </w:rPr>
        <w:t>ن الاعتقاد بأن المسيح المنتظر سيظهر في القدس يؤس</w:t>
      </w:r>
      <w:r w:rsidR="00070E6B" w:rsidRPr="002F5255">
        <w:rPr>
          <w:rFonts w:hint="cs"/>
          <w:rtl/>
          <w:lang w:bidi="ar-IQ"/>
        </w:rPr>
        <w:t>ّ</w:t>
      </w:r>
      <w:r w:rsidRPr="002F5255">
        <w:rPr>
          <w:rFonts w:hint="cs"/>
          <w:rtl/>
          <w:lang w:bidi="ar-IQ"/>
        </w:rPr>
        <w:t>س للاستعداد لظهوره</w:t>
      </w:r>
      <w:r w:rsidR="00070E6B" w:rsidRPr="002F5255">
        <w:rPr>
          <w:rFonts w:hint="cs"/>
          <w:rtl/>
          <w:lang w:bidi="ar-IQ"/>
        </w:rPr>
        <w:t>،</w:t>
      </w:r>
      <w:r w:rsidRPr="00904FCB">
        <w:rPr>
          <w:rFonts w:hint="cs"/>
          <w:rtl/>
          <w:lang w:bidi="ar-IQ"/>
        </w:rPr>
        <w:t xml:space="preserve"> وذلك ببناء الهيكل</w:t>
      </w:r>
      <w:r w:rsidR="00070E6B" w:rsidRPr="00904FCB">
        <w:rPr>
          <w:rFonts w:hint="cs"/>
          <w:rtl/>
          <w:lang w:bidi="ar-IQ"/>
        </w:rPr>
        <w:t>،</w:t>
      </w:r>
      <w:r w:rsidRPr="00904FCB">
        <w:rPr>
          <w:rFonts w:hint="cs"/>
          <w:rtl/>
          <w:lang w:bidi="ar-IQ"/>
        </w:rPr>
        <w:t xml:space="preserve"> وتمكين الدولة اليهودية ب</w:t>
      </w:r>
      <w:r w:rsidR="00070E6B" w:rsidRPr="00904FCB">
        <w:rPr>
          <w:rFonts w:hint="cs"/>
          <w:rtl/>
          <w:lang w:bidi="ar-IQ"/>
        </w:rPr>
        <w:t>ا</w:t>
      </w:r>
      <w:r w:rsidRPr="00904FCB">
        <w:rPr>
          <w:rFonts w:hint="cs"/>
          <w:rtl/>
          <w:lang w:bidi="ar-IQ"/>
        </w:rPr>
        <w:t>متلاك ال</w:t>
      </w:r>
      <w:r w:rsidR="00070E6B" w:rsidRPr="00904FCB">
        <w:rPr>
          <w:rFonts w:hint="cs"/>
          <w:rtl/>
          <w:lang w:bidi="ar-IQ"/>
        </w:rPr>
        <w:t>أ</w:t>
      </w:r>
      <w:r w:rsidRPr="00904FCB">
        <w:rPr>
          <w:rFonts w:hint="cs"/>
          <w:rtl/>
          <w:lang w:bidi="ar-IQ"/>
        </w:rPr>
        <w:t>سلحة المدم</w:t>
      </w:r>
      <w:r w:rsidR="00070E6B" w:rsidRPr="00904FCB">
        <w:rPr>
          <w:rFonts w:hint="cs"/>
          <w:rtl/>
          <w:lang w:bidi="ar-IQ"/>
        </w:rPr>
        <w:t>ّ</w:t>
      </w:r>
      <w:r w:rsidRPr="00904FCB">
        <w:rPr>
          <w:rFonts w:hint="cs"/>
          <w:rtl/>
          <w:lang w:bidi="ar-IQ"/>
        </w:rPr>
        <w:t>رة، وإضعاف ال</w:t>
      </w:r>
      <w:r w:rsidR="00070E6B" w:rsidRPr="00904FCB">
        <w:rPr>
          <w:rFonts w:hint="cs"/>
          <w:rtl/>
          <w:lang w:bidi="ar-IQ"/>
        </w:rPr>
        <w:t>آ</w:t>
      </w:r>
      <w:r w:rsidRPr="00904FCB">
        <w:rPr>
          <w:rFonts w:hint="cs"/>
          <w:rtl/>
          <w:lang w:bidi="ar-IQ"/>
        </w:rPr>
        <w:t>خرين</w:t>
      </w:r>
      <w:r w:rsidR="00070E6B" w:rsidRPr="00904FCB">
        <w:rPr>
          <w:rFonts w:hint="cs"/>
          <w:rtl/>
          <w:lang w:bidi="ar-IQ"/>
        </w:rPr>
        <w:t>؛ تمهيد</w:t>
      </w:r>
      <w:r w:rsidRPr="00904FCB">
        <w:rPr>
          <w:rFonts w:hint="cs"/>
          <w:rtl/>
          <w:lang w:bidi="ar-IQ"/>
        </w:rPr>
        <w:t>ا</w:t>
      </w:r>
      <w:r w:rsidR="00070E6B" w:rsidRPr="00904FCB">
        <w:rPr>
          <w:rFonts w:hint="cs"/>
          <w:rtl/>
          <w:lang w:bidi="ar-IQ"/>
        </w:rPr>
        <w:t>ً</w:t>
      </w:r>
      <w:r w:rsidRPr="00904FCB">
        <w:rPr>
          <w:rFonts w:hint="cs"/>
          <w:rtl/>
          <w:lang w:bidi="ar-IQ"/>
        </w:rPr>
        <w:t xml:space="preserve"> ل</w:t>
      </w:r>
      <w:r w:rsidR="00070E6B" w:rsidRPr="00904FCB">
        <w:rPr>
          <w:rFonts w:hint="cs"/>
          <w:rtl/>
          <w:lang w:bidi="ar-IQ"/>
        </w:rPr>
        <w:t>إ</w:t>
      </w:r>
      <w:r w:rsidRPr="00904FCB">
        <w:rPr>
          <w:rFonts w:hint="cs"/>
          <w:rtl/>
          <w:lang w:bidi="ar-IQ"/>
        </w:rPr>
        <w:t>بادتهم</w:t>
      </w:r>
      <w:r w:rsidR="00070E6B" w:rsidRPr="00904FCB">
        <w:rPr>
          <w:rFonts w:hint="cs"/>
          <w:rtl/>
          <w:lang w:bidi="ar-IQ"/>
        </w:rPr>
        <w:t>،</w:t>
      </w:r>
      <w:r w:rsidRPr="00904FCB">
        <w:rPr>
          <w:rFonts w:hint="cs"/>
          <w:rtl/>
          <w:lang w:bidi="ar-IQ"/>
        </w:rPr>
        <w:t xml:space="preserve"> كشرط</w:t>
      </w:r>
      <w:r w:rsidR="00070E6B" w:rsidRPr="00904FCB">
        <w:rPr>
          <w:rFonts w:hint="cs"/>
          <w:rtl/>
          <w:lang w:bidi="ar-IQ"/>
        </w:rPr>
        <w:t>ٍ</w:t>
      </w:r>
      <w:r w:rsidRPr="00904FCB">
        <w:rPr>
          <w:rFonts w:hint="cs"/>
          <w:rtl/>
          <w:lang w:bidi="ar-IQ"/>
        </w:rPr>
        <w:t xml:space="preserve"> من شروط مجيء المسيح. </w:t>
      </w:r>
    </w:p>
    <w:p w:rsidR="00952E59" w:rsidRPr="00904FCB" w:rsidRDefault="00952E59" w:rsidP="007A21AA">
      <w:pPr>
        <w:spacing w:line="400" w:lineRule="exact"/>
        <w:rPr>
          <w:lang w:bidi="ar-IQ"/>
        </w:rPr>
      </w:pPr>
      <w:r w:rsidRPr="002F5255">
        <w:rPr>
          <w:rFonts w:hint="cs"/>
          <w:rtl/>
          <w:lang w:bidi="ar-IQ"/>
        </w:rPr>
        <w:t xml:space="preserve">3ـ لقد وجدت </w:t>
      </w:r>
      <w:r w:rsidR="00070E6B" w:rsidRPr="002F5255">
        <w:rPr>
          <w:rFonts w:hint="cs"/>
          <w:rtl/>
          <w:lang w:bidi="ar-IQ"/>
        </w:rPr>
        <w:t>إ</w:t>
      </w:r>
      <w:r w:rsidRPr="002F5255">
        <w:rPr>
          <w:rFonts w:hint="cs"/>
          <w:rtl/>
          <w:lang w:bidi="ar-IQ"/>
        </w:rPr>
        <w:t>سرائيل بأمر</w:t>
      </w:r>
      <w:r w:rsidR="00070E6B" w:rsidRPr="002F5255">
        <w:rPr>
          <w:rFonts w:hint="cs"/>
          <w:rtl/>
          <w:lang w:bidi="ar-IQ"/>
        </w:rPr>
        <w:t>ٍ</w:t>
      </w:r>
      <w:r w:rsidRPr="002F5255">
        <w:rPr>
          <w:rFonts w:hint="cs"/>
          <w:rtl/>
          <w:lang w:bidi="ar-IQ"/>
        </w:rPr>
        <w:t xml:space="preserve"> </w:t>
      </w:r>
      <w:r w:rsidR="00070E6B" w:rsidRPr="002F5255">
        <w:rPr>
          <w:rFonts w:hint="cs"/>
          <w:rtl/>
          <w:lang w:bidi="ar-IQ"/>
        </w:rPr>
        <w:t>إ</w:t>
      </w:r>
      <w:r w:rsidRPr="002F5255">
        <w:rPr>
          <w:rFonts w:hint="cs"/>
          <w:rtl/>
          <w:lang w:bidi="ar-IQ"/>
        </w:rPr>
        <w:t>لهي وبإرادة رب</w:t>
      </w:r>
      <w:r w:rsidR="00070E6B" w:rsidRPr="002F5255">
        <w:rPr>
          <w:rFonts w:hint="cs"/>
          <w:rtl/>
          <w:lang w:bidi="ar-IQ"/>
        </w:rPr>
        <w:t>ّ</w:t>
      </w:r>
      <w:r w:rsidRPr="002F5255">
        <w:rPr>
          <w:rFonts w:hint="cs"/>
          <w:rtl/>
          <w:lang w:bidi="ar-IQ"/>
        </w:rPr>
        <w:t>انية</w:t>
      </w:r>
      <w:r w:rsidR="00070E6B" w:rsidRPr="002F5255">
        <w:rPr>
          <w:rFonts w:hint="cs"/>
          <w:rtl/>
          <w:lang w:bidi="ar-IQ"/>
        </w:rPr>
        <w:t>،</w:t>
      </w:r>
      <w:r w:rsidRPr="002F5255">
        <w:rPr>
          <w:rFonts w:hint="cs"/>
          <w:rtl/>
          <w:lang w:bidi="ar-IQ"/>
        </w:rPr>
        <w:t xml:space="preserve"> وصارت دولة يهود العالم</w:t>
      </w:r>
      <w:r w:rsidRPr="00904FCB">
        <w:rPr>
          <w:rFonts w:hint="cs"/>
          <w:rtl/>
          <w:lang w:bidi="ar-IQ"/>
        </w:rPr>
        <w:t xml:space="preserve"> أجمع، فلا</w:t>
      </w:r>
      <w:r w:rsidR="00070E6B" w:rsidRPr="00904FCB">
        <w:rPr>
          <w:rFonts w:hint="cs"/>
          <w:rtl/>
          <w:lang w:bidi="ar-IQ"/>
        </w:rPr>
        <w:t xml:space="preserve"> </w:t>
      </w:r>
      <w:r w:rsidRPr="00904FCB">
        <w:rPr>
          <w:rFonts w:hint="cs"/>
          <w:rtl/>
          <w:lang w:bidi="ar-IQ"/>
        </w:rPr>
        <w:t>ب</w:t>
      </w:r>
      <w:r w:rsidR="00070E6B" w:rsidRPr="00904FCB">
        <w:rPr>
          <w:rFonts w:hint="cs"/>
          <w:rtl/>
          <w:lang w:bidi="ar-IQ"/>
        </w:rPr>
        <w:t>ُ</w:t>
      </w:r>
      <w:r w:rsidRPr="00904FCB">
        <w:rPr>
          <w:rFonts w:hint="cs"/>
          <w:rtl/>
          <w:lang w:bidi="ar-IQ"/>
        </w:rPr>
        <w:t>د</w:t>
      </w:r>
      <w:r w:rsidR="00070E6B" w:rsidRPr="00904FCB">
        <w:rPr>
          <w:rFonts w:hint="cs"/>
          <w:rtl/>
          <w:lang w:bidi="ar-IQ"/>
        </w:rPr>
        <w:t>َّ</w:t>
      </w:r>
      <w:r w:rsidRPr="00904FCB">
        <w:rPr>
          <w:rFonts w:hint="cs"/>
          <w:rtl/>
          <w:lang w:bidi="ar-IQ"/>
        </w:rPr>
        <w:t xml:space="preserve"> من دعمها وحمايتها</w:t>
      </w:r>
      <w:r w:rsidR="00070E6B" w:rsidRPr="00904FCB">
        <w:rPr>
          <w:rFonts w:hint="cs"/>
          <w:rtl/>
          <w:lang w:bidi="ar-IQ"/>
        </w:rPr>
        <w:t>،</w:t>
      </w:r>
      <w:r w:rsidRPr="00904FCB">
        <w:rPr>
          <w:rFonts w:hint="cs"/>
          <w:rtl/>
          <w:lang w:bidi="ar-IQ"/>
        </w:rPr>
        <w:t xml:space="preserve"> و</w:t>
      </w:r>
      <w:r w:rsidR="00070E6B" w:rsidRPr="00904FCB">
        <w:rPr>
          <w:rFonts w:hint="cs"/>
          <w:rtl/>
          <w:lang w:bidi="ar-IQ"/>
        </w:rPr>
        <w:t>إ</w:t>
      </w:r>
      <w:r w:rsidRPr="00904FCB">
        <w:rPr>
          <w:rFonts w:hint="cs"/>
          <w:rtl/>
          <w:lang w:bidi="ar-IQ"/>
        </w:rPr>
        <w:t>ن</w:t>
      </w:r>
      <w:r w:rsidR="00070E6B" w:rsidRPr="00904FCB">
        <w:rPr>
          <w:rFonts w:hint="cs"/>
          <w:rtl/>
          <w:lang w:bidi="ar-IQ"/>
        </w:rPr>
        <w:t>ْ</w:t>
      </w:r>
      <w:r w:rsidRPr="00904FCB">
        <w:rPr>
          <w:rFonts w:hint="cs"/>
          <w:rtl/>
          <w:lang w:bidi="ar-IQ"/>
        </w:rPr>
        <w:t xml:space="preserve"> اقتضى ذلك تدمير الآخرين</w:t>
      </w:r>
      <w:r w:rsidR="00070E6B" w:rsidRPr="00904FCB">
        <w:rPr>
          <w:rFonts w:hint="cs"/>
          <w:rtl/>
          <w:lang w:bidi="ar-IQ"/>
        </w:rPr>
        <w:t>؛</w:t>
      </w:r>
      <w:r w:rsidRPr="00904FCB">
        <w:rPr>
          <w:rFonts w:hint="cs"/>
          <w:rtl/>
          <w:lang w:bidi="ar-IQ"/>
        </w:rPr>
        <w:t xml:space="preserve"> لأن </w:t>
      </w:r>
      <w:r w:rsidR="00070E6B" w:rsidRPr="00904FCB">
        <w:rPr>
          <w:rFonts w:hint="cs"/>
          <w:rtl/>
          <w:lang w:bidi="ar-IQ"/>
        </w:rPr>
        <w:t>إ</w:t>
      </w:r>
      <w:r w:rsidRPr="00904FCB">
        <w:rPr>
          <w:rFonts w:hint="cs"/>
          <w:rtl/>
          <w:lang w:bidi="ar-IQ"/>
        </w:rPr>
        <w:t>رادة الرب</w:t>
      </w:r>
      <w:r w:rsidR="00EA3405">
        <w:rPr>
          <w:rFonts w:hint="cs"/>
          <w:rtl/>
          <w:lang w:bidi="ar-IQ"/>
        </w:rPr>
        <w:t>ّ</w:t>
      </w:r>
      <w:r w:rsidR="00070E6B" w:rsidRPr="00904FCB">
        <w:rPr>
          <w:rFonts w:hint="cs"/>
          <w:rtl/>
          <w:lang w:bidi="ar-IQ"/>
        </w:rPr>
        <w:t xml:space="preserve"> إ</w:t>
      </w:r>
      <w:r w:rsidRPr="00904FCB">
        <w:rPr>
          <w:rFonts w:hint="cs"/>
          <w:rtl/>
          <w:lang w:bidi="ar-IQ"/>
        </w:rPr>
        <w:t>رادة حتمية قهرية</w:t>
      </w:r>
      <w:r w:rsidR="00070E6B" w:rsidRPr="00904FCB">
        <w:rPr>
          <w:rFonts w:hint="cs"/>
          <w:rtl/>
          <w:lang w:bidi="ar-IQ"/>
        </w:rPr>
        <w:t>،</w:t>
      </w:r>
      <w:r w:rsidRPr="00904FCB">
        <w:rPr>
          <w:rFonts w:hint="cs"/>
          <w:rtl/>
          <w:lang w:bidi="ar-IQ"/>
        </w:rPr>
        <w:t xml:space="preserve"> تطب</w:t>
      </w:r>
      <w:r w:rsidR="00070E6B" w:rsidRPr="00904FCB">
        <w:rPr>
          <w:rFonts w:hint="cs"/>
          <w:rtl/>
          <w:lang w:bidi="ar-IQ"/>
        </w:rPr>
        <w:t>َّ</w:t>
      </w:r>
      <w:r w:rsidRPr="00904FCB">
        <w:rPr>
          <w:rFonts w:hint="cs"/>
          <w:rtl/>
          <w:lang w:bidi="ar-IQ"/>
        </w:rPr>
        <w:t>ق على البشر</w:t>
      </w:r>
      <w:r w:rsidR="00070E6B" w:rsidRPr="00904FCB">
        <w:rPr>
          <w:rFonts w:hint="cs"/>
          <w:rtl/>
          <w:lang w:bidi="ar-IQ"/>
        </w:rPr>
        <w:t>،</w:t>
      </w:r>
      <w:r w:rsidRPr="00904FCB">
        <w:rPr>
          <w:rFonts w:hint="cs"/>
          <w:rtl/>
          <w:lang w:bidi="ar-IQ"/>
        </w:rPr>
        <w:t xml:space="preserve"> كما تطبق على الطبيعة. </w:t>
      </w:r>
    </w:p>
    <w:p w:rsidR="00952E59" w:rsidRPr="00904FCB" w:rsidRDefault="00952E59" w:rsidP="007A21AA">
      <w:pPr>
        <w:spacing w:line="400" w:lineRule="exact"/>
        <w:rPr>
          <w:lang w:bidi="ar-IQ"/>
        </w:rPr>
      </w:pPr>
      <w:r w:rsidRPr="002F5255">
        <w:rPr>
          <w:rFonts w:hint="cs"/>
          <w:rtl/>
          <w:lang w:bidi="ar-IQ"/>
        </w:rPr>
        <w:t>4ـ اعتقادهم بأنهم شعب الله المختار</w:t>
      </w:r>
      <w:r w:rsidR="00070E6B" w:rsidRPr="002F5255">
        <w:rPr>
          <w:rFonts w:hint="cs"/>
          <w:rtl/>
          <w:lang w:bidi="ar-IQ"/>
        </w:rPr>
        <w:t>.</w:t>
      </w:r>
      <w:r w:rsidRPr="002F5255">
        <w:rPr>
          <w:rFonts w:hint="cs"/>
          <w:rtl/>
          <w:lang w:bidi="ar-IQ"/>
        </w:rPr>
        <w:t xml:space="preserve"> فهم لا يلتزمون بما تقر</w:t>
      </w:r>
      <w:r w:rsidR="00070E6B" w:rsidRPr="002F5255">
        <w:rPr>
          <w:rFonts w:hint="cs"/>
          <w:rtl/>
          <w:lang w:bidi="ar-IQ"/>
        </w:rPr>
        <w:t>ّ</w:t>
      </w:r>
      <w:r w:rsidRPr="002F5255">
        <w:rPr>
          <w:rFonts w:hint="cs"/>
          <w:rtl/>
          <w:lang w:bidi="ar-IQ"/>
        </w:rPr>
        <w:t>ره الهيئات الدولي</w:t>
      </w:r>
      <w:r w:rsidR="00070E6B" w:rsidRPr="002F5255">
        <w:rPr>
          <w:rFonts w:hint="cs"/>
          <w:rtl/>
          <w:lang w:bidi="ar-IQ"/>
        </w:rPr>
        <w:t>ة؛</w:t>
      </w:r>
      <w:r w:rsidRPr="00904FCB">
        <w:rPr>
          <w:rFonts w:hint="cs"/>
          <w:rtl/>
          <w:lang w:bidi="ar-IQ"/>
        </w:rPr>
        <w:t xml:space="preserve"> لأنها قرارت بشرية</w:t>
      </w:r>
      <w:r w:rsidRPr="00904FCB">
        <w:rPr>
          <w:rFonts w:hint="cs"/>
          <w:vertAlign w:val="superscript"/>
          <w:rtl/>
          <w:lang w:bidi="ar-IQ"/>
        </w:rPr>
        <w:t>(</w:t>
      </w:r>
      <w:r w:rsidRPr="00904FCB">
        <w:rPr>
          <w:vertAlign w:val="superscript"/>
          <w:rtl/>
        </w:rPr>
        <w:endnoteReference w:id="331"/>
      </w:r>
      <w:r w:rsidRPr="00904FCB">
        <w:rPr>
          <w:rFonts w:hint="cs"/>
          <w:vertAlign w:val="superscript"/>
          <w:rtl/>
          <w:lang w:bidi="ar-IQ"/>
        </w:rPr>
        <w:t>)</w:t>
      </w:r>
      <w:r w:rsidRPr="00904FCB">
        <w:rPr>
          <w:rFonts w:hint="cs"/>
          <w:rtl/>
          <w:lang w:bidi="ar-IQ"/>
        </w:rPr>
        <w:t>. وبهذا نفس</w:t>
      </w:r>
      <w:r w:rsidR="00070E6B" w:rsidRPr="00904FCB">
        <w:rPr>
          <w:rFonts w:hint="cs"/>
          <w:rtl/>
          <w:lang w:bidi="ar-IQ"/>
        </w:rPr>
        <w:t>ِّ</w:t>
      </w:r>
      <w:r w:rsidRPr="00904FCB">
        <w:rPr>
          <w:rFonts w:hint="cs"/>
          <w:rtl/>
          <w:lang w:bidi="ar-IQ"/>
        </w:rPr>
        <w:t xml:space="preserve">ر عدم قبول </w:t>
      </w:r>
      <w:r w:rsidR="00070E6B" w:rsidRPr="00904FCB">
        <w:rPr>
          <w:rFonts w:hint="cs"/>
          <w:rtl/>
          <w:lang w:bidi="ar-IQ"/>
        </w:rPr>
        <w:t>إ</w:t>
      </w:r>
      <w:r w:rsidRPr="00904FCB">
        <w:rPr>
          <w:rFonts w:hint="cs"/>
          <w:rtl/>
          <w:lang w:bidi="ar-IQ"/>
        </w:rPr>
        <w:t>سرائيل ال</w:t>
      </w:r>
      <w:r w:rsidR="00070E6B" w:rsidRPr="00904FCB">
        <w:rPr>
          <w:rFonts w:hint="cs"/>
          <w:rtl/>
          <w:lang w:bidi="ar-IQ"/>
        </w:rPr>
        <w:t>ا</w:t>
      </w:r>
      <w:r w:rsidRPr="00904FCB">
        <w:rPr>
          <w:rFonts w:hint="cs"/>
          <w:rtl/>
          <w:lang w:bidi="ar-IQ"/>
        </w:rPr>
        <w:t xml:space="preserve">نضمام </w:t>
      </w:r>
      <w:r w:rsidR="00070E6B" w:rsidRPr="00904FCB">
        <w:rPr>
          <w:rFonts w:hint="cs"/>
          <w:rtl/>
          <w:lang w:bidi="ar-IQ"/>
        </w:rPr>
        <w:t>إلى ا</w:t>
      </w:r>
      <w:r w:rsidRPr="00904FCB">
        <w:rPr>
          <w:rFonts w:hint="cs"/>
          <w:rtl/>
          <w:lang w:bidi="ar-IQ"/>
        </w:rPr>
        <w:t>لمعاهدات الدولية</w:t>
      </w:r>
      <w:r w:rsidR="00070E6B" w:rsidRPr="00904FCB">
        <w:rPr>
          <w:rFonts w:hint="cs"/>
          <w:rtl/>
          <w:lang w:bidi="ar-IQ"/>
        </w:rPr>
        <w:t>،</w:t>
      </w:r>
      <w:r w:rsidRPr="00904FCB">
        <w:rPr>
          <w:rFonts w:hint="cs"/>
          <w:rtl/>
          <w:lang w:bidi="ar-IQ"/>
        </w:rPr>
        <w:t xml:space="preserve"> مثل</w:t>
      </w:r>
      <w:r w:rsidR="00070E6B" w:rsidRPr="00904FCB">
        <w:rPr>
          <w:rFonts w:hint="cs"/>
          <w:rtl/>
          <w:lang w:bidi="ar-IQ"/>
        </w:rPr>
        <w:t>:</w:t>
      </w:r>
      <w:r w:rsidRPr="00904FCB">
        <w:rPr>
          <w:rFonts w:hint="cs"/>
          <w:rtl/>
          <w:lang w:bidi="ar-IQ"/>
        </w:rPr>
        <w:t xml:space="preserve"> معاهدة حظر ال</w:t>
      </w:r>
      <w:r w:rsidR="00070E6B" w:rsidRPr="00904FCB">
        <w:rPr>
          <w:rFonts w:hint="cs"/>
          <w:rtl/>
          <w:lang w:bidi="ar-IQ"/>
        </w:rPr>
        <w:t>أ</w:t>
      </w:r>
      <w:r w:rsidRPr="00904FCB">
        <w:rPr>
          <w:rFonts w:hint="cs"/>
          <w:rtl/>
          <w:lang w:bidi="ar-IQ"/>
        </w:rPr>
        <w:t>سلحة النووية</w:t>
      </w:r>
      <w:r w:rsidR="00070E6B" w:rsidRPr="00904FCB">
        <w:rPr>
          <w:rFonts w:hint="cs"/>
          <w:rtl/>
          <w:lang w:bidi="ar-IQ"/>
        </w:rPr>
        <w:t>،</w:t>
      </w:r>
      <w:r w:rsidRPr="00904FCB">
        <w:rPr>
          <w:rFonts w:hint="cs"/>
          <w:rtl/>
          <w:lang w:bidi="ar-IQ"/>
        </w:rPr>
        <w:t xml:space="preserve"> </w:t>
      </w:r>
      <w:r w:rsidR="00070E6B" w:rsidRPr="00904FCB">
        <w:rPr>
          <w:rFonts w:hint="cs"/>
          <w:rtl/>
          <w:lang w:bidi="ar-IQ"/>
        </w:rPr>
        <w:t>و</w:t>
      </w:r>
      <w:r w:rsidRPr="00904FCB">
        <w:rPr>
          <w:rFonts w:hint="cs"/>
          <w:rtl/>
          <w:lang w:bidi="ar-IQ"/>
        </w:rPr>
        <w:t>غيرها</w:t>
      </w:r>
      <w:r w:rsidR="00070E6B" w:rsidRPr="00904FCB">
        <w:rPr>
          <w:rFonts w:hint="cs"/>
          <w:rtl/>
          <w:lang w:bidi="ar-IQ"/>
        </w:rPr>
        <w:t xml:space="preserve">، </w:t>
      </w:r>
      <w:r w:rsidRPr="00904FCB">
        <w:rPr>
          <w:rFonts w:hint="cs"/>
          <w:rtl/>
          <w:lang w:bidi="ar-IQ"/>
        </w:rPr>
        <w:t>و</w:t>
      </w:r>
      <w:r w:rsidR="00070E6B" w:rsidRPr="00904FCB">
        <w:rPr>
          <w:rFonts w:hint="cs"/>
          <w:rtl/>
          <w:lang w:bidi="ar-IQ"/>
        </w:rPr>
        <w:t>ن</w:t>
      </w:r>
      <w:r w:rsidRPr="00904FCB">
        <w:rPr>
          <w:rFonts w:hint="cs"/>
          <w:rtl/>
          <w:lang w:bidi="ar-IQ"/>
        </w:rPr>
        <w:t>فس</w:t>
      </w:r>
      <w:r w:rsidR="00070E6B" w:rsidRPr="00904FCB">
        <w:rPr>
          <w:rFonts w:hint="cs"/>
          <w:rtl/>
          <w:lang w:bidi="ar-IQ"/>
        </w:rPr>
        <w:t>ّ</w:t>
      </w:r>
      <w:r w:rsidRPr="00904FCB">
        <w:rPr>
          <w:rFonts w:hint="cs"/>
          <w:rtl/>
          <w:lang w:bidi="ar-IQ"/>
        </w:rPr>
        <w:t>ر عدم التزام الكيان ال</w:t>
      </w:r>
      <w:r w:rsidR="00070E6B" w:rsidRPr="00904FCB">
        <w:rPr>
          <w:rFonts w:hint="cs"/>
          <w:rtl/>
          <w:lang w:bidi="ar-IQ"/>
        </w:rPr>
        <w:t>إ</w:t>
      </w:r>
      <w:r w:rsidRPr="00904FCB">
        <w:rPr>
          <w:rFonts w:hint="cs"/>
          <w:rtl/>
          <w:lang w:bidi="ar-IQ"/>
        </w:rPr>
        <w:t>سرائيلي بعشرات القرارات الدولية</w:t>
      </w:r>
      <w:r w:rsidR="00070E6B" w:rsidRPr="00904FCB">
        <w:rPr>
          <w:rFonts w:hint="cs"/>
          <w:rtl/>
          <w:lang w:bidi="ar-IQ"/>
        </w:rPr>
        <w:t>،</w:t>
      </w:r>
      <w:r w:rsidRPr="00904FCB">
        <w:rPr>
          <w:rFonts w:hint="cs"/>
          <w:rtl/>
          <w:lang w:bidi="ar-IQ"/>
        </w:rPr>
        <w:t xml:space="preserve"> سواء صدرت من مجلس ال</w:t>
      </w:r>
      <w:r w:rsidR="00070E6B" w:rsidRPr="00904FCB">
        <w:rPr>
          <w:rFonts w:hint="cs"/>
          <w:rtl/>
          <w:lang w:bidi="ar-IQ"/>
        </w:rPr>
        <w:t>أ</w:t>
      </w:r>
      <w:r w:rsidRPr="00904FCB">
        <w:rPr>
          <w:rFonts w:hint="cs"/>
          <w:rtl/>
          <w:lang w:bidi="ar-IQ"/>
        </w:rPr>
        <w:t xml:space="preserve">من </w:t>
      </w:r>
      <w:r w:rsidR="00070E6B" w:rsidRPr="00904FCB">
        <w:rPr>
          <w:rFonts w:hint="cs"/>
          <w:rtl/>
          <w:lang w:bidi="ar-IQ"/>
        </w:rPr>
        <w:t>أ</w:t>
      </w:r>
      <w:r w:rsidRPr="00904FCB">
        <w:rPr>
          <w:rFonts w:hint="cs"/>
          <w:rtl/>
          <w:lang w:bidi="ar-IQ"/>
        </w:rPr>
        <w:t>و من الجمعية العامة لل</w:t>
      </w:r>
      <w:r w:rsidR="00070E6B" w:rsidRPr="00904FCB">
        <w:rPr>
          <w:rFonts w:hint="cs"/>
          <w:rtl/>
          <w:lang w:bidi="ar-IQ"/>
        </w:rPr>
        <w:t>أ</w:t>
      </w:r>
      <w:r w:rsidRPr="00904FCB">
        <w:rPr>
          <w:rFonts w:hint="cs"/>
          <w:rtl/>
          <w:lang w:bidi="ar-IQ"/>
        </w:rPr>
        <w:t xml:space="preserve">مم المتحدة. </w:t>
      </w:r>
    </w:p>
    <w:p w:rsidR="00952E59" w:rsidRPr="00904FCB" w:rsidRDefault="00952E59" w:rsidP="00EA3405">
      <w:pPr>
        <w:spacing w:line="400" w:lineRule="exact"/>
        <w:rPr>
          <w:lang w:bidi="ar-IQ"/>
        </w:rPr>
      </w:pPr>
      <w:r w:rsidRPr="002F5255">
        <w:rPr>
          <w:rFonts w:hint="cs"/>
          <w:rtl/>
          <w:lang w:bidi="ar-IQ"/>
        </w:rPr>
        <w:t xml:space="preserve">5ـ </w:t>
      </w:r>
      <w:r w:rsidR="00070E6B" w:rsidRPr="002F5255">
        <w:rPr>
          <w:rFonts w:hint="cs"/>
          <w:rtl/>
          <w:lang w:bidi="ar-IQ"/>
        </w:rPr>
        <w:t>إ</w:t>
      </w:r>
      <w:r w:rsidRPr="002F5255">
        <w:rPr>
          <w:rFonts w:hint="cs"/>
          <w:rtl/>
          <w:lang w:bidi="ar-IQ"/>
        </w:rPr>
        <w:t>ن إضعاف الشعوب ال</w:t>
      </w:r>
      <w:r w:rsidR="00070E6B" w:rsidRPr="002F5255">
        <w:rPr>
          <w:rFonts w:hint="cs"/>
          <w:rtl/>
          <w:lang w:bidi="ar-IQ"/>
        </w:rPr>
        <w:t>أ</w:t>
      </w:r>
      <w:r w:rsidRPr="002F5255">
        <w:rPr>
          <w:rFonts w:hint="cs"/>
          <w:rtl/>
          <w:lang w:bidi="ar-IQ"/>
        </w:rPr>
        <w:t>خرى</w:t>
      </w:r>
      <w:r w:rsidR="00070E6B" w:rsidRPr="002F5255">
        <w:rPr>
          <w:rFonts w:hint="cs"/>
          <w:rtl/>
          <w:lang w:bidi="ar-IQ"/>
        </w:rPr>
        <w:t>،</w:t>
      </w:r>
      <w:r w:rsidRPr="002F5255">
        <w:rPr>
          <w:rFonts w:hint="cs"/>
          <w:rtl/>
          <w:lang w:bidi="ar-IQ"/>
        </w:rPr>
        <w:t xml:space="preserve"> وعدم السماح لها بتمل</w:t>
      </w:r>
      <w:r w:rsidR="00070E6B" w:rsidRPr="002F5255">
        <w:rPr>
          <w:rFonts w:hint="cs"/>
          <w:rtl/>
          <w:lang w:bidi="ar-IQ"/>
        </w:rPr>
        <w:t>ّ</w:t>
      </w:r>
      <w:r w:rsidRPr="002F5255">
        <w:rPr>
          <w:rFonts w:hint="cs"/>
          <w:rtl/>
          <w:lang w:bidi="ar-IQ"/>
        </w:rPr>
        <w:t>ك عناصر القو</w:t>
      </w:r>
      <w:r w:rsidR="00070E6B" w:rsidRPr="002F5255">
        <w:rPr>
          <w:rFonts w:hint="cs"/>
          <w:rtl/>
          <w:lang w:bidi="ar-IQ"/>
        </w:rPr>
        <w:t>ّ</w:t>
      </w:r>
      <w:r w:rsidRPr="002F5255">
        <w:rPr>
          <w:rFonts w:hint="cs"/>
          <w:rtl/>
          <w:lang w:bidi="ar-IQ"/>
        </w:rPr>
        <w:t>ة</w:t>
      </w:r>
      <w:r w:rsidR="00070E6B" w:rsidRPr="002F5255">
        <w:rPr>
          <w:rFonts w:hint="cs"/>
          <w:rtl/>
          <w:lang w:bidi="ar-IQ"/>
        </w:rPr>
        <w:t>،</w:t>
      </w:r>
      <w:r w:rsidRPr="002F5255">
        <w:rPr>
          <w:rFonts w:hint="cs"/>
          <w:rtl/>
          <w:lang w:bidi="ar-IQ"/>
        </w:rPr>
        <w:t xml:space="preserve"> كما في</w:t>
      </w:r>
      <w:r w:rsidRPr="00904FCB">
        <w:rPr>
          <w:rFonts w:hint="cs"/>
          <w:rtl/>
          <w:lang w:bidi="ar-IQ"/>
        </w:rPr>
        <w:t xml:space="preserve"> </w:t>
      </w:r>
      <w:r w:rsidRPr="00904FCB">
        <w:rPr>
          <w:rFonts w:hint="cs"/>
          <w:rtl/>
          <w:lang w:bidi="ar-IQ"/>
        </w:rPr>
        <w:lastRenderedPageBreak/>
        <w:t xml:space="preserve">مواقف </w:t>
      </w:r>
      <w:r w:rsidR="00070E6B" w:rsidRPr="00904FCB">
        <w:rPr>
          <w:rFonts w:hint="cs"/>
          <w:rtl/>
          <w:lang w:bidi="ar-IQ"/>
        </w:rPr>
        <w:t>إ</w:t>
      </w:r>
      <w:r w:rsidRPr="00904FCB">
        <w:rPr>
          <w:rFonts w:hint="cs"/>
          <w:rtl/>
          <w:lang w:bidi="ar-IQ"/>
        </w:rPr>
        <w:t>سرائيل من المفاعل النووي العراقي وال</w:t>
      </w:r>
      <w:r w:rsidR="00070E6B" w:rsidRPr="00904FCB">
        <w:rPr>
          <w:rFonts w:hint="cs"/>
          <w:rtl/>
          <w:lang w:bidi="ar-IQ"/>
        </w:rPr>
        <w:t>إ</w:t>
      </w:r>
      <w:r w:rsidRPr="00904FCB">
        <w:rPr>
          <w:rFonts w:hint="cs"/>
          <w:rtl/>
          <w:lang w:bidi="ar-IQ"/>
        </w:rPr>
        <w:t>يراني والقدرة العسكرية المصرية والسورية</w:t>
      </w:r>
      <w:r w:rsidR="00070E6B" w:rsidRPr="00904FCB">
        <w:rPr>
          <w:rFonts w:hint="cs"/>
          <w:rtl/>
          <w:lang w:bidi="ar-IQ"/>
        </w:rPr>
        <w:t>،</w:t>
      </w:r>
      <w:r w:rsidRPr="00904FCB">
        <w:rPr>
          <w:rFonts w:hint="cs"/>
          <w:rtl/>
          <w:lang w:bidi="ar-IQ"/>
        </w:rPr>
        <w:t xml:space="preserve"> يعد</w:t>
      </w:r>
      <w:r w:rsidR="00070E6B" w:rsidRPr="00904FCB">
        <w:rPr>
          <w:rFonts w:hint="cs"/>
          <w:rtl/>
          <w:lang w:bidi="ar-IQ"/>
        </w:rPr>
        <w:t>ّ واجب</w:t>
      </w:r>
      <w:r w:rsidRPr="00904FCB">
        <w:rPr>
          <w:rFonts w:hint="cs"/>
          <w:rtl/>
          <w:lang w:bidi="ar-IQ"/>
        </w:rPr>
        <w:t>ا</w:t>
      </w:r>
      <w:r w:rsidR="00070E6B" w:rsidRPr="00904FCB">
        <w:rPr>
          <w:rFonts w:hint="cs"/>
          <w:rtl/>
          <w:lang w:bidi="ar-IQ"/>
        </w:rPr>
        <w:t>ً ديني</w:t>
      </w:r>
      <w:r w:rsidRPr="00904FCB">
        <w:rPr>
          <w:rFonts w:hint="cs"/>
          <w:rtl/>
          <w:lang w:bidi="ar-IQ"/>
        </w:rPr>
        <w:t>ا</w:t>
      </w:r>
      <w:r w:rsidR="00070E6B" w:rsidRPr="00904FCB">
        <w:rPr>
          <w:rFonts w:hint="cs"/>
          <w:rtl/>
          <w:lang w:bidi="ar-IQ"/>
        </w:rPr>
        <w:t>ً يهودياً؛ تمهيد</w:t>
      </w:r>
      <w:r w:rsidRPr="00904FCB">
        <w:rPr>
          <w:rFonts w:hint="cs"/>
          <w:rtl/>
          <w:lang w:bidi="ar-IQ"/>
        </w:rPr>
        <w:t>ا</w:t>
      </w:r>
      <w:r w:rsidR="00070E6B" w:rsidRPr="00904FCB">
        <w:rPr>
          <w:rFonts w:hint="cs"/>
          <w:rtl/>
          <w:lang w:bidi="ar-IQ"/>
        </w:rPr>
        <w:t>ً</w:t>
      </w:r>
      <w:r w:rsidRPr="00904FCB">
        <w:rPr>
          <w:rFonts w:hint="cs"/>
          <w:rtl/>
          <w:lang w:bidi="ar-IQ"/>
        </w:rPr>
        <w:t xml:space="preserve"> ل</w:t>
      </w:r>
      <w:r w:rsidR="00EA3405">
        <w:rPr>
          <w:rFonts w:hint="cs"/>
          <w:rtl/>
          <w:lang w:bidi="ar-IQ"/>
        </w:rPr>
        <w:t>إ</w:t>
      </w:r>
      <w:r w:rsidRPr="00904FCB">
        <w:rPr>
          <w:rFonts w:hint="cs"/>
          <w:rtl/>
          <w:lang w:bidi="ar-IQ"/>
        </w:rPr>
        <w:t>زالة وجودهم واستئصالهم</w:t>
      </w:r>
      <w:r w:rsidR="00070E6B" w:rsidRPr="00904FCB">
        <w:rPr>
          <w:rFonts w:hint="cs"/>
          <w:rtl/>
          <w:lang w:bidi="ar-IQ"/>
        </w:rPr>
        <w:t>.</w:t>
      </w:r>
      <w:r w:rsidRPr="00904FCB">
        <w:rPr>
          <w:rFonts w:hint="cs"/>
          <w:rtl/>
          <w:lang w:bidi="ar-IQ"/>
        </w:rPr>
        <w:t xml:space="preserve"> لذلك نشهد </w:t>
      </w:r>
      <w:r w:rsidR="00070E6B" w:rsidRPr="00904FCB">
        <w:rPr>
          <w:rFonts w:hint="cs"/>
          <w:rtl/>
          <w:lang w:bidi="ar-IQ"/>
        </w:rPr>
        <w:t>إ</w:t>
      </w:r>
      <w:r w:rsidRPr="00904FCB">
        <w:rPr>
          <w:rFonts w:hint="cs"/>
          <w:rtl/>
          <w:lang w:bidi="ar-IQ"/>
        </w:rPr>
        <w:t xml:space="preserve">صرار التوارتيين داخل </w:t>
      </w:r>
      <w:r w:rsidR="00070E6B" w:rsidRPr="00904FCB">
        <w:rPr>
          <w:rFonts w:hint="cs"/>
          <w:rtl/>
          <w:lang w:bidi="ar-IQ"/>
        </w:rPr>
        <w:t>إ</w:t>
      </w:r>
      <w:r w:rsidRPr="00904FCB">
        <w:rPr>
          <w:rFonts w:hint="cs"/>
          <w:rtl/>
          <w:lang w:bidi="ar-IQ"/>
        </w:rPr>
        <w:t>سرائيل وخارجها على حرمان دول العالم ال</w:t>
      </w:r>
      <w:r w:rsidR="00070E6B" w:rsidRPr="00904FCB">
        <w:rPr>
          <w:rFonts w:hint="cs"/>
          <w:rtl/>
          <w:lang w:bidi="ar-IQ"/>
        </w:rPr>
        <w:t>إ</w:t>
      </w:r>
      <w:r w:rsidRPr="00904FCB">
        <w:rPr>
          <w:rFonts w:hint="cs"/>
          <w:rtl/>
          <w:lang w:bidi="ar-IQ"/>
        </w:rPr>
        <w:t>سلامي من تمل</w:t>
      </w:r>
      <w:r w:rsidR="00070E6B" w:rsidRPr="00904FCB">
        <w:rPr>
          <w:rFonts w:hint="cs"/>
          <w:rtl/>
          <w:lang w:bidi="ar-IQ"/>
        </w:rPr>
        <w:t>ُّ</w:t>
      </w:r>
      <w:r w:rsidRPr="00904FCB">
        <w:rPr>
          <w:rFonts w:hint="cs"/>
          <w:rtl/>
          <w:lang w:bidi="ar-IQ"/>
        </w:rPr>
        <w:t>ك التكنولوجيا المتقد</w:t>
      </w:r>
      <w:r w:rsidR="00070E6B" w:rsidRPr="00904FCB">
        <w:rPr>
          <w:rFonts w:hint="cs"/>
          <w:rtl/>
          <w:lang w:bidi="ar-IQ"/>
        </w:rPr>
        <w:t>ّ</w:t>
      </w:r>
      <w:r w:rsidRPr="00904FCB">
        <w:rPr>
          <w:rFonts w:hint="cs"/>
          <w:rtl/>
          <w:lang w:bidi="ar-IQ"/>
        </w:rPr>
        <w:t xml:space="preserve">مة، والتضامن مع </w:t>
      </w:r>
      <w:r w:rsidR="00070E6B" w:rsidRPr="00904FCB">
        <w:rPr>
          <w:rFonts w:hint="cs"/>
          <w:rtl/>
          <w:lang w:bidi="ar-IQ"/>
        </w:rPr>
        <w:t>إ</w:t>
      </w:r>
      <w:r w:rsidRPr="00904FCB">
        <w:rPr>
          <w:rFonts w:hint="cs"/>
          <w:rtl/>
          <w:lang w:bidi="ar-IQ"/>
        </w:rPr>
        <w:t>سرائيل عندما دم</w:t>
      </w:r>
      <w:r w:rsidR="00070E6B" w:rsidRPr="00904FCB">
        <w:rPr>
          <w:rFonts w:hint="cs"/>
          <w:rtl/>
          <w:lang w:bidi="ar-IQ"/>
        </w:rPr>
        <w:t>ّ</w:t>
      </w:r>
      <w:r w:rsidR="00EA3405">
        <w:rPr>
          <w:rFonts w:hint="cs"/>
          <w:rtl/>
          <w:lang w:bidi="ar-IQ"/>
        </w:rPr>
        <w:t>َ</w:t>
      </w:r>
      <w:r w:rsidRPr="00904FCB">
        <w:rPr>
          <w:rFonts w:hint="cs"/>
          <w:rtl/>
          <w:lang w:bidi="ar-IQ"/>
        </w:rPr>
        <w:t>رت المفاعلات النووية في البلدان العربية وال</w:t>
      </w:r>
      <w:r w:rsidR="00070E6B" w:rsidRPr="00904FCB">
        <w:rPr>
          <w:rFonts w:hint="cs"/>
          <w:rtl/>
          <w:lang w:bidi="ar-IQ"/>
        </w:rPr>
        <w:t>إ</w:t>
      </w:r>
      <w:r w:rsidRPr="00904FCB">
        <w:rPr>
          <w:rFonts w:hint="cs"/>
          <w:rtl/>
          <w:lang w:bidi="ar-IQ"/>
        </w:rPr>
        <w:t>سلامية</w:t>
      </w:r>
      <w:r w:rsidR="00070E6B" w:rsidRPr="00904FCB">
        <w:rPr>
          <w:rFonts w:hint="cs"/>
          <w:rtl/>
          <w:lang w:bidi="ar-IQ"/>
        </w:rPr>
        <w:t>،</w:t>
      </w:r>
      <w:r w:rsidRPr="00904FCB">
        <w:rPr>
          <w:rFonts w:hint="cs"/>
          <w:rtl/>
          <w:lang w:bidi="ar-IQ"/>
        </w:rPr>
        <w:t xml:space="preserve"> ومن </w:t>
      </w:r>
      <w:r w:rsidR="00070E6B" w:rsidRPr="00904FCB">
        <w:rPr>
          <w:rFonts w:hint="cs"/>
          <w:rtl/>
          <w:lang w:bidi="ar-IQ"/>
        </w:rPr>
        <w:t>ذ</w:t>
      </w:r>
      <w:r w:rsidRPr="00904FCB">
        <w:rPr>
          <w:rFonts w:hint="cs"/>
          <w:rtl/>
          <w:lang w:bidi="ar-IQ"/>
        </w:rPr>
        <w:t>لك تدميرهم المفاعل النووي العراقي</w:t>
      </w:r>
      <w:r w:rsidR="00070E6B" w:rsidRPr="00904FCB">
        <w:rPr>
          <w:rFonts w:hint="cs"/>
          <w:rtl/>
          <w:lang w:bidi="ar-IQ"/>
        </w:rPr>
        <w:t>،</w:t>
      </w:r>
      <w:r w:rsidRPr="00904FCB">
        <w:rPr>
          <w:rFonts w:hint="cs"/>
          <w:rtl/>
          <w:lang w:bidi="ar-IQ"/>
        </w:rPr>
        <w:t xml:space="preserve"> ومؤس</w:t>
      </w:r>
      <w:r w:rsidR="00070E6B" w:rsidRPr="00904FCB">
        <w:rPr>
          <w:rFonts w:hint="cs"/>
          <w:rtl/>
          <w:lang w:bidi="ar-IQ"/>
        </w:rPr>
        <w:t>ّ</w:t>
      </w:r>
      <w:r w:rsidRPr="00904FCB">
        <w:rPr>
          <w:rFonts w:hint="cs"/>
          <w:rtl/>
          <w:lang w:bidi="ar-IQ"/>
        </w:rPr>
        <w:t>سات الدفاع السورية</w:t>
      </w:r>
      <w:r w:rsidR="00070E6B" w:rsidRPr="00904FCB">
        <w:rPr>
          <w:rFonts w:hint="cs"/>
          <w:rtl/>
          <w:lang w:bidi="ar-IQ"/>
        </w:rPr>
        <w:t>،</w:t>
      </w:r>
      <w:r w:rsidRPr="00904FCB">
        <w:rPr>
          <w:rFonts w:hint="cs"/>
          <w:rtl/>
          <w:lang w:bidi="ar-IQ"/>
        </w:rPr>
        <w:t xml:space="preserve"> وموقفها المتشد</w:t>
      </w:r>
      <w:r w:rsidR="00070E6B" w:rsidRPr="00904FCB">
        <w:rPr>
          <w:rFonts w:hint="cs"/>
          <w:rtl/>
          <w:lang w:bidi="ar-IQ"/>
        </w:rPr>
        <w:t>ِّ</w:t>
      </w:r>
      <w:r w:rsidRPr="00904FCB">
        <w:rPr>
          <w:rFonts w:hint="cs"/>
          <w:rtl/>
          <w:lang w:bidi="ar-IQ"/>
        </w:rPr>
        <w:t>د حالياً من الملف النووي ال</w:t>
      </w:r>
      <w:r w:rsidR="00070E6B" w:rsidRPr="00904FCB">
        <w:rPr>
          <w:rFonts w:hint="cs"/>
          <w:rtl/>
          <w:lang w:bidi="ar-IQ"/>
        </w:rPr>
        <w:t>إ</w:t>
      </w:r>
      <w:r w:rsidRPr="00904FCB">
        <w:rPr>
          <w:rFonts w:hint="cs"/>
          <w:rtl/>
          <w:lang w:bidi="ar-IQ"/>
        </w:rPr>
        <w:t xml:space="preserve">يراني. </w:t>
      </w:r>
    </w:p>
    <w:p w:rsidR="00952E59" w:rsidRPr="00904FCB" w:rsidRDefault="00952E59" w:rsidP="007A21AA">
      <w:pPr>
        <w:spacing w:line="400" w:lineRule="exact"/>
        <w:rPr>
          <w:rtl/>
          <w:lang w:bidi="ar-IQ"/>
        </w:rPr>
      </w:pPr>
      <w:r w:rsidRPr="00904FCB">
        <w:rPr>
          <w:rFonts w:hint="cs"/>
          <w:rtl/>
          <w:lang w:bidi="ar-IQ"/>
        </w:rPr>
        <w:t>مم</w:t>
      </w:r>
      <w:r w:rsidR="00070E6B" w:rsidRPr="00904FCB">
        <w:rPr>
          <w:rFonts w:hint="cs"/>
          <w:rtl/>
          <w:lang w:bidi="ar-IQ"/>
        </w:rPr>
        <w:t>ّ</w:t>
      </w:r>
      <w:r w:rsidRPr="00904FCB">
        <w:rPr>
          <w:rFonts w:hint="cs"/>
          <w:rtl/>
          <w:lang w:bidi="ar-IQ"/>
        </w:rPr>
        <w:t>ا تقد</w:t>
      </w:r>
      <w:r w:rsidR="00070E6B" w:rsidRPr="00904FCB">
        <w:rPr>
          <w:rFonts w:hint="cs"/>
          <w:rtl/>
          <w:lang w:bidi="ar-IQ"/>
        </w:rPr>
        <w:t>ّ</w:t>
      </w:r>
      <w:r w:rsidRPr="00904FCB">
        <w:rPr>
          <w:rFonts w:hint="cs"/>
          <w:rtl/>
          <w:lang w:bidi="ar-IQ"/>
        </w:rPr>
        <w:t xml:space="preserve">م يظهر لنا: </w:t>
      </w:r>
    </w:p>
    <w:p w:rsidR="00952E59" w:rsidRPr="00904FCB" w:rsidRDefault="00952E59" w:rsidP="007A21AA">
      <w:pPr>
        <w:spacing w:line="400" w:lineRule="exact"/>
        <w:rPr>
          <w:lang w:bidi="ar-IQ"/>
        </w:rPr>
      </w:pPr>
      <w:r w:rsidRPr="002F5255">
        <w:rPr>
          <w:rFonts w:hint="cs"/>
          <w:rtl/>
          <w:lang w:bidi="ar-IQ"/>
        </w:rPr>
        <w:t>1ـ أن أتباع الديانة اليهودية</w:t>
      </w:r>
      <w:r w:rsidR="00070E6B" w:rsidRPr="002F5255">
        <w:rPr>
          <w:rFonts w:hint="cs"/>
          <w:rtl/>
          <w:lang w:bidi="ar-IQ"/>
        </w:rPr>
        <w:t>؛</w:t>
      </w:r>
      <w:r w:rsidRPr="002F5255">
        <w:rPr>
          <w:rFonts w:hint="cs"/>
          <w:rtl/>
          <w:lang w:bidi="ar-IQ"/>
        </w:rPr>
        <w:t xml:space="preserve"> وبسبب وجود النصوص الدينية التي تدعوهم </w:t>
      </w:r>
      <w:r w:rsidR="00070E6B" w:rsidRPr="002F5255">
        <w:rPr>
          <w:rFonts w:hint="cs"/>
          <w:rtl/>
          <w:lang w:bidi="ar-IQ"/>
        </w:rPr>
        <w:t>إلى</w:t>
      </w:r>
      <w:r w:rsidR="00070E6B" w:rsidRPr="00904FCB">
        <w:rPr>
          <w:rFonts w:hint="cs"/>
          <w:rtl/>
          <w:lang w:bidi="ar-IQ"/>
        </w:rPr>
        <w:t xml:space="preserve"> ا</w:t>
      </w:r>
      <w:r w:rsidRPr="00904FCB">
        <w:rPr>
          <w:rFonts w:hint="cs"/>
          <w:rtl/>
          <w:lang w:bidi="ar-IQ"/>
        </w:rPr>
        <w:t>لعنف</w:t>
      </w:r>
      <w:r w:rsidR="00070E6B" w:rsidRPr="00904FCB">
        <w:rPr>
          <w:rFonts w:hint="cs"/>
          <w:rtl/>
          <w:lang w:bidi="ar-IQ"/>
        </w:rPr>
        <w:t>،</w:t>
      </w:r>
      <w:r w:rsidRPr="00904FCB">
        <w:rPr>
          <w:rFonts w:hint="cs"/>
          <w:rtl/>
          <w:lang w:bidi="ar-IQ"/>
        </w:rPr>
        <w:t xml:space="preserve"> وتؤس</w:t>
      </w:r>
      <w:r w:rsidR="00070E6B" w:rsidRPr="00904FCB">
        <w:rPr>
          <w:rFonts w:hint="cs"/>
          <w:rtl/>
          <w:lang w:bidi="ar-IQ"/>
        </w:rPr>
        <w:t>ّ</w:t>
      </w:r>
      <w:r w:rsidRPr="00904FCB">
        <w:rPr>
          <w:rFonts w:hint="cs"/>
          <w:rtl/>
          <w:lang w:bidi="ar-IQ"/>
        </w:rPr>
        <w:t>س لهم المشروعية الدينية له</w:t>
      </w:r>
      <w:r w:rsidR="00070E6B" w:rsidRPr="00904FCB">
        <w:rPr>
          <w:rFonts w:hint="cs"/>
          <w:rtl/>
          <w:lang w:bidi="ar-IQ"/>
        </w:rPr>
        <w:t xml:space="preserve">، </w:t>
      </w:r>
      <w:r w:rsidRPr="00904FCB">
        <w:rPr>
          <w:rFonts w:hint="cs"/>
          <w:rtl/>
          <w:lang w:bidi="ar-IQ"/>
        </w:rPr>
        <w:t>ظهرت في أروقتهم النزعات ال</w:t>
      </w:r>
      <w:r w:rsidR="00070E6B" w:rsidRPr="00904FCB">
        <w:rPr>
          <w:rFonts w:hint="cs"/>
          <w:rtl/>
          <w:lang w:bidi="ar-IQ"/>
        </w:rPr>
        <w:t>أ</w:t>
      </w:r>
      <w:r w:rsidRPr="00904FCB">
        <w:rPr>
          <w:rFonts w:hint="cs"/>
          <w:rtl/>
          <w:lang w:bidi="ar-IQ"/>
        </w:rPr>
        <w:t>صولية في ال</w:t>
      </w:r>
      <w:r w:rsidR="00070E6B" w:rsidRPr="00904FCB">
        <w:rPr>
          <w:rFonts w:hint="cs"/>
          <w:rtl/>
          <w:lang w:bidi="ar-IQ"/>
        </w:rPr>
        <w:t>أ</w:t>
      </w:r>
      <w:r w:rsidRPr="00904FCB">
        <w:rPr>
          <w:rFonts w:hint="cs"/>
          <w:rtl/>
          <w:lang w:bidi="ar-IQ"/>
        </w:rPr>
        <w:t>زمان البشري</w:t>
      </w:r>
      <w:r w:rsidR="00070E6B" w:rsidRPr="00904FCB">
        <w:rPr>
          <w:rFonts w:hint="cs"/>
          <w:rtl/>
          <w:lang w:bidi="ar-IQ"/>
        </w:rPr>
        <w:t>ة</w:t>
      </w:r>
      <w:r w:rsidRPr="00904FCB">
        <w:rPr>
          <w:rFonts w:hint="cs"/>
          <w:rtl/>
          <w:lang w:bidi="ar-IQ"/>
        </w:rPr>
        <w:t xml:space="preserve"> ال</w:t>
      </w:r>
      <w:r w:rsidR="00070E6B" w:rsidRPr="00904FCB">
        <w:rPr>
          <w:rFonts w:hint="cs"/>
          <w:rtl/>
          <w:lang w:bidi="ar-IQ"/>
        </w:rPr>
        <w:t>أ</w:t>
      </w:r>
      <w:r w:rsidRPr="00904FCB">
        <w:rPr>
          <w:rFonts w:hint="cs"/>
          <w:rtl/>
          <w:lang w:bidi="ar-IQ"/>
        </w:rPr>
        <w:t>ولى</w:t>
      </w:r>
      <w:r w:rsidR="00070E6B" w:rsidRPr="00904FCB">
        <w:rPr>
          <w:rFonts w:hint="cs"/>
          <w:rtl/>
          <w:lang w:bidi="ar-IQ"/>
        </w:rPr>
        <w:t>،</w:t>
      </w:r>
      <w:r w:rsidRPr="00904FCB">
        <w:rPr>
          <w:rFonts w:hint="cs"/>
          <w:rtl/>
          <w:lang w:bidi="ar-IQ"/>
        </w:rPr>
        <w:t xml:space="preserve"> وفي بواكير التجربة الدينية اليهودية</w:t>
      </w:r>
      <w:r w:rsidR="00070E6B" w:rsidRPr="00904FCB">
        <w:rPr>
          <w:rFonts w:hint="cs"/>
          <w:rtl/>
          <w:lang w:bidi="ar-IQ"/>
        </w:rPr>
        <w:t>.</w:t>
      </w:r>
      <w:r w:rsidRPr="00904FCB">
        <w:rPr>
          <w:rFonts w:hint="cs"/>
          <w:rtl/>
          <w:lang w:bidi="ar-IQ"/>
        </w:rPr>
        <w:t xml:space="preserve"> وكون التشد</w:t>
      </w:r>
      <w:r w:rsidR="00070E6B" w:rsidRPr="00904FCB">
        <w:rPr>
          <w:rFonts w:hint="cs"/>
          <w:rtl/>
          <w:lang w:bidi="ar-IQ"/>
        </w:rPr>
        <w:t>ُّ</w:t>
      </w:r>
      <w:r w:rsidRPr="00904FCB">
        <w:rPr>
          <w:rFonts w:hint="cs"/>
          <w:rtl/>
          <w:lang w:bidi="ar-IQ"/>
        </w:rPr>
        <w:t>د ناتج</w:t>
      </w:r>
      <w:r w:rsidR="00070E6B" w:rsidRPr="00904FCB">
        <w:rPr>
          <w:rFonts w:hint="cs"/>
          <w:rtl/>
          <w:lang w:bidi="ar-IQ"/>
        </w:rPr>
        <w:t>اً</w:t>
      </w:r>
      <w:r w:rsidRPr="00904FCB">
        <w:rPr>
          <w:rFonts w:hint="cs"/>
          <w:rtl/>
          <w:lang w:bidi="ar-IQ"/>
        </w:rPr>
        <w:t xml:space="preserve"> مباشر</w:t>
      </w:r>
      <w:r w:rsidR="00070E6B" w:rsidRPr="00904FCB">
        <w:rPr>
          <w:rFonts w:hint="cs"/>
          <w:rtl/>
          <w:lang w:bidi="ar-IQ"/>
        </w:rPr>
        <w:t>اً</w:t>
      </w:r>
      <w:r w:rsidRPr="00904FCB">
        <w:rPr>
          <w:rFonts w:hint="cs"/>
          <w:rtl/>
          <w:lang w:bidi="ar-IQ"/>
        </w:rPr>
        <w:t xml:space="preserve"> من النص</w:t>
      </w:r>
      <w:r w:rsidR="00070E6B" w:rsidRPr="00904FCB">
        <w:rPr>
          <w:rFonts w:hint="cs"/>
          <w:rtl/>
          <w:lang w:bidi="ar-IQ"/>
        </w:rPr>
        <w:t>ّ</w:t>
      </w:r>
      <w:r w:rsidRPr="00904FCB">
        <w:rPr>
          <w:rFonts w:hint="cs"/>
          <w:rtl/>
          <w:lang w:bidi="ar-IQ"/>
        </w:rPr>
        <w:t xml:space="preserve"> </w:t>
      </w:r>
      <w:r w:rsidR="00070E6B" w:rsidRPr="00904FCB">
        <w:rPr>
          <w:rFonts w:hint="cs"/>
          <w:rtl/>
          <w:lang w:bidi="ar-IQ"/>
        </w:rPr>
        <w:t xml:space="preserve">فإنّه </w:t>
      </w:r>
      <w:r w:rsidRPr="00904FCB">
        <w:rPr>
          <w:rFonts w:hint="cs"/>
          <w:rtl/>
          <w:lang w:bidi="ar-IQ"/>
        </w:rPr>
        <w:t xml:space="preserve">سيكون </w:t>
      </w:r>
      <w:r w:rsidR="00070E6B" w:rsidRPr="00904FCB">
        <w:rPr>
          <w:rFonts w:hint="cs"/>
          <w:rtl/>
          <w:lang w:bidi="ar-IQ"/>
        </w:rPr>
        <w:t>أ</w:t>
      </w:r>
      <w:r w:rsidRPr="00904FCB">
        <w:rPr>
          <w:rFonts w:hint="cs"/>
          <w:rtl/>
          <w:lang w:bidi="ar-IQ"/>
        </w:rPr>
        <w:t>قوى و</w:t>
      </w:r>
      <w:r w:rsidR="00070E6B" w:rsidRPr="00904FCB">
        <w:rPr>
          <w:rFonts w:hint="cs"/>
          <w:rtl/>
          <w:lang w:bidi="ar-IQ"/>
        </w:rPr>
        <w:t>أ</w:t>
      </w:r>
      <w:r w:rsidRPr="00904FCB">
        <w:rPr>
          <w:rFonts w:hint="cs"/>
          <w:rtl/>
          <w:lang w:bidi="ar-IQ"/>
        </w:rPr>
        <w:t xml:space="preserve">شد تأثيراً </w:t>
      </w:r>
      <w:r w:rsidR="00070E6B" w:rsidRPr="00904FCB">
        <w:rPr>
          <w:rFonts w:hint="cs"/>
          <w:rtl/>
          <w:lang w:bidi="ar-IQ"/>
        </w:rPr>
        <w:t>من الناتج</w:t>
      </w:r>
      <w:r w:rsidRPr="00904FCB">
        <w:rPr>
          <w:rFonts w:hint="cs"/>
          <w:rtl/>
          <w:lang w:bidi="ar-IQ"/>
        </w:rPr>
        <w:t xml:space="preserve"> من </w:t>
      </w:r>
      <w:r w:rsidR="00070E6B" w:rsidRPr="00904FCB">
        <w:rPr>
          <w:rFonts w:hint="cs"/>
          <w:rtl/>
          <w:lang w:bidi="ar-IQ"/>
        </w:rPr>
        <w:t>أ</w:t>
      </w:r>
      <w:r w:rsidRPr="00904FCB">
        <w:rPr>
          <w:rFonts w:hint="cs"/>
          <w:rtl/>
          <w:lang w:bidi="ar-IQ"/>
        </w:rPr>
        <w:t>روقة تفسير النص</w:t>
      </w:r>
      <w:r w:rsidR="00070E6B" w:rsidRPr="00904FCB">
        <w:rPr>
          <w:rFonts w:hint="cs"/>
          <w:rtl/>
          <w:lang w:bidi="ar-IQ"/>
        </w:rPr>
        <w:t>ّ</w:t>
      </w:r>
      <w:r w:rsidRPr="00904FCB">
        <w:rPr>
          <w:rFonts w:hint="cs"/>
          <w:rtl/>
          <w:lang w:bidi="ar-IQ"/>
        </w:rPr>
        <w:t xml:space="preserve">. </w:t>
      </w:r>
    </w:p>
    <w:p w:rsidR="00952E59" w:rsidRPr="00904FCB" w:rsidRDefault="00952E59" w:rsidP="007A21AA">
      <w:pPr>
        <w:spacing w:line="400" w:lineRule="exact"/>
        <w:rPr>
          <w:lang w:bidi="ar-IQ"/>
        </w:rPr>
      </w:pPr>
      <w:r w:rsidRPr="002F5255">
        <w:rPr>
          <w:rFonts w:hint="cs"/>
          <w:rtl/>
          <w:lang w:bidi="ar-IQ"/>
        </w:rPr>
        <w:t xml:space="preserve">2ـ لقد </w:t>
      </w:r>
      <w:r w:rsidR="00070E6B" w:rsidRPr="002F5255">
        <w:rPr>
          <w:rFonts w:hint="cs"/>
          <w:rtl/>
          <w:lang w:bidi="ar-IQ"/>
        </w:rPr>
        <w:t>أ</w:t>
      </w:r>
      <w:r w:rsidRPr="002F5255">
        <w:rPr>
          <w:rFonts w:hint="cs"/>
          <w:rtl/>
          <w:lang w:bidi="ar-IQ"/>
        </w:rPr>
        <w:t xml:space="preserve">شار البحث </w:t>
      </w:r>
      <w:r w:rsidR="00070E6B" w:rsidRPr="002F5255">
        <w:rPr>
          <w:rFonts w:hint="cs"/>
          <w:rtl/>
          <w:lang w:bidi="ar-IQ"/>
        </w:rPr>
        <w:t>إ</w:t>
      </w:r>
      <w:r w:rsidRPr="002F5255">
        <w:rPr>
          <w:rFonts w:hint="cs"/>
          <w:rtl/>
          <w:lang w:bidi="ar-IQ"/>
        </w:rPr>
        <w:t>لى صراحة نصوص التوراة والتلمود على ما يثير النزعة</w:t>
      </w:r>
      <w:r w:rsidRPr="00904FCB">
        <w:rPr>
          <w:rFonts w:hint="cs"/>
          <w:rtl/>
          <w:lang w:bidi="ar-IQ"/>
        </w:rPr>
        <w:t xml:space="preserve"> ال</w:t>
      </w:r>
      <w:r w:rsidR="00070E6B" w:rsidRPr="00904FCB">
        <w:rPr>
          <w:rFonts w:hint="cs"/>
          <w:rtl/>
          <w:lang w:bidi="ar-IQ"/>
        </w:rPr>
        <w:t>أ</w:t>
      </w:r>
      <w:r w:rsidRPr="00904FCB">
        <w:rPr>
          <w:rFonts w:hint="cs"/>
          <w:rtl/>
          <w:lang w:bidi="ar-IQ"/>
        </w:rPr>
        <w:t>صولي</w:t>
      </w:r>
      <w:r w:rsidR="00070E6B" w:rsidRPr="00904FCB">
        <w:rPr>
          <w:rFonts w:hint="cs"/>
          <w:rtl/>
          <w:lang w:bidi="ar-IQ"/>
        </w:rPr>
        <w:t>ة</w:t>
      </w:r>
      <w:r w:rsidRPr="00904FCB">
        <w:rPr>
          <w:rFonts w:hint="cs"/>
          <w:rtl/>
          <w:lang w:bidi="ar-IQ"/>
        </w:rPr>
        <w:t xml:space="preserve"> لدى اليهود</w:t>
      </w:r>
      <w:r w:rsidR="00070E6B" w:rsidRPr="00904FCB">
        <w:rPr>
          <w:rFonts w:hint="cs"/>
          <w:rtl/>
          <w:lang w:bidi="ar-IQ"/>
        </w:rPr>
        <w:t>.</w:t>
      </w:r>
      <w:r w:rsidRPr="00904FCB">
        <w:rPr>
          <w:rFonts w:hint="cs"/>
          <w:rtl/>
          <w:lang w:bidi="ar-IQ"/>
        </w:rPr>
        <w:t xml:space="preserve"> ف</w:t>
      </w:r>
      <w:r w:rsidR="00070E6B" w:rsidRPr="00904FCB">
        <w:rPr>
          <w:rFonts w:hint="cs"/>
          <w:rtl/>
          <w:lang w:bidi="ar-IQ"/>
        </w:rPr>
        <w:t>إ</w:t>
      </w:r>
      <w:r w:rsidRPr="00904FCB">
        <w:rPr>
          <w:rFonts w:hint="cs"/>
          <w:rtl/>
          <w:lang w:bidi="ar-IQ"/>
        </w:rPr>
        <w:t>ذا التزمنا بنتائج التحليل السايكولوجي لآثار النص</w:t>
      </w:r>
      <w:r w:rsidR="00070E6B" w:rsidRPr="00904FCB">
        <w:rPr>
          <w:rFonts w:hint="cs"/>
          <w:rtl/>
          <w:lang w:bidi="ar-IQ"/>
        </w:rPr>
        <w:t>ّ</w:t>
      </w:r>
      <w:r w:rsidRPr="00904FCB">
        <w:rPr>
          <w:rFonts w:hint="cs"/>
          <w:rtl/>
          <w:lang w:bidi="ar-IQ"/>
        </w:rPr>
        <w:t xml:space="preserve"> الديني على العقل المعرفي والقيم السلوكية</w:t>
      </w:r>
      <w:r w:rsidR="00070E6B" w:rsidRPr="00904FCB">
        <w:rPr>
          <w:rFonts w:hint="cs"/>
          <w:rtl/>
          <w:lang w:bidi="ar-IQ"/>
        </w:rPr>
        <w:t>،</w:t>
      </w:r>
      <w:r w:rsidRPr="00904FCB">
        <w:rPr>
          <w:rFonts w:hint="cs"/>
          <w:rtl/>
          <w:lang w:bidi="ar-IQ"/>
        </w:rPr>
        <w:t xml:space="preserve"> وعرفنا سوسيولوجيا النصوص الدينية على الدوافع والسلوك</w:t>
      </w:r>
      <w:r w:rsidR="00070E6B" w:rsidRPr="00904FCB">
        <w:rPr>
          <w:rFonts w:hint="cs"/>
          <w:rtl/>
          <w:lang w:bidi="ar-IQ"/>
        </w:rPr>
        <w:t>،</w:t>
      </w:r>
      <w:r w:rsidRPr="00904FCB">
        <w:rPr>
          <w:rFonts w:hint="cs"/>
          <w:rtl/>
          <w:lang w:bidi="ar-IQ"/>
        </w:rPr>
        <w:t xml:space="preserve"> سيتبي</w:t>
      </w:r>
      <w:r w:rsidR="00070E6B" w:rsidRPr="00904FCB">
        <w:rPr>
          <w:rFonts w:hint="cs"/>
          <w:rtl/>
          <w:lang w:bidi="ar-IQ"/>
        </w:rPr>
        <w:t>َّ</w:t>
      </w:r>
      <w:r w:rsidRPr="00904FCB">
        <w:rPr>
          <w:rFonts w:hint="cs"/>
          <w:rtl/>
          <w:lang w:bidi="ar-IQ"/>
        </w:rPr>
        <w:t>ن أثر النصوص على خلق النزاعات ال</w:t>
      </w:r>
      <w:r w:rsidR="00070E6B" w:rsidRPr="00904FCB">
        <w:rPr>
          <w:rFonts w:hint="cs"/>
          <w:rtl/>
          <w:lang w:bidi="ar-IQ"/>
        </w:rPr>
        <w:t>أ</w:t>
      </w:r>
      <w:r w:rsidRPr="00904FCB">
        <w:rPr>
          <w:rFonts w:hint="cs"/>
          <w:rtl/>
          <w:lang w:bidi="ar-IQ"/>
        </w:rPr>
        <w:t xml:space="preserve">صولية. </w:t>
      </w:r>
    </w:p>
    <w:p w:rsidR="00952E59" w:rsidRPr="00904FCB" w:rsidRDefault="00952E59" w:rsidP="007A21AA">
      <w:pPr>
        <w:spacing w:line="400" w:lineRule="exact"/>
        <w:rPr>
          <w:lang w:bidi="ar-IQ"/>
        </w:rPr>
      </w:pPr>
      <w:r w:rsidRPr="002F5255">
        <w:rPr>
          <w:rFonts w:hint="cs"/>
          <w:rtl/>
          <w:lang w:bidi="ar-IQ"/>
        </w:rPr>
        <w:t>3ـ لاحظنا أن باحثين ير</w:t>
      </w:r>
      <w:r w:rsidR="00070E6B" w:rsidRPr="002F5255">
        <w:rPr>
          <w:rFonts w:hint="cs"/>
          <w:rtl/>
          <w:lang w:bidi="ar-IQ"/>
        </w:rPr>
        <w:t>َ</w:t>
      </w:r>
      <w:r w:rsidRPr="002F5255">
        <w:rPr>
          <w:rFonts w:hint="cs"/>
          <w:rtl/>
          <w:lang w:bidi="ar-IQ"/>
        </w:rPr>
        <w:t>و</w:t>
      </w:r>
      <w:r w:rsidR="00070E6B" w:rsidRPr="002F5255">
        <w:rPr>
          <w:rFonts w:hint="cs"/>
          <w:rtl/>
          <w:lang w:bidi="ar-IQ"/>
        </w:rPr>
        <w:t>ْ</w:t>
      </w:r>
      <w:r w:rsidRPr="002F5255">
        <w:rPr>
          <w:rFonts w:hint="cs"/>
          <w:rtl/>
          <w:lang w:bidi="ar-IQ"/>
        </w:rPr>
        <w:t>ن أن الجماعات ال</w:t>
      </w:r>
      <w:r w:rsidR="00070E6B" w:rsidRPr="002F5255">
        <w:rPr>
          <w:rFonts w:hint="cs"/>
          <w:rtl/>
          <w:lang w:bidi="ar-IQ"/>
        </w:rPr>
        <w:t>أ</w:t>
      </w:r>
      <w:r w:rsidRPr="002F5255">
        <w:rPr>
          <w:rFonts w:hint="cs"/>
          <w:rtl/>
          <w:lang w:bidi="ar-IQ"/>
        </w:rPr>
        <w:t>صولي</w:t>
      </w:r>
      <w:r w:rsidR="00070E6B" w:rsidRPr="002F5255">
        <w:rPr>
          <w:rFonts w:hint="cs"/>
          <w:rtl/>
          <w:lang w:bidi="ar-IQ"/>
        </w:rPr>
        <w:t>ة</w:t>
      </w:r>
      <w:r w:rsidRPr="002F5255">
        <w:rPr>
          <w:rFonts w:hint="cs"/>
          <w:rtl/>
          <w:lang w:bidi="ar-IQ"/>
        </w:rPr>
        <w:t xml:space="preserve"> موجودة في كل</w:t>
      </w:r>
      <w:r w:rsidR="00070E6B" w:rsidRPr="002F5255">
        <w:rPr>
          <w:rFonts w:hint="cs"/>
          <w:rtl/>
          <w:lang w:bidi="ar-IQ"/>
        </w:rPr>
        <w:t>ّ</w:t>
      </w:r>
      <w:r w:rsidRPr="002F5255">
        <w:rPr>
          <w:rFonts w:hint="cs"/>
          <w:rtl/>
          <w:lang w:bidi="ar-IQ"/>
        </w:rPr>
        <w:t xml:space="preserve"> ال</w:t>
      </w:r>
      <w:r w:rsidR="00070E6B" w:rsidRPr="002F5255">
        <w:rPr>
          <w:rFonts w:hint="cs"/>
          <w:rtl/>
          <w:lang w:bidi="ar-IQ"/>
        </w:rPr>
        <w:t>أ</w:t>
      </w:r>
      <w:r w:rsidRPr="002F5255">
        <w:rPr>
          <w:rFonts w:hint="cs"/>
          <w:rtl/>
          <w:lang w:bidi="ar-IQ"/>
        </w:rPr>
        <w:t>ديان</w:t>
      </w:r>
      <w:r w:rsidR="00070E6B" w:rsidRPr="002F5255">
        <w:rPr>
          <w:rFonts w:hint="cs"/>
          <w:rtl/>
          <w:lang w:bidi="ar-IQ"/>
        </w:rPr>
        <w:t>،</w:t>
      </w:r>
      <w:r w:rsidRPr="002F5255">
        <w:rPr>
          <w:rFonts w:hint="cs"/>
          <w:rtl/>
          <w:lang w:bidi="ar-IQ"/>
        </w:rPr>
        <w:t xml:space="preserve"> ب</w:t>
      </w:r>
      <w:r w:rsidR="00070E6B" w:rsidRPr="002F5255">
        <w:rPr>
          <w:rFonts w:hint="cs"/>
          <w:rtl/>
          <w:lang w:bidi="ar-IQ"/>
        </w:rPr>
        <w:t>َ</w:t>
      </w:r>
      <w:r w:rsidRPr="002F5255">
        <w:rPr>
          <w:rFonts w:hint="cs"/>
          <w:rtl/>
          <w:lang w:bidi="ar-IQ"/>
        </w:rPr>
        <w:t>ي</w:t>
      </w:r>
      <w:r w:rsidR="00070E6B" w:rsidRPr="002F5255">
        <w:rPr>
          <w:rFonts w:hint="cs"/>
          <w:rtl/>
          <w:lang w:bidi="ar-IQ"/>
        </w:rPr>
        <w:t>ْ</w:t>
      </w:r>
      <w:r w:rsidRPr="002F5255">
        <w:rPr>
          <w:rFonts w:hint="cs"/>
          <w:rtl/>
          <w:lang w:bidi="ar-IQ"/>
        </w:rPr>
        <w:t>د</w:t>
      </w:r>
      <w:r w:rsidR="00070E6B" w:rsidRPr="002F5255">
        <w:rPr>
          <w:rFonts w:hint="cs"/>
          <w:rtl/>
          <w:lang w:bidi="ar-IQ"/>
        </w:rPr>
        <w:t>َ</w:t>
      </w:r>
      <w:r w:rsidRPr="00904FCB">
        <w:rPr>
          <w:rFonts w:hint="cs"/>
          <w:rtl/>
          <w:lang w:bidi="ar-IQ"/>
        </w:rPr>
        <w:t xml:space="preserve"> </w:t>
      </w:r>
      <w:r w:rsidR="00070E6B" w:rsidRPr="00904FCB">
        <w:rPr>
          <w:rFonts w:hint="cs"/>
          <w:rtl/>
          <w:lang w:bidi="ar-IQ"/>
        </w:rPr>
        <w:t>أ</w:t>
      </w:r>
      <w:r w:rsidRPr="00904FCB">
        <w:rPr>
          <w:rFonts w:hint="cs"/>
          <w:rtl/>
          <w:lang w:bidi="ar-IQ"/>
        </w:rPr>
        <w:t>نها ليست دينية</w:t>
      </w:r>
      <w:r w:rsidR="00070E6B" w:rsidRPr="00904FCB">
        <w:rPr>
          <w:rFonts w:hint="cs"/>
          <w:rtl/>
          <w:lang w:bidi="ar-IQ"/>
        </w:rPr>
        <w:t>،</w:t>
      </w:r>
      <w:r w:rsidRPr="00904FCB">
        <w:rPr>
          <w:rFonts w:hint="cs"/>
          <w:rtl/>
          <w:lang w:bidi="ar-IQ"/>
        </w:rPr>
        <w:t xml:space="preserve"> </w:t>
      </w:r>
      <w:r w:rsidR="00070E6B" w:rsidRPr="00904FCB">
        <w:rPr>
          <w:rFonts w:hint="cs"/>
          <w:rtl/>
          <w:lang w:bidi="ar-IQ"/>
        </w:rPr>
        <w:t>إ</w:t>
      </w:r>
      <w:r w:rsidRPr="00904FCB">
        <w:rPr>
          <w:rFonts w:hint="cs"/>
          <w:rtl/>
          <w:lang w:bidi="ar-IQ"/>
        </w:rPr>
        <w:t xml:space="preserve">نما أحزاب سياسية تدعم </w:t>
      </w:r>
      <w:r w:rsidR="00070E6B" w:rsidRPr="00904FCB">
        <w:rPr>
          <w:rFonts w:hint="cs"/>
          <w:rtl/>
          <w:lang w:bidi="ar-IQ"/>
        </w:rPr>
        <w:t>أ</w:t>
      </w:r>
      <w:r w:rsidRPr="00904FCB">
        <w:rPr>
          <w:rFonts w:hint="cs"/>
          <w:rtl/>
          <w:lang w:bidi="ar-IQ"/>
        </w:rPr>
        <w:t>يديولوجيتها وبرامجها بغطاء</w:t>
      </w:r>
      <w:r w:rsidR="00070E6B" w:rsidRPr="00904FCB">
        <w:rPr>
          <w:rFonts w:hint="cs"/>
          <w:rtl/>
          <w:lang w:bidi="ar-IQ"/>
        </w:rPr>
        <w:t>ٍ</w:t>
      </w:r>
      <w:r w:rsidRPr="00904FCB">
        <w:rPr>
          <w:rFonts w:hint="cs"/>
          <w:rtl/>
          <w:lang w:bidi="ar-IQ"/>
        </w:rPr>
        <w:t xml:space="preserve"> ديني</w:t>
      </w:r>
      <w:r w:rsidR="00070E6B" w:rsidRPr="00904FCB">
        <w:rPr>
          <w:rFonts w:hint="cs"/>
          <w:rtl/>
          <w:lang w:bidi="ar-IQ"/>
        </w:rPr>
        <w:t>،</w:t>
      </w:r>
      <w:r w:rsidRPr="00904FCB">
        <w:rPr>
          <w:rFonts w:hint="cs"/>
          <w:rtl/>
          <w:lang w:bidi="ar-IQ"/>
        </w:rPr>
        <w:t xml:space="preserve"> سواء ب</w:t>
      </w:r>
      <w:r w:rsidR="00070E6B" w:rsidRPr="00904FCB">
        <w:rPr>
          <w:rFonts w:hint="cs"/>
          <w:rtl/>
          <w:lang w:bidi="ar-IQ"/>
        </w:rPr>
        <w:t>ا</w:t>
      </w:r>
      <w:r w:rsidRPr="00904FCB">
        <w:rPr>
          <w:rFonts w:hint="cs"/>
          <w:rtl/>
          <w:lang w:bidi="ar-IQ"/>
        </w:rPr>
        <w:t>ستخدام النص الحرفي أو تأويل النص</w:t>
      </w:r>
      <w:r w:rsidR="00070E6B" w:rsidRPr="00904FCB">
        <w:rPr>
          <w:rFonts w:hint="cs"/>
          <w:rtl/>
          <w:lang w:bidi="ar-IQ"/>
        </w:rPr>
        <w:t>ّ</w:t>
      </w:r>
      <w:r w:rsidRPr="00904FCB">
        <w:rPr>
          <w:rFonts w:hint="cs"/>
          <w:rtl/>
          <w:lang w:bidi="ar-IQ"/>
        </w:rPr>
        <w:t xml:space="preserve"> لصالح ا</w:t>
      </w:r>
      <w:r w:rsidR="00070E6B" w:rsidRPr="00904FCB">
        <w:rPr>
          <w:rFonts w:hint="cs"/>
          <w:rtl/>
          <w:lang w:bidi="ar-IQ"/>
        </w:rPr>
        <w:t>لأ</w:t>
      </w:r>
      <w:r w:rsidRPr="00904FCB">
        <w:rPr>
          <w:rFonts w:hint="cs"/>
          <w:rtl/>
          <w:lang w:bidi="ar-IQ"/>
        </w:rPr>
        <w:t>يديولوجيا الأصولية</w:t>
      </w:r>
      <w:r w:rsidR="00070E6B" w:rsidRPr="00904FCB">
        <w:rPr>
          <w:rFonts w:hint="cs"/>
          <w:rtl/>
          <w:lang w:bidi="ar-IQ"/>
        </w:rPr>
        <w:t>.</w:t>
      </w:r>
      <w:r w:rsidRPr="00904FCB">
        <w:rPr>
          <w:rFonts w:hint="cs"/>
          <w:rtl/>
          <w:lang w:bidi="ar-IQ"/>
        </w:rPr>
        <w:t xml:space="preserve"> ومن خلال تتب</w:t>
      </w:r>
      <w:r w:rsidR="00070E6B" w:rsidRPr="00904FCB">
        <w:rPr>
          <w:rFonts w:hint="cs"/>
          <w:rtl/>
          <w:lang w:bidi="ar-IQ"/>
        </w:rPr>
        <w:t>ُّ</w:t>
      </w:r>
      <w:r w:rsidRPr="00904FCB">
        <w:rPr>
          <w:rFonts w:hint="cs"/>
          <w:rtl/>
          <w:lang w:bidi="ar-IQ"/>
        </w:rPr>
        <w:t>ع هذا الاستنتاج في الممارسات ال</w:t>
      </w:r>
      <w:r w:rsidR="00070E6B" w:rsidRPr="00904FCB">
        <w:rPr>
          <w:rFonts w:hint="cs"/>
          <w:rtl/>
          <w:lang w:bidi="ar-IQ"/>
        </w:rPr>
        <w:t>أ</w:t>
      </w:r>
      <w:r w:rsidRPr="00904FCB">
        <w:rPr>
          <w:rFonts w:hint="cs"/>
          <w:rtl/>
          <w:lang w:bidi="ar-IQ"/>
        </w:rPr>
        <w:t>صولية الفكرية كاف</w:t>
      </w:r>
      <w:r w:rsidR="00070E6B" w:rsidRPr="00904FCB">
        <w:rPr>
          <w:rFonts w:hint="cs"/>
          <w:rtl/>
          <w:lang w:bidi="ar-IQ"/>
        </w:rPr>
        <w:t>ّ</w:t>
      </w:r>
      <w:r w:rsidRPr="00904FCB">
        <w:rPr>
          <w:rFonts w:hint="cs"/>
          <w:rtl/>
          <w:lang w:bidi="ar-IQ"/>
        </w:rPr>
        <w:t xml:space="preserve">ة تبين للباحث </w:t>
      </w:r>
      <w:r w:rsidR="00070E6B" w:rsidRPr="00904FCB">
        <w:rPr>
          <w:rFonts w:hint="cs"/>
          <w:rtl/>
          <w:lang w:bidi="ar-IQ"/>
        </w:rPr>
        <w:t>أ</w:t>
      </w:r>
      <w:r w:rsidRPr="00904FCB">
        <w:rPr>
          <w:rFonts w:hint="cs"/>
          <w:rtl/>
          <w:lang w:bidi="ar-IQ"/>
        </w:rPr>
        <w:t>ن هذه الفرضية سمة عام</w:t>
      </w:r>
      <w:r w:rsidR="00070E6B" w:rsidRPr="00904FCB">
        <w:rPr>
          <w:rFonts w:hint="cs"/>
          <w:rtl/>
          <w:lang w:bidi="ar-IQ"/>
        </w:rPr>
        <w:t>ّ</w:t>
      </w:r>
      <w:r w:rsidRPr="00904FCB">
        <w:rPr>
          <w:rFonts w:hint="cs"/>
          <w:rtl/>
          <w:lang w:bidi="ar-IQ"/>
        </w:rPr>
        <w:t>ة موجودة لدى كل</w:t>
      </w:r>
      <w:r w:rsidR="00070E6B" w:rsidRPr="00904FCB">
        <w:rPr>
          <w:rFonts w:hint="cs"/>
          <w:rtl/>
          <w:lang w:bidi="ar-IQ"/>
        </w:rPr>
        <w:t>ّ</w:t>
      </w:r>
      <w:r w:rsidRPr="00904FCB">
        <w:rPr>
          <w:rFonts w:hint="cs"/>
          <w:rtl/>
          <w:lang w:bidi="ar-IQ"/>
        </w:rPr>
        <w:t xml:space="preserve"> ال</w:t>
      </w:r>
      <w:r w:rsidR="00070E6B" w:rsidRPr="00904FCB">
        <w:rPr>
          <w:rFonts w:hint="cs"/>
          <w:rtl/>
          <w:lang w:bidi="ar-IQ"/>
        </w:rPr>
        <w:t>أ</w:t>
      </w:r>
      <w:r w:rsidRPr="00904FCB">
        <w:rPr>
          <w:rFonts w:hint="cs"/>
          <w:rtl/>
          <w:lang w:bidi="ar-IQ"/>
        </w:rPr>
        <w:t xml:space="preserve">صوليات الدينية. </w:t>
      </w:r>
    </w:p>
    <w:p w:rsidR="00952E59" w:rsidRPr="00904FCB" w:rsidRDefault="00952E59" w:rsidP="007A21AA">
      <w:pPr>
        <w:spacing w:line="400" w:lineRule="exact"/>
        <w:rPr>
          <w:lang w:bidi="ar-IQ"/>
        </w:rPr>
      </w:pPr>
      <w:r w:rsidRPr="002F5255">
        <w:rPr>
          <w:rFonts w:hint="cs"/>
          <w:rtl/>
          <w:lang w:bidi="ar-IQ"/>
        </w:rPr>
        <w:t>4ـ أن من آثار النص</w:t>
      </w:r>
      <w:r w:rsidR="00070E6B" w:rsidRPr="002F5255">
        <w:rPr>
          <w:rFonts w:hint="cs"/>
          <w:rtl/>
          <w:lang w:bidi="ar-IQ"/>
        </w:rPr>
        <w:t>ّ</w:t>
      </w:r>
      <w:r w:rsidR="008900DF" w:rsidRPr="002F5255">
        <w:rPr>
          <w:rFonts w:hint="cs"/>
          <w:rtl/>
          <w:lang w:bidi="ar-IQ"/>
        </w:rPr>
        <w:t xml:space="preserve"> على امتلاك</w:t>
      </w:r>
      <w:r w:rsidRPr="002F5255">
        <w:rPr>
          <w:rFonts w:hint="cs"/>
          <w:rtl/>
          <w:lang w:bidi="ar-IQ"/>
        </w:rPr>
        <w:t xml:space="preserve"> الحقيقة النهائية ظاهرة التمر</w:t>
      </w:r>
      <w:r w:rsidR="00070E6B" w:rsidRPr="002F5255">
        <w:rPr>
          <w:rFonts w:hint="cs"/>
          <w:rtl/>
          <w:lang w:bidi="ar-IQ"/>
        </w:rPr>
        <w:t>ّ</w:t>
      </w:r>
      <w:r w:rsidRPr="002F5255">
        <w:rPr>
          <w:rFonts w:hint="cs"/>
          <w:rtl/>
          <w:lang w:bidi="ar-IQ"/>
        </w:rPr>
        <w:t>د اليهودي على</w:t>
      </w:r>
      <w:r w:rsidRPr="00904FCB">
        <w:rPr>
          <w:rFonts w:hint="cs"/>
          <w:rtl/>
          <w:lang w:bidi="ar-IQ"/>
        </w:rPr>
        <w:t xml:space="preserve"> الإجماع ال</w:t>
      </w:r>
      <w:r w:rsidR="00E76D59" w:rsidRPr="00904FCB">
        <w:rPr>
          <w:rFonts w:hint="cs"/>
          <w:rtl/>
          <w:lang w:bidi="ar-IQ"/>
        </w:rPr>
        <w:t>أ</w:t>
      </w:r>
      <w:r w:rsidRPr="00904FCB">
        <w:rPr>
          <w:rFonts w:hint="cs"/>
          <w:rtl/>
          <w:lang w:bidi="ar-IQ"/>
        </w:rPr>
        <w:t>ممي والشرعة الدولية</w:t>
      </w:r>
      <w:r w:rsidR="00E76D59" w:rsidRPr="00904FCB">
        <w:rPr>
          <w:rFonts w:hint="cs"/>
          <w:rtl/>
          <w:lang w:bidi="ar-IQ"/>
        </w:rPr>
        <w:t>،</w:t>
      </w:r>
      <w:r w:rsidRPr="00904FCB">
        <w:rPr>
          <w:rFonts w:hint="cs"/>
          <w:rtl/>
          <w:lang w:bidi="ar-IQ"/>
        </w:rPr>
        <w:t xml:space="preserve"> فهو مسو</w:t>
      </w:r>
      <w:r w:rsidR="00E76D59" w:rsidRPr="00904FCB">
        <w:rPr>
          <w:rFonts w:hint="cs"/>
          <w:rtl/>
          <w:lang w:bidi="ar-IQ"/>
        </w:rPr>
        <w:t>َّ</w:t>
      </w:r>
      <w:r w:rsidRPr="00904FCB">
        <w:rPr>
          <w:rFonts w:hint="cs"/>
          <w:rtl/>
          <w:lang w:bidi="ar-IQ"/>
        </w:rPr>
        <w:t>غ دينياً لدى اليهود</w:t>
      </w:r>
      <w:r w:rsidR="00E76D59" w:rsidRPr="00904FCB">
        <w:rPr>
          <w:rFonts w:hint="cs"/>
          <w:rtl/>
          <w:lang w:bidi="ar-IQ"/>
        </w:rPr>
        <w:t>،</w:t>
      </w:r>
      <w:r w:rsidRPr="00904FCB">
        <w:rPr>
          <w:rFonts w:hint="cs"/>
          <w:rtl/>
          <w:lang w:bidi="ar-IQ"/>
        </w:rPr>
        <w:t xml:space="preserve"> رغم خطورته عالمياً</w:t>
      </w:r>
      <w:r w:rsidR="00E76D59" w:rsidRPr="00904FCB">
        <w:rPr>
          <w:rFonts w:hint="cs"/>
          <w:rtl/>
          <w:lang w:bidi="ar-IQ"/>
        </w:rPr>
        <w:t>.</w:t>
      </w:r>
      <w:r w:rsidRPr="00904FCB">
        <w:rPr>
          <w:rFonts w:hint="cs"/>
          <w:rtl/>
          <w:lang w:bidi="ar-IQ"/>
        </w:rPr>
        <w:t xml:space="preserve"> </w:t>
      </w:r>
      <w:r w:rsidR="00E76D59" w:rsidRPr="00904FCB">
        <w:rPr>
          <w:rFonts w:hint="cs"/>
          <w:rtl/>
          <w:lang w:bidi="ar-IQ"/>
        </w:rPr>
        <w:t xml:space="preserve">وهو </w:t>
      </w:r>
      <w:r w:rsidRPr="00904FCB">
        <w:rPr>
          <w:rFonts w:hint="cs"/>
          <w:rtl/>
          <w:lang w:bidi="ar-IQ"/>
        </w:rPr>
        <w:t>يجعل من ال</w:t>
      </w:r>
      <w:r w:rsidR="00E76D59" w:rsidRPr="00904FCB">
        <w:rPr>
          <w:rFonts w:hint="cs"/>
          <w:rtl/>
          <w:lang w:bidi="ar-IQ"/>
        </w:rPr>
        <w:t>أ</w:t>
      </w:r>
      <w:r w:rsidRPr="00904FCB">
        <w:rPr>
          <w:rFonts w:hint="cs"/>
          <w:rtl/>
          <w:lang w:bidi="ar-IQ"/>
        </w:rPr>
        <w:t>صولية اليهودية بؤرة للتوتر الدولي</w:t>
      </w:r>
      <w:r w:rsidR="00E76D59" w:rsidRPr="00904FCB">
        <w:rPr>
          <w:rFonts w:hint="cs"/>
          <w:rtl/>
          <w:lang w:bidi="ar-IQ"/>
        </w:rPr>
        <w:t>،</w:t>
      </w:r>
      <w:r w:rsidRPr="00904FCB">
        <w:rPr>
          <w:rFonts w:hint="cs"/>
          <w:rtl/>
          <w:lang w:bidi="ar-IQ"/>
        </w:rPr>
        <w:t xml:space="preserve"> و</w:t>
      </w:r>
      <w:r w:rsidR="00E76D59" w:rsidRPr="00904FCB">
        <w:rPr>
          <w:rFonts w:hint="cs"/>
          <w:rtl/>
          <w:lang w:bidi="ar-IQ"/>
        </w:rPr>
        <w:t>ي</w:t>
      </w:r>
      <w:r w:rsidRPr="00904FCB">
        <w:rPr>
          <w:rFonts w:hint="cs"/>
          <w:rtl/>
          <w:lang w:bidi="ar-IQ"/>
        </w:rPr>
        <w:t>جعل من كيانهم نظاماً يزعزع الس</w:t>
      </w:r>
      <w:r w:rsidR="00EA3405">
        <w:rPr>
          <w:rFonts w:hint="cs"/>
          <w:rtl/>
          <w:lang w:bidi="ar-IQ"/>
        </w:rPr>
        <w:t>ِّ</w:t>
      </w:r>
      <w:r w:rsidRPr="00904FCB">
        <w:rPr>
          <w:rFonts w:hint="cs"/>
          <w:rtl/>
          <w:lang w:bidi="ar-IQ"/>
        </w:rPr>
        <w:t>ل</w:t>
      </w:r>
      <w:r w:rsidR="00EA3405">
        <w:rPr>
          <w:rFonts w:hint="cs"/>
          <w:rtl/>
          <w:lang w:bidi="ar-IQ"/>
        </w:rPr>
        <w:t>ْ</w:t>
      </w:r>
      <w:r w:rsidRPr="00904FCB">
        <w:rPr>
          <w:rFonts w:hint="cs"/>
          <w:rtl/>
          <w:lang w:bidi="ar-IQ"/>
        </w:rPr>
        <w:t>م والأمن ال</w:t>
      </w:r>
      <w:r w:rsidR="00E76D59" w:rsidRPr="00904FCB">
        <w:rPr>
          <w:rFonts w:hint="cs"/>
          <w:rtl/>
          <w:lang w:bidi="ar-IQ"/>
        </w:rPr>
        <w:t>إ</w:t>
      </w:r>
      <w:r w:rsidRPr="00904FCB">
        <w:rPr>
          <w:rFonts w:hint="cs"/>
          <w:rtl/>
          <w:lang w:bidi="ar-IQ"/>
        </w:rPr>
        <w:t xml:space="preserve">نساني، في عالم اكتشف </w:t>
      </w:r>
      <w:r w:rsidR="00E76D59" w:rsidRPr="00904FCB">
        <w:rPr>
          <w:rFonts w:hint="cs"/>
          <w:rtl/>
          <w:lang w:bidi="ar-IQ"/>
        </w:rPr>
        <w:t>أ</w:t>
      </w:r>
      <w:r w:rsidRPr="00904FCB">
        <w:rPr>
          <w:rFonts w:hint="cs"/>
          <w:rtl/>
          <w:lang w:bidi="ar-IQ"/>
        </w:rPr>
        <w:t xml:space="preserve">خطر </w:t>
      </w:r>
      <w:r w:rsidR="00E76D59" w:rsidRPr="00904FCB">
        <w:rPr>
          <w:rFonts w:hint="cs"/>
          <w:rtl/>
          <w:lang w:bidi="ar-IQ"/>
        </w:rPr>
        <w:t>أ</w:t>
      </w:r>
      <w:r w:rsidRPr="00904FCB">
        <w:rPr>
          <w:rFonts w:hint="cs"/>
          <w:rtl/>
          <w:lang w:bidi="ar-IQ"/>
        </w:rPr>
        <w:t xml:space="preserve">سلحة الدمار الشامل. </w:t>
      </w:r>
    </w:p>
    <w:p w:rsidR="00952E59" w:rsidRPr="00904FCB" w:rsidRDefault="00952E59" w:rsidP="007A21AA">
      <w:pPr>
        <w:spacing w:line="400" w:lineRule="exact"/>
        <w:rPr>
          <w:lang w:bidi="ar-IQ"/>
        </w:rPr>
      </w:pPr>
      <w:r w:rsidRPr="002F5255">
        <w:rPr>
          <w:rFonts w:hint="cs"/>
          <w:rtl/>
          <w:lang w:bidi="ar-IQ"/>
        </w:rPr>
        <w:t>5ـ أن ال</w:t>
      </w:r>
      <w:r w:rsidR="00E76D59" w:rsidRPr="002F5255">
        <w:rPr>
          <w:rFonts w:hint="cs"/>
          <w:rtl/>
          <w:lang w:bidi="ar-IQ"/>
        </w:rPr>
        <w:t>أ</w:t>
      </w:r>
      <w:r w:rsidRPr="002F5255">
        <w:rPr>
          <w:rFonts w:hint="cs"/>
          <w:rtl/>
          <w:lang w:bidi="ar-IQ"/>
        </w:rPr>
        <w:t>صولي</w:t>
      </w:r>
      <w:r w:rsidR="00E76D59" w:rsidRPr="002F5255">
        <w:rPr>
          <w:rFonts w:hint="cs"/>
          <w:rtl/>
          <w:lang w:bidi="ar-IQ"/>
        </w:rPr>
        <w:t>ة</w:t>
      </w:r>
      <w:r w:rsidRPr="002F5255">
        <w:rPr>
          <w:rFonts w:hint="cs"/>
          <w:rtl/>
          <w:lang w:bidi="ar-IQ"/>
        </w:rPr>
        <w:t xml:space="preserve"> اليهودية تؤمن بتوق</w:t>
      </w:r>
      <w:r w:rsidR="00E76D59" w:rsidRPr="002F5255">
        <w:rPr>
          <w:rFonts w:hint="cs"/>
          <w:rtl/>
          <w:lang w:bidi="ar-IQ"/>
        </w:rPr>
        <w:t>ّ</w:t>
      </w:r>
      <w:r w:rsidRPr="002F5255">
        <w:rPr>
          <w:rFonts w:hint="cs"/>
          <w:rtl/>
          <w:lang w:bidi="ar-IQ"/>
        </w:rPr>
        <w:t>ف التاريخ عند لحظة انتصار اليهود على بقية</w:t>
      </w:r>
      <w:r w:rsidRPr="00904FCB">
        <w:rPr>
          <w:rFonts w:hint="cs"/>
          <w:rtl/>
          <w:lang w:bidi="ar-IQ"/>
        </w:rPr>
        <w:t xml:space="preserve"> ال</w:t>
      </w:r>
      <w:r w:rsidR="00E76D59" w:rsidRPr="00904FCB">
        <w:rPr>
          <w:rFonts w:hint="cs"/>
          <w:rtl/>
          <w:lang w:bidi="ar-IQ"/>
        </w:rPr>
        <w:t>أ</w:t>
      </w:r>
      <w:r w:rsidRPr="00904FCB">
        <w:rPr>
          <w:rFonts w:hint="cs"/>
          <w:rtl/>
          <w:lang w:bidi="ar-IQ"/>
        </w:rPr>
        <w:t>مم</w:t>
      </w:r>
      <w:r w:rsidR="00E76D59" w:rsidRPr="00904FCB">
        <w:rPr>
          <w:rFonts w:hint="cs"/>
          <w:rtl/>
          <w:lang w:bidi="ar-IQ"/>
        </w:rPr>
        <w:t>.</w:t>
      </w:r>
      <w:r w:rsidRPr="00904FCB">
        <w:rPr>
          <w:rFonts w:hint="cs"/>
          <w:rtl/>
          <w:lang w:bidi="ar-IQ"/>
        </w:rPr>
        <w:t xml:space="preserve"> وهي في عرفهم الديني لحظة أنموذجي</w:t>
      </w:r>
      <w:r w:rsidR="00E76D59" w:rsidRPr="00904FCB">
        <w:rPr>
          <w:rFonts w:hint="cs"/>
          <w:rtl/>
          <w:lang w:bidi="ar-IQ"/>
        </w:rPr>
        <w:t>ة،</w:t>
      </w:r>
      <w:r w:rsidRPr="00904FCB">
        <w:rPr>
          <w:rFonts w:hint="cs"/>
          <w:rtl/>
          <w:lang w:bidi="ar-IQ"/>
        </w:rPr>
        <w:t xml:space="preserve"> تكون المعيار للتوج</w:t>
      </w:r>
      <w:r w:rsidR="00E76D59" w:rsidRPr="00904FCB">
        <w:rPr>
          <w:rFonts w:hint="cs"/>
          <w:rtl/>
          <w:lang w:bidi="ar-IQ"/>
        </w:rPr>
        <w:t>ّ</w:t>
      </w:r>
      <w:r w:rsidRPr="00904FCB">
        <w:rPr>
          <w:rFonts w:hint="cs"/>
          <w:rtl/>
          <w:lang w:bidi="ar-IQ"/>
        </w:rPr>
        <w:t>هات والتصو</w:t>
      </w:r>
      <w:r w:rsidR="00E76D59" w:rsidRPr="00904FCB">
        <w:rPr>
          <w:rFonts w:hint="cs"/>
          <w:rtl/>
          <w:lang w:bidi="ar-IQ"/>
        </w:rPr>
        <w:t>ّ</w:t>
      </w:r>
      <w:r w:rsidRPr="00904FCB">
        <w:rPr>
          <w:rFonts w:hint="cs"/>
          <w:rtl/>
          <w:lang w:bidi="ar-IQ"/>
        </w:rPr>
        <w:t xml:space="preserve">رات </w:t>
      </w:r>
      <w:r w:rsidRPr="00904FCB">
        <w:rPr>
          <w:rFonts w:hint="cs"/>
          <w:rtl/>
          <w:lang w:bidi="ar-IQ"/>
        </w:rPr>
        <w:lastRenderedPageBreak/>
        <w:t>اللاحق</w:t>
      </w:r>
      <w:r w:rsidR="00E76D59" w:rsidRPr="00904FCB">
        <w:rPr>
          <w:rFonts w:hint="cs"/>
          <w:rtl/>
          <w:lang w:bidi="ar-IQ"/>
        </w:rPr>
        <w:t>ة.</w:t>
      </w:r>
      <w:r w:rsidRPr="00904FCB">
        <w:rPr>
          <w:rFonts w:hint="cs"/>
          <w:rtl/>
          <w:lang w:bidi="ar-IQ"/>
        </w:rPr>
        <w:t xml:space="preserve"> </w:t>
      </w:r>
      <w:r w:rsidR="00E76D59" w:rsidRPr="00904FCB">
        <w:rPr>
          <w:rFonts w:hint="cs"/>
          <w:rtl/>
          <w:lang w:bidi="ar-IQ"/>
        </w:rPr>
        <w:t>و</w:t>
      </w:r>
      <w:r w:rsidRPr="00904FCB">
        <w:rPr>
          <w:rFonts w:hint="cs"/>
          <w:rtl/>
          <w:lang w:bidi="ar-IQ"/>
        </w:rPr>
        <w:t>قد نجد</w:t>
      </w:r>
      <w:r w:rsidR="00E76D59" w:rsidRPr="00904FCB">
        <w:rPr>
          <w:rFonts w:hint="cs"/>
          <w:rtl/>
          <w:lang w:bidi="ar-IQ"/>
        </w:rPr>
        <w:t xml:space="preserve"> هذا</w:t>
      </w:r>
      <w:r w:rsidRPr="00904FCB">
        <w:rPr>
          <w:rFonts w:hint="cs"/>
          <w:rtl/>
          <w:lang w:bidi="ar-IQ"/>
        </w:rPr>
        <w:t xml:space="preserve"> سمة</w:t>
      </w:r>
      <w:r w:rsidR="00E76D59" w:rsidRPr="00904FCB">
        <w:rPr>
          <w:rFonts w:hint="cs"/>
          <w:rtl/>
          <w:lang w:bidi="ar-IQ"/>
        </w:rPr>
        <w:t>ً</w:t>
      </w:r>
      <w:r w:rsidRPr="00904FCB">
        <w:rPr>
          <w:rFonts w:hint="cs"/>
          <w:rtl/>
          <w:lang w:bidi="ar-IQ"/>
        </w:rPr>
        <w:t xml:space="preserve"> </w:t>
      </w:r>
      <w:r w:rsidR="00E76D59" w:rsidRPr="00904FCB">
        <w:rPr>
          <w:rFonts w:hint="cs"/>
          <w:rtl/>
          <w:lang w:bidi="ar-IQ"/>
        </w:rPr>
        <w:t>عامّة</w:t>
      </w:r>
      <w:r w:rsidRPr="00904FCB">
        <w:rPr>
          <w:rFonts w:hint="cs"/>
          <w:rtl/>
          <w:lang w:bidi="ar-IQ"/>
        </w:rPr>
        <w:t xml:space="preserve"> في سمات كل</w:t>
      </w:r>
      <w:r w:rsidR="00E76D59" w:rsidRPr="00904FCB">
        <w:rPr>
          <w:rFonts w:hint="cs"/>
          <w:rtl/>
          <w:lang w:bidi="ar-IQ"/>
        </w:rPr>
        <w:t>ّ</w:t>
      </w:r>
      <w:r w:rsidRPr="00904FCB">
        <w:rPr>
          <w:rFonts w:hint="cs"/>
          <w:rtl/>
          <w:lang w:bidi="ar-IQ"/>
        </w:rPr>
        <w:t xml:space="preserve"> ال</w:t>
      </w:r>
      <w:r w:rsidR="00E76D59" w:rsidRPr="00904FCB">
        <w:rPr>
          <w:rFonts w:hint="cs"/>
          <w:rtl/>
          <w:lang w:bidi="ar-IQ"/>
        </w:rPr>
        <w:t>أ</w:t>
      </w:r>
      <w:r w:rsidRPr="00904FCB">
        <w:rPr>
          <w:rFonts w:hint="cs"/>
          <w:rtl/>
          <w:lang w:bidi="ar-IQ"/>
        </w:rPr>
        <w:t xml:space="preserve">صوليات الدينية. </w:t>
      </w:r>
    </w:p>
    <w:p w:rsidR="00952E59" w:rsidRPr="00904FCB" w:rsidRDefault="00952E59" w:rsidP="007A21AA">
      <w:pPr>
        <w:spacing w:line="400" w:lineRule="exact"/>
        <w:rPr>
          <w:lang w:bidi="ar-IQ"/>
        </w:rPr>
      </w:pPr>
      <w:r w:rsidRPr="002F5255">
        <w:rPr>
          <w:rFonts w:hint="cs"/>
          <w:rtl/>
          <w:lang w:bidi="ar-IQ"/>
        </w:rPr>
        <w:t>6ـ أن الأصولية اليهودية ترى أن الحروب هي التي تصنع المصير ونهايات التاريخ</w:t>
      </w:r>
      <w:r w:rsidR="00E76D59" w:rsidRPr="002F5255">
        <w:rPr>
          <w:rFonts w:hint="cs"/>
          <w:rtl/>
          <w:lang w:bidi="ar-IQ"/>
        </w:rPr>
        <w:t>،</w:t>
      </w:r>
      <w:r w:rsidRPr="00904FCB">
        <w:rPr>
          <w:rFonts w:hint="cs"/>
          <w:rtl/>
          <w:lang w:bidi="ar-IQ"/>
        </w:rPr>
        <w:t xml:space="preserve"> وليس السلام والتعاون بين ال</w:t>
      </w:r>
      <w:r w:rsidR="00E76D59" w:rsidRPr="00904FCB">
        <w:rPr>
          <w:rFonts w:hint="cs"/>
          <w:rtl/>
          <w:lang w:bidi="ar-IQ"/>
        </w:rPr>
        <w:t>أ</w:t>
      </w:r>
      <w:r w:rsidRPr="00904FCB">
        <w:rPr>
          <w:rFonts w:hint="cs"/>
          <w:rtl/>
          <w:lang w:bidi="ar-IQ"/>
        </w:rPr>
        <w:t xml:space="preserve">مم. </w:t>
      </w:r>
    </w:p>
    <w:p w:rsidR="00952E59" w:rsidRPr="00904FCB" w:rsidRDefault="00952E59" w:rsidP="007A21AA">
      <w:pPr>
        <w:spacing w:line="400" w:lineRule="exact"/>
        <w:rPr>
          <w:lang w:bidi="ar-IQ"/>
        </w:rPr>
      </w:pPr>
      <w:r w:rsidRPr="002F5255">
        <w:rPr>
          <w:rFonts w:hint="cs"/>
          <w:rtl/>
          <w:lang w:bidi="ar-IQ"/>
        </w:rPr>
        <w:t>7ـ أن الارهاب ال</w:t>
      </w:r>
      <w:r w:rsidR="00E76D59" w:rsidRPr="002F5255">
        <w:rPr>
          <w:rFonts w:hint="cs"/>
          <w:rtl/>
          <w:lang w:bidi="ar-IQ"/>
        </w:rPr>
        <w:t>أ</w:t>
      </w:r>
      <w:r w:rsidRPr="002F5255">
        <w:rPr>
          <w:rFonts w:hint="cs"/>
          <w:rtl/>
          <w:lang w:bidi="ar-IQ"/>
        </w:rPr>
        <w:t xml:space="preserve">صولي اليهودي </w:t>
      </w:r>
      <w:r w:rsidR="00E76D59" w:rsidRPr="002F5255">
        <w:rPr>
          <w:rFonts w:hint="cs"/>
          <w:rtl/>
          <w:lang w:bidi="ar-IQ"/>
        </w:rPr>
        <w:t>إ</w:t>
      </w:r>
      <w:r w:rsidRPr="002F5255">
        <w:rPr>
          <w:rFonts w:hint="cs"/>
          <w:rtl/>
          <w:lang w:bidi="ar-IQ"/>
        </w:rPr>
        <w:t xml:space="preserve">زاء الآخر </w:t>
      </w:r>
      <w:r w:rsidR="00E76D59" w:rsidRPr="002F5255">
        <w:rPr>
          <w:rFonts w:hint="cs"/>
          <w:rtl/>
          <w:lang w:bidi="ar-IQ"/>
        </w:rPr>
        <w:t>إ</w:t>
      </w:r>
      <w:r w:rsidRPr="002F5255">
        <w:rPr>
          <w:rFonts w:hint="cs"/>
          <w:rtl/>
          <w:lang w:bidi="ar-IQ"/>
        </w:rPr>
        <w:t>رهاب منظ</w:t>
      </w:r>
      <w:r w:rsidR="00E76D59" w:rsidRPr="002F5255">
        <w:rPr>
          <w:rFonts w:hint="cs"/>
          <w:rtl/>
          <w:lang w:bidi="ar-IQ"/>
        </w:rPr>
        <w:t>َّ</w:t>
      </w:r>
      <w:r w:rsidRPr="002F5255">
        <w:rPr>
          <w:rFonts w:hint="cs"/>
          <w:rtl/>
          <w:lang w:bidi="ar-IQ"/>
        </w:rPr>
        <w:t>م من جهة</w:t>
      </w:r>
      <w:r w:rsidR="00E76D59" w:rsidRPr="002F5255">
        <w:rPr>
          <w:rFonts w:hint="cs"/>
          <w:rtl/>
          <w:lang w:bidi="ar-IQ"/>
        </w:rPr>
        <w:t>ٍ</w:t>
      </w:r>
      <w:r w:rsidRPr="002F5255">
        <w:rPr>
          <w:rFonts w:hint="cs"/>
          <w:rtl/>
          <w:lang w:bidi="ar-IQ"/>
        </w:rPr>
        <w:t>، ومتعد</w:t>
      </w:r>
      <w:r w:rsidR="00E76D59" w:rsidRPr="002F5255">
        <w:rPr>
          <w:rFonts w:hint="cs"/>
          <w:rtl/>
          <w:lang w:bidi="ar-IQ"/>
        </w:rPr>
        <w:t>ِّ</w:t>
      </w:r>
      <w:r w:rsidRPr="002F5255">
        <w:rPr>
          <w:rFonts w:hint="cs"/>
          <w:rtl/>
          <w:lang w:bidi="ar-IQ"/>
        </w:rPr>
        <w:t>د</w:t>
      </w:r>
      <w:r w:rsidRPr="00904FCB">
        <w:rPr>
          <w:rFonts w:hint="cs"/>
          <w:rtl/>
          <w:lang w:bidi="ar-IQ"/>
        </w:rPr>
        <w:t xml:space="preserve"> ال</w:t>
      </w:r>
      <w:r w:rsidR="00E76D59" w:rsidRPr="00904FCB">
        <w:rPr>
          <w:rFonts w:hint="cs"/>
          <w:rtl/>
          <w:lang w:bidi="ar-IQ"/>
        </w:rPr>
        <w:t>أن</w:t>
      </w:r>
      <w:r w:rsidRPr="00904FCB">
        <w:rPr>
          <w:rFonts w:hint="cs"/>
          <w:rtl/>
          <w:lang w:bidi="ar-IQ"/>
        </w:rPr>
        <w:t>واع من جهة أخرى</w:t>
      </w:r>
      <w:r w:rsidR="00E76D59" w:rsidRPr="00904FCB">
        <w:rPr>
          <w:rFonts w:hint="cs"/>
          <w:rtl/>
          <w:lang w:bidi="ar-IQ"/>
        </w:rPr>
        <w:t>.</w:t>
      </w:r>
      <w:r w:rsidRPr="00904FCB">
        <w:rPr>
          <w:rFonts w:hint="cs"/>
          <w:rtl/>
          <w:lang w:bidi="ar-IQ"/>
        </w:rPr>
        <w:t xml:space="preserve"> فهو منظم لأنه ينطلق من خلال السيطرة اليهودي</w:t>
      </w:r>
      <w:r w:rsidR="00E76D59" w:rsidRPr="00904FCB">
        <w:rPr>
          <w:rFonts w:hint="cs"/>
          <w:rtl/>
          <w:lang w:bidi="ar-IQ"/>
        </w:rPr>
        <w:t>ة</w:t>
      </w:r>
      <w:r w:rsidRPr="00904FCB">
        <w:rPr>
          <w:rFonts w:hint="cs"/>
          <w:rtl/>
          <w:lang w:bidi="ar-IQ"/>
        </w:rPr>
        <w:t xml:space="preserve"> الممنهجة على الحركه الدولية لل</w:t>
      </w:r>
      <w:r w:rsidR="00E76D59" w:rsidRPr="00904FCB">
        <w:rPr>
          <w:rFonts w:hint="cs"/>
          <w:rtl/>
          <w:lang w:bidi="ar-IQ"/>
        </w:rPr>
        <w:t>أ</w:t>
      </w:r>
      <w:r w:rsidRPr="00904FCB">
        <w:rPr>
          <w:rFonts w:hint="cs"/>
          <w:rtl/>
          <w:lang w:bidi="ar-IQ"/>
        </w:rPr>
        <w:t xml:space="preserve">موال، </w:t>
      </w:r>
      <w:r w:rsidR="00E76D59" w:rsidRPr="00904FCB">
        <w:rPr>
          <w:rFonts w:hint="cs"/>
          <w:rtl/>
          <w:lang w:bidi="ar-IQ"/>
        </w:rPr>
        <w:t>و</w:t>
      </w:r>
      <w:r w:rsidRPr="00904FCB">
        <w:rPr>
          <w:rFonts w:hint="cs"/>
          <w:rtl/>
          <w:lang w:bidi="ar-IQ"/>
        </w:rPr>
        <w:t xml:space="preserve">على </w:t>
      </w:r>
      <w:r w:rsidR="00E76D59" w:rsidRPr="00904FCB">
        <w:rPr>
          <w:rFonts w:hint="cs"/>
          <w:rtl/>
          <w:lang w:bidi="ar-IQ"/>
        </w:rPr>
        <w:t>إ</w:t>
      </w:r>
      <w:r w:rsidRPr="00904FCB">
        <w:rPr>
          <w:rFonts w:hint="cs"/>
          <w:rtl/>
          <w:lang w:bidi="ar-IQ"/>
        </w:rPr>
        <w:t>مبراطوريات ال</w:t>
      </w:r>
      <w:r w:rsidR="00E76D59" w:rsidRPr="00904FCB">
        <w:rPr>
          <w:rFonts w:hint="cs"/>
          <w:rtl/>
          <w:lang w:bidi="ar-IQ"/>
        </w:rPr>
        <w:t>إ</w:t>
      </w:r>
      <w:r w:rsidRPr="00904FCB">
        <w:rPr>
          <w:rFonts w:hint="cs"/>
          <w:rtl/>
          <w:lang w:bidi="ar-IQ"/>
        </w:rPr>
        <w:t>علام، ودوائر صنع القرار السياسي</w:t>
      </w:r>
      <w:r w:rsidR="00E76D59" w:rsidRPr="00904FCB">
        <w:rPr>
          <w:rFonts w:hint="cs"/>
          <w:rtl/>
          <w:lang w:bidi="ar-IQ"/>
        </w:rPr>
        <w:t>؛</w:t>
      </w:r>
      <w:r w:rsidRPr="00904FCB">
        <w:rPr>
          <w:rFonts w:hint="cs"/>
          <w:rtl/>
          <w:lang w:bidi="ar-IQ"/>
        </w:rPr>
        <w:t xml:space="preserve"> ومتعد</w:t>
      </w:r>
      <w:r w:rsidR="00E76D59" w:rsidRPr="00904FCB">
        <w:rPr>
          <w:rFonts w:hint="cs"/>
          <w:rtl/>
          <w:lang w:bidi="ar-IQ"/>
        </w:rPr>
        <w:t>ِّ</w:t>
      </w:r>
      <w:r w:rsidRPr="00904FCB">
        <w:rPr>
          <w:rFonts w:hint="cs"/>
          <w:rtl/>
          <w:lang w:bidi="ar-IQ"/>
        </w:rPr>
        <w:t>د لأن</w:t>
      </w:r>
      <w:r w:rsidR="00E76D59" w:rsidRPr="00904FCB">
        <w:rPr>
          <w:rFonts w:hint="cs"/>
          <w:rtl/>
          <w:lang w:bidi="ar-IQ"/>
        </w:rPr>
        <w:t>ّ</w:t>
      </w:r>
      <w:r w:rsidRPr="00904FCB">
        <w:rPr>
          <w:rFonts w:hint="cs"/>
          <w:rtl/>
          <w:lang w:bidi="ar-IQ"/>
        </w:rPr>
        <w:t xml:space="preserve">ه يصدر من (دولة </w:t>
      </w:r>
      <w:r w:rsidR="00E76D59" w:rsidRPr="00904FCB">
        <w:rPr>
          <w:rFonts w:hint="cs"/>
          <w:rtl/>
          <w:lang w:bidi="ar-IQ"/>
        </w:rPr>
        <w:t>إ</w:t>
      </w:r>
      <w:r w:rsidRPr="00904FCB">
        <w:rPr>
          <w:rFonts w:hint="cs"/>
          <w:rtl/>
          <w:lang w:bidi="ar-IQ"/>
        </w:rPr>
        <w:t>رهابية أصولية) مثل</w:t>
      </w:r>
      <w:r w:rsidR="00E76D59" w:rsidRPr="00904FCB">
        <w:rPr>
          <w:rFonts w:hint="cs"/>
          <w:rtl/>
          <w:lang w:bidi="ar-IQ"/>
        </w:rPr>
        <w:t>:</w:t>
      </w:r>
      <w:r w:rsidRPr="00904FCB">
        <w:rPr>
          <w:rFonts w:hint="cs"/>
          <w:rtl/>
          <w:lang w:bidi="ar-IQ"/>
        </w:rPr>
        <w:t xml:space="preserve"> </w:t>
      </w:r>
      <w:r w:rsidR="00E76D59" w:rsidRPr="00904FCB">
        <w:rPr>
          <w:rFonts w:hint="cs"/>
          <w:rtl/>
          <w:lang w:bidi="ar-IQ"/>
        </w:rPr>
        <w:t>إ</w:t>
      </w:r>
      <w:r w:rsidRPr="00904FCB">
        <w:rPr>
          <w:rFonts w:hint="cs"/>
          <w:rtl/>
          <w:lang w:bidi="ar-IQ"/>
        </w:rPr>
        <w:t>سرائيل</w:t>
      </w:r>
      <w:r w:rsidR="00E76D59" w:rsidRPr="00904FCB">
        <w:rPr>
          <w:rFonts w:hint="cs"/>
          <w:rtl/>
          <w:lang w:bidi="ar-IQ"/>
        </w:rPr>
        <w:t>،</w:t>
      </w:r>
      <w:r w:rsidRPr="00904FCB">
        <w:rPr>
          <w:rFonts w:hint="cs"/>
          <w:rtl/>
          <w:lang w:bidi="ar-IQ"/>
        </w:rPr>
        <w:t xml:space="preserve"> بحيث يجسد إرهاب الدولة، كما يصدر من أحزاب وجماعات يهودية داخل </w:t>
      </w:r>
      <w:r w:rsidR="00E76D59" w:rsidRPr="00904FCB">
        <w:rPr>
          <w:rFonts w:hint="cs"/>
          <w:rtl/>
          <w:lang w:bidi="ar-IQ"/>
        </w:rPr>
        <w:t>إ</w:t>
      </w:r>
      <w:r w:rsidRPr="00904FCB">
        <w:rPr>
          <w:rFonts w:hint="cs"/>
          <w:rtl/>
          <w:lang w:bidi="ar-IQ"/>
        </w:rPr>
        <w:t>سرائيل وخارجها</w:t>
      </w:r>
      <w:r w:rsidR="00E76D59" w:rsidRPr="00904FCB">
        <w:rPr>
          <w:rFonts w:hint="cs"/>
          <w:rtl/>
          <w:lang w:bidi="ar-IQ"/>
        </w:rPr>
        <w:t>،</w:t>
      </w:r>
      <w:r w:rsidRPr="00904FCB">
        <w:rPr>
          <w:rFonts w:hint="cs"/>
          <w:rtl/>
          <w:lang w:bidi="ar-IQ"/>
        </w:rPr>
        <w:t xml:space="preserve"> بحيث يجس</w:t>
      </w:r>
      <w:r w:rsidR="00E76D59" w:rsidRPr="00904FCB">
        <w:rPr>
          <w:rFonts w:hint="cs"/>
          <w:rtl/>
          <w:lang w:bidi="ar-IQ"/>
        </w:rPr>
        <w:t>ّ</w:t>
      </w:r>
      <w:r w:rsidRPr="00904FCB">
        <w:rPr>
          <w:rFonts w:hint="cs"/>
          <w:rtl/>
          <w:lang w:bidi="ar-IQ"/>
        </w:rPr>
        <w:t>د إرهاب الجماعات والمنظ</w:t>
      </w:r>
      <w:r w:rsidR="00E76D59" w:rsidRPr="00904FCB">
        <w:rPr>
          <w:rFonts w:hint="cs"/>
          <w:rtl/>
          <w:lang w:bidi="ar-IQ"/>
        </w:rPr>
        <w:t>ّ</w:t>
      </w:r>
      <w:r w:rsidRPr="00904FCB">
        <w:rPr>
          <w:rFonts w:hint="cs"/>
          <w:rtl/>
          <w:lang w:bidi="ar-IQ"/>
        </w:rPr>
        <w:t xml:space="preserve">مات. </w:t>
      </w:r>
    </w:p>
    <w:p w:rsidR="00952E59" w:rsidRPr="00904FCB" w:rsidRDefault="00952E59" w:rsidP="007A21AA">
      <w:pPr>
        <w:spacing w:line="400" w:lineRule="exact"/>
        <w:rPr>
          <w:lang w:bidi="ar-IQ"/>
        </w:rPr>
      </w:pPr>
      <w:r w:rsidRPr="002F5255">
        <w:rPr>
          <w:rFonts w:hint="cs"/>
          <w:rtl/>
          <w:lang w:bidi="ar-IQ"/>
        </w:rPr>
        <w:t>8ـ أن ال</w:t>
      </w:r>
      <w:r w:rsidR="00E76D59" w:rsidRPr="002F5255">
        <w:rPr>
          <w:rFonts w:hint="cs"/>
          <w:rtl/>
          <w:lang w:bidi="ar-IQ"/>
        </w:rPr>
        <w:t>أ</w:t>
      </w:r>
      <w:r w:rsidRPr="002F5255">
        <w:rPr>
          <w:rFonts w:hint="cs"/>
          <w:rtl/>
          <w:lang w:bidi="ar-IQ"/>
        </w:rPr>
        <w:t>صولي</w:t>
      </w:r>
      <w:r w:rsidR="00E76D59" w:rsidRPr="002F5255">
        <w:rPr>
          <w:rFonts w:hint="cs"/>
          <w:rtl/>
          <w:lang w:bidi="ar-IQ"/>
        </w:rPr>
        <w:t>ة</w:t>
      </w:r>
      <w:r w:rsidRPr="002F5255">
        <w:rPr>
          <w:rFonts w:hint="cs"/>
          <w:rtl/>
          <w:lang w:bidi="ar-IQ"/>
        </w:rPr>
        <w:t xml:space="preserve"> اليهودي</w:t>
      </w:r>
      <w:r w:rsidR="00E76D59" w:rsidRPr="002F5255">
        <w:rPr>
          <w:rFonts w:hint="cs"/>
          <w:rtl/>
          <w:lang w:bidi="ar-IQ"/>
        </w:rPr>
        <w:t>ة</w:t>
      </w:r>
      <w:r w:rsidRPr="002F5255">
        <w:rPr>
          <w:rFonts w:hint="cs"/>
          <w:rtl/>
          <w:lang w:bidi="ar-IQ"/>
        </w:rPr>
        <w:t xml:space="preserve"> ليست أصولي</w:t>
      </w:r>
      <w:r w:rsidR="00E76D59" w:rsidRPr="002F5255">
        <w:rPr>
          <w:rFonts w:hint="cs"/>
          <w:rtl/>
          <w:lang w:bidi="ar-IQ"/>
        </w:rPr>
        <w:t>ة</w:t>
      </w:r>
      <w:r w:rsidRPr="002F5255">
        <w:rPr>
          <w:rFonts w:hint="cs"/>
          <w:rtl/>
          <w:lang w:bidi="ar-IQ"/>
        </w:rPr>
        <w:t xml:space="preserve"> ديني</w:t>
      </w:r>
      <w:r w:rsidR="00E76D59" w:rsidRPr="002F5255">
        <w:rPr>
          <w:rFonts w:hint="cs"/>
          <w:rtl/>
          <w:lang w:bidi="ar-IQ"/>
        </w:rPr>
        <w:t>ة</w:t>
      </w:r>
      <w:r w:rsidRPr="002F5255">
        <w:rPr>
          <w:rFonts w:hint="cs"/>
          <w:rtl/>
          <w:lang w:bidi="ar-IQ"/>
        </w:rPr>
        <w:t xml:space="preserve"> فقط</w:t>
      </w:r>
      <w:r w:rsidR="00E76D59" w:rsidRPr="002F5255">
        <w:rPr>
          <w:rFonts w:hint="cs"/>
          <w:rtl/>
          <w:lang w:bidi="ar-IQ"/>
        </w:rPr>
        <w:t>،</w:t>
      </w:r>
      <w:r w:rsidRPr="002F5255">
        <w:rPr>
          <w:rFonts w:hint="cs"/>
          <w:rtl/>
          <w:lang w:bidi="ar-IQ"/>
        </w:rPr>
        <w:t xml:space="preserve"> كال</w:t>
      </w:r>
      <w:r w:rsidR="00E76D59" w:rsidRPr="002F5255">
        <w:rPr>
          <w:rFonts w:hint="cs"/>
          <w:rtl/>
          <w:lang w:bidi="ar-IQ"/>
        </w:rPr>
        <w:t>أ</w:t>
      </w:r>
      <w:r w:rsidRPr="002F5255">
        <w:rPr>
          <w:rFonts w:hint="cs"/>
          <w:rtl/>
          <w:lang w:bidi="ar-IQ"/>
        </w:rPr>
        <w:t>صولية ال</w:t>
      </w:r>
      <w:r w:rsidR="00E76D59" w:rsidRPr="002F5255">
        <w:rPr>
          <w:rFonts w:hint="cs"/>
          <w:rtl/>
          <w:lang w:bidi="ar-IQ"/>
        </w:rPr>
        <w:t>إ</w:t>
      </w:r>
      <w:r w:rsidRPr="002F5255">
        <w:rPr>
          <w:rFonts w:hint="cs"/>
          <w:rtl/>
          <w:lang w:bidi="ar-IQ"/>
        </w:rPr>
        <w:t xml:space="preserve">نجيلية </w:t>
      </w:r>
      <w:r w:rsidR="00E76D59" w:rsidRPr="002F5255">
        <w:rPr>
          <w:rFonts w:hint="cs"/>
          <w:rtl/>
          <w:lang w:bidi="ar-IQ"/>
        </w:rPr>
        <w:t>أ</w:t>
      </w:r>
      <w:r w:rsidRPr="002F5255">
        <w:rPr>
          <w:rFonts w:hint="cs"/>
          <w:rtl/>
          <w:lang w:bidi="ar-IQ"/>
        </w:rPr>
        <w:t>و</w:t>
      </w:r>
      <w:r w:rsidRPr="00904FCB">
        <w:rPr>
          <w:rFonts w:hint="cs"/>
          <w:rtl/>
          <w:lang w:bidi="ar-IQ"/>
        </w:rPr>
        <w:t xml:space="preserve"> ال</w:t>
      </w:r>
      <w:r w:rsidR="00E76D59" w:rsidRPr="00904FCB">
        <w:rPr>
          <w:rFonts w:hint="cs"/>
          <w:rtl/>
          <w:lang w:bidi="ar-IQ"/>
        </w:rPr>
        <w:t>إ</w:t>
      </w:r>
      <w:r w:rsidRPr="00904FCB">
        <w:rPr>
          <w:rFonts w:hint="cs"/>
          <w:rtl/>
          <w:lang w:bidi="ar-IQ"/>
        </w:rPr>
        <w:t>سلامية</w:t>
      </w:r>
      <w:r w:rsidR="00E76D59" w:rsidRPr="00904FCB">
        <w:rPr>
          <w:rFonts w:hint="cs"/>
          <w:rtl/>
          <w:lang w:bidi="ar-IQ"/>
        </w:rPr>
        <w:t>،</w:t>
      </w:r>
      <w:r w:rsidRPr="00904FCB">
        <w:rPr>
          <w:rFonts w:hint="cs"/>
          <w:rtl/>
          <w:lang w:bidi="ar-IQ"/>
        </w:rPr>
        <w:t xml:space="preserve"> وليست </w:t>
      </w:r>
      <w:r w:rsidR="00E76D59" w:rsidRPr="00904FCB">
        <w:rPr>
          <w:rFonts w:hint="cs"/>
          <w:rtl/>
          <w:lang w:bidi="ar-IQ"/>
        </w:rPr>
        <w:t>أ</w:t>
      </w:r>
      <w:r w:rsidRPr="00904FCB">
        <w:rPr>
          <w:rFonts w:hint="cs"/>
          <w:rtl/>
          <w:lang w:bidi="ar-IQ"/>
        </w:rPr>
        <w:t>صولية عرقية فقط</w:t>
      </w:r>
      <w:r w:rsidR="00E76D59" w:rsidRPr="00904FCB">
        <w:rPr>
          <w:rFonts w:hint="cs"/>
          <w:rtl/>
          <w:lang w:bidi="ar-IQ"/>
        </w:rPr>
        <w:t>،</w:t>
      </w:r>
      <w:r w:rsidRPr="00904FCB">
        <w:rPr>
          <w:rFonts w:hint="cs"/>
          <w:rtl/>
          <w:lang w:bidi="ar-IQ"/>
        </w:rPr>
        <w:t xml:space="preserve"> كال</w:t>
      </w:r>
      <w:r w:rsidR="00E76D59" w:rsidRPr="00904FCB">
        <w:rPr>
          <w:rFonts w:hint="cs"/>
          <w:rtl/>
          <w:lang w:bidi="ar-IQ"/>
        </w:rPr>
        <w:t>أ</w:t>
      </w:r>
      <w:r w:rsidRPr="00904FCB">
        <w:rPr>
          <w:rFonts w:hint="cs"/>
          <w:rtl/>
          <w:lang w:bidi="ar-IQ"/>
        </w:rPr>
        <w:t>صولية ال</w:t>
      </w:r>
      <w:r w:rsidR="00E76D59" w:rsidRPr="00904FCB">
        <w:rPr>
          <w:rFonts w:hint="cs"/>
          <w:rtl/>
          <w:lang w:bidi="ar-IQ"/>
        </w:rPr>
        <w:t>أ</w:t>
      </w:r>
      <w:r w:rsidRPr="00904FCB">
        <w:rPr>
          <w:rFonts w:hint="cs"/>
          <w:rtl/>
          <w:lang w:bidi="ar-IQ"/>
        </w:rPr>
        <w:t>لمانية</w:t>
      </w:r>
      <w:r w:rsidR="00E76D59" w:rsidRPr="00904FCB">
        <w:rPr>
          <w:rFonts w:hint="cs"/>
          <w:rtl/>
          <w:lang w:bidi="ar-IQ"/>
        </w:rPr>
        <w:t>،</w:t>
      </w:r>
      <w:r w:rsidRPr="00904FCB">
        <w:rPr>
          <w:rFonts w:hint="cs"/>
          <w:rtl/>
          <w:lang w:bidi="ar-IQ"/>
        </w:rPr>
        <w:t xml:space="preserve"> </w:t>
      </w:r>
      <w:r w:rsidR="00E76D59" w:rsidRPr="00904FCB">
        <w:rPr>
          <w:rFonts w:hint="cs"/>
          <w:rtl/>
          <w:lang w:bidi="ar-IQ"/>
        </w:rPr>
        <w:t>إ</w:t>
      </w:r>
      <w:r w:rsidRPr="00904FCB">
        <w:rPr>
          <w:rFonts w:hint="cs"/>
          <w:rtl/>
          <w:lang w:bidi="ar-IQ"/>
        </w:rPr>
        <w:t>نما هي أصولية مرك</w:t>
      </w:r>
      <w:r w:rsidR="00E76D59" w:rsidRPr="00904FCB">
        <w:rPr>
          <w:rFonts w:hint="cs"/>
          <w:rtl/>
          <w:lang w:bidi="ar-IQ"/>
        </w:rPr>
        <w:t>ّبة دينية عرقية مع</w:t>
      </w:r>
      <w:r w:rsidRPr="00904FCB">
        <w:rPr>
          <w:rFonts w:hint="cs"/>
          <w:rtl/>
          <w:lang w:bidi="ar-IQ"/>
        </w:rPr>
        <w:t>ا</w:t>
      </w:r>
      <w:r w:rsidR="00E76D59" w:rsidRPr="00904FCB">
        <w:rPr>
          <w:rFonts w:hint="cs"/>
          <w:rtl/>
          <w:lang w:bidi="ar-IQ"/>
        </w:rPr>
        <w:t>ً،</w:t>
      </w:r>
      <w:r w:rsidRPr="00904FCB">
        <w:rPr>
          <w:rFonts w:hint="cs"/>
          <w:rtl/>
          <w:lang w:bidi="ar-IQ"/>
        </w:rPr>
        <w:t xml:space="preserve"> وقد أنتجت مركباً بين العرق المتمي</w:t>
      </w:r>
      <w:r w:rsidR="00E76D59" w:rsidRPr="00904FCB">
        <w:rPr>
          <w:rFonts w:hint="cs"/>
          <w:rtl/>
          <w:lang w:bidi="ar-IQ"/>
        </w:rPr>
        <w:t>ّ</w:t>
      </w:r>
      <w:r w:rsidRPr="00904FCB">
        <w:rPr>
          <w:rFonts w:hint="cs"/>
          <w:rtl/>
          <w:lang w:bidi="ar-IQ"/>
        </w:rPr>
        <w:t>ز عنصرياً والدين المد</w:t>
      </w:r>
      <w:r w:rsidR="00E76D59" w:rsidRPr="00904FCB">
        <w:rPr>
          <w:rFonts w:hint="cs"/>
          <w:rtl/>
          <w:lang w:bidi="ar-IQ"/>
        </w:rPr>
        <w:t>ّ</w:t>
      </w:r>
      <w:r w:rsidRPr="00904FCB">
        <w:rPr>
          <w:rFonts w:hint="cs"/>
          <w:rtl/>
          <w:lang w:bidi="ar-IQ"/>
        </w:rPr>
        <w:t xml:space="preserve">عى </w:t>
      </w:r>
      <w:r w:rsidR="00E76D59" w:rsidRPr="00904FCB">
        <w:rPr>
          <w:rFonts w:hint="cs"/>
          <w:rtl/>
          <w:lang w:bidi="ar-IQ"/>
        </w:rPr>
        <w:t>أ</w:t>
      </w:r>
      <w:r w:rsidRPr="00904FCB">
        <w:rPr>
          <w:rFonts w:hint="cs"/>
          <w:rtl/>
          <w:lang w:bidi="ar-IQ"/>
        </w:rPr>
        <w:t>نه الطريق ال</w:t>
      </w:r>
      <w:r w:rsidR="00E76D59" w:rsidRPr="00904FCB">
        <w:rPr>
          <w:rFonts w:hint="cs"/>
          <w:rtl/>
          <w:lang w:bidi="ar-IQ"/>
        </w:rPr>
        <w:t>أ</w:t>
      </w:r>
      <w:r w:rsidRPr="00904FCB">
        <w:rPr>
          <w:rFonts w:hint="cs"/>
          <w:rtl/>
          <w:lang w:bidi="ar-IQ"/>
        </w:rPr>
        <w:t>وحد للخلاص، فقد صاغت الصهيونية منهما أصولية</w:t>
      </w:r>
      <w:r w:rsidR="00E76D59" w:rsidRPr="00904FCB">
        <w:rPr>
          <w:rFonts w:hint="cs"/>
          <w:rtl/>
          <w:lang w:bidi="ar-IQ"/>
        </w:rPr>
        <w:t>ً</w:t>
      </w:r>
      <w:r w:rsidRPr="00904FCB">
        <w:rPr>
          <w:rFonts w:hint="cs"/>
          <w:rtl/>
          <w:lang w:bidi="ar-IQ"/>
        </w:rPr>
        <w:t xml:space="preserve"> مزدوجة. </w:t>
      </w:r>
    </w:p>
    <w:p w:rsidR="00E83C22" w:rsidRPr="00904FCB" w:rsidRDefault="00952E59" w:rsidP="007A21AA">
      <w:pPr>
        <w:spacing w:line="400" w:lineRule="exact"/>
        <w:rPr>
          <w:rtl/>
          <w:lang w:bidi="ar-IQ"/>
        </w:rPr>
      </w:pPr>
      <w:r w:rsidRPr="002F5255">
        <w:rPr>
          <w:rFonts w:hint="cs"/>
          <w:rtl/>
          <w:lang w:bidi="ar-IQ"/>
        </w:rPr>
        <w:t>9ـ مم</w:t>
      </w:r>
      <w:r w:rsidR="00E76D59" w:rsidRPr="002F5255">
        <w:rPr>
          <w:rFonts w:hint="cs"/>
          <w:rtl/>
          <w:lang w:bidi="ar-IQ"/>
        </w:rPr>
        <w:t>ّ</w:t>
      </w:r>
      <w:r w:rsidRPr="002F5255">
        <w:rPr>
          <w:rFonts w:hint="cs"/>
          <w:rtl/>
          <w:lang w:bidi="ar-IQ"/>
        </w:rPr>
        <w:t>ا تقد</w:t>
      </w:r>
      <w:r w:rsidR="00E76D59" w:rsidRPr="002F5255">
        <w:rPr>
          <w:rFonts w:hint="cs"/>
          <w:rtl/>
          <w:lang w:bidi="ar-IQ"/>
        </w:rPr>
        <w:t>ّ</w:t>
      </w:r>
      <w:r w:rsidRPr="002F5255">
        <w:rPr>
          <w:rFonts w:hint="cs"/>
          <w:rtl/>
          <w:lang w:bidi="ar-IQ"/>
        </w:rPr>
        <w:t>م من عرض موجز لل</w:t>
      </w:r>
      <w:r w:rsidR="00E76D59" w:rsidRPr="002F5255">
        <w:rPr>
          <w:rFonts w:hint="cs"/>
          <w:rtl/>
          <w:lang w:bidi="ar-IQ"/>
        </w:rPr>
        <w:t>أ</w:t>
      </w:r>
      <w:r w:rsidRPr="002F5255">
        <w:rPr>
          <w:rFonts w:hint="cs"/>
          <w:rtl/>
          <w:lang w:bidi="ar-IQ"/>
        </w:rPr>
        <w:t>صولية اليهودية وأسسها وآثارها يتعز</w:t>
      </w:r>
      <w:r w:rsidR="00E76D59" w:rsidRPr="002F5255">
        <w:rPr>
          <w:rFonts w:hint="cs"/>
          <w:rtl/>
          <w:lang w:bidi="ar-IQ"/>
        </w:rPr>
        <w:t>ّ</w:t>
      </w:r>
      <w:r w:rsidRPr="002F5255">
        <w:rPr>
          <w:rFonts w:hint="cs"/>
          <w:rtl/>
          <w:lang w:bidi="ar-IQ"/>
        </w:rPr>
        <w:t>ز القول</w:t>
      </w:r>
      <w:r w:rsidRPr="00904FCB">
        <w:rPr>
          <w:rFonts w:hint="cs"/>
          <w:rtl/>
          <w:lang w:bidi="ar-IQ"/>
        </w:rPr>
        <w:t xml:space="preserve"> بأن ال</w:t>
      </w:r>
      <w:r w:rsidR="00E76D59" w:rsidRPr="00904FCB">
        <w:rPr>
          <w:rFonts w:hint="cs"/>
          <w:rtl/>
          <w:lang w:bidi="ar-IQ"/>
        </w:rPr>
        <w:t>أ</w:t>
      </w:r>
      <w:r w:rsidRPr="00904FCB">
        <w:rPr>
          <w:rFonts w:hint="cs"/>
          <w:rtl/>
          <w:lang w:bidi="ar-IQ"/>
        </w:rPr>
        <w:t>صوليات ظاهرة قابلة للنشوء والتطو</w:t>
      </w:r>
      <w:r w:rsidR="00E76D59" w:rsidRPr="00904FCB">
        <w:rPr>
          <w:rFonts w:hint="cs"/>
          <w:rtl/>
          <w:lang w:bidi="ar-IQ"/>
        </w:rPr>
        <w:t>ّ</w:t>
      </w:r>
      <w:r w:rsidRPr="00904FCB">
        <w:rPr>
          <w:rFonts w:hint="cs"/>
          <w:rtl/>
          <w:lang w:bidi="ar-IQ"/>
        </w:rPr>
        <w:t>ر في كل</w:t>
      </w:r>
      <w:r w:rsidR="00E76D59" w:rsidRPr="00904FCB">
        <w:rPr>
          <w:rFonts w:hint="cs"/>
          <w:rtl/>
          <w:lang w:bidi="ar-IQ"/>
        </w:rPr>
        <w:t>ّ</w:t>
      </w:r>
      <w:r w:rsidRPr="00904FCB">
        <w:rPr>
          <w:rFonts w:hint="cs"/>
          <w:rtl/>
          <w:lang w:bidi="ar-IQ"/>
        </w:rPr>
        <w:t xml:space="preserve"> المنظومات الثقافية والدينية، وأن حصر ال</w:t>
      </w:r>
      <w:r w:rsidR="00E76D59" w:rsidRPr="00904FCB">
        <w:rPr>
          <w:rFonts w:hint="cs"/>
          <w:rtl/>
          <w:lang w:bidi="ar-IQ"/>
        </w:rPr>
        <w:t>أ</w:t>
      </w:r>
      <w:r w:rsidRPr="00904FCB">
        <w:rPr>
          <w:rFonts w:hint="cs"/>
          <w:rtl/>
          <w:lang w:bidi="ar-IQ"/>
        </w:rPr>
        <w:t>صولية في دين</w:t>
      </w:r>
      <w:r w:rsidR="00E76D59" w:rsidRPr="00904FCB">
        <w:rPr>
          <w:rFonts w:hint="cs"/>
          <w:rtl/>
          <w:lang w:bidi="ar-IQ"/>
        </w:rPr>
        <w:t>ٍ</w:t>
      </w:r>
      <w:r w:rsidRPr="00904FCB">
        <w:rPr>
          <w:rFonts w:hint="cs"/>
          <w:rtl/>
          <w:lang w:bidi="ar-IQ"/>
        </w:rPr>
        <w:t xml:space="preserve"> ما، أو ثقافة</w:t>
      </w:r>
      <w:r w:rsidR="00E76D59" w:rsidRPr="00904FCB">
        <w:rPr>
          <w:rFonts w:hint="cs"/>
          <w:rtl/>
          <w:lang w:bidi="ar-IQ"/>
        </w:rPr>
        <w:t>ٍ</w:t>
      </w:r>
      <w:r w:rsidRPr="00904FCB">
        <w:rPr>
          <w:rFonts w:hint="cs"/>
          <w:rtl/>
          <w:lang w:bidi="ar-IQ"/>
        </w:rPr>
        <w:t xml:space="preserve"> ما، رأي غير سديد</w:t>
      </w:r>
      <w:r w:rsidR="00E76D59" w:rsidRPr="00904FCB">
        <w:rPr>
          <w:rFonts w:hint="cs"/>
          <w:rtl/>
          <w:lang w:bidi="ar-IQ"/>
        </w:rPr>
        <w:t>،</w:t>
      </w:r>
      <w:r w:rsidRPr="00904FCB">
        <w:rPr>
          <w:rFonts w:hint="cs"/>
          <w:rtl/>
          <w:lang w:bidi="ar-IQ"/>
        </w:rPr>
        <w:t xml:space="preserve"> ولا</w:t>
      </w:r>
      <w:r w:rsidR="00E76D59" w:rsidRPr="00904FCB">
        <w:rPr>
          <w:rFonts w:hint="cs"/>
          <w:rtl/>
          <w:lang w:bidi="ar-IQ"/>
        </w:rPr>
        <w:t xml:space="preserve"> </w:t>
      </w:r>
      <w:r w:rsidRPr="00904FCB">
        <w:rPr>
          <w:rFonts w:hint="cs"/>
          <w:rtl/>
          <w:lang w:bidi="ar-IQ"/>
        </w:rPr>
        <w:t>تسنده وقائع وتاريخ ال</w:t>
      </w:r>
      <w:r w:rsidR="00E76D59" w:rsidRPr="00904FCB">
        <w:rPr>
          <w:rFonts w:hint="cs"/>
          <w:rtl/>
          <w:lang w:bidi="ar-IQ"/>
        </w:rPr>
        <w:t>أ</w:t>
      </w:r>
      <w:r w:rsidRPr="00904FCB">
        <w:rPr>
          <w:rFonts w:hint="cs"/>
          <w:rtl/>
          <w:lang w:bidi="ar-IQ"/>
        </w:rPr>
        <w:t>صوليات في العالم القديم والحديث.</w:t>
      </w: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100"/>
          <w:headerReference w:type="default" r:id="rId101"/>
          <w:footerReference w:type="even" r:id="rId102"/>
          <w:footerReference w:type="default" r:id="rId10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104"/>
          <w:headerReference w:type="default" r:id="rId105"/>
          <w:footerReference w:type="even" r:id="rId106"/>
          <w:footerReference w:type="default" r:id="rId107"/>
          <w:headerReference w:type="first" r:id="rId1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211B05" w:rsidP="0059690C">
      <w:pPr>
        <w:pStyle w:val="10"/>
        <w:spacing w:line="240" w:lineRule="auto"/>
        <w:rPr>
          <w:rtl/>
          <w:lang w:bidi="fa-IR"/>
        </w:rPr>
      </w:pPr>
      <w:bookmarkStart w:id="32" w:name="_Toc435577194"/>
      <w:r w:rsidRPr="00904FCB">
        <w:rPr>
          <w:rFonts w:hint="cs"/>
          <w:rtl/>
          <w:lang w:bidi="fa-IR"/>
        </w:rPr>
        <w:t>حقوق الإنسان في البلدان الإسلامية</w:t>
      </w:r>
      <w:bookmarkEnd w:id="32"/>
    </w:p>
    <w:p w:rsidR="00340A76" w:rsidRPr="00715694" w:rsidRDefault="00D67215" w:rsidP="0059690C">
      <w:pPr>
        <w:pStyle w:val="10"/>
        <w:spacing w:line="240" w:lineRule="auto"/>
        <w:rPr>
          <w:sz w:val="42"/>
          <w:szCs w:val="42"/>
          <w:rtl/>
          <w:lang w:bidi="fa-IR"/>
        </w:rPr>
      </w:pPr>
      <w:bookmarkStart w:id="33" w:name="_Toc435577195"/>
      <w:r>
        <w:rPr>
          <w:rFonts w:hint="cs"/>
          <w:sz w:val="42"/>
          <w:szCs w:val="42"/>
          <w:rtl/>
          <w:lang w:bidi="fa-IR"/>
        </w:rPr>
        <w:t>دراسة</w:t>
      </w:r>
      <w:r w:rsidR="00055EC4">
        <w:rPr>
          <w:rFonts w:hint="cs"/>
          <w:sz w:val="42"/>
          <w:szCs w:val="42"/>
          <w:rtl/>
          <w:lang w:bidi="fa-IR"/>
        </w:rPr>
        <w:t>ٌ</w:t>
      </w:r>
      <w:r>
        <w:rPr>
          <w:rFonts w:hint="cs"/>
          <w:sz w:val="42"/>
          <w:szCs w:val="42"/>
          <w:rtl/>
          <w:lang w:bidi="fa-IR"/>
        </w:rPr>
        <w:t xml:space="preserve"> في أ</w:t>
      </w:r>
      <w:r w:rsidR="00340A76" w:rsidRPr="00715694">
        <w:rPr>
          <w:rFonts w:hint="cs"/>
          <w:sz w:val="42"/>
          <w:szCs w:val="42"/>
          <w:rtl/>
          <w:lang w:bidi="fa-IR"/>
        </w:rPr>
        <w:t>سباب الفشل</w:t>
      </w:r>
      <w:bookmarkEnd w:id="33"/>
    </w:p>
    <w:p w:rsidR="00E83C22" w:rsidRPr="00904FCB" w:rsidRDefault="00E83C22" w:rsidP="007A21AA">
      <w:pPr>
        <w:spacing w:line="400" w:lineRule="exact"/>
        <w:rPr>
          <w:rtl/>
        </w:rPr>
      </w:pPr>
    </w:p>
    <w:p w:rsidR="00E83C22" w:rsidRPr="00904FCB" w:rsidRDefault="00340A76" w:rsidP="007A21AA">
      <w:pPr>
        <w:pStyle w:val="Author"/>
        <w:spacing w:line="400" w:lineRule="exact"/>
        <w:rPr>
          <w:rtl/>
        </w:rPr>
      </w:pPr>
      <w:bookmarkStart w:id="34" w:name="_Toc435577196"/>
      <w:r w:rsidRPr="00904FCB">
        <w:rPr>
          <w:rFonts w:hint="cs"/>
          <w:rtl/>
        </w:rPr>
        <w:t>د. حسن طالقاني</w:t>
      </w:r>
      <w:r w:rsidR="00527634" w:rsidRPr="00904FCB">
        <w:rPr>
          <w:rFonts w:cs="Taher" w:hint="cs"/>
          <w:vertAlign w:val="superscript"/>
          <w:rtl/>
        </w:rPr>
        <w:t>(</w:t>
      </w:r>
      <w:r w:rsidR="00527634" w:rsidRPr="00904FCB">
        <w:rPr>
          <w:rFonts w:cs="Taher"/>
          <w:vertAlign w:val="superscript"/>
          <w:rtl/>
        </w:rPr>
        <w:footnoteReference w:customMarkFollows="1" w:id="11"/>
        <w:t>*)</w:t>
      </w:r>
      <w:bookmarkEnd w:id="34"/>
    </w:p>
    <w:p w:rsidR="00E83C22" w:rsidRPr="00904FCB" w:rsidRDefault="00E83C22" w:rsidP="00340A76">
      <w:pPr>
        <w:pStyle w:val="Author"/>
        <w:spacing w:line="400" w:lineRule="exact"/>
        <w:rPr>
          <w:rtl/>
        </w:rPr>
      </w:pPr>
      <w:bookmarkStart w:id="35" w:name="_Toc435577197"/>
      <w:r w:rsidRPr="00904FCB">
        <w:rPr>
          <w:rFonts w:hint="cs"/>
          <w:rtl/>
        </w:rPr>
        <w:t xml:space="preserve">ترجمة: </w:t>
      </w:r>
      <w:r w:rsidR="00340A76" w:rsidRPr="00904FCB">
        <w:rPr>
          <w:rFonts w:hint="cs"/>
          <w:rtl/>
        </w:rPr>
        <w:t>علي الوردي</w:t>
      </w:r>
      <w:bookmarkEnd w:id="35"/>
    </w:p>
    <w:p w:rsidR="00E83C22" w:rsidRPr="00904FCB" w:rsidRDefault="00E83C22" w:rsidP="007A21AA">
      <w:pPr>
        <w:spacing w:line="400" w:lineRule="exact"/>
        <w:rPr>
          <w:rtl/>
        </w:rPr>
      </w:pPr>
    </w:p>
    <w:p w:rsidR="00E83C22" w:rsidRPr="00904FCB" w:rsidRDefault="00ED1FDA" w:rsidP="007A21AA">
      <w:pPr>
        <w:pStyle w:val="31"/>
        <w:spacing w:line="400" w:lineRule="exact"/>
        <w:rPr>
          <w:color w:val="auto"/>
          <w:rtl/>
        </w:rPr>
      </w:pPr>
      <w:r w:rsidRPr="00904FCB">
        <w:rPr>
          <w:rFonts w:hint="cs"/>
          <w:color w:val="auto"/>
          <w:rtl/>
        </w:rPr>
        <w:t>مقدّمة</w:t>
      </w:r>
    </w:p>
    <w:p w:rsidR="00952E59" w:rsidRPr="00904FCB" w:rsidRDefault="00952E59" w:rsidP="00752155">
      <w:pPr>
        <w:rPr>
          <w:rtl/>
          <w:lang w:bidi="ar-AE"/>
        </w:rPr>
      </w:pPr>
      <w:r w:rsidRPr="00904FCB">
        <w:rPr>
          <w:rFonts w:hint="cs"/>
          <w:rtl/>
          <w:lang w:bidi="fa-IR"/>
        </w:rPr>
        <w:t>بعد اجتيازه مراحل تاريخية حافلة بالتجارب والتحو</w:t>
      </w:r>
      <w:r w:rsidR="008602A4" w:rsidRPr="00904FCB">
        <w:rPr>
          <w:rFonts w:hint="cs"/>
          <w:rtl/>
          <w:lang w:bidi="fa-IR"/>
        </w:rPr>
        <w:t>ّ</w:t>
      </w:r>
      <w:r w:rsidRPr="00904FCB">
        <w:rPr>
          <w:rFonts w:hint="cs"/>
          <w:rtl/>
          <w:lang w:bidi="fa-IR"/>
        </w:rPr>
        <w:t>لات أصبح العالم الإسلامي يعد العدّة للدخول إلى العصر الحديث.</w:t>
      </w:r>
    </w:p>
    <w:p w:rsidR="00952E59" w:rsidRPr="00904FCB" w:rsidRDefault="00952E59" w:rsidP="00752155">
      <w:pPr>
        <w:rPr>
          <w:rtl/>
          <w:lang w:bidi="ar-AE"/>
        </w:rPr>
      </w:pPr>
      <w:r w:rsidRPr="00904FCB">
        <w:rPr>
          <w:rFonts w:hint="cs"/>
          <w:rtl/>
          <w:lang w:bidi="ar-AE"/>
        </w:rPr>
        <w:t xml:space="preserve">فقبل حوالي </w:t>
      </w:r>
      <w:r w:rsidRPr="009640F7">
        <w:rPr>
          <w:rFonts w:hint="cs"/>
          <w:rtl/>
          <w:lang w:bidi="ar-AE"/>
        </w:rPr>
        <w:t>200</w:t>
      </w:r>
      <w:r w:rsidRPr="00904FCB">
        <w:rPr>
          <w:rFonts w:hint="cs"/>
          <w:rtl/>
          <w:lang w:bidi="ar-AE"/>
        </w:rPr>
        <w:t xml:space="preserve"> عام، وبالتحديد عندما دق</w:t>
      </w:r>
      <w:r w:rsidR="008602A4" w:rsidRPr="00904FCB">
        <w:rPr>
          <w:rFonts w:hint="cs"/>
          <w:rtl/>
          <w:lang w:bidi="ar-AE"/>
        </w:rPr>
        <w:t>ّ</w:t>
      </w:r>
      <w:r w:rsidRPr="00904FCB">
        <w:rPr>
          <w:rFonts w:hint="cs"/>
          <w:rtl/>
          <w:lang w:bidi="ar-AE"/>
        </w:rPr>
        <w:t>ت مدفعية نابليون بونابرت تمثال أبي الهول في القاهرة</w:t>
      </w:r>
      <w:r w:rsidR="008602A4" w:rsidRPr="00904FCB">
        <w:rPr>
          <w:rFonts w:hint="cs"/>
          <w:rtl/>
          <w:lang w:bidi="ar-AE"/>
        </w:rPr>
        <w:t>،</w:t>
      </w:r>
      <w:r w:rsidRPr="00904FCB">
        <w:rPr>
          <w:rFonts w:hint="cs"/>
          <w:rtl/>
          <w:lang w:bidi="ar-AE"/>
        </w:rPr>
        <w:t xml:space="preserve"> </w:t>
      </w:r>
      <w:r w:rsidR="008602A4" w:rsidRPr="00904FCB">
        <w:rPr>
          <w:rFonts w:hint="cs"/>
          <w:rtl/>
          <w:lang w:bidi="ar-AE"/>
        </w:rPr>
        <w:t>و</w:t>
      </w:r>
      <w:r w:rsidRPr="00904FCB">
        <w:rPr>
          <w:rFonts w:hint="cs"/>
          <w:rtl/>
          <w:lang w:bidi="ar-AE"/>
        </w:rPr>
        <w:t>بالرغم من أنها لم تستطع سوى التقليص من حجم أنفه، إلاّ أن</w:t>
      </w:r>
      <w:r w:rsidR="008602A4" w:rsidRPr="00904FCB">
        <w:rPr>
          <w:rFonts w:hint="cs"/>
          <w:rtl/>
          <w:lang w:bidi="ar-AE"/>
        </w:rPr>
        <w:t>ّ</w:t>
      </w:r>
      <w:r w:rsidRPr="00904FCB">
        <w:rPr>
          <w:rFonts w:hint="cs"/>
          <w:rtl/>
          <w:lang w:bidi="ar-AE"/>
        </w:rPr>
        <w:t xml:space="preserve"> هديرها أيقظ العالم الإسلامي من سبات تأريخي دام عقوداً طويلة. </w:t>
      </w:r>
    </w:p>
    <w:p w:rsidR="00952E59" w:rsidRPr="00904FCB" w:rsidRDefault="00952E59" w:rsidP="00752155">
      <w:pPr>
        <w:rPr>
          <w:rtl/>
          <w:lang w:bidi="ar-AE"/>
        </w:rPr>
      </w:pPr>
      <w:r w:rsidRPr="00904FCB">
        <w:rPr>
          <w:rFonts w:hint="cs"/>
          <w:rtl/>
          <w:lang w:bidi="ar-AE"/>
        </w:rPr>
        <w:t>ومنذ تلك اللحظة بدأ عصر جديد عرف تارةً بعصر النهوض</w:t>
      </w:r>
      <w:r w:rsidR="008602A4" w:rsidRPr="00904FCB">
        <w:rPr>
          <w:rFonts w:hint="cs"/>
          <w:rtl/>
          <w:lang w:bidi="ar-AE"/>
        </w:rPr>
        <w:t>،</w:t>
      </w:r>
      <w:r w:rsidRPr="00904FCB">
        <w:rPr>
          <w:rFonts w:hint="cs"/>
          <w:rtl/>
          <w:lang w:bidi="ar-AE"/>
        </w:rPr>
        <w:t xml:space="preserve"> وأخرى بعصر إحياء الدين</w:t>
      </w:r>
      <w:r w:rsidR="008602A4" w:rsidRPr="00904FCB">
        <w:rPr>
          <w:rFonts w:hint="cs"/>
          <w:rtl/>
          <w:lang w:bidi="ar-AE"/>
        </w:rPr>
        <w:t>،</w:t>
      </w:r>
      <w:r w:rsidRPr="00904FCB">
        <w:rPr>
          <w:rFonts w:hint="cs"/>
          <w:rtl/>
          <w:lang w:bidi="ar-AE"/>
        </w:rPr>
        <w:t xml:space="preserve"> وثالثة بعصر إصلاح الدين</w:t>
      </w:r>
      <w:r w:rsidR="008602A4" w:rsidRPr="00904FCB">
        <w:rPr>
          <w:rFonts w:hint="cs"/>
          <w:rtl/>
          <w:lang w:bidi="ar-AE"/>
        </w:rPr>
        <w:t>.</w:t>
      </w:r>
      <w:r w:rsidRPr="00904FCB">
        <w:rPr>
          <w:rFonts w:hint="cs"/>
          <w:rtl/>
          <w:lang w:bidi="ar-AE"/>
        </w:rPr>
        <w:t xml:space="preserve"> ولا يزال هذا العصر مستمراً إلى يومنا هذا.</w:t>
      </w:r>
    </w:p>
    <w:p w:rsidR="00952E59" w:rsidRPr="00904FCB" w:rsidRDefault="00952E59" w:rsidP="00752155">
      <w:pPr>
        <w:rPr>
          <w:rtl/>
          <w:lang w:bidi="ar-AE"/>
        </w:rPr>
      </w:pPr>
      <w:r w:rsidRPr="00904FCB">
        <w:rPr>
          <w:rFonts w:hint="cs"/>
          <w:rtl/>
          <w:lang w:bidi="ar-AE"/>
        </w:rPr>
        <w:t>وقد شهدت البلدان الإسلامية طيلة القرنين المنصرمين أحداث</w:t>
      </w:r>
      <w:r w:rsidR="008602A4" w:rsidRPr="00904FCB">
        <w:rPr>
          <w:rFonts w:hint="cs"/>
          <w:rtl/>
          <w:lang w:bidi="ar-AE"/>
        </w:rPr>
        <w:t>اً</w:t>
      </w:r>
      <w:r w:rsidRPr="00904FCB">
        <w:rPr>
          <w:rFonts w:hint="cs"/>
          <w:rtl/>
          <w:lang w:bidi="ar-AE"/>
        </w:rPr>
        <w:t xml:space="preserve"> هامة</w:t>
      </w:r>
      <w:r w:rsidR="008602A4" w:rsidRPr="00904FCB">
        <w:rPr>
          <w:rFonts w:hint="cs"/>
          <w:rtl/>
          <w:lang w:bidi="ar-AE"/>
        </w:rPr>
        <w:t>،</w:t>
      </w:r>
      <w:r w:rsidRPr="00904FCB">
        <w:rPr>
          <w:rFonts w:hint="cs"/>
          <w:rtl/>
          <w:lang w:bidi="ar-AE"/>
        </w:rPr>
        <w:t xml:space="preserve"> ألقت ب</w:t>
      </w:r>
      <w:r w:rsidR="008602A4" w:rsidRPr="00904FCB">
        <w:rPr>
          <w:rFonts w:hint="cs"/>
          <w:rtl/>
          <w:lang w:bidi="ar-AE"/>
        </w:rPr>
        <w:t>ظ</w:t>
      </w:r>
      <w:r w:rsidRPr="00904FCB">
        <w:rPr>
          <w:rFonts w:hint="cs"/>
          <w:rtl/>
          <w:lang w:bidi="ar-AE"/>
        </w:rPr>
        <w:t>لالها على مسار العالم الإسلامي بأسره</w:t>
      </w:r>
      <w:r w:rsidR="008602A4" w:rsidRPr="00904FCB">
        <w:rPr>
          <w:rFonts w:hint="cs"/>
          <w:rtl/>
          <w:lang w:bidi="ar-AE"/>
        </w:rPr>
        <w:t>،</w:t>
      </w:r>
      <w:r w:rsidRPr="00904FCB">
        <w:rPr>
          <w:rFonts w:hint="cs"/>
          <w:rtl/>
          <w:lang w:bidi="ar-AE"/>
        </w:rPr>
        <w:t xml:space="preserve"> وربما غيرت ملامحه إلى حد</w:t>
      </w:r>
      <w:r w:rsidR="008602A4" w:rsidRPr="00904FCB">
        <w:rPr>
          <w:rFonts w:hint="cs"/>
          <w:rtl/>
          <w:lang w:bidi="ar-AE"/>
        </w:rPr>
        <w:t>ٍّ</w:t>
      </w:r>
      <w:r w:rsidRPr="00904FCB">
        <w:rPr>
          <w:rFonts w:hint="cs"/>
          <w:rtl/>
          <w:lang w:bidi="ar-AE"/>
        </w:rPr>
        <w:t xml:space="preserve"> بعيد.</w:t>
      </w:r>
    </w:p>
    <w:p w:rsidR="00952E59" w:rsidRPr="00904FCB" w:rsidRDefault="00952E59" w:rsidP="007A21AA">
      <w:pPr>
        <w:spacing w:line="400" w:lineRule="exact"/>
        <w:rPr>
          <w:rtl/>
          <w:lang w:bidi="ar-AE"/>
        </w:rPr>
      </w:pPr>
      <w:r w:rsidRPr="00904FCB">
        <w:rPr>
          <w:rFonts w:hint="cs"/>
          <w:rtl/>
          <w:lang w:bidi="ar-AE"/>
        </w:rPr>
        <w:t>لكن</w:t>
      </w:r>
      <w:r w:rsidR="008602A4" w:rsidRPr="00904FCB">
        <w:rPr>
          <w:rFonts w:hint="cs"/>
          <w:rtl/>
          <w:lang w:bidi="ar-AE"/>
        </w:rPr>
        <w:t>ّ</w:t>
      </w:r>
      <w:r w:rsidRPr="00904FCB">
        <w:rPr>
          <w:rFonts w:hint="cs"/>
          <w:rtl/>
          <w:lang w:bidi="ar-AE"/>
        </w:rPr>
        <w:t xml:space="preserve"> أبرز هذه الأحداث حادثتان وقعتا في العقدين الماضيين</w:t>
      </w:r>
      <w:r w:rsidR="008602A4" w:rsidRPr="00904FCB">
        <w:rPr>
          <w:rFonts w:hint="cs"/>
          <w:rtl/>
          <w:lang w:bidi="ar-AE"/>
        </w:rPr>
        <w:t>،</w:t>
      </w:r>
      <w:r w:rsidRPr="00904FCB">
        <w:rPr>
          <w:rFonts w:hint="cs"/>
          <w:rtl/>
          <w:lang w:bidi="ar-AE"/>
        </w:rPr>
        <w:t xml:space="preserve"> كان لهما أثر</w:t>
      </w:r>
      <w:r w:rsidR="008602A4" w:rsidRPr="00904FCB">
        <w:rPr>
          <w:rFonts w:hint="cs"/>
          <w:rtl/>
          <w:lang w:bidi="ar-AE"/>
        </w:rPr>
        <w:t>ٌ</w:t>
      </w:r>
      <w:r w:rsidRPr="00904FCB">
        <w:rPr>
          <w:rFonts w:hint="cs"/>
          <w:rtl/>
          <w:lang w:bidi="ar-AE"/>
        </w:rPr>
        <w:t xml:space="preserve"> بالغ على العالم الإسلامي.</w:t>
      </w:r>
    </w:p>
    <w:p w:rsidR="008602A4" w:rsidRPr="00904FCB" w:rsidRDefault="00952E59" w:rsidP="007A21AA">
      <w:pPr>
        <w:spacing w:line="400" w:lineRule="exact"/>
        <w:rPr>
          <w:rtl/>
          <w:lang w:bidi="ar-AE"/>
        </w:rPr>
      </w:pPr>
      <w:r w:rsidRPr="00904FCB">
        <w:rPr>
          <w:rFonts w:hint="cs"/>
          <w:b/>
          <w:bCs/>
          <w:rtl/>
          <w:lang w:bidi="ar-AE"/>
        </w:rPr>
        <w:t>أولاهما</w:t>
      </w:r>
      <w:r w:rsidR="008602A4" w:rsidRPr="00904FCB">
        <w:rPr>
          <w:rFonts w:hint="cs"/>
          <w:rtl/>
          <w:lang w:bidi="ar-AE"/>
        </w:rPr>
        <w:t>:</w:t>
      </w:r>
      <w:r w:rsidRPr="00904FCB">
        <w:rPr>
          <w:rFonts w:hint="cs"/>
          <w:rtl/>
          <w:lang w:bidi="ar-AE"/>
        </w:rPr>
        <w:t xml:space="preserve"> الثورة الإسلامية في إيران</w:t>
      </w:r>
      <w:r w:rsidR="008602A4" w:rsidRPr="00904FCB">
        <w:rPr>
          <w:rFonts w:hint="cs"/>
          <w:rtl/>
          <w:lang w:bidi="ar-AE"/>
        </w:rPr>
        <w:t>.</w:t>
      </w:r>
    </w:p>
    <w:p w:rsidR="00952E59" w:rsidRPr="00904FCB" w:rsidRDefault="00952E59" w:rsidP="007A21AA">
      <w:pPr>
        <w:spacing w:line="400" w:lineRule="exact"/>
        <w:rPr>
          <w:rtl/>
          <w:lang w:bidi="ar-AE"/>
        </w:rPr>
      </w:pPr>
      <w:r w:rsidRPr="00904FCB">
        <w:rPr>
          <w:rFonts w:hint="cs"/>
          <w:b/>
          <w:bCs/>
          <w:rtl/>
          <w:lang w:bidi="ar-AE"/>
        </w:rPr>
        <w:t>وثانيهما</w:t>
      </w:r>
      <w:r w:rsidR="008602A4" w:rsidRPr="00904FCB">
        <w:rPr>
          <w:rFonts w:hint="cs"/>
          <w:rtl/>
          <w:lang w:bidi="ar-AE"/>
        </w:rPr>
        <w:t>:</w:t>
      </w:r>
      <w:r w:rsidRPr="00904FCB">
        <w:rPr>
          <w:rFonts w:hint="cs"/>
          <w:rtl/>
          <w:lang w:bidi="ar-AE"/>
        </w:rPr>
        <w:t xml:space="preserve"> </w:t>
      </w:r>
      <w:r w:rsidR="008602A4" w:rsidRPr="00904FCB">
        <w:rPr>
          <w:rFonts w:hint="cs"/>
          <w:rtl/>
          <w:lang w:bidi="ar-AE"/>
        </w:rPr>
        <w:t>ا</w:t>
      </w:r>
      <w:r w:rsidRPr="00904FCB">
        <w:rPr>
          <w:rFonts w:hint="cs"/>
          <w:rtl/>
          <w:lang w:bidi="ar-AE"/>
        </w:rPr>
        <w:t>نهيار ال</w:t>
      </w:r>
      <w:r w:rsidR="008602A4" w:rsidRPr="00904FCB">
        <w:rPr>
          <w:rFonts w:hint="cs"/>
          <w:rtl/>
          <w:lang w:bidi="ar-AE"/>
        </w:rPr>
        <w:t>ا</w:t>
      </w:r>
      <w:r w:rsidRPr="00904FCB">
        <w:rPr>
          <w:rFonts w:hint="cs"/>
          <w:rtl/>
          <w:lang w:bidi="ar-AE"/>
        </w:rPr>
        <w:t>تحاد السوفي</w:t>
      </w:r>
      <w:r w:rsidR="008602A4" w:rsidRPr="00904FCB">
        <w:rPr>
          <w:rFonts w:hint="cs"/>
          <w:rtl/>
          <w:lang w:bidi="ar-AE"/>
        </w:rPr>
        <w:t>ا</w:t>
      </w:r>
      <w:r w:rsidRPr="00904FCB">
        <w:rPr>
          <w:rFonts w:hint="cs"/>
          <w:rtl/>
          <w:lang w:bidi="ar-AE"/>
        </w:rPr>
        <w:t>تي</w:t>
      </w:r>
      <w:r w:rsidR="008602A4" w:rsidRPr="00904FCB">
        <w:rPr>
          <w:rFonts w:hint="cs"/>
          <w:rtl/>
          <w:lang w:bidi="ar-AE"/>
        </w:rPr>
        <w:t>،</w:t>
      </w:r>
      <w:r w:rsidRPr="00904FCB">
        <w:rPr>
          <w:rFonts w:hint="cs"/>
          <w:rtl/>
          <w:lang w:bidi="ar-AE"/>
        </w:rPr>
        <w:t xml:space="preserve"> ونهاية العصر الماركسي اللينيني كنظرية ثورية.</w:t>
      </w:r>
    </w:p>
    <w:p w:rsidR="00952E59" w:rsidRPr="00904FCB" w:rsidRDefault="00952E59" w:rsidP="007A21AA">
      <w:pPr>
        <w:spacing w:line="400" w:lineRule="exact"/>
        <w:rPr>
          <w:rtl/>
          <w:lang w:bidi="ar-AE"/>
        </w:rPr>
      </w:pPr>
      <w:r w:rsidRPr="00904FCB">
        <w:rPr>
          <w:rFonts w:hint="cs"/>
          <w:rtl/>
          <w:lang w:bidi="ar-AE"/>
        </w:rPr>
        <w:lastRenderedPageBreak/>
        <w:t>ويمكننا عدّ أهم</w:t>
      </w:r>
      <w:r w:rsidR="008602A4" w:rsidRPr="00904FCB">
        <w:rPr>
          <w:rFonts w:hint="cs"/>
          <w:rtl/>
          <w:lang w:bidi="ar-AE"/>
        </w:rPr>
        <w:t>ّ</w:t>
      </w:r>
      <w:r w:rsidRPr="00904FCB">
        <w:rPr>
          <w:rFonts w:hint="cs"/>
          <w:rtl/>
          <w:lang w:bidi="ar-AE"/>
        </w:rPr>
        <w:t xml:space="preserve"> إفرازات الثورة الإسلامية وأبرز تأثيراتها على الحركات الثورية الإسلامية المنتشرة في أرجاء العالم الإسلامي هي إكسابها طابعاً سياسياً</w:t>
      </w:r>
      <w:r w:rsidR="00CB1426" w:rsidRPr="00904FCB">
        <w:rPr>
          <w:rFonts w:hint="cs"/>
          <w:rtl/>
          <w:lang w:bidi="ar-AE"/>
        </w:rPr>
        <w:t>،</w:t>
      </w:r>
      <w:r w:rsidRPr="00904FCB">
        <w:rPr>
          <w:rFonts w:hint="cs"/>
          <w:rtl/>
          <w:lang w:bidi="ar-AE"/>
        </w:rPr>
        <w:t xml:space="preserve"> وتحويلها إلى حركات سياسية.</w:t>
      </w:r>
    </w:p>
    <w:p w:rsidR="00952E59" w:rsidRPr="00904FCB" w:rsidRDefault="00952E59" w:rsidP="007A21AA">
      <w:pPr>
        <w:spacing w:line="400" w:lineRule="exact"/>
        <w:rPr>
          <w:rtl/>
          <w:lang w:bidi="ar-AE"/>
        </w:rPr>
      </w:pPr>
      <w:r w:rsidRPr="00904FCB">
        <w:rPr>
          <w:rFonts w:hint="cs"/>
          <w:rtl/>
          <w:lang w:bidi="ar-AE"/>
        </w:rPr>
        <w:t>وقد أدّى هذا التحو</w:t>
      </w:r>
      <w:r w:rsidR="00CB1426" w:rsidRPr="00904FCB">
        <w:rPr>
          <w:rFonts w:hint="cs"/>
          <w:rtl/>
          <w:lang w:bidi="ar-AE"/>
        </w:rPr>
        <w:t>ُّ</w:t>
      </w:r>
      <w:r w:rsidRPr="00904FCB">
        <w:rPr>
          <w:rFonts w:hint="cs"/>
          <w:rtl/>
          <w:lang w:bidi="ar-AE"/>
        </w:rPr>
        <w:t xml:space="preserve">ل الذي شهده المسلمون إلى ظهور </w:t>
      </w:r>
      <w:r w:rsidR="00CB1426" w:rsidRPr="00904FCB">
        <w:rPr>
          <w:rFonts w:hint="cs"/>
          <w:rtl/>
          <w:lang w:bidi="ar-AE"/>
        </w:rPr>
        <w:t>ا</w:t>
      </w:r>
      <w:r w:rsidRPr="00904FCB">
        <w:rPr>
          <w:rFonts w:hint="cs"/>
          <w:rtl/>
          <w:lang w:bidi="ar-AE"/>
        </w:rPr>
        <w:t>تجاهات وأصوات جديدة في سائر البلدان الإسلامية تطالب بتغيير الأوضاع السياسية وال</w:t>
      </w:r>
      <w:r w:rsidR="00CB1426" w:rsidRPr="00904FCB">
        <w:rPr>
          <w:rFonts w:hint="cs"/>
          <w:rtl/>
          <w:lang w:bidi="ar-AE"/>
        </w:rPr>
        <w:t>ا</w:t>
      </w:r>
      <w:r w:rsidRPr="00904FCB">
        <w:rPr>
          <w:rFonts w:hint="cs"/>
          <w:rtl/>
          <w:lang w:bidi="ar-AE"/>
        </w:rPr>
        <w:t>قتصادية والثقافية وال</w:t>
      </w:r>
      <w:r w:rsidR="00CB1426" w:rsidRPr="00904FCB">
        <w:rPr>
          <w:rFonts w:hint="cs"/>
          <w:rtl/>
          <w:lang w:bidi="ar-AE"/>
        </w:rPr>
        <w:t>ا</w:t>
      </w:r>
      <w:r w:rsidRPr="00904FCB">
        <w:rPr>
          <w:rFonts w:hint="cs"/>
          <w:rtl/>
          <w:lang w:bidi="ar-AE"/>
        </w:rPr>
        <w:t>جتماعية</w:t>
      </w:r>
      <w:r w:rsidR="00CB1426" w:rsidRPr="00904FCB">
        <w:rPr>
          <w:rFonts w:hint="cs"/>
          <w:rtl/>
          <w:lang w:bidi="ar-AE"/>
        </w:rPr>
        <w:t>،</w:t>
      </w:r>
      <w:r w:rsidRPr="00904FCB">
        <w:rPr>
          <w:rFonts w:hint="cs"/>
          <w:rtl/>
          <w:lang w:bidi="ar-AE"/>
        </w:rPr>
        <w:t xml:space="preserve"> واستبدال أساليب المواجهة </w:t>
      </w:r>
      <w:r w:rsidR="00CB1426" w:rsidRPr="00904FCB">
        <w:rPr>
          <w:rFonts w:hint="cs"/>
          <w:rtl/>
          <w:lang w:bidi="ar-AE"/>
        </w:rPr>
        <w:t xml:space="preserve">مع </w:t>
      </w:r>
      <w:r w:rsidRPr="00904FCB">
        <w:rPr>
          <w:rFonts w:hint="cs"/>
          <w:rtl/>
          <w:lang w:bidi="ar-AE"/>
        </w:rPr>
        <w:t>الأنظمة الحاكمة بكاف</w:t>
      </w:r>
      <w:r w:rsidR="00CB1426" w:rsidRPr="00904FCB">
        <w:rPr>
          <w:rFonts w:hint="cs"/>
          <w:rtl/>
          <w:lang w:bidi="ar-AE"/>
        </w:rPr>
        <w:t>ّ</w:t>
      </w:r>
      <w:r w:rsidRPr="00904FCB">
        <w:rPr>
          <w:rFonts w:hint="cs"/>
          <w:rtl/>
          <w:lang w:bidi="ar-AE"/>
        </w:rPr>
        <w:t>ة أشكالها.</w:t>
      </w:r>
    </w:p>
    <w:p w:rsidR="00952E59" w:rsidRPr="00904FCB" w:rsidRDefault="00952E59" w:rsidP="007A21AA">
      <w:pPr>
        <w:spacing w:line="400" w:lineRule="exact"/>
        <w:rPr>
          <w:rtl/>
          <w:lang w:bidi="ar-AE"/>
        </w:rPr>
      </w:pPr>
      <w:r w:rsidRPr="00904FCB">
        <w:rPr>
          <w:rFonts w:hint="cs"/>
          <w:rtl/>
          <w:lang w:bidi="ar-AE"/>
        </w:rPr>
        <w:t>وكان لانهيار ال</w:t>
      </w:r>
      <w:r w:rsidR="00CB1426" w:rsidRPr="00904FCB">
        <w:rPr>
          <w:rFonts w:hint="cs"/>
          <w:rtl/>
          <w:lang w:bidi="ar-AE"/>
        </w:rPr>
        <w:t>ا</w:t>
      </w:r>
      <w:r w:rsidRPr="00904FCB">
        <w:rPr>
          <w:rFonts w:hint="cs"/>
          <w:rtl/>
          <w:lang w:bidi="ar-AE"/>
        </w:rPr>
        <w:t>تحاد السوفي</w:t>
      </w:r>
      <w:r w:rsidR="00CB1426" w:rsidRPr="00904FCB">
        <w:rPr>
          <w:rFonts w:hint="cs"/>
          <w:rtl/>
          <w:lang w:bidi="ar-AE"/>
        </w:rPr>
        <w:t>ا</w:t>
      </w:r>
      <w:r w:rsidRPr="00904FCB">
        <w:rPr>
          <w:rFonts w:hint="cs"/>
          <w:rtl/>
          <w:lang w:bidi="ar-AE"/>
        </w:rPr>
        <w:t>تي ونهاية الحرب الباردة أثر</w:t>
      </w:r>
      <w:r w:rsidR="00CB1426" w:rsidRPr="00904FCB">
        <w:rPr>
          <w:rFonts w:hint="cs"/>
          <w:rtl/>
          <w:lang w:bidi="ar-AE"/>
        </w:rPr>
        <w:t>ٌ</w:t>
      </w:r>
      <w:r w:rsidRPr="00904FCB">
        <w:rPr>
          <w:rFonts w:hint="cs"/>
          <w:rtl/>
          <w:lang w:bidi="ar-AE"/>
        </w:rPr>
        <w:t xml:space="preserve"> بالغ على العالم الإسلامي، وذلك ضمن محورين:</w:t>
      </w:r>
    </w:p>
    <w:p w:rsidR="00952E59" w:rsidRPr="00904FCB" w:rsidRDefault="00952E59" w:rsidP="007A21AA">
      <w:pPr>
        <w:spacing w:line="400" w:lineRule="exact"/>
        <w:rPr>
          <w:rtl/>
          <w:lang w:bidi="ar-AE"/>
        </w:rPr>
      </w:pPr>
      <w:r w:rsidRPr="00904FCB">
        <w:rPr>
          <w:rFonts w:hint="cs"/>
          <w:b/>
          <w:bCs/>
          <w:rtl/>
          <w:lang w:bidi="ar-AE"/>
        </w:rPr>
        <w:t>الأو</w:t>
      </w:r>
      <w:r w:rsidR="00CB1426" w:rsidRPr="00904FCB">
        <w:rPr>
          <w:rFonts w:hint="cs"/>
          <w:b/>
          <w:bCs/>
          <w:rtl/>
          <w:lang w:bidi="ar-AE"/>
        </w:rPr>
        <w:t>ّ</w:t>
      </w:r>
      <w:r w:rsidRPr="00904FCB">
        <w:rPr>
          <w:rFonts w:hint="cs"/>
          <w:b/>
          <w:bCs/>
          <w:rtl/>
          <w:lang w:bidi="ar-AE"/>
        </w:rPr>
        <w:t>ل</w:t>
      </w:r>
      <w:r w:rsidRPr="00904FCB">
        <w:rPr>
          <w:rFonts w:hint="cs"/>
          <w:rtl/>
          <w:lang w:bidi="ar-AE"/>
        </w:rPr>
        <w:t>: التحو</w:t>
      </w:r>
      <w:r w:rsidR="00CB1426" w:rsidRPr="00904FCB">
        <w:rPr>
          <w:rFonts w:hint="cs"/>
          <w:rtl/>
          <w:lang w:bidi="ar-AE"/>
        </w:rPr>
        <w:t>ّ</w:t>
      </w:r>
      <w:r w:rsidRPr="00904FCB">
        <w:rPr>
          <w:rFonts w:hint="cs"/>
          <w:rtl/>
          <w:lang w:bidi="ar-AE"/>
        </w:rPr>
        <w:t xml:space="preserve">ل الذي شهدته </w:t>
      </w:r>
      <w:r w:rsidR="00CB1426" w:rsidRPr="00904FCB">
        <w:rPr>
          <w:rFonts w:hint="cs"/>
          <w:rtl/>
          <w:lang w:bidi="ar-AE"/>
        </w:rPr>
        <w:t>ا</w:t>
      </w:r>
      <w:r w:rsidRPr="00904FCB">
        <w:rPr>
          <w:rFonts w:hint="cs"/>
          <w:rtl/>
          <w:lang w:bidi="ar-AE"/>
        </w:rPr>
        <w:t>ستراتيجية الأحزاب اليسارية، التي كان أغلبها ماركسياً، جر</w:t>
      </w:r>
      <w:r w:rsidR="00CB1426" w:rsidRPr="00904FCB">
        <w:rPr>
          <w:rFonts w:hint="cs"/>
          <w:rtl/>
          <w:lang w:bidi="ar-AE"/>
        </w:rPr>
        <w:t>ّ</w:t>
      </w:r>
      <w:r w:rsidRPr="00904FCB">
        <w:rPr>
          <w:rFonts w:hint="cs"/>
          <w:rtl/>
          <w:lang w:bidi="ar-AE"/>
        </w:rPr>
        <w:t>اء الانهيار</w:t>
      </w:r>
      <w:r w:rsidR="00CB1426" w:rsidRPr="00904FCB">
        <w:rPr>
          <w:rFonts w:hint="cs"/>
          <w:rtl/>
          <w:lang w:bidi="ar-AE"/>
        </w:rPr>
        <w:t>.</w:t>
      </w:r>
      <w:r w:rsidRPr="00904FCB">
        <w:rPr>
          <w:rFonts w:hint="cs"/>
          <w:rtl/>
          <w:lang w:bidi="ar-AE"/>
        </w:rPr>
        <w:t xml:space="preserve"> فبعدما كانت رؤيتها تنطلق من صميم المجتمع انعكست للتحو</w:t>
      </w:r>
      <w:r w:rsidR="00CB1426" w:rsidRPr="00904FCB">
        <w:rPr>
          <w:rFonts w:hint="cs"/>
          <w:rtl/>
          <w:lang w:bidi="ar-AE"/>
        </w:rPr>
        <w:t>ّ</w:t>
      </w:r>
      <w:r w:rsidRPr="00904FCB">
        <w:rPr>
          <w:rFonts w:hint="cs"/>
          <w:rtl/>
          <w:lang w:bidi="ar-AE"/>
        </w:rPr>
        <w:t>ل من خارج المجتمع إلى صميمه. وعلى أثر ذلك نشأت علاقات جديدة بين أحزاب اليسار التقليدي من جهة والأحزاب الإسلامية والائتلافات الوطنية من جهة أخرى.</w:t>
      </w:r>
    </w:p>
    <w:p w:rsidR="00952E59" w:rsidRPr="00904FCB" w:rsidRDefault="00952E59" w:rsidP="007A21AA">
      <w:pPr>
        <w:spacing w:line="400" w:lineRule="exact"/>
        <w:rPr>
          <w:rtl/>
          <w:lang w:bidi="ar-AE"/>
        </w:rPr>
      </w:pPr>
      <w:r w:rsidRPr="00904FCB">
        <w:rPr>
          <w:rFonts w:hint="cs"/>
          <w:rtl/>
          <w:lang w:bidi="ar-AE"/>
        </w:rPr>
        <w:t>وقد ساهم ذلك في تقليل حد</w:t>
      </w:r>
      <w:r w:rsidR="00602A60">
        <w:rPr>
          <w:rFonts w:hint="cs"/>
          <w:rtl/>
          <w:lang w:bidi="ar-AE"/>
        </w:rPr>
        <w:t>ّ</w:t>
      </w:r>
      <w:r w:rsidRPr="00904FCB">
        <w:rPr>
          <w:rFonts w:hint="cs"/>
          <w:rtl/>
          <w:lang w:bidi="ar-AE"/>
        </w:rPr>
        <w:t>ة التناقضات الفكرية والسياسية لشريحة كبيرة من الفرقاء السياسيين الذين يمتلكون اتجاهات ورؤى مختلفة.</w:t>
      </w:r>
    </w:p>
    <w:p w:rsidR="00952E59" w:rsidRPr="00904FCB" w:rsidRDefault="00952E59" w:rsidP="007A21AA">
      <w:pPr>
        <w:spacing w:line="400" w:lineRule="exact"/>
        <w:rPr>
          <w:rtl/>
          <w:lang w:bidi="ar-AE"/>
        </w:rPr>
      </w:pPr>
      <w:r w:rsidRPr="00904FCB">
        <w:rPr>
          <w:rFonts w:hint="cs"/>
          <w:rtl/>
          <w:lang w:bidi="ar-AE"/>
        </w:rPr>
        <w:t>فقد أصبحت الأحزاب اليسارية ـ في كثير من الأحيان ـ تتقبل التقاليد الاجتماعية السائدة</w:t>
      </w:r>
      <w:r w:rsidR="00CB1426" w:rsidRPr="00904FCB">
        <w:rPr>
          <w:rFonts w:hint="cs"/>
          <w:rtl/>
          <w:lang w:bidi="ar-AE"/>
        </w:rPr>
        <w:t>، وتعدّها جزءاً</w:t>
      </w:r>
      <w:r w:rsidRPr="00904FCB">
        <w:rPr>
          <w:rFonts w:hint="cs"/>
          <w:rtl/>
          <w:lang w:bidi="ar-AE"/>
        </w:rPr>
        <w:t xml:space="preserve"> من الثقافة الوطنية التي لا</w:t>
      </w:r>
      <w:r w:rsidR="00CB1426" w:rsidRPr="00904FCB">
        <w:rPr>
          <w:rFonts w:hint="cs"/>
          <w:rtl/>
          <w:lang w:bidi="ar-AE"/>
        </w:rPr>
        <w:t xml:space="preserve"> </w:t>
      </w:r>
      <w:r w:rsidRPr="00904FCB">
        <w:rPr>
          <w:rFonts w:hint="cs"/>
          <w:rtl/>
          <w:lang w:bidi="ar-AE"/>
        </w:rPr>
        <w:t>ب</w:t>
      </w:r>
      <w:r w:rsidR="00CB1426" w:rsidRPr="00904FCB">
        <w:rPr>
          <w:rFonts w:hint="cs"/>
          <w:rtl/>
          <w:lang w:bidi="ar-AE"/>
        </w:rPr>
        <w:t>ُ</w:t>
      </w:r>
      <w:r w:rsidRPr="00904FCB">
        <w:rPr>
          <w:rFonts w:hint="cs"/>
          <w:rtl/>
          <w:lang w:bidi="ar-AE"/>
        </w:rPr>
        <w:t>د</w:t>
      </w:r>
      <w:r w:rsidR="00CB1426" w:rsidRPr="00904FCB">
        <w:rPr>
          <w:rFonts w:hint="cs"/>
          <w:rtl/>
          <w:lang w:bidi="ar-AE"/>
        </w:rPr>
        <w:t>َّ</w:t>
      </w:r>
      <w:r w:rsidRPr="00904FCB">
        <w:rPr>
          <w:rFonts w:hint="cs"/>
          <w:rtl/>
          <w:lang w:bidi="ar-AE"/>
        </w:rPr>
        <w:t xml:space="preserve"> من احترامها.</w:t>
      </w:r>
    </w:p>
    <w:p w:rsidR="00952E59" w:rsidRPr="00904FCB" w:rsidRDefault="00952E59" w:rsidP="007A21AA">
      <w:pPr>
        <w:spacing w:line="400" w:lineRule="exact"/>
        <w:rPr>
          <w:rtl/>
          <w:lang w:bidi="ar-AE"/>
        </w:rPr>
      </w:pPr>
      <w:r w:rsidRPr="00904FCB">
        <w:rPr>
          <w:rFonts w:hint="cs"/>
          <w:rtl/>
          <w:lang w:bidi="ar-AE"/>
        </w:rPr>
        <w:t>وفي الحقيقة نشأ هناك نوع</w:t>
      </w:r>
      <w:r w:rsidR="00CB1426" w:rsidRPr="00904FCB">
        <w:rPr>
          <w:rFonts w:hint="cs"/>
          <w:rtl/>
          <w:lang w:bidi="ar-AE"/>
        </w:rPr>
        <w:t>ٌ</w:t>
      </w:r>
      <w:r w:rsidRPr="00904FCB">
        <w:rPr>
          <w:rFonts w:hint="cs"/>
          <w:rtl/>
          <w:lang w:bidi="ar-AE"/>
        </w:rPr>
        <w:t xml:space="preserve"> من الانسجام والوفاق والتحالفات بين أطياف واسعة من الأحزاب والتيارات الإسلامية وغير الإسلامية (كالتحالف الذي نشأ بين حزب العمل الشيوعي والإخوان المسلمين في مصر).</w:t>
      </w:r>
    </w:p>
    <w:p w:rsidR="00952E59" w:rsidRPr="00904FCB" w:rsidRDefault="00952E59" w:rsidP="007A21AA">
      <w:pPr>
        <w:spacing w:line="400" w:lineRule="exact"/>
        <w:rPr>
          <w:rtl/>
          <w:lang w:bidi="ar-AE"/>
        </w:rPr>
      </w:pPr>
      <w:r w:rsidRPr="00904FCB">
        <w:rPr>
          <w:rFonts w:hint="cs"/>
          <w:rtl/>
          <w:lang w:bidi="ar-AE"/>
        </w:rPr>
        <w:t>وقد ساعدت هذه التحالفات في ظهور وتنمية الحركات السياسية التي كانت تنوي إيجاد تحو</w:t>
      </w:r>
      <w:r w:rsidR="00CB1426" w:rsidRPr="00904FCB">
        <w:rPr>
          <w:rFonts w:hint="cs"/>
          <w:rtl/>
          <w:lang w:bidi="ar-AE"/>
        </w:rPr>
        <w:t>ّ</w:t>
      </w:r>
      <w:r w:rsidRPr="00904FCB">
        <w:rPr>
          <w:rFonts w:hint="cs"/>
          <w:rtl/>
          <w:lang w:bidi="ar-AE"/>
        </w:rPr>
        <w:t>لات جذرية على كافة الأصعدة، الاقتصادية والسياسية والثقافية والاجتماعية. الأمر الذي أد</w:t>
      </w:r>
      <w:r w:rsidR="00CB1426" w:rsidRPr="00904FCB">
        <w:rPr>
          <w:rFonts w:hint="cs"/>
          <w:rtl/>
          <w:lang w:bidi="ar-AE"/>
        </w:rPr>
        <w:t>ّ</w:t>
      </w:r>
      <w:r w:rsidRPr="00904FCB">
        <w:rPr>
          <w:rFonts w:hint="cs"/>
          <w:rtl/>
          <w:lang w:bidi="ar-AE"/>
        </w:rPr>
        <w:t>ى إلى تدهور ميزان القوى الذي كان حاكماً بين الأنظمة وشعوبها في كثير من البلدان الإسلامية</w:t>
      </w:r>
      <w:r w:rsidR="00CB1426" w:rsidRPr="00904FCB">
        <w:rPr>
          <w:rFonts w:hint="cs"/>
          <w:rtl/>
          <w:lang w:bidi="ar-AE"/>
        </w:rPr>
        <w:t>،</w:t>
      </w:r>
      <w:r w:rsidRPr="00904FCB">
        <w:rPr>
          <w:rFonts w:hint="cs"/>
          <w:rtl/>
          <w:lang w:bidi="ar-AE"/>
        </w:rPr>
        <w:t xml:space="preserve"> بحيث تفاقمت المشاكل والأزمات على كافة المستويات</w:t>
      </w:r>
      <w:r w:rsidR="00CB1426" w:rsidRPr="00904FCB">
        <w:rPr>
          <w:rFonts w:hint="cs"/>
          <w:rtl/>
          <w:lang w:bidi="ar-AE"/>
        </w:rPr>
        <w:t>،</w:t>
      </w:r>
      <w:r w:rsidRPr="00904FCB">
        <w:rPr>
          <w:rFonts w:hint="cs"/>
          <w:rtl/>
          <w:lang w:bidi="ar-AE"/>
        </w:rPr>
        <w:t xml:space="preserve"> وخصوصاً على المستوى السياسي، وشملت معظم دول العالم الإسلامي تقريباً.</w:t>
      </w:r>
    </w:p>
    <w:p w:rsidR="00952E59" w:rsidRPr="00904FCB" w:rsidRDefault="00952E59" w:rsidP="00602A60">
      <w:pPr>
        <w:spacing w:line="400" w:lineRule="exact"/>
        <w:rPr>
          <w:rtl/>
          <w:lang w:bidi="ar-AE"/>
        </w:rPr>
      </w:pPr>
      <w:r w:rsidRPr="00904FCB">
        <w:rPr>
          <w:rFonts w:hint="cs"/>
          <w:rtl/>
          <w:lang w:bidi="ar-AE"/>
        </w:rPr>
        <w:t>وإضافةً للتبعات التي خل</w:t>
      </w:r>
      <w:r w:rsidR="00CB1426" w:rsidRPr="00904FCB">
        <w:rPr>
          <w:rFonts w:hint="cs"/>
          <w:rtl/>
          <w:lang w:bidi="ar-AE"/>
        </w:rPr>
        <w:t>ّ</w:t>
      </w:r>
      <w:r w:rsidRPr="00904FCB">
        <w:rPr>
          <w:rFonts w:hint="cs"/>
          <w:rtl/>
          <w:lang w:bidi="ar-AE"/>
        </w:rPr>
        <w:t>فتها نهاية الحرب الباردة</w:t>
      </w:r>
      <w:r w:rsidR="00CB1426" w:rsidRPr="00904FCB">
        <w:rPr>
          <w:rFonts w:hint="cs"/>
          <w:rtl/>
          <w:lang w:bidi="ar-AE"/>
        </w:rPr>
        <w:t>،</w:t>
      </w:r>
      <w:r w:rsidRPr="00904FCB">
        <w:rPr>
          <w:rFonts w:hint="cs"/>
          <w:rtl/>
          <w:lang w:bidi="ar-AE"/>
        </w:rPr>
        <w:t xml:space="preserve"> فقد كان لتلك الحرب </w:t>
      </w:r>
      <w:r w:rsidRPr="00904FCB">
        <w:rPr>
          <w:rFonts w:hint="cs"/>
          <w:rtl/>
          <w:lang w:bidi="ar-AE"/>
        </w:rPr>
        <w:lastRenderedPageBreak/>
        <w:t>تبعات مصيرية أخرى على العالم الإسلامي لا تقل</w:t>
      </w:r>
      <w:r w:rsidR="00CB1426" w:rsidRPr="00904FCB">
        <w:rPr>
          <w:rFonts w:hint="cs"/>
          <w:rtl/>
          <w:lang w:bidi="ar-AE"/>
        </w:rPr>
        <w:t>ّ</w:t>
      </w:r>
      <w:r w:rsidRPr="00904FCB">
        <w:rPr>
          <w:rFonts w:hint="cs"/>
          <w:rtl/>
          <w:lang w:bidi="ar-AE"/>
        </w:rPr>
        <w:t xml:space="preserve"> أهم</w:t>
      </w:r>
      <w:r w:rsidR="00CB1426" w:rsidRPr="00904FCB">
        <w:rPr>
          <w:rFonts w:hint="cs"/>
          <w:rtl/>
          <w:lang w:bidi="ar-AE"/>
        </w:rPr>
        <w:t>ّ</w:t>
      </w:r>
      <w:r w:rsidRPr="00904FCB">
        <w:rPr>
          <w:rFonts w:hint="cs"/>
          <w:rtl/>
          <w:lang w:bidi="ar-AE"/>
        </w:rPr>
        <w:t>ية عن سابقها، وكان أبرزها تذليل العقبات التي أوجدها المحتل</w:t>
      </w:r>
      <w:r w:rsidR="00CB1426" w:rsidRPr="00904FCB">
        <w:rPr>
          <w:rFonts w:hint="cs"/>
          <w:rtl/>
          <w:lang w:bidi="ar-AE"/>
        </w:rPr>
        <w:t>ّ</w:t>
      </w:r>
      <w:r w:rsidRPr="00904FCB">
        <w:rPr>
          <w:rFonts w:hint="cs"/>
          <w:rtl/>
          <w:lang w:bidi="ar-AE"/>
        </w:rPr>
        <w:t>ون</w:t>
      </w:r>
      <w:r w:rsidR="00CB1426" w:rsidRPr="00904FCB">
        <w:rPr>
          <w:rFonts w:hint="cs"/>
          <w:rtl/>
          <w:lang w:bidi="ar-AE"/>
        </w:rPr>
        <w:t>،</w:t>
      </w:r>
      <w:r w:rsidRPr="00904FCB">
        <w:rPr>
          <w:rFonts w:hint="cs"/>
          <w:rtl/>
          <w:lang w:bidi="ar-AE"/>
        </w:rPr>
        <w:t xml:space="preserve"> والتي كانت تقف </w:t>
      </w:r>
      <w:r w:rsidR="00602A60">
        <w:rPr>
          <w:rFonts w:hint="cs"/>
          <w:rtl/>
          <w:lang w:bidi="ar-AE"/>
        </w:rPr>
        <w:t xml:space="preserve">في </w:t>
      </w:r>
      <w:r w:rsidRPr="00904FCB">
        <w:rPr>
          <w:rFonts w:hint="cs"/>
          <w:rtl/>
          <w:lang w:bidi="ar-AE"/>
        </w:rPr>
        <w:t>وجه تأسيس الأنظمة الديمقراطية فيه، أي في العالم الإسلامي.</w:t>
      </w:r>
    </w:p>
    <w:p w:rsidR="00952E59" w:rsidRPr="00904FCB" w:rsidRDefault="00952E59" w:rsidP="007A21AA">
      <w:pPr>
        <w:spacing w:line="400" w:lineRule="exact"/>
        <w:rPr>
          <w:rtl/>
          <w:lang w:bidi="ar-AE"/>
        </w:rPr>
      </w:pPr>
      <w:r w:rsidRPr="00904FCB">
        <w:rPr>
          <w:rFonts w:hint="cs"/>
          <w:rtl/>
          <w:lang w:bidi="ar-AE"/>
        </w:rPr>
        <w:t>ف</w:t>
      </w:r>
      <w:r w:rsidR="00CB1426" w:rsidRPr="00904FCB">
        <w:rPr>
          <w:rFonts w:hint="cs"/>
          <w:rtl/>
          <w:lang w:bidi="ar-AE"/>
        </w:rPr>
        <w:t>إ</w:t>
      </w:r>
      <w:r w:rsidRPr="00904FCB">
        <w:rPr>
          <w:rFonts w:hint="cs"/>
          <w:rtl/>
          <w:lang w:bidi="ar-AE"/>
        </w:rPr>
        <w:t>بان الحرب الباردة كانت أغلب دول العالم الثالث</w:t>
      </w:r>
      <w:r w:rsidR="00CB1426" w:rsidRPr="00904FCB">
        <w:rPr>
          <w:rFonts w:hint="cs"/>
          <w:rtl/>
          <w:lang w:bidi="ar-AE"/>
        </w:rPr>
        <w:t>،</w:t>
      </w:r>
      <w:r w:rsidRPr="00904FCB">
        <w:rPr>
          <w:rFonts w:hint="cs"/>
          <w:rtl/>
          <w:lang w:bidi="ar-AE"/>
        </w:rPr>
        <w:t xml:space="preserve"> و</w:t>
      </w:r>
      <w:r w:rsidR="00CB1426" w:rsidRPr="00904FCB">
        <w:rPr>
          <w:rFonts w:hint="cs"/>
          <w:rtl/>
          <w:lang w:bidi="ar-AE"/>
        </w:rPr>
        <w:t xml:space="preserve">من </w:t>
      </w:r>
      <w:r w:rsidRPr="00904FCB">
        <w:rPr>
          <w:rFonts w:hint="cs"/>
          <w:rtl/>
          <w:lang w:bidi="ar-AE"/>
        </w:rPr>
        <w:t>ضمنها الدول الإسلامية</w:t>
      </w:r>
      <w:r w:rsidR="00CB1426" w:rsidRPr="00904FCB">
        <w:rPr>
          <w:rFonts w:hint="cs"/>
          <w:rtl/>
          <w:lang w:bidi="ar-AE"/>
        </w:rPr>
        <w:t>،</w:t>
      </w:r>
      <w:r w:rsidRPr="00904FCB">
        <w:rPr>
          <w:rFonts w:hint="cs"/>
          <w:rtl/>
          <w:lang w:bidi="ar-AE"/>
        </w:rPr>
        <w:t xml:space="preserve"> تحت نفوذ وهيمنة الدول الغربية، وكان ذلك النفوذ يح</w:t>
      </w:r>
      <w:r w:rsidR="00CB1426" w:rsidRPr="00904FCB">
        <w:rPr>
          <w:rFonts w:hint="cs"/>
          <w:rtl/>
          <w:lang w:bidi="ar-AE"/>
        </w:rPr>
        <w:t>و</w:t>
      </w:r>
      <w:r w:rsidRPr="00904FCB">
        <w:rPr>
          <w:rFonts w:hint="cs"/>
          <w:rtl/>
          <w:lang w:bidi="ar-AE"/>
        </w:rPr>
        <w:t>ل دون ظهور القوى الوطنية</w:t>
      </w:r>
      <w:r w:rsidR="00CB1426" w:rsidRPr="00904FCB">
        <w:rPr>
          <w:rFonts w:hint="cs"/>
          <w:rtl/>
          <w:lang w:bidi="ar-AE"/>
        </w:rPr>
        <w:t>،</w:t>
      </w:r>
      <w:r w:rsidRPr="00904FCB">
        <w:rPr>
          <w:rFonts w:hint="cs"/>
          <w:rtl/>
          <w:lang w:bidi="ar-AE"/>
        </w:rPr>
        <w:t xml:space="preserve"> وبتبعها الحركات التحر</w:t>
      </w:r>
      <w:r w:rsidR="00CB1426" w:rsidRPr="00904FCB">
        <w:rPr>
          <w:rFonts w:hint="cs"/>
          <w:rtl/>
          <w:lang w:bidi="ar-AE"/>
        </w:rPr>
        <w:t>ُّ</w:t>
      </w:r>
      <w:r w:rsidRPr="00904FCB">
        <w:rPr>
          <w:rFonts w:hint="cs"/>
          <w:rtl/>
          <w:lang w:bidi="ar-AE"/>
        </w:rPr>
        <w:t>رية الإسلامية.</w:t>
      </w:r>
    </w:p>
    <w:p w:rsidR="00952E59" w:rsidRPr="00904FCB" w:rsidRDefault="00CB1426" w:rsidP="007A21AA">
      <w:pPr>
        <w:spacing w:line="400" w:lineRule="exact"/>
        <w:rPr>
          <w:rtl/>
          <w:lang w:bidi="ar-AE"/>
        </w:rPr>
      </w:pPr>
      <w:r w:rsidRPr="00904FCB">
        <w:rPr>
          <w:rFonts w:hint="cs"/>
          <w:rtl/>
          <w:lang w:bidi="ar-AE"/>
        </w:rPr>
        <w:t>و</w:t>
      </w:r>
      <w:r w:rsidR="00952E59" w:rsidRPr="00904FCB">
        <w:rPr>
          <w:rFonts w:hint="cs"/>
          <w:rtl/>
          <w:lang w:bidi="ar-AE"/>
        </w:rPr>
        <w:t>كانت الدول الغربية المهيمنة تستثمر وجود بعض الحركات الإسلامية والوطنية</w:t>
      </w:r>
      <w:r w:rsidRPr="00904FCB">
        <w:rPr>
          <w:rFonts w:hint="cs"/>
          <w:rtl/>
          <w:lang w:bidi="ar-AE"/>
        </w:rPr>
        <w:t>،</w:t>
      </w:r>
      <w:r w:rsidR="00952E59" w:rsidRPr="00904FCB">
        <w:rPr>
          <w:rFonts w:hint="cs"/>
          <w:rtl/>
          <w:lang w:bidi="ar-AE"/>
        </w:rPr>
        <w:t xml:space="preserve"> وتدفعها لتشك</w:t>
      </w:r>
      <w:r w:rsidRPr="00904FCB">
        <w:rPr>
          <w:rFonts w:hint="cs"/>
          <w:rtl/>
          <w:lang w:bidi="ar-AE"/>
        </w:rPr>
        <w:t>ِّ</w:t>
      </w:r>
      <w:r w:rsidR="00952E59" w:rsidRPr="00904FCB">
        <w:rPr>
          <w:rFonts w:hint="cs"/>
          <w:rtl/>
          <w:lang w:bidi="ar-AE"/>
        </w:rPr>
        <w:t>ل سد</w:t>
      </w:r>
      <w:r w:rsidRPr="00904FCB">
        <w:rPr>
          <w:rFonts w:hint="cs"/>
          <w:rtl/>
          <w:lang w:bidi="ar-AE"/>
        </w:rPr>
        <w:t>ّ</w:t>
      </w:r>
      <w:r w:rsidR="00952E59" w:rsidRPr="00904FCB">
        <w:rPr>
          <w:rFonts w:hint="cs"/>
          <w:rtl/>
          <w:lang w:bidi="ar-AE"/>
        </w:rPr>
        <w:t>اً أمام تقد</w:t>
      </w:r>
      <w:r w:rsidRPr="00904FCB">
        <w:rPr>
          <w:rFonts w:hint="cs"/>
          <w:rtl/>
          <w:lang w:bidi="ar-AE"/>
        </w:rPr>
        <w:t>ُّ</w:t>
      </w:r>
      <w:r w:rsidR="00952E59" w:rsidRPr="00904FCB">
        <w:rPr>
          <w:rFonts w:hint="cs"/>
          <w:rtl/>
          <w:lang w:bidi="ar-AE"/>
        </w:rPr>
        <w:t>م المد</w:t>
      </w:r>
      <w:r w:rsidRPr="00904FCB">
        <w:rPr>
          <w:rFonts w:hint="cs"/>
          <w:rtl/>
          <w:lang w:bidi="ar-AE"/>
        </w:rPr>
        <w:t>ّ</w:t>
      </w:r>
      <w:r w:rsidR="00952E59" w:rsidRPr="00904FCB">
        <w:rPr>
          <w:rFonts w:hint="cs"/>
          <w:rtl/>
          <w:lang w:bidi="ar-AE"/>
        </w:rPr>
        <w:t xml:space="preserve"> الشيوعي</w:t>
      </w:r>
      <w:r w:rsidRPr="00904FCB">
        <w:rPr>
          <w:rFonts w:hint="cs"/>
          <w:rtl/>
          <w:lang w:bidi="ar-AE"/>
        </w:rPr>
        <w:t>.</w:t>
      </w:r>
      <w:r w:rsidR="00952E59" w:rsidRPr="00904FCB">
        <w:rPr>
          <w:rFonts w:hint="cs"/>
          <w:rtl/>
          <w:lang w:bidi="ar-AE"/>
        </w:rPr>
        <w:t xml:space="preserve"> لكن</w:t>
      </w:r>
      <w:r w:rsidRPr="00904FCB">
        <w:rPr>
          <w:rFonts w:hint="cs"/>
          <w:rtl/>
          <w:lang w:bidi="ar-AE"/>
        </w:rPr>
        <w:t>ْ</w:t>
      </w:r>
      <w:r w:rsidR="00952E59" w:rsidRPr="00904FCB">
        <w:rPr>
          <w:rFonts w:hint="cs"/>
          <w:rtl/>
          <w:lang w:bidi="ar-AE"/>
        </w:rPr>
        <w:t xml:space="preserve"> بالرغم من هذا ال</w:t>
      </w:r>
      <w:r w:rsidR="00134981" w:rsidRPr="00904FCB">
        <w:rPr>
          <w:rFonts w:hint="cs"/>
          <w:rtl/>
          <w:lang w:bidi="ar-AE"/>
        </w:rPr>
        <w:t>ا</w:t>
      </w:r>
      <w:r w:rsidR="00952E59" w:rsidRPr="00904FCB">
        <w:rPr>
          <w:rFonts w:hint="cs"/>
          <w:rtl/>
          <w:lang w:bidi="ar-AE"/>
        </w:rPr>
        <w:t>ستثمار كان الخوف لا يفارق الدول الغربية</w:t>
      </w:r>
      <w:r w:rsidR="00134981" w:rsidRPr="00904FCB">
        <w:rPr>
          <w:rFonts w:hint="cs"/>
          <w:rtl/>
          <w:lang w:bidi="ar-AE"/>
        </w:rPr>
        <w:t>؛</w:t>
      </w:r>
      <w:r w:rsidR="00952E59" w:rsidRPr="00904FCB">
        <w:rPr>
          <w:rFonts w:hint="cs"/>
          <w:rtl/>
          <w:lang w:bidi="ar-AE"/>
        </w:rPr>
        <w:t xml:space="preserve"> إذ قد يؤدي دعمها للحركات الإسلامية والتحر</w:t>
      </w:r>
      <w:r w:rsidR="00134981" w:rsidRPr="00904FCB">
        <w:rPr>
          <w:rFonts w:hint="cs"/>
          <w:rtl/>
          <w:lang w:bidi="ar-AE"/>
        </w:rPr>
        <w:t>ُّ</w:t>
      </w:r>
      <w:r w:rsidR="00952E59" w:rsidRPr="00904FCB">
        <w:rPr>
          <w:rFonts w:hint="cs"/>
          <w:rtl/>
          <w:lang w:bidi="ar-AE"/>
        </w:rPr>
        <w:t>رية إلى نمو</w:t>
      </w:r>
      <w:r w:rsidR="00602A60">
        <w:rPr>
          <w:rFonts w:hint="cs"/>
          <w:rtl/>
          <w:lang w:bidi="ar-AE"/>
        </w:rPr>
        <w:t>ّ</w:t>
      </w:r>
      <w:r w:rsidR="00952E59" w:rsidRPr="00904FCB">
        <w:rPr>
          <w:rFonts w:hint="cs"/>
          <w:rtl/>
          <w:lang w:bidi="ar-AE"/>
        </w:rPr>
        <w:t>ها وتطو</w:t>
      </w:r>
      <w:r w:rsidR="00602A60">
        <w:rPr>
          <w:rFonts w:hint="cs"/>
          <w:rtl/>
          <w:lang w:bidi="ar-AE"/>
        </w:rPr>
        <w:t>ّ</w:t>
      </w:r>
      <w:r w:rsidR="00952E59" w:rsidRPr="00904FCB">
        <w:rPr>
          <w:rFonts w:hint="cs"/>
          <w:rtl/>
          <w:lang w:bidi="ar-AE"/>
        </w:rPr>
        <w:t>رها، وبالتالي خروجها عن نطاق السيطرة</w:t>
      </w:r>
      <w:r w:rsidR="00134981" w:rsidRPr="00904FCB">
        <w:rPr>
          <w:rFonts w:hint="cs"/>
          <w:rtl/>
          <w:lang w:bidi="ar-AE"/>
        </w:rPr>
        <w:t>.</w:t>
      </w:r>
      <w:r w:rsidR="00952E59" w:rsidRPr="00904FCB">
        <w:rPr>
          <w:rFonts w:hint="cs"/>
          <w:rtl/>
          <w:lang w:bidi="ar-AE"/>
        </w:rPr>
        <w:t xml:space="preserve"> وهذا القلق الذي كان يساور الدول الغربية دفعها لأن تحج</w:t>
      </w:r>
      <w:r w:rsidR="00134981" w:rsidRPr="00904FCB">
        <w:rPr>
          <w:rFonts w:hint="cs"/>
          <w:rtl/>
          <w:lang w:bidi="ar-AE"/>
        </w:rPr>
        <w:t>ّ</w:t>
      </w:r>
      <w:r w:rsidR="00602A60">
        <w:rPr>
          <w:rFonts w:hint="cs"/>
          <w:rtl/>
          <w:lang w:bidi="ar-AE"/>
        </w:rPr>
        <w:t>ِ</w:t>
      </w:r>
      <w:r w:rsidR="00952E59" w:rsidRPr="00904FCB">
        <w:rPr>
          <w:rFonts w:hint="cs"/>
          <w:rtl/>
          <w:lang w:bidi="ar-AE"/>
        </w:rPr>
        <w:t>م وتقل</w:t>
      </w:r>
      <w:r w:rsidR="00602A60">
        <w:rPr>
          <w:rFonts w:hint="cs"/>
          <w:rtl/>
          <w:lang w:bidi="ar-AE"/>
        </w:rPr>
        <w:t>ِّ</w:t>
      </w:r>
      <w:r w:rsidR="00952E59" w:rsidRPr="00904FCB">
        <w:rPr>
          <w:rFonts w:hint="cs"/>
          <w:rtl/>
          <w:lang w:bidi="ar-AE"/>
        </w:rPr>
        <w:t>ص من نمو</w:t>
      </w:r>
      <w:r w:rsidR="00134981" w:rsidRPr="00904FCB">
        <w:rPr>
          <w:rFonts w:hint="cs"/>
          <w:rtl/>
          <w:lang w:bidi="ar-AE"/>
        </w:rPr>
        <w:t>ّ</w:t>
      </w:r>
      <w:r w:rsidR="00952E59" w:rsidRPr="00904FCB">
        <w:rPr>
          <w:rFonts w:hint="cs"/>
          <w:rtl/>
          <w:lang w:bidi="ar-AE"/>
        </w:rPr>
        <w:t xml:space="preserve"> وتطو</w:t>
      </w:r>
      <w:r w:rsidR="00134981" w:rsidRPr="00904FCB">
        <w:rPr>
          <w:rFonts w:hint="cs"/>
          <w:rtl/>
          <w:lang w:bidi="ar-AE"/>
        </w:rPr>
        <w:t>ّ</w:t>
      </w:r>
      <w:r w:rsidR="00952E59" w:rsidRPr="00904FCB">
        <w:rPr>
          <w:rFonts w:hint="cs"/>
          <w:rtl/>
          <w:lang w:bidi="ar-AE"/>
        </w:rPr>
        <w:t>ر هذه الحركات</w:t>
      </w:r>
      <w:r w:rsidR="00134981" w:rsidRPr="00904FCB">
        <w:rPr>
          <w:rFonts w:hint="cs"/>
          <w:rtl/>
          <w:lang w:bidi="ar-AE"/>
        </w:rPr>
        <w:t>.</w:t>
      </w:r>
      <w:r w:rsidR="00952E59" w:rsidRPr="00904FCB">
        <w:rPr>
          <w:rFonts w:hint="cs"/>
          <w:rtl/>
          <w:lang w:bidi="ar-AE"/>
        </w:rPr>
        <w:t xml:space="preserve"> </w:t>
      </w:r>
      <w:r w:rsidR="00134981" w:rsidRPr="00904FCB">
        <w:rPr>
          <w:rFonts w:hint="cs"/>
          <w:rtl/>
          <w:lang w:bidi="ar-AE"/>
        </w:rPr>
        <w:t>و</w:t>
      </w:r>
      <w:r w:rsidR="00952E59" w:rsidRPr="00904FCB">
        <w:rPr>
          <w:rFonts w:hint="cs"/>
          <w:rtl/>
          <w:lang w:bidi="ar-AE"/>
        </w:rPr>
        <w:t>ليس هذا فح</w:t>
      </w:r>
      <w:r w:rsidR="00134981" w:rsidRPr="00904FCB">
        <w:rPr>
          <w:rFonts w:hint="cs"/>
          <w:rtl/>
          <w:lang w:bidi="ar-AE"/>
        </w:rPr>
        <w:t>َ</w:t>
      </w:r>
      <w:r w:rsidR="00952E59" w:rsidRPr="00904FCB">
        <w:rPr>
          <w:rFonts w:hint="cs"/>
          <w:rtl/>
          <w:lang w:bidi="ar-AE"/>
        </w:rPr>
        <w:t>س</w:t>
      </w:r>
      <w:r w:rsidR="00134981" w:rsidRPr="00904FCB">
        <w:rPr>
          <w:rFonts w:hint="cs"/>
          <w:rtl/>
          <w:lang w:bidi="ar-AE"/>
        </w:rPr>
        <w:t>ْ</w:t>
      </w:r>
      <w:r w:rsidR="00952E59" w:rsidRPr="00904FCB">
        <w:rPr>
          <w:rFonts w:hint="cs"/>
          <w:rtl/>
          <w:lang w:bidi="ar-AE"/>
        </w:rPr>
        <w:t>ب</w:t>
      </w:r>
      <w:r w:rsidR="00134981" w:rsidRPr="00904FCB">
        <w:rPr>
          <w:rFonts w:hint="cs"/>
          <w:rtl/>
          <w:lang w:bidi="ar-AE"/>
        </w:rPr>
        <w:t>،</w:t>
      </w:r>
      <w:r w:rsidR="00952E59" w:rsidRPr="00904FCB">
        <w:rPr>
          <w:rFonts w:hint="cs"/>
          <w:rtl/>
          <w:lang w:bidi="ar-AE"/>
        </w:rPr>
        <w:t xml:space="preserve"> </w:t>
      </w:r>
      <w:r w:rsidR="00134981" w:rsidRPr="00904FCB">
        <w:rPr>
          <w:rFonts w:hint="cs"/>
          <w:rtl/>
          <w:lang w:bidi="ar-AE"/>
        </w:rPr>
        <w:t>فقد</w:t>
      </w:r>
      <w:r w:rsidR="00952E59" w:rsidRPr="00904FCB">
        <w:rPr>
          <w:rFonts w:hint="cs"/>
          <w:rtl/>
          <w:lang w:bidi="ar-AE"/>
        </w:rPr>
        <w:t xml:space="preserve"> كانت تلجأ في كثير من الأحيان إلى مواجهتها والتصد</w:t>
      </w:r>
      <w:r w:rsidR="00134981" w:rsidRPr="00904FCB">
        <w:rPr>
          <w:rFonts w:hint="cs"/>
          <w:rtl/>
          <w:lang w:bidi="ar-AE"/>
        </w:rPr>
        <w:t>ّ</w:t>
      </w:r>
      <w:r w:rsidR="00952E59" w:rsidRPr="00904FCB">
        <w:rPr>
          <w:rFonts w:hint="cs"/>
          <w:rtl/>
          <w:lang w:bidi="ar-AE"/>
        </w:rPr>
        <w:t xml:space="preserve">ي لها. </w:t>
      </w:r>
    </w:p>
    <w:p w:rsidR="00952E59" w:rsidRPr="00904FCB" w:rsidRDefault="00134981" w:rsidP="007A21AA">
      <w:pPr>
        <w:spacing w:line="400" w:lineRule="exact"/>
        <w:rPr>
          <w:rtl/>
          <w:lang w:bidi="ar-AE"/>
        </w:rPr>
      </w:pPr>
      <w:r w:rsidRPr="00904FCB">
        <w:rPr>
          <w:rFonts w:hint="cs"/>
          <w:rtl/>
          <w:lang w:bidi="ar-AE"/>
        </w:rPr>
        <w:t xml:space="preserve">وما </w:t>
      </w:r>
      <w:r w:rsidR="00952E59" w:rsidRPr="00904FCB">
        <w:rPr>
          <w:rFonts w:hint="cs"/>
          <w:rtl/>
          <w:lang w:bidi="ar-AE"/>
        </w:rPr>
        <w:t>كان يقلق الدول الغربية المحتلة بالدرجة الأولى هو أن الحركات الوطنية والإسلامية</w:t>
      </w:r>
      <w:r w:rsidRPr="00904FCB">
        <w:rPr>
          <w:rFonts w:hint="cs"/>
          <w:rtl/>
          <w:lang w:bidi="ar-AE"/>
        </w:rPr>
        <w:t>؛</w:t>
      </w:r>
      <w:r w:rsidR="00952E59" w:rsidRPr="00904FCB">
        <w:rPr>
          <w:rFonts w:hint="cs"/>
          <w:rtl/>
          <w:lang w:bidi="ar-AE"/>
        </w:rPr>
        <w:t xml:space="preserve"> نظراً لأهدافها الوطنية والإسلامية، قد تنمو وتت</w:t>
      </w:r>
      <w:r w:rsidRPr="00904FCB">
        <w:rPr>
          <w:rFonts w:hint="cs"/>
          <w:rtl/>
          <w:lang w:bidi="ar-AE"/>
        </w:rPr>
        <w:t>ّ</w:t>
      </w:r>
      <w:r w:rsidR="00952E59" w:rsidRPr="00904FCB">
        <w:rPr>
          <w:rFonts w:hint="cs"/>
          <w:rtl/>
          <w:lang w:bidi="ar-AE"/>
        </w:rPr>
        <w:t>سع</w:t>
      </w:r>
      <w:r w:rsidRPr="00904FCB">
        <w:rPr>
          <w:rFonts w:hint="cs"/>
          <w:rtl/>
          <w:lang w:bidi="ar-AE"/>
        </w:rPr>
        <w:t>،</w:t>
      </w:r>
      <w:r w:rsidR="00952E59" w:rsidRPr="00904FCB">
        <w:rPr>
          <w:rFonts w:hint="cs"/>
          <w:rtl/>
          <w:lang w:bidi="ar-AE"/>
        </w:rPr>
        <w:t xml:space="preserve"> فتبلغ مرحلة تجعلها قادرة على المواجهة</w:t>
      </w:r>
      <w:r w:rsidRPr="00904FCB">
        <w:rPr>
          <w:rFonts w:hint="cs"/>
          <w:rtl/>
          <w:lang w:bidi="ar-AE"/>
        </w:rPr>
        <w:t>،</w:t>
      </w:r>
      <w:r w:rsidR="00952E59" w:rsidRPr="00904FCB">
        <w:rPr>
          <w:rFonts w:hint="cs"/>
          <w:rtl/>
          <w:lang w:bidi="ar-AE"/>
        </w:rPr>
        <w:t xml:space="preserve"> وبالتالي تبدأ بتهديد المصالح الغربية في هذه الدول.</w:t>
      </w:r>
    </w:p>
    <w:p w:rsidR="00952E59" w:rsidRPr="00904FCB" w:rsidRDefault="00952E59" w:rsidP="007A21AA">
      <w:pPr>
        <w:spacing w:line="400" w:lineRule="exact"/>
        <w:rPr>
          <w:rtl/>
          <w:lang w:bidi="ar-AE"/>
        </w:rPr>
      </w:pPr>
      <w:r w:rsidRPr="00904FCB">
        <w:rPr>
          <w:rFonts w:hint="cs"/>
          <w:rtl/>
          <w:lang w:bidi="ar-AE"/>
        </w:rPr>
        <w:t>ولذلك كان توظيف الإسلام ـ من قِبَل الدول الغربية ـ لمواجهة المد</w:t>
      </w:r>
      <w:r w:rsidR="00134981" w:rsidRPr="00904FCB">
        <w:rPr>
          <w:rFonts w:hint="cs"/>
          <w:rtl/>
          <w:lang w:bidi="ar-AE"/>
        </w:rPr>
        <w:t>ّ</w:t>
      </w:r>
      <w:r w:rsidRPr="00904FCB">
        <w:rPr>
          <w:rFonts w:hint="cs"/>
          <w:rtl/>
          <w:lang w:bidi="ar-AE"/>
        </w:rPr>
        <w:t xml:space="preserve"> الشيوعي محدوداً</w:t>
      </w:r>
      <w:r w:rsidR="00134981" w:rsidRPr="00904FCB">
        <w:rPr>
          <w:rFonts w:hint="cs"/>
          <w:rtl/>
          <w:lang w:bidi="ar-AE"/>
        </w:rPr>
        <w:t>،</w:t>
      </w:r>
      <w:r w:rsidRPr="00904FCB">
        <w:rPr>
          <w:rFonts w:hint="cs"/>
          <w:rtl/>
          <w:lang w:bidi="ar-AE"/>
        </w:rPr>
        <w:t xml:space="preserve"> وخاضعاً لضوابط لا يمكن تجاوزها.</w:t>
      </w:r>
    </w:p>
    <w:p w:rsidR="00952E59" w:rsidRPr="00904FCB" w:rsidRDefault="00952E59" w:rsidP="007A21AA">
      <w:pPr>
        <w:spacing w:line="400" w:lineRule="exact"/>
        <w:rPr>
          <w:rtl/>
          <w:lang w:bidi="ar-AE"/>
        </w:rPr>
      </w:pPr>
      <w:r w:rsidRPr="00904FCB">
        <w:rPr>
          <w:rFonts w:hint="cs"/>
          <w:rtl/>
          <w:lang w:bidi="ar-AE"/>
        </w:rPr>
        <w:t>والأمر الآخر الذي كان يشك</w:t>
      </w:r>
      <w:r w:rsidR="00134981" w:rsidRPr="00904FCB">
        <w:rPr>
          <w:rFonts w:hint="cs"/>
          <w:rtl/>
          <w:lang w:bidi="ar-AE"/>
        </w:rPr>
        <w:t>ِّ</w:t>
      </w:r>
      <w:r w:rsidRPr="00904FCB">
        <w:rPr>
          <w:rFonts w:hint="cs"/>
          <w:rtl/>
          <w:lang w:bidi="ar-AE"/>
        </w:rPr>
        <w:t>ل مصدر قلق للدول الغربية هو أن لا تتمكن هذه الحركات ـ الوطنية والإسلامية ـ من التفو</w:t>
      </w:r>
      <w:r w:rsidR="00134981" w:rsidRPr="00904FCB">
        <w:rPr>
          <w:rFonts w:hint="cs"/>
          <w:rtl/>
          <w:lang w:bidi="ar-AE"/>
        </w:rPr>
        <w:t>ُّ</w:t>
      </w:r>
      <w:r w:rsidRPr="00904FCB">
        <w:rPr>
          <w:rFonts w:hint="cs"/>
          <w:rtl/>
          <w:lang w:bidi="ar-AE"/>
        </w:rPr>
        <w:t>ق على الأحزاب الشيوعية، التي تتمتع بتجربة فذ</w:t>
      </w:r>
      <w:r w:rsidR="00134981" w:rsidRPr="00904FCB">
        <w:rPr>
          <w:rFonts w:hint="cs"/>
          <w:rtl/>
          <w:lang w:bidi="ar-AE"/>
        </w:rPr>
        <w:t>ّ</w:t>
      </w:r>
      <w:r w:rsidRPr="00904FCB">
        <w:rPr>
          <w:rFonts w:hint="cs"/>
          <w:rtl/>
          <w:lang w:bidi="ar-AE"/>
        </w:rPr>
        <w:t>ة وتنظيم دقيق</w:t>
      </w:r>
      <w:r w:rsidR="00134981" w:rsidRPr="00904FCB">
        <w:rPr>
          <w:rFonts w:hint="cs"/>
          <w:rtl/>
          <w:lang w:bidi="ar-AE"/>
        </w:rPr>
        <w:t>،</w:t>
      </w:r>
      <w:r w:rsidRPr="00904FCB">
        <w:rPr>
          <w:rFonts w:hint="cs"/>
          <w:rtl/>
          <w:lang w:bidi="ar-AE"/>
        </w:rPr>
        <w:t xml:space="preserve"> إضافةً للدعم الروسي لها، وبالتالي يفضي الأمر إلى انتصار الأحزاب اليسارية وسيطرتها.</w:t>
      </w:r>
    </w:p>
    <w:p w:rsidR="00952E59" w:rsidRPr="00904FCB" w:rsidRDefault="00952E59" w:rsidP="007A21AA">
      <w:pPr>
        <w:spacing w:line="400" w:lineRule="exact"/>
        <w:rPr>
          <w:rtl/>
          <w:lang w:bidi="ar-AE"/>
        </w:rPr>
      </w:pPr>
      <w:r w:rsidRPr="00904FCB">
        <w:rPr>
          <w:rFonts w:hint="cs"/>
          <w:rtl/>
          <w:lang w:bidi="ar-AE"/>
        </w:rPr>
        <w:t>وقد أضافت متطلبات الحرب الباردة قلقاً جديداً إلى القلق السابق الذي كان يثقل كاهل الدول الغربية</w:t>
      </w:r>
      <w:r w:rsidR="00211334" w:rsidRPr="00904FCB">
        <w:rPr>
          <w:rFonts w:hint="cs"/>
          <w:rtl/>
          <w:lang w:bidi="ar-AE"/>
        </w:rPr>
        <w:t>،</w:t>
      </w:r>
      <w:r w:rsidRPr="00904FCB">
        <w:rPr>
          <w:rFonts w:hint="cs"/>
          <w:rtl/>
          <w:lang w:bidi="ar-AE"/>
        </w:rPr>
        <w:t xml:space="preserve"> مم</w:t>
      </w:r>
      <w:r w:rsidR="00211334" w:rsidRPr="00904FCB">
        <w:rPr>
          <w:rFonts w:hint="cs"/>
          <w:rtl/>
          <w:lang w:bidi="ar-AE"/>
        </w:rPr>
        <w:t>ّ</w:t>
      </w:r>
      <w:r w:rsidRPr="00904FCB">
        <w:rPr>
          <w:rFonts w:hint="cs"/>
          <w:rtl/>
          <w:lang w:bidi="ar-AE"/>
        </w:rPr>
        <w:t>ا ألجأها لاتخاذ مواقف وسياسات مزدوجة تجاه الإسلام والمسلمين.</w:t>
      </w:r>
    </w:p>
    <w:p w:rsidR="00952E59" w:rsidRPr="00904FCB" w:rsidRDefault="00952E59" w:rsidP="007A21AA">
      <w:pPr>
        <w:spacing w:line="400" w:lineRule="exact"/>
        <w:rPr>
          <w:rtl/>
          <w:lang w:bidi="ar-AE"/>
        </w:rPr>
      </w:pPr>
      <w:r w:rsidRPr="00904FCB">
        <w:rPr>
          <w:rFonts w:hint="cs"/>
          <w:rtl/>
          <w:lang w:bidi="ar-AE"/>
        </w:rPr>
        <w:t>وقد استمر</w:t>
      </w:r>
      <w:r w:rsidR="00211334" w:rsidRPr="00904FCB">
        <w:rPr>
          <w:rFonts w:hint="cs"/>
          <w:rtl/>
          <w:lang w:bidi="ar-AE"/>
        </w:rPr>
        <w:t>ّ</w:t>
      </w:r>
      <w:r w:rsidRPr="00904FCB">
        <w:rPr>
          <w:rFonts w:hint="cs"/>
          <w:rtl/>
          <w:lang w:bidi="ar-AE"/>
        </w:rPr>
        <w:t xml:space="preserve"> الحال على هذه الشاكل</w:t>
      </w:r>
      <w:r w:rsidR="00211334" w:rsidRPr="00904FCB">
        <w:rPr>
          <w:rFonts w:hint="cs"/>
          <w:rtl/>
          <w:lang w:bidi="ar-AE"/>
        </w:rPr>
        <w:t>ة</w:t>
      </w:r>
      <w:r w:rsidRPr="00904FCB">
        <w:rPr>
          <w:rFonts w:hint="cs"/>
          <w:rtl/>
          <w:lang w:bidi="ar-AE"/>
        </w:rPr>
        <w:t xml:space="preserve"> حتى نهاية الحرب الباردة</w:t>
      </w:r>
      <w:r w:rsidR="00211334" w:rsidRPr="00904FCB">
        <w:rPr>
          <w:rFonts w:hint="cs"/>
          <w:rtl/>
          <w:lang w:bidi="ar-AE"/>
        </w:rPr>
        <w:t>،</w:t>
      </w:r>
      <w:r w:rsidRPr="00904FCB">
        <w:rPr>
          <w:rFonts w:hint="cs"/>
          <w:rtl/>
          <w:lang w:bidi="ar-AE"/>
        </w:rPr>
        <w:t xml:space="preserve"> التي أنه</w:t>
      </w:r>
      <w:r w:rsidR="00211334" w:rsidRPr="00904FCB">
        <w:rPr>
          <w:rFonts w:hint="cs"/>
          <w:rtl/>
          <w:lang w:bidi="ar-AE"/>
        </w:rPr>
        <w:t>َ</w:t>
      </w:r>
      <w:r w:rsidRPr="00904FCB">
        <w:rPr>
          <w:rFonts w:hint="cs"/>
          <w:rtl/>
          <w:lang w:bidi="ar-AE"/>
        </w:rPr>
        <w:t>ت</w:t>
      </w:r>
      <w:r w:rsidR="00211334" w:rsidRPr="00904FCB">
        <w:rPr>
          <w:rFonts w:hint="cs"/>
          <w:rtl/>
          <w:lang w:bidi="ar-AE"/>
        </w:rPr>
        <w:t>ْ</w:t>
      </w:r>
      <w:r w:rsidRPr="00904FCB">
        <w:rPr>
          <w:rFonts w:hint="cs"/>
          <w:rtl/>
          <w:lang w:bidi="ar-AE"/>
        </w:rPr>
        <w:t xml:space="preserve"> معها </w:t>
      </w:r>
      <w:r w:rsidRPr="00904FCB">
        <w:rPr>
          <w:rFonts w:hint="cs"/>
          <w:rtl/>
          <w:lang w:bidi="ar-AE"/>
        </w:rPr>
        <w:lastRenderedPageBreak/>
        <w:t>الحواجز التي كانت موضوعة في طريق الديمقراطية في كثير</w:t>
      </w:r>
      <w:r w:rsidR="00211334" w:rsidRPr="00904FCB">
        <w:rPr>
          <w:rFonts w:hint="cs"/>
          <w:rtl/>
          <w:lang w:bidi="ar-AE"/>
        </w:rPr>
        <w:t>ٍ</w:t>
      </w:r>
      <w:r w:rsidRPr="00904FCB">
        <w:rPr>
          <w:rFonts w:hint="cs"/>
          <w:rtl/>
          <w:lang w:bidi="ar-AE"/>
        </w:rPr>
        <w:t xml:space="preserve"> من البلدان، وبذلك </w:t>
      </w:r>
      <w:r w:rsidR="00211334" w:rsidRPr="00904FCB">
        <w:rPr>
          <w:rFonts w:hint="cs"/>
          <w:rtl/>
          <w:lang w:bidi="ar-AE"/>
        </w:rPr>
        <w:t>ا</w:t>
      </w:r>
      <w:r w:rsidRPr="00904FCB">
        <w:rPr>
          <w:rFonts w:hint="cs"/>
          <w:rtl/>
          <w:lang w:bidi="ar-AE"/>
        </w:rPr>
        <w:t>نطلق تيار الديمقراطية يجتاز دول العالم واحدة</w:t>
      </w:r>
      <w:r w:rsidR="00211334" w:rsidRPr="00904FCB">
        <w:rPr>
          <w:rFonts w:hint="cs"/>
          <w:rtl/>
          <w:lang w:bidi="ar-AE"/>
        </w:rPr>
        <w:t>ً</w:t>
      </w:r>
      <w:r w:rsidRPr="00904FCB">
        <w:rPr>
          <w:rFonts w:hint="cs"/>
          <w:rtl/>
          <w:lang w:bidi="ar-AE"/>
        </w:rPr>
        <w:t xml:space="preserve"> تلو الأخرى بلا هوادة.</w:t>
      </w:r>
    </w:p>
    <w:p w:rsidR="00952E59" w:rsidRPr="00904FCB" w:rsidRDefault="00952E59" w:rsidP="007A21AA">
      <w:pPr>
        <w:spacing w:line="400" w:lineRule="exact"/>
        <w:rPr>
          <w:rtl/>
          <w:lang w:bidi="ar-AE"/>
        </w:rPr>
      </w:pPr>
      <w:r w:rsidRPr="00904FCB">
        <w:rPr>
          <w:rFonts w:hint="cs"/>
          <w:rtl/>
          <w:lang w:bidi="ar-AE"/>
        </w:rPr>
        <w:t>وقد مهّ</w:t>
      </w:r>
      <w:r w:rsidR="00211334" w:rsidRPr="00904FCB">
        <w:rPr>
          <w:rFonts w:hint="cs"/>
          <w:rtl/>
          <w:lang w:bidi="ar-AE"/>
        </w:rPr>
        <w:t>َ</w:t>
      </w:r>
      <w:r w:rsidRPr="00904FCB">
        <w:rPr>
          <w:rFonts w:hint="cs"/>
          <w:rtl/>
          <w:lang w:bidi="ar-AE"/>
        </w:rPr>
        <w:t>د إقرار الديمقراطية في كثير من دول العالم الثالث، وخصوصاً الدول ذات الغالبية المسلمة، إلى دخول هذه الدول عصر التنمية. لكن</w:t>
      </w:r>
      <w:r w:rsidR="00211334" w:rsidRPr="00904FCB">
        <w:rPr>
          <w:rFonts w:hint="cs"/>
          <w:rtl/>
          <w:lang w:bidi="ar-AE"/>
        </w:rPr>
        <w:t>ْ</w:t>
      </w:r>
      <w:r w:rsidRPr="00904FCB">
        <w:rPr>
          <w:rFonts w:hint="cs"/>
          <w:rtl/>
          <w:lang w:bidi="ar-AE"/>
        </w:rPr>
        <w:t xml:space="preserve"> يا ترى هل تمكن</w:t>
      </w:r>
      <w:r w:rsidR="00211334" w:rsidRPr="00904FCB">
        <w:rPr>
          <w:rFonts w:hint="cs"/>
          <w:rtl/>
          <w:lang w:bidi="ar-AE"/>
        </w:rPr>
        <w:t>ت</w:t>
      </w:r>
      <w:r w:rsidRPr="00904FCB">
        <w:rPr>
          <w:rFonts w:hint="cs"/>
          <w:rtl/>
          <w:lang w:bidi="ar-AE"/>
        </w:rPr>
        <w:t xml:space="preserve"> هذه الدول من دخول هذا العصر أم لا؟</w:t>
      </w:r>
    </w:p>
    <w:p w:rsidR="00952E59" w:rsidRPr="00904FCB" w:rsidRDefault="00952E59" w:rsidP="007A21AA">
      <w:pPr>
        <w:spacing w:line="400" w:lineRule="exact"/>
        <w:rPr>
          <w:rtl/>
          <w:lang w:bidi="ar-AE"/>
        </w:rPr>
      </w:pPr>
      <w:r w:rsidRPr="00904FCB">
        <w:rPr>
          <w:rFonts w:hint="cs"/>
          <w:rtl/>
          <w:lang w:bidi="ar-AE"/>
        </w:rPr>
        <w:t xml:space="preserve">الملاحظ أن أيّاً من الدول الإسلامية لا يزال </w:t>
      </w:r>
      <w:r w:rsidR="00211334" w:rsidRPr="00904FCB">
        <w:rPr>
          <w:rFonts w:hint="cs"/>
          <w:rtl/>
          <w:lang w:bidi="ar-AE"/>
        </w:rPr>
        <w:t>حتّى</w:t>
      </w:r>
      <w:r w:rsidRPr="00904FCB">
        <w:rPr>
          <w:rFonts w:hint="cs"/>
          <w:rtl/>
          <w:lang w:bidi="ar-AE"/>
        </w:rPr>
        <w:t xml:space="preserve"> الآن غير داخل</w:t>
      </w:r>
      <w:r w:rsidR="00211334" w:rsidRPr="00904FCB">
        <w:rPr>
          <w:rFonts w:hint="cs"/>
          <w:rtl/>
          <w:lang w:bidi="ar-AE"/>
        </w:rPr>
        <w:t>ٍ</w:t>
      </w:r>
      <w:r w:rsidRPr="00904FCB">
        <w:rPr>
          <w:rFonts w:hint="cs"/>
          <w:rtl/>
          <w:lang w:bidi="ar-AE"/>
        </w:rPr>
        <w:t xml:space="preserve"> في عصر التنمية، سواء على المستوى السياسي أو الاقتصادي</w:t>
      </w:r>
      <w:r w:rsidR="00211334" w:rsidRPr="00904FCB">
        <w:rPr>
          <w:rFonts w:hint="cs"/>
          <w:rtl/>
          <w:lang w:bidi="ar-AE"/>
        </w:rPr>
        <w:t>؛</w:t>
      </w:r>
      <w:r w:rsidRPr="00904FCB">
        <w:rPr>
          <w:rFonts w:hint="cs"/>
          <w:rtl/>
          <w:lang w:bidi="ar-AE"/>
        </w:rPr>
        <w:t xml:space="preserve"> وذلك لوجود حواجز وعقبات جذرية</w:t>
      </w:r>
      <w:r w:rsidR="00211334" w:rsidRPr="00904FCB">
        <w:rPr>
          <w:rFonts w:hint="cs"/>
          <w:rtl/>
          <w:lang w:bidi="ar-AE"/>
        </w:rPr>
        <w:t>،</w:t>
      </w:r>
      <w:r w:rsidRPr="00904FCB">
        <w:rPr>
          <w:rFonts w:hint="cs"/>
          <w:rtl/>
          <w:lang w:bidi="ar-AE"/>
        </w:rPr>
        <w:t xml:space="preserve"> لا تقتصر على كون الأنظمة الحاكمة هي أنظمة فاسدة ودكتاتورية، وإنما هناك عقبات أكثر جد</w:t>
      </w:r>
      <w:r w:rsidR="00211334" w:rsidRPr="00904FCB">
        <w:rPr>
          <w:rFonts w:hint="cs"/>
          <w:rtl/>
          <w:lang w:bidi="ar-AE"/>
        </w:rPr>
        <w:t>ّ</w:t>
      </w:r>
      <w:r w:rsidRPr="00904FCB">
        <w:rPr>
          <w:rFonts w:hint="cs"/>
          <w:rtl/>
          <w:lang w:bidi="ar-AE"/>
        </w:rPr>
        <w:t>ية وأهم</w:t>
      </w:r>
      <w:r w:rsidR="00211334" w:rsidRPr="00904FCB">
        <w:rPr>
          <w:rFonts w:hint="cs"/>
          <w:rtl/>
          <w:lang w:bidi="ar-AE"/>
        </w:rPr>
        <w:t>ّ</w:t>
      </w:r>
      <w:r w:rsidRPr="00904FCB">
        <w:rPr>
          <w:rFonts w:hint="cs"/>
          <w:rtl/>
          <w:lang w:bidi="ar-AE"/>
        </w:rPr>
        <w:t>ية، وما لم يتم</w:t>
      </w:r>
      <w:r w:rsidR="00211334" w:rsidRPr="00904FCB">
        <w:rPr>
          <w:rFonts w:hint="cs"/>
          <w:rtl/>
          <w:lang w:bidi="ar-AE"/>
        </w:rPr>
        <w:t>ّ</w:t>
      </w:r>
      <w:r w:rsidRPr="00904FCB">
        <w:rPr>
          <w:rFonts w:hint="cs"/>
          <w:rtl/>
          <w:lang w:bidi="ar-AE"/>
        </w:rPr>
        <w:t xml:space="preserve"> تجاوزها لا يمكن للدول الإسلامية الدخول إلى العصر الجديد.</w:t>
      </w:r>
    </w:p>
    <w:p w:rsidR="00952E59" w:rsidRPr="00904FCB" w:rsidRDefault="00952E59" w:rsidP="007A21AA">
      <w:pPr>
        <w:spacing w:line="400" w:lineRule="exact"/>
        <w:rPr>
          <w:rtl/>
          <w:lang w:bidi="ar-AE"/>
        </w:rPr>
      </w:pPr>
      <w:r w:rsidRPr="00904FCB">
        <w:rPr>
          <w:rFonts w:hint="cs"/>
          <w:rtl/>
          <w:lang w:bidi="ar-AE"/>
        </w:rPr>
        <w:t>وإذا أخذنا مفهوم التنمية بب</w:t>
      </w:r>
      <w:r w:rsidR="00602A60">
        <w:rPr>
          <w:rFonts w:hint="cs"/>
          <w:rtl/>
          <w:lang w:bidi="ar-AE"/>
        </w:rPr>
        <w:t>ُ</w:t>
      </w:r>
      <w:r w:rsidRPr="00904FCB">
        <w:rPr>
          <w:rFonts w:hint="cs"/>
          <w:rtl/>
          <w:lang w:bidi="ar-AE"/>
        </w:rPr>
        <w:t>ع</w:t>
      </w:r>
      <w:r w:rsidR="00602A60">
        <w:rPr>
          <w:rFonts w:hint="cs"/>
          <w:rtl/>
          <w:lang w:bidi="ar-AE"/>
        </w:rPr>
        <w:t>ْ</w:t>
      </w:r>
      <w:r w:rsidRPr="00904FCB">
        <w:rPr>
          <w:rFonts w:hint="cs"/>
          <w:rtl/>
          <w:lang w:bidi="ar-AE"/>
        </w:rPr>
        <w:t>ده الإنساني العام، وتبعاً لذلك أول</w:t>
      </w:r>
      <w:r w:rsidR="00211334" w:rsidRPr="00904FCB">
        <w:rPr>
          <w:rFonts w:hint="cs"/>
          <w:rtl/>
          <w:lang w:bidi="ar-AE"/>
        </w:rPr>
        <w:t>َ</w:t>
      </w:r>
      <w:r w:rsidRPr="00904FCB">
        <w:rPr>
          <w:rFonts w:hint="cs"/>
          <w:rtl/>
          <w:lang w:bidi="ar-AE"/>
        </w:rPr>
        <w:t>ي</w:t>
      </w:r>
      <w:r w:rsidR="00211334" w:rsidRPr="00904FCB">
        <w:rPr>
          <w:rFonts w:hint="cs"/>
          <w:rtl/>
          <w:lang w:bidi="ar-AE"/>
        </w:rPr>
        <w:t>ْ</w:t>
      </w:r>
      <w:r w:rsidRPr="00904FCB">
        <w:rPr>
          <w:rFonts w:hint="cs"/>
          <w:rtl/>
          <w:lang w:bidi="ar-AE"/>
        </w:rPr>
        <w:t>نا التنمية السياسية أهم</w:t>
      </w:r>
      <w:r w:rsidR="00211334" w:rsidRPr="00904FCB">
        <w:rPr>
          <w:rFonts w:hint="cs"/>
          <w:rtl/>
          <w:lang w:bidi="ar-AE"/>
        </w:rPr>
        <w:t>ّ</w:t>
      </w:r>
      <w:r w:rsidRPr="00904FCB">
        <w:rPr>
          <w:rFonts w:hint="cs"/>
          <w:rtl/>
          <w:lang w:bidi="ar-AE"/>
        </w:rPr>
        <w:t>ية</w:t>
      </w:r>
      <w:r w:rsidR="00211334" w:rsidRPr="00904FCB">
        <w:rPr>
          <w:rFonts w:hint="cs"/>
          <w:rtl/>
          <w:lang w:bidi="ar-AE"/>
        </w:rPr>
        <w:t>ً</w:t>
      </w:r>
      <w:r w:rsidRPr="00904FCB">
        <w:rPr>
          <w:rFonts w:hint="cs"/>
          <w:rtl/>
          <w:lang w:bidi="ar-AE"/>
        </w:rPr>
        <w:t xml:space="preserve"> أكثر من التنمية الاقتصادية، فإن التنمية السياسية لا</w:t>
      </w:r>
      <w:r w:rsidR="00211334" w:rsidRPr="00904FCB">
        <w:rPr>
          <w:rFonts w:hint="cs"/>
          <w:rtl/>
          <w:lang w:bidi="ar-AE"/>
        </w:rPr>
        <w:t xml:space="preserve"> </w:t>
      </w:r>
      <w:r w:rsidRPr="00904FCB">
        <w:rPr>
          <w:rFonts w:hint="cs"/>
          <w:rtl/>
          <w:lang w:bidi="ar-AE"/>
        </w:rPr>
        <w:t>ب</w:t>
      </w:r>
      <w:r w:rsidR="00211334" w:rsidRPr="00904FCB">
        <w:rPr>
          <w:rFonts w:hint="cs"/>
          <w:rtl/>
          <w:lang w:bidi="ar-AE"/>
        </w:rPr>
        <w:t>ُ</w:t>
      </w:r>
      <w:r w:rsidRPr="00904FCB">
        <w:rPr>
          <w:rFonts w:hint="cs"/>
          <w:rtl/>
          <w:lang w:bidi="ar-AE"/>
        </w:rPr>
        <w:t>د</w:t>
      </w:r>
      <w:r w:rsidR="00211334" w:rsidRPr="00904FCB">
        <w:rPr>
          <w:rFonts w:hint="cs"/>
          <w:rtl/>
          <w:lang w:bidi="ar-AE"/>
        </w:rPr>
        <w:t>َّ</w:t>
      </w:r>
      <w:r w:rsidRPr="00904FCB">
        <w:rPr>
          <w:rFonts w:hint="cs"/>
          <w:rtl/>
          <w:lang w:bidi="ar-AE"/>
        </w:rPr>
        <w:t xml:space="preserve"> أن تعني تكريس الديمقراطية</w:t>
      </w:r>
      <w:r w:rsidR="00211334" w:rsidRPr="00904FCB">
        <w:rPr>
          <w:rFonts w:hint="cs"/>
          <w:rtl/>
          <w:lang w:bidi="ar-AE"/>
        </w:rPr>
        <w:t>،</w:t>
      </w:r>
      <w:r w:rsidRPr="00904FCB">
        <w:rPr>
          <w:rFonts w:hint="cs"/>
          <w:rtl/>
          <w:lang w:bidi="ar-AE"/>
        </w:rPr>
        <w:t xml:space="preserve"> والإقرار بكاف</w:t>
      </w:r>
      <w:r w:rsidR="00211334" w:rsidRPr="00904FCB">
        <w:rPr>
          <w:rFonts w:hint="cs"/>
          <w:rtl/>
          <w:lang w:bidi="ar-AE"/>
        </w:rPr>
        <w:t>ّ</w:t>
      </w:r>
      <w:r w:rsidRPr="00904FCB">
        <w:rPr>
          <w:rFonts w:hint="cs"/>
          <w:rtl/>
          <w:lang w:bidi="ar-AE"/>
        </w:rPr>
        <w:t>ة الحقوق والحر</w:t>
      </w:r>
      <w:r w:rsidR="00211334" w:rsidRPr="00904FCB">
        <w:rPr>
          <w:rFonts w:hint="cs"/>
          <w:rtl/>
          <w:lang w:bidi="ar-AE"/>
        </w:rPr>
        <w:t>ّ</w:t>
      </w:r>
      <w:r w:rsidRPr="00904FCB">
        <w:rPr>
          <w:rFonts w:hint="cs"/>
          <w:rtl/>
          <w:lang w:bidi="ar-AE"/>
        </w:rPr>
        <w:t>يات التي يتمت</w:t>
      </w:r>
      <w:r w:rsidR="00211334" w:rsidRPr="00904FCB">
        <w:rPr>
          <w:rFonts w:hint="cs"/>
          <w:rtl/>
          <w:lang w:bidi="ar-AE"/>
        </w:rPr>
        <w:t>ّ</w:t>
      </w:r>
      <w:r w:rsidRPr="00904FCB">
        <w:rPr>
          <w:rFonts w:hint="cs"/>
          <w:rtl/>
          <w:lang w:bidi="ar-AE"/>
        </w:rPr>
        <w:t>ع بها الانسان.</w:t>
      </w:r>
    </w:p>
    <w:p w:rsidR="00952E59" w:rsidRPr="00904FCB" w:rsidRDefault="00952E59" w:rsidP="00602A60">
      <w:pPr>
        <w:spacing w:line="400" w:lineRule="exact"/>
        <w:rPr>
          <w:rtl/>
          <w:lang w:bidi="ar-AE"/>
        </w:rPr>
      </w:pPr>
      <w:r w:rsidRPr="00904FCB">
        <w:rPr>
          <w:rFonts w:hint="cs"/>
          <w:rtl/>
          <w:lang w:bidi="ar-AE"/>
        </w:rPr>
        <w:t>إن الديمقراطية وحقوق الإنسان يتأثران بال</w:t>
      </w:r>
      <w:r w:rsidR="00602A60">
        <w:rPr>
          <w:rFonts w:hint="cs"/>
          <w:rtl/>
          <w:lang w:bidi="ar-AE"/>
        </w:rPr>
        <w:t>أ</w:t>
      </w:r>
      <w:r w:rsidRPr="00904FCB">
        <w:rPr>
          <w:rFonts w:hint="cs"/>
          <w:rtl/>
          <w:lang w:bidi="ar-AE"/>
        </w:rPr>
        <w:t>يد</w:t>
      </w:r>
      <w:r w:rsidR="00211334" w:rsidRPr="00904FCB">
        <w:rPr>
          <w:rFonts w:hint="cs"/>
          <w:rtl/>
          <w:lang w:bidi="ar-AE"/>
        </w:rPr>
        <w:t>ي</w:t>
      </w:r>
      <w:r w:rsidRPr="00904FCB">
        <w:rPr>
          <w:rFonts w:hint="cs"/>
          <w:rtl/>
          <w:lang w:bidi="ar-AE"/>
        </w:rPr>
        <w:t>ولوجيا إلى حد</w:t>
      </w:r>
      <w:r w:rsidR="00211334" w:rsidRPr="00904FCB">
        <w:rPr>
          <w:rFonts w:hint="cs"/>
          <w:rtl/>
          <w:lang w:bidi="ar-AE"/>
        </w:rPr>
        <w:t>ٍّ</w:t>
      </w:r>
      <w:r w:rsidRPr="00904FCB">
        <w:rPr>
          <w:rFonts w:hint="cs"/>
          <w:rtl/>
          <w:lang w:bidi="ar-AE"/>
        </w:rPr>
        <w:t xml:space="preserve"> كبير، بل لا يمكن فهم وتفسير ماهية الإنسان وفطرته وحقوقه الطبيعية والحريات الأساسية بالنسبة له (والتي من ضمنها حق</w:t>
      </w:r>
      <w:r w:rsidR="00CC16C8" w:rsidRPr="00904FCB">
        <w:rPr>
          <w:rFonts w:hint="cs"/>
          <w:rtl/>
          <w:lang w:bidi="ar-AE"/>
        </w:rPr>
        <w:t>ّ</w:t>
      </w:r>
      <w:r w:rsidRPr="00904FCB">
        <w:rPr>
          <w:rFonts w:hint="cs"/>
          <w:rtl/>
          <w:lang w:bidi="ar-AE"/>
        </w:rPr>
        <w:t xml:space="preserve"> الديمقراطية) لا يمكن تفسيرها من دون </w:t>
      </w:r>
      <w:r w:rsidR="00602A60">
        <w:rPr>
          <w:rFonts w:hint="cs"/>
          <w:rtl/>
          <w:lang w:bidi="ar-AE"/>
        </w:rPr>
        <w:t>أ</w:t>
      </w:r>
      <w:r w:rsidRPr="00904FCB">
        <w:rPr>
          <w:rFonts w:hint="cs"/>
          <w:rtl/>
          <w:lang w:bidi="ar-AE"/>
        </w:rPr>
        <w:t xml:space="preserve">يديولوجيا واضحة. </w:t>
      </w:r>
    </w:p>
    <w:p w:rsidR="00952E59" w:rsidRPr="00904FCB" w:rsidRDefault="00952E59" w:rsidP="007A21AA">
      <w:pPr>
        <w:spacing w:line="400" w:lineRule="exact"/>
        <w:rPr>
          <w:rtl/>
          <w:lang w:bidi="ar-AE"/>
        </w:rPr>
      </w:pPr>
      <w:r w:rsidRPr="00904FCB">
        <w:rPr>
          <w:rFonts w:hint="cs"/>
          <w:rtl/>
          <w:lang w:bidi="ar-AE"/>
        </w:rPr>
        <w:t>وعلى الرغم من أن تاريخ هذا الموضوع ـ حقوق الإنسان ومسألة حكم الأكثرية ـ يسبق موضوع الديمقراطية الحديثة بفترة زمنية طويلة</w:t>
      </w:r>
      <w:r w:rsidR="00CC16C8" w:rsidRPr="00904FCB">
        <w:rPr>
          <w:rFonts w:hint="cs"/>
          <w:rtl/>
          <w:lang w:bidi="ar-AE"/>
        </w:rPr>
        <w:t>،</w:t>
      </w:r>
      <w:r w:rsidRPr="00904FCB">
        <w:rPr>
          <w:rFonts w:hint="cs"/>
          <w:rtl/>
          <w:lang w:bidi="ar-AE"/>
        </w:rPr>
        <w:t xml:space="preserve"> إلاّ أن ما يطرح في عالمنا اليوم تحت عنوان الحقوق والحريات الأساسية للإنسان إنما هو من مقولات العالم الحديث.</w:t>
      </w:r>
    </w:p>
    <w:p w:rsidR="00952E59" w:rsidRPr="00904FCB" w:rsidRDefault="00952E59" w:rsidP="007A21AA">
      <w:pPr>
        <w:spacing w:line="400" w:lineRule="exact"/>
        <w:rPr>
          <w:rtl/>
          <w:lang w:bidi="ar-AE"/>
        </w:rPr>
      </w:pPr>
      <w:r w:rsidRPr="00904FCB">
        <w:rPr>
          <w:rFonts w:hint="cs"/>
          <w:rtl/>
          <w:lang w:bidi="ar-AE"/>
        </w:rPr>
        <w:t>ففي عالمنا اليوم أصبح الإنسان هو المحور الذي على أساسه تفس</w:t>
      </w:r>
      <w:r w:rsidR="00CC16C8" w:rsidRPr="00904FCB">
        <w:rPr>
          <w:rFonts w:hint="cs"/>
          <w:rtl/>
          <w:lang w:bidi="ar-AE"/>
        </w:rPr>
        <w:t>ّ</w:t>
      </w:r>
      <w:r w:rsidRPr="00904FCB">
        <w:rPr>
          <w:rFonts w:hint="cs"/>
          <w:rtl/>
          <w:lang w:bidi="ar-AE"/>
        </w:rPr>
        <w:t>ر وتؤدلج أساليب الحكم وأنظمته.</w:t>
      </w:r>
    </w:p>
    <w:p w:rsidR="00952E59" w:rsidRPr="00904FCB" w:rsidRDefault="00952E59" w:rsidP="007A21AA">
      <w:pPr>
        <w:spacing w:line="400" w:lineRule="exact"/>
        <w:rPr>
          <w:rtl/>
          <w:lang w:bidi="ar-AE"/>
        </w:rPr>
      </w:pPr>
      <w:r w:rsidRPr="00904FCB">
        <w:rPr>
          <w:rFonts w:hint="cs"/>
          <w:rtl/>
          <w:lang w:bidi="ar-AE"/>
        </w:rPr>
        <w:t>إن فلسفة الحكم المعاصرة تختلف عن فلسفة الحكم التقليدية القديمة.</w:t>
      </w:r>
      <w:r w:rsidR="00CC16C8" w:rsidRPr="00904FCB">
        <w:rPr>
          <w:rFonts w:hint="cs"/>
          <w:rtl/>
          <w:lang w:bidi="ar-AE"/>
        </w:rPr>
        <w:t xml:space="preserve"> </w:t>
      </w:r>
      <w:r w:rsidRPr="00904FCB">
        <w:rPr>
          <w:rFonts w:hint="cs"/>
          <w:rtl/>
          <w:lang w:bidi="ar-AE"/>
        </w:rPr>
        <w:t>فالحكم أو السلطة في الفكر التقليدي تنحدر من الأعلى إلى الأسفل، من القمة إلى القاعدة</w:t>
      </w:r>
      <w:r w:rsidRPr="00904FCB">
        <w:rPr>
          <w:rFonts w:hint="cs"/>
          <w:vertAlign w:val="superscript"/>
          <w:rtl/>
        </w:rPr>
        <w:t>(</w:t>
      </w:r>
      <w:r w:rsidRPr="00904FCB">
        <w:rPr>
          <w:vertAlign w:val="superscript"/>
        </w:rPr>
        <w:endnoteReference w:id="332"/>
      </w:r>
      <w:r w:rsidRPr="00904FCB">
        <w:rPr>
          <w:rFonts w:hint="cs"/>
          <w:vertAlign w:val="superscript"/>
          <w:rtl/>
        </w:rPr>
        <w:t>)</w:t>
      </w:r>
      <w:r w:rsidR="00CC16C8" w:rsidRPr="00904FCB">
        <w:rPr>
          <w:rFonts w:hint="cs"/>
          <w:rtl/>
          <w:lang w:bidi="ar-AE"/>
        </w:rPr>
        <w:t>،</w:t>
      </w:r>
      <w:r w:rsidRPr="00904FCB">
        <w:rPr>
          <w:rFonts w:hint="cs"/>
          <w:b/>
          <w:bCs/>
          <w:rtl/>
        </w:rPr>
        <w:t xml:space="preserve"> </w:t>
      </w:r>
      <w:r w:rsidRPr="00904FCB">
        <w:rPr>
          <w:rFonts w:hint="cs"/>
          <w:rtl/>
          <w:lang w:bidi="ar-AE"/>
        </w:rPr>
        <w:t>بمعنى أنها من الشؤون الإلهية</w:t>
      </w:r>
      <w:r w:rsidR="00B83175" w:rsidRPr="00904FCB">
        <w:rPr>
          <w:rFonts w:hint="cs"/>
          <w:rtl/>
          <w:lang w:bidi="ar-AE"/>
        </w:rPr>
        <w:t>،</w:t>
      </w:r>
      <w:r w:rsidRPr="00904FCB">
        <w:rPr>
          <w:rFonts w:hint="cs"/>
          <w:rtl/>
          <w:lang w:bidi="ar-AE"/>
        </w:rPr>
        <w:t xml:space="preserve"> ومن خصائص الرب</w:t>
      </w:r>
      <w:r w:rsidR="00CC16C8" w:rsidRPr="00904FCB">
        <w:rPr>
          <w:rFonts w:hint="cs"/>
          <w:rtl/>
          <w:lang w:bidi="ar-AE"/>
        </w:rPr>
        <w:t>ّ</w:t>
      </w:r>
      <w:r w:rsidRPr="00904FCB">
        <w:rPr>
          <w:rFonts w:hint="cs"/>
          <w:rtl/>
          <w:lang w:bidi="ar-AE"/>
        </w:rPr>
        <w:t>، ومنحها لابنه المسيح «فقط»</w:t>
      </w:r>
      <w:r w:rsidR="00CC16C8" w:rsidRPr="00904FCB">
        <w:rPr>
          <w:rFonts w:hint="cs"/>
          <w:rtl/>
          <w:lang w:bidi="ar-AE"/>
        </w:rPr>
        <w:t>،</w:t>
      </w:r>
      <w:r w:rsidRPr="00904FCB">
        <w:rPr>
          <w:rFonts w:hint="cs"/>
          <w:rtl/>
          <w:lang w:bidi="ar-AE"/>
        </w:rPr>
        <w:t xml:space="preserve"> الذي فو</w:t>
      </w:r>
      <w:r w:rsidR="00602A60">
        <w:rPr>
          <w:rFonts w:hint="cs"/>
          <w:rtl/>
          <w:lang w:bidi="ar-AE"/>
        </w:rPr>
        <w:t>َّ</w:t>
      </w:r>
      <w:r w:rsidRPr="00904FCB">
        <w:rPr>
          <w:rFonts w:hint="cs"/>
          <w:rtl/>
          <w:lang w:bidi="ar-AE"/>
        </w:rPr>
        <w:t>ضها بدوره إلى رأس السلطة الكنسية، أي البابا.</w:t>
      </w:r>
    </w:p>
    <w:p w:rsidR="00952E59" w:rsidRPr="00904FCB" w:rsidRDefault="00952E59" w:rsidP="007A21AA">
      <w:pPr>
        <w:spacing w:line="400" w:lineRule="exact"/>
        <w:rPr>
          <w:rtl/>
          <w:lang w:bidi="ar-AE"/>
        </w:rPr>
      </w:pPr>
      <w:r w:rsidRPr="00904FCB">
        <w:rPr>
          <w:rFonts w:hint="cs"/>
          <w:rtl/>
          <w:lang w:bidi="ar-AE"/>
        </w:rPr>
        <w:lastRenderedPageBreak/>
        <w:t>إذن فالملوك والحكام يستمد</w:t>
      </w:r>
      <w:r w:rsidR="00B83175" w:rsidRPr="00904FCB">
        <w:rPr>
          <w:rFonts w:hint="cs"/>
          <w:rtl/>
          <w:lang w:bidi="ar-AE"/>
        </w:rPr>
        <w:t>ّ</w:t>
      </w:r>
      <w:r w:rsidRPr="00904FCB">
        <w:rPr>
          <w:rFonts w:hint="cs"/>
          <w:rtl/>
          <w:lang w:bidi="ar-AE"/>
        </w:rPr>
        <w:t>ون سلطتهم من الكنيسة.</w:t>
      </w:r>
    </w:p>
    <w:p w:rsidR="00952E59" w:rsidRPr="00904FCB" w:rsidRDefault="00952E59" w:rsidP="007A21AA">
      <w:pPr>
        <w:spacing w:line="400" w:lineRule="exact"/>
        <w:rPr>
          <w:rtl/>
          <w:lang w:bidi="ar-AE"/>
        </w:rPr>
      </w:pPr>
      <w:r w:rsidRPr="00904FCB">
        <w:rPr>
          <w:rFonts w:hint="cs"/>
          <w:rtl/>
          <w:lang w:bidi="ar-AE"/>
        </w:rPr>
        <w:t>أما البابا فهو معصوم</w:t>
      </w:r>
      <w:r w:rsidR="00B83175" w:rsidRPr="00904FCB">
        <w:rPr>
          <w:rFonts w:hint="cs"/>
          <w:rtl/>
          <w:lang w:bidi="ar-AE"/>
        </w:rPr>
        <w:t>ٌ</w:t>
      </w:r>
      <w:r w:rsidRPr="00904FCB">
        <w:rPr>
          <w:rFonts w:hint="cs"/>
          <w:rtl/>
          <w:lang w:bidi="ar-AE"/>
        </w:rPr>
        <w:t xml:space="preserve"> أثناء أدائه التكليف «الإلهي»</w:t>
      </w:r>
      <w:r w:rsidR="00B83175" w:rsidRPr="00904FCB">
        <w:rPr>
          <w:rFonts w:hint="cs"/>
          <w:rtl/>
          <w:lang w:bidi="ar-AE"/>
        </w:rPr>
        <w:t>،</w:t>
      </w:r>
      <w:r w:rsidRPr="00904FCB">
        <w:rPr>
          <w:rFonts w:hint="cs"/>
          <w:rtl/>
          <w:lang w:bidi="ar-AE"/>
        </w:rPr>
        <w:t xml:space="preserve"> بمعنى أنه لا يعتريه الخطأ</w:t>
      </w:r>
      <w:r w:rsidR="00B83175" w:rsidRPr="00904FCB">
        <w:rPr>
          <w:rFonts w:hint="cs"/>
          <w:rtl/>
          <w:lang w:bidi="ar-AE"/>
        </w:rPr>
        <w:t>،</w:t>
      </w:r>
      <w:r w:rsidRPr="00904FCB">
        <w:rPr>
          <w:rFonts w:hint="cs"/>
          <w:rtl/>
          <w:lang w:bidi="ar-AE"/>
        </w:rPr>
        <w:t xml:space="preserve"> ومسد</w:t>
      </w:r>
      <w:r w:rsidR="00B83175" w:rsidRPr="00904FCB">
        <w:rPr>
          <w:rFonts w:hint="cs"/>
          <w:rtl/>
          <w:lang w:bidi="ar-AE"/>
        </w:rPr>
        <w:t>َّ</w:t>
      </w:r>
      <w:r w:rsidRPr="00904FCB">
        <w:rPr>
          <w:rFonts w:hint="cs"/>
          <w:rtl/>
          <w:lang w:bidi="ar-AE"/>
        </w:rPr>
        <w:t>د من قبل الله</w:t>
      </w:r>
      <w:r w:rsidR="00B83175" w:rsidRPr="00904FCB">
        <w:rPr>
          <w:rFonts w:hint="cs"/>
          <w:rtl/>
          <w:lang w:bidi="ar-AE"/>
        </w:rPr>
        <w:t>.</w:t>
      </w:r>
      <w:r w:rsidRPr="00904FCB">
        <w:rPr>
          <w:rFonts w:hint="cs"/>
          <w:rtl/>
          <w:lang w:bidi="ar-AE"/>
        </w:rPr>
        <w:t xml:space="preserve"> فقوله قول الله</w:t>
      </w:r>
      <w:r w:rsidR="00B83175" w:rsidRPr="00904FCB">
        <w:rPr>
          <w:rFonts w:hint="cs"/>
          <w:rtl/>
          <w:lang w:bidi="ar-AE"/>
        </w:rPr>
        <w:t>،</w:t>
      </w:r>
      <w:r w:rsidRPr="00904FCB">
        <w:rPr>
          <w:rFonts w:hint="cs"/>
          <w:rtl/>
          <w:lang w:bidi="ar-AE"/>
        </w:rPr>
        <w:t xml:space="preserve"> والراد</w:t>
      </w:r>
      <w:r w:rsidR="00B83175" w:rsidRPr="00904FCB">
        <w:rPr>
          <w:rFonts w:hint="cs"/>
          <w:rtl/>
          <w:lang w:bidi="ar-AE"/>
        </w:rPr>
        <w:t>ّ</w:t>
      </w:r>
      <w:r w:rsidRPr="00904FCB">
        <w:rPr>
          <w:rFonts w:hint="cs"/>
          <w:rtl/>
          <w:lang w:bidi="ar-AE"/>
        </w:rPr>
        <w:t xml:space="preserve"> عليه راد</w:t>
      </w:r>
      <w:r w:rsidR="00B83175" w:rsidRPr="00904FCB">
        <w:rPr>
          <w:rFonts w:hint="cs"/>
          <w:rtl/>
          <w:lang w:bidi="ar-AE"/>
        </w:rPr>
        <w:t>ٌّ</w:t>
      </w:r>
      <w:r w:rsidRPr="00904FCB">
        <w:rPr>
          <w:rFonts w:hint="cs"/>
          <w:rtl/>
          <w:lang w:bidi="ar-AE"/>
        </w:rPr>
        <w:t xml:space="preserve"> على الله، والراد</w:t>
      </w:r>
      <w:r w:rsidR="00B83175" w:rsidRPr="00904FCB">
        <w:rPr>
          <w:rFonts w:hint="cs"/>
          <w:rtl/>
          <w:lang w:bidi="ar-AE"/>
        </w:rPr>
        <w:t>ّ</w:t>
      </w:r>
      <w:r w:rsidRPr="00904FCB">
        <w:rPr>
          <w:rFonts w:hint="cs"/>
          <w:rtl/>
          <w:lang w:bidi="ar-AE"/>
        </w:rPr>
        <w:t xml:space="preserve"> على الله مرتد</w:t>
      </w:r>
      <w:r w:rsidR="00B83175" w:rsidRPr="00904FCB">
        <w:rPr>
          <w:rFonts w:hint="cs"/>
          <w:rtl/>
          <w:lang w:bidi="ar-AE"/>
        </w:rPr>
        <w:t>ّ</w:t>
      </w:r>
      <w:r w:rsidRPr="00904FCB">
        <w:rPr>
          <w:rFonts w:hint="cs"/>
          <w:rtl/>
          <w:lang w:bidi="ar-AE"/>
        </w:rPr>
        <w:t xml:space="preserve"> وملعون.</w:t>
      </w:r>
    </w:p>
    <w:p w:rsidR="00952E59" w:rsidRPr="00904FCB" w:rsidRDefault="00952E59" w:rsidP="007A21AA">
      <w:pPr>
        <w:spacing w:line="400" w:lineRule="exact"/>
        <w:rPr>
          <w:rtl/>
          <w:lang w:bidi="ar-AE"/>
        </w:rPr>
      </w:pPr>
      <w:r w:rsidRPr="00904FCB">
        <w:rPr>
          <w:rFonts w:hint="cs"/>
          <w:rtl/>
          <w:lang w:bidi="ar-AE"/>
        </w:rPr>
        <w:t>ولا فرق في أن تكون السلطة للبابا أو للحاكم الإلهي</w:t>
      </w:r>
      <w:r w:rsidR="00B83175" w:rsidRPr="00904FCB">
        <w:rPr>
          <w:rFonts w:hint="cs"/>
          <w:rtl/>
          <w:lang w:bidi="ar-AE"/>
        </w:rPr>
        <w:t>،</w:t>
      </w:r>
      <w:r w:rsidRPr="00904FCB">
        <w:rPr>
          <w:rFonts w:hint="cs"/>
          <w:rtl/>
          <w:lang w:bidi="ar-AE"/>
        </w:rPr>
        <w:t xml:space="preserve"> ففي الحالتين لا يجوز لأحد انتقادها أو الرد</w:t>
      </w:r>
      <w:r w:rsidR="00B83175" w:rsidRPr="00904FCB">
        <w:rPr>
          <w:rFonts w:hint="cs"/>
          <w:rtl/>
          <w:lang w:bidi="ar-AE"/>
        </w:rPr>
        <w:t>ّ</w:t>
      </w:r>
      <w:r w:rsidRPr="00904FCB">
        <w:rPr>
          <w:rFonts w:hint="cs"/>
          <w:rtl/>
          <w:lang w:bidi="ar-AE"/>
        </w:rPr>
        <w:t xml:space="preserve"> عليها. </w:t>
      </w:r>
    </w:p>
    <w:p w:rsidR="00952E59" w:rsidRPr="00904FCB" w:rsidRDefault="00952E59" w:rsidP="007A21AA">
      <w:pPr>
        <w:spacing w:line="400" w:lineRule="exact"/>
        <w:rPr>
          <w:rtl/>
          <w:lang w:bidi="ar-AE"/>
        </w:rPr>
      </w:pPr>
      <w:r w:rsidRPr="00904FCB">
        <w:rPr>
          <w:rFonts w:hint="cs"/>
          <w:rtl/>
          <w:lang w:bidi="ar-AE"/>
        </w:rPr>
        <w:t>والناس ليسوا سوى رعية تحت رحمة الملك والكنيسة، ومن واجبهم ال</w:t>
      </w:r>
      <w:r w:rsidR="00B83175" w:rsidRPr="00904FCB">
        <w:rPr>
          <w:rFonts w:hint="cs"/>
          <w:rtl/>
          <w:lang w:bidi="ar-AE"/>
        </w:rPr>
        <w:t>ا</w:t>
      </w:r>
      <w:r w:rsidRPr="00904FCB">
        <w:rPr>
          <w:rFonts w:hint="cs"/>
          <w:rtl/>
          <w:lang w:bidi="ar-AE"/>
        </w:rPr>
        <w:t xml:space="preserve">لتزام بكل ما يصدر عنهما. </w:t>
      </w:r>
    </w:p>
    <w:p w:rsidR="00952E59" w:rsidRPr="00904FCB" w:rsidRDefault="00952E59" w:rsidP="007A21AA">
      <w:pPr>
        <w:spacing w:line="400" w:lineRule="exact"/>
        <w:rPr>
          <w:rtl/>
          <w:lang w:bidi="ar-AE"/>
        </w:rPr>
      </w:pPr>
      <w:r w:rsidRPr="00904FCB">
        <w:rPr>
          <w:rFonts w:hint="cs"/>
          <w:rtl/>
          <w:lang w:bidi="ar-AE"/>
        </w:rPr>
        <w:t>إذن ففي مثل هذه الفلسفة السياسية لا يوجد شيء</w:t>
      </w:r>
      <w:r w:rsidR="00B83175" w:rsidRPr="00904FCB">
        <w:rPr>
          <w:rFonts w:hint="cs"/>
          <w:rtl/>
          <w:lang w:bidi="ar-AE"/>
        </w:rPr>
        <w:t>ٌ</w:t>
      </w:r>
      <w:r w:rsidRPr="00904FCB">
        <w:rPr>
          <w:rFonts w:hint="cs"/>
          <w:rtl/>
          <w:lang w:bidi="ar-AE"/>
        </w:rPr>
        <w:t xml:space="preserve"> اسمه «حقوق المواطن».</w:t>
      </w:r>
    </w:p>
    <w:p w:rsidR="00952E59" w:rsidRPr="00904FCB" w:rsidRDefault="00952E59" w:rsidP="007A21AA">
      <w:pPr>
        <w:spacing w:line="400" w:lineRule="exact"/>
        <w:rPr>
          <w:rtl/>
          <w:lang w:bidi="ar-AE"/>
        </w:rPr>
      </w:pPr>
      <w:r w:rsidRPr="00904FCB">
        <w:rPr>
          <w:rFonts w:hint="cs"/>
          <w:rtl/>
          <w:lang w:bidi="ar-AE"/>
        </w:rPr>
        <w:t>لكن</w:t>
      </w:r>
      <w:r w:rsidR="00B83175" w:rsidRPr="00904FCB">
        <w:rPr>
          <w:rFonts w:hint="cs"/>
          <w:rtl/>
          <w:lang w:bidi="ar-AE"/>
        </w:rPr>
        <w:t>ْ</w:t>
      </w:r>
      <w:r w:rsidRPr="00904FCB">
        <w:rPr>
          <w:rFonts w:hint="cs"/>
          <w:rtl/>
          <w:lang w:bidi="ar-AE"/>
        </w:rPr>
        <w:t xml:space="preserve"> في عصر النهضة تغي</w:t>
      </w:r>
      <w:r w:rsidR="00B83175" w:rsidRPr="00904FCB">
        <w:rPr>
          <w:rFonts w:hint="cs"/>
          <w:rtl/>
          <w:lang w:bidi="ar-AE"/>
        </w:rPr>
        <w:t>َّ</w:t>
      </w:r>
      <w:r w:rsidRPr="00904FCB">
        <w:rPr>
          <w:rFonts w:hint="cs"/>
          <w:rtl/>
          <w:lang w:bidi="ar-AE"/>
        </w:rPr>
        <w:t>رت المفاهيم</w:t>
      </w:r>
      <w:r w:rsidR="00B83175" w:rsidRPr="00904FCB">
        <w:rPr>
          <w:rFonts w:hint="cs"/>
          <w:rtl/>
          <w:lang w:bidi="ar-AE"/>
        </w:rPr>
        <w:t>،</w:t>
      </w:r>
      <w:r w:rsidRPr="00904FCB">
        <w:rPr>
          <w:rFonts w:hint="cs"/>
          <w:rtl/>
          <w:lang w:bidi="ar-AE"/>
        </w:rPr>
        <w:t xml:space="preserve"> وتراجعت السلطة الكنسية</w:t>
      </w:r>
      <w:r w:rsidR="00B83175" w:rsidRPr="00904FCB">
        <w:rPr>
          <w:rFonts w:hint="cs"/>
          <w:rtl/>
          <w:lang w:bidi="ar-AE"/>
        </w:rPr>
        <w:t>،</w:t>
      </w:r>
      <w:r w:rsidRPr="00904FCB">
        <w:rPr>
          <w:rFonts w:hint="cs"/>
          <w:rtl/>
          <w:lang w:bidi="ar-AE"/>
        </w:rPr>
        <w:t xml:space="preserve"> بعد أن وافقت على التعريف الجديد للإنسان</w:t>
      </w:r>
      <w:r w:rsidR="00B83175" w:rsidRPr="00904FCB">
        <w:rPr>
          <w:rFonts w:hint="cs"/>
          <w:rtl/>
          <w:lang w:bidi="ar-AE"/>
        </w:rPr>
        <w:t>،</w:t>
      </w:r>
      <w:r w:rsidRPr="00904FCB">
        <w:rPr>
          <w:rFonts w:hint="cs"/>
          <w:rtl/>
          <w:lang w:bidi="ar-AE"/>
        </w:rPr>
        <w:t xml:space="preserve"> وأقر</w:t>
      </w:r>
      <w:r w:rsidR="00B83175" w:rsidRPr="00904FCB">
        <w:rPr>
          <w:rFonts w:hint="cs"/>
          <w:rtl/>
          <w:lang w:bidi="ar-AE"/>
        </w:rPr>
        <w:t>َّ</w:t>
      </w:r>
      <w:r w:rsidRPr="00904FCB">
        <w:rPr>
          <w:rFonts w:hint="cs"/>
          <w:rtl/>
          <w:lang w:bidi="ar-AE"/>
        </w:rPr>
        <w:t>ت بالفلسفة السياسية الجديدة التي تنشأ فيها السلطة من الأسفل، أي من الشعب</w:t>
      </w:r>
      <w:r w:rsidR="00B83175" w:rsidRPr="00904FCB">
        <w:rPr>
          <w:rFonts w:hint="cs"/>
          <w:rtl/>
          <w:lang w:bidi="ar-AE"/>
        </w:rPr>
        <w:t>؛</w:t>
      </w:r>
      <w:r w:rsidRPr="00904FCB">
        <w:rPr>
          <w:rFonts w:hint="cs"/>
          <w:rtl/>
          <w:lang w:bidi="ar-AE"/>
        </w:rPr>
        <w:t xml:space="preserve"> وذلك نظراً لحق</w:t>
      </w:r>
      <w:r w:rsidR="00B83175" w:rsidRPr="00904FCB">
        <w:rPr>
          <w:rFonts w:hint="cs"/>
          <w:rtl/>
          <w:lang w:bidi="ar-AE"/>
        </w:rPr>
        <w:t>ِّ</w:t>
      </w:r>
      <w:r w:rsidRPr="00904FCB">
        <w:rPr>
          <w:rFonts w:hint="cs"/>
          <w:rtl/>
          <w:lang w:bidi="ar-AE"/>
        </w:rPr>
        <w:t>هم الطبيعي في الانتخاب، ثم تت</w:t>
      </w:r>
      <w:r w:rsidR="00B83175" w:rsidRPr="00904FCB">
        <w:rPr>
          <w:rFonts w:hint="cs"/>
          <w:rtl/>
          <w:lang w:bidi="ar-AE"/>
        </w:rPr>
        <w:t>ّ</w:t>
      </w:r>
      <w:r w:rsidRPr="00904FCB">
        <w:rPr>
          <w:rFonts w:hint="cs"/>
          <w:rtl/>
          <w:lang w:bidi="ar-AE"/>
        </w:rPr>
        <w:t>جه إلى الأعلى أو القم</w:t>
      </w:r>
      <w:r w:rsidR="00B83175" w:rsidRPr="00904FCB">
        <w:rPr>
          <w:rFonts w:hint="cs"/>
          <w:rtl/>
          <w:lang w:bidi="ar-AE"/>
        </w:rPr>
        <w:t>ّ</w:t>
      </w:r>
      <w:r w:rsidRPr="00904FCB">
        <w:rPr>
          <w:rFonts w:hint="cs"/>
          <w:rtl/>
          <w:lang w:bidi="ar-AE"/>
        </w:rPr>
        <w:t>ة</w:t>
      </w:r>
      <w:r w:rsidRPr="00904FCB">
        <w:rPr>
          <w:rFonts w:hint="cs"/>
          <w:vertAlign w:val="superscript"/>
          <w:rtl/>
        </w:rPr>
        <w:t>(</w:t>
      </w:r>
      <w:r w:rsidRPr="00904FCB">
        <w:rPr>
          <w:vertAlign w:val="superscript"/>
        </w:rPr>
        <w:endnoteReference w:id="333"/>
      </w:r>
      <w:r w:rsidRPr="00904FCB">
        <w:rPr>
          <w:rFonts w:hint="cs"/>
          <w:vertAlign w:val="superscript"/>
          <w:rtl/>
        </w:rPr>
        <w:t>)</w:t>
      </w:r>
      <w:r w:rsidRPr="00904FCB">
        <w:rPr>
          <w:rFonts w:hint="cs"/>
          <w:rtl/>
          <w:lang w:bidi="ar-AE"/>
        </w:rPr>
        <w:t>.</w:t>
      </w:r>
      <w:r w:rsidRPr="00904FCB">
        <w:rPr>
          <w:rFonts w:hint="cs"/>
          <w:b/>
          <w:bCs/>
          <w:rtl/>
        </w:rPr>
        <w:t xml:space="preserve"> </w:t>
      </w:r>
      <w:r w:rsidRPr="00904FCB">
        <w:rPr>
          <w:rFonts w:hint="cs"/>
          <w:rtl/>
          <w:lang w:bidi="ar-AE"/>
        </w:rPr>
        <w:t>والناس هم مواطنون متساوون في الحقوق</w:t>
      </w:r>
      <w:r w:rsidR="00B83175" w:rsidRPr="00904FCB">
        <w:rPr>
          <w:rFonts w:hint="cs"/>
          <w:rtl/>
          <w:lang w:bidi="ar-AE"/>
        </w:rPr>
        <w:t>،</w:t>
      </w:r>
      <w:r w:rsidRPr="00904FCB">
        <w:rPr>
          <w:rFonts w:hint="cs"/>
          <w:rtl/>
          <w:lang w:bidi="ar-AE"/>
        </w:rPr>
        <w:t xml:space="preserve"> التي من ضمنها حق</w:t>
      </w:r>
      <w:r w:rsidR="00B83175" w:rsidRPr="00904FCB">
        <w:rPr>
          <w:rFonts w:hint="cs"/>
          <w:rtl/>
          <w:lang w:bidi="ar-AE"/>
        </w:rPr>
        <w:t>ّ</w:t>
      </w:r>
      <w:r w:rsidRPr="00904FCB">
        <w:rPr>
          <w:rFonts w:hint="cs"/>
          <w:rtl/>
          <w:lang w:bidi="ar-AE"/>
        </w:rPr>
        <w:t xml:space="preserve"> تحديد المصير.</w:t>
      </w:r>
    </w:p>
    <w:p w:rsidR="00952E59" w:rsidRPr="00904FCB" w:rsidRDefault="00952E59" w:rsidP="007A21AA">
      <w:pPr>
        <w:spacing w:line="400" w:lineRule="exact"/>
        <w:rPr>
          <w:rtl/>
          <w:lang w:bidi="ar-AE"/>
        </w:rPr>
      </w:pPr>
      <w:r w:rsidRPr="00904FCB">
        <w:rPr>
          <w:rFonts w:hint="cs"/>
          <w:rtl/>
          <w:lang w:bidi="ar-AE"/>
        </w:rPr>
        <w:t>وفي ظل</w:t>
      </w:r>
      <w:r w:rsidR="00B83175" w:rsidRPr="00904FCB">
        <w:rPr>
          <w:rFonts w:hint="cs"/>
          <w:rtl/>
          <w:lang w:bidi="ar-AE"/>
        </w:rPr>
        <w:t>ّ</w:t>
      </w:r>
      <w:r w:rsidRPr="00904FCB">
        <w:rPr>
          <w:rFonts w:hint="cs"/>
          <w:rtl/>
          <w:lang w:bidi="ar-AE"/>
        </w:rPr>
        <w:t xml:space="preserve"> هذا التحول نشأ مفهوما المواطنة والدولة (</w:t>
      </w:r>
      <w:r w:rsidRPr="00904FCB">
        <w:rPr>
          <w:rFonts w:asciiTheme="majorBidi" w:hAnsiTheme="majorBidi" w:cstheme="majorBidi"/>
          <w:sz w:val="22"/>
          <w:szCs w:val="22"/>
          <w:lang w:bidi="ar-AE"/>
        </w:rPr>
        <w:t>State Nation</w:t>
      </w:r>
      <w:r w:rsidRPr="00904FCB">
        <w:rPr>
          <w:rFonts w:hint="cs"/>
          <w:rtl/>
          <w:lang w:bidi="ar-AE"/>
        </w:rPr>
        <w:t>). وفقدت السلطة بُعدها اللاهوتي</w:t>
      </w:r>
      <w:r w:rsidR="00B83175" w:rsidRPr="00904FCB">
        <w:rPr>
          <w:rFonts w:hint="cs"/>
          <w:rtl/>
          <w:lang w:bidi="ar-AE"/>
        </w:rPr>
        <w:t>،</w:t>
      </w:r>
      <w:r w:rsidRPr="00904FCB">
        <w:rPr>
          <w:rFonts w:hint="cs"/>
          <w:rtl/>
          <w:lang w:bidi="ar-AE"/>
        </w:rPr>
        <w:t xml:space="preserve"> ونزلت إلى الأرض</w:t>
      </w:r>
      <w:r w:rsidR="00B83175" w:rsidRPr="00904FCB">
        <w:rPr>
          <w:rFonts w:hint="cs"/>
          <w:rtl/>
          <w:lang w:bidi="ar-AE"/>
        </w:rPr>
        <w:t>،</w:t>
      </w:r>
      <w:r w:rsidRPr="00904FCB">
        <w:rPr>
          <w:rFonts w:hint="cs"/>
          <w:rtl/>
          <w:lang w:bidi="ar-AE"/>
        </w:rPr>
        <w:t xml:space="preserve"> وأصبح بالإمكان تغييرها ونقدها وتداولها.</w:t>
      </w:r>
    </w:p>
    <w:p w:rsidR="00952E59" w:rsidRPr="00904FCB" w:rsidRDefault="00952E59" w:rsidP="007A21AA">
      <w:pPr>
        <w:spacing w:line="400" w:lineRule="exact"/>
        <w:rPr>
          <w:rtl/>
          <w:lang w:bidi="ar-AE"/>
        </w:rPr>
      </w:pPr>
      <w:r w:rsidRPr="00904FCB">
        <w:rPr>
          <w:rFonts w:hint="cs"/>
          <w:rtl/>
          <w:lang w:bidi="ar-AE"/>
        </w:rPr>
        <w:t>كما أصبح بالإمكان (في ظل</w:t>
      </w:r>
      <w:r w:rsidR="00B83175" w:rsidRPr="00904FCB">
        <w:rPr>
          <w:rFonts w:hint="cs"/>
          <w:rtl/>
          <w:lang w:bidi="ar-AE"/>
        </w:rPr>
        <w:t>ّ</w:t>
      </w:r>
      <w:r w:rsidRPr="00904FCB">
        <w:rPr>
          <w:rFonts w:hint="cs"/>
          <w:rtl/>
          <w:lang w:bidi="ar-AE"/>
        </w:rPr>
        <w:t xml:space="preserve"> هذه الرؤية الجديدة للإنسان والسلطة) فهم الحقوق والحر</w:t>
      </w:r>
      <w:r w:rsidR="00B83175" w:rsidRPr="00904FCB">
        <w:rPr>
          <w:rFonts w:hint="cs"/>
          <w:rtl/>
          <w:lang w:bidi="ar-AE"/>
        </w:rPr>
        <w:t>ّيات الرئيسية للإنسان، والتي من</w:t>
      </w:r>
      <w:r w:rsidRPr="00904FCB">
        <w:rPr>
          <w:rFonts w:hint="cs"/>
          <w:rtl/>
          <w:lang w:bidi="ar-AE"/>
        </w:rPr>
        <w:t>ها حق</w:t>
      </w:r>
      <w:r w:rsidR="00B83175" w:rsidRPr="00904FCB">
        <w:rPr>
          <w:rFonts w:hint="cs"/>
          <w:rtl/>
          <w:lang w:bidi="ar-AE"/>
        </w:rPr>
        <w:t>ّ</w:t>
      </w:r>
      <w:r w:rsidRPr="00904FCB">
        <w:rPr>
          <w:rFonts w:hint="cs"/>
          <w:rtl/>
          <w:lang w:bidi="ar-AE"/>
        </w:rPr>
        <w:t>ه في الحكم.</w:t>
      </w:r>
    </w:p>
    <w:p w:rsidR="00952E59" w:rsidRPr="00904FCB" w:rsidRDefault="00952E59" w:rsidP="007A21AA">
      <w:pPr>
        <w:spacing w:line="400" w:lineRule="exact"/>
        <w:rPr>
          <w:rtl/>
          <w:lang w:bidi="ar-AE"/>
        </w:rPr>
      </w:pPr>
      <w:r w:rsidRPr="00904FCB">
        <w:rPr>
          <w:rFonts w:hint="cs"/>
          <w:rtl/>
          <w:lang w:bidi="ar-AE"/>
        </w:rPr>
        <w:t>وفي الفترة التي أعقبت عصر النهضة، وبعد أن خاضت صراعات طاحنة نجمت عنها تضحيات كبيرة، بدأت الكنيسة باستيعاب المقولات المعاصرة حول الإنسان</w:t>
      </w:r>
      <w:r w:rsidR="007247EC" w:rsidRPr="00904FCB">
        <w:rPr>
          <w:rFonts w:hint="cs"/>
          <w:rtl/>
          <w:lang w:bidi="ar-AE"/>
        </w:rPr>
        <w:t>،</w:t>
      </w:r>
      <w:r w:rsidRPr="00904FCB">
        <w:rPr>
          <w:rFonts w:hint="cs"/>
          <w:rtl/>
          <w:lang w:bidi="ar-AE"/>
        </w:rPr>
        <w:t xml:space="preserve"> وآفاق السلطة السياسية</w:t>
      </w:r>
      <w:r w:rsidR="007247EC" w:rsidRPr="00904FCB">
        <w:rPr>
          <w:rFonts w:hint="cs"/>
          <w:rtl/>
          <w:lang w:bidi="ar-AE"/>
        </w:rPr>
        <w:t>،</w:t>
      </w:r>
      <w:r w:rsidRPr="00904FCB">
        <w:rPr>
          <w:rFonts w:hint="cs"/>
          <w:rtl/>
          <w:lang w:bidi="ar-AE"/>
        </w:rPr>
        <w:t xml:space="preserve"> وأهم</w:t>
      </w:r>
      <w:r w:rsidR="007247EC" w:rsidRPr="00904FCB">
        <w:rPr>
          <w:rFonts w:hint="cs"/>
          <w:rtl/>
          <w:lang w:bidi="ar-AE"/>
        </w:rPr>
        <w:t>ّ</w:t>
      </w:r>
      <w:r w:rsidRPr="00904FCB">
        <w:rPr>
          <w:rFonts w:hint="cs"/>
          <w:rtl/>
          <w:lang w:bidi="ar-AE"/>
        </w:rPr>
        <w:t>ية فصل الدين عن الدولة</w:t>
      </w:r>
      <w:r w:rsidR="007247EC" w:rsidRPr="00904FCB">
        <w:rPr>
          <w:rFonts w:hint="cs"/>
          <w:rtl/>
          <w:lang w:bidi="ar-AE"/>
        </w:rPr>
        <w:t>،</w:t>
      </w:r>
      <w:r w:rsidRPr="00904FCB">
        <w:rPr>
          <w:rFonts w:hint="cs"/>
          <w:rtl/>
          <w:lang w:bidi="ar-AE"/>
        </w:rPr>
        <w:t xml:space="preserve"> واستطاعت تقب</w:t>
      </w:r>
      <w:r w:rsidR="00602A60">
        <w:rPr>
          <w:rFonts w:hint="cs"/>
          <w:rtl/>
          <w:lang w:bidi="ar-AE"/>
        </w:rPr>
        <w:t>ُّ</w:t>
      </w:r>
      <w:r w:rsidRPr="00904FCB">
        <w:rPr>
          <w:rFonts w:hint="cs"/>
          <w:rtl/>
          <w:lang w:bidi="ar-AE"/>
        </w:rPr>
        <w:t>ل كل</w:t>
      </w:r>
      <w:r w:rsidR="007247EC" w:rsidRPr="00904FCB">
        <w:rPr>
          <w:rFonts w:hint="cs"/>
          <w:rtl/>
          <w:lang w:bidi="ar-AE"/>
        </w:rPr>
        <w:t>ّ</w:t>
      </w:r>
      <w:r w:rsidRPr="00904FCB">
        <w:rPr>
          <w:rFonts w:hint="cs"/>
          <w:rtl/>
          <w:lang w:bidi="ar-AE"/>
        </w:rPr>
        <w:t xml:space="preserve"> ذلك</w:t>
      </w:r>
      <w:r w:rsidR="007247EC" w:rsidRPr="00904FCB">
        <w:rPr>
          <w:rFonts w:hint="cs"/>
          <w:rtl/>
          <w:lang w:bidi="ar-AE"/>
        </w:rPr>
        <w:t>،</w:t>
      </w:r>
      <w:r w:rsidRPr="00904FCB">
        <w:rPr>
          <w:rFonts w:hint="cs"/>
          <w:rtl/>
          <w:lang w:bidi="ar-AE"/>
        </w:rPr>
        <w:t xml:space="preserve"> والتكي</w:t>
      </w:r>
      <w:r w:rsidR="00602A60">
        <w:rPr>
          <w:rFonts w:hint="cs"/>
          <w:rtl/>
          <w:lang w:bidi="ar-AE"/>
        </w:rPr>
        <w:t>ُّ</w:t>
      </w:r>
      <w:r w:rsidRPr="00904FCB">
        <w:rPr>
          <w:rFonts w:hint="cs"/>
          <w:rtl/>
          <w:lang w:bidi="ar-AE"/>
        </w:rPr>
        <w:t>ف معه بشكل</w:t>
      </w:r>
      <w:r w:rsidR="007247EC" w:rsidRPr="00904FCB">
        <w:rPr>
          <w:rFonts w:hint="cs"/>
          <w:rtl/>
          <w:lang w:bidi="ar-AE"/>
        </w:rPr>
        <w:t>ٍ</w:t>
      </w:r>
      <w:r w:rsidRPr="00904FCB">
        <w:rPr>
          <w:rFonts w:hint="cs"/>
          <w:rtl/>
          <w:lang w:bidi="ar-AE"/>
        </w:rPr>
        <w:t xml:space="preserve"> أو بآخر.</w:t>
      </w:r>
    </w:p>
    <w:p w:rsidR="00952E59" w:rsidRPr="00904FCB" w:rsidRDefault="00952E59" w:rsidP="007A21AA">
      <w:pPr>
        <w:spacing w:line="400" w:lineRule="exact"/>
        <w:rPr>
          <w:rtl/>
          <w:lang w:bidi="ar-AE"/>
        </w:rPr>
      </w:pPr>
      <w:r w:rsidRPr="00904FCB">
        <w:rPr>
          <w:rFonts w:hint="cs"/>
          <w:rtl/>
          <w:lang w:bidi="ar-AE"/>
        </w:rPr>
        <w:t xml:space="preserve">أما </w:t>
      </w:r>
      <w:r w:rsidR="007247EC" w:rsidRPr="00904FCB">
        <w:rPr>
          <w:rFonts w:hint="cs"/>
          <w:rtl/>
          <w:lang w:bidi="ar-AE"/>
        </w:rPr>
        <w:t xml:space="preserve">في </w:t>
      </w:r>
      <w:r w:rsidRPr="00904FCB">
        <w:rPr>
          <w:rFonts w:hint="cs"/>
          <w:rtl/>
          <w:lang w:bidi="ar-AE"/>
        </w:rPr>
        <w:t>الفترة التي أعقبت الحرب الباردة</w:t>
      </w:r>
      <w:r w:rsidR="007247EC" w:rsidRPr="00904FCB">
        <w:rPr>
          <w:rFonts w:hint="cs"/>
          <w:rtl/>
          <w:lang w:bidi="ar-AE"/>
        </w:rPr>
        <w:t>،</w:t>
      </w:r>
      <w:r w:rsidRPr="00904FCB">
        <w:rPr>
          <w:rFonts w:hint="cs"/>
          <w:rtl/>
          <w:lang w:bidi="ar-AE"/>
        </w:rPr>
        <w:t xml:space="preserve"> والتي شهدت اجتياح موجة الديمقراطية الحديثة أغلب دول العالم</w:t>
      </w:r>
      <w:r w:rsidR="007247EC" w:rsidRPr="00904FCB">
        <w:rPr>
          <w:rFonts w:hint="cs"/>
          <w:rtl/>
          <w:lang w:bidi="ar-AE"/>
        </w:rPr>
        <w:t>،</w:t>
      </w:r>
      <w:r w:rsidRPr="00904FCB">
        <w:rPr>
          <w:rFonts w:hint="cs"/>
          <w:rtl/>
          <w:lang w:bidi="ar-AE"/>
        </w:rPr>
        <w:t xml:space="preserve"> </w:t>
      </w:r>
      <w:r w:rsidR="007247EC" w:rsidRPr="00904FCB">
        <w:rPr>
          <w:rFonts w:hint="cs"/>
          <w:rtl/>
          <w:lang w:bidi="ar-AE"/>
        </w:rPr>
        <w:t>ف</w:t>
      </w:r>
      <w:r w:rsidRPr="00904FCB">
        <w:rPr>
          <w:rFonts w:hint="cs"/>
          <w:rtl/>
          <w:lang w:bidi="ar-AE"/>
        </w:rPr>
        <w:t>لم تواجه الطائفة المسيحية وكنيستها في دول العالم الثالث مشكلة في تقب</w:t>
      </w:r>
      <w:r w:rsidR="007247EC" w:rsidRPr="00904FCB">
        <w:rPr>
          <w:rFonts w:hint="cs"/>
          <w:rtl/>
          <w:lang w:bidi="ar-AE"/>
        </w:rPr>
        <w:t>ُّ</w:t>
      </w:r>
      <w:r w:rsidRPr="00904FCB">
        <w:rPr>
          <w:rFonts w:hint="cs"/>
          <w:rtl/>
          <w:lang w:bidi="ar-AE"/>
        </w:rPr>
        <w:t>ل أسس الد</w:t>
      </w:r>
      <w:r w:rsidR="007247EC" w:rsidRPr="00904FCB">
        <w:rPr>
          <w:rFonts w:hint="cs"/>
          <w:rtl/>
          <w:lang w:bidi="ar-AE"/>
        </w:rPr>
        <w:t xml:space="preserve">يمقراطية الحديثة وحقوق الإنسان، </w:t>
      </w:r>
      <w:r w:rsidRPr="00904FCB">
        <w:rPr>
          <w:rFonts w:hint="cs"/>
          <w:rtl/>
          <w:lang w:bidi="ar-AE"/>
        </w:rPr>
        <w:lastRenderedPageBreak/>
        <w:t>فشهدت هذه الدول نمو</w:t>
      </w:r>
      <w:r w:rsidR="007247EC" w:rsidRPr="00904FCB">
        <w:rPr>
          <w:rFonts w:hint="cs"/>
          <w:rtl/>
          <w:lang w:bidi="ar-AE"/>
        </w:rPr>
        <w:t>ّ</w:t>
      </w:r>
      <w:r w:rsidRPr="00904FCB">
        <w:rPr>
          <w:rFonts w:hint="cs"/>
          <w:rtl/>
          <w:lang w:bidi="ar-AE"/>
        </w:rPr>
        <w:t>ا</w:t>
      </w:r>
      <w:r w:rsidR="007247EC" w:rsidRPr="00904FCB">
        <w:rPr>
          <w:rFonts w:hint="cs"/>
          <w:rtl/>
          <w:lang w:bidi="ar-AE"/>
        </w:rPr>
        <w:t>ً</w:t>
      </w:r>
      <w:r w:rsidRPr="00904FCB">
        <w:rPr>
          <w:rFonts w:hint="cs"/>
          <w:rtl/>
          <w:lang w:bidi="ar-AE"/>
        </w:rPr>
        <w:t xml:space="preserve"> وازدهاراً في تبن</w:t>
      </w:r>
      <w:r w:rsidR="007247EC" w:rsidRPr="00904FCB">
        <w:rPr>
          <w:rFonts w:hint="cs"/>
          <w:rtl/>
          <w:lang w:bidi="ar-AE"/>
        </w:rPr>
        <w:t>ّ</w:t>
      </w:r>
      <w:r w:rsidRPr="00904FCB">
        <w:rPr>
          <w:rFonts w:hint="cs"/>
          <w:rtl/>
          <w:lang w:bidi="ar-AE"/>
        </w:rPr>
        <w:t>ي الأنظمة الديمقراطية</w:t>
      </w:r>
      <w:r w:rsidR="007247EC" w:rsidRPr="00904FCB">
        <w:rPr>
          <w:rFonts w:hint="cs"/>
          <w:rtl/>
          <w:lang w:bidi="ar-AE"/>
        </w:rPr>
        <w:t>،</w:t>
      </w:r>
      <w:r w:rsidRPr="00904FCB">
        <w:rPr>
          <w:rFonts w:hint="cs"/>
          <w:rtl/>
          <w:lang w:bidi="ar-AE"/>
        </w:rPr>
        <w:t xml:space="preserve"> واتجهت بخطوات سريعة نحو التنمية السياسية والعمل المؤس</w:t>
      </w:r>
      <w:r w:rsidR="007247EC" w:rsidRPr="00904FCB">
        <w:rPr>
          <w:rFonts w:hint="cs"/>
          <w:rtl/>
          <w:lang w:bidi="ar-AE"/>
        </w:rPr>
        <w:t>ّ</w:t>
      </w:r>
      <w:r w:rsidRPr="00904FCB">
        <w:rPr>
          <w:rFonts w:hint="cs"/>
          <w:rtl/>
          <w:lang w:bidi="ar-AE"/>
        </w:rPr>
        <w:t>ساتي.</w:t>
      </w:r>
    </w:p>
    <w:p w:rsidR="00952E59" w:rsidRPr="00904FCB" w:rsidRDefault="00952E59" w:rsidP="007A21AA">
      <w:pPr>
        <w:spacing w:line="400" w:lineRule="exact"/>
        <w:rPr>
          <w:rtl/>
          <w:lang w:bidi="ar-AE"/>
        </w:rPr>
      </w:pPr>
      <w:r w:rsidRPr="00904FCB">
        <w:rPr>
          <w:rFonts w:hint="cs"/>
          <w:rtl/>
          <w:lang w:bidi="ar-AE"/>
        </w:rPr>
        <w:t>وكان لهذه التحو</w:t>
      </w:r>
      <w:r w:rsidR="007247EC" w:rsidRPr="00904FCB">
        <w:rPr>
          <w:rFonts w:hint="cs"/>
          <w:rtl/>
          <w:lang w:bidi="ar-AE"/>
        </w:rPr>
        <w:t>ّ</w:t>
      </w:r>
      <w:r w:rsidRPr="00904FCB">
        <w:rPr>
          <w:rFonts w:hint="cs"/>
          <w:rtl/>
          <w:lang w:bidi="ar-AE"/>
        </w:rPr>
        <w:t>لات أثر</w:t>
      </w:r>
      <w:r w:rsidR="007247EC" w:rsidRPr="00904FCB">
        <w:rPr>
          <w:rFonts w:hint="cs"/>
          <w:rtl/>
          <w:lang w:bidi="ar-AE"/>
        </w:rPr>
        <w:t>ٌ</w:t>
      </w:r>
      <w:r w:rsidRPr="00904FCB">
        <w:rPr>
          <w:rFonts w:hint="cs"/>
          <w:rtl/>
          <w:lang w:bidi="ar-AE"/>
        </w:rPr>
        <w:t xml:space="preserve"> بالغ على دول المعسكر الشرقي</w:t>
      </w:r>
      <w:r w:rsidR="007247EC" w:rsidRPr="00904FCB">
        <w:rPr>
          <w:rFonts w:hint="cs"/>
          <w:rtl/>
          <w:lang w:bidi="ar-AE"/>
        </w:rPr>
        <w:t>،</w:t>
      </w:r>
      <w:r w:rsidRPr="00904FCB">
        <w:rPr>
          <w:rFonts w:hint="cs"/>
          <w:rtl/>
          <w:lang w:bidi="ar-AE"/>
        </w:rPr>
        <w:t xml:space="preserve"> بما فيه أور</w:t>
      </w:r>
      <w:r w:rsidR="007247EC" w:rsidRPr="00904FCB">
        <w:rPr>
          <w:rFonts w:hint="cs"/>
          <w:rtl/>
          <w:lang w:bidi="ar-AE"/>
        </w:rPr>
        <w:t>و</w:t>
      </w:r>
      <w:r w:rsidRPr="00904FCB">
        <w:rPr>
          <w:rFonts w:hint="cs"/>
          <w:rtl/>
          <w:lang w:bidi="ar-AE"/>
        </w:rPr>
        <w:t>با الشرقية وروسيا وجزء من أمريكا اللاتينية</w:t>
      </w:r>
      <w:r w:rsidR="007247EC" w:rsidRPr="00904FCB">
        <w:rPr>
          <w:rFonts w:hint="cs"/>
          <w:rtl/>
          <w:lang w:bidi="ar-AE"/>
        </w:rPr>
        <w:t>،</w:t>
      </w:r>
      <w:r w:rsidRPr="00904FCB">
        <w:rPr>
          <w:rFonts w:hint="cs"/>
          <w:rtl/>
          <w:lang w:bidi="ar-AE"/>
        </w:rPr>
        <w:t xml:space="preserve"> يمكن أن نقرأه من خلال انصهار أنظمتها السياسية والاقتصادية بالأنظمة الغربية (أور</w:t>
      </w:r>
      <w:r w:rsidR="007247EC" w:rsidRPr="00904FCB">
        <w:rPr>
          <w:rFonts w:hint="cs"/>
          <w:rtl/>
          <w:lang w:bidi="ar-AE"/>
        </w:rPr>
        <w:t>و</w:t>
      </w:r>
      <w:r w:rsidRPr="00904FCB">
        <w:rPr>
          <w:rFonts w:hint="cs"/>
          <w:rtl/>
          <w:lang w:bidi="ar-AE"/>
        </w:rPr>
        <w:t>با الغربية وأمريكا).</w:t>
      </w:r>
    </w:p>
    <w:p w:rsidR="00952E59" w:rsidRPr="00904FCB" w:rsidRDefault="00952E59" w:rsidP="007A21AA">
      <w:pPr>
        <w:spacing w:line="400" w:lineRule="exact"/>
        <w:rPr>
          <w:rtl/>
          <w:lang w:bidi="ar-AE"/>
        </w:rPr>
      </w:pPr>
      <w:r w:rsidRPr="00904FCB">
        <w:rPr>
          <w:rFonts w:hint="cs"/>
          <w:rtl/>
          <w:lang w:bidi="ar-AE"/>
        </w:rPr>
        <w:t>لكن</w:t>
      </w:r>
      <w:r w:rsidR="007247EC" w:rsidRPr="00904FCB">
        <w:rPr>
          <w:rFonts w:hint="cs"/>
          <w:rtl/>
          <w:lang w:bidi="ar-AE"/>
        </w:rPr>
        <w:t>ّ</w:t>
      </w:r>
      <w:r w:rsidRPr="00904FCB">
        <w:rPr>
          <w:rFonts w:hint="cs"/>
          <w:rtl/>
          <w:lang w:bidi="ar-AE"/>
        </w:rPr>
        <w:t xml:space="preserve"> مثل هذه الأجواء التي عاشتها معظم دول العالم لم تنسحب على الدول الإسلامية، ولم يتمك</w:t>
      </w:r>
      <w:r w:rsidR="007247EC" w:rsidRPr="00904FCB">
        <w:rPr>
          <w:rFonts w:hint="cs"/>
          <w:rtl/>
          <w:lang w:bidi="ar-AE"/>
        </w:rPr>
        <w:t>ّ</w:t>
      </w:r>
      <w:r w:rsidRPr="00904FCB">
        <w:rPr>
          <w:rFonts w:hint="cs"/>
          <w:rtl/>
          <w:lang w:bidi="ar-AE"/>
        </w:rPr>
        <w:t>ن أي</w:t>
      </w:r>
      <w:r w:rsidR="007247EC" w:rsidRPr="00904FCB">
        <w:rPr>
          <w:rFonts w:hint="cs"/>
          <w:rtl/>
          <w:lang w:bidi="ar-AE"/>
        </w:rPr>
        <w:t>ّ</w:t>
      </w:r>
      <w:r w:rsidRPr="00904FCB">
        <w:rPr>
          <w:rFonts w:hint="cs"/>
          <w:rtl/>
          <w:lang w:bidi="ar-AE"/>
        </w:rPr>
        <w:t xml:space="preserve"> بلد إسلامي من الدخول إلى العصر الجديد، سوى اقتباسه بعض المظاهر السلوكية ـ الفردية والاجتماعية ـ و</w:t>
      </w:r>
      <w:r w:rsidR="007247EC" w:rsidRPr="00904FCB">
        <w:rPr>
          <w:rFonts w:hint="cs"/>
          <w:rtl/>
          <w:lang w:bidi="ar-AE"/>
        </w:rPr>
        <w:t>أ</w:t>
      </w:r>
      <w:r w:rsidRPr="00904FCB">
        <w:rPr>
          <w:rFonts w:hint="cs"/>
          <w:rtl/>
          <w:lang w:bidi="ar-AE"/>
        </w:rPr>
        <w:t>ساليب العمران و</w:t>
      </w:r>
      <w:r w:rsidR="007247EC" w:rsidRPr="00904FCB">
        <w:rPr>
          <w:rFonts w:hint="cs"/>
          <w:rtl/>
          <w:lang w:bidi="ar-AE"/>
        </w:rPr>
        <w:t>إ</w:t>
      </w:r>
      <w:r w:rsidRPr="00904FCB">
        <w:rPr>
          <w:rFonts w:hint="cs"/>
          <w:rtl/>
          <w:lang w:bidi="ar-AE"/>
        </w:rPr>
        <w:t>نشاء المدن الحديثة وطرق التجارة العصرية</w:t>
      </w:r>
      <w:r w:rsidR="007247EC" w:rsidRPr="00904FCB">
        <w:rPr>
          <w:rFonts w:hint="cs"/>
          <w:rtl/>
          <w:lang w:bidi="ar-AE"/>
        </w:rPr>
        <w:t>،</w:t>
      </w:r>
      <w:r w:rsidRPr="00904FCB">
        <w:rPr>
          <w:rFonts w:hint="cs"/>
          <w:rtl/>
          <w:lang w:bidi="ar-AE"/>
        </w:rPr>
        <w:t xml:space="preserve"> التي لا يمكن عدّها تنمية أو حداثة بأي</w:t>
      </w:r>
      <w:r w:rsidR="00602A60">
        <w:rPr>
          <w:rFonts w:hint="cs"/>
          <w:rtl/>
          <w:lang w:bidi="ar-AE"/>
        </w:rPr>
        <w:t>ّ</w:t>
      </w:r>
      <w:r w:rsidRPr="00904FCB">
        <w:rPr>
          <w:rFonts w:hint="cs"/>
          <w:rtl/>
          <w:lang w:bidi="ar-AE"/>
        </w:rPr>
        <w:t xml:space="preserve"> شكل</w:t>
      </w:r>
      <w:r w:rsidR="007247EC" w:rsidRPr="00904FCB">
        <w:rPr>
          <w:rFonts w:hint="cs"/>
          <w:rtl/>
          <w:lang w:bidi="ar-AE"/>
        </w:rPr>
        <w:t>ٍ</w:t>
      </w:r>
      <w:r w:rsidRPr="00904FCB">
        <w:rPr>
          <w:rFonts w:hint="cs"/>
          <w:rtl/>
          <w:lang w:bidi="ar-AE"/>
        </w:rPr>
        <w:t xml:space="preserve"> من الأشكال.</w:t>
      </w:r>
    </w:p>
    <w:p w:rsidR="00952E59" w:rsidRPr="00904FCB" w:rsidRDefault="00952E59" w:rsidP="007A21AA">
      <w:pPr>
        <w:spacing w:line="400" w:lineRule="exact"/>
        <w:rPr>
          <w:rtl/>
          <w:lang w:bidi="ar-AE"/>
        </w:rPr>
      </w:pPr>
      <w:r w:rsidRPr="00904FCB">
        <w:rPr>
          <w:rFonts w:hint="cs"/>
          <w:rtl/>
          <w:lang w:bidi="ar-AE"/>
        </w:rPr>
        <w:t>ولم تكن العقبة الرئيسية في دخول الدول ا</w:t>
      </w:r>
      <w:r w:rsidR="007247EC" w:rsidRPr="00904FCB">
        <w:rPr>
          <w:rFonts w:hint="cs"/>
          <w:rtl/>
          <w:lang w:bidi="ar-AE"/>
        </w:rPr>
        <w:t>لإ</w:t>
      </w:r>
      <w:r w:rsidRPr="00904FCB">
        <w:rPr>
          <w:rFonts w:hint="cs"/>
          <w:rtl/>
          <w:lang w:bidi="ar-AE"/>
        </w:rPr>
        <w:t>سلامية إلى العصر الحديث مقتصرة على الصراع السياسي بين الأنظمة الدكتاتورية والحركات التحر</w:t>
      </w:r>
      <w:r w:rsidR="007247EC" w:rsidRPr="00904FCB">
        <w:rPr>
          <w:rFonts w:hint="cs"/>
          <w:rtl/>
          <w:lang w:bidi="ar-AE"/>
        </w:rPr>
        <w:t>ُّ</w:t>
      </w:r>
      <w:r w:rsidRPr="00904FCB">
        <w:rPr>
          <w:rFonts w:hint="cs"/>
          <w:rtl/>
          <w:lang w:bidi="ar-AE"/>
        </w:rPr>
        <w:t>رية في تلك البلدان</w:t>
      </w:r>
      <w:r w:rsidR="007247EC" w:rsidRPr="00904FCB">
        <w:rPr>
          <w:rFonts w:hint="cs"/>
          <w:rtl/>
          <w:lang w:bidi="ar-AE"/>
        </w:rPr>
        <w:t>.</w:t>
      </w:r>
      <w:r w:rsidRPr="00904FCB">
        <w:rPr>
          <w:rFonts w:hint="cs"/>
          <w:rtl/>
          <w:lang w:bidi="ar-AE"/>
        </w:rPr>
        <w:t xml:space="preserve"> </w:t>
      </w:r>
      <w:r w:rsidR="007247EC" w:rsidRPr="00904FCB">
        <w:rPr>
          <w:rFonts w:hint="cs"/>
          <w:rtl/>
          <w:lang w:bidi="ar-AE"/>
        </w:rPr>
        <w:t>و</w:t>
      </w:r>
      <w:r w:rsidRPr="00904FCB">
        <w:rPr>
          <w:rFonts w:hint="cs"/>
          <w:rtl/>
          <w:lang w:bidi="ar-AE"/>
        </w:rPr>
        <w:t>طبعاً لا نريد بذلك إغفال دور الحاكم المت</w:t>
      </w:r>
      <w:r w:rsidR="007247EC" w:rsidRPr="00904FCB">
        <w:rPr>
          <w:rFonts w:hint="cs"/>
          <w:rtl/>
          <w:lang w:bidi="ar-AE"/>
        </w:rPr>
        <w:t>َّ</w:t>
      </w:r>
      <w:r w:rsidRPr="00904FCB">
        <w:rPr>
          <w:rFonts w:hint="cs"/>
          <w:rtl/>
          <w:lang w:bidi="ar-AE"/>
        </w:rPr>
        <w:t>صف بالفساد والسرقة والدكتاتورية والعمالة في تخل</w:t>
      </w:r>
      <w:r w:rsidR="007247EC" w:rsidRPr="00904FCB">
        <w:rPr>
          <w:rFonts w:hint="cs"/>
          <w:rtl/>
          <w:lang w:bidi="ar-AE"/>
        </w:rPr>
        <w:t>ُّ</w:t>
      </w:r>
      <w:r w:rsidRPr="00904FCB">
        <w:rPr>
          <w:rFonts w:hint="cs"/>
          <w:rtl/>
          <w:lang w:bidi="ar-AE"/>
        </w:rPr>
        <w:t>ف البلد وانحطاطه</w:t>
      </w:r>
      <w:r w:rsidR="007247EC" w:rsidRPr="00904FCB">
        <w:rPr>
          <w:rFonts w:hint="cs"/>
          <w:rtl/>
          <w:lang w:bidi="ar-AE"/>
        </w:rPr>
        <w:t>.</w:t>
      </w:r>
      <w:r w:rsidRPr="00904FCB">
        <w:rPr>
          <w:rFonts w:hint="cs"/>
          <w:rtl/>
          <w:lang w:bidi="ar-AE"/>
        </w:rPr>
        <w:t xml:space="preserve"> وإنما الذي نريد قوله هنا هو أن من غير الصائب إلقاء اللوم على الحاكم وحده</w:t>
      </w:r>
      <w:r w:rsidR="007247EC" w:rsidRPr="00904FCB">
        <w:rPr>
          <w:rFonts w:hint="cs"/>
          <w:rtl/>
          <w:lang w:bidi="ar-AE"/>
        </w:rPr>
        <w:t>،</w:t>
      </w:r>
      <w:r w:rsidRPr="00904FCB">
        <w:rPr>
          <w:rFonts w:hint="cs"/>
          <w:rtl/>
          <w:lang w:bidi="ar-AE"/>
        </w:rPr>
        <w:t xml:space="preserve"> وعدّه السبب الوحيد في تلك المشكلة، ونغفل باقي الأسباب الأخرى</w:t>
      </w:r>
      <w:r w:rsidR="007247EC" w:rsidRPr="00904FCB">
        <w:rPr>
          <w:rFonts w:hint="cs"/>
          <w:rtl/>
          <w:lang w:bidi="ar-AE"/>
        </w:rPr>
        <w:t>،</w:t>
      </w:r>
      <w:r w:rsidRPr="00904FCB">
        <w:rPr>
          <w:rFonts w:hint="cs"/>
          <w:rtl/>
          <w:lang w:bidi="ar-AE"/>
        </w:rPr>
        <w:t xml:space="preserve"> والتي لا تقل</w:t>
      </w:r>
      <w:r w:rsidR="007247EC" w:rsidRPr="00904FCB">
        <w:rPr>
          <w:rFonts w:hint="cs"/>
          <w:rtl/>
          <w:lang w:bidi="ar-AE"/>
        </w:rPr>
        <w:t>ّ</w:t>
      </w:r>
      <w:r w:rsidRPr="00904FCB">
        <w:rPr>
          <w:rFonts w:hint="cs"/>
          <w:rtl/>
          <w:lang w:bidi="ar-AE"/>
        </w:rPr>
        <w:t xml:space="preserve"> أهمية عنه.</w:t>
      </w:r>
    </w:p>
    <w:p w:rsidR="00952E59" w:rsidRPr="00904FCB" w:rsidRDefault="00952E59" w:rsidP="007A21AA">
      <w:pPr>
        <w:spacing w:line="400" w:lineRule="exact"/>
        <w:rPr>
          <w:rtl/>
          <w:lang w:bidi="ar-AE"/>
        </w:rPr>
      </w:pPr>
      <w:r w:rsidRPr="00904FCB">
        <w:rPr>
          <w:rFonts w:hint="cs"/>
          <w:rtl/>
          <w:lang w:bidi="ar-AE"/>
        </w:rPr>
        <w:t>إن أحد أبرز الأسباب التي ساهمت وتساهم في عرقلة دخول الدول الإسلامية إلى العصر الحديث ه</w:t>
      </w:r>
      <w:r w:rsidR="006172E4" w:rsidRPr="00904FCB">
        <w:rPr>
          <w:rFonts w:hint="cs"/>
          <w:rtl/>
          <w:lang w:bidi="ar-AE"/>
        </w:rPr>
        <w:t>و</w:t>
      </w:r>
      <w:r w:rsidRPr="00904FCB">
        <w:rPr>
          <w:rFonts w:hint="cs"/>
          <w:rtl/>
          <w:lang w:bidi="ar-AE"/>
        </w:rPr>
        <w:t xml:space="preserve"> عدم إيمان قادة الحركات الإسلامية ومفك</w:t>
      </w:r>
      <w:r w:rsidR="006420FE" w:rsidRPr="00904FCB">
        <w:rPr>
          <w:rFonts w:hint="cs"/>
          <w:rtl/>
          <w:lang w:bidi="ar-AE"/>
        </w:rPr>
        <w:t>ِّ</w:t>
      </w:r>
      <w:r w:rsidRPr="00904FCB">
        <w:rPr>
          <w:rFonts w:hint="cs"/>
          <w:rtl/>
          <w:lang w:bidi="ar-AE"/>
        </w:rPr>
        <w:t>ريها بمقولات الحداثة</w:t>
      </w:r>
      <w:r w:rsidR="006172E4" w:rsidRPr="00904FCB">
        <w:rPr>
          <w:rFonts w:hint="cs"/>
          <w:rtl/>
          <w:lang w:bidi="ar-AE"/>
        </w:rPr>
        <w:t>،</w:t>
      </w:r>
      <w:r w:rsidRPr="00904FCB">
        <w:rPr>
          <w:rFonts w:hint="cs"/>
          <w:rtl/>
          <w:lang w:bidi="ar-AE"/>
        </w:rPr>
        <w:t xml:space="preserve"> وخصوصاً ما يتعلق منها بحقوق ال</w:t>
      </w:r>
      <w:r w:rsidR="006172E4" w:rsidRPr="00904FCB">
        <w:rPr>
          <w:rFonts w:hint="cs"/>
          <w:rtl/>
          <w:lang w:bidi="ar-AE"/>
        </w:rPr>
        <w:t>إ</w:t>
      </w:r>
      <w:r w:rsidRPr="00904FCB">
        <w:rPr>
          <w:rFonts w:hint="cs"/>
          <w:rtl/>
          <w:lang w:bidi="ar-AE"/>
        </w:rPr>
        <w:t>نسان</w:t>
      </w:r>
      <w:r w:rsidR="006172E4" w:rsidRPr="00904FCB">
        <w:rPr>
          <w:rFonts w:hint="cs"/>
          <w:rtl/>
          <w:lang w:bidi="ar-AE"/>
        </w:rPr>
        <w:t>،</w:t>
      </w:r>
      <w:r w:rsidRPr="00904FCB">
        <w:rPr>
          <w:rFonts w:hint="cs"/>
          <w:rtl/>
          <w:lang w:bidi="ar-AE"/>
        </w:rPr>
        <w:t xml:space="preserve"> كالحر</w:t>
      </w:r>
      <w:r w:rsidR="006172E4" w:rsidRPr="00904FCB">
        <w:rPr>
          <w:rFonts w:hint="cs"/>
          <w:rtl/>
          <w:lang w:bidi="ar-AE"/>
        </w:rPr>
        <w:t>ّ</w:t>
      </w:r>
      <w:r w:rsidRPr="00904FCB">
        <w:rPr>
          <w:rFonts w:hint="cs"/>
          <w:rtl/>
          <w:lang w:bidi="ar-AE"/>
        </w:rPr>
        <w:t>يات الفردية</w:t>
      </w:r>
      <w:r w:rsidR="006172E4" w:rsidRPr="00904FCB">
        <w:rPr>
          <w:rFonts w:hint="cs"/>
          <w:rtl/>
          <w:lang w:bidi="ar-AE"/>
        </w:rPr>
        <w:t>،</w:t>
      </w:r>
      <w:r w:rsidRPr="00904FCB">
        <w:rPr>
          <w:rFonts w:hint="cs"/>
          <w:rtl/>
          <w:lang w:bidi="ar-AE"/>
        </w:rPr>
        <w:t xml:space="preserve"> التي من ضمنها حق</w:t>
      </w:r>
      <w:r w:rsidR="006172E4" w:rsidRPr="00904FCB">
        <w:rPr>
          <w:rFonts w:hint="cs"/>
          <w:rtl/>
          <w:lang w:bidi="ar-AE"/>
        </w:rPr>
        <w:t>ّ</w:t>
      </w:r>
      <w:r w:rsidRPr="00904FCB">
        <w:rPr>
          <w:rFonts w:hint="cs"/>
          <w:rtl/>
          <w:lang w:bidi="ar-AE"/>
        </w:rPr>
        <w:t xml:space="preserve"> الحكم</w:t>
      </w:r>
      <w:r w:rsidR="006172E4" w:rsidRPr="00904FCB">
        <w:rPr>
          <w:rFonts w:hint="cs"/>
          <w:rtl/>
          <w:lang w:bidi="ar-AE"/>
        </w:rPr>
        <w:t>،</w:t>
      </w:r>
      <w:r w:rsidRPr="00904FCB">
        <w:rPr>
          <w:rFonts w:hint="cs"/>
          <w:rtl/>
          <w:lang w:bidi="ar-AE"/>
        </w:rPr>
        <w:t xml:space="preserve"> والقضاء</w:t>
      </w:r>
      <w:r w:rsidR="006172E4" w:rsidRPr="00904FCB">
        <w:rPr>
          <w:rFonts w:hint="cs"/>
          <w:rtl/>
          <w:lang w:bidi="ar-AE"/>
        </w:rPr>
        <w:t>،</w:t>
      </w:r>
      <w:r w:rsidRPr="00904FCB">
        <w:rPr>
          <w:rFonts w:hint="cs"/>
          <w:rtl/>
          <w:lang w:bidi="ar-AE"/>
        </w:rPr>
        <w:t xml:space="preserve"> والتعد</w:t>
      </w:r>
      <w:r w:rsidR="006172E4" w:rsidRPr="00904FCB">
        <w:rPr>
          <w:rFonts w:hint="cs"/>
          <w:rtl/>
          <w:lang w:bidi="ar-AE"/>
        </w:rPr>
        <w:t>ُّ</w:t>
      </w:r>
      <w:r w:rsidRPr="00904FCB">
        <w:rPr>
          <w:rFonts w:hint="cs"/>
          <w:rtl/>
          <w:lang w:bidi="ar-AE"/>
        </w:rPr>
        <w:t>دية الفكرية والسياسية، والتسامح والمصالحة</w:t>
      </w:r>
      <w:r w:rsidR="006172E4" w:rsidRPr="00904FCB">
        <w:rPr>
          <w:rFonts w:hint="cs"/>
          <w:rtl/>
          <w:lang w:bidi="ar-AE"/>
        </w:rPr>
        <w:t>،</w:t>
      </w:r>
      <w:r w:rsidRPr="00904FCB">
        <w:rPr>
          <w:rFonts w:hint="cs"/>
          <w:rtl/>
          <w:lang w:bidi="ar-AE"/>
        </w:rPr>
        <w:t xml:space="preserve"> وحرية التعبير وحرية الصحافة</w:t>
      </w:r>
      <w:r w:rsidR="006172E4" w:rsidRPr="00904FCB">
        <w:rPr>
          <w:rFonts w:hint="cs"/>
          <w:rtl/>
          <w:lang w:bidi="ar-AE"/>
        </w:rPr>
        <w:t>،</w:t>
      </w:r>
      <w:r w:rsidRPr="00904FCB">
        <w:rPr>
          <w:rFonts w:hint="cs"/>
          <w:rtl/>
          <w:lang w:bidi="ar-AE"/>
        </w:rPr>
        <w:t xml:space="preserve"> وحرية تشكيل الأحزاب والتيارات السياسية وغيرها.</w:t>
      </w:r>
    </w:p>
    <w:p w:rsidR="00952E59" w:rsidRPr="00904FCB" w:rsidRDefault="00952E59" w:rsidP="007A21AA">
      <w:pPr>
        <w:spacing w:line="400" w:lineRule="exact"/>
        <w:rPr>
          <w:rtl/>
          <w:lang w:bidi="ar-AE"/>
        </w:rPr>
      </w:pPr>
      <w:r w:rsidRPr="00904FCB">
        <w:rPr>
          <w:rFonts w:hint="cs"/>
          <w:rtl/>
          <w:lang w:bidi="ar-AE"/>
        </w:rPr>
        <w:t>وقد لا تعدو الديمقراطية لدى بعض القادة والنشطاء السياسيين والمفك</w:t>
      </w:r>
      <w:r w:rsidR="003641EC" w:rsidRPr="00904FCB">
        <w:rPr>
          <w:rFonts w:hint="cs"/>
          <w:rtl/>
          <w:lang w:bidi="ar-AE"/>
        </w:rPr>
        <w:t>ِّ</w:t>
      </w:r>
      <w:r w:rsidRPr="00904FCB">
        <w:rPr>
          <w:rFonts w:hint="cs"/>
          <w:rtl/>
          <w:lang w:bidi="ar-AE"/>
        </w:rPr>
        <w:t>رين الإسلاميين سوى ضرب من ضروب الكفر</w:t>
      </w:r>
      <w:r w:rsidRPr="00904FCB">
        <w:rPr>
          <w:rFonts w:hint="cs"/>
          <w:vertAlign w:val="superscript"/>
          <w:rtl/>
        </w:rPr>
        <w:t>(</w:t>
      </w:r>
      <w:r w:rsidRPr="00904FCB">
        <w:rPr>
          <w:vertAlign w:val="superscript"/>
        </w:rPr>
        <w:endnoteReference w:id="334"/>
      </w:r>
      <w:r w:rsidRPr="00904FCB">
        <w:rPr>
          <w:rFonts w:hint="cs"/>
          <w:vertAlign w:val="superscript"/>
          <w:rtl/>
        </w:rPr>
        <w:t>)</w:t>
      </w:r>
      <w:r w:rsidRPr="00904FCB">
        <w:rPr>
          <w:rFonts w:hint="cs"/>
          <w:rtl/>
          <w:lang w:bidi="ar-AE"/>
        </w:rPr>
        <w:t>.</w:t>
      </w:r>
      <w:r w:rsidRPr="00904FCB">
        <w:rPr>
          <w:rFonts w:hint="cs"/>
          <w:b/>
          <w:bCs/>
          <w:rtl/>
        </w:rPr>
        <w:t xml:space="preserve"> </w:t>
      </w:r>
      <w:r w:rsidRPr="00904FCB">
        <w:rPr>
          <w:rFonts w:hint="cs"/>
          <w:rtl/>
          <w:lang w:bidi="ar-AE"/>
        </w:rPr>
        <w:t>كما لا</w:t>
      </w:r>
      <w:r w:rsidR="003641EC" w:rsidRPr="00904FCB">
        <w:rPr>
          <w:rFonts w:hint="cs"/>
          <w:rtl/>
          <w:lang w:bidi="ar-AE"/>
        </w:rPr>
        <w:t xml:space="preserve"> </w:t>
      </w:r>
      <w:r w:rsidRPr="00904FCB">
        <w:rPr>
          <w:rFonts w:hint="cs"/>
          <w:rtl/>
          <w:lang w:bidi="ar-AE"/>
        </w:rPr>
        <w:t>زالت فكرتهم عن الدولة والسلطة فكرة تقليدية بحتة</w:t>
      </w:r>
      <w:r w:rsidR="003641EC" w:rsidRPr="00904FCB">
        <w:rPr>
          <w:rFonts w:hint="cs"/>
          <w:rtl/>
          <w:lang w:bidi="ar-AE"/>
        </w:rPr>
        <w:t>،</w:t>
      </w:r>
      <w:r w:rsidRPr="00904FCB">
        <w:rPr>
          <w:rFonts w:hint="cs"/>
          <w:rtl/>
          <w:lang w:bidi="ar-AE"/>
        </w:rPr>
        <w:t xml:space="preserve"> تقضي بانحدارها من القم</w:t>
      </w:r>
      <w:r w:rsidR="003641EC" w:rsidRPr="00904FCB">
        <w:rPr>
          <w:rFonts w:hint="cs"/>
          <w:rtl/>
          <w:lang w:bidi="ar-AE"/>
        </w:rPr>
        <w:t>ّ</w:t>
      </w:r>
      <w:r w:rsidRPr="00904FCB">
        <w:rPr>
          <w:rFonts w:hint="cs"/>
          <w:rtl/>
          <w:lang w:bidi="ar-AE"/>
        </w:rPr>
        <w:t xml:space="preserve">ة إلى القاعدة. </w:t>
      </w:r>
    </w:p>
    <w:p w:rsidR="00952E59" w:rsidRPr="00904FCB" w:rsidRDefault="00952E59" w:rsidP="00857013">
      <w:pPr>
        <w:spacing w:line="400" w:lineRule="exact"/>
        <w:rPr>
          <w:rtl/>
          <w:lang w:bidi="ar-AE"/>
        </w:rPr>
      </w:pPr>
      <w:r w:rsidRPr="00904FCB">
        <w:rPr>
          <w:rFonts w:hint="cs"/>
          <w:rtl/>
          <w:lang w:bidi="ar-AE"/>
        </w:rPr>
        <w:t xml:space="preserve">ولذلك فإن الانطباع السائد لدى غالبية المسلمين عن الحكومة الإسلامية ينبثق </w:t>
      </w:r>
      <w:r w:rsidRPr="00904FCB">
        <w:rPr>
          <w:rFonts w:hint="cs"/>
          <w:rtl/>
          <w:lang w:bidi="ar-AE"/>
        </w:rPr>
        <w:lastRenderedPageBreak/>
        <w:t>من سيرة الخلفاء والحك</w:t>
      </w:r>
      <w:r w:rsidR="003641EC" w:rsidRPr="00904FCB">
        <w:rPr>
          <w:rFonts w:hint="cs"/>
          <w:rtl/>
          <w:lang w:bidi="ar-AE"/>
        </w:rPr>
        <w:t>ّ</w:t>
      </w:r>
      <w:r w:rsidRPr="00904FCB">
        <w:rPr>
          <w:rFonts w:hint="cs"/>
          <w:rtl/>
          <w:lang w:bidi="ar-AE"/>
        </w:rPr>
        <w:t>ام، كالخلفاء الراشدين وبني أمي</w:t>
      </w:r>
      <w:r w:rsidR="003641EC" w:rsidRPr="00904FCB">
        <w:rPr>
          <w:rFonts w:hint="cs"/>
          <w:rtl/>
          <w:lang w:bidi="ar-AE"/>
        </w:rPr>
        <w:t>ّ</w:t>
      </w:r>
      <w:r w:rsidRPr="00904FCB">
        <w:rPr>
          <w:rFonts w:hint="cs"/>
          <w:rtl/>
          <w:lang w:bidi="ar-AE"/>
        </w:rPr>
        <w:t>ة وبني العب</w:t>
      </w:r>
      <w:r w:rsidR="003641EC" w:rsidRPr="00904FCB">
        <w:rPr>
          <w:rFonts w:hint="cs"/>
          <w:rtl/>
          <w:lang w:bidi="ar-AE"/>
        </w:rPr>
        <w:t>ّ</w:t>
      </w:r>
      <w:r w:rsidRPr="00904FCB">
        <w:rPr>
          <w:rFonts w:hint="cs"/>
          <w:rtl/>
          <w:lang w:bidi="ar-AE"/>
        </w:rPr>
        <w:t>اس</w:t>
      </w:r>
      <w:r w:rsidR="003641EC" w:rsidRPr="00904FCB">
        <w:rPr>
          <w:rFonts w:hint="cs"/>
          <w:rtl/>
          <w:lang w:bidi="ar-AE"/>
        </w:rPr>
        <w:t>،</w:t>
      </w:r>
      <w:r w:rsidRPr="00904FCB">
        <w:rPr>
          <w:rFonts w:hint="cs"/>
          <w:rtl/>
          <w:lang w:bidi="ar-AE"/>
        </w:rPr>
        <w:t xml:space="preserve"> </w:t>
      </w:r>
      <w:r w:rsidR="00857013">
        <w:rPr>
          <w:rFonts w:hint="cs"/>
          <w:rtl/>
          <w:lang w:bidi="ar-AE"/>
        </w:rPr>
        <w:t>وصولاً إلى</w:t>
      </w:r>
      <w:r w:rsidRPr="00904FCB">
        <w:rPr>
          <w:rFonts w:hint="cs"/>
          <w:rtl/>
          <w:lang w:bidi="ar-AE"/>
        </w:rPr>
        <w:t xml:space="preserve"> العثمانيين.</w:t>
      </w:r>
    </w:p>
    <w:p w:rsidR="00952E59" w:rsidRPr="00904FCB" w:rsidRDefault="00952E59" w:rsidP="007A21AA">
      <w:pPr>
        <w:spacing w:line="400" w:lineRule="exact"/>
        <w:rPr>
          <w:rtl/>
          <w:lang w:bidi="ar-AE"/>
        </w:rPr>
      </w:pPr>
      <w:r w:rsidRPr="00904FCB">
        <w:rPr>
          <w:rFonts w:hint="cs"/>
          <w:rtl/>
          <w:lang w:bidi="ar-AE"/>
        </w:rPr>
        <w:t>والجدير ذكره أن</w:t>
      </w:r>
      <w:r w:rsidR="003641EC" w:rsidRPr="00904FCB">
        <w:rPr>
          <w:rFonts w:hint="cs"/>
          <w:rtl/>
          <w:lang w:bidi="ar-AE"/>
        </w:rPr>
        <w:t>ه</w:t>
      </w:r>
      <w:r w:rsidRPr="00904FCB">
        <w:rPr>
          <w:rFonts w:hint="cs"/>
          <w:rtl/>
          <w:lang w:bidi="ar-AE"/>
        </w:rPr>
        <w:t xml:space="preserve"> في الفترة التي أعقبت انهيار الخلافة العثمانية في تركيا انطلقت في بعض البلدان الإسلامية تيارات تدعو لاستمرار الخلافة كأداة حكم تدار بها شؤون البلاد</w:t>
      </w:r>
      <w:r w:rsidR="003641EC" w:rsidRPr="00904FCB">
        <w:rPr>
          <w:rFonts w:hint="cs"/>
          <w:rtl/>
          <w:lang w:bidi="ar-AE"/>
        </w:rPr>
        <w:t>.</w:t>
      </w:r>
      <w:r w:rsidRPr="00904FCB">
        <w:rPr>
          <w:rFonts w:hint="cs"/>
          <w:rtl/>
          <w:lang w:bidi="ar-AE"/>
        </w:rPr>
        <w:t xml:space="preserve"> كما أن هناك </w:t>
      </w:r>
      <w:r w:rsidR="003641EC" w:rsidRPr="00904FCB">
        <w:rPr>
          <w:rFonts w:hint="cs"/>
          <w:rtl/>
          <w:lang w:bidi="ar-AE"/>
        </w:rPr>
        <w:t xml:space="preserve">اليوم </w:t>
      </w:r>
      <w:r w:rsidRPr="00904FCB">
        <w:rPr>
          <w:rFonts w:hint="cs"/>
          <w:rtl/>
          <w:lang w:bidi="ar-AE"/>
        </w:rPr>
        <w:t>م</w:t>
      </w:r>
      <w:r w:rsidR="003641EC" w:rsidRPr="00904FCB">
        <w:rPr>
          <w:rFonts w:hint="cs"/>
          <w:rtl/>
          <w:lang w:bidi="ar-AE"/>
        </w:rPr>
        <w:t>َ</w:t>
      </w:r>
      <w:r w:rsidRPr="00904FCB">
        <w:rPr>
          <w:rFonts w:hint="cs"/>
          <w:rtl/>
          <w:lang w:bidi="ar-AE"/>
        </w:rPr>
        <w:t>ن</w:t>
      </w:r>
      <w:r w:rsidR="003641EC" w:rsidRPr="00904FCB">
        <w:rPr>
          <w:rFonts w:hint="cs"/>
          <w:rtl/>
          <w:lang w:bidi="ar-AE"/>
        </w:rPr>
        <w:t>ْ</w:t>
      </w:r>
      <w:r w:rsidRPr="00904FCB">
        <w:rPr>
          <w:rFonts w:hint="cs"/>
          <w:rtl/>
          <w:lang w:bidi="ar-AE"/>
        </w:rPr>
        <w:t xml:space="preserve"> يعمل جاهداً لإحياء س</w:t>
      </w:r>
      <w:r w:rsidR="003641EC" w:rsidRPr="00904FCB">
        <w:rPr>
          <w:rFonts w:hint="cs"/>
          <w:rtl/>
          <w:lang w:bidi="ar-AE"/>
        </w:rPr>
        <w:t>ُ</w:t>
      </w:r>
      <w:r w:rsidRPr="00904FCB">
        <w:rPr>
          <w:rFonts w:hint="cs"/>
          <w:rtl/>
          <w:lang w:bidi="ar-AE"/>
        </w:rPr>
        <w:t>ن</w:t>
      </w:r>
      <w:r w:rsidR="003641EC" w:rsidRPr="00904FCB">
        <w:rPr>
          <w:rFonts w:hint="cs"/>
          <w:rtl/>
          <w:lang w:bidi="ar-AE"/>
        </w:rPr>
        <w:t>ّ</w:t>
      </w:r>
      <w:r w:rsidRPr="00904FCB">
        <w:rPr>
          <w:rFonts w:hint="cs"/>
          <w:rtl/>
          <w:lang w:bidi="ar-AE"/>
        </w:rPr>
        <w:t>ة الخلافة مرة أخرى.</w:t>
      </w:r>
    </w:p>
    <w:p w:rsidR="00952E59" w:rsidRPr="00904FCB" w:rsidRDefault="00952E59" w:rsidP="007A21AA">
      <w:pPr>
        <w:spacing w:line="400" w:lineRule="exact"/>
        <w:rPr>
          <w:rtl/>
          <w:lang w:bidi="ar-AE"/>
        </w:rPr>
      </w:pPr>
      <w:r w:rsidRPr="00904FCB">
        <w:rPr>
          <w:rFonts w:hint="cs"/>
          <w:rtl/>
          <w:lang w:bidi="ar-AE"/>
        </w:rPr>
        <w:t>لكن يا ترى ما هي ميزات هذا النظام «الخلافوي»؟</w:t>
      </w:r>
    </w:p>
    <w:p w:rsidR="00952E59" w:rsidRPr="00904FCB" w:rsidRDefault="00952E59" w:rsidP="007A21AA">
      <w:pPr>
        <w:spacing w:line="400" w:lineRule="exact"/>
        <w:rPr>
          <w:rtl/>
          <w:lang w:bidi="ar-AE"/>
        </w:rPr>
      </w:pPr>
      <w:r w:rsidRPr="00904FCB">
        <w:rPr>
          <w:rFonts w:hint="cs"/>
          <w:rtl/>
          <w:lang w:bidi="ar-AE"/>
        </w:rPr>
        <w:t>في هذا النظام ـ أي الخلافة ـ ي</w:t>
      </w:r>
      <w:r w:rsidR="003641EC" w:rsidRPr="00904FCB">
        <w:rPr>
          <w:rFonts w:hint="cs"/>
          <w:rtl/>
          <w:lang w:bidi="ar-AE"/>
        </w:rPr>
        <w:t>ُ</w:t>
      </w:r>
      <w:r w:rsidRPr="00904FCB">
        <w:rPr>
          <w:rFonts w:hint="cs"/>
          <w:rtl/>
          <w:lang w:bidi="ar-AE"/>
        </w:rPr>
        <w:t>ع</w:t>
      </w:r>
      <w:r w:rsidR="003641EC" w:rsidRPr="00904FCB">
        <w:rPr>
          <w:rFonts w:hint="cs"/>
          <w:rtl/>
          <w:lang w:bidi="ar-AE"/>
        </w:rPr>
        <w:t>َ</w:t>
      </w:r>
      <w:r w:rsidRPr="00904FCB">
        <w:rPr>
          <w:rFonts w:hint="cs"/>
          <w:rtl/>
          <w:lang w:bidi="ar-AE"/>
        </w:rPr>
        <w:t>د</w:t>
      </w:r>
      <w:r w:rsidR="003641EC" w:rsidRPr="00904FCB">
        <w:rPr>
          <w:rFonts w:hint="cs"/>
          <w:rtl/>
          <w:lang w:bidi="ar-AE"/>
        </w:rPr>
        <w:t>ّ</w:t>
      </w:r>
      <w:r w:rsidRPr="00904FCB">
        <w:rPr>
          <w:rFonts w:hint="cs"/>
          <w:rtl/>
          <w:lang w:bidi="ar-AE"/>
        </w:rPr>
        <w:t xml:space="preserve"> الخليفة أو الأمير أو الملك «خليفةً لرسول الله»</w:t>
      </w:r>
      <w:r w:rsidR="003641EC" w:rsidRPr="00904FCB">
        <w:rPr>
          <w:rFonts w:hint="cs"/>
          <w:rtl/>
          <w:lang w:bidi="ar-AE"/>
        </w:rPr>
        <w:t>،</w:t>
      </w:r>
      <w:r w:rsidRPr="00904FCB">
        <w:rPr>
          <w:rFonts w:hint="cs"/>
          <w:rtl/>
          <w:lang w:bidi="ar-AE"/>
        </w:rPr>
        <w:t xml:space="preserve"> و«أميراً للمؤمنين»</w:t>
      </w:r>
      <w:r w:rsidR="003641EC" w:rsidRPr="00904FCB">
        <w:rPr>
          <w:rFonts w:hint="cs"/>
          <w:rtl/>
          <w:lang w:bidi="ar-AE"/>
        </w:rPr>
        <w:t>،</w:t>
      </w:r>
      <w:r w:rsidRPr="00904FCB">
        <w:rPr>
          <w:rFonts w:hint="cs"/>
          <w:rtl/>
          <w:lang w:bidi="ar-AE"/>
        </w:rPr>
        <w:t xml:space="preserve"> وبالتالي خليفة الله في الأرضين، فهو إذن يمتلك سلطات وصلاحيات مطلقة. فكلامه هو الدستور</w:t>
      </w:r>
      <w:r w:rsidR="003641EC" w:rsidRPr="00904FCB">
        <w:rPr>
          <w:rFonts w:hint="cs"/>
          <w:rtl/>
          <w:lang w:bidi="ar-AE"/>
        </w:rPr>
        <w:t>،</w:t>
      </w:r>
      <w:r w:rsidRPr="00904FCB">
        <w:rPr>
          <w:rFonts w:hint="cs"/>
          <w:rtl/>
          <w:lang w:bidi="ar-AE"/>
        </w:rPr>
        <w:t xml:space="preserve"> وإرادته هي القانون.</w:t>
      </w:r>
    </w:p>
    <w:p w:rsidR="00952E59" w:rsidRPr="00904FCB" w:rsidRDefault="00952E59" w:rsidP="007A21AA">
      <w:pPr>
        <w:spacing w:line="400" w:lineRule="exact"/>
        <w:rPr>
          <w:rtl/>
          <w:lang w:bidi="ar-AE"/>
        </w:rPr>
      </w:pPr>
      <w:r w:rsidRPr="00904FCB">
        <w:rPr>
          <w:rFonts w:hint="cs"/>
          <w:rtl/>
          <w:lang w:bidi="ar-AE"/>
        </w:rPr>
        <w:t>إن كثيرا</w:t>
      </w:r>
      <w:r w:rsidR="003641EC" w:rsidRPr="00904FCB">
        <w:rPr>
          <w:rFonts w:hint="cs"/>
          <w:rtl/>
          <w:lang w:bidi="ar-AE"/>
        </w:rPr>
        <w:t>ً</w:t>
      </w:r>
      <w:r w:rsidRPr="00904FCB">
        <w:rPr>
          <w:rFonts w:hint="cs"/>
          <w:rtl/>
          <w:lang w:bidi="ar-AE"/>
        </w:rPr>
        <w:t xml:space="preserve"> من الدول الإسلامية لا تمتلك دستوراً للبلاد</w:t>
      </w:r>
      <w:r w:rsidR="003641EC" w:rsidRPr="00904FCB">
        <w:rPr>
          <w:rFonts w:hint="cs"/>
          <w:rtl/>
          <w:lang w:bidi="ar-AE"/>
        </w:rPr>
        <w:t>.</w:t>
      </w:r>
      <w:r w:rsidRPr="00904FCB">
        <w:rPr>
          <w:rFonts w:hint="cs"/>
          <w:rtl/>
          <w:lang w:bidi="ar-AE"/>
        </w:rPr>
        <w:t xml:space="preserve"> ففي إيران الملكية كان الشاه هو صاحب الشأن والجلال والعظمة الإلهية، أما السلطة فهي هبة الله له، فهو ظل الله في الأرض، حكمه حكم الله</w:t>
      </w:r>
      <w:r w:rsidR="003641EC" w:rsidRPr="00904FCB">
        <w:rPr>
          <w:rFonts w:hint="cs"/>
          <w:rtl/>
          <w:lang w:bidi="ar-AE"/>
        </w:rPr>
        <w:t>،</w:t>
      </w:r>
      <w:r w:rsidRPr="00904FCB">
        <w:rPr>
          <w:rFonts w:hint="cs"/>
          <w:rtl/>
          <w:lang w:bidi="ar-AE"/>
        </w:rPr>
        <w:t xml:space="preserve"> وإرادته إرادته، ولا فرق في جهة صدور الأمر من الشاه أو من الله، فالأمر نافذ</w:t>
      </w:r>
      <w:r w:rsidR="003641EC" w:rsidRPr="00904FCB">
        <w:rPr>
          <w:rFonts w:hint="cs"/>
          <w:rtl/>
          <w:lang w:bidi="ar-AE"/>
        </w:rPr>
        <w:t>ٌ</w:t>
      </w:r>
      <w:r w:rsidRPr="00904FCB">
        <w:rPr>
          <w:rFonts w:hint="cs"/>
          <w:rtl/>
          <w:lang w:bidi="ar-AE"/>
        </w:rPr>
        <w:t xml:space="preserve"> في كلا الحالين!</w:t>
      </w:r>
    </w:p>
    <w:p w:rsidR="00952E59" w:rsidRPr="00904FCB" w:rsidRDefault="00952E59" w:rsidP="007A21AA">
      <w:pPr>
        <w:spacing w:line="400" w:lineRule="exact"/>
        <w:rPr>
          <w:rtl/>
          <w:lang w:bidi="ar-AE"/>
        </w:rPr>
      </w:pPr>
      <w:r w:rsidRPr="00904FCB">
        <w:rPr>
          <w:rFonts w:hint="cs"/>
          <w:rtl/>
          <w:lang w:bidi="ar-AE"/>
        </w:rPr>
        <w:t>وفي بعض الدول الإسلامية قد يكون هناك دستور ـ وقد كتب في أغلب الأحيان تحت ظروف</w:t>
      </w:r>
      <w:r w:rsidR="003641EC" w:rsidRPr="00904FCB">
        <w:rPr>
          <w:rFonts w:hint="cs"/>
          <w:rtl/>
          <w:lang w:bidi="ar-AE"/>
        </w:rPr>
        <w:t>ٍ</w:t>
      </w:r>
      <w:r w:rsidRPr="00904FCB">
        <w:rPr>
          <w:rFonts w:hint="cs"/>
          <w:rtl/>
          <w:lang w:bidi="ar-AE"/>
        </w:rPr>
        <w:t xml:space="preserve"> استثنائية ـ</w:t>
      </w:r>
      <w:r w:rsidR="003641EC" w:rsidRPr="00904FCB">
        <w:rPr>
          <w:rFonts w:hint="cs"/>
          <w:rtl/>
          <w:lang w:bidi="ar-AE"/>
        </w:rPr>
        <w:t>،</w:t>
      </w:r>
      <w:r w:rsidRPr="00904FCB">
        <w:rPr>
          <w:rFonts w:hint="cs"/>
          <w:rtl/>
          <w:lang w:bidi="ar-AE"/>
        </w:rPr>
        <w:t xml:space="preserve"> لكن</w:t>
      </w:r>
      <w:r w:rsidR="003641EC" w:rsidRPr="00904FCB">
        <w:rPr>
          <w:rFonts w:hint="cs"/>
          <w:rtl/>
          <w:lang w:bidi="ar-AE"/>
        </w:rPr>
        <w:t>ّ</w:t>
      </w:r>
      <w:r w:rsidRPr="00904FCB">
        <w:rPr>
          <w:rFonts w:hint="cs"/>
          <w:rtl/>
          <w:lang w:bidi="ar-AE"/>
        </w:rPr>
        <w:t>ه لا يحظى بالتطبيق إطلاقاً</w:t>
      </w:r>
      <w:r w:rsidR="003641EC" w:rsidRPr="00904FCB">
        <w:rPr>
          <w:rFonts w:hint="cs"/>
          <w:rtl/>
          <w:lang w:bidi="ar-AE"/>
        </w:rPr>
        <w:t>؛</w:t>
      </w:r>
      <w:r w:rsidRPr="00904FCB">
        <w:rPr>
          <w:rFonts w:hint="cs"/>
          <w:rtl/>
          <w:lang w:bidi="ar-AE"/>
        </w:rPr>
        <w:t xml:space="preserve"> لأن الحاكم يتجاهله بكل</w:t>
      </w:r>
      <w:r w:rsidR="003641EC" w:rsidRPr="00904FCB">
        <w:rPr>
          <w:rFonts w:hint="cs"/>
          <w:rtl/>
          <w:lang w:bidi="ar-AE"/>
        </w:rPr>
        <w:t>ّ</w:t>
      </w:r>
      <w:r w:rsidRPr="00904FCB">
        <w:rPr>
          <w:rFonts w:hint="cs"/>
          <w:rtl/>
          <w:lang w:bidi="ar-AE"/>
        </w:rPr>
        <w:t xml:space="preserve"> بساطة، وإذا أراد أن يتفض</w:t>
      </w:r>
      <w:r w:rsidR="003641EC" w:rsidRPr="00904FCB">
        <w:rPr>
          <w:rFonts w:hint="cs"/>
          <w:rtl/>
          <w:lang w:bidi="ar-AE"/>
        </w:rPr>
        <w:t>َّ</w:t>
      </w:r>
      <w:r w:rsidRPr="00904FCB">
        <w:rPr>
          <w:rFonts w:hint="cs"/>
          <w:rtl/>
          <w:lang w:bidi="ar-AE"/>
        </w:rPr>
        <w:t>ل على الناس بتطبيقه فسوف يتصر</w:t>
      </w:r>
      <w:r w:rsidR="003641EC" w:rsidRPr="00904FCB">
        <w:rPr>
          <w:rFonts w:hint="cs"/>
          <w:rtl/>
          <w:lang w:bidi="ar-AE"/>
        </w:rPr>
        <w:t>ّ</w:t>
      </w:r>
      <w:r w:rsidRPr="00904FCB">
        <w:rPr>
          <w:rFonts w:hint="cs"/>
          <w:rtl/>
          <w:lang w:bidi="ar-AE"/>
        </w:rPr>
        <w:t>ف في بنوده كما يحلو له</w:t>
      </w:r>
      <w:r w:rsidR="003641EC" w:rsidRPr="00904FCB">
        <w:rPr>
          <w:rFonts w:hint="cs"/>
          <w:rtl/>
          <w:lang w:bidi="ar-AE"/>
        </w:rPr>
        <w:t>،</w:t>
      </w:r>
      <w:r w:rsidRPr="00904FCB">
        <w:rPr>
          <w:rFonts w:hint="cs"/>
          <w:rtl/>
          <w:lang w:bidi="ar-AE"/>
        </w:rPr>
        <w:t xml:space="preserve"> وكما تشتهي نفسه.</w:t>
      </w:r>
    </w:p>
    <w:p w:rsidR="00952E59" w:rsidRPr="00904FCB" w:rsidRDefault="00952E59" w:rsidP="007A21AA">
      <w:pPr>
        <w:spacing w:line="400" w:lineRule="exact"/>
        <w:rPr>
          <w:rtl/>
          <w:lang w:bidi="ar-AE"/>
        </w:rPr>
      </w:pPr>
      <w:r w:rsidRPr="00904FCB">
        <w:rPr>
          <w:rFonts w:hint="cs"/>
          <w:rtl/>
          <w:lang w:bidi="ar-AE"/>
        </w:rPr>
        <w:t>وقد نلاحظ أن الحاكم المستبد</w:t>
      </w:r>
      <w:r w:rsidR="003641EC" w:rsidRPr="00904FCB">
        <w:rPr>
          <w:rFonts w:hint="cs"/>
          <w:rtl/>
          <w:lang w:bidi="ar-AE"/>
        </w:rPr>
        <w:t>ّ،</w:t>
      </w:r>
      <w:r w:rsidRPr="00904FCB">
        <w:rPr>
          <w:rFonts w:hint="cs"/>
          <w:rtl/>
          <w:lang w:bidi="ar-AE"/>
        </w:rPr>
        <w:t xml:space="preserve"> الذي ينظر إلى الديمقراطية بعين الاشمئزاز</w:t>
      </w:r>
      <w:r w:rsidR="003641EC" w:rsidRPr="00904FCB">
        <w:rPr>
          <w:rFonts w:hint="cs"/>
          <w:rtl/>
          <w:lang w:bidi="ar-AE"/>
        </w:rPr>
        <w:t>،</w:t>
      </w:r>
      <w:r w:rsidRPr="00904FCB">
        <w:rPr>
          <w:rFonts w:hint="cs"/>
          <w:rtl/>
          <w:lang w:bidi="ar-AE"/>
        </w:rPr>
        <w:t xml:space="preserve"> ويجد فيها تهديداً لمصالحه، يدعم طائفة من رجال الدين والمفك</w:t>
      </w:r>
      <w:r w:rsidR="003641EC" w:rsidRPr="00904FCB">
        <w:rPr>
          <w:rFonts w:hint="cs"/>
          <w:rtl/>
          <w:lang w:bidi="ar-AE"/>
        </w:rPr>
        <w:t>ِّ</w:t>
      </w:r>
      <w:r w:rsidRPr="00904FCB">
        <w:rPr>
          <w:rFonts w:hint="cs"/>
          <w:rtl/>
          <w:lang w:bidi="ar-AE"/>
        </w:rPr>
        <w:t>رين الإسلاميين</w:t>
      </w:r>
      <w:r w:rsidR="003641EC" w:rsidRPr="00904FCB">
        <w:rPr>
          <w:rFonts w:hint="cs"/>
          <w:rtl/>
          <w:lang w:bidi="ar-AE"/>
        </w:rPr>
        <w:t>؛</w:t>
      </w:r>
      <w:r w:rsidRPr="00904FCB">
        <w:rPr>
          <w:rFonts w:hint="cs"/>
          <w:rtl/>
          <w:lang w:bidi="ar-AE"/>
        </w:rPr>
        <w:t xml:space="preserve"> لكونهم من مؤي</w:t>
      </w:r>
      <w:r w:rsidR="00857013">
        <w:rPr>
          <w:rFonts w:hint="cs"/>
          <w:rtl/>
          <w:lang w:bidi="ar-AE"/>
        </w:rPr>
        <w:t>ِّ</w:t>
      </w:r>
      <w:r w:rsidRPr="00904FCB">
        <w:rPr>
          <w:rFonts w:hint="cs"/>
          <w:rtl/>
          <w:lang w:bidi="ar-AE"/>
        </w:rPr>
        <w:t>دي ال</w:t>
      </w:r>
      <w:r w:rsidR="003641EC" w:rsidRPr="00904FCB">
        <w:rPr>
          <w:rFonts w:hint="cs"/>
          <w:rtl/>
          <w:lang w:bidi="ar-AE"/>
        </w:rPr>
        <w:t>ا</w:t>
      </w:r>
      <w:r w:rsidRPr="00904FCB">
        <w:rPr>
          <w:rFonts w:hint="cs"/>
          <w:rtl/>
          <w:lang w:bidi="ar-AE"/>
        </w:rPr>
        <w:t>ستبداد</w:t>
      </w:r>
      <w:r w:rsidR="003641EC" w:rsidRPr="00904FCB">
        <w:rPr>
          <w:rFonts w:hint="cs"/>
          <w:rtl/>
          <w:lang w:bidi="ar-AE"/>
        </w:rPr>
        <w:t>،</w:t>
      </w:r>
      <w:r w:rsidRPr="00904FCB">
        <w:rPr>
          <w:rFonts w:hint="cs"/>
          <w:rtl/>
          <w:lang w:bidi="ar-AE"/>
        </w:rPr>
        <w:t xml:space="preserve"> ومن العاملين على تبريره دينياً</w:t>
      </w:r>
      <w:r w:rsidR="003641EC" w:rsidRPr="00904FCB">
        <w:rPr>
          <w:rFonts w:hint="cs"/>
          <w:rtl/>
          <w:lang w:bidi="ar-AE"/>
        </w:rPr>
        <w:t>.</w:t>
      </w:r>
      <w:r w:rsidRPr="00904FCB">
        <w:rPr>
          <w:rFonts w:hint="cs"/>
          <w:rtl/>
          <w:lang w:bidi="ar-AE"/>
        </w:rPr>
        <w:t xml:space="preserve"> لكن</w:t>
      </w:r>
      <w:r w:rsidR="003641EC" w:rsidRPr="00904FCB">
        <w:rPr>
          <w:rFonts w:hint="cs"/>
          <w:rtl/>
          <w:lang w:bidi="ar-AE"/>
        </w:rPr>
        <w:t>ْ</w:t>
      </w:r>
      <w:r w:rsidRPr="00904FCB">
        <w:rPr>
          <w:rFonts w:hint="cs"/>
          <w:rtl/>
          <w:lang w:bidi="ar-AE"/>
        </w:rPr>
        <w:t xml:space="preserve"> مع ذلك من الخطأ أن نعتبر هؤلاء المفك</w:t>
      </w:r>
      <w:r w:rsidR="00F81D00" w:rsidRPr="00904FCB">
        <w:rPr>
          <w:rFonts w:hint="cs"/>
          <w:rtl/>
          <w:lang w:bidi="ar-AE"/>
        </w:rPr>
        <w:t>ِّ</w:t>
      </w:r>
      <w:r w:rsidRPr="00904FCB">
        <w:rPr>
          <w:rFonts w:hint="cs"/>
          <w:rtl/>
          <w:lang w:bidi="ar-AE"/>
        </w:rPr>
        <w:t>رين ورجال الدين</w:t>
      </w:r>
      <w:r w:rsidR="00F81D00" w:rsidRPr="00904FCB">
        <w:rPr>
          <w:rFonts w:hint="cs"/>
          <w:rtl/>
          <w:lang w:bidi="ar-AE"/>
        </w:rPr>
        <w:t>،</w:t>
      </w:r>
      <w:r w:rsidRPr="00904FCB">
        <w:rPr>
          <w:rFonts w:hint="cs"/>
          <w:rtl/>
          <w:lang w:bidi="ar-AE"/>
        </w:rPr>
        <w:t xml:space="preserve"> بل وهذا النوع من الفكر المؤي</w:t>
      </w:r>
      <w:r w:rsidR="00F81D00" w:rsidRPr="00904FCB">
        <w:rPr>
          <w:rFonts w:hint="cs"/>
          <w:rtl/>
          <w:lang w:bidi="ar-AE"/>
        </w:rPr>
        <w:t>ِّ</w:t>
      </w:r>
      <w:r w:rsidRPr="00904FCB">
        <w:rPr>
          <w:rFonts w:hint="cs"/>
          <w:rtl/>
          <w:lang w:bidi="ar-AE"/>
        </w:rPr>
        <w:t>د لل</w:t>
      </w:r>
      <w:r w:rsidR="00F81D00" w:rsidRPr="00904FCB">
        <w:rPr>
          <w:rFonts w:hint="cs"/>
          <w:rtl/>
          <w:lang w:bidi="ar-AE"/>
        </w:rPr>
        <w:t>ا</w:t>
      </w:r>
      <w:r w:rsidRPr="00904FCB">
        <w:rPr>
          <w:rFonts w:hint="cs"/>
          <w:rtl/>
          <w:lang w:bidi="ar-AE"/>
        </w:rPr>
        <w:t>ستبداد، نتاجاً للحكومات الاستبدادية المتخل</w:t>
      </w:r>
      <w:r w:rsidR="00F81D00" w:rsidRPr="00904FCB">
        <w:rPr>
          <w:rFonts w:hint="cs"/>
          <w:rtl/>
          <w:lang w:bidi="ar-AE"/>
        </w:rPr>
        <w:t>ِّ</w:t>
      </w:r>
      <w:r w:rsidRPr="00904FCB">
        <w:rPr>
          <w:rFonts w:hint="cs"/>
          <w:rtl/>
          <w:lang w:bidi="ar-AE"/>
        </w:rPr>
        <w:t>فة</w:t>
      </w:r>
      <w:r w:rsidR="00F81D00" w:rsidRPr="00904FCB">
        <w:rPr>
          <w:rFonts w:hint="cs"/>
          <w:rtl/>
          <w:lang w:bidi="ar-AE"/>
        </w:rPr>
        <w:t xml:space="preserve">؛ </w:t>
      </w:r>
      <w:r w:rsidRPr="00904FCB">
        <w:rPr>
          <w:rFonts w:hint="cs"/>
          <w:rtl/>
          <w:lang w:bidi="ar-AE"/>
        </w:rPr>
        <w:t>وذلك لأننا لو عدنا إلى الفكر السياسي لدى المفك</w:t>
      </w:r>
      <w:r w:rsidR="00F81D00" w:rsidRPr="00904FCB">
        <w:rPr>
          <w:rFonts w:hint="cs"/>
          <w:rtl/>
          <w:lang w:bidi="ar-AE"/>
        </w:rPr>
        <w:t>ِّ</w:t>
      </w:r>
      <w:r w:rsidRPr="00904FCB">
        <w:rPr>
          <w:rFonts w:hint="cs"/>
          <w:rtl/>
          <w:lang w:bidi="ar-AE"/>
        </w:rPr>
        <w:t>رين الإسلاميين في ذلك العصر لوجدناه قاصراً عن فهم أبرز الأسس التي قامت وتقوم عليها حقوق ال</w:t>
      </w:r>
      <w:r w:rsidR="00F81D00" w:rsidRPr="00904FCB">
        <w:rPr>
          <w:rFonts w:hint="cs"/>
          <w:rtl/>
          <w:lang w:bidi="ar-AE"/>
        </w:rPr>
        <w:t>إ</w:t>
      </w:r>
      <w:r w:rsidRPr="00904FCB">
        <w:rPr>
          <w:rFonts w:hint="cs"/>
          <w:rtl/>
          <w:lang w:bidi="ar-AE"/>
        </w:rPr>
        <w:t xml:space="preserve">نسان والديمقراطية، </w:t>
      </w:r>
      <w:r w:rsidR="00F81D00" w:rsidRPr="00904FCB">
        <w:rPr>
          <w:rFonts w:hint="cs"/>
          <w:rtl/>
          <w:lang w:bidi="ar-AE"/>
        </w:rPr>
        <w:t>وعليه فقد</w:t>
      </w:r>
      <w:r w:rsidRPr="00904FCB">
        <w:rPr>
          <w:rFonts w:hint="cs"/>
          <w:rtl/>
          <w:lang w:bidi="ar-AE"/>
        </w:rPr>
        <w:t xml:space="preserve"> وجدوا أن هذه المقولات تتقاطع مع المبادئ الدينية</w:t>
      </w:r>
      <w:r w:rsidR="00F81D00" w:rsidRPr="00904FCB">
        <w:rPr>
          <w:rFonts w:hint="cs"/>
          <w:rtl/>
          <w:lang w:bidi="ar-AE"/>
        </w:rPr>
        <w:t>،</w:t>
      </w:r>
      <w:r w:rsidRPr="00904FCB">
        <w:rPr>
          <w:rFonts w:hint="cs"/>
          <w:rtl/>
          <w:lang w:bidi="ar-AE"/>
        </w:rPr>
        <w:t xml:space="preserve"> وربما تؤدي إلى الكفر في بعض الأحيان.</w:t>
      </w:r>
    </w:p>
    <w:p w:rsidR="00952E59" w:rsidRPr="00904FCB" w:rsidRDefault="00952E59" w:rsidP="007A21AA">
      <w:pPr>
        <w:spacing w:line="400" w:lineRule="exact"/>
        <w:rPr>
          <w:rtl/>
          <w:lang w:bidi="ar-AE"/>
        </w:rPr>
      </w:pPr>
      <w:r w:rsidRPr="00904FCB">
        <w:rPr>
          <w:rFonts w:hint="cs"/>
          <w:rtl/>
          <w:lang w:bidi="ar-AE"/>
        </w:rPr>
        <w:t>والسلطة في ظل</w:t>
      </w:r>
      <w:r w:rsidR="00F81D00" w:rsidRPr="00904FCB">
        <w:rPr>
          <w:rFonts w:hint="cs"/>
          <w:rtl/>
          <w:lang w:bidi="ar-AE"/>
        </w:rPr>
        <w:t>ّ</w:t>
      </w:r>
      <w:r w:rsidRPr="00904FCB">
        <w:rPr>
          <w:rFonts w:hint="cs"/>
          <w:rtl/>
          <w:lang w:bidi="ar-AE"/>
        </w:rPr>
        <w:t xml:space="preserve"> هذه الرؤية لا تنشأ من الشعب، وإنما تنشأ من اللاهوت. </w:t>
      </w:r>
      <w:r w:rsidRPr="00904FCB">
        <w:rPr>
          <w:rFonts w:hint="cs"/>
          <w:rtl/>
          <w:lang w:bidi="ar-AE"/>
        </w:rPr>
        <w:lastRenderedPageBreak/>
        <w:t>والحاكم أو الملك أو السلطان هو ولي</w:t>
      </w:r>
      <w:r w:rsidR="00F81D00" w:rsidRPr="00904FCB">
        <w:rPr>
          <w:rFonts w:hint="cs"/>
          <w:rtl/>
          <w:lang w:bidi="ar-AE"/>
        </w:rPr>
        <w:t>ّ</w:t>
      </w:r>
      <w:r w:rsidRPr="00904FCB">
        <w:rPr>
          <w:rFonts w:hint="cs"/>
          <w:rtl/>
          <w:lang w:bidi="ar-AE"/>
        </w:rPr>
        <w:t xml:space="preserve"> الأمر</w:t>
      </w:r>
      <w:r w:rsidR="00F81D00" w:rsidRPr="00904FCB">
        <w:rPr>
          <w:rFonts w:hint="cs"/>
          <w:rtl/>
          <w:lang w:bidi="ar-AE"/>
        </w:rPr>
        <w:t>،</w:t>
      </w:r>
      <w:r w:rsidRPr="00904FCB">
        <w:rPr>
          <w:rFonts w:hint="cs"/>
          <w:rtl/>
          <w:lang w:bidi="ar-AE"/>
        </w:rPr>
        <w:t xml:space="preserve"> وأما الشعب فمهم</w:t>
      </w:r>
      <w:r w:rsidR="00F81D00" w:rsidRPr="00904FCB">
        <w:rPr>
          <w:rFonts w:hint="cs"/>
          <w:rtl/>
          <w:lang w:bidi="ar-AE"/>
        </w:rPr>
        <w:t>ّ</w:t>
      </w:r>
      <w:r w:rsidRPr="00904FCB">
        <w:rPr>
          <w:rFonts w:hint="cs"/>
          <w:rtl/>
          <w:lang w:bidi="ar-AE"/>
        </w:rPr>
        <w:t>ته الطاعة وال</w:t>
      </w:r>
      <w:r w:rsidR="00F81D00" w:rsidRPr="00904FCB">
        <w:rPr>
          <w:rFonts w:hint="cs"/>
          <w:rtl/>
          <w:lang w:bidi="ar-AE"/>
        </w:rPr>
        <w:t>ا</w:t>
      </w:r>
      <w:r w:rsidRPr="00904FCB">
        <w:rPr>
          <w:rFonts w:hint="cs"/>
          <w:rtl/>
          <w:lang w:bidi="ar-AE"/>
        </w:rPr>
        <w:t>نقياد التام لأوامره ونواهيه.</w:t>
      </w:r>
    </w:p>
    <w:p w:rsidR="00952E59" w:rsidRPr="00904FCB" w:rsidRDefault="00952E59" w:rsidP="00340A76">
      <w:pPr>
        <w:spacing w:line="400" w:lineRule="exact"/>
        <w:rPr>
          <w:rtl/>
          <w:lang w:bidi="ar-AE"/>
        </w:rPr>
      </w:pPr>
      <w:r w:rsidRPr="00904FCB">
        <w:rPr>
          <w:rFonts w:hint="cs"/>
          <w:rtl/>
          <w:lang w:bidi="ar-AE"/>
        </w:rPr>
        <w:t>ومن الطريف أننا عندما نواجه العديد من أصدقائنا العرب المسلمين من الطائفة السنية</w:t>
      </w:r>
      <w:r w:rsidR="00F81D00" w:rsidRPr="00904FCB">
        <w:rPr>
          <w:rFonts w:hint="cs"/>
          <w:rtl/>
          <w:lang w:bidi="ar-AE"/>
        </w:rPr>
        <w:t>،</w:t>
      </w:r>
      <w:r w:rsidRPr="00904FCB">
        <w:rPr>
          <w:rFonts w:hint="cs"/>
          <w:rtl/>
          <w:lang w:bidi="ar-AE"/>
        </w:rPr>
        <w:t xml:space="preserve"> ونسألهم عن سبب طاعت</w:t>
      </w:r>
      <w:r w:rsidR="00340A76" w:rsidRPr="00904FCB">
        <w:rPr>
          <w:rFonts w:hint="cs"/>
          <w:rtl/>
          <w:lang w:bidi="ar-AE"/>
        </w:rPr>
        <w:t>هم لسلاطين الظلم والجور والفساد</w:t>
      </w:r>
      <w:r w:rsidRPr="00904FCB">
        <w:rPr>
          <w:rFonts w:hint="cs"/>
          <w:rtl/>
          <w:lang w:bidi="ar-AE"/>
        </w:rPr>
        <w:t>؟ يرد</w:t>
      </w:r>
      <w:r w:rsidR="00F81D00" w:rsidRPr="00904FCB">
        <w:rPr>
          <w:rFonts w:hint="cs"/>
          <w:rtl/>
          <w:lang w:bidi="ar-AE"/>
        </w:rPr>
        <w:t>ّ</w:t>
      </w:r>
      <w:r w:rsidRPr="00904FCB">
        <w:rPr>
          <w:rFonts w:hint="cs"/>
          <w:rtl/>
          <w:lang w:bidi="ar-AE"/>
        </w:rPr>
        <w:t>ون علينا بأنهم أولو الأمر</w:t>
      </w:r>
      <w:r w:rsidR="00F81D00" w:rsidRPr="00904FCB">
        <w:rPr>
          <w:rFonts w:hint="cs"/>
          <w:rtl/>
          <w:lang w:bidi="ar-AE"/>
        </w:rPr>
        <w:t>،</w:t>
      </w:r>
      <w:r w:rsidRPr="00904FCB">
        <w:rPr>
          <w:rFonts w:hint="cs"/>
          <w:rtl/>
          <w:lang w:bidi="ar-AE"/>
        </w:rPr>
        <w:t xml:space="preserve"> وطاعتنا لهم فريضة، أما لو ات</w:t>
      </w:r>
      <w:r w:rsidR="00F81D00" w:rsidRPr="00904FCB">
        <w:rPr>
          <w:rFonts w:hint="cs"/>
          <w:rtl/>
          <w:lang w:bidi="ar-AE"/>
        </w:rPr>
        <w:t>َّ</w:t>
      </w:r>
      <w:r w:rsidRPr="00904FCB">
        <w:rPr>
          <w:rFonts w:hint="cs"/>
          <w:rtl/>
          <w:lang w:bidi="ar-AE"/>
        </w:rPr>
        <w:t>سم ولي</w:t>
      </w:r>
      <w:r w:rsidR="00F81D00" w:rsidRPr="00904FCB">
        <w:rPr>
          <w:rFonts w:hint="cs"/>
          <w:rtl/>
          <w:lang w:bidi="ar-AE"/>
        </w:rPr>
        <w:t>ّ</w:t>
      </w:r>
      <w:r w:rsidRPr="00904FCB">
        <w:rPr>
          <w:rFonts w:hint="cs"/>
          <w:rtl/>
          <w:lang w:bidi="ar-AE"/>
        </w:rPr>
        <w:t xml:space="preserve"> الأمر بالفساد والظلم فإن مهمتنا الدعاء له بالصلاح وح</w:t>
      </w:r>
      <w:r w:rsidR="00F81D00" w:rsidRPr="00904FCB">
        <w:rPr>
          <w:rFonts w:hint="cs"/>
          <w:rtl/>
          <w:lang w:bidi="ar-AE"/>
        </w:rPr>
        <w:t>ُ</w:t>
      </w:r>
      <w:r w:rsidRPr="00904FCB">
        <w:rPr>
          <w:rFonts w:hint="cs"/>
          <w:rtl/>
          <w:lang w:bidi="ar-AE"/>
        </w:rPr>
        <w:t>س</w:t>
      </w:r>
      <w:r w:rsidR="00F81D00" w:rsidRPr="00904FCB">
        <w:rPr>
          <w:rFonts w:hint="cs"/>
          <w:rtl/>
          <w:lang w:bidi="ar-AE"/>
        </w:rPr>
        <w:t>ْ</w:t>
      </w:r>
      <w:r w:rsidRPr="00904FCB">
        <w:rPr>
          <w:rFonts w:hint="cs"/>
          <w:rtl/>
          <w:lang w:bidi="ar-AE"/>
        </w:rPr>
        <w:t>ن السيرة!</w:t>
      </w:r>
    </w:p>
    <w:p w:rsidR="00952E59" w:rsidRPr="00904FCB" w:rsidRDefault="00952E59" w:rsidP="007A21AA">
      <w:pPr>
        <w:spacing w:line="400" w:lineRule="exact"/>
        <w:rPr>
          <w:rtl/>
          <w:lang w:bidi="ar-AE"/>
        </w:rPr>
      </w:pPr>
      <w:r w:rsidRPr="00904FCB">
        <w:rPr>
          <w:rFonts w:hint="cs"/>
          <w:rtl/>
          <w:lang w:bidi="ar-AE"/>
        </w:rPr>
        <w:t>ويرى هؤلاء أن نقد الحاكم أو تغييره يؤد</w:t>
      </w:r>
      <w:r w:rsidR="00F81D00" w:rsidRPr="00904FCB">
        <w:rPr>
          <w:rFonts w:hint="cs"/>
          <w:rtl/>
          <w:lang w:bidi="ar-AE"/>
        </w:rPr>
        <w:t>ّ</w:t>
      </w:r>
      <w:r w:rsidRPr="00904FCB">
        <w:rPr>
          <w:rFonts w:hint="cs"/>
          <w:rtl/>
          <w:lang w:bidi="ar-AE"/>
        </w:rPr>
        <w:t>ي إلى الفوضى والفتنة وسفك دماء المسلمين.</w:t>
      </w:r>
    </w:p>
    <w:p w:rsidR="00952E59" w:rsidRPr="00904FCB" w:rsidRDefault="00952E59" w:rsidP="007A21AA">
      <w:pPr>
        <w:spacing w:line="400" w:lineRule="exact"/>
        <w:rPr>
          <w:rtl/>
          <w:lang w:bidi="ar-AE"/>
        </w:rPr>
      </w:pPr>
      <w:r w:rsidRPr="00904FCB">
        <w:rPr>
          <w:rFonts w:hint="cs"/>
          <w:rtl/>
          <w:lang w:bidi="ar-AE"/>
        </w:rPr>
        <w:t>وهذا النمط من التفكير لا يقتصر على السن</w:t>
      </w:r>
      <w:r w:rsidR="00F81D00" w:rsidRPr="00904FCB">
        <w:rPr>
          <w:rFonts w:hint="cs"/>
          <w:rtl/>
          <w:lang w:bidi="ar-AE"/>
        </w:rPr>
        <w:t>ّ</w:t>
      </w:r>
      <w:r w:rsidRPr="00904FCB">
        <w:rPr>
          <w:rFonts w:hint="cs"/>
          <w:rtl/>
          <w:lang w:bidi="ar-AE"/>
        </w:rPr>
        <w:t>ة</w:t>
      </w:r>
      <w:r w:rsidR="00F81D00" w:rsidRPr="00904FCB">
        <w:rPr>
          <w:rFonts w:hint="cs"/>
          <w:rtl/>
          <w:lang w:bidi="ar-AE"/>
        </w:rPr>
        <w:t>،</w:t>
      </w:r>
      <w:r w:rsidRPr="00904FCB">
        <w:rPr>
          <w:rFonts w:hint="cs"/>
          <w:rtl/>
          <w:lang w:bidi="ar-AE"/>
        </w:rPr>
        <w:t xml:space="preserve"> فهناك طائفة من الشيعة تتبن</w:t>
      </w:r>
      <w:r w:rsidR="00857013">
        <w:rPr>
          <w:rFonts w:hint="cs"/>
          <w:rtl/>
          <w:lang w:bidi="ar-AE"/>
        </w:rPr>
        <w:t>ّ</w:t>
      </w:r>
      <w:r w:rsidRPr="00904FCB">
        <w:rPr>
          <w:rFonts w:hint="cs"/>
          <w:rtl/>
          <w:lang w:bidi="ar-AE"/>
        </w:rPr>
        <w:t>ى نظرية</w:t>
      </w:r>
      <w:r w:rsidR="00F81D00" w:rsidRPr="00904FCB">
        <w:rPr>
          <w:rFonts w:hint="cs"/>
          <w:rtl/>
          <w:lang w:bidi="ar-AE"/>
        </w:rPr>
        <w:t>ً</w:t>
      </w:r>
      <w:r w:rsidRPr="00904FCB">
        <w:rPr>
          <w:rFonts w:hint="cs"/>
          <w:rtl/>
          <w:lang w:bidi="ar-AE"/>
        </w:rPr>
        <w:t xml:space="preserve"> قريبة منها إلى حد</w:t>
      </w:r>
      <w:r w:rsidR="00F81D00" w:rsidRPr="00904FCB">
        <w:rPr>
          <w:rFonts w:hint="cs"/>
          <w:rtl/>
          <w:lang w:bidi="ar-AE"/>
        </w:rPr>
        <w:t>ٍّ</w:t>
      </w:r>
      <w:r w:rsidRPr="00904FCB">
        <w:rPr>
          <w:rFonts w:hint="cs"/>
          <w:rtl/>
          <w:lang w:bidi="ar-AE"/>
        </w:rPr>
        <w:t xml:space="preserve"> ما</w:t>
      </w:r>
      <w:r w:rsidR="00F81D00" w:rsidRPr="00904FCB">
        <w:rPr>
          <w:rFonts w:hint="cs"/>
          <w:rtl/>
          <w:lang w:bidi="ar-AE"/>
        </w:rPr>
        <w:t>،</w:t>
      </w:r>
      <w:r w:rsidRPr="00904FCB">
        <w:rPr>
          <w:rFonts w:hint="cs"/>
          <w:rtl/>
          <w:lang w:bidi="ar-AE"/>
        </w:rPr>
        <w:t xml:space="preserve"> وتطلق عليها نظرية ولاية الفقيه المطلقة، أو الولاية العام</w:t>
      </w:r>
      <w:r w:rsidR="00F81D00" w:rsidRPr="00904FCB">
        <w:rPr>
          <w:rFonts w:hint="cs"/>
          <w:rtl/>
          <w:lang w:bidi="ar-AE"/>
        </w:rPr>
        <w:t>ّ</w:t>
      </w:r>
      <w:r w:rsidRPr="00904FCB">
        <w:rPr>
          <w:rFonts w:hint="cs"/>
          <w:rtl/>
          <w:lang w:bidi="ar-AE"/>
        </w:rPr>
        <w:t>ة للفقهاء.</w:t>
      </w:r>
    </w:p>
    <w:p w:rsidR="00952E59" w:rsidRPr="00904FCB" w:rsidRDefault="00952E59" w:rsidP="00857013">
      <w:pPr>
        <w:spacing w:line="400" w:lineRule="exact"/>
        <w:rPr>
          <w:rtl/>
          <w:lang w:bidi="ar-AE"/>
        </w:rPr>
      </w:pPr>
      <w:r w:rsidRPr="00904FCB">
        <w:rPr>
          <w:rFonts w:hint="cs"/>
          <w:rtl/>
          <w:lang w:bidi="ar-AE"/>
        </w:rPr>
        <w:t>وبح</w:t>
      </w:r>
      <w:r w:rsidR="00F81D00" w:rsidRPr="00904FCB">
        <w:rPr>
          <w:rFonts w:hint="cs"/>
          <w:rtl/>
          <w:lang w:bidi="ar-AE"/>
        </w:rPr>
        <w:t>َ</w:t>
      </w:r>
      <w:r w:rsidRPr="00904FCB">
        <w:rPr>
          <w:rFonts w:hint="cs"/>
          <w:rtl/>
          <w:lang w:bidi="ar-AE"/>
        </w:rPr>
        <w:t>س</w:t>
      </w:r>
      <w:r w:rsidR="00F81D00" w:rsidRPr="00904FCB">
        <w:rPr>
          <w:rFonts w:hint="cs"/>
          <w:rtl/>
          <w:lang w:bidi="ar-AE"/>
        </w:rPr>
        <w:t>َ</w:t>
      </w:r>
      <w:r w:rsidRPr="00904FCB">
        <w:rPr>
          <w:rFonts w:hint="cs"/>
          <w:rtl/>
          <w:lang w:bidi="ar-AE"/>
        </w:rPr>
        <w:t>ب هذه النظرية «الولاية تعني أن الحكم بالأصالة هو لله سبحانه، ولا ولاية إلا</w:t>
      </w:r>
      <w:r w:rsidR="00054AF1" w:rsidRPr="00904FCB">
        <w:rPr>
          <w:rFonts w:hint="cs"/>
          <w:rtl/>
          <w:lang w:bidi="ar-AE"/>
        </w:rPr>
        <w:t>ّ</w:t>
      </w:r>
      <w:r w:rsidRPr="00904FCB">
        <w:rPr>
          <w:rFonts w:hint="cs"/>
          <w:rtl/>
          <w:lang w:bidi="ar-AE"/>
        </w:rPr>
        <w:t xml:space="preserve"> من بعد إذنه، أي لا تصح</w:t>
      </w:r>
      <w:r w:rsidR="00054AF1" w:rsidRPr="00904FCB">
        <w:rPr>
          <w:rFonts w:hint="cs"/>
          <w:rtl/>
          <w:lang w:bidi="ar-AE"/>
        </w:rPr>
        <w:t>ّ</w:t>
      </w:r>
      <w:r w:rsidRPr="00904FCB">
        <w:rPr>
          <w:rFonts w:hint="cs"/>
          <w:rtl/>
          <w:lang w:bidi="ar-AE"/>
        </w:rPr>
        <w:t xml:space="preserve"> الولاية إلا</w:t>
      </w:r>
      <w:r w:rsidR="00054AF1" w:rsidRPr="00904FCB">
        <w:rPr>
          <w:rFonts w:hint="cs"/>
          <w:rtl/>
          <w:lang w:bidi="ar-AE"/>
        </w:rPr>
        <w:t>ّ</w:t>
      </w:r>
      <w:r w:rsidRPr="00904FCB">
        <w:rPr>
          <w:rFonts w:hint="cs"/>
          <w:rtl/>
          <w:lang w:bidi="ar-AE"/>
        </w:rPr>
        <w:t xml:space="preserve"> بإذن الله. والله سبحانه قد نصب الرسول الكريم</w:t>
      </w:r>
      <w:r w:rsidR="00635E51" w:rsidRPr="00904FCB">
        <w:rPr>
          <w:rFonts w:cs="Mosawi" w:hint="cs"/>
          <w:szCs w:val="22"/>
          <w:rtl/>
          <w:lang w:bidi="ar-AE"/>
        </w:rPr>
        <w:t>|</w:t>
      </w:r>
      <w:r w:rsidRPr="00904FCB">
        <w:rPr>
          <w:rFonts w:hint="cs"/>
          <w:rtl/>
          <w:lang w:bidi="ar-AE"/>
        </w:rPr>
        <w:t xml:space="preserve"> ليكون ولياً ومديراً ومدب</w:t>
      </w:r>
      <w:r w:rsidR="00054AF1" w:rsidRPr="00904FCB">
        <w:rPr>
          <w:rFonts w:hint="cs"/>
          <w:rtl/>
          <w:lang w:bidi="ar-AE"/>
        </w:rPr>
        <w:t>ِّ</w:t>
      </w:r>
      <w:r w:rsidRPr="00904FCB">
        <w:rPr>
          <w:rFonts w:hint="cs"/>
          <w:rtl/>
          <w:lang w:bidi="ar-AE"/>
        </w:rPr>
        <w:t>راً لشؤون الأمة السياسية، ومن بعده يتول</w:t>
      </w:r>
      <w:r w:rsidR="00054AF1" w:rsidRPr="00904FCB">
        <w:rPr>
          <w:rFonts w:hint="cs"/>
          <w:rtl/>
          <w:lang w:bidi="ar-AE"/>
        </w:rPr>
        <w:t>ّ</w:t>
      </w:r>
      <w:r w:rsidRPr="00904FCB">
        <w:rPr>
          <w:rFonts w:hint="cs"/>
          <w:rtl/>
          <w:lang w:bidi="ar-AE"/>
        </w:rPr>
        <w:t>ى الأئمة المعصوم</w:t>
      </w:r>
      <w:r w:rsidR="00857013">
        <w:rPr>
          <w:rFonts w:hint="cs"/>
          <w:rtl/>
          <w:lang w:bidi="ar-AE"/>
        </w:rPr>
        <w:t>و</w:t>
      </w:r>
      <w:r w:rsidRPr="00904FCB">
        <w:rPr>
          <w:rFonts w:hint="cs"/>
          <w:rtl/>
          <w:lang w:bidi="ar-AE"/>
        </w:rPr>
        <w:t>ن سائر تلك المهام</w:t>
      </w:r>
      <w:r w:rsidR="00054AF1" w:rsidRPr="00904FCB">
        <w:rPr>
          <w:rFonts w:hint="cs"/>
          <w:rtl/>
          <w:lang w:bidi="ar-AE"/>
        </w:rPr>
        <w:t>،</w:t>
      </w:r>
      <w:r w:rsidRPr="00904FCB">
        <w:rPr>
          <w:rFonts w:hint="cs"/>
          <w:rtl/>
          <w:lang w:bidi="ar-AE"/>
        </w:rPr>
        <w:t xml:space="preserve"> بعد أن تم</w:t>
      </w:r>
      <w:r w:rsidR="00054AF1" w:rsidRPr="00904FCB">
        <w:rPr>
          <w:rFonts w:hint="cs"/>
          <w:rtl/>
          <w:lang w:bidi="ar-AE"/>
        </w:rPr>
        <w:t>ّ</w:t>
      </w:r>
      <w:r w:rsidRPr="00904FCB">
        <w:rPr>
          <w:rFonts w:hint="cs"/>
          <w:rtl/>
          <w:lang w:bidi="ar-AE"/>
        </w:rPr>
        <w:t xml:space="preserve"> تنصيبهم من قبل الشارع المقد</w:t>
      </w:r>
      <w:r w:rsidR="00054AF1" w:rsidRPr="00904FCB">
        <w:rPr>
          <w:rFonts w:hint="cs"/>
          <w:rtl/>
          <w:lang w:bidi="ar-AE"/>
        </w:rPr>
        <w:t>َّ</w:t>
      </w:r>
      <w:r w:rsidRPr="00904FCB">
        <w:rPr>
          <w:rFonts w:hint="cs"/>
          <w:rtl/>
          <w:lang w:bidi="ar-AE"/>
        </w:rPr>
        <w:t>س أيضاً.</w:t>
      </w:r>
    </w:p>
    <w:p w:rsidR="00952E59" w:rsidRPr="00904FCB" w:rsidRDefault="00952E59" w:rsidP="00857013">
      <w:pPr>
        <w:spacing w:line="400" w:lineRule="exact"/>
        <w:rPr>
          <w:rtl/>
          <w:lang w:bidi="ar-AE"/>
        </w:rPr>
      </w:pPr>
      <w:r w:rsidRPr="00904FCB">
        <w:rPr>
          <w:rFonts w:hint="cs"/>
          <w:rtl/>
          <w:lang w:bidi="ar-AE"/>
        </w:rPr>
        <w:t>أما في عصرنا الحاضر فإن صاحب الزمان</w:t>
      </w:r>
      <w:r w:rsidR="00857013" w:rsidRPr="00857013">
        <w:rPr>
          <w:rFonts w:ascii="Mosawi" w:hAnsi="Mosawi" w:cs="Mosawi" w:hint="cs"/>
          <w:sz w:val="22"/>
          <w:szCs w:val="22"/>
          <w:rtl/>
        </w:rPr>
        <w:t>#</w:t>
      </w:r>
      <w:r w:rsidRPr="00904FCB">
        <w:rPr>
          <w:rFonts w:hint="cs"/>
          <w:rtl/>
          <w:lang w:bidi="ar-AE"/>
        </w:rPr>
        <w:t xml:space="preserve"> هو صاحب الولاية العظمى، وقد فو</w:t>
      </w:r>
      <w:r w:rsidR="00054AF1" w:rsidRPr="00904FCB">
        <w:rPr>
          <w:rFonts w:hint="cs"/>
          <w:rtl/>
          <w:lang w:bidi="ar-AE"/>
        </w:rPr>
        <w:t>ّ</w:t>
      </w:r>
      <w:r w:rsidRPr="00904FCB">
        <w:rPr>
          <w:rFonts w:hint="cs"/>
          <w:rtl/>
          <w:lang w:bidi="ar-AE"/>
        </w:rPr>
        <w:t>ض الشارع المقد</w:t>
      </w:r>
      <w:r w:rsidR="00054AF1" w:rsidRPr="00904FCB">
        <w:rPr>
          <w:rFonts w:hint="cs"/>
          <w:rtl/>
          <w:lang w:bidi="ar-AE"/>
        </w:rPr>
        <w:t>ّ</w:t>
      </w:r>
      <w:r w:rsidRPr="00904FCB">
        <w:rPr>
          <w:rFonts w:hint="cs"/>
          <w:rtl/>
          <w:lang w:bidi="ar-AE"/>
        </w:rPr>
        <w:t>س ولاية الأمّة في زمن الغيبة ـ غيبة صاحب الزمان ـ إلى الفقهاء العدول بشكل</w:t>
      </w:r>
      <w:r w:rsidR="00054AF1" w:rsidRPr="00904FCB">
        <w:rPr>
          <w:rFonts w:hint="cs"/>
          <w:rtl/>
          <w:lang w:bidi="ar-AE"/>
        </w:rPr>
        <w:t>ٍ</w:t>
      </w:r>
      <w:r w:rsidRPr="00904FCB">
        <w:rPr>
          <w:rFonts w:hint="cs"/>
          <w:rtl/>
          <w:lang w:bidi="ar-AE"/>
        </w:rPr>
        <w:t xml:space="preserve"> مباشر</w:t>
      </w:r>
      <w:r w:rsidR="00054AF1" w:rsidRPr="00904FCB">
        <w:rPr>
          <w:rFonts w:hint="cs"/>
          <w:rtl/>
          <w:lang w:bidi="ar-AE"/>
        </w:rPr>
        <w:t>،</w:t>
      </w:r>
      <w:r w:rsidRPr="00904FCB">
        <w:rPr>
          <w:rFonts w:hint="cs"/>
          <w:rtl/>
          <w:lang w:bidi="ar-AE"/>
        </w:rPr>
        <w:t xml:space="preserve"> ومن دون واسطة.</w:t>
      </w:r>
    </w:p>
    <w:p w:rsidR="00952E59" w:rsidRPr="00904FCB" w:rsidRDefault="00952E59" w:rsidP="007A21AA">
      <w:pPr>
        <w:spacing w:line="400" w:lineRule="exact"/>
        <w:rPr>
          <w:rtl/>
          <w:lang w:bidi="ar-AE"/>
        </w:rPr>
      </w:pPr>
      <w:r w:rsidRPr="00904FCB">
        <w:rPr>
          <w:rFonts w:hint="cs"/>
          <w:rtl/>
          <w:lang w:bidi="ar-AE"/>
        </w:rPr>
        <w:t>إن الشارع هو الذي يتول</w:t>
      </w:r>
      <w:r w:rsidR="00054AF1" w:rsidRPr="00904FCB">
        <w:rPr>
          <w:rFonts w:hint="cs"/>
          <w:rtl/>
          <w:lang w:bidi="ar-AE"/>
        </w:rPr>
        <w:t>ّ</w:t>
      </w:r>
      <w:r w:rsidRPr="00904FCB">
        <w:rPr>
          <w:rFonts w:hint="cs"/>
          <w:rtl/>
          <w:lang w:bidi="ar-AE"/>
        </w:rPr>
        <w:t>ى جعل الولاية، كما يتول</w:t>
      </w:r>
      <w:r w:rsidR="00054AF1" w:rsidRPr="00904FCB">
        <w:rPr>
          <w:rFonts w:hint="cs"/>
          <w:rtl/>
          <w:lang w:bidi="ar-AE"/>
        </w:rPr>
        <w:t>ّ</w:t>
      </w:r>
      <w:r w:rsidRPr="00904FCB">
        <w:rPr>
          <w:rFonts w:hint="cs"/>
          <w:rtl/>
          <w:lang w:bidi="ar-AE"/>
        </w:rPr>
        <w:t>ى تنصيب الفقهاء أولياءً على الأم</w:t>
      </w:r>
      <w:r w:rsidR="00054AF1" w:rsidRPr="00904FCB">
        <w:rPr>
          <w:rFonts w:hint="cs"/>
          <w:rtl/>
          <w:lang w:bidi="ar-AE"/>
        </w:rPr>
        <w:t>ّ</w:t>
      </w:r>
      <w:r w:rsidRPr="00904FCB">
        <w:rPr>
          <w:rFonts w:hint="cs"/>
          <w:rtl/>
          <w:lang w:bidi="ar-AE"/>
        </w:rPr>
        <w:t>ة</w:t>
      </w:r>
      <w:r w:rsidR="00054AF1" w:rsidRPr="00904FCB">
        <w:rPr>
          <w:rFonts w:hint="cs"/>
          <w:rtl/>
          <w:lang w:bidi="ar-AE"/>
        </w:rPr>
        <w:t>،</w:t>
      </w:r>
      <w:r w:rsidRPr="00904FCB">
        <w:rPr>
          <w:rFonts w:hint="cs"/>
          <w:rtl/>
          <w:lang w:bidi="ar-AE"/>
        </w:rPr>
        <w:t xml:space="preserve"> فتصبح الأمّة مولّى عليها.</w:t>
      </w:r>
    </w:p>
    <w:p w:rsidR="00952E59" w:rsidRPr="00904FCB" w:rsidRDefault="00952E59" w:rsidP="007A21AA">
      <w:pPr>
        <w:spacing w:line="400" w:lineRule="exact"/>
        <w:rPr>
          <w:rtl/>
          <w:lang w:bidi="ar-AE"/>
        </w:rPr>
      </w:pPr>
      <w:r w:rsidRPr="00904FCB">
        <w:rPr>
          <w:rFonts w:hint="cs"/>
          <w:rtl/>
          <w:lang w:bidi="ar-AE"/>
        </w:rPr>
        <w:t xml:space="preserve"> وكل</w:t>
      </w:r>
      <w:r w:rsidR="00054AF1" w:rsidRPr="00904FCB">
        <w:rPr>
          <w:rFonts w:hint="cs"/>
          <w:rtl/>
          <w:lang w:bidi="ar-AE"/>
        </w:rPr>
        <w:t>ّ</w:t>
      </w:r>
      <w:r w:rsidRPr="00904FCB">
        <w:rPr>
          <w:rFonts w:hint="cs"/>
          <w:rtl/>
          <w:lang w:bidi="ar-AE"/>
        </w:rPr>
        <w:t xml:space="preserve"> أمّة</w:t>
      </w:r>
      <w:r w:rsidR="00054AF1" w:rsidRPr="00904FCB">
        <w:rPr>
          <w:rFonts w:hint="cs"/>
          <w:rtl/>
          <w:lang w:bidi="ar-AE"/>
        </w:rPr>
        <w:t>ٍ</w:t>
      </w:r>
      <w:r w:rsidRPr="00904FCB">
        <w:rPr>
          <w:rFonts w:hint="cs"/>
          <w:rtl/>
          <w:lang w:bidi="ar-AE"/>
        </w:rPr>
        <w:t xml:space="preserve"> لا تكون تحت ولاية الفقهاء العدول فستكون لا محالة تحت ولاية الطاغوت. وكل</w:t>
      </w:r>
      <w:r w:rsidR="00054AF1" w:rsidRPr="00904FCB">
        <w:rPr>
          <w:rFonts w:hint="cs"/>
          <w:rtl/>
          <w:lang w:bidi="ar-AE"/>
        </w:rPr>
        <w:t>ّ</w:t>
      </w:r>
      <w:r w:rsidRPr="00904FCB">
        <w:rPr>
          <w:rFonts w:hint="cs"/>
          <w:rtl/>
          <w:lang w:bidi="ar-AE"/>
        </w:rPr>
        <w:t xml:space="preserve"> حاكم لم ينصب من قبل الشارع فهو ـ بلا ش</w:t>
      </w:r>
      <w:r w:rsidR="00054AF1" w:rsidRPr="00904FCB">
        <w:rPr>
          <w:rFonts w:hint="cs"/>
          <w:rtl/>
          <w:lang w:bidi="ar-AE"/>
        </w:rPr>
        <w:t>َ</w:t>
      </w:r>
      <w:r w:rsidRPr="00904FCB">
        <w:rPr>
          <w:rFonts w:hint="cs"/>
          <w:rtl/>
          <w:lang w:bidi="ar-AE"/>
        </w:rPr>
        <w:t>ك</w:t>
      </w:r>
      <w:r w:rsidR="00054AF1" w:rsidRPr="00904FCB">
        <w:rPr>
          <w:rFonts w:hint="cs"/>
          <w:rtl/>
          <w:lang w:bidi="ar-AE"/>
        </w:rPr>
        <w:t>ٍّ</w:t>
      </w:r>
      <w:r w:rsidRPr="00904FCB">
        <w:rPr>
          <w:rFonts w:hint="cs"/>
          <w:rtl/>
          <w:lang w:bidi="ar-AE"/>
        </w:rPr>
        <w:t xml:space="preserve"> ـ طاغوت».</w:t>
      </w:r>
    </w:p>
    <w:p w:rsidR="00952E59" w:rsidRPr="00904FCB" w:rsidRDefault="00952E59" w:rsidP="007A21AA">
      <w:pPr>
        <w:spacing w:line="400" w:lineRule="exact"/>
        <w:rPr>
          <w:rtl/>
          <w:lang w:bidi="ar-AE"/>
        </w:rPr>
      </w:pPr>
      <w:r w:rsidRPr="00904FCB">
        <w:rPr>
          <w:rFonts w:hint="cs"/>
          <w:rtl/>
          <w:lang w:bidi="ar-AE"/>
        </w:rPr>
        <w:t>كما أن الشعب في ظل</w:t>
      </w:r>
      <w:r w:rsidR="00054AF1" w:rsidRPr="00904FCB">
        <w:rPr>
          <w:rFonts w:hint="cs"/>
          <w:rtl/>
          <w:lang w:bidi="ar-AE"/>
        </w:rPr>
        <w:t>ّ</w:t>
      </w:r>
      <w:r w:rsidRPr="00904FCB">
        <w:rPr>
          <w:rFonts w:hint="cs"/>
          <w:rtl/>
          <w:lang w:bidi="ar-AE"/>
        </w:rPr>
        <w:t xml:space="preserve"> هذه الرؤية السياسية غير قادر على ممارسة دور الرقابة أو النقد</w:t>
      </w:r>
      <w:r w:rsidR="00054AF1" w:rsidRPr="00904FCB">
        <w:rPr>
          <w:rFonts w:hint="cs"/>
          <w:rtl/>
          <w:lang w:bidi="ar-AE"/>
        </w:rPr>
        <w:t>؛</w:t>
      </w:r>
      <w:r w:rsidRPr="00904FCB">
        <w:rPr>
          <w:rFonts w:hint="cs"/>
          <w:rtl/>
          <w:lang w:bidi="ar-AE"/>
        </w:rPr>
        <w:t xml:space="preserve"> إذ لا يحق له التدخ</w:t>
      </w:r>
      <w:r w:rsidR="00054AF1" w:rsidRPr="00904FCB">
        <w:rPr>
          <w:rFonts w:hint="cs"/>
          <w:rtl/>
          <w:lang w:bidi="ar-AE"/>
        </w:rPr>
        <w:t>ُّ</w:t>
      </w:r>
      <w:r w:rsidRPr="00904FCB">
        <w:rPr>
          <w:rFonts w:hint="cs"/>
          <w:rtl/>
          <w:lang w:bidi="ar-AE"/>
        </w:rPr>
        <w:t>ل أو الاعتراض على سلوك الولي</w:t>
      </w:r>
      <w:r w:rsidR="00054AF1" w:rsidRPr="00904FCB">
        <w:rPr>
          <w:rFonts w:hint="cs"/>
          <w:rtl/>
          <w:lang w:bidi="ar-AE"/>
        </w:rPr>
        <w:t>ّ</w:t>
      </w:r>
      <w:r w:rsidRPr="00904FCB">
        <w:rPr>
          <w:rFonts w:hint="cs"/>
          <w:rtl/>
          <w:lang w:bidi="ar-AE"/>
        </w:rPr>
        <w:t xml:space="preserve"> وممارساته. </w:t>
      </w:r>
    </w:p>
    <w:p w:rsidR="00952E59" w:rsidRPr="00904FCB" w:rsidRDefault="00952E59" w:rsidP="007A21AA">
      <w:pPr>
        <w:spacing w:line="400" w:lineRule="exact"/>
        <w:rPr>
          <w:rtl/>
          <w:lang w:bidi="ar-AE"/>
        </w:rPr>
      </w:pPr>
      <w:r w:rsidRPr="00904FCB">
        <w:rPr>
          <w:rFonts w:hint="cs"/>
          <w:rtl/>
          <w:lang w:bidi="ar-AE"/>
        </w:rPr>
        <w:t>والإقرار للشعب بمثل هذا الحق</w:t>
      </w:r>
      <w:r w:rsidR="00054AF1" w:rsidRPr="00904FCB">
        <w:rPr>
          <w:rFonts w:hint="cs"/>
          <w:rtl/>
          <w:lang w:bidi="ar-AE"/>
        </w:rPr>
        <w:t>ّ</w:t>
      </w:r>
      <w:r w:rsidRPr="00904FCB">
        <w:rPr>
          <w:rFonts w:hint="cs"/>
          <w:rtl/>
          <w:lang w:bidi="ar-AE"/>
        </w:rPr>
        <w:t xml:space="preserve"> يؤد</w:t>
      </w:r>
      <w:r w:rsidR="00054AF1" w:rsidRPr="00904FCB">
        <w:rPr>
          <w:rFonts w:hint="cs"/>
          <w:rtl/>
          <w:lang w:bidi="ar-AE"/>
        </w:rPr>
        <w:t>ّ</w:t>
      </w:r>
      <w:r w:rsidRPr="00904FCB">
        <w:rPr>
          <w:rFonts w:hint="cs"/>
          <w:rtl/>
          <w:lang w:bidi="ar-AE"/>
        </w:rPr>
        <w:t>ي إلى نفي الولاية</w:t>
      </w:r>
      <w:r w:rsidR="00054AF1" w:rsidRPr="00904FCB">
        <w:rPr>
          <w:rFonts w:hint="cs"/>
          <w:rtl/>
          <w:lang w:bidi="ar-AE"/>
        </w:rPr>
        <w:t>،</w:t>
      </w:r>
      <w:r w:rsidRPr="00904FCB">
        <w:rPr>
          <w:rFonts w:hint="cs"/>
          <w:rtl/>
          <w:lang w:bidi="ar-AE"/>
        </w:rPr>
        <w:t xml:space="preserve"> وخروج الناس من كونهم مولّى عليهم. </w:t>
      </w:r>
    </w:p>
    <w:p w:rsidR="00952E59" w:rsidRPr="00904FCB" w:rsidRDefault="00952E59" w:rsidP="007A21AA">
      <w:pPr>
        <w:spacing w:line="400" w:lineRule="exact"/>
        <w:rPr>
          <w:rtl/>
          <w:lang w:bidi="ar-AE"/>
        </w:rPr>
      </w:pPr>
      <w:r w:rsidRPr="00904FCB">
        <w:rPr>
          <w:rFonts w:hint="cs"/>
          <w:rtl/>
          <w:lang w:bidi="ar-AE"/>
        </w:rPr>
        <w:lastRenderedPageBreak/>
        <w:t>إذن على الشعب أن يسلّ</w:t>
      </w:r>
      <w:r w:rsidR="00054AF1" w:rsidRPr="00904FCB">
        <w:rPr>
          <w:rFonts w:hint="cs"/>
          <w:rtl/>
          <w:lang w:bidi="ar-AE"/>
        </w:rPr>
        <w:t>ِ</w:t>
      </w:r>
      <w:r w:rsidRPr="00904FCB">
        <w:rPr>
          <w:rFonts w:hint="cs"/>
          <w:rtl/>
          <w:lang w:bidi="ar-AE"/>
        </w:rPr>
        <w:t>م بهذه الولاية</w:t>
      </w:r>
      <w:r w:rsidR="00054AF1" w:rsidRPr="00904FCB">
        <w:rPr>
          <w:rFonts w:hint="cs"/>
          <w:rtl/>
          <w:lang w:bidi="ar-AE"/>
        </w:rPr>
        <w:t>؛</w:t>
      </w:r>
      <w:r w:rsidRPr="00904FCB">
        <w:rPr>
          <w:rFonts w:hint="cs"/>
          <w:rtl/>
          <w:lang w:bidi="ar-AE"/>
        </w:rPr>
        <w:t xml:space="preserve"> كي لا يخرج عن حدود الدائرة الشرعية</w:t>
      </w:r>
      <w:r w:rsidR="00054AF1" w:rsidRPr="00904FCB">
        <w:rPr>
          <w:rFonts w:hint="cs"/>
          <w:rtl/>
          <w:lang w:bidi="ar-AE"/>
        </w:rPr>
        <w:t>،</w:t>
      </w:r>
      <w:r w:rsidRPr="00904FCB">
        <w:rPr>
          <w:rFonts w:hint="cs"/>
          <w:rtl/>
          <w:lang w:bidi="ar-AE"/>
        </w:rPr>
        <w:t xml:space="preserve"> وبالتالي يلج دائرة العصيان.</w:t>
      </w:r>
    </w:p>
    <w:p w:rsidR="00952E59" w:rsidRPr="00904FCB" w:rsidRDefault="00952E59" w:rsidP="007A21AA">
      <w:pPr>
        <w:spacing w:line="400" w:lineRule="exact"/>
        <w:rPr>
          <w:rtl/>
          <w:lang w:bidi="ar-AE"/>
        </w:rPr>
      </w:pPr>
      <w:r w:rsidRPr="00904FCB">
        <w:rPr>
          <w:rFonts w:hint="cs"/>
          <w:rtl/>
          <w:lang w:bidi="ar-AE"/>
        </w:rPr>
        <w:t>ولا يخفى أن هذه الرؤية لا تبقي مجالاً للدستور</w:t>
      </w:r>
      <w:r w:rsidR="00054AF1" w:rsidRPr="00904FCB">
        <w:rPr>
          <w:rFonts w:hint="cs"/>
          <w:rtl/>
          <w:lang w:bidi="ar-AE"/>
        </w:rPr>
        <w:t>؛</w:t>
      </w:r>
      <w:r w:rsidRPr="00904FCB">
        <w:rPr>
          <w:rFonts w:hint="cs"/>
          <w:rtl/>
          <w:lang w:bidi="ar-AE"/>
        </w:rPr>
        <w:t xml:space="preserve"> لأنه لن يكون ملزماً للولي الفقيه، فإن الأخير بإمكانه نقض أي</w:t>
      </w:r>
      <w:r w:rsidR="00054AF1" w:rsidRPr="00904FCB">
        <w:rPr>
          <w:rFonts w:hint="cs"/>
          <w:rtl/>
          <w:lang w:bidi="ar-AE"/>
        </w:rPr>
        <w:t>ّ</w:t>
      </w:r>
      <w:r w:rsidRPr="00904FCB">
        <w:rPr>
          <w:rFonts w:hint="cs"/>
          <w:rtl/>
          <w:lang w:bidi="ar-AE"/>
        </w:rPr>
        <w:t xml:space="preserve"> فقرة من فقرات الدستور إذا وجد مصلحةً في ذلك</w:t>
      </w:r>
      <w:r w:rsidRPr="00904FCB">
        <w:rPr>
          <w:rFonts w:hint="cs"/>
          <w:vertAlign w:val="superscript"/>
          <w:rtl/>
        </w:rPr>
        <w:t>(</w:t>
      </w:r>
      <w:r w:rsidRPr="00904FCB">
        <w:rPr>
          <w:vertAlign w:val="superscript"/>
        </w:rPr>
        <w:endnoteReference w:id="335"/>
      </w:r>
      <w:r w:rsidRPr="00904FCB">
        <w:rPr>
          <w:rFonts w:hint="cs"/>
          <w:vertAlign w:val="superscript"/>
          <w:rtl/>
        </w:rPr>
        <w:t>)</w:t>
      </w:r>
      <w:r w:rsidR="00054AF1" w:rsidRPr="00904FCB">
        <w:rPr>
          <w:rFonts w:hint="cs"/>
          <w:rtl/>
          <w:lang w:bidi="ar-AE"/>
        </w:rPr>
        <w:t xml:space="preserve">. </w:t>
      </w:r>
      <w:r w:rsidRPr="00904FCB">
        <w:rPr>
          <w:rFonts w:hint="cs"/>
          <w:rtl/>
          <w:lang w:bidi="ar-AE"/>
        </w:rPr>
        <w:t>إضافةً إلى «أن نظام ولاية الفقيه لا يمنع وجود م</w:t>
      </w:r>
      <w:r w:rsidR="00054AF1" w:rsidRPr="00904FCB">
        <w:rPr>
          <w:rFonts w:hint="cs"/>
          <w:rtl/>
          <w:lang w:bidi="ar-AE"/>
        </w:rPr>
        <w:t>َ</w:t>
      </w:r>
      <w:r w:rsidRPr="00904FCB">
        <w:rPr>
          <w:rFonts w:hint="cs"/>
          <w:rtl/>
          <w:lang w:bidi="ar-AE"/>
        </w:rPr>
        <w:t>ن</w:t>
      </w:r>
      <w:r w:rsidR="00054AF1" w:rsidRPr="00904FCB">
        <w:rPr>
          <w:rFonts w:hint="cs"/>
          <w:rtl/>
          <w:lang w:bidi="ar-AE"/>
        </w:rPr>
        <w:t>ْ</w:t>
      </w:r>
      <w:r w:rsidRPr="00904FCB">
        <w:rPr>
          <w:rFonts w:hint="cs"/>
          <w:rtl/>
          <w:lang w:bidi="ar-AE"/>
        </w:rPr>
        <w:t xml:space="preserve"> هو فوق القانون، وبإمكانه تجاوز القانون متى ما و</w:t>
      </w:r>
      <w:r w:rsidR="00054AF1" w:rsidRPr="00904FCB">
        <w:rPr>
          <w:rFonts w:hint="cs"/>
          <w:rtl/>
          <w:lang w:bidi="ar-AE"/>
        </w:rPr>
        <w:t>َ</w:t>
      </w:r>
      <w:r w:rsidRPr="00904FCB">
        <w:rPr>
          <w:rFonts w:hint="cs"/>
          <w:rtl/>
          <w:lang w:bidi="ar-AE"/>
        </w:rPr>
        <w:t>ج</w:t>
      </w:r>
      <w:r w:rsidR="00054AF1" w:rsidRPr="00904FCB">
        <w:rPr>
          <w:rFonts w:hint="cs"/>
          <w:rtl/>
          <w:lang w:bidi="ar-AE"/>
        </w:rPr>
        <w:t>َ</w:t>
      </w:r>
      <w:r w:rsidRPr="00904FCB">
        <w:rPr>
          <w:rFonts w:hint="cs"/>
          <w:rtl/>
          <w:lang w:bidi="ar-AE"/>
        </w:rPr>
        <w:t>د ما يدعو لذلك»</w:t>
      </w:r>
      <w:r w:rsidRPr="00904FCB">
        <w:rPr>
          <w:rFonts w:hint="cs"/>
          <w:vertAlign w:val="superscript"/>
          <w:rtl/>
        </w:rPr>
        <w:t>(</w:t>
      </w:r>
      <w:r w:rsidRPr="00904FCB">
        <w:rPr>
          <w:vertAlign w:val="superscript"/>
        </w:rPr>
        <w:endnoteReference w:id="336"/>
      </w:r>
      <w:r w:rsidRPr="00904FCB">
        <w:rPr>
          <w:rFonts w:hint="cs"/>
          <w:vertAlign w:val="superscript"/>
          <w:rtl/>
        </w:rPr>
        <w:t>)</w:t>
      </w:r>
      <w:r w:rsidRPr="00904FCB">
        <w:rPr>
          <w:rFonts w:hint="cs"/>
          <w:rtl/>
          <w:lang w:bidi="ar-AE"/>
        </w:rPr>
        <w:t>.</w:t>
      </w:r>
      <w:r w:rsidRPr="00904FCB">
        <w:rPr>
          <w:rFonts w:hint="cs"/>
          <w:b/>
          <w:bCs/>
          <w:rtl/>
        </w:rPr>
        <w:t xml:space="preserve"> </w:t>
      </w:r>
    </w:p>
    <w:p w:rsidR="00952E59" w:rsidRPr="00904FCB" w:rsidRDefault="00952E59" w:rsidP="007A21AA">
      <w:pPr>
        <w:spacing w:line="400" w:lineRule="exact"/>
        <w:rPr>
          <w:rtl/>
        </w:rPr>
      </w:pPr>
      <w:r w:rsidRPr="00904FCB">
        <w:rPr>
          <w:rFonts w:hint="cs"/>
          <w:rtl/>
          <w:lang w:bidi="ar-AE"/>
        </w:rPr>
        <w:t>«إن الحاكم مسؤول</w:t>
      </w:r>
      <w:r w:rsidR="00054AF1" w:rsidRPr="00904FCB">
        <w:rPr>
          <w:rFonts w:hint="cs"/>
          <w:rtl/>
          <w:lang w:bidi="ar-AE"/>
        </w:rPr>
        <w:t>ٌ</w:t>
      </w:r>
      <w:r w:rsidRPr="00904FCB">
        <w:rPr>
          <w:rFonts w:hint="cs"/>
          <w:rtl/>
          <w:lang w:bidi="ar-AE"/>
        </w:rPr>
        <w:t xml:space="preserve"> أمام الله</w:t>
      </w:r>
      <w:r w:rsidR="00054AF1" w:rsidRPr="00904FCB">
        <w:rPr>
          <w:rFonts w:hint="cs"/>
          <w:rtl/>
          <w:lang w:bidi="ar-AE"/>
        </w:rPr>
        <w:t>،</w:t>
      </w:r>
      <w:r w:rsidRPr="00904FCB">
        <w:rPr>
          <w:rFonts w:hint="cs"/>
          <w:rtl/>
          <w:lang w:bidi="ar-AE"/>
        </w:rPr>
        <w:t xml:space="preserve"> ولا يمكن لأي</w:t>
      </w:r>
      <w:r w:rsidR="00054AF1" w:rsidRPr="00904FCB">
        <w:rPr>
          <w:rFonts w:hint="cs"/>
          <w:rtl/>
          <w:lang w:bidi="ar-AE"/>
        </w:rPr>
        <w:t>ّ</w:t>
      </w:r>
      <w:r w:rsidRPr="00904FCB">
        <w:rPr>
          <w:rFonts w:hint="cs"/>
          <w:rtl/>
          <w:lang w:bidi="ar-AE"/>
        </w:rPr>
        <w:t xml:space="preserve"> جهة</w:t>
      </w:r>
      <w:r w:rsidR="00054AF1" w:rsidRPr="00904FCB">
        <w:rPr>
          <w:rFonts w:hint="cs"/>
          <w:rtl/>
          <w:lang w:bidi="ar-AE"/>
        </w:rPr>
        <w:t>ٍ</w:t>
      </w:r>
      <w:r w:rsidRPr="00904FCB">
        <w:rPr>
          <w:rFonts w:hint="cs"/>
          <w:rtl/>
          <w:lang w:bidi="ar-AE"/>
        </w:rPr>
        <w:t xml:space="preserve"> قانونية محاسبته أو مؤاخذته، والجميع تحت رعايته</w:t>
      </w:r>
      <w:r w:rsidR="00054AF1" w:rsidRPr="00904FCB">
        <w:rPr>
          <w:rFonts w:hint="cs"/>
          <w:rtl/>
          <w:lang w:bidi="ar-AE"/>
        </w:rPr>
        <w:t>،</w:t>
      </w:r>
      <w:r w:rsidRPr="00904FCB">
        <w:rPr>
          <w:rFonts w:hint="cs"/>
          <w:rtl/>
          <w:lang w:bidi="ar-AE"/>
        </w:rPr>
        <w:t xml:space="preserve"> ولا أحد فوقه سوى الله سبحانه</w:t>
      </w:r>
      <w:r w:rsidR="00054AF1" w:rsidRPr="00904FCB">
        <w:rPr>
          <w:rFonts w:hint="cs"/>
          <w:rtl/>
          <w:lang w:bidi="ar-AE"/>
        </w:rPr>
        <w:t>،</w:t>
      </w:r>
      <w:r w:rsidRPr="00904FCB">
        <w:rPr>
          <w:rFonts w:hint="cs"/>
          <w:rtl/>
          <w:lang w:bidi="ar-AE"/>
        </w:rPr>
        <w:t xml:space="preserve"> الذي هو رقيب</w:t>
      </w:r>
      <w:r w:rsidR="00054AF1" w:rsidRPr="00904FCB">
        <w:rPr>
          <w:rFonts w:hint="cs"/>
          <w:rtl/>
          <w:lang w:bidi="ar-AE"/>
        </w:rPr>
        <w:t>ٌ</w:t>
      </w:r>
      <w:r w:rsidRPr="00904FCB">
        <w:rPr>
          <w:rFonts w:hint="cs"/>
          <w:rtl/>
          <w:lang w:bidi="ar-AE"/>
        </w:rPr>
        <w:t xml:space="preserve"> على أعماله</w:t>
      </w:r>
      <w:r w:rsidR="00054AF1" w:rsidRPr="00904FCB">
        <w:rPr>
          <w:rFonts w:hint="cs"/>
          <w:rtl/>
          <w:lang w:bidi="ar-AE"/>
        </w:rPr>
        <w:t xml:space="preserve">، </w:t>
      </w:r>
      <w:r w:rsidRPr="00904FCB">
        <w:rPr>
          <w:rFonts w:hint="cs"/>
          <w:rtl/>
          <w:lang w:bidi="ar-AE"/>
        </w:rPr>
        <w:t>ومشرف</w:t>
      </w:r>
      <w:r w:rsidR="00054AF1" w:rsidRPr="00904FCB">
        <w:rPr>
          <w:rFonts w:hint="cs"/>
          <w:rtl/>
          <w:lang w:bidi="ar-AE"/>
        </w:rPr>
        <w:t>ٌ</w:t>
      </w:r>
      <w:r w:rsidRPr="00904FCB">
        <w:rPr>
          <w:rFonts w:hint="cs"/>
          <w:rtl/>
          <w:lang w:bidi="ar-AE"/>
        </w:rPr>
        <w:t xml:space="preserve"> على سلوكه»</w:t>
      </w:r>
      <w:r w:rsidRPr="00904FCB">
        <w:rPr>
          <w:rFonts w:hint="cs"/>
          <w:vertAlign w:val="superscript"/>
          <w:rtl/>
        </w:rPr>
        <w:t>(</w:t>
      </w:r>
      <w:r w:rsidRPr="00904FCB">
        <w:rPr>
          <w:vertAlign w:val="superscript"/>
        </w:rPr>
        <w:endnoteReference w:id="337"/>
      </w:r>
      <w:r w:rsidRPr="00904FCB">
        <w:rPr>
          <w:rFonts w:hint="cs"/>
          <w:vertAlign w:val="superscript"/>
          <w:rtl/>
        </w:rPr>
        <w:t>)</w:t>
      </w:r>
      <w:r w:rsidRPr="00904FCB">
        <w:rPr>
          <w:rFonts w:hint="cs"/>
          <w:rtl/>
          <w:lang w:bidi="ar-AE"/>
        </w:rPr>
        <w:t>.</w:t>
      </w:r>
    </w:p>
    <w:p w:rsidR="00952E59" w:rsidRPr="00904FCB" w:rsidRDefault="00952E59" w:rsidP="007A21AA">
      <w:pPr>
        <w:spacing w:line="400" w:lineRule="exact"/>
        <w:rPr>
          <w:rtl/>
          <w:lang w:bidi="ar-AE"/>
        </w:rPr>
      </w:pPr>
      <w:r w:rsidRPr="00904FCB">
        <w:rPr>
          <w:rFonts w:hint="cs"/>
          <w:rtl/>
          <w:lang w:bidi="ar-AE"/>
        </w:rPr>
        <w:t>يت</w:t>
      </w:r>
      <w:r w:rsidR="00054AF1" w:rsidRPr="00904FCB">
        <w:rPr>
          <w:rFonts w:hint="cs"/>
          <w:rtl/>
          <w:lang w:bidi="ar-AE"/>
        </w:rPr>
        <w:t>ّ</w:t>
      </w:r>
      <w:r w:rsidRPr="00904FCB">
        <w:rPr>
          <w:rFonts w:hint="cs"/>
          <w:rtl/>
          <w:lang w:bidi="ar-AE"/>
        </w:rPr>
        <w:t>ضح لنا إذن من خلال هذا العرض المو</w:t>
      </w:r>
      <w:r w:rsidR="00054AF1" w:rsidRPr="00904FCB">
        <w:rPr>
          <w:rFonts w:hint="cs"/>
          <w:rtl/>
          <w:lang w:bidi="ar-AE"/>
        </w:rPr>
        <w:t>جز</w:t>
      </w:r>
      <w:r w:rsidRPr="00904FCB">
        <w:rPr>
          <w:rFonts w:hint="cs"/>
          <w:rtl/>
          <w:lang w:bidi="ar-AE"/>
        </w:rPr>
        <w:t xml:space="preserve"> الموقف </w:t>
      </w:r>
      <w:r w:rsidR="00054AF1" w:rsidRPr="00904FCB">
        <w:rPr>
          <w:rFonts w:hint="cs"/>
          <w:rtl/>
          <w:lang w:bidi="ar-AE"/>
        </w:rPr>
        <w:t>إ</w:t>
      </w:r>
      <w:r w:rsidRPr="00904FCB">
        <w:rPr>
          <w:rFonts w:hint="cs"/>
          <w:rtl/>
          <w:lang w:bidi="ar-AE"/>
        </w:rPr>
        <w:t>زاء العديد من مقولات وعناصر حقوق الإنسان وغيرها</w:t>
      </w:r>
      <w:r w:rsidR="00054AF1" w:rsidRPr="00904FCB">
        <w:rPr>
          <w:rFonts w:hint="cs"/>
          <w:rtl/>
          <w:lang w:bidi="ar-AE"/>
        </w:rPr>
        <w:t>.</w:t>
      </w:r>
      <w:r w:rsidRPr="00904FCB">
        <w:rPr>
          <w:rFonts w:hint="cs"/>
          <w:rtl/>
          <w:lang w:bidi="ar-AE"/>
        </w:rPr>
        <w:t xml:space="preserve"> فعلى سبيل المثال:</w:t>
      </w:r>
    </w:p>
    <w:p w:rsidR="00952E59" w:rsidRPr="00904FCB" w:rsidRDefault="00952E59" w:rsidP="007A21AA">
      <w:pPr>
        <w:pStyle w:val="afff2"/>
        <w:spacing w:line="400" w:lineRule="exact"/>
        <w:rPr>
          <w:sz w:val="27"/>
          <w:rtl/>
          <w:lang w:bidi="ar-AE"/>
        </w:rPr>
      </w:pPr>
    </w:p>
    <w:p w:rsidR="00952E59" w:rsidRPr="00904FCB" w:rsidRDefault="00952E59" w:rsidP="007A21AA">
      <w:pPr>
        <w:pStyle w:val="31"/>
        <w:spacing w:line="400" w:lineRule="exact"/>
        <w:rPr>
          <w:color w:val="auto"/>
          <w:rtl/>
          <w:lang w:bidi="ar-AE"/>
        </w:rPr>
      </w:pPr>
      <w:r w:rsidRPr="009640F7">
        <w:rPr>
          <w:rFonts w:hint="cs"/>
          <w:color w:val="auto"/>
          <w:rtl/>
          <w:lang w:bidi="ar-AE"/>
        </w:rPr>
        <w:t>1ـ</w:t>
      </w:r>
      <w:r w:rsidRPr="00904FCB">
        <w:rPr>
          <w:rFonts w:hint="cs"/>
          <w:color w:val="auto"/>
          <w:rtl/>
          <w:lang w:bidi="ar-AE"/>
        </w:rPr>
        <w:t xml:space="preserve"> التقنين</w:t>
      </w:r>
    </w:p>
    <w:p w:rsidR="00952E59" w:rsidRPr="00904FCB" w:rsidRDefault="00952E59" w:rsidP="007A21AA">
      <w:pPr>
        <w:spacing w:line="400" w:lineRule="exact"/>
        <w:rPr>
          <w:rtl/>
          <w:lang w:bidi="ar-AE"/>
        </w:rPr>
      </w:pPr>
      <w:r w:rsidRPr="00904FCB">
        <w:rPr>
          <w:rFonts w:hint="cs"/>
          <w:rtl/>
          <w:lang w:bidi="ar-AE"/>
        </w:rPr>
        <w:t>من الواضح أن نظريات المجتمع المدني والديمقراطية وحقوق الإنسان لا يمكن لها أن تتحق</w:t>
      </w:r>
      <w:r w:rsidR="00AC49DD" w:rsidRPr="00904FCB">
        <w:rPr>
          <w:rFonts w:hint="cs"/>
          <w:rtl/>
          <w:lang w:bidi="ar-AE"/>
        </w:rPr>
        <w:t>ّ</w:t>
      </w:r>
      <w:r w:rsidRPr="00904FCB">
        <w:rPr>
          <w:rFonts w:hint="cs"/>
          <w:rtl/>
          <w:lang w:bidi="ar-AE"/>
        </w:rPr>
        <w:t>ق على أرض الواقع من دون منحها تعريفاً قانونياً</w:t>
      </w:r>
      <w:r w:rsidR="00AC49DD" w:rsidRPr="00904FCB">
        <w:rPr>
          <w:rFonts w:hint="cs"/>
          <w:rtl/>
          <w:lang w:bidi="ar-AE"/>
        </w:rPr>
        <w:t>،</w:t>
      </w:r>
      <w:r w:rsidRPr="00904FCB">
        <w:rPr>
          <w:rFonts w:hint="cs"/>
          <w:rtl/>
          <w:lang w:bidi="ar-AE"/>
        </w:rPr>
        <w:t xml:space="preserve"> وب</w:t>
      </w:r>
      <w:r w:rsidR="00AC49DD" w:rsidRPr="00904FCB">
        <w:rPr>
          <w:rFonts w:hint="cs"/>
          <w:rtl/>
          <w:lang w:bidi="ar-AE"/>
        </w:rPr>
        <w:t>ُ</w:t>
      </w:r>
      <w:r w:rsidRPr="00904FCB">
        <w:rPr>
          <w:rFonts w:hint="cs"/>
          <w:rtl/>
          <w:lang w:bidi="ar-AE"/>
        </w:rPr>
        <w:t>ع</w:t>
      </w:r>
      <w:r w:rsidR="00AC49DD" w:rsidRPr="00904FCB">
        <w:rPr>
          <w:rFonts w:hint="cs"/>
          <w:rtl/>
          <w:lang w:bidi="ar-AE"/>
        </w:rPr>
        <w:t>ْ</w:t>
      </w:r>
      <w:r w:rsidRPr="00904FCB">
        <w:rPr>
          <w:rFonts w:hint="cs"/>
          <w:rtl/>
          <w:lang w:bidi="ar-AE"/>
        </w:rPr>
        <w:t>داً دستورياً. بينما نجد أن القانون لا يشك</w:t>
      </w:r>
      <w:r w:rsidR="00AC49DD" w:rsidRPr="00904FCB">
        <w:rPr>
          <w:rFonts w:hint="cs"/>
          <w:rtl/>
          <w:lang w:bidi="ar-AE"/>
        </w:rPr>
        <w:t>ّ</w:t>
      </w:r>
      <w:r w:rsidRPr="00904FCB">
        <w:rPr>
          <w:rFonts w:hint="cs"/>
          <w:rtl/>
          <w:lang w:bidi="ar-AE"/>
        </w:rPr>
        <w:t>ل مرجعاً رئيس</w:t>
      </w:r>
      <w:r w:rsidR="00AC49DD" w:rsidRPr="00904FCB">
        <w:rPr>
          <w:rFonts w:hint="cs"/>
          <w:rtl/>
          <w:lang w:bidi="ar-AE"/>
        </w:rPr>
        <w:t>اً لأصحاب تلك النظرية</w:t>
      </w:r>
      <w:r w:rsidRPr="00904FCB">
        <w:rPr>
          <w:rFonts w:hint="cs"/>
          <w:rtl/>
          <w:lang w:bidi="ar-AE"/>
        </w:rPr>
        <w:t xml:space="preserve">. </w:t>
      </w:r>
      <w:r w:rsidR="00AC49DD" w:rsidRPr="00904FCB">
        <w:rPr>
          <w:rFonts w:hint="cs"/>
          <w:rtl/>
          <w:lang w:bidi="ar-AE"/>
        </w:rPr>
        <w:t>و</w:t>
      </w:r>
      <w:r w:rsidRPr="00904FCB">
        <w:rPr>
          <w:rFonts w:hint="cs"/>
          <w:rtl/>
          <w:lang w:bidi="ar-AE"/>
        </w:rPr>
        <w:t xml:space="preserve">بالإضافة </w:t>
      </w:r>
      <w:r w:rsidR="00AC49DD" w:rsidRPr="00904FCB">
        <w:rPr>
          <w:rFonts w:hint="cs"/>
          <w:rtl/>
          <w:lang w:bidi="ar-AE"/>
        </w:rPr>
        <w:t xml:space="preserve">إلى </w:t>
      </w:r>
      <w:r w:rsidRPr="00904FCB">
        <w:rPr>
          <w:rFonts w:hint="cs"/>
          <w:rtl/>
          <w:lang w:bidi="ar-AE"/>
        </w:rPr>
        <w:t>ذلك ف</w:t>
      </w:r>
      <w:r w:rsidR="00AC49DD" w:rsidRPr="00904FCB">
        <w:rPr>
          <w:rFonts w:hint="cs"/>
          <w:rtl/>
          <w:lang w:bidi="ar-AE"/>
        </w:rPr>
        <w:t>إ</w:t>
      </w:r>
      <w:r w:rsidRPr="00904FCB">
        <w:rPr>
          <w:rFonts w:hint="cs"/>
          <w:rtl/>
          <w:lang w:bidi="ar-AE"/>
        </w:rPr>
        <w:t>ن العديد من المفك</w:t>
      </w:r>
      <w:r w:rsidR="00AC49DD" w:rsidRPr="00904FCB">
        <w:rPr>
          <w:rFonts w:hint="cs"/>
          <w:rtl/>
          <w:lang w:bidi="ar-AE"/>
        </w:rPr>
        <w:t>ِّ</w:t>
      </w:r>
      <w:r w:rsidRPr="00904FCB">
        <w:rPr>
          <w:rFonts w:hint="cs"/>
          <w:rtl/>
          <w:lang w:bidi="ar-AE"/>
        </w:rPr>
        <w:t xml:space="preserve">رين الإسلاميين، سواء في الماضي أم في </w:t>
      </w:r>
      <w:r w:rsidR="00AC49DD" w:rsidRPr="00904FCB">
        <w:rPr>
          <w:rFonts w:hint="cs"/>
          <w:rtl/>
          <w:lang w:bidi="ar-AE"/>
        </w:rPr>
        <w:t>ا</w:t>
      </w:r>
      <w:r w:rsidRPr="00904FCB">
        <w:rPr>
          <w:rFonts w:hint="cs"/>
          <w:rtl/>
          <w:lang w:bidi="ar-AE"/>
        </w:rPr>
        <w:t>لحاضر، يعارضون فكرة التقنين برم</w:t>
      </w:r>
      <w:r w:rsidR="00AC49DD" w:rsidRPr="00904FCB">
        <w:rPr>
          <w:rFonts w:hint="cs"/>
          <w:rtl/>
          <w:lang w:bidi="ar-AE"/>
        </w:rPr>
        <w:t>ّ</w:t>
      </w:r>
      <w:r w:rsidRPr="00904FCB">
        <w:rPr>
          <w:rFonts w:hint="cs"/>
          <w:rtl/>
          <w:lang w:bidi="ar-AE"/>
        </w:rPr>
        <w:t>تها.</w:t>
      </w:r>
    </w:p>
    <w:p w:rsidR="00952E59" w:rsidRPr="00904FCB" w:rsidRDefault="00952E59" w:rsidP="007A21AA">
      <w:pPr>
        <w:spacing w:line="400" w:lineRule="exact"/>
        <w:rPr>
          <w:rtl/>
          <w:lang w:bidi="ar-AE"/>
        </w:rPr>
      </w:pPr>
      <w:r w:rsidRPr="00904FCB">
        <w:rPr>
          <w:rFonts w:hint="cs"/>
          <w:rtl/>
          <w:lang w:bidi="ar-AE"/>
        </w:rPr>
        <w:t xml:space="preserve">يقول الشيخ فضل الله النوري بهذا الصدد: </w:t>
      </w:r>
      <w:r w:rsidRPr="00904FCB">
        <w:rPr>
          <w:rFonts w:hint="cs"/>
          <w:rtl/>
        </w:rPr>
        <w:t>«</w:t>
      </w:r>
      <w:r w:rsidRPr="00904FCB">
        <w:rPr>
          <w:rFonts w:hint="cs"/>
          <w:rtl/>
          <w:lang w:bidi="ar-AE"/>
        </w:rPr>
        <w:t>نحن لسنا بحاجة إلى وضع دستور للبلاد</w:t>
      </w:r>
      <w:r w:rsidRPr="00904FCB">
        <w:rPr>
          <w:rFonts w:hint="eastAsia"/>
          <w:rtl/>
          <w:lang w:bidi="ar-AE"/>
        </w:rPr>
        <w:t>»</w:t>
      </w:r>
      <w:r w:rsidRPr="00904FCB">
        <w:rPr>
          <w:rFonts w:hint="cs"/>
          <w:rtl/>
          <w:lang w:bidi="ar-AE"/>
        </w:rPr>
        <w:t xml:space="preserve">، </w:t>
      </w:r>
      <w:r w:rsidRPr="00904FCB">
        <w:rPr>
          <w:rFonts w:hint="eastAsia"/>
          <w:rtl/>
          <w:lang w:bidi="ar-AE"/>
        </w:rPr>
        <w:t>«</w:t>
      </w:r>
      <w:r w:rsidRPr="00904FCB">
        <w:rPr>
          <w:rFonts w:hint="cs"/>
          <w:rtl/>
          <w:lang w:bidi="ar-AE"/>
        </w:rPr>
        <w:t>وماذا يعني الدستور الوضعي (الأرضي) أمام القانون الإلهي (الإسلام)</w:t>
      </w:r>
      <w:r w:rsidR="00AC49DD" w:rsidRPr="00904FCB">
        <w:rPr>
          <w:rFonts w:hint="cs"/>
          <w:rtl/>
          <w:lang w:bidi="ar-AE"/>
        </w:rPr>
        <w:t>؟!</w:t>
      </w:r>
      <w:r w:rsidRPr="00904FCB">
        <w:rPr>
          <w:rFonts w:hint="cs"/>
          <w:rtl/>
          <w:lang w:bidi="ar-AE"/>
        </w:rPr>
        <w:t xml:space="preserve"> وما هو دور النبي</w:t>
      </w:r>
      <w:r w:rsidR="00AC49DD" w:rsidRPr="00904FCB">
        <w:rPr>
          <w:rFonts w:hint="cs"/>
          <w:rtl/>
        </w:rPr>
        <w:t>ّ</w:t>
      </w:r>
      <w:r w:rsidR="00635E51" w:rsidRPr="00904FCB">
        <w:rPr>
          <w:rFonts w:cs="Mosawi" w:hint="cs"/>
          <w:szCs w:val="22"/>
          <w:rtl/>
        </w:rPr>
        <w:t>|</w:t>
      </w:r>
      <w:r w:rsidRPr="00904FCB">
        <w:rPr>
          <w:rFonts w:hint="cs"/>
          <w:rtl/>
          <w:lang w:bidi="ar-AE"/>
        </w:rPr>
        <w:t xml:space="preserve"> إذن؟</w:t>
      </w:r>
      <w:r w:rsidRPr="00904FCB">
        <w:rPr>
          <w:rFonts w:hint="eastAsia"/>
          <w:rtl/>
          <w:lang w:bidi="ar-AE"/>
        </w:rPr>
        <w:t>»</w:t>
      </w:r>
      <w:r w:rsidRPr="00904FCB">
        <w:rPr>
          <w:rFonts w:hint="cs"/>
          <w:rtl/>
          <w:lang w:bidi="ar-AE"/>
        </w:rPr>
        <w:t>، و</w:t>
      </w:r>
      <w:r w:rsidRPr="00904FCB">
        <w:rPr>
          <w:rFonts w:hint="eastAsia"/>
          <w:rtl/>
          <w:lang w:bidi="ar-AE"/>
        </w:rPr>
        <w:t>«</w:t>
      </w:r>
      <w:r w:rsidRPr="00904FCB">
        <w:rPr>
          <w:rFonts w:hint="cs"/>
          <w:rtl/>
          <w:lang w:bidi="ar-AE"/>
        </w:rPr>
        <w:t>ماذا يعني تدوين الدستور حينما نمتلك نحن المسلمين أفضل دستور</w:t>
      </w:r>
      <w:r w:rsidR="00AC49DD" w:rsidRPr="00904FCB">
        <w:rPr>
          <w:rFonts w:hint="cs"/>
          <w:rtl/>
          <w:lang w:bidi="ar-AE"/>
        </w:rPr>
        <w:t>،</w:t>
      </w:r>
      <w:r w:rsidRPr="00904FCB">
        <w:rPr>
          <w:rFonts w:hint="cs"/>
          <w:rtl/>
          <w:lang w:bidi="ar-AE"/>
        </w:rPr>
        <w:t xml:space="preserve"> وهو الإسلام</w:t>
      </w:r>
      <w:r w:rsidR="00AC49DD" w:rsidRPr="00904FCB">
        <w:rPr>
          <w:rFonts w:hint="cs"/>
          <w:rtl/>
          <w:lang w:bidi="ar-AE"/>
        </w:rPr>
        <w:t>؟!</w:t>
      </w:r>
      <w:r w:rsidRPr="00904FCB">
        <w:rPr>
          <w:rFonts w:hint="eastAsia"/>
          <w:rtl/>
          <w:lang w:bidi="ar-AE"/>
        </w:rPr>
        <w:t>»</w:t>
      </w:r>
      <w:r w:rsidRPr="00904FCB">
        <w:rPr>
          <w:rFonts w:hint="cs"/>
          <w:rtl/>
          <w:lang w:bidi="ar-AE"/>
        </w:rPr>
        <w:t>، ويقول في موضع</w:t>
      </w:r>
      <w:r w:rsidR="00AC49DD" w:rsidRPr="00904FCB">
        <w:rPr>
          <w:rFonts w:hint="cs"/>
          <w:rtl/>
          <w:lang w:bidi="ar-AE"/>
        </w:rPr>
        <w:t>ٍ</w:t>
      </w:r>
      <w:r w:rsidRPr="00904FCB">
        <w:rPr>
          <w:rFonts w:hint="cs"/>
          <w:rtl/>
          <w:lang w:bidi="ar-AE"/>
        </w:rPr>
        <w:t xml:space="preserve"> آخر: </w:t>
      </w:r>
      <w:r w:rsidRPr="00904FCB">
        <w:rPr>
          <w:rFonts w:hint="eastAsia"/>
          <w:rtl/>
          <w:lang w:bidi="ar-AE"/>
        </w:rPr>
        <w:t>«</w:t>
      </w:r>
      <w:r w:rsidRPr="00904FCB">
        <w:rPr>
          <w:rFonts w:hint="cs"/>
          <w:rtl/>
          <w:lang w:bidi="ar-AE"/>
        </w:rPr>
        <w:t>إن قيام الناس بوضع القوانين وتدوين الدساتير إنما يعني أن شريعة النبي</w:t>
      </w:r>
      <w:r w:rsidR="00AC49DD" w:rsidRPr="00904FCB">
        <w:rPr>
          <w:rFonts w:hint="cs"/>
          <w:rtl/>
          <w:lang w:bidi="ar-AE"/>
        </w:rPr>
        <w:t>ّ</w:t>
      </w:r>
      <w:r w:rsidR="00635E51" w:rsidRPr="00904FCB">
        <w:rPr>
          <w:rFonts w:ascii="md_ameli" w:hAnsi="md_ameli" w:cs="Mosawi" w:hint="eastAsia"/>
          <w:szCs w:val="22"/>
          <w:rtl/>
          <w:lang w:bidi="ar-AE"/>
        </w:rPr>
        <w:t>|</w:t>
      </w:r>
      <w:r w:rsidRPr="00904FCB">
        <w:rPr>
          <w:rFonts w:hint="cs"/>
          <w:rtl/>
          <w:lang w:bidi="ar-AE"/>
        </w:rPr>
        <w:t xml:space="preserve"> وقوانينه لم تكن تام</w:t>
      </w:r>
      <w:r w:rsidR="00AC49DD" w:rsidRPr="00904FCB">
        <w:rPr>
          <w:rFonts w:hint="cs"/>
          <w:rtl/>
          <w:lang w:bidi="ar-AE"/>
        </w:rPr>
        <w:t>ّ</w:t>
      </w:r>
      <w:r w:rsidRPr="00904FCB">
        <w:rPr>
          <w:rFonts w:hint="cs"/>
          <w:rtl/>
          <w:lang w:bidi="ar-AE"/>
        </w:rPr>
        <w:t xml:space="preserve">ة، أو </w:t>
      </w:r>
      <w:r w:rsidR="00AC49DD" w:rsidRPr="00904FCB">
        <w:rPr>
          <w:rFonts w:hint="cs"/>
          <w:rtl/>
          <w:lang w:bidi="ar-AE"/>
        </w:rPr>
        <w:t>أ</w:t>
      </w:r>
      <w:r w:rsidRPr="00904FCB">
        <w:rPr>
          <w:rFonts w:hint="cs"/>
          <w:rtl/>
          <w:lang w:bidi="ar-AE"/>
        </w:rPr>
        <w:t>ن الإسلام (الذي فرض على الناس تدوين الدستور) قد أغفل هذا الأمر. ومثل هذا الاعتقاد من شأنه إخراج المسلم عن المل</w:t>
      </w:r>
      <w:r w:rsidR="00AC49DD" w:rsidRPr="00904FCB">
        <w:rPr>
          <w:rFonts w:hint="cs"/>
          <w:rtl/>
          <w:lang w:bidi="ar-AE"/>
        </w:rPr>
        <w:t>ّة</w:t>
      </w:r>
      <w:r w:rsidRPr="00904FCB">
        <w:rPr>
          <w:rFonts w:hint="cs"/>
          <w:rtl/>
          <w:lang w:bidi="ar-AE"/>
        </w:rPr>
        <w:t>... وم</w:t>
      </w:r>
      <w:r w:rsidR="00AC49DD" w:rsidRPr="00904FCB">
        <w:rPr>
          <w:rFonts w:hint="cs"/>
          <w:rtl/>
          <w:lang w:bidi="ar-AE"/>
        </w:rPr>
        <w:t>َ</w:t>
      </w:r>
      <w:r w:rsidRPr="00904FCB">
        <w:rPr>
          <w:rFonts w:hint="cs"/>
          <w:rtl/>
          <w:lang w:bidi="ar-AE"/>
        </w:rPr>
        <w:t>ن</w:t>
      </w:r>
      <w:r w:rsidR="00AC49DD" w:rsidRPr="00904FCB">
        <w:rPr>
          <w:rFonts w:hint="cs"/>
          <w:rtl/>
          <w:lang w:bidi="ar-AE"/>
        </w:rPr>
        <w:t>ْ</w:t>
      </w:r>
      <w:r w:rsidRPr="00904FCB">
        <w:rPr>
          <w:rFonts w:hint="cs"/>
          <w:rtl/>
          <w:lang w:bidi="ar-AE"/>
        </w:rPr>
        <w:t xml:space="preserve"> أراد أن يكتب الدستور (يريد بذلك نو</w:t>
      </w:r>
      <w:r w:rsidR="00AC49DD" w:rsidRPr="00904FCB">
        <w:rPr>
          <w:rFonts w:hint="cs"/>
          <w:rtl/>
          <w:lang w:bidi="ar-AE"/>
        </w:rPr>
        <w:t>ّ</w:t>
      </w:r>
      <w:r w:rsidRPr="00904FCB">
        <w:rPr>
          <w:rFonts w:hint="cs"/>
          <w:rtl/>
          <w:lang w:bidi="ar-AE"/>
        </w:rPr>
        <w:t>اب المجلس) فقد عزم على فعل</w:t>
      </w:r>
      <w:r w:rsidR="00AC49DD" w:rsidRPr="00904FCB">
        <w:rPr>
          <w:rFonts w:hint="cs"/>
          <w:rtl/>
          <w:lang w:bidi="ar-AE"/>
        </w:rPr>
        <w:t>ٍ</w:t>
      </w:r>
      <w:r w:rsidRPr="00904FCB">
        <w:rPr>
          <w:rFonts w:hint="cs"/>
          <w:rtl/>
          <w:lang w:bidi="ar-AE"/>
        </w:rPr>
        <w:t xml:space="preserve"> اختص</w:t>
      </w:r>
      <w:r w:rsidR="00AC49DD" w:rsidRPr="00904FCB">
        <w:rPr>
          <w:rFonts w:hint="cs"/>
          <w:rtl/>
          <w:lang w:bidi="ar-AE"/>
        </w:rPr>
        <w:t>ّ</w:t>
      </w:r>
      <w:r w:rsidRPr="00904FCB">
        <w:rPr>
          <w:rFonts w:hint="cs"/>
          <w:rtl/>
          <w:lang w:bidi="ar-AE"/>
        </w:rPr>
        <w:t xml:space="preserve"> به الرسول الكريم، بالإضافة إلى أن إقرار القوانين هو </w:t>
      </w:r>
      <w:r w:rsidRPr="00904FCB">
        <w:rPr>
          <w:rFonts w:hint="cs"/>
          <w:rtl/>
          <w:lang w:bidi="ar-AE"/>
        </w:rPr>
        <w:lastRenderedPageBreak/>
        <w:t>بمثابة الإقرار بنقصان الشريعة الإسلامية</w:t>
      </w:r>
      <w:r w:rsidRPr="00904FCB">
        <w:rPr>
          <w:rFonts w:hint="eastAsia"/>
          <w:rtl/>
          <w:lang w:bidi="ar-AE"/>
        </w:rPr>
        <w:t>»</w:t>
      </w:r>
      <w:r w:rsidRPr="00904FCB">
        <w:rPr>
          <w:rFonts w:hint="cs"/>
          <w:rtl/>
          <w:lang w:bidi="ar-AE"/>
        </w:rPr>
        <w:t>.</w:t>
      </w:r>
    </w:p>
    <w:p w:rsidR="00952E59" w:rsidRPr="00904FCB" w:rsidRDefault="00952E59" w:rsidP="007A21AA">
      <w:pPr>
        <w:spacing w:line="400" w:lineRule="exact"/>
        <w:rPr>
          <w:rtl/>
          <w:lang w:bidi="ar-AE"/>
        </w:rPr>
      </w:pPr>
      <w:r w:rsidRPr="00904FCB">
        <w:rPr>
          <w:rFonts w:hint="cs"/>
          <w:rtl/>
          <w:lang w:bidi="ar-AE"/>
        </w:rPr>
        <w:t>بناءً على ذلك فالذي نستخلصه من رؤية الشيخ الشهيد هو أن التقنين</w:t>
      </w:r>
      <w:r w:rsidR="00AC49DD" w:rsidRPr="00904FCB">
        <w:rPr>
          <w:rFonts w:hint="cs"/>
          <w:rtl/>
          <w:lang w:bidi="ar-AE"/>
        </w:rPr>
        <w:t>،</w:t>
      </w:r>
      <w:r w:rsidRPr="00904FCB">
        <w:rPr>
          <w:rFonts w:hint="cs"/>
          <w:rtl/>
          <w:lang w:bidi="ar-AE"/>
        </w:rPr>
        <w:t xml:space="preserve"> بل والقوة المقننة بأسرها</w:t>
      </w:r>
      <w:r w:rsidR="00AC49DD" w:rsidRPr="00904FCB">
        <w:rPr>
          <w:rFonts w:hint="cs"/>
          <w:rtl/>
          <w:lang w:bidi="ar-AE"/>
        </w:rPr>
        <w:t>،</w:t>
      </w:r>
      <w:r w:rsidRPr="00904FCB">
        <w:rPr>
          <w:rFonts w:hint="cs"/>
          <w:rtl/>
          <w:lang w:bidi="ar-AE"/>
        </w:rPr>
        <w:t xml:space="preserve"> إنما هي مصادرة لمهام</w:t>
      </w:r>
      <w:r w:rsidR="00AC49DD" w:rsidRPr="00904FCB">
        <w:rPr>
          <w:rFonts w:hint="cs"/>
          <w:rtl/>
          <w:lang w:bidi="ar-AE"/>
        </w:rPr>
        <w:t>ّ</w:t>
      </w:r>
      <w:r w:rsidRPr="00904FCB">
        <w:rPr>
          <w:rFonts w:hint="cs"/>
          <w:rtl/>
          <w:lang w:bidi="ar-AE"/>
        </w:rPr>
        <w:t xml:space="preserve"> النبي</w:t>
      </w:r>
      <w:r w:rsidR="00AC49DD" w:rsidRPr="00904FCB">
        <w:rPr>
          <w:rFonts w:hint="cs"/>
          <w:rtl/>
          <w:lang w:bidi="ar-AE"/>
        </w:rPr>
        <w:t>ّ</w:t>
      </w:r>
      <w:r w:rsidRPr="00904FCB">
        <w:rPr>
          <w:rFonts w:hint="cs"/>
          <w:rtl/>
          <w:lang w:bidi="ar-AE"/>
        </w:rPr>
        <w:t xml:space="preserve"> من جهة</w:t>
      </w:r>
      <w:r w:rsidR="00AC49DD" w:rsidRPr="00904FCB">
        <w:rPr>
          <w:rFonts w:hint="cs"/>
          <w:rtl/>
          <w:lang w:bidi="ar-AE"/>
        </w:rPr>
        <w:t>،</w:t>
      </w:r>
      <w:r w:rsidRPr="00904FCB">
        <w:rPr>
          <w:rFonts w:hint="cs"/>
          <w:rtl/>
          <w:lang w:bidi="ar-AE"/>
        </w:rPr>
        <w:t xml:space="preserve"> ومصادرة لسلطته وصلاحياته</w:t>
      </w:r>
      <w:r w:rsidR="00635E51" w:rsidRPr="00904FCB">
        <w:rPr>
          <w:rFonts w:ascii="md_ameli" w:hAnsi="md_ameli" w:cs="Mosawi" w:hint="eastAsia"/>
          <w:szCs w:val="22"/>
          <w:rtl/>
          <w:lang w:bidi="ar-AE"/>
        </w:rPr>
        <w:t>|</w:t>
      </w:r>
      <w:r w:rsidRPr="00904FCB">
        <w:rPr>
          <w:rFonts w:hint="cs"/>
          <w:rtl/>
          <w:lang w:bidi="ar-AE"/>
        </w:rPr>
        <w:t xml:space="preserve"> من جهة</w:t>
      </w:r>
      <w:r w:rsidR="00AC49DD" w:rsidRPr="00904FCB">
        <w:rPr>
          <w:rFonts w:hint="cs"/>
          <w:rtl/>
          <w:lang w:bidi="ar-AE"/>
        </w:rPr>
        <w:t>ٍ</w:t>
      </w:r>
      <w:r w:rsidRPr="00904FCB">
        <w:rPr>
          <w:rFonts w:hint="cs"/>
          <w:rtl/>
          <w:lang w:bidi="ar-AE"/>
        </w:rPr>
        <w:t xml:space="preserve"> أخرى</w:t>
      </w:r>
      <w:r w:rsidRPr="00904FCB">
        <w:rPr>
          <w:rFonts w:hint="cs"/>
          <w:vertAlign w:val="superscript"/>
          <w:rtl/>
        </w:rPr>
        <w:t>(</w:t>
      </w:r>
      <w:r w:rsidRPr="00904FCB">
        <w:rPr>
          <w:vertAlign w:val="superscript"/>
        </w:rPr>
        <w:endnoteReference w:id="338"/>
      </w:r>
      <w:r w:rsidRPr="00904FCB">
        <w:rPr>
          <w:rFonts w:hint="cs"/>
          <w:vertAlign w:val="superscript"/>
          <w:rtl/>
        </w:rPr>
        <w:t>)</w:t>
      </w:r>
      <w:r w:rsidRPr="00904FCB">
        <w:rPr>
          <w:rFonts w:hint="cs"/>
          <w:rtl/>
          <w:lang w:bidi="ar-AE"/>
        </w:rPr>
        <w:t>.</w:t>
      </w:r>
      <w:r w:rsidRPr="00904FCB">
        <w:rPr>
          <w:rFonts w:hint="cs"/>
          <w:b/>
          <w:bCs/>
          <w:rtl/>
        </w:rPr>
        <w:t xml:space="preserve"> </w:t>
      </w:r>
    </w:p>
    <w:p w:rsidR="00952E59" w:rsidRPr="00904FCB" w:rsidRDefault="00952E59" w:rsidP="00857013">
      <w:pPr>
        <w:spacing w:line="400" w:lineRule="exact"/>
        <w:rPr>
          <w:rtl/>
          <w:lang w:bidi="ar-AE"/>
        </w:rPr>
      </w:pPr>
      <w:r w:rsidRPr="00904FCB">
        <w:rPr>
          <w:rFonts w:hint="cs"/>
          <w:rtl/>
          <w:lang w:bidi="ar-AE"/>
        </w:rPr>
        <w:t>الإشكالية الأخرى التي يوردها هؤلاء تستهدف أسلوب اتخاذ القرارات. ففي الأنظمة الحديثة تت</w:t>
      </w:r>
      <w:r w:rsidR="00AC49DD" w:rsidRPr="00904FCB">
        <w:rPr>
          <w:rFonts w:hint="cs"/>
          <w:rtl/>
          <w:lang w:bidi="ar-AE"/>
        </w:rPr>
        <w:t>ّ</w:t>
      </w:r>
      <w:r w:rsidRPr="00904FCB">
        <w:rPr>
          <w:rFonts w:hint="cs"/>
          <w:rtl/>
          <w:lang w:bidi="ar-AE"/>
        </w:rPr>
        <w:t>خذ القرارات عن طريق كسب أغلبية الآراء</w:t>
      </w:r>
      <w:r w:rsidR="00857013">
        <w:rPr>
          <w:rFonts w:hint="cs"/>
          <w:rtl/>
          <w:lang w:bidi="ar-AE"/>
        </w:rPr>
        <w:t>،</w:t>
      </w:r>
      <w:r w:rsidRPr="00904FCB">
        <w:rPr>
          <w:rFonts w:hint="cs"/>
          <w:rtl/>
          <w:lang w:bidi="ar-AE"/>
        </w:rPr>
        <w:t xml:space="preserve"> والأغلبية هي الحاسمة للأمور في شت</w:t>
      </w:r>
      <w:r w:rsidR="00AC49DD" w:rsidRPr="00904FCB">
        <w:rPr>
          <w:rFonts w:hint="cs"/>
          <w:rtl/>
          <w:lang w:bidi="ar-AE"/>
        </w:rPr>
        <w:t>ّ</w:t>
      </w:r>
      <w:r w:rsidRPr="00904FCB">
        <w:rPr>
          <w:rFonts w:hint="cs"/>
          <w:rtl/>
          <w:lang w:bidi="ar-AE"/>
        </w:rPr>
        <w:t>ى الميادين. لكن</w:t>
      </w:r>
      <w:r w:rsidR="00AC49DD" w:rsidRPr="00904FCB">
        <w:rPr>
          <w:rFonts w:hint="cs"/>
          <w:rtl/>
          <w:lang w:bidi="ar-AE"/>
        </w:rPr>
        <w:t>ّ</w:t>
      </w:r>
      <w:r w:rsidRPr="00904FCB">
        <w:rPr>
          <w:rFonts w:hint="cs"/>
          <w:rtl/>
          <w:lang w:bidi="ar-AE"/>
        </w:rPr>
        <w:t xml:space="preserve"> جملة</w:t>
      </w:r>
      <w:r w:rsidR="00AC49DD" w:rsidRPr="00904FCB">
        <w:rPr>
          <w:rFonts w:hint="cs"/>
          <w:rtl/>
          <w:lang w:bidi="ar-AE"/>
        </w:rPr>
        <w:t>ً</w:t>
      </w:r>
      <w:r w:rsidRPr="00904FCB">
        <w:rPr>
          <w:rFonts w:hint="cs"/>
          <w:rtl/>
          <w:lang w:bidi="ar-AE"/>
        </w:rPr>
        <w:t xml:space="preserve"> من المفك</w:t>
      </w:r>
      <w:r w:rsidR="00AC49DD" w:rsidRPr="00904FCB">
        <w:rPr>
          <w:rFonts w:hint="cs"/>
          <w:rtl/>
          <w:lang w:bidi="ar-AE"/>
        </w:rPr>
        <w:t>ِّ</w:t>
      </w:r>
      <w:r w:rsidRPr="00904FCB">
        <w:rPr>
          <w:rFonts w:hint="cs"/>
          <w:rtl/>
          <w:lang w:bidi="ar-AE"/>
        </w:rPr>
        <w:t>رين الإسلاميين (كالشيخ فضل الله</w:t>
      </w:r>
      <w:r w:rsidR="00AC49DD" w:rsidRPr="00904FCB">
        <w:rPr>
          <w:rFonts w:hint="cs"/>
          <w:rtl/>
          <w:lang w:bidi="ar-AE"/>
        </w:rPr>
        <w:t xml:space="preserve"> النوري،</w:t>
      </w:r>
      <w:r w:rsidRPr="00904FCB">
        <w:rPr>
          <w:rFonts w:hint="cs"/>
          <w:rtl/>
          <w:lang w:bidi="ar-AE"/>
        </w:rPr>
        <w:t xml:space="preserve"> ومصباح </w:t>
      </w:r>
      <w:r w:rsidR="001C6A8A" w:rsidRPr="00904FCB">
        <w:rPr>
          <w:rFonts w:hint="cs"/>
          <w:rtl/>
          <w:lang w:bidi="ar-AE"/>
        </w:rPr>
        <w:t>ال</w:t>
      </w:r>
      <w:r w:rsidRPr="00904FCB">
        <w:rPr>
          <w:rFonts w:hint="cs"/>
          <w:rtl/>
          <w:lang w:bidi="ar-AE"/>
        </w:rPr>
        <w:t>يزدي) يعتقدون أن اتخاذ القرارات من خلال استقطاب غالبية الآراء مخالف</w:t>
      </w:r>
      <w:r w:rsidR="001C6A8A" w:rsidRPr="00904FCB">
        <w:rPr>
          <w:rFonts w:hint="cs"/>
          <w:rtl/>
          <w:lang w:bidi="ar-AE"/>
        </w:rPr>
        <w:t>ٌ</w:t>
      </w:r>
      <w:r w:rsidRPr="00904FCB">
        <w:rPr>
          <w:rFonts w:hint="cs"/>
          <w:rtl/>
          <w:lang w:bidi="ar-AE"/>
        </w:rPr>
        <w:t xml:space="preserve"> للشريعة الإسلامية</w:t>
      </w:r>
      <w:r w:rsidR="001C6A8A" w:rsidRPr="00904FCB">
        <w:rPr>
          <w:rFonts w:hint="cs"/>
          <w:rtl/>
          <w:lang w:bidi="ar-AE"/>
        </w:rPr>
        <w:t>، و</w:t>
      </w:r>
      <w:r w:rsidRPr="00904FCB">
        <w:rPr>
          <w:rFonts w:hint="eastAsia"/>
          <w:rtl/>
          <w:lang w:bidi="ar-AE"/>
        </w:rPr>
        <w:t>«</w:t>
      </w:r>
      <w:r w:rsidRPr="00904FCB">
        <w:rPr>
          <w:rFonts w:hint="cs"/>
          <w:rtl/>
          <w:lang w:bidi="ar-AE"/>
        </w:rPr>
        <w:t>آلية اتخاذ القرارات عن طريق كسب الأغلبية لا اعتبار لها في مذهب الإمامية</w:t>
      </w:r>
      <w:r w:rsidR="001C6A8A" w:rsidRPr="00904FCB">
        <w:rPr>
          <w:rFonts w:hint="cs"/>
          <w:rtl/>
          <w:lang w:bidi="ar-AE"/>
        </w:rPr>
        <w:t>،</w:t>
      </w:r>
      <w:r w:rsidRPr="00904FCB">
        <w:rPr>
          <w:rFonts w:hint="cs"/>
          <w:rtl/>
          <w:lang w:bidi="ar-AE"/>
        </w:rPr>
        <w:t xml:space="preserve"> كما لا حظّ لها من الصواب</w:t>
      </w:r>
      <w:r w:rsidRPr="00904FCB">
        <w:rPr>
          <w:rFonts w:hint="eastAsia"/>
          <w:rtl/>
          <w:lang w:bidi="ar-AE"/>
        </w:rPr>
        <w:t>»</w:t>
      </w:r>
      <w:r w:rsidRPr="00904FCB">
        <w:rPr>
          <w:rFonts w:hint="cs"/>
          <w:rtl/>
          <w:lang w:bidi="ar-AE"/>
        </w:rPr>
        <w:t>.</w:t>
      </w:r>
    </w:p>
    <w:p w:rsidR="00952E59" w:rsidRPr="00904FCB" w:rsidRDefault="00952E59" w:rsidP="007A21AA">
      <w:pPr>
        <w:spacing w:line="400" w:lineRule="exact"/>
        <w:rPr>
          <w:rtl/>
          <w:lang w:bidi="ar-AE"/>
        </w:rPr>
      </w:pPr>
      <w:r w:rsidRPr="00904FCB">
        <w:rPr>
          <w:rFonts w:hint="cs"/>
          <w:rtl/>
          <w:lang w:bidi="ar-AE"/>
        </w:rPr>
        <w:t xml:space="preserve">إن هذا الموقف يعكس </w:t>
      </w:r>
      <w:r w:rsidRPr="00904FCB">
        <w:rPr>
          <w:rFonts w:hint="cs"/>
          <w:b/>
          <w:bCs/>
          <w:rtl/>
          <w:lang w:bidi="ar-AE"/>
        </w:rPr>
        <w:t>أو</w:t>
      </w:r>
      <w:r w:rsidR="001C6A8A" w:rsidRPr="00904FCB">
        <w:rPr>
          <w:rFonts w:hint="cs"/>
          <w:b/>
          <w:bCs/>
          <w:rtl/>
          <w:lang w:bidi="ar-AE"/>
        </w:rPr>
        <w:t>ّ</w:t>
      </w:r>
      <w:r w:rsidRPr="00904FCB">
        <w:rPr>
          <w:rFonts w:hint="cs"/>
          <w:b/>
          <w:bCs/>
          <w:rtl/>
          <w:lang w:bidi="ar-AE"/>
        </w:rPr>
        <w:t>لاً</w:t>
      </w:r>
      <w:r w:rsidRPr="00904FCB">
        <w:rPr>
          <w:rFonts w:hint="cs"/>
          <w:rtl/>
          <w:lang w:bidi="ar-AE"/>
        </w:rPr>
        <w:t>: مدى غفلة هؤلاء عن التعقيدات التي تضج</w:t>
      </w:r>
      <w:r w:rsidR="001C6A8A" w:rsidRPr="00904FCB">
        <w:rPr>
          <w:rFonts w:hint="cs"/>
          <w:rtl/>
          <w:lang w:bidi="ar-AE"/>
        </w:rPr>
        <w:t>ّ</w:t>
      </w:r>
      <w:r w:rsidRPr="00904FCB">
        <w:rPr>
          <w:rFonts w:hint="cs"/>
          <w:rtl/>
          <w:lang w:bidi="ar-AE"/>
        </w:rPr>
        <w:t xml:space="preserve"> بها المجتمعات المعاصرة</w:t>
      </w:r>
      <w:r w:rsidR="001C6A8A" w:rsidRPr="00904FCB">
        <w:rPr>
          <w:rFonts w:hint="cs"/>
          <w:rtl/>
          <w:lang w:bidi="ar-AE"/>
        </w:rPr>
        <w:t>،</w:t>
      </w:r>
      <w:r w:rsidRPr="00904FCB">
        <w:rPr>
          <w:rFonts w:hint="cs"/>
          <w:rtl/>
          <w:lang w:bidi="ar-AE"/>
        </w:rPr>
        <w:t xml:space="preserve"> والتي تحتاج وبشد</w:t>
      </w:r>
      <w:r w:rsidR="001C6A8A" w:rsidRPr="00904FCB">
        <w:rPr>
          <w:rFonts w:hint="cs"/>
          <w:rtl/>
          <w:lang w:bidi="ar-AE"/>
        </w:rPr>
        <w:t>ّ</w:t>
      </w:r>
      <w:r w:rsidRPr="00904FCB">
        <w:rPr>
          <w:rFonts w:hint="cs"/>
          <w:rtl/>
          <w:lang w:bidi="ar-AE"/>
        </w:rPr>
        <w:t>ة</w:t>
      </w:r>
      <w:r w:rsidR="001C6A8A" w:rsidRPr="00904FCB">
        <w:rPr>
          <w:rFonts w:hint="cs"/>
          <w:rtl/>
          <w:lang w:bidi="ar-AE"/>
        </w:rPr>
        <w:t>ٍ</w:t>
      </w:r>
      <w:r w:rsidRPr="00904FCB">
        <w:rPr>
          <w:rFonts w:hint="cs"/>
          <w:rtl/>
          <w:lang w:bidi="ar-AE"/>
        </w:rPr>
        <w:t xml:space="preserve"> إلى دستور ت</w:t>
      </w:r>
      <w:r w:rsidR="00857013">
        <w:rPr>
          <w:rFonts w:hint="cs"/>
          <w:rtl/>
          <w:lang w:bidi="ar-AE"/>
        </w:rPr>
        <w:t>ُ</w:t>
      </w:r>
      <w:r w:rsidRPr="00904FCB">
        <w:rPr>
          <w:rFonts w:hint="cs"/>
          <w:rtl/>
          <w:lang w:bidi="ar-AE"/>
        </w:rPr>
        <w:t>دار به شؤون البلدان ومجتمعاتها</w:t>
      </w:r>
      <w:r w:rsidR="001C6A8A" w:rsidRPr="00904FCB">
        <w:rPr>
          <w:rFonts w:hint="cs"/>
          <w:rtl/>
          <w:lang w:bidi="ar-AE"/>
        </w:rPr>
        <w:t>؛</w:t>
      </w:r>
      <w:r w:rsidRPr="00904FCB">
        <w:rPr>
          <w:rFonts w:hint="cs"/>
          <w:rtl/>
          <w:lang w:bidi="ar-AE"/>
        </w:rPr>
        <w:t xml:space="preserve"> </w:t>
      </w:r>
      <w:r w:rsidRPr="00904FCB">
        <w:rPr>
          <w:rFonts w:hint="cs"/>
          <w:b/>
          <w:bCs/>
          <w:rtl/>
          <w:lang w:bidi="ar-AE"/>
        </w:rPr>
        <w:t>وثانياً</w:t>
      </w:r>
      <w:r w:rsidRPr="00904FCB">
        <w:rPr>
          <w:rFonts w:hint="cs"/>
          <w:rtl/>
          <w:lang w:bidi="ar-AE"/>
        </w:rPr>
        <w:t>: تسطيحهم لدور القوة المقن</w:t>
      </w:r>
      <w:r w:rsidR="001C6A8A" w:rsidRPr="00904FCB">
        <w:rPr>
          <w:rFonts w:hint="cs"/>
          <w:rtl/>
          <w:lang w:bidi="ar-AE"/>
        </w:rPr>
        <w:t>ّ</w:t>
      </w:r>
      <w:r w:rsidRPr="00904FCB">
        <w:rPr>
          <w:rFonts w:hint="cs"/>
          <w:rtl/>
          <w:lang w:bidi="ar-AE"/>
        </w:rPr>
        <w:t>نة</w:t>
      </w:r>
      <w:r w:rsidR="001C6A8A" w:rsidRPr="00904FCB">
        <w:rPr>
          <w:rFonts w:hint="cs"/>
          <w:rtl/>
          <w:lang w:bidi="ar-AE"/>
        </w:rPr>
        <w:t>،</w:t>
      </w:r>
      <w:r w:rsidRPr="00904FCB">
        <w:rPr>
          <w:rFonts w:hint="cs"/>
          <w:rtl/>
          <w:lang w:bidi="ar-AE"/>
        </w:rPr>
        <w:t xml:space="preserve"> وتهميشهم لمهامها. والقو</w:t>
      </w:r>
      <w:r w:rsidR="001C6A8A" w:rsidRPr="00904FCB">
        <w:rPr>
          <w:rFonts w:hint="cs"/>
          <w:rtl/>
          <w:lang w:bidi="ar-AE"/>
        </w:rPr>
        <w:t>ّ</w:t>
      </w:r>
      <w:r w:rsidRPr="00904FCB">
        <w:rPr>
          <w:rFonts w:hint="cs"/>
          <w:rtl/>
          <w:lang w:bidi="ar-AE"/>
        </w:rPr>
        <w:t>ة المقننة</w:t>
      </w:r>
      <w:r w:rsidR="001C6A8A" w:rsidRPr="00904FCB">
        <w:rPr>
          <w:rFonts w:hint="cs"/>
          <w:rtl/>
          <w:lang w:bidi="ar-AE"/>
        </w:rPr>
        <w:t>،</w:t>
      </w:r>
      <w:r w:rsidRPr="00904FCB">
        <w:rPr>
          <w:rFonts w:hint="cs"/>
          <w:rtl/>
          <w:lang w:bidi="ar-AE"/>
        </w:rPr>
        <w:t xml:space="preserve"> كما هو واضح</w:t>
      </w:r>
      <w:r w:rsidR="001C6A8A" w:rsidRPr="00904FCB">
        <w:rPr>
          <w:rFonts w:hint="cs"/>
          <w:rtl/>
          <w:lang w:bidi="ar-AE"/>
        </w:rPr>
        <w:t>ٌ</w:t>
      </w:r>
      <w:r w:rsidRPr="00904FCB">
        <w:rPr>
          <w:rFonts w:hint="cs"/>
          <w:rtl/>
          <w:lang w:bidi="ar-AE"/>
        </w:rPr>
        <w:t>، ليست بديلاً عن الشريعة أو الدين.</w:t>
      </w:r>
    </w:p>
    <w:p w:rsidR="00952E59" w:rsidRPr="00904FCB" w:rsidRDefault="00952E59" w:rsidP="007A21AA">
      <w:pPr>
        <w:spacing w:line="400" w:lineRule="exact"/>
        <w:rPr>
          <w:rtl/>
          <w:lang w:bidi="ar-AE"/>
        </w:rPr>
      </w:pPr>
    </w:p>
    <w:p w:rsidR="00952E59" w:rsidRPr="00904FCB" w:rsidRDefault="00952E59" w:rsidP="007A21AA">
      <w:pPr>
        <w:pStyle w:val="31"/>
        <w:spacing w:line="400" w:lineRule="exact"/>
        <w:rPr>
          <w:color w:val="auto"/>
          <w:rtl/>
          <w:lang w:bidi="ar-AE"/>
        </w:rPr>
      </w:pPr>
      <w:r w:rsidRPr="009640F7">
        <w:rPr>
          <w:rFonts w:hint="cs"/>
          <w:color w:val="auto"/>
          <w:rtl/>
          <w:lang w:bidi="ar-AE"/>
        </w:rPr>
        <w:t>2ـ</w:t>
      </w:r>
      <w:r w:rsidRPr="00904FCB">
        <w:rPr>
          <w:rFonts w:hint="cs"/>
          <w:color w:val="auto"/>
          <w:rtl/>
          <w:lang w:bidi="ar-AE"/>
        </w:rPr>
        <w:t xml:space="preserve"> الح</w:t>
      </w:r>
      <w:r w:rsidR="00857013">
        <w:rPr>
          <w:rFonts w:hint="cs"/>
          <w:color w:val="auto"/>
          <w:rtl/>
          <w:lang w:bidi="ar-AE"/>
        </w:rPr>
        <w:t>ُ</w:t>
      </w:r>
      <w:r w:rsidRPr="00904FCB">
        <w:rPr>
          <w:rFonts w:hint="cs"/>
          <w:color w:val="auto"/>
          <w:rtl/>
          <w:lang w:bidi="ar-AE"/>
        </w:rPr>
        <w:t>ر</w:t>
      </w:r>
      <w:r w:rsidR="001C6A8A" w:rsidRPr="00904FCB">
        <w:rPr>
          <w:rFonts w:hint="cs"/>
          <w:color w:val="auto"/>
          <w:rtl/>
          <w:lang w:bidi="ar-AE"/>
        </w:rPr>
        <w:t>ّ</w:t>
      </w:r>
      <w:r w:rsidR="00857013">
        <w:rPr>
          <w:rFonts w:hint="cs"/>
          <w:color w:val="auto"/>
          <w:rtl/>
          <w:lang w:bidi="ar-AE"/>
        </w:rPr>
        <w:t>ِ</w:t>
      </w:r>
      <w:r w:rsidRPr="00904FCB">
        <w:rPr>
          <w:rFonts w:hint="cs"/>
          <w:color w:val="auto"/>
          <w:rtl/>
          <w:lang w:bidi="ar-AE"/>
        </w:rPr>
        <w:t>ية</w:t>
      </w:r>
    </w:p>
    <w:p w:rsidR="00952E59" w:rsidRPr="00904FCB" w:rsidRDefault="00952E59" w:rsidP="007A21AA">
      <w:pPr>
        <w:spacing w:line="400" w:lineRule="exact"/>
        <w:rPr>
          <w:rtl/>
          <w:lang w:bidi="ar-AE"/>
        </w:rPr>
      </w:pPr>
      <w:r w:rsidRPr="00904FCB">
        <w:rPr>
          <w:rFonts w:hint="cs"/>
          <w:rtl/>
          <w:lang w:bidi="ar-AE"/>
        </w:rPr>
        <w:t xml:space="preserve">تعد </w:t>
      </w:r>
      <w:r w:rsidRPr="00904FCB">
        <w:rPr>
          <w:rFonts w:hint="eastAsia"/>
          <w:rtl/>
          <w:lang w:bidi="ar-AE"/>
        </w:rPr>
        <w:t>«</w:t>
      </w:r>
      <w:r w:rsidRPr="00904FCB">
        <w:rPr>
          <w:rFonts w:hint="cs"/>
          <w:rtl/>
          <w:lang w:bidi="ar-AE"/>
        </w:rPr>
        <w:t>الحر</w:t>
      </w:r>
      <w:r w:rsidR="001C6A8A" w:rsidRPr="00904FCB">
        <w:rPr>
          <w:rFonts w:hint="cs"/>
          <w:rtl/>
          <w:lang w:bidi="ar-AE"/>
        </w:rPr>
        <w:t>ّ</w:t>
      </w:r>
      <w:r w:rsidRPr="00904FCB">
        <w:rPr>
          <w:rFonts w:hint="cs"/>
          <w:rtl/>
          <w:lang w:bidi="ar-AE"/>
        </w:rPr>
        <w:t>ية</w:t>
      </w:r>
      <w:r w:rsidRPr="00904FCB">
        <w:rPr>
          <w:rFonts w:hint="eastAsia"/>
          <w:rtl/>
          <w:lang w:bidi="ar-AE"/>
        </w:rPr>
        <w:t>»</w:t>
      </w:r>
      <w:r w:rsidRPr="00904FCB">
        <w:rPr>
          <w:rFonts w:hint="cs"/>
          <w:rtl/>
          <w:lang w:bidi="ar-AE"/>
        </w:rPr>
        <w:t xml:space="preserve"> من أبرز حقوق الإنسان</w:t>
      </w:r>
      <w:r w:rsidR="001C6A8A" w:rsidRPr="00904FCB">
        <w:rPr>
          <w:rFonts w:hint="cs"/>
          <w:rtl/>
          <w:lang w:bidi="ar-AE"/>
        </w:rPr>
        <w:t xml:space="preserve">، </w:t>
      </w:r>
      <w:r w:rsidRPr="00904FCB">
        <w:rPr>
          <w:rFonts w:hint="cs"/>
          <w:rtl/>
          <w:lang w:bidi="ar-AE"/>
        </w:rPr>
        <w:t>ومن أهم</w:t>
      </w:r>
      <w:r w:rsidR="001C6A8A" w:rsidRPr="00904FCB">
        <w:rPr>
          <w:rFonts w:hint="cs"/>
          <w:rtl/>
          <w:lang w:bidi="ar-AE"/>
        </w:rPr>
        <w:t>ّ</w:t>
      </w:r>
      <w:r w:rsidRPr="00904FCB">
        <w:rPr>
          <w:rFonts w:hint="cs"/>
          <w:rtl/>
          <w:lang w:bidi="ar-AE"/>
        </w:rPr>
        <w:t xml:space="preserve"> مبادئ الثورة الإسلامية الإيرانية.</w:t>
      </w:r>
      <w:r w:rsidR="001C6A8A" w:rsidRPr="00904FCB">
        <w:rPr>
          <w:rFonts w:hint="cs"/>
          <w:rtl/>
          <w:lang w:bidi="ar-AE"/>
        </w:rPr>
        <w:t xml:space="preserve"> </w:t>
      </w:r>
      <w:r w:rsidRPr="00904FCB">
        <w:rPr>
          <w:rFonts w:hint="cs"/>
          <w:rtl/>
          <w:lang w:bidi="ar-AE"/>
        </w:rPr>
        <w:t>لكن</w:t>
      </w:r>
      <w:r w:rsidR="001C6A8A" w:rsidRPr="00904FCB">
        <w:rPr>
          <w:rFonts w:hint="cs"/>
          <w:rtl/>
          <w:lang w:bidi="ar-AE"/>
        </w:rPr>
        <w:t>ْ</w:t>
      </w:r>
      <w:r w:rsidRPr="00904FCB">
        <w:rPr>
          <w:rFonts w:hint="cs"/>
          <w:rtl/>
          <w:lang w:bidi="ar-AE"/>
        </w:rPr>
        <w:t xml:space="preserve"> ما هو المراد من الحر</w:t>
      </w:r>
      <w:r w:rsidR="001C6A8A" w:rsidRPr="00904FCB">
        <w:rPr>
          <w:rFonts w:hint="cs"/>
          <w:rtl/>
          <w:lang w:bidi="ar-AE"/>
        </w:rPr>
        <w:t>ّ</w:t>
      </w:r>
      <w:r w:rsidRPr="00904FCB">
        <w:rPr>
          <w:rFonts w:hint="cs"/>
          <w:rtl/>
          <w:lang w:bidi="ar-AE"/>
        </w:rPr>
        <w:t xml:space="preserve">ية؟ </w:t>
      </w:r>
    </w:p>
    <w:p w:rsidR="00952E59" w:rsidRPr="00904FCB" w:rsidRDefault="00952E59" w:rsidP="007A21AA">
      <w:pPr>
        <w:spacing w:line="400" w:lineRule="exact"/>
        <w:rPr>
          <w:rtl/>
          <w:lang w:bidi="ar-AE"/>
        </w:rPr>
      </w:pPr>
      <w:r w:rsidRPr="00904FCB">
        <w:rPr>
          <w:rFonts w:hint="cs"/>
          <w:rtl/>
          <w:lang w:bidi="ar-AE"/>
        </w:rPr>
        <w:t>يميل جملة</w:t>
      </w:r>
      <w:r w:rsidR="001C6A8A" w:rsidRPr="00904FCB">
        <w:rPr>
          <w:rFonts w:hint="cs"/>
          <w:rtl/>
          <w:lang w:bidi="ar-AE"/>
        </w:rPr>
        <w:t>ٌ</w:t>
      </w:r>
      <w:r w:rsidRPr="00904FCB">
        <w:rPr>
          <w:rFonts w:hint="cs"/>
          <w:rtl/>
          <w:lang w:bidi="ar-AE"/>
        </w:rPr>
        <w:t xml:space="preserve"> من الباحثين الإسلاميين إلى أن الحر</w:t>
      </w:r>
      <w:r w:rsidR="001C6A8A" w:rsidRPr="00904FCB">
        <w:rPr>
          <w:rFonts w:hint="cs"/>
          <w:rtl/>
          <w:lang w:bidi="ar-AE"/>
        </w:rPr>
        <w:t>ّ</w:t>
      </w:r>
      <w:r w:rsidRPr="00904FCB">
        <w:rPr>
          <w:rFonts w:hint="cs"/>
          <w:rtl/>
          <w:lang w:bidi="ar-AE"/>
        </w:rPr>
        <w:t>ية المطروحة في الحال الحاضر إنما تعني الحر</w:t>
      </w:r>
      <w:r w:rsidR="001C6A8A" w:rsidRPr="00904FCB">
        <w:rPr>
          <w:rFonts w:hint="cs"/>
          <w:rtl/>
          <w:lang w:bidi="ar-AE"/>
        </w:rPr>
        <w:t>ّ</w:t>
      </w:r>
      <w:r w:rsidRPr="00904FCB">
        <w:rPr>
          <w:rFonts w:hint="cs"/>
          <w:rtl/>
          <w:lang w:bidi="ar-AE"/>
        </w:rPr>
        <w:t>ية المطلقة، أي التي لا تخضع لضوابط ولا قيود، على غرار ما في العالم الغربي، وبالتالي لج</w:t>
      </w:r>
      <w:r w:rsidR="001C6A8A" w:rsidRPr="00904FCB">
        <w:rPr>
          <w:rFonts w:hint="cs"/>
          <w:rtl/>
          <w:lang w:bidi="ar-AE"/>
        </w:rPr>
        <w:t>أ</w:t>
      </w:r>
      <w:r w:rsidRPr="00904FCB">
        <w:rPr>
          <w:rFonts w:hint="cs"/>
          <w:rtl/>
          <w:lang w:bidi="ar-AE"/>
        </w:rPr>
        <w:t>وا إلى معارضة الحر</w:t>
      </w:r>
      <w:r w:rsidR="001C6A8A" w:rsidRPr="00904FCB">
        <w:rPr>
          <w:rFonts w:hint="cs"/>
          <w:rtl/>
          <w:lang w:bidi="ar-AE"/>
        </w:rPr>
        <w:t>ّ</w:t>
      </w:r>
      <w:r w:rsidRPr="00904FCB">
        <w:rPr>
          <w:rFonts w:hint="cs"/>
          <w:rtl/>
          <w:lang w:bidi="ar-AE"/>
        </w:rPr>
        <w:t>ية بشكل</w:t>
      </w:r>
      <w:r w:rsidR="001C6A8A" w:rsidRPr="00904FCB">
        <w:rPr>
          <w:rFonts w:hint="cs"/>
          <w:rtl/>
          <w:lang w:bidi="ar-AE"/>
        </w:rPr>
        <w:t>ٍ</w:t>
      </w:r>
      <w:r w:rsidRPr="00904FCB">
        <w:rPr>
          <w:rFonts w:hint="cs"/>
          <w:rtl/>
          <w:lang w:bidi="ar-AE"/>
        </w:rPr>
        <w:t xml:space="preserve"> مطلق</w:t>
      </w:r>
      <w:r w:rsidR="001C6A8A" w:rsidRPr="00904FCB">
        <w:rPr>
          <w:rFonts w:hint="cs"/>
          <w:rtl/>
          <w:lang w:bidi="ar-AE"/>
        </w:rPr>
        <w:t>،</w:t>
      </w:r>
      <w:r w:rsidRPr="00904FCB">
        <w:rPr>
          <w:rFonts w:hint="cs"/>
          <w:rtl/>
          <w:lang w:bidi="ar-AE"/>
        </w:rPr>
        <w:t xml:space="preserve"> وقاموا بالتصدي لها بشت</w:t>
      </w:r>
      <w:r w:rsidR="001C6A8A" w:rsidRPr="00904FCB">
        <w:rPr>
          <w:rFonts w:hint="cs"/>
          <w:rtl/>
          <w:lang w:bidi="ar-AE"/>
        </w:rPr>
        <w:t>ّ</w:t>
      </w:r>
      <w:r w:rsidRPr="00904FCB">
        <w:rPr>
          <w:rFonts w:hint="cs"/>
          <w:rtl/>
          <w:lang w:bidi="ar-AE"/>
        </w:rPr>
        <w:t>ى الوسائل.</w:t>
      </w:r>
    </w:p>
    <w:p w:rsidR="00952E59" w:rsidRPr="00904FCB" w:rsidRDefault="00952E59" w:rsidP="007A21AA">
      <w:pPr>
        <w:spacing w:line="400" w:lineRule="exact"/>
        <w:rPr>
          <w:rtl/>
          <w:lang w:bidi="ar-AE"/>
        </w:rPr>
      </w:pPr>
      <w:r w:rsidRPr="00904FCB">
        <w:rPr>
          <w:rFonts w:hint="cs"/>
          <w:rtl/>
          <w:lang w:bidi="ar-AE"/>
        </w:rPr>
        <w:t>ومم</w:t>
      </w:r>
      <w:r w:rsidR="001C6A8A" w:rsidRPr="00904FCB">
        <w:rPr>
          <w:rFonts w:hint="cs"/>
          <w:rtl/>
          <w:lang w:bidi="ar-AE"/>
        </w:rPr>
        <w:t>َّ</w:t>
      </w:r>
      <w:r w:rsidRPr="00904FCB">
        <w:rPr>
          <w:rFonts w:hint="cs"/>
          <w:rtl/>
          <w:lang w:bidi="ar-AE"/>
        </w:rPr>
        <w:t>ن</w:t>
      </w:r>
      <w:r w:rsidR="001C6A8A" w:rsidRPr="00904FCB">
        <w:rPr>
          <w:rFonts w:hint="cs"/>
          <w:rtl/>
          <w:lang w:bidi="ar-AE"/>
        </w:rPr>
        <w:t>ْ</w:t>
      </w:r>
      <w:r w:rsidRPr="00904FCB">
        <w:rPr>
          <w:rFonts w:hint="cs"/>
          <w:rtl/>
          <w:lang w:bidi="ar-AE"/>
        </w:rPr>
        <w:t xml:space="preserve"> كتب بهذا الشأن الحاج الملا علي كني</w:t>
      </w:r>
      <w:r w:rsidR="001C6A8A" w:rsidRPr="00904FCB">
        <w:rPr>
          <w:rFonts w:hint="cs"/>
          <w:rtl/>
          <w:lang w:bidi="ar-AE"/>
        </w:rPr>
        <w:t>،</w:t>
      </w:r>
      <w:r w:rsidRPr="00904FCB">
        <w:rPr>
          <w:rFonts w:hint="cs"/>
          <w:rtl/>
          <w:lang w:bidi="ar-AE"/>
        </w:rPr>
        <w:t xml:space="preserve"> الذي وج</w:t>
      </w:r>
      <w:r w:rsidR="001C6A8A" w:rsidRPr="00904FCB">
        <w:rPr>
          <w:rFonts w:hint="cs"/>
          <w:rtl/>
          <w:lang w:bidi="ar-AE"/>
        </w:rPr>
        <w:t>َّ</w:t>
      </w:r>
      <w:r w:rsidRPr="00904FCB">
        <w:rPr>
          <w:rFonts w:hint="cs"/>
          <w:rtl/>
          <w:lang w:bidi="ar-AE"/>
        </w:rPr>
        <w:t>ه كتاباً إلى ناصر الدين شاه أبدى به امتعاضه من الحركة الدستورية ومناهضته لها</w:t>
      </w:r>
      <w:r w:rsidR="001C6A8A" w:rsidRPr="00904FCB">
        <w:rPr>
          <w:rFonts w:hint="cs"/>
          <w:rtl/>
          <w:lang w:bidi="ar-AE"/>
        </w:rPr>
        <w:t>.</w:t>
      </w:r>
      <w:r w:rsidRPr="00904FCB">
        <w:rPr>
          <w:rFonts w:hint="cs"/>
          <w:rtl/>
          <w:lang w:bidi="ar-AE"/>
        </w:rPr>
        <w:t xml:space="preserve"> وكان من جملة ما ذكره في الكتاب: </w:t>
      </w:r>
      <w:r w:rsidRPr="00904FCB">
        <w:rPr>
          <w:rFonts w:hint="eastAsia"/>
          <w:rtl/>
          <w:lang w:bidi="ar-AE"/>
        </w:rPr>
        <w:t>«</w:t>
      </w:r>
      <w:r w:rsidR="001C6A8A" w:rsidRPr="00904FCB">
        <w:rPr>
          <w:rFonts w:hint="cs"/>
          <w:rtl/>
          <w:lang w:bidi="ar-AE"/>
        </w:rPr>
        <w:t>إ</w:t>
      </w:r>
      <w:r w:rsidRPr="00904FCB">
        <w:rPr>
          <w:rFonts w:hint="cs"/>
          <w:rtl/>
          <w:lang w:bidi="ar-AE"/>
        </w:rPr>
        <w:t>ن كلمة الحر</w:t>
      </w:r>
      <w:r w:rsidR="001C6A8A" w:rsidRPr="00904FCB">
        <w:rPr>
          <w:rFonts w:hint="cs"/>
          <w:rtl/>
          <w:lang w:bidi="ar-AE"/>
        </w:rPr>
        <w:t>ّ</w:t>
      </w:r>
      <w:r w:rsidRPr="00904FCB">
        <w:rPr>
          <w:rFonts w:hint="cs"/>
          <w:rtl/>
          <w:lang w:bidi="ar-AE"/>
        </w:rPr>
        <w:t>ية الخبيثة التي يغل</w:t>
      </w:r>
      <w:r w:rsidR="001C6A8A" w:rsidRPr="00904FCB">
        <w:rPr>
          <w:rFonts w:hint="cs"/>
          <w:rtl/>
          <w:lang w:bidi="ar-AE"/>
        </w:rPr>
        <w:t>ّ</w:t>
      </w:r>
      <w:r w:rsidRPr="00904FCB">
        <w:rPr>
          <w:rFonts w:hint="cs"/>
          <w:rtl/>
          <w:lang w:bidi="ar-AE"/>
        </w:rPr>
        <w:t>فها ظاهر ساحر وجميل ليست في باطنها سوى منظومة من النقائص والعيوب</w:t>
      </w:r>
      <w:r w:rsidRPr="00904FCB">
        <w:rPr>
          <w:rFonts w:hint="eastAsia"/>
          <w:rtl/>
          <w:lang w:bidi="ar-AE"/>
        </w:rPr>
        <w:t>»</w:t>
      </w:r>
      <w:r w:rsidRPr="00904FCB">
        <w:rPr>
          <w:rFonts w:hint="cs"/>
          <w:rtl/>
          <w:lang w:bidi="ar-AE"/>
        </w:rPr>
        <w:t>. وهذا الأمر ـ الحر</w:t>
      </w:r>
      <w:r w:rsidR="001C6A8A" w:rsidRPr="00904FCB">
        <w:rPr>
          <w:rFonts w:hint="cs"/>
          <w:rtl/>
          <w:lang w:bidi="ar-AE"/>
        </w:rPr>
        <w:t>ّ</w:t>
      </w:r>
      <w:r w:rsidRPr="00904FCB">
        <w:rPr>
          <w:rFonts w:hint="cs"/>
          <w:rtl/>
          <w:lang w:bidi="ar-AE"/>
        </w:rPr>
        <w:t xml:space="preserve">ية ـ مخالف لسائر </w:t>
      </w:r>
      <w:r w:rsidRPr="00904FCB">
        <w:rPr>
          <w:rFonts w:hint="cs"/>
          <w:rtl/>
          <w:lang w:bidi="ar-AE"/>
        </w:rPr>
        <w:lastRenderedPageBreak/>
        <w:t>أحكام الرسل والأوصياء وجميع السلاطين العظماء والحكّام البارزين</w:t>
      </w:r>
      <w:r w:rsidRPr="00904FCB">
        <w:rPr>
          <w:rFonts w:hint="cs"/>
          <w:vertAlign w:val="superscript"/>
          <w:rtl/>
        </w:rPr>
        <w:t>(</w:t>
      </w:r>
      <w:r w:rsidRPr="00904FCB">
        <w:rPr>
          <w:vertAlign w:val="superscript"/>
        </w:rPr>
        <w:endnoteReference w:id="339"/>
      </w:r>
      <w:r w:rsidRPr="00904FCB">
        <w:rPr>
          <w:rFonts w:hint="cs"/>
          <w:vertAlign w:val="superscript"/>
          <w:rtl/>
        </w:rPr>
        <w:t>)</w:t>
      </w:r>
      <w:r w:rsidRPr="00904FCB">
        <w:rPr>
          <w:rFonts w:hint="cs"/>
          <w:rtl/>
          <w:lang w:bidi="ar-AE"/>
        </w:rPr>
        <w:t>.</w:t>
      </w:r>
    </w:p>
    <w:p w:rsidR="00A30E08" w:rsidRPr="00904FCB" w:rsidRDefault="00952E59" w:rsidP="007A21AA">
      <w:pPr>
        <w:spacing w:line="400" w:lineRule="exact"/>
        <w:rPr>
          <w:rtl/>
          <w:lang w:bidi="ar-AE"/>
        </w:rPr>
      </w:pPr>
      <w:r w:rsidRPr="00904FCB">
        <w:rPr>
          <w:rFonts w:hint="cs"/>
          <w:rtl/>
          <w:lang w:bidi="ar-AE"/>
        </w:rPr>
        <w:t>ولتعريف الحر</w:t>
      </w:r>
      <w:r w:rsidR="00A30E08" w:rsidRPr="00904FCB">
        <w:rPr>
          <w:rFonts w:hint="cs"/>
          <w:rtl/>
          <w:lang w:bidi="ar-AE"/>
        </w:rPr>
        <w:t>ّ</w:t>
      </w:r>
      <w:r w:rsidRPr="00904FCB">
        <w:rPr>
          <w:rFonts w:hint="cs"/>
          <w:rtl/>
          <w:lang w:bidi="ar-AE"/>
        </w:rPr>
        <w:t>ية لا</w:t>
      </w:r>
      <w:r w:rsidR="00A30E08" w:rsidRPr="00904FCB">
        <w:rPr>
          <w:rFonts w:hint="cs"/>
          <w:rtl/>
          <w:lang w:bidi="ar-AE"/>
        </w:rPr>
        <w:t xml:space="preserve"> </w:t>
      </w:r>
      <w:r w:rsidRPr="00904FCB">
        <w:rPr>
          <w:rFonts w:hint="cs"/>
          <w:rtl/>
          <w:lang w:bidi="ar-AE"/>
        </w:rPr>
        <w:t>ب</w:t>
      </w:r>
      <w:r w:rsidR="00A30E08" w:rsidRPr="00904FCB">
        <w:rPr>
          <w:rFonts w:hint="cs"/>
          <w:rtl/>
          <w:lang w:bidi="ar-AE"/>
        </w:rPr>
        <w:t>ُ</w:t>
      </w:r>
      <w:r w:rsidRPr="00904FCB">
        <w:rPr>
          <w:rFonts w:hint="cs"/>
          <w:rtl/>
          <w:lang w:bidi="ar-AE"/>
        </w:rPr>
        <w:t>د</w:t>
      </w:r>
      <w:r w:rsidR="00A30E08" w:rsidRPr="00904FCB">
        <w:rPr>
          <w:rFonts w:hint="cs"/>
          <w:rtl/>
          <w:lang w:bidi="ar-AE"/>
        </w:rPr>
        <w:t>َّ</w:t>
      </w:r>
      <w:r w:rsidR="00340A76" w:rsidRPr="00904FCB">
        <w:rPr>
          <w:rFonts w:hint="cs"/>
          <w:rtl/>
          <w:lang w:bidi="ar-AE"/>
        </w:rPr>
        <w:t xml:space="preserve"> </w:t>
      </w:r>
      <w:r w:rsidRPr="00904FCB">
        <w:rPr>
          <w:rFonts w:hint="cs"/>
          <w:rtl/>
          <w:lang w:bidi="ar-AE"/>
        </w:rPr>
        <w:t>من الإجابة ع</w:t>
      </w:r>
      <w:r w:rsidR="00A30E08" w:rsidRPr="00904FCB">
        <w:rPr>
          <w:rFonts w:hint="cs"/>
          <w:rtl/>
          <w:lang w:bidi="ar-AE"/>
        </w:rPr>
        <w:t>ن</w:t>
      </w:r>
      <w:r w:rsidRPr="00904FCB">
        <w:rPr>
          <w:rFonts w:hint="cs"/>
          <w:rtl/>
          <w:lang w:bidi="ar-AE"/>
        </w:rPr>
        <w:t xml:space="preserve"> سؤالين مهمّين: </w:t>
      </w:r>
      <w:r w:rsidRPr="00904FCB">
        <w:rPr>
          <w:rFonts w:hint="cs"/>
          <w:b/>
          <w:bCs/>
          <w:rtl/>
          <w:lang w:bidi="ar-AE"/>
        </w:rPr>
        <w:t>الأو</w:t>
      </w:r>
      <w:r w:rsidR="00A30E08" w:rsidRPr="00904FCB">
        <w:rPr>
          <w:rFonts w:hint="cs"/>
          <w:b/>
          <w:bCs/>
          <w:rtl/>
          <w:lang w:bidi="ar-AE"/>
        </w:rPr>
        <w:t>ّ</w:t>
      </w:r>
      <w:r w:rsidRPr="00904FCB">
        <w:rPr>
          <w:rFonts w:hint="cs"/>
          <w:b/>
          <w:bCs/>
          <w:rtl/>
          <w:lang w:bidi="ar-AE"/>
        </w:rPr>
        <w:t>ل</w:t>
      </w:r>
      <w:r w:rsidR="00A30E08" w:rsidRPr="00904FCB">
        <w:rPr>
          <w:rFonts w:hint="cs"/>
          <w:rtl/>
          <w:lang w:bidi="ar-AE"/>
        </w:rPr>
        <w:t>:</w:t>
      </w:r>
      <w:r w:rsidRPr="00904FCB">
        <w:rPr>
          <w:rFonts w:hint="cs"/>
          <w:rtl/>
          <w:lang w:bidi="ar-AE"/>
        </w:rPr>
        <w:t xml:space="preserve"> من أين أتت الحرية</w:t>
      </w:r>
      <w:r w:rsidR="00A30E08" w:rsidRPr="00904FCB">
        <w:rPr>
          <w:rFonts w:hint="cs"/>
          <w:rtl/>
          <w:lang w:bidi="ar-AE"/>
        </w:rPr>
        <w:t>؟</w:t>
      </w:r>
      <w:r w:rsidRPr="00904FCB">
        <w:rPr>
          <w:rFonts w:hint="cs"/>
          <w:rtl/>
          <w:lang w:bidi="ar-AE"/>
        </w:rPr>
        <w:t xml:space="preserve"> وما </w:t>
      </w:r>
      <w:r w:rsidR="00A30E08" w:rsidRPr="00904FCB">
        <w:rPr>
          <w:rFonts w:hint="cs"/>
          <w:rtl/>
          <w:lang w:bidi="ar-AE"/>
        </w:rPr>
        <w:t>هو المراد منها؟</w:t>
      </w:r>
    </w:p>
    <w:p w:rsidR="00952E59" w:rsidRPr="00904FCB" w:rsidRDefault="00952E59" w:rsidP="007A21AA">
      <w:pPr>
        <w:spacing w:line="400" w:lineRule="exact"/>
        <w:rPr>
          <w:rtl/>
          <w:lang w:bidi="ar-AE"/>
        </w:rPr>
      </w:pPr>
      <w:r w:rsidRPr="00904FCB">
        <w:rPr>
          <w:rFonts w:hint="cs"/>
          <w:b/>
          <w:bCs/>
          <w:rtl/>
          <w:lang w:bidi="ar-AE"/>
        </w:rPr>
        <w:t>وثانياً</w:t>
      </w:r>
      <w:r w:rsidR="00A30E08" w:rsidRPr="00904FCB">
        <w:rPr>
          <w:rFonts w:hint="cs"/>
          <w:rtl/>
          <w:lang w:bidi="ar-AE"/>
        </w:rPr>
        <w:t>:</w:t>
      </w:r>
      <w:r w:rsidRPr="00904FCB">
        <w:rPr>
          <w:rFonts w:hint="cs"/>
          <w:rtl/>
          <w:lang w:bidi="ar-AE"/>
        </w:rPr>
        <w:t xml:space="preserve"> ما هي الغاية من الحر</w:t>
      </w:r>
      <w:r w:rsidR="00A30E08" w:rsidRPr="00904FCB">
        <w:rPr>
          <w:rFonts w:hint="cs"/>
          <w:rtl/>
          <w:lang w:bidi="ar-AE"/>
        </w:rPr>
        <w:t>ّ</w:t>
      </w:r>
      <w:r w:rsidRPr="00904FCB">
        <w:rPr>
          <w:rFonts w:hint="cs"/>
          <w:rtl/>
          <w:lang w:bidi="ar-AE"/>
        </w:rPr>
        <w:t>ية، أي لأجل أي</w:t>
      </w:r>
      <w:r w:rsidR="00A30E08" w:rsidRPr="00904FCB">
        <w:rPr>
          <w:rFonts w:hint="cs"/>
          <w:rtl/>
          <w:lang w:bidi="ar-AE"/>
        </w:rPr>
        <w:t>ّ</w:t>
      </w:r>
      <w:r w:rsidRPr="00904FCB">
        <w:rPr>
          <w:rFonts w:hint="cs"/>
          <w:rtl/>
          <w:lang w:bidi="ar-AE"/>
        </w:rPr>
        <w:t xml:space="preserve"> شيء نسعى نحو الحرية؟ وأي</w:t>
      </w:r>
      <w:r w:rsidR="00A30E08" w:rsidRPr="00904FCB">
        <w:rPr>
          <w:rFonts w:hint="cs"/>
          <w:rtl/>
          <w:lang w:bidi="ar-AE"/>
        </w:rPr>
        <w:t>ّ</w:t>
      </w:r>
      <w:r w:rsidRPr="00904FCB">
        <w:rPr>
          <w:rFonts w:hint="cs"/>
          <w:rtl/>
          <w:lang w:bidi="ar-AE"/>
        </w:rPr>
        <w:t xml:space="preserve"> طائفة من الحر</w:t>
      </w:r>
      <w:r w:rsidR="00A30E08" w:rsidRPr="00904FCB">
        <w:rPr>
          <w:rFonts w:hint="cs"/>
          <w:rtl/>
          <w:lang w:bidi="ar-AE"/>
        </w:rPr>
        <w:t>ّ</w:t>
      </w:r>
      <w:r w:rsidRPr="00904FCB">
        <w:rPr>
          <w:rFonts w:hint="cs"/>
          <w:rtl/>
          <w:lang w:bidi="ar-AE"/>
        </w:rPr>
        <w:t>يات تعارض شرائع الرسل</w:t>
      </w:r>
      <w:r w:rsidR="00A30E08" w:rsidRPr="00904FCB">
        <w:rPr>
          <w:rFonts w:hint="cs"/>
          <w:rtl/>
          <w:lang w:bidi="ar-AE"/>
        </w:rPr>
        <w:t>؟</w:t>
      </w:r>
      <w:r w:rsidRPr="00904FCB">
        <w:rPr>
          <w:rFonts w:hint="cs"/>
          <w:rtl/>
          <w:lang w:bidi="ar-AE"/>
        </w:rPr>
        <w:t xml:space="preserve"> وأي</w:t>
      </w:r>
      <w:r w:rsidR="00A30E08" w:rsidRPr="00904FCB">
        <w:rPr>
          <w:rFonts w:hint="cs"/>
          <w:rtl/>
          <w:lang w:bidi="ar-AE"/>
        </w:rPr>
        <w:t>ّ</w:t>
      </w:r>
      <w:r w:rsidRPr="00904FCB">
        <w:rPr>
          <w:rFonts w:hint="cs"/>
          <w:rtl/>
          <w:lang w:bidi="ar-AE"/>
        </w:rPr>
        <w:t xml:space="preserve"> منها تناهض دساتير السلاطين والحكام؟</w:t>
      </w:r>
    </w:p>
    <w:p w:rsidR="00952E59" w:rsidRPr="00904FCB" w:rsidRDefault="00952E59" w:rsidP="007A21AA">
      <w:pPr>
        <w:spacing w:line="400" w:lineRule="exact"/>
        <w:rPr>
          <w:rtl/>
          <w:lang w:bidi="ar-AE"/>
        </w:rPr>
      </w:pPr>
      <w:r w:rsidRPr="00904FCB">
        <w:rPr>
          <w:rFonts w:hint="cs"/>
          <w:rtl/>
          <w:lang w:bidi="ar-AE"/>
        </w:rPr>
        <w:t>يرى الشيخ فضل الله النوري</w:t>
      </w:r>
      <w:r w:rsidR="00A30E08" w:rsidRPr="00904FCB">
        <w:rPr>
          <w:rFonts w:hint="cs"/>
          <w:rtl/>
          <w:lang w:bidi="ar-AE"/>
        </w:rPr>
        <w:t>،</w:t>
      </w:r>
      <w:r w:rsidRPr="00904FCB">
        <w:rPr>
          <w:rFonts w:hint="cs"/>
          <w:rtl/>
          <w:lang w:bidi="ar-AE"/>
        </w:rPr>
        <w:t xml:space="preserve"> في رسالته تذكرة الغافل</w:t>
      </w:r>
      <w:r w:rsidR="00A30E08" w:rsidRPr="00904FCB">
        <w:rPr>
          <w:rFonts w:hint="cs"/>
          <w:rtl/>
          <w:lang w:bidi="ar-AE"/>
        </w:rPr>
        <w:t>،</w:t>
      </w:r>
      <w:r w:rsidRPr="00904FCB">
        <w:rPr>
          <w:rFonts w:hint="cs"/>
          <w:rtl/>
          <w:lang w:bidi="ar-AE"/>
        </w:rPr>
        <w:t xml:space="preserve"> أن حر</w:t>
      </w:r>
      <w:r w:rsidR="00A30E08" w:rsidRPr="00904FCB">
        <w:rPr>
          <w:rFonts w:hint="cs"/>
          <w:rtl/>
          <w:lang w:bidi="ar-AE"/>
        </w:rPr>
        <w:t>ّ</w:t>
      </w:r>
      <w:r w:rsidRPr="00904FCB">
        <w:rPr>
          <w:rFonts w:hint="cs"/>
          <w:rtl/>
          <w:lang w:bidi="ar-AE"/>
        </w:rPr>
        <w:t>ية القلم والتعبير تصطدم مع القانون الإلهي، ويبدي قلقه إزاء إقحام مبدأ الحر</w:t>
      </w:r>
      <w:r w:rsidR="00A30E08" w:rsidRPr="00904FCB">
        <w:rPr>
          <w:rFonts w:hint="cs"/>
          <w:rtl/>
          <w:lang w:bidi="ar-AE"/>
        </w:rPr>
        <w:t>ّ</w:t>
      </w:r>
      <w:r w:rsidRPr="00904FCB">
        <w:rPr>
          <w:rFonts w:hint="cs"/>
          <w:rtl/>
          <w:lang w:bidi="ar-AE"/>
        </w:rPr>
        <w:t>ية في الدستور</w:t>
      </w:r>
      <w:r w:rsidR="00A30E08" w:rsidRPr="00904FCB">
        <w:rPr>
          <w:rFonts w:hint="cs"/>
          <w:rtl/>
          <w:lang w:bidi="ar-AE"/>
        </w:rPr>
        <w:t>؛</w:t>
      </w:r>
      <w:r w:rsidRPr="00904FCB">
        <w:rPr>
          <w:rFonts w:hint="cs"/>
          <w:rtl/>
          <w:lang w:bidi="ar-AE"/>
        </w:rPr>
        <w:t xml:space="preserve"> لأنه ـ وبح</w:t>
      </w:r>
      <w:r w:rsidR="00A30E08" w:rsidRPr="00904FCB">
        <w:rPr>
          <w:rFonts w:hint="cs"/>
          <w:rtl/>
          <w:lang w:bidi="ar-AE"/>
        </w:rPr>
        <w:t>َ</w:t>
      </w:r>
      <w:r w:rsidRPr="00904FCB">
        <w:rPr>
          <w:rFonts w:hint="cs"/>
          <w:rtl/>
          <w:lang w:bidi="ar-AE"/>
        </w:rPr>
        <w:t>س</w:t>
      </w:r>
      <w:r w:rsidR="00A30E08" w:rsidRPr="00904FCB">
        <w:rPr>
          <w:rFonts w:hint="cs"/>
          <w:rtl/>
          <w:lang w:bidi="ar-AE"/>
        </w:rPr>
        <w:t>َ</w:t>
      </w:r>
      <w:r w:rsidRPr="00904FCB">
        <w:rPr>
          <w:rFonts w:hint="cs"/>
          <w:rtl/>
          <w:lang w:bidi="ar-AE"/>
        </w:rPr>
        <w:t>ب الشيخ ـ سوف يبيح لفرق الملاحدة والزنادقة والكف</w:t>
      </w:r>
      <w:r w:rsidR="00A30E08" w:rsidRPr="00904FCB">
        <w:rPr>
          <w:rFonts w:hint="cs"/>
          <w:rtl/>
          <w:lang w:bidi="ar-AE"/>
        </w:rPr>
        <w:t>ّ</w:t>
      </w:r>
      <w:r w:rsidRPr="00904FCB">
        <w:rPr>
          <w:rFonts w:hint="cs"/>
          <w:rtl/>
          <w:lang w:bidi="ar-AE"/>
        </w:rPr>
        <w:t>ار مهاجمة الإسلام وتقويضه.</w:t>
      </w:r>
    </w:p>
    <w:p w:rsidR="00952E59" w:rsidRPr="00904FCB" w:rsidRDefault="00A30E08" w:rsidP="007A21AA">
      <w:pPr>
        <w:spacing w:line="400" w:lineRule="exact"/>
        <w:rPr>
          <w:rtl/>
          <w:lang w:bidi="ar-AE"/>
        </w:rPr>
      </w:pPr>
      <w:r w:rsidRPr="00904FCB">
        <w:rPr>
          <w:rFonts w:hint="cs"/>
          <w:rtl/>
          <w:lang w:bidi="ar-AE"/>
        </w:rPr>
        <w:t>و</w:t>
      </w:r>
      <w:r w:rsidR="00952E59" w:rsidRPr="00904FCB">
        <w:rPr>
          <w:rFonts w:hint="cs"/>
          <w:rtl/>
          <w:lang w:bidi="ar-AE"/>
        </w:rPr>
        <w:t xml:space="preserve">يقول على سبيل المثال: </w:t>
      </w:r>
      <w:r w:rsidR="00952E59" w:rsidRPr="00904FCB">
        <w:rPr>
          <w:rFonts w:hint="eastAsia"/>
          <w:rtl/>
          <w:lang w:bidi="ar-AE"/>
        </w:rPr>
        <w:t>«</w:t>
      </w:r>
      <w:r w:rsidR="00952E59" w:rsidRPr="00904FCB">
        <w:rPr>
          <w:rFonts w:hint="cs"/>
          <w:rtl/>
          <w:lang w:bidi="ar-AE"/>
        </w:rPr>
        <w:t>أيها الأخ العزيز</w:t>
      </w:r>
      <w:r w:rsidRPr="00904FCB">
        <w:rPr>
          <w:rFonts w:hint="cs"/>
          <w:rtl/>
          <w:lang w:bidi="ar-AE"/>
        </w:rPr>
        <w:t>،</w:t>
      </w:r>
      <w:r w:rsidR="00952E59" w:rsidRPr="00904FCB">
        <w:rPr>
          <w:rFonts w:hint="cs"/>
          <w:rtl/>
          <w:lang w:bidi="ar-AE"/>
        </w:rPr>
        <w:t xml:space="preserve"> ألست</w:t>
      </w:r>
      <w:r w:rsidRPr="00904FCB">
        <w:rPr>
          <w:rFonts w:hint="cs"/>
          <w:rtl/>
          <w:lang w:bidi="ar-AE"/>
        </w:rPr>
        <w:t>َ</w:t>
      </w:r>
      <w:r w:rsidR="00952E59" w:rsidRPr="00904FCB">
        <w:rPr>
          <w:rFonts w:hint="cs"/>
          <w:rtl/>
          <w:lang w:bidi="ar-AE"/>
        </w:rPr>
        <w:t xml:space="preserve"> تدري بأن حر</w:t>
      </w:r>
      <w:r w:rsidRPr="00904FCB">
        <w:rPr>
          <w:rFonts w:hint="cs"/>
          <w:rtl/>
          <w:lang w:bidi="ar-AE"/>
        </w:rPr>
        <w:t>ّ</w:t>
      </w:r>
      <w:r w:rsidR="00952E59" w:rsidRPr="00904FCB">
        <w:rPr>
          <w:rFonts w:hint="cs"/>
          <w:rtl/>
          <w:lang w:bidi="ar-AE"/>
        </w:rPr>
        <w:t>ية القلم والتعبير تصطدم مع القانون الإلهي في العديد من مظاهرها</w:t>
      </w:r>
      <w:r w:rsidRPr="00904FCB">
        <w:rPr>
          <w:rFonts w:hint="cs"/>
          <w:rtl/>
          <w:lang w:bidi="ar-AE"/>
        </w:rPr>
        <w:t>؟!</w:t>
      </w:r>
      <w:r w:rsidR="00952E59" w:rsidRPr="00904FCB">
        <w:rPr>
          <w:rFonts w:hint="cs"/>
          <w:rtl/>
          <w:lang w:bidi="ar-AE"/>
        </w:rPr>
        <w:t xml:space="preserve"> وهل غفلت عن غايتها التي هي تمكين فرق الملاحدة والزنادقة والكف</w:t>
      </w:r>
      <w:r w:rsidR="00610C77" w:rsidRPr="00904FCB">
        <w:rPr>
          <w:rFonts w:hint="cs"/>
          <w:rtl/>
          <w:lang w:bidi="ar-AE"/>
        </w:rPr>
        <w:t>ّ</w:t>
      </w:r>
      <w:r w:rsidR="00952E59" w:rsidRPr="00904FCB">
        <w:rPr>
          <w:rFonts w:hint="cs"/>
          <w:rtl/>
          <w:lang w:bidi="ar-AE"/>
        </w:rPr>
        <w:t>ار من نشر كلمات الكفر والإلحاد وبث</w:t>
      </w:r>
      <w:r w:rsidR="00857013">
        <w:rPr>
          <w:rFonts w:hint="cs"/>
          <w:rtl/>
          <w:lang w:bidi="ar-AE"/>
        </w:rPr>
        <w:t>ّ</w:t>
      </w:r>
      <w:r w:rsidR="00952E59" w:rsidRPr="00904FCB">
        <w:rPr>
          <w:rFonts w:hint="cs"/>
          <w:rtl/>
          <w:lang w:bidi="ar-AE"/>
        </w:rPr>
        <w:t>ها في الملأ</w:t>
      </w:r>
      <w:r w:rsidR="00610C77" w:rsidRPr="00904FCB">
        <w:rPr>
          <w:rFonts w:hint="cs"/>
          <w:rtl/>
          <w:lang w:bidi="ar-AE"/>
        </w:rPr>
        <w:t>،</w:t>
      </w:r>
      <w:r w:rsidR="00952E59" w:rsidRPr="00904FCB">
        <w:rPr>
          <w:rFonts w:hint="cs"/>
          <w:rtl/>
          <w:lang w:bidi="ar-AE"/>
        </w:rPr>
        <w:t xml:space="preserve"> من على المنابر ومن خلال البيانات و..</w:t>
      </w:r>
      <w:r w:rsidR="00610C77" w:rsidRPr="00904FCB">
        <w:rPr>
          <w:rFonts w:hint="cs"/>
          <w:rtl/>
          <w:lang w:bidi="ar-AE"/>
        </w:rPr>
        <w:t>.</w:t>
      </w:r>
      <w:r w:rsidR="00857013">
        <w:rPr>
          <w:rFonts w:hint="cs"/>
          <w:rtl/>
          <w:lang w:bidi="ar-AE"/>
        </w:rPr>
        <w:t xml:space="preserve">، </w:t>
      </w:r>
      <w:r w:rsidR="00610C77" w:rsidRPr="00904FCB">
        <w:rPr>
          <w:rFonts w:hint="cs"/>
          <w:rtl/>
          <w:lang w:bidi="ar-AE"/>
        </w:rPr>
        <w:t>إ</w:t>
      </w:r>
      <w:r w:rsidR="00952E59" w:rsidRPr="00904FCB">
        <w:rPr>
          <w:rFonts w:hint="cs"/>
          <w:rtl/>
          <w:lang w:bidi="ar-AE"/>
        </w:rPr>
        <w:t>لخ</w:t>
      </w:r>
      <w:r w:rsidR="00952E59" w:rsidRPr="00904FCB">
        <w:rPr>
          <w:rFonts w:hint="eastAsia"/>
          <w:rtl/>
          <w:lang w:bidi="ar-AE"/>
        </w:rPr>
        <w:t>»</w:t>
      </w:r>
      <w:r w:rsidR="00952E59" w:rsidRPr="00904FCB">
        <w:rPr>
          <w:rFonts w:hint="cs"/>
          <w:rtl/>
          <w:lang w:bidi="ar-AE"/>
        </w:rPr>
        <w:t>.</w:t>
      </w:r>
    </w:p>
    <w:p w:rsidR="00952E59" w:rsidRPr="00904FCB" w:rsidRDefault="00952E59" w:rsidP="007A21AA">
      <w:pPr>
        <w:spacing w:line="400" w:lineRule="exact"/>
        <w:rPr>
          <w:rtl/>
          <w:lang w:bidi="ar-AE"/>
        </w:rPr>
      </w:pPr>
      <w:r w:rsidRPr="00904FCB">
        <w:rPr>
          <w:rFonts w:hint="cs"/>
          <w:rtl/>
          <w:lang w:bidi="ar-AE"/>
        </w:rPr>
        <w:t>إن عودة سريعة إلى تفاصيل مناقشات المجلس النيابي ومسو</w:t>
      </w:r>
      <w:r w:rsidR="00610C77" w:rsidRPr="00904FCB">
        <w:rPr>
          <w:rFonts w:hint="cs"/>
          <w:rtl/>
          <w:lang w:bidi="ar-AE"/>
        </w:rPr>
        <w:t>ّ</w:t>
      </w:r>
      <w:r w:rsidRPr="00904FCB">
        <w:rPr>
          <w:rFonts w:hint="cs"/>
          <w:rtl/>
          <w:lang w:bidi="ar-AE"/>
        </w:rPr>
        <w:t xml:space="preserve">دة الدستور (الذي تم إقراره في إيران عام </w:t>
      </w:r>
      <w:r w:rsidRPr="009640F7">
        <w:rPr>
          <w:rFonts w:hint="cs"/>
          <w:rtl/>
          <w:lang w:bidi="ar-AE"/>
        </w:rPr>
        <w:t>1358</w:t>
      </w:r>
      <w:r w:rsidRPr="00904FCB">
        <w:rPr>
          <w:rFonts w:hint="cs"/>
          <w:rtl/>
          <w:lang w:bidi="ar-AE"/>
        </w:rPr>
        <w:t>)</w:t>
      </w:r>
      <w:r w:rsidR="00610C77" w:rsidRPr="00904FCB">
        <w:rPr>
          <w:rFonts w:hint="cs"/>
          <w:rtl/>
          <w:lang w:bidi="ar-AE"/>
        </w:rPr>
        <w:t>،</w:t>
      </w:r>
      <w:r w:rsidRPr="00904FCB">
        <w:rPr>
          <w:rFonts w:hint="cs"/>
          <w:rtl/>
          <w:lang w:bidi="ar-AE"/>
        </w:rPr>
        <w:t xml:space="preserve"> وجلسة إعادة صياغة الدستور (عام </w:t>
      </w:r>
      <w:r w:rsidRPr="009640F7">
        <w:rPr>
          <w:rFonts w:hint="cs"/>
          <w:rtl/>
          <w:lang w:bidi="ar-AE"/>
        </w:rPr>
        <w:t>1368</w:t>
      </w:r>
      <w:r w:rsidRPr="00904FCB">
        <w:rPr>
          <w:rFonts w:hint="cs"/>
          <w:rtl/>
          <w:lang w:bidi="ar-AE"/>
        </w:rPr>
        <w:t>)</w:t>
      </w:r>
      <w:r w:rsidR="00610C77" w:rsidRPr="00904FCB">
        <w:rPr>
          <w:rFonts w:hint="cs"/>
          <w:rtl/>
          <w:lang w:bidi="ar-AE"/>
        </w:rPr>
        <w:t>،</w:t>
      </w:r>
      <w:r w:rsidRPr="00904FCB">
        <w:rPr>
          <w:rFonts w:hint="cs"/>
          <w:rtl/>
          <w:lang w:bidi="ar-AE"/>
        </w:rPr>
        <w:t xml:space="preserve"> إضافة </w:t>
      </w:r>
      <w:r w:rsidR="00610C77" w:rsidRPr="00904FCB">
        <w:rPr>
          <w:rFonts w:hint="cs"/>
          <w:rtl/>
          <w:lang w:bidi="ar-AE"/>
        </w:rPr>
        <w:t xml:space="preserve">إلى </w:t>
      </w:r>
      <w:r w:rsidRPr="00904FCB">
        <w:rPr>
          <w:rFonts w:hint="cs"/>
          <w:rtl/>
          <w:lang w:bidi="ar-AE"/>
        </w:rPr>
        <w:t>آراء جملة من المحافظين التقليديين حول مبادئ حر</w:t>
      </w:r>
      <w:r w:rsidR="00610C77" w:rsidRPr="00904FCB">
        <w:rPr>
          <w:rFonts w:hint="cs"/>
          <w:rtl/>
          <w:lang w:bidi="ar-AE"/>
        </w:rPr>
        <w:t>ّ</w:t>
      </w:r>
      <w:r w:rsidRPr="00904FCB">
        <w:rPr>
          <w:rFonts w:hint="cs"/>
          <w:rtl/>
          <w:lang w:bidi="ar-AE"/>
        </w:rPr>
        <w:t>ية التعبير والقلم والأحزاب، تعطينا صورة واضحة عن ماهية الحقوق الرئيسة التي أقرّ</w:t>
      </w:r>
      <w:r w:rsidR="00610C77" w:rsidRPr="00904FCB">
        <w:rPr>
          <w:rFonts w:hint="cs"/>
          <w:rtl/>
          <w:lang w:bidi="ar-AE"/>
        </w:rPr>
        <w:t>َ</w:t>
      </w:r>
      <w:r w:rsidRPr="00904FCB">
        <w:rPr>
          <w:rFonts w:hint="cs"/>
          <w:rtl/>
          <w:lang w:bidi="ar-AE"/>
        </w:rPr>
        <w:t>ت</w:t>
      </w:r>
      <w:r w:rsidR="00610C77" w:rsidRPr="00904FCB">
        <w:rPr>
          <w:rFonts w:hint="cs"/>
          <w:rtl/>
          <w:lang w:bidi="ar-AE"/>
        </w:rPr>
        <w:t>ْ</w:t>
      </w:r>
      <w:r w:rsidRPr="00904FCB">
        <w:rPr>
          <w:rFonts w:hint="cs"/>
          <w:rtl/>
          <w:lang w:bidi="ar-AE"/>
        </w:rPr>
        <w:t xml:space="preserve"> للمواطن آنذاك.</w:t>
      </w:r>
    </w:p>
    <w:p w:rsidR="00952E59" w:rsidRPr="00904FCB" w:rsidRDefault="00952E59" w:rsidP="007A21AA">
      <w:pPr>
        <w:spacing w:line="400" w:lineRule="exact"/>
        <w:rPr>
          <w:rtl/>
          <w:lang w:bidi="ar-AE"/>
        </w:rPr>
      </w:pPr>
    </w:p>
    <w:p w:rsidR="00952E59" w:rsidRPr="00904FCB" w:rsidRDefault="00952E59" w:rsidP="007A21AA">
      <w:pPr>
        <w:pStyle w:val="31"/>
        <w:spacing w:line="400" w:lineRule="exact"/>
        <w:rPr>
          <w:color w:val="auto"/>
          <w:rtl/>
          <w:lang w:bidi="ar-AE"/>
        </w:rPr>
      </w:pPr>
      <w:r w:rsidRPr="009640F7">
        <w:rPr>
          <w:rFonts w:hint="cs"/>
          <w:color w:val="auto"/>
          <w:rtl/>
          <w:lang w:bidi="ar-AE"/>
        </w:rPr>
        <w:t>3ـ</w:t>
      </w:r>
      <w:r w:rsidRPr="00904FCB">
        <w:rPr>
          <w:rFonts w:hint="cs"/>
          <w:color w:val="auto"/>
          <w:rtl/>
          <w:lang w:bidi="ar-AE"/>
        </w:rPr>
        <w:t xml:space="preserve"> المساواة</w:t>
      </w:r>
    </w:p>
    <w:p w:rsidR="00952E59" w:rsidRPr="00904FCB" w:rsidRDefault="00952E59" w:rsidP="007A21AA">
      <w:pPr>
        <w:spacing w:line="400" w:lineRule="exact"/>
        <w:rPr>
          <w:rtl/>
          <w:lang w:bidi="ar-AE"/>
        </w:rPr>
      </w:pPr>
      <w:r w:rsidRPr="00904FCB">
        <w:rPr>
          <w:rFonts w:hint="cs"/>
          <w:rtl/>
          <w:lang w:bidi="ar-AE"/>
        </w:rPr>
        <w:t>يتمت</w:t>
      </w:r>
      <w:r w:rsidR="00610C77" w:rsidRPr="00904FCB">
        <w:rPr>
          <w:rFonts w:hint="cs"/>
          <w:rtl/>
          <w:lang w:bidi="ar-AE"/>
        </w:rPr>
        <w:t>ّ</w:t>
      </w:r>
      <w:r w:rsidRPr="00904FCB">
        <w:rPr>
          <w:rFonts w:hint="cs"/>
          <w:rtl/>
          <w:lang w:bidi="ar-AE"/>
        </w:rPr>
        <w:t>ع جميع المواطنين بحقوق متساوية في ظل</w:t>
      </w:r>
      <w:r w:rsidR="00610C77" w:rsidRPr="00904FCB">
        <w:rPr>
          <w:rFonts w:hint="cs"/>
          <w:rtl/>
          <w:lang w:bidi="ar-AE"/>
        </w:rPr>
        <w:t>ّ</w:t>
      </w:r>
      <w:r w:rsidRPr="00904FCB">
        <w:rPr>
          <w:rFonts w:hint="cs"/>
          <w:rtl/>
          <w:lang w:bidi="ar-AE"/>
        </w:rPr>
        <w:t xml:space="preserve"> المجتمع المدني والتنموي. </w:t>
      </w:r>
    </w:p>
    <w:p w:rsidR="00952E59" w:rsidRPr="00904FCB" w:rsidRDefault="00952E59" w:rsidP="007A21AA">
      <w:pPr>
        <w:spacing w:line="400" w:lineRule="exact"/>
        <w:rPr>
          <w:rtl/>
          <w:lang w:bidi="ar-AE"/>
        </w:rPr>
      </w:pPr>
      <w:r w:rsidRPr="00904FCB">
        <w:rPr>
          <w:rFonts w:hint="cs"/>
          <w:rtl/>
          <w:lang w:bidi="ar-AE"/>
        </w:rPr>
        <w:t>وللفكر التقليدي ملاحظات على هذه المساواة</w:t>
      </w:r>
      <w:r w:rsidR="00610C77" w:rsidRPr="00904FCB">
        <w:rPr>
          <w:rFonts w:hint="cs"/>
          <w:rtl/>
          <w:lang w:bidi="ar-AE"/>
        </w:rPr>
        <w:t>.</w:t>
      </w:r>
      <w:r w:rsidRPr="00904FCB">
        <w:rPr>
          <w:rFonts w:hint="cs"/>
          <w:rtl/>
          <w:lang w:bidi="ar-AE"/>
        </w:rPr>
        <w:t xml:space="preserve"> فعلى سبيل المثال</w:t>
      </w:r>
      <w:r w:rsidR="00610C77" w:rsidRPr="00904FCB">
        <w:rPr>
          <w:rFonts w:hint="cs"/>
          <w:rtl/>
          <w:lang w:bidi="ar-AE"/>
        </w:rPr>
        <w:t>:</w:t>
      </w:r>
      <w:r w:rsidRPr="00904FCB">
        <w:rPr>
          <w:rFonts w:hint="cs"/>
          <w:rtl/>
          <w:lang w:bidi="ar-AE"/>
        </w:rPr>
        <w:t xml:space="preserve"> يكتب الشيخ فضل الله النوري</w:t>
      </w:r>
      <w:r w:rsidR="00610C77" w:rsidRPr="00904FCB">
        <w:rPr>
          <w:rFonts w:hint="cs"/>
          <w:rtl/>
          <w:lang w:bidi="ar-AE"/>
        </w:rPr>
        <w:t>،</w:t>
      </w:r>
      <w:r w:rsidRPr="00904FCB">
        <w:rPr>
          <w:rFonts w:hint="cs"/>
          <w:rtl/>
          <w:lang w:bidi="ar-AE"/>
        </w:rPr>
        <w:t xml:space="preserve"> مجيباً ع</w:t>
      </w:r>
      <w:r w:rsidR="00610C77" w:rsidRPr="00904FCB">
        <w:rPr>
          <w:rFonts w:hint="cs"/>
          <w:rtl/>
          <w:lang w:bidi="ar-AE"/>
        </w:rPr>
        <w:t>ن</w:t>
      </w:r>
      <w:r w:rsidRPr="00904FCB">
        <w:rPr>
          <w:rFonts w:hint="cs"/>
          <w:rtl/>
          <w:lang w:bidi="ar-AE"/>
        </w:rPr>
        <w:t xml:space="preserve"> سؤال حول حرمة الحركة الدستورية وارتداد الدستوريين</w:t>
      </w:r>
      <w:r w:rsidRPr="00904FCB">
        <w:rPr>
          <w:rFonts w:hint="cs"/>
          <w:vertAlign w:val="superscript"/>
          <w:rtl/>
        </w:rPr>
        <w:t>(</w:t>
      </w:r>
      <w:r w:rsidRPr="00904FCB">
        <w:rPr>
          <w:vertAlign w:val="superscript"/>
        </w:rPr>
        <w:endnoteReference w:id="340"/>
      </w:r>
      <w:r w:rsidRPr="00904FCB">
        <w:rPr>
          <w:rFonts w:hint="cs"/>
          <w:vertAlign w:val="superscript"/>
          <w:rtl/>
        </w:rPr>
        <w:t>)</w:t>
      </w:r>
      <w:r w:rsidRPr="00904FCB">
        <w:rPr>
          <w:rFonts w:hint="cs"/>
          <w:rtl/>
          <w:lang w:bidi="ar-AE"/>
        </w:rPr>
        <w:t xml:space="preserve">: </w:t>
      </w:r>
      <w:r w:rsidRPr="00904FCB">
        <w:rPr>
          <w:rFonts w:hint="eastAsia"/>
          <w:rtl/>
          <w:lang w:bidi="ar-AE"/>
        </w:rPr>
        <w:t>«</w:t>
      </w:r>
      <w:r w:rsidRPr="00904FCB">
        <w:rPr>
          <w:rFonts w:hint="cs"/>
          <w:rtl/>
          <w:lang w:bidi="ar-AE"/>
        </w:rPr>
        <w:t>إن أحد إشكاليات هذه الحركة الضال</w:t>
      </w:r>
      <w:r w:rsidR="00610C77" w:rsidRPr="00904FCB">
        <w:rPr>
          <w:rFonts w:hint="cs"/>
          <w:rtl/>
          <w:lang w:bidi="ar-AE"/>
        </w:rPr>
        <w:t>ّ</w:t>
      </w:r>
      <w:r w:rsidRPr="00904FCB">
        <w:rPr>
          <w:rFonts w:hint="cs"/>
          <w:rtl/>
          <w:lang w:bidi="ar-AE"/>
        </w:rPr>
        <w:t>ة هي إقرارها بمساواة كاف</w:t>
      </w:r>
      <w:r w:rsidR="00610C77" w:rsidRPr="00904FCB">
        <w:rPr>
          <w:rFonts w:hint="cs"/>
          <w:rtl/>
          <w:lang w:bidi="ar-AE"/>
        </w:rPr>
        <w:t>ّ</w:t>
      </w:r>
      <w:r w:rsidRPr="00904FCB">
        <w:rPr>
          <w:rFonts w:hint="cs"/>
          <w:rtl/>
          <w:lang w:bidi="ar-AE"/>
        </w:rPr>
        <w:t>ة مواطني الدولة في الحقوق... وإذا أصبح كاف</w:t>
      </w:r>
      <w:r w:rsidR="00610C77" w:rsidRPr="00904FCB">
        <w:rPr>
          <w:rFonts w:hint="cs"/>
          <w:rtl/>
          <w:lang w:bidi="ar-AE"/>
        </w:rPr>
        <w:t>ّ</w:t>
      </w:r>
      <w:r w:rsidRPr="00904FCB">
        <w:rPr>
          <w:rFonts w:hint="cs"/>
          <w:rtl/>
          <w:lang w:bidi="ar-AE"/>
        </w:rPr>
        <w:t>ة مواطن</w:t>
      </w:r>
      <w:r w:rsidR="00610C77" w:rsidRPr="00904FCB">
        <w:rPr>
          <w:rFonts w:hint="cs"/>
          <w:rtl/>
          <w:lang w:bidi="ar-AE"/>
        </w:rPr>
        <w:t>ي</w:t>
      </w:r>
      <w:r w:rsidRPr="00904FCB">
        <w:rPr>
          <w:rFonts w:hint="cs"/>
          <w:rtl/>
          <w:lang w:bidi="ar-AE"/>
        </w:rPr>
        <w:t xml:space="preserve"> إيران متساو</w:t>
      </w:r>
      <w:r w:rsidR="00610C77" w:rsidRPr="00904FCB">
        <w:rPr>
          <w:rFonts w:hint="cs"/>
          <w:rtl/>
          <w:lang w:bidi="ar-AE"/>
        </w:rPr>
        <w:t>ي الحقوق أمام القانون... فعلى الإسلام السلام</w:t>
      </w:r>
      <w:r w:rsidRPr="00904FCB">
        <w:rPr>
          <w:rFonts w:hint="cs"/>
          <w:rtl/>
          <w:lang w:bidi="ar-AE"/>
        </w:rPr>
        <w:t>... ثم</w:t>
      </w:r>
      <w:r w:rsidR="00610C77" w:rsidRPr="00904FCB">
        <w:rPr>
          <w:rFonts w:hint="cs"/>
          <w:rtl/>
          <w:lang w:bidi="ar-AE"/>
        </w:rPr>
        <w:t>ّ</w:t>
      </w:r>
      <w:r w:rsidRPr="00904FCB">
        <w:rPr>
          <w:rFonts w:hint="cs"/>
          <w:rtl/>
          <w:lang w:bidi="ar-AE"/>
        </w:rPr>
        <w:t xml:space="preserve"> اعلموا أن المملكة الإسلامية الدستورية سوف لن </w:t>
      </w:r>
      <w:r w:rsidRPr="00904FCB">
        <w:rPr>
          <w:rFonts w:hint="cs"/>
          <w:rtl/>
          <w:lang w:bidi="ar-AE"/>
        </w:rPr>
        <w:lastRenderedPageBreak/>
        <w:t>يكتب لها النجاح أبداً</w:t>
      </w:r>
      <w:r w:rsidR="00610C77" w:rsidRPr="00904FCB">
        <w:rPr>
          <w:rFonts w:hint="cs"/>
          <w:rtl/>
          <w:lang w:bidi="ar-AE"/>
        </w:rPr>
        <w:t>؛</w:t>
      </w:r>
      <w:r w:rsidRPr="00904FCB">
        <w:rPr>
          <w:rFonts w:hint="cs"/>
          <w:rtl/>
          <w:lang w:bidi="ar-AE"/>
        </w:rPr>
        <w:t xml:space="preserve"> لأن أو</w:t>
      </w:r>
      <w:r w:rsidR="00610C77" w:rsidRPr="00904FCB">
        <w:rPr>
          <w:rFonts w:hint="cs"/>
          <w:rtl/>
          <w:lang w:bidi="ar-AE"/>
        </w:rPr>
        <w:t>ّ</w:t>
      </w:r>
      <w:r w:rsidRPr="00904FCB">
        <w:rPr>
          <w:rFonts w:hint="cs"/>
          <w:rtl/>
          <w:lang w:bidi="ar-AE"/>
        </w:rPr>
        <w:t>ل ما يرد عليها هو أن مبدأ المساواة لا يت</w:t>
      </w:r>
      <w:r w:rsidR="00610C77" w:rsidRPr="00904FCB">
        <w:rPr>
          <w:rFonts w:hint="cs"/>
          <w:rtl/>
          <w:lang w:bidi="ar-AE"/>
        </w:rPr>
        <w:t>َّ</w:t>
      </w:r>
      <w:r w:rsidRPr="00904FCB">
        <w:rPr>
          <w:rFonts w:hint="cs"/>
          <w:rtl/>
          <w:lang w:bidi="ar-AE"/>
        </w:rPr>
        <w:t>فق مع الإسلام ولا ينسجم معه بأي</w:t>
      </w:r>
      <w:r w:rsidR="00610C77" w:rsidRPr="00904FCB">
        <w:rPr>
          <w:rFonts w:hint="cs"/>
          <w:rtl/>
          <w:lang w:bidi="ar-AE"/>
        </w:rPr>
        <w:t>ّ</w:t>
      </w:r>
      <w:r w:rsidRPr="00904FCB">
        <w:rPr>
          <w:rFonts w:hint="cs"/>
          <w:rtl/>
          <w:lang w:bidi="ar-AE"/>
        </w:rPr>
        <w:t xml:space="preserve"> حال من الأحوال</w:t>
      </w:r>
      <w:r w:rsidRPr="00904FCB">
        <w:rPr>
          <w:rFonts w:hint="eastAsia"/>
          <w:rtl/>
          <w:lang w:bidi="ar-AE"/>
        </w:rPr>
        <w:t>»</w:t>
      </w:r>
      <w:r w:rsidRPr="00904FCB">
        <w:rPr>
          <w:rFonts w:hint="cs"/>
          <w:rtl/>
          <w:lang w:bidi="ar-AE"/>
        </w:rPr>
        <w:t>.</w:t>
      </w:r>
    </w:p>
    <w:p w:rsidR="00952E59" w:rsidRPr="00904FCB" w:rsidRDefault="00952E59" w:rsidP="007A21AA">
      <w:pPr>
        <w:spacing w:line="400" w:lineRule="exact"/>
        <w:rPr>
          <w:rtl/>
          <w:lang w:bidi="ar-AE"/>
        </w:rPr>
      </w:pPr>
    </w:p>
    <w:p w:rsidR="00952E59" w:rsidRPr="00904FCB" w:rsidRDefault="00952E59" w:rsidP="007A21AA">
      <w:pPr>
        <w:pStyle w:val="31"/>
        <w:spacing w:line="400" w:lineRule="exact"/>
        <w:rPr>
          <w:color w:val="auto"/>
          <w:rtl/>
          <w:lang w:bidi="ar-AE"/>
        </w:rPr>
      </w:pPr>
      <w:r w:rsidRPr="009640F7">
        <w:rPr>
          <w:rFonts w:hint="cs"/>
          <w:color w:val="auto"/>
          <w:rtl/>
          <w:lang w:bidi="ar-AE"/>
        </w:rPr>
        <w:t>4ـ تعقيد</w:t>
      </w:r>
      <w:r w:rsidRPr="00904FCB">
        <w:rPr>
          <w:rFonts w:hint="cs"/>
          <w:color w:val="auto"/>
          <w:rtl/>
          <w:lang w:bidi="ar-AE"/>
        </w:rPr>
        <w:t xml:space="preserve"> المجتمعات المعاصرة</w:t>
      </w:r>
    </w:p>
    <w:p w:rsidR="00952E59" w:rsidRPr="00904FCB" w:rsidRDefault="00952E59" w:rsidP="007A21AA">
      <w:pPr>
        <w:spacing w:line="400" w:lineRule="exact"/>
        <w:rPr>
          <w:rtl/>
          <w:lang w:bidi="ar-AE"/>
        </w:rPr>
      </w:pPr>
      <w:r w:rsidRPr="00904FCB">
        <w:rPr>
          <w:rFonts w:hint="cs"/>
          <w:rtl/>
          <w:lang w:bidi="ar-AE"/>
        </w:rPr>
        <w:t>عندما يدور الحديث عن المجتمع المثالي في الأوساط الإسلامية فإن الأذهان تنتقل مباشرة إلى صدر الإسلام، حيث مدينة النبي</w:t>
      </w:r>
      <w:r w:rsidR="00610C77" w:rsidRPr="00904FCB">
        <w:rPr>
          <w:rFonts w:hint="cs"/>
          <w:rtl/>
          <w:lang w:bidi="ar-AE"/>
        </w:rPr>
        <w:t>ّ</w:t>
      </w:r>
      <w:r w:rsidRPr="00904FCB">
        <w:rPr>
          <w:rFonts w:hint="cs"/>
          <w:rtl/>
          <w:lang w:bidi="ar-AE"/>
        </w:rPr>
        <w:t xml:space="preserve"> والمجتمع المدني.</w:t>
      </w:r>
    </w:p>
    <w:p w:rsidR="00952E59" w:rsidRPr="00904FCB" w:rsidRDefault="00952E59" w:rsidP="007A21AA">
      <w:pPr>
        <w:spacing w:line="400" w:lineRule="exact"/>
        <w:rPr>
          <w:rtl/>
          <w:lang w:bidi="ar-AE"/>
        </w:rPr>
      </w:pPr>
      <w:r w:rsidRPr="00904FCB">
        <w:rPr>
          <w:rFonts w:hint="cs"/>
          <w:rtl/>
          <w:lang w:bidi="ar-AE"/>
        </w:rPr>
        <w:t>ومم</w:t>
      </w:r>
      <w:r w:rsidR="00610C77" w:rsidRPr="00904FCB">
        <w:rPr>
          <w:rFonts w:hint="cs"/>
          <w:rtl/>
          <w:lang w:bidi="ar-AE"/>
        </w:rPr>
        <w:t>ّ</w:t>
      </w:r>
      <w:r w:rsidRPr="00904FCB">
        <w:rPr>
          <w:rFonts w:hint="cs"/>
          <w:rtl/>
          <w:lang w:bidi="ar-AE"/>
        </w:rPr>
        <w:t>ا لا ش</w:t>
      </w:r>
      <w:r w:rsidR="00610C77" w:rsidRPr="00904FCB">
        <w:rPr>
          <w:rFonts w:hint="cs"/>
          <w:rtl/>
          <w:lang w:bidi="ar-AE"/>
        </w:rPr>
        <w:t>َ</w:t>
      </w:r>
      <w:r w:rsidRPr="00904FCB">
        <w:rPr>
          <w:rFonts w:hint="cs"/>
          <w:rtl/>
          <w:lang w:bidi="ar-AE"/>
        </w:rPr>
        <w:t>ك</w:t>
      </w:r>
      <w:r w:rsidR="00610C77" w:rsidRPr="00904FCB">
        <w:rPr>
          <w:rFonts w:hint="cs"/>
          <w:rtl/>
          <w:lang w:bidi="ar-AE"/>
        </w:rPr>
        <w:t>َّ</w:t>
      </w:r>
      <w:r w:rsidRPr="00904FCB">
        <w:rPr>
          <w:rFonts w:hint="cs"/>
          <w:rtl/>
          <w:lang w:bidi="ar-AE"/>
        </w:rPr>
        <w:t xml:space="preserve"> فيه أن الذي حدث في مدينة النبي</w:t>
      </w:r>
      <w:r w:rsidR="00610C77" w:rsidRPr="00904FCB">
        <w:rPr>
          <w:rFonts w:hint="cs"/>
          <w:rtl/>
          <w:lang w:bidi="ar-AE"/>
        </w:rPr>
        <w:t>ّ</w:t>
      </w:r>
      <w:r w:rsidRPr="00904FCB">
        <w:rPr>
          <w:rFonts w:hint="cs"/>
          <w:rtl/>
          <w:lang w:bidi="ar-AE"/>
        </w:rPr>
        <w:t xml:space="preserve"> آنذاك مثّ</w:t>
      </w:r>
      <w:r w:rsidR="00610C77" w:rsidRPr="00904FCB">
        <w:rPr>
          <w:rFonts w:hint="cs"/>
          <w:rtl/>
          <w:lang w:bidi="ar-AE"/>
        </w:rPr>
        <w:t>َ</w:t>
      </w:r>
      <w:r w:rsidRPr="00904FCB">
        <w:rPr>
          <w:rFonts w:hint="cs"/>
          <w:rtl/>
          <w:lang w:bidi="ar-AE"/>
        </w:rPr>
        <w:t>ل أبرز وأروع نموذج عرفه المسلم</w:t>
      </w:r>
      <w:r w:rsidR="00610C77" w:rsidRPr="00904FCB">
        <w:rPr>
          <w:rFonts w:hint="cs"/>
          <w:rtl/>
          <w:lang w:bidi="ar-AE"/>
        </w:rPr>
        <w:t>و</w:t>
      </w:r>
      <w:r w:rsidRPr="00904FCB">
        <w:rPr>
          <w:rFonts w:hint="cs"/>
          <w:rtl/>
          <w:lang w:bidi="ar-AE"/>
        </w:rPr>
        <w:t>ن على مدى التاريخ الإسلامي الحافل.</w:t>
      </w:r>
    </w:p>
    <w:p w:rsidR="00952E59" w:rsidRPr="00904FCB" w:rsidRDefault="00952E59" w:rsidP="007A21AA">
      <w:pPr>
        <w:spacing w:line="400" w:lineRule="exact"/>
        <w:rPr>
          <w:rtl/>
          <w:lang w:bidi="ar-AE"/>
        </w:rPr>
      </w:pPr>
      <w:r w:rsidRPr="00904FCB">
        <w:rPr>
          <w:rFonts w:hint="cs"/>
          <w:rtl/>
          <w:lang w:bidi="ar-AE"/>
        </w:rPr>
        <w:t>وقد ص</w:t>
      </w:r>
      <w:r w:rsidR="00610C77" w:rsidRPr="00904FCB">
        <w:rPr>
          <w:rFonts w:hint="cs"/>
          <w:rtl/>
          <w:lang w:bidi="ar-AE"/>
        </w:rPr>
        <w:t>ُ</w:t>
      </w:r>
      <w:r w:rsidRPr="00904FCB">
        <w:rPr>
          <w:rFonts w:hint="cs"/>
          <w:rtl/>
          <w:lang w:bidi="ar-AE"/>
        </w:rPr>
        <w:t>ن</w:t>
      </w:r>
      <w:r w:rsidR="00610C77" w:rsidRPr="00904FCB">
        <w:rPr>
          <w:rFonts w:hint="cs"/>
          <w:rtl/>
          <w:lang w:bidi="ar-AE"/>
        </w:rPr>
        <w:t>ِّ</w:t>
      </w:r>
      <w:r w:rsidRPr="00904FCB">
        <w:rPr>
          <w:rFonts w:hint="cs"/>
          <w:rtl/>
          <w:lang w:bidi="ar-AE"/>
        </w:rPr>
        <w:t xml:space="preserve">ف الدستور المدني </w:t>
      </w:r>
      <w:r w:rsidRPr="00904FCB">
        <w:rPr>
          <w:rFonts w:hint="eastAsia"/>
          <w:rtl/>
          <w:lang w:bidi="ar-AE"/>
        </w:rPr>
        <w:t>«</w:t>
      </w:r>
      <w:r w:rsidRPr="00904FCB">
        <w:rPr>
          <w:rFonts w:hint="cs"/>
          <w:rtl/>
          <w:lang w:bidi="ar-AE"/>
        </w:rPr>
        <w:t>تاريخياً</w:t>
      </w:r>
      <w:r w:rsidRPr="00904FCB">
        <w:rPr>
          <w:rFonts w:hint="eastAsia"/>
          <w:rtl/>
          <w:lang w:bidi="ar-AE"/>
        </w:rPr>
        <w:t>»</w:t>
      </w:r>
      <w:r w:rsidRPr="00904FCB">
        <w:rPr>
          <w:rFonts w:hint="cs"/>
          <w:rtl/>
          <w:lang w:bidi="ar-AE"/>
        </w:rPr>
        <w:t xml:space="preserve"> </w:t>
      </w:r>
      <w:r w:rsidR="00610C77" w:rsidRPr="00904FCB">
        <w:rPr>
          <w:rFonts w:hint="cs"/>
          <w:rtl/>
          <w:lang w:bidi="ar-AE"/>
        </w:rPr>
        <w:t>بين</w:t>
      </w:r>
      <w:r w:rsidRPr="00904FCB">
        <w:rPr>
          <w:rFonts w:hint="cs"/>
          <w:rtl/>
          <w:lang w:bidi="ar-AE"/>
        </w:rPr>
        <w:t xml:space="preserve"> أقدم وأعرق الدساتير في العالم. </w:t>
      </w:r>
    </w:p>
    <w:p w:rsidR="00952E59" w:rsidRPr="00904FCB" w:rsidRDefault="00952E59" w:rsidP="007A21AA">
      <w:pPr>
        <w:spacing w:line="400" w:lineRule="exact"/>
        <w:rPr>
          <w:rtl/>
          <w:lang w:bidi="ar-AE"/>
        </w:rPr>
      </w:pPr>
      <w:r w:rsidRPr="00904FCB">
        <w:rPr>
          <w:rFonts w:hint="cs"/>
          <w:rtl/>
          <w:lang w:bidi="ar-AE"/>
        </w:rPr>
        <w:t>لكن</w:t>
      </w:r>
      <w:r w:rsidR="00610C77" w:rsidRPr="00904FCB">
        <w:rPr>
          <w:rFonts w:hint="cs"/>
          <w:rtl/>
          <w:lang w:bidi="ar-AE"/>
        </w:rPr>
        <w:t>ْ</w:t>
      </w:r>
      <w:r w:rsidRPr="00904FCB">
        <w:rPr>
          <w:rFonts w:hint="cs"/>
          <w:rtl/>
          <w:lang w:bidi="ar-AE"/>
        </w:rPr>
        <w:t xml:space="preserve"> مع كل</w:t>
      </w:r>
      <w:r w:rsidR="00610C77" w:rsidRPr="00904FCB">
        <w:rPr>
          <w:rFonts w:hint="cs"/>
          <w:rtl/>
          <w:lang w:bidi="ar-AE"/>
        </w:rPr>
        <w:t>ّ</w:t>
      </w:r>
      <w:r w:rsidRPr="00904FCB">
        <w:rPr>
          <w:rFonts w:hint="cs"/>
          <w:rtl/>
          <w:lang w:bidi="ar-AE"/>
        </w:rPr>
        <w:t xml:space="preserve"> هذا فإن المجتمعات المعاصرة أصبحت معق</w:t>
      </w:r>
      <w:r w:rsidR="00583BA1">
        <w:rPr>
          <w:rFonts w:hint="cs"/>
          <w:rtl/>
          <w:lang w:bidi="ar-AE"/>
        </w:rPr>
        <w:t>َّ</w:t>
      </w:r>
      <w:r w:rsidRPr="00904FCB">
        <w:rPr>
          <w:rFonts w:hint="cs"/>
          <w:rtl/>
          <w:lang w:bidi="ar-AE"/>
        </w:rPr>
        <w:t>دة أكثر من أي</w:t>
      </w:r>
      <w:r w:rsidR="00610C77" w:rsidRPr="00904FCB">
        <w:rPr>
          <w:rFonts w:hint="cs"/>
          <w:rtl/>
          <w:lang w:bidi="ar-AE"/>
        </w:rPr>
        <w:t>ّ</w:t>
      </w:r>
      <w:r w:rsidRPr="00904FCB">
        <w:rPr>
          <w:rFonts w:hint="cs"/>
          <w:rtl/>
          <w:lang w:bidi="ar-AE"/>
        </w:rPr>
        <w:t xml:space="preserve"> وقت مضى</w:t>
      </w:r>
      <w:r w:rsidR="00610C77" w:rsidRPr="00904FCB">
        <w:rPr>
          <w:rFonts w:hint="cs"/>
          <w:rtl/>
          <w:lang w:bidi="ar-AE"/>
        </w:rPr>
        <w:t>.</w:t>
      </w:r>
      <w:r w:rsidRPr="00904FCB">
        <w:rPr>
          <w:rFonts w:hint="cs"/>
          <w:rtl/>
          <w:lang w:bidi="ar-AE"/>
        </w:rPr>
        <w:t xml:space="preserve"> وهذه التعقيدات لم تقتصر على جانب محد</w:t>
      </w:r>
      <w:r w:rsidR="00610C77" w:rsidRPr="00904FCB">
        <w:rPr>
          <w:rFonts w:hint="cs"/>
          <w:rtl/>
          <w:lang w:bidi="ar-AE"/>
        </w:rPr>
        <w:t>ّ</w:t>
      </w:r>
      <w:r w:rsidRPr="00904FCB">
        <w:rPr>
          <w:rFonts w:hint="cs"/>
          <w:rtl/>
          <w:lang w:bidi="ar-AE"/>
        </w:rPr>
        <w:t>د</w:t>
      </w:r>
      <w:r w:rsidR="00610C77" w:rsidRPr="00904FCB">
        <w:rPr>
          <w:rFonts w:hint="cs"/>
          <w:rtl/>
          <w:lang w:bidi="ar-AE"/>
        </w:rPr>
        <w:t>،</w:t>
      </w:r>
      <w:r w:rsidRPr="00904FCB">
        <w:rPr>
          <w:rFonts w:hint="cs"/>
          <w:rtl/>
          <w:lang w:bidi="ar-AE"/>
        </w:rPr>
        <w:t xml:space="preserve"> وإنما شملت كافة الميادين</w:t>
      </w:r>
      <w:r w:rsidR="00610C77" w:rsidRPr="00904FCB">
        <w:rPr>
          <w:rFonts w:hint="cs"/>
          <w:rtl/>
          <w:lang w:bidi="ar-AE"/>
        </w:rPr>
        <w:t>،</w:t>
      </w:r>
      <w:r w:rsidRPr="00904FCB">
        <w:rPr>
          <w:rFonts w:hint="cs"/>
          <w:rtl/>
          <w:lang w:bidi="ar-AE"/>
        </w:rPr>
        <w:t xml:space="preserve"> </w:t>
      </w:r>
      <w:r w:rsidR="00610C77" w:rsidRPr="00904FCB">
        <w:rPr>
          <w:rFonts w:hint="cs"/>
          <w:rtl/>
          <w:lang w:bidi="ar-AE"/>
        </w:rPr>
        <w:t>ومن</w:t>
      </w:r>
      <w:r w:rsidRPr="00904FCB">
        <w:rPr>
          <w:rFonts w:hint="cs"/>
          <w:rtl/>
          <w:lang w:bidi="ar-AE"/>
        </w:rPr>
        <w:t>ها</w:t>
      </w:r>
      <w:r w:rsidR="00610C77" w:rsidRPr="00904FCB">
        <w:rPr>
          <w:rFonts w:hint="cs"/>
          <w:rtl/>
          <w:lang w:bidi="ar-AE"/>
        </w:rPr>
        <w:t>:</w:t>
      </w:r>
      <w:r w:rsidRPr="00904FCB">
        <w:rPr>
          <w:rFonts w:hint="cs"/>
          <w:rtl/>
          <w:lang w:bidi="ar-AE"/>
        </w:rPr>
        <w:t xml:space="preserve"> الاقتصادية والسياسية والاجتماعية</w:t>
      </w:r>
      <w:r w:rsidR="00610C77" w:rsidRPr="00904FCB">
        <w:rPr>
          <w:rFonts w:hint="cs"/>
          <w:rtl/>
          <w:lang w:bidi="ar-AE"/>
        </w:rPr>
        <w:t>،</w:t>
      </w:r>
      <w:r w:rsidRPr="00904FCB">
        <w:rPr>
          <w:rFonts w:hint="cs"/>
          <w:rtl/>
          <w:lang w:bidi="ar-AE"/>
        </w:rPr>
        <w:t xml:space="preserve"> الأمر الذي يجعل من الصعب مقارنتها ـ أي المجتمعات المعاصرة ـ بأي</w:t>
      </w:r>
      <w:r w:rsidR="00610C77" w:rsidRPr="00904FCB">
        <w:rPr>
          <w:rFonts w:hint="cs"/>
          <w:rtl/>
          <w:lang w:bidi="ar-AE"/>
        </w:rPr>
        <w:t>ّ</w:t>
      </w:r>
      <w:r w:rsidRPr="00904FCB">
        <w:rPr>
          <w:rFonts w:hint="cs"/>
          <w:rtl/>
          <w:lang w:bidi="ar-AE"/>
        </w:rPr>
        <w:t xml:space="preserve"> مجتمع</w:t>
      </w:r>
      <w:r w:rsidR="00610C77" w:rsidRPr="00904FCB">
        <w:rPr>
          <w:rFonts w:hint="cs"/>
          <w:rtl/>
          <w:lang w:bidi="ar-AE"/>
        </w:rPr>
        <w:t>ٍ</w:t>
      </w:r>
      <w:r w:rsidRPr="00904FCB">
        <w:rPr>
          <w:rFonts w:hint="cs"/>
          <w:rtl/>
          <w:lang w:bidi="ar-AE"/>
        </w:rPr>
        <w:t xml:space="preserve"> بسيط عاش في الزمن الغابر.</w:t>
      </w:r>
    </w:p>
    <w:p w:rsidR="00952E59" w:rsidRPr="00904FCB" w:rsidRDefault="00952E59" w:rsidP="007A21AA">
      <w:pPr>
        <w:spacing w:line="400" w:lineRule="exact"/>
        <w:rPr>
          <w:rtl/>
          <w:lang w:bidi="ar-AE"/>
        </w:rPr>
      </w:pPr>
      <w:r w:rsidRPr="00904FCB">
        <w:rPr>
          <w:rFonts w:hint="cs"/>
          <w:rtl/>
          <w:lang w:bidi="ar-AE"/>
        </w:rPr>
        <w:t>ولا</w:t>
      </w:r>
      <w:r w:rsidR="00610C77" w:rsidRPr="00904FCB">
        <w:rPr>
          <w:rFonts w:hint="cs"/>
          <w:rtl/>
          <w:lang w:bidi="ar-AE"/>
        </w:rPr>
        <w:t xml:space="preserve"> </w:t>
      </w:r>
      <w:r w:rsidRPr="00904FCB">
        <w:rPr>
          <w:rFonts w:hint="cs"/>
          <w:rtl/>
          <w:lang w:bidi="ar-AE"/>
        </w:rPr>
        <w:t>ب</w:t>
      </w:r>
      <w:r w:rsidR="00610C77" w:rsidRPr="00904FCB">
        <w:rPr>
          <w:rFonts w:hint="cs"/>
          <w:rtl/>
          <w:lang w:bidi="ar-AE"/>
        </w:rPr>
        <w:t>ُ</w:t>
      </w:r>
      <w:r w:rsidRPr="00904FCB">
        <w:rPr>
          <w:rFonts w:hint="cs"/>
          <w:rtl/>
          <w:lang w:bidi="ar-AE"/>
        </w:rPr>
        <w:t>د</w:t>
      </w:r>
      <w:r w:rsidR="00610C77" w:rsidRPr="00904FCB">
        <w:rPr>
          <w:rFonts w:hint="cs"/>
          <w:rtl/>
          <w:lang w:bidi="ar-AE"/>
        </w:rPr>
        <w:t>َّ</w:t>
      </w:r>
      <w:r w:rsidRPr="00904FCB">
        <w:rPr>
          <w:rFonts w:hint="cs"/>
          <w:rtl/>
          <w:lang w:bidi="ar-AE"/>
        </w:rPr>
        <w:t xml:space="preserve"> لي هنا من التنويه إلى أن هذا النوع من الرؤية للموضوعات التي مر</w:t>
      </w:r>
      <w:r w:rsidR="00610C77" w:rsidRPr="00904FCB">
        <w:rPr>
          <w:rFonts w:hint="cs"/>
          <w:rtl/>
          <w:lang w:bidi="ar-AE"/>
        </w:rPr>
        <w:t>َّ</w:t>
      </w:r>
      <w:r w:rsidRPr="00904FCB">
        <w:rPr>
          <w:rFonts w:hint="cs"/>
          <w:rtl/>
          <w:lang w:bidi="ar-AE"/>
        </w:rPr>
        <w:t>ت بنا</w:t>
      </w:r>
      <w:r w:rsidR="00610C77" w:rsidRPr="00904FCB">
        <w:rPr>
          <w:rFonts w:hint="cs"/>
          <w:rtl/>
          <w:lang w:bidi="ar-AE"/>
        </w:rPr>
        <w:t>،</w:t>
      </w:r>
      <w:r w:rsidRPr="00904FCB">
        <w:rPr>
          <w:rFonts w:hint="cs"/>
          <w:rtl/>
          <w:lang w:bidi="ar-AE"/>
        </w:rPr>
        <w:t xml:space="preserve"> كموضوع السلطة السياسية، والقانون، والحر</w:t>
      </w:r>
      <w:r w:rsidR="00610C77" w:rsidRPr="00904FCB">
        <w:rPr>
          <w:rFonts w:hint="cs"/>
          <w:rtl/>
          <w:lang w:bidi="ar-AE"/>
        </w:rPr>
        <w:t>ّ</w:t>
      </w:r>
      <w:r w:rsidRPr="00904FCB">
        <w:rPr>
          <w:rFonts w:hint="cs"/>
          <w:rtl/>
          <w:lang w:bidi="ar-AE"/>
        </w:rPr>
        <w:t>ية</w:t>
      </w:r>
      <w:r w:rsidR="00610C77" w:rsidRPr="00904FCB">
        <w:rPr>
          <w:rFonts w:hint="cs"/>
          <w:rtl/>
          <w:lang w:bidi="ar-AE"/>
        </w:rPr>
        <w:t>،</w:t>
      </w:r>
      <w:r w:rsidRPr="00904FCB">
        <w:rPr>
          <w:rFonts w:hint="cs"/>
          <w:rtl/>
          <w:lang w:bidi="ar-AE"/>
        </w:rPr>
        <w:t xml:space="preserve"> وما إلى ذلك، لا يشترك فيها ولا يت</w:t>
      </w:r>
      <w:r w:rsidR="00610C77" w:rsidRPr="00904FCB">
        <w:rPr>
          <w:rFonts w:hint="cs"/>
          <w:rtl/>
          <w:lang w:bidi="ar-AE"/>
        </w:rPr>
        <w:t>ّ</w:t>
      </w:r>
      <w:r w:rsidRPr="00904FCB">
        <w:rPr>
          <w:rFonts w:hint="cs"/>
          <w:rtl/>
          <w:lang w:bidi="ar-AE"/>
        </w:rPr>
        <w:t>فق عليها كاف</w:t>
      </w:r>
      <w:r w:rsidR="00610C77" w:rsidRPr="00904FCB">
        <w:rPr>
          <w:rFonts w:hint="cs"/>
          <w:rtl/>
          <w:lang w:bidi="ar-AE"/>
        </w:rPr>
        <w:t>ّ</w:t>
      </w:r>
      <w:r w:rsidRPr="00904FCB">
        <w:rPr>
          <w:rFonts w:hint="cs"/>
          <w:rtl/>
          <w:lang w:bidi="ar-AE"/>
        </w:rPr>
        <w:t>ة العلماء والمفك</w:t>
      </w:r>
      <w:r w:rsidR="00610C77" w:rsidRPr="00904FCB">
        <w:rPr>
          <w:rFonts w:hint="cs"/>
          <w:rtl/>
          <w:lang w:bidi="ar-AE"/>
        </w:rPr>
        <w:t>ِّ</w:t>
      </w:r>
      <w:r w:rsidRPr="00904FCB">
        <w:rPr>
          <w:rFonts w:hint="cs"/>
          <w:rtl/>
          <w:lang w:bidi="ar-AE"/>
        </w:rPr>
        <w:t>رين ورجال الدين، بل هناك الكثير من العلماء البارزين يرفض هذا النمط من التفكير.</w:t>
      </w:r>
    </w:p>
    <w:p w:rsidR="00952E59" w:rsidRPr="00904FCB" w:rsidRDefault="00952E59" w:rsidP="007A21AA">
      <w:pPr>
        <w:spacing w:line="400" w:lineRule="exact"/>
        <w:rPr>
          <w:rtl/>
          <w:lang w:bidi="ar-AE"/>
        </w:rPr>
      </w:pPr>
      <w:r w:rsidRPr="00904FCB">
        <w:rPr>
          <w:rFonts w:hint="cs"/>
          <w:rtl/>
          <w:lang w:bidi="ar-AE"/>
        </w:rPr>
        <w:t>إننا جميعاً نعرف مواقف وتوج</w:t>
      </w:r>
      <w:r w:rsidR="00610C77" w:rsidRPr="00904FCB">
        <w:rPr>
          <w:rFonts w:hint="cs"/>
          <w:rtl/>
          <w:lang w:bidi="ar-AE"/>
        </w:rPr>
        <w:t>ُّ</w:t>
      </w:r>
      <w:r w:rsidRPr="00904FCB">
        <w:rPr>
          <w:rFonts w:hint="cs"/>
          <w:rtl/>
          <w:lang w:bidi="ar-AE"/>
        </w:rPr>
        <w:t>هات العلماء</w:t>
      </w:r>
      <w:r w:rsidR="00610C77" w:rsidRPr="00904FCB">
        <w:rPr>
          <w:rFonts w:hint="cs"/>
          <w:rtl/>
          <w:lang w:bidi="ar-AE"/>
        </w:rPr>
        <w:t>،</w:t>
      </w:r>
      <w:r w:rsidRPr="00904FCB">
        <w:rPr>
          <w:rFonts w:hint="cs"/>
          <w:rtl/>
          <w:lang w:bidi="ar-AE"/>
        </w:rPr>
        <w:t xml:space="preserve"> أمثال</w:t>
      </w:r>
      <w:r w:rsidR="00610C77" w:rsidRPr="00904FCB">
        <w:rPr>
          <w:rFonts w:hint="cs"/>
          <w:rtl/>
          <w:lang w:bidi="ar-AE"/>
        </w:rPr>
        <w:t>:</w:t>
      </w:r>
      <w:r w:rsidRPr="00904FCB">
        <w:rPr>
          <w:rFonts w:hint="cs"/>
          <w:rtl/>
          <w:lang w:bidi="ar-AE"/>
        </w:rPr>
        <w:t xml:space="preserve"> الطالقاني ومطهري والحائري والطباطبائي والمنتظري</w:t>
      </w:r>
      <w:r w:rsidR="00610C77" w:rsidRPr="00904FCB">
        <w:rPr>
          <w:rFonts w:hint="cs"/>
          <w:rtl/>
          <w:lang w:bidi="ar-AE"/>
        </w:rPr>
        <w:t>.</w:t>
      </w:r>
      <w:r w:rsidRPr="00904FCB">
        <w:rPr>
          <w:rFonts w:hint="cs"/>
          <w:rtl/>
          <w:lang w:bidi="ar-AE"/>
        </w:rPr>
        <w:t xml:space="preserve"> ولا داعي لأن نتعرض لبيان آرائهم هنا.</w:t>
      </w:r>
    </w:p>
    <w:p w:rsidR="00952E59" w:rsidRPr="00904FCB" w:rsidRDefault="00952E59" w:rsidP="007A21AA">
      <w:pPr>
        <w:spacing w:line="400" w:lineRule="exact"/>
        <w:rPr>
          <w:rtl/>
          <w:lang w:bidi="ar-AE"/>
        </w:rPr>
      </w:pPr>
      <w:r w:rsidRPr="00904FCB">
        <w:rPr>
          <w:rFonts w:hint="cs"/>
          <w:rtl/>
          <w:lang w:bidi="ar-AE"/>
        </w:rPr>
        <w:t xml:space="preserve">ومن جملة العلماء الشيعة غير الإيرانيين يمكننا ذكر الشيخ </w:t>
      </w:r>
      <w:r w:rsidR="00610C77" w:rsidRPr="00904FCB">
        <w:rPr>
          <w:rFonts w:hint="cs"/>
          <w:rtl/>
          <w:lang w:bidi="ar-AE"/>
        </w:rPr>
        <w:t xml:space="preserve">محمد </w:t>
      </w:r>
      <w:r w:rsidRPr="00904FCB">
        <w:rPr>
          <w:rFonts w:hint="cs"/>
          <w:rtl/>
          <w:lang w:bidi="ar-AE"/>
        </w:rPr>
        <w:t>جواد م</w:t>
      </w:r>
      <w:r w:rsidR="00610C77" w:rsidRPr="00904FCB">
        <w:rPr>
          <w:rFonts w:hint="cs"/>
          <w:rtl/>
          <w:lang w:bidi="ar-AE"/>
        </w:rPr>
        <w:t>ُ</w:t>
      </w:r>
      <w:r w:rsidRPr="00904FCB">
        <w:rPr>
          <w:rFonts w:hint="cs"/>
          <w:rtl/>
          <w:lang w:bidi="ar-AE"/>
        </w:rPr>
        <w:t>غ</w:t>
      </w:r>
      <w:r w:rsidR="00610C77" w:rsidRPr="00904FCB">
        <w:rPr>
          <w:rFonts w:hint="cs"/>
          <w:rtl/>
          <w:lang w:bidi="ar-AE"/>
        </w:rPr>
        <w:t>ْ</w:t>
      </w:r>
      <w:r w:rsidRPr="00904FCB">
        <w:rPr>
          <w:rFonts w:hint="cs"/>
          <w:rtl/>
          <w:lang w:bidi="ar-AE"/>
        </w:rPr>
        <w:t>ن</w:t>
      </w:r>
      <w:r w:rsidR="00610C77" w:rsidRPr="00904FCB">
        <w:rPr>
          <w:rFonts w:hint="cs"/>
          <w:rtl/>
          <w:lang w:bidi="ar-AE"/>
        </w:rPr>
        <w:t>ِ</w:t>
      </w:r>
      <w:r w:rsidRPr="00904FCB">
        <w:rPr>
          <w:rFonts w:hint="cs"/>
          <w:rtl/>
          <w:lang w:bidi="ar-AE"/>
        </w:rPr>
        <w:t>ي</w:t>
      </w:r>
      <w:r w:rsidR="00610C77" w:rsidRPr="00904FCB">
        <w:rPr>
          <w:rFonts w:hint="cs"/>
          <w:rtl/>
          <w:lang w:bidi="ar-AE"/>
        </w:rPr>
        <w:t>ّ</w:t>
      </w:r>
      <w:r w:rsidRPr="00904FCB">
        <w:rPr>
          <w:rFonts w:hint="cs"/>
          <w:rtl/>
          <w:lang w:bidi="ar-AE"/>
        </w:rPr>
        <w:t>ة</w:t>
      </w:r>
      <w:r w:rsidR="00610C77" w:rsidRPr="00904FCB">
        <w:rPr>
          <w:rFonts w:hint="cs"/>
          <w:rtl/>
          <w:lang w:bidi="ar-AE"/>
        </w:rPr>
        <w:t>،</w:t>
      </w:r>
      <w:r w:rsidRPr="00904FCB">
        <w:rPr>
          <w:rFonts w:hint="cs"/>
          <w:rtl/>
          <w:lang w:bidi="ar-AE"/>
        </w:rPr>
        <w:t xml:space="preserve"> وهو من خيرة علماء لبنان ومنظ</w:t>
      </w:r>
      <w:r w:rsidR="00610C77" w:rsidRPr="00904FCB">
        <w:rPr>
          <w:rFonts w:hint="cs"/>
          <w:rtl/>
          <w:lang w:bidi="ar-AE"/>
        </w:rPr>
        <w:t>ِّ</w:t>
      </w:r>
      <w:r w:rsidRPr="00904FCB">
        <w:rPr>
          <w:rFonts w:hint="cs"/>
          <w:rtl/>
          <w:lang w:bidi="ar-AE"/>
        </w:rPr>
        <w:t>ريه</w:t>
      </w:r>
      <w:r w:rsidR="00610C77" w:rsidRPr="00904FCB">
        <w:rPr>
          <w:rFonts w:hint="cs"/>
          <w:rtl/>
          <w:lang w:bidi="ar-AE"/>
        </w:rPr>
        <w:t>.</w:t>
      </w:r>
      <w:r w:rsidRPr="00904FCB">
        <w:rPr>
          <w:rFonts w:hint="cs"/>
          <w:rtl/>
          <w:lang w:bidi="ar-AE"/>
        </w:rPr>
        <w:t xml:space="preserve"> وقد كان يرى في</w:t>
      </w:r>
      <w:r w:rsidR="00610C77" w:rsidRPr="00904FCB">
        <w:rPr>
          <w:rFonts w:hint="cs"/>
          <w:rtl/>
          <w:lang w:bidi="ar-AE"/>
        </w:rPr>
        <w:t xml:space="preserve"> </w:t>
      </w:r>
      <w:r w:rsidRPr="00904FCB">
        <w:rPr>
          <w:rFonts w:hint="cs"/>
          <w:rtl/>
          <w:lang w:bidi="ar-AE"/>
        </w:rPr>
        <w:t>ما يتعل</w:t>
      </w:r>
      <w:r w:rsidR="00610C77" w:rsidRPr="00904FCB">
        <w:rPr>
          <w:rFonts w:hint="cs"/>
          <w:rtl/>
          <w:lang w:bidi="ar-AE"/>
        </w:rPr>
        <w:t xml:space="preserve">َّق بنظرية الحكم والدولة </w:t>
      </w:r>
      <w:r w:rsidRPr="00904FCB">
        <w:rPr>
          <w:rFonts w:hint="eastAsia"/>
          <w:rtl/>
          <w:lang w:bidi="ar-AE"/>
        </w:rPr>
        <w:t>«</w:t>
      </w:r>
      <w:r w:rsidRPr="00904FCB">
        <w:rPr>
          <w:rFonts w:hint="cs"/>
          <w:rtl/>
          <w:lang w:bidi="ar-AE"/>
        </w:rPr>
        <w:t>أن حاجة المجتمع إلى تأسيس الدولة ليست حاجة وضعية يمكن للشرع إقرارها أو نفيها</w:t>
      </w:r>
      <w:r w:rsidR="004F69C5" w:rsidRPr="00904FCB">
        <w:rPr>
          <w:rFonts w:hint="cs"/>
          <w:rtl/>
          <w:lang w:bidi="ar-AE"/>
        </w:rPr>
        <w:t>،</w:t>
      </w:r>
      <w:r w:rsidRPr="00904FCB">
        <w:rPr>
          <w:rFonts w:hint="cs"/>
          <w:rtl/>
          <w:lang w:bidi="ar-AE"/>
        </w:rPr>
        <w:t xml:space="preserve"> وإنما هي أمر ضروري لا</w:t>
      </w:r>
      <w:r w:rsidR="004F69C5" w:rsidRPr="00904FCB">
        <w:rPr>
          <w:rFonts w:hint="cs"/>
          <w:rtl/>
          <w:lang w:bidi="ar-AE"/>
        </w:rPr>
        <w:t xml:space="preserve"> </w:t>
      </w:r>
      <w:r w:rsidRPr="00904FCB">
        <w:rPr>
          <w:rFonts w:hint="cs"/>
          <w:rtl/>
          <w:lang w:bidi="ar-AE"/>
        </w:rPr>
        <w:t>ب</w:t>
      </w:r>
      <w:r w:rsidR="004F69C5" w:rsidRPr="00904FCB">
        <w:rPr>
          <w:rFonts w:hint="cs"/>
          <w:rtl/>
          <w:lang w:bidi="ar-AE"/>
        </w:rPr>
        <w:t>ُ</w:t>
      </w:r>
      <w:r w:rsidRPr="00904FCB">
        <w:rPr>
          <w:rFonts w:hint="cs"/>
          <w:rtl/>
          <w:lang w:bidi="ar-AE"/>
        </w:rPr>
        <w:t>د</w:t>
      </w:r>
      <w:r w:rsidR="004F69C5" w:rsidRPr="00904FCB">
        <w:rPr>
          <w:rFonts w:hint="cs"/>
          <w:rtl/>
          <w:lang w:bidi="ar-AE"/>
        </w:rPr>
        <w:t>َّ</w:t>
      </w:r>
      <w:r w:rsidRPr="00904FCB">
        <w:rPr>
          <w:rFonts w:hint="cs"/>
          <w:rtl/>
          <w:lang w:bidi="ar-AE"/>
        </w:rPr>
        <w:t xml:space="preserve"> منه.</w:t>
      </w:r>
      <w:r w:rsidR="004F69C5" w:rsidRPr="00904FCB">
        <w:rPr>
          <w:rFonts w:hint="cs"/>
          <w:rtl/>
          <w:lang w:bidi="ar-AE"/>
        </w:rPr>
        <w:t>.</w:t>
      </w:r>
      <w:r w:rsidRPr="00904FCB">
        <w:rPr>
          <w:rFonts w:hint="cs"/>
          <w:rtl/>
          <w:lang w:bidi="ar-AE"/>
        </w:rPr>
        <w:t>. والفقيه العادل من الناحية الشرعية لا ولاية سياسية له، كما لا ولاية للفقهاء على الراشدين. وليس المراد من إقامة الدولة الإسلامية تسل</w:t>
      </w:r>
      <w:r w:rsidR="00583BA1">
        <w:rPr>
          <w:rFonts w:hint="cs"/>
          <w:rtl/>
          <w:lang w:bidi="ar-AE"/>
        </w:rPr>
        <w:t>ُّ</w:t>
      </w:r>
      <w:r w:rsidRPr="00904FCB">
        <w:rPr>
          <w:rFonts w:hint="cs"/>
          <w:rtl/>
          <w:lang w:bidi="ar-AE"/>
        </w:rPr>
        <w:t>ط الفقهاء ورجال الدين</w:t>
      </w:r>
      <w:r w:rsidR="00B77F64" w:rsidRPr="00904FCB">
        <w:rPr>
          <w:rFonts w:hint="cs"/>
          <w:rtl/>
          <w:lang w:bidi="ar-AE"/>
        </w:rPr>
        <w:t>،</w:t>
      </w:r>
      <w:r w:rsidRPr="00904FCB">
        <w:rPr>
          <w:rFonts w:hint="cs"/>
          <w:rtl/>
          <w:lang w:bidi="ar-AE"/>
        </w:rPr>
        <w:t xml:space="preserve"> وتفويض السلطة السياسية لهم حصراً.</w:t>
      </w:r>
      <w:r w:rsidR="00B77F64" w:rsidRPr="00904FCB">
        <w:rPr>
          <w:rFonts w:hint="cs"/>
          <w:rtl/>
          <w:lang w:bidi="ar-AE"/>
        </w:rPr>
        <w:t>.</w:t>
      </w:r>
      <w:r w:rsidRPr="00904FCB">
        <w:rPr>
          <w:rFonts w:hint="cs"/>
          <w:rtl/>
          <w:lang w:bidi="ar-AE"/>
        </w:rPr>
        <w:t>.</w:t>
      </w:r>
      <w:r w:rsidR="00B77F64" w:rsidRPr="00904FCB">
        <w:rPr>
          <w:rFonts w:hint="cs"/>
          <w:rtl/>
          <w:lang w:bidi="ar-AE"/>
        </w:rPr>
        <w:t>،</w:t>
      </w:r>
      <w:r w:rsidRPr="00904FCB">
        <w:rPr>
          <w:rFonts w:hint="cs"/>
          <w:rtl/>
          <w:lang w:bidi="ar-AE"/>
        </w:rPr>
        <w:t xml:space="preserve"> وإنما المراد من أسلمة الدولة</w:t>
      </w:r>
      <w:r w:rsidR="00B77F64" w:rsidRPr="00904FCB">
        <w:rPr>
          <w:rFonts w:hint="cs"/>
          <w:rtl/>
          <w:lang w:bidi="ar-AE"/>
        </w:rPr>
        <w:t>،</w:t>
      </w:r>
      <w:r w:rsidRPr="00904FCB">
        <w:rPr>
          <w:rFonts w:hint="cs"/>
          <w:rtl/>
          <w:lang w:bidi="ar-AE"/>
        </w:rPr>
        <w:t xml:space="preserve"> بل إن أهم معالم الدولة الإسلامية</w:t>
      </w:r>
      <w:r w:rsidR="00B77F64" w:rsidRPr="00904FCB">
        <w:rPr>
          <w:rFonts w:hint="cs"/>
          <w:rtl/>
          <w:lang w:bidi="ar-AE"/>
        </w:rPr>
        <w:t>،</w:t>
      </w:r>
      <w:r w:rsidRPr="00904FCB">
        <w:rPr>
          <w:rFonts w:hint="cs"/>
          <w:rtl/>
          <w:lang w:bidi="ar-AE"/>
        </w:rPr>
        <w:t xml:space="preserve"> هو </w:t>
      </w:r>
      <w:r w:rsidRPr="00904FCB">
        <w:rPr>
          <w:rFonts w:hint="cs"/>
          <w:rtl/>
          <w:lang w:bidi="ar-AE"/>
        </w:rPr>
        <w:lastRenderedPageBreak/>
        <w:t>الإ</w:t>
      </w:r>
      <w:r w:rsidR="00B77F64" w:rsidRPr="00904FCB">
        <w:rPr>
          <w:rFonts w:hint="cs"/>
          <w:rtl/>
          <w:lang w:bidi="ar-AE"/>
        </w:rPr>
        <w:t>خلاص والكفاءة والعدالة والأمانة.</w:t>
      </w:r>
      <w:r w:rsidRPr="00904FCB">
        <w:rPr>
          <w:rFonts w:hint="cs"/>
          <w:rtl/>
          <w:lang w:bidi="ar-AE"/>
        </w:rPr>
        <w:t>.. وليس من الضروري أن يكون رئيس الدولة فقيهاً ومجتهداً</w:t>
      </w:r>
      <w:r w:rsidR="00B77F64" w:rsidRPr="00904FCB">
        <w:rPr>
          <w:rFonts w:hint="cs"/>
          <w:rtl/>
          <w:lang w:bidi="ar-AE"/>
        </w:rPr>
        <w:t>،</w:t>
      </w:r>
      <w:r w:rsidRPr="00904FCB">
        <w:rPr>
          <w:rFonts w:hint="cs"/>
          <w:rtl/>
          <w:lang w:bidi="ar-AE"/>
        </w:rPr>
        <w:t xml:space="preserve"> بل يكفي كونه ملتزماً بأحكام الشريعة</w:t>
      </w:r>
      <w:r w:rsidRPr="00904FCB">
        <w:rPr>
          <w:rFonts w:hint="eastAsia"/>
          <w:rtl/>
          <w:lang w:bidi="ar-AE"/>
        </w:rPr>
        <w:t>»</w:t>
      </w:r>
      <w:r w:rsidRPr="00904FCB">
        <w:rPr>
          <w:rFonts w:hint="cs"/>
          <w:rtl/>
          <w:lang w:bidi="ar-AE"/>
        </w:rPr>
        <w:t>.</w:t>
      </w:r>
    </w:p>
    <w:p w:rsidR="00952E59" w:rsidRPr="00904FCB" w:rsidRDefault="00952E59" w:rsidP="007A21AA">
      <w:pPr>
        <w:spacing w:line="400" w:lineRule="exact"/>
        <w:rPr>
          <w:rtl/>
          <w:lang w:bidi="ar-AE"/>
        </w:rPr>
      </w:pPr>
      <w:r w:rsidRPr="00904FCB">
        <w:rPr>
          <w:rFonts w:hint="eastAsia"/>
          <w:rtl/>
          <w:lang w:bidi="ar-AE"/>
        </w:rPr>
        <w:t>«</w:t>
      </w:r>
      <w:r w:rsidRPr="00904FCB">
        <w:rPr>
          <w:rFonts w:hint="cs"/>
          <w:rtl/>
          <w:lang w:bidi="ar-AE"/>
        </w:rPr>
        <w:t>إن الدولة تتحق</w:t>
      </w:r>
      <w:r w:rsidR="00B77F64" w:rsidRPr="00904FCB">
        <w:rPr>
          <w:rFonts w:hint="cs"/>
          <w:rtl/>
          <w:lang w:bidi="ar-AE"/>
        </w:rPr>
        <w:t>ّ</w:t>
      </w:r>
      <w:r w:rsidRPr="00904FCB">
        <w:rPr>
          <w:rFonts w:hint="cs"/>
          <w:rtl/>
          <w:lang w:bidi="ar-AE"/>
        </w:rPr>
        <w:t>ق بالفعل</w:t>
      </w:r>
      <w:r w:rsidR="00B77F64" w:rsidRPr="00904FCB">
        <w:rPr>
          <w:rFonts w:hint="cs"/>
          <w:rtl/>
          <w:lang w:bidi="ar-AE"/>
        </w:rPr>
        <w:t>،</w:t>
      </w:r>
      <w:r w:rsidRPr="00904FCB">
        <w:rPr>
          <w:rFonts w:hint="cs"/>
          <w:rtl/>
          <w:lang w:bidi="ar-AE"/>
        </w:rPr>
        <w:t xml:space="preserve"> وليس بالفاعل، بالمضمون</w:t>
      </w:r>
      <w:r w:rsidR="00B77F64" w:rsidRPr="00904FCB">
        <w:rPr>
          <w:rFonts w:hint="cs"/>
          <w:rtl/>
          <w:lang w:bidi="ar-AE"/>
        </w:rPr>
        <w:t>،</w:t>
      </w:r>
      <w:r w:rsidRPr="00904FCB">
        <w:rPr>
          <w:rFonts w:hint="cs"/>
          <w:rtl/>
          <w:lang w:bidi="ar-AE"/>
        </w:rPr>
        <w:t xml:space="preserve"> وليس بالظاهر والقشور</w:t>
      </w:r>
      <w:r w:rsidRPr="00904FCB">
        <w:rPr>
          <w:rFonts w:hint="eastAsia"/>
          <w:rtl/>
          <w:lang w:bidi="ar-AE"/>
        </w:rPr>
        <w:t>»</w:t>
      </w:r>
      <w:r w:rsidRPr="00904FCB">
        <w:rPr>
          <w:rFonts w:hint="cs"/>
          <w:rtl/>
          <w:lang w:bidi="ar-AE"/>
        </w:rPr>
        <w:t>.</w:t>
      </w:r>
    </w:p>
    <w:p w:rsidR="00952E59" w:rsidRPr="00904FCB" w:rsidRDefault="00ED1FDA" w:rsidP="007A21AA">
      <w:pPr>
        <w:spacing w:line="400" w:lineRule="exact"/>
        <w:rPr>
          <w:rtl/>
          <w:lang w:bidi="ar-AE"/>
        </w:rPr>
      </w:pPr>
      <w:r w:rsidRPr="00904FCB">
        <w:rPr>
          <w:rFonts w:hint="cs"/>
          <w:rtl/>
          <w:lang w:bidi="ar-AE"/>
        </w:rPr>
        <w:t>و</w:t>
      </w:r>
      <w:r w:rsidR="00952E59" w:rsidRPr="00904FCB">
        <w:rPr>
          <w:rFonts w:hint="eastAsia"/>
          <w:rtl/>
          <w:lang w:bidi="ar-AE"/>
        </w:rPr>
        <w:t>«</w:t>
      </w:r>
      <w:r w:rsidR="00952E59" w:rsidRPr="00904FCB">
        <w:rPr>
          <w:rFonts w:hint="cs"/>
          <w:rtl/>
          <w:lang w:bidi="ar-AE"/>
        </w:rPr>
        <w:t>لا</w:t>
      </w:r>
      <w:r w:rsidRPr="00904FCB">
        <w:rPr>
          <w:rFonts w:hint="cs"/>
          <w:rtl/>
          <w:lang w:bidi="ar-AE"/>
        </w:rPr>
        <w:t xml:space="preserve"> </w:t>
      </w:r>
      <w:r w:rsidR="00952E59" w:rsidRPr="00904FCB">
        <w:rPr>
          <w:rFonts w:hint="cs"/>
          <w:rtl/>
          <w:lang w:bidi="ar-AE"/>
        </w:rPr>
        <w:t>ب</w:t>
      </w:r>
      <w:r w:rsidR="00B77F64" w:rsidRPr="00904FCB">
        <w:rPr>
          <w:rFonts w:hint="cs"/>
          <w:rtl/>
          <w:lang w:bidi="ar-AE"/>
        </w:rPr>
        <w:t>ُ</w:t>
      </w:r>
      <w:r w:rsidR="00952E59" w:rsidRPr="00904FCB">
        <w:rPr>
          <w:rFonts w:hint="cs"/>
          <w:rtl/>
          <w:lang w:bidi="ar-AE"/>
        </w:rPr>
        <w:t>د</w:t>
      </w:r>
      <w:r w:rsidR="00B77F64" w:rsidRPr="00904FCB">
        <w:rPr>
          <w:rFonts w:hint="cs"/>
          <w:rtl/>
          <w:lang w:bidi="ar-AE"/>
        </w:rPr>
        <w:t>َّ</w:t>
      </w:r>
      <w:r w:rsidR="00952E59" w:rsidRPr="00904FCB">
        <w:rPr>
          <w:rFonts w:hint="cs"/>
          <w:rtl/>
          <w:lang w:bidi="ar-AE"/>
        </w:rPr>
        <w:t xml:space="preserve"> لرئيس الدولة الإسلامية أن ينتخب عن طريق اقتراع الناس... ونحن لا نملك خياراً آخر سوى اللجوء إلى أصوات الناخبين</w:t>
      </w:r>
      <w:r w:rsidR="00952E59" w:rsidRPr="00904FCB">
        <w:rPr>
          <w:rFonts w:hint="eastAsia"/>
          <w:rtl/>
          <w:lang w:bidi="ar-AE"/>
        </w:rPr>
        <w:t>»</w:t>
      </w:r>
      <w:r w:rsidR="00952E59" w:rsidRPr="00904FCB">
        <w:rPr>
          <w:rFonts w:hint="cs"/>
          <w:vertAlign w:val="superscript"/>
          <w:rtl/>
        </w:rPr>
        <w:t>(</w:t>
      </w:r>
      <w:r w:rsidR="00952E59" w:rsidRPr="00904FCB">
        <w:rPr>
          <w:vertAlign w:val="superscript"/>
        </w:rPr>
        <w:endnoteReference w:id="341"/>
      </w:r>
      <w:r w:rsidR="00952E59" w:rsidRPr="00904FCB">
        <w:rPr>
          <w:rFonts w:hint="cs"/>
          <w:vertAlign w:val="superscript"/>
          <w:rtl/>
        </w:rPr>
        <w:t>)</w:t>
      </w:r>
      <w:r w:rsidR="00952E59" w:rsidRPr="00904FCB">
        <w:rPr>
          <w:rFonts w:hint="cs"/>
          <w:rtl/>
          <w:lang w:bidi="ar-AE"/>
        </w:rPr>
        <w:t>.</w:t>
      </w:r>
    </w:p>
    <w:p w:rsidR="00952E59" w:rsidRPr="00904FCB" w:rsidRDefault="00952E59" w:rsidP="00583BA1">
      <w:pPr>
        <w:spacing w:line="400" w:lineRule="exact"/>
        <w:rPr>
          <w:rtl/>
          <w:lang w:bidi="ar-AE"/>
        </w:rPr>
      </w:pPr>
      <w:r w:rsidRPr="00904FCB">
        <w:rPr>
          <w:rFonts w:hint="cs"/>
          <w:rtl/>
          <w:lang w:bidi="ar-AE"/>
        </w:rPr>
        <w:t>ومن علماء لبنان البارزين أيضاً الشيخ محمد مهدي شمس الدين</w:t>
      </w:r>
      <w:r w:rsidR="00B77F64" w:rsidRPr="00904FCB">
        <w:rPr>
          <w:rFonts w:hint="cs"/>
          <w:rtl/>
          <w:lang w:bidi="ar-AE"/>
        </w:rPr>
        <w:t>،</w:t>
      </w:r>
      <w:r w:rsidRPr="00904FCB">
        <w:rPr>
          <w:rFonts w:hint="cs"/>
          <w:rtl/>
          <w:lang w:bidi="ar-AE"/>
        </w:rPr>
        <w:t xml:space="preserve"> الرئيس السابق للمجلس الشيعي الأعلى في لبنان، </w:t>
      </w:r>
      <w:r w:rsidR="00B77F64" w:rsidRPr="00904FCB">
        <w:rPr>
          <w:rFonts w:hint="cs"/>
          <w:rtl/>
          <w:lang w:bidi="ar-AE"/>
        </w:rPr>
        <w:t>و</w:t>
      </w:r>
      <w:r w:rsidRPr="00904FCB">
        <w:rPr>
          <w:rFonts w:hint="cs"/>
          <w:rtl/>
          <w:lang w:bidi="ar-AE"/>
        </w:rPr>
        <w:t>هو الآخر يؤك</w:t>
      </w:r>
      <w:r w:rsidR="00B77F64" w:rsidRPr="00904FCB">
        <w:rPr>
          <w:rFonts w:hint="cs"/>
          <w:rtl/>
          <w:lang w:bidi="ar-AE"/>
        </w:rPr>
        <w:t>ِّ</w:t>
      </w:r>
      <w:r w:rsidRPr="00904FCB">
        <w:rPr>
          <w:rFonts w:hint="cs"/>
          <w:rtl/>
          <w:lang w:bidi="ar-AE"/>
        </w:rPr>
        <w:t xml:space="preserve">د في مجمل آرائه على أنه </w:t>
      </w:r>
      <w:r w:rsidRPr="00904FCB">
        <w:rPr>
          <w:rFonts w:hint="eastAsia"/>
          <w:rtl/>
          <w:lang w:bidi="ar-AE"/>
        </w:rPr>
        <w:t>«</w:t>
      </w:r>
      <w:r w:rsidRPr="00904FCB">
        <w:rPr>
          <w:rFonts w:hint="cs"/>
          <w:rtl/>
          <w:lang w:bidi="ar-AE"/>
        </w:rPr>
        <w:t xml:space="preserve">لا </w:t>
      </w:r>
      <w:r w:rsidR="00B77F64" w:rsidRPr="00904FCB">
        <w:rPr>
          <w:rFonts w:hint="cs"/>
          <w:rtl/>
          <w:lang w:bidi="ar-AE"/>
        </w:rPr>
        <w:t>ت</w:t>
      </w:r>
      <w:r w:rsidRPr="00904FCB">
        <w:rPr>
          <w:rFonts w:hint="cs"/>
          <w:rtl/>
          <w:lang w:bidi="ar-AE"/>
        </w:rPr>
        <w:t>وجد أحكام</w:t>
      </w:r>
      <w:r w:rsidR="00B77F64" w:rsidRPr="00904FCB">
        <w:rPr>
          <w:rFonts w:hint="cs"/>
          <w:rtl/>
          <w:lang w:bidi="ar-AE"/>
        </w:rPr>
        <w:t>ٌ ثابتة</w:t>
      </w:r>
      <w:r w:rsidRPr="00904FCB">
        <w:rPr>
          <w:rFonts w:hint="cs"/>
          <w:rtl/>
          <w:lang w:bidi="ar-AE"/>
        </w:rPr>
        <w:t xml:space="preserve"> في الشريعة</w:t>
      </w:r>
      <w:r w:rsidR="00B77F64" w:rsidRPr="00904FCB">
        <w:rPr>
          <w:rFonts w:hint="cs"/>
          <w:rtl/>
          <w:lang w:bidi="ar-AE"/>
        </w:rPr>
        <w:t>،</w:t>
      </w:r>
      <w:r w:rsidRPr="00904FCB">
        <w:rPr>
          <w:rFonts w:hint="cs"/>
          <w:rtl/>
          <w:lang w:bidi="ar-AE"/>
        </w:rPr>
        <w:t xml:space="preserve"> سوى الأحكام الإلهية المذكورة والمعروفة </w:t>
      </w:r>
      <w:r w:rsidR="00B77F64" w:rsidRPr="00904FCB">
        <w:rPr>
          <w:rFonts w:hint="cs"/>
          <w:rtl/>
          <w:lang w:bidi="ar-AE"/>
        </w:rPr>
        <w:t xml:space="preserve">ـ </w:t>
      </w:r>
      <w:r w:rsidRPr="00904FCB">
        <w:rPr>
          <w:rFonts w:hint="cs"/>
          <w:rtl/>
          <w:lang w:bidi="ar-AE"/>
        </w:rPr>
        <w:t>التي تشمل</w:t>
      </w:r>
      <w:r w:rsidR="00B77F64" w:rsidRPr="00904FCB">
        <w:rPr>
          <w:rFonts w:hint="cs"/>
          <w:rtl/>
          <w:lang w:bidi="ar-AE"/>
        </w:rPr>
        <w:t>:</w:t>
      </w:r>
      <w:r w:rsidRPr="00904FCB">
        <w:rPr>
          <w:rFonts w:hint="cs"/>
          <w:rtl/>
          <w:lang w:bidi="ar-AE"/>
        </w:rPr>
        <w:t xml:space="preserve"> العبادات، ونظام الأسرة</w:t>
      </w:r>
      <w:r w:rsidR="00B77F64" w:rsidRPr="00904FCB">
        <w:rPr>
          <w:rFonts w:hint="cs"/>
          <w:rtl/>
          <w:lang w:bidi="ar-AE"/>
        </w:rPr>
        <w:t>،</w:t>
      </w:r>
      <w:r w:rsidRPr="00904FCB">
        <w:rPr>
          <w:rFonts w:hint="cs"/>
          <w:rtl/>
          <w:lang w:bidi="ar-AE"/>
        </w:rPr>
        <w:t xml:space="preserve"> وأحكام الجنسين</w:t>
      </w:r>
      <w:r w:rsidR="00B77F64" w:rsidRPr="00904FCB">
        <w:rPr>
          <w:rFonts w:hint="cs"/>
          <w:rtl/>
          <w:lang w:bidi="ar-AE"/>
        </w:rPr>
        <w:t>،</w:t>
      </w:r>
      <w:r w:rsidRPr="00904FCB">
        <w:rPr>
          <w:rFonts w:hint="cs"/>
          <w:rtl/>
          <w:lang w:bidi="ar-AE"/>
        </w:rPr>
        <w:t xml:space="preserve"> وأحكام الربا</w:t>
      </w:r>
      <w:r w:rsidR="00B77F64" w:rsidRPr="00904FCB">
        <w:rPr>
          <w:rFonts w:hint="cs"/>
          <w:rtl/>
          <w:lang w:bidi="ar-AE"/>
        </w:rPr>
        <w:t>، و...</w:t>
      </w:r>
      <w:r w:rsidR="00583BA1">
        <w:rPr>
          <w:rFonts w:hint="cs"/>
          <w:rtl/>
          <w:lang w:bidi="ar-AE"/>
        </w:rPr>
        <w:t xml:space="preserve"> ـ</w:t>
      </w:r>
      <w:r w:rsidRPr="00904FCB">
        <w:rPr>
          <w:rFonts w:hint="cs"/>
          <w:rtl/>
          <w:lang w:bidi="ar-AE"/>
        </w:rPr>
        <w:t>، أما الأحكام المت</w:t>
      </w:r>
      <w:r w:rsidR="00B77F64" w:rsidRPr="00904FCB">
        <w:rPr>
          <w:rFonts w:hint="cs"/>
          <w:rtl/>
          <w:lang w:bidi="ar-AE"/>
        </w:rPr>
        <w:t>َّ</w:t>
      </w:r>
      <w:r w:rsidRPr="00904FCB">
        <w:rPr>
          <w:rFonts w:hint="cs"/>
          <w:rtl/>
          <w:lang w:bidi="ar-AE"/>
        </w:rPr>
        <w:t>صلة بتنظيم العلاقات الاجتماعية، سواء على الصعيد السياسي أو الاقتصادي أو على صعيد العلاقات الخارجية، فهي لا</w:t>
      </w:r>
      <w:r w:rsidR="00B77F64" w:rsidRPr="00904FCB">
        <w:rPr>
          <w:rFonts w:hint="cs"/>
          <w:rtl/>
          <w:lang w:bidi="ar-AE"/>
        </w:rPr>
        <w:t xml:space="preserve"> </w:t>
      </w:r>
      <w:r w:rsidRPr="00904FCB">
        <w:rPr>
          <w:rFonts w:hint="cs"/>
          <w:rtl/>
          <w:lang w:bidi="ar-AE"/>
        </w:rPr>
        <w:t>ب</w:t>
      </w:r>
      <w:r w:rsidR="00B77F64" w:rsidRPr="00904FCB">
        <w:rPr>
          <w:rFonts w:hint="cs"/>
          <w:rtl/>
          <w:lang w:bidi="ar-AE"/>
        </w:rPr>
        <w:t>ُ</w:t>
      </w:r>
      <w:r w:rsidRPr="00904FCB">
        <w:rPr>
          <w:rFonts w:hint="cs"/>
          <w:rtl/>
          <w:lang w:bidi="ar-AE"/>
        </w:rPr>
        <w:t>د</w:t>
      </w:r>
      <w:r w:rsidR="00B77F64" w:rsidRPr="00904FCB">
        <w:rPr>
          <w:rFonts w:hint="cs"/>
          <w:rtl/>
          <w:lang w:bidi="ar-AE"/>
        </w:rPr>
        <w:t>َّ</w:t>
      </w:r>
      <w:r w:rsidRPr="00904FCB">
        <w:rPr>
          <w:rFonts w:hint="cs"/>
          <w:rtl/>
          <w:lang w:bidi="ar-AE"/>
        </w:rPr>
        <w:t xml:space="preserve"> أن تكون أحكاماً متغيرة وزمنية، توجد بوجود المصلحة الاجتماعية</w:t>
      </w:r>
      <w:r w:rsidR="00B77F64" w:rsidRPr="00904FCB">
        <w:rPr>
          <w:rFonts w:hint="cs"/>
          <w:rtl/>
          <w:lang w:bidi="ar-AE"/>
        </w:rPr>
        <w:t>،</w:t>
      </w:r>
      <w:r w:rsidRPr="00904FCB">
        <w:rPr>
          <w:rFonts w:hint="cs"/>
          <w:rtl/>
          <w:lang w:bidi="ar-AE"/>
        </w:rPr>
        <w:t xml:space="preserve"> وترتفع بارتفاعها. وهذه الأحكام تتمخ</w:t>
      </w:r>
      <w:r w:rsidR="00583BA1">
        <w:rPr>
          <w:rFonts w:hint="cs"/>
          <w:rtl/>
          <w:lang w:bidi="ar-AE"/>
        </w:rPr>
        <w:t>َّ</w:t>
      </w:r>
      <w:r w:rsidRPr="00904FCB">
        <w:rPr>
          <w:rFonts w:hint="cs"/>
          <w:rtl/>
          <w:lang w:bidi="ar-AE"/>
        </w:rPr>
        <w:t>ض عن حاجة المجتمع لتنظيم وإدارة شؤونه</w:t>
      </w:r>
      <w:r w:rsidRPr="00904FCB">
        <w:rPr>
          <w:rFonts w:hint="eastAsia"/>
          <w:rtl/>
          <w:lang w:bidi="ar-AE"/>
        </w:rPr>
        <w:t>»</w:t>
      </w:r>
      <w:r w:rsidRPr="00904FCB">
        <w:rPr>
          <w:rFonts w:hint="cs"/>
          <w:rtl/>
          <w:lang w:bidi="ar-AE"/>
        </w:rPr>
        <w:t xml:space="preserve">، كما </w:t>
      </w:r>
      <w:r w:rsidRPr="00904FCB">
        <w:rPr>
          <w:rFonts w:hint="eastAsia"/>
          <w:rtl/>
          <w:lang w:bidi="ar-AE"/>
        </w:rPr>
        <w:t>«</w:t>
      </w:r>
      <w:r w:rsidRPr="00904FCB">
        <w:rPr>
          <w:rFonts w:hint="cs"/>
          <w:rtl/>
          <w:lang w:bidi="ar-AE"/>
        </w:rPr>
        <w:t>...لا تثبت الولاية العامة للفقهاء بتول</w:t>
      </w:r>
      <w:r w:rsidR="00B77F64" w:rsidRPr="00904FCB">
        <w:rPr>
          <w:rFonts w:hint="cs"/>
          <w:rtl/>
          <w:lang w:bidi="ar-AE"/>
        </w:rPr>
        <w:t>ّ</w:t>
      </w:r>
      <w:r w:rsidRPr="00904FCB">
        <w:rPr>
          <w:rFonts w:hint="cs"/>
          <w:rtl/>
          <w:lang w:bidi="ar-AE"/>
        </w:rPr>
        <w:t>يهم الزعامة السياسية، وليسوا في مقام النيابة عن الإمام عند إدارتهم لشؤون البلاد. فالفقيه لا يملك الولاية على الناس</w:t>
      </w:r>
      <w:r w:rsidRPr="00904FCB">
        <w:rPr>
          <w:rFonts w:hint="eastAsia"/>
          <w:rtl/>
          <w:lang w:bidi="ar-AE"/>
        </w:rPr>
        <w:t>»</w:t>
      </w:r>
      <w:r w:rsidR="00B77F64" w:rsidRPr="00904FCB">
        <w:rPr>
          <w:rFonts w:hint="cs"/>
          <w:rtl/>
          <w:lang w:bidi="ar-AE"/>
        </w:rPr>
        <w:t>، و</w:t>
      </w:r>
      <w:r w:rsidRPr="00904FCB">
        <w:rPr>
          <w:rFonts w:hint="eastAsia"/>
          <w:rtl/>
          <w:lang w:bidi="ar-AE"/>
        </w:rPr>
        <w:t>«</w:t>
      </w:r>
      <w:r w:rsidRPr="00904FCB">
        <w:rPr>
          <w:rFonts w:hint="cs"/>
          <w:rtl/>
          <w:lang w:bidi="ar-AE"/>
        </w:rPr>
        <w:t>الإنسان على نفسه بصيرة</w:t>
      </w:r>
      <w:r w:rsidR="00B77F64" w:rsidRPr="00904FCB">
        <w:rPr>
          <w:rFonts w:hint="cs"/>
          <w:rtl/>
          <w:lang w:bidi="ar-AE"/>
        </w:rPr>
        <w:t>،</w:t>
      </w:r>
      <w:r w:rsidRPr="00904FCB">
        <w:rPr>
          <w:rFonts w:hint="cs"/>
          <w:rtl/>
          <w:lang w:bidi="ar-AE"/>
        </w:rPr>
        <w:t xml:space="preserve"> والمجتمع هو ولي</w:t>
      </w:r>
      <w:r w:rsidR="00B77F64" w:rsidRPr="00904FCB">
        <w:rPr>
          <w:rFonts w:hint="cs"/>
          <w:rtl/>
          <w:lang w:bidi="ar-AE"/>
        </w:rPr>
        <w:t>ُّ</w:t>
      </w:r>
      <w:r w:rsidRPr="00904FCB">
        <w:rPr>
          <w:rFonts w:hint="cs"/>
          <w:rtl/>
          <w:lang w:bidi="ar-AE"/>
        </w:rPr>
        <w:t>ه. وبما أن الأمة هي أدرى بمستقبلها</w:t>
      </w:r>
      <w:r w:rsidR="00B77F64" w:rsidRPr="00904FCB">
        <w:rPr>
          <w:rFonts w:hint="cs"/>
          <w:rtl/>
          <w:lang w:bidi="ar-AE"/>
        </w:rPr>
        <w:t>،</w:t>
      </w:r>
      <w:r w:rsidRPr="00904FCB">
        <w:rPr>
          <w:rFonts w:hint="cs"/>
          <w:rtl/>
          <w:lang w:bidi="ar-AE"/>
        </w:rPr>
        <w:t xml:space="preserve"> وأعلم بمقدراتها</w:t>
      </w:r>
      <w:r w:rsidR="00B77F64" w:rsidRPr="00904FCB">
        <w:rPr>
          <w:rFonts w:hint="cs"/>
          <w:rtl/>
          <w:lang w:bidi="ar-AE"/>
        </w:rPr>
        <w:t>،</w:t>
      </w:r>
      <w:r w:rsidRPr="00904FCB">
        <w:rPr>
          <w:rFonts w:hint="cs"/>
          <w:rtl/>
          <w:lang w:bidi="ar-AE"/>
        </w:rPr>
        <w:t xml:space="preserve"> فهي سوف تختار النظام السياسي الأمثل لها</w:t>
      </w:r>
      <w:r w:rsidR="00B77F64" w:rsidRPr="00904FCB">
        <w:rPr>
          <w:rFonts w:hint="cs"/>
          <w:rtl/>
          <w:lang w:bidi="ar-AE"/>
        </w:rPr>
        <w:t>،</w:t>
      </w:r>
      <w:r w:rsidRPr="00904FCB">
        <w:rPr>
          <w:rFonts w:hint="cs"/>
          <w:rtl/>
          <w:lang w:bidi="ar-AE"/>
        </w:rPr>
        <w:t xml:space="preserve"> والذي يبتني على الشورى</w:t>
      </w:r>
      <w:r w:rsidR="00B77F64" w:rsidRPr="00904FCB">
        <w:rPr>
          <w:rFonts w:hint="cs"/>
          <w:rtl/>
          <w:lang w:bidi="ar-AE"/>
        </w:rPr>
        <w:t>،</w:t>
      </w:r>
      <w:r w:rsidRPr="00904FCB">
        <w:rPr>
          <w:rFonts w:hint="cs"/>
          <w:rtl/>
          <w:lang w:bidi="ar-AE"/>
        </w:rPr>
        <w:t xml:space="preserve"> وينبثق منها في جميع مراحل تكو</w:t>
      </w:r>
      <w:r w:rsidR="00B77F64" w:rsidRPr="00904FCB">
        <w:rPr>
          <w:rFonts w:hint="cs"/>
          <w:rtl/>
          <w:lang w:bidi="ar-AE"/>
        </w:rPr>
        <w:t>ُّ</w:t>
      </w:r>
      <w:r w:rsidRPr="00904FCB">
        <w:rPr>
          <w:rFonts w:hint="cs"/>
          <w:rtl/>
          <w:lang w:bidi="ar-AE"/>
        </w:rPr>
        <w:t>نه. كما أن الفقه ليس عنصراً أو شرطاً مهم</w:t>
      </w:r>
      <w:r w:rsidR="00B77F64" w:rsidRPr="00904FCB">
        <w:rPr>
          <w:rFonts w:hint="cs"/>
          <w:rtl/>
          <w:lang w:bidi="ar-AE"/>
        </w:rPr>
        <w:t>ّ</w:t>
      </w:r>
      <w:r w:rsidRPr="00904FCB">
        <w:rPr>
          <w:rFonts w:hint="cs"/>
          <w:rtl/>
          <w:lang w:bidi="ar-AE"/>
        </w:rPr>
        <w:t>اً يجب توف</w:t>
      </w:r>
      <w:r w:rsidR="00B77F64" w:rsidRPr="00904FCB">
        <w:rPr>
          <w:rFonts w:hint="cs"/>
          <w:rtl/>
          <w:lang w:bidi="ar-AE"/>
        </w:rPr>
        <w:t>ُّ</w:t>
      </w:r>
      <w:r w:rsidRPr="00904FCB">
        <w:rPr>
          <w:rFonts w:hint="cs"/>
          <w:rtl/>
          <w:lang w:bidi="ar-AE"/>
        </w:rPr>
        <w:t>ره في شخصي</w:t>
      </w:r>
      <w:r w:rsidR="00B77F64" w:rsidRPr="00904FCB">
        <w:rPr>
          <w:rFonts w:hint="cs"/>
          <w:rtl/>
          <w:lang w:bidi="ar-AE"/>
        </w:rPr>
        <w:t>ّ</w:t>
      </w:r>
      <w:r w:rsidRPr="00904FCB">
        <w:rPr>
          <w:rFonts w:hint="cs"/>
          <w:rtl/>
          <w:lang w:bidi="ar-AE"/>
        </w:rPr>
        <w:t>ة الرئيس المنتخب للدولة الإسلامية</w:t>
      </w:r>
      <w:r w:rsidRPr="00904FCB">
        <w:rPr>
          <w:rFonts w:hint="eastAsia"/>
          <w:rtl/>
          <w:lang w:bidi="ar-AE"/>
        </w:rPr>
        <w:t>»</w:t>
      </w:r>
      <w:r w:rsidRPr="00904FCB">
        <w:rPr>
          <w:rFonts w:hint="cs"/>
          <w:rtl/>
          <w:lang w:bidi="ar-AE"/>
        </w:rPr>
        <w:t>.</w:t>
      </w:r>
    </w:p>
    <w:p w:rsidR="00952E59" w:rsidRPr="00904FCB" w:rsidRDefault="00952E59" w:rsidP="007A21AA">
      <w:pPr>
        <w:spacing w:line="400" w:lineRule="exact"/>
        <w:rPr>
          <w:rtl/>
          <w:lang w:bidi="ar-AE"/>
        </w:rPr>
      </w:pPr>
      <w:r w:rsidRPr="00904FCB">
        <w:rPr>
          <w:rFonts w:hint="cs"/>
          <w:rtl/>
          <w:lang w:bidi="ar-AE"/>
        </w:rPr>
        <w:t>و</w:t>
      </w:r>
      <w:r w:rsidRPr="00904FCB">
        <w:rPr>
          <w:rFonts w:hint="eastAsia"/>
          <w:rtl/>
          <w:lang w:bidi="ar-AE"/>
        </w:rPr>
        <w:t>«</w:t>
      </w:r>
      <w:r w:rsidRPr="00904FCB">
        <w:rPr>
          <w:rFonts w:hint="cs"/>
          <w:rtl/>
          <w:lang w:bidi="ar-AE"/>
        </w:rPr>
        <w:t>لا ب</w:t>
      </w:r>
      <w:r w:rsidR="00B77F64" w:rsidRPr="00904FCB">
        <w:rPr>
          <w:rFonts w:hint="cs"/>
          <w:rtl/>
          <w:lang w:bidi="ar-AE"/>
        </w:rPr>
        <w:t>ُ</w:t>
      </w:r>
      <w:r w:rsidRPr="00904FCB">
        <w:rPr>
          <w:rFonts w:hint="cs"/>
          <w:rtl/>
          <w:lang w:bidi="ar-AE"/>
        </w:rPr>
        <w:t>د</w:t>
      </w:r>
      <w:r w:rsidR="00B77F64" w:rsidRPr="00904FCB">
        <w:rPr>
          <w:rFonts w:hint="cs"/>
          <w:rtl/>
          <w:lang w:bidi="ar-AE"/>
        </w:rPr>
        <w:t>َّ</w:t>
      </w:r>
      <w:r w:rsidRPr="00904FCB">
        <w:rPr>
          <w:rFonts w:hint="cs"/>
          <w:rtl/>
          <w:lang w:bidi="ar-AE"/>
        </w:rPr>
        <w:t xml:space="preserve"> للدولة أن تتماهى مع المجتمع الذي انبثقت منه</w:t>
      </w:r>
      <w:r w:rsidR="00B77F64" w:rsidRPr="00904FCB">
        <w:rPr>
          <w:rFonts w:hint="cs"/>
          <w:rtl/>
          <w:lang w:bidi="ar-AE"/>
        </w:rPr>
        <w:t>،</w:t>
      </w:r>
      <w:r w:rsidRPr="00904FCB">
        <w:rPr>
          <w:rFonts w:hint="cs"/>
          <w:rtl/>
          <w:lang w:bidi="ar-AE"/>
        </w:rPr>
        <w:t xml:space="preserve"> فهي نشأت من صميمه ومن أعماقه</w:t>
      </w:r>
      <w:r w:rsidR="00B77F64" w:rsidRPr="00904FCB">
        <w:rPr>
          <w:rFonts w:hint="cs"/>
          <w:rtl/>
          <w:lang w:bidi="ar-AE"/>
        </w:rPr>
        <w:t>،</w:t>
      </w:r>
      <w:r w:rsidRPr="00904FCB">
        <w:rPr>
          <w:rFonts w:hint="cs"/>
          <w:rtl/>
          <w:lang w:bidi="ar-AE"/>
        </w:rPr>
        <w:t xml:space="preserve"> ولا</w:t>
      </w:r>
      <w:r w:rsidR="00B77F64" w:rsidRPr="00904FCB">
        <w:rPr>
          <w:rFonts w:hint="cs"/>
          <w:rtl/>
          <w:lang w:bidi="ar-AE"/>
        </w:rPr>
        <w:t xml:space="preserve"> </w:t>
      </w:r>
      <w:r w:rsidRPr="00904FCB">
        <w:rPr>
          <w:rFonts w:hint="cs"/>
          <w:rtl/>
          <w:lang w:bidi="ar-AE"/>
        </w:rPr>
        <w:t>ب</w:t>
      </w:r>
      <w:r w:rsidR="00B77F64" w:rsidRPr="00904FCB">
        <w:rPr>
          <w:rFonts w:hint="cs"/>
          <w:rtl/>
          <w:lang w:bidi="ar-AE"/>
        </w:rPr>
        <w:t>ُ</w:t>
      </w:r>
      <w:r w:rsidRPr="00904FCB">
        <w:rPr>
          <w:rFonts w:hint="cs"/>
          <w:rtl/>
          <w:lang w:bidi="ar-AE"/>
        </w:rPr>
        <w:t>د</w:t>
      </w:r>
      <w:r w:rsidR="00B77F64" w:rsidRPr="00904FCB">
        <w:rPr>
          <w:rFonts w:hint="cs"/>
          <w:rtl/>
          <w:lang w:bidi="ar-AE"/>
        </w:rPr>
        <w:t>َّ</w:t>
      </w:r>
      <w:r w:rsidRPr="00904FCB">
        <w:rPr>
          <w:rFonts w:hint="cs"/>
          <w:rtl/>
          <w:lang w:bidi="ar-AE"/>
        </w:rPr>
        <w:t xml:space="preserve"> لها أن تثق وأن تؤمن بعقله وفكره وتطل</w:t>
      </w:r>
      <w:r w:rsidR="00B77F64" w:rsidRPr="00904FCB">
        <w:rPr>
          <w:rFonts w:hint="cs"/>
          <w:rtl/>
          <w:lang w:bidi="ar-AE"/>
        </w:rPr>
        <w:t>ُّ</w:t>
      </w:r>
      <w:r w:rsidRPr="00904FCB">
        <w:rPr>
          <w:rFonts w:hint="cs"/>
          <w:rtl/>
          <w:lang w:bidi="ar-AE"/>
        </w:rPr>
        <w:t>عاته، وتثم</w:t>
      </w:r>
      <w:r w:rsidR="00B77F64" w:rsidRPr="00904FCB">
        <w:rPr>
          <w:rFonts w:hint="cs"/>
          <w:rtl/>
          <w:lang w:bidi="ar-AE"/>
        </w:rPr>
        <w:t>ِّ</w:t>
      </w:r>
      <w:r w:rsidRPr="00904FCB">
        <w:rPr>
          <w:rFonts w:hint="cs"/>
          <w:rtl/>
          <w:lang w:bidi="ar-AE"/>
        </w:rPr>
        <w:t>ن التجربة ال</w:t>
      </w:r>
      <w:r w:rsidR="00B77F64" w:rsidRPr="00904FCB">
        <w:rPr>
          <w:rFonts w:hint="cs"/>
          <w:rtl/>
          <w:lang w:bidi="ar-AE"/>
        </w:rPr>
        <w:t>ا</w:t>
      </w:r>
      <w:r w:rsidRPr="00904FCB">
        <w:rPr>
          <w:rFonts w:hint="cs"/>
          <w:rtl/>
          <w:lang w:bidi="ar-AE"/>
        </w:rPr>
        <w:t>جتماعية</w:t>
      </w:r>
      <w:r w:rsidR="00B77F64" w:rsidRPr="00904FCB">
        <w:rPr>
          <w:rFonts w:hint="cs"/>
          <w:rtl/>
          <w:lang w:bidi="ar-AE"/>
        </w:rPr>
        <w:t>،</w:t>
      </w:r>
      <w:r w:rsidRPr="00904FCB">
        <w:rPr>
          <w:rFonts w:hint="cs"/>
          <w:rtl/>
          <w:lang w:bidi="ar-AE"/>
        </w:rPr>
        <w:t xml:space="preserve"> وتستزيد منها</w:t>
      </w:r>
      <w:r w:rsidRPr="00904FCB">
        <w:rPr>
          <w:rFonts w:hint="eastAsia"/>
          <w:rtl/>
          <w:lang w:bidi="ar-AE"/>
        </w:rPr>
        <w:t>»</w:t>
      </w:r>
      <w:r w:rsidRPr="00904FCB">
        <w:rPr>
          <w:rFonts w:hint="cs"/>
          <w:vertAlign w:val="superscript"/>
          <w:rtl/>
        </w:rPr>
        <w:t>(</w:t>
      </w:r>
      <w:r w:rsidRPr="00904FCB">
        <w:rPr>
          <w:vertAlign w:val="superscript"/>
        </w:rPr>
        <w:endnoteReference w:id="342"/>
      </w:r>
      <w:r w:rsidRPr="00904FCB">
        <w:rPr>
          <w:rFonts w:hint="cs"/>
          <w:vertAlign w:val="superscript"/>
          <w:rtl/>
        </w:rPr>
        <w:t>)</w:t>
      </w:r>
      <w:r w:rsidRPr="00904FCB">
        <w:rPr>
          <w:rFonts w:hint="cs"/>
          <w:rtl/>
          <w:lang w:bidi="ar-AE"/>
        </w:rPr>
        <w:t>.</w:t>
      </w:r>
    </w:p>
    <w:p w:rsidR="00952E59" w:rsidRPr="00904FCB" w:rsidRDefault="00B77F64" w:rsidP="007A21AA">
      <w:pPr>
        <w:spacing w:line="400" w:lineRule="exact"/>
        <w:rPr>
          <w:rtl/>
          <w:lang w:bidi="ar-AE"/>
        </w:rPr>
      </w:pPr>
      <w:r w:rsidRPr="00904FCB">
        <w:rPr>
          <w:rFonts w:hint="cs"/>
          <w:rtl/>
          <w:lang w:bidi="ar-AE"/>
        </w:rPr>
        <w:t>و</w:t>
      </w:r>
      <w:r w:rsidR="00952E59" w:rsidRPr="00904FCB">
        <w:rPr>
          <w:rFonts w:hint="cs"/>
          <w:rtl/>
          <w:lang w:bidi="ar-AE"/>
        </w:rPr>
        <w:t>من المفك</w:t>
      </w:r>
      <w:r w:rsidRPr="00904FCB">
        <w:rPr>
          <w:rFonts w:hint="cs"/>
          <w:rtl/>
          <w:lang w:bidi="ar-AE"/>
        </w:rPr>
        <w:t>ِّ</w:t>
      </w:r>
      <w:r w:rsidR="00952E59" w:rsidRPr="00904FCB">
        <w:rPr>
          <w:rFonts w:hint="cs"/>
          <w:rtl/>
          <w:lang w:bidi="ar-AE"/>
        </w:rPr>
        <w:t>رين الإيرانيين الشيعة هناك العديد من العلماء البارزين لا يؤمنون بولاية الفقهاء العام</w:t>
      </w:r>
      <w:r w:rsidR="00487435" w:rsidRPr="00904FCB">
        <w:rPr>
          <w:rFonts w:hint="cs"/>
          <w:rtl/>
          <w:lang w:bidi="ar-AE"/>
        </w:rPr>
        <w:t>ّ</w:t>
      </w:r>
      <w:r w:rsidR="00952E59" w:rsidRPr="00904FCB">
        <w:rPr>
          <w:rFonts w:hint="cs"/>
          <w:rtl/>
          <w:lang w:bidi="ar-AE"/>
        </w:rPr>
        <w:t>ة</w:t>
      </w:r>
      <w:r w:rsidR="00487435" w:rsidRPr="00904FCB">
        <w:rPr>
          <w:rFonts w:hint="cs"/>
          <w:rtl/>
          <w:lang w:bidi="ar-AE"/>
        </w:rPr>
        <w:t>،</w:t>
      </w:r>
      <w:r w:rsidR="00952E59" w:rsidRPr="00904FCB">
        <w:rPr>
          <w:rFonts w:hint="cs"/>
          <w:rtl/>
          <w:lang w:bidi="ar-AE"/>
        </w:rPr>
        <w:t xml:space="preserve"> ولا يقرّونها. </w:t>
      </w:r>
    </w:p>
    <w:p w:rsidR="00952E59" w:rsidRPr="00904FCB" w:rsidRDefault="00952E59" w:rsidP="007A21AA">
      <w:pPr>
        <w:spacing w:line="400" w:lineRule="exact"/>
        <w:rPr>
          <w:rtl/>
          <w:lang w:bidi="ar-AE"/>
        </w:rPr>
      </w:pPr>
      <w:r w:rsidRPr="00904FCB">
        <w:rPr>
          <w:rFonts w:hint="cs"/>
          <w:rtl/>
          <w:lang w:bidi="ar-AE"/>
        </w:rPr>
        <w:t>ولتجنب الخوض في التفاصيل نعرض عن رصد جميع النظري</w:t>
      </w:r>
      <w:r w:rsidR="00487435" w:rsidRPr="00904FCB">
        <w:rPr>
          <w:rFonts w:hint="cs"/>
          <w:rtl/>
          <w:lang w:bidi="ar-AE"/>
        </w:rPr>
        <w:t>ّ</w:t>
      </w:r>
      <w:r w:rsidRPr="00904FCB">
        <w:rPr>
          <w:rFonts w:hint="cs"/>
          <w:rtl/>
          <w:lang w:bidi="ar-AE"/>
        </w:rPr>
        <w:t>ات المطروحة في هذا الباب</w:t>
      </w:r>
      <w:r w:rsidR="00487435" w:rsidRPr="00904FCB">
        <w:rPr>
          <w:rFonts w:hint="cs"/>
          <w:rtl/>
          <w:lang w:bidi="ar-AE"/>
        </w:rPr>
        <w:t>،</w:t>
      </w:r>
      <w:r w:rsidRPr="00904FCB">
        <w:rPr>
          <w:rFonts w:hint="cs"/>
          <w:rtl/>
          <w:lang w:bidi="ar-AE"/>
        </w:rPr>
        <w:t xml:space="preserve"> ونقتصر على نظرية الدكتور مهدي الحائري اليزدي</w:t>
      </w:r>
      <w:r w:rsidR="00487435" w:rsidRPr="00904FCB">
        <w:rPr>
          <w:rFonts w:hint="cs"/>
          <w:rtl/>
          <w:lang w:bidi="ar-AE"/>
        </w:rPr>
        <w:t>،</w:t>
      </w:r>
      <w:r w:rsidRPr="00904FCB">
        <w:rPr>
          <w:rFonts w:hint="cs"/>
          <w:rtl/>
          <w:lang w:bidi="ar-AE"/>
        </w:rPr>
        <w:t xml:space="preserve"> التي طرحها ضمن </w:t>
      </w:r>
      <w:r w:rsidRPr="00904FCB">
        <w:rPr>
          <w:rFonts w:hint="cs"/>
          <w:rtl/>
          <w:lang w:bidi="ar-AE"/>
        </w:rPr>
        <w:lastRenderedPageBreak/>
        <w:t xml:space="preserve">حديثه عن </w:t>
      </w:r>
      <w:r w:rsidR="00340A76" w:rsidRPr="00904FCB">
        <w:rPr>
          <w:rFonts w:hint="cs"/>
          <w:rtl/>
          <w:lang w:bidi="ar-AE"/>
        </w:rPr>
        <w:t>(</w:t>
      </w:r>
      <w:r w:rsidRPr="00904FCB">
        <w:rPr>
          <w:rFonts w:hint="cs"/>
          <w:rtl/>
          <w:lang w:bidi="ar-AE"/>
        </w:rPr>
        <w:t>القوى والسلطات السياسية</w:t>
      </w:r>
      <w:r w:rsidR="00487435" w:rsidRPr="00904FCB">
        <w:rPr>
          <w:rFonts w:hint="cs"/>
          <w:rtl/>
          <w:lang w:bidi="ar-AE"/>
        </w:rPr>
        <w:t>،</w:t>
      </w:r>
      <w:r w:rsidRPr="00904FCB">
        <w:rPr>
          <w:rFonts w:hint="cs"/>
          <w:rtl/>
          <w:lang w:bidi="ar-AE"/>
        </w:rPr>
        <w:t xml:space="preserve"> رؤية من الداخل ـ الديني</w:t>
      </w:r>
      <w:r w:rsidR="00340A76" w:rsidRPr="00904FCB">
        <w:rPr>
          <w:rFonts w:hint="cs"/>
          <w:rtl/>
          <w:lang w:bidi="ar-AE"/>
        </w:rPr>
        <w:t>)</w:t>
      </w:r>
      <w:r w:rsidRPr="00904FCB">
        <w:rPr>
          <w:rFonts w:hint="cs"/>
          <w:rtl/>
          <w:lang w:bidi="ar-AE"/>
        </w:rPr>
        <w:t xml:space="preserve">، وأطلق عليها </w:t>
      </w:r>
      <w:r w:rsidRPr="00904FCB">
        <w:rPr>
          <w:rFonts w:hint="eastAsia"/>
          <w:rtl/>
          <w:lang w:bidi="ar-AE"/>
        </w:rPr>
        <w:t>«</w:t>
      </w:r>
      <w:r w:rsidRPr="00904FCB">
        <w:rPr>
          <w:rFonts w:hint="cs"/>
          <w:rtl/>
          <w:lang w:bidi="ar-AE"/>
        </w:rPr>
        <w:t>تفويض الملكية الخاص</w:t>
      </w:r>
      <w:r w:rsidR="00487435" w:rsidRPr="00904FCB">
        <w:rPr>
          <w:rFonts w:hint="cs"/>
          <w:rtl/>
          <w:lang w:bidi="ar-AE"/>
        </w:rPr>
        <w:t>ّ</w:t>
      </w:r>
      <w:r w:rsidRPr="00904FCB">
        <w:rPr>
          <w:rFonts w:hint="cs"/>
          <w:rtl/>
          <w:lang w:bidi="ar-AE"/>
        </w:rPr>
        <w:t>ة المشاعة</w:t>
      </w:r>
      <w:r w:rsidRPr="00904FCB">
        <w:rPr>
          <w:rFonts w:hint="eastAsia"/>
          <w:rtl/>
          <w:lang w:bidi="ar-AE"/>
        </w:rPr>
        <w:t>»</w:t>
      </w:r>
      <w:r w:rsidRPr="00904FCB">
        <w:rPr>
          <w:rFonts w:hint="cs"/>
          <w:vertAlign w:val="superscript"/>
          <w:rtl/>
        </w:rPr>
        <w:t>(</w:t>
      </w:r>
      <w:r w:rsidRPr="00904FCB">
        <w:rPr>
          <w:vertAlign w:val="superscript"/>
        </w:rPr>
        <w:endnoteReference w:id="343"/>
      </w:r>
      <w:r w:rsidRPr="00904FCB">
        <w:rPr>
          <w:rFonts w:hint="cs"/>
          <w:vertAlign w:val="superscript"/>
          <w:rtl/>
        </w:rPr>
        <w:t>)</w:t>
      </w:r>
      <w:r w:rsidRPr="00904FCB">
        <w:rPr>
          <w:rFonts w:hint="cs"/>
          <w:rtl/>
          <w:lang w:bidi="ar-AE"/>
        </w:rPr>
        <w:t>.</w:t>
      </w:r>
      <w:r w:rsidRPr="00904FCB">
        <w:rPr>
          <w:rFonts w:hint="cs"/>
          <w:b/>
          <w:bCs/>
          <w:rtl/>
        </w:rPr>
        <w:t xml:space="preserve"> </w:t>
      </w:r>
    </w:p>
    <w:p w:rsidR="00952E59" w:rsidRPr="00904FCB" w:rsidRDefault="00952E59" w:rsidP="007A21AA">
      <w:pPr>
        <w:spacing w:line="400" w:lineRule="exact"/>
        <w:rPr>
          <w:rtl/>
          <w:lang w:bidi="ar-AE"/>
        </w:rPr>
      </w:pPr>
      <w:r w:rsidRPr="00904FCB">
        <w:rPr>
          <w:rFonts w:hint="cs"/>
          <w:rtl/>
          <w:lang w:bidi="ar-AE"/>
        </w:rPr>
        <w:t>والمنطلق لهذه النظرية قاعدت</w:t>
      </w:r>
      <w:r w:rsidR="00487435" w:rsidRPr="00904FCB">
        <w:rPr>
          <w:rFonts w:hint="cs"/>
          <w:rtl/>
          <w:lang w:bidi="ar-AE"/>
        </w:rPr>
        <w:t>ا</w:t>
      </w:r>
      <w:r w:rsidRPr="00904FCB">
        <w:rPr>
          <w:rFonts w:hint="cs"/>
          <w:rtl/>
          <w:lang w:bidi="ar-AE"/>
        </w:rPr>
        <w:t>ن فقهيت</w:t>
      </w:r>
      <w:r w:rsidR="00487435" w:rsidRPr="00904FCB">
        <w:rPr>
          <w:rFonts w:hint="cs"/>
          <w:rtl/>
          <w:lang w:bidi="ar-AE"/>
        </w:rPr>
        <w:t>ا</w:t>
      </w:r>
      <w:r w:rsidRPr="00904FCB">
        <w:rPr>
          <w:rFonts w:hint="cs"/>
          <w:rtl/>
          <w:lang w:bidi="ar-AE"/>
        </w:rPr>
        <w:t>ن</w:t>
      </w:r>
      <w:r w:rsidR="00487435" w:rsidRPr="00904FCB">
        <w:rPr>
          <w:rFonts w:hint="cs"/>
          <w:rtl/>
          <w:lang w:bidi="ar-AE"/>
        </w:rPr>
        <w:t>:</w:t>
      </w:r>
      <w:r w:rsidRPr="00904FCB">
        <w:rPr>
          <w:rFonts w:hint="cs"/>
          <w:rtl/>
          <w:lang w:bidi="ar-AE"/>
        </w:rPr>
        <w:t xml:space="preserve"> </w:t>
      </w:r>
      <w:r w:rsidRPr="00904FCB">
        <w:rPr>
          <w:rFonts w:hint="cs"/>
          <w:b/>
          <w:bCs/>
          <w:rtl/>
          <w:lang w:bidi="ar-AE"/>
        </w:rPr>
        <w:t>الأولى</w:t>
      </w:r>
      <w:r w:rsidR="00487435" w:rsidRPr="00904FCB">
        <w:rPr>
          <w:rFonts w:hint="cs"/>
          <w:rtl/>
          <w:lang w:bidi="ar-AE"/>
        </w:rPr>
        <w:t>:</w:t>
      </w:r>
      <w:r w:rsidRPr="00904FCB">
        <w:rPr>
          <w:rFonts w:hint="cs"/>
          <w:rtl/>
          <w:lang w:bidi="ar-AE"/>
        </w:rPr>
        <w:t xml:space="preserve"> قاعدة الملكية الخاصة</w:t>
      </w:r>
      <w:r w:rsidR="00487435" w:rsidRPr="00904FCB">
        <w:rPr>
          <w:rFonts w:hint="cs"/>
          <w:rtl/>
          <w:lang w:bidi="ar-AE"/>
        </w:rPr>
        <w:t>؛</w:t>
      </w:r>
      <w:r w:rsidRPr="00904FCB">
        <w:rPr>
          <w:rFonts w:hint="cs"/>
          <w:rtl/>
          <w:lang w:bidi="ar-AE"/>
        </w:rPr>
        <w:t xml:space="preserve"> </w:t>
      </w:r>
      <w:r w:rsidRPr="00904FCB">
        <w:rPr>
          <w:rFonts w:hint="cs"/>
          <w:b/>
          <w:bCs/>
          <w:rtl/>
          <w:lang w:bidi="ar-AE"/>
        </w:rPr>
        <w:t>والثانية</w:t>
      </w:r>
      <w:r w:rsidR="00487435" w:rsidRPr="00904FCB">
        <w:rPr>
          <w:rFonts w:hint="cs"/>
          <w:rtl/>
          <w:lang w:bidi="ar-AE"/>
        </w:rPr>
        <w:t>:</w:t>
      </w:r>
      <w:r w:rsidRPr="00904FCB">
        <w:rPr>
          <w:rFonts w:hint="cs"/>
          <w:rtl/>
          <w:lang w:bidi="ar-AE"/>
        </w:rPr>
        <w:t xml:space="preserve"> قاعدة التوكيل أو التفويض. </w:t>
      </w:r>
    </w:p>
    <w:p w:rsidR="00952E59" w:rsidRPr="00904FCB" w:rsidRDefault="00952E59" w:rsidP="007A21AA">
      <w:pPr>
        <w:spacing w:line="400" w:lineRule="exact"/>
        <w:rPr>
          <w:rtl/>
          <w:lang w:bidi="ar-AE"/>
        </w:rPr>
      </w:pPr>
      <w:r w:rsidRPr="00904FCB">
        <w:rPr>
          <w:rFonts w:hint="cs"/>
          <w:rtl/>
          <w:lang w:bidi="ar-AE"/>
        </w:rPr>
        <w:t>وتعتمد القاعدة هذه على ثلاث أركان:</w:t>
      </w:r>
    </w:p>
    <w:p w:rsidR="00952E59" w:rsidRPr="00904FCB" w:rsidRDefault="00952E59" w:rsidP="007A21AA">
      <w:pPr>
        <w:spacing w:line="400" w:lineRule="exact"/>
        <w:rPr>
          <w:rtl/>
          <w:lang w:bidi="ar-AE"/>
        </w:rPr>
      </w:pPr>
      <w:r w:rsidRPr="00904FCB">
        <w:rPr>
          <w:rFonts w:hint="cs"/>
          <w:b/>
          <w:bCs/>
          <w:rtl/>
          <w:lang w:bidi="ar-AE"/>
        </w:rPr>
        <w:t>الأو</w:t>
      </w:r>
      <w:r w:rsidR="00487435" w:rsidRPr="00904FCB">
        <w:rPr>
          <w:rFonts w:hint="cs"/>
          <w:b/>
          <w:bCs/>
          <w:rtl/>
          <w:lang w:bidi="ar-AE"/>
        </w:rPr>
        <w:t>ّ</w:t>
      </w:r>
      <w:r w:rsidRPr="00904FCB">
        <w:rPr>
          <w:rFonts w:hint="cs"/>
          <w:b/>
          <w:bCs/>
          <w:rtl/>
          <w:lang w:bidi="ar-AE"/>
        </w:rPr>
        <w:t>ل:</w:t>
      </w:r>
      <w:r w:rsidRPr="00904FCB">
        <w:rPr>
          <w:rFonts w:hint="cs"/>
          <w:rtl/>
          <w:lang w:bidi="ar-AE"/>
        </w:rPr>
        <w:t xml:space="preserve"> الملكية الخاصة المشاعة للمواطن</w:t>
      </w:r>
      <w:r w:rsidR="004955CF" w:rsidRPr="00904FCB">
        <w:rPr>
          <w:rFonts w:hint="cs"/>
          <w:rtl/>
          <w:lang w:bidi="ar-AE"/>
        </w:rPr>
        <w:t>،</w:t>
      </w:r>
      <w:r w:rsidRPr="00904FCB">
        <w:rPr>
          <w:rFonts w:hint="cs"/>
          <w:rtl/>
          <w:lang w:bidi="ar-AE"/>
        </w:rPr>
        <w:t xml:space="preserve"> باعتبارها أساس</w:t>
      </w:r>
      <w:r w:rsidR="004955CF" w:rsidRPr="00904FCB">
        <w:rPr>
          <w:rFonts w:hint="cs"/>
          <w:rtl/>
          <w:lang w:bidi="ar-AE"/>
        </w:rPr>
        <w:t>اً</w:t>
      </w:r>
      <w:r w:rsidRPr="00904FCB">
        <w:rPr>
          <w:rFonts w:hint="cs"/>
          <w:rtl/>
          <w:lang w:bidi="ar-AE"/>
        </w:rPr>
        <w:t xml:space="preserve"> لمنح الشرعية.</w:t>
      </w:r>
    </w:p>
    <w:p w:rsidR="00952E59" w:rsidRPr="00904FCB" w:rsidRDefault="00952E59" w:rsidP="007A21AA">
      <w:pPr>
        <w:spacing w:line="400" w:lineRule="exact"/>
        <w:rPr>
          <w:rtl/>
          <w:lang w:bidi="ar-AE"/>
        </w:rPr>
      </w:pPr>
      <w:r w:rsidRPr="00904FCB">
        <w:rPr>
          <w:rFonts w:hint="cs"/>
          <w:b/>
          <w:bCs/>
          <w:rtl/>
          <w:lang w:bidi="ar-AE"/>
        </w:rPr>
        <w:t>الثاني:</w:t>
      </w:r>
      <w:r w:rsidRPr="00904FCB">
        <w:rPr>
          <w:rFonts w:hint="cs"/>
          <w:rtl/>
          <w:lang w:bidi="ar-AE"/>
        </w:rPr>
        <w:t xml:space="preserve"> توكيل الدولة والقوى الثلاث من قبل المواطنين. </w:t>
      </w:r>
    </w:p>
    <w:p w:rsidR="00952E59" w:rsidRPr="00904FCB" w:rsidRDefault="00952E59" w:rsidP="007A21AA">
      <w:pPr>
        <w:spacing w:line="400" w:lineRule="exact"/>
        <w:rPr>
          <w:rtl/>
          <w:lang w:bidi="ar-AE"/>
        </w:rPr>
      </w:pPr>
      <w:r w:rsidRPr="00904FCB">
        <w:rPr>
          <w:rFonts w:hint="cs"/>
          <w:rtl/>
          <w:lang w:bidi="ar-AE"/>
        </w:rPr>
        <w:t>وقد طرح هذا الموضوع (توكيل الحكومة من قبل الشعب</w:t>
      </w:r>
      <w:r w:rsidR="004955CF" w:rsidRPr="00904FCB">
        <w:rPr>
          <w:rFonts w:hint="cs"/>
          <w:rtl/>
          <w:lang w:bidi="ar-AE"/>
        </w:rPr>
        <w:t>،</w:t>
      </w:r>
      <w:r w:rsidRPr="00904FCB">
        <w:rPr>
          <w:rFonts w:hint="cs"/>
          <w:rtl/>
          <w:lang w:bidi="ar-AE"/>
        </w:rPr>
        <w:t xml:space="preserve"> الذي هو المالك للوطن ملكاً مشاعاً) لأو</w:t>
      </w:r>
      <w:r w:rsidR="004955CF" w:rsidRPr="00904FCB">
        <w:rPr>
          <w:rFonts w:hint="cs"/>
          <w:rtl/>
          <w:lang w:bidi="ar-AE"/>
        </w:rPr>
        <w:t>ّ</w:t>
      </w:r>
      <w:r w:rsidRPr="00904FCB">
        <w:rPr>
          <w:rFonts w:hint="cs"/>
          <w:rtl/>
          <w:lang w:bidi="ar-AE"/>
        </w:rPr>
        <w:t>ل مر</w:t>
      </w:r>
      <w:r w:rsidR="004955CF" w:rsidRPr="00904FCB">
        <w:rPr>
          <w:rFonts w:hint="cs"/>
          <w:rtl/>
          <w:lang w:bidi="ar-AE"/>
        </w:rPr>
        <w:t>ّ</w:t>
      </w:r>
      <w:r w:rsidRPr="00904FCB">
        <w:rPr>
          <w:rFonts w:hint="cs"/>
          <w:rtl/>
          <w:lang w:bidi="ar-AE"/>
        </w:rPr>
        <w:t xml:space="preserve">ة منذ حوالي </w:t>
      </w:r>
      <w:r w:rsidRPr="009640F7">
        <w:rPr>
          <w:rFonts w:hint="cs"/>
          <w:rtl/>
          <w:lang w:bidi="ar-AE"/>
        </w:rPr>
        <w:t>40</w:t>
      </w:r>
      <w:r w:rsidRPr="00904FCB">
        <w:rPr>
          <w:rFonts w:hint="cs"/>
          <w:rtl/>
          <w:lang w:bidi="ar-AE"/>
        </w:rPr>
        <w:t xml:space="preserve"> عاماً على يد الشيخ مرتضى الحائري اليزدي</w:t>
      </w:r>
      <w:r w:rsidR="004955CF" w:rsidRPr="00904FCB">
        <w:rPr>
          <w:rFonts w:hint="cs"/>
          <w:rtl/>
          <w:lang w:bidi="ar-AE"/>
        </w:rPr>
        <w:t xml:space="preserve">، شقيق </w:t>
      </w:r>
      <w:r w:rsidRPr="00904FCB">
        <w:rPr>
          <w:rFonts w:hint="cs"/>
          <w:rtl/>
          <w:lang w:bidi="ar-AE"/>
        </w:rPr>
        <w:t>الدكتور مهدي الحائري</w:t>
      </w:r>
      <w:r w:rsidR="004955CF" w:rsidRPr="00904FCB">
        <w:rPr>
          <w:rFonts w:hint="cs"/>
          <w:rtl/>
          <w:lang w:bidi="ar-AE"/>
        </w:rPr>
        <w:t>،</w:t>
      </w:r>
      <w:r w:rsidRPr="00904FCB">
        <w:rPr>
          <w:rFonts w:hint="cs"/>
          <w:rtl/>
          <w:lang w:bidi="ar-AE"/>
        </w:rPr>
        <w:t xml:space="preserve"> الذي مر</w:t>
      </w:r>
      <w:r w:rsidR="004955CF" w:rsidRPr="00904FCB">
        <w:rPr>
          <w:rFonts w:hint="cs"/>
          <w:rtl/>
          <w:lang w:bidi="ar-AE"/>
        </w:rPr>
        <w:t>ّ</w:t>
      </w:r>
      <w:r w:rsidRPr="00904FCB">
        <w:rPr>
          <w:rFonts w:hint="cs"/>
          <w:rtl/>
          <w:lang w:bidi="ar-AE"/>
        </w:rPr>
        <w:t xml:space="preserve"> ذكره قبل قليل.</w:t>
      </w:r>
    </w:p>
    <w:p w:rsidR="00952E59" w:rsidRPr="00904FCB" w:rsidRDefault="00952E59" w:rsidP="007A21AA">
      <w:pPr>
        <w:spacing w:line="400" w:lineRule="exact"/>
        <w:rPr>
          <w:rtl/>
          <w:lang w:bidi="ar-AE"/>
        </w:rPr>
      </w:pPr>
      <w:r w:rsidRPr="00904FCB">
        <w:rPr>
          <w:rFonts w:hint="cs"/>
          <w:rtl/>
          <w:lang w:bidi="ar-AE"/>
        </w:rPr>
        <w:t xml:space="preserve"> </w:t>
      </w:r>
      <w:r w:rsidRPr="00904FCB">
        <w:rPr>
          <w:rFonts w:hint="cs"/>
          <w:b/>
          <w:bCs/>
          <w:rtl/>
          <w:lang w:bidi="ar-AE"/>
        </w:rPr>
        <w:t>الثالث:</w:t>
      </w:r>
      <w:r w:rsidRPr="00904FCB">
        <w:rPr>
          <w:rFonts w:hint="cs"/>
          <w:rtl/>
          <w:lang w:bidi="ar-AE"/>
        </w:rPr>
        <w:t xml:space="preserve"> تحديد دور الدين والفقه في العملية السياسية. </w:t>
      </w:r>
    </w:p>
    <w:p w:rsidR="00952E59" w:rsidRPr="00904FCB" w:rsidRDefault="00952E59" w:rsidP="007A21AA">
      <w:pPr>
        <w:spacing w:line="400" w:lineRule="exact"/>
        <w:rPr>
          <w:rtl/>
          <w:lang w:bidi="ar-AE"/>
        </w:rPr>
      </w:pPr>
      <w:r w:rsidRPr="00904FCB">
        <w:rPr>
          <w:rFonts w:hint="cs"/>
          <w:rtl/>
          <w:lang w:bidi="ar-AE"/>
        </w:rPr>
        <w:t>بناءً على هذه النظرية لا يعد</w:t>
      </w:r>
      <w:r w:rsidR="004955CF" w:rsidRPr="00904FCB">
        <w:rPr>
          <w:rFonts w:hint="cs"/>
          <w:rtl/>
          <w:lang w:bidi="ar-AE"/>
        </w:rPr>
        <w:t>ّ</w:t>
      </w:r>
      <w:r w:rsidRPr="00904FCB">
        <w:rPr>
          <w:rFonts w:hint="cs"/>
          <w:rtl/>
          <w:lang w:bidi="ar-AE"/>
        </w:rPr>
        <w:t xml:space="preserve"> الفقه شرطاً في زعامة الدولة الإسلامية</w:t>
      </w:r>
      <w:r w:rsidR="004955CF" w:rsidRPr="00904FCB">
        <w:rPr>
          <w:rFonts w:hint="cs"/>
          <w:rtl/>
          <w:lang w:bidi="ar-AE"/>
        </w:rPr>
        <w:t>،</w:t>
      </w:r>
      <w:r w:rsidRPr="00904FCB">
        <w:rPr>
          <w:rFonts w:hint="cs"/>
          <w:rtl/>
          <w:lang w:bidi="ar-AE"/>
        </w:rPr>
        <w:t xml:space="preserve"> كما ليس للفقيه ـ من ناحية فقهه ـ أولوي</w:t>
      </w:r>
      <w:r w:rsidR="004955CF" w:rsidRPr="00904FCB">
        <w:rPr>
          <w:rFonts w:hint="cs"/>
          <w:rtl/>
          <w:lang w:bidi="ar-AE"/>
        </w:rPr>
        <w:t>ّ</w:t>
      </w:r>
      <w:r w:rsidRPr="00904FCB">
        <w:rPr>
          <w:rFonts w:hint="cs"/>
          <w:rtl/>
          <w:lang w:bidi="ar-AE"/>
        </w:rPr>
        <w:t>ة على سواه</w:t>
      </w:r>
      <w:r w:rsidR="004955CF" w:rsidRPr="00904FCB">
        <w:rPr>
          <w:rFonts w:hint="cs"/>
          <w:rtl/>
          <w:lang w:bidi="ar-AE"/>
        </w:rPr>
        <w:t>،</w:t>
      </w:r>
      <w:r w:rsidRPr="00904FCB">
        <w:rPr>
          <w:rFonts w:hint="cs"/>
          <w:rtl/>
          <w:lang w:bidi="ar-AE"/>
        </w:rPr>
        <w:t xml:space="preserve"> أو امتيازاً يجعله في طليعة المؤه</w:t>
      </w:r>
      <w:r w:rsidR="004955CF" w:rsidRPr="00904FCB">
        <w:rPr>
          <w:rFonts w:hint="cs"/>
          <w:rtl/>
          <w:lang w:bidi="ar-AE"/>
        </w:rPr>
        <w:t>َّ</w:t>
      </w:r>
      <w:r w:rsidRPr="00904FCB">
        <w:rPr>
          <w:rFonts w:hint="cs"/>
          <w:rtl/>
          <w:lang w:bidi="ar-AE"/>
        </w:rPr>
        <w:t>لين لإدارة العملية السياسية.</w:t>
      </w:r>
    </w:p>
    <w:p w:rsidR="00952E59" w:rsidRPr="00904FCB" w:rsidRDefault="00952E59" w:rsidP="007A21AA">
      <w:pPr>
        <w:spacing w:line="400" w:lineRule="exact"/>
        <w:rPr>
          <w:rtl/>
          <w:lang w:bidi="ar-AE"/>
        </w:rPr>
      </w:pPr>
      <w:r w:rsidRPr="00904FCB">
        <w:rPr>
          <w:rFonts w:hint="cs"/>
          <w:rtl/>
          <w:lang w:bidi="ar-AE"/>
        </w:rPr>
        <w:t>ومن جملة م</w:t>
      </w:r>
      <w:r w:rsidR="004955CF" w:rsidRPr="00904FCB">
        <w:rPr>
          <w:rFonts w:hint="cs"/>
          <w:rtl/>
          <w:lang w:bidi="ar-AE"/>
        </w:rPr>
        <w:t>َ</w:t>
      </w:r>
      <w:r w:rsidRPr="00904FCB">
        <w:rPr>
          <w:rFonts w:hint="cs"/>
          <w:rtl/>
          <w:lang w:bidi="ar-AE"/>
        </w:rPr>
        <w:t>ن</w:t>
      </w:r>
      <w:r w:rsidR="004955CF" w:rsidRPr="00904FCB">
        <w:rPr>
          <w:rFonts w:hint="cs"/>
          <w:rtl/>
          <w:lang w:bidi="ar-AE"/>
        </w:rPr>
        <w:t>ْ</w:t>
      </w:r>
      <w:r w:rsidRPr="00904FCB">
        <w:rPr>
          <w:rFonts w:hint="cs"/>
          <w:rtl/>
          <w:lang w:bidi="ar-AE"/>
        </w:rPr>
        <w:t xml:space="preserve"> يتبنى هذه النظرية العلاّمة الطباطبائي (صاحب تفسير الميزان)</w:t>
      </w:r>
      <w:r w:rsidR="004955CF" w:rsidRPr="00904FCB">
        <w:rPr>
          <w:rFonts w:hint="cs"/>
          <w:rtl/>
          <w:lang w:bidi="ar-AE"/>
        </w:rPr>
        <w:t>.</w:t>
      </w:r>
      <w:r w:rsidRPr="00904FCB">
        <w:rPr>
          <w:rFonts w:hint="cs"/>
          <w:rtl/>
          <w:lang w:bidi="ar-AE"/>
        </w:rPr>
        <w:t xml:space="preserve"> وقد كتب في تفسير أولي الأمر:</w:t>
      </w:r>
      <w:r w:rsidR="004955CF" w:rsidRPr="00904FCB">
        <w:rPr>
          <w:rFonts w:hint="cs"/>
          <w:rtl/>
          <w:lang w:bidi="ar-AE"/>
        </w:rPr>
        <w:t xml:space="preserve"> </w:t>
      </w:r>
      <w:r w:rsidRPr="00904FCB">
        <w:rPr>
          <w:rFonts w:hint="eastAsia"/>
          <w:rtl/>
          <w:lang w:bidi="ar-AE"/>
        </w:rPr>
        <w:t>«</w:t>
      </w:r>
      <w:r w:rsidRPr="00904FCB">
        <w:rPr>
          <w:rFonts w:hint="cs"/>
          <w:rtl/>
          <w:lang w:bidi="ar-AE"/>
        </w:rPr>
        <w:t>وأما القول بأن أولي الأمر هم العلماء فعدم مناسبته للآية أظهر</w:t>
      </w:r>
      <w:r w:rsidR="004955CF" w:rsidRPr="00904FCB">
        <w:rPr>
          <w:rFonts w:hint="cs"/>
          <w:rtl/>
          <w:lang w:bidi="ar-AE"/>
        </w:rPr>
        <w:t>؛</w:t>
      </w:r>
      <w:r w:rsidRPr="00904FCB">
        <w:rPr>
          <w:rFonts w:hint="cs"/>
          <w:rtl/>
          <w:lang w:bidi="ar-AE"/>
        </w:rPr>
        <w:t xml:space="preserve"> إذ العلماء ـ وهم يؤمئذ</w:t>
      </w:r>
      <w:r w:rsidR="004955CF" w:rsidRPr="00904FCB">
        <w:rPr>
          <w:rFonts w:hint="cs"/>
          <w:rtl/>
          <w:lang w:bidi="ar-AE"/>
        </w:rPr>
        <w:t>ٍ</w:t>
      </w:r>
      <w:r w:rsidRPr="00904FCB">
        <w:rPr>
          <w:rFonts w:hint="cs"/>
          <w:rtl/>
          <w:lang w:bidi="ar-AE"/>
        </w:rPr>
        <w:t xml:space="preserve"> المحد</w:t>
      </w:r>
      <w:r w:rsidR="004955CF" w:rsidRPr="00904FCB">
        <w:rPr>
          <w:rFonts w:hint="cs"/>
          <w:rtl/>
          <w:lang w:bidi="ar-AE"/>
        </w:rPr>
        <w:t>ِّ</w:t>
      </w:r>
      <w:r w:rsidRPr="00904FCB">
        <w:rPr>
          <w:rFonts w:hint="cs"/>
          <w:rtl/>
          <w:lang w:bidi="ar-AE"/>
        </w:rPr>
        <w:t>ثون والفقهاء والقر</w:t>
      </w:r>
      <w:r w:rsidR="004955CF" w:rsidRPr="00904FCB">
        <w:rPr>
          <w:rFonts w:hint="cs"/>
          <w:rtl/>
          <w:lang w:bidi="ar-AE"/>
        </w:rPr>
        <w:t>ّ</w:t>
      </w:r>
      <w:r w:rsidRPr="00904FCB">
        <w:rPr>
          <w:rFonts w:hint="cs"/>
          <w:rtl/>
          <w:lang w:bidi="ar-AE"/>
        </w:rPr>
        <w:t>اء والمتكل</w:t>
      </w:r>
      <w:r w:rsidR="004955CF" w:rsidRPr="00904FCB">
        <w:rPr>
          <w:rFonts w:hint="cs"/>
          <w:rtl/>
          <w:lang w:bidi="ar-AE"/>
        </w:rPr>
        <w:t>ِّ</w:t>
      </w:r>
      <w:r w:rsidRPr="00904FCB">
        <w:rPr>
          <w:rFonts w:hint="cs"/>
          <w:rtl/>
          <w:lang w:bidi="ar-AE"/>
        </w:rPr>
        <w:t>مون في أصول الدين ـ إنما خبرتهم في الفقه والحديث ونحو ذلك... وأي</w:t>
      </w:r>
      <w:r w:rsidR="004955CF" w:rsidRPr="00904FCB">
        <w:rPr>
          <w:rFonts w:hint="cs"/>
          <w:rtl/>
          <w:lang w:bidi="ar-AE"/>
        </w:rPr>
        <w:t>ُّ</w:t>
      </w:r>
      <w:r w:rsidRPr="00904FCB">
        <w:rPr>
          <w:rFonts w:hint="cs"/>
          <w:rtl/>
          <w:lang w:bidi="ar-AE"/>
        </w:rPr>
        <w:t xml:space="preserve"> خبرة</w:t>
      </w:r>
      <w:r w:rsidR="004955CF" w:rsidRPr="00904FCB">
        <w:rPr>
          <w:rFonts w:hint="cs"/>
          <w:rtl/>
          <w:lang w:bidi="ar-AE"/>
        </w:rPr>
        <w:t>ٍ</w:t>
      </w:r>
      <w:r w:rsidRPr="00904FCB">
        <w:rPr>
          <w:rFonts w:hint="cs"/>
          <w:rtl/>
          <w:lang w:bidi="ar-AE"/>
        </w:rPr>
        <w:t xml:space="preserve"> للعلماء من حيث إنهم محد</w:t>
      </w:r>
      <w:r w:rsidR="004955CF" w:rsidRPr="00904FCB">
        <w:rPr>
          <w:rFonts w:hint="cs"/>
          <w:rtl/>
          <w:lang w:bidi="ar-AE"/>
        </w:rPr>
        <w:t>ِّ</w:t>
      </w:r>
      <w:r w:rsidRPr="00904FCB">
        <w:rPr>
          <w:rFonts w:hint="cs"/>
          <w:rtl/>
          <w:lang w:bidi="ar-AE"/>
        </w:rPr>
        <w:t>ثون أو فقهاء أو قرّاء أو نحوهم في هذه القضايا حت</w:t>
      </w:r>
      <w:r w:rsidR="004955CF" w:rsidRPr="00904FCB">
        <w:rPr>
          <w:rFonts w:hint="cs"/>
          <w:rtl/>
          <w:lang w:bidi="ar-AE"/>
        </w:rPr>
        <w:t>ّ</w:t>
      </w:r>
      <w:r w:rsidRPr="00904FCB">
        <w:rPr>
          <w:rFonts w:hint="cs"/>
          <w:rtl/>
          <w:lang w:bidi="ar-AE"/>
        </w:rPr>
        <w:t>ى يأمر الله سبحانه بإرجاعها وردّها إليهم؟</w:t>
      </w:r>
      <w:r w:rsidR="00583BA1">
        <w:rPr>
          <w:rFonts w:hint="cs"/>
          <w:rtl/>
          <w:lang w:bidi="ar-AE"/>
        </w:rPr>
        <w:t>!</w:t>
      </w:r>
      <w:r w:rsidRPr="00904FCB">
        <w:rPr>
          <w:rFonts w:hint="cs"/>
          <w:rtl/>
          <w:lang w:bidi="ar-AE"/>
        </w:rPr>
        <w:t xml:space="preserve"> وأيّ رجاء</w:t>
      </w:r>
      <w:r w:rsidR="004955CF" w:rsidRPr="00904FCB">
        <w:rPr>
          <w:rFonts w:hint="cs"/>
          <w:rtl/>
          <w:lang w:bidi="ar-AE"/>
        </w:rPr>
        <w:t>ٍ</w:t>
      </w:r>
      <w:r w:rsidRPr="00904FCB">
        <w:rPr>
          <w:rFonts w:hint="cs"/>
          <w:rtl/>
          <w:lang w:bidi="ar-AE"/>
        </w:rPr>
        <w:t xml:space="preserve"> في حل</w:t>
      </w:r>
      <w:r w:rsidR="004955CF" w:rsidRPr="00904FCB">
        <w:rPr>
          <w:rFonts w:hint="cs"/>
          <w:rtl/>
          <w:lang w:bidi="ar-AE"/>
        </w:rPr>
        <w:t>ّ</w:t>
      </w:r>
      <w:r w:rsidRPr="00904FCB">
        <w:rPr>
          <w:rFonts w:hint="cs"/>
          <w:rtl/>
          <w:lang w:bidi="ar-AE"/>
        </w:rPr>
        <w:t xml:space="preserve"> أمثال هذه المشكلات بأيديهم؟</w:t>
      </w:r>
      <w:r w:rsidR="00583BA1">
        <w:rPr>
          <w:rFonts w:hint="cs"/>
          <w:rtl/>
          <w:lang w:bidi="ar-AE"/>
        </w:rPr>
        <w:t>!</w:t>
      </w:r>
      <w:r w:rsidRPr="00904FCB">
        <w:rPr>
          <w:rFonts w:hint="eastAsia"/>
          <w:rtl/>
          <w:lang w:bidi="ar-AE"/>
        </w:rPr>
        <w:t>»</w:t>
      </w:r>
      <w:r w:rsidRPr="00904FCB">
        <w:rPr>
          <w:rFonts w:hint="cs"/>
          <w:vertAlign w:val="superscript"/>
          <w:rtl/>
        </w:rPr>
        <w:t>(</w:t>
      </w:r>
      <w:r w:rsidRPr="00904FCB">
        <w:rPr>
          <w:vertAlign w:val="superscript"/>
        </w:rPr>
        <w:endnoteReference w:id="344"/>
      </w:r>
      <w:r w:rsidRPr="00904FCB">
        <w:rPr>
          <w:rFonts w:hint="cs"/>
          <w:vertAlign w:val="superscript"/>
          <w:rtl/>
        </w:rPr>
        <w:t>)</w:t>
      </w:r>
      <w:r w:rsidRPr="00904FCB">
        <w:rPr>
          <w:rFonts w:hint="cs"/>
          <w:rtl/>
          <w:lang w:bidi="ar-AE"/>
        </w:rPr>
        <w:t>.</w:t>
      </w:r>
    </w:p>
    <w:p w:rsidR="00952E59" w:rsidRPr="00904FCB" w:rsidRDefault="00952E59" w:rsidP="00583BA1">
      <w:pPr>
        <w:spacing w:line="400" w:lineRule="exact"/>
        <w:rPr>
          <w:rtl/>
          <w:lang w:bidi="ar-AE"/>
        </w:rPr>
      </w:pPr>
      <w:r w:rsidRPr="00904FCB">
        <w:rPr>
          <w:rFonts w:hint="cs"/>
          <w:rtl/>
          <w:lang w:bidi="ar-AE"/>
        </w:rPr>
        <w:t xml:space="preserve">ويكتب صاحب نظرية (تفويض أصحاب الملك المشاع) في كتابه </w:t>
      </w:r>
      <w:r w:rsidR="004955CF" w:rsidRPr="00904FCB">
        <w:rPr>
          <w:rFonts w:hint="cs"/>
          <w:rtl/>
          <w:lang w:bidi="ar-AE"/>
        </w:rPr>
        <w:t>(</w:t>
      </w:r>
      <w:r w:rsidRPr="00904FCB">
        <w:rPr>
          <w:rFonts w:hint="cs"/>
          <w:rtl/>
          <w:lang w:bidi="ar-AE"/>
        </w:rPr>
        <w:t>حكمت وحكومت</w:t>
      </w:r>
      <w:r w:rsidR="004955CF" w:rsidRPr="00904FCB">
        <w:rPr>
          <w:rFonts w:hint="cs"/>
          <w:rtl/>
          <w:lang w:bidi="ar-AE"/>
        </w:rPr>
        <w:t>)</w:t>
      </w:r>
      <w:r w:rsidRPr="00904FCB">
        <w:rPr>
          <w:rFonts w:hint="cs"/>
          <w:rtl/>
          <w:lang w:bidi="ar-AE"/>
        </w:rPr>
        <w:t xml:space="preserve"> </w:t>
      </w:r>
      <w:r w:rsidR="00583BA1">
        <w:rPr>
          <w:rFonts w:hint="cs"/>
          <w:rtl/>
          <w:lang w:bidi="ar-AE"/>
        </w:rPr>
        <w:t>[</w:t>
      </w:r>
      <w:r w:rsidRPr="00904FCB">
        <w:rPr>
          <w:rFonts w:hint="cs"/>
          <w:rtl/>
          <w:lang w:bidi="ar-AE"/>
        </w:rPr>
        <w:t>الحكمة والحكومة</w:t>
      </w:r>
      <w:r w:rsidR="00583BA1">
        <w:rPr>
          <w:rFonts w:hint="cs"/>
          <w:rtl/>
          <w:lang w:bidi="ar-AE"/>
        </w:rPr>
        <w:t>]</w:t>
      </w:r>
      <w:r w:rsidRPr="00904FCB">
        <w:rPr>
          <w:rFonts w:hint="cs"/>
          <w:rtl/>
          <w:lang w:bidi="ar-AE"/>
        </w:rPr>
        <w:t>:</w:t>
      </w:r>
      <w:r w:rsidR="004955CF" w:rsidRPr="00904FCB">
        <w:rPr>
          <w:rFonts w:hint="cs"/>
          <w:rtl/>
          <w:lang w:bidi="ar-AE"/>
        </w:rPr>
        <w:t xml:space="preserve"> </w:t>
      </w:r>
      <w:r w:rsidRPr="00904FCB">
        <w:rPr>
          <w:rFonts w:hint="eastAsia"/>
          <w:rtl/>
          <w:lang w:bidi="ar-AE"/>
        </w:rPr>
        <w:t>«</w:t>
      </w:r>
      <w:r w:rsidR="004955CF" w:rsidRPr="00904FCB">
        <w:rPr>
          <w:rFonts w:hint="cs"/>
          <w:rtl/>
          <w:lang w:bidi="ar-AE"/>
        </w:rPr>
        <w:t>إ</w:t>
      </w:r>
      <w:r w:rsidRPr="00904FCB">
        <w:rPr>
          <w:rFonts w:hint="cs"/>
          <w:rtl/>
          <w:lang w:bidi="ar-AE"/>
        </w:rPr>
        <w:t xml:space="preserve">ن القرآن الكريم يقول في إحدى آياته: </w:t>
      </w:r>
      <w:r w:rsidR="00C22A8D" w:rsidRPr="00904FCB">
        <w:rPr>
          <w:rFonts w:ascii="Mosawi" w:hAnsi="Mosawi" w:cs="Mosawi"/>
          <w:sz w:val="24"/>
          <w:szCs w:val="24"/>
          <w:rtl/>
        </w:rPr>
        <w:t>﴿</w:t>
      </w:r>
      <w:r w:rsidR="00C22A8D" w:rsidRPr="00904FCB">
        <w:rPr>
          <w:b/>
          <w:bCs/>
          <w:sz w:val="27"/>
          <w:rtl/>
        </w:rPr>
        <w:t>وَأَمْرُهُمْ شُورَى بَيْنَهُمْ</w:t>
      </w:r>
      <w:r w:rsidR="00C22A8D" w:rsidRPr="00904FCB">
        <w:rPr>
          <w:rFonts w:ascii="Mosawi" w:hAnsi="Mosawi" w:cs="Mosawi"/>
          <w:sz w:val="24"/>
          <w:szCs w:val="24"/>
          <w:rtl/>
        </w:rPr>
        <w:t>﴾</w:t>
      </w:r>
      <w:r w:rsidRPr="00904FCB">
        <w:rPr>
          <w:rFonts w:hint="cs"/>
          <w:rtl/>
          <w:lang w:bidi="ar-AE"/>
        </w:rPr>
        <w:t xml:space="preserve">، أي إن أمور الدنيا والحوادث اليومية التي تقع </w:t>
      </w:r>
      <w:r w:rsidR="00C22A8D" w:rsidRPr="00904FCB">
        <w:rPr>
          <w:rFonts w:hint="cs"/>
          <w:rtl/>
          <w:lang w:bidi="ar-AE"/>
        </w:rPr>
        <w:t>ل</w:t>
      </w:r>
      <w:r w:rsidRPr="00904FCB">
        <w:rPr>
          <w:rFonts w:hint="cs"/>
          <w:rtl/>
          <w:lang w:bidi="ar-AE"/>
        </w:rPr>
        <w:t>لناس</w:t>
      </w:r>
      <w:r w:rsidR="00C22A8D" w:rsidRPr="00904FCB">
        <w:rPr>
          <w:rFonts w:hint="cs"/>
          <w:rtl/>
          <w:lang w:bidi="ar-AE"/>
        </w:rPr>
        <w:t>، والتي من</w:t>
      </w:r>
      <w:r w:rsidRPr="00904FCB">
        <w:rPr>
          <w:rFonts w:hint="cs"/>
          <w:rtl/>
          <w:lang w:bidi="ar-AE"/>
        </w:rPr>
        <w:t>ها</w:t>
      </w:r>
      <w:r w:rsidR="00C22A8D" w:rsidRPr="00904FCB">
        <w:rPr>
          <w:rFonts w:hint="cs"/>
          <w:rtl/>
          <w:lang w:bidi="ar-AE"/>
        </w:rPr>
        <w:t>:</w:t>
      </w:r>
      <w:r w:rsidRPr="00904FCB">
        <w:rPr>
          <w:rFonts w:hint="cs"/>
          <w:rtl/>
          <w:lang w:bidi="ar-AE"/>
        </w:rPr>
        <w:t xml:space="preserve"> الشؤون السياسية والدستور والقانون وما إلى ذلك، مرجعها جميعاً إلى الناس أنفسهم</w:t>
      </w:r>
      <w:r w:rsidR="00C22A8D" w:rsidRPr="00904FCB">
        <w:rPr>
          <w:rFonts w:hint="cs"/>
          <w:rtl/>
          <w:lang w:bidi="ar-AE"/>
        </w:rPr>
        <w:t xml:space="preserve">؛ </w:t>
      </w:r>
      <w:r w:rsidRPr="00904FCB">
        <w:rPr>
          <w:rFonts w:hint="cs"/>
          <w:rtl/>
          <w:lang w:bidi="ar-AE"/>
        </w:rPr>
        <w:t xml:space="preserve">لأنها شأن من شؤونهم. </w:t>
      </w:r>
    </w:p>
    <w:p w:rsidR="00952E59" w:rsidRPr="00904FCB" w:rsidRDefault="00952E59" w:rsidP="007A21AA">
      <w:pPr>
        <w:spacing w:line="400" w:lineRule="exact"/>
        <w:rPr>
          <w:rtl/>
          <w:lang w:bidi="ar-AE"/>
        </w:rPr>
      </w:pPr>
      <w:r w:rsidRPr="00904FCB">
        <w:rPr>
          <w:rFonts w:hint="cs"/>
          <w:rtl/>
          <w:lang w:bidi="ar-AE"/>
        </w:rPr>
        <w:t>وبعبارة</w:t>
      </w:r>
      <w:r w:rsidR="00C22A8D" w:rsidRPr="00904FCB">
        <w:rPr>
          <w:rFonts w:hint="cs"/>
          <w:rtl/>
          <w:lang w:bidi="ar-AE"/>
        </w:rPr>
        <w:t>ٍ</w:t>
      </w:r>
      <w:r w:rsidRPr="00904FCB">
        <w:rPr>
          <w:rFonts w:hint="cs"/>
          <w:rtl/>
          <w:lang w:bidi="ar-AE"/>
        </w:rPr>
        <w:t xml:space="preserve"> أخرى</w:t>
      </w:r>
      <w:r w:rsidR="00C22A8D" w:rsidRPr="00904FCB">
        <w:rPr>
          <w:rFonts w:hint="cs"/>
          <w:rtl/>
          <w:lang w:bidi="ar-AE"/>
        </w:rPr>
        <w:t>:</w:t>
      </w:r>
      <w:r w:rsidRPr="00904FCB">
        <w:rPr>
          <w:rFonts w:hint="cs"/>
          <w:rtl/>
          <w:lang w:bidi="ar-AE"/>
        </w:rPr>
        <w:t xml:space="preserve"> إن أمور الناس ومشاكلهم لا</w:t>
      </w:r>
      <w:r w:rsidR="00C22A8D" w:rsidRPr="00904FCB">
        <w:rPr>
          <w:rFonts w:hint="cs"/>
          <w:rtl/>
          <w:lang w:bidi="ar-AE"/>
        </w:rPr>
        <w:t xml:space="preserve"> </w:t>
      </w:r>
      <w:r w:rsidRPr="00904FCB">
        <w:rPr>
          <w:rFonts w:hint="cs"/>
          <w:rtl/>
          <w:lang w:bidi="ar-AE"/>
        </w:rPr>
        <w:t>ب</w:t>
      </w:r>
      <w:r w:rsidR="00C22A8D" w:rsidRPr="00904FCB">
        <w:rPr>
          <w:rFonts w:hint="cs"/>
          <w:rtl/>
          <w:lang w:bidi="ar-AE"/>
        </w:rPr>
        <w:t>ُ</w:t>
      </w:r>
      <w:r w:rsidRPr="00904FCB">
        <w:rPr>
          <w:rFonts w:hint="cs"/>
          <w:rtl/>
          <w:lang w:bidi="ar-AE"/>
        </w:rPr>
        <w:t>د</w:t>
      </w:r>
      <w:r w:rsidR="00C22A8D" w:rsidRPr="00904FCB">
        <w:rPr>
          <w:rFonts w:hint="cs"/>
          <w:rtl/>
          <w:lang w:bidi="ar-AE"/>
        </w:rPr>
        <w:t>َّ</w:t>
      </w:r>
      <w:r w:rsidRPr="00904FCB">
        <w:rPr>
          <w:rFonts w:hint="cs"/>
          <w:rtl/>
          <w:lang w:bidi="ar-AE"/>
        </w:rPr>
        <w:t xml:space="preserve"> أن تحل</w:t>
      </w:r>
      <w:r w:rsidR="00C22A8D" w:rsidRPr="00904FCB">
        <w:rPr>
          <w:rFonts w:hint="cs"/>
          <w:rtl/>
          <w:lang w:bidi="ar-AE"/>
        </w:rPr>
        <w:t>ّ</w:t>
      </w:r>
      <w:r w:rsidRPr="00904FCB">
        <w:rPr>
          <w:rFonts w:hint="cs"/>
          <w:rtl/>
          <w:lang w:bidi="ar-AE"/>
        </w:rPr>
        <w:t xml:space="preserve"> عبر المشورة والحوار </w:t>
      </w:r>
      <w:r w:rsidRPr="00904FCB">
        <w:rPr>
          <w:rFonts w:hint="cs"/>
          <w:rtl/>
          <w:lang w:bidi="ar-AE"/>
        </w:rPr>
        <w:lastRenderedPageBreak/>
        <w:t>وتبادل الآراء فيما بينهم</w:t>
      </w:r>
      <w:r w:rsidR="00C22A8D" w:rsidRPr="00904FCB">
        <w:rPr>
          <w:rFonts w:hint="cs"/>
          <w:rtl/>
          <w:lang w:bidi="ar-AE"/>
        </w:rPr>
        <w:t>،</w:t>
      </w:r>
      <w:r w:rsidRPr="00904FCB">
        <w:rPr>
          <w:rFonts w:hint="cs"/>
          <w:rtl/>
          <w:lang w:bidi="ar-AE"/>
        </w:rPr>
        <w:t xml:space="preserve"> لا عن طريق الوحي والرسالة الإلهية</w:t>
      </w:r>
      <w:r w:rsidRPr="00904FCB">
        <w:rPr>
          <w:rFonts w:hint="eastAsia"/>
          <w:rtl/>
          <w:lang w:bidi="ar-AE"/>
        </w:rPr>
        <w:t>»</w:t>
      </w:r>
      <w:r w:rsidRPr="00904FCB">
        <w:rPr>
          <w:rFonts w:hint="cs"/>
          <w:vertAlign w:val="superscript"/>
          <w:rtl/>
        </w:rPr>
        <w:t>(</w:t>
      </w:r>
      <w:r w:rsidRPr="00904FCB">
        <w:rPr>
          <w:vertAlign w:val="superscript"/>
        </w:rPr>
        <w:endnoteReference w:id="345"/>
      </w:r>
      <w:r w:rsidRPr="00904FCB">
        <w:rPr>
          <w:rFonts w:hint="cs"/>
          <w:vertAlign w:val="superscript"/>
          <w:rtl/>
        </w:rPr>
        <w:t>)</w:t>
      </w:r>
      <w:r w:rsidRPr="00904FCB">
        <w:rPr>
          <w:rFonts w:hint="cs"/>
          <w:rtl/>
          <w:lang w:bidi="ar-AE"/>
        </w:rPr>
        <w:t>.</w:t>
      </w:r>
      <w:r w:rsidRPr="00904FCB">
        <w:rPr>
          <w:rFonts w:hint="cs"/>
          <w:b/>
          <w:bCs/>
          <w:rtl/>
        </w:rPr>
        <w:t xml:space="preserve"> </w:t>
      </w:r>
    </w:p>
    <w:p w:rsidR="00952E59" w:rsidRPr="00904FCB" w:rsidRDefault="00952E59" w:rsidP="00583BA1">
      <w:pPr>
        <w:spacing w:line="400" w:lineRule="exact"/>
        <w:rPr>
          <w:rtl/>
          <w:lang w:bidi="ar-AE"/>
        </w:rPr>
      </w:pPr>
      <w:r w:rsidRPr="00904FCB">
        <w:rPr>
          <w:rFonts w:hint="cs"/>
          <w:rtl/>
          <w:lang w:bidi="ar-AE"/>
        </w:rPr>
        <w:t xml:space="preserve">ثم إن </w:t>
      </w:r>
      <w:r w:rsidRPr="00904FCB">
        <w:rPr>
          <w:rFonts w:hint="eastAsia"/>
          <w:rtl/>
          <w:lang w:bidi="ar-AE"/>
        </w:rPr>
        <w:t>«</w:t>
      </w:r>
      <w:r w:rsidRPr="00904FCB">
        <w:rPr>
          <w:rFonts w:hint="cs"/>
          <w:rtl/>
          <w:lang w:bidi="ar-AE"/>
        </w:rPr>
        <w:t>السياسة الحديثة والقوانين المدنية المعاصرة تعد</w:t>
      </w:r>
      <w:r w:rsidR="00C22A8D" w:rsidRPr="00904FCB">
        <w:rPr>
          <w:rFonts w:hint="cs"/>
          <w:rtl/>
          <w:lang w:bidi="ar-AE"/>
        </w:rPr>
        <w:t>ّ</w:t>
      </w:r>
      <w:r w:rsidRPr="00904FCB">
        <w:rPr>
          <w:rFonts w:hint="cs"/>
          <w:rtl/>
          <w:lang w:bidi="ar-AE"/>
        </w:rPr>
        <w:t xml:space="preserve"> جميعها من الأمور الفرعية التي لا شأن للأنبياء والرسل والأئم</w:t>
      </w:r>
      <w:r w:rsidR="00C22A8D" w:rsidRPr="00904FCB">
        <w:rPr>
          <w:rFonts w:hint="cs"/>
          <w:rtl/>
          <w:lang w:bidi="ar-AE"/>
        </w:rPr>
        <w:t>ّ</w:t>
      </w:r>
      <w:r w:rsidRPr="00904FCB">
        <w:rPr>
          <w:rFonts w:hint="cs"/>
          <w:rtl/>
          <w:lang w:bidi="ar-AE"/>
        </w:rPr>
        <w:t>ة</w:t>
      </w:r>
      <w:r w:rsidR="00510A75" w:rsidRPr="00904FCB">
        <w:rPr>
          <w:rFonts w:ascii="Mosawi" w:hAnsi="Mosawi" w:cs="Mosawi"/>
          <w:rtl/>
          <w:lang w:bidi="ar-AE"/>
        </w:rPr>
        <w:t>^</w:t>
      </w:r>
      <w:r w:rsidRPr="00904FCB">
        <w:rPr>
          <w:rFonts w:hint="cs"/>
          <w:rtl/>
          <w:lang w:bidi="ar-AE"/>
        </w:rPr>
        <w:t xml:space="preserve"> بها، وإذا كان هذا حال الأنبياء والأئمة</w:t>
      </w:r>
      <w:r w:rsidR="00510A75" w:rsidRPr="00904FCB">
        <w:rPr>
          <w:rFonts w:ascii="Mosawi" w:hAnsi="Mosawi" w:cs="Mosawi"/>
          <w:rtl/>
          <w:lang w:bidi="ar-AE"/>
        </w:rPr>
        <w:t>^</w:t>
      </w:r>
      <w:r w:rsidRPr="00904FCB">
        <w:rPr>
          <w:rFonts w:hint="cs"/>
          <w:rtl/>
          <w:lang w:bidi="ar-AE"/>
        </w:rPr>
        <w:t xml:space="preserve"> فنو</w:t>
      </w:r>
      <w:r w:rsidR="00C22A8D" w:rsidRPr="00904FCB">
        <w:rPr>
          <w:rFonts w:hint="cs"/>
          <w:rtl/>
          <w:lang w:bidi="ar-AE"/>
        </w:rPr>
        <w:t>ّ</w:t>
      </w:r>
      <w:r w:rsidRPr="00904FCB">
        <w:rPr>
          <w:rFonts w:hint="cs"/>
          <w:rtl/>
          <w:lang w:bidi="ar-AE"/>
        </w:rPr>
        <w:t>ابهم ـ الخاص</w:t>
      </w:r>
      <w:r w:rsidR="00C22A8D" w:rsidRPr="00904FCB">
        <w:rPr>
          <w:rFonts w:hint="cs"/>
          <w:rtl/>
          <w:lang w:bidi="ar-AE"/>
        </w:rPr>
        <w:t>ّ</w:t>
      </w:r>
      <w:r w:rsidR="00583BA1">
        <w:rPr>
          <w:rFonts w:hint="cs"/>
          <w:rtl/>
          <w:lang w:bidi="ar-AE"/>
        </w:rPr>
        <w:t>و</w:t>
      </w:r>
      <w:r w:rsidRPr="00904FCB">
        <w:rPr>
          <w:rFonts w:hint="cs"/>
          <w:rtl/>
          <w:lang w:bidi="ar-AE"/>
        </w:rPr>
        <w:t>ن والعام</w:t>
      </w:r>
      <w:r w:rsidR="00583BA1">
        <w:rPr>
          <w:rFonts w:hint="cs"/>
          <w:rtl/>
          <w:lang w:bidi="ar-AE"/>
        </w:rPr>
        <w:t>ّو</w:t>
      </w:r>
      <w:r w:rsidRPr="00904FCB">
        <w:rPr>
          <w:rFonts w:hint="cs"/>
          <w:rtl/>
          <w:lang w:bidi="ar-AE"/>
        </w:rPr>
        <w:t>ن ـ أجدر بعدم التدخ</w:t>
      </w:r>
      <w:r w:rsidR="00C22A8D" w:rsidRPr="00904FCB">
        <w:rPr>
          <w:rFonts w:hint="cs"/>
          <w:rtl/>
          <w:lang w:bidi="ar-AE"/>
        </w:rPr>
        <w:t>ُّ</w:t>
      </w:r>
      <w:r w:rsidRPr="00904FCB">
        <w:rPr>
          <w:rFonts w:hint="cs"/>
          <w:rtl/>
          <w:lang w:bidi="ar-AE"/>
        </w:rPr>
        <w:t>ل وتحديد وترسيم وتشخيص المواضيع التي تت</w:t>
      </w:r>
      <w:r w:rsidR="00C22A8D" w:rsidRPr="00904FCB">
        <w:rPr>
          <w:rFonts w:hint="cs"/>
          <w:rtl/>
          <w:lang w:bidi="ar-AE"/>
        </w:rPr>
        <w:t>ّ</w:t>
      </w:r>
      <w:r w:rsidRPr="00904FCB">
        <w:rPr>
          <w:rFonts w:hint="cs"/>
          <w:rtl/>
          <w:lang w:bidi="ar-AE"/>
        </w:rPr>
        <w:t>صل بها</w:t>
      </w:r>
      <w:r w:rsidRPr="00904FCB">
        <w:rPr>
          <w:rFonts w:hint="eastAsia"/>
          <w:rtl/>
          <w:lang w:bidi="ar-AE"/>
        </w:rPr>
        <w:t>»</w:t>
      </w:r>
      <w:r w:rsidRPr="00904FCB">
        <w:rPr>
          <w:rFonts w:hint="cs"/>
          <w:vertAlign w:val="superscript"/>
          <w:rtl/>
        </w:rPr>
        <w:t>(</w:t>
      </w:r>
      <w:r w:rsidRPr="00904FCB">
        <w:rPr>
          <w:vertAlign w:val="superscript"/>
        </w:rPr>
        <w:endnoteReference w:id="346"/>
      </w:r>
      <w:r w:rsidRPr="00904FCB">
        <w:rPr>
          <w:rFonts w:hint="cs"/>
          <w:vertAlign w:val="superscript"/>
          <w:rtl/>
        </w:rPr>
        <w:t>)</w:t>
      </w:r>
      <w:r w:rsidRPr="00904FCB">
        <w:rPr>
          <w:rFonts w:hint="cs"/>
          <w:rtl/>
          <w:lang w:bidi="ar-AE"/>
        </w:rPr>
        <w:t>.</w:t>
      </w:r>
      <w:r w:rsidRPr="00904FCB">
        <w:rPr>
          <w:rFonts w:hint="cs"/>
          <w:b/>
          <w:bCs/>
          <w:rtl/>
        </w:rPr>
        <w:t xml:space="preserve"> </w:t>
      </w:r>
    </w:p>
    <w:p w:rsidR="00952E59" w:rsidRPr="00904FCB" w:rsidRDefault="00952E59" w:rsidP="007A21AA">
      <w:pPr>
        <w:spacing w:line="400" w:lineRule="exact"/>
        <w:rPr>
          <w:rtl/>
          <w:lang w:bidi="ar-AE"/>
        </w:rPr>
      </w:pPr>
      <w:r w:rsidRPr="00904FCB">
        <w:rPr>
          <w:rFonts w:hint="cs"/>
          <w:rtl/>
          <w:lang w:bidi="ar-AE"/>
        </w:rPr>
        <w:t>وقد جاءت نظرية تفويض الملكية الخاصة المشاعة رد</w:t>
      </w:r>
      <w:r w:rsidR="00C22A8D" w:rsidRPr="00904FCB">
        <w:rPr>
          <w:rFonts w:hint="cs"/>
          <w:rtl/>
          <w:lang w:bidi="ar-AE"/>
        </w:rPr>
        <w:t>ّ</w:t>
      </w:r>
      <w:r w:rsidRPr="00904FCB">
        <w:rPr>
          <w:rFonts w:hint="cs"/>
          <w:rtl/>
          <w:lang w:bidi="ar-AE"/>
        </w:rPr>
        <w:t xml:space="preserve">اً على نظرية ولاية الفقيه [المعروفة]. </w:t>
      </w:r>
    </w:p>
    <w:p w:rsidR="00952E59" w:rsidRPr="00904FCB" w:rsidRDefault="00952E59" w:rsidP="00510A75">
      <w:pPr>
        <w:spacing w:line="400" w:lineRule="exact"/>
        <w:rPr>
          <w:rtl/>
          <w:lang w:bidi="ar-AE"/>
        </w:rPr>
      </w:pPr>
      <w:r w:rsidRPr="00904FCB">
        <w:rPr>
          <w:rFonts w:hint="cs"/>
          <w:rtl/>
          <w:lang w:bidi="ar-AE"/>
        </w:rPr>
        <w:t>يقول الشيخ فضل الله النوري بصدد الحديث عن ولاية الفقيه العام</w:t>
      </w:r>
      <w:r w:rsidR="00C22A8D" w:rsidRPr="00904FCB">
        <w:rPr>
          <w:rFonts w:hint="cs"/>
          <w:rtl/>
          <w:lang w:bidi="ar-AE"/>
        </w:rPr>
        <w:t>ّ</w:t>
      </w:r>
      <w:r w:rsidRPr="00904FCB">
        <w:rPr>
          <w:rFonts w:hint="cs"/>
          <w:rtl/>
          <w:lang w:bidi="ar-AE"/>
        </w:rPr>
        <w:t>ة ما نص</w:t>
      </w:r>
      <w:r w:rsidR="00583BA1">
        <w:rPr>
          <w:rFonts w:hint="cs"/>
          <w:rtl/>
          <w:lang w:bidi="ar-AE"/>
        </w:rPr>
        <w:t>ُّ</w:t>
      </w:r>
      <w:r w:rsidRPr="00904FCB">
        <w:rPr>
          <w:rFonts w:hint="cs"/>
          <w:rtl/>
          <w:lang w:bidi="ar-AE"/>
        </w:rPr>
        <w:t xml:space="preserve">ه: </w:t>
      </w:r>
      <w:r w:rsidRPr="00904FCB">
        <w:rPr>
          <w:rFonts w:hint="eastAsia"/>
          <w:rtl/>
          <w:lang w:bidi="ar-AE"/>
        </w:rPr>
        <w:t>«</w:t>
      </w:r>
      <w:r w:rsidRPr="00904FCB">
        <w:rPr>
          <w:rFonts w:hint="cs"/>
          <w:rtl/>
          <w:lang w:bidi="ar-AE"/>
        </w:rPr>
        <w:t>ما الذي كان يدعوهم ليطلقوا على الأعضاء كلمة (وكيل)</w:t>
      </w:r>
      <w:r w:rsidR="00C22A8D" w:rsidRPr="00904FCB">
        <w:rPr>
          <w:rFonts w:hint="cs"/>
          <w:rtl/>
          <w:lang w:bidi="ar-AE"/>
        </w:rPr>
        <w:t>؟!</w:t>
      </w:r>
      <w:r w:rsidRPr="00904FCB">
        <w:rPr>
          <w:rFonts w:hint="cs"/>
          <w:rtl/>
          <w:lang w:bidi="ar-AE"/>
        </w:rPr>
        <w:t xml:space="preserve"> أغاب عنكم أن الوكالة لا تصح</w:t>
      </w:r>
      <w:r w:rsidR="00C22A8D" w:rsidRPr="00904FCB">
        <w:rPr>
          <w:rFonts w:hint="cs"/>
          <w:rtl/>
          <w:lang w:bidi="ar-AE"/>
        </w:rPr>
        <w:t>ّ</w:t>
      </w:r>
      <w:r w:rsidRPr="00904FCB">
        <w:rPr>
          <w:rFonts w:hint="cs"/>
          <w:rtl/>
          <w:lang w:bidi="ar-AE"/>
        </w:rPr>
        <w:t xml:space="preserve"> في الشؤون العامة</w:t>
      </w:r>
      <w:r w:rsidR="00C22A8D" w:rsidRPr="00904FCB">
        <w:rPr>
          <w:rFonts w:hint="cs"/>
          <w:rtl/>
          <w:lang w:bidi="ar-AE"/>
        </w:rPr>
        <w:t>؟!</w:t>
      </w:r>
      <w:r w:rsidRPr="00904FCB">
        <w:rPr>
          <w:rFonts w:hint="cs"/>
          <w:rtl/>
          <w:lang w:bidi="ar-AE"/>
        </w:rPr>
        <w:t xml:space="preserve"> إنما الشؤون العامة متعل</w:t>
      </w:r>
      <w:r w:rsidR="00C22A8D" w:rsidRPr="00904FCB">
        <w:rPr>
          <w:rFonts w:hint="cs"/>
          <w:rtl/>
          <w:lang w:bidi="ar-AE"/>
        </w:rPr>
        <w:t>ّ</w:t>
      </w:r>
      <w:r w:rsidRPr="00904FCB">
        <w:rPr>
          <w:rFonts w:hint="cs"/>
          <w:rtl/>
          <w:lang w:bidi="ar-AE"/>
        </w:rPr>
        <w:t>قة بالولاية الشرعية فقط. أي إن الحديث في الشؤون والمصالح العامة للأمة لا يجوز إلاّ للإمام</w:t>
      </w:r>
      <w:r w:rsidR="001C1A2A" w:rsidRPr="00904FCB">
        <w:rPr>
          <w:rFonts w:cs="Mosawi" w:hint="cs"/>
          <w:szCs w:val="22"/>
          <w:rtl/>
          <w:lang w:bidi="ar-AE"/>
        </w:rPr>
        <w:t>×</w:t>
      </w:r>
      <w:r w:rsidRPr="00904FCB">
        <w:rPr>
          <w:rFonts w:hint="cs"/>
          <w:rtl/>
          <w:lang w:bidi="ar-AE"/>
        </w:rPr>
        <w:t xml:space="preserve"> أو نائبه العام</w:t>
      </w:r>
      <w:r w:rsidR="00C22A8D" w:rsidRPr="00904FCB">
        <w:rPr>
          <w:rFonts w:hint="cs"/>
          <w:rtl/>
          <w:lang w:bidi="ar-AE"/>
        </w:rPr>
        <w:t>ّ،</w:t>
      </w:r>
      <w:r w:rsidRPr="00904FCB">
        <w:rPr>
          <w:rFonts w:hint="cs"/>
          <w:rtl/>
          <w:lang w:bidi="ar-AE"/>
        </w:rPr>
        <w:t xml:space="preserve"> ولا شأن لغيرهم بها، وتدخ</w:t>
      </w:r>
      <w:r w:rsidR="00C22A8D" w:rsidRPr="00904FCB">
        <w:rPr>
          <w:rFonts w:hint="cs"/>
          <w:rtl/>
          <w:lang w:bidi="ar-AE"/>
        </w:rPr>
        <w:t>ُّ</w:t>
      </w:r>
      <w:r w:rsidRPr="00904FCB">
        <w:rPr>
          <w:rFonts w:hint="cs"/>
          <w:rtl/>
          <w:lang w:bidi="ar-AE"/>
        </w:rPr>
        <w:t>ل سواهم فيها من الأمور المحر</w:t>
      </w:r>
      <w:r w:rsidR="00C22A8D" w:rsidRPr="00904FCB">
        <w:rPr>
          <w:rFonts w:hint="cs"/>
          <w:rtl/>
          <w:lang w:bidi="ar-AE"/>
        </w:rPr>
        <w:t>َّ</w:t>
      </w:r>
      <w:r w:rsidRPr="00904FCB">
        <w:rPr>
          <w:rFonts w:hint="cs"/>
          <w:rtl/>
          <w:lang w:bidi="ar-AE"/>
        </w:rPr>
        <w:t>مة</w:t>
      </w:r>
      <w:r w:rsidR="00C22A8D" w:rsidRPr="00904FCB">
        <w:rPr>
          <w:rFonts w:hint="cs"/>
          <w:rtl/>
          <w:lang w:bidi="ar-AE"/>
        </w:rPr>
        <w:t>،</w:t>
      </w:r>
      <w:r w:rsidRPr="00904FCB">
        <w:rPr>
          <w:rFonts w:hint="cs"/>
          <w:rtl/>
          <w:lang w:bidi="ar-AE"/>
        </w:rPr>
        <w:t xml:space="preserve"> والتي تعد انتهاكاً لشأن النبي</w:t>
      </w:r>
      <w:r w:rsidR="00C22A8D" w:rsidRPr="00904FCB">
        <w:rPr>
          <w:rFonts w:hint="cs"/>
          <w:rtl/>
          <w:lang w:bidi="ar-AE"/>
        </w:rPr>
        <w:t>ّ</w:t>
      </w:r>
      <w:r w:rsidR="00635E51" w:rsidRPr="00904FCB">
        <w:rPr>
          <w:rFonts w:ascii="md_ameli" w:hAnsi="md_ameli" w:cs="Mosawi" w:hint="eastAsia"/>
          <w:szCs w:val="22"/>
          <w:rtl/>
          <w:lang w:bidi="ar-AE"/>
        </w:rPr>
        <w:t>|</w:t>
      </w:r>
      <w:r w:rsidRPr="00904FCB">
        <w:rPr>
          <w:rFonts w:hint="cs"/>
          <w:rtl/>
          <w:lang w:bidi="ar-AE"/>
        </w:rPr>
        <w:t xml:space="preserve"> والأئم</w:t>
      </w:r>
      <w:r w:rsidR="00C22A8D" w:rsidRPr="00904FCB">
        <w:rPr>
          <w:rFonts w:hint="cs"/>
          <w:rtl/>
          <w:lang w:bidi="ar-AE"/>
        </w:rPr>
        <w:t>ّ</w:t>
      </w:r>
      <w:r w:rsidRPr="00904FCB">
        <w:rPr>
          <w:rFonts w:hint="cs"/>
          <w:rtl/>
          <w:lang w:bidi="ar-AE"/>
        </w:rPr>
        <w:t>ة المعصومين</w:t>
      </w:r>
      <w:r w:rsidR="00510A75" w:rsidRPr="00904FCB">
        <w:rPr>
          <w:rFonts w:ascii="Mosawi" w:hAnsi="Mosawi" w:cs="Mosawi"/>
          <w:rtl/>
          <w:lang w:bidi="ar-AE"/>
        </w:rPr>
        <w:t>^</w:t>
      </w:r>
      <w:r w:rsidR="00C22A8D" w:rsidRPr="00904FCB">
        <w:rPr>
          <w:rFonts w:hint="cs"/>
          <w:rtl/>
          <w:lang w:bidi="ar-AE"/>
        </w:rPr>
        <w:t>،</w:t>
      </w:r>
      <w:r w:rsidRPr="00904FCB">
        <w:rPr>
          <w:rFonts w:hint="cs"/>
          <w:rtl/>
          <w:lang w:bidi="ar-AE"/>
        </w:rPr>
        <w:t xml:space="preserve"> وتجاوزاً على مقامهم</w:t>
      </w:r>
      <w:r w:rsidRPr="00904FCB">
        <w:rPr>
          <w:rFonts w:hint="eastAsia"/>
          <w:rtl/>
          <w:lang w:bidi="ar-AE"/>
        </w:rPr>
        <w:t>»</w:t>
      </w:r>
      <w:r w:rsidRPr="00904FCB">
        <w:rPr>
          <w:rFonts w:hint="cs"/>
          <w:vertAlign w:val="superscript"/>
          <w:rtl/>
        </w:rPr>
        <w:t>(</w:t>
      </w:r>
      <w:r w:rsidRPr="00904FCB">
        <w:rPr>
          <w:vertAlign w:val="superscript"/>
        </w:rPr>
        <w:endnoteReference w:id="347"/>
      </w:r>
      <w:r w:rsidRPr="00904FCB">
        <w:rPr>
          <w:rFonts w:hint="cs"/>
          <w:vertAlign w:val="superscript"/>
          <w:rtl/>
        </w:rPr>
        <w:t>)</w:t>
      </w:r>
      <w:r w:rsidRPr="00904FCB">
        <w:rPr>
          <w:rFonts w:hint="cs"/>
          <w:rtl/>
          <w:lang w:bidi="ar-AE"/>
        </w:rPr>
        <w:t>.</w:t>
      </w:r>
    </w:p>
    <w:p w:rsidR="00952E59" w:rsidRPr="00904FCB" w:rsidRDefault="00952E59" w:rsidP="007A21AA">
      <w:pPr>
        <w:spacing w:line="400" w:lineRule="exact"/>
        <w:rPr>
          <w:rtl/>
          <w:lang w:bidi="ar-AE"/>
        </w:rPr>
      </w:pPr>
      <w:r w:rsidRPr="00904FCB">
        <w:rPr>
          <w:rFonts w:hint="cs"/>
          <w:rtl/>
          <w:lang w:bidi="ar-AE"/>
        </w:rPr>
        <w:t>ولا</w:t>
      </w:r>
      <w:r w:rsidR="00C22A8D" w:rsidRPr="00904FCB">
        <w:rPr>
          <w:rFonts w:hint="cs"/>
          <w:rtl/>
          <w:lang w:bidi="ar-AE"/>
        </w:rPr>
        <w:t xml:space="preserve"> </w:t>
      </w:r>
      <w:r w:rsidRPr="00904FCB">
        <w:rPr>
          <w:rFonts w:hint="cs"/>
          <w:rtl/>
          <w:lang w:bidi="ar-AE"/>
        </w:rPr>
        <w:t>ب</w:t>
      </w:r>
      <w:r w:rsidR="00C22A8D" w:rsidRPr="00904FCB">
        <w:rPr>
          <w:rFonts w:hint="cs"/>
          <w:rtl/>
          <w:lang w:bidi="ar-AE"/>
        </w:rPr>
        <w:t>ُ</w:t>
      </w:r>
      <w:r w:rsidRPr="00904FCB">
        <w:rPr>
          <w:rFonts w:hint="cs"/>
          <w:rtl/>
          <w:lang w:bidi="ar-AE"/>
        </w:rPr>
        <w:t>د</w:t>
      </w:r>
      <w:r w:rsidR="00C22A8D" w:rsidRPr="00904FCB">
        <w:rPr>
          <w:rFonts w:hint="cs"/>
          <w:rtl/>
          <w:lang w:bidi="ar-AE"/>
        </w:rPr>
        <w:t>َّ</w:t>
      </w:r>
      <w:r w:rsidRPr="00904FCB">
        <w:rPr>
          <w:rFonts w:hint="cs"/>
          <w:rtl/>
          <w:lang w:bidi="ar-AE"/>
        </w:rPr>
        <w:t xml:space="preserve"> من الإشارة إلى أنه لا يمكن لبلد</w:t>
      </w:r>
      <w:r w:rsidR="00C22A8D" w:rsidRPr="00904FCB">
        <w:rPr>
          <w:rFonts w:hint="cs"/>
          <w:rtl/>
          <w:lang w:bidi="ar-AE"/>
        </w:rPr>
        <w:t>ٍ</w:t>
      </w:r>
      <w:r w:rsidRPr="00904FCB">
        <w:rPr>
          <w:rFonts w:hint="cs"/>
          <w:rtl/>
          <w:lang w:bidi="ar-AE"/>
        </w:rPr>
        <w:t xml:space="preserve"> إسلامي أو نظام سياسي بعينه احتكار الدراسات والبحوث التي تتناول الدولة والديمقراطية والتنمية السياسية وما يتمخ</w:t>
      </w:r>
      <w:r w:rsidR="007E7E5D" w:rsidRPr="00904FCB">
        <w:rPr>
          <w:rFonts w:hint="cs"/>
          <w:rtl/>
          <w:lang w:bidi="ar-AE"/>
        </w:rPr>
        <w:t>َّ</w:t>
      </w:r>
      <w:r w:rsidRPr="00904FCB">
        <w:rPr>
          <w:rFonts w:hint="cs"/>
          <w:rtl/>
          <w:lang w:bidi="ar-AE"/>
        </w:rPr>
        <w:t>ض عنها والفكر السياسي المعاصر الذي يشتمل على حقوق الإنسان والديمقراطية وصلتها بالأسس الدينية</w:t>
      </w:r>
      <w:r w:rsidR="007E7E5D" w:rsidRPr="00904FCB">
        <w:rPr>
          <w:rFonts w:hint="cs"/>
          <w:rtl/>
          <w:lang w:bidi="ar-AE"/>
        </w:rPr>
        <w:t>؛</w:t>
      </w:r>
      <w:r w:rsidRPr="00904FCB">
        <w:rPr>
          <w:rFonts w:hint="cs"/>
          <w:rtl/>
          <w:lang w:bidi="ar-AE"/>
        </w:rPr>
        <w:t xml:space="preserve"> إذ إن أغلب الدول الإسلامية أصبحت تتناول مثل هذه البحوث وتضعها على طاولة النقاش والحوار</w:t>
      </w:r>
      <w:r w:rsidR="007E7E5D" w:rsidRPr="00904FCB">
        <w:rPr>
          <w:rFonts w:hint="cs"/>
          <w:rtl/>
          <w:lang w:bidi="ar-AE"/>
        </w:rPr>
        <w:t>؛</w:t>
      </w:r>
      <w:r w:rsidRPr="00904FCB">
        <w:rPr>
          <w:rFonts w:hint="cs"/>
          <w:rtl/>
          <w:lang w:bidi="ar-AE"/>
        </w:rPr>
        <w:t xml:space="preserve"> لتتيح لعلمائها ومفك</w:t>
      </w:r>
      <w:r w:rsidR="007E7E5D" w:rsidRPr="00904FCB">
        <w:rPr>
          <w:rFonts w:hint="cs"/>
          <w:rtl/>
          <w:lang w:bidi="ar-AE"/>
        </w:rPr>
        <w:t>ِّ</w:t>
      </w:r>
      <w:r w:rsidRPr="00904FCB">
        <w:rPr>
          <w:rFonts w:hint="cs"/>
          <w:rtl/>
          <w:lang w:bidi="ar-AE"/>
        </w:rPr>
        <w:t>ريها الخروج بصيغ مقبولة</w:t>
      </w:r>
      <w:r w:rsidR="007E7E5D" w:rsidRPr="00904FCB">
        <w:rPr>
          <w:rFonts w:hint="cs"/>
          <w:rtl/>
          <w:lang w:bidi="ar-AE"/>
        </w:rPr>
        <w:t>،</w:t>
      </w:r>
      <w:r w:rsidRPr="00904FCB">
        <w:rPr>
          <w:rFonts w:hint="cs"/>
          <w:rtl/>
          <w:lang w:bidi="ar-AE"/>
        </w:rPr>
        <w:t xml:space="preserve"> وتقرب التيارات الثقافية الدينية من الوصول إلى غاياتها وتطل</w:t>
      </w:r>
      <w:r w:rsidR="007E7E5D" w:rsidRPr="00904FCB">
        <w:rPr>
          <w:rFonts w:hint="cs"/>
          <w:rtl/>
          <w:lang w:bidi="ar-AE"/>
        </w:rPr>
        <w:t>ُّ</w:t>
      </w:r>
      <w:r w:rsidRPr="00904FCB">
        <w:rPr>
          <w:rFonts w:hint="cs"/>
          <w:rtl/>
          <w:lang w:bidi="ar-AE"/>
        </w:rPr>
        <w:t>عاتها.</w:t>
      </w:r>
    </w:p>
    <w:p w:rsidR="00952E59" w:rsidRPr="00904FCB" w:rsidRDefault="00952E59" w:rsidP="00583BA1">
      <w:pPr>
        <w:spacing w:line="400" w:lineRule="exact"/>
        <w:rPr>
          <w:rtl/>
          <w:lang w:bidi="ar-AE"/>
        </w:rPr>
      </w:pPr>
      <w:r w:rsidRPr="00904FCB">
        <w:rPr>
          <w:rFonts w:hint="cs"/>
          <w:rtl/>
          <w:lang w:bidi="ar-AE"/>
        </w:rPr>
        <w:t>وتعد</w:t>
      </w:r>
      <w:r w:rsidR="007E7E5D" w:rsidRPr="00904FCB">
        <w:rPr>
          <w:rFonts w:hint="cs"/>
          <w:rtl/>
          <w:lang w:bidi="ar-AE"/>
        </w:rPr>
        <w:t>ّ</w:t>
      </w:r>
      <w:r w:rsidRPr="00904FCB">
        <w:rPr>
          <w:rFonts w:hint="cs"/>
          <w:rtl/>
          <w:lang w:bidi="ar-AE"/>
        </w:rPr>
        <w:t xml:space="preserve"> التيارات الثقافية الدينية في الدول الإسلامية ظاهرة عام</w:t>
      </w:r>
      <w:r w:rsidR="007E7E5D" w:rsidRPr="00904FCB">
        <w:rPr>
          <w:rFonts w:hint="cs"/>
          <w:rtl/>
          <w:lang w:bidi="ar-AE"/>
        </w:rPr>
        <w:t>ّ</w:t>
      </w:r>
      <w:r w:rsidRPr="00904FCB">
        <w:rPr>
          <w:rFonts w:hint="cs"/>
          <w:rtl/>
          <w:lang w:bidi="ar-AE"/>
        </w:rPr>
        <w:t>ة تتسارع في الانتشار والنمو</w:t>
      </w:r>
      <w:r w:rsidR="007E7E5D" w:rsidRPr="00904FCB">
        <w:rPr>
          <w:rFonts w:hint="cs"/>
          <w:rtl/>
          <w:lang w:bidi="ar-AE"/>
        </w:rPr>
        <w:t>ّ</w:t>
      </w:r>
      <w:r w:rsidRPr="00904FCB">
        <w:rPr>
          <w:rFonts w:hint="cs"/>
          <w:rtl/>
          <w:lang w:bidi="ar-AE"/>
        </w:rPr>
        <w:t xml:space="preserve"> يوماً بعد يوم</w:t>
      </w:r>
      <w:r w:rsidR="007E7E5D" w:rsidRPr="00904FCB">
        <w:rPr>
          <w:rFonts w:hint="cs"/>
          <w:rtl/>
          <w:lang w:bidi="ar-AE"/>
        </w:rPr>
        <w:t>.</w:t>
      </w:r>
      <w:r w:rsidRPr="00904FCB">
        <w:rPr>
          <w:rFonts w:hint="cs"/>
          <w:rtl/>
          <w:lang w:bidi="ar-AE"/>
        </w:rPr>
        <w:t xml:space="preserve"> وقد قطع رو</w:t>
      </w:r>
      <w:r w:rsidR="007E7E5D" w:rsidRPr="00904FCB">
        <w:rPr>
          <w:rFonts w:hint="cs"/>
          <w:rtl/>
          <w:lang w:bidi="ar-AE"/>
        </w:rPr>
        <w:t>ّ</w:t>
      </w:r>
      <w:r w:rsidRPr="00904FCB">
        <w:rPr>
          <w:rFonts w:hint="cs"/>
          <w:rtl/>
          <w:lang w:bidi="ar-AE"/>
        </w:rPr>
        <w:t>اد الثقافة الدينية طيلة العقود المنصرمة أشواطاً مهمة ومؤث</w:t>
      </w:r>
      <w:r w:rsidR="007E7E5D" w:rsidRPr="00904FCB">
        <w:rPr>
          <w:rFonts w:hint="cs"/>
          <w:rtl/>
          <w:lang w:bidi="ar-AE"/>
        </w:rPr>
        <w:t>ِّ</w:t>
      </w:r>
      <w:r w:rsidRPr="00904FCB">
        <w:rPr>
          <w:rFonts w:hint="cs"/>
          <w:rtl/>
          <w:lang w:bidi="ar-AE"/>
        </w:rPr>
        <w:t>رة للتوفيق بين الرؤى الإسلامية والأخرى الغربية المعاصرة</w:t>
      </w:r>
      <w:r w:rsidR="007E7E5D" w:rsidRPr="00904FCB">
        <w:rPr>
          <w:rFonts w:hint="cs"/>
          <w:rtl/>
          <w:lang w:bidi="ar-AE"/>
        </w:rPr>
        <w:t>،</w:t>
      </w:r>
      <w:r w:rsidRPr="00904FCB">
        <w:rPr>
          <w:rFonts w:hint="cs"/>
          <w:rtl/>
          <w:lang w:bidi="ar-AE"/>
        </w:rPr>
        <w:t xml:space="preserve"> وتمك</w:t>
      </w:r>
      <w:r w:rsidR="007E7E5D" w:rsidRPr="00904FCB">
        <w:rPr>
          <w:rFonts w:hint="cs"/>
          <w:rtl/>
          <w:lang w:bidi="ar-AE"/>
        </w:rPr>
        <w:t>َّ</w:t>
      </w:r>
      <w:r w:rsidRPr="00904FCB">
        <w:rPr>
          <w:rFonts w:hint="cs"/>
          <w:rtl/>
          <w:lang w:bidi="ar-AE"/>
        </w:rPr>
        <w:t>نوا عبر الاتكاء على التراث الإسلامي الثري</w:t>
      </w:r>
      <w:r w:rsidR="007E7E5D" w:rsidRPr="00904FCB">
        <w:rPr>
          <w:rFonts w:hint="cs"/>
          <w:rtl/>
          <w:lang w:bidi="ar-AE"/>
        </w:rPr>
        <w:t>ّ،</w:t>
      </w:r>
      <w:r w:rsidRPr="00904FCB">
        <w:rPr>
          <w:rFonts w:hint="cs"/>
          <w:rtl/>
          <w:lang w:bidi="ar-AE"/>
        </w:rPr>
        <w:t xml:space="preserve"> المتمث</w:t>
      </w:r>
      <w:r w:rsidR="007E7E5D" w:rsidRPr="00904FCB">
        <w:rPr>
          <w:rFonts w:hint="cs"/>
          <w:rtl/>
          <w:lang w:bidi="ar-AE"/>
        </w:rPr>
        <w:t>ِّ</w:t>
      </w:r>
      <w:r w:rsidRPr="00904FCB">
        <w:rPr>
          <w:rFonts w:hint="cs"/>
          <w:rtl/>
          <w:lang w:bidi="ar-AE"/>
        </w:rPr>
        <w:t>ل بالكتاب والسن</w:t>
      </w:r>
      <w:r w:rsidR="007E7E5D" w:rsidRPr="00904FCB">
        <w:rPr>
          <w:rFonts w:hint="cs"/>
          <w:rtl/>
          <w:lang w:bidi="ar-AE"/>
        </w:rPr>
        <w:t>ّ</w:t>
      </w:r>
      <w:r w:rsidRPr="00904FCB">
        <w:rPr>
          <w:rFonts w:hint="cs"/>
          <w:rtl/>
          <w:lang w:bidi="ar-AE"/>
        </w:rPr>
        <w:t>ة</w:t>
      </w:r>
      <w:r w:rsidR="007E7E5D" w:rsidRPr="00904FCB">
        <w:rPr>
          <w:rFonts w:hint="cs"/>
          <w:rtl/>
          <w:lang w:bidi="ar-AE"/>
        </w:rPr>
        <w:t>،</w:t>
      </w:r>
      <w:r w:rsidRPr="00904FCB">
        <w:rPr>
          <w:rFonts w:hint="cs"/>
          <w:rtl/>
          <w:lang w:bidi="ar-AE"/>
        </w:rPr>
        <w:t xml:space="preserve"> من تحديد معالم الإنسان في ال</w:t>
      </w:r>
      <w:r w:rsidR="00583BA1">
        <w:rPr>
          <w:rFonts w:hint="cs"/>
          <w:rtl/>
          <w:lang w:bidi="ar-AE"/>
        </w:rPr>
        <w:t>أ</w:t>
      </w:r>
      <w:r w:rsidRPr="00904FCB">
        <w:rPr>
          <w:rFonts w:hint="cs"/>
          <w:rtl/>
          <w:lang w:bidi="ar-AE"/>
        </w:rPr>
        <w:t>يديولوجيا</w:t>
      </w:r>
      <w:r w:rsidRPr="00904FCB">
        <w:rPr>
          <w:rFonts w:hint="eastAsia"/>
          <w:rtl/>
          <w:lang w:bidi="ar-AE"/>
        </w:rPr>
        <w:t>ت</w:t>
      </w:r>
      <w:r w:rsidRPr="00904FCB">
        <w:rPr>
          <w:rFonts w:hint="cs"/>
          <w:rtl/>
          <w:lang w:bidi="ar-AE"/>
        </w:rPr>
        <w:t xml:space="preserve"> التوحيدية</w:t>
      </w:r>
      <w:r w:rsidR="007E7E5D" w:rsidRPr="00904FCB">
        <w:rPr>
          <w:rFonts w:hint="cs"/>
          <w:rtl/>
          <w:lang w:bidi="ar-AE"/>
        </w:rPr>
        <w:t>،</w:t>
      </w:r>
      <w:r w:rsidRPr="00904FCB">
        <w:rPr>
          <w:rFonts w:hint="cs"/>
          <w:rtl/>
          <w:lang w:bidi="ar-AE"/>
        </w:rPr>
        <w:t xml:space="preserve"> التي منحته دوراً هام</w:t>
      </w:r>
      <w:r w:rsidR="007E7E5D" w:rsidRPr="00904FCB">
        <w:rPr>
          <w:rFonts w:hint="cs"/>
          <w:rtl/>
          <w:lang w:bidi="ar-AE"/>
        </w:rPr>
        <w:t>ّ</w:t>
      </w:r>
      <w:r w:rsidRPr="00904FCB">
        <w:rPr>
          <w:rFonts w:hint="cs"/>
          <w:rtl/>
          <w:lang w:bidi="ar-AE"/>
        </w:rPr>
        <w:t>اً</w:t>
      </w:r>
      <w:r w:rsidR="007E7E5D" w:rsidRPr="00904FCB">
        <w:rPr>
          <w:rFonts w:hint="cs"/>
          <w:rtl/>
          <w:lang w:bidi="ar-AE"/>
        </w:rPr>
        <w:t>،</w:t>
      </w:r>
      <w:r w:rsidRPr="00904FCB">
        <w:rPr>
          <w:rFonts w:hint="cs"/>
          <w:rtl/>
          <w:lang w:bidi="ar-AE"/>
        </w:rPr>
        <w:t xml:space="preserve"> وأكسبته مكانة مرموقة جد</w:t>
      </w:r>
      <w:r w:rsidR="007E7E5D" w:rsidRPr="00904FCB">
        <w:rPr>
          <w:rFonts w:hint="cs"/>
          <w:rtl/>
          <w:lang w:bidi="ar-AE"/>
        </w:rPr>
        <w:t>ّ</w:t>
      </w:r>
      <w:r w:rsidRPr="00904FCB">
        <w:rPr>
          <w:rFonts w:hint="cs"/>
          <w:rtl/>
          <w:lang w:bidi="ar-AE"/>
        </w:rPr>
        <w:t>اً، كما حد</w:t>
      </w:r>
      <w:r w:rsidR="007E7E5D" w:rsidRPr="00904FCB">
        <w:rPr>
          <w:rFonts w:hint="cs"/>
          <w:rtl/>
          <w:lang w:bidi="ar-AE"/>
        </w:rPr>
        <w:t>َّ</w:t>
      </w:r>
      <w:r w:rsidRPr="00904FCB">
        <w:rPr>
          <w:rFonts w:hint="cs"/>
          <w:rtl/>
          <w:lang w:bidi="ar-AE"/>
        </w:rPr>
        <w:t>دت موقف الإسلام</w:t>
      </w:r>
      <w:r w:rsidR="007E7E5D" w:rsidRPr="00904FCB">
        <w:rPr>
          <w:rFonts w:hint="cs"/>
          <w:rtl/>
          <w:lang w:bidi="ar-AE"/>
        </w:rPr>
        <w:t>،</w:t>
      </w:r>
      <w:r w:rsidRPr="00904FCB">
        <w:rPr>
          <w:rFonts w:hint="cs"/>
          <w:rtl/>
          <w:lang w:bidi="ar-AE"/>
        </w:rPr>
        <w:t xml:space="preserve"> الذي ات</w:t>
      </w:r>
      <w:r w:rsidR="007E7E5D" w:rsidRPr="00904FCB">
        <w:rPr>
          <w:rFonts w:hint="cs"/>
          <w:rtl/>
          <w:lang w:bidi="ar-AE"/>
        </w:rPr>
        <w:t>ّ</w:t>
      </w:r>
      <w:r w:rsidRPr="00904FCB">
        <w:rPr>
          <w:rFonts w:hint="cs"/>
          <w:rtl/>
          <w:lang w:bidi="ar-AE"/>
        </w:rPr>
        <w:t xml:space="preserve">سم بإيجابيته، من حقوق </w:t>
      </w:r>
      <w:r w:rsidRPr="00904FCB">
        <w:rPr>
          <w:rFonts w:hint="cs"/>
          <w:rtl/>
          <w:lang w:bidi="ar-AE"/>
        </w:rPr>
        <w:lastRenderedPageBreak/>
        <w:t>الإنسان وحر</w:t>
      </w:r>
      <w:r w:rsidR="007E7E5D" w:rsidRPr="00904FCB">
        <w:rPr>
          <w:rFonts w:hint="cs"/>
          <w:rtl/>
          <w:lang w:bidi="ar-AE"/>
        </w:rPr>
        <w:t>ّ</w:t>
      </w:r>
      <w:r w:rsidRPr="00904FCB">
        <w:rPr>
          <w:rFonts w:hint="cs"/>
          <w:rtl/>
          <w:lang w:bidi="ar-AE"/>
        </w:rPr>
        <w:t>ياته الأساسية</w:t>
      </w:r>
      <w:r w:rsidR="007E7E5D" w:rsidRPr="00904FCB">
        <w:rPr>
          <w:rFonts w:hint="cs"/>
          <w:rtl/>
          <w:lang w:bidi="ar-AE"/>
        </w:rPr>
        <w:t>،</w:t>
      </w:r>
      <w:r w:rsidRPr="00904FCB">
        <w:rPr>
          <w:rFonts w:hint="cs"/>
          <w:rtl/>
          <w:lang w:bidi="ar-AE"/>
        </w:rPr>
        <w:t xml:space="preserve"> وأوضحت أن</w:t>
      </w:r>
      <w:r w:rsidR="007E7E5D" w:rsidRPr="00904FCB">
        <w:rPr>
          <w:rFonts w:hint="cs"/>
          <w:rtl/>
          <w:lang w:bidi="ar-AE"/>
        </w:rPr>
        <w:t>ّ</w:t>
      </w:r>
      <w:r w:rsidRPr="00904FCB">
        <w:rPr>
          <w:rFonts w:hint="cs"/>
          <w:rtl/>
          <w:lang w:bidi="ar-AE"/>
        </w:rPr>
        <w:t xml:space="preserve"> الديمقراطية لا تتقاطع مع الق</w:t>
      </w:r>
      <w:r w:rsidR="007E7E5D" w:rsidRPr="00904FCB">
        <w:rPr>
          <w:rFonts w:hint="cs"/>
          <w:rtl/>
          <w:lang w:bidi="ar-AE"/>
        </w:rPr>
        <w:t>ِ</w:t>
      </w:r>
      <w:r w:rsidRPr="00904FCB">
        <w:rPr>
          <w:rFonts w:hint="cs"/>
          <w:rtl/>
          <w:lang w:bidi="ar-AE"/>
        </w:rPr>
        <w:t>ي</w:t>
      </w:r>
      <w:r w:rsidR="007E7E5D" w:rsidRPr="00904FCB">
        <w:rPr>
          <w:rFonts w:hint="cs"/>
          <w:rtl/>
          <w:lang w:bidi="ar-AE"/>
        </w:rPr>
        <w:t>َ</w:t>
      </w:r>
      <w:r w:rsidRPr="00904FCB">
        <w:rPr>
          <w:rFonts w:hint="cs"/>
          <w:rtl/>
          <w:lang w:bidi="ar-AE"/>
        </w:rPr>
        <w:t>م والمبادئ الدينية بأي</w:t>
      </w:r>
      <w:r w:rsidR="007E7E5D" w:rsidRPr="00904FCB">
        <w:rPr>
          <w:rFonts w:hint="cs"/>
          <w:rtl/>
          <w:lang w:bidi="ar-AE"/>
        </w:rPr>
        <w:t>ّ</w:t>
      </w:r>
      <w:r w:rsidRPr="00904FCB">
        <w:rPr>
          <w:rFonts w:hint="cs"/>
          <w:rtl/>
          <w:lang w:bidi="ar-AE"/>
        </w:rPr>
        <w:t xml:space="preserve"> حال</w:t>
      </w:r>
      <w:r w:rsidR="007E7E5D" w:rsidRPr="00904FCB">
        <w:rPr>
          <w:rFonts w:hint="cs"/>
          <w:rtl/>
          <w:lang w:bidi="ar-AE"/>
        </w:rPr>
        <w:t>ٍ</w:t>
      </w:r>
      <w:r w:rsidRPr="00904FCB">
        <w:rPr>
          <w:rFonts w:hint="cs"/>
          <w:rtl/>
          <w:lang w:bidi="ar-AE"/>
        </w:rPr>
        <w:t xml:space="preserve"> من الأحوال. لكن</w:t>
      </w:r>
      <w:r w:rsidR="007E7E5D" w:rsidRPr="00904FCB">
        <w:rPr>
          <w:rFonts w:hint="cs"/>
          <w:rtl/>
          <w:lang w:bidi="ar-AE"/>
        </w:rPr>
        <w:t>ْ</w:t>
      </w:r>
      <w:r w:rsidRPr="00904FCB">
        <w:rPr>
          <w:rFonts w:hint="cs"/>
          <w:rtl/>
          <w:lang w:bidi="ar-AE"/>
        </w:rPr>
        <w:t xml:space="preserve"> مع ذلك لا يزال هناك العديد من مفك</w:t>
      </w:r>
      <w:r w:rsidR="007E7E5D" w:rsidRPr="00904FCB">
        <w:rPr>
          <w:rFonts w:hint="cs"/>
          <w:rtl/>
          <w:lang w:bidi="ar-AE"/>
        </w:rPr>
        <w:t>ِّ</w:t>
      </w:r>
      <w:r w:rsidRPr="00904FCB">
        <w:rPr>
          <w:rFonts w:hint="cs"/>
          <w:rtl/>
          <w:lang w:bidi="ar-AE"/>
        </w:rPr>
        <w:t>ري ورو</w:t>
      </w:r>
      <w:r w:rsidR="007E7E5D" w:rsidRPr="00904FCB">
        <w:rPr>
          <w:rFonts w:hint="cs"/>
          <w:rtl/>
          <w:lang w:bidi="ar-AE"/>
        </w:rPr>
        <w:t>ّ</w:t>
      </w:r>
      <w:r w:rsidRPr="00904FCB">
        <w:rPr>
          <w:rFonts w:hint="cs"/>
          <w:rtl/>
          <w:lang w:bidi="ar-AE"/>
        </w:rPr>
        <w:t>اد الاتجاه السلفي يصر</w:t>
      </w:r>
      <w:r w:rsidR="007E7E5D" w:rsidRPr="00904FCB">
        <w:rPr>
          <w:rFonts w:hint="cs"/>
          <w:rtl/>
          <w:lang w:bidi="ar-AE"/>
        </w:rPr>
        <w:t>ّ</w:t>
      </w:r>
      <w:r w:rsidRPr="00904FCB">
        <w:rPr>
          <w:rFonts w:hint="cs"/>
          <w:rtl/>
          <w:lang w:bidi="ar-AE"/>
        </w:rPr>
        <w:t>ون على تقاطعها وتضاد</w:t>
      </w:r>
      <w:r w:rsidR="007E7E5D" w:rsidRPr="00904FCB">
        <w:rPr>
          <w:rFonts w:hint="cs"/>
          <w:rtl/>
          <w:lang w:bidi="ar-AE"/>
        </w:rPr>
        <w:t>ّ</w:t>
      </w:r>
      <w:r w:rsidRPr="00904FCB">
        <w:rPr>
          <w:rFonts w:hint="cs"/>
          <w:rtl/>
          <w:lang w:bidi="ar-AE"/>
        </w:rPr>
        <w:t>ها مع الشريعة الإسلامية.</w:t>
      </w:r>
    </w:p>
    <w:p w:rsidR="00952E59" w:rsidRPr="00904FCB" w:rsidRDefault="00952E59" w:rsidP="007A21AA">
      <w:pPr>
        <w:spacing w:line="400" w:lineRule="exact"/>
        <w:rPr>
          <w:rtl/>
          <w:lang w:bidi="ar-AE"/>
        </w:rPr>
      </w:pPr>
      <w:r w:rsidRPr="00904FCB">
        <w:rPr>
          <w:rFonts w:hint="cs"/>
          <w:rtl/>
          <w:lang w:bidi="ar-AE"/>
        </w:rPr>
        <w:t>إن الوصول إلى موقف</w:t>
      </w:r>
      <w:r w:rsidR="007E7E5D" w:rsidRPr="00904FCB">
        <w:rPr>
          <w:rFonts w:hint="cs"/>
          <w:rtl/>
          <w:lang w:bidi="ar-AE"/>
        </w:rPr>
        <w:t>ٍ</w:t>
      </w:r>
      <w:r w:rsidRPr="00904FCB">
        <w:rPr>
          <w:rFonts w:hint="cs"/>
          <w:rtl/>
          <w:lang w:bidi="ar-AE"/>
        </w:rPr>
        <w:t xml:space="preserve"> موح</w:t>
      </w:r>
      <w:r w:rsidR="007E7E5D" w:rsidRPr="00904FCB">
        <w:rPr>
          <w:rFonts w:hint="cs"/>
          <w:rtl/>
          <w:lang w:bidi="ar-AE"/>
        </w:rPr>
        <w:t>ّ</w:t>
      </w:r>
      <w:r w:rsidRPr="00904FCB">
        <w:rPr>
          <w:rFonts w:hint="cs"/>
          <w:rtl/>
          <w:lang w:bidi="ar-AE"/>
        </w:rPr>
        <w:t>د يتفق عليه جميع المسلمين إزاء هذه المواضيع يتطلب وقتاً قد يكون طويلاً بعض الشيء، كما يتطل</w:t>
      </w:r>
      <w:r w:rsidR="007E7E5D" w:rsidRPr="00904FCB">
        <w:rPr>
          <w:rFonts w:hint="cs"/>
          <w:rtl/>
          <w:lang w:bidi="ar-AE"/>
        </w:rPr>
        <w:t>ّ</w:t>
      </w:r>
      <w:r w:rsidRPr="00904FCB">
        <w:rPr>
          <w:rFonts w:hint="cs"/>
          <w:rtl/>
          <w:lang w:bidi="ar-AE"/>
        </w:rPr>
        <w:t>ب أنموذجاً تطبيقياً موف</w:t>
      </w:r>
      <w:r w:rsidR="007E7E5D" w:rsidRPr="00904FCB">
        <w:rPr>
          <w:rFonts w:hint="cs"/>
          <w:rtl/>
          <w:lang w:bidi="ar-AE"/>
        </w:rPr>
        <w:t>َّ</w:t>
      </w:r>
      <w:r w:rsidRPr="00904FCB">
        <w:rPr>
          <w:rFonts w:hint="cs"/>
          <w:rtl/>
          <w:lang w:bidi="ar-AE"/>
        </w:rPr>
        <w:t>قاً يجس</w:t>
      </w:r>
      <w:r w:rsidR="007E7E5D" w:rsidRPr="00904FCB">
        <w:rPr>
          <w:rFonts w:hint="cs"/>
          <w:rtl/>
          <w:lang w:bidi="ar-AE"/>
        </w:rPr>
        <w:t>ِّ</w:t>
      </w:r>
      <w:r w:rsidRPr="00904FCB">
        <w:rPr>
          <w:rFonts w:hint="cs"/>
          <w:rtl/>
          <w:lang w:bidi="ar-AE"/>
        </w:rPr>
        <w:t>ده عد</w:t>
      </w:r>
      <w:r w:rsidR="00583BA1">
        <w:rPr>
          <w:rFonts w:hint="cs"/>
          <w:rtl/>
          <w:lang w:bidi="ar-AE"/>
        </w:rPr>
        <w:t>ّ</w:t>
      </w:r>
      <w:r w:rsidRPr="00904FCB">
        <w:rPr>
          <w:rFonts w:hint="cs"/>
          <w:rtl/>
          <w:lang w:bidi="ar-AE"/>
        </w:rPr>
        <w:t>ة</w:t>
      </w:r>
      <w:r w:rsidR="007E7E5D" w:rsidRPr="00904FCB">
        <w:rPr>
          <w:rFonts w:hint="cs"/>
          <w:rtl/>
          <w:lang w:bidi="ar-AE"/>
        </w:rPr>
        <w:t>ٌ</w:t>
      </w:r>
      <w:r w:rsidRPr="00904FCB">
        <w:rPr>
          <w:rFonts w:hint="cs"/>
          <w:rtl/>
          <w:lang w:bidi="ar-AE"/>
        </w:rPr>
        <w:t xml:space="preserve"> من البلدان الإسلامية</w:t>
      </w:r>
      <w:r w:rsidR="007E7E5D" w:rsidRPr="00904FCB">
        <w:rPr>
          <w:rFonts w:hint="cs"/>
          <w:rtl/>
          <w:lang w:bidi="ar-AE"/>
        </w:rPr>
        <w:t>،</w:t>
      </w:r>
      <w:r w:rsidRPr="00904FCB">
        <w:rPr>
          <w:rFonts w:hint="cs"/>
          <w:rtl/>
          <w:lang w:bidi="ar-AE"/>
        </w:rPr>
        <w:t xml:space="preserve"> أو بلد</w:t>
      </w:r>
      <w:r w:rsidR="007E7E5D" w:rsidRPr="00904FCB">
        <w:rPr>
          <w:rFonts w:hint="cs"/>
          <w:rtl/>
          <w:lang w:bidi="ar-AE"/>
        </w:rPr>
        <w:t>ٌ</w:t>
      </w:r>
      <w:r w:rsidRPr="00904FCB">
        <w:rPr>
          <w:rFonts w:hint="cs"/>
          <w:rtl/>
          <w:lang w:bidi="ar-AE"/>
        </w:rPr>
        <w:t xml:space="preserve"> واحد على الأقل</w:t>
      </w:r>
      <w:r w:rsidR="007E7E5D" w:rsidRPr="00904FCB">
        <w:rPr>
          <w:rFonts w:hint="cs"/>
          <w:rtl/>
          <w:lang w:bidi="ar-AE"/>
        </w:rPr>
        <w:t>ّ</w:t>
      </w:r>
      <w:r w:rsidRPr="00904FCB">
        <w:rPr>
          <w:rFonts w:hint="cs"/>
          <w:rtl/>
          <w:lang w:bidi="ar-AE"/>
        </w:rPr>
        <w:t xml:space="preserve">. </w:t>
      </w:r>
    </w:p>
    <w:p w:rsidR="00952E59" w:rsidRPr="00904FCB" w:rsidRDefault="00952E59" w:rsidP="007A21AA">
      <w:pPr>
        <w:spacing w:line="400" w:lineRule="exact"/>
        <w:rPr>
          <w:rtl/>
          <w:lang w:bidi="ar-AE"/>
        </w:rPr>
      </w:pPr>
      <w:r w:rsidRPr="00904FCB">
        <w:rPr>
          <w:rFonts w:hint="cs"/>
          <w:rtl/>
          <w:lang w:bidi="ar-AE"/>
        </w:rPr>
        <w:t>وربما يكون هذا السبب قد دعا شريحة واسعة من المسلمين لتعليق آمالهم على التجربة الإيرانية.</w:t>
      </w:r>
    </w:p>
    <w:p w:rsidR="00952E59" w:rsidRPr="00904FCB" w:rsidRDefault="00952E59" w:rsidP="00583BA1">
      <w:pPr>
        <w:spacing w:line="400" w:lineRule="exact"/>
        <w:rPr>
          <w:rtl/>
          <w:lang w:bidi="ar-AE"/>
        </w:rPr>
      </w:pPr>
      <w:r w:rsidRPr="00904FCB">
        <w:rPr>
          <w:rFonts w:hint="cs"/>
          <w:rtl/>
          <w:lang w:bidi="ar-AE"/>
        </w:rPr>
        <w:t>كما يجب على المثق</w:t>
      </w:r>
      <w:r w:rsidR="008D7C17" w:rsidRPr="00904FCB">
        <w:rPr>
          <w:rFonts w:hint="cs"/>
          <w:rtl/>
          <w:lang w:bidi="ar-AE"/>
        </w:rPr>
        <w:t>َّ</w:t>
      </w:r>
      <w:r w:rsidRPr="00904FCB">
        <w:rPr>
          <w:rFonts w:hint="cs"/>
          <w:rtl/>
          <w:lang w:bidi="ar-AE"/>
        </w:rPr>
        <w:t>فين أن يتخل</w:t>
      </w:r>
      <w:r w:rsidR="008D7C17" w:rsidRPr="00904FCB">
        <w:rPr>
          <w:rFonts w:hint="cs"/>
          <w:rtl/>
          <w:lang w:bidi="ar-AE"/>
        </w:rPr>
        <w:t>َّ</w:t>
      </w:r>
      <w:r w:rsidRPr="00904FCB">
        <w:rPr>
          <w:rFonts w:hint="cs"/>
          <w:rtl/>
          <w:lang w:bidi="ar-AE"/>
        </w:rPr>
        <w:t>صوا من خطابهم النخبوي</w:t>
      </w:r>
      <w:r w:rsidR="008D7C17" w:rsidRPr="00904FCB">
        <w:rPr>
          <w:rFonts w:hint="cs"/>
          <w:rtl/>
          <w:lang w:bidi="ar-AE"/>
        </w:rPr>
        <w:t>.</w:t>
      </w:r>
      <w:r w:rsidRPr="00904FCB">
        <w:rPr>
          <w:rFonts w:hint="cs"/>
          <w:rtl/>
          <w:lang w:bidi="ar-AE"/>
        </w:rPr>
        <w:t xml:space="preserve"> فالملاحظ أن المثق</w:t>
      </w:r>
      <w:r w:rsidR="008D7C17" w:rsidRPr="00904FCB">
        <w:rPr>
          <w:rFonts w:hint="cs"/>
          <w:rtl/>
          <w:lang w:bidi="ar-AE"/>
        </w:rPr>
        <w:t>َّ</w:t>
      </w:r>
      <w:r w:rsidRPr="00904FCB">
        <w:rPr>
          <w:rFonts w:hint="cs"/>
          <w:rtl/>
          <w:lang w:bidi="ar-AE"/>
        </w:rPr>
        <w:t>فين</w:t>
      </w:r>
      <w:r w:rsidR="008D7C17" w:rsidRPr="00904FCB">
        <w:rPr>
          <w:rFonts w:hint="cs"/>
          <w:rtl/>
          <w:lang w:bidi="ar-AE"/>
        </w:rPr>
        <w:t>،</w:t>
      </w:r>
      <w:r w:rsidRPr="00904FCB">
        <w:rPr>
          <w:rFonts w:hint="cs"/>
          <w:rtl/>
          <w:lang w:bidi="ar-AE"/>
        </w:rPr>
        <w:t xml:space="preserve"> وخصوصاً المثق</w:t>
      </w:r>
      <w:r w:rsidR="008D7C17" w:rsidRPr="00904FCB">
        <w:rPr>
          <w:rFonts w:hint="cs"/>
          <w:rtl/>
          <w:lang w:bidi="ar-AE"/>
        </w:rPr>
        <w:t>َّ</w:t>
      </w:r>
      <w:r w:rsidRPr="00904FCB">
        <w:rPr>
          <w:rFonts w:hint="cs"/>
          <w:rtl/>
          <w:lang w:bidi="ar-AE"/>
        </w:rPr>
        <w:t>ف</w:t>
      </w:r>
      <w:r w:rsidR="00583BA1">
        <w:rPr>
          <w:rFonts w:hint="cs"/>
          <w:rtl/>
          <w:lang w:bidi="ar-AE"/>
        </w:rPr>
        <w:t>ي</w:t>
      </w:r>
      <w:r w:rsidRPr="00904FCB">
        <w:rPr>
          <w:rFonts w:hint="cs"/>
          <w:rtl/>
          <w:lang w:bidi="ar-AE"/>
        </w:rPr>
        <w:t>ن الديني</w:t>
      </w:r>
      <w:r w:rsidR="00583BA1">
        <w:rPr>
          <w:rFonts w:hint="cs"/>
          <w:rtl/>
          <w:lang w:bidi="ar-AE"/>
        </w:rPr>
        <w:t>ّ</w:t>
      </w:r>
      <w:r w:rsidRPr="00904FCB">
        <w:rPr>
          <w:rFonts w:hint="cs"/>
          <w:rtl/>
          <w:lang w:bidi="ar-AE"/>
        </w:rPr>
        <w:t>ين</w:t>
      </w:r>
      <w:r w:rsidR="008D7C17" w:rsidRPr="00904FCB">
        <w:rPr>
          <w:rFonts w:hint="cs"/>
          <w:rtl/>
          <w:lang w:bidi="ar-AE"/>
        </w:rPr>
        <w:t>،</w:t>
      </w:r>
      <w:r w:rsidRPr="00904FCB">
        <w:rPr>
          <w:rFonts w:hint="cs"/>
          <w:rtl/>
          <w:lang w:bidi="ar-AE"/>
        </w:rPr>
        <w:t xml:space="preserve"> يشكلون طبقة الن</w:t>
      </w:r>
      <w:r w:rsidR="008D7C17" w:rsidRPr="00904FCB">
        <w:rPr>
          <w:rFonts w:hint="cs"/>
          <w:rtl/>
          <w:lang w:bidi="ar-AE"/>
        </w:rPr>
        <w:t>ُّ</w:t>
      </w:r>
      <w:r w:rsidRPr="00904FCB">
        <w:rPr>
          <w:rFonts w:hint="cs"/>
          <w:rtl/>
          <w:lang w:bidi="ar-AE"/>
        </w:rPr>
        <w:t>خ</w:t>
      </w:r>
      <w:r w:rsidR="008D7C17" w:rsidRPr="00904FCB">
        <w:rPr>
          <w:rFonts w:hint="cs"/>
          <w:rtl/>
          <w:lang w:bidi="ar-AE"/>
        </w:rPr>
        <w:t>ْ</w:t>
      </w:r>
      <w:r w:rsidRPr="00904FCB">
        <w:rPr>
          <w:rFonts w:hint="cs"/>
          <w:rtl/>
          <w:lang w:bidi="ar-AE"/>
        </w:rPr>
        <w:t>بة في أغلب الدول الإسلامية</w:t>
      </w:r>
      <w:r w:rsidR="008D7C17" w:rsidRPr="00904FCB">
        <w:rPr>
          <w:rFonts w:hint="cs"/>
          <w:rtl/>
          <w:lang w:bidi="ar-AE"/>
        </w:rPr>
        <w:t>،</w:t>
      </w:r>
      <w:r w:rsidRPr="00904FCB">
        <w:rPr>
          <w:rFonts w:hint="cs"/>
          <w:rtl/>
          <w:lang w:bidi="ar-AE"/>
        </w:rPr>
        <w:t xml:space="preserve"> الأمر الذي يجعل خطابهم خطاباً نخبوياً يستهدف طبقة اجتماعية بحد</w:t>
      </w:r>
      <w:r w:rsidR="008D7C17" w:rsidRPr="00904FCB">
        <w:rPr>
          <w:rFonts w:hint="cs"/>
          <w:rtl/>
          <w:lang w:bidi="ar-AE"/>
        </w:rPr>
        <w:t>ّ</w:t>
      </w:r>
      <w:r w:rsidRPr="00904FCB">
        <w:rPr>
          <w:rFonts w:hint="cs"/>
          <w:rtl/>
          <w:lang w:bidi="ar-AE"/>
        </w:rPr>
        <w:t xml:space="preserve"> ذاتها</w:t>
      </w:r>
      <w:r w:rsidR="008D7C17" w:rsidRPr="00904FCB">
        <w:rPr>
          <w:rFonts w:hint="cs"/>
          <w:rtl/>
          <w:lang w:bidi="ar-AE"/>
        </w:rPr>
        <w:t>،</w:t>
      </w:r>
      <w:r w:rsidRPr="00904FCB">
        <w:rPr>
          <w:rFonts w:hint="cs"/>
          <w:rtl/>
          <w:lang w:bidi="ar-AE"/>
        </w:rPr>
        <w:t xml:space="preserve"> وغالباً ما تكون هذه الطبقة من الطلاب والمثقفين أيضاً.</w:t>
      </w:r>
    </w:p>
    <w:p w:rsidR="00952E59" w:rsidRPr="00904FCB" w:rsidRDefault="00952E59" w:rsidP="00583BA1">
      <w:pPr>
        <w:spacing w:line="400" w:lineRule="exact"/>
        <w:rPr>
          <w:rtl/>
          <w:lang w:bidi="ar-AE"/>
        </w:rPr>
      </w:pPr>
      <w:r w:rsidRPr="00904FCB">
        <w:rPr>
          <w:rFonts w:hint="cs"/>
          <w:rtl/>
          <w:lang w:bidi="ar-AE"/>
        </w:rPr>
        <w:t>وعندما تتحول التيارات الإسلامية ـ وللأسباب التي تقد</w:t>
      </w:r>
      <w:r w:rsidR="008D7C17" w:rsidRPr="00904FCB">
        <w:rPr>
          <w:rFonts w:hint="cs"/>
          <w:rtl/>
          <w:lang w:bidi="ar-AE"/>
        </w:rPr>
        <w:t>ّ</w:t>
      </w:r>
      <w:r w:rsidRPr="00904FCB">
        <w:rPr>
          <w:rFonts w:hint="cs"/>
          <w:rtl/>
          <w:lang w:bidi="ar-AE"/>
        </w:rPr>
        <w:t>م الحديث عنها ـ من الدائرة ال</w:t>
      </w:r>
      <w:r w:rsidR="00583BA1">
        <w:rPr>
          <w:rFonts w:hint="cs"/>
          <w:rtl/>
          <w:lang w:bidi="ar-AE"/>
        </w:rPr>
        <w:t>أ</w:t>
      </w:r>
      <w:r w:rsidRPr="00904FCB">
        <w:rPr>
          <w:rFonts w:hint="cs"/>
          <w:rtl/>
          <w:lang w:bidi="ar-AE"/>
        </w:rPr>
        <w:t>يديولوجية المحضة إلى العمل السياسي</w:t>
      </w:r>
      <w:r w:rsidR="008D7C17" w:rsidRPr="00904FCB">
        <w:rPr>
          <w:rFonts w:hint="cs"/>
          <w:rtl/>
          <w:lang w:bidi="ar-AE"/>
        </w:rPr>
        <w:t>؛</w:t>
      </w:r>
      <w:r w:rsidRPr="00904FCB">
        <w:rPr>
          <w:rFonts w:hint="cs"/>
          <w:rtl/>
          <w:lang w:bidi="ar-AE"/>
        </w:rPr>
        <w:t xml:space="preserve"> لتشك</w:t>
      </w:r>
      <w:r w:rsidR="008D7C17" w:rsidRPr="00904FCB">
        <w:rPr>
          <w:rFonts w:hint="cs"/>
          <w:rtl/>
          <w:lang w:bidi="ar-AE"/>
        </w:rPr>
        <w:t>ّ</w:t>
      </w:r>
      <w:r w:rsidRPr="00904FCB">
        <w:rPr>
          <w:rFonts w:hint="cs"/>
          <w:rtl/>
          <w:lang w:bidi="ar-AE"/>
        </w:rPr>
        <w:t xml:space="preserve">ل فيما بعد تيارات سياسية ذات </w:t>
      </w:r>
      <w:r w:rsidR="008D7C17" w:rsidRPr="00904FCB">
        <w:rPr>
          <w:rFonts w:hint="cs"/>
          <w:rtl/>
          <w:lang w:bidi="ar-AE"/>
        </w:rPr>
        <w:t>أ</w:t>
      </w:r>
      <w:r w:rsidRPr="00904FCB">
        <w:rPr>
          <w:rFonts w:hint="cs"/>
          <w:rtl/>
          <w:lang w:bidi="ar-AE"/>
        </w:rPr>
        <w:t>هداف دينية، وتبدأ القاعدة الجماهيرية تحت وطأة الشعور الديني</w:t>
      </w:r>
      <w:r w:rsidR="008D7C17" w:rsidRPr="00904FCB">
        <w:rPr>
          <w:rFonts w:hint="cs"/>
          <w:rtl/>
          <w:lang w:bidi="ar-AE"/>
        </w:rPr>
        <w:t>،</w:t>
      </w:r>
      <w:r w:rsidRPr="00904FCB">
        <w:rPr>
          <w:rFonts w:hint="cs"/>
          <w:rtl/>
          <w:lang w:bidi="ar-AE"/>
        </w:rPr>
        <w:t xml:space="preserve"> وبمختلف طبقاتها، بالالتحاق والانضمام إلى هذه التيارات، عندئذ</w:t>
      </w:r>
      <w:r w:rsidR="008D7C17" w:rsidRPr="00904FCB">
        <w:rPr>
          <w:rFonts w:hint="cs"/>
          <w:rtl/>
          <w:lang w:bidi="ar-AE"/>
        </w:rPr>
        <w:t>ٍ</w:t>
      </w:r>
      <w:r w:rsidRPr="00904FCB">
        <w:rPr>
          <w:rFonts w:hint="cs"/>
          <w:rtl/>
          <w:lang w:bidi="ar-AE"/>
        </w:rPr>
        <w:t xml:space="preserve"> تزداد أهمية القادة الشعبيين</w:t>
      </w:r>
      <w:r w:rsidR="008D7C17" w:rsidRPr="00904FCB">
        <w:rPr>
          <w:rFonts w:hint="cs"/>
          <w:rtl/>
          <w:lang w:bidi="ar-AE"/>
        </w:rPr>
        <w:t>،</w:t>
      </w:r>
      <w:r w:rsidRPr="00904FCB">
        <w:rPr>
          <w:rFonts w:hint="cs"/>
          <w:rtl/>
          <w:lang w:bidi="ar-AE"/>
        </w:rPr>
        <w:t xml:space="preserve"> وتنتقل معظم الأدوار القيادية لهم</w:t>
      </w:r>
      <w:r w:rsidR="008D7C17" w:rsidRPr="00904FCB">
        <w:rPr>
          <w:rFonts w:hint="cs"/>
          <w:rtl/>
          <w:lang w:bidi="ar-AE"/>
        </w:rPr>
        <w:t>،</w:t>
      </w:r>
      <w:r w:rsidRPr="00904FCB">
        <w:rPr>
          <w:rFonts w:hint="cs"/>
          <w:rtl/>
          <w:lang w:bidi="ar-AE"/>
        </w:rPr>
        <w:t xml:space="preserve"> مم</w:t>
      </w:r>
      <w:r w:rsidR="008D7C17" w:rsidRPr="00904FCB">
        <w:rPr>
          <w:rFonts w:hint="cs"/>
          <w:rtl/>
          <w:lang w:bidi="ar-AE"/>
        </w:rPr>
        <w:t>ّ</w:t>
      </w:r>
      <w:r w:rsidRPr="00904FCB">
        <w:rPr>
          <w:rFonts w:hint="cs"/>
          <w:rtl/>
          <w:lang w:bidi="ar-AE"/>
        </w:rPr>
        <w:t>ا يؤد</w:t>
      </w:r>
      <w:r w:rsidR="008D7C17" w:rsidRPr="00904FCB">
        <w:rPr>
          <w:rFonts w:hint="cs"/>
          <w:rtl/>
          <w:lang w:bidi="ar-AE"/>
        </w:rPr>
        <w:t>ّ</w:t>
      </w:r>
      <w:r w:rsidRPr="00904FCB">
        <w:rPr>
          <w:rFonts w:hint="cs"/>
          <w:rtl/>
          <w:lang w:bidi="ar-AE"/>
        </w:rPr>
        <w:t>ي إلى إقصاء قادة التيارات الحقيقيين من المثقفين والمثقفين الدينيين</w:t>
      </w:r>
      <w:r w:rsidR="008D7C17" w:rsidRPr="00904FCB">
        <w:rPr>
          <w:rFonts w:hint="cs"/>
          <w:rtl/>
          <w:lang w:bidi="ar-AE"/>
        </w:rPr>
        <w:t>،</w:t>
      </w:r>
      <w:r w:rsidRPr="00904FCB">
        <w:rPr>
          <w:rFonts w:hint="cs"/>
          <w:rtl/>
          <w:lang w:bidi="ar-AE"/>
        </w:rPr>
        <w:t xml:space="preserve"> ويصبح كل</w:t>
      </w:r>
      <w:r w:rsidR="008D7C17" w:rsidRPr="00904FCB">
        <w:rPr>
          <w:rFonts w:hint="cs"/>
          <w:rtl/>
          <w:lang w:bidi="ar-AE"/>
        </w:rPr>
        <w:t>ّ</w:t>
      </w:r>
      <w:r w:rsidRPr="00904FCB">
        <w:rPr>
          <w:rFonts w:hint="cs"/>
          <w:rtl/>
          <w:lang w:bidi="ar-AE"/>
        </w:rPr>
        <w:t xml:space="preserve"> م</w:t>
      </w:r>
      <w:r w:rsidR="008D7C17" w:rsidRPr="00904FCB">
        <w:rPr>
          <w:rFonts w:hint="cs"/>
          <w:rtl/>
          <w:lang w:bidi="ar-AE"/>
        </w:rPr>
        <w:t>َ</w:t>
      </w:r>
      <w:r w:rsidRPr="00904FCB">
        <w:rPr>
          <w:rFonts w:hint="cs"/>
          <w:rtl/>
          <w:lang w:bidi="ar-AE"/>
        </w:rPr>
        <w:t>ن</w:t>
      </w:r>
      <w:r w:rsidR="008D7C17" w:rsidRPr="00904FCB">
        <w:rPr>
          <w:rFonts w:hint="cs"/>
          <w:rtl/>
          <w:lang w:bidi="ar-AE"/>
        </w:rPr>
        <w:t>ْ</w:t>
      </w:r>
      <w:r w:rsidRPr="00904FCB">
        <w:rPr>
          <w:rFonts w:hint="cs"/>
          <w:rtl/>
          <w:lang w:bidi="ar-AE"/>
        </w:rPr>
        <w:t xml:space="preserve"> عمل وأس</w:t>
      </w:r>
      <w:r w:rsidR="008D7C17" w:rsidRPr="00904FCB">
        <w:rPr>
          <w:rFonts w:hint="cs"/>
          <w:rtl/>
          <w:lang w:bidi="ar-AE"/>
        </w:rPr>
        <w:t>ّ</w:t>
      </w:r>
      <w:r w:rsidRPr="00904FCB">
        <w:rPr>
          <w:rFonts w:hint="cs"/>
          <w:rtl/>
          <w:lang w:bidi="ar-AE"/>
        </w:rPr>
        <w:t>س وتزع</w:t>
      </w:r>
      <w:r w:rsidR="008D7C17" w:rsidRPr="00904FCB">
        <w:rPr>
          <w:rFonts w:hint="cs"/>
          <w:rtl/>
          <w:lang w:bidi="ar-AE"/>
        </w:rPr>
        <w:t>ّ</w:t>
      </w:r>
      <w:r w:rsidRPr="00904FCB">
        <w:rPr>
          <w:rFonts w:hint="cs"/>
          <w:rtl/>
          <w:lang w:bidi="ar-AE"/>
        </w:rPr>
        <w:t>م تلك التيارات مهمّشاً أو خارج دائرة التيار.</w:t>
      </w:r>
    </w:p>
    <w:p w:rsidR="00952E59" w:rsidRPr="00904FCB" w:rsidRDefault="00952E59" w:rsidP="007A21AA">
      <w:pPr>
        <w:spacing w:line="400" w:lineRule="exact"/>
        <w:rPr>
          <w:rtl/>
          <w:lang w:bidi="ar-AE"/>
        </w:rPr>
      </w:pPr>
      <w:r w:rsidRPr="00904FCB">
        <w:rPr>
          <w:rFonts w:hint="cs"/>
          <w:rtl/>
          <w:lang w:bidi="ar-AE"/>
        </w:rPr>
        <w:t>والقادة الشعبيين عادةً ما يتفو</w:t>
      </w:r>
      <w:r w:rsidR="008D7C17" w:rsidRPr="00904FCB">
        <w:rPr>
          <w:rFonts w:hint="cs"/>
          <w:rtl/>
          <w:lang w:bidi="ar-AE"/>
        </w:rPr>
        <w:t>ّ</w:t>
      </w:r>
      <w:r w:rsidRPr="00904FCB">
        <w:rPr>
          <w:rFonts w:hint="cs"/>
          <w:rtl/>
          <w:lang w:bidi="ar-AE"/>
        </w:rPr>
        <w:t>قون على القادة المثق</w:t>
      </w:r>
      <w:r w:rsidR="008D7C17" w:rsidRPr="00904FCB">
        <w:rPr>
          <w:rFonts w:hint="cs"/>
          <w:rtl/>
          <w:lang w:bidi="ar-AE"/>
        </w:rPr>
        <w:t>ّ</w:t>
      </w:r>
      <w:r w:rsidRPr="00904FCB">
        <w:rPr>
          <w:rFonts w:hint="cs"/>
          <w:rtl/>
          <w:lang w:bidi="ar-AE"/>
        </w:rPr>
        <w:t>فين من حيث نفوذهم بين الجماهير</w:t>
      </w:r>
      <w:r w:rsidR="008D7C17" w:rsidRPr="00904FCB">
        <w:rPr>
          <w:rFonts w:hint="cs"/>
          <w:rtl/>
          <w:lang w:bidi="ar-AE"/>
        </w:rPr>
        <w:t>،</w:t>
      </w:r>
      <w:r w:rsidRPr="00904FCB">
        <w:rPr>
          <w:rFonts w:hint="cs"/>
          <w:rtl/>
          <w:lang w:bidi="ar-AE"/>
        </w:rPr>
        <w:t xml:space="preserve"> ولذلك نجد </w:t>
      </w:r>
      <w:r w:rsidR="008D7C17" w:rsidRPr="00904FCB">
        <w:rPr>
          <w:rFonts w:hint="cs"/>
          <w:rtl/>
          <w:lang w:bidi="ar-AE"/>
        </w:rPr>
        <w:t>أ</w:t>
      </w:r>
      <w:r w:rsidRPr="00904FCB">
        <w:rPr>
          <w:rFonts w:hint="cs"/>
          <w:rtl/>
          <w:lang w:bidi="ar-AE"/>
        </w:rPr>
        <w:t>ن قدرتهم على التعبئة أكثر بكثير من قدرة المثق</w:t>
      </w:r>
      <w:r w:rsidR="008D7C17" w:rsidRPr="00904FCB">
        <w:rPr>
          <w:rFonts w:hint="cs"/>
          <w:rtl/>
          <w:lang w:bidi="ar-AE"/>
        </w:rPr>
        <w:t>ّ</w:t>
      </w:r>
      <w:r w:rsidRPr="00904FCB">
        <w:rPr>
          <w:rFonts w:hint="cs"/>
          <w:rtl/>
          <w:lang w:bidi="ar-AE"/>
        </w:rPr>
        <w:t xml:space="preserve">فين والنخب. </w:t>
      </w:r>
    </w:p>
    <w:p w:rsidR="00952E59" w:rsidRPr="00904FCB" w:rsidRDefault="00952E59" w:rsidP="007A21AA">
      <w:pPr>
        <w:spacing w:line="400" w:lineRule="exact"/>
        <w:rPr>
          <w:rtl/>
          <w:lang w:bidi="ar-AE"/>
        </w:rPr>
      </w:pPr>
      <w:r w:rsidRPr="00904FCB">
        <w:rPr>
          <w:rFonts w:hint="cs"/>
          <w:rtl/>
          <w:lang w:bidi="ar-AE"/>
        </w:rPr>
        <w:t>فبعد أن يتمك</w:t>
      </w:r>
      <w:r w:rsidR="008D7C17" w:rsidRPr="00904FCB">
        <w:rPr>
          <w:rFonts w:hint="cs"/>
          <w:rtl/>
          <w:lang w:bidi="ar-AE"/>
        </w:rPr>
        <w:t>ّ</w:t>
      </w:r>
      <w:r w:rsidRPr="00904FCB">
        <w:rPr>
          <w:rFonts w:hint="cs"/>
          <w:rtl/>
          <w:lang w:bidi="ar-AE"/>
        </w:rPr>
        <w:t>ن هؤلاء القادة الشعبي</w:t>
      </w:r>
      <w:r w:rsidR="008D7C17" w:rsidRPr="00904FCB">
        <w:rPr>
          <w:rFonts w:hint="cs"/>
          <w:rtl/>
          <w:lang w:bidi="ar-AE"/>
        </w:rPr>
        <w:t>و</w:t>
      </w:r>
      <w:r w:rsidRPr="00904FCB">
        <w:rPr>
          <w:rFonts w:hint="cs"/>
          <w:rtl/>
          <w:lang w:bidi="ar-AE"/>
        </w:rPr>
        <w:t>ن التقليدي</w:t>
      </w:r>
      <w:r w:rsidR="008D7C17" w:rsidRPr="00904FCB">
        <w:rPr>
          <w:rFonts w:hint="cs"/>
          <w:rtl/>
          <w:lang w:bidi="ar-AE"/>
        </w:rPr>
        <w:t>و</w:t>
      </w:r>
      <w:r w:rsidRPr="00904FCB">
        <w:rPr>
          <w:rFonts w:hint="cs"/>
          <w:rtl/>
          <w:lang w:bidi="ar-AE"/>
        </w:rPr>
        <w:t>ن من تعبئة الناس وتحريضه</w:t>
      </w:r>
      <w:r w:rsidR="008D7C17" w:rsidRPr="00904FCB">
        <w:rPr>
          <w:rFonts w:hint="cs"/>
          <w:rtl/>
          <w:lang w:bidi="ar-AE"/>
        </w:rPr>
        <w:t>م،</w:t>
      </w:r>
      <w:r w:rsidRPr="00904FCB">
        <w:rPr>
          <w:rFonts w:hint="cs"/>
          <w:rtl/>
          <w:lang w:bidi="ar-AE"/>
        </w:rPr>
        <w:t xml:space="preserve"> مستغل</w:t>
      </w:r>
      <w:r w:rsidR="008D7C17" w:rsidRPr="00904FCB">
        <w:rPr>
          <w:rFonts w:hint="cs"/>
          <w:rtl/>
          <w:lang w:bidi="ar-AE"/>
        </w:rPr>
        <w:t>ّ</w:t>
      </w:r>
      <w:r w:rsidRPr="00904FCB">
        <w:rPr>
          <w:rFonts w:hint="cs"/>
          <w:rtl/>
          <w:lang w:bidi="ar-AE"/>
        </w:rPr>
        <w:t>ين بذلك نفوذهم، تبدأ الكف</w:t>
      </w:r>
      <w:r w:rsidR="008D7C17" w:rsidRPr="00904FCB">
        <w:rPr>
          <w:rFonts w:hint="cs"/>
          <w:rtl/>
          <w:lang w:bidi="ar-AE"/>
        </w:rPr>
        <w:t>ّ</w:t>
      </w:r>
      <w:r w:rsidRPr="00904FCB">
        <w:rPr>
          <w:rFonts w:hint="cs"/>
          <w:rtl/>
          <w:lang w:bidi="ar-AE"/>
        </w:rPr>
        <w:t>ة تميل لصالحهم على حساب الطرف الآخر</w:t>
      </w:r>
      <w:r w:rsidR="008D7C17" w:rsidRPr="00904FCB">
        <w:rPr>
          <w:rFonts w:hint="cs"/>
          <w:rtl/>
          <w:lang w:bidi="ar-AE"/>
        </w:rPr>
        <w:t>،</w:t>
      </w:r>
      <w:r w:rsidRPr="00904FCB">
        <w:rPr>
          <w:rFonts w:hint="cs"/>
          <w:rtl/>
          <w:lang w:bidi="ar-AE"/>
        </w:rPr>
        <w:t xml:space="preserve"> فيمسكون بالسلطة السياسية، ويقصون النخب الثقافية والريادية</w:t>
      </w:r>
      <w:r w:rsidR="008D7C17" w:rsidRPr="00904FCB">
        <w:rPr>
          <w:rFonts w:hint="cs"/>
          <w:rtl/>
          <w:lang w:bidi="ar-AE"/>
        </w:rPr>
        <w:t>،</w:t>
      </w:r>
      <w:r w:rsidRPr="00904FCB">
        <w:rPr>
          <w:rFonts w:hint="cs"/>
          <w:rtl/>
          <w:lang w:bidi="ar-AE"/>
        </w:rPr>
        <w:t xml:space="preserve"> وينح</w:t>
      </w:r>
      <w:r w:rsidR="008D7C17" w:rsidRPr="00904FCB">
        <w:rPr>
          <w:rFonts w:hint="cs"/>
          <w:rtl/>
          <w:lang w:bidi="ar-AE"/>
        </w:rPr>
        <w:t>ّ</w:t>
      </w:r>
      <w:r w:rsidRPr="00904FCB">
        <w:rPr>
          <w:rFonts w:hint="cs"/>
          <w:rtl/>
          <w:lang w:bidi="ar-AE"/>
        </w:rPr>
        <w:t>وها جانباً.</w:t>
      </w:r>
    </w:p>
    <w:p w:rsidR="00952E59" w:rsidRPr="00904FCB" w:rsidRDefault="00952E59" w:rsidP="007A21AA">
      <w:pPr>
        <w:spacing w:line="400" w:lineRule="exact"/>
        <w:rPr>
          <w:rtl/>
          <w:lang w:bidi="ar-AE"/>
        </w:rPr>
      </w:pPr>
      <w:r w:rsidRPr="00904FCB">
        <w:rPr>
          <w:rFonts w:hint="cs"/>
          <w:rtl/>
          <w:lang w:bidi="ar-AE"/>
        </w:rPr>
        <w:t>لكن</w:t>
      </w:r>
      <w:r w:rsidR="008D7C17" w:rsidRPr="00904FCB">
        <w:rPr>
          <w:rFonts w:hint="cs"/>
          <w:rtl/>
          <w:lang w:bidi="ar-AE"/>
        </w:rPr>
        <w:t>ْ</w:t>
      </w:r>
      <w:r w:rsidRPr="00904FCB">
        <w:rPr>
          <w:rFonts w:hint="cs"/>
          <w:rtl/>
          <w:lang w:bidi="ar-AE"/>
        </w:rPr>
        <w:t xml:space="preserve"> ما يميز هؤلاء القادة هو رؤيتهم التقليدية للسلطة، التي بموجبها تفقد الشعوب والجماهير معظم حقوقهم وامتيازاتهم. </w:t>
      </w:r>
    </w:p>
    <w:p w:rsidR="00952E59" w:rsidRPr="00904FCB" w:rsidRDefault="00952E59" w:rsidP="007A21AA">
      <w:pPr>
        <w:spacing w:line="400" w:lineRule="exact"/>
        <w:rPr>
          <w:rtl/>
          <w:lang w:bidi="ar-AE"/>
        </w:rPr>
      </w:pPr>
      <w:r w:rsidRPr="00904FCB">
        <w:rPr>
          <w:rFonts w:hint="cs"/>
          <w:rtl/>
          <w:lang w:bidi="ar-AE"/>
        </w:rPr>
        <w:lastRenderedPageBreak/>
        <w:t>والمشكلة أن هؤلاء القادة يصبحون في ظل</w:t>
      </w:r>
      <w:r w:rsidR="008D7C17" w:rsidRPr="00904FCB">
        <w:rPr>
          <w:rFonts w:hint="cs"/>
          <w:rtl/>
          <w:lang w:bidi="ar-AE"/>
        </w:rPr>
        <w:t>ّ</w:t>
      </w:r>
      <w:r w:rsidRPr="00904FCB">
        <w:rPr>
          <w:rFonts w:hint="cs"/>
          <w:rtl/>
          <w:lang w:bidi="ar-AE"/>
        </w:rPr>
        <w:t xml:space="preserve"> هذه الرؤية غير قادرين على تحقيق التنمية السياسية</w:t>
      </w:r>
      <w:r w:rsidR="008D7C17" w:rsidRPr="00904FCB">
        <w:rPr>
          <w:rFonts w:hint="cs"/>
          <w:rtl/>
          <w:lang w:bidi="ar-AE"/>
        </w:rPr>
        <w:t>.</w:t>
      </w:r>
      <w:r w:rsidRPr="00904FCB">
        <w:rPr>
          <w:rFonts w:hint="cs"/>
          <w:rtl/>
          <w:lang w:bidi="ar-AE"/>
        </w:rPr>
        <w:t xml:space="preserve"> كما أن وجود هذا الأفق الضيق لديهم</w:t>
      </w:r>
      <w:r w:rsidR="008D7C17" w:rsidRPr="00904FCB">
        <w:rPr>
          <w:rFonts w:hint="cs"/>
          <w:rtl/>
          <w:lang w:bidi="ar-AE"/>
        </w:rPr>
        <w:t>،</w:t>
      </w:r>
      <w:r w:rsidRPr="00904FCB">
        <w:rPr>
          <w:rFonts w:hint="cs"/>
          <w:rtl/>
          <w:lang w:bidi="ar-AE"/>
        </w:rPr>
        <w:t xml:space="preserve"> وعدم الوقوف على التعقيدات الاجتماعية والمشاكل التي يعاني منها الشعب</w:t>
      </w:r>
      <w:r w:rsidR="008D7C17" w:rsidRPr="00904FCB">
        <w:rPr>
          <w:rFonts w:hint="cs"/>
          <w:rtl/>
          <w:lang w:bidi="ar-AE"/>
        </w:rPr>
        <w:t>،</w:t>
      </w:r>
      <w:r w:rsidRPr="00904FCB">
        <w:rPr>
          <w:rFonts w:hint="cs"/>
          <w:rtl/>
          <w:lang w:bidi="ar-AE"/>
        </w:rPr>
        <w:t xml:space="preserve"> إلى جانب ا</w:t>
      </w:r>
      <w:r w:rsidR="008D7C17" w:rsidRPr="00904FCB">
        <w:rPr>
          <w:rFonts w:hint="cs"/>
          <w:rtl/>
          <w:lang w:bidi="ar-AE"/>
        </w:rPr>
        <w:t>متلاك</w:t>
      </w:r>
      <w:r w:rsidRPr="00904FCB">
        <w:rPr>
          <w:rFonts w:hint="cs"/>
          <w:rtl/>
          <w:lang w:bidi="ar-AE"/>
        </w:rPr>
        <w:t xml:space="preserve"> زمام السلطة السياسية والاقتصادية والعسكرية</w:t>
      </w:r>
      <w:r w:rsidR="008D7C17" w:rsidRPr="00904FCB">
        <w:rPr>
          <w:rFonts w:hint="cs"/>
          <w:rtl/>
          <w:lang w:bidi="ar-AE"/>
        </w:rPr>
        <w:t>،</w:t>
      </w:r>
      <w:r w:rsidRPr="00904FCB">
        <w:rPr>
          <w:rFonts w:hint="cs"/>
          <w:rtl/>
          <w:lang w:bidi="ar-AE"/>
        </w:rPr>
        <w:t xml:space="preserve"> يجعلهم غير قادرين على تلبية أبسط متطل</w:t>
      </w:r>
      <w:r w:rsidR="008D7C17" w:rsidRPr="00904FCB">
        <w:rPr>
          <w:rFonts w:hint="cs"/>
          <w:rtl/>
          <w:lang w:bidi="ar-AE"/>
        </w:rPr>
        <w:t>ّ</w:t>
      </w:r>
      <w:r w:rsidRPr="00904FCB">
        <w:rPr>
          <w:rFonts w:hint="cs"/>
          <w:rtl/>
          <w:lang w:bidi="ar-AE"/>
        </w:rPr>
        <w:t>بات الجماهير</w:t>
      </w:r>
      <w:r w:rsidR="008D7C17" w:rsidRPr="00904FCB">
        <w:rPr>
          <w:rFonts w:hint="cs"/>
          <w:rtl/>
          <w:lang w:bidi="ar-AE"/>
        </w:rPr>
        <w:t>،</w:t>
      </w:r>
      <w:r w:rsidRPr="00904FCB">
        <w:rPr>
          <w:rFonts w:hint="cs"/>
          <w:rtl/>
          <w:lang w:bidi="ar-AE"/>
        </w:rPr>
        <w:t xml:space="preserve"> مم</w:t>
      </w:r>
      <w:r w:rsidR="008D7C17" w:rsidRPr="00904FCB">
        <w:rPr>
          <w:rFonts w:hint="cs"/>
          <w:rtl/>
          <w:lang w:bidi="ar-AE"/>
        </w:rPr>
        <w:t>ّ</w:t>
      </w:r>
      <w:r w:rsidRPr="00904FCB">
        <w:rPr>
          <w:rFonts w:hint="cs"/>
          <w:rtl/>
          <w:lang w:bidi="ar-AE"/>
        </w:rPr>
        <w:t>ا يؤد</w:t>
      </w:r>
      <w:r w:rsidR="008D7C17" w:rsidRPr="00904FCB">
        <w:rPr>
          <w:rFonts w:hint="cs"/>
          <w:rtl/>
          <w:lang w:bidi="ar-AE"/>
        </w:rPr>
        <w:t>ّ</w:t>
      </w:r>
      <w:r w:rsidRPr="00904FCB">
        <w:rPr>
          <w:rFonts w:hint="cs"/>
          <w:rtl/>
          <w:lang w:bidi="ar-AE"/>
        </w:rPr>
        <w:t>ي إلى دهورة وتأز</w:t>
      </w:r>
      <w:r w:rsidR="008D7C17" w:rsidRPr="00904FCB">
        <w:rPr>
          <w:rFonts w:hint="cs"/>
          <w:rtl/>
          <w:lang w:bidi="ar-AE"/>
        </w:rPr>
        <w:t>ّ</w:t>
      </w:r>
      <w:r w:rsidRPr="00904FCB">
        <w:rPr>
          <w:rFonts w:hint="cs"/>
          <w:rtl/>
          <w:lang w:bidi="ar-AE"/>
        </w:rPr>
        <w:t>م الأوضاع السياسية والاقتصادية</w:t>
      </w:r>
      <w:r w:rsidR="008D7C17" w:rsidRPr="00904FCB">
        <w:rPr>
          <w:rFonts w:hint="cs"/>
          <w:rtl/>
          <w:lang w:bidi="ar-AE"/>
        </w:rPr>
        <w:t>،</w:t>
      </w:r>
      <w:r w:rsidRPr="00904FCB">
        <w:rPr>
          <w:rFonts w:hint="cs"/>
          <w:rtl/>
          <w:lang w:bidi="ar-AE"/>
        </w:rPr>
        <w:t xml:space="preserve"> ال</w:t>
      </w:r>
      <w:r w:rsidR="005A4CC4" w:rsidRPr="00904FCB">
        <w:rPr>
          <w:rFonts w:hint="cs"/>
          <w:rtl/>
          <w:lang w:bidi="ar-AE"/>
        </w:rPr>
        <w:t>ت</w:t>
      </w:r>
      <w:r w:rsidRPr="00904FCB">
        <w:rPr>
          <w:rFonts w:hint="cs"/>
          <w:rtl/>
          <w:lang w:bidi="ar-AE"/>
        </w:rPr>
        <w:t xml:space="preserve">ي </w:t>
      </w:r>
      <w:r w:rsidR="005A4CC4" w:rsidRPr="00904FCB">
        <w:rPr>
          <w:rFonts w:hint="cs"/>
          <w:rtl/>
          <w:lang w:bidi="ar-AE"/>
        </w:rPr>
        <w:t>ت</w:t>
      </w:r>
      <w:r w:rsidRPr="00904FCB">
        <w:rPr>
          <w:rFonts w:hint="cs"/>
          <w:rtl/>
          <w:lang w:bidi="ar-AE"/>
        </w:rPr>
        <w:t>لقي ب</w:t>
      </w:r>
      <w:r w:rsidR="005A4CC4" w:rsidRPr="00904FCB">
        <w:rPr>
          <w:rFonts w:hint="cs"/>
          <w:rtl/>
          <w:lang w:bidi="ar-AE"/>
        </w:rPr>
        <w:t>ظ</w:t>
      </w:r>
      <w:r w:rsidRPr="00904FCB">
        <w:rPr>
          <w:rFonts w:hint="cs"/>
          <w:rtl/>
          <w:lang w:bidi="ar-AE"/>
        </w:rPr>
        <w:t>لاله</w:t>
      </w:r>
      <w:r w:rsidR="005A4CC4" w:rsidRPr="00904FCB">
        <w:rPr>
          <w:rFonts w:hint="cs"/>
          <w:rtl/>
          <w:lang w:bidi="ar-AE"/>
        </w:rPr>
        <w:t>ا</w:t>
      </w:r>
      <w:r w:rsidRPr="00904FCB">
        <w:rPr>
          <w:rFonts w:hint="cs"/>
          <w:rtl/>
          <w:lang w:bidi="ar-AE"/>
        </w:rPr>
        <w:t xml:space="preserve"> على الوضع الثقافي والاجتماعي في ذلك البلد</w:t>
      </w:r>
      <w:r w:rsidR="005A4CC4" w:rsidRPr="00904FCB">
        <w:rPr>
          <w:rFonts w:hint="cs"/>
          <w:rtl/>
          <w:lang w:bidi="ar-AE"/>
        </w:rPr>
        <w:t>،</w:t>
      </w:r>
      <w:r w:rsidRPr="00904FCB">
        <w:rPr>
          <w:rFonts w:hint="cs"/>
          <w:rtl/>
          <w:lang w:bidi="ar-AE"/>
        </w:rPr>
        <w:t xml:space="preserve"> فيحيله إلى دائرة الانحطاط والتخل</w:t>
      </w:r>
      <w:r w:rsidR="005A4CC4" w:rsidRPr="00904FCB">
        <w:rPr>
          <w:rFonts w:hint="cs"/>
          <w:rtl/>
          <w:lang w:bidi="ar-AE"/>
        </w:rPr>
        <w:t>ُّ</w:t>
      </w:r>
      <w:r w:rsidRPr="00904FCB">
        <w:rPr>
          <w:rFonts w:hint="cs"/>
          <w:rtl/>
          <w:lang w:bidi="ar-AE"/>
        </w:rPr>
        <w:t>ف.</w:t>
      </w:r>
    </w:p>
    <w:p w:rsidR="00952E59" w:rsidRPr="00904FCB" w:rsidRDefault="00952E59" w:rsidP="00752155">
      <w:pPr>
        <w:spacing w:line="410" w:lineRule="exact"/>
        <w:rPr>
          <w:rtl/>
          <w:lang w:bidi="ar-AE"/>
        </w:rPr>
      </w:pPr>
      <w:r w:rsidRPr="00904FCB">
        <w:rPr>
          <w:rFonts w:hint="cs"/>
          <w:rtl/>
          <w:lang w:bidi="ar-AE"/>
        </w:rPr>
        <w:t>والم</w:t>
      </w:r>
      <w:r w:rsidR="005A4CC4" w:rsidRPr="00904FCB">
        <w:rPr>
          <w:rFonts w:hint="cs"/>
          <w:rtl/>
          <w:lang w:bidi="ar-AE"/>
        </w:rPr>
        <w:t>ل</w:t>
      </w:r>
      <w:r w:rsidRPr="00904FCB">
        <w:rPr>
          <w:rFonts w:hint="cs"/>
          <w:rtl/>
          <w:lang w:bidi="ar-AE"/>
        </w:rPr>
        <w:t>خ</w:t>
      </w:r>
      <w:r w:rsidR="005A4CC4" w:rsidRPr="00904FCB">
        <w:rPr>
          <w:rFonts w:hint="cs"/>
          <w:rtl/>
          <w:lang w:bidi="ar-AE"/>
        </w:rPr>
        <w:t>َّ</w:t>
      </w:r>
      <w:r w:rsidRPr="00904FCB">
        <w:rPr>
          <w:rFonts w:hint="cs"/>
          <w:rtl/>
          <w:lang w:bidi="ar-AE"/>
        </w:rPr>
        <w:t>ص مم</w:t>
      </w:r>
      <w:r w:rsidR="005A4CC4" w:rsidRPr="00904FCB">
        <w:rPr>
          <w:rFonts w:hint="cs"/>
          <w:rtl/>
          <w:lang w:bidi="ar-AE"/>
        </w:rPr>
        <w:t>ّ</w:t>
      </w:r>
      <w:r w:rsidRPr="00904FCB">
        <w:rPr>
          <w:rFonts w:hint="cs"/>
          <w:rtl/>
          <w:lang w:bidi="ar-AE"/>
        </w:rPr>
        <w:t>ا تقد</w:t>
      </w:r>
      <w:r w:rsidR="005A4CC4" w:rsidRPr="00904FCB">
        <w:rPr>
          <w:rFonts w:hint="cs"/>
          <w:rtl/>
          <w:lang w:bidi="ar-AE"/>
        </w:rPr>
        <w:t>ّ</w:t>
      </w:r>
      <w:r w:rsidRPr="00904FCB">
        <w:rPr>
          <w:rFonts w:hint="cs"/>
          <w:rtl/>
          <w:lang w:bidi="ar-AE"/>
        </w:rPr>
        <w:t>م أن أسباب فشل تطبيق حقوق الإنسان في البلدان الإسلامية يعود إلى أمرين</w:t>
      </w:r>
      <w:r w:rsidR="005A4CC4" w:rsidRPr="00904FCB">
        <w:rPr>
          <w:rFonts w:hint="cs"/>
          <w:rtl/>
          <w:lang w:bidi="ar-AE"/>
        </w:rPr>
        <w:t>:</w:t>
      </w:r>
      <w:r w:rsidRPr="00904FCB">
        <w:rPr>
          <w:rFonts w:hint="cs"/>
          <w:rtl/>
          <w:lang w:bidi="ar-AE"/>
        </w:rPr>
        <w:t xml:space="preserve"> </w:t>
      </w:r>
      <w:r w:rsidRPr="00904FCB">
        <w:rPr>
          <w:rFonts w:hint="cs"/>
          <w:b/>
          <w:bCs/>
          <w:rtl/>
          <w:lang w:bidi="ar-AE"/>
        </w:rPr>
        <w:t>أحدهما</w:t>
      </w:r>
      <w:r w:rsidRPr="00904FCB">
        <w:rPr>
          <w:rFonts w:hint="cs"/>
          <w:rtl/>
          <w:lang w:bidi="ar-AE"/>
        </w:rPr>
        <w:t>: النظرة التقليدية للسلطة، وغياب الوعي بالمقولات الحديثة</w:t>
      </w:r>
      <w:r w:rsidR="005A4CC4" w:rsidRPr="00904FCB">
        <w:rPr>
          <w:rFonts w:hint="cs"/>
          <w:rtl/>
          <w:lang w:bidi="ar-AE"/>
        </w:rPr>
        <w:t>،</w:t>
      </w:r>
      <w:r w:rsidRPr="00904FCB">
        <w:rPr>
          <w:rFonts w:hint="cs"/>
          <w:rtl/>
          <w:lang w:bidi="ar-AE"/>
        </w:rPr>
        <w:t xml:space="preserve"> كحقوق ال</w:t>
      </w:r>
      <w:r w:rsidR="005A4CC4" w:rsidRPr="00904FCB">
        <w:rPr>
          <w:rFonts w:hint="cs"/>
          <w:rtl/>
          <w:lang w:bidi="ar-AE"/>
        </w:rPr>
        <w:t>إ</w:t>
      </w:r>
      <w:r w:rsidRPr="00904FCB">
        <w:rPr>
          <w:rFonts w:hint="cs"/>
          <w:rtl/>
          <w:lang w:bidi="ar-AE"/>
        </w:rPr>
        <w:t>نسان وحر</w:t>
      </w:r>
      <w:r w:rsidR="005A4CC4" w:rsidRPr="00904FCB">
        <w:rPr>
          <w:rFonts w:hint="cs"/>
          <w:rtl/>
          <w:lang w:bidi="ar-AE"/>
        </w:rPr>
        <w:t>ّ</w:t>
      </w:r>
      <w:r w:rsidRPr="00904FCB">
        <w:rPr>
          <w:rFonts w:hint="cs"/>
          <w:rtl/>
          <w:lang w:bidi="ar-AE"/>
        </w:rPr>
        <w:t>يته</w:t>
      </w:r>
      <w:r w:rsidR="005A4CC4" w:rsidRPr="00904FCB">
        <w:rPr>
          <w:rFonts w:hint="cs"/>
          <w:rtl/>
          <w:lang w:bidi="ar-AE"/>
        </w:rPr>
        <w:t>،</w:t>
      </w:r>
      <w:r w:rsidRPr="00904FCB">
        <w:rPr>
          <w:rFonts w:hint="cs"/>
          <w:rtl/>
          <w:lang w:bidi="ar-AE"/>
        </w:rPr>
        <w:t xml:space="preserve"> وخصوصاً حق</w:t>
      </w:r>
      <w:r w:rsidR="005A4CC4" w:rsidRPr="00904FCB">
        <w:rPr>
          <w:rFonts w:hint="cs"/>
          <w:rtl/>
          <w:lang w:bidi="ar-AE"/>
        </w:rPr>
        <w:t>ّ</w:t>
      </w:r>
      <w:r w:rsidRPr="00904FCB">
        <w:rPr>
          <w:rFonts w:hint="cs"/>
          <w:rtl/>
          <w:lang w:bidi="ar-AE"/>
        </w:rPr>
        <w:t xml:space="preserve"> الأمة أو الشعب في الحكم.</w:t>
      </w:r>
    </w:p>
    <w:p w:rsidR="00952E59" w:rsidRPr="00904FCB" w:rsidRDefault="00952E59" w:rsidP="00752155">
      <w:pPr>
        <w:spacing w:line="410" w:lineRule="exact"/>
        <w:rPr>
          <w:rtl/>
          <w:lang w:bidi="ar-AE"/>
        </w:rPr>
      </w:pPr>
      <w:r w:rsidRPr="00904FCB">
        <w:rPr>
          <w:rFonts w:hint="cs"/>
          <w:b/>
          <w:bCs/>
          <w:rtl/>
          <w:lang w:bidi="ar-AE"/>
        </w:rPr>
        <w:t>وثانيهما</w:t>
      </w:r>
      <w:r w:rsidRPr="00904FCB">
        <w:rPr>
          <w:rFonts w:hint="cs"/>
          <w:rtl/>
          <w:lang w:bidi="ar-AE"/>
        </w:rPr>
        <w:t>: الجهل بواقع المجتمع الحديث والتعقيدات السياسية والاقتصادية والاجتماعية التي تعتريه</w:t>
      </w:r>
      <w:r w:rsidR="005A4CC4" w:rsidRPr="00904FCB">
        <w:rPr>
          <w:rFonts w:hint="cs"/>
          <w:rtl/>
          <w:lang w:bidi="ar-AE"/>
        </w:rPr>
        <w:t>،</w:t>
      </w:r>
      <w:r w:rsidRPr="00904FCB">
        <w:rPr>
          <w:rFonts w:hint="cs"/>
          <w:rtl/>
          <w:lang w:bidi="ar-AE"/>
        </w:rPr>
        <w:t xml:space="preserve"> والتي تمي</w:t>
      </w:r>
      <w:r w:rsidR="005A4CC4" w:rsidRPr="00904FCB">
        <w:rPr>
          <w:rFonts w:hint="cs"/>
          <w:rtl/>
          <w:lang w:bidi="ar-AE"/>
        </w:rPr>
        <w:t>ِّ</w:t>
      </w:r>
      <w:r w:rsidRPr="00904FCB">
        <w:rPr>
          <w:rFonts w:hint="cs"/>
          <w:rtl/>
          <w:lang w:bidi="ar-AE"/>
        </w:rPr>
        <w:t>زه عن المجتمع التقليدي القديم</w:t>
      </w:r>
      <w:r w:rsidR="005A4CC4" w:rsidRPr="00904FCB">
        <w:rPr>
          <w:rFonts w:hint="cs"/>
          <w:rtl/>
          <w:lang w:bidi="ar-AE"/>
        </w:rPr>
        <w:t>،</w:t>
      </w:r>
      <w:r w:rsidRPr="00904FCB">
        <w:rPr>
          <w:rFonts w:hint="cs"/>
          <w:rtl/>
          <w:lang w:bidi="ar-AE"/>
        </w:rPr>
        <w:t xml:space="preserve"> وعدم الإيمان بضرورة إيجاد حلول فاعلة ومجدية تساهم في إدارة المجتمع الحديث.</w:t>
      </w:r>
    </w:p>
    <w:p w:rsidR="00E83C22" w:rsidRPr="00904FCB" w:rsidRDefault="00952E59" w:rsidP="00752155">
      <w:pPr>
        <w:spacing w:line="410" w:lineRule="exact"/>
        <w:rPr>
          <w:rtl/>
          <w:lang w:bidi="ar-AE"/>
        </w:rPr>
      </w:pPr>
      <w:r w:rsidRPr="00904FCB">
        <w:rPr>
          <w:rFonts w:hint="cs"/>
          <w:rtl/>
          <w:lang w:bidi="ar-AE"/>
        </w:rPr>
        <w:t>ولا</w:t>
      </w:r>
      <w:r w:rsidR="00ED1FDA" w:rsidRPr="00904FCB">
        <w:rPr>
          <w:rFonts w:hint="cs"/>
          <w:rtl/>
          <w:lang w:bidi="ar-AE"/>
        </w:rPr>
        <w:t xml:space="preserve"> </w:t>
      </w:r>
      <w:r w:rsidRPr="00904FCB">
        <w:rPr>
          <w:rFonts w:hint="cs"/>
          <w:rtl/>
          <w:lang w:bidi="ar-AE"/>
        </w:rPr>
        <w:t>ب</w:t>
      </w:r>
      <w:r w:rsidR="005A4CC4" w:rsidRPr="00904FCB">
        <w:rPr>
          <w:rFonts w:hint="cs"/>
          <w:rtl/>
          <w:lang w:bidi="ar-AE"/>
        </w:rPr>
        <w:t>ُ</w:t>
      </w:r>
      <w:r w:rsidRPr="00904FCB">
        <w:rPr>
          <w:rFonts w:hint="cs"/>
          <w:rtl/>
          <w:lang w:bidi="ar-AE"/>
        </w:rPr>
        <w:t>د</w:t>
      </w:r>
      <w:r w:rsidR="005A4CC4" w:rsidRPr="00904FCB">
        <w:rPr>
          <w:rFonts w:hint="cs"/>
          <w:rtl/>
          <w:lang w:bidi="ar-AE"/>
        </w:rPr>
        <w:t>َّ</w:t>
      </w:r>
      <w:r w:rsidRPr="00904FCB">
        <w:rPr>
          <w:rFonts w:hint="cs"/>
          <w:rtl/>
          <w:lang w:bidi="ar-AE"/>
        </w:rPr>
        <w:t xml:space="preserve"> لنا من التأكيد على أن استمرار تفو</w:t>
      </w:r>
      <w:r w:rsidR="005A4CC4" w:rsidRPr="00904FCB">
        <w:rPr>
          <w:rFonts w:hint="cs"/>
          <w:rtl/>
          <w:lang w:bidi="ar-AE"/>
        </w:rPr>
        <w:t>ُّ</w:t>
      </w:r>
      <w:r w:rsidRPr="00904FCB">
        <w:rPr>
          <w:rFonts w:hint="cs"/>
          <w:rtl/>
          <w:lang w:bidi="ar-AE"/>
        </w:rPr>
        <w:t>ق وهيمنة الرؤية التقليدية على المقولات المعاصرة، وبقاء الهو</w:t>
      </w:r>
      <w:r w:rsidR="005A4CC4" w:rsidRPr="00904FCB">
        <w:rPr>
          <w:rFonts w:hint="cs"/>
          <w:rtl/>
          <w:lang w:bidi="ar-AE"/>
        </w:rPr>
        <w:t>ّ</w:t>
      </w:r>
      <w:r w:rsidRPr="00904FCB">
        <w:rPr>
          <w:rFonts w:hint="cs"/>
          <w:rtl/>
          <w:lang w:bidi="ar-AE"/>
        </w:rPr>
        <w:t>ة والفجوة قائمة بين الق</w:t>
      </w:r>
      <w:r w:rsidR="005A4CC4" w:rsidRPr="00904FCB">
        <w:rPr>
          <w:rFonts w:hint="cs"/>
          <w:rtl/>
          <w:lang w:bidi="ar-AE"/>
        </w:rPr>
        <w:t>ِ</w:t>
      </w:r>
      <w:r w:rsidRPr="00904FCB">
        <w:rPr>
          <w:rFonts w:hint="cs"/>
          <w:rtl/>
          <w:lang w:bidi="ar-AE"/>
        </w:rPr>
        <w:t>ي</w:t>
      </w:r>
      <w:r w:rsidR="005A4CC4" w:rsidRPr="00904FCB">
        <w:rPr>
          <w:rFonts w:hint="cs"/>
          <w:rtl/>
          <w:lang w:bidi="ar-AE"/>
        </w:rPr>
        <w:t>َ</w:t>
      </w:r>
      <w:r w:rsidRPr="00904FCB">
        <w:rPr>
          <w:rFonts w:hint="cs"/>
          <w:rtl/>
          <w:lang w:bidi="ar-AE"/>
        </w:rPr>
        <w:t>م والمبادئ الدينية من جهة</w:t>
      </w:r>
      <w:r w:rsidR="005A4CC4" w:rsidRPr="00904FCB">
        <w:rPr>
          <w:rFonts w:hint="cs"/>
          <w:rtl/>
          <w:lang w:bidi="ar-AE"/>
        </w:rPr>
        <w:t>،</w:t>
      </w:r>
      <w:r w:rsidRPr="00904FCB">
        <w:rPr>
          <w:rFonts w:hint="cs"/>
          <w:rtl/>
          <w:lang w:bidi="ar-AE"/>
        </w:rPr>
        <w:t xml:space="preserve"> وهذه المقولات من جهة</w:t>
      </w:r>
      <w:r w:rsidR="005A4CC4" w:rsidRPr="00904FCB">
        <w:rPr>
          <w:rFonts w:hint="cs"/>
          <w:rtl/>
          <w:lang w:bidi="ar-AE"/>
        </w:rPr>
        <w:t>ٍ</w:t>
      </w:r>
      <w:r w:rsidRPr="00904FCB">
        <w:rPr>
          <w:rFonts w:hint="cs"/>
          <w:rtl/>
          <w:lang w:bidi="ar-AE"/>
        </w:rPr>
        <w:t xml:space="preserve"> أخرى، سوف يكون [بلا أدنى ش</w:t>
      </w:r>
      <w:r w:rsidR="005A4CC4" w:rsidRPr="00904FCB">
        <w:rPr>
          <w:rFonts w:hint="cs"/>
          <w:rtl/>
          <w:lang w:bidi="ar-AE"/>
        </w:rPr>
        <w:t>َ</w:t>
      </w:r>
      <w:r w:rsidRPr="00904FCB">
        <w:rPr>
          <w:rFonts w:hint="cs"/>
          <w:rtl/>
          <w:lang w:bidi="ar-AE"/>
        </w:rPr>
        <w:t>ك</w:t>
      </w:r>
      <w:r w:rsidR="005A4CC4" w:rsidRPr="00904FCB">
        <w:rPr>
          <w:rFonts w:hint="cs"/>
          <w:rtl/>
          <w:lang w:bidi="ar-AE"/>
        </w:rPr>
        <w:t>ٍّ</w:t>
      </w:r>
      <w:r w:rsidRPr="00904FCB">
        <w:rPr>
          <w:rFonts w:hint="cs"/>
          <w:rtl/>
          <w:lang w:bidi="ar-AE"/>
        </w:rPr>
        <w:t>] حائلاً دون تحق</w:t>
      </w:r>
      <w:r w:rsidR="005A4CC4" w:rsidRPr="00904FCB">
        <w:rPr>
          <w:rFonts w:hint="cs"/>
          <w:rtl/>
          <w:lang w:bidi="ar-AE"/>
        </w:rPr>
        <w:t>ُّ</w:t>
      </w:r>
      <w:r w:rsidRPr="00904FCB">
        <w:rPr>
          <w:rFonts w:hint="cs"/>
          <w:rtl/>
          <w:lang w:bidi="ar-AE"/>
        </w:rPr>
        <w:t>ق الديمقراطية والتنمية السياسية والاقتصادية في البلدان الإسلامية.</w:t>
      </w: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ED1FDA" w:rsidP="00752155">
      <w:pPr>
        <w:pStyle w:val="10"/>
        <w:spacing w:line="240" w:lineRule="auto"/>
        <w:rPr>
          <w:rtl/>
        </w:rPr>
      </w:pPr>
      <w:bookmarkStart w:id="36" w:name="_Toc435577198"/>
      <w:r w:rsidRPr="00904FCB">
        <w:rPr>
          <w:rFonts w:hint="cs"/>
          <w:rtl/>
          <w:lang w:bidi="fa-IR"/>
        </w:rPr>
        <w:t>قراءةٌ جديدة للإرث بالولاء</w:t>
      </w:r>
      <w:bookmarkEnd w:id="36"/>
    </w:p>
    <w:p w:rsidR="00E83C22" w:rsidRPr="00904FCB" w:rsidRDefault="00ED1FDA" w:rsidP="00752155">
      <w:pPr>
        <w:pStyle w:val="10"/>
        <w:spacing w:line="240" w:lineRule="auto"/>
        <w:rPr>
          <w:sz w:val="26"/>
          <w:szCs w:val="42"/>
          <w:rtl/>
          <w:lang w:bidi="fa-IR"/>
        </w:rPr>
      </w:pPr>
      <w:bookmarkStart w:id="37" w:name="_Toc435577199"/>
      <w:r w:rsidRPr="00904FCB">
        <w:rPr>
          <w:rFonts w:hint="cs"/>
          <w:sz w:val="26"/>
          <w:szCs w:val="42"/>
          <w:rtl/>
          <w:lang w:bidi="fa-IR"/>
        </w:rPr>
        <w:t>دراسةٌ مقارنة</w:t>
      </w:r>
      <w:bookmarkEnd w:id="37"/>
    </w:p>
    <w:p w:rsidR="00ED1FDA" w:rsidRPr="00904FCB" w:rsidRDefault="00ED1FDA" w:rsidP="00BB4525">
      <w:pPr>
        <w:spacing w:line="240" w:lineRule="auto"/>
        <w:ind w:firstLine="0"/>
        <w:jc w:val="center"/>
        <w:rPr>
          <w:rFonts w:cs="Ya-Ali"/>
          <w:sz w:val="32"/>
          <w:szCs w:val="31"/>
          <w:rtl/>
        </w:rPr>
      </w:pPr>
      <w:r w:rsidRPr="00904FCB">
        <w:rPr>
          <w:rFonts w:cs="Ya-Ali" w:hint="cs"/>
          <w:sz w:val="32"/>
          <w:szCs w:val="31"/>
          <w:rtl/>
        </w:rPr>
        <w:t>ـ القسم الأوّل ـ</w:t>
      </w:r>
    </w:p>
    <w:p w:rsidR="00E83C22" w:rsidRPr="00904FCB" w:rsidRDefault="00E83C22" w:rsidP="007A21AA">
      <w:pPr>
        <w:spacing w:line="400" w:lineRule="exact"/>
        <w:rPr>
          <w:rtl/>
        </w:rPr>
      </w:pPr>
    </w:p>
    <w:p w:rsidR="00E83C22" w:rsidRPr="00904FCB" w:rsidRDefault="00ED1FDA" w:rsidP="007A21AA">
      <w:pPr>
        <w:pStyle w:val="Author"/>
        <w:spacing w:line="400" w:lineRule="exact"/>
        <w:rPr>
          <w:rtl/>
        </w:rPr>
      </w:pPr>
      <w:bookmarkStart w:id="38" w:name="_Toc435577200"/>
      <w:r w:rsidRPr="00904FCB">
        <w:rPr>
          <w:rFonts w:hint="cs"/>
          <w:b/>
          <w:rtl/>
          <w:lang w:bidi="fa-IR"/>
        </w:rPr>
        <w:t>د. الشيخ خالد الغفوري</w:t>
      </w:r>
      <w:r w:rsidR="00527634" w:rsidRPr="00904FCB">
        <w:rPr>
          <w:rFonts w:cs="Taher" w:hint="cs"/>
          <w:vertAlign w:val="superscript"/>
          <w:rtl/>
        </w:rPr>
        <w:t>(</w:t>
      </w:r>
      <w:r w:rsidR="00527634" w:rsidRPr="00904FCB">
        <w:rPr>
          <w:rFonts w:cs="Taher"/>
          <w:vertAlign w:val="superscript"/>
          <w:rtl/>
        </w:rPr>
        <w:footnoteReference w:customMarkFollows="1" w:id="12"/>
        <w:t>*)</w:t>
      </w:r>
      <w:bookmarkEnd w:id="38"/>
    </w:p>
    <w:p w:rsidR="00E83C22" w:rsidRPr="00904FCB" w:rsidRDefault="00E83C22" w:rsidP="007A21AA">
      <w:pPr>
        <w:spacing w:line="400" w:lineRule="exact"/>
        <w:rPr>
          <w:rtl/>
        </w:rPr>
      </w:pPr>
    </w:p>
    <w:p w:rsidR="005B6CEC" w:rsidRPr="00904FCB" w:rsidRDefault="005B6CEC" w:rsidP="007A21AA">
      <w:pPr>
        <w:pStyle w:val="31"/>
        <w:spacing w:line="400" w:lineRule="exact"/>
        <w:rPr>
          <w:color w:val="auto"/>
          <w:rtl/>
        </w:rPr>
      </w:pPr>
      <w:r w:rsidRPr="00904FCB">
        <w:rPr>
          <w:rFonts w:hint="cs"/>
          <w:color w:val="auto"/>
          <w:rtl/>
          <w:lang w:bidi="fa-IR"/>
        </w:rPr>
        <w:t xml:space="preserve">خلاصة المقالة </w:t>
      </w:r>
    </w:p>
    <w:p w:rsidR="005B6CEC" w:rsidRPr="00904FCB" w:rsidRDefault="005B6CEC" w:rsidP="009E5BCE">
      <w:pPr>
        <w:ind w:firstLine="561"/>
        <w:rPr>
          <w:rtl/>
        </w:rPr>
      </w:pPr>
      <w:r w:rsidRPr="00904FCB">
        <w:rPr>
          <w:rFonts w:hint="cs"/>
          <w:rtl/>
        </w:rPr>
        <w:t>تناولت هذه المقالة بيان مُوجِبات الإرث بصورة إجمالية (النسب والسبب)</w:t>
      </w:r>
      <w:r w:rsidR="00F20333" w:rsidRPr="00904FCB">
        <w:rPr>
          <w:rFonts w:hint="cs"/>
          <w:rtl/>
        </w:rPr>
        <w:t>.</w:t>
      </w:r>
      <w:r w:rsidRPr="00904FCB">
        <w:rPr>
          <w:rFonts w:hint="cs"/>
          <w:rtl/>
        </w:rPr>
        <w:t xml:space="preserve"> وقد ركزت على بحث القسم الثاني من السبب</w:t>
      </w:r>
      <w:r w:rsidR="00F20333" w:rsidRPr="00904FCB">
        <w:rPr>
          <w:rFonts w:hint="cs"/>
          <w:rtl/>
        </w:rPr>
        <w:t>،</w:t>
      </w:r>
      <w:r w:rsidRPr="00904FCB">
        <w:rPr>
          <w:rFonts w:hint="cs"/>
          <w:rtl/>
        </w:rPr>
        <w:t xml:space="preserve"> وهو (الولاء)</w:t>
      </w:r>
      <w:r w:rsidR="00F20333" w:rsidRPr="00904FCB">
        <w:rPr>
          <w:rFonts w:hint="cs"/>
          <w:rtl/>
        </w:rPr>
        <w:t>.</w:t>
      </w:r>
      <w:r w:rsidRPr="00904FCB">
        <w:rPr>
          <w:rFonts w:hint="cs"/>
          <w:rtl/>
        </w:rPr>
        <w:t xml:space="preserve"> وقد ادّ</w:t>
      </w:r>
      <w:r w:rsidR="00F20333" w:rsidRPr="00904FCB">
        <w:rPr>
          <w:rFonts w:hint="cs"/>
          <w:rtl/>
        </w:rPr>
        <w:t>ُ</w:t>
      </w:r>
      <w:r w:rsidRPr="00904FCB">
        <w:rPr>
          <w:rFonts w:hint="cs"/>
          <w:rtl/>
        </w:rPr>
        <w:t>عي أنّه على ستّة أنواع</w:t>
      </w:r>
      <w:r w:rsidR="00F20333" w:rsidRPr="00904FCB">
        <w:rPr>
          <w:rFonts w:hint="cs"/>
          <w:rtl/>
        </w:rPr>
        <w:t>.</w:t>
      </w:r>
      <w:r w:rsidRPr="00904FCB">
        <w:rPr>
          <w:rFonts w:hint="cs"/>
          <w:rtl/>
        </w:rPr>
        <w:t xml:space="preserve"> وتناولت المقالة دراسة كلّ نوع من أنواع الولاء</w:t>
      </w:r>
      <w:r w:rsidR="00F20333" w:rsidRPr="00904FCB">
        <w:rPr>
          <w:rFonts w:hint="cs"/>
          <w:rtl/>
        </w:rPr>
        <w:t>، ومُراجعة ما يُ</w:t>
      </w:r>
      <w:r w:rsidRPr="00904FCB">
        <w:rPr>
          <w:rFonts w:hint="cs"/>
          <w:rtl/>
        </w:rPr>
        <w:t>مكن إقامته من الأدلّة لإثبات ذلك</w:t>
      </w:r>
      <w:r w:rsidR="00F20333" w:rsidRPr="00904FCB">
        <w:rPr>
          <w:rFonts w:hint="cs"/>
          <w:rtl/>
        </w:rPr>
        <w:t>.</w:t>
      </w:r>
      <w:r w:rsidRPr="00904FCB">
        <w:rPr>
          <w:rFonts w:hint="cs"/>
          <w:rtl/>
        </w:rPr>
        <w:t xml:space="preserve"> وبعد تحليل تلك الأدلّة وتحقيقها بصورة دقيقة ومُفصّلة بيّ</w:t>
      </w:r>
      <w:r w:rsidR="00F20333" w:rsidRPr="00904FCB">
        <w:rPr>
          <w:rFonts w:hint="cs"/>
          <w:rtl/>
        </w:rPr>
        <w:t>َ</w:t>
      </w:r>
      <w:r w:rsidRPr="00904FCB">
        <w:rPr>
          <w:rFonts w:hint="cs"/>
          <w:rtl/>
        </w:rPr>
        <w:t>نا الموقف منها قبولاً أو ردّاً</w:t>
      </w:r>
      <w:r w:rsidR="00F20333" w:rsidRPr="00904FCB">
        <w:rPr>
          <w:rFonts w:hint="cs"/>
          <w:rtl/>
        </w:rPr>
        <w:t>.</w:t>
      </w:r>
      <w:r w:rsidRPr="00904FCB">
        <w:rPr>
          <w:rFonts w:hint="cs"/>
          <w:rtl/>
        </w:rPr>
        <w:t xml:space="preserve"> وقد انتهت هذه الدراسة إلى تقديم رؤية فقهية جديدة، ألا وهي عدم كون (ولاء العتق) بما هو مُوجِباً للإرث، خلافاً للرؤية المعروفة فقهياً</w:t>
      </w:r>
      <w:r w:rsidR="00F20333" w:rsidRPr="00904FCB">
        <w:rPr>
          <w:rFonts w:hint="cs"/>
          <w:rtl/>
        </w:rPr>
        <w:t>.</w:t>
      </w:r>
      <w:r w:rsidRPr="00904FCB">
        <w:rPr>
          <w:rFonts w:hint="cs"/>
          <w:rtl/>
        </w:rPr>
        <w:t xml:space="preserve"> كما حاولت تقديم رؤية تحليلية ومنظومية حول أسباب التوريث هذه. </w:t>
      </w:r>
    </w:p>
    <w:p w:rsidR="005B6CEC" w:rsidRPr="00904FCB" w:rsidRDefault="005B6CEC" w:rsidP="007A21AA">
      <w:pPr>
        <w:pStyle w:val="af5"/>
        <w:adjustRightInd w:val="0"/>
        <w:spacing w:line="400" w:lineRule="exact"/>
        <w:ind w:firstLine="567"/>
        <w:rPr>
          <w:rFonts w:cs="AL-Mohanad"/>
          <w:sz w:val="27"/>
          <w:szCs w:val="27"/>
          <w:rtl/>
          <w:lang w:bidi="ar-IQ"/>
        </w:rPr>
      </w:pPr>
    </w:p>
    <w:p w:rsidR="005B6CEC" w:rsidRPr="00904FCB" w:rsidRDefault="005B6CEC" w:rsidP="007A21AA">
      <w:pPr>
        <w:pStyle w:val="31"/>
        <w:spacing w:line="400" w:lineRule="exact"/>
        <w:rPr>
          <w:color w:val="auto"/>
          <w:rtl/>
          <w:lang w:bidi="ar-IQ"/>
        </w:rPr>
      </w:pPr>
      <w:r w:rsidRPr="00904FCB">
        <w:rPr>
          <w:rFonts w:hint="cs"/>
          <w:color w:val="auto"/>
          <w:rtl/>
          <w:lang w:bidi="ar-IQ"/>
        </w:rPr>
        <w:t xml:space="preserve">مقدّمة </w:t>
      </w:r>
    </w:p>
    <w:p w:rsidR="005B6CEC" w:rsidRPr="00904FCB" w:rsidRDefault="005B6CEC" w:rsidP="009E5BCE">
      <w:pPr>
        <w:ind w:firstLine="561"/>
        <w:rPr>
          <w:rtl/>
          <w:lang w:bidi="ar-IQ"/>
        </w:rPr>
      </w:pPr>
      <w:r w:rsidRPr="00904FCB">
        <w:rPr>
          <w:rFonts w:hint="cs"/>
          <w:rtl/>
          <w:lang w:bidi="ar-IQ"/>
        </w:rPr>
        <w:t>لا ر</w:t>
      </w:r>
      <w:r w:rsidR="00F20333" w:rsidRPr="00904FCB">
        <w:rPr>
          <w:rFonts w:hint="cs"/>
          <w:rtl/>
          <w:lang w:bidi="ar-IQ"/>
        </w:rPr>
        <w:t>َ</w:t>
      </w:r>
      <w:r w:rsidRPr="00904FCB">
        <w:rPr>
          <w:rFonts w:hint="cs"/>
          <w:rtl/>
          <w:lang w:bidi="ar-IQ"/>
        </w:rPr>
        <w:t>ي</w:t>
      </w:r>
      <w:r w:rsidR="00F20333" w:rsidRPr="00904FCB">
        <w:rPr>
          <w:rFonts w:hint="cs"/>
          <w:rtl/>
          <w:lang w:bidi="ar-IQ"/>
        </w:rPr>
        <w:t>ْ</w:t>
      </w:r>
      <w:r w:rsidRPr="00904FCB">
        <w:rPr>
          <w:rFonts w:hint="cs"/>
          <w:rtl/>
          <w:lang w:bidi="ar-IQ"/>
        </w:rPr>
        <w:t>ب</w:t>
      </w:r>
      <w:r w:rsidR="00F20333" w:rsidRPr="00904FCB">
        <w:rPr>
          <w:rFonts w:hint="cs"/>
          <w:rtl/>
          <w:lang w:bidi="ar-IQ"/>
        </w:rPr>
        <w:t>َ</w:t>
      </w:r>
      <w:r w:rsidRPr="00904FCB">
        <w:rPr>
          <w:rFonts w:hint="cs"/>
          <w:rtl/>
          <w:lang w:bidi="ar-IQ"/>
        </w:rPr>
        <w:t xml:space="preserve"> في أنّ بحث مُوجِبات الإرث من البحوث الأساسية في ثبوت التوريث، فإنّ ثبوت التوريث يبدأ أوّلاً من إحراز المُوجِبات. وقد قسّم الفقهاء هذه الموجِبات إلى قسمين: نسب</w:t>
      </w:r>
      <w:r w:rsidR="00F20333" w:rsidRPr="00904FCB">
        <w:rPr>
          <w:rFonts w:hint="cs"/>
          <w:rtl/>
          <w:lang w:bidi="ar-IQ"/>
        </w:rPr>
        <w:t>؛</w:t>
      </w:r>
      <w:r w:rsidRPr="00904FCB">
        <w:rPr>
          <w:rFonts w:hint="cs"/>
          <w:rtl/>
          <w:lang w:bidi="ar-IQ"/>
        </w:rPr>
        <w:t xml:space="preserve"> وسبب</w:t>
      </w:r>
      <w:r w:rsidR="00F20333" w:rsidRPr="00904FCB">
        <w:rPr>
          <w:rFonts w:hint="cs"/>
          <w:rtl/>
          <w:lang w:bidi="ar-IQ"/>
        </w:rPr>
        <w:t>.</w:t>
      </w:r>
      <w:r w:rsidR="009E5BCE">
        <w:rPr>
          <w:rFonts w:hint="cs"/>
          <w:rtl/>
          <w:lang w:bidi="ar-IQ"/>
        </w:rPr>
        <w:t xml:space="preserve"> والسبب بد</w:t>
      </w:r>
      <w:r w:rsidRPr="00904FCB">
        <w:rPr>
          <w:rFonts w:hint="cs"/>
          <w:rtl/>
          <w:lang w:bidi="ar-IQ"/>
        </w:rPr>
        <w:t>وره ينقسم إلى</w:t>
      </w:r>
      <w:r w:rsidR="00F20333" w:rsidRPr="00904FCB">
        <w:rPr>
          <w:rFonts w:hint="cs"/>
          <w:rtl/>
          <w:lang w:bidi="ar-IQ"/>
        </w:rPr>
        <w:t>:</w:t>
      </w:r>
      <w:r w:rsidRPr="00904FCB">
        <w:rPr>
          <w:rFonts w:hint="cs"/>
          <w:rtl/>
          <w:lang w:bidi="ar-IQ"/>
        </w:rPr>
        <w:t xml:space="preserve"> زوجية</w:t>
      </w:r>
      <w:r w:rsidR="00F20333" w:rsidRPr="00904FCB">
        <w:rPr>
          <w:rFonts w:hint="cs"/>
          <w:rtl/>
          <w:lang w:bidi="ar-IQ"/>
        </w:rPr>
        <w:t>؛</w:t>
      </w:r>
      <w:r w:rsidRPr="00904FCB">
        <w:rPr>
          <w:rFonts w:hint="cs"/>
          <w:rtl/>
          <w:lang w:bidi="ar-IQ"/>
        </w:rPr>
        <w:t xml:space="preserve"> وولاء. والولاء على أنواع، وهي إجمالاً س</w:t>
      </w:r>
      <w:r w:rsidRPr="00904FCB">
        <w:rPr>
          <w:rFonts w:hint="cs"/>
          <w:rtl/>
          <w:lang w:bidi="fa-IR"/>
        </w:rPr>
        <w:t>تّ</w:t>
      </w:r>
      <w:r w:rsidRPr="00904FCB">
        <w:rPr>
          <w:rFonts w:hint="cs"/>
          <w:rtl/>
          <w:lang w:bidi="ar-IQ"/>
        </w:rPr>
        <w:t xml:space="preserve">ة أنواع: </w:t>
      </w:r>
    </w:p>
    <w:p w:rsidR="005B6CEC" w:rsidRPr="00707BC0" w:rsidRDefault="005B6CEC" w:rsidP="007A21AA">
      <w:pPr>
        <w:spacing w:line="400" w:lineRule="exact"/>
        <w:rPr>
          <w:rtl/>
          <w:lang w:bidi="ar-IQ"/>
        </w:rPr>
      </w:pPr>
      <w:r w:rsidRPr="00707BC0">
        <w:rPr>
          <w:rFonts w:hint="cs"/>
          <w:rtl/>
          <w:lang w:bidi="ar-IQ"/>
        </w:rPr>
        <w:lastRenderedPageBreak/>
        <w:t xml:space="preserve">1ـ </w:t>
      </w:r>
      <w:r w:rsidRPr="00707BC0">
        <w:rPr>
          <w:rFonts w:hint="cs"/>
          <w:rtl/>
          <w:lang w:bidi="fa-IR"/>
        </w:rPr>
        <w:t xml:space="preserve">ولاء العتق أو العتاقة. </w:t>
      </w:r>
    </w:p>
    <w:p w:rsidR="005B6CEC" w:rsidRPr="00904FCB" w:rsidRDefault="005B6CEC" w:rsidP="009E5BCE">
      <w:pPr>
        <w:spacing w:line="400" w:lineRule="exact"/>
        <w:rPr>
          <w:rtl/>
          <w:lang w:bidi="fa-IR"/>
        </w:rPr>
      </w:pPr>
      <w:r w:rsidRPr="00707BC0">
        <w:rPr>
          <w:rFonts w:hint="cs"/>
          <w:rtl/>
          <w:lang w:bidi="ar-IQ"/>
        </w:rPr>
        <w:t>2ـ ولاء ضمان الجريرة أو الموالاة</w:t>
      </w:r>
      <w:r w:rsidR="00F20333" w:rsidRPr="00707BC0">
        <w:rPr>
          <w:rFonts w:hint="cs"/>
          <w:rtl/>
          <w:lang w:bidi="ar-IQ"/>
        </w:rPr>
        <w:t>.</w:t>
      </w:r>
      <w:r w:rsidRPr="00707BC0">
        <w:rPr>
          <w:rFonts w:hint="cs"/>
          <w:rtl/>
          <w:lang w:bidi="ar-IQ"/>
        </w:rPr>
        <w:t xml:space="preserve"> </w:t>
      </w:r>
      <w:r w:rsidR="009E5BCE" w:rsidRPr="00707BC0">
        <w:rPr>
          <w:rFonts w:hint="cs"/>
          <w:rtl/>
          <w:lang w:bidi="ar-IQ"/>
        </w:rPr>
        <w:t>و</w:t>
      </w:r>
      <w:r w:rsidRPr="00707BC0">
        <w:rPr>
          <w:rFonts w:hint="cs"/>
          <w:rtl/>
          <w:lang w:bidi="ar-IQ"/>
        </w:rPr>
        <w:t>قد ذهب إليه الإمامية</w:t>
      </w:r>
      <w:r w:rsidRPr="00707BC0">
        <w:rPr>
          <w:vertAlign w:val="superscript"/>
          <w:rtl/>
          <w:lang w:bidi="fa-IR"/>
        </w:rPr>
        <w:t>(</w:t>
      </w:r>
      <w:r w:rsidRPr="00707BC0">
        <w:rPr>
          <w:rStyle w:val="ac"/>
          <w:b/>
          <w:sz w:val="27"/>
          <w:rtl/>
          <w:lang w:bidi="fa-IR"/>
        </w:rPr>
        <w:endnoteReference w:id="348"/>
      </w:r>
      <w:r w:rsidRPr="00707BC0">
        <w:rPr>
          <w:rFonts w:hint="cs"/>
          <w:vertAlign w:val="superscript"/>
          <w:rtl/>
          <w:lang w:bidi="fa-IR"/>
        </w:rPr>
        <w:t>)</w:t>
      </w:r>
      <w:r w:rsidR="009E5BCE" w:rsidRPr="00707BC0">
        <w:rPr>
          <w:rFonts w:hint="cs"/>
          <w:rtl/>
          <w:lang w:bidi="fa-IR"/>
        </w:rPr>
        <w:t>.</w:t>
      </w:r>
      <w:r w:rsidRPr="00707BC0">
        <w:rPr>
          <w:rFonts w:hint="cs"/>
          <w:rtl/>
          <w:lang w:bidi="fa-IR"/>
        </w:rPr>
        <w:t xml:space="preserve"> </w:t>
      </w:r>
      <w:r w:rsidRPr="00707BC0">
        <w:rPr>
          <w:rtl/>
        </w:rPr>
        <w:t>وعند أبي حنيفة</w:t>
      </w:r>
      <w:r w:rsidRPr="00904FCB">
        <w:rPr>
          <w:rFonts w:hint="cs"/>
          <w:rtl/>
        </w:rPr>
        <w:t xml:space="preserve"> وأبي يوسف وزفر ومحمد</w:t>
      </w:r>
      <w:r w:rsidR="00F20333" w:rsidRPr="00904FCB">
        <w:rPr>
          <w:rFonts w:hint="cs"/>
          <w:rtl/>
        </w:rPr>
        <w:t>،</w:t>
      </w:r>
      <w:r w:rsidRPr="00904FCB">
        <w:rPr>
          <w:rtl/>
        </w:rPr>
        <w:t xml:space="preserve"> إذا أسلم رجل</w:t>
      </w:r>
      <w:r w:rsidR="00F20333" w:rsidRPr="00904FCB">
        <w:rPr>
          <w:rFonts w:hint="cs"/>
          <w:rtl/>
        </w:rPr>
        <w:t>ٌ</w:t>
      </w:r>
      <w:r w:rsidRPr="00904FCB">
        <w:rPr>
          <w:rtl/>
        </w:rPr>
        <w:t xml:space="preserve"> </w:t>
      </w:r>
      <w:r w:rsidRPr="00904FCB">
        <w:rPr>
          <w:rFonts w:hint="cs"/>
          <w:rtl/>
        </w:rPr>
        <w:t>على</w:t>
      </w:r>
      <w:r w:rsidRPr="00904FCB">
        <w:rPr>
          <w:rtl/>
        </w:rPr>
        <w:t xml:space="preserve"> يد رجل</w:t>
      </w:r>
      <w:r w:rsidR="00F20333" w:rsidRPr="00904FCB">
        <w:rPr>
          <w:rFonts w:hint="cs"/>
          <w:rtl/>
        </w:rPr>
        <w:t>ٍ،</w:t>
      </w:r>
      <w:r w:rsidRPr="00904FCB">
        <w:rPr>
          <w:rtl/>
        </w:rPr>
        <w:t xml:space="preserve"> وتعاقدا </w:t>
      </w:r>
      <w:r w:rsidRPr="00904FCB">
        <w:rPr>
          <w:rFonts w:hint="cs"/>
          <w:rtl/>
        </w:rPr>
        <w:t>على</w:t>
      </w:r>
      <w:r w:rsidRPr="00904FCB">
        <w:rPr>
          <w:rtl/>
        </w:rPr>
        <w:t xml:space="preserve"> أن يتعاقلا ويتوارثا</w:t>
      </w:r>
      <w:r w:rsidR="00F20333" w:rsidRPr="00904FCB">
        <w:rPr>
          <w:rFonts w:hint="cs"/>
          <w:rtl/>
        </w:rPr>
        <w:t>،</w:t>
      </w:r>
      <w:r w:rsidRPr="00904FCB">
        <w:rPr>
          <w:rtl/>
        </w:rPr>
        <w:t xml:space="preserve"> صح</w:t>
      </w:r>
      <w:r w:rsidRPr="00904FCB">
        <w:rPr>
          <w:rFonts w:hint="cs"/>
          <w:rtl/>
        </w:rPr>
        <w:t>ّ ونفذ وترتّ</w:t>
      </w:r>
      <w:r w:rsidR="00F20333" w:rsidRPr="00904FCB">
        <w:rPr>
          <w:rFonts w:hint="cs"/>
          <w:rtl/>
        </w:rPr>
        <w:t>َ</w:t>
      </w:r>
      <w:r w:rsidRPr="00904FCB">
        <w:rPr>
          <w:rFonts w:hint="cs"/>
          <w:rtl/>
        </w:rPr>
        <w:t>ب عليه الأثر</w:t>
      </w:r>
      <w:r w:rsidRPr="00904FCB">
        <w:rPr>
          <w:vertAlign w:val="superscript"/>
          <w:rtl/>
          <w:lang w:bidi="fa-IR"/>
        </w:rPr>
        <w:t>(</w:t>
      </w:r>
      <w:r w:rsidRPr="00904FCB">
        <w:rPr>
          <w:rStyle w:val="ac"/>
          <w:b/>
          <w:sz w:val="27"/>
          <w:rtl/>
          <w:lang w:bidi="fa-IR"/>
        </w:rPr>
        <w:endnoteReference w:id="349"/>
      </w:r>
      <w:r w:rsidRPr="00904FCB">
        <w:rPr>
          <w:rFonts w:hint="cs"/>
          <w:vertAlign w:val="superscript"/>
          <w:rtl/>
          <w:lang w:bidi="fa-IR"/>
        </w:rPr>
        <w:t>)</w:t>
      </w:r>
      <w:r w:rsidRPr="00904FCB">
        <w:rPr>
          <w:rFonts w:hint="cs"/>
          <w:position w:val="4"/>
          <w:rtl/>
        </w:rPr>
        <w:t>.</w:t>
      </w:r>
      <w:r w:rsidRPr="00904FCB">
        <w:rPr>
          <w:rFonts w:hint="cs"/>
          <w:position w:val="4"/>
          <w:vertAlign w:val="superscript"/>
          <w:rtl/>
        </w:rPr>
        <w:t xml:space="preserve"> </w:t>
      </w:r>
    </w:p>
    <w:p w:rsidR="005B6CEC" w:rsidRPr="00707BC0" w:rsidRDefault="005B6CEC" w:rsidP="007A21AA">
      <w:pPr>
        <w:spacing w:line="400" w:lineRule="exact"/>
        <w:rPr>
          <w:rtl/>
          <w:lang w:bidi="ar-IQ"/>
        </w:rPr>
      </w:pPr>
      <w:r w:rsidRPr="00707BC0">
        <w:rPr>
          <w:rFonts w:hint="cs"/>
          <w:rtl/>
          <w:lang w:bidi="ar-IQ"/>
        </w:rPr>
        <w:t xml:space="preserve">3ـ </w:t>
      </w:r>
      <w:r w:rsidRPr="00707BC0">
        <w:rPr>
          <w:rFonts w:hint="cs"/>
          <w:rtl/>
          <w:lang w:bidi="fa-IR"/>
        </w:rPr>
        <w:t>ولاء مَن</w:t>
      </w:r>
      <w:r w:rsidR="00F20333" w:rsidRPr="00707BC0">
        <w:rPr>
          <w:rFonts w:hint="cs"/>
          <w:rtl/>
          <w:lang w:bidi="fa-IR"/>
        </w:rPr>
        <w:t>ْ</w:t>
      </w:r>
      <w:r w:rsidRPr="00707BC0">
        <w:rPr>
          <w:rFonts w:hint="cs"/>
          <w:rtl/>
          <w:lang w:bidi="fa-IR"/>
        </w:rPr>
        <w:t xml:space="preserve"> أسلم على يد</w:t>
      </w:r>
      <w:r w:rsidR="00F20333" w:rsidRPr="00707BC0">
        <w:rPr>
          <w:rFonts w:hint="cs"/>
          <w:rtl/>
          <w:lang w:bidi="fa-IR"/>
        </w:rPr>
        <w:t>َ</w:t>
      </w:r>
      <w:r w:rsidRPr="00707BC0">
        <w:rPr>
          <w:rFonts w:hint="cs"/>
          <w:rtl/>
          <w:lang w:bidi="fa-IR"/>
        </w:rPr>
        <w:t>ي</w:t>
      </w:r>
      <w:r w:rsidR="00F20333" w:rsidRPr="00707BC0">
        <w:rPr>
          <w:rFonts w:hint="cs"/>
          <w:rtl/>
          <w:lang w:bidi="fa-IR"/>
        </w:rPr>
        <w:t>ْ</w:t>
      </w:r>
      <w:r w:rsidRPr="00707BC0">
        <w:rPr>
          <w:rFonts w:hint="cs"/>
          <w:rtl/>
          <w:lang w:bidi="fa-IR"/>
        </w:rPr>
        <w:t>ه كافر</w:t>
      </w:r>
      <w:r w:rsidR="00F20333" w:rsidRPr="00707BC0">
        <w:rPr>
          <w:rFonts w:hint="cs"/>
          <w:rtl/>
          <w:lang w:bidi="fa-IR"/>
        </w:rPr>
        <w:t>ٌ.</w:t>
      </w:r>
      <w:r w:rsidRPr="00707BC0">
        <w:rPr>
          <w:rFonts w:hint="cs"/>
          <w:rtl/>
          <w:lang w:bidi="fa-IR"/>
        </w:rPr>
        <w:t xml:space="preserve"> </w:t>
      </w:r>
      <w:r w:rsidR="009E5BCE" w:rsidRPr="00707BC0">
        <w:rPr>
          <w:rFonts w:hint="cs"/>
          <w:rtl/>
          <w:lang w:bidi="fa-IR"/>
        </w:rPr>
        <w:t xml:space="preserve">وقد </w:t>
      </w:r>
      <w:r w:rsidR="00F20333" w:rsidRPr="00707BC0">
        <w:rPr>
          <w:rFonts w:hint="cs"/>
          <w:rtl/>
          <w:lang w:bidi="fa-IR"/>
        </w:rPr>
        <w:t>ذهب إليه الم</w:t>
      </w:r>
      <w:r w:rsidRPr="00707BC0">
        <w:rPr>
          <w:rFonts w:hint="cs"/>
          <w:rtl/>
          <w:lang w:bidi="fa-IR"/>
        </w:rPr>
        <w:t>حقّ</w:t>
      </w:r>
      <w:r w:rsidR="00F20333" w:rsidRPr="00707BC0">
        <w:rPr>
          <w:rFonts w:hint="cs"/>
          <w:rtl/>
          <w:lang w:bidi="fa-IR"/>
        </w:rPr>
        <w:t>ِ</w:t>
      </w:r>
      <w:r w:rsidRPr="00707BC0">
        <w:rPr>
          <w:rFonts w:hint="cs"/>
          <w:rtl/>
          <w:lang w:bidi="fa-IR"/>
        </w:rPr>
        <w:t>ق الطوسي من الإمامية</w:t>
      </w:r>
      <w:r w:rsidRPr="00707BC0">
        <w:rPr>
          <w:vertAlign w:val="superscript"/>
          <w:rtl/>
          <w:lang w:bidi="fa-IR"/>
        </w:rPr>
        <w:t>(</w:t>
      </w:r>
      <w:r w:rsidRPr="00707BC0">
        <w:rPr>
          <w:rStyle w:val="ac"/>
          <w:b/>
          <w:bCs/>
          <w:sz w:val="27"/>
          <w:rtl/>
          <w:lang w:bidi="fa-IR"/>
        </w:rPr>
        <w:endnoteReference w:id="350"/>
      </w:r>
      <w:r w:rsidRPr="00707BC0">
        <w:rPr>
          <w:rFonts w:hint="cs"/>
          <w:vertAlign w:val="superscript"/>
          <w:rtl/>
          <w:lang w:bidi="fa-IR"/>
        </w:rPr>
        <w:t>)</w:t>
      </w:r>
      <w:r w:rsidRPr="00707BC0">
        <w:rPr>
          <w:rFonts w:hint="cs"/>
          <w:rtl/>
          <w:lang w:bidi="fa-IR"/>
        </w:rPr>
        <w:t>.</w:t>
      </w:r>
      <w:r w:rsidRPr="00707BC0">
        <w:rPr>
          <w:rFonts w:hint="cs"/>
          <w:vertAlign w:val="superscript"/>
          <w:rtl/>
          <w:lang w:bidi="fa-IR"/>
        </w:rPr>
        <w:t xml:space="preserve"> </w:t>
      </w:r>
    </w:p>
    <w:p w:rsidR="005B6CEC" w:rsidRPr="00904FCB" w:rsidRDefault="005B6CEC" w:rsidP="009E5BCE">
      <w:pPr>
        <w:spacing w:line="400" w:lineRule="exact"/>
        <w:rPr>
          <w:rtl/>
          <w:lang w:bidi="fa-IR"/>
        </w:rPr>
      </w:pPr>
      <w:r w:rsidRPr="00707BC0">
        <w:rPr>
          <w:rFonts w:hint="cs"/>
          <w:rtl/>
          <w:lang w:bidi="ar-IQ"/>
        </w:rPr>
        <w:t xml:space="preserve">4ـ ولاء </w:t>
      </w:r>
      <w:r w:rsidRPr="00707BC0">
        <w:rPr>
          <w:rFonts w:hint="cs"/>
          <w:rtl/>
          <w:lang w:bidi="fa-IR"/>
        </w:rPr>
        <w:t>مُستحقّ الزكاة ـ من الفقراء والمساكين وغيرهم ـ على العبد المُش</w:t>
      </w:r>
      <w:r w:rsidR="00F20333" w:rsidRPr="00707BC0">
        <w:rPr>
          <w:rFonts w:hint="cs"/>
          <w:rtl/>
          <w:lang w:bidi="fa-IR"/>
        </w:rPr>
        <w:t>ْترى</w:t>
      </w:r>
      <w:r w:rsidRPr="00904FCB">
        <w:rPr>
          <w:rFonts w:hint="cs"/>
          <w:rtl/>
          <w:lang w:bidi="fa-IR"/>
        </w:rPr>
        <w:t xml:space="preserve"> من مال الزكاة</w:t>
      </w:r>
      <w:r w:rsidR="00F20333" w:rsidRPr="00904FCB">
        <w:rPr>
          <w:rFonts w:hint="cs"/>
          <w:rtl/>
          <w:lang w:bidi="fa-IR"/>
        </w:rPr>
        <w:t>.</w:t>
      </w:r>
      <w:r w:rsidRPr="00904FCB">
        <w:rPr>
          <w:rFonts w:hint="cs"/>
          <w:rtl/>
          <w:lang w:bidi="fa-IR"/>
        </w:rPr>
        <w:t xml:space="preserve"> اختاره بعض الإمامية</w:t>
      </w:r>
      <w:r w:rsidRPr="00904FCB">
        <w:rPr>
          <w:vertAlign w:val="superscript"/>
          <w:rtl/>
          <w:lang w:bidi="fa-IR"/>
        </w:rPr>
        <w:t>(</w:t>
      </w:r>
      <w:r w:rsidRPr="00904FCB">
        <w:rPr>
          <w:rStyle w:val="ac"/>
          <w:b/>
          <w:bCs/>
          <w:sz w:val="27"/>
          <w:rtl/>
          <w:lang w:bidi="fa-IR"/>
        </w:rPr>
        <w:endnoteReference w:id="351"/>
      </w:r>
      <w:r w:rsidRPr="00904FCB">
        <w:rPr>
          <w:rFonts w:hint="cs"/>
          <w:vertAlign w:val="superscript"/>
          <w:rtl/>
          <w:lang w:bidi="fa-IR"/>
        </w:rPr>
        <w:t>)</w:t>
      </w:r>
      <w:r w:rsidRPr="00904FCB">
        <w:rPr>
          <w:rFonts w:hint="cs"/>
          <w:rtl/>
          <w:lang w:bidi="fa-IR"/>
        </w:rPr>
        <w:t>.</w:t>
      </w:r>
      <w:r w:rsidRPr="00904FCB">
        <w:rPr>
          <w:rFonts w:hint="cs"/>
          <w:vertAlign w:val="superscript"/>
          <w:rtl/>
          <w:lang w:bidi="fa-IR"/>
        </w:rPr>
        <w:t xml:space="preserve"> </w:t>
      </w:r>
      <w:r w:rsidRPr="00904FCB">
        <w:rPr>
          <w:rFonts w:hint="cs"/>
          <w:rtl/>
          <w:lang w:bidi="ar-IQ"/>
        </w:rPr>
        <w:t>و</w:t>
      </w:r>
      <w:r w:rsidRPr="00904FCB">
        <w:rPr>
          <w:rFonts w:hint="cs"/>
          <w:rtl/>
          <w:lang w:bidi="fa-IR"/>
        </w:rPr>
        <w:t>الظاهر تفرّ</w:t>
      </w:r>
      <w:r w:rsidR="00F20333" w:rsidRPr="00904FCB">
        <w:rPr>
          <w:rFonts w:hint="cs"/>
          <w:rtl/>
          <w:lang w:bidi="fa-IR"/>
        </w:rPr>
        <w:t>ُ</w:t>
      </w:r>
      <w:r w:rsidRPr="00904FCB">
        <w:rPr>
          <w:rFonts w:hint="cs"/>
          <w:rtl/>
          <w:lang w:bidi="fa-IR"/>
        </w:rPr>
        <w:t>د</w:t>
      </w:r>
      <w:r w:rsidRPr="00904FCB">
        <w:rPr>
          <w:lang w:bidi="fa-IR"/>
        </w:rPr>
        <w:t xml:space="preserve"> </w:t>
      </w:r>
      <w:r w:rsidR="00F20333" w:rsidRPr="00904FCB">
        <w:rPr>
          <w:rFonts w:hint="cs"/>
          <w:rtl/>
          <w:lang w:bidi="fa-IR"/>
        </w:rPr>
        <w:t>الم</w:t>
      </w:r>
      <w:r w:rsidRPr="00904FCB">
        <w:rPr>
          <w:rFonts w:hint="cs"/>
          <w:rtl/>
          <w:lang w:bidi="fa-IR"/>
        </w:rPr>
        <w:t>حقّ</w:t>
      </w:r>
      <w:r w:rsidR="00F20333" w:rsidRPr="00904FCB">
        <w:rPr>
          <w:rFonts w:hint="cs"/>
          <w:rtl/>
          <w:lang w:bidi="fa-IR"/>
        </w:rPr>
        <w:t>ِ</w:t>
      </w:r>
      <w:r w:rsidRPr="00904FCB">
        <w:rPr>
          <w:rFonts w:hint="cs"/>
          <w:rtl/>
          <w:lang w:bidi="fa-IR"/>
        </w:rPr>
        <w:t>ق الطوسي بهذين السببين: الثا</w:t>
      </w:r>
      <w:r w:rsidR="009E5BCE">
        <w:rPr>
          <w:rFonts w:hint="cs"/>
          <w:rtl/>
          <w:lang w:bidi="fa-IR"/>
        </w:rPr>
        <w:t>لث</w:t>
      </w:r>
      <w:r w:rsidR="00F20333" w:rsidRPr="00904FCB">
        <w:rPr>
          <w:rFonts w:hint="cs"/>
          <w:rtl/>
          <w:lang w:bidi="fa-IR"/>
        </w:rPr>
        <w:t>؛</w:t>
      </w:r>
      <w:r w:rsidRPr="00904FCB">
        <w:rPr>
          <w:rFonts w:hint="cs"/>
          <w:rtl/>
          <w:lang w:bidi="fa-IR"/>
        </w:rPr>
        <w:t xml:space="preserve"> وال</w:t>
      </w:r>
      <w:r w:rsidR="009E5BCE">
        <w:rPr>
          <w:rFonts w:hint="cs"/>
          <w:rtl/>
          <w:lang w:bidi="fa-IR"/>
        </w:rPr>
        <w:t>رابع</w:t>
      </w:r>
      <w:r w:rsidRPr="00904FCB">
        <w:rPr>
          <w:rFonts w:hint="cs"/>
          <w:rtl/>
          <w:lang w:bidi="fa-IR"/>
        </w:rPr>
        <w:t xml:space="preserve">. </w:t>
      </w:r>
    </w:p>
    <w:p w:rsidR="005B6CEC" w:rsidRPr="00707BC0" w:rsidRDefault="005B6CEC" w:rsidP="007A21AA">
      <w:pPr>
        <w:spacing w:line="400" w:lineRule="exact"/>
        <w:rPr>
          <w:rtl/>
          <w:lang w:bidi="fa-IR"/>
        </w:rPr>
      </w:pPr>
      <w:r w:rsidRPr="00707BC0">
        <w:rPr>
          <w:rFonts w:hint="cs"/>
          <w:rtl/>
          <w:lang w:bidi="ar-IQ"/>
        </w:rPr>
        <w:t xml:space="preserve">5ـ </w:t>
      </w:r>
      <w:r w:rsidRPr="00707BC0">
        <w:rPr>
          <w:rFonts w:hint="cs"/>
          <w:rtl/>
          <w:lang w:bidi="fa-IR"/>
        </w:rPr>
        <w:t>ولاء الإمامة</w:t>
      </w:r>
      <w:r w:rsidR="00F20333" w:rsidRPr="00707BC0">
        <w:rPr>
          <w:rFonts w:hint="cs"/>
          <w:rtl/>
          <w:lang w:bidi="fa-IR"/>
        </w:rPr>
        <w:t>.</w:t>
      </w:r>
      <w:r w:rsidRPr="00707BC0">
        <w:rPr>
          <w:rFonts w:hint="cs"/>
          <w:rtl/>
          <w:lang w:bidi="fa-IR"/>
        </w:rPr>
        <w:t xml:space="preserve"> وهذا من مختصّات الإمامية</w:t>
      </w:r>
      <w:r w:rsidRPr="00707BC0">
        <w:rPr>
          <w:vertAlign w:val="superscript"/>
          <w:rtl/>
          <w:lang w:bidi="fa-IR"/>
        </w:rPr>
        <w:t>(</w:t>
      </w:r>
      <w:r w:rsidRPr="00707BC0">
        <w:rPr>
          <w:vertAlign w:val="superscript"/>
          <w:rtl/>
          <w:lang w:bidi="fa-IR"/>
        </w:rPr>
        <w:endnoteReference w:id="352"/>
      </w:r>
      <w:r w:rsidRPr="00707BC0">
        <w:rPr>
          <w:rFonts w:hint="cs"/>
          <w:vertAlign w:val="superscript"/>
          <w:rtl/>
          <w:lang w:bidi="fa-IR"/>
        </w:rPr>
        <w:t>)</w:t>
      </w:r>
      <w:r w:rsidRPr="00707BC0">
        <w:rPr>
          <w:rFonts w:hint="cs"/>
          <w:rtl/>
          <w:lang w:bidi="fa-IR"/>
        </w:rPr>
        <w:t>.</w:t>
      </w:r>
      <w:r w:rsidRPr="00707BC0">
        <w:rPr>
          <w:rFonts w:hint="cs"/>
          <w:vertAlign w:val="superscript"/>
          <w:rtl/>
          <w:lang w:bidi="fa-IR"/>
        </w:rPr>
        <w:t xml:space="preserve"> </w:t>
      </w:r>
    </w:p>
    <w:p w:rsidR="005B6CEC" w:rsidRPr="00904FCB" w:rsidRDefault="005B6CEC" w:rsidP="009E5BCE">
      <w:pPr>
        <w:spacing w:line="400" w:lineRule="exact"/>
        <w:rPr>
          <w:rtl/>
          <w:lang w:bidi="fa-IR"/>
        </w:rPr>
      </w:pPr>
      <w:r w:rsidRPr="00707BC0">
        <w:rPr>
          <w:rFonts w:hint="cs"/>
          <w:rtl/>
          <w:lang w:bidi="ar-IQ"/>
        </w:rPr>
        <w:t xml:space="preserve">6ـ </w:t>
      </w:r>
      <w:r w:rsidRPr="00707BC0">
        <w:rPr>
          <w:rFonts w:hint="cs"/>
          <w:rtl/>
          <w:lang w:bidi="fa-IR"/>
        </w:rPr>
        <w:t>جهة الإسلام</w:t>
      </w:r>
      <w:r w:rsidR="00F20333" w:rsidRPr="00707BC0">
        <w:rPr>
          <w:rFonts w:hint="cs"/>
          <w:rtl/>
          <w:lang w:bidi="fa-IR"/>
        </w:rPr>
        <w:t>.</w:t>
      </w:r>
      <w:r w:rsidRPr="00707BC0">
        <w:rPr>
          <w:rFonts w:hint="cs"/>
          <w:rtl/>
          <w:lang w:bidi="fa-IR"/>
        </w:rPr>
        <w:t xml:space="preserve"> فم</w:t>
      </w:r>
      <w:r w:rsidR="00F20333" w:rsidRPr="00707BC0">
        <w:rPr>
          <w:rFonts w:hint="cs"/>
          <w:rtl/>
          <w:lang w:bidi="fa-IR"/>
        </w:rPr>
        <w:t>َ</w:t>
      </w:r>
      <w:r w:rsidRPr="00707BC0">
        <w:rPr>
          <w:rFonts w:hint="cs"/>
          <w:rtl/>
          <w:lang w:bidi="fa-IR"/>
        </w:rPr>
        <w:t>ن</w:t>
      </w:r>
      <w:r w:rsidR="00F20333" w:rsidRPr="00707BC0">
        <w:rPr>
          <w:rFonts w:hint="cs"/>
          <w:rtl/>
          <w:lang w:bidi="fa-IR"/>
        </w:rPr>
        <w:t>ْ</w:t>
      </w:r>
      <w:r w:rsidRPr="00707BC0">
        <w:rPr>
          <w:rFonts w:hint="cs"/>
          <w:rtl/>
          <w:lang w:bidi="fa-IR"/>
        </w:rPr>
        <w:t xml:space="preserve"> مات من المسلمين ولم يترك وارثاً من الأصناف المتّ</w:t>
      </w:r>
      <w:r w:rsidR="00F20333" w:rsidRPr="00707BC0">
        <w:rPr>
          <w:rFonts w:hint="cs"/>
          <w:rtl/>
          <w:lang w:bidi="fa-IR"/>
        </w:rPr>
        <w:t>َ</w:t>
      </w:r>
      <w:r w:rsidRPr="00707BC0">
        <w:rPr>
          <w:rFonts w:hint="cs"/>
          <w:rtl/>
          <w:lang w:bidi="fa-IR"/>
        </w:rPr>
        <w:t>فق</w:t>
      </w:r>
      <w:r w:rsidRPr="00904FCB">
        <w:rPr>
          <w:rFonts w:hint="cs"/>
          <w:rtl/>
          <w:lang w:bidi="fa-IR"/>
        </w:rPr>
        <w:t xml:space="preserve"> عليها</w:t>
      </w:r>
      <w:r w:rsidR="00F20333" w:rsidRPr="00904FCB">
        <w:rPr>
          <w:rFonts w:hint="cs"/>
          <w:rtl/>
          <w:lang w:bidi="fa-IR"/>
        </w:rPr>
        <w:t>،</w:t>
      </w:r>
      <w:r w:rsidRPr="00904FCB">
        <w:rPr>
          <w:rFonts w:hint="cs"/>
          <w:rtl/>
          <w:lang w:bidi="fa-IR"/>
        </w:rPr>
        <w:t xml:space="preserve"> فمال</w:t>
      </w:r>
      <w:r w:rsidR="00F20333" w:rsidRPr="00904FCB">
        <w:rPr>
          <w:rFonts w:hint="cs"/>
          <w:rtl/>
          <w:lang w:bidi="fa-IR"/>
        </w:rPr>
        <w:t>ُ</w:t>
      </w:r>
      <w:r w:rsidRPr="00904FCB">
        <w:rPr>
          <w:rFonts w:hint="cs"/>
          <w:rtl/>
          <w:lang w:bidi="fa-IR"/>
        </w:rPr>
        <w:t>ه لبيت المال، يرثه المسلمون بالعصوبة</w:t>
      </w:r>
      <w:r w:rsidRPr="00904FCB">
        <w:rPr>
          <w:vertAlign w:val="superscript"/>
          <w:rtl/>
          <w:lang w:bidi="fa-IR"/>
        </w:rPr>
        <w:t>(</w:t>
      </w:r>
      <w:r w:rsidRPr="00904FCB">
        <w:rPr>
          <w:vertAlign w:val="superscript"/>
          <w:rtl/>
          <w:lang w:bidi="fa-IR"/>
        </w:rPr>
        <w:endnoteReference w:id="353"/>
      </w:r>
      <w:r w:rsidRPr="00904FCB">
        <w:rPr>
          <w:rFonts w:hint="cs"/>
          <w:vertAlign w:val="superscript"/>
          <w:rtl/>
          <w:lang w:bidi="fa-IR"/>
        </w:rPr>
        <w:t>)</w:t>
      </w:r>
      <w:r w:rsidR="009E5BCE" w:rsidRPr="009E5BCE">
        <w:rPr>
          <w:rFonts w:hint="cs"/>
          <w:rtl/>
          <w:lang w:bidi="fa-IR"/>
        </w:rPr>
        <w:t>.</w:t>
      </w:r>
      <w:r w:rsidRPr="009E5BCE">
        <w:rPr>
          <w:rFonts w:hint="cs"/>
          <w:rtl/>
          <w:lang w:bidi="fa-IR"/>
        </w:rPr>
        <w:t xml:space="preserve"> </w:t>
      </w:r>
      <w:r w:rsidRPr="00904FCB">
        <w:rPr>
          <w:rFonts w:hint="cs"/>
          <w:rtl/>
          <w:lang w:bidi="fa-IR"/>
        </w:rPr>
        <w:t>ولم يق</w:t>
      </w:r>
      <w:r w:rsidR="00F20333" w:rsidRPr="00904FCB">
        <w:rPr>
          <w:rFonts w:hint="cs"/>
          <w:rtl/>
          <w:lang w:bidi="fa-IR"/>
        </w:rPr>
        <w:t>ُ</w:t>
      </w:r>
      <w:r w:rsidRPr="00904FCB">
        <w:rPr>
          <w:rFonts w:hint="cs"/>
          <w:rtl/>
          <w:lang w:bidi="fa-IR"/>
        </w:rPr>
        <w:t>ل</w:t>
      </w:r>
      <w:r w:rsidR="00F20333" w:rsidRPr="00904FCB">
        <w:rPr>
          <w:rFonts w:hint="cs"/>
          <w:rtl/>
          <w:lang w:bidi="fa-IR"/>
        </w:rPr>
        <w:t>ْ</w:t>
      </w:r>
      <w:r w:rsidRPr="00904FCB">
        <w:rPr>
          <w:rFonts w:hint="cs"/>
          <w:rtl/>
          <w:lang w:bidi="fa-IR"/>
        </w:rPr>
        <w:t xml:space="preserve"> به الإمامية. </w:t>
      </w:r>
    </w:p>
    <w:p w:rsidR="005B6CEC" w:rsidRPr="00904FCB" w:rsidRDefault="00C94B35" w:rsidP="009E5BCE">
      <w:pPr>
        <w:spacing w:line="400" w:lineRule="exact"/>
        <w:rPr>
          <w:rtl/>
        </w:rPr>
      </w:pPr>
      <w:r w:rsidRPr="00904FCB">
        <w:rPr>
          <w:rFonts w:hint="cs"/>
          <w:rtl/>
          <w:lang w:bidi="ar-IQ"/>
        </w:rPr>
        <w:t>وقد قمنا بم</w:t>
      </w:r>
      <w:r w:rsidR="005B6CEC" w:rsidRPr="00904FCB">
        <w:rPr>
          <w:rFonts w:hint="cs"/>
          <w:rtl/>
          <w:lang w:bidi="ar-IQ"/>
        </w:rPr>
        <w:t xml:space="preserve">راجعة جادّة </w:t>
      </w:r>
      <w:r w:rsidRPr="00904FCB">
        <w:rPr>
          <w:rFonts w:hint="cs"/>
          <w:rtl/>
          <w:lang w:bidi="ar-IQ"/>
        </w:rPr>
        <w:t>للأدلّة وم</w:t>
      </w:r>
      <w:r w:rsidR="005B6CEC" w:rsidRPr="00904FCB">
        <w:rPr>
          <w:rFonts w:hint="cs"/>
          <w:rtl/>
          <w:lang w:bidi="ar-IQ"/>
        </w:rPr>
        <w:t>حاكمتها بموضوعية</w:t>
      </w:r>
      <w:r w:rsidRPr="00904FCB">
        <w:rPr>
          <w:rFonts w:hint="cs"/>
          <w:rtl/>
          <w:lang w:bidi="ar-IQ"/>
        </w:rPr>
        <w:t>،</w:t>
      </w:r>
      <w:r w:rsidR="005B6CEC" w:rsidRPr="00904FCB">
        <w:rPr>
          <w:rFonts w:hint="cs"/>
          <w:rtl/>
          <w:lang w:bidi="ar-IQ"/>
        </w:rPr>
        <w:t xml:space="preserve"> وبذهنية بعيدة عن التقليد</w:t>
      </w:r>
      <w:r w:rsidR="009E5BCE">
        <w:rPr>
          <w:rFonts w:hint="cs"/>
          <w:rtl/>
          <w:lang w:bidi="ar-IQ"/>
        </w:rPr>
        <w:t>.</w:t>
      </w:r>
      <w:r w:rsidR="005B6CEC" w:rsidRPr="00904FCB">
        <w:rPr>
          <w:rFonts w:hint="cs"/>
          <w:rtl/>
          <w:lang w:bidi="ar-IQ"/>
        </w:rPr>
        <w:t xml:space="preserve"> وقد تمخّ</w:t>
      </w:r>
      <w:r w:rsidRPr="00904FCB">
        <w:rPr>
          <w:rFonts w:hint="cs"/>
          <w:rtl/>
          <w:lang w:bidi="ar-IQ"/>
        </w:rPr>
        <w:t>َ</w:t>
      </w:r>
      <w:r w:rsidR="005B6CEC" w:rsidRPr="00904FCB">
        <w:rPr>
          <w:rFonts w:hint="cs"/>
          <w:rtl/>
          <w:lang w:bidi="ar-IQ"/>
        </w:rPr>
        <w:t>ض البحث عن ثبوت بعض هذه الموجِبات</w:t>
      </w:r>
      <w:r w:rsidRPr="00904FCB">
        <w:rPr>
          <w:rFonts w:hint="cs"/>
          <w:rtl/>
          <w:lang w:bidi="ar-IQ"/>
        </w:rPr>
        <w:t>،</w:t>
      </w:r>
      <w:r w:rsidR="005B6CEC" w:rsidRPr="00904FCB">
        <w:rPr>
          <w:rFonts w:hint="cs"/>
          <w:rtl/>
          <w:lang w:bidi="ar-IQ"/>
        </w:rPr>
        <w:t xml:space="preserve"> كالثاني والخامس، وعدم ثبوت بعضها الآخر</w:t>
      </w:r>
      <w:r w:rsidRPr="00904FCB">
        <w:rPr>
          <w:rFonts w:hint="cs"/>
          <w:rtl/>
          <w:lang w:bidi="ar-IQ"/>
        </w:rPr>
        <w:t>،</w:t>
      </w:r>
      <w:r w:rsidR="005B6CEC" w:rsidRPr="00904FCB">
        <w:rPr>
          <w:rFonts w:hint="cs"/>
          <w:rtl/>
          <w:lang w:bidi="ar-IQ"/>
        </w:rPr>
        <w:t xml:space="preserve"> كالثالث والرابع والسادس</w:t>
      </w:r>
      <w:r w:rsidRPr="00904FCB">
        <w:rPr>
          <w:rFonts w:hint="cs"/>
          <w:rtl/>
          <w:lang w:bidi="ar-IQ"/>
        </w:rPr>
        <w:t>.</w:t>
      </w:r>
      <w:r w:rsidR="005B6CEC" w:rsidRPr="00904FCB">
        <w:rPr>
          <w:rFonts w:hint="cs"/>
          <w:rtl/>
          <w:lang w:bidi="ar-IQ"/>
        </w:rPr>
        <w:t xml:space="preserve"> وأمّا الأوّل ـ وهو ولاء العتق ـ فقد اتّ</w:t>
      </w:r>
      <w:r w:rsidRPr="00904FCB">
        <w:rPr>
          <w:rFonts w:hint="cs"/>
          <w:rtl/>
          <w:lang w:bidi="ar-IQ"/>
        </w:rPr>
        <w:t>َ</w:t>
      </w:r>
      <w:r w:rsidR="005B6CEC" w:rsidRPr="00904FCB">
        <w:rPr>
          <w:rFonts w:hint="cs"/>
          <w:rtl/>
          <w:lang w:bidi="ar-IQ"/>
        </w:rPr>
        <w:t xml:space="preserve">ضح أنّه ليس في عرض تلك المُوجِبات، </w:t>
      </w:r>
      <w:r w:rsidRPr="00904FCB">
        <w:rPr>
          <w:rFonts w:hint="cs"/>
          <w:rtl/>
          <w:lang w:bidi="ar-IQ"/>
        </w:rPr>
        <w:t>بل هو م</w:t>
      </w:r>
      <w:r w:rsidR="005B6CEC" w:rsidRPr="00904FCB">
        <w:rPr>
          <w:rFonts w:hint="cs"/>
          <w:rtl/>
          <w:lang w:bidi="ar-IQ"/>
        </w:rPr>
        <w:t>ندرج تحت عنوان</w:t>
      </w:r>
      <w:r w:rsidRPr="00904FCB">
        <w:rPr>
          <w:rFonts w:hint="cs"/>
          <w:rtl/>
          <w:lang w:bidi="ar-IQ"/>
        </w:rPr>
        <w:t>ٍ</w:t>
      </w:r>
      <w:r w:rsidR="005B6CEC" w:rsidRPr="00904FCB">
        <w:rPr>
          <w:rFonts w:hint="cs"/>
          <w:rtl/>
          <w:lang w:bidi="ar-IQ"/>
        </w:rPr>
        <w:t xml:space="preserve"> آخر، ألا وهو (ولاء ضمان الجريرة). </w:t>
      </w:r>
    </w:p>
    <w:p w:rsidR="005B6CEC" w:rsidRPr="00904FCB" w:rsidRDefault="00C94B35" w:rsidP="007A21AA">
      <w:pPr>
        <w:spacing w:line="400" w:lineRule="exact"/>
        <w:rPr>
          <w:rtl/>
        </w:rPr>
      </w:pPr>
      <w:r w:rsidRPr="00904FCB">
        <w:rPr>
          <w:rFonts w:hint="cs"/>
          <w:rtl/>
        </w:rPr>
        <w:t>ولا يخفى</w:t>
      </w:r>
      <w:r w:rsidR="005B6CEC" w:rsidRPr="00904FCB">
        <w:rPr>
          <w:rFonts w:hint="cs"/>
          <w:rtl/>
        </w:rPr>
        <w:t xml:space="preserve"> أنّه يترتّب على أكثر مفاصل هذا البحث ثمرات نظرية بحتة من عدّة حيثيات،</w:t>
      </w:r>
      <w:r w:rsidRPr="00904FCB">
        <w:rPr>
          <w:rFonts w:hint="cs"/>
          <w:rtl/>
        </w:rPr>
        <w:t xml:space="preserve"> </w:t>
      </w:r>
      <w:r w:rsidR="005B6CEC" w:rsidRPr="00904FCB">
        <w:rPr>
          <w:rFonts w:hint="cs"/>
          <w:rtl/>
        </w:rPr>
        <w:t>من قبيل: النكات الاستدلالية، النكات المنهجية</w:t>
      </w:r>
      <w:r w:rsidRPr="00904FCB">
        <w:rPr>
          <w:rFonts w:hint="cs"/>
          <w:rtl/>
        </w:rPr>
        <w:t>،</w:t>
      </w:r>
      <w:r w:rsidR="005B6CEC" w:rsidRPr="00904FCB">
        <w:rPr>
          <w:rFonts w:hint="cs"/>
          <w:rtl/>
        </w:rPr>
        <w:t xml:space="preserve"> نظير</w:t>
      </w:r>
      <w:r w:rsidRPr="00904FCB">
        <w:rPr>
          <w:rFonts w:hint="cs"/>
          <w:rtl/>
        </w:rPr>
        <w:t>:</w:t>
      </w:r>
      <w:r w:rsidR="005B6CEC" w:rsidRPr="00904FCB">
        <w:rPr>
          <w:rFonts w:hint="cs"/>
          <w:rtl/>
        </w:rPr>
        <w:t xml:space="preserve"> تفعيل الدليل القرآني، حيثيات إفتائية</w:t>
      </w:r>
      <w:r w:rsidRPr="00904FCB">
        <w:rPr>
          <w:rFonts w:hint="cs"/>
          <w:rtl/>
        </w:rPr>
        <w:t>،</w:t>
      </w:r>
      <w:r w:rsidR="005B6CEC" w:rsidRPr="00904FCB">
        <w:rPr>
          <w:rFonts w:hint="cs"/>
          <w:rtl/>
        </w:rPr>
        <w:t xml:space="preserve"> كردّ أدلّة (ولاء العتق) وكونه مُوجِباً للتوريث</w:t>
      </w:r>
      <w:r w:rsidRPr="00904FCB">
        <w:rPr>
          <w:rFonts w:hint="cs"/>
          <w:rtl/>
        </w:rPr>
        <w:t>،</w:t>
      </w:r>
      <w:r w:rsidR="005B6CEC" w:rsidRPr="00904FCB">
        <w:rPr>
          <w:rFonts w:hint="cs"/>
          <w:rtl/>
        </w:rPr>
        <w:t xml:space="preserve"> خلافاً للموقف الفقهي المعروف. </w:t>
      </w:r>
    </w:p>
    <w:p w:rsidR="005B6CEC" w:rsidRPr="00904FCB" w:rsidRDefault="005B6CEC" w:rsidP="007A21AA">
      <w:pPr>
        <w:spacing w:line="400" w:lineRule="exact"/>
        <w:rPr>
          <w:rtl/>
        </w:rPr>
      </w:pPr>
      <w:r w:rsidRPr="00904FCB">
        <w:rPr>
          <w:rFonts w:hint="cs"/>
          <w:rtl/>
        </w:rPr>
        <w:t xml:space="preserve">وقد عقدنا البحث في عدّة جهات: </w:t>
      </w:r>
    </w:p>
    <w:p w:rsidR="005B6CEC" w:rsidRPr="00904FCB" w:rsidRDefault="005B6CEC" w:rsidP="007A21AA">
      <w:pPr>
        <w:spacing w:line="400" w:lineRule="exact"/>
        <w:rPr>
          <w:rtl/>
        </w:rPr>
      </w:pPr>
      <w:r w:rsidRPr="00904FCB">
        <w:rPr>
          <w:rFonts w:hint="cs"/>
          <w:b/>
          <w:bCs/>
          <w:rtl/>
        </w:rPr>
        <w:t>الأولى</w:t>
      </w:r>
      <w:r w:rsidRPr="00904FCB">
        <w:rPr>
          <w:rFonts w:hint="cs"/>
          <w:rtl/>
        </w:rPr>
        <w:t xml:space="preserve">: في بيان النوع الأوّل من أنواع الولاء. </w:t>
      </w:r>
    </w:p>
    <w:p w:rsidR="005B6CEC" w:rsidRPr="00904FCB" w:rsidRDefault="005B6CEC" w:rsidP="007A21AA">
      <w:pPr>
        <w:spacing w:line="400" w:lineRule="exact"/>
        <w:rPr>
          <w:rtl/>
        </w:rPr>
      </w:pPr>
      <w:r w:rsidRPr="00904FCB">
        <w:rPr>
          <w:rFonts w:hint="cs"/>
          <w:b/>
          <w:bCs/>
          <w:rtl/>
        </w:rPr>
        <w:t>الثانية</w:t>
      </w:r>
      <w:r w:rsidRPr="00904FCB">
        <w:rPr>
          <w:rFonts w:hint="cs"/>
          <w:rtl/>
        </w:rPr>
        <w:t xml:space="preserve">: في بيان النوع الثاني. </w:t>
      </w:r>
    </w:p>
    <w:p w:rsidR="005B6CEC" w:rsidRPr="00904FCB" w:rsidRDefault="005B6CEC" w:rsidP="007A21AA">
      <w:pPr>
        <w:spacing w:line="400" w:lineRule="exact"/>
        <w:rPr>
          <w:rtl/>
        </w:rPr>
      </w:pPr>
      <w:r w:rsidRPr="00904FCB">
        <w:rPr>
          <w:rFonts w:hint="cs"/>
          <w:b/>
          <w:bCs/>
          <w:rtl/>
        </w:rPr>
        <w:t>الثالثة</w:t>
      </w:r>
      <w:r w:rsidRPr="00904FCB">
        <w:rPr>
          <w:rFonts w:hint="cs"/>
          <w:rtl/>
        </w:rPr>
        <w:t xml:space="preserve">: في بيان النوع الثالث. </w:t>
      </w:r>
    </w:p>
    <w:p w:rsidR="005B6CEC" w:rsidRPr="00904FCB" w:rsidRDefault="005B6CEC" w:rsidP="007A21AA">
      <w:pPr>
        <w:spacing w:line="400" w:lineRule="exact"/>
        <w:rPr>
          <w:rtl/>
        </w:rPr>
      </w:pPr>
      <w:r w:rsidRPr="00904FCB">
        <w:rPr>
          <w:rFonts w:hint="cs"/>
          <w:b/>
          <w:bCs/>
          <w:rtl/>
        </w:rPr>
        <w:t>الرابعة</w:t>
      </w:r>
      <w:r w:rsidRPr="00904FCB">
        <w:rPr>
          <w:rFonts w:hint="cs"/>
          <w:rtl/>
        </w:rPr>
        <w:t xml:space="preserve">: في بيان النوع الرابع. </w:t>
      </w:r>
    </w:p>
    <w:p w:rsidR="005B6CEC" w:rsidRPr="00904FCB" w:rsidRDefault="005B6CEC" w:rsidP="007A21AA">
      <w:pPr>
        <w:spacing w:line="400" w:lineRule="exact"/>
        <w:rPr>
          <w:rtl/>
        </w:rPr>
      </w:pPr>
      <w:r w:rsidRPr="00904FCB">
        <w:rPr>
          <w:rFonts w:hint="cs"/>
          <w:b/>
          <w:bCs/>
          <w:rtl/>
        </w:rPr>
        <w:t>الخامسة</w:t>
      </w:r>
      <w:r w:rsidRPr="00904FCB">
        <w:rPr>
          <w:rFonts w:hint="cs"/>
          <w:rtl/>
        </w:rPr>
        <w:t xml:space="preserve">: في بيان النوع الخامس. </w:t>
      </w:r>
    </w:p>
    <w:p w:rsidR="005B6CEC" w:rsidRPr="00904FCB" w:rsidRDefault="005B6CEC" w:rsidP="007A21AA">
      <w:pPr>
        <w:spacing w:line="400" w:lineRule="exact"/>
        <w:rPr>
          <w:rtl/>
        </w:rPr>
      </w:pPr>
      <w:r w:rsidRPr="00904FCB">
        <w:rPr>
          <w:rFonts w:hint="cs"/>
          <w:b/>
          <w:bCs/>
          <w:rtl/>
        </w:rPr>
        <w:lastRenderedPageBreak/>
        <w:t>السادسة</w:t>
      </w:r>
      <w:r w:rsidRPr="00904FCB">
        <w:rPr>
          <w:rFonts w:hint="cs"/>
          <w:rtl/>
        </w:rPr>
        <w:t xml:space="preserve">: في بيان النوع السادس. </w:t>
      </w:r>
    </w:p>
    <w:p w:rsidR="005B6CEC" w:rsidRPr="00904FCB" w:rsidRDefault="005B6CEC" w:rsidP="007A21AA">
      <w:pPr>
        <w:spacing w:line="400" w:lineRule="exact"/>
        <w:rPr>
          <w:rtl/>
        </w:rPr>
      </w:pPr>
      <w:r w:rsidRPr="00904FCB">
        <w:rPr>
          <w:rFonts w:hint="cs"/>
          <w:rtl/>
        </w:rPr>
        <w:t xml:space="preserve">وتفصيل ذلك: </w:t>
      </w:r>
    </w:p>
    <w:p w:rsidR="005B6CEC" w:rsidRPr="00904FCB" w:rsidRDefault="005B6CEC" w:rsidP="007A21AA">
      <w:pPr>
        <w:spacing w:line="400" w:lineRule="exact"/>
        <w:rPr>
          <w:rtl/>
        </w:rPr>
      </w:pPr>
    </w:p>
    <w:p w:rsidR="005B6CEC" w:rsidRPr="00904FCB" w:rsidRDefault="005B6CEC" w:rsidP="007A21AA">
      <w:pPr>
        <w:pStyle w:val="31"/>
        <w:spacing w:line="400" w:lineRule="exact"/>
        <w:rPr>
          <w:color w:val="auto"/>
          <w:rtl/>
          <w:lang w:bidi="fa-IR"/>
        </w:rPr>
      </w:pPr>
      <w:r w:rsidRPr="00904FCB">
        <w:rPr>
          <w:rFonts w:hint="cs"/>
          <w:color w:val="auto"/>
          <w:rtl/>
          <w:lang w:bidi="ar-IQ"/>
        </w:rPr>
        <w:t xml:space="preserve">الجهة الأولى: </w:t>
      </w:r>
      <w:r w:rsidRPr="00904FCB">
        <w:rPr>
          <w:rFonts w:hint="cs"/>
          <w:color w:val="auto"/>
          <w:rtl/>
          <w:lang w:bidi="fa-IR"/>
        </w:rPr>
        <w:t xml:space="preserve">في بيان النوع الأوّل من أنواع الولاء (ولاء العتق) </w:t>
      </w:r>
    </w:p>
    <w:p w:rsidR="005B6CEC" w:rsidRPr="00904FCB" w:rsidRDefault="005B6CEC" w:rsidP="007A21AA">
      <w:pPr>
        <w:spacing w:line="400" w:lineRule="exact"/>
        <w:rPr>
          <w:rtl/>
        </w:rPr>
      </w:pPr>
      <w:r w:rsidRPr="00904FCB">
        <w:rPr>
          <w:rFonts w:hint="cs"/>
          <w:rtl/>
        </w:rPr>
        <w:t>لقد ذكر الفقهاء أنّ (ولاء العتق أو العتاقة) سبب</w:t>
      </w:r>
      <w:r w:rsidR="00C94B35" w:rsidRPr="00904FCB">
        <w:rPr>
          <w:rFonts w:hint="cs"/>
          <w:rtl/>
        </w:rPr>
        <w:t>ٌ</w:t>
      </w:r>
      <w:r w:rsidRPr="00904FCB">
        <w:rPr>
          <w:rFonts w:hint="cs"/>
          <w:rtl/>
        </w:rPr>
        <w:t xml:space="preserve"> من أسباب الإرث</w:t>
      </w:r>
      <w:r w:rsidR="00C94B35" w:rsidRPr="00904FCB">
        <w:rPr>
          <w:rFonts w:hint="cs"/>
          <w:rtl/>
        </w:rPr>
        <w:t>.</w:t>
      </w:r>
      <w:r w:rsidRPr="00904FCB">
        <w:rPr>
          <w:rFonts w:hint="cs"/>
          <w:rtl/>
        </w:rPr>
        <w:t xml:space="preserve"> وقد استُدلّ على ذلك بالكتاب والسنّة والإجماع:</w:t>
      </w:r>
    </w:p>
    <w:p w:rsidR="005B6CEC" w:rsidRPr="00904FCB" w:rsidRDefault="005B6CEC" w:rsidP="007A21AA">
      <w:pPr>
        <w:spacing w:line="400" w:lineRule="exact"/>
        <w:rPr>
          <w:rtl/>
        </w:rPr>
      </w:pPr>
      <w:r w:rsidRPr="00904FCB">
        <w:rPr>
          <w:rFonts w:hint="cs"/>
          <w:rtl/>
        </w:rPr>
        <w:t xml:space="preserve"> </w:t>
      </w:r>
    </w:p>
    <w:p w:rsidR="005B6CEC" w:rsidRPr="00904FCB" w:rsidRDefault="005B6CEC" w:rsidP="007A21AA">
      <w:pPr>
        <w:pStyle w:val="31"/>
        <w:spacing w:line="400" w:lineRule="exact"/>
        <w:rPr>
          <w:color w:val="auto"/>
          <w:rtl/>
        </w:rPr>
      </w:pPr>
      <w:r w:rsidRPr="00904FCB">
        <w:rPr>
          <w:rFonts w:hint="cs"/>
          <w:color w:val="auto"/>
          <w:rtl/>
        </w:rPr>
        <w:t>الدليل الأوّل: الإجماع</w:t>
      </w:r>
    </w:p>
    <w:p w:rsidR="005B6CEC" w:rsidRPr="00904FCB" w:rsidRDefault="005B6CEC" w:rsidP="007A21AA">
      <w:pPr>
        <w:spacing w:line="400" w:lineRule="exact"/>
        <w:rPr>
          <w:rtl/>
          <w:lang w:bidi="fa-IR"/>
        </w:rPr>
      </w:pPr>
      <w:r w:rsidRPr="00904FCB">
        <w:rPr>
          <w:rFonts w:hint="cs"/>
          <w:rtl/>
        </w:rPr>
        <w:t>وهو بقسم</w:t>
      </w:r>
      <w:r w:rsidR="00C94B35" w:rsidRPr="00904FCB">
        <w:rPr>
          <w:rFonts w:hint="cs"/>
          <w:rtl/>
        </w:rPr>
        <w:t>َ</w:t>
      </w:r>
      <w:r w:rsidRPr="00904FCB">
        <w:rPr>
          <w:rFonts w:hint="cs"/>
          <w:rtl/>
        </w:rPr>
        <w:t>ي</w:t>
      </w:r>
      <w:r w:rsidR="00C94B35" w:rsidRPr="00904FCB">
        <w:rPr>
          <w:rFonts w:hint="cs"/>
          <w:rtl/>
        </w:rPr>
        <w:t>ْ</w:t>
      </w:r>
      <w:r w:rsidRPr="00904FCB">
        <w:rPr>
          <w:rFonts w:hint="cs"/>
          <w:rtl/>
        </w:rPr>
        <w:t>ه</w:t>
      </w:r>
      <w:r w:rsidRPr="00904FCB">
        <w:rPr>
          <w:vertAlign w:val="superscript"/>
          <w:rtl/>
          <w:lang w:bidi="fa-IR"/>
        </w:rPr>
        <w:t>(</w:t>
      </w:r>
      <w:r w:rsidRPr="00904FCB">
        <w:rPr>
          <w:rStyle w:val="ac"/>
          <w:b/>
          <w:sz w:val="27"/>
          <w:rtl/>
          <w:lang w:bidi="fa-IR"/>
        </w:rPr>
        <w:endnoteReference w:id="354"/>
      </w:r>
      <w:r w:rsidRPr="00904FCB">
        <w:rPr>
          <w:rFonts w:hint="cs"/>
          <w:vertAlign w:val="superscript"/>
          <w:rtl/>
          <w:lang w:bidi="fa-IR"/>
        </w:rPr>
        <w:t>)</w:t>
      </w:r>
      <w:r w:rsidRPr="00904FCB">
        <w:rPr>
          <w:rFonts w:hint="cs"/>
          <w:rtl/>
          <w:lang w:bidi="fa-IR"/>
        </w:rPr>
        <w:t>،</w:t>
      </w:r>
      <w:r w:rsidRPr="00904FCB">
        <w:rPr>
          <w:rFonts w:hint="cs"/>
          <w:vertAlign w:val="superscript"/>
          <w:rtl/>
          <w:lang w:bidi="fa-IR"/>
        </w:rPr>
        <w:t xml:space="preserve"> </w:t>
      </w:r>
      <w:r w:rsidRPr="00904FCB">
        <w:rPr>
          <w:rFonts w:hint="cs"/>
          <w:rtl/>
        </w:rPr>
        <w:t>بل عليه إجماع ال</w:t>
      </w:r>
      <w:r w:rsidR="00C94B35" w:rsidRPr="00904FCB">
        <w:rPr>
          <w:rFonts w:hint="cs"/>
          <w:rtl/>
        </w:rPr>
        <w:t>أ</w:t>
      </w:r>
      <w:r w:rsidRPr="00904FCB">
        <w:rPr>
          <w:rFonts w:hint="cs"/>
          <w:rtl/>
        </w:rPr>
        <w:t>مّة</w:t>
      </w:r>
      <w:r w:rsidRPr="00904FCB">
        <w:rPr>
          <w:vertAlign w:val="superscript"/>
          <w:rtl/>
          <w:lang w:bidi="fa-IR"/>
        </w:rPr>
        <w:t>(</w:t>
      </w:r>
      <w:r w:rsidRPr="00904FCB">
        <w:rPr>
          <w:rStyle w:val="ac"/>
          <w:b/>
          <w:sz w:val="27"/>
          <w:rtl/>
          <w:lang w:bidi="fa-IR"/>
        </w:rPr>
        <w:endnoteReference w:id="355"/>
      </w:r>
      <w:r w:rsidRPr="00904FCB">
        <w:rPr>
          <w:rFonts w:hint="cs"/>
          <w:vertAlign w:val="superscript"/>
          <w:rtl/>
          <w:lang w:bidi="fa-IR"/>
        </w:rPr>
        <w:t>)</w:t>
      </w:r>
      <w:r w:rsidRPr="00904FCB">
        <w:rPr>
          <w:rFonts w:hint="cs"/>
          <w:rtl/>
          <w:lang w:bidi="fa-IR"/>
        </w:rPr>
        <w:t>.</w:t>
      </w:r>
      <w:r w:rsidRPr="00904FCB">
        <w:rPr>
          <w:rFonts w:hint="cs"/>
          <w:vertAlign w:val="superscript"/>
          <w:rtl/>
          <w:lang w:bidi="fa-IR"/>
        </w:rPr>
        <w:t xml:space="preserve"> </w:t>
      </w:r>
    </w:p>
    <w:p w:rsidR="005B6CEC" w:rsidRPr="00904FCB" w:rsidRDefault="005B6CEC" w:rsidP="007A21AA">
      <w:pPr>
        <w:spacing w:line="400" w:lineRule="exact"/>
        <w:rPr>
          <w:sz w:val="27"/>
          <w:rtl/>
          <w:lang w:bidi="fa-IR"/>
        </w:rPr>
      </w:pPr>
    </w:p>
    <w:p w:rsidR="005B6CEC" w:rsidRPr="00904FCB" w:rsidRDefault="005B6CEC" w:rsidP="007A21AA">
      <w:pPr>
        <w:pStyle w:val="31"/>
        <w:spacing w:line="400" w:lineRule="exact"/>
        <w:rPr>
          <w:color w:val="auto"/>
          <w:rtl/>
        </w:rPr>
      </w:pPr>
      <w:r w:rsidRPr="00904FCB">
        <w:rPr>
          <w:rFonts w:hint="cs"/>
          <w:color w:val="auto"/>
          <w:rtl/>
        </w:rPr>
        <w:t xml:space="preserve">المناقشة </w:t>
      </w:r>
    </w:p>
    <w:p w:rsidR="005B6CEC" w:rsidRPr="00904FCB" w:rsidRDefault="005B6CEC" w:rsidP="007A21AA">
      <w:pPr>
        <w:spacing w:line="400" w:lineRule="exact"/>
        <w:rPr>
          <w:sz w:val="27"/>
          <w:rtl/>
        </w:rPr>
      </w:pPr>
      <w:r w:rsidRPr="00904FCB">
        <w:rPr>
          <w:rFonts w:hint="cs"/>
          <w:sz w:val="27"/>
          <w:rtl/>
        </w:rPr>
        <w:t>لا يخفى كون هذا الإجماع مدركياً، وليس إجماعاً تعبّ</w:t>
      </w:r>
      <w:r w:rsidR="00C94B35" w:rsidRPr="00904FCB">
        <w:rPr>
          <w:rFonts w:hint="cs"/>
          <w:sz w:val="27"/>
          <w:rtl/>
        </w:rPr>
        <w:t>ُ</w:t>
      </w:r>
      <w:r w:rsidRPr="00904FCB">
        <w:rPr>
          <w:rFonts w:hint="cs"/>
          <w:sz w:val="27"/>
          <w:rtl/>
        </w:rPr>
        <w:t>دياً</w:t>
      </w:r>
      <w:r w:rsidR="00C94B35" w:rsidRPr="00904FCB">
        <w:rPr>
          <w:rFonts w:hint="cs"/>
          <w:sz w:val="27"/>
          <w:rtl/>
        </w:rPr>
        <w:t>.</w:t>
      </w:r>
      <w:r w:rsidRPr="00904FCB">
        <w:rPr>
          <w:rFonts w:hint="cs"/>
          <w:sz w:val="27"/>
          <w:rtl/>
        </w:rPr>
        <w:t xml:space="preserve"> إذن فالمستند في ثبوت ولاء الإرث السنّة الشريفة.</w:t>
      </w:r>
    </w:p>
    <w:p w:rsidR="005B6CEC" w:rsidRPr="00904FCB" w:rsidRDefault="005B6CEC" w:rsidP="007A21AA">
      <w:pPr>
        <w:spacing w:line="400" w:lineRule="exact"/>
        <w:rPr>
          <w:sz w:val="27"/>
          <w:rtl/>
        </w:rPr>
      </w:pPr>
      <w:r w:rsidRPr="00904FCB">
        <w:rPr>
          <w:rFonts w:hint="cs"/>
          <w:sz w:val="27"/>
          <w:rtl/>
        </w:rPr>
        <w:t xml:space="preserve"> </w:t>
      </w:r>
    </w:p>
    <w:p w:rsidR="005B6CEC" w:rsidRPr="00904FCB" w:rsidRDefault="005B6CEC" w:rsidP="007A21AA">
      <w:pPr>
        <w:pStyle w:val="31"/>
        <w:spacing w:line="400" w:lineRule="exact"/>
        <w:rPr>
          <w:color w:val="auto"/>
          <w:rtl/>
        </w:rPr>
      </w:pPr>
      <w:r w:rsidRPr="00904FCB">
        <w:rPr>
          <w:rFonts w:hint="cs"/>
          <w:color w:val="auto"/>
          <w:rtl/>
        </w:rPr>
        <w:t>الدليل الثاني: الكتاب</w:t>
      </w:r>
    </w:p>
    <w:p w:rsidR="005B6CEC" w:rsidRPr="00904FCB" w:rsidRDefault="00C94B35" w:rsidP="007A21AA">
      <w:pPr>
        <w:spacing w:line="400" w:lineRule="exact"/>
        <w:rPr>
          <w:sz w:val="27"/>
          <w:rtl/>
        </w:rPr>
      </w:pPr>
      <w:r w:rsidRPr="00904FCB">
        <w:rPr>
          <w:rFonts w:hint="cs"/>
          <w:sz w:val="27"/>
          <w:rtl/>
        </w:rPr>
        <w:t>و</w:t>
      </w:r>
      <w:r w:rsidR="005B6CEC" w:rsidRPr="00904FCB">
        <w:rPr>
          <w:rFonts w:hint="cs"/>
          <w:sz w:val="27"/>
          <w:rtl/>
        </w:rPr>
        <w:t>قد استُدلّ ببعض الآيات على سببية ولاء العتق للتوريث، وهي:</w:t>
      </w:r>
    </w:p>
    <w:p w:rsidR="005B6CEC" w:rsidRPr="00904FCB" w:rsidRDefault="005B6CEC" w:rsidP="00510A75">
      <w:pPr>
        <w:spacing w:line="400" w:lineRule="exact"/>
        <w:rPr>
          <w:sz w:val="27"/>
          <w:rtl/>
        </w:rPr>
      </w:pPr>
      <w:r w:rsidRPr="00707BC0">
        <w:rPr>
          <w:rFonts w:hint="cs"/>
          <w:sz w:val="27"/>
          <w:rtl/>
        </w:rPr>
        <w:t>1ـ</w:t>
      </w:r>
      <w:r w:rsidRPr="00904FCB">
        <w:rPr>
          <w:rFonts w:hint="cs"/>
          <w:sz w:val="27"/>
          <w:rtl/>
        </w:rPr>
        <w:t xml:space="preserve"> قوله تبارك وتعالى: </w:t>
      </w:r>
      <w:r w:rsidRPr="00904FCB">
        <w:rPr>
          <w:rFonts w:ascii="Mosawi" w:hAnsi="Mosawi" w:cs="Mosawi"/>
          <w:sz w:val="24"/>
          <w:rtl/>
        </w:rPr>
        <w:t>﴿</w:t>
      </w:r>
      <w:r w:rsidR="00C94B35" w:rsidRPr="00904FCB">
        <w:rPr>
          <w:b/>
          <w:bCs/>
          <w:sz w:val="27"/>
          <w:rtl/>
        </w:rPr>
        <w:t>ادْعُوهُمْ لآبَائِهِمْ هُوَ أَقْسَطُ عِنْدَ اللهِ فَإِنْ لَمْ تَعْلَمُوا آبَاءَهُمْ فَإِخْوَانُكُمْ فِي الدِّينِ وَمَوَالِيكُمْ</w:t>
      </w:r>
      <w:r w:rsidR="00C94B35" w:rsidRPr="00904FCB">
        <w:rPr>
          <w:rFonts w:hint="cs"/>
          <w:b/>
          <w:bCs/>
          <w:sz w:val="27"/>
          <w:rtl/>
        </w:rPr>
        <w:t>...</w:t>
      </w:r>
      <w:r w:rsidRPr="00904FCB">
        <w:rPr>
          <w:rFonts w:ascii="Mosawi" w:hAnsi="Mosawi" w:cs="Mosawi"/>
          <w:sz w:val="24"/>
          <w:rtl/>
        </w:rPr>
        <w:t>﴾</w:t>
      </w:r>
      <w:r w:rsidRPr="00904FCB">
        <w:rPr>
          <w:rFonts w:hint="cs"/>
          <w:sz w:val="27"/>
          <w:rtl/>
        </w:rPr>
        <w:t xml:space="preserve"> (الأحزاب: </w:t>
      </w:r>
      <w:r w:rsidRPr="00707BC0">
        <w:rPr>
          <w:rFonts w:hint="cs"/>
          <w:sz w:val="27"/>
          <w:rtl/>
        </w:rPr>
        <w:t>5</w:t>
      </w:r>
      <w:r w:rsidRPr="00904FCB">
        <w:rPr>
          <w:rFonts w:hint="cs"/>
          <w:sz w:val="27"/>
          <w:rtl/>
        </w:rPr>
        <w:t>)</w:t>
      </w:r>
      <w:r w:rsidR="0052060D" w:rsidRPr="00904FCB">
        <w:rPr>
          <w:rFonts w:hint="cs"/>
          <w:b/>
          <w:sz w:val="27"/>
          <w:rtl/>
          <w:lang w:bidi="fa-IR"/>
        </w:rPr>
        <w:t>.</w:t>
      </w:r>
      <w:r w:rsidRPr="00904FCB">
        <w:rPr>
          <w:rFonts w:hint="cs"/>
          <w:b/>
          <w:sz w:val="27"/>
          <w:vertAlign w:val="superscript"/>
          <w:rtl/>
          <w:lang w:bidi="fa-IR"/>
        </w:rPr>
        <w:t xml:space="preserve"> </w:t>
      </w:r>
      <w:r w:rsidRPr="00904FCB">
        <w:rPr>
          <w:rFonts w:hint="cs"/>
          <w:sz w:val="27"/>
          <w:rtl/>
        </w:rPr>
        <w:t>فقد ذهب بعض</w:t>
      </w:r>
      <w:r w:rsidR="009E5BCE">
        <w:rPr>
          <w:rFonts w:hint="cs"/>
          <w:sz w:val="27"/>
          <w:rtl/>
        </w:rPr>
        <w:t>ٌ</w:t>
      </w:r>
      <w:r w:rsidRPr="00904FCB">
        <w:rPr>
          <w:rFonts w:hint="cs"/>
          <w:sz w:val="27"/>
          <w:rtl/>
        </w:rPr>
        <w:t xml:space="preserve"> إلى كون هذه الآية دالّة على سببية ولاء العتق للتوريث</w:t>
      </w:r>
      <w:r w:rsidR="0052060D" w:rsidRPr="00904FCB">
        <w:rPr>
          <w:rFonts w:hint="cs"/>
          <w:sz w:val="27"/>
          <w:rtl/>
        </w:rPr>
        <w:t>.</w:t>
      </w:r>
      <w:r w:rsidRPr="00904FCB">
        <w:rPr>
          <w:rFonts w:hint="cs"/>
          <w:sz w:val="27"/>
          <w:rtl/>
        </w:rPr>
        <w:t xml:space="preserve"> قال قطب الدين الراوندي: </w:t>
      </w:r>
      <w:r w:rsidRPr="00904FCB">
        <w:rPr>
          <w:rFonts w:hint="eastAsia"/>
          <w:sz w:val="27"/>
          <w:rtl/>
        </w:rPr>
        <w:t>«</w:t>
      </w:r>
      <w:r w:rsidR="0052060D" w:rsidRPr="00904FCB">
        <w:rPr>
          <w:rFonts w:hint="cs"/>
          <w:sz w:val="27"/>
          <w:rtl/>
        </w:rPr>
        <w:t>والم</w:t>
      </w:r>
      <w:r w:rsidRPr="00904FCB">
        <w:rPr>
          <w:rFonts w:hint="cs"/>
          <w:sz w:val="27"/>
          <w:rtl/>
        </w:rPr>
        <w:t xml:space="preserve">راد بـ </w:t>
      </w:r>
      <w:r w:rsidRPr="00904FCB">
        <w:rPr>
          <w:rFonts w:ascii="Mosawi" w:hAnsi="Mosawi" w:cs="Mosawi"/>
          <w:sz w:val="24"/>
          <w:rtl/>
        </w:rPr>
        <w:t>﴿</w:t>
      </w:r>
      <w:r w:rsidRPr="00904FCB">
        <w:rPr>
          <w:rFonts w:hint="cs"/>
          <w:bCs/>
          <w:sz w:val="27"/>
          <w:rtl/>
        </w:rPr>
        <w:t>م</w:t>
      </w:r>
      <w:r w:rsidR="0052060D" w:rsidRPr="00904FCB">
        <w:rPr>
          <w:rFonts w:hint="cs"/>
          <w:bCs/>
          <w:sz w:val="27"/>
          <w:rtl/>
        </w:rPr>
        <w:t>َ</w:t>
      </w:r>
      <w:r w:rsidRPr="00904FCB">
        <w:rPr>
          <w:rFonts w:hint="cs"/>
          <w:bCs/>
          <w:sz w:val="27"/>
          <w:rtl/>
        </w:rPr>
        <w:t>و</w:t>
      </w:r>
      <w:r w:rsidR="0052060D" w:rsidRPr="00904FCB">
        <w:rPr>
          <w:rFonts w:hint="cs"/>
          <w:bCs/>
          <w:sz w:val="27"/>
          <w:rtl/>
        </w:rPr>
        <w:t>َ</w:t>
      </w:r>
      <w:r w:rsidRPr="00904FCB">
        <w:rPr>
          <w:rFonts w:hint="cs"/>
          <w:bCs/>
          <w:sz w:val="27"/>
          <w:rtl/>
        </w:rPr>
        <w:t>ال</w:t>
      </w:r>
      <w:r w:rsidR="0052060D" w:rsidRPr="00904FCB">
        <w:rPr>
          <w:rFonts w:hint="cs"/>
          <w:bCs/>
          <w:sz w:val="27"/>
          <w:rtl/>
        </w:rPr>
        <w:t>ِ</w:t>
      </w:r>
      <w:r w:rsidRPr="00904FCB">
        <w:rPr>
          <w:rFonts w:hint="cs"/>
          <w:bCs/>
          <w:sz w:val="27"/>
          <w:rtl/>
        </w:rPr>
        <w:t>يك</w:t>
      </w:r>
      <w:r w:rsidR="0052060D" w:rsidRPr="00904FCB">
        <w:rPr>
          <w:rFonts w:hint="cs"/>
          <w:bCs/>
          <w:sz w:val="27"/>
          <w:rtl/>
        </w:rPr>
        <w:t>ُ</w:t>
      </w:r>
      <w:r w:rsidRPr="00904FCB">
        <w:rPr>
          <w:rFonts w:hint="cs"/>
          <w:bCs/>
          <w:sz w:val="27"/>
          <w:rtl/>
        </w:rPr>
        <w:t>م</w:t>
      </w:r>
      <w:r w:rsidR="0052060D" w:rsidRPr="00904FCB">
        <w:rPr>
          <w:rFonts w:ascii="Mosawi" w:hAnsi="Mosawi" w:cs="Mosawi" w:hint="cs"/>
          <w:sz w:val="24"/>
          <w:rtl/>
        </w:rPr>
        <w:t>ْ</w:t>
      </w:r>
      <w:r w:rsidRPr="00904FCB">
        <w:rPr>
          <w:rFonts w:ascii="Mosawi" w:hAnsi="Mosawi" w:cs="Mosawi"/>
          <w:sz w:val="24"/>
          <w:rtl/>
        </w:rPr>
        <w:t>﴾</w:t>
      </w:r>
      <w:r w:rsidRPr="00904FCB">
        <w:rPr>
          <w:rFonts w:hint="cs"/>
          <w:sz w:val="27"/>
          <w:rtl/>
        </w:rPr>
        <w:t xml:space="preserve"> مماليككم الذين أنتم بهم أ</w:t>
      </w:r>
      <w:r w:rsidR="0052060D" w:rsidRPr="00904FCB">
        <w:rPr>
          <w:rFonts w:hint="cs"/>
          <w:sz w:val="27"/>
          <w:rtl/>
        </w:rPr>
        <w:t>َ</w:t>
      </w:r>
      <w:r w:rsidRPr="00904FCB">
        <w:rPr>
          <w:rFonts w:hint="cs"/>
          <w:sz w:val="27"/>
          <w:rtl/>
        </w:rPr>
        <w:t>و</w:t>
      </w:r>
      <w:r w:rsidR="0052060D" w:rsidRPr="00904FCB">
        <w:rPr>
          <w:rFonts w:hint="cs"/>
          <w:sz w:val="27"/>
          <w:rtl/>
        </w:rPr>
        <w:t>ْ</w:t>
      </w:r>
      <w:r w:rsidRPr="00904FCB">
        <w:rPr>
          <w:rFonts w:hint="cs"/>
          <w:sz w:val="27"/>
          <w:rtl/>
        </w:rPr>
        <w:t>لى. وهذا المعنى فيهم على العموم، فيكون الولاء للمُعتِق الذي أنعم عليه بأن أعتقه تبرّ</w:t>
      </w:r>
      <w:r w:rsidR="0052060D" w:rsidRPr="00904FCB">
        <w:rPr>
          <w:rFonts w:hint="cs"/>
          <w:sz w:val="27"/>
          <w:rtl/>
        </w:rPr>
        <w:t>ُ</w:t>
      </w:r>
      <w:r w:rsidRPr="00904FCB">
        <w:rPr>
          <w:rFonts w:hint="cs"/>
          <w:sz w:val="27"/>
          <w:rtl/>
        </w:rPr>
        <w:t>عاً، لا في واجب...</w:t>
      </w:r>
      <w:r w:rsidR="0052060D" w:rsidRPr="00904FCB">
        <w:rPr>
          <w:rFonts w:hint="cs"/>
          <w:sz w:val="27"/>
          <w:rtl/>
        </w:rPr>
        <w:t>،</w:t>
      </w:r>
      <w:r w:rsidRPr="00904FCB">
        <w:rPr>
          <w:rFonts w:hint="cs"/>
          <w:sz w:val="27"/>
          <w:rtl/>
        </w:rPr>
        <w:t xml:space="preserve"> والمعتَق سائبة لا ولاء للمُعتِق عليه، فلا يدخل تحت الآية؛ لأنّ العتق على سبيل التبرّ</w:t>
      </w:r>
      <w:r w:rsidR="0052060D" w:rsidRPr="00904FCB">
        <w:rPr>
          <w:rFonts w:hint="cs"/>
          <w:sz w:val="27"/>
          <w:rtl/>
        </w:rPr>
        <w:t>ُ</w:t>
      </w:r>
      <w:r w:rsidRPr="00904FCB">
        <w:rPr>
          <w:rFonts w:hint="cs"/>
          <w:sz w:val="27"/>
          <w:rtl/>
        </w:rPr>
        <w:t xml:space="preserve">ع هو الإنعام والإحسان عليه وإليه، وإلى ذلك أشار سبحانه بقوله: </w:t>
      </w:r>
      <w:r w:rsidRPr="00904FCB">
        <w:rPr>
          <w:rFonts w:ascii="Mosawi" w:hAnsi="Mosawi" w:cs="Mosawi"/>
          <w:sz w:val="24"/>
          <w:rtl/>
        </w:rPr>
        <w:t>﴿</w:t>
      </w:r>
      <w:r w:rsidRPr="00904FCB">
        <w:rPr>
          <w:rFonts w:hint="cs"/>
          <w:bCs/>
          <w:sz w:val="27"/>
          <w:rtl/>
        </w:rPr>
        <w:t>و</w:t>
      </w:r>
      <w:r w:rsidR="0052060D" w:rsidRPr="00904FCB">
        <w:rPr>
          <w:rFonts w:hint="cs"/>
          <w:bCs/>
          <w:sz w:val="27"/>
          <w:rtl/>
        </w:rPr>
        <w:t>َ</w:t>
      </w:r>
      <w:r w:rsidRPr="00904FCB">
        <w:rPr>
          <w:rFonts w:hint="cs"/>
          <w:bCs/>
          <w:sz w:val="27"/>
          <w:rtl/>
        </w:rPr>
        <w:t>أ</w:t>
      </w:r>
      <w:r w:rsidR="0052060D" w:rsidRPr="00904FCB">
        <w:rPr>
          <w:rFonts w:hint="cs"/>
          <w:bCs/>
          <w:sz w:val="27"/>
          <w:rtl/>
        </w:rPr>
        <w:t>َ</w:t>
      </w:r>
      <w:r w:rsidRPr="00904FCB">
        <w:rPr>
          <w:rFonts w:hint="cs"/>
          <w:bCs/>
          <w:sz w:val="27"/>
          <w:rtl/>
        </w:rPr>
        <w:t>ن</w:t>
      </w:r>
      <w:r w:rsidR="0052060D" w:rsidRPr="00904FCB">
        <w:rPr>
          <w:rFonts w:hint="cs"/>
          <w:bCs/>
          <w:sz w:val="27"/>
          <w:rtl/>
        </w:rPr>
        <w:t>ْ</w:t>
      </w:r>
      <w:r w:rsidRPr="00904FCB">
        <w:rPr>
          <w:rFonts w:hint="cs"/>
          <w:bCs/>
          <w:sz w:val="27"/>
          <w:rtl/>
        </w:rPr>
        <w:t>ع</w:t>
      </w:r>
      <w:r w:rsidR="0052060D" w:rsidRPr="00904FCB">
        <w:rPr>
          <w:rFonts w:hint="cs"/>
          <w:bCs/>
          <w:sz w:val="27"/>
          <w:rtl/>
        </w:rPr>
        <w:t>َ</w:t>
      </w:r>
      <w:r w:rsidRPr="00904FCB">
        <w:rPr>
          <w:rFonts w:hint="cs"/>
          <w:bCs/>
          <w:sz w:val="27"/>
          <w:rtl/>
        </w:rPr>
        <w:t>م</w:t>
      </w:r>
      <w:r w:rsidR="0052060D" w:rsidRPr="00904FCB">
        <w:rPr>
          <w:rFonts w:hint="cs"/>
          <w:bCs/>
          <w:sz w:val="27"/>
          <w:rtl/>
        </w:rPr>
        <w:t>ْ</w:t>
      </w:r>
      <w:r w:rsidRPr="00904FCB">
        <w:rPr>
          <w:rFonts w:hint="cs"/>
          <w:bCs/>
          <w:sz w:val="27"/>
          <w:rtl/>
        </w:rPr>
        <w:t>ت</w:t>
      </w:r>
      <w:r w:rsidR="0052060D" w:rsidRPr="00904FCB">
        <w:rPr>
          <w:rFonts w:hint="cs"/>
          <w:bCs/>
          <w:sz w:val="27"/>
          <w:rtl/>
        </w:rPr>
        <w:t>َ</w:t>
      </w:r>
      <w:r w:rsidRPr="00904FCB">
        <w:rPr>
          <w:rFonts w:hint="cs"/>
          <w:bCs/>
          <w:sz w:val="27"/>
          <w:rtl/>
        </w:rPr>
        <w:t xml:space="preserve"> ع</w:t>
      </w:r>
      <w:r w:rsidR="0052060D" w:rsidRPr="00904FCB">
        <w:rPr>
          <w:rFonts w:hint="cs"/>
          <w:bCs/>
          <w:sz w:val="27"/>
          <w:rtl/>
        </w:rPr>
        <w:t>َ</w:t>
      </w:r>
      <w:r w:rsidRPr="00904FCB">
        <w:rPr>
          <w:rFonts w:hint="cs"/>
          <w:bCs/>
          <w:sz w:val="27"/>
          <w:rtl/>
        </w:rPr>
        <w:t>ل</w:t>
      </w:r>
      <w:r w:rsidR="0052060D" w:rsidRPr="00904FCB">
        <w:rPr>
          <w:rFonts w:hint="cs"/>
          <w:bCs/>
          <w:sz w:val="27"/>
          <w:rtl/>
        </w:rPr>
        <w:t>َ</w:t>
      </w:r>
      <w:r w:rsidRPr="00904FCB">
        <w:rPr>
          <w:rFonts w:hint="cs"/>
          <w:bCs/>
          <w:sz w:val="27"/>
          <w:rtl/>
        </w:rPr>
        <w:t>ي</w:t>
      </w:r>
      <w:r w:rsidR="0052060D" w:rsidRPr="00904FCB">
        <w:rPr>
          <w:rFonts w:hint="cs"/>
          <w:bCs/>
          <w:sz w:val="27"/>
          <w:rtl/>
        </w:rPr>
        <w:t>ْ</w:t>
      </w:r>
      <w:r w:rsidRPr="00904FCB">
        <w:rPr>
          <w:rFonts w:hint="cs"/>
          <w:bCs/>
          <w:sz w:val="27"/>
          <w:rtl/>
        </w:rPr>
        <w:t>ه</w:t>
      </w:r>
      <w:r w:rsidR="0052060D" w:rsidRPr="00904FCB">
        <w:rPr>
          <w:rFonts w:ascii="Mosawi" w:hAnsi="Mosawi" w:cs="Mosawi" w:hint="cs"/>
          <w:sz w:val="24"/>
          <w:rtl/>
        </w:rPr>
        <w:t>ِ</w:t>
      </w:r>
      <w:r w:rsidRPr="00904FCB">
        <w:rPr>
          <w:rFonts w:ascii="Mosawi" w:hAnsi="Mosawi" w:cs="Mosawi"/>
          <w:sz w:val="24"/>
          <w:rtl/>
        </w:rPr>
        <w:t>﴾</w:t>
      </w:r>
      <w:r w:rsidRPr="00904FCB">
        <w:rPr>
          <w:rFonts w:hint="cs"/>
          <w:sz w:val="27"/>
          <w:rtl/>
        </w:rPr>
        <w:t xml:space="preserve"> (الأحزاب: </w:t>
      </w:r>
      <w:r w:rsidRPr="00707BC0">
        <w:rPr>
          <w:rFonts w:hint="cs"/>
          <w:sz w:val="27"/>
          <w:rtl/>
        </w:rPr>
        <w:t>37</w:t>
      </w:r>
      <w:r w:rsidRPr="00904FCB">
        <w:rPr>
          <w:rFonts w:hint="cs"/>
          <w:sz w:val="27"/>
          <w:rtl/>
        </w:rPr>
        <w:t>). ولولا النصوص من أئمّة الهد</w:t>
      </w:r>
      <w:r w:rsidRPr="00904FCB">
        <w:rPr>
          <w:rFonts w:ascii="Times New Roman" w:hAnsi="Times New Roman" w:cs="Times New Roman" w:hint="cs"/>
          <w:sz w:val="27"/>
          <w:rtl/>
        </w:rPr>
        <w:t>ی</w:t>
      </w:r>
      <w:r w:rsidR="00510A75" w:rsidRPr="00E14803">
        <w:rPr>
          <w:rFonts w:ascii="Mosawi" w:hAnsi="Mosawi" w:cs="Mosawi"/>
          <w:sz w:val="22"/>
          <w:szCs w:val="22"/>
          <w:rtl/>
        </w:rPr>
        <w:t>^</w:t>
      </w:r>
      <w:r w:rsidRPr="00904FCB">
        <w:rPr>
          <w:rFonts w:hint="cs"/>
          <w:sz w:val="27"/>
          <w:rtl/>
        </w:rPr>
        <w:t xml:space="preserve"> في هذا المعنى لما كان لأحد</w:t>
      </w:r>
      <w:r w:rsidR="0052060D" w:rsidRPr="00904FCB">
        <w:rPr>
          <w:rFonts w:hint="cs"/>
          <w:sz w:val="27"/>
          <w:rtl/>
        </w:rPr>
        <w:t>ٍ</w:t>
      </w:r>
      <w:r w:rsidRPr="00904FCB">
        <w:rPr>
          <w:rFonts w:hint="cs"/>
          <w:sz w:val="27"/>
          <w:rtl/>
        </w:rPr>
        <w:t xml:space="preserve"> أن يتكلّ</w:t>
      </w:r>
      <w:r w:rsidR="0052060D" w:rsidRPr="00904FCB">
        <w:rPr>
          <w:rFonts w:hint="cs"/>
          <w:sz w:val="27"/>
          <w:rtl/>
        </w:rPr>
        <w:t>َ</w:t>
      </w:r>
      <w:r w:rsidRPr="00904FCB">
        <w:rPr>
          <w:rFonts w:hint="cs"/>
          <w:sz w:val="27"/>
          <w:rtl/>
        </w:rPr>
        <w:t>م في مثله من القرآن»</w:t>
      </w:r>
      <w:r w:rsidRPr="00904FCB">
        <w:rPr>
          <w:b/>
          <w:sz w:val="27"/>
          <w:vertAlign w:val="superscript"/>
          <w:rtl/>
          <w:lang w:bidi="fa-IR"/>
        </w:rPr>
        <w:t>(</w:t>
      </w:r>
      <w:r w:rsidRPr="00904FCB">
        <w:rPr>
          <w:rStyle w:val="ac"/>
          <w:b/>
          <w:sz w:val="27"/>
          <w:rtl/>
          <w:lang w:bidi="fa-IR"/>
        </w:rPr>
        <w:endnoteReference w:id="356"/>
      </w:r>
      <w:r w:rsidRPr="00904FCB">
        <w:rPr>
          <w:rFonts w:hint="cs"/>
          <w:b/>
          <w:sz w:val="27"/>
          <w:vertAlign w:val="superscript"/>
          <w:rtl/>
          <w:lang w:bidi="fa-IR"/>
        </w:rPr>
        <w:t>)</w:t>
      </w:r>
      <w:r w:rsidR="0052060D" w:rsidRPr="00904FCB">
        <w:rPr>
          <w:rFonts w:hint="cs"/>
          <w:b/>
          <w:sz w:val="27"/>
          <w:rtl/>
          <w:lang w:bidi="fa-IR"/>
        </w:rPr>
        <w:t>.</w:t>
      </w:r>
      <w:r w:rsidRPr="00904FCB">
        <w:rPr>
          <w:rFonts w:hint="cs"/>
          <w:b/>
          <w:sz w:val="27"/>
          <w:rtl/>
          <w:lang w:bidi="fa-IR"/>
        </w:rPr>
        <w:t xml:space="preserve"> </w:t>
      </w:r>
      <w:r w:rsidRPr="00904FCB">
        <w:rPr>
          <w:rFonts w:hint="cs"/>
          <w:sz w:val="27"/>
          <w:rtl/>
        </w:rPr>
        <w:t>وقال في موضع</w:t>
      </w:r>
      <w:r w:rsidR="0052060D" w:rsidRPr="00904FCB">
        <w:rPr>
          <w:rFonts w:hint="cs"/>
          <w:sz w:val="27"/>
          <w:rtl/>
        </w:rPr>
        <w:t>ٍ</w:t>
      </w:r>
      <w:r w:rsidRPr="00904FCB">
        <w:rPr>
          <w:rFonts w:hint="cs"/>
          <w:sz w:val="27"/>
          <w:rtl/>
        </w:rPr>
        <w:t xml:space="preserve"> آخر: «</w:t>
      </w:r>
      <w:r w:rsidRPr="00904FCB">
        <w:rPr>
          <w:rFonts w:ascii="Mosawi" w:hAnsi="Mosawi" w:cs="Mosawi"/>
          <w:sz w:val="24"/>
          <w:rtl/>
        </w:rPr>
        <w:t>﴿</w:t>
      </w:r>
      <w:r w:rsidR="0052060D" w:rsidRPr="00904FCB">
        <w:rPr>
          <w:b/>
          <w:bCs/>
          <w:sz w:val="27"/>
          <w:rtl/>
        </w:rPr>
        <w:t>فَإِخْوَانُكُمْ فِي الدِّينِ وَمَوَالِيكُمْ</w:t>
      </w:r>
      <w:r w:rsidRPr="00904FCB">
        <w:rPr>
          <w:rFonts w:ascii="Mosawi" w:hAnsi="Mosawi" w:cs="Mosawi"/>
          <w:sz w:val="24"/>
          <w:rtl/>
        </w:rPr>
        <w:t>﴾</w:t>
      </w:r>
      <w:r w:rsidRPr="00904FCB">
        <w:rPr>
          <w:rFonts w:hint="cs"/>
          <w:sz w:val="27"/>
          <w:rtl/>
        </w:rPr>
        <w:t xml:space="preserve"> فإنّه يدلّ على أنّ مُعتِق زيد إذا مات ولم يُخلّ</w:t>
      </w:r>
      <w:r w:rsidR="0052060D" w:rsidRPr="00904FCB">
        <w:rPr>
          <w:rFonts w:hint="cs"/>
          <w:sz w:val="27"/>
          <w:rtl/>
        </w:rPr>
        <w:t>ِ</w:t>
      </w:r>
      <w:r w:rsidRPr="00904FCB">
        <w:rPr>
          <w:rFonts w:hint="cs"/>
          <w:sz w:val="27"/>
          <w:rtl/>
        </w:rPr>
        <w:t>ف نسيباً كان مولاه أ</w:t>
      </w:r>
      <w:r w:rsidR="0052060D" w:rsidRPr="00904FCB">
        <w:rPr>
          <w:rFonts w:hint="cs"/>
          <w:sz w:val="27"/>
          <w:rtl/>
        </w:rPr>
        <w:t>َ</w:t>
      </w:r>
      <w:r w:rsidRPr="00904FCB">
        <w:rPr>
          <w:rFonts w:hint="cs"/>
          <w:sz w:val="27"/>
          <w:rtl/>
        </w:rPr>
        <w:t>و</w:t>
      </w:r>
      <w:r w:rsidR="0052060D" w:rsidRPr="00904FCB">
        <w:rPr>
          <w:rFonts w:hint="cs"/>
          <w:sz w:val="27"/>
          <w:rtl/>
        </w:rPr>
        <w:t>ْ</w:t>
      </w:r>
      <w:r w:rsidRPr="00904FCB">
        <w:rPr>
          <w:rFonts w:hint="cs"/>
          <w:sz w:val="27"/>
          <w:rtl/>
        </w:rPr>
        <w:t>لى به من كلّ أحد</w:t>
      </w:r>
      <w:r w:rsidR="0052060D" w:rsidRPr="00904FCB">
        <w:rPr>
          <w:rFonts w:hint="cs"/>
          <w:sz w:val="27"/>
          <w:rtl/>
        </w:rPr>
        <w:t>ٍ</w:t>
      </w:r>
      <w:r w:rsidRPr="00904FCB">
        <w:rPr>
          <w:rFonts w:hint="cs"/>
          <w:sz w:val="27"/>
          <w:rtl/>
        </w:rPr>
        <w:t xml:space="preserve">، فيكون ميراثه </w:t>
      </w:r>
      <w:r w:rsidRPr="00904FCB">
        <w:rPr>
          <w:rFonts w:hint="cs"/>
          <w:sz w:val="27"/>
          <w:rtl/>
        </w:rPr>
        <w:lastRenderedPageBreak/>
        <w:t>له</w:t>
      </w:r>
      <w:r w:rsidR="0052060D" w:rsidRPr="00904FCB">
        <w:rPr>
          <w:rFonts w:hint="cs"/>
          <w:sz w:val="27"/>
          <w:rtl/>
        </w:rPr>
        <w:t>.</w:t>
      </w:r>
      <w:r w:rsidRPr="00904FCB">
        <w:rPr>
          <w:rFonts w:hint="cs"/>
          <w:sz w:val="27"/>
          <w:rtl/>
        </w:rPr>
        <w:t xml:space="preserve"> وكذا يدلّ على ولاء الإمامة؛ فإنّ ميراث مَن</w:t>
      </w:r>
      <w:r w:rsidR="0052060D" w:rsidRPr="00904FCB">
        <w:rPr>
          <w:rFonts w:hint="cs"/>
          <w:sz w:val="27"/>
          <w:rtl/>
        </w:rPr>
        <w:t>ْ</w:t>
      </w:r>
      <w:r w:rsidRPr="00904FCB">
        <w:rPr>
          <w:rFonts w:hint="cs"/>
          <w:sz w:val="27"/>
          <w:rtl/>
        </w:rPr>
        <w:t xml:space="preserve"> لا وارث له كان للنبي</w:t>
      </w:r>
      <w:r w:rsidR="0052060D" w:rsidRPr="00904FCB">
        <w:rPr>
          <w:rFonts w:hint="cs"/>
          <w:sz w:val="27"/>
          <w:rtl/>
        </w:rPr>
        <w:t>ّ</w:t>
      </w:r>
      <w:r w:rsidR="00635E51" w:rsidRPr="00904FCB">
        <w:rPr>
          <w:rFonts w:cs="Mosawi" w:hint="cs"/>
          <w:sz w:val="27"/>
          <w:szCs w:val="22"/>
          <w:rtl/>
        </w:rPr>
        <w:t>|</w:t>
      </w:r>
      <w:r w:rsidRPr="00904FCB">
        <w:rPr>
          <w:rFonts w:hint="cs"/>
          <w:sz w:val="27"/>
          <w:rtl/>
        </w:rPr>
        <w:t>،</w:t>
      </w:r>
      <w:r w:rsidR="0052060D" w:rsidRPr="00904FCB">
        <w:rPr>
          <w:rFonts w:hint="cs"/>
          <w:sz w:val="27"/>
          <w:rtl/>
        </w:rPr>
        <w:t xml:space="preserve"> وهو لمَ</w:t>
      </w:r>
      <w:r w:rsidRPr="00904FCB">
        <w:rPr>
          <w:rFonts w:hint="cs"/>
          <w:sz w:val="27"/>
          <w:rtl/>
        </w:rPr>
        <w:t>ن</w:t>
      </w:r>
      <w:r w:rsidR="0052060D" w:rsidRPr="00904FCB">
        <w:rPr>
          <w:rFonts w:hint="cs"/>
          <w:sz w:val="27"/>
          <w:rtl/>
        </w:rPr>
        <w:t>ْ</w:t>
      </w:r>
      <w:r w:rsidRPr="00904FCB">
        <w:rPr>
          <w:rFonts w:hint="cs"/>
          <w:sz w:val="27"/>
          <w:rtl/>
        </w:rPr>
        <w:t xml:space="preserve"> قام مقامه خ</w:t>
      </w:r>
      <w:r w:rsidR="0052060D" w:rsidRPr="00904FCB">
        <w:rPr>
          <w:rFonts w:hint="cs"/>
          <w:sz w:val="27"/>
          <w:rtl/>
        </w:rPr>
        <w:t>َ</w:t>
      </w:r>
      <w:r w:rsidRPr="00904FCB">
        <w:rPr>
          <w:rFonts w:hint="cs"/>
          <w:sz w:val="27"/>
          <w:rtl/>
        </w:rPr>
        <w:t>ل</w:t>
      </w:r>
      <w:r w:rsidR="0052060D" w:rsidRPr="00904FCB">
        <w:rPr>
          <w:rFonts w:hint="cs"/>
          <w:sz w:val="27"/>
          <w:rtl/>
        </w:rPr>
        <w:t>َ</w:t>
      </w:r>
      <w:r w:rsidRPr="00904FCB">
        <w:rPr>
          <w:rFonts w:hint="cs"/>
          <w:sz w:val="27"/>
          <w:rtl/>
        </w:rPr>
        <w:t>فاً عن س</w:t>
      </w:r>
      <w:r w:rsidR="0052060D" w:rsidRPr="00904FCB">
        <w:rPr>
          <w:rFonts w:hint="cs"/>
          <w:sz w:val="27"/>
          <w:rtl/>
        </w:rPr>
        <w:t>َ</w:t>
      </w:r>
      <w:r w:rsidRPr="00904FCB">
        <w:rPr>
          <w:rFonts w:hint="cs"/>
          <w:sz w:val="27"/>
          <w:rtl/>
        </w:rPr>
        <w:t>ل</w:t>
      </w:r>
      <w:r w:rsidR="0052060D" w:rsidRPr="00904FCB">
        <w:rPr>
          <w:rFonts w:hint="cs"/>
          <w:sz w:val="27"/>
          <w:rtl/>
        </w:rPr>
        <w:t>َ</w:t>
      </w:r>
      <w:r w:rsidRPr="00904FCB">
        <w:rPr>
          <w:rFonts w:hint="cs"/>
          <w:sz w:val="27"/>
          <w:rtl/>
        </w:rPr>
        <w:t>ف»</w:t>
      </w:r>
      <w:r w:rsidRPr="00904FCB">
        <w:rPr>
          <w:b/>
          <w:sz w:val="27"/>
          <w:vertAlign w:val="superscript"/>
          <w:rtl/>
          <w:lang w:bidi="fa-IR"/>
        </w:rPr>
        <w:t>(</w:t>
      </w:r>
      <w:r w:rsidRPr="00904FCB">
        <w:rPr>
          <w:rStyle w:val="ac"/>
          <w:b/>
          <w:sz w:val="27"/>
          <w:rtl/>
          <w:lang w:bidi="fa-IR"/>
        </w:rPr>
        <w:endnoteReference w:id="357"/>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r w:rsidRPr="00904FCB">
        <w:rPr>
          <w:rFonts w:hint="cs"/>
          <w:sz w:val="27"/>
          <w:rtl/>
        </w:rPr>
        <w:t>بل جعل بعض</w:t>
      </w:r>
      <w:r w:rsidR="0052060D" w:rsidRPr="00904FCB">
        <w:rPr>
          <w:rFonts w:hint="cs"/>
          <w:sz w:val="27"/>
          <w:rtl/>
        </w:rPr>
        <w:t>ٌ هذه الآية الأصل والم</w:t>
      </w:r>
      <w:r w:rsidRPr="00904FCB">
        <w:rPr>
          <w:rFonts w:hint="cs"/>
          <w:sz w:val="27"/>
          <w:rtl/>
        </w:rPr>
        <w:t>ستند الأساس لولاء العتق</w:t>
      </w:r>
      <w:r w:rsidRPr="00904FCB">
        <w:rPr>
          <w:b/>
          <w:sz w:val="27"/>
          <w:vertAlign w:val="superscript"/>
          <w:rtl/>
          <w:lang w:bidi="fa-IR"/>
        </w:rPr>
        <w:t>(</w:t>
      </w:r>
      <w:r w:rsidRPr="00904FCB">
        <w:rPr>
          <w:rStyle w:val="ac"/>
          <w:b/>
          <w:sz w:val="27"/>
          <w:rtl/>
          <w:lang w:bidi="fa-IR"/>
        </w:rPr>
        <w:endnoteReference w:id="358"/>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2ـ</w:t>
      </w:r>
      <w:r w:rsidRPr="00904FCB">
        <w:rPr>
          <w:rFonts w:hint="cs"/>
          <w:sz w:val="27"/>
          <w:rtl/>
        </w:rPr>
        <w:t xml:space="preserve"> قوله تعالى: </w:t>
      </w:r>
      <w:r w:rsidRPr="00904FCB">
        <w:rPr>
          <w:rFonts w:ascii="Mosawi" w:hAnsi="Mosawi" w:cs="Mosawi"/>
          <w:sz w:val="24"/>
          <w:rtl/>
        </w:rPr>
        <w:t>﴿</w:t>
      </w:r>
      <w:r w:rsidRPr="00904FCB">
        <w:rPr>
          <w:bCs/>
          <w:sz w:val="27"/>
          <w:rtl/>
        </w:rPr>
        <w:t>وَلِكُلٍّ جَعَلْنَا مَوَالِيَ مِمَّا تَرَكَ الْوَالِدَانِ وَالأَقْرَبُونَ</w:t>
      </w:r>
      <w:r w:rsidRPr="00904FCB">
        <w:rPr>
          <w:rFonts w:ascii="Mosawi" w:hAnsi="Mosawi" w:cs="Mosawi"/>
          <w:sz w:val="24"/>
          <w:rtl/>
        </w:rPr>
        <w:t>﴾</w:t>
      </w:r>
      <w:r w:rsidRPr="00904FCB">
        <w:rPr>
          <w:rFonts w:hint="cs"/>
          <w:sz w:val="27"/>
          <w:rtl/>
        </w:rPr>
        <w:t xml:space="preserve"> (النساء: </w:t>
      </w:r>
      <w:r w:rsidRPr="00707BC0">
        <w:rPr>
          <w:rFonts w:hint="cs"/>
          <w:sz w:val="27"/>
          <w:rtl/>
        </w:rPr>
        <w:t>33</w:t>
      </w:r>
      <w:r w:rsidRPr="00904FCB">
        <w:rPr>
          <w:rFonts w:hint="cs"/>
          <w:sz w:val="27"/>
          <w:rtl/>
        </w:rPr>
        <w:t>)</w:t>
      </w:r>
      <w:r w:rsidR="0052060D" w:rsidRPr="00904FCB">
        <w:rPr>
          <w:rFonts w:hint="cs"/>
          <w:b/>
          <w:sz w:val="27"/>
          <w:rtl/>
          <w:lang w:bidi="fa-IR"/>
        </w:rPr>
        <w:t>.</w:t>
      </w:r>
      <w:r w:rsidRPr="00904FCB">
        <w:rPr>
          <w:rFonts w:hint="cs"/>
          <w:b/>
          <w:sz w:val="27"/>
          <w:vertAlign w:val="superscript"/>
          <w:rtl/>
          <w:lang w:bidi="fa-IR"/>
        </w:rPr>
        <w:t xml:space="preserve"> </w:t>
      </w:r>
      <w:r w:rsidRPr="00904FCB">
        <w:rPr>
          <w:rFonts w:hint="cs"/>
          <w:sz w:val="27"/>
          <w:rtl/>
        </w:rPr>
        <w:t>فقد ذهب بعض</w:t>
      </w:r>
      <w:r w:rsidR="0052060D" w:rsidRPr="00904FCB">
        <w:rPr>
          <w:rFonts w:hint="cs"/>
          <w:sz w:val="27"/>
          <w:rtl/>
        </w:rPr>
        <w:t>ٌ</w:t>
      </w:r>
      <w:r w:rsidRPr="00904FCB">
        <w:rPr>
          <w:rFonts w:hint="cs"/>
          <w:sz w:val="27"/>
          <w:rtl/>
        </w:rPr>
        <w:t xml:space="preserve"> إلى كون هذه الآية دالّة على سببية ولاء العتق للتوريث</w:t>
      </w:r>
      <w:r w:rsidRPr="00904FCB">
        <w:rPr>
          <w:b/>
          <w:sz w:val="27"/>
          <w:vertAlign w:val="superscript"/>
          <w:rtl/>
          <w:lang w:bidi="fa-IR"/>
        </w:rPr>
        <w:t>(</w:t>
      </w:r>
      <w:r w:rsidRPr="00904FCB">
        <w:rPr>
          <w:rStyle w:val="ac"/>
          <w:b/>
          <w:sz w:val="27"/>
          <w:rtl/>
          <w:lang w:bidi="fa-IR"/>
        </w:rPr>
        <w:endnoteReference w:id="359"/>
      </w:r>
      <w:r w:rsidRPr="00904FCB">
        <w:rPr>
          <w:rFonts w:hint="cs"/>
          <w:b/>
          <w:sz w:val="27"/>
          <w:vertAlign w:val="superscript"/>
          <w:rtl/>
          <w:lang w:bidi="fa-IR"/>
        </w:rPr>
        <w:t>)</w:t>
      </w:r>
      <w:r w:rsidR="0052060D" w:rsidRPr="00904FCB">
        <w:rPr>
          <w:rFonts w:hint="cs"/>
          <w:b/>
          <w:sz w:val="27"/>
          <w:rtl/>
          <w:lang w:bidi="fa-IR"/>
        </w:rPr>
        <w:t>،</w:t>
      </w:r>
      <w:r w:rsidRPr="00904FCB">
        <w:rPr>
          <w:rFonts w:hint="cs"/>
          <w:b/>
          <w:sz w:val="27"/>
          <w:rtl/>
          <w:lang w:bidi="fa-IR"/>
        </w:rPr>
        <w:t xml:space="preserve"> </w:t>
      </w:r>
      <w:r w:rsidRPr="00904FCB">
        <w:rPr>
          <w:rFonts w:hint="cs"/>
          <w:sz w:val="27"/>
          <w:rtl/>
        </w:rPr>
        <w:t>ولو بضميمة السنّة</w:t>
      </w:r>
      <w:r w:rsidRPr="00904FCB">
        <w:rPr>
          <w:b/>
          <w:sz w:val="27"/>
          <w:vertAlign w:val="superscript"/>
          <w:rtl/>
          <w:lang w:bidi="fa-IR"/>
        </w:rPr>
        <w:t>(</w:t>
      </w:r>
      <w:r w:rsidRPr="00904FCB">
        <w:rPr>
          <w:rStyle w:val="ac"/>
          <w:b/>
          <w:sz w:val="27"/>
          <w:rtl/>
          <w:lang w:bidi="fa-IR"/>
        </w:rPr>
        <w:endnoteReference w:id="360"/>
      </w:r>
      <w:r w:rsidRPr="00904FCB">
        <w:rPr>
          <w:rFonts w:hint="cs"/>
          <w:b/>
          <w:sz w:val="27"/>
          <w:vertAlign w:val="superscript"/>
          <w:rtl/>
          <w:lang w:bidi="fa-IR"/>
        </w:rPr>
        <w:t>)</w:t>
      </w:r>
      <w:r w:rsidR="0052060D" w:rsidRPr="00904FCB">
        <w:rPr>
          <w:rFonts w:hint="cs"/>
          <w:b/>
          <w:sz w:val="27"/>
          <w:rtl/>
          <w:lang w:bidi="fa-IR"/>
        </w:rPr>
        <w:t>.</w:t>
      </w:r>
      <w:r w:rsidRPr="00904FCB">
        <w:rPr>
          <w:rFonts w:hint="cs"/>
          <w:b/>
          <w:sz w:val="27"/>
          <w:rtl/>
          <w:lang w:bidi="fa-IR"/>
        </w:rPr>
        <w:t xml:space="preserve"> </w:t>
      </w:r>
      <w:r w:rsidRPr="00904FCB">
        <w:rPr>
          <w:rFonts w:hint="cs"/>
          <w:sz w:val="27"/>
          <w:rtl/>
        </w:rPr>
        <w:t>واحتمله آخرون</w:t>
      </w:r>
      <w:r w:rsidRPr="00904FCB">
        <w:rPr>
          <w:b/>
          <w:sz w:val="27"/>
          <w:vertAlign w:val="superscript"/>
          <w:rtl/>
          <w:lang w:bidi="fa-IR"/>
        </w:rPr>
        <w:t>(</w:t>
      </w:r>
      <w:r w:rsidRPr="00904FCB">
        <w:rPr>
          <w:rStyle w:val="ac"/>
          <w:b/>
          <w:sz w:val="27"/>
          <w:rtl/>
          <w:lang w:bidi="fa-IR"/>
        </w:rPr>
        <w:endnoteReference w:id="361"/>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3ـ</w:t>
      </w:r>
      <w:r w:rsidRPr="00904FCB">
        <w:rPr>
          <w:rFonts w:hint="cs"/>
          <w:sz w:val="27"/>
          <w:rtl/>
        </w:rPr>
        <w:t xml:space="preserve"> قوله تعالى: </w:t>
      </w:r>
      <w:r w:rsidRPr="00904FCB">
        <w:rPr>
          <w:rFonts w:ascii="Mosawi" w:hAnsi="Mosawi" w:cs="Mosawi"/>
          <w:sz w:val="24"/>
          <w:rtl/>
        </w:rPr>
        <w:t>﴿</w:t>
      </w:r>
      <w:r w:rsidRPr="00904FCB">
        <w:rPr>
          <w:bCs/>
          <w:sz w:val="27"/>
          <w:rtl/>
        </w:rPr>
        <w:t>وَالَّذِينَ عَقَدَتْ أَيْمَانُكُمْ فَ</w:t>
      </w:r>
      <w:r w:rsidR="0052060D" w:rsidRPr="00904FCB">
        <w:rPr>
          <w:bCs/>
          <w:sz w:val="27"/>
          <w:rtl/>
        </w:rPr>
        <w:t>آتُوهُمْ نَصِيبَهُمْ إِنَّ الل</w:t>
      </w:r>
      <w:r w:rsidRPr="00904FCB">
        <w:rPr>
          <w:bCs/>
          <w:sz w:val="27"/>
          <w:rtl/>
        </w:rPr>
        <w:t>هَ كَانَ عَلَ</w:t>
      </w:r>
      <w:r w:rsidRPr="00904FCB">
        <w:rPr>
          <w:rFonts w:hint="cs"/>
          <w:bCs/>
          <w:sz w:val="27"/>
          <w:rtl/>
        </w:rPr>
        <w:t>ى</w:t>
      </w:r>
      <w:r w:rsidRPr="00904FCB">
        <w:rPr>
          <w:bCs/>
          <w:sz w:val="27"/>
          <w:rtl/>
        </w:rPr>
        <w:t xml:space="preserve"> كُلِّ شَيْءٍ شَهِيداً</w:t>
      </w:r>
      <w:r w:rsidRPr="00904FCB">
        <w:rPr>
          <w:rFonts w:ascii="Mosawi" w:hAnsi="Mosawi" w:cs="Mosawi"/>
          <w:sz w:val="24"/>
          <w:rtl/>
        </w:rPr>
        <w:t>﴾</w:t>
      </w:r>
      <w:r w:rsidRPr="00904FCB">
        <w:rPr>
          <w:rFonts w:hint="cs"/>
          <w:sz w:val="27"/>
          <w:rtl/>
        </w:rPr>
        <w:t xml:space="preserve"> (النساء: </w:t>
      </w:r>
      <w:r w:rsidRPr="00707BC0">
        <w:rPr>
          <w:rFonts w:hint="cs"/>
          <w:sz w:val="27"/>
          <w:rtl/>
        </w:rPr>
        <w:t>33</w:t>
      </w:r>
      <w:r w:rsidRPr="00904FCB">
        <w:rPr>
          <w:rFonts w:hint="cs"/>
          <w:sz w:val="27"/>
          <w:rtl/>
        </w:rPr>
        <w:t>)</w:t>
      </w:r>
      <w:r w:rsidR="0052060D" w:rsidRPr="00904FCB">
        <w:rPr>
          <w:rFonts w:hint="cs"/>
          <w:b/>
          <w:sz w:val="27"/>
          <w:rtl/>
          <w:lang w:bidi="fa-IR"/>
        </w:rPr>
        <w:t>.</w:t>
      </w:r>
      <w:r w:rsidRPr="00904FCB">
        <w:rPr>
          <w:rFonts w:hint="cs"/>
          <w:b/>
          <w:sz w:val="27"/>
          <w:rtl/>
          <w:lang w:bidi="fa-IR"/>
        </w:rPr>
        <w:t xml:space="preserve"> </w:t>
      </w:r>
      <w:r w:rsidRPr="00904FCB">
        <w:rPr>
          <w:rFonts w:hint="cs"/>
          <w:sz w:val="27"/>
          <w:rtl/>
        </w:rPr>
        <w:t>فقد ذهب بعض إلى كون هذه الآية دالّة على سببية جميع الأسباب للإرث، وهي: الزوجية، وولاء العتق، وضمان الجريرة، وولاء الإمامة</w:t>
      </w:r>
      <w:r w:rsidRPr="00904FCB">
        <w:rPr>
          <w:b/>
          <w:sz w:val="27"/>
          <w:vertAlign w:val="superscript"/>
          <w:rtl/>
          <w:lang w:bidi="fa-IR"/>
        </w:rPr>
        <w:t>(</w:t>
      </w:r>
      <w:r w:rsidRPr="00904FCB">
        <w:rPr>
          <w:rStyle w:val="ac"/>
          <w:b/>
          <w:sz w:val="27"/>
          <w:rtl/>
          <w:lang w:bidi="fa-IR"/>
        </w:rPr>
        <w:endnoteReference w:id="362"/>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4ـ</w:t>
      </w:r>
      <w:r w:rsidRPr="00904FCB">
        <w:rPr>
          <w:rFonts w:hint="cs"/>
          <w:sz w:val="27"/>
          <w:rtl/>
        </w:rPr>
        <w:t xml:space="preserve"> قوله تعالى: </w:t>
      </w:r>
      <w:r w:rsidRPr="00904FCB">
        <w:rPr>
          <w:rFonts w:ascii="Mosawi" w:hAnsi="Mosawi" w:cs="Mosawi"/>
          <w:sz w:val="24"/>
          <w:rtl/>
        </w:rPr>
        <w:t>﴿</w:t>
      </w:r>
      <w:r w:rsidRPr="00904FCB">
        <w:rPr>
          <w:rFonts w:hint="cs"/>
          <w:sz w:val="27"/>
          <w:rtl/>
        </w:rPr>
        <w:t>...</w:t>
      </w:r>
      <w:r w:rsidRPr="00904FCB">
        <w:rPr>
          <w:bCs/>
          <w:sz w:val="27"/>
          <w:rtl/>
        </w:rPr>
        <w:t>إِلاَّ أَنْ تَفْعَلُوا إِلَ</w:t>
      </w:r>
      <w:r w:rsidRPr="00904FCB">
        <w:rPr>
          <w:rFonts w:hint="cs"/>
          <w:bCs/>
          <w:sz w:val="27"/>
          <w:rtl/>
        </w:rPr>
        <w:t>ى</w:t>
      </w:r>
      <w:r w:rsidRPr="00904FCB">
        <w:rPr>
          <w:bCs/>
          <w:sz w:val="27"/>
          <w:rtl/>
        </w:rPr>
        <w:t xml:space="preserve"> أَوْلِيَائِكُمْ مَعْرُوفاً كَانَ ذَلِكَ فِي الْكِتَابِ مَسْطُوراً</w:t>
      </w:r>
      <w:r w:rsidRPr="00904FCB">
        <w:rPr>
          <w:rFonts w:ascii="Mosawi" w:hAnsi="Mosawi" w:cs="Mosawi"/>
          <w:sz w:val="24"/>
          <w:rtl/>
        </w:rPr>
        <w:t>﴾</w:t>
      </w:r>
      <w:r w:rsidRPr="00904FCB">
        <w:rPr>
          <w:rFonts w:hint="cs"/>
          <w:sz w:val="27"/>
          <w:rtl/>
        </w:rPr>
        <w:t xml:space="preserve"> (الأحزاب: </w:t>
      </w:r>
      <w:r w:rsidRPr="00707BC0">
        <w:rPr>
          <w:rFonts w:hint="cs"/>
          <w:sz w:val="27"/>
          <w:rtl/>
        </w:rPr>
        <w:t>6)</w:t>
      </w:r>
      <w:r w:rsidR="00AE18D5" w:rsidRPr="00707BC0">
        <w:rPr>
          <w:rFonts w:hint="cs"/>
          <w:sz w:val="27"/>
          <w:rtl/>
        </w:rPr>
        <w:t>.</w:t>
      </w:r>
      <w:r w:rsidRPr="00904FCB">
        <w:rPr>
          <w:rFonts w:hint="cs"/>
          <w:position w:val="4"/>
          <w:sz w:val="27"/>
          <w:rtl/>
        </w:rPr>
        <w:t xml:space="preserve"> </w:t>
      </w:r>
      <w:r w:rsidRPr="00904FCB">
        <w:rPr>
          <w:rFonts w:hint="cs"/>
          <w:sz w:val="27"/>
          <w:rtl/>
        </w:rPr>
        <w:t>ولم أعثر على مَن</w:t>
      </w:r>
      <w:r w:rsidR="00AE18D5" w:rsidRPr="00904FCB">
        <w:rPr>
          <w:rFonts w:hint="cs"/>
          <w:sz w:val="27"/>
          <w:rtl/>
        </w:rPr>
        <w:t>ْ</w:t>
      </w:r>
      <w:r w:rsidRPr="00904FCB">
        <w:rPr>
          <w:rFonts w:hint="cs"/>
          <w:sz w:val="27"/>
          <w:rtl/>
        </w:rPr>
        <w:t xml:space="preserve"> استدلّ به صريحاً، وإن</w:t>
      </w:r>
      <w:r w:rsidR="00AE18D5" w:rsidRPr="00904FCB">
        <w:rPr>
          <w:rFonts w:hint="cs"/>
          <w:sz w:val="27"/>
          <w:rtl/>
        </w:rPr>
        <w:t>ْ</w:t>
      </w:r>
      <w:r w:rsidRPr="00904FCB">
        <w:rPr>
          <w:rFonts w:hint="cs"/>
          <w:sz w:val="27"/>
          <w:rtl/>
        </w:rPr>
        <w:t xml:space="preserve"> احتُمل إرادته في كلمات بعضهم. </w:t>
      </w:r>
    </w:p>
    <w:p w:rsidR="005B6CEC" w:rsidRPr="00904FCB" w:rsidRDefault="005B6CEC" w:rsidP="007A21AA">
      <w:pPr>
        <w:spacing w:line="400" w:lineRule="exact"/>
        <w:rPr>
          <w:sz w:val="27"/>
          <w:rtl/>
        </w:rPr>
      </w:pPr>
    </w:p>
    <w:p w:rsidR="005B6CEC" w:rsidRPr="00904FCB" w:rsidRDefault="005B6CEC" w:rsidP="007A21AA">
      <w:pPr>
        <w:pStyle w:val="31"/>
        <w:spacing w:line="400" w:lineRule="exact"/>
        <w:rPr>
          <w:color w:val="auto"/>
          <w:rtl/>
        </w:rPr>
      </w:pPr>
      <w:r w:rsidRPr="00904FCB">
        <w:rPr>
          <w:rFonts w:hint="cs"/>
          <w:color w:val="auto"/>
          <w:rtl/>
        </w:rPr>
        <w:t xml:space="preserve">المناقشة </w:t>
      </w:r>
    </w:p>
    <w:p w:rsidR="005B6CEC" w:rsidRPr="00904FCB" w:rsidRDefault="005B6CEC" w:rsidP="007A21AA">
      <w:pPr>
        <w:spacing w:line="400" w:lineRule="exact"/>
        <w:rPr>
          <w:sz w:val="27"/>
          <w:rtl/>
        </w:rPr>
      </w:pPr>
      <w:r w:rsidRPr="00904FCB">
        <w:rPr>
          <w:rFonts w:hint="cs"/>
          <w:sz w:val="27"/>
          <w:rtl/>
        </w:rPr>
        <w:t>لم تتمّ عندي دلالة هذه النصوص القرآنية على</w:t>
      </w:r>
      <w:r w:rsidR="00AE18D5" w:rsidRPr="00904FCB">
        <w:rPr>
          <w:rFonts w:hint="cs"/>
          <w:sz w:val="27"/>
          <w:rtl/>
        </w:rPr>
        <w:t xml:space="preserve"> المُدّعى</w:t>
      </w:r>
      <w:r w:rsidRPr="00904FCB">
        <w:rPr>
          <w:rFonts w:hint="cs"/>
          <w:sz w:val="27"/>
          <w:rtl/>
        </w:rPr>
        <w:t xml:space="preserve"> من ثبوت التوريث بولاء العتق إطلاقاً: </w:t>
      </w:r>
    </w:p>
    <w:p w:rsidR="005B6CEC" w:rsidRPr="00904FCB" w:rsidRDefault="005B6CEC" w:rsidP="007A21AA">
      <w:pPr>
        <w:spacing w:line="400" w:lineRule="exact"/>
        <w:rPr>
          <w:sz w:val="27"/>
          <w:rtl/>
        </w:rPr>
      </w:pPr>
      <w:r w:rsidRPr="00707BC0">
        <w:rPr>
          <w:rFonts w:hint="cs"/>
          <w:sz w:val="27"/>
          <w:rtl/>
        </w:rPr>
        <w:t>1ـ</w:t>
      </w:r>
      <w:r w:rsidRPr="00904FCB">
        <w:rPr>
          <w:rFonts w:hint="cs"/>
          <w:sz w:val="27"/>
          <w:rtl/>
        </w:rPr>
        <w:t xml:space="preserve"> </w:t>
      </w:r>
      <w:r w:rsidRPr="00904FCB">
        <w:rPr>
          <w:rFonts w:hint="cs"/>
          <w:b/>
          <w:bCs/>
          <w:sz w:val="27"/>
          <w:rtl/>
        </w:rPr>
        <w:t>أمّا النصّ الأوّل</w:t>
      </w:r>
      <w:r w:rsidRPr="00904FCB">
        <w:rPr>
          <w:rFonts w:hint="cs"/>
          <w:sz w:val="27"/>
          <w:rtl/>
        </w:rPr>
        <w:t xml:space="preserve"> فقد صرّ</w:t>
      </w:r>
      <w:r w:rsidR="00AE18D5" w:rsidRPr="00904FCB">
        <w:rPr>
          <w:rFonts w:hint="cs"/>
          <w:sz w:val="27"/>
          <w:rtl/>
        </w:rPr>
        <w:t>َ</w:t>
      </w:r>
      <w:r w:rsidRPr="00904FCB">
        <w:rPr>
          <w:rFonts w:hint="cs"/>
          <w:sz w:val="27"/>
          <w:rtl/>
        </w:rPr>
        <w:t>ح كثير</w:t>
      </w:r>
      <w:r w:rsidR="00AE18D5" w:rsidRPr="00904FCB">
        <w:rPr>
          <w:rFonts w:hint="cs"/>
          <w:sz w:val="27"/>
          <w:rtl/>
        </w:rPr>
        <w:t>ٌ</w:t>
      </w:r>
      <w:r w:rsidRPr="00904FCB">
        <w:rPr>
          <w:rFonts w:hint="cs"/>
          <w:sz w:val="27"/>
          <w:rtl/>
        </w:rPr>
        <w:t xml:space="preserve"> من المفسّ</w:t>
      </w:r>
      <w:r w:rsidR="00AE18D5" w:rsidRPr="00904FCB">
        <w:rPr>
          <w:rFonts w:hint="cs"/>
          <w:sz w:val="27"/>
          <w:rtl/>
        </w:rPr>
        <w:t>ِ</w:t>
      </w:r>
      <w:r w:rsidRPr="00904FCB">
        <w:rPr>
          <w:rFonts w:hint="cs"/>
          <w:sz w:val="27"/>
          <w:rtl/>
        </w:rPr>
        <w:t>رين ـ تعييناً أو احتمالاً ـ</w:t>
      </w:r>
      <w:r w:rsidR="00AE18D5" w:rsidRPr="00904FCB">
        <w:rPr>
          <w:rFonts w:hint="cs"/>
          <w:sz w:val="27"/>
          <w:rtl/>
        </w:rPr>
        <w:t xml:space="preserve"> بأنّ الم</w:t>
      </w:r>
      <w:r w:rsidRPr="00904FCB">
        <w:rPr>
          <w:rFonts w:hint="cs"/>
          <w:sz w:val="27"/>
          <w:rtl/>
        </w:rPr>
        <w:t xml:space="preserve">راد بـ </w:t>
      </w:r>
      <w:r w:rsidRPr="00904FCB">
        <w:rPr>
          <w:rFonts w:ascii="Mosawi" w:hAnsi="Mosawi" w:cs="Mosawi"/>
          <w:sz w:val="24"/>
          <w:rtl/>
        </w:rPr>
        <w:t>﴿</w:t>
      </w:r>
      <w:r w:rsidRPr="00904FCB">
        <w:rPr>
          <w:rFonts w:hint="cs"/>
          <w:bCs/>
          <w:sz w:val="27"/>
          <w:rtl/>
        </w:rPr>
        <w:t>م</w:t>
      </w:r>
      <w:r w:rsidR="00AE18D5" w:rsidRPr="00904FCB">
        <w:rPr>
          <w:rFonts w:hint="cs"/>
          <w:bCs/>
          <w:sz w:val="27"/>
          <w:rtl/>
        </w:rPr>
        <w:t>َ</w:t>
      </w:r>
      <w:r w:rsidRPr="00904FCB">
        <w:rPr>
          <w:rFonts w:hint="cs"/>
          <w:bCs/>
          <w:sz w:val="27"/>
          <w:rtl/>
        </w:rPr>
        <w:t>و</w:t>
      </w:r>
      <w:r w:rsidR="00AE18D5" w:rsidRPr="00904FCB">
        <w:rPr>
          <w:rFonts w:hint="cs"/>
          <w:bCs/>
          <w:sz w:val="27"/>
          <w:rtl/>
        </w:rPr>
        <w:t>َ</w:t>
      </w:r>
      <w:r w:rsidRPr="00904FCB">
        <w:rPr>
          <w:rFonts w:hint="cs"/>
          <w:bCs/>
          <w:sz w:val="27"/>
          <w:rtl/>
        </w:rPr>
        <w:t>ال</w:t>
      </w:r>
      <w:r w:rsidR="00AE18D5" w:rsidRPr="00904FCB">
        <w:rPr>
          <w:rFonts w:hint="cs"/>
          <w:bCs/>
          <w:sz w:val="27"/>
          <w:rtl/>
        </w:rPr>
        <w:t>ِ</w:t>
      </w:r>
      <w:r w:rsidRPr="00904FCB">
        <w:rPr>
          <w:rFonts w:hint="cs"/>
          <w:bCs/>
          <w:sz w:val="27"/>
          <w:rtl/>
        </w:rPr>
        <w:t>يك</w:t>
      </w:r>
      <w:r w:rsidR="00AE18D5" w:rsidRPr="00904FCB">
        <w:rPr>
          <w:rFonts w:hint="cs"/>
          <w:bCs/>
          <w:sz w:val="27"/>
          <w:rtl/>
        </w:rPr>
        <w:t>ُ</w:t>
      </w:r>
      <w:r w:rsidRPr="00904FCB">
        <w:rPr>
          <w:rFonts w:hint="cs"/>
          <w:bCs/>
          <w:sz w:val="27"/>
          <w:rtl/>
        </w:rPr>
        <w:t>م</w:t>
      </w:r>
      <w:r w:rsidR="00AE18D5" w:rsidRPr="00904FCB">
        <w:rPr>
          <w:rFonts w:hint="cs"/>
          <w:bCs/>
          <w:sz w:val="27"/>
          <w:rtl/>
        </w:rPr>
        <w:t>ْ</w:t>
      </w:r>
      <w:r w:rsidRPr="00904FCB">
        <w:rPr>
          <w:rFonts w:ascii="Mosawi" w:hAnsi="Mosawi" w:cs="Mosawi"/>
          <w:sz w:val="24"/>
          <w:rtl/>
        </w:rPr>
        <w:t>﴾</w:t>
      </w:r>
      <w:r w:rsidRPr="00904FCB">
        <w:rPr>
          <w:rFonts w:hint="cs"/>
          <w:sz w:val="27"/>
          <w:rtl/>
        </w:rPr>
        <w:t xml:space="preserve"> الولاية في الدين</w:t>
      </w:r>
      <w:r w:rsidRPr="00904FCB">
        <w:rPr>
          <w:b/>
          <w:sz w:val="27"/>
          <w:vertAlign w:val="superscript"/>
          <w:rtl/>
          <w:lang w:bidi="fa-IR"/>
        </w:rPr>
        <w:t>(</w:t>
      </w:r>
      <w:r w:rsidRPr="00904FCB">
        <w:rPr>
          <w:rStyle w:val="ac"/>
          <w:b/>
          <w:sz w:val="27"/>
          <w:rtl/>
          <w:lang w:bidi="fa-IR"/>
        </w:rPr>
        <w:endnoteReference w:id="363"/>
      </w:r>
      <w:r w:rsidRPr="00904FCB">
        <w:rPr>
          <w:rFonts w:hint="cs"/>
          <w:b/>
          <w:sz w:val="27"/>
          <w:vertAlign w:val="superscript"/>
          <w:rtl/>
          <w:lang w:bidi="fa-IR"/>
        </w:rPr>
        <w:t>)</w:t>
      </w:r>
      <w:r w:rsidR="00AE18D5" w:rsidRPr="00904FCB">
        <w:rPr>
          <w:rFonts w:hint="cs"/>
          <w:b/>
          <w:sz w:val="27"/>
          <w:rtl/>
          <w:lang w:bidi="fa-IR"/>
        </w:rPr>
        <w:t>،</w:t>
      </w:r>
      <w:r w:rsidRPr="00904FCB">
        <w:rPr>
          <w:rFonts w:hint="cs"/>
          <w:b/>
          <w:sz w:val="27"/>
          <w:rtl/>
          <w:lang w:bidi="fa-IR"/>
        </w:rPr>
        <w:t xml:space="preserve"> </w:t>
      </w:r>
      <w:r w:rsidRPr="00904FCB">
        <w:rPr>
          <w:rFonts w:hint="cs"/>
          <w:sz w:val="27"/>
          <w:rtl/>
        </w:rPr>
        <w:t xml:space="preserve">وما تقتضيه من النصرة؛ بقرينة المعطوف عليه: </w:t>
      </w:r>
      <w:r w:rsidRPr="00904FCB">
        <w:rPr>
          <w:rFonts w:ascii="Mosawi" w:hAnsi="Mosawi" w:cs="Mosawi"/>
          <w:sz w:val="24"/>
          <w:rtl/>
        </w:rPr>
        <w:t>﴿</w:t>
      </w:r>
      <w:r w:rsidR="00AE18D5" w:rsidRPr="00904FCB">
        <w:rPr>
          <w:b/>
          <w:bCs/>
          <w:sz w:val="27"/>
          <w:rtl/>
        </w:rPr>
        <w:t>فَإِخْوَانُكُمْ فِي الدِّينِ</w:t>
      </w:r>
      <w:r w:rsidRPr="00904FCB">
        <w:rPr>
          <w:rFonts w:ascii="Mosawi" w:hAnsi="Mosawi" w:cs="Mosawi"/>
          <w:sz w:val="24"/>
          <w:rtl/>
        </w:rPr>
        <w:t>﴾</w:t>
      </w:r>
      <w:r w:rsidR="00E14803">
        <w:rPr>
          <w:rFonts w:hint="cs"/>
          <w:sz w:val="27"/>
          <w:rtl/>
        </w:rPr>
        <w:t>؛</w:t>
      </w:r>
      <w:r w:rsidRPr="00904FCB">
        <w:rPr>
          <w:rFonts w:hint="cs"/>
          <w:sz w:val="27"/>
          <w:rtl/>
        </w:rPr>
        <w:t xml:space="preserve"> حيث عطف عليه </w:t>
      </w:r>
      <w:r w:rsidRPr="00904FCB">
        <w:rPr>
          <w:rFonts w:ascii="Mosawi" w:hAnsi="Mosawi" w:cs="Mosawi"/>
          <w:sz w:val="24"/>
          <w:rtl/>
        </w:rPr>
        <w:t>﴿</w:t>
      </w:r>
      <w:r w:rsidR="00AE18D5" w:rsidRPr="00904FCB">
        <w:rPr>
          <w:b/>
          <w:bCs/>
          <w:sz w:val="27"/>
          <w:rtl/>
        </w:rPr>
        <w:t>مَوَالِيكُمْ</w:t>
      </w:r>
      <w:r w:rsidRPr="00904FCB">
        <w:rPr>
          <w:rFonts w:ascii="Mosawi" w:hAnsi="Mosawi" w:cs="Mosawi"/>
          <w:sz w:val="24"/>
          <w:rtl/>
        </w:rPr>
        <w:t>﴾</w:t>
      </w:r>
      <w:r w:rsidRPr="00904FCB">
        <w:rPr>
          <w:rFonts w:hint="cs"/>
          <w:sz w:val="27"/>
          <w:rtl/>
        </w:rPr>
        <w:t xml:space="preserve">، قال تعالى: </w:t>
      </w:r>
      <w:r w:rsidRPr="00904FCB">
        <w:rPr>
          <w:rFonts w:ascii="Mosawi" w:hAnsi="Mosawi" w:cs="Mosawi"/>
          <w:sz w:val="24"/>
          <w:rtl/>
        </w:rPr>
        <w:t>﴿</w:t>
      </w:r>
      <w:r w:rsidR="00AE18D5" w:rsidRPr="00904FCB">
        <w:rPr>
          <w:b/>
          <w:bCs/>
          <w:sz w:val="27"/>
          <w:rtl/>
        </w:rPr>
        <w:t>فَإِخْوَانُكُمْ فِي الدِّينِ وَمَوَالِيكُمْ</w:t>
      </w:r>
      <w:r w:rsidRPr="00904FCB">
        <w:rPr>
          <w:rFonts w:ascii="Mosawi" w:hAnsi="Mosawi" w:cs="Mosawi"/>
          <w:sz w:val="24"/>
          <w:rtl/>
        </w:rPr>
        <w:t>﴾</w:t>
      </w:r>
      <w:r w:rsidRPr="00904FCB">
        <w:rPr>
          <w:rFonts w:hint="cs"/>
          <w:sz w:val="27"/>
          <w:rtl/>
        </w:rPr>
        <w:t xml:space="preserve">، أي إخوانكم في الدين وأولياؤكم في الدين والملّة. </w:t>
      </w:r>
    </w:p>
    <w:p w:rsidR="005B6CEC" w:rsidRPr="00904FCB" w:rsidRDefault="005B6CEC" w:rsidP="007A21AA">
      <w:pPr>
        <w:spacing w:line="400" w:lineRule="exact"/>
        <w:rPr>
          <w:sz w:val="27"/>
          <w:rtl/>
        </w:rPr>
      </w:pPr>
      <w:r w:rsidRPr="00904FCB">
        <w:rPr>
          <w:rFonts w:hint="cs"/>
          <w:b/>
          <w:bCs/>
          <w:sz w:val="27"/>
          <w:rtl/>
        </w:rPr>
        <w:t xml:space="preserve">أقول: </w:t>
      </w:r>
      <w:r w:rsidRPr="00904FCB">
        <w:rPr>
          <w:rFonts w:hint="cs"/>
          <w:sz w:val="27"/>
          <w:rtl/>
        </w:rPr>
        <w:t xml:space="preserve">الراجح عندي </w:t>
      </w:r>
      <w:r w:rsidR="00AE18D5" w:rsidRPr="00904FCB">
        <w:rPr>
          <w:rFonts w:hint="cs"/>
          <w:sz w:val="27"/>
          <w:rtl/>
        </w:rPr>
        <w:t>أنّ الم</w:t>
      </w:r>
      <w:r w:rsidRPr="00904FCB">
        <w:rPr>
          <w:rFonts w:hint="cs"/>
          <w:sz w:val="27"/>
          <w:rtl/>
        </w:rPr>
        <w:t>راد بأوليائكم إمّا الولاء الحاصل من عقد ضمان الجريرة خاصّة</w:t>
      </w:r>
      <w:r w:rsidR="00AE18D5" w:rsidRPr="00904FCB">
        <w:rPr>
          <w:rFonts w:hint="cs"/>
          <w:sz w:val="27"/>
          <w:rtl/>
        </w:rPr>
        <w:t>؛</w:t>
      </w:r>
      <w:r w:rsidRPr="00904FCB">
        <w:rPr>
          <w:rFonts w:hint="cs"/>
          <w:sz w:val="27"/>
          <w:rtl/>
        </w:rPr>
        <w:t xml:space="preserve"> أو الأعمّ منه ومن النصرة والولاية الدينية.</w:t>
      </w:r>
    </w:p>
    <w:p w:rsidR="005B6CEC" w:rsidRPr="00904FCB" w:rsidRDefault="005B6CEC" w:rsidP="007A21AA">
      <w:pPr>
        <w:spacing w:line="400" w:lineRule="exact"/>
        <w:rPr>
          <w:sz w:val="27"/>
          <w:rtl/>
        </w:rPr>
      </w:pPr>
      <w:r w:rsidRPr="00904FCB">
        <w:rPr>
          <w:rFonts w:hint="cs"/>
          <w:b/>
          <w:bCs/>
          <w:sz w:val="27"/>
          <w:rtl/>
        </w:rPr>
        <w:t>وأمّا دعوى ك</w:t>
      </w:r>
      <w:r w:rsidR="00AE18D5" w:rsidRPr="00904FCB">
        <w:rPr>
          <w:rFonts w:hint="cs"/>
          <w:b/>
          <w:bCs/>
          <w:sz w:val="27"/>
          <w:rtl/>
        </w:rPr>
        <w:t>ون الم</w:t>
      </w:r>
      <w:r w:rsidRPr="00904FCB">
        <w:rPr>
          <w:rFonts w:hint="cs"/>
          <w:b/>
          <w:bCs/>
          <w:sz w:val="27"/>
          <w:rtl/>
        </w:rPr>
        <w:t>راد الولاء بالنعمة</w:t>
      </w:r>
      <w:r w:rsidRPr="00904FCB">
        <w:rPr>
          <w:rFonts w:hint="cs"/>
          <w:sz w:val="27"/>
          <w:rtl/>
        </w:rPr>
        <w:t xml:space="preserve"> ـ كما قال بعضهم</w:t>
      </w:r>
      <w:r w:rsidR="00AE18D5" w:rsidRPr="00904FCB">
        <w:rPr>
          <w:rFonts w:hint="cs"/>
          <w:sz w:val="27"/>
          <w:rtl/>
        </w:rPr>
        <w:t>،</w:t>
      </w:r>
      <w:r w:rsidRPr="00904FCB">
        <w:rPr>
          <w:rFonts w:hint="cs"/>
          <w:sz w:val="27"/>
          <w:rtl/>
        </w:rPr>
        <w:t xml:space="preserve"> كالإمام الشافعي: </w:t>
      </w:r>
      <w:r w:rsidRPr="00904FCB">
        <w:rPr>
          <w:rFonts w:hint="eastAsia"/>
          <w:sz w:val="27"/>
          <w:rtl/>
        </w:rPr>
        <w:t>«</w:t>
      </w:r>
      <w:r w:rsidRPr="00904FCB">
        <w:rPr>
          <w:rFonts w:hint="cs"/>
          <w:sz w:val="27"/>
          <w:rtl/>
        </w:rPr>
        <w:t>فنسب الموالي نسبين: أحدهما إلى الآباء</w:t>
      </w:r>
      <w:r w:rsidR="00AE18D5" w:rsidRPr="00904FCB">
        <w:rPr>
          <w:rFonts w:hint="cs"/>
          <w:sz w:val="27"/>
          <w:rtl/>
        </w:rPr>
        <w:t>؛</w:t>
      </w:r>
      <w:r w:rsidRPr="00904FCB">
        <w:rPr>
          <w:rFonts w:hint="cs"/>
          <w:sz w:val="27"/>
          <w:rtl/>
        </w:rPr>
        <w:t xml:space="preserve"> والآخر إلى الولاء، وجعل الولاء بالنعمة...</w:t>
      </w:r>
      <w:r w:rsidRPr="00904FCB">
        <w:rPr>
          <w:rFonts w:hint="eastAsia"/>
          <w:sz w:val="27"/>
          <w:rtl/>
        </w:rPr>
        <w:t>»</w:t>
      </w:r>
      <w:r w:rsidRPr="00904FCB">
        <w:rPr>
          <w:b/>
          <w:sz w:val="27"/>
          <w:vertAlign w:val="superscript"/>
          <w:rtl/>
          <w:lang w:bidi="fa-IR"/>
        </w:rPr>
        <w:t>(</w:t>
      </w:r>
      <w:r w:rsidRPr="00904FCB">
        <w:rPr>
          <w:rStyle w:val="ac"/>
          <w:b/>
          <w:sz w:val="27"/>
          <w:rtl/>
          <w:lang w:bidi="fa-IR"/>
        </w:rPr>
        <w:endnoteReference w:id="364"/>
      </w:r>
      <w:r w:rsidRPr="00904FCB">
        <w:rPr>
          <w:rFonts w:hint="cs"/>
          <w:b/>
          <w:sz w:val="27"/>
          <w:vertAlign w:val="superscript"/>
          <w:rtl/>
          <w:lang w:bidi="fa-IR"/>
        </w:rPr>
        <w:t xml:space="preserve">) </w:t>
      </w:r>
      <w:r w:rsidRPr="00904FCB">
        <w:rPr>
          <w:rFonts w:hint="cs"/>
          <w:sz w:val="27"/>
          <w:rtl/>
        </w:rPr>
        <w:t xml:space="preserve">ـ </w:t>
      </w:r>
      <w:r w:rsidRPr="00904FCB">
        <w:rPr>
          <w:rFonts w:hint="cs"/>
          <w:b/>
          <w:bCs/>
          <w:sz w:val="27"/>
          <w:rtl/>
        </w:rPr>
        <w:t>في</w:t>
      </w:r>
      <w:r w:rsidR="00AE18D5" w:rsidRPr="00904FCB">
        <w:rPr>
          <w:rFonts w:hint="cs"/>
          <w:b/>
          <w:bCs/>
          <w:sz w:val="27"/>
          <w:rtl/>
        </w:rPr>
        <w:t>َ</w:t>
      </w:r>
      <w:r w:rsidRPr="00904FCB">
        <w:rPr>
          <w:rFonts w:hint="cs"/>
          <w:b/>
          <w:bCs/>
          <w:sz w:val="27"/>
          <w:rtl/>
        </w:rPr>
        <w:t>ر</w:t>
      </w:r>
      <w:r w:rsidR="00AE18D5" w:rsidRPr="00904FCB">
        <w:rPr>
          <w:rFonts w:hint="cs"/>
          <w:b/>
          <w:bCs/>
          <w:sz w:val="27"/>
          <w:rtl/>
        </w:rPr>
        <w:t>ِ</w:t>
      </w:r>
      <w:r w:rsidRPr="00904FCB">
        <w:rPr>
          <w:rFonts w:hint="cs"/>
          <w:b/>
          <w:bCs/>
          <w:sz w:val="27"/>
          <w:rtl/>
        </w:rPr>
        <w:t>د</w:t>
      </w:r>
      <w:r w:rsidR="00AE18D5" w:rsidRPr="00904FCB">
        <w:rPr>
          <w:rFonts w:hint="cs"/>
          <w:b/>
          <w:bCs/>
          <w:sz w:val="27"/>
          <w:rtl/>
        </w:rPr>
        <w:t>ُ</w:t>
      </w:r>
      <w:r w:rsidRPr="00904FCB">
        <w:rPr>
          <w:rFonts w:hint="cs"/>
          <w:b/>
          <w:bCs/>
          <w:sz w:val="27"/>
          <w:rtl/>
        </w:rPr>
        <w:t xml:space="preserve"> عليه</w:t>
      </w:r>
      <w:r w:rsidRPr="00904FCB">
        <w:rPr>
          <w:rFonts w:hint="cs"/>
          <w:sz w:val="27"/>
          <w:rtl/>
        </w:rPr>
        <w:t xml:space="preserve"> أنّ هذا الولاء ليس في مقابل ال</w:t>
      </w:r>
      <w:r w:rsidR="00AE18D5" w:rsidRPr="00904FCB">
        <w:rPr>
          <w:rFonts w:hint="cs"/>
          <w:sz w:val="27"/>
          <w:rtl/>
        </w:rPr>
        <w:t>أخوّة الدينية حتّى</w:t>
      </w:r>
      <w:r w:rsidRPr="00904FCB">
        <w:rPr>
          <w:rFonts w:hint="cs"/>
          <w:sz w:val="27"/>
          <w:rtl/>
        </w:rPr>
        <w:t xml:space="preserve"> يكون قسيماً له</w:t>
      </w:r>
      <w:r w:rsidR="00AE18D5" w:rsidRPr="00904FCB">
        <w:rPr>
          <w:rFonts w:hint="cs"/>
          <w:sz w:val="27"/>
          <w:rtl/>
        </w:rPr>
        <w:t>.</w:t>
      </w:r>
      <w:r w:rsidRPr="00904FCB">
        <w:rPr>
          <w:rFonts w:hint="cs"/>
          <w:sz w:val="27"/>
          <w:rtl/>
        </w:rPr>
        <w:t xml:space="preserve"> </w:t>
      </w:r>
      <w:r w:rsidR="00AE18D5" w:rsidRPr="00904FCB">
        <w:rPr>
          <w:rFonts w:hint="cs"/>
          <w:sz w:val="27"/>
          <w:rtl/>
        </w:rPr>
        <w:t>م</w:t>
      </w:r>
      <w:r w:rsidRPr="00904FCB">
        <w:rPr>
          <w:rFonts w:hint="cs"/>
          <w:sz w:val="27"/>
          <w:rtl/>
        </w:rPr>
        <w:t xml:space="preserve">ضافاً </w:t>
      </w:r>
      <w:r w:rsidRPr="00904FCB">
        <w:rPr>
          <w:rFonts w:hint="cs"/>
          <w:sz w:val="27"/>
          <w:rtl/>
        </w:rPr>
        <w:lastRenderedPageBreak/>
        <w:t>إلى عدم كون القسمة حاصرة، فالكافر الحرّ غير معلوم النسب والعبد الباقي على الرقّية لا يدخلان في شيء</w:t>
      </w:r>
      <w:r w:rsidR="00AE18D5" w:rsidRPr="00904FCB">
        <w:rPr>
          <w:rFonts w:hint="cs"/>
          <w:sz w:val="27"/>
          <w:rtl/>
        </w:rPr>
        <w:t>ٍ</w:t>
      </w:r>
      <w:r w:rsidRPr="00904FCB">
        <w:rPr>
          <w:rFonts w:hint="cs"/>
          <w:sz w:val="27"/>
          <w:rtl/>
        </w:rPr>
        <w:t xml:space="preserve"> من هذين القسمين. </w:t>
      </w:r>
    </w:p>
    <w:p w:rsidR="005B6CEC" w:rsidRPr="00904FCB" w:rsidRDefault="005B6CEC" w:rsidP="007A21AA">
      <w:pPr>
        <w:spacing w:line="400" w:lineRule="exact"/>
        <w:rPr>
          <w:sz w:val="27"/>
          <w:rtl/>
        </w:rPr>
      </w:pPr>
      <w:r w:rsidRPr="00904FCB">
        <w:rPr>
          <w:rFonts w:hint="cs"/>
          <w:b/>
          <w:bCs/>
          <w:sz w:val="27"/>
          <w:rtl/>
        </w:rPr>
        <w:t xml:space="preserve">وأمّا دعوى كون المُراد بـ </w:t>
      </w:r>
      <w:r w:rsidRPr="00904FCB">
        <w:rPr>
          <w:rFonts w:ascii="Mosawi" w:hAnsi="Mosawi" w:cs="Mosawi"/>
          <w:sz w:val="24"/>
          <w:rtl/>
        </w:rPr>
        <w:t>﴿</w:t>
      </w:r>
      <w:r w:rsidR="00AE18D5" w:rsidRPr="00904FCB">
        <w:rPr>
          <w:b/>
          <w:bCs/>
          <w:sz w:val="27"/>
          <w:rtl/>
        </w:rPr>
        <w:t>مَوَالِيكُمْ</w:t>
      </w:r>
      <w:r w:rsidRPr="00904FCB">
        <w:rPr>
          <w:rFonts w:ascii="Mosawi" w:hAnsi="Mosawi" w:cs="Mosawi"/>
          <w:sz w:val="24"/>
          <w:rtl/>
        </w:rPr>
        <w:t>﴾</w:t>
      </w:r>
      <w:r w:rsidRPr="00904FCB">
        <w:rPr>
          <w:rFonts w:hint="cs"/>
          <w:b/>
          <w:bCs/>
          <w:sz w:val="27"/>
          <w:rtl/>
        </w:rPr>
        <w:t xml:space="preserve"> مماليككم</w:t>
      </w:r>
      <w:r w:rsidRPr="00E14803">
        <w:rPr>
          <w:bCs/>
          <w:sz w:val="27"/>
          <w:vertAlign w:val="superscript"/>
          <w:rtl/>
          <w:lang w:bidi="fa-IR"/>
        </w:rPr>
        <w:t>(</w:t>
      </w:r>
      <w:r w:rsidRPr="00E14803">
        <w:rPr>
          <w:rStyle w:val="ac"/>
          <w:bCs/>
          <w:sz w:val="27"/>
          <w:rtl/>
          <w:lang w:bidi="fa-IR"/>
        </w:rPr>
        <w:endnoteReference w:id="365"/>
      </w:r>
      <w:r w:rsidRPr="00E14803">
        <w:rPr>
          <w:rFonts w:hint="cs"/>
          <w:bCs/>
          <w:sz w:val="27"/>
          <w:vertAlign w:val="superscript"/>
          <w:rtl/>
          <w:lang w:bidi="fa-IR"/>
        </w:rPr>
        <w:t>)</w:t>
      </w:r>
      <w:r w:rsidR="00AE18D5" w:rsidRPr="00E14803">
        <w:rPr>
          <w:rFonts w:hint="cs"/>
          <w:bCs/>
          <w:sz w:val="27"/>
          <w:rtl/>
        </w:rPr>
        <w:t xml:space="preserve"> </w:t>
      </w:r>
      <w:r w:rsidRPr="00904FCB">
        <w:rPr>
          <w:rFonts w:hint="cs"/>
          <w:b/>
          <w:bCs/>
          <w:sz w:val="27"/>
          <w:rtl/>
        </w:rPr>
        <w:t>في</w:t>
      </w:r>
      <w:r w:rsidR="00AE18D5" w:rsidRPr="00904FCB">
        <w:rPr>
          <w:rFonts w:hint="cs"/>
          <w:b/>
          <w:bCs/>
          <w:sz w:val="27"/>
          <w:rtl/>
        </w:rPr>
        <w:t>َ</w:t>
      </w:r>
      <w:r w:rsidRPr="00904FCB">
        <w:rPr>
          <w:rFonts w:hint="cs"/>
          <w:b/>
          <w:bCs/>
          <w:sz w:val="27"/>
          <w:rtl/>
        </w:rPr>
        <w:t>ر</w:t>
      </w:r>
      <w:r w:rsidR="00AE18D5" w:rsidRPr="00904FCB">
        <w:rPr>
          <w:rFonts w:hint="cs"/>
          <w:b/>
          <w:bCs/>
          <w:sz w:val="27"/>
          <w:rtl/>
        </w:rPr>
        <w:t>ِ</w:t>
      </w:r>
      <w:r w:rsidRPr="00904FCB">
        <w:rPr>
          <w:rFonts w:hint="cs"/>
          <w:b/>
          <w:bCs/>
          <w:sz w:val="27"/>
          <w:rtl/>
        </w:rPr>
        <w:t>د</w:t>
      </w:r>
      <w:r w:rsidR="00AE18D5" w:rsidRPr="00904FCB">
        <w:rPr>
          <w:rFonts w:hint="cs"/>
          <w:b/>
          <w:bCs/>
          <w:sz w:val="27"/>
          <w:rtl/>
        </w:rPr>
        <w:t>ُ</w:t>
      </w:r>
      <w:r w:rsidRPr="00904FCB">
        <w:rPr>
          <w:rFonts w:hint="cs"/>
          <w:b/>
          <w:bCs/>
          <w:sz w:val="27"/>
          <w:rtl/>
        </w:rPr>
        <w:t xml:space="preserve"> عليه</w:t>
      </w:r>
      <w:r w:rsidRPr="00904FCB">
        <w:rPr>
          <w:rFonts w:hint="cs"/>
          <w:sz w:val="27"/>
          <w:rtl/>
        </w:rPr>
        <w:t xml:space="preserve"> أنّ وصف المملوك بالمملوكية لغو</w:t>
      </w:r>
      <w:r w:rsidR="00AE18D5" w:rsidRPr="00904FCB">
        <w:rPr>
          <w:rFonts w:hint="cs"/>
          <w:sz w:val="27"/>
          <w:rtl/>
        </w:rPr>
        <w:t>ٌ؛</w:t>
      </w:r>
      <w:r w:rsidRPr="00904FCB">
        <w:rPr>
          <w:rFonts w:hint="cs"/>
          <w:sz w:val="27"/>
          <w:rtl/>
        </w:rPr>
        <w:t xml:space="preserve"> فإنّه تحصيل</w:t>
      </w:r>
      <w:r w:rsidR="00AE18D5" w:rsidRPr="00904FCB">
        <w:rPr>
          <w:rFonts w:hint="cs"/>
          <w:sz w:val="27"/>
          <w:rtl/>
        </w:rPr>
        <w:t>ٌ</w:t>
      </w:r>
      <w:r w:rsidRPr="00904FCB">
        <w:rPr>
          <w:rFonts w:hint="cs"/>
          <w:sz w:val="27"/>
          <w:rtl/>
        </w:rPr>
        <w:t xml:space="preserve"> للحاصل</w:t>
      </w:r>
      <w:r w:rsidR="00AE18D5" w:rsidRPr="00904FCB">
        <w:rPr>
          <w:rFonts w:hint="cs"/>
          <w:sz w:val="27"/>
          <w:rtl/>
        </w:rPr>
        <w:t>.</w:t>
      </w:r>
      <w:r w:rsidRPr="00904FCB">
        <w:rPr>
          <w:rFonts w:hint="cs"/>
          <w:sz w:val="27"/>
          <w:rtl/>
        </w:rPr>
        <w:t xml:space="preserve"> كما أنّ التعبير عن العبيد بهذا اللفظ غير متعارف في القرآن</w:t>
      </w:r>
      <w:r w:rsidR="00AE18D5" w:rsidRPr="00904FCB">
        <w:rPr>
          <w:rFonts w:hint="cs"/>
          <w:sz w:val="27"/>
          <w:rtl/>
        </w:rPr>
        <w:t>.</w:t>
      </w:r>
      <w:r w:rsidRPr="00904FCB">
        <w:rPr>
          <w:rFonts w:hint="cs"/>
          <w:sz w:val="27"/>
          <w:rtl/>
        </w:rPr>
        <w:t xml:space="preserve"> مُضافاً إلى ما مرّ من عدم كون القسمة حاصرة. </w:t>
      </w:r>
    </w:p>
    <w:p w:rsidR="005B6CEC" w:rsidRPr="00904FCB" w:rsidRDefault="005B6CEC" w:rsidP="00E14803">
      <w:pPr>
        <w:spacing w:line="400" w:lineRule="exact"/>
        <w:rPr>
          <w:sz w:val="27"/>
          <w:rtl/>
        </w:rPr>
      </w:pPr>
      <w:r w:rsidRPr="00E14803">
        <w:rPr>
          <w:rFonts w:hint="cs"/>
          <w:b/>
          <w:bCs/>
          <w:sz w:val="27"/>
          <w:rtl/>
        </w:rPr>
        <w:t xml:space="preserve">وأمّا دعوى كون المُراد بـ </w:t>
      </w:r>
      <w:r w:rsidRPr="00E14803">
        <w:rPr>
          <w:rFonts w:ascii="Mosawi" w:hAnsi="Mosawi" w:cs="Mosawi"/>
          <w:b/>
          <w:bCs/>
          <w:sz w:val="24"/>
          <w:rtl/>
        </w:rPr>
        <w:t>﴿</w:t>
      </w:r>
      <w:r w:rsidRPr="00E14803">
        <w:rPr>
          <w:rFonts w:hint="cs"/>
          <w:b/>
          <w:bCs/>
          <w:sz w:val="27"/>
          <w:rtl/>
        </w:rPr>
        <w:t>مواليكم</w:t>
      </w:r>
      <w:r w:rsidRPr="00E14803">
        <w:rPr>
          <w:rFonts w:ascii="Mosawi" w:hAnsi="Mosawi" w:cs="Mosawi"/>
          <w:b/>
          <w:bCs/>
          <w:sz w:val="24"/>
          <w:rtl/>
        </w:rPr>
        <w:t>﴾</w:t>
      </w:r>
      <w:r w:rsidRPr="00E14803">
        <w:rPr>
          <w:rFonts w:hint="cs"/>
          <w:b/>
          <w:bCs/>
          <w:sz w:val="27"/>
          <w:rtl/>
        </w:rPr>
        <w:t xml:space="preserve"> أبناء العمّ</w:t>
      </w:r>
      <w:r w:rsidRPr="00E14803">
        <w:rPr>
          <w:b/>
          <w:bCs/>
          <w:sz w:val="27"/>
          <w:vertAlign w:val="superscript"/>
          <w:rtl/>
          <w:lang w:bidi="fa-IR"/>
        </w:rPr>
        <w:t>(</w:t>
      </w:r>
      <w:r w:rsidRPr="00E14803">
        <w:rPr>
          <w:rStyle w:val="ac"/>
          <w:b/>
          <w:bCs/>
          <w:sz w:val="27"/>
          <w:rtl/>
          <w:lang w:bidi="fa-IR"/>
        </w:rPr>
        <w:endnoteReference w:id="366"/>
      </w:r>
      <w:r w:rsidRPr="00E14803">
        <w:rPr>
          <w:rFonts w:hint="cs"/>
          <w:b/>
          <w:bCs/>
          <w:sz w:val="27"/>
          <w:vertAlign w:val="superscript"/>
          <w:rtl/>
          <w:lang w:bidi="fa-IR"/>
        </w:rPr>
        <w:t xml:space="preserve">) </w:t>
      </w:r>
      <w:r w:rsidRPr="00E14803">
        <w:rPr>
          <w:rFonts w:hint="cs"/>
          <w:b/>
          <w:bCs/>
          <w:sz w:val="27"/>
          <w:rtl/>
        </w:rPr>
        <w:t>في</w:t>
      </w:r>
      <w:r w:rsidR="00E14803" w:rsidRPr="00E14803">
        <w:rPr>
          <w:rFonts w:hint="cs"/>
          <w:b/>
          <w:bCs/>
          <w:sz w:val="27"/>
          <w:rtl/>
        </w:rPr>
        <w:t>َ</w:t>
      </w:r>
      <w:r w:rsidRPr="00E14803">
        <w:rPr>
          <w:rFonts w:hint="cs"/>
          <w:b/>
          <w:bCs/>
          <w:sz w:val="27"/>
          <w:rtl/>
        </w:rPr>
        <w:t>ر</w:t>
      </w:r>
      <w:r w:rsidR="00E14803" w:rsidRPr="00E14803">
        <w:rPr>
          <w:rFonts w:hint="cs"/>
          <w:b/>
          <w:bCs/>
          <w:sz w:val="27"/>
          <w:rtl/>
        </w:rPr>
        <w:t>ِ</w:t>
      </w:r>
      <w:r w:rsidRPr="00E14803">
        <w:rPr>
          <w:rFonts w:hint="cs"/>
          <w:b/>
          <w:bCs/>
          <w:sz w:val="27"/>
          <w:rtl/>
        </w:rPr>
        <w:t>د</w:t>
      </w:r>
      <w:r w:rsidR="00E14803" w:rsidRPr="00E14803">
        <w:rPr>
          <w:rFonts w:hint="cs"/>
          <w:b/>
          <w:bCs/>
          <w:sz w:val="27"/>
          <w:rtl/>
        </w:rPr>
        <w:t>ُ</w:t>
      </w:r>
      <w:r w:rsidRPr="00E14803">
        <w:rPr>
          <w:rFonts w:hint="cs"/>
          <w:b/>
          <w:bCs/>
          <w:sz w:val="27"/>
          <w:rtl/>
        </w:rPr>
        <w:t xml:space="preserve"> عليه</w:t>
      </w:r>
      <w:r w:rsidRPr="00904FCB">
        <w:rPr>
          <w:rFonts w:hint="cs"/>
          <w:sz w:val="27"/>
          <w:rtl/>
        </w:rPr>
        <w:t xml:space="preserve"> أنّه مناقض مع النصّ نفسه، فما دام النسب غير معلوم فلا يُنسب إلى أحد مُطلقاً</w:t>
      </w:r>
      <w:r w:rsidR="00E14803">
        <w:rPr>
          <w:rFonts w:hint="cs"/>
          <w:sz w:val="27"/>
          <w:rtl/>
        </w:rPr>
        <w:t>،</w:t>
      </w:r>
      <w:r w:rsidRPr="00904FCB">
        <w:rPr>
          <w:rFonts w:hint="cs"/>
          <w:sz w:val="27"/>
          <w:rtl/>
        </w:rPr>
        <w:t xml:space="preserve"> سواء نُسب إلى أب أو جدّ أو عمّ أو غيرهم من الأنساب</w:t>
      </w:r>
      <w:r w:rsidR="00E14803">
        <w:rPr>
          <w:rFonts w:hint="cs"/>
          <w:sz w:val="27"/>
          <w:rtl/>
        </w:rPr>
        <w:t>.</w:t>
      </w:r>
      <w:r w:rsidRPr="00904FCB">
        <w:rPr>
          <w:rFonts w:hint="cs"/>
          <w:sz w:val="27"/>
          <w:rtl/>
        </w:rPr>
        <w:t xml:space="preserve"> مُضافاً إلى ما ذكرناه من عدم كون القسمة حاصرة. </w:t>
      </w:r>
    </w:p>
    <w:p w:rsidR="005B6CEC" w:rsidRPr="00904FCB" w:rsidRDefault="005B6CEC" w:rsidP="007A21AA">
      <w:pPr>
        <w:spacing w:line="400" w:lineRule="exact"/>
        <w:rPr>
          <w:sz w:val="27"/>
          <w:rtl/>
        </w:rPr>
      </w:pPr>
      <w:r w:rsidRPr="00707BC0">
        <w:rPr>
          <w:rFonts w:hint="cs"/>
          <w:sz w:val="27"/>
          <w:rtl/>
        </w:rPr>
        <w:t>2ـ</w:t>
      </w:r>
      <w:r w:rsidRPr="00904FCB">
        <w:rPr>
          <w:rFonts w:hint="cs"/>
          <w:sz w:val="27"/>
          <w:rtl/>
        </w:rPr>
        <w:t xml:space="preserve"> </w:t>
      </w:r>
      <w:r w:rsidRPr="00904FCB">
        <w:rPr>
          <w:rFonts w:hint="cs"/>
          <w:b/>
          <w:bCs/>
          <w:sz w:val="27"/>
          <w:rtl/>
        </w:rPr>
        <w:t>وأمّا النصّ الثاني</w:t>
      </w:r>
      <w:r w:rsidR="00AE18D5" w:rsidRPr="00904FCB">
        <w:rPr>
          <w:rFonts w:hint="cs"/>
          <w:sz w:val="27"/>
          <w:rtl/>
        </w:rPr>
        <w:t xml:space="preserve"> فإنّ الم</w:t>
      </w:r>
      <w:r w:rsidRPr="00904FCB">
        <w:rPr>
          <w:rFonts w:hint="cs"/>
          <w:sz w:val="27"/>
          <w:rtl/>
        </w:rPr>
        <w:t>راد به الورثة النسبي</w:t>
      </w:r>
      <w:r w:rsidR="00AE18D5" w:rsidRPr="00904FCB">
        <w:rPr>
          <w:rFonts w:hint="cs"/>
          <w:sz w:val="27"/>
          <w:rtl/>
        </w:rPr>
        <w:t>ّ</w:t>
      </w:r>
      <w:r w:rsidRPr="00904FCB">
        <w:rPr>
          <w:rFonts w:hint="cs"/>
          <w:sz w:val="27"/>
          <w:rtl/>
        </w:rPr>
        <w:t>ون خاصّة</w:t>
      </w:r>
      <w:r w:rsidR="00AE18D5" w:rsidRPr="00904FCB">
        <w:rPr>
          <w:rFonts w:hint="cs"/>
          <w:sz w:val="27"/>
          <w:rtl/>
        </w:rPr>
        <w:t>؛</w:t>
      </w:r>
      <w:r w:rsidRPr="00904FCB">
        <w:rPr>
          <w:rFonts w:hint="cs"/>
          <w:sz w:val="27"/>
          <w:rtl/>
        </w:rPr>
        <w:t xml:space="preserve"> بقرينة قوله: </w:t>
      </w:r>
      <w:r w:rsidRPr="00904FCB">
        <w:rPr>
          <w:rFonts w:ascii="Mosawi" w:hAnsi="Mosawi" w:cs="Mosawi"/>
          <w:sz w:val="24"/>
          <w:rtl/>
        </w:rPr>
        <w:t>﴿</w:t>
      </w:r>
      <w:r w:rsidRPr="00904FCB">
        <w:rPr>
          <w:bCs/>
          <w:sz w:val="27"/>
          <w:rtl/>
        </w:rPr>
        <w:t>مِمَّا تَرَكَ الْوَالِدَانِ وَالأَقْرَبُونَ</w:t>
      </w:r>
      <w:r w:rsidRPr="00904FCB">
        <w:rPr>
          <w:rFonts w:ascii="Mosawi" w:hAnsi="Mosawi" w:cs="Mosawi"/>
          <w:sz w:val="24"/>
          <w:rtl/>
        </w:rPr>
        <w:t>﴾</w:t>
      </w:r>
      <w:r w:rsidRPr="00904FCB">
        <w:rPr>
          <w:rFonts w:hint="cs"/>
          <w:sz w:val="27"/>
          <w:rtl/>
        </w:rPr>
        <w:t xml:space="preserve">. </w:t>
      </w:r>
    </w:p>
    <w:p w:rsidR="005B6CEC" w:rsidRPr="00904FCB" w:rsidRDefault="005B6CEC" w:rsidP="007A21AA">
      <w:pPr>
        <w:spacing w:line="400" w:lineRule="exact"/>
        <w:rPr>
          <w:sz w:val="27"/>
          <w:rtl/>
        </w:rPr>
      </w:pPr>
      <w:r w:rsidRPr="00707BC0">
        <w:rPr>
          <w:rFonts w:hint="cs"/>
          <w:sz w:val="27"/>
          <w:rtl/>
        </w:rPr>
        <w:t>3ـ</w:t>
      </w:r>
      <w:r w:rsidRPr="00904FCB">
        <w:rPr>
          <w:rFonts w:hint="cs"/>
          <w:sz w:val="27"/>
          <w:rtl/>
        </w:rPr>
        <w:t xml:space="preserve"> </w:t>
      </w:r>
      <w:r w:rsidRPr="00904FCB">
        <w:rPr>
          <w:rFonts w:hint="cs"/>
          <w:b/>
          <w:bCs/>
          <w:sz w:val="27"/>
          <w:rtl/>
        </w:rPr>
        <w:t>وأمّا النصّ الثالث</w:t>
      </w:r>
      <w:r w:rsidR="00AE18D5" w:rsidRPr="00904FCB">
        <w:rPr>
          <w:rFonts w:hint="cs"/>
          <w:sz w:val="27"/>
          <w:rtl/>
        </w:rPr>
        <w:t xml:space="preserve"> فالم</w:t>
      </w:r>
      <w:r w:rsidRPr="00904FCB">
        <w:rPr>
          <w:rFonts w:hint="cs"/>
          <w:sz w:val="27"/>
          <w:rtl/>
        </w:rPr>
        <w:t>راد به ضامن الجريرة خاصّة</w:t>
      </w:r>
      <w:r w:rsidR="00AE18D5" w:rsidRPr="00904FCB">
        <w:rPr>
          <w:rFonts w:hint="cs"/>
          <w:sz w:val="27"/>
          <w:rtl/>
        </w:rPr>
        <w:t>؛</w:t>
      </w:r>
      <w:r w:rsidRPr="00904FCB">
        <w:rPr>
          <w:rFonts w:hint="cs"/>
          <w:sz w:val="27"/>
          <w:rtl/>
        </w:rPr>
        <w:t xml:space="preserve"> بقرينة قوله: </w:t>
      </w:r>
      <w:r w:rsidRPr="00904FCB">
        <w:rPr>
          <w:rFonts w:ascii="Mosawi" w:hAnsi="Mosawi" w:cs="Mosawi"/>
          <w:sz w:val="24"/>
          <w:rtl/>
        </w:rPr>
        <w:t>﴿</w:t>
      </w:r>
      <w:r w:rsidRPr="00904FCB">
        <w:rPr>
          <w:bCs/>
          <w:sz w:val="27"/>
          <w:rtl/>
        </w:rPr>
        <w:t>وَالَّذِينَ عَقَدَتْ أَيْمَانُكُمْ</w:t>
      </w:r>
      <w:r w:rsidRPr="00904FCB">
        <w:rPr>
          <w:rFonts w:hint="cs"/>
          <w:bCs/>
          <w:sz w:val="27"/>
          <w:rtl/>
        </w:rPr>
        <w:t>...</w:t>
      </w:r>
      <w:r w:rsidRPr="00904FCB">
        <w:rPr>
          <w:rFonts w:ascii="Mosawi" w:hAnsi="Mosawi" w:cs="Mosawi"/>
          <w:sz w:val="24"/>
          <w:rtl/>
        </w:rPr>
        <w:t>﴾</w:t>
      </w:r>
      <w:r w:rsidRPr="00904FCB">
        <w:rPr>
          <w:rFonts w:hint="cs"/>
          <w:sz w:val="27"/>
          <w:rtl/>
        </w:rPr>
        <w:t xml:space="preserve">. </w:t>
      </w:r>
    </w:p>
    <w:p w:rsidR="005B6CEC" w:rsidRPr="00904FCB" w:rsidRDefault="005B6CEC" w:rsidP="007A21AA">
      <w:pPr>
        <w:spacing w:line="400" w:lineRule="exact"/>
        <w:rPr>
          <w:sz w:val="27"/>
          <w:rtl/>
        </w:rPr>
      </w:pPr>
      <w:r w:rsidRPr="00707BC0">
        <w:rPr>
          <w:rFonts w:hint="cs"/>
          <w:sz w:val="27"/>
          <w:rtl/>
        </w:rPr>
        <w:t>4ـ</w:t>
      </w:r>
      <w:r w:rsidRPr="00904FCB">
        <w:rPr>
          <w:rFonts w:hint="cs"/>
          <w:sz w:val="27"/>
          <w:rtl/>
        </w:rPr>
        <w:t xml:space="preserve"> </w:t>
      </w:r>
      <w:r w:rsidRPr="00904FCB">
        <w:rPr>
          <w:rFonts w:hint="cs"/>
          <w:b/>
          <w:bCs/>
          <w:sz w:val="27"/>
          <w:rtl/>
        </w:rPr>
        <w:t xml:space="preserve">وأمّا النصّ الرابع </w:t>
      </w:r>
      <w:r w:rsidR="00AE18D5" w:rsidRPr="00904FCB">
        <w:rPr>
          <w:rFonts w:hint="cs"/>
          <w:sz w:val="27"/>
          <w:rtl/>
        </w:rPr>
        <w:t>فالم</w:t>
      </w:r>
      <w:r w:rsidRPr="00904FCB">
        <w:rPr>
          <w:rFonts w:hint="cs"/>
          <w:sz w:val="27"/>
          <w:rtl/>
        </w:rPr>
        <w:t xml:space="preserve">راد به أنّ </w:t>
      </w:r>
      <w:r w:rsidR="00AE18D5" w:rsidRPr="00904FCB">
        <w:rPr>
          <w:rFonts w:hint="cs"/>
          <w:sz w:val="27"/>
          <w:rtl/>
        </w:rPr>
        <w:t>أ</w:t>
      </w:r>
      <w:r w:rsidRPr="00904FCB">
        <w:rPr>
          <w:rFonts w:hint="cs"/>
          <w:sz w:val="27"/>
          <w:rtl/>
        </w:rPr>
        <w:t>ولي الأرحام بالنسبة إلى أرحامهم أ</w:t>
      </w:r>
      <w:r w:rsidR="00AE18D5" w:rsidRPr="00904FCB">
        <w:rPr>
          <w:rFonts w:hint="cs"/>
          <w:sz w:val="27"/>
          <w:rtl/>
        </w:rPr>
        <w:t>َ</w:t>
      </w:r>
      <w:r w:rsidRPr="00904FCB">
        <w:rPr>
          <w:rFonts w:hint="cs"/>
          <w:sz w:val="27"/>
          <w:rtl/>
        </w:rPr>
        <w:t>و</w:t>
      </w:r>
      <w:r w:rsidR="00AE18D5" w:rsidRPr="00904FCB">
        <w:rPr>
          <w:rFonts w:hint="cs"/>
          <w:sz w:val="27"/>
          <w:rtl/>
        </w:rPr>
        <w:t>ْ</w:t>
      </w:r>
      <w:r w:rsidRPr="00904FCB">
        <w:rPr>
          <w:rFonts w:hint="cs"/>
          <w:sz w:val="27"/>
          <w:rtl/>
        </w:rPr>
        <w:t>لى ممّ</w:t>
      </w:r>
      <w:r w:rsidR="00AE18D5" w:rsidRPr="00904FCB">
        <w:rPr>
          <w:rFonts w:hint="cs"/>
          <w:sz w:val="27"/>
          <w:rtl/>
        </w:rPr>
        <w:t>َ</w:t>
      </w:r>
      <w:r w:rsidRPr="00904FCB">
        <w:rPr>
          <w:rFonts w:hint="cs"/>
          <w:sz w:val="27"/>
          <w:rtl/>
        </w:rPr>
        <w:t>ن</w:t>
      </w:r>
      <w:r w:rsidR="00AE18D5" w:rsidRPr="00904FCB">
        <w:rPr>
          <w:rFonts w:hint="cs"/>
          <w:sz w:val="27"/>
          <w:rtl/>
        </w:rPr>
        <w:t>ْ</w:t>
      </w:r>
      <w:r w:rsidRPr="00904FCB">
        <w:rPr>
          <w:rFonts w:hint="cs"/>
          <w:sz w:val="27"/>
          <w:rtl/>
        </w:rPr>
        <w:t xml:space="preserve"> ليسوا بأرحام</w:t>
      </w:r>
      <w:r w:rsidR="00AE18D5" w:rsidRPr="00904FCB">
        <w:rPr>
          <w:rFonts w:hint="cs"/>
          <w:sz w:val="27"/>
          <w:rtl/>
        </w:rPr>
        <w:t>،</w:t>
      </w:r>
      <w:r w:rsidRPr="00904FCB">
        <w:rPr>
          <w:rFonts w:hint="cs"/>
          <w:sz w:val="27"/>
          <w:rtl/>
        </w:rPr>
        <w:t xml:space="preserve"> لكن</w:t>
      </w:r>
      <w:r w:rsidR="00E14803">
        <w:rPr>
          <w:rFonts w:hint="cs"/>
          <w:sz w:val="27"/>
          <w:rtl/>
        </w:rPr>
        <w:t>ْ</w:t>
      </w:r>
      <w:r w:rsidRPr="00904FCB">
        <w:rPr>
          <w:rFonts w:hint="cs"/>
          <w:sz w:val="27"/>
          <w:rtl/>
        </w:rPr>
        <w:t xml:space="preserve"> إذا أسد</w:t>
      </w:r>
      <w:r w:rsidR="00E14803">
        <w:rPr>
          <w:rFonts w:hint="cs"/>
          <w:sz w:val="27"/>
          <w:rtl/>
        </w:rPr>
        <w:t>َ</w:t>
      </w:r>
      <w:r w:rsidRPr="00904FCB">
        <w:rPr>
          <w:rFonts w:hint="cs"/>
          <w:sz w:val="27"/>
          <w:rtl/>
        </w:rPr>
        <w:t>ي</w:t>
      </w:r>
      <w:r w:rsidR="00E14803">
        <w:rPr>
          <w:rFonts w:hint="cs"/>
          <w:sz w:val="27"/>
          <w:rtl/>
        </w:rPr>
        <w:t>ْ</w:t>
      </w:r>
      <w:r w:rsidRPr="00904FCB">
        <w:rPr>
          <w:rFonts w:hint="cs"/>
          <w:sz w:val="27"/>
          <w:rtl/>
        </w:rPr>
        <w:t>ت</w:t>
      </w:r>
      <w:r w:rsidR="00E14803">
        <w:rPr>
          <w:rFonts w:hint="cs"/>
          <w:sz w:val="27"/>
          <w:rtl/>
        </w:rPr>
        <w:t>ُ</w:t>
      </w:r>
      <w:r w:rsidRPr="00904FCB">
        <w:rPr>
          <w:rFonts w:hint="cs"/>
          <w:sz w:val="27"/>
          <w:rtl/>
        </w:rPr>
        <w:t>م معروفاً ـ وصي</w:t>
      </w:r>
      <w:r w:rsidR="00AE18D5" w:rsidRPr="00904FCB">
        <w:rPr>
          <w:rFonts w:hint="cs"/>
          <w:sz w:val="27"/>
          <w:rtl/>
        </w:rPr>
        <w:t>ّ</w:t>
      </w:r>
      <w:r w:rsidRPr="00904FCB">
        <w:rPr>
          <w:rFonts w:hint="cs"/>
          <w:sz w:val="27"/>
          <w:rtl/>
        </w:rPr>
        <w:t>ة أو غيرها ـ قد تبرّ</w:t>
      </w:r>
      <w:r w:rsidR="00AE18D5" w:rsidRPr="00904FCB">
        <w:rPr>
          <w:rFonts w:hint="cs"/>
          <w:sz w:val="27"/>
          <w:rtl/>
        </w:rPr>
        <w:t>َ</w:t>
      </w:r>
      <w:r w:rsidRPr="00904FCB">
        <w:rPr>
          <w:rFonts w:hint="cs"/>
          <w:sz w:val="27"/>
          <w:rtl/>
        </w:rPr>
        <w:t>عتم به إلى مَن</w:t>
      </w:r>
      <w:r w:rsidR="00AE18D5" w:rsidRPr="00904FCB">
        <w:rPr>
          <w:rFonts w:hint="cs"/>
          <w:sz w:val="27"/>
          <w:rtl/>
        </w:rPr>
        <w:t>ْ</w:t>
      </w:r>
      <w:r w:rsidRPr="00904FCB">
        <w:rPr>
          <w:rFonts w:hint="cs"/>
          <w:sz w:val="27"/>
          <w:rtl/>
        </w:rPr>
        <w:t xml:space="preserve"> تربطكم به علاقة فإنّه تثبت له أولوي</w:t>
      </w:r>
      <w:r w:rsidR="00AE18D5" w:rsidRPr="00904FCB">
        <w:rPr>
          <w:rFonts w:hint="cs"/>
          <w:sz w:val="27"/>
          <w:rtl/>
        </w:rPr>
        <w:t>ّ</w:t>
      </w:r>
      <w:r w:rsidRPr="00904FCB">
        <w:rPr>
          <w:rFonts w:hint="cs"/>
          <w:sz w:val="27"/>
          <w:rtl/>
        </w:rPr>
        <w:t>ة أيضاً</w:t>
      </w:r>
      <w:r w:rsidR="00AE18D5" w:rsidRPr="00904FCB">
        <w:rPr>
          <w:rFonts w:hint="cs"/>
          <w:sz w:val="27"/>
          <w:rtl/>
        </w:rPr>
        <w:t>.</w:t>
      </w:r>
      <w:r w:rsidRPr="00904FCB">
        <w:rPr>
          <w:rFonts w:hint="cs"/>
          <w:sz w:val="27"/>
          <w:rtl/>
        </w:rPr>
        <w:t xml:space="preserve"> فمثلاً</w:t>
      </w:r>
      <w:r w:rsidR="00AE18D5" w:rsidRPr="00904FCB">
        <w:rPr>
          <w:rFonts w:hint="cs"/>
          <w:sz w:val="27"/>
          <w:rtl/>
        </w:rPr>
        <w:t>:</w:t>
      </w:r>
      <w:r w:rsidRPr="00904FCB">
        <w:rPr>
          <w:rFonts w:hint="cs"/>
          <w:sz w:val="27"/>
          <w:rtl/>
        </w:rPr>
        <w:t xml:space="preserve"> مَن</w:t>
      </w:r>
      <w:r w:rsidR="00AE18D5" w:rsidRPr="00904FCB">
        <w:rPr>
          <w:rFonts w:hint="cs"/>
          <w:sz w:val="27"/>
          <w:rtl/>
        </w:rPr>
        <w:t>ْ أوصى</w:t>
      </w:r>
      <w:r w:rsidRPr="00904FCB">
        <w:rPr>
          <w:rFonts w:hint="cs"/>
          <w:sz w:val="27"/>
          <w:rtl/>
        </w:rPr>
        <w:t xml:space="preserve"> لشخص</w:t>
      </w:r>
      <w:r w:rsidR="00AE18D5" w:rsidRPr="00904FCB">
        <w:rPr>
          <w:rFonts w:hint="cs"/>
          <w:sz w:val="27"/>
          <w:rtl/>
        </w:rPr>
        <w:t>ٍ</w:t>
      </w:r>
      <w:r w:rsidRPr="00904FCB">
        <w:rPr>
          <w:rFonts w:hint="cs"/>
          <w:sz w:val="27"/>
          <w:rtl/>
        </w:rPr>
        <w:t xml:space="preserve"> ثبتت له أولوية وقُدّ</w:t>
      </w:r>
      <w:r w:rsidR="00AE18D5" w:rsidRPr="00904FCB">
        <w:rPr>
          <w:rFonts w:hint="cs"/>
          <w:sz w:val="27"/>
          <w:rtl/>
        </w:rPr>
        <w:t>ِ</w:t>
      </w:r>
      <w:r w:rsidRPr="00904FCB">
        <w:rPr>
          <w:rFonts w:hint="cs"/>
          <w:sz w:val="27"/>
          <w:rtl/>
        </w:rPr>
        <w:t>م حقّه</w:t>
      </w:r>
      <w:r w:rsidR="00AE18D5" w:rsidRPr="00904FCB">
        <w:rPr>
          <w:rFonts w:hint="cs"/>
          <w:sz w:val="27"/>
          <w:rtl/>
        </w:rPr>
        <w:t>.</w:t>
      </w:r>
      <w:r w:rsidRPr="00904FCB">
        <w:rPr>
          <w:rFonts w:hint="cs"/>
          <w:sz w:val="27"/>
          <w:rtl/>
        </w:rPr>
        <w:t xml:space="preserve"> ومن هنا صرّح بعض</w:t>
      </w:r>
      <w:r w:rsidR="00AE18D5" w:rsidRPr="00904FCB">
        <w:rPr>
          <w:rFonts w:hint="cs"/>
          <w:sz w:val="27"/>
          <w:rtl/>
        </w:rPr>
        <w:t>ٌ</w:t>
      </w:r>
      <w:r w:rsidRPr="00904FCB">
        <w:rPr>
          <w:rFonts w:hint="cs"/>
          <w:sz w:val="27"/>
          <w:rtl/>
        </w:rPr>
        <w:t xml:space="preserve"> باستفادة لزوم تقديم الوصية على الإرث من هذا النصّ</w:t>
      </w:r>
      <w:r w:rsidRPr="00904FCB">
        <w:rPr>
          <w:rFonts w:hint="cs"/>
          <w:sz w:val="27"/>
          <w:vertAlign w:val="superscript"/>
          <w:rtl/>
        </w:rPr>
        <w:t>(</w:t>
      </w:r>
      <w:r w:rsidRPr="00904FCB">
        <w:rPr>
          <w:sz w:val="27"/>
          <w:vertAlign w:val="superscript"/>
          <w:rtl/>
        </w:rPr>
        <w:endnoteReference w:id="367"/>
      </w:r>
      <w:r w:rsidRPr="00904FCB">
        <w:rPr>
          <w:rFonts w:hint="cs"/>
          <w:sz w:val="27"/>
          <w:vertAlign w:val="superscript"/>
          <w:rtl/>
        </w:rPr>
        <w:t>)</w:t>
      </w:r>
      <w:r w:rsidRPr="00904FCB">
        <w:rPr>
          <w:rFonts w:hint="cs"/>
          <w:sz w:val="27"/>
          <w:rtl/>
        </w:rPr>
        <w:t>.</w:t>
      </w:r>
      <w:r w:rsidRPr="00904FCB">
        <w:rPr>
          <w:rFonts w:hint="cs"/>
          <w:sz w:val="27"/>
          <w:vertAlign w:val="superscript"/>
          <w:rtl/>
        </w:rPr>
        <w:t xml:space="preserve"> </w:t>
      </w:r>
    </w:p>
    <w:p w:rsidR="005B6CEC" w:rsidRPr="00904FCB" w:rsidRDefault="005B6CEC" w:rsidP="007A21AA">
      <w:pPr>
        <w:spacing w:line="400" w:lineRule="exact"/>
        <w:rPr>
          <w:bCs/>
          <w:sz w:val="27"/>
          <w:rtl/>
        </w:rPr>
      </w:pPr>
      <w:r w:rsidRPr="00904FCB">
        <w:rPr>
          <w:rFonts w:hint="cs"/>
          <w:sz w:val="27"/>
          <w:rtl/>
        </w:rPr>
        <w:t>إذن ثمّة أولوية أوّلية قهرية في كتاب الله ثابتة لا محالة</w:t>
      </w:r>
      <w:r w:rsidR="00AE18D5" w:rsidRPr="00904FCB">
        <w:rPr>
          <w:rFonts w:hint="cs"/>
          <w:sz w:val="27"/>
          <w:rtl/>
        </w:rPr>
        <w:t>؛</w:t>
      </w:r>
      <w:r w:rsidRPr="00904FCB">
        <w:rPr>
          <w:rFonts w:hint="cs"/>
          <w:sz w:val="27"/>
          <w:rtl/>
        </w:rPr>
        <w:t xml:space="preserve"> وثمّة أولوية عارضة اختيارية أمرها بيد الإنسان إذا كانت من مصاديق المعروف، </w:t>
      </w:r>
      <w:r w:rsidR="00AE18D5" w:rsidRPr="00904FCB">
        <w:rPr>
          <w:rFonts w:hint="cs"/>
          <w:sz w:val="27"/>
          <w:rtl/>
        </w:rPr>
        <w:t>رب</w:t>
      </w:r>
      <w:r w:rsidRPr="00904FCB">
        <w:rPr>
          <w:rFonts w:hint="cs"/>
          <w:sz w:val="27"/>
          <w:rtl/>
        </w:rPr>
        <w:t>ما تحصل وقد لا تحصل. ومن الواضح أنّ ولاء العتق على القول به هو حكم</w:t>
      </w:r>
      <w:r w:rsidR="00AE18D5" w:rsidRPr="00904FCB">
        <w:rPr>
          <w:rFonts w:hint="cs"/>
          <w:sz w:val="27"/>
          <w:rtl/>
        </w:rPr>
        <w:t>ٌ</w:t>
      </w:r>
      <w:r w:rsidRPr="00904FCB">
        <w:rPr>
          <w:rFonts w:hint="cs"/>
          <w:sz w:val="27"/>
          <w:rtl/>
        </w:rPr>
        <w:t xml:space="preserve"> إلهي إلزامي.</w:t>
      </w:r>
      <w:r w:rsidRPr="00904FCB">
        <w:rPr>
          <w:rFonts w:hint="cs"/>
          <w:bCs/>
          <w:sz w:val="27"/>
          <w:rtl/>
        </w:rPr>
        <w:t xml:space="preserve"> </w:t>
      </w:r>
    </w:p>
    <w:p w:rsidR="005B6CEC" w:rsidRPr="00904FCB" w:rsidRDefault="005B6CEC" w:rsidP="007A21AA">
      <w:pPr>
        <w:spacing w:line="400" w:lineRule="exact"/>
        <w:rPr>
          <w:bCs/>
          <w:sz w:val="27"/>
          <w:rtl/>
        </w:rPr>
      </w:pPr>
    </w:p>
    <w:p w:rsidR="005B6CEC" w:rsidRPr="00904FCB" w:rsidRDefault="005B6CEC" w:rsidP="007A21AA">
      <w:pPr>
        <w:pStyle w:val="31"/>
        <w:spacing w:line="400" w:lineRule="exact"/>
        <w:rPr>
          <w:color w:val="auto"/>
          <w:rtl/>
        </w:rPr>
      </w:pPr>
      <w:r w:rsidRPr="00904FCB">
        <w:rPr>
          <w:rFonts w:hint="cs"/>
          <w:color w:val="auto"/>
          <w:rtl/>
        </w:rPr>
        <w:t>الدليل الثالث: السنّ</w:t>
      </w:r>
      <w:r w:rsidR="00AE18D5" w:rsidRPr="00904FCB">
        <w:rPr>
          <w:rFonts w:hint="cs"/>
          <w:color w:val="auto"/>
          <w:rtl/>
        </w:rPr>
        <w:t>َ</w:t>
      </w:r>
      <w:r w:rsidRPr="00904FCB">
        <w:rPr>
          <w:rFonts w:hint="cs"/>
          <w:color w:val="auto"/>
          <w:rtl/>
        </w:rPr>
        <w:t xml:space="preserve">ة </w:t>
      </w:r>
    </w:p>
    <w:p w:rsidR="005B6CEC" w:rsidRPr="00904FCB" w:rsidRDefault="005B6CEC" w:rsidP="007A21AA">
      <w:pPr>
        <w:spacing w:line="400" w:lineRule="exact"/>
        <w:rPr>
          <w:b/>
          <w:sz w:val="27"/>
          <w:rtl/>
        </w:rPr>
      </w:pPr>
      <w:r w:rsidRPr="00904FCB">
        <w:rPr>
          <w:rFonts w:hint="cs"/>
          <w:b/>
          <w:sz w:val="27"/>
          <w:rtl/>
        </w:rPr>
        <w:t>وهي مستفيضة</w:t>
      </w:r>
      <w:r w:rsidR="00AE18D5" w:rsidRPr="00904FCB">
        <w:rPr>
          <w:rFonts w:hint="cs"/>
          <w:b/>
          <w:sz w:val="27"/>
          <w:rtl/>
        </w:rPr>
        <w:t>ٌ</w:t>
      </w:r>
      <w:r w:rsidRPr="00904FCB">
        <w:rPr>
          <w:rFonts w:hint="cs"/>
          <w:b/>
          <w:sz w:val="27"/>
          <w:rtl/>
        </w:rPr>
        <w:t>، بل متواترة من طرق العامّة والخاصّة</w:t>
      </w:r>
      <w:r w:rsidRPr="00904FCB">
        <w:rPr>
          <w:b/>
          <w:sz w:val="27"/>
          <w:vertAlign w:val="superscript"/>
          <w:rtl/>
        </w:rPr>
        <w:t>(</w:t>
      </w:r>
      <w:r w:rsidRPr="00904FCB">
        <w:rPr>
          <w:b/>
          <w:sz w:val="27"/>
          <w:vertAlign w:val="superscript"/>
          <w:rtl/>
        </w:rPr>
        <w:endnoteReference w:id="368"/>
      </w:r>
      <w:r w:rsidRPr="00904FCB">
        <w:rPr>
          <w:rFonts w:hint="cs"/>
          <w:b/>
          <w:sz w:val="27"/>
          <w:vertAlign w:val="superscript"/>
          <w:rtl/>
        </w:rPr>
        <w:t>)</w:t>
      </w:r>
      <w:r w:rsidRPr="00904FCB">
        <w:rPr>
          <w:rFonts w:hint="cs"/>
          <w:b/>
          <w:sz w:val="27"/>
          <w:rtl/>
        </w:rPr>
        <w:t>:</w:t>
      </w:r>
    </w:p>
    <w:p w:rsidR="005B6CEC" w:rsidRPr="00904FCB" w:rsidRDefault="005B6CEC" w:rsidP="007A21AA">
      <w:pPr>
        <w:spacing w:line="400" w:lineRule="exact"/>
        <w:rPr>
          <w:sz w:val="27"/>
          <w:rtl/>
        </w:rPr>
      </w:pPr>
      <w:r w:rsidRPr="00707BC0">
        <w:rPr>
          <w:rFonts w:hint="cs"/>
          <w:sz w:val="27"/>
          <w:rtl/>
        </w:rPr>
        <w:t>1ـ</w:t>
      </w:r>
      <w:r w:rsidR="00AE18D5" w:rsidRPr="00904FCB">
        <w:rPr>
          <w:rFonts w:hint="cs"/>
          <w:sz w:val="27"/>
          <w:rtl/>
        </w:rPr>
        <w:t xml:space="preserve"> صحيحة الحلبي ومحم</w:t>
      </w:r>
      <w:r w:rsidRPr="00904FCB">
        <w:rPr>
          <w:rFonts w:hint="cs"/>
          <w:sz w:val="27"/>
          <w:rtl/>
        </w:rPr>
        <w:t>د بن مسلم</w:t>
      </w:r>
      <w:r w:rsidR="00AE18D5" w:rsidRPr="00904FCB">
        <w:rPr>
          <w:rFonts w:hint="cs"/>
          <w:sz w:val="27"/>
          <w:rtl/>
        </w:rPr>
        <w:t>،</w:t>
      </w:r>
      <w:r w:rsidRPr="00904FCB">
        <w:rPr>
          <w:rFonts w:hint="cs"/>
          <w:sz w:val="27"/>
          <w:rtl/>
        </w:rPr>
        <w:t xml:space="preserve"> عن أبي عبد الله</w:t>
      </w:r>
      <w:r w:rsidR="001C1A2A" w:rsidRPr="00904FCB">
        <w:rPr>
          <w:rFonts w:cs="Mosawi" w:hint="cs"/>
          <w:sz w:val="27"/>
          <w:szCs w:val="22"/>
          <w:rtl/>
        </w:rPr>
        <w:t>×</w:t>
      </w:r>
      <w:r w:rsidRPr="00904FCB">
        <w:rPr>
          <w:rFonts w:ascii="Roumouz" w:hAnsi="Roumouz" w:hint="cs"/>
          <w:sz w:val="27"/>
          <w:rtl/>
          <w:lang w:bidi="ar-IQ"/>
        </w:rPr>
        <w:t xml:space="preserve"> </w:t>
      </w:r>
      <w:r w:rsidRPr="00904FCB">
        <w:rPr>
          <w:rFonts w:hint="cs"/>
          <w:sz w:val="27"/>
          <w:rtl/>
        </w:rPr>
        <w:t xml:space="preserve">أنّه قال: </w:t>
      </w:r>
      <w:r w:rsidRPr="00904FCB">
        <w:rPr>
          <w:rFonts w:hint="eastAsia"/>
          <w:sz w:val="27"/>
          <w:rtl/>
        </w:rPr>
        <w:t>«</w:t>
      </w:r>
      <w:r w:rsidRPr="00904FCB">
        <w:rPr>
          <w:rFonts w:hint="cs"/>
          <w:sz w:val="27"/>
          <w:rtl/>
        </w:rPr>
        <w:t>قال النبي</w:t>
      </w:r>
      <w:r w:rsidR="00AE18D5" w:rsidRPr="00904FCB">
        <w:rPr>
          <w:rFonts w:hint="cs"/>
          <w:sz w:val="27"/>
          <w:rtl/>
        </w:rPr>
        <w:t>ّ</w:t>
      </w:r>
      <w:r w:rsidR="00635E51" w:rsidRPr="00904FCB">
        <w:rPr>
          <w:rFonts w:cs="Mosawi" w:hint="cs"/>
          <w:sz w:val="27"/>
          <w:szCs w:val="22"/>
          <w:rtl/>
        </w:rPr>
        <w:t>|</w:t>
      </w:r>
      <w:r w:rsidRPr="00904FCB">
        <w:rPr>
          <w:rFonts w:hint="cs"/>
          <w:sz w:val="27"/>
          <w:rtl/>
        </w:rPr>
        <w:t xml:space="preserve">: </w:t>
      </w:r>
      <w:r w:rsidR="00AE18D5" w:rsidRPr="00904FCB">
        <w:rPr>
          <w:rFonts w:hint="cs"/>
          <w:sz w:val="27"/>
          <w:rtl/>
        </w:rPr>
        <w:t>الولاء ل</w:t>
      </w:r>
      <w:r w:rsidRPr="00904FCB">
        <w:rPr>
          <w:rFonts w:hint="cs"/>
          <w:sz w:val="27"/>
          <w:rtl/>
        </w:rPr>
        <w:t>مَن</w:t>
      </w:r>
      <w:r w:rsidR="00AE18D5" w:rsidRPr="00904FCB">
        <w:rPr>
          <w:rFonts w:hint="cs"/>
          <w:sz w:val="27"/>
          <w:rtl/>
        </w:rPr>
        <w:t>ْ</w:t>
      </w:r>
      <w:r w:rsidRPr="00904FCB">
        <w:rPr>
          <w:rFonts w:hint="cs"/>
          <w:sz w:val="27"/>
          <w:rtl/>
        </w:rPr>
        <w:t xml:space="preserve"> أعتق</w:t>
      </w:r>
      <w:r w:rsidRPr="00904FCB">
        <w:rPr>
          <w:rFonts w:hint="eastAsia"/>
          <w:sz w:val="27"/>
          <w:rtl/>
        </w:rPr>
        <w:t>»</w:t>
      </w:r>
      <w:r w:rsidRPr="00904FCB">
        <w:rPr>
          <w:b/>
          <w:sz w:val="27"/>
          <w:vertAlign w:val="superscript"/>
          <w:rtl/>
          <w:lang w:bidi="fa-IR"/>
        </w:rPr>
        <w:t>(</w:t>
      </w:r>
      <w:r w:rsidRPr="00904FCB">
        <w:rPr>
          <w:rStyle w:val="ac"/>
          <w:b/>
          <w:sz w:val="27"/>
          <w:rtl/>
          <w:lang w:bidi="fa-IR"/>
        </w:rPr>
        <w:endnoteReference w:id="369"/>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lastRenderedPageBreak/>
        <w:t>2ـ</w:t>
      </w:r>
      <w:r w:rsidRPr="00904FCB">
        <w:rPr>
          <w:rFonts w:hint="cs"/>
          <w:sz w:val="27"/>
          <w:rtl/>
        </w:rPr>
        <w:t xml:space="preserve"> صحيحة العيص بن القاسم</w:t>
      </w:r>
      <w:r w:rsidR="00AE18D5" w:rsidRPr="00904FCB">
        <w:rPr>
          <w:rFonts w:hint="cs"/>
          <w:sz w:val="27"/>
          <w:rtl/>
        </w:rPr>
        <w:t>،</w:t>
      </w:r>
      <w:r w:rsidRPr="00904FCB">
        <w:rPr>
          <w:rFonts w:hint="cs"/>
          <w:sz w:val="27"/>
          <w:rtl/>
        </w:rPr>
        <w:t xml:space="preserve"> عن أبي عبد الله</w:t>
      </w:r>
      <w:r w:rsidR="001C1A2A" w:rsidRPr="00904FCB">
        <w:rPr>
          <w:rFonts w:cs="Mosawi" w:hint="cs"/>
          <w:sz w:val="27"/>
          <w:szCs w:val="22"/>
          <w:rtl/>
        </w:rPr>
        <w:t>×</w:t>
      </w:r>
      <w:r w:rsidRPr="00904FCB">
        <w:rPr>
          <w:rFonts w:ascii="Roumouz" w:hAnsi="Roumouz" w:hint="cs"/>
          <w:sz w:val="27"/>
          <w:rtl/>
          <w:lang w:bidi="ar-IQ"/>
        </w:rPr>
        <w:t xml:space="preserve"> </w:t>
      </w:r>
      <w:r w:rsidRPr="00904FCB">
        <w:rPr>
          <w:rFonts w:hint="cs"/>
          <w:sz w:val="27"/>
          <w:rtl/>
        </w:rPr>
        <w:t xml:space="preserve">قال: </w:t>
      </w:r>
      <w:r w:rsidRPr="00904FCB">
        <w:rPr>
          <w:rFonts w:hint="eastAsia"/>
          <w:sz w:val="27"/>
          <w:rtl/>
        </w:rPr>
        <w:t>«</w:t>
      </w:r>
      <w:r w:rsidRPr="00904FCB">
        <w:rPr>
          <w:rFonts w:hint="cs"/>
          <w:sz w:val="27"/>
          <w:rtl/>
        </w:rPr>
        <w:t>قالت عائشة لرسول الله</w:t>
      </w:r>
      <w:r w:rsidR="00635E51" w:rsidRPr="00904FCB">
        <w:rPr>
          <w:rFonts w:cs="Mosawi" w:hint="cs"/>
          <w:sz w:val="27"/>
          <w:szCs w:val="22"/>
          <w:rtl/>
        </w:rPr>
        <w:t>|</w:t>
      </w:r>
      <w:r w:rsidRPr="00904FCB">
        <w:rPr>
          <w:rFonts w:hint="cs"/>
          <w:sz w:val="27"/>
          <w:rtl/>
        </w:rPr>
        <w:t>: إنّ أهل بُر</w:t>
      </w:r>
      <w:r w:rsidR="00AE18D5" w:rsidRPr="00904FCB">
        <w:rPr>
          <w:rFonts w:hint="cs"/>
          <w:sz w:val="27"/>
          <w:rtl/>
        </w:rPr>
        <w:t>َ</w:t>
      </w:r>
      <w:r w:rsidRPr="00904FCB">
        <w:rPr>
          <w:rFonts w:hint="cs"/>
          <w:sz w:val="27"/>
          <w:rtl/>
        </w:rPr>
        <w:t>ي</w:t>
      </w:r>
      <w:r w:rsidR="00AE18D5" w:rsidRPr="00904FCB">
        <w:rPr>
          <w:rFonts w:hint="cs"/>
          <w:sz w:val="27"/>
          <w:rtl/>
        </w:rPr>
        <w:t>ْ</w:t>
      </w:r>
      <w:r w:rsidRPr="00904FCB">
        <w:rPr>
          <w:rFonts w:hint="cs"/>
          <w:sz w:val="27"/>
          <w:rtl/>
        </w:rPr>
        <w:t>رة اشترطوا ولاءها</w:t>
      </w:r>
      <w:r w:rsidR="00AE18D5" w:rsidRPr="00904FCB">
        <w:rPr>
          <w:rFonts w:hint="cs"/>
          <w:sz w:val="27"/>
          <w:rtl/>
        </w:rPr>
        <w:t>،</w:t>
      </w:r>
      <w:r w:rsidRPr="00904FCB">
        <w:rPr>
          <w:rFonts w:hint="cs"/>
          <w:sz w:val="27"/>
          <w:rtl/>
        </w:rPr>
        <w:t xml:space="preserve"> فقال رسول الله</w:t>
      </w:r>
      <w:r w:rsidR="00635E51" w:rsidRPr="00904FCB">
        <w:rPr>
          <w:rFonts w:cs="Mosawi" w:hint="cs"/>
          <w:sz w:val="27"/>
          <w:szCs w:val="22"/>
          <w:rtl/>
        </w:rPr>
        <w:t>|</w:t>
      </w:r>
      <w:r w:rsidRPr="00904FCB">
        <w:rPr>
          <w:rFonts w:hint="cs"/>
          <w:sz w:val="27"/>
          <w:rtl/>
        </w:rPr>
        <w:t xml:space="preserve">: </w:t>
      </w:r>
      <w:r w:rsidR="00AE18D5" w:rsidRPr="00904FCB">
        <w:rPr>
          <w:rFonts w:hint="cs"/>
          <w:sz w:val="27"/>
          <w:rtl/>
        </w:rPr>
        <w:t>الولاء ل</w:t>
      </w:r>
      <w:r w:rsidRPr="00904FCB">
        <w:rPr>
          <w:rFonts w:hint="cs"/>
          <w:sz w:val="27"/>
          <w:rtl/>
        </w:rPr>
        <w:t>مَن</w:t>
      </w:r>
      <w:r w:rsidR="00AE18D5" w:rsidRPr="00904FCB">
        <w:rPr>
          <w:rFonts w:hint="cs"/>
          <w:sz w:val="27"/>
          <w:rtl/>
        </w:rPr>
        <w:t>ْ</w:t>
      </w:r>
      <w:r w:rsidRPr="00904FCB">
        <w:rPr>
          <w:rFonts w:hint="cs"/>
          <w:sz w:val="27"/>
          <w:rtl/>
        </w:rPr>
        <w:t xml:space="preserve"> أعتق</w:t>
      </w:r>
      <w:r w:rsidRPr="00904FCB">
        <w:rPr>
          <w:rFonts w:hint="eastAsia"/>
          <w:sz w:val="27"/>
          <w:rtl/>
        </w:rPr>
        <w:t>»</w:t>
      </w:r>
      <w:r w:rsidRPr="00904FCB">
        <w:rPr>
          <w:b/>
          <w:sz w:val="27"/>
          <w:vertAlign w:val="superscript"/>
          <w:rtl/>
          <w:lang w:bidi="fa-IR"/>
        </w:rPr>
        <w:t>(</w:t>
      </w:r>
      <w:r w:rsidRPr="00904FCB">
        <w:rPr>
          <w:rStyle w:val="ac"/>
          <w:b/>
          <w:sz w:val="27"/>
          <w:rtl/>
          <w:lang w:bidi="fa-IR"/>
        </w:rPr>
        <w:endnoteReference w:id="370"/>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3ـ</w:t>
      </w:r>
      <w:r w:rsidRPr="00904FCB">
        <w:rPr>
          <w:rFonts w:hint="cs"/>
          <w:sz w:val="27"/>
          <w:rtl/>
        </w:rPr>
        <w:t xml:space="preserve"> موثّ</w:t>
      </w:r>
      <w:r w:rsidR="00AE18D5" w:rsidRPr="00904FCB">
        <w:rPr>
          <w:rFonts w:hint="cs"/>
          <w:sz w:val="27"/>
          <w:rtl/>
        </w:rPr>
        <w:t>َ</w:t>
      </w:r>
      <w:r w:rsidRPr="00904FCB">
        <w:rPr>
          <w:rFonts w:hint="cs"/>
          <w:sz w:val="27"/>
          <w:rtl/>
        </w:rPr>
        <w:t>قة زرارة بن أعين</w:t>
      </w:r>
      <w:r w:rsidR="00AE18D5" w:rsidRPr="00904FCB">
        <w:rPr>
          <w:rFonts w:hint="cs"/>
          <w:sz w:val="27"/>
          <w:rtl/>
        </w:rPr>
        <w:t>،</w:t>
      </w:r>
      <w:r w:rsidRPr="00904FCB">
        <w:rPr>
          <w:rFonts w:hint="cs"/>
          <w:sz w:val="27"/>
          <w:rtl/>
        </w:rPr>
        <w:t xml:space="preserve"> عن أبي جعفر</w:t>
      </w:r>
      <w:r w:rsidR="001C1A2A" w:rsidRPr="00904FCB">
        <w:rPr>
          <w:rFonts w:cs="Mosawi" w:hint="cs"/>
          <w:sz w:val="27"/>
          <w:szCs w:val="22"/>
          <w:rtl/>
        </w:rPr>
        <w:t>×</w:t>
      </w:r>
      <w:r w:rsidRPr="00904FCB">
        <w:rPr>
          <w:rFonts w:ascii="Roumouz" w:hAnsi="Roumouz" w:hint="cs"/>
          <w:sz w:val="27"/>
          <w:rtl/>
          <w:lang w:bidi="ar-IQ"/>
        </w:rPr>
        <w:t xml:space="preserve"> ـ</w:t>
      </w:r>
      <w:r w:rsidRPr="00904FCB">
        <w:rPr>
          <w:rFonts w:hint="cs"/>
          <w:sz w:val="27"/>
          <w:rtl/>
        </w:rPr>
        <w:t xml:space="preserve"> في حديث بُر</w:t>
      </w:r>
      <w:r w:rsidR="00AE18D5" w:rsidRPr="00904FCB">
        <w:rPr>
          <w:rFonts w:hint="cs"/>
          <w:sz w:val="27"/>
          <w:rtl/>
        </w:rPr>
        <w:t>َ</w:t>
      </w:r>
      <w:r w:rsidRPr="00904FCB">
        <w:rPr>
          <w:rFonts w:hint="cs"/>
          <w:sz w:val="27"/>
          <w:rtl/>
        </w:rPr>
        <w:t>ي</w:t>
      </w:r>
      <w:r w:rsidR="00AE18D5" w:rsidRPr="00904FCB">
        <w:rPr>
          <w:rFonts w:hint="cs"/>
          <w:sz w:val="27"/>
          <w:rtl/>
        </w:rPr>
        <w:t>ْ</w:t>
      </w:r>
      <w:r w:rsidRPr="00904FCB">
        <w:rPr>
          <w:rFonts w:hint="cs"/>
          <w:sz w:val="27"/>
          <w:rtl/>
        </w:rPr>
        <w:t>رة ـ</w:t>
      </w:r>
      <w:r w:rsidR="00E14803">
        <w:rPr>
          <w:rFonts w:hint="cs"/>
          <w:sz w:val="27"/>
          <w:rtl/>
        </w:rPr>
        <w:t>،</w:t>
      </w:r>
      <w:r w:rsidRPr="00904FCB">
        <w:rPr>
          <w:rFonts w:hint="cs"/>
          <w:sz w:val="27"/>
          <w:rtl/>
        </w:rPr>
        <w:t xml:space="preserve"> أنّ النبي</w:t>
      </w:r>
      <w:r w:rsidR="00AE18D5" w:rsidRPr="00904FCB">
        <w:rPr>
          <w:rFonts w:hint="cs"/>
          <w:sz w:val="27"/>
          <w:rtl/>
        </w:rPr>
        <w:t>ّ</w:t>
      </w:r>
      <w:r w:rsidR="00635E51" w:rsidRPr="00904FCB">
        <w:rPr>
          <w:rFonts w:cs="Mosawi" w:hint="cs"/>
          <w:sz w:val="27"/>
          <w:szCs w:val="22"/>
          <w:rtl/>
        </w:rPr>
        <w:t>|</w:t>
      </w:r>
      <w:r w:rsidRPr="00904FCB">
        <w:rPr>
          <w:rFonts w:hint="cs"/>
          <w:sz w:val="27"/>
          <w:rtl/>
        </w:rPr>
        <w:t xml:space="preserve"> قال لعائشة: </w:t>
      </w:r>
      <w:r w:rsidRPr="00904FCB">
        <w:rPr>
          <w:rFonts w:hint="eastAsia"/>
          <w:sz w:val="27"/>
          <w:rtl/>
        </w:rPr>
        <w:t>«</w:t>
      </w:r>
      <w:r w:rsidR="00AE18D5" w:rsidRPr="00904FCB">
        <w:rPr>
          <w:rFonts w:hint="cs"/>
          <w:sz w:val="27"/>
          <w:rtl/>
        </w:rPr>
        <w:t>أ</w:t>
      </w:r>
      <w:r w:rsidRPr="00904FCB">
        <w:rPr>
          <w:rFonts w:hint="cs"/>
          <w:sz w:val="27"/>
          <w:rtl/>
        </w:rPr>
        <w:t xml:space="preserve">عتقي؛ </w:t>
      </w:r>
      <w:r w:rsidR="00AE18D5" w:rsidRPr="00904FCB">
        <w:rPr>
          <w:rFonts w:hint="cs"/>
          <w:sz w:val="27"/>
          <w:rtl/>
        </w:rPr>
        <w:t>فإنّ الولاء ل</w:t>
      </w:r>
      <w:r w:rsidRPr="00904FCB">
        <w:rPr>
          <w:rFonts w:hint="cs"/>
          <w:sz w:val="27"/>
          <w:rtl/>
        </w:rPr>
        <w:t>مَن</w:t>
      </w:r>
      <w:r w:rsidR="00AE18D5" w:rsidRPr="00904FCB">
        <w:rPr>
          <w:rFonts w:hint="cs"/>
          <w:sz w:val="27"/>
          <w:rtl/>
        </w:rPr>
        <w:t>ْ</w:t>
      </w:r>
      <w:r w:rsidRPr="00904FCB">
        <w:rPr>
          <w:rFonts w:hint="cs"/>
          <w:sz w:val="27"/>
          <w:rtl/>
        </w:rPr>
        <w:t xml:space="preserve"> أعتق</w:t>
      </w:r>
      <w:r w:rsidRPr="00904FCB">
        <w:rPr>
          <w:rFonts w:hint="eastAsia"/>
          <w:sz w:val="27"/>
          <w:rtl/>
        </w:rPr>
        <w:t>»</w:t>
      </w:r>
      <w:r w:rsidRPr="00904FCB">
        <w:rPr>
          <w:rFonts w:hint="cs"/>
          <w:sz w:val="27"/>
          <w:vertAlign w:val="superscript"/>
          <w:rtl/>
        </w:rPr>
        <w:t>(</w:t>
      </w:r>
      <w:r w:rsidRPr="00904FCB">
        <w:rPr>
          <w:rStyle w:val="ac"/>
          <w:b/>
          <w:sz w:val="27"/>
          <w:rtl/>
          <w:lang w:bidi="fa-IR"/>
        </w:rPr>
        <w:endnoteReference w:id="371"/>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4ـ</w:t>
      </w:r>
      <w:r w:rsidRPr="00904FCB">
        <w:rPr>
          <w:rFonts w:hint="cs"/>
          <w:sz w:val="27"/>
          <w:rtl/>
        </w:rPr>
        <w:t xml:space="preserve"> وفي مصادر السنّة: عن عبد الله بن عمر</w:t>
      </w:r>
      <w:r w:rsidR="00AE18D5" w:rsidRPr="00904FCB">
        <w:rPr>
          <w:rFonts w:hint="cs"/>
          <w:sz w:val="27"/>
          <w:rtl/>
        </w:rPr>
        <w:t>،</w:t>
      </w:r>
      <w:r w:rsidRPr="00904FCB">
        <w:rPr>
          <w:rFonts w:hint="cs"/>
          <w:sz w:val="27"/>
          <w:rtl/>
        </w:rPr>
        <w:t xml:space="preserve"> أنّ عائشة رضي الله عنها أرادت أن تشتري جارية تعتقها، فقال أهلها: نبيعكها على أنّ الولاء لنا، فذكر</w:t>
      </w:r>
      <w:r w:rsidR="00AE18D5" w:rsidRPr="00904FCB">
        <w:rPr>
          <w:rFonts w:hint="cs"/>
          <w:sz w:val="27"/>
          <w:rtl/>
        </w:rPr>
        <w:t>َ</w:t>
      </w:r>
      <w:r w:rsidRPr="00904FCB">
        <w:rPr>
          <w:rFonts w:hint="cs"/>
          <w:sz w:val="27"/>
          <w:rtl/>
        </w:rPr>
        <w:t>ت</w:t>
      </w:r>
      <w:r w:rsidR="00AE18D5" w:rsidRPr="00904FCB">
        <w:rPr>
          <w:rFonts w:hint="cs"/>
          <w:sz w:val="27"/>
          <w:rtl/>
        </w:rPr>
        <w:t>ْ</w:t>
      </w:r>
      <w:r w:rsidRPr="00904FCB">
        <w:rPr>
          <w:rFonts w:hint="cs"/>
          <w:sz w:val="27"/>
          <w:rtl/>
        </w:rPr>
        <w:t xml:space="preserve"> ذلك لرسول الله</w:t>
      </w:r>
      <w:r w:rsidR="00635E51" w:rsidRPr="00904FCB">
        <w:rPr>
          <w:rFonts w:cs="Mosawi" w:hint="cs"/>
          <w:sz w:val="27"/>
          <w:szCs w:val="22"/>
          <w:rtl/>
        </w:rPr>
        <w:t>|</w:t>
      </w:r>
      <w:r w:rsidRPr="00904FCB">
        <w:rPr>
          <w:rFonts w:hint="cs"/>
          <w:sz w:val="27"/>
          <w:rtl/>
        </w:rPr>
        <w:t xml:space="preserve">، فقال: </w:t>
      </w:r>
      <w:r w:rsidRPr="00904FCB">
        <w:rPr>
          <w:rFonts w:hint="eastAsia"/>
          <w:sz w:val="27"/>
          <w:rtl/>
        </w:rPr>
        <w:t>«</w:t>
      </w:r>
      <w:r w:rsidRPr="00904FCB">
        <w:rPr>
          <w:rFonts w:hint="cs"/>
          <w:sz w:val="27"/>
          <w:rtl/>
        </w:rPr>
        <w:t>لا يمنعك ذلك؛ فإنّ الولاء لمَن</w:t>
      </w:r>
      <w:r w:rsidR="00AE18D5" w:rsidRPr="00904FCB">
        <w:rPr>
          <w:rFonts w:hint="cs"/>
          <w:sz w:val="27"/>
          <w:rtl/>
        </w:rPr>
        <w:t>ْ</w:t>
      </w:r>
      <w:r w:rsidRPr="00904FCB">
        <w:rPr>
          <w:rFonts w:hint="cs"/>
          <w:sz w:val="27"/>
          <w:rtl/>
        </w:rPr>
        <w:t xml:space="preserve"> أعتق</w:t>
      </w:r>
      <w:r w:rsidRPr="00904FCB">
        <w:rPr>
          <w:rFonts w:hint="eastAsia"/>
          <w:sz w:val="27"/>
          <w:rtl/>
        </w:rPr>
        <w:t>»</w:t>
      </w:r>
      <w:r w:rsidRPr="00904FCB">
        <w:rPr>
          <w:b/>
          <w:sz w:val="27"/>
          <w:vertAlign w:val="superscript"/>
          <w:rtl/>
          <w:lang w:bidi="fa-IR"/>
        </w:rPr>
        <w:t>(</w:t>
      </w:r>
      <w:r w:rsidRPr="00904FCB">
        <w:rPr>
          <w:rStyle w:val="ac"/>
          <w:b/>
          <w:sz w:val="27"/>
          <w:rtl/>
          <w:lang w:bidi="fa-IR"/>
        </w:rPr>
        <w:endnoteReference w:id="372"/>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5ـ</w:t>
      </w:r>
      <w:r w:rsidRPr="00904FCB">
        <w:rPr>
          <w:rFonts w:hint="cs"/>
          <w:sz w:val="27"/>
          <w:rtl/>
        </w:rPr>
        <w:t xml:space="preserve"> معتبرة السكوني</w:t>
      </w:r>
      <w:r w:rsidRPr="00904FCB">
        <w:rPr>
          <w:rFonts w:hint="cs"/>
          <w:sz w:val="27"/>
          <w:vertAlign w:val="superscript"/>
          <w:rtl/>
        </w:rPr>
        <w:t>(</w:t>
      </w:r>
      <w:r w:rsidRPr="00904FCB">
        <w:rPr>
          <w:rStyle w:val="ac"/>
          <w:b/>
          <w:sz w:val="27"/>
          <w:rtl/>
          <w:lang w:bidi="fa-IR"/>
        </w:rPr>
        <w:endnoteReference w:id="373"/>
      </w:r>
      <w:r w:rsidRPr="00904FCB">
        <w:rPr>
          <w:rFonts w:hint="cs"/>
          <w:b/>
          <w:sz w:val="27"/>
          <w:vertAlign w:val="superscript"/>
          <w:rtl/>
          <w:lang w:bidi="fa-IR"/>
        </w:rPr>
        <w:t>)</w:t>
      </w:r>
      <w:r w:rsidR="00AE18D5" w:rsidRPr="00904FCB">
        <w:rPr>
          <w:rFonts w:hint="cs"/>
          <w:b/>
          <w:sz w:val="27"/>
          <w:rtl/>
          <w:lang w:bidi="fa-IR"/>
        </w:rPr>
        <w:t>،</w:t>
      </w:r>
      <w:r w:rsidRPr="00904FCB">
        <w:rPr>
          <w:rFonts w:hint="cs"/>
          <w:b/>
          <w:sz w:val="27"/>
          <w:rtl/>
          <w:lang w:bidi="fa-IR"/>
        </w:rPr>
        <w:t xml:space="preserve"> </w:t>
      </w:r>
      <w:r w:rsidRPr="00904FCB">
        <w:rPr>
          <w:rFonts w:hint="cs"/>
          <w:sz w:val="27"/>
          <w:rtl/>
        </w:rPr>
        <w:t>عن جعفر، عن أبيه</w:t>
      </w:r>
      <w:r w:rsidR="001C1A2A" w:rsidRPr="00904FCB">
        <w:rPr>
          <w:rFonts w:ascii="Roumouz" w:hAnsi="Roumouz" w:cs="Mosawi" w:hint="cs"/>
          <w:sz w:val="27"/>
          <w:szCs w:val="22"/>
          <w:rtl/>
          <w:lang w:bidi="ar-IQ"/>
        </w:rPr>
        <w:t>×</w:t>
      </w:r>
      <w:r w:rsidRPr="00904FCB">
        <w:rPr>
          <w:rFonts w:ascii="Roumouz" w:hAnsi="Roumouz" w:hint="cs"/>
          <w:sz w:val="27"/>
          <w:rtl/>
          <w:lang w:bidi="ar-IQ"/>
        </w:rPr>
        <w:t xml:space="preserve"> </w:t>
      </w:r>
      <w:r w:rsidRPr="00904FCB">
        <w:rPr>
          <w:rFonts w:hint="cs"/>
          <w:sz w:val="27"/>
          <w:rtl/>
        </w:rPr>
        <w:t xml:space="preserve">قال: </w:t>
      </w:r>
      <w:r w:rsidRPr="00904FCB">
        <w:rPr>
          <w:rFonts w:hint="eastAsia"/>
          <w:sz w:val="27"/>
          <w:rtl/>
        </w:rPr>
        <w:t>«</w:t>
      </w:r>
      <w:r w:rsidRPr="00904FCB">
        <w:rPr>
          <w:rFonts w:hint="cs"/>
          <w:sz w:val="27"/>
          <w:rtl/>
        </w:rPr>
        <w:t>قال النبي</w:t>
      </w:r>
      <w:r w:rsidR="00852638" w:rsidRPr="00904FCB">
        <w:rPr>
          <w:rFonts w:hint="cs"/>
          <w:sz w:val="27"/>
          <w:rtl/>
        </w:rPr>
        <w:t>ّ</w:t>
      </w:r>
      <w:r w:rsidR="00635E51" w:rsidRPr="00904FCB">
        <w:rPr>
          <w:rFonts w:cs="Mosawi" w:hint="cs"/>
          <w:sz w:val="27"/>
          <w:szCs w:val="22"/>
          <w:rtl/>
        </w:rPr>
        <w:t>|</w:t>
      </w:r>
      <w:r w:rsidRPr="00904FCB">
        <w:rPr>
          <w:rFonts w:hint="cs"/>
          <w:sz w:val="27"/>
          <w:rtl/>
        </w:rPr>
        <w:t>: الوَلاء لحمة كلحمة</w:t>
      </w:r>
      <w:r w:rsidRPr="00904FCB">
        <w:rPr>
          <w:b/>
          <w:sz w:val="27"/>
          <w:vertAlign w:val="superscript"/>
          <w:rtl/>
          <w:lang w:bidi="fa-IR"/>
        </w:rPr>
        <w:t>(</w:t>
      </w:r>
      <w:r w:rsidRPr="00904FCB">
        <w:rPr>
          <w:rStyle w:val="ac"/>
          <w:b/>
          <w:sz w:val="27"/>
          <w:rtl/>
          <w:lang w:bidi="fa-IR"/>
        </w:rPr>
        <w:endnoteReference w:id="374"/>
      </w:r>
      <w:r w:rsidRPr="00904FCB">
        <w:rPr>
          <w:rFonts w:hint="cs"/>
          <w:b/>
          <w:sz w:val="27"/>
          <w:vertAlign w:val="superscript"/>
          <w:rtl/>
          <w:lang w:bidi="fa-IR"/>
        </w:rPr>
        <w:t xml:space="preserve">) </w:t>
      </w:r>
      <w:r w:rsidRPr="00904FCB">
        <w:rPr>
          <w:rFonts w:hint="cs"/>
          <w:sz w:val="27"/>
          <w:rtl/>
        </w:rPr>
        <w:t>الن</w:t>
      </w:r>
      <w:r w:rsidR="00852638" w:rsidRPr="00904FCB">
        <w:rPr>
          <w:rFonts w:hint="cs"/>
          <w:sz w:val="27"/>
          <w:rtl/>
        </w:rPr>
        <w:t>َّ</w:t>
      </w:r>
      <w:r w:rsidRPr="00904FCB">
        <w:rPr>
          <w:rFonts w:hint="cs"/>
          <w:sz w:val="27"/>
          <w:rtl/>
        </w:rPr>
        <w:t>س</w:t>
      </w:r>
      <w:r w:rsidR="00852638" w:rsidRPr="00904FCB">
        <w:rPr>
          <w:rFonts w:hint="cs"/>
          <w:sz w:val="27"/>
          <w:rtl/>
        </w:rPr>
        <w:t>َ</w:t>
      </w:r>
      <w:r w:rsidRPr="00904FCB">
        <w:rPr>
          <w:rFonts w:hint="cs"/>
          <w:sz w:val="27"/>
          <w:rtl/>
        </w:rPr>
        <w:t>ب، لا تُباع ولا تُوهَب</w:t>
      </w:r>
      <w:r w:rsidRPr="00904FCB">
        <w:rPr>
          <w:rFonts w:hint="eastAsia"/>
          <w:sz w:val="27"/>
          <w:rtl/>
        </w:rPr>
        <w:t>»</w:t>
      </w:r>
      <w:r w:rsidRPr="00904FCB">
        <w:rPr>
          <w:b/>
          <w:sz w:val="27"/>
          <w:vertAlign w:val="superscript"/>
          <w:rtl/>
          <w:lang w:bidi="fa-IR"/>
        </w:rPr>
        <w:t>(</w:t>
      </w:r>
      <w:r w:rsidRPr="00904FCB">
        <w:rPr>
          <w:rStyle w:val="ac"/>
          <w:b/>
          <w:sz w:val="27"/>
          <w:rtl/>
          <w:lang w:bidi="fa-IR"/>
        </w:rPr>
        <w:endnoteReference w:id="375"/>
      </w:r>
      <w:r w:rsidRPr="00904FCB">
        <w:rPr>
          <w:rFonts w:hint="cs"/>
          <w:b/>
          <w:sz w:val="27"/>
          <w:vertAlign w:val="superscript"/>
          <w:rtl/>
          <w:lang w:bidi="fa-IR"/>
        </w:rPr>
        <w:t>)</w:t>
      </w:r>
      <w:r w:rsidR="00852638" w:rsidRPr="00904FCB">
        <w:rPr>
          <w:rFonts w:hint="cs"/>
          <w:b/>
          <w:sz w:val="27"/>
          <w:rtl/>
          <w:lang w:bidi="fa-IR"/>
        </w:rPr>
        <w:t>.</w:t>
      </w:r>
      <w:r w:rsidRPr="00904FCB">
        <w:rPr>
          <w:rFonts w:hint="cs"/>
          <w:b/>
          <w:sz w:val="27"/>
          <w:vertAlign w:val="superscript"/>
          <w:rtl/>
          <w:lang w:bidi="fa-IR"/>
        </w:rPr>
        <w:t xml:space="preserve"> </w:t>
      </w:r>
      <w:r w:rsidRPr="00904FCB">
        <w:rPr>
          <w:rFonts w:hint="cs"/>
          <w:sz w:val="27"/>
          <w:rtl/>
        </w:rPr>
        <w:t>قيل: أي قرابة وانتساج كانتساج النسب في الميراث</w:t>
      </w:r>
      <w:r w:rsidRPr="00904FCB">
        <w:rPr>
          <w:b/>
          <w:sz w:val="27"/>
          <w:vertAlign w:val="superscript"/>
          <w:rtl/>
          <w:lang w:bidi="fa-IR"/>
        </w:rPr>
        <w:t>(</w:t>
      </w:r>
      <w:r w:rsidRPr="00904FCB">
        <w:rPr>
          <w:rStyle w:val="ac"/>
          <w:b/>
          <w:sz w:val="27"/>
          <w:rtl/>
          <w:lang w:bidi="fa-IR"/>
        </w:rPr>
        <w:endnoteReference w:id="376"/>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6ـ</w:t>
      </w:r>
      <w:r w:rsidRPr="00904FCB">
        <w:rPr>
          <w:rFonts w:hint="cs"/>
          <w:sz w:val="27"/>
          <w:rtl/>
        </w:rPr>
        <w:t xml:space="preserve"> مصحّ</w:t>
      </w:r>
      <w:r w:rsidR="00852638" w:rsidRPr="00904FCB">
        <w:rPr>
          <w:rFonts w:hint="cs"/>
          <w:sz w:val="27"/>
          <w:rtl/>
        </w:rPr>
        <w:t>َ</w:t>
      </w:r>
      <w:r w:rsidRPr="00904FCB">
        <w:rPr>
          <w:rFonts w:hint="cs"/>
          <w:sz w:val="27"/>
          <w:rtl/>
        </w:rPr>
        <w:t>حة ثابت بن دينار</w:t>
      </w:r>
      <w:r w:rsidRPr="00904FCB">
        <w:rPr>
          <w:b/>
          <w:sz w:val="27"/>
          <w:vertAlign w:val="superscript"/>
          <w:rtl/>
          <w:lang w:bidi="fa-IR"/>
        </w:rPr>
        <w:t>(</w:t>
      </w:r>
      <w:r w:rsidRPr="00904FCB">
        <w:rPr>
          <w:rStyle w:val="ac"/>
          <w:b/>
          <w:sz w:val="27"/>
          <w:rtl/>
          <w:lang w:bidi="fa-IR"/>
        </w:rPr>
        <w:endnoteReference w:id="377"/>
      </w:r>
      <w:r w:rsidRPr="00904FCB">
        <w:rPr>
          <w:rFonts w:hint="cs"/>
          <w:b/>
          <w:sz w:val="27"/>
          <w:vertAlign w:val="superscript"/>
          <w:rtl/>
          <w:lang w:bidi="fa-IR"/>
        </w:rPr>
        <w:t>)</w:t>
      </w:r>
      <w:r w:rsidR="00852638" w:rsidRPr="00904FCB">
        <w:rPr>
          <w:rFonts w:hint="cs"/>
          <w:b/>
          <w:sz w:val="27"/>
          <w:rtl/>
          <w:lang w:bidi="fa-IR"/>
        </w:rPr>
        <w:t>،</w:t>
      </w:r>
      <w:r w:rsidRPr="00904FCB">
        <w:rPr>
          <w:rFonts w:hint="cs"/>
          <w:b/>
          <w:sz w:val="27"/>
          <w:rtl/>
          <w:lang w:bidi="fa-IR"/>
        </w:rPr>
        <w:t xml:space="preserve"> </w:t>
      </w:r>
      <w:r w:rsidRPr="00904FCB">
        <w:rPr>
          <w:rFonts w:hint="cs"/>
          <w:sz w:val="27"/>
          <w:rtl/>
        </w:rPr>
        <w:t>عن علي</w:t>
      </w:r>
      <w:r w:rsidR="00852638" w:rsidRPr="00904FCB">
        <w:rPr>
          <w:rFonts w:hint="cs"/>
          <w:sz w:val="27"/>
          <w:rtl/>
        </w:rPr>
        <w:t>ّ</w:t>
      </w:r>
      <w:r w:rsidRPr="00904FCB">
        <w:rPr>
          <w:rFonts w:hint="cs"/>
          <w:sz w:val="27"/>
          <w:rtl/>
        </w:rPr>
        <w:t xml:space="preserve"> بن الحسين</w:t>
      </w:r>
      <w:r w:rsidR="001C1A2A" w:rsidRPr="00904FCB">
        <w:rPr>
          <w:rFonts w:cs="Mosawi" w:hint="cs"/>
          <w:sz w:val="27"/>
          <w:szCs w:val="22"/>
          <w:rtl/>
        </w:rPr>
        <w:t>×</w:t>
      </w:r>
      <w:r w:rsidRPr="00904FCB">
        <w:rPr>
          <w:rFonts w:hint="cs"/>
          <w:sz w:val="27"/>
          <w:rtl/>
        </w:rPr>
        <w:t xml:space="preserve"> ـ في حديث الحقوق ـ قال: </w:t>
      </w:r>
      <w:r w:rsidRPr="00904FCB">
        <w:rPr>
          <w:rFonts w:hint="eastAsia"/>
          <w:sz w:val="27"/>
          <w:rtl/>
        </w:rPr>
        <w:t>«</w:t>
      </w:r>
      <w:r w:rsidRPr="00904FCB">
        <w:rPr>
          <w:rFonts w:hint="cs"/>
          <w:sz w:val="27"/>
          <w:rtl/>
        </w:rPr>
        <w:t>وأمّا حقّ مولاك المنعم عليك فأن</w:t>
      </w:r>
      <w:r w:rsidR="00852638" w:rsidRPr="00904FCB">
        <w:rPr>
          <w:rFonts w:hint="cs"/>
          <w:sz w:val="27"/>
          <w:rtl/>
        </w:rPr>
        <w:t>ْ</w:t>
      </w:r>
      <w:r w:rsidRPr="00904FCB">
        <w:rPr>
          <w:rFonts w:hint="cs"/>
          <w:sz w:val="27"/>
          <w:rtl/>
        </w:rPr>
        <w:t xml:space="preserve"> تعلم أنّه أنفق فيك ماله، وأخرجك من ذلّ الرقّ ـ إلى أن قال: ـ وتعلم أنّه أ</w:t>
      </w:r>
      <w:r w:rsidR="00852638" w:rsidRPr="00904FCB">
        <w:rPr>
          <w:rFonts w:hint="cs"/>
          <w:sz w:val="27"/>
          <w:rtl/>
        </w:rPr>
        <w:t>َ</w:t>
      </w:r>
      <w:r w:rsidRPr="00904FCB">
        <w:rPr>
          <w:rFonts w:hint="cs"/>
          <w:sz w:val="27"/>
          <w:rtl/>
        </w:rPr>
        <w:t>و</w:t>
      </w:r>
      <w:r w:rsidR="00852638" w:rsidRPr="00904FCB">
        <w:rPr>
          <w:rFonts w:hint="cs"/>
          <w:sz w:val="27"/>
          <w:rtl/>
        </w:rPr>
        <w:t>ْ</w:t>
      </w:r>
      <w:r w:rsidRPr="00904FCB">
        <w:rPr>
          <w:rFonts w:hint="cs"/>
          <w:sz w:val="27"/>
          <w:rtl/>
        </w:rPr>
        <w:t>لى الناس بك في حياتك وموتك</w:t>
      </w:r>
      <w:r w:rsidR="00852638" w:rsidRPr="00904FCB">
        <w:rPr>
          <w:rFonts w:hint="cs"/>
          <w:sz w:val="27"/>
          <w:rtl/>
        </w:rPr>
        <w:t>.</w:t>
      </w:r>
      <w:r w:rsidRPr="00904FCB">
        <w:rPr>
          <w:rFonts w:hint="cs"/>
          <w:sz w:val="27"/>
          <w:rtl/>
        </w:rPr>
        <w:t xml:space="preserve"> وأمّا حقّ مولاك الذي أنعمت عليه فأن</w:t>
      </w:r>
      <w:r w:rsidR="00852638" w:rsidRPr="00904FCB">
        <w:rPr>
          <w:rFonts w:hint="cs"/>
          <w:sz w:val="27"/>
          <w:rtl/>
        </w:rPr>
        <w:t>ْ</w:t>
      </w:r>
      <w:r w:rsidRPr="00904FCB">
        <w:rPr>
          <w:rFonts w:hint="cs"/>
          <w:sz w:val="27"/>
          <w:rtl/>
        </w:rPr>
        <w:t xml:space="preserve"> تعلم أنّ الله جعل عتقك له وسيلة إليه</w:t>
      </w:r>
      <w:r w:rsidR="00852638" w:rsidRPr="00904FCB">
        <w:rPr>
          <w:rFonts w:hint="cs"/>
          <w:sz w:val="27"/>
          <w:rtl/>
        </w:rPr>
        <w:t>،</w:t>
      </w:r>
      <w:r w:rsidRPr="00904FCB">
        <w:rPr>
          <w:rFonts w:hint="cs"/>
          <w:sz w:val="27"/>
          <w:rtl/>
        </w:rPr>
        <w:t xml:space="preserve"> وحجاباً لك من النار، وأنّ ثوابك في العاجل ميراثه إذا لم يكن له رحم</w:t>
      </w:r>
      <w:r w:rsidR="00852638" w:rsidRPr="00904FCB">
        <w:rPr>
          <w:rFonts w:hint="cs"/>
          <w:sz w:val="27"/>
          <w:rtl/>
        </w:rPr>
        <w:t>؛</w:t>
      </w:r>
      <w:r w:rsidRPr="00904FCB">
        <w:rPr>
          <w:rFonts w:hint="cs"/>
          <w:sz w:val="27"/>
          <w:rtl/>
        </w:rPr>
        <w:t xml:space="preserve"> مكافاة لما أنفقت من مالك، وفي الآجل الجنّة</w:t>
      </w:r>
      <w:r w:rsidRPr="00904FCB">
        <w:rPr>
          <w:rFonts w:hint="eastAsia"/>
          <w:sz w:val="27"/>
          <w:rtl/>
        </w:rPr>
        <w:t>»</w:t>
      </w:r>
      <w:r w:rsidRPr="00904FCB">
        <w:rPr>
          <w:b/>
          <w:sz w:val="27"/>
          <w:vertAlign w:val="superscript"/>
          <w:rtl/>
          <w:lang w:bidi="fa-IR"/>
        </w:rPr>
        <w:t>(</w:t>
      </w:r>
      <w:r w:rsidRPr="00904FCB">
        <w:rPr>
          <w:rStyle w:val="ac"/>
          <w:b/>
          <w:sz w:val="27"/>
          <w:rtl/>
          <w:lang w:bidi="fa-IR"/>
        </w:rPr>
        <w:endnoteReference w:id="378"/>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7ـ</w:t>
      </w:r>
      <w:r w:rsidRPr="00904FCB">
        <w:rPr>
          <w:rFonts w:hint="cs"/>
          <w:sz w:val="27"/>
          <w:rtl/>
        </w:rPr>
        <w:t xml:space="preserve"> معتبرة أبي الصباح الكناني</w:t>
      </w:r>
      <w:r w:rsidRPr="00904FCB">
        <w:rPr>
          <w:rFonts w:hint="cs"/>
          <w:sz w:val="27"/>
          <w:vertAlign w:val="superscript"/>
          <w:rtl/>
        </w:rPr>
        <w:t>(</w:t>
      </w:r>
      <w:r w:rsidRPr="00904FCB">
        <w:rPr>
          <w:rStyle w:val="ac"/>
          <w:b/>
          <w:sz w:val="27"/>
          <w:rtl/>
          <w:lang w:bidi="fa-IR"/>
        </w:rPr>
        <w:endnoteReference w:id="379"/>
      </w:r>
      <w:r w:rsidRPr="00904FCB">
        <w:rPr>
          <w:rFonts w:hint="cs"/>
          <w:b/>
          <w:sz w:val="27"/>
          <w:vertAlign w:val="superscript"/>
          <w:rtl/>
          <w:lang w:bidi="fa-IR"/>
        </w:rPr>
        <w:t>)</w:t>
      </w:r>
      <w:r w:rsidR="00852638" w:rsidRPr="00904FCB">
        <w:rPr>
          <w:rFonts w:hint="cs"/>
          <w:b/>
          <w:sz w:val="27"/>
          <w:rtl/>
          <w:lang w:bidi="fa-IR"/>
        </w:rPr>
        <w:t>،</w:t>
      </w:r>
      <w:r w:rsidRPr="00904FCB">
        <w:rPr>
          <w:rFonts w:hint="cs"/>
          <w:b/>
          <w:sz w:val="27"/>
          <w:rtl/>
          <w:lang w:bidi="fa-IR"/>
        </w:rPr>
        <w:t xml:space="preserve"> </w:t>
      </w:r>
      <w:r w:rsidRPr="00904FCB">
        <w:rPr>
          <w:rFonts w:hint="cs"/>
          <w:sz w:val="27"/>
          <w:rtl/>
        </w:rPr>
        <w:t>عن أبي عبد الله</w:t>
      </w:r>
      <w:r w:rsidR="001C1A2A" w:rsidRPr="00904FCB">
        <w:rPr>
          <w:rFonts w:cs="Mosawi" w:hint="cs"/>
          <w:sz w:val="27"/>
          <w:szCs w:val="22"/>
          <w:rtl/>
        </w:rPr>
        <w:t>×</w:t>
      </w:r>
      <w:r w:rsidR="00852638" w:rsidRPr="00904FCB">
        <w:rPr>
          <w:rFonts w:hint="cs"/>
          <w:sz w:val="27"/>
          <w:rtl/>
        </w:rPr>
        <w:t>،</w:t>
      </w:r>
      <w:r w:rsidRPr="00904FCB">
        <w:rPr>
          <w:rFonts w:hint="cs"/>
          <w:sz w:val="27"/>
          <w:rtl/>
        </w:rPr>
        <w:t xml:space="preserve"> في امرأة</w:t>
      </w:r>
      <w:r w:rsidR="00852638" w:rsidRPr="00904FCB">
        <w:rPr>
          <w:rFonts w:hint="cs"/>
          <w:sz w:val="27"/>
          <w:rtl/>
        </w:rPr>
        <w:t>ٍ</w:t>
      </w:r>
      <w:r w:rsidRPr="00904FCB">
        <w:rPr>
          <w:rFonts w:hint="cs"/>
          <w:sz w:val="27"/>
          <w:rtl/>
        </w:rPr>
        <w:t xml:space="preserve"> أعتقت رجلاً، لمَنْ ولاؤه؟ ولم</w:t>
      </w:r>
      <w:r w:rsidR="00852638" w:rsidRPr="00904FCB">
        <w:rPr>
          <w:rFonts w:hint="cs"/>
          <w:sz w:val="27"/>
          <w:rtl/>
        </w:rPr>
        <w:t>َ</w:t>
      </w:r>
      <w:r w:rsidRPr="00904FCB">
        <w:rPr>
          <w:rFonts w:hint="cs"/>
          <w:sz w:val="27"/>
          <w:rtl/>
        </w:rPr>
        <w:t>ن</w:t>
      </w:r>
      <w:r w:rsidR="00852638" w:rsidRPr="00904FCB">
        <w:rPr>
          <w:rFonts w:hint="cs"/>
          <w:sz w:val="27"/>
          <w:rtl/>
        </w:rPr>
        <w:t>ْ</w:t>
      </w:r>
      <w:r w:rsidRPr="00904FCB">
        <w:rPr>
          <w:rFonts w:hint="cs"/>
          <w:sz w:val="27"/>
          <w:rtl/>
        </w:rPr>
        <w:t xml:space="preserve"> ميراثه؟ فقال: </w:t>
      </w:r>
      <w:r w:rsidRPr="00904FCB">
        <w:rPr>
          <w:rFonts w:hint="eastAsia"/>
          <w:sz w:val="27"/>
          <w:rtl/>
        </w:rPr>
        <w:t>«</w:t>
      </w:r>
      <w:r w:rsidRPr="00904FCB">
        <w:rPr>
          <w:rFonts w:hint="cs"/>
          <w:sz w:val="27"/>
          <w:rtl/>
        </w:rPr>
        <w:t>للذي أعتقه، إلا</w:t>
      </w:r>
      <w:r w:rsidR="00852638" w:rsidRPr="00904FCB">
        <w:rPr>
          <w:rFonts w:hint="cs"/>
          <w:sz w:val="27"/>
          <w:rtl/>
        </w:rPr>
        <w:t>ّ</w:t>
      </w:r>
      <w:r w:rsidRPr="00904FCB">
        <w:rPr>
          <w:rFonts w:hint="cs"/>
          <w:sz w:val="27"/>
          <w:rtl/>
        </w:rPr>
        <w:t xml:space="preserve"> أن يكون له وارث غيره [= غيرها]</w:t>
      </w:r>
      <w:r w:rsidRPr="00904FCB">
        <w:rPr>
          <w:rFonts w:hint="eastAsia"/>
          <w:sz w:val="27"/>
          <w:rtl/>
        </w:rPr>
        <w:t>»</w:t>
      </w:r>
      <w:r w:rsidRPr="00904FCB">
        <w:rPr>
          <w:rFonts w:hint="cs"/>
          <w:sz w:val="27"/>
          <w:vertAlign w:val="superscript"/>
          <w:rtl/>
        </w:rPr>
        <w:t>(</w:t>
      </w:r>
      <w:r w:rsidRPr="00904FCB">
        <w:rPr>
          <w:rStyle w:val="ac"/>
          <w:b/>
          <w:sz w:val="27"/>
          <w:rtl/>
          <w:lang w:bidi="fa-IR"/>
        </w:rPr>
        <w:endnoteReference w:id="380"/>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8ـ</w:t>
      </w:r>
      <w:r w:rsidRPr="00904FCB">
        <w:rPr>
          <w:rFonts w:hint="cs"/>
          <w:sz w:val="27"/>
          <w:rtl/>
        </w:rPr>
        <w:t xml:space="preserve"> صحيحة هشام بن سالم</w:t>
      </w:r>
      <w:r w:rsidRPr="00904FCB">
        <w:rPr>
          <w:rFonts w:hint="cs"/>
          <w:sz w:val="27"/>
          <w:vertAlign w:val="superscript"/>
          <w:rtl/>
        </w:rPr>
        <w:t>(</w:t>
      </w:r>
      <w:r w:rsidRPr="00904FCB">
        <w:rPr>
          <w:rStyle w:val="ac"/>
          <w:b/>
          <w:sz w:val="27"/>
          <w:rtl/>
          <w:lang w:bidi="fa-IR"/>
        </w:rPr>
        <w:endnoteReference w:id="381"/>
      </w:r>
      <w:r w:rsidRPr="00904FCB">
        <w:rPr>
          <w:rFonts w:hint="cs"/>
          <w:b/>
          <w:sz w:val="27"/>
          <w:vertAlign w:val="superscript"/>
          <w:rtl/>
          <w:lang w:bidi="fa-IR"/>
        </w:rPr>
        <w:t>)</w:t>
      </w:r>
      <w:r w:rsidR="00852638" w:rsidRPr="00904FCB">
        <w:rPr>
          <w:rFonts w:hint="cs"/>
          <w:b/>
          <w:sz w:val="27"/>
          <w:rtl/>
          <w:lang w:bidi="fa-IR"/>
        </w:rPr>
        <w:t>،</w:t>
      </w:r>
      <w:r w:rsidRPr="00904FCB">
        <w:rPr>
          <w:rFonts w:hint="cs"/>
          <w:b/>
          <w:sz w:val="27"/>
          <w:rtl/>
          <w:lang w:bidi="fa-IR"/>
        </w:rPr>
        <w:t xml:space="preserve"> </w:t>
      </w:r>
      <w:r w:rsidRPr="00904FCB">
        <w:rPr>
          <w:rFonts w:hint="cs"/>
          <w:sz w:val="27"/>
          <w:rtl/>
        </w:rPr>
        <w:t>عن أبي عبد الله</w:t>
      </w:r>
      <w:r w:rsidR="001C1A2A" w:rsidRPr="00904FCB">
        <w:rPr>
          <w:rFonts w:cs="Mosawi" w:hint="cs"/>
          <w:sz w:val="27"/>
          <w:szCs w:val="22"/>
          <w:rtl/>
        </w:rPr>
        <w:t>×</w:t>
      </w:r>
      <w:r w:rsidRPr="00904FCB">
        <w:rPr>
          <w:rFonts w:ascii="Roumouz" w:hAnsi="Roumouz" w:hint="cs"/>
          <w:sz w:val="27"/>
          <w:rtl/>
          <w:lang w:bidi="ar-IQ"/>
        </w:rPr>
        <w:t xml:space="preserve"> </w:t>
      </w:r>
      <w:r w:rsidRPr="00904FCB">
        <w:rPr>
          <w:rFonts w:hint="cs"/>
          <w:sz w:val="27"/>
          <w:rtl/>
        </w:rPr>
        <w:t xml:space="preserve">قال: </w:t>
      </w:r>
      <w:r w:rsidRPr="00904FCB">
        <w:rPr>
          <w:rFonts w:hint="eastAsia"/>
          <w:sz w:val="27"/>
          <w:rtl/>
        </w:rPr>
        <w:t>«</w:t>
      </w:r>
      <w:r w:rsidR="00852638" w:rsidRPr="00904FCB">
        <w:rPr>
          <w:rFonts w:hint="cs"/>
          <w:sz w:val="27"/>
          <w:rtl/>
        </w:rPr>
        <w:t>إذا والى</w:t>
      </w:r>
      <w:r w:rsidRPr="00904FCB">
        <w:rPr>
          <w:rFonts w:hint="cs"/>
          <w:sz w:val="27"/>
          <w:rtl/>
        </w:rPr>
        <w:t xml:space="preserve"> [= ولي] الرجلُ الرجلَ فله ميراثه، وعليه معقلته</w:t>
      </w:r>
      <w:r w:rsidRPr="00904FCB">
        <w:rPr>
          <w:rFonts w:hint="eastAsia"/>
          <w:sz w:val="27"/>
          <w:rtl/>
        </w:rPr>
        <w:t>»</w:t>
      </w:r>
      <w:r w:rsidRPr="00904FCB">
        <w:rPr>
          <w:rFonts w:hint="cs"/>
          <w:sz w:val="27"/>
          <w:vertAlign w:val="superscript"/>
          <w:rtl/>
        </w:rPr>
        <w:t>(</w:t>
      </w:r>
      <w:r w:rsidRPr="00904FCB">
        <w:rPr>
          <w:rStyle w:val="ac"/>
          <w:b/>
          <w:sz w:val="27"/>
          <w:rtl/>
          <w:lang w:bidi="fa-IR"/>
        </w:rPr>
        <w:endnoteReference w:id="382"/>
      </w:r>
      <w:r w:rsidRPr="00904FCB">
        <w:rPr>
          <w:rFonts w:hint="cs"/>
          <w:b/>
          <w:sz w:val="27"/>
          <w:vertAlign w:val="superscript"/>
          <w:rtl/>
          <w:lang w:bidi="fa-IR"/>
        </w:rPr>
        <w:t>)</w:t>
      </w:r>
      <w:r w:rsidR="00852638" w:rsidRPr="00904FCB">
        <w:rPr>
          <w:rFonts w:hint="cs"/>
          <w:b/>
          <w:sz w:val="27"/>
          <w:rtl/>
          <w:lang w:bidi="fa-IR"/>
        </w:rPr>
        <w:t>.</w:t>
      </w:r>
      <w:r w:rsidRPr="00904FCB">
        <w:rPr>
          <w:rFonts w:hint="cs"/>
          <w:b/>
          <w:sz w:val="27"/>
          <w:rtl/>
          <w:lang w:bidi="fa-IR"/>
        </w:rPr>
        <w:t xml:space="preserve"> </w:t>
      </w:r>
      <w:r w:rsidRPr="00904FCB">
        <w:rPr>
          <w:rFonts w:hint="cs"/>
          <w:sz w:val="27"/>
          <w:rtl/>
        </w:rPr>
        <w:t>والمعقلة: دية جناية الخطأ</w:t>
      </w:r>
      <w:r w:rsidRPr="00904FCB">
        <w:rPr>
          <w:rFonts w:hint="cs"/>
          <w:sz w:val="27"/>
          <w:vertAlign w:val="superscript"/>
          <w:rtl/>
        </w:rPr>
        <w:t>(</w:t>
      </w:r>
      <w:r w:rsidRPr="00904FCB">
        <w:rPr>
          <w:rStyle w:val="ac"/>
          <w:b/>
          <w:sz w:val="27"/>
          <w:rtl/>
          <w:lang w:bidi="fa-IR"/>
        </w:rPr>
        <w:endnoteReference w:id="383"/>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r w:rsidRPr="00707BC0">
        <w:rPr>
          <w:rFonts w:hint="cs"/>
          <w:sz w:val="27"/>
          <w:rtl/>
        </w:rPr>
        <w:t>9ـ</w:t>
      </w:r>
      <w:r w:rsidR="00852638" w:rsidRPr="00904FCB">
        <w:rPr>
          <w:rFonts w:hint="cs"/>
          <w:sz w:val="27"/>
          <w:rtl/>
        </w:rPr>
        <w:t xml:space="preserve"> صحيحة محم</w:t>
      </w:r>
      <w:r w:rsidRPr="00904FCB">
        <w:rPr>
          <w:rFonts w:hint="cs"/>
          <w:sz w:val="27"/>
          <w:rtl/>
        </w:rPr>
        <w:t>د بن مسلم</w:t>
      </w:r>
      <w:r w:rsidR="00852638" w:rsidRPr="00904FCB">
        <w:rPr>
          <w:rFonts w:hint="cs"/>
          <w:sz w:val="27"/>
          <w:rtl/>
        </w:rPr>
        <w:t>،</w:t>
      </w:r>
      <w:r w:rsidRPr="00904FCB">
        <w:rPr>
          <w:rFonts w:hint="cs"/>
          <w:sz w:val="27"/>
          <w:rtl/>
        </w:rPr>
        <w:t xml:space="preserve"> عن أبي جعفر</w:t>
      </w:r>
      <w:r w:rsidR="001C1A2A" w:rsidRPr="00904FCB">
        <w:rPr>
          <w:rFonts w:cs="Mosawi" w:hint="cs"/>
          <w:sz w:val="27"/>
          <w:szCs w:val="22"/>
          <w:rtl/>
        </w:rPr>
        <w:t>×</w:t>
      </w:r>
      <w:r w:rsidRPr="00904FCB">
        <w:rPr>
          <w:rFonts w:hint="cs"/>
          <w:sz w:val="27"/>
          <w:rtl/>
        </w:rPr>
        <w:t xml:space="preserve"> قال: </w:t>
      </w:r>
      <w:r w:rsidRPr="00904FCB">
        <w:rPr>
          <w:rFonts w:hint="eastAsia"/>
          <w:sz w:val="27"/>
          <w:rtl/>
        </w:rPr>
        <w:t>«</w:t>
      </w:r>
      <w:r w:rsidRPr="00904FCB">
        <w:rPr>
          <w:rFonts w:hint="cs"/>
          <w:sz w:val="27"/>
          <w:rtl/>
        </w:rPr>
        <w:t>م</w:t>
      </w:r>
      <w:r w:rsidR="00852638" w:rsidRPr="00904FCB">
        <w:rPr>
          <w:rFonts w:hint="cs"/>
          <w:sz w:val="27"/>
          <w:rtl/>
        </w:rPr>
        <w:t>َ</w:t>
      </w:r>
      <w:r w:rsidRPr="00904FCB">
        <w:rPr>
          <w:rFonts w:hint="cs"/>
          <w:sz w:val="27"/>
          <w:rtl/>
        </w:rPr>
        <w:t>ن</w:t>
      </w:r>
      <w:r w:rsidR="00852638" w:rsidRPr="00904FCB">
        <w:rPr>
          <w:rFonts w:hint="cs"/>
          <w:sz w:val="27"/>
          <w:rtl/>
        </w:rPr>
        <w:t>ْ</w:t>
      </w:r>
      <w:r w:rsidRPr="00904FCB">
        <w:rPr>
          <w:rFonts w:hint="cs"/>
          <w:sz w:val="27"/>
          <w:rtl/>
        </w:rPr>
        <w:t xml:space="preserve"> مات وليس له وارث</w:t>
      </w:r>
      <w:r w:rsidR="00852638" w:rsidRPr="00904FCB">
        <w:rPr>
          <w:rFonts w:hint="cs"/>
          <w:sz w:val="27"/>
          <w:rtl/>
        </w:rPr>
        <w:t>ٌ</w:t>
      </w:r>
      <w:r w:rsidRPr="00904FCB">
        <w:rPr>
          <w:rFonts w:hint="cs"/>
          <w:sz w:val="27"/>
          <w:rtl/>
        </w:rPr>
        <w:t xml:space="preserve"> من [قِبل] قرابته [= قرابة]</w:t>
      </w:r>
      <w:r w:rsidR="00852638" w:rsidRPr="00904FCB">
        <w:rPr>
          <w:rFonts w:hint="cs"/>
          <w:sz w:val="27"/>
          <w:rtl/>
        </w:rPr>
        <w:t>،</w:t>
      </w:r>
      <w:r w:rsidRPr="00904FCB">
        <w:rPr>
          <w:rFonts w:hint="cs"/>
          <w:sz w:val="27"/>
          <w:rtl/>
        </w:rPr>
        <w:t xml:space="preserve"> </w:t>
      </w:r>
      <w:r w:rsidR="00852638" w:rsidRPr="00904FCB">
        <w:rPr>
          <w:rFonts w:hint="cs"/>
          <w:sz w:val="27"/>
          <w:rtl/>
        </w:rPr>
        <w:t>ولا مولى</w:t>
      </w:r>
      <w:r w:rsidRPr="00904FCB">
        <w:rPr>
          <w:rFonts w:hint="cs"/>
          <w:sz w:val="27"/>
          <w:rtl/>
        </w:rPr>
        <w:t xml:space="preserve"> عتاقة قد ضمن جريرته</w:t>
      </w:r>
      <w:r w:rsidR="00852638" w:rsidRPr="00904FCB">
        <w:rPr>
          <w:rFonts w:hint="cs"/>
          <w:sz w:val="27"/>
          <w:rtl/>
        </w:rPr>
        <w:t>،</w:t>
      </w:r>
      <w:r w:rsidRPr="00904FCB">
        <w:rPr>
          <w:rFonts w:hint="cs"/>
          <w:sz w:val="27"/>
          <w:rtl/>
        </w:rPr>
        <w:t xml:space="preserve"> فماله من الأنفال</w:t>
      </w:r>
      <w:r w:rsidRPr="00904FCB">
        <w:rPr>
          <w:rFonts w:hint="eastAsia"/>
          <w:sz w:val="27"/>
          <w:rtl/>
        </w:rPr>
        <w:t>»</w:t>
      </w:r>
      <w:r w:rsidRPr="00904FCB">
        <w:rPr>
          <w:rFonts w:hint="cs"/>
          <w:sz w:val="27"/>
          <w:vertAlign w:val="superscript"/>
          <w:rtl/>
        </w:rPr>
        <w:t>(</w:t>
      </w:r>
      <w:r w:rsidRPr="00904FCB">
        <w:rPr>
          <w:rStyle w:val="ac"/>
          <w:b/>
          <w:sz w:val="27"/>
          <w:rtl/>
          <w:lang w:bidi="fa-IR"/>
        </w:rPr>
        <w:endnoteReference w:id="384"/>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b/>
          <w:sz w:val="27"/>
          <w:vertAlign w:val="superscript"/>
          <w:rtl/>
          <w:lang w:bidi="fa-IR"/>
        </w:rPr>
      </w:pPr>
      <w:r w:rsidRPr="00707BC0">
        <w:rPr>
          <w:rFonts w:hint="cs"/>
          <w:sz w:val="27"/>
          <w:rtl/>
        </w:rPr>
        <w:t>10ـ</w:t>
      </w:r>
      <w:r w:rsidRPr="00904FCB">
        <w:rPr>
          <w:rFonts w:hint="cs"/>
          <w:sz w:val="27"/>
          <w:rtl/>
        </w:rPr>
        <w:t xml:space="preserve"> صحيحة عمر بن يزيد قال: سألت</w:t>
      </w:r>
      <w:r w:rsidR="00852638" w:rsidRPr="00904FCB">
        <w:rPr>
          <w:rFonts w:hint="cs"/>
          <w:sz w:val="27"/>
          <w:rtl/>
        </w:rPr>
        <w:t>ُ</w:t>
      </w:r>
      <w:r w:rsidRPr="00904FCB">
        <w:rPr>
          <w:rFonts w:hint="cs"/>
          <w:sz w:val="27"/>
          <w:rtl/>
        </w:rPr>
        <w:t xml:space="preserve"> أبا عبد الله</w:t>
      </w:r>
      <w:r w:rsidR="001C1A2A" w:rsidRPr="00904FCB">
        <w:rPr>
          <w:rFonts w:cs="Mosawi" w:hint="cs"/>
          <w:sz w:val="27"/>
          <w:szCs w:val="22"/>
          <w:rtl/>
        </w:rPr>
        <w:t>×</w:t>
      </w:r>
      <w:r w:rsidRPr="00904FCB">
        <w:rPr>
          <w:rFonts w:ascii="Roumouz" w:hAnsi="Roumouz" w:hint="cs"/>
          <w:sz w:val="27"/>
          <w:rtl/>
          <w:lang w:bidi="ar-IQ"/>
        </w:rPr>
        <w:t xml:space="preserve"> </w:t>
      </w:r>
      <w:r w:rsidRPr="00904FCB">
        <w:rPr>
          <w:rFonts w:hint="cs"/>
          <w:sz w:val="27"/>
          <w:rtl/>
        </w:rPr>
        <w:t>عن رجل</w:t>
      </w:r>
      <w:r w:rsidR="00852638" w:rsidRPr="00904FCB">
        <w:rPr>
          <w:rFonts w:hint="cs"/>
          <w:sz w:val="27"/>
          <w:rtl/>
        </w:rPr>
        <w:t>ٍ</w:t>
      </w:r>
      <w:r w:rsidRPr="00904FCB">
        <w:rPr>
          <w:rFonts w:hint="cs"/>
          <w:sz w:val="27"/>
          <w:rtl/>
        </w:rPr>
        <w:t xml:space="preserve"> أراد أن يعتق مملوكاً له، وقد كان مولاه يأخذ منه ضريبة فرضها عليه في كلّ سنة</w:t>
      </w:r>
      <w:r w:rsidR="00852638" w:rsidRPr="00904FCB">
        <w:rPr>
          <w:rFonts w:hint="cs"/>
          <w:sz w:val="27"/>
          <w:rtl/>
        </w:rPr>
        <w:t>ٍ</w:t>
      </w:r>
      <w:r w:rsidRPr="00904FCB">
        <w:rPr>
          <w:rFonts w:hint="cs"/>
          <w:sz w:val="27"/>
          <w:rtl/>
        </w:rPr>
        <w:t xml:space="preserve"> ـ إلى أن قال: ـ قلت</w:t>
      </w:r>
      <w:r w:rsidR="00852638" w:rsidRPr="00904FCB">
        <w:rPr>
          <w:rFonts w:hint="cs"/>
          <w:sz w:val="27"/>
          <w:rtl/>
        </w:rPr>
        <w:t>ُ</w:t>
      </w:r>
      <w:r w:rsidRPr="00904FCB">
        <w:rPr>
          <w:rFonts w:hint="cs"/>
          <w:sz w:val="27"/>
          <w:rtl/>
        </w:rPr>
        <w:t>: فإذا أعتق مملوكاً ممّا كان اك</w:t>
      </w:r>
      <w:r w:rsidR="00852638" w:rsidRPr="00904FCB">
        <w:rPr>
          <w:rFonts w:hint="cs"/>
          <w:sz w:val="27"/>
          <w:rtl/>
        </w:rPr>
        <w:t>تسب سوى</w:t>
      </w:r>
      <w:r w:rsidRPr="00904FCB">
        <w:rPr>
          <w:rFonts w:hint="cs"/>
          <w:sz w:val="27"/>
          <w:rtl/>
        </w:rPr>
        <w:t xml:space="preserve"> الفريضة، لمَن</w:t>
      </w:r>
      <w:r w:rsidR="00852638" w:rsidRPr="00904FCB">
        <w:rPr>
          <w:rFonts w:hint="cs"/>
          <w:sz w:val="27"/>
          <w:rtl/>
        </w:rPr>
        <w:t>ْ</w:t>
      </w:r>
      <w:r w:rsidRPr="00904FCB">
        <w:rPr>
          <w:rFonts w:hint="cs"/>
          <w:sz w:val="27"/>
          <w:rtl/>
        </w:rPr>
        <w:t xml:space="preserve"> يكون الولاء؟ قال: </w:t>
      </w:r>
      <w:r w:rsidRPr="00904FCB">
        <w:rPr>
          <w:rFonts w:hint="eastAsia"/>
          <w:sz w:val="27"/>
          <w:rtl/>
        </w:rPr>
        <w:t>«</w:t>
      </w:r>
      <w:r w:rsidRPr="00904FCB">
        <w:rPr>
          <w:rFonts w:hint="cs"/>
          <w:sz w:val="27"/>
          <w:rtl/>
        </w:rPr>
        <w:t>يذهب فيولي مَن</w:t>
      </w:r>
      <w:r w:rsidR="00852638" w:rsidRPr="00904FCB">
        <w:rPr>
          <w:rFonts w:hint="cs"/>
          <w:sz w:val="27"/>
          <w:rtl/>
        </w:rPr>
        <w:t>ْ</w:t>
      </w:r>
      <w:r w:rsidRPr="00904FCB">
        <w:rPr>
          <w:rFonts w:hint="cs"/>
          <w:sz w:val="27"/>
          <w:rtl/>
        </w:rPr>
        <w:t xml:space="preserve"> أحبّ، فإذا ضمن جريرته وعقله كان مولاه وورثه</w:t>
      </w:r>
      <w:r w:rsidRPr="00904FCB">
        <w:rPr>
          <w:rFonts w:hint="eastAsia"/>
          <w:sz w:val="27"/>
          <w:rtl/>
        </w:rPr>
        <w:t>»</w:t>
      </w:r>
      <w:r w:rsidRPr="00904FCB">
        <w:rPr>
          <w:rFonts w:hint="cs"/>
          <w:sz w:val="27"/>
          <w:rtl/>
        </w:rPr>
        <w:t>. قلت</w:t>
      </w:r>
      <w:r w:rsidR="00852638" w:rsidRPr="00904FCB">
        <w:rPr>
          <w:rFonts w:hint="cs"/>
          <w:sz w:val="27"/>
          <w:rtl/>
        </w:rPr>
        <w:t>ُ</w:t>
      </w:r>
      <w:r w:rsidRPr="00904FCB">
        <w:rPr>
          <w:rFonts w:hint="cs"/>
          <w:sz w:val="27"/>
          <w:rtl/>
        </w:rPr>
        <w:t xml:space="preserve"> له: أليس </w:t>
      </w:r>
      <w:r w:rsidRPr="00904FCB">
        <w:rPr>
          <w:rFonts w:hint="cs"/>
          <w:sz w:val="27"/>
          <w:rtl/>
        </w:rPr>
        <w:lastRenderedPageBreak/>
        <w:t>قد قال رسول</w:t>
      </w:r>
      <w:r w:rsidR="00635E51" w:rsidRPr="00904FCB">
        <w:rPr>
          <w:rFonts w:cs="Mosawi" w:hint="cs"/>
          <w:sz w:val="27"/>
          <w:szCs w:val="22"/>
          <w:rtl/>
        </w:rPr>
        <w:t>|</w:t>
      </w:r>
      <w:r w:rsidRPr="00904FCB">
        <w:rPr>
          <w:rFonts w:hint="cs"/>
          <w:sz w:val="27"/>
          <w:rtl/>
        </w:rPr>
        <w:t xml:space="preserve">: </w:t>
      </w:r>
      <w:r w:rsidRPr="00904FCB">
        <w:rPr>
          <w:rFonts w:hint="eastAsia"/>
          <w:sz w:val="27"/>
          <w:rtl/>
        </w:rPr>
        <w:t>«</w:t>
      </w:r>
      <w:r w:rsidRPr="00904FCB">
        <w:rPr>
          <w:rFonts w:hint="cs"/>
          <w:sz w:val="27"/>
          <w:rtl/>
        </w:rPr>
        <w:t>الولاء لمَن</w:t>
      </w:r>
      <w:r w:rsidR="00852638" w:rsidRPr="00904FCB">
        <w:rPr>
          <w:rFonts w:hint="cs"/>
          <w:sz w:val="27"/>
          <w:rtl/>
        </w:rPr>
        <w:t>ْ</w:t>
      </w:r>
      <w:r w:rsidRPr="00904FCB">
        <w:rPr>
          <w:rFonts w:hint="cs"/>
          <w:sz w:val="27"/>
          <w:rtl/>
        </w:rPr>
        <w:t xml:space="preserve"> أعتق</w:t>
      </w:r>
      <w:r w:rsidRPr="00904FCB">
        <w:rPr>
          <w:rFonts w:hint="eastAsia"/>
          <w:sz w:val="27"/>
          <w:rtl/>
        </w:rPr>
        <w:t>»</w:t>
      </w:r>
      <w:r w:rsidRPr="00904FCB">
        <w:rPr>
          <w:rFonts w:hint="cs"/>
          <w:b/>
          <w:sz w:val="27"/>
          <w:rtl/>
        </w:rPr>
        <w:t>؟!</w:t>
      </w:r>
      <w:r w:rsidRPr="00904FCB">
        <w:rPr>
          <w:rFonts w:hint="cs"/>
          <w:bCs/>
          <w:sz w:val="27"/>
          <w:rtl/>
        </w:rPr>
        <w:t xml:space="preserve"> </w:t>
      </w:r>
      <w:r w:rsidRPr="00904FCB">
        <w:rPr>
          <w:rFonts w:hint="cs"/>
          <w:sz w:val="27"/>
          <w:rtl/>
        </w:rPr>
        <w:t xml:space="preserve">قال: </w:t>
      </w:r>
      <w:r w:rsidRPr="00904FCB">
        <w:rPr>
          <w:rFonts w:hint="eastAsia"/>
          <w:sz w:val="27"/>
          <w:rtl/>
        </w:rPr>
        <w:t>«</w:t>
      </w:r>
      <w:r w:rsidRPr="00904FCB">
        <w:rPr>
          <w:rFonts w:hint="cs"/>
          <w:sz w:val="27"/>
          <w:rtl/>
        </w:rPr>
        <w:t>هذا سائبة، لا يكون ولاؤه لعبد</w:t>
      </w:r>
      <w:r w:rsidR="00852638" w:rsidRPr="00904FCB">
        <w:rPr>
          <w:rFonts w:hint="cs"/>
          <w:sz w:val="27"/>
          <w:rtl/>
        </w:rPr>
        <w:t>ٍ</w:t>
      </w:r>
      <w:r w:rsidRPr="00904FCB">
        <w:rPr>
          <w:rFonts w:hint="cs"/>
          <w:sz w:val="27"/>
          <w:rtl/>
        </w:rPr>
        <w:t xml:space="preserve"> مثله</w:t>
      </w:r>
      <w:r w:rsidRPr="00904FCB">
        <w:rPr>
          <w:rFonts w:hint="eastAsia"/>
          <w:sz w:val="27"/>
          <w:rtl/>
        </w:rPr>
        <w:t>»</w:t>
      </w:r>
      <w:r w:rsidRPr="00904FCB">
        <w:rPr>
          <w:rFonts w:hint="cs"/>
          <w:sz w:val="27"/>
          <w:rtl/>
        </w:rPr>
        <w:t>. قلت</w:t>
      </w:r>
      <w:r w:rsidR="00852638" w:rsidRPr="00904FCB">
        <w:rPr>
          <w:rFonts w:hint="cs"/>
          <w:sz w:val="27"/>
          <w:rtl/>
        </w:rPr>
        <w:t>ُ</w:t>
      </w:r>
      <w:r w:rsidRPr="00904FCB">
        <w:rPr>
          <w:rFonts w:hint="cs"/>
          <w:sz w:val="27"/>
          <w:rtl/>
        </w:rPr>
        <w:t xml:space="preserve">: فإن ضمن العبد الذي أعتقه جريرته، </w:t>
      </w:r>
      <w:r w:rsidR="00852638" w:rsidRPr="00904FCB">
        <w:rPr>
          <w:rFonts w:hint="cs"/>
          <w:sz w:val="27"/>
          <w:rtl/>
        </w:rPr>
        <w:t>أي</w:t>
      </w:r>
      <w:r w:rsidRPr="00904FCB">
        <w:rPr>
          <w:rFonts w:hint="cs"/>
          <w:sz w:val="27"/>
          <w:rtl/>
        </w:rPr>
        <w:t xml:space="preserve">لزمه ذلك، ويكون مولاه ويرثه؟ قال: </w:t>
      </w:r>
      <w:r w:rsidRPr="00904FCB">
        <w:rPr>
          <w:rFonts w:hint="eastAsia"/>
          <w:sz w:val="27"/>
          <w:rtl/>
        </w:rPr>
        <w:t>«</w:t>
      </w:r>
      <w:r w:rsidRPr="00904FCB">
        <w:rPr>
          <w:rFonts w:hint="cs"/>
          <w:sz w:val="27"/>
          <w:rtl/>
        </w:rPr>
        <w:t>لا يجوز ذلك، ولا يرث عبد</w:t>
      </w:r>
      <w:r w:rsidR="00852638" w:rsidRPr="00904FCB">
        <w:rPr>
          <w:rFonts w:hint="cs"/>
          <w:sz w:val="27"/>
          <w:rtl/>
        </w:rPr>
        <w:t>ٌ</w:t>
      </w:r>
      <w:r w:rsidRPr="00904FCB">
        <w:rPr>
          <w:rFonts w:hint="cs"/>
          <w:sz w:val="27"/>
          <w:rtl/>
        </w:rPr>
        <w:t xml:space="preserve"> حرّاً</w:t>
      </w:r>
      <w:r w:rsidRPr="00904FCB">
        <w:rPr>
          <w:rFonts w:hint="eastAsia"/>
          <w:sz w:val="27"/>
          <w:rtl/>
        </w:rPr>
        <w:t>»</w:t>
      </w:r>
      <w:r w:rsidRPr="00904FCB">
        <w:rPr>
          <w:rFonts w:hint="cs"/>
          <w:sz w:val="27"/>
          <w:vertAlign w:val="superscript"/>
          <w:rtl/>
        </w:rPr>
        <w:t>(</w:t>
      </w:r>
      <w:r w:rsidRPr="00904FCB">
        <w:rPr>
          <w:rStyle w:val="ac"/>
          <w:b/>
          <w:sz w:val="27"/>
          <w:rtl/>
          <w:lang w:bidi="fa-IR"/>
        </w:rPr>
        <w:endnoteReference w:id="385"/>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5B6CEC" w:rsidP="007A21AA">
      <w:pPr>
        <w:spacing w:line="400" w:lineRule="exact"/>
        <w:rPr>
          <w:sz w:val="27"/>
          <w:rtl/>
        </w:rPr>
      </w:pPr>
    </w:p>
    <w:p w:rsidR="005B6CEC" w:rsidRPr="00904FCB" w:rsidRDefault="005B6CEC" w:rsidP="007A21AA">
      <w:pPr>
        <w:pStyle w:val="31"/>
        <w:spacing w:line="400" w:lineRule="exact"/>
        <w:rPr>
          <w:color w:val="auto"/>
          <w:rtl/>
        </w:rPr>
      </w:pPr>
      <w:r w:rsidRPr="00904FCB">
        <w:rPr>
          <w:rFonts w:hint="cs"/>
          <w:color w:val="auto"/>
          <w:rtl/>
        </w:rPr>
        <w:t xml:space="preserve">المناقشة </w:t>
      </w:r>
    </w:p>
    <w:p w:rsidR="005B6CEC" w:rsidRPr="00904FCB" w:rsidRDefault="005B6CEC" w:rsidP="007A21AA">
      <w:pPr>
        <w:spacing w:line="400" w:lineRule="exact"/>
        <w:rPr>
          <w:sz w:val="27"/>
          <w:rtl/>
        </w:rPr>
      </w:pPr>
      <w:r w:rsidRPr="00904FCB">
        <w:rPr>
          <w:rFonts w:hint="cs"/>
          <w:sz w:val="27"/>
          <w:rtl/>
        </w:rPr>
        <w:t>إنّ الاستدلال ببعض هذه الروايات</w:t>
      </w:r>
      <w:r w:rsidR="00852638" w:rsidRPr="00904FCB">
        <w:rPr>
          <w:rFonts w:hint="cs"/>
          <w:sz w:val="27"/>
          <w:rtl/>
        </w:rPr>
        <w:t>،</w:t>
      </w:r>
      <w:r w:rsidRPr="00904FCB">
        <w:rPr>
          <w:rFonts w:hint="cs"/>
          <w:sz w:val="27"/>
          <w:rtl/>
        </w:rPr>
        <w:t xml:space="preserve"> </w:t>
      </w:r>
      <w:r w:rsidR="00852638" w:rsidRPr="00904FCB">
        <w:rPr>
          <w:rFonts w:hint="cs"/>
          <w:sz w:val="27"/>
          <w:rtl/>
        </w:rPr>
        <w:t xml:space="preserve">ولا </w:t>
      </w:r>
      <w:r w:rsidRPr="00904FCB">
        <w:rPr>
          <w:rFonts w:hint="cs"/>
          <w:sz w:val="27"/>
          <w:rtl/>
        </w:rPr>
        <w:t>سي</w:t>
      </w:r>
      <w:r w:rsidR="00852638" w:rsidRPr="00904FCB">
        <w:rPr>
          <w:rFonts w:hint="cs"/>
          <w:sz w:val="27"/>
          <w:rtl/>
        </w:rPr>
        <w:t>َّ</w:t>
      </w:r>
      <w:r w:rsidRPr="00904FCB">
        <w:rPr>
          <w:rFonts w:hint="cs"/>
          <w:sz w:val="27"/>
          <w:rtl/>
        </w:rPr>
        <w:t>ما أوائلها</w:t>
      </w:r>
      <w:r w:rsidR="00852638" w:rsidRPr="00904FCB">
        <w:rPr>
          <w:rFonts w:hint="cs"/>
          <w:sz w:val="27"/>
          <w:rtl/>
        </w:rPr>
        <w:t>،</w:t>
      </w:r>
      <w:r w:rsidRPr="00904FCB">
        <w:rPr>
          <w:rFonts w:hint="cs"/>
          <w:sz w:val="27"/>
          <w:rtl/>
        </w:rPr>
        <w:t xml:space="preserve"> موقوف على ثبوت ترتّب الإرث على</w:t>
      </w:r>
      <w:r w:rsidR="00852638" w:rsidRPr="00904FCB">
        <w:rPr>
          <w:rFonts w:hint="cs"/>
          <w:sz w:val="27"/>
          <w:rtl/>
        </w:rPr>
        <w:t xml:space="preserve"> الولاء مطلقاً أو تضمّن الولاء م</w:t>
      </w:r>
      <w:r w:rsidRPr="00904FCB">
        <w:rPr>
          <w:rFonts w:hint="cs"/>
          <w:sz w:val="27"/>
          <w:rtl/>
        </w:rPr>
        <w:t>طلقاً للتوريث، وهو غير</w:t>
      </w:r>
      <w:r w:rsidR="00852638" w:rsidRPr="00904FCB">
        <w:rPr>
          <w:rFonts w:hint="cs"/>
          <w:sz w:val="27"/>
          <w:rtl/>
        </w:rPr>
        <w:t>ُ</w:t>
      </w:r>
      <w:r w:rsidRPr="00904FCB">
        <w:rPr>
          <w:rFonts w:hint="cs"/>
          <w:sz w:val="27"/>
          <w:rtl/>
        </w:rPr>
        <w:t xml:space="preserve"> معلوم</w:t>
      </w:r>
      <w:r w:rsidR="00852638" w:rsidRPr="00904FCB">
        <w:rPr>
          <w:rFonts w:hint="cs"/>
          <w:sz w:val="27"/>
          <w:rtl/>
        </w:rPr>
        <w:t>ٍ</w:t>
      </w:r>
      <w:r w:rsidRPr="00904FCB">
        <w:rPr>
          <w:rFonts w:hint="cs"/>
          <w:sz w:val="27"/>
          <w:rtl/>
        </w:rPr>
        <w:t xml:space="preserve">. </w:t>
      </w:r>
    </w:p>
    <w:p w:rsidR="005B6CEC" w:rsidRPr="00904FCB" w:rsidRDefault="00852638" w:rsidP="007A21AA">
      <w:pPr>
        <w:spacing w:line="400" w:lineRule="exact"/>
        <w:rPr>
          <w:sz w:val="27"/>
          <w:rtl/>
        </w:rPr>
      </w:pPr>
      <w:r w:rsidRPr="00904FCB">
        <w:rPr>
          <w:rFonts w:hint="cs"/>
          <w:sz w:val="27"/>
          <w:rtl/>
        </w:rPr>
        <w:t>وأ</w:t>
      </w:r>
      <w:r w:rsidR="005B6CEC" w:rsidRPr="00904FCB">
        <w:rPr>
          <w:rFonts w:hint="cs"/>
          <w:sz w:val="27"/>
          <w:rtl/>
        </w:rPr>
        <w:t>جيب بأنّ إطباق الأصحاب على الاستدلال بها</w:t>
      </w:r>
      <w:r w:rsidRPr="00904FCB">
        <w:rPr>
          <w:rFonts w:hint="cs"/>
          <w:sz w:val="27"/>
          <w:rtl/>
        </w:rPr>
        <w:t xml:space="preserve">، </w:t>
      </w:r>
      <w:r w:rsidR="005B6CEC" w:rsidRPr="00904FCB">
        <w:rPr>
          <w:rFonts w:hint="cs"/>
          <w:sz w:val="27"/>
          <w:rtl/>
        </w:rPr>
        <w:t>وفهمهم ذلك منها</w:t>
      </w:r>
      <w:r w:rsidRPr="00904FCB">
        <w:rPr>
          <w:rFonts w:hint="cs"/>
          <w:sz w:val="27"/>
          <w:rtl/>
        </w:rPr>
        <w:t>،</w:t>
      </w:r>
      <w:r w:rsidR="005B6CEC" w:rsidRPr="00904FCB">
        <w:rPr>
          <w:rFonts w:hint="cs"/>
          <w:sz w:val="27"/>
          <w:rtl/>
        </w:rPr>
        <w:t xml:space="preserve"> يكفي قرينة لإرادة ذلك المعنى</w:t>
      </w:r>
      <w:r w:rsidRPr="00904FCB">
        <w:rPr>
          <w:rFonts w:hint="cs"/>
          <w:sz w:val="27"/>
          <w:rtl/>
        </w:rPr>
        <w:t>.</w:t>
      </w:r>
      <w:r w:rsidR="005B6CEC" w:rsidRPr="00904FCB">
        <w:rPr>
          <w:rFonts w:hint="cs"/>
          <w:sz w:val="27"/>
          <w:rtl/>
        </w:rPr>
        <w:t xml:space="preserve"> </w:t>
      </w:r>
      <w:r w:rsidRPr="00904FCB">
        <w:rPr>
          <w:rFonts w:hint="cs"/>
          <w:sz w:val="27"/>
          <w:rtl/>
        </w:rPr>
        <w:t>م</w:t>
      </w:r>
      <w:r w:rsidR="005B6CEC" w:rsidRPr="00904FCB">
        <w:rPr>
          <w:rFonts w:hint="cs"/>
          <w:sz w:val="27"/>
          <w:rtl/>
        </w:rPr>
        <w:t>ضافاً إلى احتجاج عمر بن يزيد بقول النبي</w:t>
      </w:r>
      <w:r w:rsidRPr="00904FCB">
        <w:rPr>
          <w:rFonts w:hint="cs"/>
          <w:sz w:val="27"/>
          <w:rtl/>
        </w:rPr>
        <w:t>ّ</w:t>
      </w:r>
      <w:r w:rsidR="00635E51" w:rsidRPr="00904FCB">
        <w:rPr>
          <w:rFonts w:cs="Mosawi" w:hint="cs"/>
          <w:sz w:val="27"/>
          <w:szCs w:val="22"/>
          <w:rtl/>
        </w:rPr>
        <w:t>|</w:t>
      </w:r>
      <w:r w:rsidR="005B6CEC" w:rsidRPr="00904FCB">
        <w:rPr>
          <w:rFonts w:hint="cs"/>
          <w:sz w:val="27"/>
          <w:rtl/>
        </w:rPr>
        <w:t xml:space="preserve">: </w:t>
      </w:r>
      <w:r w:rsidR="005B6CEC" w:rsidRPr="00904FCB">
        <w:rPr>
          <w:rFonts w:hint="eastAsia"/>
          <w:sz w:val="27"/>
          <w:rtl/>
        </w:rPr>
        <w:t>«</w:t>
      </w:r>
      <w:r w:rsidR="005B6CEC" w:rsidRPr="00904FCB">
        <w:rPr>
          <w:rFonts w:hint="cs"/>
          <w:sz w:val="27"/>
          <w:rtl/>
        </w:rPr>
        <w:t>الولاء لمَن</w:t>
      </w:r>
      <w:r w:rsidRPr="00904FCB">
        <w:rPr>
          <w:rFonts w:hint="cs"/>
          <w:sz w:val="27"/>
          <w:rtl/>
        </w:rPr>
        <w:t>ْ</w:t>
      </w:r>
      <w:r w:rsidR="005B6CEC" w:rsidRPr="00904FCB">
        <w:rPr>
          <w:rFonts w:hint="cs"/>
          <w:sz w:val="27"/>
          <w:rtl/>
        </w:rPr>
        <w:t xml:space="preserve"> أعتق</w:t>
      </w:r>
      <w:r w:rsidR="005B6CEC" w:rsidRPr="00904FCB">
        <w:rPr>
          <w:rFonts w:hint="eastAsia"/>
          <w:sz w:val="27"/>
          <w:rtl/>
        </w:rPr>
        <w:t>»</w:t>
      </w:r>
      <w:r w:rsidR="005B6CEC" w:rsidRPr="00904FCB">
        <w:rPr>
          <w:rFonts w:hint="cs"/>
          <w:sz w:val="27"/>
          <w:rtl/>
        </w:rPr>
        <w:t xml:space="preserve"> على التوريث</w:t>
      </w:r>
      <w:r w:rsidRPr="00904FCB">
        <w:rPr>
          <w:rFonts w:hint="cs"/>
          <w:sz w:val="27"/>
          <w:rtl/>
        </w:rPr>
        <w:t>،</w:t>
      </w:r>
      <w:r w:rsidR="005B6CEC" w:rsidRPr="00904FCB">
        <w:rPr>
          <w:rFonts w:hint="cs"/>
          <w:sz w:val="27"/>
          <w:rtl/>
        </w:rPr>
        <w:t xml:space="preserve"> وتقرير الإمام له، </w:t>
      </w:r>
      <w:r w:rsidRPr="00904FCB">
        <w:rPr>
          <w:rFonts w:hint="cs"/>
          <w:sz w:val="27"/>
          <w:rtl/>
        </w:rPr>
        <w:t>بل رب</w:t>
      </w:r>
      <w:r w:rsidR="005B6CEC" w:rsidRPr="00904FCB">
        <w:rPr>
          <w:rFonts w:hint="cs"/>
          <w:sz w:val="27"/>
          <w:rtl/>
        </w:rPr>
        <w:t>ما يُستفاد ذلك من صحيحة العيص بن القاسم</w:t>
      </w:r>
      <w:r w:rsidR="005B6CEC" w:rsidRPr="00904FCB">
        <w:rPr>
          <w:rFonts w:hint="cs"/>
          <w:sz w:val="27"/>
          <w:vertAlign w:val="superscript"/>
          <w:rtl/>
        </w:rPr>
        <w:t>(</w:t>
      </w:r>
      <w:r w:rsidR="005B6CEC" w:rsidRPr="00904FCB">
        <w:rPr>
          <w:rStyle w:val="ac"/>
          <w:b/>
          <w:sz w:val="27"/>
          <w:rtl/>
          <w:lang w:bidi="fa-IR"/>
        </w:rPr>
        <w:endnoteReference w:id="386"/>
      </w:r>
      <w:r w:rsidR="005B6CEC" w:rsidRPr="00904FCB">
        <w:rPr>
          <w:rFonts w:hint="cs"/>
          <w:b/>
          <w:sz w:val="27"/>
          <w:vertAlign w:val="superscript"/>
          <w:rtl/>
          <w:lang w:bidi="fa-IR"/>
        </w:rPr>
        <w:t>)</w:t>
      </w:r>
      <w:r w:rsidR="005B6CEC" w:rsidRPr="00904FCB">
        <w:rPr>
          <w:rFonts w:hint="cs"/>
          <w:b/>
          <w:sz w:val="27"/>
          <w:rtl/>
          <w:lang w:bidi="fa-IR"/>
        </w:rPr>
        <w:t>.</w:t>
      </w:r>
      <w:r w:rsidR="005B6CEC" w:rsidRPr="00904FCB">
        <w:rPr>
          <w:rFonts w:hint="cs"/>
          <w:b/>
          <w:sz w:val="27"/>
          <w:vertAlign w:val="superscript"/>
          <w:rtl/>
          <w:lang w:bidi="fa-IR"/>
        </w:rPr>
        <w:t xml:space="preserve"> </w:t>
      </w:r>
    </w:p>
    <w:p w:rsidR="005B6CEC" w:rsidRPr="00904FCB" w:rsidRDefault="005B6CEC" w:rsidP="007A21AA">
      <w:pPr>
        <w:spacing w:line="400" w:lineRule="exact"/>
        <w:rPr>
          <w:sz w:val="27"/>
          <w:rtl/>
        </w:rPr>
      </w:pPr>
    </w:p>
    <w:p w:rsidR="005B6CEC" w:rsidRPr="00904FCB" w:rsidRDefault="005B6CEC" w:rsidP="007A21AA">
      <w:pPr>
        <w:pStyle w:val="31"/>
        <w:spacing w:line="400" w:lineRule="exact"/>
        <w:rPr>
          <w:color w:val="auto"/>
          <w:rtl/>
        </w:rPr>
      </w:pPr>
      <w:r w:rsidRPr="00904FCB">
        <w:rPr>
          <w:rFonts w:hint="cs"/>
          <w:color w:val="auto"/>
          <w:rtl/>
        </w:rPr>
        <w:t xml:space="preserve">محاولة توجيه ثبوت هذا الولاء عقلائياً </w:t>
      </w:r>
    </w:p>
    <w:p w:rsidR="005B6CEC" w:rsidRPr="00904FCB" w:rsidRDefault="005B6CEC" w:rsidP="007A21AA">
      <w:pPr>
        <w:spacing w:line="400" w:lineRule="exact"/>
        <w:rPr>
          <w:sz w:val="27"/>
          <w:rtl/>
          <w:lang w:bidi="fa-IR"/>
        </w:rPr>
      </w:pPr>
      <w:r w:rsidRPr="00904FCB">
        <w:rPr>
          <w:rFonts w:hint="cs"/>
          <w:sz w:val="27"/>
          <w:rtl/>
          <w:lang w:bidi="fa-IR"/>
        </w:rPr>
        <w:t>إنّه بناءً على التصوّر المعروف فقهياً يُقال عادة</w:t>
      </w:r>
      <w:r w:rsidR="005E6F08" w:rsidRPr="00904FCB">
        <w:rPr>
          <w:rFonts w:hint="cs"/>
          <w:sz w:val="27"/>
          <w:rtl/>
          <w:lang w:bidi="fa-IR"/>
        </w:rPr>
        <w:t>:</w:t>
      </w:r>
      <w:r w:rsidRPr="00904FCB">
        <w:rPr>
          <w:rFonts w:hint="cs"/>
          <w:sz w:val="27"/>
          <w:rtl/>
          <w:lang w:bidi="fa-IR"/>
        </w:rPr>
        <w:t xml:space="preserve"> إنّ المُعتق لمّا كان سبباً لوجود الرقيق لنفسه من خلال تحريره</w:t>
      </w:r>
      <w:r w:rsidRPr="00904FCB">
        <w:rPr>
          <w:rFonts w:hint="cs"/>
          <w:sz w:val="27"/>
          <w:vertAlign w:val="superscript"/>
          <w:rtl/>
          <w:lang w:bidi="fa-IR"/>
        </w:rPr>
        <w:t>(</w:t>
      </w:r>
      <w:r w:rsidRPr="00904FCB">
        <w:rPr>
          <w:sz w:val="27"/>
          <w:vertAlign w:val="superscript"/>
          <w:rtl/>
          <w:lang w:bidi="fa-IR"/>
        </w:rPr>
        <w:endnoteReference w:id="387"/>
      </w:r>
      <w:r w:rsidRPr="00904FCB">
        <w:rPr>
          <w:rFonts w:hint="cs"/>
          <w:sz w:val="27"/>
          <w:vertAlign w:val="superscript"/>
          <w:rtl/>
          <w:lang w:bidi="fa-IR"/>
        </w:rPr>
        <w:t xml:space="preserve">) </w:t>
      </w:r>
      <w:r w:rsidRPr="00904FCB">
        <w:rPr>
          <w:rFonts w:hint="cs"/>
          <w:sz w:val="27"/>
          <w:rtl/>
          <w:lang w:bidi="fa-IR"/>
        </w:rPr>
        <w:t>فيكون كالوالد، ف</w:t>
      </w:r>
      <w:r w:rsidRPr="00904FCB">
        <w:rPr>
          <w:rFonts w:hint="cs"/>
          <w:sz w:val="27"/>
          <w:rtl/>
        </w:rPr>
        <w:t>إنّ الرقيق كالمفقود لنفسه</w:t>
      </w:r>
      <w:r w:rsidR="005E6F08" w:rsidRPr="00904FCB">
        <w:rPr>
          <w:rFonts w:hint="cs"/>
          <w:sz w:val="27"/>
          <w:rtl/>
        </w:rPr>
        <w:t>،</w:t>
      </w:r>
      <w:r w:rsidRPr="00904FCB">
        <w:rPr>
          <w:rFonts w:hint="cs"/>
          <w:sz w:val="27"/>
          <w:rtl/>
        </w:rPr>
        <w:t xml:space="preserve"> الموجود لسيّده؛ لأنّه لا يستقلّ ولا يملك ولا يتصرّف لنفسه، وإنّما يتصرّف لسيّده</w:t>
      </w:r>
      <w:r w:rsidR="005E6F08" w:rsidRPr="00904FCB">
        <w:rPr>
          <w:rFonts w:hint="cs"/>
          <w:sz w:val="27"/>
          <w:rtl/>
        </w:rPr>
        <w:t>،</w:t>
      </w:r>
      <w:r w:rsidRPr="00904FCB">
        <w:rPr>
          <w:rFonts w:hint="cs"/>
          <w:sz w:val="27"/>
          <w:rtl/>
        </w:rPr>
        <w:t xml:space="preserve"> وإن</w:t>
      </w:r>
      <w:r w:rsidR="005E6F08" w:rsidRPr="00904FCB">
        <w:rPr>
          <w:rFonts w:hint="cs"/>
          <w:sz w:val="27"/>
          <w:rtl/>
        </w:rPr>
        <w:t>ْ</w:t>
      </w:r>
      <w:r w:rsidRPr="00904FCB">
        <w:rPr>
          <w:rFonts w:hint="cs"/>
          <w:sz w:val="27"/>
          <w:rtl/>
        </w:rPr>
        <w:t xml:space="preserve"> ملك ـ على القول به ـ فلسيّده أيضاً، فإذا أعتقه صار لنفسه</w:t>
      </w:r>
      <w:r w:rsidR="005E6F08" w:rsidRPr="00904FCB">
        <w:rPr>
          <w:rFonts w:hint="cs"/>
          <w:sz w:val="27"/>
          <w:rtl/>
        </w:rPr>
        <w:t>،</w:t>
      </w:r>
      <w:r w:rsidRPr="00904FCB">
        <w:rPr>
          <w:rFonts w:hint="cs"/>
          <w:sz w:val="27"/>
          <w:rtl/>
        </w:rPr>
        <w:t xml:space="preserve"> وملك كلّ ذلك لنفسه</w:t>
      </w:r>
      <w:r w:rsidR="005E6F08" w:rsidRPr="00904FCB">
        <w:rPr>
          <w:rFonts w:hint="cs"/>
          <w:sz w:val="27"/>
          <w:rtl/>
        </w:rPr>
        <w:t>،</w:t>
      </w:r>
      <w:r w:rsidRPr="00904FCB">
        <w:rPr>
          <w:rFonts w:hint="cs"/>
          <w:sz w:val="27"/>
          <w:rtl/>
        </w:rPr>
        <w:t xml:space="preserve"> فصار موجوداً لنفسه، فالمُعتِق صار سبباً لوجوده الحكمي، كما كان الأب سبباً لوجوده الحقيقي، وك</w:t>
      </w:r>
      <w:r w:rsidR="005E6F08" w:rsidRPr="00904FCB">
        <w:rPr>
          <w:rFonts w:hint="cs"/>
          <w:sz w:val="27"/>
          <w:rtl/>
        </w:rPr>
        <w:t>لّ ما يصدر منه من عتقٍ وغيره فالمولى</w:t>
      </w:r>
      <w:r w:rsidRPr="00904FCB">
        <w:rPr>
          <w:rFonts w:hint="cs"/>
          <w:sz w:val="27"/>
          <w:rtl/>
        </w:rPr>
        <w:t xml:space="preserve"> سبب السبب فيه، فلا يكون ما صدر منه سبباً تامّاً فيه</w:t>
      </w:r>
      <w:r w:rsidR="005E6F08" w:rsidRPr="00904FCB">
        <w:rPr>
          <w:rFonts w:hint="cs"/>
          <w:sz w:val="27"/>
          <w:rtl/>
        </w:rPr>
        <w:t>ا</w:t>
      </w:r>
      <w:r w:rsidRPr="00904FCB">
        <w:rPr>
          <w:rFonts w:hint="cs"/>
          <w:sz w:val="27"/>
          <w:vertAlign w:val="superscript"/>
          <w:rtl/>
        </w:rPr>
        <w:t>(</w:t>
      </w:r>
      <w:r w:rsidRPr="00904FCB">
        <w:rPr>
          <w:rStyle w:val="ac"/>
          <w:b/>
          <w:sz w:val="27"/>
          <w:rtl/>
          <w:lang w:bidi="fa-IR"/>
        </w:rPr>
        <w:endnoteReference w:id="388"/>
      </w:r>
      <w:r w:rsidRPr="00904FCB">
        <w:rPr>
          <w:rFonts w:hint="cs"/>
          <w:b/>
          <w:sz w:val="27"/>
          <w:vertAlign w:val="superscript"/>
          <w:rtl/>
          <w:lang w:bidi="fa-IR"/>
        </w:rPr>
        <w:t>)</w:t>
      </w:r>
      <w:r w:rsidRPr="00904FCB">
        <w:rPr>
          <w:rFonts w:hint="cs"/>
          <w:b/>
          <w:sz w:val="27"/>
          <w:rtl/>
          <w:lang w:bidi="fa-IR"/>
        </w:rPr>
        <w:t>.</w:t>
      </w:r>
      <w:r w:rsidRPr="00904FCB">
        <w:rPr>
          <w:rFonts w:hint="cs"/>
          <w:b/>
          <w:sz w:val="27"/>
          <w:vertAlign w:val="superscript"/>
          <w:rtl/>
          <w:lang w:bidi="fa-IR"/>
        </w:rPr>
        <w:t xml:space="preserve"> </w:t>
      </w:r>
      <w:r w:rsidR="005E6F08" w:rsidRPr="00904FCB">
        <w:rPr>
          <w:rFonts w:hint="cs"/>
          <w:sz w:val="27"/>
          <w:rtl/>
          <w:lang w:bidi="fa-IR"/>
        </w:rPr>
        <w:t>ومقتضى</w:t>
      </w:r>
      <w:r w:rsidRPr="00904FCB">
        <w:rPr>
          <w:rFonts w:hint="cs"/>
          <w:sz w:val="27"/>
          <w:rtl/>
          <w:lang w:bidi="fa-IR"/>
        </w:rPr>
        <w:t xml:space="preserve"> ذلك كون ولاء العتق سبباً للإرث قائماً بنفسه</w:t>
      </w:r>
      <w:r w:rsidR="005E6F08" w:rsidRPr="00904FCB">
        <w:rPr>
          <w:rFonts w:hint="cs"/>
          <w:sz w:val="27"/>
          <w:rtl/>
          <w:lang w:bidi="fa-IR"/>
        </w:rPr>
        <w:t>،</w:t>
      </w:r>
      <w:r w:rsidRPr="00904FCB">
        <w:rPr>
          <w:rFonts w:hint="cs"/>
          <w:sz w:val="27"/>
          <w:rtl/>
          <w:lang w:bidi="fa-IR"/>
        </w:rPr>
        <w:t xml:space="preserve"> ومن حيث هو في عَر</w:t>
      </w:r>
      <w:r w:rsidRPr="00904FCB">
        <w:rPr>
          <w:rFonts w:hint="cs"/>
          <w:sz w:val="27"/>
          <w:rtl/>
          <w:lang w:bidi="ar-IQ"/>
        </w:rPr>
        <w:t>ْ</w:t>
      </w:r>
      <w:r w:rsidRPr="00904FCB">
        <w:rPr>
          <w:rFonts w:hint="cs"/>
          <w:sz w:val="27"/>
          <w:rtl/>
          <w:lang w:bidi="fa-IR"/>
        </w:rPr>
        <w:t xml:space="preserve">ض سائر مُوجِبات الإرث. </w:t>
      </w:r>
    </w:p>
    <w:p w:rsidR="005B6CEC" w:rsidRPr="00904FCB" w:rsidRDefault="005B6CEC" w:rsidP="007A21AA">
      <w:pPr>
        <w:spacing w:line="400" w:lineRule="exact"/>
        <w:rPr>
          <w:sz w:val="27"/>
          <w:rtl/>
          <w:lang w:bidi="fa-IR"/>
        </w:rPr>
      </w:pPr>
    </w:p>
    <w:p w:rsidR="005B6CEC" w:rsidRPr="00904FCB" w:rsidRDefault="005B6CEC" w:rsidP="007A21AA">
      <w:pPr>
        <w:pStyle w:val="31"/>
        <w:spacing w:line="400" w:lineRule="exact"/>
        <w:rPr>
          <w:color w:val="auto"/>
          <w:rtl/>
        </w:rPr>
      </w:pPr>
      <w:r w:rsidRPr="00904FCB">
        <w:rPr>
          <w:rFonts w:hint="cs"/>
          <w:color w:val="auto"/>
          <w:rtl/>
        </w:rPr>
        <w:t xml:space="preserve">الموقف تجاه ولاء العتق </w:t>
      </w:r>
    </w:p>
    <w:p w:rsidR="005B6CEC" w:rsidRPr="00904FCB" w:rsidRDefault="005B6CEC" w:rsidP="007A21AA">
      <w:pPr>
        <w:spacing w:line="400" w:lineRule="exact"/>
        <w:rPr>
          <w:sz w:val="27"/>
          <w:rtl/>
          <w:lang w:bidi="fa-IR"/>
        </w:rPr>
      </w:pPr>
      <w:r w:rsidRPr="00904FCB">
        <w:rPr>
          <w:rFonts w:hint="cs"/>
          <w:sz w:val="27"/>
          <w:rtl/>
          <w:lang w:bidi="fa-IR"/>
        </w:rPr>
        <w:t>إنّه لد</w:t>
      </w:r>
      <w:r w:rsidRPr="00904FCB">
        <w:rPr>
          <w:rFonts w:ascii="Times New Roman" w:hAnsi="Times New Roman" w:cs="Times New Roman" w:hint="cs"/>
          <w:sz w:val="27"/>
          <w:rtl/>
          <w:lang w:bidi="fa-IR"/>
        </w:rPr>
        <w:t>ی</w:t>
      </w:r>
      <w:r w:rsidRPr="00904FCB">
        <w:rPr>
          <w:rFonts w:hint="cs"/>
          <w:sz w:val="27"/>
          <w:rtl/>
          <w:lang w:bidi="fa-IR"/>
        </w:rPr>
        <w:t xml:space="preserve"> التأمّل في الأدلّة نكتشف أنّه بالإمكان طرح رؤية </w:t>
      </w:r>
      <w:r w:rsidR="005E6F08" w:rsidRPr="00904FCB">
        <w:rPr>
          <w:rFonts w:hint="cs"/>
          <w:sz w:val="27"/>
          <w:rtl/>
          <w:lang w:bidi="fa-IR"/>
        </w:rPr>
        <w:t>أ</w:t>
      </w:r>
      <w:r w:rsidRPr="00904FCB">
        <w:rPr>
          <w:rFonts w:hint="cs"/>
          <w:sz w:val="27"/>
          <w:rtl/>
          <w:lang w:bidi="fa-IR"/>
        </w:rPr>
        <w:t>خر</w:t>
      </w:r>
      <w:r w:rsidRPr="00904FCB">
        <w:rPr>
          <w:rFonts w:ascii="Times New Roman" w:hAnsi="Times New Roman" w:cs="Times New Roman" w:hint="cs"/>
          <w:sz w:val="27"/>
          <w:rtl/>
          <w:lang w:bidi="fa-IR"/>
        </w:rPr>
        <w:t>ی</w:t>
      </w:r>
      <w:r w:rsidRPr="00904FCB">
        <w:rPr>
          <w:rFonts w:hint="cs"/>
          <w:sz w:val="27"/>
          <w:rtl/>
          <w:lang w:bidi="fa-IR"/>
        </w:rPr>
        <w:t xml:space="preserve"> في مقابل ذلك</w:t>
      </w:r>
      <w:r w:rsidR="005E6F08" w:rsidRPr="00904FCB">
        <w:rPr>
          <w:rFonts w:hint="cs"/>
          <w:sz w:val="27"/>
          <w:rtl/>
          <w:lang w:bidi="fa-IR"/>
        </w:rPr>
        <w:t>،</w:t>
      </w:r>
      <w:r w:rsidRPr="00904FCB">
        <w:rPr>
          <w:rFonts w:hint="cs"/>
          <w:sz w:val="27"/>
          <w:rtl/>
          <w:lang w:bidi="fa-IR"/>
        </w:rPr>
        <w:t xml:space="preserve"> وهي عدم ك</w:t>
      </w:r>
      <w:r w:rsidR="005E6F08" w:rsidRPr="00904FCB">
        <w:rPr>
          <w:rFonts w:hint="cs"/>
          <w:sz w:val="27"/>
          <w:rtl/>
          <w:lang w:bidi="fa-IR"/>
        </w:rPr>
        <w:t>ون ولاء العتق سبباً مستقلاًّ</w:t>
      </w:r>
      <w:r w:rsidRPr="00904FCB">
        <w:rPr>
          <w:rFonts w:hint="cs"/>
          <w:sz w:val="27"/>
          <w:rtl/>
          <w:lang w:bidi="fa-IR"/>
        </w:rPr>
        <w:t>، بل إنّه يرجع إلى سبب</w:t>
      </w:r>
      <w:r w:rsidR="005E6F08" w:rsidRPr="00904FCB">
        <w:rPr>
          <w:rFonts w:hint="cs"/>
          <w:sz w:val="27"/>
          <w:rtl/>
          <w:lang w:bidi="fa-IR"/>
        </w:rPr>
        <w:t>ٍ</w:t>
      </w:r>
      <w:r w:rsidRPr="00904FCB">
        <w:rPr>
          <w:rFonts w:hint="cs"/>
          <w:sz w:val="27"/>
          <w:rtl/>
          <w:lang w:bidi="fa-IR"/>
        </w:rPr>
        <w:t xml:space="preserve"> غيره، وهو ولاء ضمان الجريرة، لا أنّه سبب</w:t>
      </w:r>
      <w:r w:rsidR="005E6F08" w:rsidRPr="00904FCB">
        <w:rPr>
          <w:rFonts w:hint="cs"/>
          <w:sz w:val="27"/>
          <w:rtl/>
          <w:lang w:bidi="fa-IR"/>
        </w:rPr>
        <w:t>ٌ</w:t>
      </w:r>
      <w:r w:rsidRPr="00904FCB">
        <w:rPr>
          <w:rFonts w:hint="cs"/>
          <w:sz w:val="27"/>
          <w:rtl/>
          <w:lang w:bidi="fa-IR"/>
        </w:rPr>
        <w:t xml:space="preserve"> في مقابله؛ وذلك: </w:t>
      </w:r>
    </w:p>
    <w:p w:rsidR="005B6CEC" w:rsidRPr="00904FCB" w:rsidRDefault="005B6CEC" w:rsidP="007A21AA">
      <w:pPr>
        <w:spacing w:line="400" w:lineRule="exact"/>
        <w:rPr>
          <w:b/>
          <w:sz w:val="27"/>
          <w:rtl/>
          <w:lang w:bidi="fa-IR"/>
        </w:rPr>
      </w:pPr>
      <w:r w:rsidRPr="00904FCB">
        <w:rPr>
          <w:rFonts w:hint="cs"/>
          <w:bCs/>
          <w:sz w:val="27"/>
          <w:rtl/>
          <w:lang w:bidi="fa-IR"/>
        </w:rPr>
        <w:lastRenderedPageBreak/>
        <w:t>أوّلاً</w:t>
      </w:r>
      <w:r w:rsidRPr="00904FCB">
        <w:rPr>
          <w:rFonts w:hint="cs"/>
          <w:b/>
          <w:sz w:val="27"/>
          <w:rtl/>
          <w:lang w:bidi="fa-IR"/>
        </w:rPr>
        <w:t>: قد صرّح القرآن الكريم في مواضع عديدة بنسبة أحكام الإرث إلى الله تعالى</w:t>
      </w:r>
      <w:r w:rsidR="005E6F08" w:rsidRPr="00904FCB">
        <w:rPr>
          <w:rFonts w:hint="cs"/>
          <w:b/>
          <w:sz w:val="27"/>
          <w:rtl/>
          <w:lang w:bidi="fa-IR"/>
        </w:rPr>
        <w:t>،</w:t>
      </w:r>
      <w:r w:rsidRPr="00904FCB">
        <w:rPr>
          <w:rFonts w:hint="cs"/>
          <w:b/>
          <w:sz w:val="27"/>
          <w:rtl/>
          <w:lang w:bidi="fa-IR"/>
        </w:rPr>
        <w:t xml:space="preserve"> وأنّه قد تكفّ</w:t>
      </w:r>
      <w:r w:rsidR="005E6F08" w:rsidRPr="00904FCB">
        <w:rPr>
          <w:rFonts w:hint="cs"/>
          <w:b/>
          <w:sz w:val="27"/>
          <w:rtl/>
          <w:lang w:bidi="fa-IR"/>
        </w:rPr>
        <w:t>َل ببيانها، وقد تصدّى</w:t>
      </w:r>
      <w:r w:rsidRPr="00904FCB">
        <w:rPr>
          <w:rFonts w:hint="cs"/>
          <w:b/>
          <w:sz w:val="27"/>
          <w:rtl/>
          <w:lang w:bidi="fa-IR"/>
        </w:rPr>
        <w:t xml:space="preserve"> لذكر مُوجِبات الإرث: النسب</w:t>
      </w:r>
      <w:r w:rsidR="005E6F08" w:rsidRPr="00904FCB">
        <w:rPr>
          <w:rFonts w:hint="cs"/>
          <w:b/>
          <w:sz w:val="27"/>
          <w:rtl/>
          <w:lang w:bidi="fa-IR"/>
        </w:rPr>
        <w:t>؛</w:t>
      </w:r>
      <w:r w:rsidRPr="00904FCB">
        <w:rPr>
          <w:rFonts w:hint="cs"/>
          <w:b/>
          <w:sz w:val="27"/>
          <w:rtl/>
          <w:lang w:bidi="fa-IR"/>
        </w:rPr>
        <w:t xml:space="preserve"> والزوجية</w:t>
      </w:r>
      <w:r w:rsidR="005E6F08" w:rsidRPr="00904FCB">
        <w:rPr>
          <w:rFonts w:hint="cs"/>
          <w:b/>
          <w:sz w:val="27"/>
          <w:rtl/>
          <w:lang w:bidi="fa-IR"/>
        </w:rPr>
        <w:t>؛</w:t>
      </w:r>
      <w:r w:rsidRPr="00904FCB">
        <w:rPr>
          <w:rFonts w:hint="cs"/>
          <w:b/>
          <w:sz w:val="27"/>
          <w:rtl/>
          <w:lang w:bidi="fa-IR"/>
        </w:rPr>
        <w:t xml:space="preserve"> وولاء ضمان الجريرة</w:t>
      </w:r>
      <w:r w:rsidR="005E6F08" w:rsidRPr="00904FCB">
        <w:rPr>
          <w:rFonts w:hint="cs"/>
          <w:b/>
          <w:sz w:val="27"/>
          <w:rtl/>
          <w:lang w:bidi="fa-IR"/>
        </w:rPr>
        <w:t>،</w:t>
      </w:r>
      <w:r w:rsidRPr="00904FCB">
        <w:rPr>
          <w:rFonts w:hint="cs"/>
          <w:b/>
          <w:sz w:val="27"/>
          <w:rtl/>
          <w:lang w:bidi="fa-IR"/>
        </w:rPr>
        <w:t xml:space="preserve"> بشكل</w:t>
      </w:r>
      <w:r w:rsidR="005E6F08" w:rsidRPr="00904FCB">
        <w:rPr>
          <w:rFonts w:hint="cs"/>
          <w:b/>
          <w:sz w:val="27"/>
          <w:rtl/>
          <w:lang w:bidi="fa-IR"/>
        </w:rPr>
        <w:t>ٍ</w:t>
      </w:r>
      <w:r w:rsidRPr="00904FCB">
        <w:rPr>
          <w:rFonts w:hint="cs"/>
          <w:b/>
          <w:sz w:val="27"/>
          <w:rtl/>
          <w:lang w:bidi="fa-IR"/>
        </w:rPr>
        <w:t xml:space="preserve"> مفصّل</w:t>
      </w:r>
      <w:r w:rsidR="005E6F08" w:rsidRPr="00904FCB">
        <w:rPr>
          <w:rFonts w:hint="cs"/>
          <w:b/>
          <w:sz w:val="27"/>
          <w:rtl/>
          <w:lang w:bidi="fa-IR"/>
        </w:rPr>
        <w:t>.</w:t>
      </w:r>
      <w:r w:rsidRPr="00904FCB">
        <w:rPr>
          <w:rFonts w:hint="cs"/>
          <w:b/>
          <w:sz w:val="27"/>
          <w:rtl/>
          <w:lang w:bidi="fa-IR"/>
        </w:rPr>
        <w:t xml:space="preserve"> لاح</w:t>
      </w:r>
      <w:r w:rsidR="005E6F08" w:rsidRPr="00904FCB">
        <w:rPr>
          <w:rFonts w:hint="cs"/>
          <w:b/>
          <w:sz w:val="27"/>
          <w:rtl/>
          <w:lang w:bidi="fa-IR"/>
        </w:rPr>
        <w:t>ِ</w:t>
      </w:r>
      <w:r w:rsidRPr="00904FCB">
        <w:rPr>
          <w:rFonts w:hint="cs"/>
          <w:b/>
          <w:sz w:val="27"/>
          <w:rtl/>
          <w:lang w:bidi="fa-IR"/>
        </w:rPr>
        <w:t>ظ</w:t>
      </w:r>
      <w:r w:rsidR="005E6F08" w:rsidRPr="00904FCB">
        <w:rPr>
          <w:rFonts w:hint="cs"/>
          <w:b/>
          <w:sz w:val="27"/>
          <w:rtl/>
          <w:lang w:bidi="fa-IR"/>
        </w:rPr>
        <w:t>ْ</w:t>
      </w:r>
      <w:r w:rsidRPr="00904FCB">
        <w:rPr>
          <w:rFonts w:hint="cs"/>
          <w:b/>
          <w:sz w:val="27"/>
          <w:rtl/>
          <w:lang w:bidi="fa-IR"/>
        </w:rPr>
        <w:t xml:space="preserve"> النصوص التالية: قوله تعالى: </w:t>
      </w:r>
      <w:r w:rsidRPr="00904FCB">
        <w:rPr>
          <w:rFonts w:ascii="Mosawi" w:hAnsi="Mosawi" w:cs="Mosawi"/>
          <w:b/>
          <w:szCs w:val="24"/>
          <w:rtl/>
        </w:rPr>
        <w:t>﴿</w:t>
      </w:r>
      <w:r w:rsidR="005E6F08" w:rsidRPr="00904FCB">
        <w:rPr>
          <w:rFonts w:hint="cs"/>
          <w:bCs/>
          <w:sz w:val="27"/>
          <w:rtl/>
        </w:rPr>
        <w:t>لِ</w:t>
      </w:r>
      <w:r w:rsidRPr="00904FCB">
        <w:rPr>
          <w:bCs/>
          <w:sz w:val="27"/>
          <w:rtl/>
        </w:rPr>
        <w:t>ل</w:t>
      </w:r>
      <w:r w:rsidR="00965816" w:rsidRPr="00904FCB">
        <w:rPr>
          <w:bCs/>
          <w:sz w:val="27"/>
          <w:rtl/>
        </w:rPr>
        <w:t>رِّجَالِ نَصيِبٌ... نَصِيباً م</w:t>
      </w:r>
      <w:r w:rsidR="00965816" w:rsidRPr="00904FCB">
        <w:rPr>
          <w:rFonts w:hint="cs"/>
          <w:bCs/>
          <w:sz w:val="27"/>
          <w:rtl/>
        </w:rPr>
        <w:t>َ</w:t>
      </w:r>
      <w:r w:rsidRPr="00904FCB">
        <w:rPr>
          <w:bCs/>
          <w:sz w:val="27"/>
          <w:rtl/>
        </w:rPr>
        <w:t>فْرُوضاً</w:t>
      </w:r>
      <w:r w:rsidRPr="00904FCB">
        <w:rPr>
          <w:rFonts w:ascii="Mosawi" w:hAnsi="Mosawi" w:cs="Mosawi"/>
          <w:b/>
          <w:szCs w:val="24"/>
          <w:rtl/>
        </w:rPr>
        <w:t>﴾</w:t>
      </w:r>
      <w:r w:rsidRPr="00904FCB">
        <w:rPr>
          <w:rFonts w:hint="cs"/>
          <w:b/>
          <w:sz w:val="27"/>
          <w:rtl/>
          <w:lang w:bidi="fa-IR"/>
        </w:rPr>
        <w:t xml:space="preserve"> (النساء: </w:t>
      </w:r>
      <w:r w:rsidRPr="00051230">
        <w:rPr>
          <w:rFonts w:hint="cs"/>
          <w:b/>
          <w:sz w:val="27"/>
          <w:rtl/>
          <w:lang w:bidi="ar-LB"/>
        </w:rPr>
        <w:t>7</w:t>
      </w:r>
      <w:r w:rsidRPr="00904FCB">
        <w:rPr>
          <w:rFonts w:hint="cs"/>
          <w:b/>
          <w:sz w:val="27"/>
          <w:rtl/>
          <w:lang w:bidi="fa-IR"/>
        </w:rPr>
        <w:t>)</w:t>
      </w:r>
      <w:r w:rsidRPr="00904FCB">
        <w:rPr>
          <w:b/>
          <w:sz w:val="27"/>
          <w:rtl/>
          <w:lang w:bidi="fa-IR"/>
        </w:rPr>
        <w:t>،</w:t>
      </w:r>
      <w:r w:rsidRPr="00904FCB">
        <w:rPr>
          <w:b/>
          <w:sz w:val="27"/>
          <w:vertAlign w:val="superscript"/>
          <w:rtl/>
          <w:lang w:bidi="fa-IR"/>
        </w:rPr>
        <w:t xml:space="preserve"> </w:t>
      </w:r>
      <w:r w:rsidRPr="00904FCB">
        <w:rPr>
          <w:rFonts w:hint="cs"/>
          <w:b/>
          <w:sz w:val="27"/>
          <w:rtl/>
        </w:rPr>
        <w:t xml:space="preserve">وقوله: </w:t>
      </w:r>
      <w:r w:rsidRPr="00904FCB">
        <w:rPr>
          <w:rFonts w:ascii="Mosawi" w:hAnsi="Mosawi" w:cs="Mosawi"/>
          <w:b/>
          <w:szCs w:val="24"/>
          <w:rtl/>
        </w:rPr>
        <w:t>﴿</w:t>
      </w:r>
      <w:r w:rsidR="00965816" w:rsidRPr="00904FCB">
        <w:rPr>
          <w:bCs/>
          <w:sz w:val="27"/>
          <w:rtl/>
        </w:rPr>
        <w:t>يُوصِيكُم</w:t>
      </w:r>
      <w:r w:rsidR="00965816" w:rsidRPr="00904FCB">
        <w:rPr>
          <w:rFonts w:hint="cs"/>
          <w:bCs/>
          <w:sz w:val="27"/>
          <w:rtl/>
        </w:rPr>
        <w:t>ُ</w:t>
      </w:r>
      <w:r w:rsidR="00965816" w:rsidRPr="00904FCB">
        <w:rPr>
          <w:bCs/>
          <w:sz w:val="27"/>
          <w:rtl/>
        </w:rPr>
        <w:t xml:space="preserve"> اللهُ فِي أَوْلا</w:t>
      </w:r>
      <w:r w:rsidRPr="00904FCB">
        <w:rPr>
          <w:bCs/>
          <w:sz w:val="27"/>
          <w:rtl/>
        </w:rPr>
        <w:t>دِكُمْ... آبَاؤُكُمْ وَأَبْنَاؤُكُمْ لاَ تَدْرُونَ أَيُّهُمْ أَقْرَبُ لَك</w:t>
      </w:r>
      <w:r w:rsidR="00965816" w:rsidRPr="00904FCB">
        <w:rPr>
          <w:bCs/>
          <w:sz w:val="27"/>
          <w:rtl/>
        </w:rPr>
        <w:t>ُمْ نَفْعاً فَرِيضَةً مِن</w:t>
      </w:r>
      <w:r w:rsidR="00965816" w:rsidRPr="00904FCB">
        <w:rPr>
          <w:rFonts w:hint="cs"/>
          <w:bCs/>
          <w:sz w:val="27"/>
          <w:rtl/>
        </w:rPr>
        <w:t>َ</w:t>
      </w:r>
      <w:r w:rsidR="00965816" w:rsidRPr="00904FCB">
        <w:rPr>
          <w:bCs/>
          <w:sz w:val="27"/>
          <w:rtl/>
        </w:rPr>
        <w:t xml:space="preserve"> الل</w:t>
      </w:r>
      <w:r w:rsidRPr="00904FCB">
        <w:rPr>
          <w:bCs/>
          <w:sz w:val="27"/>
          <w:rtl/>
        </w:rPr>
        <w:t>هِ إِن</w:t>
      </w:r>
      <w:r w:rsidR="00965816" w:rsidRPr="00904FCB">
        <w:rPr>
          <w:bCs/>
          <w:sz w:val="27"/>
          <w:rtl/>
        </w:rPr>
        <w:t>َّ الل</w:t>
      </w:r>
      <w:r w:rsidRPr="00904FCB">
        <w:rPr>
          <w:bCs/>
          <w:sz w:val="27"/>
          <w:rtl/>
        </w:rPr>
        <w:t>هَ كَانَ عَلِيماً حَكِيماً</w:t>
      </w:r>
      <w:r w:rsidRPr="00904FCB">
        <w:rPr>
          <w:rFonts w:ascii="Mosawi" w:hAnsi="Mosawi" w:cs="Mosawi"/>
          <w:b/>
          <w:szCs w:val="24"/>
          <w:rtl/>
        </w:rPr>
        <w:t>﴾</w:t>
      </w:r>
      <w:r w:rsidRPr="00904FCB">
        <w:rPr>
          <w:rFonts w:hint="cs"/>
          <w:b/>
          <w:sz w:val="27"/>
          <w:rtl/>
          <w:lang w:bidi="fa-IR"/>
        </w:rPr>
        <w:t xml:space="preserve"> (النساء: </w:t>
      </w:r>
      <w:r w:rsidRPr="00051230">
        <w:rPr>
          <w:rFonts w:hint="cs"/>
          <w:b/>
          <w:sz w:val="27"/>
          <w:rtl/>
          <w:lang w:bidi="ar-LB"/>
        </w:rPr>
        <w:t>11</w:t>
      </w:r>
      <w:r w:rsidRPr="00904FCB">
        <w:rPr>
          <w:rFonts w:hint="cs"/>
          <w:b/>
          <w:sz w:val="27"/>
          <w:rtl/>
          <w:lang w:bidi="fa-IR"/>
        </w:rPr>
        <w:t>)،</w:t>
      </w:r>
      <w:r w:rsidRPr="00904FCB">
        <w:rPr>
          <w:rFonts w:hint="cs"/>
          <w:b/>
          <w:sz w:val="27"/>
          <w:vertAlign w:val="superscript"/>
          <w:rtl/>
          <w:lang w:bidi="fa-IR"/>
        </w:rPr>
        <w:t xml:space="preserve"> </w:t>
      </w:r>
      <w:r w:rsidRPr="00904FCB">
        <w:rPr>
          <w:rFonts w:hint="cs"/>
          <w:b/>
          <w:sz w:val="27"/>
          <w:rtl/>
        </w:rPr>
        <w:t xml:space="preserve">وقوله: </w:t>
      </w:r>
      <w:r w:rsidRPr="00904FCB">
        <w:rPr>
          <w:rFonts w:ascii="Mosawi" w:hAnsi="Mosawi" w:cs="Mosawi"/>
          <w:b/>
          <w:szCs w:val="24"/>
          <w:rtl/>
        </w:rPr>
        <w:t>﴿</w:t>
      </w:r>
      <w:r w:rsidRPr="00904FCB">
        <w:rPr>
          <w:rFonts w:hint="cs"/>
          <w:bCs/>
          <w:sz w:val="27"/>
          <w:rtl/>
        </w:rPr>
        <w:t>وَلَكُمْ نِصْفُ مَا تَرَكَ أَزْوَاجُكُمْ... وَ</w:t>
      </w:r>
      <w:r w:rsidRPr="00904FCB">
        <w:rPr>
          <w:bCs/>
          <w:sz w:val="27"/>
          <w:rtl/>
        </w:rPr>
        <w:t>إِنْ كَانَ رَجُلٌ يُورَثُ ك</w:t>
      </w:r>
      <w:r w:rsidR="000D1641">
        <w:rPr>
          <w:bCs/>
          <w:sz w:val="27"/>
          <w:rtl/>
        </w:rPr>
        <w:t>َلاَلَةً... وَصِيَّةً مِن</w:t>
      </w:r>
      <w:r w:rsidR="000D1641">
        <w:rPr>
          <w:rFonts w:hint="cs"/>
          <w:bCs/>
          <w:sz w:val="27"/>
          <w:rtl/>
        </w:rPr>
        <w:t>َ</w:t>
      </w:r>
      <w:r w:rsidR="00965816" w:rsidRPr="00904FCB">
        <w:rPr>
          <w:bCs/>
          <w:sz w:val="27"/>
          <w:rtl/>
        </w:rPr>
        <w:t xml:space="preserve"> اللهِ وَالل</w:t>
      </w:r>
      <w:r w:rsidRPr="00904FCB">
        <w:rPr>
          <w:bCs/>
          <w:sz w:val="27"/>
          <w:rtl/>
        </w:rPr>
        <w:t>هُ عَلِيمٌ حَلِيمٌ</w:t>
      </w:r>
      <w:r w:rsidRPr="00904FCB">
        <w:rPr>
          <w:rFonts w:ascii="Mosawi" w:hAnsi="Mosawi" w:cs="Mosawi"/>
          <w:b/>
          <w:szCs w:val="24"/>
          <w:rtl/>
        </w:rPr>
        <w:t>﴾</w:t>
      </w:r>
      <w:r w:rsidRPr="00904FCB">
        <w:rPr>
          <w:rFonts w:hint="cs"/>
          <w:b/>
          <w:sz w:val="27"/>
          <w:rtl/>
          <w:lang w:bidi="fa-IR"/>
        </w:rPr>
        <w:t xml:space="preserve"> (النساء: </w:t>
      </w:r>
      <w:r w:rsidRPr="00051230">
        <w:rPr>
          <w:rFonts w:hint="cs"/>
          <w:b/>
          <w:sz w:val="27"/>
          <w:rtl/>
          <w:lang w:bidi="ar-LB"/>
        </w:rPr>
        <w:t>12</w:t>
      </w:r>
      <w:r w:rsidRPr="00904FCB">
        <w:rPr>
          <w:rFonts w:hint="cs"/>
          <w:b/>
          <w:sz w:val="27"/>
          <w:rtl/>
          <w:lang w:bidi="fa-IR"/>
        </w:rPr>
        <w:t>)،</w:t>
      </w:r>
      <w:r w:rsidRPr="00904FCB">
        <w:rPr>
          <w:rFonts w:hint="cs"/>
          <w:b/>
          <w:sz w:val="27"/>
          <w:vertAlign w:val="superscript"/>
          <w:rtl/>
          <w:lang w:bidi="fa-IR"/>
        </w:rPr>
        <w:t xml:space="preserve"> </w:t>
      </w:r>
      <w:r w:rsidRPr="00904FCB">
        <w:rPr>
          <w:rFonts w:hint="cs"/>
          <w:b/>
          <w:sz w:val="27"/>
          <w:rtl/>
        </w:rPr>
        <w:t xml:space="preserve">وقوله: </w:t>
      </w:r>
      <w:r w:rsidRPr="00904FCB">
        <w:rPr>
          <w:rFonts w:ascii="Mosawi" w:hAnsi="Mosawi" w:cs="Mosawi"/>
          <w:b/>
          <w:szCs w:val="24"/>
          <w:rtl/>
        </w:rPr>
        <w:t>﴿</w:t>
      </w:r>
      <w:r w:rsidR="00965816" w:rsidRPr="00904FCB">
        <w:rPr>
          <w:bCs/>
          <w:sz w:val="27"/>
          <w:rtl/>
        </w:rPr>
        <w:t>يَسْتَفْتُونَكَ قُلْ الل</w:t>
      </w:r>
      <w:r w:rsidRPr="00904FCB">
        <w:rPr>
          <w:bCs/>
          <w:sz w:val="27"/>
          <w:rtl/>
        </w:rPr>
        <w:t>هُ يُفْتِيكُمْ فِي</w:t>
      </w:r>
      <w:r w:rsidR="00965816" w:rsidRPr="00904FCB">
        <w:rPr>
          <w:bCs/>
          <w:sz w:val="27"/>
          <w:rtl/>
        </w:rPr>
        <w:t xml:space="preserve"> الْكَلاَلَةِ... يُبَيِّنُ اللهُ لَكُمْ أَنْ تَضِلُّوا وَالل</w:t>
      </w:r>
      <w:r w:rsidRPr="00904FCB">
        <w:rPr>
          <w:bCs/>
          <w:sz w:val="27"/>
          <w:rtl/>
        </w:rPr>
        <w:t>هُ بِكُلِّ شَيْءٍ عَلِيمٌ</w:t>
      </w:r>
      <w:r w:rsidRPr="00904FCB">
        <w:rPr>
          <w:rFonts w:ascii="Mosawi" w:hAnsi="Mosawi" w:cs="Mosawi"/>
          <w:b/>
          <w:szCs w:val="24"/>
          <w:rtl/>
        </w:rPr>
        <w:t>﴾</w:t>
      </w:r>
      <w:r w:rsidRPr="00904FCB">
        <w:rPr>
          <w:rFonts w:hint="cs"/>
          <w:b/>
          <w:sz w:val="27"/>
          <w:rtl/>
        </w:rPr>
        <w:t xml:space="preserve"> </w:t>
      </w:r>
      <w:r w:rsidRPr="00904FCB">
        <w:rPr>
          <w:rFonts w:hint="cs"/>
          <w:b/>
          <w:sz w:val="27"/>
          <w:rtl/>
          <w:lang w:bidi="fa-IR"/>
        </w:rPr>
        <w:t xml:space="preserve">(النساء: </w:t>
      </w:r>
      <w:r w:rsidRPr="00051230">
        <w:rPr>
          <w:rFonts w:hint="cs"/>
          <w:b/>
          <w:sz w:val="27"/>
          <w:rtl/>
          <w:lang w:bidi="ar-LB"/>
        </w:rPr>
        <w:t>176</w:t>
      </w:r>
      <w:r w:rsidRPr="00904FCB">
        <w:rPr>
          <w:rFonts w:hint="cs"/>
          <w:b/>
          <w:sz w:val="27"/>
          <w:rtl/>
          <w:lang w:bidi="fa-IR"/>
        </w:rPr>
        <w:t>)،</w:t>
      </w:r>
      <w:r w:rsidRPr="00904FCB">
        <w:rPr>
          <w:rFonts w:hint="cs"/>
          <w:b/>
          <w:sz w:val="27"/>
          <w:vertAlign w:val="superscript"/>
          <w:rtl/>
          <w:lang w:bidi="fa-IR"/>
        </w:rPr>
        <w:t xml:space="preserve"> </w:t>
      </w:r>
      <w:r w:rsidRPr="00904FCB">
        <w:rPr>
          <w:rFonts w:hint="cs"/>
          <w:b/>
          <w:sz w:val="27"/>
          <w:rtl/>
        </w:rPr>
        <w:t xml:space="preserve">وقوله: </w:t>
      </w:r>
      <w:r w:rsidR="00965816" w:rsidRPr="00904FCB">
        <w:rPr>
          <w:rFonts w:ascii="Mosawi" w:hAnsi="Mosawi" w:cs="Mosawi"/>
          <w:bCs/>
          <w:szCs w:val="24"/>
          <w:rtl/>
        </w:rPr>
        <w:t>﴿</w:t>
      </w:r>
      <w:r w:rsidR="00965816" w:rsidRPr="00904FCB">
        <w:rPr>
          <w:rFonts w:hint="cs"/>
          <w:bCs/>
          <w:sz w:val="27"/>
          <w:rtl/>
        </w:rPr>
        <w:t>...</w:t>
      </w:r>
      <w:r w:rsidRPr="00904FCB">
        <w:rPr>
          <w:bCs/>
          <w:sz w:val="27"/>
          <w:rtl/>
        </w:rPr>
        <w:t>وَأُوْلُو الأَرْحَامِ بَعْضُهُمْ أَوْلَ</w:t>
      </w:r>
      <w:r w:rsidRPr="00904FCB">
        <w:rPr>
          <w:rFonts w:hint="cs"/>
          <w:bCs/>
          <w:sz w:val="27"/>
          <w:rtl/>
        </w:rPr>
        <w:t>ى</w:t>
      </w:r>
      <w:r w:rsidR="00965816" w:rsidRPr="00904FCB">
        <w:rPr>
          <w:bCs/>
          <w:sz w:val="27"/>
          <w:rtl/>
        </w:rPr>
        <w:t xml:space="preserve"> بِبَعْضٍ فِي كِتَابِ الل</w:t>
      </w:r>
      <w:r w:rsidRPr="00904FCB">
        <w:rPr>
          <w:bCs/>
          <w:sz w:val="27"/>
          <w:rtl/>
        </w:rPr>
        <w:t>هِ... كَانَ ذَلِكَ فِي الْكِتَابِ مَسْطُوراً</w:t>
      </w:r>
      <w:r w:rsidRPr="00904FCB">
        <w:rPr>
          <w:rFonts w:ascii="Mosawi" w:hAnsi="Mosawi" w:cs="Mosawi"/>
          <w:b/>
          <w:szCs w:val="24"/>
          <w:rtl/>
        </w:rPr>
        <w:t>﴾</w:t>
      </w:r>
      <w:r w:rsidRPr="00904FCB">
        <w:rPr>
          <w:rFonts w:hint="cs"/>
          <w:b/>
          <w:sz w:val="27"/>
          <w:rtl/>
        </w:rPr>
        <w:t xml:space="preserve"> </w:t>
      </w:r>
      <w:r w:rsidRPr="00904FCB">
        <w:rPr>
          <w:rFonts w:hint="cs"/>
          <w:b/>
          <w:sz w:val="27"/>
          <w:rtl/>
          <w:lang w:bidi="fa-IR"/>
        </w:rPr>
        <w:t xml:space="preserve">(الأحزاب: </w:t>
      </w:r>
      <w:r w:rsidRPr="00051230">
        <w:rPr>
          <w:rFonts w:hint="cs"/>
          <w:b/>
          <w:sz w:val="27"/>
          <w:rtl/>
          <w:lang w:bidi="ar-LB"/>
        </w:rPr>
        <w:t>6</w:t>
      </w:r>
      <w:r w:rsidRPr="00904FCB">
        <w:rPr>
          <w:rFonts w:hint="cs"/>
          <w:b/>
          <w:sz w:val="27"/>
          <w:rtl/>
          <w:lang w:bidi="fa-IR"/>
        </w:rPr>
        <w:t>)،</w:t>
      </w:r>
      <w:r w:rsidRPr="00904FCB">
        <w:rPr>
          <w:rFonts w:hint="cs"/>
          <w:b/>
          <w:sz w:val="27"/>
          <w:vertAlign w:val="superscript"/>
          <w:rtl/>
          <w:lang w:bidi="fa-IR"/>
        </w:rPr>
        <w:t xml:space="preserve"> </w:t>
      </w:r>
      <w:r w:rsidRPr="00904FCB">
        <w:rPr>
          <w:rFonts w:hint="cs"/>
          <w:b/>
          <w:sz w:val="27"/>
          <w:rtl/>
        </w:rPr>
        <w:t xml:space="preserve">وقوله: </w:t>
      </w:r>
      <w:r w:rsidRPr="00904FCB">
        <w:rPr>
          <w:rFonts w:ascii="Mosawi" w:hAnsi="Mosawi" w:cs="Mosawi"/>
          <w:b/>
          <w:szCs w:val="24"/>
          <w:rtl/>
        </w:rPr>
        <w:t>﴿</w:t>
      </w:r>
      <w:r w:rsidRPr="00904FCB">
        <w:rPr>
          <w:bCs/>
          <w:sz w:val="27"/>
          <w:rtl/>
        </w:rPr>
        <w:t>إِنَّ الَّذِينَ آمَنُوا... وَأُوْلُو الأَرْحَامِ بَعْضُهُمْ أَوْلَ</w:t>
      </w:r>
      <w:r w:rsidRPr="00904FCB">
        <w:rPr>
          <w:rFonts w:hint="cs"/>
          <w:bCs/>
          <w:sz w:val="27"/>
          <w:rtl/>
        </w:rPr>
        <w:t>ى</w:t>
      </w:r>
      <w:r w:rsidR="00965816" w:rsidRPr="00904FCB">
        <w:rPr>
          <w:bCs/>
          <w:sz w:val="27"/>
          <w:rtl/>
        </w:rPr>
        <w:t xml:space="preserve"> بِبَعْضٍ فِي كِتَابِ اللهِ إِنَّ الل</w:t>
      </w:r>
      <w:r w:rsidRPr="00904FCB">
        <w:rPr>
          <w:bCs/>
          <w:sz w:val="27"/>
          <w:rtl/>
        </w:rPr>
        <w:t>هَ بِكُلِّ شَيْءٍ عَلِيمٌ</w:t>
      </w:r>
      <w:r w:rsidRPr="00904FCB">
        <w:rPr>
          <w:rFonts w:ascii="Mosawi" w:hAnsi="Mosawi" w:cs="Mosawi"/>
          <w:b/>
          <w:szCs w:val="24"/>
          <w:rtl/>
        </w:rPr>
        <w:t>﴾</w:t>
      </w:r>
      <w:r w:rsidRPr="00904FCB">
        <w:rPr>
          <w:rFonts w:hint="cs"/>
          <w:b/>
          <w:sz w:val="27"/>
          <w:rtl/>
        </w:rPr>
        <w:t xml:space="preserve"> </w:t>
      </w:r>
      <w:r w:rsidRPr="00904FCB">
        <w:rPr>
          <w:rFonts w:hint="cs"/>
          <w:b/>
          <w:sz w:val="27"/>
          <w:rtl/>
          <w:lang w:bidi="fa-IR"/>
        </w:rPr>
        <w:t xml:space="preserve">(الأنفال: </w:t>
      </w:r>
      <w:r w:rsidRPr="00051230">
        <w:rPr>
          <w:rFonts w:hint="cs"/>
          <w:b/>
          <w:sz w:val="27"/>
          <w:rtl/>
          <w:lang w:bidi="ar-LB"/>
        </w:rPr>
        <w:t>72</w:t>
      </w:r>
      <w:r w:rsidRPr="00904FCB">
        <w:rPr>
          <w:rFonts w:hint="cs"/>
          <w:b/>
          <w:sz w:val="27"/>
          <w:rtl/>
          <w:lang w:bidi="ar-LB"/>
        </w:rPr>
        <w:t xml:space="preserve"> ـ </w:t>
      </w:r>
      <w:r w:rsidRPr="00051230">
        <w:rPr>
          <w:rFonts w:hint="cs"/>
          <w:b/>
          <w:sz w:val="27"/>
          <w:rtl/>
          <w:lang w:bidi="ar-LB"/>
        </w:rPr>
        <w:t>75</w:t>
      </w:r>
      <w:r w:rsidRPr="00904FCB">
        <w:rPr>
          <w:rFonts w:hint="cs"/>
          <w:b/>
          <w:sz w:val="27"/>
          <w:rtl/>
          <w:lang w:bidi="fa-IR"/>
        </w:rPr>
        <w:t>)،</w:t>
      </w:r>
      <w:r w:rsidRPr="00904FCB">
        <w:rPr>
          <w:rFonts w:hint="cs"/>
          <w:b/>
          <w:sz w:val="27"/>
          <w:vertAlign w:val="superscript"/>
          <w:rtl/>
          <w:lang w:bidi="fa-IR"/>
        </w:rPr>
        <w:t xml:space="preserve"> </w:t>
      </w:r>
      <w:r w:rsidRPr="00904FCB">
        <w:rPr>
          <w:rFonts w:hint="cs"/>
          <w:b/>
          <w:sz w:val="27"/>
          <w:rtl/>
        </w:rPr>
        <w:t xml:space="preserve">وقوله: </w:t>
      </w:r>
      <w:r w:rsidRPr="00904FCB">
        <w:rPr>
          <w:rFonts w:ascii="Mosawi" w:hAnsi="Mosawi" w:cs="Mosawi"/>
          <w:b/>
          <w:szCs w:val="24"/>
          <w:rtl/>
        </w:rPr>
        <w:t>﴿</w:t>
      </w:r>
      <w:r w:rsidRPr="00904FCB">
        <w:rPr>
          <w:bCs/>
          <w:sz w:val="27"/>
          <w:rtl/>
        </w:rPr>
        <w:t xml:space="preserve">وَلِكُلٍّ جَعَلْنَا مَوَالِيَ مِمَّا تَرَكَ الْوَالِدَانِ وَالأَقْرَبُونَ وَالَّذِينَ عَقَدَتْ أَيْمَانُكُمْ فَآتُوهُمْ </w:t>
      </w:r>
      <w:r w:rsidR="008C6478" w:rsidRPr="00904FCB">
        <w:rPr>
          <w:bCs/>
          <w:sz w:val="27"/>
          <w:rtl/>
        </w:rPr>
        <w:t>نَصِيبَهُمْ إِنَّ الل</w:t>
      </w:r>
      <w:r w:rsidRPr="00904FCB">
        <w:rPr>
          <w:bCs/>
          <w:sz w:val="27"/>
          <w:rtl/>
        </w:rPr>
        <w:t>هَ كَانَ عَلَ</w:t>
      </w:r>
      <w:r w:rsidRPr="00904FCB">
        <w:rPr>
          <w:rFonts w:hint="cs"/>
          <w:bCs/>
          <w:sz w:val="27"/>
          <w:rtl/>
        </w:rPr>
        <w:t>ى</w:t>
      </w:r>
      <w:r w:rsidRPr="00904FCB">
        <w:rPr>
          <w:bCs/>
          <w:sz w:val="27"/>
          <w:rtl/>
        </w:rPr>
        <w:t xml:space="preserve"> كُلِّ شَيْءٍ شَهِيداً</w:t>
      </w:r>
      <w:r w:rsidRPr="00904FCB">
        <w:rPr>
          <w:rFonts w:ascii="Mosawi" w:hAnsi="Mosawi" w:cs="Mosawi"/>
          <w:b/>
          <w:szCs w:val="24"/>
          <w:rtl/>
        </w:rPr>
        <w:t>﴾</w:t>
      </w:r>
      <w:r w:rsidRPr="00904FCB">
        <w:rPr>
          <w:rFonts w:hint="cs"/>
          <w:b/>
          <w:sz w:val="27"/>
          <w:rtl/>
          <w:lang w:bidi="fa-IR"/>
        </w:rPr>
        <w:t xml:space="preserve"> (النساء: </w:t>
      </w:r>
      <w:r w:rsidRPr="00051230">
        <w:rPr>
          <w:rFonts w:hint="cs"/>
          <w:b/>
          <w:sz w:val="27"/>
          <w:rtl/>
          <w:lang w:bidi="ar-LB"/>
        </w:rPr>
        <w:t>33</w:t>
      </w:r>
      <w:r w:rsidRPr="00904FCB">
        <w:rPr>
          <w:rFonts w:hint="cs"/>
          <w:b/>
          <w:sz w:val="27"/>
          <w:rtl/>
          <w:lang w:bidi="fa-IR"/>
        </w:rPr>
        <w:t>).</w:t>
      </w:r>
      <w:r w:rsidRPr="00904FCB">
        <w:rPr>
          <w:rFonts w:hint="cs"/>
          <w:b/>
          <w:sz w:val="27"/>
          <w:vertAlign w:val="superscript"/>
          <w:rtl/>
          <w:lang w:bidi="fa-IR"/>
        </w:rPr>
        <w:t xml:space="preserve"> </w:t>
      </w:r>
    </w:p>
    <w:p w:rsidR="005B6CEC" w:rsidRPr="00904FCB" w:rsidRDefault="000D1641" w:rsidP="000D1641">
      <w:pPr>
        <w:spacing w:line="410" w:lineRule="exact"/>
        <w:ind w:firstLine="561"/>
        <w:rPr>
          <w:sz w:val="27"/>
          <w:rtl/>
          <w:lang w:bidi="fa-IR"/>
        </w:rPr>
      </w:pPr>
      <w:r>
        <w:rPr>
          <w:rFonts w:hint="cs"/>
          <w:sz w:val="27"/>
          <w:rtl/>
          <w:lang w:bidi="fa-IR"/>
        </w:rPr>
        <w:t>فيا تُرى</w:t>
      </w:r>
      <w:r w:rsidR="005B6CEC" w:rsidRPr="00904FCB">
        <w:rPr>
          <w:rFonts w:hint="cs"/>
          <w:sz w:val="27"/>
          <w:rtl/>
          <w:lang w:bidi="fa-IR"/>
        </w:rPr>
        <w:t xml:space="preserve"> كيف يغفل القرآن الكريم سبباً مهمّاً من أسباب التوريث</w:t>
      </w:r>
      <w:r w:rsidR="008C6478" w:rsidRPr="00904FCB">
        <w:rPr>
          <w:rFonts w:hint="cs"/>
          <w:sz w:val="27"/>
          <w:rtl/>
          <w:lang w:bidi="fa-IR"/>
        </w:rPr>
        <w:t>،</w:t>
      </w:r>
      <w:r w:rsidR="005B6CEC" w:rsidRPr="00904FCB">
        <w:rPr>
          <w:rFonts w:hint="cs"/>
          <w:sz w:val="27"/>
          <w:rtl/>
          <w:lang w:bidi="fa-IR"/>
        </w:rPr>
        <w:t xml:space="preserve"> مع كونه رائجاً بين الناس آنذاك</w:t>
      </w:r>
      <w:r w:rsidR="008C6478" w:rsidRPr="00904FCB">
        <w:rPr>
          <w:rFonts w:hint="cs"/>
          <w:sz w:val="27"/>
          <w:rtl/>
          <w:lang w:bidi="fa-IR"/>
        </w:rPr>
        <w:t>،</w:t>
      </w:r>
      <w:r w:rsidR="005B6CEC" w:rsidRPr="00904FCB">
        <w:rPr>
          <w:rFonts w:hint="cs"/>
          <w:sz w:val="27"/>
          <w:rtl/>
          <w:lang w:bidi="fa-IR"/>
        </w:rPr>
        <w:t xml:space="preserve"> ومحلّ ابتلائهم</w:t>
      </w:r>
      <w:r w:rsidR="008C6478" w:rsidRPr="00904FCB">
        <w:rPr>
          <w:rFonts w:hint="cs"/>
          <w:sz w:val="27"/>
          <w:rtl/>
          <w:lang w:bidi="fa-IR"/>
        </w:rPr>
        <w:t>،</w:t>
      </w:r>
      <w:r w:rsidR="005B6CEC" w:rsidRPr="00904FCB">
        <w:rPr>
          <w:rFonts w:hint="cs"/>
          <w:sz w:val="27"/>
          <w:rtl/>
          <w:lang w:bidi="fa-IR"/>
        </w:rPr>
        <w:t xml:space="preserve"> مع رغبتهم في تحصيل هذا الامتياز</w:t>
      </w:r>
      <w:r w:rsidR="008C6478" w:rsidRPr="00904FCB">
        <w:rPr>
          <w:rFonts w:hint="cs"/>
          <w:sz w:val="27"/>
          <w:rtl/>
          <w:lang w:bidi="fa-IR"/>
        </w:rPr>
        <w:t>،</w:t>
      </w:r>
      <w:r w:rsidR="005B6CEC" w:rsidRPr="00904FCB">
        <w:rPr>
          <w:rFonts w:hint="cs"/>
          <w:sz w:val="27"/>
          <w:rtl/>
          <w:lang w:bidi="fa-IR"/>
        </w:rPr>
        <w:t xml:space="preserve"> بحيث يدعوهم أحياناً إلى اشتراط الولاء لهم عند بيعهم عبيدهم</w:t>
      </w:r>
      <w:r w:rsidR="008C6478" w:rsidRPr="00904FCB">
        <w:rPr>
          <w:rFonts w:hint="cs"/>
          <w:sz w:val="27"/>
          <w:rtl/>
          <w:lang w:bidi="fa-IR"/>
        </w:rPr>
        <w:t>؟</w:t>
      </w:r>
      <w:r w:rsidR="005B6CEC" w:rsidRPr="00904FCB">
        <w:rPr>
          <w:rFonts w:hint="cs"/>
          <w:sz w:val="27"/>
          <w:rtl/>
          <w:lang w:bidi="fa-IR"/>
        </w:rPr>
        <w:t xml:space="preserve">! إنّ هذا من المستبعد جدّاً، بل من المقطوع بعدمه. </w:t>
      </w:r>
    </w:p>
    <w:p w:rsidR="005B6CEC" w:rsidRPr="00904FCB" w:rsidRDefault="005B6CEC" w:rsidP="007A21AA">
      <w:pPr>
        <w:spacing w:line="400" w:lineRule="exact"/>
        <w:rPr>
          <w:sz w:val="27"/>
          <w:rtl/>
          <w:lang w:bidi="fa-IR"/>
        </w:rPr>
      </w:pPr>
      <w:r w:rsidRPr="00904FCB">
        <w:rPr>
          <w:rFonts w:hint="cs"/>
          <w:sz w:val="27"/>
          <w:rtl/>
          <w:lang w:bidi="fa-IR"/>
        </w:rPr>
        <w:t>إذن أمامنا احتمالان؛ إمّا أن يكون القرآن الكريم قد تعرّ</w:t>
      </w:r>
      <w:r w:rsidR="008C6478" w:rsidRPr="00904FCB">
        <w:rPr>
          <w:rFonts w:hint="cs"/>
          <w:sz w:val="27"/>
          <w:rtl/>
          <w:lang w:bidi="fa-IR"/>
        </w:rPr>
        <w:t>َ</w:t>
      </w:r>
      <w:r w:rsidRPr="00904FCB">
        <w:rPr>
          <w:rFonts w:hint="cs"/>
          <w:sz w:val="27"/>
          <w:rtl/>
          <w:lang w:bidi="fa-IR"/>
        </w:rPr>
        <w:t>ض لهذا السبب ـ وهو ولاء العتق ـ ولكن</w:t>
      </w:r>
      <w:r w:rsidR="008C6478" w:rsidRPr="00904FCB">
        <w:rPr>
          <w:rFonts w:hint="cs"/>
          <w:sz w:val="27"/>
          <w:rtl/>
          <w:lang w:bidi="fa-IR"/>
        </w:rPr>
        <w:t>ْ</w:t>
      </w:r>
      <w:r w:rsidRPr="00904FCB">
        <w:rPr>
          <w:rFonts w:hint="cs"/>
          <w:sz w:val="27"/>
          <w:rtl/>
          <w:lang w:bidi="fa-IR"/>
        </w:rPr>
        <w:t xml:space="preserve"> لم نكتشف ذلك</w:t>
      </w:r>
      <w:r w:rsidR="008C6478" w:rsidRPr="00904FCB">
        <w:rPr>
          <w:rFonts w:hint="cs"/>
          <w:sz w:val="27"/>
          <w:rtl/>
          <w:lang w:bidi="fa-IR"/>
        </w:rPr>
        <w:t>؛</w:t>
      </w:r>
      <w:r w:rsidRPr="00904FCB">
        <w:rPr>
          <w:rFonts w:hint="cs"/>
          <w:sz w:val="27"/>
          <w:rtl/>
          <w:lang w:bidi="fa-IR"/>
        </w:rPr>
        <w:t xml:space="preserve"> لقصورنا وغفلتنا</w:t>
      </w:r>
      <w:r w:rsidR="008C6478" w:rsidRPr="00904FCB">
        <w:rPr>
          <w:rFonts w:hint="cs"/>
          <w:sz w:val="27"/>
          <w:rtl/>
          <w:lang w:bidi="fa-IR"/>
        </w:rPr>
        <w:t xml:space="preserve">، </w:t>
      </w:r>
      <w:r w:rsidRPr="00904FCB">
        <w:rPr>
          <w:rFonts w:hint="cs"/>
          <w:sz w:val="27"/>
          <w:rtl/>
          <w:lang w:bidi="fa-IR"/>
        </w:rPr>
        <w:t>ممّا يُملي استئناف البحث ومراجعة جديدة لنصوص الإرث في القرآن</w:t>
      </w:r>
      <w:r w:rsidR="008C6478" w:rsidRPr="00904FCB">
        <w:rPr>
          <w:rFonts w:hint="cs"/>
          <w:sz w:val="27"/>
          <w:rtl/>
          <w:lang w:bidi="fa-IR"/>
        </w:rPr>
        <w:t>؛</w:t>
      </w:r>
      <w:r w:rsidRPr="00904FCB">
        <w:rPr>
          <w:rFonts w:hint="cs"/>
          <w:sz w:val="27"/>
          <w:rtl/>
          <w:lang w:bidi="fa-IR"/>
        </w:rPr>
        <w:t xml:space="preserve"> وإمّا أن نُذعن بعدم كونه سبباً للتوريث. وحيث إنّ النصوص القرآنية مشخّصة عدداً ودلالة</w:t>
      </w:r>
      <w:r w:rsidR="008C6478" w:rsidRPr="00904FCB">
        <w:rPr>
          <w:rFonts w:hint="cs"/>
          <w:sz w:val="27"/>
          <w:rtl/>
          <w:lang w:bidi="fa-IR"/>
        </w:rPr>
        <w:t xml:space="preserve"> </w:t>
      </w:r>
      <w:r w:rsidRPr="00904FCB">
        <w:rPr>
          <w:rFonts w:hint="cs"/>
          <w:sz w:val="27"/>
          <w:rtl/>
          <w:lang w:bidi="fa-IR"/>
        </w:rPr>
        <w:t>يتعيّ</w:t>
      </w:r>
      <w:r w:rsidR="008C6478" w:rsidRPr="00904FCB">
        <w:rPr>
          <w:rFonts w:hint="cs"/>
          <w:sz w:val="27"/>
          <w:rtl/>
          <w:lang w:bidi="fa-IR"/>
        </w:rPr>
        <w:t>َ</w:t>
      </w:r>
      <w:r w:rsidRPr="00904FCB">
        <w:rPr>
          <w:rFonts w:hint="cs"/>
          <w:sz w:val="27"/>
          <w:rtl/>
          <w:lang w:bidi="fa-IR"/>
        </w:rPr>
        <w:t xml:space="preserve">ن الاحتمال الآخر، وهو عدم سببية الولاء للتوريث من وجهة نظر القرآن. وأمّا ما ادُّعي دلالته على ذلك من الآيات فلم يصمد أمام المناقشة والنقد. </w:t>
      </w:r>
    </w:p>
    <w:p w:rsidR="005B6CEC" w:rsidRPr="00904FCB" w:rsidRDefault="005B6CEC" w:rsidP="00143A12">
      <w:pPr>
        <w:spacing w:line="380" w:lineRule="exact"/>
        <w:rPr>
          <w:sz w:val="27"/>
          <w:rtl/>
          <w:lang w:bidi="fa-IR"/>
        </w:rPr>
      </w:pPr>
      <w:r w:rsidRPr="00904FCB">
        <w:rPr>
          <w:rFonts w:hint="cs"/>
          <w:b/>
          <w:bCs/>
          <w:sz w:val="27"/>
          <w:rtl/>
          <w:lang w:bidi="fa-IR"/>
        </w:rPr>
        <w:t>ثانياً</w:t>
      </w:r>
      <w:r w:rsidRPr="00904FCB">
        <w:rPr>
          <w:rFonts w:hint="cs"/>
          <w:sz w:val="27"/>
          <w:rtl/>
          <w:lang w:bidi="fa-IR"/>
        </w:rPr>
        <w:t>: لقد صرّح القرآن الكريم بعدم توريث الأولياء</w:t>
      </w:r>
      <w:r w:rsidR="008C6478" w:rsidRPr="00904FCB">
        <w:rPr>
          <w:rFonts w:hint="cs"/>
          <w:sz w:val="27"/>
          <w:rtl/>
          <w:lang w:bidi="fa-IR"/>
        </w:rPr>
        <w:t>،</w:t>
      </w:r>
      <w:r w:rsidRPr="00904FCB">
        <w:rPr>
          <w:rFonts w:hint="cs"/>
          <w:sz w:val="27"/>
          <w:rtl/>
          <w:lang w:bidi="fa-IR"/>
        </w:rPr>
        <w:t xml:space="preserve"> وحصر ولاية التوريث في </w:t>
      </w:r>
      <w:r w:rsidR="008C6478" w:rsidRPr="00904FCB">
        <w:rPr>
          <w:rFonts w:hint="cs"/>
          <w:sz w:val="27"/>
          <w:rtl/>
          <w:lang w:bidi="fa-IR"/>
        </w:rPr>
        <w:t>أُ</w:t>
      </w:r>
      <w:r w:rsidRPr="00904FCB">
        <w:rPr>
          <w:rFonts w:hint="cs"/>
          <w:sz w:val="27"/>
          <w:rtl/>
          <w:lang w:bidi="fa-IR"/>
        </w:rPr>
        <w:t>ولي الأرحام</w:t>
      </w:r>
      <w:r w:rsidR="008C6478" w:rsidRPr="00904FCB">
        <w:rPr>
          <w:rFonts w:hint="cs"/>
          <w:sz w:val="27"/>
          <w:rtl/>
          <w:lang w:bidi="fa-IR"/>
        </w:rPr>
        <w:t>.</w:t>
      </w:r>
      <w:r w:rsidRPr="00904FCB">
        <w:rPr>
          <w:rFonts w:hint="cs"/>
          <w:sz w:val="27"/>
          <w:rtl/>
          <w:lang w:bidi="fa-IR"/>
        </w:rPr>
        <w:t xml:space="preserve"> قال تعالى: </w:t>
      </w:r>
      <w:r w:rsidRPr="00904FCB">
        <w:rPr>
          <w:rFonts w:ascii="Mosawi" w:hAnsi="Mosawi" w:cs="Mosawi"/>
          <w:szCs w:val="24"/>
          <w:rtl/>
        </w:rPr>
        <w:t>﴿</w:t>
      </w:r>
      <w:r w:rsidRPr="00904FCB">
        <w:rPr>
          <w:b/>
          <w:bCs/>
          <w:sz w:val="27"/>
          <w:rtl/>
        </w:rPr>
        <w:t>النَّبِيُّ أَوْلَ</w:t>
      </w:r>
      <w:r w:rsidRPr="00904FCB">
        <w:rPr>
          <w:rFonts w:hint="cs"/>
          <w:b/>
          <w:bCs/>
          <w:sz w:val="27"/>
          <w:rtl/>
        </w:rPr>
        <w:t>ى</w:t>
      </w:r>
      <w:r w:rsidRPr="00904FCB">
        <w:rPr>
          <w:b/>
          <w:bCs/>
          <w:sz w:val="27"/>
          <w:rtl/>
        </w:rPr>
        <w:t xml:space="preserve"> بِالْمُؤْمِنِينَ مِنْ أَنْفُسِهِمْ وَأَزْوَاجُهُ أُمَّهَاتُهُمْ وَأُوْلُو الأَرْحَامِ بَعْضُهُمْ أَوْلَ</w:t>
      </w:r>
      <w:r w:rsidRPr="00904FCB">
        <w:rPr>
          <w:rFonts w:hint="cs"/>
          <w:b/>
          <w:bCs/>
          <w:sz w:val="27"/>
          <w:rtl/>
        </w:rPr>
        <w:t>ى</w:t>
      </w:r>
      <w:r w:rsidR="008C6478" w:rsidRPr="00904FCB">
        <w:rPr>
          <w:b/>
          <w:bCs/>
          <w:sz w:val="27"/>
          <w:rtl/>
        </w:rPr>
        <w:t xml:space="preserve"> بِبَعْضٍ فِي كِتَابِ الل</w:t>
      </w:r>
      <w:r w:rsidRPr="00904FCB">
        <w:rPr>
          <w:b/>
          <w:bCs/>
          <w:sz w:val="27"/>
          <w:rtl/>
        </w:rPr>
        <w:t>هِ مِن</w:t>
      </w:r>
      <w:r w:rsidRPr="00904FCB">
        <w:rPr>
          <w:rFonts w:hint="cs"/>
          <w:b/>
          <w:bCs/>
          <w:sz w:val="27"/>
          <w:rtl/>
        </w:rPr>
        <w:t>َ</w:t>
      </w:r>
      <w:r w:rsidRPr="00904FCB">
        <w:rPr>
          <w:b/>
          <w:bCs/>
          <w:sz w:val="27"/>
          <w:rtl/>
        </w:rPr>
        <w:t xml:space="preserve"> الْمُؤْمِنِينَ وَالْمُهَاجِرِينَ إِلاَّ أَنْ تَفْعَلُوا إِلَ</w:t>
      </w:r>
      <w:r w:rsidRPr="00904FCB">
        <w:rPr>
          <w:rFonts w:hint="cs"/>
          <w:b/>
          <w:bCs/>
          <w:sz w:val="27"/>
          <w:rtl/>
        </w:rPr>
        <w:t>ى</w:t>
      </w:r>
      <w:r w:rsidRPr="00904FCB">
        <w:rPr>
          <w:b/>
          <w:bCs/>
          <w:sz w:val="27"/>
          <w:rtl/>
        </w:rPr>
        <w:t xml:space="preserve"> </w:t>
      </w:r>
      <w:r w:rsidRPr="00904FCB">
        <w:rPr>
          <w:b/>
          <w:bCs/>
          <w:sz w:val="27"/>
          <w:rtl/>
        </w:rPr>
        <w:lastRenderedPageBreak/>
        <w:t>أَوْلِيَائِكُمْ مَعْرُوفاً كَانَ ذَلِكَ فِي الْكِتَابِ مَسْطُوراً</w:t>
      </w:r>
      <w:r w:rsidRPr="00904FCB">
        <w:rPr>
          <w:rFonts w:ascii="Mosawi" w:hAnsi="Mosawi" w:cs="Mosawi"/>
          <w:szCs w:val="24"/>
          <w:rtl/>
        </w:rPr>
        <w:t>﴾</w:t>
      </w:r>
      <w:r w:rsidRPr="00904FCB">
        <w:rPr>
          <w:rFonts w:hint="cs"/>
          <w:sz w:val="27"/>
          <w:rtl/>
          <w:lang w:bidi="fa-IR"/>
        </w:rPr>
        <w:t xml:space="preserve"> (الأحزاب: </w:t>
      </w:r>
      <w:r w:rsidRPr="00051230">
        <w:rPr>
          <w:rFonts w:hint="cs"/>
          <w:sz w:val="27"/>
          <w:rtl/>
          <w:lang w:bidi="ar-LB"/>
        </w:rPr>
        <w:t>6</w:t>
      </w:r>
      <w:r w:rsidRPr="00904FCB">
        <w:rPr>
          <w:rFonts w:hint="cs"/>
          <w:sz w:val="27"/>
          <w:rtl/>
          <w:lang w:bidi="fa-IR"/>
        </w:rPr>
        <w:t>)،</w:t>
      </w:r>
      <w:r w:rsidRPr="00904FCB">
        <w:rPr>
          <w:rFonts w:hint="cs"/>
          <w:sz w:val="27"/>
          <w:vertAlign w:val="superscript"/>
          <w:rtl/>
          <w:lang w:bidi="fa-IR"/>
        </w:rPr>
        <w:t xml:space="preserve"> </w:t>
      </w:r>
      <w:r w:rsidR="008C6478" w:rsidRPr="00904FCB">
        <w:rPr>
          <w:rFonts w:hint="cs"/>
          <w:sz w:val="27"/>
          <w:rtl/>
          <w:lang w:bidi="fa-IR"/>
        </w:rPr>
        <w:t xml:space="preserve">ولا </w:t>
      </w:r>
      <w:r w:rsidRPr="00904FCB">
        <w:rPr>
          <w:rFonts w:hint="cs"/>
          <w:sz w:val="27"/>
          <w:rtl/>
          <w:lang w:bidi="fa-IR"/>
        </w:rPr>
        <w:t>سي</w:t>
      </w:r>
      <w:r w:rsidR="008C6478" w:rsidRPr="00904FCB">
        <w:rPr>
          <w:rFonts w:hint="cs"/>
          <w:sz w:val="27"/>
          <w:rtl/>
          <w:lang w:bidi="fa-IR"/>
        </w:rPr>
        <w:t>َّ</w:t>
      </w:r>
      <w:r w:rsidRPr="00904FCB">
        <w:rPr>
          <w:rFonts w:hint="cs"/>
          <w:sz w:val="27"/>
          <w:rtl/>
          <w:lang w:bidi="fa-IR"/>
        </w:rPr>
        <w:t xml:space="preserve">ما </w:t>
      </w:r>
      <w:r w:rsidR="008C6478" w:rsidRPr="00904FCB">
        <w:rPr>
          <w:rFonts w:hint="cs"/>
          <w:sz w:val="27"/>
          <w:rtl/>
          <w:lang w:bidi="fa-IR"/>
        </w:rPr>
        <w:t>أ</w:t>
      </w:r>
      <w:r w:rsidRPr="00904FCB">
        <w:rPr>
          <w:rFonts w:hint="cs"/>
          <w:sz w:val="27"/>
          <w:rtl/>
          <w:lang w:bidi="fa-IR"/>
        </w:rPr>
        <w:t>نّ هذا النصّ قد تعرّ</w:t>
      </w:r>
      <w:r w:rsidR="008C6478" w:rsidRPr="00904FCB">
        <w:rPr>
          <w:rFonts w:hint="cs"/>
          <w:sz w:val="27"/>
          <w:rtl/>
          <w:lang w:bidi="fa-IR"/>
        </w:rPr>
        <w:t>ّ</w:t>
      </w:r>
      <w:r w:rsidRPr="00904FCB">
        <w:rPr>
          <w:rFonts w:hint="cs"/>
          <w:sz w:val="27"/>
          <w:rtl/>
          <w:lang w:bidi="fa-IR"/>
        </w:rPr>
        <w:t>ض إلى أنواع الولايات: الولاية الذاتية على النفس، والولاية العُليا للنبي</w:t>
      </w:r>
      <w:r w:rsidR="008C6478" w:rsidRPr="00904FCB">
        <w:rPr>
          <w:rFonts w:hint="cs"/>
          <w:sz w:val="27"/>
          <w:rtl/>
          <w:lang w:bidi="fa-IR"/>
        </w:rPr>
        <w:t>ّ</w:t>
      </w:r>
      <w:r w:rsidR="00635E51" w:rsidRPr="00904FCB">
        <w:rPr>
          <w:rFonts w:cs="Mosawi" w:hint="cs"/>
          <w:sz w:val="27"/>
          <w:szCs w:val="22"/>
          <w:rtl/>
          <w:lang w:bidi="fa-IR"/>
        </w:rPr>
        <w:t>|</w:t>
      </w:r>
      <w:r w:rsidRPr="00904FCB">
        <w:rPr>
          <w:rFonts w:hint="cs"/>
          <w:sz w:val="27"/>
          <w:rtl/>
          <w:lang w:bidi="fa-IR"/>
        </w:rPr>
        <w:t xml:space="preserve"> وتقدّ</w:t>
      </w:r>
      <w:r w:rsidR="008C6478" w:rsidRPr="00904FCB">
        <w:rPr>
          <w:rFonts w:hint="cs"/>
          <w:sz w:val="27"/>
          <w:rtl/>
          <w:lang w:bidi="fa-IR"/>
        </w:rPr>
        <w:t>ُ</w:t>
      </w:r>
      <w:r w:rsidRPr="00904FCB">
        <w:rPr>
          <w:rFonts w:hint="cs"/>
          <w:sz w:val="27"/>
          <w:rtl/>
          <w:lang w:bidi="fa-IR"/>
        </w:rPr>
        <w:t xml:space="preserve">مها على الولاية الأولى، وولاية </w:t>
      </w:r>
      <w:r w:rsidR="008C6478" w:rsidRPr="00904FCB">
        <w:rPr>
          <w:rFonts w:hint="cs"/>
          <w:sz w:val="27"/>
          <w:rtl/>
          <w:lang w:bidi="fa-IR"/>
        </w:rPr>
        <w:t>أُ</w:t>
      </w:r>
      <w:r w:rsidRPr="00904FCB">
        <w:rPr>
          <w:rFonts w:hint="cs"/>
          <w:sz w:val="27"/>
          <w:rtl/>
          <w:lang w:bidi="fa-IR"/>
        </w:rPr>
        <w:t>ولي الأرحام، وولاية الأولياء، وحصر الإرث ب</w:t>
      </w:r>
      <w:r w:rsidR="008C6478" w:rsidRPr="00904FCB">
        <w:rPr>
          <w:rFonts w:hint="cs"/>
          <w:sz w:val="27"/>
          <w:rtl/>
          <w:lang w:bidi="fa-IR"/>
        </w:rPr>
        <w:t>أُ</w:t>
      </w:r>
      <w:r w:rsidRPr="00904FCB">
        <w:rPr>
          <w:rFonts w:hint="cs"/>
          <w:sz w:val="27"/>
          <w:rtl/>
          <w:lang w:bidi="fa-IR"/>
        </w:rPr>
        <w:t xml:space="preserve">ولي الأرحام، وحصر أثر ولاية الأولياء بالأثر الأخلاقي، وهو إسداء المعروف لهم لا أكثر. </w:t>
      </w:r>
    </w:p>
    <w:p w:rsidR="005B6CEC" w:rsidRPr="00904FCB" w:rsidRDefault="005B6CEC" w:rsidP="00143A12">
      <w:pPr>
        <w:spacing w:line="380" w:lineRule="exact"/>
        <w:rPr>
          <w:sz w:val="27"/>
          <w:rtl/>
        </w:rPr>
      </w:pPr>
      <w:r w:rsidRPr="00904FCB">
        <w:rPr>
          <w:rFonts w:hint="cs"/>
          <w:b/>
          <w:bCs/>
          <w:sz w:val="27"/>
          <w:rtl/>
          <w:lang w:bidi="fa-IR"/>
        </w:rPr>
        <w:t>ثالثاً</w:t>
      </w:r>
      <w:r w:rsidRPr="00904FCB">
        <w:rPr>
          <w:rFonts w:hint="cs"/>
          <w:sz w:val="27"/>
          <w:rtl/>
          <w:lang w:bidi="fa-IR"/>
        </w:rPr>
        <w:t>: لقد نف</w:t>
      </w:r>
      <w:r w:rsidR="008C6478" w:rsidRPr="00904FCB">
        <w:rPr>
          <w:rFonts w:hint="cs"/>
          <w:sz w:val="27"/>
          <w:rtl/>
          <w:lang w:bidi="fa-IR"/>
        </w:rPr>
        <w:t>َ</w:t>
      </w:r>
      <w:r w:rsidRPr="00904FCB">
        <w:rPr>
          <w:rFonts w:hint="cs"/>
          <w:sz w:val="27"/>
          <w:rtl/>
          <w:lang w:bidi="fa-IR"/>
        </w:rPr>
        <w:t>ت</w:t>
      </w:r>
      <w:r w:rsidR="008C6478" w:rsidRPr="00904FCB">
        <w:rPr>
          <w:rFonts w:hint="cs"/>
          <w:sz w:val="27"/>
          <w:rtl/>
          <w:lang w:bidi="fa-IR"/>
        </w:rPr>
        <w:t>ْ</w:t>
      </w:r>
      <w:r w:rsidRPr="00904FCB">
        <w:rPr>
          <w:rFonts w:hint="cs"/>
          <w:sz w:val="27"/>
          <w:rtl/>
          <w:lang w:bidi="fa-IR"/>
        </w:rPr>
        <w:t xml:space="preserve"> </w:t>
      </w:r>
      <w:r w:rsidRPr="00904FCB">
        <w:rPr>
          <w:rFonts w:hint="cs"/>
          <w:sz w:val="27"/>
          <w:rtl/>
        </w:rPr>
        <w:t xml:space="preserve">بعض الروايات توريث الموالي، من قبيل: </w:t>
      </w:r>
    </w:p>
    <w:p w:rsidR="00587768" w:rsidRPr="00904FCB" w:rsidRDefault="008C6478" w:rsidP="00143A12">
      <w:pPr>
        <w:spacing w:line="380" w:lineRule="exact"/>
        <w:rPr>
          <w:sz w:val="27"/>
          <w:vertAlign w:val="superscript"/>
          <w:rtl/>
          <w:lang w:bidi="fa-IR"/>
        </w:rPr>
      </w:pPr>
      <w:r w:rsidRPr="00051230">
        <w:rPr>
          <w:rFonts w:hint="cs"/>
          <w:sz w:val="27"/>
          <w:rtl/>
        </w:rPr>
        <w:t>1ـ</w:t>
      </w:r>
      <w:r w:rsidRPr="00904FCB">
        <w:rPr>
          <w:rFonts w:hint="cs"/>
          <w:sz w:val="27"/>
          <w:rtl/>
        </w:rPr>
        <w:t xml:space="preserve"> </w:t>
      </w:r>
      <w:r w:rsidR="005B6CEC" w:rsidRPr="00904FCB">
        <w:rPr>
          <w:rFonts w:hint="cs"/>
          <w:sz w:val="27"/>
          <w:rtl/>
        </w:rPr>
        <w:t>موثّ</w:t>
      </w:r>
      <w:r w:rsidRPr="00904FCB">
        <w:rPr>
          <w:rFonts w:hint="cs"/>
          <w:sz w:val="27"/>
          <w:rtl/>
        </w:rPr>
        <w:t>َ</w:t>
      </w:r>
      <w:r w:rsidR="005B6CEC" w:rsidRPr="00904FCB">
        <w:rPr>
          <w:rFonts w:hint="cs"/>
          <w:sz w:val="27"/>
          <w:rtl/>
        </w:rPr>
        <w:t>قة حنان بن سدير</w:t>
      </w:r>
      <w:r w:rsidRPr="00904FCB">
        <w:rPr>
          <w:rFonts w:hint="cs"/>
          <w:sz w:val="27"/>
          <w:rtl/>
        </w:rPr>
        <w:t>،</w:t>
      </w:r>
      <w:r w:rsidR="005B6CEC" w:rsidRPr="00904FCB">
        <w:rPr>
          <w:rFonts w:hint="cs"/>
          <w:sz w:val="27"/>
          <w:rtl/>
        </w:rPr>
        <w:t xml:space="preserve"> عن أبي عبد الله</w:t>
      </w:r>
      <w:r w:rsidR="001C1A2A" w:rsidRPr="00904FCB">
        <w:rPr>
          <w:rFonts w:cs="Mosawi" w:hint="cs"/>
          <w:sz w:val="27"/>
          <w:szCs w:val="22"/>
          <w:rtl/>
        </w:rPr>
        <w:t>×</w:t>
      </w:r>
      <w:r w:rsidR="005B6CEC" w:rsidRPr="00904FCB">
        <w:rPr>
          <w:rFonts w:hint="cs"/>
          <w:sz w:val="27"/>
          <w:rtl/>
        </w:rPr>
        <w:t>، قال: قلت</w:t>
      </w:r>
      <w:r w:rsidRPr="00904FCB">
        <w:rPr>
          <w:rFonts w:hint="cs"/>
          <w:sz w:val="27"/>
          <w:rtl/>
        </w:rPr>
        <w:t>ُ</w:t>
      </w:r>
      <w:r w:rsidR="005B6CEC" w:rsidRPr="00904FCB">
        <w:rPr>
          <w:rFonts w:hint="cs"/>
          <w:sz w:val="27"/>
          <w:rtl/>
        </w:rPr>
        <w:t xml:space="preserve"> له: أيّ شيء للموالي؟ فقال: </w:t>
      </w:r>
      <w:r w:rsidR="005B6CEC" w:rsidRPr="00904FCB">
        <w:rPr>
          <w:rFonts w:hint="eastAsia"/>
          <w:sz w:val="27"/>
          <w:rtl/>
        </w:rPr>
        <w:t>«</w:t>
      </w:r>
      <w:r w:rsidR="005B6CEC" w:rsidRPr="00904FCB">
        <w:rPr>
          <w:rFonts w:hint="cs"/>
          <w:sz w:val="27"/>
          <w:rtl/>
        </w:rPr>
        <w:t>ليس لهم من الميراث إلا</w:t>
      </w:r>
      <w:r w:rsidRPr="00904FCB">
        <w:rPr>
          <w:rFonts w:hint="cs"/>
          <w:sz w:val="27"/>
          <w:rtl/>
        </w:rPr>
        <w:t>ّ</w:t>
      </w:r>
      <w:r w:rsidR="005B6CEC" w:rsidRPr="00904FCB">
        <w:rPr>
          <w:rFonts w:hint="cs"/>
          <w:sz w:val="27"/>
          <w:rtl/>
        </w:rPr>
        <w:t xml:space="preserve"> ما قال الله تعالى ذكره: </w:t>
      </w:r>
      <w:r w:rsidR="005B6CEC" w:rsidRPr="00904FCB">
        <w:rPr>
          <w:rFonts w:ascii="Mosawi" w:hAnsi="Mosawi" w:cs="Mosawi"/>
          <w:szCs w:val="24"/>
          <w:rtl/>
        </w:rPr>
        <w:t>﴿</w:t>
      </w:r>
      <w:r w:rsidR="00587768" w:rsidRPr="00904FCB">
        <w:rPr>
          <w:b/>
          <w:bCs/>
          <w:sz w:val="27"/>
          <w:rtl/>
        </w:rPr>
        <w:t>إِلاَّ أَنْ تَفْعَلُوا إِلَ</w:t>
      </w:r>
      <w:r w:rsidR="00587768" w:rsidRPr="00904FCB">
        <w:rPr>
          <w:rFonts w:hint="cs"/>
          <w:b/>
          <w:bCs/>
          <w:sz w:val="27"/>
          <w:rtl/>
        </w:rPr>
        <w:t>ى</w:t>
      </w:r>
      <w:r w:rsidR="00587768" w:rsidRPr="00904FCB">
        <w:rPr>
          <w:b/>
          <w:bCs/>
          <w:sz w:val="27"/>
          <w:rtl/>
        </w:rPr>
        <w:t xml:space="preserve"> أَوْلِيَائِكُمْ مَعْرُوفاً</w:t>
      </w:r>
      <w:r w:rsidR="005B6CEC" w:rsidRPr="00904FCB">
        <w:rPr>
          <w:rFonts w:ascii="Mosawi" w:hAnsi="Mosawi" w:cs="Mosawi"/>
          <w:szCs w:val="24"/>
          <w:rtl/>
        </w:rPr>
        <w:t>﴾</w:t>
      </w:r>
      <w:r w:rsidR="005B6CEC" w:rsidRPr="00904FCB">
        <w:rPr>
          <w:rFonts w:ascii="Mosawi" w:hAnsi="Mosawi" w:cs="Mosawi" w:hint="cs"/>
          <w:szCs w:val="24"/>
          <w:rtl/>
        </w:rPr>
        <w:t xml:space="preserve"> </w:t>
      </w:r>
      <w:r w:rsidR="005B6CEC" w:rsidRPr="00904FCB">
        <w:rPr>
          <w:rFonts w:hint="cs"/>
          <w:sz w:val="27"/>
          <w:rtl/>
          <w:lang w:bidi="fa-IR"/>
        </w:rPr>
        <w:t xml:space="preserve">(الأحزاب: </w:t>
      </w:r>
      <w:r w:rsidR="005B6CEC" w:rsidRPr="00051230">
        <w:rPr>
          <w:rFonts w:hint="cs"/>
          <w:sz w:val="27"/>
          <w:rtl/>
          <w:lang w:bidi="ar-LB"/>
        </w:rPr>
        <w:t>6</w:t>
      </w:r>
      <w:r w:rsidR="005B6CEC" w:rsidRPr="00904FCB">
        <w:rPr>
          <w:rFonts w:hint="cs"/>
          <w:sz w:val="27"/>
          <w:rtl/>
          <w:lang w:bidi="fa-IR"/>
        </w:rPr>
        <w:t>)</w:t>
      </w:r>
      <w:r w:rsidR="005B6CEC" w:rsidRPr="00904FCB">
        <w:rPr>
          <w:rFonts w:hint="eastAsia"/>
          <w:sz w:val="27"/>
          <w:rtl/>
        </w:rPr>
        <w:t>»</w:t>
      </w:r>
      <w:r w:rsidR="005B6CEC" w:rsidRPr="00904FCB">
        <w:rPr>
          <w:rFonts w:hint="cs"/>
          <w:sz w:val="27"/>
          <w:vertAlign w:val="superscript"/>
          <w:rtl/>
        </w:rPr>
        <w:t>(</w:t>
      </w:r>
      <w:r w:rsidR="005B6CEC" w:rsidRPr="00904FCB">
        <w:rPr>
          <w:rStyle w:val="ac"/>
          <w:sz w:val="27"/>
          <w:rtl/>
          <w:lang w:bidi="fa-IR"/>
        </w:rPr>
        <w:endnoteReference w:id="389"/>
      </w:r>
      <w:r w:rsidR="005B6CEC" w:rsidRPr="00904FCB">
        <w:rPr>
          <w:rFonts w:hint="cs"/>
          <w:sz w:val="27"/>
          <w:vertAlign w:val="superscript"/>
          <w:rtl/>
          <w:lang w:bidi="fa-IR"/>
        </w:rPr>
        <w:t>)</w:t>
      </w:r>
      <w:r w:rsidR="00587768" w:rsidRPr="00904FCB">
        <w:rPr>
          <w:rFonts w:hint="cs"/>
          <w:sz w:val="27"/>
          <w:rtl/>
          <w:lang w:bidi="fa-IR"/>
        </w:rPr>
        <w:t>.</w:t>
      </w:r>
    </w:p>
    <w:p w:rsidR="005B6CEC" w:rsidRPr="00904FCB" w:rsidRDefault="00587768" w:rsidP="00143A12">
      <w:pPr>
        <w:spacing w:line="380" w:lineRule="exact"/>
        <w:rPr>
          <w:sz w:val="27"/>
          <w:rtl/>
        </w:rPr>
      </w:pPr>
      <w:r w:rsidRPr="00051230">
        <w:rPr>
          <w:rFonts w:hint="cs"/>
          <w:sz w:val="27"/>
          <w:rtl/>
        </w:rPr>
        <w:t>2ـ</w:t>
      </w:r>
      <w:r w:rsidRPr="00904FCB">
        <w:rPr>
          <w:rFonts w:hint="cs"/>
          <w:sz w:val="27"/>
          <w:rtl/>
        </w:rPr>
        <w:t xml:space="preserve"> </w:t>
      </w:r>
      <w:r w:rsidR="005B6CEC" w:rsidRPr="00904FCB">
        <w:rPr>
          <w:rFonts w:hint="cs"/>
          <w:sz w:val="27"/>
          <w:rtl/>
        </w:rPr>
        <w:t>ورواية ابن أبي الحمراء</w:t>
      </w:r>
      <w:r w:rsidR="005B6CEC" w:rsidRPr="00904FCB">
        <w:rPr>
          <w:rFonts w:hint="cs"/>
          <w:sz w:val="27"/>
          <w:vertAlign w:val="superscript"/>
          <w:rtl/>
        </w:rPr>
        <w:t>(</w:t>
      </w:r>
      <w:r w:rsidR="005B6CEC" w:rsidRPr="00904FCB">
        <w:rPr>
          <w:rStyle w:val="ac"/>
          <w:sz w:val="27"/>
          <w:rtl/>
          <w:lang w:bidi="fa-IR"/>
        </w:rPr>
        <w:endnoteReference w:id="390"/>
      </w:r>
      <w:r w:rsidR="005B6CEC" w:rsidRPr="00904FCB">
        <w:rPr>
          <w:rFonts w:hint="cs"/>
          <w:sz w:val="27"/>
          <w:vertAlign w:val="superscript"/>
          <w:rtl/>
          <w:lang w:bidi="fa-IR"/>
        </w:rPr>
        <w:t>)</w:t>
      </w:r>
      <w:r w:rsidRPr="00904FCB">
        <w:rPr>
          <w:rFonts w:hint="cs"/>
          <w:sz w:val="27"/>
          <w:rtl/>
        </w:rPr>
        <w:t xml:space="preserve"> </w:t>
      </w:r>
      <w:r w:rsidR="005B6CEC" w:rsidRPr="00904FCB">
        <w:rPr>
          <w:rFonts w:hint="cs"/>
          <w:sz w:val="27"/>
          <w:rtl/>
        </w:rPr>
        <w:t>قال: قلت</w:t>
      </w:r>
      <w:r w:rsidRPr="00904FCB">
        <w:rPr>
          <w:rFonts w:hint="cs"/>
          <w:sz w:val="27"/>
          <w:rtl/>
        </w:rPr>
        <w:t>ُ لأبي عبد الله</w:t>
      </w:r>
      <w:r w:rsidR="001C1A2A" w:rsidRPr="00904FCB">
        <w:rPr>
          <w:rFonts w:cs="Mosawi" w:hint="cs"/>
          <w:sz w:val="27"/>
          <w:szCs w:val="22"/>
          <w:rtl/>
        </w:rPr>
        <w:t>×</w:t>
      </w:r>
      <w:r w:rsidRPr="00904FCB">
        <w:rPr>
          <w:rFonts w:hint="cs"/>
          <w:sz w:val="27"/>
          <w:rtl/>
        </w:rPr>
        <w:t>: أيّ ش</w:t>
      </w:r>
      <w:r w:rsidR="005B6CEC" w:rsidRPr="00904FCB">
        <w:rPr>
          <w:rFonts w:hint="cs"/>
          <w:sz w:val="27"/>
          <w:rtl/>
        </w:rPr>
        <w:t>يء للموالي من الميراث</w:t>
      </w:r>
      <w:r w:rsidRPr="00904FCB">
        <w:rPr>
          <w:rFonts w:hint="cs"/>
          <w:sz w:val="27"/>
          <w:rtl/>
        </w:rPr>
        <w:t>؟</w:t>
      </w:r>
      <w:r w:rsidR="005B6CEC" w:rsidRPr="00904FCB">
        <w:rPr>
          <w:rFonts w:hint="cs"/>
          <w:sz w:val="27"/>
          <w:rtl/>
        </w:rPr>
        <w:t xml:space="preserve"> فقال: </w:t>
      </w:r>
      <w:r w:rsidR="005B6CEC" w:rsidRPr="00904FCB">
        <w:rPr>
          <w:rFonts w:hint="eastAsia"/>
          <w:sz w:val="27"/>
          <w:rtl/>
        </w:rPr>
        <w:t>«</w:t>
      </w:r>
      <w:r w:rsidR="005B6CEC" w:rsidRPr="00904FCB">
        <w:rPr>
          <w:rFonts w:hint="cs"/>
          <w:sz w:val="27"/>
          <w:rtl/>
        </w:rPr>
        <w:t>ليس لهم شيء إلا</w:t>
      </w:r>
      <w:r w:rsidRPr="00904FCB">
        <w:rPr>
          <w:rFonts w:hint="cs"/>
          <w:sz w:val="27"/>
          <w:rtl/>
        </w:rPr>
        <w:t>ّ</w:t>
      </w:r>
      <w:r w:rsidR="005B6CEC" w:rsidRPr="00904FCB">
        <w:rPr>
          <w:rFonts w:hint="cs"/>
          <w:sz w:val="27"/>
          <w:rtl/>
        </w:rPr>
        <w:t xml:space="preserve"> الترباء [=</w:t>
      </w:r>
      <w:r w:rsidRPr="00904FCB">
        <w:rPr>
          <w:rFonts w:hint="cs"/>
          <w:sz w:val="27"/>
          <w:rtl/>
        </w:rPr>
        <w:t xml:space="preserve"> الثرى</w:t>
      </w:r>
      <w:r w:rsidR="005B6CEC" w:rsidRPr="00904FCB">
        <w:rPr>
          <w:rFonts w:hint="cs"/>
          <w:sz w:val="27"/>
          <w:rtl/>
        </w:rPr>
        <w:t>]</w:t>
      </w:r>
      <w:r w:rsidR="005B6CEC" w:rsidRPr="00904FCB">
        <w:rPr>
          <w:rFonts w:hint="eastAsia"/>
          <w:sz w:val="27"/>
          <w:rtl/>
        </w:rPr>
        <w:t>»</w:t>
      </w:r>
      <w:r w:rsidR="005B6CEC" w:rsidRPr="00904FCB">
        <w:rPr>
          <w:rFonts w:hint="cs"/>
          <w:sz w:val="27"/>
          <w:vertAlign w:val="superscript"/>
          <w:rtl/>
        </w:rPr>
        <w:t>(</w:t>
      </w:r>
      <w:r w:rsidR="005B6CEC" w:rsidRPr="00904FCB">
        <w:rPr>
          <w:rStyle w:val="ac"/>
          <w:sz w:val="27"/>
          <w:rtl/>
          <w:lang w:bidi="fa-IR"/>
        </w:rPr>
        <w:endnoteReference w:id="391"/>
      </w:r>
      <w:r w:rsidR="005B6CEC" w:rsidRPr="00904FCB">
        <w:rPr>
          <w:rFonts w:hint="cs"/>
          <w:sz w:val="27"/>
          <w:vertAlign w:val="superscript"/>
          <w:rtl/>
          <w:lang w:bidi="fa-IR"/>
        </w:rPr>
        <w:t>)</w:t>
      </w:r>
      <w:r w:rsidR="005B6CEC" w:rsidRPr="00904FCB">
        <w:rPr>
          <w:rFonts w:hint="cs"/>
          <w:sz w:val="27"/>
          <w:rtl/>
          <w:lang w:bidi="fa-IR"/>
        </w:rPr>
        <w:t>،</w:t>
      </w:r>
      <w:r w:rsidR="005B6CEC" w:rsidRPr="00904FCB">
        <w:rPr>
          <w:rFonts w:hint="cs"/>
          <w:sz w:val="27"/>
          <w:vertAlign w:val="superscript"/>
          <w:rtl/>
          <w:lang w:bidi="fa-IR"/>
        </w:rPr>
        <w:t xml:space="preserve"> </w:t>
      </w:r>
      <w:r w:rsidR="005B6CEC" w:rsidRPr="00904FCB">
        <w:rPr>
          <w:rFonts w:hint="cs"/>
          <w:sz w:val="27"/>
          <w:rtl/>
        </w:rPr>
        <w:t>يعني التراب. وهذه الروايات صريحة في نفي توريث الموالي</w:t>
      </w:r>
      <w:r w:rsidRPr="00904FCB">
        <w:rPr>
          <w:rFonts w:hint="cs"/>
          <w:sz w:val="27"/>
          <w:rtl/>
        </w:rPr>
        <w:t>؛</w:t>
      </w:r>
      <w:r w:rsidR="005B6CEC" w:rsidRPr="00904FCB">
        <w:rPr>
          <w:rFonts w:hint="cs"/>
          <w:sz w:val="27"/>
          <w:rtl/>
        </w:rPr>
        <w:t xml:space="preserve"> لمجرّد كونهم موالياً، </w:t>
      </w:r>
      <w:r w:rsidRPr="00904FCB">
        <w:rPr>
          <w:rFonts w:hint="cs"/>
          <w:sz w:val="27"/>
          <w:rtl/>
        </w:rPr>
        <w:t xml:space="preserve">ولا </w:t>
      </w:r>
      <w:r w:rsidR="005B6CEC" w:rsidRPr="00904FCB">
        <w:rPr>
          <w:rFonts w:hint="cs"/>
          <w:sz w:val="27"/>
          <w:rtl/>
        </w:rPr>
        <w:t>سي</w:t>
      </w:r>
      <w:r w:rsidRPr="00904FCB">
        <w:rPr>
          <w:rFonts w:hint="cs"/>
          <w:sz w:val="27"/>
          <w:rtl/>
        </w:rPr>
        <w:t>َّ</w:t>
      </w:r>
      <w:r w:rsidR="005B6CEC" w:rsidRPr="00904FCB">
        <w:rPr>
          <w:rFonts w:hint="cs"/>
          <w:sz w:val="27"/>
          <w:rtl/>
        </w:rPr>
        <w:t>ما موثّقة حنان</w:t>
      </w:r>
      <w:r w:rsidRPr="00904FCB">
        <w:rPr>
          <w:rFonts w:hint="cs"/>
          <w:sz w:val="27"/>
          <w:rtl/>
        </w:rPr>
        <w:t>،</w:t>
      </w:r>
      <w:r w:rsidR="005B6CEC" w:rsidRPr="00904FCB">
        <w:rPr>
          <w:rFonts w:hint="cs"/>
          <w:sz w:val="27"/>
          <w:rtl/>
        </w:rPr>
        <w:t xml:space="preserve"> التي تضمّ</w:t>
      </w:r>
      <w:r w:rsidRPr="00904FCB">
        <w:rPr>
          <w:rFonts w:hint="cs"/>
          <w:sz w:val="27"/>
          <w:rtl/>
        </w:rPr>
        <w:t>َ</w:t>
      </w:r>
      <w:r w:rsidR="005B6CEC" w:rsidRPr="00904FCB">
        <w:rPr>
          <w:rFonts w:hint="cs"/>
          <w:sz w:val="27"/>
          <w:rtl/>
        </w:rPr>
        <w:t>ن</w:t>
      </w:r>
      <w:r w:rsidRPr="00904FCB">
        <w:rPr>
          <w:rFonts w:hint="cs"/>
          <w:sz w:val="27"/>
          <w:rtl/>
        </w:rPr>
        <w:t>َ</w:t>
      </w:r>
      <w:r w:rsidR="005B6CEC" w:rsidRPr="00904FCB">
        <w:rPr>
          <w:rFonts w:hint="cs"/>
          <w:sz w:val="27"/>
          <w:rtl/>
        </w:rPr>
        <w:t>ت</w:t>
      </w:r>
      <w:r w:rsidRPr="00904FCB">
        <w:rPr>
          <w:rFonts w:hint="cs"/>
          <w:sz w:val="27"/>
          <w:rtl/>
        </w:rPr>
        <w:t>ْ</w:t>
      </w:r>
      <w:r w:rsidR="005B6CEC" w:rsidRPr="00904FCB">
        <w:rPr>
          <w:rFonts w:hint="cs"/>
          <w:sz w:val="27"/>
          <w:rtl/>
        </w:rPr>
        <w:t xml:space="preserve"> الاستدلال بالآية. </w:t>
      </w:r>
    </w:p>
    <w:p w:rsidR="005B6CEC" w:rsidRPr="00904FCB" w:rsidRDefault="005B6CEC" w:rsidP="007A21AA">
      <w:pPr>
        <w:spacing w:line="400" w:lineRule="exact"/>
        <w:rPr>
          <w:b/>
          <w:bCs/>
          <w:sz w:val="27"/>
          <w:rtl/>
        </w:rPr>
      </w:pPr>
    </w:p>
    <w:p w:rsidR="005B6CEC" w:rsidRPr="00904FCB" w:rsidRDefault="005B6CEC" w:rsidP="007A21AA">
      <w:pPr>
        <w:pStyle w:val="31"/>
        <w:spacing w:line="400" w:lineRule="exact"/>
        <w:rPr>
          <w:color w:val="auto"/>
          <w:rtl/>
        </w:rPr>
      </w:pPr>
      <w:r w:rsidRPr="00904FCB">
        <w:rPr>
          <w:rFonts w:hint="cs"/>
          <w:color w:val="auto"/>
          <w:rtl/>
        </w:rPr>
        <w:t xml:space="preserve">المناقشة الأولى </w:t>
      </w:r>
    </w:p>
    <w:p w:rsidR="005B6CEC" w:rsidRPr="00904FCB" w:rsidRDefault="005B6CEC" w:rsidP="007A21AA">
      <w:pPr>
        <w:spacing w:line="400" w:lineRule="exact"/>
        <w:rPr>
          <w:sz w:val="27"/>
          <w:rtl/>
        </w:rPr>
      </w:pPr>
      <w:r w:rsidRPr="00904FCB">
        <w:rPr>
          <w:rFonts w:hint="cs"/>
          <w:sz w:val="27"/>
          <w:rtl/>
        </w:rPr>
        <w:t>إلا</w:t>
      </w:r>
      <w:r w:rsidR="00587768" w:rsidRPr="00904FCB">
        <w:rPr>
          <w:rFonts w:hint="cs"/>
          <w:sz w:val="27"/>
          <w:rtl/>
        </w:rPr>
        <w:t>ّ</w:t>
      </w:r>
      <w:r w:rsidRPr="00904FCB">
        <w:rPr>
          <w:rFonts w:hint="cs"/>
          <w:sz w:val="27"/>
          <w:rtl/>
        </w:rPr>
        <w:t xml:space="preserve"> أنّه يُمكن أن تُحم</w:t>
      </w:r>
      <w:r w:rsidR="00587768" w:rsidRPr="00904FCB">
        <w:rPr>
          <w:rFonts w:hint="cs"/>
          <w:sz w:val="27"/>
          <w:rtl/>
        </w:rPr>
        <w:t>َ</w:t>
      </w:r>
      <w:r w:rsidRPr="00904FCB">
        <w:rPr>
          <w:rFonts w:hint="cs"/>
          <w:sz w:val="27"/>
          <w:rtl/>
        </w:rPr>
        <w:t xml:space="preserve">ل هاتان الروايتان وأمثالهما على نفي التوريث </w:t>
      </w:r>
      <w:r w:rsidR="00587768" w:rsidRPr="00904FCB">
        <w:rPr>
          <w:rFonts w:hint="cs"/>
          <w:sz w:val="27"/>
          <w:rtl/>
        </w:rPr>
        <w:t>حال</w:t>
      </w:r>
      <w:r w:rsidRPr="00904FCB">
        <w:rPr>
          <w:rFonts w:hint="cs"/>
          <w:sz w:val="27"/>
          <w:rtl/>
        </w:rPr>
        <w:t xml:space="preserve"> وجود ورثة نسبيين</w:t>
      </w:r>
      <w:r w:rsidR="00587768" w:rsidRPr="00904FCB">
        <w:rPr>
          <w:rFonts w:hint="cs"/>
          <w:sz w:val="27"/>
          <w:rtl/>
        </w:rPr>
        <w:t>، لا م</w:t>
      </w:r>
      <w:r w:rsidRPr="00904FCB">
        <w:rPr>
          <w:rFonts w:hint="cs"/>
          <w:sz w:val="27"/>
          <w:rtl/>
        </w:rPr>
        <w:t>طلقاً</w:t>
      </w:r>
      <w:r w:rsidR="00587768" w:rsidRPr="00904FCB">
        <w:rPr>
          <w:rFonts w:hint="cs"/>
          <w:sz w:val="27"/>
          <w:rtl/>
        </w:rPr>
        <w:t>.</w:t>
      </w:r>
      <w:r w:rsidRPr="00904FCB">
        <w:rPr>
          <w:rFonts w:hint="cs"/>
          <w:sz w:val="27"/>
          <w:rtl/>
        </w:rPr>
        <w:t xml:space="preserve"> ويشهد له العديد من الروايات</w:t>
      </w:r>
      <w:r w:rsidRPr="00904FCB">
        <w:rPr>
          <w:rFonts w:hint="cs"/>
          <w:sz w:val="27"/>
          <w:vertAlign w:val="superscript"/>
          <w:rtl/>
        </w:rPr>
        <w:t>(</w:t>
      </w:r>
      <w:r w:rsidRPr="00904FCB">
        <w:rPr>
          <w:rStyle w:val="ac"/>
          <w:sz w:val="27"/>
          <w:rtl/>
          <w:lang w:bidi="fa-IR"/>
        </w:rPr>
        <w:endnoteReference w:id="392"/>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r w:rsidRPr="00904FCB">
        <w:rPr>
          <w:rFonts w:hint="cs"/>
          <w:sz w:val="27"/>
          <w:rtl/>
        </w:rPr>
        <w:t xml:space="preserve">فلا يتمّ الاستدلال حينئذٍ. </w:t>
      </w:r>
    </w:p>
    <w:p w:rsidR="005B6CEC" w:rsidRPr="00904FCB" w:rsidRDefault="005B6CEC" w:rsidP="007A21AA">
      <w:pPr>
        <w:spacing w:line="400" w:lineRule="exact"/>
        <w:rPr>
          <w:sz w:val="27"/>
          <w:rtl/>
        </w:rPr>
      </w:pPr>
    </w:p>
    <w:p w:rsidR="005B6CEC" w:rsidRPr="00904FCB" w:rsidRDefault="005B6CEC" w:rsidP="007A21AA">
      <w:pPr>
        <w:pStyle w:val="31"/>
        <w:spacing w:line="400" w:lineRule="exact"/>
        <w:rPr>
          <w:color w:val="auto"/>
          <w:rtl/>
        </w:rPr>
      </w:pPr>
      <w:r w:rsidRPr="00904FCB">
        <w:rPr>
          <w:rFonts w:hint="cs"/>
          <w:color w:val="auto"/>
          <w:rtl/>
        </w:rPr>
        <w:t xml:space="preserve">الجواب </w:t>
      </w:r>
    </w:p>
    <w:p w:rsidR="005B6CEC" w:rsidRPr="00904FCB" w:rsidRDefault="005B6CEC" w:rsidP="00143A12">
      <w:pPr>
        <w:spacing w:line="380" w:lineRule="exact"/>
        <w:rPr>
          <w:sz w:val="27"/>
          <w:rtl/>
        </w:rPr>
      </w:pPr>
      <w:r w:rsidRPr="00904FCB">
        <w:rPr>
          <w:rFonts w:hint="cs"/>
          <w:sz w:val="27"/>
          <w:rtl/>
        </w:rPr>
        <w:t xml:space="preserve">لكنّ الظاهر ما ذكرناه، </w:t>
      </w:r>
      <w:r w:rsidR="00587768" w:rsidRPr="00904FCB">
        <w:rPr>
          <w:rFonts w:hint="cs"/>
          <w:sz w:val="27"/>
          <w:rtl/>
        </w:rPr>
        <w:t xml:space="preserve">ولا </w:t>
      </w:r>
      <w:r w:rsidRPr="00904FCB">
        <w:rPr>
          <w:rFonts w:hint="cs"/>
          <w:sz w:val="27"/>
          <w:rtl/>
        </w:rPr>
        <w:t>سي</w:t>
      </w:r>
      <w:r w:rsidR="00587768" w:rsidRPr="00904FCB">
        <w:rPr>
          <w:rFonts w:hint="cs"/>
          <w:sz w:val="27"/>
          <w:rtl/>
        </w:rPr>
        <w:t>َّ</w:t>
      </w:r>
      <w:r w:rsidRPr="00904FCB">
        <w:rPr>
          <w:rFonts w:hint="cs"/>
          <w:sz w:val="27"/>
          <w:rtl/>
        </w:rPr>
        <w:t>ما إذا لاحظنا التعبير الوارد في رواية ابن أبي الحمراء</w:t>
      </w:r>
      <w:r w:rsidR="00587768"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ليس لهم شيء إلا</w:t>
      </w:r>
      <w:r w:rsidR="00587768" w:rsidRPr="00904FCB">
        <w:rPr>
          <w:rFonts w:hint="cs"/>
          <w:sz w:val="27"/>
          <w:rtl/>
        </w:rPr>
        <w:t>ّ الترباء [= الثرى</w:t>
      </w:r>
      <w:r w:rsidRPr="00904FCB">
        <w:rPr>
          <w:rFonts w:hint="cs"/>
          <w:sz w:val="27"/>
          <w:rtl/>
        </w:rPr>
        <w:t>]</w:t>
      </w:r>
      <w:r w:rsidRPr="00904FCB">
        <w:rPr>
          <w:rFonts w:hint="eastAsia"/>
          <w:sz w:val="27"/>
          <w:rtl/>
        </w:rPr>
        <w:t>»</w:t>
      </w:r>
      <w:r w:rsidR="00587768" w:rsidRPr="00904FCB">
        <w:rPr>
          <w:rFonts w:hint="cs"/>
          <w:sz w:val="27"/>
          <w:rtl/>
        </w:rPr>
        <w:t>.</w:t>
      </w:r>
      <w:r w:rsidRPr="00904FCB">
        <w:rPr>
          <w:rFonts w:hint="cs"/>
          <w:sz w:val="27"/>
          <w:rtl/>
        </w:rPr>
        <w:t xml:space="preserve"> وهذا التعبير شبيه</w:t>
      </w:r>
      <w:r w:rsidR="00587768" w:rsidRPr="00904FCB">
        <w:rPr>
          <w:rFonts w:hint="cs"/>
          <w:sz w:val="27"/>
          <w:rtl/>
        </w:rPr>
        <w:t>ٌ</w:t>
      </w:r>
      <w:r w:rsidRPr="00904FCB">
        <w:rPr>
          <w:rFonts w:hint="cs"/>
          <w:sz w:val="27"/>
          <w:rtl/>
        </w:rPr>
        <w:t xml:space="preserve"> بالتعبير الوارد في الروايات النافية لتوريث الع</w:t>
      </w:r>
      <w:r w:rsidR="00587768" w:rsidRPr="00904FCB">
        <w:rPr>
          <w:rFonts w:hint="cs"/>
          <w:sz w:val="27"/>
          <w:rtl/>
        </w:rPr>
        <w:t>ُ</w:t>
      </w:r>
      <w:r w:rsidRPr="00904FCB">
        <w:rPr>
          <w:rFonts w:hint="cs"/>
          <w:sz w:val="27"/>
          <w:rtl/>
        </w:rPr>
        <w:t>ص</w:t>
      </w:r>
      <w:r w:rsidR="00587768" w:rsidRPr="00904FCB">
        <w:rPr>
          <w:rFonts w:hint="cs"/>
          <w:sz w:val="27"/>
          <w:rtl/>
        </w:rPr>
        <w:t>ْبَ</w:t>
      </w:r>
      <w:r w:rsidRPr="00904FCB">
        <w:rPr>
          <w:rFonts w:hint="cs"/>
          <w:sz w:val="27"/>
          <w:rtl/>
        </w:rPr>
        <w:t>ة</w:t>
      </w:r>
      <w:r w:rsidRPr="00904FCB">
        <w:rPr>
          <w:rFonts w:hint="cs"/>
          <w:sz w:val="27"/>
          <w:vertAlign w:val="superscript"/>
          <w:rtl/>
        </w:rPr>
        <w:t>(</w:t>
      </w:r>
      <w:r w:rsidRPr="00904FCB">
        <w:rPr>
          <w:rStyle w:val="ac"/>
          <w:sz w:val="27"/>
          <w:rtl/>
          <w:lang w:bidi="fa-IR"/>
        </w:rPr>
        <w:endnoteReference w:id="393"/>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r w:rsidR="00587768" w:rsidRPr="00904FCB">
        <w:rPr>
          <w:rFonts w:hint="cs"/>
          <w:sz w:val="27"/>
          <w:rtl/>
        </w:rPr>
        <w:t>أي يُراد منه النفي الم</w:t>
      </w:r>
      <w:r w:rsidRPr="00904FCB">
        <w:rPr>
          <w:rFonts w:hint="cs"/>
          <w:sz w:val="27"/>
          <w:rtl/>
        </w:rPr>
        <w:t>طلق، أي عدم استحقاقهم التركة في أصل التشريع، لا عدم الاستحقاق الناشئ بسبب حجب بعض الورثة المتقدّ</w:t>
      </w:r>
      <w:r w:rsidR="00BB7BB9" w:rsidRPr="00904FCB">
        <w:rPr>
          <w:rFonts w:hint="cs"/>
          <w:sz w:val="27"/>
          <w:rtl/>
        </w:rPr>
        <w:t>ِ</w:t>
      </w:r>
      <w:r w:rsidRPr="00904FCB">
        <w:rPr>
          <w:rFonts w:hint="cs"/>
          <w:sz w:val="27"/>
          <w:rtl/>
        </w:rPr>
        <w:t xml:space="preserve">مين عليهم بالأولوية. </w:t>
      </w:r>
    </w:p>
    <w:p w:rsidR="005B6CEC" w:rsidRPr="00904FCB" w:rsidRDefault="005B6CEC" w:rsidP="007A21AA">
      <w:pPr>
        <w:spacing w:line="400" w:lineRule="exact"/>
        <w:rPr>
          <w:b/>
          <w:bCs/>
          <w:sz w:val="27"/>
          <w:rtl/>
        </w:rPr>
      </w:pPr>
    </w:p>
    <w:p w:rsidR="005B6CEC" w:rsidRPr="00904FCB" w:rsidRDefault="005B6CEC" w:rsidP="007A21AA">
      <w:pPr>
        <w:pStyle w:val="31"/>
        <w:spacing w:line="400" w:lineRule="exact"/>
        <w:rPr>
          <w:color w:val="auto"/>
          <w:rtl/>
        </w:rPr>
      </w:pPr>
      <w:r w:rsidRPr="00904FCB">
        <w:rPr>
          <w:rFonts w:hint="cs"/>
          <w:color w:val="auto"/>
          <w:rtl/>
        </w:rPr>
        <w:t>المناقشة الثانية</w:t>
      </w:r>
    </w:p>
    <w:p w:rsidR="005B6CEC" w:rsidRPr="00904FCB" w:rsidRDefault="005B6CEC" w:rsidP="007A21AA">
      <w:pPr>
        <w:spacing w:line="400" w:lineRule="exact"/>
        <w:rPr>
          <w:sz w:val="27"/>
          <w:rtl/>
        </w:rPr>
      </w:pPr>
      <w:r w:rsidRPr="00904FCB">
        <w:rPr>
          <w:rFonts w:hint="cs"/>
          <w:sz w:val="27"/>
          <w:rtl/>
        </w:rPr>
        <w:t>إنّه من هذا التشابه في التعبير بين رواية أبي الحمراء وروايات الع</w:t>
      </w:r>
      <w:r w:rsidR="00BB7BB9" w:rsidRPr="00904FCB">
        <w:rPr>
          <w:rFonts w:hint="cs"/>
          <w:sz w:val="27"/>
          <w:rtl/>
        </w:rPr>
        <w:t>ُصْ</w:t>
      </w:r>
      <w:r w:rsidRPr="00904FCB">
        <w:rPr>
          <w:rFonts w:hint="cs"/>
          <w:sz w:val="27"/>
          <w:rtl/>
        </w:rPr>
        <w:t>ب</w:t>
      </w:r>
      <w:r w:rsidR="00BB7BB9" w:rsidRPr="00904FCB">
        <w:rPr>
          <w:rFonts w:hint="cs"/>
          <w:sz w:val="27"/>
          <w:rtl/>
        </w:rPr>
        <w:t>َ</w:t>
      </w:r>
      <w:r w:rsidRPr="00904FCB">
        <w:rPr>
          <w:rFonts w:hint="cs"/>
          <w:sz w:val="27"/>
          <w:rtl/>
        </w:rPr>
        <w:t xml:space="preserve">ة ينقدح في </w:t>
      </w:r>
      <w:r w:rsidRPr="00904FCB">
        <w:rPr>
          <w:rFonts w:hint="cs"/>
          <w:sz w:val="27"/>
          <w:rtl/>
        </w:rPr>
        <w:lastRenderedPageBreak/>
        <w:t>الذهن أنّ المقصود بـ (الموالي) في رواية ابن أبي الحمراء: الع</w:t>
      </w:r>
      <w:r w:rsidR="00BB7BB9" w:rsidRPr="00904FCB">
        <w:rPr>
          <w:rFonts w:hint="cs"/>
          <w:sz w:val="27"/>
          <w:rtl/>
        </w:rPr>
        <w:t>ُصْ</w:t>
      </w:r>
      <w:r w:rsidRPr="00904FCB">
        <w:rPr>
          <w:rFonts w:hint="cs"/>
          <w:sz w:val="27"/>
          <w:rtl/>
        </w:rPr>
        <w:t>ب</w:t>
      </w:r>
      <w:r w:rsidR="00BB7BB9" w:rsidRPr="00904FCB">
        <w:rPr>
          <w:rFonts w:hint="cs"/>
          <w:sz w:val="27"/>
          <w:rtl/>
        </w:rPr>
        <w:t>َ</w:t>
      </w:r>
      <w:r w:rsidRPr="00904FCB">
        <w:rPr>
          <w:rFonts w:hint="cs"/>
          <w:sz w:val="27"/>
          <w:rtl/>
        </w:rPr>
        <w:t>ة</w:t>
      </w:r>
      <w:r w:rsidR="00BB7BB9" w:rsidRPr="00904FCB">
        <w:rPr>
          <w:rFonts w:hint="cs"/>
          <w:sz w:val="27"/>
          <w:rtl/>
        </w:rPr>
        <w:t>.</w:t>
      </w:r>
      <w:r w:rsidRPr="00904FCB">
        <w:rPr>
          <w:rFonts w:hint="cs"/>
          <w:sz w:val="27"/>
          <w:rtl/>
        </w:rPr>
        <w:t xml:space="preserve"> وهذا التفسير سوف يسري إلى معتبرة حنان. وعليه فسوف تكون هاتان الروايتان أجنبي</w:t>
      </w:r>
      <w:r w:rsidR="00BB7BB9" w:rsidRPr="00904FCB">
        <w:rPr>
          <w:rFonts w:hint="cs"/>
          <w:sz w:val="27"/>
          <w:rtl/>
        </w:rPr>
        <w:t>ّ</w:t>
      </w:r>
      <w:r w:rsidRPr="00904FCB">
        <w:rPr>
          <w:rFonts w:hint="cs"/>
          <w:sz w:val="27"/>
          <w:rtl/>
        </w:rPr>
        <w:t xml:space="preserve">تين عن محلّ الكلام. </w:t>
      </w:r>
    </w:p>
    <w:p w:rsidR="005B6CEC" w:rsidRPr="00904FCB" w:rsidRDefault="005B6CEC" w:rsidP="007A21AA">
      <w:pPr>
        <w:spacing w:line="400" w:lineRule="exact"/>
        <w:rPr>
          <w:sz w:val="27"/>
          <w:rtl/>
        </w:rPr>
      </w:pPr>
      <w:r w:rsidRPr="00904FCB">
        <w:rPr>
          <w:rFonts w:hint="cs"/>
          <w:b/>
          <w:bCs/>
          <w:sz w:val="27"/>
          <w:rtl/>
        </w:rPr>
        <w:t>رابعاً</w:t>
      </w:r>
      <w:r w:rsidRPr="00904FCB">
        <w:rPr>
          <w:rFonts w:hint="cs"/>
          <w:sz w:val="27"/>
          <w:rtl/>
        </w:rPr>
        <w:t>: إنّ بعض الروايات اشتملت على ذكر قيد</w:t>
      </w:r>
      <w:r w:rsidR="00BB7BB9" w:rsidRPr="00904FCB">
        <w:rPr>
          <w:rFonts w:hint="cs"/>
          <w:sz w:val="27"/>
          <w:rtl/>
        </w:rPr>
        <w:t>ٍ</w:t>
      </w:r>
      <w:r w:rsidRPr="00904FCB">
        <w:rPr>
          <w:rFonts w:hint="cs"/>
          <w:sz w:val="27"/>
          <w:rtl/>
        </w:rPr>
        <w:t xml:space="preserve"> لتوريث المن</w:t>
      </w:r>
      <w:r w:rsidR="00BB7BB9" w:rsidRPr="00904FCB">
        <w:rPr>
          <w:rFonts w:hint="cs"/>
          <w:sz w:val="27"/>
          <w:rtl/>
        </w:rPr>
        <w:t>ْ</w:t>
      </w:r>
      <w:r w:rsidRPr="00904FCB">
        <w:rPr>
          <w:rFonts w:hint="cs"/>
          <w:sz w:val="27"/>
          <w:rtl/>
        </w:rPr>
        <w:t>عِم، وهو ضمانه لجريرة عبده، فيكون التوريث دائراً مدار الضمان</w:t>
      </w:r>
      <w:r w:rsidR="00BB7BB9" w:rsidRPr="00904FCB">
        <w:rPr>
          <w:rFonts w:hint="cs"/>
          <w:sz w:val="27"/>
          <w:rtl/>
        </w:rPr>
        <w:t>؛</w:t>
      </w:r>
      <w:r w:rsidRPr="00904FCB">
        <w:rPr>
          <w:rFonts w:hint="cs"/>
          <w:sz w:val="27"/>
          <w:rtl/>
        </w:rPr>
        <w:t xml:space="preserve"> فإن</w:t>
      </w:r>
      <w:r w:rsidR="00BB7BB9" w:rsidRPr="00904FCB">
        <w:rPr>
          <w:rFonts w:hint="cs"/>
          <w:sz w:val="27"/>
          <w:rtl/>
        </w:rPr>
        <w:t>ْ</w:t>
      </w:r>
      <w:r w:rsidRPr="00904FCB">
        <w:rPr>
          <w:rFonts w:hint="cs"/>
          <w:sz w:val="27"/>
          <w:rtl/>
        </w:rPr>
        <w:t xml:space="preserve"> ضمن ورث</w:t>
      </w:r>
      <w:r w:rsidR="00BB7BB9" w:rsidRPr="00904FCB">
        <w:rPr>
          <w:rFonts w:hint="cs"/>
          <w:sz w:val="27"/>
          <w:rtl/>
        </w:rPr>
        <w:t>؛</w:t>
      </w:r>
      <w:r w:rsidRPr="00904FCB">
        <w:rPr>
          <w:rFonts w:hint="cs"/>
          <w:sz w:val="27"/>
          <w:rtl/>
        </w:rPr>
        <w:t xml:space="preserve"> وإلا</w:t>
      </w:r>
      <w:r w:rsidR="00BB7BB9" w:rsidRPr="00904FCB">
        <w:rPr>
          <w:rFonts w:hint="cs"/>
          <w:sz w:val="27"/>
          <w:rtl/>
        </w:rPr>
        <w:t>ّ فلا يرث، من قبيل: صحيحة محم</w:t>
      </w:r>
      <w:r w:rsidRPr="00904FCB">
        <w:rPr>
          <w:rFonts w:hint="cs"/>
          <w:sz w:val="27"/>
          <w:rtl/>
        </w:rPr>
        <w:t>د بن مسلم</w:t>
      </w:r>
      <w:r w:rsidR="00BB7BB9" w:rsidRPr="00904FCB">
        <w:rPr>
          <w:rFonts w:hint="cs"/>
          <w:sz w:val="27"/>
          <w:rtl/>
        </w:rPr>
        <w:t>،</w:t>
      </w:r>
      <w:r w:rsidRPr="00904FCB">
        <w:rPr>
          <w:rFonts w:hint="cs"/>
          <w:sz w:val="27"/>
          <w:rtl/>
        </w:rPr>
        <w:t xml:space="preserve"> عن أبي جعفر</w:t>
      </w:r>
      <w:r w:rsidR="001C1A2A" w:rsidRPr="00904FCB">
        <w:rPr>
          <w:rFonts w:cs="Mosawi" w:hint="cs"/>
          <w:sz w:val="27"/>
          <w:szCs w:val="22"/>
          <w:rtl/>
        </w:rPr>
        <w:t>×</w:t>
      </w:r>
      <w:r w:rsidRPr="00904FCB">
        <w:rPr>
          <w:rFonts w:hint="cs"/>
          <w:sz w:val="27"/>
          <w:rtl/>
        </w:rPr>
        <w:t xml:space="preserve"> قال: </w:t>
      </w:r>
      <w:r w:rsidRPr="00904FCB">
        <w:rPr>
          <w:rFonts w:hint="eastAsia"/>
          <w:sz w:val="27"/>
          <w:rtl/>
        </w:rPr>
        <w:t>«</w:t>
      </w:r>
      <w:r w:rsidRPr="00904FCB">
        <w:rPr>
          <w:rFonts w:hint="cs"/>
          <w:sz w:val="27"/>
          <w:rtl/>
        </w:rPr>
        <w:t>م</w:t>
      </w:r>
      <w:r w:rsidR="00BB7BB9" w:rsidRPr="00904FCB">
        <w:rPr>
          <w:rFonts w:hint="cs"/>
          <w:sz w:val="27"/>
          <w:rtl/>
        </w:rPr>
        <w:t>َ</w:t>
      </w:r>
      <w:r w:rsidRPr="00904FCB">
        <w:rPr>
          <w:rFonts w:hint="cs"/>
          <w:sz w:val="27"/>
          <w:rtl/>
        </w:rPr>
        <w:t>ن</w:t>
      </w:r>
      <w:r w:rsidR="00BB7BB9" w:rsidRPr="00904FCB">
        <w:rPr>
          <w:rFonts w:hint="cs"/>
          <w:sz w:val="27"/>
          <w:rtl/>
        </w:rPr>
        <w:t>ْ</w:t>
      </w:r>
      <w:r w:rsidRPr="00904FCB">
        <w:rPr>
          <w:rFonts w:hint="cs"/>
          <w:sz w:val="27"/>
          <w:rtl/>
        </w:rPr>
        <w:t xml:space="preserve"> مات وليس له وارث</w:t>
      </w:r>
      <w:r w:rsidR="00BB7BB9" w:rsidRPr="00904FCB">
        <w:rPr>
          <w:rFonts w:hint="cs"/>
          <w:sz w:val="27"/>
          <w:rtl/>
        </w:rPr>
        <w:t>ٌ</w:t>
      </w:r>
      <w:r w:rsidRPr="00904FCB">
        <w:rPr>
          <w:rFonts w:hint="cs"/>
          <w:sz w:val="27"/>
          <w:rtl/>
        </w:rPr>
        <w:t xml:space="preserve"> من</w:t>
      </w:r>
      <w:r w:rsidR="00BB7BB9" w:rsidRPr="00904FCB">
        <w:rPr>
          <w:rFonts w:hint="cs"/>
          <w:sz w:val="27"/>
          <w:rtl/>
        </w:rPr>
        <w:t xml:space="preserve"> [قِبل] قرابته [= قرابة]، ولا مولى</w:t>
      </w:r>
      <w:r w:rsidRPr="00904FCB">
        <w:rPr>
          <w:rFonts w:hint="cs"/>
          <w:sz w:val="27"/>
          <w:rtl/>
        </w:rPr>
        <w:t xml:space="preserve"> عتاقة قد ضمن جريرته</w:t>
      </w:r>
      <w:r w:rsidR="00BB7BB9" w:rsidRPr="00904FCB">
        <w:rPr>
          <w:rFonts w:hint="cs"/>
          <w:sz w:val="27"/>
          <w:rtl/>
        </w:rPr>
        <w:t>،</w:t>
      </w:r>
      <w:r w:rsidRPr="00904FCB">
        <w:rPr>
          <w:rFonts w:hint="cs"/>
          <w:sz w:val="27"/>
          <w:rtl/>
        </w:rPr>
        <w:t xml:space="preserve"> فماله من الأنفال</w:t>
      </w:r>
      <w:r w:rsidRPr="00904FCB">
        <w:rPr>
          <w:rFonts w:hint="eastAsia"/>
          <w:sz w:val="27"/>
          <w:rtl/>
        </w:rPr>
        <w:t>»</w:t>
      </w:r>
      <w:r w:rsidRPr="00904FCB">
        <w:rPr>
          <w:rFonts w:hint="cs"/>
          <w:sz w:val="27"/>
          <w:vertAlign w:val="superscript"/>
          <w:rtl/>
        </w:rPr>
        <w:t>(</w:t>
      </w:r>
      <w:r w:rsidRPr="00904FCB">
        <w:rPr>
          <w:rStyle w:val="ac"/>
          <w:sz w:val="27"/>
          <w:rtl/>
          <w:lang w:bidi="fa-IR"/>
        </w:rPr>
        <w:endnoteReference w:id="394"/>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r w:rsidRPr="00904FCB">
        <w:rPr>
          <w:rFonts w:hint="cs"/>
          <w:sz w:val="27"/>
          <w:rtl/>
        </w:rPr>
        <w:t>وهذا يدلّ على عدم كون حيثية التبرّ</w:t>
      </w:r>
      <w:r w:rsidR="00BB7BB9" w:rsidRPr="00904FCB">
        <w:rPr>
          <w:rFonts w:hint="cs"/>
          <w:sz w:val="27"/>
          <w:rtl/>
        </w:rPr>
        <w:t>ُع ب</w:t>
      </w:r>
      <w:r w:rsidRPr="00904FCB">
        <w:rPr>
          <w:rFonts w:hint="cs"/>
          <w:sz w:val="27"/>
          <w:rtl/>
        </w:rPr>
        <w:t xml:space="preserve">العتق لوحدها كافية في التوريث. </w:t>
      </w:r>
    </w:p>
    <w:p w:rsidR="00282291" w:rsidRPr="00904FCB" w:rsidRDefault="005B6CEC" w:rsidP="007A21AA">
      <w:pPr>
        <w:spacing w:line="400" w:lineRule="exact"/>
        <w:rPr>
          <w:sz w:val="27"/>
          <w:rtl/>
        </w:rPr>
      </w:pPr>
      <w:r w:rsidRPr="00904FCB">
        <w:rPr>
          <w:rFonts w:hint="cs"/>
          <w:b/>
          <w:bCs/>
          <w:sz w:val="27"/>
          <w:rtl/>
        </w:rPr>
        <w:t>خامساً</w:t>
      </w:r>
      <w:r w:rsidRPr="00904FCB">
        <w:rPr>
          <w:rFonts w:hint="cs"/>
          <w:sz w:val="27"/>
          <w:rtl/>
        </w:rPr>
        <w:t>: إنّ بعض الروايات قد صُرّ</w:t>
      </w:r>
      <w:r w:rsidR="00BB7BB9" w:rsidRPr="00904FCB">
        <w:rPr>
          <w:rFonts w:hint="cs"/>
          <w:sz w:val="27"/>
          <w:rtl/>
        </w:rPr>
        <w:t>ِ</w:t>
      </w:r>
      <w:r w:rsidRPr="00904FCB">
        <w:rPr>
          <w:rFonts w:hint="cs"/>
          <w:sz w:val="27"/>
          <w:rtl/>
        </w:rPr>
        <w:t>ح فيها بثبوت الولاء مع اشتراطه من قِب</w:t>
      </w:r>
      <w:r w:rsidR="00BB7BB9" w:rsidRPr="00904FCB">
        <w:rPr>
          <w:rFonts w:hint="cs"/>
          <w:sz w:val="27"/>
          <w:rtl/>
        </w:rPr>
        <w:t>َ</w:t>
      </w:r>
      <w:r w:rsidRPr="00904FCB">
        <w:rPr>
          <w:rFonts w:hint="cs"/>
          <w:sz w:val="27"/>
          <w:rtl/>
        </w:rPr>
        <w:t>ل المُن</w:t>
      </w:r>
      <w:r w:rsidR="00BB7BB9" w:rsidRPr="00904FCB">
        <w:rPr>
          <w:rFonts w:hint="cs"/>
          <w:sz w:val="27"/>
          <w:rtl/>
        </w:rPr>
        <w:t>ْ</w:t>
      </w:r>
      <w:r w:rsidRPr="00904FCB">
        <w:rPr>
          <w:rFonts w:hint="cs"/>
          <w:sz w:val="27"/>
          <w:rtl/>
        </w:rPr>
        <w:t xml:space="preserve">عِم، </w:t>
      </w:r>
      <w:r w:rsidR="00BB7BB9" w:rsidRPr="00904FCB">
        <w:rPr>
          <w:rFonts w:hint="cs"/>
          <w:sz w:val="27"/>
          <w:rtl/>
        </w:rPr>
        <w:t>و</w:t>
      </w:r>
      <w:r w:rsidR="00282291" w:rsidRPr="00904FCB">
        <w:rPr>
          <w:rFonts w:hint="cs"/>
          <w:sz w:val="27"/>
          <w:rtl/>
        </w:rPr>
        <w:t>منها:</w:t>
      </w:r>
    </w:p>
    <w:p w:rsidR="00282291" w:rsidRPr="00904FCB" w:rsidRDefault="00282291" w:rsidP="007A21AA">
      <w:pPr>
        <w:spacing w:line="400" w:lineRule="exact"/>
        <w:rPr>
          <w:sz w:val="27"/>
          <w:rtl/>
        </w:rPr>
      </w:pPr>
      <w:r w:rsidRPr="00051230">
        <w:rPr>
          <w:rFonts w:hint="cs"/>
          <w:sz w:val="27"/>
          <w:rtl/>
        </w:rPr>
        <w:t>1ـ</w:t>
      </w:r>
      <w:r w:rsidRPr="00904FCB">
        <w:rPr>
          <w:rFonts w:hint="cs"/>
          <w:sz w:val="27"/>
          <w:rtl/>
        </w:rPr>
        <w:t xml:space="preserve"> </w:t>
      </w:r>
      <w:r w:rsidR="00BB7BB9" w:rsidRPr="00904FCB">
        <w:rPr>
          <w:rFonts w:hint="cs"/>
          <w:sz w:val="27"/>
          <w:rtl/>
        </w:rPr>
        <w:t>صحيح محم</w:t>
      </w:r>
      <w:r w:rsidR="005B6CEC" w:rsidRPr="00904FCB">
        <w:rPr>
          <w:rFonts w:hint="cs"/>
          <w:sz w:val="27"/>
          <w:rtl/>
        </w:rPr>
        <w:t>د بن قيس</w:t>
      </w:r>
      <w:r w:rsidR="00BB7BB9" w:rsidRPr="00904FCB">
        <w:rPr>
          <w:rFonts w:hint="cs"/>
          <w:sz w:val="27"/>
          <w:rtl/>
        </w:rPr>
        <w:t>،</w:t>
      </w:r>
      <w:r w:rsidR="005B6CEC" w:rsidRPr="00904FCB">
        <w:rPr>
          <w:rFonts w:hint="cs"/>
          <w:sz w:val="27"/>
          <w:rtl/>
        </w:rPr>
        <w:t xml:space="preserve"> عن أبي جعفر</w:t>
      </w:r>
      <w:r w:rsidR="001C1A2A" w:rsidRPr="00904FCB">
        <w:rPr>
          <w:rFonts w:cs="Mosawi" w:hint="cs"/>
          <w:sz w:val="27"/>
          <w:szCs w:val="22"/>
          <w:rtl/>
        </w:rPr>
        <w:t>×</w:t>
      </w:r>
      <w:r w:rsidR="005B6CEC" w:rsidRPr="00904FCB">
        <w:rPr>
          <w:rFonts w:ascii="Roumouz" w:hAnsi="Roumouz" w:hint="cs"/>
          <w:sz w:val="27"/>
          <w:rtl/>
          <w:lang w:bidi="ar-IQ"/>
        </w:rPr>
        <w:t xml:space="preserve"> </w:t>
      </w:r>
      <w:r w:rsidR="005B6CEC" w:rsidRPr="00904FCB">
        <w:rPr>
          <w:rFonts w:hint="cs"/>
          <w:sz w:val="27"/>
          <w:rtl/>
        </w:rPr>
        <w:t xml:space="preserve">قال: </w:t>
      </w:r>
      <w:r w:rsidR="005B6CEC" w:rsidRPr="00904FCB">
        <w:rPr>
          <w:rFonts w:hint="eastAsia"/>
          <w:sz w:val="27"/>
          <w:rtl/>
        </w:rPr>
        <w:t>«</w:t>
      </w:r>
      <w:r w:rsidR="00BB7BB9" w:rsidRPr="00904FCB">
        <w:rPr>
          <w:rFonts w:hint="cs"/>
          <w:sz w:val="27"/>
          <w:rtl/>
        </w:rPr>
        <w:t>قضى</w:t>
      </w:r>
      <w:r w:rsidR="005B6CEC" w:rsidRPr="00904FCB">
        <w:rPr>
          <w:rFonts w:hint="cs"/>
          <w:sz w:val="27"/>
          <w:rtl/>
        </w:rPr>
        <w:t xml:space="preserve"> أمير المؤمنين</w:t>
      </w:r>
      <w:r w:rsidR="001C1A2A" w:rsidRPr="00904FCB">
        <w:rPr>
          <w:rFonts w:cs="Mosawi" w:hint="cs"/>
          <w:sz w:val="27"/>
          <w:szCs w:val="22"/>
          <w:rtl/>
        </w:rPr>
        <w:t>×</w:t>
      </w:r>
      <w:r w:rsidR="005B6CEC" w:rsidRPr="00904FCB">
        <w:rPr>
          <w:rFonts w:hint="cs"/>
          <w:sz w:val="27"/>
          <w:rtl/>
        </w:rPr>
        <w:t xml:space="preserve"> على امرأة أعت</w:t>
      </w:r>
      <w:r w:rsidR="00BB7BB9" w:rsidRPr="00904FCB">
        <w:rPr>
          <w:rFonts w:hint="cs"/>
          <w:sz w:val="27"/>
          <w:rtl/>
        </w:rPr>
        <w:t>َ</w:t>
      </w:r>
      <w:r w:rsidR="005B6CEC" w:rsidRPr="00904FCB">
        <w:rPr>
          <w:rFonts w:hint="cs"/>
          <w:sz w:val="27"/>
          <w:rtl/>
        </w:rPr>
        <w:t>ق</w:t>
      </w:r>
      <w:r w:rsidR="00BB7BB9" w:rsidRPr="00904FCB">
        <w:rPr>
          <w:rFonts w:hint="cs"/>
          <w:sz w:val="27"/>
          <w:rtl/>
        </w:rPr>
        <w:t>َ</w:t>
      </w:r>
      <w:r w:rsidR="005B6CEC" w:rsidRPr="00904FCB">
        <w:rPr>
          <w:rFonts w:hint="cs"/>
          <w:sz w:val="27"/>
          <w:rtl/>
        </w:rPr>
        <w:t>ت</w:t>
      </w:r>
      <w:r w:rsidR="00BB7BB9" w:rsidRPr="00904FCB">
        <w:rPr>
          <w:rFonts w:hint="cs"/>
          <w:sz w:val="27"/>
          <w:rtl/>
        </w:rPr>
        <w:t>ْ</w:t>
      </w:r>
      <w:r w:rsidR="005B6CEC" w:rsidRPr="00904FCB">
        <w:rPr>
          <w:rFonts w:hint="cs"/>
          <w:sz w:val="27"/>
          <w:rtl/>
        </w:rPr>
        <w:t xml:space="preserve"> رجلاً واشترطت ولاءه</w:t>
      </w:r>
      <w:r w:rsidR="00BB7BB9" w:rsidRPr="00904FCB">
        <w:rPr>
          <w:rFonts w:hint="cs"/>
          <w:sz w:val="27"/>
          <w:rtl/>
        </w:rPr>
        <w:t>،</w:t>
      </w:r>
      <w:r w:rsidR="005B6CEC" w:rsidRPr="00904FCB">
        <w:rPr>
          <w:rFonts w:hint="cs"/>
          <w:sz w:val="27"/>
          <w:rtl/>
        </w:rPr>
        <w:t xml:space="preserve"> ولها ابن</w:t>
      </w:r>
      <w:r w:rsidR="00BB7BB9" w:rsidRPr="00904FCB">
        <w:rPr>
          <w:rFonts w:hint="cs"/>
          <w:sz w:val="27"/>
          <w:rtl/>
        </w:rPr>
        <w:t>ٌ، فألحق ولاءَه بعُصْ</w:t>
      </w:r>
      <w:r w:rsidR="005B6CEC" w:rsidRPr="00904FCB">
        <w:rPr>
          <w:rFonts w:hint="cs"/>
          <w:sz w:val="27"/>
          <w:rtl/>
        </w:rPr>
        <w:t>ب</w:t>
      </w:r>
      <w:r w:rsidR="00BB7BB9" w:rsidRPr="00904FCB">
        <w:rPr>
          <w:rFonts w:hint="cs"/>
          <w:sz w:val="27"/>
          <w:rtl/>
        </w:rPr>
        <w:t>َ</w:t>
      </w:r>
      <w:r w:rsidR="005B6CEC" w:rsidRPr="00904FCB">
        <w:rPr>
          <w:rFonts w:hint="cs"/>
          <w:sz w:val="27"/>
          <w:rtl/>
        </w:rPr>
        <w:t>تها الذين يعقلون عنه</w:t>
      </w:r>
      <w:r w:rsidR="00BB7BB9" w:rsidRPr="00904FCB">
        <w:rPr>
          <w:rFonts w:hint="cs"/>
          <w:sz w:val="27"/>
          <w:rtl/>
        </w:rPr>
        <w:t>،</w:t>
      </w:r>
      <w:r w:rsidR="005B6CEC" w:rsidRPr="00904FCB">
        <w:rPr>
          <w:rFonts w:hint="cs"/>
          <w:sz w:val="27"/>
          <w:rtl/>
        </w:rPr>
        <w:t xml:space="preserve"> دون ولدها</w:t>
      </w:r>
      <w:r w:rsidR="005B6CEC" w:rsidRPr="00904FCB">
        <w:rPr>
          <w:rFonts w:hint="eastAsia"/>
          <w:sz w:val="27"/>
          <w:rtl/>
        </w:rPr>
        <w:t>»</w:t>
      </w:r>
      <w:r w:rsidR="005B6CEC" w:rsidRPr="00904FCB">
        <w:rPr>
          <w:rFonts w:hint="cs"/>
          <w:sz w:val="27"/>
          <w:vertAlign w:val="superscript"/>
          <w:rtl/>
        </w:rPr>
        <w:t>(</w:t>
      </w:r>
      <w:r w:rsidR="005B6CEC" w:rsidRPr="00904FCB">
        <w:rPr>
          <w:rStyle w:val="ac"/>
          <w:sz w:val="27"/>
          <w:rtl/>
          <w:lang w:bidi="fa-IR"/>
        </w:rPr>
        <w:endnoteReference w:id="395"/>
      </w:r>
      <w:r w:rsidR="005B6CEC" w:rsidRPr="00904FCB">
        <w:rPr>
          <w:rFonts w:hint="cs"/>
          <w:sz w:val="27"/>
          <w:vertAlign w:val="superscript"/>
          <w:rtl/>
          <w:lang w:bidi="fa-IR"/>
        </w:rPr>
        <w:t>)</w:t>
      </w:r>
      <w:r w:rsidR="00BB7BB9" w:rsidRPr="00904FCB">
        <w:rPr>
          <w:rFonts w:hint="cs"/>
          <w:sz w:val="27"/>
          <w:rtl/>
          <w:lang w:bidi="fa-IR"/>
        </w:rPr>
        <w:t>.</w:t>
      </w:r>
      <w:r w:rsidRPr="00904FCB">
        <w:rPr>
          <w:rFonts w:hint="cs"/>
          <w:sz w:val="27"/>
          <w:rtl/>
        </w:rPr>
        <w:t xml:space="preserve"> ومنها:</w:t>
      </w:r>
    </w:p>
    <w:p w:rsidR="00282291" w:rsidRPr="00904FCB" w:rsidRDefault="00282291" w:rsidP="007A21AA">
      <w:pPr>
        <w:spacing w:line="400" w:lineRule="exact"/>
        <w:rPr>
          <w:sz w:val="27"/>
          <w:rtl/>
        </w:rPr>
      </w:pPr>
      <w:r w:rsidRPr="00051230">
        <w:rPr>
          <w:rFonts w:hint="cs"/>
          <w:sz w:val="27"/>
          <w:rtl/>
        </w:rPr>
        <w:t>2ـ</w:t>
      </w:r>
      <w:r w:rsidRPr="00904FCB">
        <w:rPr>
          <w:rFonts w:hint="cs"/>
          <w:sz w:val="27"/>
          <w:rtl/>
        </w:rPr>
        <w:t xml:space="preserve"> </w:t>
      </w:r>
      <w:r w:rsidR="005B6CEC" w:rsidRPr="00904FCB">
        <w:rPr>
          <w:rFonts w:hint="cs"/>
          <w:sz w:val="27"/>
          <w:rtl/>
        </w:rPr>
        <w:t>صحيحه الآخر</w:t>
      </w:r>
      <w:r w:rsidR="00BB7BB9" w:rsidRPr="00904FCB">
        <w:rPr>
          <w:rFonts w:hint="cs"/>
          <w:sz w:val="27"/>
          <w:rtl/>
        </w:rPr>
        <w:t>،</w:t>
      </w:r>
      <w:r w:rsidR="005B6CEC" w:rsidRPr="00904FCB">
        <w:rPr>
          <w:rFonts w:hint="cs"/>
          <w:sz w:val="27"/>
          <w:rtl/>
        </w:rPr>
        <w:t xml:space="preserve"> عن أبي جعفر</w:t>
      </w:r>
      <w:r w:rsidR="001C1A2A" w:rsidRPr="00904FCB">
        <w:rPr>
          <w:rFonts w:cs="Mosawi" w:hint="cs"/>
          <w:sz w:val="27"/>
          <w:szCs w:val="22"/>
          <w:rtl/>
        </w:rPr>
        <w:t>×</w:t>
      </w:r>
      <w:r w:rsidR="005B6CEC" w:rsidRPr="00904FCB">
        <w:rPr>
          <w:rFonts w:ascii="Roumouz" w:hAnsi="Roumouz" w:hint="cs"/>
          <w:sz w:val="27"/>
          <w:rtl/>
          <w:lang w:bidi="ar-IQ"/>
        </w:rPr>
        <w:t xml:space="preserve"> </w:t>
      </w:r>
      <w:r w:rsidR="005B6CEC" w:rsidRPr="00904FCB">
        <w:rPr>
          <w:rFonts w:hint="cs"/>
          <w:sz w:val="27"/>
          <w:rtl/>
        </w:rPr>
        <w:t xml:space="preserve">قال: </w:t>
      </w:r>
      <w:r w:rsidR="005B6CEC" w:rsidRPr="00904FCB">
        <w:rPr>
          <w:rFonts w:hint="eastAsia"/>
          <w:sz w:val="27"/>
          <w:rtl/>
        </w:rPr>
        <w:t>«</w:t>
      </w:r>
      <w:r w:rsidRPr="00904FCB">
        <w:rPr>
          <w:rFonts w:hint="cs"/>
          <w:sz w:val="27"/>
          <w:rtl/>
        </w:rPr>
        <w:t>قضى</w:t>
      </w:r>
      <w:r w:rsidR="005B6CEC" w:rsidRPr="00904FCB">
        <w:rPr>
          <w:rFonts w:hint="cs"/>
          <w:sz w:val="27"/>
          <w:rtl/>
        </w:rPr>
        <w:t xml:space="preserve"> في رجل حرّ</w:t>
      </w:r>
      <w:r w:rsidRPr="00904FCB">
        <w:rPr>
          <w:rFonts w:hint="cs"/>
          <w:sz w:val="27"/>
          <w:rtl/>
        </w:rPr>
        <w:t>َ</w:t>
      </w:r>
      <w:r w:rsidR="005B6CEC" w:rsidRPr="00904FCB">
        <w:rPr>
          <w:rFonts w:hint="cs"/>
          <w:sz w:val="27"/>
          <w:rtl/>
        </w:rPr>
        <w:t>ر رجلاً</w:t>
      </w:r>
      <w:r w:rsidRPr="00904FCB">
        <w:rPr>
          <w:rFonts w:hint="cs"/>
          <w:sz w:val="27"/>
          <w:rtl/>
        </w:rPr>
        <w:t>،</w:t>
      </w:r>
      <w:r w:rsidR="005B6CEC" w:rsidRPr="00904FCB">
        <w:rPr>
          <w:rFonts w:hint="cs"/>
          <w:sz w:val="27"/>
          <w:rtl/>
        </w:rPr>
        <w:t xml:space="preserve"> واشترط ولاه [= ولاءه]، فتوفّي الذي أعتق</w:t>
      </w:r>
      <w:r w:rsidRPr="00904FCB">
        <w:rPr>
          <w:rFonts w:hint="cs"/>
          <w:sz w:val="27"/>
          <w:rtl/>
        </w:rPr>
        <w:t>،</w:t>
      </w:r>
      <w:r w:rsidR="005B6CEC" w:rsidRPr="00904FCB">
        <w:rPr>
          <w:rFonts w:hint="cs"/>
          <w:sz w:val="27"/>
          <w:rtl/>
        </w:rPr>
        <w:t xml:space="preserve"> وليس له ولد</w:t>
      </w:r>
      <w:r w:rsidRPr="00904FCB">
        <w:rPr>
          <w:rFonts w:hint="cs"/>
          <w:sz w:val="27"/>
          <w:rtl/>
        </w:rPr>
        <w:t>ٌ</w:t>
      </w:r>
      <w:r w:rsidR="005B6CEC" w:rsidRPr="00904FCB">
        <w:rPr>
          <w:rFonts w:hint="cs"/>
          <w:sz w:val="27"/>
          <w:rtl/>
        </w:rPr>
        <w:t xml:space="preserve"> إلا</w:t>
      </w:r>
      <w:r w:rsidRPr="00904FCB">
        <w:rPr>
          <w:rFonts w:hint="cs"/>
          <w:sz w:val="27"/>
          <w:rtl/>
        </w:rPr>
        <w:t>ّ</w:t>
      </w:r>
      <w:r w:rsidR="005B6CEC" w:rsidRPr="00904FCB">
        <w:rPr>
          <w:rFonts w:hint="cs"/>
          <w:sz w:val="27"/>
          <w:rtl/>
        </w:rPr>
        <w:t xml:space="preserve"> النساء، ثمّ توفّ</w:t>
      </w:r>
      <w:r w:rsidRPr="00904FCB">
        <w:rPr>
          <w:rFonts w:hint="cs"/>
          <w:sz w:val="27"/>
          <w:rtl/>
        </w:rPr>
        <w:t>ِي المولى،</w:t>
      </w:r>
      <w:r w:rsidR="005B6CEC" w:rsidRPr="00904FCB">
        <w:rPr>
          <w:rFonts w:hint="cs"/>
          <w:sz w:val="27"/>
          <w:rtl/>
        </w:rPr>
        <w:t xml:space="preserve"> وترك مالاً</w:t>
      </w:r>
      <w:r w:rsidRPr="00904FCB">
        <w:rPr>
          <w:rFonts w:hint="cs"/>
          <w:sz w:val="27"/>
          <w:rtl/>
        </w:rPr>
        <w:t>، وله عُصْ</w:t>
      </w:r>
      <w:r w:rsidR="005B6CEC" w:rsidRPr="00904FCB">
        <w:rPr>
          <w:rFonts w:hint="cs"/>
          <w:sz w:val="27"/>
          <w:rtl/>
        </w:rPr>
        <w:t>ب</w:t>
      </w:r>
      <w:r w:rsidRPr="00904FCB">
        <w:rPr>
          <w:rFonts w:hint="cs"/>
          <w:sz w:val="27"/>
          <w:rtl/>
        </w:rPr>
        <w:t>َ</w:t>
      </w:r>
      <w:r w:rsidR="005B6CEC" w:rsidRPr="00904FCB">
        <w:rPr>
          <w:rFonts w:hint="cs"/>
          <w:sz w:val="27"/>
          <w:rtl/>
        </w:rPr>
        <w:t>ة، فاحتقّ في ميراثه بنات مولاه والع</w:t>
      </w:r>
      <w:r w:rsidRPr="00904FCB">
        <w:rPr>
          <w:rFonts w:hint="cs"/>
          <w:sz w:val="27"/>
          <w:rtl/>
        </w:rPr>
        <w:t>ُصْ</w:t>
      </w:r>
      <w:r w:rsidR="005B6CEC" w:rsidRPr="00904FCB">
        <w:rPr>
          <w:rFonts w:hint="cs"/>
          <w:sz w:val="27"/>
          <w:rtl/>
        </w:rPr>
        <w:t>ب</w:t>
      </w:r>
      <w:r w:rsidRPr="00904FCB">
        <w:rPr>
          <w:rFonts w:hint="cs"/>
          <w:sz w:val="27"/>
          <w:rtl/>
        </w:rPr>
        <w:t>َة، فقضى</w:t>
      </w:r>
      <w:r w:rsidR="005B6CEC" w:rsidRPr="00904FCB">
        <w:rPr>
          <w:rFonts w:hint="cs"/>
          <w:sz w:val="27"/>
          <w:rtl/>
        </w:rPr>
        <w:t xml:space="preserve"> بميراثه للع</w:t>
      </w:r>
      <w:r w:rsidRPr="00904FCB">
        <w:rPr>
          <w:rFonts w:hint="cs"/>
          <w:sz w:val="27"/>
          <w:rtl/>
        </w:rPr>
        <w:t>ُصْ</w:t>
      </w:r>
      <w:r w:rsidR="005B6CEC" w:rsidRPr="00904FCB">
        <w:rPr>
          <w:rFonts w:hint="cs"/>
          <w:sz w:val="27"/>
          <w:rtl/>
        </w:rPr>
        <w:t>ب</w:t>
      </w:r>
      <w:r w:rsidRPr="00904FCB">
        <w:rPr>
          <w:rFonts w:hint="cs"/>
          <w:sz w:val="27"/>
          <w:rtl/>
        </w:rPr>
        <w:t>َ</w:t>
      </w:r>
      <w:r w:rsidR="005B6CEC" w:rsidRPr="00904FCB">
        <w:rPr>
          <w:rFonts w:hint="cs"/>
          <w:sz w:val="27"/>
          <w:rtl/>
        </w:rPr>
        <w:t>ة الذين يعقلون عنه إذا أحدث ح</w:t>
      </w:r>
      <w:r w:rsidRPr="00904FCB">
        <w:rPr>
          <w:rFonts w:hint="cs"/>
          <w:sz w:val="27"/>
          <w:rtl/>
        </w:rPr>
        <w:t>َ</w:t>
      </w:r>
      <w:r w:rsidR="005B6CEC" w:rsidRPr="00904FCB">
        <w:rPr>
          <w:rFonts w:hint="cs"/>
          <w:sz w:val="27"/>
          <w:rtl/>
        </w:rPr>
        <w:t>د</w:t>
      </w:r>
      <w:r w:rsidRPr="00904FCB">
        <w:rPr>
          <w:rFonts w:hint="cs"/>
          <w:sz w:val="27"/>
          <w:rtl/>
        </w:rPr>
        <w:t>َ</w:t>
      </w:r>
      <w:r w:rsidR="005B6CEC" w:rsidRPr="00904FCB">
        <w:rPr>
          <w:rFonts w:hint="cs"/>
          <w:sz w:val="27"/>
          <w:rtl/>
        </w:rPr>
        <w:t>ثاً يكون فيه عقل</w:t>
      </w:r>
      <w:r w:rsidR="005B6CEC" w:rsidRPr="00904FCB">
        <w:rPr>
          <w:rFonts w:hint="eastAsia"/>
          <w:sz w:val="27"/>
          <w:rtl/>
        </w:rPr>
        <w:t>»</w:t>
      </w:r>
      <w:r w:rsidR="005B6CEC" w:rsidRPr="00904FCB">
        <w:rPr>
          <w:rFonts w:hint="cs"/>
          <w:sz w:val="27"/>
          <w:vertAlign w:val="superscript"/>
          <w:rtl/>
        </w:rPr>
        <w:t>(</w:t>
      </w:r>
      <w:r w:rsidR="005B6CEC" w:rsidRPr="00904FCB">
        <w:rPr>
          <w:rStyle w:val="ac"/>
          <w:sz w:val="27"/>
          <w:rtl/>
          <w:lang w:bidi="fa-IR"/>
        </w:rPr>
        <w:endnoteReference w:id="396"/>
      </w:r>
      <w:r w:rsidR="005B6CEC" w:rsidRPr="00904FCB">
        <w:rPr>
          <w:rFonts w:hint="cs"/>
          <w:sz w:val="27"/>
          <w:vertAlign w:val="superscript"/>
          <w:rtl/>
          <w:lang w:bidi="fa-IR"/>
        </w:rPr>
        <w:t>)</w:t>
      </w:r>
      <w:r w:rsidRPr="000D1641">
        <w:rPr>
          <w:rFonts w:hint="cs"/>
          <w:sz w:val="27"/>
          <w:rtl/>
          <w:lang w:bidi="fa-IR"/>
        </w:rPr>
        <w:t>.</w:t>
      </w:r>
      <w:r w:rsidR="005B6CEC" w:rsidRPr="000D1641">
        <w:rPr>
          <w:rFonts w:hint="cs"/>
          <w:sz w:val="27"/>
          <w:rtl/>
          <w:lang w:bidi="fa-IR"/>
        </w:rPr>
        <w:t xml:space="preserve"> </w:t>
      </w:r>
      <w:r w:rsidRPr="000D1641">
        <w:rPr>
          <w:rFonts w:hint="cs"/>
          <w:sz w:val="27"/>
          <w:rtl/>
        </w:rPr>
        <w:t>ومنها:</w:t>
      </w:r>
    </w:p>
    <w:p w:rsidR="00C1540B" w:rsidRPr="00904FCB" w:rsidRDefault="00282291" w:rsidP="007A21AA">
      <w:pPr>
        <w:spacing w:line="400" w:lineRule="exact"/>
        <w:rPr>
          <w:sz w:val="27"/>
          <w:rtl/>
        </w:rPr>
      </w:pPr>
      <w:r w:rsidRPr="00051230">
        <w:rPr>
          <w:rFonts w:hint="cs"/>
          <w:sz w:val="27"/>
          <w:rtl/>
        </w:rPr>
        <w:t>3ـ</w:t>
      </w:r>
      <w:r w:rsidRPr="00904FCB">
        <w:rPr>
          <w:rFonts w:hint="cs"/>
          <w:sz w:val="27"/>
          <w:rtl/>
        </w:rPr>
        <w:t xml:space="preserve"> </w:t>
      </w:r>
      <w:r w:rsidR="005B6CEC" w:rsidRPr="00904FCB">
        <w:rPr>
          <w:rFonts w:hint="cs"/>
          <w:sz w:val="27"/>
          <w:rtl/>
        </w:rPr>
        <w:t>صحيحة عبد الله بن سنان قال: قال أبو عبد الله</w:t>
      </w:r>
      <w:r w:rsidR="001C1A2A" w:rsidRPr="00904FCB">
        <w:rPr>
          <w:rFonts w:cs="Mosawi" w:hint="cs"/>
          <w:sz w:val="27"/>
          <w:szCs w:val="22"/>
          <w:rtl/>
        </w:rPr>
        <w:t>×</w:t>
      </w:r>
      <w:r w:rsidR="005B6CEC" w:rsidRPr="00904FCB">
        <w:rPr>
          <w:rFonts w:hint="cs"/>
          <w:sz w:val="27"/>
          <w:rtl/>
        </w:rPr>
        <w:t xml:space="preserve">: </w:t>
      </w:r>
      <w:r w:rsidR="005B6CEC" w:rsidRPr="00904FCB">
        <w:rPr>
          <w:rFonts w:hint="eastAsia"/>
          <w:sz w:val="27"/>
          <w:rtl/>
        </w:rPr>
        <w:t>«</w:t>
      </w:r>
      <w:r w:rsidRPr="00904FCB">
        <w:rPr>
          <w:rFonts w:hint="cs"/>
          <w:sz w:val="27"/>
          <w:rtl/>
        </w:rPr>
        <w:t>قضى</w:t>
      </w:r>
      <w:r w:rsidR="005B6CEC" w:rsidRPr="00904FCB">
        <w:rPr>
          <w:rFonts w:hint="cs"/>
          <w:sz w:val="27"/>
          <w:rtl/>
        </w:rPr>
        <w:t xml:space="preserve"> أمير المؤمنين</w:t>
      </w:r>
      <w:r w:rsidR="001C1A2A" w:rsidRPr="00904FCB">
        <w:rPr>
          <w:rFonts w:cs="Mosawi" w:hint="cs"/>
          <w:sz w:val="27"/>
          <w:szCs w:val="22"/>
          <w:rtl/>
        </w:rPr>
        <w:t>×</w:t>
      </w:r>
      <w:r w:rsidR="005B6CEC" w:rsidRPr="00904FCB">
        <w:rPr>
          <w:rFonts w:hint="cs"/>
          <w:sz w:val="27"/>
          <w:rtl/>
        </w:rPr>
        <w:t xml:space="preserve"> في</w:t>
      </w:r>
      <w:r w:rsidRPr="00904FCB">
        <w:rPr>
          <w:rFonts w:hint="cs"/>
          <w:sz w:val="27"/>
          <w:rtl/>
        </w:rPr>
        <w:t xml:space="preserve"> </w:t>
      </w:r>
      <w:r w:rsidR="005B6CEC" w:rsidRPr="00904FCB">
        <w:rPr>
          <w:rFonts w:hint="cs"/>
          <w:sz w:val="27"/>
          <w:rtl/>
        </w:rPr>
        <w:t>مَن</w:t>
      </w:r>
      <w:r w:rsidRPr="00904FCB">
        <w:rPr>
          <w:rFonts w:hint="cs"/>
          <w:sz w:val="27"/>
          <w:rtl/>
        </w:rPr>
        <w:t>ْ</w:t>
      </w:r>
      <w:r w:rsidR="005B6CEC" w:rsidRPr="00904FCB">
        <w:rPr>
          <w:rFonts w:hint="cs"/>
          <w:sz w:val="27"/>
          <w:rtl/>
        </w:rPr>
        <w:t xml:space="preserve"> كاتب عبداً أن يشترط ولاءه إذا كاتبه</w:t>
      </w:r>
      <w:r w:rsidR="005B6CEC" w:rsidRPr="00904FCB">
        <w:rPr>
          <w:rFonts w:hint="eastAsia"/>
          <w:sz w:val="27"/>
          <w:rtl/>
        </w:rPr>
        <w:t>»</w:t>
      </w:r>
      <w:r w:rsidR="005B6CEC" w:rsidRPr="00904FCB">
        <w:rPr>
          <w:rFonts w:hint="cs"/>
          <w:sz w:val="27"/>
          <w:rtl/>
        </w:rPr>
        <w:t xml:space="preserve">، وقال: </w:t>
      </w:r>
      <w:r w:rsidR="005B6CEC" w:rsidRPr="00904FCB">
        <w:rPr>
          <w:rFonts w:hint="eastAsia"/>
          <w:sz w:val="27"/>
          <w:rtl/>
        </w:rPr>
        <w:t>«</w:t>
      </w:r>
      <w:r w:rsidR="005B6CEC" w:rsidRPr="00904FCB">
        <w:rPr>
          <w:rFonts w:hint="cs"/>
          <w:sz w:val="27"/>
          <w:rtl/>
        </w:rPr>
        <w:t xml:space="preserve">إذا أعتق المملوك سائبة </w:t>
      </w:r>
      <w:r w:rsidR="00C1540B" w:rsidRPr="00904FCB">
        <w:rPr>
          <w:rFonts w:hint="cs"/>
          <w:sz w:val="27"/>
          <w:rtl/>
        </w:rPr>
        <w:t>ف</w:t>
      </w:r>
      <w:r w:rsidR="005B6CEC" w:rsidRPr="00904FCB">
        <w:rPr>
          <w:rFonts w:hint="cs"/>
          <w:sz w:val="27"/>
          <w:rtl/>
        </w:rPr>
        <w:t>لا ولاء عليه لأحد إن</w:t>
      </w:r>
      <w:r w:rsidRPr="00904FCB">
        <w:rPr>
          <w:rFonts w:hint="cs"/>
          <w:sz w:val="27"/>
          <w:rtl/>
        </w:rPr>
        <w:t>ْ</w:t>
      </w:r>
      <w:r w:rsidR="005B6CEC" w:rsidRPr="00904FCB">
        <w:rPr>
          <w:rFonts w:hint="cs"/>
          <w:sz w:val="27"/>
          <w:rtl/>
        </w:rPr>
        <w:t xml:space="preserve"> كره ذلك، ولا يرثه إلا</w:t>
      </w:r>
      <w:r w:rsidR="00C1540B" w:rsidRPr="00904FCB">
        <w:rPr>
          <w:rFonts w:hint="cs"/>
          <w:sz w:val="27"/>
          <w:rtl/>
        </w:rPr>
        <w:t>ّ</w:t>
      </w:r>
      <w:r w:rsidR="005B6CEC" w:rsidRPr="00904FCB">
        <w:rPr>
          <w:rFonts w:hint="cs"/>
          <w:sz w:val="27"/>
          <w:rtl/>
        </w:rPr>
        <w:t xml:space="preserve"> مَن</w:t>
      </w:r>
      <w:r w:rsidR="00C1540B" w:rsidRPr="00904FCB">
        <w:rPr>
          <w:rFonts w:hint="cs"/>
          <w:sz w:val="27"/>
          <w:rtl/>
        </w:rPr>
        <w:t>ْ</w:t>
      </w:r>
      <w:r w:rsidR="005B6CEC" w:rsidRPr="00904FCB">
        <w:rPr>
          <w:rFonts w:hint="cs"/>
          <w:sz w:val="27"/>
          <w:rtl/>
        </w:rPr>
        <w:t xml:space="preserve"> أحبّ أن يرثه، فإن</w:t>
      </w:r>
      <w:r w:rsidR="00C1540B" w:rsidRPr="00904FCB">
        <w:rPr>
          <w:rFonts w:hint="cs"/>
          <w:sz w:val="27"/>
          <w:rtl/>
        </w:rPr>
        <w:t>ْ</w:t>
      </w:r>
      <w:r w:rsidR="005B6CEC" w:rsidRPr="00904FCB">
        <w:rPr>
          <w:rFonts w:hint="cs"/>
          <w:sz w:val="27"/>
          <w:rtl/>
        </w:rPr>
        <w:t xml:space="preserve"> أحبّ أن يرثه وليّ نعمته أو</w:t>
      </w:r>
      <w:r w:rsidR="00C1540B" w:rsidRPr="00904FCB">
        <w:rPr>
          <w:rFonts w:hint="cs"/>
          <w:sz w:val="27"/>
          <w:rtl/>
        </w:rPr>
        <w:t xml:space="preserve"> غيره فليُشْهِدْ رج</w:t>
      </w:r>
      <w:r w:rsidR="005B6CEC" w:rsidRPr="00904FCB">
        <w:rPr>
          <w:rFonts w:hint="cs"/>
          <w:sz w:val="27"/>
          <w:rtl/>
        </w:rPr>
        <w:t>لين بضمان ما ينوبه لكلّ جريرة جرّ</w:t>
      </w:r>
      <w:r w:rsidR="00C1540B" w:rsidRPr="00904FCB">
        <w:rPr>
          <w:rFonts w:hint="cs"/>
          <w:sz w:val="27"/>
          <w:rtl/>
        </w:rPr>
        <w:t>َ</w:t>
      </w:r>
      <w:r w:rsidR="005B6CEC" w:rsidRPr="00904FCB">
        <w:rPr>
          <w:rFonts w:hint="cs"/>
          <w:sz w:val="27"/>
          <w:rtl/>
        </w:rPr>
        <w:t>ها أو ح</w:t>
      </w:r>
      <w:r w:rsidR="00C1540B" w:rsidRPr="00904FCB">
        <w:rPr>
          <w:rFonts w:hint="cs"/>
          <w:sz w:val="27"/>
          <w:rtl/>
        </w:rPr>
        <w:t>َ</w:t>
      </w:r>
      <w:r w:rsidR="005B6CEC" w:rsidRPr="00904FCB">
        <w:rPr>
          <w:rFonts w:hint="cs"/>
          <w:sz w:val="27"/>
          <w:rtl/>
        </w:rPr>
        <w:t>د</w:t>
      </w:r>
      <w:r w:rsidR="00C1540B" w:rsidRPr="00904FCB">
        <w:rPr>
          <w:rFonts w:hint="cs"/>
          <w:sz w:val="27"/>
          <w:rtl/>
        </w:rPr>
        <w:t>َ</w:t>
      </w:r>
      <w:r w:rsidR="005B6CEC" w:rsidRPr="00904FCB">
        <w:rPr>
          <w:rFonts w:hint="cs"/>
          <w:sz w:val="27"/>
          <w:rtl/>
        </w:rPr>
        <w:t>ث، فإن</w:t>
      </w:r>
      <w:r w:rsidR="00C1540B" w:rsidRPr="00904FCB">
        <w:rPr>
          <w:rFonts w:hint="cs"/>
          <w:sz w:val="27"/>
          <w:rtl/>
        </w:rPr>
        <w:t>ْ</w:t>
      </w:r>
      <w:r w:rsidR="005B6CEC" w:rsidRPr="00904FCB">
        <w:rPr>
          <w:rFonts w:hint="cs"/>
          <w:sz w:val="27"/>
          <w:rtl/>
        </w:rPr>
        <w:t xml:space="preserve"> لم يفعل السيّد ذلك</w:t>
      </w:r>
      <w:r w:rsidR="00C1540B" w:rsidRPr="00904FCB">
        <w:rPr>
          <w:rFonts w:hint="cs"/>
          <w:sz w:val="27"/>
          <w:rtl/>
        </w:rPr>
        <w:t>،</w:t>
      </w:r>
      <w:r w:rsidR="005B6CEC" w:rsidRPr="00904FCB">
        <w:rPr>
          <w:rFonts w:hint="cs"/>
          <w:sz w:val="27"/>
          <w:rtl/>
        </w:rPr>
        <w:t xml:space="preserve"> ولا يتوالى إلى أحد</w:t>
      </w:r>
      <w:r w:rsidR="00C1540B" w:rsidRPr="00904FCB">
        <w:rPr>
          <w:rFonts w:hint="cs"/>
          <w:sz w:val="27"/>
          <w:rtl/>
        </w:rPr>
        <w:t>ٍ،</w:t>
      </w:r>
      <w:r w:rsidR="005B6CEC" w:rsidRPr="00904FCB">
        <w:rPr>
          <w:rFonts w:hint="cs"/>
          <w:sz w:val="27"/>
          <w:rtl/>
        </w:rPr>
        <w:t xml:space="preserve"> فإنّ ميراثه يُر</w:t>
      </w:r>
      <w:r w:rsidR="00C1540B" w:rsidRPr="00904FCB">
        <w:rPr>
          <w:rFonts w:hint="cs"/>
          <w:sz w:val="27"/>
          <w:rtl/>
        </w:rPr>
        <w:t>َ</w:t>
      </w:r>
      <w:r w:rsidR="005B6CEC" w:rsidRPr="00904FCB">
        <w:rPr>
          <w:rFonts w:hint="cs"/>
          <w:sz w:val="27"/>
          <w:rtl/>
        </w:rPr>
        <w:t>دّ إلى إمام المسلمين</w:t>
      </w:r>
      <w:r w:rsidR="005B6CEC" w:rsidRPr="00904FCB">
        <w:rPr>
          <w:rFonts w:hint="eastAsia"/>
          <w:sz w:val="27"/>
          <w:rtl/>
        </w:rPr>
        <w:t>»</w:t>
      </w:r>
      <w:r w:rsidR="005B6CEC" w:rsidRPr="00904FCB">
        <w:rPr>
          <w:rFonts w:hint="cs"/>
          <w:sz w:val="27"/>
          <w:vertAlign w:val="superscript"/>
          <w:rtl/>
        </w:rPr>
        <w:t>(</w:t>
      </w:r>
      <w:r w:rsidR="005B6CEC" w:rsidRPr="00904FCB">
        <w:rPr>
          <w:rStyle w:val="ac"/>
          <w:sz w:val="27"/>
          <w:rtl/>
          <w:lang w:bidi="fa-IR"/>
        </w:rPr>
        <w:endnoteReference w:id="397"/>
      </w:r>
      <w:r w:rsidR="005B6CEC" w:rsidRPr="00904FCB">
        <w:rPr>
          <w:rFonts w:hint="cs"/>
          <w:sz w:val="27"/>
          <w:vertAlign w:val="superscript"/>
          <w:rtl/>
          <w:lang w:bidi="fa-IR"/>
        </w:rPr>
        <w:t>)</w:t>
      </w:r>
      <w:r w:rsidR="00C1540B" w:rsidRPr="000D1641">
        <w:rPr>
          <w:rFonts w:hint="cs"/>
          <w:sz w:val="27"/>
          <w:rtl/>
          <w:lang w:bidi="fa-IR"/>
        </w:rPr>
        <w:t>.</w:t>
      </w:r>
      <w:r w:rsidR="005B6CEC" w:rsidRPr="000D1641">
        <w:rPr>
          <w:rFonts w:hint="cs"/>
          <w:sz w:val="27"/>
          <w:rtl/>
          <w:lang w:bidi="fa-IR"/>
        </w:rPr>
        <w:t xml:space="preserve"> </w:t>
      </w:r>
      <w:r w:rsidR="00C1540B" w:rsidRPr="000D1641">
        <w:rPr>
          <w:rFonts w:hint="cs"/>
          <w:sz w:val="27"/>
          <w:rtl/>
        </w:rPr>
        <w:t>ومنها</w:t>
      </w:r>
      <w:r w:rsidR="00C1540B" w:rsidRPr="00904FCB">
        <w:rPr>
          <w:rFonts w:hint="cs"/>
          <w:sz w:val="27"/>
          <w:rtl/>
        </w:rPr>
        <w:t>:</w:t>
      </w:r>
    </w:p>
    <w:p w:rsidR="00C1540B" w:rsidRPr="00904FCB" w:rsidRDefault="00C1540B" w:rsidP="007A21AA">
      <w:pPr>
        <w:spacing w:line="400" w:lineRule="exact"/>
        <w:rPr>
          <w:sz w:val="27"/>
          <w:rtl/>
          <w:lang w:bidi="fa-IR"/>
        </w:rPr>
      </w:pPr>
      <w:r w:rsidRPr="00051230">
        <w:rPr>
          <w:rFonts w:hint="cs"/>
          <w:sz w:val="27"/>
          <w:rtl/>
        </w:rPr>
        <w:t>4ـ</w:t>
      </w:r>
      <w:r w:rsidRPr="00904FCB">
        <w:rPr>
          <w:rFonts w:hint="cs"/>
          <w:sz w:val="27"/>
          <w:rtl/>
        </w:rPr>
        <w:t xml:space="preserve"> </w:t>
      </w:r>
      <w:r w:rsidR="005B6CEC" w:rsidRPr="00904FCB">
        <w:rPr>
          <w:rFonts w:hint="cs"/>
          <w:sz w:val="27"/>
          <w:rtl/>
        </w:rPr>
        <w:t>صحيح سليمان بن خالد</w:t>
      </w:r>
      <w:r w:rsidRPr="00904FCB">
        <w:rPr>
          <w:rFonts w:hint="cs"/>
          <w:sz w:val="27"/>
          <w:rtl/>
        </w:rPr>
        <w:t>،</w:t>
      </w:r>
      <w:r w:rsidR="005B6CEC" w:rsidRPr="00904FCB">
        <w:rPr>
          <w:rFonts w:hint="cs"/>
          <w:sz w:val="27"/>
          <w:rtl/>
        </w:rPr>
        <w:t xml:space="preserve"> عن أبي عبد الله</w:t>
      </w:r>
      <w:r w:rsidR="001C1A2A" w:rsidRPr="00904FCB">
        <w:rPr>
          <w:rFonts w:cs="Mosawi" w:hint="cs"/>
          <w:sz w:val="27"/>
          <w:szCs w:val="22"/>
          <w:rtl/>
        </w:rPr>
        <w:t>×</w:t>
      </w:r>
      <w:r w:rsidR="005B6CEC" w:rsidRPr="00904FCB">
        <w:rPr>
          <w:rFonts w:ascii="Roumouz" w:hAnsi="Roumouz" w:hint="cs"/>
          <w:sz w:val="27"/>
          <w:rtl/>
          <w:lang w:bidi="ar-IQ"/>
        </w:rPr>
        <w:t xml:space="preserve">، </w:t>
      </w:r>
      <w:r w:rsidR="005B6CEC" w:rsidRPr="00904FCB">
        <w:rPr>
          <w:rFonts w:hint="cs"/>
          <w:sz w:val="27"/>
          <w:rtl/>
        </w:rPr>
        <w:t>قال: سألت</w:t>
      </w:r>
      <w:r w:rsidRPr="00904FCB">
        <w:rPr>
          <w:rFonts w:hint="cs"/>
          <w:sz w:val="27"/>
          <w:rtl/>
        </w:rPr>
        <w:t>ُ</w:t>
      </w:r>
      <w:r w:rsidR="005B6CEC" w:rsidRPr="00904FCB">
        <w:rPr>
          <w:rFonts w:hint="cs"/>
          <w:sz w:val="27"/>
          <w:rtl/>
        </w:rPr>
        <w:t>ه عن مملوك</w:t>
      </w:r>
      <w:r w:rsidRPr="00904FCB">
        <w:rPr>
          <w:rFonts w:hint="cs"/>
          <w:sz w:val="27"/>
          <w:rtl/>
        </w:rPr>
        <w:t>ٍ</w:t>
      </w:r>
      <w:r w:rsidR="005B6CEC" w:rsidRPr="00904FCB">
        <w:rPr>
          <w:rFonts w:hint="cs"/>
          <w:sz w:val="27"/>
          <w:rtl/>
        </w:rPr>
        <w:t xml:space="preserve"> </w:t>
      </w:r>
      <w:r w:rsidRPr="00904FCB">
        <w:rPr>
          <w:rFonts w:hint="cs"/>
          <w:sz w:val="27"/>
          <w:rtl/>
        </w:rPr>
        <w:t>أُ</w:t>
      </w:r>
      <w:r w:rsidR="005B6CEC" w:rsidRPr="00904FCB">
        <w:rPr>
          <w:rFonts w:hint="cs"/>
          <w:sz w:val="27"/>
          <w:rtl/>
        </w:rPr>
        <w:t>عتق سائبة</w:t>
      </w:r>
      <w:r w:rsidRPr="00904FCB">
        <w:rPr>
          <w:rFonts w:hint="cs"/>
          <w:sz w:val="27"/>
          <w:rtl/>
        </w:rPr>
        <w:t>؟</w:t>
      </w:r>
      <w:r w:rsidR="005B6CEC" w:rsidRPr="00904FCB">
        <w:rPr>
          <w:rFonts w:hint="cs"/>
          <w:sz w:val="27"/>
          <w:rtl/>
        </w:rPr>
        <w:t xml:space="preserve"> قال: </w:t>
      </w:r>
      <w:r w:rsidR="005B6CEC" w:rsidRPr="00904FCB">
        <w:rPr>
          <w:rFonts w:hint="eastAsia"/>
          <w:sz w:val="27"/>
          <w:rtl/>
        </w:rPr>
        <w:t>«</w:t>
      </w:r>
      <w:r w:rsidR="005B6CEC" w:rsidRPr="00904FCB">
        <w:rPr>
          <w:rFonts w:hint="cs"/>
          <w:sz w:val="27"/>
          <w:rtl/>
        </w:rPr>
        <w:t>يتولّى م</w:t>
      </w:r>
      <w:r w:rsidRPr="00904FCB">
        <w:rPr>
          <w:rFonts w:hint="cs"/>
          <w:sz w:val="27"/>
          <w:rtl/>
        </w:rPr>
        <w:t>َ</w:t>
      </w:r>
      <w:r w:rsidR="005B6CEC" w:rsidRPr="00904FCB">
        <w:rPr>
          <w:rFonts w:hint="cs"/>
          <w:sz w:val="27"/>
          <w:rtl/>
        </w:rPr>
        <w:t>ن</w:t>
      </w:r>
      <w:r w:rsidRPr="00904FCB">
        <w:rPr>
          <w:rFonts w:hint="cs"/>
          <w:sz w:val="27"/>
          <w:rtl/>
        </w:rPr>
        <w:t>ْ</w:t>
      </w:r>
      <w:r w:rsidR="005B6CEC" w:rsidRPr="00904FCB">
        <w:rPr>
          <w:rFonts w:hint="cs"/>
          <w:sz w:val="27"/>
          <w:rtl/>
        </w:rPr>
        <w:t xml:space="preserve"> شاء، وعلى مَن</w:t>
      </w:r>
      <w:r w:rsidRPr="00904FCB">
        <w:rPr>
          <w:rFonts w:hint="cs"/>
          <w:sz w:val="27"/>
          <w:rtl/>
        </w:rPr>
        <w:t>ْ</w:t>
      </w:r>
      <w:r w:rsidR="005B6CEC" w:rsidRPr="00904FCB">
        <w:rPr>
          <w:rFonts w:hint="cs"/>
          <w:sz w:val="27"/>
          <w:rtl/>
        </w:rPr>
        <w:t xml:space="preserve"> تولا</w:t>
      </w:r>
      <w:r w:rsidRPr="00904FCB">
        <w:rPr>
          <w:rFonts w:hint="cs"/>
          <w:sz w:val="27"/>
          <w:rtl/>
        </w:rPr>
        <w:t>ّ</w:t>
      </w:r>
      <w:r w:rsidR="005B6CEC" w:rsidRPr="00904FCB">
        <w:rPr>
          <w:rFonts w:hint="cs"/>
          <w:sz w:val="27"/>
          <w:rtl/>
        </w:rPr>
        <w:t>ه جريرته</w:t>
      </w:r>
      <w:r w:rsidRPr="00904FCB">
        <w:rPr>
          <w:rFonts w:hint="cs"/>
          <w:sz w:val="27"/>
          <w:rtl/>
        </w:rPr>
        <w:t>،</w:t>
      </w:r>
      <w:r w:rsidR="005B6CEC" w:rsidRPr="00904FCB">
        <w:rPr>
          <w:rFonts w:hint="cs"/>
          <w:sz w:val="27"/>
          <w:rtl/>
        </w:rPr>
        <w:t xml:space="preserve"> وله ميراثه</w:t>
      </w:r>
      <w:r w:rsidR="005B6CEC" w:rsidRPr="00904FCB">
        <w:rPr>
          <w:rFonts w:hint="eastAsia"/>
          <w:sz w:val="27"/>
          <w:rtl/>
        </w:rPr>
        <w:t>»</w:t>
      </w:r>
      <w:r w:rsidR="005B6CEC" w:rsidRPr="00904FCB">
        <w:rPr>
          <w:rFonts w:hint="cs"/>
          <w:sz w:val="27"/>
          <w:rtl/>
        </w:rPr>
        <w:t>. قلت</w:t>
      </w:r>
      <w:r w:rsidRPr="00904FCB">
        <w:rPr>
          <w:rFonts w:hint="cs"/>
          <w:sz w:val="27"/>
          <w:rtl/>
        </w:rPr>
        <w:t>ُ</w:t>
      </w:r>
      <w:r w:rsidR="005B6CEC" w:rsidRPr="00904FCB">
        <w:rPr>
          <w:rFonts w:hint="cs"/>
          <w:sz w:val="27"/>
          <w:rtl/>
        </w:rPr>
        <w:t>: فإن</w:t>
      </w:r>
      <w:r w:rsidRPr="00904FCB">
        <w:rPr>
          <w:rFonts w:hint="cs"/>
          <w:sz w:val="27"/>
          <w:rtl/>
        </w:rPr>
        <w:t>ْ</w:t>
      </w:r>
      <w:r w:rsidR="005B6CEC" w:rsidRPr="00904FCB">
        <w:rPr>
          <w:rFonts w:hint="cs"/>
          <w:sz w:val="27"/>
          <w:rtl/>
        </w:rPr>
        <w:t xml:space="preserve"> سكت حتّى يموت</w:t>
      </w:r>
      <w:r w:rsidRPr="00904FCB">
        <w:rPr>
          <w:rFonts w:hint="cs"/>
          <w:sz w:val="27"/>
          <w:rtl/>
        </w:rPr>
        <w:t>؟</w:t>
      </w:r>
      <w:r w:rsidR="005B6CEC" w:rsidRPr="00904FCB">
        <w:rPr>
          <w:rFonts w:hint="cs"/>
          <w:sz w:val="27"/>
          <w:rtl/>
        </w:rPr>
        <w:t xml:space="preserve"> قال: </w:t>
      </w:r>
      <w:r w:rsidR="005B6CEC" w:rsidRPr="00904FCB">
        <w:rPr>
          <w:rFonts w:hint="eastAsia"/>
          <w:sz w:val="27"/>
          <w:rtl/>
        </w:rPr>
        <w:t>«</w:t>
      </w:r>
      <w:r w:rsidR="005B6CEC" w:rsidRPr="00904FCB">
        <w:rPr>
          <w:rFonts w:hint="cs"/>
          <w:sz w:val="27"/>
          <w:rtl/>
        </w:rPr>
        <w:t>يُجعل ماله [= ميراثه] في بيت مال المسلمين</w:t>
      </w:r>
      <w:r w:rsidR="005B6CEC" w:rsidRPr="00904FCB">
        <w:rPr>
          <w:rFonts w:hint="eastAsia"/>
          <w:sz w:val="27"/>
          <w:rtl/>
        </w:rPr>
        <w:t>»</w:t>
      </w:r>
      <w:r w:rsidR="005B6CEC" w:rsidRPr="00904FCB">
        <w:rPr>
          <w:rFonts w:hint="cs"/>
          <w:sz w:val="27"/>
          <w:vertAlign w:val="superscript"/>
          <w:rtl/>
        </w:rPr>
        <w:t>(</w:t>
      </w:r>
      <w:r w:rsidR="005B6CEC" w:rsidRPr="00904FCB">
        <w:rPr>
          <w:rStyle w:val="ac"/>
          <w:sz w:val="27"/>
          <w:rtl/>
          <w:lang w:bidi="fa-IR"/>
        </w:rPr>
        <w:endnoteReference w:id="398"/>
      </w:r>
      <w:r w:rsidR="005B6CEC" w:rsidRPr="00904FCB">
        <w:rPr>
          <w:rFonts w:hint="cs"/>
          <w:sz w:val="27"/>
          <w:vertAlign w:val="superscript"/>
          <w:rtl/>
          <w:lang w:bidi="fa-IR"/>
        </w:rPr>
        <w:t>)</w:t>
      </w:r>
      <w:r w:rsidR="005B6CEC" w:rsidRPr="00904FCB">
        <w:rPr>
          <w:rFonts w:hint="cs"/>
          <w:sz w:val="27"/>
          <w:rtl/>
          <w:lang w:bidi="fa-IR"/>
        </w:rPr>
        <w:t>.</w:t>
      </w:r>
    </w:p>
    <w:p w:rsidR="005B6CEC" w:rsidRPr="00904FCB" w:rsidRDefault="00C1540B" w:rsidP="007A21AA">
      <w:pPr>
        <w:spacing w:line="400" w:lineRule="exact"/>
        <w:rPr>
          <w:sz w:val="27"/>
          <w:rtl/>
          <w:lang w:bidi="fa-IR"/>
        </w:rPr>
      </w:pPr>
      <w:r w:rsidRPr="00051230">
        <w:rPr>
          <w:rFonts w:hint="cs"/>
          <w:sz w:val="27"/>
          <w:rtl/>
        </w:rPr>
        <w:t>5ـ</w:t>
      </w:r>
      <w:r w:rsidRPr="00904FCB">
        <w:rPr>
          <w:rFonts w:hint="cs"/>
          <w:sz w:val="27"/>
          <w:rtl/>
        </w:rPr>
        <w:t xml:space="preserve"> </w:t>
      </w:r>
      <w:r w:rsidR="002D6638" w:rsidRPr="00904FCB">
        <w:rPr>
          <w:rFonts w:hint="cs"/>
          <w:sz w:val="27"/>
          <w:rtl/>
        </w:rPr>
        <w:t xml:space="preserve">ونحوه صحيحة أبي بصير، </w:t>
      </w:r>
      <w:r w:rsidR="005B6CEC" w:rsidRPr="00904FCB">
        <w:rPr>
          <w:rFonts w:hint="cs"/>
          <w:sz w:val="27"/>
          <w:rtl/>
        </w:rPr>
        <w:t>عن أبي عبد الله</w:t>
      </w:r>
      <w:r w:rsidR="001C1A2A" w:rsidRPr="00904FCB">
        <w:rPr>
          <w:rFonts w:cs="Mosawi" w:hint="cs"/>
          <w:sz w:val="27"/>
          <w:szCs w:val="22"/>
          <w:rtl/>
        </w:rPr>
        <w:t>×</w:t>
      </w:r>
      <w:r w:rsidR="005B6CEC" w:rsidRPr="00904FCB">
        <w:rPr>
          <w:rFonts w:ascii="Roumouz" w:hAnsi="Roumouz" w:hint="cs"/>
          <w:sz w:val="27"/>
          <w:vertAlign w:val="superscript"/>
          <w:rtl/>
          <w:lang w:bidi="ar-IQ"/>
        </w:rPr>
        <w:t>(</w:t>
      </w:r>
      <w:r w:rsidR="005B6CEC" w:rsidRPr="00904FCB">
        <w:rPr>
          <w:rStyle w:val="ac"/>
          <w:sz w:val="27"/>
          <w:rtl/>
          <w:lang w:bidi="fa-IR"/>
        </w:rPr>
        <w:endnoteReference w:id="399"/>
      </w:r>
      <w:r w:rsidR="005B6CEC" w:rsidRPr="00904FCB">
        <w:rPr>
          <w:rFonts w:hint="cs"/>
          <w:sz w:val="27"/>
          <w:vertAlign w:val="superscript"/>
          <w:rtl/>
          <w:lang w:bidi="fa-IR"/>
        </w:rPr>
        <w:t>)</w:t>
      </w:r>
      <w:r w:rsidR="005B6CEC" w:rsidRPr="00904FCB">
        <w:rPr>
          <w:rFonts w:hint="cs"/>
          <w:sz w:val="27"/>
          <w:rtl/>
          <w:lang w:bidi="fa-IR"/>
        </w:rPr>
        <w:t>.</w:t>
      </w:r>
      <w:r w:rsidR="005B6CEC" w:rsidRPr="00904FCB">
        <w:rPr>
          <w:rFonts w:hint="cs"/>
          <w:sz w:val="27"/>
          <w:vertAlign w:val="superscript"/>
          <w:rtl/>
          <w:lang w:bidi="fa-IR"/>
        </w:rPr>
        <w:t xml:space="preserve"> </w:t>
      </w:r>
    </w:p>
    <w:p w:rsidR="005B6CEC" w:rsidRPr="00904FCB" w:rsidRDefault="005B6CEC" w:rsidP="007A21AA">
      <w:pPr>
        <w:spacing w:line="400" w:lineRule="exact"/>
        <w:rPr>
          <w:sz w:val="27"/>
          <w:vertAlign w:val="superscript"/>
          <w:rtl/>
          <w:lang w:bidi="fa-IR"/>
        </w:rPr>
      </w:pPr>
      <w:r w:rsidRPr="00904FCB">
        <w:rPr>
          <w:rFonts w:hint="cs"/>
          <w:b/>
          <w:bCs/>
          <w:sz w:val="27"/>
          <w:rtl/>
        </w:rPr>
        <w:lastRenderedPageBreak/>
        <w:t>سادساً</w:t>
      </w:r>
      <w:r w:rsidRPr="00904FCB">
        <w:rPr>
          <w:rFonts w:hint="cs"/>
          <w:sz w:val="27"/>
          <w:rtl/>
        </w:rPr>
        <w:t>: لقد ربطت الروايات بين الميراث بالولاء وبين تحمّ</w:t>
      </w:r>
      <w:r w:rsidR="002D6638" w:rsidRPr="00904FCB">
        <w:rPr>
          <w:rFonts w:hint="cs"/>
          <w:sz w:val="27"/>
          <w:rtl/>
        </w:rPr>
        <w:t>ُل الجريرة، ومقتضى</w:t>
      </w:r>
      <w:r w:rsidRPr="00904FCB">
        <w:rPr>
          <w:rFonts w:hint="cs"/>
          <w:sz w:val="27"/>
          <w:rtl/>
        </w:rPr>
        <w:t xml:space="preserve"> ذلك أنّ هذا الولاء ليس امتيازاً مجّانياً قد </w:t>
      </w:r>
      <w:r w:rsidR="002D6638" w:rsidRPr="00904FCB">
        <w:rPr>
          <w:rFonts w:hint="cs"/>
          <w:sz w:val="27"/>
          <w:rtl/>
        </w:rPr>
        <w:t>أُ</w:t>
      </w:r>
      <w:r w:rsidRPr="00904FCB">
        <w:rPr>
          <w:rFonts w:hint="cs"/>
          <w:sz w:val="27"/>
          <w:rtl/>
        </w:rPr>
        <w:t>عطي للمُن</w:t>
      </w:r>
      <w:r w:rsidR="002D6638" w:rsidRPr="00904FCB">
        <w:rPr>
          <w:rFonts w:hint="cs"/>
          <w:sz w:val="27"/>
          <w:rtl/>
        </w:rPr>
        <w:t>ْ</w:t>
      </w:r>
      <w:r w:rsidRPr="00904FCB">
        <w:rPr>
          <w:rFonts w:hint="cs"/>
          <w:sz w:val="27"/>
          <w:rtl/>
        </w:rPr>
        <w:t xml:space="preserve">عِم في مقابل إحسانه، بل هو </w:t>
      </w:r>
      <w:r w:rsidR="002D6638" w:rsidRPr="00904FCB">
        <w:rPr>
          <w:rFonts w:hint="cs"/>
          <w:sz w:val="27"/>
          <w:rtl/>
        </w:rPr>
        <w:t>إ</w:t>
      </w:r>
      <w:r w:rsidRPr="00904FCB">
        <w:rPr>
          <w:rFonts w:hint="cs"/>
          <w:sz w:val="27"/>
          <w:rtl/>
        </w:rPr>
        <w:t>زاء تحمّله والتـزامه بضمان جريرة العتيق</w:t>
      </w:r>
      <w:r w:rsidR="002D6638" w:rsidRPr="00904FCB">
        <w:rPr>
          <w:rFonts w:hint="cs"/>
          <w:sz w:val="27"/>
          <w:rtl/>
        </w:rPr>
        <w:t>.</w:t>
      </w:r>
      <w:r w:rsidRPr="00904FCB">
        <w:rPr>
          <w:rFonts w:hint="cs"/>
          <w:sz w:val="27"/>
          <w:rtl/>
        </w:rPr>
        <w:t xml:space="preserve"> وهذا كاشف</w:t>
      </w:r>
      <w:r w:rsidR="002D6638" w:rsidRPr="00904FCB">
        <w:rPr>
          <w:rFonts w:hint="cs"/>
          <w:sz w:val="27"/>
          <w:rtl/>
        </w:rPr>
        <w:t>ٌ</w:t>
      </w:r>
      <w:r w:rsidRPr="00904FCB">
        <w:rPr>
          <w:rFonts w:hint="cs"/>
          <w:sz w:val="27"/>
          <w:rtl/>
        </w:rPr>
        <w:t xml:space="preserve"> عن أنّ ثمّة تعهّ</w:t>
      </w:r>
      <w:r w:rsidR="002D6638" w:rsidRPr="00904FCB">
        <w:rPr>
          <w:rFonts w:hint="cs"/>
          <w:sz w:val="27"/>
          <w:rtl/>
        </w:rPr>
        <w:t>ُ</w:t>
      </w:r>
      <w:r w:rsidRPr="00904FCB">
        <w:rPr>
          <w:rFonts w:hint="cs"/>
          <w:sz w:val="27"/>
          <w:rtl/>
        </w:rPr>
        <w:t>د وعقد، وليس إلا</w:t>
      </w:r>
      <w:r w:rsidR="002D6638" w:rsidRPr="00904FCB">
        <w:rPr>
          <w:rFonts w:hint="cs"/>
          <w:sz w:val="27"/>
          <w:rtl/>
        </w:rPr>
        <w:t>ّ</w:t>
      </w:r>
      <w:r w:rsidRPr="00904FCB">
        <w:rPr>
          <w:rFonts w:hint="cs"/>
          <w:sz w:val="27"/>
          <w:rtl/>
        </w:rPr>
        <w:t xml:space="preserve"> عقد ضمان الجريرة. لاح</w:t>
      </w:r>
      <w:r w:rsidR="002D6638" w:rsidRPr="00904FCB">
        <w:rPr>
          <w:rFonts w:hint="cs"/>
          <w:sz w:val="27"/>
          <w:rtl/>
        </w:rPr>
        <w:t>ِ</w:t>
      </w:r>
      <w:r w:rsidRPr="00904FCB">
        <w:rPr>
          <w:rFonts w:hint="cs"/>
          <w:sz w:val="27"/>
          <w:rtl/>
        </w:rPr>
        <w:t>ظ</w:t>
      </w:r>
      <w:r w:rsidR="002D6638" w:rsidRPr="00904FCB">
        <w:rPr>
          <w:rFonts w:hint="cs"/>
          <w:sz w:val="27"/>
          <w:rtl/>
        </w:rPr>
        <w:t>ْ صحيحة محم</w:t>
      </w:r>
      <w:r w:rsidRPr="00904FCB">
        <w:rPr>
          <w:rFonts w:hint="cs"/>
          <w:sz w:val="27"/>
          <w:rtl/>
        </w:rPr>
        <w:t xml:space="preserve">د بن مسلم: </w:t>
      </w:r>
      <w:r w:rsidRPr="00904FCB">
        <w:rPr>
          <w:rFonts w:hint="eastAsia"/>
          <w:sz w:val="27"/>
          <w:rtl/>
        </w:rPr>
        <w:t>«</w:t>
      </w:r>
      <w:r w:rsidRPr="00904FCB">
        <w:rPr>
          <w:rFonts w:hint="cs"/>
          <w:sz w:val="27"/>
          <w:rtl/>
        </w:rPr>
        <w:t>م</w:t>
      </w:r>
      <w:r w:rsidR="002D6638" w:rsidRPr="00904FCB">
        <w:rPr>
          <w:rFonts w:hint="cs"/>
          <w:sz w:val="27"/>
          <w:rtl/>
        </w:rPr>
        <w:t>َ</w:t>
      </w:r>
      <w:r w:rsidRPr="00904FCB">
        <w:rPr>
          <w:rFonts w:hint="cs"/>
          <w:sz w:val="27"/>
          <w:rtl/>
        </w:rPr>
        <w:t>ن</w:t>
      </w:r>
      <w:r w:rsidR="002D6638" w:rsidRPr="00904FCB">
        <w:rPr>
          <w:rFonts w:hint="cs"/>
          <w:sz w:val="27"/>
          <w:rtl/>
        </w:rPr>
        <w:t>ْ</w:t>
      </w:r>
      <w:r w:rsidRPr="00904FCB">
        <w:rPr>
          <w:rFonts w:hint="cs"/>
          <w:sz w:val="27"/>
          <w:rtl/>
        </w:rPr>
        <w:t xml:space="preserve"> مات وليس له وارث من [قِبل] قرابته [= قرابة]</w:t>
      </w:r>
      <w:r w:rsidR="002D6638" w:rsidRPr="00904FCB">
        <w:rPr>
          <w:rFonts w:hint="cs"/>
          <w:sz w:val="27"/>
          <w:rtl/>
        </w:rPr>
        <w:t>، ولا مولى</w:t>
      </w:r>
      <w:r w:rsidRPr="00904FCB">
        <w:rPr>
          <w:rFonts w:hint="cs"/>
          <w:sz w:val="27"/>
          <w:rtl/>
        </w:rPr>
        <w:t xml:space="preserve"> عتاقة قد ضمن جريرته</w:t>
      </w:r>
      <w:r w:rsidR="002D6638" w:rsidRPr="00904FCB">
        <w:rPr>
          <w:rFonts w:hint="cs"/>
          <w:sz w:val="27"/>
          <w:rtl/>
        </w:rPr>
        <w:t>،</w:t>
      </w:r>
      <w:r w:rsidRPr="00904FCB">
        <w:rPr>
          <w:rFonts w:hint="cs"/>
          <w:sz w:val="27"/>
          <w:rtl/>
        </w:rPr>
        <w:t xml:space="preserve"> فماله من الأنفال</w:t>
      </w:r>
      <w:r w:rsidRPr="00904FCB">
        <w:rPr>
          <w:rFonts w:hint="eastAsia"/>
          <w:sz w:val="27"/>
          <w:rtl/>
        </w:rPr>
        <w:t>»</w:t>
      </w:r>
      <w:r w:rsidRPr="00904FCB">
        <w:rPr>
          <w:rFonts w:hint="cs"/>
          <w:sz w:val="27"/>
          <w:vertAlign w:val="superscript"/>
          <w:rtl/>
        </w:rPr>
        <w:t>(</w:t>
      </w:r>
      <w:r w:rsidRPr="00904FCB">
        <w:rPr>
          <w:rStyle w:val="ac"/>
          <w:sz w:val="27"/>
          <w:rtl/>
          <w:lang w:bidi="fa-IR"/>
        </w:rPr>
        <w:endnoteReference w:id="400"/>
      </w:r>
      <w:r w:rsidRPr="00904FCB">
        <w:rPr>
          <w:rFonts w:hint="cs"/>
          <w:sz w:val="27"/>
          <w:vertAlign w:val="superscript"/>
          <w:rtl/>
          <w:lang w:bidi="fa-IR"/>
        </w:rPr>
        <w:t>)</w:t>
      </w:r>
      <w:r w:rsidR="002D6638" w:rsidRPr="00904FCB">
        <w:rPr>
          <w:rFonts w:hint="cs"/>
          <w:sz w:val="27"/>
          <w:rtl/>
          <w:lang w:bidi="fa-IR"/>
        </w:rPr>
        <w:t>؛</w:t>
      </w:r>
      <w:r w:rsidRPr="00904FCB">
        <w:rPr>
          <w:rFonts w:hint="cs"/>
          <w:sz w:val="27"/>
          <w:vertAlign w:val="superscript"/>
          <w:rtl/>
          <w:lang w:bidi="fa-IR"/>
        </w:rPr>
        <w:t xml:space="preserve"> </w:t>
      </w:r>
      <w:r w:rsidRPr="00904FCB">
        <w:rPr>
          <w:rFonts w:hint="cs"/>
          <w:sz w:val="27"/>
          <w:rtl/>
        </w:rPr>
        <w:t xml:space="preserve">وصحيحة عمر بن يزيد: </w:t>
      </w:r>
      <w:r w:rsidRPr="00904FCB">
        <w:rPr>
          <w:rFonts w:hint="eastAsia"/>
          <w:sz w:val="27"/>
          <w:rtl/>
        </w:rPr>
        <w:t>«</w:t>
      </w:r>
      <w:r w:rsidRPr="00904FCB">
        <w:rPr>
          <w:rFonts w:hint="cs"/>
          <w:sz w:val="27"/>
          <w:rtl/>
        </w:rPr>
        <w:t>فإذا ضمن جريرته وعقله كان مولاه</w:t>
      </w:r>
      <w:r w:rsidR="002D6638" w:rsidRPr="00904FCB">
        <w:rPr>
          <w:rFonts w:hint="cs"/>
          <w:sz w:val="27"/>
          <w:rtl/>
        </w:rPr>
        <w:t>،</w:t>
      </w:r>
      <w:r w:rsidRPr="00904FCB">
        <w:rPr>
          <w:rFonts w:hint="cs"/>
          <w:sz w:val="27"/>
          <w:rtl/>
        </w:rPr>
        <w:t xml:space="preserve"> وورثه</w:t>
      </w:r>
      <w:r w:rsidRPr="00904FCB">
        <w:rPr>
          <w:rFonts w:hint="eastAsia"/>
          <w:sz w:val="27"/>
          <w:rtl/>
        </w:rPr>
        <w:t>»</w:t>
      </w:r>
      <w:r w:rsidRPr="00904FCB">
        <w:rPr>
          <w:rFonts w:hint="cs"/>
          <w:sz w:val="27"/>
          <w:vertAlign w:val="superscript"/>
          <w:rtl/>
        </w:rPr>
        <w:t>(</w:t>
      </w:r>
      <w:r w:rsidRPr="00904FCB">
        <w:rPr>
          <w:rStyle w:val="ac"/>
          <w:sz w:val="27"/>
          <w:rtl/>
          <w:lang w:bidi="fa-IR"/>
        </w:rPr>
        <w:endnoteReference w:id="401"/>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p>
    <w:p w:rsidR="002D6638" w:rsidRPr="00904FCB" w:rsidRDefault="005B6CEC" w:rsidP="007A21AA">
      <w:pPr>
        <w:spacing w:line="400" w:lineRule="exact"/>
        <w:rPr>
          <w:sz w:val="27"/>
          <w:rtl/>
          <w:lang w:bidi="fa-IR"/>
        </w:rPr>
      </w:pPr>
      <w:r w:rsidRPr="00904FCB">
        <w:rPr>
          <w:rFonts w:hint="cs"/>
          <w:sz w:val="27"/>
          <w:rtl/>
        </w:rPr>
        <w:t>ومن هنا اشتُرط في ثبوت الولاء عدم تبرّ</w:t>
      </w:r>
      <w:r w:rsidR="002D6638" w:rsidRPr="00904FCB">
        <w:rPr>
          <w:rFonts w:hint="cs"/>
          <w:sz w:val="27"/>
          <w:rtl/>
        </w:rPr>
        <w:t>ُ</w:t>
      </w:r>
      <w:r w:rsidRPr="00904FCB">
        <w:rPr>
          <w:rFonts w:hint="cs"/>
          <w:sz w:val="27"/>
          <w:rtl/>
        </w:rPr>
        <w:t>ؤ المُع</w:t>
      </w:r>
      <w:r w:rsidR="002D6638" w:rsidRPr="00904FCB">
        <w:rPr>
          <w:rFonts w:hint="cs"/>
          <w:sz w:val="27"/>
          <w:rtl/>
        </w:rPr>
        <w:t>ْ</w:t>
      </w:r>
      <w:r w:rsidRPr="00904FCB">
        <w:rPr>
          <w:rFonts w:hint="cs"/>
          <w:sz w:val="27"/>
          <w:rtl/>
        </w:rPr>
        <w:t>تِق من جريرة العتيق، فلو تبرّأ من ضمان الجريرة لم يرث</w:t>
      </w:r>
      <w:r w:rsidR="002D6638" w:rsidRPr="00904FCB">
        <w:rPr>
          <w:rFonts w:hint="cs"/>
          <w:sz w:val="27"/>
          <w:rtl/>
        </w:rPr>
        <w:t>،</w:t>
      </w:r>
      <w:r w:rsidRPr="00904FCB">
        <w:rPr>
          <w:rFonts w:hint="cs"/>
          <w:sz w:val="27"/>
          <w:rtl/>
        </w:rPr>
        <w:t xml:space="preserve"> وإن</w:t>
      </w:r>
      <w:r w:rsidR="002D6638" w:rsidRPr="00904FCB">
        <w:rPr>
          <w:rFonts w:hint="cs"/>
          <w:sz w:val="27"/>
          <w:rtl/>
        </w:rPr>
        <w:t>ْ</w:t>
      </w:r>
      <w:r w:rsidRPr="00904FCB">
        <w:rPr>
          <w:rFonts w:hint="cs"/>
          <w:sz w:val="27"/>
          <w:rtl/>
        </w:rPr>
        <w:t xml:space="preserve"> لم يُصرّ</w:t>
      </w:r>
      <w:r w:rsidR="002D6638" w:rsidRPr="00904FCB">
        <w:rPr>
          <w:rFonts w:hint="cs"/>
          <w:sz w:val="27"/>
          <w:rtl/>
        </w:rPr>
        <w:t>ِ</w:t>
      </w:r>
      <w:r w:rsidRPr="00904FCB">
        <w:rPr>
          <w:rFonts w:hint="cs"/>
          <w:sz w:val="27"/>
          <w:rtl/>
        </w:rPr>
        <w:t>ح بالتبرّ</w:t>
      </w:r>
      <w:r w:rsidR="002D6638" w:rsidRPr="00904FCB">
        <w:rPr>
          <w:rFonts w:hint="cs"/>
          <w:sz w:val="27"/>
          <w:rtl/>
        </w:rPr>
        <w:t>ُ</w:t>
      </w:r>
      <w:r w:rsidRPr="00904FCB">
        <w:rPr>
          <w:rFonts w:hint="cs"/>
          <w:sz w:val="27"/>
          <w:rtl/>
        </w:rPr>
        <w:t>ؤ من الإرث</w:t>
      </w:r>
      <w:r w:rsidRPr="00904FCB">
        <w:rPr>
          <w:rFonts w:hint="cs"/>
          <w:sz w:val="27"/>
          <w:vertAlign w:val="superscript"/>
          <w:rtl/>
        </w:rPr>
        <w:t>(</w:t>
      </w:r>
      <w:r w:rsidRPr="00904FCB">
        <w:rPr>
          <w:rStyle w:val="ac"/>
          <w:sz w:val="27"/>
          <w:rtl/>
          <w:lang w:bidi="fa-IR"/>
        </w:rPr>
        <w:endnoteReference w:id="402"/>
      </w:r>
      <w:r w:rsidRPr="00904FCB">
        <w:rPr>
          <w:rFonts w:hint="cs"/>
          <w:sz w:val="27"/>
          <w:vertAlign w:val="superscript"/>
          <w:rtl/>
          <w:lang w:bidi="fa-IR"/>
        </w:rPr>
        <w:t>)</w:t>
      </w:r>
      <w:r w:rsidR="002D6638" w:rsidRPr="00904FCB">
        <w:rPr>
          <w:rFonts w:hint="cs"/>
          <w:sz w:val="27"/>
          <w:rtl/>
          <w:lang w:bidi="fa-IR"/>
        </w:rPr>
        <w:t>.</w:t>
      </w:r>
    </w:p>
    <w:p w:rsidR="002D6638" w:rsidRPr="00904FCB" w:rsidRDefault="005B6CEC" w:rsidP="007A21AA">
      <w:pPr>
        <w:spacing w:line="400" w:lineRule="exact"/>
        <w:rPr>
          <w:sz w:val="27"/>
          <w:rtl/>
          <w:lang w:bidi="fa-IR"/>
        </w:rPr>
      </w:pPr>
      <w:r w:rsidRPr="00904FCB">
        <w:rPr>
          <w:rFonts w:hint="cs"/>
          <w:sz w:val="27"/>
          <w:rtl/>
        </w:rPr>
        <w:t>ففي معتبر أبي الربيع</w:t>
      </w:r>
      <w:r w:rsidRPr="00904FCB">
        <w:rPr>
          <w:rFonts w:hint="cs"/>
          <w:sz w:val="27"/>
          <w:vertAlign w:val="superscript"/>
          <w:rtl/>
        </w:rPr>
        <w:t>(</w:t>
      </w:r>
      <w:r w:rsidRPr="00904FCB">
        <w:rPr>
          <w:sz w:val="27"/>
          <w:vertAlign w:val="superscript"/>
          <w:rtl/>
          <w:lang w:bidi="fa-IR"/>
        </w:rPr>
        <w:endnoteReference w:id="403"/>
      </w:r>
      <w:r w:rsidRPr="00904FCB">
        <w:rPr>
          <w:rFonts w:hint="cs"/>
          <w:sz w:val="27"/>
          <w:vertAlign w:val="superscript"/>
          <w:rtl/>
          <w:lang w:bidi="fa-IR"/>
        </w:rPr>
        <w:t>)</w:t>
      </w:r>
      <w:r w:rsidR="002D6638" w:rsidRPr="00904FCB">
        <w:rPr>
          <w:rFonts w:hint="cs"/>
          <w:sz w:val="27"/>
          <w:rtl/>
        </w:rPr>
        <w:t xml:space="preserve"> </w:t>
      </w:r>
      <w:r w:rsidRPr="00904FCB">
        <w:rPr>
          <w:rFonts w:hint="cs"/>
          <w:sz w:val="27"/>
          <w:rtl/>
        </w:rPr>
        <w:t>قال: سئل أبو عبد الله</w:t>
      </w:r>
      <w:r w:rsidR="001C1A2A" w:rsidRPr="00904FCB">
        <w:rPr>
          <w:rFonts w:cs="Mosawi" w:hint="cs"/>
          <w:sz w:val="27"/>
          <w:szCs w:val="22"/>
          <w:rtl/>
        </w:rPr>
        <w:t>×</w:t>
      </w:r>
      <w:r w:rsidRPr="00904FCB">
        <w:rPr>
          <w:rFonts w:hint="cs"/>
          <w:sz w:val="27"/>
          <w:rtl/>
        </w:rPr>
        <w:t xml:space="preserve"> عن السائبة</w:t>
      </w:r>
      <w:r w:rsidR="002D6638" w:rsidRPr="00904FCB">
        <w:rPr>
          <w:rFonts w:hint="cs"/>
          <w:sz w:val="27"/>
          <w:rtl/>
        </w:rPr>
        <w:t>؟</w:t>
      </w:r>
      <w:r w:rsidRPr="00904FCB">
        <w:rPr>
          <w:rFonts w:hint="cs"/>
          <w:sz w:val="27"/>
          <w:rtl/>
        </w:rPr>
        <w:t xml:space="preserve"> فقال: </w:t>
      </w:r>
      <w:r w:rsidRPr="00904FCB">
        <w:rPr>
          <w:rFonts w:hint="eastAsia"/>
          <w:sz w:val="27"/>
          <w:rtl/>
        </w:rPr>
        <w:t>«</w:t>
      </w:r>
      <w:r w:rsidRPr="00904FCB">
        <w:rPr>
          <w:rFonts w:hint="cs"/>
          <w:sz w:val="27"/>
          <w:rtl/>
        </w:rPr>
        <w:t>الرجل يعتق غلامه</w:t>
      </w:r>
      <w:r w:rsidR="002D6638" w:rsidRPr="00904FCB">
        <w:rPr>
          <w:rFonts w:hint="cs"/>
          <w:sz w:val="27"/>
          <w:rtl/>
        </w:rPr>
        <w:t>،</w:t>
      </w:r>
      <w:r w:rsidRPr="00904FCB">
        <w:rPr>
          <w:rFonts w:hint="cs"/>
          <w:sz w:val="27"/>
          <w:rtl/>
        </w:rPr>
        <w:t xml:space="preserve"> ويقول له: </w:t>
      </w:r>
      <w:r w:rsidR="002D6638" w:rsidRPr="00904FCB">
        <w:rPr>
          <w:rFonts w:hint="cs"/>
          <w:sz w:val="27"/>
          <w:rtl/>
        </w:rPr>
        <w:t>ا</w:t>
      </w:r>
      <w:r w:rsidRPr="00904FCB">
        <w:rPr>
          <w:rFonts w:hint="cs"/>
          <w:sz w:val="27"/>
          <w:rtl/>
        </w:rPr>
        <w:t>ذهب حيث شئت</w:t>
      </w:r>
      <w:r w:rsidR="002D6638" w:rsidRPr="00904FCB">
        <w:rPr>
          <w:rFonts w:hint="cs"/>
          <w:sz w:val="27"/>
          <w:rtl/>
        </w:rPr>
        <w:t>َ</w:t>
      </w:r>
      <w:r w:rsidRPr="00904FCB">
        <w:rPr>
          <w:rFonts w:hint="cs"/>
          <w:sz w:val="27"/>
          <w:rtl/>
        </w:rPr>
        <w:t xml:space="preserve"> ليس لي من ميراثك شيء، ولا عليّ</w:t>
      </w:r>
      <w:r w:rsidR="002D6638" w:rsidRPr="00904FCB">
        <w:rPr>
          <w:rFonts w:hint="cs"/>
          <w:sz w:val="27"/>
          <w:rtl/>
        </w:rPr>
        <w:t>َ</w:t>
      </w:r>
      <w:r w:rsidRPr="00904FCB">
        <w:rPr>
          <w:rFonts w:hint="cs"/>
          <w:sz w:val="27"/>
          <w:rtl/>
        </w:rPr>
        <w:t xml:space="preserve"> من جريرتك شيء، ويُش</w:t>
      </w:r>
      <w:r w:rsidR="002D6638" w:rsidRPr="00904FCB">
        <w:rPr>
          <w:rFonts w:hint="cs"/>
          <w:sz w:val="27"/>
          <w:rtl/>
        </w:rPr>
        <w:t>ْ</w:t>
      </w:r>
      <w:r w:rsidRPr="00904FCB">
        <w:rPr>
          <w:rFonts w:hint="cs"/>
          <w:sz w:val="27"/>
          <w:rtl/>
        </w:rPr>
        <w:t>هِد على ذلك شاهدَي</w:t>
      </w:r>
      <w:r w:rsidR="002D6638" w:rsidRPr="00904FCB">
        <w:rPr>
          <w:rFonts w:hint="cs"/>
          <w:sz w:val="27"/>
          <w:rtl/>
        </w:rPr>
        <w:t>ْ</w:t>
      </w:r>
      <w:r w:rsidRPr="00904FCB">
        <w:rPr>
          <w:rFonts w:hint="cs"/>
          <w:sz w:val="27"/>
          <w:rtl/>
        </w:rPr>
        <w:t>ن</w:t>
      </w:r>
      <w:r w:rsidRPr="00904FCB">
        <w:rPr>
          <w:rFonts w:hint="eastAsia"/>
          <w:sz w:val="27"/>
          <w:rtl/>
        </w:rPr>
        <w:t>»</w:t>
      </w:r>
      <w:r w:rsidRPr="00904FCB">
        <w:rPr>
          <w:rFonts w:hint="cs"/>
          <w:sz w:val="27"/>
          <w:vertAlign w:val="superscript"/>
          <w:rtl/>
        </w:rPr>
        <w:t>(</w:t>
      </w:r>
      <w:r w:rsidRPr="00904FCB">
        <w:rPr>
          <w:rStyle w:val="ac"/>
          <w:sz w:val="27"/>
          <w:rtl/>
          <w:lang w:bidi="fa-IR"/>
        </w:rPr>
        <w:endnoteReference w:id="404"/>
      </w:r>
      <w:r w:rsidRPr="00904FCB">
        <w:rPr>
          <w:rFonts w:hint="cs"/>
          <w:sz w:val="27"/>
          <w:vertAlign w:val="superscript"/>
          <w:rtl/>
          <w:lang w:bidi="fa-IR"/>
        </w:rPr>
        <w:t>)</w:t>
      </w:r>
      <w:r w:rsidR="002D6638" w:rsidRPr="00904FCB">
        <w:rPr>
          <w:rFonts w:hint="cs"/>
          <w:sz w:val="27"/>
          <w:rtl/>
          <w:lang w:bidi="fa-IR"/>
        </w:rPr>
        <w:t>.</w:t>
      </w:r>
    </w:p>
    <w:p w:rsidR="005B6CEC" w:rsidRPr="00904FCB" w:rsidRDefault="005B6CEC" w:rsidP="007A21AA">
      <w:pPr>
        <w:spacing w:line="400" w:lineRule="exact"/>
        <w:rPr>
          <w:sz w:val="27"/>
          <w:rtl/>
          <w:lang w:bidi="fa-IR"/>
        </w:rPr>
      </w:pPr>
      <w:r w:rsidRPr="00904FCB">
        <w:rPr>
          <w:rFonts w:hint="cs"/>
          <w:sz w:val="27"/>
          <w:rtl/>
        </w:rPr>
        <w:t>وفي صحيح عبد الله بن سنان قال: قال أبو عبد الله</w:t>
      </w:r>
      <w:r w:rsidR="001C1A2A" w:rsidRPr="00904FCB">
        <w:rPr>
          <w:rFonts w:cs="Mosawi" w:hint="cs"/>
          <w:sz w:val="27"/>
          <w:szCs w:val="22"/>
          <w:rtl/>
        </w:rPr>
        <w:t>×</w:t>
      </w:r>
      <w:r w:rsidRPr="00904FCB">
        <w:rPr>
          <w:rFonts w:hint="cs"/>
          <w:sz w:val="27"/>
          <w:rtl/>
        </w:rPr>
        <w:t xml:space="preserve">: </w:t>
      </w:r>
      <w:r w:rsidRPr="00904FCB">
        <w:rPr>
          <w:rFonts w:hint="eastAsia"/>
          <w:sz w:val="27"/>
          <w:rtl/>
        </w:rPr>
        <w:t>«</w:t>
      </w:r>
      <w:r w:rsidRPr="00904FCB">
        <w:rPr>
          <w:rFonts w:hint="cs"/>
          <w:sz w:val="27"/>
          <w:rtl/>
        </w:rPr>
        <w:t>مَن</w:t>
      </w:r>
      <w:r w:rsidR="002D6638" w:rsidRPr="00904FCB">
        <w:rPr>
          <w:rFonts w:hint="cs"/>
          <w:sz w:val="27"/>
          <w:rtl/>
        </w:rPr>
        <w:t>ْ</w:t>
      </w:r>
      <w:r w:rsidRPr="00904FCB">
        <w:rPr>
          <w:rFonts w:hint="cs"/>
          <w:sz w:val="27"/>
          <w:rtl/>
        </w:rPr>
        <w:t xml:space="preserve"> أعتق رجلاً سائبة فليس عليه من جريرته شيء، وليس له من الميراث شيء، وليُش</w:t>
      </w:r>
      <w:r w:rsidR="002D6638" w:rsidRPr="00904FCB">
        <w:rPr>
          <w:rFonts w:hint="cs"/>
          <w:sz w:val="27"/>
          <w:rtl/>
        </w:rPr>
        <w:t>ْ</w:t>
      </w:r>
      <w:r w:rsidRPr="00904FCB">
        <w:rPr>
          <w:rFonts w:hint="cs"/>
          <w:sz w:val="27"/>
          <w:rtl/>
        </w:rPr>
        <w:t>هِد</w:t>
      </w:r>
      <w:r w:rsidR="002D6638" w:rsidRPr="00904FCB">
        <w:rPr>
          <w:rFonts w:hint="cs"/>
          <w:sz w:val="27"/>
          <w:rtl/>
        </w:rPr>
        <w:t>ْ</w:t>
      </w:r>
      <w:r w:rsidRPr="00904FCB">
        <w:rPr>
          <w:rFonts w:hint="cs"/>
          <w:sz w:val="27"/>
          <w:rtl/>
        </w:rPr>
        <w:t xml:space="preserve"> على ذلك</w:t>
      </w:r>
      <w:r w:rsidRPr="00904FCB">
        <w:rPr>
          <w:rFonts w:hint="eastAsia"/>
          <w:sz w:val="27"/>
          <w:rtl/>
        </w:rPr>
        <w:t>»</w:t>
      </w:r>
      <w:r w:rsidRPr="00904FCB">
        <w:rPr>
          <w:rFonts w:hint="cs"/>
          <w:sz w:val="27"/>
          <w:rtl/>
        </w:rPr>
        <w:t xml:space="preserve">، وقال: </w:t>
      </w:r>
      <w:r w:rsidRPr="00904FCB">
        <w:rPr>
          <w:rFonts w:hint="eastAsia"/>
          <w:sz w:val="27"/>
          <w:rtl/>
        </w:rPr>
        <w:t>«</w:t>
      </w:r>
      <w:r w:rsidRPr="00904FCB">
        <w:rPr>
          <w:rFonts w:hint="cs"/>
          <w:sz w:val="27"/>
          <w:rtl/>
        </w:rPr>
        <w:t>مَن</w:t>
      </w:r>
      <w:r w:rsidR="002D6638" w:rsidRPr="00904FCB">
        <w:rPr>
          <w:rFonts w:hint="cs"/>
          <w:sz w:val="27"/>
          <w:rtl/>
        </w:rPr>
        <w:t>ْ</w:t>
      </w:r>
      <w:r w:rsidRPr="00904FCB">
        <w:rPr>
          <w:rFonts w:hint="cs"/>
          <w:sz w:val="27"/>
          <w:rtl/>
        </w:rPr>
        <w:t xml:space="preserve"> تولّى رجلاً ورضي به فجريرته عليه</w:t>
      </w:r>
      <w:r w:rsidR="002D6638" w:rsidRPr="00904FCB">
        <w:rPr>
          <w:rFonts w:hint="cs"/>
          <w:sz w:val="27"/>
          <w:rtl/>
        </w:rPr>
        <w:t>،</w:t>
      </w:r>
      <w:r w:rsidRPr="00904FCB">
        <w:rPr>
          <w:rFonts w:hint="cs"/>
          <w:sz w:val="27"/>
          <w:rtl/>
        </w:rPr>
        <w:t xml:space="preserve"> وميراثه له</w:t>
      </w:r>
      <w:r w:rsidRPr="00904FCB">
        <w:rPr>
          <w:rFonts w:hint="eastAsia"/>
          <w:sz w:val="27"/>
          <w:rtl/>
        </w:rPr>
        <w:t>»</w:t>
      </w:r>
      <w:r w:rsidRPr="00904FCB">
        <w:rPr>
          <w:rFonts w:hint="cs"/>
          <w:sz w:val="27"/>
          <w:vertAlign w:val="superscript"/>
          <w:rtl/>
        </w:rPr>
        <w:t>(</w:t>
      </w:r>
      <w:r w:rsidRPr="00904FCB">
        <w:rPr>
          <w:rStyle w:val="ac"/>
          <w:sz w:val="27"/>
          <w:rtl/>
          <w:lang w:bidi="fa-IR"/>
        </w:rPr>
        <w:endnoteReference w:id="405"/>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p>
    <w:p w:rsidR="005B6CEC" w:rsidRPr="00904FCB" w:rsidRDefault="005B6CEC" w:rsidP="007A21AA">
      <w:pPr>
        <w:spacing w:line="400" w:lineRule="exact"/>
        <w:rPr>
          <w:sz w:val="27"/>
          <w:rtl/>
        </w:rPr>
      </w:pPr>
      <w:r w:rsidRPr="00904FCB">
        <w:rPr>
          <w:rFonts w:hint="cs"/>
          <w:b/>
          <w:bCs/>
          <w:sz w:val="27"/>
          <w:rtl/>
        </w:rPr>
        <w:t>سابعاً</w:t>
      </w:r>
      <w:r w:rsidR="002D6638" w:rsidRPr="00904FCB">
        <w:rPr>
          <w:rFonts w:hint="cs"/>
          <w:sz w:val="27"/>
          <w:rtl/>
        </w:rPr>
        <w:t>: إنّه من الم</w:t>
      </w:r>
      <w:r w:rsidRPr="00904FCB">
        <w:rPr>
          <w:rFonts w:hint="cs"/>
          <w:sz w:val="27"/>
          <w:rtl/>
        </w:rPr>
        <w:t>ستبعد جدّاً أن يُحمّ</w:t>
      </w:r>
      <w:r w:rsidR="002D6638" w:rsidRPr="00904FCB">
        <w:rPr>
          <w:rFonts w:hint="cs"/>
          <w:sz w:val="27"/>
          <w:rtl/>
        </w:rPr>
        <w:t>ِ</w:t>
      </w:r>
      <w:r w:rsidRPr="00904FCB">
        <w:rPr>
          <w:rFonts w:hint="cs"/>
          <w:sz w:val="27"/>
          <w:rtl/>
        </w:rPr>
        <w:t>ل الشارع المُن</w:t>
      </w:r>
      <w:r w:rsidR="002D6638" w:rsidRPr="00904FCB">
        <w:rPr>
          <w:rFonts w:hint="cs"/>
          <w:sz w:val="27"/>
          <w:rtl/>
        </w:rPr>
        <w:t>ْعِم الم</w:t>
      </w:r>
      <w:r w:rsidRPr="00904FCB">
        <w:rPr>
          <w:rFonts w:hint="cs"/>
          <w:sz w:val="27"/>
          <w:rtl/>
        </w:rPr>
        <w:t>تبرّ</w:t>
      </w:r>
      <w:r w:rsidR="002D6638" w:rsidRPr="00904FCB">
        <w:rPr>
          <w:rFonts w:hint="cs"/>
          <w:sz w:val="27"/>
          <w:rtl/>
        </w:rPr>
        <w:t>ِ</w:t>
      </w:r>
      <w:r w:rsidRPr="00904FCB">
        <w:rPr>
          <w:rFonts w:hint="cs"/>
          <w:sz w:val="27"/>
          <w:rtl/>
        </w:rPr>
        <w:t>ع بالعتق تبعات إضافية ثقيلة، بل من المتوقّ</w:t>
      </w:r>
      <w:r w:rsidR="002D6638" w:rsidRPr="00904FCB">
        <w:rPr>
          <w:rFonts w:hint="cs"/>
          <w:sz w:val="27"/>
          <w:rtl/>
        </w:rPr>
        <w:t>َ</w:t>
      </w:r>
      <w:r w:rsidRPr="00904FCB">
        <w:rPr>
          <w:rFonts w:hint="cs"/>
          <w:sz w:val="27"/>
          <w:rtl/>
        </w:rPr>
        <w:t>ع أنّ الشارع يرغّبه</w:t>
      </w:r>
      <w:r w:rsidR="002D6638" w:rsidRPr="00904FCB">
        <w:rPr>
          <w:rFonts w:hint="cs"/>
          <w:sz w:val="27"/>
          <w:rtl/>
        </w:rPr>
        <w:t>،</w:t>
      </w:r>
      <w:r w:rsidRPr="00904FCB">
        <w:rPr>
          <w:rFonts w:hint="cs"/>
          <w:sz w:val="27"/>
          <w:rtl/>
        </w:rPr>
        <w:t xml:space="preserve"> لا أن يُلزمه ببعض الوظائف ال</w:t>
      </w:r>
      <w:r w:rsidR="002D6638" w:rsidRPr="00904FCB">
        <w:rPr>
          <w:rFonts w:hint="cs"/>
          <w:sz w:val="27"/>
          <w:rtl/>
        </w:rPr>
        <w:t>جديدة، ورب</w:t>
      </w:r>
      <w:r w:rsidRPr="00904FCB">
        <w:rPr>
          <w:rFonts w:hint="cs"/>
          <w:sz w:val="27"/>
          <w:rtl/>
        </w:rPr>
        <w:t>ما يكون الداعي للعتق هو التخلّ</w:t>
      </w:r>
      <w:r w:rsidR="002D6638" w:rsidRPr="00904FCB">
        <w:rPr>
          <w:rFonts w:hint="cs"/>
          <w:sz w:val="27"/>
          <w:rtl/>
        </w:rPr>
        <w:t>ُ</w:t>
      </w:r>
      <w:r w:rsidRPr="00904FCB">
        <w:rPr>
          <w:rFonts w:hint="cs"/>
          <w:sz w:val="27"/>
          <w:rtl/>
        </w:rPr>
        <w:t>ص من تبعات العتيق</w:t>
      </w:r>
      <w:r w:rsidR="002D6638" w:rsidRPr="00904FCB">
        <w:rPr>
          <w:rFonts w:hint="cs"/>
          <w:sz w:val="27"/>
          <w:rtl/>
        </w:rPr>
        <w:t>،</w:t>
      </w:r>
      <w:r w:rsidRPr="00904FCB">
        <w:rPr>
          <w:rFonts w:hint="cs"/>
          <w:sz w:val="27"/>
          <w:rtl/>
        </w:rPr>
        <w:t xml:space="preserve"> من مؤونة</w:t>
      </w:r>
      <w:r w:rsidR="002D6638" w:rsidRPr="00904FCB">
        <w:rPr>
          <w:rFonts w:hint="cs"/>
          <w:sz w:val="27"/>
          <w:rtl/>
        </w:rPr>
        <w:t>ٍ</w:t>
      </w:r>
      <w:r w:rsidRPr="00904FCB">
        <w:rPr>
          <w:rFonts w:hint="cs"/>
          <w:sz w:val="27"/>
          <w:rtl/>
        </w:rPr>
        <w:t xml:space="preserve"> ونفقة. </w:t>
      </w:r>
    </w:p>
    <w:p w:rsidR="005B6CEC" w:rsidRPr="00904FCB" w:rsidRDefault="005B6CEC" w:rsidP="007A21AA">
      <w:pPr>
        <w:spacing w:line="400" w:lineRule="exact"/>
        <w:rPr>
          <w:sz w:val="27"/>
          <w:rtl/>
        </w:rPr>
      </w:pPr>
      <w:r w:rsidRPr="00904FCB">
        <w:rPr>
          <w:rFonts w:hint="cs"/>
          <w:b/>
          <w:bCs/>
          <w:sz w:val="27"/>
          <w:rtl/>
        </w:rPr>
        <w:t>ثامناً</w:t>
      </w:r>
      <w:r w:rsidRPr="00904FCB">
        <w:rPr>
          <w:rFonts w:hint="cs"/>
          <w:sz w:val="27"/>
          <w:rtl/>
        </w:rPr>
        <w:t>: نظراً لكون العتيق منقطعاً به عادة فهو بحاجة إلى حماية</w:t>
      </w:r>
      <w:r w:rsidR="002D6638" w:rsidRPr="00904FCB">
        <w:rPr>
          <w:rFonts w:hint="cs"/>
          <w:sz w:val="27"/>
          <w:rtl/>
        </w:rPr>
        <w:t>ٍ</w:t>
      </w:r>
      <w:r w:rsidRPr="00904FCB">
        <w:rPr>
          <w:rFonts w:hint="cs"/>
          <w:sz w:val="27"/>
          <w:rtl/>
        </w:rPr>
        <w:t xml:space="preserve"> اجتماعية، فيُبرم عقد الولاء مع أعرف الناس وأرأفهم به، ألا وهو سيّ</w:t>
      </w:r>
      <w:r w:rsidR="002D6638" w:rsidRPr="00904FCB">
        <w:rPr>
          <w:rFonts w:hint="cs"/>
          <w:sz w:val="27"/>
          <w:rtl/>
        </w:rPr>
        <w:t>ِ</w:t>
      </w:r>
      <w:r w:rsidRPr="00904FCB">
        <w:rPr>
          <w:rFonts w:hint="cs"/>
          <w:sz w:val="27"/>
          <w:rtl/>
        </w:rPr>
        <w:t>ده</w:t>
      </w:r>
      <w:r w:rsidR="002D6638" w:rsidRPr="00904FCB">
        <w:rPr>
          <w:rFonts w:hint="cs"/>
          <w:sz w:val="27"/>
          <w:rtl/>
        </w:rPr>
        <w:t>.</w:t>
      </w:r>
      <w:r w:rsidRPr="00904FCB">
        <w:rPr>
          <w:rFonts w:hint="cs"/>
          <w:sz w:val="27"/>
          <w:rtl/>
        </w:rPr>
        <w:t xml:space="preserve"> فهذا العقد اقترن بحال العتق</w:t>
      </w:r>
      <w:r w:rsidR="002D6638" w:rsidRPr="00904FCB">
        <w:rPr>
          <w:rFonts w:hint="cs"/>
          <w:sz w:val="27"/>
          <w:rtl/>
        </w:rPr>
        <w:t>.</w:t>
      </w:r>
      <w:r w:rsidRPr="00904FCB">
        <w:rPr>
          <w:rFonts w:hint="cs"/>
          <w:sz w:val="27"/>
          <w:rtl/>
        </w:rPr>
        <w:t xml:space="preserve"> ولذا نر</w:t>
      </w:r>
      <w:r w:rsidRPr="00904FCB">
        <w:rPr>
          <w:rFonts w:ascii="Times New Roman" w:hAnsi="Times New Roman" w:cs="Times New Roman" w:hint="cs"/>
          <w:sz w:val="27"/>
          <w:rtl/>
        </w:rPr>
        <w:t>ی</w:t>
      </w:r>
      <w:r w:rsidRPr="00904FCB">
        <w:rPr>
          <w:rFonts w:hint="cs"/>
          <w:sz w:val="27"/>
          <w:rtl/>
        </w:rPr>
        <w:t xml:space="preserve"> اضمحلال هذا العقد وانقراضه مع انقراض ظاهرة الرقّ التي قضى عليها الإسلام. </w:t>
      </w:r>
    </w:p>
    <w:p w:rsidR="005B6CEC" w:rsidRPr="00904FCB" w:rsidRDefault="005B6CEC" w:rsidP="000D1641">
      <w:pPr>
        <w:spacing w:line="400" w:lineRule="exact"/>
        <w:rPr>
          <w:sz w:val="27"/>
          <w:rtl/>
        </w:rPr>
      </w:pPr>
      <w:r w:rsidRPr="00904FCB">
        <w:rPr>
          <w:rFonts w:hint="cs"/>
          <w:b/>
          <w:bCs/>
          <w:sz w:val="27"/>
          <w:rtl/>
        </w:rPr>
        <w:t>تاسعاً</w:t>
      </w:r>
      <w:r w:rsidR="002D6638" w:rsidRPr="00904FCB">
        <w:rPr>
          <w:rFonts w:hint="cs"/>
          <w:sz w:val="27"/>
          <w:rtl/>
        </w:rPr>
        <w:t>: وأمّا ما رواه السكوني، في الم</w:t>
      </w:r>
      <w:r w:rsidRPr="00904FCB">
        <w:rPr>
          <w:rFonts w:hint="cs"/>
          <w:sz w:val="27"/>
          <w:rtl/>
        </w:rPr>
        <w:t>عتبر</w:t>
      </w:r>
      <w:r w:rsidR="002D6638" w:rsidRPr="00904FCB">
        <w:rPr>
          <w:rFonts w:hint="cs"/>
          <w:sz w:val="27"/>
          <w:rtl/>
        </w:rPr>
        <w:t>،</w:t>
      </w:r>
      <w:r w:rsidRPr="00904FCB">
        <w:rPr>
          <w:rFonts w:hint="cs"/>
          <w:sz w:val="27"/>
          <w:rtl/>
        </w:rPr>
        <w:t xml:space="preserve"> عن جعفر</w:t>
      </w:r>
      <w:r w:rsidR="002D6638" w:rsidRPr="00904FCB">
        <w:rPr>
          <w:rFonts w:hint="cs"/>
          <w:sz w:val="27"/>
          <w:rtl/>
        </w:rPr>
        <w:t>، عن أبيه</w:t>
      </w:r>
      <w:r w:rsidR="000D1641" w:rsidRPr="00CB2F28">
        <w:rPr>
          <w:rFonts w:ascii="Mosawi" w:hAnsi="Mosawi" w:cs="Mosawi"/>
          <w:sz w:val="22"/>
          <w:szCs w:val="22"/>
          <w:rtl/>
        </w:rPr>
        <w:t>’</w:t>
      </w:r>
      <w:r w:rsidR="000D1641">
        <w:rPr>
          <w:rFonts w:ascii="Roumouz" w:hAnsi="Roumouz" w:hint="cs"/>
          <w:sz w:val="27"/>
          <w:rtl/>
          <w:lang w:bidi="ar-IQ"/>
        </w:rPr>
        <w:t>،</w:t>
      </w:r>
      <w:r w:rsidRPr="00904FCB">
        <w:rPr>
          <w:rFonts w:ascii="Roumouz" w:hAnsi="Roumouz" w:hint="cs"/>
          <w:sz w:val="27"/>
          <w:rtl/>
          <w:lang w:bidi="ar-IQ"/>
        </w:rPr>
        <w:t xml:space="preserve"> </w:t>
      </w:r>
      <w:r w:rsidRPr="00904FCB">
        <w:rPr>
          <w:rFonts w:hint="cs"/>
          <w:sz w:val="27"/>
          <w:rtl/>
        </w:rPr>
        <w:t xml:space="preserve">قال: </w:t>
      </w:r>
      <w:r w:rsidRPr="00904FCB">
        <w:rPr>
          <w:rFonts w:hint="eastAsia"/>
          <w:sz w:val="27"/>
          <w:rtl/>
        </w:rPr>
        <w:t>«</w:t>
      </w:r>
      <w:r w:rsidRPr="00904FCB">
        <w:rPr>
          <w:rFonts w:hint="cs"/>
          <w:sz w:val="27"/>
          <w:rtl/>
        </w:rPr>
        <w:t>قال النبي</w:t>
      </w:r>
      <w:r w:rsidR="002D6638" w:rsidRPr="00904FCB">
        <w:rPr>
          <w:rFonts w:hint="cs"/>
          <w:sz w:val="27"/>
          <w:rtl/>
        </w:rPr>
        <w:t>ّ</w:t>
      </w:r>
      <w:r w:rsidR="00635E51" w:rsidRPr="00904FCB">
        <w:rPr>
          <w:rFonts w:cs="Mosawi" w:hint="cs"/>
          <w:sz w:val="27"/>
          <w:szCs w:val="22"/>
          <w:rtl/>
        </w:rPr>
        <w:t>|</w:t>
      </w:r>
      <w:r w:rsidRPr="00904FCB">
        <w:rPr>
          <w:rFonts w:hint="cs"/>
          <w:sz w:val="27"/>
          <w:rtl/>
        </w:rPr>
        <w:t>: الوَلاء لحمة كلحمة</w:t>
      </w:r>
      <w:r w:rsidRPr="00904FCB">
        <w:rPr>
          <w:rFonts w:hint="cs"/>
          <w:sz w:val="27"/>
          <w:vertAlign w:val="superscript"/>
          <w:rtl/>
        </w:rPr>
        <w:t>(</w:t>
      </w:r>
      <w:r w:rsidRPr="00904FCB">
        <w:rPr>
          <w:rStyle w:val="ac"/>
          <w:sz w:val="27"/>
          <w:rtl/>
          <w:lang w:bidi="fa-IR"/>
        </w:rPr>
        <w:endnoteReference w:id="406"/>
      </w:r>
      <w:r w:rsidRPr="00904FCB">
        <w:rPr>
          <w:rFonts w:hint="cs"/>
          <w:sz w:val="27"/>
          <w:vertAlign w:val="superscript"/>
          <w:rtl/>
          <w:lang w:bidi="fa-IR"/>
        </w:rPr>
        <w:t xml:space="preserve">) </w:t>
      </w:r>
      <w:r w:rsidRPr="00904FCB">
        <w:rPr>
          <w:rFonts w:hint="cs"/>
          <w:sz w:val="27"/>
          <w:rtl/>
        </w:rPr>
        <w:t>النسب، لا تُباع ولا تُوهَب</w:t>
      </w:r>
      <w:r w:rsidRPr="00904FCB">
        <w:rPr>
          <w:rFonts w:hint="eastAsia"/>
          <w:sz w:val="27"/>
          <w:rtl/>
        </w:rPr>
        <w:t>»</w:t>
      </w:r>
      <w:r w:rsidRPr="00904FCB">
        <w:rPr>
          <w:rFonts w:hint="cs"/>
          <w:sz w:val="27"/>
          <w:vertAlign w:val="superscript"/>
          <w:rtl/>
        </w:rPr>
        <w:t>(</w:t>
      </w:r>
      <w:r w:rsidRPr="00904FCB">
        <w:rPr>
          <w:rStyle w:val="ac"/>
          <w:sz w:val="27"/>
          <w:rtl/>
          <w:lang w:bidi="fa-IR"/>
        </w:rPr>
        <w:endnoteReference w:id="407"/>
      </w:r>
      <w:r w:rsidRPr="00904FCB">
        <w:rPr>
          <w:rFonts w:hint="cs"/>
          <w:sz w:val="27"/>
          <w:vertAlign w:val="superscript"/>
          <w:rtl/>
          <w:lang w:bidi="fa-IR"/>
        </w:rPr>
        <w:t>)</w:t>
      </w:r>
      <w:r w:rsidR="002D6638" w:rsidRPr="00904FCB">
        <w:rPr>
          <w:rFonts w:hint="cs"/>
          <w:sz w:val="27"/>
          <w:rtl/>
        </w:rPr>
        <w:t>،</w:t>
      </w:r>
      <w:r w:rsidRPr="00904FCB">
        <w:rPr>
          <w:rFonts w:hint="cs"/>
          <w:sz w:val="27"/>
          <w:rtl/>
        </w:rPr>
        <w:t xml:space="preserve"> فهو لا يدلّ على المطلوب؛ وذلك: </w:t>
      </w:r>
    </w:p>
    <w:p w:rsidR="005B6CEC" w:rsidRPr="00904FCB" w:rsidRDefault="00EB54AA" w:rsidP="007A21AA">
      <w:pPr>
        <w:spacing w:line="400" w:lineRule="exact"/>
        <w:rPr>
          <w:sz w:val="27"/>
          <w:rtl/>
        </w:rPr>
      </w:pPr>
      <w:r w:rsidRPr="00051230">
        <w:rPr>
          <w:rFonts w:hint="cs"/>
          <w:sz w:val="27"/>
          <w:rtl/>
        </w:rPr>
        <w:t>1</w:t>
      </w:r>
      <w:r w:rsidR="005B6CEC" w:rsidRPr="00051230">
        <w:rPr>
          <w:rFonts w:hint="cs"/>
          <w:sz w:val="27"/>
          <w:rtl/>
        </w:rPr>
        <w:t>ـ</w:t>
      </w:r>
      <w:r w:rsidR="002D6638" w:rsidRPr="00904FCB">
        <w:rPr>
          <w:rFonts w:hint="cs"/>
          <w:sz w:val="27"/>
          <w:rtl/>
        </w:rPr>
        <w:t xml:space="preserve"> لا يُعلَم أنّ الم</w:t>
      </w:r>
      <w:r w:rsidR="005B6CEC" w:rsidRPr="00904FCB">
        <w:rPr>
          <w:rFonts w:hint="cs"/>
          <w:sz w:val="27"/>
          <w:rtl/>
        </w:rPr>
        <w:t xml:space="preserve">راد بالولاء ولاء العتق. </w:t>
      </w:r>
    </w:p>
    <w:p w:rsidR="005B6CEC" w:rsidRPr="00904FCB" w:rsidRDefault="00EB54AA" w:rsidP="007A21AA">
      <w:pPr>
        <w:spacing w:line="400" w:lineRule="exact"/>
        <w:rPr>
          <w:sz w:val="27"/>
          <w:rtl/>
        </w:rPr>
      </w:pPr>
      <w:r w:rsidRPr="00051230">
        <w:rPr>
          <w:rFonts w:hint="cs"/>
          <w:sz w:val="27"/>
          <w:rtl/>
        </w:rPr>
        <w:t>2</w:t>
      </w:r>
      <w:r w:rsidR="005B6CEC" w:rsidRPr="00051230">
        <w:rPr>
          <w:rFonts w:hint="cs"/>
          <w:sz w:val="27"/>
          <w:rtl/>
        </w:rPr>
        <w:t>ـ</w:t>
      </w:r>
      <w:r w:rsidR="005B6CEC" w:rsidRPr="00904FCB">
        <w:rPr>
          <w:rFonts w:hint="cs"/>
          <w:sz w:val="27"/>
          <w:rtl/>
        </w:rPr>
        <w:t xml:space="preserve"> إنّ (الولاء) معناه القرب الشديد، وبالعتق انفصمت العلاقة بين العبد وسيّده، </w:t>
      </w:r>
      <w:r w:rsidR="005B6CEC" w:rsidRPr="00904FCB">
        <w:rPr>
          <w:rFonts w:hint="cs"/>
          <w:sz w:val="27"/>
          <w:rtl/>
        </w:rPr>
        <w:lastRenderedPageBreak/>
        <w:t>فلا يُناسب إطلاق الولاء</w:t>
      </w:r>
      <w:r w:rsidR="002D6638" w:rsidRPr="00904FCB">
        <w:rPr>
          <w:rFonts w:hint="cs"/>
          <w:sz w:val="27"/>
          <w:rtl/>
        </w:rPr>
        <w:t>،</w:t>
      </w:r>
      <w:r w:rsidR="005B6CEC" w:rsidRPr="00904FCB">
        <w:rPr>
          <w:rFonts w:hint="cs"/>
          <w:sz w:val="27"/>
          <w:rtl/>
        </w:rPr>
        <w:t xml:space="preserve"> وأنّه لحمة كلحمة النسب</w:t>
      </w:r>
      <w:r w:rsidR="002D6638" w:rsidRPr="00904FCB">
        <w:rPr>
          <w:rFonts w:hint="cs"/>
          <w:sz w:val="27"/>
          <w:rtl/>
        </w:rPr>
        <w:t>،</w:t>
      </w:r>
      <w:r w:rsidR="005B6CEC" w:rsidRPr="00904FCB">
        <w:rPr>
          <w:rFonts w:hint="cs"/>
          <w:sz w:val="27"/>
          <w:rtl/>
        </w:rPr>
        <w:t xml:space="preserve"> على عملية تحرير العبد وفك</w:t>
      </w:r>
      <w:r w:rsidR="002D6638" w:rsidRPr="00904FCB">
        <w:rPr>
          <w:rFonts w:hint="cs"/>
          <w:sz w:val="27"/>
          <w:rtl/>
        </w:rPr>
        <w:t>ّ</w:t>
      </w:r>
      <w:r w:rsidR="005B6CEC" w:rsidRPr="00904FCB">
        <w:rPr>
          <w:rFonts w:hint="cs"/>
          <w:sz w:val="27"/>
          <w:rtl/>
        </w:rPr>
        <w:t>ه من قيد ملكي</w:t>
      </w:r>
      <w:r w:rsidR="002D6638" w:rsidRPr="00904FCB">
        <w:rPr>
          <w:rFonts w:hint="cs"/>
          <w:sz w:val="27"/>
          <w:rtl/>
        </w:rPr>
        <w:t>ّ</w:t>
      </w:r>
      <w:r w:rsidR="005B6CEC" w:rsidRPr="00904FCB">
        <w:rPr>
          <w:rFonts w:hint="cs"/>
          <w:sz w:val="27"/>
          <w:rtl/>
        </w:rPr>
        <w:t>ة سيّده والتفريق بينهما، فلا ب</w:t>
      </w:r>
      <w:r w:rsidR="002D6638" w:rsidRPr="00904FCB">
        <w:rPr>
          <w:rFonts w:hint="cs"/>
          <w:sz w:val="27"/>
          <w:rtl/>
        </w:rPr>
        <w:t>ُ</w:t>
      </w:r>
      <w:r w:rsidR="005B6CEC" w:rsidRPr="00904FCB">
        <w:rPr>
          <w:rFonts w:hint="cs"/>
          <w:sz w:val="27"/>
          <w:rtl/>
        </w:rPr>
        <w:t>دّ</w:t>
      </w:r>
      <w:r w:rsidR="002D6638" w:rsidRPr="00904FCB">
        <w:rPr>
          <w:rFonts w:hint="cs"/>
          <w:sz w:val="27"/>
          <w:rtl/>
        </w:rPr>
        <w:t>َ</w:t>
      </w:r>
      <w:r w:rsidR="005B6CEC" w:rsidRPr="00904FCB">
        <w:rPr>
          <w:rFonts w:hint="cs"/>
          <w:sz w:val="27"/>
          <w:rtl/>
        </w:rPr>
        <w:t xml:space="preserve"> من افتراض شدّ</w:t>
      </w:r>
      <w:r w:rsidR="002D6638" w:rsidRPr="00904FCB">
        <w:rPr>
          <w:rFonts w:hint="cs"/>
          <w:sz w:val="27"/>
          <w:rtl/>
        </w:rPr>
        <w:t>ٍ</w:t>
      </w:r>
      <w:r w:rsidR="005B6CEC" w:rsidRPr="00904FCB">
        <w:rPr>
          <w:rFonts w:hint="cs"/>
          <w:sz w:val="27"/>
          <w:rtl/>
        </w:rPr>
        <w:t xml:space="preserve"> وعقد وربط يُحقّ</w:t>
      </w:r>
      <w:r w:rsidR="002D6638" w:rsidRPr="00904FCB">
        <w:rPr>
          <w:rFonts w:hint="cs"/>
          <w:sz w:val="27"/>
          <w:rtl/>
        </w:rPr>
        <w:t>ِ</w:t>
      </w:r>
      <w:r w:rsidR="005B6CEC" w:rsidRPr="00904FCB">
        <w:rPr>
          <w:rFonts w:hint="cs"/>
          <w:sz w:val="27"/>
          <w:rtl/>
        </w:rPr>
        <w:t>ق هذا القرب وهذه اللحمة والجمع بينهما، ممّا يُصحّ</w:t>
      </w:r>
      <w:r w:rsidR="002D6638" w:rsidRPr="00904FCB">
        <w:rPr>
          <w:rFonts w:hint="cs"/>
          <w:sz w:val="27"/>
          <w:rtl/>
        </w:rPr>
        <w:t>ِ</w:t>
      </w:r>
      <w:r w:rsidR="005B6CEC" w:rsidRPr="00904FCB">
        <w:rPr>
          <w:rFonts w:hint="cs"/>
          <w:sz w:val="27"/>
          <w:rtl/>
        </w:rPr>
        <w:t xml:space="preserve">ح إطلاق الولاء، </w:t>
      </w:r>
      <w:r w:rsidR="002D6638" w:rsidRPr="00904FCB">
        <w:rPr>
          <w:rFonts w:hint="cs"/>
          <w:sz w:val="27"/>
          <w:rtl/>
        </w:rPr>
        <w:t>وليس هو سوى</w:t>
      </w:r>
      <w:r w:rsidR="005B6CEC" w:rsidRPr="00904FCB">
        <w:rPr>
          <w:rFonts w:hint="cs"/>
          <w:sz w:val="27"/>
          <w:rtl/>
        </w:rPr>
        <w:t xml:space="preserve"> افتراض عقد الولاء أو عقد الموالاة وضمان الجريرة بين المُن</w:t>
      </w:r>
      <w:r w:rsidR="002D6638" w:rsidRPr="00904FCB">
        <w:rPr>
          <w:rFonts w:hint="cs"/>
          <w:sz w:val="27"/>
          <w:rtl/>
        </w:rPr>
        <w:t>ْ</w:t>
      </w:r>
      <w:r w:rsidR="005B6CEC" w:rsidRPr="00904FCB">
        <w:rPr>
          <w:rFonts w:hint="cs"/>
          <w:sz w:val="27"/>
          <w:rtl/>
        </w:rPr>
        <w:t xml:space="preserve">عِم وعتيقه بعد التحرير. </w:t>
      </w:r>
    </w:p>
    <w:p w:rsidR="005B6CEC" w:rsidRPr="00904FCB" w:rsidRDefault="00EB54AA" w:rsidP="007A21AA">
      <w:pPr>
        <w:spacing w:line="400" w:lineRule="exact"/>
        <w:rPr>
          <w:sz w:val="27"/>
          <w:rtl/>
        </w:rPr>
      </w:pPr>
      <w:r w:rsidRPr="00051230">
        <w:rPr>
          <w:rFonts w:hint="cs"/>
          <w:sz w:val="27"/>
          <w:rtl/>
        </w:rPr>
        <w:t>3</w:t>
      </w:r>
      <w:r w:rsidR="002D6638" w:rsidRPr="00051230">
        <w:rPr>
          <w:rFonts w:hint="cs"/>
          <w:sz w:val="27"/>
          <w:rtl/>
        </w:rPr>
        <w:t>ـ</w:t>
      </w:r>
      <w:r w:rsidR="002D6638" w:rsidRPr="00904FCB">
        <w:rPr>
          <w:rFonts w:hint="cs"/>
          <w:sz w:val="27"/>
          <w:rtl/>
        </w:rPr>
        <w:t xml:space="preserve"> عدم القبول بكون الم</w:t>
      </w:r>
      <w:r w:rsidR="005B6CEC" w:rsidRPr="00904FCB">
        <w:rPr>
          <w:rFonts w:hint="cs"/>
          <w:sz w:val="27"/>
          <w:rtl/>
        </w:rPr>
        <w:t>راد من تشبيه الولاء بالنسب التشبيه من ناحية التوريث بالمرّة، وإنّما الغرض التشبيه من ناحية الثبات</w:t>
      </w:r>
      <w:r w:rsidR="002D6638" w:rsidRPr="00904FCB">
        <w:rPr>
          <w:rFonts w:hint="cs"/>
          <w:sz w:val="27"/>
          <w:rtl/>
        </w:rPr>
        <w:t>،</w:t>
      </w:r>
      <w:r w:rsidR="005B6CEC" w:rsidRPr="00904FCB">
        <w:rPr>
          <w:rFonts w:hint="cs"/>
          <w:sz w:val="27"/>
          <w:rtl/>
        </w:rPr>
        <w:t xml:space="preserve"> وعدم إمكان نقله ببيع</w:t>
      </w:r>
      <w:r w:rsidR="002D6638" w:rsidRPr="00904FCB">
        <w:rPr>
          <w:rFonts w:hint="cs"/>
          <w:sz w:val="27"/>
          <w:rtl/>
        </w:rPr>
        <w:t>ٍ</w:t>
      </w:r>
      <w:r w:rsidR="005B6CEC" w:rsidRPr="00904FCB">
        <w:rPr>
          <w:rFonts w:hint="cs"/>
          <w:sz w:val="27"/>
          <w:rtl/>
        </w:rPr>
        <w:t xml:space="preserve"> أو هبة</w:t>
      </w:r>
      <w:r w:rsidR="002D6638" w:rsidRPr="00904FCB">
        <w:rPr>
          <w:rFonts w:hint="cs"/>
          <w:sz w:val="27"/>
          <w:rtl/>
        </w:rPr>
        <w:t>؛</w:t>
      </w:r>
      <w:r w:rsidR="005B6CEC" w:rsidRPr="00904FCB">
        <w:rPr>
          <w:rFonts w:hint="cs"/>
          <w:sz w:val="27"/>
          <w:rtl/>
        </w:rPr>
        <w:t xml:space="preserve"> والقرينة على هذا التفسير مُصرَّح بها في ذيل الحديث</w:t>
      </w:r>
      <w:r w:rsidR="005B6CEC" w:rsidRPr="00904FCB">
        <w:rPr>
          <w:rFonts w:hint="cs"/>
          <w:sz w:val="27"/>
          <w:vertAlign w:val="superscript"/>
          <w:rtl/>
        </w:rPr>
        <w:t>(</w:t>
      </w:r>
      <w:r w:rsidR="005B6CEC" w:rsidRPr="00904FCB">
        <w:rPr>
          <w:rStyle w:val="ac"/>
          <w:sz w:val="27"/>
          <w:rtl/>
          <w:lang w:bidi="fa-IR"/>
        </w:rPr>
        <w:endnoteReference w:id="408"/>
      </w:r>
      <w:r w:rsidR="005B6CEC" w:rsidRPr="00904FCB">
        <w:rPr>
          <w:rFonts w:hint="cs"/>
          <w:sz w:val="27"/>
          <w:vertAlign w:val="superscript"/>
          <w:rtl/>
          <w:lang w:bidi="fa-IR"/>
        </w:rPr>
        <w:t>)</w:t>
      </w:r>
      <w:r w:rsidR="002D6638" w:rsidRPr="00904FCB">
        <w:rPr>
          <w:rFonts w:hint="cs"/>
          <w:sz w:val="27"/>
          <w:rtl/>
          <w:lang w:bidi="fa-IR"/>
        </w:rPr>
        <w:t>.</w:t>
      </w:r>
      <w:r w:rsidR="005B6CEC" w:rsidRPr="00904FCB">
        <w:rPr>
          <w:rFonts w:hint="cs"/>
          <w:sz w:val="27"/>
          <w:vertAlign w:val="superscript"/>
          <w:rtl/>
          <w:lang w:bidi="fa-IR"/>
        </w:rPr>
        <w:t xml:space="preserve"> </w:t>
      </w:r>
      <w:r w:rsidR="005B6CEC" w:rsidRPr="00904FCB">
        <w:rPr>
          <w:rFonts w:hint="cs"/>
          <w:sz w:val="27"/>
          <w:rtl/>
        </w:rPr>
        <w:t xml:space="preserve">وبناءً عليه سوف لا ينفع حديث اللحمة في الاستدلال في المقام. </w:t>
      </w:r>
    </w:p>
    <w:p w:rsidR="005B6CEC" w:rsidRPr="00904FCB" w:rsidRDefault="00EB54AA" w:rsidP="007A21AA">
      <w:pPr>
        <w:spacing w:line="400" w:lineRule="exact"/>
        <w:rPr>
          <w:sz w:val="27"/>
          <w:rtl/>
        </w:rPr>
      </w:pPr>
      <w:r w:rsidRPr="00904FCB">
        <w:rPr>
          <w:rFonts w:hint="cs"/>
          <w:sz w:val="27"/>
          <w:rtl/>
        </w:rPr>
        <w:t xml:space="preserve">فمن الغريب </w:t>
      </w:r>
      <w:r w:rsidR="002D6638" w:rsidRPr="00904FCB">
        <w:rPr>
          <w:rFonts w:hint="cs"/>
          <w:sz w:val="27"/>
          <w:rtl/>
        </w:rPr>
        <w:t xml:space="preserve">أن </w:t>
      </w:r>
      <w:r w:rsidRPr="00904FCB">
        <w:rPr>
          <w:rFonts w:hint="cs"/>
          <w:sz w:val="27"/>
          <w:rtl/>
        </w:rPr>
        <w:t>نرى</w:t>
      </w:r>
      <w:r w:rsidR="002D6638" w:rsidRPr="00904FCB">
        <w:rPr>
          <w:rFonts w:hint="cs"/>
          <w:sz w:val="27"/>
          <w:rtl/>
        </w:rPr>
        <w:t xml:space="preserve"> الم</w:t>
      </w:r>
      <w:r w:rsidR="005B6CEC" w:rsidRPr="00904FCB">
        <w:rPr>
          <w:rFonts w:hint="cs"/>
          <w:sz w:val="27"/>
          <w:rtl/>
        </w:rPr>
        <w:t>حقّ</w:t>
      </w:r>
      <w:r w:rsidR="002D6638" w:rsidRPr="00904FCB">
        <w:rPr>
          <w:rFonts w:hint="cs"/>
          <w:sz w:val="27"/>
          <w:rtl/>
        </w:rPr>
        <w:t>ِ</w:t>
      </w:r>
      <w:r w:rsidR="005B6CEC" w:rsidRPr="00904FCB">
        <w:rPr>
          <w:rFonts w:hint="cs"/>
          <w:sz w:val="27"/>
          <w:rtl/>
        </w:rPr>
        <w:t xml:space="preserve">ق النجفي </w:t>
      </w:r>
      <w:r w:rsidR="002D6638" w:rsidRPr="00904FCB">
        <w:rPr>
          <w:rFonts w:hint="cs"/>
          <w:sz w:val="27"/>
          <w:rtl/>
        </w:rPr>
        <w:t xml:space="preserve">ـ </w:t>
      </w:r>
      <w:r w:rsidR="005B6CEC" w:rsidRPr="00904FCB">
        <w:rPr>
          <w:rFonts w:hint="cs"/>
          <w:sz w:val="27"/>
          <w:rtl/>
        </w:rPr>
        <w:t>بعد أن مال إلى هذا التفسير في موضع</w:t>
      </w:r>
      <w:r w:rsidR="002D6638" w:rsidRPr="00904FCB">
        <w:rPr>
          <w:rFonts w:hint="cs"/>
          <w:sz w:val="27"/>
          <w:rtl/>
        </w:rPr>
        <w:t>ٍ</w:t>
      </w:r>
      <w:r w:rsidR="005B6CEC" w:rsidRPr="00904FCB">
        <w:rPr>
          <w:rFonts w:hint="cs"/>
          <w:sz w:val="27"/>
          <w:rtl/>
        </w:rPr>
        <w:t xml:space="preserve"> </w:t>
      </w:r>
      <w:r w:rsidR="002D6638" w:rsidRPr="00904FCB">
        <w:rPr>
          <w:rFonts w:hint="cs"/>
          <w:sz w:val="27"/>
          <w:rtl/>
        </w:rPr>
        <w:t xml:space="preserve">ـ قد </w:t>
      </w:r>
      <w:r w:rsidR="005B6CEC" w:rsidRPr="00904FCB">
        <w:rPr>
          <w:rFonts w:hint="cs"/>
          <w:sz w:val="27"/>
          <w:rtl/>
        </w:rPr>
        <w:t>عاد إلى الإذعان بدلالته على إثبات الإرث</w:t>
      </w:r>
      <w:r w:rsidR="002D6638" w:rsidRPr="00904FCB">
        <w:rPr>
          <w:rFonts w:hint="cs"/>
          <w:sz w:val="27"/>
          <w:rtl/>
        </w:rPr>
        <w:t>،</w:t>
      </w:r>
      <w:r w:rsidR="005B6CEC" w:rsidRPr="00904FCB">
        <w:rPr>
          <w:rFonts w:hint="cs"/>
          <w:sz w:val="27"/>
          <w:rtl/>
        </w:rPr>
        <w:t xml:space="preserve"> لكن</w:t>
      </w:r>
      <w:r w:rsidR="002D6638" w:rsidRPr="00904FCB">
        <w:rPr>
          <w:rFonts w:hint="cs"/>
          <w:sz w:val="27"/>
          <w:rtl/>
        </w:rPr>
        <w:t>ْ</w:t>
      </w:r>
      <w:r w:rsidR="005B6CEC" w:rsidRPr="00904FCB">
        <w:rPr>
          <w:rFonts w:hint="cs"/>
          <w:sz w:val="27"/>
          <w:rtl/>
        </w:rPr>
        <w:t xml:space="preserve"> من طرف المُن</w:t>
      </w:r>
      <w:r w:rsidR="002D6638" w:rsidRPr="00904FCB">
        <w:rPr>
          <w:rFonts w:hint="cs"/>
          <w:sz w:val="27"/>
          <w:rtl/>
        </w:rPr>
        <w:t>ْ</w:t>
      </w:r>
      <w:r w:rsidR="005B6CEC" w:rsidRPr="00904FCB">
        <w:rPr>
          <w:rFonts w:hint="cs"/>
          <w:sz w:val="27"/>
          <w:rtl/>
        </w:rPr>
        <w:t>عِم</w:t>
      </w:r>
      <w:r w:rsidR="005B6CEC" w:rsidRPr="00904FCB">
        <w:rPr>
          <w:rFonts w:hint="cs"/>
          <w:sz w:val="27"/>
          <w:vertAlign w:val="superscript"/>
          <w:rtl/>
        </w:rPr>
        <w:t>(</w:t>
      </w:r>
      <w:r w:rsidR="005B6CEC" w:rsidRPr="00904FCB">
        <w:rPr>
          <w:rStyle w:val="ac"/>
          <w:sz w:val="27"/>
          <w:rtl/>
          <w:lang w:bidi="fa-IR"/>
        </w:rPr>
        <w:endnoteReference w:id="409"/>
      </w:r>
      <w:r w:rsidR="005B6CEC" w:rsidRPr="00904FCB">
        <w:rPr>
          <w:rFonts w:hint="cs"/>
          <w:sz w:val="27"/>
          <w:vertAlign w:val="superscript"/>
          <w:rtl/>
          <w:lang w:bidi="fa-IR"/>
        </w:rPr>
        <w:t>)</w:t>
      </w:r>
      <w:r w:rsidR="005B6CEC" w:rsidRPr="00904FCB">
        <w:rPr>
          <w:rFonts w:hint="cs"/>
          <w:sz w:val="27"/>
          <w:rtl/>
          <w:lang w:bidi="fa-IR"/>
        </w:rPr>
        <w:t>.</w:t>
      </w:r>
      <w:r w:rsidR="005B6CEC" w:rsidRPr="00904FCB">
        <w:rPr>
          <w:rFonts w:hint="cs"/>
          <w:sz w:val="27"/>
          <w:vertAlign w:val="superscript"/>
          <w:rtl/>
          <w:lang w:bidi="fa-IR"/>
        </w:rPr>
        <w:t xml:space="preserve"> </w:t>
      </w:r>
    </w:p>
    <w:p w:rsidR="00EC5945" w:rsidRPr="00904FCB" w:rsidRDefault="005B6CEC" w:rsidP="007A21AA">
      <w:pPr>
        <w:spacing w:line="400" w:lineRule="exact"/>
        <w:rPr>
          <w:sz w:val="27"/>
          <w:rtl/>
        </w:rPr>
      </w:pPr>
      <w:r w:rsidRPr="00904FCB">
        <w:rPr>
          <w:rFonts w:hint="cs"/>
          <w:b/>
          <w:bCs/>
          <w:sz w:val="27"/>
          <w:rtl/>
        </w:rPr>
        <w:t>عاشراً</w:t>
      </w:r>
      <w:r w:rsidRPr="00904FCB">
        <w:rPr>
          <w:rFonts w:hint="cs"/>
          <w:sz w:val="27"/>
          <w:rtl/>
        </w:rPr>
        <w:t>: وأمّا ما استفاض</w:t>
      </w:r>
      <w:r w:rsidR="002D6638" w:rsidRPr="00904FCB">
        <w:rPr>
          <w:rFonts w:hint="cs"/>
          <w:sz w:val="27"/>
          <w:rtl/>
        </w:rPr>
        <w:t>ت</w:t>
      </w:r>
      <w:r w:rsidRPr="00904FCB">
        <w:rPr>
          <w:rFonts w:hint="cs"/>
          <w:sz w:val="27"/>
          <w:rtl/>
        </w:rPr>
        <w:t xml:space="preserve"> روايته عن النبي</w:t>
      </w:r>
      <w:r w:rsidR="002D6638" w:rsidRPr="00904FCB">
        <w:rPr>
          <w:rFonts w:hint="cs"/>
          <w:sz w:val="27"/>
          <w:rtl/>
        </w:rPr>
        <w:t>ّ</w:t>
      </w:r>
      <w:r w:rsidR="00635E51" w:rsidRPr="00904FCB">
        <w:rPr>
          <w:rFonts w:cs="Mosawi" w:hint="cs"/>
          <w:sz w:val="27"/>
          <w:szCs w:val="22"/>
          <w:rtl/>
        </w:rPr>
        <w:t>|</w:t>
      </w:r>
      <w:r w:rsidRPr="00904FCB">
        <w:rPr>
          <w:rFonts w:hint="cs"/>
          <w:sz w:val="27"/>
          <w:rtl/>
        </w:rPr>
        <w:t xml:space="preserve"> من قوله: </w:t>
      </w:r>
      <w:r w:rsidRPr="00904FCB">
        <w:rPr>
          <w:rFonts w:hint="eastAsia"/>
          <w:sz w:val="27"/>
          <w:rtl/>
        </w:rPr>
        <w:t>«</w:t>
      </w:r>
      <w:r w:rsidRPr="00904FCB">
        <w:rPr>
          <w:rFonts w:hint="cs"/>
          <w:sz w:val="27"/>
          <w:rtl/>
        </w:rPr>
        <w:t>الولاء لِمَن</w:t>
      </w:r>
      <w:r w:rsidR="002D6638" w:rsidRPr="00904FCB">
        <w:rPr>
          <w:rFonts w:hint="cs"/>
          <w:sz w:val="27"/>
          <w:rtl/>
        </w:rPr>
        <w:t>ْ</w:t>
      </w:r>
      <w:r w:rsidRPr="00904FCB">
        <w:rPr>
          <w:rFonts w:hint="cs"/>
          <w:sz w:val="27"/>
          <w:rtl/>
        </w:rPr>
        <w:t xml:space="preserve"> أعتق</w:t>
      </w:r>
      <w:r w:rsidRPr="00904FCB">
        <w:rPr>
          <w:rFonts w:hint="eastAsia"/>
          <w:sz w:val="27"/>
          <w:rtl/>
        </w:rPr>
        <w:t>»</w:t>
      </w:r>
      <w:r w:rsidRPr="00904FCB">
        <w:rPr>
          <w:rFonts w:hint="cs"/>
          <w:sz w:val="27"/>
          <w:rtl/>
        </w:rPr>
        <w:t xml:space="preserve"> فمع وجود الأدلّة ال</w:t>
      </w:r>
      <w:r w:rsidR="002D6638" w:rsidRPr="00904FCB">
        <w:rPr>
          <w:rFonts w:hint="cs"/>
          <w:sz w:val="27"/>
          <w:rtl/>
        </w:rPr>
        <w:t>أ</w:t>
      </w:r>
      <w:r w:rsidRPr="00904FCB">
        <w:rPr>
          <w:rFonts w:hint="cs"/>
          <w:sz w:val="27"/>
          <w:rtl/>
        </w:rPr>
        <w:t>خر</w:t>
      </w:r>
      <w:r w:rsidRPr="00904FCB">
        <w:rPr>
          <w:rFonts w:ascii="Times New Roman" w:hAnsi="Times New Roman" w:cs="Times New Roman" w:hint="cs"/>
          <w:sz w:val="27"/>
          <w:rtl/>
        </w:rPr>
        <w:t>ی</w:t>
      </w:r>
      <w:r w:rsidR="002D6638" w:rsidRPr="00904FCB">
        <w:rPr>
          <w:rFonts w:hint="cs"/>
          <w:sz w:val="27"/>
          <w:rtl/>
        </w:rPr>
        <w:t xml:space="preserve"> الم</w:t>
      </w:r>
      <w:r w:rsidRPr="00904FCB">
        <w:rPr>
          <w:rFonts w:hint="cs"/>
          <w:sz w:val="27"/>
          <w:rtl/>
        </w:rPr>
        <w:t>فسّ</w:t>
      </w:r>
      <w:r w:rsidR="002D6638" w:rsidRPr="00904FCB">
        <w:rPr>
          <w:rFonts w:hint="cs"/>
          <w:sz w:val="27"/>
          <w:rtl/>
        </w:rPr>
        <w:t>ِ</w:t>
      </w:r>
      <w:r w:rsidRPr="00904FCB">
        <w:rPr>
          <w:rFonts w:hint="cs"/>
          <w:sz w:val="27"/>
          <w:rtl/>
        </w:rPr>
        <w:t>رة له بضمان الجريرة، والتي تكون حاكمة، لا يصلح متمسّ</w:t>
      </w:r>
      <w:r w:rsidR="002D6638" w:rsidRPr="00904FCB">
        <w:rPr>
          <w:rFonts w:hint="cs"/>
          <w:sz w:val="27"/>
          <w:rtl/>
        </w:rPr>
        <w:t>َ</w:t>
      </w:r>
      <w:r w:rsidRPr="00904FCB">
        <w:rPr>
          <w:rFonts w:hint="cs"/>
          <w:sz w:val="27"/>
          <w:rtl/>
        </w:rPr>
        <w:t>كاً للمشهور</w:t>
      </w:r>
      <w:r w:rsidR="002D6638" w:rsidRPr="00904FCB">
        <w:rPr>
          <w:rFonts w:hint="cs"/>
          <w:sz w:val="27"/>
          <w:rtl/>
        </w:rPr>
        <w:t>.</w:t>
      </w:r>
      <w:r w:rsidRPr="00904FCB">
        <w:rPr>
          <w:rFonts w:hint="cs"/>
          <w:sz w:val="27"/>
          <w:rtl/>
        </w:rPr>
        <w:t xml:space="preserve"> أجل، يُحت</w:t>
      </w:r>
      <w:r w:rsidR="002D6638" w:rsidRPr="00904FCB">
        <w:rPr>
          <w:rFonts w:hint="cs"/>
          <w:sz w:val="27"/>
          <w:rtl/>
        </w:rPr>
        <w:t>َ</w:t>
      </w:r>
      <w:r w:rsidRPr="00904FCB">
        <w:rPr>
          <w:rFonts w:hint="cs"/>
          <w:sz w:val="27"/>
          <w:rtl/>
        </w:rPr>
        <w:t>م</w:t>
      </w:r>
      <w:r w:rsidR="002D6638" w:rsidRPr="00904FCB">
        <w:rPr>
          <w:rFonts w:hint="cs"/>
          <w:sz w:val="27"/>
          <w:rtl/>
        </w:rPr>
        <w:t>َ</w:t>
      </w:r>
      <w:r w:rsidRPr="00904FCB">
        <w:rPr>
          <w:rFonts w:hint="cs"/>
          <w:sz w:val="27"/>
          <w:rtl/>
        </w:rPr>
        <w:t>ل حمله على الرجحان كحكم أخلاقي للمُن</w:t>
      </w:r>
      <w:r w:rsidR="002D6638" w:rsidRPr="00904FCB">
        <w:rPr>
          <w:rFonts w:hint="cs"/>
          <w:sz w:val="27"/>
          <w:rtl/>
        </w:rPr>
        <w:t>ْ</w:t>
      </w:r>
      <w:r w:rsidRPr="00904FCB">
        <w:rPr>
          <w:rFonts w:hint="cs"/>
          <w:sz w:val="27"/>
          <w:rtl/>
        </w:rPr>
        <w:t>عِم</w:t>
      </w:r>
      <w:r w:rsidR="002D6638" w:rsidRPr="00904FCB">
        <w:rPr>
          <w:rFonts w:hint="cs"/>
          <w:sz w:val="27"/>
          <w:rtl/>
        </w:rPr>
        <w:t>،</w:t>
      </w:r>
      <w:r w:rsidRPr="00904FCB">
        <w:rPr>
          <w:rFonts w:hint="cs"/>
          <w:sz w:val="27"/>
          <w:rtl/>
        </w:rPr>
        <w:t xml:space="preserve"> ودعوته لكي يُتمّ نعمته على عتيقه بأن يضمن جريرته ويُحالفه</w:t>
      </w:r>
      <w:r w:rsidR="002D6638" w:rsidRPr="00904FCB">
        <w:rPr>
          <w:rFonts w:hint="cs"/>
          <w:sz w:val="27"/>
          <w:rtl/>
        </w:rPr>
        <w:t>؛ كي لا يبقى</w:t>
      </w:r>
      <w:r w:rsidRPr="00904FCB">
        <w:rPr>
          <w:rFonts w:hint="cs"/>
          <w:sz w:val="27"/>
          <w:rtl/>
        </w:rPr>
        <w:t xml:space="preserve"> وحيداً في المجتمع</w:t>
      </w:r>
      <w:r w:rsidR="002D6638" w:rsidRPr="00904FCB">
        <w:rPr>
          <w:rFonts w:hint="cs"/>
          <w:sz w:val="27"/>
          <w:rtl/>
        </w:rPr>
        <w:t>،</w:t>
      </w:r>
      <w:r w:rsidRPr="00904FCB">
        <w:rPr>
          <w:rFonts w:hint="cs"/>
          <w:sz w:val="27"/>
          <w:rtl/>
        </w:rPr>
        <w:t xml:space="preserve"> لا يرغب أحد في حمايته</w:t>
      </w:r>
      <w:r w:rsidR="002D6638" w:rsidRPr="00904FCB">
        <w:rPr>
          <w:rFonts w:hint="cs"/>
          <w:sz w:val="27"/>
          <w:rtl/>
        </w:rPr>
        <w:t>.</w:t>
      </w:r>
      <w:r w:rsidRPr="00904FCB">
        <w:rPr>
          <w:rFonts w:hint="cs"/>
          <w:sz w:val="27"/>
          <w:rtl/>
        </w:rPr>
        <w:t xml:space="preserve"> وهو الأرجح</w:t>
      </w:r>
      <w:r w:rsidR="002D6638" w:rsidRPr="00904FCB">
        <w:rPr>
          <w:rFonts w:hint="cs"/>
          <w:sz w:val="27"/>
          <w:rtl/>
        </w:rPr>
        <w:t>.</w:t>
      </w:r>
    </w:p>
    <w:p w:rsidR="005B6CEC" w:rsidRPr="00904FCB" w:rsidRDefault="00EC5945" w:rsidP="007A21AA">
      <w:pPr>
        <w:spacing w:line="400" w:lineRule="exact"/>
        <w:rPr>
          <w:sz w:val="27"/>
          <w:rtl/>
        </w:rPr>
      </w:pPr>
      <w:r w:rsidRPr="00904FCB">
        <w:rPr>
          <w:rFonts w:hint="cs"/>
          <w:sz w:val="27"/>
          <w:rtl/>
        </w:rPr>
        <w:t>ويُحتَمَل كون هذا الحكم الأخلاقي م</w:t>
      </w:r>
      <w:r w:rsidR="005B6CEC" w:rsidRPr="00904FCB">
        <w:rPr>
          <w:rFonts w:hint="cs"/>
          <w:sz w:val="27"/>
          <w:rtl/>
        </w:rPr>
        <w:t>وجّ</w:t>
      </w:r>
      <w:r w:rsidRPr="00904FCB">
        <w:rPr>
          <w:rFonts w:hint="cs"/>
          <w:sz w:val="27"/>
          <w:rtl/>
        </w:rPr>
        <w:t>َ</w:t>
      </w:r>
      <w:r w:rsidR="005B6CEC" w:rsidRPr="00904FCB">
        <w:rPr>
          <w:rFonts w:hint="cs"/>
          <w:sz w:val="27"/>
          <w:rtl/>
        </w:rPr>
        <w:t>هاً إلى العبد بأنّ المُن</w:t>
      </w:r>
      <w:r w:rsidRPr="00904FCB">
        <w:rPr>
          <w:rFonts w:hint="cs"/>
          <w:sz w:val="27"/>
          <w:rtl/>
        </w:rPr>
        <w:t>ْ</w:t>
      </w:r>
      <w:r w:rsidR="005B6CEC" w:rsidRPr="00904FCB">
        <w:rPr>
          <w:rFonts w:hint="cs"/>
          <w:sz w:val="27"/>
          <w:rtl/>
        </w:rPr>
        <w:t xml:space="preserve">عِم له أولوية فيما لو أراد أن يُحالف أحداً؛ </w:t>
      </w:r>
      <w:r w:rsidRPr="00904FCB">
        <w:rPr>
          <w:rFonts w:hint="cs"/>
          <w:sz w:val="27"/>
          <w:rtl/>
        </w:rPr>
        <w:t xml:space="preserve">ولا </w:t>
      </w:r>
      <w:r w:rsidR="005B6CEC" w:rsidRPr="00904FCB">
        <w:rPr>
          <w:rFonts w:hint="cs"/>
          <w:sz w:val="27"/>
          <w:rtl/>
        </w:rPr>
        <w:t>سي</w:t>
      </w:r>
      <w:r w:rsidRPr="00904FCB">
        <w:rPr>
          <w:rFonts w:hint="cs"/>
          <w:sz w:val="27"/>
          <w:rtl/>
        </w:rPr>
        <w:t>َّ</w:t>
      </w:r>
      <w:r w:rsidR="005B6CEC" w:rsidRPr="00904FCB">
        <w:rPr>
          <w:rFonts w:hint="cs"/>
          <w:sz w:val="27"/>
          <w:rtl/>
        </w:rPr>
        <w:t>ما أنّ</w:t>
      </w:r>
      <w:r w:rsidRPr="00904FCB">
        <w:rPr>
          <w:rFonts w:hint="cs"/>
          <w:sz w:val="27"/>
          <w:rtl/>
        </w:rPr>
        <w:t>ه</w:t>
      </w:r>
      <w:r w:rsidR="005B6CEC" w:rsidRPr="00904FCB">
        <w:rPr>
          <w:rFonts w:hint="cs"/>
          <w:sz w:val="27"/>
          <w:rtl/>
        </w:rPr>
        <w:t xml:space="preserve"> كثيراً ما يكون هذا العتيق لا عشيرة له تحميه</w:t>
      </w:r>
      <w:r w:rsidRPr="00904FCB">
        <w:rPr>
          <w:rFonts w:hint="cs"/>
          <w:sz w:val="27"/>
          <w:rtl/>
        </w:rPr>
        <w:t>.</w:t>
      </w:r>
      <w:r w:rsidR="005B6CEC" w:rsidRPr="00904FCB">
        <w:rPr>
          <w:rFonts w:hint="cs"/>
          <w:sz w:val="27"/>
          <w:rtl/>
        </w:rPr>
        <w:t xml:space="preserve"> </w:t>
      </w:r>
      <w:r w:rsidRPr="00904FCB">
        <w:rPr>
          <w:rFonts w:hint="cs"/>
          <w:sz w:val="27"/>
          <w:rtl/>
        </w:rPr>
        <w:t>ولكنّ</w:t>
      </w:r>
      <w:r w:rsidR="005B6CEC" w:rsidRPr="00904FCB">
        <w:rPr>
          <w:rFonts w:hint="cs"/>
          <w:sz w:val="27"/>
          <w:rtl/>
        </w:rPr>
        <w:t xml:space="preserve"> هذا الاحتمال بعيد</w:t>
      </w:r>
      <w:r w:rsidRPr="00904FCB">
        <w:rPr>
          <w:rFonts w:hint="cs"/>
          <w:sz w:val="27"/>
          <w:rtl/>
        </w:rPr>
        <w:t>ٌ</w:t>
      </w:r>
      <w:r w:rsidR="005B6CEC" w:rsidRPr="00904FCB">
        <w:rPr>
          <w:rFonts w:hint="cs"/>
          <w:sz w:val="27"/>
          <w:rtl/>
        </w:rPr>
        <w:t>؛ لعدم كونه امتيازاً للمُن</w:t>
      </w:r>
      <w:r w:rsidRPr="00904FCB">
        <w:rPr>
          <w:rFonts w:hint="cs"/>
          <w:sz w:val="27"/>
          <w:rtl/>
        </w:rPr>
        <w:t>ْ</w:t>
      </w:r>
      <w:r w:rsidR="005B6CEC" w:rsidRPr="00904FCB">
        <w:rPr>
          <w:rFonts w:hint="cs"/>
          <w:sz w:val="27"/>
          <w:rtl/>
        </w:rPr>
        <w:t>عِم</w:t>
      </w:r>
      <w:r w:rsidRPr="00904FCB">
        <w:rPr>
          <w:rFonts w:hint="cs"/>
          <w:sz w:val="27"/>
          <w:rtl/>
        </w:rPr>
        <w:t>.</w:t>
      </w:r>
      <w:r w:rsidR="005B6CEC" w:rsidRPr="00904FCB">
        <w:rPr>
          <w:rFonts w:hint="cs"/>
          <w:sz w:val="27"/>
          <w:rtl/>
        </w:rPr>
        <w:t xml:space="preserve"> </w:t>
      </w:r>
      <w:r w:rsidRPr="00904FCB">
        <w:rPr>
          <w:rFonts w:hint="cs"/>
          <w:sz w:val="27"/>
          <w:rtl/>
        </w:rPr>
        <w:t>ف</w:t>
      </w:r>
      <w:r w:rsidR="005B6CEC" w:rsidRPr="00904FCB">
        <w:rPr>
          <w:rFonts w:hint="cs"/>
          <w:sz w:val="27"/>
          <w:rtl/>
        </w:rPr>
        <w:t xml:space="preserve">الأقرب ما ذكرناه. </w:t>
      </w:r>
    </w:p>
    <w:p w:rsidR="005B6CEC" w:rsidRPr="00904FCB" w:rsidRDefault="005B6CEC" w:rsidP="007A21AA">
      <w:pPr>
        <w:spacing w:line="400" w:lineRule="exact"/>
        <w:rPr>
          <w:sz w:val="27"/>
          <w:rtl/>
          <w:lang w:bidi="fa-IR"/>
        </w:rPr>
      </w:pPr>
      <w:r w:rsidRPr="00904FCB">
        <w:rPr>
          <w:rFonts w:hint="cs"/>
          <w:sz w:val="27"/>
          <w:rtl/>
        </w:rPr>
        <w:t xml:space="preserve"> </w:t>
      </w:r>
      <w:r w:rsidR="00EC5945" w:rsidRPr="00904FCB">
        <w:rPr>
          <w:rFonts w:hint="cs"/>
          <w:b/>
          <w:bCs/>
          <w:sz w:val="27"/>
          <w:rtl/>
        </w:rPr>
        <w:t>و</w:t>
      </w:r>
      <w:r w:rsidRPr="00904FCB">
        <w:rPr>
          <w:rFonts w:hint="cs"/>
          <w:b/>
          <w:bCs/>
          <w:sz w:val="27"/>
          <w:rtl/>
        </w:rPr>
        <w:t>الحاصل</w:t>
      </w:r>
      <w:r w:rsidRPr="00904FCB">
        <w:rPr>
          <w:rFonts w:hint="cs"/>
          <w:sz w:val="27"/>
          <w:rtl/>
        </w:rPr>
        <w:t>: إنّه قد اتّضح لك عدم كونه</w:t>
      </w:r>
      <w:r w:rsidRPr="00904FCB">
        <w:rPr>
          <w:rFonts w:hint="cs"/>
          <w:sz w:val="27"/>
          <w:rtl/>
          <w:lang w:bidi="fa-IR"/>
        </w:rPr>
        <w:t xml:space="preserve"> سبباً للتوريث من حيث هو، فلا يصحّ إدراجه ضمن المُوجِبات، بل إنّ السببي</w:t>
      </w:r>
      <w:r w:rsidR="00EC5945" w:rsidRPr="00904FCB">
        <w:rPr>
          <w:rFonts w:hint="cs"/>
          <w:sz w:val="27"/>
          <w:rtl/>
          <w:lang w:bidi="fa-IR"/>
        </w:rPr>
        <w:t>ّ</w:t>
      </w:r>
      <w:r w:rsidRPr="00904FCB">
        <w:rPr>
          <w:rFonts w:hint="cs"/>
          <w:sz w:val="27"/>
          <w:rtl/>
          <w:lang w:bidi="fa-IR"/>
        </w:rPr>
        <w:t xml:space="preserve">ة تكون لعقد الموالاة. </w:t>
      </w:r>
    </w:p>
    <w:p w:rsidR="005B6CEC" w:rsidRPr="00904FCB" w:rsidRDefault="005B6CEC" w:rsidP="007A21AA">
      <w:pPr>
        <w:spacing w:line="400" w:lineRule="exact"/>
        <w:rPr>
          <w:sz w:val="27"/>
          <w:rtl/>
          <w:lang w:bidi="fa-IR"/>
        </w:rPr>
      </w:pPr>
    </w:p>
    <w:p w:rsidR="005B6CEC" w:rsidRPr="00904FCB" w:rsidRDefault="005B6CEC" w:rsidP="007A21AA">
      <w:pPr>
        <w:pStyle w:val="31"/>
        <w:spacing w:line="400" w:lineRule="exact"/>
        <w:rPr>
          <w:color w:val="auto"/>
          <w:rtl/>
        </w:rPr>
      </w:pPr>
      <w:r w:rsidRPr="00904FCB">
        <w:rPr>
          <w:rFonts w:hint="cs"/>
          <w:color w:val="auto"/>
          <w:rtl/>
        </w:rPr>
        <w:t>في مد</w:t>
      </w:r>
      <w:r w:rsidR="00EB54AA" w:rsidRPr="00904FCB">
        <w:rPr>
          <w:rFonts w:hint="cs"/>
          <w:color w:val="auto"/>
          <w:rtl/>
        </w:rPr>
        <w:t>ى</w:t>
      </w:r>
      <w:r w:rsidRPr="00904FCB">
        <w:rPr>
          <w:rFonts w:hint="cs"/>
          <w:color w:val="auto"/>
          <w:rtl/>
        </w:rPr>
        <w:t xml:space="preserve"> اختصاص ولاء العتق بالمُن</w:t>
      </w:r>
      <w:r w:rsidR="00EC5945" w:rsidRPr="00904FCB">
        <w:rPr>
          <w:rFonts w:hint="cs"/>
          <w:color w:val="auto"/>
          <w:rtl/>
        </w:rPr>
        <w:t>ْ</w:t>
      </w:r>
      <w:r w:rsidRPr="00904FCB">
        <w:rPr>
          <w:rFonts w:hint="cs"/>
          <w:color w:val="auto"/>
          <w:rtl/>
        </w:rPr>
        <w:t>عم فقط</w:t>
      </w:r>
      <w:r w:rsidR="00C12E67" w:rsidRPr="00904FCB">
        <w:rPr>
          <w:rFonts w:hint="cs"/>
          <w:color w:val="auto"/>
          <w:rtl/>
        </w:rPr>
        <w:t>،</w:t>
      </w:r>
      <w:r w:rsidRPr="00904FCB">
        <w:rPr>
          <w:rFonts w:hint="cs"/>
          <w:color w:val="auto"/>
          <w:rtl/>
        </w:rPr>
        <w:t xml:space="preserve"> أو ثبوته لكلا الطرفين </w:t>
      </w:r>
    </w:p>
    <w:p w:rsidR="005B6CEC" w:rsidRPr="00904FCB" w:rsidRDefault="005B6CEC" w:rsidP="00EE3AAF">
      <w:pPr>
        <w:spacing w:line="400" w:lineRule="exact"/>
        <w:rPr>
          <w:sz w:val="27"/>
          <w:rtl/>
        </w:rPr>
      </w:pPr>
      <w:r w:rsidRPr="00904FCB">
        <w:rPr>
          <w:rFonts w:hint="cs"/>
          <w:b/>
          <w:bCs/>
          <w:sz w:val="27"/>
          <w:rtl/>
        </w:rPr>
        <w:t>القول الأوّل</w:t>
      </w:r>
      <w:r w:rsidRPr="00904FCB">
        <w:rPr>
          <w:rFonts w:hint="cs"/>
          <w:sz w:val="27"/>
          <w:rtl/>
        </w:rPr>
        <w:t>: وهو المعروف من أنّ الولاء مقتضٍ للإرث كالن</w:t>
      </w:r>
      <w:r w:rsidR="00B715C3" w:rsidRPr="00904FCB">
        <w:rPr>
          <w:rFonts w:hint="cs"/>
          <w:sz w:val="27"/>
          <w:rtl/>
        </w:rPr>
        <w:t>َّ</w:t>
      </w:r>
      <w:r w:rsidRPr="00904FCB">
        <w:rPr>
          <w:rFonts w:hint="cs"/>
          <w:sz w:val="27"/>
          <w:rtl/>
        </w:rPr>
        <w:t>س</w:t>
      </w:r>
      <w:r w:rsidR="00B715C3" w:rsidRPr="00904FCB">
        <w:rPr>
          <w:rFonts w:hint="cs"/>
          <w:sz w:val="27"/>
          <w:rtl/>
        </w:rPr>
        <w:t>َ</w:t>
      </w:r>
      <w:r w:rsidRPr="00904FCB">
        <w:rPr>
          <w:rFonts w:hint="cs"/>
          <w:sz w:val="27"/>
          <w:rtl/>
        </w:rPr>
        <w:t>ب، ولكن</w:t>
      </w:r>
      <w:r w:rsidR="00090A44" w:rsidRPr="00904FCB">
        <w:rPr>
          <w:rFonts w:hint="cs"/>
          <w:sz w:val="27"/>
          <w:rtl/>
        </w:rPr>
        <w:t>ْ</w:t>
      </w:r>
      <w:r w:rsidRPr="00904FCB">
        <w:rPr>
          <w:rFonts w:hint="cs"/>
          <w:sz w:val="27"/>
          <w:rtl/>
        </w:rPr>
        <w:t xml:space="preserve"> يفترقان بأنّ الإرث في النسب ثابت من الطرفين</w:t>
      </w:r>
      <w:r w:rsidR="00B715C3" w:rsidRPr="00904FCB">
        <w:rPr>
          <w:rFonts w:hint="cs"/>
          <w:sz w:val="27"/>
          <w:rtl/>
        </w:rPr>
        <w:t>؛ لتحقُّق الم</w:t>
      </w:r>
      <w:r w:rsidRPr="00904FCB">
        <w:rPr>
          <w:rFonts w:hint="cs"/>
          <w:sz w:val="27"/>
          <w:rtl/>
        </w:rPr>
        <w:t>وجِب في كلّ</w:t>
      </w:r>
      <w:r w:rsidR="00B715C3" w:rsidRPr="00904FCB">
        <w:rPr>
          <w:rFonts w:hint="cs"/>
          <w:sz w:val="27"/>
          <w:rtl/>
        </w:rPr>
        <w:t>ٍ</w:t>
      </w:r>
      <w:r w:rsidRPr="00904FCB">
        <w:rPr>
          <w:rFonts w:hint="cs"/>
          <w:sz w:val="27"/>
          <w:rtl/>
        </w:rPr>
        <w:t xml:space="preserve"> منهما، بخلاف الولاء فإنّه ثابت للمُع</w:t>
      </w:r>
      <w:r w:rsidR="00B715C3" w:rsidRPr="00904FCB">
        <w:rPr>
          <w:rFonts w:hint="cs"/>
          <w:sz w:val="27"/>
          <w:rtl/>
        </w:rPr>
        <w:t>ْ</w:t>
      </w:r>
      <w:r w:rsidRPr="00904FCB">
        <w:rPr>
          <w:rFonts w:hint="cs"/>
          <w:sz w:val="27"/>
          <w:rtl/>
        </w:rPr>
        <w:t>تِق</w:t>
      </w:r>
      <w:r w:rsidR="00B715C3" w:rsidRPr="00904FCB">
        <w:rPr>
          <w:rFonts w:hint="cs"/>
          <w:sz w:val="27"/>
          <w:rtl/>
        </w:rPr>
        <w:t xml:space="preserve">، </w:t>
      </w:r>
      <w:r w:rsidRPr="00904FCB">
        <w:rPr>
          <w:rFonts w:hint="cs"/>
          <w:sz w:val="27"/>
          <w:rtl/>
        </w:rPr>
        <w:t>المُعبّ</w:t>
      </w:r>
      <w:r w:rsidR="00B715C3" w:rsidRPr="00904FCB">
        <w:rPr>
          <w:rFonts w:hint="cs"/>
          <w:sz w:val="27"/>
          <w:rtl/>
        </w:rPr>
        <w:t>َ</w:t>
      </w:r>
      <w:r w:rsidRPr="00904FCB">
        <w:rPr>
          <w:rFonts w:hint="cs"/>
          <w:sz w:val="27"/>
          <w:rtl/>
        </w:rPr>
        <w:t>ر عنه بالمُن</w:t>
      </w:r>
      <w:r w:rsidR="00B715C3" w:rsidRPr="00904FCB">
        <w:rPr>
          <w:rFonts w:hint="cs"/>
          <w:sz w:val="27"/>
          <w:rtl/>
        </w:rPr>
        <w:t>ْ</w:t>
      </w:r>
      <w:r w:rsidRPr="00904FCB">
        <w:rPr>
          <w:rFonts w:hint="cs"/>
          <w:sz w:val="27"/>
          <w:rtl/>
        </w:rPr>
        <w:t>عِم</w:t>
      </w:r>
      <w:r w:rsidR="00B715C3" w:rsidRPr="00904FCB">
        <w:rPr>
          <w:rFonts w:hint="cs"/>
          <w:sz w:val="27"/>
          <w:rtl/>
        </w:rPr>
        <w:t>، والمولى</w:t>
      </w:r>
      <w:r w:rsidRPr="00904FCB">
        <w:rPr>
          <w:rFonts w:hint="cs"/>
          <w:sz w:val="27"/>
          <w:rtl/>
        </w:rPr>
        <w:t xml:space="preserve"> على المُعتَق</w:t>
      </w:r>
      <w:r w:rsidR="00B715C3" w:rsidRPr="00904FCB">
        <w:rPr>
          <w:rFonts w:hint="cs"/>
          <w:sz w:val="27"/>
          <w:rtl/>
        </w:rPr>
        <w:t>،</w:t>
      </w:r>
      <w:r w:rsidRPr="00904FCB">
        <w:rPr>
          <w:rFonts w:hint="cs"/>
          <w:sz w:val="27"/>
          <w:rtl/>
        </w:rPr>
        <w:t xml:space="preserve"> المعبّ</w:t>
      </w:r>
      <w:r w:rsidR="00B715C3" w:rsidRPr="00904FCB">
        <w:rPr>
          <w:rFonts w:hint="cs"/>
          <w:sz w:val="27"/>
          <w:rtl/>
        </w:rPr>
        <w:t>َ</w:t>
      </w:r>
      <w:r w:rsidRPr="00904FCB">
        <w:rPr>
          <w:rFonts w:hint="cs"/>
          <w:sz w:val="27"/>
          <w:rtl/>
        </w:rPr>
        <w:t>ر عنه بالمُن</w:t>
      </w:r>
      <w:r w:rsidR="00B715C3" w:rsidRPr="00904FCB">
        <w:rPr>
          <w:rFonts w:hint="cs"/>
          <w:sz w:val="27"/>
          <w:rtl/>
        </w:rPr>
        <w:t>ْ</w:t>
      </w:r>
      <w:r w:rsidRPr="00904FCB">
        <w:rPr>
          <w:rFonts w:hint="cs"/>
          <w:sz w:val="27"/>
          <w:rtl/>
        </w:rPr>
        <w:t>عَم عليه والعتيق</w:t>
      </w:r>
      <w:r w:rsidR="00B715C3" w:rsidRPr="00904FCB">
        <w:rPr>
          <w:rFonts w:hint="cs"/>
          <w:sz w:val="27"/>
          <w:rtl/>
        </w:rPr>
        <w:t>،</w:t>
      </w:r>
      <w:r w:rsidRPr="00904FCB">
        <w:rPr>
          <w:rFonts w:hint="cs"/>
          <w:sz w:val="27"/>
          <w:rtl/>
        </w:rPr>
        <w:t xml:space="preserve"> دون العكس؛ لأنّ سببه </w:t>
      </w:r>
      <w:r w:rsidR="00B715C3" w:rsidRPr="00904FCB">
        <w:rPr>
          <w:rFonts w:hint="cs"/>
          <w:sz w:val="27"/>
          <w:rtl/>
        </w:rPr>
        <w:t xml:space="preserve">ـ </w:t>
      </w:r>
      <w:r w:rsidRPr="00904FCB">
        <w:rPr>
          <w:rFonts w:hint="cs"/>
          <w:sz w:val="27"/>
          <w:rtl/>
        </w:rPr>
        <w:t xml:space="preserve">وهو العتق </w:t>
      </w:r>
      <w:r w:rsidR="00B715C3" w:rsidRPr="00904FCB">
        <w:rPr>
          <w:rFonts w:hint="cs"/>
          <w:sz w:val="27"/>
          <w:rtl/>
        </w:rPr>
        <w:t>ـ م</w:t>
      </w:r>
      <w:r w:rsidRPr="00904FCB">
        <w:rPr>
          <w:rFonts w:hint="cs"/>
          <w:sz w:val="27"/>
          <w:rtl/>
        </w:rPr>
        <w:t>ختصّ</w:t>
      </w:r>
      <w:r w:rsidR="00B715C3" w:rsidRPr="00904FCB">
        <w:rPr>
          <w:rFonts w:hint="cs"/>
          <w:sz w:val="27"/>
          <w:rtl/>
        </w:rPr>
        <w:t>ٌ</w:t>
      </w:r>
      <w:r w:rsidRPr="00904FCB">
        <w:rPr>
          <w:rFonts w:hint="cs"/>
          <w:sz w:val="27"/>
          <w:rtl/>
        </w:rPr>
        <w:t xml:space="preserve"> بأحد الطرفين</w:t>
      </w:r>
      <w:r w:rsidR="00EE3AAF">
        <w:rPr>
          <w:rFonts w:hint="cs"/>
          <w:sz w:val="27"/>
          <w:rtl/>
        </w:rPr>
        <w:t>.</w:t>
      </w:r>
      <w:r w:rsidRPr="00904FCB">
        <w:rPr>
          <w:rFonts w:hint="cs"/>
          <w:sz w:val="27"/>
          <w:rtl/>
        </w:rPr>
        <w:t xml:space="preserve"> وهو المشهور</w:t>
      </w:r>
      <w:r w:rsidRPr="00904FCB">
        <w:rPr>
          <w:rFonts w:hint="cs"/>
          <w:sz w:val="27"/>
          <w:vertAlign w:val="superscript"/>
          <w:rtl/>
        </w:rPr>
        <w:t>(</w:t>
      </w:r>
      <w:r w:rsidRPr="00904FCB">
        <w:rPr>
          <w:rStyle w:val="ac"/>
          <w:sz w:val="27"/>
          <w:rtl/>
          <w:lang w:bidi="fa-IR"/>
        </w:rPr>
        <w:endnoteReference w:id="410"/>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r w:rsidRPr="00904FCB">
        <w:rPr>
          <w:rFonts w:hint="cs"/>
          <w:sz w:val="27"/>
          <w:rtl/>
        </w:rPr>
        <w:lastRenderedPageBreak/>
        <w:t>بل ادّ</w:t>
      </w:r>
      <w:r w:rsidR="00B715C3" w:rsidRPr="00904FCB">
        <w:rPr>
          <w:rFonts w:hint="cs"/>
          <w:sz w:val="27"/>
          <w:rtl/>
        </w:rPr>
        <w:t>ُ</w:t>
      </w:r>
      <w:r w:rsidRPr="00904FCB">
        <w:rPr>
          <w:rFonts w:hint="cs"/>
          <w:sz w:val="27"/>
          <w:rtl/>
        </w:rPr>
        <w:t>عي عليه الإجماع</w:t>
      </w:r>
      <w:r w:rsidRPr="00904FCB">
        <w:rPr>
          <w:rFonts w:hint="cs"/>
          <w:sz w:val="27"/>
          <w:vertAlign w:val="superscript"/>
          <w:rtl/>
        </w:rPr>
        <w:t>(</w:t>
      </w:r>
      <w:r w:rsidRPr="00904FCB">
        <w:rPr>
          <w:rStyle w:val="ac"/>
          <w:sz w:val="27"/>
          <w:rtl/>
          <w:lang w:bidi="fa-IR"/>
        </w:rPr>
        <w:endnoteReference w:id="411"/>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p>
    <w:p w:rsidR="005B6CEC" w:rsidRPr="00904FCB" w:rsidRDefault="005B6CEC" w:rsidP="007A21AA">
      <w:pPr>
        <w:spacing w:line="400" w:lineRule="exact"/>
        <w:rPr>
          <w:sz w:val="27"/>
          <w:rtl/>
        </w:rPr>
      </w:pPr>
      <w:r w:rsidRPr="00904FCB">
        <w:rPr>
          <w:rFonts w:hint="cs"/>
          <w:sz w:val="27"/>
          <w:rtl/>
        </w:rPr>
        <w:t xml:space="preserve">ويدلّ عليه: </w:t>
      </w:r>
    </w:p>
    <w:p w:rsidR="005B6CEC" w:rsidRPr="00904FCB" w:rsidRDefault="005B6CEC" w:rsidP="007A21AA">
      <w:pPr>
        <w:spacing w:line="400" w:lineRule="exact"/>
        <w:rPr>
          <w:sz w:val="27"/>
          <w:rtl/>
        </w:rPr>
      </w:pPr>
      <w:r w:rsidRPr="00051230">
        <w:rPr>
          <w:rFonts w:hint="cs"/>
          <w:sz w:val="27"/>
          <w:rtl/>
        </w:rPr>
        <w:t>1ـ</w:t>
      </w:r>
      <w:r w:rsidRPr="00904FCB">
        <w:rPr>
          <w:rFonts w:hint="cs"/>
          <w:sz w:val="27"/>
          <w:rtl/>
        </w:rPr>
        <w:t xml:space="preserve"> أصالة عدم توريث العتيق؛ لأنّ التوريث حكم</w:t>
      </w:r>
      <w:r w:rsidR="00B715C3" w:rsidRPr="00904FCB">
        <w:rPr>
          <w:rFonts w:hint="cs"/>
          <w:sz w:val="27"/>
          <w:rtl/>
        </w:rPr>
        <w:t>ٌ</w:t>
      </w:r>
      <w:r w:rsidRPr="00904FCB">
        <w:rPr>
          <w:rFonts w:hint="cs"/>
          <w:sz w:val="27"/>
          <w:rtl/>
        </w:rPr>
        <w:t xml:space="preserve"> شرعي محتاج إلى الدليل، ولا </w:t>
      </w:r>
      <w:r w:rsidR="00090A44" w:rsidRPr="00904FCB">
        <w:rPr>
          <w:rFonts w:hint="cs"/>
          <w:sz w:val="27"/>
          <w:rtl/>
        </w:rPr>
        <w:t>دليل له؛ لاختصاص النصوص الم</w:t>
      </w:r>
      <w:r w:rsidRPr="00904FCB">
        <w:rPr>
          <w:rFonts w:hint="cs"/>
          <w:sz w:val="27"/>
          <w:rtl/>
        </w:rPr>
        <w:t>ثب</w:t>
      </w:r>
      <w:r w:rsidR="00090A44" w:rsidRPr="00904FCB">
        <w:rPr>
          <w:rFonts w:hint="cs"/>
          <w:sz w:val="27"/>
          <w:rtl/>
        </w:rPr>
        <w:t>ِ</w:t>
      </w:r>
      <w:r w:rsidRPr="00904FCB">
        <w:rPr>
          <w:rFonts w:hint="cs"/>
          <w:sz w:val="27"/>
          <w:rtl/>
        </w:rPr>
        <w:t>تة لذلك الإرث بإرث ا</w:t>
      </w:r>
      <w:r w:rsidR="00090A44" w:rsidRPr="00904FCB">
        <w:rPr>
          <w:rFonts w:hint="cs"/>
          <w:sz w:val="27"/>
          <w:rtl/>
        </w:rPr>
        <w:t>لمولى</w:t>
      </w:r>
      <w:r w:rsidRPr="00904FCB">
        <w:rPr>
          <w:rFonts w:hint="cs"/>
          <w:sz w:val="27"/>
          <w:vertAlign w:val="superscript"/>
          <w:rtl/>
        </w:rPr>
        <w:t>(</w:t>
      </w:r>
      <w:r w:rsidRPr="00904FCB">
        <w:rPr>
          <w:rStyle w:val="ac"/>
          <w:sz w:val="27"/>
          <w:rtl/>
          <w:lang w:bidi="fa-IR"/>
        </w:rPr>
        <w:endnoteReference w:id="412"/>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p>
    <w:p w:rsidR="005B6CEC" w:rsidRPr="00904FCB" w:rsidRDefault="00090A44" w:rsidP="007A21AA">
      <w:pPr>
        <w:spacing w:line="400" w:lineRule="exact"/>
        <w:rPr>
          <w:sz w:val="27"/>
          <w:rtl/>
        </w:rPr>
      </w:pPr>
      <w:r w:rsidRPr="00051230">
        <w:rPr>
          <w:rFonts w:hint="cs"/>
          <w:sz w:val="27"/>
          <w:rtl/>
        </w:rPr>
        <w:t>2ـ</w:t>
      </w:r>
      <w:r w:rsidRPr="00904FCB">
        <w:rPr>
          <w:rFonts w:hint="cs"/>
          <w:sz w:val="27"/>
          <w:rtl/>
        </w:rPr>
        <w:t xml:space="preserve"> الحصر المستفاد من قوله في الم</w:t>
      </w:r>
      <w:r w:rsidR="005B6CEC" w:rsidRPr="00904FCB">
        <w:rPr>
          <w:rFonts w:hint="cs"/>
          <w:sz w:val="27"/>
          <w:rtl/>
        </w:rPr>
        <w:t xml:space="preserve">ستفيضة من الصحاح وغيرها: </w:t>
      </w:r>
      <w:r w:rsidR="005B6CEC" w:rsidRPr="00904FCB">
        <w:rPr>
          <w:rFonts w:hint="eastAsia"/>
          <w:sz w:val="27"/>
          <w:rtl/>
        </w:rPr>
        <w:t>«</w:t>
      </w:r>
      <w:r w:rsidR="005B6CEC" w:rsidRPr="00904FCB">
        <w:rPr>
          <w:rFonts w:hint="cs"/>
          <w:sz w:val="27"/>
          <w:rtl/>
        </w:rPr>
        <w:t>إنّما الولاء لمَن</w:t>
      </w:r>
      <w:r w:rsidRPr="00904FCB">
        <w:rPr>
          <w:rFonts w:hint="cs"/>
          <w:sz w:val="27"/>
          <w:rtl/>
        </w:rPr>
        <w:t>ْ</w:t>
      </w:r>
      <w:r w:rsidR="005B6CEC" w:rsidRPr="00904FCB">
        <w:rPr>
          <w:rFonts w:hint="cs"/>
          <w:sz w:val="27"/>
          <w:rtl/>
        </w:rPr>
        <w:t xml:space="preserve"> أعتق</w:t>
      </w:r>
      <w:r w:rsidR="005B6CEC" w:rsidRPr="00904FCB">
        <w:rPr>
          <w:rFonts w:hint="eastAsia"/>
          <w:sz w:val="27"/>
          <w:rtl/>
        </w:rPr>
        <w:t>»</w:t>
      </w:r>
      <w:r w:rsidR="005B6CEC" w:rsidRPr="00904FCB">
        <w:rPr>
          <w:rFonts w:hint="cs"/>
          <w:sz w:val="27"/>
          <w:vertAlign w:val="superscript"/>
          <w:rtl/>
        </w:rPr>
        <w:t>(</w:t>
      </w:r>
      <w:r w:rsidR="005B6CEC" w:rsidRPr="00904FCB">
        <w:rPr>
          <w:rStyle w:val="ac"/>
          <w:sz w:val="27"/>
          <w:rtl/>
          <w:lang w:bidi="fa-IR"/>
        </w:rPr>
        <w:endnoteReference w:id="413"/>
      </w:r>
      <w:r w:rsidR="005B6CEC" w:rsidRPr="00904FCB">
        <w:rPr>
          <w:rFonts w:hint="cs"/>
          <w:sz w:val="27"/>
          <w:vertAlign w:val="superscript"/>
          <w:rtl/>
          <w:lang w:bidi="fa-IR"/>
        </w:rPr>
        <w:t>)</w:t>
      </w:r>
      <w:r w:rsidR="005B6CEC" w:rsidRPr="00904FCB">
        <w:rPr>
          <w:rFonts w:hint="cs"/>
          <w:sz w:val="27"/>
          <w:rtl/>
          <w:lang w:bidi="fa-IR"/>
        </w:rPr>
        <w:t>.</w:t>
      </w:r>
      <w:r w:rsidR="005B6CEC" w:rsidRPr="00904FCB">
        <w:rPr>
          <w:rFonts w:hint="cs"/>
          <w:sz w:val="27"/>
          <w:vertAlign w:val="superscript"/>
          <w:rtl/>
          <w:lang w:bidi="fa-IR"/>
        </w:rPr>
        <w:t xml:space="preserve"> </w:t>
      </w:r>
    </w:p>
    <w:p w:rsidR="005B6CEC" w:rsidRPr="00904FCB" w:rsidRDefault="005B6CEC" w:rsidP="007A21AA">
      <w:pPr>
        <w:spacing w:line="400" w:lineRule="exact"/>
        <w:rPr>
          <w:sz w:val="27"/>
          <w:rtl/>
        </w:rPr>
      </w:pPr>
      <w:r w:rsidRPr="00051230">
        <w:rPr>
          <w:rFonts w:hint="cs"/>
          <w:sz w:val="27"/>
          <w:rtl/>
        </w:rPr>
        <w:t>3ـ</w:t>
      </w:r>
      <w:r w:rsidRPr="00904FCB">
        <w:rPr>
          <w:rFonts w:hint="cs"/>
          <w:sz w:val="27"/>
          <w:rtl/>
        </w:rPr>
        <w:t xml:space="preserve"> التعليل المصرّ</w:t>
      </w:r>
      <w:r w:rsidR="00090A44" w:rsidRPr="00904FCB">
        <w:rPr>
          <w:rFonts w:hint="cs"/>
          <w:sz w:val="27"/>
          <w:rtl/>
        </w:rPr>
        <w:t>َ</w:t>
      </w:r>
      <w:r w:rsidRPr="00904FCB">
        <w:rPr>
          <w:rFonts w:hint="cs"/>
          <w:sz w:val="27"/>
          <w:rtl/>
        </w:rPr>
        <w:t>ح به في مصحّ</w:t>
      </w:r>
      <w:r w:rsidR="00090A44" w:rsidRPr="00904FCB">
        <w:rPr>
          <w:rFonts w:hint="cs"/>
          <w:sz w:val="27"/>
          <w:rtl/>
        </w:rPr>
        <w:t>َ</w:t>
      </w:r>
      <w:r w:rsidRPr="00904FCB">
        <w:rPr>
          <w:rFonts w:hint="cs"/>
          <w:sz w:val="27"/>
          <w:rtl/>
        </w:rPr>
        <w:t>حة ثابت بن دينار</w:t>
      </w:r>
      <w:r w:rsidR="00090A44" w:rsidRPr="00904FCB">
        <w:rPr>
          <w:rFonts w:hint="cs"/>
          <w:sz w:val="27"/>
          <w:rtl/>
        </w:rPr>
        <w:t>،</w:t>
      </w:r>
      <w:r w:rsidRPr="00904FCB">
        <w:rPr>
          <w:rFonts w:hint="cs"/>
          <w:sz w:val="27"/>
          <w:rtl/>
        </w:rPr>
        <w:t xml:space="preserve"> عن علي</w:t>
      </w:r>
      <w:r w:rsidR="00090A44" w:rsidRPr="00904FCB">
        <w:rPr>
          <w:rFonts w:hint="cs"/>
          <w:sz w:val="27"/>
          <w:rtl/>
        </w:rPr>
        <w:t>ّ</w:t>
      </w:r>
      <w:r w:rsidRPr="00904FCB">
        <w:rPr>
          <w:rFonts w:hint="cs"/>
          <w:sz w:val="27"/>
          <w:rtl/>
        </w:rPr>
        <w:t xml:space="preserve"> بن الحسين</w:t>
      </w:r>
      <w:r w:rsidR="001C1A2A" w:rsidRPr="00904FCB">
        <w:rPr>
          <w:rFonts w:cs="Mosawi" w:hint="cs"/>
          <w:sz w:val="27"/>
          <w:szCs w:val="22"/>
          <w:rtl/>
        </w:rPr>
        <w:t>×</w:t>
      </w:r>
      <w:r w:rsidRPr="00904FCB">
        <w:rPr>
          <w:rFonts w:hint="cs"/>
          <w:sz w:val="27"/>
          <w:rtl/>
        </w:rPr>
        <w:t xml:space="preserve"> ـ في حديث الحقوق ـ قال: </w:t>
      </w:r>
      <w:r w:rsidR="00090A44" w:rsidRPr="00904FCB">
        <w:rPr>
          <w:rFonts w:hint="eastAsia"/>
          <w:sz w:val="27"/>
          <w:rtl/>
        </w:rPr>
        <w:t>«</w:t>
      </w:r>
      <w:r w:rsidR="00090A44" w:rsidRPr="00904FCB">
        <w:rPr>
          <w:rFonts w:hint="cs"/>
          <w:sz w:val="27"/>
          <w:rtl/>
        </w:rPr>
        <w:t>...</w:t>
      </w:r>
      <w:r w:rsidRPr="00904FCB">
        <w:rPr>
          <w:rFonts w:hint="cs"/>
          <w:sz w:val="27"/>
          <w:rtl/>
        </w:rPr>
        <w:t>وأمّا حقّ مولاك الذي أنعمت عليه فأن تعلم أنّ الله جعل عتقك له وسيلة إليه</w:t>
      </w:r>
      <w:r w:rsidR="00090A44" w:rsidRPr="00904FCB">
        <w:rPr>
          <w:rFonts w:hint="cs"/>
          <w:sz w:val="27"/>
          <w:rtl/>
        </w:rPr>
        <w:t>،</w:t>
      </w:r>
      <w:r w:rsidRPr="00904FCB">
        <w:rPr>
          <w:rFonts w:hint="cs"/>
          <w:sz w:val="27"/>
          <w:rtl/>
        </w:rPr>
        <w:t xml:space="preserve"> وحجاباً لك من النار، وأنّ ثوابك في العاجل ميراثه إذا لم يكن له رحم</w:t>
      </w:r>
      <w:r w:rsidR="00090A44" w:rsidRPr="00904FCB">
        <w:rPr>
          <w:rFonts w:hint="cs"/>
          <w:sz w:val="27"/>
          <w:rtl/>
        </w:rPr>
        <w:t>ٌ؛</w:t>
      </w:r>
      <w:r w:rsidRPr="00904FCB">
        <w:rPr>
          <w:rFonts w:hint="cs"/>
          <w:sz w:val="27"/>
          <w:rtl/>
        </w:rPr>
        <w:t xml:space="preserve"> مكافاة لما أنفقت من مالك، وفي الآجل الجنّة</w:t>
      </w:r>
      <w:r w:rsidRPr="00904FCB">
        <w:rPr>
          <w:rFonts w:hint="eastAsia"/>
          <w:sz w:val="27"/>
          <w:rtl/>
        </w:rPr>
        <w:t>»</w:t>
      </w:r>
      <w:r w:rsidRPr="00904FCB">
        <w:rPr>
          <w:rFonts w:hint="cs"/>
          <w:sz w:val="27"/>
          <w:vertAlign w:val="superscript"/>
          <w:rtl/>
        </w:rPr>
        <w:t>(</w:t>
      </w:r>
      <w:r w:rsidRPr="00904FCB">
        <w:rPr>
          <w:rStyle w:val="ac"/>
          <w:sz w:val="27"/>
          <w:rtl/>
          <w:lang w:bidi="fa-IR"/>
        </w:rPr>
        <w:endnoteReference w:id="414"/>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r w:rsidRPr="00904FCB">
        <w:rPr>
          <w:rFonts w:hint="cs"/>
          <w:sz w:val="27"/>
          <w:rtl/>
        </w:rPr>
        <w:t>وأتصوّر أنّ ظاهرة الولاء كانت ثابتة قبل الإسلام، ولم تُؤسّ</w:t>
      </w:r>
      <w:r w:rsidR="00776700" w:rsidRPr="00904FCB">
        <w:rPr>
          <w:rFonts w:hint="cs"/>
          <w:sz w:val="27"/>
          <w:rtl/>
        </w:rPr>
        <w:t>ِ</w:t>
      </w:r>
      <w:r w:rsidRPr="00904FCB">
        <w:rPr>
          <w:rFonts w:hint="cs"/>
          <w:sz w:val="27"/>
          <w:rtl/>
        </w:rPr>
        <w:t xml:space="preserve">سها الشريعة، بل أمضتها في الجملة. </w:t>
      </w:r>
    </w:p>
    <w:p w:rsidR="005B6CEC" w:rsidRPr="00904FCB" w:rsidRDefault="005B6CEC" w:rsidP="007A21AA">
      <w:pPr>
        <w:spacing w:line="400" w:lineRule="exact"/>
        <w:rPr>
          <w:sz w:val="27"/>
          <w:rtl/>
        </w:rPr>
      </w:pPr>
      <w:r w:rsidRPr="00051230">
        <w:rPr>
          <w:rFonts w:hint="cs"/>
          <w:sz w:val="27"/>
          <w:rtl/>
        </w:rPr>
        <w:t>4ـ</w:t>
      </w:r>
      <w:r w:rsidRPr="00904FCB">
        <w:rPr>
          <w:rFonts w:hint="cs"/>
          <w:sz w:val="27"/>
          <w:rtl/>
        </w:rPr>
        <w:t xml:space="preserve"> كون الولاء مبتنٍ على نُك</w:t>
      </w:r>
      <w:r w:rsidR="00776700" w:rsidRPr="00904FCB">
        <w:rPr>
          <w:rFonts w:hint="cs"/>
          <w:sz w:val="27"/>
          <w:rtl/>
        </w:rPr>
        <w:t>ْ</w:t>
      </w:r>
      <w:r w:rsidRPr="00904FCB">
        <w:rPr>
          <w:rFonts w:hint="cs"/>
          <w:sz w:val="27"/>
          <w:rtl/>
        </w:rPr>
        <w:t>تة</w:t>
      </w:r>
      <w:r w:rsidR="00776700" w:rsidRPr="00904FCB">
        <w:rPr>
          <w:rFonts w:hint="cs"/>
          <w:sz w:val="27"/>
          <w:rtl/>
        </w:rPr>
        <w:t>ٍ</w:t>
      </w:r>
      <w:r w:rsidRPr="00904FCB">
        <w:rPr>
          <w:rFonts w:hint="cs"/>
          <w:sz w:val="27"/>
          <w:rtl/>
        </w:rPr>
        <w:t xml:space="preserve"> ثبوتية عُر</w:t>
      </w:r>
      <w:r w:rsidR="00776700" w:rsidRPr="00904FCB">
        <w:rPr>
          <w:rFonts w:hint="cs"/>
          <w:sz w:val="27"/>
          <w:rtl/>
        </w:rPr>
        <w:t>ْفية وعقلائية أخلاقية، وهي م</w:t>
      </w:r>
      <w:r w:rsidRPr="00904FCB">
        <w:rPr>
          <w:rFonts w:hint="cs"/>
          <w:sz w:val="27"/>
          <w:rtl/>
        </w:rPr>
        <w:t>تحقّ</w:t>
      </w:r>
      <w:r w:rsidR="00776700" w:rsidRPr="00904FCB">
        <w:rPr>
          <w:rFonts w:hint="cs"/>
          <w:sz w:val="27"/>
          <w:rtl/>
        </w:rPr>
        <w:t>ِ</w:t>
      </w:r>
      <w:r w:rsidRPr="00904FCB">
        <w:rPr>
          <w:rFonts w:hint="cs"/>
          <w:sz w:val="27"/>
          <w:rtl/>
        </w:rPr>
        <w:t>قة في طرف المُن</w:t>
      </w:r>
      <w:r w:rsidR="00776700" w:rsidRPr="00904FCB">
        <w:rPr>
          <w:rFonts w:hint="cs"/>
          <w:sz w:val="27"/>
          <w:rtl/>
        </w:rPr>
        <w:t>ْ</w:t>
      </w:r>
      <w:r w:rsidRPr="00904FCB">
        <w:rPr>
          <w:rFonts w:hint="cs"/>
          <w:sz w:val="27"/>
          <w:rtl/>
        </w:rPr>
        <w:t>عِم دون المُن</w:t>
      </w:r>
      <w:r w:rsidR="00776700" w:rsidRPr="00904FCB">
        <w:rPr>
          <w:rFonts w:hint="cs"/>
          <w:sz w:val="27"/>
          <w:rtl/>
        </w:rPr>
        <w:t>ْ</w:t>
      </w:r>
      <w:r w:rsidRPr="00904FCB">
        <w:rPr>
          <w:rFonts w:hint="cs"/>
          <w:sz w:val="27"/>
          <w:rtl/>
        </w:rPr>
        <w:t>عَم</w:t>
      </w:r>
      <w:r w:rsidR="00776700" w:rsidRPr="00904FCB">
        <w:rPr>
          <w:rFonts w:hint="cs"/>
          <w:sz w:val="27"/>
          <w:rtl/>
        </w:rPr>
        <w:t xml:space="preserve"> عليه، ألا وهي كون الولاء نحو م</w:t>
      </w:r>
      <w:r w:rsidRPr="00904FCB">
        <w:rPr>
          <w:rFonts w:hint="cs"/>
          <w:sz w:val="27"/>
          <w:rtl/>
        </w:rPr>
        <w:t>كافأة له وردّاً لإحسانه، كما أشار إليه التعليل في حديث الحقوق. وهذه النُك</w:t>
      </w:r>
      <w:r w:rsidR="00776700" w:rsidRPr="00904FCB">
        <w:rPr>
          <w:rFonts w:hint="cs"/>
          <w:sz w:val="27"/>
          <w:rtl/>
        </w:rPr>
        <w:t>ْ</w:t>
      </w:r>
      <w:r w:rsidRPr="00904FCB">
        <w:rPr>
          <w:rFonts w:hint="cs"/>
          <w:sz w:val="27"/>
          <w:rtl/>
        </w:rPr>
        <w:t xml:space="preserve">تة تنسجم مع الرأي المشهور. </w:t>
      </w:r>
    </w:p>
    <w:p w:rsidR="005B6CEC" w:rsidRPr="00904FCB" w:rsidRDefault="005B6CEC" w:rsidP="007A21AA">
      <w:pPr>
        <w:spacing w:line="400" w:lineRule="exact"/>
        <w:rPr>
          <w:b/>
          <w:bCs/>
          <w:sz w:val="27"/>
          <w:rtl/>
        </w:rPr>
      </w:pPr>
    </w:p>
    <w:p w:rsidR="005B6CEC" w:rsidRPr="00904FCB" w:rsidRDefault="005B6CEC" w:rsidP="007A21AA">
      <w:pPr>
        <w:pStyle w:val="31"/>
        <w:spacing w:line="400" w:lineRule="exact"/>
        <w:rPr>
          <w:color w:val="auto"/>
          <w:rtl/>
        </w:rPr>
      </w:pPr>
      <w:r w:rsidRPr="00904FCB">
        <w:rPr>
          <w:rFonts w:hint="cs"/>
          <w:color w:val="auto"/>
          <w:rtl/>
        </w:rPr>
        <w:t xml:space="preserve">المناقشة </w:t>
      </w:r>
    </w:p>
    <w:p w:rsidR="005B6CEC" w:rsidRPr="00904FCB" w:rsidRDefault="005B6CEC" w:rsidP="007A21AA">
      <w:pPr>
        <w:spacing w:line="400" w:lineRule="exact"/>
        <w:rPr>
          <w:sz w:val="27"/>
          <w:rtl/>
        </w:rPr>
      </w:pPr>
      <w:r w:rsidRPr="00051230">
        <w:rPr>
          <w:rFonts w:hint="cs"/>
          <w:sz w:val="27"/>
          <w:rtl/>
        </w:rPr>
        <w:t>1ـ</w:t>
      </w:r>
      <w:r w:rsidRPr="00904FCB">
        <w:rPr>
          <w:rFonts w:hint="cs"/>
          <w:sz w:val="27"/>
          <w:rtl/>
        </w:rPr>
        <w:t xml:space="preserve"> قد يُدّ</w:t>
      </w:r>
      <w:r w:rsidR="00776700" w:rsidRPr="00904FCB">
        <w:rPr>
          <w:rFonts w:hint="cs"/>
          <w:sz w:val="27"/>
          <w:rtl/>
        </w:rPr>
        <w:t>َ</w:t>
      </w:r>
      <w:r w:rsidRPr="00904FCB">
        <w:rPr>
          <w:rFonts w:hint="cs"/>
          <w:sz w:val="27"/>
          <w:rtl/>
        </w:rPr>
        <w:t>عى ورود الدليل على التوريث، وهو معتبرة السكوني</w:t>
      </w:r>
      <w:r w:rsidR="00776700" w:rsidRPr="00904FCB">
        <w:rPr>
          <w:rFonts w:hint="cs"/>
          <w:sz w:val="27"/>
          <w:rtl/>
        </w:rPr>
        <w:t xml:space="preserve">، </w:t>
      </w:r>
      <w:r w:rsidRPr="00904FCB">
        <w:rPr>
          <w:rFonts w:hint="cs"/>
          <w:sz w:val="27"/>
          <w:rtl/>
        </w:rPr>
        <w:t>التي تضمّ</w:t>
      </w:r>
      <w:r w:rsidR="00776700" w:rsidRPr="00904FCB">
        <w:rPr>
          <w:rFonts w:hint="cs"/>
          <w:sz w:val="27"/>
          <w:rtl/>
        </w:rPr>
        <w:t>َنت تنـزيل علاقة الولاء من</w:t>
      </w:r>
      <w:r w:rsidRPr="00904FCB">
        <w:rPr>
          <w:rFonts w:hint="cs"/>
          <w:sz w:val="27"/>
          <w:rtl/>
        </w:rPr>
        <w:t xml:space="preserve">زلة النسب، فتكون حاكمة على أصالة عدم توريث العتيق. </w:t>
      </w:r>
    </w:p>
    <w:p w:rsidR="005B6CEC" w:rsidRPr="00904FCB" w:rsidRDefault="005B6CEC" w:rsidP="007A21AA">
      <w:pPr>
        <w:spacing w:line="400" w:lineRule="exact"/>
        <w:rPr>
          <w:sz w:val="27"/>
          <w:rtl/>
        </w:rPr>
      </w:pPr>
      <w:r w:rsidRPr="00051230">
        <w:rPr>
          <w:rFonts w:hint="cs"/>
          <w:sz w:val="27"/>
          <w:rtl/>
        </w:rPr>
        <w:t>2ـ</w:t>
      </w:r>
      <w:r w:rsidRPr="00904FCB">
        <w:rPr>
          <w:rFonts w:hint="cs"/>
          <w:sz w:val="27"/>
          <w:rtl/>
        </w:rPr>
        <w:t xml:space="preserve"> إنّ الحديث </w:t>
      </w:r>
      <w:r w:rsidRPr="00904FCB">
        <w:rPr>
          <w:rFonts w:hint="eastAsia"/>
          <w:sz w:val="27"/>
          <w:rtl/>
        </w:rPr>
        <w:t>«</w:t>
      </w:r>
      <w:r w:rsidRPr="00904FCB">
        <w:rPr>
          <w:rFonts w:hint="cs"/>
          <w:sz w:val="27"/>
          <w:rtl/>
        </w:rPr>
        <w:t>إنّما الولاء لمَن</w:t>
      </w:r>
      <w:r w:rsidR="00776700" w:rsidRPr="00904FCB">
        <w:rPr>
          <w:rFonts w:hint="cs"/>
          <w:sz w:val="27"/>
          <w:rtl/>
        </w:rPr>
        <w:t>ْ</w:t>
      </w:r>
      <w:r w:rsidRPr="00904FCB">
        <w:rPr>
          <w:rFonts w:hint="cs"/>
          <w:sz w:val="27"/>
          <w:rtl/>
        </w:rPr>
        <w:t xml:space="preserve"> أعتق</w:t>
      </w:r>
      <w:r w:rsidRPr="00904FCB">
        <w:rPr>
          <w:rFonts w:hint="eastAsia"/>
          <w:sz w:val="27"/>
          <w:rtl/>
        </w:rPr>
        <w:t>»</w:t>
      </w:r>
      <w:r w:rsidRPr="00904FCB">
        <w:rPr>
          <w:rFonts w:hint="cs"/>
          <w:sz w:val="27"/>
          <w:rtl/>
        </w:rPr>
        <w:t xml:space="preserve"> بصيغة الحصر إنّما ورد في كتب الفقه</w:t>
      </w:r>
      <w:r w:rsidRPr="00904FCB">
        <w:rPr>
          <w:rFonts w:hint="cs"/>
          <w:sz w:val="27"/>
          <w:vertAlign w:val="superscript"/>
          <w:rtl/>
        </w:rPr>
        <w:t>(</w:t>
      </w:r>
      <w:r w:rsidRPr="00904FCB">
        <w:rPr>
          <w:rStyle w:val="ac"/>
          <w:sz w:val="27"/>
          <w:rtl/>
          <w:lang w:bidi="fa-IR"/>
        </w:rPr>
        <w:endnoteReference w:id="415"/>
      </w:r>
      <w:r w:rsidRPr="00904FCB">
        <w:rPr>
          <w:rFonts w:hint="cs"/>
          <w:sz w:val="27"/>
          <w:vertAlign w:val="superscript"/>
          <w:rtl/>
          <w:lang w:bidi="fa-IR"/>
        </w:rPr>
        <w:t xml:space="preserve">) </w:t>
      </w:r>
      <w:r w:rsidRPr="00904FCB">
        <w:rPr>
          <w:rFonts w:hint="cs"/>
          <w:sz w:val="27"/>
          <w:rtl/>
        </w:rPr>
        <w:t>والمصادر السنّ</w:t>
      </w:r>
      <w:r w:rsidR="00776700" w:rsidRPr="00904FCB">
        <w:rPr>
          <w:rFonts w:hint="cs"/>
          <w:sz w:val="27"/>
          <w:rtl/>
        </w:rPr>
        <w:t>ِ</w:t>
      </w:r>
      <w:r w:rsidRPr="00904FCB">
        <w:rPr>
          <w:rFonts w:hint="cs"/>
          <w:sz w:val="27"/>
          <w:rtl/>
        </w:rPr>
        <w:t>ية</w:t>
      </w:r>
      <w:r w:rsidRPr="00904FCB">
        <w:rPr>
          <w:rFonts w:hint="cs"/>
          <w:sz w:val="27"/>
          <w:vertAlign w:val="superscript"/>
          <w:rtl/>
        </w:rPr>
        <w:t>(</w:t>
      </w:r>
      <w:r w:rsidRPr="00904FCB">
        <w:rPr>
          <w:rStyle w:val="ac"/>
          <w:sz w:val="27"/>
          <w:rtl/>
          <w:lang w:bidi="fa-IR"/>
        </w:rPr>
        <w:endnoteReference w:id="416"/>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r w:rsidRPr="00904FCB">
        <w:rPr>
          <w:rFonts w:hint="cs"/>
          <w:sz w:val="27"/>
          <w:rtl/>
        </w:rPr>
        <w:t>ولم ي</w:t>
      </w:r>
      <w:r w:rsidR="00776700" w:rsidRPr="00904FCB">
        <w:rPr>
          <w:rFonts w:hint="cs"/>
          <w:sz w:val="27"/>
          <w:rtl/>
        </w:rPr>
        <w:t>َ</w:t>
      </w:r>
      <w:r w:rsidRPr="00904FCB">
        <w:rPr>
          <w:rFonts w:hint="cs"/>
          <w:sz w:val="27"/>
          <w:rtl/>
        </w:rPr>
        <w:t>ر</w:t>
      </w:r>
      <w:r w:rsidR="00776700" w:rsidRPr="00904FCB">
        <w:rPr>
          <w:rFonts w:hint="cs"/>
          <w:sz w:val="27"/>
          <w:rtl/>
        </w:rPr>
        <w:t>ِ</w:t>
      </w:r>
      <w:r w:rsidRPr="00904FCB">
        <w:rPr>
          <w:rFonts w:hint="cs"/>
          <w:sz w:val="27"/>
          <w:rtl/>
        </w:rPr>
        <w:t>د</w:t>
      </w:r>
      <w:r w:rsidR="00776700" w:rsidRPr="00904FCB">
        <w:rPr>
          <w:rFonts w:hint="cs"/>
          <w:sz w:val="27"/>
          <w:rtl/>
        </w:rPr>
        <w:t>ْ</w:t>
      </w:r>
      <w:r w:rsidRPr="00904FCB">
        <w:rPr>
          <w:rFonts w:hint="cs"/>
          <w:sz w:val="27"/>
          <w:rtl/>
        </w:rPr>
        <w:t xml:space="preserve"> ذلك في مصادر الإمامية الحديثية. </w:t>
      </w:r>
    </w:p>
    <w:p w:rsidR="005B6CEC" w:rsidRPr="00904FCB" w:rsidRDefault="005B6CEC" w:rsidP="007A21AA">
      <w:pPr>
        <w:spacing w:line="400" w:lineRule="exact"/>
        <w:rPr>
          <w:sz w:val="27"/>
          <w:rtl/>
        </w:rPr>
      </w:pPr>
      <w:r w:rsidRPr="00051230">
        <w:rPr>
          <w:rFonts w:hint="cs"/>
          <w:sz w:val="27"/>
          <w:rtl/>
        </w:rPr>
        <w:t>3ـ</w:t>
      </w:r>
      <w:r w:rsidRPr="00904FCB">
        <w:rPr>
          <w:rFonts w:hint="cs"/>
          <w:sz w:val="27"/>
          <w:rtl/>
        </w:rPr>
        <w:t xml:space="preserve"> وما ورد في مصحّ</w:t>
      </w:r>
      <w:r w:rsidR="00776700" w:rsidRPr="00904FCB">
        <w:rPr>
          <w:rFonts w:hint="cs"/>
          <w:sz w:val="27"/>
          <w:rtl/>
        </w:rPr>
        <w:t>َ</w:t>
      </w:r>
      <w:r w:rsidRPr="00904FCB">
        <w:rPr>
          <w:rFonts w:hint="cs"/>
          <w:sz w:val="27"/>
          <w:rtl/>
        </w:rPr>
        <w:t>حة ثابت بن دينار يُثبت الولاء للمُن</w:t>
      </w:r>
      <w:r w:rsidR="00776700" w:rsidRPr="00904FCB">
        <w:rPr>
          <w:rFonts w:hint="cs"/>
          <w:sz w:val="27"/>
          <w:rtl/>
        </w:rPr>
        <w:t>ْ</w:t>
      </w:r>
      <w:r w:rsidRPr="00904FCB">
        <w:rPr>
          <w:rFonts w:hint="cs"/>
          <w:sz w:val="27"/>
          <w:rtl/>
        </w:rPr>
        <w:t>عِم، ولا ينفي ثبوته لغيره، فليس له مفهوم</w:t>
      </w:r>
      <w:r w:rsidR="00776700" w:rsidRPr="00904FCB">
        <w:rPr>
          <w:rFonts w:hint="cs"/>
          <w:sz w:val="27"/>
          <w:rtl/>
        </w:rPr>
        <w:t>ٌ</w:t>
      </w:r>
      <w:r w:rsidRPr="00904FCB">
        <w:rPr>
          <w:rFonts w:hint="cs"/>
          <w:sz w:val="27"/>
          <w:rtl/>
        </w:rPr>
        <w:t xml:space="preserve"> كما يُقال. </w:t>
      </w:r>
    </w:p>
    <w:p w:rsidR="005B6CEC" w:rsidRPr="00904FCB" w:rsidRDefault="005B6CEC" w:rsidP="007A21AA">
      <w:pPr>
        <w:spacing w:line="400" w:lineRule="exact"/>
        <w:rPr>
          <w:sz w:val="27"/>
          <w:rtl/>
        </w:rPr>
      </w:pPr>
      <w:r w:rsidRPr="00051230">
        <w:rPr>
          <w:rFonts w:hint="cs"/>
          <w:sz w:val="27"/>
          <w:rtl/>
        </w:rPr>
        <w:t>4ـ</w:t>
      </w:r>
      <w:r w:rsidRPr="00904FCB">
        <w:rPr>
          <w:rFonts w:hint="cs"/>
          <w:sz w:val="27"/>
          <w:rtl/>
        </w:rPr>
        <w:t xml:space="preserve"> إنّ النُك</w:t>
      </w:r>
      <w:r w:rsidR="00776700" w:rsidRPr="00904FCB">
        <w:rPr>
          <w:rFonts w:hint="cs"/>
          <w:sz w:val="27"/>
          <w:rtl/>
        </w:rPr>
        <w:t>ْ</w:t>
      </w:r>
      <w:r w:rsidRPr="00904FCB">
        <w:rPr>
          <w:rFonts w:hint="cs"/>
          <w:sz w:val="27"/>
          <w:rtl/>
        </w:rPr>
        <w:t>تة العقلائية والأخلاقية التي أبرزناها لا تقتضي إثبات التوريث؛ لأنّ الحقّ الأخلاقي لا يُقاب</w:t>
      </w:r>
      <w:r w:rsidR="00776700" w:rsidRPr="00904FCB">
        <w:rPr>
          <w:rFonts w:hint="cs"/>
          <w:sz w:val="27"/>
          <w:rtl/>
        </w:rPr>
        <w:t>َ</w:t>
      </w:r>
      <w:r w:rsidRPr="00904FCB">
        <w:rPr>
          <w:rFonts w:hint="cs"/>
          <w:sz w:val="27"/>
          <w:rtl/>
        </w:rPr>
        <w:t>ل بالحقّ المالي، وإنّما يُقاب</w:t>
      </w:r>
      <w:r w:rsidR="00776700" w:rsidRPr="00904FCB">
        <w:rPr>
          <w:rFonts w:hint="cs"/>
          <w:sz w:val="27"/>
          <w:rtl/>
        </w:rPr>
        <w:t>َ</w:t>
      </w:r>
      <w:r w:rsidRPr="00904FCB">
        <w:rPr>
          <w:rFonts w:hint="cs"/>
          <w:sz w:val="27"/>
          <w:rtl/>
        </w:rPr>
        <w:t>ل بأمر</w:t>
      </w:r>
      <w:r w:rsidR="00776700" w:rsidRPr="00904FCB">
        <w:rPr>
          <w:rFonts w:hint="cs"/>
          <w:sz w:val="27"/>
          <w:rtl/>
        </w:rPr>
        <w:t>ٍ</w:t>
      </w:r>
      <w:r w:rsidRPr="00904FCB">
        <w:rPr>
          <w:rFonts w:hint="cs"/>
          <w:sz w:val="27"/>
          <w:rtl/>
        </w:rPr>
        <w:t xml:space="preserve"> معنوي</w:t>
      </w:r>
      <w:r w:rsidR="00776700" w:rsidRPr="00904FCB">
        <w:rPr>
          <w:rFonts w:hint="cs"/>
          <w:sz w:val="27"/>
          <w:rtl/>
        </w:rPr>
        <w:t>ّ،</w:t>
      </w:r>
      <w:r w:rsidRPr="00904FCB">
        <w:rPr>
          <w:rFonts w:hint="cs"/>
          <w:sz w:val="27"/>
          <w:rtl/>
        </w:rPr>
        <w:t xml:space="preserve"> كالمدح والثواب ال</w:t>
      </w:r>
      <w:r w:rsidR="00776700" w:rsidRPr="00904FCB">
        <w:rPr>
          <w:rFonts w:hint="cs"/>
          <w:sz w:val="27"/>
          <w:rtl/>
        </w:rPr>
        <w:t>أ</w:t>
      </w:r>
      <w:r w:rsidRPr="00904FCB">
        <w:rPr>
          <w:rFonts w:hint="cs"/>
          <w:sz w:val="27"/>
          <w:rtl/>
        </w:rPr>
        <w:t>خر</w:t>
      </w:r>
      <w:r w:rsidR="00776700" w:rsidRPr="00904FCB">
        <w:rPr>
          <w:rFonts w:hint="cs"/>
          <w:sz w:val="27"/>
          <w:rtl/>
        </w:rPr>
        <w:t>وي، م</w:t>
      </w:r>
      <w:r w:rsidRPr="00904FCB">
        <w:rPr>
          <w:rFonts w:hint="cs"/>
          <w:sz w:val="27"/>
          <w:rtl/>
        </w:rPr>
        <w:t>ضافاً إلى أنّها لا تُبرّ</w:t>
      </w:r>
      <w:r w:rsidR="00776700" w:rsidRPr="00904FCB">
        <w:rPr>
          <w:rFonts w:hint="cs"/>
          <w:sz w:val="27"/>
          <w:rtl/>
        </w:rPr>
        <w:t>ِ</w:t>
      </w:r>
      <w:r w:rsidRPr="00904FCB">
        <w:rPr>
          <w:rFonts w:hint="cs"/>
          <w:sz w:val="27"/>
          <w:rtl/>
        </w:rPr>
        <w:t>ر توريث ورثة المُع</w:t>
      </w:r>
      <w:r w:rsidR="00776700" w:rsidRPr="00904FCB">
        <w:rPr>
          <w:rFonts w:hint="cs"/>
          <w:sz w:val="27"/>
          <w:rtl/>
        </w:rPr>
        <w:t>ْ</w:t>
      </w:r>
      <w:r w:rsidRPr="00904FCB">
        <w:rPr>
          <w:rFonts w:hint="cs"/>
          <w:sz w:val="27"/>
          <w:rtl/>
        </w:rPr>
        <w:t xml:space="preserve">تِق عند فقده. </w:t>
      </w:r>
    </w:p>
    <w:p w:rsidR="005B6CEC" w:rsidRPr="00904FCB" w:rsidRDefault="005B6CEC" w:rsidP="007A21AA">
      <w:pPr>
        <w:spacing w:line="400" w:lineRule="exact"/>
        <w:rPr>
          <w:sz w:val="27"/>
          <w:rtl/>
          <w:lang w:bidi="fa-IR"/>
        </w:rPr>
      </w:pPr>
      <w:r w:rsidRPr="00904FCB">
        <w:rPr>
          <w:rFonts w:hint="cs"/>
          <w:b/>
          <w:bCs/>
          <w:sz w:val="27"/>
          <w:rtl/>
        </w:rPr>
        <w:t>القول الثاني</w:t>
      </w:r>
      <w:r w:rsidRPr="00904FCB">
        <w:rPr>
          <w:rFonts w:hint="cs"/>
          <w:sz w:val="27"/>
          <w:rtl/>
        </w:rPr>
        <w:t xml:space="preserve">: وهو ما اختاره ابن بابويه من الإمامية </w:t>
      </w:r>
      <w:r w:rsidRPr="00904FCB">
        <w:rPr>
          <w:rFonts w:hint="cs"/>
          <w:sz w:val="27"/>
          <w:rtl/>
          <w:lang w:bidi="fa-IR"/>
        </w:rPr>
        <w:t>ـ ونُسب إلى ابن الجُن</w:t>
      </w:r>
      <w:r w:rsidR="00776700" w:rsidRPr="00904FCB">
        <w:rPr>
          <w:rFonts w:hint="cs"/>
          <w:sz w:val="27"/>
          <w:rtl/>
          <w:lang w:bidi="fa-IR"/>
        </w:rPr>
        <w:t>َ</w:t>
      </w:r>
      <w:r w:rsidRPr="00904FCB">
        <w:rPr>
          <w:rFonts w:hint="cs"/>
          <w:sz w:val="27"/>
          <w:rtl/>
          <w:lang w:bidi="fa-IR"/>
        </w:rPr>
        <w:t>ي</w:t>
      </w:r>
      <w:r w:rsidR="00776700" w:rsidRPr="00904FCB">
        <w:rPr>
          <w:rFonts w:hint="cs"/>
          <w:sz w:val="27"/>
          <w:rtl/>
          <w:lang w:bidi="fa-IR"/>
        </w:rPr>
        <w:t>ْ</w:t>
      </w:r>
      <w:r w:rsidRPr="00904FCB">
        <w:rPr>
          <w:rFonts w:hint="cs"/>
          <w:sz w:val="27"/>
          <w:rtl/>
          <w:lang w:bidi="fa-IR"/>
        </w:rPr>
        <w:t xml:space="preserve">د </w:t>
      </w:r>
      <w:r w:rsidRPr="00904FCB">
        <w:rPr>
          <w:rFonts w:hint="cs"/>
          <w:sz w:val="27"/>
          <w:rtl/>
          <w:lang w:bidi="fa-IR"/>
        </w:rPr>
        <w:lastRenderedPageBreak/>
        <w:t>أيضاً</w:t>
      </w:r>
      <w:r w:rsidRPr="00904FCB">
        <w:rPr>
          <w:rFonts w:hint="cs"/>
          <w:sz w:val="27"/>
          <w:vertAlign w:val="superscript"/>
          <w:rtl/>
          <w:lang w:bidi="fa-IR"/>
        </w:rPr>
        <w:t>(</w:t>
      </w:r>
      <w:r w:rsidRPr="00904FCB">
        <w:rPr>
          <w:rStyle w:val="ac"/>
          <w:sz w:val="27"/>
          <w:rtl/>
          <w:lang w:bidi="fa-IR"/>
        </w:rPr>
        <w:endnoteReference w:id="417"/>
      </w:r>
      <w:r w:rsidRPr="00904FCB">
        <w:rPr>
          <w:rFonts w:hint="cs"/>
          <w:sz w:val="27"/>
          <w:vertAlign w:val="superscript"/>
          <w:rtl/>
          <w:lang w:bidi="fa-IR"/>
        </w:rPr>
        <w:t xml:space="preserve">) </w:t>
      </w:r>
      <w:r w:rsidRPr="00904FCB">
        <w:rPr>
          <w:rFonts w:hint="cs"/>
          <w:sz w:val="27"/>
          <w:rtl/>
          <w:lang w:bidi="fa-IR"/>
        </w:rPr>
        <w:t xml:space="preserve">ـ </w:t>
      </w:r>
      <w:r w:rsidRPr="00904FCB">
        <w:rPr>
          <w:rFonts w:hint="cs"/>
          <w:sz w:val="27"/>
          <w:rtl/>
        </w:rPr>
        <w:t xml:space="preserve">حيث </w:t>
      </w:r>
      <w:r w:rsidRPr="00904FCB">
        <w:rPr>
          <w:rFonts w:hint="cs"/>
          <w:sz w:val="27"/>
          <w:rtl/>
          <w:lang w:bidi="fa-IR"/>
        </w:rPr>
        <w:t>ذهب إلى توريث الجانبين في الولاء</w:t>
      </w:r>
      <w:r w:rsidR="00776700" w:rsidRPr="00904FCB">
        <w:rPr>
          <w:rFonts w:hint="cs"/>
          <w:sz w:val="27"/>
          <w:rtl/>
          <w:lang w:bidi="fa-IR"/>
        </w:rPr>
        <w:t>.</w:t>
      </w:r>
      <w:r w:rsidRPr="00904FCB">
        <w:rPr>
          <w:rFonts w:hint="cs"/>
          <w:sz w:val="27"/>
          <w:rtl/>
          <w:lang w:bidi="fa-IR"/>
        </w:rPr>
        <w:t xml:space="preserve"> قال: </w:t>
      </w:r>
      <w:r w:rsidRPr="00904FCB">
        <w:rPr>
          <w:rFonts w:hint="eastAsia"/>
          <w:sz w:val="27"/>
          <w:rtl/>
        </w:rPr>
        <w:t>«</w:t>
      </w:r>
      <w:r w:rsidRPr="00904FCB">
        <w:rPr>
          <w:rFonts w:hint="cs"/>
          <w:sz w:val="27"/>
          <w:rtl/>
          <w:lang w:bidi="fa-IR"/>
        </w:rPr>
        <w:t>إذا ترك الرجل مولى من</w:t>
      </w:r>
      <w:r w:rsidR="00776700" w:rsidRPr="00904FCB">
        <w:rPr>
          <w:rFonts w:hint="cs"/>
          <w:sz w:val="27"/>
          <w:rtl/>
          <w:lang w:bidi="fa-IR"/>
        </w:rPr>
        <w:t>ْ</w:t>
      </w:r>
      <w:r w:rsidRPr="00904FCB">
        <w:rPr>
          <w:rFonts w:hint="cs"/>
          <w:sz w:val="27"/>
          <w:rtl/>
          <w:lang w:bidi="fa-IR"/>
        </w:rPr>
        <w:t>عِماً أو من</w:t>
      </w:r>
      <w:r w:rsidR="00776700" w:rsidRPr="00904FCB">
        <w:rPr>
          <w:rFonts w:hint="cs"/>
          <w:sz w:val="27"/>
          <w:rtl/>
          <w:lang w:bidi="fa-IR"/>
        </w:rPr>
        <w:t>ْ</w:t>
      </w:r>
      <w:r w:rsidRPr="00904FCB">
        <w:rPr>
          <w:rFonts w:hint="cs"/>
          <w:sz w:val="27"/>
          <w:rtl/>
          <w:lang w:bidi="fa-IR"/>
        </w:rPr>
        <w:t>عَماً عليه</w:t>
      </w:r>
      <w:r w:rsidR="00776700" w:rsidRPr="00904FCB">
        <w:rPr>
          <w:rFonts w:hint="cs"/>
          <w:sz w:val="27"/>
          <w:rtl/>
          <w:lang w:bidi="fa-IR"/>
        </w:rPr>
        <w:t>،</w:t>
      </w:r>
      <w:r w:rsidRPr="00904FCB">
        <w:rPr>
          <w:rFonts w:hint="cs"/>
          <w:sz w:val="27"/>
          <w:rtl/>
          <w:lang w:bidi="fa-IR"/>
        </w:rPr>
        <w:t xml:space="preserve"> ولم يترك وارثاً غيره</w:t>
      </w:r>
      <w:r w:rsidR="00776700" w:rsidRPr="00904FCB">
        <w:rPr>
          <w:rFonts w:hint="cs"/>
          <w:sz w:val="27"/>
          <w:rtl/>
          <w:lang w:bidi="fa-IR"/>
        </w:rPr>
        <w:t>،</w:t>
      </w:r>
      <w:r w:rsidRPr="00904FCB">
        <w:rPr>
          <w:rFonts w:hint="cs"/>
          <w:sz w:val="27"/>
          <w:rtl/>
          <w:lang w:bidi="fa-IR"/>
        </w:rPr>
        <w:t xml:space="preserve"> فالمال له</w:t>
      </w:r>
      <w:r w:rsidRPr="00904FCB">
        <w:rPr>
          <w:rFonts w:hint="eastAsia"/>
          <w:sz w:val="27"/>
          <w:rtl/>
        </w:rPr>
        <w:t>»</w:t>
      </w:r>
      <w:r w:rsidRPr="00904FCB">
        <w:rPr>
          <w:rFonts w:hint="cs"/>
          <w:sz w:val="27"/>
          <w:vertAlign w:val="superscript"/>
          <w:rtl/>
          <w:lang w:bidi="fa-IR"/>
        </w:rPr>
        <w:t>(</w:t>
      </w:r>
      <w:r w:rsidRPr="00904FCB">
        <w:rPr>
          <w:rStyle w:val="ac"/>
          <w:sz w:val="27"/>
          <w:rtl/>
          <w:lang w:bidi="fa-IR"/>
        </w:rPr>
        <w:endnoteReference w:id="418"/>
      </w:r>
      <w:r w:rsidRPr="00904FCB">
        <w:rPr>
          <w:rFonts w:hint="cs"/>
          <w:sz w:val="27"/>
          <w:vertAlign w:val="superscript"/>
          <w:rtl/>
          <w:lang w:bidi="fa-IR"/>
        </w:rPr>
        <w:t>)</w:t>
      </w:r>
      <w:r w:rsidRPr="00904FCB">
        <w:rPr>
          <w:rFonts w:hint="cs"/>
          <w:sz w:val="27"/>
          <w:rtl/>
          <w:lang w:bidi="fa-IR"/>
        </w:rPr>
        <w:t>. وقد رماه في المسالك بالشذوذ</w:t>
      </w:r>
      <w:r w:rsidRPr="00904FCB">
        <w:rPr>
          <w:rFonts w:hint="cs"/>
          <w:sz w:val="27"/>
          <w:vertAlign w:val="superscript"/>
          <w:rtl/>
          <w:lang w:bidi="fa-IR"/>
        </w:rPr>
        <w:t>(</w:t>
      </w:r>
      <w:r w:rsidRPr="00904FCB">
        <w:rPr>
          <w:rStyle w:val="ac"/>
          <w:sz w:val="27"/>
          <w:rtl/>
          <w:lang w:bidi="fa-IR"/>
        </w:rPr>
        <w:endnoteReference w:id="419"/>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p>
    <w:p w:rsidR="005B6CEC" w:rsidRPr="00904FCB" w:rsidRDefault="005B6CEC" w:rsidP="007A21AA">
      <w:pPr>
        <w:spacing w:line="400" w:lineRule="exact"/>
        <w:rPr>
          <w:b/>
          <w:bCs/>
          <w:sz w:val="27"/>
          <w:rtl/>
          <w:lang w:bidi="fa-IR"/>
        </w:rPr>
      </w:pPr>
    </w:p>
    <w:p w:rsidR="005B6CEC" w:rsidRPr="00904FCB" w:rsidRDefault="005B6CEC" w:rsidP="007A21AA">
      <w:pPr>
        <w:pStyle w:val="31"/>
        <w:spacing w:line="400" w:lineRule="exact"/>
        <w:rPr>
          <w:color w:val="auto"/>
          <w:rtl/>
        </w:rPr>
      </w:pPr>
      <w:r w:rsidRPr="00904FCB">
        <w:rPr>
          <w:rFonts w:hint="cs"/>
          <w:color w:val="auto"/>
          <w:rtl/>
        </w:rPr>
        <w:t xml:space="preserve">الدليل </w:t>
      </w:r>
    </w:p>
    <w:p w:rsidR="005B6CEC" w:rsidRPr="00904FCB" w:rsidRDefault="005B6CEC" w:rsidP="00EE3AAF">
      <w:pPr>
        <w:spacing w:line="420" w:lineRule="exact"/>
        <w:rPr>
          <w:sz w:val="27"/>
          <w:rtl/>
        </w:rPr>
      </w:pPr>
      <w:r w:rsidRPr="00904FCB">
        <w:rPr>
          <w:rFonts w:hint="cs"/>
          <w:b/>
          <w:bCs/>
          <w:sz w:val="27"/>
          <w:rtl/>
        </w:rPr>
        <w:t>قيل</w:t>
      </w:r>
      <w:r w:rsidRPr="00904FCB">
        <w:rPr>
          <w:rFonts w:hint="cs"/>
          <w:sz w:val="27"/>
          <w:rtl/>
        </w:rPr>
        <w:t>: ولعلّ مستنده</w:t>
      </w:r>
      <w:r w:rsidRPr="00904FCB">
        <w:rPr>
          <w:rFonts w:hint="cs"/>
          <w:sz w:val="27"/>
          <w:vertAlign w:val="superscript"/>
          <w:rtl/>
        </w:rPr>
        <w:t>(</w:t>
      </w:r>
      <w:r w:rsidRPr="00904FCB">
        <w:rPr>
          <w:rStyle w:val="ac"/>
          <w:sz w:val="27"/>
          <w:rtl/>
          <w:lang w:bidi="fa-IR"/>
        </w:rPr>
        <w:endnoteReference w:id="420"/>
      </w:r>
      <w:r w:rsidRPr="00904FCB">
        <w:rPr>
          <w:rFonts w:hint="cs"/>
          <w:sz w:val="27"/>
          <w:vertAlign w:val="superscript"/>
          <w:rtl/>
          <w:lang w:bidi="fa-IR"/>
        </w:rPr>
        <w:t xml:space="preserve">) </w:t>
      </w:r>
      <w:r w:rsidRPr="00904FCB">
        <w:rPr>
          <w:rFonts w:hint="cs"/>
          <w:sz w:val="27"/>
          <w:rtl/>
        </w:rPr>
        <w:t>معتبرة السكوني</w:t>
      </w:r>
      <w:r w:rsidR="0082585A" w:rsidRPr="00904FCB">
        <w:rPr>
          <w:rFonts w:hint="cs"/>
          <w:sz w:val="27"/>
          <w:rtl/>
        </w:rPr>
        <w:t>،</w:t>
      </w:r>
      <w:r w:rsidRPr="00904FCB">
        <w:rPr>
          <w:rFonts w:hint="cs"/>
          <w:sz w:val="27"/>
          <w:rtl/>
        </w:rPr>
        <w:t xml:space="preserve"> عن جعفر</w:t>
      </w:r>
      <w:r w:rsidR="0082585A" w:rsidRPr="00904FCB">
        <w:rPr>
          <w:rFonts w:hint="cs"/>
          <w:sz w:val="27"/>
          <w:rtl/>
        </w:rPr>
        <w:t>، عن أبيه</w:t>
      </w:r>
      <w:r w:rsidR="00EE3AAF" w:rsidRPr="00CB2F28">
        <w:rPr>
          <w:rFonts w:ascii="Mosawi" w:hAnsi="Mosawi" w:cs="Mosawi"/>
          <w:sz w:val="22"/>
          <w:szCs w:val="22"/>
          <w:rtl/>
        </w:rPr>
        <w:t>’</w:t>
      </w:r>
      <w:r w:rsidRPr="00904FCB">
        <w:rPr>
          <w:rFonts w:ascii="Roumouz" w:hAnsi="Roumouz" w:hint="cs"/>
          <w:sz w:val="27"/>
          <w:rtl/>
          <w:lang w:bidi="ar-IQ"/>
        </w:rPr>
        <w:t xml:space="preserve">، </w:t>
      </w:r>
      <w:r w:rsidRPr="00904FCB">
        <w:rPr>
          <w:rFonts w:hint="cs"/>
          <w:sz w:val="27"/>
          <w:rtl/>
        </w:rPr>
        <w:t xml:space="preserve">قال: </w:t>
      </w:r>
      <w:r w:rsidRPr="00904FCB">
        <w:rPr>
          <w:rFonts w:hint="eastAsia"/>
          <w:sz w:val="27"/>
          <w:rtl/>
        </w:rPr>
        <w:t>«</w:t>
      </w:r>
      <w:r w:rsidRPr="00904FCB">
        <w:rPr>
          <w:rFonts w:hint="cs"/>
          <w:sz w:val="27"/>
          <w:rtl/>
        </w:rPr>
        <w:t>قال النبي</w:t>
      </w:r>
      <w:r w:rsidR="0082585A" w:rsidRPr="00904FCB">
        <w:rPr>
          <w:rFonts w:hint="cs"/>
          <w:sz w:val="27"/>
          <w:rtl/>
        </w:rPr>
        <w:t>ّ</w:t>
      </w:r>
      <w:r w:rsidR="00635E51" w:rsidRPr="00904FCB">
        <w:rPr>
          <w:rFonts w:cs="Mosawi" w:hint="cs"/>
          <w:sz w:val="27"/>
          <w:szCs w:val="22"/>
          <w:rtl/>
        </w:rPr>
        <w:t>|</w:t>
      </w:r>
      <w:r w:rsidRPr="00904FCB">
        <w:rPr>
          <w:rFonts w:hint="cs"/>
          <w:sz w:val="27"/>
          <w:rtl/>
        </w:rPr>
        <w:t>: الولاء لحمة كلحمة النسب، لا تُباع ولا تُوهَب</w:t>
      </w:r>
      <w:r w:rsidRPr="00904FCB">
        <w:rPr>
          <w:rFonts w:hint="eastAsia"/>
          <w:sz w:val="27"/>
          <w:rtl/>
        </w:rPr>
        <w:t>»</w:t>
      </w:r>
      <w:r w:rsidRPr="00904FCB">
        <w:rPr>
          <w:rFonts w:hint="cs"/>
          <w:sz w:val="27"/>
          <w:vertAlign w:val="superscript"/>
          <w:rtl/>
        </w:rPr>
        <w:t>(</w:t>
      </w:r>
      <w:r w:rsidRPr="00904FCB">
        <w:rPr>
          <w:rStyle w:val="ac"/>
          <w:sz w:val="27"/>
          <w:rtl/>
          <w:lang w:bidi="fa-IR"/>
        </w:rPr>
        <w:endnoteReference w:id="421"/>
      </w:r>
      <w:r w:rsidRPr="00904FCB">
        <w:rPr>
          <w:rFonts w:hint="cs"/>
          <w:sz w:val="27"/>
          <w:vertAlign w:val="superscript"/>
          <w:rtl/>
          <w:lang w:bidi="fa-IR"/>
        </w:rPr>
        <w:t>)</w:t>
      </w:r>
      <w:r w:rsidRPr="00904FCB">
        <w:rPr>
          <w:rFonts w:hint="cs"/>
          <w:sz w:val="27"/>
          <w:rtl/>
          <w:lang w:bidi="fa-IR"/>
        </w:rPr>
        <w:t>.</w:t>
      </w:r>
      <w:r w:rsidRPr="00904FCB">
        <w:rPr>
          <w:rFonts w:hint="cs"/>
          <w:sz w:val="27"/>
          <w:vertAlign w:val="superscript"/>
          <w:rtl/>
          <w:lang w:bidi="fa-IR"/>
        </w:rPr>
        <w:t xml:space="preserve"> </w:t>
      </w:r>
    </w:p>
    <w:p w:rsidR="005B6CEC" w:rsidRPr="00904FCB" w:rsidRDefault="005B6CEC" w:rsidP="00143A12">
      <w:pPr>
        <w:spacing w:line="420" w:lineRule="exact"/>
        <w:rPr>
          <w:sz w:val="27"/>
          <w:vertAlign w:val="superscript"/>
          <w:rtl/>
          <w:lang w:bidi="fa-IR"/>
        </w:rPr>
      </w:pPr>
      <w:r w:rsidRPr="00904FCB">
        <w:rPr>
          <w:rFonts w:hint="cs"/>
          <w:b/>
          <w:bCs/>
          <w:sz w:val="27"/>
          <w:rtl/>
        </w:rPr>
        <w:t>ونوقش</w:t>
      </w:r>
      <w:r w:rsidRPr="00904FCB">
        <w:rPr>
          <w:rFonts w:hint="cs"/>
          <w:sz w:val="27"/>
          <w:rtl/>
        </w:rPr>
        <w:t xml:space="preserve"> بأنّ المشابهة بين الولاء والن</w:t>
      </w:r>
      <w:r w:rsidR="0082585A" w:rsidRPr="00904FCB">
        <w:rPr>
          <w:rFonts w:hint="cs"/>
          <w:sz w:val="27"/>
          <w:rtl/>
        </w:rPr>
        <w:t>َّ</w:t>
      </w:r>
      <w:r w:rsidRPr="00904FCB">
        <w:rPr>
          <w:rFonts w:hint="cs"/>
          <w:sz w:val="27"/>
          <w:rtl/>
        </w:rPr>
        <w:t>س</w:t>
      </w:r>
      <w:r w:rsidR="0082585A" w:rsidRPr="00904FCB">
        <w:rPr>
          <w:rFonts w:hint="cs"/>
          <w:sz w:val="27"/>
          <w:rtl/>
        </w:rPr>
        <w:t>َ</w:t>
      </w:r>
      <w:r w:rsidRPr="00904FCB">
        <w:rPr>
          <w:rFonts w:hint="cs"/>
          <w:sz w:val="27"/>
          <w:rtl/>
        </w:rPr>
        <w:t>ب لا تستلزم اتّحاد حكم ال</w:t>
      </w:r>
      <w:r w:rsidR="0082585A" w:rsidRPr="00904FCB">
        <w:rPr>
          <w:rFonts w:hint="cs"/>
          <w:sz w:val="27"/>
          <w:rtl/>
        </w:rPr>
        <w:t>م</w:t>
      </w:r>
      <w:r w:rsidRPr="00904FCB">
        <w:rPr>
          <w:rFonts w:hint="cs"/>
          <w:sz w:val="27"/>
          <w:rtl/>
        </w:rPr>
        <w:t>تشابهين في جميع ال</w:t>
      </w:r>
      <w:r w:rsidR="0082585A" w:rsidRPr="00904FCB">
        <w:rPr>
          <w:rFonts w:hint="cs"/>
          <w:sz w:val="27"/>
          <w:rtl/>
        </w:rPr>
        <w:t>أ</w:t>
      </w:r>
      <w:r w:rsidRPr="00904FCB">
        <w:rPr>
          <w:rFonts w:hint="cs"/>
          <w:sz w:val="27"/>
          <w:rtl/>
        </w:rPr>
        <w:t xml:space="preserve">مور. </w:t>
      </w:r>
    </w:p>
    <w:p w:rsidR="005B6CEC" w:rsidRPr="00904FCB" w:rsidRDefault="005B6CEC" w:rsidP="00143A12">
      <w:pPr>
        <w:spacing w:line="420" w:lineRule="exact"/>
        <w:rPr>
          <w:sz w:val="27"/>
          <w:rtl/>
        </w:rPr>
      </w:pPr>
      <w:r w:rsidRPr="00904FCB">
        <w:rPr>
          <w:rFonts w:hint="cs"/>
          <w:b/>
          <w:bCs/>
          <w:sz w:val="27"/>
          <w:rtl/>
        </w:rPr>
        <w:t>تعليق</w:t>
      </w:r>
      <w:r w:rsidRPr="00904FCB">
        <w:rPr>
          <w:rFonts w:hint="cs"/>
          <w:sz w:val="27"/>
          <w:rtl/>
        </w:rPr>
        <w:t>: إنّ هذه المناقشة غير واردة في خصوص المقام؛ فإنّ إطلاق تشبيه الولاء بالنسب يقتضي التوريث من الطرفين، إلا</w:t>
      </w:r>
      <w:r w:rsidR="0082585A" w:rsidRPr="00904FCB">
        <w:rPr>
          <w:rFonts w:hint="cs"/>
          <w:sz w:val="27"/>
          <w:rtl/>
        </w:rPr>
        <w:t>ّ</w:t>
      </w:r>
      <w:r w:rsidRPr="00904FCB">
        <w:rPr>
          <w:rFonts w:hint="cs"/>
          <w:sz w:val="27"/>
          <w:rtl/>
        </w:rPr>
        <w:t xml:space="preserve"> أن يدلّ الدليل على تضي</w:t>
      </w:r>
      <w:r w:rsidR="0082585A" w:rsidRPr="00904FCB">
        <w:rPr>
          <w:rFonts w:hint="cs"/>
          <w:sz w:val="27"/>
          <w:rtl/>
        </w:rPr>
        <w:t>يق دائرة الشبه وحصره في حيثية م</w:t>
      </w:r>
      <w:r w:rsidRPr="00904FCB">
        <w:rPr>
          <w:rFonts w:hint="cs"/>
          <w:sz w:val="27"/>
          <w:rtl/>
        </w:rPr>
        <w:t>عيّ</w:t>
      </w:r>
      <w:r w:rsidR="0082585A" w:rsidRPr="00904FCB">
        <w:rPr>
          <w:rFonts w:hint="cs"/>
          <w:sz w:val="27"/>
          <w:rtl/>
        </w:rPr>
        <w:t>َ</w:t>
      </w:r>
      <w:r w:rsidRPr="00904FCB">
        <w:rPr>
          <w:rFonts w:hint="cs"/>
          <w:sz w:val="27"/>
          <w:rtl/>
        </w:rPr>
        <w:t>نة</w:t>
      </w:r>
      <w:r w:rsidR="0082585A" w:rsidRPr="00904FCB">
        <w:rPr>
          <w:rFonts w:hint="cs"/>
          <w:sz w:val="27"/>
          <w:rtl/>
        </w:rPr>
        <w:t>.</w:t>
      </w:r>
      <w:r w:rsidRPr="00904FCB">
        <w:rPr>
          <w:rFonts w:hint="cs"/>
          <w:sz w:val="27"/>
          <w:rtl/>
        </w:rPr>
        <w:t xml:space="preserve"> وليس لدينا مثل هذا الدليل</w:t>
      </w:r>
      <w:r w:rsidR="0082585A" w:rsidRPr="00904FCB">
        <w:rPr>
          <w:rFonts w:hint="cs"/>
          <w:sz w:val="27"/>
          <w:rtl/>
        </w:rPr>
        <w:t>.</w:t>
      </w:r>
      <w:r w:rsidRPr="00904FCB">
        <w:rPr>
          <w:rFonts w:hint="cs"/>
          <w:sz w:val="27"/>
          <w:rtl/>
        </w:rPr>
        <w:t xml:space="preserve"> بل قد يُدّ</w:t>
      </w:r>
      <w:r w:rsidR="0082585A" w:rsidRPr="00904FCB">
        <w:rPr>
          <w:rFonts w:hint="cs"/>
          <w:sz w:val="27"/>
          <w:rtl/>
        </w:rPr>
        <w:t>َعى</w:t>
      </w:r>
      <w:r w:rsidRPr="00904FCB">
        <w:rPr>
          <w:rFonts w:hint="cs"/>
          <w:sz w:val="27"/>
          <w:rtl/>
        </w:rPr>
        <w:t xml:space="preserve"> أنّ المنصرف من هذا الحديث هو كون جهة التشبيه هي التوارث لا غير؛ إذ لا يُحت</w:t>
      </w:r>
      <w:r w:rsidR="0082585A" w:rsidRPr="00904FCB">
        <w:rPr>
          <w:rFonts w:hint="cs"/>
          <w:sz w:val="27"/>
          <w:rtl/>
        </w:rPr>
        <w:t>َ</w:t>
      </w:r>
      <w:r w:rsidRPr="00904FCB">
        <w:rPr>
          <w:rFonts w:hint="cs"/>
          <w:sz w:val="27"/>
          <w:rtl/>
        </w:rPr>
        <w:t>م</w:t>
      </w:r>
      <w:r w:rsidR="0082585A" w:rsidRPr="00904FCB">
        <w:rPr>
          <w:rFonts w:hint="cs"/>
          <w:sz w:val="27"/>
          <w:rtl/>
        </w:rPr>
        <w:t>َ</w:t>
      </w:r>
      <w:r w:rsidRPr="00904FCB">
        <w:rPr>
          <w:rFonts w:hint="cs"/>
          <w:sz w:val="27"/>
          <w:rtl/>
        </w:rPr>
        <w:t>ل في هذا التشبيه إرادة ثبوت المحر</w:t>
      </w:r>
      <w:r w:rsidR="0082585A" w:rsidRPr="00904FCB">
        <w:rPr>
          <w:rFonts w:hint="cs"/>
          <w:sz w:val="27"/>
          <w:rtl/>
        </w:rPr>
        <w:t>ّ</w:t>
      </w:r>
      <w:r w:rsidRPr="00904FCB">
        <w:rPr>
          <w:rFonts w:hint="cs"/>
          <w:sz w:val="27"/>
          <w:rtl/>
        </w:rPr>
        <w:t>مية وحرمة النكاح</w:t>
      </w:r>
      <w:r w:rsidR="0082585A" w:rsidRPr="00904FCB">
        <w:rPr>
          <w:rFonts w:hint="cs"/>
          <w:sz w:val="27"/>
          <w:rtl/>
        </w:rPr>
        <w:t xml:space="preserve">، </w:t>
      </w:r>
      <w:r w:rsidRPr="00904FCB">
        <w:rPr>
          <w:rFonts w:hint="cs"/>
          <w:sz w:val="27"/>
          <w:rtl/>
        </w:rPr>
        <w:t>أو جواز النظر</w:t>
      </w:r>
      <w:r w:rsidR="0082585A" w:rsidRPr="00904FCB">
        <w:rPr>
          <w:rFonts w:hint="cs"/>
          <w:sz w:val="27"/>
          <w:rtl/>
        </w:rPr>
        <w:t>،</w:t>
      </w:r>
      <w:r w:rsidRPr="00904FCB">
        <w:rPr>
          <w:rFonts w:hint="cs"/>
          <w:sz w:val="27"/>
          <w:rtl/>
        </w:rPr>
        <w:t xml:space="preserve"> أو لزوم النفقة. </w:t>
      </w:r>
    </w:p>
    <w:p w:rsidR="005B6CEC" w:rsidRPr="00904FCB" w:rsidRDefault="0082585A" w:rsidP="00143A12">
      <w:pPr>
        <w:spacing w:line="420" w:lineRule="exact"/>
        <w:rPr>
          <w:sz w:val="27"/>
          <w:rtl/>
        </w:rPr>
      </w:pPr>
      <w:r w:rsidRPr="00904FCB">
        <w:rPr>
          <w:rFonts w:hint="cs"/>
          <w:sz w:val="27"/>
          <w:rtl/>
        </w:rPr>
        <w:t>أجل، ي</w:t>
      </w:r>
      <w:r w:rsidR="005B6CEC" w:rsidRPr="00904FCB">
        <w:rPr>
          <w:rFonts w:hint="cs"/>
          <w:sz w:val="27"/>
          <w:rtl/>
        </w:rPr>
        <w:t>مكن أن يُدّ</w:t>
      </w:r>
      <w:r w:rsidRPr="00904FCB">
        <w:rPr>
          <w:rFonts w:hint="cs"/>
          <w:sz w:val="27"/>
          <w:rtl/>
        </w:rPr>
        <w:t>َ</w:t>
      </w:r>
      <w:r w:rsidR="005B6CEC" w:rsidRPr="00904FCB">
        <w:rPr>
          <w:rFonts w:hint="cs"/>
          <w:sz w:val="27"/>
          <w:rtl/>
        </w:rPr>
        <w:t>عى في المقام أن ّ ما أبرزناه من النُك</w:t>
      </w:r>
      <w:r w:rsidRPr="00904FCB">
        <w:rPr>
          <w:rFonts w:hint="cs"/>
          <w:sz w:val="27"/>
          <w:rtl/>
        </w:rPr>
        <w:t>ْ</w:t>
      </w:r>
      <w:r w:rsidR="005B6CEC" w:rsidRPr="00904FCB">
        <w:rPr>
          <w:rFonts w:hint="cs"/>
          <w:sz w:val="27"/>
          <w:rtl/>
        </w:rPr>
        <w:t>تة العق</w:t>
      </w:r>
      <w:r w:rsidRPr="00904FCB">
        <w:rPr>
          <w:rFonts w:hint="cs"/>
          <w:sz w:val="27"/>
          <w:rtl/>
        </w:rPr>
        <w:t>لائية والأخلاقية تصلح أن تكون م</w:t>
      </w:r>
      <w:r w:rsidR="005B6CEC" w:rsidRPr="00904FCB">
        <w:rPr>
          <w:rFonts w:hint="cs"/>
          <w:sz w:val="27"/>
          <w:rtl/>
        </w:rPr>
        <w:t>قيّ</w:t>
      </w:r>
      <w:r w:rsidRPr="00904FCB">
        <w:rPr>
          <w:rFonts w:hint="cs"/>
          <w:sz w:val="27"/>
          <w:rtl/>
        </w:rPr>
        <w:t>ِ</w:t>
      </w:r>
      <w:r w:rsidR="005B6CEC" w:rsidRPr="00904FCB">
        <w:rPr>
          <w:rFonts w:hint="cs"/>
          <w:sz w:val="27"/>
          <w:rtl/>
        </w:rPr>
        <w:t>داً لُبّ</w:t>
      </w:r>
      <w:r w:rsidRPr="00904FCB">
        <w:rPr>
          <w:rFonts w:hint="cs"/>
          <w:sz w:val="27"/>
          <w:rtl/>
        </w:rPr>
        <w:t>ِ</w:t>
      </w:r>
      <w:r w:rsidR="005B6CEC" w:rsidRPr="00904FCB">
        <w:rPr>
          <w:rFonts w:hint="cs"/>
          <w:sz w:val="27"/>
          <w:rtl/>
        </w:rPr>
        <w:t>ياً لإطلاق التشبيه في الوارد الحديث</w:t>
      </w:r>
      <w:r w:rsidRPr="00904FCB">
        <w:rPr>
          <w:rFonts w:hint="cs"/>
          <w:sz w:val="27"/>
          <w:rtl/>
        </w:rPr>
        <w:t>،</w:t>
      </w:r>
      <w:r w:rsidR="005B6CEC" w:rsidRPr="00904FCB">
        <w:rPr>
          <w:rFonts w:hint="cs"/>
          <w:sz w:val="27"/>
          <w:rtl/>
        </w:rPr>
        <w:t xml:space="preserve"> وحصر التشبيه في طرف المُن</w:t>
      </w:r>
      <w:r w:rsidRPr="00904FCB">
        <w:rPr>
          <w:rFonts w:hint="cs"/>
          <w:sz w:val="27"/>
          <w:rtl/>
        </w:rPr>
        <w:t>ْ</w:t>
      </w:r>
      <w:r w:rsidR="005B6CEC" w:rsidRPr="00904FCB">
        <w:rPr>
          <w:rFonts w:hint="cs"/>
          <w:sz w:val="27"/>
          <w:rtl/>
        </w:rPr>
        <w:t>ع</w:t>
      </w:r>
      <w:r w:rsidRPr="00904FCB">
        <w:rPr>
          <w:rFonts w:hint="cs"/>
          <w:sz w:val="27"/>
          <w:rtl/>
        </w:rPr>
        <w:t>ِ</w:t>
      </w:r>
      <w:r w:rsidR="005B6CEC" w:rsidRPr="00904FCB">
        <w:rPr>
          <w:rFonts w:hint="cs"/>
          <w:sz w:val="27"/>
          <w:rtl/>
        </w:rPr>
        <w:t xml:space="preserve">م. </w:t>
      </w:r>
    </w:p>
    <w:p w:rsidR="005B6CEC" w:rsidRPr="00904FCB" w:rsidRDefault="005B6CEC" w:rsidP="007A21AA">
      <w:pPr>
        <w:spacing w:line="400" w:lineRule="exact"/>
        <w:rPr>
          <w:b/>
          <w:bCs/>
          <w:sz w:val="27"/>
          <w:rtl/>
        </w:rPr>
      </w:pPr>
    </w:p>
    <w:p w:rsidR="005B6CEC" w:rsidRPr="00904FCB" w:rsidRDefault="005B6CEC" w:rsidP="007A21AA">
      <w:pPr>
        <w:pStyle w:val="31"/>
        <w:spacing w:line="400" w:lineRule="exact"/>
        <w:rPr>
          <w:color w:val="auto"/>
          <w:rtl/>
        </w:rPr>
      </w:pPr>
      <w:r w:rsidRPr="00904FCB">
        <w:rPr>
          <w:rFonts w:hint="cs"/>
          <w:color w:val="auto"/>
          <w:rtl/>
        </w:rPr>
        <w:t xml:space="preserve">الموقف </w:t>
      </w:r>
    </w:p>
    <w:p w:rsidR="0082585A" w:rsidRPr="00904FCB" w:rsidRDefault="005B6CEC" w:rsidP="00143A12">
      <w:pPr>
        <w:spacing w:line="420" w:lineRule="exact"/>
        <w:rPr>
          <w:sz w:val="27"/>
          <w:rtl/>
        </w:rPr>
      </w:pPr>
      <w:r w:rsidRPr="00904FCB">
        <w:rPr>
          <w:rFonts w:hint="cs"/>
          <w:sz w:val="27"/>
          <w:rtl/>
        </w:rPr>
        <w:t>إنّه بناءً على التصوّ</w:t>
      </w:r>
      <w:r w:rsidR="0082585A" w:rsidRPr="00904FCB">
        <w:rPr>
          <w:rFonts w:hint="cs"/>
          <w:sz w:val="27"/>
          <w:rtl/>
        </w:rPr>
        <w:t>ُ</w:t>
      </w:r>
      <w:r w:rsidRPr="00904FCB">
        <w:rPr>
          <w:rFonts w:hint="cs"/>
          <w:sz w:val="27"/>
          <w:rtl/>
        </w:rPr>
        <w:t>ر المعروف من أنّ ولاء العتق هو عبارة عن عُل</w:t>
      </w:r>
      <w:r w:rsidR="0082585A" w:rsidRPr="00904FCB">
        <w:rPr>
          <w:rFonts w:hint="cs"/>
          <w:sz w:val="27"/>
          <w:rtl/>
        </w:rPr>
        <w:t>ْ</w:t>
      </w:r>
      <w:r w:rsidRPr="00904FCB">
        <w:rPr>
          <w:rFonts w:hint="cs"/>
          <w:sz w:val="27"/>
          <w:rtl/>
        </w:rPr>
        <w:t>قة قهرية بين المُن</w:t>
      </w:r>
      <w:r w:rsidR="0082585A" w:rsidRPr="00904FCB">
        <w:rPr>
          <w:rFonts w:hint="cs"/>
          <w:sz w:val="27"/>
          <w:rtl/>
        </w:rPr>
        <w:t>ْ</w:t>
      </w:r>
      <w:r w:rsidRPr="00904FCB">
        <w:rPr>
          <w:rFonts w:hint="cs"/>
          <w:sz w:val="27"/>
          <w:rtl/>
        </w:rPr>
        <w:t>عِم والعتيق</w:t>
      </w:r>
      <w:r w:rsidR="0082585A" w:rsidRPr="00904FCB">
        <w:rPr>
          <w:rFonts w:hint="cs"/>
          <w:sz w:val="27"/>
          <w:rtl/>
        </w:rPr>
        <w:t>،</w:t>
      </w:r>
      <w:r w:rsidRPr="00904FCB">
        <w:rPr>
          <w:rFonts w:hint="cs"/>
          <w:sz w:val="27"/>
          <w:rtl/>
        </w:rPr>
        <w:t xml:space="preserve"> ثبتت بحكم الشارع تأسيساً أو إمضاءً</w:t>
      </w:r>
      <w:r w:rsidR="0082585A" w:rsidRPr="00904FCB">
        <w:rPr>
          <w:rFonts w:hint="cs"/>
          <w:sz w:val="27"/>
          <w:rtl/>
        </w:rPr>
        <w:t>،</w:t>
      </w:r>
      <w:r w:rsidRPr="00904FCB">
        <w:rPr>
          <w:rFonts w:hint="cs"/>
          <w:sz w:val="27"/>
          <w:rtl/>
        </w:rPr>
        <w:t xml:space="preserve"> فلا محالة من كونها عُل</w:t>
      </w:r>
      <w:r w:rsidR="0082585A" w:rsidRPr="00904FCB">
        <w:rPr>
          <w:rFonts w:hint="cs"/>
          <w:sz w:val="27"/>
          <w:rtl/>
        </w:rPr>
        <w:t>ْ</w:t>
      </w:r>
      <w:r w:rsidRPr="00904FCB">
        <w:rPr>
          <w:rFonts w:hint="cs"/>
          <w:sz w:val="27"/>
          <w:rtl/>
        </w:rPr>
        <w:t>قة من طرف</w:t>
      </w:r>
      <w:r w:rsidR="0082585A" w:rsidRPr="00904FCB">
        <w:rPr>
          <w:rFonts w:hint="cs"/>
          <w:sz w:val="27"/>
          <w:rtl/>
        </w:rPr>
        <w:t>ٍ</w:t>
      </w:r>
      <w:r w:rsidRPr="00904FCB">
        <w:rPr>
          <w:rFonts w:hint="cs"/>
          <w:sz w:val="27"/>
          <w:rtl/>
        </w:rPr>
        <w:t xml:space="preserve"> واحد</w:t>
      </w:r>
      <w:r w:rsidR="0082585A" w:rsidRPr="00904FCB">
        <w:rPr>
          <w:rFonts w:hint="cs"/>
          <w:sz w:val="27"/>
          <w:rtl/>
        </w:rPr>
        <w:t>،</w:t>
      </w:r>
      <w:r w:rsidRPr="00904FCB">
        <w:rPr>
          <w:rFonts w:hint="cs"/>
          <w:sz w:val="27"/>
          <w:rtl/>
        </w:rPr>
        <w:t xml:space="preserve"> لا من الطرفين</w:t>
      </w:r>
      <w:r w:rsidR="0082585A" w:rsidRPr="00904FCB">
        <w:rPr>
          <w:rFonts w:hint="cs"/>
          <w:sz w:val="27"/>
          <w:rtl/>
        </w:rPr>
        <w:t>.</w:t>
      </w:r>
    </w:p>
    <w:p w:rsidR="00E83C22" w:rsidRPr="00904FCB" w:rsidRDefault="005B6CEC" w:rsidP="00143A12">
      <w:pPr>
        <w:spacing w:line="420" w:lineRule="exact"/>
        <w:rPr>
          <w:rtl/>
        </w:rPr>
      </w:pPr>
      <w:r w:rsidRPr="00904FCB">
        <w:rPr>
          <w:rFonts w:hint="cs"/>
          <w:sz w:val="27"/>
          <w:rtl/>
        </w:rPr>
        <w:t>وأمّا بناءً على قبول دعوى كون الن</w:t>
      </w:r>
      <w:r w:rsidR="0082585A" w:rsidRPr="00904FCB">
        <w:rPr>
          <w:rFonts w:hint="cs"/>
          <w:sz w:val="27"/>
          <w:rtl/>
        </w:rPr>
        <w:t>ُّ</w:t>
      </w:r>
      <w:r w:rsidRPr="00904FCB">
        <w:rPr>
          <w:rFonts w:hint="cs"/>
          <w:sz w:val="27"/>
          <w:rtl/>
        </w:rPr>
        <w:t>ك</w:t>
      </w:r>
      <w:r w:rsidR="0082585A" w:rsidRPr="00904FCB">
        <w:rPr>
          <w:rFonts w:hint="cs"/>
          <w:sz w:val="27"/>
          <w:rtl/>
        </w:rPr>
        <w:t>ْ</w:t>
      </w:r>
      <w:r w:rsidRPr="00904FCB">
        <w:rPr>
          <w:rFonts w:hint="cs"/>
          <w:sz w:val="27"/>
          <w:rtl/>
        </w:rPr>
        <w:t>تة في ثبوت التوريث بولاء العتق هو وجود عُل</w:t>
      </w:r>
      <w:r w:rsidR="0082585A" w:rsidRPr="00904FCB">
        <w:rPr>
          <w:rFonts w:hint="cs"/>
          <w:sz w:val="27"/>
          <w:rtl/>
        </w:rPr>
        <w:t>ْ</w:t>
      </w:r>
      <w:r w:rsidRPr="00904FCB">
        <w:rPr>
          <w:rFonts w:hint="cs"/>
          <w:sz w:val="27"/>
          <w:rtl/>
        </w:rPr>
        <w:t>قة اختيارية ناشئة من إرادة المُع</w:t>
      </w:r>
      <w:r w:rsidR="0082585A" w:rsidRPr="00904FCB">
        <w:rPr>
          <w:rFonts w:hint="cs"/>
          <w:sz w:val="27"/>
          <w:rtl/>
        </w:rPr>
        <w:t>ْ</w:t>
      </w:r>
      <w:r w:rsidRPr="00904FCB">
        <w:rPr>
          <w:rFonts w:hint="cs"/>
          <w:sz w:val="27"/>
          <w:rtl/>
        </w:rPr>
        <w:t>تِق والعتيق ـ ألا وهي عقد المُحالفة وضمان ا</w:t>
      </w:r>
      <w:r w:rsidR="0082585A" w:rsidRPr="00904FCB">
        <w:rPr>
          <w:rFonts w:hint="cs"/>
          <w:sz w:val="27"/>
          <w:rtl/>
        </w:rPr>
        <w:t>لجريرة، لا أنّ مجرّد العتق يوج</w:t>
      </w:r>
      <w:r w:rsidRPr="00904FCB">
        <w:rPr>
          <w:rFonts w:hint="cs"/>
          <w:sz w:val="27"/>
          <w:rtl/>
        </w:rPr>
        <w:t xml:space="preserve">ب استحقاق الإرث، أي عدم سببية العتق للولاء، بل إنّ السببية لعقد ضمان الجريرة ـ فيدور الأثر </w:t>
      </w:r>
      <w:r w:rsidR="008D6DBF" w:rsidRPr="00904FCB">
        <w:rPr>
          <w:rFonts w:hint="cs"/>
          <w:sz w:val="27"/>
          <w:rtl/>
        </w:rPr>
        <w:t xml:space="preserve">ـ </w:t>
      </w:r>
      <w:r w:rsidRPr="00904FCB">
        <w:rPr>
          <w:rFonts w:hint="cs"/>
          <w:sz w:val="27"/>
          <w:rtl/>
        </w:rPr>
        <w:t xml:space="preserve">وهو الإرث </w:t>
      </w:r>
      <w:r w:rsidR="008D6DBF" w:rsidRPr="00904FCB">
        <w:rPr>
          <w:rFonts w:hint="cs"/>
          <w:sz w:val="27"/>
          <w:rtl/>
        </w:rPr>
        <w:t xml:space="preserve">ـ </w:t>
      </w:r>
      <w:r w:rsidRPr="00904FCB">
        <w:rPr>
          <w:rFonts w:hint="cs"/>
          <w:sz w:val="27"/>
          <w:rtl/>
        </w:rPr>
        <w:t>مداره، أي بحسب ما تضمّ</w:t>
      </w:r>
      <w:r w:rsidR="008D6DBF" w:rsidRPr="00904FCB">
        <w:rPr>
          <w:rFonts w:hint="cs"/>
          <w:sz w:val="27"/>
          <w:rtl/>
        </w:rPr>
        <w:t>َ</w:t>
      </w:r>
      <w:r w:rsidRPr="00904FCB">
        <w:rPr>
          <w:rFonts w:hint="cs"/>
          <w:sz w:val="27"/>
          <w:rtl/>
        </w:rPr>
        <w:t xml:space="preserve">نه العقد من </w:t>
      </w:r>
      <w:r w:rsidRPr="00904FCB">
        <w:rPr>
          <w:rFonts w:hint="cs"/>
          <w:sz w:val="27"/>
          <w:rtl/>
        </w:rPr>
        <w:lastRenderedPageBreak/>
        <w:t>اشتراط توريث كلا الطرفين أو أحدهما</w:t>
      </w:r>
      <w:r w:rsidR="008D6DBF" w:rsidRPr="00904FCB">
        <w:rPr>
          <w:rFonts w:hint="cs"/>
          <w:sz w:val="27"/>
          <w:rtl/>
        </w:rPr>
        <w:t>.</w:t>
      </w:r>
      <w:r w:rsidRPr="00904FCB">
        <w:rPr>
          <w:rFonts w:hint="cs"/>
          <w:sz w:val="27"/>
          <w:rtl/>
        </w:rPr>
        <w:t xml:space="preserve"> إذن يكون هذا قولاً ثالثاً في المسألة.</w:t>
      </w:r>
    </w:p>
    <w:p w:rsidR="00E5427B" w:rsidRPr="00904FCB" w:rsidRDefault="00E5427B" w:rsidP="007A21AA">
      <w:pPr>
        <w:spacing w:line="400" w:lineRule="exact"/>
        <w:rPr>
          <w:rtl/>
        </w:rPr>
      </w:pPr>
    </w:p>
    <w:p w:rsidR="00E5427B" w:rsidRPr="00904FCB" w:rsidRDefault="00E5427B" w:rsidP="007A21AA">
      <w:pPr>
        <w:spacing w:line="400" w:lineRule="exact"/>
        <w:ind w:firstLine="0"/>
        <w:jc w:val="right"/>
        <w:rPr>
          <w:b/>
          <w:bCs/>
          <w:rtl/>
        </w:rPr>
      </w:pPr>
      <w:r w:rsidRPr="00904FCB">
        <w:rPr>
          <w:rFonts w:hint="cs"/>
          <w:b/>
          <w:bCs/>
          <w:rtl/>
        </w:rPr>
        <w:t>ـ يتبع ـ</w:t>
      </w: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892AFF" w:rsidP="00143A12">
      <w:pPr>
        <w:pStyle w:val="10"/>
        <w:spacing w:line="240" w:lineRule="auto"/>
        <w:rPr>
          <w:rtl/>
        </w:rPr>
      </w:pPr>
      <w:bookmarkStart w:id="39" w:name="_Toc435577201"/>
      <w:r w:rsidRPr="00904FCB">
        <w:rPr>
          <w:rFonts w:hint="cs"/>
          <w:rtl/>
        </w:rPr>
        <w:t>الذبح في منى</w:t>
      </w:r>
      <w:bookmarkEnd w:id="39"/>
    </w:p>
    <w:p w:rsidR="00A856D8" w:rsidRPr="00715694" w:rsidRDefault="00A856D8" w:rsidP="00A856D8">
      <w:pPr>
        <w:pStyle w:val="20"/>
        <w:spacing w:before="240"/>
        <w:rPr>
          <w:b/>
          <w:color w:val="auto"/>
          <w:sz w:val="42"/>
          <w:szCs w:val="42"/>
          <w:rtl/>
        </w:rPr>
      </w:pPr>
      <w:bookmarkStart w:id="40" w:name="_Toc435577202"/>
      <w:r w:rsidRPr="00715694">
        <w:rPr>
          <w:rFonts w:hint="cs"/>
          <w:b/>
          <w:color w:val="auto"/>
          <w:sz w:val="42"/>
          <w:szCs w:val="42"/>
          <w:rtl/>
        </w:rPr>
        <w:t>قراءة</w:t>
      </w:r>
      <w:r w:rsidR="00657D11">
        <w:rPr>
          <w:rFonts w:hint="cs"/>
          <w:b/>
          <w:color w:val="auto"/>
          <w:sz w:val="42"/>
          <w:szCs w:val="42"/>
          <w:rtl/>
        </w:rPr>
        <w:t>ٌ</w:t>
      </w:r>
      <w:r w:rsidRPr="00715694">
        <w:rPr>
          <w:rFonts w:hint="cs"/>
          <w:b/>
          <w:color w:val="auto"/>
          <w:sz w:val="42"/>
          <w:szCs w:val="42"/>
          <w:rtl/>
        </w:rPr>
        <w:t xml:space="preserve"> أخرى</w:t>
      </w:r>
      <w:bookmarkEnd w:id="40"/>
    </w:p>
    <w:p w:rsidR="00E83C22" w:rsidRPr="00904FCB" w:rsidRDefault="00E83C22" w:rsidP="007A21AA">
      <w:pPr>
        <w:spacing w:line="400" w:lineRule="exact"/>
        <w:rPr>
          <w:rtl/>
        </w:rPr>
      </w:pPr>
    </w:p>
    <w:p w:rsidR="00E83C22" w:rsidRPr="00904FCB" w:rsidRDefault="00892AFF" w:rsidP="007A21AA">
      <w:pPr>
        <w:pStyle w:val="Author"/>
        <w:spacing w:line="400" w:lineRule="exact"/>
        <w:rPr>
          <w:rtl/>
        </w:rPr>
      </w:pPr>
      <w:bookmarkStart w:id="41" w:name="_Toc435577203"/>
      <w:r w:rsidRPr="00904FCB">
        <w:rPr>
          <w:rFonts w:hint="cs"/>
          <w:rtl/>
        </w:rPr>
        <w:t>الشيخ أحمد عابديني</w:t>
      </w:r>
      <w:r w:rsidR="00527634" w:rsidRPr="00904FCB">
        <w:rPr>
          <w:rFonts w:cs="Taher" w:hint="cs"/>
          <w:vertAlign w:val="superscript"/>
          <w:rtl/>
        </w:rPr>
        <w:t>(</w:t>
      </w:r>
      <w:r w:rsidR="00527634" w:rsidRPr="00904FCB">
        <w:rPr>
          <w:rFonts w:cs="Taher"/>
          <w:vertAlign w:val="superscript"/>
          <w:rtl/>
        </w:rPr>
        <w:footnoteReference w:customMarkFollows="1" w:id="13"/>
        <w:t>*)</w:t>
      </w:r>
      <w:bookmarkEnd w:id="41"/>
    </w:p>
    <w:p w:rsidR="00E83C22" w:rsidRPr="00904FCB" w:rsidRDefault="00E83C22" w:rsidP="007A21AA">
      <w:pPr>
        <w:spacing w:line="400" w:lineRule="exact"/>
        <w:rPr>
          <w:rtl/>
        </w:rPr>
      </w:pPr>
    </w:p>
    <w:p w:rsidR="00E83C22" w:rsidRPr="00904FCB" w:rsidRDefault="00892AFF" w:rsidP="007A21AA">
      <w:pPr>
        <w:pStyle w:val="31"/>
        <w:spacing w:line="400" w:lineRule="exact"/>
        <w:rPr>
          <w:color w:val="auto"/>
          <w:rtl/>
        </w:rPr>
      </w:pPr>
      <w:r w:rsidRPr="00904FCB">
        <w:rPr>
          <w:rFonts w:hint="cs"/>
          <w:color w:val="auto"/>
          <w:rtl/>
        </w:rPr>
        <w:t>تمهيد</w:t>
      </w:r>
    </w:p>
    <w:p w:rsidR="0057337E" w:rsidRPr="00904FCB" w:rsidRDefault="005B6CEC" w:rsidP="007A21AA">
      <w:pPr>
        <w:spacing w:line="400" w:lineRule="exact"/>
        <w:rPr>
          <w:rtl/>
        </w:rPr>
      </w:pPr>
      <w:r w:rsidRPr="00904FCB">
        <w:rPr>
          <w:rFonts w:hint="cs"/>
          <w:rtl/>
        </w:rPr>
        <w:t>من المسائل المبتلى بها في عصرنا هذا هو البحث عن مكان ذبح الهدي</w:t>
      </w:r>
      <w:r w:rsidR="0057337E" w:rsidRPr="00904FCB">
        <w:rPr>
          <w:rFonts w:hint="cs"/>
          <w:rtl/>
        </w:rPr>
        <w:t xml:space="preserve">؛ </w:t>
      </w:r>
      <w:r w:rsidRPr="00904FCB">
        <w:rPr>
          <w:rFonts w:hint="cs"/>
          <w:rtl/>
        </w:rPr>
        <w:t>إذ المتعارف من زمن الرسول</w:t>
      </w:r>
      <w:r w:rsidR="00635E51" w:rsidRPr="00904FCB">
        <w:rPr>
          <w:rFonts w:cs="Mosawi" w:hint="cs"/>
          <w:szCs w:val="22"/>
          <w:rtl/>
        </w:rPr>
        <w:t>|</w:t>
      </w:r>
      <w:r w:rsidRPr="00904FCB">
        <w:rPr>
          <w:rFonts w:hint="cs"/>
          <w:rtl/>
        </w:rPr>
        <w:t xml:space="preserve"> إلى قبيل زماننا </w:t>
      </w:r>
      <w:r w:rsidR="0057337E" w:rsidRPr="00904FCB">
        <w:rPr>
          <w:rFonts w:hint="cs"/>
          <w:rtl/>
        </w:rPr>
        <w:t>أنّ</w:t>
      </w:r>
      <w:r w:rsidRPr="00904FCB">
        <w:rPr>
          <w:rFonts w:hint="cs"/>
          <w:rtl/>
        </w:rPr>
        <w:t xml:space="preserve"> محله الطبيعي منى</w:t>
      </w:r>
      <w:r w:rsidR="0057337E" w:rsidRPr="00904FCB">
        <w:rPr>
          <w:rFonts w:hint="cs"/>
          <w:rtl/>
        </w:rPr>
        <w:t>،</w:t>
      </w:r>
      <w:r w:rsidRPr="00904FCB">
        <w:rPr>
          <w:rFonts w:hint="cs"/>
          <w:rtl/>
        </w:rPr>
        <w:t xml:space="preserve"> والناس كانوا هناك مجتمعين</w:t>
      </w:r>
      <w:r w:rsidR="0057337E" w:rsidRPr="00904FCB">
        <w:rPr>
          <w:rFonts w:hint="cs"/>
          <w:rtl/>
        </w:rPr>
        <w:t>،</w:t>
      </w:r>
      <w:r w:rsidRPr="00904FCB">
        <w:rPr>
          <w:rFonts w:hint="cs"/>
          <w:rtl/>
        </w:rPr>
        <w:t xml:space="preserve"> وكانوا يأكلون من لحوم الأضاحي</w:t>
      </w:r>
      <w:r w:rsidR="0057337E" w:rsidRPr="00904FCB">
        <w:rPr>
          <w:rFonts w:hint="cs"/>
          <w:rtl/>
        </w:rPr>
        <w:t>.</w:t>
      </w:r>
    </w:p>
    <w:p w:rsidR="0057337E" w:rsidRPr="00904FCB" w:rsidRDefault="005B6CEC" w:rsidP="00657D11">
      <w:pPr>
        <w:spacing w:line="400" w:lineRule="exact"/>
        <w:rPr>
          <w:rtl/>
        </w:rPr>
      </w:pPr>
      <w:r w:rsidRPr="00904FCB">
        <w:rPr>
          <w:rFonts w:hint="cs"/>
          <w:rtl/>
        </w:rPr>
        <w:t>ولكن</w:t>
      </w:r>
      <w:r w:rsidR="0057337E" w:rsidRPr="00904FCB">
        <w:rPr>
          <w:rFonts w:hint="cs"/>
          <w:rtl/>
        </w:rPr>
        <w:t>ْ</w:t>
      </w:r>
      <w:r w:rsidRPr="00904FCB">
        <w:rPr>
          <w:rFonts w:hint="cs"/>
          <w:rtl/>
        </w:rPr>
        <w:t xml:space="preserve"> في الآونة الأخيرة </w:t>
      </w:r>
      <w:r w:rsidR="0057337E" w:rsidRPr="00904FCB">
        <w:rPr>
          <w:rFonts w:hint="cs"/>
          <w:rtl/>
        </w:rPr>
        <w:t xml:space="preserve">دَعَتْ </w:t>
      </w:r>
      <w:r w:rsidRPr="00904FCB">
        <w:rPr>
          <w:rFonts w:hint="cs"/>
          <w:rtl/>
        </w:rPr>
        <w:t>كثر</w:t>
      </w:r>
      <w:r w:rsidR="0057337E" w:rsidRPr="00904FCB">
        <w:rPr>
          <w:rFonts w:hint="cs"/>
          <w:rtl/>
        </w:rPr>
        <w:t>ة</w:t>
      </w:r>
      <w:r w:rsidRPr="00904FCB">
        <w:rPr>
          <w:rFonts w:hint="cs"/>
          <w:rtl/>
        </w:rPr>
        <w:t xml:space="preserve"> الحجاج في منى</w:t>
      </w:r>
      <w:r w:rsidR="0057337E" w:rsidRPr="00904FCB">
        <w:rPr>
          <w:rFonts w:hint="cs"/>
          <w:rtl/>
        </w:rPr>
        <w:t>،</w:t>
      </w:r>
      <w:r w:rsidRPr="00904FCB">
        <w:rPr>
          <w:rFonts w:hint="cs"/>
          <w:rtl/>
        </w:rPr>
        <w:t xml:space="preserve"> و</w:t>
      </w:r>
      <w:r w:rsidR="0057337E" w:rsidRPr="00904FCB">
        <w:rPr>
          <w:rFonts w:hint="cs"/>
          <w:rtl/>
        </w:rPr>
        <w:t>ض</w:t>
      </w:r>
      <w:r w:rsidRPr="00904FCB">
        <w:rPr>
          <w:rFonts w:hint="cs"/>
          <w:rtl/>
        </w:rPr>
        <w:t>يق المكان</w:t>
      </w:r>
      <w:r w:rsidR="0057337E" w:rsidRPr="00904FCB">
        <w:rPr>
          <w:rFonts w:hint="cs"/>
          <w:rtl/>
        </w:rPr>
        <w:t>،</w:t>
      </w:r>
      <w:r w:rsidRPr="00904FCB">
        <w:rPr>
          <w:rFonts w:hint="cs"/>
          <w:rtl/>
        </w:rPr>
        <w:t xml:space="preserve"> ورعاية المصالح الصحية</w:t>
      </w:r>
      <w:r w:rsidR="0057337E" w:rsidRPr="00904FCB">
        <w:rPr>
          <w:rFonts w:hint="cs"/>
          <w:rtl/>
        </w:rPr>
        <w:t>،</w:t>
      </w:r>
      <w:r w:rsidRPr="00904FCB">
        <w:rPr>
          <w:rFonts w:hint="cs"/>
          <w:rtl/>
        </w:rPr>
        <w:t xml:space="preserve"> الفقهاء </w:t>
      </w:r>
      <w:r w:rsidR="0057337E" w:rsidRPr="00904FCB">
        <w:rPr>
          <w:rFonts w:hint="cs"/>
          <w:rtl/>
        </w:rPr>
        <w:t>كي</w:t>
      </w:r>
      <w:r w:rsidRPr="00904FCB">
        <w:rPr>
          <w:rFonts w:hint="cs"/>
          <w:rtl/>
        </w:rPr>
        <w:t xml:space="preserve"> يتفح</w:t>
      </w:r>
      <w:r w:rsidR="0057337E" w:rsidRPr="00904FCB">
        <w:rPr>
          <w:rFonts w:hint="cs"/>
          <w:rtl/>
        </w:rPr>
        <w:t>ّ</w:t>
      </w:r>
      <w:r w:rsidRPr="00904FCB">
        <w:rPr>
          <w:rFonts w:hint="cs"/>
          <w:rtl/>
        </w:rPr>
        <w:t>صوا المسألة من جديد</w:t>
      </w:r>
      <w:r w:rsidR="0057337E" w:rsidRPr="00904FCB">
        <w:rPr>
          <w:rFonts w:hint="cs"/>
          <w:rtl/>
        </w:rPr>
        <w:t>ٍ؛</w:t>
      </w:r>
      <w:r w:rsidRPr="00904FCB">
        <w:rPr>
          <w:rFonts w:hint="cs"/>
          <w:rtl/>
        </w:rPr>
        <w:t xml:space="preserve"> فبعضهم أفت</w:t>
      </w:r>
      <w:r w:rsidR="0057337E" w:rsidRPr="00904FCB">
        <w:rPr>
          <w:rFonts w:hint="cs"/>
          <w:rtl/>
        </w:rPr>
        <w:t>ى</w:t>
      </w:r>
      <w:r w:rsidRPr="00904FCB">
        <w:rPr>
          <w:rFonts w:hint="cs"/>
          <w:rtl/>
        </w:rPr>
        <w:t xml:space="preserve"> بوجوب الذبح في منى</w:t>
      </w:r>
      <w:r w:rsidR="0057337E" w:rsidRPr="00904FCB">
        <w:rPr>
          <w:rFonts w:hint="cs"/>
          <w:rtl/>
        </w:rPr>
        <w:t>،</w:t>
      </w:r>
      <w:r w:rsidRPr="00904FCB">
        <w:rPr>
          <w:rFonts w:hint="cs"/>
          <w:rtl/>
        </w:rPr>
        <w:t xml:space="preserve"> كائناً ما كان</w:t>
      </w:r>
      <w:r w:rsidR="0057337E" w:rsidRPr="00904FCB">
        <w:rPr>
          <w:rFonts w:hint="cs"/>
          <w:rtl/>
        </w:rPr>
        <w:t>،</w:t>
      </w:r>
      <w:r w:rsidRPr="00904FCB">
        <w:rPr>
          <w:rFonts w:hint="cs"/>
          <w:rtl/>
        </w:rPr>
        <w:t xml:space="preserve"> ولو بعد يوم الأضحى إلى آخر ذي الحج</w:t>
      </w:r>
      <w:r w:rsidR="0057337E" w:rsidRPr="00904FCB">
        <w:rPr>
          <w:rFonts w:hint="cs"/>
          <w:rtl/>
        </w:rPr>
        <w:t>ّ</w:t>
      </w:r>
      <w:r w:rsidRPr="00904FCB">
        <w:rPr>
          <w:rFonts w:hint="cs"/>
          <w:rtl/>
        </w:rPr>
        <w:t>ة</w:t>
      </w:r>
      <w:r w:rsidR="0057337E" w:rsidRPr="00904FCB">
        <w:rPr>
          <w:rFonts w:hint="cs"/>
          <w:rtl/>
        </w:rPr>
        <w:t>؛</w:t>
      </w:r>
      <w:r w:rsidRPr="00904FCB">
        <w:rPr>
          <w:rFonts w:hint="cs"/>
          <w:rtl/>
        </w:rPr>
        <w:t xml:space="preserve"> وبعضهم قال بوجوب ذبحه في بلادهم</w:t>
      </w:r>
      <w:r w:rsidR="0057337E" w:rsidRPr="00904FCB">
        <w:rPr>
          <w:rFonts w:hint="cs"/>
          <w:rtl/>
        </w:rPr>
        <w:t>؛</w:t>
      </w:r>
      <w:r w:rsidRPr="00904FCB">
        <w:rPr>
          <w:rFonts w:hint="cs"/>
          <w:rtl/>
        </w:rPr>
        <w:t xml:space="preserve"> وبعضهم أفت</w:t>
      </w:r>
      <w:r w:rsidR="0057337E" w:rsidRPr="00904FCB">
        <w:rPr>
          <w:rFonts w:hint="cs"/>
          <w:rtl/>
        </w:rPr>
        <w:t>ى</w:t>
      </w:r>
      <w:r w:rsidRPr="00904FCB">
        <w:rPr>
          <w:rFonts w:hint="cs"/>
          <w:rtl/>
        </w:rPr>
        <w:t xml:space="preserve"> بالذبح خارج منى اضطراراً</w:t>
      </w:r>
      <w:r w:rsidR="0057337E" w:rsidRPr="00904FCB">
        <w:rPr>
          <w:rFonts w:hint="cs"/>
          <w:rtl/>
        </w:rPr>
        <w:t>.</w:t>
      </w:r>
    </w:p>
    <w:p w:rsidR="0057337E" w:rsidRPr="00904FCB" w:rsidRDefault="005B6CEC" w:rsidP="007A21AA">
      <w:pPr>
        <w:spacing w:line="400" w:lineRule="exact"/>
        <w:rPr>
          <w:rtl/>
        </w:rPr>
      </w:pPr>
      <w:r w:rsidRPr="00904FCB">
        <w:rPr>
          <w:rFonts w:hint="cs"/>
          <w:rtl/>
        </w:rPr>
        <w:t>وأنا أظن</w:t>
      </w:r>
      <w:r w:rsidR="00657D11">
        <w:rPr>
          <w:rFonts w:hint="cs"/>
          <w:rtl/>
        </w:rPr>
        <w:t>ّ</w:t>
      </w:r>
      <w:r w:rsidRPr="00904FCB">
        <w:rPr>
          <w:rFonts w:hint="cs"/>
          <w:rtl/>
        </w:rPr>
        <w:t xml:space="preserve"> أنّ الحكم بوجوب الذبح في منى لم يكن أمراً مسلّ</w:t>
      </w:r>
      <w:r w:rsidR="0057337E" w:rsidRPr="00904FCB">
        <w:rPr>
          <w:rFonts w:hint="cs"/>
          <w:rtl/>
        </w:rPr>
        <w:t>َ</w:t>
      </w:r>
      <w:r w:rsidRPr="00904FCB">
        <w:rPr>
          <w:rFonts w:hint="cs"/>
          <w:rtl/>
        </w:rPr>
        <w:t>ماً فقه</w:t>
      </w:r>
      <w:r w:rsidR="0057337E" w:rsidRPr="00904FCB">
        <w:rPr>
          <w:rFonts w:hint="cs"/>
          <w:rtl/>
        </w:rPr>
        <w:t>ي</w:t>
      </w:r>
      <w:r w:rsidRPr="00904FCB">
        <w:rPr>
          <w:rFonts w:hint="cs"/>
          <w:rtl/>
        </w:rPr>
        <w:t>اً</w:t>
      </w:r>
      <w:r w:rsidR="0057337E" w:rsidRPr="00904FCB">
        <w:rPr>
          <w:rFonts w:hint="cs"/>
          <w:rtl/>
        </w:rPr>
        <w:t>،</w:t>
      </w:r>
      <w:r w:rsidRPr="00904FCB">
        <w:rPr>
          <w:rFonts w:hint="cs"/>
          <w:rtl/>
        </w:rPr>
        <w:t xml:space="preserve"> بل كان أمراً متعارفاً</w:t>
      </w:r>
      <w:r w:rsidR="0057337E" w:rsidRPr="00904FCB">
        <w:rPr>
          <w:rFonts w:hint="cs"/>
          <w:rtl/>
        </w:rPr>
        <w:t>؛</w:t>
      </w:r>
      <w:r w:rsidRPr="00904FCB">
        <w:rPr>
          <w:rFonts w:hint="cs"/>
          <w:rtl/>
        </w:rPr>
        <w:t xml:space="preserve"> لأجل مصلحة الناس </w:t>
      </w:r>
      <w:r w:rsidR="0057337E" w:rsidRPr="00904FCB">
        <w:rPr>
          <w:rFonts w:hint="cs"/>
          <w:rtl/>
        </w:rPr>
        <w:t>والتسهيل عليهم،</w:t>
      </w:r>
      <w:r w:rsidRPr="00904FCB">
        <w:rPr>
          <w:rFonts w:hint="cs"/>
          <w:rtl/>
        </w:rPr>
        <w:t xml:space="preserve"> حت</w:t>
      </w:r>
      <w:r w:rsidR="0057337E" w:rsidRPr="00904FCB">
        <w:rPr>
          <w:rFonts w:hint="cs"/>
          <w:rtl/>
        </w:rPr>
        <w:t>ّ</w:t>
      </w:r>
      <w:r w:rsidRPr="00904FCB">
        <w:rPr>
          <w:rFonts w:hint="cs"/>
          <w:rtl/>
        </w:rPr>
        <w:t>ى يأكلوا لحومها</w:t>
      </w:r>
      <w:r w:rsidR="0057337E" w:rsidRPr="00904FCB">
        <w:rPr>
          <w:rFonts w:hint="cs"/>
          <w:rtl/>
        </w:rPr>
        <w:t>؛</w:t>
      </w:r>
      <w:r w:rsidRPr="00904FCB">
        <w:rPr>
          <w:rFonts w:hint="cs"/>
          <w:rtl/>
        </w:rPr>
        <w:t xml:space="preserve"> وأيضاً </w:t>
      </w:r>
      <w:r w:rsidR="0057337E" w:rsidRPr="00904FCB">
        <w:rPr>
          <w:rFonts w:hint="cs"/>
          <w:rtl/>
        </w:rPr>
        <w:t>كي يكون</w:t>
      </w:r>
      <w:r w:rsidRPr="00904FCB">
        <w:rPr>
          <w:rFonts w:hint="cs"/>
          <w:rtl/>
        </w:rPr>
        <w:t xml:space="preserve"> مت</w:t>
      </w:r>
      <w:r w:rsidR="0057337E" w:rsidRPr="00904FCB">
        <w:rPr>
          <w:rFonts w:hint="cs"/>
          <w:rtl/>
        </w:rPr>
        <w:t>ّ</w:t>
      </w:r>
      <w:r w:rsidRPr="00904FCB">
        <w:rPr>
          <w:rFonts w:hint="cs"/>
          <w:rtl/>
        </w:rPr>
        <w:t>صلاً بأعمال الحج</w:t>
      </w:r>
      <w:r w:rsidR="0057337E" w:rsidRPr="00904FCB">
        <w:rPr>
          <w:rFonts w:hint="cs"/>
          <w:rtl/>
        </w:rPr>
        <w:t xml:space="preserve">ّ، </w:t>
      </w:r>
      <w:r w:rsidRPr="00904FCB">
        <w:rPr>
          <w:rFonts w:hint="cs"/>
          <w:rtl/>
        </w:rPr>
        <w:t>حت</w:t>
      </w:r>
      <w:r w:rsidR="0057337E" w:rsidRPr="00904FCB">
        <w:rPr>
          <w:rFonts w:hint="cs"/>
          <w:rtl/>
        </w:rPr>
        <w:t>ّ</w:t>
      </w:r>
      <w:r w:rsidRPr="00904FCB">
        <w:rPr>
          <w:rFonts w:hint="cs"/>
          <w:rtl/>
        </w:rPr>
        <w:t>ى ير</w:t>
      </w:r>
      <w:r w:rsidR="0057337E" w:rsidRPr="00904FCB">
        <w:rPr>
          <w:rFonts w:hint="cs"/>
          <w:rtl/>
        </w:rPr>
        <w:t>ى</w:t>
      </w:r>
      <w:r w:rsidRPr="00904FCB">
        <w:rPr>
          <w:rFonts w:hint="cs"/>
          <w:rtl/>
        </w:rPr>
        <w:t xml:space="preserve"> الحج</w:t>
      </w:r>
      <w:r w:rsidR="0057337E" w:rsidRPr="00904FCB">
        <w:rPr>
          <w:rFonts w:hint="cs"/>
          <w:rtl/>
        </w:rPr>
        <w:t>ّ</w:t>
      </w:r>
      <w:r w:rsidRPr="00904FCB">
        <w:rPr>
          <w:rFonts w:hint="cs"/>
          <w:rtl/>
        </w:rPr>
        <w:t>اج أنفسهم كإبراهيم</w:t>
      </w:r>
      <w:r w:rsidR="001C1A2A" w:rsidRPr="00904FCB">
        <w:rPr>
          <w:rFonts w:cs="Mosawi" w:hint="cs"/>
          <w:szCs w:val="22"/>
          <w:rtl/>
        </w:rPr>
        <w:t>×</w:t>
      </w:r>
      <w:r w:rsidRPr="00904FCB">
        <w:rPr>
          <w:rFonts w:hint="cs"/>
          <w:rtl/>
        </w:rPr>
        <w:t xml:space="preserve"> حين ذبح ولده و...</w:t>
      </w:r>
      <w:r w:rsidR="0057337E" w:rsidRPr="00904FCB">
        <w:rPr>
          <w:rFonts w:hint="cs"/>
          <w:rtl/>
        </w:rPr>
        <w:t>.</w:t>
      </w:r>
    </w:p>
    <w:p w:rsidR="005B6CEC" w:rsidRPr="00904FCB" w:rsidRDefault="005B6CEC" w:rsidP="00657D11">
      <w:pPr>
        <w:spacing w:line="400" w:lineRule="exact"/>
        <w:rPr>
          <w:rtl/>
        </w:rPr>
      </w:pPr>
      <w:r w:rsidRPr="00904FCB">
        <w:rPr>
          <w:rFonts w:hint="cs"/>
          <w:rtl/>
        </w:rPr>
        <w:t>فك</w:t>
      </w:r>
      <w:r w:rsidR="00657D11">
        <w:rPr>
          <w:rFonts w:hint="cs"/>
          <w:rtl/>
        </w:rPr>
        <w:t>أ</w:t>
      </w:r>
      <w:r w:rsidRPr="00904FCB">
        <w:rPr>
          <w:rFonts w:hint="cs"/>
          <w:rtl/>
        </w:rPr>
        <w:t>ن</w:t>
      </w:r>
      <w:r w:rsidR="00657D11">
        <w:rPr>
          <w:rFonts w:hint="cs"/>
          <w:rtl/>
        </w:rPr>
        <w:t>ّ</w:t>
      </w:r>
      <w:r w:rsidRPr="00904FCB">
        <w:rPr>
          <w:rFonts w:hint="cs"/>
          <w:rtl/>
        </w:rPr>
        <w:t xml:space="preserve"> الذبح في منى لم يكن واجباً حت</w:t>
      </w:r>
      <w:r w:rsidR="0057337E" w:rsidRPr="00904FCB">
        <w:rPr>
          <w:rFonts w:hint="cs"/>
          <w:rtl/>
        </w:rPr>
        <w:t>ّ</w:t>
      </w:r>
      <w:r w:rsidRPr="00904FCB">
        <w:rPr>
          <w:rFonts w:hint="cs"/>
          <w:rtl/>
        </w:rPr>
        <w:t xml:space="preserve">ى </w:t>
      </w:r>
      <w:r w:rsidR="00B32709" w:rsidRPr="00904FCB">
        <w:rPr>
          <w:rFonts w:hint="cs"/>
          <w:rtl/>
        </w:rPr>
        <w:t>يغيِّ</w:t>
      </w:r>
      <w:r w:rsidRPr="00904FCB">
        <w:rPr>
          <w:rFonts w:hint="cs"/>
          <w:rtl/>
        </w:rPr>
        <w:t>ره الاضطرار</w:t>
      </w:r>
      <w:r w:rsidR="00B32709" w:rsidRPr="00904FCB">
        <w:rPr>
          <w:rFonts w:hint="cs"/>
          <w:rtl/>
        </w:rPr>
        <w:t>،</w:t>
      </w:r>
      <w:r w:rsidRPr="00904FCB">
        <w:rPr>
          <w:rFonts w:hint="cs"/>
          <w:rtl/>
        </w:rPr>
        <w:t xml:space="preserve"> فيجو</w:t>
      </w:r>
      <w:r w:rsidR="00B32709" w:rsidRPr="00904FCB">
        <w:rPr>
          <w:rFonts w:hint="cs"/>
          <w:rtl/>
        </w:rPr>
        <w:t>ِّ</w:t>
      </w:r>
      <w:r w:rsidRPr="00904FCB">
        <w:rPr>
          <w:rFonts w:hint="cs"/>
          <w:rtl/>
        </w:rPr>
        <w:t>زو</w:t>
      </w:r>
      <w:r w:rsidR="00657D11">
        <w:rPr>
          <w:rFonts w:hint="cs"/>
          <w:rtl/>
        </w:rPr>
        <w:t>ا</w:t>
      </w:r>
      <w:r w:rsidRPr="00904FCB">
        <w:rPr>
          <w:rFonts w:hint="cs"/>
          <w:rtl/>
        </w:rPr>
        <w:t xml:space="preserve"> </w:t>
      </w:r>
      <w:r w:rsidR="00B32709" w:rsidRPr="00904FCB">
        <w:rPr>
          <w:rFonts w:hint="cs"/>
          <w:rtl/>
        </w:rPr>
        <w:t xml:space="preserve">أن </w:t>
      </w:r>
      <w:r w:rsidRPr="00904FCB">
        <w:rPr>
          <w:rFonts w:hint="cs"/>
          <w:rtl/>
        </w:rPr>
        <w:t>يكون الذبح خارج منى</w:t>
      </w:r>
      <w:r w:rsidR="00B32709" w:rsidRPr="00904FCB">
        <w:rPr>
          <w:rFonts w:hint="cs"/>
          <w:rtl/>
        </w:rPr>
        <w:t>،</w:t>
      </w:r>
      <w:r w:rsidRPr="00904FCB">
        <w:rPr>
          <w:rFonts w:hint="cs"/>
          <w:rtl/>
        </w:rPr>
        <w:t xml:space="preserve"> وداخل الحرم</w:t>
      </w:r>
      <w:r w:rsidR="00B32709" w:rsidRPr="00904FCB">
        <w:rPr>
          <w:rFonts w:hint="cs"/>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قال المحق</w:t>
      </w:r>
      <w:r w:rsidR="00B32709" w:rsidRPr="00904FCB">
        <w:rPr>
          <w:rFonts w:hint="cs"/>
          <w:rtl/>
        </w:rPr>
        <w:t>ِّ</w:t>
      </w:r>
      <w:r w:rsidRPr="00904FCB">
        <w:rPr>
          <w:rFonts w:hint="cs"/>
          <w:rtl/>
        </w:rPr>
        <w:t>ق الحلّي: ويجب ذبحه بمنى</w:t>
      </w:r>
      <w:r w:rsidR="00B32709" w:rsidRPr="00904FCB">
        <w:rPr>
          <w:rFonts w:hint="cs"/>
          <w:rtl/>
        </w:rPr>
        <w:t>.</w:t>
      </w:r>
      <w:r w:rsidRPr="00904FCB">
        <w:rPr>
          <w:rFonts w:hint="cs"/>
          <w:rtl/>
        </w:rPr>
        <w:t xml:space="preserve"> وذيّله في الجواهر بقوله: عند علمائنا في </w:t>
      </w:r>
      <w:r w:rsidRPr="00904FCB">
        <w:rPr>
          <w:rFonts w:hint="cs"/>
          <w:rtl/>
        </w:rPr>
        <w:lastRenderedPageBreak/>
        <w:t>محكي</w:t>
      </w:r>
      <w:r w:rsidR="00B32709" w:rsidRPr="00904FCB">
        <w:rPr>
          <w:rFonts w:hint="cs"/>
          <w:rtl/>
        </w:rPr>
        <w:t>ّ</w:t>
      </w:r>
      <w:r w:rsidRPr="00904FCB">
        <w:rPr>
          <w:rFonts w:hint="cs"/>
          <w:rtl/>
        </w:rPr>
        <w:t xml:space="preserve"> المنتهى والتذكرة</w:t>
      </w:r>
      <w:r w:rsidR="000F772A" w:rsidRPr="00904FCB">
        <w:rPr>
          <w:rFonts w:hint="cs"/>
          <w:rtl/>
        </w:rPr>
        <w:t>،</w:t>
      </w:r>
      <w:r w:rsidRPr="00904FCB">
        <w:rPr>
          <w:rFonts w:hint="cs"/>
          <w:rtl/>
        </w:rPr>
        <w:t xml:space="preserve"> وعندنا في كشف اللثام</w:t>
      </w:r>
      <w:r w:rsidR="00B32709" w:rsidRPr="00904FCB">
        <w:rPr>
          <w:rFonts w:hint="cs"/>
          <w:rtl/>
        </w:rPr>
        <w:t>.</w:t>
      </w:r>
      <w:r w:rsidRPr="00904FCB">
        <w:rPr>
          <w:rFonts w:hint="cs"/>
          <w:rtl/>
        </w:rPr>
        <w:t xml:space="preserve"> وهذا الحكم مقطوع</w:t>
      </w:r>
      <w:r w:rsidR="00B32709" w:rsidRPr="00904FCB">
        <w:rPr>
          <w:rFonts w:hint="cs"/>
          <w:rtl/>
        </w:rPr>
        <w:t>ٌ</w:t>
      </w:r>
      <w:r w:rsidRPr="00904FCB">
        <w:rPr>
          <w:rFonts w:hint="cs"/>
          <w:rtl/>
        </w:rPr>
        <w:t xml:space="preserve"> في كلام الأصحاب في المدارك</w:t>
      </w:r>
      <w:r w:rsidR="00B32709" w:rsidRPr="00904FCB">
        <w:rPr>
          <w:rFonts w:hint="cs"/>
          <w:rtl/>
        </w:rPr>
        <w:t>.</w:t>
      </w:r>
      <w:r w:rsidRPr="00904FCB">
        <w:rPr>
          <w:rFonts w:hint="cs"/>
          <w:rtl/>
        </w:rPr>
        <w:t xml:space="preserve"> وقال الصادق</w:t>
      </w:r>
      <w:r w:rsidR="001C1A2A" w:rsidRPr="00904FCB">
        <w:rPr>
          <w:rFonts w:cs="Mosawi" w:hint="cs"/>
          <w:szCs w:val="22"/>
          <w:rtl/>
        </w:rPr>
        <w:t>×</w:t>
      </w:r>
      <w:r w:rsidRPr="00904FCB">
        <w:rPr>
          <w:rFonts w:hint="cs"/>
          <w:rtl/>
        </w:rPr>
        <w:t xml:space="preserve"> في خبر إبراهيم الكوفي... وقال </w:t>
      </w:r>
      <w:r w:rsidR="000F772A" w:rsidRPr="00904FCB">
        <w:rPr>
          <w:rFonts w:hint="cs"/>
          <w:rtl/>
        </w:rPr>
        <w:t xml:space="preserve">أيضاً </w:t>
      </w:r>
      <w:r w:rsidRPr="00904FCB">
        <w:rPr>
          <w:rFonts w:hint="cs"/>
          <w:rtl/>
        </w:rPr>
        <w:t>في خبر عبد</w:t>
      </w:r>
      <w:r w:rsidR="00E9582A">
        <w:rPr>
          <w:rFonts w:hint="cs"/>
          <w:rtl/>
        </w:rPr>
        <w:t xml:space="preserve"> </w:t>
      </w:r>
      <w:r w:rsidRPr="00904FCB">
        <w:rPr>
          <w:rFonts w:hint="cs"/>
          <w:rtl/>
        </w:rPr>
        <w:t>الأعلى</w:t>
      </w:r>
      <w:r w:rsidRPr="00904FCB">
        <w:rPr>
          <w:rFonts w:hint="cs"/>
          <w:vertAlign w:val="superscript"/>
          <w:rtl/>
        </w:rPr>
        <w:t>(</w:t>
      </w:r>
      <w:r w:rsidRPr="00904FCB">
        <w:rPr>
          <w:rStyle w:val="ac"/>
          <w:sz w:val="27"/>
          <w:rtl/>
        </w:rPr>
        <w:endnoteReference w:id="422"/>
      </w:r>
      <w:r w:rsidRPr="00904FCB">
        <w:rPr>
          <w:rFonts w:hint="cs"/>
          <w:vertAlign w:val="superscript"/>
          <w:rtl/>
        </w:rPr>
        <w:t>)</w:t>
      </w:r>
      <w:r w:rsidRPr="00904FCB">
        <w:rPr>
          <w:rFonts w:hint="cs"/>
          <w:rtl/>
        </w:rPr>
        <w:t xml:space="preserve">. </w:t>
      </w:r>
    </w:p>
    <w:p w:rsidR="00B32709" w:rsidRPr="00904FCB" w:rsidRDefault="005B6CEC" w:rsidP="007A21AA">
      <w:pPr>
        <w:spacing w:line="400" w:lineRule="exact"/>
        <w:rPr>
          <w:rtl/>
        </w:rPr>
      </w:pPr>
      <w:r w:rsidRPr="00904FCB">
        <w:rPr>
          <w:rFonts w:hint="cs"/>
          <w:rtl/>
        </w:rPr>
        <w:t>أقول: صاحب الجواهر نقل الإجماع بألفاظ مختلفة</w:t>
      </w:r>
      <w:r w:rsidR="00B32709" w:rsidRPr="00904FCB">
        <w:rPr>
          <w:rFonts w:hint="cs"/>
          <w:rtl/>
        </w:rPr>
        <w:t>،</w:t>
      </w:r>
      <w:r w:rsidRPr="00904FCB">
        <w:rPr>
          <w:rFonts w:hint="cs"/>
          <w:rtl/>
        </w:rPr>
        <w:t xml:space="preserve"> مثل</w:t>
      </w:r>
      <w:r w:rsidR="00B32709" w:rsidRPr="00904FCB">
        <w:rPr>
          <w:rFonts w:hint="cs"/>
          <w:rtl/>
        </w:rPr>
        <w:t>:</w:t>
      </w:r>
      <w:r w:rsidRPr="00904FCB">
        <w:rPr>
          <w:rFonts w:hint="cs"/>
          <w:rtl/>
        </w:rPr>
        <w:t xml:space="preserve"> «عندنا»، «عند علمائنا»</w:t>
      </w:r>
      <w:r w:rsidR="00B32709" w:rsidRPr="00904FCB">
        <w:rPr>
          <w:rFonts w:hint="cs"/>
          <w:rtl/>
        </w:rPr>
        <w:t>،</w:t>
      </w:r>
      <w:r w:rsidRPr="00904FCB">
        <w:rPr>
          <w:rFonts w:hint="cs"/>
          <w:rtl/>
        </w:rPr>
        <w:t xml:space="preserve"> و...</w:t>
      </w:r>
    </w:p>
    <w:p w:rsidR="005B6CEC" w:rsidRPr="00904FCB" w:rsidRDefault="005B6CEC" w:rsidP="007A21AA">
      <w:pPr>
        <w:spacing w:line="400" w:lineRule="exact"/>
        <w:rPr>
          <w:rtl/>
        </w:rPr>
      </w:pPr>
      <w:r w:rsidRPr="00904FCB">
        <w:rPr>
          <w:rFonts w:hint="cs"/>
          <w:rtl/>
        </w:rPr>
        <w:t>وأيضاً جاء بالروايات في هذا المجال</w:t>
      </w:r>
      <w:r w:rsidR="00B32709" w:rsidRPr="00904FCB">
        <w:rPr>
          <w:rFonts w:hint="cs"/>
          <w:rtl/>
        </w:rPr>
        <w:t>،</w:t>
      </w:r>
      <w:r w:rsidRPr="00904FCB">
        <w:rPr>
          <w:rFonts w:hint="cs"/>
          <w:rtl/>
        </w:rPr>
        <w:t xml:space="preserve"> فيلزم علينا أن ننقل الأقوال</w:t>
      </w:r>
      <w:r w:rsidR="00B32709" w:rsidRPr="00904FCB">
        <w:rPr>
          <w:rFonts w:hint="cs"/>
          <w:rtl/>
        </w:rPr>
        <w:t>،</w:t>
      </w:r>
      <w:r w:rsidRPr="00904FCB">
        <w:rPr>
          <w:rFonts w:hint="cs"/>
          <w:rtl/>
        </w:rPr>
        <w:t xml:space="preserve"> حت</w:t>
      </w:r>
      <w:r w:rsidR="00B32709" w:rsidRPr="00904FCB">
        <w:rPr>
          <w:rFonts w:hint="cs"/>
          <w:rtl/>
        </w:rPr>
        <w:t>ّ</w:t>
      </w:r>
      <w:r w:rsidRPr="00904FCB">
        <w:rPr>
          <w:rFonts w:hint="cs"/>
          <w:rtl/>
        </w:rPr>
        <w:t>ى نرى أن المسألة إجماعية أو لا؟ ثم</w:t>
      </w:r>
      <w:r w:rsidR="00B32709" w:rsidRPr="00904FCB">
        <w:rPr>
          <w:rFonts w:hint="cs"/>
          <w:rtl/>
        </w:rPr>
        <w:t>ّ</w:t>
      </w:r>
      <w:r w:rsidRPr="00904FCB">
        <w:rPr>
          <w:rFonts w:hint="cs"/>
          <w:rtl/>
        </w:rPr>
        <w:t xml:space="preserve"> نتكل</w:t>
      </w:r>
      <w:r w:rsidR="00B32709" w:rsidRPr="00904FCB">
        <w:rPr>
          <w:rFonts w:hint="cs"/>
          <w:rtl/>
        </w:rPr>
        <w:t>َّ</w:t>
      </w:r>
      <w:r w:rsidRPr="00904FCB">
        <w:rPr>
          <w:rFonts w:hint="cs"/>
          <w:rtl/>
        </w:rPr>
        <w:t xml:space="preserve">م حول الروايات. </w:t>
      </w:r>
    </w:p>
    <w:p w:rsidR="005B6CEC" w:rsidRPr="00904FCB" w:rsidRDefault="005B6CEC" w:rsidP="007A21AA">
      <w:pPr>
        <w:spacing w:line="400" w:lineRule="exact"/>
        <w:rPr>
          <w:rtl/>
        </w:rPr>
      </w:pPr>
      <w:r w:rsidRPr="00756F2A">
        <w:rPr>
          <w:rFonts w:hint="cs"/>
          <w:b/>
          <w:bCs/>
          <w:rtl/>
        </w:rPr>
        <w:t>1ـ قال في المقنع</w:t>
      </w:r>
      <w:r w:rsidR="00B32709" w:rsidRPr="00756F2A">
        <w:rPr>
          <w:rFonts w:hint="cs"/>
          <w:rtl/>
        </w:rPr>
        <w:t>،</w:t>
      </w:r>
      <w:r w:rsidRPr="00756F2A">
        <w:rPr>
          <w:rFonts w:hint="cs"/>
          <w:rtl/>
        </w:rPr>
        <w:t xml:space="preserve"> بعد بيان الرمي ومستحب</w:t>
      </w:r>
      <w:r w:rsidR="00B32709" w:rsidRPr="00756F2A">
        <w:rPr>
          <w:rFonts w:hint="cs"/>
          <w:rtl/>
        </w:rPr>
        <w:t>ّ</w:t>
      </w:r>
      <w:r w:rsidRPr="00756F2A">
        <w:rPr>
          <w:rFonts w:hint="cs"/>
          <w:rtl/>
        </w:rPr>
        <w:t>اته: ثم</w:t>
      </w:r>
      <w:r w:rsidR="00B32709" w:rsidRPr="00756F2A">
        <w:rPr>
          <w:rFonts w:hint="cs"/>
          <w:rtl/>
        </w:rPr>
        <w:t>ّ</w:t>
      </w:r>
      <w:r w:rsidRPr="00756F2A">
        <w:rPr>
          <w:rFonts w:hint="cs"/>
          <w:rtl/>
        </w:rPr>
        <w:t xml:space="preserve"> اشت</w:t>
      </w:r>
      <w:r w:rsidR="00B32709" w:rsidRPr="00756F2A">
        <w:rPr>
          <w:rFonts w:hint="cs"/>
          <w:rtl/>
        </w:rPr>
        <w:t>َ</w:t>
      </w:r>
      <w:r w:rsidRPr="00756F2A">
        <w:rPr>
          <w:rFonts w:hint="cs"/>
          <w:rtl/>
        </w:rPr>
        <w:t>ر</w:t>
      </w:r>
      <w:r w:rsidR="00B32709" w:rsidRPr="00756F2A">
        <w:rPr>
          <w:rFonts w:hint="cs"/>
          <w:rtl/>
        </w:rPr>
        <w:t>ِ</w:t>
      </w:r>
      <w:r w:rsidRPr="00756F2A">
        <w:rPr>
          <w:rFonts w:hint="cs"/>
          <w:rtl/>
        </w:rPr>
        <w:t xml:space="preserve"> ه</w:t>
      </w:r>
      <w:r w:rsidR="00B32709" w:rsidRPr="00756F2A">
        <w:rPr>
          <w:rFonts w:hint="cs"/>
          <w:rtl/>
        </w:rPr>
        <w:t>َ</w:t>
      </w:r>
      <w:r w:rsidRPr="00756F2A">
        <w:rPr>
          <w:rFonts w:hint="cs"/>
          <w:rtl/>
        </w:rPr>
        <w:t>د</w:t>
      </w:r>
      <w:r w:rsidR="00B32709" w:rsidRPr="00756F2A">
        <w:rPr>
          <w:rFonts w:hint="cs"/>
          <w:rtl/>
        </w:rPr>
        <w:t>ْ</w:t>
      </w:r>
      <w:r w:rsidRPr="00756F2A">
        <w:rPr>
          <w:rFonts w:hint="cs"/>
          <w:rtl/>
        </w:rPr>
        <w:t>ي</w:t>
      </w:r>
      <w:r w:rsidR="00B32709" w:rsidRPr="00756F2A">
        <w:rPr>
          <w:rFonts w:hint="cs"/>
          <w:rtl/>
        </w:rPr>
        <w:t>َ</w:t>
      </w:r>
      <w:r w:rsidRPr="00756F2A">
        <w:rPr>
          <w:rFonts w:hint="cs"/>
          <w:rtl/>
        </w:rPr>
        <w:t>ك إن</w:t>
      </w:r>
      <w:r w:rsidR="00B32709" w:rsidRPr="00756F2A">
        <w:rPr>
          <w:rFonts w:hint="cs"/>
          <w:rtl/>
        </w:rPr>
        <w:t>ْ</w:t>
      </w:r>
      <w:r w:rsidRPr="00756F2A">
        <w:rPr>
          <w:rFonts w:hint="cs"/>
          <w:rtl/>
        </w:rPr>
        <w:t xml:space="preserve"> كان من البدن</w:t>
      </w:r>
      <w:r w:rsidRPr="00904FCB">
        <w:rPr>
          <w:rFonts w:hint="cs"/>
          <w:rtl/>
        </w:rPr>
        <w:t xml:space="preserve"> أو من البقر</w:t>
      </w:r>
      <w:r w:rsidR="00B32709" w:rsidRPr="00904FCB">
        <w:rPr>
          <w:rFonts w:hint="cs"/>
          <w:rtl/>
        </w:rPr>
        <w:t>،</w:t>
      </w:r>
      <w:r w:rsidRPr="00904FCB">
        <w:rPr>
          <w:rFonts w:hint="cs"/>
          <w:rtl/>
        </w:rPr>
        <w:t xml:space="preserve"> وإلاّ فاجعله كبشاً سميناً فحلاً</w:t>
      </w:r>
      <w:r w:rsidR="00B32709" w:rsidRPr="00904FCB">
        <w:rPr>
          <w:rFonts w:hint="cs"/>
          <w:rtl/>
        </w:rPr>
        <w:t>،</w:t>
      </w:r>
      <w:r w:rsidRPr="00904FCB">
        <w:rPr>
          <w:rFonts w:hint="cs"/>
          <w:rtl/>
        </w:rPr>
        <w:t xml:space="preserve"> فإن</w:t>
      </w:r>
      <w:r w:rsidR="00B32709" w:rsidRPr="00904FCB">
        <w:rPr>
          <w:rFonts w:hint="cs"/>
          <w:rtl/>
        </w:rPr>
        <w:t>ْ</w:t>
      </w:r>
      <w:r w:rsidRPr="00904FCB">
        <w:rPr>
          <w:rFonts w:hint="cs"/>
          <w:rtl/>
        </w:rPr>
        <w:t xml:space="preserve"> لم تجد... فإن</w:t>
      </w:r>
      <w:r w:rsidR="00B32709" w:rsidRPr="00904FCB">
        <w:rPr>
          <w:rFonts w:hint="cs"/>
          <w:rtl/>
        </w:rPr>
        <w:t>ْ</w:t>
      </w:r>
      <w:r w:rsidRPr="00904FCB">
        <w:rPr>
          <w:rFonts w:hint="cs"/>
          <w:rtl/>
        </w:rPr>
        <w:t xml:space="preserve"> لم تجد فحلاً فما تيس</w:t>
      </w:r>
      <w:r w:rsidR="00B32709" w:rsidRPr="00904FCB">
        <w:rPr>
          <w:rFonts w:hint="cs"/>
          <w:rtl/>
        </w:rPr>
        <w:t>َّ</w:t>
      </w:r>
      <w:r w:rsidRPr="00904FCB">
        <w:rPr>
          <w:rFonts w:hint="cs"/>
          <w:rtl/>
        </w:rPr>
        <w:t>ر لك</w:t>
      </w:r>
      <w:r w:rsidR="00B32709" w:rsidRPr="00904FCB">
        <w:rPr>
          <w:rFonts w:hint="cs"/>
          <w:rtl/>
        </w:rPr>
        <w:t>،</w:t>
      </w:r>
      <w:r w:rsidRPr="00904FCB">
        <w:rPr>
          <w:rFonts w:hint="cs"/>
          <w:rtl/>
        </w:rPr>
        <w:t xml:space="preserve"> وعَظّ</w:t>
      </w:r>
      <w:r w:rsidR="00B32709" w:rsidRPr="00904FCB">
        <w:rPr>
          <w:rFonts w:hint="cs"/>
          <w:rtl/>
        </w:rPr>
        <w:t>ِ</w:t>
      </w:r>
      <w:r w:rsidRPr="00904FCB">
        <w:rPr>
          <w:rFonts w:hint="cs"/>
          <w:rtl/>
        </w:rPr>
        <w:t>م</w:t>
      </w:r>
      <w:r w:rsidR="00B32709" w:rsidRPr="00904FCB">
        <w:rPr>
          <w:rFonts w:hint="cs"/>
          <w:rtl/>
        </w:rPr>
        <w:t>ْ</w:t>
      </w:r>
      <w:r w:rsidRPr="00904FCB">
        <w:rPr>
          <w:rFonts w:hint="cs"/>
          <w:rtl/>
        </w:rPr>
        <w:t xml:space="preserve"> شعائر الله</w:t>
      </w:r>
      <w:r w:rsidR="00B32709" w:rsidRPr="00904FCB">
        <w:rPr>
          <w:rFonts w:hint="cs"/>
          <w:rtl/>
        </w:rPr>
        <w:t>؛</w:t>
      </w:r>
      <w:r w:rsidRPr="00904FCB">
        <w:rPr>
          <w:rFonts w:hint="cs"/>
          <w:rtl/>
        </w:rPr>
        <w:t xml:space="preserve"> فإنّها من تقوى القلوب</w:t>
      </w:r>
      <w:r w:rsidR="00B32709" w:rsidRPr="00904FCB">
        <w:rPr>
          <w:rFonts w:hint="cs"/>
          <w:rtl/>
        </w:rPr>
        <w:t>.</w:t>
      </w:r>
      <w:r w:rsidRPr="00904FCB">
        <w:rPr>
          <w:rFonts w:hint="cs"/>
          <w:rtl/>
        </w:rPr>
        <w:t xml:space="preserve"> ولا ت</w:t>
      </w:r>
      <w:r w:rsidR="00B32709" w:rsidRPr="00904FCB">
        <w:rPr>
          <w:rFonts w:hint="cs"/>
          <w:rtl/>
        </w:rPr>
        <w:t>ُ</w:t>
      </w:r>
      <w:r w:rsidRPr="00904FCB">
        <w:rPr>
          <w:rFonts w:hint="cs"/>
          <w:rtl/>
        </w:rPr>
        <w:t>ع</w:t>
      </w:r>
      <w:r w:rsidR="00B32709" w:rsidRPr="00904FCB">
        <w:rPr>
          <w:rFonts w:hint="cs"/>
          <w:rtl/>
        </w:rPr>
        <w:t>ْ</w:t>
      </w:r>
      <w:r w:rsidRPr="00904FCB">
        <w:rPr>
          <w:rFonts w:hint="cs"/>
          <w:rtl/>
        </w:rPr>
        <w:t>ط</w:t>
      </w:r>
      <w:r w:rsidR="00B32709" w:rsidRPr="00904FCB">
        <w:rPr>
          <w:rFonts w:hint="cs"/>
          <w:rtl/>
        </w:rPr>
        <w:t>ِ</w:t>
      </w:r>
      <w:r w:rsidRPr="00904FCB">
        <w:rPr>
          <w:rFonts w:hint="cs"/>
          <w:rtl/>
        </w:rPr>
        <w:t xml:space="preserve"> الجز</w:t>
      </w:r>
      <w:r w:rsidR="00B32709" w:rsidRPr="00904FCB">
        <w:rPr>
          <w:rFonts w:hint="cs"/>
          <w:rtl/>
        </w:rPr>
        <w:t>ّ</w:t>
      </w:r>
      <w:r w:rsidRPr="00904FCB">
        <w:rPr>
          <w:rFonts w:hint="cs"/>
          <w:rtl/>
        </w:rPr>
        <w:t>ار جلودها</w:t>
      </w:r>
      <w:r w:rsidR="00B32709" w:rsidRPr="00904FCB">
        <w:rPr>
          <w:rFonts w:hint="cs"/>
          <w:rtl/>
        </w:rPr>
        <w:t>،</w:t>
      </w:r>
      <w:r w:rsidRPr="00904FCB">
        <w:rPr>
          <w:rFonts w:hint="cs"/>
          <w:rtl/>
        </w:rPr>
        <w:t xml:space="preserve"> ولا قلائدها</w:t>
      </w:r>
      <w:r w:rsidR="00B32709" w:rsidRPr="00904FCB">
        <w:rPr>
          <w:rFonts w:hint="cs"/>
          <w:rtl/>
        </w:rPr>
        <w:t>،</w:t>
      </w:r>
      <w:r w:rsidRPr="00904FCB">
        <w:rPr>
          <w:rFonts w:hint="cs"/>
          <w:rtl/>
        </w:rPr>
        <w:t xml:space="preserve"> ولا جلالها</w:t>
      </w:r>
      <w:r w:rsidR="00B32709" w:rsidRPr="00904FCB">
        <w:rPr>
          <w:rFonts w:hint="cs"/>
          <w:rtl/>
        </w:rPr>
        <w:t>،</w:t>
      </w:r>
      <w:r w:rsidRPr="00904FCB">
        <w:rPr>
          <w:rFonts w:hint="cs"/>
          <w:rtl/>
        </w:rPr>
        <w:t xml:space="preserve"> ولكن</w:t>
      </w:r>
      <w:r w:rsidR="00B32709" w:rsidRPr="00904FCB">
        <w:rPr>
          <w:rFonts w:hint="cs"/>
          <w:rtl/>
        </w:rPr>
        <w:t>ْ</w:t>
      </w:r>
      <w:r w:rsidRPr="00904FCB">
        <w:rPr>
          <w:rFonts w:hint="cs"/>
          <w:rtl/>
        </w:rPr>
        <w:t xml:space="preserve"> تصدّ</w:t>
      </w:r>
      <w:r w:rsidR="00B32709" w:rsidRPr="00904FCB">
        <w:rPr>
          <w:rFonts w:hint="cs"/>
          <w:rtl/>
        </w:rPr>
        <w:t>َ</w:t>
      </w:r>
      <w:r w:rsidRPr="00904FCB">
        <w:rPr>
          <w:rFonts w:hint="cs"/>
          <w:rtl/>
        </w:rPr>
        <w:t>ق بها</w:t>
      </w:r>
      <w:r w:rsidR="00B32709" w:rsidRPr="00904FCB">
        <w:rPr>
          <w:rFonts w:hint="cs"/>
          <w:rtl/>
        </w:rPr>
        <w:t xml:space="preserve">، </w:t>
      </w:r>
      <w:r w:rsidRPr="00904FCB">
        <w:rPr>
          <w:rFonts w:hint="cs"/>
          <w:rtl/>
        </w:rPr>
        <w:t>ولا ت</w:t>
      </w:r>
      <w:r w:rsidR="00B32709" w:rsidRPr="00904FCB">
        <w:rPr>
          <w:rFonts w:hint="cs"/>
          <w:rtl/>
        </w:rPr>
        <w:t>ُ</w:t>
      </w:r>
      <w:r w:rsidRPr="00904FCB">
        <w:rPr>
          <w:rFonts w:hint="cs"/>
          <w:rtl/>
        </w:rPr>
        <w:t>ع</w:t>
      </w:r>
      <w:r w:rsidR="00B32709" w:rsidRPr="00904FCB">
        <w:rPr>
          <w:rFonts w:hint="cs"/>
          <w:rtl/>
        </w:rPr>
        <w:t>ْ</w:t>
      </w:r>
      <w:r w:rsidRPr="00904FCB">
        <w:rPr>
          <w:rFonts w:hint="cs"/>
          <w:rtl/>
        </w:rPr>
        <w:t>ط</w:t>
      </w:r>
      <w:r w:rsidR="00B32709" w:rsidRPr="00904FCB">
        <w:rPr>
          <w:rFonts w:hint="cs"/>
          <w:rtl/>
        </w:rPr>
        <w:t>ِ</w:t>
      </w:r>
      <w:r w:rsidRPr="00904FCB">
        <w:rPr>
          <w:rFonts w:hint="cs"/>
          <w:rtl/>
        </w:rPr>
        <w:t xml:space="preserve"> السلا</w:t>
      </w:r>
      <w:r w:rsidR="00B32709" w:rsidRPr="00904FCB">
        <w:rPr>
          <w:rFonts w:hint="cs"/>
          <w:rtl/>
        </w:rPr>
        <w:t>ّ</w:t>
      </w:r>
      <w:r w:rsidRPr="00904FCB">
        <w:rPr>
          <w:rFonts w:hint="cs"/>
          <w:rtl/>
        </w:rPr>
        <w:t>خ منها شيئاً</w:t>
      </w:r>
      <w:r w:rsidRPr="00904FCB">
        <w:rPr>
          <w:rFonts w:hint="cs"/>
          <w:vertAlign w:val="superscript"/>
          <w:rtl/>
        </w:rPr>
        <w:t>(</w:t>
      </w:r>
      <w:r w:rsidRPr="00904FCB">
        <w:rPr>
          <w:rStyle w:val="ac"/>
          <w:sz w:val="27"/>
          <w:rtl/>
        </w:rPr>
        <w:endnoteReference w:id="423"/>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الظاهر من ذكره اشتراء اله</w:t>
      </w:r>
      <w:r w:rsidR="00B32709" w:rsidRPr="00904FCB">
        <w:rPr>
          <w:rFonts w:hint="cs"/>
          <w:rtl/>
        </w:rPr>
        <w:t>َ</w:t>
      </w:r>
      <w:r w:rsidRPr="00904FCB">
        <w:rPr>
          <w:rFonts w:hint="cs"/>
          <w:rtl/>
        </w:rPr>
        <w:t>د</w:t>
      </w:r>
      <w:r w:rsidR="00B32709" w:rsidRPr="00904FCB">
        <w:rPr>
          <w:rFonts w:hint="cs"/>
          <w:rtl/>
        </w:rPr>
        <w:t>ْ</w:t>
      </w:r>
      <w:r w:rsidRPr="00904FCB">
        <w:rPr>
          <w:rFonts w:hint="cs"/>
          <w:rtl/>
        </w:rPr>
        <w:t>ي بعد الرمي أنه من أعمال منى</w:t>
      </w:r>
      <w:r w:rsidR="00B32709" w:rsidRPr="00904FCB">
        <w:rPr>
          <w:rFonts w:hint="cs"/>
          <w:rtl/>
        </w:rPr>
        <w:t>.</w:t>
      </w:r>
      <w:r w:rsidRPr="00904FCB">
        <w:rPr>
          <w:rFonts w:hint="cs"/>
          <w:rtl/>
        </w:rPr>
        <w:t xml:space="preserve"> ولكن هل يجب أن يقع في منى أو يجوز فلم ي</w:t>
      </w:r>
      <w:r w:rsidR="00B32709" w:rsidRPr="00904FCB">
        <w:rPr>
          <w:rFonts w:hint="cs"/>
          <w:rtl/>
        </w:rPr>
        <w:t>َ</w:t>
      </w:r>
      <w:r w:rsidRPr="00904FCB">
        <w:rPr>
          <w:rFonts w:hint="cs"/>
          <w:rtl/>
        </w:rPr>
        <w:t>ق</w:t>
      </w:r>
      <w:r w:rsidR="00B32709" w:rsidRPr="00904FCB">
        <w:rPr>
          <w:rFonts w:hint="cs"/>
          <w:rtl/>
        </w:rPr>
        <w:t>ُ</w:t>
      </w:r>
      <w:r w:rsidRPr="00904FCB">
        <w:rPr>
          <w:rFonts w:hint="cs"/>
          <w:rtl/>
        </w:rPr>
        <w:t>ل</w:t>
      </w:r>
      <w:r w:rsidR="00B32709" w:rsidRPr="00904FCB">
        <w:rPr>
          <w:rFonts w:hint="cs"/>
          <w:rtl/>
        </w:rPr>
        <w:t>ْ</w:t>
      </w:r>
      <w:r w:rsidRPr="00904FCB">
        <w:rPr>
          <w:rFonts w:hint="cs"/>
          <w:rtl/>
        </w:rPr>
        <w:t xml:space="preserve"> شيئاً. الل</w:t>
      </w:r>
      <w:r w:rsidR="00B32709" w:rsidRPr="00904FCB">
        <w:rPr>
          <w:rFonts w:hint="cs"/>
          <w:rtl/>
        </w:rPr>
        <w:t>َّ</w:t>
      </w:r>
      <w:r w:rsidRPr="00904FCB">
        <w:rPr>
          <w:rFonts w:hint="cs"/>
          <w:rtl/>
        </w:rPr>
        <w:t>ه</w:t>
      </w:r>
      <w:r w:rsidR="00B32709" w:rsidRPr="00904FCB">
        <w:rPr>
          <w:rFonts w:hint="cs"/>
          <w:rtl/>
        </w:rPr>
        <w:t>ُ</w:t>
      </w:r>
      <w:r w:rsidRPr="00904FCB">
        <w:rPr>
          <w:rFonts w:hint="cs"/>
          <w:rtl/>
        </w:rPr>
        <w:t>م</w:t>
      </w:r>
      <w:r w:rsidR="00B32709" w:rsidRPr="00904FCB">
        <w:rPr>
          <w:rFonts w:hint="cs"/>
          <w:rtl/>
        </w:rPr>
        <w:t>َّ</w:t>
      </w:r>
      <w:r w:rsidRPr="00904FCB">
        <w:rPr>
          <w:rFonts w:hint="cs"/>
          <w:rtl/>
        </w:rPr>
        <w:t xml:space="preserve"> إلاّ أن يقال</w:t>
      </w:r>
      <w:r w:rsidR="00B32709" w:rsidRPr="00904FCB">
        <w:rPr>
          <w:rFonts w:hint="cs"/>
          <w:rtl/>
        </w:rPr>
        <w:t>:</w:t>
      </w:r>
      <w:r w:rsidRPr="00904FCB">
        <w:rPr>
          <w:rFonts w:hint="cs"/>
          <w:rtl/>
        </w:rPr>
        <w:t xml:space="preserve"> </w:t>
      </w:r>
      <w:r w:rsidR="00B32709" w:rsidRPr="00904FCB">
        <w:rPr>
          <w:rFonts w:hint="cs"/>
          <w:rtl/>
        </w:rPr>
        <w:t>إ</w:t>
      </w:r>
      <w:r w:rsidRPr="00904FCB">
        <w:rPr>
          <w:rFonts w:hint="cs"/>
          <w:rtl/>
        </w:rPr>
        <w:t>ن إصراره على دفن الشعر في منى</w:t>
      </w:r>
      <w:r w:rsidR="00B32709" w:rsidRPr="00904FCB">
        <w:rPr>
          <w:rFonts w:hint="cs"/>
          <w:rtl/>
        </w:rPr>
        <w:t>،</w:t>
      </w:r>
      <w:r w:rsidRPr="00904FCB">
        <w:rPr>
          <w:rFonts w:hint="cs"/>
          <w:rtl/>
        </w:rPr>
        <w:t xml:space="preserve"> وعدم ذكر لفظ منى في الذبح</w:t>
      </w:r>
      <w:r w:rsidR="00B32709" w:rsidRPr="00904FCB">
        <w:rPr>
          <w:rFonts w:hint="cs"/>
          <w:rtl/>
        </w:rPr>
        <w:t>،</w:t>
      </w:r>
      <w:r w:rsidRPr="00904FCB">
        <w:rPr>
          <w:rFonts w:hint="cs"/>
          <w:rtl/>
        </w:rPr>
        <w:t xml:space="preserve"> يدلّ على جواز وقوعه في منى أو استحبابه</w:t>
      </w:r>
      <w:r w:rsidR="00B32709" w:rsidRPr="00904FCB">
        <w:rPr>
          <w:rFonts w:hint="cs"/>
          <w:rtl/>
        </w:rPr>
        <w:t>،</w:t>
      </w:r>
      <w:r w:rsidRPr="00904FCB">
        <w:rPr>
          <w:rFonts w:hint="cs"/>
          <w:rtl/>
        </w:rPr>
        <w:t xml:space="preserve"> دون وجوبه. ومم</w:t>
      </w:r>
      <w:r w:rsidR="00B32709" w:rsidRPr="00904FCB">
        <w:rPr>
          <w:rFonts w:hint="cs"/>
          <w:rtl/>
        </w:rPr>
        <w:t>ّ</w:t>
      </w:r>
      <w:r w:rsidRPr="00904FCB">
        <w:rPr>
          <w:rFonts w:hint="cs"/>
          <w:rtl/>
        </w:rPr>
        <w:t>ا يقرب هذا قوله</w:t>
      </w:r>
      <w:r w:rsidR="00B32709" w:rsidRPr="00904FCB">
        <w:rPr>
          <w:rFonts w:hint="cs"/>
          <w:rtl/>
        </w:rPr>
        <w:t>:</w:t>
      </w:r>
      <w:r w:rsidRPr="00904FCB">
        <w:rPr>
          <w:rFonts w:hint="cs"/>
          <w:rtl/>
        </w:rPr>
        <w:t xml:space="preserve"> «اش</w:t>
      </w:r>
      <w:r w:rsidR="00B32709" w:rsidRPr="00904FCB">
        <w:rPr>
          <w:rFonts w:hint="cs"/>
          <w:rtl/>
        </w:rPr>
        <w:t>ْ</w:t>
      </w:r>
      <w:r w:rsidRPr="00904FCB">
        <w:rPr>
          <w:rFonts w:hint="cs"/>
          <w:rtl/>
        </w:rPr>
        <w:t>ت</w:t>
      </w:r>
      <w:r w:rsidR="00B32709" w:rsidRPr="00904FCB">
        <w:rPr>
          <w:rFonts w:hint="cs"/>
          <w:rtl/>
        </w:rPr>
        <w:t>َ</w:t>
      </w:r>
      <w:r w:rsidRPr="00904FCB">
        <w:rPr>
          <w:rFonts w:hint="cs"/>
          <w:rtl/>
        </w:rPr>
        <w:t>ر</w:t>
      </w:r>
      <w:r w:rsidR="00B32709" w:rsidRPr="00904FCB">
        <w:rPr>
          <w:rFonts w:hint="cs"/>
          <w:rtl/>
        </w:rPr>
        <w:t>ِ</w:t>
      </w:r>
      <w:r w:rsidRPr="00904FCB">
        <w:rPr>
          <w:rFonts w:hint="cs"/>
          <w:rtl/>
        </w:rPr>
        <w:t>»</w:t>
      </w:r>
      <w:r w:rsidR="00B32709" w:rsidRPr="00904FCB">
        <w:rPr>
          <w:rFonts w:hint="cs"/>
          <w:rtl/>
        </w:rPr>
        <w:t>،</w:t>
      </w:r>
      <w:r w:rsidRPr="00904FCB">
        <w:rPr>
          <w:rFonts w:hint="cs"/>
          <w:rtl/>
        </w:rPr>
        <w:t xml:space="preserve"> مع أنه وسيلة للتمل</w:t>
      </w:r>
      <w:r w:rsidR="00B32709" w:rsidRPr="00904FCB">
        <w:rPr>
          <w:rFonts w:hint="cs"/>
          <w:rtl/>
        </w:rPr>
        <w:t>ُّ</w:t>
      </w:r>
      <w:r w:rsidRPr="00904FCB">
        <w:rPr>
          <w:rFonts w:hint="cs"/>
          <w:rtl/>
        </w:rPr>
        <w:t>ك</w:t>
      </w:r>
      <w:r w:rsidR="00B32709" w:rsidRPr="00904FCB">
        <w:rPr>
          <w:rFonts w:hint="cs"/>
          <w:rtl/>
        </w:rPr>
        <w:t>،</w:t>
      </w:r>
      <w:r w:rsidRPr="00904FCB">
        <w:rPr>
          <w:rFonts w:hint="cs"/>
          <w:rtl/>
        </w:rPr>
        <w:t xml:space="preserve"> دون غيره. </w:t>
      </w:r>
    </w:p>
    <w:p w:rsidR="005B6CEC" w:rsidRPr="00904FCB" w:rsidRDefault="005B6CEC" w:rsidP="00510A75">
      <w:pPr>
        <w:spacing w:line="400" w:lineRule="exact"/>
        <w:rPr>
          <w:rtl/>
        </w:rPr>
      </w:pPr>
      <w:r w:rsidRPr="00904FCB">
        <w:rPr>
          <w:rFonts w:hint="cs"/>
          <w:rtl/>
        </w:rPr>
        <w:t>وببيان</w:t>
      </w:r>
      <w:r w:rsidR="00B32709" w:rsidRPr="00904FCB">
        <w:rPr>
          <w:rFonts w:hint="cs"/>
          <w:rtl/>
        </w:rPr>
        <w:t>ٍ</w:t>
      </w:r>
      <w:r w:rsidRPr="00904FCB">
        <w:rPr>
          <w:rFonts w:hint="cs"/>
          <w:rtl/>
        </w:rPr>
        <w:t xml:space="preserve"> آخر</w:t>
      </w:r>
      <w:r w:rsidR="00B32709" w:rsidRPr="00904FCB">
        <w:rPr>
          <w:rFonts w:hint="cs"/>
          <w:rtl/>
        </w:rPr>
        <w:t>:</w:t>
      </w:r>
      <w:r w:rsidRPr="00904FCB">
        <w:rPr>
          <w:rFonts w:hint="cs"/>
          <w:rtl/>
        </w:rPr>
        <w:t xml:space="preserve"> هو</w:t>
      </w:r>
      <w:r w:rsidR="00510A75" w:rsidRPr="00756F2A">
        <w:rPr>
          <w:rFonts w:ascii="Mosawi" w:hAnsi="Mosawi" w:cs="Mosawi"/>
          <w:sz w:val="22"/>
          <w:szCs w:val="22"/>
          <w:rtl/>
        </w:rPr>
        <w:t>&amp;</w:t>
      </w:r>
      <w:r w:rsidRPr="00904FCB">
        <w:rPr>
          <w:rFonts w:hint="cs"/>
          <w:rtl/>
        </w:rPr>
        <w:t xml:space="preserve"> ذكر الواجبات والمستحبات في سياق</w:t>
      </w:r>
      <w:r w:rsidR="00B32709" w:rsidRPr="00904FCB">
        <w:rPr>
          <w:rFonts w:hint="cs"/>
          <w:rtl/>
        </w:rPr>
        <w:t>ٍ</w:t>
      </w:r>
      <w:r w:rsidRPr="00904FCB">
        <w:rPr>
          <w:rFonts w:hint="cs"/>
          <w:rtl/>
        </w:rPr>
        <w:t xml:space="preserve"> واحد ولكن</w:t>
      </w:r>
      <w:r w:rsidR="00B32709" w:rsidRPr="00904FCB">
        <w:rPr>
          <w:rFonts w:hint="cs"/>
          <w:rtl/>
        </w:rPr>
        <w:t>ْ</w:t>
      </w:r>
      <w:r w:rsidRPr="00904FCB">
        <w:rPr>
          <w:rFonts w:hint="cs"/>
          <w:rtl/>
        </w:rPr>
        <w:t xml:space="preserve"> أكّد الحكم في الواجبات</w:t>
      </w:r>
      <w:r w:rsidR="00E9582A">
        <w:rPr>
          <w:rFonts w:hint="cs"/>
          <w:rtl/>
        </w:rPr>
        <w:t>،</w:t>
      </w:r>
      <w:r w:rsidRPr="00904FCB">
        <w:rPr>
          <w:rFonts w:hint="cs"/>
          <w:rtl/>
        </w:rPr>
        <w:t xml:space="preserve"> دون المستحب</w:t>
      </w:r>
      <w:r w:rsidR="00E9582A">
        <w:rPr>
          <w:rFonts w:hint="cs"/>
          <w:rtl/>
        </w:rPr>
        <w:t>ّ</w:t>
      </w:r>
      <w:r w:rsidRPr="00904FCB">
        <w:rPr>
          <w:rFonts w:hint="cs"/>
          <w:rtl/>
        </w:rPr>
        <w:t>ات</w:t>
      </w:r>
      <w:r w:rsidR="00B32709" w:rsidRPr="00904FCB">
        <w:rPr>
          <w:rFonts w:hint="cs"/>
          <w:rtl/>
        </w:rPr>
        <w:t>.</w:t>
      </w:r>
      <w:r w:rsidRPr="00904FCB">
        <w:rPr>
          <w:rFonts w:hint="cs"/>
          <w:rtl/>
        </w:rPr>
        <w:t xml:space="preserve"> مثلاً</w:t>
      </w:r>
      <w:r w:rsidR="00B32709" w:rsidRPr="00904FCB">
        <w:rPr>
          <w:rFonts w:hint="cs"/>
          <w:rtl/>
        </w:rPr>
        <w:t>:</w:t>
      </w:r>
      <w:r w:rsidRPr="00904FCB">
        <w:rPr>
          <w:rFonts w:hint="cs"/>
          <w:rtl/>
        </w:rPr>
        <w:t xml:space="preserve"> قال في نفس الصفحة</w:t>
      </w:r>
      <w:r w:rsidR="00B32709" w:rsidRPr="00904FCB">
        <w:rPr>
          <w:rFonts w:hint="cs"/>
          <w:rtl/>
        </w:rPr>
        <w:t>:</w:t>
      </w:r>
      <w:r w:rsidRPr="00904FCB">
        <w:rPr>
          <w:rFonts w:hint="cs"/>
          <w:rtl/>
        </w:rPr>
        <w:t xml:space="preserve"> «إيّاك أن تفيض منها قبل غروب الشمس</w:t>
      </w:r>
      <w:r w:rsidR="00B32709" w:rsidRPr="00904FCB">
        <w:rPr>
          <w:rFonts w:hint="cs"/>
          <w:rtl/>
        </w:rPr>
        <w:t>،</w:t>
      </w:r>
      <w:r w:rsidRPr="00904FCB">
        <w:rPr>
          <w:rFonts w:hint="cs"/>
          <w:rtl/>
        </w:rPr>
        <w:t xml:space="preserve"> فيلزمك دم شاة»</w:t>
      </w:r>
      <w:r w:rsidR="00B32709" w:rsidRPr="00904FCB">
        <w:rPr>
          <w:rFonts w:hint="cs"/>
          <w:rtl/>
        </w:rPr>
        <w:t>.</w:t>
      </w:r>
      <w:r w:rsidRPr="00904FCB">
        <w:rPr>
          <w:rFonts w:hint="cs"/>
          <w:rtl/>
        </w:rPr>
        <w:t xml:space="preserve"> وفي نفس الصفحة</w:t>
      </w:r>
      <w:r w:rsidR="00B32709" w:rsidRPr="00904FCB">
        <w:rPr>
          <w:rFonts w:hint="cs"/>
          <w:rtl/>
        </w:rPr>
        <w:t>،</w:t>
      </w:r>
      <w:r w:rsidRPr="00904FCB">
        <w:rPr>
          <w:rFonts w:hint="cs"/>
          <w:rtl/>
        </w:rPr>
        <w:t xml:space="preserve"> في وصف الأضاحي</w:t>
      </w:r>
      <w:r w:rsidR="00B32709" w:rsidRPr="00904FCB">
        <w:rPr>
          <w:rFonts w:hint="cs"/>
          <w:rtl/>
        </w:rPr>
        <w:t>،</w:t>
      </w:r>
      <w:r w:rsidRPr="00904FCB">
        <w:rPr>
          <w:rFonts w:hint="cs"/>
          <w:rtl/>
        </w:rPr>
        <w:t xml:space="preserve"> قال: «قال والدي في رسالته إليّ</w:t>
      </w:r>
      <w:r w:rsidR="00B32709" w:rsidRPr="00904FCB">
        <w:rPr>
          <w:rFonts w:hint="cs"/>
          <w:rtl/>
        </w:rPr>
        <w:t>َ</w:t>
      </w:r>
      <w:r w:rsidRPr="00904FCB">
        <w:rPr>
          <w:rFonts w:hint="cs"/>
          <w:rtl/>
        </w:rPr>
        <w:t>: يا بني</w:t>
      </w:r>
      <w:r w:rsidR="00B32709" w:rsidRPr="00904FCB">
        <w:rPr>
          <w:rFonts w:hint="cs"/>
          <w:rtl/>
        </w:rPr>
        <w:t>ّ،</w:t>
      </w:r>
      <w:r w:rsidRPr="00904FCB">
        <w:rPr>
          <w:rFonts w:hint="cs"/>
          <w:rtl/>
        </w:rPr>
        <w:t xml:space="preserve"> </w:t>
      </w:r>
      <w:r w:rsidR="00B32709" w:rsidRPr="00904FCB">
        <w:rPr>
          <w:rFonts w:hint="cs"/>
          <w:rtl/>
        </w:rPr>
        <w:t>ا</w:t>
      </w:r>
      <w:r w:rsidRPr="00904FCB">
        <w:rPr>
          <w:rFonts w:hint="cs"/>
          <w:rtl/>
        </w:rPr>
        <w:t>عل</w:t>
      </w:r>
      <w:r w:rsidR="00B32709" w:rsidRPr="00904FCB">
        <w:rPr>
          <w:rFonts w:hint="cs"/>
          <w:rtl/>
        </w:rPr>
        <w:t>َ</w:t>
      </w:r>
      <w:r w:rsidRPr="00904FCB">
        <w:rPr>
          <w:rFonts w:hint="cs"/>
          <w:rtl/>
        </w:rPr>
        <w:t>م</w:t>
      </w:r>
      <w:r w:rsidR="00B32709" w:rsidRPr="00904FCB">
        <w:rPr>
          <w:rFonts w:hint="cs"/>
          <w:rtl/>
        </w:rPr>
        <w:t>ْ</w:t>
      </w:r>
      <w:r w:rsidRPr="00904FCB">
        <w:rPr>
          <w:rFonts w:hint="cs"/>
          <w:rtl/>
        </w:rPr>
        <w:t xml:space="preserve"> أنه لا يجوز في الأضاحي من البدن إلاّ الثني...»</w:t>
      </w:r>
      <w:r w:rsidR="00B32709" w:rsidRPr="00904FCB">
        <w:rPr>
          <w:rFonts w:hint="cs"/>
          <w:rtl/>
        </w:rPr>
        <w:t>.</w:t>
      </w:r>
      <w:r w:rsidRPr="00904FCB">
        <w:rPr>
          <w:rFonts w:hint="cs"/>
          <w:rtl/>
        </w:rPr>
        <w:t xml:space="preserve"> وأيضاً أصرّ على دفن الشعر في منى بقوله: «وادف</w:t>
      </w:r>
      <w:r w:rsidR="00B32709" w:rsidRPr="00904FCB">
        <w:rPr>
          <w:rFonts w:hint="cs"/>
          <w:rtl/>
        </w:rPr>
        <w:t>ِ</w:t>
      </w:r>
      <w:r w:rsidRPr="00904FCB">
        <w:rPr>
          <w:rFonts w:hint="cs"/>
          <w:rtl/>
        </w:rPr>
        <w:t>ن</w:t>
      </w:r>
      <w:r w:rsidR="00B32709" w:rsidRPr="00904FCB">
        <w:rPr>
          <w:rFonts w:hint="cs"/>
          <w:rtl/>
        </w:rPr>
        <w:t>ْ</w:t>
      </w:r>
      <w:r w:rsidRPr="00904FCB">
        <w:rPr>
          <w:rFonts w:hint="cs"/>
          <w:rtl/>
        </w:rPr>
        <w:t xml:space="preserve"> شعرك بمنى</w:t>
      </w:r>
      <w:r w:rsidR="00B32709" w:rsidRPr="00904FCB">
        <w:rPr>
          <w:rFonts w:hint="cs"/>
          <w:rtl/>
        </w:rPr>
        <w:t>؛</w:t>
      </w:r>
      <w:r w:rsidRPr="00904FCB">
        <w:rPr>
          <w:rFonts w:hint="cs"/>
          <w:rtl/>
        </w:rPr>
        <w:t xml:space="preserve"> ف</w:t>
      </w:r>
      <w:r w:rsidR="00B32709" w:rsidRPr="00904FCB">
        <w:rPr>
          <w:rFonts w:hint="cs"/>
          <w:rtl/>
        </w:rPr>
        <w:t>إ</w:t>
      </w:r>
      <w:r w:rsidRPr="00904FCB">
        <w:rPr>
          <w:rFonts w:hint="cs"/>
          <w:rtl/>
        </w:rPr>
        <w:t>نه رو</w:t>
      </w:r>
      <w:r w:rsidR="00B32709" w:rsidRPr="00904FCB">
        <w:rPr>
          <w:rFonts w:hint="cs"/>
          <w:rtl/>
        </w:rPr>
        <w:t>ي</w:t>
      </w:r>
      <w:r w:rsidRPr="00904FCB">
        <w:rPr>
          <w:rFonts w:hint="cs"/>
          <w:rtl/>
        </w:rPr>
        <w:t xml:space="preserve"> عن أبي عبد الله</w:t>
      </w:r>
      <w:r w:rsidR="001C1A2A" w:rsidRPr="00904FCB">
        <w:rPr>
          <w:rFonts w:cs="Mosawi" w:hint="cs"/>
          <w:szCs w:val="22"/>
          <w:rtl/>
        </w:rPr>
        <w:t>×</w:t>
      </w:r>
      <w:r w:rsidR="00B32709" w:rsidRPr="00904FCB">
        <w:rPr>
          <w:rFonts w:hint="cs"/>
          <w:rtl/>
        </w:rPr>
        <w:t>:</w:t>
      </w:r>
      <w:r w:rsidRPr="00904FCB">
        <w:rPr>
          <w:rFonts w:hint="cs"/>
          <w:rtl/>
        </w:rPr>
        <w:t xml:space="preserve"> </w:t>
      </w:r>
      <w:r w:rsidR="00B32709" w:rsidRPr="00904FCB">
        <w:rPr>
          <w:rFonts w:hint="cs"/>
          <w:rtl/>
        </w:rPr>
        <w:t>...</w:t>
      </w:r>
      <w:r w:rsidRPr="00904FCB">
        <w:rPr>
          <w:rFonts w:hint="cs"/>
          <w:rtl/>
        </w:rPr>
        <w:t>ولا ت</w:t>
      </w:r>
      <w:r w:rsidR="00B32709" w:rsidRPr="00904FCB">
        <w:rPr>
          <w:rFonts w:hint="cs"/>
          <w:rtl/>
        </w:rPr>
        <w:t>ُ</w:t>
      </w:r>
      <w:r w:rsidRPr="00904FCB">
        <w:rPr>
          <w:rFonts w:hint="cs"/>
          <w:rtl/>
        </w:rPr>
        <w:t>ل</w:t>
      </w:r>
      <w:r w:rsidR="00B32709" w:rsidRPr="00904FCB">
        <w:rPr>
          <w:rFonts w:hint="cs"/>
          <w:rtl/>
        </w:rPr>
        <w:t>ْ</w:t>
      </w:r>
      <w:r w:rsidRPr="00904FCB">
        <w:rPr>
          <w:rFonts w:hint="cs"/>
          <w:rtl/>
        </w:rPr>
        <w:t>ق</w:t>
      </w:r>
      <w:r w:rsidR="00B32709" w:rsidRPr="00904FCB">
        <w:rPr>
          <w:rFonts w:hint="cs"/>
          <w:rtl/>
        </w:rPr>
        <w:t>ِ</w:t>
      </w:r>
      <w:r w:rsidRPr="00904FCB">
        <w:rPr>
          <w:rFonts w:hint="cs"/>
          <w:rtl/>
        </w:rPr>
        <w:t xml:space="preserve"> شعرك إلاّ بمنى</w:t>
      </w:r>
      <w:r w:rsidR="00B32709" w:rsidRPr="00904FCB">
        <w:rPr>
          <w:rFonts w:hint="cs"/>
          <w:rtl/>
        </w:rPr>
        <w:t>،</w:t>
      </w:r>
      <w:r w:rsidRPr="00904FCB">
        <w:rPr>
          <w:rFonts w:hint="cs"/>
          <w:rtl/>
        </w:rPr>
        <w:t xml:space="preserve"> فإن</w:t>
      </w:r>
      <w:r w:rsidR="00B32709" w:rsidRPr="00904FCB">
        <w:rPr>
          <w:rFonts w:hint="cs"/>
          <w:rtl/>
        </w:rPr>
        <w:t>ْ</w:t>
      </w:r>
      <w:r w:rsidRPr="00904FCB">
        <w:rPr>
          <w:rFonts w:hint="cs"/>
          <w:rtl/>
        </w:rPr>
        <w:t xml:space="preserve"> جهلت أن تقصر من رأسك أو تحلقه حت</w:t>
      </w:r>
      <w:r w:rsidR="00B32709" w:rsidRPr="00904FCB">
        <w:rPr>
          <w:rFonts w:hint="cs"/>
          <w:rtl/>
        </w:rPr>
        <w:t>ّ</w:t>
      </w:r>
      <w:r w:rsidRPr="00904FCB">
        <w:rPr>
          <w:rFonts w:hint="cs"/>
          <w:rtl/>
        </w:rPr>
        <w:t>ى ارتحلت من منى فارجع إلى منى</w:t>
      </w:r>
      <w:r w:rsidR="00B32709" w:rsidRPr="00904FCB">
        <w:rPr>
          <w:rFonts w:hint="cs"/>
          <w:rtl/>
        </w:rPr>
        <w:t>،</w:t>
      </w:r>
      <w:r w:rsidRPr="00904FCB">
        <w:rPr>
          <w:rFonts w:hint="cs"/>
          <w:rtl/>
        </w:rPr>
        <w:t xml:space="preserve"> فأ</w:t>
      </w:r>
      <w:r w:rsidR="00B32709" w:rsidRPr="00904FCB">
        <w:rPr>
          <w:rFonts w:hint="cs"/>
          <w:rtl/>
        </w:rPr>
        <w:t>َ</w:t>
      </w:r>
      <w:r w:rsidRPr="00904FCB">
        <w:rPr>
          <w:rFonts w:hint="cs"/>
          <w:rtl/>
        </w:rPr>
        <w:t>ل</w:t>
      </w:r>
      <w:r w:rsidR="00B32709" w:rsidRPr="00904FCB">
        <w:rPr>
          <w:rFonts w:hint="cs"/>
          <w:rtl/>
        </w:rPr>
        <w:t>ْ</w:t>
      </w:r>
      <w:r w:rsidRPr="00904FCB">
        <w:rPr>
          <w:rFonts w:hint="cs"/>
          <w:rtl/>
        </w:rPr>
        <w:t>قِ شعرك بها</w:t>
      </w:r>
      <w:r w:rsidR="00B32709" w:rsidRPr="00904FCB">
        <w:rPr>
          <w:rFonts w:hint="cs"/>
          <w:rtl/>
        </w:rPr>
        <w:t>،</w:t>
      </w:r>
      <w:r w:rsidRPr="00904FCB">
        <w:rPr>
          <w:rFonts w:hint="cs"/>
          <w:rtl/>
        </w:rPr>
        <w:t xml:space="preserve"> حلقاً كان أو تقصيراً»</w:t>
      </w:r>
      <w:r w:rsidRPr="00904FCB">
        <w:rPr>
          <w:rFonts w:hint="cs"/>
          <w:vertAlign w:val="superscript"/>
          <w:rtl/>
        </w:rPr>
        <w:t>(</w:t>
      </w:r>
      <w:r w:rsidRPr="00904FCB">
        <w:rPr>
          <w:rStyle w:val="ac"/>
          <w:sz w:val="27"/>
          <w:rtl/>
        </w:rPr>
        <w:endnoteReference w:id="424"/>
      </w:r>
      <w:r w:rsidRPr="00904FCB">
        <w:rPr>
          <w:rFonts w:hint="cs"/>
          <w:vertAlign w:val="superscript"/>
          <w:rtl/>
        </w:rPr>
        <w:t>)</w:t>
      </w:r>
      <w:r w:rsidR="00B32709" w:rsidRPr="00904FCB">
        <w:rPr>
          <w:rFonts w:hint="cs"/>
          <w:rtl/>
        </w:rPr>
        <w:t>.</w:t>
      </w:r>
      <w:r w:rsidRPr="00904FCB">
        <w:rPr>
          <w:rFonts w:hint="cs"/>
          <w:rtl/>
        </w:rPr>
        <w:t xml:space="preserve"> فهذا الإصرار في دفن الشعر بمنى</w:t>
      </w:r>
      <w:r w:rsidR="00B32709" w:rsidRPr="00904FCB">
        <w:rPr>
          <w:rFonts w:hint="cs"/>
          <w:rtl/>
        </w:rPr>
        <w:t>،</w:t>
      </w:r>
      <w:r w:rsidRPr="00904FCB">
        <w:rPr>
          <w:rFonts w:hint="cs"/>
          <w:rtl/>
        </w:rPr>
        <w:t xml:space="preserve"> وعدم الذكر أو عدم الإصرار في مكان اله</w:t>
      </w:r>
      <w:r w:rsidR="00B32709" w:rsidRPr="00904FCB">
        <w:rPr>
          <w:rFonts w:hint="cs"/>
          <w:rtl/>
        </w:rPr>
        <w:t>َ</w:t>
      </w:r>
      <w:r w:rsidRPr="00904FCB">
        <w:rPr>
          <w:rFonts w:hint="cs"/>
          <w:rtl/>
        </w:rPr>
        <w:t>د</w:t>
      </w:r>
      <w:r w:rsidR="00B32709" w:rsidRPr="00904FCB">
        <w:rPr>
          <w:rFonts w:hint="cs"/>
          <w:rtl/>
        </w:rPr>
        <w:t>ْ</w:t>
      </w:r>
      <w:r w:rsidRPr="00904FCB">
        <w:rPr>
          <w:rFonts w:hint="cs"/>
          <w:rtl/>
        </w:rPr>
        <w:t>ي</w:t>
      </w:r>
      <w:r w:rsidR="00B32709" w:rsidRPr="00904FCB">
        <w:rPr>
          <w:rFonts w:hint="cs"/>
          <w:rtl/>
        </w:rPr>
        <w:t>،</w:t>
      </w:r>
      <w:r w:rsidRPr="00904FCB">
        <w:rPr>
          <w:rFonts w:hint="cs"/>
          <w:rtl/>
        </w:rPr>
        <w:t xml:space="preserve"> يشعر بعدم وجوب إيقاعه في منى</w:t>
      </w:r>
      <w:r w:rsidR="00B32709" w:rsidRPr="00904FCB">
        <w:rPr>
          <w:rFonts w:hint="cs"/>
          <w:rtl/>
        </w:rPr>
        <w:t>،</w:t>
      </w:r>
      <w:r w:rsidRPr="00904FCB">
        <w:rPr>
          <w:rFonts w:hint="cs"/>
          <w:rtl/>
        </w:rPr>
        <w:t xml:space="preserve"> وإلاّ كان عليه البيان</w:t>
      </w:r>
      <w:r w:rsidR="00B32709" w:rsidRPr="00904FCB">
        <w:rPr>
          <w:rFonts w:hint="cs"/>
          <w:rtl/>
        </w:rPr>
        <w:t>،</w:t>
      </w:r>
      <w:r w:rsidRPr="00904FCB">
        <w:rPr>
          <w:rFonts w:hint="cs"/>
          <w:rtl/>
        </w:rPr>
        <w:t xml:space="preserve"> وهو في مقامه</w:t>
      </w:r>
      <w:r w:rsidR="00B32709" w:rsidRPr="00904FCB">
        <w:rPr>
          <w:rFonts w:hint="cs"/>
          <w:rtl/>
        </w:rPr>
        <w:t>،</w:t>
      </w:r>
      <w:r w:rsidRPr="00904FCB">
        <w:rPr>
          <w:rFonts w:hint="cs"/>
          <w:rtl/>
        </w:rPr>
        <w:t xml:space="preserve"> بحيث ذكر المستحب</w:t>
      </w:r>
      <w:r w:rsidR="00B32709" w:rsidRPr="00904FCB">
        <w:rPr>
          <w:rFonts w:hint="cs"/>
          <w:rtl/>
        </w:rPr>
        <w:t>ّ</w:t>
      </w:r>
      <w:r w:rsidRPr="00904FCB">
        <w:rPr>
          <w:rFonts w:hint="cs"/>
          <w:rtl/>
        </w:rPr>
        <w:t xml:space="preserve">ات والإرشادات أيضاً. </w:t>
      </w:r>
    </w:p>
    <w:p w:rsidR="005B6CEC" w:rsidRPr="00904FCB" w:rsidRDefault="005B6CEC" w:rsidP="007A21AA">
      <w:pPr>
        <w:spacing w:line="400" w:lineRule="exact"/>
        <w:rPr>
          <w:rtl/>
        </w:rPr>
      </w:pPr>
      <w:r w:rsidRPr="00904FCB">
        <w:rPr>
          <w:rFonts w:hint="cs"/>
          <w:rtl/>
        </w:rPr>
        <w:lastRenderedPageBreak/>
        <w:t>على أن تصدير الجملة بـ «اش</w:t>
      </w:r>
      <w:r w:rsidR="00B32709" w:rsidRPr="00904FCB">
        <w:rPr>
          <w:rFonts w:hint="cs"/>
          <w:rtl/>
        </w:rPr>
        <w:t>ْ</w:t>
      </w:r>
      <w:r w:rsidRPr="00904FCB">
        <w:rPr>
          <w:rFonts w:hint="cs"/>
          <w:rtl/>
        </w:rPr>
        <w:t>ت</w:t>
      </w:r>
      <w:r w:rsidR="00B32709" w:rsidRPr="00904FCB">
        <w:rPr>
          <w:rFonts w:hint="cs"/>
          <w:rtl/>
        </w:rPr>
        <w:t>َ</w:t>
      </w:r>
      <w:r w:rsidRPr="00904FCB">
        <w:rPr>
          <w:rFonts w:hint="cs"/>
          <w:rtl/>
        </w:rPr>
        <w:t>ر</w:t>
      </w:r>
      <w:r w:rsidR="00B32709" w:rsidRPr="00904FCB">
        <w:rPr>
          <w:rFonts w:hint="cs"/>
          <w:rtl/>
        </w:rPr>
        <w:t>ِ</w:t>
      </w:r>
      <w:r w:rsidRPr="00904FCB">
        <w:rPr>
          <w:rFonts w:hint="cs"/>
          <w:rtl/>
        </w:rPr>
        <w:t>»</w:t>
      </w:r>
      <w:r w:rsidR="00DA6629" w:rsidRPr="00904FCB">
        <w:rPr>
          <w:rFonts w:hint="cs"/>
          <w:rtl/>
        </w:rPr>
        <w:t>،</w:t>
      </w:r>
      <w:r w:rsidRPr="00904FCB">
        <w:rPr>
          <w:rFonts w:hint="cs"/>
          <w:rtl/>
        </w:rPr>
        <w:t xml:space="preserve"> مع أنه ليس واجباً</w:t>
      </w:r>
      <w:r w:rsidR="00DA6629" w:rsidRPr="00904FCB">
        <w:rPr>
          <w:rFonts w:hint="cs"/>
          <w:rtl/>
        </w:rPr>
        <w:t>،</w:t>
      </w:r>
      <w:r w:rsidRPr="00904FCB">
        <w:rPr>
          <w:rFonts w:hint="cs"/>
          <w:rtl/>
        </w:rPr>
        <w:t xml:space="preserve"> ولا مستحباً</w:t>
      </w:r>
      <w:r w:rsidR="00DA6629" w:rsidRPr="00904FCB">
        <w:rPr>
          <w:rFonts w:hint="cs"/>
          <w:rtl/>
        </w:rPr>
        <w:t>،</w:t>
      </w:r>
      <w:r w:rsidRPr="00904FCB">
        <w:rPr>
          <w:rFonts w:hint="cs"/>
          <w:rtl/>
        </w:rPr>
        <w:t xml:space="preserve"> بل وسيلة للتمل</w:t>
      </w:r>
      <w:r w:rsidR="00DA6629" w:rsidRPr="00904FCB">
        <w:rPr>
          <w:rFonts w:hint="cs"/>
          <w:rtl/>
        </w:rPr>
        <w:t>ُّ</w:t>
      </w:r>
      <w:r w:rsidRPr="00904FCB">
        <w:rPr>
          <w:rFonts w:hint="cs"/>
          <w:rtl/>
        </w:rPr>
        <w:t>ك</w:t>
      </w:r>
      <w:r w:rsidR="00DA6629" w:rsidRPr="00904FCB">
        <w:rPr>
          <w:rFonts w:hint="cs"/>
          <w:rtl/>
        </w:rPr>
        <w:t>،</w:t>
      </w:r>
      <w:r w:rsidRPr="00904FCB">
        <w:rPr>
          <w:rFonts w:hint="cs"/>
          <w:rtl/>
        </w:rPr>
        <w:t xml:space="preserve"> وليس له مكان</w:t>
      </w:r>
      <w:r w:rsidR="00DA6629" w:rsidRPr="00904FCB">
        <w:rPr>
          <w:rFonts w:hint="cs"/>
          <w:rtl/>
        </w:rPr>
        <w:t>ٌ</w:t>
      </w:r>
      <w:r w:rsidRPr="00904FCB">
        <w:rPr>
          <w:rFonts w:hint="cs"/>
          <w:rtl/>
        </w:rPr>
        <w:t xml:space="preserve"> خاص</w:t>
      </w:r>
      <w:r w:rsidR="00DA6629" w:rsidRPr="00904FCB">
        <w:rPr>
          <w:rFonts w:hint="cs"/>
          <w:rtl/>
        </w:rPr>
        <w:t>ّ،</w:t>
      </w:r>
      <w:r w:rsidRPr="00904FCB">
        <w:rPr>
          <w:rFonts w:hint="cs"/>
          <w:rtl/>
        </w:rPr>
        <w:t xml:space="preserve"> ي</w:t>
      </w:r>
      <w:r w:rsidR="00DA6629" w:rsidRPr="00904FCB">
        <w:rPr>
          <w:rFonts w:hint="cs"/>
          <w:rtl/>
        </w:rPr>
        <w:t>ُ</w:t>
      </w:r>
      <w:r w:rsidRPr="00904FCB">
        <w:rPr>
          <w:rFonts w:hint="cs"/>
          <w:rtl/>
        </w:rPr>
        <w:t>ش</w:t>
      </w:r>
      <w:r w:rsidR="00DA6629" w:rsidRPr="00904FCB">
        <w:rPr>
          <w:rFonts w:hint="cs"/>
          <w:rtl/>
        </w:rPr>
        <w:t>ْ</w:t>
      </w:r>
      <w:r w:rsidRPr="00904FCB">
        <w:rPr>
          <w:rFonts w:hint="cs"/>
          <w:rtl/>
        </w:rPr>
        <w:t>ع</w:t>
      </w:r>
      <w:r w:rsidR="00DA6629" w:rsidRPr="00904FCB">
        <w:rPr>
          <w:rFonts w:hint="cs"/>
          <w:rtl/>
        </w:rPr>
        <w:t>ِ</w:t>
      </w:r>
      <w:r w:rsidRPr="00904FCB">
        <w:rPr>
          <w:rFonts w:hint="cs"/>
          <w:rtl/>
        </w:rPr>
        <w:t>ر</w:t>
      </w:r>
      <w:r w:rsidR="00DA6629" w:rsidRPr="00904FCB">
        <w:rPr>
          <w:rFonts w:hint="cs"/>
          <w:rtl/>
        </w:rPr>
        <w:t>ُ</w:t>
      </w:r>
      <w:r w:rsidRPr="00904FCB">
        <w:rPr>
          <w:rFonts w:hint="cs"/>
          <w:rtl/>
        </w:rPr>
        <w:t xml:space="preserve"> على أن محل</w:t>
      </w:r>
      <w:r w:rsidR="00DA6629" w:rsidRPr="00904FCB">
        <w:rPr>
          <w:rFonts w:hint="cs"/>
          <w:rtl/>
        </w:rPr>
        <w:t>ّ</w:t>
      </w:r>
      <w:r w:rsidRPr="00904FCB">
        <w:rPr>
          <w:rFonts w:hint="cs"/>
          <w:rtl/>
        </w:rPr>
        <w:t xml:space="preserve"> الذبح أيضاً هكذا. </w:t>
      </w:r>
    </w:p>
    <w:p w:rsidR="005B6CEC" w:rsidRPr="00904FCB" w:rsidRDefault="005B6CEC" w:rsidP="00510A75">
      <w:pPr>
        <w:spacing w:line="400" w:lineRule="exact"/>
        <w:rPr>
          <w:rtl/>
        </w:rPr>
      </w:pPr>
      <w:r w:rsidRPr="00904FCB">
        <w:rPr>
          <w:rFonts w:hint="cs"/>
          <w:rtl/>
        </w:rPr>
        <w:t>ثم هو</w:t>
      </w:r>
      <w:r w:rsidR="00510A75" w:rsidRPr="00756F2A">
        <w:rPr>
          <w:rFonts w:ascii="Mosawi" w:hAnsi="Mosawi" w:cs="Mosawi"/>
          <w:sz w:val="22"/>
          <w:szCs w:val="22"/>
          <w:rtl/>
        </w:rPr>
        <w:t>&amp;</w:t>
      </w:r>
      <w:r w:rsidR="00DA6629" w:rsidRPr="00904FCB">
        <w:rPr>
          <w:rFonts w:hint="cs"/>
          <w:rtl/>
        </w:rPr>
        <w:t>،</w:t>
      </w:r>
      <w:r w:rsidRPr="00904FCB">
        <w:rPr>
          <w:rFonts w:hint="cs"/>
          <w:rtl/>
        </w:rPr>
        <w:t xml:space="preserve"> بعد </w:t>
      </w:r>
      <w:r w:rsidR="00DA6629" w:rsidRPr="00904FCB">
        <w:rPr>
          <w:rFonts w:hint="cs"/>
          <w:rtl/>
        </w:rPr>
        <w:t>أ</w:t>
      </w:r>
      <w:r w:rsidRPr="00904FCB">
        <w:rPr>
          <w:rFonts w:hint="cs"/>
          <w:rtl/>
        </w:rPr>
        <w:t>سطر</w:t>
      </w:r>
      <w:r w:rsidR="00DA6629" w:rsidRPr="00904FCB">
        <w:rPr>
          <w:rFonts w:hint="cs"/>
          <w:rtl/>
        </w:rPr>
        <w:t>،</w:t>
      </w:r>
      <w:r w:rsidRPr="00904FCB">
        <w:rPr>
          <w:rFonts w:hint="cs"/>
          <w:rtl/>
        </w:rPr>
        <w:t xml:space="preserve"> قال: «و</w:t>
      </w:r>
      <w:r w:rsidR="00DA6629" w:rsidRPr="00904FCB">
        <w:rPr>
          <w:rFonts w:hint="cs"/>
          <w:rtl/>
        </w:rPr>
        <w:t>إ</w:t>
      </w:r>
      <w:r w:rsidRPr="00904FCB">
        <w:rPr>
          <w:rFonts w:hint="cs"/>
          <w:rtl/>
        </w:rPr>
        <w:t>ن نسيت</w:t>
      </w:r>
      <w:r w:rsidR="00DA6629" w:rsidRPr="00904FCB">
        <w:rPr>
          <w:rFonts w:hint="cs"/>
          <w:rtl/>
        </w:rPr>
        <w:t>َ</w:t>
      </w:r>
      <w:r w:rsidRPr="00904FCB">
        <w:rPr>
          <w:rFonts w:hint="cs"/>
          <w:rtl/>
        </w:rPr>
        <w:t xml:space="preserve"> أن تذبح بمنى حت</w:t>
      </w:r>
      <w:r w:rsidR="00DA6629" w:rsidRPr="00904FCB">
        <w:rPr>
          <w:rFonts w:hint="cs"/>
          <w:rtl/>
        </w:rPr>
        <w:t>ّ</w:t>
      </w:r>
      <w:r w:rsidRPr="00904FCB">
        <w:rPr>
          <w:rFonts w:hint="cs"/>
          <w:rtl/>
        </w:rPr>
        <w:t>ى زرت البيت فاش</w:t>
      </w:r>
      <w:r w:rsidR="00DA6629" w:rsidRPr="00904FCB">
        <w:rPr>
          <w:rFonts w:hint="cs"/>
          <w:rtl/>
        </w:rPr>
        <w:t>ْ</w:t>
      </w:r>
      <w:r w:rsidRPr="00904FCB">
        <w:rPr>
          <w:rFonts w:hint="cs"/>
          <w:rtl/>
        </w:rPr>
        <w:t>ت</w:t>
      </w:r>
      <w:r w:rsidR="00DA6629" w:rsidRPr="00904FCB">
        <w:rPr>
          <w:rFonts w:hint="cs"/>
          <w:rtl/>
        </w:rPr>
        <w:t>َ</w:t>
      </w:r>
      <w:r w:rsidRPr="00904FCB">
        <w:rPr>
          <w:rFonts w:hint="cs"/>
          <w:rtl/>
        </w:rPr>
        <w:t>ر</w:t>
      </w:r>
      <w:r w:rsidR="00DA6629" w:rsidRPr="00904FCB">
        <w:rPr>
          <w:rFonts w:hint="cs"/>
          <w:rtl/>
        </w:rPr>
        <w:t>ِ</w:t>
      </w:r>
      <w:r w:rsidRPr="00904FCB">
        <w:rPr>
          <w:rFonts w:hint="cs"/>
          <w:rtl/>
        </w:rPr>
        <w:t xml:space="preserve"> بمك</w:t>
      </w:r>
      <w:r w:rsidR="00DA6629" w:rsidRPr="00904FCB">
        <w:rPr>
          <w:rFonts w:hint="cs"/>
          <w:rtl/>
        </w:rPr>
        <w:t>ّ</w:t>
      </w:r>
      <w:r w:rsidRPr="00904FCB">
        <w:rPr>
          <w:rFonts w:hint="cs"/>
          <w:rtl/>
        </w:rPr>
        <w:t>ة</w:t>
      </w:r>
      <w:r w:rsidR="00DA6629" w:rsidRPr="00904FCB">
        <w:rPr>
          <w:rFonts w:hint="cs"/>
          <w:rtl/>
        </w:rPr>
        <w:t>،</w:t>
      </w:r>
      <w:r w:rsidRPr="00904FCB">
        <w:rPr>
          <w:rFonts w:hint="cs"/>
          <w:rtl/>
        </w:rPr>
        <w:t xml:space="preserve"> و</w:t>
      </w:r>
      <w:r w:rsidR="00DA6629" w:rsidRPr="00904FCB">
        <w:rPr>
          <w:rFonts w:hint="cs"/>
          <w:rtl/>
        </w:rPr>
        <w:t>ا</w:t>
      </w:r>
      <w:r w:rsidRPr="00904FCB">
        <w:rPr>
          <w:rFonts w:hint="cs"/>
          <w:rtl/>
        </w:rPr>
        <w:t>نح</w:t>
      </w:r>
      <w:r w:rsidR="00DA6629" w:rsidRPr="00904FCB">
        <w:rPr>
          <w:rFonts w:hint="cs"/>
          <w:rtl/>
        </w:rPr>
        <w:t>َ</w:t>
      </w:r>
      <w:r w:rsidRPr="00904FCB">
        <w:rPr>
          <w:rFonts w:hint="cs"/>
          <w:rtl/>
        </w:rPr>
        <w:t>ر</w:t>
      </w:r>
      <w:r w:rsidR="00DA6629" w:rsidRPr="00904FCB">
        <w:rPr>
          <w:rFonts w:hint="cs"/>
          <w:rtl/>
        </w:rPr>
        <w:t>ْ</w:t>
      </w:r>
      <w:r w:rsidRPr="00904FCB">
        <w:rPr>
          <w:rFonts w:hint="cs"/>
          <w:rtl/>
        </w:rPr>
        <w:t xml:space="preserve"> بها</w:t>
      </w:r>
      <w:r w:rsidR="00DA6629" w:rsidRPr="00904FCB">
        <w:rPr>
          <w:rFonts w:hint="cs"/>
          <w:rtl/>
        </w:rPr>
        <w:t>،</w:t>
      </w:r>
      <w:r w:rsidRPr="00904FCB">
        <w:rPr>
          <w:rFonts w:hint="cs"/>
          <w:rtl/>
        </w:rPr>
        <w:t xml:space="preserve"> وليس عليك شيء</w:t>
      </w:r>
      <w:r w:rsidR="00DA6629" w:rsidRPr="00904FCB">
        <w:rPr>
          <w:rFonts w:hint="cs"/>
          <w:rtl/>
        </w:rPr>
        <w:t>ٌ،</w:t>
      </w:r>
      <w:r w:rsidRPr="00904FCB">
        <w:rPr>
          <w:rFonts w:hint="cs"/>
          <w:rtl/>
        </w:rPr>
        <w:t xml:space="preserve"> وقد أجز</w:t>
      </w:r>
      <w:r w:rsidR="00DA6629" w:rsidRPr="00904FCB">
        <w:rPr>
          <w:rFonts w:hint="cs"/>
          <w:rtl/>
        </w:rPr>
        <w:t>أ</w:t>
      </w:r>
      <w:r w:rsidRPr="00904FCB">
        <w:rPr>
          <w:rFonts w:hint="cs"/>
          <w:rtl/>
        </w:rPr>
        <w:t>ت عنك»</w:t>
      </w:r>
      <w:r w:rsidRPr="00904FCB">
        <w:rPr>
          <w:rFonts w:hint="cs"/>
          <w:vertAlign w:val="superscript"/>
          <w:rtl/>
        </w:rPr>
        <w:t>(</w:t>
      </w:r>
      <w:r w:rsidRPr="00904FCB">
        <w:rPr>
          <w:rStyle w:val="ac"/>
          <w:sz w:val="27"/>
          <w:rtl/>
        </w:rPr>
        <w:endnoteReference w:id="425"/>
      </w:r>
      <w:r w:rsidRPr="00904FCB">
        <w:rPr>
          <w:rFonts w:hint="cs"/>
          <w:vertAlign w:val="superscript"/>
          <w:rtl/>
        </w:rPr>
        <w:t>)</w:t>
      </w:r>
      <w:r w:rsidRPr="00904FCB">
        <w:rPr>
          <w:rFonts w:hint="cs"/>
          <w:rtl/>
        </w:rPr>
        <w:t xml:space="preserve">. </w:t>
      </w:r>
    </w:p>
    <w:p w:rsidR="005B6CEC" w:rsidRPr="00904FCB" w:rsidRDefault="005B6CEC" w:rsidP="00E9582A">
      <w:pPr>
        <w:spacing w:line="400" w:lineRule="exact"/>
        <w:rPr>
          <w:rtl/>
        </w:rPr>
      </w:pPr>
      <w:r w:rsidRPr="00904FCB">
        <w:rPr>
          <w:rFonts w:hint="cs"/>
          <w:rtl/>
        </w:rPr>
        <w:t>أقول: من هذه العبارة الأخيرة: يُف</w:t>
      </w:r>
      <w:r w:rsidR="00DA6629" w:rsidRPr="00904FCB">
        <w:rPr>
          <w:rFonts w:hint="cs"/>
          <w:rtl/>
        </w:rPr>
        <w:t>ْ</w:t>
      </w:r>
      <w:r w:rsidRPr="00904FCB">
        <w:rPr>
          <w:rFonts w:hint="cs"/>
          <w:rtl/>
        </w:rPr>
        <w:t>ه</w:t>
      </w:r>
      <w:r w:rsidR="00DA6629" w:rsidRPr="00904FCB">
        <w:rPr>
          <w:rFonts w:hint="cs"/>
          <w:rtl/>
        </w:rPr>
        <w:t>َ</w:t>
      </w:r>
      <w:r w:rsidRPr="00904FCB">
        <w:rPr>
          <w:rFonts w:hint="cs"/>
          <w:rtl/>
        </w:rPr>
        <w:t>م أن المحل الأصلي للذبح هو منى</w:t>
      </w:r>
      <w:r w:rsidR="00DA6629" w:rsidRPr="00904FCB">
        <w:rPr>
          <w:rFonts w:hint="cs"/>
          <w:rtl/>
        </w:rPr>
        <w:t>،</w:t>
      </w:r>
      <w:r w:rsidRPr="00904FCB">
        <w:rPr>
          <w:rFonts w:hint="cs"/>
          <w:rtl/>
        </w:rPr>
        <w:t xml:space="preserve"> من دون أن يدلّ على الوجوب أو الاستحباب</w:t>
      </w:r>
      <w:r w:rsidR="00DA6629" w:rsidRPr="00904FCB">
        <w:rPr>
          <w:rFonts w:hint="cs"/>
          <w:rtl/>
        </w:rPr>
        <w:t>،</w:t>
      </w:r>
      <w:r w:rsidRPr="00904FCB">
        <w:rPr>
          <w:rFonts w:hint="cs"/>
          <w:rtl/>
        </w:rPr>
        <w:t xml:space="preserve"> فإذا جاوزت منى ودخلت مكّة لا يلزم عليك أن ترجع إلى منى</w:t>
      </w:r>
      <w:r w:rsidR="00DA6629" w:rsidRPr="00904FCB">
        <w:rPr>
          <w:rFonts w:hint="cs"/>
          <w:rtl/>
        </w:rPr>
        <w:t>،</w:t>
      </w:r>
      <w:r w:rsidRPr="00904FCB">
        <w:rPr>
          <w:rFonts w:hint="cs"/>
          <w:rtl/>
        </w:rPr>
        <w:t xml:space="preserve"> بل اش</w:t>
      </w:r>
      <w:r w:rsidR="00DA6629" w:rsidRPr="00904FCB">
        <w:rPr>
          <w:rFonts w:hint="cs"/>
          <w:rtl/>
        </w:rPr>
        <w:t>ْ</w:t>
      </w:r>
      <w:r w:rsidRPr="00904FCB">
        <w:rPr>
          <w:rFonts w:hint="cs"/>
          <w:rtl/>
        </w:rPr>
        <w:t>ت</w:t>
      </w:r>
      <w:r w:rsidR="00DA6629" w:rsidRPr="00904FCB">
        <w:rPr>
          <w:rFonts w:hint="cs"/>
          <w:rtl/>
        </w:rPr>
        <w:t>َ</w:t>
      </w:r>
      <w:r w:rsidRPr="00904FCB">
        <w:rPr>
          <w:rFonts w:hint="cs"/>
          <w:rtl/>
        </w:rPr>
        <w:t>ر</w:t>
      </w:r>
      <w:r w:rsidR="00DA6629" w:rsidRPr="00904FCB">
        <w:rPr>
          <w:rFonts w:hint="cs"/>
          <w:rtl/>
        </w:rPr>
        <w:t>ِ</w:t>
      </w:r>
      <w:r w:rsidRPr="00904FCB">
        <w:rPr>
          <w:rFonts w:hint="cs"/>
          <w:rtl/>
        </w:rPr>
        <w:t xml:space="preserve"> بمك</w:t>
      </w:r>
      <w:r w:rsidR="00DA6629" w:rsidRPr="00904FCB">
        <w:rPr>
          <w:rFonts w:hint="cs"/>
          <w:rtl/>
        </w:rPr>
        <w:t>ّ</w:t>
      </w:r>
      <w:r w:rsidRPr="00904FCB">
        <w:rPr>
          <w:rFonts w:hint="cs"/>
          <w:rtl/>
        </w:rPr>
        <w:t>ة و</w:t>
      </w:r>
      <w:r w:rsidR="00E9582A">
        <w:rPr>
          <w:rFonts w:hint="cs"/>
          <w:rtl/>
        </w:rPr>
        <w:t>ا</w:t>
      </w:r>
      <w:r w:rsidRPr="00904FCB">
        <w:rPr>
          <w:rFonts w:hint="cs"/>
          <w:rtl/>
        </w:rPr>
        <w:t xml:space="preserve">ذبحه بها. </w:t>
      </w:r>
    </w:p>
    <w:p w:rsidR="005B6CEC" w:rsidRPr="00904FCB" w:rsidRDefault="005B6CEC" w:rsidP="007A21AA">
      <w:pPr>
        <w:spacing w:line="400" w:lineRule="exact"/>
        <w:rPr>
          <w:rtl/>
        </w:rPr>
      </w:pPr>
      <w:r w:rsidRPr="00756F2A">
        <w:rPr>
          <w:rFonts w:hint="cs"/>
          <w:b/>
          <w:bCs/>
          <w:rtl/>
        </w:rPr>
        <w:t>2ـ وقال الصدوق</w:t>
      </w:r>
      <w:r w:rsidRPr="00756F2A">
        <w:rPr>
          <w:rFonts w:hint="cs"/>
          <w:rtl/>
        </w:rPr>
        <w:t>: ثم</w:t>
      </w:r>
      <w:r w:rsidR="00DA6629" w:rsidRPr="00756F2A">
        <w:rPr>
          <w:rFonts w:hint="cs"/>
          <w:rtl/>
        </w:rPr>
        <w:t>ّ</w:t>
      </w:r>
      <w:r w:rsidRPr="00756F2A">
        <w:rPr>
          <w:rFonts w:hint="cs"/>
          <w:rtl/>
        </w:rPr>
        <w:t xml:space="preserve"> اش</w:t>
      </w:r>
      <w:r w:rsidR="00B674CF" w:rsidRPr="00756F2A">
        <w:rPr>
          <w:rFonts w:hint="cs"/>
          <w:rtl/>
        </w:rPr>
        <w:t>ْ</w:t>
      </w:r>
      <w:r w:rsidRPr="00756F2A">
        <w:rPr>
          <w:rFonts w:hint="cs"/>
          <w:rtl/>
        </w:rPr>
        <w:t>ت</w:t>
      </w:r>
      <w:r w:rsidR="00B674CF" w:rsidRPr="00756F2A">
        <w:rPr>
          <w:rFonts w:hint="cs"/>
          <w:rtl/>
        </w:rPr>
        <w:t>َ</w:t>
      </w:r>
      <w:r w:rsidRPr="00756F2A">
        <w:rPr>
          <w:rFonts w:hint="cs"/>
          <w:rtl/>
        </w:rPr>
        <w:t>ر</w:t>
      </w:r>
      <w:r w:rsidR="00B674CF" w:rsidRPr="00756F2A">
        <w:rPr>
          <w:rFonts w:hint="cs"/>
          <w:rtl/>
        </w:rPr>
        <w:t>ِ</w:t>
      </w:r>
      <w:r w:rsidRPr="00756F2A">
        <w:rPr>
          <w:rFonts w:hint="cs"/>
          <w:rtl/>
        </w:rPr>
        <w:t xml:space="preserve"> منه ه</w:t>
      </w:r>
      <w:r w:rsidR="00B674CF" w:rsidRPr="00756F2A">
        <w:rPr>
          <w:rFonts w:hint="cs"/>
          <w:rtl/>
        </w:rPr>
        <w:t>َ</w:t>
      </w:r>
      <w:r w:rsidRPr="00756F2A">
        <w:rPr>
          <w:rFonts w:hint="cs"/>
          <w:rtl/>
        </w:rPr>
        <w:t>د</w:t>
      </w:r>
      <w:r w:rsidR="00B674CF" w:rsidRPr="00756F2A">
        <w:rPr>
          <w:rFonts w:hint="cs"/>
          <w:rtl/>
        </w:rPr>
        <w:t>ْ</w:t>
      </w:r>
      <w:r w:rsidRPr="00756F2A">
        <w:rPr>
          <w:rFonts w:hint="cs"/>
          <w:rtl/>
        </w:rPr>
        <w:t>ي</w:t>
      </w:r>
      <w:r w:rsidR="00B674CF" w:rsidRPr="00756F2A">
        <w:rPr>
          <w:rFonts w:hint="cs"/>
          <w:rtl/>
        </w:rPr>
        <w:t>َ</w:t>
      </w:r>
      <w:r w:rsidRPr="00756F2A">
        <w:rPr>
          <w:rFonts w:hint="cs"/>
          <w:rtl/>
        </w:rPr>
        <w:t>ك</w:t>
      </w:r>
      <w:r w:rsidR="00E9582A" w:rsidRPr="00756F2A">
        <w:rPr>
          <w:rFonts w:hint="cs"/>
          <w:rtl/>
        </w:rPr>
        <w:t>،</w:t>
      </w:r>
      <w:r w:rsidRPr="00756F2A">
        <w:rPr>
          <w:rFonts w:hint="cs"/>
          <w:rtl/>
        </w:rPr>
        <w:t xml:space="preserve"> إن</w:t>
      </w:r>
      <w:r w:rsidR="00B674CF" w:rsidRPr="00756F2A">
        <w:rPr>
          <w:rFonts w:hint="cs"/>
          <w:rtl/>
        </w:rPr>
        <w:t>ْ</w:t>
      </w:r>
      <w:r w:rsidRPr="00756F2A">
        <w:rPr>
          <w:rFonts w:hint="cs"/>
          <w:rtl/>
        </w:rPr>
        <w:t xml:space="preserve"> كان من البدن أو من البقر فاجعله</w:t>
      </w:r>
      <w:r w:rsidRPr="00904FCB">
        <w:rPr>
          <w:rFonts w:hint="cs"/>
          <w:rtl/>
        </w:rPr>
        <w:t xml:space="preserve"> كبشاً سميناً فحلاً</w:t>
      </w:r>
      <w:r w:rsidR="00B674CF" w:rsidRPr="00904FCB">
        <w:rPr>
          <w:rFonts w:hint="cs"/>
          <w:rtl/>
        </w:rPr>
        <w:t>،</w:t>
      </w:r>
      <w:r w:rsidRPr="00904FCB">
        <w:rPr>
          <w:rFonts w:hint="cs"/>
          <w:rtl/>
        </w:rPr>
        <w:t xml:space="preserve"> إلى قوله</w:t>
      </w:r>
      <w:r w:rsidR="00B674CF" w:rsidRPr="00904FCB">
        <w:rPr>
          <w:rFonts w:hint="cs"/>
          <w:rtl/>
        </w:rPr>
        <w:t>:</w:t>
      </w:r>
      <w:r w:rsidRPr="00904FCB">
        <w:rPr>
          <w:rFonts w:hint="cs"/>
          <w:rtl/>
        </w:rPr>
        <w:t xml:space="preserve"> ولكن تصدّق بها</w:t>
      </w:r>
      <w:r w:rsidRPr="00904FCB">
        <w:rPr>
          <w:rFonts w:hint="cs"/>
          <w:vertAlign w:val="superscript"/>
          <w:rtl/>
        </w:rPr>
        <w:t>(</w:t>
      </w:r>
      <w:r w:rsidRPr="00904FCB">
        <w:rPr>
          <w:rStyle w:val="ac"/>
          <w:sz w:val="27"/>
          <w:rtl/>
        </w:rPr>
        <w:endnoteReference w:id="426"/>
      </w:r>
      <w:r w:rsidRPr="00904FCB">
        <w:rPr>
          <w:rFonts w:hint="cs"/>
          <w:vertAlign w:val="superscript"/>
          <w:rtl/>
        </w:rPr>
        <w:t>)</w:t>
      </w:r>
      <w:r w:rsidR="00B674CF" w:rsidRPr="00904FCB">
        <w:rPr>
          <w:rFonts w:hint="cs"/>
          <w:rtl/>
        </w:rPr>
        <w:t>،</w:t>
      </w:r>
      <w:r w:rsidRPr="00904FCB">
        <w:rPr>
          <w:rFonts w:hint="cs"/>
          <w:rtl/>
        </w:rPr>
        <w:t xml:space="preserve"> نحو ما مرّ من المقنع طابق النعل بالنعل</w:t>
      </w:r>
      <w:r w:rsidR="00B674CF" w:rsidRPr="00904FCB">
        <w:rPr>
          <w:rFonts w:hint="cs"/>
          <w:rtl/>
        </w:rPr>
        <w:t>،</w:t>
      </w:r>
      <w:r w:rsidRPr="00904FCB">
        <w:rPr>
          <w:rFonts w:hint="cs"/>
          <w:rtl/>
        </w:rPr>
        <w:t xml:space="preserve"> بالنسبة إلى الإفاضة من عرفات</w:t>
      </w:r>
      <w:r w:rsidR="00B674CF" w:rsidRPr="00904FCB">
        <w:rPr>
          <w:rFonts w:hint="cs"/>
          <w:rtl/>
        </w:rPr>
        <w:t>،</w:t>
      </w:r>
      <w:r w:rsidRPr="00904FCB">
        <w:rPr>
          <w:rFonts w:hint="cs"/>
          <w:rtl/>
        </w:rPr>
        <w:t xml:space="preserve"> ومستحب</w:t>
      </w:r>
      <w:r w:rsidR="00B674CF" w:rsidRPr="00904FCB">
        <w:rPr>
          <w:rFonts w:hint="cs"/>
          <w:rtl/>
        </w:rPr>
        <w:t>ّ</w:t>
      </w:r>
      <w:r w:rsidRPr="00904FCB">
        <w:rPr>
          <w:rFonts w:hint="cs"/>
          <w:rtl/>
        </w:rPr>
        <w:t>ات الرمي والذبح</w:t>
      </w:r>
      <w:r w:rsidR="00B674CF" w:rsidRPr="00904FCB">
        <w:rPr>
          <w:rFonts w:hint="cs"/>
          <w:rtl/>
        </w:rPr>
        <w:t>،</w:t>
      </w:r>
      <w:r w:rsidRPr="00904FCB">
        <w:rPr>
          <w:rFonts w:hint="cs"/>
          <w:rtl/>
        </w:rPr>
        <w:t xml:space="preserve"> ولكن</w:t>
      </w:r>
      <w:r w:rsidR="00B674CF" w:rsidRPr="00904FCB">
        <w:rPr>
          <w:rFonts w:hint="cs"/>
          <w:rtl/>
        </w:rPr>
        <w:t>ْ</w:t>
      </w:r>
      <w:r w:rsidRPr="00904FCB">
        <w:rPr>
          <w:rFonts w:hint="cs"/>
          <w:rtl/>
        </w:rPr>
        <w:t xml:space="preserve"> لم يذكر مسألة نسيان الذبح بمنى. </w:t>
      </w:r>
    </w:p>
    <w:p w:rsidR="00B674CF" w:rsidRPr="00904FCB" w:rsidRDefault="005B6CEC" w:rsidP="007A21AA">
      <w:pPr>
        <w:spacing w:line="400" w:lineRule="exact"/>
        <w:rPr>
          <w:rtl/>
        </w:rPr>
      </w:pPr>
      <w:r w:rsidRPr="00756F2A">
        <w:rPr>
          <w:rFonts w:hint="cs"/>
          <w:b/>
          <w:bCs/>
          <w:rtl/>
        </w:rPr>
        <w:t xml:space="preserve">3ـ وقال </w:t>
      </w:r>
      <w:r w:rsidR="00B8609A" w:rsidRPr="00756F2A">
        <w:rPr>
          <w:rFonts w:hint="cs"/>
          <w:b/>
          <w:bCs/>
          <w:rtl/>
        </w:rPr>
        <w:t>الحلبي</w:t>
      </w:r>
      <w:r w:rsidRPr="00756F2A">
        <w:rPr>
          <w:rFonts w:hint="cs"/>
          <w:b/>
          <w:bCs/>
          <w:rtl/>
        </w:rPr>
        <w:t xml:space="preserve"> في إشارة السبق</w:t>
      </w:r>
      <w:r w:rsidRPr="00756F2A">
        <w:rPr>
          <w:rFonts w:hint="cs"/>
          <w:rtl/>
        </w:rPr>
        <w:t>: وينحر أو يذبح ما وجب منها في إحرام الحج</w:t>
      </w:r>
      <w:r w:rsidRPr="00904FCB">
        <w:rPr>
          <w:rFonts w:hint="cs"/>
          <w:rtl/>
        </w:rPr>
        <w:t xml:space="preserve"> بمنى. وهدي التمت</w:t>
      </w:r>
      <w:r w:rsidR="00B674CF" w:rsidRPr="00904FCB">
        <w:rPr>
          <w:rFonts w:hint="cs"/>
          <w:rtl/>
        </w:rPr>
        <w:t>ُّ</w:t>
      </w:r>
      <w:r w:rsidRPr="00904FCB">
        <w:rPr>
          <w:rFonts w:hint="cs"/>
          <w:rtl/>
        </w:rPr>
        <w:t>ع أعلاه بدنة</w:t>
      </w:r>
      <w:r w:rsidR="00B674CF" w:rsidRPr="00904FCB">
        <w:rPr>
          <w:rFonts w:hint="cs"/>
          <w:rtl/>
        </w:rPr>
        <w:t>،</w:t>
      </w:r>
      <w:r w:rsidRPr="00904FCB">
        <w:rPr>
          <w:rFonts w:hint="cs"/>
          <w:rtl/>
        </w:rPr>
        <w:t xml:space="preserve"> وأدناه شاة</w:t>
      </w:r>
      <w:r w:rsidR="00B674CF" w:rsidRPr="00904FCB">
        <w:rPr>
          <w:rFonts w:hint="cs"/>
          <w:rtl/>
        </w:rPr>
        <w:t>.</w:t>
      </w:r>
      <w:r w:rsidRPr="00904FCB">
        <w:rPr>
          <w:rFonts w:hint="cs"/>
          <w:rtl/>
        </w:rPr>
        <w:t xml:space="preserve"> ومحل</w:t>
      </w:r>
      <w:r w:rsidR="00B674CF" w:rsidRPr="00904FCB">
        <w:rPr>
          <w:rFonts w:hint="cs"/>
          <w:rtl/>
        </w:rPr>
        <w:t>ّ</w:t>
      </w:r>
      <w:r w:rsidRPr="00904FCB">
        <w:rPr>
          <w:rFonts w:hint="cs"/>
          <w:rtl/>
        </w:rPr>
        <w:t xml:space="preserve"> نحره أو ذبحه بمنى. ويؤكل منه ومن هدي الق</w:t>
      </w:r>
      <w:r w:rsidR="00E9582A">
        <w:rPr>
          <w:rFonts w:hint="cs"/>
          <w:rtl/>
        </w:rPr>
        <w:t>ِ</w:t>
      </w:r>
      <w:r w:rsidRPr="00904FCB">
        <w:rPr>
          <w:rFonts w:hint="cs"/>
          <w:rtl/>
        </w:rPr>
        <w:t>ر</w:t>
      </w:r>
      <w:r w:rsidR="00B674CF" w:rsidRPr="00904FCB">
        <w:rPr>
          <w:rFonts w:hint="cs"/>
          <w:rtl/>
        </w:rPr>
        <w:t>ا</w:t>
      </w:r>
      <w:r w:rsidRPr="00904FCB">
        <w:rPr>
          <w:rFonts w:hint="cs"/>
          <w:rtl/>
        </w:rPr>
        <w:t>ن</w:t>
      </w:r>
      <w:r w:rsidR="00B674CF" w:rsidRPr="00904FCB">
        <w:rPr>
          <w:rFonts w:hint="cs"/>
          <w:rtl/>
        </w:rPr>
        <w:t>،</w:t>
      </w:r>
      <w:r w:rsidRPr="00904FCB">
        <w:rPr>
          <w:rFonts w:hint="cs"/>
          <w:rtl/>
        </w:rPr>
        <w:t xml:space="preserve"> دون الكفارات...</w:t>
      </w:r>
      <w:r w:rsidRPr="00904FCB">
        <w:rPr>
          <w:rFonts w:hint="cs"/>
          <w:vertAlign w:val="superscript"/>
          <w:rtl/>
        </w:rPr>
        <w:t>(</w:t>
      </w:r>
      <w:r w:rsidRPr="00904FCB">
        <w:rPr>
          <w:rStyle w:val="ac"/>
          <w:sz w:val="27"/>
          <w:rtl/>
        </w:rPr>
        <w:endnoteReference w:id="427"/>
      </w:r>
      <w:r w:rsidRPr="00904FCB">
        <w:rPr>
          <w:rFonts w:hint="cs"/>
          <w:vertAlign w:val="superscript"/>
          <w:rtl/>
        </w:rPr>
        <w:t>)</w:t>
      </w:r>
      <w:r w:rsidR="00B674CF" w:rsidRPr="00904FCB">
        <w:rPr>
          <w:rFonts w:hint="cs"/>
          <w:rtl/>
        </w:rPr>
        <w:t>.</w:t>
      </w:r>
    </w:p>
    <w:p w:rsidR="005B6CEC" w:rsidRPr="00904FCB" w:rsidRDefault="005B6CEC" w:rsidP="007A21AA">
      <w:pPr>
        <w:spacing w:line="400" w:lineRule="exact"/>
        <w:rPr>
          <w:rtl/>
        </w:rPr>
      </w:pPr>
      <w:r w:rsidRPr="00904FCB">
        <w:rPr>
          <w:rFonts w:hint="cs"/>
          <w:rtl/>
        </w:rPr>
        <w:t>أقول: كما أنه لا يوجد إصرارٌ على ذبح كف</w:t>
      </w:r>
      <w:r w:rsidR="00B674CF" w:rsidRPr="00904FCB">
        <w:rPr>
          <w:rFonts w:hint="cs"/>
          <w:rtl/>
        </w:rPr>
        <w:t>ّ</w:t>
      </w:r>
      <w:r w:rsidRPr="00904FCB">
        <w:rPr>
          <w:rFonts w:hint="cs"/>
          <w:rtl/>
        </w:rPr>
        <w:t xml:space="preserve">ارات إحرام العمرة بالجزورة </w:t>
      </w:r>
      <w:r w:rsidR="00B674CF" w:rsidRPr="00904FCB">
        <w:rPr>
          <w:rFonts w:hint="cs"/>
          <w:rtl/>
        </w:rPr>
        <w:t xml:space="preserve">مقابل </w:t>
      </w:r>
      <w:r w:rsidRPr="00904FCB">
        <w:rPr>
          <w:rFonts w:hint="cs"/>
          <w:rtl/>
        </w:rPr>
        <w:t>الكعبة الآن</w:t>
      </w:r>
      <w:r w:rsidR="00B674CF" w:rsidRPr="00904FCB">
        <w:rPr>
          <w:rFonts w:hint="cs"/>
          <w:rtl/>
        </w:rPr>
        <w:t>،</w:t>
      </w:r>
      <w:r w:rsidRPr="00904FCB">
        <w:rPr>
          <w:rFonts w:hint="cs"/>
          <w:rtl/>
        </w:rPr>
        <w:t xml:space="preserve"> بل لا يمكن، فكذلك ينبغي أن لا يوجد إصرار</w:t>
      </w:r>
      <w:r w:rsidR="00B674CF" w:rsidRPr="00904FCB">
        <w:rPr>
          <w:rFonts w:hint="cs"/>
          <w:rtl/>
        </w:rPr>
        <w:t>ٌ</w:t>
      </w:r>
      <w:r w:rsidRPr="00904FCB">
        <w:rPr>
          <w:rFonts w:hint="cs"/>
          <w:rtl/>
        </w:rPr>
        <w:t xml:space="preserve"> على ذبح اله</w:t>
      </w:r>
      <w:r w:rsidR="00B674CF" w:rsidRPr="00904FCB">
        <w:rPr>
          <w:rFonts w:hint="cs"/>
          <w:rtl/>
        </w:rPr>
        <w:t>َ</w:t>
      </w:r>
      <w:r w:rsidRPr="00904FCB">
        <w:rPr>
          <w:rFonts w:hint="cs"/>
          <w:rtl/>
        </w:rPr>
        <w:t>د</w:t>
      </w:r>
      <w:r w:rsidR="00B674CF" w:rsidRPr="00904FCB">
        <w:rPr>
          <w:rFonts w:hint="cs"/>
          <w:rtl/>
        </w:rPr>
        <w:t>ْ</w:t>
      </w:r>
      <w:r w:rsidRPr="00904FCB">
        <w:rPr>
          <w:rFonts w:hint="cs"/>
          <w:rtl/>
        </w:rPr>
        <w:t>ي بمنى</w:t>
      </w:r>
      <w:r w:rsidR="00B674CF" w:rsidRPr="00904FCB">
        <w:rPr>
          <w:rFonts w:hint="cs"/>
          <w:rtl/>
        </w:rPr>
        <w:t>؛</w:t>
      </w:r>
      <w:r w:rsidRPr="00904FCB">
        <w:rPr>
          <w:rFonts w:hint="cs"/>
          <w:rtl/>
        </w:rPr>
        <w:t xml:space="preserve"> لأنهما من واد</w:t>
      </w:r>
      <w:r w:rsidR="00B674CF" w:rsidRPr="00904FCB">
        <w:rPr>
          <w:rFonts w:hint="cs"/>
          <w:rtl/>
        </w:rPr>
        <w:t>ٍ</w:t>
      </w:r>
      <w:r w:rsidRPr="00904FCB">
        <w:rPr>
          <w:rFonts w:hint="cs"/>
          <w:rtl/>
        </w:rPr>
        <w:t xml:space="preserve"> واحد</w:t>
      </w:r>
      <w:r w:rsidR="00B674CF" w:rsidRPr="00904FCB">
        <w:rPr>
          <w:rFonts w:hint="cs"/>
          <w:rtl/>
        </w:rPr>
        <w:t>،</w:t>
      </w:r>
      <w:r w:rsidRPr="00904FCB">
        <w:rPr>
          <w:rFonts w:hint="cs"/>
          <w:rtl/>
        </w:rPr>
        <w:t xml:space="preserve"> </w:t>
      </w:r>
      <w:r w:rsidR="00B674CF" w:rsidRPr="00904FCB">
        <w:rPr>
          <w:rFonts w:hint="cs"/>
          <w:rtl/>
        </w:rPr>
        <w:t>و</w:t>
      </w:r>
      <w:r w:rsidRPr="00904FCB">
        <w:rPr>
          <w:rFonts w:hint="cs"/>
          <w:rtl/>
        </w:rPr>
        <w:t>في سياق</w:t>
      </w:r>
      <w:r w:rsidR="00B674CF" w:rsidRPr="00904FCB">
        <w:rPr>
          <w:rFonts w:hint="cs"/>
          <w:rtl/>
        </w:rPr>
        <w:t>ٍ</w:t>
      </w:r>
      <w:r w:rsidRPr="00904FCB">
        <w:rPr>
          <w:rFonts w:hint="cs"/>
          <w:rtl/>
        </w:rPr>
        <w:t xml:space="preserve"> واحد. </w:t>
      </w:r>
    </w:p>
    <w:p w:rsidR="005B6CEC" w:rsidRPr="00904FCB" w:rsidRDefault="005B6CEC" w:rsidP="00311508">
      <w:pPr>
        <w:spacing w:line="400" w:lineRule="exact"/>
        <w:rPr>
          <w:rtl/>
        </w:rPr>
      </w:pPr>
      <w:r w:rsidRPr="00756F2A">
        <w:rPr>
          <w:rFonts w:hint="cs"/>
          <w:b/>
          <w:bCs/>
          <w:rtl/>
        </w:rPr>
        <w:t>4ـ</w:t>
      </w:r>
      <w:r w:rsidRPr="00904FCB">
        <w:rPr>
          <w:rFonts w:hint="cs"/>
          <w:b/>
          <w:bCs/>
          <w:rtl/>
        </w:rPr>
        <w:t xml:space="preserve"> وفي فقه الرضا</w:t>
      </w:r>
      <w:r w:rsidR="001C1A2A" w:rsidRPr="00904FCB">
        <w:rPr>
          <w:rFonts w:cs="Mosawi" w:hint="cs"/>
          <w:b/>
          <w:bCs/>
          <w:szCs w:val="22"/>
          <w:rtl/>
        </w:rPr>
        <w:t>×</w:t>
      </w:r>
      <w:r w:rsidRPr="00904FCB">
        <w:rPr>
          <w:rFonts w:hint="cs"/>
          <w:rtl/>
        </w:rPr>
        <w:t>: فإذا طلع</w:t>
      </w:r>
      <w:r w:rsidR="00B674CF" w:rsidRPr="00904FCB">
        <w:rPr>
          <w:rFonts w:hint="cs"/>
          <w:rtl/>
        </w:rPr>
        <w:t>َ</w:t>
      </w:r>
      <w:r w:rsidRPr="00904FCB">
        <w:rPr>
          <w:rFonts w:hint="cs"/>
          <w:rtl/>
        </w:rPr>
        <w:t>تْ الشمس على جبل ثبير ف</w:t>
      </w:r>
      <w:r w:rsidR="0012520E" w:rsidRPr="00904FCB">
        <w:rPr>
          <w:rFonts w:hint="cs"/>
          <w:rtl/>
        </w:rPr>
        <w:t>أ</w:t>
      </w:r>
      <w:r w:rsidRPr="00904FCB">
        <w:rPr>
          <w:rFonts w:hint="cs"/>
          <w:rtl/>
        </w:rPr>
        <w:t>ف</w:t>
      </w:r>
      <w:r w:rsidR="0012520E" w:rsidRPr="00904FCB">
        <w:rPr>
          <w:rFonts w:hint="cs"/>
          <w:rtl/>
        </w:rPr>
        <w:t>ِ</w:t>
      </w:r>
      <w:r w:rsidRPr="00904FCB">
        <w:rPr>
          <w:rFonts w:hint="cs"/>
          <w:rtl/>
        </w:rPr>
        <w:t>ض</w:t>
      </w:r>
      <w:r w:rsidR="0012520E" w:rsidRPr="00904FCB">
        <w:rPr>
          <w:rFonts w:hint="cs"/>
          <w:rtl/>
        </w:rPr>
        <w:t>ْ</w:t>
      </w:r>
      <w:r w:rsidRPr="00904FCB">
        <w:rPr>
          <w:rFonts w:hint="cs"/>
          <w:rtl/>
        </w:rPr>
        <w:t xml:space="preserve"> منها إلى منى</w:t>
      </w:r>
      <w:r w:rsidR="0012520E" w:rsidRPr="00904FCB">
        <w:rPr>
          <w:rFonts w:hint="cs"/>
          <w:rtl/>
        </w:rPr>
        <w:t>،</w:t>
      </w:r>
      <w:r w:rsidRPr="00904FCB">
        <w:rPr>
          <w:rFonts w:hint="cs"/>
          <w:rtl/>
        </w:rPr>
        <w:t xml:space="preserve"> وإيّاك أن تفيض منها قبل طلوع الشمس</w:t>
      </w:r>
      <w:r w:rsidR="0012520E" w:rsidRPr="00904FCB">
        <w:rPr>
          <w:rFonts w:hint="cs"/>
          <w:rtl/>
        </w:rPr>
        <w:t>،</w:t>
      </w:r>
      <w:r w:rsidRPr="00904FCB">
        <w:rPr>
          <w:rFonts w:hint="cs"/>
          <w:rtl/>
        </w:rPr>
        <w:t xml:space="preserve"> ولا من عرفات قبل غروبها</w:t>
      </w:r>
      <w:r w:rsidR="0012520E" w:rsidRPr="00904FCB">
        <w:rPr>
          <w:rFonts w:hint="cs"/>
          <w:rtl/>
        </w:rPr>
        <w:t>،</w:t>
      </w:r>
      <w:r w:rsidRPr="00904FCB">
        <w:rPr>
          <w:rFonts w:hint="cs"/>
          <w:rtl/>
        </w:rPr>
        <w:t xml:space="preserve"> فليزمك الدم... فإذا بلغت طرف وادي محسَّر فاس</w:t>
      </w:r>
      <w:r w:rsidR="0012520E" w:rsidRPr="00904FCB">
        <w:rPr>
          <w:rFonts w:hint="cs"/>
          <w:rtl/>
        </w:rPr>
        <w:t>ْ</w:t>
      </w:r>
      <w:r w:rsidRPr="00904FCB">
        <w:rPr>
          <w:rFonts w:hint="cs"/>
          <w:rtl/>
        </w:rPr>
        <w:t>ع</w:t>
      </w:r>
      <w:r w:rsidR="0012520E" w:rsidRPr="00904FCB">
        <w:rPr>
          <w:rFonts w:hint="cs"/>
          <w:rtl/>
        </w:rPr>
        <w:t>َ</w:t>
      </w:r>
      <w:r w:rsidRPr="00904FCB">
        <w:rPr>
          <w:rFonts w:hint="cs"/>
          <w:rtl/>
        </w:rPr>
        <w:t xml:space="preserve"> فيه مقدار م</w:t>
      </w:r>
      <w:r w:rsidR="0012520E" w:rsidRPr="00904FCB">
        <w:rPr>
          <w:rFonts w:hint="cs"/>
          <w:rtl/>
        </w:rPr>
        <w:t>ئ</w:t>
      </w:r>
      <w:r w:rsidRPr="00904FCB">
        <w:rPr>
          <w:rFonts w:hint="cs"/>
          <w:rtl/>
        </w:rPr>
        <w:t>ة خطوة، وإن</w:t>
      </w:r>
      <w:r w:rsidR="0012520E" w:rsidRPr="00904FCB">
        <w:rPr>
          <w:rFonts w:hint="cs"/>
          <w:rtl/>
        </w:rPr>
        <w:t>ْ</w:t>
      </w:r>
      <w:r w:rsidRPr="00904FCB">
        <w:rPr>
          <w:rFonts w:hint="cs"/>
          <w:rtl/>
        </w:rPr>
        <w:t xml:space="preserve"> كنت راكباً...</w:t>
      </w:r>
      <w:r w:rsidR="00E9582A">
        <w:rPr>
          <w:rFonts w:hint="cs"/>
          <w:rtl/>
        </w:rPr>
        <w:t>،</w:t>
      </w:r>
      <w:r w:rsidRPr="00904FCB">
        <w:rPr>
          <w:rFonts w:hint="cs"/>
          <w:rtl/>
        </w:rPr>
        <w:t xml:space="preserve"> ثم أمرّ السكين عليها</w:t>
      </w:r>
      <w:r w:rsidR="0012520E" w:rsidRPr="00904FCB">
        <w:rPr>
          <w:rFonts w:hint="cs"/>
          <w:rtl/>
        </w:rPr>
        <w:t>،</w:t>
      </w:r>
      <w:r w:rsidRPr="00904FCB">
        <w:rPr>
          <w:rFonts w:hint="cs"/>
          <w:rtl/>
        </w:rPr>
        <w:t xml:space="preserve"> ولا ت</w:t>
      </w:r>
      <w:r w:rsidR="00E9582A">
        <w:rPr>
          <w:rFonts w:hint="cs"/>
          <w:rtl/>
        </w:rPr>
        <w:t>ن</w:t>
      </w:r>
      <w:r w:rsidRPr="00904FCB">
        <w:rPr>
          <w:rFonts w:hint="cs"/>
          <w:rtl/>
        </w:rPr>
        <w:t>خعها حت</w:t>
      </w:r>
      <w:r w:rsidR="0012520E" w:rsidRPr="00904FCB">
        <w:rPr>
          <w:rFonts w:hint="cs"/>
          <w:rtl/>
        </w:rPr>
        <w:t>ّ</w:t>
      </w:r>
      <w:r w:rsidRPr="00904FCB">
        <w:rPr>
          <w:rFonts w:hint="cs"/>
          <w:rtl/>
        </w:rPr>
        <w:t>ى تموت... ولا يجوز في الأضاحي من البدن إلاّ الثني...</w:t>
      </w:r>
      <w:r w:rsidR="00E9582A">
        <w:rPr>
          <w:rFonts w:hint="cs"/>
          <w:rtl/>
        </w:rPr>
        <w:t>،</w:t>
      </w:r>
      <w:r w:rsidRPr="00904FCB">
        <w:rPr>
          <w:rFonts w:hint="cs"/>
          <w:rtl/>
        </w:rPr>
        <w:t xml:space="preserve"> ومن الضأن الجذع...</w:t>
      </w:r>
      <w:r w:rsidR="00311508">
        <w:rPr>
          <w:rFonts w:hint="cs"/>
          <w:rtl/>
        </w:rPr>
        <w:t>.</w:t>
      </w:r>
      <w:r w:rsidRPr="00904FCB">
        <w:rPr>
          <w:rFonts w:hint="cs"/>
          <w:rtl/>
        </w:rPr>
        <w:t xml:space="preserve"> فإذا نحرت </w:t>
      </w:r>
      <w:r w:rsidR="0012520E" w:rsidRPr="00904FCB">
        <w:rPr>
          <w:rFonts w:hint="cs"/>
          <w:rtl/>
        </w:rPr>
        <w:t>أ</w:t>
      </w:r>
      <w:r w:rsidRPr="00904FCB">
        <w:rPr>
          <w:rFonts w:hint="cs"/>
          <w:rtl/>
        </w:rPr>
        <w:t>ضحيتك أكلت منها</w:t>
      </w:r>
      <w:r w:rsidR="0012520E" w:rsidRPr="00904FCB">
        <w:rPr>
          <w:rFonts w:hint="cs"/>
          <w:rtl/>
        </w:rPr>
        <w:t>،</w:t>
      </w:r>
      <w:r w:rsidRPr="00904FCB">
        <w:rPr>
          <w:rFonts w:hint="cs"/>
          <w:rtl/>
        </w:rPr>
        <w:t xml:space="preserve"> وتصد</w:t>
      </w:r>
      <w:r w:rsidR="0012520E" w:rsidRPr="00904FCB">
        <w:rPr>
          <w:rFonts w:hint="cs"/>
          <w:rtl/>
        </w:rPr>
        <w:t>َّ</w:t>
      </w:r>
      <w:r w:rsidRPr="00904FCB">
        <w:rPr>
          <w:rFonts w:hint="cs"/>
          <w:rtl/>
        </w:rPr>
        <w:t>قت بالباقي</w:t>
      </w:r>
      <w:r w:rsidRPr="00904FCB">
        <w:rPr>
          <w:rFonts w:hint="cs"/>
          <w:vertAlign w:val="superscript"/>
          <w:rtl/>
        </w:rPr>
        <w:t>(</w:t>
      </w:r>
      <w:r w:rsidRPr="00904FCB">
        <w:rPr>
          <w:rStyle w:val="ac"/>
          <w:sz w:val="27"/>
          <w:rtl/>
        </w:rPr>
        <w:endnoteReference w:id="428"/>
      </w:r>
      <w:r w:rsidRPr="00904FCB">
        <w:rPr>
          <w:rFonts w:hint="cs"/>
          <w:vertAlign w:val="superscript"/>
          <w:rtl/>
        </w:rPr>
        <w:t>)</w:t>
      </w:r>
      <w:r w:rsidRPr="00904FCB">
        <w:rPr>
          <w:rFonts w:hint="cs"/>
          <w:rtl/>
        </w:rPr>
        <w:t xml:space="preserve">. </w:t>
      </w:r>
    </w:p>
    <w:p w:rsidR="005B6CEC" w:rsidRPr="00904FCB" w:rsidRDefault="005B6CEC" w:rsidP="00510A75">
      <w:pPr>
        <w:spacing w:line="400" w:lineRule="exact"/>
        <w:rPr>
          <w:rtl/>
        </w:rPr>
      </w:pPr>
      <w:r w:rsidRPr="00904FCB">
        <w:rPr>
          <w:rFonts w:hint="cs"/>
          <w:rtl/>
        </w:rPr>
        <w:t xml:space="preserve">أقول: </w:t>
      </w:r>
      <w:r w:rsidRPr="00904FCB">
        <w:rPr>
          <w:rFonts w:hint="cs"/>
          <w:b/>
          <w:bCs/>
          <w:rtl/>
        </w:rPr>
        <w:t>أو</w:t>
      </w:r>
      <w:r w:rsidR="0012520E" w:rsidRPr="00904FCB">
        <w:rPr>
          <w:rFonts w:hint="cs"/>
          <w:b/>
          <w:bCs/>
          <w:rtl/>
        </w:rPr>
        <w:t>ّ</w:t>
      </w:r>
      <w:r w:rsidRPr="00904FCB">
        <w:rPr>
          <w:rFonts w:hint="cs"/>
          <w:b/>
          <w:bCs/>
          <w:rtl/>
        </w:rPr>
        <w:t>لاً</w:t>
      </w:r>
      <w:r w:rsidR="0012520E" w:rsidRPr="00904FCB">
        <w:rPr>
          <w:rFonts w:hint="cs"/>
          <w:rtl/>
        </w:rPr>
        <w:t>:</w:t>
      </w:r>
      <w:r w:rsidRPr="00904FCB">
        <w:rPr>
          <w:rFonts w:hint="cs"/>
          <w:rtl/>
        </w:rPr>
        <w:t xml:space="preserve"> اختلف علما</w:t>
      </w:r>
      <w:r w:rsidR="0012520E" w:rsidRPr="00904FCB">
        <w:rPr>
          <w:rFonts w:hint="cs"/>
          <w:rtl/>
        </w:rPr>
        <w:t>ؤ</w:t>
      </w:r>
      <w:r w:rsidRPr="00904FCB">
        <w:rPr>
          <w:rFonts w:hint="cs"/>
          <w:rtl/>
        </w:rPr>
        <w:t>نا في كتاب فقه الرضا</w:t>
      </w:r>
      <w:r w:rsidR="0012520E" w:rsidRPr="00904FCB">
        <w:rPr>
          <w:rFonts w:hint="cs"/>
          <w:rtl/>
        </w:rPr>
        <w:t>؛</w:t>
      </w:r>
      <w:r w:rsidRPr="00904FCB">
        <w:rPr>
          <w:rFonts w:hint="cs"/>
          <w:rtl/>
        </w:rPr>
        <w:t xml:space="preserve"> فبعضهم قالوا</w:t>
      </w:r>
      <w:r w:rsidR="0012520E" w:rsidRPr="00904FCB">
        <w:rPr>
          <w:rFonts w:hint="cs"/>
          <w:rtl/>
        </w:rPr>
        <w:t>:</w:t>
      </w:r>
      <w:r w:rsidRPr="00904FCB">
        <w:rPr>
          <w:rFonts w:hint="cs"/>
          <w:rtl/>
        </w:rPr>
        <w:t xml:space="preserve"> </w:t>
      </w:r>
      <w:r w:rsidR="0012520E" w:rsidRPr="00904FCB">
        <w:rPr>
          <w:rFonts w:hint="cs"/>
          <w:rtl/>
        </w:rPr>
        <w:t>إ</w:t>
      </w:r>
      <w:r w:rsidRPr="00904FCB">
        <w:rPr>
          <w:rFonts w:hint="cs"/>
          <w:rtl/>
        </w:rPr>
        <w:t>نه كتاب علي</w:t>
      </w:r>
      <w:r w:rsidR="0012520E" w:rsidRPr="00904FCB">
        <w:rPr>
          <w:rFonts w:hint="cs"/>
          <w:rtl/>
        </w:rPr>
        <w:t>ّ</w:t>
      </w:r>
      <w:r w:rsidRPr="00904FCB">
        <w:rPr>
          <w:rFonts w:hint="cs"/>
          <w:rtl/>
        </w:rPr>
        <w:t xml:space="preserve"> بن موسى الرضا</w:t>
      </w:r>
      <w:r w:rsidR="001C1A2A" w:rsidRPr="00904FCB">
        <w:rPr>
          <w:rFonts w:cs="Mosawi" w:hint="cs"/>
          <w:szCs w:val="22"/>
          <w:rtl/>
        </w:rPr>
        <w:t>×</w:t>
      </w:r>
      <w:r w:rsidR="0012520E" w:rsidRPr="00904FCB">
        <w:rPr>
          <w:rFonts w:hint="cs"/>
          <w:rtl/>
        </w:rPr>
        <w:t>؛</w:t>
      </w:r>
      <w:r w:rsidRPr="00904FCB">
        <w:rPr>
          <w:rFonts w:hint="cs"/>
          <w:rtl/>
        </w:rPr>
        <w:t xml:space="preserve"> وبعضهم قالوا</w:t>
      </w:r>
      <w:r w:rsidR="0012520E" w:rsidRPr="00904FCB">
        <w:rPr>
          <w:rFonts w:hint="cs"/>
          <w:rtl/>
        </w:rPr>
        <w:t>:</w:t>
      </w:r>
      <w:r w:rsidRPr="00904FCB">
        <w:rPr>
          <w:rFonts w:hint="cs"/>
          <w:rtl/>
        </w:rPr>
        <w:t xml:space="preserve"> </w:t>
      </w:r>
      <w:r w:rsidR="0012520E" w:rsidRPr="00904FCB">
        <w:rPr>
          <w:rFonts w:hint="cs"/>
          <w:rtl/>
        </w:rPr>
        <w:t>إ</w:t>
      </w:r>
      <w:r w:rsidRPr="00904FCB">
        <w:rPr>
          <w:rFonts w:hint="cs"/>
          <w:rtl/>
        </w:rPr>
        <w:t>نه رسالة عل</w:t>
      </w:r>
      <w:r w:rsidR="0012520E" w:rsidRPr="00904FCB">
        <w:rPr>
          <w:rFonts w:hint="cs"/>
          <w:rtl/>
        </w:rPr>
        <w:t>يّ</w:t>
      </w:r>
      <w:r w:rsidRPr="00904FCB">
        <w:rPr>
          <w:rFonts w:hint="cs"/>
          <w:rtl/>
        </w:rPr>
        <w:t xml:space="preserve"> بن بابويه إلى ولده الصدوق</w:t>
      </w:r>
      <w:r w:rsidR="00510A75" w:rsidRPr="00756F2A">
        <w:rPr>
          <w:rFonts w:ascii="Mosawi" w:hAnsi="Mosawi" w:cs="Mosawi"/>
          <w:sz w:val="22"/>
          <w:szCs w:val="22"/>
          <w:rtl/>
        </w:rPr>
        <w:t>&amp;</w:t>
      </w:r>
      <w:r w:rsidR="0012520E" w:rsidRPr="00904FCB">
        <w:rPr>
          <w:rFonts w:hint="cs"/>
          <w:rtl/>
        </w:rPr>
        <w:t>،</w:t>
      </w:r>
      <w:r w:rsidRPr="00904FCB">
        <w:rPr>
          <w:rFonts w:hint="cs"/>
          <w:rtl/>
        </w:rPr>
        <w:t xml:space="preserve"> وبما أن اسم والد الصدوق</w:t>
      </w:r>
      <w:r w:rsidR="00510A75" w:rsidRPr="00756F2A">
        <w:rPr>
          <w:rFonts w:ascii="Mosawi" w:hAnsi="Mosawi" w:cs="Mosawi"/>
          <w:sz w:val="22"/>
          <w:szCs w:val="22"/>
          <w:rtl/>
        </w:rPr>
        <w:t>&amp;</w:t>
      </w:r>
      <w:r w:rsidRPr="00904FCB">
        <w:rPr>
          <w:rFonts w:hint="cs"/>
          <w:rtl/>
        </w:rPr>
        <w:t xml:space="preserve"> كان عليّ بن حسين بن موسى</w:t>
      </w:r>
      <w:r w:rsidR="0012520E" w:rsidRPr="00904FCB">
        <w:rPr>
          <w:rFonts w:hint="cs"/>
          <w:rtl/>
        </w:rPr>
        <w:t>،</w:t>
      </w:r>
      <w:r w:rsidRPr="00904FCB">
        <w:rPr>
          <w:rFonts w:hint="cs"/>
          <w:rtl/>
        </w:rPr>
        <w:t xml:space="preserve"> وبما أن الولد ينسب إلى جدّه كثيراً</w:t>
      </w:r>
      <w:r w:rsidR="0012520E" w:rsidRPr="00904FCB">
        <w:rPr>
          <w:rFonts w:hint="cs"/>
          <w:rtl/>
        </w:rPr>
        <w:t>،</w:t>
      </w:r>
      <w:r w:rsidRPr="00904FCB">
        <w:rPr>
          <w:rFonts w:hint="cs"/>
          <w:rtl/>
        </w:rPr>
        <w:t xml:space="preserve"> كان يقال</w:t>
      </w:r>
      <w:r w:rsidR="0012520E" w:rsidRPr="00904FCB">
        <w:rPr>
          <w:rFonts w:hint="cs"/>
          <w:rtl/>
        </w:rPr>
        <w:t>:</w:t>
      </w:r>
      <w:r w:rsidRPr="00904FCB">
        <w:rPr>
          <w:rFonts w:hint="cs"/>
          <w:rtl/>
        </w:rPr>
        <w:t xml:space="preserve"> رسالة علي</w:t>
      </w:r>
      <w:r w:rsidR="0012520E" w:rsidRPr="00904FCB">
        <w:rPr>
          <w:rFonts w:hint="cs"/>
          <w:rtl/>
        </w:rPr>
        <w:t>ّ</w:t>
      </w:r>
      <w:r w:rsidRPr="00904FCB">
        <w:rPr>
          <w:rFonts w:hint="cs"/>
          <w:rtl/>
        </w:rPr>
        <w:t xml:space="preserve"> بن موسى إلى ولده</w:t>
      </w:r>
      <w:r w:rsidR="0012520E" w:rsidRPr="00904FCB">
        <w:rPr>
          <w:rFonts w:hint="cs"/>
          <w:rtl/>
        </w:rPr>
        <w:t>،</w:t>
      </w:r>
      <w:r w:rsidRPr="00904FCB">
        <w:rPr>
          <w:rFonts w:hint="cs"/>
          <w:rtl/>
        </w:rPr>
        <w:t xml:space="preserve"> ثم توهّم </w:t>
      </w:r>
      <w:r w:rsidRPr="00904FCB">
        <w:rPr>
          <w:rFonts w:hint="cs"/>
          <w:rtl/>
        </w:rPr>
        <w:lastRenderedPageBreak/>
        <w:t>بعض</w:t>
      </w:r>
      <w:r w:rsidR="0012520E" w:rsidRPr="00904FCB">
        <w:rPr>
          <w:rFonts w:hint="cs"/>
          <w:rtl/>
        </w:rPr>
        <w:t>ٌ</w:t>
      </w:r>
      <w:r w:rsidRPr="00904FCB">
        <w:rPr>
          <w:rFonts w:hint="cs"/>
          <w:rtl/>
        </w:rPr>
        <w:t xml:space="preserve"> أنه رسالة علي</w:t>
      </w:r>
      <w:r w:rsidR="006D5FA8">
        <w:rPr>
          <w:rFonts w:hint="cs"/>
          <w:rtl/>
        </w:rPr>
        <w:t>ّ</w:t>
      </w:r>
      <w:r w:rsidRPr="00904FCB">
        <w:rPr>
          <w:rFonts w:hint="cs"/>
          <w:rtl/>
        </w:rPr>
        <w:t xml:space="preserve"> بن موسى الرضا</w:t>
      </w:r>
      <w:r w:rsidR="001C1A2A" w:rsidRPr="00904FCB">
        <w:rPr>
          <w:rFonts w:cs="Mosawi" w:hint="cs"/>
          <w:szCs w:val="22"/>
          <w:rtl/>
        </w:rPr>
        <w:t>×</w:t>
      </w:r>
      <w:r w:rsidR="0012520E" w:rsidRPr="00904FCB">
        <w:rPr>
          <w:rFonts w:hint="cs"/>
          <w:rtl/>
        </w:rPr>
        <w:t>؛</w:t>
      </w:r>
      <w:r w:rsidRPr="00904FCB">
        <w:rPr>
          <w:rFonts w:hint="cs"/>
          <w:rtl/>
        </w:rPr>
        <w:t xml:space="preserve"> وبعضهم قالوا أشياء أخر. فأقلّ</w:t>
      </w:r>
      <w:r w:rsidR="0012520E" w:rsidRPr="00904FCB">
        <w:rPr>
          <w:rFonts w:hint="cs"/>
          <w:rtl/>
        </w:rPr>
        <w:t>ُ</w:t>
      </w:r>
      <w:r w:rsidRPr="00904FCB">
        <w:rPr>
          <w:rFonts w:hint="cs"/>
          <w:rtl/>
        </w:rPr>
        <w:t xml:space="preserve"> شيء</w:t>
      </w:r>
      <w:r w:rsidR="0012520E" w:rsidRPr="00904FCB">
        <w:rPr>
          <w:rFonts w:hint="cs"/>
          <w:rtl/>
        </w:rPr>
        <w:t>ٍ</w:t>
      </w:r>
      <w:r w:rsidRPr="00904FCB">
        <w:rPr>
          <w:rFonts w:hint="cs"/>
          <w:rtl/>
        </w:rPr>
        <w:t xml:space="preserve"> نستطيع أن نقول ـ والنتيجة تابع</w:t>
      </w:r>
      <w:r w:rsidR="0012520E" w:rsidRPr="00904FCB">
        <w:rPr>
          <w:rFonts w:hint="cs"/>
          <w:rtl/>
        </w:rPr>
        <w:t>ة</w:t>
      </w:r>
      <w:r w:rsidRPr="00904FCB">
        <w:rPr>
          <w:rFonts w:hint="cs"/>
          <w:rtl/>
        </w:rPr>
        <w:t xml:space="preserve"> لأخس</w:t>
      </w:r>
      <w:r w:rsidR="0012520E" w:rsidRPr="00904FCB">
        <w:rPr>
          <w:rFonts w:hint="cs"/>
          <w:rtl/>
        </w:rPr>
        <w:t>ّ</w:t>
      </w:r>
      <w:r w:rsidRPr="00904FCB">
        <w:rPr>
          <w:rFonts w:hint="cs"/>
          <w:rtl/>
        </w:rPr>
        <w:t xml:space="preserve"> مقد</w:t>
      </w:r>
      <w:r w:rsidR="0012520E" w:rsidRPr="00904FCB">
        <w:rPr>
          <w:rFonts w:hint="cs"/>
          <w:rtl/>
        </w:rPr>
        <w:t>ّ</w:t>
      </w:r>
      <w:r w:rsidRPr="00904FCB">
        <w:rPr>
          <w:rFonts w:hint="cs"/>
          <w:rtl/>
        </w:rPr>
        <w:t>ماته</w:t>
      </w:r>
      <w:r w:rsidR="0012520E" w:rsidRPr="00904FCB">
        <w:rPr>
          <w:rFonts w:hint="cs"/>
          <w:rtl/>
        </w:rPr>
        <w:t>ا</w:t>
      </w:r>
      <w:r w:rsidRPr="00904FCB">
        <w:rPr>
          <w:rFonts w:hint="cs"/>
          <w:rtl/>
        </w:rPr>
        <w:t xml:space="preserve"> ـ</w:t>
      </w:r>
      <w:r w:rsidR="0012520E" w:rsidRPr="00904FCB">
        <w:rPr>
          <w:rFonts w:hint="cs"/>
          <w:rtl/>
        </w:rPr>
        <w:t>: إ</w:t>
      </w:r>
      <w:r w:rsidRPr="00904FCB">
        <w:rPr>
          <w:rFonts w:hint="cs"/>
          <w:rtl/>
        </w:rPr>
        <w:t>نه رسالة من أحد العلماء الس</w:t>
      </w:r>
      <w:r w:rsidR="0012520E" w:rsidRPr="00904FCB">
        <w:rPr>
          <w:rFonts w:hint="cs"/>
          <w:rtl/>
        </w:rPr>
        <w:t>َّ</w:t>
      </w:r>
      <w:r w:rsidRPr="00904FCB">
        <w:rPr>
          <w:rFonts w:hint="cs"/>
          <w:rtl/>
        </w:rPr>
        <w:t>ل</w:t>
      </w:r>
      <w:r w:rsidR="0012520E" w:rsidRPr="00904FCB">
        <w:rPr>
          <w:rFonts w:hint="cs"/>
          <w:rtl/>
        </w:rPr>
        <w:t>َ</w:t>
      </w:r>
      <w:r w:rsidRPr="00904FCB">
        <w:rPr>
          <w:rFonts w:hint="cs"/>
          <w:rtl/>
        </w:rPr>
        <w:t>ف. ويعطي لنا رأي</w:t>
      </w:r>
      <w:r w:rsidR="0012520E" w:rsidRPr="00904FCB">
        <w:rPr>
          <w:rFonts w:hint="cs"/>
          <w:rtl/>
        </w:rPr>
        <w:t>َ</w:t>
      </w:r>
      <w:r w:rsidRPr="00904FCB">
        <w:rPr>
          <w:rFonts w:hint="cs"/>
          <w:rtl/>
        </w:rPr>
        <w:t xml:space="preserve"> عالمٍ في تلك الأعصار</w:t>
      </w:r>
      <w:r w:rsidR="0012520E" w:rsidRPr="00904FCB">
        <w:rPr>
          <w:rFonts w:hint="cs"/>
          <w:rtl/>
        </w:rPr>
        <w:t>،</w:t>
      </w:r>
      <w:r w:rsidRPr="00904FCB">
        <w:rPr>
          <w:rFonts w:hint="cs"/>
          <w:rtl/>
        </w:rPr>
        <w:t xml:space="preserve"> قبل الشيخ الطوسي وأمثاله. </w:t>
      </w:r>
    </w:p>
    <w:p w:rsidR="005B6CEC" w:rsidRPr="00904FCB" w:rsidRDefault="005B6CEC" w:rsidP="006D5FA8">
      <w:pPr>
        <w:spacing w:line="400" w:lineRule="exact"/>
        <w:rPr>
          <w:rtl/>
        </w:rPr>
      </w:pPr>
      <w:r w:rsidRPr="00904FCB">
        <w:rPr>
          <w:rFonts w:hint="cs"/>
          <w:b/>
          <w:bCs/>
          <w:rtl/>
        </w:rPr>
        <w:t>ثانياً</w:t>
      </w:r>
      <w:r w:rsidRPr="00904FCB">
        <w:rPr>
          <w:rFonts w:hint="cs"/>
          <w:rtl/>
        </w:rPr>
        <w:t>: نقلت عباراته بالتفصيل حت</w:t>
      </w:r>
      <w:r w:rsidR="0012520E" w:rsidRPr="00904FCB">
        <w:rPr>
          <w:rFonts w:hint="cs"/>
          <w:rtl/>
        </w:rPr>
        <w:t>ّ</w:t>
      </w:r>
      <w:r w:rsidR="008805EF" w:rsidRPr="00904FCB">
        <w:rPr>
          <w:rFonts w:hint="cs"/>
          <w:rtl/>
        </w:rPr>
        <w:t>ى ي</w:t>
      </w:r>
      <w:r w:rsidRPr="00904FCB">
        <w:rPr>
          <w:rFonts w:hint="cs"/>
          <w:rtl/>
        </w:rPr>
        <w:t>ظهر أنه لم يخلط بين الواجبات والآداب والسنن</w:t>
      </w:r>
      <w:r w:rsidR="0012520E" w:rsidRPr="00904FCB">
        <w:rPr>
          <w:rFonts w:hint="cs"/>
          <w:rtl/>
        </w:rPr>
        <w:t>،</w:t>
      </w:r>
      <w:r w:rsidRPr="00904FCB">
        <w:rPr>
          <w:rFonts w:hint="cs"/>
          <w:rtl/>
        </w:rPr>
        <w:t xml:space="preserve"> فترى تأكيده على وقت الإفاضة وشرائط اله</w:t>
      </w:r>
      <w:r w:rsidR="0012520E" w:rsidRPr="00904FCB">
        <w:rPr>
          <w:rFonts w:hint="cs"/>
          <w:rtl/>
        </w:rPr>
        <w:t>َ</w:t>
      </w:r>
      <w:r w:rsidRPr="00904FCB">
        <w:rPr>
          <w:rFonts w:hint="cs"/>
          <w:rtl/>
        </w:rPr>
        <w:t>د</w:t>
      </w:r>
      <w:r w:rsidR="0012520E" w:rsidRPr="00904FCB">
        <w:rPr>
          <w:rFonts w:hint="cs"/>
          <w:rtl/>
        </w:rPr>
        <w:t>ْ</w:t>
      </w:r>
      <w:r w:rsidRPr="00904FCB">
        <w:rPr>
          <w:rFonts w:hint="cs"/>
          <w:rtl/>
        </w:rPr>
        <w:t>ي</w:t>
      </w:r>
      <w:r w:rsidR="0012520E" w:rsidRPr="00904FCB">
        <w:rPr>
          <w:rFonts w:hint="cs"/>
          <w:rtl/>
        </w:rPr>
        <w:t>،</w:t>
      </w:r>
      <w:r w:rsidRPr="00904FCB">
        <w:rPr>
          <w:rFonts w:hint="cs"/>
          <w:rtl/>
        </w:rPr>
        <w:t xml:space="preserve"> ولكن لا يؤك</w:t>
      </w:r>
      <w:r w:rsidR="0012520E" w:rsidRPr="00904FCB">
        <w:rPr>
          <w:rFonts w:hint="cs"/>
          <w:rtl/>
        </w:rPr>
        <w:t>ِّ</w:t>
      </w:r>
      <w:r w:rsidRPr="00904FCB">
        <w:rPr>
          <w:rFonts w:hint="cs"/>
          <w:rtl/>
        </w:rPr>
        <w:t>د بالنسبة إلى الأدعية ومستحب</w:t>
      </w:r>
      <w:r w:rsidR="0012520E" w:rsidRPr="00904FCB">
        <w:rPr>
          <w:rFonts w:hint="cs"/>
          <w:rtl/>
        </w:rPr>
        <w:t>ّ</w:t>
      </w:r>
      <w:r w:rsidRPr="00904FCB">
        <w:rPr>
          <w:rFonts w:hint="cs"/>
          <w:rtl/>
        </w:rPr>
        <w:t>ات الذبح ومكان الذبح</w:t>
      </w:r>
      <w:r w:rsidR="00892017" w:rsidRPr="00904FCB">
        <w:rPr>
          <w:rFonts w:hint="cs"/>
          <w:rtl/>
        </w:rPr>
        <w:t>.</w:t>
      </w:r>
      <w:r w:rsidRPr="00904FCB">
        <w:rPr>
          <w:rFonts w:hint="cs"/>
          <w:rtl/>
        </w:rPr>
        <w:t xml:space="preserve"> فأكثر </w:t>
      </w:r>
      <w:r w:rsidR="00892017" w:rsidRPr="00904FCB">
        <w:rPr>
          <w:rFonts w:hint="cs"/>
          <w:rtl/>
        </w:rPr>
        <w:t>ما تفيده</w:t>
      </w:r>
      <w:r w:rsidRPr="00904FCB">
        <w:rPr>
          <w:rFonts w:hint="cs"/>
          <w:rtl/>
        </w:rPr>
        <w:t xml:space="preserve"> عبارته هو راجحية وقوع الذبح في منى</w:t>
      </w:r>
      <w:r w:rsidR="00892017" w:rsidRPr="00904FCB">
        <w:rPr>
          <w:rFonts w:hint="cs"/>
          <w:rtl/>
        </w:rPr>
        <w:t>،</w:t>
      </w:r>
      <w:r w:rsidRPr="00904FCB">
        <w:rPr>
          <w:rFonts w:hint="cs"/>
          <w:rtl/>
        </w:rPr>
        <w:t xml:space="preserve"> لا غيره. وهذ</w:t>
      </w:r>
      <w:r w:rsidR="006D5FA8">
        <w:rPr>
          <w:rFonts w:hint="cs"/>
          <w:rtl/>
        </w:rPr>
        <w:t>ه</w:t>
      </w:r>
      <w:r w:rsidRPr="00904FCB">
        <w:rPr>
          <w:rFonts w:hint="cs"/>
          <w:rtl/>
        </w:rPr>
        <w:t xml:space="preserve"> التعبيرات قريب</w:t>
      </w:r>
      <w:r w:rsidR="00892017" w:rsidRPr="00904FCB">
        <w:rPr>
          <w:rFonts w:hint="cs"/>
          <w:rtl/>
        </w:rPr>
        <w:t>ةٌ</w:t>
      </w:r>
      <w:r w:rsidRPr="00904FCB">
        <w:rPr>
          <w:rFonts w:hint="cs"/>
          <w:rtl/>
        </w:rPr>
        <w:t xml:space="preserve"> من تعبيرات الصدوق في المقنع والهداية</w:t>
      </w:r>
      <w:r w:rsidR="00892017" w:rsidRPr="00904FCB">
        <w:rPr>
          <w:rFonts w:hint="cs"/>
          <w:rtl/>
        </w:rPr>
        <w:t>،</w:t>
      </w:r>
      <w:r w:rsidRPr="00904FCB">
        <w:rPr>
          <w:rFonts w:hint="cs"/>
          <w:rtl/>
        </w:rPr>
        <w:t xml:space="preserve"> كما مرّ. </w:t>
      </w:r>
    </w:p>
    <w:p w:rsidR="005B6CEC" w:rsidRPr="00904FCB" w:rsidRDefault="005B6CEC" w:rsidP="007A21AA">
      <w:pPr>
        <w:spacing w:line="400" w:lineRule="exact"/>
        <w:rPr>
          <w:rtl/>
        </w:rPr>
      </w:pPr>
      <w:r w:rsidRPr="00756F2A">
        <w:rPr>
          <w:rFonts w:hint="cs"/>
          <w:b/>
          <w:bCs/>
          <w:rtl/>
        </w:rPr>
        <w:t>5ـ وفي الكافي</w:t>
      </w:r>
      <w:r w:rsidR="00892017" w:rsidRPr="00756F2A">
        <w:rPr>
          <w:rFonts w:hint="cs"/>
          <w:b/>
          <w:bCs/>
          <w:rtl/>
        </w:rPr>
        <w:t>،</w:t>
      </w:r>
      <w:r w:rsidRPr="00756F2A">
        <w:rPr>
          <w:rFonts w:hint="cs"/>
          <w:b/>
          <w:bCs/>
          <w:rtl/>
        </w:rPr>
        <w:t xml:space="preserve"> لابن الصلاح الحلبي</w:t>
      </w:r>
      <w:r w:rsidRPr="00756F2A">
        <w:rPr>
          <w:rFonts w:hint="cs"/>
          <w:rtl/>
        </w:rPr>
        <w:t>: فإذا انتهى إلى منى فلينزل بها</w:t>
      </w:r>
      <w:r w:rsidR="00892017" w:rsidRPr="00756F2A">
        <w:rPr>
          <w:rFonts w:hint="cs"/>
          <w:rtl/>
        </w:rPr>
        <w:t>،</w:t>
      </w:r>
      <w:r w:rsidRPr="00756F2A">
        <w:rPr>
          <w:rFonts w:hint="cs"/>
          <w:rtl/>
        </w:rPr>
        <w:t xml:space="preserve"> ويأت</w:t>
      </w:r>
      <w:r w:rsidR="00892017" w:rsidRPr="00756F2A">
        <w:rPr>
          <w:rFonts w:hint="cs"/>
          <w:rtl/>
        </w:rPr>
        <w:t>ِ</w:t>
      </w:r>
      <w:r w:rsidRPr="00904FCB">
        <w:rPr>
          <w:rFonts w:hint="cs"/>
          <w:rtl/>
        </w:rPr>
        <w:t xml:space="preserve"> جمرة العقبة... وذكر مستحبات الرمي وواجباته</w:t>
      </w:r>
      <w:r w:rsidR="008805EF" w:rsidRPr="00904FCB">
        <w:rPr>
          <w:rFonts w:hint="cs"/>
          <w:rtl/>
        </w:rPr>
        <w:t>،</w:t>
      </w:r>
      <w:r w:rsidRPr="00904FCB">
        <w:rPr>
          <w:rFonts w:hint="cs"/>
          <w:rtl/>
        </w:rPr>
        <w:t xml:space="preserve"> ثم قال</w:t>
      </w:r>
      <w:r w:rsidR="008805EF" w:rsidRPr="00904FCB">
        <w:rPr>
          <w:rFonts w:hint="cs"/>
          <w:rtl/>
        </w:rPr>
        <w:t xml:space="preserve">: </w:t>
      </w:r>
      <w:r w:rsidRPr="00904FCB">
        <w:rPr>
          <w:rFonts w:hint="cs"/>
          <w:rtl/>
        </w:rPr>
        <w:t>...ثم يرجع إلى منى فيشتري هديا</w:t>
      </w:r>
      <w:r w:rsidR="008805EF" w:rsidRPr="00904FCB">
        <w:rPr>
          <w:rFonts w:hint="cs"/>
          <w:rtl/>
        </w:rPr>
        <w:t>ً</w:t>
      </w:r>
      <w:r w:rsidRPr="00904FCB">
        <w:rPr>
          <w:rFonts w:hint="cs"/>
          <w:rtl/>
        </w:rPr>
        <w:t xml:space="preserve"> لمتعته </w:t>
      </w:r>
      <w:r w:rsidR="008805EF" w:rsidRPr="00904FCB">
        <w:rPr>
          <w:rFonts w:hint="cs"/>
          <w:rtl/>
        </w:rPr>
        <w:t>إ</w:t>
      </w:r>
      <w:r w:rsidRPr="00904FCB">
        <w:rPr>
          <w:rFonts w:hint="cs"/>
          <w:rtl/>
        </w:rPr>
        <w:t>ن</w:t>
      </w:r>
      <w:r w:rsidR="008805EF" w:rsidRPr="00904FCB">
        <w:rPr>
          <w:rFonts w:hint="cs"/>
          <w:rtl/>
        </w:rPr>
        <w:t>ْ</w:t>
      </w:r>
      <w:r w:rsidRPr="00904FCB">
        <w:rPr>
          <w:rFonts w:hint="cs"/>
          <w:rtl/>
        </w:rPr>
        <w:t xml:space="preserve"> كان متمتعاً</w:t>
      </w:r>
      <w:r w:rsidR="008805EF" w:rsidRPr="00904FCB">
        <w:rPr>
          <w:rFonts w:hint="cs"/>
          <w:rtl/>
        </w:rPr>
        <w:t>،</w:t>
      </w:r>
      <w:r w:rsidRPr="00904FCB">
        <w:rPr>
          <w:rFonts w:hint="cs"/>
          <w:rtl/>
        </w:rPr>
        <w:t xml:space="preserve"> أعلاه بدنة وأدنا</w:t>
      </w:r>
      <w:r w:rsidR="008805EF" w:rsidRPr="00904FCB">
        <w:rPr>
          <w:rFonts w:hint="cs"/>
          <w:rtl/>
        </w:rPr>
        <w:t>ه</w:t>
      </w:r>
      <w:r w:rsidRPr="00904FCB">
        <w:rPr>
          <w:rFonts w:hint="cs"/>
          <w:rtl/>
        </w:rPr>
        <w:t xml:space="preserve"> شاة</w:t>
      </w:r>
      <w:r w:rsidR="008805EF" w:rsidRPr="00904FCB">
        <w:rPr>
          <w:rFonts w:hint="cs"/>
          <w:rtl/>
        </w:rPr>
        <w:t>،</w:t>
      </w:r>
      <w:r w:rsidRPr="00904FCB">
        <w:rPr>
          <w:rFonts w:hint="cs"/>
          <w:rtl/>
        </w:rPr>
        <w:t xml:space="preserve"> تستقبل بما يذبح أو ينحر من هدي متعته أو ما ساق منه إن</w:t>
      </w:r>
      <w:r w:rsidR="008805EF" w:rsidRPr="00904FCB">
        <w:rPr>
          <w:rFonts w:hint="cs"/>
          <w:rtl/>
        </w:rPr>
        <w:t>ْ</w:t>
      </w:r>
      <w:r w:rsidRPr="00904FCB">
        <w:rPr>
          <w:rFonts w:hint="cs"/>
          <w:rtl/>
        </w:rPr>
        <w:t xml:space="preserve"> كان قارناً القبلة</w:t>
      </w:r>
      <w:r w:rsidR="0009569A" w:rsidRPr="00904FCB">
        <w:rPr>
          <w:rFonts w:hint="cs"/>
          <w:rtl/>
        </w:rPr>
        <w:t>،</w:t>
      </w:r>
      <w:r w:rsidRPr="00904FCB">
        <w:rPr>
          <w:rFonts w:hint="cs"/>
          <w:rtl/>
        </w:rPr>
        <w:t xml:space="preserve"> ويقول وجهت وجهي...</w:t>
      </w:r>
      <w:r w:rsidR="0009569A" w:rsidRPr="00904FCB">
        <w:rPr>
          <w:rFonts w:hint="cs"/>
          <w:rtl/>
        </w:rPr>
        <w:t>،</w:t>
      </w:r>
      <w:r w:rsidRPr="00904FCB">
        <w:rPr>
          <w:rFonts w:hint="cs"/>
          <w:rtl/>
        </w:rPr>
        <w:t xml:space="preserve"> ثم يمرّ الشفرة ويذبح</w:t>
      </w:r>
      <w:r w:rsidR="0009569A" w:rsidRPr="00904FCB">
        <w:rPr>
          <w:rFonts w:hint="cs"/>
          <w:rtl/>
        </w:rPr>
        <w:t>،</w:t>
      </w:r>
      <w:r w:rsidRPr="00904FCB">
        <w:rPr>
          <w:rFonts w:hint="cs"/>
          <w:rtl/>
        </w:rPr>
        <w:t xml:space="preserve"> ولا ي</w:t>
      </w:r>
      <w:r w:rsidR="0009569A" w:rsidRPr="00904FCB">
        <w:rPr>
          <w:rFonts w:hint="cs"/>
          <w:rtl/>
        </w:rPr>
        <w:t>ن</w:t>
      </w:r>
      <w:r w:rsidRPr="00904FCB">
        <w:rPr>
          <w:rFonts w:hint="cs"/>
          <w:rtl/>
        </w:rPr>
        <w:t>خع...</w:t>
      </w:r>
      <w:r w:rsidR="0009569A" w:rsidRPr="00904FCB">
        <w:rPr>
          <w:rFonts w:hint="cs"/>
          <w:rtl/>
        </w:rPr>
        <w:t>،</w:t>
      </w:r>
      <w:r w:rsidRPr="00904FCB">
        <w:rPr>
          <w:rFonts w:hint="cs"/>
          <w:rtl/>
        </w:rPr>
        <w:t xml:space="preserve"> وليأكل من هديه</w:t>
      </w:r>
      <w:r w:rsidR="0009569A" w:rsidRPr="00904FCB">
        <w:rPr>
          <w:rFonts w:hint="cs"/>
          <w:rtl/>
        </w:rPr>
        <w:t>،</w:t>
      </w:r>
      <w:r w:rsidRPr="00904FCB">
        <w:rPr>
          <w:rFonts w:hint="cs"/>
          <w:rtl/>
        </w:rPr>
        <w:t xml:space="preserve"> ويطعم الباقي، ولا يعطي الجز</w:t>
      </w:r>
      <w:r w:rsidR="0009569A" w:rsidRPr="00904FCB">
        <w:rPr>
          <w:rFonts w:hint="cs"/>
          <w:rtl/>
        </w:rPr>
        <w:t>ّ</w:t>
      </w:r>
      <w:r w:rsidRPr="00904FCB">
        <w:rPr>
          <w:rFonts w:hint="cs"/>
          <w:rtl/>
        </w:rPr>
        <w:t>ار منها ولا من جلالها ولا قلائدها شيئاً</w:t>
      </w:r>
      <w:r w:rsidRPr="00904FCB">
        <w:rPr>
          <w:rFonts w:hint="cs"/>
          <w:vertAlign w:val="superscript"/>
          <w:rtl/>
        </w:rPr>
        <w:t>(</w:t>
      </w:r>
      <w:r w:rsidRPr="00904FCB">
        <w:rPr>
          <w:rStyle w:val="ac"/>
          <w:sz w:val="27"/>
          <w:rtl/>
        </w:rPr>
        <w:endnoteReference w:id="429"/>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756F2A">
        <w:rPr>
          <w:rFonts w:hint="cs"/>
          <w:b/>
          <w:bCs/>
          <w:rtl/>
        </w:rPr>
        <w:t xml:space="preserve">6ـ </w:t>
      </w:r>
      <w:r w:rsidR="0009569A" w:rsidRPr="00756F2A">
        <w:rPr>
          <w:rFonts w:hint="cs"/>
          <w:b/>
          <w:bCs/>
          <w:rtl/>
        </w:rPr>
        <w:t>و</w:t>
      </w:r>
      <w:r w:rsidRPr="00756F2A">
        <w:rPr>
          <w:rFonts w:hint="cs"/>
          <w:b/>
          <w:bCs/>
          <w:rtl/>
        </w:rPr>
        <w:t>في المهذ</w:t>
      </w:r>
      <w:r w:rsidR="0009569A" w:rsidRPr="00756F2A">
        <w:rPr>
          <w:rFonts w:hint="cs"/>
          <w:b/>
          <w:bCs/>
          <w:rtl/>
        </w:rPr>
        <w:t>َّ</w:t>
      </w:r>
      <w:r w:rsidRPr="00756F2A">
        <w:rPr>
          <w:rFonts w:hint="cs"/>
          <w:b/>
          <w:bCs/>
          <w:rtl/>
        </w:rPr>
        <w:t>ب</w:t>
      </w:r>
      <w:r w:rsidR="0009569A" w:rsidRPr="00756F2A">
        <w:rPr>
          <w:rFonts w:hint="cs"/>
          <w:b/>
          <w:bCs/>
          <w:rtl/>
        </w:rPr>
        <w:t>،</w:t>
      </w:r>
      <w:r w:rsidRPr="00756F2A">
        <w:rPr>
          <w:rFonts w:hint="cs"/>
          <w:b/>
          <w:bCs/>
          <w:rtl/>
        </w:rPr>
        <w:t xml:space="preserve"> لابن البر</w:t>
      </w:r>
      <w:r w:rsidR="0009569A" w:rsidRPr="00756F2A">
        <w:rPr>
          <w:rFonts w:hint="cs"/>
          <w:b/>
          <w:bCs/>
          <w:rtl/>
        </w:rPr>
        <w:t>ّ</w:t>
      </w:r>
      <w:r w:rsidRPr="00756F2A">
        <w:rPr>
          <w:rFonts w:hint="cs"/>
          <w:b/>
          <w:bCs/>
          <w:rtl/>
        </w:rPr>
        <w:t>اج</w:t>
      </w:r>
      <w:r w:rsidRPr="00756F2A">
        <w:rPr>
          <w:rFonts w:hint="cs"/>
          <w:rtl/>
        </w:rPr>
        <w:t>: وإذا ضل</w:t>
      </w:r>
      <w:r w:rsidR="0009569A" w:rsidRPr="00756F2A">
        <w:rPr>
          <w:rFonts w:hint="cs"/>
          <w:rtl/>
        </w:rPr>
        <w:t>ّ</w:t>
      </w:r>
      <w:r w:rsidRPr="00756F2A">
        <w:rPr>
          <w:rFonts w:hint="cs"/>
          <w:rtl/>
        </w:rPr>
        <w:t xml:space="preserve"> الهدي عن صاحبه فوجده غيره فذبحه بغير</w:t>
      </w:r>
      <w:r w:rsidRPr="00904FCB">
        <w:rPr>
          <w:rFonts w:hint="cs"/>
          <w:rtl/>
        </w:rPr>
        <w:t xml:space="preserve"> منى كان على صاحبه العوض</w:t>
      </w:r>
      <w:r w:rsidR="0009569A" w:rsidRPr="00904FCB">
        <w:rPr>
          <w:rFonts w:hint="cs"/>
          <w:rtl/>
        </w:rPr>
        <w:t>؛</w:t>
      </w:r>
      <w:r w:rsidRPr="00904FCB">
        <w:rPr>
          <w:rFonts w:hint="cs"/>
          <w:rtl/>
        </w:rPr>
        <w:t xml:space="preserve"> لأنه إنّما يجزي عنه إذا ذبحه بمنى</w:t>
      </w:r>
      <w:r w:rsidRPr="00904FCB">
        <w:rPr>
          <w:rFonts w:hint="cs"/>
          <w:vertAlign w:val="superscript"/>
          <w:rtl/>
        </w:rPr>
        <w:t>(</w:t>
      </w:r>
      <w:r w:rsidRPr="00904FCB">
        <w:rPr>
          <w:rStyle w:val="ac"/>
          <w:sz w:val="27"/>
          <w:rtl/>
        </w:rPr>
        <w:endnoteReference w:id="430"/>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كلام ابن البر</w:t>
      </w:r>
      <w:r w:rsidR="0009569A" w:rsidRPr="00904FCB">
        <w:rPr>
          <w:rFonts w:hint="cs"/>
          <w:rtl/>
        </w:rPr>
        <w:t>ّ</w:t>
      </w:r>
      <w:r w:rsidRPr="00904FCB">
        <w:rPr>
          <w:rFonts w:hint="cs"/>
          <w:rtl/>
        </w:rPr>
        <w:t>اج هو ما يفهم من رواية منصور بن حازم</w:t>
      </w:r>
      <w:r w:rsidR="0009569A" w:rsidRPr="00904FCB">
        <w:rPr>
          <w:rFonts w:hint="cs"/>
          <w:rtl/>
        </w:rPr>
        <w:t>،</w:t>
      </w:r>
      <w:r w:rsidRPr="00904FCB">
        <w:rPr>
          <w:rFonts w:hint="cs"/>
          <w:rtl/>
        </w:rPr>
        <w:t xml:space="preserve"> عن أبي عبد الله</w:t>
      </w:r>
      <w:r w:rsidR="001C1A2A" w:rsidRPr="00904FCB">
        <w:rPr>
          <w:rFonts w:cs="Mosawi" w:hint="cs"/>
          <w:szCs w:val="22"/>
          <w:rtl/>
        </w:rPr>
        <w:t>×</w:t>
      </w:r>
      <w:r w:rsidR="0009569A" w:rsidRPr="00904FCB">
        <w:rPr>
          <w:rFonts w:hint="cs"/>
          <w:rtl/>
        </w:rPr>
        <w:t>.</w:t>
      </w:r>
      <w:r w:rsidRPr="00904FCB">
        <w:rPr>
          <w:rFonts w:hint="cs"/>
          <w:rtl/>
        </w:rPr>
        <w:t xml:space="preserve"> فسوف نذكر الرواية مع توضيح</w:t>
      </w:r>
      <w:r w:rsidR="0009569A" w:rsidRPr="00904FCB">
        <w:rPr>
          <w:rFonts w:hint="cs"/>
          <w:rtl/>
        </w:rPr>
        <w:t>ٍ</w:t>
      </w:r>
      <w:r w:rsidRPr="00904FCB">
        <w:rPr>
          <w:rFonts w:hint="cs"/>
          <w:rtl/>
        </w:rPr>
        <w:t xml:space="preserve"> منّا. ولا ي</w:t>
      </w:r>
      <w:r w:rsidR="0009569A" w:rsidRPr="00904FCB">
        <w:rPr>
          <w:rFonts w:hint="cs"/>
          <w:rtl/>
        </w:rPr>
        <w:t>ُ</w:t>
      </w:r>
      <w:r w:rsidRPr="00904FCB">
        <w:rPr>
          <w:rFonts w:hint="cs"/>
          <w:rtl/>
        </w:rPr>
        <w:t>عط</w:t>
      </w:r>
      <w:r w:rsidR="0009569A" w:rsidRPr="00904FCB">
        <w:rPr>
          <w:rFonts w:hint="cs"/>
          <w:rtl/>
        </w:rPr>
        <w:t>ي</w:t>
      </w:r>
      <w:r w:rsidRPr="00904FCB">
        <w:rPr>
          <w:rFonts w:hint="cs"/>
          <w:rtl/>
        </w:rPr>
        <w:t xml:space="preserve"> شيئاً أكثر مم</w:t>
      </w:r>
      <w:r w:rsidR="0009569A" w:rsidRPr="00904FCB">
        <w:rPr>
          <w:rFonts w:hint="cs"/>
          <w:rtl/>
        </w:rPr>
        <w:t>ّ</w:t>
      </w:r>
      <w:r w:rsidRPr="00904FCB">
        <w:rPr>
          <w:rFonts w:hint="cs"/>
          <w:rtl/>
        </w:rPr>
        <w:t>ا في إشارة السبق</w:t>
      </w:r>
      <w:r w:rsidR="0009569A" w:rsidRPr="00904FCB">
        <w:rPr>
          <w:rFonts w:hint="cs"/>
          <w:rtl/>
        </w:rPr>
        <w:t>،</w:t>
      </w:r>
      <w:r w:rsidRPr="00904FCB">
        <w:rPr>
          <w:rFonts w:hint="cs"/>
          <w:rtl/>
        </w:rPr>
        <w:t xml:space="preserve"> وسوف يأتي كلام</w:t>
      </w:r>
      <w:r w:rsidR="0009569A" w:rsidRPr="00904FCB">
        <w:rPr>
          <w:rFonts w:hint="cs"/>
          <w:rtl/>
        </w:rPr>
        <w:t>ٌ</w:t>
      </w:r>
      <w:r w:rsidRPr="00904FCB">
        <w:rPr>
          <w:rFonts w:hint="cs"/>
          <w:rtl/>
        </w:rPr>
        <w:t xml:space="preserve"> حوله</w:t>
      </w:r>
      <w:r w:rsidR="0009569A" w:rsidRPr="00904FCB">
        <w:rPr>
          <w:rFonts w:hint="cs"/>
          <w:rtl/>
        </w:rPr>
        <w:t xml:space="preserve">، </w:t>
      </w:r>
      <w:r w:rsidRPr="00904FCB">
        <w:rPr>
          <w:rFonts w:hint="cs"/>
          <w:rtl/>
        </w:rPr>
        <w:t>وحول ما قال الشيخ في النهاية</w:t>
      </w:r>
      <w:r w:rsidR="0009569A" w:rsidRPr="00904FCB">
        <w:rPr>
          <w:rFonts w:hint="cs"/>
          <w:rtl/>
        </w:rPr>
        <w:t>،</w:t>
      </w:r>
      <w:r w:rsidRPr="00904FCB">
        <w:rPr>
          <w:rFonts w:hint="cs"/>
          <w:rtl/>
        </w:rPr>
        <w:t xml:space="preserve"> فانتظر. </w:t>
      </w:r>
    </w:p>
    <w:p w:rsidR="005B6CEC" w:rsidRPr="00904FCB" w:rsidRDefault="005B6CEC" w:rsidP="007A21AA">
      <w:pPr>
        <w:spacing w:line="400" w:lineRule="exact"/>
        <w:rPr>
          <w:rtl/>
        </w:rPr>
      </w:pPr>
      <w:r w:rsidRPr="00756F2A">
        <w:rPr>
          <w:rFonts w:hint="cs"/>
          <w:b/>
          <w:bCs/>
          <w:rtl/>
        </w:rPr>
        <w:t xml:space="preserve">7ـ </w:t>
      </w:r>
      <w:r w:rsidR="0009569A" w:rsidRPr="00756F2A">
        <w:rPr>
          <w:rFonts w:hint="cs"/>
          <w:b/>
          <w:bCs/>
          <w:rtl/>
        </w:rPr>
        <w:t>و</w:t>
      </w:r>
      <w:r w:rsidRPr="00756F2A">
        <w:rPr>
          <w:rFonts w:hint="cs"/>
          <w:b/>
          <w:bCs/>
          <w:rtl/>
        </w:rPr>
        <w:t>في الانتصار</w:t>
      </w:r>
      <w:r w:rsidRPr="00756F2A">
        <w:rPr>
          <w:rFonts w:hint="cs"/>
          <w:rtl/>
        </w:rPr>
        <w:t xml:space="preserve"> لم يذكر هذه المسألة</w:t>
      </w:r>
      <w:r w:rsidR="0009569A" w:rsidRPr="00756F2A">
        <w:rPr>
          <w:rFonts w:hint="cs"/>
          <w:rtl/>
        </w:rPr>
        <w:t>،</w:t>
      </w:r>
      <w:r w:rsidRPr="00756F2A">
        <w:rPr>
          <w:rFonts w:hint="cs"/>
          <w:rtl/>
        </w:rPr>
        <w:t xml:space="preserve"> مع أن الانتصار دو</w:t>
      </w:r>
      <w:r w:rsidR="0009569A" w:rsidRPr="00756F2A">
        <w:rPr>
          <w:rFonts w:hint="cs"/>
          <w:rtl/>
        </w:rPr>
        <w:t>ِّ</w:t>
      </w:r>
      <w:r w:rsidRPr="00756F2A">
        <w:rPr>
          <w:rFonts w:hint="cs"/>
          <w:rtl/>
        </w:rPr>
        <w:t>ن لذكر منفردات</w:t>
      </w:r>
      <w:r w:rsidRPr="00904FCB">
        <w:rPr>
          <w:rFonts w:hint="cs"/>
          <w:rtl/>
        </w:rPr>
        <w:t xml:space="preserve"> ال</w:t>
      </w:r>
      <w:r w:rsidR="0009569A" w:rsidRPr="00904FCB">
        <w:rPr>
          <w:rFonts w:hint="cs"/>
          <w:rtl/>
        </w:rPr>
        <w:t>إ</w:t>
      </w:r>
      <w:r w:rsidRPr="00904FCB">
        <w:rPr>
          <w:rFonts w:hint="cs"/>
          <w:rtl/>
        </w:rPr>
        <w:t>م</w:t>
      </w:r>
      <w:r w:rsidR="0009569A" w:rsidRPr="00904FCB">
        <w:rPr>
          <w:rFonts w:hint="cs"/>
          <w:rtl/>
        </w:rPr>
        <w:t>ام</w:t>
      </w:r>
      <w:r w:rsidRPr="00904FCB">
        <w:rPr>
          <w:rFonts w:hint="cs"/>
          <w:rtl/>
        </w:rPr>
        <w:t>ي</w:t>
      </w:r>
      <w:r w:rsidR="0009569A" w:rsidRPr="00904FCB">
        <w:rPr>
          <w:rFonts w:hint="cs"/>
          <w:rtl/>
        </w:rPr>
        <w:t>ّ</w:t>
      </w:r>
      <w:r w:rsidRPr="00904FCB">
        <w:rPr>
          <w:rFonts w:hint="cs"/>
          <w:rtl/>
        </w:rPr>
        <w:t>ة، فعدم ذكر هذه المسألة مع أن الذبح في منى مستحب</w:t>
      </w:r>
      <w:r w:rsidR="0009569A" w:rsidRPr="00904FCB">
        <w:rPr>
          <w:rFonts w:hint="cs"/>
          <w:rtl/>
        </w:rPr>
        <w:t>ّ</w:t>
      </w:r>
      <w:r w:rsidRPr="00904FCB">
        <w:rPr>
          <w:rFonts w:hint="cs"/>
          <w:rtl/>
        </w:rPr>
        <w:t xml:space="preserve"> عند جميع العام</w:t>
      </w:r>
      <w:r w:rsidR="0009569A" w:rsidRPr="00904FCB">
        <w:rPr>
          <w:rFonts w:hint="cs"/>
          <w:rtl/>
        </w:rPr>
        <w:t>ّ</w:t>
      </w:r>
      <w:r w:rsidRPr="00904FCB">
        <w:rPr>
          <w:rFonts w:hint="cs"/>
          <w:rtl/>
        </w:rPr>
        <w:t xml:space="preserve">ة يدلّ على عدم وجوب الذبح بمنى عندنا أيضاً. </w:t>
      </w:r>
    </w:p>
    <w:p w:rsidR="005B6CEC" w:rsidRPr="00904FCB" w:rsidRDefault="005B6CEC" w:rsidP="007A21AA">
      <w:pPr>
        <w:spacing w:line="400" w:lineRule="exact"/>
        <w:rPr>
          <w:rtl/>
        </w:rPr>
      </w:pPr>
      <w:r w:rsidRPr="00904FCB">
        <w:rPr>
          <w:rFonts w:hint="cs"/>
          <w:b/>
          <w:bCs/>
          <w:rtl/>
        </w:rPr>
        <w:t>فننقل أقوال فقهاء السنّة</w:t>
      </w:r>
      <w:r w:rsidRPr="00904FCB">
        <w:rPr>
          <w:rFonts w:hint="cs"/>
          <w:rtl/>
        </w:rPr>
        <w:t xml:space="preserve"> قبل نقل سائر الأقوال من فقهائنا. </w:t>
      </w:r>
    </w:p>
    <w:p w:rsidR="005B6CEC" w:rsidRPr="00756F2A" w:rsidRDefault="005B6CEC" w:rsidP="007A21AA">
      <w:pPr>
        <w:spacing w:line="400" w:lineRule="exact"/>
        <w:rPr>
          <w:rtl/>
        </w:rPr>
      </w:pPr>
      <w:r w:rsidRPr="00756F2A">
        <w:rPr>
          <w:rFonts w:hint="cs"/>
          <w:rtl/>
        </w:rPr>
        <w:t>8ـ وفي وقت ذبح الهدي ومكانه تفصيل</w:t>
      </w:r>
      <w:r w:rsidR="008C416D" w:rsidRPr="00756F2A">
        <w:rPr>
          <w:rFonts w:hint="cs"/>
          <w:rtl/>
        </w:rPr>
        <w:t>ٌ</w:t>
      </w:r>
      <w:r w:rsidRPr="00756F2A">
        <w:rPr>
          <w:rFonts w:hint="cs"/>
          <w:rtl/>
        </w:rPr>
        <w:t xml:space="preserve"> في المذاهب</w:t>
      </w:r>
      <w:r w:rsidR="008C416D" w:rsidRPr="00756F2A">
        <w:rPr>
          <w:rFonts w:hint="cs"/>
          <w:rtl/>
        </w:rPr>
        <w:t>:</w:t>
      </w:r>
      <w:r w:rsidRPr="00756F2A">
        <w:rPr>
          <w:rFonts w:hint="cs"/>
          <w:rtl/>
        </w:rPr>
        <w:t xml:space="preserve"> </w:t>
      </w:r>
    </w:p>
    <w:p w:rsidR="005B6CEC" w:rsidRPr="00904FCB" w:rsidRDefault="005B6CEC" w:rsidP="007A21AA">
      <w:pPr>
        <w:spacing w:line="400" w:lineRule="exact"/>
        <w:rPr>
          <w:rtl/>
        </w:rPr>
      </w:pPr>
      <w:r w:rsidRPr="00904FCB">
        <w:rPr>
          <w:rFonts w:hint="cs"/>
          <w:b/>
          <w:bCs/>
          <w:rtl/>
        </w:rPr>
        <w:t>أـ الحنابلة</w:t>
      </w:r>
      <w:r w:rsidRPr="00904FCB">
        <w:rPr>
          <w:rFonts w:hint="cs"/>
          <w:rtl/>
        </w:rPr>
        <w:t xml:space="preserve"> قالوا</w:t>
      </w:r>
      <w:r w:rsidR="008C416D" w:rsidRPr="00904FCB">
        <w:rPr>
          <w:rFonts w:hint="cs"/>
          <w:rtl/>
        </w:rPr>
        <w:t xml:space="preserve">: </w:t>
      </w:r>
      <w:r w:rsidRPr="00904FCB">
        <w:rPr>
          <w:rFonts w:hint="cs"/>
          <w:rtl/>
        </w:rPr>
        <w:t>...وأم</w:t>
      </w:r>
      <w:r w:rsidR="008C416D" w:rsidRPr="00904FCB">
        <w:rPr>
          <w:rFonts w:hint="cs"/>
          <w:rtl/>
        </w:rPr>
        <w:t>ّ</w:t>
      </w:r>
      <w:r w:rsidRPr="00904FCB">
        <w:rPr>
          <w:rFonts w:hint="cs"/>
          <w:rtl/>
        </w:rPr>
        <w:t>ا مكان ذبحه فهو الح</w:t>
      </w:r>
      <w:r w:rsidR="008C416D" w:rsidRPr="00904FCB">
        <w:rPr>
          <w:rFonts w:hint="cs"/>
          <w:rtl/>
        </w:rPr>
        <w:t>َ</w:t>
      </w:r>
      <w:r w:rsidRPr="00904FCB">
        <w:rPr>
          <w:rFonts w:hint="cs"/>
          <w:rtl/>
        </w:rPr>
        <w:t>ر</w:t>
      </w:r>
      <w:r w:rsidR="008C416D" w:rsidRPr="00904FCB">
        <w:rPr>
          <w:rFonts w:hint="cs"/>
          <w:rtl/>
        </w:rPr>
        <w:t>َ</w:t>
      </w:r>
      <w:r w:rsidRPr="00904FCB">
        <w:rPr>
          <w:rFonts w:hint="cs"/>
          <w:rtl/>
        </w:rPr>
        <w:t>م، فيجزي نحره في أي</w:t>
      </w:r>
      <w:r w:rsidR="008C416D" w:rsidRPr="00904FCB">
        <w:rPr>
          <w:rFonts w:hint="cs"/>
          <w:rtl/>
        </w:rPr>
        <w:t>ّ</w:t>
      </w:r>
      <w:r w:rsidRPr="00904FCB">
        <w:rPr>
          <w:rFonts w:hint="cs"/>
          <w:rtl/>
        </w:rPr>
        <w:t xml:space="preserve"> ناحية منه، إلاّ أن الأفضل للمعتمر أن ينحره عند المروة</w:t>
      </w:r>
      <w:r w:rsidR="008C416D" w:rsidRPr="00904FCB">
        <w:rPr>
          <w:rFonts w:hint="cs"/>
          <w:rtl/>
        </w:rPr>
        <w:t>،</w:t>
      </w:r>
      <w:r w:rsidRPr="00904FCB">
        <w:rPr>
          <w:rFonts w:hint="cs"/>
          <w:rtl/>
        </w:rPr>
        <w:t xml:space="preserve"> وللحاج أن ينحره بمنى، فإن</w:t>
      </w:r>
      <w:r w:rsidR="008C416D" w:rsidRPr="00904FCB">
        <w:rPr>
          <w:rFonts w:hint="cs"/>
          <w:rtl/>
        </w:rPr>
        <w:t>ْ</w:t>
      </w:r>
      <w:r w:rsidRPr="00904FCB">
        <w:rPr>
          <w:rFonts w:hint="cs"/>
          <w:rtl/>
        </w:rPr>
        <w:t xml:space="preserve"> نحره </w:t>
      </w:r>
      <w:r w:rsidRPr="00904FCB">
        <w:rPr>
          <w:rFonts w:hint="cs"/>
          <w:rtl/>
        </w:rPr>
        <w:lastRenderedPageBreak/>
        <w:t>في غير الحرم فلا يجزئ إلا</w:t>
      </w:r>
      <w:r w:rsidR="008C416D" w:rsidRPr="00904FCB">
        <w:rPr>
          <w:rFonts w:hint="cs"/>
          <w:rtl/>
        </w:rPr>
        <w:t>ّ</w:t>
      </w:r>
      <w:r w:rsidRPr="00904FCB">
        <w:rPr>
          <w:rFonts w:hint="cs"/>
          <w:rtl/>
        </w:rPr>
        <w:t xml:space="preserve"> إذا عطب قبل الوصول</w:t>
      </w:r>
      <w:r w:rsidR="008C416D" w:rsidRPr="00904FCB">
        <w:rPr>
          <w:rFonts w:hint="cs"/>
          <w:rtl/>
        </w:rPr>
        <w:t>،</w:t>
      </w:r>
      <w:r w:rsidRPr="00904FCB">
        <w:rPr>
          <w:rFonts w:hint="cs"/>
          <w:rtl/>
        </w:rPr>
        <w:t xml:space="preserve"> فينحره في مكان عطبه. </w:t>
      </w:r>
    </w:p>
    <w:p w:rsidR="005B6CEC" w:rsidRPr="00904FCB" w:rsidRDefault="005B6CEC" w:rsidP="007A21AA">
      <w:pPr>
        <w:spacing w:line="400" w:lineRule="exact"/>
        <w:rPr>
          <w:rtl/>
        </w:rPr>
      </w:pPr>
      <w:r w:rsidRPr="00904FCB">
        <w:rPr>
          <w:rFonts w:hint="cs"/>
          <w:b/>
          <w:bCs/>
          <w:rtl/>
        </w:rPr>
        <w:t>ب ـ الحنفية</w:t>
      </w:r>
      <w:r w:rsidRPr="00904FCB">
        <w:rPr>
          <w:rFonts w:hint="cs"/>
          <w:rtl/>
        </w:rPr>
        <w:t xml:space="preserve"> قالوا</w:t>
      </w:r>
      <w:r w:rsidR="008C416D" w:rsidRPr="00904FCB">
        <w:rPr>
          <w:rFonts w:hint="cs"/>
          <w:rtl/>
        </w:rPr>
        <w:t xml:space="preserve">: </w:t>
      </w:r>
      <w:r w:rsidRPr="00904FCB">
        <w:rPr>
          <w:rFonts w:hint="cs"/>
          <w:rtl/>
        </w:rPr>
        <w:t>...وأمّا مكان ذبح الهدي مطلقاً فهو الح</w:t>
      </w:r>
      <w:r w:rsidR="008C416D" w:rsidRPr="00904FCB">
        <w:rPr>
          <w:rFonts w:hint="cs"/>
          <w:rtl/>
        </w:rPr>
        <w:t>َ</w:t>
      </w:r>
      <w:r w:rsidRPr="00904FCB">
        <w:rPr>
          <w:rFonts w:hint="cs"/>
          <w:rtl/>
        </w:rPr>
        <w:t>ر</w:t>
      </w:r>
      <w:r w:rsidR="008C416D" w:rsidRPr="00904FCB">
        <w:rPr>
          <w:rFonts w:hint="cs"/>
          <w:rtl/>
        </w:rPr>
        <w:t>َ</w:t>
      </w:r>
      <w:r w:rsidRPr="00904FCB">
        <w:rPr>
          <w:rFonts w:hint="cs"/>
          <w:rtl/>
        </w:rPr>
        <w:t>م</w:t>
      </w:r>
      <w:r w:rsidR="008C416D" w:rsidRPr="00904FCB">
        <w:rPr>
          <w:rFonts w:hint="cs"/>
          <w:rtl/>
        </w:rPr>
        <w:t>،</w:t>
      </w:r>
      <w:r w:rsidRPr="00904FCB">
        <w:rPr>
          <w:rFonts w:hint="cs"/>
          <w:rtl/>
        </w:rPr>
        <w:t xml:space="preserve"> ويسنّ ذبحه بمنى إن</w:t>
      </w:r>
      <w:r w:rsidR="008C416D" w:rsidRPr="00904FCB">
        <w:rPr>
          <w:rFonts w:hint="cs"/>
          <w:rtl/>
        </w:rPr>
        <w:t>ْ</w:t>
      </w:r>
      <w:r w:rsidRPr="00904FCB">
        <w:rPr>
          <w:rFonts w:hint="cs"/>
          <w:rtl/>
        </w:rPr>
        <w:t xml:space="preserve"> كان الذبح في أيام النحر</w:t>
      </w:r>
      <w:r w:rsidR="008C416D" w:rsidRPr="00904FCB">
        <w:rPr>
          <w:rFonts w:hint="cs"/>
          <w:rtl/>
        </w:rPr>
        <w:t>،</w:t>
      </w:r>
      <w:r w:rsidRPr="00904FCB">
        <w:rPr>
          <w:rFonts w:hint="cs"/>
          <w:rtl/>
        </w:rPr>
        <w:t xml:space="preserve"> وإن</w:t>
      </w:r>
      <w:r w:rsidR="008C416D" w:rsidRPr="00904FCB">
        <w:rPr>
          <w:rFonts w:hint="cs"/>
          <w:rtl/>
        </w:rPr>
        <w:t>ْ</w:t>
      </w:r>
      <w:r w:rsidRPr="00904FCB">
        <w:rPr>
          <w:rFonts w:hint="cs"/>
          <w:rtl/>
        </w:rPr>
        <w:t xml:space="preserve"> كان في غيرها فمكّة أفضل. </w:t>
      </w:r>
    </w:p>
    <w:p w:rsidR="005B6CEC" w:rsidRPr="00904FCB" w:rsidRDefault="005B6CEC" w:rsidP="007A21AA">
      <w:pPr>
        <w:spacing w:line="400" w:lineRule="exact"/>
        <w:rPr>
          <w:rtl/>
        </w:rPr>
      </w:pPr>
      <w:r w:rsidRPr="00904FCB">
        <w:rPr>
          <w:rFonts w:hint="cs"/>
          <w:b/>
          <w:bCs/>
          <w:rtl/>
        </w:rPr>
        <w:t>ج ـ الشافعية</w:t>
      </w:r>
      <w:r w:rsidRPr="00904FCB">
        <w:rPr>
          <w:rFonts w:hint="cs"/>
          <w:rtl/>
        </w:rPr>
        <w:t xml:space="preserve"> قالوا: ...وأمّا مكان ذبحه فهو الح</w:t>
      </w:r>
      <w:r w:rsidR="008C416D" w:rsidRPr="00904FCB">
        <w:rPr>
          <w:rFonts w:hint="cs"/>
          <w:rtl/>
        </w:rPr>
        <w:t>َ</w:t>
      </w:r>
      <w:r w:rsidRPr="00904FCB">
        <w:rPr>
          <w:rFonts w:hint="cs"/>
          <w:rtl/>
        </w:rPr>
        <w:t>ر</w:t>
      </w:r>
      <w:r w:rsidR="008C416D" w:rsidRPr="00904FCB">
        <w:rPr>
          <w:rFonts w:hint="cs"/>
          <w:rtl/>
        </w:rPr>
        <w:t>َ</w:t>
      </w:r>
      <w:r w:rsidRPr="00904FCB">
        <w:rPr>
          <w:rFonts w:hint="cs"/>
          <w:rtl/>
        </w:rPr>
        <w:t>م، فلا يجوز ذبحه بغيره</w:t>
      </w:r>
      <w:r w:rsidR="008C416D" w:rsidRPr="00904FCB">
        <w:rPr>
          <w:rFonts w:hint="cs"/>
          <w:rtl/>
        </w:rPr>
        <w:t>،</w:t>
      </w:r>
      <w:r w:rsidRPr="00904FCB">
        <w:rPr>
          <w:rFonts w:hint="cs"/>
          <w:rtl/>
        </w:rPr>
        <w:t xml:space="preserve"> فحيث نحر الهدي أجز</w:t>
      </w:r>
      <w:r w:rsidR="008C416D" w:rsidRPr="00904FCB">
        <w:rPr>
          <w:rFonts w:hint="cs"/>
          <w:rtl/>
        </w:rPr>
        <w:t>أ</w:t>
      </w:r>
      <w:r w:rsidRPr="00904FCB">
        <w:rPr>
          <w:rFonts w:hint="cs"/>
          <w:rtl/>
        </w:rPr>
        <w:t>ه</w:t>
      </w:r>
      <w:r w:rsidR="008C416D" w:rsidRPr="00904FCB">
        <w:rPr>
          <w:rFonts w:hint="cs"/>
          <w:rtl/>
        </w:rPr>
        <w:t>،</w:t>
      </w:r>
      <w:r w:rsidRPr="00904FCB">
        <w:rPr>
          <w:rFonts w:hint="cs"/>
          <w:rtl/>
        </w:rPr>
        <w:t xml:space="preserve"> في أي</w:t>
      </w:r>
      <w:r w:rsidR="008C416D" w:rsidRPr="00904FCB">
        <w:rPr>
          <w:rFonts w:hint="cs"/>
          <w:rtl/>
        </w:rPr>
        <w:t>ِّ</w:t>
      </w:r>
      <w:r w:rsidRPr="00904FCB">
        <w:rPr>
          <w:rFonts w:hint="cs"/>
          <w:rtl/>
        </w:rPr>
        <w:t xml:space="preserve"> جزء</w:t>
      </w:r>
      <w:r w:rsidR="008C416D" w:rsidRPr="00904FCB">
        <w:rPr>
          <w:rFonts w:hint="cs"/>
          <w:rtl/>
        </w:rPr>
        <w:t>ٍ</w:t>
      </w:r>
      <w:r w:rsidRPr="00904FCB">
        <w:rPr>
          <w:rFonts w:hint="cs"/>
          <w:rtl/>
        </w:rPr>
        <w:t xml:space="preserve"> من أجزاء الح</w:t>
      </w:r>
      <w:r w:rsidR="008C416D" w:rsidRPr="00904FCB">
        <w:rPr>
          <w:rFonts w:hint="cs"/>
          <w:rtl/>
        </w:rPr>
        <w:t>َ</w:t>
      </w:r>
      <w:r w:rsidRPr="00904FCB">
        <w:rPr>
          <w:rFonts w:hint="cs"/>
          <w:rtl/>
        </w:rPr>
        <w:t>ر</w:t>
      </w:r>
      <w:r w:rsidR="008C416D" w:rsidRPr="00904FCB">
        <w:rPr>
          <w:rFonts w:hint="cs"/>
          <w:rtl/>
        </w:rPr>
        <w:t>َ</w:t>
      </w:r>
      <w:r w:rsidRPr="00904FCB">
        <w:rPr>
          <w:rFonts w:hint="cs"/>
          <w:rtl/>
        </w:rPr>
        <w:t>م</w:t>
      </w:r>
      <w:r w:rsidR="008C416D" w:rsidRPr="00904FCB">
        <w:rPr>
          <w:rFonts w:hint="cs"/>
          <w:rtl/>
        </w:rPr>
        <w:t>،</w:t>
      </w:r>
      <w:r w:rsidRPr="00904FCB">
        <w:rPr>
          <w:rFonts w:hint="cs"/>
          <w:rtl/>
        </w:rPr>
        <w:t xml:space="preserve"> إلاّ أن السن</w:t>
      </w:r>
      <w:r w:rsidR="008C416D" w:rsidRPr="00904FCB">
        <w:rPr>
          <w:rFonts w:hint="cs"/>
          <w:rtl/>
        </w:rPr>
        <w:t>ّ</w:t>
      </w:r>
      <w:r w:rsidRPr="00904FCB">
        <w:rPr>
          <w:rFonts w:hint="cs"/>
          <w:rtl/>
        </w:rPr>
        <w:t>ة للمعتمر أن ينحره بمكّة</w:t>
      </w:r>
      <w:r w:rsidR="008C416D" w:rsidRPr="00904FCB">
        <w:rPr>
          <w:rFonts w:hint="cs"/>
          <w:rtl/>
        </w:rPr>
        <w:t>؛</w:t>
      </w:r>
      <w:r w:rsidRPr="00904FCB">
        <w:rPr>
          <w:rFonts w:hint="cs"/>
          <w:rtl/>
        </w:rPr>
        <w:t xml:space="preserve"> لأنّها موضع تحلّ</w:t>
      </w:r>
      <w:r w:rsidR="008C416D" w:rsidRPr="00904FCB">
        <w:rPr>
          <w:rFonts w:hint="cs"/>
          <w:rtl/>
        </w:rPr>
        <w:t>ُ</w:t>
      </w:r>
      <w:r w:rsidRPr="00904FCB">
        <w:rPr>
          <w:rFonts w:hint="cs"/>
          <w:rtl/>
        </w:rPr>
        <w:t>له...</w:t>
      </w:r>
      <w:r w:rsidR="008C416D" w:rsidRPr="00904FCB">
        <w:rPr>
          <w:rFonts w:hint="cs"/>
          <w:rtl/>
        </w:rPr>
        <w:t>،</w:t>
      </w:r>
      <w:r w:rsidRPr="00904FCB">
        <w:rPr>
          <w:rFonts w:hint="cs"/>
          <w:rtl/>
        </w:rPr>
        <w:t xml:space="preserve"> والسنّة للحاج أن ينحره بمنى</w:t>
      </w:r>
      <w:r w:rsidR="008C416D" w:rsidRPr="00904FCB">
        <w:rPr>
          <w:rFonts w:hint="cs"/>
          <w:rtl/>
        </w:rPr>
        <w:t>؛</w:t>
      </w:r>
      <w:r w:rsidRPr="00904FCB">
        <w:rPr>
          <w:rFonts w:hint="cs"/>
          <w:rtl/>
        </w:rPr>
        <w:t xml:space="preserve"> ل</w:t>
      </w:r>
      <w:r w:rsidR="008C416D" w:rsidRPr="00904FCB">
        <w:rPr>
          <w:rFonts w:hint="cs"/>
          <w:rtl/>
        </w:rPr>
        <w:t>أ</w:t>
      </w:r>
      <w:r w:rsidRPr="00904FCB">
        <w:rPr>
          <w:rFonts w:hint="cs"/>
          <w:rtl/>
        </w:rPr>
        <w:t>نّها موضع تحل</w:t>
      </w:r>
      <w:r w:rsidR="008C416D" w:rsidRPr="00904FCB">
        <w:rPr>
          <w:rFonts w:hint="cs"/>
          <w:rtl/>
        </w:rPr>
        <w:t>ُّ</w:t>
      </w:r>
      <w:r w:rsidRPr="00904FCB">
        <w:rPr>
          <w:rFonts w:hint="cs"/>
          <w:rtl/>
        </w:rPr>
        <w:t xml:space="preserve">ل الحاج. </w:t>
      </w:r>
    </w:p>
    <w:p w:rsidR="005B6CEC" w:rsidRPr="00904FCB" w:rsidRDefault="005B6CEC" w:rsidP="007A21AA">
      <w:pPr>
        <w:spacing w:line="400" w:lineRule="exact"/>
        <w:rPr>
          <w:rtl/>
        </w:rPr>
      </w:pPr>
      <w:r w:rsidRPr="00904FCB">
        <w:rPr>
          <w:rFonts w:hint="cs"/>
          <w:b/>
          <w:bCs/>
          <w:rtl/>
        </w:rPr>
        <w:t>د ـ المالكية</w:t>
      </w:r>
      <w:r w:rsidRPr="00904FCB">
        <w:rPr>
          <w:rFonts w:hint="cs"/>
          <w:rtl/>
        </w:rPr>
        <w:t xml:space="preserve"> قالوا ما ملخّ</w:t>
      </w:r>
      <w:r w:rsidR="008C416D" w:rsidRPr="00904FCB">
        <w:rPr>
          <w:rFonts w:hint="cs"/>
          <w:rtl/>
        </w:rPr>
        <w:t>َ</w:t>
      </w:r>
      <w:r w:rsidRPr="00904FCB">
        <w:rPr>
          <w:rFonts w:hint="cs"/>
          <w:rtl/>
        </w:rPr>
        <w:t>صه</w:t>
      </w:r>
      <w:r w:rsidR="008C416D" w:rsidRPr="00904FCB">
        <w:rPr>
          <w:rFonts w:hint="cs"/>
          <w:rtl/>
        </w:rPr>
        <w:t>:</w:t>
      </w:r>
      <w:r w:rsidRPr="00904FCB">
        <w:rPr>
          <w:rFonts w:hint="cs"/>
          <w:rtl/>
        </w:rPr>
        <w:t xml:space="preserve"> وأمّا مكان ذبحه فهو منى</w:t>
      </w:r>
      <w:r w:rsidR="008C416D" w:rsidRPr="00904FCB">
        <w:rPr>
          <w:rFonts w:hint="cs"/>
          <w:rtl/>
        </w:rPr>
        <w:t>،</w:t>
      </w:r>
      <w:r w:rsidRPr="00904FCB">
        <w:rPr>
          <w:rFonts w:hint="cs"/>
          <w:rtl/>
        </w:rPr>
        <w:t xml:space="preserve"> بشروط ثلاثة</w:t>
      </w:r>
      <w:r w:rsidR="008C416D" w:rsidRPr="00904FCB">
        <w:rPr>
          <w:rFonts w:hint="cs"/>
          <w:rtl/>
        </w:rPr>
        <w:t>:</w:t>
      </w:r>
      <w:r w:rsidRPr="00904FCB">
        <w:rPr>
          <w:rFonts w:hint="cs"/>
          <w:rtl/>
        </w:rPr>
        <w:t xml:space="preserve"> </w:t>
      </w:r>
      <w:r w:rsidRPr="00904FCB">
        <w:rPr>
          <w:rFonts w:hint="cs"/>
          <w:b/>
          <w:bCs/>
          <w:rtl/>
        </w:rPr>
        <w:t>الأو</w:t>
      </w:r>
      <w:r w:rsidR="008C416D" w:rsidRPr="00904FCB">
        <w:rPr>
          <w:rFonts w:hint="cs"/>
          <w:b/>
          <w:bCs/>
          <w:rtl/>
        </w:rPr>
        <w:t>ّ</w:t>
      </w:r>
      <w:r w:rsidRPr="00904FCB">
        <w:rPr>
          <w:rFonts w:hint="cs"/>
          <w:b/>
          <w:bCs/>
          <w:rtl/>
        </w:rPr>
        <w:t>ل</w:t>
      </w:r>
      <w:r w:rsidR="008C416D" w:rsidRPr="00904FCB">
        <w:rPr>
          <w:rFonts w:hint="cs"/>
          <w:rtl/>
        </w:rPr>
        <w:t>:</w:t>
      </w:r>
      <w:r w:rsidRPr="00904FCB">
        <w:rPr>
          <w:rFonts w:hint="cs"/>
          <w:rtl/>
        </w:rPr>
        <w:t xml:space="preserve"> أن يكون مسوقاً في إحرام الحج</w:t>
      </w:r>
      <w:r w:rsidR="008C416D" w:rsidRPr="00904FCB">
        <w:rPr>
          <w:rFonts w:hint="cs"/>
          <w:rtl/>
        </w:rPr>
        <w:t>؛</w:t>
      </w:r>
      <w:r w:rsidRPr="00904FCB">
        <w:rPr>
          <w:rFonts w:hint="cs"/>
          <w:rtl/>
        </w:rPr>
        <w:t xml:space="preserve"> </w:t>
      </w:r>
      <w:r w:rsidRPr="00904FCB">
        <w:rPr>
          <w:rFonts w:hint="cs"/>
          <w:b/>
          <w:bCs/>
          <w:rtl/>
        </w:rPr>
        <w:t>الثاني</w:t>
      </w:r>
      <w:r w:rsidR="008C416D" w:rsidRPr="00904FCB">
        <w:rPr>
          <w:rFonts w:hint="cs"/>
          <w:rtl/>
        </w:rPr>
        <w:t>:</w:t>
      </w:r>
      <w:r w:rsidRPr="00904FCB">
        <w:rPr>
          <w:rFonts w:hint="cs"/>
          <w:rtl/>
        </w:rPr>
        <w:t xml:space="preserve"> أن يقف بالهدي بعرفة جزء</w:t>
      </w:r>
      <w:r w:rsidR="008C416D" w:rsidRPr="00904FCB">
        <w:rPr>
          <w:rFonts w:hint="cs"/>
          <w:rtl/>
        </w:rPr>
        <w:t>اً</w:t>
      </w:r>
      <w:r w:rsidRPr="00904FCB">
        <w:rPr>
          <w:rFonts w:hint="cs"/>
          <w:rtl/>
        </w:rPr>
        <w:t xml:space="preserve"> من ليلة يوم النحر</w:t>
      </w:r>
      <w:r w:rsidR="008C416D" w:rsidRPr="00904FCB">
        <w:rPr>
          <w:rFonts w:hint="cs"/>
          <w:rtl/>
        </w:rPr>
        <w:t>؛</w:t>
      </w:r>
      <w:r w:rsidRPr="00904FCB">
        <w:rPr>
          <w:rFonts w:hint="cs"/>
          <w:rtl/>
        </w:rPr>
        <w:t xml:space="preserve"> </w:t>
      </w:r>
      <w:r w:rsidRPr="00904FCB">
        <w:rPr>
          <w:rFonts w:hint="cs"/>
          <w:b/>
          <w:bCs/>
          <w:rtl/>
        </w:rPr>
        <w:t>الثالث</w:t>
      </w:r>
      <w:r w:rsidR="008C416D" w:rsidRPr="00904FCB">
        <w:rPr>
          <w:rFonts w:hint="cs"/>
          <w:rtl/>
        </w:rPr>
        <w:t>:</w:t>
      </w:r>
      <w:r w:rsidRPr="00904FCB">
        <w:rPr>
          <w:rFonts w:hint="cs"/>
          <w:rtl/>
        </w:rPr>
        <w:t xml:space="preserve"> أن يريد نحره في يوم من الأيام الثلاثة السابقة</w:t>
      </w:r>
      <w:r w:rsidR="008C416D" w:rsidRPr="00904FCB">
        <w:rPr>
          <w:rFonts w:hint="cs"/>
          <w:rtl/>
        </w:rPr>
        <w:t>،</w:t>
      </w:r>
      <w:r w:rsidRPr="00904FCB">
        <w:rPr>
          <w:rFonts w:hint="cs"/>
          <w:rtl/>
        </w:rPr>
        <w:t xml:space="preserve"> فإن</w:t>
      </w:r>
      <w:r w:rsidR="008C416D" w:rsidRPr="00904FCB">
        <w:rPr>
          <w:rFonts w:hint="cs"/>
          <w:rtl/>
        </w:rPr>
        <w:t>ْ</w:t>
      </w:r>
      <w:r w:rsidRPr="00904FCB">
        <w:rPr>
          <w:rFonts w:hint="cs"/>
          <w:rtl/>
        </w:rPr>
        <w:t xml:space="preserve"> انتفى شرط من هذه الشروط فمحل</w:t>
      </w:r>
      <w:r w:rsidR="008C416D" w:rsidRPr="00904FCB">
        <w:rPr>
          <w:rFonts w:hint="cs"/>
          <w:rtl/>
        </w:rPr>
        <w:t>ّ</w:t>
      </w:r>
      <w:r w:rsidRPr="00904FCB">
        <w:rPr>
          <w:rFonts w:hint="cs"/>
          <w:rtl/>
        </w:rPr>
        <w:t xml:space="preserve"> ذبحه مكّة، لا يجزئ ذبحه بغيرها</w:t>
      </w:r>
      <w:r w:rsidRPr="00904FCB">
        <w:rPr>
          <w:rFonts w:hint="cs"/>
          <w:vertAlign w:val="superscript"/>
          <w:rtl/>
        </w:rPr>
        <w:t>(</w:t>
      </w:r>
      <w:r w:rsidRPr="00904FCB">
        <w:rPr>
          <w:rStyle w:val="ac"/>
          <w:sz w:val="27"/>
          <w:rtl/>
        </w:rPr>
        <w:endnoteReference w:id="431"/>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756F2A">
        <w:rPr>
          <w:rFonts w:hint="cs"/>
          <w:b/>
          <w:bCs/>
          <w:rtl/>
        </w:rPr>
        <w:t xml:space="preserve">9ـ </w:t>
      </w:r>
      <w:r w:rsidR="00695DDD" w:rsidRPr="00756F2A">
        <w:rPr>
          <w:rFonts w:hint="cs"/>
          <w:b/>
          <w:bCs/>
          <w:rtl/>
        </w:rPr>
        <w:t>و</w:t>
      </w:r>
      <w:r w:rsidRPr="00756F2A">
        <w:rPr>
          <w:rFonts w:hint="cs"/>
          <w:b/>
          <w:bCs/>
          <w:rtl/>
        </w:rPr>
        <w:t>قال الطوسي</w:t>
      </w:r>
      <w:r w:rsidRPr="00756F2A">
        <w:rPr>
          <w:rFonts w:hint="cs"/>
          <w:rtl/>
        </w:rPr>
        <w:t>: مسألة 216: م</w:t>
      </w:r>
      <w:r w:rsidR="00695DDD" w:rsidRPr="00756F2A">
        <w:rPr>
          <w:rFonts w:hint="cs"/>
          <w:rtl/>
        </w:rPr>
        <w:t>َ</w:t>
      </w:r>
      <w:r w:rsidRPr="00756F2A">
        <w:rPr>
          <w:rFonts w:hint="cs"/>
          <w:rtl/>
        </w:rPr>
        <w:t>ن</w:t>
      </w:r>
      <w:r w:rsidR="00695DDD" w:rsidRPr="00756F2A">
        <w:rPr>
          <w:rFonts w:hint="cs"/>
          <w:rtl/>
        </w:rPr>
        <w:t>ْ</w:t>
      </w:r>
      <w:r w:rsidRPr="00756F2A">
        <w:rPr>
          <w:rFonts w:hint="cs"/>
          <w:rtl/>
        </w:rPr>
        <w:t xml:space="preserve"> وجب عليه الهدي في إحرام الحجّ فلا ينحره</w:t>
      </w:r>
      <w:r w:rsidRPr="00904FCB">
        <w:rPr>
          <w:rFonts w:hint="cs"/>
          <w:rtl/>
        </w:rPr>
        <w:t xml:space="preserve"> إلاّ بمنى، وإن</w:t>
      </w:r>
      <w:r w:rsidR="00695DDD" w:rsidRPr="00904FCB">
        <w:rPr>
          <w:rFonts w:hint="cs"/>
          <w:rtl/>
        </w:rPr>
        <w:t>ْ</w:t>
      </w:r>
      <w:r w:rsidRPr="00904FCB">
        <w:rPr>
          <w:rFonts w:hint="cs"/>
          <w:rtl/>
        </w:rPr>
        <w:t xml:space="preserve"> وجب عليه في إحرام العمرة فلا ينحره إلاّ بمكّة. وقال باقي الفقهاء: أيّ مكان شاء من الح</w:t>
      </w:r>
      <w:r w:rsidR="00695DDD" w:rsidRPr="00904FCB">
        <w:rPr>
          <w:rFonts w:hint="cs"/>
          <w:rtl/>
        </w:rPr>
        <w:t>َ</w:t>
      </w:r>
      <w:r w:rsidRPr="00904FCB">
        <w:rPr>
          <w:rFonts w:hint="cs"/>
          <w:rtl/>
        </w:rPr>
        <w:t>ر</w:t>
      </w:r>
      <w:r w:rsidR="00695DDD" w:rsidRPr="00904FCB">
        <w:rPr>
          <w:rFonts w:hint="cs"/>
          <w:rtl/>
        </w:rPr>
        <w:t>َ</w:t>
      </w:r>
      <w:r w:rsidRPr="00904FCB">
        <w:rPr>
          <w:rFonts w:hint="cs"/>
          <w:rtl/>
        </w:rPr>
        <w:t>م يجزيه، إلاّ أن الشافعي استحب</w:t>
      </w:r>
      <w:r w:rsidR="00695DDD" w:rsidRPr="00904FCB">
        <w:rPr>
          <w:rFonts w:hint="cs"/>
          <w:rtl/>
        </w:rPr>
        <w:t>ّ</w:t>
      </w:r>
      <w:r w:rsidRPr="00904FCB">
        <w:rPr>
          <w:rFonts w:hint="cs"/>
          <w:rtl/>
        </w:rPr>
        <w:t xml:space="preserve"> مثل ما قلناه. </w:t>
      </w:r>
    </w:p>
    <w:p w:rsidR="005B6CEC" w:rsidRPr="00904FCB" w:rsidRDefault="005B6CEC" w:rsidP="007A21AA">
      <w:pPr>
        <w:spacing w:line="400" w:lineRule="exact"/>
        <w:rPr>
          <w:rtl/>
        </w:rPr>
      </w:pPr>
      <w:r w:rsidRPr="00904FCB">
        <w:rPr>
          <w:rFonts w:hint="cs"/>
          <w:rtl/>
        </w:rPr>
        <w:t>دليلنا: إجماع الفرقة، وطريقة الاحتياط</w:t>
      </w:r>
      <w:r w:rsidRPr="00904FCB">
        <w:rPr>
          <w:rFonts w:hint="cs"/>
          <w:vertAlign w:val="superscript"/>
          <w:rtl/>
        </w:rPr>
        <w:t>(</w:t>
      </w:r>
      <w:r w:rsidRPr="00904FCB">
        <w:rPr>
          <w:rStyle w:val="ac"/>
          <w:sz w:val="27"/>
          <w:rtl/>
        </w:rPr>
        <w:endnoteReference w:id="432"/>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الحنابلة أيضاً قالوا مثل قول الشافعية</w:t>
      </w:r>
      <w:r w:rsidR="00695DDD" w:rsidRPr="00904FCB">
        <w:rPr>
          <w:rFonts w:hint="cs"/>
          <w:rtl/>
        </w:rPr>
        <w:t>،</w:t>
      </w:r>
      <w:r w:rsidRPr="00904FCB">
        <w:rPr>
          <w:rFonts w:hint="cs"/>
          <w:rtl/>
        </w:rPr>
        <w:t xml:space="preserve"> فلا أدري لماذا يذكرهم الشيخ</w:t>
      </w:r>
      <w:r w:rsidR="00695DDD" w:rsidRPr="00904FCB">
        <w:rPr>
          <w:rFonts w:hint="cs"/>
          <w:rtl/>
        </w:rPr>
        <w:t>!</w:t>
      </w:r>
      <w:r w:rsidRPr="00904FCB">
        <w:rPr>
          <w:rFonts w:hint="cs"/>
          <w:rtl/>
        </w:rPr>
        <w:t xml:space="preserve"> والإجماع</w:t>
      </w:r>
      <w:r w:rsidR="00695DDD" w:rsidRPr="00904FCB">
        <w:rPr>
          <w:rFonts w:hint="cs"/>
          <w:rtl/>
        </w:rPr>
        <w:t>ُ</w:t>
      </w:r>
      <w:r w:rsidRPr="00904FCB">
        <w:rPr>
          <w:rFonts w:hint="cs"/>
          <w:rtl/>
        </w:rPr>
        <w:t xml:space="preserve"> </w:t>
      </w:r>
      <w:r w:rsidR="00695DDD" w:rsidRPr="00904FCB">
        <w:rPr>
          <w:rFonts w:hint="cs"/>
          <w:rtl/>
        </w:rPr>
        <w:t xml:space="preserve">ـ </w:t>
      </w:r>
      <w:r w:rsidRPr="00904FCB">
        <w:rPr>
          <w:rFonts w:hint="cs"/>
          <w:rtl/>
        </w:rPr>
        <w:t>مضافاً إلى وجود المخالف</w:t>
      </w:r>
      <w:r w:rsidR="00695DDD" w:rsidRPr="00904FCB">
        <w:rPr>
          <w:rFonts w:hint="cs"/>
          <w:rtl/>
        </w:rPr>
        <w:t xml:space="preserve"> ـ</w:t>
      </w:r>
      <w:r w:rsidRPr="00904FCB">
        <w:rPr>
          <w:rFonts w:hint="cs"/>
          <w:rtl/>
        </w:rPr>
        <w:t xml:space="preserve"> مدركي</w:t>
      </w:r>
      <w:r w:rsidR="00695DDD" w:rsidRPr="00904FCB">
        <w:rPr>
          <w:rFonts w:hint="cs"/>
          <w:rtl/>
        </w:rPr>
        <w:t>ٌّ؛</w:t>
      </w:r>
      <w:r w:rsidRPr="00904FCB">
        <w:rPr>
          <w:rFonts w:hint="cs"/>
          <w:rtl/>
        </w:rPr>
        <w:t xml:space="preserve"> للتأس</w:t>
      </w:r>
      <w:r w:rsidR="006D5FA8">
        <w:rPr>
          <w:rFonts w:hint="cs"/>
          <w:rtl/>
        </w:rPr>
        <w:t>ّ</w:t>
      </w:r>
      <w:r w:rsidRPr="00904FCB">
        <w:rPr>
          <w:rFonts w:hint="cs"/>
          <w:rtl/>
        </w:rPr>
        <w:t>ي بفعل النبي</w:t>
      </w:r>
      <w:r w:rsidR="00695DDD" w:rsidRPr="00904FCB">
        <w:rPr>
          <w:rFonts w:hint="cs"/>
          <w:rtl/>
        </w:rPr>
        <w:t>ّ،</w:t>
      </w:r>
      <w:r w:rsidRPr="00904FCB">
        <w:rPr>
          <w:rFonts w:hint="cs"/>
          <w:rtl/>
        </w:rPr>
        <w:t xml:space="preserve"> وطريقة الاحتياط</w:t>
      </w:r>
      <w:r w:rsidR="00695DDD" w:rsidRPr="00904FCB">
        <w:rPr>
          <w:rFonts w:hint="cs"/>
          <w:rtl/>
        </w:rPr>
        <w:t>،</w:t>
      </w:r>
      <w:r w:rsidRPr="00904FCB">
        <w:rPr>
          <w:rFonts w:hint="cs"/>
          <w:rtl/>
        </w:rPr>
        <w:t xml:space="preserve"> كما سيأتي. </w:t>
      </w:r>
    </w:p>
    <w:p w:rsidR="005B6CEC" w:rsidRPr="00904FCB" w:rsidRDefault="005B6CEC" w:rsidP="007A21AA">
      <w:pPr>
        <w:spacing w:line="400" w:lineRule="exact"/>
        <w:rPr>
          <w:rtl/>
        </w:rPr>
      </w:pPr>
      <w:r w:rsidRPr="00756F2A">
        <w:rPr>
          <w:rFonts w:hint="cs"/>
          <w:b/>
          <w:bCs/>
          <w:rtl/>
        </w:rPr>
        <w:t xml:space="preserve">10ـ </w:t>
      </w:r>
      <w:r w:rsidR="00695DDD" w:rsidRPr="00756F2A">
        <w:rPr>
          <w:rFonts w:hint="cs"/>
          <w:b/>
          <w:bCs/>
          <w:rtl/>
        </w:rPr>
        <w:t>و</w:t>
      </w:r>
      <w:r w:rsidRPr="00756F2A">
        <w:rPr>
          <w:rFonts w:hint="cs"/>
          <w:b/>
          <w:bCs/>
          <w:rtl/>
        </w:rPr>
        <w:t>في الغنية</w:t>
      </w:r>
      <w:r w:rsidRPr="00756F2A">
        <w:rPr>
          <w:rFonts w:hint="cs"/>
          <w:rtl/>
        </w:rPr>
        <w:t>: وأمّا هدي التمتع فأعلاه بدنة وأدناه شاة</w:t>
      </w:r>
      <w:r w:rsidR="00695DDD" w:rsidRPr="00756F2A">
        <w:rPr>
          <w:rFonts w:hint="cs"/>
          <w:rtl/>
        </w:rPr>
        <w:t>،</w:t>
      </w:r>
      <w:r w:rsidRPr="00756F2A">
        <w:rPr>
          <w:rFonts w:hint="cs"/>
          <w:rtl/>
        </w:rPr>
        <w:t xml:space="preserve"> ويذبح أو ينحر بمنى،</w:t>
      </w:r>
      <w:r w:rsidRPr="00904FCB">
        <w:rPr>
          <w:rFonts w:hint="cs"/>
          <w:rtl/>
        </w:rPr>
        <w:t xml:space="preserve"> وكذا هدي الق</w:t>
      </w:r>
      <w:r w:rsidR="006D5FA8">
        <w:rPr>
          <w:rFonts w:hint="cs"/>
          <w:rtl/>
        </w:rPr>
        <w:t>ِ</w:t>
      </w:r>
      <w:r w:rsidRPr="00904FCB">
        <w:rPr>
          <w:rFonts w:hint="cs"/>
          <w:rtl/>
        </w:rPr>
        <w:t>ران، ويلزم سياقه بعد التقليد أو الإشعار على ما قد</w:t>
      </w:r>
      <w:r w:rsidR="00695DDD" w:rsidRPr="00904FCB">
        <w:rPr>
          <w:rFonts w:hint="cs"/>
          <w:rtl/>
        </w:rPr>
        <w:t>ّ</w:t>
      </w:r>
      <w:r w:rsidRPr="00904FCB">
        <w:rPr>
          <w:rFonts w:hint="cs"/>
          <w:rtl/>
        </w:rPr>
        <w:t>مناه</w:t>
      </w:r>
      <w:r w:rsidR="00695DDD" w:rsidRPr="00904FCB">
        <w:rPr>
          <w:rFonts w:hint="cs"/>
          <w:rtl/>
        </w:rPr>
        <w:t>،</w:t>
      </w:r>
      <w:r w:rsidRPr="00904FCB">
        <w:rPr>
          <w:rFonts w:hint="cs"/>
          <w:rtl/>
        </w:rPr>
        <w:t xml:space="preserve"> وإن</w:t>
      </w:r>
      <w:r w:rsidR="00695DDD" w:rsidRPr="00904FCB">
        <w:rPr>
          <w:rFonts w:hint="cs"/>
          <w:rtl/>
        </w:rPr>
        <w:t>ْ</w:t>
      </w:r>
      <w:r w:rsidRPr="00904FCB">
        <w:rPr>
          <w:rFonts w:hint="cs"/>
          <w:rtl/>
        </w:rPr>
        <w:t xml:space="preserve"> كان ابتدا</w:t>
      </w:r>
      <w:r w:rsidR="00695DDD" w:rsidRPr="00904FCB">
        <w:rPr>
          <w:rFonts w:hint="cs"/>
          <w:rtl/>
        </w:rPr>
        <w:t>ؤ</w:t>
      </w:r>
      <w:r w:rsidRPr="00904FCB">
        <w:rPr>
          <w:rFonts w:hint="cs"/>
          <w:rtl/>
        </w:rPr>
        <w:t>ه تطو</w:t>
      </w:r>
      <w:r w:rsidR="00695DDD" w:rsidRPr="00904FCB">
        <w:rPr>
          <w:rFonts w:hint="cs"/>
          <w:rtl/>
        </w:rPr>
        <w:t>ُّ</w:t>
      </w:r>
      <w:r w:rsidRPr="00904FCB">
        <w:rPr>
          <w:rFonts w:hint="cs"/>
          <w:rtl/>
        </w:rPr>
        <w:t>عاً</w:t>
      </w:r>
      <w:r w:rsidR="00695DDD" w:rsidRPr="00904FCB">
        <w:rPr>
          <w:rFonts w:hint="cs"/>
          <w:rtl/>
        </w:rPr>
        <w:t>؛</w:t>
      </w:r>
      <w:r w:rsidRPr="00904FCB">
        <w:rPr>
          <w:rFonts w:hint="cs"/>
          <w:rtl/>
        </w:rPr>
        <w:t xml:space="preserve"> بدليل الإجماع المشار إليه</w:t>
      </w:r>
      <w:r w:rsidR="00695DDD" w:rsidRPr="00904FCB">
        <w:rPr>
          <w:rFonts w:hint="cs"/>
          <w:rtl/>
        </w:rPr>
        <w:t>،</w:t>
      </w:r>
      <w:r w:rsidRPr="00904FCB">
        <w:rPr>
          <w:rFonts w:hint="cs"/>
          <w:rtl/>
        </w:rPr>
        <w:t xml:space="preserve"> وطريقة الاحتياط</w:t>
      </w:r>
      <w:r w:rsidRPr="00904FCB">
        <w:rPr>
          <w:rFonts w:hint="cs"/>
          <w:vertAlign w:val="superscript"/>
          <w:rtl/>
        </w:rPr>
        <w:t>(</w:t>
      </w:r>
      <w:r w:rsidRPr="00904FCB">
        <w:rPr>
          <w:rStyle w:val="ac"/>
          <w:sz w:val="27"/>
          <w:rtl/>
        </w:rPr>
        <w:endnoteReference w:id="433"/>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مضافاً إلى أن إجماعه موافق للاحتياط</w:t>
      </w:r>
      <w:r w:rsidR="00695DDD" w:rsidRPr="00904FCB">
        <w:rPr>
          <w:rFonts w:hint="cs"/>
          <w:rtl/>
        </w:rPr>
        <w:t>،</w:t>
      </w:r>
      <w:r w:rsidRPr="00904FCB">
        <w:rPr>
          <w:rFonts w:hint="cs"/>
          <w:rtl/>
        </w:rPr>
        <w:t xml:space="preserve"> ف</w:t>
      </w:r>
      <w:r w:rsidR="00695DDD" w:rsidRPr="00904FCB">
        <w:rPr>
          <w:rFonts w:hint="cs"/>
          <w:rtl/>
        </w:rPr>
        <w:t xml:space="preserve">إنّنا </w:t>
      </w:r>
      <w:r w:rsidRPr="00904FCB">
        <w:rPr>
          <w:rFonts w:hint="cs"/>
          <w:rtl/>
        </w:rPr>
        <w:t>نحتمل أن مدرك المجمعين هو طريقة الاحتياط</w:t>
      </w:r>
      <w:r w:rsidR="00695DDD" w:rsidRPr="00904FCB">
        <w:rPr>
          <w:rFonts w:hint="cs"/>
          <w:rtl/>
        </w:rPr>
        <w:t>،</w:t>
      </w:r>
      <w:r w:rsidRPr="00904FCB">
        <w:rPr>
          <w:rFonts w:hint="cs"/>
          <w:rtl/>
        </w:rPr>
        <w:t xml:space="preserve"> لا قول المعصوم</w:t>
      </w:r>
      <w:r w:rsidR="00695DDD" w:rsidRPr="00904FCB">
        <w:rPr>
          <w:rFonts w:hint="cs"/>
          <w:rtl/>
        </w:rPr>
        <w:t>.</w:t>
      </w:r>
      <w:r w:rsidRPr="00904FCB">
        <w:rPr>
          <w:rFonts w:hint="cs"/>
          <w:rtl/>
        </w:rPr>
        <w:t xml:space="preserve"> إن الإجماع مرتبط</w:t>
      </w:r>
      <w:r w:rsidR="00695DDD" w:rsidRPr="00904FCB">
        <w:rPr>
          <w:rFonts w:hint="cs"/>
          <w:rtl/>
        </w:rPr>
        <w:t>ٌ</w:t>
      </w:r>
      <w:r w:rsidRPr="00904FCB">
        <w:rPr>
          <w:rFonts w:hint="cs"/>
          <w:rtl/>
        </w:rPr>
        <w:t xml:space="preserve"> بهدي الق</w:t>
      </w:r>
      <w:r w:rsidR="006D5FA8">
        <w:rPr>
          <w:rFonts w:hint="cs"/>
          <w:rtl/>
        </w:rPr>
        <w:t>ِ</w:t>
      </w:r>
      <w:r w:rsidRPr="00904FCB">
        <w:rPr>
          <w:rFonts w:hint="cs"/>
          <w:rtl/>
        </w:rPr>
        <w:t>ران</w:t>
      </w:r>
      <w:r w:rsidR="00695DDD" w:rsidRPr="00904FCB">
        <w:rPr>
          <w:rFonts w:hint="cs"/>
          <w:rtl/>
        </w:rPr>
        <w:t>،</w:t>
      </w:r>
      <w:r w:rsidRPr="00904FCB">
        <w:rPr>
          <w:rFonts w:hint="cs"/>
          <w:rtl/>
        </w:rPr>
        <w:t xml:space="preserve"> لا التمتع</w:t>
      </w:r>
      <w:r w:rsidR="00695DDD" w:rsidRPr="00904FCB">
        <w:rPr>
          <w:rFonts w:hint="cs"/>
          <w:rtl/>
        </w:rPr>
        <w:t>،</w:t>
      </w:r>
      <w:r w:rsidRPr="00904FCB">
        <w:rPr>
          <w:rFonts w:hint="cs"/>
          <w:rtl/>
        </w:rPr>
        <w:t xml:space="preserve"> وإلاّ فلا وجه لقوله</w:t>
      </w:r>
      <w:r w:rsidR="00695DDD" w:rsidRPr="00904FCB">
        <w:rPr>
          <w:rFonts w:hint="cs"/>
          <w:rtl/>
        </w:rPr>
        <w:t>:</w:t>
      </w:r>
      <w:r w:rsidRPr="00904FCB">
        <w:rPr>
          <w:rFonts w:hint="cs"/>
          <w:rtl/>
        </w:rPr>
        <w:t xml:space="preserve"> «وكذا»</w:t>
      </w:r>
      <w:r w:rsidR="00695DDD" w:rsidRPr="00904FCB">
        <w:rPr>
          <w:rFonts w:hint="cs"/>
          <w:rtl/>
        </w:rPr>
        <w:t>.</w:t>
      </w:r>
      <w:r w:rsidRPr="00904FCB">
        <w:rPr>
          <w:rFonts w:hint="cs"/>
          <w:rtl/>
        </w:rPr>
        <w:t xml:space="preserve"> وأيضاً إن ديدن صاحب الغنية في مثل هذه الموارد التعبير بـ «كل</w:t>
      </w:r>
      <w:r w:rsidR="002A6E7F" w:rsidRPr="00904FCB">
        <w:rPr>
          <w:rFonts w:hint="cs"/>
          <w:rtl/>
        </w:rPr>
        <w:t>ّ</w:t>
      </w:r>
      <w:r w:rsidRPr="00904FCB">
        <w:rPr>
          <w:rFonts w:hint="cs"/>
          <w:rtl/>
        </w:rPr>
        <w:t xml:space="preserve"> هذه بدليل الإجماع المشار إليه أو المتكر</w:t>
      </w:r>
      <w:r w:rsidR="002A6E7F" w:rsidRPr="00904FCB">
        <w:rPr>
          <w:rFonts w:hint="cs"/>
          <w:rtl/>
        </w:rPr>
        <w:t>ِّ</w:t>
      </w:r>
      <w:r w:rsidRPr="00904FCB">
        <w:rPr>
          <w:rFonts w:hint="cs"/>
          <w:rtl/>
        </w:rPr>
        <w:t>ر»</w:t>
      </w:r>
      <w:r w:rsidR="002A6E7F" w:rsidRPr="00904FCB">
        <w:rPr>
          <w:rFonts w:hint="cs"/>
          <w:rtl/>
        </w:rPr>
        <w:t>،</w:t>
      </w:r>
      <w:r w:rsidRPr="00904FCB">
        <w:rPr>
          <w:rFonts w:hint="cs"/>
          <w:rtl/>
        </w:rPr>
        <w:t xml:space="preserve"> فعدم ذكر «كل</w:t>
      </w:r>
      <w:r w:rsidR="002A6E7F" w:rsidRPr="00904FCB">
        <w:rPr>
          <w:rFonts w:hint="cs"/>
          <w:rtl/>
        </w:rPr>
        <w:t>ّ</w:t>
      </w:r>
      <w:r w:rsidRPr="00904FCB">
        <w:rPr>
          <w:rFonts w:hint="cs"/>
          <w:rtl/>
        </w:rPr>
        <w:t xml:space="preserve"> هذا» قرينة على أن الإجماع مرتبط بالأخير</w:t>
      </w:r>
      <w:r w:rsidR="002A6E7F" w:rsidRPr="00904FCB">
        <w:rPr>
          <w:rFonts w:hint="cs"/>
          <w:rtl/>
        </w:rPr>
        <w:t>،</w:t>
      </w:r>
      <w:r w:rsidRPr="00904FCB">
        <w:rPr>
          <w:rFonts w:hint="cs"/>
          <w:rtl/>
        </w:rPr>
        <w:t xml:space="preserve"> لا الكل</w:t>
      </w:r>
      <w:r w:rsidR="002A6E7F" w:rsidRPr="00904FCB">
        <w:rPr>
          <w:rFonts w:hint="cs"/>
          <w:rtl/>
        </w:rPr>
        <w:t>ّ</w:t>
      </w:r>
      <w:r w:rsidRPr="00904FCB">
        <w:rPr>
          <w:rFonts w:hint="cs"/>
          <w:rtl/>
        </w:rPr>
        <w:t>. وثالثاً</w:t>
      </w:r>
      <w:r w:rsidR="002A6E7F" w:rsidRPr="00904FCB">
        <w:rPr>
          <w:rFonts w:hint="cs"/>
          <w:rtl/>
        </w:rPr>
        <w:t>:</w:t>
      </w:r>
      <w:r w:rsidRPr="00904FCB">
        <w:rPr>
          <w:rFonts w:hint="cs"/>
          <w:rtl/>
        </w:rPr>
        <w:t xml:space="preserve"> </w:t>
      </w:r>
      <w:r w:rsidR="002A6E7F" w:rsidRPr="00904FCB">
        <w:rPr>
          <w:rFonts w:hint="cs"/>
          <w:rtl/>
        </w:rPr>
        <w:t>ا</w:t>
      </w:r>
      <w:r w:rsidRPr="00904FCB">
        <w:rPr>
          <w:rFonts w:hint="cs"/>
          <w:rtl/>
        </w:rPr>
        <w:t>د</w:t>
      </w:r>
      <w:r w:rsidR="002A6E7F" w:rsidRPr="00904FCB">
        <w:rPr>
          <w:rFonts w:hint="cs"/>
          <w:rtl/>
        </w:rPr>
        <w:t>ّ</w:t>
      </w:r>
      <w:r w:rsidRPr="00904FCB">
        <w:rPr>
          <w:rFonts w:hint="cs"/>
          <w:rtl/>
        </w:rPr>
        <w:t>عاء الإجماع التعبّدي نحن لا نقبله بعد عدم ذكر الوجوب في كلام م</w:t>
      </w:r>
      <w:r w:rsidR="002A6E7F" w:rsidRPr="00904FCB">
        <w:rPr>
          <w:rFonts w:hint="cs"/>
          <w:rtl/>
        </w:rPr>
        <w:t>َ</w:t>
      </w:r>
      <w:r w:rsidRPr="00904FCB">
        <w:rPr>
          <w:rFonts w:hint="cs"/>
          <w:rtl/>
        </w:rPr>
        <w:t>ن</w:t>
      </w:r>
      <w:r w:rsidR="002A6E7F" w:rsidRPr="00904FCB">
        <w:rPr>
          <w:rFonts w:hint="cs"/>
          <w:rtl/>
        </w:rPr>
        <w:t>ْ</w:t>
      </w:r>
      <w:r w:rsidRPr="00904FCB">
        <w:rPr>
          <w:rFonts w:hint="cs"/>
          <w:rtl/>
        </w:rPr>
        <w:t xml:space="preserve"> عرفت. </w:t>
      </w:r>
    </w:p>
    <w:p w:rsidR="005B6CEC" w:rsidRPr="00904FCB" w:rsidRDefault="005B6CEC" w:rsidP="007A21AA">
      <w:pPr>
        <w:spacing w:line="400" w:lineRule="exact"/>
        <w:rPr>
          <w:rtl/>
        </w:rPr>
      </w:pPr>
      <w:r w:rsidRPr="00756F2A">
        <w:rPr>
          <w:rFonts w:hint="cs"/>
          <w:b/>
          <w:bCs/>
          <w:rtl/>
        </w:rPr>
        <w:lastRenderedPageBreak/>
        <w:t xml:space="preserve">11ـ </w:t>
      </w:r>
      <w:r w:rsidR="002A6E7F" w:rsidRPr="00756F2A">
        <w:rPr>
          <w:rFonts w:hint="cs"/>
          <w:b/>
          <w:bCs/>
          <w:rtl/>
        </w:rPr>
        <w:t>و</w:t>
      </w:r>
      <w:r w:rsidRPr="00756F2A">
        <w:rPr>
          <w:rFonts w:hint="cs"/>
          <w:b/>
          <w:bCs/>
          <w:rtl/>
        </w:rPr>
        <w:t>في المقنعة</w:t>
      </w:r>
      <w:r w:rsidRPr="00756F2A">
        <w:rPr>
          <w:rFonts w:hint="cs"/>
          <w:rtl/>
        </w:rPr>
        <w:t>: باب الذبح والنحر: ثم</w:t>
      </w:r>
      <w:r w:rsidR="002A6E7F" w:rsidRPr="00756F2A">
        <w:rPr>
          <w:rFonts w:hint="cs"/>
          <w:rtl/>
        </w:rPr>
        <w:t>ّ</w:t>
      </w:r>
      <w:r w:rsidRPr="00756F2A">
        <w:rPr>
          <w:rFonts w:hint="cs"/>
          <w:rtl/>
        </w:rPr>
        <w:t xml:space="preserve"> يشتري هديه الذي فيه متعته </w:t>
      </w:r>
      <w:r w:rsidR="002A6E7F" w:rsidRPr="00756F2A">
        <w:rPr>
          <w:rFonts w:hint="cs"/>
          <w:rtl/>
        </w:rPr>
        <w:t>إ</w:t>
      </w:r>
      <w:r w:rsidRPr="00756F2A">
        <w:rPr>
          <w:rFonts w:hint="cs"/>
          <w:rtl/>
        </w:rPr>
        <w:t>ن</w:t>
      </w:r>
      <w:r w:rsidR="002A6E7F" w:rsidRPr="00756F2A">
        <w:rPr>
          <w:rFonts w:hint="cs"/>
          <w:rtl/>
        </w:rPr>
        <w:t>ْ</w:t>
      </w:r>
      <w:r w:rsidRPr="00756F2A">
        <w:rPr>
          <w:rFonts w:hint="cs"/>
          <w:rtl/>
        </w:rPr>
        <w:t xml:space="preserve"> كان من</w:t>
      </w:r>
      <w:r w:rsidRPr="00904FCB">
        <w:rPr>
          <w:rFonts w:hint="cs"/>
          <w:rtl/>
        </w:rPr>
        <w:t xml:space="preserve"> البدن أو من إناث البقر</w:t>
      </w:r>
      <w:r w:rsidR="002A6E7F" w:rsidRPr="00904FCB">
        <w:rPr>
          <w:rFonts w:hint="cs"/>
          <w:rtl/>
        </w:rPr>
        <w:t>،</w:t>
      </w:r>
      <w:r w:rsidRPr="00904FCB">
        <w:rPr>
          <w:rFonts w:hint="cs"/>
          <w:rtl/>
        </w:rPr>
        <w:t xml:space="preserve"> فإن</w:t>
      </w:r>
      <w:r w:rsidR="002A6E7F" w:rsidRPr="00904FCB">
        <w:rPr>
          <w:rFonts w:hint="cs"/>
          <w:rtl/>
        </w:rPr>
        <w:t>ْ</w:t>
      </w:r>
      <w:r w:rsidRPr="00904FCB">
        <w:rPr>
          <w:rFonts w:hint="cs"/>
          <w:rtl/>
        </w:rPr>
        <w:t xml:space="preserve"> لم يجد ففحلاً</w:t>
      </w:r>
      <w:r w:rsidR="002A6E7F" w:rsidRPr="00904FCB">
        <w:rPr>
          <w:rFonts w:hint="cs"/>
          <w:rtl/>
        </w:rPr>
        <w:t>،</w:t>
      </w:r>
      <w:r w:rsidRPr="00904FCB">
        <w:rPr>
          <w:rFonts w:hint="cs"/>
          <w:rtl/>
        </w:rPr>
        <w:t xml:space="preserve"> و...</w:t>
      </w:r>
      <w:r w:rsidR="002A6E7F" w:rsidRPr="00904FCB">
        <w:rPr>
          <w:rFonts w:hint="cs"/>
          <w:rtl/>
        </w:rPr>
        <w:t>،</w:t>
      </w:r>
      <w:r w:rsidRPr="00904FCB">
        <w:rPr>
          <w:rFonts w:hint="cs"/>
          <w:rtl/>
        </w:rPr>
        <w:t xml:space="preserve"> ويعظم شعائر الله..</w:t>
      </w:r>
      <w:r w:rsidR="002A6E7F" w:rsidRPr="00904FCB">
        <w:rPr>
          <w:rFonts w:hint="cs"/>
          <w:rtl/>
        </w:rPr>
        <w:t>.</w:t>
      </w:r>
      <w:r w:rsidRPr="00904FCB">
        <w:rPr>
          <w:rFonts w:hint="cs"/>
          <w:rtl/>
        </w:rPr>
        <w:t>. واعلم أنه لا يجوز في الأضاحي من البدن إلاّ الثني</w:t>
      </w:r>
      <w:r w:rsidRPr="00904FCB">
        <w:rPr>
          <w:rFonts w:hint="cs"/>
          <w:vertAlign w:val="superscript"/>
          <w:rtl/>
        </w:rPr>
        <w:t>(</w:t>
      </w:r>
      <w:r w:rsidRPr="00904FCB">
        <w:rPr>
          <w:rStyle w:val="ac"/>
          <w:sz w:val="27"/>
          <w:rtl/>
        </w:rPr>
        <w:endnoteReference w:id="434"/>
      </w:r>
      <w:r w:rsidRPr="00904FCB">
        <w:rPr>
          <w:rFonts w:hint="cs"/>
          <w:vertAlign w:val="superscript"/>
          <w:rtl/>
        </w:rPr>
        <w:t>)</w:t>
      </w:r>
      <w:r w:rsidRPr="00904FCB">
        <w:rPr>
          <w:rFonts w:hint="cs"/>
          <w:rtl/>
        </w:rPr>
        <w:t xml:space="preserve">. </w:t>
      </w:r>
    </w:p>
    <w:p w:rsidR="002A6E7F" w:rsidRPr="00904FCB" w:rsidRDefault="005B6CEC" w:rsidP="00510A75">
      <w:pPr>
        <w:spacing w:line="400" w:lineRule="exact"/>
        <w:rPr>
          <w:rtl/>
        </w:rPr>
      </w:pPr>
      <w:r w:rsidRPr="00904FCB">
        <w:rPr>
          <w:rFonts w:hint="cs"/>
          <w:rtl/>
        </w:rPr>
        <w:t>أقول: المفيد</w:t>
      </w:r>
      <w:r w:rsidR="00510A75" w:rsidRPr="00756F2A">
        <w:rPr>
          <w:rFonts w:ascii="Mosawi" w:hAnsi="Mosawi" w:cs="Mosawi"/>
          <w:sz w:val="22"/>
          <w:szCs w:val="22"/>
          <w:rtl/>
        </w:rPr>
        <w:t>&amp;</w:t>
      </w:r>
      <w:r w:rsidRPr="00904FCB">
        <w:rPr>
          <w:rFonts w:hint="cs"/>
          <w:rtl/>
        </w:rPr>
        <w:t xml:space="preserve"> لم يذكر شيئاً بالنسبة إلى الذبح بمنى</w:t>
      </w:r>
      <w:r w:rsidR="002A6E7F" w:rsidRPr="00904FCB">
        <w:rPr>
          <w:rFonts w:hint="cs"/>
          <w:rtl/>
        </w:rPr>
        <w:t>.</w:t>
      </w:r>
      <w:r w:rsidRPr="00904FCB">
        <w:rPr>
          <w:rFonts w:hint="cs"/>
          <w:rtl/>
        </w:rPr>
        <w:t xml:space="preserve"> الله</w:t>
      </w:r>
      <w:r w:rsidR="002A6E7F" w:rsidRPr="00904FCB">
        <w:rPr>
          <w:rFonts w:hint="cs"/>
          <w:rtl/>
        </w:rPr>
        <w:t>ُ</w:t>
      </w:r>
      <w:r w:rsidRPr="00904FCB">
        <w:rPr>
          <w:rFonts w:hint="cs"/>
          <w:rtl/>
        </w:rPr>
        <w:t>م</w:t>
      </w:r>
      <w:r w:rsidR="002A6E7F" w:rsidRPr="00904FCB">
        <w:rPr>
          <w:rFonts w:hint="cs"/>
          <w:rtl/>
        </w:rPr>
        <w:t>ّ</w:t>
      </w:r>
      <w:r w:rsidRPr="00904FCB">
        <w:rPr>
          <w:rFonts w:hint="cs"/>
          <w:rtl/>
        </w:rPr>
        <w:t xml:space="preserve"> إلاّ أن يقال</w:t>
      </w:r>
      <w:r w:rsidR="002A6E7F" w:rsidRPr="00904FCB">
        <w:rPr>
          <w:rFonts w:hint="cs"/>
          <w:rtl/>
        </w:rPr>
        <w:t>:</w:t>
      </w:r>
      <w:r w:rsidRPr="00904FCB">
        <w:rPr>
          <w:rFonts w:hint="cs"/>
          <w:rtl/>
        </w:rPr>
        <w:t xml:space="preserve"> </w:t>
      </w:r>
      <w:r w:rsidR="002A6E7F" w:rsidRPr="00904FCB">
        <w:rPr>
          <w:rFonts w:hint="cs"/>
          <w:rtl/>
        </w:rPr>
        <w:t>إ</w:t>
      </w:r>
      <w:r w:rsidRPr="00904FCB">
        <w:rPr>
          <w:rFonts w:hint="cs"/>
          <w:rtl/>
        </w:rPr>
        <w:t>ن لفظة «ثم» عطف على ما قبله</w:t>
      </w:r>
      <w:r w:rsidR="002A6E7F" w:rsidRPr="00904FCB">
        <w:rPr>
          <w:rFonts w:hint="cs"/>
          <w:rtl/>
        </w:rPr>
        <w:t>،</w:t>
      </w:r>
      <w:r w:rsidRPr="00904FCB">
        <w:rPr>
          <w:rFonts w:hint="cs"/>
          <w:rtl/>
        </w:rPr>
        <w:t xml:space="preserve"> أي الرمي</w:t>
      </w:r>
      <w:r w:rsidR="002A6E7F" w:rsidRPr="00904FCB">
        <w:rPr>
          <w:rFonts w:hint="cs"/>
          <w:rtl/>
        </w:rPr>
        <w:t>،</w:t>
      </w:r>
      <w:r w:rsidRPr="00904FCB">
        <w:rPr>
          <w:rFonts w:hint="cs"/>
          <w:rtl/>
        </w:rPr>
        <w:t xml:space="preserve"> فمقصوده الاشتراء والذبح في منى.</w:t>
      </w:r>
    </w:p>
    <w:p w:rsidR="005B6CEC" w:rsidRPr="00904FCB" w:rsidRDefault="005B6CEC" w:rsidP="007A21AA">
      <w:pPr>
        <w:spacing w:line="400" w:lineRule="exact"/>
        <w:rPr>
          <w:rtl/>
        </w:rPr>
      </w:pPr>
      <w:r w:rsidRPr="00904FCB">
        <w:rPr>
          <w:rFonts w:hint="cs"/>
          <w:rtl/>
        </w:rPr>
        <w:t>فنقول</w:t>
      </w:r>
      <w:r w:rsidR="002A6E7F" w:rsidRPr="00904FCB">
        <w:rPr>
          <w:rFonts w:hint="cs"/>
          <w:rtl/>
        </w:rPr>
        <w:t>:</w:t>
      </w:r>
      <w:r w:rsidRPr="00904FCB">
        <w:rPr>
          <w:rFonts w:hint="cs"/>
          <w:rtl/>
        </w:rPr>
        <w:t xml:space="preserve"> أكثر شيء يمكن أن يقبل هو أن وقوعه في منى لا إشكال فيه</w:t>
      </w:r>
      <w:r w:rsidR="002A6E7F" w:rsidRPr="00904FCB">
        <w:rPr>
          <w:rFonts w:hint="cs"/>
          <w:rtl/>
        </w:rPr>
        <w:t>،</w:t>
      </w:r>
      <w:r w:rsidRPr="00904FCB">
        <w:rPr>
          <w:rFonts w:hint="cs"/>
          <w:rtl/>
        </w:rPr>
        <w:t xml:space="preserve"> أو مستحب</w:t>
      </w:r>
      <w:r w:rsidR="002A6E7F" w:rsidRPr="00904FCB">
        <w:rPr>
          <w:rFonts w:hint="cs"/>
          <w:rtl/>
        </w:rPr>
        <w:t>ّ،</w:t>
      </w:r>
      <w:r w:rsidRPr="00904FCB">
        <w:rPr>
          <w:rFonts w:hint="cs"/>
          <w:rtl/>
        </w:rPr>
        <w:t xml:space="preserve"> ولكن لا يدلّ على وجوب كونه في منى</w:t>
      </w:r>
      <w:r w:rsidR="002A6E7F" w:rsidRPr="00904FCB">
        <w:rPr>
          <w:rFonts w:hint="cs"/>
          <w:rtl/>
        </w:rPr>
        <w:t>؛ إذ لا</w:t>
      </w:r>
      <w:r w:rsidRPr="00904FCB">
        <w:rPr>
          <w:rFonts w:hint="cs"/>
          <w:rtl/>
        </w:rPr>
        <w:t xml:space="preserve"> يحتمل أحد</w:t>
      </w:r>
      <w:r w:rsidR="002A6E7F" w:rsidRPr="00904FCB">
        <w:rPr>
          <w:rFonts w:hint="cs"/>
          <w:rtl/>
        </w:rPr>
        <w:t>ٌ</w:t>
      </w:r>
      <w:r w:rsidRPr="00904FCB">
        <w:rPr>
          <w:rFonts w:hint="cs"/>
          <w:rtl/>
        </w:rPr>
        <w:t xml:space="preserve"> أن الاشتراء يجب أن يكون في منى</w:t>
      </w:r>
      <w:r w:rsidR="002A6E7F" w:rsidRPr="00904FCB">
        <w:rPr>
          <w:rFonts w:hint="cs"/>
          <w:rtl/>
        </w:rPr>
        <w:t>،</w:t>
      </w:r>
      <w:r w:rsidRPr="00904FCB">
        <w:rPr>
          <w:rFonts w:hint="cs"/>
          <w:rtl/>
        </w:rPr>
        <w:t xml:space="preserve"> و</w:t>
      </w:r>
      <w:r w:rsidR="002A6E7F" w:rsidRPr="00904FCB">
        <w:rPr>
          <w:rFonts w:hint="cs"/>
          <w:rtl/>
        </w:rPr>
        <w:t>أ</w:t>
      </w:r>
      <w:r w:rsidRPr="00904FCB">
        <w:rPr>
          <w:rFonts w:hint="cs"/>
          <w:rtl/>
        </w:rPr>
        <w:t xml:space="preserve">ن </w:t>
      </w:r>
      <w:r w:rsidR="002A6E7F" w:rsidRPr="00904FCB">
        <w:rPr>
          <w:rFonts w:hint="cs"/>
          <w:rtl/>
        </w:rPr>
        <w:t>ال</w:t>
      </w:r>
      <w:r w:rsidRPr="00904FCB">
        <w:rPr>
          <w:rFonts w:hint="cs"/>
          <w:rtl/>
        </w:rPr>
        <w:t>شراء من غيرها</w:t>
      </w:r>
      <w:r w:rsidR="002A6E7F" w:rsidRPr="00904FCB">
        <w:rPr>
          <w:rFonts w:hint="cs"/>
          <w:rtl/>
        </w:rPr>
        <w:t>،</w:t>
      </w:r>
      <w:r w:rsidRPr="00904FCB">
        <w:rPr>
          <w:rFonts w:hint="cs"/>
          <w:rtl/>
        </w:rPr>
        <w:t xml:space="preserve"> أو </w:t>
      </w:r>
      <w:r w:rsidR="002A6E7F" w:rsidRPr="00904FCB">
        <w:rPr>
          <w:rFonts w:hint="cs"/>
          <w:rtl/>
        </w:rPr>
        <w:t xml:space="preserve">إذا </w:t>
      </w:r>
      <w:r w:rsidRPr="00904FCB">
        <w:rPr>
          <w:rFonts w:hint="cs"/>
          <w:rtl/>
        </w:rPr>
        <w:t>كان بنفسه مالكاً وراعياً للغنم</w:t>
      </w:r>
      <w:r w:rsidR="002A6E7F" w:rsidRPr="00904FCB">
        <w:rPr>
          <w:rFonts w:hint="cs"/>
          <w:rtl/>
        </w:rPr>
        <w:t>،</w:t>
      </w:r>
      <w:r w:rsidRPr="00904FCB">
        <w:rPr>
          <w:rFonts w:hint="cs"/>
          <w:rtl/>
        </w:rPr>
        <w:t xml:space="preserve"> وأتى بها إلى منى وذبحها</w:t>
      </w:r>
      <w:r w:rsidR="002A6E7F" w:rsidRPr="00904FCB">
        <w:rPr>
          <w:rFonts w:hint="cs"/>
          <w:rtl/>
        </w:rPr>
        <w:t>،</w:t>
      </w:r>
      <w:r w:rsidRPr="00904FCB">
        <w:rPr>
          <w:rFonts w:hint="cs"/>
          <w:rtl/>
        </w:rPr>
        <w:t xml:space="preserve"> لم يك</w:t>
      </w:r>
      <w:r w:rsidR="002A6E7F" w:rsidRPr="00904FCB">
        <w:rPr>
          <w:rFonts w:hint="cs"/>
          <w:rtl/>
        </w:rPr>
        <w:t>ْ</w:t>
      </w:r>
      <w:r w:rsidRPr="00904FCB">
        <w:rPr>
          <w:rFonts w:hint="cs"/>
          <w:rtl/>
        </w:rPr>
        <w:t>ف</w:t>
      </w:r>
      <w:r w:rsidR="002A6E7F" w:rsidRPr="00904FCB">
        <w:rPr>
          <w:rFonts w:hint="cs"/>
          <w:rtl/>
        </w:rPr>
        <w:t>ِ</w:t>
      </w:r>
      <w:r w:rsidRPr="00904FCB">
        <w:rPr>
          <w:rFonts w:hint="cs"/>
          <w:rtl/>
        </w:rPr>
        <w:t xml:space="preserve">؟! </w:t>
      </w:r>
      <w:r w:rsidR="002A6E7F" w:rsidRPr="00904FCB">
        <w:rPr>
          <w:rFonts w:hint="cs"/>
          <w:rtl/>
        </w:rPr>
        <w:t>ف</w:t>
      </w:r>
      <w:r w:rsidRPr="00904FCB">
        <w:rPr>
          <w:rFonts w:hint="cs"/>
          <w:rtl/>
        </w:rPr>
        <w:t>هذا الكلام لا يمكن أن نلتزم به</w:t>
      </w:r>
      <w:r w:rsidR="002A6E7F" w:rsidRPr="00904FCB">
        <w:rPr>
          <w:rFonts w:hint="cs"/>
          <w:rtl/>
        </w:rPr>
        <w:t>،</w:t>
      </w:r>
      <w:r w:rsidRPr="00904FCB">
        <w:rPr>
          <w:rFonts w:hint="cs"/>
          <w:rtl/>
        </w:rPr>
        <w:t xml:space="preserve"> </w:t>
      </w:r>
      <w:r w:rsidR="002A6E7F" w:rsidRPr="00904FCB">
        <w:rPr>
          <w:rFonts w:hint="cs"/>
          <w:rtl/>
        </w:rPr>
        <w:t>و</w:t>
      </w:r>
      <w:r w:rsidRPr="00904FCB">
        <w:rPr>
          <w:rFonts w:hint="cs"/>
          <w:rtl/>
        </w:rPr>
        <w:t xml:space="preserve">كذا وجوب كون الذبح في منى. </w:t>
      </w:r>
    </w:p>
    <w:p w:rsidR="005B6CEC" w:rsidRPr="00904FCB" w:rsidRDefault="005B6CEC" w:rsidP="007A21AA">
      <w:pPr>
        <w:spacing w:line="400" w:lineRule="exact"/>
        <w:rPr>
          <w:rtl/>
        </w:rPr>
      </w:pPr>
      <w:r w:rsidRPr="00904FCB">
        <w:rPr>
          <w:rFonts w:hint="cs"/>
          <w:rtl/>
        </w:rPr>
        <w:t xml:space="preserve">فالواجب هو الذبح في يوم النحر، لا سائر الخصوصيات. </w:t>
      </w:r>
    </w:p>
    <w:p w:rsidR="005B6CEC" w:rsidRPr="00904FCB" w:rsidRDefault="005B6CEC" w:rsidP="007A21AA">
      <w:pPr>
        <w:spacing w:line="400" w:lineRule="exact"/>
        <w:rPr>
          <w:rtl/>
          <w:lang w:bidi="fa-IR"/>
        </w:rPr>
      </w:pPr>
      <w:r w:rsidRPr="00756F2A">
        <w:rPr>
          <w:rFonts w:hint="cs"/>
          <w:b/>
          <w:bCs/>
          <w:rtl/>
        </w:rPr>
        <w:t xml:space="preserve">12ـ </w:t>
      </w:r>
      <w:r w:rsidR="002A6E7F" w:rsidRPr="00756F2A">
        <w:rPr>
          <w:rFonts w:hint="cs"/>
          <w:b/>
          <w:bCs/>
          <w:rtl/>
        </w:rPr>
        <w:t>و</w:t>
      </w:r>
      <w:r w:rsidRPr="00756F2A">
        <w:rPr>
          <w:rFonts w:hint="cs"/>
          <w:b/>
          <w:bCs/>
          <w:rtl/>
        </w:rPr>
        <w:t>في الوسيلة</w:t>
      </w:r>
      <w:r w:rsidR="002A6E7F" w:rsidRPr="00756F2A">
        <w:rPr>
          <w:rFonts w:hint="cs"/>
          <w:b/>
          <w:bCs/>
          <w:rtl/>
        </w:rPr>
        <w:t>،</w:t>
      </w:r>
      <w:r w:rsidRPr="00756F2A">
        <w:rPr>
          <w:rFonts w:hint="cs"/>
          <w:b/>
          <w:bCs/>
          <w:rtl/>
        </w:rPr>
        <w:t xml:space="preserve"> لابن حمزة</w:t>
      </w:r>
      <w:r w:rsidR="002A6E7F" w:rsidRPr="00756F2A">
        <w:rPr>
          <w:rFonts w:hint="cs"/>
          <w:rtl/>
        </w:rPr>
        <w:t>:</w:t>
      </w:r>
      <w:r w:rsidRPr="00756F2A">
        <w:rPr>
          <w:rFonts w:hint="cs"/>
          <w:rtl/>
        </w:rPr>
        <w:t xml:space="preserve"> فصل</w:t>
      </w:r>
      <w:r w:rsidR="002A6E7F" w:rsidRPr="00756F2A">
        <w:rPr>
          <w:rFonts w:hint="cs"/>
          <w:rtl/>
        </w:rPr>
        <w:t xml:space="preserve">: </w:t>
      </w:r>
      <w:r w:rsidRPr="00756F2A">
        <w:rPr>
          <w:rFonts w:hint="cs"/>
          <w:rtl/>
        </w:rPr>
        <w:t>...والمناسك بمنى ضربان</w:t>
      </w:r>
      <w:r w:rsidR="002A6E7F" w:rsidRPr="00756F2A">
        <w:rPr>
          <w:rFonts w:hint="cs"/>
          <w:rtl/>
        </w:rPr>
        <w:t>:</w:t>
      </w:r>
      <w:r w:rsidRPr="00756F2A">
        <w:rPr>
          <w:rFonts w:hint="cs"/>
          <w:rtl/>
        </w:rPr>
        <w:t xml:space="preserve"> أحدهما في يوم</w:t>
      </w:r>
      <w:r w:rsidRPr="00904FCB">
        <w:rPr>
          <w:rFonts w:hint="cs"/>
          <w:rtl/>
        </w:rPr>
        <w:t xml:space="preserve"> النحر</w:t>
      </w:r>
      <w:r w:rsidR="002A6E7F" w:rsidRPr="00904FCB">
        <w:rPr>
          <w:rFonts w:hint="cs"/>
          <w:rtl/>
        </w:rPr>
        <w:t>؛</w:t>
      </w:r>
      <w:r w:rsidRPr="00904FCB">
        <w:rPr>
          <w:rFonts w:hint="cs"/>
          <w:rtl/>
        </w:rPr>
        <w:t xml:space="preserve"> والثاني في أيام التشريق</w:t>
      </w:r>
      <w:r w:rsidR="002A6E7F" w:rsidRPr="00904FCB">
        <w:rPr>
          <w:rFonts w:hint="cs"/>
          <w:rtl/>
        </w:rPr>
        <w:t>.</w:t>
      </w:r>
      <w:r w:rsidRPr="00904FCB">
        <w:rPr>
          <w:rFonts w:hint="cs"/>
          <w:rtl/>
        </w:rPr>
        <w:t xml:space="preserve"> فالمناسك في يوم النحر ثل</w:t>
      </w:r>
      <w:r w:rsidR="002A6E7F" w:rsidRPr="00904FCB">
        <w:rPr>
          <w:rFonts w:hint="cs"/>
          <w:rtl/>
        </w:rPr>
        <w:t>ا</w:t>
      </w:r>
      <w:r w:rsidRPr="00904FCB">
        <w:rPr>
          <w:rFonts w:hint="cs"/>
          <w:rtl/>
        </w:rPr>
        <w:t>ثة: الرمي</w:t>
      </w:r>
      <w:r w:rsidR="002A6E7F" w:rsidRPr="00904FCB">
        <w:rPr>
          <w:rFonts w:hint="cs"/>
          <w:rtl/>
        </w:rPr>
        <w:t>،</w:t>
      </w:r>
      <w:r w:rsidRPr="00904FCB">
        <w:rPr>
          <w:rFonts w:hint="cs"/>
          <w:rtl/>
        </w:rPr>
        <w:t xml:space="preserve"> ثم النحر</w:t>
      </w:r>
      <w:r w:rsidR="002A6E7F" w:rsidRPr="00904FCB">
        <w:rPr>
          <w:rFonts w:hint="cs"/>
          <w:rtl/>
        </w:rPr>
        <w:t>،</w:t>
      </w:r>
      <w:r w:rsidRPr="00904FCB">
        <w:rPr>
          <w:rFonts w:hint="cs"/>
          <w:rtl/>
        </w:rPr>
        <w:t xml:space="preserve"> ثم الحلق</w:t>
      </w:r>
      <w:r w:rsidR="002A6E7F" w:rsidRPr="00904FCB">
        <w:rPr>
          <w:rFonts w:hint="cs"/>
          <w:rtl/>
        </w:rPr>
        <w:t>.</w:t>
      </w:r>
      <w:r w:rsidRPr="00904FCB">
        <w:rPr>
          <w:rFonts w:hint="cs"/>
          <w:rtl/>
        </w:rPr>
        <w:t xml:space="preserve"> ويتعلق بالرمي أفعال... وأمّا الذبح والنحر فأربعة أشياء</w:t>
      </w:r>
      <w:r w:rsidR="00164A97" w:rsidRPr="00904FCB">
        <w:rPr>
          <w:rFonts w:hint="cs"/>
          <w:rtl/>
        </w:rPr>
        <w:t>:</w:t>
      </w:r>
      <w:r w:rsidRPr="00904FCB">
        <w:rPr>
          <w:rFonts w:hint="cs"/>
          <w:rtl/>
        </w:rPr>
        <w:t xml:space="preserve"> هدي التمتع</w:t>
      </w:r>
      <w:r w:rsidR="00164A97" w:rsidRPr="00904FCB">
        <w:rPr>
          <w:rFonts w:hint="cs"/>
          <w:rtl/>
        </w:rPr>
        <w:t>،</w:t>
      </w:r>
      <w:r w:rsidRPr="00904FCB">
        <w:rPr>
          <w:rFonts w:hint="cs"/>
          <w:rtl/>
        </w:rPr>
        <w:t xml:space="preserve"> والقارن</w:t>
      </w:r>
      <w:r w:rsidR="00164A97" w:rsidRPr="00904FCB">
        <w:rPr>
          <w:rFonts w:hint="cs"/>
          <w:rtl/>
        </w:rPr>
        <w:t>،</w:t>
      </w:r>
      <w:r w:rsidRPr="00904FCB">
        <w:rPr>
          <w:rFonts w:hint="cs"/>
          <w:rtl/>
        </w:rPr>
        <w:t xml:space="preserve"> والكف</w:t>
      </w:r>
      <w:r w:rsidR="00164A97" w:rsidRPr="00904FCB">
        <w:rPr>
          <w:rFonts w:hint="cs"/>
          <w:rtl/>
        </w:rPr>
        <w:t>ّ</w:t>
      </w:r>
      <w:r w:rsidRPr="00904FCB">
        <w:rPr>
          <w:rFonts w:hint="cs"/>
          <w:rtl/>
        </w:rPr>
        <w:t>ارة</w:t>
      </w:r>
      <w:r w:rsidR="00164A97" w:rsidRPr="00904FCB">
        <w:rPr>
          <w:rFonts w:hint="cs"/>
          <w:rtl/>
        </w:rPr>
        <w:t>،</w:t>
      </w:r>
      <w:r w:rsidRPr="00904FCB">
        <w:rPr>
          <w:rFonts w:hint="cs"/>
          <w:rtl/>
        </w:rPr>
        <w:t xml:space="preserve"> والأضحية. والمتمتع </w:t>
      </w:r>
      <w:r w:rsidR="00164A97" w:rsidRPr="00904FCB">
        <w:rPr>
          <w:rFonts w:hint="cs"/>
          <w:rtl/>
        </w:rPr>
        <w:t>إ</w:t>
      </w:r>
      <w:r w:rsidRPr="00904FCB">
        <w:rPr>
          <w:rFonts w:hint="cs"/>
          <w:rtl/>
        </w:rPr>
        <w:t>ما يجد الهدي وثمنه</w:t>
      </w:r>
      <w:r w:rsidR="00164A97" w:rsidRPr="00904FCB">
        <w:rPr>
          <w:rFonts w:hint="cs"/>
          <w:rtl/>
        </w:rPr>
        <w:t>؛</w:t>
      </w:r>
      <w:r w:rsidRPr="00904FCB">
        <w:rPr>
          <w:rFonts w:hint="cs"/>
          <w:rtl/>
        </w:rPr>
        <w:t xml:space="preserve"> أو يجد الثمن دون الهدي</w:t>
      </w:r>
      <w:r w:rsidR="00164A97" w:rsidRPr="00904FCB">
        <w:rPr>
          <w:rFonts w:hint="cs"/>
          <w:rtl/>
        </w:rPr>
        <w:t>؛</w:t>
      </w:r>
      <w:r w:rsidRPr="00904FCB">
        <w:rPr>
          <w:rFonts w:hint="cs"/>
          <w:rtl/>
        </w:rPr>
        <w:t xml:space="preserve"> أو الهدي دون الثمن</w:t>
      </w:r>
      <w:r w:rsidR="00164A97" w:rsidRPr="00904FCB">
        <w:rPr>
          <w:rFonts w:hint="cs"/>
          <w:rtl/>
        </w:rPr>
        <w:t xml:space="preserve">. </w:t>
      </w:r>
      <w:r w:rsidRPr="00904FCB">
        <w:rPr>
          <w:rFonts w:hint="cs"/>
          <w:rtl/>
        </w:rPr>
        <w:t xml:space="preserve">فالأوّل يلزمه... والثاني </w:t>
      </w:r>
      <w:r w:rsidR="00164A97" w:rsidRPr="00904FCB">
        <w:rPr>
          <w:rFonts w:hint="cs"/>
          <w:rtl/>
        </w:rPr>
        <w:t>إ</w:t>
      </w:r>
      <w:r w:rsidRPr="00904FCB">
        <w:rPr>
          <w:rFonts w:hint="cs"/>
          <w:rtl/>
        </w:rPr>
        <w:t>ن</w:t>
      </w:r>
      <w:r w:rsidR="006D5FA8">
        <w:rPr>
          <w:rFonts w:hint="cs"/>
          <w:rtl/>
        </w:rPr>
        <w:t>ْ</w:t>
      </w:r>
      <w:r w:rsidRPr="00904FCB">
        <w:rPr>
          <w:rFonts w:hint="cs"/>
          <w:rtl/>
        </w:rPr>
        <w:t xml:space="preserve"> أقام بمكّة طول ذي الحجة ووجد الهدي ابتاعه وذبح</w:t>
      </w:r>
      <w:r w:rsidR="00164A97" w:rsidRPr="00904FCB">
        <w:rPr>
          <w:rFonts w:hint="cs"/>
          <w:rtl/>
        </w:rPr>
        <w:t>،</w:t>
      </w:r>
      <w:r w:rsidRPr="00904FCB">
        <w:rPr>
          <w:rFonts w:hint="cs"/>
          <w:rtl/>
        </w:rPr>
        <w:t xml:space="preserve"> و</w:t>
      </w:r>
      <w:r w:rsidR="00164A97" w:rsidRPr="00904FCB">
        <w:rPr>
          <w:rFonts w:hint="cs"/>
          <w:rtl/>
        </w:rPr>
        <w:t>إ</w:t>
      </w:r>
      <w:r w:rsidRPr="00904FCB">
        <w:rPr>
          <w:rFonts w:hint="cs"/>
          <w:rtl/>
        </w:rPr>
        <w:t>ن</w:t>
      </w:r>
      <w:r w:rsidR="006D5FA8">
        <w:rPr>
          <w:rFonts w:hint="cs"/>
          <w:rtl/>
        </w:rPr>
        <w:t>ْ</w:t>
      </w:r>
      <w:r w:rsidRPr="00904FCB">
        <w:rPr>
          <w:rFonts w:hint="cs"/>
          <w:rtl/>
        </w:rPr>
        <w:t xml:space="preserve"> لم يقم...</w:t>
      </w:r>
      <w:r w:rsidRPr="00904FCB">
        <w:rPr>
          <w:rFonts w:hint="cs"/>
          <w:vertAlign w:val="superscript"/>
          <w:rtl/>
        </w:rPr>
        <w:t>(</w:t>
      </w:r>
      <w:r w:rsidRPr="00904FCB">
        <w:rPr>
          <w:rStyle w:val="ac"/>
          <w:sz w:val="27"/>
          <w:rtl/>
        </w:rPr>
        <w:endnoteReference w:id="435"/>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عبارته مجمل</w:t>
      </w:r>
      <w:r w:rsidR="00164A97" w:rsidRPr="00904FCB">
        <w:rPr>
          <w:rFonts w:hint="cs"/>
          <w:rtl/>
        </w:rPr>
        <w:t>ةٌ؛</w:t>
      </w:r>
      <w:r w:rsidRPr="00904FCB">
        <w:rPr>
          <w:rFonts w:hint="cs"/>
          <w:rtl/>
        </w:rPr>
        <w:t xml:space="preserve"> إذ </w:t>
      </w:r>
      <w:r w:rsidR="00164A97" w:rsidRPr="00904FCB">
        <w:rPr>
          <w:rFonts w:hint="cs"/>
          <w:rtl/>
        </w:rPr>
        <w:t>إ</w:t>
      </w:r>
      <w:r w:rsidRPr="00904FCB">
        <w:rPr>
          <w:rFonts w:hint="cs"/>
          <w:rtl/>
        </w:rPr>
        <w:t>نه يقول</w:t>
      </w:r>
      <w:r w:rsidR="00164A97" w:rsidRPr="00904FCB">
        <w:rPr>
          <w:rFonts w:hint="cs"/>
          <w:rtl/>
        </w:rPr>
        <w:t>:</w:t>
      </w:r>
      <w:r w:rsidRPr="00904FCB">
        <w:rPr>
          <w:rFonts w:hint="cs"/>
          <w:rtl/>
        </w:rPr>
        <w:t xml:space="preserve"> الذبح من مناسك منى</w:t>
      </w:r>
      <w:r w:rsidR="00164A97" w:rsidRPr="00904FCB">
        <w:rPr>
          <w:rFonts w:hint="cs"/>
          <w:rtl/>
        </w:rPr>
        <w:t>،</w:t>
      </w:r>
      <w:r w:rsidRPr="00904FCB">
        <w:rPr>
          <w:rFonts w:hint="cs"/>
          <w:rtl/>
        </w:rPr>
        <w:t xml:space="preserve"> ولكن لم يذكر وجوب كون الذبح في منى أو استحباب</w:t>
      </w:r>
      <w:r w:rsidR="00164A97" w:rsidRPr="00904FCB">
        <w:rPr>
          <w:rFonts w:hint="cs"/>
          <w:rtl/>
        </w:rPr>
        <w:t>ه</w:t>
      </w:r>
      <w:r w:rsidRPr="00904FCB">
        <w:rPr>
          <w:rFonts w:hint="cs"/>
          <w:rtl/>
        </w:rPr>
        <w:t>. كما أن ذيله أيضاً ساكت من بيان وجوب كون الذبح في مكّة أو منى إن</w:t>
      </w:r>
      <w:r w:rsidR="00164A97" w:rsidRPr="00904FCB">
        <w:rPr>
          <w:rFonts w:hint="cs"/>
          <w:rtl/>
        </w:rPr>
        <w:t>ْ</w:t>
      </w:r>
      <w:r w:rsidRPr="00904FCB">
        <w:rPr>
          <w:rFonts w:hint="cs"/>
          <w:rtl/>
        </w:rPr>
        <w:t xml:space="preserve"> أقام بمك</w:t>
      </w:r>
      <w:r w:rsidR="00164A97" w:rsidRPr="00904FCB">
        <w:rPr>
          <w:rFonts w:hint="cs"/>
          <w:rtl/>
        </w:rPr>
        <w:t>ّ</w:t>
      </w:r>
      <w:r w:rsidRPr="00904FCB">
        <w:rPr>
          <w:rFonts w:hint="cs"/>
          <w:rtl/>
        </w:rPr>
        <w:t>ة ووجد الهدي</w:t>
      </w:r>
      <w:r w:rsidR="00164A97" w:rsidRPr="00904FCB">
        <w:rPr>
          <w:rFonts w:hint="cs"/>
          <w:rtl/>
        </w:rPr>
        <w:t>.</w:t>
      </w:r>
      <w:r w:rsidRPr="00904FCB">
        <w:rPr>
          <w:rFonts w:hint="cs"/>
          <w:rtl/>
        </w:rPr>
        <w:t xml:space="preserve"> فالمهم عنده نفس الذبح</w:t>
      </w:r>
      <w:r w:rsidR="00164A97" w:rsidRPr="00904FCB">
        <w:rPr>
          <w:rFonts w:hint="cs"/>
          <w:rtl/>
        </w:rPr>
        <w:t>،</w:t>
      </w:r>
      <w:r w:rsidRPr="00904FCB">
        <w:rPr>
          <w:rFonts w:hint="cs"/>
          <w:rtl/>
        </w:rPr>
        <w:t xml:space="preserve"> دون المكان، ولذا أهمله. </w:t>
      </w:r>
    </w:p>
    <w:p w:rsidR="005B6CEC" w:rsidRPr="00904FCB" w:rsidRDefault="005B6CEC" w:rsidP="007A21AA">
      <w:pPr>
        <w:spacing w:line="400" w:lineRule="exact"/>
        <w:rPr>
          <w:rtl/>
        </w:rPr>
      </w:pPr>
      <w:r w:rsidRPr="00756F2A">
        <w:rPr>
          <w:rFonts w:hint="cs"/>
          <w:b/>
          <w:bCs/>
          <w:rtl/>
        </w:rPr>
        <w:t xml:space="preserve">13ـ </w:t>
      </w:r>
      <w:r w:rsidR="00164A97" w:rsidRPr="00756F2A">
        <w:rPr>
          <w:rFonts w:hint="cs"/>
          <w:b/>
          <w:bCs/>
          <w:rtl/>
        </w:rPr>
        <w:t>و</w:t>
      </w:r>
      <w:r w:rsidRPr="00756F2A">
        <w:rPr>
          <w:rFonts w:hint="cs"/>
          <w:b/>
          <w:bCs/>
          <w:rtl/>
        </w:rPr>
        <w:t>في النهاية</w:t>
      </w:r>
      <w:r w:rsidR="00164A97" w:rsidRPr="00756F2A">
        <w:rPr>
          <w:rFonts w:hint="cs"/>
          <w:b/>
          <w:bCs/>
          <w:rtl/>
        </w:rPr>
        <w:t>،</w:t>
      </w:r>
      <w:r w:rsidRPr="00756F2A">
        <w:rPr>
          <w:rFonts w:hint="cs"/>
          <w:b/>
          <w:bCs/>
          <w:rtl/>
        </w:rPr>
        <w:t xml:space="preserve"> للشيخ الطوسي</w:t>
      </w:r>
      <w:r w:rsidRPr="00756F2A">
        <w:rPr>
          <w:rFonts w:hint="cs"/>
          <w:rtl/>
        </w:rPr>
        <w:t>: ولا يجوز أن يذبح الهدي الواجب في الحج</w:t>
      </w:r>
      <w:r w:rsidR="00164A97" w:rsidRPr="00756F2A">
        <w:rPr>
          <w:rFonts w:hint="cs"/>
          <w:rtl/>
        </w:rPr>
        <w:t>ّ</w:t>
      </w:r>
      <w:r w:rsidRPr="00756F2A">
        <w:rPr>
          <w:rFonts w:hint="cs"/>
          <w:rtl/>
        </w:rPr>
        <w:t xml:space="preserve"> إلاّ</w:t>
      </w:r>
      <w:r w:rsidRPr="00904FCB">
        <w:rPr>
          <w:rFonts w:hint="cs"/>
          <w:rtl/>
        </w:rPr>
        <w:t xml:space="preserve"> بمنى</w:t>
      </w:r>
      <w:r w:rsidR="00164A97" w:rsidRPr="00904FCB">
        <w:rPr>
          <w:rFonts w:hint="cs"/>
          <w:rtl/>
        </w:rPr>
        <w:t>،</w:t>
      </w:r>
      <w:r w:rsidRPr="00904FCB">
        <w:rPr>
          <w:rFonts w:hint="cs"/>
          <w:rtl/>
        </w:rPr>
        <w:t xml:space="preserve"> وما ليس بواجب جاز ذبحه أو نحره بمكّة... وقال بعد صفحة</w:t>
      </w:r>
      <w:r w:rsidR="00164A97" w:rsidRPr="00904FCB">
        <w:rPr>
          <w:rFonts w:hint="cs"/>
          <w:rtl/>
        </w:rPr>
        <w:t>ٍ</w:t>
      </w:r>
      <w:r w:rsidRPr="00904FCB">
        <w:rPr>
          <w:rFonts w:hint="cs"/>
          <w:rtl/>
        </w:rPr>
        <w:t>: وجميع ما يلزم الحاج المتمت</w:t>
      </w:r>
      <w:r w:rsidR="00164A97" w:rsidRPr="00904FCB">
        <w:rPr>
          <w:rFonts w:hint="cs"/>
          <w:rtl/>
        </w:rPr>
        <w:t>ّ</w:t>
      </w:r>
      <w:r w:rsidRPr="00904FCB">
        <w:rPr>
          <w:rFonts w:hint="cs"/>
          <w:rtl/>
        </w:rPr>
        <w:t>ع وغير المتمت</w:t>
      </w:r>
      <w:r w:rsidR="00164A97" w:rsidRPr="00904FCB">
        <w:rPr>
          <w:rFonts w:hint="cs"/>
          <w:rtl/>
        </w:rPr>
        <w:t>ّ</w:t>
      </w:r>
      <w:r w:rsidRPr="00904FCB">
        <w:rPr>
          <w:rFonts w:hint="cs"/>
          <w:rtl/>
        </w:rPr>
        <w:t>ع من الهدي والكفارات في حال الإحرام لا يجوز ذبحه ولا نحره إلاّ بمنى. وكل</w:t>
      </w:r>
      <w:r w:rsidR="00164A97" w:rsidRPr="00904FCB">
        <w:rPr>
          <w:rFonts w:hint="cs"/>
          <w:rtl/>
        </w:rPr>
        <w:t>ّ</w:t>
      </w:r>
      <w:r w:rsidRPr="00904FCB">
        <w:rPr>
          <w:rFonts w:hint="cs"/>
          <w:rtl/>
        </w:rPr>
        <w:t xml:space="preserve"> ما يلزمه في إحرام العمرة فلا ينحره إلاّ بمكة</w:t>
      </w:r>
      <w:r w:rsidRPr="00904FCB">
        <w:rPr>
          <w:rFonts w:hint="cs"/>
          <w:vertAlign w:val="superscript"/>
          <w:rtl/>
        </w:rPr>
        <w:t>(</w:t>
      </w:r>
      <w:r w:rsidRPr="00904FCB">
        <w:rPr>
          <w:rStyle w:val="ac"/>
          <w:sz w:val="27"/>
          <w:rtl/>
        </w:rPr>
        <w:endnoteReference w:id="436"/>
      </w:r>
      <w:r w:rsidRPr="00904FCB">
        <w:rPr>
          <w:rFonts w:hint="cs"/>
          <w:vertAlign w:val="superscript"/>
          <w:rtl/>
        </w:rPr>
        <w:t>)</w:t>
      </w:r>
      <w:r w:rsidRPr="00904FCB">
        <w:rPr>
          <w:rFonts w:hint="cs"/>
          <w:rtl/>
        </w:rPr>
        <w:t xml:space="preserve">. </w:t>
      </w:r>
    </w:p>
    <w:p w:rsidR="005B6CEC" w:rsidRPr="00904FCB" w:rsidRDefault="005B6CEC" w:rsidP="00510A75">
      <w:pPr>
        <w:spacing w:line="400" w:lineRule="exact"/>
        <w:rPr>
          <w:rtl/>
        </w:rPr>
      </w:pPr>
      <w:r w:rsidRPr="00904FCB">
        <w:rPr>
          <w:rFonts w:hint="cs"/>
          <w:rtl/>
        </w:rPr>
        <w:t>أقول: الشيخ</w:t>
      </w:r>
      <w:r w:rsidR="00510A75" w:rsidRPr="00756F2A">
        <w:rPr>
          <w:rFonts w:ascii="Mosawi" w:hAnsi="Mosawi" w:cs="Mosawi"/>
          <w:sz w:val="22"/>
          <w:szCs w:val="22"/>
          <w:rtl/>
        </w:rPr>
        <w:t>&amp;</w:t>
      </w:r>
      <w:r w:rsidRPr="00904FCB">
        <w:rPr>
          <w:rFonts w:hint="cs"/>
          <w:rtl/>
        </w:rPr>
        <w:t xml:space="preserve"> هو أوّل م</w:t>
      </w:r>
      <w:r w:rsidR="00164A97" w:rsidRPr="00904FCB">
        <w:rPr>
          <w:rFonts w:hint="cs"/>
          <w:rtl/>
        </w:rPr>
        <w:t>َ</w:t>
      </w:r>
      <w:r w:rsidRPr="00904FCB">
        <w:rPr>
          <w:rFonts w:hint="cs"/>
          <w:rtl/>
        </w:rPr>
        <w:t>ن</w:t>
      </w:r>
      <w:r w:rsidR="00164A97" w:rsidRPr="00904FCB">
        <w:rPr>
          <w:rFonts w:hint="cs"/>
          <w:rtl/>
        </w:rPr>
        <w:t>ْ</w:t>
      </w:r>
      <w:r w:rsidRPr="00904FCB">
        <w:rPr>
          <w:rFonts w:hint="cs"/>
          <w:rtl/>
        </w:rPr>
        <w:t xml:space="preserve"> صرّ</w:t>
      </w:r>
      <w:r w:rsidR="00164A97" w:rsidRPr="00904FCB">
        <w:rPr>
          <w:rFonts w:hint="cs"/>
          <w:rtl/>
        </w:rPr>
        <w:t>َ</w:t>
      </w:r>
      <w:r w:rsidRPr="00904FCB">
        <w:rPr>
          <w:rFonts w:hint="cs"/>
          <w:rtl/>
        </w:rPr>
        <w:t>ح بوجوب وقوع الذبح في منى</w:t>
      </w:r>
      <w:r w:rsidR="00164A97" w:rsidRPr="00904FCB">
        <w:rPr>
          <w:rFonts w:hint="cs"/>
          <w:rtl/>
        </w:rPr>
        <w:t>،</w:t>
      </w:r>
      <w:r w:rsidRPr="00904FCB">
        <w:rPr>
          <w:rFonts w:hint="cs"/>
          <w:rtl/>
        </w:rPr>
        <w:t xml:space="preserve"> مع أنه لم يذكر </w:t>
      </w:r>
      <w:r w:rsidRPr="00904FCB">
        <w:rPr>
          <w:rFonts w:hint="cs"/>
          <w:rtl/>
        </w:rPr>
        <w:lastRenderedPageBreak/>
        <w:t>شيئاً في المبسوط</w:t>
      </w:r>
      <w:r w:rsidR="00164A97" w:rsidRPr="00904FCB">
        <w:rPr>
          <w:rFonts w:hint="cs"/>
          <w:rtl/>
        </w:rPr>
        <w:t>،</w:t>
      </w:r>
      <w:r w:rsidRPr="00904FCB">
        <w:rPr>
          <w:rFonts w:hint="cs"/>
          <w:rtl/>
        </w:rPr>
        <w:t xml:space="preserve"> بل كان سعيه فيه </w:t>
      </w:r>
      <w:r w:rsidR="00164A97" w:rsidRPr="00904FCB">
        <w:rPr>
          <w:rFonts w:hint="cs"/>
          <w:rtl/>
        </w:rPr>
        <w:t>ل</w:t>
      </w:r>
      <w:r w:rsidRPr="00904FCB">
        <w:rPr>
          <w:rFonts w:hint="cs"/>
          <w:rtl/>
        </w:rPr>
        <w:t>إثبات وجوب الهدي</w:t>
      </w:r>
      <w:r w:rsidR="00164A97" w:rsidRPr="00904FCB">
        <w:rPr>
          <w:rFonts w:hint="cs"/>
          <w:rtl/>
        </w:rPr>
        <w:t>،</w:t>
      </w:r>
      <w:r w:rsidRPr="00904FCB">
        <w:rPr>
          <w:rFonts w:hint="cs"/>
          <w:rtl/>
        </w:rPr>
        <w:t xml:space="preserve"> دون مكان ذبحه</w:t>
      </w:r>
      <w:r w:rsidR="00164A97" w:rsidRPr="00904FCB">
        <w:rPr>
          <w:rFonts w:hint="cs"/>
          <w:rtl/>
        </w:rPr>
        <w:t>.</w:t>
      </w:r>
      <w:r w:rsidRPr="00904FCB">
        <w:rPr>
          <w:rFonts w:hint="cs"/>
          <w:rtl/>
        </w:rPr>
        <w:t xml:space="preserve"> قال في المبسوط: فإذا فرغ من رمي جمرة العقبة ذبح هديه</w:t>
      </w:r>
      <w:r w:rsidR="00A65A60" w:rsidRPr="00904FCB">
        <w:rPr>
          <w:rFonts w:hint="cs"/>
          <w:rtl/>
        </w:rPr>
        <w:t>،</w:t>
      </w:r>
      <w:r w:rsidRPr="00904FCB">
        <w:rPr>
          <w:rFonts w:hint="cs"/>
          <w:rtl/>
        </w:rPr>
        <w:t xml:space="preserve"> وإن</w:t>
      </w:r>
      <w:r w:rsidR="00A65A60" w:rsidRPr="00904FCB">
        <w:rPr>
          <w:rFonts w:hint="cs"/>
          <w:rtl/>
        </w:rPr>
        <w:t>ْ</w:t>
      </w:r>
      <w:r w:rsidRPr="00904FCB">
        <w:rPr>
          <w:rFonts w:hint="cs"/>
          <w:rtl/>
        </w:rPr>
        <w:t xml:space="preserve"> كان متمتعاً</w:t>
      </w:r>
      <w:r w:rsidR="00A65A60" w:rsidRPr="00904FCB">
        <w:rPr>
          <w:rFonts w:hint="cs"/>
          <w:rtl/>
        </w:rPr>
        <w:t>،</w:t>
      </w:r>
      <w:r w:rsidRPr="00904FCB">
        <w:rPr>
          <w:rFonts w:hint="cs"/>
          <w:rtl/>
        </w:rPr>
        <w:t xml:space="preserve"> فالهدي واجب عليه... وم</w:t>
      </w:r>
      <w:r w:rsidR="00A65A60" w:rsidRPr="00904FCB">
        <w:rPr>
          <w:rFonts w:hint="cs"/>
          <w:rtl/>
        </w:rPr>
        <w:t>َ</w:t>
      </w:r>
      <w:r w:rsidRPr="00904FCB">
        <w:rPr>
          <w:rFonts w:hint="cs"/>
          <w:rtl/>
        </w:rPr>
        <w:t>ن</w:t>
      </w:r>
      <w:r w:rsidR="00A65A60" w:rsidRPr="00904FCB">
        <w:rPr>
          <w:rFonts w:hint="cs"/>
          <w:rtl/>
        </w:rPr>
        <w:t>ْ</w:t>
      </w:r>
      <w:r w:rsidRPr="00904FCB">
        <w:rPr>
          <w:rFonts w:hint="cs"/>
          <w:rtl/>
        </w:rPr>
        <w:t xml:space="preserve"> وجب عليه الهدي ولا يقدر عليه فإن</w:t>
      </w:r>
      <w:r w:rsidR="00A65A60" w:rsidRPr="00904FCB">
        <w:rPr>
          <w:rFonts w:hint="cs"/>
          <w:rtl/>
        </w:rPr>
        <w:t>ْ</w:t>
      </w:r>
      <w:r w:rsidRPr="00904FCB">
        <w:rPr>
          <w:rFonts w:hint="cs"/>
          <w:rtl/>
        </w:rPr>
        <w:t xml:space="preserve"> كان معه ثمنه خلّ</w:t>
      </w:r>
      <w:r w:rsidR="00A65A60" w:rsidRPr="00904FCB">
        <w:rPr>
          <w:rFonts w:hint="cs"/>
          <w:rtl/>
        </w:rPr>
        <w:t>َ</w:t>
      </w:r>
      <w:r w:rsidRPr="00904FCB">
        <w:rPr>
          <w:rFonts w:hint="cs"/>
          <w:rtl/>
        </w:rPr>
        <w:t>فه عند م</w:t>
      </w:r>
      <w:r w:rsidR="00A65A60" w:rsidRPr="00904FCB">
        <w:rPr>
          <w:rFonts w:hint="cs"/>
          <w:rtl/>
        </w:rPr>
        <w:t>َ</w:t>
      </w:r>
      <w:r w:rsidRPr="00904FCB">
        <w:rPr>
          <w:rFonts w:hint="cs"/>
          <w:rtl/>
        </w:rPr>
        <w:t>ن</w:t>
      </w:r>
      <w:r w:rsidR="00A65A60" w:rsidRPr="00904FCB">
        <w:rPr>
          <w:rFonts w:hint="cs"/>
          <w:rtl/>
        </w:rPr>
        <w:t>ْ</w:t>
      </w:r>
      <w:r w:rsidRPr="00904FCB">
        <w:rPr>
          <w:rFonts w:hint="cs"/>
          <w:rtl/>
        </w:rPr>
        <w:t xml:space="preserve"> يثق به حت</w:t>
      </w:r>
      <w:r w:rsidR="00A65A60" w:rsidRPr="00904FCB">
        <w:rPr>
          <w:rFonts w:hint="cs"/>
          <w:rtl/>
        </w:rPr>
        <w:t>ّ</w:t>
      </w:r>
      <w:r w:rsidRPr="00904FCB">
        <w:rPr>
          <w:rFonts w:hint="cs"/>
          <w:rtl/>
        </w:rPr>
        <w:t>ى يشتري له ه</w:t>
      </w:r>
      <w:r w:rsidR="00A65A60" w:rsidRPr="00904FCB">
        <w:rPr>
          <w:rFonts w:hint="cs"/>
          <w:rtl/>
        </w:rPr>
        <w:t>َ</w:t>
      </w:r>
      <w:r w:rsidRPr="00904FCB">
        <w:rPr>
          <w:rFonts w:hint="cs"/>
          <w:rtl/>
        </w:rPr>
        <w:t>د</w:t>
      </w:r>
      <w:r w:rsidR="00A65A60" w:rsidRPr="00904FCB">
        <w:rPr>
          <w:rFonts w:hint="cs"/>
          <w:rtl/>
        </w:rPr>
        <w:t>ْ</w:t>
      </w:r>
      <w:r w:rsidRPr="00904FCB">
        <w:rPr>
          <w:rFonts w:hint="cs"/>
          <w:rtl/>
        </w:rPr>
        <w:t>ياً يذبح عنه في العام المقبل في ذي الحج</w:t>
      </w:r>
      <w:r w:rsidR="00A65A60" w:rsidRPr="00904FCB">
        <w:rPr>
          <w:rFonts w:hint="cs"/>
          <w:rtl/>
        </w:rPr>
        <w:t>ّ</w:t>
      </w:r>
      <w:r w:rsidRPr="00904FCB">
        <w:rPr>
          <w:rFonts w:hint="cs"/>
          <w:rtl/>
        </w:rPr>
        <w:t>ة</w:t>
      </w:r>
      <w:r w:rsidR="00A65A60" w:rsidRPr="00904FCB">
        <w:rPr>
          <w:rFonts w:hint="cs"/>
          <w:rtl/>
        </w:rPr>
        <w:t>؛</w:t>
      </w:r>
      <w:r w:rsidRPr="00904FCB">
        <w:rPr>
          <w:rFonts w:hint="cs"/>
          <w:rtl/>
        </w:rPr>
        <w:t xml:space="preserve"> و</w:t>
      </w:r>
      <w:r w:rsidR="00A65A60" w:rsidRPr="00904FCB">
        <w:rPr>
          <w:rFonts w:hint="cs"/>
          <w:rtl/>
        </w:rPr>
        <w:t>إ</w:t>
      </w:r>
      <w:r w:rsidRPr="00904FCB">
        <w:rPr>
          <w:rFonts w:hint="cs"/>
          <w:rtl/>
        </w:rPr>
        <w:t>ن</w:t>
      </w:r>
      <w:r w:rsidR="00A65A60" w:rsidRPr="00904FCB">
        <w:rPr>
          <w:rFonts w:hint="cs"/>
          <w:rtl/>
        </w:rPr>
        <w:t>ْ</w:t>
      </w:r>
      <w:r w:rsidRPr="00904FCB">
        <w:rPr>
          <w:rFonts w:hint="cs"/>
          <w:rtl/>
        </w:rPr>
        <w:t xml:space="preserve"> أصابه في مدة مقامه بمكّة إلى انقضاء ذي الحج</w:t>
      </w:r>
      <w:r w:rsidR="00A65A60" w:rsidRPr="00904FCB">
        <w:rPr>
          <w:rFonts w:hint="cs"/>
          <w:rtl/>
        </w:rPr>
        <w:t>ّ</w:t>
      </w:r>
      <w:r w:rsidRPr="00904FCB">
        <w:rPr>
          <w:rFonts w:hint="cs"/>
          <w:rtl/>
        </w:rPr>
        <w:t>ة جاز له أن يشتري به ويذبحه</w:t>
      </w:r>
      <w:r w:rsidR="00A65A60" w:rsidRPr="00904FCB">
        <w:rPr>
          <w:rFonts w:hint="cs"/>
          <w:rtl/>
        </w:rPr>
        <w:t>؛</w:t>
      </w:r>
      <w:r w:rsidRPr="00904FCB">
        <w:rPr>
          <w:rFonts w:hint="cs"/>
          <w:rtl/>
        </w:rPr>
        <w:t xml:space="preserve"> وإن</w:t>
      </w:r>
      <w:r w:rsidR="00A65A60" w:rsidRPr="00904FCB">
        <w:rPr>
          <w:rFonts w:hint="cs"/>
          <w:rtl/>
        </w:rPr>
        <w:t>ْ</w:t>
      </w:r>
      <w:r w:rsidRPr="00904FCB">
        <w:rPr>
          <w:rFonts w:hint="cs"/>
          <w:rtl/>
        </w:rPr>
        <w:t xml:space="preserve"> لم يصبه فعلى ما ذكرناه</w:t>
      </w:r>
      <w:r w:rsidR="00A65A60" w:rsidRPr="00904FCB">
        <w:rPr>
          <w:rFonts w:hint="cs"/>
          <w:vertAlign w:val="superscript"/>
          <w:rtl/>
        </w:rPr>
        <w:t>(</w:t>
      </w:r>
      <w:r w:rsidR="00A65A60" w:rsidRPr="00904FCB">
        <w:rPr>
          <w:rStyle w:val="ac"/>
          <w:sz w:val="27"/>
          <w:rtl/>
        </w:rPr>
        <w:endnoteReference w:id="437"/>
      </w:r>
      <w:r w:rsidR="00A65A60"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756F2A">
        <w:rPr>
          <w:rFonts w:hint="cs"/>
          <w:b/>
          <w:bCs/>
          <w:rtl/>
        </w:rPr>
        <w:t>14ـ وفي المراسم</w:t>
      </w:r>
      <w:r w:rsidRPr="00756F2A">
        <w:rPr>
          <w:rFonts w:hint="cs"/>
          <w:rtl/>
        </w:rPr>
        <w:t>: وكل</w:t>
      </w:r>
      <w:r w:rsidR="00A65A60" w:rsidRPr="00756F2A">
        <w:rPr>
          <w:rFonts w:hint="cs"/>
          <w:rtl/>
        </w:rPr>
        <w:t>ّ</w:t>
      </w:r>
      <w:r w:rsidRPr="00756F2A">
        <w:rPr>
          <w:rFonts w:hint="cs"/>
          <w:rtl/>
        </w:rPr>
        <w:t xml:space="preserve"> ما يجب من الفدية على المحرم بالحج</w:t>
      </w:r>
      <w:r w:rsidR="00A65A60" w:rsidRPr="00756F2A">
        <w:rPr>
          <w:rFonts w:hint="cs"/>
          <w:rtl/>
        </w:rPr>
        <w:t>ّ</w:t>
      </w:r>
      <w:r w:rsidRPr="00756F2A">
        <w:rPr>
          <w:rFonts w:hint="cs"/>
          <w:rtl/>
        </w:rPr>
        <w:t xml:space="preserve"> فإنه يذبحه أو</w:t>
      </w:r>
      <w:r w:rsidRPr="00904FCB">
        <w:rPr>
          <w:rFonts w:hint="cs"/>
          <w:rtl/>
        </w:rPr>
        <w:t xml:space="preserve"> ينحره بمنى</w:t>
      </w:r>
      <w:r w:rsidRPr="00904FCB">
        <w:rPr>
          <w:rFonts w:hint="cs"/>
          <w:vertAlign w:val="superscript"/>
          <w:rtl/>
        </w:rPr>
        <w:t>(</w:t>
      </w:r>
      <w:r w:rsidRPr="00904FCB">
        <w:rPr>
          <w:rStyle w:val="ac"/>
          <w:sz w:val="27"/>
          <w:rtl/>
        </w:rPr>
        <w:endnoteReference w:id="438"/>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756F2A">
        <w:rPr>
          <w:rFonts w:hint="cs"/>
          <w:b/>
          <w:bCs/>
          <w:rtl/>
        </w:rPr>
        <w:t>15ـ وفي السرائر</w:t>
      </w:r>
      <w:r w:rsidRPr="00756F2A">
        <w:rPr>
          <w:rFonts w:hint="cs"/>
          <w:rtl/>
        </w:rPr>
        <w:t>: ولا يجوز أن يذبح الهدي الواجب في الحج</w:t>
      </w:r>
      <w:r w:rsidR="00A65A60" w:rsidRPr="00756F2A">
        <w:rPr>
          <w:rFonts w:hint="cs"/>
          <w:rtl/>
        </w:rPr>
        <w:t>ّ</w:t>
      </w:r>
      <w:r w:rsidRPr="00756F2A">
        <w:rPr>
          <w:rFonts w:hint="cs"/>
          <w:rtl/>
        </w:rPr>
        <w:t xml:space="preserve"> والعمرة المتمت</w:t>
      </w:r>
      <w:r w:rsidR="00A65A60" w:rsidRPr="00756F2A">
        <w:rPr>
          <w:rFonts w:hint="cs"/>
          <w:rtl/>
        </w:rPr>
        <w:t>ّ</w:t>
      </w:r>
      <w:r w:rsidRPr="00756F2A">
        <w:rPr>
          <w:rFonts w:hint="cs"/>
          <w:rtl/>
        </w:rPr>
        <w:t>ع بها</w:t>
      </w:r>
      <w:r w:rsidRPr="00904FCB">
        <w:rPr>
          <w:rFonts w:hint="cs"/>
          <w:rtl/>
        </w:rPr>
        <w:t xml:space="preserve"> إلى الحج</w:t>
      </w:r>
      <w:r w:rsidR="00A65A60" w:rsidRPr="00904FCB">
        <w:rPr>
          <w:rFonts w:hint="cs"/>
          <w:rtl/>
        </w:rPr>
        <w:t>ّ</w:t>
      </w:r>
      <w:r w:rsidRPr="00904FCB">
        <w:rPr>
          <w:rFonts w:hint="cs"/>
          <w:rtl/>
        </w:rPr>
        <w:t xml:space="preserve"> إلاّ بمنى يوم النحر أو بعده، فإن</w:t>
      </w:r>
      <w:r w:rsidR="00A65A60" w:rsidRPr="00904FCB">
        <w:rPr>
          <w:rFonts w:hint="cs"/>
          <w:rtl/>
        </w:rPr>
        <w:t>ْ</w:t>
      </w:r>
      <w:r w:rsidRPr="00904FCB">
        <w:rPr>
          <w:rFonts w:hint="cs"/>
          <w:rtl/>
        </w:rPr>
        <w:t xml:space="preserve"> ذبحه بمكّة أو بغير منى لم ي</w:t>
      </w:r>
      <w:r w:rsidR="00A65A60" w:rsidRPr="00904FCB">
        <w:rPr>
          <w:rFonts w:hint="cs"/>
          <w:rtl/>
        </w:rPr>
        <w:t>ُ</w:t>
      </w:r>
      <w:r w:rsidRPr="00904FCB">
        <w:rPr>
          <w:rFonts w:hint="cs"/>
          <w:rtl/>
        </w:rPr>
        <w:t>ج</w:t>
      </w:r>
      <w:r w:rsidR="00A65A60" w:rsidRPr="00904FCB">
        <w:rPr>
          <w:rFonts w:hint="cs"/>
          <w:rtl/>
        </w:rPr>
        <w:t>ْ</w:t>
      </w:r>
      <w:r w:rsidRPr="00904FCB">
        <w:rPr>
          <w:rFonts w:hint="cs"/>
          <w:rtl/>
        </w:rPr>
        <w:t>ز</w:t>
      </w:r>
      <w:r w:rsidR="00A65A60" w:rsidRPr="00904FCB">
        <w:rPr>
          <w:rFonts w:hint="cs"/>
          <w:rtl/>
        </w:rPr>
        <w:t>ِ</w:t>
      </w:r>
      <w:r w:rsidRPr="00904FCB">
        <w:rPr>
          <w:rFonts w:hint="cs"/>
          <w:rtl/>
        </w:rPr>
        <w:t>ه، وما ليس بواجب جاز ذبحه أو نحره بمكة</w:t>
      </w:r>
      <w:r w:rsidRPr="00904FCB">
        <w:rPr>
          <w:rFonts w:hint="cs"/>
          <w:vertAlign w:val="superscript"/>
          <w:rtl/>
        </w:rPr>
        <w:t>(</w:t>
      </w:r>
      <w:r w:rsidRPr="00904FCB">
        <w:rPr>
          <w:rStyle w:val="ac"/>
          <w:sz w:val="27"/>
          <w:rtl/>
        </w:rPr>
        <w:endnoteReference w:id="439"/>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 xml:space="preserve">أقول: إلى هنا ذكرنا خمسة عشر من كلمات العلماء حول وجوب الذبح في منى. </w:t>
      </w:r>
    </w:p>
    <w:p w:rsidR="005B6CEC" w:rsidRPr="00904FCB" w:rsidRDefault="005B6CEC" w:rsidP="007A21AA">
      <w:pPr>
        <w:spacing w:line="400" w:lineRule="exact"/>
        <w:rPr>
          <w:rtl/>
        </w:rPr>
      </w:pPr>
      <w:r w:rsidRPr="00904FCB">
        <w:rPr>
          <w:rFonts w:hint="cs"/>
          <w:rtl/>
        </w:rPr>
        <w:t>فالذي يظهر من الكلمات إلى زمان الشيخ الطوسي هو عدم الوجوب. والشيخ هو الذي صرّ</w:t>
      </w:r>
      <w:r w:rsidR="00A65A60" w:rsidRPr="00904FCB">
        <w:rPr>
          <w:rFonts w:hint="cs"/>
          <w:rtl/>
        </w:rPr>
        <w:t>َ</w:t>
      </w:r>
      <w:r w:rsidRPr="00904FCB">
        <w:rPr>
          <w:rFonts w:hint="cs"/>
          <w:rtl/>
        </w:rPr>
        <w:t>ح بوجوب الذبح في منى في النهاية</w:t>
      </w:r>
      <w:r w:rsidR="00A65A60" w:rsidRPr="00904FCB">
        <w:rPr>
          <w:rFonts w:hint="cs"/>
          <w:rtl/>
        </w:rPr>
        <w:t>،</w:t>
      </w:r>
      <w:r w:rsidRPr="00904FCB">
        <w:rPr>
          <w:rFonts w:hint="cs"/>
          <w:rtl/>
        </w:rPr>
        <w:t xml:space="preserve"> واد</w:t>
      </w:r>
      <w:r w:rsidR="00A65A60" w:rsidRPr="00904FCB">
        <w:rPr>
          <w:rFonts w:hint="cs"/>
          <w:rtl/>
        </w:rPr>
        <w:t>ّ</w:t>
      </w:r>
      <w:r w:rsidRPr="00904FCB">
        <w:rPr>
          <w:rFonts w:hint="cs"/>
          <w:rtl/>
        </w:rPr>
        <w:t>عى الإجماع في الخلاف</w:t>
      </w:r>
      <w:r w:rsidR="00A65A60" w:rsidRPr="00904FCB">
        <w:rPr>
          <w:rFonts w:hint="cs"/>
          <w:rtl/>
        </w:rPr>
        <w:t>،</w:t>
      </w:r>
      <w:r w:rsidRPr="00904FCB">
        <w:rPr>
          <w:rFonts w:hint="cs"/>
          <w:rtl/>
        </w:rPr>
        <w:t xml:space="preserve"> ولكن أهمله في المبسوط</w:t>
      </w:r>
      <w:r w:rsidR="00A65A60" w:rsidRPr="00904FCB">
        <w:rPr>
          <w:rFonts w:hint="cs"/>
          <w:rtl/>
        </w:rPr>
        <w:t>،</w:t>
      </w:r>
      <w:r w:rsidRPr="00904FCB">
        <w:rPr>
          <w:rFonts w:hint="cs"/>
          <w:rtl/>
        </w:rPr>
        <w:t xml:space="preserve"> وتبعه ابن إدريس والسيد المرتضى وغيرهم من المتأخ</w:t>
      </w:r>
      <w:r w:rsidR="00A65A60" w:rsidRPr="00904FCB">
        <w:rPr>
          <w:rFonts w:hint="cs"/>
          <w:rtl/>
        </w:rPr>
        <w:t>ِّ</w:t>
      </w:r>
      <w:r w:rsidRPr="00904FCB">
        <w:rPr>
          <w:rFonts w:hint="cs"/>
          <w:rtl/>
        </w:rPr>
        <w:t>رين</w:t>
      </w:r>
      <w:r w:rsidR="00A65A60" w:rsidRPr="00904FCB">
        <w:rPr>
          <w:rFonts w:hint="cs"/>
          <w:rtl/>
        </w:rPr>
        <w:t>،</w:t>
      </w:r>
      <w:r w:rsidRPr="00904FCB">
        <w:rPr>
          <w:rFonts w:hint="cs"/>
          <w:rtl/>
        </w:rPr>
        <w:t xml:space="preserve"> كما سنذكر عباراتهم</w:t>
      </w:r>
      <w:r w:rsidR="00A65A60" w:rsidRPr="00904FCB">
        <w:rPr>
          <w:rFonts w:hint="cs"/>
          <w:rtl/>
        </w:rPr>
        <w:t>.</w:t>
      </w:r>
      <w:r w:rsidRPr="00904FCB">
        <w:rPr>
          <w:rFonts w:hint="cs"/>
          <w:rtl/>
        </w:rPr>
        <w:t xml:space="preserve"> ولكن القدماء من الأصحاب بين تارك</w:t>
      </w:r>
      <w:r w:rsidR="00A65A60" w:rsidRPr="00904FCB">
        <w:rPr>
          <w:rFonts w:hint="cs"/>
          <w:rtl/>
        </w:rPr>
        <w:t>ٍ</w:t>
      </w:r>
      <w:r w:rsidRPr="00904FCB">
        <w:rPr>
          <w:rFonts w:hint="cs"/>
          <w:rtl/>
        </w:rPr>
        <w:t xml:space="preserve"> لهذه المسألة وبين ناقل</w:t>
      </w:r>
      <w:r w:rsidR="00A65A60" w:rsidRPr="00904FCB">
        <w:rPr>
          <w:rFonts w:hint="cs"/>
          <w:rtl/>
        </w:rPr>
        <w:t>ٍ</w:t>
      </w:r>
      <w:r w:rsidRPr="00904FCB">
        <w:rPr>
          <w:rFonts w:hint="cs"/>
          <w:rtl/>
        </w:rPr>
        <w:t xml:space="preserve"> لفعل النبي</w:t>
      </w:r>
      <w:r w:rsidR="00A65A60" w:rsidRPr="00904FCB">
        <w:rPr>
          <w:rFonts w:hint="cs"/>
          <w:rtl/>
        </w:rPr>
        <w:t>ّ</w:t>
      </w:r>
      <w:r w:rsidR="00635E51" w:rsidRPr="00904FCB">
        <w:rPr>
          <w:rFonts w:cs="Mosawi" w:hint="cs"/>
          <w:szCs w:val="22"/>
          <w:rtl/>
        </w:rPr>
        <w:t>|</w:t>
      </w:r>
      <w:r w:rsidR="00A65A60" w:rsidRPr="00904FCB">
        <w:rPr>
          <w:rFonts w:hint="cs"/>
          <w:rtl/>
        </w:rPr>
        <w:t>،</w:t>
      </w:r>
      <w:r w:rsidRPr="00904FCB">
        <w:rPr>
          <w:rFonts w:hint="cs"/>
          <w:rtl/>
        </w:rPr>
        <w:t xml:space="preserve"> </w:t>
      </w:r>
      <w:r w:rsidR="00ED4B7A" w:rsidRPr="00904FCB">
        <w:rPr>
          <w:rFonts w:hint="cs"/>
          <w:rtl/>
        </w:rPr>
        <w:t>خا</w:t>
      </w:r>
      <w:r w:rsidRPr="00904FCB">
        <w:rPr>
          <w:rFonts w:hint="cs"/>
          <w:rtl/>
        </w:rPr>
        <w:t>لطاً الواجب والمستحب</w:t>
      </w:r>
      <w:r w:rsidR="00A65A60" w:rsidRPr="00904FCB">
        <w:rPr>
          <w:rFonts w:hint="cs"/>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فالإجماع التعب</w:t>
      </w:r>
      <w:r w:rsidR="00ED4B7A" w:rsidRPr="00904FCB">
        <w:rPr>
          <w:rFonts w:hint="cs"/>
          <w:rtl/>
        </w:rPr>
        <w:t>ُّ</w:t>
      </w:r>
      <w:r w:rsidRPr="00904FCB">
        <w:rPr>
          <w:rFonts w:hint="cs"/>
          <w:rtl/>
        </w:rPr>
        <w:t>دي الحاكي عن دليل</w:t>
      </w:r>
      <w:r w:rsidR="00ED4B7A" w:rsidRPr="00904FCB">
        <w:rPr>
          <w:rFonts w:hint="cs"/>
          <w:rtl/>
        </w:rPr>
        <w:t>ٍ</w:t>
      </w:r>
      <w:r w:rsidRPr="00904FCB">
        <w:rPr>
          <w:rFonts w:hint="cs"/>
          <w:rtl/>
        </w:rPr>
        <w:t xml:space="preserve"> وصل إليهم ولم يص</w:t>
      </w:r>
      <w:r w:rsidR="00ED4B7A" w:rsidRPr="00904FCB">
        <w:rPr>
          <w:rFonts w:hint="cs"/>
          <w:rtl/>
        </w:rPr>
        <w:t>ِ</w:t>
      </w:r>
      <w:r w:rsidRPr="00904FCB">
        <w:rPr>
          <w:rFonts w:hint="cs"/>
          <w:rtl/>
        </w:rPr>
        <w:t>ل</w:t>
      </w:r>
      <w:r w:rsidR="00ED4B7A" w:rsidRPr="00904FCB">
        <w:rPr>
          <w:rFonts w:hint="cs"/>
          <w:rtl/>
        </w:rPr>
        <w:t>ْ</w:t>
      </w:r>
      <w:r w:rsidRPr="00904FCB">
        <w:rPr>
          <w:rFonts w:hint="cs"/>
          <w:rtl/>
        </w:rPr>
        <w:t xml:space="preserve"> إلينا بعيد</w:t>
      </w:r>
      <w:r w:rsidR="00ED4B7A" w:rsidRPr="00904FCB">
        <w:rPr>
          <w:rFonts w:hint="cs"/>
          <w:rtl/>
        </w:rPr>
        <w:t>ٌ؛</w:t>
      </w:r>
      <w:r w:rsidRPr="00904FCB">
        <w:rPr>
          <w:rFonts w:hint="cs"/>
          <w:rtl/>
        </w:rPr>
        <w:t xml:space="preserve"> بعد احتمال التأس</w:t>
      </w:r>
      <w:r w:rsidR="00ED4B7A" w:rsidRPr="00904FCB">
        <w:rPr>
          <w:rFonts w:hint="cs"/>
          <w:rtl/>
        </w:rPr>
        <w:t>ّ</w:t>
      </w:r>
      <w:r w:rsidRPr="00904FCB">
        <w:rPr>
          <w:rFonts w:hint="cs"/>
          <w:rtl/>
        </w:rPr>
        <w:t>ي بفعل النبي</w:t>
      </w:r>
      <w:r w:rsidR="00ED4B7A" w:rsidRPr="00904FCB">
        <w:rPr>
          <w:rFonts w:hint="cs"/>
          <w:rtl/>
        </w:rPr>
        <w:t>ّ</w:t>
      </w:r>
      <w:r w:rsidR="00635E51" w:rsidRPr="00904FCB">
        <w:rPr>
          <w:rFonts w:cs="Mosawi" w:hint="cs"/>
          <w:szCs w:val="22"/>
          <w:rtl/>
        </w:rPr>
        <w:t>|</w:t>
      </w:r>
      <w:r w:rsidR="00ED4B7A" w:rsidRPr="00904FCB">
        <w:rPr>
          <w:rFonts w:hint="cs"/>
          <w:rtl/>
        </w:rPr>
        <w:t>،</w:t>
      </w:r>
      <w:r w:rsidRPr="00904FCB">
        <w:rPr>
          <w:rFonts w:hint="cs"/>
          <w:rtl/>
        </w:rPr>
        <w:t xml:space="preserve"> وبالروايات الموجودة التي سنذكرها</w:t>
      </w:r>
      <w:r w:rsidR="00ED4B7A" w:rsidRPr="00904FCB">
        <w:rPr>
          <w:rFonts w:hint="cs"/>
          <w:rtl/>
        </w:rPr>
        <w:t>؛</w:t>
      </w:r>
      <w:r w:rsidRPr="00904FCB">
        <w:rPr>
          <w:rFonts w:hint="cs"/>
          <w:rtl/>
        </w:rPr>
        <w:t xml:space="preserve"> وبعد موافقة المسألة للاحتياط. فللبحث حول المسألة مجال</w:t>
      </w:r>
      <w:r w:rsidR="00ED4B7A" w:rsidRPr="00904FCB">
        <w:rPr>
          <w:rFonts w:hint="cs"/>
          <w:rtl/>
        </w:rPr>
        <w:t>ٌ</w:t>
      </w:r>
      <w:r w:rsidRPr="00904FCB">
        <w:rPr>
          <w:rFonts w:hint="cs"/>
          <w:rtl/>
        </w:rPr>
        <w:t xml:space="preserve"> واسع</w:t>
      </w:r>
      <w:r w:rsidR="00ED4B7A" w:rsidRPr="00904FCB">
        <w:rPr>
          <w:rFonts w:hint="cs"/>
          <w:rtl/>
        </w:rPr>
        <w:t>،</w:t>
      </w:r>
      <w:r w:rsidRPr="00904FCB">
        <w:rPr>
          <w:rFonts w:hint="cs"/>
          <w:rtl/>
        </w:rPr>
        <w:t xml:space="preserve"> </w:t>
      </w:r>
      <w:r w:rsidR="00ED4B7A" w:rsidRPr="00904FCB">
        <w:rPr>
          <w:rFonts w:hint="cs"/>
          <w:rtl/>
        </w:rPr>
        <w:t>و</w:t>
      </w:r>
      <w:r w:rsidRPr="00904FCB">
        <w:rPr>
          <w:rFonts w:hint="cs"/>
          <w:rtl/>
        </w:rPr>
        <w:t xml:space="preserve">خصوصاً بملاحظة أن أفعال الإنسان </w:t>
      </w:r>
      <w:r w:rsidR="00ED4B7A" w:rsidRPr="00904FCB">
        <w:rPr>
          <w:rFonts w:hint="cs"/>
          <w:rtl/>
        </w:rPr>
        <w:t>ت</w:t>
      </w:r>
      <w:r w:rsidRPr="00904FCB">
        <w:rPr>
          <w:rFonts w:hint="cs"/>
          <w:rtl/>
        </w:rPr>
        <w:t>قع عرفاً في زمان</w:t>
      </w:r>
      <w:r w:rsidR="00ED4B7A" w:rsidRPr="00904FCB">
        <w:rPr>
          <w:rFonts w:hint="cs"/>
          <w:rtl/>
        </w:rPr>
        <w:t>ٍ</w:t>
      </w:r>
      <w:r w:rsidRPr="00904FCB">
        <w:rPr>
          <w:rFonts w:hint="cs"/>
          <w:rtl/>
        </w:rPr>
        <w:t xml:space="preserve"> ومكان ما</w:t>
      </w:r>
      <w:r w:rsidR="00ED4B7A" w:rsidRPr="00904FCB">
        <w:rPr>
          <w:rFonts w:hint="cs"/>
          <w:rtl/>
        </w:rPr>
        <w:t>،</w:t>
      </w:r>
      <w:r w:rsidRPr="00904FCB">
        <w:rPr>
          <w:rFonts w:hint="cs"/>
          <w:rtl/>
        </w:rPr>
        <w:t xml:space="preserve"> فإن</w:t>
      </w:r>
      <w:r w:rsidR="00ED4B7A" w:rsidRPr="00904FCB">
        <w:rPr>
          <w:rFonts w:hint="cs"/>
          <w:rtl/>
        </w:rPr>
        <w:t>ْ</w:t>
      </w:r>
      <w:r w:rsidRPr="00904FCB">
        <w:rPr>
          <w:rFonts w:hint="cs"/>
          <w:rtl/>
        </w:rPr>
        <w:t xml:space="preserve"> كان الزمان أو المكان قيداً للعمل وجب التصريح به</w:t>
      </w:r>
      <w:r w:rsidR="00ED4B7A" w:rsidRPr="00904FCB">
        <w:rPr>
          <w:rFonts w:hint="cs"/>
          <w:rtl/>
        </w:rPr>
        <w:t>،</w:t>
      </w:r>
      <w:r w:rsidRPr="00904FCB">
        <w:rPr>
          <w:rFonts w:hint="cs"/>
          <w:rtl/>
        </w:rPr>
        <w:t xml:space="preserve"> كما كانوا يصر</w:t>
      </w:r>
      <w:r w:rsidR="00ED4B7A" w:rsidRPr="00904FCB">
        <w:rPr>
          <w:rFonts w:hint="cs"/>
          <w:rtl/>
        </w:rPr>
        <w:t>ِّ</w:t>
      </w:r>
      <w:r w:rsidRPr="00904FCB">
        <w:rPr>
          <w:rFonts w:hint="cs"/>
          <w:rtl/>
        </w:rPr>
        <w:t>حون بزمان الذبح وخصوصيات الهدي</w:t>
      </w:r>
      <w:r w:rsidR="00ED4B7A" w:rsidRPr="00904FCB">
        <w:rPr>
          <w:rFonts w:hint="cs"/>
          <w:rtl/>
        </w:rPr>
        <w:t>،</w:t>
      </w:r>
      <w:r w:rsidRPr="00904FCB">
        <w:rPr>
          <w:rFonts w:hint="cs"/>
          <w:rtl/>
        </w:rPr>
        <w:t xml:space="preserve"> وزمان الصوم في صورة عدم وجدان الهدي</w:t>
      </w:r>
      <w:r w:rsidR="00ED4B7A" w:rsidRPr="00904FCB">
        <w:rPr>
          <w:rFonts w:hint="cs"/>
          <w:rtl/>
        </w:rPr>
        <w:t>،</w:t>
      </w:r>
      <w:r w:rsidRPr="00904FCB">
        <w:rPr>
          <w:rFonts w:hint="cs"/>
          <w:rtl/>
        </w:rPr>
        <w:t xml:space="preserve"> فعدم التصريح أو عدم توج</w:t>
      </w:r>
      <w:r w:rsidR="00ED4B7A" w:rsidRPr="00904FCB">
        <w:rPr>
          <w:rFonts w:hint="cs"/>
          <w:rtl/>
        </w:rPr>
        <w:t>ُّ</w:t>
      </w:r>
      <w:r w:rsidRPr="00904FCB">
        <w:rPr>
          <w:rFonts w:hint="cs"/>
          <w:rtl/>
        </w:rPr>
        <w:t>ه خاص</w:t>
      </w:r>
      <w:r w:rsidR="00ED4B7A" w:rsidRPr="00904FCB">
        <w:rPr>
          <w:rFonts w:hint="cs"/>
          <w:rtl/>
        </w:rPr>
        <w:t>ّ</w:t>
      </w:r>
      <w:r w:rsidRPr="00904FCB">
        <w:rPr>
          <w:rFonts w:hint="cs"/>
          <w:rtl/>
        </w:rPr>
        <w:t xml:space="preserve"> إلى تعيين مكان الذبح يدل</w:t>
      </w:r>
      <w:r w:rsidR="00ED4B7A" w:rsidRPr="00904FCB">
        <w:rPr>
          <w:rFonts w:hint="cs"/>
          <w:rtl/>
        </w:rPr>
        <w:t>ّ</w:t>
      </w:r>
      <w:r w:rsidRPr="00904FCB">
        <w:rPr>
          <w:rFonts w:hint="cs"/>
          <w:rtl/>
        </w:rPr>
        <w:t>نا على أن منى كان ظرفاً للذبح عادة</w:t>
      </w:r>
      <w:r w:rsidR="00ED4B7A" w:rsidRPr="00904FCB">
        <w:rPr>
          <w:rFonts w:hint="cs"/>
          <w:rtl/>
        </w:rPr>
        <w:t>ً،</w:t>
      </w:r>
      <w:r w:rsidRPr="00904FCB">
        <w:rPr>
          <w:rFonts w:hint="cs"/>
          <w:rtl/>
        </w:rPr>
        <w:t xml:space="preserve"> لا قيداً له. ولذا ترى روايات صحيحة دال</w:t>
      </w:r>
      <w:r w:rsidR="00ED4B7A" w:rsidRPr="00904FCB">
        <w:rPr>
          <w:rFonts w:hint="cs"/>
          <w:rtl/>
        </w:rPr>
        <w:t>ّ</w:t>
      </w:r>
      <w:r w:rsidRPr="00904FCB">
        <w:rPr>
          <w:rFonts w:hint="cs"/>
          <w:rtl/>
        </w:rPr>
        <w:t>ة على أن الإمام</w:t>
      </w:r>
      <w:r w:rsidR="001C1A2A" w:rsidRPr="00904FCB">
        <w:rPr>
          <w:rFonts w:cs="Mosawi" w:hint="cs"/>
          <w:szCs w:val="22"/>
          <w:rtl/>
        </w:rPr>
        <w:t>×</w:t>
      </w:r>
      <w:r w:rsidRPr="00904FCB">
        <w:rPr>
          <w:rFonts w:hint="cs"/>
          <w:rtl/>
        </w:rPr>
        <w:t xml:space="preserve"> ذبح بمك</w:t>
      </w:r>
      <w:r w:rsidR="00ED4B7A" w:rsidRPr="00904FCB">
        <w:rPr>
          <w:rFonts w:hint="cs"/>
          <w:rtl/>
        </w:rPr>
        <w:t>ّ</w:t>
      </w:r>
      <w:r w:rsidRPr="00904FCB">
        <w:rPr>
          <w:rFonts w:hint="cs"/>
          <w:rtl/>
        </w:rPr>
        <w:t xml:space="preserve">ة. </w:t>
      </w:r>
    </w:p>
    <w:p w:rsidR="005B6CEC" w:rsidRPr="00904FCB" w:rsidRDefault="005B6CEC" w:rsidP="007A21AA">
      <w:pPr>
        <w:spacing w:line="400" w:lineRule="exact"/>
        <w:rPr>
          <w:rtl/>
        </w:rPr>
      </w:pPr>
      <w:r w:rsidRPr="00756F2A">
        <w:rPr>
          <w:rFonts w:hint="cs"/>
          <w:b/>
          <w:bCs/>
          <w:rtl/>
        </w:rPr>
        <w:lastRenderedPageBreak/>
        <w:t xml:space="preserve">16ـ </w:t>
      </w:r>
      <w:r w:rsidR="006E49AC" w:rsidRPr="00756F2A">
        <w:rPr>
          <w:rFonts w:hint="cs"/>
          <w:b/>
          <w:bCs/>
          <w:rtl/>
        </w:rPr>
        <w:t>و</w:t>
      </w:r>
      <w:r w:rsidRPr="00756F2A">
        <w:rPr>
          <w:rFonts w:hint="cs"/>
          <w:b/>
          <w:bCs/>
          <w:rtl/>
        </w:rPr>
        <w:t>في المنتهى</w:t>
      </w:r>
      <w:r w:rsidRPr="00756F2A">
        <w:rPr>
          <w:rFonts w:hint="cs"/>
          <w:rtl/>
        </w:rPr>
        <w:t>: نحر هدي التمت</w:t>
      </w:r>
      <w:r w:rsidR="00ED4B7A" w:rsidRPr="00756F2A">
        <w:rPr>
          <w:rFonts w:hint="cs"/>
          <w:rtl/>
        </w:rPr>
        <w:t>ُّ</w:t>
      </w:r>
      <w:r w:rsidRPr="00756F2A">
        <w:rPr>
          <w:rFonts w:hint="cs"/>
          <w:rtl/>
        </w:rPr>
        <w:t>ع يجب بمنى</w:t>
      </w:r>
      <w:r w:rsidR="00ED4B7A" w:rsidRPr="00756F2A">
        <w:rPr>
          <w:rFonts w:hint="cs"/>
          <w:rtl/>
        </w:rPr>
        <w:t>.</w:t>
      </w:r>
      <w:r w:rsidRPr="00756F2A">
        <w:rPr>
          <w:rFonts w:hint="cs"/>
          <w:rtl/>
        </w:rPr>
        <w:t xml:space="preserve"> ذهب إليه علما</w:t>
      </w:r>
      <w:r w:rsidR="00ED4B7A" w:rsidRPr="00756F2A">
        <w:rPr>
          <w:rFonts w:hint="cs"/>
          <w:rtl/>
        </w:rPr>
        <w:t>ؤ</w:t>
      </w:r>
      <w:r w:rsidRPr="00756F2A">
        <w:rPr>
          <w:rFonts w:hint="cs"/>
          <w:rtl/>
        </w:rPr>
        <w:t>نا</w:t>
      </w:r>
      <w:r w:rsidR="00ED4B7A" w:rsidRPr="00756F2A">
        <w:rPr>
          <w:rFonts w:hint="cs"/>
          <w:rtl/>
        </w:rPr>
        <w:t>،</w:t>
      </w:r>
      <w:r w:rsidRPr="00756F2A">
        <w:rPr>
          <w:rFonts w:hint="cs"/>
          <w:rtl/>
        </w:rPr>
        <w:t xml:space="preserve"> وقال أكثر</w:t>
      </w:r>
      <w:r w:rsidRPr="00904FCB">
        <w:rPr>
          <w:rFonts w:hint="cs"/>
          <w:rtl/>
        </w:rPr>
        <w:t xml:space="preserve"> الجمهور</w:t>
      </w:r>
      <w:r w:rsidR="00ED4B7A" w:rsidRPr="00904FCB">
        <w:rPr>
          <w:rFonts w:hint="cs"/>
          <w:rtl/>
        </w:rPr>
        <w:t>:</w:t>
      </w:r>
      <w:r w:rsidRPr="00904FCB">
        <w:rPr>
          <w:rFonts w:hint="cs"/>
          <w:rtl/>
        </w:rPr>
        <w:t xml:space="preserve"> </w:t>
      </w:r>
      <w:r w:rsidR="00ED4B7A" w:rsidRPr="00904FCB">
        <w:rPr>
          <w:rFonts w:hint="cs"/>
          <w:rtl/>
        </w:rPr>
        <w:t>إ</w:t>
      </w:r>
      <w:r w:rsidRPr="00904FCB">
        <w:rPr>
          <w:rFonts w:hint="cs"/>
          <w:rtl/>
        </w:rPr>
        <w:t>ن</w:t>
      </w:r>
      <w:r w:rsidR="00ED4B7A" w:rsidRPr="00904FCB">
        <w:rPr>
          <w:rFonts w:hint="cs"/>
          <w:rtl/>
        </w:rPr>
        <w:t>ّه</w:t>
      </w:r>
      <w:r w:rsidRPr="00904FCB">
        <w:rPr>
          <w:rFonts w:hint="cs"/>
          <w:rtl/>
        </w:rPr>
        <w:t xml:space="preserve"> مستحب، و</w:t>
      </w:r>
      <w:r w:rsidR="00ED4B7A" w:rsidRPr="00904FCB">
        <w:rPr>
          <w:rFonts w:hint="cs"/>
          <w:rtl/>
        </w:rPr>
        <w:t>إ</w:t>
      </w:r>
      <w:r w:rsidRPr="00904FCB">
        <w:rPr>
          <w:rFonts w:hint="cs"/>
          <w:rtl/>
        </w:rPr>
        <w:t>ن الواجب نحره بالح</w:t>
      </w:r>
      <w:r w:rsidR="00ED4B7A" w:rsidRPr="00904FCB">
        <w:rPr>
          <w:rFonts w:hint="cs"/>
          <w:rtl/>
        </w:rPr>
        <w:t>َ</w:t>
      </w:r>
      <w:r w:rsidRPr="00904FCB">
        <w:rPr>
          <w:rFonts w:hint="cs"/>
          <w:rtl/>
        </w:rPr>
        <w:t>ر</w:t>
      </w:r>
      <w:r w:rsidR="00ED4B7A" w:rsidRPr="00904FCB">
        <w:rPr>
          <w:rFonts w:hint="cs"/>
          <w:rtl/>
        </w:rPr>
        <w:t>َ</w:t>
      </w:r>
      <w:r w:rsidRPr="00904FCB">
        <w:rPr>
          <w:rFonts w:hint="cs"/>
          <w:rtl/>
        </w:rPr>
        <w:t>م... لنا</w:t>
      </w:r>
      <w:r w:rsidR="006E49AC" w:rsidRPr="00904FCB">
        <w:rPr>
          <w:rFonts w:hint="cs"/>
          <w:rtl/>
        </w:rPr>
        <w:t>:</w:t>
      </w:r>
      <w:r w:rsidRPr="00904FCB">
        <w:rPr>
          <w:rFonts w:hint="cs"/>
          <w:rtl/>
        </w:rPr>
        <w:t xml:space="preserve"> ما رواه الجمهور عن النبي</w:t>
      </w:r>
      <w:r w:rsidR="00ED4B7A" w:rsidRPr="00904FCB">
        <w:rPr>
          <w:rFonts w:hint="cs"/>
          <w:rtl/>
        </w:rPr>
        <w:t>ّ</w:t>
      </w:r>
      <w:r w:rsidR="00635E51" w:rsidRPr="00904FCB">
        <w:rPr>
          <w:rFonts w:cs="Mosawi" w:hint="cs"/>
          <w:szCs w:val="22"/>
          <w:rtl/>
        </w:rPr>
        <w:t>|</w:t>
      </w:r>
      <w:r w:rsidRPr="00904FCB">
        <w:rPr>
          <w:rFonts w:hint="cs"/>
          <w:rtl/>
        </w:rPr>
        <w:t xml:space="preserve"> قال: منى كل</w:t>
      </w:r>
      <w:r w:rsidR="00ED4B7A" w:rsidRPr="00904FCB">
        <w:rPr>
          <w:rFonts w:hint="cs"/>
          <w:rtl/>
        </w:rPr>
        <w:t>ّ</w:t>
      </w:r>
      <w:r w:rsidRPr="00904FCB">
        <w:rPr>
          <w:rFonts w:hint="cs"/>
          <w:rtl/>
        </w:rPr>
        <w:t>ها منحر</w:t>
      </w:r>
      <w:r w:rsidR="006E49AC" w:rsidRPr="00904FCB">
        <w:rPr>
          <w:rFonts w:hint="cs"/>
          <w:rtl/>
        </w:rPr>
        <w:t>،</w:t>
      </w:r>
      <w:r w:rsidRPr="00904FCB">
        <w:rPr>
          <w:rFonts w:hint="cs"/>
          <w:rtl/>
        </w:rPr>
        <w:t xml:space="preserve"> والتخصيص بالذكر يدلّ على التخصيص في الحكم</w:t>
      </w:r>
      <w:r w:rsidR="006E49AC" w:rsidRPr="00904FCB">
        <w:rPr>
          <w:rFonts w:hint="cs"/>
          <w:rtl/>
        </w:rPr>
        <w:t>؛</w:t>
      </w:r>
      <w:r w:rsidRPr="00904FCB">
        <w:rPr>
          <w:rFonts w:hint="cs"/>
          <w:rtl/>
        </w:rPr>
        <w:t xml:space="preserve"> ومن طريق الخاصة</w:t>
      </w:r>
      <w:r w:rsidR="00ED4B7A" w:rsidRPr="00904FCB">
        <w:rPr>
          <w:rFonts w:hint="cs"/>
          <w:rtl/>
        </w:rPr>
        <w:t>:</w:t>
      </w:r>
      <w:r w:rsidRPr="00904FCB">
        <w:rPr>
          <w:rFonts w:hint="cs"/>
          <w:rtl/>
        </w:rPr>
        <w:t xml:space="preserve"> ما رواه الشيخ عن إبراهيم الكوفي...</w:t>
      </w:r>
      <w:r w:rsidR="006E49AC" w:rsidRPr="00904FCB">
        <w:rPr>
          <w:rFonts w:hint="cs"/>
          <w:rtl/>
        </w:rPr>
        <w:t>؛</w:t>
      </w:r>
      <w:r w:rsidRPr="00904FCB">
        <w:rPr>
          <w:rFonts w:hint="cs"/>
          <w:rtl/>
        </w:rPr>
        <w:t xml:space="preserve"> ولأنه</w:t>
      </w:r>
      <w:r w:rsidR="00635E51" w:rsidRPr="00904FCB">
        <w:rPr>
          <w:rFonts w:cs="Mosawi" w:hint="cs"/>
          <w:szCs w:val="22"/>
          <w:rtl/>
        </w:rPr>
        <w:t>|</w:t>
      </w:r>
      <w:r w:rsidRPr="00904FCB">
        <w:rPr>
          <w:rFonts w:hint="cs"/>
          <w:rtl/>
        </w:rPr>
        <w:t xml:space="preserve"> نحر بمنى إجماعاً</w:t>
      </w:r>
      <w:r w:rsidR="006E49AC" w:rsidRPr="00904FCB">
        <w:rPr>
          <w:rFonts w:hint="cs"/>
          <w:rtl/>
        </w:rPr>
        <w:t>،</w:t>
      </w:r>
      <w:r w:rsidRPr="00904FCB">
        <w:rPr>
          <w:rFonts w:hint="cs"/>
          <w:rtl/>
        </w:rPr>
        <w:t xml:space="preserve"> وقال: خذوا عنّي مناسككم</w:t>
      </w:r>
      <w:r w:rsidRPr="00904FCB">
        <w:rPr>
          <w:rFonts w:hint="cs"/>
          <w:vertAlign w:val="superscript"/>
          <w:rtl/>
        </w:rPr>
        <w:t>(</w:t>
      </w:r>
      <w:r w:rsidRPr="00904FCB">
        <w:rPr>
          <w:rStyle w:val="ac"/>
          <w:sz w:val="27"/>
          <w:rtl/>
        </w:rPr>
        <w:endnoteReference w:id="440"/>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756F2A">
        <w:rPr>
          <w:rFonts w:hint="cs"/>
          <w:b/>
          <w:bCs/>
          <w:rtl/>
        </w:rPr>
        <w:t xml:space="preserve">17ـ </w:t>
      </w:r>
      <w:r w:rsidR="006E49AC" w:rsidRPr="00756F2A">
        <w:rPr>
          <w:rFonts w:hint="cs"/>
          <w:b/>
          <w:bCs/>
          <w:rtl/>
        </w:rPr>
        <w:t>و</w:t>
      </w:r>
      <w:r w:rsidRPr="00756F2A">
        <w:rPr>
          <w:rFonts w:hint="cs"/>
          <w:b/>
          <w:bCs/>
          <w:rtl/>
        </w:rPr>
        <w:t>في تذكرة الفقهاء</w:t>
      </w:r>
      <w:r w:rsidRPr="00756F2A">
        <w:rPr>
          <w:rFonts w:hint="cs"/>
          <w:rtl/>
        </w:rPr>
        <w:t>: يجب النحر أو الذبح في هدي التمتع بمنى</w:t>
      </w:r>
      <w:r w:rsidR="006E49AC" w:rsidRPr="00756F2A">
        <w:rPr>
          <w:rFonts w:hint="cs"/>
          <w:rtl/>
        </w:rPr>
        <w:t>،</w:t>
      </w:r>
      <w:r w:rsidRPr="00756F2A">
        <w:rPr>
          <w:rFonts w:hint="cs"/>
          <w:rtl/>
        </w:rPr>
        <w:t xml:space="preserve"> عند</w:t>
      </w:r>
      <w:r w:rsidRPr="00904FCB">
        <w:rPr>
          <w:rFonts w:hint="cs"/>
          <w:rtl/>
        </w:rPr>
        <w:t xml:space="preserve"> علمائنا</w:t>
      </w:r>
      <w:r w:rsidR="006E49AC" w:rsidRPr="00904FCB">
        <w:rPr>
          <w:rFonts w:hint="cs"/>
          <w:rtl/>
        </w:rPr>
        <w:t>؛</w:t>
      </w:r>
      <w:r w:rsidRPr="00904FCB">
        <w:rPr>
          <w:rFonts w:hint="cs"/>
          <w:rtl/>
        </w:rPr>
        <w:t xml:space="preserve"> لما رواه العامّة عن النبي</w:t>
      </w:r>
      <w:r w:rsidR="00635E51" w:rsidRPr="00904FCB">
        <w:rPr>
          <w:rFonts w:cs="Mosawi" w:hint="cs"/>
          <w:szCs w:val="22"/>
          <w:rtl/>
        </w:rPr>
        <w:t>|</w:t>
      </w:r>
      <w:r w:rsidRPr="00904FCB">
        <w:rPr>
          <w:rFonts w:hint="cs"/>
          <w:rtl/>
        </w:rPr>
        <w:t xml:space="preserve"> قال</w:t>
      </w:r>
      <w:r w:rsidR="006E49AC" w:rsidRPr="00904FCB">
        <w:rPr>
          <w:rFonts w:hint="cs"/>
          <w:rtl/>
        </w:rPr>
        <w:t>:</w:t>
      </w:r>
      <w:r w:rsidRPr="00904FCB">
        <w:rPr>
          <w:rFonts w:hint="cs"/>
          <w:rtl/>
        </w:rPr>
        <w:t xml:space="preserve"> منى كلها منحر</w:t>
      </w:r>
      <w:r w:rsidR="006E49AC" w:rsidRPr="00904FCB">
        <w:rPr>
          <w:rFonts w:hint="cs"/>
          <w:rtl/>
        </w:rPr>
        <w:t>،</w:t>
      </w:r>
      <w:r w:rsidRPr="00904FCB">
        <w:rPr>
          <w:rFonts w:hint="cs"/>
          <w:rtl/>
        </w:rPr>
        <w:t xml:space="preserve"> و...</w:t>
      </w:r>
      <w:r w:rsidR="006E49AC" w:rsidRPr="00904FCB">
        <w:rPr>
          <w:rFonts w:hint="cs"/>
          <w:rtl/>
        </w:rPr>
        <w:t>؛</w:t>
      </w:r>
      <w:r w:rsidRPr="00904FCB">
        <w:rPr>
          <w:rFonts w:hint="cs"/>
          <w:rtl/>
        </w:rPr>
        <w:t xml:space="preserve"> ومن طريق الخاصّة...</w:t>
      </w:r>
      <w:r w:rsidRPr="00904FCB">
        <w:rPr>
          <w:rFonts w:hint="cs"/>
          <w:vertAlign w:val="superscript"/>
          <w:rtl/>
        </w:rPr>
        <w:t>(</w:t>
      </w:r>
      <w:r w:rsidRPr="00904FCB">
        <w:rPr>
          <w:rStyle w:val="ac"/>
          <w:sz w:val="27"/>
          <w:rtl/>
        </w:rPr>
        <w:endnoteReference w:id="441"/>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هل الأدلة التي ذكر</w:t>
      </w:r>
      <w:r w:rsidR="006E49AC" w:rsidRPr="00904FCB">
        <w:rPr>
          <w:rFonts w:hint="cs"/>
          <w:rtl/>
        </w:rPr>
        <w:t>ت</w:t>
      </w:r>
      <w:r w:rsidRPr="00904FCB">
        <w:rPr>
          <w:rFonts w:hint="cs"/>
          <w:rtl/>
        </w:rPr>
        <w:t xml:space="preserve"> بعد الإجماع هي مدرك المجمعين</w:t>
      </w:r>
      <w:r w:rsidR="006E49AC" w:rsidRPr="00904FCB">
        <w:rPr>
          <w:rFonts w:hint="cs"/>
          <w:rtl/>
        </w:rPr>
        <w:t>،</w:t>
      </w:r>
      <w:r w:rsidRPr="00904FCB">
        <w:rPr>
          <w:rFonts w:hint="cs"/>
          <w:rtl/>
        </w:rPr>
        <w:t xml:space="preserve"> كما هو الظاهر من عباراته</w:t>
      </w:r>
      <w:r w:rsidR="006E49AC" w:rsidRPr="00904FCB">
        <w:rPr>
          <w:rFonts w:hint="cs"/>
          <w:rtl/>
        </w:rPr>
        <w:t>،</w:t>
      </w:r>
      <w:r w:rsidRPr="00904FCB">
        <w:rPr>
          <w:rFonts w:hint="cs"/>
          <w:rtl/>
        </w:rPr>
        <w:t xml:space="preserve"> أو كما نذكر الأدل</w:t>
      </w:r>
      <w:r w:rsidR="006E49AC" w:rsidRPr="00904FCB">
        <w:rPr>
          <w:rFonts w:hint="cs"/>
          <w:rtl/>
        </w:rPr>
        <w:t>ّ</w:t>
      </w:r>
      <w:r w:rsidRPr="00904FCB">
        <w:rPr>
          <w:rFonts w:hint="cs"/>
          <w:rtl/>
        </w:rPr>
        <w:t>ة إسكاتاً للخصم</w:t>
      </w:r>
      <w:r w:rsidR="006E49AC" w:rsidRPr="00904FCB">
        <w:rPr>
          <w:rFonts w:hint="cs"/>
          <w:rtl/>
        </w:rPr>
        <w:t>،</w:t>
      </w:r>
      <w:r w:rsidRPr="00904FCB">
        <w:rPr>
          <w:rFonts w:hint="cs"/>
          <w:rtl/>
        </w:rPr>
        <w:t xml:space="preserve"> وإن المجمعين أجمعوا لدليل عندهم لم يصل إلينا</w:t>
      </w:r>
      <w:r w:rsidR="006E49AC" w:rsidRPr="00904FCB">
        <w:rPr>
          <w:rFonts w:hint="cs"/>
          <w:rtl/>
        </w:rPr>
        <w:t>،</w:t>
      </w:r>
      <w:r w:rsidRPr="00904FCB">
        <w:rPr>
          <w:rFonts w:hint="cs"/>
          <w:rtl/>
        </w:rPr>
        <w:t xml:space="preserve"> أو مدرك</w:t>
      </w:r>
      <w:r w:rsidR="006D5FA8">
        <w:rPr>
          <w:rFonts w:hint="cs"/>
          <w:rtl/>
        </w:rPr>
        <w:t>ه</w:t>
      </w:r>
      <w:r w:rsidRPr="00904FCB">
        <w:rPr>
          <w:rFonts w:hint="cs"/>
          <w:rtl/>
        </w:rPr>
        <w:t>م أخبار العامة والخاص</w:t>
      </w:r>
      <w:r w:rsidR="006E49AC" w:rsidRPr="00904FCB">
        <w:rPr>
          <w:rFonts w:hint="cs"/>
          <w:rtl/>
        </w:rPr>
        <w:t>ّ</w:t>
      </w:r>
      <w:r w:rsidRPr="00904FCB">
        <w:rPr>
          <w:rFonts w:hint="cs"/>
          <w:rtl/>
        </w:rPr>
        <w:t>ة وفعل النبي</w:t>
      </w:r>
      <w:r w:rsidR="006E49AC" w:rsidRPr="00904FCB">
        <w:rPr>
          <w:rFonts w:hint="cs"/>
          <w:rtl/>
        </w:rPr>
        <w:t>ّ</w:t>
      </w:r>
      <w:r w:rsidR="00635E51" w:rsidRPr="00904FCB">
        <w:rPr>
          <w:rFonts w:cs="Mosawi" w:hint="cs"/>
          <w:szCs w:val="22"/>
          <w:rtl/>
        </w:rPr>
        <w:t>|</w:t>
      </w:r>
      <w:r w:rsidRPr="00904FCB">
        <w:rPr>
          <w:rFonts w:hint="cs"/>
          <w:rtl/>
        </w:rPr>
        <w:t>؟ فعلى أيّ حالٍ احتمال كونه مدركي</w:t>
      </w:r>
      <w:r w:rsidR="006E49AC" w:rsidRPr="00904FCB">
        <w:rPr>
          <w:rFonts w:hint="cs"/>
          <w:rtl/>
        </w:rPr>
        <w:t>ّ</w:t>
      </w:r>
      <w:r w:rsidRPr="00904FCB">
        <w:rPr>
          <w:rFonts w:hint="cs"/>
          <w:rtl/>
        </w:rPr>
        <w:t>اً يكفي للتشكيك في الحكم</w:t>
      </w:r>
      <w:r w:rsidR="006E49AC" w:rsidRPr="00904FCB">
        <w:rPr>
          <w:rFonts w:hint="cs"/>
          <w:rtl/>
        </w:rPr>
        <w:t>،</w:t>
      </w:r>
      <w:r w:rsidRPr="00904FCB">
        <w:rPr>
          <w:rFonts w:hint="cs"/>
          <w:rtl/>
        </w:rPr>
        <w:t xml:space="preserve"> مضافاً إلى </w:t>
      </w:r>
      <w:r w:rsidR="006E49AC" w:rsidRPr="00904FCB">
        <w:rPr>
          <w:rFonts w:hint="cs"/>
          <w:rtl/>
        </w:rPr>
        <w:t>أ</w:t>
      </w:r>
      <w:r w:rsidRPr="00904FCB">
        <w:rPr>
          <w:rFonts w:hint="cs"/>
          <w:rtl/>
        </w:rPr>
        <w:t xml:space="preserve">ن استفادة الوجوب من عبارات الفقهاء السابقين على الشيخ الطوسي ليس سهلاً. والكلام حول سائر الأدلة التي ذكرها سيأتي في البحث الروائي. </w:t>
      </w:r>
    </w:p>
    <w:p w:rsidR="005B6CEC" w:rsidRPr="00904FCB" w:rsidRDefault="005B6CEC" w:rsidP="007A21AA">
      <w:pPr>
        <w:spacing w:line="400" w:lineRule="exact"/>
        <w:rPr>
          <w:rtl/>
        </w:rPr>
      </w:pPr>
      <w:r w:rsidRPr="00756F2A">
        <w:rPr>
          <w:rFonts w:hint="cs"/>
          <w:b/>
          <w:bCs/>
          <w:rtl/>
        </w:rPr>
        <w:t xml:space="preserve">18ـ </w:t>
      </w:r>
      <w:r w:rsidR="006E49AC" w:rsidRPr="00756F2A">
        <w:rPr>
          <w:rFonts w:hint="cs"/>
          <w:b/>
          <w:bCs/>
          <w:rtl/>
        </w:rPr>
        <w:t>و</w:t>
      </w:r>
      <w:r w:rsidRPr="00756F2A">
        <w:rPr>
          <w:rFonts w:hint="cs"/>
          <w:b/>
          <w:bCs/>
          <w:rtl/>
        </w:rPr>
        <w:t>في كشف اللثام</w:t>
      </w:r>
      <w:r w:rsidRPr="00756F2A">
        <w:rPr>
          <w:rFonts w:hint="cs"/>
          <w:rtl/>
        </w:rPr>
        <w:t>: ومكان هدي التمتع منى عندنا</w:t>
      </w:r>
      <w:r w:rsidR="006E49AC" w:rsidRPr="00756F2A">
        <w:rPr>
          <w:rFonts w:hint="cs"/>
          <w:rtl/>
        </w:rPr>
        <w:t>؛</w:t>
      </w:r>
      <w:r w:rsidRPr="00756F2A">
        <w:rPr>
          <w:rFonts w:hint="cs"/>
          <w:rtl/>
        </w:rPr>
        <w:t xml:space="preserve"> للتأس</w:t>
      </w:r>
      <w:r w:rsidR="006E49AC" w:rsidRPr="00756F2A">
        <w:rPr>
          <w:rFonts w:hint="cs"/>
          <w:rtl/>
        </w:rPr>
        <w:t>ّ</w:t>
      </w:r>
      <w:r w:rsidRPr="00756F2A">
        <w:rPr>
          <w:rFonts w:hint="cs"/>
          <w:rtl/>
        </w:rPr>
        <w:t>ي</w:t>
      </w:r>
      <w:r w:rsidR="006E49AC" w:rsidRPr="00756F2A">
        <w:rPr>
          <w:rFonts w:hint="cs"/>
          <w:rtl/>
        </w:rPr>
        <w:t>؛</w:t>
      </w:r>
      <w:r w:rsidRPr="00756F2A">
        <w:rPr>
          <w:rFonts w:hint="cs"/>
          <w:rtl/>
        </w:rPr>
        <w:t xml:space="preserve"> ونحو قول</w:t>
      </w:r>
      <w:r w:rsidRPr="00904FCB">
        <w:rPr>
          <w:rFonts w:hint="cs"/>
          <w:rtl/>
        </w:rPr>
        <w:t xml:space="preserve"> الصادق في خبر إبراهيم الكرخي...</w:t>
      </w:r>
      <w:r w:rsidR="006E49AC" w:rsidRPr="00904FCB">
        <w:rPr>
          <w:rFonts w:hint="cs"/>
          <w:rtl/>
        </w:rPr>
        <w:t xml:space="preserve">؛ </w:t>
      </w:r>
      <w:r w:rsidRPr="00904FCB">
        <w:rPr>
          <w:rFonts w:hint="cs"/>
          <w:rtl/>
        </w:rPr>
        <w:t>وفي صحيح ابن حازم...</w:t>
      </w:r>
      <w:r w:rsidRPr="00904FCB">
        <w:rPr>
          <w:rFonts w:hint="cs"/>
          <w:vertAlign w:val="superscript"/>
          <w:rtl/>
        </w:rPr>
        <w:t>(</w:t>
      </w:r>
      <w:r w:rsidRPr="00904FCB">
        <w:rPr>
          <w:rStyle w:val="ac"/>
          <w:sz w:val="27"/>
          <w:rtl/>
        </w:rPr>
        <w:endnoteReference w:id="442"/>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756F2A">
        <w:rPr>
          <w:rFonts w:hint="cs"/>
          <w:b/>
          <w:bCs/>
          <w:rtl/>
        </w:rPr>
        <w:t xml:space="preserve">19ـ </w:t>
      </w:r>
      <w:r w:rsidR="006E49AC" w:rsidRPr="00756F2A">
        <w:rPr>
          <w:rFonts w:hint="cs"/>
          <w:b/>
          <w:bCs/>
          <w:rtl/>
        </w:rPr>
        <w:t>و</w:t>
      </w:r>
      <w:r w:rsidRPr="00756F2A">
        <w:rPr>
          <w:rFonts w:hint="cs"/>
          <w:b/>
          <w:bCs/>
          <w:rtl/>
        </w:rPr>
        <w:t>في مدارك الأحكام</w:t>
      </w:r>
      <w:r w:rsidR="006E49AC" w:rsidRPr="00756F2A">
        <w:rPr>
          <w:rFonts w:hint="cs"/>
          <w:rtl/>
        </w:rPr>
        <w:t>،</w:t>
      </w:r>
      <w:r w:rsidRPr="00756F2A">
        <w:rPr>
          <w:rFonts w:hint="cs"/>
          <w:rtl/>
        </w:rPr>
        <w:t xml:space="preserve"> في ذيل قول المصن</w:t>
      </w:r>
      <w:r w:rsidR="006E49AC" w:rsidRPr="00756F2A">
        <w:rPr>
          <w:rFonts w:hint="cs"/>
          <w:rtl/>
        </w:rPr>
        <w:t>ِّ</w:t>
      </w:r>
      <w:r w:rsidRPr="00756F2A">
        <w:rPr>
          <w:rFonts w:hint="cs"/>
          <w:rtl/>
        </w:rPr>
        <w:t>ف</w:t>
      </w:r>
      <w:r w:rsidR="006E49AC" w:rsidRPr="00756F2A">
        <w:rPr>
          <w:rFonts w:hint="cs"/>
          <w:rtl/>
        </w:rPr>
        <w:t>:</w:t>
      </w:r>
      <w:r w:rsidRPr="00756F2A">
        <w:rPr>
          <w:rFonts w:hint="cs"/>
          <w:rtl/>
        </w:rPr>
        <w:t xml:space="preserve"> «ويجب ذبحه بمنى»</w:t>
      </w:r>
      <w:r w:rsidR="006E49AC" w:rsidRPr="00756F2A">
        <w:rPr>
          <w:rFonts w:hint="cs"/>
          <w:rtl/>
        </w:rPr>
        <w:t>،</w:t>
      </w:r>
      <w:r w:rsidRPr="00756F2A">
        <w:rPr>
          <w:rFonts w:hint="cs"/>
          <w:rtl/>
        </w:rPr>
        <w:t xml:space="preserve"> قال: هذا</w:t>
      </w:r>
      <w:r w:rsidRPr="00904FCB">
        <w:rPr>
          <w:rFonts w:hint="cs"/>
          <w:rtl/>
        </w:rPr>
        <w:t xml:space="preserve"> الحكم مقطوع به في كلام الأصحاب</w:t>
      </w:r>
      <w:r w:rsidR="006E49AC" w:rsidRPr="00904FCB">
        <w:rPr>
          <w:rFonts w:hint="cs"/>
          <w:rtl/>
        </w:rPr>
        <w:t>،</w:t>
      </w:r>
      <w:r w:rsidRPr="00904FCB">
        <w:rPr>
          <w:rFonts w:hint="cs"/>
          <w:rtl/>
        </w:rPr>
        <w:t xml:space="preserve"> وأسنده العلا</w:t>
      </w:r>
      <w:r w:rsidR="006E49AC" w:rsidRPr="00904FCB">
        <w:rPr>
          <w:rFonts w:hint="cs"/>
          <w:rtl/>
        </w:rPr>
        <w:t>ّ</w:t>
      </w:r>
      <w:r w:rsidRPr="00904FCB">
        <w:rPr>
          <w:rFonts w:hint="cs"/>
          <w:rtl/>
        </w:rPr>
        <w:t>مة في التذكرة والمنتهى إلى علمائنا</w:t>
      </w:r>
      <w:r w:rsidR="006E49AC" w:rsidRPr="00904FCB">
        <w:rPr>
          <w:rFonts w:hint="cs"/>
          <w:rtl/>
        </w:rPr>
        <w:t xml:space="preserve">، </w:t>
      </w:r>
      <w:r w:rsidRPr="00904FCB">
        <w:rPr>
          <w:rFonts w:hint="cs"/>
          <w:rtl/>
        </w:rPr>
        <w:t>مؤذناً بدعوى الإجماع عليه</w:t>
      </w:r>
      <w:r w:rsidR="006E49AC" w:rsidRPr="00904FCB">
        <w:rPr>
          <w:rFonts w:hint="cs"/>
          <w:rtl/>
        </w:rPr>
        <w:t>،</w:t>
      </w:r>
      <w:r w:rsidRPr="00904FCB">
        <w:rPr>
          <w:rFonts w:hint="cs"/>
          <w:rtl/>
        </w:rPr>
        <w:t xml:space="preserve"> واحتج عليه بقول النبي</w:t>
      </w:r>
      <w:r w:rsidR="006E49AC" w:rsidRPr="00904FCB">
        <w:rPr>
          <w:rFonts w:hint="cs"/>
          <w:rtl/>
        </w:rPr>
        <w:t>ّ</w:t>
      </w:r>
      <w:r w:rsidR="00635E51" w:rsidRPr="00904FCB">
        <w:rPr>
          <w:rFonts w:cs="Mosawi" w:hint="cs"/>
          <w:szCs w:val="22"/>
          <w:rtl/>
        </w:rPr>
        <w:t>|</w:t>
      </w:r>
      <w:r w:rsidRPr="00904FCB">
        <w:rPr>
          <w:rFonts w:hint="cs"/>
          <w:rtl/>
        </w:rPr>
        <w:t>...</w:t>
      </w:r>
      <w:r w:rsidRPr="00904FCB">
        <w:rPr>
          <w:rFonts w:hint="cs"/>
          <w:vertAlign w:val="superscript"/>
          <w:rtl/>
        </w:rPr>
        <w:t>(</w:t>
      </w:r>
      <w:r w:rsidRPr="00904FCB">
        <w:rPr>
          <w:rStyle w:val="ac"/>
          <w:sz w:val="27"/>
          <w:rtl/>
        </w:rPr>
        <w:endnoteReference w:id="443"/>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756F2A">
        <w:rPr>
          <w:rFonts w:hint="cs"/>
          <w:b/>
          <w:bCs/>
          <w:rtl/>
        </w:rPr>
        <w:t xml:space="preserve">20ـ </w:t>
      </w:r>
      <w:r w:rsidR="006E49AC" w:rsidRPr="00756F2A">
        <w:rPr>
          <w:rFonts w:hint="cs"/>
          <w:b/>
          <w:bCs/>
          <w:rtl/>
        </w:rPr>
        <w:t>و</w:t>
      </w:r>
      <w:r w:rsidRPr="00756F2A">
        <w:rPr>
          <w:rFonts w:hint="cs"/>
          <w:b/>
          <w:bCs/>
          <w:rtl/>
        </w:rPr>
        <w:t>في جامع المدارك</w:t>
      </w:r>
      <w:r w:rsidR="006E49AC" w:rsidRPr="00756F2A">
        <w:rPr>
          <w:rFonts w:hint="cs"/>
          <w:b/>
          <w:bCs/>
          <w:rtl/>
        </w:rPr>
        <w:t>،</w:t>
      </w:r>
      <w:r w:rsidRPr="00756F2A">
        <w:rPr>
          <w:rFonts w:hint="cs"/>
          <w:b/>
          <w:bCs/>
          <w:rtl/>
        </w:rPr>
        <w:t xml:space="preserve"> للخوانساري</w:t>
      </w:r>
      <w:r w:rsidR="006E49AC" w:rsidRPr="00756F2A">
        <w:rPr>
          <w:rFonts w:hint="cs"/>
          <w:rtl/>
        </w:rPr>
        <w:t>،</w:t>
      </w:r>
      <w:r w:rsidRPr="00756F2A">
        <w:rPr>
          <w:rFonts w:hint="cs"/>
          <w:rtl/>
        </w:rPr>
        <w:t xml:space="preserve"> قال: وأمّا وجوب كون الذبح بمنى فقيل</w:t>
      </w:r>
      <w:r w:rsidR="00110BEB" w:rsidRPr="00756F2A">
        <w:rPr>
          <w:rFonts w:hint="cs"/>
          <w:rtl/>
        </w:rPr>
        <w:t>:</w:t>
      </w:r>
      <w:r w:rsidRPr="00904FCB">
        <w:rPr>
          <w:rFonts w:hint="cs"/>
          <w:rtl/>
        </w:rPr>
        <w:t xml:space="preserve"> </w:t>
      </w:r>
      <w:r w:rsidR="00110BEB" w:rsidRPr="00904FCB">
        <w:rPr>
          <w:rFonts w:hint="cs"/>
          <w:rtl/>
        </w:rPr>
        <w:t>إ</w:t>
      </w:r>
      <w:r w:rsidRPr="00904FCB">
        <w:rPr>
          <w:rFonts w:hint="cs"/>
          <w:rtl/>
        </w:rPr>
        <w:t>نه مقطوع به في كلام الأصحاب</w:t>
      </w:r>
      <w:r w:rsidR="00110BEB" w:rsidRPr="00904FCB">
        <w:rPr>
          <w:rFonts w:hint="cs"/>
          <w:rtl/>
        </w:rPr>
        <w:t>،</w:t>
      </w:r>
      <w:r w:rsidRPr="00904FCB">
        <w:rPr>
          <w:rFonts w:hint="cs"/>
          <w:rtl/>
        </w:rPr>
        <w:t xml:space="preserve"> و</w:t>
      </w:r>
      <w:r w:rsidR="00110BEB" w:rsidRPr="00904FCB">
        <w:rPr>
          <w:rFonts w:hint="cs"/>
          <w:rtl/>
        </w:rPr>
        <w:t>ي</w:t>
      </w:r>
      <w:r w:rsidRPr="00904FCB">
        <w:rPr>
          <w:rFonts w:hint="cs"/>
          <w:rtl/>
        </w:rPr>
        <w:t>دل عليه خبر إبراهيم الكرخي...</w:t>
      </w:r>
      <w:r w:rsidR="00110BEB" w:rsidRPr="00904FCB">
        <w:rPr>
          <w:rFonts w:hint="cs"/>
          <w:rtl/>
        </w:rPr>
        <w:t>.</w:t>
      </w:r>
      <w:r w:rsidRPr="00904FCB">
        <w:rPr>
          <w:rFonts w:hint="cs"/>
          <w:rtl/>
        </w:rPr>
        <w:t xml:space="preserve"> وفي </w:t>
      </w:r>
      <w:r w:rsidR="00110BEB" w:rsidRPr="00904FCB">
        <w:rPr>
          <w:rFonts w:hint="cs"/>
          <w:rtl/>
        </w:rPr>
        <w:t>قباله</w:t>
      </w:r>
      <w:r w:rsidRPr="00904FCB">
        <w:rPr>
          <w:rFonts w:hint="cs"/>
          <w:rtl/>
        </w:rPr>
        <w:t xml:space="preserve"> صحيح معاوية بن عمار</w:t>
      </w:r>
      <w:r w:rsidR="00110BEB" w:rsidRPr="00904FCB">
        <w:rPr>
          <w:rFonts w:hint="cs"/>
          <w:rtl/>
        </w:rPr>
        <w:t>،</w:t>
      </w:r>
      <w:r w:rsidRPr="00904FCB">
        <w:rPr>
          <w:rFonts w:hint="cs"/>
          <w:rtl/>
        </w:rPr>
        <w:t xml:space="preserve"> وحسنه...</w:t>
      </w:r>
      <w:r w:rsidRPr="00904FCB">
        <w:rPr>
          <w:rFonts w:hint="cs"/>
          <w:vertAlign w:val="superscript"/>
          <w:rtl/>
        </w:rPr>
        <w:t>(</w:t>
      </w:r>
      <w:r w:rsidRPr="00904FCB">
        <w:rPr>
          <w:rStyle w:val="ac"/>
          <w:sz w:val="27"/>
          <w:rtl/>
        </w:rPr>
        <w:endnoteReference w:id="444"/>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756F2A">
        <w:rPr>
          <w:rFonts w:hint="cs"/>
          <w:b/>
          <w:bCs/>
          <w:rtl/>
        </w:rPr>
        <w:t xml:space="preserve">21ـ </w:t>
      </w:r>
      <w:r w:rsidR="006E49AC" w:rsidRPr="00756F2A">
        <w:rPr>
          <w:rFonts w:hint="cs"/>
          <w:b/>
          <w:bCs/>
          <w:rtl/>
        </w:rPr>
        <w:t>و</w:t>
      </w:r>
      <w:r w:rsidRPr="00756F2A">
        <w:rPr>
          <w:rFonts w:hint="cs"/>
          <w:b/>
          <w:bCs/>
          <w:rtl/>
        </w:rPr>
        <w:t>في رياض المسائل</w:t>
      </w:r>
      <w:r w:rsidR="00110BEB" w:rsidRPr="00756F2A">
        <w:rPr>
          <w:rFonts w:hint="cs"/>
          <w:rtl/>
        </w:rPr>
        <w:t>،</w:t>
      </w:r>
      <w:r w:rsidRPr="00756F2A">
        <w:rPr>
          <w:rFonts w:hint="cs"/>
          <w:rtl/>
        </w:rPr>
        <w:t xml:space="preserve"> في ذيل قول المصنف</w:t>
      </w:r>
      <w:r w:rsidR="00110BEB" w:rsidRPr="00756F2A">
        <w:rPr>
          <w:rFonts w:hint="cs"/>
          <w:rtl/>
        </w:rPr>
        <w:t>:</w:t>
      </w:r>
      <w:r w:rsidRPr="00756F2A">
        <w:rPr>
          <w:rFonts w:hint="cs"/>
          <w:rtl/>
        </w:rPr>
        <w:t xml:space="preserve"> «يجب ذبحه بمنى»</w:t>
      </w:r>
      <w:r w:rsidR="00110BEB" w:rsidRPr="00756F2A">
        <w:rPr>
          <w:rFonts w:hint="cs"/>
          <w:rtl/>
        </w:rPr>
        <w:t>،</w:t>
      </w:r>
      <w:r w:rsidRPr="00756F2A">
        <w:rPr>
          <w:rFonts w:hint="cs"/>
          <w:rtl/>
        </w:rPr>
        <w:t xml:space="preserve"> قال</w:t>
      </w:r>
      <w:r w:rsidR="00110BEB" w:rsidRPr="00756F2A">
        <w:rPr>
          <w:rFonts w:hint="cs"/>
          <w:rtl/>
        </w:rPr>
        <w:t>:</w:t>
      </w:r>
      <w:r w:rsidRPr="00904FCB">
        <w:rPr>
          <w:rFonts w:hint="cs"/>
          <w:rtl/>
        </w:rPr>
        <w:t xml:space="preserve"> بإجماعنا الظاهر المستظهر من جملة من العبارة</w:t>
      </w:r>
      <w:r w:rsidR="00110BEB" w:rsidRPr="00904FCB">
        <w:rPr>
          <w:rFonts w:hint="cs"/>
          <w:rtl/>
        </w:rPr>
        <w:t>،</w:t>
      </w:r>
      <w:r w:rsidRPr="00904FCB">
        <w:rPr>
          <w:rFonts w:hint="cs"/>
          <w:rtl/>
        </w:rPr>
        <w:t xml:space="preserve"> كالمنتهى والتذكرة والمدارك والذخيرة</w:t>
      </w:r>
      <w:r w:rsidR="00110BEB" w:rsidRPr="00904FCB">
        <w:rPr>
          <w:rFonts w:hint="cs"/>
          <w:rtl/>
        </w:rPr>
        <w:t>؛</w:t>
      </w:r>
      <w:r w:rsidRPr="00904FCB">
        <w:rPr>
          <w:rFonts w:hint="cs"/>
          <w:rtl/>
        </w:rPr>
        <w:t xml:space="preserve"> للتأسي</w:t>
      </w:r>
      <w:r w:rsidR="00110BEB" w:rsidRPr="00904FCB">
        <w:rPr>
          <w:rFonts w:hint="cs"/>
          <w:rtl/>
        </w:rPr>
        <w:t>؛</w:t>
      </w:r>
      <w:r w:rsidRPr="00904FCB">
        <w:rPr>
          <w:rFonts w:hint="cs"/>
          <w:rtl/>
        </w:rPr>
        <w:t xml:space="preserve"> والمعتبرة المستفيضة</w:t>
      </w:r>
      <w:r w:rsidRPr="00904FCB">
        <w:rPr>
          <w:rFonts w:hint="cs"/>
          <w:vertAlign w:val="superscript"/>
          <w:rtl/>
        </w:rPr>
        <w:t>(</w:t>
      </w:r>
      <w:r w:rsidRPr="00904FCB">
        <w:rPr>
          <w:rStyle w:val="ac"/>
          <w:sz w:val="27"/>
          <w:rtl/>
        </w:rPr>
        <w:endnoteReference w:id="445"/>
      </w:r>
      <w:r w:rsidRPr="00904FCB">
        <w:rPr>
          <w:rFonts w:hint="cs"/>
          <w:vertAlign w:val="superscript"/>
          <w:rtl/>
        </w:rPr>
        <w:t>)</w:t>
      </w:r>
      <w:r w:rsidRPr="00904FCB">
        <w:rPr>
          <w:rFonts w:hint="cs"/>
          <w:rtl/>
        </w:rPr>
        <w:t xml:space="preserve">. </w:t>
      </w:r>
    </w:p>
    <w:p w:rsidR="005B6CEC" w:rsidRPr="00904FCB" w:rsidRDefault="005B6CEC" w:rsidP="00510A75">
      <w:pPr>
        <w:spacing w:line="400" w:lineRule="exact"/>
        <w:rPr>
          <w:rtl/>
        </w:rPr>
      </w:pPr>
      <w:r w:rsidRPr="00756F2A">
        <w:rPr>
          <w:rFonts w:hint="cs"/>
          <w:b/>
          <w:bCs/>
          <w:rtl/>
        </w:rPr>
        <w:t>22ـ</w:t>
      </w:r>
      <w:r w:rsidRPr="00904FCB">
        <w:rPr>
          <w:rFonts w:hint="cs"/>
          <w:b/>
          <w:bCs/>
          <w:rtl/>
        </w:rPr>
        <w:t xml:space="preserve"> في معتمد العروة</w:t>
      </w:r>
      <w:r w:rsidR="00110BEB" w:rsidRPr="00904FCB">
        <w:rPr>
          <w:rFonts w:hint="cs"/>
          <w:b/>
          <w:bCs/>
          <w:rtl/>
        </w:rPr>
        <w:t>،</w:t>
      </w:r>
      <w:r w:rsidRPr="00904FCB">
        <w:rPr>
          <w:rFonts w:hint="cs"/>
          <w:b/>
          <w:bCs/>
          <w:rtl/>
        </w:rPr>
        <w:t xml:space="preserve"> للسيد الخوئي</w:t>
      </w:r>
      <w:r w:rsidR="00510A75" w:rsidRPr="00756F2A">
        <w:rPr>
          <w:rFonts w:ascii="Mosawi" w:hAnsi="Mosawi" w:cs="Mosawi"/>
          <w:b/>
          <w:bCs/>
          <w:sz w:val="22"/>
          <w:szCs w:val="22"/>
          <w:rtl/>
        </w:rPr>
        <w:t>&amp;</w:t>
      </w:r>
      <w:r w:rsidR="00110BEB" w:rsidRPr="00904FCB">
        <w:rPr>
          <w:rFonts w:hint="cs"/>
          <w:rtl/>
        </w:rPr>
        <w:t>،</w:t>
      </w:r>
      <w:r w:rsidRPr="00904FCB">
        <w:rPr>
          <w:rFonts w:hint="cs"/>
          <w:rtl/>
        </w:rPr>
        <w:t xml:space="preserve"> في ذيل قول العروة الوثقى: «ويجب أن </w:t>
      </w:r>
      <w:r w:rsidRPr="00904FCB">
        <w:rPr>
          <w:rFonts w:hint="cs"/>
          <w:rtl/>
        </w:rPr>
        <w:lastRenderedPageBreak/>
        <w:t>يكون الذبح بمنى»</w:t>
      </w:r>
      <w:r w:rsidR="00110BEB" w:rsidRPr="00904FCB">
        <w:rPr>
          <w:rFonts w:hint="cs"/>
          <w:rtl/>
        </w:rPr>
        <w:t>،</w:t>
      </w:r>
      <w:r w:rsidRPr="00904FCB">
        <w:rPr>
          <w:rFonts w:hint="cs"/>
          <w:rtl/>
        </w:rPr>
        <w:t xml:space="preserve"> قال: للقطع</w:t>
      </w:r>
      <w:r w:rsidR="00110BEB" w:rsidRPr="00904FCB">
        <w:rPr>
          <w:rFonts w:hint="cs"/>
          <w:rtl/>
        </w:rPr>
        <w:t>.</w:t>
      </w:r>
      <w:r w:rsidRPr="00904FCB">
        <w:rPr>
          <w:rFonts w:hint="cs"/>
          <w:rtl/>
        </w:rPr>
        <w:t xml:space="preserve"> ويدل عليه </w:t>
      </w:r>
      <w:r w:rsidR="00110BEB" w:rsidRPr="00904FCB">
        <w:rPr>
          <w:rFonts w:hint="cs"/>
          <w:rtl/>
        </w:rPr>
        <w:t xml:space="preserve">ـ </w:t>
      </w:r>
      <w:r w:rsidRPr="00904FCB">
        <w:rPr>
          <w:rFonts w:hint="cs"/>
          <w:rtl/>
        </w:rPr>
        <w:t>مضافاً إلى ما ذكر</w:t>
      </w:r>
      <w:r w:rsidR="00110BEB" w:rsidRPr="00904FCB">
        <w:rPr>
          <w:rFonts w:hint="cs"/>
          <w:rtl/>
        </w:rPr>
        <w:t xml:space="preserve"> ـ</w:t>
      </w:r>
      <w:r w:rsidRPr="00904FCB">
        <w:rPr>
          <w:rFonts w:hint="cs"/>
          <w:rtl/>
        </w:rPr>
        <w:t xml:space="preserve"> الكتاب العزيز...</w:t>
      </w:r>
      <w:r w:rsidRPr="00904FCB">
        <w:rPr>
          <w:rFonts w:hint="cs"/>
          <w:vertAlign w:val="superscript"/>
          <w:rtl/>
        </w:rPr>
        <w:t>(</w:t>
      </w:r>
      <w:r w:rsidRPr="00904FCB">
        <w:rPr>
          <w:rStyle w:val="ac"/>
          <w:sz w:val="27"/>
          <w:rtl/>
        </w:rPr>
        <w:endnoteReference w:id="446"/>
      </w:r>
      <w:r w:rsidRPr="00904FCB">
        <w:rPr>
          <w:rFonts w:hint="cs"/>
          <w:vertAlign w:val="superscript"/>
          <w:rtl/>
        </w:rPr>
        <w:t>)</w:t>
      </w:r>
      <w:r w:rsidR="00110BEB" w:rsidRPr="00904FCB">
        <w:rPr>
          <w:rFonts w:hint="cs"/>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هؤلاء العلماء لم يحصّ</w:t>
      </w:r>
      <w:r w:rsidR="00110BEB" w:rsidRPr="00904FCB">
        <w:rPr>
          <w:rFonts w:hint="cs"/>
          <w:rtl/>
        </w:rPr>
        <w:t>ِ</w:t>
      </w:r>
      <w:r w:rsidRPr="00904FCB">
        <w:rPr>
          <w:rFonts w:hint="cs"/>
          <w:rtl/>
        </w:rPr>
        <w:t>لوا الإجماع بأنفسهم</w:t>
      </w:r>
      <w:r w:rsidR="00110BEB" w:rsidRPr="00904FCB">
        <w:rPr>
          <w:rFonts w:hint="cs"/>
          <w:rtl/>
        </w:rPr>
        <w:t>،</w:t>
      </w:r>
      <w:r w:rsidRPr="00904FCB">
        <w:rPr>
          <w:rFonts w:hint="cs"/>
          <w:rtl/>
        </w:rPr>
        <w:t xml:space="preserve"> وإلاّ كان عليهم أن ينقلوا إجماع الشيخ في الخلاف</w:t>
      </w:r>
      <w:r w:rsidR="00110BEB" w:rsidRPr="00904FCB">
        <w:rPr>
          <w:rFonts w:hint="cs"/>
          <w:rtl/>
        </w:rPr>
        <w:t>،</w:t>
      </w:r>
      <w:r w:rsidRPr="00904FCB">
        <w:rPr>
          <w:rFonts w:hint="cs"/>
          <w:rtl/>
        </w:rPr>
        <w:t xml:space="preserve"> بل نظروا إلى فعل النبي</w:t>
      </w:r>
      <w:r w:rsidR="00110BEB" w:rsidRPr="00904FCB">
        <w:rPr>
          <w:rFonts w:hint="cs"/>
          <w:rtl/>
        </w:rPr>
        <w:t>ّ</w:t>
      </w:r>
      <w:r w:rsidR="00635E51" w:rsidRPr="00904FCB">
        <w:rPr>
          <w:rFonts w:cs="Mosawi" w:hint="cs"/>
          <w:szCs w:val="22"/>
          <w:rtl/>
        </w:rPr>
        <w:t>|</w:t>
      </w:r>
      <w:r w:rsidRPr="00904FCB">
        <w:rPr>
          <w:rFonts w:hint="cs"/>
          <w:rtl/>
        </w:rPr>
        <w:t xml:space="preserve"> وفعل المسلمين في طول القرون</w:t>
      </w:r>
      <w:r w:rsidR="00110BEB" w:rsidRPr="00904FCB">
        <w:rPr>
          <w:rFonts w:hint="cs"/>
          <w:rtl/>
        </w:rPr>
        <w:t>،</w:t>
      </w:r>
      <w:r w:rsidRPr="00904FCB">
        <w:rPr>
          <w:rFonts w:hint="cs"/>
          <w:rtl/>
        </w:rPr>
        <w:t xml:space="preserve"> وظن</w:t>
      </w:r>
      <w:r w:rsidR="00110BEB" w:rsidRPr="00904FCB">
        <w:rPr>
          <w:rFonts w:hint="cs"/>
          <w:rtl/>
        </w:rPr>
        <w:t>ّ</w:t>
      </w:r>
      <w:r w:rsidRPr="00904FCB">
        <w:rPr>
          <w:rFonts w:hint="cs"/>
          <w:rtl/>
        </w:rPr>
        <w:t>وا أنه واجب</w:t>
      </w:r>
      <w:r w:rsidR="00110BEB" w:rsidRPr="00904FCB">
        <w:rPr>
          <w:rFonts w:hint="cs"/>
          <w:rtl/>
        </w:rPr>
        <w:t>ٌ،</w:t>
      </w:r>
      <w:r w:rsidRPr="00904FCB">
        <w:rPr>
          <w:rFonts w:hint="cs"/>
          <w:rtl/>
        </w:rPr>
        <w:t xml:space="preserve"> مع أن فعل النبي</w:t>
      </w:r>
      <w:r w:rsidR="00110BEB" w:rsidRPr="00904FCB">
        <w:rPr>
          <w:rFonts w:hint="cs"/>
          <w:rtl/>
        </w:rPr>
        <w:t>ّ</w:t>
      </w:r>
      <w:r w:rsidR="00635E51" w:rsidRPr="00904FCB">
        <w:rPr>
          <w:rFonts w:cs="Mosawi" w:hint="cs"/>
          <w:szCs w:val="22"/>
          <w:rtl/>
        </w:rPr>
        <w:t>|</w:t>
      </w:r>
      <w:r w:rsidRPr="00904FCB">
        <w:rPr>
          <w:rFonts w:hint="cs"/>
          <w:rtl/>
        </w:rPr>
        <w:t xml:space="preserve"> لا يدل</w:t>
      </w:r>
      <w:r w:rsidR="00110BEB" w:rsidRPr="00904FCB">
        <w:rPr>
          <w:rFonts w:hint="cs"/>
          <w:rtl/>
        </w:rPr>
        <w:t>ّ</w:t>
      </w:r>
      <w:r w:rsidRPr="00904FCB">
        <w:rPr>
          <w:rFonts w:hint="cs"/>
          <w:rtl/>
        </w:rPr>
        <w:t xml:space="preserve"> على الوجوب</w:t>
      </w:r>
      <w:r w:rsidR="00110BEB" w:rsidRPr="00904FCB">
        <w:rPr>
          <w:rFonts w:hint="cs"/>
          <w:rtl/>
        </w:rPr>
        <w:t>،</w:t>
      </w:r>
      <w:r w:rsidRPr="00904FCB">
        <w:rPr>
          <w:rFonts w:hint="cs"/>
          <w:rtl/>
        </w:rPr>
        <w:t xml:space="preserve"> وكذا فعل المسلمين</w:t>
      </w:r>
      <w:r w:rsidR="00110BEB" w:rsidRPr="00904FCB">
        <w:rPr>
          <w:rFonts w:hint="cs"/>
          <w:rtl/>
        </w:rPr>
        <w:t>،</w:t>
      </w:r>
      <w:r w:rsidRPr="00904FCB">
        <w:rPr>
          <w:rFonts w:hint="cs"/>
          <w:rtl/>
        </w:rPr>
        <w:t xml:space="preserve"> بل يدلّ على أنه كان أمراً متعارفاً بينهم</w:t>
      </w:r>
      <w:r w:rsidR="00110BEB" w:rsidRPr="00904FCB">
        <w:rPr>
          <w:rFonts w:hint="cs"/>
          <w:rtl/>
        </w:rPr>
        <w:t>، ولا</w:t>
      </w:r>
      <w:r w:rsidRPr="00904FCB">
        <w:rPr>
          <w:rFonts w:hint="cs"/>
          <w:rtl/>
        </w:rPr>
        <w:t xml:space="preserve"> سي</w:t>
      </w:r>
      <w:r w:rsidR="00110BEB" w:rsidRPr="00904FCB">
        <w:rPr>
          <w:rFonts w:hint="cs"/>
          <w:rtl/>
        </w:rPr>
        <w:t>َّ</w:t>
      </w:r>
      <w:r w:rsidRPr="00904FCB">
        <w:rPr>
          <w:rFonts w:hint="cs"/>
          <w:rtl/>
        </w:rPr>
        <w:t>ما بملاحظة أنه كان عليهم أن يقيموا بمنى ثلاثة أيام</w:t>
      </w:r>
      <w:r w:rsidR="00110BEB" w:rsidRPr="00904FCB">
        <w:rPr>
          <w:rFonts w:hint="cs"/>
          <w:rtl/>
        </w:rPr>
        <w:t>،</w:t>
      </w:r>
      <w:r w:rsidRPr="00904FCB">
        <w:rPr>
          <w:rFonts w:hint="cs"/>
          <w:rtl/>
        </w:rPr>
        <w:t xml:space="preserve"> فكانوا يذبحون هناك</w:t>
      </w:r>
      <w:r w:rsidR="00110BEB" w:rsidRPr="00904FCB">
        <w:rPr>
          <w:rFonts w:hint="cs"/>
          <w:rtl/>
        </w:rPr>
        <w:t>،</w:t>
      </w:r>
      <w:r w:rsidRPr="00904FCB">
        <w:rPr>
          <w:rFonts w:hint="cs"/>
          <w:rtl/>
        </w:rPr>
        <w:t xml:space="preserve"> ويأكلوا ويشربون ـ كما هو صريح روايات حرمة الصوم في منى أيام التشريق</w:t>
      </w:r>
      <w:r w:rsidR="00110BEB" w:rsidRPr="00904FCB">
        <w:rPr>
          <w:rFonts w:hint="cs"/>
          <w:rtl/>
        </w:rPr>
        <w:t>؛</w:t>
      </w:r>
      <w:r w:rsidRPr="00904FCB">
        <w:rPr>
          <w:rFonts w:hint="cs"/>
          <w:rtl/>
        </w:rPr>
        <w:t xml:space="preserve"> لأنّها أيام الأكل والشرب ـ</w:t>
      </w:r>
      <w:r w:rsidR="00110BEB" w:rsidRPr="00904FCB">
        <w:rPr>
          <w:rFonts w:hint="cs"/>
          <w:rtl/>
        </w:rPr>
        <w:t>،</w:t>
      </w:r>
      <w:r w:rsidRPr="00904FCB">
        <w:rPr>
          <w:rFonts w:hint="cs"/>
          <w:rtl/>
        </w:rPr>
        <w:t xml:space="preserve"> وكانوا يشرقون اللحوم للشمس في منى</w:t>
      </w:r>
      <w:r w:rsidR="00110BEB" w:rsidRPr="00904FCB">
        <w:rPr>
          <w:rFonts w:hint="cs"/>
          <w:rtl/>
        </w:rPr>
        <w:t>،</w:t>
      </w:r>
      <w:r w:rsidRPr="00904FCB">
        <w:rPr>
          <w:rFonts w:hint="cs"/>
          <w:rtl/>
        </w:rPr>
        <w:t xml:space="preserve"> حت</w:t>
      </w:r>
      <w:r w:rsidR="00110BEB" w:rsidRPr="00904FCB">
        <w:rPr>
          <w:rFonts w:hint="cs"/>
          <w:rtl/>
        </w:rPr>
        <w:t>ّ</w:t>
      </w:r>
      <w:r w:rsidRPr="00904FCB">
        <w:rPr>
          <w:rFonts w:hint="cs"/>
          <w:rtl/>
        </w:rPr>
        <w:t>ى يدّ</w:t>
      </w:r>
      <w:r w:rsidR="00110BEB" w:rsidRPr="00904FCB">
        <w:rPr>
          <w:rFonts w:hint="cs"/>
          <w:rtl/>
        </w:rPr>
        <w:t>َ</w:t>
      </w:r>
      <w:r w:rsidRPr="00904FCB">
        <w:rPr>
          <w:rFonts w:hint="cs"/>
          <w:rtl/>
        </w:rPr>
        <w:t>خروها لسائر الأوقات ـ كما يظهر من وجه تسمية أيام التشريق ـ</w:t>
      </w:r>
      <w:r w:rsidR="00110BEB" w:rsidRPr="00904FCB">
        <w:rPr>
          <w:rFonts w:hint="cs"/>
          <w:rtl/>
        </w:rPr>
        <w:t>،</w:t>
      </w:r>
      <w:r w:rsidRPr="00904FCB">
        <w:rPr>
          <w:rFonts w:hint="cs"/>
          <w:rtl/>
        </w:rPr>
        <w:t xml:space="preserve"> فلذا كان الذبح بمنى متداولاً</w:t>
      </w:r>
      <w:r w:rsidR="00110BEB" w:rsidRPr="00904FCB">
        <w:rPr>
          <w:rFonts w:hint="cs"/>
          <w:rtl/>
        </w:rPr>
        <w:t>،</w:t>
      </w:r>
      <w:r w:rsidRPr="00904FCB">
        <w:rPr>
          <w:rFonts w:hint="cs"/>
          <w:rtl/>
        </w:rPr>
        <w:t xml:space="preserve"> بل سن</w:t>
      </w:r>
      <w:r w:rsidR="00110BEB" w:rsidRPr="00904FCB">
        <w:rPr>
          <w:rFonts w:hint="cs"/>
          <w:rtl/>
        </w:rPr>
        <w:t>ّ</w:t>
      </w:r>
      <w:r w:rsidRPr="00904FCB">
        <w:rPr>
          <w:rFonts w:hint="cs"/>
          <w:rtl/>
        </w:rPr>
        <w:t>ة</w:t>
      </w:r>
      <w:r w:rsidR="00110BEB" w:rsidRPr="00904FCB">
        <w:rPr>
          <w:rFonts w:hint="cs"/>
          <w:rtl/>
        </w:rPr>
        <w:t>،</w:t>
      </w:r>
      <w:r w:rsidRPr="00904FCB">
        <w:rPr>
          <w:rFonts w:hint="cs"/>
          <w:rtl/>
        </w:rPr>
        <w:t xml:space="preserve"> ولكن</w:t>
      </w:r>
      <w:r w:rsidR="00110BEB" w:rsidRPr="00904FCB">
        <w:rPr>
          <w:rFonts w:hint="cs"/>
          <w:rtl/>
        </w:rPr>
        <w:t>ْ</w:t>
      </w:r>
      <w:r w:rsidRPr="00904FCB">
        <w:rPr>
          <w:rFonts w:hint="cs"/>
          <w:rtl/>
        </w:rPr>
        <w:t xml:space="preserve"> لا يدل على وجوب كونه بمنى. فإثبات الوجوب يحتاج إلى مؤنة</w:t>
      </w:r>
      <w:r w:rsidR="00110BEB" w:rsidRPr="00904FCB">
        <w:rPr>
          <w:rFonts w:hint="cs"/>
          <w:rtl/>
        </w:rPr>
        <w:t>ٍ</w:t>
      </w:r>
      <w:r w:rsidRPr="00904FCB">
        <w:rPr>
          <w:rFonts w:hint="cs"/>
          <w:rtl/>
        </w:rPr>
        <w:t xml:space="preserve"> زائدة</w:t>
      </w:r>
      <w:r w:rsidR="00110BEB" w:rsidRPr="00904FCB">
        <w:rPr>
          <w:rFonts w:hint="cs"/>
          <w:rtl/>
        </w:rPr>
        <w:t>،</w:t>
      </w:r>
      <w:r w:rsidRPr="00904FCB">
        <w:rPr>
          <w:rFonts w:hint="cs"/>
          <w:rtl/>
        </w:rPr>
        <w:t xml:space="preserve"> فيلزم أن نراجع الروايات والآيات</w:t>
      </w:r>
      <w:r w:rsidR="00110BEB" w:rsidRPr="00904FCB">
        <w:rPr>
          <w:rFonts w:hint="cs"/>
          <w:rtl/>
        </w:rPr>
        <w:t>؛</w:t>
      </w:r>
      <w:r w:rsidRPr="00904FCB">
        <w:rPr>
          <w:rFonts w:hint="cs"/>
          <w:rtl/>
        </w:rPr>
        <w:t xml:space="preserve"> حت</w:t>
      </w:r>
      <w:r w:rsidR="00110BEB" w:rsidRPr="00904FCB">
        <w:rPr>
          <w:rFonts w:hint="cs"/>
          <w:rtl/>
        </w:rPr>
        <w:t>ّ</w:t>
      </w:r>
      <w:r w:rsidRPr="00904FCB">
        <w:rPr>
          <w:rFonts w:hint="cs"/>
          <w:rtl/>
        </w:rPr>
        <w:t xml:space="preserve">ى نرى هل نجد دليلاً على الوجوب أو لا؟ </w:t>
      </w:r>
    </w:p>
    <w:p w:rsidR="005B6CEC" w:rsidRPr="00904FCB" w:rsidRDefault="005B6CEC" w:rsidP="007A21AA">
      <w:pPr>
        <w:spacing w:line="400" w:lineRule="exact"/>
        <w:rPr>
          <w:rtl/>
        </w:rPr>
      </w:pPr>
    </w:p>
    <w:p w:rsidR="005B6CEC" w:rsidRPr="00904FCB" w:rsidRDefault="005B6CEC" w:rsidP="007A21AA">
      <w:pPr>
        <w:pStyle w:val="31"/>
        <w:spacing w:line="400" w:lineRule="exact"/>
        <w:rPr>
          <w:color w:val="auto"/>
          <w:rtl/>
        </w:rPr>
      </w:pPr>
      <w:r w:rsidRPr="00904FCB">
        <w:rPr>
          <w:rFonts w:hint="cs"/>
          <w:color w:val="auto"/>
          <w:rtl/>
        </w:rPr>
        <w:t>الروايات التي استدل</w:t>
      </w:r>
      <w:r w:rsidR="00110BEB" w:rsidRPr="00904FCB">
        <w:rPr>
          <w:rFonts w:hint="cs"/>
          <w:color w:val="auto"/>
          <w:rtl/>
        </w:rPr>
        <w:t>ّ</w:t>
      </w:r>
      <w:r w:rsidRPr="00904FCB">
        <w:rPr>
          <w:rFonts w:hint="cs"/>
          <w:color w:val="auto"/>
          <w:rtl/>
        </w:rPr>
        <w:t xml:space="preserve"> بها لوجوب ذبح الهدي في منى</w:t>
      </w:r>
    </w:p>
    <w:p w:rsidR="005B6CEC" w:rsidRPr="00904FCB" w:rsidRDefault="005B6CEC" w:rsidP="007A21AA">
      <w:pPr>
        <w:spacing w:line="400" w:lineRule="exact"/>
        <w:rPr>
          <w:rtl/>
        </w:rPr>
      </w:pPr>
      <w:r w:rsidRPr="00A2543E">
        <w:rPr>
          <w:rFonts w:hint="cs"/>
          <w:b/>
          <w:bCs/>
          <w:rtl/>
        </w:rPr>
        <w:t>1ـ</w:t>
      </w:r>
      <w:r w:rsidRPr="00904FCB">
        <w:rPr>
          <w:rFonts w:hint="cs"/>
          <w:b/>
          <w:bCs/>
          <w:rtl/>
        </w:rPr>
        <w:t xml:space="preserve"> صحيحة منصور بن حازم</w:t>
      </w:r>
      <w:r w:rsidR="00110BEB" w:rsidRPr="00904FCB">
        <w:rPr>
          <w:rFonts w:hint="cs"/>
          <w:rtl/>
        </w:rPr>
        <w:t>،</w:t>
      </w:r>
      <w:r w:rsidRPr="00904FCB">
        <w:rPr>
          <w:rFonts w:hint="cs"/>
          <w:rtl/>
        </w:rPr>
        <w:t xml:space="preserve"> عن أبي عبد الله</w:t>
      </w:r>
      <w:r w:rsidR="001C1A2A" w:rsidRPr="00904FCB">
        <w:rPr>
          <w:rFonts w:cs="Mosawi" w:hint="cs"/>
          <w:szCs w:val="22"/>
          <w:rtl/>
        </w:rPr>
        <w:t>×</w:t>
      </w:r>
      <w:r w:rsidR="00110BEB" w:rsidRPr="00904FCB">
        <w:rPr>
          <w:rFonts w:hint="cs"/>
          <w:rtl/>
        </w:rPr>
        <w:t>:</w:t>
      </w:r>
      <w:r w:rsidRPr="00904FCB">
        <w:rPr>
          <w:rFonts w:hint="cs"/>
          <w:rtl/>
        </w:rPr>
        <w:t xml:space="preserve"> في الرجل يضلّ هديه فيجده رجل آخر فينحره</w:t>
      </w:r>
      <w:r w:rsidR="00110BEB" w:rsidRPr="00904FCB">
        <w:rPr>
          <w:rFonts w:hint="cs"/>
          <w:rtl/>
        </w:rPr>
        <w:t>؟</w:t>
      </w:r>
      <w:r w:rsidRPr="00904FCB">
        <w:rPr>
          <w:rFonts w:hint="cs"/>
          <w:rtl/>
        </w:rPr>
        <w:t xml:space="preserve"> فقال</w:t>
      </w:r>
      <w:r w:rsidR="00110BEB" w:rsidRPr="00904FCB">
        <w:rPr>
          <w:rFonts w:hint="cs"/>
          <w:rtl/>
        </w:rPr>
        <w:t>:</w:t>
      </w:r>
      <w:r w:rsidRPr="00904FCB">
        <w:rPr>
          <w:rFonts w:hint="cs"/>
          <w:rtl/>
        </w:rPr>
        <w:t xml:space="preserve"> إن</w:t>
      </w:r>
      <w:r w:rsidR="00110BEB" w:rsidRPr="00904FCB">
        <w:rPr>
          <w:rFonts w:hint="cs"/>
          <w:rtl/>
        </w:rPr>
        <w:t>ْ</w:t>
      </w:r>
      <w:r w:rsidRPr="00904FCB">
        <w:rPr>
          <w:rFonts w:hint="cs"/>
          <w:rtl/>
        </w:rPr>
        <w:t xml:space="preserve"> كان نحره بمنى فقد أجز</w:t>
      </w:r>
      <w:r w:rsidR="00110BEB" w:rsidRPr="00904FCB">
        <w:rPr>
          <w:rFonts w:hint="cs"/>
          <w:rtl/>
        </w:rPr>
        <w:t>أ</w:t>
      </w:r>
      <w:r w:rsidRPr="00904FCB">
        <w:rPr>
          <w:rFonts w:hint="cs"/>
          <w:rtl/>
        </w:rPr>
        <w:t xml:space="preserve"> عن صاحبه الذي ضلّ منه، وإن</w:t>
      </w:r>
      <w:r w:rsidR="00110BEB" w:rsidRPr="00904FCB">
        <w:rPr>
          <w:rFonts w:hint="cs"/>
          <w:rtl/>
        </w:rPr>
        <w:t>ْ</w:t>
      </w:r>
      <w:r w:rsidRPr="00904FCB">
        <w:rPr>
          <w:rFonts w:hint="cs"/>
          <w:rtl/>
        </w:rPr>
        <w:t xml:space="preserve"> كان نحره في غير منى لم ي</w:t>
      </w:r>
      <w:r w:rsidR="00110BEB" w:rsidRPr="00904FCB">
        <w:rPr>
          <w:rFonts w:hint="cs"/>
          <w:rtl/>
        </w:rPr>
        <w:t>ُ</w:t>
      </w:r>
      <w:r w:rsidRPr="00904FCB">
        <w:rPr>
          <w:rFonts w:hint="cs"/>
          <w:rtl/>
        </w:rPr>
        <w:t>ج</w:t>
      </w:r>
      <w:r w:rsidR="00110BEB" w:rsidRPr="00904FCB">
        <w:rPr>
          <w:rFonts w:hint="cs"/>
          <w:rtl/>
        </w:rPr>
        <w:t>ْ</w:t>
      </w:r>
      <w:r w:rsidRPr="00904FCB">
        <w:rPr>
          <w:rFonts w:hint="cs"/>
          <w:rtl/>
        </w:rPr>
        <w:t>ز</w:t>
      </w:r>
      <w:r w:rsidR="00110BEB" w:rsidRPr="00904FCB">
        <w:rPr>
          <w:rFonts w:hint="cs"/>
          <w:rtl/>
        </w:rPr>
        <w:t>ِ</w:t>
      </w:r>
      <w:r w:rsidRPr="00904FCB">
        <w:rPr>
          <w:rFonts w:hint="cs"/>
          <w:rtl/>
        </w:rPr>
        <w:t xml:space="preserve"> عن صاحبه</w:t>
      </w:r>
      <w:r w:rsidRPr="00904FCB">
        <w:rPr>
          <w:rFonts w:hint="cs"/>
          <w:vertAlign w:val="superscript"/>
          <w:rtl/>
        </w:rPr>
        <w:t>(</w:t>
      </w:r>
      <w:r w:rsidRPr="00904FCB">
        <w:rPr>
          <w:vertAlign w:val="superscript"/>
          <w:rtl/>
        </w:rPr>
        <w:endnoteReference w:id="447"/>
      </w:r>
      <w:r w:rsidRPr="00904FCB">
        <w:rPr>
          <w:rFonts w:hint="cs"/>
          <w:vertAlign w:val="superscript"/>
          <w:rtl/>
        </w:rPr>
        <w:t>)</w:t>
      </w:r>
      <w:r w:rsidRPr="00904FCB">
        <w:rPr>
          <w:rFonts w:hint="cs"/>
          <w:rtl/>
        </w:rPr>
        <w:t>.</w:t>
      </w:r>
      <w:r w:rsidRPr="00904FCB">
        <w:rPr>
          <w:rFonts w:hint="cs"/>
          <w:rtl/>
          <w:lang w:bidi="ar-LB"/>
        </w:rPr>
        <w:t xml:space="preserve"> </w:t>
      </w:r>
    </w:p>
    <w:p w:rsidR="005B6CEC" w:rsidRPr="00904FCB" w:rsidRDefault="005B6CEC" w:rsidP="007A21AA">
      <w:pPr>
        <w:spacing w:line="400" w:lineRule="exact"/>
        <w:rPr>
          <w:rtl/>
        </w:rPr>
      </w:pPr>
      <w:r w:rsidRPr="00A2543E">
        <w:rPr>
          <w:rFonts w:hint="cs"/>
          <w:b/>
          <w:bCs/>
          <w:rtl/>
        </w:rPr>
        <w:t>2ـ</w:t>
      </w:r>
      <w:r w:rsidRPr="00904FCB">
        <w:rPr>
          <w:rFonts w:hint="cs"/>
          <w:b/>
          <w:bCs/>
          <w:rtl/>
        </w:rPr>
        <w:t xml:space="preserve"> خبر إبراهيم الكرخي</w:t>
      </w:r>
      <w:r w:rsidR="00110BEB" w:rsidRPr="00904FCB">
        <w:rPr>
          <w:rFonts w:hint="cs"/>
          <w:rtl/>
        </w:rPr>
        <w:t>،</w:t>
      </w:r>
      <w:r w:rsidRPr="00904FCB">
        <w:rPr>
          <w:rFonts w:hint="cs"/>
          <w:rtl/>
        </w:rPr>
        <w:t xml:space="preserve"> عن أبي عبد الله</w:t>
      </w:r>
      <w:r w:rsidR="001C1A2A" w:rsidRPr="00904FCB">
        <w:rPr>
          <w:rFonts w:cs="Mosawi" w:hint="cs"/>
          <w:szCs w:val="22"/>
          <w:rtl/>
        </w:rPr>
        <w:t>×</w:t>
      </w:r>
      <w:r w:rsidR="00110BEB" w:rsidRPr="00904FCB">
        <w:rPr>
          <w:rFonts w:hint="cs"/>
          <w:rtl/>
        </w:rPr>
        <w:t>،</w:t>
      </w:r>
      <w:r w:rsidRPr="00904FCB">
        <w:rPr>
          <w:rFonts w:hint="cs"/>
          <w:rtl/>
        </w:rPr>
        <w:t xml:space="preserve"> في رجل قدم بهديه مك</w:t>
      </w:r>
      <w:r w:rsidR="00110BEB" w:rsidRPr="00904FCB">
        <w:rPr>
          <w:rFonts w:hint="cs"/>
          <w:rtl/>
        </w:rPr>
        <w:t>ّ</w:t>
      </w:r>
      <w:r w:rsidRPr="00904FCB">
        <w:rPr>
          <w:rFonts w:hint="cs"/>
          <w:rtl/>
        </w:rPr>
        <w:t>ة في العشر</w:t>
      </w:r>
      <w:r w:rsidR="00110BEB" w:rsidRPr="00904FCB">
        <w:rPr>
          <w:rFonts w:hint="cs"/>
          <w:rtl/>
        </w:rPr>
        <w:t>؟</w:t>
      </w:r>
      <w:r w:rsidRPr="00904FCB">
        <w:rPr>
          <w:rFonts w:hint="cs"/>
          <w:rtl/>
        </w:rPr>
        <w:t xml:space="preserve"> فقال: إن</w:t>
      </w:r>
      <w:r w:rsidR="00110BEB" w:rsidRPr="00904FCB">
        <w:rPr>
          <w:rFonts w:hint="cs"/>
          <w:rtl/>
        </w:rPr>
        <w:t>ْ</w:t>
      </w:r>
      <w:r w:rsidRPr="00904FCB">
        <w:rPr>
          <w:rFonts w:hint="cs"/>
          <w:rtl/>
        </w:rPr>
        <w:t xml:space="preserve"> كان هدياً واجباً فلا ينحره إلاّ بمنى</w:t>
      </w:r>
      <w:r w:rsidR="00110BEB" w:rsidRPr="00904FCB">
        <w:rPr>
          <w:rFonts w:hint="cs"/>
          <w:rtl/>
        </w:rPr>
        <w:t>،</w:t>
      </w:r>
      <w:r w:rsidRPr="00904FCB">
        <w:rPr>
          <w:rFonts w:hint="cs"/>
          <w:rtl/>
        </w:rPr>
        <w:t xml:space="preserve"> وإن</w:t>
      </w:r>
      <w:r w:rsidR="00110BEB" w:rsidRPr="00904FCB">
        <w:rPr>
          <w:rFonts w:hint="cs"/>
          <w:rtl/>
        </w:rPr>
        <w:t>ْ</w:t>
      </w:r>
      <w:r w:rsidRPr="00904FCB">
        <w:rPr>
          <w:rFonts w:hint="cs"/>
          <w:rtl/>
        </w:rPr>
        <w:t xml:space="preserve"> كان ليس بواجب فلينحره بمكّة إن</w:t>
      </w:r>
      <w:r w:rsidR="00110BEB" w:rsidRPr="00904FCB">
        <w:rPr>
          <w:rFonts w:hint="cs"/>
          <w:rtl/>
        </w:rPr>
        <w:t>ْ</w:t>
      </w:r>
      <w:r w:rsidRPr="00904FCB">
        <w:rPr>
          <w:rFonts w:hint="cs"/>
          <w:rtl/>
        </w:rPr>
        <w:t xml:space="preserve"> شاء</w:t>
      </w:r>
      <w:r w:rsidR="00110BEB" w:rsidRPr="00904FCB">
        <w:rPr>
          <w:rFonts w:hint="cs"/>
          <w:rtl/>
        </w:rPr>
        <w:t>،</w:t>
      </w:r>
      <w:r w:rsidRPr="00904FCB">
        <w:rPr>
          <w:rFonts w:hint="cs"/>
          <w:rtl/>
        </w:rPr>
        <w:t xml:space="preserve"> وإن</w:t>
      </w:r>
      <w:r w:rsidR="006D5FA8">
        <w:rPr>
          <w:rFonts w:hint="cs"/>
          <w:rtl/>
        </w:rPr>
        <w:t>ْ</w:t>
      </w:r>
      <w:r w:rsidRPr="00904FCB">
        <w:rPr>
          <w:rFonts w:hint="cs"/>
          <w:rtl/>
        </w:rPr>
        <w:t xml:space="preserve"> كان قد أشعره وقلّده فلا ينحره إلاّ يوم الأضحى</w:t>
      </w:r>
      <w:r w:rsidRPr="00904FCB">
        <w:rPr>
          <w:rFonts w:hint="cs"/>
          <w:vertAlign w:val="superscript"/>
          <w:rtl/>
        </w:rPr>
        <w:t>(</w:t>
      </w:r>
      <w:r w:rsidRPr="00904FCB">
        <w:rPr>
          <w:vertAlign w:val="superscript"/>
          <w:rtl/>
        </w:rPr>
        <w:endnoteReference w:id="448"/>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A2543E">
        <w:rPr>
          <w:rFonts w:hint="cs"/>
          <w:b/>
          <w:bCs/>
          <w:rtl/>
        </w:rPr>
        <w:t>3ـ</w:t>
      </w:r>
      <w:r w:rsidRPr="00904FCB">
        <w:rPr>
          <w:rFonts w:hint="cs"/>
          <w:b/>
          <w:bCs/>
          <w:rtl/>
        </w:rPr>
        <w:t xml:space="preserve"> خبر عبد</w:t>
      </w:r>
      <w:r w:rsidR="00110BEB" w:rsidRPr="00904FCB">
        <w:rPr>
          <w:rFonts w:hint="cs"/>
          <w:b/>
          <w:bCs/>
          <w:rtl/>
        </w:rPr>
        <w:t xml:space="preserve"> </w:t>
      </w:r>
      <w:r w:rsidRPr="00904FCB">
        <w:rPr>
          <w:rFonts w:hint="cs"/>
          <w:b/>
          <w:bCs/>
          <w:rtl/>
        </w:rPr>
        <w:t>الأعلى</w:t>
      </w:r>
      <w:r w:rsidRPr="00904FCB">
        <w:rPr>
          <w:rFonts w:hint="cs"/>
          <w:rtl/>
        </w:rPr>
        <w:t xml:space="preserve"> قال</w:t>
      </w:r>
      <w:r w:rsidR="00110BEB" w:rsidRPr="00904FCB">
        <w:rPr>
          <w:rFonts w:hint="cs"/>
          <w:rtl/>
        </w:rPr>
        <w:t>:</w:t>
      </w:r>
      <w:r w:rsidRPr="00904FCB">
        <w:rPr>
          <w:rFonts w:hint="cs"/>
          <w:rtl/>
        </w:rPr>
        <w:t xml:space="preserve"> قال أبو عبد الله</w:t>
      </w:r>
      <w:r w:rsidR="001C1A2A" w:rsidRPr="00904FCB">
        <w:rPr>
          <w:rFonts w:cs="Mosawi" w:hint="cs"/>
          <w:szCs w:val="22"/>
          <w:rtl/>
        </w:rPr>
        <w:t>×</w:t>
      </w:r>
      <w:r w:rsidR="00110BEB" w:rsidRPr="00904FCB">
        <w:rPr>
          <w:rFonts w:hint="cs"/>
          <w:rtl/>
        </w:rPr>
        <w:t>:</w:t>
      </w:r>
      <w:r w:rsidRPr="00904FCB">
        <w:rPr>
          <w:rFonts w:hint="cs"/>
          <w:rtl/>
        </w:rPr>
        <w:t xml:space="preserve"> لا هدي إلاّ من الإبل</w:t>
      </w:r>
      <w:r w:rsidR="00110BEB" w:rsidRPr="00904FCB">
        <w:rPr>
          <w:rFonts w:hint="cs"/>
          <w:rtl/>
        </w:rPr>
        <w:t>،</w:t>
      </w:r>
      <w:r w:rsidRPr="00904FCB">
        <w:rPr>
          <w:rFonts w:hint="cs"/>
          <w:rtl/>
        </w:rPr>
        <w:t xml:space="preserve"> ولا ذبح إلاّ بمنى</w:t>
      </w:r>
      <w:r w:rsidRPr="00904FCB">
        <w:rPr>
          <w:rFonts w:hint="cs"/>
          <w:vertAlign w:val="superscript"/>
          <w:rtl/>
        </w:rPr>
        <w:t>(</w:t>
      </w:r>
      <w:r w:rsidRPr="00904FCB">
        <w:rPr>
          <w:vertAlign w:val="superscript"/>
          <w:rtl/>
        </w:rPr>
        <w:endnoteReference w:id="449"/>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A2543E">
        <w:rPr>
          <w:rFonts w:hint="cs"/>
          <w:b/>
          <w:bCs/>
          <w:rtl/>
        </w:rPr>
        <w:t>4ـ</w:t>
      </w:r>
      <w:r w:rsidRPr="00904FCB">
        <w:rPr>
          <w:rFonts w:hint="cs"/>
          <w:b/>
          <w:bCs/>
          <w:rtl/>
        </w:rPr>
        <w:t xml:space="preserve"> خبر مسمع</w:t>
      </w:r>
      <w:r w:rsidR="00110BEB" w:rsidRPr="00904FCB">
        <w:rPr>
          <w:rFonts w:hint="cs"/>
          <w:rtl/>
        </w:rPr>
        <w:t>،</w:t>
      </w:r>
      <w:r w:rsidRPr="00904FCB">
        <w:rPr>
          <w:rFonts w:hint="cs"/>
          <w:rtl/>
        </w:rPr>
        <w:t xml:space="preserve"> عن أبي عبد الله</w:t>
      </w:r>
      <w:r w:rsidR="001C1A2A" w:rsidRPr="00904FCB">
        <w:rPr>
          <w:rFonts w:cs="Mosawi" w:hint="cs"/>
          <w:szCs w:val="22"/>
          <w:rtl/>
        </w:rPr>
        <w:t>×</w:t>
      </w:r>
      <w:r w:rsidRPr="00904FCB">
        <w:rPr>
          <w:rFonts w:hint="cs"/>
          <w:rtl/>
        </w:rPr>
        <w:t xml:space="preserve"> قال: منى كل</w:t>
      </w:r>
      <w:r w:rsidR="00110BEB" w:rsidRPr="00904FCB">
        <w:rPr>
          <w:rFonts w:hint="cs"/>
          <w:rtl/>
        </w:rPr>
        <w:t>ّ</w:t>
      </w:r>
      <w:r w:rsidRPr="00904FCB">
        <w:rPr>
          <w:rFonts w:hint="cs"/>
          <w:rtl/>
        </w:rPr>
        <w:t>ه منحر</w:t>
      </w:r>
      <w:r w:rsidR="00110BEB" w:rsidRPr="00904FCB">
        <w:rPr>
          <w:rFonts w:hint="cs"/>
          <w:rtl/>
        </w:rPr>
        <w:t>،</w:t>
      </w:r>
      <w:r w:rsidRPr="00904FCB">
        <w:rPr>
          <w:rFonts w:hint="cs"/>
          <w:rtl/>
        </w:rPr>
        <w:t xml:space="preserve"> وأفضل المنحر كله المسجد</w:t>
      </w:r>
      <w:r w:rsidRPr="00904FCB">
        <w:rPr>
          <w:rFonts w:hint="cs"/>
          <w:vertAlign w:val="superscript"/>
          <w:rtl/>
        </w:rPr>
        <w:t>(</w:t>
      </w:r>
      <w:r w:rsidRPr="00904FCB">
        <w:rPr>
          <w:vertAlign w:val="superscript"/>
          <w:rtl/>
        </w:rPr>
        <w:endnoteReference w:id="450"/>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A2543E">
        <w:rPr>
          <w:rFonts w:hint="cs"/>
          <w:b/>
          <w:bCs/>
          <w:rtl/>
        </w:rPr>
        <w:t>5ـ</w:t>
      </w:r>
      <w:r w:rsidRPr="00904FCB">
        <w:rPr>
          <w:rFonts w:hint="cs"/>
          <w:b/>
          <w:bCs/>
          <w:rtl/>
        </w:rPr>
        <w:t xml:space="preserve"> في دعائم الإسلام</w:t>
      </w:r>
      <w:r w:rsidR="00110BEB" w:rsidRPr="00904FCB">
        <w:rPr>
          <w:rFonts w:hint="cs"/>
          <w:rtl/>
        </w:rPr>
        <w:t>:</w:t>
      </w:r>
      <w:r w:rsidRPr="00904FCB">
        <w:rPr>
          <w:rFonts w:hint="cs"/>
          <w:rtl/>
        </w:rPr>
        <w:t xml:space="preserve"> روينا عن أبي عبد الله</w:t>
      </w:r>
      <w:r w:rsidR="001C1A2A" w:rsidRPr="00904FCB">
        <w:rPr>
          <w:rFonts w:cs="Mosawi" w:hint="cs"/>
          <w:szCs w:val="22"/>
          <w:rtl/>
        </w:rPr>
        <w:t>×</w:t>
      </w:r>
      <w:r w:rsidRPr="00904FCB">
        <w:rPr>
          <w:rFonts w:hint="cs"/>
          <w:rtl/>
        </w:rPr>
        <w:t xml:space="preserve"> أنه ذكر الدفع من المزدلفة، فقال: وإذا صرت إلى منى ف</w:t>
      </w:r>
      <w:r w:rsidR="00110BEB" w:rsidRPr="00904FCB">
        <w:rPr>
          <w:rFonts w:hint="cs"/>
          <w:rtl/>
        </w:rPr>
        <w:t>ا</w:t>
      </w:r>
      <w:r w:rsidRPr="00904FCB">
        <w:rPr>
          <w:rFonts w:hint="cs"/>
          <w:rtl/>
        </w:rPr>
        <w:t>ن</w:t>
      </w:r>
      <w:r w:rsidR="00110BEB" w:rsidRPr="00904FCB">
        <w:rPr>
          <w:rFonts w:hint="cs"/>
          <w:rtl/>
        </w:rPr>
        <w:t>ْ</w:t>
      </w:r>
      <w:r w:rsidRPr="00904FCB">
        <w:rPr>
          <w:rFonts w:hint="cs"/>
          <w:rtl/>
        </w:rPr>
        <w:t>ح</w:t>
      </w:r>
      <w:r w:rsidR="00110BEB" w:rsidRPr="00904FCB">
        <w:rPr>
          <w:rFonts w:hint="cs"/>
          <w:rtl/>
        </w:rPr>
        <w:t>َ</w:t>
      </w:r>
      <w:r w:rsidRPr="00904FCB">
        <w:rPr>
          <w:rFonts w:hint="cs"/>
          <w:rtl/>
        </w:rPr>
        <w:t>ر</w:t>
      </w:r>
      <w:r w:rsidR="00110BEB" w:rsidRPr="00904FCB">
        <w:rPr>
          <w:rFonts w:hint="cs"/>
          <w:rtl/>
        </w:rPr>
        <w:t>ْ</w:t>
      </w:r>
      <w:r w:rsidRPr="00904FCB">
        <w:rPr>
          <w:rFonts w:hint="cs"/>
          <w:rtl/>
        </w:rPr>
        <w:t xml:space="preserve"> هديك</w:t>
      </w:r>
      <w:r w:rsidR="00110BEB" w:rsidRPr="00904FCB">
        <w:rPr>
          <w:rFonts w:hint="cs"/>
          <w:rtl/>
        </w:rPr>
        <w:t>،</w:t>
      </w:r>
      <w:r w:rsidRPr="00904FCB">
        <w:rPr>
          <w:rFonts w:hint="cs"/>
          <w:rtl/>
        </w:rPr>
        <w:t xml:space="preserve"> و</w:t>
      </w:r>
      <w:r w:rsidR="00110BEB" w:rsidRPr="00904FCB">
        <w:rPr>
          <w:rFonts w:hint="cs"/>
          <w:rtl/>
        </w:rPr>
        <w:t>ا</w:t>
      </w:r>
      <w:r w:rsidRPr="00904FCB">
        <w:rPr>
          <w:rFonts w:hint="cs"/>
          <w:rtl/>
        </w:rPr>
        <w:t>حلق رأسك</w:t>
      </w:r>
      <w:r w:rsidRPr="00904FCB">
        <w:rPr>
          <w:rFonts w:hint="cs"/>
          <w:vertAlign w:val="superscript"/>
          <w:rtl/>
        </w:rPr>
        <w:t>(</w:t>
      </w:r>
      <w:r w:rsidRPr="00904FCB">
        <w:rPr>
          <w:vertAlign w:val="superscript"/>
          <w:rtl/>
        </w:rPr>
        <w:endnoteReference w:id="451"/>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A2543E">
        <w:rPr>
          <w:rFonts w:hint="cs"/>
          <w:b/>
          <w:bCs/>
          <w:rtl/>
        </w:rPr>
        <w:lastRenderedPageBreak/>
        <w:t xml:space="preserve">6ـ </w:t>
      </w:r>
      <w:r w:rsidRPr="00904FCB">
        <w:rPr>
          <w:rFonts w:hint="cs"/>
          <w:b/>
          <w:bCs/>
          <w:rtl/>
        </w:rPr>
        <w:t>في دعائم الإسلام</w:t>
      </w:r>
      <w:r w:rsidR="00110BEB" w:rsidRPr="00904FCB">
        <w:rPr>
          <w:rFonts w:hint="cs"/>
          <w:rtl/>
        </w:rPr>
        <w:t>:</w:t>
      </w:r>
      <w:r w:rsidRPr="00904FCB">
        <w:rPr>
          <w:rFonts w:hint="cs"/>
          <w:rtl/>
        </w:rPr>
        <w:t xml:space="preserve"> عن علي</w:t>
      </w:r>
      <w:r w:rsidR="00110BEB" w:rsidRPr="00904FCB">
        <w:rPr>
          <w:rFonts w:hint="cs"/>
          <w:rtl/>
        </w:rPr>
        <w:t>ٍّ</w:t>
      </w:r>
      <w:r w:rsidR="001C1A2A" w:rsidRPr="00904FCB">
        <w:rPr>
          <w:rFonts w:cs="Mosawi" w:hint="cs"/>
          <w:szCs w:val="22"/>
          <w:rtl/>
        </w:rPr>
        <w:t>×</w:t>
      </w:r>
      <w:r w:rsidR="00110BEB" w:rsidRPr="00904FCB">
        <w:rPr>
          <w:rFonts w:hint="cs"/>
          <w:rtl/>
        </w:rPr>
        <w:t>:</w:t>
      </w:r>
      <w:r w:rsidRPr="00904FCB">
        <w:rPr>
          <w:rFonts w:hint="cs"/>
          <w:rtl/>
        </w:rPr>
        <w:t xml:space="preserve"> </w:t>
      </w:r>
      <w:r w:rsidR="00110BEB" w:rsidRPr="00904FCB">
        <w:rPr>
          <w:rFonts w:hint="cs"/>
          <w:rtl/>
        </w:rPr>
        <w:t>إ</w:t>
      </w:r>
      <w:r w:rsidRPr="00904FCB">
        <w:rPr>
          <w:rFonts w:hint="cs"/>
          <w:rtl/>
        </w:rPr>
        <w:t>ن رسول الله</w:t>
      </w:r>
      <w:r w:rsidR="00635E51" w:rsidRPr="00904FCB">
        <w:rPr>
          <w:rFonts w:cs="Mosawi" w:hint="cs"/>
          <w:szCs w:val="22"/>
          <w:rtl/>
        </w:rPr>
        <w:t>|</w:t>
      </w:r>
      <w:r w:rsidRPr="00904FCB">
        <w:rPr>
          <w:rFonts w:hint="cs"/>
          <w:rtl/>
        </w:rPr>
        <w:t xml:space="preserve"> لمّا رمى جمرة العقبة يوم النحر أتى إلى المنحر بمنى</w:t>
      </w:r>
      <w:r w:rsidR="00110BEB" w:rsidRPr="00904FCB">
        <w:rPr>
          <w:rFonts w:hint="cs"/>
          <w:rtl/>
        </w:rPr>
        <w:t>،</w:t>
      </w:r>
      <w:r w:rsidRPr="00904FCB">
        <w:rPr>
          <w:rFonts w:hint="cs"/>
          <w:rtl/>
        </w:rPr>
        <w:t xml:space="preserve"> فقال: هذا المنحر</w:t>
      </w:r>
      <w:r w:rsidR="00110BEB" w:rsidRPr="00904FCB">
        <w:rPr>
          <w:rFonts w:hint="cs"/>
          <w:rtl/>
        </w:rPr>
        <w:t>،</w:t>
      </w:r>
      <w:r w:rsidRPr="00904FCB">
        <w:rPr>
          <w:rFonts w:hint="cs"/>
          <w:rtl/>
        </w:rPr>
        <w:t xml:space="preserve"> وكل</w:t>
      </w:r>
      <w:r w:rsidR="006D5FA8">
        <w:rPr>
          <w:rFonts w:hint="cs"/>
          <w:rtl/>
        </w:rPr>
        <w:t>ُّ</w:t>
      </w:r>
      <w:r w:rsidRPr="00904FCB">
        <w:rPr>
          <w:rFonts w:hint="cs"/>
          <w:rtl/>
        </w:rPr>
        <w:t xml:space="preserve"> منى منحر</w:t>
      </w:r>
      <w:r w:rsidR="00110BEB" w:rsidRPr="00904FCB">
        <w:rPr>
          <w:rFonts w:hint="cs"/>
          <w:vertAlign w:val="superscript"/>
          <w:rtl/>
        </w:rPr>
        <w:t>(</w:t>
      </w:r>
      <w:r w:rsidR="00110BEB" w:rsidRPr="00904FCB">
        <w:rPr>
          <w:vertAlign w:val="superscript"/>
          <w:rtl/>
        </w:rPr>
        <w:endnoteReference w:id="452"/>
      </w:r>
      <w:r w:rsidR="00110BEB"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ومن هنا يظهر الجواب عن سؤال</w:t>
      </w:r>
      <w:r w:rsidR="00110BEB" w:rsidRPr="00904FCB">
        <w:rPr>
          <w:rFonts w:hint="cs"/>
          <w:rtl/>
        </w:rPr>
        <w:t>ٍ</w:t>
      </w:r>
      <w:r w:rsidRPr="00904FCB">
        <w:rPr>
          <w:rFonts w:hint="cs"/>
          <w:rtl/>
        </w:rPr>
        <w:t xml:space="preserve"> آخر كان في ذهني</w:t>
      </w:r>
      <w:r w:rsidR="00110BEB" w:rsidRPr="00904FCB">
        <w:rPr>
          <w:rFonts w:hint="cs"/>
          <w:rtl/>
        </w:rPr>
        <w:t>،</w:t>
      </w:r>
      <w:r w:rsidRPr="00904FCB">
        <w:rPr>
          <w:rFonts w:hint="cs"/>
          <w:rtl/>
        </w:rPr>
        <w:t xml:space="preserve"> وهو إصرار أهل السنّة على نقل كلام النبي</w:t>
      </w:r>
      <w:r w:rsidR="00110BEB" w:rsidRPr="00904FCB">
        <w:rPr>
          <w:rFonts w:hint="cs"/>
          <w:rtl/>
        </w:rPr>
        <w:t>ّ</w:t>
      </w:r>
      <w:r w:rsidR="00635E51" w:rsidRPr="00904FCB">
        <w:rPr>
          <w:rFonts w:cs="Mosawi" w:hint="cs"/>
          <w:szCs w:val="22"/>
          <w:rtl/>
        </w:rPr>
        <w:t>|</w:t>
      </w:r>
      <w:r w:rsidRPr="00904FCB">
        <w:rPr>
          <w:rFonts w:hint="cs"/>
          <w:rtl/>
        </w:rPr>
        <w:t>: «منى كل</w:t>
      </w:r>
      <w:r w:rsidR="00110BEB" w:rsidRPr="00904FCB">
        <w:rPr>
          <w:rFonts w:hint="cs"/>
          <w:rtl/>
        </w:rPr>
        <w:t>ّ</w:t>
      </w:r>
      <w:r w:rsidRPr="00904FCB">
        <w:rPr>
          <w:rFonts w:hint="cs"/>
          <w:rtl/>
        </w:rPr>
        <w:t>ها منحر»</w:t>
      </w:r>
      <w:r w:rsidR="00110BEB" w:rsidRPr="00904FCB">
        <w:rPr>
          <w:rFonts w:hint="cs"/>
          <w:rtl/>
        </w:rPr>
        <w:t>،</w:t>
      </w:r>
      <w:r w:rsidRPr="00904FCB">
        <w:rPr>
          <w:rFonts w:hint="cs"/>
          <w:rtl/>
        </w:rPr>
        <w:t xml:space="preserve"> كما مرَّ في ضمن نقل الروايات تحت ر</w:t>
      </w:r>
      <w:r w:rsidRPr="00A2543E">
        <w:rPr>
          <w:rFonts w:hint="cs"/>
          <w:rtl/>
        </w:rPr>
        <w:t>قم 9، 10، 11، 12، 13</w:t>
      </w:r>
      <w:r w:rsidR="00110BEB" w:rsidRPr="00A2543E">
        <w:rPr>
          <w:rFonts w:hint="cs"/>
          <w:rtl/>
        </w:rPr>
        <w:t>؛</w:t>
      </w:r>
      <w:r w:rsidRPr="00A2543E">
        <w:rPr>
          <w:rFonts w:hint="cs"/>
          <w:rtl/>
        </w:rPr>
        <w:t xml:space="preserve"> إذ</w:t>
      </w:r>
      <w:r w:rsidRPr="00904FCB">
        <w:rPr>
          <w:rFonts w:hint="cs"/>
          <w:rtl/>
        </w:rPr>
        <w:t xml:space="preserve"> </w:t>
      </w:r>
      <w:r w:rsidR="00110BEB" w:rsidRPr="00904FCB">
        <w:rPr>
          <w:rFonts w:hint="cs"/>
          <w:rtl/>
        </w:rPr>
        <w:t>إ</w:t>
      </w:r>
      <w:r w:rsidRPr="00904FCB">
        <w:rPr>
          <w:rFonts w:hint="cs"/>
          <w:rtl/>
        </w:rPr>
        <w:t>نّهم لا ينقلون إلاّ كلام الرسول</w:t>
      </w:r>
      <w:r w:rsidR="00635E51" w:rsidRPr="00904FCB">
        <w:rPr>
          <w:rFonts w:cs="Mosawi" w:hint="cs"/>
          <w:szCs w:val="22"/>
          <w:rtl/>
        </w:rPr>
        <w:t>|</w:t>
      </w:r>
      <w:r w:rsidRPr="00904FCB">
        <w:rPr>
          <w:rFonts w:hint="cs"/>
          <w:rtl/>
        </w:rPr>
        <w:t xml:space="preserve"> في حج</w:t>
      </w:r>
      <w:r w:rsidR="00110BEB" w:rsidRPr="00904FCB">
        <w:rPr>
          <w:rFonts w:hint="cs"/>
          <w:rtl/>
        </w:rPr>
        <w:t>ّ</w:t>
      </w:r>
      <w:r w:rsidRPr="00904FCB">
        <w:rPr>
          <w:rFonts w:hint="cs"/>
          <w:rtl/>
        </w:rPr>
        <w:t>ة الوداع</w:t>
      </w:r>
      <w:r w:rsidR="00110BEB" w:rsidRPr="00904FCB">
        <w:rPr>
          <w:rFonts w:hint="cs"/>
          <w:rtl/>
        </w:rPr>
        <w:t>،</w:t>
      </w:r>
      <w:r w:rsidRPr="00904FCB">
        <w:rPr>
          <w:rFonts w:hint="cs"/>
          <w:rtl/>
        </w:rPr>
        <w:t xml:space="preserve"> وما قاله في عرفات والمزدلفة ومنى</w:t>
      </w:r>
      <w:r w:rsidR="00110BEB" w:rsidRPr="00904FCB">
        <w:rPr>
          <w:rFonts w:hint="cs"/>
          <w:rtl/>
        </w:rPr>
        <w:t>،</w:t>
      </w:r>
      <w:r w:rsidRPr="00904FCB">
        <w:rPr>
          <w:rFonts w:hint="cs"/>
          <w:rtl/>
        </w:rPr>
        <w:t xml:space="preserve"> مع أنّ الشيعة </w:t>
      </w:r>
      <w:r w:rsidR="00110BEB" w:rsidRPr="00904FCB">
        <w:rPr>
          <w:rFonts w:hint="cs"/>
          <w:rtl/>
        </w:rPr>
        <w:t>و</w:t>
      </w:r>
      <w:r w:rsidRPr="00904FCB">
        <w:rPr>
          <w:rFonts w:hint="cs"/>
          <w:rtl/>
        </w:rPr>
        <w:t>الأئمة المعصومين ينقلون حجة الوداع</w:t>
      </w:r>
      <w:r w:rsidR="00110BEB" w:rsidRPr="00904FCB">
        <w:rPr>
          <w:rFonts w:hint="cs"/>
          <w:rtl/>
        </w:rPr>
        <w:t>،</w:t>
      </w:r>
      <w:r w:rsidRPr="00904FCB">
        <w:rPr>
          <w:rFonts w:hint="cs"/>
          <w:rtl/>
        </w:rPr>
        <w:t xml:space="preserve"> وما قال النبي</w:t>
      </w:r>
      <w:r w:rsidR="00110BEB" w:rsidRPr="00904FCB">
        <w:rPr>
          <w:rFonts w:hint="cs"/>
          <w:rtl/>
        </w:rPr>
        <w:t>ّ</w:t>
      </w:r>
      <w:r w:rsidR="00635E51" w:rsidRPr="00904FCB">
        <w:rPr>
          <w:rFonts w:cs="Mosawi" w:hint="cs"/>
          <w:szCs w:val="22"/>
          <w:rtl/>
        </w:rPr>
        <w:t>|</w:t>
      </w:r>
      <w:r w:rsidR="00110BEB" w:rsidRPr="00904FCB">
        <w:rPr>
          <w:rFonts w:hint="cs"/>
          <w:rtl/>
        </w:rPr>
        <w:t>،</w:t>
      </w:r>
      <w:r w:rsidRPr="00904FCB">
        <w:rPr>
          <w:rFonts w:hint="cs"/>
          <w:rtl/>
        </w:rPr>
        <w:t xml:space="preserve"> وما فعله</w:t>
      </w:r>
      <w:r w:rsidR="00110BEB" w:rsidRPr="00904FCB">
        <w:rPr>
          <w:rFonts w:hint="cs"/>
          <w:rtl/>
        </w:rPr>
        <w:t>،</w:t>
      </w:r>
      <w:r w:rsidRPr="00904FCB">
        <w:rPr>
          <w:rFonts w:hint="cs"/>
          <w:rtl/>
        </w:rPr>
        <w:t xml:space="preserve"> وكثيراً من الجزئيات ـ حت</w:t>
      </w:r>
      <w:r w:rsidR="00110BEB" w:rsidRPr="00904FCB">
        <w:rPr>
          <w:rFonts w:hint="cs"/>
          <w:rtl/>
        </w:rPr>
        <w:t>ّ</w:t>
      </w:r>
      <w:r w:rsidRPr="00904FCB">
        <w:rPr>
          <w:rFonts w:hint="cs"/>
          <w:rtl/>
        </w:rPr>
        <w:t>ى مكان بوله في الطريق ـ</w:t>
      </w:r>
      <w:r w:rsidR="00110BEB" w:rsidRPr="00904FCB">
        <w:rPr>
          <w:rFonts w:hint="cs"/>
          <w:rtl/>
        </w:rPr>
        <w:t>،</w:t>
      </w:r>
      <w:r w:rsidRPr="00904FCB">
        <w:rPr>
          <w:rFonts w:hint="cs"/>
          <w:rtl/>
        </w:rPr>
        <w:t xml:space="preserve"> وكلامه في عرفات ومزدلفة بأنّ هذا موقف</w:t>
      </w:r>
      <w:r w:rsidR="00110BEB" w:rsidRPr="00904FCB">
        <w:rPr>
          <w:rFonts w:hint="cs"/>
          <w:rtl/>
        </w:rPr>
        <w:t>،</w:t>
      </w:r>
      <w:r w:rsidRPr="00904FCB">
        <w:rPr>
          <w:rFonts w:hint="cs"/>
          <w:rtl/>
        </w:rPr>
        <w:t xml:space="preserve"> وكل</w:t>
      </w:r>
      <w:r w:rsidR="00110BEB" w:rsidRPr="00904FCB">
        <w:rPr>
          <w:rFonts w:hint="cs"/>
          <w:rtl/>
        </w:rPr>
        <w:t>ّ</w:t>
      </w:r>
      <w:r w:rsidRPr="00904FCB">
        <w:rPr>
          <w:rFonts w:hint="cs"/>
          <w:rtl/>
        </w:rPr>
        <w:t xml:space="preserve"> عرفات أو المشعر موقف</w:t>
      </w:r>
      <w:r w:rsidR="00110BEB" w:rsidRPr="00904FCB">
        <w:rPr>
          <w:rFonts w:hint="cs"/>
          <w:rtl/>
        </w:rPr>
        <w:t>،</w:t>
      </w:r>
      <w:r w:rsidRPr="00904FCB">
        <w:rPr>
          <w:rFonts w:hint="cs"/>
          <w:rtl/>
        </w:rPr>
        <w:t xml:space="preserve"> ولكن</w:t>
      </w:r>
      <w:r w:rsidR="00110BEB" w:rsidRPr="00904FCB">
        <w:rPr>
          <w:rFonts w:hint="cs"/>
          <w:rtl/>
        </w:rPr>
        <w:t>ْ</w:t>
      </w:r>
      <w:r w:rsidRPr="00904FCB">
        <w:rPr>
          <w:rFonts w:hint="cs"/>
          <w:rtl/>
        </w:rPr>
        <w:t xml:space="preserve"> لم ينقلوا ما قاله أهل السن</w:t>
      </w:r>
      <w:r w:rsidR="00110BEB" w:rsidRPr="00904FCB">
        <w:rPr>
          <w:rFonts w:hint="cs"/>
          <w:rtl/>
        </w:rPr>
        <w:t>ّ</w:t>
      </w:r>
      <w:r w:rsidRPr="00904FCB">
        <w:rPr>
          <w:rFonts w:hint="cs"/>
          <w:rtl/>
        </w:rPr>
        <w:t>ة بأن هذا منحر</w:t>
      </w:r>
      <w:r w:rsidR="00110BEB" w:rsidRPr="00904FCB">
        <w:rPr>
          <w:rFonts w:hint="cs"/>
          <w:rtl/>
        </w:rPr>
        <w:t>،</w:t>
      </w:r>
      <w:r w:rsidRPr="00904FCB">
        <w:rPr>
          <w:rFonts w:hint="cs"/>
          <w:rtl/>
        </w:rPr>
        <w:t xml:space="preserve"> وكل</w:t>
      </w:r>
      <w:r w:rsidR="00110BEB" w:rsidRPr="00904FCB">
        <w:rPr>
          <w:rFonts w:hint="cs"/>
          <w:rtl/>
        </w:rPr>
        <w:t>ّ</w:t>
      </w:r>
      <w:r w:rsidRPr="00904FCB">
        <w:rPr>
          <w:rFonts w:hint="cs"/>
          <w:rtl/>
        </w:rPr>
        <w:t xml:space="preserve"> منى منحر</w:t>
      </w:r>
      <w:r w:rsidRPr="00904FCB">
        <w:rPr>
          <w:rFonts w:hint="cs"/>
          <w:vertAlign w:val="superscript"/>
          <w:rtl/>
        </w:rPr>
        <w:t>(</w:t>
      </w:r>
      <w:r w:rsidRPr="00904FCB">
        <w:rPr>
          <w:rStyle w:val="ac"/>
          <w:sz w:val="27"/>
          <w:rtl/>
        </w:rPr>
        <w:endnoteReference w:id="453"/>
      </w:r>
      <w:r w:rsidRPr="00904FCB">
        <w:rPr>
          <w:rFonts w:hint="cs"/>
          <w:vertAlign w:val="superscript"/>
          <w:rtl/>
        </w:rPr>
        <w:t>)</w:t>
      </w:r>
      <w:r w:rsidRPr="00904FCB">
        <w:rPr>
          <w:rFonts w:hint="cs"/>
          <w:rtl/>
        </w:rPr>
        <w:t xml:space="preserve">. </w:t>
      </w:r>
    </w:p>
    <w:p w:rsidR="005B6CEC" w:rsidRPr="00904FCB" w:rsidRDefault="005B6CEC" w:rsidP="00510A75">
      <w:pPr>
        <w:spacing w:line="400" w:lineRule="exact"/>
        <w:rPr>
          <w:rtl/>
        </w:rPr>
      </w:pPr>
      <w:r w:rsidRPr="00904FCB">
        <w:rPr>
          <w:rFonts w:hint="cs"/>
          <w:rtl/>
        </w:rPr>
        <w:t>فأظن</w:t>
      </w:r>
      <w:r w:rsidR="00110BEB" w:rsidRPr="00904FCB">
        <w:rPr>
          <w:rFonts w:hint="cs"/>
          <w:rtl/>
        </w:rPr>
        <w:t>ّ</w:t>
      </w:r>
      <w:r w:rsidRPr="00904FCB">
        <w:rPr>
          <w:rFonts w:hint="cs"/>
          <w:rtl/>
        </w:rPr>
        <w:t xml:space="preserve"> أن أهل السن</w:t>
      </w:r>
      <w:r w:rsidR="00110BEB" w:rsidRPr="00904FCB">
        <w:rPr>
          <w:rFonts w:hint="cs"/>
          <w:rtl/>
        </w:rPr>
        <w:t>ّ</w:t>
      </w:r>
      <w:r w:rsidRPr="00904FCB">
        <w:rPr>
          <w:rFonts w:hint="cs"/>
          <w:rtl/>
        </w:rPr>
        <w:t>ة قاسوا ـ كما هو ديدنهم ـ منى بالمزدلفة وعرفات. وقالوا كلاماً شبه ما قال النبي</w:t>
      </w:r>
      <w:r w:rsidR="00110BEB" w:rsidRPr="00904FCB">
        <w:rPr>
          <w:rFonts w:hint="cs"/>
          <w:rtl/>
        </w:rPr>
        <w:t>ّ،</w:t>
      </w:r>
      <w:r w:rsidRPr="00904FCB">
        <w:rPr>
          <w:rFonts w:hint="cs"/>
          <w:rtl/>
        </w:rPr>
        <w:t xml:space="preserve"> ونسبوه إلى النبي</w:t>
      </w:r>
      <w:r w:rsidR="00635E51" w:rsidRPr="00904FCB">
        <w:rPr>
          <w:rFonts w:cs="Mosawi" w:hint="cs"/>
          <w:szCs w:val="22"/>
          <w:rtl/>
        </w:rPr>
        <w:t>|</w:t>
      </w:r>
      <w:r w:rsidR="00110BEB" w:rsidRPr="00904FCB">
        <w:rPr>
          <w:rFonts w:hint="cs"/>
          <w:rtl/>
        </w:rPr>
        <w:t>.</w:t>
      </w:r>
      <w:r w:rsidRPr="00904FCB">
        <w:rPr>
          <w:rFonts w:hint="cs"/>
          <w:rtl/>
        </w:rPr>
        <w:t xml:space="preserve"> وهذا الأمر جائز عندهم</w:t>
      </w:r>
      <w:r w:rsidR="00110BEB" w:rsidRPr="00904FCB">
        <w:rPr>
          <w:rFonts w:hint="cs"/>
          <w:rtl/>
        </w:rPr>
        <w:t>، ولا</w:t>
      </w:r>
      <w:r w:rsidRPr="00904FCB">
        <w:rPr>
          <w:rFonts w:hint="cs"/>
          <w:rtl/>
        </w:rPr>
        <w:t xml:space="preserve"> سي</w:t>
      </w:r>
      <w:r w:rsidR="00110BEB" w:rsidRPr="00904FCB">
        <w:rPr>
          <w:rFonts w:hint="cs"/>
          <w:rtl/>
        </w:rPr>
        <w:t>َّ</w:t>
      </w:r>
      <w:r w:rsidRPr="00904FCB">
        <w:rPr>
          <w:rFonts w:hint="cs"/>
          <w:rtl/>
        </w:rPr>
        <w:t xml:space="preserve">ما في </w:t>
      </w:r>
      <w:r w:rsidR="00110BEB" w:rsidRPr="00904FCB">
        <w:rPr>
          <w:rFonts w:hint="cs"/>
          <w:rtl/>
        </w:rPr>
        <w:t>ال</w:t>
      </w:r>
      <w:r w:rsidRPr="00904FCB">
        <w:rPr>
          <w:rFonts w:hint="cs"/>
          <w:rtl/>
        </w:rPr>
        <w:t>قياسات الجليّة</w:t>
      </w:r>
      <w:r w:rsidR="00110BEB" w:rsidRPr="00904FCB">
        <w:rPr>
          <w:rFonts w:hint="cs"/>
          <w:rtl/>
        </w:rPr>
        <w:t xml:space="preserve">. </w:t>
      </w:r>
      <w:r w:rsidRPr="00904FCB">
        <w:rPr>
          <w:rFonts w:hint="cs"/>
          <w:rtl/>
        </w:rPr>
        <w:t>وكيف كان هذه العبارة مختص</w:t>
      </w:r>
      <w:r w:rsidR="00110BEB" w:rsidRPr="00904FCB">
        <w:rPr>
          <w:rFonts w:hint="cs"/>
          <w:rtl/>
        </w:rPr>
        <w:t>ّ</w:t>
      </w:r>
      <w:r w:rsidRPr="00904FCB">
        <w:rPr>
          <w:rFonts w:hint="cs"/>
          <w:rtl/>
        </w:rPr>
        <w:t>ة</w:t>
      </w:r>
      <w:r w:rsidR="00110BEB" w:rsidRPr="00904FCB">
        <w:rPr>
          <w:rFonts w:hint="cs"/>
          <w:rtl/>
        </w:rPr>
        <w:t>ٌ</w:t>
      </w:r>
      <w:r w:rsidRPr="00904FCB">
        <w:rPr>
          <w:rFonts w:hint="cs"/>
          <w:rtl/>
        </w:rPr>
        <w:t xml:space="preserve"> بهم</w:t>
      </w:r>
      <w:r w:rsidR="00110BEB" w:rsidRPr="00904FCB">
        <w:rPr>
          <w:rFonts w:hint="cs"/>
          <w:rtl/>
        </w:rPr>
        <w:t>،</w:t>
      </w:r>
      <w:r w:rsidRPr="00904FCB">
        <w:rPr>
          <w:rFonts w:hint="cs"/>
          <w:rtl/>
        </w:rPr>
        <w:t xml:space="preserve"> ولم ينقل من طرقنا إلاّ ما رواه الشيخ</w:t>
      </w:r>
      <w:r w:rsidR="00510A75" w:rsidRPr="00756F2A">
        <w:rPr>
          <w:rFonts w:ascii="Mosawi" w:hAnsi="Mosawi" w:cs="Mosawi"/>
          <w:sz w:val="22"/>
          <w:szCs w:val="22"/>
          <w:rtl/>
        </w:rPr>
        <w:t>&amp;</w:t>
      </w:r>
      <w:r w:rsidRPr="00904FCB">
        <w:rPr>
          <w:rFonts w:hint="cs"/>
          <w:rtl/>
        </w:rPr>
        <w:t xml:space="preserve"> في التهذيب</w:t>
      </w:r>
      <w:r w:rsidR="00110BEB" w:rsidRPr="00904FCB">
        <w:rPr>
          <w:rFonts w:hint="cs"/>
          <w:rtl/>
        </w:rPr>
        <w:t>،</w:t>
      </w:r>
      <w:r w:rsidRPr="00904FCB">
        <w:rPr>
          <w:rFonts w:hint="cs"/>
          <w:rtl/>
        </w:rPr>
        <w:t xml:space="preserve"> عن موسى بن القاسم</w:t>
      </w:r>
      <w:r w:rsidR="00110BEB" w:rsidRPr="00904FCB">
        <w:rPr>
          <w:rFonts w:hint="cs"/>
          <w:rtl/>
        </w:rPr>
        <w:t>،</w:t>
      </w:r>
      <w:r w:rsidRPr="00904FCB">
        <w:rPr>
          <w:rFonts w:hint="cs"/>
          <w:rtl/>
        </w:rPr>
        <w:t xml:space="preserve"> عن الحسن اللؤل</w:t>
      </w:r>
      <w:r w:rsidR="00110BEB" w:rsidRPr="00904FCB">
        <w:rPr>
          <w:rFonts w:hint="cs"/>
          <w:rtl/>
        </w:rPr>
        <w:t>ؤ</w:t>
      </w:r>
      <w:r w:rsidRPr="00904FCB">
        <w:rPr>
          <w:rFonts w:hint="cs"/>
          <w:rtl/>
        </w:rPr>
        <w:t>ي</w:t>
      </w:r>
      <w:r w:rsidR="00110BEB" w:rsidRPr="00904FCB">
        <w:rPr>
          <w:rFonts w:hint="cs"/>
          <w:rtl/>
        </w:rPr>
        <w:t>،</w:t>
      </w:r>
      <w:r w:rsidRPr="00904FCB">
        <w:rPr>
          <w:rFonts w:hint="cs"/>
          <w:rtl/>
        </w:rPr>
        <w:t xml:space="preserve"> قال: حد</w:t>
      </w:r>
      <w:r w:rsidR="00110BEB" w:rsidRPr="00904FCB">
        <w:rPr>
          <w:rFonts w:hint="cs"/>
          <w:rtl/>
        </w:rPr>
        <w:t>َّ</w:t>
      </w:r>
      <w:r w:rsidRPr="00904FCB">
        <w:rPr>
          <w:rFonts w:hint="cs"/>
          <w:rtl/>
        </w:rPr>
        <w:t>ثنا الحسن بن محبوب</w:t>
      </w:r>
      <w:r w:rsidR="00110BEB" w:rsidRPr="00904FCB">
        <w:rPr>
          <w:rFonts w:hint="cs"/>
          <w:rtl/>
        </w:rPr>
        <w:t>،</w:t>
      </w:r>
      <w:r w:rsidRPr="00904FCB">
        <w:rPr>
          <w:rFonts w:hint="cs"/>
          <w:rtl/>
        </w:rPr>
        <w:t xml:space="preserve"> عن علي</w:t>
      </w:r>
      <w:r w:rsidR="00110BEB" w:rsidRPr="00904FCB">
        <w:rPr>
          <w:rFonts w:hint="cs"/>
          <w:rtl/>
        </w:rPr>
        <w:t>ّ</w:t>
      </w:r>
      <w:r w:rsidRPr="00904FCB">
        <w:rPr>
          <w:rFonts w:hint="cs"/>
          <w:rtl/>
        </w:rPr>
        <w:t xml:space="preserve"> بن رئاب</w:t>
      </w:r>
      <w:r w:rsidR="00110BEB" w:rsidRPr="00904FCB">
        <w:rPr>
          <w:rFonts w:hint="cs"/>
          <w:rtl/>
        </w:rPr>
        <w:t>،</w:t>
      </w:r>
      <w:r w:rsidRPr="00904FCB">
        <w:rPr>
          <w:rFonts w:hint="cs"/>
          <w:rtl/>
        </w:rPr>
        <w:t xml:space="preserve"> عن مسمع</w:t>
      </w:r>
      <w:r w:rsidR="00110BEB" w:rsidRPr="00904FCB">
        <w:rPr>
          <w:rFonts w:hint="cs"/>
          <w:rtl/>
        </w:rPr>
        <w:t>،</w:t>
      </w:r>
      <w:r w:rsidRPr="00904FCB">
        <w:rPr>
          <w:rFonts w:hint="cs"/>
          <w:rtl/>
        </w:rPr>
        <w:t xml:space="preserve"> عن أبي عبد الله</w:t>
      </w:r>
      <w:r w:rsidR="001C1A2A" w:rsidRPr="00904FCB">
        <w:rPr>
          <w:rFonts w:cs="Mosawi" w:hint="cs"/>
          <w:szCs w:val="22"/>
          <w:rtl/>
        </w:rPr>
        <w:t>×</w:t>
      </w:r>
      <w:r w:rsidR="00110BEB" w:rsidRPr="00904FCB">
        <w:rPr>
          <w:rFonts w:hint="cs"/>
          <w:rtl/>
        </w:rPr>
        <w:t>،</w:t>
      </w:r>
      <w:r w:rsidRPr="00904FCB">
        <w:rPr>
          <w:rFonts w:hint="cs"/>
          <w:rtl/>
        </w:rPr>
        <w:t xml:space="preserve"> قال</w:t>
      </w:r>
      <w:r w:rsidR="00110BEB" w:rsidRPr="00904FCB">
        <w:rPr>
          <w:rFonts w:hint="cs"/>
          <w:rtl/>
        </w:rPr>
        <w:t>:</w:t>
      </w:r>
      <w:r w:rsidRPr="00904FCB">
        <w:rPr>
          <w:rFonts w:hint="cs"/>
          <w:rtl/>
        </w:rPr>
        <w:t xml:space="preserve"> منى كله منحر</w:t>
      </w:r>
      <w:r w:rsidR="00110BEB" w:rsidRPr="00904FCB">
        <w:rPr>
          <w:rFonts w:hint="cs"/>
          <w:rtl/>
        </w:rPr>
        <w:t>،</w:t>
      </w:r>
      <w:r w:rsidRPr="00904FCB">
        <w:rPr>
          <w:rFonts w:hint="cs"/>
          <w:rtl/>
        </w:rPr>
        <w:t xml:space="preserve"> وأفضل المنحر كل</w:t>
      </w:r>
      <w:r w:rsidR="00110BEB" w:rsidRPr="00904FCB">
        <w:rPr>
          <w:rFonts w:hint="cs"/>
          <w:rtl/>
        </w:rPr>
        <w:t>ّ</w:t>
      </w:r>
      <w:r w:rsidRPr="00904FCB">
        <w:rPr>
          <w:rFonts w:hint="cs"/>
          <w:rtl/>
        </w:rPr>
        <w:t>ه المسجد</w:t>
      </w:r>
      <w:r w:rsidRPr="00904FCB">
        <w:rPr>
          <w:rFonts w:hint="cs"/>
          <w:vertAlign w:val="superscript"/>
          <w:rtl/>
        </w:rPr>
        <w:t>(</w:t>
      </w:r>
      <w:r w:rsidRPr="00904FCB">
        <w:rPr>
          <w:rStyle w:val="ac"/>
          <w:sz w:val="27"/>
          <w:rtl/>
        </w:rPr>
        <w:endnoteReference w:id="454"/>
      </w:r>
      <w:r w:rsidRPr="00904FCB">
        <w:rPr>
          <w:rFonts w:hint="cs"/>
          <w:vertAlign w:val="superscript"/>
          <w:rtl/>
        </w:rPr>
        <w:t>)</w:t>
      </w:r>
      <w:r w:rsidRPr="00904FCB">
        <w:rPr>
          <w:rFonts w:hint="cs"/>
          <w:rtl/>
        </w:rPr>
        <w:t xml:space="preserve">. </w:t>
      </w:r>
    </w:p>
    <w:p w:rsidR="005B6CEC" w:rsidRPr="00904FCB" w:rsidRDefault="005B6CEC" w:rsidP="00510A75">
      <w:pPr>
        <w:spacing w:line="400" w:lineRule="exact"/>
        <w:rPr>
          <w:rtl/>
        </w:rPr>
      </w:pPr>
      <w:r w:rsidRPr="00904FCB">
        <w:rPr>
          <w:rFonts w:hint="cs"/>
          <w:rtl/>
        </w:rPr>
        <w:t>ولكن</w:t>
      </w:r>
      <w:r w:rsidR="00110BEB" w:rsidRPr="00904FCB">
        <w:rPr>
          <w:rFonts w:hint="cs"/>
          <w:rtl/>
        </w:rPr>
        <w:t>ّ</w:t>
      </w:r>
      <w:r w:rsidRPr="00904FCB">
        <w:rPr>
          <w:rFonts w:hint="cs"/>
          <w:rtl/>
        </w:rPr>
        <w:t xml:space="preserve"> هذا الخبر</w:t>
      </w:r>
      <w:r w:rsidR="00110BEB" w:rsidRPr="00904FCB">
        <w:rPr>
          <w:rFonts w:hint="cs"/>
          <w:rtl/>
        </w:rPr>
        <w:t>،</w:t>
      </w:r>
      <w:r w:rsidRPr="00904FCB">
        <w:rPr>
          <w:rFonts w:hint="cs"/>
          <w:rtl/>
        </w:rPr>
        <w:t xml:space="preserve"> مضافاً إلى ما في سنده</w:t>
      </w:r>
      <w:r w:rsidR="00110BEB" w:rsidRPr="00904FCB">
        <w:rPr>
          <w:rFonts w:hint="cs"/>
          <w:rtl/>
        </w:rPr>
        <w:t>،</w:t>
      </w:r>
      <w:r w:rsidRPr="00904FCB">
        <w:rPr>
          <w:rFonts w:hint="cs"/>
          <w:rtl/>
        </w:rPr>
        <w:t xml:space="preserve"> لا يدلّ على وجوب الذبح في منى</w:t>
      </w:r>
      <w:r w:rsidR="00110BEB" w:rsidRPr="00904FCB">
        <w:rPr>
          <w:rFonts w:hint="cs"/>
          <w:rtl/>
        </w:rPr>
        <w:t>؛</w:t>
      </w:r>
      <w:r w:rsidRPr="00904FCB">
        <w:rPr>
          <w:rFonts w:hint="cs"/>
          <w:rtl/>
        </w:rPr>
        <w:t xml:space="preserve"> إذ </w:t>
      </w:r>
      <w:r w:rsidRPr="00904FCB">
        <w:rPr>
          <w:rFonts w:hint="cs"/>
          <w:b/>
          <w:bCs/>
          <w:rtl/>
        </w:rPr>
        <w:t>أوّلاً</w:t>
      </w:r>
      <w:r w:rsidR="00110BEB" w:rsidRPr="00904FCB">
        <w:rPr>
          <w:rFonts w:hint="cs"/>
          <w:rtl/>
        </w:rPr>
        <w:t>: هذه الجملة الخبرية خاليةٌ</w:t>
      </w:r>
      <w:r w:rsidRPr="00904FCB">
        <w:rPr>
          <w:rFonts w:hint="cs"/>
          <w:rtl/>
        </w:rPr>
        <w:t xml:space="preserve"> من أداة القصر تدلّ على إثبات منحرية منى</w:t>
      </w:r>
      <w:r w:rsidR="00110BEB" w:rsidRPr="00904FCB">
        <w:rPr>
          <w:rFonts w:hint="cs"/>
          <w:rtl/>
        </w:rPr>
        <w:t>،</w:t>
      </w:r>
      <w:r w:rsidRPr="00904FCB">
        <w:rPr>
          <w:rFonts w:hint="cs"/>
          <w:rtl/>
        </w:rPr>
        <w:t xml:space="preserve"> لا عدم منحرية غيرها</w:t>
      </w:r>
      <w:r w:rsidR="00110BEB" w:rsidRPr="00904FCB">
        <w:rPr>
          <w:rFonts w:hint="cs"/>
          <w:rtl/>
        </w:rPr>
        <w:t>؛</w:t>
      </w:r>
      <w:r w:rsidRPr="00904FCB">
        <w:rPr>
          <w:rFonts w:hint="cs"/>
          <w:rtl/>
        </w:rPr>
        <w:t xml:space="preserve"> </w:t>
      </w:r>
      <w:r w:rsidRPr="00904FCB">
        <w:rPr>
          <w:rFonts w:hint="cs"/>
          <w:b/>
          <w:bCs/>
          <w:rtl/>
        </w:rPr>
        <w:t>وثانياً</w:t>
      </w:r>
      <w:r w:rsidR="00110BEB" w:rsidRPr="00904FCB">
        <w:rPr>
          <w:rFonts w:hint="cs"/>
          <w:rtl/>
        </w:rPr>
        <w:t>:</w:t>
      </w:r>
      <w:r w:rsidRPr="00904FCB">
        <w:rPr>
          <w:rFonts w:hint="cs"/>
          <w:rtl/>
        </w:rPr>
        <w:t xml:space="preserve"> ما هو المقصود بقوله</w:t>
      </w:r>
      <w:r w:rsidR="00110BEB" w:rsidRPr="00904FCB">
        <w:rPr>
          <w:rFonts w:hint="cs"/>
          <w:rtl/>
        </w:rPr>
        <w:t>:</w:t>
      </w:r>
      <w:r w:rsidRPr="00904FCB">
        <w:rPr>
          <w:rFonts w:hint="cs"/>
          <w:rtl/>
        </w:rPr>
        <w:t xml:space="preserve"> «وأفضل المنحر كله المسجد»؟! هل المقصود أن النحر في المسجد يكون أفضل</w:t>
      </w:r>
      <w:r w:rsidR="00110BEB" w:rsidRPr="00904FCB">
        <w:rPr>
          <w:rFonts w:hint="cs"/>
          <w:rtl/>
        </w:rPr>
        <w:t>،</w:t>
      </w:r>
      <w:r w:rsidRPr="00904FCB">
        <w:rPr>
          <w:rFonts w:hint="cs"/>
          <w:rtl/>
        </w:rPr>
        <w:t xml:space="preserve"> كما هو صريح ما فهم الشيخ</w:t>
      </w:r>
      <w:r w:rsidR="00510A75" w:rsidRPr="00756F2A">
        <w:rPr>
          <w:rFonts w:ascii="Mosawi" w:hAnsi="Mosawi" w:cs="Mosawi"/>
          <w:sz w:val="22"/>
          <w:szCs w:val="22"/>
          <w:rtl/>
        </w:rPr>
        <w:t>&amp;</w:t>
      </w:r>
      <w:r w:rsidR="00110BEB" w:rsidRPr="00904FCB">
        <w:rPr>
          <w:rFonts w:hint="cs"/>
          <w:rtl/>
        </w:rPr>
        <w:t>؛</w:t>
      </w:r>
      <w:r w:rsidRPr="00904FCB">
        <w:rPr>
          <w:rFonts w:hint="cs"/>
          <w:rtl/>
        </w:rPr>
        <w:t xml:space="preserve"> إذ قال: ومنى كله منحر</w:t>
      </w:r>
      <w:r w:rsidR="00110BEB" w:rsidRPr="00904FCB">
        <w:rPr>
          <w:rFonts w:hint="cs"/>
          <w:rtl/>
        </w:rPr>
        <w:t>،</w:t>
      </w:r>
      <w:r w:rsidRPr="00904FCB">
        <w:rPr>
          <w:rFonts w:hint="cs"/>
          <w:rtl/>
        </w:rPr>
        <w:t xml:space="preserve"> وأفضله المسجد</w:t>
      </w:r>
      <w:r w:rsidRPr="00904FCB">
        <w:rPr>
          <w:rFonts w:hint="cs"/>
          <w:vertAlign w:val="superscript"/>
          <w:rtl/>
        </w:rPr>
        <w:t>(</w:t>
      </w:r>
      <w:r w:rsidRPr="00904FCB">
        <w:rPr>
          <w:rStyle w:val="ac"/>
          <w:sz w:val="27"/>
          <w:rtl/>
        </w:rPr>
        <w:endnoteReference w:id="455"/>
      </w:r>
      <w:r w:rsidRPr="00904FCB">
        <w:rPr>
          <w:rFonts w:hint="cs"/>
          <w:vertAlign w:val="superscript"/>
          <w:rtl/>
        </w:rPr>
        <w:t>)</w:t>
      </w:r>
      <w:r w:rsidR="00110BEB" w:rsidRPr="00904FCB">
        <w:rPr>
          <w:rFonts w:hint="cs"/>
          <w:rtl/>
        </w:rPr>
        <w:t>؟!</w:t>
      </w:r>
      <w:r w:rsidRPr="00904FCB">
        <w:rPr>
          <w:rFonts w:hint="cs"/>
          <w:rtl/>
        </w:rPr>
        <w:t xml:space="preserve"> إن</w:t>
      </w:r>
      <w:r w:rsidR="00110BEB" w:rsidRPr="00904FCB">
        <w:rPr>
          <w:rFonts w:hint="cs"/>
          <w:rtl/>
        </w:rPr>
        <w:t>ْ</w:t>
      </w:r>
      <w:r w:rsidRPr="00904FCB">
        <w:rPr>
          <w:rFonts w:hint="cs"/>
          <w:rtl/>
        </w:rPr>
        <w:t xml:space="preserve"> كان هذا فنحن نمنعه أشد</w:t>
      </w:r>
      <w:r w:rsidR="00110BEB" w:rsidRPr="00904FCB">
        <w:rPr>
          <w:rFonts w:hint="cs"/>
          <w:rtl/>
        </w:rPr>
        <w:t>ّ</w:t>
      </w:r>
      <w:r w:rsidRPr="00904FCB">
        <w:rPr>
          <w:rFonts w:hint="cs"/>
          <w:rtl/>
        </w:rPr>
        <w:t xml:space="preserve"> المنع</w:t>
      </w:r>
      <w:r w:rsidR="00110BEB" w:rsidRPr="00904FCB">
        <w:rPr>
          <w:rFonts w:hint="cs"/>
          <w:rtl/>
        </w:rPr>
        <w:t>؛</w:t>
      </w:r>
      <w:r w:rsidRPr="00904FCB">
        <w:rPr>
          <w:rFonts w:hint="cs"/>
          <w:rtl/>
        </w:rPr>
        <w:t xml:space="preserve"> إذ </w:t>
      </w:r>
      <w:r w:rsidR="004A26A3" w:rsidRPr="00904FCB">
        <w:rPr>
          <w:rFonts w:hint="cs"/>
          <w:rtl/>
        </w:rPr>
        <w:t xml:space="preserve">هو إخراجٌ للمسجد عن المسجدية وتبديله بالمنحر، </w:t>
      </w:r>
      <w:r w:rsidRPr="00904FCB">
        <w:rPr>
          <w:rFonts w:hint="cs"/>
          <w:rtl/>
        </w:rPr>
        <w:t>مضافاً إلى عدم جواز تنجيس المسجد</w:t>
      </w:r>
      <w:r w:rsidR="004A26A3" w:rsidRPr="00904FCB">
        <w:rPr>
          <w:rFonts w:hint="cs"/>
          <w:rtl/>
        </w:rPr>
        <w:t>؛</w:t>
      </w:r>
      <w:r w:rsidRPr="00904FCB">
        <w:rPr>
          <w:rFonts w:hint="cs"/>
          <w:rtl/>
        </w:rPr>
        <w:t xml:space="preserve"> </w:t>
      </w:r>
      <w:r w:rsidR="004A26A3" w:rsidRPr="00904FCB">
        <w:rPr>
          <w:rFonts w:hint="cs"/>
          <w:rtl/>
        </w:rPr>
        <w:t>وإذا كان</w:t>
      </w:r>
      <w:r w:rsidRPr="00904FCB">
        <w:rPr>
          <w:rFonts w:hint="cs"/>
          <w:rtl/>
        </w:rPr>
        <w:t xml:space="preserve"> المقصود </w:t>
      </w:r>
      <w:r w:rsidR="004A26A3" w:rsidRPr="00904FCB">
        <w:rPr>
          <w:rFonts w:hint="cs"/>
          <w:rtl/>
        </w:rPr>
        <w:t xml:space="preserve">أنّه </w:t>
      </w:r>
      <w:r w:rsidRPr="00904FCB">
        <w:rPr>
          <w:rFonts w:hint="cs"/>
          <w:rtl/>
        </w:rPr>
        <w:t>كلما كان النحر أقرب إلى المسجد يكون أفضل فنحن نلتزم به</w:t>
      </w:r>
      <w:r w:rsidR="004A26A3" w:rsidRPr="00904FCB">
        <w:rPr>
          <w:rFonts w:hint="cs"/>
          <w:rtl/>
        </w:rPr>
        <w:t>،</w:t>
      </w:r>
      <w:r w:rsidRPr="00904FCB">
        <w:rPr>
          <w:rFonts w:hint="cs"/>
          <w:rtl/>
        </w:rPr>
        <w:t xml:space="preserve"> ولكن</w:t>
      </w:r>
      <w:r w:rsidR="004A26A3" w:rsidRPr="00904FCB">
        <w:rPr>
          <w:rFonts w:hint="cs"/>
          <w:rtl/>
        </w:rPr>
        <w:t>ْ</w:t>
      </w:r>
      <w:r w:rsidRPr="00904FCB">
        <w:rPr>
          <w:rFonts w:hint="cs"/>
          <w:rtl/>
        </w:rPr>
        <w:t xml:space="preserve"> لا يدل على وجوب الذبح في منى. </w:t>
      </w:r>
    </w:p>
    <w:p w:rsidR="004A26A3" w:rsidRPr="00904FCB" w:rsidRDefault="005B6CEC" w:rsidP="007A21AA">
      <w:pPr>
        <w:spacing w:line="400" w:lineRule="exact"/>
        <w:rPr>
          <w:rtl/>
        </w:rPr>
      </w:pPr>
      <w:r w:rsidRPr="00904FCB">
        <w:rPr>
          <w:rFonts w:hint="cs"/>
          <w:rtl/>
        </w:rPr>
        <w:t>ومن هنا يظهر الجواب عن صحيحة عبد</w:t>
      </w:r>
      <w:r w:rsidR="004A26A3" w:rsidRPr="00904FCB">
        <w:rPr>
          <w:rFonts w:hint="cs"/>
          <w:rtl/>
        </w:rPr>
        <w:t xml:space="preserve"> </w:t>
      </w:r>
      <w:r w:rsidRPr="00904FCB">
        <w:rPr>
          <w:rFonts w:hint="cs"/>
          <w:rtl/>
        </w:rPr>
        <w:t>الأعلى قال: قال أبو عبد الله</w:t>
      </w:r>
      <w:r w:rsidR="001C1A2A" w:rsidRPr="00904FCB">
        <w:rPr>
          <w:rFonts w:cs="Mosawi" w:hint="cs"/>
          <w:szCs w:val="22"/>
          <w:rtl/>
        </w:rPr>
        <w:t>×</w:t>
      </w:r>
      <w:r w:rsidR="004A26A3" w:rsidRPr="00904FCB">
        <w:rPr>
          <w:rFonts w:hint="cs"/>
          <w:rtl/>
        </w:rPr>
        <w:t>:</w:t>
      </w:r>
      <w:r w:rsidRPr="00904FCB">
        <w:rPr>
          <w:rFonts w:hint="cs"/>
          <w:rtl/>
        </w:rPr>
        <w:t xml:space="preserve"> لا هدي إلا</w:t>
      </w:r>
      <w:r w:rsidR="004A26A3" w:rsidRPr="00904FCB">
        <w:rPr>
          <w:rFonts w:hint="cs"/>
          <w:rtl/>
        </w:rPr>
        <w:t>ّ</w:t>
      </w:r>
      <w:r w:rsidRPr="00904FCB">
        <w:rPr>
          <w:rFonts w:hint="cs"/>
          <w:rtl/>
        </w:rPr>
        <w:t xml:space="preserve"> من الإبل</w:t>
      </w:r>
      <w:r w:rsidR="004A26A3" w:rsidRPr="00904FCB">
        <w:rPr>
          <w:rFonts w:hint="cs"/>
          <w:rtl/>
        </w:rPr>
        <w:t>،</w:t>
      </w:r>
      <w:r w:rsidRPr="00904FCB">
        <w:rPr>
          <w:rFonts w:hint="cs"/>
          <w:rtl/>
        </w:rPr>
        <w:t xml:space="preserve"> ولا ذبح إلاّ بمنى</w:t>
      </w:r>
      <w:r w:rsidRPr="00904FCB">
        <w:rPr>
          <w:rFonts w:hint="cs"/>
          <w:vertAlign w:val="superscript"/>
          <w:rtl/>
        </w:rPr>
        <w:t>(</w:t>
      </w:r>
      <w:r w:rsidRPr="00904FCB">
        <w:rPr>
          <w:rStyle w:val="ac"/>
          <w:sz w:val="27"/>
          <w:rtl/>
        </w:rPr>
        <w:endnoteReference w:id="456"/>
      </w:r>
      <w:r w:rsidRPr="00904FCB">
        <w:rPr>
          <w:rFonts w:hint="cs"/>
          <w:vertAlign w:val="superscript"/>
          <w:rtl/>
        </w:rPr>
        <w:t>)</w:t>
      </w:r>
      <w:r w:rsidR="004A26A3" w:rsidRPr="00904FCB">
        <w:rPr>
          <w:rFonts w:hint="cs"/>
          <w:rtl/>
        </w:rPr>
        <w:t xml:space="preserve">؛ </w:t>
      </w:r>
      <w:r w:rsidRPr="00904FCB">
        <w:rPr>
          <w:rFonts w:hint="cs"/>
          <w:rtl/>
        </w:rPr>
        <w:t>إذ قوله «ولا هدي إلاّ من الإبل» يكون قرينة على أفضلية الذبح في منى</w:t>
      </w:r>
      <w:r w:rsidR="004A26A3" w:rsidRPr="00904FCB">
        <w:rPr>
          <w:rFonts w:hint="cs"/>
          <w:rtl/>
        </w:rPr>
        <w:t>؛</w:t>
      </w:r>
      <w:r w:rsidRPr="00904FCB">
        <w:rPr>
          <w:rFonts w:hint="cs"/>
          <w:rtl/>
        </w:rPr>
        <w:t xml:space="preserve"> لاتحاد السياق ووقوعهما في كلام</w:t>
      </w:r>
      <w:r w:rsidR="004A26A3" w:rsidRPr="00904FCB">
        <w:rPr>
          <w:rFonts w:hint="cs"/>
          <w:rtl/>
        </w:rPr>
        <w:t>ٍ</w:t>
      </w:r>
      <w:r w:rsidRPr="00904FCB">
        <w:rPr>
          <w:rFonts w:hint="cs"/>
          <w:rtl/>
        </w:rPr>
        <w:t xml:space="preserve"> واحد</w:t>
      </w:r>
      <w:r w:rsidR="004A26A3" w:rsidRPr="00904FCB">
        <w:rPr>
          <w:rFonts w:hint="cs"/>
          <w:rtl/>
        </w:rPr>
        <w:t>،</w:t>
      </w:r>
      <w:r w:rsidRPr="00904FCB">
        <w:rPr>
          <w:rFonts w:hint="cs"/>
          <w:rtl/>
        </w:rPr>
        <w:t xml:space="preserve"> ومن الواضح </w:t>
      </w:r>
      <w:r w:rsidRPr="00904FCB">
        <w:rPr>
          <w:rFonts w:hint="cs"/>
          <w:rtl/>
        </w:rPr>
        <w:lastRenderedPageBreak/>
        <w:t>جواز الهدي بغير إبل</w:t>
      </w:r>
      <w:r w:rsidR="004A26A3" w:rsidRPr="00904FCB">
        <w:rPr>
          <w:rFonts w:hint="cs"/>
          <w:rtl/>
        </w:rPr>
        <w:t>ٍ،</w:t>
      </w:r>
      <w:r w:rsidRPr="00904FCB">
        <w:rPr>
          <w:rFonts w:hint="cs"/>
          <w:rtl/>
        </w:rPr>
        <w:t xml:space="preserve"> فكذلك يجوز الذبح بغير منى.</w:t>
      </w:r>
    </w:p>
    <w:p w:rsidR="005B6CEC" w:rsidRPr="00904FCB" w:rsidRDefault="005B6CEC" w:rsidP="007A21AA">
      <w:pPr>
        <w:spacing w:line="400" w:lineRule="exact"/>
        <w:rPr>
          <w:rtl/>
        </w:rPr>
      </w:pPr>
      <w:r w:rsidRPr="00904FCB">
        <w:rPr>
          <w:rFonts w:hint="cs"/>
          <w:rtl/>
        </w:rPr>
        <w:t>ولو أصر</w:t>
      </w:r>
      <w:r w:rsidR="004A26A3" w:rsidRPr="00904FCB">
        <w:rPr>
          <w:rFonts w:hint="cs"/>
          <w:rtl/>
        </w:rPr>
        <w:t>َ</w:t>
      </w:r>
      <w:r w:rsidRPr="00904FCB">
        <w:rPr>
          <w:rFonts w:hint="cs"/>
          <w:rtl/>
        </w:rPr>
        <w:t>ر</w:t>
      </w:r>
      <w:r w:rsidR="004A26A3" w:rsidRPr="00904FCB">
        <w:rPr>
          <w:rFonts w:hint="cs"/>
          <w:rtl/>
        </w:rPr>
        <w:t>ْ</w:t>
      </w:r>
      <w:r w:rsidRPr="00904FCB">
        <w:rPr>
          <w:rFonts w:hint="cs"/>
          <w:rtl/>
        </w:rPr>
        <w:t>ت</w:t>
      </w:r>
      <w:r w:rsidR="004A26A3" w:rsidRPr="00904FCB">
        <w:rPr>
          <w:rFonts w:hint="cs"/>
          <w:rtl/>
        </w:rPr>
        <w:t>َ</w:t>
      </w:r>
      <w:r w:rsidRPr="00904FCB">
        <w:rPr>
          <w:rFonts w:hint="cs"/>
          <w:rtl/>
        </w:rPr>
        <w:t xml:space="preserve"> على ظاهر اللفظ فنقول</w:t>
      </w:r>
      <w:r w:rsidR="004A26A3" w:rsidRPr="00904FCB">
        <w:rPr>
          <w:rFonts w:hint="cs"/>
          <w:rtl/>
        </w:rPr>
        <w:t>:</w:t>
      </w:r>
      <w:r w:rsidRPr="00904FCB">
        <w:rPr>
          <w:rFonts w:hint="cs"/>
          <w:rtl/>
        </w:rPr>
        <w:t xml:space="preserve"> على هذا القول يلزم عدم جواز ذبح كفارات الإحرام وغيرها بمك</w:t>
      </w:r>
      <w:r w:rsidR="004A26A3" w:rsidRPr="00904FCB">
        <w:rPr>
          <w:rFonts w:hint="cs"/>
          <w:rtl/>
        </w:rPr>
        <w:t>ّ</w:t>
      </w:r>
      <w:r w:rsidRPr="00904FCB">
        <w:rPr>
          <w:rFonts w:hint="cs"/>
          <w:rtl/>
        </w:rPr>
        <w:t>ة وبسائر البلدان</w:t>
      </w:r>
      <w:r w:rsidR="004A26A3" w:rsidRPr="00904FCB">
        <w:rPr>
          <w:rFonts w:hint="cs"/>
          <w:rtl/>
        </w:rPr>
        <w:t>،</w:t>
      </w:r>
      <w:r w:rsidRPr="00904FCB">
        <w:rPr>
          <w:rFonts w:hint="cs"/>
          <w:rtl/>
        </w:rPr>
        <w:t xml:space="preserve"> بل يدل</w:t>
      </w:r>
      <w:r w:rsidR="004A26A3" w:rsidRPr="00904FCB">
        <w:rPr>
          <w:rFonts w:hint="cs"/>
          <w:rtl/>
        </w:rPr>
        <w:t>ّ</w:t>
      </w:r>
      <w:r w:rsidRPr="00904FCB">
        <w:rPr>
          <w:rFonts w:hint="cs"/>
          <w:rtl/>
        </w:rPr>
        <w:t xml:space="preserve"> على عدم جواز أي</w:t>
      </w:r>
      <w:r w:rsidR="004A26A3" w:rsidRPr="00904FCB">
        <w:rPr>
          <w:rFonts w:hint="cs"/>
          <w:rtl/>
        </w:rPr>
        <w:t>ّ</w:t>
      </w:r>
      <w:r w:rsidRPr="00904FCB">
        <w:rPr>
          <w:rFonts w:hint="cs"/>
          <w:rtl/>
        </w:rPr>
        <w:t xml:space="preserve"> نوع من أنواع الذبح</w:t>
      </w:r>
      <w:r w:rsidR="004A26A3" w:rsidRPr="00904FCB">
        <w:rPr>
          <w:rFonts w:hint="cs"/>
          <w:rtl/>
        </w:rPr>
        <w:t>،</w:t>
      </w:r>
      <w:r w:rsidRPr="00904FCB">
        <w:rPr>
          <w:rFonts w:hint="cs"/>
          <w:rtl/>
        </w:rPr>
        <w:t xml:space="preserve"> سواء كان مرتبطاً بالحج</w:t>
      </w:r>
      <w:r w:rsidR="004A26A3" w:rsidRPr="00904FCB">
        <w:rPr>
          <w:rFonts w:hint="cs"/>
          <w:rtl/>
        </w:rPr>
        <w:t>ّ</w:t>
      </w:r>
      <w:r w:rsidRPr="00904FCB">
        <w:rPr>
          <w:rFonts w:hint="cs"/>
          <w:rtl/>
        </w:rPr>
        <w:t xml:space="preserve"> أو لا</w:t>
      </w:r>
      <w:r w:rsidR="00E810CC" w:rsidRPr="00904FCB">
        <w:rPr>
          <w:rFonts w:hint="cs"/>
          <w:rtl/>
        </w:rPr>
        <w:t>.</w:t>
      </w:r>
      <w:r w:rsidRPr="00904FCB">
        <w:rPr>
          <w:rFonts w:hint="cs"/>
          <w:rtl/>
        </w:rPr>
        <w:t xml:space="preserve"> وبعد تقي</w:t>
      </w:r>
      <w:r w:rsidR="00E810CC" w:rsidRPr="00904FCB">
        <w:rPr>
          <w:rFonts w:hint="cs"/>
          <w:rtl/>
        </w:rPr>
        <w:t>يد</w:t>
      </w:r>
      <w:r w:rsidRPr="00904FCB">
        <w:rPr>
          <w:rFonts w:hint="cs"/>
          <w:rtl/>
        </w:rPr>
        <w:t xml:space="preserve"> إطلاقها بقيود كثيرة لا يبقى لها إطلاق حت</w:t>
      </w:r>
      <w:r w:rsidR="00E810CC" w:rsidRPr="00904FCB">
        <w:rPr>
          <w:rFonts w:hint="cs"/>
          <w:rtl/>
        </w:rPr>
        <w:t>ّ</w:t>
      </w:r>
      <w:r w:rsidRPr="00904FCB">
        <w:rPr>
          <w:rFonts w:hint="cs"/>
          <w:rtl/>
        </w:rPr>
        <w:t xml:space="preserve">ى يتمسك به. </w:t>
      </w:r>
    </w:p>
    <w:p w:rsidR="005B6CEC" w:rsidRPr="00904FCB" w:rsidRDefault="005B6CEC" w:rsidP="007A21AA">
      <w:pPr>
        <w:spacing w:line="400" w:lineRule="exact"/>
        <w:rPr>
          <w:rtl/>
        </w:rPr>
      </w:pPr>
      <w:r w:rsidRPr="00904FCB">
        <w:rPr>
          <w:rFonts w:hint="cs"/>
          <w:b/>
          <w:bCs/>
          <w:rtl/>
        </w:rPr>
        <w:t>إن</w:t>
      </w:r>
      <w:r w:rsidR="00E810CC" w:rsidRPr="00904FCB">
        <w:rPr>
          <w:rFonts w:hint="cs"/>
          <w:b/>
          <w:bCs/>
          <w:rtl/>
        </w:rPr>
        <w:t>ْ</w:t>
      </w:r>
      <w:r w:rsidRPr="00904FCB">
        <w:rPr>
          <w:rFonts w:hint="cs"/>
          <w:b/>
          <w:bCs/>
          <w:rtl/>
        </w:rPr>
        <w:t xml:space="preserve"> قلت</w:t>
      </w:r>
      <w:r w:rsidR="00E810CC" w:rsidRPr="00904FCB">
        <w:rPr>
          <w:rFonts w:hint="cs"/>
          <w:b/>
          <w:bCs/>
          <w:rtl/>
        </w:rPr>
        <w:t>َ</w:t>
      </w:r>
      <w:r w:rsidRPr="00904FCB">
        <w:rPr>
          <w:rFonts w:hint="cs"/>
          <w:rtl/>
        </w:rPr>
        <w:t>: إنكار قول الرسول</w:t>
      </w:r>
      <w:r w:rsidR="00635E51" w:rsidRPr="00904FCB">
        <w:rPr>
          <w:rFonts w:cs="Mosawi" w:hint="cs"/>
          <w:szCs w:val="22"/>
          <w:rtl/>
        </w:rPr>
        <w:t>|</w:t>
      </w:r>
      <w:r w:rsidRPr="00904FCB">
        <w:rPr>
          <w:rFonts w:hint="cs"/>
          <w:rtl/>
        </w:rPr>
        <w:t xml:space="preserve"> «هذا منحر</w:t>
      </w:r>
      <w:r w:rsidR="00E810CC" w:rsidRPr="00904FCB">
        <w:rPr>
          <w:rFonts w:hint="cs"/>
          <w:rtl/>
        </w:rPr>
        <w:t>،</w:t>
      </w:r>
      <w:r w:rsidRPr="00904FCB">
        <w:rPr>
          <w:rFonts w:hint="cs"/>
          <w:rtl/>
        </w:rPr>
        <w:t xml:space="preserve"> وكل منى منحر» إنكار للخبر المتواتر لفظاً</w:t>
      </w:r>
      <w:r w:rsidR="00E810CC" w:rsidRPr="00904FCB">
        <w:rPr>
          <w:rFonts w:hint="cs"/>
          <w:rtl/>
        </w:rPr>
        <w:t>؛</w:t>
      </w:r>
      <w:r w:rsidRPr="00904FCB">
        <w:rPr>
          <w:rFonts w:hint="cs"/>
          <w:rtl/>
        </w:rPr>
        <w:t xml:space="preserve"> إذ مضافاً إلى نقله في كتب السير والسنن نقله صاحب الدعائم أيضاً كما مرّ تحت ر</w:t>
      </w:r>
      <w:r w:rsidRPr="00A2543E">
        <w:rPr>
          <w:rFonts w:hint="cs"/>
          <w:rtl/>
        </w:rPr>
        <w:t>قم 5، 6 و7 م</w:t>
      </w:r>
      <w:r w:rsidRPr="00904FCB">
        <w:rPr>
          <w:rFonts w:hint="cs"/>
          <w:rtl/>
        </w:rPr>
        <w:t xml:space="preserve">ن الروايات. </w:t>
      </w:r>
    </w:p>
    <w:p w:rsidR="00E810CC" w:rsidRPr="00904FCB" w:rsidRDefault="005B6CEC" w:rsidP="007A21AA">
      <w:pPr>
        <w:spacing w:line="400" w:lineRule="exact"/>
        <w:rPr>
          <w:rtl/>
        </w:rPr>
      </w:pPr>
      <w:r w:rsidRPr="00904FCB">
        <w:rPr>
          <w:rFonts w:hint="cs"/>
          <w:b/>
          <w:bCs/>
          <w:rtl/>
        </w:rPr>
        <w:t>قلت</w:t>
      </w:r>
      <w:r w:rsidR="00E810CC" w:rsidRPr="00904FCB">
        <w:rPr>
          <w:rFonts w:hint="cs"/>
          <w:b/>
          <w:bCs/>
          <w:rtl/>
        </w:rPr>
        <w:t>ُ</w:t>
      </w:r>
      <w:r w:rsidRPr="00904FCB">
        <w:rPr>
          <w:rFonts w:hint="cs"/>
          <w:rtl/>
        </w:rPr>
        <w:t>: في تعريف التواتر قالوا: خبر جماعة يؤم</w:t>
      </w:r>
      <w:r w:rsidR="00E810CC" w:rsidRPr="00904FCB">
        <w:rPr>
          <w:rFonts w:hint="cs"/>
          <w:rtl/>
        </w:rPr>
        <w:t>َ</w:t>
      </w:r>
      <w:r w:rsidRPr="00904FCB">
        <w:rPr>
          <w:rFonts w:hint="cs"/>
          <w:rtl/>
        </w:rPr>
        <w:t>ن معه من تعم</w:t>
      </w:r>
      <w:r w:rsidR="00E810CC" w:rsidRPr="00904FCB">
        <w:rPr>
          <w:rFonts w:hint="cs"/>
          <w:rtl/>
        </w:rPr>
        <w:t>ُّ</w:t>
      </w:r>
      <w:r w:rsidRPr="00904FCB">
        <w:rPr>
          <w:rFonts w:hint="cs"/>
          <w:rtl/>
        </w:rPr>
        <w:t>دهم الكذب</w:t>
      </w:r>
      <w:r w:rsidR="00E810CC" w:rsidRPr="00904FCB">
        <w:rPr>
          <w:rFonts w:hint="cs"/>
          <w:rtl/>
        </w:rPr>
        <w:t>،</w:t>
      </w:r>
      <w:r w:rsidRPr="00904FCB">
        <w:rPr>
          <w:rFonts w:hint="cs"/>
          <w:rtl/>
        </w:rPr>
        <w:t xml:space="preserve"> أو قالوا</w:t>
      </w:r>
      <w:r w:rsidR="00E810CC" w:rsidRPr="00904FCB">
        <w:rPr>
          <w:rFonts w:hint="cs"/>
          <w:rtl/>
        </w:rPr>
        <w:t>:</w:t>
      </w:r>
      <w:r w:rsidRPr="00904FCB">
        <w:rPr>
          <w:rFonts w:hint="cs"/>
          <w:rtl/>
        </w:rPr>
        <w:t xml:space="preserve"> خبر جماعة يؤم</w:t>
      </w:r>
      <w:r w:rsidR="00E810CC" w:rsidRPr="00904FCB">
        <w:rPr>
          <w:rFonts w:hint="cs"/>
          <w:rtl/>
        </w:rPr>
        <w:t>َ</w:t>
      </w:r>
      <w:r w:rsidRPr="00904FCB">
        <w:rPr>
          <w:rFonts w:hint="cs"/>
          <w:rtl/>
        </w:rPr>
        <w:t>ن تواط</w:t>
      </w:r>
      <w:r w:rsidR="00E810CC" w:rsidRPr="00904FCB">
        <w:rPr>
          <w:rFonts w:hint="cs"/>
          <w:rtl/>
        </w:rPr>
        <w:t>ؤ</w:t>
      </w:r>
      <w:r w:rsidRPr="00904FCB">
        <w:rPr>
          <w:rFonts w:hint="cs"/>
          <w:rtl/>
        </w:rPr>
        <w:t>هم على الكذب. والأوّل أدقّ من الثاني</w:t>
      </w:r>
      <w:r w:rsidR="00E810CC" w:rsidRPr="00904FCB">
        <w:rPr>
          <w:rFonts w:hint="cs"/>
          <w:rtl/>
        </w:rPr>
        <w:t>؛</w:t>
      </w:r>
      <w:r w:rsidRPr="00904FCB">
        <w:rPr>
          <w:rFonts w:hint="cs"/>
          <w:rtl/>
        </w:rPr>
        <w:t xml:space="preserve"> إذ ربما لا يتواط</w:t>
      </w:r>
      <w:r w:rsidR="00E810CC" w:rsidRPr="00904FCB">
        <w:rPr>
          <w:rFonts w:hint="cs"/>
          <w:rtl/>
        </w:rPr>
        <w:t>ؤ</w:t>
      </w:r>
      <w:r w:rsidRPr="00904FCB">
        <w:rPr>
          <w:rFonts w:hint="cs"/>
          <w:rtl/>
        </w:rPr>
        <w:t>ون على الكذب</w:t>
      </w:r>
      <w:r w:rsidR="00E810CC" w:rsidRPr="00904FCB">
        <w:rPr>
          <w:rFonts w:hint="cs"/>
          <w:rtl/>
        </w:rPr>
        <w:t>،</w:t>
      </w:r>
      <w:r w:rsidRPr="00904FCB">
        <w:rPr>
          <w:rFonts w:hint="cs"/>
          <w:rtl/>
        </w:rPr>
        <w:t xml:space="preserve"> بل لأجل حبّ شيء</w:t>
      </w:r>
      <w:r w:rsidR="00E810CC" w:rsidRPr="00904FCB">
        <w:rPr>
          <w:rFonts w:hint="cs"/>
          <w:rtl/>
        </w:rPr>
        <w:t>ٍ</w:t>
      </w:r>
      <w:r w:rsidRPr="00904FCB">
        <w:rPr>
          <w:rFonts w:hint="cs"/>
          <w:rtl/>
        </w:rPr>
        <w:t xml:space="preserve"> أو شخص كل</w:t>
      </w:r>
      <w:r w:rsidR="00E810CC" w:rsidRPr="00904FCB">
        <w:rPr>
          <w:rFonts w:hint="cs"/>
          <w:rtl/>
        </w:rPr>
        <w:t>ّ</w:t>
      </w:r>
      <w:r w:rsidRPr="00904FCB">
        <w:rPr>
          <w:rFonts w:hint="cs"/>
          <w:rtl/>
        </w:rPr>
        <w:t>هم يقولون شيئاً من دون التواط</w:t>
      </w:r>
      <w:r w:rsidR="00E810CC" w:rsidRPr="00904FCB">
        <w:rPr>
          <w:rFonts w:hint="cs"/>
          <w:rtl/>
        </w:rPr>
        <w:t>ؤ</w:t>
      </w:r>
      <w:r w:rsidRPr="00904FCB">
        <w:rPr>
          <w:rFonts w:hint="cs"/>
          <w:rtl/>
        </w:rPr>
        <w:t xml:space="preserve"> على شيء</w:t>
      </w:r>
      <w:r w:rsidR="00E810CC" w:rsidRPr="00904FCB">
        <w:rPr>
          <w:rFonts w:hint="cs"/>
          <w:rtl/>
        </w:rPr>
        <w:t>.</w:t>
      </w:r>
      <w:r w:rsidRPr="00904FCB">
        <w:rPr>
          <w:rFonts w:hint="cs"/>
          <w:rtl/>
        </w:rPr>
        <w:t xml:space="preserve"> وهنا لا يبعد </w:t>
      </w:r>
      <w:r w:rsidR="00E810CC" w:rsidRPr="00904FCB">
        <w:rPr>
          <w:rFonts w:hint="cs"/>
          <w:rtl/>
        </w:rPr>
        <w:t xml:space="preserve">أنّه </w:t>
      </w:r>
      <w:r w:rsidRPr="00904FCB">
        <w:rPr>
          <w:rFonts w:hint="cs"/>
          <w:rtl/>
        </w:rPr>
        <w:t>لأجل مشابهة الأماكن والكلمات ـ ومساعدة القياس أيضاً ـ قالوا هذا الكلام</w:t>
      </w:r>
      <w:r w:rsidR="00E810CC" w:rsidRPr="00904FCB">
        <w:rPr>
          <w:rFonts w:hint="cs"/>
          <w:rtl/>
        </w:rPr>
        <w:t>.</w:t>
      </w:r>
    </w:p>
    <w:p w:rsidR="00E810CC" w:rsidRPr="00904FCB" w:rsidRDefault="005B6CEC" w:rsidP="007A21AA">
      <w:pPr>
        <w:spacing w:line="400" w:lineRule="exact"/>
        <w:rPr>
          <w:rtl/>
        </w:rPr>
      </w:pPr>
      <w:r w:rsidRPr="00904FCB">
        <w:rPr>
          <w:rFonts w:hint="cs"/>
          <w:rtl/>
        </w:rPr>
        <w:t>ومن ناحية</w:t>
      </w:r>
      <w:r w:rsidR="00E810CC" w:rsidRPr="00904FCB">
        <w:rPr>
          <w:rFonts w:hint="cs"/>
          <w:rtl/>
        </w:rPr>
        <w:t>ٍ</w:t>
      </w:r>
      <w:r w:rsidRPr="00904FCB">
        <w:rPr>
          <w:rFonts w:hint="cs"/>
          <w:rtl/>
        </w:rPr>
        <w:t xml:space="preserve"> أخرى أكثر الأسانيد يصل إلى جابر</w:t>
      </w:r>
      <w:r w:rsidR="00E810CC" w:rsidRPr="00904FCB">
        <w:rPr>
          <w:rFonts w:hint="cs"/>
          <w:rtl/>
        </w:rPr>
        <w:t>،</w:t>
      </w:r>
      <w:r w:rsidRPr="00904FCB">
        <w:rPr>
          <w:rFonts w:hint="cs"/>
          <w:rtl/>
        </w:rPr>
        <w:t xml:space="preserve"> كما أن أسانيدنا أيضاً كذلك</w:t>
      </w:r>
      <w:r w:rsidR="00E810CC" w:rsidRPr="00904FCB">
        <w:rPr>
          <w:rFonts w:hint="cs"/>
          <w:rtl/>
        </w:rPr>
        <w:t>،</w:t>
      </w:r>
      <w:r w:rsidRPr="00904FCB">
        <w:rPr>
          <w:rFonts w:hint="cs"/>
          <w:rtl/>
        </w:rPr>
        <w:t xml:space="preserve"> فلا مجال لإثبات التواتر</w:t>
      </w:r>
      <w:r w:rsidR="00E810CC" w:rsidRPr="00904FCB">
        <w:rPr>
          <w:rFonts w:hint="cs"/>
          <w:rtl/>
        </w:rPr>
        <w:t>.</w:t>
      </w:r>
    </w:p>
    <w:p w:rsidR="005B6CEC" w:rsidRPr="00904FCB" w:rsidRDefault="005B6CEC" w:rsidP="007A21AA">
      <w:pPr>
        <w:spacing w:line="400" w:lineRule="exact"/>
        <w:rPr>
          <w:rtl/>
        </w:rPr>
      </w:pPr>
      <w:r w:rsidRPr="00904FCB">
        <w:rPr>
          <w:rFonts w:hint="cs"/>
          <w:rtl/>
        </w:rPr>
        <w:t>ونحن نشك</w:t>
      </w:r>
      <w:r w:rsidR="00E810CC" w:rsidRPr="00904FCB">
        <w:rPr>
          <w:rFonts w:hint="cs"/>
          <w:rtl/>
        </w:rPr>
        <w:t>ّ</w:t>
      </w:r>
      <w:r w:rsidRPr="00904FCB">
        <w:rPr>
          <w:rFonts w:hint="cs"/>
          <w:rtl/>
        </w:rPr>
        <w:t xml:space="preserve"> في إثبات الخبر الواحد أيضاً</w:t>
      </w:r>
      <w:r w:rsidR="00E810CC" w:rsidRPr="00904FCB">
        <w:rPr>
          <w:rFonts w:hint="cs"/>
          <w:rtl/>
        </w:rPr>
        <w:t>؛</w:t>
      </w:r>
      <w:r w:rsidRPr="00904FCB">
        <w:rPr>
          <w:rFonts w:hint="cs"/>
          <w:rtl/>
        </w:rPr>
        <w:t xml:space="preserve"> إذ </w:t>
      </w:r>
      <w:r w:rsidR="00E810CC" w:rsidRPr="00904FCB">
        <w:rPr>
          <w:rFonts w:hint="cs"/>
          <w:rtl/>
        </w:rPr>
        <w:t>إ</w:t>
      </w:r>
      <w:r w:rsidRPr="00904FCB">
        <w:rPr>
          <w:rFonts w:hint="cs"/>
          <w:rtl/>
        </w:rPr>
        <w:t>ن أصحابنا لم ينقلوا هذا الكلام عن النبي</w:t>
      </w:r>
      <w:r w:rsidR="00E810CC" w:rsidRPr="00904FCB">
        <w:rPr>
          <w:rFonts w:hint="cs"/>
          <w:rtl/>
        </w:rPr>
        <w:t>ّ</w:t>
      </w:r>
      <w:r w:rsidR="00635E51" w:rsidRPr="00904FCB">
        <w:rPr>
          <w:rFonts w:ascii="A.Lewis" w:hAnsi="A.Lewis" w:cs="Mosawi"/>
          <w:szCs w:val="22"/>
          <w:rtl/>
        </w:rPr>
        <w:t>|</w:t>
      </w:r>
      <w:r w:rsidR="00E810CC" w:rsidRPr="00904FCB">
        <w:rPr>
          <w:rFonts w:ascii="A.Lewis" w:hAnsi="A.Lewis" w:hint="cs"/>
          <w:rtl/>
        </w:rPr>
        <w:t>،</w:t>
      </w:r>
      <w:r w:rsidRPr="00904FCB">
        <w:rPr>
          <w:rFonts w:ascii="A.Lewis" w:hAnsi="A.Lewis"/>
          <w:rtl/>
        </w:rPr>
        <w:t xml:space="preserve"> </w:t>
      </w:r>
      <w:r w:rsidRPr="00904FCB">
        <w:rPr>
          <w:rFonts w:hint="cs"/>
          <w:rtl/>
        </w:rPr>
        <w:t>مع أنّهم كانوا بصدد ذكر الجزئيات</w:t>
      </w:r>
      <w:r w:rsidR="00E810CC" w:rsidRPr="00904FCB">
        <w:rPr>
          <w:rFonts w:hint="cs"/>
          <w:rtl/>
        </w:rPr>
        <w:t>،</w:t>
      </w:r>
      <w:r w:rsidRPr="00904FCB">
        <w:rPr>
          <w:rFonts w:hint="cs"/>
          <w:rtl/>
        </w:rPr>
        <w:t xml:space="preserve"> وجابر كان يشرح حج</w:t>
      </w:r>
      <w:r w:rsidR="00E810CC" w:rsidRPr="00904FCB">
        <w:rPr>
          <w:rFonts w:hint="cs"/>
          <w:rtl/>
        </w:rPr>
        <w:t>ّ</w:t>
      </w:r>
      <w:r w:rsidRPr="00904FCB">
        <w:rPr>
          <w:rFonts w:hint="cs"/>
          <w:rtl/>
        </w:rPr>
        <w:t xml:space="preserve"> رسول الله</w:t>
      </w:r>
      <w:r w:rsidR="00635E51" w:rsidRPr="00904FCB">
        <w:rPr>
          <w:rFonts w:cs="Mosawi" w:hint="cs"/>
          <w:szCs w:val="22"/>
          <w:rtl/>
        </w:rPr>
        <w:t>|</w:t>
      </w:r>
      <w:r w:rsidRPr="00904FCB">
        <w:rPr>
          <w:rFonts w:hint="cs"/>
          <w:rtl/>
        </w:rPr>
        <w:t xml:space="preserve"> للباقر</w:t>
      </w:r>
      <w:r w:rsidR="001C1A2A" w:rsidRPr="00904FCB">
        <w:rPr>
          <w:rFonts w:cs="Mosawi" w:hint="cs"/>
          <w:szCs w:val="22"/>
          <w:rtl/>
        </w:rPr>
        <w:t>×</w:t>
      </w:r>
      <w:r w:rsidR="00E810CC" w:rsidRPr="00904FCB">
        <w:rPr>
          <w:rFonts w:hint="cs"/>
          <w:rtl/>
        </w:rPr>
        <w:t>،</w:t>
      </w:r>
      <w:r w:rsidRPr="00904FCB">
        <w:rPr>
          <w:rFonts w:hint="cs"/>
          <w:rtl/>
        </w:rPr>
        <w:t xml:space="preserve"> وكان المقام مقام تطويل</w:t>
      </w:r>
      <w:r w:rsidR="00E810CC" w:rsidRPr="00904FCB">
        <w:rPr>
          <w:rFonts w:hint="cs"/>
          <w:rtl/>
        </w:rPr>
        <w:t>،</w:t>
      </w:r>
      <w:r w:rsidRPr="00904FCB">
        <w:rPr>
          <w:rFonts w:hint="cs"/>
          <w:rtl/>
        </w:rPr>
        <w:t xml:space="preserve"> ومع ذلك لم ينقل هذا الكلام. </w:t>
      </w:r>
    </w:p>
    <w:p w:rsidR="005B6CEC" w:rsidRPr="00904FCB" w:rsidRDefault="005B6CEC" w:rsidP="007A21AA">
      <w:pPr>
        <w:spacing w:line="400" w:lineRule="exact"/>
        <w:rPr>
          <w:rtl/>
        </w:rPr>
      </w:pPr>
      <w:r w:rsidRPr="00904FCB">
        <w:rPr>
          <w:rFonts w:hint="cs"/>
          <w:rtl/>
        </w:rPr>
        <w:t>وكيف كان فيبقى حديثاً عام</w:t>
      </w:r>
      <w:r w:rsidR="00E810CC" w:rsidRPr="00904FCB">
        <w:rPr>
          <w:rFonts w:hint="cs"/>
          <w:rtl/>
        </w:rPr>
        <w:t>ّ</w:t>
      </w:r>
      <w:r w:rsidRPr="00904FCB">
        <w:rPr>
          <w:rFonts w:hint="cs"/>
          <w:rtl/>
        </w:rPr>
        <w:t>ياً</w:t>
      </w:r>
      <w:r w:rsidR="00E810CC" w:rsidRPr="00904FCB">
        <w:rPr>
          <w:rFonts w:hint="cs"/>
          <w:rtl/>
        </w:rPr>
        <w:t>،</w:t>
      </w:r>
      <w:r w:rsidRPr="00904FCB">
        <w:rPr>
          <w:rFonts w:hint="cs"/>
          <w:rtl/>
        </w:rPr>
        <w:t xml:space="preserve"> كما أشار إليه العلا</w:t>
      </w:r>
      <w:r w:rsidR="00E810CC" w:rsidRPr="00904FCB">
        <w:rPr>
          <w:rFonts w:hint="cs"/>
          <w:rtl/>
        </w:rPr>
        <w:t>ّ</w:t>
      </w:r>
      <w:r w:rsidRPr="00904FCB">
        <w:rPr>
          <w:rFonts w:hint="cs"/>
          <w:rtl/>
        </w:rPr>
        <w:t>مة الحلّي في كتاب</w:t>
      </w:r>
      <w:r w:rsidR="00E810CC" w:rsidRPr="00904FCB">
        <w:rPr>
          <w:rFonts w:hint="cs"/>
          <w:rtl/>
        </w:rPr>
        <w:t>َ</w:t>
      </w:r>
      <w:r w:rsidRPr="00904FCB">
        <w:rPr>
          <w:rFonts w:hint="cs"/>
          <w:rtl/>
        </w:rPr>
        <w:t>ي</w:t>
      </w:r>
      <w:r w:rsidR="00E810CC" w:rsidRPr="00904FCB">
        <w:rPr>
          <w:rFonts w:hint="cs"/>
          <w:rtl/>
        </w:rPr>
        <w:t>ْ</w:t>
      </w:r>
      <w:r w:rsidRPr="00904FCB">
        <w:rPr>
          <w:rFonts w:hint="cs"/>
          <w:rtl/>
        </w:rPr>
        <w:t>ه بقوله</w:t>
      </w:r>
      <w:r w:rsidR="00E810CC" w:rsidRPr="00904FCB">
        <w:rPr>
          <w:rFonts w:hint="cs"/>
          <w:rtl/>
        </w:rPr>
        <w:t>:</w:t>
      </w:r>
      <w:r w:rsidRPr="00904FCB">
        <w:rPr>
          <w:rFonts w:hint="cs"/>
          <w:rtl/>
        </w:rPr>
        <w:t xml:space="preserve"> «ما رواه الجمهور عن النبي</w:t>
      </w:r>
      <w:r w:rsidR="00E810CC" w:rsidRPr="00904FCB">
        <w:rPr>
          <w:rFonts w:hint="cs"/>
          <w:rtl/>
        </w:rPr>
        <w:t>ّ</w:t>
      </w:r>
      <w:r w:rsidR="00635E51" w:rsidRPr="00904FCB">
        <w:rPr>
          <w:rFonts w:cs="Mosawi" w:hint="cs"/>
          <w:szCs w:val="22"/>
          <w:rtl/>
        </w:rPr>
        <w:t>|</w:t>
      </w:r>
      <w:r w:rsidRPr="00904FCB">
        <w:rPr>
          <w:rFonts w:hint="cs"/>
          <w:rtl/>
        </w:rPr>
        <w:t xml:space="preserve"> «منى كلها منحر»</w:t>
      </w:r>
      <w:r w:rsidR="00E810CC" w:rsidRPr="00904FCB">
        <w:rPr>
          <w:rFonts w:hint="cs"/>
          <w:rtl/>
        </w:rPr>
        <w:t>.</w:t>
      </w:r>
      <w:r w:rsidRPr="00904FCB">
        <w:rPr>
          <w:rFonts w:hint="cs"/>
          <w:rtl/>
        </w:rPr>
        <w:t xml:space="preserve"> فعنده هذا الخبر لم يكن ثابتاً عن طرقنا</w:t>
      </w:r>
      <w:r w:rsidR="00E810CC" w:rsidRPr="00904FCB">
        <w:rPr>
          <w:rFonts w:hint="cs"/>
          <w:rtl/>
        </w:rPr>
        <w:t>،</w:t>
      </w:r>
      <w:r w:rsidRPr="00904FCB">
        <w:rPr>
          <w:rFonts w:hint="cs"/>
          <w:rtl/>
        </w:rPr>
        <w:t xml:space="preserve"> فلذا نسبه إلى الجمهور. </w:t>
      </w:r>
    </w:p>
    <w:p w:rsidR="005B6CEC" w:rsidRPr="00904FCB" w:rsidRDefault="005B6CEC" w:rsidP="00510A75">
      <w:pPr>
        <w:spacing w:line="400" w:lineRule="exact"/>
        <w:rPr>
          <w:rtl/>
        </w:rPr>
      </w:pPr>
      <w:r w:rsidRPr="00904FCB">
        <w:rPr>
          <w:rFonts w:hint="cs"/>
          <w:rtl/>
        </w:rPr>
        <w:t>اللهم</w:t>
      </w:r>
      <w:r w:rsidR="00E810CC" w:rsidRPr="00904FCB">
        <w:rPr>
          <w:rFonts w:hint="cs"/>
          <w:rtl/>
        </w:rPr>
        <w:t>ّ</w:t>
      </w:r>
      <w:r w:rsidRPr="00904FCB">
        <w:rPr>
          <w:rFonts w:hint="cs"/>
          <w:rtl/>
        </w:rPr>
        <w:t xml:space="preserve"> إلاّ أن يقال</w:t>
      </w:r>
      <w:r w:rsidR="00E810CC" w:rsidRPr="00904FCB">
        <w:rPr>
          <w:rFonts w:hint="cs"/>
          <w:rtl/>
        </w:rPr>
        <w:t>:</w:t>
      </w:r>
      <w:r w:rsidRPr="00904FCB">
        <w:rPr>
          <w:rFonts w:hint="cs"/>
          <w:rtl/>
        </w:rPr>
        <w:t xml:space="preserve"> </w:t>
      </w:r>
      <w:r w:rsidR="00E810CC" w:rsidRPr="00904FCB">
        <w:rPr>
          <w:rFonts w:hint="cs"/>
          <w:rtl/>
        </w:rPr>
        <w:t>إ</w:t>
      </w:r>
      <w:r w:rsidRPr="00904FCB">
        <w:rPr>
          <w:rFonts w:hint="cs"/>
          <w:rtl/>
        </w:rPr>
        <w:t>ن كلامه هذا كان لإسكاتهم</w:t>
      </w:r>
      <w:r w:rsidR="00E810CC" w:rsidRPr="00904FCB">
        <w:rPr>
          <w:rFonts w:hint="cs"/>
          <w:rtl/>
        </w:rPr>
        <w:t>،</w:t>
      </w:r>
      <w:r w:rsidRPr="00904FCB">
        <w:rPr>
          <w:rFonts w:hint="cs"/>
          <w:rtl/>
        </w:rPr>
        <w:t xml:space="preserve"> لا لنصر مذهبه ـ وهو وجوب الذبح بمنى ـ</w:t>
      </w:r>
      <w:r w:rsidR="00E810CC" w:rsidRPr="00904FCB">
        <w:rPr>
          <w:rFonts w:hint="cs"/>
          <w:rtl/>
        </w:rPr>
        <w:t>،</w:t>
      </w:r>
      <w:r w:rsidRPr="00904FCB">
        <w:rPr>
          <w:rFonts w:hint="cs"/>
          <w:rtl/>
        </w:rPr>
        <w:t xml:space="preserve"> فيبقى أصل الحكم بدون الدليل من طرقنا. وعلى أي</w:t>
      </w:r>
      <w:r w:rsidR="00E810CC" w:rsidRPr="00904FCB">
        <w:rPr>
          <w:rFonts w:hint="cs"/>
          <w:rtl/>
        </w:rPr>
        <w:t>ّ</w:t>
      </w:r>
      <w:r w:rsidRPr="00904FCB">
        <w:rPr>
          <w:rFonts w:hint="cs"/>
          <w:rtl/>
        </w:rPr>
        <w:t xml:space="preserve"> حال إثبات هذا الكلام عن الرسول</w:t>
      </w:r>
      <w:r w:rsidR="00635E51" w:rsidRPr="00904FCB">
        <w:rPr>
          <w:rFonts w:cs="Mosawi" w:hint="cs"/>
          <w:szCs w:val="22"/>
          <w:rtl/>
        </w:rPr>
        <w:t>|</w:t>
      </w:r>
      <w:r w:rsidRPr="00904FCB">
        <w:rPr>
          <w:rFonts w:hint="cs"/>
          <w:rtl/>
        </w:rPr>
        <w:t xml:space="preserve"> مشكل</w:t>
      </w:r>
      <w:r w:rsidR="00E810CC" w:rsidRPr="00904FCB">
        <w:rPr>
          <w:rFonts w:hint="cs"/>
          <w:rtl/>
        </w:rPr>
        <w:t>ٌ،</w:t>
      </w:r>
      <w:r w:rsidRPr="00904FCB">
        <w:rPr>
          <w:rFonts w:hint="cs"/>
          <w:rtl/>
        </w:rPr>
        <w:t xml:space="preserve"> بل عدم ثبوته أوضح</w:t>
      </w:r>
      <w:r w:rsidR="00E810CC" w:rsidRPr="00904FCB">
        <w:rPr>
          <w:rFonts w:hint="cs"/>
          <w:rtl/>
        </w:rPr>
        <w:t>؛</w:t>
      </w:r>
      <w:r w:rsidRPr="00904FCB">
        <w:rPr>
          <w:rFonts w:hint="cs"/>
          <w:rtl/>
        </w:rPr>
        <w:t xml:space="preserve"> بقرينة عدم ذكر الأصحاب والأئمة</w:t>
      </w:r>
      <w:r w:rsidR="00510A75" w:rsidRPr="00904FCB">
        <w:rPr>
          <w:rFonts w:ascii="Mosawi" w:hAnsi="Mosawi" w:cs="Mosawi"/>
          <w:rtl/>
        </w:rPr>
        <w:t>^</w:t>
      </w:r>
      <w:r w:rsidRPr="00904FCB">
        <w:rPr>
          <w:rFonts w:hint="cs"/>
          <w:rtl/>
        </w:rPr>
        <w:t xml:space="preserve"> هذا الكلام</w:t>
      </w:r>
      <w:r w:rsidR="00E810CC" w:rsidRPr="00904FCB">
        <w:rPr>
          <w:rFonts w:hint="cs"/>
          <w:rtl/>
        </w:rPr>
        <w:t>،</w:t>
      </w:r>
      <w:r w:rsidRPr="00904FCB">
        <w:rPr>
          <w:rFonts w:hint="cs"/>
          <w:rtl/>
        </w:rPr>
        <w:t xml:space="preserve"> مع أنهم ذكروا كثيراً من التفاصيل التي لم يذكرها العام</w:t>
      </w:r>
      <w:r w:rsidR="00E810CC" w:rsidRPr="00904FCB">
        <w:rPr>
          <w:rFonts w:hint="cs"/>
          <w:rtl/>
        </w:rPr>
        <w:t>ّ</w:t>
      </w:r>
      <w:r w:rsidRPr="00904FCB">
        <w:rPr>
          <w:rFonts w:hint="cs"/>
          <w:rtl/>
        </w:rPr>
        <w:t xml:space="preserve">ة في هذه القضية. </w:t>
      </w:r>
    </w:p>
    <w:p w:rsidR="005B6CEC" w:rsidRPr="00904FCB" w:rsidRDefault="005B6CEC" w:rsidP="00DC63B9">
      <w:pPr>
        <w:spacing w:line="380" w:lineRule="exact"/>
        <w:ind w:firstLine="561"/>
        <w:rPr>
          <w:rtl/>
        </w:rPr>
      </w:pPr>
      <w:r w:rsidRPr="00904FCB">
        <w:rPr>
          <w:rFonts w:hint="cs"/>
          <w:rtl/>
        </w:rPr>
        <w:lastRenderedPageBreak/>
        <w:t>هذا كل</w:t>
      </w:r>
      <w:r w:rsidR="00E810CC" w:rsidRPr="00904FCB">
        <w:rPr>
          <w:rFonts w:hint="cs"/>
          <w:rtl/>
        </w:rPr>
        <w:t>ُّ</w:t>
      </w:r>
      <w:r w:rsidRPr="00904FCB">
        <w:rPr>
          <w:rFonts w:hint="cs"/>
          <w:rtl/>
        </w:rPr>
        <w:t xml:space="preserve">ه حول إثبات الحديث سنداً. </w:t>
      </w:r>
    </w:p>
    <w:p w:rsidR="005B6CEC" w:rsidRPr="00904FCB" w:rsidRDefault="005B6CEC" w:rsidP="007A21AA">
      <w:pPr>
        <w:spacing w:line="400" w:lineRule="exact"/>
        <w:rPr>
          <w:rtl/>
        </w:rPr>
      </w:pPr>
    </w:p>
    <w:p w:rsidR="005B6CEC" w:rsidRPr="00904FCB" w:rsidRDefault="005B6CEC" w:rsidP="007A21AA">
      <w:pPr>
        <w:pStyle w:val="31"/>
        <w:spacing w:line="400" w:lineRule="exact"/>
        <w:rPr>
          <w:color w:val="auto"/>
          <w:rtl/>
        </w:rPr>
      </w:pPr>
      <w:r w:rsidRPr="00904FCB">
        <w:rPr>
          <w:rFonts w:hint="cs"/>
          <w:color w:val="auto"/>
          <w:rtl/>
        </w:rPr>
        <w:t>بحث حول متن الحديث</w:t>
      </w:r>
    </w:p>
    <w:p w:rsidR="005B6CEC" w:rsidRPr="00904FCB" w:rsidRDefault="005B6CEC" w:rsidP="00DC63B9">
      <w:pPr>
        <w:spacing w:line="380" w:lineRule="exact"/>
        <w:ind w:firstLine="561"/>
        <w:rPr>
          <w:rtl/>
        </w:rPr>
      </w:pPr>
      <w:r w:rsidRPr="00904FCB">
        <w:rPr>
          <w:rFonts w:hint="cs"/>
          <w:rtl/>
        </w:rPr>
        <w:t>لو فرض صح</w:t>
      </w:r>
      <w:r w:rsidR="00E810CC" w:rsidRPr="00904FCB">
        <w:rPr>
          <w:rFonts w:hint="cs"/>
          <w:rtl/>
        </w:rPr>
        <w:t>ّ</w:t>
      </w:r>
      <w:r w:rsidRPr="00904FCB">
        <w:rPr>
          <w:rFonts w:hint="cs"/>
          <w:rtl/>
        </w:rPr>
        <w:t>ة السند</w:t>
      </w:r>
      <w:r w:rsidR="00E810CC" w:rsidRPr="00904FCB">
        <w:rPr>
          <w:rFonts w:hint="cs"/>
          <w:rtl/>
        </w:rPr>
        <w:t>،</w:t>
      </w:r>
      <w:r w:rsidRPr="00904FCB">
        <w:rPr>
          <w:rFonts w:hint="cs"/>
          <w:rtl/>
        </w:rPr>
        <w:t xml:space="preserve"> و</w:t>
      </w:r>
      <w:r w:rsidR="00E810CC" w:rsidRPr="00904FCB">
        <w:rPr>
          <w:rFonts w:hint="cs"/>
          <w:rtl/>
        </w:rPr>
        <w:t>أ</w:t>
      </w:r>
      <w:r w:rsidRPr="00904FCB">
        <w:rPr>
          <w:rFonts w:hint="cs"/>
          <w:rtl/>
        </w:rPr>
        <w:t>ن الرسول</w:t>
      </w:r>
      <w:r w:rsidR="00635E51" w:rsidRPr="00904FCB">
        <w:rPr>
          <w:rFonts w:cs="Mosawi" w:hint="cs"/>
          <w:szCs w:val="22"/>
          <w:rtl/>
        </w:rPr>
        <w:t>|</w:t>
      </w:r>
      <w:r w:rsidRPr="00904FCB">
        <w:rPr>
          <w:rFonts w:hint="cs"/>
          <w:rtl/>
        </w:rPr>
        <w:t xml:space="preserve"> قال: منى كل</w:t>
      </w:r>
      <w:r w:rsidR="00E810CC" w:rsidRPr="00904FCB">
        <w:rPr>
          <w:rFonts w:hint="cs"/>
          <w:rtl/>
        </w:rPr>
        <w:t>ّ</w:t>
      </w:r>
      <w:r w:rsidRPr="00904FCB">
        <w:rPr>
          <w:rFonts w:hint="cs"/>
          <w:rtl/>
        </w:rPr>
        <w:t>ها منحر</w:t>
      </w:r>
      <w:r w:rsidR="00E810CC" w:rsidRPr="00904FCB">
        <w:rPr>
          <w:rFonts w:hint="cs"/>
          <w:rtl/>
        </w:rPr>
        <w:t>،</w:t>
      </w:r>
      <w:r w:rsidRPr="00904FCB">
        <w:rPr>
          <w:rFonts w:hint="cs"/>
          <w:rtl/>
        </w:rPr>
        <w:t xml:space="preserve"> فدلالتها على وجوب الذبح في منى قابل</w:t>
      </w:r>
      <w:r w:rsidR="00E810CC" w:rsidRPr="00904FCB">
        <w:rPr>
          <w:rFonts w:hint="cs"/>
          <w:rtl/>
        </w:rPr>
        <w:t>ٌ</w:t>
      </w:r>
      <w:r w:rsidRPr="00904FCB">
        <w:rPr>
          <w:rFonts w:hint="cs"/>
          <w:rtl/>
        </w:rPr>
        <w:t xml:space="preserve"> للنقاش</w:t>
      </w:r>
      <w:r w:rsidR="00E810CC" w:rsidRPr="00904FCB">
        <w:rPr>
          <w:rFonts w:hint="cs"/>
          <w:rtl/>
        </w:rPr>
        <w:t>؛</w:t>
      </w:r>
      <w:r w:rsidRPr="00904FCB">
        <w:rPr>
          <w:rFonts w:hint="cs"/>
          <w:rtl/>
        </w:rPr>
        <w:t xml:space="preserve"> إذ هذا الحديث وضع لتجويز الذبح في منى</w:t>
      </w:r>
      <w:r w:rsidR="00E810CC" w:rsidRPr="00904FCB">
        <w:rPr>
          <w:rFonts w:hint="cs"/>
          <w:rtl/>
        </w:rPr>
        <w:t>،</w:t>
      </w:r>
      <w:r w:rsidRPr="00904FCB">
        <w:rPr>
          <w:rFonts w:hint="cs"/>
          <w:rtl/>
        </w:rPr>
        <w:t xml:space="preserve"> لا عدم جواز الذبح في غيرها</w:t>
      </w:r>
      <w:r w:rsidR="00E810CC" w:rsidRPr="00904FCB">
        <w:rPr>
          <w:rFonts w:hint="cs"/>
          <w:rtl/>
        </w:rPr>
        <w:t>.</w:t>
      </w:r>
      <w:r w:rsidRPr="00904FCB">
        <w:rPr>
          <w:rFonts w:hint="cs"/>
          <w:rtl/>
        </w:rPr>
        <w:t xml:space="preserve"> وهذا يظهر من ملاحظة أقرانه</w:t>
      </w:r>
      <w:r w:rsidR="00E810CC" w:rsidRPr="00904FCB">
        <w:rPr>
          <w:rFonts w:hint="cs"/>
          <w:rtl/>
        </w:rPr>
        <w:t>،</w:t>
      </w:r>
      <w:r w:rsidRPr="00904FCB">
        <w:rPr>
          <w:rFonts w:hint="cs"/>
          <w:rtl/>
        </w:rPr>
        <w:t xml:space="preserve"> فقوله</w:t>
      </w:r>
      <w:r w:rsidR="001C1A2A" w:rsidRPr="00904FCB">
        <w:rPr>
          <w:rFonts w:cs="Mosawi" w:hint="cs"/>
          <w:szCs w:val="22"/>
          <w:rtl/>
        </w:rPr>
        <w:t>×</w:t>
      </w:r>
      <w:r w:rsidR="00B86093" w:rsidRPr="00904FCB">
        <w:rPr>
          <w:rFonts w:hint="cs"/>
          <w:rtl/>
        </w:rPr>
        <w:t>:</w:t>
      </w:r>
      <w:r w:rsidRPr="00904FCB">
        <w:rPr>
          <w:rFonts w:hint="cs"/>
          <w:rtl/>
        </w:rPr>
        <w:t xml:space="preserve"> «الماء كل</w:t>
      </w:r>
      <w:r w:rsidR="00E810CC" w:rsidRPr="00904FCB">
        <w:rPr>
          <w:rFonts w:hint="cs"/>
          <w:rtl/>
        </w:rPr>
        <w:t>ّ</w:t>
      </w:r>
      <w:r w:rsidRPr="00904FCB">
        <w:rPr>
          <w:rFonts w:hint="cs"/>
          <w:rtl/>
        </w:rPr>
        <w:t>ه طاهر» هل يدل</w:t>
      </w:r>
      <w:r w:rsidR="00B86093" w:rsidRPr="00904FCB">
        <w:rPr>
          <w:rFonts w:hint="cs"/>
          <w:rtl/>
        </w:rPr>
        <w:t>ّ</w:t>
      </w:r>
      <w:r w:rsidRPr="00904FCB">
        <w:rPr>
          <w:rFonts w:hint="cs"/>
          <w:rtl/>
        </w:rPr>
        <w:t xml:space="preserve"> على عدم طهارة الأرض؟</w:t>
      </w:r>
      <w:r w:rsidR="00B86093" w:rsidRPr="00904FCB">
        <w:rPr>
          <w:rFonts w:hint="cs"/>
          <w:rtl/>
        </w:rPr>
        <w:t>!</w:t>
      </w:r>
      <w:r w:rsidRPr="00904FCB">
        <w:rPr>
          <w:rFonts w:hint="cs"/>
          <w:rtl/>
        </w:rPr>
        <w:t xml:space="preserve"> وقوله: «الميتة كل</w:t>
      </w:r>
      <w:r w:rsidR="00B86093" w:rsidRPr="00904FCB">
        <w:rPr>
          <w:rFonts w:hint="cs"/>
          <w:rtl/>
        </w:rPr>
        <w:t>ّ</w:t>
      </w:r>
      <w:r w:rsidRPr="00904FCB">
        <w:rPr>
          <w:rFonts w:hint="cs"/>
          <w:rtl/>
        </w:rPr>
        <w:t>ه نجس» هل يدلّ على عدم نجاسة الدم أو البول؟</w:t>
      </w:r>
      <w:r w:rsidR="00B86093" w:rsidRPr="00904FCB">
        <w:rPr>
          <w:rFonts w:hint="cs"/>
          <w:rtl/>
        </w:rPr>
        <w:t>!</w:t>
      </w:r>
      <w:r w:rsidRPr="00904FCB">
        <w:rPr>
          <w:rFonts w:hint="cs"/>
          <w:rtl/>
        </w:rPr>
        <w:t xml:space="preserve"> </w:t>
      </w:r>
    </w:p>
    <w:p w:rsidR="005B6CEC" w:rsidRPr="00904FCB" w:rsidRDefault="005B6CEC" w:rsidP="007A21AA">
      <w:pPr>
        <w:spacing w:line="400" w:lineRule="exact"/>
        <w:rPr>
          <w:rtl/>
        </w:rPr>
      </w:pPr>
    </w:p>
    <w:p w:rsidR="005B6CEC" w:rsidRPr="00904FCB" w:rsidRDefault="005B6CEC" w:rsidP="007A21AA">
      <w:pPr>
        <w:pStyle w:val="31"/>
        <w:spacing w:line="400" w:lineRule="exact"/>
        <w:rPr>
          <w:color w:val="auto"/>
          <w:rtl/>
        </w:rPr>
      </w:pPr>
      <w:r w:rsidRPr="00904FCB">
        <w:rPr>
          <w:rFonts w:hint="cs"/>
          <w:color w:val="auto"/>
          <w:rtl/>
        </w:rPr>
        <w:t xml:space="preserve">نجاسة الدم أو البول؟ </w:t>
      </w:r>
    </w:p>
    <w:p w:rsidR="005B6CEC" w:rsidRPr="00904FCB" w:rsidRDefault="005B6CEC" w:rsidP="00DC63B9">
      <w:pPr>
        <w:spacing w:line="380" w:lineRule="exact"/>
        <w:ind w:firstLine="561"/>
        <w:rPr>
          <w:rtl/>
        </w:rPr>
      </w:pPr>
      <w:r w:rsidRPr="00904FCB">
        <w:rPr>
          <w:rFonts w:hint="cs"/>
          <w:rtl/>
        </w:rPr>
        <w:t>فكلام العلا</w:t>
      </w:r>
      <w:r w:rsidR="00B86093" w:rsidRPr="00904FCB">
        <w:rPr>
          <w:rFonts w:hint="cs"/>
          <w:rtl/>
        </w:rPr>
        <w:t>ّ</w:t>
      </w:r>
      <w:r w:rsidRPr="00904FCB">
        <w:rPr>
          <w:rFonts w:hint="cs"/>
          <w:rtl/>
        </w:rPr>
        <w:t>مة في كتابيه بظاهره باطل</w:t>
      </w:r>
      <w:r w:rsidR="00B86093" w:rsidRPr="00904FCB">
        <w:rPr>
          <w:rFonts w:hint="cs"/>
          <w:rtl/>
        </w:rPr>
        <w:t>ٌ</w:t>
      </w:r>
      <w:r w:rsidRPr="00904FCB">
        <w:rPr>
          <w:rFonts w:hint="cs"/>
          <w:rtl/>
        </w:rPr>
        <w:t xml:space="preserve"> لا أساس له</w:t>
      </w:r>
      <w:r w:rsidR="00B86093" w:rsidRPr="00904FCB">
        <w:rPr>
          <w:rFonts w:hint="cs"/>
          <w:rtl/>
        </w:rPr>
        <w:t>؛</w:t>
      </w:r>
      <w:r w:rsidRPr="00904FCB">
        <w:rPr>
          <w:rFonts w:hint="cs"/>
          <w:rtl/>
        </w:rPr>
        <w:t xml:space="preserve"> إذ قال: التخصيص بالذكر يدلّ على التخصيص في الحكم</w:t>
      </w:r>
      <w:r w:rsidRPr="00904FCB">
        <w:rPr>
          <w:rFonts w:hint="cs"/>
          <w:vertAlign w:val="superscript"/>
          <w:rtl/>
        </w:rPr>
        <w:t>(</w:t>
      </w:r>
      <w:r w:rsidRPr="00904FCB">
        <w:rPr>
          <w:rStyle w:val="ac"/>
          <w:sz w:val="27"/>
          <w:rtl/>
        </w:rPr>
        <w:endnoteReference w:id="457"/>
      </w:r>
      <w:r w:rsidRPr="00904FCB">
        <w:rPr>
          <w:rFonts w:hint="cs"/>
          <w:vertAlign w:val="superscript"/>
          <w:rtl/>
        </w:rPr>
        <w:t>)</w:t>
      </w:r>
      <w:r w:rsidRPr="00904FCB">
        <w:rPr>
          <w:rFonts w:hint="cs"/>
          <w:rtl/>
        </w:rPr>
        <w:t xml:space="preserve">. </w:t>
      </w:r>
    </w:p>
    <w:p w:rsidR="005B6CEC" w:rsidRPr="00904FCB" w:rsidRDefault="005B6CEC" w:rsidP="00DC63B9">
      <w:pPr>
        <w:spacing w:line="380" w:lineRule="exact"/>
        <w:ind w:firstLine="561"/>
        <w:rPr>
          <w:rtl/>
        </w:rPr>
      </w:pPr>
      <w:r w:rsidRPr="00904FCB">
        <w:rPr>
          <w:rFonts w:hint="cs"/>
          <w:rtl/>
        </w:rPr>
        <w:t>نعم</w:t>
      </w:r>
      <w:r w:rsidR="00B86093" w:rsidRPr="00904FCB">
        <w:rPr>
          <w:rFonts w:hint="cs"/>
          <w:rtl/>
        </w:rPr>
        <w:t>،</w:t>
      </w:r>
      <w:r w:rsidRPr="00904FCB">
        <w:rPr>
          <w:rFonts w:hint="cs"/>
          <w:rtl/>
        </w:rPr>
        <w:t xml:space="preserve"> التخصيص بالذكر يدل</w:t>
      </w:r>
      <w:r w:rsidR="00B86093" w:rsidRPr="00904FCB">
        <w:rPr>
          <w:rFonts w:hint="cs"/>
          <w:rtl/>
        </w:rPr>
        <w:t>ّ</w:t>
      </w:r>
      <w:r w:rsidRPr="00904FCB">
        <w:rPr>
          <w:rFonts w:hint="cs"/>
          <w:rtl/>
        </w:rPr>
        <w:t xml:space="preserve"> على التخصيص في الحكم على القول بوجود مفهوم للقب</w:t>
      </w:r>
      <w:r w:rsidR="00B86093" w:rsidRPr="00904FCB">
        <w:rPr>
          <w:rFonts w:hint="cs"/>
          <w:rtl/>
        </w:rPr>
        <w:t>،</w:t>
      </w:r>
      <w:r w:rsidRPr="00904FCB">
        <w:rPr>
          <w:rFonts w:hint="cs"/>
          <w:rtl/>
        </w:rPr>
        <w:t xml:space="preserve"> ولا يقول به هو</w:t>
      </w:r>
      <w:r w:rsidR="00B86093" w:rsidRPr="00904FCB">
        <w:rPr>
          <w:rFonts w:hint="cs"/>
          <w:rtl/>
        </w:rPr>
        <w:t>،</w:t>
      </w:r>
      <w:r w:rsidRPr="00904FCB">
        <w:rPr>
          <w:rFonts w:hint="cs"/>
          <w:rtl/>
        </w:rPr>
        <w:t xml:space="preserve"> ولا نحن</w:t>
      </w:r>
      <w:r w:rsidR="00B86093" w:rsidRPr="00904FCB">
        <w:rPr>
          <w:rFonts w:hint="cs"/>
          <w:rtl/>
        </w:rPr>
        <w:t>.</w:t>
      </w:r>
      <w:r w:rsidRPr="00904FCB">
        <w:rPr>
          <w:rFonts w:hint="cs"/>
          <w:rtl/>
        </w:rPr>
        <w:t xml:space="preserve"> هذا</w:t>
      </w:r>
      <w:r w:rsidR="006D5FA8">
        <w:rPr>
          <w:rFonts w:hint="cs"/>
          <w:rtl/>
        </w:rPr>
        <w:t>،</w:t>
      </w:r>
      <w:r w:rsidRPr="00904FCB">
        <w:rPr>
          <w:rFonts w:hint="cs"/>
          <w:rtl/>
        </w:rPr>
        <w:t xml:space="preserve"> ولو فرض وجود أداة الحصر في المقام فالقصر لا يكون حقيقةً</w:t>
      </w:r>
      <w:r w:rsidR="00B86093" w:rsidRPr="00904FCB">
        <w:rPr>
          <w:rFonts w:hint="cs"/>
          <w:rtl/>
        </w:rPr>
        <w:t>،</w:t>
      </w:r>
      <w:r w:rsidRPr="00904FCB">
        <w:rPr>
          <w:rFonts w:hint="cs"/>
          <w:rtl/>
        </w:rPr>
        <w:t xml:space="preserve"> بل يكون قصر قلب. </w:t>
      </w:r>
    </w:p>
    <w:p w:rsidR="005B6CEC" w:rsidRPr="00904FCB" w:rsidRDefault="005B6CEC" w:rsidP="00DC63B9">
      <w:pPr>
        <w:spacing w:line="380" w:lineRule="exact"/>
        <w:ind w:firstLine="561"/>
        <w:rPr>
          <w:rtl/>
        </w:rPr>
      </w:pPr>
      <w:r w:rsidRPr="00904FCB">
        <w:rPr>
          <w:rFonts w:hint="cs"/>
          <w:rtl/>
        </w:rPr>
        <w:t xml:space="preserve">بيان ذلك: </w:t>
      </w:r>
      <w:r w:rsidR="00B86093" w:rsidRPr="00904FCB">
        <w:rPr>
          <w:rFonts w:hint="cs"/>
          <w:rtl/>
        </w:rPr>
        <w:t>إ</w:t>
      </w:r>
      <w:r w:rsidRPr="00904FCB">
        <w:rPr>
          <w:rFonts w:hint="cs"/>
          <w:rtl/>
        </w:rPr>
        <w:t>ن الرسول</w:t>
      </w:r>
      <w:r w:rsidR="00635E51" w:rsidRPr="00904FCB">
        <w:rPr>
          <w:rFonts w:cs="Mosawi" w:hint="cs"/>
          <w:szCs w:val="22"/>
          <w:rtl/>
        </w:rPr>
        <w:t>|</w:t>
      </w:r>
      <w:r w:rsidRPr="00904FCB">
        <w:rPr>
          <w:rFonts w:hint="cs"/>
          <w:rtl/>
        </w:rPr>
        <w:t xml:space="preserve"> لمّا نحر هديه بمنى </w:t>
      </w:r>
      <w:r w:rsidR="00B86093" w:rsidRPr="00904FCB">
        <w:rPr>
          <w:rFonts w:hint="cs"/>
          <w:rtl/>
        </w:rPr>
        <w:t xml:space="preserve">أراد </w:t>
      </w:r>
      <w:r w:rsidRPr="00904FCB">
        <w:rPr>
          <w:rFonts w:hint="cs"/>
          <w:rtl/>
        </w:rPr>
        <w:t>الناس أن يذبحوا وينحروا في نفس المكان</w:t>
      </w:r>
      <w:r w:rsidR="00B86093" w:rsidRPr="00904FCB">
        <w:rPr>
          <w:rFonts w:hint="cs"/>
          <w:rtl/>
        </w:rPr>
        <w:t>،</w:t>
      </w:r>
      <w:r w:rsidRPr="00904FCB">
        <w:rPr>
          <w:rFonts w:hint="cs"/>
          <w:rtl/>
        </w:rPr>
        <w:t xml:space="preserve"> فقال: «هذا منحر</w:t>
      </w:r>
      <w:r w:rsidR="00B86093" w:rsidRPr="00904FCB">
        <w:rPr>
          <w:rFonts w:hint="cs"/>
          <w:rtl/>
        </w:rPr>
        <w:t>،</w:t>
      </w:r>
      <w:r w:rsidRPr="00904FCB">
        <w:rPr>
          <w:rFonts w:hint="cs"/>
          <w:rtl/>
        </w:rPr>
        <w:t xml:space="preserve"> وكل منى منحر»</w:t>
      </w:r>
      <w:r w:rsidR="00B86093" w:rsidRPr="00904FCB">
        <w:rPr>
          <w:rFonts w:hint="cs"/>
          <w:rtl/>
        </w:rPr>
        <w:t>،</w:t>
      </w:r>
      <w:r w:rsidRPr="00904FCB">
        <w:rPr>
          <w:rFonts w:hint="cs"/>
          <w:rtl/>
        </w:rPr>
        <w:t xml:space="preserve"> فلا يجب عليكم أن تنحروا هنا</w:t>
      </w:r>
      <w:r w:rsidR="00B86093" w:rsidRPr="00904FCB">
        <w:rPr>
          <w:rFonts w:hint="cs"/>
          <w:rtl/>
        </w:rPr>
        <w:t>،</w:t>
      </w:r>
      <w:r w:rsidRPr="00904FCB">
        <w:rPr>
          <w:rFonts w:hint="cs"/>
          <w:rtl/>
        </w:rPr>
        <w:t xml:space="preserve"> بل تستطيعون أن تنحروا في رحالكم. والشاهد</w:t>
      </w:r>
      <w:r w:rsidR="00B86093" w:rsidRPr="00904FCB">
        <w:rPr>
          <w:rFonts w:hint="cs"/>
          <w:rtl/>
        </w:rPr>
        <w:t>ُ</w:t>
      </w:r>
      <w:r w:rsidRPr="00904FCB">
        <w:rPr>
          <w:rFonts w:hint="cs"/>
          <w:rtl/>
        </w:rPr>
        <w:t xml:space="preserve"> على ذلك ما في السنن الكبرى قال: «</w:t>
      </w:r>
      <w:r w:rsidR="00B86093" w:rsidRPr="00904FCB">
        <w:rPr>
          <w:rFonts w:hint="cs"/>
          <w:rtl/>
        </w:rPr>
        <w:t>ن</w:t>
      </w:r>
      <w:r w:rsidRPr="00904FCB">
        <w:rPr>
          <w:rFonts w:hint="cs"/>
          <w:rtl/>
        </w:rPr>
        <w:t>حرت هنا</w:t>
      </w:r>
      <w:r w:rsidR="00B86093" w:rsidRPr="00904FCB">
        <w:rPr>
          <w:rFonts w:hint="cs"/>
          <w:rtl/>
        </w:rPr>
        <w:t>،</w:t>
      </w:r>
      <w:r w:rsidRPr="00904FCB">
        <w:rPr>
          <w:rFonts w:hint="cs"/>
          <w:rtl/>
        </w:rPr>
        <w:t xml:space="preserve"> ومنى كل</w:t>
      </w:r>
      <w:r w:rsidR="00B86093" w:rsidRPr="00904FCB">
        <w:rPr>
          <w:rFonts w:hint="cs"/>
          <w:rtl/>
        </w:rPr>
        <w:t>ّ</w:t>
      </w:r>
      <w:r w:rsidRPr="00904FCB">
        <w:rPr>
          <w:rFonts w:hint="cs"/>
          <w:rtl/>
        </w:rPr>
        <w:t>ها منحر</w:t>
      </w:r>
      <w:r w:rsidR="00B86093" w:rsidRPr="00904FCB">
        <w:rPr>
          <w:rFonts w:hint="cs"/>
          <w:rtl/>
        </w:rPr>
        <w:t>،</w:t>
      </w:r>
      <w:r w:rsidRPr="00904FCB">
        <w:rPr>
          <w:rFonts w:hint="cs"/>
          <w:rtl/>
        </w:rPr>
        <w:t xml:space="preserve"> فانحروا في رحالكم»</w:t>
      </w:r>
      <w:r w:rsidRPr="00904FCB">
        <w:rPr>
          <w:rFonts w:hint="cs"/>
          <w:vertAlign w:val="superscript"/>
          <w:rtl/>
        </w:rPr>
        <w:t>(</w:t>
      </w:r>
      <w:r w:rsidRPr="00904FCB">
        <w:rPr>
          <w:rStyle w:val="ac"/>
          <w:sz w:val="27"/>
          <w:rtl/>
        </w:rPr>
        <w:endnoteReference w:id="458"/>
      </w:r>
      <w:r w:rsidRPr="00904FCB">
        <w:rPr>
          <w:rFonts w:hint="cs"/>
          <w:vertAlign w:val="superscript"/>
          <w:rtl/>
        </w:rPr>
        <w:t>)</w:t>
      </w:r>
      <w:r w:rsidRPr="00904FCB">
        <w:rPr>
          <w:rFonts w:hint="cs"/>
          <w:rtl/>
        </w:rPr>
        <w:t>. وأيضاً ما في الدعائم من قوله: «هذا المنحر</w:t>
      </w:r>
      <w:r w:rsidR="00B86093" w:rsidRPr="00904FCB">
        <w:rPr>
          <w:rFonts w:hint="cs"/>
          <w:rtl/>
        </w:rPr>
        <w:t>،</w:t>
      </w:r>
      <w:r w:rsidRPr="00904FCB">
        <w:rPr>
          <w:rFonts w:hint="cs"/>
          <w:rtl/>
        </w:rPr>
        <w:t xml:space="preserve"> ومنى كلها منحر</w:t>
      </w:r>
      <w:r w:rsidR="00B86093" w:rsidRPr="00904FCB">
        <w:rPr>
          <w:rFonts w:hint="cs"/>
          <w:rtl/>
        </w:rPr>
        <w:t>،</w:t>
      </w:r>
      <w:r w:rsidRPr="00904FCB">
        <w:rPr>
          <w:rFonts w:hint="cs"/>
          <w:rtl/>
        </w:rPr>
        <w:t xml:space="preserve"> وأمر الناس فنحروا وذبحوا ذبائحهم في رحالهم بمنى». فمقصوده ـ والله العالم ـ جواز النحر في الر</w:t>
      </w:r>
      <w:r w:rsidR="00B86093" w:rsidRPr="00904FCB">
        <w:rPr>
          <w:rFonts w:hint="cs"/>
          <w:rtl/>
        </w:rPr>
        <w:t>ِّ</w:t>
      </w:r>
      <w:r w:rsidRPr="00904FCB">
        <w:rPr>
          <w:rFonts w:hint="cs"/>
          <w:rtl/>
        </w:rPr>
        <w:t>حال في غير المنحر المعروف، لا عدم جواز الذبح بغير منى، ولو في أمكنة</w:t>
      </w:r>
      <w:r w:rsidR="00B86093" w:rsidRPr="00904FCB">
        <w:rPr>
          <w:rFonts w:hint="cs"/>
          <w:rtl/>
        </w:rPr>
        <w:t>ٍ</w:t>
      </w:r>
      <w:r w:rsidRPr="00904FCB">
        <w:rPr>
          <w:rFonts w:hint="cs"/>
          <w:rtl/>
        </w:rPr>
        <w:t xml:space="preserve"> قريبة جد</w:t>
      </w:r>
      <w:r w:rsidR="00B86093" w:rsidRPr="00904FCB">
        <w:rPr>
          <w:rFonts w:hint="cs"/>
          <w:rtl/>
        </w:rPr>
        <w:t>ّ</w:t>
      </w:r>
      <w:r w:rsidRPr="00904FCB">
        <w:rPr>
          <w:rFonts w:hint="cs"/>
          <w:rtl/>
        </w:rPr>
        <w:t xml:space="preserve">اً. </w:t>
      </w:r>
    </w:p>
    <w:p w:rsidR="005B6CEC" w:rsidRDefault="005B6CEC" w:rsidP="00DC63B9">
      <w:pPr>
        <w:spacing w:line="380" w:lineRule="exact"/>
        <w:ind w:firstLine="561"/>
        <w:rPr>
          <w:rtl/>
        </w:rPr>
      </w:pPr>
      <w:r w:rsidRPr="00904FCB">
        <w:rPr>
          <w:rFonts w:hint="cs"/>
          <w:rtl/>
        </w:rPr>
        <w:t>هذا كل</w:t>
      </w:r>
      <w:r w:rsidR="00B86093" w:rsidRPr="00904FCB">
        <w:rPr>
          <w:rFonts w:hint="cs"/>
          <w:rtl/>
        </w:rPr>
        <w:t>ُّ</w:t>
      </w:r>
      <w:r w:rsidRPr="00904FCB">
        <w:rPr>
          <w:rFonts w:hint="cs"/>
          <w:rtl/>
        </w:rPr>
        <w:t>ه بناء</w:t>
      </w:r>
      <w:r w:rsidR="00B86093" w:rsidRPr="00904FCB">
        <w:rPr>
          <w:rFonts w:hint="cs"/>
          <w:rtl/>
        </w:rPr>
        <w:t>ً</w:t>
      </w:r>
      <w:r w:rsidRPr="00904FCB">
        <w:rPr>
          <w:rFonts w:hint="cs"/>
          <w:rtl/>
        </w:rPr>
        <w:t xml:space="preserve"> على أن هذا الحكم ـ أي الذبح بمنى ـ حكم</w:t>
      </w:r>
      <w:r w:rsidR="00B86093" w:rsidRPr="00904FCB">
        <w:rPr>
          <w:rFonts w:hint="cs"/>
          <w:rtl/>
        </w:rPr>
        <w:t>ٌ</w:t>
      </w:r>
      <w:r w:rsidRPr="00904FCB">
        <w:rPr>
          <w:rFonts w:hint="cs"/>
          <w:rtl/>
        </w:rPr>
        <w:t xml:space="preserve"> دائمي إلهي للمسلمين إلى الأبد</w:t>
      </w:r>
      <w:r w:rsidR="00B86093" w:rsidRPr="00904FCB">
        <w:rPr>
          <w:rFonts w:hint="cs"/>
          <w:rtl/>
        </w:rPr>
        <w:t>،</w:t>
      </w:r>
      <w:r w:rsidRPr="00904FCB">
        <w:rPr>
          <w:rFonts w:hint="cs"/>
          <w:rtl/>
        </w:rPr>
        <w:t xml:space="preserve"> ولكن يحتمل أن </w:t>
      </w:r>
      <w:r w:rsidR="00B86093" w:rsidRPr="00904FCB">
        <w:rPr>
          <w:rFonts w:hint="cs"/>
          <w:rtl/>
        </w:rPr>
        <w:t>ت</w:t>
      </w:r>
      <w:r w:rsidRPr="00904FCB">
        <w:rPr>
          <w:rFonts w:hint="cs"/>
          <w:rtl/>
        </w:rPr>
        <w:t>كون مثل هذه الأحكام أحكاماً موسمي</w:t>
      </w:r>
      <w:r w:rsidR="00B86093" w:rsidRPr="00904FCB">
        <w:rPr>
          <w:rFonts w:hint="cs"/>
          <w:rtl/>
        </w:rPr>
        <w:t>ة</w:t>
      </w:r>
      <w:r w:rsidRPr="00904FCB">
        <w:rPr>
          <w:rFonts w:hint="cs"/>
          <w:rtl/>
        </w:rPr>
        <w:t xml:space="preserve">. </w:t>
      </w:r>
    </w:p>
    <w:p w:rsidR="00DC63B9" w:rsidRPr="00904FCB" w:rsidRDefault="00DC63B9" w:rsidP="00143A12">
      <w:pPr>
        <w:spacing w:line="410" w:lineRule="exact"/>
        <w:rPr>
          <w:rtl/>
        </w:rPr>
      </w:pPr>
    </w:p>
    <w:p w:rsidR="005B6CEC" w:rsidRPr="00904FCB" w:rsidRDefault="005B6CEC" w:rsidP="007A21AA">
      <w:pPr>
        <w:pStyle w:val="31"/>
        <w:spacing w:line="400" w:lineRule="exact"/>
        <w:rPr>
          <w:color w:val="auto"/>
          <w:rtl/>
        </w:rPr>
      </w:pPr>
      <w:r w:rsidRPr="00904FCB">
        <w:rPr>
          <w:rFonts w:hint="cs"/>
          <w:color w:val="auto"/>
          <w:rtl/>
        </w:rPr>
        <w:t>الأحكام الموسمية</w:t>
      </w:r>
    </w:p>
    <w:p w:rsidR="005B6CEC" w:rsidRPr="00904FCB" w:rsidRDefault="005B6CEC" w:rsidP="007A21AA">
      <w:pPr>
        <w:spacing w:line="400" w:lineRule="exact"/>
        <w:rPr>
          <w:rtl/>
        </w:rPr>
      </w:pPr>
      <w:r w:rsidRPr="00904FCB">
        <w:rPr>
          <w:rFonts w:hint="cs"/>
          <w:rtl/>
        </w:rPr>
        <w:t xml:space="preserve">بعض الأحكام </w:t>
      </w:r>
      <w:r w:rsidR="00B86093" w:rsidRPr="00904FCB">
        <w:rPr>
          <w:rFonts w:hint="cs"/>
          <w:rtl/>
        </w:rPr>
        <w:t>ت</w:t>
      </w:r>
      <w:r w:rsidRPr="00904FCB">
        <w:rPr>
          <w:rFonts w:hint="cs"/>
          <w:rtl/>
        </w:rPr>
        <w:t>كون أحكاماً دائمي</w:t>
      </w:r>
      <w:r w:rsidR="00B86093" w:rsidRPr="00904FCB">
        <w:rPr>
          <w:rFonts w:hint="cs"/>
          <w:rtl/>
        </w:rPr>
        <w:t>ة،</w:t>
      </w:r>
      <w:r w:rsidRPr="00904FCB">
        <w:rPr>
          <w:rFonts w:hint="cs"/>
          <w:rtl/>
        </w:rPr>
        <w:t xml:space="preserve"> ولا </w:t>
      </w:r>
      <w:r w:rsidR="00B86093" w:rsidRPr="00904FCB">
        <w:rPr>
          <w:rFonts w:hint="cs"/>
          <w:rtl/>
        </w:rPr>
        <w:t>ي</w:t>
      </w:r>
      <w:r w:rsidRPr="00904FCB">
        <w:rPr>
          <w:rFonts w:hint="cs"/>
          <w:rtl/>
        </w:rPr>
        <w:t>غيّ</w:t>
      </w:r>
      <w:r w:rsidR="00B86093" w:rsidRPr="00904FCB">
        <w:rPr>
          <w:rFonts w:hint="cs"/>
          <w:rtl/>
        </w:rPr>
        <w:t>ِ</w:t>
      </w:r>
      <w:r w:rsidRPr="00904FCB">
        <w:rPr>
          <w:rFonts w:hint="cs"/>
          <w:rtl/>
        </w:rPr>
        <w:t>ره</w:t>
      </w:r>
      <w:r w:rsidR="00B86093" w:rsidRPr="00904FCB">
        <w:rPr>
          <w:rFonts w:hint="cs"/>
          <w:rtl/>
        </w:rPr>
        <w:t>ا</w:t>
      </w:r>
      <w:r w:rsidRPr="00904FCB">
        <w:rPr>
          <w:rFonts w:hint="cs"/>
          <w:rtl/>
        </w:rPr>
        <w:t xml:space="preserve"> تغي</w:t>
      </w:r>
      <w:r w:rsidR="00B86093" w:rsidRPr="00904FCB">
        <w:rPr>
          <w:rFonts w:hint="cs"/>
          <w:rtl/>
        </w:rPr>
        <w:t>ُّ</w:t>
      </w:r>
      <w:r w:rsidRPr="00904FCB">
        <w:rPr>
          <w:rFonts w:hint="cs"/>
          <w:rtl/>
        </w:rPr>
        <w:t>ر الأحوال والشرائط</w:t>
      </w:r>
      <w:r w:rsidR="00B86093" w:rsidRPr="00904FCB">
        <w:rPr>
          <w:rFonts w:hint="cs"/>
          <w:rtl/>
        </w:rPr>
        <w:t>؛</w:t>
      </w:r>
      <w:r w:rsidRPr="00904FCB">
        <w:rPr>
          <w:rFonts w:hint="cs"/>
          <w:rtl/>
        </w:rPr>
        <w:t xml:space="preserve"> </w:t>
      </w:r>
      <w:r w:rsidRPr="00904FCB">
        <w:rPr>
          <w:rFonts w:hint="cs"/>
          <w:rtl/>
        </w:rPr>
        <w:lastRenderedPageBreak/>
        <w:t xml:space="preserve">وبعض الأحكام </w:t>
      </w:r>
      <w:r w:rsidR="00B86093" w:rsidRPr="00904FCB">
        <w:rPr>
          <w:rFonts w:hint="cs"/>
          <w:rtl/>
        </w:rPr>
        <w:t>ت</w:t>
      </w:r>
      <w:r w:rsidRPr="00904FCB">
        <w:rPr>
          <w:rFonts w:hint="cs"/>
          <w:rtl/>
        </w:rPr>
        <w:t>كون أحكاماً موسمية</w:t>
      </w:r>
      <w:r w:rsidR="00B86093" w:rsidRPr="00904FCB">
        <w:rPr>
          <w:rFonts w:hint="cs"/>
          <w:rtl/>
        </w:rPr>
        <w:t>،</w:t>
      </w:r>
      <w:r w:rsidRPr="00904FCB">
        <w:rPr>
          <w:rFonts w:hint="cs"/>
          <w:rtl/>
        </w:rPr>
        <w:t xml:space="preserve"> مرتبطة بالشرا</w:t>
      </w:r>
      <w:r w:rsidR="00B86093" w:rsidRPr="00904FCB">
        <w:rPr>
          <w:rFonts w:hint="cs"/>
          <w:rtl/>
        </w:rPr>
        <w:t>ئ</w:t>
      </w:r>
      <w:r w:rsidRPr="00904FCB">
        <w:rPr>
          <w:rFonts w:hint="cs"/>
          <w:rtl/>
        </w:rPr>
        <w:t>ط الخاصة والأمكنة المختص</w:t>
      </w:r>
      <w:r w:rsidR="00B86093" w:rsidRPr="00904FCB">
        <w:rPr>
          <w:rFonts w:hint="cs"/>
          <w:rtl/>
        </w:rPr>
        <w:t>ّ</w:t>
      </w:r>
      <w:r w:rsidRPr="00904FCB">
        <w:rPr>
          <w:rFonts w:hint="cs"/>
          <w:rtl/>
        </w:rPr>
        <w:t xml:space="preserve">ة بها. </w:t>
      </w:r>
    </w:p>
    <w:p w:rsidR="005B6CEC" w:rsidRPr="00904FCB" w:rsidRDefault="005B6CEC" w:rsidP="007A21AA">
      <w:pPr>
        <w:spacing w:line="400" w:lineRule="exact"/>
        <w:rPr>
          <w:rtl/>
        </w:rPr>
      </w:pPr>
      <w:r w:rsidRPr="00904FCB">
        <w:rPr>
          <w:rFonts w:hint="cs"/>
          <w:rtl/>
        </w:rPr>
        <w:t>فمثل النهي عن إخراج اللحوم من منى قبل ثلاثة أيام</w:t>
      </w:r>
      <w:r w:rsidR="00B86093" w:rsidRPr="00904FCB">
        <w:rPr>
          <w:rFonts w:hint="cs"/>
          <w:rtl/>
        </w:rPr>
        <w:t>،</w:t>
      </w:r>
      <w:r w:rsidRPr="00904FCB">
        <w:rPr>
          <w:rFonts w:hint="cs"/>
          <w:rtl/>
        </w:rPr>
        <w:t xml:space="preserve"> وجوازه بعدها</w:t>
      </w:r>
      <w:r w:rsidR="00B86093" w:rsidRPr="00904FCB">
        <w:rPr>
          <w:rFonts w:hint="cs"/>
          <w:rtl/>
        </w:rPr>
        <w:t>،</w:t>
      </w:r>
      <w:r w:rsidRPr="00904FCB">
        <w:rPr>
          <w:rFonts w:hint="cs"/>
          <w:rtl/>
        </w:rPr>
        <w:t xml:space="preserve"> تكون أحكاماً موسمية</w:t>
      </w:r>
      <w:r w:rsidR="00B86093" w:rsidRPr="00904FCB">
        <w:rPr>
          <w:rFonts w:hint="cs"/>
          <w:rtl/>
        </w:rPr>
        <w:t>.</w:t>
      </w:r>
      <w:r w:rsidRPr="00904FCB">
        <w:rPr>
          <w:rFonts w:hint="cs"/>
          <w:rtl/>
        </w:rPr>
        <w:t xml:space="preserve"> كما أن حكم الصلاة والطواف حول البيت يكون من الأحكام الدائمية</w:t>
      </w:r>
      <w:r w:rsidR="00B86093" w:rsidRPr="00904FCB">
        <w:rPr>
          <w:rFonts w:hint="cs"/>
          <w:rtl/>
        </w:rPr>
        <w:t>،</w:t>
      </w:r>
      <w:r w:rsidRPr="00904FCB">
        <w:rPr>
          <w:rFonts w:hint="cs"/>
          <w:rtl/>
        </w:rPr>
        <w:t xml:space="preserve"> نظير</w:t>
      </w:r>
      <w:r w:rsidR="00B86093" w:rsidRPr="00904FCB">
        <w:rPr>
          <w:rFonts w:hint="cs"/>
          <w:rtl/>
        </w:rPr>
        <w:t>:</w:t>
      </w:r>
      <w:r w:rsidRPr="00904FCB">
        <w:rPr>
          <w:rFonts w:hint="cs"/>
          <w:rtl/>
        </w:rPr>
        <w:t xml:space="preserve"> نفس الذبح والوقوف. </w:t>
      </w:r>
    </w:p>
    <w:p w:rsidR="005B6CEC" w:rsidRPr="00904FCB" w:rsidRDefault="005B6CEC" w:rsidP="007A21AA">
      <w:pPr>
        <w:spacing w:line="400" w:lineRule="exact"/>
        <w:rPr>
          <w:rtl/>
        </w:rPr>
      </w:pPr>
      <w:r w:rsidRPr="00904FCB">
        <w:rPr>
          <w:rFonts w:hint="cs"/>
          <w:rtl/>
        </w:rPr>
        <w:t>وقبل التوضيح في هذا المجال ينبغي نقل بعض الروايات</w:t>
      </w:r>
      <w:r w:rsidR="00FD3569" w:rsidRPr="00904FCB">
        <w:rPr>
          <w:rFonts w:hint="cs"/>
          <w:rtl/>
        </w:rPr>
        <w:t>:</w:t>
      </w:r>
      <w:r w:rsidRPr="00904FCB">
        <w:rPr>
          <w:rFonts w:hint="cs"/>
          <w:rtl/>
        </w:rPr>
        <w:t xml:space="preserve"> </w:t>
      </w:r>
    </w:p>
    <w:p w:rsidR="005B6CEC" w:rsidRPr="00904FCB" w:rsidRDefault="005B6CEC" w:rsidP="007A21AA">
      <w:pPr>
        <w:spacing w:line="400" w:lineRule="exact"/>
        <w:rPr>
          <w:rtl/>
        </w:rPr>
      </w:pPr>
      <w:r w:rsidRPr="00A2543E">
        <w:rPr>
          <w:rFonts w:hint="cs"/>
          <w:b/>
          <w:bCs/>
          <w:rtl/>
        </w:rPr>
        <w:t>1ـ</w:t>
      </w:r>
      <w:r w:rsidRPr="00904FCB">
        <w:rPr>
          <w:rFonts w:hint="cs"/>
          <w:b/>
          <w:bCs/>
          <w:rtl/>
        </w:rPr>
        <w:t xml:space="preserve"> صحيحة محمد بن مسلم</w:t>
      </w:r>
      <w:r w:rsidR="00FD3569" w:rsidRPr="00904FCB">
        <w:rPr>
          <w:rFonts w:hint="cs"/>
          <w:rtl/>
        </w:rPr>
        <w:t>،</w:t>
      </w:r>
      <w:r w:rsidRPr="00904FCB">
        <w:rPr>
          <w:rFonts w:hint="cs"/>
          <w:rtl/>
        </w:rPr>
        <w:t xml:space="preserve"> عن أبي عبد الله</w:t>
      </w:r>
      <w:r w:rsidR="001C1A2A" w:rsidRPr="00904FCB">
        <w:rPr>
          <w:rFonts w:cs="Mosawi" w:hint="cs"/>
          <w:szCs w:val="22"/>
          <w:rtl/>
        </w:rPr>
        <w:t>×</w:t>
      </w:r>
      <w:r w:rsidRPr="00904FCB">
        <w:rPr>
          <w:rFonts w:hint="cs"/>
          <w:rtl/>
        </w:rPr>
        <w:t xml:space="preserve"> قال: سألت</w:t>
      </w:r>
      <w:r w:rsidR="00FD3569" w:rsidRPr="00904FCB">
        <w:rPr>
          <w:rFonts w:hint="cs"/>
          <w:rtl/>
        </w:rPr>
        <w:t>ُ</w:t>
      </w:r>
      <w:r w:rsidRPr="00904FCB">
        <w:rPr>
          <w:rFonts w:hint="cs"/>
          <w:rtl/>
        </w:rPr>
        <w:t>ه عن إخراج لحوم الأضاحي من منى</w:t>
      </w:r>
      <w:r w:rsidR="00FD3569" w:rsidRPr="00904FCB">
        <w:rPr>
          <w:rFonts w:hint="cs"/>
          <w:rtl/>
        </w:rPr>
        <w:t>؟</w:t>
      </w:r>
      <w:r w:rsidRPr="00904FCB">
        <w:rPr>
          <w:rFonts w:hint="cs"/>
          <w:rtl/>
        </w:rPr>
        <w:t xml:space="preserve"> فقال: كنّا نقول</w:t>
      </w:r>
      <w:r w:rsidR="00FD3569" w:rsidRPr="00904FCB">
        <w:rPr>
          <w:rFonts w:hint="cs"/>
          <w:rtl/>
        </w:rPr>
        <w:t>:</w:t>
      </w:r>
      <w:r w:rsidRPr="00904FCB">
        <w:rPr>
          <w:rFonts w:hint="cs"/>
          <w:rtl/>
        </w:rPr>
        <w:t xml:space="preserve"> لا يخرج منها شيء</w:t>
      </w:r>
      <w:r w:rsidR="00FD3569" w:rsidRPr="00904FCB">
        <w:rPr>
          <w:rFonts w:hint="cs"/>
          <w:rtl/>
        </w:rPr>
        <w:t>؛</w:t>
      </w:r>
      <w:r w:rsidRPr="00904FCB">
        <w:rPr>
          <w:rFonts w:hint="cs"/>
          <w:rtl/>
        </w:rPr>
        <w:t xml:space="preserve"> لحاجة الناس إليه</w:t>
      </w:r>
      <w:r w:rsidR="00FD3569" w:rsidRPr="00904FCB">
        <w:rPr>
          <w:rFonts w:hint="cs"/>
          <w:rtl/>
        </w:rPr>
        <w:t>،</w:t>
      </w:r>
      <w:r w:rsidRPr="00904FCB">
        <w:rPr>
          <w:rFonts w:hint="cs"/>
          <w:rtl/>
        </w:rPr>
        <w:t xml:space="preserve"> فأمّا اليوم فقد كثر الناس</w:t>
      </w:r>
      <w:r w:rsidR="00FD3569" w:rsidRPr="00904FCB">
        <w:rPr>
          <w:rFonts w:hint="cs"/>
          <w:rtl/>
        </w:rPr>
        <w:t>،</w:t>
      </w:r>
      <w:r w:rsidRPr="00904FCB">
        <w:rPr>
          <w:rFonts w:hint="cs"/>
          <w:rtl/>
        </w:rPr>
        <w:t xml:space="preserve"> فلا بأس بإخراجه</w:t>
      </w:r>
      <w:r w:rsidRPr="00904FCB">
        <w:rPr>
          <w:rFonts w:hint="cs"/>
          <w:vertAlign w:val="superscript"/>
          <w:rtl/>
        </w:rPr>
        <w:t>(</w:t>
      </w:r>
      <w:r w:rsidRPr="00904FCB">
        <w:rPr>
          <w:rStyle w:val="ac"/>
          <w:sz w:val="27"/>
          <w:rtl/>
        </w:rPr>
        <w:endnoteReference w:id="459"/>
      </w:r>
      <w:r w:rsidRPr="00904FCB">
        <w:rPr>
          <w:rFonts w:hint="cs"/>
          <w:vertAlign w:val="superscript"/>
          <w:rtl/>
        </w:rPr>
        <w:t>)</w:t>
      </w:r>
      <w:r w:rsidRPr="00904FCB">
        <w:rPr>
          <w:rFonts w:hint="cs"/>
          <w:rtl/>
        </w:rPr>
        <w:t xml:space="preserve">. </w:t>
      </w:r>
    </w:p>
    <w:p w:rsidR="005B6CEC" w:rsidRPr="00904FCB" w:rsidRDefault="005B6CEC" w:rsidP="00510A75">
      <w:pPr>
        <w:spacing w:line="400" w:lineRule="exact"/>
        <w:rPr>
          <w:rtl/>
        </w:rPr>
      </w:pPr>
      <w:r w:rsidRPr="00904FCB">
        <w:rPr>
          <w:rFonts w:hint="cs"/>
          <w:rtl/>
        </w:rPr>
        <w:t>أقول: قوله</w:t>
      </w:r>
      <w:r w:rsidR="001C1A2A" w:rsidRPr="00904FCB">
        <w:rPr>
          <w:rFonts w:cs="Mosawi" w:hint="cs"/>
          <w:szCs w:val="22"/>
          <w:rtl/>
        </w:rPr>
        <w:t>×</w:t>
      </w:r>
      <w:r w:rsidR="00DC63B9">
        <w:rPr>
          <w:rFonts w:hint="cs"/>
          <w:rtl/>
        </w:rPr>
        <w:t>:</w:t>
      </w:r>
      <w:r w:rsidRPr="00904FCB">
        <w:rPr>
          <w:rFonts w:hint="cs"/>
          <w:rtl/>
        </w:rPr>
        <w:t xml:space="preserve"> «كنا نقول» يدلّ على الاستمرار، فالنهي كان أمراً مستمر</w:t>
      </w:r>
      <w:r w:rsidR="00FD3569" w:rsidRPr="00904FCB">
        <w:rPr>
          <w:rFonts w:hint="cs"/>
          <w:rtl/>
        </w:rPr>
        <w:t>ّ</w:t>
      </w:r>
      <w:r w:rsidRPr="00904FCB">
        <w:rPr>
          <w:rFonts w:hint="cs"/>
          <w:rtl/>
        </w:rPr>
        <w:t>اً إلى زمان الصادق</w:t>
      </w:r>
      <w:r w:rsidR="001C1A2A" w:rsidRPr="00904FCB">
        <w:rPr>
          <w:rFonts w:cs="Mosawi" w:hint="cs"/>
          <w:szCs w:val="22"/>
          <w:rtl/>
        </w:rPr>
        <w:t>×</w:t>
      </w:r>
      <w:r w:rsidR="00FD3569" w:rsidRPr="00904FCB">
        <w:rPr>
          <w:rFonts w:hint="cs"/>
          <w:rtl/>
        </w:rPr>
        <w:t>،</w:t>
      </w:r>
      <w:r w:rsidRPr="00904FCB">
        <w:rPr>
          <w:rFonts w:hint="cs"/>
          <w:rtl/>
        </w:rPr>
        <w:t xml:space="preserve"> ولكن</w:t>
      </w:r>
      <w:r w:rsidR="00FD3569" w:rsidRPr="00904FCB">
        <w:rPr>
          <w:rFonts w:hint="cs"/>
          <w:rtl/>
        </w:rPr>
        <w:t>ْ</w:t>
      </w:r>
      <w:r w:rsidRPr="00904FCB">
        <w:rPr>
          <w:rFonts w:hint="cs"/>
          <w:rtl/>
        </w:rPr>
        <w:t xml:space="preserve"> هو رخّ</w:t>
      </w:r>
      <w:r w:rsidR="00FD3569" w:rsidRPr="00904FCB">
        <w:rPr>
          <w:rFonts w:hint="cs"/>
          <w:rtl/>
        </w:rPr>
        <w:t>َ</w:t>
      </w:r>
      <w:r w:rsidRPr="00904FCB">
        <w:rPr>
          <w:rFonts w:hint="cs"/>
          <w:rtl/>
        </w:rPr>
        <w:t>ص في الإخراج بعد نهي</w:t>
      </w:r>
      <w:r w:rsidR="00FD3569" w:rsidRPr="00904FCB">
        <w:rPr>
          <w:rFonts w:hint="cs"/>
          <w:rtl/>
        </w:rPr>
        <w:t>ٍ</w:t>
      </w:r>
      <w:r w:rsidRPr="00904FCB">
        <w:rPr>
          <w:rFonts w:hint="cs"/>
          <w:rtl/>
        </w:rPr>
        <w:t xml:space="preserve"> كثير صدر منه ومن آبائه</w:t>
      </w:r>
      <w:r w:rsidR="00510A75" w:rsidRPr="00904FCB">
        <w:rPr>
          <w:rFonts w:ascii="Mosawi" w:hAnsi="Mosawi" w:cs="Mosawi"/>
          <w:rtl/>
        </w:rPr>
        <w:t>^</w:t>
      </w:r>
      <w:r w:rsidRPr="00904FCB">
        <w:rPr>
          <w:rFonts w:hint="cs"/>
          <w:rtl/>
        </w:rPr>
        <w:t xml:space="preserve"> عن الإخراج. </w:t>
      </w:r>
    </w:p>
    <w:p w:rsidR="005B6CEC" w:rsidRPr="00904FCB" w:rsidRDefault="005B6CEC" w:rsidP="00510A75">
      <w:pPr>
        <w:spacing w:line="400" w:lineRule="exact"/>
        <w:rPr>
          <w:rtl/>
        </w:rPr>
      </w:pPr>
      <w:r w:rsidRPr="00904FCB">
        <w:rPr>
          <w:rFonts w:hint="cs"/>
          <w:rtl/>
        </w:rPr>
        <w:t>أقول: وهذا الخبر يرشدنا إلى محمل</w:t>
      </w:r>
      <w:r w:rsidR="00FD3569" w:rsidRPr="00904FCB">
        <w:rPr>
          <w:rFonts w:hint="cs"/>
          <w:rtl/>
        </w:rPr>
        <w:t>ٍ</w:t>
      </w:r>
      <w:r w:rsidRPr="00904FCB">
        <w:rPr>
          <w:rFonts w:hint="cs"/>
          <w:rtl/>
        </w:rPr>
        <w:t xml:space="preserve"> آخر لصحيحة معاوية بن عمار </w:t>
      </w:r>
      <w:r w:rsidR="00FD3569" w:rsidRPr="00904FCB">
        <w:rPr>
          <w:rFonts w:hint="cs"/>
          <w:rtl/>
        </w:rPr>
        <w:t>السابقة</w:t>
      </w:r>
      <w:r w:rsidRPr="00904FCB">
        <w:rPr>
          <w:rFonts w:hint="cs"/>
          <w:rtl/>
        </w:rPr>
        <w:t>: «قلت</w:t>
      </w:r>
      <w:r w:rsidR="00FD3569" w:rsidRPr="00904FCB">
        <w:rPr>
          <w:rFonts w:hint="cs"/>
          <w:rtl/>
        </w:rPr>
        <w:t>ُ</w:t>
      </w:r>
      <w:r w:rsidRPr="00904FCB">
        <w:rPr>
          <w:rFonts w:hint="cs"/>
          <w:rtl/>
        </w:rPr>
        <w:t xml:space="preserve"> له</w:t>
      </w:r>
      <w:r w:rsidR="00FD3569" w:rsidRPr="00904FCB">
        <w:rPr>
          <w:rFonts w:hint="cs"/>
          <w:rtl/>
        </w:rPr>
        <w:t>:</w:t>
      </w:r>
      <w:r w:rsidRPr="00904FCB">
        <w:rPr>
          <w:rFonts w:hint="cs"/>
          <w:rtl/>
        </w:rPr>
        <w:t xml:space="preserve"> إن</w:t>
      </w:r>
      <w:r w:rsidR="00FD3569" w:rsidRPr="00904FCB">
        <w:rPr>
          <w:rFonts w:hint="cs"/>
          <w:rtl/>
        </w:rPr>
        <w:t>ّ</w:t>
      </w:r>
      <w:r w:rsidRPr="00904FCB">
        <w:rPr>
          <w:rFonts w:hint="cs"/>
          <w:rtl/>
        </w:rPr>
        <w:t xml:space="preserve"> أهل مكة أنكروا عليك أنك ذبحت هديك في منزلك بمك</w:t>
      </w:r>
      <w:r w:rsidR="00FD3569" w:rsidRPr="00904FCB">
        <w:rPr>
          <w:rFonts w:hint="cs"/>
          <w:rtl/>
        </w:rPr>
        <w:t>ّ</w:t>
      </w:r>
      <w:r w:rsidRPr="00904FCB">
        <w:rPr>
          <w:rFonts w:hint="cs"/>
          <w:rtl/>
        </w:rPr>
        <w:t>ة»</w:t>
      </w:r>
      <w:r w:rsidRPr="00904FCB">
        <w:rPr>
          <w:rFonts w:hint="cs"/>
          <w:vertAlign w:val="superscript"/>
          <w:rtl/>
        </w:rPr>
        <w:t>(</w:t>
      </w:r>
      <w:r w:rsidRPr="00904FCB">
        <w:rPr>
          <w:rStyle w:val="ac"/>
          <w:sz w:val="27"/>
          <w:rtl/>
        </w:rPr>
        <w:endnoteReference w:id="460"/>
      </w:r>
      <w:r w:rsidRPr="00904FCB">
        <w:rPr>
          <w:rFonts w:hint="cs"/>
          <w:vertAlign w:val="superscript"/>
          <w:rtl/>
        </w:rPr>
        <w:t>)</w:t>
      </w:r>
      <w:r w:rsidR="00FD3569" w:rsidRPr="00904FCB">
        <w:rPr>
          <w:rFonts w:hint="cs"/>
          <w:rtl/>
        </w:rPr>
        <w:t>،</w:t>
      </w:r>
      <w:r w:rsidRPr="00904FCB">
        <w:rPr>
          <w:rFonts w:hint="cs"/>
          <w:rtl/>
        </w:rPr>
        <w:t xml:space="preserve"> وهو أن أهل مكة أنكروا عليه لأنّه ذبح بمكة في منزله</w:t>
      </w:r>
      <w:r w:rsidR="00FD3569" w:rsidRPr="00904FCB">
        <w:rPr>
          <w:rFonts w:hint="cs"/>
          <w:rtl/>
        </w:rPr>
        <w:t>،</w:t>
      </w:r>
      <w:r w:rsidRPr="00904FCB">
        <w:rPr>
          <w:rFonts w:hint="cs"/>
          <w:rtl/>
        </w:rPr>
        <w:t xml:space="preserve"> فلذا لم يستطيعوا أن يأكلوا ويدّ</w:t>
      </w:r>
      <w:r w:rsidR="00FD3569" w:rsidRPr="00904FCB">
        <w:rPr>
          <w:rFonts w:hint="cs"/>
          <w:rtl/>
        </w:rPr>
        <w:t>َ</w:t>
      </w:r>
      <w:r w:rsidRPr="00904FCB">
        <w:rPr>
          <w:rFonts w:hint="cs"/>
          <w:rtl/>
        </w:rPr>
        <w:t>خروا</w:t>
      </w:r>
      <w:r w:rsidR="00FD3569" w:rsidRPr="00904FCB">
        <w:rPr>
          <w:rFonts w:hint="cs"/>
          <w:rtl/>
        </w:rPr>
        <w:t>،</w:t>
      </w:r>
      <w:r w:rsidRPr="00904FCB">
        <w:rPr>
          <w:rFonts w:hint="cs"/>
          <w:rtl/>
        </w:rPr>
        <w:t xml:space="preserve"> فأنكروا عليه ترك الإنفاق، والإمام</w:t>
      </w:r>
      <w:r w:rsidR="001C1A2A" w:rsidRPr="00904FCB">
        <w:rPr>
          <w:rFonts w:cs="Mosawi" w:hint="cs"/>
          <w:szCs w:val="22"/>
          <w:rtl/>
        </w:rPr>
        <w:t>×</w:t>
      </w:r>
      <w:r w:rsidRPr="00904FCB">
        <w:rPr>
          <w:rFonts w:hint="cs"/>
          <w:rtl/>
        </w:rPr>
        <w:t xml:space="preserve"> يجيب بأنّه كان يلزم علينا الذبح في منى عندما كان الاحتياج كثيراً</w:t>
      </w:r>
      <w:r w:rsidR="00FD3569" w:rsidRPr="00904FCB">
        <w:rPr>
          <w:rFonts w:hint="cs"/>
          <w:rtl/>
        </w:rPr>
        <w:t>،</w:t>
      </w:r>
      <w:r w:rsidRPr="00904FCB">
        <w:rPr>
          <w:rFonts w:hint="cs"/>
          <w:rtl/>
        </w:rPr>
        <w:t xml:space="preserve"> واللحم قليلاً</w:t>
      </w:r>
      <w:r w:rsidR="00FD3569" w:rsidRPr="00904FCB">
        <w:rPr>
          <w:rFonts w:hint="cs"/>
          <w:rtl/>
        </w:rPr>
        <w:t>،</w:t>
      </w:r>
      <w:r w:rsidRPr="00904FCB">
        <w:rPr>
          <w:rFonts w:hint="cs"/>
          <w:rtl/>
        </w:rPr>
        <w:t xml:space="preserve"> وأمّا اليوم فلا يلزم أن ننحر في منى</w:t>
      </w:r>
      <w:r w:rsidR="00FD3569" w:rsidRPr="00904FCB">
        <w:rPr>
          <w:rFonts w:hint="cs"/>
          <w:rtl/>
        </w:rPr>
        <w:t>؛</w:t>
      </w:r>
      <w:r w:rsidRPr="00904FCB">
        <w:rPr>
          <w:rFonts w:hint="cs"/>
          <w:rtl/>
        </w:rPr>
        <w:t xml:space="preserve"> لكثرة الأضاحي وقلّة الناس</w:t>
      </w:r>
      <w:r w:rsidR="00FD3569" w:rsidRPr="00904FCB">
        <w:rPr>
          <w:rFonts w:hint="cs"/>
          <w:rtl/>
        </w:rPr>
        <w:t>.</w:t>
      </w:r>
      <w:r w:rsidRPr="00904FCB">
        <w:rPr>
          <w:rFonts w:hint="cs"/>
          <w:rtl/>
        </w:rPr>
        <w:t xml:space="preserve"> ومن ناحية</w:t>
      </w:r>
      <w:r w:rsidR="00FD3569" w:rsidRPr="00904FCB">
        <w:rPr>
          <w:rFonts w:hint="cs"/>
          <w:rtl/>
        </w:rPr>
        <w:t>ٍ</w:t>
      </w:r>
      <w:r w:rsidRPr="00904FCB">
        <w:rPr>
          <w:rFonts w:hint="cs"/>
          <w:rtl/>
        </w:rPr>
        <w:t xml:space="preserve"> أخرى كانت مكّة منحر</w:t>
      </w:r>
      <w:r w:rsidR="00FD3569" w:rsidRPr="00904FCB">
        <w:rPr>
          <w:rFonts w:hint="cs"/>
          <w:rtl/>
        </w:rPr>
        <w:t>اً،</w:t>
      </w:r>
      <w:r w:rsidRPr="00904FCB">
        <w:rPr>
          <w:rFonts w:hint="cs"/>
          <w:rtl/>
        </w:rPr>
        <w:t xml:space="preserve"> فلا يبقى وجه لعدم جواز الذبح في غير منى</w:t>
      </w:r>
      <w:r w:rsidR="00FD3569" w:rsidRPr="00904FCB">
        <w:rPr>
          <w:rFonts w:hint="cs"/>
          <w:rtl/>
        </w:rPr>
        <w:t>،</w:t>
      </w:r>
      <w:r w:rsidRPr="00904FCB">
        <w:rPr>
          <w:rFonts w:hint="cs"/>
          <w:rtl/>
        </w:rPr>
        <w:t xml:space="preserve"> ولا يبقى وجه</w:t>
      </w:r>
      <w:r w:rsidR="00FD3569" w:rsidRPr="00904FCB">
        <w:rPr>
          <w:rFonts w:hint="cs"/>
          <w:rtl/>
        </w:rPr>
        <w:t>ٌ</w:t>
      </w:r>
      <w:r w:rsidRPr="00904FCB">
        <w:rPr>
          <w:rFonts w:hint="cs"/>
          <w:rtl/>
        </w:rPr>
        <w:t xml:space="preserve"> لإنكار أهل مكّة. هذا ما يقتضيه الجمع بين الخبرين</w:t>
      </w:r>
      <w:r w:rsidR="00FD3569" w:rsidRPr="00904FCB">
        <w:rPr>
          <w:rFonts w:hint="cs"/>
          <w:rtl/>
        </w:rPr>
        <w:t>،</w:t>
      </w:r>
      <w:r w:rsidRPr="00904FCB">
        <w:rPr>
          <w:rFonts w:hint="cs"/>
          <w:rtl/>
        </w:rPr>
        <w:t xml:space="preserve"> فالروايات الواردة بوجوب الذبح في منى (لو ثبت</w:t>
      </w:r>
      <w:r w:rsidR="00FD3569" w:rsidRPr="00904FCB">
        <w:rPr>
          <w:rFonts w:hint="cs"/>
          <w:rtl/>
        </w:rPr>
        <w:t>ت</w:t>
      </w:r>
      <w:r w:rsidRPr="00904FCB">
        <w:rPr>
          <w:rFonts w:hint="cs"/>
          <w:rtl/>
        </w:rPr>
        <w:t>) صحيح</w:t>
      </w:r>
      <w:r w:rsidR="00FD3569" w:rsidRPr="00904FCB">
        <w:rPr>
          <w:rFonts w:hint="cs"/>
          <w:rtl/>
        </w:rPr>
        <w:t>ة</w:t>
      </w:r>
      <w:r w:rsidRPr="00904FCB">
        <w:rPr>
          <w:rFonts w:hint="cs"/>
          <w:rtl/>
        </w:rPr>
        <w:t xml:space="preserve"> في مورده</w:t>
      </w:r>
      <w:r w:rsidR="00FD3569" w:rsidRPr="00904FCB">
        <w:rPr>
          <w:rFonts w:hint="cs"/>
          <w:rtl/>
        </w:rPr>
        <w:t>ا</w:t>
      </w:r>
      <w:r w:rsidRPr="00904FCB">
        <w:rPr>
          <w:rFonts w:hint="cs"/>
          <w:rtl/>
        </w:rPr>
        <w:t xml:space="preserve"> والروايات المجوّزة أيضاً صحيحة</w:t>
      </w:r>
      <w:r w:rsidR="00FD3569" w:rsidRPr="00904FCB">
        <w:rPr>
          <w:rFonts w:hint="cs"/>
          <w:rtl/>
        </w:rPr>
        <w:t>،</w:t>
      </w:r>
      <w:r w:rsidRPr="00904FCB">
        <w:rPr>
          <w:rFonts w:hint="cs"/>
          <w:rtl/>
        </w:rPr>
        <w:t xml:space="preserve"> و</w:t>
      </w:r>
      <w:r w:rsidR="00FD3569" w:rsidRPr="00904FCB">
        <w:rPr>
          <w:rFonts w:hint="cs"/>
          <w:rtl/>
        </w:rPr>
        <w:t>ت</w:t>
      </w:r>
      <w:r w:rsidRPr="00904FCB">
        <w:rPr>
          <w:rFonts w:hint="cs"/>
          <w:rtl/>
        </w:rPr>
        <w:t>حمل على كثرة الأضاحي في منى</w:t>
      </w:r>
      <w:r w:rsidR="00FD3569" w:rsidRPr="00904FCB">
        <w:rPr>
          <w:rFonts w:hint="cs"/>
          <w:rtl/>
        </w:rPr>
        <w:t>،</w:t>
      </w:r>
      <w:r w:rsidRPr="00904FCB">
        <w:rPr>
          <w:rFonts w:hint="cs"/>
          <w:rtl/>
        </w:rPr>
        <w:t xml:space="preserve"> فلا يبقى وجه</w:t>
      </w:r>
      <w:r w:rsidR="00FD3569" w:rsidRPr="00904FCB">
        <w:rPr>
          <w:rFonts w:hint="cs"/>
          <w:rtl/>
        </w:rPr>
        <w:t>ٌ</w:t>
      </w:r>
      <w:r w:rsidRPr="00904FCB">
        <w:rPr>
          <w:rFonts w:hint="cs"/>
          <w:rtl/>
        </w:rPr>
        <w:t xml:space="preserve"> لحمل الشيخ</w:t>
      </w:r>
      <w:r w:rsidR="00510A75" w:rsidRPr="00756F2A">
        <w:rPr>
          <w:rFonts w:ascii="Mosawi" w:hAnsi="Mosawi" w:cs="Mosawi"/>
          <w:sz w:val="22"/>
          <w:szCs w:val="22"/>
          <w:rtl/>
        </w:rPr>
        <w:t>&amp;</w:t>
      </w:r>
      <w:r w:rsidR="00FD3569" w:rsidRPr="00904FCB">
        <w:rPr>
          <w:rFonts w:hint="cs"/>
          <w:rtl/>
        </w:rPr>
        <w:t>،</w:t>
      </w:r>
      <w:r w:rsidRPr="00904FCB">
        <w:rPr>
          <w:rFonts w:hint="cs"/>
          <w:rtl/>
        </w:rPr>
        <w:t xml:space="preserve"> الذي حمل خبر الجواز على الهدي تطو</w:t>
      </w:r>
      <w:r w:rsidR="00FD3569" w:rsidRPr="00904FCB">
        <w:rPr>
          <w:rFonts w:hint="cs"/>
          <w:rtl/>
        </w:rPr>
        <w:t>ّ</w:t>
      </w:r>
      <w:r w:rsidRPr="00904FCB">
        <w:rPr>
          <w:rFonts w:hint="cs"/>
          <w:rtl/>
        </w:rPr>
        <w:t>عاً</w:t>
      </w:r>
      <w:r w:rsidR="00FD3569" w:rsidRPr="00904FCB">
        <w:rPr>
          <w:rFonts w:hint="cs"/>
          <w:rtl/>
        </w:rPr>
        <w:t>،</w:t>
      </w:r>
      <w:r w:rsidRPr="00904FCB">
        <w:rPr>
          <w:rFonts w:hint="cs"/>
          <w:rtl/>
        </w:rPr>
        <w:t xml:space="preserve"> كما مرّ</w:t>
      </w:r>
      <w:r w:rsidRPr="00904FCB">
        <w:rPr>
          <w:rFonts w:hint="cs"/>
          <w:vertAlign w:val="superscript"/>
          <w:rtl/>
        </w:rPr>
        <w:t>(</w:t>
      </w:r>
      <w:r w:rsidRPr="00904FCB">
        <w:rPr>
          <w:rStyle w:val="ac"/>
          <w:sz w:val="27"/>
          <w:rtl/>
        </w:rPr>
        <w:endnoteReference w:id="461"/>
      </w:r>
      <w:r w:rsidRPr="00904FCB">
        <w:rPr>
          <w:rFonts w:hint="cs"/>
          <w:vertAlign w:val="superscript"/>
          <w:rtl/>
        </w:rPr>
        <w:t>)</w:t>
      </w:r>
      <w:r w:rsidRPr="00904FCB">
        <w:rPr>
          <w:rFonts w:hint="cs"/>
          <w:rtl/>
        </w:rPr>
        <w:t xml:space="preserve">. </w:t>
      </w:r>
    </w:p>
    <w:p w:rsidR="005B6CEC" w:rsidRPr="00904FCB" w:rsidRDefault="005B6CEC" w:rsidP="00DC63B9">
      <w:pPr>
        <w:spacing w:line="400" w:lineRule="exact"/>
        <w:rPr>
          <w:rtl/>
        </w:rPr>
      </w:pPr>
      <w:r w:rsidRPr="00A2543E">
        <w:rPr>
          <w:rFonts w:hint="cs"/>
          <w:b/>
          <w:bCs/>
          <w:rtl/>
        </w:rPr>
        <w:t>2ـ</w:t>
      </w:r>
      <w:r w:rsidRPr="00904FCB">
        <w:rPr>
          <w:rFonts w:hint="cs"/>
          <w:b/>
          <w:bCs/>
          <w:rtl/>
        </w:rPr>
        <w:t xml:space="preserve"> صحيحة حنان بن س</w:t>
      </w:r>
      <w:r w:rsidR="00CC71ED" w:rsidRPr="00904FCB">
        <w:rPr>
          <w:rFonts w:hint="cs"/>
          <w:b/>
          <w:bCs/>
          <w:rtl/>
        </w:rPr>
        <w:t>د</w:t>
      </w:r>
      <w:r w:rsidRPr="00904FCB">
        <w:rPr>
          <w:rFonts w:hint="cs"/>
          <w:b/>
          <w:bCs/>
          <w:rtl/>
        </w:rPr>
        <w:t>ير</w:t>
      </w:r>
      <w:r w:rsidR="00CC71ED" w:rsidRPr="00904FCB">
        <w:rPr>
          <w:rFonts w:hint="cs"/>
          <w:rtl/>
        </w:rPr>
        <w:t>،</w:t>
      </w:r>
      <w:r w:rsidRPr="00904FCB">
        <w:rPr>
          <w:rFonts w:hint="cs"/>
          <w:rtl/>
        </w:rPr>
        <w:t xml:space="preserve"> عن أبي جعفر</w:t>
      </w:r>
      <w:r w:rsidR="001C1A2A" w:rsidRPr="00904FCB">
        <w:rPr>
          <w:rFonts w:cs="Mosawi" w:hint="cs"/>
          <w:szCs w:val="22"/>
          <w:rtl/>
        </w:rPr>
        <w:t>×</w:t>
      </w:r>
      <w:r w:rsidR="00DC63B9">
        <w:rPr>
          <w:rFonts w:hint="cs"/>
          <w:rtl/>
        </w:rPr>
        <w:t>؛</w:t>
      </w:r>
      <w:r w:rsidRPr="00904FCB">
        <w:rPr>
          <w:rFonts w:hint="cs"/>
          <w:rtl/>
        </w:rPr>
        <w:t xml:space="preserve"> وعن محمد بن الفضيل</w:t>
      </w:r>
      <w:r w:rsidR="00CC71ED" w:rsidRPr="00904FCB">
        <w:rPr>
          <w:rFonts w:hint="cs"/>
          <w:rtl/>
        </w:rPr>
        <w:t>،</w:t>
      </w:r>
      <w:r w:rsidRPr="00904FCB">
        <w:rPr>
          <w:rFonts w:hint="cs"/>
          <w:rtl/>
        </w:rPr>
        <w:t xml:space="preserve"> عن أبي الصباح</w:t>
      </w:r>
      <w:r w:rsidR="00CC71ED" w:rsidRPr="00904FCB">
        <w:rPr>
          <w:rFonts w:hint="cs"/>
          <w:rtl/>
        </w:rPr>
        <w:t>،</w:t>
      </w:r>
      <w:r w:rsidRPr="00904FCB">
        <w:rPr>
          <w:rFonts w:hint="cs"/>
          <w:rtl/>
        </w:rPr>
        <w:t xml:space="preserve"> عن أبي عبد الله</w:t>
      </w:r>
      <w:r w:rsidR="001C1A2A" w:rsidRPr="00904FCB">
        <w:rPr>
          <w:rFonts w:cs="Mosawi" w:hint="cs"/>
          <w:szCs w:val="22"/>
          <w:rtl/>
        </w:rPr>
        <w:t>×</w:t>
      </w:r>
      <w:r w:rsidR="00CC71ED" w:rsidRPr="00904FCB">
        <w:rPr>
          <w:rFonts w:hint="cs"/>
          <w:rtl/>
        </w:rPr>
        <w:t>،</w:t>
      </w:r>
      <w:r w:rsidRPr="00904FCB">
        <w:rPr>
          <w:rFonts w:hint="cs"/>
          <w:rtl/>
        </w:rPr>
        <w:t xml:space="preserve"> قالا: نهانا رسول الله</w:t>
      </w:r>
      <w:r w:rsidR="00635E51" w:rsidRPr="00904FCB">
        <w:rPr>
          <w:rFonts w:cs="Mosawi" w:hint="cs"/>
          <w:szCs w:val="22"/>
          <w:rtl/>
        </w:rPr>
        <w:t>|</w:t>
      </w:r>
      <w:r w:rsidRPr="00904FCB">
        <w:rPr>
          <w:rFonts w:hint="cs"/>
          <w:rtl/>
        </w:rPr>
        <w:t xml:space="preserve"> عن لحوم الأضاحي بعد ثلاث</w:t>
      </w:r>
      <w:r w:rsidR="00CC71ED" w:rsidRPr="00904FCB">
        <w:rPr>
          <w:rFonts w:hint="cs"/>
          <w:rtl/>
        </w:rPr>
        <w:t>،</w:t>
      </w:r>
      <w:r w:rsidRPr="00904FCB">
        <w:rPr>
          <w:rFonts w:hint="cs"/>
          <w:rtl/>
        </w:rPr>
        <w:t xml:space="preserve"> ثم</w:t>
      </w:r>
      <w:r w:rsidR="00CC71ED" w:rsidRPr="00904FCB">
        <w:rPr>
          <w:rFonts w:hint="cs"/>
          <w:rtl/>
        </w:rPr>
        <w:t>ّ</w:t>
      </w:r>
      <w:r w:rsidRPr="00904FCB">
        <w:rPr>
          <w:rFonts w:hint="cs"/>
          <w:rtl/>
        </w:rPr>
        <w:t xml:space="preserve"> أذن فيها</w:t>
      </w:r>
      <w:r w:rsidR="00CC71ED" w:rsidRPr="00904FCB">
        <w:rPr>
          <w:rFonts w:hint="cs"/>
          <w:rtl/>
        </w:rPr>
        <w:t>،</w:t>
      </w:r>
      <w:r w:rsidRPr="00904FCB">
        <w:rPr>
          <w:rFonts w:hint="cs"/>
          <w:rtl/>
        </w:rPr>
        <w:t xml:space="preserve"> وقال: كلوا من لحوم الأضاحي بعد ثلاث</w:t>
      </w:r>
      <w:r w:rsidR="00CC71ED" w:rsidRPr="00904FCB">
        <w:rPr>
          <w:rFonts w:hint="cs"/>
          <w:rtl/>
        </w:rPr>
        <w:t>ٍ،</w:t>
      </w:r>
      <w:r w:rsidRPr="00904FCB">
        <w:rPr>
          <w:rFonts w:hint="cs"/>
          <w:rtl/>
        </w:rPr>
        <w:t xml:space="preserve"> وادّ</w:t>
      </w:r>
      <w:r w:rsidR="00CC71ED" w:rsidRPr="00904FCB">
        <w:rPr>
          <w:rFonts w:hint="cs"/>
          <w:rtl/>
        </w:rPr>
        <w:t>َ</w:t>
      </w:r>
      <w:r w:rsidRPr="00904FCB">
        <w:rPr>
          <w:rFonts w:hint="cs"/>
          <w:rtl/>
        </w:rPr>
        <w:t>خروا</w:t>
      </w:r>
      <w:r w:rsidRPr="00904FCB">
        <w:rPr>
          <w:rFonts w:hint="cs"/>
          <w:vertAlign w:val="superscript"/>
          <w:rtl/>
        </w:rPr>
        <w:t>(</w:t>
      </w:r>
      <w:r w:rsidRPr="00904FCB">
        <w:rPr>
          <w:rStyle w:val="ac"/>
          <w:sz w:val="27"/>
          <w:rtl/>
        </w:rPr>
        <w:endnoteReference w:id="462"/>
      </w:r>
      <w:r w:rsidRPr="00904FCB">
        <w:rPr>
          <w:rFonts w:hint="cs"/>
          <w:vertAlign w:val="superscript"/>
          <w:rtl/>
        </w:rPr>
        <w:t>)</w:t>
      </w:r>
      <w:r w:rsidRPr="00904FCB">
        <w:rPr>
          <w:rFonts w:hint="cs"/>
          <w:rtl/>
        </w:rPr>
        <w:t xml:space="preserve">. </w:t>
      </w:r>
    </w:p>
    <w:p w:rsidR="005B6CEC" w:rsidRPr="00904FCB" w:rsidRDefault="005B6CEC" w:rsidP="00510A75">
      <w:pPr>
        <w:spacing w:line="400" w:lineRule="exact"/>
        <w:rPr>
          <w:rtl/>
        </w:rPr>
      </w:pPr>
      <w:r w:rsidRPr="00904FCB">
        <w:rPr>
          <w:rFonts w:hint="cs"/>
          <w:rtl/>
        </w:rPr>
        <w:t xml:space="preserve">أقول: بهذا المضمون يوجد سبعة أخبار مذكورة في باب جواز </w:t>
      </w:r>
      <w:r w:rsidR="00CC71ED" w:rsidRPr="00904FCB">
        <w:rPr>
          <w:rFonts w:hint="cs"/>
          <w:rtl/>
        </w:rPr>
        <w:t>أ</w:t>
      </w:r>
      <w:r w:rsidRPr="00904FCB">
        <w:rPr>
          <w:rFonts w:hint="cs"/>
          <w:rtl/>
        </w:rPr>
        <w:t xml:space="preserve">كل لحوم </w:t>
      </w:r>
      <w:r w:rsidRPr="00904FCB">
        <w:rPr>
          <w:rFonts w:hint="cs"/>
          <w:rtl/>
        </w:rPr>
        <w:lastRenderedPageBreak/>
        <w:t>الأضاحي بعد ثلاثة أيام واد</w:t>
      </w:r>
      <w:r w:rsidR="00CC71ED" w:rsidRPr="00904FCB">
        <w:rPr>
          <w:rFonts w:hint="cs"/>
          <w:rtl/>
        </w:rPr>
        <w:t>ّ</w:t>
      </w:r>
      <w:r w:rsidRPr="00904FCB">
        <w:rPr>
          <w:rFonts w:hint="cs"/>
          <w:rtl/>
        </w:rPr>
        <w:t>خارها</w:t>
      </w:r>
      <w:r w:rsidRPr="00904FCB">
        <w:rPr>
          <w:rFonts w:hint="cs"/>
          <w:vertAlign w:val="superscript"/>
          <w:rtl/>
        </w:rPr>
        <w:t>(</w:t>
      </w:r>
      <w:r w:rsidRPr="00904FCB">
        <w:rPr>
          <w:rStyle w:val="ac"/>
          <w:sz w:val="27"/>
          <w:rtl/>
        </w:rPr>
        <w:endnoteReference w:id="463"/>
      </w:r>
      <w:r w:rsidRPr="00904FCB">
        <w:rPr>
          <w:rFonts w:hint="cs"/>
          <w:vertAlign w:val="superscript"/>
          <w:rtl/>
        </w:rPr>
        <w:t>)</w:t>
      </w:r>
      <w:r w:rsidR="00CC71ED" w:rsidRPr="00904FCB">
        <w:rPr>
          <w:rFonts w:hint="cs"/>
          <w:rtl/>
        </w:rPr>
        <w:t>.</w:t>
      </w:r>
      <w:r w:rsidRPr="00904FCB">
        <w:rPr>
          <w:rFonts w:hint="cs"/>
          <w:rtl/>
        </w:rPr>
        <w:t xml:space="preserve"> وبهذا المضمون الأخبار الواردة الناهية عن إخراج اللحوم من منى</w:t>
      </w:r>
      <w:r w:rsidR="00CC71ED" w:rsidRPr="00904FCB">
        <w:rPr>
          <w:rFonts w:hint="cs"/>
          <w:rtl/>
        </w:rPr>
        <w:t>،</w:t>
      </w:r>
      <w:r w:rsidRPr="00904FCB">
        <w:rPr>
          <w:rFonts w:hint="cs"/>
          <w:rtl/>
        </w:rPr>
        <w:t xml:space="preserve"> والناهية عن إعطاء الجز</w:t>
      </w:r>
      <w:r w:rsidR="00CC71ED" w:rsidRPr="00904FCB">
        <w:rPr>
          <w:rFonts w:hint="cs"/>
          <w:rtl/>
        </w:rPr>
        <w:t>ّ</w:t>
      </w:r>
      <w:r w:rsidRPr="00904FCB">
        <w:rPr>
          <w:rFonts w:hint="cs"/>
          <w:rtl/>
        </w:rPr>
        <w:t>ارين شيئاً</w:t>
      </w:r>
      <w:r w:rsidRPr="00904FCB">
        <w:rPr>
          <w:rFonts w:hint="cs"/>
          <w:vertAlign w:val="superscript"/>
          <w:rtl/>
        </w:rPr>
        <w:t>(</w:t>
      </w:r>
      <w:r w:rsidRPr="00904FCB">
        <w:rPr>
          <w:rStyle w:val="ac"/>
          <w:sz w:val="27"/>
          <w:rtl/>
        </w:rPr>
        <w:endnoteReference w:id="464"/>
      </w:r>
      <w:r w:rsidRPr="00904FCB">
        <w:rPr>
          <w:rFonts w:hint="cs"/>
          <w:vertAlign w:val="superscript"/>
          <w:rtl/>
        </w:rPr>
        <w:t>)</w:t>
      </w:r>
      <w:r w:rsidR="00CC71ED" w:rsidRPr="00904FCB">
        <w:rPr>
          <w:rFonts w:hint="cs"/>
          <w:rtl/>
        </w:rPr>
        <w:t>،</w:t>
      </w:r>
      <w:r w:rsidRPr="00904FCB">
        <w:rPr>
          <w:rFonts w:hint="cs"/>
          <w:rtl/>
        </w:rPr>
        <w:t xml:space="preserve"> وإجازتهم</w:t>
      </w:r>
      <w:r w:rsidR="00510A75" w:rsidRPr="00904FCB">
        <w:rPr>
          <w:rFonts w:ascii="Mosawi" w:hAnsi="Mosawi" w:cs="Mosawi"/>
          <w:rtl/>
        </w:rPr>
        <w:t>^</w:t>
      </w:r>
      <w:r w:rsidRPr="00904FCB">
        <w:rPr>
          <w:rFonts w:hint="cs"/>
          <w:rtl/>
        </w:rPr>
        <w:t xml:space="preserve"> في بعض الأخبار الأخر</w:t>
      </w:r>
      <w:r w:rsidR="00CC71ED" w:rsidRPr="00904FCB">
        <w:rPr>
          <w:rFonts w:hint="cs"/>
          <w:rtl/>
        </w:rPr>
        <w:t>،</w:t>
      </w:r>
      <w:r w:rsidRPr="00904FCB">
        <w:rPr>
          <w:rFonts w:hint="cs"/>
          <w:rtl/>
        </w:rPr>
        <w:t xml:space="preserve"> الدال</w:t>
      </w:r>
      <w:r w:rsidR="00CC71ED" w:rsidRPr="00904FCB">
        <w:rPr>
          <w:rFonts w:hint="cs"/>
          <w:rtl/>
        </w:rPr>
        <w:t>ّ</w:t>
      </w:r>
      <w:r w:rsidRPr="00904FCB">
        <w:rPr>
          <w:rFonts w:hint="cs"/>
          <w:rtl/>
        </w:rPr>
        <w:t>ة على موسمي</w:t>
      </w:r>
      <w:r w:rsidR="00CC71ED" w:rsidRPr="00904FCB">
        <w:rPr>
          <w:rFonts w:hint="cs"/>
          <w:rtl/>
        </w:rPr>
        <w:t>ّ</w:t>
      </w:r>
      <w:r w:rsidRPr="00904FCB">
        <w:rPr>
          <w:rFonts w:hint="cs"/>
          <w:rtl/>
        </w:rPr>
        <w:t xml:space="preserve">ة الحكم. </w:t>
      </w:r>
    </w:p>
    <w:p w:rsidR="005B6CEC" w:rsidRPr="00904FCB" w:rsidRDefault="005B6CEC" w:rsidP="00510A75">
      <w:pPr>
        <w:spacing w:line="400" w:lineRule="exact"/>
        <w:rPr>
          <w:rtl/>
        </w:rPr>
      </w:pPr>
      <w:r w:rsidRPr="00904FCB">
        <w:rPr>
          <w:rFonts w:hint="cs"/>
          <w:rtl/>
        </w:rPr>
        <w:t>فنحن نقول</w:t>
      </w:r>
      <w:r w:rsidR="00CC71ED" w:rsidRPr="00904FCB">
        <w:rPr>
          <w:rFonts w:hint="cs"/>
          <w:rtl/>
        </w:rPr>
        <w:t>:</w:t>
      </w:r>
      <w:r w:rsidRPr="00904FCB">
        <w:rPr>
          <w:rFonts w:hint="cs"/>
          <w:rtl/>
        </w:rPr>
        <w:t xml:space="preserve"> وقوع الذبح في منى أيضاً كان حكماً موسمياً مرتبطاً بالصدر الأوّل وزمن الأئم</w:t>
      </w:r>
      <w:r w:rsidR="00CC71ED" w:rsidRPr="00904FCB">
        <w:rPr>
          <w:rFonts w:hint="cs"/>
          <w:rtl/>
        </w:rPr>
        <w:t>ّ</w:t>
      </w:r>
      <w:r w:rsidRPr="00904FCB">
        <w:rPr>
          <w:rFonts w:hint="cs"/>
          <w:rtl/>
        </w:rPr>
        <w:t>ة</w:t>
      </w:r>
      <w:r w:rsidR="00510A75" w:rsidRPr="00904FCB">
        <w:rPr>
          <w:rFonts w:ascii="Mosawi" w:hAnsi="Mosawi" w:cs="Mosawi"/>
          <w:rtl/>
        </w:rPr>
        <w:t>^</w:t>
      </w:r>
      <w:r w:rsidRPr="00904FCB">
        <w:rPr>
          <w:rFonts w:hint="cs"/>
          <w:rtl/>
        </w:rPr>
        <w:t xml:space="preserve">. </w:t>
      </w:r>
    </w:p>
    <w:p w:rsidR="005B6CEC" w:rsidRPr="00904FCB" w:rsidRDefault="005B6CEC" w:rsidP="00510A75">
      <w:pPr>
        <w:spacing w:line="400" w:lineRule="exact"/>
        <w:rPr>
          <w:rtl/>
        </w:rPr>
      </w:pPr>
      <w:r w:rsidRPr="00904FCB">
        <w:rPr>
          <w:rFonts w:hint="cs"/>
          <w:rtl/>
        </w:rPr>
        <w:t>بيان ذلك: إن منى كانت منطقة وسيعة بالنسبة إلى الذين كانوا يحج</w:t>
      </w:r>
      <w:r w:rsidR="00CC71ED" w:rsidRPr="00904FCB">
        <w:rPr>
          <w:rFonts w:hint="cs"/>
          <w:rtl/>
        </w:rPr>
        <w:t>ّ</w:t>
      </w:r>
      <w:r w:rsidRPr="00904FCB">
        <w:rPr>
          <w:rFonts w:hint="cs"/>
          <w:rtl/>
        </w:rPr>
        <w:t>ون في الصدر الأوّل وعصور الأئمة</w:t>
      </w:r>
      <w:r w:rsidR="00510A75" w:rsidRPr="00904FCB">
        <w:rPr>
          <w:rFonts w:ascii="Mosawi" w:hAnsi="Mosawi" w:cs="Mosawi"/>
          <w:rtl/>
        </w:rPr>
        <w:t>^</w:t>
      </w:r>
      <w:r w:rsidR="00CC71ED" w:rsidRPr="00904FCB">
        <w:rPr>
          <w:rFonts w:hint="cs"/>
          <w:rtl/>
        </w:rPr>
        <w:t>؛</w:t>
      </w:r>
      <w:r w:rsidRPr="00904FCB">
        <w:rPr>
          <w:rFonts w:hint="cs"/>
          <w:rtl/>
        </w:rPr>
        <w:t xml:space="preserve"> إذ لم يتجاوز عدد الحاج</w:t>
      </w:r>
      <w:r w:rsidR="00CC71ED" w:rsidRPr="00904FCB">
        <w:rPr>
          <w:rFonts w:hint="cs"/>
          <w:rtl/>
        </w:rPr>
        <w:t>ّ</w:t>
      </w:r>
      <w:r w:rsidRPr="00904FCB">
        <w:rPr>
          <w:rFonts w:hint="cs"/>
          <w:rtl/>
        </w:rPr>
        <w:t xml:space="preserve"> عشرات </w:t>
      </w:r>
      <w:r w:rsidR="00CC71ED" w:rsidRPr="00904FCB">
        <w:rPr>
          <w:rFonts w:hint="cs"/>
          <w:rtl/>
        </w:rPr>
        <w:t>ال</w:t>
      </w:r>
      <w:r w:rsidRPr="00904FCB">
        <w:rPr>
          <w:rFonts w:hint="cs"/>
          <w:rtl/>
        </w:rPr>
        <w:t xml:space="preserve">آلاف. فالمكان كان يسعهم </w:t>
      </w:r>
      <w:r w:rsidR="00CC71ED" w:rsidRPr="00904FCB">
        <w:rPr>
          <w:rFonts w:hint="cs"/>
          <w:rtl/>
        </w:rPr>
        <w:t>لكي</w:t>
      </w:r>
      <w:r w:rsidRPr="00904FCB">
        <w:rPr>
          <w:rFonts w:hint="cs"/>
          <w:rtl/>
        </w:rPr>
        <w:t xml:space="preserve"> يسكنوا</w:t>
      </w:r>
      <w:r w:rsidR="00CC71ED" w:rsidRPr="00904FCB">
        <w:rPr>
          <w:rFonts w:hint="cs"/>
          <w:rtl/>
        </w:rPr>
        <w:t>،</w:t>
      </w:r>
      <w:r w:rsidRPr="00904FCB">
        <w:rPr>
          <w:rFonts w:hint="cs"/>
          <w:rtl/>
        </w:rPr>
        <w:t xml:space="preserve"> ويذبحوا</w:t>
      </w:r>
      <w:r w:rsidR="00CC71ED" w:rsidRPr="00904FCB">
        <w:rPr>
          <w:rFonts w:hint="cs"/>
          <w:rtl/>
        </w:rPr>
        <w:t>،</w:t>
      </w:r>
      <w:r w:rsidRPr="00904FCB">
        <w:rPr>
          <w:rFonts w:hint="cs"/>
          <w:rtl/>
        </w:rPr>
        <w:t xml:space="preserve"> ويشرقوا اللحوم للتجفيف</w:t>
      </w:r>
      <w:r w:rsidR="00CC71ED" w:rsidRPr="00904FCB">
        <w:rPr>
          <w:rFonts w:hint="cs"/>
          <w:rtl/>
        </w:rPr>
        <w:t>،</w:t>
      </w:r>
      <w:r w:rsidRPr="00904FCB">
        <w:rPr>
          <w:rFonts w:hint="cs"/>
          <w:rtl/>
        </w:rPr>
        <w:t xml:space="preserve"> ويأكلوا ويشربوا ويدّخروا</w:t>
      </w:r>
      <w:r w:rsidR="00CC71ED" w:rsidRPr="00904FCB">
        <w:rPr>
          <w:rFonts w:hint="cs"/>
          <w:rtl/>
        </w:rPr>
        <w:t>،</w:t>
      </w:r>
      <w:r w:rsidRPr="00904FCB">
        <w:rPr>
          <w:rFonts w:hint="cs"/>
          <w:rtl/>
        </w:rPr>
        <w:t xml:space="preserve"> كما هو مقتضى الروايات الكثيرة</w:t>
      </w:r>
      <w:r w:rsidR="00CC71ED" w:rsidRPr="00904FCB">
        <w:rPr>
          <w:rFonts w:hint="cs"/>
          <w:rtl/>
        </w:rPr>
        <w:t>،</w:t>
      </w:r>
      <w:r w:rsidRPr="00904FCB">
        <w:rPr>
          <w:rFonts w:hint="cs"/>
          <w:rtl/>
        </w:rPr>
        <w:t xml:space="preserve"> ومقتضى تسمية أيام التشريق</w:t>
      </w:r>
      <w:r w:rsidR="00CC71ED" w:rsidRPr="00904FCB">
        <w:rPr>
          <w:rFonts w:hint="cs"/>
          <w:rtl/>
        </w:rPr>
        <w:t>،</w:t>
      </w:r>
      <w:r w:rsidRPr="00904FCB">
        <w:rPr>
          <w:rFonts w:hint="cs"/>
          <w:rtl/>
        </w:rPr>
        <w:t xml:space="preserve"> ومقتضى النهي من الصوم أيّام التشريق بمنى</w:t>
      </w:r>
      <w:r w:rsidR="00CC71ED" w:rsidRPr="00904FCB">
        <w:rPr>
          <w:rFonts w:hint="cs"/>
          <w:rtl/>
        </w:rPr>
        <w:t>،</w:t>
      </w:r>
      <w:r w:rsidRPr="00904FCB">
        <w:rPr>
          <w:rFonts w:hint="cs"/>
          <w:rtl/>
        </w:rPr>
        <w:t xml:space="preserve"> كما في الأخبار الكثيرة المتفر</w:t>
      </w:r>
      <w:r w:rsidR="00CC71ED" w:rsidRPr="00904FCB">
        <w:rPr>
          <w:rFonts w:hint="cs"/>
          <w:rtl/>
        </w:rPr>
        <w:t>ِّ</w:t>
      </w:r>
      <w:r w:rsidRPr="00904FCB">
        <w:rPr>
          <w:rFonts w:hint="cs"/>
          <w:rtl/>
        </w:rPr>
        <w:t>قة في أبواب مختلفة</w:t>
      </w:r>
      <w:r w:rsidR="00CC71ED" w:rsidRPr="00904FCB">
        <w:rPr>
          <w:rFonts w:hint="cs"/>
          <w:rtl/>
        </w:rPr>
        <w:t>،</w:t>
      </w:r>
      <w:r w:rsidRPr="00904FCB">
        <w:rPr>
          <w:rFonts w:hint="cs"/>
          <w:rtl/>
        </w:rPr>
        <w:t xml:space="preserve"> كما سيأتي نماذج منها. </w:t>
      </w:r>
    </w:p>
    <w:p w:rsidR="005B6CEC" w:rsidRPr="00904FCB" w:rsidRDefault="005B6CEC" w:rsidP="00A856D8">
      <w:pPr>
        <w:spacing w:line="400" w:lineRule="exact"/>
        <w:rPr>
          <w:rtl/>
        </w:rPr>
      </w:pPr>
      <w:r w:rsidRPr="00904FCB">
        <w:rPr>
          <w:rFonts w:hint="cs"/>
          <w:rtl/>
        </w:rPr>
        <w:t>... إن رسول الله</w:t>
      </w:r>
      <w:r w:rsidR="00635E51" w:rsidRPr="00904FCB">
        <w:rPr>
          <w:rFonts w:cs="Mosawi" w:hint="cs"/>
          <w:szCs w:val="22"/>
          <w:rtl/>
        </w:rPr>
        <w:t>|</w:t>
      </w:r>
      <w:r w:rsidRPr="00904FCB">
        <w:rPr>
          <w:rFonts w:hint="cs"/>
          <w:rtl/>
        </w:rPr>
        <w:t xml:space="preserve"> أمر </w:t>
      </w:r>
      <w:r w:rsidR="00A856D8" w:rsidRPr="00904FCB">
        <w:rPr>
          <w:rFonts w:hint="cs"/>
          <w:rtl/>
        </w:rPr>
        <w:t>بنداء</w:t>
      </w:r>
      <w:r w:rsidR="00552700" w:rsidRPr="00904FCB">
        <w:rPr>
          <w:rFonts w:hint="cs"/>
          <w:rtl/>
        </w:rPr>
        <w:t>:</w:t>
      </w:r>
      <w:r w:rsidRPr="00904FCB">
        <w:rPr>
          <w:rFonts w:hint="cs"/>
          <w:rtl/>
        </w:rPr>
        <w:t xml:space="preserve"> </w:t>
      </w:r>
      <w:r w:rsidR="00552700" w:rsidRPr="00904FCB">
        <w:rPr>
          <w:rFonts w:hint="cs"/>
          <w:rtl/>
        </w:rPr>
        <w:t>إ</w:t>
      </w:r>
      <w:r w:rsidRPr="00904FCB">
        <w:rPr>
          <w:rFonts w:hint="cs"/>
          <w:rtl/>
        </w:rPr>
        <w:t>ن هذه أي</w:t>
      </w:r>
      <w:r w:rsidR="00552700" w:rsidRPr="00904FCB">
        <w:rPr>
          <w:rFonts w:hint="cs"/>
          <w:rtl/>
        </w:rPr>
        <w:t>ّ</w:t>
      </w:r>
      <w:r w:rsidRPr="00904FCB">
        <w:rPr>
          <w:rFonts w:hint="cs"/>
          <w:rtl/>
        </w:rPr>
        <w:t>ام أكل</w:t>
      </w:r>
      <w:r w:rsidR="00552700" w:rsidRPr="00904FCB">
        <w:rPr>
          <w:rFonts w:hint="cs"/>
          <w:rtl/>
        </w:rPr>
        <w:t>ٍ</w:t>
      </w:r>
      <w:r w:rsidRPr="00904FCB">
        <w:rPr>
          <w:rFonts w:hint="cs"/>
          <w:rtl/>
        </w:rPr>
        <w:t xml:space="preserve"> وشرب فلا يصوم</w:t>
      </w:r>
      <w:r w:rsidR="00552700" w:rsidRPr="00904FCB">
        <w:rPr>
          <w:rFonts w:hint="cs"/>
          <w:rtl/>
        </w:rPr>
        <w:t>َ</w:t>
      </w:r>
      <w:r w:rsidRPr="00904FCB">
        <w:rPr>
          <w:rFonts w:hint="cs"/>
          <w:rtl/>
        </w:rPr>
        <w:t>نّ أحد</w:t>
      </w:r>
      <w:r w:rsidRPr="00904FCB">
        <w:rPr>
          <w:rFonts w:hint="cs"/>
          <w:vertAlign w:val="superscript"/>
          <w:rtl/>
        </w:rPr>
        <w:t>(</w:t>
      </w:r>
      <w:r w:rsidRPr="00904FCB">
        <w:rPr>
          <w:rStyle w:val="ac"/>
          <w:sz w:val="27"/>
          <w:rtl/>
        </w:rPr>
        <w:endnoteReference w:id="465"/>
      </w:r>
      <w:r w:rsidRPr="00904FCB">
        <w:rPr>
          <w:rFonts w:hint="cs"/>
          <w:vertAlign w:val="superscript"/>
          <w:rtl/>
        </w:rPr>
        <w:t>)</w:t>
      </w:r>
      <w:r w:rsidR="00552700" w:rsidRPr="00904FCB">
        <w:rPr>
          <w:rFonts w:hint="cs"/>
          <w:rtl/>
        </w:rPr>
        <w:t>.</w:t>
      </w:r>
      <w:r w:rsidRPr="00904FCB">
        <w:rPr>
          <w:rFonts w:hint="cs"/>
          <w:rtl/>
        </w:rPr>
        <w:t xml:space="preserve"> ولكن</w:t>
      </w:r>
      <w:r w:rsidR="00552700" w:rsidRPr="00904FCB">
        <w:rPr>
          <w:rFonts w:hint="cs"/>
          <w:rtl/>
        </w:rPr>
        <w:t>ْ</w:t>
      </w:r>
      <w:r w:rsidRPr="00904FCB">
        <w:rPr>
          <w:rFonts w:hint="cs"/>
          <w:rtl/>
        </w:rPr>
        <w:t xml:space="preserve"> بعد مرور الزمان</w:t>
      </w:r>
      <w:r w:rsidR="00552700" w:rsidRPr="00904FCB">
        <w:rPr>
          <w:rFonts w:hint="cs"/>
          <w:rtl/>
        </w:rPr>
        <w:t>،</w:t>
      </w:r>
      <w:r w:rsidRPr="00904FCB">
        <w:rPr>
          <w:rFonts w:hint="cs"/>
          <w:rtl/>
        </w:rPr>
        <w:t xml:space="preserve"> وتحسين وضع السفر</w:t>
      </w:r>
      <w:r w:rsidR="00552700" w:rsidRPr="00904FCB">
        <w:rPr>
          <w:rFonts w:hint="cs"/>
          <w:rtl/>
        </w:rPr>
        <w:t>،</w:t>
      </w:r>
      <w:r w:rsidRPr="00904FCB">
        <w:rPr>
          <w:rFonts w:hint="cs"/>
          <w:rtl/>
        </w:rPr>
        <w:t xml:space="preserve"> وإمكان السفر بالطائرات وبالوسائل الجوّية الجديدة</w:t>
      </w:r>
      <w:r w:rsidR="00552700" w:rsidRPr="00904FCB">
        <w:rPr>
          <w:rFonts w:hint="cs"/>
          <w:rtl/>
        </w:rPr>
        <w:t>،</w:t>
      </w:r>
      <w:r w:rsidRPr="00904FCB">
        <w:rPr>
          <w:rFonts w:hint="cs"/>
          <w:rtl/>
        </w:rPr>
        <w:t xml:space="preserve"> وتحسّن وضع الناس اقتصاديّاً</w:t>
      </w:r>
      <w:r w:rsidR="00552700" w:rsidRPr="00904FCB">
        <w:rPr>
          <w:rFonts w:hint="cs"/>
          <w:rtl/>
        </w:rPr>
        <w:t>،</w:t>
      </w:r>
      <w:r w:rsidRPr="00904FCB">
        <w:rPr>
          <w:rFonts w:hint="cs"/>
          <w:rtl/>
        </w:rPr>
        <w:t xml:space="preserve"> وهجوم </w:t>
      </w:r>
      <w:r w:rsidR="00552700" w:rsidRPr="00904FCB">
        <w:rPr>
          <w:rFonts w:hint="cs"/>
          <w:rtl/>
        </w:rPr>
        <w:t>ال</w:t>
      </w:r>
      <w:r w:rsidRPr="00904FCB">
        <w:rPr>
          <w:rFonts w:hint="cs"/>
          <w:rtl/>
        </w:rPr>
        <w:t>ملايين من الحجاج للزيارة والوقوف بمنى</w:t>
      </w:r>
      <w:r w:rsidR="00552700" w:rsidRPr="00904FCB">
        <w:rPr>
          <w:rFonts w:hint="cs"/>
          <w:rtl/>
        </w:rPr>
        <w:t>،</w:t>
      </w:r>
      <w:r w:rsidRPr="00904FCB">
        <w:rPr>
          <w:rFonts w:hint="cs"/>
          <w:rtl/>
        </w:rPr>
        <w:t xml:space="preserve"> وعدم ات</w:t>
      </w:r>
      <w:r w:rsidR="00552700" w:rsidRPr="00904FCB">
        <w:rPr>
          <w:rFonts w:hint="cs"/>
          <w:rtl/>
        </w:rPr>
        <w:t>ّ</w:t>
      </w:r>
      <w:r w:rsidRPr="00904FCB">
        <w:rPr>
          <w:rFonts w:hint="cs"/>
          <w:rtl/>
        </w:rPr>
        <w:t>ساع المكان لجلوسهم وأعمالهم الضروري</w:t>
      </w:r>
      <w:r w:rsidR="00552700" w:rsidRPr="00904FCB">
        <w:rPr>
          <w:rFonts w:hint="cs"/>
          <w:rtl/>
        </w:rPr>
        <w:t>ّ</w:t>
      </w:r>
      <w:r w:rsidRPr="00904FCB">
        <w:rPr>
          <w:rFonts w:hint="cs"/>
          <w:rtl/>
        </w:rPr>
        <w:t>ة</w:t>
      </w:r>
      <w:r w:rsidR="00552700" w:rsidRPr="00904FCB">
        <w:rPr>
          <w:rFonts w:hint="cs"/>
          <w:rtl/>
        </w:rPr>
        <w:t>،</w:t>
      </w:r>
      <w:r w:rsidRPr="00904FCB">
        <w:rPr>
          <w:rFonts w:hint="cs"/>
          <w:rtl/>
        </w:rPr>
        <w:t xml:space="preserve"> كيف نحكم بوجوب الذبح في منى</w:t>
      </w:r>
      <w:r w:rsidR="00552700" w:rsidRPr="00904FCB">
        <w:rPr>
          <w:rFonts w:hint="cs"/>
          <w:rtl/>
        </w:rPr>
        <w:t>،</w:t>
      </w:r>
      <w:r w:rsidRPr="00904FCB">
        <w:rPr>
          <w:rFonts w:hint="cs"/>
          <w:rtl/>
        </w:rPr>
        <w:t xml:space="preserve"> وننسبه إلى الشارع؟ </w:t>
      </w:r>
      <w:r w:rsidR="00552700" w:rsidRPr="00904FCB">
        <w:rPr>
          <w:rFonts w:hint="cs"/>
          <w:rtl/>
        </w:rPr>
        <w:t xml:space="preserve">إنّ </w:t>
      </w:r>
      <w:r w:rsidRPr="00904FCB">
        <w:rPr>
          <w:rFonts w:hint="cs"/>
          <w:rtl/>
        </w:rPr>
        <w:t>معنى هذا الحكم وهذه النسبة هو أن الله ـ نعوذ بالله ـ كان جاهلاً بما سيقع في المستقبل</w:t>
      </w:r>
      <w:r w:rsidR="00552700" w:rsidRPr="00904FCB">
        <w:rPr>
          <w:rFonts w:hint="cs"/>
          <w:rtl/>
        </w:rPr>
        <w:t>!!</w:t>
      </w:r>
      <w:r w:rsidRPr="00904FCB">
        <w:rPr>
          <w:rFonts w:hint="cs"/>
          <w:rtl/>
        </w:rPr>
        <w:t xml:space="preserve"> هل الله الذي يعلم عدد رمل العالج غفل عن هذه النقطة</w:t>
      </w:r>
      <w:r w:rsidR="00552700" w:rsidRPr="00904FCB">
        <w:rPr>
          <w:rFonts w:hint="cs"/>
          <w:rtl/>
        </w:rPr>
        <w:t>،</w:t>
      </w:r>
      <w:r w:rsidRPr="00904FCB">
        <w:rPr>
          <w:rFonts w:hint="cs"/>
          <w:rtl/>
        </w:rPr>
        <w:t xml:space="preserve"> وفوّض أمره إلى السلطات في السعودي</w:t>
      </w:r>
      <w:r w:rsidR="00552700" w:rsidRPr="00904FCB">
        <w:rPr>
          <w:rFonts w:hint="cs"/>
          <w:rtl/>
        </w:rPr>
        <w:t>ة</w:t>
      </w:r>
      <w:r w:rsidRPr="00904FCB">
        <w:rPr>
          <w:rFonts w:hint="cs"/>
          <w:rtl/>
        </w:rPr>
        <w:t xml:space="preserve"> حت</w:t>
      </w:r>
      <w:r w:rsidR="00552700" w:rsidRPr="00904FCB">
        <w:rPr>
          <w:rFonts w:hint="cs"/>
          <w:rtl/>
        </w:rPr>
        <w:t>ّ</w:t>
      </w:r>
      <w:r w:rsidRPr="00904FCB">
        <w:rPr>
          <w:rFonts w:hint="cs"/>
          <w:rtl/>
        </w:rPr>
        <w:t>ى يحسبوا المكان وسعته</w:t>
      </w:r>
      <w:r w:rsidR="00552700" w:rsidRPr="00904FCB">
        <w:rPr>
          <w:rFonts w:hint="cs"/>
          <w:rtl/>
        </w:rPr>
        <w:t>،</w:t>
      </w:r>
      <w:r w:rsidRPr="00904FCB">
        <w:rPr>
          <w:rFonts w:hint="cs"/>
          <w:rtl/>
        </w:rPr>
        <w:t xml:space="preserve"> ويسمحو</w:t>
      </w:r>
      <w:r w:rsidR="00552700" w:rsidRPr="00904FCB">
        <w:rPr>
          <w:rFonts w:hint="cs"/>
          <w:rtl/>
        </w:rPr>
        <w:t>ا</w:t>
      </w:r>
      <w:r w:rsidRPr="00904FCB">
        <w:rPr>
          <w:rFonts w:hint="cs"/>
          <w:rtl/>
        </w:rPr>
        <w:t xml:space="preserve"> للزوار بمقدار المكان، لا كل</w:t>
      </w:r>
      <w:r w:rsidR="00552700" w:rsidRPr="00904FCB">
        <w:rPr>
          <w:rFonts w:hint="cs"/>
          <w:rtl/>
        </w:rPr>
        <w:t>ّ</w:t>
      </w:r>
      <w:r w:rsidRPr="00904FCB">
        <w:rPr>
          <w:rFonts w:hint="cs"/>
          <w:rtl/>
        </w:rPr>
        <w:t xml:space="preserve"> م</w:t>
      </w:r>
      <w:r w:rsidR="00552700" w:rsidRPr="00904FCB">
        <w:rPr>
          <w:rFonts w:hint="cs"/>
          <w:rtl/>
        </w:rPr>
        <w:t>َ</w:t>
      </w:r>
      <w:r w:rsidRPr="00904FCB">
        <w:rPr>
          <w:rFonts w:hint="cs"/>
          <w:rtl/>
        </w:rPr>
        <w:t>ن</w:t>
      </w:r>
      <w:r w:rsidR="00552700" w:rsidRPr="00904FCB">
        <w:rPr>
          <w:rFonts w:hint="cs"/>
          <w:rtl/>
        </w:rPr>
        <w:t>ْ</w:t>
      </w:r>
      <w:r w:rsidRPr="00904FCB">
        <w:rPr>
          <w:rFonts w:hint="cs"/>
          <w:rtl/>
        </w:rPr>
        <w:t xml:space="preserve"> يريد أن يدخل مكّة ويزور البيت؟</w:t>
      </w:r>
      <w:r w:rsidR="00552700" w:rsidRPr="00904FCB">
        <w:rPr>
          <w:rFonts w:hint="cs"/>
          <w:rtl/>
        </w:rPr>
        <w:t>!</w:t>
      </w:r>
      <w:r w:rsidRPr="00904FCB">
        <w:rPr>
          <w:rFonts w:hint="cs"/>
          <w:rtl/>
        </w:rPr>
        <w:t xml:space="preserve"> إلاّ أن ينكر أحد</w:t>
      </w:r>
      <w:r w:rsidR="00552700" w:rsidRPr="00904FCB">
        <w:rPr>
          <w:rFonts w:hint="cs"/>
          <w:rtl/>
        </w:rPr>
        <w:t>ٌ</w:t>
      </w:r>
      <w:r w:rsidRPr="00904FCB">
        <w:rPr>
          <w:rFonts w:hint="cs"/>
          <w:rtl/>
        </w:rPr>
        <w:t xml:space="preserve"> ويقول</w:t>
      </w:r>
      <w:r w:rsidR="00552700" w:rsidRPr="00904FCB">
        <w:rPr>
          <w:rFonts w:hint="cs"/>
          <w:rtl/>
        </w:rPr>
        <w:t>:</w:t>
      </w:r>
      <w:r w:rsidRPr="00904FCB">
        <w:rPr>
          <w:rFonts w:hint="cs"/>
          <w:rtl/>
        </w:rPr>
        <w:t xml:space="preserve"> لا هذا</w:t>
      </w:r>
      <w:r w:rsidR="00552700" w:rsidRPr="00904FCB">
        <w:rPr>
          <w:rFonts w:hint="cs"/>
          <w:rtl/>
        </w:rPr>
        <w:t>،</w:t>
      </w:r>
      <w:r w:rsidRPr="00904FCB">
        <w:rPr>
          <w:rFonts w:hint="cs"/>
          <w:rtl/>
        </w:rPr>
        <w:t xml:space="preserve"> ولا ذاك، بل منى بشكلها الفعلي </w:t>
      </w:r>
      <w:r w:rsidR="00552700" w:rsidRPr="00904FCB">
        <w:rPr>
          <w:rFonts w:hint="cs"/>
          <w:rtl/>
        </w:rPr>
        <w:t>ت</w:t>
      </w:r>
      <w:r w:rsidRPr="00904FCB">
        <w:rPr>
          <w:rFonts w:hint="cs"/>
          <w:rtl/>
        </w:rPr>
        <w:t>سع كل</w:t>
      </w:r>
      <w:r w:rsidR="00552700" w:rsidRPr="00904FCB">
        <w:rPr>
          <w:rFonts w:hint="cs"/>
          <w:rtl/>
        </w:rPr>
        <w:t>ّ</w:t>
      </w:r>
      <w:r w:rsidRPr="00904FCB">
        <w:rPr>
          <w:rFonts w:hint="cs"/>
          <w:rtl/>
        </w:rPr>
        <w:t xml:space="preserve"> الحجاج </w:t>
      </w:r>
      <w:r w:rsidR="00552700" w:rsidRPr="00904FCB">
        <w:rPr>
          <w:rFonts w:hint="cs"/>
          <w:rtl/>
        </w:rPr>
        <w:t xml:space="preserve">في </w:t>
      </w:r>
      <w:r w:rsidRPr="00904FCB">
        <w:rPr>
          <w:rFonts w:hint="cs"/>
          <w:rtl/>
        </w:rPr>
        <w:t>زماننا الحاضر و</w:t>
      </w:r>
      <w:r w:rsidR="00552700" w:rsidRPr="00904FCB">
        <w:rPr>
          <w:rFonts w:hint="cs"/>
          <w:rtl/>
        </w:rPr>
        <w:t>ا</w:t>
      </w:r>
      <w:r w:rsidRPr="00904FCB">
        <w:rPr>
          <w:rFonts w:hint="cs"/>
          <w:rtl/>
        </w:rPr>
        <w:t>لقادم أيضاً</w:t>
      </w:r>
      <w:r w:rsidR="00552700" w:rsidRPr="00904FCB">
        <w:rPr>
          <w:rFonts w:hint="cs"/>
          <w:rtl/>
        </w:rPr>
        <w:t>.</w:t>
      </w:r>
      <w:r w:rsidRPr="00904FCB">
        <w:rPr>
          <w:rFonts w:hint="cs"/>
          <w:rtl/>
        </w:rPr>
        <w:t xml:space="preserve"> فمر</w:t>
      </w:r>
      <w:r w:rsidR="00552700" w:rsidRPr="00904FCB">
        <w:rPr>
          <w:rFonts w:hint="cs"/>
          <w:rtl/>
        </w:rPr>
        <w:t>ّ</w:t>
      </w:r>
      <w:r w:rsidRPr="00904FCB">
        <w:rPr>
          <w:rFonts w:hint="cs"/>
          <w:rtl/>
        </w:rPr>
        <w:t>ة يقول هذا الكلام ومقصوده منه وجوب عمران منى وبناء البنايات الكبيرة إلى عشر طبقات وما فوق</w:t>
      </w:r>
      <w:r w:rsidR="00552700" w:rsidRPr="00904FCB">
        <w:rPr>
          <w:rFonts w:hint="cs"/>
          <w:rtl/>
        </w:rPr>
        <w:t>،</w:t>
      </w:r>
      <w:r w:rsidRPr="00904FCB">
        <w:rPr>
          <w:rFonts w:hint="cs"/>
          <w:rtl/>
        </w:rPr>
        <w:t xml:space="preserve"> حت</w:t>
      </w:r>
      <w:r w:rsidR="00552700" w:rsidRPr="00904FCB">
        <w:rPr>
          <w:rFonts w:hint="cs"/>
          <w:rtl/>
        </w:rPr>
        <w:t>ّ</w:t>
      </w:r>
      <w:r w:rsidRPr="00904FCB">
        <w:rPr>
          <w:rFonts w:hint="cs"/>
          <w:rtl/>
        </w:rPr>
        <w:t>ى يت</w:t>
      </w:r>
      <w:r w:rsidR="00552700" w:rsidRPr="00904FCB">
        <w:rPr>
          <w:rFonts w:hint="cs"/>
          <w:rtl/>
        </w:rPr>
        <w:t>ّ</w:t>
      </w:r>
      <w:r w:rsidRPr="00904FCB">
        <w:rPr>
          <w:rFonts w:hint="cs"/>
          <w:rtl/>
        </w:rPr>
        <w:t>سع للسكن وللذبح وسائر الأمور</w:t>
      </w:r>
      <w:r w:rsidR="00552700" w:rsidRPr="00904FCB">
        <w:rPr>
          <w:rFonts w:hint="cs"/>
          <w:rtl/>
        </w:rPr>
        <w:t>،</w:t>
      </w:r>
      <w:r w:rsidRPr="00904FCB">
        <w:rPr>
          <w:rFonts w:hint="cs"/>
          <w:rtl/>
        </w:rPr>
        <w:t xml:space="preserve"> فهذا كلام</w:t>
      </w:r>
      <w:r w:rsidR="00552700" w:rsidRPr="00904FCB">
        <w:rPr>
          <w:rFonts w:hint="cs"/>
          <w:rtl/>
        </w:rPr>
        <w:t>ٌ</w:t>
      </w:r>
      <w:r w:rsidRPr="00904FCB">
        <w:rPr>
          <w:rFonts w:hint="cs"/>
          <w:rtl/>
        </w:rPr>
        <w:t xml:space="preserve"> جي</w:t>
      </w:r>
      <w:r w:rsidR="00552700" w:rsidRPr="00904FCB">
        <w:rPr>
          <w:rFonts w:hint="cs"/>
          <w:rtl/>
        </w:rPr>
        <w:t>ِّ</w:t>
      </w:r>
      <w:r w:rsidRPr="00904FCB">
        <w:rPr>
          <w:rFonts w:hint="cs"/>
          <w:rtl/>
        </w:rPr>
        <w:t>د</w:t>
      </w:r>
      <w:r w:rsidR="00552700" w:rsidRPr="00904FCB">
        <w:rPr>
          <w:rFonts w:hint="cs"/>
          <w:rtl/>
        </w:rPr>
        <w:t>،</w:t>
      </w:r>
      <w:r w:rsidRPr="00904FCB">
        <w:rPr>
          <w:rFonts w:hint="cs"/>
          <w:rtl/>
        </w:rPr>
        <w:t xml:space="preserve"> ولكن يحتاج إلى صرف أموال كثيرة</w:t>
      </w:r>
      <w:r w:rsidR="00552700" w:rsidRPr="00904FCB">
        <w:rPr>
          <w:rFonts w:hint="cs"/>
          <w:rtl/>
        </w:rPr>
        <w:t>؛</w:t>
      </w:r>
      <w:r w:rsidRPr="00904FCB">
        <w:rPr>
          <w:rFonts w:hint="cs"/>
          <w:rtl/>
        </w:rPr>
        <w:t xml:space="preserve"> لبناء هذه البنايات الضخمة لثلاثة أي</w:t>
      </w:r>
      <w:r w:rsidR="00552700" w:rsidRPr="00904FCB">
        <w:rPr>
          <w:rFonts w:hint="cs"/>
          <w:rtl/>
        </w:rPr>
        <w:t>ّ</w:t>
      </w:r>
      <w:r w:rsidRPr="00904FCB">
        <w:rPr>
          <w:rFonts w:hint="cs"/>
          <w:rtl/>
        </w:rPr>
        <w:t>ام فقط</w:t>
      </w:r>
      <w:r w:rsidR="00552700" w:rsidRPr="00904FCB">
        <w:rPr>
          <w:rFonts w:hint="cs"/>
          <w:rtl/>
        </w:rPr>
        <w:t>،</w:t>
      </w:r>
      <w:r w:rsidRPr="00904FCB">
        <w:rPr>
          <w:rFonts w:hint="cs"/>
          <w:rtl/>
        </w:rPr>
        <w:t xml:space="preserve"> وهذا إسراف</w:t>
      </w:r>
      <w:r w:rsidR="00552700" w:rsidRPr="00904FCB">
        <w:rPr>
          <w:rFonts w:hint="cs"/>
          <w:rtl/>
        </w:rPr>
        <w:t>ٌ</w:t>
      </w:r>
      <w:r w:rsidRPr="00904FCB">
        <w:rPr>
          <w:rFonts w:hint="cs"/>
          <w:rtl/>
        </w:rPr>
        <w:t xml:space="preserve"> كبير، وأيضاً يخرج أعمال منى والوقوف هناك عن كونه تذكرة لقص</w:t>
      </w:r>
      <w:r w:rsidR="00552700" w:rsidRPr="00904FCB">
        <w:rPr>
          <w:rFonts w:hint="cs"/>
          <w:rtl/>
        </w:rPr>
        <w:t>ّ</w:t>
      </w:r>
      <w:r w:rsidRPr="00904FCB">
        <w:rPr>
          <w:rFonts w:hint="cs"/>
          <w:rtl/>
        </w:rPr>
        <w:t>ة إبراهيم</w:t>
      </w:r>
      <w:r w:rsidR="00552700" w:rsidRPr="00904FCB">
        <w:rPr>
          <w:rFonts w:hint="cs"/>
          <w:rtl/>
        </w:rPr>
        <w:t>،</w:t>
      </w:r>
      <w:r w:rsidRPr="00904FCB">
        <w:rPr>
          <w:rFonts w:hint="cs"/>
          <w:rtl/>
        </w:rPr>
        <w:t xml:space="preserve"> وإيثاره</w:t>
      </w:r>
      <w:r w:rsidR="00552700" w:rsidRPr="00904FCB">
        <w:rPr>
          <w:rFonts w:hint="cs"/>
          <w:rtl/>
        </w:rPr>
        <w:t>،</w:t>
      </w:r>
      <w:r w:rsidRPr="00904FCB">
        <w:rPr>
          <w:rFonts w:hint="cs"/>
          <w:rtl/>
        </w:rPr>
        <w:t xml:space="preserve"> وأيضاً يخرج أعمال منى عن كونه مشق</w:t>
      </w:r>
      <w:r w:rsidR="00552700" w:rsidRPr="00904FCB">
        <w:rPr>
          <w:rFonts w:hint="cs"/>
          <w:rtl/>
        </w:rPr>
        <w:t>ّ</w:t>
      </w:r>
      <w:r w:rsidRPr="00904FCB">
        <w:rPr>
          <w:rFonts w:hint="cs"/>
          <w:rtl/>
        </w:rPr>
        <w:t>ة وامتحاناً للناس</w:t>
      </w:r>
      <w:r w:rsidR="00552700" w:rsidRPr="00904FCB">
        <w:rPr>
          <w:rFonts w:hint="cs"/>
          <w:rtl/>
        </w:rPr>
        <w:t>،</w:t>
      </w:r>
      <w:r w:rsidRPr="00904FCB">
        <w:rPr>
          <w:rFonts w:hint="cs"/>
          <w:rtl/>
        </w:rPr>
        <w:t xml:space="preserve"> بل يصبح الوقوف بمنى كوقوف </w:t>
      </w:r>
      <w:r w:rsidRPr="00904FCB">
        <w:rPr>
          <w:rFonts w:hint="cs"/>
          <w:rtl/>
        </w:rPr>
        <w:lastRenderedPageBreak/>
        <w:t>في بعض الفن</w:t>
      </w:r>
      <w:r w:rsidR="00932A34" w:rsidRPr="00904FCB">
        <w:rPr>
          <w:rFonts w:hint="cs"/>
          <w:rtl/>
        </w:rPr>
        <w:t>ادق</w:t>
      </w:r>
      <w:r w:rsidRPr="00904FCB">
        <w:rPr>
          <w:rFonts w:hint="cs"/>
          <w:rtl/>
        </w:rPr>
        <w:t xml:space="preserve"> الكبيرة الجي</w:t>
      </w:r>
      <w:r w:rsidR="00932A34" w:rsidRPr="00904FCB">
        <w:rPr>
          <w:rFonts w:hint="cs"/>
          <w:rtl/>
        </w:rPr>
        <w:t>ِّ</w:t>
      </w:r>
      <w:r w:rsidRPr="00904FCB">
        <w:rPr>
          <w:rFonts w:hint="cs"/>
          <w:rtl/>
        </w:rPr>
        <w:t>دة. فبهذا يمكن تصحيح كلام القائل ولكن</w:t>
      </w:r>
      <w:r w:rsidR="00932A34" w:rsidRPr="00904FCB">
        <w:rPr>
          <w:rFonts w:hint="cs"/>
          <w:rtl/>
        </w:rPr>
        <w:t>ْ</w:t>
      </w:r>
      <w:r w:rsidRPr="00904FCB">
        <w:rPr>
          <w:rFonts w:hint="cs"/>
          <w:rtl/>
        </w:rPr>
        <w:t xml:space="preserve"> أخرجنا الأحكام عن حكمتها</w:t>
      </w:r>
      <w:r w:rsidR="00932A34" w:rsidRPr="00904FCB">
        <w:rPr>
          <w:rFonts w:hint="cs"/>
          <w:rtl/>
        </w:rPr>
        <w:t>،</w:t>
      </w:r>
      <w:r w:rsidRPr="00904FCB">
        <w:rPr>
          <w:rFonts w:hint="cs"/>
          <w:rtl/>
        </w:rPr>
        <w:t xml:space="preserve"> مضافاً إلى أن هذه ـ أي بناء الأبنية الضخمة في منى ـ من الأوهام الذهنية</w:t>
      </w:r>
      <w:r w:rsidR="00932A34" w:rsidRPr="00904FCB">
        <w:rPr>
          <w:rFonts w:hint="cs"/>
          <w:rtl/>
        </w:rPr>
        <w:t>،</w:t>
      </w:r>
      <w:r w:rsidRPr="00904FCB">
        <w:rPr>
          <w:rFonts w:hint="cs"/>
          <w:rtl/>
        </w:rPr>
        <w:t xml:space="preserve"> </w:t>
      </w:r>
      <w:r w:rsidR="00932A34" w:rsidRPr="00904FCB">
        <w:rPr>
          <w:rFonts w:hint="cs"/>
          <w:rtl/>
        </w:rPr>
        <w:t>و</w:t>
      </w:r>
      <w:r w:rsidRPr="00904FCB">
        <w:rPr>
          <w:rFonts w:hint="cs"/>
          <w:rtl/>
        </w:rPr>
        <w:t>ليس لها واقع</w:t>
      </w:r>
      <w:r w:rsidR="00932A34" w:rsidRPr="00904FCB">
        <w:rPr>
          <w:rFonts w:hint="cs"/>
          <w:rtl/>
        </w:rPr>
        <w:t>،</w:t>
      </w:r>
      <w:r w:rsidRPr="00904FCB">
        <w:rPr>
          <w:rFonts w:hint="cs"/>
          <w:rtl/>
        </w:rPr>
        <w:t xml:space="preserve"> ولا يمكن تطبيقها عملاً</w:t>
      </w:r>
      <w:r w:rsidR="00932A34" w:rsidRPr="00904FCB">
        <w:rPr>
          <w:rFonts w:hint="cs"/>
          <w:rtl/>
        </w:rPr>
        <w:t>؛</w:t>
      </w:r>
      <w:r w:rsidRPr="00904FCB">
        <w:rPr>
          <w:rFonts w:hint="cs"/>
          <w:rtl/>
        </w:rPr>
        <w:t xml:space="preserve"> إذ تطبيقها يحتاج إلى صرف أموال كثيرة لصنع البنايات والمصانع</w:t>
      </w:r>
      <w:r w:rsidR="00932A34" w:rsidRPr="00904FCB">
        <w:rPr>
          <w:rFonts w:hint="cs"/>
          <w:rtl/>
        </w:rPr>
        <w:t>،</w:t>
      </w:r>
      <w:r w:rsidRPr="00904FCB">
        <w:rPr>
          <w:rFonts w:hint="cs"/>
          <w:rtl/>
        </w:rPr>
        <w:t xml:space="preserve"> وأموال أكثر لحفظها طو</w:t>
      </w:r>
      <w:r w:rsidR="00932A34" w:rsidRPr="00904FCB">
        <w:rPr>
          <w:rFonts w:hint="cs"/>
          <w:rtl/>
        </w:rPr>
        <w:t>ا</w:t>
      </w:r>
      <w:r w:rsidRPr="00904FCB">
        <w:rPr>
          <w:rFonts w:hint="cs"/>
          <w:rtl/>
        </w:rPr>
        <w:t xml:space="preserve">ل السنة. </w:t>
      </w:r>
    </w:p>
    <w:p w:rsidR="005B6CEC" w:rsidRPr="00904FCB" w:rsidRDefault="005B6CEC" w:rsidP="007A21AA">
      <w:pPr>
        <w:spacing w:line="400" w:lineRule="exact"/>
        <w:rPr>
          <w:rtl/>
        </w:rPr>
      </w:pPr>
      <w:r w:rsidRPr="00904FCB">
        <w:rPr>
          <w:rFonts w:hint="cs"/>
          <w:rtl/>
        </w:rPr>
        <w:t>وأخرى بأن يقال</w:t>
      </w:r>
      <w:r w:rsidR="00932A34" w:rsidRPr="00904FCB">
        <w:rPr>
          <w:rFonts w:hint="cs"/>
          <w:rtl/>
        </w:rPr>
        <w:t>:</w:t>
      </w:r>
      <w:r w:rsidRPr="00904FCB">
        <w:rPr>
          <w:rFonts w:hint="cs"/>
          <w:rtl/>
        </w:rPr>
        <w:t xml:space="preserve"> </w:t>
      </w:r>
      <w:r w:rsidR="00932A34" w:rsidRPr="00904FCB">
        <w:rPr>
          <w:rFonts w:hint="cs"/>
          <w:rtl/>
        </w:rPr>
        <w:t>إ</w:t>
      </w:r>
      <w:r w:rsidRPr="00904FCB">
        <w:rPr>
          <w:rFonts w:hint="cs"/>
          <w:rtl/>
        </w:rPr>
        <w:t>ن منى بشكلها الفعلي</w:t>
      </w:r>
      <w:r w:rsidR="00932A34" w:rsidRPr="00904FCB">
        <w:rPr>
          <w:rFonts w:hint="cs"/>
          <w:rtl/>
        </w:rPr>
        <w:t>،</w:t>
      </w:r>
      <w:r w:rsidRPr="00904FCB">
        <w:rPr>
          <w:rFonts w:hint="cs"/>
          <w:rtl/>
        </w:rPr>
        <w:t xml:space="preserve"> بدون بناء الفن</w:t>
      </w:r>
      <w:r w:rsidR="00932A34" w:rsidRPr="00904FCB">
        <w:rPr>
          <w:rFonts w:hint="cs"/>
          <w:rtl/>
        </w:rPr>
        <w:t>ادق</w:t>
      </w:r>
      <w:r w:rsidRPr="00904FCB">
        <w:rPr>
          <w:rFonts w:hint="cs"/>
          <w:rtl/>
        </w:rPr>
        <w:t xml:space="preserve"> والبنايات </w:t>
      </w:r>
      <w:r w:rsidR="00932A34" w:rsidRPr="00904FCB">
        <w:rPr>
          <w:rFonts w:hint="cs"/>
          <w:rtl/>
        </w:rPr>
        <w:t>ت</w:t>
      </w:r>
      <w:r w:rsidRPr="00904FCB">
        <w:rPr>
          <w:rFonts w:hint="cs"/>
          <w:rtl/>
        </w:rPr>
        <w:t>كفي لجميع الحج</w:t>
      </w:r>
      <w:r w:rsidR="00932A34" w:rsidRPr="00904FCB">
        <w:rPr>
          <w:rFonts w:hint="cs"/>
          <w:rtl/>
        </w:rPr>
        <w:t>ّ</w:t>
      </w:r>
      <w:r w:rsidRPr="00904FCB">
        <w:rPr>
          <w:rFonts w:hint="cs"/>
          <w:rtl/>
        </w:rPr>
        <w:t>اج وكل م</w:t>
      </w:r>
      <w:r w:rsidR="00932A34" w:rsidRPr="00904FCB">
        <w:rPr>
          <w:rFonts w:hint="cs"/>
          <w:rtl/>
        </w:rPr>
        <w:t>َ</w:t>
      </w:r>
      <w:r w:rsidRPr="00904FCB">
        <w:rPr>
          <w:rFonts w:hint="cs"/>
          <w:rtl/>
        </w:rPr>
        <w:t>ن</w:t>
      </w:r>
      <w:r w:rsidR="00932A34" w:rsidRPr="00904FCB">
        <w:rPr>
          <w:rFonts w:hint="cs"/>
          <w:rtl/>
        </w:rPr>
        <w:t>ْ</w:t>
      </w:r>
      <w:r w:rsidRPr="00904FCB">
        <w:rPr>
          <w:rFonts w:hint="cs"/>
          <w:rtl/>
        </w:rPr>
        <w:t xml:space="preserve"> يريد أن يحج</w:t>
      </w:r>
      <w:r w:rsidR="00932A34" w:rsidRPr="00904FCB">
        <w:rPr>
          <w:rFonts w:hint="cs"/>
          <w:rtl/>
        </w:rPr>
        <w:t>ّ</w:t>
      </w:r>
      <w:r w:rsidRPr="00904FCB">
        <w:rPr>
          <w:rFonts w:hint="cs"/>
          <w:rtl/>
        </w:rPr>
        <w:t xml:space="preserve">. </w:t>
      </w:r>
      <w:r w:rsidR="00932A34" w:rsidRPr="00904FCB">
        <w:rPr>
          <w:rFonts w:hint="cs"/>
          <w:rtl/>
        </w:rPr>
        <w:t>و</w:t>
      </w:r>
      <w:r w:rsidRPr="00904FCB">
        <w:rPr>
          <w:rFonts w:hint="cs"/>
          <w:rtl/>
        </w:rPr>
        <w:t>هذا كلام يلزم أن يرجع إلى صاحبه</w:t>
      </w:r>
      <w:r w:rsidR="00932A34" w:rsidRPr="00904FCB">
        <w:rPr>
          <w:rFonts w:hint="cs"/>
          <w:rtl/>
        </w:rPr>
        <w:t>،</w:t>
      </w:r>
      <w:r w:rsidRPr="00904FCB">
        <w:rPr>
          <w:rFonts w:hint="cs"/>
          <w:rtl/>
        </w:rPr>
        <w:t xml:space="preserve"> وليس قابلاً لأن نبحث عنه</w:t>
      </w:r>
      <w:r w:rsidR="00932A34" w:rsidRPr="00904FCB">
        <w:rPr>
          <w:rFonts w:hint="cs"/>
          <w:rtl/>
        </w:rPr>
        <w:t>؛</w:t>
      </w:r>
      <w:r w:rsidRPr="00904FCB">
        <w:rPr>
          <w:rFonts w:hint="cs"/>
          <w:rtl/>
        </w:rPr>
        <w:t xml:space="preserve"> لأنّه </w:t>
      </w:r>
      <w:r w:rsidR="00932A34" w:rsidRPr="00904FCB">
        <w:rPr>
          <w:rFonts w:hint="cs"/>
          <w:rtl/>
        </w:rPr>
        <w:t xml:space="preserve">لا </w:t>
      </w:r>
      <w:r w:rsidRPr="00904FCB">
        <w:rPr>
          <w:rFonts w:hint="cs"/>
          <w:rtl/>
        </w:rPr>
        <w:t>يتكل</w:t>
      </w:r>
      <w:r w:rsidR="00932A34" w:rsidRPr="00904FCB">
        <w:rPr>
          <w:rFonts w:hint="cs"/>
          <w:rtl/>
        </w:rPr>
        <w:t>َّ</w:t>
      </w:r>
      <w:r w:rsidRPr="00904FCB">
        <w:rPr>
          <w:rFonts w:hint="cs"/>
          <w:rtl/>
        </w:rPr>
        <w:t>م عن علم</w:t>
      </w:r>
      <w:r w:rsidR="00932A34" w:rsidRPr="00904FCB">
        <w:rPr>
          <w:rFonts w:hint="cs"/>
          <w:rtl/>
        </w:rPr>
        <w:t>ٍ،</w:t>
      </w:r>
      <w:r w:rsidRPr="00904FCB">
        <w:rPr>
          <w:rFonts w:hint="cs"/>
          <w:rtl/>
        </w:rPr>
        <w:t xml:space="preserve"> </w:t>
      </w:r>
      <w:r w:rsidR="00932A34" w:rsidRPr="00904FCB">
        <w:rPr>
          <w:rFonts w:hint="cs"/>
          <w:rtl/>
        </w:rPr>
        <w:t>أو</w:t>
      </w:r>
      <w:r w:rsidRPr="00904FCB">
        <w:rPr>
          <w:rFonts w:hint="cs"/>
          <w:rtl/>
        </w:rPr>
        <w:t xml:space="preserve"> </w:t>
      </w:r>
      <w:r w:rsidR="00932A34" w:rsidRPr="00904FCB">
        <w:rPr>
          <w:rFonts w:hint="cs"/>
          <w:rtl/>
        </w:rPr>
        <w:t>م</w:t>
      </w:r>
      <w:r w:rsidRPr="00904FCB">
        <w:rPr>
          <w:rFonts w:hint="cs"/>
          <w:rtl/>
        </w:rPr>
        <w:t xml:space="preserve">سؤولية. </w:t>
      </w:r>
    </w:p>
    <w:p w:rsidR="005B6CEC" w:rsidRPr="00904FCB" w:rsidRDefault="005B6CEC" w:rsidP="007A21AA">
      <w:pPr>
        <w:spacing w:line="400" w:lineRule="exact"/>
        <w:rPr>
          <w:rtl/>
        </w:rPr>
      </w:pPr>
    </w:p>
    <w:p w:rsidR="005B6CEC" w:rsidRPr="00904FCB" w:rsidRDefault="005B6CEC" w:rsidP="007A21AA">
      <w:pPr>
        <w:pStyle w:val="31"/>
        <w:spacing w:line="400" w:lineRule="exact"/>
        <w:rPr>
          <w:color w:val="auto"/>
          <w:rtl/>
        </w:rPr>
      </w:pPr>
      <w:r w:rsidRPr="00904FCB">
        <w:rPr>
          <w:rFonts w:hint="cs"/>
          <w:color w:val="auto"/>
          <w:rtl/>
        </w:rPr>
        <w:t>بحوث</w:t>
      </w:r>
      <w:r w:rsidR="00E5427B" w:rsidRPr="00904FCB">
        <w:rPr>
          <w:rFonts w:hint="cs"/>
          <w:color w:val="auto"/>
          <w:rtl/>
        </w:rPr>
        <w:t>ٌ</w:t>
      </w:r>
      <w:r w:rsidRPr="00904FCB">
        <w:rPr>
          <w:rFonts w:hint="cs"/>
          <w:color w:val="auto"/>
          <w:rtl/>
        </w:rPr>
        <w:t xml:space="preserve"> جديدة</w:t>
      </w:r>
    </w:p>
    <w:p w:rsidR="0056540E" w:rsidRPr="00904FCB" w:rsidRDefault="005B6CEC" w:rsidP="007A21AA">
      <w:pPr>
        <w:spacing w:line="400" w:lineRule="exact"/>
        <w:rPr>
          <w:rtl/>
        </w:rPr>
      </w:pPr>
      <w:r w:rsidRPr="00904FCB">
        <w:rPr>
          <w:rFonts w:hint="cs"/>
          <w:rtl/>
        </w:rPr>
        <w:t>المسائل التي ينبغي أن نتكل</w:t>
      </w:r>
      <w:r w:rsidR="00932A34" w:rsidRPr="00904FCB">
        <w:rPr>
          <w:rFonts w:hint="cs"/>
          <w:rtl/>
        </w:rPr>
        <w:t>َّ</w:t>
      </w:r>
      <w:r w:rsidRPr="00904FCB">
        <w:rPr>
          <w:rFonts w:hint="cs"/>
          <w:rtl/>
        </w:rPr>
        <w:t>م حولها بعد العلم بضيق المكان في منى</w:t>
      </w:r>
      <w:r w:rsidR="00932A34" w:rsidRPr="00904FCB">
        <w:rPr>
          <w:rFonts w:hint="cs"/>
          <w:rtl/>
        </w:rPr>
        <w:t>،</w:t>
      </w:r>
      <w:r w:rsidRPr="00904FCB">
        <w:rPr>
          <w:rFonts w:hint="cs"/>
          <w:rtl/>
        </w:rPr>
        <w:t xml:space="preserve"> وعلم الله تعالى بأنه يأتي زمان يكثر فيه الحج</w:t>
      </w:r>
      <w:r w:rsidR="00932A34" w:rsidRPr="00904FCB">
        <w:rPr>
          <w:rFonts w:hint="cs"/>
          <w:rtl/>
        </w:rPr>
        <w:t>ّ</w:t>
      </w:r>
      <w:r w:rsidRPr="00904FCB">
        <w:rPr>
          <w:rFonts w:hint="cs"/>
          <w:rtl/>
        </w:rPr>
        <w:t>اج</w:t>
      </w:r>
      <w:r w:rsidR="00932A34" w:rsidRPr="00904FCB">
        <w:rPr>
          <w:rFonts w:hint="cs"/>
          <w:rtl/>
        </w:rPr>
        <w:t>،</w:t>
      </w:r>
      <w:r w:rsidRPr="00904FCB">
        <w:rPr>
          <w:rFonts w:hint="cs"/>
          <w:rtl/>
        </w:rPr>
        <w:t xml:space="preserve"> ولا </w:t>
      </w:r>
      <w:r w:rsidR="00932A34" w:rsidRPr="00904FCB">
        <w:rPr>
          <w:rFonts w:hint="cs"/>
          <w:rtl/>
        </w:rPr>
        <w:t>ت</w:t>
      </w:r>
      <w:r w:rsidRPr="00904FCB">
        <w:rPr>
          <w:rFonts w:hint="cs"/>
          <w:rtl/>
        </w:rPr>
        <w:t>سعهم أرض منى</w:t>
      </w:r>
      <w:r w:rsidR="0056540E" w:rsidRPr="00904FCB">
        <w:rPr>
          <w:rFonts w:hint="cs"/>
          <w:rtl/>
        </w:rPr>
        <w:t>.</w:t>
      </w:r>
      <w:r w:rsidRPr="00904FCB">
        <w:rPr>
          <w:rFonts w:hint="cs"/>
          <w:rtl/>
        </w:rPr>
        <w:t xml:space="preserve"> فإمّا يلزم أن نقول بجواز البناء في منى</w:t>
      </w:r>
      <w:r w:rsidR="00932A34" w:rsidRPr="00904FCB">
        <w:rPr>
          <w:rFonts w:hint="cs"/>
          <w:rtl/>
        </w:rPr>
        <w:t>،</w:t>
      </w:r>
      <w:r w:rsidRPr="00904FCB">
        <w:rPr>
          <w:rFonts w:hint="cs"/>
          <w:rtl/>
        </w:rPr>
        <w:t xml:space="preserve"> خلافاً للرواية العام</w:t>
      </w:r>
      <w:r w:rsidR="00932A34" w:rsidRPr="00904FCB">
        <w:rPr>
          <w:rFonts w:hint="cs"/>
          <w:rtl/>
        </w:rPr>
        <w:t>ّ</w:t>
      </w:r>
      <w:r w:rsidRPr="00904FCB">
        <w:rPr>
          <w:rFonts w:hint="cs"/>
          <w:rtl/>
        </w:rPr>
        <w:t>ية «المنى لا يبنى»</w:t>
      </w:r>
      <w:r w:rsidR="0056540E" w:rsidRPr="00904FCB">
        <w:rPr>
          <w:rFonts w:hint="cs"/>
          <w:rtl/>
        </w:rPr>
        <w:t>.</w:t>
      </w:r>
      <w:r w:rsidRPr="00904FCB">
        <w:rPr>
          <w:rFonts w:hint="cs"/>
          <w:rtl/>
        </w:rPr>
        <w:t xml:space="preserve"> وأمّا وجوب إخراج الذبح والذبيحة من منى حالياً</w:t>
      </w:r>
      <w:r w:rsidR="0056540E" w:rsidRPr="00904FCB">
        <w:rPr>
          <w:rFonts w:hint="cs"/>
          <w:rtl/>
        </w:rPr>
        <w:t>،</w:t>
      </w:r>
      <w:r w:rsidRPr="00904FCB">
        <w:rPr>
          <w:rFonts w:hint="cs"/>
          <w:rtl/>
        </w:rPr>
        <w:t xml:space="preserve"> وأيضاً الالتزام بأن حدود منى أو عرفات أو غيرهما ليست منحصرة في ما حصرناه حالياً</w:t>
      </w:r>
      <w:r w:rsidR="0056540E" w:rsidRPr="00904FCB">
        <w:rPr>
          <w:rFonts w:hint="cs"/>
          <w:rtl/>
        </w:rPr>
        <w:t>،</w:t>
      </w:r>
      <w:r w:rsidRPr="00904FCB">
        <w:rPr>
          <w:rFonts w:hint="cs"/>
          <w:rtl/>
        </w:rPr>
        <w:t xml:space="preserve"> بل يمكن التجاوز عنها إلى مقدار الحاجة</w:t>
      </w:r>
      <w:r w:rsidR="0056540E" w:rsidRPr="00904FCB">
        <w:rPr>
          <w:rFonts w:hint="cs"/>
          <w:rtl/>
        </w:rPr>
        <w:t>؛</w:t>
      </w:r>
      <w:r w:rsidRPr="00904FCB">
        <w:rPr>
          <w:rFonts w:hint="cs"/>
          <w:rtl/>
        </w:rPr>
        <w:t xml:space="preserve"> وإلاّ يلزم أن نلتزم بأن الله </w:t>
      </w:r>
      <w:r w:rsidR="0056540E" w:rsidRPr="00904FCB">
        <w:rPr>
          <w:rFonts w:hint="cs"/>
          <w:rtl/>
        </w:rPr>
        <w:t>جعل</w:t>
      </w:r>
      <w:r w:rsidRPr="00904FCB">
        <w:rPr>
          <w:rFonts w:hint="cs"/>
          <w:rtl/>
        </w:rPr>
        <w:t xml:space="preserve"> أحكاماً للأزمنة الماضية فقط</w:t>
      </w:r>
      <w:r w:rsidR="0056540E" w:rsidRPr="00904FCB">
        <w:rPr>
          <w:rFonts w:hint="cs"/>
          <w:rtl/>
        </w:rPr>
        <w:t>؛</w:t>
      </w:r>
      <w:r w:rsidRPr="00904FCB">
        <w:rPr>
          <w:rFonts w:hint="cs"/>
          <w:rtl/>
        </w:rPr>
        <w:t xml:space="preserve"> أو نلتزم ب</w:t>
      </w:r>
      <w:r w:rsidR="0056540E" w:rsidRPr="00904FCB">
        <w:rPr>
          <w:rFonts w:hint="cs"/>
          <w:rtl/>
        </w:rPr>
        <w:t>أ</w:t>
      </w:r>
      <w:r w:rsidRPr="00904FCB">
        <w:rPr>
          <w:rFonts w:hint="cs"/>
          <w:rtl/>
        </w:rPr>
        <w:t>ن هذا كله ضرورات</w:t>
      </w:r>
      <w:r w:rsidR="0056540E" w:rsidRPr="00904FCB">
        <w:rPr>
          <w:rFonts w:hint="cs"/>
          <w:rtl/>
        </w:rPr>
        <w:t>،</w:t>
      </w:r>
      <w:r w:rsidRPr="00904FCB">
        <w:rPr>
          <w:rFonts w:hint="cs"/>
          <w:rtl/>
        </w:rPr>
        <w:t xml:space="preserve"> والضرورات تبيح المح</w:t>
      </w:r>
      <w:r w:rsidR="0056540E" w:rsidRPr="00904FCB">
        <w:rPr>
          <w:rFonts w:hint="cs"/>
          <w:rtl/>
        </w:rPr>
        <w:t>ظ</w:t>
      </w:r>
      <w:r w:rsidRPr="00904FCB">
        <w:rPr>
          <w:rFonts w:hint="cs"/>
          <w:rtl/>
        </w:rPr>
        <w:t>ورات</w:t>
      </w:r>
      <w:r w:rsidR="0056540E" w:rsidRPr="00904FCB">
        <w:rPr>
          <w:rFonts w:hint="cs"/>
          <w:rtl/>
        </w:rPr>
        <w:t>؛</w:t>
      </w:r>
      <w:r w:rsidRPr="00904FCB">
        <w:rPr>
          <w:rFonts w:hint="cs"/>
          <w:rtl/>
        </w:rPr>
        <w:t xml:space="preserve"> أو نلتزم ب</w:t>
      </w:r>
      <w:r w:rsidR="0056540E" w:rsidRPr="00904FCB">
        <w:rPr>
          <w:rFonts w:hint="cs"/>
          <w:rtl/>
        </w:rPr>
        <w:t>أ</w:t>
      </w:r>
      <w:r w:rsidRPr="00904FCB">
        <w:rPr>
          <w:rFonts w:hint="cs"/>
          <w:rtl/>
        </w:rPr>
        <w:t>ن الدين لا يزال ينتصر برجل</w:t>
      </w:r>
      <w:r w:rsidR="0056540E" w:rsidRPr="00904FCB">
        <w:rPr>
          <w:rFonts w:hint="cs"/>
          <w:rtl/>
        </w:rPr>
        <w:t>ٍ</w:t>
      </w:r>
      <w:r w:rsidRPr="00904FCB">
        <w:rPr>
          <w:rFonts w:hint="cs"/>
          <w:rtl/>
        </w:rPr>
        <w:t xml:space="preserve"> فاسق</w:t>
      </w:r>
      <w:r w:rsidR="0056540E" w:rsidRPr="00904FCB">
        <w:rPr>
          <w:rFonts w:hint="cs"/>
          <w:rtl/>
        </w:rPr>
        <w:t>،</w:t>
      </w:r>
      <w:r w:rsidRPr="00904FCB">
        <w:rPr>
          <w:rFonts w:hint="cs"/>
          <w:rtl/>
        </w:rPr>
        <w:t xml:space="preserve"> فالحمد لله الذي أعطى القدرة والشوكة لآل سعود حت</w:t>
      </w:r>
      <w:r w:rsidR="0056540E" w:rsidRPr="00904FCB">
        <w:rPr>
          <w:rFonts w:hint="cs"/>
          <w:rtl/>
        </w:rPr>
        <w:t>ّ</w:t>
      </w:r>
      <w:r w:rsidRPr="00904FCB">
        <w:rPr>
          <w:rFonts w:hint="cs"/>
          <w:rtl/>
        </w:rPr>
        <w:t>ى يصد</w:t>
      </w:r>
      <w:r w:rsidR="0056540E" w:rsidRPr="00904FCB">
        <w:rPr>
          <w:rFonts w:hint="cs"/>
          <w:rtl/>
        </w:rPr>
        <w:t>ّ</w:t>
      </w:r>
      <w:r w:rsidRPr="00904FCB">
        <w:rPr>
          <w:rFonts w:hint="cs"/>
          <w:rtl/>
        </w:rPr>
        <w:t>و</w:t>
      </w:r>
      <w:r w:rsidR="0056540E" w:rsidRPr="00904FCB">
        <w:rPr>
          <w:rFonts w:hint="cs"/>
          <w:rtl/>
        </w:rPr>
        <w:t>ا</w:t>
      </w:r>
      <w:r w:rsidRPr="00904FCB">
        <w:rPr>
          <w:rFonts w:hint="cs"/>
          <w:rtl/>
        </w:rPr>
        <w:t xml:space="preserve"> عن سبيل الله</w:t>
      </w:r>
      <w:r w:rsidR="0056540E" w:rsidRPr="00904FCB">
        <w:rPr>
          <w:rFonts w:hint="cs"/>
          <w:rtl/>
        </w:rPr>
        <w:t>،</w:t>
      </w:r>
      <w:r w:rsidRPr="00904FCB">
        <w:rPr>
          <w:rFonts w:hint="cs"/>
          <w:rtl/>
        </w:rPr>
        <w:t xml:space="preserve"> ويمنعو</w:t>
      </w:r>
      <w:r w:rsidR="0056540E" w:rsidRPr="00904FCB">
        <w:rPr>
          <w:rFonts w:hint="cs"/>
          <w:rtl/>
        </w:rPr>
        <w:t>ا</w:t>
      </w:r>
      <w:r w:rsidRPr="00904FCB">
        <w:rPr>
          <w:rFonts w:hint="cs"/>
          <w:rtl/>
        </w:rPr>
        <w:t xml:space="preserve"> أن يدخل مك</w:t>
      </w:r>
      <w:r w:rsidR="0056540E" w:rsidRPr="00904FCB">
        <w:rPr>
          <w:rFonts w:hint="cs"/>
          <w:rtl/>
        </w:rPr>
        <w:t>ّ</w:t>
      </w:r>
      <w:r w:rsidRPr="00904FCB">
        <w:rPr>
          <w:rFonts w:hint="cs"/>
          <w:rtl/>
        </w:rPr>
        <w:t>ة أكثر من هذا المقدار!</w:t>
      </w:r>
      <w:r w:rsidR="0056540E" w:rsidRPr="00904FCB">
        <w:rPr>
          <w:rFonts w:hint="cs"/>
          <w:rtl/>
        </w:rPr>
        <w:t>!</w:t>
      </w:r>
    </w:p>
    <w:p w:rsidR="005B6CEC" w:rsidRPr="00904FCB" w:rsidRDefault="005B6CEC" w:rsidP="007A21AA">
      <w:pPr>
        <w:spacing w:line="400" w:lineRule="exact"/>
        <w:rPr>
          <w:rtl/>
        </w:rPr>
      </w:pPr>
      <w:r w:rsidRPr="00904FCB">
        <w:rPr>
          <w:rFonts w:hint="cs"/>
          <w:rtl/>
        </w:rPr>
        <w:t>والالتزام بكل واحد</w:t>
      </w:r>
      <w:r w:rsidR="0056540E" w:rsidRPr="00904FCB">
        <w:rPr>
          <w:rFonts w:hint="cs"/>
          <w:rtl/>
        </w:rPr>
        <w:t>ٍ</w:t>
      </w:r>
      <w:r w:rsidRPr="00904FCB">
        <w:rPr>
          <w:rFonts w:hint="cs"/>
          <w:rtl/>
        </w:rPr>
        <w:t xml:space="preserve"> من هذه الطرق</w:t>
      </w:r>
      <w:r w:rsidR="0056540E" w:rsidRPr="00904FCB">
        <w:rPr>
          <w:rFonts w:hint="cs"/>
          <w:rtl/>
        </w:rPr>
        <w:t xml:space="preserve">، </w:t>
      </w:r>
      <w:r w:rsidRPr="00904FCB">
        <w:rPr>
          <w:rFonts w:hint="cs"/>
          <w:rtl/>
        </w:rPr>
        <w:t>والإفتاء بها</w:t>
      </w:r>
      <w:r w:rsidR="0056540E" w:rsidRPr="00904FCB">
        <w:rPr>
          <w:rFonts w:hint="cs"/>
          <w:rtl/>
        </w:rPr>
        <w:t>،</w:t>
      </w:r>
      <w:r w:rsidRPr="00904FCB">
        <w:rPr>
          <w:rFonts w:hint="cs"/>
          <w:rtl/>
        </w:rPr>
        <w:t xml:space="preserve"> يحتاج إلى مزيد مؤنة</w:t>
      </w:r>
      <w:r w:rsidR="0056540E" w:rsidRPr="00904FCB">
        <w:rPr>
          <w:rFonts w:hint="cs"/>
          <w:rtl/>
        </w:rPr>
        <w:t>ٍ</w:t>
      </w:r>
      <w:r w:rsidRPr="00904FCB">
        <w:rPr>
          <w:rFonts w:hint="cs"/>
          <w:rtl/>
        </w:rPr>
        <w:t xml:space="preserve"> </w:t>
      </w:r>
      <w:r w:rsidR="00A856D8" w:rsidRPr="00904FCB">
        <w:rPr>
          <w:rFonts w:hint="cs"/>
          <w:rtl/>
        </w:rPr>
        <w:t>و</w:t>
      </w:r>
      <w:r w:rsidRPr="00904FCB">
        <w:rPr>
          <w:rFonts w:hint="cs"/>
          <w:rtl/>
        </w:rPr>
        <w:t>دق</w:t>
      </w:r>
      <w:r w:rsidR="0056540E" w:rsidRPr="00904FCB">
        <w:rPr>
          <w:rFonts w:hint="cs"/>
          <w:rtl/>
        </w:rPr>
        <w:t>ّ</w:t>
      </w:r>
      <w:r w:rsidRPr="00904FCB">
        <w:rPr>
          <w:rFonts w:hint="cs"/>
          <w:rtl/>
        </w:rPr>
        <w:t>ة. فالأحسن أن نلتزم بما هو مقتضى فعل الإمام</w:t>
      </w:r>
      <w:r w:rsidR="001C1A2A" w:rsidRPr="00904FCB">
        <w:rPr>
          <w:rFonts w:cs="Mosawi" w:hint="cs"/>
          <w:szCs w:val="22"/>
          <w:rtl/>
        </w:rPr>
        <w:t>×</w:t>
      </w:r>
      <w:r w:rsidR="0056540E" w:rsidRPr="00904FCB">
        <w:rPr>
          <w:rFonts w:hint="cs"/>
          <w:rtl/>
        </w:rPr>
        <w:t>،</w:t>
      </w:r>
      <w:r w:rsidRPr="00904FCB">
        <w:rPr>
          <w:rFonts w:hint="cs"/>
          <w:rtl/>
        </w:rPr>
        <w:t xml:space="preserve"> وخالٍ عن أيّ شبهة</w:t>
      </w:r>
      <w:r w:rsidR="0056540E" w:rsidRPr="00904FCB">
        <w:rPr>
          <w:rFonts w:hint="cs"/>
          <w:rtl/>
        </w:rPr>
        <w:t>ٍ،</w:t>
      </w:r>
      <w:r w:rsidRPr="00904FCB">
        <w:rPr>
          <w:rFonts w:hint="cs"/>
          <w:rtl/>
        </w:rPr>
        <w:t xml:space="preserve"> ويحل مشكلة عصرنا أيضاً</w:t>
      </w:r>
      <w:r w:rsidR="0056540E" w:rsidRPr="00904FCB">
        <w:rPr>
          <w:rFonts w:hint="cs"/>
          <w:rtl/>
        </w:rPr>
        <w:t>،</w:t>
      </w:r>
      <w:r w:rsidRPr="00904FCB">
        <w:rPr>
          <w:rFonts w:hint="cs"/>
          <w:rtl/>
        </w:rPr>
        <w:t xml:space="preserve"> ولا يضر</w:t>
      </w:r>
      <w:r w:rsidR="00943612">
        <w:rPr>
          <w:rFonts w:hint="cs"/>
          <w:rtl/>
        </w:rPr>
        <w:t>ّ</w:t>
      </w:r>
      <w:r w:rsidRPr="00904FCB">
        <w:rPr>
          <w:rFonts w:hint="cs"/>
          <w:rtl/>
        </w:rPr>
        <w:t xml:space="preserve"> بحكمة الأحكام</w:t>
      </w:r>
      <w:r w:rsidR="0056540E" w:rsidRPr="00904FCB">
        <w:rPr>
          <w:rFonts w:hint="cs"/>
          <w:rtl/>
        </w:rPr>
        <w:t>،</w:t>
      </w:r>
      <w:r w:rsidRPr="00904FCB">
        <w:rPr>
          <w:rFonts w:hint="cs"/>
          <w:rtl/>
        </w:rPr>
        <w:t xml:space="preserve"> أي التذكر</w:t>
      </w:r>
      <w:r w:rsidR="0056540E" w:rsidRPr="00904FCB">
        <w:rPr>
          <w:rFonts w:hint="cs"/>
          <w:rtl/>
        </w:rPr>
        <w:t>ة</w:t>
      </w:r>
      <w:r w:rsidRPr="00904FCB">
        <w:rPr>
          <w:rFonts w:hint="cs"/>
          <w:rtl/>
        </w:rPr>
        <w:t xml:space="preserve"> بقصة إبراهيم من ناحية</w:t>
      </w:r>
      <w:r w:rsidR="0056540E" w:rsidRPr="00904FCB">
        <w:rPr>
          <w:rFonts w:hint="cs"/>
          <w:rtl/>
        </w:rPr>
        <w:t>،</w:t>
      </w:r>
      <w:r w:rsidRPr="00904FCB">
        <w:rPr>
          <w:rFonts w:hint="cs"/>
          <w:rtl/>
        </w:rPr>
        <w:t xml:space="preserve"> وإطعام المساكين والفقراء من ناحية أخرى</w:t>
      </w:r>
      <w:r w:rsidR="0056540E" w:rsidRPr="00904FCB">
        <w:rPr>
          <w:rFonts w:hint="cs"/>
          <w:rtl/>
        </w:rPr>
        <w:t>،</w:t>
      </w:r>
      <w:r w:rsidRPr="00904FCB">
        <w:rPr>
          <w:rFonts w:hint="cs"/>
          <w:rtl/>
        </w:rPr>
        <w:t xml:space="preserve"> وهو أن يقال بجواز بل لزوم ذبح الهدي في خارج من منى</w:t>
      </w:r>
      <w:r w:rsidR="00417EDC" w:rsidRPr="00904FCB">
        <w:rPr>
          <w:rFonts w:hint="cs"/>
          <w:rtl/>
        </w:rPr>
        <w:t>،</w:t>
      </w:r>
      <w:r w:rsidRPr="00904FCB">
        <w:rPr>
          <w:rFonts w:hint="cs"/>
          <w:rtl/>
        </w:rPr>
        <w:t xml:space="preserve"> وإرسال لحومها إلى الثلاجات وما شابهها</w:t>
      </w:r>
      <w:r w:rsidR="00417EDC" w:rsidRPr="00904FCB">
        <w:rPr>
          <w:rFonts w:hint="cs"/>
          <w:rtl/>
        </w:rPr>
        <w:t>،</w:t>
      </w:r>
      <w:r w:rsidRPr="00904FCB">
        <w:rPr>
          <w:rFonts w:hint="cs"/>
          <w:rtl/>
        </w:rPr>
        <w:t xml:space="preserve"> وإرسالها إلى المناطق الفقيرة</w:t>
      </w:r>
      <w:r w:rsidR="00417EDC" w:rsidRPr="00904FCB">
        <w:rPr>
          <w:rFonts w:hint="cs"/>
          <w:rtl/>
        </w:rPr>
        <w:t>،</w:t>
      </w:r>
      <w:r w:rsidRPr="00904FCB">
        <w:rPr>
          <w:rFonts w:hint="cs"/>
          <w:rtl/>
        </w:rPr>
        <w:t xml:space="preserve"> نظير</w:t>
      </w:r>
      <w:r w:rsidR="00417EDC" w:rsidRPr="00904FCB">
        <w:rPr>
          <w:rFonts w:hint="cs"/>
          <w:rtl/>
        </w:rPr>
        <w:t>:</w:t>
      </w:r>
      <w:r w:rsidRPr="00904FCB">
        <w:rPr>
          <w:rFonts w:hint="cs"/>
          <w:rtl/>
        </w:rPr>
        <w:t xml:space="preserve"> أفريقيا. </w:t>
      </w:r>
    </w:p>
    <w:p w:rsidR="005B6CEC" w:rsidRPr="00904FCB" w:rsidRDefault="005B6CEC" w:rsidP="00510A75">
      <w:pPr>
        <w:spacing w:line="400" w:lineRule="exact"/>
        <w:rPr>
          <w:rtl/>
        </w:rPr>
      </w:pPr>
      <w:r w:rsidRPr="00904FCB">
        <w:rPr>
          <w:rFonts w:hint="cs"/>
          <w:rtl/>
        </w:rPr>
        <w:t xml:space="preserve">وهذا </w:t>
      </w:r>
      <w:r w:rsidR="00417EDC" w:rsidRPr="00904FCB">
        <w:rPr>
          <w:rFonts w:hint="cs"/>
          <w:rtl/>
        </w:rPr>
        <w:t>هو الطريق المتَّبَع</w:t>
      </w:r>
      <w:r w:rsidRPr="00904FCB">
        <w:rPr>
          <w:rFonts w:hint="cs"/>
          <w:rtl/>
        </w:rPr>
        <w:t xml:space="preserve"> حالياً</w:t>
      </w:r>
      <w:r w:rsidR="00417EDC" w:rsidRPr="00904FCB">
        <w:rPr>
          <w:rFonts w:hint="cs"/>
          <w:rtl/>
        </w:rPr>
        <w:t>.</w:t>
      </w:r>
      <w:r w:rsidRPr="00904FCB">
        <w:rPr>
          <w:rFonts w:hint="cs"/>
          <w:rtl/>
        </w:rPr>
        <w:t xml:space="preserve"> ونحن بي</w:t>
      </w:r>
      <w:r w:rsidR="00417EDC" w:rsidRPr="00904FCB">
        <w:rPr>
          <w:rFonts w:hint="cs"/>
          <w:rtl/>
        </w:rPr>
        <w:t>َّ</w:t>
      </w:r>
      <w:r w:rsidRPr="00904FCB">
        <w:rPr>
          <w:rFonts w:hint="cs"/>
          <w:rtl/>
        </w:rPr>
        <w:t>نّاه ورفعنا الغبار عنه</w:t>
      </w:r>
      <w:r w:rsidR="00417EDC" w:rsidRPr="00904FCB">
        <w:rPr>
          <w:rFonts w:hint="cs"/>
          <w:rtl/>
        </w:rPr>
        <w:t>،</w:t>
      </w:r>
      <w:r w:rsidRPr="00904FCB">
        <w:rPr>
          <w:rFonts w:hint="cs"/>
          <w:rtl/>
        </w:rPr>
        <w:t xml:space="preserve"> ليس من باب الضرورة حت</w:t>
      </w:r>
      <w:r w:rsidR="00417EDC" w:rsidRPr="00904FCB">
        <w:rPr>
          <w:rFonts w:hint="cs"/>
          <w:rtl/>
        </w:rPr>
        <w:t>ّ</w:t>
      </w:r>
      <w:r w:rsidRPr="00904FCB">
        <w:rPr>
          <w:rFonts w:hint="cs"/>
          <w:rtl/>
        </w:rPr>
        <w:t xml:space="preserve">ى يرجع إلينا نفس الإشكال الذي قلناه سابقاً ـ وهو لزوم غفلة الشارع عن </w:t>
      </w:r>
      <w:r w:rsidRPr="00904FCB">
        <w:rPr>
          <w:rFonts w:hint="cs"/>
          <w:rtl/>
        </w:rPr>
        <w:lastRenderedPageBreak/>
        <w:t>هذه المشاكل الحاصلة في عصرنا ـ</w:t>
      </w:r>
      <w:r w:rsidR="00417EDC" w:rsidRPr="00904FCB">
        <w:rPr>
          <w:rFonts w:hint="cs"/>
          <w:rtl/>
        </w:rPr>
        <w:t>،</w:t>
      </w:r>
      <w:r w:rsidRPr="00904FCB">
        <w:rPr>
          <w:rFonts w:hint="cs"/>
          <w:rtl/>
        </w:rPr>
        <w:t xml:space="preserve"> بل الشيء الذي كنّا بصدده هو أن وجوب الذبح بمنى لا دليل له من طرقنا</w:t>
      </w:r>
      <w:r w:rsidR="00417EDC" w:rsidRPr="00904FCB">
        <w:rPr>
          <w:rFonts w:hint="cs"/>
          <w:rtl/>
        </w:rPr>
        <w:t>،</w:t>
      </w:r>
      <w:r w:rsidRPr="00904FCB">
        <w:rPr>
          <w:rFonts w:hint="cs"/>
          <w:rtl/>
        </w:rPr>
        <w:t xml:space="preserve"> فنحن أولى </w:t>
      </w:r>
      <w:r w:rsidR="00417EDC" w:rsidRPr="00904FCB">
        <w:rPr>
          <w:rFonts w:hint="cs"/>
          <w:rtl/>
        </w:rPr>
        <w:t>با</w:t>
      </w:r>
      <w:r w:rsidRPr="00904FCB">
        <w:rPr>
          <w:rFonts w:hint="cs"/>
          <w:rtl/>
        </w:rPr>
        <w:t>لحكم باستحباب الذبح في منى من أهل السن</w:t>
      </w:r>
      <w:r w:rsidR="00417EDC" w:rsidRPr="00904FCB">
        <w:rPr>
          <w:rFonts w:hint="cs"/>
          <w:rtl/>
        </w:rPr>
        <w:t>ّ</w:t>
      </w:r>
      <w:r w:rsidRPr="00904FCB">
        <w:rPr>
          <w:rFonts w:hint="cs"/>
          <w:rtl/>
        </w:rPr>
        <w:t>ة</w:t>
      </w:r>
      <w:r w:rsidR="00417EDC" w:rsidRPr="00904FCB">
        <w:rPr>
          <w:rFonts w:hint="cs"/>
          <w:rtl/>
        </w:rPr>
        <w:t>،</w:t>
      </w:r>
      <w:r w:rsidRPr="00904FCB">
        <w:rPr>
          <w:rFonts w:hint="cs"/>
          <w:rtl/>
        </w:rPr>
        <w:t xml:space="preserve"> واستدلال العلا</w:t>
      </w:r>
      <w:r w:rsidR="00417EDC" w:rsidRPr="00904FCB">
        <w:rPr>
          <w:rFonts w:hint="cs"/>
          <w:rtl/>
        </w:rPr>
        <w:t>ّ</w:t>
      </w:r>
      <w:r w:rsidRPr="00904FCB">
        <w:rPr>
          <w:rFonts w:hint="cs"/>
          <w:rtl/>
        </w:rPr>
        <w:t>مة في كتاب</w:t>
      </w:r>
      <w:r w:rsidR="00417EDC" w:rsidRPr="00904FCB">
        <w:rPr>
          <w:rFonts w:hint="cs"/>
          <w:rtl/>
        </w:rPr>
        <w:t>َ</w:t>
      </w:r>
      <w:r w:rsidRPr="00904FCB">
        <w:rPr>
          <w:rFonts w:hint="cs"/>
          <w:rtl/>
        </w:rPr>
        <w:t>ي</w:t>
      </w:r>
      <w:r w:rsidR="00417EDC" w:rsidRPr="00904FCB">
        <w:rPr>
          <w:rFonts w:hint="cs"/>
          <w:rtl/>
        </w:rPr>
        <w:t>ْ</w:t>
      </w:r>
      <w:r w:rsidRPr="00904FCB">
        <w:rPr>
          <w:rFonts w:hint="cs"/>
          <w:rtl/>
        </w:rPr>
        <w:t>ه كان لإسكاتهم</w:t>
      </w:r>
      <w:r w:rsidR="00417EDC" w:rsidRPr="00904FCB">
        <w:rPr>
          <w:rFonts w:hint="cs"/>
          <w:rtl/>
        </w:rPr>
        <w:t>،</w:t>
      </w:r>
      <w:r w:rsidRPr="00904FCB">
        <w:rPr>
          <w:rFonts w:hint="cs"/>
          <w:rtl/>
        </w:rPr>
        <w:t xml:space="preserve"> ولم يكن أدل</w:t>
      </w:r>
      <w:r w:rsidR="00417EDC" w:rsidRPr="00904FCB">
        <w:rPr>
          <w:rFonts w:hint="cs"/>
          <w:rtl/>
        </w:rPr>
        <w:t>ّ</w:t>
      </w:r>
      <w:r w:rsidRPr="00904FCB">
        <w:rPr>
          <w:rFonts w:hint="cs"/>
          <w:rtl/>
        </w:rPr>
        <w:t>ة</w:t>
      </w:r>
      <w:r w:rsidR="00417EDC" w:rsidRPr="00904FCB">
        <w:rPr>
          <w:rFonts w:hint="cs"/>
          <w:rtl/>
        </w:rPr>
        <w:t>ً</w:t>
      </w:r>
      <w:r w:rsidRPr="00904FCB">
        <w:rPr>
          <w:rFonts w:hint="cs"/>
          <w:rtl/>
        </w:rPr>
        <w:t xml:space="preserve"> حقيقة</w:t>
      </w:r>
      <w:r w:rsidR="00417EDC" w:rsidRPr="00904FCB">
        <w:rPr>
          <w:rFonts w:hint="cs"/>
          <w:rtl/>
        </w:rPr>
        <w:t>،</w:t>
      </w:r>
      <w:r w:rsidRPr="00904FCB">
        <w:rPr>
          <w:rFonts w:hint="cs"/>
          <w:rtl/>
        </w:rPr>
        <w:t xml:space="preserve"> وهو</w:t>
      </w:r>
      <w:r w:rsidR="00510A75" w:rsidRPr="00756F2A">
        <w:rPr>
          <w:rFonts w:ascii="Mosawi" w:hAnsi="Mosawi" w:cs="Mosawi"/>
          <w:sz w:val="22"/>
          <w:szCs w:val="22"/>
          <w:rtl/>
        </w:rPr>
        <w:t>&amp;</w:t>
      </w:r>
      <w:r w:rsidRPr="00904FCB">
        <w:rPr>
          <w:rFonts w:hint="cs"/>
          <w:rtl/>
        </w:rPr>
        <w:t xml:space="preserve"> كان </w:t>
      </w:r>
      <w:r w:rsidR="00417EDC" w:rsidRPr="00904FCB">
        <w:rPr>
          <w:rFonts w:hint="cs"/>
          <w:rtl/>
        </w:rPr>
        <w:t>يظنّ</w:t>
      </w:r>
      <w:r w:rsidRPr="00904FCB">
        <w:rPr>
          <w:rFonts w:hint="cs"/>
          <w:rtl/>
        </w:rPr>
        <w:t xml:space="preserve"> أن هذا الحكم مفروغ</w:t>
      </w:r>
      <w:r w:rsidR="00417EDC" w:rsidRPr="00904FCB">
        <w:rPr>
          <w:rFonts w:hint="cs"/>
          <w:rtl/>
        </w:rPr>
        <w:t>ٌ</w:t>
      </w:r>
      <w:r w:rsidRPr="00904FCB">
        <w:rPr>
          <w:rFonts w:hint="cs"/>
          <w:rtl/>
        </w:rPr>
        <w:t xml:space="preserve"> عنه عندنا</w:t>
      </w:r>
      <w:r w:rsidR="00417EDC" w:rsidRPr="00904FCB">
        <w:rPr>
          <w:rFonts w:hint="cs"/>
          <w:rtl/>
        </w:rPr>
        <w:t>،</w:t>
      </w:r>
      <w:r w:rsidRPr="00904FCB">
        <w:rPr>
          <w:rFonts w:hint="cs"/>
          <w:rtl/>
        </w:rPr>
        <w:t xml:space="preserve"> فكان يريد إسكات الخصم فقط. </w:t>
      </w:r>
    </w:p>
    <w:p w:rsidR="005B6CEC" w:rsidRPr="00904FCB" w:rsidRDefault="005B6CEC" w:rsidP="00943612">
      <w:pPr>
        <w:spacing w:line="400" w:lineRule="exact"/>
        <w:rPr>
          <w:rtl/>
        </w:rPr>
      </w:pPr>
      <w:r w:rsidRPr="00904FCB">
        <w:rPr>
          <w:rFonts w:hint="cs"/>
          <w:rtl/>
        </w:rPr>
        <w:t>إلى هنا تمّ الدليل الثاني الذي ذكروه لوجوب الذبح بمنى</w:t>
      </w:r>
      <w:r w:rsidR="00417EDC" w:rsidRPr="00904FCB">
        <w:rPr>
          <w:rFonts w:hint="cs"/>
          <w:rtl/>
        </w:rPr>
        <w:t>.</w:t>
      </w:r>
      <w:r w:rsidRPr="00904FCB">
        <w:rPr>
          <w:rFonts w:hint="cs"/>
          <w:rtl/>
        </w:rPr>
        <w:t xml:space="preserve"> ولكن</w:t>
      </w:r>
      <w:r w:rsidR="00417EDC" w:rsidRPr="00904FCB">
        <w:rPr>
          <w:rFonts w:hint="cs"/>
          <w:rtl/>
        </w:rPr>
        <w:t>ْ</w:t>
      </w:r>
      <w:r w:rsidRPr="00904FCB">
        <w:rPr>
          <w:rFonts w:hint="cs"/>
          <w:rtl/>
        </w:rPr>
        <w:t xml:space="preserve"> لم نتكلم حول صحيحة منصور بن حازم</w:t>
      </w:r>
      <w:r w:rsidR="00417EDC" w:rsidRPr="00904FCB">
        <w:rPr>
          <w:rFonts w:hint="cs"/>
          <w:rtl/>
        </w:rPr>
        <w:t>؛</w:t>
      </w:r>
      <w:r w:rsidRPr="00904FCB">
        <w:rPr>
          <w:rFonts w:hint="cs"/>
          <w:rtl/>
        </w:rPr>
        <w:t xml:space="preserve"> إذ يجوز حمله على الأحكام الموسمية</w:t>
      </w:r>
      <w:r w:rsidR="00417EDC" w:rsidRPr="00904FCB">
        <w:rPr>
          <w:rFonts w:hint="cs"/>
          <w:rtl/>
        </w:rPr>
        <w:t>،</w:t>
      </w:r>
      <w:r w:rsidRPr="00904FCB">
        <w:rPr>
          <w:rFonts w:hint="cs"/>
          <w:rtl/>
        </w:rPr>
        <w:t xml:space="preserve"> كما شرحنا</w:t>
      </w:r>
      <w:r w:rsidR="00417EDC" w:rsidRPr="00904FCB">
        <w:rPr>
          <w:rFonts w:hint="cs"/>
          <w:rtl/>
        </w:rPr>
        <w:t>،</w:t>
      </w:r>
      <w:r w:rsidRPr="00904FCB">
        <w:rPr>
          <w:rFonts w:hint="cs"/>
          <w:rtl/>
        </w:rPr>
        <w:t xml:space="preserve"> وأيضاً فيه بعض الأمور الذي </w:t>
      </w:r>
      <w:r w:rsidR="00417EDC" w:rsidRPr="00904FCB">
        <w:rPr>
          <w:rFonts w:hint="cs"/>
          <w:rtl/>
        </w:rPr>
        <w:t xml:space="preserve">يشكل </w:t>
      </w:r>
      <w:r w:rsidRPr="00904FCB">
        <w:rPr>
          <w:rFonts w:hint="cs"/>
          <w:rtl/>
        </w:rPr>
        <w:t>الالتزام به</w:t>
      </w:r>
      <w:r w:rsidR="00417EDC" w:rsidRPr="00904FCB">
        <w:rPr>
          <w:rFonts w:hint="cs"/>
          <w:rtl/>
        </w:rPr>
        <w:t>ا،</w:t>
      </w:r>
      <w:r w:rsidRPr="00904FCB">
        <w:rPr>
          <w:rFonts w:hint="cs"/>
          <w:rtl/>
        </w:rPr>
        <w:t xml:space="preserve"> </w:t>
      </w:r>
      <w:r w:rsidR="00417EDC" w:rsidRPr="00904FCB">
        <w:rPr>
          <w:rFonts w:hint="cs"/>
          <w:rtl/>
        </w:rPr>
        <w:t>و</w:t>
      </w:r>
      <w:r w:rsidRPr="00904FCB">
        <w:rPr>
          <w:rFonts w:hint="cs"/>
          <w:rtl/>
        </w:rPr>
        <w:t>منها</w:t>
      </w:r>
      <w:r w:rsidR="00417EDC" w:rsidRPr="00904FCB">
        <w:rPr>
          <w:rFonts w:hint="cs"/>
          <w:rtl/>
        </w:rPr>
        <w:t>:</w:t>
      </w:r>
      <w:r w:rsidRPr="00904FCB">
        <w:rPr>
          <w:rFonts w:hint="cs"/>
          <w:rtl/>
        </w:rPr>
        <w:t xml:space="preserve"> جواز الذبح عن الغير</w:t>
      </w:r>
      <w:r w:rsidR="00417EDC" w:rsidRPr="00904FCB">
        <w:rPr>
          <w:rFonts w:hint="cs"/>
          <w:rtl/>
        </w:rPr>
        <w:t>،</w:t>
      </w:r>
      <w:r w:rsidRPr="00904FCB">
        <w:rPr>
          <w:rFonts w:hint="cs"/>
          <w:rtl/>
        </w:rPr>
        <w:t xml:space="preserve"> وكفايته عنه</w:t>
      </w:r>
      <w:r w:rsidR="00417EDC" w:rsidRPr="00904FCB">
        <w:rPr>
          <w:rFonts w:hint="cs"/>
          <w:rtl/>
        </w:rPr>
        <w:t>،</w:t>
      </w:r>
      <w:r w:rsidRPr="00904FCB">
        <w:rPr>
          <w:rFonts w:hint="cs"/>
          <w:rtl/>
        </w:rPr>
        <w:t xml:space="preserve"> و</w:t>
      </w:r>
      <w:r w:rsidR="00417EDC" w:rsidRPr="00904FCB">
        <w:rPr>
          <w:rFonts w:hint="cs"/>
          <w:rtl/>
        </w:rPr>
        <w:t>إ</w:t>
      </w:r>
      <w:r w:rsidRPr="00904FCB">
        <w:rPr>
          <w:rFonts w:hint="cs"/>
          <w:rtl/>
        </w:rPr>
        <w:t>ن</w:t>
      </w:r>
      <w:r w:rsidR="00417EDC" w:rsidRPr="00904FCB">
        <w:rPr>
          <w:rFonts w:hint="cs"/>
          <w:rtl/>
        </w:rPr>
        <w:t>ْ</w:t>
      </w:r>
      <w:r w:rsidRPr="00904FCB">
        <w:rPr>
          <w:rFonts w:hint="cs"/>
          <w:rtl/>
        </w:rPr>
        <w:t xml:space="preserve"> لم ي</w:t>
      </w:r>
      <w:r w:rsidR="00417EDC" w:rsidRPr="00904FCB">
        <w:rPr>
          <w:rFonts w:hint="cs"/>
          <w:rtl/>
        </w:rPr>
        <w:t>َ</w:t>
      </w:r>
      <w:r w:rsidRPr="00904FCB">
        <w:rPr>
          <w:rFonts w:hint="cs"/>
          <w:rtl/>
        </w:rPr>
        <w:t>ن</w:t>
      </w:r>
      <w:r w:rsidR="00417EDC" w:rsidRPr="00904FCB">
        <w:rPr>
          <w:rFonts w:hint="cs"/>
          <w:rtl/>
        </w:rPr>
        <w:t>ْ</w:t>
      </w:r>
      <w:r w:rsidRPr="00904FCB">
        <w:rPr>
          <w:rFonts w:hint="cs"/>
          <w:rtl/>
        </w:rPr>
        <w:t>و</w:t>
      </w:r>
      <w:r w:rsidR="00417EDC" w:rsidRPr="00904FCB">
        <w:rPr>
          <w:rFonts w:hint="cs"/>
          <w:rtl/>
        </w:rPr>
        <w:t>ِ</w:t>
      </w:r>
      <w:r w:rsidRPr="00904FCB">
        <w:rPr>
          <w:rFonts w:hint="cs"/>
          <w:rtl/>
        </w:rPr>
        <w:t xml:space="preserve"> عنه</w:t>
      </w:r>
      <w:r w:rsidR="00417EDC" w:rsidRPr="00904FCB">
        <w:rPr>
          <w:rFonts w:hint="cs"/>
          <w:rtl/>
        </w:rPr>
        <w:t>،</w:t>
      </w:r>
      <w:r w:rsidRPr="00904FCB">
        <w:rPr>
          <w:rFonts w:hint="cs"/>
          <w:rtl/>
        </w:rPr>
        <w:t xml:space="preserve"> ولم يكن وكيلاً أو متول</w:t>
      </w:r>
      <w:r w:rsidR="00417EDC" w:rsidRPr="00904FCB">
        <w:rPr>
          <w:rFonts w:hint="cs"/>
          <w:rtl/>
        </w:rPr>
        <w:t>ِّ</w:t>
      </w:r>
      <w:r w:rsidRPr="00904FCB">
        <w:rPr>
          <w:rFonts w:hint="cs"/>
          <w:rtl/>
        </w:rPr>
        <w:t>ياً من ناحيته</w:t>
      </w:r>
      <w:r w:rsidR="00417EDC" w:rsidRPr="00904FCB">
        <w:rPr>
          <w:rFonts w:hint="cs"/>
          <w:rtl/>
        </w:rPr>
        <w:t>؛</w:t>
      </w:r>
      <w:r w:rsidRPr="00904FCB">
        <w:rPr>
          <w:rFonts w:hint="cs"/>
          <w:rtl/>
        </w:rPr>
        <w:t xml:space="preserve"> ومنها</w:t>
      </w:r>
      <w:r w:rsidR="00417EDC" w:rsidRPr="00904FCB">
        <w:rPr>
          <w:rFonts w:hint="cs"/>
          <w:rtl/>
        </w:rPr>
        <w:t>:</w:t>
      </w:r>
      <w:r w:rsidRPr="00904FCB">
        <w:rPr>
          <w:rFonts w:hint="cs"/>
          <w:rtl/>
        </w:rPr>
        <w:t xml:space="preserve"> احتمال أنه ذبحه في غير منى حت</w:t>
      </w:r>
      <w:r w:rsidR="00417EDC" w:rsidRPr="00904FCB">
        <w:rPr>
          <w:rFonts w:hint="cs"/>
          <w:rtl/>
        </w:rPr>
        <w:t>ّ</w:t>
      </w:r>
      <w:r w:rsidRPr="00904FCB">
        <w:rPr>
          <w:rFonts w:hint="cs"/>
          <w:rtl/>
        </w:rPr>
        <w:t>ى لا يراه أحد</w:t>
      </w:r>
      <w:r w:rsidR="00417EDC" w:rsidRPr="00904FCB">
        <w:rPr>
          <w:rFonts w:hint="cs"/>
          <w:rtl/>
        </w:rPr>
        <w:t>ٌ،</w:t>
      </w:r>
      <w:r w:rsidRPr="00904FCB">
        <w:rPr>
          <w:rFonts w:hint="cs"/>
          <w:rtl/>
        </w:rPr>
        <w:t xml:space="preserve"> فيأكل ويدّخر لنفسه</w:t>
      </w:r>
      <w:r w:rsidR="00417EDC" w:rsidRPr="00904FCB">
        <w:rPr>
          <w:rFonts w:hint="cs"/>
          <w:rtl/>
        </w:rPr>
        <w:t>،</w:t>
      </w:r>
      <w:r w:rsidRPr="00904FCB">
        <w:rPr>
          <w:rFonts w:hint="cs"/>
          <w:rtl/>
        </w:rPr>
        <w:t xml:space="preserve"> فالإمام</w:t>
      </w:r>
      <w:r w:rsidR="001C1A2A" w:rsidRPr="00904FCB">
        <w:rPr>
          <w:rFonts w:cs="Mosawi" w:hint="cs"/>
          <w:szCs w:val="22"/>
          <w:rtl/>
        </w:rPr>
        <w:t>×</w:t>
      </w:r>
      <w:r w:rsidRPr="00904FCB">
        <w:rPr>
          <w:rFonts w:hint="cs"/>
          <w:rtl/>
        </w:rPr>
        <w:t xml:space="preserve"> يقول</w:t>
      </w:r>
      <w:r w:rsidR="00417EDC" w:rsidRPr="00904FCB">
        <w:rPr>
          <w:rFonts w:hint="cs"/>
          <w:rtl/>
        </w:rPr>
        <w:t>:</w:t>
      </w:r>
      <w:r w:rsidRPr="00904FCB">
        <w:rPr>
          <w:rFonts w:hint="cs"/>
          <w:rtl/>
        </w:rPr>
        <w:t xml:space="preserve"> «</w:t>
      </w:r>
      <w:r w:rsidR="00417EDC" w:rsidRPr="00904FCB">
        <w:rPr>
          <w:rFonts w:hint="cs"/>
          <w:rtl/>
        </w:rPr>
        <w:t>إ</w:t>
      </w:r>
      <w:r w:rsidRPr="00904FCB">
        <w:rPr>
          <w:rFonts w:hint="cs"/>
          <w:rtl/>
        </w:rPr>
        <w:t>ن</w:t>
      </w:r>
      <w:r w:rsidR="00417EDC" w:rsidRPr="00904FCB">
        <w:rPr>
          <w:rFonts w:hint="cs"/>
          <w:rtl/>
        </w:rPr>
        <w:t>ْ</w:t>
      </w:r>
      <w:r w:rsidRPr="00904FCB">
        <w:rPr>
          <w:rFonts w:hint="cs"/>
          <w:rtl/>
        </w:rPr>
        <w:t xml:space="preserve"> كان نحره بمنى فقد أجز</w:t>
      </w:r>
      <w:r w:rsidR="00417EDC" w:rsidRPr="00904FCB">
        <w:rPr>
          <w:rFonts w:hint="cs"/>
          <w:rtl/>
        </w:rPr>
        <w:t>أ</w:t>
      </w:r>
      <w:r w:rsidRPr="00904FCB">
        <w:rPr>
          <w:rFonts w:hint="cs"/>
          <w:rtl/>
        </w:rPr>
        <w:t xml:space="preserve"> عن صاحبه الذي ضل</w:t>
      </w:r>
      <w:r w:rsidR="00417EDC" w:rsidRPr="00904FCB">
        <w:rPr>
          <w:rFonts w:hint="cs"/>
          <w:rtl/>
        </w:rPr>
        <w:t>َّ</w:t>
      </w:r>
      <w:r w:rsidRPr="00904FCB">
        <w:rPr>
          <w:rFonts w:hint="cs"/>
          <w:rtl/>
        </w:rPr>
        <w:t xml:space="preserve"> عنه»</w:t>
      </w:r>
      <w:r w:rsidR="00417EDC" w:rsidRPr="00904FCB">
        <w:rPr>
          <w:rFonts w:hint="cs"/>
          <w:rtl/>
        </w:rPr>
        <w:t>،</w:t>
      </w:r>
      <w:r w:rsidRPr="00904FCB">
        <w:rPr>
          <w:rFonts w:hint="cs"/>
          <w:rtl/>
        </w:rPr>
        <w:t xml:space="preserve"> ويؤيد هذا الاحتمال قوله</w:t>
      </w:r>
      <w:r w:rsidR="001C1A2A" w:rsidRPr="00904FCB">
        <w:rPr>
          <w:rFonts w:cs="Mosawi" w:hint="cs"/>
          <w:szCs w:val="22"/>
          <w:rtl/>
        </w:rPr>
        <w:t>×</w:t>
      </w:r>
      <w:r w:rsidR="00417EDC" w:rsidRPr="00904FCB">
        <w:rPr>
          <w:rFonts w:hint="cs"/>
          <w:rtl/>
        </w:rPr>
        <w:t>:</w:t>
      </w:r>
      <w:r w:rsidRPr="00904FCB">
        <w:rPr>
          <w:rFonts w:hint="cs"/>
          <w:rtl/>
        </w:rPr>
        <w:t xml:space="preserve"> «و</w:t>
      </w:r>
      <w:r w:rsidR="00417EDC" w:rsidRPr="00904FCB">
        <w:rPr>
          <w:rFonts w:hint="cs"/>
          <w:rtl/>
        </w:rPr>
        <w:t>إ</w:t>
      </w:r>
      <w:r w:rsidRPr="00904FCB">
        <w:rPr>
          <w:rFonts w:hint="cs"/>
          <w:rtl/>
        </w:rPr>
        <w:t>ن</w:t>
      </w:r>
      <w:r w:rsidR="00417EDC" w:rsidRPr="00904FCB">
        <w:rPr>
          <w:rFonts w:hint="cs"/>
          <w:rtl/>
        </w:rPr>
        <w:t>ْ</w:t>
      </w:r>
      <w:r w:rsidRPr="00904FCB">
        <w:rPr>
          <w:rFonts w:hint="cs"/>
          <w:rtl/>
        </w:rPr>
        <w:t xml:space="preserve"> كان نحره في غير منى</w:t>
      </w:r>
      <w:r w:rsidR="00417EDC" w:rsidRPr="00904FCB">
        <w:rPr>
          <w:rFonts w:hint="cs"/>
          <w:rtl/>
        </w:rPr>
        <w:t>،</w:t>
      </w:r>
      <w:r w:rsidRPr="00904FCB">
        <w:rPr>
          <w:rFonts w:hint="cs"/>
          <w:rtl/>
        </w:rPr>
        <w:t xml:space="preserve"> </w:t>
      </w:r>
      <w:r w:rsidR="00417EDC" w:rsidRPr="00904FCB">
        <w:rPr>
          <w:rFonts w:hint="cs"/>
          <w:rtl/>
        </w:rPr>
        <w:t xml:space="preserve">وليس </w:t>
      </w:r>
      <w:r w:rsidRPr="00904FCB">
        <w:rPr>
          <w:rFonts w:hint="cs"/>
          <w:rtl/>
        </w:rPr>
        <w:t xml:space="preserve">مقصوده من </w:t>
      </w:r>
      <w:r w:rsidR="00417EDC" w:rsidRPr="00904FCB">
        <w:rPr>
          <w:rFonts w:hint="cs"/>
          <w:rtl/>
        </w:rPr>
        <w:t>(</w:t>
      </w:r>
      <w:r w:rsidRPr="00904FCB">
        <w:rPr>
          <w:rFonts w:hint="cs"/>
          <w:rtl/>
        </w:rPr>
        <w:t>غير منى</w:t>
      </w:r>
      <w:r w:rsidR="00417EDC" w:rsidRPr="00904FCB">
        <w:rPr>
          <w:rFonts w:hint="cs"/>
          <w:rtl/>
        </w:rPr>
        <w:t>)</w:t>
      </w:r>
      <w:r w:rsidRPr="00904FCB">
        <w:rPr>
          <w:rFonts w:hint="cs"/>
          <w:rtl/>
        </w:rPr>
        <w:t xml:space="preserve"> مكّة فقط</w:t>
      </w:r>
      <w:r w:rsidR="00417EDC" w:rsidRPr="00904FCB">
        <w:rPr>
          <w:rFonts w:hint="cs"/>
          <w:rtl/>
        </w:rPr>
        <w:t>،</w:t>
      </w:r>
      <w:r w:rsidRPr="00904FCB">
        <w:rPr>
          <w:rFonts w:hint="cs"/>
          <w:rtl/>
        </w:rPr>
        <w:t xml:space="preserve"> بل مراده ـ والله </w:t>
      </w:r>
      <w:r w:rsidR="00417EDC" w:rsidRPr="00904FCB">
        <w:rPr>
          <w:rFonts w:hint="cs"/>
          <w:rtl/>
        </w:rPr>
        <w:t>ال</w:t>
      </w:r>
      <w:r w:rsidRPr="00904FCB">
        <w:rPr>
          <w:rFonts w:hint="cs"/>
          <w:rtl/>
        </w:rPr>
        <w:t>عالم ـ إن</w:t>
      </w:r>
      <w:r w:rsidR="00417EDC" w:rsidRPr="00904FCB">
        <w:rPr>
          <w:rFonts w:hint="cs"/>
          <w:rtl/>
        </w:rPr>
        <w:t>ْ</w:t>
      </w:r>
      <w:r w:rsidRPr="00904FCB">
        <w:rPr>
          <w:rFonts w:hint="cs"/>
          <w:rtl/>
        </w:rPr>
        <w:t xml:space="preserve"> لم ينحره في أمكنة</w:t>
      </w:r>
      <w:r w:rsidR="00417EDC" w:rsidRPr="00904FCB">
        <w:rPr>
          <w:rFonts w:hint="cs"/>
          <w:rtl/>
        </w:rPr>
        <w:t>ٍ</w:t>
      </w:r>
      <w:r w:rsidRPr="00904FCB">
        <w:rPr>
          <w:rFonts w:hint="cs"/>
          <w:rtl/>
        </w:rPr>
        <w:t xml:space="preserve"> ليس فيها أحد</w:t>
      </w:r>
      <w:r w:rsidR="00417EDC" w:rsidRPr="00904FCB">
        <w:rPr>
          <w:rFonts w:hint="cs"/>
          <w:rtl/>
        </w:rPr>
        <w:t>ٌ</w:t>
      </w:r>
      <w:r w:rsidRPr="00904FCB">
        <w:rPr>
          <w:rFonts w:hint="cs"/>
          <w:rtl/>
        </w:rPr>
        <w:t xml:space="preserve"> فيجزي</w:t>
      </w:r>
      <w:r w:rsidR="00417EDC" w:rsidRPr="00904FCB">
        <w:rPr>
          <w:rFonts w:hint="cs"/>
          <w:rtl/>
        </w:rPr>
        <w:t>؛</w:t>
      </w:r>
      <w:r w:rsidRPr="00904FCB">
        <w:rPr>
          <w:rFonts w:hint="cs"/>
          <w:rtl/>
        </w:rPr>
        <w:t xml:space="preserve"> لأن الناس في تلك الأيام </w:t>
      </w:r>
      <w:r w:rsidR="00417EDC" w:rsidRPr="00904FCB">
        <w:rPr>
          <w:rFonts w:hint="cs"/>
          <w:rtl/>
        </w:rPr>
        <w:t>إ</w:t>
      </w:r>
      <w:r w:rsidRPr="00904FCB">
        <w:rPr>
          <w:rFonts w:hint="cs"/>
          <w:rtl/>
        </w:rPr>
        <w:t>مّا موجودون في مكّة و</w:t>
      </w:r>
      <w:r w:rsidR="00417EDC" w:rsidRPr="00904FCB">
        <w:rPr>
          <w:rFonts w:hint="cs"/>
          <w:rtl/>
        </w:rPr>
        <w:t>إ</w:t>
      </w:r>
      <w:r w:rsidRPr="00904FCB">
        <w:rPr>
          <w:rFonts w:hint="cs"/>
          <w:rtl/>
        </w:rPr>
        <w:t>مّا في منى</w:t>
      </w:r>
      <w:r w:rsidR="00417EDC" w:rsidRPr="00904FCB">
        <w:rPr>
          <w:rFonts w:hint="cs"/>
          <w:rtl/>
        </w:rPr>
        <w:t>.</w:t>
      </w:r>
      <w:r w:rsidRPr="00904FCB">
        <w:rPr>
          <w:rFonts w:hint="cs"/>
          <w:rtl/>
        </w:rPr>
        <w:t xml:space="preserve"> ويؤي</w:t>
      </w:r>
      <w:r w:rsidR="00943612">
        <w:rPr>
          <w:rFonts w:hint="cs"/>
          <w:rtl/>
        </w:rPr>
        <w:t>ِّ</w:t>
      </w:r>
      <w:r w:rsidRPr="00904FCB">
        <w:rPr>
          <w:rFonts w:hint="cs"/>
          <w:rtl/>
        </w:rPr>
        <w:t xml:space="preserve">ده أيضاً الروايات التي </w:t>
      </w:r>
      <w:r w:rsidR="00A856D8" w:rsidRPr="00904FCB">
        <w:rPr>
          <w:rFonts w:hint="cs"/>
          <w:rtl/>
        </w:rPr>
        <w:t>يسأل فيها أصحاب</w:t>
      </w:r>
      <w:r w:rsidRPr="00904FCB">
        <w:rPr>
          <w:rFonts w:hint="cs"/>
          <w:rtl/>
        </w:rPr>
        <w:t xml:space="preserve"> الأئمة</w:t>
      </w:r>
      <w:r w:rsidR="00A856D8" w:rsidRPr="00904FCB">
        <w:rPr>
          <w:rFonts w:hint="cs"/>
          <w:rtl/>
        </w:rPr>
        <w:t xml:space="preserve"> </w:t>
      </w:r>
      <w:r w:rsidR="00510A75" w:rsidRPr="00904FCB">
        <w:rPr>
          <w:rFonts w:ascii="Mosawi" w:hAnsi="Mosawi" w:cs="Mosawi"/>
          <w:rtl/>
        </w:rPr>
        <w:t>^</w:t>
      </w:r>
      <w:r w:rsidR="00943612">
        <w:rPr>
          <w:rFonts w:hint="cs"/>
          <w:rtl/>
        </w:rPr>
        <w:t>:</w:t>
      </w:r>
      <w:r w:rsidRPr="00904FCB">
        <w:rPr>
          <w:rFonts w:hint="cs"/>
          <w:rtl/>
        </w:rPr>
        <w:t xml:space="preserve"> هل يجوز لنا الانتفاع ب</w:t>
      </w:r>
      <w:r w:rsidR="005A7147" w:rsidRPr="00904FCB">
        <w:rPr>
          <w:rFonts w:hint="cs"/>
          <w:rtl/>
        </w:rPr>
        <w:t>إ</w:t>
      </w:r>
      <w:r w:rsidRPr="00904FCB">
        <w:rPr>
          <w:rFonts w:hint="cs"/>
          <w:rtl/>
        </w:rPr>
        <w:t>هاب الهدي أو بشعرها</w:t>
      </w:r>
      <w:r w:rsidR="005A7147" w:rsidRPr="00904FCB">
        <w:rPr>
          <w:rFonts w:hint="cs"/>
          <w:rtl/>
        </w:rPr>
        <w:t>؟</w:t>
      </w:r>
      <w:r w:rsidRPr="00904FCB">
        <w:rPr>
          <w:rFonts w:hint="cs"/>
          <w:rtl/>
        </w:rPr>
        <w:t xml:space="preserve"> أو هل نعطي جلدها للجز</w:t>
      </w:r>
      <w:r w:rsidR="005A7147" w:rsidRPr="00904FCB">
        <w:rPr>
          <w:rFonts w:hint="cs"/>
          <w:rtl/>
        </w:rPr>
        <w:t>ّ</w:t>
      </w:r>
      <w:r w:rsidRPr="00904FCB">
        <w:rPr>
          <w:rFonts w:hint="cs"/>
          <w:rtl/>
        </w:rPr>
        <w:t>ارين</w:t>
      </w:r>
      <w:r w:rsidR="005A7147" w:rsidRPr="00904FCB">
        <w:rPr>
          <w:rFonts w:hint="cs"/>
          <w:rtl/>
        </w:rPr>
        <w:t>؟</w:t>
      </w:r>
      <w:r w:rsidRPr="00904FCB">
        <w:rPr>
          <w:rFonts w:hint="cs"/>
          <w:rtl/>
        </w:rPr>
        <w:t xml:space="preserve"> أو غير ذلك</w:t>
      </w:r>
      <w:r w:rsidR="005A7147" w:rsidRPr="00904FCB">
        <w:rPr>
          <w:rFonts w:hint="cs"/>
          <w:rtl/>
        </w:rPr>
        <w:t>،</w:t>
      </w:r>
      <w:r w:rsidRPr="00904FCB">
        <w:rPr>
          <w:rFonts w:hint="cs"/>
          <w:rtl/>
        </w:rPr>
        <w:t xml:space="preserve"> والإمام ينهاهم ويقول</w:t>
      </w:r>
      <w:r w:rsidR="005A7147" w:rsidRPr="00904FCB">
        <w:rPr>
          <w:rFonts w:hint="cs"/>
          <w:rtl/>
        </w:rPr>
        <w:t>:</w:t>
      </w:r>
      <w:r w:rsidRPr="00904FCB">
        <w:rPr>
          <w:rFonts w:hint="cs"/>
          <w:rtl/>
        </w:rPr>
        <w:t xml:space="preserve"> أع</w:t>
      </w:r>
      <w:r w:rsidR="005A7147" w:rsidRPr="00904FCB">
        <w:rPr>
          <w:rFonts w:hint="cs"/>
          <w:rtl/>
        </w:rPr>
        <w:t>ْ</w:t>
      </w:r>
      <w:r w:rsidRPr="00904FCB">
        <w:rPr>
          <w:rFonts w:hint="cs"/>
          <w:rtl/>
        </w:rPr>
        <w:t>ط</w:t>
      </w:r>
      <w:r w:rsidR="005A7147" w:rsidRPr="00904FCB">
        <w:rPr>
          <w:rFonts w:hint="cs"/>
          <w:rtl/>
        </w:rPr>
        <w:t>ِ</w:t>
      </w:r>
      <w:r w:rsidRPr="00904FCB">
        <w:rPr>
          <w:rFonts w:hint="cs"/>
          <w:rtl/>
        </w:rPr>
        <w:t xml:space="preserve"> الجزارين أجرهم</w:t>
      </w:r>
      <w:r w:rsidR="005A7147" w:rsidRPr="00904FCB">
        <w:rPr>
          <w:rFonts w:hint="cs"/>
          <w:rtl/>
        </w:rPr>
        <w:t>،</w:t>
      </w:r>
      <w:r w:rsidRPr="00904FCB">
        <w:rPr>
          <w:rFonts w:hint="cs"/>
          <w:rtl/>
        </w:rPr>
        <w:t xml:space="preserve"> وتصدّقوا بالجلد</w:t>
      </w:r>
      <w:r w:rsidR="005A7147" w:rsidRPr="00904FCB">
        <w:rPr>
          <w:rFonts w:hint="cs"/>
          <w:rtl/>
        </w:rPr>
        <w:t>،</w:t>
      </w:r>
      <w:r w:rsidRPr="00904FCB">
        <w:rPr>
          <w:rFonts w:hint="cs"/>
          <w:rtl/>
        </w:rPr>
        <w:t xml:space="preserve"> أو </w:t>
      </w:r>
      <w:r w:rsidR="005A7147" w:rsidRPr="00904FCB">
        <w:rPr>
          <w:rFonts w:hint="cs"/>
          <w:rtl/>
        </w:rPr>
        <w:t>ا</w:t>
      </w:r>
      <w:r w:rsidRPr="00904FCB">
        <w:rPr>
          <w:rFonts w:hint="cs"/>
          <w:rtl/>
        </w:rPr>
        <w:t>جعله فراشاً في البيت يصلّون عليها</w:t>
      </w:r>
      <w:r w:rsidR="005A7147" w:rsidRPr="00904FCB">
        <w:rPr>
          <w:rFonts w:hint="cs"/>
          <w:rtl/>
        </w:rPr>
        <w:t>،</w:t>
      </w:r>
      <w:r w:rsidRPr="00904FCB">
        <w:rPr>
          <w:rFonts w:hint="cs"/>
          <w:rtl/>
        </w:rPr>
        <w:t xml:space="preserve"> وأمثال ذلك</w:t>
      </w:r>
      <w:r w:rsidRPr="00904FCB">
        <w:rPr>
          <w:rFonts w:hint="cs"/>
          <w:vertAlign w:val="superscript"/>
          <w:rtl/>
        </w:rPr>
        <w:t>(</w:t>
      </w:r>
      <w:r w:rsidRPr="00904FCB">
        <w:rPr>
          <w:rStyle w:val="ac"/>
          <w:sz w:val="27"/>
          <w:rtl/>
        </w:rPr>
        <w:endnoteReference w:id="466"/>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فمنها</w:t>
      </w:r>
      <w:r w:rsidR="005A7147" w:rsidRPr="00904FCB">
        <w:rPr>
          <w:rFonts w:hint="cs"/>
          <w:rtl/>
        </w:rPr>
        <w:t>:</w:t>
      </w:r>
      <w:r w:rsidRPr="00904FCB">
        <w:rPr>
          <w:rFonts w:hint="cs"/>
          <w:rtl/>
        </w:rPr>
        <w:t xml:space="preserve"> «نهى رسول الله</w:t>
      </w:r>
      <w:r w:rsidR="00635E51" w:rsidRPr="00904FCB">
        <w:rPr>
          <w:rFonts w:cs="Mosawi" w:hint="cs"/>
          <w:szCs w:val="22"/>
          <w:rtl/>
        </w:rPr>
        <w:t>|</w:t>
      </w:r>
      <w:r w:rsidRPr="00904FCB">
        <w:rPr>
          <w:rFonts w:hint="cs"/>
          <w:rtl/>
        </w:rPr>
        <w:t xml:space="preserve"> أن ي</w:t>
      </w:r>
      <w:r w:rsidR="005A7147" w:rsidRPr="00904FCB">
        <w:rPr>
          <w:rFonts w:hint="cs"/>
          <w:rtl/>
        </w:rPr>
        <w:t>ُ</w:t>
      </w:r>
      <w:r w:rsidRPr="00904FCB">
        <w:rPr>
          <w:rFonts w:hint="cs"/>
          <w:rtl/>
        </w:rPr>
        <w:t>عطى الجز</w:t>
      </w:r>
      <w:r w:rsidR="005A7147" w:rsidRPr="00904FCB">
        <w:rPr>
          <w:rFonts w:hint="cs"/>
          <w:rtl/>
        </w:rPr>
        <w:t>ّ</w:t>
      </w:r>
      <w:r w:rsidRPr="00904FCB">
        <w:rPr>
          <w:rFonts w:hint="cs"/>
          <w:rtl/>
        </w:rPr>
        <w:t xml:space="preserve">ار من جلود الهدي وأجلالها شيئاً». </w:t>
      </w:r>
    </w:p>
    <w:p w:rsidR="005B6CEC" w:rsidRPr="00904FCB" w:rsidRDefault="005B6CEC" w:rsidP="007A21AA">
      <w:pPr>
        <w:spacing w:line="400" w:lineRule="exact"/>
        <w:rPr>
          <w:rtl/>
        </w:rPr>
      </w:pPr>
      <w:r w:rsidRPr="00904FCB">
        <w:rPr>
          <w:rFonts w:hint="cs"/>
          <w:rtl/>
        </w:rPr>
        <w:t>ومنها: «نحر رسول الله</w:t>
      </w:r>
      <w:r w:rsidR="00635E51" w:rsidRPr="00904FCB">
        <w:rPr>
          <w:rFonts w:cs="Mosawi" w:hint="cs"/>
          <w:szCs w:val="22"/>
          <w:rtl/>
        </w:rPr>
        <w:t>|</w:t>
      </w:r>
      <w:r w:rsidRPr="00904FCB">
        <w:rPr>
          <w:rFonts w:hint="cs"/>
          <w:rtl/>
        </w:rPr>
        <w:t xml:space="preserve"> بدنة</w:t>
      </w:r>
      <w:r w:rsidR="005A7147" w:rsidRPr="00904FCB">
        <w:rPr>
          <w:rFonts w:hint="cs"/>
          <w:rtl/>
        </w:rPr>
        <w:t>،</w:t>
      </w:r>
      <w:r w:rsidRPr="00904FCB">
        <w:rPr>
          <w:rFonts w:hint="cs"/>
          <w:rtl/>
        </w:rPr>
        <w:t xml:space="preserve"> ولم ي</w:t>
      </w:r>
      <w:r w:rsidR="005A7147" w:rsidRPr="00904FCB">
        <w:rPr>
          <w:rFonts w:hint="cs"/>
          <w:rtl/>
        </w:rPr>
        <w:t>ُ</w:t>
      </w:r>
      <w:r w:rsidRPr="00904FCB">
        <w:rPr>
          <w:rFonts w:hint="cs"/>
          <w:rtl/>
        </w:rPr>
        <w:t>ع</w:t>
      </w:r>
      <w:r w:rsidR="005A7147" w:rsidRPr="00904FCB">
        <w:rPr>
          <w:rFonts w:hint="cs"/>
          <w:rtl/>
        </w:rPr>
        <w:t>ْ</w:t>
      </w:r>
      <w:r w:rsidRPr="00904FCB">
        <w:rPr>
          <w:rFonts w:hint="cs"/>
          <w:rtl/>
        </w:rPr>
        <w:t>ط</w:t>
      </w:r>
      <w:r w:rsidR="005A7147" w:rsidRPr="00904FCB">
        <w:rPr>
          <w:rFonts w:hint="cs"/>
          <w:rtl/>
        </w:rPr>
        <w:t>ِ</w:t>
      </w:r>
      <w:r w:rsidRPr="00904FCB">
        <w:rPr>
          <w:rFonts w:hint="cs"/>
          <w:rtl/>
        </w:rPr>
        <w:t xml:space="preserve"> الجز</w:t>
      </w:r>
      <w:r w:rsidR="005A7147" w:rsidRPr="00904FCB">
        <w:rPr>
          <w:rFonts w:hint="cs"/>
          <w:rtl/>
        </w:rPr>
        <w:t>ّ</w:t>
      </w:r>
      <w:r w:rsidRPr="00904FCB">
        <w:rPr>
          <w:rFonts w:hint="cs"/>
          <w:rtl/>
        </w:rPr>
        <w:t>ارين جلودها</w:t>
      </w:r>
      <w:r w:rsidR="005A7147" w:rsidRPr="00904FCB">
        <w:rPr>
          <w:rFonts w:hint="cs"/>
          <w:rtl/>
        </w:rPr>
        <w:t>،</w:t>
      </w:r>
      <w:r w:rsidRPr="00904FCB">
        <w:rPr>
          <w:rFonts w:hint="cs"/>
          <w:rtl/>
        </w:rPr>
        <w:t xml:space="preserve"> ولا قلائدها</w:t>
      </w:r>
      <w:r w:rsidR="005A7147" w:rsidRPr="00904FCB">
        <w:rPr>
          <w:rFonts w:hint="cs"/>
          <w:rtl/>
        </w:rPr>
        <w:t>،</w:t>
      </w:r>
      <w:r w:rsidRPr="00904FCB">
        <w:rPr>
          <w:rFonts w:hint="cs"/>
          <w:rtl/>
        </w:rPr>
        <w:t xml:space="preserve"> ولا جلالها</w:t>
      </w:r>
      <w:r w:rsidR="005A7147" w:rsidRPr="00904FCB">
        <w:rPr>
          <w:rFonts w:hint="cs"/>
          <w:rtl/>
        </w:rPr>
        <w:t>،</w:t>
      </w:r>
      <w:r w:rsidRPr="00904FCB">
        <w:rPr>
          <w:rFonts w:hint="cs"/>
          <w:rtl/>
        </w:rPr>
        <w:t xml:space="preserve"> ولكن تصدّق به». </w:t>
      </w:r>
    </w:p>
    <w:p w:rsidR="005B6CEC" w:rsidRPr="00904FCB" w:rsidRDefault="005B6CEC" w:rsidP="007A21AA">
      <w:pPr>
        <w:spacing w:line="400" w:lineRule="exact"/>
        <w:rPr>
          <w:rtl/>
        </w:rPr>
      </w:pPr>
      <w:r w:rsidRPr="00904FCB">
        <w:rPr>
          <w:rFonts w:hint="cs"/>
          <w:rtl/>
        </w:rPr>
        <w:t>ومنها: «سألت أبا عبد الله</w:t>
      </w:r>
      <w:r w:rsidR="001C1A2A" w:rsidRPr="00904FCB">
        <w:rPr>
          <w:rFonts w:cs="Mosawi" w:hint="cs"/>
          <w:szCs w:val="22"/>
          <w:rtl/>
        </w:rPr>
        <w:t>×</w:t>
      </w:r>
      <w:r w:rsidRPr="00904FCB">
        <w:rPr>
          <w:rFonts w:hint="cs"/>
          <w:rtl/>
        </w:rPr>
        <w:t xml:space="preserve"> عن الإهاب</w:t>
      </w:r>
      <w:r w:rsidR="005A7147" w:rsidRPr="00904FCB">
        <w:rPr>
          <w:rFonts w:hint="cs"/>
          <w:rtl/>
        </w:rPr>
        <w:t>؟</w:t>
      </w:r>
      <w:r w:rsidRPr="00904FCB">
        <w:rPr>
          <w:rFonts w:hint="cs"/>
          <w:rtl/>
        </w:rPr>
        <w:t xml:space="preserve"> فقال: تصدّق به</w:t>
      </w:r>
      <w:r w:rsidR="005A7147" w:rsidRPr="00904FCB">
        <w:rPr>
          <w:rFonts w:hint="cs"/>
          <w:rtl/>
        </w:rPr>
        <w:t>،</w:t>
      </w:r>
      <w:r w:rsidRPr="00904FCB">
        <w:rPr>
          <w:rFonts w:hint="cs"/>
          <w:rtl/>
        </w:rPr>
        <w:t xml:space="preserve"> أو تجعله مصلّى تنتفع به في البيت»</w:t>
      </w:r>
      <w:r w:rsidRPr="00904FCB">
        <w:rPr>
          <w:rFonts w:hint="cs"/>
          <w:vertAlign w:val="superscript"/>
          <w:rtl/>
        </w:rPr>
        <w:t>(</w:t>
      </w:r>
      <w:r w:rsidRPr="00904FCB">
        <w:rPr>
          <w:rStyle w:val="ac"/>
          <w:sz w:val="27"/>
          <w:rtl/>
        </w:rPr>
        <w:endnoteReference w:id="467"/>
      </w:r>
      <w:r w:rsidRPr="00904FCB">
        <w:rPr>
          <w:rFonts w:hint="cs"/>
          <w:vertAlign w:val="superscript"/>
          <w:rtl/>
        </w:rPr>
        <w:t>)</w:t>
      </w:r>
      <w:r w:rsidRPr="00904FCB">
        <w:rPr>
          <w:rFonts w:hint="cs"/>
          <w:rtl/>
        </w:rPr>
        <w:t xml:space="preserve">. </w:t>
      </w:r>
    </w:p>
    <w:p w:rsidR="005B6CEC" w:rsidRPr="00904FCB" w:rsidRDefault="005B6CEC" w:rsidP="00943612">
      <w:pPr>
        <w:spacing w:line="400" w:lineRule="exact"/>
        <w:rPr>
          <w:rtl/>
        </w:rPr>
      </w:pPr>
      <w:r w:rsidRPr="00904FCB">
        <w:rPr>
          <w:rFonts w:hint="cs"/>
          <w:rtl/>
        </w:rPr>
        <w:t>وبعد هذا كل</w:t>
      </w:r>
      <w:r w:rsidR="005A7147" w:rsidRPr="00904FCB">
        <w:rPr>
          <w:rFonts w:hint="cs"/>
          <w:rtl/>
        </w:rPr>
        <w:t>ّ</w:t>
      </w:r>
      <w:r w:rsidRPr="00904FCB">
        <w:rPr>
          <w:rFonts w:hint="cs"/>
          <w:rtl/>
        </w:rPr>
        <w:t>ه نقول</w:t>
      </w:r>
      <w:r w:rsidR="005A7147" w:rsidRPr="00904FCB">
        <w:rPr>
          <w:rFonts w:hint="cs"/>
          <w:rtl/>
        </w:rPr>
        <w:t>:</w:t>
      </w:r>
      <w:r w:rsidRPr="00904FCB">
        <w:rPr>
          <w:rFonts w:hint="cs"/>
          <w:rtl/>
        </w:rPr>
        <w:t xml:space="preserve"> لو فرض عدم قبول هذه الأمور كل</w:t>
      </w:r>
      <w:r w:rsidR="005A7147" w:rsidRPr="00904FCB">
        <w:rPr>
          <w:rFonts w:hint="cs"/>
          <w:rtl/>
        </w:rPr>
        <w:t>ّ</w:t>
      </w:r>
      <w:r w:rsidRPr="00904FCB">
        <w:rPr>
          <w:rFonts w:hint="cs"/>
          <w:rtl/>
        </w:rPr>
        <w:t>ها</w:t>
      </w:r>
      <w:r w:rsidR="005A7147" w:rsidRPr="00904FCB">
        <w:rPr>
          <w:rFonts w:hint="cs"/>
          <w:rtl/>
        </w:rPr>
        <w:t>،</w:t>
      </w:r>
      <w:r w:rsidRPr="00904FCB">
        <w:rPr>
          <w:rFonts w:hint="cs"/>
          <w:rtl/>
        </w:rPr>
        <w:t xml:space="preserve"> فتتعارض هذه الصحيحة </w:t>
      </w:r>
      <w:r w:rsidR="005A7147" w:rsidRPr="00904FCB">
        <w:rPr>
          <w:rFonts w:hint="cs"/>
          <w:rtl/>
        </w:rPr>
        <w:t xml:space="preserve">مع </w:t>
      </w:r>
      <w:r w:rsidRPr="00904FCB">
        <w:rPr>
          <w:rFonts w:hint="cs"/>
          <w:rtl/>
        </w:rPr>
        <w:t>صحي</w:t>
      </w:r>
      <w:r w:rsidR="005A7147" w:rsidRPr="00904FCB">
        <w:rPr>
          <w:rFonts w:hint="cs"/>
          <w:rtl/>
        </w:rPr>
        <w:t>ح</w:t>
      </w:r>
      <w:r w:rsidRPr="00904FCB">
        <w:rPr>
          <w:rFonts w:hint="cs"/>
          <w:rtl/>
        </w:rPr>
        <w:t>ة معاوية بن عم</w:t>
      </w:r>
      <w:r w:rsidR="005A7147" w:rsidRPr="00904FCB">
        <w:rPr>
          <w:rFonts w:hint="cs"/>
          <w:rtl/>
        </w:rPr>
        <w:t>ّ</w:t>
      </w:r>
      <w:r w:rsidRPr="00904FCB">
        <w:rPr>
          <w:rFonts w:hint="cs"/>
          <w:rtl/>
        </w:rPr>
        <w:t>ار</w:t>
      </w:r>
      <w:r w:rsidR="005A7147" w:rsidRPr="00904FCB">
        <w:rPr>
          <w:rFonts w:hint="cs"/>
          <w:rtl/>
        </w:rPr>
        <w:t>،</w:t>
      </w:r>
      <w:r w:rsidRPr="00904FCB">
        <w:rPr>
          <w:rFonts w:hint="cs"/>
          <w:rtl/>
        </w:rPr>
        <w:t xml:space="preserve"> فتتساقطان</w:t>
      </w:r>
      <w:r w:rsidR="005A7147" w:rsidRPr="00904FCB">
        <w:rPr>
          <w:rFonts w:hint="cs"/>
          <w:rtl/>
        </w:rPr>
        <w:t>،</w:t>
      </w:r>
      <w:r w:rsidRPr="00904FCB">
        <w:rPr>
          <w:rFonts w:hint="cs"/>
          <w:rtl/>
        </w:rPr>
        <w:t xml:space="preserve"> والمرجع بعد التساقط هو الأصل، أي عدم وجوب كون الذبح بمنى</w:t>
      </w:r>
      <w:r w:rsidR="005A7147" w:rsidRPr="00904FCB">
        <w:rPr>
          <w:rFonts w:hint="cs"/>
          <w:rtl/>
        </w:rPr>
        <w:t>؛</w:t>
      </w:r>
      <w:r w:rsidRPr="00904FCB">
        <w:rPr>
          <w:rFonts w:hint="cs"/>
          <w:rtl/>
        </w:rPr>
        <w:t xml:space="preserve"> إذ سائر أدلّة وجوب الذبح بمنى لم </w:t>
      </w:r>
      <w:r w:rsidR="005A7147" w:rsidRPr="00904FCB">
        <w:rPr>
          <w:rFonts w:hint="cs"/>
          <w:rtl/>
        </w:rPr>
        <w:t>ت</w:t>
      </w:r>
      <w:r w:rsidRPr="00904FCB">
        <w:rPr>
          <w:rFonts w:hint="cs"/>
          <w:rtl/>
        </w:rPr>
        <w:t xml:space="preserve">كن قابلة </w:t>
      </w:r>
      <w:r w:rsidR="005A7147" w:rsidRPr="00904FCB">
        <w:rPr>
          <w:rFonts w:hint="cs"/>
          <w:rtl/>
        </w:rPr>
        <w:t>للاعتناء</w:t>
      </w:r>
      <w:r w:rsidRPr="00904FCB">
        <w:rPr>
          <w:rFonts w:hint="cs"/>
          <w:rtl/>
        </w:rPr>
        <w:t>. والعجب من السيد الخوئي</w:t>
      </w:r>
      <w:r w:rsidR="00510A75" w:rsidRPr="00756F2A">
        <w:rPr>
          <w:rFonts w:ascii="Mosawi" w:hAnsi="Mosawi" w:cs="Mosawi"/>
          <w:sz w:val="22"/>
          <w:szCs w:val="22"/>
          <w:rtl/>
        </w:rPr>
        <w:t>&amp;</w:t>
      </w:r>
      <w:r w:rsidR="005A7147" w:rsidRPr="00904FCB">
        <w:rPr>
          <w:rFonts w:hint="cs"/>
          <w:rtl/>
        </w:rPr>
        <w:t>،</w:t>
      </w:r>
      <w:r w:rsidRPr="00904FCB">
        <w:rPr>
          <w:rFonts w:hint="cs"/>
          <w:rtl/>
        </w:rPr>
        <w:t xml:space="preserve"> مع أنه لا يعتني بالإجماع وقول </w:t>
      </w:r>
      <w:r w:rsidRPr="00904FCB">
        <w:rPr>
          <w:rFonts w:hint="cs"/>
          <w:rtl/>
        </w:rPr>
        <w:lastRenderedPageBreak/>
        <w:t xml:space="preserve">الأصحاب </w:t>
      </w:r>
      <w:r w:rsidR="005A7147" w:rsidRPr="00904FCB">
        <w:rPr>
          <w:rFonts w:hint="cs"/>
          <w:rtl/>
        </w:rPr>
        <w:t>و</w:t>
      </w:r>
      <w:r w:rsidRPr="00904FCB">
        <w:rPr>
          <w:rFonts w:hint="cs"/>
          <w:rtl/>
        </w:rPr>
        <w:t>يفتي بمقتضى الأخبار الصحاح</w:t>
      </w:r>
      <w:r w:rsidR="005A7147" w:rsidRPr="00904FCB">
        <w:rPr>
          <w:rFonts w:hint="cs"/>
          <w:rtl/>
        </w:rPr>
        <w:t>،</w:t>
      </w:r>
      <w:r w:rsidRPr="00904FCB">
        <w:rPr>
          <w:rFonts w:hint="cs"/>
          <w:rtl/>
        </w:rPr>
        <w:t xml:space="preserve"> </w:t>
      </w:r>
      <w:r w:rsidR="005A7147" w:rsidRPr="00904FCB">
        <w:rPr>
          <w:rFonts w:hint="cs"/>
          <w:rtl/>
        </w:rPr>
        <w:t xml:space="preserve">كيف </w:t>
      </w:r>
      <w:r w:rsidRPr="00904FCB">
        <w:rPr>
          <w:rFonts w:hint="cs"/>
          <w:rtl/>
        </w:rPr>
        <w:t>توهّ</w:t>
      </w:r>
      <w:r w:rsidR="005A7147" w:rsidRPr="00904FCB">
        <w:rPr>
          <w:rFonts w:hint="cs"/>
          <w:rtl/>
        </w:rPr>
        <w:t>َ</w:t>
      </w:r>
      <w:r w:rsidRPr="00904FCB">
        <w:rPr>
          <w:rFonts w:hint="cs"/>
          <w:rtl/>
        </w:rPr>
        <w:t>م هذا الحكم مقطوع</w:t>
      </w:r>
      <w:r w:rsidR="005A7147" w:rsidRPr="00904FCB">
        <w:rPr>
          <w:rFonts w:hint="cs"/>
          <w:rtl/>
        </w:rPr>
        <w:t>اً</w:t>
      </w:r>
      <w:r w:rsidRPr="00904FCB">
        <w:rPr>
          <w:rFonts w:hint="cs"/>
          <w:rtl/>
        </w:rPr>
        <w:t xml:space="preserve"> به</w:t>
      </w:r>
      <w:r w:rsidR="00943612">
        <w:rPr>
          <w:rFonts w:hint="cs"/>
          <w:rtl/>
        </w:rPr>
        <w:t>؟!</w:t>
      </w:r>
      <w:r w:rsidRPr="00904FCB">
        <w:rPr>
          <w:rFonts w:hint="cs"/>
          <w:rtl/>
        </w:rPr>
        <w:t xml:space="preserve"> ولذا ذكر صحيحة منصور بن حازم كدليل</w:t>
      </w:r>
      <w:r w:rsidR="005A7147" w:rsidRPr="00904FCB">
        <w:rPr>
          <w:rFonts w:hint="cs"/>
          <w:rtl/>
        </w:rPr>
        <w:t>ٍ</w:t>
      </w:r>
      <w:r w:rsidRPr="00904FCB">
        <w:rPr>
          <w:rFonts w:hint="cs"/>
          <w:rtl/>
        </w:rPr>
        <w:t xml:space="preserve"> على الوجوب، ولم يتكل</w:t>
      </w:r>
      <w:r w:rsidR="005A7147" w:rsidRPr="00904FCB">
        <w:rPr>
          <w:rFonts w:hint="cs"/>
          <w:rtl/>
        </w:rPr>
        <w:t>َّ</w:t>
      </w:r>
      <w:r w:rsidRPr="00904FCB">
        <w:rPr>
          <w:rFonts w:hint="cs"/>
          <w:rtl/>
        </w:rPr>
        <w:t>م حول التعارض</w:t>
      </w:r>
      <w:r w:rsidR="005A7147" w:rsidRPr="00904FCB">
        <w:rPr>
          <w:rFonts w:hint="cs"/>
          <w:rtl/>
        </w:rPr>
        <w:t>،</w:t>
      </w:r>
      <w:r w:rsidRPr="00904FCB">
        <w:rPr>
          <w:rFonts w:hint="cs"/>
          <w:rtl/>
        </w:rPr>
        <w:t xml:space="preserve"> والرجوع إلى الأصل. </w:t>
      </w:r>
    </w:p>
    <w:p w:rsidR="005B6CEC" w:rsidRPr="00904FCB" w:rsidRDefault="005A7147" w:rsidP="00943612">
      <w:pPr>
        <w:spacing w:line="420" w:lineRule="exact"/>
        <w:ind w:firstLine="561"/>
        <w:rPr>
          <w:rtl/>
        </w:rPr>
      </w:pPr>
      <w:r w:rsidRPr="00904FCB">
        <w:rPr>
          <w:rFonts w:hint="cs"/>
          <w:b/>
          <w:bCs/>
          <w:rtl/>
        </w:rPr>
        <w:t>إ</w:t>
      </w:r>
      <w:r w:rsidR="005B6CEC" w:rsidRPr="00904FCB">
        <w:rPr>
          <w:rFonts w:hint="cs"/>
          <w:b/>
          <w:bCs/>
          <w:rtl/>
        </w:rPr>
        <w:t>ن</w:t>
      </w:r>
      <w:r w:rsidRPr="00904FCB">
        <w:rPr>
          <w:rFonts w:hint="cs"/>
          <w:b/>
          <w:bCs/>
          <w:rtl/>
        </w:rPr>
        <w:t>ْ</w:t>
      </w:r>
      <w:r w:rsidR="005B6CEC" w:rsidRPr="00904FCB">
        <w:rPr>
          <w:rFonts w:hint="cs"/>
          <w:b/>
          <w:bCs/>
          <w:rtl/>
        </w:rPr>
        <w:t xml:space="preserve"> قلت</w:t>
      </w:r>
      <w:r w:rsidRPr="00904FCB">
        <w:rPr>
          <w:rFonts w:hint="cs"/>
          <w:b/>
          <w:bCs/>
          <w:rtl/>
        </w:rPr>
        <w:t>َ</w:t>
      </w:r>
      <w:r w:rsidR="005B6CEC" w:rsidRPr="00904FCB">
        <w:rPr>
          <w:rFonts w:hint="cs"/>
          <w:rtl/>
        </w:rPr>
        <w:t>: بعد التعارض نرج</w:t>
      </w:r>
      <w:r w:rsidRPr="00904FCB">
        <w:rPr>
          <w:rFonts w:hint="cs"/>
          <w:rtl/>
        </w:rPr>
        <w:t>ِّ</w:t>
      </w:r>
      <w:r w:rsidR="005B6CEC" w:rsidRPr="00904FCB">
        <w:rPr>
          <w:rFonts w:hint="cs"/>
          <w:rtl/>
        </w:rPr>
        <w:t>ح صحيحة منصور بن حازم</w:t>
      </w:r>
      <w:r w:rsidRPr="00904FCB">
        <w:rPr>
          <w:rFonts w:hint="cs"/>
          <w:rtl/>
        </w:rPr>
        <w:t>؛</w:t>
      </w:r>
      <w:r w:rsidR="005B6CEC" w:rsidRPr="00904FCB">
        <w:rPr>
          <w:rFonts w:hint="cs"/>
          <w:rtl/>
        </w:rPr>
        <w:t xml:space="preserve"> للإجماع والشهرة وسيرة الرسول</w:t>
      </w:r>
      <w:r w:rsidR="00635E51" w:rsidRPr="00904FCB">
        <w:rPr>
          <w:rFonts w:cs="Mosawi" w:hint="cs"/>
          <w:szCs w:val="22"/>
          <w:rtl/>
        </w:rPr>
        <w:t>|</w:t>
      </w:r>
      <w:r w:rsidR="005B6CEC" w:rsidRPr="00904FCB">
        <w:rPr>
          <w:rFonts w:hint="cs"/>
          <w:rtl/>
        </w:rPr>
        <w:t xml:space="preserve"> والأئمة</w:t>
      </w:r>
      <w:r w:rsidR="00510A75" w:rsidRPr="00904FCB">
        <w:rPr>
          <w:rFonts w:ascii="Mosawi" w:hAnsi="Mosawi" w:cs="Mosawi"/>
          <w:rtl/>
        </w:rPr>
        <w:t>^</w:t>
      </w:r>
      <w:r w:rsidR="005B6CEC" w:rsidRPr="00904FCB">
        <w:rPr>
          <w:rFonts w:hint="cs"/>
          <w:rtl/>
        </w:rPr>
        <w:t xml:space="preserve">. </w:t>
      </w:r>
    </w:p>
    <w:p w:rsidR="005B6CEC" w:rsidRPr="00904FCB" w:rsidRDefault="005B6CEC" w:rsidP="00943612">
      <w:pPr>
        <w:spacing w:line="420" w:lineRule="exact"/>
        <w:ind w:firstLine="561"/>
        <w:rPr>
          <w:rtl/>
        </w:rPr>
      </w:pPr>
      <w:r w:rsidRPr="00904FCB">
        <w:rPr>
          <w:rFonts w:hint="cs"/>
          <w:b/>
          <w:bCs/>
          <w:rtl/>
        </w:rPr>
        <w:t>أقول</w:t>
      </w:r>
      <w:r w:rsidRPr="00904FCB">
        <w:rPr>
          <w:rFonts w:hint="cs"/>
          <w:rtl/>
        </w:rPr>
        <w:t>: استحباب الذبح في منى أو حسن</w:t>
      </w:r>
      <w:r w:rsidR="0054109D" w:rsidRPr="00904FCB">
        <w:rPr>
          <w:rFonts w:hint="cs"/>
          <w:rtl/>
        </w:rPr>
        <w:t>ه</w:t>
      </w:r>
      <w:r w:rsidRPr="00904FCB">
        <w:rPr>
          <w:rFonts w:hint="cs"/>
          <w:rtl/>
        </w:rPr>
        <w:t xml:space="preserve"> لا بأس به</w:t>
      </w:r>
      <w:r w:rsidR="0054109D" w:rsidRPr="00904FCB">
        <w:rPr>
          <w:rFonts w:hint="cs"/>
          <w:rtl/>
        </w:rPr>
        <w:t>،</w:t>
      </w:r>
      <w:r w:rsidRPr="00904FCB">
        <w:rPr>
          <w:rFonts w:hint="cs"/>
          <w:rtl/>
        </w:rPr>
        <w:t xml:space="preserve"> ولكن الكلام حول وجوبه</w:t>
      </w:r>
      <w:r w:rsidR="0054109D" w:rsidRPr="00904FCB">
        <w:rPr>
          <w:rFonts w:hint="cs"/>
          <w:rtl/>
        </w:rPr>
        <w:t>.</w:t>
      </w:r>
      <w:r w:rsidRPr="00904FCB">
        <w:rPr>
          <w:rFonts w:hint="cs"/>
          <w:rtl/>
        </w:rPr>
        <w:t xml:space="preserve"> فبعد هذه الاحتمالات هل يمكن الحكم القطعي بالوجوب</w:t>
      </w:r>
      <w:r w:rsidR="0054109D" w:rsidRPr="00904FCB">
        <w:rPr>
          <w:rFonts w:hint="cs"/>
          <w:rtl/>
        </w:rPr>
        <w:t>،</w:t>
      </w:r>
      <w:r w:rsidRPr="00904FCB">
        <w:rPr>
          <w:rFonts w:hint="cs"/>
          <w:rtl/>
        </w:rPr>
        <w:t xml:space="preserve"> مع أنه ينتهي إلى تضييع كثير من اللحوم</w:t>
      </w:r>
      <w:r w:rsidR="0054109D" w:rsidRPr="00904FCB">
        <w:rPr>
          <w:rFonts w:hint="cs"/>
          <w:rtl/>
        </w:rPr>
        <w:t>،</w:t>
      </w:r>
      <w:r w:rsidRPr="00904FCB">
        <w:rPr>
          <w:rFonts w:hint="cs"/>
          <w:rtl/>
        </w:rPr>
        <w:t xml:space="preserve"> وعدم العمل بحكمة تشريع الذبح في منى</w:t>
      </w:r>
      <w:r w:rsidR="0054109D" w:rsidRPr="00904FCB">
        <w:rPr>
          <w:rFonts w:hint="cs"/>
          <w:rtl/>
        </w:rPr>
        <w:t>،</w:t>
      </w:r>
      <w:r w:rsidRPr="00904FCB">
        <w:rPr>
          <w:rFonts w:hint="cs"/>
          <w:rtl/>
        </w:rPr>
        <w:t xml:space="preserve"> وعدم العمل بـ </w:t>
      </w:r>
      <w:r w:rsidR="0054109D" w:rsidRPr="00904FCB">
        <w:rPr>
          <w:rFonts w:ascii="Mosawi" w:hAnsi="Mosawi" w:cs="Mosawi"/>
          <w:sz w:val="24"/>
          <w:szCs w:val="24"/>
          <w:rtl/>
        </w:rPr>
        <w:t>﴿</w:t>
      </w:r>
      <w:r w:rsidR="0054109D" w:rsidRPr="00904FCB">
        <w:rPr>
          <w:b/>
          <w:bCs/>
          <w:sz w:val="27"/>
          <w:rtl/>
        </w:rPr>
        <w:t>أَطْعِمُوا الْقَانِعَ وَالْمُعْتَرَّ</w:t>
      </w:r>
      <w:r w:rsidR="0054109D" w:rsidRPr="00904FCB">
        <w:rPr>
          <w:rFonts w:ascii="Mosawi" w:hAnsi="Mosawi" w:cs="Mosawi"/>
          <w:sz w:val="24"/>
          <w:szCs w:val="24"/>
          <w:rtl/>
        </w:rPr>
        <w:t>﴾</w:t>
      </w:r>
      <w:r w:rsidR="0054109D" w:rsidRPr="00904FCB">
        <w:rPr>
          <w:rFonts w:hint="cs"/>
          <w:rtl/>
        </w:rPr>
        <w:t>،</w:t>
      </w:r>
      <w:r w:rsidRPr="00904FCB">
        <w:rPr>
          <w:rFonts w:hint="cs"/>
          <w:rtl/>
        </w:rPr>
        <w:t xml:space="preserve"> وعدم العمل بالروايات الآمرة بالصدقة</w:t>
      </w:r>
      <w:r w:rsidR="0054109D" w:rsidRPr="00904FCB">
        <w:rPr>
          <w:rFonts w:hint="cs"/>
          <w:rtl/>
        </w:rPr>
        <w:t>،</w:t>
      </w:r>
      <w:r w:rsidRPr="00904FCB">
        <w:rPr>
          <w:rFonts w:hint="cs"/>
          <w:rtl/>
        </w:rPr>
        <w:t xml:space="preserve"> والناهية عن بيع جلودها. </w:t>
      </w:r>
    </w:p>
    <w:p w:rsidR="0054109D" w:rsidRPr="00904FCB" w:rsidRDefault="005B6CEC" w:rsidP="00943612">
      <w:pPr>
        <w:spacing w:line="420" w:lineRule="exact"/>
        <w:ind w:firstLine="561"/>
        <w:rPr>
          <w:rtl/>
        </w:rPr>
      </w:pPr>
      <w:r w:rsidRPr="00904FCB">
        <w:rPr>
          <w:rFonts w:hint="cs"/>
          <w:rtl/>
        </w:rPr>
        <w:t>وبعد هذا كل</w:t>
      </w:r>
      <w:r w:rsidR="0054109D" w:rsidRPr="00904FCB">
        <w:rPr>
          <w:rFonts w:hint="cs"/>
          <w:rtl/>
        </w:rPr>
        <w:t>ّ</w:t>
      </w:r>
      <w:r w:rsidRPr="00904FCB">
        <w:rPr>
          <w:rFonts w:hint="cs"/>
          <w:rtl/>
        </w:rPr>
        <w:t>ه الشهرة والإجماع والسيرة إنما حصلت لاحتياج الفعل (الذبح أو النحر) إلى مكان</w:t>
      </w:r>
      <w:r w:rsidR="0054109D" w:rsidRPr="00904FCB">
        <w:rPr>
          <w:rFonts w:hint="cs"/>
          <w:rtl/>
        </w:rPr>
        <w:t xml:space="preserve">ٍ، </w:t>
      </w:r>
      <w:r w:rsidRPr="00904FCB">
        <w:rPr>
          <w:rFonts w:hint="cs"/>
          <w:rtl/>
        </w:rPr>
        <w:t xml:space="preserve">والمكان الذي كانوا </w:t>
      </w:r>
      <w:r w:rsidR="0054109D" w:rsidRPr="00904FCB">
        <w:rPr>
          <w:rFonts w:hint="cs"/>
          <w:rtl/>
        </w:rPr>
        <w:t>يقفون فيه،</w:t>
      </w:r>
      <w:r w:rsidRPr="00904FCB">
        <w:rPr>
          <w:rFonts w:hint="cs"/>
          <w:rtl/>
        </w:rPr>
        <w:t xml:space="preserve"> وكان وسيعاً للذبح والأكل وسائر الأمور</w:t>
      </w:r>
      <w:r w:rsidR="0054109D" w:rsidRPr="00904FCB">
        <w:rPr>
          <w:rFonts w:hint="cs"/>
          <w:rtl/>
        </w:rPr>
        <w:t>،</w:t>
      </w:r>
      <w:r w:rsidRPr="00904FCB">
        <w:rPr>
          <w:rFonts w:hint="cs"/>
          <w:rtl/>
        </w:rPr>
        <w:t xml:space="preserve"> </w:t>
      </w:r>
      <w:r w:rsidR="0054109D" w:rsidRPr="00904FCB">
        <w:rPr>
          <w:rFonts w:hint="cs"/>
          <w:rtl/>
        </w:rPr>
        <w:t>هو</w:t>
      </w:r>
      <w:r w:rsidRPr="00904FCB">
        <w:rPr>
          <w:rFonts w:hint="cs"/>
          <w:rtl/>
        </w:rPr>
        <w:t xml:space="preserve"> منى، فعندما كان مدرك إجماعهم وسيرتهم معلوماً عندنا</w:t>
      </w:r>
      <w:r w:rsidR="0054109D" w:rsidRPr="00904FCB">
        <w:rPr>
          <w:rFonts w:hint="cs"/>
          <w:rtl/>
        </w:rPr>
        <w:t>،</w:t>
      </w:r>
      <w:r w:rsidRPr="00904FCB">
        <w:rPr>
          <w:rFonts w:hint="cs"/>
          <w:rtl/>
        </w:rPr>
        <w:t xml:space="preserve"> ولم يكن مدركهم هذه الصحيحة</w:t>
      </w:r>
      <w:r w:rsidR="0054109D" w:rsidRPr="00904FCB">
        <w:rPr>
          <w:rFonts w:hint="cs"/>
          <w:rtl/>
        </w:rPr>
        <w:t>،</w:t>
      </w:r>
      <w:r w:rsidRPr="00904FCB">
        <w:rPr>
          <w:rFonts w:hint="cs"/>
          <w:rtl/>
        </w:rPr>
        <w:t xml:space="preserve"> كيف </w:t>
      </w:r>
      <w:r w:rsidR="0054109D" w:rsidRPr="00904FCB">
        <w:rPr>
          <w:rFonts w:hint="cs"/>
          <w:rtl/>
        </w:rPr>
        <w:t>يمكن</w:t>
      </w:r>
      <w:r w:rsidRPr="00904FCB">
        <w:rPr>
          <w:rFonts w:hint="cs"/>
          <w:rtl/>
        </w:rPr>
        <w:t xml:space="preserve"> أن تكون هذه الأمور نحو تأييد للصحيحة</w:t>
      </w:r>
      <w:r w:rsidR="0054109D" w:rsidRPr="00904FCB">
        <w:rPr>
          <w:rFonts w:hint="cs"/>
          <w:rtl/>
        </w:rPr>
        <w:t>؟!</w:t>
      </w:r>
    </w:p>
    <w:p w:rsidR="0054109D" w:rsidRPr="00904FCB" w:rsidRDefault="005B6CEC" w:rsidP="00943612">
      <w:pPr>
        <w:spacing w:line="420" w:lineRule="exact"/>
        <w:ind w:firstLine="561"/>
        <w:rPr>
          <w:rtl/>
        </w:rPr>
      </w:pPr>
      <w:r w:rsidRPr="00904FCB">
        <w:rPr>
          <w:rFonts w:hint="cs"/>
          <w:rtl/>
        </w:rPr>
        <w:t>وملخ</w:t>
      </w:r>
      <w:r w:rsidR="0054109D" w:rsidRPr="00904FCB">
        <w:rPr>
          <w:rFonts w:hint="cs"/>
          <w:rtl/>
        </w:rPr>
        <w:t>َّ</w:t>
      </w:r>
      <w:r w:rsidRPr="00904FCB">
        <w:rPr>
          <w:rFonts w:hint="cs"/>
          <w:rtl/>
        </w:rPr>
        <w:t>ص الكلام</w:t>
      </w:r>
      <w:r w:rsidR="0054109D" w:rsidRPr="00904FCB">
        <w:rPr>
          <w:rFonts w:hint="cs"/>
          <w:rtl/>
        </w:rPr>
        <w:t>:</w:t>
      </w:r>
      <w:r w:rsidRPr="00904FCB">
        <w:rPr>
          <w:rFonts w:hint="cs"/>
          <w:rtl/>
        </w:rPr>
        <w:t xml:space="preserve"> </w:t>
      </w:r>
      <w:r w:rsidR="0054109D" w:rsidRPr="00904FCB">
        <w:rPr>
          <w:rFonts w:hint="cs"/>
          <w:rtl/>
        </w:rPr>
        <w:t>إ</w:t>
      </w:r>
      <w:r w:rsidRPr="00904FCB">
        <w:rPr>
          <w:rFonts w:hint="cs"/>
          <w:rtl/>
        </w:rPr>
        <w:t>ن الشهرة أو الإجماع أو السيرة تكون مرج</w:t>
      </w:r>
      <w:r w:rsidR="0054109D" w:rsidRPr="00904FCB">
        <w:rPr>
          <w:rFonts w:hint="cs"/>
          <w:rtl/>
        </w:rPr>
        <w:t>ِّ</w:t>
      </w:r>
      <w:r w:rsidRPr="00904FCB">
        <w:rPr>
          <w:rFonts w:hint="cs"/>
          <w:rtl/>
        </w:rPr>
        <w:t>حاً لهذا الخبر في صورتين</w:t>
      </w:r>
      <w:r w:rsidR="0054109D" w:rsidRPr="00904FCB">
        <w:rPr>
          <w:rFonts w:hint="cs"/>
          <w:rtl/>
        </w:rPr>
        <w:t>:</w:t>
      </w:r>
    </w:p>
    <w:p w:rsidR="0054109D" w:rsidRPr="00904FCB" w:rsidRDefault="0054109D" w:rsidP="00943612">
      <w:pPr>
        <w:spacing w:line="420" w:lineRule="exact"/>
        <w:ind w:firstLine="561"/>
        <w:rPr>
          <w:rtl/>
        </w:rPr>
      </w:pPr>
      <w:r w:rsidRPr="00904FCB">
        <w:rPr>
          <w:rFonts w:hint="cs"/>
          <w:b/>
          <w:bCs/>
          <w:rtl/>
        </w:rPr>
        <w:t>إ</w:t>
      </w:r>
      <w:r w:rsidR="005B6CEC" w:rsidRPr="00904FCB">
        <w:rPr>
          <w:rFonts w:hint="cs"/>
          <w:b/>
          <w:bCs/>
          <w:rtl/>
        </w:rPr>
        <w:t>حد</w:t>
      </w:r>
      <w:r w:rsidRPr="00904FCB">
        <w:rPr>
          <w:rFonts w:hint="cs"/>
          <w:b/>
          <w:bCs/>
          <w:rtl/>
        </w:rPr>
        <w:t>ا</w:t>
      </w:r>
      <w:r w:rsidR="005B6CEC" w:rsidRPr="00904FCB">
        <w:rPr>
          <w:rFonts w:hint="cs"/>
          <w:b/>
          <w:bCs/>
          <w:rtl/>
        </w:rPr>
        <w:t>هما</w:t>
      </w:r>
      <w:r w:rsidRPr="00904FCB">
        <w:rPr>
          <w:rFonts w:hint="cs"/>
          <w:rtl/>
        </w:rPr>
        <w:t>:</w:t>
      </w:r>
      <w:r w:rsidR="005B6CEC" w:rsidRPr="00904FCB">
        <w:rPr>
          <w:rFonts w:hint="cs"/>
          <w:rtl/>
        </w:rPr>
        <w:t xml:space="preserve"> </w:t>
      </w:r>
      <w:r w:rsidRPr="00904FCB">
        <w:rPr>
          <w:rFonts w:hint="cs"/>
          <w:rtl/>
        </w:rPr>
        <w:t>إ</w:t>
      </w:r>
      <w:r w:rsidR="005B6CEC" w:rsidRPr="00904FCB">
        <w:rPr>
          <w:rFonts w:hint="cs"/>
          <w:rtl/>
        </w:rPr>
        <w:t>ن كان مدركهم هذا الخبر</w:t>
      </w:r>
      <w:r w:rsidRPr="00904FCB">
        <w:rPr>
          <w:rFonts w:hint="cs"/>
          <w:rtl/>
        </w:rPr>
        <w:t>،</w:t>
      </w:r>
      <w:r w:rsidR="005B6CEC" w:rsidRPr="00904FCB">
        <w:rPr>
          <w:rFonts w:hint="cs"/>
          <w:rtl/>
        </w:rPr>
        <w:t xml:space="preserve"> بحيث يدلّنا على أن الخبر الآخر فيه إشكال.</w:t>
      </w:r>
    </w:p>
    <w:p w:rsidR="0054109D" w:rsidRPr="00904FCB" w:rsidRDefault="005B6CEC" w:rsidP="00943612">
      <w:pPr>
        <w:spacing w:line="420" w:lineRule="exact"/>
        <w:ind w:firstLine="561"/>
        <w:rPr>
          <w:rtl/>
        </w:rPr>
      </w:pPr>
      <w:r w:rsidRPr="00904FCB">
        <w:rPr>
          <w:rFonts w:hint="cs"/>
          <w:b/>
          <w:bCs/>
          <w:rtl/>
        </w:rPr>
        <w:t>ثاني</w:t>
      </w:r>
      <w:r w:rsidR="0054109D" w:rsidRPr="00904FCB">
        <w:rPr>
          <w:rFonts w:hint="cs"/>
          <w:b/>
          <w:bCs/>
          <w:rtl/>
        </w:rPr>
        <w:t>ت</w:t>
      </w:r>
      <w:r w:rsidRPr="00904FCB">
        <w:rPr>
          <w:rFonts w:hint="cs"/>
          <w:b/>
          <w:bCs/>
          <w:rtl/>
        </w:rPr>
        <w:t>هما</w:t>
      </w:r>
      <w:r w:rsidR="0054109D" w:rsidRPr="00904FCB">
        <w:rPr>
          <w:rFonts w:hint="cs"/>
          <w:rtl/>
        </w:rPr>
        <w:t>:</w:t>
      </w:r>
      <w:r w:rsidRPr="00904FCB">
        <w:rPr>
          <w:rFonts w:hint="cs"/>
          <w:rtl/>
        </w:rPr>
        <w:t xml:space="preserve"> إن</w:t>
      </w:r>
      <w:r w:rsidR="0054109D" w:rsidRPr="00904FCB">
        <w:rPr>
          <w:rFonts w:hint="cs"/>
          <w:rtl/>
        </w:rPr>
        <w:t>ْ</w:t>
      </w:r>
      <w:r w:rsidRPr="00904FCB">
        <w:rPr>
          <w:rFonts w:hint="cs"/>
          <w:rtl/>
        </w:rPr>
        <w:t xml:space="preserve"> كان مدركهم شيئاً مجهولاً لنا</w:t>
      </w:r>
      <w:r w:rsidR="0054109D" w:rsidRPr="00904FCB">
        <w:rPr>
          <w:rFonts w:hint="cs"/>
          <w:rtl/>
        </w:rPr>
        <w:t>،</w:t>
      </w:r>
      <w:r w:rsidRPr="00904FCB">
        <w:rPr>
          <w:rFonts w:hint="cs"/>
          <w:rtl/>
        </w:rPr>
        <w:t xml:space="preserve"> بحيث نحتمل أنه كان عندهم شيء</w:t>
      </w:r>
      <w:r w:rsidR="0054109D" w:rsidRPr="00904FCB">
        <w:rPr>
          <w:rFonts w:hint="cs"/>
          <w:rtl/>
        </w:rPr>
        <w:t>ٌ</w:t>
      </w:r>
      <w:r w:rsidRPr="00904FCB">
        <w:rPr>
          <w:rFonts w:hint="cs"/>
          <w:rtl/>
        </w:rPr>
        <w:t xml:space="preserve"> من الدليل لم يصل إلينا</w:t>
      </w:r>
      <w:r w:rsidR="0054109D" w:rsidRPr="00904FCB">
        <w:rPr>
          <w:rFonts w:hint="cs"/>
          <w:rtl/>
        </w:rPr>
        <w:t>؛</w:t>
      </w:r>
      <w:r w:rsidRPr="00904FCB">
        <w:rPr>
          <w:rFonts w:hint="cs"/>
          <w:rtl/>
        </w:rPr>
        <w:t xml:space="preserve"> كي يقال</w:t>
      </w:r>
      <w:r w:rsidR="0054109D" w:rsidRPr="00904FCB">
        <w:rPr>
          <w:rFonts w:hint="cs"/>
          <w:rtl/>
        </w:rPr>
        <w:t>:</w:t>
      </w:r>
      <w:r w:rsidRPr="00904FCB">
        <w:rPr>
          <w:rFonts w:hint="cs"/>
          <w:rtl/>
        </w:rPr>
        <w:t xml:space="preserve"> العلماء الس</w:t>
      </w:r>
      <w:r w:rsidR="0054109D" w:rsidRPr="00904FCB">
        <w:rPr>
          <w:rFonts w:hint="cs"/>
          <w:rtl/>
        </w:rPr>
        <w:t>َّ</w:t>
      </w:r>
      <w:r w:rsidRPr="00904FCB">
        <w:rPr>
          <w:rFonts w:hint="cs"/>
          <w:rtl/>
        </w:rPr>
        <w:t>ل</w:t>
      </w:r>
      <w:r w:rsidR="0054109D" w:rsidRPr="00904FCB">
        <w:rPr>
          <w:rFonts w:hint="cs"/>
          <w:rtl/>
        </w:rPr>
        <w:t>َ</w:t>
      </w:r>
      <w:r w:rsidRPr="00904FCB">
        <w:rPr>
          <w:rFonts w:hint="cs"/>
          <w:rtl/>
        </w:rPr>
        <w:t>ف الذين كانوا لا يفتون بدون الدليل</w:t>
      </w:r>
      <w:r w:rsidR="0054109D" w:rsidRPr="00904FCB">
        <w:rPr>
          <w:rFonts w:hint="cs"/>
          <w:rtl/>
        </w:rPr>
        <w:t>،</w:t>
      </w:r>
      <w:r w:rsidRPr="00904FCB">
        <w:rPr>
          <w:rFonts w:hint="cs"/>
          <w:rtl/>
        </w:rPr>
        <w:t xml:space="preserve"> ولا بالقياس</w:t>
      </w:r>
      <w:r w:rsidR="0054109D" w:rsidRPr="00904FCB">
        <w:rPr>
          <w:rFonts w:hint="cs"/>
          <w:rtl/>
        </w:rPr>
        <w:t>،</w:t>
      </w:r>
      <w:r w:rsidRPr="00904FCB">
        <w:rPr>
          <w:rFonts w:hint="cs"/>
          <w:rtl/>
        </w:rPr>
        <w:t xml:space="preserve"> ولا بالاستحسان</w:t>
      </w:r>
      <w:r w:rsidR="0054109D" w:rsidRPr="00904FCB">
        <w:rPr>
          <w:rFonts w:hint="cs"/>
          <w:rtl/>
        </w:rPr>
        <w:t>، كان عندهم دليلٌ</w:t>
      </w:r>
      <w:r w:rsidRPr="00904FCB">
        <w:rPr>
          <w:rFonts w:hint="cs"/>
          <w:rtl/>
        </w:rPr>
        <w:t xml:space="preserve"> معتبر لم يص</w:t>
      </w:r>
      <w:r w:rsidR="0054109D" w:rsidRPr="00904FCB">
        <w:rPr>
          <w:rFonts w:hint="cs"/>
          <w:rtl/>
        </w:rPr>
        <w:t>ِ</w:t>
      </w:r>
      <w:r w:rsidRPr="00904FCB">
        <w:rPr>
          <w:rFonts w:hint="cs"/>
          <w:rtl/>
        </w:rPr>
        <w:t>ل</w:t>
      </w:r>
      <w:r w:rsidR="0054109D" w:rsidRPr="00904FCB">
        <w:rPr>
          <w:rFonts w:hint="cs"/>
          <w:rtl/>
        </w:rPr>
        <w:t>ْ</w:t>
      </w:r>
      <w:r w:rsidRPr="00904FCB">
        <w:rPr>
          <w:rFonts w:hint="cs"/>
          <w:rtl/>
        </w:rPr>
        <w:t xml:space="preserve"> إلينا. ولكن كل</w:t>
      </w:r>
      <w:r w:rsidR="0054109D" w:rsidRPr="00904FCB">
        <w:rPr>
          <w:rFonts w:hint="cs"/>
          <w:rtl/>
        </w:rPr>
        <w:t>ّ</w:t>
      </w:r>
      <w:r w:rsidRPr="00904FCB">
        <w:rPr>
          <w:rFonts w:hint="cs"/>
          <w:rtl/>
        </w:rPr>
        <w:t xml:space="preserve"> هذه الأمور منتفية هنا</w:t>
      </w:r>
      <w:r w:rsidR="0054109D" w:rsidRPr="00904FCB">
        <w:rPr>
          <w:rFonts w:hint="cs"/>
          <w:rtl/>
        </w:rPr>
        <w:t>،</w:t>
      </w:r>
      <w:r w:rsidRPr="00904FCB">
        <w:rPr>
          <w:rFonts w:hint="cs"/>
          <w:rtl/>
        </w:rPr>
        <w:t xml:space="preserve"> فلا وجه لترجيح أحد الخبرين على الآخر.</w:t>
      </w:r>
    </w:p>
    <w:p w:rsidR="005B6CEC" w:rsidRPr="00904FCB" w:rsidRDefault="005B6CEC" w:rsidP="00943612">
      <w:pPr>
        <w:spacing w:line="410" w:lineRule="exact"/>
        <w:ind w:firstLine="561"/>
        <w:rPr>
          <w:rtl/>
        </w:rPr>
      </w:pPr>
      <w:r w:rsidRPr="00904FCB">
        <w:rPr>
          <w:rFonts w:hint="cs"/>
          <w:rtl/>
        </w:rPr>
        <w:t>هذا مضافاً إلى أن دلالة الفعل على الجواز يكون أصرح وأوضح من دلالة اللفظ على الوجوب</w:t>
      </w:r>
      <w:r w:rsidR="0054109D" w:rsidRPr="00904FCB">
        <w:rPr>
          <w:rFonts w:hint="cs"/>
          <w:rtl/>
        </w:rPr>
        <w:t>،</w:t>
      </w:r>
      <w:r w:rsidRPr="00904FCB">
        <w:rPr>
          <w:rFonts w:hint="cs"/>
          <w:rtl/>
        </w:rPr>
        <w:t xml:space="preserve"> فالصحيحة الحاكية عن الذبح في مكّة أصرح </w:t>
      </w:r>
      <w:r w:rsidR="0054109D" w:rsidRPr="00904FCB">
        <w:rPr>
          <w:rFonts w:hint="cs"/>
          <w:rtl/>
        </w:rPr>
        <w:t>في</w:t>
      </w:r>
      <w:r w:rsidRPr="00904FCB">
        <w:rPr>
          <w:rFonts w:hint="cs"/>
          <w:rtl/>
        </w:rPr>
        <w:t xml:space="preserve"> الجواز من قوله</w:t>
      </w:r>
      <w:r w:rsidR="001C1A2A" w:rsidRPr="00904FCB">
        <w:rPr>
          <w:rFonts w:cs="Mosawi" w:hint="cs"/>
          <w:szCs w:val="22"/>
          <w:rtl/>
        </w:rPr>
        <w:t>×</w:t>
      </w:r>
      <w:r w:rsidRPr="00904FCB">
        <w:rPr>
          <w:rFonts w:hint="cs"/>
          <w:rtl/>
        </w:rPr>
        <w:t xml:space="preserve"> في صحيحة منصور بن حازم على وجوب الذبح في منى. </w:t>
      </w:r>
    </w:p>
    <w:p w:rsidR="005B6CEC" w:rsidRPr="00904FCB" w:rsidRDefault="005B6CEC" w:rsidP="007A21AA">
      <w:pPr>
        <w:pStyle w:val="31"/>
        <w:spacing w:line="400" w:lineRule="exact"/>
        <w:rPr>
          <w:color w:val="auto"/>
          <w:rtl/>
        </w:rPr>
      </w:pPr>
      <w:r w:rsidRPr="00904FCB">
        <w:rPr>
          <w:rFonts w:hint="cs"/>
          <w:color w:val="auto"/>
          <w:rtl/>
        </w:rPr>
        <w:lastRenderedPageBreak/>
        <w:t>نقطةٌ</w:t>
      </w:r>
    </w:p>
    <w:p w:rsidR="005B6CEC" w:rsidRPr="00904FCB" w:rsidRDefault="005B6CEC" w:rsidP="007A21AA">
      <w:pPr>
        <w:spacing w:line="400" w:lineRule="exact"/>
        <w:rPr>
          <w:rtl/>
        </w:rPr>
      </w:pPr>
      <w:r w:rsidRPr="00904FCB">
        <w:rPr>
          <w:rFonts w:hint="cs"/>
          <w:rtl/>
        </w:rPr>
        <w:t>يمكن أن يقال</w:t>
      </w:r>
      <w:r w:rsidR="0054109D" w:rsidRPr="00904FCB">
        <w:rPr>
          <w:rFonts w:hint="cs"/>
          <w:rtl/>
        </w:rPr>
        <w:t>:</w:t>
      </w:r>
      <w:r w:rsidRPr="00904FCB">
        <w:rPr>
          <w:rFonts w:hint="cs"/>
          <w:rtl/>
        </w:rPr>
        <w:t xml:space="preserve"> </w:t>
      </w:r>
      <w:r w:rsidR="0054109D" w:rsidRPr="00904FCB">
        <w:rPr>
          <w:rFonts w:hint="cs"/>
          <w:rtl/>
        </w:rPr>
        <w:t>إ</w:t>
      </w:r>
      <w:r w:rsidRPr="00904FCB">
        <w:rPr>
          <w:rFonts w:hint="cs"/>
          <w:rtl/>
        </w:rPr>
        <w:t>ن علمائنا وإن</w:t>
      </w:r>
      <w:r w:rsidR="0054109D" w:rsidRPr="00904FCB">
        <w:rPr>
          <w:rFonts w:hint="cs"/>
          <w:rtl/>
        </w:rPr>
        <w:t>ْ</w:t>
      </w:r>
      <w:r w:rsidRPr="00904FCB">
        <w:rPr>
          <w:rFonts w:hint="cs"/>
          <w:rtl/>
        </w:rPr>
        <w:t xml:space="preserve"> كانوا يتكل</w:t>
      </w:r>
      <w:r w:rsidR="0054109D" w:rsidRPr="00904FCB">
        <w:rPr>
          <w:rFonts w:hint="cs"/>
          <w:rtl/>
        </w:rPr>
        <w:t>َّ</w:t>
      </w:r>
      <w:r w:rsidRPr="00904FCB">
        <w:rPr>
          <w:rFonts w:hint="cs"/>
          <w:rtl/>
        </w:rPr>
        <w:t>مون حول الذبح في منى</w:t>
      </w:r>
      <w:r w:rsidR="0054109D" w:rsidRPr="00904FCB">
        <w:rPr>
          <w:rFonts w:hint="cs"/>
          <w:rtl/>
        </w:rPr>
        <w:t>،</w:t>
      </w:r>
      <w:r w:rsidRPr="00904FCB">
        <w:rPr>
          <w:rFonts w:hint="cs"/>
          <w:rtl/>
        </w:rPr>
        <w:t xml:space="preserve"> ولكن كانوا يقصدون مقابلة مك</w:t>
      </w:r>
      <w:r w:rsidR="0054109D" w:rsidRPr="00904FCB">
        <w:rPr>
          <w:rFonts w:hint="cs"/>
          <w:rtl/>
        </w:rPr>
        <w:t>ّ</w:t>
      </w:r>
      <w:r w:rsidRPr="00904FCB">
        <w:rPr>
          <w:rFonts w:hint="cs"/>
          <w:rtl/>
        </w:rPr>
        <w:t>ة</w:t>
      </w:r>
      <w:r w:rsidR="0054109D" w:rsidRPr="00904FCB">
        <w:rPr>
          <w:rFonts w:hint="cs"/>
          <w:rtl/>
        </w:rPr>
        <w:t>،</w:t>
      </w:r>
      <w:r w:rsidRPr="00904FCB">
        <w:rPr>
          <w:rFonts w:hint="cs"/>
          <w:rtl/>
        </w:rPr>
        <w:t xml:space="preserve"> فلذا كانوا يقولون</w:t>
      </w:r>
      <w:r w:rsidR="0054109D" w:rsidRPr="00904FCB">
        <w:rPr>
          <w:rFonts w:hint="cs"/>
          <w:rtl/>
        </w:rPr>
        <w:t>:</w:t>
      </w:r>
      <w:r w:rsidRPr="00904FCB">
        <w:rPr>
          <w:rFonts w:hint="cs"/>
          <w:rtl/>
        </w:rPr>
        <w:t xml:space="preserve"> كفارة كذا محل</w:t>
      </w:r>
      <w:r w:rsidR="0054109D" w:rsidRPr="00904FCB">
        <w:rPr>
          <w:rFonts w:hint="cs"/>
          <w:rtl/>
        </w:rPr>
        <w:t>ّ</w:t>
      </w:r>
      <w:r w:rsidRPr="00904FCB">
        <w:rPr>
          <w:rFonts w:hint="cs"/>
          <w:rtl/>
        </w:rPr>
        <w:t xml:space="preserve">ها بحذاء </w:t>
      </w:r>
      <w:r w:rsidR="0054109D" w:rsidRPr="00904FCB">
        <w:rPr>
          <w:rFonts w:hint="cs"/>
          <w:rtl/>
        </w:rPr>
        <w:t>ال</w:t>
      </w:r>
      <w:r w:rsidRPr="00904FCB">
        <w:rPr>
          <w:rFonts w:hint="cs"/>
          <w:rtl/>
        </w:rPr>
        <w:t>كعبة</w:t>
      </w:r>
      <w:r w:rsidR="0054109D" w:rsidRPr="00904FCB">
        <w:rPr>
          <w:rFonts w:hint="cs"/>
          <w:rtl/>
        </w:rPr>
        <w:t>،</w:t>
      </w:r>
      <w:r w:rsidRPr="00904FCB">
        <w:rPr>
          <w:rFonts w:hint="cs"/>
          <w:rtl/>
        </w:rPr>
        <w:t xml:space="preserve"> وكفارة كذا محل</w:t>
      </w:r>
      <w:r w:rsidR="0054109D" w:rsidRPr="00904FCB">
        <w:rPr>
          <w:rFonts w:hint="cs"/>
          <w:rtl/>
        </w:rPr>
        <w:t>ّ</w:t>
      </w:r>
      <w:r w:rsidRPr="00904FCB">
        <w:rPr>
          <w:rFonts w:hint="cs"/>
          <w:rtl/>
        </w:rPr>
        <w:t>ها منى</w:t>
      </w:r>
      <w:r w:rsidR="0054109D" w:rsidRPr="00904FCB">
        <w:rPr>
          <w:rFonts w:hint="cs"/>
          <w:rtl/>
        </w:rPr>
        <w:t xml:space="preserve">، </w:t>
      </w:r>
      <w:r w:rsidRPr="00904FCB">
        <w:rPr>
          <w:rFonts w:hint="cs"/>
          <w:rtl/>
        </w:rPr>
        <w:t>ولم يكن في ذهنهم مكان</w:t>
      </w:r>
      <w:r w:rsidR="0054109D" w:rsidRPr="00904FCB">
        <w:rPr>
          <w:rFonts w:hint="cs"/>
          <w:rtl/>
        </w:rPr>
        <w:t>ٌ</w:t>
      </w:r>
      <w:r w:rsidRPr="00904FCB">
        <w:rPr>
          <w:rFonts w:hint="cs"/>
          <w:rtl/>
        </w:rPr>
        <w:t xml:space="preserve"> لا يكون من مك</w:t>
      </w:r>
      <w:r w:rsidR="0054109D" w:rsidRPr="00904FCB">
        <w:rPr>
          <w:rFonts w:hint="cs"/>
          <w:rtl/>
        </w:rPr>
        <w:t>ّ</w:t>
      </w:r>
      <w:r w:rsidRPr="00904FCB">
        <w:rPr>
          <w:rFonts w:hint="cs"/>
          <w:rtl/>
        </w:rPr>
        <w:t>ة ولا من منى</w:t>
      </w:r>
      <w:r w:rsidR="0054109D" w:rsidRPr="00904FCB">
        <w:rPr>
          <w:rFonts w:hint="cs"/>
          <w:rtl/>
        </w:rPr>
        <w:t>،</w:t>
      </w:r>
      <w:r w:rsidRPr="00904FCB">
        <w:rPr>
          <w:rFonts w:hint="cs"/>
          <w:rtl/>
        </w:rPr>
        <w:t xml:space="preserve"> فيذبح فيه</w:t>
      </w:r>
      <w:r w:rsidR="0054109D" w:rsidRPr="00904FCB">
        <w:rPr>
          <w:rFonts w:hint="cs"/>
          <w:rtl/>
        </w:rPr>
        <w:t>؛</w:t>
      </w:r>
      <w:r w:rsidRPr="00904FCB">
        <w:rPr>
          <w:rFonts w:hint="cs"/>
          <w:rtl/>
        </w:rPr>
        <w:t xml:space="preserve"> إذ سائر الأمكنة كانت أراض</w:t>
      </w:r>
      <w:r w:rsidR="0054109D" w:rsidRPr="00904FCB">
        <w:rPr>
          <w:rFonts w:hint="cs"/>
          <w:rtl/>
        </w:rPr>
        <w:t xml:space="preserve">ٍ </w:t>
      </w:r>
      <w:r w:rsidRPr="00904FCB">
        <w:rPr>
          <w:rFonts w:hint="cs"/>
          <w:rtl/>
        </w:rPr>
        <w:t>قفار</w:t>
      </w:r>
      <w:r w:rsidR="0054109D" w:rsidRPr="00904FCB">
        <w:rPr>
          <w:rFonts w:hint="cs"/>
          <w:rtl/>
        </w:rPr>
        <w:t>،</w:t>
      </w:r>
      <w:r w:rsidRPr="00904FCB">
        <w:rPr>
          <w:rFonts w:hint="cs"/>
          <w:rtl/>
        </w:rPr>
        <w:t xml:space="preserve"> ليس فيها أحد</w:t>
      </w:r>
      <w:r w:rsidR="0054109D" w:rsidRPr="00904FCB">
        <w:rPr>
          <w:rFonts w:hint="cs"/>
          <w:rtl/>
        </w:rPr>
        <w:t xml:space="preserve">، </w:t>
      </w:r>
      <w:r w:rsidRPr="00904FCB">
        <w:rPr>
          <w:rFonts w:hint="cs"/>
          <w:rtl/>
        </w:rPr>
        <w:t>ولا يمرّ عليها أحد</w:t>
      </w:r>
      <w:r w:rsidR="0054109D" w:rsidRPr="00904FCB">
        <w:rPr>
          <w:rFonts w:hint="cs"/>
          <w:rtl/>
        </w:rPr>
        <w:t>،</w:t>
      </w:r>
      <w:r w:rsidRPr="00904FCB">
        <w:rPr>
          <w:rFonts w:hint="cs"/>
          <w:rtl/>
        </w:rPr>
        <w:t xml:space="preserve"> إلاّ نادراً</w:t>
      </w:r>
      <w:r w:rsidR="0054109D" w:rsidRPr="00904FCB">
        <w:rPr>
          <w:rFonts w:hint="cs"/>
          <w:rtl/>
        </w:rPr>
        <w:t>.</w:t>
      </w:r>
      <w:r w:rsidRPr="00904FCB">
        <w:rPr>
          <w:rFonts w:hint="cs"/>
          <w:rtl/>
        </w:rPr>
        <w:t xml:space="preserve"> وفي أي</w:t>
      </w:r>
      <w:r w:rsidR="0054109D" w:rsidRPr="00904FCB">
        <w:rPr>
          <w:rFonts w:hint="cs"/>
          <w:rtl/>
        </w:rPr>
        <w:t>ّ</w:t>
      </w:r>
      <w:r w:rsidRPr="00904FCB">
        <w:rPr>
          <w:rFonts w:hint="cs"/>
          <w:rtl/>
        </w:rPr>
        <w:t>ام التشريق وهي أي</w:t>
      </w:r>
      <w:r w:rsidR="0054109D" w:rsidRPr="00904FCB">
        <w:rPr>
          <w:rFonts w:hint="cs"/>
          <w:rtl/>
        </w:rPr>
        <w:t>ّ</w:t>
      </w:r>
      <w:r w:rsidRPr="00904FCB">
        <w:rPr>
          <w:rFonts w:hint="cs"/>
          <w:rtl/>
        </w:rPr>
        <w:t>ام الذبح والنحر الناس إمّا كانوا في منى</w:t>
      </w:r>
      <w:r w:rsidR="0054109D" w:rsidRPr="00904FCB">
        <w:rPr>
          <w:rFonts w:hint="cs"/>
          <w:rtl/>
        </w:rPr>
        <w:t>؛</w:t>
      </w:r>
      <w:r w:rsidRPr="00904FCB">
        <w:rPr>
          <w:rFonts w:hint="cs"/>
          <w:rtl/>
        </w:rPr>
        <w:t xml:space="preserve"> للوقوف الواجب</w:t>
      </w:r>
      <w:r w:rsidR="0054109D" w:rsidRPr="00904FCB">
        <w:rPr>
          <w:rFonts w:hint="cs"/>
          <w:rtl/>
        </w:rPr>
        <w:t>،</w:t>
      </w:r>
      <w:r w:rsidRPr="00904FCB">
        <w:rPr>
          <w:rFonts w:hint="cs"/>
          <w:rtl/>
        </w:rPr>
        <w:t xml:space="preserve"> وأمّا كانوا </w:t>
      </w:r>
      <w:r w:rsidR="0054109D" w:rsidRPr="00904FCB">
        <w:rPr>
          <w:rFonts w:hint="cs"/>
          <w:rtl/>
        </w:rPr>
        <w:t>في مكّة؛ للإتيان بأعمال الحجّ.</w:t>
      </w:r>
    </w:p>
    <w:p w:rsidR="005B6CEC" w:rsidRPr="00904FCB" w:rsidRDefault="005B6CEC" w:rsidP="007A21AA">
      <w:pPr>
        <w:spacing w:line="400" w:lineRule="exact"/>
        <w:rPr>
          <w:rtl/>
        </w:rPr>
      </w:pPr>
    </w:p>
    <w:p w:rsidR="005B6CEC" w:rsidRPr="00904FCB" w:rsidRDefault="005B6CEC" w:rsidP="007A21AA">
      <w:pPr>
        <w:pStyle w:val="31"/>
        <w:spacing w:line="400" w:lineRule="exact"/>
        <w:rPr>
          <w:color w:val="auto"/>
          <w:rtl/>
        </w:rPr>
      </w:pPr>
      <w:r w:rsidRPr="00904FCB">
        <w:rPr>
          <w:rFonts w:hint="cs"/>
          <w:color w:val="auto"/>
          <w:rtl/>
        </w:rPr>
        <w:t>استدلال</w:t>
      </w:r>
      <w:r w:rsidR="00E5427B" w:rsidRPr="00904FCB">
        <w:rPr>
          <w:rFonts w:hint="cs"/>
          <w:color w:val="auto"/>
          <w:rtl/>
        </w:rPr>
        <w:t>ٌ</w:t>
      </w:r>
      <w:r w:rsidRPr="00904FCB">
        <w:rPr>
          <w:rFonts w:hint="cs"/>
          <w:color w:val="auto"/>
          <w:rtl/>
        </w:rPr>
        <w:t xml:space="preserve"> بالآيات الشريفة</w:t>
      </w:r>
    </w:p>
    <w:p w:rsidR="005B6CEC" w:rsidRPr="00904FCB" w:rsidRDefault="005B6CEC" w:rsidP="007A21AA">
      <w:pPr>
        <w:spacing w:line="400" w:lineRule="exact"/>
        <w:rPr>
          <w:rtl/>
        </w:rPr>
      </w:pPr>
      <w:r w:rsidRPr="00904FCB">
        <w:rPr>
          <w:rFonts w:hint="cs"/>
          <w:rtl/>
        </w:rPr>
        <w:t>استدل</w:t>
      </w:r>
      <w:r w:rsidR="0054109D" w:rsidRPr="00904FCB">
        <w:rPr>
          <w:rFonts w:hint="cs"/>
          <w:rtl/>
        </w:rPr>
        <w:t>ّ</w:t>
      </w:r>
      <w:r w:rsidRPr="00904FCB">
        <w:rPr>
          <w:rFonts w:hint="cs"/>
          <w:rtl/>
        </w:rPr>
        <w:t xml:space="preserve"> لوجوب الذبح في منى ببعض الآيات القرآنية. </w:t>
      </w:r>
    </w:p>
    <w:p w:rsidR="005B6CEC" w:rsidRPr="00904FCB" w:rsidRDefault="005B6CEC" w:rsidP="007A21AA">
      <w:pPr>
        <w:spacing w:line="400" w:lineRule="exact"/>
        <w:rPr>
          <w:rtl/>
        </w:rPr>
      </w:pPr>
      <w:r w:rsidRPr="00904FCB">
        <w:rPr>
          <w:rFonts w:hint="cs"/>
          <w:rtl/>
        </w:rPr>
        <w:t>قال السيد الخوئي</w:t>
      </w:r>
      <w:r w:rsidR="0054109D" w:rsidRPr="00904FCB">
        <w:rPr>
          <w:rFonts w:hint="cs"/>
          <w:rtl/>
        </w:rPr>
        <w:t>،</w:t>
      </w:r>
      <w:r w:rsidRPr="00904FCB">
        <w:rPr>
          <w:rFonts w:hint="cs"/>
          <w:rtl/>
        </w:rPr>
        <w:t xml:space="preserve"> في ذيل قول السيد اليزدي في العروة الوثقى</w:t>
      </w:r>
      <w:r w:rsidR="0054109D" w:rsidRPr="00904FCB">
        <w:rPr>
          <w:rFonts w:hint="cs"/>
          <w:rtl/>
        </w:rPr>
        <w:t>:</w:t>
      </w:r>
      <w:r w:rsidRPr="00904FCB">
        <w:rPr>
          <w:rFonts w:hint="cs"/>
          <w:rtl/>
        </w:rPr>
        <w:t xml:space="preserve"> «ويجب أن يكون الذبح بمنى»: للقطع به عند الأصحاب</w:t>
      </w:r>
      <w:r w:rsidR="0054109D" w:rsidRPr="00904FCB">
        <w:rPr>
          <w:rFonts w:hint="cs"/>
          <w:rtl/>
        </w:rPr>
        <w:t>،</w:t>
      </w:r>
      <w:r w:rsidRPr="00904FCB">
        <w:rPr>
          <w:rFonts w:hint="cs"/>
          <w:rtl/>
        </w:rPr>
        <w:t xml:space="preserve"> وللسيرة القطعية المستمر</w:t>
      </w:r>
      <w:r w:rsidR="0054109D" w:rsidRPr="00904FCB">
        <w:rPr>
          <w:rFonts w:hint="cs"/>
          <w:rtl/>
        </w:rPr>
        <w:t>ّ</w:t>
      </w:r>
      <w:r w:rsidRPr="00904FCB">
        <w:rPr>
          <w:rFonts w:hint="cs"/>
          <w:rtl/>
        </w:rPr>
        <w:t>ة من زمن النبي</w:t>
      </w:r>
      <w:r w:rsidR="00635E51" w:rsidRPr="00904FCB">
        <w:rPr>
          <w:rFonts w:cs="Mosawi" w:hint="cs"/>
          <w:szCs w:val="22"/>
          <w:rtl/>
        </w:rPr>
        <w:t>|</w:t>
      </w:r>
      <w:r w:rsidRPr="00904FCB">
        <w:rPr>
          <w:rFonts w:hint="cs"/>
          <w:rtl/>
        </w:rPr>
        <w:t xml:space="preserve"> إلى زماننا</w:t>
      </w:r>
      <w:r w:rsidR="0054109D" w:rsidRPr="00904FCB">
        <w:rPr>
          <w:rFonts w:hint="cs"/>
          <w:rtl/>
        </w:rPr>
        <w:t>.</w:t>
      </w:r>
      <w:r w:rsidRPr="00904FCB">
        <w:rPr>
          <w:rFonts w:hint="cs"/>
          <w:rtl/>
        </w:rPr>
        <w:t xml:space="preserve"> ويدل عليه مضافاً إلى ما ذكر الكتاب العزيز</w:t>
      </w:r>
      <w:r w:rsidR="0054109D" w:rsidRPr="00904FCB">
        <w:rPr>
          <w:rFonts w:hint="cs"/>
          <w:rtl/>
        </w:rPr>
        <w:t>،</w:t>
      </w:r>
      <w:r w:rsidRPr="00904FCB">
        <w:rPr>
          <w:rFonts w:hint="cs"/>
          <w:rtl/>
        </w:rPr>
        <w:t xml:space="preserve"> بضميمة ما ورد في تفسيره من الروايات. </w:t>
      </w:r>
    </w:p>
    <w:p w:rsidR="00943612" w:rsidRDefault="005B6CEC" w:rsidP="00943612">
      <w:pPr>
        <w:spacing w:line="400" w:lineRule="exact"/>
        <w:rPr>
          <w:rtl/>
        </w:rPr>
      </w:pPr>
      <w:r w:rsidRPr="00904FCB">
        <w:rPr>
          <w:rFonts w:hint="cs"/>
          <w:rtl/>
        </w:rPr>
        <w:t>أمّا الكتاب فقوله تعالى:</w:t>
      </w:r>
      <w:r w:rsidRPr="00904FCB">
        <w:rPr>
          <w:rFonts w:ascii="Mosawi" w:hAnsi="Mosawi" w:cs="Mosawi" w:hint="cs"/>
          <w:sz w:val="24"/>
          <w:szCs w:val="24"/>
          <w:rtl/>
        </w:rPr>
        <w:t xml:space="preserve"> </w:t>
      </w:r>
      <w:r w:rsidRPr="00904FCB">
        <w:rPr>
          <w:rFonts w:ascii="Mosawi" w:hAnsi="Mosawi" w:cs="Mosawi"/>
          <w:sz w:val="24"/>
          <w:szCs w:val="24"/>
          <w:rtl/>
        </w:rPr>
        <w:t>﴿</w:t>
      </w:r>
      <w:r w:rsidRPr="00904FCB">
        <w:rPr>
          <w:rFonts w:hint="eastAsia"/>
          <w:b/>
          <w:bCs/>
          <w:rtl/>
        </w:rPr>
        <w:t>وَ</w:t>
      </w:r>
      <w:r w:rsidRPr="00904FCB">
        <w:rPr>
          <w:b/>
          <w:bCs/>
          <w:rtl/>
        </w:rPr>
        <w:t>أَتِمّ</w:t>
      </w:r>
      <w:r w:rsidR="0054109D" w:rsidRPr="00904FCB">
        <w:rPr>
          <w:b/>
          <w:bCs/>
          <w:rtl/>
        </w:rPr>
        <w:t>ُوا الْحَجَّ وَالْعُمْرَةَ لل</w:t>
      </w:r>
      <w:r w:rsidRPr="00904FCB">
        <w:rPr>
          <w:b/>
          <w:bCs/>
          <w:rtl/>
        </w:rPr>
        <w:t>هِ.</w:t>
      </w:r>
      <w:r w:rsidRPr="00904FCB">
        <w:rPr>
          <w:rFonts w:hint="cs"/>
          <w:b/>
          <w:bCs/>
          <w:rtl/>
        </w:rPr>
        <w:t xml:space="preserve">.. </w:t>
      </w:r>
      <w:r w:rsidRPr="00904FCB">
        <w:rPr>
          <w:b/>
          <w:bCs/>
          <w:rtl/>
        </w:rPr>
        <w:t>وَلا تَحْلِقُوا رُؤُسَكُمْ حَتَّى يَبْلُغَ الْهَدْيُ مَحِلَّهُ</w:t>
      </w:r>
      <w:r w:rsidRPr="00904FCB">
        <w:rPr>
          <w:rFonts w:ascii="Mosawi" w:hAnsi="Mosawi" w:cs="Mosawi"/>
          <w:sz w:val="24"/>
          <w:szCs w:val="24"/>
          <w:rtl/>
        </w:rPr>
        <w:t>﴾</w:t>
      </w:r>
      <w:r w:rsidRPr="00904FCB">
        <w:rPr>
          <w:rFonts w:hint="cs"/>
          <w:rtl/>
        </w:rPr>
        <w:t xml:space="preserve"> (البقرة: </w:t>
      </w:r>
      <w:r w:rsidRPr="00A2543E">
        <w:rPr>
          <w:rFonts w:hint="cs"/>
          <w:rtl/>
        </w:rPr>
        <w:t>196</w:t>
      </w:r>
      <w:r w:rsidRPr="00904FCB">
        <w:rPr>
          <w:rFonts w:hint="cs"/>
          <w:rtl/>
        </w:rPr>
        <w:t>)</w:t>
      </w:r>
      <w:r w:rsidR="0054109D" w:rsidRPr="00904FCB">
        <w:rPr>
          <w:rFonts w:hint="cs"/>
          <w:rtl/>
        </w:rPr>
        <w:t>،</w:t>
      </w:r>
      <w:r w:rsidRPr="00904FCB">
        <w:rPr>
          <w:rFonts w:hint="cs"/>
          <w:rtl/>
        </w:rPr>
        <w:t xml:space="preserve"> فيظهر من الآية أن اله</w:t>
      </w:r>
      <w:r w:rsidR="0054109D" w:rsidRPr="00904FCB">
        <w:rPr>
          <w:rFonts w:hint="cs"/>
          <w:rtl/>
        </w:rPr>
        <w:t>َ</w:t>
      </w:r>
      <w:r w:rsidRPr="00904FCB">
        <w:rPr>
          <w:rFonts w:hint="cs"/>
          <w:rtl/>
        </w:rPr>
        <w:t>د</w:t>
      </w:r>
      <w:r w:rsidR="0054109D" w:rsidRPr="00904FCB">
        <w:rPr>
          <w:rFonts w:hint="cs"/>
          <w:rtl/>
        </w:rPr>
        <w:t>ْ</w:t>
      </w:r>
      <w:r w:rsidRPr="00904FCB">
        <w:rPr>
          <w:rFonts w:hint="cs"/>
          <w:rtl/>
        </w:rPr>
        <w:t>ي له محل</w:t>
      </w:r>
      <w:r w:rsidR="0054109D" w:rsidRPr="00904FCB">
        <w:rPr>
          <w:rFonts w:hint="cs"/>
          <w:rtl/>
        </w:rPr>
        <w:t>ّ</w:t>
      </w:r>
      <w:r w:rsidRPr="00904FCB">
        <w:rPr>
          <w:rFonts w:hint="cs"/>
          <w:rtl/>
        </w:rPr>
        <w:t xml:space="preserve"> معين خاص</w:t>
      </w:r>
      <w:r w:rsidR="0054109D" w:rsidRPr="00904FCB">
        <w:rPr>
          <w:rFonts w:hint="cs"/>
          <w:rtl/>
        </w:rPr>
        <w:t>ّ،</w:t>
      </w:r>
      <w:r w:rsidRPr="00904FCB">
        <w:rPr>
          <w:rFonts w:hint="cs"/>
          <w:rtl/>
        </w:rPr>
        <w:t xml:space="preserve"> لا يجوز ذبحه في غيره</w:t>
      </w:r>
      <w:r w:rsidR="0054109D" w:rsidRPr="00904FCB">
        <w:rPr>
          <w:rFonts w:hint="cs"/>
          <w:rtl/>
        </w:rPr>
        <w:t>.</w:t>
      </w:r>
    </w:p>
    <w:p w:rsidR="005B6CEC" w:rsidRPr="00904FCB" w:rsidRDefault="005B6CEC" w:rsidP="00943612">
      <w:pPr>
        <w:spacing w:line="400" w:lineRule="exact"/>
        <w:rPr>
          <w:rtl/>
        </w:rPr>
      </w:pPr>
      <w:r w:rsidRPr="00904FCB">
        <w:rPr>
          <w:rFonts w:hint="cs"/>
          <w:rtl/>
        </w:rPr>
        <w:t>وفي رواية معتبرة ف</w:t>
      </w:r>
      <w:r w:rsidR="00943612">
        <w:rPr>
          <w:rFonts w:hint="cs"/>
          <w:rtl/>
        </w:rPr>
        <w:t>ُ</w:t>
      </w:r>
      <w:r w:rsidRPr="00904FCB">
        <w:rPr>
          <w:rFonts w:hint="cs"/>
          <w:rtl/>
        </w:rPr>
        <w:t>سّ</w:t>
      </w:r>
      <w:r w:rsidR="0054109D" w:rsidRPr="00904FCB">
        <w:rPr>
          <w:rFonts w:hint="cs"/>
          <w:rtl/>
        </w:rPr>
        <w:t>ِ</w:t>
      </w:r>
      <w:r w:rsidRPr="00904FCB">
        <w:rPr>
          <w:rFonts w:hint="cs"/>
          <w:rtl/>
        </w:rPr>
        <w:t>ر المحل</w:t>
      </w:r>
      <w:r w:rsidR="00943612">
        <w:rPr>
          <w:rFonts w:hint="cs"/>
          <w:rtl/>
        </w:rPr>
        <w:t>ّ</w:t>
      </w:r>
      <w:r w:rsidRPr="00904FCB">
        <w:rPr>
          <w:rFonts w:hint="cs"/>
          <w:rtl/>
        </w:rPr>
        <w:t xml:space="preserve"> بمنى</w:t>
      </w:r>
      <w:r w:rsidR="0054109D" w:rsidRPr="00904FCB">
        <w:rPr>
          <w:rFonts w:hint="cs"/>
          <w:rtl/>
        </w:rPr>
        <w:t>:</w:t>
      </w:r>
      <w:r w:rsidRPr="00904FCB">
        <w:rPr>
          <w:rFonts w:hint="cs"/>
          <w:rtl/>
        </w:rPr>
        <w:t xml:space="preserve"> عن زرعة قال: سألت</w:t>
      </w:r>
      <w:r w:rsidR="0054109D" w:rsidRPr="00904FCB">
        <w:rPr>
          <w:rFonts w:hint="cs"/>
          <w:rtl/>
        </w:rPr>
        <w:t>ُ</w:t>
      </w:r>
      <w:r w:rsidRPr="00904FCB">
        <w:rPr>
          <w:rFonts w:hint="cs"/>
          <w:rtl/>
        </w:rPr>
        <w:t>ه عن رجل أحصر في الحج</w:t>
      </w:r>
      <w:r w:rsidR="0054109D" w:rsidRPr="00904FCB">
        <w:rPr>
          <w:rFonts w:hint="cs"/>
          <w:rtl/>
        </w:rPr>
        <w:t>ّ؟</w:t>
      </w:r>
      <w:r w:rsidRPr="00904FCB">
        <w:rPr>
          <w:rFonts w:hint="cs"/>
          <w:rtl/>
        </w:rPr>
        <w:t xml:space="preserve"> قال: فليبعث بهديه إذا كان مع أصحابه، ومحلّه </w:t>
      </w:r>
      <w:r w:rsidR="00BC59EA" w:rsidRPr="00904FCB">
        <w:rPr>
          <w:rFonts w:hint="cs"/>
          <w:rtl/>
        </w:rPr>
        <w:t>أن يبلغ الهدي محلّه،</w:t>
      </w:r>
      <w:r w:rsidRPr="00904FCB">
        <w:rPr>
          <w:rFonts w:hint="cs"/>
          <w:rtl/>
        </w:rPr>
        <w:t xml:space="preserve"> ومحل</w:t>
      </w:r>
      <w:r w:rsidR="0054109D" w:rsidRPr="00904FCB">
        <w:rPr>
          <w:rFonts w:hint="cs"/>
          <w:rtl/>
        </w:rPr>
        <w:t>ّ</w:t>
      </w:r>
      <w:r w:rsidRPr="00904FCB">
        <w:rPr>
          <w:rFonts w:hint="cs"/>
          <w:rtl/>
        </w:rPr>
        <w:t>ه منى يوم النحر إذا كان في الحج</w:t>
      </w:r>
      <w:r w:rsidR="00BC59EA" w:rsidRPr="00904FCB">
        <w:rPr>
          <w:rFonts w:hint="cs"/>
          <w:rtl/>
        </w:rPr>
        <w:t>ّ</w:t>
      </w:r>
      <w:r w:rsidRPr="00904FCB">
        <w:rPr>
          <w:rFonts w:hint="cs"/>
          <w:rtl/>
        </w:rPr>
        <w:t>، وإن</w:t>
      </w:r>
      <w:r w:rsidR="00BC59EA" w:rsidRPr="00904FCB">
        <w:rPr>
          <w:rFonts w:hint="cs"/>
          <w:rtl/>
        </w:rPr>
        <w:t>ْ</w:t>
      </w:r>
      <w:r w:rsidRPr="00904FCB">
        <w:rPr>
          <w:rFonts w:hint="cs"/>
          <w:rtl/>
        </w:rPr>
        <w:t xml:space="preserve"> كان في عمرة نحره بمكة</w:t>
      </w:r>
      <w:r w:rsidR="00BC59EA" w:rsidRPr="00904FCB">
        <w:rPr>
          <w:rFonts w:hint="cs"/>
          <w:rtl/>
        </w:rPr>
        <w:t>،</w:t>
      </w:r>
      <w:r w:rsidRPr="00904FCB">
        <w:rPr>
          <w:rFonts w:hint="cs"/>
          <w:rtl/>
        </w:rPr>
        <w:t xml:space="preserve"> فإنّما عليه أن يعدهم لذلك يوماً، فإذا كان ذلك اليوم فقد وف</w:t>
      </w:r>
      <w:r w:rsidR="00BC59EA" w:rsidRPr="00904FCB">
        <w:rPr>
          <w:rFonts w:hint="cs"/>
          <w:rtl/>
        </w:rPr>
        <w:t>ى،</w:t>
      </w:r>
      <w:r w:rsidRPr="00904FCB">
        <w:rPr>
          <w:rFonts w:hint="cs"/>
          <w:rtl/>
        </w:rPr>
        <w:t xml:space="preserve"> وإن</w:t>
      </w:r>
      <w:r w:rsidR="00BC59EA" w:rsidRPr="00904FCB">
        <w:rPr>
          <w:rFonts w:hint="cs"/>
          <w:rtl/>
        </w:rPr>
        <w:t>ْ</w:t>
      </w:r>
      <w:r w:rsidRPr="00904FCB">
        <w:rPr>
          <w:rFonts w:hint="cs"/>
          <w:rtl/>
        </w:rPr>
        <w:t xml:space="preserve"> اختلفوا في الميعاد لم يضر</w:t>
      </w:r>
      <w:r w:rsidR="00BC59EA" w:rsidRPr="00904FCB">
        <w:rPr>
          <w:rFonts w:hint="cs"/>
          <w:rtl/>
        </w:rPr>
        <w:t>ّ</w:t>
      </w:r>
      <w:r w:rsidRPr="00904FCB">
        <w:rPr>
          <w:rFonts w:hint="cs"/>
          <w:rtl/>
        </w:rPr>
        <w:t>ه إن</w:t>
      </w:r>
      <w:r w:rsidR="00BC59EA" w:rsidRPr="00904FCB">
        <w:rPr>
          <w:rFonts w:hint="cs"/>
          <w:rtl/>
        </w:rPr>
        <w:t>ْ</w:t>
      </w:r>
      <w:r w:rsidRPr="00904FCB">
        <w:rPr>
          <w:rFonts w:hint="cs"/>
          <w:rtl/>
        </w:rPr>
        <w:t xml:space="preserve"> شاء الله تعالى</w:t>
      </w:r>
      <w:r w:rsidRPr="00904FCB">
        <w:rPr>
          <w:rFonts w:hint="cs"/>
          <w:vertAlign w:val="superscript"/>
          <w:rtl/>
        </w:rPr>
        <w:t>(</w:t>
      </w:r>
      <w:r w:rsidRPr="00904FCB">
        <w:rPr>
          <w:vertAlign w:val="superscript"/>
          <w:rtl/>
        </w:rPr>
        <w:endnoteReference w:id="468"/>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فضم</w:t>
      </w:r>
      <w:r w:rsidR="00943612">
        <w:rPr>
          <w:rFonts w:hint="cs"/>
          <w:rtl/>
        </w:rPr>
        <w:t>ُّ</w:t>
      </w:r>
      <w:r w:rsidRPr="00904FCB">
        <w:rPr>
          <w:rFonts w:hint="cs"/>
          <w:rtl/>
        </w:rPr>
        <w:t xml:space="preserve"> الرواية إلى الآية ينتج أن الكتاب العزيز يدلّ على لزوم الذبح بمنى، بل يمكن الاستدلال بنفس الآية الشريفة</w:t>
      </w:r>
      <w:r w:rsidR="00BC59EA" w:rsidRPr="00904FCB">
        <w:rPr>
          <w:rFonts w:hint="cs"/>
          <w:rtl/>
        </w:rPr>
        <w:t>،</w:t>
      </w:r>
      <w:r w:rsidRPr="00904FCB">
        <w:rPr>
          <w:rFonts w:hint="cs"/>
          <w:rtl/>
        </w:rPr>
        <w:t xml:space="preserve"> مع قطع النظر عن المعتبرة</w:t>
      </w:r>
      <w:r w:rsidR="00BC59EA" w:rsidRPr="00904FCB">
        <w:rPr>
          <w:rFonts w:hint="cs"/>
          <w:rtl/>
        </w:rPr>
        <w:t>؛</w:t>
      </w:r>
      <w:r w:rsidRPr="00904FCB">
        <w:rPr>
          <w:rFonts w:hint="cs"/>
          <w:rtl/>
        </w:rPr>
        <w:t xml:space="preserve"> لأنّ الآية صريحة في أن الهدي له محل</w:t>
      </w:r>
      <w:r w:rsidR="00BC59EA" w:rsidRPr="00904FCB">
        <w:rPr>
          <w:rFonts w:hint="cs"/>
          <w:rtl/>
        </w:rPr>
        <w:t>ّ</w:t>
      </w:r>
      <w:r w:rsidRPr="00904FCB">
        <w:rPr>
          <w:rFonts w:hint="cs"/>
          <w:rtl/>
        </w:rPr>
        <w:t xml:space="preserve"> خاص معين</w:t>
      </w:r>
      <w:r w:rsidR="00BC59EA" w:rsidRPr="00904FCB">
        <w:rPr>
          <w:rFonts w:hint="cs"/>
          <w:rtl/>
        </w:rPr>
        <w:t>،</w:t>
      </w:r>
      <w:r w:rsidRPr="00904FCB">
        <w:rPr>
          <w:rFonts w:hint="cs"/>
          <w:rtl/>
        </w:rPr>
        <w:t xml:space="preserve"> وليس ذلك غير منى قطعاً</w:t>
      </w:r>
      <w:r w:rsidR="00BC59EA" w:rsidRPr="00904FCB">
        <w:rPr>
          <w:rFonts w:hint="cs"/>
          <w:rtl/>
        </w:rPr>
        <w:t>،</w:t>
      </w:r>
      <w:r w:rsidRPr="00904FCB">
        <w:rPr>
          <w:rFonts w:hint="cs"/>
          <w:rtl/>
        </w:rPr>
        <w:t xml:space="preserve"> فيتعين كونه منى»</w:t>
      </w:r>
      <w:r w:rsidRPr="00904FCB">
        <w:rPr>
          <w:rFonts w:hint="cs"/>
          <w:vertAlign w:val="superscript"/>
          <w:rtl/>
        </w:rPr>
        <w:t>(</w:t>
      </w:r>
      <w:r w:rsidRPr="00904FCB">
        <w:rPr>
          <w:vertAlign w:val="superscript"/>
          <w:rtl/>
        </w:rPr>
        <w:endnoteReference w:id="469"/>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أمّا الدليل الأوّل</w:t>
      </w:r>
      <w:r w:rsidR="00BC59EA" w:rsidRPr="00904FCB">
        <w:rPr>
          <w:rFonts w:hint="cs"/>
          <w:rtl/>
        </w:rPr>
        <w:t>،</w:t>
      </w:r>
      <w:r w:rsidRPr="00904FCB">
        <w:rPr>
          <w:rFonts w:hint="cs"/>
          <w:rtl/>
        </w:rPr>
        <w:t xml:space="preserve"> أي الإجماع والسيرة القطعية</w:t>
      </w:r>
      <w:r w:rsidR="00BC59EA" w:rsidRPr="00904FCB">
        <w:rPr>
          <w:rFonts w:hint="cs"/>
          <w:rtl/>
        </w:rPr>
        <w:t>،</w:t>
      </w:r>
      <w:r w:rsidRPr="00904FCB">
        <w:rPr>
          <w:rFonts w:hint="cs"/>
          <w:rtl/>
        </w:rPr>
        <w:t xml:space="preserve"> </w:t>
      </w:r>
      <w:r w:rsidR="00BC59EA" w:rsidRPr="00904FCB">
        <w:rPr>
          <w:rFonts w:hint="cs"/>
          <w:rtl/>
        </w:rPr>
        <w:t xml:space="preserve">فقد </w:t>
      </w:r>
      <w:r w:rsidRPr="00904FCB">
        <w:rPr>
          <w:rFonts w:hint="cs"/>
          <w:rtl/>
        </w:rPr>
        <w:t>تكل</w:t>
      </w:r>
      <w:r w:rsidR="00BC59EA" w:rsidRPr="00904FCB">
        <w:rPr>
          <w:rFonts w:hint="cs"/>
          <w:rtl/>
        </w:rPr>
        <w:t>َّ</w:t>
      </w:r>
      <w:r w:rsidRPr="00904FCB">
        <w:rPr>
          <w:rFonts w:hint="cs"/>
          <w:rtl/>
        </w:rPr>
        <w:t>منا حوله</w:t>
      </w:r>
      <w:r w:rsidR="00BC59EA" w:rsidRPr="00904FCB">
        <w:rPr>
          <w:rFonts w:hint="cs"/>
          <w:rtl/>
        </w:rPr>
        <w:t>ا</w:t>
      </w:r>
      <w:r w:rsidRPr="00904FCB">
        <w:rPr>
          <w:rFonts w:hint="cs"/>
          <w:rtl/>
        </w:rPr>
        <w:t xml:space="preserve"> </w:t>
      </w:r>
      <w:r w:rsidR="00BC59EA" w:rsidRPr="00904FCB">
        <w:rPr>
          <w:rFonts w:hint="cs"/>
          <w:rtl/>
        </w:rPr>
        <w:lastRenderedPageBreak/>
        <w:t>بشكلٍ وافٍ.</w:t>
      </w:r>
      <w:r w:rsidRPr="00904FCB">
        <w:rPr>
          <w:rFonts w:hint="cs"/>
          <w:rtl/>
        </w:rPr>
        <w:t xml:space="preserve"> وخلاصته</w:t>
      </w:r>
      <w:r w:rsidR="00BC59EA" w:rsidRPr="00904FCB">
        <w:rPr>
          <w:rFonts w:hint="cs"/>
          <w:rtl/>
        </w:rPr>
        <w:t>:</w:t>
      </w:r>
      <w:r w:rsidRPr="00904FCB">
        <w:rPr>
          <w:rFonts w:hint="cs"/>
          <w:rtl/>
        </w:rPr>
        <w:t xml:space="preserve"> </w:t>
      </w:r>
      <w:r w:rsidR="00BC59EA" w:rsidRPr="00904FCB">
        <w:rPr>
          <w:rFonts w:hint="cs"/>
          <w:rtl/>
        </w:rPr>
        <w:t>إ</w:t>
      </w:r>
      <w:r w:rsidRPr="00904FCB">
        <w:rPr>
          <w:rFonts w:hint="cs"/>
          <w:rtl/>
        </w:rPr>
        <w:t xml:space="preserve">ن السيرة العملية لا </w:t>
      </w:r>
      <w:r w:rsidR="00BC59EA" w:rsidRPr="00904FCB">
        <w:rPr>
          <w:rFonts w:hint="cs"/>
          <w:rtl/>
        </w:rPr>
        <w:t>ت</w:t>
      </w:r>
      <w:r w:rsidRPr="00904FCB">
        <w:rPr>
          <w:rFonts w:hint="cs"/>
          <w:rtl/>
        </w:rPr>
        <w:t>دل</w:t>
      </w:r>
      <w:r w:rsidR="00BC59EA" w:rsidRPr="00904FCB">
        <w:rPr>
          <w:rFonts w:hint="cs"/>
          <w:rtl/>
        </w:rPr>
        <w:t>ّ</w:t>
      </w:r>
      <w:r w:rsidRPr="00904FCB">
        <w:rPr>
          <w:rFonts w:hint="cs"/>
          <w:rtl/>
        </w:rPr>
        <w:t xml:space="preserve"> على الوجوب</w:t>
      </w:r>
      <w:r w:rsidR="00BC59EA" w:rsidRPr="00904FCB">
        <w:rPr>
          <w:rFonts w:hint="cs"/>
          <w:rtl/>
        </w:rPr>
        <w:t>،</w:t>
      </w:r>
      <w:r w:rsidRPr="00904FCB">
        <w:rPr>
          <w:rFonts w:hint="cs"/>
          <w:rtl/>
        </w:rPr>
        <w:t xml:space="preserve"> والإجماع محتمل المدركي</w:t>
      </w:r>
      <w:r w:rsidR="00BC59EA" w:rsidRPr="00904FCB">
        <w:rPr>
          <w:rFonts w:hint="cs"/>
          <w:rtl/>
        </w:rPr>
        <w:t>ّة،</w:t>
      </w:r>
      <w:r w:rsidRPr="00904FCB">
        <w:rPr>
          <w:rFonts w:hint="cs"/>
          <w:rtl/>
        </w:rPr>
        <w:t xml:space="preserve"> بل </w:t>
      </w:r>
      <w:r w:rsidR="00BC59EA" w:rsidRPr="00904FCB">
        <w:rPr>
          <w:rFonts w:hint="cs"/>
          <w:rtl/>
        </w:rPr>
        <w:t xml:space="preserve">هي </w:t>
      </w:r>
      <w:r w:rsidRPr="00904FCB">
        <w:rPr>
          <w:rFonts w:hint="cs"/>
          <w:rtl/>
        </w:rPr>
        <w:t>متيقنة</w:t>
      </w:r>
      <w:r w:rsidR="00BC59EA" w:rsidRPr="00904FCB">
        <w:rPr>
          <w:rFonts w:hint="cs"/>
          <w:rtl/>
        </w:rPr>
        <w:t>.</w:t>
      </w:r>
      <w:r w:rsidRPr="00904FCB">
        <w:rPr>
          <w:rFonts w:hint="cs"/>
          <w:rtl/>
        </w:rPr>
        <w:t xml:space="preserve"> وإنّ منى كانت ظرفاً متعارفاً للذبح والنحر</w:t>
      </w:r>
      <w:r w:rsidR="00BC59EA" w:rsidRPr="00904FCB">
        <w:rPr>
          <w:rFonts w:hint="cs"/>
          <w:rtl/>
        </w:rPr>
        <w:t>؛</w:t>
      </w:r>
      <w:r w:rsidRPr="00904FCB">
        <w:rPr>
          <w:rFonts w:hint="cs"/>
          <w:rtl/>
        </w:rPr>
        <w:t xml:space="preserve"> </w:t>
      </w:r>
      <w:r w:rsidR="00BC59EA" w:rsidRPr="00904FCB">
        <w:rPr>
          <w:rFonts w:hint="cs"/>
          <w:rtl/>
        </w:rPr>
        <w:t>حيث</w:t>
      </w:r>
      <w:r w:rsidRPr="00904FCB">
        <w:rPr>
          <w:rFonts w:hint="cs"/>
          <w:rtl/>
        </w:rPr>
        <w:t xml:space="preserve"> كان الناس مجتمعين هناك للوقوف</w:t>
      </w:r>
      <w:r w:rsidR="00BC59EA" w:rsidRPr="00904FCB">
        <w:rPr>
          <w:rFonts w:hint="cs"/>
          <w:rtl/>
        </w:rPr>
        <w:t>،</w:t>
      </w:r>
      <w:r w:rsidRPr="00904FCB">
        <w:rPr>
          <w:rFonts w:hint="cs"/>
          <w:rtl/>
        </w:rPr>
        <w:t xml:space="preserve"> فكانوا يذبحون هناك ويأكلون ويتصد</w:t>
      </w:r>
      <w:r w:rsidR="00BC59EA" w:rsidRPr="00904FCB">
        <w:rPr>
          <w:rFonts w:hint="cs"/>
          <w:rtl/>
        </w:rPr>
        <w:t>ّ</w:t>
      </w:r>
      <w:r w:rsidRPr="00904FCB">
        <w:rPr>
          <w:rFonts w:hint="cs"/>
          <w:rtl/>
        </w:rPr>
        <w:t>قون</w:t>
      </w:r>
      <w:r w:rsidR="00BC59EA" w:rsidRPr="00904FCB">
        <w:rPr>
          <w:rFonts w:hint="cs"/>
          <w:rtl/>
        </w:rPr>
        <w:t>،</w:t>
      </w:r>
      <w:r w:rsidRPr="00904FCB">
        <w:rPr>
          <w:rFonts w:hint="cs"/>
          <w:rtl/>
        </w:rPr>
        <w:t xml:space="preserve"> فالمحل كان ظرفاً للذبح</w:t>
      </w:r>
      <w:r w:rsidR="00BC59EA" w:rsidRPr="00904FCB">
        <w:rPr>
          <w:rFonts w:hint="cs"/>
          <w:rtl/>
        </w:rPr>
        <w:t>،</w:t>
      </w:r>
      <w:r w:rsidRPr="00904FCB">
        <w:rPr>
          <w:rFonts w:hint="cs"/>
          <w:rtl/>
        </w:rPr>
        <w:t xml:space="preserve"> ولم يكن قيداً له. </w:t>
      </w:r>
    </w:p>
    <w:p w:rsidR="005B6CEC" w:rsidRPr="00904FCB" w:rsidRDefault="005B6CEC" w:rsidP="00510A75">
      <w:pPr>
        <w:spacing w:line="400" w:lineRule="exact"/>
        <w:rPr>
          <w:rtl/>
        </w:rPr>
      </w:pPr>
      <w:r w:rsidRPr="00904FCB">
        <w:rPr>
          <w:rFonts w:hint="cs"/>
          <w:rtl/>
        </w:rPr>
        <w:t>أمّا الكتاب فنقول</w:t>
      </w:r>
      <w:r w:rsidR="00BC59EA" w:rsidRPr="00904FCB">
        <w:rPr>
          <w:rFonts w:hint="cs"/>
          <w:rtl/>
        </w:rPr>
        <w:t>:</w:t>
      </w:r>
      <w:r w:rsidRPr="00904FCB">
        <w:rPr>
          <w:rFonts w:hint="cs"/>
          <w:rtl/>
        </w:rPr>
        <w:t xml:space="preserve"> لفظة «محل</w:t>
      </w:r>
      <w:r w:rsidR="00BC59EA" w:rsidRPr="00904FCB">
        <w:rPr>
          <w:rFonts w:hint="cs"/>
          <w:rtl/>
        </w:rPr>
        <w:t>ّ</w:t>
      </w:r>
      <w:r w:rsidRPr="00904FCB">
        <w:rPr>
          <w:rFonts w:hint="cs"/>
          <w:rtl/>
        </w:rPr>
        <w:t>ه» مشتركة بين اسم الزمان واسم المكان</w:t>
      </w:r>
      <w:r w:rsidR="00BC59EA" w:rsidRPr="00904FCB">
        <w:rPr>
          <w:rFonts w:hint="cs"/>
          <w:rtl/>
        </w:rPr>
        <w:t>؛</w:t>
      </w:r>
      <w:r w:rsidRPr="00904FCB">
        <w:rPr>
          <w:rFonts w:hint="cs"/>
          <w:rtl/>
        </w:rPr>
        <w:t xml:space="preserve"> فمرّة يقصد منه حت</w:t>
      </w:r>
      <w:r w:rsidR="00BC59EA" w:rsidRPr="00904FCB">
        <w:rPr>
          <w:rFonts w:hint="cs"/>
          <w:rtl/>
        </w:rPr>
        <w:t>ّ</w:t>
      </w:r>
      <w:r w:rsidRPr="00904FCB">
        <w:rPr>
          <w:rFonts w:hint="cs"/>
          <w:rtl/>
        </w:rPr>
        <w:t>ى يبلغ الهدي إلى مكانه المخصوص</w:t>
      </w:r>
      <w:r w:rsidR="00BC59EA" w:rsidRPr="00904FCB">
        <w:rPr>
          <w:rFonts w:hint="cs"/>
          <w:rtl/>
        </w:rPr>
        <w:t>؛</w:t>
      </w:r>
      <w:r w:rsidRPr="00904FCB">
        <w:rPr>
          <w:rFonts w:hint="cs"/>
          <w:rtl/>
        </w:rPr>
        <w:t xml:space="preserve"> وأخرى حتى يبلغ الهدي إلى زمانه المخصوص</w:t>
      </w:r>
      <w:r w:rsidR="00BC59EA" w:rsidRPr="00904FCB">
        <w:rPr>
          <w:rFonts w:hint="cs"/>
          <w:rtl/>
        </w:rPr>
        <w:t>.</w:t>
      </w:r>
      <w:r w:rsidRPr="00904FCB">
        <w:rPr>
          <w:rFonts w:hint="cs"/>
          <w:rtl/>
        </w:rPr>
        <w:t xml:space="preserve"> والسيد الخوئي</w:t>
      </w:r>
      <w:r w:rsidR="00510A75" w:rsidRPr="00756F2A">
        <w:rPr>
          <w:rFonts w:ascii="Mosawi" w:hAnsi="Mosawi" w:cs="Mosawi"/>
          <w:sz w:val="22"/>
          <w:szCs w:val="22"/>
          <w:rtl/>
        </w:rPr>
        <w:t>&amp;</w:t>
      </w:r>
      <w:r w:rsidRPr="00904FCB">
        <w:rPr>
          <w:rFonts w:hint="cs"/>
          <w:rtl/>
        </w:rPr>
        <w:t xml:space="preserve"> قصد الأوّل</w:t>
      </w:r>
      <w:r w:rsidR="00BC59EA" w:rsidRPr="00904FCB">
        <w:rPr>
          <w:rFonts w:hint="cs"/>
          <w:rtl/>
        </w:rPr>
        <w:t>؛</w:t>
      </w:r>
      <w:r w:rsidRPr="00904FCB">
        <w:rPr>
          <w:rFonts w:hint="cs"/>
          <w:rtl/>
        </w:rPr>
        <w:t xml:space="preserve"> فلذا مرّة ضمّ الرواية إلى الآية</w:t>
      </w:r>
      <w:r w:rsidR="00BC59EA" w:rsidRPr="00904FCB">
        <w:rPr>
          <w:rFonts w:hint="cs"/>
          <w:rtl/>
        </w:rPr>
        <w:t>،</w:t>
      </w:r>
      <w:r w:rsidRPr="00904FCB">
        <w:rPr>
          <w:rFonts w:hint="cs"/>
          <w:rtl/>
        </w:rPr>
        <w:t xml:space="preserve"> ووصل إلى النتيجة</w:t>
      </w:r>
      <w:r w:rsidR="00BC59EA" w:rsidRPr="00904FCB">
        <w:rPr>
          <w:rFonts w:hint="cs"/>
          <w:rtl/>
        </w:rPr>
        <w:t>؛</w:t>
      </w:r>
      <w:r w:rsidRPr="00904FCB">
        <w:rPr>
          <w:rFonts w:hint="cs"/>
          <w:rtl/>
        </w:rPr>
        <w:t xml:space="preserve"> وأخرى استفاد من نفس الآية</w:t>
      </w:r>
      <w:r w:rsidR="00BC59EA" w:rsidRPr="00904FCB">
        <w:rPr>
          <w:rFonts w:hint="cs"/>
          <w:rtl/>
        </w:rPr>
        <w:t>،</w:t>
      </w:r>
      <w:r w:rsidRPr="00904FCB">
        <w:rPr>
          <w:rFonts w:hint="cs"/>
          <w:rtl/>
        </w:rPr>
        <w:t xml:space="preserve"> بدون ضم</w:t>
      </w:r>
      <w:r w:rsidR="00BC59EA" w:rsidRPr="00904FCB">
        <w:rPr>
          <w:rFonts w:hint="cs"/>
          <w:rtl/>
        </w:rPr>
        <w:t>ّ</w:t>
      </w:r>
      <w:r w:rsidRPr="00904FCB">
        <w:rPr>
          <w:rFonts w:hint="cs"/>
          <w:rtl/>
        </w:rPr>
        <w:t xml:space="preserve"> الرواية. </w:t>
      </w:r>
    </w:p>
    <w:p w:rsidR="005B6CEC" w:rsidRPr="00904FCB" w:rsidRDefault="005B6CEC" w:rsidP="007A21AA">
      <w:pPr>
        <w:spacing w:line="400" w:lineRule="exact"/>
        <w:rPr>
          <w:rtl/>
        </w:rPr>
      </w:pPr>
      <w:r w:rsidRPr="00904FCB">
        <w:rPr>
          <w:rFonts w:hint="cs"/>
          <w:rtl/>
        </w:rPr>
        <w:t>ولكن</w:t>
      </w:r>
      <w:r w:rsidR="00BC59EA" w:rsidRPr="00904FCB">
        <w:rPr>
          <w:rFonts w:hint="cs"/>
          <w:rtl/>
        </w:rPr>
        <w:t>ْ</w:t>
      </w:r>
      <w:r w:rsidRPr="00904FCB">
        <w:rPr>
          <w:rFonts w:hint="cs"/>
          <w:rtl/>
        </w:rPr>
        <w:t xml:space="preserve"> من أين ثبت له </w:t>
      </w:r>
      <w:r w:rsidR="00BC59EA" w:rsidRPr="00904FCB">
        <w:rPr>
          <w:rFonts w:hint="cs"/>
          <w:rtl/>
        </w:rPr>
        <w:t xml:space="preserve">أنّ </w:t>
      </w:r>
      <w:r w:rsidRPr="00904FCB">
        <w:rPr>
          <w:rFonts w:hint="cs"/>
          <w:rtl/>
        </w:rPr>
        <w:t>«محله» اسم مكان</w:t>
      </w:r>
      <w:r w:rsidR="00BC59EA" w:rsidRPr="00904FCB">
        <w:rPr>
          <w:rFonts w:hint="cs"/>
          <w:rtl/>
        </w:rPr>
        <w:t>؟!</w:t>
      </w:r>
      <w:r w:rsidRPr="00904FCB">
        <w:rPr>
          <w:rFonts w:hint="cs"/>
          <w:rtl/>
        </w:rPr>
        <w:t xml:space="preserve"> فيحتمل أن يكون اسم زمان</w:t>
      </w:r>
      <w:r w:rsidR="00731905" w:rsidRPr="00904FCB">
        <w:rPr>
          <w:rFonts w:hint="cs"/>
          <w:rtl/>
        </w:rPr>
        <w:t>،</w:t>
      </w:r>
      <w:r w:rsidRPr="00904FCB">
        <w:rPr>
          <w:rFonts w:hint="cs"/>
          <w:rtl/>
        </w:rPr>
        <w:t xml:space="preserve"> فيبطل الاستدلال من رأسه. </w:t>
      </w:r>
    </w:p>
    <w:p w:rsidR="005B6CEC" w:rsidRPr="00904FCB" w:rsidRDefault="005B6CEC" w:rsidP="007A21AA">
      <w:pPr>
        <w:spacing w:line="400" w:lineRule="exact"/>
        <w:rPr>
          <w:rtl/>
        </w:rPr>
      </w:pPr>
      <w:r w:rsidRPr="00904FCB">
        <w:rPr>
          <w:rFonts w:hint="cs"/>
          <w:rtl/>
        </w:rPr>
        <w:t>قال الجص</w:t>
      </w:r>
      <w:r w:rsidR="00731905" w:rsidRPr="00904FCB">
        <w:rPr>
          <w:rFonts w:hint="cs"/>
          <w:rtl/>
        </w:rPr>
        <w:t>ّ</w:t>
      </w:r>
      <w:r w:rsidRPr="00904FCB">
        <w:rPr>
          <w:rFonts w:hint="cs"/>
          <w:rtl/>
        </w:rPr>
        <w:t>اص: إن المحل</w:t>
      </w:r>
      <w:r w:rsidR="00731905" w:rsidRPr="00904FCB">
        <w:rPr>
          <w:rFonts w:hint="cs"/>
          <w:rtl/>
        </w:rPr>
        <w:t>ّ</w:t>
      </w:r>
      <w:r w:rsidRPr="00904FCB">
        <w:rPr>
          <w:rFonts w:hint="cs"/>
          <w:rtl/>
        </w:rPr>
        <w:t xml:space="preserve"> اسم لشيئين</w:t>
      </w:r>
      <w:r w:rsidR="00731905" w:rsidRPr="00904FCB">
        <w:rPr>
          <w:rFonts w:hint="cs"/>
          <w:rtl/>
        </w:rPr>
        <w:t>؛</w:t>
      </w:r>
      <w:r w:rsidRPr="00904FCB">
        <w:rPr>
          <w:rFonts w:hint="cs"/>
          <w:rtl/>
        </w:rPr>
        <w:t xml:space="preserve"> يحتمل أن يراد به الوقت</w:t>
      </w:r>
      <w:r w:rsidR="00731905" w:rsidRPr="00904FCB">
        <w:rPr>
          <w:rFonts w:hint="cs"/>
          <w:rtl/>
        </w:rPr>
        <w:t>؛</w:t>
      </w:r>
      <w:r w:rsidRPr="00904FCB">
        <w:rPr>
          <w:rFonts w:hint="cs"/>
          <w:rtl/>
        </w:rPr>
        <w:t xml:space="preserve"> ويحتمل أن يراد به المكان</w:t>
      </w:r>
      <w:r w:rsidR="00731905" w:rsidRPr="00904FCB">
        <w:rPr>
          <w:rFonts w:hint="cs"/>
          <w:rtl/>
        </w:rPr>
        <w:t>،</w:t>
      </w:r>
      <w:r w:rsidRPr="00904FCB">
        <w:rPr>
          <w:rFonts w:hint="cs"/>
          <w:rtl/>
        </w:rPr>
        <w:t xml:space="preserve"> ألا ترى أن محل</w:t>
      </w:r>
      <w:r w:rsidR="00731905" w:rsidRPr="00904FCB">
        <w:rPr>
          <w:rFonts w:hint="cs"/>
          <w:rtl/>
        </w:rPr>
        <w:t>ّ</w:t>
      </w:r>
      <w:r w:rsidRPr="00904FCB">
        <w:rPr>
          <w:rFonts w:hint="cs"/>
          <w:rtl/>
        </w:rPr>
        <w:t xml:space="preserve"> الدين هو وقته الذي تجب المطالبة به</w:t>
      </w:r>
      <w:r w:rsidR="00731905" w:rsidRPr="00904FCB">
        <w:rPr>
          <w:rFonts w:hint="cs"/>
          <w:rtl/>
        </w:rPr>
        <w:t>،</w:t>
      </w:r>
      <w:r w:rsidRPr="00904FCB">
        <w:rPr>
          <w:rFonts w:hint="cs"/>
          <w:rtl/>
        </w:rPr>
        <w:t xml:space="preserve"> وقال النبي</w:t>
      </w:r>
      <w:r w:rsidR="00635E51" w:rsidRPr="00904FCB">
        <w:rPr>
          <w:rFonts w:cs="Mosawi" w:hint="cs"/>
          <w:szCs w:val="22"/>
          <w:rtl/>
        </w:rPr>
        <w:t>|</w:t>
      </w:r>
      <w:r w:rsidRPr="00904FCB">
        <w:rPr>
          <w:rFonts w:hint="cs"/>
          <w:rtl/>
        </w:rPr>
        <w:t xml:space="preserve"> لضباعة بنت الزبير: اشترطي في الحج</w:t>
      </w:r>
      <w:r w:rsidR="00731905" w:rsidRPr="00904FCB">
        <w:rPr>
          <w:rFonts w:hint="cs"/>
          <w:rtl/>
        </w:rPr>
        <w:t>ّ،</w:t>
      </w:r>
      <w:r w:rsidRPr="00904FCB">
        <w:rPr>
          <w:rFonts w:hint="cs"/>
          <w:rtl/>
        </w:rPr>
        <w:t xml:space="preserve"> وقولي</w:t>
      </w:r>
      <w:r w:rsidR="00731905" w:rsidRPr="00904FCB">
        <w:rPr>
          <w:rFonts w:hint="cs"/>
          <w:rtl/>
        </w:rPr>
        <w:t>:</w:t>
      </w:r>
      <w:r w:rsidRPr="00904FCB">
        <w:rPr>
          <w:rFonts w:hint="cs"/>
          <w:rtl/>
        </w:rPr>
        <w:t xml:space="preserve"> محلي حيث حبستني</w:t>
      </w:r>
      <w:r w:rsidR="00731905" w:rsidRPr="00904FCB">
        <w:rPr>
          <w:rFonts w:hint="cs"/>
          <w:rtl/>
        </w:rPr>
        <w:t>،</w:t>
      </w:r>
      <w:r w:rsidRPr="00904FCB">
        <w:rPr>
          <w:rFonts w:hint="cs"/>
          <w:rtl/>
        </w:rPr>
        <w:t xml:space="preserve"> فجعل المحل في هذا الموضوع اسماً للمكان</w:t>
      </w:r>
      <w:r w:rsidRPr="00904FCB">
        <w:rPr>
          <w:rFonts w:hint="cs"/>
          <w:vertAlign w:val="superscript"/>
          <w:rtl/>
        </w:rPr>
        <w:t>(</w:t>
      </w:r>
      <w:r w:rsidRPr="00904FCB">
        <w:rPr>
          <w:rStyle w:val="ac"/>
          <w:sz w:val="27"/>
          <w:rtl/>
        </w:rPr>
        <w:endnoteReference w:id="470"/>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وقال أبو بكر محمد بن عبد الله</w:t>
      </w:r>
      <w:r w:rsidR="00731905" w:rsidRPr="00904FCB">
        <w:rPr>
          <w:rFonts w:hint="cs"/>
          <w:rtl/>
        </w:rPr>
        <w:t>،</w:t>
      </w:r>
      <w:r w:rsidRPr="00904FCB">
        <w:rPr>
          <w:rFonts w:hint="cs"/>
          <w:rtl/>
        </w:rPr>
        <w:t xml:space="preserve"> المعروف بابن العربي: </w:t>
      </w:r>
      <w:r w:rsidRPr="00904FCB">
        <w:rPr>
          <w:rFonts w:ascii="Mosawi" w:hAnsi="Mosawi" w:cs="Mosawi"/>
          <w:sz w:val="24"/>
          <w:szCs w:val="24"/>
          <w:rtl/>
        </w:rPr>
        <w:t>﴿</w:t>
      </w:r>
      <w:r w:rsidRPr="00904FCB">
        <w:rPr>
          <w:b/>
          <w:bCs/>
          <w:rtl/>
        </w:rPr>
        <w:t>حَتَّى يَبْلُغَ الْهَدْيُ مَحِلَّهُ</w:t>
      </w:r>
      <w:r w:rsidRPr="00904FCB">
        <w:rPr>
          <w:rFonts w:ascii="Mosawi" w:hAnsi="Mosawi" w:cs="Mosawi"/>
          <w:sz w:val="24"/>
          <w:szCs w:val="24"/>
          <w:rtl/>
        </w:rPr>
        <w:t>﴾</w:t>
      </w:r>
      <w:r w:rsidR="00731905" w:rsidRPr="00904FCB">
        <w:rPr>
          <w:rFonts w:hint="cs"/>
          <w:rtl/>
        </w:rPr>
        <w:t>،</w:t>
      </w:r>
      <w:r w:rsidRPr="00904FCB">
        <w:rPr>
          <w:rFonts w:hint="cs"/>
          <w:rtl/>
        </w:rPr>
        <w:t xml:space="preserve"> بكسر الحاء</w:t>
      </w:r>
      <w:r w:rsidR="00731905" w:rsidRPr="00904FCB">
        <w:rPr>
          <w:rFonts w:hint="cs"/>
          <w:rtl/>
        </w:rPr>
        <w:t>،</w:t>
      </w:r>
      <w:r w:rsidRPr="00904FCB">
        <w:rPr>
          <w:rFonts w:hint="cs"/>
          <w:rtl/>
        </w:rPr>
        <w:t xml:space="preserve"> وهو وقت الح</w:t>
      </w:r>
      <w:r w:rsidR="00731905" w:rsidRPr="00904FCB">
        <w:rPr>
          <w:rFonts w:hint="cs"/>
          <w:rtl/>
        </w:rPr>
        <w:t>ِ</w:t>
      </w:r>
      <w:r w:rsidRPr="00904FCB">
        <w:rPr>
          <w:rFonts w:hint="cs"/>
          <w:rtl/>
        </w:rPr>
        <w:t>ل</w:t>
      </w:r>
      <w:r w:rsidR="00731905" w:rsidRPr="00904FCB">
        <w:rPr>
          <w:rFonts w:hint="cs"/>
          <w:rtl/>
        </w:rPr>
        <w:t>ّ</w:t>
      </w:r>
      <w:r w:rsidRPr="00904FCB">
        <w:rPr>
          <w:rFonts w:hint="cs"/>
          <w:rtl/>
        </w:rPr>
        <w:t>. ونحن نقول</w:t>
      </w:r>
      <w:r w:rsidR="00731905" w:rsidRPr="00904FCB">
        <w:rPr>
          <w:rFonts w:hint="cs"/>
          <w:rtl/>
        </w:rPr>
        <w:t>: إ</w:t>
      </w:r>
      <w:r w:rsidRPr="00904FCB">
        <w:rPr>
          <w:rFonts w:hint="cs"/>
          <w:rtl/>
        </w:rPr>
        <w:t>ن وقته وقت حل</w:t>
      </w:r>
      <w:r w:rsidR="00731905" w:rsidRPr="00904FCB">
        <w:rPr>
          <w:rFonts w:hint="cs"/>
          <w:rtl/>
        </w:rPr>
        <w:t>ّ</w:t>
      </w:r>
      <w:r w:rsidRPr="00904FCB">
        <w:rPr>
          <w:rFonts w:hint="cs"/>
          <w:rtl/>
        </w:rPr>
        <w:t xml:space="preserve"> الهدي</w:t>
      </w:r>
      <w:r w:rsidR="00731905" w:rsidRPr="00904FCB">
        <w:rPr>
          <w:rFonts w:hint="cs"/>
          <w:rtl/>
        </w:rPr>
        <w:t>،</w:t>
      </w:r>
      <w:r w:rsidRPr="00904FCB">
        <w:rPr>
          <w:rFonts w:hint="cs"/>
          <w:rtl/>
        </w:rPr>
        <w:t xml:space="preserve"> وقد حلّ باليأس عن البلوغ</w:t>
      </w:r>
      <w:r w:rsidRPr="00904FCB">
        <w:rPr>
          <w:rFonts w:hint="cs"/>
          <w:vertAlign w:val="superscript"/>
          <w:rtl/>
        </w:rPr>
        <w:t>(</w:t>
      </w:r>
      <w:r w:rsidRPr="00904FCB">
        <w:rPr>
          <w:rStyle w:val="ac"/>
          <w:sz w:val="27"/>
          <w:rtl/>
        </w:rPr>
        <w:endnoteReference w:id="471"/>
      </w:r>
      <w:r w:rsidRPr="00904FCB">
        <w:rPr>
          <w:rFonts w:hint="cs"/>
          <w:vertAlign w:val="superscript"/>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أقول: لا أريد أن أرج</w:t>
      </w:r>
      <w:r w:rsidR="00731905" w:rsidRPr="00904FCB">
        <w:rPr>
          <w:rFonts w:hint="cs"/>
          <w:rtl/>
        </w:rPr>
        <w:t>ِّ</w:t>
      </w:r>
      <w:r w:rsidRPr="00904FCB">
        <w:rPr>
          <w:rFonts w:hint="cs"/>
          <w:rtl/>
        </w:rPr>
        <w:t>ح أحد المعنيين على الآخر</w:t>
      </w:r>
      <w:r w:rsidR="00731905" w:rsidRPr="00904FCB">
        <w:rPr>
          <w:rFonts w:hint="cs"/>
          <w:rtl/>
        </w:rPr>
        <w:t>،</w:t>
      </w:r>
      <w:r w:rsidRPr="00904FCB">
        <w:rPr>
          <w:rFonts w:hint="cs"/>
          <w:rtl/>
        </w:rPr>
        <w:t xml:space="preserve"> بل أريد أن أقول</w:t>
      </w:r>
      <w:r w:rsidR="00731905" w:rsidRPr="00904FCB">
        <w:rPr>
          <w:rFonts w:hint="cs"/>
          <w:rtl/>
        </w:rPr>
        <w:t>:</w:t>
      </w:r>
      <w:r w:rsidRPr="00904FCB">
        <w:rPr>
          <w:rFonts w:hint="cs"/>
          <w:rtl/>
        </w:rPr>
        <w:t xml:space="preserve"> إثبات محل الهدي</w:t>
      </w:r>
      <w:r w:rsidR="00731905" w:rsidRPr="00904FCB">
        <w:rPr>
          <w:rFonts w:hint="cs"/>
          <w:rtl/>
        </w:rPr>
        <w:t>،</w:t>
      </w:r>
      <w:r w:rsidRPr="00904FCB">
        <w:rPr>
          <w:rFonts w:hint="cs"/>
          <w:rtl/>
        </w:rPr>
        <w:t xml:space="preserve"> سواء كان منى أو غيره</w:t>
      </w:r>
      <w:r w:rsidR="00731905" w:rsidRPr="00904FCB">
        <w:rPr>
          <w:rFonts w:hint="cs"/>
          <w:rtl/>
        </w:rPr>
        <w:t>،</w:t>
      </w:r>
      <w:r w:rsidRPr="00904FCB">
        <w:rPr>
          <w:rFonts w:hint="cs"/>
          <w:rtl/>
        </w:rPr>
        <w:t xml:space="preserve"> من نفس الآية الشريفة لا </w:t>
      </w:r>
      <w:r w:rsidR="00731905" w:rsidRPr="00904FCB">
        <w:rPr>
          <w:rFonts w:hint="cs"/>
          <w:rtl/>
        </w:rPr>
        <w:t>ن</w:t>
      </w:r>
      <w:r w:rsidRPr="00904FCB">
        <w:rPr>
          <w:rFonts w:hint="cs"/>
          <w:rtl/>
        </w:rPr>
        <w:t>خالفه</w:t>
      </w:r>
      <w:r w:rsidR="00731905" w:rsidRPr="00904FCB">
        <w:rPr>
          <w:rFonts w:hint="cs"/>
          <w:rtl/>
        </w:rPr>
        <w:t>،</w:t>
      </w:r>
      <w:r w:rsidRPr="00904FCB">
        <w:rPr>
          <w:rFonts w:hint="cs"/>
          <w:rtl/>
        </w:rPr>
        <w:t xml:space="preserve"> بل يمكن أن يقال</w:t>
      </w:r>
      <w:r w:rsidR="00731905" w:rsidRPr="00904FCB">
        <w:rPr>
          <w:rFonts w:hint="cs"/>
          <w:rtl/>
        </w:rPr>
        <w:t>:</w:t>
      </w:r>
      <w:r w:rsidRPr="00904FCB">
        <w:rPr>
          <w:rFonts w:hint="cs"/>
          <w:rtl/>
        </w:rPr>
        <w:t xml:space="preserve"> </w:t>
      </w:r>
      <w:r w:rsidR="00731905" w:rsidRPr="00904FCB">
        <w:rPr>
          <w:rFonts w:hint="cs"/>
          <w:rtl/>
        </w:rPr>
        <w:t>إ</w:t>
      </w:r>
      <w:r w:rsidRPr="00904FCB">
        <w:rPr>
          <w:rFonts w:hint="cs"/>
          <w:rtl/>
        </w:rPr>
        <w:t>ن الآية تشير إليه، ولكن</w:t>
      </w:r>
      <w:r w:rsidR="00731905" w:rsidRPr="00904FCB">
        <w:rPr>
          <w:rFonts w:hint="cs"/>
          <w:rtl/>
        </w:rPr>
        <w:t>ّ</w:t>
      </w:r>
      <w:r w:rsidRPr="00904FCB">
        <w:rPr>
          <w:rFonts w:hint="cs"/>
          <w:rtl/>
        </w:rPr>
        <w:t xml:space="preserve"> الاستدلال بها غير تام</w:t>
      </w:r>
      <w:r w:rsidR="00731905" w:rsidRPr="00904FCB">
        <w:rPr>
          <w:rFonts w:hint="cs"/>
          <w:rtl/>
        </w:rPr>
        <w:t>ّ،</w:t>
      </w:r>
      <w:r w:rsidRPr="00904FCB">
        <w:rPr>
          <w:rFonts w:hint="cs"/>
          <w:rtl/>
        </w:rPr>
        <w:t xml:space="preserve"> سواء </w:t>
      </w:r>
      <w:r w:rsidR="00731905" w:rsidRPr="00904FCB">
        <w:rPr>
          <w:rFonts w:hint="cs"/>
          <w:rtl/>
        </w:rPr>
        <w:t>ا</w:t>
      </w:r>
      <w:r w:rsidRPr="00904FCB">
        <w:rPr>
          <w:rFonts w:hint="cs"/>
          <w:rtl/>
        </w:rPr>
        <w:t>نضم</w:t>
      </w:r>
      <w:r w:rsidR="00731905" w:rsidRPr="00904FCB">
        <w:rPr>
          <w:rFonts w:hint="cs"/>
          <w:rtl/>
        </w:rPr>
        <w:t>ّت</w:t>
      </w:r>
      <w:r w:rsidRPr="00904FCB">
        <w:rPr>
          <w:rFonts w:hint="cs"/>
          <w:rtl/>
        </w:rPr>
        <w:t xml:space="preserve"> إليها معتبرة زرعة أم لم تنضم</w:t>
      </w:r>
      <w:r w:rsidR="00731905" w:rsidRPr="00904FCB">
        <w:rPr>
          <w:rFonts w:hint="cs"/>
          <w:rtl/>
        </w:rPr>
        <w:t>ّ</w:t>
      </w:r>
      <w:r w:rsidRPr="00904FCB">
        <w:rPr>
          <w:rFonts w:hint="cs"/>
          <w:rtl/>
        </w:rPr>
        <w:t xml:space="preserve">. </w:t>
      </w:r>
    </w:p>
    <w:p w:rsidR="005B6CEC" w:rsidRPr="00904FCB" w:rsidRDefault="005B6CEC" w:rsidP="007A21AA">
      <w:pPr>
        <w:spacing w:line="400" w:lineRule="exact"/>
        <w:rPr>
          <w:rtl/>
        </w:rPr>
      </w:pPr>
      <w:r w:rsidRPr="00904FCB">
        <w:rPr>
          <w:rFonts w:hint="cs"/>
          <w:rtl/>
        </w:rPr>
        <w:t xml:space="preserve">على أن الآية والمعتبرة تشعران بأنّ محل الهدي يشمل الزمان والمكان. </w:t>
      </w:r>
    </w:p>
    <w:p w:rsidR="005B6CEC" w:rsidRPr="00904FCB" w:rsidRDefault="005B6CEC" w:rsidP="007A21AA">
      <w:pPr>
        <w:spacing w:line="400" w:lineRule="exact"/>
        <w:rPr>
          <w:rtl/>
        </w:rPr>
      </w:pPr>
      <w:r w:rsidRPr="00904FCB">
        <w:rPr>
          <w:rFonts w:hint="cs"/>
          <w:rtl/>
        </w:rPr>
        <w:t>ففي الرواية</w:t>
      </w:r>
      <w:r w:rsidR="00731905" w:rsidRPr="00904FCB">
        <w:rPr>
          <w:rFonts w:hint="cs"/>
          <w:rtl/>
        </w:rPr>
        <w:t>:</w:t>
      </w:r>
      <w:r w:rsidRPr="00904FCB">
        <w:rPr>
          <w:rFonts w:hint="cs"/>
          <w:rtl/>
        </w:rPr>
        <w:t xml:space="preserve"> «ومحل</w:t>
      </w:r>
      <w:r w:rsidR="00731905" w:rsidRPr="00904FCB">
        <w:rPr>
          <w:rFonts w:hint="cs"/>
          <w:rtl/>
        </w:rPr>
        <w:t>ّ</w:t>
      </w:r>
      <w:r w:rsidRPr="00904FCB">
        <w:rPr>
          <w:rFonts w:hint="cs"/>
          <w:rtl/>
        </w:rPr>
        <w:t>ه أن يبلغ الهدي محله</w:t>
      </w:r>
      <w:r w:rsidR="00731905" w:rsidRPr="00904FCB">
        <w:rPr>
          <w:rFonts w:hint="cs"/>
          <w:rtl/>
        </w:rPr>
        <w:t>،</w:t>
      </w:r>
      <w:r w:rsidRPr="00904FCB">
        <w:rPr>
          <w:rFonts w:hint="cs"/>
          <w:rtl/>
        </w:rPr>
        <w:t xml:space="preserve"> ومحله منى»</w:t>
      </w:r>
      <w:r w:rsidR="00731905" w:rsidRPr="00904FCB">
        <w:rPr>
          <w:rFonts w:hint="cs"/>
          <w:rtl/>
        </w:rPr>
        <w:t>.</w:t>
      </w:r>
      <w:r w:rsidRPr="00904FCB">
        <w:rPr>
          <w:rFonts w:hint="cs"/>
          <w:rtl/>
        </w:rPr>
        <w:t xml:space="preserve"> هكذا في الوسائل والمقنع. فإن</w:t>
      </w:r>
      <w:r w:rsidR="00731905" w:rsidRPr="00904FCB">
        <w:rPr>
          <w:rFonts w:hint="cs"/>
          <w:rtl/>
        </w:rPr>
        <w:t>ْ</w:t>
      </w:r>
      <w:r w:rsidRPr="00904FCB">
        <w:rPr>
          <w:rFonts w:hint="cs"/>
          <w:rtl/>
        </w:rPr>
        <w:t xml:space="preserve"> كان «محله» اسم مكان كان اللازم أن يقال</w:t>
      </w:r>
      <w:r w:rsidR="00731905" w:rsidRPr="00904FCB">
        <w:rPr>
          <w:rFonts w:hint="cs"/>
          <w:rtl/>
        </w:rPr>
        <w:t>:</w:t>
      </w:r>
      <w:r w:rsidRPr="00904FCB">
        <w:rPr>
          <w:rFonts w:hint="cs"/>
          <w:rtl/>
        </w:rPr>
        <w:t xml:space="preserve"> «أن يبلغ الهدي منى»</w:t>
      </w:r>
      <w:r w:rsidR="00731905" w:rsidRPr="00904FCB">
        <w:rPr>
          <w:rFonts w:hint="cs"/>
          <w:rtl/>
        </w:rPr>
        <w:t>،</w:t>
      </w:r>
      <w:r w:rsidRPr="00904FCB">
        <w:rPr>
          <w:rFonts w:hint="cs"/>
          <w:rtl/>
        </w:rPr>
        <w:t xml:space="preserve"> لا التكرار بهذه الصورة. </w:t>
      </w:r>
      <w:r w:rsidR="00731905" w:rsidRPr="00904FCB">
        <w:rPr>
          <w:rFonts w:hint="cs"/>
          <w:rtl/>
        </w:rPr>
        <w:t>و</w:t>
      </w:r>
      <w:r w:rsidRPr="00904FCB">
        <w:rPr>
          <w:rFonts w:hint="cs"/>
          <w:rtl/>
        </w:rPr>
        <w:t xml:space="preserve">هذا التكرار فيه احتمالان: </w:t>
      </w:r>
    </w:p>
    <w:p w:rsidR="005B6CEC" w:rsidRPr="00904FCB" w:rsidRDefault="005B6CEC" w:rsidP="007A21AA">
      <w:pPr>
        <w:spacing w:line="400" w:lineRule="exact"/>
        <w:rPr>
          <w:rtl/>
        </w:rPr>
      </w:pPr>
      <w:r w:rsidRPr="00904FCB">
        <w:rPr>
          <w:rFonts w:hint="cs"/>
          <w:b/>
          <w:bCs/>
          <w:rtl/>
        </w:rPr>
        <w:t xml:space="preserve">الأول: </w:t>
      </w:r>
      <w:r w:rsidRPr="00904FCB">
        <w:rPr>
          <w:rFonts w:hint="cs"/>
          <w:rtl/>
        </w:rPr>
        <w:t>أن يقال: أن يبلغ الهدي محل</w:t>
      </w:r>
      <w:r w:rsidR="00731905" w:rsidRPr="00904FCB">
        <w:rPr>
          <w:rFonts w:hint="cs"/>
          <w:rtl/>
        </w:rPr>
        <w:t>ّ</w:t>
      </w:r>
      <w:r w:rsidRPr="00904FCB">
        <w:rPr>
          <w:rFonts w:hint="cs"/>
          <w:rtl/>
        </w:rPr>
        <w:t>ه</w:t>
      </w:r>
      <w:r w:rsidR="00731905" w:rsidRPr="00904FCB">
        <w:rPr>
          <w:rFonts w:hint="cs"/>
          <w:rtl/>
        </w:rPr>
        <w:t>،</w:t>
      </w:r>
      <w:r w:rsidRPr="00904FCB">
        <w:rPr>
          <w:rFonts w:hint="cs"/>
          <w:rtl/>
        </w:rPr>
        <w:t xml:space="preserve"> ومحله في هذا الزمان يكون منى</w:t>
      </w:r>
      <w:r w:rsidR="00731905" w:rsidRPr="00904FCB">
        <w:rPr>
          <w:rFonts w:hint="cs"/>
          <w:rtl/>
        </w:rPr>
        <w:t>،</w:t>
      </w:r>
      <w:r w:rsidRPr="00904FCB">
        <w:rPr>
          <w:rFonts w:hint="cs"/>
          <w:rtl/>
        </w:rPr>
        <w:t xml:space="preserve"> </w:t>
      </w:r>
      <w:r w:rsidRPr="00904FCB">
        <w:rPr>
          <w:rFonts w:hint="cs"/>
          <w:rtl/>
        </w:rPr>
        <w:lastRenderedPageBreak/>
        <w:t>فالرواية تصير موسمية</w:t>
      </w:r>
      <w:r w:rsidR="00731905" w:rsidRPr="00904FCB">
        <w:rPr>
          <w:rFonts w:hint="cs"/>
          <w:rtl/>
        </w:rPr>
        <w:t>،</w:t>
      </w:r>
      <w:r w:rsidRPr="00904FCB">
        <w:rPr>
          <w:rFonts w:hint="cs"/>
          <w:rtl/>
        </w:rPr>
        <w:t xml:space="preserve"> وتريد أن تبين أنّ «محله» له مفهوم عام</w:t>
      </w:r>
      <w:r w:rsidR="00731905" w:rsidRPr="00904FCB">
        <w:rPr>
          <w:rFonts w:hint="cs"/>
          <w:rtl/>
        </w:rPr>
        <w:t>ّ</w:t>
      </w:r>
      <w:r w:rsidRPr="00904FCB">
        <w:rPr>
          <w:rFonts w:hint="cs"/>
          <w:rtl/>
        </w:rPr>
        <w:t xml:space="preserve"> يختلف بحسب الأزمنة. وهذا يكون من خواص</w:t>
      </w:r>
      <w:r w:rsidR="00731905" w:rsidRPr="00904FCB">
        <w:rPr>
          <w:rFonts w:hint="cs"/>
          <w:rtl/>
        </w:rPr>
        <w:t>ّ</w:t>
      </w:r>
      <w:r w:rsidRPr="00904FCB">
        <w:rPr>
          <w:rFonts w:hint="cs"/>
          <w:rtl/>
        </w:rPr>
        <w:t xml:space="preserve"> القرآن</w:t>
      </w:r>
      <w:r w:rsidR="00731905" w:rsidRPr="00904FCB">
        <w:rPr>
          <w:rFonts w:hint="cs"/>
          <w:rtl/>
        </w:rPr>
        <w:t>،</w:t>
      </w:r>
      <w:r w:rsidRPr="00904FCB">
        <w:rPr>
          <w:rFonts w:hint="cs"/>
          <w:rtl/>
        </w:rPr>
        <w:t xml:space="preserve"> فإن الألفاظ مفاهيم عامة قابلة للتطبيق في جميع الأزمنة وجميع الحالات. ألا ترى لفظ (ميزان) قابل للتطبيق على ما يزن الكميات والكيفيات والأعمال. فهكذا ما نحن فيه. </w:t>
      </w:r>
    </w:p>
    <w:p w:rsidR="005B6CEC" w:rsidRPr="00904FCB" w:rsidRDefault="005B6CEC" w:rsidP="007A21AA">
      <w:pPr>
        <w:spacing w:line="400" w:lineRule="exact"/>
        <w:rPr>
          <w:rtl/>
        </w:rPr>
      </w:pPr>
      <w:r w:rsidRPr="00904FCB">
        <w:rPr>
          <w:rFonts w:hint="cs"/>
          <w:b/>
          <w:bCs/>
          <w:rtl/>
        </w:rPr>
        <w:t xml:space="preserve">الثاني: </w:t>
      </w:r>
      <w:r w:rsidRPr="00904FCB">
        <w:rPr>
          <w:rFonts w:hint="cs"/>
          <w:rtl/>
        </w:rPr>
        <w:t>أن يقال</w:t>
      </w:r>
      <w:r w:rsidR="00731905" w:rsidRPr="00904FCB">
        <w:rPr>
          <w:rFonts w:hint="cs"/>
          <w:rtl/>
        </w:rPr>
        <w:t>:</w:t>
      </w:r>
      <w:r w:rsidRPr="00904FCB">
        <w:rPr>
          <w:rFonts w:hint="cs"/>
          <w:rtl/>
        </w:rPr>
        <w:t xml:space="preserve"> أراد بلفظة «محله» اسم الزمان</w:t>
      </w:r>
      <w:r w:rsidR="00731905" w:rsidRPr="00904FCB">
        <w:rPr>
          <w:rFonts w:hint="cs"/>
          <w:rtl/>
        </w:rPr>
        <w:t>؛</w:t>
      </w:r>
      <w:r w:rsidRPr="00904FCB">
        <w:rPr>
          <w:rFonts w:hint="cs"/>
          <w:rtl/>
        </w:rPr>
        <w:t xml:space="preserve"> إذ قال</w:t>
      </w:r>
      <w:r w:rsidR="00731905" w:rsidRPr="00904FCB">
        <w:rPr>
          <w:rFonts w:hint="cs"/>
          <w:rtl/>
        </w:rPr>
        <w:t>:</w:t>
      </w:r>
      <w:r w:rsidRPr="00904FCB">
        <w:rPr>
          <w:rFonts w:hint="cs"/>
          <w:rtl/>
        </w:rPr>
        <w:t xml:space="preserve"> «ومحله منى يوم النحر»</w:t>
      </w:r>
      <w:r w:rsidR="00731905" w:rsidRPr="00904FCB">
        <w:rPr>
          <w:rFonts w:hint="cs"/>
          <w:rtl/>
        </w:rPr>
        <w:t>.</w:t>
      </w:r>
      <w:r w:rsidRPr="00904FCB">
        <w:rPr>
          <w:rFonts w:hint="cs"/>
          <w:rtl/>
        </w:rPr>
        <w:t xml:space="preserve"> فباعتبار منى يكون اسم مكان</w:t>
      </w:r>
      <w:r w:rsidR="00731905" w:rsidRPr="00904FCB">
        <w:rPr>
          <w:rFonts w:hint="cs"/>
          <w:rtl/>
        </w:rPr>
        <w:t>،</w:t>
      </w:r>
      <w:r w:rsidRPr="00904FCB">
        <w:rPr>
          <w:rFonts w:hint="cs"/>
          <w:rtl/>
        </w:rPr>
        <w:t xml:space="preserve"> وباعتبار يوم النحر يكون اسم زمان. ولكن</w:t>
      </w:r>
      <w:r w:rsidR="00731905" w:rsidRPr="00904FCB">
        <w:rPr>
          <w:rFonts w:hint="cs"/>
          <w:rtl/>
        </w:rPr>
        <w:t>ّ</w:t>
      </w:r>
      <w:r w:rsidRPr="00904FCB">
        <w:rPr>
          <w:rFonts w:hint="cs"/>
          <w:rtl/>
        </w:rPr>
        <w:t xml:space="preserve"> الثاني أولى وأقوى</w:t>
      </w:r>
      <w:r w:rsidR="00731905" w:rsidRPr="00904FCB">
        <w:rPr>
          <w:rFonts w:hint="cs"/>
          <w:rtl/>
        </w:rPr>
        <w:t>؛</w:t>
      </w:r>
      <w:r w:rsidRPr="00904FCB">
        <w:rPr>
          <w:rFonts w:hint="cs"/>
          <w:rtl/>
        </w:rPr>
        <w:t xml:space="preserve"> لأن الذبح قبل يوم النحر في منى لا يصح</w:t>
      </w:r>
      <w:r w:rsidR="00731905" w:rsidRPr="00904FCB">
        <w:rPr>
          <w:rFonts w:hint="cs"/>
          <w:rtl/>
        </w:rPr>
        <w:t>ّ،</w:t>
      </w:r>
      <w:r w:rsidRPr="00904FCB">
        <w:rPr>
          <w:rFonts w:hint="cs"/>
          <w:rtl/>
        </w:rPr>
        <w:t xml:space="preserve"> ولو لذوي الأعذار</w:t>
      </w:r>
      <w:r w:rsidR="00731905" w:rsidRPr="00904FCB">
        <w:rPr>
          <w:rFonts w:hint="cs"/>
          <w:rtl/>
        </w:rPr>
        <w:t>،</w:t>
      </w:r>
      <w:r w:rsidRPr="00904FCB">
        <w:rPr>
          <w:rFonts w:hint="cs"/>
          <w:rtl/>
        </w:rPr>
        <w:t xml:space="preserve"> ولكن الذبح في غير منى يصح</w:t>
      </w:r>
      <w:r w:rsidR="00731905" w:rsidRPr="00904FCB">
        <w:rPr>
          <w:rFonts w:hint="cs"/>
          <w:rtl/>
        </w:rPr>
        <w:t>ّ</w:t>
      </w:r>
      <w:r w:rsidRPr="00904FCB">
        <w:rPr>
          <w:rFonts w:hint="cs"/>
          <w:rtl/>
        </w:rPr>
        <w:t xml:space="preserve"> في بعض الشرا</w:t>
      </w:r>
      <w:r w:rsidR="00731905" w:rsidRPr="00904FCB">
        <w:rPr>
          <w:rFonts w:hint="cs"/>
          <w:rtl/>
        </w:rPr>
        <w:t>ئ</w:t>
      </w:r>
      <w:r w:rsidRPr="00904FCB">
        <w:rPr>
          <w:rFonts w:hint="cs"/>
          <w:rtl/>
        </w:rPr>
        <w:t xml:space="preserve">ط. </w:t>
      </w:r>
    </w:p>
    <w:p w:rsidR="00E83C22" w:rsidRPr="00904FCB" w:rsidRDefault="005B6CEC" w:rsidP="007A21AA">
      <w:pPr>
        <w:spacing w:line="400" w:lineRule="exact"/>
        <w:rPr>
          <w:rtl/>
        </w:rPr>
      </w:pPr>
      <w:r w:rsidRPr="00904FCB">
        <w:rPr>
          <w:rFonts w:hint="cs"/>
          <w:rtl/>
        </w:rPr>
        <w:t>وملخ</w:t>
      </w:r>
      <w:r w:rsidR="00731905" w:rsidRPr="00904FCB">
        <w:rPr>
          <w:rFonts w:hint="cs"/>
          <w:rtl/>
        </w:rPr>
        <w:t>َّ</w:t>
      </w:r>
      <w:r w:rsidRPr="00904FCB">
        <w:rPr>
          <w:rFonts w:hint="cs"/>
          <w:rtl/>
        </w:rPr>
        <w:t>ص الكلام</w:t>
      </w:r>
      <w:r w:rsidR="00731905" w:rsidRPr="00904FCB">
        <w:rPr>
          <w:rFonts w:hint="cs"/>
          <w:rtl/>
        </w:rPr>
        <w:t>:</w:t>
      </w:r>
      <w:r w:rsidRPr="00904FCB">
        <w:rPr>
          <w:rFonts w:hint="cs"/>
          <w:rtl/>
        </w:rPr>
        <w:t xml:space="preserve"> </w:t>
      </w:r>
      <w:r w:rsidR="00731905" w:rsidRPr="00904FCB">
        <w:rPr>
          <w:rFonts w:hint="cs"/>
          <w:rtl/>
        </w:rPr>
        <w:t>إ</w:t>
      </w:r>
      <w:r w:rsidRPr="00904FCB">
        <w:rPr>
          <w:rFonts w:hint="cs"/>
          <w:rtl/>
        </w:rPr>
        <w:t>ن الآية تتحم</w:t>
      </w:r>
      <w:r w:rsidR="00731905" w:rsidRPr="00904FCB">
        <w:rPr>
          <w:rFonts w:hint="cs"/>
          <w:rtl/>
        </w:rPr>
        <w:t>ّ</w:t>
      </w:r>
      <w:r w:rsidRPr="00904FCB">
        <w:rPr>
          <w:rFonts w:hint="cs"/>
          <w:rtl/>
        </w:rPr>
        <w:t>ل المكان والزمان معاً</w:t>
      </w:r>
      <w:r w:rsidR="00731905" w:rsidRPr="00904FCB">
        <w:rPr>
          <w:rFonts w:hint="cs"/>
          <w:rtl/>
        </w:rPr>
        <w:t>،</w:t>
      </w:r>
      <w:r w:rsidRPr="00904FCB">
        <w:rPr>
          <w:rFonts w:hint="cs"/>
          <w:rtl/>
        </w:rPr>
        <w:t xml:space="preserve"> فإثبات واحد منها يحتاج إلى دليل</w:t>
      </w:r>
      <w:r w:rsidR="00731905" w:rsidRPr="00904FCB">
        <w:rPr>
          <w:rFonts w:hint="cs"/>
          <w:rtl/>
        </w:rPr>
        <w:t>.</w:t>
      </w:r>
      <w:r w:rsidRPr="00904FCB">
        <w:rPr>
          <w:rFonts w:hint="cs"/>
          <w:rtl/>
        </w:rPr>
        <w:t xml:space="preserve"> والمعتبرة أيضاً نفس الشيء تتحم</w:t>
      </w:r>
      <w:r w:rsidR="00731905" w:rsidRPr="00904FCB">
        <w:rPr>
          <w:rFonts w:hint="cs"/>
          <w:rtl/>
        </w:rPr>
        <w:t>ّ</w:t>
      </w:r>
      <w:r w:rsidRPr="00904FCB">
        <w:rPr>
          <w:rFonts w:hint="cs"/>
          <w:rtl/>
        </w:rPr>
        <w:t>ل كلا المعنيين</w:t>
      </w:r>
      <w:r w:rsidR="00731905" w:rsidRPr="00904FCB">
        <w:rPr>
          <w:rFonts w:hint="cs"/>
          <w:rtl/>
        </w:rPr>
        <w:t>.</w:t>
      </w:r>
      <w:r w:rsidRPr="00904FCB">
        <w:rPr>
          <w:rFonts w:hint="cs"/>
          <w:rtl/>
        </w:rPr>
        <w:t xml:space="preserve"> ولو فرض أنّ «محله» في الآية يكون للمكان فإثبات انحصار المكان في منى من نفس الآية</w:t>
      </w:r>
      <w:r w:rsidR="00731905" w:rsidRPr="00904FCB">
        <w:rPr>
          <w:rFonts w:hint="cs"/>
          <w:rtl/>
        </w:rPr>
        <w:t>،</w:t>
      </w:r>
      <w:r w:rsidRPr="00904FCB">
        <w:rPr>
          <w:rFonts w:hint="cs"/>
          <w:rtl/>
        </w:rPr>
        <w:t xml:space="preserve"> أو من المعتبرة</w:t>
      </w:r>
      <w:r w:rsidR="00731905" w:rsidRPr="00904FCB">
        <w:rPr>
          <w:rFonts w:hint="cs"/>
          <w:rtl/>
        </w:rPr>
        <w:t>،</w:t>
      </w:r>
      <w:r w:rsidRPr="00904FCB">
        <w:rPr>
          <w:rFonts w:hint="cs"/>
          <w:rtl/>
        </w:rPr>
        <w:t xml:space="preserve"> ليس أمراً سهلاً</w:t>
      </w:r>
      <w:r w:rsidR="00731905" w:rsidRPr="00904FCB">
        <w:rPr>
          <w:rFonts w:hint="cs"/>
          <w:rtl/>
        </w:rPr>
        <w:t>.</w:t>
      </w:r>
      <w:r w:rsidRPr="00904FCB">
        <w:rPr>
          <w:rFonts w:hint="cs"/>
          <w:rtl/>
        </w:rPr>
        <w:t xml:space="preserve"> الله</w:t>
      </w:r>
      <w:r w:rsidR="00731905" w:rsidRPr="00904FCB">
        <w:rPr>
          <w:rFonts w:hint="cs"/>
          <w:rtl/>
        </w:rPr>
        <w:t>ُ</w:t>
      </w:r>
      <w:r w:rsidRPr="00904FCB">
        <w:rPr>
          <w:rFonts w:hint="cs"/>
          <w:rtl/>
        </w:rPr>
        <w:t>م</w:t>
      </w:r>
      <w:r w:rsidR="00731905" w:rsidRPr="00904FCB">
        <w:rPr>
          <w:rFonts w:hint="cs"/>
          <w:rtl/>
        </w:rPr>
        <w:t>َّ</w:t>
      </w:r>
      <w:r w:rsidRPr="00904FCB">
        <w:rPr>
          <w:rFonts w:hint="cs"/>
          <w:rtl/>
        </w:rPr>
        <w:t xml:space="preserve"> إلاّ </w:t>
      </w:r>
      <w:r w:rsidR="00731905" w:rsidRPr="00904FCB">
        <w:rPr>
          <w:rFonts w:hint="cs"/>
          <w:rtl/>
        </w:rPr>
        <w:t>أ</w:t>
      </w:r>
      <w:r w:rsidRPr="00904FCB">
        <w:rPr>
          <w:rFonts w:hint="cs"/>
          <w:rtl/>
        </w:rPr>
        <w:t>ن يتمسك بتقديم لفظة «منى» على «يوم النحر»</w:t>
      </w:r>
      <w:r w:rsidR="00731905" w:rsidRPr="00904FCB">
        <w:rPr>
          <w:rFonts w:hint="cs"/>
          <w:rtl/>
        </w:rPr>
        <w:t>،</w:t>
      </w:r>
      <w:r w:rsidRPr="00904FCB">
        <w:rPr>
          <w:rFonts w:hint="cs"/>
          <w:rtl/>
        </w:rPr>
        <w:t xml:space="preserve"> وهذا أيضاً كما ترى</w:t>
      </w:r>
      <w:r w:rsidR="00731905" w:rsidRPr="00904FCB">
        <w:rPr>
          <w:rFonts w:hint="cs"/>
          <w:rtl/>
        </w:rPr>
        <w:t xml:space="preserve">؛ </w:t>
      </w:r>
      <w:r w:rsidRPr="00904FCB">
        <w:rPr>
          <w:rFonts w:hint="cs"/>
          <w:rtl/>
        </w:rPr>
        <w:t>إذ كيف يمكن فهم حكم</w:t>
      </w:r>
      <w:r w:rsidR="00731905" w:rsidRPr="00904FCB">
        <w:rPr>
          <w:rFonts w:hint="cs"/>
          <w:rtl/>
        </w:rPr>
        <w:t>ٍ</w:t>
      </w:r>
      <w:r w:rsidRPr="00904FCB">
        <w:rPr>
          <w:rFonts w:hint="cs"/>
          <w:rtl/>
        </w:rPr>
        <w:t xml:space="preserve"> بهذه الأهمية</w:t>
      </w:r>
      <w:r w:rsidR="00731905" w:rsidRPr="00904FCB">
        <w:rPr>
          <w:rFonts w:hint="cs"/>
          <w:rtl/>
        </w:rPr>
        <w:t>،</w:t>
      </w:r>
      <w:r w:rsidRPr="00904FCB">
        <w:rPr>
          <w:rFonts w:hint="cs"/>
          <w:rtl/>
        </w:rPr>
        <w:t xml:space="preserve"> والفتوى على طبقه</w:t>
      </w:r>
      <w:r w:rsidR="00731905" w:rsidRPr="00904FCB">
        <w:rPr>
          <w:rFonts w:hint="cs"/>
          <w:rtl/>
        </w:rPr>
        <w:t>،</w:t>
      </w:r>
      <w:r w:rsidRPr="00904FCB">
        <w:rPr>
          <w:rFonts w:hint="cs"/>
          <w:rtl/>
        </w:rPr>
        <w:t xml:space="preserve"> من تقديم لفظ</w:t>
      </w:r>
      <w:r w:rsidR="00731905" w:rsidRPr="00904FCB">
        <w:rPr>
          <w:rFonts w:hint="cs"/>
          <w:rtl/>
        </w:rPr>
        <w:t>ٍ</w:t>
      </w:r>
      <w:r w:rsidRPr="00904FCB">
        <w:rPr>
          <w:rFonts w:hint="cs"/>
          <w:rtl/>
        </w:rPr>
        <w:t xml:space="preserve"> على آخر</w:t>
      </w:r>
      <w:r w:rsidR="00731905" w:rsidRPr="00904FCB">
        <w:rPr>
          <w:rFonts w:hint="cs"/>
          <w:rtl/>
        </w:rPr>
        <w:t>،</w:t>
      </w:r>
      <w:r w:rsidRPr="00904FCB">
        <w:rPr>
          <w:rFonts w:hint="cs"/>
          <w:rtl/>
        </w:rPr>
        <w:t xml:space="preserve"> بدون أيّ قرينة</w:t>
      </w:r>
      <w:r w:rsidR="00731905" w:rsidRPr="00904FCB">
        <w:rPr>
          <w:rFonts w:hint="cs"/>
          <w:rtl/>
        </w:rPr>
        <w:t>ٍ</w:t>
      </w:r>
      <w:r w:rsidRPr="00904FCB">
        <w:rPr>
          <w:rFonts w:hint="cs"/>
          <w:rtl/>
        </w:rPr>
        <w:t xml:space="preserve"> أخرى.</w:t>
      </w:r>
    </w:p>
    <w:p w:rsidR="00E83C22" w:rsidRPr="00904FCB" w:rsidRDefault="00E83C22" w:rsidP="007A21AA">
      <w:pPr>
        <w:spacing w:line="400" w:lineRule="exact"/>
        <w:rPr>
          <w:rtl/>
        </w:rPr>
      </w:pPr>
    </w:p>
    <w:p w:rsidR="00E83C22" w:rsidRDefault="00E83C22" w:rsidP="007A21AA">
      <w:pPr>
        <w:spacing w:line="400" w:lineRule="exact"/>
        <w:rPr>
          <w:rtl/>
        </w:rPr>
      </w:pPr>
    </w:p>
    <w:p w:rsidR="001C2EEA" w:rsidRDefault="001C2EEA" w:rsidP="007A21AA">
      <w:pPr>
        <w:spacing w:line="400" w:lineRule="exact"/>
        <w:rPr>
          <w:rtl/>
        </w:rPr>
      </w:pPr>
    </w:p>
    <w:p w:rsidR="001C2EEA" w:rsidRDefault="001C2EEA" w:rsidP="007A21AA">
      <w:pPr>
        <w:spacing w:line="400" w:lineRule="exact"/>
        <w:rPr>
          <w:rtl/>
        </w:rPr>
      </w:pPr>
    </w:p>
    <w:p w:rsidR="001C2EEA" w:rsidRDefault="001C2EEA" w:rsidP="007A21AA">
      <w:pPr>
        <w:spacing w:line="400" w:lineRule="exact"/>
        <w:rPr>
          <w:rtl/>
        </w:rPr>
      </w:pPr>
    </w:p>
    <w:p w:rsidR="001C2EEA" w:rsidRDefault="001C2EEA" w:rsidP="007A21AA">
      <w:pPr>
        <w:spacing w:line="400" w:lineRule="exact"/>
        <w:rPr>
          <w:rtl/>
        </w:rPr>
      </w:pPr>
    </w:p>
    <w:p w:rsidR="001C2EEA" w:rsidRDefault="001C2EEA" w:rsidP="007A21AA">
      <w:pPr>
        <w:spacing w:line="400" w:lineRule="exact"/>
        <w:rPr>
          <w:rtl/>
        </w:rPr>
      </w:pPr>
    </w:p>
    <w:p w:rsidR="001C2EEA" w:rsidRDefault="001C2EEA" w:rsidP="007A21AA">
      <w:pPr>
        <w:spacing w:line="400" w:lineRule="exact"/>
        <w:rPr>
          <w:rtl/>
        </w:rPr>
      </w:pPr>
    </w:p>
    <w:p w:rsidR="001C2EEA" w:rsidRDefault="001C2EEA" w:rsidP="007A21AA">
      <w:pPr>
        <w:spacing w:line="400" w:lineRule="exact"/>
        <w:rPr>
          <w:rtl/>
        </w:rPr>
      </w:pPr>
    </w:p>
    <w:p w:rsidR="001C2EEA" w:rsidRDefault="001C2EEA" w:rsidP="007A21AA">
      <w:pPr>
        <w:spacing w:line="400" w:lineRule="exact"/>
        <w:rPr>
          <w:rtl/>
        </w:rPr>
      </w:pPr>
    </w:p>
    <w:p w:rsidR="001C2EEA" w:rsidRDefault="001C2EEA" w:rsidP="007A21AA">
      <w:pPr>
        <w:spacing w:line="400" w:lineRule="exact"/>
        <w:rPr>
          <w:rtl/>
        </w:rPr>
      </w:pPr>
    </w:p>
    <w:p w:rsidR="001C2EEA" w:rsidRPr="00904FCB" w:rsidRDefault="001C2EEA"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131"/>
          <w:headerReference w:type="default" r:id="rId132"/>
          <w:footerReference w:type="even" r:id="rId133"/>
          <w:footerReference w:type="default" r:id="rId134"/>
          <w:headerReference w:type="first" r:id="rId13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E5427B" w:rsidP="00143A12">
      <w:pPr>
        <w:pStyle w:val="10"/>
        <w:spacing w:line="240" w:lineRule="auto"/>
        <w:rPr>
          <w:rtl/>
          <w:lang w:bidi="ar-SY"/>
        </w:rPr>
      </w:pPr>
      <w:bookmarkStart w:id="42" w:name="_Toc435577204"/>
      <w:r w:rsidRPr="00904FCB">
        <w:rPr>
          <w:rFonts w:hint="cs"/>
          <w:rtl/>
          <w:lang w:bidi="ar-SY"/>
        </w:rPr>
        <w:t>العنف</w:t>
      </w:r>
      <w:r w:rsidRPr="00904FCB">
        <w:rPr>
          <w:rtl/>
          <w:lang w:bidi="ar-SY"/>
        </w:rPr>
        <w:t xml:space="preserve"> </w:t>
      </w:r>
      <w:r w:rsidRPr="00904FCB">
        <w:rPr>
          <w:rFonts w:hint="cs"/>
          <w:rtl/>
          <w:lang w:bidi="ar-SY"/>
        </w:rPr>
        <w:t>ومنطق</w:t>
      </w:r>
      <w:r w:rsidRPr="00904FCB">
        <w:rPr>
          <w:rtl/>
          <w:lang w:bidi="ar-SY"/>
        </w:rPr>
        <w:t xml:space="preserve"> </w:t>
      </w:r>
      <w:r w:rsidRPr="00904FCB">
        <w:rPr>
          <w:rFonts w:hint="cs"/>
          <w:rtl/>
          <w:lang w:bidi="ar-SY"/>
        </w:rPr>
        <w:t>القوّة</w:t>
      </w:r>
      <w:r w:rsidRPr="00904FCB">
        <w:rPr>
          <w:rtl/>
          <w:lang w:bidi="ar-SY"/>
        </w:rPr>
        <w:t xml:space="preserve"> </w:t>
      </w:r>
      <w:r w:rsidRPr="00904FCB">
        <w:rPr>
          <w:rFonts w:hint="cs"/>
          <w:rtl/>
          <w:lang w:bidi="ar-SY"/>
        </w:rPr>
        <w:t>في</w:t>
      </w:r>
      <w:r w:rsidRPr="00904FCB">
        <w:rPr>
          <w:rtl/>
          <w:lang w:bidi="ar-SY"/>
        </w:rPr>
        <w:t xml:space="preserve"> </w:t>
      </w:r>
      <w:r w:rsidRPr="00904FCB">
        <w:rPr>
          <w:rFonts w:hint="cs"/>
          <w:rtl/>
          <w:lang w:bidi="ar-SY"/>
        </w:rPr>
        <w:t>سيرورة</w:t>
      </w:r>
      <w:r w:rsidRPr="00904FCB">
        <w:rPr>
          <w:rtl/>
          <w:lang w:bidi="ar-SY"/>
        </w:rPr>
        <w:t xml:space="preserve"> </w:t>
      </w:r>
      <w:r w:rsidRPr="00904FCB">
        <w:rPr>
          <w:rFonts w:hint="cs"/>
          <w:rtl/>
          <w:lang w:bidi="ar-SY"/>
        </w:rPr>
        <w:t>تاريخيّة</w:t>
      </w:r>
      <w:bookmarkEnd w:id="42"/>
    </w:p>
    <w:p w:rsidR="00E83C22" w:rsidRPr="00904FCB" w:rsidRDefault="00E5427B" w:rsidP="00143A12">
      <w:pPr>
        <w:pStyle w:val="10"/>
        <w:spacing w:line="240" w:lineRule="auto"/>
        <w:rPr>
          <w:sz w:val="26"/>
          <w:szCs w:val="42"/>
          <w:rtl/>
          <w:lang w:bidi="ar-SY"/>
        </w:rPr>
      </w:pPr>
      <w:bookmarkStart w:id="43" w:name="_Toc435577205"/>
      <w:r w:rsidRPr="00904FCB">
        <w:rPr>
          <w:rFonts w:hint="cs"/>
          <w:sz w:val="26"/>
          <w:szCs w:val="42"/>
          <w:rtl/>
          <w:lang w:bidi="ar-SY"/>
        </w:rPr>
        <w:t>أسبابٌ</w:t>
      </w:r>
      <w:r w:rsidRPr="00904FCB">
        <w:rPr>
          <w:sz w:val="26"/>
          <w:szCs w:val="42"/>
          <w:rtl/>
          <w:lang w:bidi="ar-SY"/>
        </w:rPr>
        <w:t xml:space="preserve"> </w:t>
      </w:r>
      <w:r w:rsidRPr="00904FCB">
        <w:rPr>
          <w:rFonts w:hint="cs"/>
          <w:sz w:val="26"/>
          <w:szCs w:val="42"/>
          <w:rtl/>
          <w:lang w:bidi="ar-SY"/>
        </w:rPr>
        <w:t>ودوافع،</w:t>
      </w:r>
      <w:r w:rsidRPr="00904FCB">
        <w:rPr>
          <w:sz w:val="26"/>
          <w:szCs w:val="42"/>
          <w:rtl/>
          <w:lang w:bidi="ar-SY"/>
        </w:rPr>
        <w:t xml:space="preserve"> </w:t>
      </w:r>
      <w:r w:rsidR="00D67215">
        <w:rPr>
          <w:rFonts w:hint="cs"/>
          <w:sz w:val="26"/>
          <w:szCs w:val="42"/>
          <w:rtl/>
          <w:lang w:bidi="ar-SY"/>
        </w:rPr>
        <w:t>نتائج</w:t>
      </w:r>
      <w:r w:rsidRPr="00904FCB">
        <w:rPr>
          <w:sz w:val="26"/>
          <w:szCs w:val="42"/>
          <w:rtl/>
          <w:lang w:bidi="ar-SY"/>
        </w:rPr>
        <w:t xml:space="preserve"> </w:t>
      </w:r>
      <w:r w:rsidRPr="00904FCB">
        <w:rPr>
          <w:rFonts w:hint="cs"/>
          <w:sz w:val="26"/>
          <w:szCs w:val="42"/>
          <w:rtl/>
          <w:lang w:bidi="ar-SY"/>
        </w:rPr>
        <w:t>وحلول</w:t>
      </w:r>
      <w:bookmarkEnd w:id="43"/>
    </w:p>
    <w:p w:rsidR="00E83C22" w:rsidRPr="00904FCB" w:rsidRDefault="00E83C22" w:rsidP="007A21AA">
      <w:pPr>
        <w:spacing w:line="400" w:lineRule="exact"/>
        <w:rPr>
          <w:rtl/>
        </w:rPr>
      </w:pPr>
    </w:p>
    <w:p w:rsidR="00E83C22" w:rsidRPr="00904FCB" w:rsidRDefault="00E5427B" w:rsidP="007A21AA">
      <w:pPr>
        <w:pStyle w:val="Author"/>
        <w:spacing w:line="400" w:lineRule="exact"/>
        <w:rPr>
          <w:rtl/>
        </w:rPr>
      </w:pPr>
      <w:bookmarkStart w:id="44" w:name="_Toc435577206"/>
      <w:r w:rsidRPr="00904FCB">
        <w:rPr>
          <w:rFonts w:hint="cs"/>
          <w:rtl/>
          <w:lang w:bidi="ar-SY"/>
        </w:rPr>
        <w:t>أ. نبيل</w:t>
      </w:r>
      <w:r w:rsidRPr="00904FCB">
        <w:rPr>
          <w:rtl/>
          <w:lang w:bidi="ar-SY"/>
        </w:rPr>
        <w:t xml:space="preserve"> </w:t>
      </w:r>
      <w:r w:rsidRPr="00904FCB">
        <w:rPr>
          <w:rFonts w:hint="cs"/>
          <w:rtl/>
          <w:lang w:bidi="ar-SY"/>
        </w:rPr>
        <w:t>علي</w:t>
      </w:r>
      <w:r w:rsidRPr="00904FCB">
        <w:rPr>
          <w:rtl/>
          <w:lang w:bidi="ar-SY"/>
        </w:rPr>
        <w:t xml:space="preserve"> </w:t>
      </w:r>
      <w:r w:rsidRPr="00904FCB">
        <w:rPr>
          <w:rFonts w:hint="cs"/>
          <w:rtl/>
          <w:lang w:bidi="ar-SY"/>
        </w:rPr>
        <w:t>صالح</w:t>
      </w:r>
      <w:r w:rsidR="00527634" w:rsidRPr="00904FCB">
        <w:rPr>
          <w:rFonts w:cs="Taher" w:hint="cs"/>
          <w:vertAlign w:val="superscript"/>
          <w:rtl/>
        </w:rPr>
        <w:t>(</w:t>
      </w:r>
      <w:r w:rsidR="00527634" w:rsidRPr="00904FCB">
        <w:rPr>
          <w:rFonts w:cs="Taher"/>
          <w:vertAlign w:val="superscript"/>
          <w:rtl/>
        </w:rPr>
        <w:footnoteReference w:customMarkFollows="1" w:id="14"/>
        <w:t>*)</w:t>
      </w:r>
      <w:bookmarkEnd w:id="44"/>
    </w:p>
    <w:p w:rsidR="00E83C22" w:rsidRPr="00904FCB" w:rsidRDefault="00E83C22" w:rsidP="007A21AA">
      <w:pPr>
        <w:spacing w:line="400" w:lineRule="exact"/>
        <w:rPr>
          <w:rtl/>
        </w:rPr>
      </w:pPr>
    </w:p>
    <w:p w:rsidR="00E83C22" w:rsidRPr="00904FCB" w:rsidRDefault="00DC724A" w:rsidP="007A21AA">
      <w:pPr>
        <w:pStyle w:val="31"/>
        <w:spacing w:line="400" w:lineRule="exact"/>
        <w:rPr>
          <w:color w:val="auto"/>
          <w:rtl/>
        </w:rPr>
      </w:pPr>
      <w:r w:rsidRPr="00904FCB">
        <w:rPr>
          <w:rFonts w:hint="cs"/>
          <w:color w:val="auto"/>
          <w:rtl/>
        </w:rPr>
        <w:t>تمهيد</w:t>
      </w:r>
    </w:p>
    <w:p w:rsidR="00057E24" w:rsidRPr="00904FCB" w:rsidRDefault="00057E24" w:rsidP="0029271A">
      <w:pPr>
        <w:spacing w:line="420" w:lineRule="exact"/>
        <w:ind w:firstLine="561"/>
        <w:rPr>
          <w:sz w:val="27"/>
          <w:rtl/>
          <w:lang w:bidi="ar-SY"/>
        </w:rPr>
      </w:pPr>
      <w:r w:rsidRPr="00904FCB">
        <w:rPr>
          <w:rFonts w:hint="cs"/>
          <w:sz w:val="27"/>
          <w:rtl/>
          <w:lang w:bidi="ar-SY"/>
        </w:rPr>
        <w:t>لماذا</w:t>
      </w:r>
      <w:r w:rsidRPr="00904FCB">
        <w:rPr>
          <w:sz w:val="27"/>
          <w:rtl/>
          <w:lang w:bidi="ar-SY"/>
        </w:rPr>
        <w:t xml:space="preserve"> </w:t>
      </w:r>
      <w:r w:rsidRPr="00904FCB">
        <w:rPr>
          <w:rFonts w:hint="cs"/>
          <w:sz w:val="27"/>
          <w:rtl/>
          <w:lang w:bidi="ar-SY"/>
        </w:rPr>
        <w:t>كانت</w:t>
      </w:r>
      <w:r w:rsidRPr="00904FCB">
        <w:rPr>
          <w:sz w:val="27"/>
          <w:rtl/>
          <w:lang w:bidi="ar-SY"/>
        </w:rPr>
        <w:t xml:space="preserve"> </w:t>
      </w:r>
      <w:r w:rsidRPr="00904FCB">
        <w:rPr>
          <w:rFonts w:hint="cs"/>
          <w:sz w:val="27"/>
          <w:rtl/>
          <w:lang w:bidi="ar-SY"/>
        </w:rPr>
        <w:t>القوة؟ ولماذا</w:t>
      </w:r>
      <w:r w:rsidRPr="00904FCB">
        <w:rPr>
          <w:sz w:val="27"/>
          <w:rtl/>
          <w:lang w:bidi="ar-SY"/>
        </w:rPr>
        <w:t xml:space="preserve"> </w:t>
      </w:r>
      <w:r w:rsidRPr="00904FCB">
        <w:rPr>
          <w:rFonts w:hint="cs"/>
          <w:sz w:val="27"/>
          <w:rtl/>
          <w:lang w:bidi="ar-SY"/>
        </w:rPr>
        <w:t>احتاجها</w:t>
      </w:r>
      <w:r w:rsidRPr="00904FCB">
        <w:rPr>
          <w:sz w:val="27"/>
          <w:rtl/>
          <w:lang w:bidi="ar-SY"/>
        </w:rPr>
        <w:t xml:space="preserve"> </w:t>
      </w:r>
      <w:r w:rsidRPr="00904FCB">
        <w:rPr>
          <w:rFonts w:hint="cs"/>
          <w:sz w:val="27"/>
          <w:rtl/>
          <w:lang w:bidi="ar-SY"/>
        </w:rPr>
        <w:t>البشر</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مسيرة</w:t>
      </w:r>
      <w:r w:rsidRPr="00904FCB">
        <w:rPr>
          <w:sz w:val="27"/>
          <w:rtl/>
          <w:lang w:bidi="ar-SY"/>
        </w:rPr>
        <w:t xml:space="preserve"> </w:t>
      </w:r>
      <w:r w:rsidRPr="00904FCB">
        <w:rPr>
          <w:rFonts w:hint="cs"/>
          <w:sz w:val="27"/>
          <w:rtl/>
          <w:lang w:bidi="ar-SY"/>
        </w:rPr>
        <w:t>تطورهم</w:t>
      </w:r>
      <w:r w:rsidRPr="00904FCB">
        <w:rPr>
          <w:sz w:val="27"/>
          <w:rtl/>
          <w:lang w:bidi="ar-SY"/>
        </w:rPr>
        <w:t xml:space="preserve"> </w:t>
      </w:r>
      <w:r w:rsidRPr="00904FCB">
        <w:rPr>
          <w:rFonts w:hint="cs"/>
          <w:sz w:val="27"/>
          <w:rtl/>
          <w:lang w:bidi="ar-SY"/>
        </w:rPr>
        <w:t>منذ</w:t>
      </w:r>
      <w:r w:rsidRPr="00904FCB">
        <w:rPr>
          <w:sz w:val="27"/>
          <w:rtl/>
          <w:lang w:bidi="ar-SY"/>
        </w:rPr>
        <w:t xml:space="preserve"> </w:t>
      </w:r>
      <w:r w:rsidRPr="00904FCB">
        <w:rPr>
          <w:rFonts w:hint="cs"/>
          <w:sz w:val="27"/>
          <w:rtl/>
          <w:lang w:bidi="ar-SY"/>
        </w:rPr>
        <w:t>فجر</w:t>
      </w:r>
      <w:r w:rsidRPr="00904FCB">
        <w:rPr>
          <w:sz w:val="27"/>
          <w:rtl/>
          <w:lang w:bidi="ar-SY"/>
        </w:rPr>
        <w:t xml:space="preserve"> </w:t>
      </w:r>
      <w:r w:rsidRPr="00904FCB">
        <w:rPr>
          <w:rFonts w:hint="cs"/>
          <w:sz w:val="27"/>
          <w:rtl/>
          <w:lang w:bidi="ar-SY"/>
        </w:rPr>
        <w:t>التاريخ؟ وهل</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حالة</w:t>
      </w:r>
      <w:r w:rsidRPr="00904FCB">
        <w:rPr>
          <w:sz w:val="27"/>
          <w:rtl/>
          <w:lang w:bidi="ar-SY"/>
        </w:rPr>
        <w:t xml:space="preserve"> </w:t>
      </w:r>
      <w:r w:rsidRPr="00904FCB">
        <w:rPr>
          <w:rFonts w:hint="cs"/>
          <w:sz w:val="27"/>
          <w:rtl/>
          <w:lang w:bidi="ar-SY"/>
        </w:rPr>
        <w:t>أصيلة</w:t>
      </w:r>
      <w:r w:rsidRPr="00904FCB">
        <w:rPr>
          <w:sz w:val="27"/>
          <w:rtl/>
          <w:lang w:bidi="ar-SY"/>
        </w:rPr>
        <w:t xml:space="preserve"> </w:t>
      </w:r>
      <w:r w:rsidRPr="00904FCB">
        <w:rPr>
          <w:rFonts w:hint="cs"/>
          <w:sz w:val="27"/>
          <w:rtl/>
          <w:lang w:bidi="ar-SY"/>
        </w:rPr>
        <w:t>ثابتة</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النفس</w:t>
      </w:r>
      <w:r w:rsidRPr="00904FCB">
        <w:rPr>
          <w:sz w:val="27"/>
          <w:rtl/>
          <w:lang w:bidi="ar-SY"/>
        </w:rPr>
        <w:t xml:space="preserve"> </w:t>
      </w:r>
      <w:r w:rsidRPr="00904FCB">
        <w:rPr>
          <w:rFonts w:hint="cs"/>
          <w:sz w:val="27"/>
          <w:rtl/>
          <w:lang w:bidi="ar-SY"/>
        </w:rPr>
        <w:t>البشرية</w:t>
      </w:r>
      <w:r w:rsidRPr="00904FCB">
        <w:rPr>
          <w:sz w:val="27"/>
          <w:rtl/>
          <w:lang w:bidi="ar-SY"/>
        </w:rPr>
        <w:t xml:space="preserve"> </w:t>
      </w:r>
      <w:r w:rsidRPr="00904FCB">
        <w:rPr>
          <w:rFonts w:hint="cs"/>
          <w:sz w:val="27"/>
          <w:rtl/>
          <w:lang w:bidi="ar-SY"/>
        </w:rPr>
        <w:t>أم</w:t>
      </w:r>
      <w:r w:rsidRPr="00904FCB">
        <w:rPr>
          <w:sz w:val="27"/>
          <w:rtl/>
          <w:lang w:bidi="ar-SY"/>
        </w:rPr>
        <w:t xml:space="preserve"> </w:t>
      </w:r>
      <w:r w:rsidRPr="00904FCB">
        <w:rPr>
          <w:rFonts w:hint="cs"/>
          <w:sz w:val="27"/>
          <w:rtl/>
          <w:lang w:bidi="ar-SY"/>
        </w:rPr>
        <w:t>هو</w:t>
      </w:r>
      <w:r w:rsidRPr="00904FCB">
        <w:rPr>
          <w:sz w:val="27"/>
          <w:rtl/>
          <w:lang w:bidi="ar-SY"/>
        </w:rPr>
        <w:t xml:space="preserve"> </w:t>
      </w:r>
      <w:r w:rsidRPr="00904FCB">
        <w:rPr>
          <w:rFonts w:hint="cs"/>
          <w:sz w:val="27"/>
          <w:rtl/>
          <w:lang w:bidi="ar-SY"/>
        </w:rPr>
        <w:t>حالة</w:t>
      </w:r>
      <w:r w:rsidRPr="00904FCB">
        <w:rPr>
          <w:sz w:val="27"/>
          <w:rtl/>
          <w:lang w:bidi="ar-SY"/>
        </w:rPr>
        <w:t xml:space="preserve"> </w:t>
      </w:r>
      <w:r w:rsidRPr="00904FCB">
        <w:rPr>
          <w:rFonts w:hint="cs"/>
          <w:sz w:val="27"/>
          <w:rtl/>
          <w:lang w:bidi="ar-SY"/>
        </w:rPr>
        <w:t>طارئة</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ساحة</w:t>
      </w:r>
      <w:r w:rsidRPr="00904FCB">
        <w:rPr>
          <w:sz w:val="27"/>
          <w:rtl/>
          <w:lang w:bidi="ar-SY"/>
        </w:rPr>
        <w:t xml:space="preserve"> </w:t>
      </w:r>
      <w:r w:rsidRPr="00904FCB">
        <w:rPr>
          <w:rFonts w:hint="cs"/>
          <w:sz w:val="27"/>
          <w:rtl/>
          <w:lang w:bidi="ar-SY"/>
        </w:rPr>
        <w:t>الحياة</w:t>
      </w:r>
      <w:r w:rsidRPr="00904FCB">
        <w:rPr>
          <w:sz w:val="27"/>
          <w:rtl/>
          <w:lang w:bidi="ar-SY"/>
        </w:rPr>
        <w:t xml:space="preserve"> </w:t>
      </w:r>
      <w:r w:rsidRPr="00904FCB">
        <w:rPr>
          <w:rFonts w:hint="cs"/>
          <w:sz w:val="27"/>
          <w:rtl/>
          <w:lang w:bidi="ar-SY"/>
        </w:rPr>
        <w:t>الإنسانية</w:t>
      </w:r>
      <w:r w:rsidRPr="00904FCB">
        <w:rPr>
          <w:sz w:val="27"/>
          <w:rtl/>
          <w:lang w:bidi="ar-SY"/>
        </w:rPr>
        <w:t xml:space="preserve"> </w:t>
      </w:r>
      <w:r w:rsidRPr="00904FCB">
        <w:rPr>
          <w:rFonts w:hint="cs"/>
          <w:sz w:val="27"/>
          <w:rtl/>
          <w:lang w:bidi="ar-SY"/>
        </w:rPr>
        <w:t>والمجتمعية؟</w:t>
      </w:r>
      <w:r w:rsidRPr="00904FCB">
        <w:rPr>
          <w:sz w:val="27"/>
          <w:rtl/>
          <w:lang w:bidi="ar-SY"/>
        </w:rPr>
        <w:t xml:space="preserve"> </w:t>
      </w:r>
      <w:r w:rsidRPr="00904FCB">
        <w:rPr>
          <w:rFonts w:hint="cs"/>
          <w:sz w:val="27"/>
          <w:rtl/>
          <w:lang w:bidi="ar-SY"/>
        </w:rPr>
        <w:t>أي</w:t>
      </w:r>
      <w:r w:rsidRPr="00904FCB">
        <w:rPr>
          <w:sz w:val="27"/>
          <w:rtl/>
          <w:lang w:bidi="ar-SY"/>
        </w:rPr>
        <w:t xml:space="preserve"> </w:t>
      </w:r>
      <w:r w:rsidRPr="00904FCB">
        <w:rPr>
          <w:rFonts w:hint="cs"/>
          <w:sz w:val="27"/>
          <w:rtl/>
          <w:lang w:bidi="ar-SY"/>
        </w:rPr>
        <w:t>هل</w:t>
      </w:r>
      <w:r w:rsidRPr="00904FCB">
        <w:rPr>
          <w:sz w:val="27"/>
          <w:rtl/>
          <w:lang w:bidi="ar-SY"/>
        </w:rPr>
        <w:t xml:space="preserve"> </w:t>
      </w:r>
      <w:r w:rsidRPr="00904FCB">
        <w:rPr>
          <w:rFonts w:hint="cs"/>
          <w:sz w:val="27"/>
          <w:rtl/>
          <w:lang w:bidi="ar-SY"/>
        </w:rPr>
        <w:t>الإنسان</w:t>
      </w:r>
      <w:r w:rsidRPr="00904FCB">
        <w:rPr>
          <w:sz w:val="27"/>
          <w:rtl/>
          <w:lang w:bidi="ar-SY"/>
        </w:rPr>
        <w:t xml:space="preserve"> ـ </w:t>
      </w:r>
      <w:r w:rsidRPr="00904FCB">
        <w:rPr>
          <w:rFonts w:hint="cs"/>
          <w:sz w:val="27"/>
          <w:rtl/>
          <w:lang w:bidi="ar-SY"/>
        </w:rPr>
        <w:t>مطلق</w:t>
      </w:r>
      <w:r w:rsidRPr="00904FCB">
        <w:rPr>
          <w:sz w:val="27"/>
          <w:rtl/>
          <w:lang w:bidi="ar-SY"/>
        </w:rPr>
        <w:t xml:space="preserve"> </w:t>
      </w:r>
      <w:r w:rsidRPr="00904FCB">
        <w:rPr>
          <w:rFonts w:hint="cs"/>
          <w:sz w:val="27"/>
          <w:rtl/>
          <w:lang w:bidi="ar-SY"/>
        </w:rPr>
        <w:t>إنسان</w:t>
      </w:r>
      <w:r w:rsidRPr="00904FCB">
        <w:rPr>
          <w:sz w:val="27"/>
          <w:rtl/>
          <w:lang w:bidi="ar-SY"/>
        </w:rPr>
        <w:t xml:space="preserve"> ـ </w:t>
      </w:r>
      <w:r w:rsidRPr="00904FCB">
        <w:rPr>
          <w:rFonts w:hint="cs"/>
          <w:sz w:val="27"/>
          <w:rtl/>
          <w:lang w:bidi="ar-SY"/>
        </w:rPr>
        <w:t>عنيف</w:t>
      </w:r>
      <w:r w:rsidRPr="00904FCB">
        <w:rPr>
          <w:sz w:val="27"/>
          <w:rtl/>
          <w:lang w:bidi="ar-SY"/>
        </w:rPr>
        <w:t xml:space="preserve"> </w:t>
      </w:r>
      <w:r w:rsidRPr="00904FCB">
        <w:rPr>
          <w:rFonts w:hint="cs"/>
          <w:sz w:val="27"/>
          <w:rtl/>
          <w:lang w:bidi="ar-SY"/>
        </w:rPr>
        <w:t>بذاته</w:t>
      </w:r>
      <w:r w:rsidRPr="00904FCB">
        <w:rPr>
          <w:sz w:val="27"/>
          <w:rtl/>
          <w:lang w:bidi="ar-SY"/>
        </w:rPr>
        <w:t xml:space="preserve"> </w:t>
      </w:r>
      <w:r w:rsidRPr="00904FCB">
        <w:rPr>
          <w:rFonts w:hint="cs"/>
          <w:sz w:val="27"/>
          <w:rtl/>
          <w:lang w:bidi="ar-SY"/>
        </w:rPr>
        <w:t>أم</w:t>
      </w:r>
      <w:r w:rsidRPr="00904FCB">
        <w:rPr>
          <w:sz w:val="27"/>
          <w:rtl/>
          <w:lang w:bidi="ar-SY"/>
        </w:rPr>
        <w:t xml:space="preserve"> </w:t>
      </w:r>
      <w:r w:rsidRPr="00904FCB">
        <w:rPr>
          <w:rFonts w:hint="cs"/>
          <w:sz w:val="27"/>
          <w:rtl/>
          <w:lang w:bidi="ar-SY"/>
        </w:rPr>
        <w:t>لدوافع</w:t>
      </w:r>
      <w:r w:rsidRPr="00904FCB">
        <w:rPr>
          <w:sz w:val="27"/>
          <w:rtl/>
          <w:lang w:bidi="ar-SY"/>
        </w:rPr>
        <w:t xml:space="preserve"> </w:t>
      </w:r>
      <w:r w:rsidRPr="00904FCB">
        <w:rPr>
          <w:rFonts w:hint="cs"/>
          <w:sz w:val="27"/>
          <w:rtl/>
          <w:lang w:bidi="ar-SY"/>
        </w:rPr>
        <w:t>خارجية</w:t>
      </w:r>
      <w:r w:rsidRPr="00904FCB">
        <w:rPr>
          <w:sz w:val="27"/>
          <w:rtl/>
          <w:lang w:bidi="ar-SY"/>
        </w:rPr>
        <w:t xml:space="preserve"> </w:t>
      </w:r>
      <w:r w:rsidRPr="00904FCB">
        <w:rPr>
          <w:rFonts w:hint="cs"/>
          <w:sz w:val="27"/>
          <w:rtl/>
          <w:lang w:bidi="ar-SY"/>
        </w:rPr>
        <w:t>طارئة</w:t>
      </w:r>
      <w:r w:rsidR="00AF69C8" w:rsidRPr="00904FCB">
        <w:rPr>
          <w:rFonts w:hint="cs"/>
          <w:sz w:val="27"/>
          <w:rtl/>
          <w:lang w:bidi="ar-SY"/>
        </w:rPr>
        <w:t>،</w:t>
      </w:r>
      <w:r w:rsidRPr="00904FCB">
        <w:rPr>
          <w:sz w:val="27"/>
          <w:rtl/>
          <w:lang w:bidi="ar-SY"/>
        </w:rPr>
        <w:t xml:space="preserve"> </w:t>
      </w:r>
      <w:r w:rsidRPr="00904FCB">
        <w:rPr>
          <w:rFonts w:hint="cs"/>
          <w:sz w:val="27"/>
          <w:rtl/>
          <w:lang w:bidi="ar-SY"/>
        </w:rPr>
        <w:t>تتمثل</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ضغط</w:t>
      </w:r>
      <w:r w:rsidRPr="00904FCB">
        <w:rPr>
          <w:sz w:val="27"/>
          <w:rtl/>
          <w:lang w:bidi="ar-SY"/>
        </w:rPr>
        <w:t xml:space="preserve"> </w:t>
      </w:r>
      <w:r w:rsidRPr="00904FCB">
        <w:rPr>
          <w:rFonts w:hint="cs"/>
          <w:sz w:val="27"/>
          <w:rtl/>
          <w:lang w:bidi="ar-SY"/>
        </w:rPr>
        <w:t>وتأثير</w:t>
      </w:r>
      <w:r w:rsidRPr="00904FCB">
        <w:rPr>
          <w:sz w:val="27"/>
          <w:rtl/>
          <w:lang w:bidi="ar-SY"/>
        </w:rPr>
        <w:t xml:space="preserve"> </w:t>
      </w:r>
      <w:r w:rsidRPr="00904FCB">
        <w:rPr>
          <w:rFonts w:hint="cs"/>
          <w:sz w:val="27"/>
          <w:rtl/>
          <w:lang w:bidi="ar-SY"/>
        </w:rPr>
        <w:t>الظروف</w:t>
      </w:r>
      <w:r w:rsidRPr="00904FCB">
        <w:rPr>
          <w:sz w:val="27"/>
          <w:rtl/>
          <w:lang w:bidi="ar-SY"/>
        </w:rPr>
        <w:t xml:space="preserve"> </w:t>
      </w:r>
      <w:r w:rsidRPr="00904FCB">
        <w:rPr>
          <w:rFonts w:hint="cs"/>
          <w:sz w:val="27"/>
          <w:rtl/>
          <w:lang w:bidi="ar-SY"/>
        </w:rPr>
        <w:t>والعوامل</w:t>
      </w:r>
      <w:r w:rsidRPr="00904FCB">
        <w:rPr>
          <w:sz w:val="27"/>
          <w:rtl/>
          <w:lang w:bidi="ar-SY"/>
        </w:rPr>
        <w:t xml:space="preserve"> </w:t>
      </w:r>
      <w:r w:rsidRPr="00904FCB">
        <w:rPr>
          <w:rFonts w:hint="cs"/>
          <w:sz w:val="27"/>
          <w:rtl/>
          <w:lang w:bidi="ar-SY"/>
        </w:rPr>
        <w:t>المحيطة</w:t>
      </w:r>
      <w:r w:rsidRPr="00904FCB">
        <w:rPr>
          <w:sz w:val="27"/>
          <w:rtl/>
          <w:lang w:bidi="ar-SY"/>
        </w:rPr>
        <w:t xml:space="preserve"> </w:t>
      </w:r>
      <w:r w:rsidRPr="00904FCB">
        <w:rPr>
          <w:rFonts w:hint="cs"/>
          <w:sz w:val="27"/>
          <w:rtl/>
          <w:lang w:bidi="ar-SY"/>
        </w:rPr>
        <w:t>به؟</w:t>
      </w:r>
      <w:r w:rsidRPr="00904FCB">
        <w:rPr>
          <w:sz w:val="27"/>
          <w:rtl/>
          <w:lang w:bidi="ar-SY"/>
        </w:rPr>
        <w:t xml:space="preserve"> </w:t>
      </w:r>
      <w:r w:rsidRPr="00904FCB">
        <w:rPr>
          <w:rFonts w:hint="cs"/>
          <w:sz w:val="27"/>
          <w:rtl/>
          <w:lang w:bidi="ar-SY"/>
        </w:rPr>
        <w:t>ثم</w:t>
      </w:r>
      <w:r w:rsidRPr="00904FCB">
        <w:rPr>
          <w:sz w:val="27"/>
          <w:rtl/>
          <w:lang w:bidi="ar-SY"/>
        </w:rPr>
        <w:t xml:space="preserve"> </w:t>
      </w:r>
      <w:r w:rsidRPr="00904FCB">
        <w:rPr>
          <w:rFonts w:hint="cs"/>
          <w:sz w:val="27"/>
          <w:rtl/>
          <w:lang w:bidi="ar-SY"/>
        </w:rPr>
        <w:t>كيف</w:t>
      </w:r>
      <w:r w:rsidRPr="00904FCB">
        <w:rPr>
          <w:sz w:val="27"/>
          <w:rtl/>
          <w:lang w:bidi="ar-SY"/>
        </w:rPr>
        <w:t xml:space="preserve"> </w:t>
      </w:r>
      <w:r w:rsidRPr="00904FCB">
        <w:rPr>
          <w:rFonts w:hint="cs"/>
          <w:sz w:val="27"/>
          <w:rtl/>
          <w:lang w:bidi="ar-SY"/>
        </w:rPr>
        <w:t>تمكّن</w:t>
      </w:r>
      <w:r w:rsidRPr="00904FCB">
        <w:rPr>
          <w:sz w:val="27"/>
          <w:rtl/>
          <w:lang w:bidi="ar-SY"/>
        </w:rPr>
        <w:t xml:space="preserve"> </w:t>
      </w:r>
      <w:r w:rsidRPr="00904FCB">
        <w:rPr>
          <w:rFonts w:hint="cs"/>
          <w:sz w:val="27"/>
          <w:rtl/>
          <w:lang w:bidi="ar-SY"/>
        </w:rPr>
        <w:t>الإنسان</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بناء</w:t>
      </w:r>
      <w:r w:rsidRPr="00904FCB">
        <w:rPr>
          <w:sz w:val="27"/>
          <w:rtl/>
          <w:lang w:bidi="ar-SY"/>
        </w:rPr>
        <w:t xml:space="preserve"> </w:t>
      </w:r>
      <w:r w:rsidRPr="00904FCB">
        <w:rPr>
          <w:rFonts w:hint="cs"/>
          <w:sz w:val="27"/>
          <w:rtl/>
          <w:lang w:bidi="ar-SY"/>
        </w:rPr>
        <w:t>معايير</w:t>
      </w:r>
      <w:r w:rsidRPr="00904FCB">
        <w:rPr>
          <w:sz w:val="27"/>
          <w:rtl/>
          <w:lang w:bidi="ar-SY"/>
        </w:rPr>
        <w:t xml:space="preserve"> </w:t>
      </w:r>
      <w:r w:rsidRPr="00904FCB">
        <w:rPr>
          <w:rFonts w:hint="cs"/>
          <w:sz w:val="27"/>
          <w:rtl/>
          <w:lang w:bidi="ar-SY"/>
        </w:rPr>
        <w:t>وضوابط</w:t>
      </w:r>
      <w:r w:rsidRPr="00904FCB">
        <w:rPr>
          <w:sz w:val="27"/>
          <w:rtl/>
          <w:lang w:bidi="ar-SY"/>
        </w:rPr>
        <w:t xml:space="preserve"> </w:t>
      </w:r>
      <w:r w:rsidRPr="00904FCB">
        <w:rPr>
          <w:rFonts w:hint="cs"/>
          <w:sz w:val="27"/>
          <w:rtl/>
          <w:lang w:bidi="ar-SY"/>
        </w:rPr>
        <w:t>ونواظم</w:t>
      </w:r>
      <w:r w:rsidRPr="00904FCB">
        <w:rPr>
          <w:sz w:val="27"/>
          <w:rtl/>
          <w:lang w:bidi="ar-SY"/>
        </w:rPr>
        <w:t xml:space="preserve"> </w:t>
      </w:r>
      <w:r w:rsidRPr="00904FCB">
        <w:rPr>
          <w:rFonts w:hint="cs"/>
          <w:sz w:val="27"/>
          <w:rtl/>
          <w:lang w:bidi="ar-SY"/>
        </w:rPr>
        <w:t>فكرية</w:t>
      </w:r>
      <w:r w:rsidRPr="00904FCB">
        <w:rPr>
          <w:sz w:val="27"/>
          <w:rtl/>
          <w:lang w:bidi="ar-SY"/>
        </w:rPr>
        <w:t xml:space="preserve"> </w:t>
      </w:r>
      <w:r w:rsidRPr="00904FCB">
        <w:rPr>
          <w:rFonts w:hint="cs"/>
          <w:sz w:val="27"/>
          <w:rtl/>
          <w:lang w:bidi="ar-SY"/>
        </w:rPr>
        <w:t>وعملية</w:t>
      </w:r>
      <w:r w:rsidRPr="00904FCB">
        <w:rPr>
          <w:sz w:val="27"/>
          <w:rtl/>
          <w:lang w:bidi="ar-SY"/>
        </w:rPr>
        <w:t xml:space="preserve"> </w:t>
      </w:r>
      <w:r w:rsidRPr="00904FCB">
        <w:rPr>
          <w:rFonts w:hint="cs"/>
          <w:sz w:val="27"/>
          <w:rtl/>
          <w:lang w:bidi="ar-SY"/>
        </w:rPr>
        <w:t>قانونية</w:t>
      </w:r>
      <w:r w:rsidRPr="00904FCB">
        <w:rPr>
          <w:sz w:val="27"/>
          <w:rtl/>
          <w:lang w:bidi="ar-SY"/>
        </w:rPr>
        <w:t xml:space="preserve"> </w:t>
      </w:r>
      <w:r w:rsidRPr="00904FCB">
        <w:rPr>
          <w:rFonts w:hint="cs"/>
          <w:sz w:val="27"/>
          <w:rtl/>
          <w:lang w:bidi="ar-SY"/>
        </w:rPr>
        <w:t>لاستخدام</w:t>
      </w:r>
      <w:r w:rsidRPr="00904FCB">
        <w:rPr>
          <w:sz w:val="27"/>
          <w:rtl/>
          <w:lang w:bidi="ar-SY"/>
        </w:rPr>
        <w:t xml:space="preserve"> </w:t>
      </w:r>
      <w:r w:rsidRPr="00904FCB">
        <w:rPr>
          <w:rFonts w:hint="cs"/>
          <w:sz w:val="27"/>
          <w:rtl/>
          <w:lang w:bidi="ar-SY"/>
        </w:rPr>
        <w:t>وإباحة</w:t>
      </w:r>
      <w:r w:rsidRPr="00904FCB">
        <w:rPr>
          <w:sz w:val="27"/>
          <w:rtl/>
          <w:lang w:bidi="ar-SY"/>
        </w:rPr>
        <w:t xml:space="preserve"> </w:t>
      </w:r>
      <w:r w:rsidRPr="00904FCB">
        <w:rPr>
          <w:rFonts w:hint="cs"/>
          <w:sz w:val="27"/>
          <w:rtl/>
          <w:lang w:bidi="ar-SY"/>
        </w:rPr>
        <w:t>القوة</w:t>
      </w:r>
      <w:r w:rsidRPr="00904FCB">
        <w:rPr>
          <w:sz w:val="27"/>
          <w:rtl/>
          <w:lang w:bidi="ar-SY"/>
        </w:rPr>
        <w:t xml:space="preserve"> </w:t>
      </w:r>
      <w:r w:rsidRPr="00904FCB">
        <w:rPr>
          <w:rFonts w:hint="cs"/>
          <w:sz w:val="27"/>
          <w:rtl/>
          <w:lang w:bidi="ar-SY"/>
        </w:rPr>
        <w:t>والعنف</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حركة</w:t>
      </w:r>
      <w:r w:rsidRPr="00904FCB">
        <w:rPr>
          <w:sz w:val="27"/>
          <w:rtl/>
          <w:lang w:bidi="ar-SY"/>
        </w:rPr>
        <w:t xml:space="preserve"> </w:t>
      </w:r>
      <w:r w:rsidRPr="00904FCB">
        <w:rPr>
          <w:rFonts w:hint="cs"/>
          <w:sz w:val="27"/>
          <w:rtl/>
          <w:lang w:bidi="ar-SY"/>
        </w:rPr>
        <w:t>المجتمعات</w:t>
      </w:r>
      <w:r w:rsidRPr="00904FCB">
        <w:rPr>
          <w:sz w:val="27"/>
          <w:rtl/>
          <w:lang w:bidi="ar-SY"/>
        </w:rPr>
        <w:t xml:space="preserve"> </w:t>
      </w:r>
      <w:r w:rsidRPr="00904FCB">
        <w:rPr>
          <w:rFonts w:hint="cs"/>
          <w:sz w:val="27"/>
          <w:rtl/>
          <w:lang w:bidi="ar-SY"/>
        </w:rPr>
        <w:t>بعد</w:t>
      </w:r>
      <w:r w:rsidRPr="00904FCB">
        <w:rPr>
          <w:sz w:val="27"/>
          <w:rtl/>
          <w:lang w:bidi="ar-SY"/>
        </w:rPr>
        <w:t xml:space="preserve"> </w:t>
      </w:r>
      <w:r w:rsidRPr="00904FCB">
        <w:rPr>
          <w:rFonts w:hint="cs"/>
          <w:sz w:val="27"/>
          <w:rtl/>
          <w:lang w:bidi="ar-SY"/>
        </w:rPr>
        <w:t>أن</w:t>
      </w:r>
      <w:r w:rsidRPr="00904FCB">
        <w:rPr>
          <w:sz w:val="27"/>
          <w:rtl/>
          <w:lang w:bidi="ar-SY"/>
        </w:rPr>
        <w:t xml:space="preserve"> </w:t>
      </w:r>
      <w:r w:rsidRPr="00904FCB">
        <w:rPr>
          <w:rFonts w:hint="cs"/>
          <w:sz w:val="27"/>
          <w:rtl/>
          <w:lang w:bidi="ar-SY"/>
        </w:rPr>
        <w:t>عاش</w:t>
      </w:r>
      <w:r w:rsidRPr="00904FCB">
        <w:rPr>
          <w:sz w:val="27"/>
          <w:rtl/>
          <w:lang w:bidi="ar-SY"/>
        </w:rPr>
        <w:t xml:space="preserve"> </w:t>
      </w:r>
      <w:r w:rsidRPr="00904FCB">
        <w:rPr>
          <w:rFonts w:hint="cs"/>
          <w:sz w:val="27"/>
          <w:rtl/>
          <w:lang w:bidi="ar-SY"/>
        </w:rPr>
        <w:t>أطواراً</w:t>
      </w:r>
      <w:r w:rsidRPr="00904FCB">
        <w:rPr>
          <w:sz w:val="27"/>
          <w:rtl/>
          <w:lang w:bidi="ar-SY"/>
        </w:rPr>
        <w:t xml:space="preserve"> </w:t>
      </w:r>
      <w:r w:rsidRPr="00904FCB">
        <w:rPr>
          <w:rFonts w:hint="cs"/>
          <w:sz w:val="27"/>
          <w:rtl/>
          <w:lang w:bidi="ar-SY"/>
        </w:rPr>
        <w:t>زمنية</w:t>
      </w:r>
      <w:r w:rsidRPr="00904FCB">
        <w:rPr>
          <w:sz w:val="27"/>
          <w:rtl/>
          <w:lang w:bidi="ar-SY"/>
        </w:rPr>
        <w:t xml:space="preserve"> </w:t>
      </w:r>
      <w:r w:rsidRPr="00904FCB">
        <w:rPr>
          <w:rFonts w:hint="cs"/>
          <w:sz w:val="27"/>
          <w:rtl/>
          <w:lang w:bidi="ar-SY"/>
        </w:rPr>
        <w:t>طويلة</w:t>
      </w:r>
      <w:r w:rsidR="00AF69C8" w:rsidRPr="00904FCB">
        <w:rPr>
          <w:rFonts w:hint="cs"/>
          <w:sz w:val="27"/>
          <w:rtl/>
          <w:lang w:bidi="ar-SY"/>
        </w:rPr>
        <w:t>،</w:t>
      </w:r>
      <w:r w:rsidRPr="00904FCB">
        <w:rPr>
          <w:sz w:val="27"/>
          <w:rtl/>
          <w:lang w:bidi="ar-SY"/>
        </w:rPr>
        <w:t xml:space="preserve"> </w:t>
      </w:r>
      <w:r w:rsidRPr="00904FCB">
        <w:rPr>
          <w:rFonts w:hint="cs"/>
          <w:sz w:val="27"/>
          <w:rtl/>
          <w:lang w:bidi="ar-SY"/>
        </w:rPr>
        <w:t>استمر</w:t>
      </w:r>
      <w:r w:rsidR="00AF69C8" w:rsidRPr="00904FCB">
        <w:rPr>
          <w:rFonts w:hint="cs"/>
          <w:sz w:val="27"/>
          <w:rtl/>
          <w:lang w:bidi="ar-SY"/>
        </w:rPr>
        <w:t>ّ</w:t>
      </w:r>
      <w:r w:rsidRPr="00904FCB">
        <w:rPr>
          <w:rFonts w:hint="cs"/>
          <w:sz w:val="27"/>
          <w:rtl/>
          <w:lang w:bidi="ar-SY"/>
        </w:rPr>
        <w:t>ت</w:t>
      </w:r>
      <w:r w:rsidRPr="00904FCB">
        <w:rPr>
          <w:sz w:val="27"/>
          <w:rtl/>
          <w:lang w:bidi="ar-SY"/>
        </w:rPr>
        <w:t xml:space="preserve"> </w:t>
      </w:r>
      <w:r w:rsidRPr="00904FCB">
        <w:rPr>
          <w:rFonts w:hint="cs"/>
          <w:sz w:val="27"/>
          <w:rtl/>
          <w:lang w:bidi="ar-SY"/>
        </w:rPr>
        <w:t>حت</w:t>
      </w:r>
      <w:r w:rsidR="00AF69C8" w:rsidRPr="00904FCB">
        <w:rPr>
          <w:rFonts w:hint="cs"/>
          <w:sz w:val="27"/>
          <w:rtl/>
          <w:lang w:bidi="ar-SY"/>
        </w:rPr>
        <w:t>ّ</w:t>
      </w:r>
      <w:r w:rsidRPr="00904FCB">
        <w:rPr>
          <w:rFonts w:hint="cs"/>
          <w:sz w:val="27"/>
          <w:rtl/>
          <w:lang w:bidi="ar-SY"/>
        </w:rPr>
        <w:t>ى</w:t>
      </w:r>
      <w:r w:rsidRPr="00904FCB">
        <w:rPr>
          <w:sz w:val="27"/>
          <w:rtl/>
          <w:lang w:bidi="ar-SY"/>
        </w:rPr>
        <w:t xml:space="preserve"> </w:t>
      </w:r>
      <w:r w:rsidRPr="00904FCB">
        <w:rPr>
          <w:rFonts w:hint="cs"/>
          <w:sz w:val="27"/>
          <w:rtl/>
          <w:lang w:bidi="ar-SY"/>
        </w:rPr>
        <w:t>عصور</w:t>
      </w:r>
      <w:r w:rsidRPr="00904FCB">
        <w:rPr>
          <w:sz w:val="27"/>
          <w:rtl/>
          <w:lang w:bidi="ar-SY"/>
        </w:rPr>
        <w:t xml:space="preserve"> </w:t>
      </w:r>
      <w:r w:rsidRPr="00904FCB">
        <w:rPr>
          <w:rFonts w:hint="cs"/>
          <w:sz w:val="27"/>
          <w:rtl/>
          <w:lang w:bidi="ar-SY"/>
        </w:rPr>
        <w:t>حديثة، كان</w:t>
      </w:r>
      <w:r w:rsidRPr="00904FCB">
        <w:rPr>
          <w:sz w:val="27"/>
          <w:rtl/>
          <w:lang w:bidi="ar-SY"/>
        </w:rPr>
        <w:t xml:space="preserve"> </w:t>
      </w:r>
      <w:r w:rsidRPr="00904FCB">
        <w:rPr>
          <w:rFonts w:hint="cs"/>
          <w:sz w:val="27"/>
          <w:rtl/>
          <w:lang w:bidi="ar-SY"/>
        </w:rPr>
        <w:t>فيها</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البدائي</w:t>
      </w:r>
      <w:r w:rsidRPr="00904FCB">
        <w:rPr>
          <w:sz w:val="27"/>
          <w:rtl/>
          <w:lang w:bidi="ar-SY"/>
        </w:rPr>
        <w:t xml:space="preserve"> </w:t>
      </w:r>
      <w:r w:rsidRPr="00904FCB">
        <w:rPr>
          <w:rFonts w:hint="cs"/>
          <w:sz w:val="27"/>
          <w:rtl/>
          <w:lang w:bidi="ar-SY"/>
        </w:rPr>
        <w:t>الواسع</w:t>
      </w:r>
      <w:r w:rsidRPr="00904FCB">
        <w:rPr>
          <w:sz w:val="27"/>
          <w:rtl/>
          <w:lang w:bidi="ar-SY"/>
        </w:rPr>
        <w:t xml:space="preserve"> </w:t>
      </w:r>
      <w:r w:rsidRPr="00904FCB">
        <w:rPr>
          <w:rFonts w:hint="cs"/>
          <w:sz w:val="27"/>
          <w:rtl/>
          <w:lang w:bidi="ar-SY"/>
        </w:rPr>
        <w:t>هو</w:t>
      </w:r>
      <w:r w:rsidRPr="00904FCB">
        <w:rPr>
          <w:sz w:val="27"/>
          <w:rtl/>
          <w:lang w:bidi="ar-SY"/>
        </w:rPr>
        <w:t xml:space="preserve"> </w:t>
      </w:r>
      <w:r w:rsidRPr="00904FCB">
        <w:rPr>
          <w:rFonts w:hint="cs"/>
          <w:sz w:val="27"/>
          <w:rtl/>
          <w:lang w:bidi="ar-SY"/>
        </w:rPr>
        <w:t>القاعدة</w:t>
      </w:r>
      <w:r w:rsidR="00AF69C8" w:rsidRPr="00904FCB">
        <w:rPr>
          <w:rFonts w:hint="cs"/>
          <w:sz w:val="27"/>
          <w:rtl/>
          <w:lang w:bidi="ar-SY"/>
        </w:rPr>
        <w:t>،</w:t>
      </w:r>
      <w:r w:rsidRPr="00904FCB">
        <w:rPr>
          <w:sz w:val="27"/>
          <w:rtl/>
          <w:lang w:bidi="ar-SY"/>
        </w:rPr>
        <w:t xml:space="preserve"> </w:t>
      </w:r>
      <w:r w:rsidRPr="00904FCB">
        <w:rPr>
          <w:rFonts w:hint="cs"/>
          <w:sz w:val="27"/>
          <w:rtl/>
          <w:lang w:bidi="ar-SY"/>
        </w:rPr>
        <w:t>وهو</w:t>
      </w:r>
      <w:r w:rsidRPr="00904FCB">
        <w:rPr>
          <w:sz w:val="27"/>
          <w:rtl/>
          <w:lang w:bidi="ar-SY"/>
        </w:rPr>
        <w:t xml:space="preserve"> </w:t>
      </w:r>
      <w:r w:rsidRPr="00904FCB">
        <w:rPr>
          <w:rFonts w:hint="cs"/>
          <w:sz w:val="27"/>
          <w:rtl/>
          <w:lang w:bidi="ar-SY"/>
        </w:rPr>
        <w:t>القانون</w:t>
      </w:r>
      <w:r w:rsidRPr="00904FCB">
        <w:rPr>
          <w:sz w:val="27"/>
          <w:rtl/>
          <w:lang w:bidi="ar-SY"/>
        </w:rPr>
        <w:t xml:space="preserve"> </w:t>
      </w:r>
      <w:r w:rsidRPr="00904FCB">
        <w:rPr>
          <w:rFonts w:hint="cs"/>
          <w:sz w:val="27"/>
          <w:rtl/>
          <w:lang w:bidi="ar-SY"/>
        </w:rPr>
        <w:t>الحاكم</w:t>
      </w:r>
      <w:r w:rsidRPr="00904FCB">
        <w:rPr>
          <w:sz w:val="27"/>
          <w:rtl/>
          <w:lang w:bidi="ar-SY"/>
        </w:rPr>
        <w:t xml:space="preserve"> </w:t>
      </w:r>
      <w:r w:rsidRPr="00904FCB">
        <w:rPr>
          <w:rFonts w:hint="cs"/>
          <w:sz w:val="27"/>
          <w:rtl/>
          <w:lang w:bidi="ar-SY"/>
        </w:rPr>
        <w:t>والمهيمن</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حياته</w:t>
      </w:r>
      <w:r w:rsidR="00AF69C8" w:rsidRPr="00904FCB">
        <w:rPr>
          <w:rFonts w:hint="cs"/>
          <w:sz w:val="27"/>
          <w:rtl/>
          <w:lang w:bidi="ar-SY"/>
        </w:rPr>
        <w:t>،</w:t>
      </w:r>
      <w:r w:rsidRPr="00904FCB">
        <w:rPr>
          <w:sz w:val="27"/>
          <w:rtl/>
          <w:lang w:bidi="ar-SY"/>
        </w:rPr>
        <w:t xml:space="preserve"> </w:t>
      </w:r>
      <w:r w:rsidRPr="00904FCB">
        <w:rPr>
          <w:rFonts w:hint="cs"/>
          <w:sz w:val="27"/>
          <w:rtl/>
          <w:lang w:bidi="ar-SY"/>
        </w:rPr>
        <w:t>والمسي</w:t>
      </w:r>
      <w:r w:rsidR="00AF69C8" w:rsidRPr="00904FCB">
        <w:rPr>
          <w:rFonts w:hint="cs"/>
          <w:sz w:val="27"/>
          <w:rtl/>
          <w:lang w:bidi="ar-SY"/>
        </w:rPr>
        <w:t>ِّ</w:t>
      </w:r>
      <w:r w:rsidRPr="00904FCB">
        <w:rPr>
          <w:rFonts w:hint="cs"/>
          <w:sz w:val="27"/>
          <w:rtl/>
          <w:lang w:bidi="ar-SY"/>
        </w:rPr>
        <w:t>ر</w:t>
      </w:r>
      <w:r w:rsidRPr="00904FCB">
        <w:rPr>
          <w:sz w:val="27"/>
          <w:rtl/>
          <w:lang w:bidi="ar-SY"/>
        </w:rPr>
        <w:t xml:space="preserve"> </w:t>
      </w:r>
      <w:r w:rsidRPr="00904FCB">
        <w:rPr>
          <w:rFonts w:hint="cs"/>
          <w:sz w:val="27"/>
          <w:rtl/>
          <w:lang w:bidi="ar-SY"/>
        </w:rPr>
        <w:t>لوجوده؟</w:t>
      </w:r>
      <w:r w:rsidRPr="00904FCB">
        <w:rPr>
          <w:sz w:val="27"/>
          <w:rtl/>
          <w:lang w:bidi="ar-SY"/>
        </w:rPr>
        <w:t xml:space="preserve"> </w:t>
      </w:r>
    </w:p>
    <w:p w:rsidR="00057E24" w:rsidRPr="00904FCB" w:rsidRDefault="00057E24" w:rsidP="00143A12">
      <w:pPr>
        <w:spacing w:line="410" w:lineRule="exact"/>
        <w:rPr>
          <w:sz w:val="27"/>
          <w:rtl/>
        </w:rPr>
      </w:pPr>
      <w:r w:rsidRPr="00904FCB">
        <w:rPr>
          <w:rFonts w:hint="cs"/>
          <w:sz w:val="27"/>
          <w:rtl/>
        </w:rPr>
        <w:t>في</w:t>
      </w:r>
      <w:r w:rsidRPr="00904FCB">
        <w:rPr>
          <w:sz w:val="27"/>
          <w:rtl/>
        </w:rPr>
        <w:t xml:space="preserve"> </w:t>
      </w:r>
      <w:r w:rsidRPr="00904FCB">
        <w:rPr>
          <w:rFonts w:hint="cs"/>
          <w:sz w:val="27"/>
          <w:rtl/>
        </w:rPr>
        <w:t>الواقع</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كمفهوم</w:t>
      </w:r>
      <w:r w:rsidR="00AF69C8" w:rsidRPr="00904FCB">
        <w:rPr>
          <w:rFonts w:hint="cs"/>
          <w:sz w:val="27"/>
          <w:rtl/>
        </w:rPr>
        <w:t>ٍ</w:t>
      </w:r>
      <w:r w:rsidRPr="00904FCB">
        <w:rPr>
          <w:sz w:val="27"/>
          <w:rtl/>
        </w:rPr>
        <w:t xml:space="preserve"> </w:t>
      </w:r>
      <w:r w:rsidRPr="00904FCB">
        <w:rPr>
          <w:rFonts w:hint="cs"/>
          <w:sz w:val="27"/>
          <w:rtl/>
        </w:rPr>
        <w:t>فكري</w:t>
      </w:r>
      <w:r w:rsidRPr="00904FCB">
        <w:rPr>
          <w:sz w:val="27"/>
          <w:rtl/>
        </w:rPr>
        <w:t xml:space="preserve"> </w:t>
      </w:r>
      <w:r w:rsidRPr="00904FCB">
        <w:rPr>
          <w:rFonts w:hint="cs"/>
          <w:sz w:val="27"/>
          <w:rtl/>
        </w:rPr>
        <w:t>سياسي</w:t>
      </w:r>
      <w:r w:rsidRPr="00904FCB">
        <w:rPr>
          <w:sz w:val="27"/>
          <w:rtl/>
        </w:rPr>
        <w:t xml:space="preserve"> ـ </w:t>
      </w:r>
      <w:r w:rsidRPr="00904FCB">
        <w:rPr>
          <w:rFonts w:hint="cs"/>
          <w:sz w:val="27"/>
          <w:rtl/>
        </w:rPr>
        <w:t>على</w:t>
      </w:r>
      <w:r w:rsidRPr="00904FCB">
        <w:rPr>
          <w:sz w:val="27"/>
          <w:rtl/>
        </w:rPr>
        <w:t xml:space="preserve"> </w:t>
      </w:r>
      <w:r w:rsidRPr="00904FCB">
        <w:rPr>
          <w:rFonts w:hint="cs"/>
          <w:sz w:val="27"/>
          <w:rtl/>
        </w:rPr>
        <w:t>صعيدنا</w:t>
      </w:r>
      <w:r w:rsidRPr="00904FCB">
        <w:rPr>
          <w:sz w:val="27"/>
          <w:rtl/>
        </w:rPr>
        <w:t xml:space="preserve"> </w:t>
      </w:r>
      <w:r w:rsidRPr="00904FCB">
        <w:rPr>
          <w:rFonts w:hint="cs"/>
          <w:sz w:val="27"/>
          <w:rtl/>
        </w:rPr>
        <w:t>الاجتماعي</w:t>
      </w:r>
      <w:r w:rsidRPr="00904FCB">
        <w:rPr>
          <w:sz w:val="27"/>
          <w:rtl/>
        </w:rPr>
        <w:t xml:space="preserve"> </w:t>
      </w:r>
      <w:r w:rsidRPr="00904FCB">
        <w:rPr>
          <w:rFonts w:hint="cs"/>
          <w:sz w:val="27"/>
          <w:rtl/>
        </w:rPr>
        <w:t>العربي</w:t>
      </w:r>
      <w:r w:rsidRPr="00904FCB">
        <w:rPr>
          <w:sz w:val="27"/>
          <w:rtl/>
        </w:rPr>
        <w:t xml:space="preserve"> ـ </w:t>
      </w:r>
      <w:r w:rsidRPr="00904FCB">
        <w:rPr>
          <w:rFonts w:hint="cs"/>
          <w:sz w:val="27"/>
          <w:rtl/>
        </w:rPr>
        <w:t>هو</w:t>
      </w:r>
      <w:r w:rsidRPr="00904FCB">
        <w:rPr>
          <w:sz w:val="27"/>
          <w:rtl/>
        </w:rPr>
        <w:t xml:space="preserve"> </w:t>
      </w:r>
      <w:r w:rsidRPr="00904FCB">
        <w:rPr>
          <w:rFonts w:hint="cs"/>
          <w:sz w:val="27"/>
          <w:rtl/>
        </w:rPr>
        <w:t>ظاهرة</w:t>
      </w:r>
      <w:r w:rsidRPr="00904FCB">
        <w:rPr>
          <w:sz w:val="27"/>
          <w:rtl/>
        </w:rPr>
        <w:t xml:space="preserve"> </w:t>
      </w:r>
      <w:r w:rsidRPr="00904FCB">
        <w:rPr>
          <w:rFonts w:hint="cs"/>
          <w:sz w:val="27"/>
          <w:rtl/>
        </w:rPr>
        <w:t>تاريخية</w:t>
      </w:r>
      <w:r w:rsidR="00AF69C8" w:rsidRPr="00904FCB">
        <w:rPr>
          <w:rFonts w:hint="cs"/>
          <w:sz w:val="27"/>
          <w:rtl/>
        </w:rPr>
        <w:t>،</w:t>
      </w:r>
      <w:r w:rsidRPr="00904FCB">
        <w:rPr>
          <w:sz w:val="27"/>
          <w:rtl/>
        </w:rPr>
        <w:t xml:space="preserve"> </w:t>
      </w:r>
      <w:r w:rsidRPr="00904FCB">
        <w:rPr>
          <w:rFonts w:hint="cs"/>
          <w:sz w:val="27"/>
          <w:rtl/>
        </w:rPr>
        <w:t>ذات</w:t>
      </w:r>
      <w:r w:rsidRPr="00904FCB">
        <w:rPr>
          <w:sz w:val="27"/>
          <w:rtl/>
        </w:rPr>
        <w:t xml:space="preserve"> </w:t>
      </w:r>
      <w:r w:rsidRPr="00904FCB">
        <w:rPr>
          <w:rFonts w:hint="cs"/>
          <w:sz w:val="27"/>
          <w:rtl/>
        </w:rPr>
        <w:t>امتدادات</w:t>
      </w:r>
      <w:r w:rsidRPr="00904FCB">
        <w:rPr>
          <w:sz w:val="27"/>
          <w:rtl/>
        </w:rPr>
        <w:t xml:space="preserve"> </w:t>
      </w:r>
      <w:r w:rsidRPr="00904FCB">
        <w:rPr>
          <w:rFonts w:hint="cs"/>
          <w:sz w:val="27"/>
          <w:rtl/>
        </w:rPr>
        <w:t>اجتماعية</w:t>
      </w:r>
      <w:r w:rsidRPr="00904FCB">
        <w:rPr>
          <w:sz w:val="27"/>
          <w:rtl/>
        </w:rPr>
        <w:t xml:space="preserve"> </w:t>
      </w:r>
      <w:r w:rsidRPr="00904FCB">
        <w:rPr>
          <w:rFonts w:hint="cs"/>
          <w:sz w:val="27"/>
          <w:rtl/>
        </w:rPr>
        <w:t>وسياسية</w:t>
      </w:r>
      <w:r w:rsidRPr="00904FCB">
        <w:rPr>
          <w:sz w:val="27"/>
          <w:rtl/>
        </w:rPr>
        <w:t xml:space="preserve"> </w:t>
      </w:r>
      <w:r w:rsidRPr="00904FCB">
        <w:rPr>
          <w:rFonts w:hint="cs"/>
          <w:sz w:val="27"/>
          <w:rtl/>
        </w:rPr>
        <w:t>عميقة</w:t>
      </w:r>
      <w:r w:rsidRPr="00904FCB">
        <w:rPr>
          <w:sz w:val="27"/>
          <w:rtl/>
        </w:rPr>
        <w:t xml:space="preserve"> </w:t>
      </w:r>
      <w:r w:rsidRPr="00904FCB">
        <w:rPr>
          <w:rFonts w:hint="cs"/>
          <w:sz w:val="27"/>
          <w:rtl/>
        </w:rPr>
        <w:t>الجذور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داخل</w:t>
      </w:r>
      <w:r w:rsidRPr="00904FCB">
        <w:rPr>
          <w:sz w:val="27"/>
          <w:rtl/>
        </w:rPr>
        <w:t xml:space="preserve"> </w:t>
      </w:r>
      <w:r w:rsidRPr="00904FCB">
        <w:rPr>
          <w:rFonts w:hint="cs"/>
          <w:sz w:val="27"/>
          <w:rtl/>
        </w:rPr>
        <w:t>تربة</w:t>
      </w:r>
      <w:r w:rsidR="00AF69C8" w:rsidRPr="00904FCB">
        <w:rPr>
          <w:rFonts w:hint="cs"/>
          <w:sz w:val="27"/>
          <w:rtl/>
        </w:rPr>
        <w:t xml:space="preserve"> </w:t>
      </w:r>
      <w:r w:rsidRPr="00904FCB">
        <w:rPr>
          <w:rFonts w:hint="cs"/>
          <w:sz w:val="27"/>
          <w:rtl/>
        </w:rPr>
        <w:t>مجتمعاتنا</w:t>
      </w:r>
      <w:r w:rsidRPr="00904FCB">
        <w:rPr>
          <w:sz w:val="27"/>
          <w:rtl/>
        </w:rPr>
        <w:t xml:space="preserve"> </w:t>
      </w:r>
      <w:r w:rsidRPr="00904FCB">
        <w:rPr>
          <w:rFonts w:hint="cs"/>
          <w:sz w:val="27"/>
          <w:rtl/>
        </w:rPr>
        <w:t>العربية</w:t>
      </w:r>
      <w:r w:rsidRPr="00904FCB">
        <w:rPr>
          <w:sz w:val="27"/>
          <w:rtl/>
        </w:rPr>
        <w:t xml:space="preserve"> </w:t>
      </w:r>
      <w:r w:rsidRPr="00904FCB">
        <w:rPr>
          <w:rFonts w:hint="cs"/>
          <w:sz w:val="27"/>
          <w:rtl/>
        </w:rPr>
        <w:t>والإسلامية، التي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تزال</w:t>
      </w:r>
      <w:r w:rsidRPr="00904FCB">
        <w:rPr>
          <w:sz w:val="27"/>
          <w:rtl/>
        </w:rPr>
        <w:t xml:space="preserve"> </w:t>
      </w:r>
      <w:r w:rsidRPr="00904FCB">
        <w:rPr>
          <w:rFonts w:hint="cs"/>
          <w:sz w:val="27"/>
          <w:rtl/>
        </w:rPr>
        <w:t>تعيش</w:t>
      </w:r>
      <w:r w:rsidRPr="00904FCB">
        <w:rPr>
          <w:sz w:val="27"/>
          <w:rtl/>
        </w:rPr>
        <w:t xml:space="preserve"> </w:t>
      </w:r>
      <w:r w:rsidRPr="00904FCB">
        <w:rPr>
          <w:rFonts w:hint="cs"/>
          <w:sz w:val="27"/>
          <w:rtl/>
        </w:rPr>
        <w:t>أزمات</w:t>
      </w:r>
      <w:r w:rsidRPr="00904FCB">
        <w:rPr>
          <w:sz w:val="27"/>
          <w:rtl/>
        </w:rPr>
        <w:t xml:space="preserve"> </w:t>
      </w:r>
      <w:r w:rsidRPr="00904FCB">
        <w:rPr>
          <w:rFonts w:hint="cs"/>
          <w:sz w:val="27"/>
          <w:rtl/>
        </w:rPr>
        <w:t>متواصلة</w:t>
      </w:r>
      <w:r w:rsidRPr="00904FCB">
        <w:rPr>
          <w:sz w:val="27"/>
          <w:rtl/>
        </w:rPr>
        <w:t xml:space="preserve"> </w:t>
      </w:r>
      <w:r w:rsidRPr="00904FCB">
        <w:rPr>
          <w:rFonts w:hint="cs"/>
          <w:sz w:val="27"/>
          <w:rtl/>
        </w:rPr>
        <w:t>ومستمرة، تؤد</w:t>
      </w:r>
      <w:r w:rsidR="00AF69C8" w:rsidRPr="00904FCB">
        <w:rPr>
          <w:rFonts w:hint="cs"/>
          <w:sz w:val="27"/>
          <w:rtl/>
        </w:rPr>
        <w:t>ّ</w:t>
      </w:r>
      <w:r w:rsidRPr="00904FCB">
        <w:rPr>
          <w:rFonts w:hint="cs"/>
          <w:sz w:val="27"/>
          <w:rtl/>
        </w:rPr>
        <w:t>ي</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وقت</w:t>
      </w:r>
      <w:r w:rsidRPr="00904FCB">
        <w:rPr>
          <w:sz w:val="27"/>
          <w:rtl/>
        </w:rPr>
        <w:t xml:space="preserve"> </w:t>
      </w:r>
      <w:r w:rsidRPr="00904FCB">
        <w:rPr>
          <w:rFonts w:hint="cs"/>
          <w:sz w:val="27"/>
          <w:rtl/>
        </w:rPr>
        <w:t>وآخر</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توليد</w:t>
      </w:r>
      <w:r w:rsidRPr="00904FCB">
        <w:rPr>
          <w:sz w:val="27"/>
          <w:rtl/>
        </w:rPr>
        <w:t xml:space="preserve"> </w:t>
      </w:r>
      <w:r w:rsidRPr="00904FCB">
        <w:rPr>
          <w:rFonts w:hint="cs"/>
          <w:sz w:val="27"/>
          <w:rtl/>
        </w:rPr>
        <w:t>مسببات</w:t>
      </w:r>
      <w:r w:rsidRPr="00904FCB">
        <w:rPr>
          <w:sz w:val="27"/>
          <w:rtl/>
        </w:rPr>
        <w:t xml:space="preserve"> </w:t>
      </w:r>
      <w:r w:rsidRPr="00904FCB">
        <w:rPr>
          <w:rFonts w:hint="cs"/>
          <w:sz w:val="27"/>
          <w:rtl/>
        </w:rPr>
        <w:t>ودوافع</w:t>
      </w:r>
      <w:r w:rsidRPr="00904FCB">
        <w:rPr>
          <w:sz w:val="27"/>
          <w:rtl/>
        </w:rPr>
        <w:t xml:space="preserve"> </w:t>
      </w:r>
      <w:r w:rsidRPr="00904FCB">
        <w:rPr>
          <w:rFonts w:hint="cs"/>
          <w:sz w:val="27"/>
          <w:rtl/>
        </w:rPr>
        <w:t>واسعة</w:t>
      </w:r>
      <w:r w:rsidRPr="00904FCB">
        <w:rPr>
          <w:sz w:val="27"/>
          <w:rtl/>
        </w:rPr>
        <w:t xml:space="preserve"> </w:t>
      </w:r>
      <w:r w:rsidRPr="00904FCB">
        <w:rPr>
          <w:rFonts w:hint="cs"/>
          <w:sz w:val="27"/>
          <w:rtl/>
        </w:rPr>
        <w:t>لنشوء</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 xml:space="preserve">والقوة، </w:t>
      </w:r>
      <w:r w:rsidR="00AF69C8" w:rsidRPr="00904FCB">
        <w:rPr>
          <w:rFonts w:hint="cs"/>
          <w:sz w:val="27"/>
          <w:rtl/>
        </w:rPr>
        <w:t>و</w:t>
      </w:r>
      <w:r w:rsidRPr="00904FCB">
        <w:rPr>
          <w:rFonts w:hint="cs"/>
          <w:sz w:val="27"/>
          <w:rtl/>
        </w:rPr>
        <w:t>خاص</w:t>
      </w:r>
      <w:r w:rsidR="00AF69C8" w:rsidRPr="00904FCB">
        <w:rPr>
          <w:rFonts w:hint="cs"/>
          <w:sz w:val="27"/>
          <w:rtl/>
        </w:rPr>
        <w:t>ّ</w:t>
      </w:r>
      <w:r w:rsidRPr="00904FCB">
        <w:rPr>
          <w:rFonts w:hint="cs"/>
          <w:sz w:val="27"/>
          <w:rtl/>
        </w:rPr>
        <w:t>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صعيد</w:t>
      </w:r>
      <w:r w:rsidRPr="00904FCB">
        <w:rPr>
          <w:sz w:val="27"/>
          <w:rtl/>
        </w:rPr>
        <w:t xml:space="preserve"> </w:t>
      </w:r>
      <w:r w:rsidRPr="00904FCB">
        <w:rPr>
          <w:rFonts w:hint="cs"/>
          <w:sz w:val="27"/>
          <w:rtl/>
        </w:rPr>
        <w:t>انهيار</w:t>
      </w:r>
      <w:r w:rsidRPr="00904FCB">
        <w:rPr>
          <w:sz w:val="27"/>
          <w:rtl/>
        </w:rPr>
        <w:t xml:space="preserve"> </w:t>
      </w:r>
      <w:r w:rsidRPr="00904FCB">
        <w:rPr>
          <w:rFonts w:hint="cs"/>
          <w:sz w:val="27"/>
          <w:rtl/>
        </w:rPr>
        <w:t>شرعية</w:t>
      </w:r>
      <w:r w:rsidRPr="00904FCB">
        <w:rPr>
          <w:sz w:val="27"/>
          <w:rtl/>
        </w:rPr>
        <w:t xml:space="preserve"> </w:t>
      </w:r>
      <w:r w:rsidRPr="00904FCB">
        <w:rPr>
          <w:rFonts w:hint="cs"/>
          <w:sz w:val="27"/>
          <w:rtl/>
        </w:rPr>
        <w:t>الاجتماع</w:t>
      </w:r>
      <w:r w:rsidRPr="00904FCB">
        <w:rPr>
          <w:sz w:val="27"/>
          <w:rtl/>
        </w:rPr>
        <w:t xml:space="preserve"> </w:t>
      </w:r>
      <w:r w:rsidRPr="00904FCB">
        <w:rPr>
          <w:rFonts w:hint="cs"/>
          <w:sz w:val="27"/>
          <w:rtl/>
        </w:rPr>
        <w:t>الديني</w:t>
      </w:r>
      <w:r w:rsidRPr="00904FCB">
        <w:rPr>
          <w:sz w:val="27"/>
          <w:rtl/>
        </w:rPr>
        <w:t xml:space="preserve"> </w:t>
      </w:r>
      <w:r w:rsidRPr="00904FCB">
        <w:rPr>
          <w:rFonts w:hint="cs"/>
          <w:sz w:val="27"/>
          <w:rtl/>
        </w:rPr>
        <w:t>والسياسي</w:t>
      </w:r>
      <w:r w:rsidRPr="00904FCB">
        <w:rPr>
          <w:sz w:val="27"/>
          <w:rtl/>
        </w:rPr>
        <w:t xml:space="preserve"> </w:t>
      </w:r>
      <w:r w:rsidRPr="00904FCB">
        <w:rPr>
          <w:rFonts w:hint="cs"/>
          <w:sz w:val="27"/>
          <w:rtl/>
        </w:rPr>
        <w:t>العربي</w:t>
      </w:r>
      <w:r w:rsidRPr="00904FCB">
        <w:rPr>
          <w:sz w:val="27"/>
          <w:rtl/>
        </w:rPr>
        <w:t xml:space="preserve"> </w:t>
      </w:r>
      <w:r w:rsidRPr="00904FCB">
        <w:rPr>
          <w:rFonts w:hint="cs"/>
          <w:sz w:val="27"/>
          <w:rtl/>
        </w:rPr>
        <w:t>والإسلامي، وهيمنة</w:t>
      </w:r>
      <w:r w:rsidRPr="00904FCB">
        <w:rPr>
          <w:sz w:val="27"/>
          <w:rtl/>
        </w:rPr>
        <w:t xml:space="preserve"> </w:t>
      </w:r>
      <w:r w:rsidRPr="00904FCB">
        <w:rPr>
          <w:rFonts w:hint="cs"/>
          <w:sz w:val="27"/>
          <w:rtl/>
        </w:rPr>
        <w:t>ثقافة</w:t>
      </w:r>
      <w:r w:rsidRPr="00904FCB">
        <w:rPr>
          <w:sz w:val="27"/>
          <w:rtl/>
        </w:rPr>
        <w:t xml:space="preserve"> </w:t>
      </w:r>
      <w:r w:rsidRPr="00904FCB">
        <w:rPr>
          <w:rFonts w:hint="cs"/>
          <w:sz w:val="27"/>
          <w:rtl/>
        </w:rPr>
        <w:t>الأصولية</w:t>
      </w:r>
      <w:r w:rsidRPr="00904FCB">
        <w:rPr>
          <w:sz w:val="27"/>
          <w:rtl/>
        </w:rPr>
        <w:t xml:space="preserve"> </w:t>
      </w:r>
      <w:r w:rsidRPr="00904FCB">
        <w:rPr>
          <w:rFonts w:hint="cs"/>
          <w:sz w:val="27"/>
          <w:rtl/>
        </w:rPr>
        <w:t>والسلفية</w:t>
      </w:r>
      <w:r w:rsidRPr="00904FCB">
        <w:rPr>
          <w:sz w:val="27"/>
          <w:rtl/>
        </w:rPr>
        <w:t xml:space="preserve"> </w:t>
      </w:r>
      <w:r w:rsidRPr="00904FCB">
        <w:rPr>
          <w:rFonts w:hint="cs"/>
          <w:sz w:val="27"/>
          <w:rtl/>
        </w:rPr>
        <w:t>والتكفيرية</w:t>
      </w:r>
      <w:r w:rsidRPr="00904FCB">
        <w:rPr>
          <w:sz w:val="27"/>
          <w:rtl/>
        </w:rPr>
        <w:t xml:space="preserve"> </w:t>
      </w:r>
      <w:r w:rsidRPr="00904FCB">
        <w:rPr>
          <w:rFonts w:hint="cs"/>
          <w:sz w:val="27"/>
          <w:rtl/>
        </w:rPr>
        <w:t>والإلغائية</w:t>
      </w:r>
      <w:r w:rsidR="00C135DC" w:rsidRPr="00904FCB">
        <w:rPr>
          <w:rFonts w:hint="cs"/>
          <w:sz w:val="27"/>
          <w:rtl/>
        </w:rPr>
        <w:t>،</w:t>
      </w:r>
      <w:r w:rsidRPr="00904FCB">
        <w:rPr>
          <w:sz w:val="27"/>
          <w:rtl/>
        </w:rPr>
        <w:t xml:space="preserve"> </w:t>
      </w:r>
      <w:r w:rsidRPr="00904FCB">
        <w:rPr>
          <w:rFonts w:hint="cs"/>
          <w:sz w:val="27"/>
          <w:rtl/>
        </w:rPr>
        <w:t>وما</w:t>
      </w:r>
      <w:r w:rsidRPr="00904FCB">
        <w:rPr>
          <w:sz w:val="27"/>
          <w:rtl/>
        </w:rPr>
        <w:t xml:space="preserve"> </w:t>
      </w:r>
      <w:r w:rsidRPr="00904FCB">
        <w:rPr>
          <w:rFonts w:hint="cs"/>
          <w:sz w:val="27"/>
          <w:rtl/>
        </w:rPr>
        <w:t>تفرزه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lastRenderedPageBreak/>
        <w:t>عنف</w:t>
      </w:r>
      <w:r w:rsidRPr="00904FCB">
        <w:rPr>
          <w:sz w:val="27"/>
          <w:rtl/>
        </w:rPr>
        <w:t xml:space="preserve"> </w:t>
      </w:r>
      <w:r w:rsidRPr="00904FCB">
        <w:rPr>
          <w:rFonts w:hint="cs"/>
          <w:sz w:val="27"/>
          <w:rtl/>
        </w:rPr>
        <w:t>ماد</w:t>
      </w:r>
      <w:r w:rsidR="00C135DC" w:rsidRPr="00904FCB">
        <w:rPr>
          <w:rFonts w:hint="cs"/>
          <w:sz w:val="27"/>
          <w:rtl/>
        </w:rPr>
        <w:t>ّ</w:t>
      </w:r>
      <w:r w:rsidRPr="00904FCB">
        <w:rPr>
          <w:rFonts w:hint="cs"/>
          <w:sz w:val="27"/>
          <w:rtl/>
        </w:rPr>
        <w:t>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تزال</w:t>
      </w:r>
      <w:r w:rsidRPr="00904FCB">
        <w:rPr>
          <w:sz w:val="27"/>
          <w:rtl/>
        </w:rPr>
        <w:t xml:space="preserve"> </w:t>
      </w:r>
      <w:r w:rsidRPr="00904FCB">
        <w:rPr>
          <w:rFonts w:hint="cs"/>
          <w:sz w:val="27"/>
          <w:rtl/>
        </w:rPr>
        <w:t>تزدهر</w:t>
      </w:r>
      <w:r w:rsidRPr="00904FCB">
        <w:rPr>
          <w:sz w:val="27"/>
          <w:rtl/>
        </w:rPr>
        <w:t xml:space="preserve"> </w:t>
      </w:r>
      <w:r w:rsidRPr="00904FCB">
        <w:rPr>
          <w:rFonts w:hint="cs"/>
          <w:sz w:val="27"/>
          <w:rtl/>
        </w:rPr>
        <w:t>مناخاته</w:t>
      </w:r>
      <w:r w:rsidRPr="00904FCB">
        <w:rPr>
          <w:sz w:val="27"/>
          <w:rtl/>
        </w:rPr>
        <w:t xml:space="preserve"> </w:t>
      </w:r>
      <w:r w:rsidRPr="00904FCB">
        <w:rPr>
          <w:rFonts w:hint="cs"/>
          <w:sz w:val="27"/>
          <w:rtl/>
        </w:rPr>
        <w:t>ومنابعه</w:t>
      </w:r>
      <w:r w:rsidRPr="00904FCB">
        <w:rPr>
          <w:sz w:val="27"/>
          <w:rtl/>
        </w:rPr>
        <w:t xml:space="preserve"> </w:t>
      </w:r>
      <w:r w:rsidRPr="00904FCB">
        <w:rPr>
          <w:rFonts w:hint="cs"/>
          <w:sz w:val="27"/>
          <w:rtl/>
        </w:rPr>
        <w:t>بقو</w:t>
      </w:r>
      <w:r w:rsidR="00C135DC" w:rsidRPr="00904FCB">
        <w:rPr>
          <w:rFonts w:hint="cs"/>
          <w:sz w:val="27"/>
          <w:rtl/>
        </w:rPr>
        <w:t>ّ</w:t>
      </w:r>
      <w:r w:rsidRPr="00904FCB">
        <w:rPr>
          <w:rFonts w:hint="cs"/>
          <w:sz w:val="27"/>
          <w:rtl/>
        </w:rPr>
        <w:t>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داخل</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التربة</w:t>
      </w:r>
      <w:r w:rsidRPr="00904FCB">
        <w:rPr>
          <w:sz w:val="27"/>
          <w:rtl/>
        </w:rPr>
        <w:t xml:space="preserve"> </w:t>
      </w:r>
      <w:r w:rsidRPr="00904FCB">
        <w:rPr>
          <w:rFonts w:hint="cs"/>
          <w:sz w:val="27"/>
          <w:rtl/>
        </w:rPr>
        <w:t>الخصبة</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lang w:bidi="ar-SY"/>
        </w:rPr>
        <w:t>أما</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حيث</w:t>
      </w:r>
      <w:r w:rsidRPr="00904FCB">
        <w:rPr>
          <w:sz w:val="27"/>
          <w:rtl/>
          <w:lang w:bidi="ar-SY"/>
        </w:rPr>
        <w:t xml:space="preserve"> </w:t>
      </w:r>
      <w:r w:rsidRPr="00904FCB">
        <w:rPr>
          <w:rFonts w:hint="cs"/>
          <w:sz w:val="27"/>
          <w:rtl/>
          <w:lang w:bidi="ar-SY"/>
        </w:rPr>
        <w:t>تعريف</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فيمكن</w:t>
      </w:r>
      <w:r w:rsidRPr="00904FCB">
        <w:rPr>
          <w:sz w:val="27"/>
          <w:rtl/>
          <w:lang w:bidi="ar-SY"/>
        </w:rPr>
        <w:t xml:space="preserve"> </w:t>
      </w:r>
      <w:r w:rsidRPr="00904FCB">
        <w:rPr>
          <w:rFonts w:hint="cs"/>
          <w:sz w:val="27"/>
          <w:rtl/>
          <w:lang w:bidi="ar-SY"/>
        </w:rPr>
        <w:t>القول</w:t>
      </w:r>
      <w:r w:rsidRPr="00904FCB">
        <w:rPr>
          <w:sz w:val="27"/>
          <w:rtl/>
          <w:lang w:bidi="ar-SY"/>
        </w:rPr>
        <w:t xml:space="preserve"> </w:t>
      </w:r>
      <w:r w:rsidRPr="00904FCB">
        <w:rPr>
          <w:rFonts w:hint="cs"/>
          <w:sz w:val="27"/>
          <w:rtl/>
        </w:rPr>
        <w:t>بأنه</w:t>
      </w:r>
      <w:r w:rsidRPr="00904FCB">
        <w:rPr>
          <w:sz w:val="27"/>
          <w:rtl/>
        </w:rPr>
        <w:t xml:space="preserve"> </w:t>
      </w:r>
      <w:r w:rsidRPr="00904FCB">
        <w:rPr>
          <w:rFonts w:hint="eastAsia"/>
          <w:sz w:val="27"/>
          <w:rtl/>
        </w:rPr>
        <w:t>«</w:t>
      </w:r>
      <w:r w:rsidRPr="00904FCB">
        <w:rPr>
          <w:rFonts w:hint="cs"/>
          <w:sz w:val="27"/>
          <w:rtl/>
        </w:rPr>
        <w:t>الاستخدام</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المشروع</w:t>
      </w:r>
      <w:r w:rsidRPr="00904FCB">
        <w:rPr>
          <w:sz w:val="27"/>
          <w:rtl/>
        </w:rPr>
        <w:t xml:space="preserve"> </w:t>
      </w:r>
      <w:r w:rsidRPr="00904FCB">
        <w:rPr>
          <w:rFonts w:hint="cs"/>
          <w:sz w:val="27"/>
          <w:rtl/>
        </w:rPr>
        <w:t>للقو</w:t>
      </w:r>
      <w:r w:rsidR="00C135DC"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المادية</w:t>
      </w:r>
      <w:r w:rsidRPr="00904FCB">
        <w:rPr>
          <w:sz w:val="27"/>
          <w:rtl/>
        </w:rPr>
        <w:t xml:space="preserve"> </w:t>
      </w:r>
      <w:r w:rsidRPr="00904FCB">
        <w:rPr>
          <w:rFonts w:hint="cs"/>
          <w:sz w:val="27"/>
          <w:rtl/>
        </w:rPr>
        <w:t>ضد</w:t>
      </w:r>
      <w:r w:rsidRPr="00904FCB">
        <w:rPr>
          <w:sz w:val="27"/>
          <w:rtl/>
        </w:rPr>
        <w:t xml:space="preserve"> </w:t>
      </w:r>
      <w:r w:rsidRPr="00904FCB">
        <w:rPr>
          <w:rFonts w:hint="cs"/>
          <w:sz w:val="27"/>
          <w:rtl/>
        </w:rPr>
        <w:t>الآخر، من</w:t>
      </w:r>
      <w:r w:rsidRPr="00904FCB">
        <w:rPr>
          <w:sz w:val="27"/>
          <w:rtl/>
        </w:rPr>
        <w:t xml:space="preserve"> </w:t>
      </w:r>
      <w:r w:rsidRPr="00904FCB">
        <w:rPr>
          <w:rFonts w:hint="cs"/>
          <w:sz w:val="27"/>
          <w:rtl/>
        </w:rPr>
        <w:t>خلال</w:t>
      </w:r>
      <w:r w:rsidRPr="00904FCB">
        <w:rPr>
          <w:sz w:val="27"/>
          <w:rtl/>
        </w:rPr>
        <w:t xml:space="preserve"> </w:t>
      </w:r>
      <w:r w:rsidRPr="00904FCB">
        <w:rPr>
          <w:rFonts w:hint="cs"/>
          <w:sz w:val="27"/>
          <w:rtl/>
        </w:rPr>
        <w:t>استعمال</w:t>
      </w:r>
      <w:r w:rsidRPr="00904FCB">
        <w:rPr>
          <w:sz w:val="27"/>
          <w:rtl/>
        </w:rPr>
        <w:t xml:space="preserve"> </w:t>
      </w:r>
      <w:r w:rsidRPr="00904FCB">
        <w:rPr>
          <w:rFonts w:hint="cs"/>
          <w:sz w:val="27"/>
          <w:rtl/>
        </w:rPr>
        <w:t>أساليب</w:t>
      </w:r>
      <w:r w:rsidRPr="00904FCB">
        <w:rPr>
          <w:sz w:val="27"/>
          <w:rtl/>
        </w:rPr>
        <w:t xml:space="preserve"> </w:t>
      </w:r>
      <w:r w:rsidRPr="00904FCB">
        <w:rPr>
          <w:rFonts w:hint="cs"/>
          <w:sz w:val="27"/>
          <w:rtl/>
        </w:rPr>
        <w:t>متعد</w:t>
      </w:r>
      <w:r w:rsidR="00C135DC" w:rsidRPr="00904FCB">
        <w:rPr>
          <w:rFonts w:hint="cs"/>
          <w:sz w:val="27"/>
          <w:rtl/>
        </w:rPr>
        <w:t>ّ</w:t>
      </w:r>
      <w:r w:rsidRPr="00904FCB">
        <w:rPr>
          <w:rFonts w:hint="cs"/>
          <w:sz w:val="27"/>
          <w:rtl/>
        </w:rPr>
        <w:t>دة</w:t>
      </w:r>
      <w:r w:rsidR="00C135DC" w:rsidRPr="00904FCB">
        <w:rPr>
          <w:rFonts w:hint="cs"/>
          <w:sz w:val="27"/>
          <w:rtl/>
        </w:rPr>
        <w:t>؛</w:t>
      </w:r>
      <w:r w:rsidRPr="00904FCB">
        <w:rPr>
          <w:sz w:val="27"/>
          <w:rtl/>
        </w:rPr>
        <w:t xml:space="preserve"> </w:t>
      </w:r>
      <w:r w:rsidRPr="00904FCB">
        <w:rPr>
          <w:rFonts w:hint="cs"/>
          <w:sz w:val="27"/>
          <w:rtl/>
        </w:rPr>
        <w:t>لإلحاق</w:t>
      </w:r>
      <w:r w:rsidRPr="00904FCB">
        <w:rPr>
          <w:sz w:val="27"/>
          <w:rtl/>
        </w:rPr>
        <w:t xml:space="preserve"> </w:t>
      </w:r>
      <w:r w:rsidRPr="00904FCB">
        <w:rPr>
          <w:rFonts w:hint="cs"/>
          <w:sz w:val="27"/>
          <w:rtl/>
        </w:rPr>
        <w:t>الأذى</w:t>
      </w:r>
      <w:r w:rsidRPr="00904FCB">
        <w:rPr>
          <w:sz w:val="27"/>
          <w:rtl/>
        </w:rPr>
        <w:t xml:space="preserve"> </w:t>
      </w:r>
      <w:r w:rsidRPr="00904FCB">
        <w:rPr>
          <w:rFonts w:hint="cs"/>
          <w:sz w:val="27"/>
          <w:rtl/>
        </w:rPr>
        <w:t>بهذا</w:t>
      </w:r>
      <w:r w:rsidRPr="00904FCB">
        <w:rPr>
          <w:sz w:val="27"/>
          <w:rtl/>
        </w:rPr>
        <w:t xml:space="preserve"> </w:t>
      </w:r>
      <w:r w:rsidRPr="00904FCB">
        <w:rPr>
          <w:rFonts w:hint="cs"/>
          <w:sz w:val="27"/>
          <w:rtl/>
        </w:rPr>
        <w:t>الآخر</w:t>
      </w:r>
      <w:r w:rsidR="00C135DC" w:rsidRPr="00904FCB">
        <w:rPr>
          <w:rFonts w:hint="cs"/>
          <w:sz w:val="27"/>
          <w:rtl/>
        </w:rPr>
        <w:t>،</w:t>
      </w:r>
      <w:r w:rsidRPr="00904FCB">
        <w:rPr>
          <w:sz w:val="27"/>
          <w:rtl/>
        </w:rPr>
        <w:t xml:space="preserve"> </w:t>
      </w:r>
      <w:r w:rsidRPr="00904FCB">
        <w:rPr>
          <w:rFonts w:hint="cs"/>
          <w:sz w:val="27"/>
          <w:rtl/>
        </w:rPr>
        <w:t>سواء</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فرد</w:t>
      </w:r>
      <w:r w:rsidR="00C135DC" w:rsidRPr="00904FCB">
        <w:rPr>
          <w:rFonts w:hint="cs"/>
          <w:sz w:val="27"/>
          <w:rtl/>
        </w:rPr>
        <w:t>اً</w:t>
      </w:r>
      <w:r w:rsidRPr="00904FCB">
        <w:rPr>
          <w:sz w:val="27"/>
          <w:rtl/>
        </w:rPr>
        <w:t xml:space="preserve"> </w:t>
      </w:r>
      <w:r w:rsidRPr="00904FCB">
        <w:rPr>
          <w:rFonts w:hint="cs"/>
          <w:sz w:val="27"/>
          <w:rtl/>
        </w:rPr>
        <w:t>أم</w:t>
      </w:r>
      <w:r w:rsidRPr="00904FCB">
        <w:rPr>
          <w:sz w:val="27"/>
          <w:rtl/>
        </w:rPr>
        <w:t xml:space="preserve"> </w:t>
      </w:r>
      <w:r w:rsidRPr="00904FCB">
        <w:rPr>
          <w:rFonts w:hint="cs"/>
          <w:sz w:val="27"/>
          <w:rtl/>
        </w:rPr>
        <w:t>مجموعة</w:t>
      </w:r>
      <w:r w:rsidRPr="00904FCB">
        <w:rPr>
          <w:sz w:val="27"/>
          <w:rtl/>
        </w:rPr>
        <w:t xml:space="preserve"> </w:t>
      </w:r>
      <w:r w:rsidRPr="00904FCB">
        <w:rPr>
          <w:rFonts w:hint="cs"/>
          <w:sz w:val="27"/>
          <w:rtl/>
        </w:rPr>
        <w:t>أفراد</w:t>
      </w:r>
      <w:r w:rsidRPr="00904FCB">
        <w:rPr>
          <w:sz w:val="27"/>
          <w:rtl/>
        </w:rPr>
        <w:t xml:space="preserve"> </w:t>
      </w:r>
      <w:r w:rsidRPr="00904FCB">
        <w:rPr>
          <w:rFonts w:hint="cs"/>
          <w:sz w:val="27"/>
          <w:rtl/>
        </w:rPr>
        <w:t>أم</w:t>
      </w:r>
      <w:r w:rsidRPr="00904FCB">
        <w:rPr>
          <w:sz w:val="27"/>
          <w:rtl/>
        </w:rPr>
        <w:t xml:space="preserve"> </w:t>
      </w:r>
      <w:r w:rsidRPr="00904FCB">
        <w:rPr>
          <w:rFonts w:hint="cs"/>
          <w:sz w:val="27"/>
          <w:rtl/>
        </w:rPr>
        <w:t>جماعات</w:t>
      </w:r>
      <w:r w:rsidR="00C135DC" w:rsidRPr="00904FCB">
        <w:rPr>
          <w:rFonts w:hint="cs"/>
          <w:sz w:val="27"/>
          <w:rtl/>
        </w:rPr>
        <w:t>؛</w:t>
      </w:r>
      <w:r w:rsidRPr="00904FCB">
        <w:rPr>
          <w:rFonts w:hint="cs"/>
          <w:sz w:val="27"/>
          <w:rtl/>
        </w:rPr>
        <w:t xml:space="preserve"> بهدف</w:t>
      </w:r>
      <w:r w:rsidRPr="00904FCB">
        <w:rPr>
          <w:sz w:val="27"/>
          <w:rtl/>
        </w:rPr>
        <w:t xml:space="preserve"> </w:t>
      </w:r>
      <w:r w:rsidRPr="00904FCB">
        <w:rPr>
          <w:rFonts w:hint="cs"/>
          <w:sz w:val="27"/>
          <w:rtl/>
        </w:rPr>
        <w:t>تدمير</w:t>
      </w:r>
      <w:r w:rsidRPr="00904FCB">
        <w:rPr>
          <w:sz w:val="27"/>
          <w:rtl/>
        </w:rPr>
        <w:t xml:space="preserve"> </w:t>
      </w:r>
      <w:r w:rsidRPr="00904FCB">
        <w:rPr>
          <w:rFonts w:hint="cs"/>
          <w:sz w:val="27"/>
          <w:rtl/>
        </w:rPr>
        <w:t>الممتلكات</w:t>
      </w:r>
      <w:r w:rsidRPr="00904FCB">
        <w:rPr>
          <w:sz w:val="27"/>
          <w:rtl/>
        </w:rPr>
        <w:t xml:space="preserve"> </w:t>
      </w:r>
      <w:r w:rsidRPr="00904FCB">
        <w:rPr>
          <w:rFonts w:hint="cs"/>
          <w:sz w:val="27"/>
          <w:rtl/>
        </w:rPr>
        <w:t>الخاص</w:t>
      </w:r>
      <w:r w:rsidR="00C135DC" w:rsidRPr="00904FCB">
        <w:rPr>
          <w:rFonts w:hint="cs"/>
          <w:sz w:val="27"/>
          <w:rtl/>
        </w:rPr>
        <w:t>ّ</w:t>
      </w:r>
      <w:r w:rsidRPr="00904FCB">
        <w:rPr>
          <w:rFonts w:hint="cs"/>
          <w:sz w:val="27"/>
          <w:rtl/>
        </w:rPr>
        <w:t>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العامة</w:t>
      </w:r>
      <w:r w:rsidRPr="00904FCB">
        <w:rPr>
          <w:rFonts w:hint="eastAsia"/>
          <w:sz w:val="27"/>
          <w:rtl/>
        </w:rPr>
        <w:t>»</w:t>
      </w:r>
      <w:r w:rsidRPr="00904FCB">
        <w:rPr>
          <w:sz w:val="27"/>
          <w:rtl/>
        </w:rPr>
        <w:t xml:space="preserve">. </w:t>
      </w:r>
      <w:r w:rsidRPr="00904FCB">
        <w:rPr>
          <w:rFonts w:hint="cs"/>
          <w:sz w:val="27"/>
          <w:rtl/>
        </w:rPr>
        <w:t>ويتضم</w:t>
      </w:r>
      <w:r w:rsidR="00C135DC" w:rsidRPr="00904FCB">
        <w:rPr>
          <w:rFonts w:hint="cs"/>
          <w:sz w:val="27"/>
          <w:rtl/>
        </w:rPr>
        <w:t>َّ</w:t>
      </w:r>
      <w:r w:rsidRPr="00904FCB">
        <w:rPr>
          <w:rFonts w:hint="cs"/>
          <w:sz w:val="27"/>
          <w:rtl/>
        </w:rPr>
        <w:t>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استعمال</w:t>
      </w:r>
      <w:r w:rsidRPr="00904FCB">
        <w:rPr>
          <w:sz w:val="27"/>
          <w:rtl/>
        </w:rPr>
        <w:t xml:space="preserve"> </w:t>
      </w:r>
      <w:r w:rsidRPr="00904FCB">
        <w:rPr>
          <w:rFonts w:hint="cs"/>
          <w:sz w:val="27"/>
          <w:rtl/>
        </w:rPr>
        <w:t>مختلف</w:t>
      </w:r>
      <w:r w:rsidRPr="00904FCB">
        <w:rPr>
          <w:sz w:val="27"/>
          <w:rtl/>
        </w:rPr>
        <w:t xml:space="preserve"> </w:t>
      </w:r>
      <w:r w:rsidRPr="00904FCB">
        <w:rPr>
          <w:rFonts w:hint="cs"/>
          <w:sz w:val="27"/>
          <w:rtl/>
        </w:rPr>
        <w:t>أساليب</w:t>
      </w:r>
      <w:r w:rsidRPr="00904FCB">
        <w:rPr>
          <w:sz w:val="27"/>
          <w:rtl/>
        </w:rPr>
        <w:t xml:space="preserve"> </w:t>
      </w:r>
      <w:r w:rsidRPr="00904FCB">
        <w:rPr>
          <w:rFonts w:hint="cs"/>
          <w:sz w:val="27"/>
          <w:rtl/>
        </w:rPr>
        <w:t>العقاب</w:t>
      </w:r>
      <w:r w:rsidRPr="00904FCB">
        <w:rPr>
          <w:sz w:val="27"/>
          <w:rtl/>
        </w:rPr>
        <w:t xml:space="preserve"> </w:t>
      </w:r>
      <w:r w:rsidRPr="00904FCB">
        <w:rPr>
          <w:rFonts w:hint="cs"/>
          <w:sz w:val="27"/>
          <w:rtl/>
        </w:rPr>
        <w:t>والاغتصاب</w:t>
      </w:r>
      <w:r w:rsidRPr="00904FCB">
        <w:rPr>
          <w:sz w:val="27"/>
          <w:rtl/>
        </w:rPr>
        <w:t xml:space="preserve"> </w:t>
      </w:r>
      <w:r w:rsidRPr="00904FCB">
        <w:rPr>
          <w:rFonts w:hint="cs"/>
          <w:sz w:val="27"/>
          <w:rtl/>
        </w:rPr>
        <w:t>والاعتداءات</w:t>
      </w:r>
      <w:r w:rsidRPr="00904FCB">
        <w:rPr>
          <w:sz w:val="27"/>
          <w:rtl/>
        </w:rPr>
        <w:t xml:space="preserve"> </w:t>
      </w:r>
      <w:r w:rsidRPr="00904FCB">
        <w:rPr>
          <w:rFonts w:hint="cs"/>
          <w:sz w:val="27"/>
          <w:rtl/>
        </w:rPr>
        <w:t>المختلفة</w:t>
      </w:r>
      <w:r w:rsidRPr="00904FCB">
        <w:rPr>
          <w:sz w:val="27"/>
          <w:rtl/>
        </w:rPr>
        <w:t xml:space="preserve"> </w:t>
      </w:r>
      <w:r w:rsidRPr="00904FCB">
        <w:rPr>
          <w:rFonts w:hint="cs"/>
          <w:sz w:val="27"/>
          <w:rtl/>
        </w:rPr>
        <w:t>وشن</w:t>
      </w:r>
      <w:r w:rsidR="00C135DC" w:rsidRPr="00904FCB">
        <w:rPr>
          <w:rFonts w:hint="cs"/>
          <w:sz w:val="27"/>
          <w:rtl/>
        </w:rPr>
        <w:t>ّ</w:t>
      </w:r>
      <w:r w:rsidRPr="00904FCB">
        <w:rPr>
          <w:sz w:val="27"/>
          <w:rtl/>
        </w:rPr>
        <w:t xml:space="preserve"> </w:t>
      </w:r>
      <w:r w:rsidRPr="00904FCB">
        <w:rPr>
          <w:rFonts w:hint="cs"/>
          <w:sz w:val="27"/>
          <w:rtl/>
        </w:rPr>
        <w:t>الحروب</w:t>
      </w:r>
      <w:r w:rsidRPr="00904FCB">
        <w:rPr>
          <w:sz w:val="27"/>
          <w:rtl/>
        </w:rPr>
        <w:t xml:space="preserve"> </w:t>
      </w:r>
      <w:r w:rsidRPr="00904FCB">
        <w:rPr>
          <w:rFonts w:hint="cs"/>
          <w:sz w:val="27"/>
          <w:rtl/>
        </w:rPr>
        <w:t>والتدخ</w:t>
      </w:r>
      <w:r w:rsidR="00C135DC" w:rsidRPr="00904FCB">
        <w:rPr>
          <w:rFonts w:hint="cs"/>
          <w:sz w:val="27"/>
          <w:rtl/>
        </w:rPr>
        <w:t>ّ</w:t>
      </w:r>
      <w:r w:rsidRPr="00904FCB">
        <w:rPr>
          <w:rFonts w:hint="cs"/>
          <w:sz w:val="27"/>
          <w:rtl/>
        </w:rPr>
        <w:t>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حر</w:t>
      </w:r>
      <w:r w:rsidR="00C135DC" w:rsidRPr="00904FCB">
        <w:rPr>
          <w:rFonts w:hint="cs"/>
          <w:sz w:val="27"/>
          <w:rtl/>
        </w:rPr>
        <w:t>ّ</w:t>
      </w:r>
      <w:r w:rsidRPr="00904FCB">
        <w:rPr>
          <w:rFonts w:hint="cs"/>
          <w:sz w:val="27"/>
          <w:rtl/>
        </w:rPr>
        <w:t>يات</w:t>
      </w:r>
      <w:r w:rsidRPr="00904FCB">
        <w:rPr>
          <w:sz w:val="27"/>
          <w:rtl/>
        </w:rPr>
        <w:t xml:space="preserve"> </w:t>
      </w:r>
      <w:r w:rsidRPr="00904FCB">
        <w:rPr>
          <w:rFonts w:hint="cs"/>
          <w:sz w:val="27"/>
          <w:rtl/>
        </w:rPr>
        <w:t>الآخرين</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ينطوي</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السلوك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الاستخدام</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المشروع</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المعقلن</w:t>
      </w:r>
      <w:r w:rsidRPr="00904FCB">
        <w:rPr>
          <w:sz w:val="27"/>
          <w:rtl/>
        </w:rPr>
        <w:t xml:space="preserve"> </w:t>
      </w:r>
      <w:r w:rsidRPr="00904FCB">
        <w:rPr>
          <w:rFonts w:hint="cs"/>
          <w:sz w:val="27"/>
          <w:rtl/>
        </w:rPr>
        <w:t>للقوة</w:t>
      </w:r>
      <w:r w:rsidRPr="00904FCB">
        <w:rPr>
          <w:sz w:val="27"/>
          <w:rtl/>
        </w:rPr>
        <w:t xml:space="preserve"> </w:t>
      </w:r>
      <w:r w:rsidRPr="00904FCB">
        <w:rPr>
          <w:rFonts w:hint="cs"/>
          <w:sz w:val="27"/>
          <w:rtl/>
        </w:rPr>
        <w:t>الماد</w:t>
      </w:r>
      <w:r w:rsidR="00C135DC" w:rsidRPr="00904FCB">
        <w:rPr>
          <w:rFonts w:hint="cs"/>
          <w:sz w:val="27"/>
          <w:rtl/>
        </w:rPr>
        <w:t>ّ</w:t>
      </w:r>
      <w:r w:rsidRPr="00904FCB">
        <w:rPr>
          <w:rFonts w:hint="cs"/>
          <w:sz w:val="27"/>
          <w:rtl/>
        </w:rPr>
        <w:t>ية</w:t>
      </w:r>
      <w:r w:rsidRPr="00904FCB">
        <w:rPr>
          <w:sz w:val="27"/>
          <w:rtl/>
        </w:rPr>
        <w:t xml:space="preserve"> </w:t>
      </w:r>
      <w:r w:rsidRPr="00904FCB">
        <w:rPr>
          <w:rFonts w:hint="cs"/>
          <w:sz w:val="27"/>
          <w:rtl/>
        </w:rPr>
        <w:t>العمياء</w:t>
      </w:r>
      <w:r w:rsidRPr="00904FCB">
        <w:rPr>
          <w:sz w:val="27"/>
          <w:rtl/>
        </w:rPr>
        <w:t xml:space="preserve">. </w:t>
      </w:r>
    </w:p>
    <w:p w:rsidR="00057E24" w:rsidRPr="00904FCB" w:rsidRDefault="00057E24" w:rsidP="007A21AA">
      <w:pPr>
        <w:spacing w:line="400" w:lineRule="exact"/>
        <w:rPr>
          <w:sz w:val="27"/>
          <w:rtl/>
          <w:lang w:bidi="ar-SY"/>
        </w:rPr>
      </w:pPr>
      <w:r w:rsidRPr="00904FCB">
        <w:rPr>
          <w:rFonts w:hint="cs"/>
          <w:sz w:val="27"/>
          <w:rtl/>
          <w:lang w:bidi="ar-SY"/>
        </w:rPr>
        <w:t>أي</w:t>
      </w:r>
      <w:r w:rsidRPr="00904FCB">
        <w:rPr>
          <w:sz w:val="27"/>
          <w:rtl/>
          <w:lang w:bidi="ar-SY"/>
        </w:rPr>
        <w:t xml:space="preserve"> </w:t>
      </w:r>
      <w:r w:rsidR="00C135DC" w:rsidRPr="00904FCB">
        <w:rPr>
          <w:rFonts w:hint="cs"/>
          <w:sz w:val="27"/>
          <w:rtl/>
          <w:lang w:bidi="ar-SY"/>
        </w:rPr>
        <w:t>إ</w:t>
      </w:r>
      <w:r w:rsidRPr="00904FCB">
        <w:rPr>
          <w:rFonts w:hint="cs"/>
          <w:sz w:val="27"/>
          <w:rtl/>
          <w:lang w:bidi="ar-SY"/>
        </w:rPr>
        <w:t>نه</w:t>
      </w:r>
      <w:r w:rsidRPr="00904FCB">
        <w:rPr>
          <w:sz w:val="27"/>
          <w:rtl/>
          <w:lang w:bidi="ar-SY"/>
        </w:rPr>
        <w:t xml:space="preserve"> </w:t>
      </w:r>
      <w:r w:rsidRPr="00904FCB">
        <w:rPr>
          <w:rFonts w:hint="cs"/>
          <w:sz w:val="27"/>
          <w:rtl/>
          <w:lang w:bidi="ar-SY"/>
        </w:rPr>
        <w:t>هو</w:t>
      </w:r>
      <w:r w:rsidRPr="00904FCB">
        <w:rPr>
          <w:sz w:val="27"/>
          <w:rtl/>
          <w:lang w:bidi="ar-SY"/>
        </w:rPr>
        <w:t xml:space="preserve"> </w:t>
      </w:r>
      <w:r w:rsidRPr="00904FCB">
        <w:rPr>
          <w:rFonts w:hint="cs"/>
          <w:sz w:val="27"/>
          <w:rtl/>
          <w:lang w:bidi="ar-SY"/>
        </w:rPr>
        <w:t>هذه</w:t>
      </w:r>
      <w:r w:rsidRPr="00904FCB">
        <w:rPr>
          <w:sz w:val="27"/>
          <w:rtl/>
          <w:lang w:bidi="ar-SY"/>
        </w:rPr>
        <w:t xml:space="preserve"> </w:t>
      </w:r>
      <w:r w:rsidRPr="00904FCB">
        <w:rPr>
          <w:rFonts w:hint="cs"/>
          <w:sz w:val="27"/>
          <w:rtl/>
          <w:lang w:bidi="ar-SY"/>
        </w:rPr>
        <w:t>القدرة</w:t>
      </w:r>
      <w:r w:rsidRPr="00904FCB">
        <w:rPr>
          <w:sz w:val="27"/>
          <w:rtl/>
          <w:lang w:bidi="ar-SY"/>
        </w:rPr>
        <w:t xml:space="preserve"> </w:t>
      </w:r>
      <w:r w:rsidRPr="00904FCB">
        <w:rPr>
          <w:rFonts w:hint="cs"/>
          <w:sz w:val="27"/>
          <w:rtl/>
          <w:lang w:bidi="ar-SY"/>
        </w:rPr>
        <w:t>الذاتية</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طاقة</w:t>
      </w:r>
      <w:r w:rsidRPr="00904FCB">
        <w:rPr>
          <w:sz w:val="27"/>
          <w:rtl/>
          <w:lang w:bidi="ar-SY"/>
        </w:rPr>
        <w:t xml:space="preserve"> </w:t>
      </w:r>
      <w:r w:rsidRPr="00904FCB">
        <w:rPr>
          <w:rFonts w:hint="cs"/>
          <w:sz w:val="27"/>
          <w:rtl/>
          <w:lang w:bidi="ar-SY"/>
        </w:rPr>
        <w:t>القو</w:t>
      </w:r>
      <w:r w:rsidR="00C135DC" w:rsidRPr="00904FCB">
        <w:rPr>
          <w:rFonts w:hint="cs"/>
          <w:sz w:val="27"/>
          <w:rtl/>
          <w:lang w:bidi="ar-SY"/>
        </w:rPr>
        <w:t>ّ</w:t>
      </w:r>
      <w:r w:rsidRPr="00904FCB">
        <w:rPr>
          <w:rFonts w:hint="cs"/>
          <w:sz w:val="27"/>
          <w:rtl/>
          <w:lang w:bidi="ar-SY"/>
        </w:rPr>
        <w:t>ة</w:t>
      </w:r>
      <w:r w:rsidRPr="00904FCB">
        <w:rPr>
          <w:sz w:val="27"/>
          <w:rtl/>
          <w:lang w:bidi="ar-SY"/>
        </w:rPr>
        <w:t xml:space="preserve"> </w:t>
      </w:r>
      <w:r w:rsidRPr="00904FCB">
        <w:rPr>
          <w:rFonts w:hint="cs"/>
          <w:sz w:val="27"/>
          <w:rtl/>
          <w:lang w:bidi="ar-SY"/>
        </w:rPr>
        <w:t>الكامنة</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الفرد</w:t>
      </w:r>
      <w:r w:rsidRPr="00904FCB">
        <w:rPr>
          <w:sz w:val="27"/>
          <w:rtl/>
          <w:lang w:bidi="ar-SY"/>
        </w:rPr>
        <w:t xml:space="preserve"> </w:t>
      </w:r>
      <w:r w:rsidRPr="00904FCB">
        <w:rPr>
          <w:rFonts w:hint="cs"/>
          <w:sz w:val="27"/>
          <w:rtl/>
          <w:lang w:bidi="ar-SY"/>
        </w:rPr>
        <w:t>البشري</w:t>
      </w:r>
      <w:r w:rsidRPr="00904FCB">
        <w:rPr>
          <w:sz w:val="27"/>
          <w:rtl/>
          <w:lang w:bidi="ar-SY"/>
        </w:rPr>
        <w:t xml:space="preserve"> </w:t>
      </w:r>
      <w:r w:rsidRPr="00904FCB">
        <w:rPr>
          <w:rFonts w:hint="cs"/>
          <w:sz w:val="27"/>
          <w:rtl/>
          <w:lang w:bidi="ar-SY"/>
        </w:rPr>
        <w:t>التي</w:t>
      </w:r>
      <w:r w:rsidRPr="00904FCB">
        <w:rPr>
          <w:sz w:val="27"/>
          <w:rtl/>
          <w:lang w:bidi="ar-SY"/>
        </w:rPr>
        <w:t xml:space="preserve"> </w:t>
      </w:r>
      <w:r w:rsidRPr="00904FCB">
        <w:rPr>
          <w:rFonts w:hint="cs"/>
          <w:sz w:val="27"/>
          <w:rtl/>
          <w:lang w:bidi="ar-SY"/>
        </w:rPr>
        <w:t>يقوم</w:t>
      </w:r>
      <w:r w:rsidRPr="00904FCB">
        <w:rPr>
          <w:sz w:val="27"/>
          <w:rtl/>
          <w:lang w:bidi="ar-SY"/>
        </w:rPr>
        <w:t xml:space="preserve"> </w:t>
      </w:r>
      <w:r w:rsidRPr="00904FCB">
        <w:rPr>
          <w:rFonts w:hint="cs"/>
          <w:sz w:val="27"/>
          <w:rtl/>
          <w:lang w:bidi="ar-SY"/>
        </w:rPr>
        <w:t>صاحبها</w:t>
      </w:r>
      <w:r w:rsidRPr="00904FCB">
        <w:rPr>
          <w:sz w:val="27"/>
          <w:rtl/>
          <w:lang w:bidi="ar-SY"/>
        </w:rPr>
        <w:t xml:space="preserve"> </w:t>
      </w:r>
      <w:r w:rsidRPr="00904FCB">
        <w:rPr>
          <w:rFonts w:hint="cs"/>
          <w:sz w:val="27"/>
          <w:rtl/>
          <w:lang w:bidi="ar-SY"/>
        </w:rPr>
        <w:t>بتركيزها</w:t>
      </w:r>
      <w:r w:rsidRPr="00904FCB">
        <w:rPr>
          <w:sz w:val="27"/>
          <w:rtl/>
          <w:lang w:bidi="ar-SY"/>
        </w:rPr>
        <w:t xml:space="preserve"> </w:t>
      </w:r>
      <w:r w:rsidRPr="00904FCB">
        <w:rPr>
          <w:rFonts w:hint="cs"/>
          <w:sz w:val="27"/>
          <w:rtl/>
          <w:lang w:bidi="ar-SY"/>
        </w:rPr>
        <w:t>واستخدامها</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إيذاء</w:t>
      </w:r>
      <w:r w:rsidRPr="00904FCB">
        <w:rPr>
          <w:sz w:val="27"/>
          <w:rtl/>
          <w:lang w:bidi="ar-SY"/>
        </w:rPr>
        <w:t xml:space="preserve"> </w:t>
      </w:r>
      <w:r w:rsidRPr="00904FCB">
        <w:rPr>
          <w:rFonts w:hint="cs"/>
          <w:sz w:val="27"/>
          <w:rtl/>
          <w:lang w:bidi="ar-SY"/>
        </w:rPr>
        <w:t>الفرد</w:t>
      </w:r>
      <w:r w:rsidRPr="00904FCB">
        <w:rPr>
          <w:sz w:val="27"/>
          <w:rtl/>
          <w:lang w:bidi="ar-SY"/>
        </w:rPr>
        <w:t xml:space="preserve"> </w:t>
      </w:r>
      <w:r w:rsidRPr="00904FCB">
        <w:rPr>
          <w:rFonts w:hint="cs"/>
          <w:sz w:val="27"/>
          <w:rtl/>
          <w:lang w:bidi="ar-SY"/>
        </w:rPr>
        <w:t>الآخر</w:t>
      </w:r>
      <w:r w:rsidR="00C135DC" w:rsidRPr="00904FCB">
        <w:rPr>
          <w:rFonts w:hint="cs"/>
          <w:sz w:val="27"/>
          <w:rtl/>
          <w:lang w:bidi="ar-SY"/>
        </w:rPr>
        <w:t>،</w:t>
      </w:r>
      <w:r w:rsidRPr="00904FCB">
        <w:rPr>
          <w:sz w:val="27"/>
          <w:rtl/>
          <w:lang w:bidi="ar-SY"/>
        </w:rPr>
        <w:t xml:space="preserve"> </w:t>
      </w:r>
      <w:r w:rsidRPr="00904FCB">
        <w:rPr>
          <w:rFonts w:hint="cs"/>
          <w:sz w:val="27"/>
          <w:rtl/>
          <w:lang w:bidi="ar-SY"/>
        </w:rPr>
        <w:t>جزئياً</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كلياً، أو</w:t>
      </w:r>
      <w:r w:rsidRPr="00904FCB">
        <w:rPr>
          <w:sz w:val="27"/>
          <w:rtl/>
          <w:lang w:bidi="ar-SY"/>
        </w:rPr>
        <w:t xml:space="preserve"> </w:t>
      </w:r>
      <w:r w:rsidRPr="00904FCB">
        <w:rPr>
          <w:rFonts w:hint="cs"/>
          <w:sz w:val="27"/>
          <w:rtl/>
          <w:lang w:bidi="ar-SY"/>
        </w:rPr>
        <w:t>التأثير</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وجوده</w:t>
      </w:r>
      <w:r w:rsidRPr="00904FCB">
        <w:rPr>
          <w:sz w:val="27"/>
          <w:rtl/>
          <w:lang w:bidi="ar-SY"/>
        </w:rPr>
        <w:t xml:space="preserve"> </w:t>
      </w:r>
      <w:r w:rsidRPr="00904FCB">
        <w:rPr>
          <w:rFonts w:hint="cs"/>
          <w:sz w:val="27"/>
          <w:rtl/>
          <w:lang w:bidi="ar-SY"/>
        </w:rPr>
        <w:t>وحركته، وإضعاف</w:t>
      </w:r>
      <w:r w:rsidRPr="00904FCB">
        <w:rPr>
          <w:sz w:val="27"/>
          <w:rtl/>
          <w:lang w:bidi="ar-SY"/>
        </w:rPr>
        <w:t xml:space="preserve"> </w:t>
      </w:r>
      <w:r w:rsidRPr="00904FCB">
        <w:rPr>
          <w:rFonts w:hint="cs"/>
          <w:sz w:val="27"/>
          <w:rtl/>
          <w:lang w:bidi="ar-SY"/>
        </w:rPr>
        <w:t>قدرته</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العمل</w:t>
      </w:r>
      <w:r w:rsidRPr="00904FCB">
        <w:rPr>
          <w:sz w:val="27"/>
          <w:rtl/>
          <w:lang w:bidi="ar-SY"/>
        </w:rPr>
        <w:t xml:space="preserve"> </w:t>
      </w:r>
      <w:r w:rsidRPr="00904FCB">
        <w:rPr>
          <w:rFonts w:hint="cs"/>
          <w:sz w:val="27"/>
          <w:rtl/>
          <w:lang w:bidi="ar-SY"/>
        </w:rPr>
        <w:t>والعطاء</w:t>
      </w:r>
      <w:r w:rsidRPr="00904FCB">
        <w:rPr>
          <w:sz w:val="27"/>
          <w:rtl/>
          <w:lang w:bidi="ar-SY"/>
        </w:rPr>
        <w:t xml:space="preserve"> (</w:t>
      </w:r>
      <w:r w:rsidRPr="00904FCB">
        <w:rPr>
          <w:rFonts w:hint="cs"/>
          <w:sz w:val="27"/>
          <w:rtl/>
          <w:lang w:bidi="ar-SY"/>
        </w:rPr>
        <w:t>سلباً</w:t>
      </w:r>
      <w:r w:rsidRPr="00904FCB">
        <w:rPr>
          <w:sz w:val="27"/>
          <w:rtl/>
          <w:lang w:bidi="ar-SY"/>
        </w:rPr>
        <w:t xml:space="preserve"> </w:t>
      </w:r>
      <w:r w:rsidRPr="00904FCB">
        <w:rPr>
          <w:rFonts w:hint="cs"/>
          <w:sz w:val="27"/>
          <w:rtl/>
          <w:lang w:bidi="ar-SY"/>
        </w:rPr>
        <w:t>أم</w:t>
      </w:r>
      <w:r w:rsidRPr="00904FCB">
        <w:rPr>
          <w:sz w:val="27"/>
          <w:rtl/>
          <w:lang w:bidi="ar-SY"/>
        </w:rPr>
        <w:t xml:space="preserve"> </w:t>
      </w:r>
      <w:r w:rsidRPr="00904FCB">
        <w:rPr>
          <w:rFonts w:hint="cs"/>
          <w:sz w:val="27"/>
          <w:rtl/>
          <w:lang w:bidi="ar-SY"/>
        </w:rPr>
        <w:t>إيجاباً</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ربما</w:t>
      </w:r>
      <w:r w:rsidRPr="00904FCB">
        <w:rPr>
          <w:sz w:val="27"/>
          <w:rtl/>
          <w:lang w:bidi="ar-SY"/>
        </w:rPr>
        <w:t xml:space="preserve"> </w:t>
      </w:r>
      <w:r w:rsidRPr="00904FCB">
        <w:rPr>
          <w:rFonts w:hint="cs"/>
          <w:sz w:val="27"/>
          <w:rtl/>
          <w:lang w:bidi="ar-SY"/>
        </w:rPr>
        <w:t>قتله</w:t>
      </w:r>
      <w:r w:rsidRPr="00904FCB">
        <w:rPr>
          <w:sz w:val="27"/>
          <w:rtl/>
          <w:lang w:bidi="ar-SY"/>
        </w:rPr>
        <w:t xml:space="preserve"> </w:t>
      </w:r>
      <w:r w:rsidRPr="00904FCB">
        <w:rPr>
          <w:rFonts w:hint="cs"/>
          <w:sz w:val="27"/>
          <w:rtl/>
          <w:lang w:bidi="ar-SY"/>
        </w:rPr>
        <w:t>وإنهاء</w:t>
      </w:r>
      <w:r w:rsidRPr="00904FCB">
        <w:rPr>
          <w:sz w:val="27"/>
          <w:rtl/>
          <w:lang w:bidi="ar-SY"/>
        </w:rPr>
        <w:t xml:space="preserve"> </w:t>
      </w:r>
      <w:r w:rsidRPr="00904FCB">
        <w:rPr>
          <w:rFonts w:hint="cs"/>
          <w:sz w:val="27"/>
          <w:rtl/>
          <w:lang w:bidi="ar-SY"/>
        </w:rPr>
        <w:t>حياته</w:t>
      </w:r>
      <w:r w:rsidRPr="00904FCB">
        <w:rPr>
          <w:sz w:val="27"/>
          <w:rtl/>
          <w:lang w:bidi="ar-SY"/>
        </w:rPr>
        <w:t xml:space="preserve"> </w:t>
      </w:r>
      <w:r w:rsidRPr="00904FCB">
        <w:rPr>
          <w:rFonts w:hint="cs"/>
          <w:sz w:val="27"/>
          <w:rtl/>
          <w:lang w:bidi="ar-SY"/>
        </w:rPr>
        <w:t>بقرار</w:t>
      </w:r>
      <w:r w:rsidR="00C135DC" w:rsidRPr="00904FCB">
        <w:rPr>
          <w:rFonts w:hint="cs"/>
          <w:sz w:val="27"/>
          <w:rtl/>
          <w:lang w:bidi="ar-SY"/>
        </w:rPr>
        <w:t>ٍ</w:t>
      </w:r>
      <w:r w:rsidRPr="00904FCB">
        <w:rPr>
          <w:sz w:val="27"/>
          <w:rtl/>
          <w:lang w:bidi="ar-SY"/>
        </w:rPr>
        <w:t xml:space="preserve"> </w:t>
      </w:r>
      <w:r w:rsidRPr="00904FCB">
        <w:rPr>
          <w:rFonts w:hint="cs"/>
          <w:sz w:val="27"/>
          <w:rtl/>
          <w:lang w:bidi="ar-SY"/>
        </w:rPr>
        <w:t>ذاتي</w:t>
      </w:r>
      <w:r w:rsidR="00C135DC" w:rsidRPr="00904FCB">
        <w:rPr>
          <w:rFonts w:hint="cs"/>
          <w:sz w:val="27"/>
          <w:rtl/>
          <w:lang w:bidi="ar-SY"/>
        </w:rPr>
        <w:t>،</w:t>
      </w:r>
      <w:r w:rsidRPr="00904FCB">
        <w:rPr>
          <w:sz w:val="27"/>
          <w:rtl/>
          <w:lang w:bidi="ar-SY"/>
        </w:rPr>
        <w:t xml:space="preserve"> </w:t>
      </w:r>
      <w:r w:rsidRPr="00904FCB">
        <w:rPr>
          <w:rFonts w:hint="cs"/>
          <w:sz w:val="27"/>
          <w:rtl/>
          <w:lang w:bidi="ar-SY"/>
        </w:rPr>
        <w:t>فردي</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عمومي</w:t>
      </w:r>
      <w:r w:rsidRPr="00904FCB">
        <w:rPr>
          <w:sz w:val="27"/>
          <w:rtl/>
          <w:lang w:bidi="ar-SY"/>
        </w:rPr>
        <w:t xml:space="preserve"> </w:t>
      </w:r>
      <w:r w:rsidRPr="00904FCB">
        <w:rPr>
          <w:rFonts w:hint="cs"/>
          <w:sz w:val="27"/>
          <w:rtl/>
          <w:lang w:bidi="ar-SY"/>
        </w:rPr>
        <w:t>مجتمعي</w:t>
      </w:r>
      <w:r w:rsidR="00C135DC" w:rsidRPr="00904FCB">
        <w:rPr>
          <w:rFonts w:hint="cs"/>
          <w:sz w:val="27"/>
          <w:rtl/>
          <w:lang w:bidi="ar-SY"/>
        </w:rPr>
        <w:t>،</w:t>
      </w:r>
      <w:r w:rsidRPr="00904FCB">
        <w:rPr>
          <w:sz w:val="27"/>
          <w:rtl/>
          <w:lang w:bidi="ar-SY"/>
        </w:rPr>
        <w:t xml:space="preserve"> </w:t>
      </w:r>
      <w:r w:rsidRPr="00904FCB">
        <w:rPr>
          <w:rFonts w:hint="cs"/>
          <w:sz w:val="27"/>
          <w:rtl/>
          <w:lang w:bidi="ar-SY"/>
        </w:rPr>
        <w:t>عن</w:t>
      </w:r>
      <w:r w:rsidRPr="00904FCB">
        <w:rPr>
          <w:sz w:val="27"/>
          <w:rtl/>
          <w:lang w:bidi="ar-SY"/>
        </w:rPr>
        <w:t xml:space="preserve"> </w:t>
      </w:r>
      <w:r w:rsidRPr="00904FCB">
        <w:rPr>
          <w:rFonts w:hint="cs"/>
          <w:sz w:val="27"/>
          <w:rtl/>
          <w:lang w:bidi="ar-SY"/>
        </w:rPr>
        <w:t>طريق</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تحت</w:t>
      </w:r>
      <w:r w:rsidRPr="00904FCB">
        <w:rPr>
          <w:sz w:val="27"/>
          <w:rtl/>
          <w:lang w:bidi="ar-SY"/>
        </w:rPr>
        <w:t xml:space="preserve"> </w:t>
      </w:r>
      <w:r w:rsidRPr="00904FCB">
        <w:rPr>
          <w:rFonts w:hint="cs"/>
          <w:sz w:val="27"/>
          <w:rtl/>
          <w:lang w:bidi="ar-SY"/>
        </w:rPr>
        <w:t>ضغط</w:t>
      </w:r>
      <w:r w:rsidRPr="00904FCB">
        <w:rPr>
          <w:sz w:val="27"/>
          <w:rtl/>
          <w:lang w:bidi="ar-SY"/>
        </w:rPr>
        <w:t xml:space="preserve"> </w:t>
      </w:r>
      <w:r w:rsidRPr="00904FCB">
        <w:rPr>
          <w:rFonts w:hint="cs"/>
          <w:sz w:val="27"/>
          <w:rtl/>
          <w:lang w:bidi="ar-SY"/>
        </w:rPr>
        <w:t>وتأثير</w:t>
      </w:r>
      <w:r w:rsidRPr="00904FCB">
        <w:rPr>
          <w:sz w:val="27"/>
          <w:rtl/>
          <w:lang w:bidi="ar-SY"/>
        </w:rPr>
        <w:t xml:space="preserve"> </w:t>
      </w:r>
      <w:r w:rsidRPr="00904FCB">
        <w:rPr>
          <w:rFonts w:hint="cs"/>
          <w:sz w:val="27"/>
          <w:rtl/>
          <w:lang w:bidi="ar-SY"/>
        </w:rPr>
        <w:t>جملة</w:t>
      </w:r>
      <w:r w:rsidRPr="00904FCB">
        <w:rPr>
          <w:sz w:val="27"/>
          <w:rtl/>
          <w:lang w:bidi="ar-SY"/>
        </w:rPr>
        <w:t xml:space="preserve"> </w:t>
      </w:r>
      <w:r w:rsidRPr="00904FCB">
        <w:rPr>
          <w:rFonts w:hint="cs"/>
          <w:sz w:val="27"/>
          <w:rtl/>
          <w:lang w:bidi="ar-SY"/>
        </w:rPr>
        <w:t>عوامل</w:t>
      </w:r>
      <w:r w:rsidRPr="00904FCB">
        <w:rPr>
          <w:sz w:val="27"/>
          <w:rtl/>
          <w:lang w:bidi="ar-SY"/>
        </w:rPr>
        <w:t xml:space="preserve"> </w:t>
      </w:r>
      <w:r w:rsidRPr="00904FCB">
        <w:rPr>
          <w:rFonts w:hint="cs"/>
          <w:sz w:val="27"/>
          <w:rtl/>
          <w:lang w:bidi="ar-SY"/>
        </w:rPr>
        <w:t>ذاتية</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مجتمعية</w:t>
      </w:r>
      <w:r w:rsidR="00C135DC" w:rsidRPr="00904FCB">
        <w:rPr>
          <w:rFonts w:hint="cs"/>
          <w:sz w:val="27"/>
          <w:rtl/>
          <w:lang w:bidi="ar-SY"/>
        </w:rPr>
        <w:t>،</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خلال</w:t>
      </w:r>
      <w:r w:rsidRPr="00904FCB">
        <w:rPr>
          <w:sz w:val="27"/>
          <w:rtl/>
          <w:lang w:bidi="ar-SY"/>
        </w:rPr>
        <w:t xml:space="preserve"> </w:t>
      </w:r>
      <w:r w:rsidRPr="00904FCB">
        <w:rPr>
          <w:rFonts w:hint="cs"/>
          <w:sz w:val="27"/>
          <w:rtl/>
          <w:lang w:bidi="ar-SY"/>
        </w:rPr>
        <w:t>سن</w:t>
      </w:r>
      <w:r w:rsidR="00C135DC" w:rsidRPr="00904FCB">
        <w:rPr>
          <w:rFonts w:hint="cs"/>
          <w:sz w:val="27"/>
          <w:rtl/>
          <w:lang w:bidi="ar-SY"/>
        </w:rPr>
        <w:t>ّ</w:t>
      </w:r>
      <w:r w:rsidRPr="00904FCB">
        <w:rPr>
          <w:sz w:val="27"/>
          <w:rtl/>
          <w:lang w:bidi="ar-SY"/>
        </w:rPr>
        <w:t xml:space="preserve"> </w:t>
      </w:r>
      <w:r w:rsidRPr="00904FCB">
        <w:rPr>
          <w:rFonts w:hint="cs"/>
          <w:sz w:val="27"/>
          <w:rtl/>
          <w:lang w:bidi="ar-SY"/>
        </w:rPr>
        <w:t>قوانين</w:t>
      </w:r>
      <w:r w:rsidRPr="00904FCB">
        <w:rPr>
          <w:sz w:val="27"/>
          <w:rtl/>
          <w:lang w:bidi="ar-SY"/>
        </w:rPr>
        <w:t xml:space="preserve"> </w:t>
      </w:r>
      <w:r w:rsidRPr="00904FCB">
        <w:rPr>
          <w:rFonts w:hint="cs"/>
          <w:sz w:val="27"/>
          <w:rtl/>
          <w:lang w:bidi="ar-SY"/>
        </w:rPr>
        <w:t>ونظم</w:t>
      </w:r>
      <w:r w:rsidRPr="00904FCB">
        <w:rPr>
          <w:sz w:val="27"/>
          <w:rtl/>
          <w:lang w:bidi="ar-SY"/>
        </w:rPr>
        <w:t xml:space="preserve"> </w:t>
      </w:r>
      <w:r w:rsidRPr="00904FCB">
        <w:rPr>
          <w:rFonts w:hint="cs"/>
          <w:sz w:val="27"/>
          <w:rtl/>
          <w:lang w:bidi="ar-SY"/>
        </w:rPr>
        <w:t>وعادات</w:t>
      </w:r>
      <w:r w:rsidRPr="00904FCB">
        <w:rPr>
          <w:sz w:val="27"/>
          <w:rtl/>
          <w:lang w:bidi="ar-SY"/>
        </w:rPr>
        <w:t xml:space="preserve"> </w:t>
      </w:r>
      <w:r w:rsidRPr="00904FCB">
        <w:rPr>
          <w:rFonts w:hint="cs"/>
          <w:sz w:val="27"/>
          <w:rtl/>
          <w:lang w:bidi="ar-SY"/>
        </w:rPr>
        <w:t>وتقاليد</w:t>
      </w:r>
      <w:r w:rsidRPr="00904FCB">
        <w:rPr>
          <w:sz w:val="27"/>
          <w:rtl/>
          <w:lang w:bidi="ar-SY"/>
        </w:rPr>
        <w:t xml:space="preserve"> </w:t>
      </w:r>
      <w:r w:rsidRPr="00904FCB">
        <w:rPr>
          <w:rFonts w:hint="cs"/>
          <w:sz w:val="27"/>
          <w:rtl/>
          <w:lang w:bidi="ar-SY"/>
        </w:rPr>
        <w:t>سائدة</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المجتمع</w:t>
      </w:r>
      <w:r w:rsidR="00C135DC" w:rsidRPr="00904FCB">
        <w:rPr>
          <w:rFonts w:hint="cs"/>
          <w:sz w:val="27"/>
          <w:rtl/>
          <w:lang w:bidi="ar-SY"/>
        </w:rPr>
        <w:t>،</w:t>
      </w:r>
      <w:r w:rsidRPr="00904FCB">
        <w:rPr>
          <w:sz w:val="27"/>
          <w:rtl/>
          <w:lang w:bidi="ar-SY"/>
        </w:rPr>
        <w:t xml:space="preserve"> </w:t>
      </w:r>
      <w:r w:rsidRPr="00904FCB">
        <w:rPr>
          <w:rFonts w:hint="cs"/>
          <w:sz w:val="27"/>
          <w:rtl/>
          <w:lang w:bidi="ar-SY"/>
        </w:rPr>
        <w:t>بقطع</w:t>
      </w:r>
      <w:r w:rsidRPr="00904FCB">
        <w:rPr>
          <w:sz w:val="27"/>
          <w:rtl/>
          <w:lang w:bidi="ar-SY"/>
        </w:rPr>
        <w:t xml:space="preserve"> </w:t>
      </w:r>
      <w:r w:rsidRPr="00904FCB">
        <w:rPr>
          <w:rFonts w:hint="cs"/>
          <w:sz w:val="27"/>
          <w:rtl/>
          <w:lang w:bidi="ar-SY"/>
        </w:rPr>
        <w:t>النظر</w:t>
      </w:r>
      <w:r w:rsidRPr="00904FCB">
        <w:rPr>
          <w:sz w:val="27"/>
          <w:rtl/>
          <w:lang w:bidi="ar-SY"/>
        </w:rPr>
        <w:t xml:space="preserve"> </w:t>
      </w:r>
      <w:r w:rsidRPr="00904FCB">
        <w:rPr>
          <w:rFonts w:hint="cs"/>
          <w:sz w:val="27"/>
          <w:rtl/>
          <w:lang w:bidi="ar-SY"/>
        </w:rPr>
        <w:t>عن</w:t>
      </w:r>
      <w:r w:rsidRPr="00904FCB">
        <w:rPr>
          <w:sz w:val="27"/>
          <w:rtl/>
          <w:lang w:bidi="ar-SY"/>
        </w:rPr>
        <w:t xml:space="preserve"> </w:t>
      </w:r>
      <w:r w:rsidRPr="00904FCB">
        <w:rPr>
          <w:rFonts w:hint="cs"/>
          <w:sz w:val="27"/>
          <w:rtl/>
          <w:lang w:bidi="ar-SY"/>
        </w:rPr>
        <w:t>بدائيتها</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مدنيتها</w:t>
      </w:r>
      <w:r w:rsidRPr="00904FCB">
        <w:rPr>
          <w:sz w:val="27"/>
          <w:rtl/>
          <w:lang w:bidi="ar-SY"/>
        </w:rPr>
        <w:t xml:space="preserve">. </w:t>
      </w:r>
    </w:p>
    <w:p w:rsidR="00057E24" w:rsidRPr="00904FCB" w:rsidRDefault="00057E24" w:rsidP="007A21AA">
      <w:pPr>
        <w:spacing w:line="400" w:lineRule="exact"/>
        <w:rPr>
          <w:sz w:val="27"/>
          <w:rtl/>
        </w:rPr>
      </w:pPr>
      <w:r w:rsidRPr="00904FCB">
        <w:rPr>
          <w:rFonts w:hint="cs"/>
          <w:sz w:val="27"/>
          <w:rtl/>
          <w:lang w:bidi="ar-SY"/>
        </w:rPr>
        <w:t>بهذ</w:t>
      </w:r>
      <w:r w:rsidR="00C135DC" w:rsidRPr="00904FCB">
        <w:rPr>
          <w:rFonts w:hint="cs"/>
          <w:sz w:val="27"/>
          <w:rtl/>
          <w:lang w:bidi="ar-SY"/>
        </w:rPr>
        <w:t>ا</w:t>
      </w:r>
      <w:r w:rsidRPr="00904FCB">
        <w:rPr>
          <w:sz w:val="27"/>
          <w:rtl/>
          <w:lang w:bidi="ar-SY"/>
        </w:rPr>
        <w:t xml:space="preserve"> </w:t>
      </w:r>
      <w:r w:rsidRPr="00904FCB">
        <w:rPr>
          <w:rFonts w:hint="cs"/>
          <w:sz w:val="27"/>
          <w:rtl/>
          <w:lang w:bidi="ar-SY"/>
        </w:rPr>
        <w:t xml:space="preserve">المعنى </w:t>
      </w:r>
      <w:r w:rsidRPr="00904FCB">
        <w:rPr>
          <w:rFonts w:hint="cs"/>
          <w:sz w:val="27"/>
          <w:rtl/>
        </w:rPr>
        <w:t>يكون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جوهره</w:t>
      </w:r>
      <w:r w:rsidRPr="00904FCB">
        <w:rPr>
          <w:sz w:val="27"/>
          <w:rtl/>
        </w:rPr>
        <w:t xml:space="preserve"> ـ </w:t>
      </w:r>
      <w:r w:rsidRPr="00904FCB">
        <w:rPr>
          <w:rFonts w:hint="cs"/>
          <w:sz w:val="27"/>
          <w:rtl/>
        </w:rPr>
        <w:t>كما</w:t>
      </w:r>
      <w:r w:rsidRPr="00904FCB">
        <w:rPr>
          <w:sz w:val="27"/>
          <w:rtl/>
        </w:rPr>
        <w:t xml:space="preserve"> </w:t>
      </w:r>
      <w:r w:rsidRPr="00904FCB">
        <w:rPr>
          <w:rFonts w:hint="cs"/>
          <w:sz w:val="27"/>
          <w:rtl/>
        </w:rPr>
        <w:t>يقول</w:t>
      </w:r>
      <w:r w:rsidRPr="00904FCB">
        <w:rPr>
          <w:sz w:val="27"/>
          <w:rtl/>
        </w:rPr>
        <w:t xml:space="preserve"> </w:t>
      </w:r>
      <w:r w:rsidRPr="00904FCB">
        <w:rPr>
          <w:rFonts w:hint="cs"/>
          <w:sz w:val="27"/>
          <w:rtl/>
        </w:rPr>
        <w:t>الدكتور</w:t>
      </w:r>
      <w:r w:rsidRPr="00904FCB">
        <w:rPr>
          <w:sz w:val="27"/>
          <w:rtl/>
        </w:rPr>
        <w:t xml:space="preserve"> </w:t>
      </w:r>
      <w:r w:rsidRPr="00904FCB">
        <w:rPr>
          <w:rFonts w:hint="cs"/>
          <w:sz w:val="27"/>
          <w:rtl/>
        </w:rPr>
        <w:t>إبراهيم</w:t>
      </w:r>
      <w:r w:rsidRPr="00904FCB">
        <w:rPr>
          <w:sz w:val="27"/>
          <w:rtl/>
        </w:rPr>
        <w:t xml:space="preserve"> </w:t>
      </w:r>
      <w:r w:rsidRPr="00904FCB">
        <w:rPr>
          <w:rFonts w:hint="cs"/>
          <w:sz w:val="27"/>
          <w:rtl/>
        </w:rPr>
        <w:t>الحيدري</w:t>
      </w:r>
      <w:r w:rsidRPr="00904FCB">
        <w:rPr>
          <w:sz w:val="27"/>
          <w:rtl/>
        </w:rPr>
        <w:t xml:space="preserve"> ـ </w:t>
      </w:r>
      <w:r w:rsidRPr="00904FCB">
        <w:rPr>
          <w:rFonts w:hint="cs"/>
          <w:sz w:val="27"/>
          <w:rtl/>
        </w:rPr>
        <w:t>نفي</w:t>
      </w:r>
      <w:r w:rsidR="00C135DC" w:rsidRPr="00904FCB">
        <w:rPr>
          <w:rFonts w:hint="cs"/>
          <w:sz w:val="27"/>
          <w:rtl/>
        </w:rPr>
        <w:t>اً</w:t>
      </w:r>
      <w:r w:rsidRPr="00904FCB">
        <w:rPr>
          <w:sz w:val="27"/>
          <w:rtl/>
        </w:rPr>
        <w:t xml:space="preserve"> </w:t>
      </w:r>
      <w:r w:rsidRPr="00904FCB">
        <w:rPr>
          <w:rFonts w:hint="cs"/>
          <w:sz w:val="27"/>
          <w:rtl/>
        </w:rPr>
        <w:t>للأساس</w:t>
      </w:r>
      <w:r w:rsidRPr="00904FCB">
        <w:rPr>
          <w:sz w:val="27"/>
          <w:rtl/>
        </w:rPr>
        <w:t xml:space="preserve"> </w:t>
      </w:r>
      <w:r w:rsidRPr="00904FCB">
        <w:rPr>
          <w:rFonts w:hint="cs"/>
          <w:sz w:val="27"/>
          <w:rtl/>
        </w:rPr>
        <w:t>القائم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العقل</w:t>
      </w:r>
      <w:r w:rsidRPr="00904FCB">
        <w:rPr>
          <w:sz w:val="27"/>
          <w:rtl/>
        </w:rPr>
        <w:t xml:space="preserve"> </w:t>
      </w:r>
      <w:r w:rsidRPr="00904FCB">
        <w:rPr>
          <w:rFonts w:hint="cs"/>
          <w:sz w:val="27"/>
          <w:rtl/>
        </w:rPr>
        <w:t>والحكمة</w:t>
      </w:r>
      <w:r w:rsidRPr="00904FCB">
        <w:rPr>
          <w:sz w:val="27"/>
          <w:rtl/>
        </w:rPr>
        <w:t xml:space="preserve"> </w:t>
      </w:r>
      <w:r w:rsidRPr="00904FCB">
        <w:rPr>
          <w:rFonts w:hint="cs"/>
          <w:sz w:val="27"/>
          <w:rtl/>
        </w:rPr>
        <w:t>واستخدام</w:t>
      </w:r>
      <w:r w:rsidRPr="00904FCB">
        <w:rPr>
          <w:sz w:val="27"/>
          <w:rtl/>
        </w:rPr>
        <w:t xml:space="preserve"> </w:t>
      </w:r>
      <w:r w:rsidRPr="00904FCB">
        <w:rPr>
          <w:rFonts w:hint="cs"/>
          <w:sz w:val="27"/>
          <w:rtl/>
        </w:rPr>
        <w:t>البصيرة</w:t>
      </w:r>
      <w:r w:rsidR="00C135DC"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تغرس</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الإنسان</w:t>
      </w:r>
      <w:r w:rsidRPr="00904FCB">
        <w:rPr>
          <w:sz w:val="27"/>
          <w:rtl/>
        </w:rPr>
        <w:t xml:space="preserve"> </w:t>
      </w:r>
      <w:r w:rsidRPr="00904FCB">
        <w:rPr>
          <w:rFonts w:hint="cs"/>
          <w:sz w:val="27"/>
          <w:rtl/>
        </w:rPr>
        <w:t>النزعة</w:t>
      </w:r>
      <w:r w:rsidRPr="00904FCB">
        <w:rPr>
          <w:sz w:val="27"/>
          <w:rtl/>
        </w:rPr>
        <w:t xml:space="preserve"> </w:t>
      </w:r>
      <w:r w:rsidRPr="00904FCB">
        <w:rPr>
          <w:rFonts w:hint="cs"/>
          <w:sz w:val="27"/>
          <w:rtl/>
        </w:rPr>
        <w:t>الإنسانية</w:t>
      </w:r>
      <w:r w:rsidRPr="00904FCB">
        <w:rPr>
          <w:sz w:val="27"/>
          <w:rtl/>
        </w:rPr>
        <w:t xml:space="preserve"> </w:t>
      </w:r>
      <w:r w:rsidRPr="00904FCB">
        <w:rPr>
          <w:rFonts w:hint="cs"/>
          <w:sz w:val="27"/>
          <w:rtl/>
        </w:rPr>
        <w:t>الرشيدة</w:t>
      </w:r>
      <w:r w:rsidR="00C135DC"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تحاول</w:t>
      </w:r>
      <w:r w:rsidRPr="00904FCB">
        <w:rPr>
          <w:sz w:val="27"/>
          <w:rtl/>
        </w:rPr>
        <w:t xml:space="preserve"> </w:t>
      </w:r>
      <w:r w:rsidRPr="00904FCB">
        <w:rPr>
          <w:rFonts w:hint="cs"/>
          <w:sz w:val="27"/>
          <w:rtl/>
        </w:rPr>
        <w:t>الوقوف</w:t>
      </w:r>
      <w:r w:rsidRPr="00904FCB">
        <w:rPr>
          <w:sz w:val="27"/>
          <w:rtl/>
        </w:rPr>
        <w:t xml:space="preserve"> </w:t>
      </w:r>
      <w:r w:rsidRPr="00904FCB">
        <w:rPr>
          <w:rFonts w:hint="cs"/>
          <w:sz w:val="27"/>
          <w:rtl/>
        </w:rPr>
        <w:t>أمام</w:t>
      </w:r>
      <w:r w:rsidRPr="00904FCB">
        <w:rPr>
          <w:sz w:val="27"/>
          <w:rtl/>
        </w:rPr>
        <w:t xml:space="preserve"> </w:t>
      </w:r>
      <w:r w:rsidRPr="00904FCB">
        <w:rPr>
          <w:rFonts w:hint="cs"/>
          <w:sz w:val="27"/>
          <w:rtl/>
        </w:rPr>
        <w:t>انتصار</w:t>
      </w:r>
      <w:r w:rsidRPr="00904FCB">
        <w:rPr>
          <w:sz w:val="27"/>
          <w:rtl/>
        </w:rPr>
        <w:t xml:space="preserve"> </w:t>
      </w:r>
      <w:r w:rsidRPr="00904FCB">
        <w:rPr>
          <w:rFonts w:hint="cs"/>
          <w:sz w:val="27"/>
          <w:rtl/>
        </w:rPr>
        <w:t>الغريزة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المهذ</w:t>
      </w:r>
      <w:r w:rsidR="00C135DC" w:rsidRPr="00904FCB">
        <w:rPr>
          <w:rFonts w:hint="cs"/>
          <w:sz w:val="27"/>
          <w:rtl/>
        </w:rPr>
        <w:t>َّ</w:t>
      </w:r>
      <w:r w:rsidRPr="00904FCB">
        <w:rPr>
          <w:rFonts w:hint="cs"/>
          <w:sz w:val="27"/>
          <w:rtl/>
        </w:rPr>
        <w:t>بة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العقل</w:t>
      </w:r>
      <w:r w:rsidRPr="00904FCB">
        <w:rPr>
          <w:sz w:val="27"/>
          <w:rtl/>
        </w:rPr>
        <w:t xml:space="preserve">. </w:t>
      </w:r>
      <w:r w:rsidRPr="00904FCB">
        <w:rPr>
          <w:rFonts w:hint="cs"/>
          <w:sz w:val="27"/>
          <w:rtl/>
        </w:rPr>
        <w:t>وإذا</w:t>
      </w:r>
      <w:r w:rsidRPr="00904FCB">
        <w:rPr>
          <w:sz w:val="27"/>
          <w:rtl/>
        </w:rPr>
        <w:t xml:space="preserve"> </w:t>
      </w:r>
      <w:r w:rsidRPr="00904FCB">
        <w:rPr>
          <w:rFonts w:hint="cs"/>
          <w:sz w:val="27"/>
          <w:rtl/>
        </w:rPr>
        <w:t>سل</w:t>
      </w:r>
      <w:r w:rsidR="00C135DC" w:rsidRPr="00904FCB">
        <w:rPr>
          <w:rFonts w:hint="cs"/>
          <w:sz w:val="27"/>
          <w:rtl/>
        </w:rPr>
        <w:t>َّ</w:t>
      </w:r>
      <w:r w:rsidRPr="00904FCB">
        <w:rPr>
          <w:rFonts w:hint="cs"/>
          <w:sz w:val="27"/>
          <w:rtl/>
        </w:rPr>
        <w:t>منا</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الاستخدام</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القانوني</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المشروع</w:t>
      </w:r>
      <w:r w:rsidRPr="00904FCB">
        <w:rPr>
          <w:sz w:val="27"/>
          <w:rtl/>
        </w:rPr>
        <w:t xml:space="preserve"> </w:t>
      </w:r>
      <w:r w:rsidRPr="00904FCB">
        <w:rPr>
          <w:rFonts w:hint="cs"/>
          <w:sz w:val="27"/>
          <w:rtl/>
        </w:rPr>
        <w:t>للقو</w:t>
      </w:r>
      <w:r w:rsidR="00C135DC" w:rsidRPr="00904FCB">
        <w:rPr>
          <w:rFonts w:hint="cs"/>
          <w:sz w:val="27"/>
          <w:rtl/>
        </w:rPr>
        <w:t>ّ</w:t>
      </w:r>
      <w:r w:rsidRPr="00904FCB">
        <w:rPr>
          <w:rFonts w:hint="cs"/>
          <w:sz w:val="27"/>
          <w:rtl/>
        </w:rPr>
        <w:t>ة فعلينا</w:t>
      </w:r>
      <w:r w:rsidRPr="00904FCB">
        <w:rPr>
          <w:sz w:val="27"/>
          <w:rtl/>
        </w:rPr>
        <w:t xml:space="preserve"> </w:t>
      </w:r>
      <w:r w:rsidRPr="00904FCB">
        <w:rPr>
          <w:rFonts w:hint="cs"/>
          <w:sz w:val="27"/>
          <w:rtl/>
        </w:rPr>
        <w:t>إذن</w:t>
      </w:r>
      <w:r w:rsidRPr="00904FCB">
        <w:rPr>
          <w:sz w:val="27"/>
          <w:rtl/>
        </w:rPr>
        <w:t xml:space="preserve"> </w:t>
      </w:r>
      <w:r w:rsidRPr="00904FCB">
        <w:rPr>
          <w:rFonts w:hint="cs"/>
          <w:sz w:val="27"/>
          <w:rtl/>
        </w:rPr>
        <w:t>التمييز</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أنماط</w:t>
      </w:r>
      <w:r w:rsidRPr="00904FCB">
        <w:rPr>
          <w:sz w:val="27"/>
          <w:rtl/>
        </w:rPr>
        <w:t xml:space="preserve"> </w:t>
      </w:r>
      <w:r w:rsidRPr="00904FCB">
        <w:rPr>
          <w:rFonts w:hint="cs"/>
          <w:sz w:val="27"/>
          <w:rtl/>
        </w:rPr>
        <w:t>وأساليب</w:t>
      </w:r>
      <w:r w:rsidRPr="00904FCB">
        <w:rPr>
          <w:sz w:val="27"/>
          <w:rtl/>
        </w:rPr>
        <w:t xml:space="preserve"> </w:t>
      </w:r>
      <w:r w:rsidRPr="00904FCB">
        <w:rPr>
          <w:rFonts w:hint="cs"/>
          <w:sz w:val="27"/>
          <w:rtl/>
        </w:rPr>
        <w:t>العنف</w:t>
      </w:r>
      <w:r w:rsidR="00C135DC" w:rsidRPr="00904FCB">
        <w:rPr>
          <w:rFonts w:hint="cs"/>
          <w:sz w:val="27"/>
          <w:rtl/>
        </w:rPr>
        <w:t>،</w:t>
      </w:r>
      <w:r w:rsidRPr="00904FCB">
        <w:rPr>
          <w:sz w:val="27"/>
          <w:rtl/>
        </w:rPr>
        <w:t xml:space="preserve"> </w:t>
      </w:r>
      <w:r w:rsidRPr="00904FCB">
        <w:rPr>
          <w:rFonts w:hint="cs"/>
          <w:sz w:val="27"/>
          <w:rtl/>
        </w:rPr>
        <w:t>أي</w:t>
      </w:r>
      <w:r w:rsidRPr="00904FCB">
        <w:rPr>
          <w:sz w:val="27"/>
          <w:rtl/>
        </w:rPr>
        <w:t xml:space="preserve"> </w:t>
      </w:r>
      <w:r w:rsidRPr="00904FCB">
        <w:rPr>
          <w:rFonts w:hint="cs"/>
          <w:sz w:val="27"/>
          <w:rtl/>
        </w:rPr>
        <w:t>محاولة</w:t>
      </w:r>
      <w:r w:rsidRPr="00904FCB">
        <w:rPr>
          <w:sz w:val="27"/>
          <w:rtl/>
        </w:rPr>
        <w:t xml:space="preserve"> </w:t>
      </w:r>
      <w:r w:rsidRPr="00904FCB">
        <w:rPr>
          <w:rFonts w:hint="cs"/>
          <w:sz w:val="27"/>
          <w:rtl/>
        </w:rPr>
        <w:t>تحديد</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بالذات، بدق</w:t>
      </w:r>
      <w:r w:rsidR="00C135DC" w:rsidRPr="00904FCB">
        <w:rPr>
          <w:rFonts w:hint="cs"/>
          <w:sz w:val="27"/>
          <w:rtl/>
        </w:rPr>
        <w:t>ّ</w:t>
      </w:r>
      <w:r w:rsidRPr="00904FCB">
        <w:rPr>
          <w:rFonts w:hint="cs"/>
          <w:sz w:val="27"/>
          <w:rtl/>
        </w:rPr>
        <w:t>ة</w:t>
      </w:r>
      <w:r w:rsidR="00C135DC" w:rsidRPr="00904FCB">
        <w:rPr>
          <w:rFonts w:hint="cs"/>
          <w:sz w:val="27"/>
          <w:rtl/>
        </w:rPr>
        <w:t>ٍ</w:t>
      </w:r>
      <w:r w:rsidRPr="00904FCB">
        <w:rPr>
          <w:sz w:val="27"/>
          <w:rtl/>
        </w:rPr>
        <w:t xml:space="preserve"> </w:t>
      </w:r>
      <w:r w:rsidRPr="00904FCB">
        <w:rPr>
          <w:rFonts w:hint="cs"/>
          <w:sz w:val="27"/>
          <w:rtl/>
        </w:rPr>
        <w:t>وموضوعية</w:t>
      </w:r>
      <w:r w:rsidR="00C135DC" w:rsidRPr="00904FCB">
        <w:rPr>
          <w:rFonts w:hint="cs"/>
          <w:sz w:val="27"/>
          <w:rtl/>
        </w:rPr>
        <w:t>،</w:t>
      </w:r>
      <w:r w:rsidRPr="00904FCB">
        <w:rPr>
          <w:sz w:val="27"/>
          <w:rtl/>
        </w:rPr>
        <w:t xml:space="preserve"> </w:t>
      </w:r>
      <w:r w:rsidRPr="00904FCB">
        <w:rPr>
          <w:rFonts w:hint="cs"/>
          <w:sz w:val="27"/>
          <w:rtl/>
        </w:rPr>
        <w:t>وبالحدود</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تفصل</w:t>
      </w:r>
      <w:r w:rsidRPr="00904FCB">
        <w:rPr>
          <w:sz w:val="27"/>
          <w:rtl/>
        </w:rPr>
        <w:t xml:space="preserve"> </w:t>
      </w:r>
      <w:r w:rsidRPr="00904FCB">
        <w:rPr>
          <w:rFonts w:hint="cs"/>
          <w:sz w:val="27"/>
          <w:rtl/>
        </w:rPr>
        <w:t>معنى</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باقي</w:t>
      </w:r>
      <w:r w:rsidRPr="00904FCB">
        <w:rPr>
          <w:sz w:val="27"/>
          <w:rtl/>
        </w:rPr>
        <w:t xml:space="preserve"> </w:t>
      </w:r>
      <w:r w:rsidRPr="00904FCB">
        <w:rPr>
          <w:rFonts w:hint="cs"/>
          <w:sz w:val="27"/>
          <w:rtl/>
        </w:rPr>
        <w:t>أشكال</w:t>
      </w:r>
      <w:r w:rsidRPr="00904FCB">
        <w:rPr>
          <w:sz w:val="27"/>
          <w:rtl/>
        </w:rPr>
        <w:t xml:space="preserve"> </w:t>
      </w:r>
      <w:r w:rsidRPr="00904FCB">
        <w:rPr>
          <w:rFonts w:hint="cs"/>
          <w:sz w:val="27"/>
          <w:rtl/>
        </w:rPr>
        <w:t>الضغط</w:t>
      </w:r>
      <w:r w:rsidRPr="00904FCB">
        <w:rPr>
          <w:sz w:val="27"/>
          <w:rtl/>
        </w:rPr>
        <w:t xml:space="preserve"> </w:t>
      </w:r>
      <w:r w:rsidRPr="00904FCB">
        <w:rPr>
          <w:rFonts w:hint="cs"/>
          <w:sz w:val="27"/>
          <w:rtl/>
        </w:rPr>
        <w:t>والإكراه</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وقد</w:t>
      </w:r>
      <w:r w:rsidRPr="00904FCB">
        <w:rPr>
          <w:sz w:val="27"/>
          <w:rtl/>
        </w:rPr>
        <w:t xml:space="preserve"> </w:t>
      </w:r>
      <w:r w:rsidRPr="00904FCB">
        <w:rPr>
          <w:rFonts w:hint="cs"/>
          <w:sz w:val="27"/>
          <w:rtl/>
        </w:rPr>
        <w:t>أشار</w:t>
      </w:r>
      <w:r w:rsidRPr="00904FCB">
        <w:rPr>
          <w:sz w:val="27"/>
          <w:rtl/>
        </w:rPr>
        <w:t xml:space="preserve"> </w:t>
      </w:r>
      <w:r w:rsidRPr="00904FCB">
        <w:rPr>
          <w:rFonts w:hint="cs"/>
          <w:sz w:val="27"/>
          <w:rtl/>
        </w:rPr>
        <w:t>فرنسيسكو</w:t>
      </w:r>
      <w:r w:rsidRPr="00904FCB">
        <w:rPr>
          <w:sz w:val="27"/>
          <w:rtl/>
        </w:rPr>
        <w:t xml:space="preserve"> </w:t>
      </w:r>
      <w:r w:rsidRPr="00904FCB">
        <w:rPr>
          <w:rFonts w:hint="cs"/>
          <w:sz w:val="27"/>
          <w:rtl/>
        </w:rPr>
        <w:t>هيريثير</w:t>
      </w:r>
      <w:r w:rsidR="00D4749A"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كتابه</w:t>
      </w:r>
      <w:r w:rsidRPr="00904FCB">
        <w:rPr>
          <w:sz w:val="27"/>
          <w:rtl/>
        </w:rPr>
        <w:t xml:space="preserve"> </w:t>
      </w:r>
      <w:r w:rsidRPr="00904FCB">
        <w:rPr>
          <w:rFonts w:hint="eastAsia"/>
          <w:sz w:val="27"/>
          <w:rtl/>
        </w:rPr>
        <w:t>«</w:t>
      </w:r>
      <w:r w:rsidRPr="00904FCB">
        <w:rPr>
          <w:rFonts w:hint="cs"/>
          <w:sz w:val="27"/>
          <w:rtl/>
        </w:rPr>
        <w:t>في</w:t>
      </w:r>
      <w:r w:rsidRPr="00904FCB">
        <w:rPr>
          <w:sz w:val="27"/>
          <w:rtl/>
        </w:rPr>
        <w:t xml:space="preserve"> </w:t>
      </w:r>
      <w:r w:rsidRPr="00904FCB">
        <w:rPr>
          <w:rFonts w:hint="cs"/>
          <w:sz w:val="27"/>
          <w:rtl/>
        </w:rPr>
        <w:t>العنف</w:t>
      </w:r>
      <w:r w:rsidRPr="00904FCB">
        <w:rPr>
          <w:rFonts w:hint="eastAsia"/>
          <w:sz w:val="27"/>
          <w:rtl/>
        </w:rPr>
        <w:t>»</w:t>
      </w:r>
      <w:r w:rsidR="00D4749A" w:rsidRPr="00904FCB">
        <w:rPr>
          <w:rFonts w:hint="cs"/>
          <w:sz w:val="27"/>
          <w:rtl/>
        </w:rPr>
        <w:t>،</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الفئات</w:t>
      </w:r>
      <w:r w:rsidRPr="00904FCB">
        <w:rPr>
          <w:sz w:val="27"/>
          <w:rtl/>
        </w:rPr>
        <w:t xml:space="preserve"> </w:t>
      </w:r>
      <w:r w:rsidRPr="00904FCB">
        <w:rPr>
          <w:rFonts w:hint="cs"/>
          <w:sz w:val="27"/>
          <w:rtl/>
        </w:rPr>
        <w:t>الحاكمة</w:t>
      </w:r>
      <w:r w:rsidRPr="00904FCB">
        <w:rPr>
          <w:sz w:val="27"/>
          <w:rtl/>
        </w:rPr>
        <w:t xml:space="preserve"> </w:t>
      </w:r>
      <w:r w:rsidRPr="00904FCB">
        <w:rPr>
          <w:rFonts w:hint="cs"/>
          <w:sz w:val="27"/>
          <w:rtl/>
        </w:rPr>
        <w:t>المستبد</w:t>
      </w:r>
      <w:r w:rsidR="00D4749A" w:rsidRPr="00904FCB">
        <w:rPr>
          <w:rFonts w:hint="cs"/>
          <w:sz w:val="27"/>
          <w:rtl/>
        </w:rPr>
        <w:t>ّ</w:t>
      </w:r>
      <w:r w:rsidRPr="00904FCB">
        <w:rPr>
          <w:rFonts w:hint="cs"/>
          <w:sz w:val="27"/>
          <w:rtl/>
        </w:rPr>
        <w:t>ة</w:t>
      </w:r>
      <w:r w:rsidRPr="00904FCB">
        <w:rPr>
          <w:sz w:val="27"/>
          <w:rtl/>
        </w:rPr>
        <w:t xml:space="preserve"> </w:t>
      </w:r>
      <w:r w:rsidRPr="00904FCB">
        <w:rPr>
          <w:rFonts w:hint="cs"/>
          <w:sz w:val="27"/>
          <w:rtl/>
        </w:rPr>
        <w:t>طو</w:t>
      </w:r>
      <w:r w:rsidR="00D4749A" w:rsidRPr="00904FCB">
        <w:rPr>
          <w:rFonts w:hint="cs"/>
          <w:sz w:val="27"/>
          <w:rtl/>
        </w:rPr>
        <w:t>َّ</w:t>
      </w:r>
      <w:r w:rsidRPr="00904FCB">
        <w:rPr>
          <w:rFonts w:hint="cs"/>
          <w:sz w:val="27"/>
          <w:rtl/>
        </w:rPr>
        <w:t>رت</w:t>
      </w:r>
      <w:r w:rsidRPr="00904FCB">
        <w:rPr>
          <w:sz w:val="27"/>
          <w:rtl/>
        </w:rPr>
        <w:t xml:space="preserve"> </w:t>
      </w:r>
      <w:r w:rsidRPr="00904FCB">
        <w:rPr>
          <w:rFonts w:hint="cs"/>
          <w:sz w:val="27"/>
          <w:rtl/>
        </w:rPr>
        <w:t>شكلاً</w:t>
      </w:r>
      <w:r w:rsidRPr="00904FCB">
        <w:rPr>
          <w:sz w:val="27"/>
          <w:rtl/>
        </w:rPr>
        <w:t xml:space="preserve"> </w:t>
      </w:r>
      <w:r w:rsidRPr="00904FCB">
        <w:rPr>
          <w:rFonts w:hint="cs"/>
          <w:sz w:val="27"/>
          <w:rtl/>
        </w:rPr>
        <w:t>جديداً</w:t>
      </w:r>
      <w:r w:rsidRPr="00904FCB">
        <w:rPr>
          <w:sz w:val="27"/>
          <w:rtl/>
        </w:rPr>
        <w:t xml:space="preserve"> </w:t>
      </w:r>
      <w:r w:rsidRPr="00904FCB">
        <w:rPr>
          <w:rFonts w:hint="cs"/>
          <w:sz w:val="27"/>
          <w:rtl/>
        </w:rPr>
        <w:t>ومتطر</w:t>
      </w:r>
      <w:r w:rsidR="00D4749A" w:rsidRPr="00904FCB">
        <w:rPr>
          <w:rFonts w:hint="cs"/>
          <w:sz w:val="27"/>
          <w:rtl/>
        </w:rPr>
        <w:t>ِّ</w:t>
      </w:r>
      <w:r w:rsidRPr="00904FCB">
        <w:rPr>
          <w:rFonts w:hint="cs"/>
          <w:sz w:val="27"/>
          <w:rtl/>
        </w:rPr>
        <w:t>فاً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وصفه</w:t>
      </w:r>
      <w:r w:rsidRPr="00904FCB">
        <w:rPr>
          <w:sz w:val="27"/>
          <w:rtl/>
        </w:rPr>
        <w:t xml:space="preserve"> </w:t>
      </w:r>
      <w:r w:rsidRPr="00904FCB">
        <w:rPr>
          <w:rFonts w:hint="cs"/>
          <w:sz w:val="27"/>
          <w:rtl/>
        </w:rPr>
        <w:t>بالقسوة</w:t>
      </w:r>
      <w:r w:rsidRPr="00904FCB">
        <w:rPr>
          <w:sz w:val="27"/>
          <w:rtl/>
        </w:rPr>
        <w:t xml:space="preserve">. </w:t>
      </w:r>
      <w:r w:rsidRPr="00904FCB">
        <w:rPr>
          <w:rFonts w:hint="cs"/>
          <w:sz w:val="27"/>
          <w:rtl/>
        </w:rPr>
        <w:t>وبهذا</w:t>
      </w:r>
      <w:r w:rsidRPr="00904FCB">
        <w:rPr>
          <w:sz w:val="27"/>
          <w:rtl/>
        </w:rPr>
        <w:t xml:space="preserve"> </w:t>
      </w:r>
      <w:r w:rsidRPr="00904FCB">
        <w:rPr>
          <w:rFonts w:hint="cs"/>
          <w:sz w:val="27"/>
          <w:rtl/>
        </w:rPr>
        <w:t>المعيار</w:t>
      </w:r>
      <w:r w:rsidRPr="00904FCB">
        <w:rPr>
          <w:sz w:val="27"/>
          <w:rtl/>
        </w:rPr>
        <w:t xml:space="preserve"> </w:t>
      </w:r>
      <w:r w:rsidRPr="00904FCB">
        <w:rPr>
          <w:rFonts w:hint="cs"/>
          <w:sz w:val="27"/>
          <w:rtl/>
        </w:rPr>
        <w:t>تمث</w:t>
      </w:r>
      <w:r w:rsidR="00D4749A" w:rsidRPr="00904FCB">
        <w:rPr>
          <w:rFonts w:hint="cs"/>
          <w:sz w:val="27"/>
          <w:rtl/>
        </w:rPr>
        <w:t>ّ</w:t>
      </w:r>
      <w:r w:rsidRPr="00904FCB">
        <w:rPr>
          <w:rFonts w:hint="cs"/>
          <w:sz w:val="27"/>
          <w:rtl/>
        </w:rPr>
        <w:t>ل</w:t>
      </w:r>
      <w:r w:rsidRPr="00904FCB">
        <w:rPr>
          <w:sz w:val="27"/>
          <w:rtl/>
        </w:rPr>
        <w:t xml:space="preserve"> </w:t>
      </w:r>
      <w:r w:rsidRPr="00904FCB">
        <w:rPr>
          <w:rFonts w:hint="cs"/>
          <w:sz w:val="27"/>
          <w:rtl/>
        </w:rPr>
        <w:t>القسوة</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نوعية</w:t>
      </w:r>
      <w:r w:rsidR="00D4749A" w:rsidRPr="00904FCB">
        <w:rPr>
          <w:rFonts w:hint="cs"/>
          <w:sz w:val="27"/>
          <w:rtl/>
        </w:rPr>
        <w:t>،</w:t>
      </w:r>
      <w:r w:rsidRPr="00904FCB">
        <w:rPr>
          <w:sz w:val="27"/>
          <w:rtl/>
        </w:rPr>
        <w:t xml:space="preserve"> </w:t>
      </w:r>
      <w:r w:rsidRPr="00904FCB">
        <w:rPr>
          <w:rFonts w:hint="cs"/>
          <w:sz w:val="27"/>
          <w:rtl/>
        </w:rPr>
        <w:t>حت</w:t>
      </w:r>
      <w:r w:rsidR="00D4749A" w:rsidRPr="00904FCB">
        <w:rPr>
          <w:rFonts w:hint="cs"/>
          <w:sz w:val="27"/>
          <w:rtl/>
        </w:rPr>
        <w:t>ّ</w:t>
      </w:r>
      <w:r w:rsidRPr="00904FCB">
        <w:rPr>
          <w:rFonts w:hint="cs"/>
          <w:sz w:val="27"/>
          <w:rtl/>
        </w:rPr>
        <w:t>ى</w:t>
      </w:r>
      <w:r w:rsidRPr="00904FCB">
        <w:rPr>
          <w:sz w:val="27"/>
          <w:rtl/>
        </w:rPr>
        <w:t xml:space="preserve"> </w:t>
      </w:r>
      <w:r w:rsidRPr="00904FCB">
        <w:rPr>
          <w:rFonts w:hint="cs"/>
          <w:sz w:val="27"/>
          <w:rtl/>
        </w:rPr>
        <w:t>بالقياس</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عنف</w:t>
      </w:r>
      <w:r w:rsidRPr="00904FCB">
        <w:rPr>
          <w:sz w:val="27"/>
          <w:rtl/>
        </w:rPr>
        <w:t xml:space="preserve"> </w:t>
      </w:r>
      <w:r w:rsidRPr="00904FCB">
        <w:rPr>
          <w:rFonts w:hint="cs"/>
          <w:sz w:val="27"/>
          <w:rtl/>
        </w:rPr>
        <w:t>الحروب</w:t>
      </w:r>
      <w:r w:rsidRPr="00904FCB">
        <w:rPr>
          <w:sz w:val="27"/>
          <w:rtl/>
        </w:rPr>
        <w:t xml:space="preserve">. </w:t>
      </w:r>
      <w:r w:rsidRPr="00904FCB">
        <w:rPr>
          <w:rFonts w:hint="cs"/>
          <w:sz w:val="27"/>
          <w:rtl/>
        </w:rPr>
        <w:t>و</w:t>
      </w:r>
      <w:r w:rsidR="00D4749A" w:rsidRPr="00904FCB">
        <w:rPr>
          <w:rFonts w:hint="cs"/>
          <w:sz w:val="27"/>
          <w:rtl/>
        </w:rPr>
        <w:t>ك</w:t>
      </w:r>
      <w:r w:rsidRPr="00904FCB">
        <w:rPr>
          <w:rFonts w:hint="cs"/>
          <w:sz w:val="27"/>
          <w:rtl/>
        </w:rPr>
        <w:t>مثال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ذلك</w:t>
      </w:r>
      <w:r w:rsidR="00D4749A" w:rsidRPr="00904FCB">
        <w:rPr>
          <w:rFonts w:hint="cs"/>
          <w:sz w:val="27"/>
          <w:rtl/>
        </w:rPr>
        <w:t>:</w:t>
      </w:r>
      <w:r w:rsidRPr="00904FCB">
        <w:rPr>
          <w:rFonts w:hint="cs"/>
          <w:sz w:val="27"/>
          <w:rtl/>
        </w:rPr>
        <w:t xml:space="preserve"> في</w:t>
      </w:r>
      <w:r w:rsidRPr="00904FCB">
        <w:rPr>
          <w:sz w:val="27"/>
          <w:rtl/>
        </w:rPr>
        <w:t xml:space="preserve"> </w:t>
      </w:r>
      <w:r w:rsidRPr="00904FCB">
        <w:rPr>
          <w:rFonts w:hint="cs"/>
          <w:sz w:val="27"/>
          <w:rtl/>
        </w:rPr>
        <w:t>الحرب</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يكتفي</w:t>
      </w:r>
      <w:r w:rsidRPr="00904FCB">
        <w:rPr>
          <w:sz w:val="27"/>
          <w:rtl/>
        </w:rPr>
        <w:t xml:space="preserve"> </w:t>
      </w:r>
      <w:r w:rsidRPr="00904FCB">
        <w:rPr>
          <w:rFonts w:hint="cs"/>
          <w:sz w:val="27"/>
          <w:rtl/>
        </w:rPr>
        <w:t>الجيش</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القائد</w:t>
      </w:r>
      <w:r w:rsidRPr="00904FCB">
        <w:rPr>
          <w:sz w:val="27"/>
          <w:rtl/>
        </w:rPr>
        <w:t xml:space="preserve"> </w:t>
      </w:r>
      <w:r w:rsidRPr="00904FCB">
        <w:rPr>
          <w:rFonts w:hint="cs"/>
          <w:sz w:val="27"/>
          <w:rtl/>
        </w:rPr>
        <w:t>المحارب</w:t>
      </w:r>
      <w:r w:rsidRPr="00904FCB">
        <w:rPr>
          <w:sz w:val="27"/>
          <w:rtl/>
        </w:rPr>
        <w:t xml:space="preserve"> </w:t>
      </w:r>
      <w:r w:rsidRPr="00904FCB">
        <w:rPr>
          <w:rFonts w:hint="cs"/>
          <w:sz w:val="27"/>
          <w:rtl/>
        </w:rPr>
        <w:t>بتدمير</w:t>
      </w:r>
      <w:r w:rsidRPr="00904FCB">
        <w:rPr>
          <w:sz w:val="27"/>
          <w:rtl/>
        </w:rPr>
        <w:t xml:space="preserve"> </w:t>
      </w:r>
      <w:r w:rsidRPr="00904FCB">
        <w:rPr>
          <w:rFonts w:hint="cs"/>
          <w:sz w:val="27"/>
          <w:rtl/>
        </w:rPr>
        <w:t>دفاعات</w:t>
      </w:r>
      <w:r w:rsidRPr="00904FCB">
        <w:rPr>
          <w:sz w:val="27"/>
          <w:rtl/>
        </w:rPr>
        <w:t xml:space="preserve"> </w:t>
      </w:r>
      <w:r w:rsidRPr="00904FCB">
        <w:rPr>
          <w:rFonts w:hint="cs"/>
          <w:sz w:val="27"/>
          <w:rtl/>
        </w:rPr>
        <w:t>العدو</w:t>
      </w:r>
      <w:r w:rsidR="00D4749A" w:rsidRPr="00904FCB">
        <w:rPr>
          <w:rFonts w:hint="cs"/>
          <w:sz w:val="27"/>
          <w:rtl/>
        </w:rPr>
        <w:t>ّ؛</w:t>
      </w:r>
      <w:r w:rsidRPr="00904FCB">
        <w:rPr>
          <w:sz w:val="27"/>
          <w:rtl/>
        </w:rPr>
        <w:t xml:space="preserve"> </w:t>
      </w:r>
      <w:r w:rsidRPr="00904FCB">
        <w:rPr>
          <w:rFonts w:hint="cs"/>
          <w:sz w:val="27"/>
          <w:rtl/>
        </w:rPr>
        <w:t>لتسهيل</w:t>
      </w:r>
      <w:r w:rsidRPr="00904FCB">
        <w:rPr>
          <w:sz w:val="27"/>
          <w:rtl/>
        </w:rPr>
        <w:t xml:space="preserve"> </w:t>
      </w:r>
      <w:r w:rsidRPr="00904FCB">
        <w:rPr>
          <w:rFonts w:hint="cs"/>
          <w:sz w:val="27"/>
          <w:rtl/>
        </w:rPr>
        <w:t>إلحاق</w:t>
      </w:r>
      <w:r w:rsidRPr="00904FCB">
        <w:rPr>
          <w:sz w:val="27"/>
          <w:rtl/>
        </w:rPr>
        <w:t xml:space="preserve"> </w:t>
      </w:r>
      <w:r w:rsidRPr="00904FCB">
        <w:rPr>
          <w:rFonts w:hint="cs"/>
          <w:sz w:val="27"/>
          <w:rtl/>
        </w:rPr>
        <w:t>الهزيمة</w:t>
      </w:r>
      <w:r w:rsidRPr="00904FCB">
        <w:rPr>
          <w:sz w:val="27"/>
          <w:rtl/>
        </w:rPr>
        <w:t xml:space="preserve"> </w:t>
      </w:r>
      <w:r w:rsidRPr="00904FCB">
        <w:rPr>
          <w:rFonts w:hint="cs"/>
          <w:sz w:val="27"/>
          <w:rtl/>
        </w:rPr>
        <w:t>به</w:t>
      </w:r>
      <w:r w:rsidR="00D4749A" w:rsidRPr="00904FCB">
        <w:rPr>
          <w:rFonts w:hint="cs"/>
          <w:sz w:val="27"/>
          <w:rtl/>
        </w:rPr>
        <w:t>،</w:t>
      </w:r>
      <w:r w:rsidRPr="00904FCB">
        <w:rPr>
          <w:sz w:val="27"/>
          <w:rtl/>
        </w:rPr>
        <w:t xml:space="preserve"> </w:t>
      </w:r>
      <w:r w:rsidRPr="00904FCB">
        <w:rPr>
          <w:rFonts w:hint="cs"/>
          <w:sz w:val="27"/>
          <w:rtl/>
        </w:rPr>
        <w:t>أما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القسوة</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يكتفي</w:t>
      </w:r>
      <w:r w:rsidRPr="00904FCB">
        <w:rPr>
          <w:sz w:val="27"/>
          <w:rtl/>
        </w:rPr>
        <w:t xml:space="preserve"> </w:t>
      </w:r>
      <w:r w:rsidRPr="00904FCB">
        <w:rPr>
          <w:rFonts w:hint="cs"/>
          <w:sz w:val="27"/>
          <w:rtl/>
        </w:rPr>
        <w:t>الجيش</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القائد</w:t>
      </w:r>
      <w:r w:rsidRPr="00904FCB">
        <w:rPr>
          <w:sz w:val="27"/>
          <w:rtl/>
        </w:rPr>
        <w:t xml:space="preserve"> </w:t>
      </w:r>
      <w:r w:rsidRPr="00904FCB">
        <w:rPr>
          <w:rFonts w:hint="cs"/>
          <w:sz w:val="27"/>
          <w:rtl/>
        </w:rPr>
        <w:t>المحارب</w:t>
      </w:r>
      <w:r w:rsidRPr="00904FCB">
        <w:rPr>
          <w:sz w:val="27"/>
          <w:rtl/>
        </w:rPr>
        <w:t xml:space="preserve"> </w:t>
      </w:r>
      <w:r w:rsidRPr="00904FCB">
        <w:rPr>
          <w:rFonts w:hint="cs"/>
          <w:sz w:val="27"/>
          <w:rtl/>
        </w:rPr>
        <w:t>بهزيمة</w:t>
      </w:r>
      <w:r w:rsidRPr="00904FCB">
        <w:rPr>
          <w:sz w:val="27"/>
          <w:rtl/>
        </w:rPr>
        <w:t xml:space="preserve"> </w:t>
      </w:r>
      <w:r w:rsidRPr="00904FCB">
        <w:rPr>
          <w:rFonts w:hint="cs"/>
          <w:sz w:val="27"/>
          <w:rtl/>
        </w:rPr>
        <w:t>العدو</w:t>
      </w:r>
      <w:r w:rsidR="00D4749A" w:rsidRPr="00904FCB">
        <w:rPr>
          <w:rFonts w:hint="cs"/>
          <w:sz w:val="27"/>
          <w:rtl/>
        </w:rPr>
        <w:t>ّ</w:t>
      </w:r>
      <w:r w:rsidRPr="00904FCB">
        <w:rPr>
          <w:rFonts w:hint="cs"/>
          <w:sz w:val="27"/>
          <w:rtl/>
        </w:rPr>
        <w:t>، بل</w:t>
      </w:r>
      <w:r w:rsidRPr="00904FCB">
        <w:rPr>
          <w:sz w:val="27"/>
          <w:rtl/>
        </w:rPr>
        <w:t xml:space="preserve"> </w:t>
      </w:r>
      <w:r w:rsidRPr="00904FCB">
        <w:rPr>
          <w:rFonts w:hint="cs"/>
          <w:sz w:val="27"/>
          <w:rtl/>
        </w:rPr>
        <w:t>يتطلع</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تدميره</w:t>
      </w:r>
      <w:r w:rsidRPr="00904FCB">
        <w:rPr>
          <w:sz w:val="27"/>
          <w:rtl/>
        </w:rPr>
        <w:t xml:space="preserve"> </w:t>
      </w:r>
      <w:r w:rsidRPr="00904FCB">
        <w:rPr>
          <w:rFonts w:hint="cs"/>
          <w:sz w:val="27"/>
          <w:rtl/>
        </w:rPr>
        <w:t>وإفنائه</w:t>
      </w:r>
      <w:r w:rsidRPr="00904FCB">
        <w:rPr>
          <w:sz w:val="27"/>
          <w:rtl/>
        </w:rPr>
        <w:t xml:space="preserve">. </w:t>
      </w:r>
      <w:r w:rsidRPr="00904FCB">
        <w:rPr>
          <w:rFonts w:hint="cs"/>
          <w:sz w:val="27"/>
          <w:rtl/>
        </w:rPr>
        <w:t>وكثيراً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يكتفي</w:t>
      </w:r>
      <w:r w:rsidRPr="00904FCB">
        <w:rPr>
          <w:sz w:val="27"/>
          <w:rtl/>
        </w:rPr>
        <w:t xml:space="preserve"> </w:t>
      </w:r>
      <w:r w:rsidRPr="00904FCB">
        <w:rPr>
          <w:rFonts w:hint="cs"/>
          <w:sz w:val="27"/>
          <w:rtl/>
        </w:rPr>
        <w:t>المستبد</w:t>
      </w:r>
      <w:r w:rsidR="00D4749A" w:rsidRPr="00904FCB">
        <w:rPr>
          <w:rFonts w:hint="cs"/>
          <w:sz w:val="27"/>
          <w:rtl/>
        </w:rPr>
        <w:t>ّ</w:t>
      </w:r>
      <w:r w:rsidRPr="00904FCB">
        <w:rPr>
          <w:sz w:val="27"/>
          <w:rtl/>
        </w:rPr>
        <w:t xml:space="preserve"> </w:t>
      </w:r>
      <w:r w:rsidRPr="00904FCB">
        <w:rPr>
          <w:rFonts w:hint="cs"/>
          <w:sz w:val="27"/>
          <w:rtl/>
        </w:rPr>
        <w:t>الجائر</w:t>
      </w:r>
      <w:r w:rsidRPr="00904FCB">
        <w:rPr>
          <w:sz w:val="27"/>
          <w:rtl/>
        </w:rPr>
        <w:t xml:space="preserve"> </w:t>
      </w:r>
      <w:r w:rsidRPr="00904FCB">
        <w:rPr>
          <w:rFonts w:hint="cs"/>
          <w:sz w:val="27"/>
          <w:rtl/>
        </w:rPr>
        <w:t>باعتقال</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محاكمة</w:t>
      </w:r>
      <w:r w:rsidRPr="00904FCB">
        <w:rPr>
          <w:sz w:val="27"/>
          <w:rtl/>
        </w:rPr>
        <w:t xml:space="preserve"> </w:t>
      </w:r>
      <w:r w:rsidRPr="00904FCB">
        <w:rPr>
          <w:rFonts w:hint="cs"/>
          <w:sz w:val="27"/>
          <w:rtl/>
        </w:rPr>
        <w:t>المعارضين</w:t>
      </w:r>
      <w:r w:rsidRPr="00904FCB">
        <w:rPr>
          <w:sz w:val="27"/>
          <w:rtl/>
        </w:rPr>
        <w:t xml:space="preserve"> </w:t>
      </w:r>
      <w:r w:rsidRPr="00904FCB">
        <w:rPr>
          <w:rFonts w:hint="cs"/>
          <w:sz w:val="27"/>
          <w:rtl/>
        </w:rPr>
        <w:t>السياسيين</w:t>
      </w:r>
      <w:r w:rsidR="00D4749A" w:rsidRPr="00904FCB">
        <w:rPr>
          <w:rFonts w:hint="cs"/>
          <w:sz w:val="27"/>
          <w:rtl/>
        </w:rPr>
        <w:t>،</w:t>
      </w:r>
      <w:r w:rsidRPr="00904FCB">
        <w:rPr>
          <w:sz w:val="27"/>
          <w:rtl/>
        </w:rPr>
        <w:t xml:space="preserve"> </w:t>
      </w:r>
      <w:r w:rsidRPr="00904FCB">
        <w:rPr>
          <w:rFonts w:hint="cs"/>
          <w:sz w:val="27"/>
          <w:rtl/>
        </w:rPr>
        <w:t>والاكتفاء</w:t>
      </w:r>
      <w:r w:rsidRPr="00904FCB">
        <w:rPr>
          <w:sz w:val="27"/>
          <w:rtl/>
        </w:rPr>
        <w:t xml:space="preserve"> </w:t>
      </w:r>
      <w:r w:rsidRPr="00904FCB">
        <w:rPr>
          <w:rFonts w:hint="cs"/>
          <w:sz w:val="27"/>
          <w:rtl/>
        </w:rPr>
        <w:t>بسجنهم، وإن</w:t>
      </w:r>
      <w:r w:rsidR="00D4749A" w:rsidRPr="00904FCB">
        <w:rPr>
          <w:rFonts w:hint="cs"/>
          <w:sz w:val="27"/>
          <w:rtl/>
        </w:rPr>
        <w:t>ّ</w:t>
      </w:r>
      <w:r w:rsidRPr="00904FCB">
        <w:rPr>
          <w:rFonts w:hint="cs"/>
          <w:sz w:val="27"/>
          <w:rtl/>
        </w:rPr>
        <w:t>ما</w:t>
      </w:r>
      <w:r w:rsidRPr="00904FCB">
        <w:rPr>
          <w:sz w:val="27"/>
          <w:rtl/>
        </w:rPr>
        <w:t xml:space="preserve"> </w:t>
      </w:r>
      <w:r w:rsidRPr="00904FCB">
        <w:rPr>
          <w:rFonts w:hint="cs"/>
          <w:sz w:val="27"/>
          <w:rtl/>
        </w:rPr>
        <w:t>يوغل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قتلهم</w:t>
      </w:r>
      <w:r w:rsidRPr="00904FCB">
        <w:rPr>
          <w:sz w:val="27"/>
          <w:rtl/>
        </w:rPr>
        <w:t xml:space="preserve"> </w:t>
      </w:r>
      <w:r w:rsidRPr="00904FCB">
        <w:rPr>
          <w:rFonts w:hint="cs"/>
          <w:sz w:val="27"/>
          <w:rtl/>
        </w:rPr>
        <w:t>والتمثيل</w:t>
      </w:r>
      <w:r w:rsidRPr="00904FCB">
        <w:rPr>
          <w:sz w:val="27"/>
          <w:rtl/>
        </w:rPr>
        <w:t xml:space="preserve"> </w:t>
      </w:r>
      <w:r w:rsidRPr="00904FCB">
        <w:rPr>
          <w:rFonts w:hint="cs"/>
          <w:sz w:val="27"/>
          <w:rtl/>
        </w:rPr>
        <w:lastRenderedPageBreak/>
        <w:t>بضحاياه</w:t>
      </w:r>
      <w:r w:rsidRPr="00904FCB">
        <w:rPr>
          <w:sz w:val="27"/>
          <w:rtl/>
        </w:rPr>
        <w:t xml:space="preserve"> </w:t>
      </w:r>
      <w:r w:rsidRPr="00904FCB">
        <w:rPr>
          <w:rFonts w:hint="cs"/>
          <w:sz w:val="27"/>
          <w:rtl/>
        </w:rPr>
        <w:t>وتحطيمهم</w:t>
      </w:r>
      <w:r w:rsidRPr="00904FCB">
        <w:rPr>
          <w:sz w:val="27"/>
          <w:rtl/>
        </w:rPr>
        <w:t xml:space="preserve"> </w:t>
      </w:r>
      <w:r w:rsidRPr="00904FCB">
        <w:rPr>
          <w:rFonts w:hint="cs"/>
          <w:sz w:val="27"/>
          <w:rtl/>
        </w:rPr>
        <w:t>ذاتياً</w:t>
      </w:r>
      <w:r w:rsidRPr="00904FCB">
        <w:rPr>
          <w:sz w:val="27"/>
          <w:rtl/>
        </w:rPr>
        <w:t xml:space="preserve">. </w:t>
      </w:r>
      <w:r w:rsidRPr="00904FCB">
        <w:rPr>
          <w:rFonts w:hint="cs"/>
          <w:sz w:val="27"/>
          <w:rtl/>
        </w:rPr>
        <w:t>وتبين</w:t>
      </w:r>
      <w:r w:rsidRPr="00904FCB">
        <w:rPr>
          <w:sz w:val="27"/>
          <w:rtl/>
        </w:rPr>
        <w:t xml:space="preserve"> </w:t>
      </w:r>
      <w:r w:rsidRPr="00904FCB">
        <w:rPr>
          <w:rFonts w:hint="cs"/>
          <w:sz w:val="27"/>
          <w:rtl/>
        </w:rPr>
        <w:t>سجلات</w:t>
      </w:r>
      <w:r w:rsidRPr="00904FCB">
        <w:rPr>
          <w:sz w:val="27"/>
          <w:rtl/>
        </w:rPr>
        <w:t xml:space="preserve"> </w:t>
      </w:r>
      <w:r w:rsidRPr="00904FCB">
        <w:rPr>
          <w:rFonts w:hint="cs"/>
          <w:sz w:val="27"/>
          <w:rtl/>
        </w:rPr>
        <w:t>أقبية</w:t>
      </w:r>
      <w:r w:rsidRPr="00904FCB">
        <w:rPr>
          <w:sz w:val="27"/>
          <w:rtl/>
        </w:rPr>
        <w:t xml:space="preserve"> </w:t>
      </w:r>
      <w:r w:rsidRPr="00904FCB">
        <w:rPr>
          <w:rFonts w:hint="cs"/>
          <w:sz w:val="27"/>
          <w:rtl/>
        </w:rPr>
        <w:t>السجون</w:t>
      </w:r>
      <w:r w:rsidRPr="00904FCB">
        <w:rPr>
          <w:sz w:val="27"/>
          <w:rtl/>
        </w:rPr>
        <w:t xml:space="preserve"> </w:t>
      </w:r>
      <w:r w:rsidRPr="00904FCB">
        <w:rPr>
          <w:rFonts w:hint="cs"/>
          <w:sz w:val="27"/>
          <w:rtl/>
        </w:rPr>
        <w:t>ومعتقلات</w:t>
      </w:r>
      <w:r w:rsidRPr="00904FCB">
        <w:rPr>
          <w:sz w:val="27"/>
          <w:rtl/>
        </w:rPr>
        <w:t xml:space="preserve"> </w:t>
      </w:r>
      <w:r w:rsidRPr="00904FCB">
        <w:rPr>
          <w:rFonts w:hint="cs"/>
          <w:sz w:val="27"/>
          <w:rtl/>
        </w:rPr>
        <w:t>التعذيب</w:t>
      </w:r>
      <w:r w:rsidR="00D4749A" w:rsidRPr="00904FCB">
        <w:rPr>
          <w:rFonts w:hint="cs"/>
          <w:sz w:val="27"/>
          <w:rtl/>
        </w:rPr>
        <w:t>،</w:t>
      </w:r>
      <w:r w:rsidRPr="00904FCB">
        <w:rPr>
          <w:sz w:val="27"/>
          <w:rtl/>
        </w:rPr>
        <w:t xml:space="preserve"> </w:t>
      </w:r>
      <w:r w:rsidRPr="00904FCB">
        <w:rPr>
          <w:rFonts w:hint="cs"/>
          <w:sz w:val="27"/>
          <w:rtl/>
        </w:rPr>
        <w:t>وكذلك</w:t>
      </w:r>
      <w:r w:rsidRPr="00904FCB">
        <w:rPr>
          <w:sz w:val="27"/>
          <w:rtl/>
        </w:rPr>
        <w:t xml:space="preserve"> </w:t>
      </w:r>
      <w:r w:rsidRPr="00904FCB">
        <w:rPr>
          <w:rFonts w:hint="cs"/>
          <w:sz w:val="27"/>
          <w:rtl/>
        </w:rPr>
        <w:t>شهادات</w:t>
      </w:r>
      <w:r w:rsidRPr="00904FCB">
        <w:rPr>
          <w:sz w:val="27"/>
          <w:rtl/>
        </w:rPr>
        <w:t xml:space="preserve"> </w:t>
      </w:r>
      <w:r w:rsidRPr="00904FCB">
        <w:rPr>
          <w:rFonts w:hint="cs"/>
          <w:sz w:val="27"/>
          <w:rtl/>
        </w:rPr>
        <w:t>الناجين</w:t>
      </w:r>
      <w:r w:rsidRPr="00904FCB">
        <w:rPr>
          <w:sz w:val="27"/>
          <w:rtl/>
        </w:rPr>
        <w:t xml:space="preserve"> </w:t>
      </w:r>
      <w:r w:rsidRPr="00904FCB">
        <w:rPr>
          <w:rFonts w:hint="cs"/>
          <w:sz w:val="27"/>
          <w:rtl/>
        </w:rPr>
        <w:t>منهم</w:t>
      </w:r>
      <w:r w:rsidR="00D4749A" w:rsidRPr="00904FCB">
        <w:rPr>
          <w:rFonts w:hint="cs"/>
          <w:sz w:val="27"/>
          <w:rtl/>
        </w:rPr>
        <w:t>،</w:t>
      </w:r>
      <w:r w:rsidRPr="00904FCB">
        <w:rPr>
          <w:sz w:val="27"/>
          <w:rtl/>
        </w:rPr>
        <w:t xml:space="preserve"> </w:t>
      </w:r>
      <w:r w:rsidRPr="00904FCB">
        <w:rPr>
          <w:rFonts w:hint="cs"/>
          <w:sz w:val="27"/>
          <w:rtl/>
        </w:rPr>
        <w:t>وقائع</w:t>
      </w:r>
      <w:r w:rsidRPr="00904FCB">
        <w:rPr>
          <w:sz w:val="27"/>
          <w:rtl/>
        </w:rPr>
        <w:t xml:space="preserve"> </w:t>
      </w:r>
      <w:r w:rsidRPr="00904FCB">
        <w:rPr>
          <w:rFonts w:hint="cs"/>
          <w:sz w:val="27"/>
          <w:rtl/>
        </w:rPr>
        <w:t>رهيبة</w:t>
      </w:r>
      <w:r w:rsidR="00D4749A"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فظاعتها</w:t>
      </w:r>
      <w:r w:rsidRPr="00904FCB">
        <w:rPr>
          <w:sz w:val="27"/>
          <w:rtl/>
        </w:rPr>
        <w:t xml:space="preserve"> </w:t>
      </w:r>
      <w:r w:rsidRPr="00904FCB">
        <w:rPr>
          <w:rFonts w:hint="cs"/>
          <w:sz w:val="27"/>
          <w:rtl/>
        </w:rPr>
        <w:t>وبشاعتها</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تكشف</w:t>
      </w:r>
      <w:r w:rsidRPr="00904FCB">
        <w:rPr>
          <w:sz w:val="27"/>
          <w:rtl/>
        </w:rPr>
        <w:t xml:space="preserve"> </w:t>
      </w:r>
      <w:r w:rsidRPr="00904FCB">
        <w:rPr>
          <w:rFonts w:hint="cs"/>
          <w:sz w:val="27"/>
          <w:rtl/>
        </w:rPr>
        <w:t>سجلات</w:t>
      </w:r>
      <w:r w:rsidRPr="00904FCB">
        <w:rPr>
          <w:sz w:val="27"/>
          <w:rtl/>
        </w:rPr>
        <w:t xml:space="preserve"> </w:t>
      </w:r>
      <w:r w:rsidRPr="00904FCB">
        <w:rPr>
          <w:rFonts w:hint="cs"/>
          <w:sz w:val="27"/>
          <w:rtl/>
        </w:rPr>
        <w:t>دوائر</w:t>
      </w:r>
      <w:r w:rsidRPr="00904FCB">
        <w:rPr>
          <w:sz w:val="27"/>
          <w:rtl/>
        </w:rPr>
        <w:t xml:space="preserve"> </w:t>
      </w:r>
      <w:r w:rsidRPr="00904FCB">
        <w:rPr>
          <w:rFonts w:hint="cs"/>
          <w:sz w:val="27"/>
          <w:rtl/>
        </w:rPr>
        <w:t>الأمن</w:t>
      </w:r>
      <w:r w:rsidRPr="00904FCB">
        <w:rPr>
          <w:sz w:val="27"/>
          <w:rtl/>
        </w:rPr>
        <w:t xml:space="preserve"> </w:t>
      </w:r>
      <w:r w:rsidRPr="00904FCB">
        <w:rPr>
          <w:rFonts w:hint="cs"/>
          <w:sz w:val="27"/>
          <w:rtl/>
        </w:rPr>
        <w:t>والمخابرات</w:t>
      </w:r>
      <w:r w:rsidRPr="00904FCB">
        <w:rPr>
          <w:sz w:val="27"/>
          <w:rtl/>
        </w:rPr>
        <w:t xml:space="preserve"> </w:t>
      </w:r>
      <w:r w:rsidRPr="00904FCB">
        <w:rPr>
          <w:rFonts w:hint="cs"/>
          <w:sz w:val="27"/>
          <w:rtl/>
        </w:rPr>
        <w:t>الطبيعة</w:t>
      </w:r>
      <w:r w:rsidRPr="00904FCB">
        <w:rPr>
          <w:sz w:val="27"/>
          <w:rtl/>
        </w:rPr>
        <w:t xml:space="preserve"> </w:t>
      </w:r>
      <w:r w:rsidRPr="00904FCB">
        <w:rPr>
          <w:rFonts w:hint="cs"/>
          <w:sz w:val="27"/>
          <w:rtl/>
        </w:rPr>
        <w:t>القاسية</w:t>
      </w:r>
      <w:r w:rsidRPr="00904FCB">
        <w:rPr>
          <w:sz w:val="27"/>
          <w:rtl/>
        </w:rPr>
        <w:t xml:space="preserve"> </w:t>
      </w:r>
      <w:r w:rsidRPr="00904FCB">
        <w:rPr>
          <w:rFonts w:hint="cs"/>
          <w:sz w:val="27"/>
          <w:rtl/>
        </w:rPr>
        <w:t>للحكام</w:t>
      </w:r>
      <w:r w:rsidRPr="00904FCB">
        <w:rPr>
          <w:sz w:val="27"/>
          <w:rtl/>
        </w:rPr>
        <w:t xml:space="preserve"> </w:t>
      </w:r>
      <w:r w:rsidRPr="00904FCB">
        <w:rPr>
          <w:rFonts w:hint="cs"/>
          <w:sz w:val="27"/>
          <w:rtl/>
        </w:rPr>
        <w:t>المستبد</w:t>
      </w:r>
      <w:r w:rsidR="00D4749A" w:rsidRPr="00904FCB">
        <w:rPr>
          <w:rFonts w:hint="cs"/>
          <w:sz w:val="27"/>
          <w:rtl/>
        </w:rPr>
        <w:t>ّ</w:t>
      </w:r>
      <w:r w:rsidRPr="00904FCB">
        <w:rPr>
          <w:rFonts w:hint="cs"/>
          <w:sz w:val="27"/>
          <w:rtl/>
        </w:rPr>
        <w:t>ين</w:t>
      </w:r>
      <w:r w:rsidRPr="00904FCB">
        <w:rPr>
          <w:sz w:val="27"/>
          <w:rtl/>
        </w:rPr>
        <w:t xml:space="preserve"> </w:t>
      </w:r>
      <w:r w:rsidRPr="00904FCB">
        <w:rPr>
          <w:rFonts w:hint="cs"/>
          <w:sz w:val="27"/>
          <w:rtl/>
        </w:rPr>
        <w:t>وعالمهم</w:t>
      </w:r>
      <w:r w:rsidRPr="00904FCB">
        <w:rPr>
          <w:sz w:val="27"/>
          <w:rtl/>
        </w:rPr>
        <w:t xml:space="preserve"> </w:t>
      </w:r>
      <w:r w:rsidRPr="00904FCB">
        <w:rPr>
          <w:rFonts w:hint="cs"/>
          <w:sz w:val="27"/>
          <w:rtl/>
        </w:rPr>
        <w:t>المخيف، بحيث</w:t>
      </w:r>
      <w:r w:rsidRPr="00904FCB">
        <w:rPr>
          <w:sz w:val="27"/>
          <w:rtl/>
        </w:rPr>
        <w:t xml:space="preserve"> </w:t>
      </w:r>
      <w:r w:rsidRPr="00904FCB">
        <w:rPr>
          <w:rFonts w:hint="cs"/>
          <w:sz w:val="27"/>
          <w:rtl/>
        </w:rPr>
        <w:t>تصبح</w:t>
      </w:r>
      <w:r w:rsidRPr="00904FCB">
        <w:rPr>
          <w:sz w:val="27"/>
          <w:rtl/>
        </w:rPr>
        <w:t xml:space="preserve"> </w:t>
      </w:r>
      <w:r w:rsidRPr="00904FCB">
        <w:rPr>
          <w:rFonts w:hint="cs"/>
          <w:sz w:val="27"/>
          <w:rtl/>
        </w:rPr>
        <w:t>القسوة</w:t>
      </w:r>
      <w:r w:rsidRPr="00904FCB">
        <w:rPr>
          <w:sz w:val="27"/>
          <w:rtl/>
        </w:rPr>
        <w:t xml:space="preserve"> </w:t>
      </w:r>
      <w:r w:rsidRPr="00904FCB">
        <w:rPr>
          <w:rFonts w:hint="cs"/>
          <w:sz w:val="27"/>
          <w:rtl/>
        </w:rPr>
        <w:t>جزء</w:t>
      </w:r>
      <w:r w:rsidR="00D4749A" w:rsidRPr="00904FCB">
        <w:rPr>
          <w:rFonts w:hint="cs"/>
          <w:sz w:val="27"/>
          <w:rtl/>
        </w:rPr>
        <w:t>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المشروع</w:t>
      </w:r>
      <w:r w:rsidRPr="00904FCB">
        <w:rPr>
          <w:sz w:val="27"/>
          <w:rtl/>
        </w:rPr>
        <w:t xml:space="preserve"> </w:t>
      </w:r>
      <w:r w:rsidRPr="00904FCB">
        <w:rPr>
          <w:rFonts w:hint="cs"/>
          <w:sz w:val="27"/>
          <w:rtl/>
        </w:rPr>
        <w:t>السلطوي</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تهدف</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إذلال</w:t>
      </w:r>
      <w:r w:rsidRPr="00904FCB">
        <w:rPr>
          <w:sz w:val="27"/>
          <w:rtl/>
        </w:rPr>
        <w:t xml:space="preserve"> </w:t>
      </w:r>
      <w:r w:rsidRPr="00904FCB">
        <w:rPr>
          <w:rFonts w:hint="cs"/>
          <w:sz w:val="27"/>
          <w:rtl/>
        </w:rPr>
        <w:t>الآخرين</w:t>
      </w:r>
      <w:r w:rsidR="00D4749A" w:rsidRPr="00904FCB">
        <w:rPr>
          <w:rFonts w:hint="cs"/>
          <w:sz w:val="27"/>
          <w:rtl/>
        </w:rPr>
        <w:t>،</w:t>
      </w:r>
      <w:r w:rsidRPr="00904FCB">
        <w:rPr>
          <w:sz w:val="27"/>
          <w:rtl/>
        </w:rPr>
        <w:t xml:space="preserve"> </w:t>
      </w:r>
      <w:r w:rsidRPr="00904FCB">
        <w:rPr>
          <w:rFonts w:hint="cs"/>
          <w:sz w:val="27"/>
          <w:rtl/>
        </w:rPr>
        <w:t>وسحقهم</w:t>
      </w:r>
      <w:r w:rsidR="00D4749A" w:rsidRPr="00904FCB">
        <w:rPr>
          <w:rFonts w:hint="cs"/>
          <w:sz w:val="27"/>
          <w:rtl/>
        </w:rPr>
        <w:t>؛</w:t>
      </w:r>
      <w:r w:rsidRPr="00904FCB">
        <w:rPr>
          <w:sz w:val="27"/>
          <w:rtl/>
        </w:rPr>
        <w:t xml:space="preserve"> </w:t>
      </w:r>
      <w:r w:rsidRPr="00904FCB">
        <w:rPr>
          <w:rFonts w:hint="cs"/>
          <w:sz w:val="27"/>
          <w:rtl/>
        </w:rPr>
        <w:t>ليكونوا</w:t>
      </w:r>
      <w:r w:rsidRPr="00904FCB">
        <w:rPr>
          <w:sz w:val="27"/>
          <w:rtl/>
        </w:rPr>
        <w:t xml:space="preserve"> </w:t>
      </w:r>
      <w:r w:rsidRPr="00904FCB">
        <w:rPr>
          <w:rFonts w:hint="cs"/>
          <w:sz w:val="27"/>
          <w:rtl/>
        </w:rPr>
        <w:t>عبرة</w:t>
      </w:r>
      <w:r w:rsidRPr="00904FCB">
        <w:rPr>
          <w:sz w:val="27"/>
          <w:rtl/>
        </w:rPr>
        <w:t xml:space="preserve"> </w:t>
      </w:r>
      <w:r w:rsidRPr="00904FCB">
        <w:rPr>
          <w:rFonts w:hint="cs"/>
          <w:sz w:val="27"/>
          <w:rtl/>
        </w:rPr>
        <w:t>للمعارضين</w:t>
      </w:r>
      <w:r w:rsidRPr="00904FCB">
        <w:rPr>
          <w:sz w:val="27"/>
          <w:rtl/>
        </w:rPr>
        <w:t xml:space="preserve"> </w:t>
      </w:r>
      <w:r w:rsidRPr="00904FCB">
        <w:rPr>
          <w:rFonts w:hint="cs"/>
          <w:sz w:val="27"/>
          <w:rtl/>
        </w:rPr>
        <w:t>للحكم</w:t>
      </w:r>
      <w:r w:rsidRPr="00904FCB">
        <w:rPr>
          <w:sz w:val="27"/>
          <w:rtl/>
        </w:rPr>
        <w:t xml:space="preserve"> </w:t>
      </w:r>
      <w:r w:rsidRPr="00904FCB">
        <w:rPr>
          <w:rFonts w:hint="cs"/>
          <w:sz w:val="27"/>
          <w:rtl/>
        </w:rPr>
        <w:t>المستبد</w:t>
      </w:r>
      <w:r w:rsidR="00D4749A" w:rsidRPr="00904FCB">
        <w:rPr>
          <w:rFonts w:hint="cs"/>
          <w:sz w:val="27"/>
          <w:rtl/>
        </w:rPr>
        <w:t>ّ</w:t>
      </w:r>
      <w:r w:rsidRPr="00904FCB">
        <w:rPr>
          <w:rFonts w:hint="cs"/>
          <w:sz w:val="27"/>
          <w:rtl/>
        </w:rPr>
        <w:t>، كما</w:t>
      </w:r>
      <w:r w:rsidRPr="00904FCB">
        <w:rPr>
          <w:sz w:val="27"/>
          <w:rtl/>
        </w:rPr>
        <w:t xml:space="preserve"> </w:t>
      </w:r>
      <w:r w:rsidRPr="00904FCB">
        <w:rPr>
          <w:rFonts w:hint="cs"/>
          <w:sz w:val="27"/>
          <w:rtl/>
        </w:rPr>
        <w:t>يحدث</w:t>
      </w:r>
      <w:r w:rsidRPr="00904FCB">
        <w:rPr>
          <w:sz w:val="27"/>
          <w:rtl/>
        </w:rPr>
        <w:t xml:space="preserve"> </w:t>
      </w:r>
      <w:r w:rsidRPr="00904FCB">
        <w:rPr>
          <w:rFonts w:hint="cs"/>
          <w:sz w:val="27"/>
          <w:rtl/>
        </w:rPr>
        <w:t>اليوم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استخدام</w:t>
      </w:r>
      <w:r w:rsidRPr="00904FCB">
        <w:rPr>
          <w:sz w:val="27"/>
          <w:rtl/>
        </w:rPr>
        <w:t xml:space="preserve"> </w:t>
      </w:r>
      <w:r w:rsidRPr="00904FCB">
        <w:rPr>
          <w:rFonts w:hint="cs"/>
          <w:sz w:val="27"/>
          <w:rtl/>
        </w:rPr>
        <w:t>أبشع</w:t>
      </w:r>
      <w:r w:rsidRPr="00904FCB">
        <w:rPr>
          <w:sz w:val="27"/>
          <w:rtl/>
        </w:rPr>
        <w:t xml:space="preserve"> </w:t>
      </w:r>
      <w:r w:rsidRPr="00904FCB">
        <w:rPr>
          <w:rFonts w:hint="cs"/>
          <w:sz w:val="27"/>
          <w:rtl/>
        </w:rPr>
        <w:t>الوسائل</w:t>
      </w:r>
      <w:r w:rsidRPr="00904FCB">
        <w:rPr>
          <w:sz w:val="27"/>
          <w:rtl/>
        </w:rPr>
        <w:t xml:space="preserve"> </w:t>
      </w:r>
      <w:r w:rsidRPr="00904FCB">
        <w:rPr>
          <w:rFonts w:hint="cs"/>
          <w:sz w:val="27"/>
          <w:rtl/>
        </w:rPr>
        <w:t>والأساليب</w:t>
      </w:r>
      <w:r w:rsidRPr="00904FCB">
        <w:rPr>
          <w:sz w:val="27"/>
          <w:rtl/>
        </w:rPr>
        <w:t xml:space="preserve"> </w:t>
      </w:r>
      <w:r w:rsidRPr="00904FCB">
        <w:rPr>
          <w:rFonts w:hint="cs"/>
          <w:sz w:val="27"/>
          <w:rtl/>
        </w:rPr>
        <w:t>وأقساها</w:t>
      </w:r>
      <w:r w:rsidRPr="00904FCB">
        <w:rPr>
          <w:sz w:val="27"/>
          <w:rtl/>
        </w:rPr>
        <w:t xml:space="preserve"> </w:t>
      </w:r>
      <w:r w:rsidRPr="00904FCB">
        <w:rPr>
          <w:rFonts w:hint="cs"/>
          <w:sz w:val="27"/>
          <w:rtl/>
        </w:rPr>
        <w:t>ضد</w:t>
      </w:r>
      <w:r w:rsidR="00D4749A" w:rsidRPr="00904FCB">
        <w:rPr>
          <w:rFonts w:hint="cs"/>
          <w:sz w:val="27"/>
          <w:rtl/>
        </w:rPr>
        <w:t>ّ</w:t>
      </w:r>
      <w:r w:rsidRPr="00904FCB">
        <w:rPr>
          <w:sz w:val="27"/>
          <w:rtl/>
        </w:rPr>
        <w:t xml:space="preserve"> </w:t>
      </w:r>
      <w:r w:rsidRPr="00904FCB">
        <w:rPr>
          <w:rFonts w:hint="cs"/>
          <w:sz w:val="27"/>
          <w:rtl/>
        </w:rPr>
        <w:t>م</w:t>
      </w:r>
      <w:r w:rsidR="00D4749A" w:rsidRPr="00904FCB">
        <w:rPr>
          <w:rFonts w:hint="cs"/>
          <w:sz w:val="27"/>
          <w:rtl/>
        </w:rPr>
        <w:t>َ</w:t>
      </w:r>
      <w:r w:rsidRPr="00904FCB">
        <w:rPr>
          <w:rFonts w:hint="cs"/>
          <w:sz w:val="27"/>
          <w:rtl/>
        </w:rPr>
        <w:t>ن</w:t>
      </w:r>
      <w:r w:rsidR="00D4749A" w:rsidRPr="00904FCB">
        <w:rPr>
          <w:rFonts w:hint="cs"/>
          <w:sz w:val="27"/>
          <w:rtl/>
        </w:rPr>
        <w:t>ْ</w:t>
      </w:r>
      <w:r w:rsidRPr="00904FCB">
        <w:rPr>
          <w:sz w:val="27"/>
          <w:rtl/>
        </w:rPr>
        <w:t xml:space="preserve"> </w:t>
      </w:r>
      <w:r w:rsidRPr="00904FCB">
        <w:rPr>
          <w:rFonts w:hint="cs"/>
          <w:sz w:val="27"/>
          <w:rtl/>
        </w:rPr>
        <w:t>يشارك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ربيع</w:t>
      </w:r>
      <w:r w:rsidRPr="00904FCB">
        <w:rPr>
          <w:sz w:val="27"/>
          <w:rtl/>
        </w:rPr>
        <w:t xml:space="preserve"> </w:t>
      </w:r>
      <w:r w:rsidRPr="00904FCB">
        <w:rPr>
          <w:rFonts w:hint="cs"/>
          <w:sz w:val="27"/>
          <w:rtl/>
        </w:rPr>
        <w:t>الثورات</w:t>
      </w:r>
      <w:r w:rsidRPr="00904FCB">
        <w:rPr>
          <w:sz w:val="27"/>
          <w:rtl/>
        </w:rPr>
        <w:t xml:space="preserve"> </w:t>
      </w:r>
      <w:r w:rsidRPr="00904FCB">
        <w:rPr>
          <w:rFonts w:hint="cs"/>
          <w:sz w:val="27"/>
          <w:rtl/>
        </w:rPr>
        <w:t>العربية</w:t>
      </w:r>
      <w:r w:rsidRPr="00904FCB">
        <w:rPr>
          <w:sz w:val="27"/>
          <w:rtl/>
        </w:rPr>
        <w:t xml:space="preserve"> </w:t>
      </w:r>
      <w:r w:rsidRPr="00904FCB">
        <w:rPr>
          <w:rFonts w:hint="cs"/>
          <w:sz w:val="27"/>
          <w:rtl/>
        </w:rPr>
        <w:t>السلمية</w:t>
      </w:r>
      <w:r w:rsidRPr="00904FCB">
        <w:rPr>
          <w:sz w:val="27"/>
          <w:rtl/>
        </w:rPr>
        <w:t xml:space="preserve">. </w:t>
      </w:r>
    </w:p>
    <w:p w:rsidR="00057E24" w:rsidRPr="00904FCB" w:rsidRDefault="00057E24" w:rsidP="007A21AA">
      <w:pPr>
        <w:spacing w:line="400" w:lineRule="exact"/>
        <w:rPr>
          <w:sz w:val="27"/>
          <w:rtl/>
          <w:lang w:bidi="ar-SY"/>
        </w:rPr>
      </w:pPr>
      <w:r w:rsidRPr="00904FCB">
        <w:rPr>
          <w:rFonts w:hint="cs"/>
          <w:sz w:val="27"/>
          <w:rtl/>
          <w:lang w:bidi="ar-SY"/>
        </w:rPr>
        <w:t>ولا</w:t>
      </w:r>
      <w:r w:rsidRPr="00904FCB">
        <w:rPr>
          <w:sz w:val="27"/>
          <w:rtl/>
          <w:lang w:bidi="ar-SY"/>
        </w:rPr>
        <w:t xml:space="preserve"> </w:t>
      </w:r>
      <w:r w:rsidRPr="00904FCB">
        <w:rPr>
          <w:rFonts w:hint="cs"/>
          <w:sz w:val="27"/>
          <w:rtl/>
          <w:lang w:bidi="ar-SY"/>
        </w:rPr>
        <w:t>ش</w:t>
      </w:r>
      <w:r w:rsidR="00D4749A" w:rsidRPr="00904FCB">
        <w:rPr>
          <w:rFonts w:hint="cs"/>
          <w:sz w:val="27"/>
          <w:rtl/>
          <w:lang w:bidi="ar-SY"/>
        </w:rPr>
        <w:t>َ</w:t>
      </w:r>
      <w:r w:rsidRPr="00904FCB">
        <w:rPr>
          <w:rFonts w:hint="cs"/>
          <w:sz w:val="27"/>
          <w:rtl/>
          <w:lang w:bidi="ar-SY"/>
        </w:rPr>
        <w:t>ك</w:t>
      </w:r>
      <w:r w:rsidR="00D4749A" w:rsidRPr="00904FCB">
        <w:rPr>
          <w:rFonts w:hint="cs"/>
          <w:sz w:val="27"/>
          <w:rtl/>
          <w:lang w:bidi="ar-SY"/>
        </w:rPr>
        <w:t>َّ</w:t>
      </w:r>
      <w:r w:rsidRPr="00904FCB">
        <w:rPr>
          <w:sz w:val="27"/>
          <w:rtl/>
          <w:lang w:bidi="ar-SY"/>
        </w:rPr>
        <w:t xml:space="preserve"> </w:t>
      </w:r>
      <w:r w:rsidRPr="00904FCB">
        <w:rPr>
          <w:rFonts w:hint="cs"/>
          <w:sz w:val="27"/>
          <w:rtl/>
          <w:lang w:bidi="ar-SY"/>
        </w:rPr>
        <w:t>أن</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والقو</w:t>
      </w:r>
      <w:r w:rsidR="00D4749A" w:rsidRPr="00904FCB">
        <w:rPr>
          <w:rFonts w:hint="cs"/>
          <w:sz w:val="27"/>
          <w:rtl/>
          <w:lang w:bidi="ar-SY"/>
        </w:rPr>
        <w:t>ّ</w:t>
      </w:r>
      <w:r w:rsidRPr="00904FCB">
        <w:rPr>
          <w:rFonts w:hint="cs"/>
          <w:sz w:val="27"/>
          <w:rtl/>
          <w:lang w:bidi="ar-SY"/>
        </w:rPr>
        <w:t>ة</w:t>
      </w:r>
      <w:r w:rsidR="00D4749A" w:rsidRPr="00904FCB">
        <w:rPr>
          <w:rFonts w:hint="cs"/>
          <w:sz w:val="27"/>
          <w:rtl/>
          <w:lang w:bidi="ar-SY"/>
        </w:rPr>
        <w:t>،</w:t>
      </w:r>
      <w:r w:rsidRPr="00904FCB">
        <w:rPr>
          <w:sz w:val="27"/>
          <w:rtl/>
          <w:lang w:bidi="ar-SY"/>
        </w:rPr>
        <w:t xml:space="preserve"> </w:t>
      </w:r>
      <w:r w:rsidRPr="00904FCB">
        <w:rPr>
          <w:rFonts w:hint="cs"/>
          <w:sz w:val="27"/>
          <w:rtl/>
          <w:lang w:bidi="ar-SY"/>
        </w:rPr>
        <w:t>واد</w:t>
      </w:r>
      <w:r w:rsidR="00D4749A" w:rsidRPr="00904FCB">
        <w:rPr>
          <w:rFonts w:hint="cs"/>
          <w:sz w:val="27"/>
          <w:rtl/>
          <w:lang w:bidi="ar-SY"/>
        </w:rPr>
        <w:t>ّ</w:t>
      </w:r>
      <w:r w:rsidRPr="00904FCB">
        <w:rPr>
          <w:rFonts w:hint="cs"/>
          <w:sz w:val="27"/>
          <w:rtl/>
          <w:lang w:bidi="ar-SY"/>
        </w:rPr>
        <w:t>عاء</w:t>
      </w:r>
      <w:r w:rsidRPr="00904FCB">
        <w:rPr>
          <w:sz w:val="27"/>
          <w:rtl/>
          <w:lang w:bidi="ar-SY"/>
        </w:rPr>
        <w:t xml:space="preserve"> </w:t>
      </w:r>
      <w:r w:rsidRPr="00904FCB">
        <w:rPr>
          <w:rFonts w:hint="cs"/>
          <w:sz w:val="27"/>
          <w:rtl/>
          <w:lang w:bidi="ar-SY"/>
        </w:rPr>
        <w:t>الفرد</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المجتمع</w:t>
      </w:r>
      <w:r w:rsidRPr="00904FCB">
        <w:rPr>
          <w:sz w:val="27"/>
          <w:rtl/>
          <w:lang w:bidi="ar-SY"/>
        </w:rPr>
        <w:t xml:space="preserve"> </w:t>
      </w:r>
      <w:r w:rsidRPr="00904FCB">
        <w:rPr>
          <w:rFonts w:hint="cs"/>
          <w:sz w:val="27"/>
          <w:rtl/>
          <w:lang w:bidi="ar-SY"/>
        </w:rPr>
        <w:t>امتلاكه</w:t>
      </w:r>
      <w:r w:rsidRPr="00904FCB">
        <w:rPr>
          <w:sz w:val="27"/>
          <w:rtl/>
          <w:lang w:bidi="ar-SY"/>
        </w:rPr>
        <w:t xml:space="preserve"> </w:t>
      </w:r>
      <w:r w:rsidRPr="00904FCB">
        <w:rPr>
          <w:rFonts w:hint="cs"/>
          <w:sz w:val="27"/>
          <w:rtl/>
          <w:lang w:bidi="ar-SY"/>
        </w:rPr>
        <w:t>لـمعيار</w:t>
      </w:r>
      <w:r w:rsidRPr="00904FCB">
        <w:rPr>
          <w:sz w:val="27"/>
          <w:rtl/>
          <w:lang w:bidi="ar-SY"/>
        </w:rPr>
        <w:t xml:space="preserve"> </w:t>
      </w:r>
      <w:r w:rsidRPr="00904FCB">
        <w:rPr>
          <w:rFonts w:hint="cs"/>
          <w:sz w:val="27"/>
          <w:rtl/>
          <w:lang w:bidi="ar-SY"/>
        </w:rPr>
        <w:t>وميزان</w:t>
      </w:r>
      <w:r w:rsidRPr="00904FCB">
        <w:rPr>
          <w:sz w:val="27"/>
          <w:rtl/>
          <w:lang w:bidi="ar-SY"/>
        </w:rPr>
        <w:t xml:space="preserve"> </w:t>
      </w:r>
      <w:r w:rsidRPr="00904FCB">
        <w:rPr>
          <w:rFonts w:hint="eastAsia"/>
          <w:sz w:val="27"/>
          <w:rtl/>
          <w:lang w:bidi="ar-SY"/>
        </w:rPr>
        <w:t>«</w:t>
      </w:r>
      <w:r w:rsidRPr="00904FCB">
        <w:rPr>
          <w:rFonts w:hint="cs"/>
          <w:sz w:val="27"/>
          <w:rtl/>
          <w:lang w:bidi="ar-SY"/>
        </w:rPr>
        <w:t>الحق</w:t>
      </w:r>
      <w:r w:rsidR="00D4749A" w:rsidRPr="00904FCB">
        <w:rPr>
          <w:rFonts w:hint="cs"/>
          <w:sz w:val="27"/>
          <w:rtl/>
          <w:lang w:bidi="ar-SY"/>
        </w:rPr>
        <w:t>ّ</w:t>
      </w:r>
      <w:r w:rsidRPr="00904FCB">
        <w:rPr>
          <w:rFonts w:hint="eastAsia"/>
          <w:sz w:val="27"/>
          <w:rtl/>
        </w:rPr>
        <w:t>»</w:t>
      </w:r>
      <w:r w:rsidR="00D4749A" w:rsidRPr="00904FCB">
        <w:rPr>
          <w:rFonts w:hint="cs"/>
          <w:sz w:val="27"/>
          <w:rtl/>
        </w:rPr>
        <w:t>؛</w:t>
      </w:r>
      <w:r w:rsidRPr="00904FCB">
        <w:rPr>
          <w:sz w:val="27"/>
          <w:rtl/>
          <w:lang w:bidi="ar-SY"/>
        </w:rPr>
        <w:t xml:space="preserve"> </w:t>
      </w:r>
      <w:r w:rsidRPr="00904FCB">
        <w:rPr>
          <w:rFonts w:hint="cs"/>
          <w:sz w:val="27"/>
          <w:rtl/>
          <w:lang w:bidi="ar-SY"/>
        </w:rPr>
        <w:t>لتبرير</w:t>
      </w:r>
      <w:r w:rsidRPr="00904FCB">
        <w:rPr>
          <w:sz w:val="27"/>
          <w:rtl/>
          <w:lang w:bidi="ar-SY"/>
        </w:rPr>
        <w:t xml:space="preserve"> </w:t>
      </w:r>
      <w:r w:rsidRPr="00904FCB">
        <w:rPr>
          <w:rFonts w:hint="cs"/>
          <w:sz w:val="27"/>
          <w:rtl/>
          <w:lang w:bidi="ar-SY"/>
        </w:rPr>
        <w:t>حيازة</w:t>
      </w:r>
      <w:r w:rsidRPr="00904FCB">
        <w:rPr>
          <w:sz w:val="27"/>
          <w:rtl/>
          <w:lang w:bidi="ar-SY"/>
        </w:rPr>
        <w:t xml:space="preserve"> </w:t>
      </w:r>
      <w:r w:rsidRPr="00904FCB">
        <w:rPr>
          <w:rFonts w:hint="cs"/>
          <w:sz w:val="27"/>
          <w:rtl/>
          <w:lang w:bidi="ar-SY"/>
        </w:rPr>
        <w:t>واستعمال</w:t>
      </w:r>
      <w:r w:rsidRPr="00904FCB">
        <w:rPr>
          <w:sz w:val="27"/>
          <w:rtl/>
          <w:lang w:bidi="ar-SY"/>
        </w:rPr>
        <w:t xml:space="preserve"> </w:t>
      </w:r>
      <w:r w:rsidRPr="00904FCB">
        <w:rPr>
          <w:rFonts w:hint="cs"/>
          <w:sz w:val="27"/>
          <w:rtl/>
          <w:lang w:bidi="ar-SY"/>
        </w:rPr>
        <w:t>شت</w:t>
      </w:r>
      <w:r w:rsidR="00D4749A" w:rsidRPr="00904FCB">
        <w:rPr>
          <w:rFonts w:hint="cs"/>
          <w:sz w:val="27"/>
          <w:rtl/>
          <w:lang w:bidi="ar-SY"/>
        </w:rPr>
        <w:t>ّ</w:t>
      </w:r>
      <w:r w:rsidRPr="00904FCB">
        <w:rPr>
          <w:rFonts w:hint="cs"/>
          <w:sz w:val="27"/>
          <w:rtl/>
          <w:lang w:bidi="ar-SY"/>
        </w:rPr>
        <w:t>ى</w:t>
      </w:r>
      <w:r w:rsidRPr="00904FCB">
        <w:rPr>
          <w:sz w:val="27"/>
          <w:rtl/>
          <w:lang w:bidi="ar-SY"/>
        </w:rPr>
        <w:t xml:space="preserve"> </w:t>
      </w:r>
      <w:r w:rsidRPr="00904FCB">
        <w:rPr>
          <w:rFonts w:hint="cs"/>
          <w:sz w:val="27"/>
          <w:rtl/>
          <w:lang w:bidi="ar-SY"/>
        </w:rPr>
        <w:t>وسائل</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ضد</w:t>
      </w:r>
      <w:r w:rsidR="00D4749A" w:rsidRPr="00904FCB">
        <w:rPr>
          <w:rFonts w:hint="cs"/>
          <w:sz w:val="27"/>
          <w:rtl/>
          <w:lang w:bidi="ar-SY"/>
        </w:rPr>
        <w:t>ّ</w:t>
      </w:r>
      <w:r w:rsidRPr="00904FCB">
        <w:rPr>
          <w:sz w:val="27"/>
          <w:rtl/>
          <w:lang w:bidi="ar-SY"/>
        </w:rPr>
        <w:t xml:space="preserve"> </w:t>
      </w:r>
      <w:r w:rsidRPr="00904FCB">
        <w:rPr>
          <w:rFonts w:hint="cs"/>
          <w:sz w:val="27"/>
          <w:rtl/>
          <w:lang w:bidi="ar-SY"/>
        </w:rPr>
        <w:t>الآخر</w:t>
      </w:r>
      <w:r w:rsidR="00D4749A" w:rsidRPr="00904FCB">
        <w:rPr>
          <w:rFonts w:hint="cs"/>
          <w:sz w:val="27"/>
          <w:rtl/>
          <w:lang w:bidi="ar-SY"/>
        </w:rPr>
        <w:t>،</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الحد</w:t>
      </w:r>
      <w:r w:rsidR="00D4749A" w:rsidRPr="00904FCB">
        <w:rPr>
          <w:rFonts w:hint="cs"/>
          <w:sz w:val="27"/>
          <w:rtl/>
          <w:lang w:bidi="ar-SY"/>
        </w:rPr>
        <w:t>ّ</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إمكانياته</w:t>
      </w:r>
      <w:r w:rsidRPr="00904FCB">
        <w:rPr>
          <w:sz w:val="27"/>
          <w:rtl/>
          <w:lang w:bidi="ar-SY"/>
        </w:rPr>
        <w:t xml:space="preserve"> </w:t>
      </w:r>
      <w:r w:rsidRPr="00904FCB">
        <w:rPr>
          <w:rFonts w:hint="cs"/>
          <w:sz w:val="27"/>
          <w:rtl/>
          <w:lang w:bidi="ar-SY"/>
        </w:rPr>
        <w:t>وتأثيراته</w:t>
      </w:r>
      <w:r w:rsidR="00D4749A" w:rsidRPr="00904FCB">
        <w:rPr>
          <w:rFonts w:hint="cs"/>
          <w:sz w:val="27"/>
          <w:rtl/>
          <w:lang w:bidi="ar-SY"/>
        </w:rPr>
        <w:t>،</w:t>
      </w:r>
      <w:r w:rsidRPr="00904FCB">
        <w:rPr>
          <w:sz w:val="27"/>
          <w:rtl/>
          <w:lang w:bidi="ar-SY"/>
        </w:rPr>
        <w:t xml:space="preserve"> </w:t>
      </w:r>
      <w:r w:rsidRPr="00904FCB">
        <w:rPr>
          <w:rFonts w:hint="cs"/>
          <w:sz w:val="27"/>
          <w:rtl/>
          <w:lang w:bidi="ar-SY"/>
        </w:rPr>
        <w:t>هو</w:t>
      </w:r>
      <w:r w:rsidRPr="00904FCB">
        <w:rPr>
          <w:sz w:val="27"/>
          <w:rtl/>
          <w:lang w:bidi="ar-SY"/>
        </w:rPr>
        <w:t xml:space="preserve"> </w:t>
      </w:r>
      <w:r w:rsidRPr="00904FCB">
        <w:rPr>
          <w:rFonts w:hint="cs"/>
          <w:sz w:val="27"/>
          <w:rtl/>
          <w:lang w:bidi="ar-SY"/>
        </w:rPr>
        <w:t>أمر</w:t>
      </w:r>
      <w:r w:rsidRPr="00904FCB">
        <w:rPr>
          <w:sz w:val="27"/>
          <w:rtl/>
          <w:lang w:bidi="ar-SY"/>
        </w:rPr>
        <w:t xml:space="preserve"> </w:t>
      </w:r>
      <w:r w:rsidRPr="00904FCB">
        <w:rPr>
          <w:rFonts w:hint="cs"/>
          <w:sz w:val="27"/>
          <w:rtl/>
          <w:lang w:bidi="ar-SY"/>
        </w:rPr>
        <w:t>مشترك</w:t>
      </w:r>
      <w:r w:rsidRPr="00904FCB">
        <w:rPr>
          <w:sz w:val="27"/>
          <w:rtl/>
          <w:lang w:bidi="ar-SY"/>
        </w:rPr>
        <w:t xml:space="preserve"> </w:t>
      </w:r>
      <w:r w:rsidRPr="00904FCB">
        <w:rPr>
          <w:rFonts w:hint="cs"/>
          <w:sz w:val="27"/>
          <w:rtl/>
          <w:lang w:bidi="ar-SY"/>
        </w:rPr>
        <w:t>بين</w:t>
      </w:r>
      <w:r w:rsidRPr="00904FCB">
        <w:rPr>
          <w:sz w:val="27"/>
          <w:rtl/>
          <w:lang w:bidi="ar-SY"/>
        </w:rPr>
        <w:t xml:space="preserve"> </w:t>
      </w:r>
      <w:r w:rsidRPr="00904FCB">
        <w:rPr>
          <w:rFonts w:hint="cs"/>
          <w:sz w:val="27"/>
          <w:rtl/>
          <w:lang w:bidi="ar-SY"/>
        </w:rPr>
        <w:t>كل</w:t>
      </w:r>
      <w:r w:rsidR="00D4749A" w:rsidRPr="00904FCB">
        <w:rPr>
          <w:rFonts w:hint="cs"/>
          <w:sz w:val="27"/>
          <w:rtl/>
          <w:lang w:bidi="ar-SY"/>
        </w:rPr>
        <w:t>ّ</w:t>
      </w:r>
      <w:r w:rsidRPr="00904FCB">
        <w:rPr>
          <w:sz w:val="27"/>
          <w:rtl/>
          <w:lang w:bidi="ar-SY"/>
        </w:rPr>
        <w:t xml:space="preserve"> </w:t>
      </w:r>
      <w:r w:rsidRPr="00904FCB">
        <w:rPr>
          <w:rFonts w:hint="cs"/>
          <w:sz w:val="27"/>
          <w:rtl/>
          <w:lang w:bidi="ar-SY"/>
        </w:rPr>
        <w:t>الكيانات</w:t>
      </w:r>
      <w:r w:rsidRPr="00904FCB">
        <w:rPr>
          <w:sz w:val="27"/>
          <w:rtl/>
          <w:lang w:bidi="ar-SY"/>
        </w:rPr>
        <w:t xml:space="preserve"> </w:t>
      </w:r>
      <w:r w:rsidRPr="00904FCB">
        <w:rPr>
          <w:rFonts w:hint="cs"/>
          <w:sz w:val="27"/>
          <w:rtl/>
          <w:lang w:bidi="ar-SY"/>
        </w:rPr>
        <w:t>والجماعات</w:t>
      </w:r>
      <w:r w:rsidRPr="00904FCB">
        <w:rPr>
          <w:sz w:val="27"/>
          <w:rtl/>
          <w:lang w:bidi="ar-SY"/>
        </w:rPr>
        <w:t xml:space="preserve"> </w:t>
      </w:r>
      <w:r w:rsidRPr="00904FCB">
        <w:rPr>
          <w:rFonts w:hint="cs"/>
          <w:sz w:val="27"/>
          <w:rtl/>
          <w:lang w:bidi="ar-SY"/>
        </w:rPr>
        <w:t>والقوى</w:t>
      </w:r>
      <w:r w:rsidRPr="00904FCB">
        <w:rPr>
          <w:sz w:val="27"/>
          <w:rtl/>
          <w:lang w:bidi="ar-SY"/>
        </w:rPr>
        <w:t xml:space="preserve"> </w:t>
      </w:r>
      <w:r w:rsidRPr="00904FCB">
        <w:rPr>
          <w:rFonts w:hint="cs"/>
          <w:sz w:val="27"/>
          <w:rtl/>
          <w:lang w:bidi="ar-SY"/>
        </w:rPr>
        <w:t>والمراكز</w:t>
      </w:r>
      <w:r w:rsidRPr="00904FCB">
        <w:rPr>
          <w:sz w:val="27"/>
          <w:rtl/>
          <w:lang w:bidi="ar-SY"/>
        </w:rPr>
        <w:t xml:space="preserve"> </w:t>
      </w:r>
      <w:r w:rsidRPr="00904FCB">
        <w:rPr>
          <w:rFonts w:hint="cs"/>
          <w:sz w:val="27"/>
          <w:rtl/>
          <w:lang w:bidi="ar-SY"/>
        </w:rPr>
        <w:t>الحضارية</w:t>
      </w:r>
      <w:r w:rsidR="00D4749A" w:rsidRPr="00904FCB">
        <w:rPr>
          <w:rFonts w:hint="cs"/>
          <w:sz w:val="27"/>
          <w:rtl/>
          <w:lang w:bidi="ar-SY"/>
        </w:rPr>
        <w:t>،</w:t>
      </w:r>
      <w:r w:rsidRPr="00904FCB">
        <w:rPr>
          <w:sz w:val="27"/>
          <w:rtl/>
          <w:lang w:bidi="ar-SY"/>
        </w:rPr>
        <w:t xml:space="preserve"> </w:t>
      </w:r>
      <w:r w:rsidRPr="00904FCB">
        <w:rPr>
          <w:rFonts w:hint="cs"/>
          <w:sz w:val="27"/>
          <w:rtl/>
          <w:lang w:bidi="ar-SY"/>
        </w:rPr>
        <w:t>القديمة</w:t>
      </w:r>
      <w:r w:rsidRPr="00904FCB">
        <w:rPr>
          <w:sz w:val="27"/>
          <w:rtl/>
          <w:lang w:bidi="ar-SY"/>
        </w:rPr>
        <w:t xml:space="preserve"> </w:t>
      </w:r>
      <w:r w:rsidRPr="00904FCB">
        <w:rPr>
          <w:rFonts w:hint="cs"/>
          <w:sz w:val="27"/>
          <w:rtl/>
          <w:lang w:bidi="ar-SY"/>
        </w:rPr>
        <w:t>والحديثة</w:t>
      </w:r>
      <w:r w:rsidR="00D4749A" w:rsidRPr="00904FCB">
        <w:rPr>
          <w:rFonts w:hint="cs"/>
          <w:sz w:val="27"/>
          <w:rtl/>
          <w:lang w:bidi="ar-SY"/>
        </w:rPr>
        <w:t>.</w:t>
      </w:r>
      <w:r w:rsidRPr="00904FCB">
        <w:rPr>
          <w:rFonts w:hint="cs"/>
          <w:sz w:val="27"/>
          <w:rtl/>
          <w:lang w:bidi="ar-SY"/>
        </w:rPr>
        <w:t xml:space="preserve"> ولكن</w:t>
      </w:r>
      <w:r w:rsidRPr="00904FCB">
        <w:rPr>
          <w:sz w:val="27"/>
          <w:rtl/>
          <w:lang w:bidi="ar-SY"/>
        </w:rPr>
        <w:t xml:space="preserve"> </w:t>
      </w:r>
      <w:r w:rsidRPr="00904FCB">
        <w:rPr>
          <w:rFonts w:hint="cs"/>
          <w:sz w:val="27"/>
          <w:rtl/>
          <w:lang w:bidi="ar-SY"/>
        </w:rPr>
        <w:t>الاختلاف</w:t>
      </w:r>
      <w:r w:rsidRPr="00904FCB">
        <w:rPr>
          <w:sz w:val="27"/>
          <w:rtl/>
          <w:lang w:bidi="ar-SY"/>
        </w:rPr>
        <w:t xml:space="preserve"> </w:t>
      </w:r>
      <w:r w:rsidRPr="00904FCB">
        <w:rPr>
          <w:rFonts w:hint="cs"/>
          <w:sz w:val="27"/>
          <w:rtl/>
          <w:lang w:bidi="ar-SY"/>
        </w:rPr>
        <w:t>بالطبع</w:t>
      </w:r>
      <w:r w:rsidRPr="00904FCB">
        <w:rPr>
          <w:sz w:val="27"/>
          <w:rtl/>
          <w:lang w:bidi="ar-SY"/>
        </w:rPr>
        <w:t xml:space="preserve"> </w:t>
      </w:r>
      <w:r w:rsidRPr="00904FCB">
        <w:rPr>
          <w:rFonts w:hint="cs"/>
          <w:sz w:val="27"/>
          <w:rtl/>
          <w:lang w:bidi="ar-SY"/>
        </w:rPr>
        <w:t>عائد</w:t>
      </w:r>
      <w:r w:rsidR="00D4749A" w:rsidRPr="00904FCB">
        <w:rPr>
          <w:rFonts w:hint="cs"/>
          <w:sz w:val="27"/>
          <w:rtl/>
          <w:lang w:bidi="ar-SY"/>
        </w:rPr>
        <w:t>ٌ</w:t>
      </w:r>
      <w:r w:rsidRPr="00904FCB">
        <w:rPr>
          <w:sz w:val="27"/>
          <w:rtl/>
          <w:lang w:bidi="ar-SY"/>
        </w:rPr>
        <w:t xml:space="preserve"> </w:t>
      </w:r>
      <w:r w:rsidRPr="00904FCB">
        <w:rPr>
          <w:rFonts w:hint="cs"/>
          <w:sz w:val="27"/>
          <w:rtl/>
          <w:lang w:bidi="ar-SY"/>
        </w:rPr>
        <w:t>إلى</w:t>
      </w:r>
      <w:r w:rsidRPr="00904FCB">
        <w:rPr>
          <w:sz w:val="27"/>
          <w:rtl/>
          <w:lang w:bidi="ar-SY"/>
        </w:rPr>
        <w:t xml:space="preserve"> </w:t>
      </w:r>
      <w:r w:rsidRPr="00904FCB">
        <w:rPr>
          <w:rFonts w:hint="cs"/>
          <w:sz w:val="27"/>
          <w:rtl/>
          <w:lang w:bidi="ar-SY"/>
        </w:rPr>
        <w:t>نوعية</w:t>
      </w:r>
      <w:r w:rsidRPr="00904FCB">
        <w:rPr>
          <w:sz w:val="27"/>
          <w:rtl/>
          <w:lang w:bidi="ar-SY"/>
        </w:rPr>
        <w:t xml:space="preserve"> </w:t>
      </w:r>
      <w:r w:rsidRPr="00904FCB">
        <w:rPr>
          <w:rFonts w:hint="cs"/>
          <w:sz w:val="27"/>
          <w:rtl/>
          <w:lang w:bidi="ar-SY"/>
        </w:rPr>
        <w:t>وطبيعة</w:t>
      </w:r>
      <w:r w:rsidRPr="00904FCB">
        <w:rPr>
          <w:sz w:val="27"/>
          <w:rtl/>
          <w:lang w:bidi="ar-SY"/>
        </w:rPr>
        <w:t xml:space="preserve"> </w:t>
      </w:r>
      <w:r w:rsidRPr="00904FCB">
        <w:rPr>
          <w:rFonts w:hint="cs"/>
          <w:sz w:val="27"/>
          <w:rtl/>
          <w:lang w:bidi="ar-SY"/>
        </w:rPr>
        <w:t>القوانين</w:t>
      </w:r>
      <w:r w:rsidRPr="00904FCB">
        <w:rPr>
          <w:sz w:val="27"/>
          <w:rtl/>
          <w:lang w:bidi="ar-SY"/>
        </w:rPr>
        <w:t xml:space="preserve"> </w:t>
      </w:r>
      <w:r w:rsidRPr="00904FCB">
        <w:rPr>
          <w:rFonts w:hint="cs"/>
          <w:sz w:val="27"/>
          <w:rtl/>
          <w:lang w:bidi="ar-SY"/>
        </w:rPr>
        <w:t>العنفية</w:t>
      </w:r>
      <w:r w:rsidR="00D4749A" w:rsidRPr="00904FCB">
        <w:rPr>
          <w:rFonts w:hint="cs"/>
          <w:sz w:val="27"/>
          <w:rtl/>
          <w:lang w:bidi="ar-SY"/>
        </w:rPr>
        <w:t>،</w:t>
      </w:r>
      <w:r w:rsidRPr="00904FCB">
        <w:rPr>
          <w:sz w:val="27"/>
          <w:rtl/>
          <w:lang w:bidi="ar-SY"/>
        </w:rPr>
        <w:t xml:space="preserve"> </w:t>
      </w:r>
      <w:r w:rsidRPr="00904FCB">
        <w:rPr>
          <w:rFonts w:hint="cs"/>
          <w:sz w:val="27"/>
          <w:rtl/>
          <w:lang w:bidi="ar-SY"/>
        </w:rPr>
        <w:t>وآليات</w:t>
      </w:r>
      <w:r w:rsidRPr="00904FCB">
        <w:rPr>
          <w:sz w:val="27"/>
          <w:rtl/>
          <w:lang w:bidi="ar-SY"/>
        </w:rPr>
        <w:t xml:space="preserve"> </w:t>
      </w:r>
      <w:r w:rsidRPr="00904FCB">
        <w:rPr>
          <w:rFonts w:hint="cs"/>
          <w:sz w:val="27"/>
          <w:rtl/>
          <w:lang w:bidi="ar-SY"/>
        </w:rPr>
        <w:t>وإمكانيات</w:t>
      </w:r>
      <w:r w:rsidRPr="00904FCB">
        <w:rPr>
          <w:sz w:val="27"/>
          <w:rtl/>
          <w:lang w:bidi="ar-SY"/>
        </w:rPr>
        <w:t xml:space="preserve"> </w:t>
      </w:r>
      <w:r w:rsidRPr="00904FCB">
        <w:rPr>
          <w:rFonts w:hint="cs"/>
          <w:sz w:val="27"/>
          <w:rtl/>
          <w:lang w:bidi="ar-SY"/>
        </w:rPr>
        <w:t>تحق</w:t>
      </w:r>
      <w:r w:rsidR="00D4749A" w:rsidRPr="00904FCB">
        <w:rPr>
          <w:rFonts w:hint="cs"/>
          <w:sz w:val="27"/>
          <w:rtl/>
          <w:lang w:bidi="ar-SY"/>
        </w:rPr>
        <w:t>ُّ</w:t>
      </w:r>
      <w:r w:rsidRPr="00904FCB">
        <w:rPr>
          <w:rFonts w:hint="cs"/>
          <w:sz w:val="27"/>
          <w:rtl/>
          <w:lang w:bidi="ar-SY"/>
        </w:rPr>
        <w:t>قها، ومدى</w:t>
      </w:r>
      <w:r w:rsidRPr="00904FCB">
        <w:rPr>
          <w:sz w:val="27"/>
          <w:rtl/>
          <w:lang w:bidi="ar-SY"/>
        </w:rPr>
        <w:t xml:space="preserve"> </w:t>
      </w:r>
      <w:r w:rsidRPr="00904FCB">
        <w:rPr>
          <w:rFonts w:hint="cs"/>
          <w:sz w:val="27"/>
          <w:rtl/>
          <w:lang w:bidi="ar-SY"/>
        </w:rPr>
        <w:t>مصداقيتها</w:t>
      </w:r>
      <w:r w:rsidRPr="00904FCB">
        <w:rPr>
          <w:sz w:val="27"/>
          <w:rtl/>
          <w:lang w:bidi="ar-SY"/>
        </w:rPr>
        <w:t xml:space="preserve"> </w:t>
      </w:r>
      <w:r w:rsidRPr="00904FCB">
        <w:rPr>
          <w:rFonts w:hint="cs"/>
          <w:sz w:val="27"/>
          <w:rtl/>
          <w:lang w:bidi="ar-SY"/>
        </w:rPr>
        <w:t>وأثرها</w:t>
      </w:r>
      <w:r w:rsidRPr="00904FCB">
        <w:rPr>
          <w:sz w:val="27"/>
          <w:rtl/>
          <w:lang w:bidi="ar-SY"/>
        </w:rPr>
        <w:t xml:space="preserve"> </w:t>
      </w:r>
      <w:r w:rsidRPr="00904FCB">
        <w:rPr>
          <w:rFonts w:hint="cs"/>
          <w:sz w:val="27"/>
          <w:rtl/>
          <w:lang w:bidi="ar-SY"/>
        </w:rPr>
        <w:t>الإيجابي</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تطو</w:t>
      </w:r>
      <w:r w:rsidR="00D4749A" w:rsidRPr="00904FCB">
        <w:rPr>
          <w:rFonts w:hint="cs"/>
          <w:sz w:val="27"/>
          <w:rtl/>
          <w:lang w:bidi="ar-SY"/>
        </w:rPr>
        <w:t>ّ</w:t>
      </w:r>
      <w:r w:rsidRPr="00904FCB">
        <w:rPr>
          <w:rFonts w:hint="cs"/>
          <w:sz w:val="27"/>
          <w:rtl/>
          <w:lang w:bidi="ar-SY"/>
        </w:rPr>
        <w:t>ر</w:t>
      </w:r>
      <w:r w:rsidRPr="00904FCB">
        <w:rPr>
          <w:sz w:val="27"/>
          <w:rtl/>
          <w:lang w:bidi="ar-SY"/>
        </w:rPr>
        <w:t xml:space="preserve"> </w:t>
      </w:r>
      <w:r w:rsidRPr="00904FCB">
        <w:rPr>
          <w:rFonts w:hint="cs"/>
          <w:sz w:val="27"/>
          <w:rtl/>
          <w:lang w:bidi="ar-SY"/>
        </w:rPr>
        <w:t>الفرد</w:t>
      </w:r>
      <w:r w:rsidRPr="00904FCB">
        <w:rPr>
          <w:sz w:val="27"/>
          <w:rtl/>
          <w:lang w:bidi="ar-SY"/>
        </w:rPr>
        <w:t xml:space="preserve"> </w:t>
      </w:r>
      <w:r w:rsidRPr="00904FCB">
        <w:rPr>
          <w:rFonts w:hint="cs"/>
          <w:sz w:val="27"/>
          <w:rtl/>
          <w:lang w:bidi="ar-SY"/>
        </w:rPr>
        <w:t>والمجتمع</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مستوى</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المقبول</w:t>
      </w:r>
      <w:r w:rsidRPr="00904FCB">
        <w:rPr>
          <w:sz w:val="27"/>
          <w:rtl/>
          <w:lang w:bidi="ar-SY"/>
        </w:rPr>
        <w:t xml:space="preserve"> </w:t>
      </w:r>
      <w:r w:rsidRPr="00904FCB">
        <w:rPr>
          <w:rFonts w:hint="cs"/>
          <w:sz w:val="27"/>
          <w:rtl/>
          <w:lang w:bidi="ar-SY"/>
        </w:rPr>
        <w:t>والعنف</w:t>
      </w:r>
      <w:r w:rsidRPr="00904FCB">
        <w:rPr>
          <w:sz w:val="27"/>
          <w:rtl/>
          <w:lang w:bidi="ar-SY"/>
        </w:rPr>
        <w:t xml:space="preserve"> </w:t>
      </w:r>
      <w:r w:rsidRPr="00904FCB">
        <w:rPr>
          <w:rFonts w:hint="cs"/>
          <w:sz w:val="27"/>
          <w:rtl/>
          <w:lang w:bidi="ar-SY"/>
        </w:rPr>
        <w:t>غير</w:t>
      </w:r>
      <w:r w:rsidRPr="00904FCB">
        <w:rPr>
          <w:sz w:val="27"/>
          <w:rtl/>
          <w:lang w:bidi="ar-SY"/>
        </w:rPr>
        <w:t xml:space="preserve"> </w:t>
      </w:r>
      <w:r w:rsidRPr="00904FCB">
        <w:rPr>
          <w:rFonts w:hint="cs"/>
          <w:sz w:val="27"/>
          <w:rtl/>
          <w:lang w:bidi="ar-SY"/>
        </w:rPr>
        <w:t>المقبول</w:t>
      </w:r>
      <w:r w:rsidRPr="00904FCB">
        <w:rPr>
          <w:sz w:val="27"/>
          <w:rtl/>
          <w:lang w:bidi="ar-SY"/>
        </w:rPr>
        <w:t xml:space="preserve">... </w:t>
      </w:r>
      <w:r w:rsidRPr="00904FCB">
        <w:rPr>
          <w:rFonts w:hint="cs"/>
          <w:sz w:val="27"/>
          <w:rtl/>
          <w:lang w:bidi="ar-SY"/>
        </w:rPr>
        <w:t>وأيضاً</w:t>
      </w:r>
      <w:r w:rsidRPr="00904FCB">
        <w:rPr>
          <w:sz w:val="27"/>
          <w:rtl/>
          <w:lang w:bidi="ar-SY"/>
        </w:rPr>
        <w:t xml:space="preserve"> </w:t>
      </w:r>
      <w:r w:rsidRPr="00904FCB">
        <w:rPr>
          <w:rFonts w:hint="cs"/>
          <w:sz w:val="27"/>
          <w:rtl/>
          <w:lang w:bidi="ar-SY"/>
        </w:rPr>
        <w:t>عائد</w:t>
      </w:r>
      <w:r w:rsidR="00D4749A" w:rsidRPr="00904FCB">
        <w:rPr>
          <w:rFonts w:hint="cs"/>
          <w:sz w:val="27"/>
          <w:rtl/>
          <w:lang w:bidi="ar-SY"/>
        </w:rPr>
        <w:t>ٌ</w:t>
      </w:r>
      <w:r w:rsidRPr="00904FCB">
        <w:rPr>
          <w:sz w:val="27"/>
          <w:rtl/>
          <w:lang w:bidi="ar-SY"/>
        </w:rPr>
        <w:t xml:space="preserve"> </w:t>
      </w:r>
      <w:r w:rsidRPr="00904FCB">
        <w:rPr>
          <w:rFonts w:hint="cs"/>
          <w:sz w:val="27"/>
          <w:rtl/>
          <w:lang w:bidi="ar-SY"/>
        </w:rPr>
        <w:t>إلى</w:t>
      </w:r>
      <w:r w:rsidRPr="00904FCB">
        <w:rPr>
          <w:sz w:val="27"/>
          <w:rtl/>
          <w:lang w:bidi="ar-SY"/>
        </w:rPr>
        <w:t xml:space="preserve"> </w:t>
      </w:r>
      <w:r w:rsidRPr="00904FCB">
        <w:rPr>
          <w:rFonts w:hint="cs"/>
          <w:sz w:val="27"/>
          <w:rtl/>
          <w:lang w:bidi="ar-SY"/>
        </w:rPr>
        <w:t>التطو</w:t>
      </w:r>
      <w:r w:rsidR="00D4749A" w:rsidRPr="00904FCB">
        <w:rPr>
          <w:rFonts w:hint="cs"/>
          <w:sz w:val="27"/>
          <w:rtl/>
          <w:lang w:bidi="ar-SY"/>
        </w:rPr>
        <w:t>ُّ</w:t>
      </w:r>
      <w:r w:rsidRPr="00904FCB">
        <w:rPr>
          <w:rFonts w:hint="cs"/>
          <w:sz w:val="27"/>
          <w:rtl/>
          <w:lang w:bidi="ar-SY"/>
        </w:rPr>
        <w:t>ر</w:t>
      </w:r>
      <w:r w:rsidRPr="00904FCB">
        <w:rPr>
          <w:sz w:val="27"/>
          <w:rtl/>
          <w:lang w:bidi="ar-SY"/>
        </w:rPr>
        <w:t xml:space="preserve"> </w:t>
      </w:r>
      <w:r w:rsidRPr="00904FCB">
        <w:rPr>
          <w:rFonts w:hint="cs"/>
          <w:sz w:val="27"/>
          <w:rtl/>
          <w:lang w:bidi="ar-SY"/>
        </w:rPr>
        <w:t>الإنساني</w:t>
      </w:r>
      <w:r w:rsidRPr="00904FCB">
        <w:rPr>
          <w:sz w:val="27"/>
          <w:rtl/>
          <w:lang w:bidi="ar-SY"/>
        </w:rPr>
        <w:t xml:space="preserve"> </w:t>
      </w:r>
      <w:r w:rsidRPr="00904FCB">
        <w:rPr>
          <w:rFonts w:hint="cs"/>
          <w:sz w:val="27"/>
          <w:rtl/>
          <w:lang w:bidi="ar-SY"/>
        </w:rPr>
        <w:t>اللاحق</w:t>
      </w:r>
      <w:r w:rsidRPr="00904FCB">
        <w:rPr>
          <w:sz w:val="27"/>
          <w:rtl/>
          <w:lang w:bidi="ar-SY"/>
        </w:rPr>
        <w:t xml:space="preserve"> </w:t>
      </w:r>
      <w:r w:rsidRPr="00904FCB">
        <w:rPr>
          <w:rFonts w:hint="cs"/>
          <w:sz w:val="27"/>
          <w:rtl/>
          <w:lang w:bidi="ar-SY"/>
        </w:rPr>
        <w:t>الذي</w:t>
      </w:r>
      <w:r w:rsidRPr="00904FCB">
        <w:rPr>
          <w:sz w:val="27"/>
          <w:rtl/>
          <w:lang w:bidi="ar-SY"/>
        </w:rPr>
        <w:t xml:space="preserve"> </w:t>
      </w:r>
      <w:r w:rsidRPr="00904FCB">
        <w:rPr>
          <w:rFonts w:hint="cs"/>
          <w:sz w:val="27"/>
          <w:rtl/>
          <w:lang w:bidi="ar-SY"/>
        </w:rPr>
        <w:t>طرأ</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حركة</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والقوة</w:t>
      </w:r>
      <w:r w:rsidR="00D4749A" w:rsidRPr="00904FCB">
        <w:rPr>
          <w:rFonts w:hint="cs"/>
          <w:sz w:val="27"/>
          <w:rtl/>
          <w:lang w:bidi="ar-SY"/>
        </w:rPr>
        <w:t>،</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خلال</w:t>
      </w:r>
      <w:r w:rsidRPr="00904FCB">
        <w:rPr>
          <w:sz w:val="27"/>
          <w:rtl/>
          <w:lang w:bidi="ar-SY"/>
        </w:rPr>
        <w:t xml:space="preserve"> </w:t>
      </w:r>
      <w:r w:rsidRPr="00904FCB">
        <w:rPr>
          <w:rFonts w:hint="cs"/>
          <w:sz w:val="27"/>
          <w:rtl/>
          <w:lang w:bidi="ar-SY"/>
        </w:rPr>
        <w:t>تقييد</w:t>
      </w:r>
      <w:r w:rsidRPr="00904FCB">
        <w:rPr>
          <w:sz w:val="27"/>
          <w:rtl/>
          <w:lang w:bidi="ar-SY"/>
        </w:rPr>
        <w:t xml:space="preserve"> </w:t>
      </w:r>
      <w:r w:rsidRPr="00904FCB">
        <w:rPr>
          <w:rFonts w:hint="cs"/>
          <w:sz w:val="27"/>
          <w:rtl/>
          <w:lang w:bidi="ar-SY"/>
        </w:rPr>
        <w:t>وتقنين</w:t>
      </w:r>
      <w:r w:rsidRPr="00904FCB">
        <w:rPr>
          <w:sz w:val="27"/>
          <w:rtl/>
          <w:lang w:bidi="ar-SY"/>
        </w:rPr>
        <w:t xml:space="preserve"> </w:t>
      </w:r>
      <w:r w:rsidRPr="00904FCB">
        <w:rPr>
          <w:rFonts w:hint="cs"/>
          <w:sz w:val="27"/>
          <w:rtl/>
          <w:lang w:bidi="ar-SY"/>
        </w:rPr>
        <w:t>استعماله</w:t>
      </w:r>
      <w:r w:rsidR="00D4749A" w:rsidRPr="00904FCB">
        <w:rPr>
          <w:rFonts w:hint="cs"/>
          <w:sz w:val="27"/>
          <w:rtl/>
          <w:lang w:bidi="ar-SY"/>
        </w:rPr>
        <w:t>،</w:t>
      </w:r>
      <w:r w:rsidRPr="00904FCB">
        <w:rPr>
          <w:sz w:val="27"/>
          <w:rtl/>
          <w:lang w:bidi="ar-SY"/>
        </w:rPr>
        <w:t xml:space="preserve"> </w:t>
      </w:r>
      <w:r w:rsidRPr="00904FCB">
        <w:rPr>
          <w:rFonts w:hint="cs"/>
          <w:sz w:val="27"/>
          <w:rtl/>
          <w:lang w:bidi="ar-SY"/>
        </w:rPr>
        <w:t>إلا</w:t>
      </w:r>
      <w:r w:rsidR="00D4749A" w:rsidRPr="00904FCB">
        <w:rPr>
          <w:rFonts w:hint="cs"/>
          <w:sz w:val="27"/>
          <w:rtl/>
          <w:lang w:bidi="ar-SY"/>
        </w:rPr>
        <w:t>ّ</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نطاقات</w:t>
      </w:r>
      <w:r w:rsidRPr="00904FCB">
        <w:rPr>
          <w:sz w:val="27"/>
          <w:rtl/>
          <w:lang w:bidi="ar-SY"/>
        </w:rPr>
        <w:t xml:space="preserve"> </w:t>
      </w:r>
      <w:r w:rsidRPr="00904FCB">
        <w:rPr>
          <w:rFonts w:hint="cs"/>
          <w:sz w:val="27"/>
          <w:rtl/>
          <w:lang w:bidi="ar-SY"/>
        </w:rPr>
        <w:t>محدودة</w:t>
      </w:r>
      <w:r w:rsidRPr="00904FCB">
        <w:rPr>
          <w:sz w:val="27"/>
          <w:rtl/>
          <w:lang w:bidi="ar-SY"/>
        </w:rPr>
        <w:t xml:space="preserve"> </w:t>
      </w:r>
      <w:r w:rsidRPr="00904FCB">
        <w:rPr>
          <w:rFonts w:hint="cs"/>
          <w:sz w:val="27"/>
          <w:rtl/>
          <w:lang w:bidi="ar-SY"/>
        </w:rPr>
        <w:t>وضيقة</w:t>
      </w:r>
      <w:r w:rsidR="00D4749A" w:rsidRPr="00904FCB">
        <w:rPr>
          <w:rFonts w:hint="cs"/>
          <w:sz w:val="27"/>
          <w:rtl/>
          <w:lang w:bidi="ar-SY"/>
        </w:rPr>
        <w:t>،</w:t>
      </w:r>
      <w:r w:rsidRPr="00904FCB">
        <w:rPr>
          <w:sz w:val="27"/>
          <w:rtl/>
          <w:lang w:bidi="ar-SY"/>
        </w:rPr>
        <w:t xml:space="preserve"> </w:t>
      </w:r>
      <w:r w:rsidRPr="00904FCB">
        <w:rPr>
          <w:rFonts w:hint="cs"/>
          <w:sz w:val="27"/>
          <w:rtl/>
          <w:lang w:bidi="ar-SY"/>
        </w:rPr>
        <w:t>وبإشراف</w:t>
      </w:r>
      <w:r w:rsidRPr="00904FCB">
        <w:rPr>
          <w:sz w:val="27"/>
          <w:rtl/>
          <w:lang w:bidi="ar-SY"/>
        </w:rPr>
        <w:t xml:space="preserve"> </w:t>
      </w:r>
      <w:r w:rsidRPr="00904FCB">
        <w:rPr>
          <w:rFonts w:hint="cs"/>
          <w:sz w:val="27"/>
          <w:rtl/>
          <w:lang w:bidi="ar-SY"/>
        </w:rPr>
        <w:t>مؤس</w:t>
      </w:r>
      <w:r w:rsidR="00D4749A" w:rsidRPr="00904FCB">
        <w:rPr>
          <w:rFonts w:hint="cs"/>
          <w:sz w:val="27"/>
          <w:rtl/>
          <w:lang w:bidi="ar-SY"/>
        </w:rPr>
        <w:t>َّ</w:t>
      </w:r>
      <w:r w:rsidRPr="00904FCB">
        <w:rPr>
          <w:rFonts w:hint="cs"/>
          <w:sz w:val="27"/>
          <w:rtl/>
          <w:lang w:bidi="ar-SY"/>
        </w:rPr>
        <w:t>سات</w:t>
      </w:r>
      <w:r w:rsidRPr="00904FCB">
        <w:rPr>
          <w:sz w:val="27"/>
          <w:rtl/>
          <w:lang w:bidi="ar-SY"/>
        </w:rPr>
        <w:t xml:space="preserve"> </w:t>
      </w:r>
      <w:r w:rsidRPr="00904FCB">
        <w:rPr>
          <w:rFonts w:hint="cs"/>
          <w:sz w:val="27"/>
          <w:rtl/>
          <w:lang w:bidi="ar-SY"/>
        </w:rPr>
        <w:t>الدولة</w:t>
      </w:r>
      <w:r w:rsidRPr="00904FCB">
        <w:rPr>
          <w:sz w:val="27"/>
          <w:rtl/>
          <w:lang w:bidi="ar-SY"/>
        </w:rPr>
        <w:t xml:space="preserve"> </w:t>
      </w:r>
      <w:r w:rsidRPr="00904FCB">
        <w:rPr>
          <w:rFonts w:hint="cs"/>
          <w:sz w:val="27"/>
          <w:rtl/>
          <w:lang w:bidi="ar-SY"/>
        </w:rPr>
        <w:t>ذاتها</w:t>
      </w:r>
      <w:r w:rsidRPr="00904FCB">
        <w:rPr>
          <w:sz w:val="27"/>
          <w:rtl/>
          <w:lang w:bidi="ar-SY"/>
        </w:rPr>
        <w:t xml:space="preserve"> </w:t>
      </w:r>
      <w:r w:rsidRPr="00904FCB">
        <w:rPr>
          <w:rFonts w:hint="cs"/>
          <w:sz w:val="27"/>
          <w:rtl/>
          <w:lang w:bidi="ar-SY"/>
        </w:rPr>
        <w:t>التي</w:t>
      </w:r>
      <w:r w:rsidRPr="00904FCB">
        <w:rPr>
          <w:sz w:val="27"/>
          <w:rtl/>
          <w:lang w:bidi="ar-SY"/>
        </w:rPr>
        <w:t xml:space="preserve"> </w:t>
      </w:r>
      <w:r w:rsidRPr="00904FCB">
        <w:rPr>
          <w:rFonts w:hint="cs"/>
          <w:sz w:val="27"/>
          <w:rtl/>
          <w:lang w:bidi="ar-SY"/>
        </w:rPr>
        <w:t>ظهرت</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مسرح</w:t>
      </w:r>
      <w:r w:rsidRPr="00904FCB">
        <w:rPr>
          <w:sz w:val="27"/>
          <w:rtl/>
          <w:lang w:bidi="ar-SY"/>
        </w:rPr>
        <w:t xml:space="preserve"> </w:t>
      </w:r>
      <w:r w:rsidRPr="00904FCB">
        <w:rPr>
          <w:rFonts w:hint="cs"/>
          <w:sz w:val="27"/>
          <w:rtl/>
          <w:lang w:bidi="ar-SY"/>
        </w:rPr>
        <w:t>الحياة</w:t>
      </w:r>
      <w:r w:rsidRPr="00904FCB">
        <w:rPr>
          <w:sz w:val="27"/>
          <w:rtl/>
          <w:lang w:bidi="ar-SY"/>
        </w:rPr>
        <w:t xml:space="preserve"> </w:t>
      </w:r>
      <w:r w:rsidRPr="00904FCB">
        <w:rPr>
          <w:rFonts w:hint="cs"/>
          <w:sz w:val="27"/>
          <w:rtl/>
          <w:lang w:bidi="ar-SY"/>
        </w:rPr>
        <w:t>كظاهرة</w:t>
      </w:r>
      <w:r w:rsidR="00D4749A" w:rsidRPr="00904FCB">
        <w:rPr>
          <w:rFonts w:hint="cs"/>
          <w:sz w:val="27"/>
          <w:rtl/>
          <w:lang w:bidi="ar-SY"/>
        </w:rPr>
        <w:t>ٍ</w:t>
      </w:r>
      <w:r w:rsidRPr="00904FCB">
        <w:rPr>
          <w:sz w:val="27"/>
          <w:rtl/>
          <w:lang w:bidi="ar-SY"/>
        </w:rPr>
        <w:t xml:space="preserve"> </w:t>
      </w:r>
      <w:r w:rsidRPr="00904FCB">
        <w:rPr>
          <w:rFonts w:hint="cs"/>
          <w:sz w:val="27"/>
          <w:rtl/>
          <w:lang w:bidi="ar-SY"/>
        </w:rPr>
        <w:t>تاريخية</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حركة</w:t>
      </w:r>
      <w:r w:rsidRPr="00904FCB">
        <w:rPr>
          <w:sz w:val="27"/>
          <w:rtl/>
          <w:lang w:bidi="ar-SY"/>
        </w:rPr>
        <w:t xml:space="preserve"> </w:t>
      </w:r>
      <w:r w:rsidRPr="00904FCB">
        <w:rPr>
          <w:rFonts w:hint="cs"/>
          <w:sz w:val="27"/>
          <w:rtl/>
          <w:lang w:bidi="ar-SY"/>
        </w:rPr>
        <w:t>المجتمعات</w:t>
      </w:r>
      <w:r w:rsidRPr="00904FCB">
        <w:rPr>
          <w:sz w:val="27"/>
          <w:rtl/>
          <w:lang w:bidi="ar-SY"/>
        </w:rPr>
        <w:t xml:space="preserve"> </w:t>
      </w:r>
      <w:r w:rsidRPr="00904FCB">
        <w:rPr>
          <w:rFonts w:hint="cs"/>
          <w:sz w:val="27"/>
          <w:rtl/>
          <w:lang w:bidi="ar-SY"/>
        </w:rPr>
        <w:t>البشرية</w:t>
      </w:r>
      <w:r w:rsidR="00D4749A" w:rsidRPr="00904FCB">
        <w:rPr>
          <w:rFonts w:hint="cs"/>
          <w:sz w:val="27"/>
          <w:rtl/>
          <w:lang w:bidi="ar-SY"/>
        </w:rPr>
        <w:t>،</w:t>
      </w:r>
      <w:r w:rsidRPr="00904FCB">
        <w:rPr>
          <w:sz w:val="27"/>
          <w:rtl/>
          <w:lang w:bidi="ar-SY"/>
        </w:rPr>
        <w:t xml:space="preserve"> </w:t>
      </w:r>
      <w:r w:rsidRPr="00904FCB">
        <w:rPr>
          <w:rFonts w:hint="cs"/>
          <w:sz w:val="27"/>
          <w:rtl/>
          <w:lang w:bidi="ar-SY"/>
        </w:rPr>
        <w:t>احتكرت</w:t>
      </w:r>
      <w:r w:rsidRPr="00904FCB">
        <w:rPr>
          <w:sz w:val="27"/>
          <w:rtl/>
          <w:lang w:bidi="ar-SY"/>
        </w:rPr>
        <w:t xml:space="preserve"> </w:t>
      </w:r>
      <w:r w:rsidRPr="00904FCB">
        <w:rPr>
          <w:rFonts w:hint="cs"/>
          <w:sz w:val="27"/>
          <w:rtl/>
          <w:lang w:bidi="ar-SY"/>
        </w:rPr>
        <w:t>أدوات</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ووسائلها، وقامت</w:t>
      </w:r>
      <w:r w:rsidRPr="00904FCB">
        <w:rPr>
          <w:sz w:val="27"/>
          <w:rtl/>
          <w:lang w:bidi="ar-SY"/>
        </w:rPr>
        <w:t xml:space="preserve"> </w:t>
      </w:r>
      <w:r w:rsidRPr="00904FCB">
        <w:rPr>
          <w:rFonts w:hint="cs"/>
          <w:sz w:val="27"/>
          <w:rtl/>
          <w:lang w:bidi="ar-SY"/>
        </w:rPr>
        <w:t>تدريجياً</w:t>
      </w:r>
      <w:r w:rsidRPr="00904FCB">
        <w:rPr>
          <w:sz w:val="27"/>
          <w:rtl/>
          <w:lang w:bidi="ar-SY"/>
        </w:rPr>
        <w:t xml:space="preserve"> </w:t>
      </w:r>
      <w:r w:rsidRPr="00904FCB">
        <w:rPr>
          <w:rFonts w:hint="cs"/>
          <w:sz w:val="27"/>
          <w:rtl/>
          <w:lang w:bidi="ar-SY"/>
        </w:rPr>
        <w:t>بقوننتها</w:t>
      </w:r>
      <w:r w:rsidR="00D4749A" w:rsidRPr="00904FCB">
        <w:rPr>
          <w:rFonts w:hint="cs"/>
          <w:sz w:val="27"/>
          <w:rtl/>
          <w:lang w:bidi="ar-SY"/>
        </w:rPr>
        <w:t>؛</w:t>
      </w:r>
      <w:r w:rsidRPr="00904FCB">
        <w:rPr>
          <w:sz w:val="27"/>
          <w:rtl/>
          <w:lang w:bidi="ar-SY"/>
        </w:rPr>
        <w:t xml:space="preserve"> </w:t>
      </w:r>
      <w:r w:rsidRPr="00904FCB">
        <w:rPr>
          <w:rFonts w:hint="cs"/>
          <w:sz w:val="27"/>
          <w:rtl/>
          <w:lang w:bidi="ar-SY"/>
        </w:rPr>
        <w:t>حفاظاً</w:t>
      </w:r>
      <w:r w:rsidRPr="00904FCB">
        <w:rPr>
          <w:sz w:val="27"/>
          <w:rtl/>
          <w:lang w:bidi="ar-SY"/>
        </w:rPr>
        <w:t xml:space="preserve"> </w:t>
      </w:r>
      <w:r w:rsidRPr="00904FCB">
        <w:rPr>
          <w:rFonts w:hint="cs"/>
          <w:sz w:val="27"/>
          <w:rtl/>
          <w:lang w:bidi="ar-SY"/>
        </w:rPr>
        <w:t>بالطبع</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تماسك</w:t>
      </w:r>
      <w:r w:rsidRPr="00904FCB">
        <w:rPr>
          <w:sz w:val="27"/>
          <w:rtl/>
          <w:lang w:bidi="ar-SY"/>
        </w:rPr>
        <w:t xml:space="preserve"> </w:t>
      </w:r>
      <w:r w:rsidRPr="00904FCB">
        <w:rPr>
          <w:rFonts w:hint="cs"/>
          <w:sz w:val="27"/>
          <w:rtl/>
          <w:lang w:bidi="ar-SY"/>
        </w:rPr>
        <w:t>الدولة</w:t>
      </w:r>
      <w:r w:rsidRPr="00904FCB">
        <w:rPr>
          <w:sz w:val="27"/>
          <w:rtl/>
          <w:lang w:bidi="ar-SY"/>
        </w:rPr>
        <w:t xml:space="preserve"> </w:t>
      </w:r>
      <w:r w:rsidRPr="00904FCB">
        <w:rPr>
          <w:rFonts w:hint="cs"/>
          <w:sz w:val="27"/>
          <w:rtl/>
          <w:lang w:bidi="ar-SY"/>
        </w:rPr>
        <w:t>وتضامن</w:t>
      </w:r>
      <w:r w:rsidRPr="00904FCB">
        <w:rPr>
          <w:sz w:val="27"/>
          <w:rtl/>
          <w:lang w:bidi="ar-SY"/>
        </w:rPr>
        <w:t xml:space="preserve"> </w:t>
      </w:r>
      <w:r w:rsidRPr="00904FCB">
        <w:rPr>
          <w:rFonts w:hint="cs"/>
          <w:sz w:val="27"/>
          <w:rtl/>
          <w:lang w:bidi="ar-SY"/>
        </w:rPr>
        <w:t>ووحدة</w:t>
      </w:r>
      <w:r w:rsidRPr="00904FCB">
        <w:rPr>
          <w:sz w:val="27"/>
          <w:rtl/>
          <w:lang w:bidi="ar-SY"/>
        </w:rPr>
        <w:t xml:space="preserve"> </w:t>
      </w:r>
      <w:r w:rsidRPr="00904FCB">
        <w:rPr>
          <w:rFonts w:hint="cs"/>
          <w:sz w:val="27"/>
          <w:rtl/>
          <w:lang w:bidi="ar-SY"/>
        </w:rPr>
        <w:t>واستقرار</w:t>
      </w:r>
      <w:r w:rsidRPr="00904FCB">
        <w:rPr>
          <w:sz w:val="27"/>
          <w:rtl/>
          <w:lang w:bidi="ar-SY"/>
        </w:rPr>
        <w:t xml:space="preserve"> </w:t>
      </w:r>
      <w:r w:rsidRPr="00904FCB">
        <w:rPr>
          <w:rFonts w:hint="cs"/>
          <w:sz w:val="27"/>
          <w:rtl/>
          <w:lang w:bidi="ar-SY"/>
        </w:rPr>
        <w:t>المجتمعات</w:t>
      </w:r>
      <w:r w:rsidRPr="00904FCB">
        <w:rPr>
          <w:sz w:val="27"/>
          <w:rtl/>
          <w:lang w:bidi="ar-SY"/>
        </w:rPr>
        <w:t xml:space="preserve"> </w:t>
      </w:r>
      <w:r w:rsidRPr="00904FCB">
        <w:rPr>
          <w:rFonts w:hint="cs"/>
          <w:sz w:val="27"/>
          <w:rtl/>
          <w:lang w:bidi="ar-SY"/>
        </w:rPr>
        <w:t>التي</w:t>
      </w:r>
      <w:r w:rsidRPr="00904FCB">
        <w:rPr>
          <w:sz w:val="27"/>
          <w:rtl/>
          <w:lang w:bidi="ar-SY"/>
        </w:rPr>
        <w:t xml:space="preserve"> </w:t>
      </w:r>
      <w:r w:rsidRPr="00904FCB">
        <w:rPr>
          <w:rFonts w:hint="cs"/>
          <w:sz w:val="27"/>
          <w:rtl/>
          <w:lang w:bidi="ar-SY"/>
        </w:rPr>
        <w:t>تحكمها</w:t>
      </w:r>
      <w:r w:rsidR="00D4749A" w:rsidRPr="00904FCB">
        <w:rPr>
          <w:rFonts w:hint="cs"/>
          <w:sz w:val="27"/>
          <w:rtl/>
          <w:lang w:bidi="ar-SY"/>
        </w:rPr>
        <w:t>؛</w:t>
      </w:r>
      <w:r w:rsidRPr="00904FCB">
        <w:rPr>
          <w:sz w:val="27"/>
          <w:rtl/>
          <w:lang w:bidi="ar-SY"/>
        </w:rPr>
        <w:t xml:space="preserve"> </w:t>
      </w:r>
      <w:r w:rsidRPr="00904FCB">
        <w:rPr>
          <w:rFonts w:hint="cs"/>
          <w:sz w:val="27"/>
          <w:rtl/>
          <w:lang w:bidi="ar-SY"/>
        </w:rPr>
        <w:t>لأن</w:t>
      </w:r>
      <w:r w:rsidRPr="00904FCB">
        <w:rPr>
          <w:sz w:val="27"/>
          <w:rtl/>
          <w:lang w:bidi="ar-SY"/>
        </w:rPr>
        <w:t xml:space="preserve"> </w:t>
      </w:r>
      <w:r w:rsidRPr="00904FCB">
        <w:rPr>
          <w:rFonts w:hint="cs"/>
          <w:sz w:val="27"/>
          <w:rtl/>
          <w:lang w:bidi="ar-SY"/>
        </w:rPr>
        <w:t>الاستقرار</w:t>
      </w:r>
      <w:r w:rsidRPr="00904FCB">
        <w:rPr>
          <w:sz w:val="27"/>
          <w:rtl/>
          <w:lang w:bidi="ar-SY"/>
        </w:rPr>
        <w:t xml:space="preserve"> </w:t>
      </w:r>
      <w:r w:rsidRPr="00904FCB">
        <w:rPr>
          <w:rFonts w:hint="cs"/>
          <w:sz w:val="27"/>
          <w:rtl/>
          <w:lang w:bidi="ar-SY"/>
        </w:rPr>
        <w:t>والأمن</w:t>
      </w:r>
      <w:r w:rsidRPr="00904FCB">
        <w:rPr>
          <w:sz w:val="27"/>
          <w:rtl/>
          <w:lang w:bidi="ar-SY"/>
        </w:rPr>
        <w:t xml:space="preserve"> </w:t>
      </w:r>
      <w:r w:rsidRPr="00904FCB">
        <w:rPr>
          <w:rFonts w:hint="cs"/>
          <w:sz w:val="27"/>
          <w:rtl/>
          <w:lang w:bidi="ar-SY"/>
        </w:rPr>
        <w:t>هما</w:t>
      </w:r>
      <w:r w:rsidRPr="00904FCB">
        <w:rPr>
          <w:sz w:val="27"/>
          <w:rtl/>
          <w:lang w:bidi="ar-SY"/>
        </w:rPr>
        <w:t xml:space="preserve"> </w:t>
      </w:r>
      <w:r w:rsidRPr="00904FCB">
        <w:rPr>
          <w:rFonts w:hint="cs"/>
          <w:sz w:val="27"/>
          <w:rtl/>
          <w:lang w:bidi="ar-SY"/>
        </w:rPr>
        <w:t>مقد</w:t>
      </w:r>
      <w:r w:rsidR="00D4749A" w:rsidRPr="00904FCB">
        <w:rPr>
          <w:rFonts w:hint="cs"/>
          <w:sz w:val="27"/>
          <w:rtl/>
          <w:lang w:bidi="ar-SY"/>
        </w:rPr>
        <w:t>ّ</w:t>
      </w:r>
      <w:r w:rsidRPr="00904FCB">
        <w:rPr>
          <w:rFonts w:hint="cs"/>
          <w:sz w:val="27"/>
          <w:rtl/>
          <w:lang w:bidi="ar-SY"/>
        </w:rPr>
        <w:t>مة</w:t>
      </w:r>
      <w:r w:rsidRPr="00904FCB">
        <w:rPr>
          <w:sz w:val="27"/>
          <w:rtl/>
          <w:lang w:bidi="ar-SY"/>
        </w:rPr>
        <w:t xml:space="preserve"> </w:t>
      </w:r>
      <w:r w:rsidRPr="00904FCB">
        <w:rPr>
          <w:rFonts w:hint="cs"/>
          <w:sz w:val="27"/>
          <w:rtl/>
          <w:lang w:bidi="ar-SY"/>
        </w:rPr>
        <w:t>ضرورية</w:t>
      </w:r>
      <w:r w:rsidRPr="00904FCB">
        <w:rPr>
          <w:sz w:val="27"/>
          <w:rtl/>
          <w:lang w:bidi="ar-SY"/>
        </w:rPr>
        <w:t xml:space="preserve"> </w:t>
      </w:r>
      <w:r w:rsidRPr="00904FCB">
        <w:rPr>
          <w:rFonts w:hint="cs"/>
          <w:sz w:val="27"/>
          <w:rtl/>
          <w:lang w:bidi="ar-SY"/>
        </w:rPr>
        <w:t>وقاعدة</w:t>
      </w:r>
      <w:r w:rsidRPr="00904FCB">
        <w:rPr>
          <w:sz w:val="27"/>
          <w:rtl/>
          <w:lang w:bidi="ar-SY"/>
        </w:rPr>
        <w:t xml:space="preserve"> </w:t>
      </w:r>
      <w:r w:rsidRPr="00904FCB">
        <w:rPr>
          <w:rFonts w:hint="cs"/>
          <w:sz w:val="27"/>
          <w:rtl/>
          <w:lang w:bidi="ar-SY"/>
        </w:rPr>
        <w:t>صلبة</w:t>
      </w:r>
      <w:r w:rsidRPr="00904FCB">
        <w:rPr>
          <w:sz w:val="27"/>
          <w:rtl/>
          <w:lang w:bidi="ar-SY"/>
        </w:rPr>
        <w:t xml:space="preserve"> </w:t>
      </w:r>
      <w:r w:rsidRPr="00904FCB">
        <w:rPr>
          <w:rFonts w:hint="cs"/>
          <w:sz w:val="27"/>
          <w:rtl/>
          <w:lang w:bidi="ar-SY"/>
        </w:rPr>
        <w:t>للعمل</w:t>
      </w:r>
      <w:r w:rsidRPr="00904FCB">
        <w:rPr>
          <w:sz w:val="27"/>
          <w:rtl/>
          <w:lang w:bidi="ar-SY"/>
        </w:rPr>
        <w:t xml:space="preserve"> </w:t>
      </w:r>
      <w:r w:rsidRPr="00904FCB">
        <w:rPr>
          <w:rFonts w:hint="cs"/>
          <w:sz w:val="27"/>
          <w:rtl/>
          <w:lang w:bidi="ar-SY"/>
        </w:rPr>
        <w:t>والإنتاج</w:t>
      </w:r>
      <w:r w:rsidRPr="00904FCB">
        <w:rPr>
          <w:sz w:val="27"/>
          <w:rtl/>
          <w:lang w:bidi="ar-SY"/>
        </w:rPr>
        <w:t xml:space="preserve"> </w:t>
      </w:r>
      <w:r w:rsidRPr="00904FCB">
        <w:rPr>
          <w:rFonts w:hint="cs"/>
          <w:sz w:val="27"/>
          <w:rtl/>
          <w:lang w:bidi="ar-SY"/>
        </w:rPr>
        <w:t>والفعل</w:t>
      </w:r>
      <w:r w:rsidRPr="00904FCB">
        <w:rPr>
          <w:sz w:val="27"/>
          <w:rtl/>
          <w:lang w:bidi="ar-SY"/>
        </w:rPr>
        <w:t xml:space="preserve"> </w:t>
      </w:r>
      <w:r w:rsidRPr="00904FCB">
        <w:rPr>
          <w:rFonts w:hint="cs"/>
          <w:sz w:val="27"/>
          <w:rtl/>
          <w:lang w:bidi="ar-SY"/>
        </w:rPr>
        <w:t>والإبداع</w:t>
      </w:r>
      <w:r w:rsidRPr="00904FCB">
        <w:rPr>
          <w:sz w:val="27"/>
          <w:rtl/>
          <w:lang w:bidi="ar-SY"/>
        </w:rPr>
        <w:t xml:space="preserve"> </w:t>
      </w:r>
      <w:r w:rsidRPr="00904FCB">
        <w:rPr>
          <w:rFonts w:hint="cs"/>
          <w:sz w:val="27"/>
          <w:rtl/>
          <w:lang w:bidi="ar-SY"/>
        </w:rPr>
        <w:t>الحضاري</w:t>
      </w:r>
      <w:r w:rsidR="00496706" w:rsidRPr="00904FCB">
        <w:rPr>
          <w:rFonts w:hint="cs"/>
          <w:sz w:val="27"/>
          <w:rtl/>
          <w:lang w:bidi="ar-SY"/>
        </w:rPr>
        <w:t>.</w:t>
      </w:r>
      <w:r w:rsidRPr="00904FCB">
        <w:rPr>
          <w:sz w:val="27"/>
          <w:rtl/>
          <w:lang w:bidi="ar-SY"/>
        </w:rPr>
        <w:t xml:space="preserve"> </w:t>
      </w:r>
      <w:r w:rsidRPr="00904FCB">
        <w:rPr>
          <w:rFonts w:hint="cs"/>
          <w:sz w:val="27"/>
          <w:rtl/>
          <w:lang w:bidi="ar-SY"/>
        </w:rPr>
        <w:t>والاستقرار</w:t>
      </w:r>
      <w:r w:rsidRPr="00904FCB">
        <w:rPr>
          <w:sz w:val="27"/>
          <w:rtl/>
          <w:lang w:bidi="ar-SY"/>
        </w:rPr>
        <w:t xml:space="preserve"> </w:t>
      </w:r>
      <w:r w:rsidRPr="00904FCB">
        <w:rPr>
          <w:rFonts w:hint="cs"/>
          <w:sz w:val="27"/>
          <w:rtl/>
          <w:lang w:bidi="ar-SY"/>
        </w:rPr>
        <w:t>المعني</w:t>
      </w:r>
      <w:r w:rsidR="00496706" w:rsidRPr="00904FCB">
        <w:rPr>
          <w:rFonts w:hint="cs"/>
          <w:sz w:val="27"/>
          <w:rtl/>
          <w:lang w:bidi="ar-SY"/>
        </w:rPr>
        <w:t>ّ</w:t>
      </w:r>
      <w:r w:rsidRPr="00904FCB">
        <w:rPr>
          <w:sz w:val="27"/>
          <w:rtl/>
          <w:lang w:bidi="ar-SY"/>
        </w:rPr>
        <w:t xml:space="preserve"> </w:t>
      </w:r>
      <w:r w:rsidRPr="00904FCB">
        <w:rPr>
          <w:rFonts w:hint="cs"/>
          <w:sz w:val="27"/>
          <w:rtl/>
          <w:lang w:bidi="ar-SY"/>
        </w:rPr>
        <w:t>هنا</w:t>
      </w:r>
      <w:r w:rsidRPr="00904FCB">
        <w:rPr>
          <w:sz w:val="27"/>
          <w:rtl/>
          <w:lang w:bidi="ar-SY"/>
        </w:rPr>
        <w:t xml:space="preserve"> </w:t>
      </w:r>
      <w:r w:rsidRPr="00904FCB">
        <w:rPr>
          <w:rFonts w:hint="cs"/>
          <w:sz w:val="27"/>
          <w:rtl/>
          <w:lang w:bidi="ar-SY"/>
        </w:rPr>
        <w:t>هو</w:t>
      </w:r>
      <w:r w:rsidRPr="00904FCB">
        <w:rPr>
          <w:sz w:val="27"/>
          <w:rtl/>
          <w:lang w:bidi="ar-SY"/>
        </w:rPr>
        <w:t xml:space="preserve"> </w:t>
      </w:r>
      <w:r w:rsidRPr="00904FCB">
        <w:rPr>
          <w:rFonts w:hint="cs"/>
          <w:sz w:val="27"/>
          <w:rtl/>
          <w:lang w:bidi="ar-SY"/>
        </w:rPr>
        <w:t>استقرار</w:t>
      </w:r>
      <w:r w:rsidRPr="00904FCB">
        <w:rPr>
          <w:sz w:val="27"/>
          <w:rtl/>
          <w:lang w:bidi="ar-SY"/>
        </w:rPr>
        <w:t xml:space="preserve"> </w:t>
      </w:r>
      <w:r w:rsidRPr="00904FCB">
        <w:rPr>
          <w:rFonts w:hint="cs"/>
          <w:sz w:val="27"/>
          <w:rtl/>
          <w:lang w:bidi="ar-SY"/>
        </w:rPr>
        <w:t>الحر</w:t>
      </w:r>
      <w:r w:rsidR="00496706" w:rsidRPr="00904FCB">
        <w:rPr>
          <w:rFonts w:hint="cs"/>
          <w:sz w:val="27"/>
          <w:rtl/>
          <w:lang w:bidi="ar-SY"/>
        </w:rPr>
        <w:t>ّ</w:t>
      </w:r>
      <w:r w:rsidRPr="00904FCB">
        <w:rPr>
          <w:rFonts w:hint="cs"/>
          <w:sz w:val="27"/>
          <w:rtl/>
          <w:lang w:bidi="ar-SY"/>
        </w:rPr>
        <w:t>ية</w:t>
      </w:r>
      <w:r w:rsidRPr="00904FCB">
        <w:rPr>
          <w:sz w:val="27"/>
          <w:rtl/>
          <w:lang w:bidi="ar-SY"/>
        </w:rPr>
        <w:t xml:space="preserve"> </w:t>
      </w:r>
      <w:r w:rsidRPr="00904FCB">
        <w:rPr>
          <w:rFonts w:hint="cs"/>
          <w:sz w:val="27"/>
          <w:rtl/>
          <w:lang w:bidi="ar-SY"/>
        </w:rPr>
        <w:t>والطواعية</w:t>
      </w:r>
      <w:r w:rsidRPr="00904FCB">
        <w:rPr>
          <w:sz w:val="27"/>
          <w:rtl/>
          <w:lang w:bidi="ar-SY"/>
        </w:rPr>
        <w:t xml:space="preserve"> </w:t>
      </w:r>
      <w:r w:rsidRPr="00904FCB">
        <w:rPr>
          <w:rFonts w:hint="cs"/>
          <w:sz w:val="27"/>
          <w:rtl/>
          <w:lang w:bidi="ar-SY"/>
        </w:rPr>
        <w:t>والتوافق</w:t>
      </w:r>
      <w:r w:rsidRPr="00904FCB">
        <w:rPr>
          <w:sz w:val="27"/>
          <w:rtl/>
          <w:lang w:bidi="ar-SY"/>
        </w:rPr>
        <w:t xml:space="preserve"> </w:t>
      </w:r>
      <w:r w:rsidRPr="00904FCB">
        <w:rPr>
          <w:rFonts w:hint="cs"/>
          <w:sz w:val="27"/>
          <w:rtl/>
          <w:lang w:bidi="ar-SY"/>
        </w:rPr>
        <w:t>المجتمعي</w:t>
      </w:r>
      <w:r w:rsidR="00496706" w:rsidRPr="00904FCB">
        <w:rPr>
          <w:rFonts w:hint="cs"/>
          <w:sz w:val="27"/>
          <w:rtl/>
          <w:lang w:bidi="ar-SY"/>
        </w:rPr>
        <w:t>،</w:t>
      </w:r>
      <w:r w:rsidRPr="00904FCB">
        <w:rPr>
          <w:sz w:val="27"/>
          <w:rtl/>
          <w:lang w:bidi="ar-SY"/>
        </w:rPr>
        <w:t xml:space="preserve"> </w:t>
      </w:r>
      <w:r w:rsidRPr="00904FCB">
        <w:rPr>
          <w:rFonts w:hint="cs"/>
          <w:sz w:val="27"/>
          <w:rtl/>
          <w:lang w:bidi="ar-SY"/>
        </w:rPr>
        <w:t>وليس</w:t>
      </w:r>
      <w:r w:rsidRPr="00904FCB">
        <w:rPr>
          <w:sz w:val="27"/>
          <w:rtl/>
          <w:lang w:bidi="ar-SY"/>
        </w:rPr>
        <w:t xml:space="preserve"> </w:t>
      </w:r>
      <w:r w:rsidRPr="00904FCB">
        <w:rPr>
          <w:rFonts w:hint="cs"/>
          <w:sz w:val="27"/>
          <w:rtl/>
          <w:lang w:bidi="ar-SY"/>
        </w:rPr>
        <w:t>استقرار</w:t>
      </w:r>
      <w:r w:rsidRPr="00904FCB">
        <w:rPr>
          <w:sz w:val="27"/>
          <w:rtl/>
          <w:lang w:bidi="ar-SY"/>
        </w:rPr>
        <w:t xml:space="preserve"> </w:t>
      </w:r>
      <w:r w:rsidRPr="00904FCB">
        <w:rPr>
          <w:rFonts w:hint="cs"/>
          <w:sz w:val="27"/>
          <w:rtl/>
          <w:lang w:bidi="ar-SY"/>
        </w:rPr>
        <w:t>القوة</w:t>
      </w:r>
      <w:r w:rsidRPr="00904FCB">
        <w:rPr>
          <w:sz w:val="27"/>
          <w:rtl/>
          <w:lang w:bidi="ar-SY"/>
        </w:rPr>
        <w:t xml:space="preserve"> </w:t>
      </w:r>
      <w:r w:rsidRPr="00904FCB">
        <w:rPr>
          <w:rFonts w:hint="cs"/>
          <w:sz w:val="27"/>
          <w:rtl/>
          <w:lang w:bidi="ar-SY"/>
        </w:rPr>
        <w:t>والبطش</w:t>
      </w:r>
      <w:r w:rsidRPr="00904FCB">
        <w:rPr>
          <w:sz w:val="27"/>
          <w:rtl/>
          <w:lang w:bidi="ar-SY"/>
        </w:rPr>
        <w:t xml:space="preserve"> </w:t>
      </w:r>
      <w:r w:rsidRPr="00904FCB">
        <w:rPr>
          <w:rFonts w:hint="cs"/>
          <w:sz w:val="27"/>
          <w:rtl/>
          <w:lang w:bidi="ar-SY"/>
        </w:rPr>
        <w:t>والتخويف</w:t>
      </w:r>
      <w:r w:rsidRPr="00904FCB">
        <w:rPr>
          <w:sz w:val="27"/>
          <w:rtl/>
          <w:lang w:bidi="ar-SY"/>
        </w:rPr>
        <w:t xml:space="preserve">. </w:t>
      </w:r>
    </w:p>
    <w:p w:rsidR="00057E24" w:rsidRPr="00904FCB" w:rsidRDefault="00057E24" w:rsidP="007A21AA">
      <w:pPr>
        <w:spacing w:line="400" w:lineRule="exact"/>
        <w:rPr>
          <w:sz w:val="27"/>
          <w:rtl/>
          <w:lang w:bidi="ar-SY"/>
        </w:rPr>
      </w:pPr>
      <w:r w:rsidRPr="00904FCB">
        <w:rPr>
          <w:rFonts w:hint="cs"/>
          <w:sz w:val="27"/>
          <w:rtl/>
          <w:lang w:bidi="ar-SY"/>
        </w:rPr>
        <w:t>وبالنتيجة</w:t>
      </w:r>
      <w:r w:rsidRPr="00904FCB">
        <w:rPr>
          <w:sz w:val="27"/>
          <w:rtl/>
          <w:lang w:bidi="ar-SY"/>
        </w:rPr>
        <w:t xml:space="preserve"> </w:t>
      </w:r>
      <w:r w:rsidRPr="00904FCB">
        <w:rPr>
          <w:rFonts w:hint="cs"/>
          <w:sz w:val="27"/>
          <w:rtl/>
          <w:lang w:bidi="ar-SY"/>
        </w:rPr>
        <w:t>فقد</w:t>
      </w:r>
      <w:r w:rsidRPr="00904FCB">
        <w:rPr>
          <w:sz w:val="27"/>
          <w:rtl/>
          <w:lang w:bidi="ar-SY"/>
        </w:rPr>
        <w:t xml:space="preserve"> </w:t>
      </w:r>
      <w:r w:rsidRPr="00904FCB">
        <w:rPr>
          <w:rFonts w:hint="cs"/>
          <w:sz w:val="27"/>
          <w:rtl/>
          <w:lang w:bidi="ar-SY"/>
        </w:rPr>
        <w:t>توص</w:t>
      </w:r>
      <w:r w:rsidR="00496706" w:rsidRPr="00904FCB">
        <w:rPr>
          <w:rFonts w:hint="cs"/>
          <w:sz w:val="27"/>
          <w:rtl/>
          <w:lang w:bidi="ar-SY"/>
        </w:rPr>
        <w:t>َّ</w:t>
      </w:r>
      <w:r w:rsidRPr="00904FCB">
        <w:rPr>
          <w:rFonts w:hint="cs"/>
          <w:sz w:val="27"/>
          <w:rtl/>
          <w:lang w:bidi="ar-SY"/>
        </w:rPr>
        <w:t>ل</w:t>
      </w:r>
      <w:r w:rsidRPr="00904FCB">
        <w:rPr>
          <w:sz w:val="27"/>
          <w:rtl/>
          <w:lang w:bidi="ar-SY"/>
        </w:rPr>
        <w:t xml:space="preserve"> </w:t>
      </w:r>
      <w:r w:rsidRPr="00904FCB">
        <w:rPr>
          <w:rFonts w:hint="cs"/>
          <w:sz w:val="27"/>
          <w:rtl/>
          <w:lang w:bidi="ar-SY"/>
        </w:rPr>
        <w:t>البشر</w:t>
      </w:r>
      <w:r w:rsidRPr="00904FCB">
        <w:rPr>
          <w:sz w:val="27"/>
          <w:rtl/>
          <w:lang w:bidi="ar-SY"/>
        </w:rPr>
        <w:t xml:space="preserve"> ـ </w:t>
      </w:r>
      <w:r w:rsidRPr="00904FCB">
        <w:rPr>
          <w:rFonts w:hint="cs"/>
          <w:sz w:val="27"/>
          <w:rtl/>
          <w:lang w:bidi="ar-SY"/>
        </w:rPr>
        <w:t>عبر</w:t>
      </w:r>
      <w:r w:rsidRPr="00904FCB">
        <w:rPr>
          <w:sz w:val="27"/>
          <w:rtl/>
          <w:lang w:bidi="ar-SY"/>
        </w:rPr>
        <w:t xml:space="preserve"> </w:t>
      </w:r>
      <w:r w:rsidRPr="00904FCB">
        <w:rPr>
          <w:rFonts w:hint="cs"/>
          <w:sz w:val="27"/>
          <w:rtl/>
          <w:lang w:bidi="ar-SY"/>
        </w:rPr>
        <w:t>تجارب</w:t>
      </w:r>
      <w:r w:rsidRPr="00904FCB">
        <w:rPr>
          <w:sz w:val="27"/>
          <w:rtl/>
          <w:lang w:bidi="ar-SY"/>
        </w:rPr>
        <w:t xml:space="preserve"> </w:t>
      </w:r>
      <w:r w:rsidRPr="00904FCB">
        <w:rPr>
          <w:rFonts w:hint="cs"/>
          <w:sz w:val="27"/>
          <w:rtl/>
          <w:lang w:bidi="ar-SY"/>
        </w:rPr>
        <w:t>ومخاضات</w:t>
      </w:r>
      <w:r w:rsidRPr="00904FCB">
        <w:rPr>
          <w:sz w:val="27"/>
          <w:rtl/>
          <w:lang w:bidi="ar-SY"/>
        </w:rPr>
        <w:t xml:space="preserve"> </w:t>
      </w:r>
      <w:r w:rsidRPr="00904FCB">
        <w:rPr>
          <w:rFonts w:hint="cs"/>
          <w:sz w:val="27"/>
          <w:rtl/>
          <w:lang w:bidi="ar-SY"/>
        </w:rPr>
        <w:t>عسيرة</w:t>
      </w:r>
      <w:r w:rsidRPr="00904FCB">
        <w:rPr>
          <w:sz w:val="27"/>
          <w:rtl/>
          <w:lang w:bidi="ar-SY"/>
        </w:rPr>
        <w:t xml:space="preserve"> </w:t>
      </w:r>
      <w:r w:rsidRPr="00904FCB">
        <w:rPr>
          <w:rFonts w:hint="cs"/>
          <w:sz w:val="27"/>
          <w:rtl/>
          <w:lang w:bidi="ar-SY"/>
        </w:rPr>
        <w:t>صعبة</w:t>
      </w:r>
      <w:r w:rsidRPr="00904FCB">
        <w:rPr>
          <w:sz w:val="27"/>
          <w:rtl/>
          <w:lang w:bidi="ar-SY"/>
        </w:rPr>
        <w:t xml:space="preserve"> ـ </w:t>
      </w:r>
      <w:r w:rsidRPr="00904FCB">
        <w:rPr>
          <w:rFonts w:hint="cs"/>
          <w:sz w:val="27"/>
          <w:rtl/>
          <w:lang w:bidi="ar-SY"/>
        </w:rPr>
        <w:t>إلى</w:t>
      </w:r>
      <w:r w:rsidRPr="00904FCB">
        <w:rPr>
          <w:sz w:val="27"/>
          <w:rtl/>
          <w:lang w:bidi="ar-SY"/>
        </w:rPr>
        <w:t xml:space="preserve"> </w:t>
      </w:r>
      <w:r w:rsidRPr="00904FCB">
        <w:rPr>
          <w:rFonts w:hint="cs"/>
          <w:sz w:val="27"/>
          <w:rtl/>
          <w:lang w:bidi="ar-SY"/>
        </w:rPr>
        <w:t>ضرورة</w:t>
      </w:r>
      <w:r w:rsidRPr="00904FCB">
        <w:rPr>
          <w:sz w:val="27"/>
          <w:rtl/>
          <w:lang w:bidi="ar-SY"/>
        </w:rPr>
        <w:t xml:space="preserve"> </w:t>
      </w:r>
      <w:r w:rsidRPr="00904FCB">
        <w:rPr>
          <w:rFonts w:hint="cs"/>
          <w:sz w:val="27"/>
          <w:rtl/>
          <w:lang w:bidi="ar-SY"/>
        </w:rPr>
        <w:t>إيجاد</w:t>
      </w:r>
      <w:r w:rsidRPr="00904FCB">
        <w:rPr>
          <w:sz w:val="27"/>
          <w:rtl/>
          <w:lang w:bidi="ar-SY"/>
        </w:rPr>
        <w:t xml:space="preserve"> </w:t>
      </w:r>
      <w:r w:rsidRPr="00904FCB">
        <w:rPr>
          <w:rFonts w:hint="cs"/>
          <w:sz w:val="27"/>
          <w:rtl/>
          <w:lang w:bidi="ar-SY"/>
        </w:rPr>
        <w:t>آليات</w:t>
      </w:r>
      <w:r w:rsidRPr="00904FCB">
        <w:rPr>
          <w:sz w:val="27"/>
          <w:rtl/>
          <w:lang w:bidi="ar-SY"/>
        </w:rPr>
        <w:t xml:space="preserve"> </w:t>
      </w:r>
      <w:r w:rsidRPr="00904FCB">
        <w:rPr>
          <w:rFonts w:hint="cs"/>
          <w:sz w:val="27"/>
          <w:rtl/>
          <w:lang w:bidi="ar-SY"/>
        </w:rPr>
        <w:t>وقنوات</w:t>
      </w:r>
      <w:r w:rsidRPr="00904FCB">
        <w:rPr>
          <w:sz w:val="27"/>
          <w:rtl/>
          <w:lang w:bidi="ar-SY"/>
        </w:rPr>
        <w:t xml:space="preserve"> </w:t>
      </w:r>
      <w:r w:rsidRPr="00904FCB">
        <w:rPr>
          <w:rFonts w:hint="cs"/>
          <w:sz w:val="27"/>
          <w:rtl/>
          <w:lang w:bidi="ar-SY"/>
        </w:rPr>
        <w:t>ونصوص</w:t>
      </w:r>
      <w:r w:rsidRPr="00904FCB">
        <w:rPr>
          <w:sz w:val="27"/>
          <w:rtl/>
          <w:lang w:bidi="ar-SY"/>
        </w:rPr>
        <w:t xml:space="preserve"> </w:t>
      </w:r>
      <w:r w:rsidRPr="00904FCB">
        <w:rPr>
          <w:rFonts w:hint="cs"/>
          <w:sz w:val="27"/>
          <w:rtl/>
          <w:lang w:bidi="ar-SY"/>
        </w:rPr>
        <w:t>تفاهمية</w:t>
      </w:r>
      <w:r w:rsidR="00496706" w:rsidRPr="00904FCB">
        <w:rPr>
          <w:rFonts w:hint="cs"/>
          <w:sz w:val="27"/>
          <w:rtl/>
          <w:lang w:bidi="ar-SY"/>
        </w:rPr>
        <w:t>؛</w:t>
      </w:r>
      <w:r w:rsidRPr="00904FCB">
        <w:rPr>
          <w:sz w:val="27"/>
          <w:rtl/>
          <w:lang w:bidi="ar-SY"/>
        </w:rPr>
        <w:t xml:space="preserve"> </w:t>
      </w:r>
      <w:r w:rsidRPr="00904FCB">
        <w:rPr>
          <w:rFonts w:hint="cs"/>
          <w:sz w:val="27"/>
          <w:rtl/>
          <w:lang w:bidi="ar-SY"/>
        </w:rPr>
        <w:t>لتقنين</w:t>
      </w:r>
      <w:r w:rsidRPr="00904FCB">
        <w:rPr>
          <w:sz w:val="27"/>
          <w:rtl/>
          <w:lang w:bidi="ar-SY"/>
        </w:rPr>
        <w:t xml:space="preserve"> </w:t>
      </w:r>
      <w:r w:rsidRPr="00904FCB">
        <w:rPr>
          <w:rFonts w:hint="cs"/>
          <w:sz w:val="27"/>
          <w:rtl/>
          <w:lang w:bidi="ar-SY"/>
        </w:rPr>
        <w:t>حركة</w:t>
      </w:r>
      <w:r w:rsidRPr="00904FCB">
        <w:rPr>
          <w:sz w:val="27"/>
          <w:rtl/>
          <w:lang w:bidi="ar-SY"/>
        </w:rPr>
        <w:t xml:space="preserve"> </w:t>
      </w:r>
      <w:r w:rsidRPr="00904FCB">
        <w:rPr>
          <w:rFonts w:hint="cs"/>
          <w:sz w:val="27"/>
          <w:rtl/>
          <w:lang w:bidi="ar-SY"/>
        </w:rPr>
        <w:t>استخدام</w:t>
      </w:r>
      <w:r w:rsidRPr="00904FCB">
        <w:rPr>
          <w:sz w:val="27"/>
          <w:rtl/>
          <w:lang w:bidi="ar-SY"/>
        </w:rPr>
        <w:t xml:space="preserve"> </w:t>
      </w:r>
      <w:r w:rsidRPr="00904FCB">
        <w:rPr>
          <w:rFonts w:hint="cs"/>
          <w:sz w:val="27"/>
          <w:rtl/>
          <w:lang w:bidi="ar-SY"/>
        </w:rPr>
        <w:t>القوة</w:t>
      </w:r>
      <w:r w:rsidRPr="00904FCB">
        <w:rPr>
          <w:sz w:val="27"/>
          <w:rtl/>
          <w:lang w:bidi="ar-SY"/>
        </w:rPr>
        <w:t xml:space="preserve"> </w:t>
      </w:r>
      <w:r w:rsidRPr="00904FCB">
        <w:rPr>
          <w:rFonts w:hint="cs"/>
          <w:sz w:val="27"/>
          <w:rtl/>
          <w:lang w:bidi="ar-SY"/>
        </w:rPr>
        <w:t>والعنف</w:t>
      </w:r>
      <w:r w:rsidRPr="00904FCB">
        <w:rPr>
          <w:sz w:val="27"/>
          <w:rtl/>
          <w:lang w:bidi="ar-SY"/>
        </w:rPr>
        <w:t xml:space="preserve"> </w:t>
      </w:r>
      <w:r w:rsidRPr="00904FCB">
        <w:rPr>
          <w:rFonts w:hint="cs"/>
          <w:sz w:val="27"/>
          <w:rtl/>
          <w:lang w:bidi="ar-SY"/>
        </w:rPr>
        <w:t>ضد</w:t>
      </w:r>
      <w:r w:rsidRPr="00904FCB">
        <w:rPr>
          <w:sz w:val="27"/>
          <w:rtl/>
          <w:lang w:bidi="ar-SY"/>
        </w:rPr>
        <w:t xml:space="preserve"> </w:t>
      </w:r>
      <w:r w:rsidRPr="00904FCB">
        <w:rPr>
          <w:rFonts w:hint="cs"/>
          <w:sz w:val="27"/>
          <w:rtl/>
          <w:lang w:bidi="ar-SY"/>
        </w:rPr>
        <w:t>الآخر</w:t>
      </w:r>
      <w:r w:rsidR="00496706" w:rsidRPr="00904FCB">
        <w:rPr>
          <w:rFonts w:hint="cs"/>
          <w:sz w:val="27"/>
          <w:rtl/>
          <w:lang w:bidi="ar-SY"/>
        </w:rPr>
        <w:t>،</w:t>
      </w:r>
      <w:r w:rsidRPr="00904FCB">
        <w:rPr>
          <w:sz w:val="27"/>
          <w:rtl/>
          <w:lang w:bidi="ar-SY"/>
        </w:rPr>
        <w:t xml:space="preserve"> </w:t>
      </w:r>
      <w:r w:rsidRPr="00904FCB">
        <w:rPr>
          <w:rFonts w:hint="cs"/>
          <w:sz w:val="27"/>
          <w:rtl/>
          <w:lang w:bidi="ar-SY"/>
        </w:rPr>
        <w:t>فرداً</w:t>
      </w:r>
      <w:r w:rsidRPr="00904FCB">
        <w:rPr>
          <w:sz w:val="27"/>
          <w:rtl/>
          <w:lang w:bidi="ar-SY"/>
        </w:rPr>
        <w:t xml:space="preserve"> </w:t>
      </w:r>
      <w:r w:rsidRPr="00904FCB">
        <w:rPr>
          <w:rFonts w:hint="cs"/>
          <w:sz w:val="27"/>
          <w:rtl/>
          <w:lang w:bidi="ar-SY"/>
        </w:rPr>
        <w:t>كان</w:t>
      </w:r>
      <w:r w:rsidRPr="00904FCB">
        <w:rPr>
          <w:sz w:val="27"/>
          <w:rtl/>
          <w:lang w:bidi="ar-SY"/>
        </w:rPr>
        <w:t xml:space="preserve"> </w:t>
      </w:r>
      <w:r w:rsidRPr="00904FCB">
        <w:rPr>
          <w:rFonts w:hint="cs"/>
          <w:sz w:val="27"/>
          <w:rtl/>
          <w:lang w:bidi="ar-SY"/>
        </w:rPr>
        <w:t>أم</w:t>
      </w:r>
      <w:r w:rsidRPr="00904FCB">
        <w:rPr>
          <w:sz w:val="27"/>
          <w:rtl/>
          <w:lang w:bidi="ar-SY"/>
        </w:rPr>
        <w:t xml:space="preserve"> </w:t>
      </w:r>
      <w:r w:rsidRPr="00904FCB">
        <w:rPr>
          <w:rFonts w:hint="cs"/>
          <w:sz w:val="27"/>
          <w:rtl/>
          <w:lang w:bidi="ar-SY"/>
        </w:rPr>
        <w:t>جماعة، نظاماً</w:t>
      </w:r>
      <w:r w:rsidRPr="00904FCB">
        <w:rPr>
          <w:sz w:val="27"/>
          <w:rtl/>
          <w:lang w:bidi="ar-SY"/>
        </w:rPr>
        <w:t xml:space="preserve"> </w:t>
      </w:r>
      <w:r w:rsidRPr="00904FCB">
        <w:rPr>
          <w:rFonts w:hint="cs"/>
          <w:sz w:val="27"/>
          <w:rtl/>
          <w:lang w:bidi="ar-SY"/>
        </w:rPr>
        <w:t>كان</w:t>
      </w:r>
      <w:r w:rsidRPr="00904FCB">
        <w:rPr>
          <w:sz w:val="27"/>
          <w:rtl/>
          <w:lang w:bidi="ar-SY"/>
        </w:rPr>
        <w:t xml:space="preserve"> </w:t>
      </w:r>
      <w:r w:rsidRPr="00904FCB">
        <w:rPr>
          <w:rFonts w:hint="cs"/>
          <w:sz w:val="27"/>
          <w:rtl/>
          <w:lang w:bidi="ar-SY"/>
        </w:rPr>
        <w:t>أم</w:t>
      </w:r>
      <w:r w:rsidRPr="00904FCB">
        <w:rPr>
          <w:sz w:val="27"/>
          <w:rtl/>
          <w:lang w:bidi="ar-SY"/>
        </w:rPr>
        <w:t xml:space="preserve"> </w:t>
      </w:r>
      <w:r w:rsidRPr="00904FCB">
        <w:rPr>
          <w:rFonts w:hint="cs"/>
          <w:sz w:val="27"/>
          <w:rtl/>
          <w:lang w:bidi="ar-SY"/>
        </w:rPr>
        <w:t>محوراً</w:t>
      </w:r>
      <w:r w:rsidRPr="00904FCB">
        <w:rPr>
          <w:sz w:val="27"/>
          <w:rtl/>
          <w:lang w:bidi="ar-SY"/>
        </w:rPr>
        <w:t xml:space="preserve">. </w:t>
      </w:r>
      <w:r w:rsidRPr="00904FCB">
        <w:rPr>
          <w:rFonts w:hint="cs"/>
          <w:sz w:val="27"/>
          <w:rtl/>
          <w:lang w:bidi="ar-SY"/>
        </w:rPr>
        <w:t>وهذا</w:t>
      </w:r>
      <w:r w:rsidRPr="00904FCB">
        <w:rPr>
          <w:sz w:val="27"/>
          <w:rtl/>
          <w:lang w:bidi="ar-SY"/>
        </w:rPr>
        <w:t xml:space="preserve"> </w:t>
      </w:r>
      <w:r w:rsidRPr="00904FCB">
        <w:rPr>
          <w:rFonts w:hint="cs"/>
          <w:sz w:val="27"/>
          <w:rtl/>
          <w:lang w:bidi="ar-SY"/>
        </w:rPr>
        <w:t>التقنين</w:t>
      </w:r>
      <w:r w:rsidRPr="00904FCB">
        <w:rPr>
          <w:sz w:val="27"/>
          <w:rtl/>
          <w:lang w:bidi="ar-SY"/>
        </w:rPr>
        <w:t xml:space="preserve"> </w:t>
      </w:r>
      <w:r w:rsidRPr="00904FCB">
        <w:rPr>
          <w:rFonts w:hint="cs"/>
          <w:sz w:val="27"/>
          <w:rtl/>
          <w:lang w:bidi="ar-SY"/>
        </w:rPr>
        <w:t>لم</w:t>
      </w:r>
      <w:r w:rsidRPr="00904FCB">
        <w:rPr>
          <w:sz w:val="27"/>
          <w:rtl/>
          <w:lang w:bidi="ar-SY"/>
        </w:rPr>
        <w:t xml:space="preserve"> </w:t>
      </w:r>
      <w:r w:rsidRPr="00904FCB">
        <w:rPr>
          <w:rFonts w:hint="cs"/>
          <w:sz w:val="27"/>
          <w:rtl/>
          <w:lang w:bidi="ar-SY"/>
        </w:rPr>
        <w:t>يأ</w:t>
      </w:r>
      <w:r w:rsidR="00496706" w:rsidRPr="00904FCB">
        <w:rPr>
          <w:rFonts w:hint="cs"/>
          <w:sz w:val="27"/>
          <w:rtl/>
          <w:lang w:bidi="ar-SY"/>
        </w:rPr>
        <w:t>ْ</w:t>
      </w:r>
      <w:r w:rsidRPr="00904FCB">
        <w:rPr>
          <w:rFonts w:hint="cs"/>
          <w:sz w:val="27"/>
          <w:rtl/>
          <w:lang w:bidi="ar-SY"/>
        </w:rPr>
        <w:t>ت</w:t>
      </w:r>
      <w:r w:rsidR="00496706" w:rsidRPr="00904FCB">
        <w:rPr>
          <w:rFonts w:hint="cs"/>
          <w:sz w:val="27"/>
          <w:rtl/>
          <w:lang w:bidi="ar-SY"/>
        </w:rPr>
        <w:t>ِ</w:t>
      </w:r>
      <w:r w:rsidRPr="00904FCB">
        <w:rPr>
          <w:sz w:val="27"/>
          <w:rtl/>
          <w:lang w:bidi="ar-SY"/>
        </w:rPr>
        <w:t xml:space="preserve"> </w:t>
      </w:r>
      <w:r w:rsidRPr="00904FCB">
        <w:rPr>
          <w:rFonts w:hint="cs"/>
          <w:sz w:val="27"/>
          <w:rtl/>
          <w:lang w:bidi="ar-SY"/>
        </w:rPr>
        <w:t>هكذا</w:t>
      </w:r>
      <w:r w:rsidRPr="00904FCB">
        <w:rPr>
          <w:sz w:val="27"/>
          <w:rtl/>
          <w:lang w:bidi="ar-SY"/>
        </w:rPr>
        <w:t xml:space="preserve"> </w:t>
      </w:r>
      <w:r w:rsidRPr="00904FCB">
        <w:rPr>
          <w:rFonts w:hint="cs"/>
          <w:sz w:val="27"/>
          <w:rtl/>
          <w:lang w:bidi="ar-SY"/>
        </w:rPr>
        <w:t>فجأة</w:t>
      </w:r>
      <w:r w:rsidRPr="00904FCB">
        <w:rPr>
          <w:sz w:val="27"/>
          <w:rtl/>
          <w:lang w:bidi="ar-SY"/>
        </w:rPr>
        <w:t xml:space="preserve"> </w:t>
      </w:r>
      <w:r w:rsidRPr="00904FCB">
        <w:rPr>
          <w:rFonts w:hint="cs"/>
          <w:sz w:val="27"/>
          <w:rtl/>
          <w:lang w:bidi="ar-SY"/>
        </w:rPr>
        <w:t>بلا</w:t>
      </w:r>
      <w:r w:rsidRPr="00904FCB">
        <w:rPr>
          <w:sz w:val="27"/>
          <w:rtl/>
          <w:lang w:bidi="ar-SY"/>
        </w:rPr>
        <w:t xml:space="preserve"> </w:t>
      </w:r>
      <w:r w:rsidRPr="00904FCB">
        <w:rPr>
          <w:rFonts w:hint="cs"/>
          <w:sz w:val="27"/>
          <w:rtl/>
          <w:lang w:bidi="ar-SY"/>
        </w:rPr>
        <w:t>مقد</w:t>
      </w:r>
      <w:r w:rsidR="00496706" w:rsidRPr="00904FCB">
        <w:rPr>
          <w:rFonts w:hint="cs"/>
          <w:sz w:val="27"/>
          <w:rtl/>
          <w:lang w:bidi="ar-SY"/>
        </w:rPr>
        <w:t>ّ</w:t>
      </w:r>
      <w:r w:rsidRPr="00904FCB">
        <w:rPr>
          <w:rFonts w:hint="cs"/>
          <w:sz w:val="27"/>
          <w:rtl/>
          <w:lang w:bidi="ar-SY"/>
        </w:rPr>
        <w:t>مات</w:t>
      </w:r>
      <w:r w:rsidRPr="00904FCB">
        <w:rPr>
          <w:sz w:val="27"/>
          <w:rtl/>
          <w:lang w:bidi="ar-SY"/>
        </w:rPr>
        <w:t xml:space="preserve"> </w:t>
      </w:r>
      <w:r w:rsidRPr="00904FCB">
        <w:rPr>
          <w:rFonts w:hint="cs"/>
          <w:sz w:val="27"/>
          <w:rtl/>
          <w:lang w:bidi="ar-SY"/>
        </w:rPr>
        <w:t>ومسببات، وإنما</w:t>
      </w:r>
      <w:r w:rsidRPr="00904FCB">
        <w:rPr>
          <w:sz w:val="27"/>
          <w:rtl/>
          <w:lang w:bidi="ar-SY"/>
        </w:rPr>
        <w:t xml:space="preserve"> </w:t>
      </w:r>
      <w:r w:rsidRPr="00904FCB">
        <w:rPr>
          <w:rFonts w:hint="cs"/>
          <w:sz w:val="27"/>
          <w:rtl/>
          <w:lang w:bidi="ar-SY"/>
        </w:rPr>
        <w:t>جاء</w:t>
      </w:r>
      <w:r w:rsidRPr="00904FCB">
        <w:rPr>
          <w:sz w:val="27"/>
          <w:rtl/>
          <w:lang w:bidi="ar-SY"/>
        </w:rPr>
        <w:t xml:space="preserve"> </w:t>
      </w:r>
      <w:r w:rsidRPr="00904FCB">
        <w:rPr>
          <w:rFonts w:hint="cs"/>
          <w:sz w:val="27"/>
          <w:rtl/>
          <w:lang w:bidi="ar-SY"/>
        </w:rPr>
        <w:t>عبر</w:t>
      </w:r>
      <w:r w:rsidRPr="00904FCB">
        <w:rPr>
          <w:sz w:val="27"/>
          <w:rtl/>
          <w:lang w:bidi="ar-SY"/>
        </w:rPr>
        <w:t xml:space="preserve"> </w:t>
      </w:r>
      <w:r w:rsidRPr="00904FCB">
        <w:rPr>
          <w:rFonts w:hint="cs"/>
          <w:sz w:val="27"/>
          <w:rtl/>
          <w:lang w:bidi="ar-SY"/>
        </w:rPr>
        <w:t>ممارسات</w:t>
      </w:r>
      <w:r w:rsidRPr="00904FCB">
        <w:rPr>
          <w:sz w:val="27"/>
          <w:rtl/>
          <w:lang w:bidi="ar-SY"/>
        </w:rPr>
        <w:t xml:space="preserve"> </w:t>
      </w:r>
      <w:r w:rsidRPr="00904FCB">
        <w:rPr>
          <w:rFonts w:hint="cs"/>
          <w:sz w:val="27"/>
          <w:rtl/>
          <w:lang w:bidi="ar-SY"/>
        </w:rPr>
        <w:t>وسلوكيات</w:t>
      </w:r>
      <w:r w:rsidRPr="00904FCB">
        <w:rPr>
          <w:sz w:val="27"/>
          <w:rtl/>
          <w:lang w:bidi="ar-SY"/>
        </w:rPr>
        <w:t xml:space="preserve"> </w:t>
      </w:r>
      <w:r w:rsidRPr="00904FCB">
        <w:rPr>
          <w:rFonts w:hint="cs"/>
          <w:sz w:val="27"/>
          <w:rtl/>
          <w:lang w:bidi="ar-SY"/>
        </w:rPr>
        <w:t>ومراكمات</w:t>
      </w:r>
      <w:r w:rsidRPr="00904FCB">
        <w:rPr>
          <w:sz w:val="27"/>
          <w:rtl/>
          <w:lang w:bidi="ar-SY"/>
        </w:rPr>
        <w:t xml:space="preserve"> </w:t>
      </w:r>
      <w:r w:rsidRPr="00904FCB">
        <w:rPr>
          <w:rFonts w:hint="cs"/>
          <w:sz w:val="27"/>
          <w:rtl/>
          <w:lang w:bidi="ar-SY"/>
        </w:rPr>
        <w:t>حضارية</w:t>
      </w:r>
      <w:r w:rsidRPr="00904FCB">
        <w:rPr>
          <w:sz w:val="27"/>
          <w:rtl/>
          <w:lang w:bidi="ar-SY"/>
        </w:rPr>
        <w:t xml:space="preserve"> </w:t>
      </w:r>
      <w:r w:rsidRPr="00904FCB">
        <w:rPr>
          <w:rFonts w:hint="cs"/>
          <w:sz w:val="27"/>
          <w:rtl/>
          <w:lang w:bidi="ar-SY"/>
        </w:rPr>
        <w:t>إنسانية</w:t>
      </w:r>
      <w:r w:rsidRPr="00904FCB">
        <w:rPr>
          <w:sz w:val="27"/>
          <w:rtl/>
          <w:lang w:bidi="ar-SY"/>
        </w:rPr>
        <w:t xml:space="preserve"> </w:t>
      </w:r>
      <w:r w:rsidRPr="00904FCB">
        <w:rPr>
          <w:rFonts w:hint="cs"/>
          <w:sz w:val="27"/>
          <w:rtl/>
          <w:lang w:bidi="ar-SY"/>
        </w:rPr>
        <w:t>طويلة</w:t>
      </w:r>
      <w:r w:rsidR="00496706" w:rsidRPr="00904FCB">
        <w:rPr>
          <w:rFonts w:hint="cs"/>
          <w:sz w:val="27"/>
          <w:rtl/>
          <w:lang w:bidi="ar-SY"/>
        </w:rPr>
        <w:t>،</w:t>
      </w:r>
      <w:r w:rsidRPr="00904FCB">
        <w:rPr>
          <w:sz w:val="27"/>
          <w:rtl/>
          <w:lang w:bidi="ar-SY"/>
        </w:rPr>
        <w:t xml:space="preserve"> </w:t>
      </w:r>
      <w:r w:rsidRPr="00904FCB">
        <w:rPr>
          <w:rFonts w:hint="cs"/>
          <w:sz w:val="27"/>
          <w:rtl/>
          <w:lang w:bidi="ar-SY"/>
        </w:rPr>
        <w:t>عانت</w:t>
      </w:r>
      <w:r w:rsidRPr="00904FCB">
        <w:rPr>
          <w:sz w:val="27"/>
          <w:rtl/>
          <w:lang w:bidi="ar-SY"/>
        </w:rPr>
        <w:t xml:space="preserve"> </w:t>
      </w:r>
      <w:r w:rsidRPr="00904FCB">
        <w:rPr>
          <w:rFonts w:hint="cs"/>
          <w:sz w:val="27"/>
          <w:rtl/>
          <w:lang w:bidi="ar-SY"/>
        </w:rPr>
        <w:t>فيها</w:t>
      </w:r>
      <w:r w:rsidRPr="00904FCB">
        <w:rPr>
          <w:sz w:val="27"/>
          <w:rtl/>
          <w:lang w:bidi="ar-SY"/>
        </w:rPr>
        <w:t xml:space="preserve"> </w:t>
      </w:r>
      <w:r w:rsidRPr="00904FCB">
        <w:rPr>
          <w:rFonts w:hint="cs"/>
          <w:sz w:val="27"/>
          <w:rtl/>
          <w:lang w:bidi="ar-SY"/>
        </w:rPr>
        <w:t>البشرية</w:t>
      </w:r>
      <w:r w:rsidRPr="00904FCB">
        <w:rPr>
          <w:sz w:val="27"/>
          <w:rtl/>
          <w:lang w:bidi="ar-SY"/>
        </w:rPr>
        <w:t xml:space="preserve"> </w:t>
      </w:r>
      <w:r w:rsidRPr="00904FCB">
        <w:rPr>
          <w:rFonts w:hint="cs"/>
          <w:sz w:val="27"/>
          <w:rtl/>
          <w:lang w:bidi="ar-SY"/>
        </w:rPr>
        <w:t>ما</w:t>
      </w:r>
      <w:r w:rsidRPr="00904FCB">
        <w:rPr>
          <w:sz w:val="27"/>
          <w:rtl/>
          <w:lang w:bidi="ar-SY"/>
        </w:rPr>
        <w:t xml:space="preserve"> </w:t>
      </w:r>
      <w:r w:rsidRPr="00904FCB">
        <w:rPr>
          <w:rFonts w:hint="cs"/>
          <w:sz w:val="27"/>
          <w:rtl/>
          <w:lang w:bidi="ar-SY"/>
        </w:rPr>
        <w:t>عانته</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ويلات</w:t>
      </w:r>
      <w:r w:rsidRPr="00904FCB">
        <w:rPr>
          <w:sz w:val="27"/>
          <w:rtl/>
          <w:lang w:bidi="ar-SY"/>
        </w:rPr>
        <w:t xml:space="preserve"> </w:t>
      </w:r>
      <w:r w:rsidRPr="00904FCB">
        <w:rPr>
          <w:rFonts w:hint="cs"/>
          <w:sz w:val="27"/>
          <w:rtl/>
          <w:lang w:bidi="ar-SY"/>
        </w:rPr>
        <w:t>الاستخدام</w:t>
      </w:r>
      <w:r w:rsidRPr="00904FCB">
        <w:rPr>
          <w:sz w:val="27"/>
          <w:rtl/>
          <w:lang w:bidi="ar-SY"/>
        </w:rPr>
        <w:t xml:space="preserve"> </w:t>
      </w:r>
      <w:r w:rsidRPr="00904FCB">
        <w:rPr>
          <w:rFonts w:hint="cs"/>
          <w:sz w:val="27"/>
          <w:rtl/>
          <w:lang w:bidi="ar-SY"/>
        </w:rPr>
        <w:t>الجائر</w:t>
      </w:r>
      <w:r w:rsidRPr="00904FCB">
        <w:rPr>
          <w:sz w:val="27"/>
          <w:rtl/>
          <w:lang w:bidi="ar-SY"/>
        </w:rPr>
        <w:t xml:space="preserve"> </w:t>
      </w:r>
      <w:r w:rsidRPr="00904FCB">
        <w:rPr>
          <w:rFonts w:hint="cs"/>
          <w:sz w:val="27"/>
          <w:rtl/>
          <w:lang w:bidi="ar-SY"/>
        </w:rPr>
        <w:t>والواسع</w:t>
      </w:r>
      <w:r w:rsidRPr="00904FCB">
        <w:rPr>
          <w:sz w:val="27"/>
          <w:rtl/>
          <w:lang w:bidi="ar-SY"/>
        </w:rPr>
        <w:t xml:space="preserve"> </w:t>
      </w:r>
      <w:r w:rsidRPr="00904FCB">
        <w:rPr>
          <w:rFonts w:hint="cs"/>
          <w:sz w:val="27"/>
          <w:rtl/>
          <w:lang w:bidi="ar-SY"/>
        </w:rPr>
        <w:t>للعنف</w:t>
      </w:r>
      <w:r w:rsidRPr="00904FCB">
        <w:rPr>
          <w:sz w:val="27"/>
          <w:rtl/>
          <w:lang w:bidi="ar-SY"/>
        </w:rPr>
        <w:t xml:space="preserve"> </w:t>
      </w:r>
      <w:r w:rsidRPr="00904FCB">
        <w:rPr>
          <w:rFonts w:hint="cs"/>
          <w:sz w:val="27"/>
          <w:rtl/>
          <w:lang w:bidi="ar-SY"/>
        </w:rPr>
        <w:t>العاري</w:t>
      </w:r>
      <w:r w:rsidRPr="00904FCB">
        <w:rPr>
          <w:sz w:val="27"/>
          <w:rtl/>
          <w:lang w:bidi="ar-SY"/>
        </w:rPr>
        <w:t xml:space="preserve"> </w:t>
      </w:r>
      <w:r w:rsidRPr="00904FCB">
        <w:rPr>
          <w:rFonts w:hint="cs"/>
          <w:sz w:val="27"/>
          <w:rtl/>
          <w:lang w:bidi="ar-SY"/>
        </w:rPr>
        <w:t>والقو</w:t>
      </w:r>
      <w:r w:rsidR="00496706" w:rsidRPr="00904FCB">
        <w:rPr>
          <w:rFonts w:hint="cs"/>
          <w:sz w:val="27"/>
          <w:rtl/>
          <w:lang w:bidi="ar-SY"/>
        </w:rPr>
        <w:t>ّ</w:t>
      </w:r>
      <w:r w:rsidRPr="00904FCB">
        <w:rPr>
          <w:rFonts w:hint="cs"/>
          <w:sz w:val="27"/>
          <w:rtl/>
          <w:lang w:bidi="ar-SY"/>
        </w:rPr>
        <w:t>ة</w:t>
      </w:r>
      <w:r w:rsidRPr="00904FCB">
        <w:rPr>
          <w:sz w:val="27"/>
          <w:rtl/>
          <w:lang w:bidi="ar-SY"/>
        </w:rPr>
        <w:t xml:space="preserve"> </w:t>
      </w:r>
      <w:r w:rsidRPr="00904FCB">
        <w:rPr>
          <w:rFonts w:hint="cs"/>
          <w:sz w:val="27"/>
          <w:rtl/>
          <w:lang w:bidi="ar-SY"/>
        </w:rPr>
        <w:t>الباطشة</w:t>
      </w:r>
      <w:r w:rsidR="00496706" w:rsidRPr="00904FCB">
        <w:rPr>
          <w:rFonts w:hint="cs"/>
          <w:sz w:val="27"/>
          <w:rtl/>
          <w:lang w:bidi="ar-SY"/>
        </w:rPr>
        <w:t>،</w:t>
      </w:r>
      <w:r w:rsidRPr="00904FCB">
        <w:rPr>
          <w:sz w:val="27"/>
          <w:rtl/>
          <w:lang w:bidi="ar-SY"/>
        </w:rPr>
        <w:t xml:space="preserve"> </w:t>
      </w:r>
      <w:r w:rsidRPr="00904FCB">
        <w:rPr>
          <w:rFonts w:hint="cs"/>
          <w:sz w:val="27"/>
          <w:rtl/>
          <w:lang w:bidi="ar-SY"/>
        </w:rPr>
        <w:t>أد</w:t>
      </w:r>
      <w:r w:rsidR="00496706" w:rsidRPr="00904FCB">
        <w:rPr>
          <w:rFonts w:hint="cs"/>
          <w:sz w:val="27"/>
          <w:rtl/>
          <w:lang w:bidi="ar-SY"/>
        </w:rPr>
        <w:t>َّ</w:t>
      </w:r>
      <w:r w:rsidRPr="00904FCB">
        <w:rPr>
          <w:rFonts w:hint="cs"/>
          <w:sz w:val="27"/>
          <w:rtl/>
          <w:lang w:bidi="ar-SY"/>
        </w:rPr>
        <w:t>ت</w:t>
      </w:r>
      <w:r w:rsidRPr="00904FCB">
        <w:rPr>
          <w:sz w:val="27"/>
          <w:rtl/>
          <w:lang w:bidi="ar-SY"/>
        </w:rPr>
        <w:t xml:space="preserve"> </w:t>
      </w:r>
      <w:r w:rsidRPr="00904FCB">
        <w:rPr>
          <w:rFonts w:hint="cs"/>
          <w:sz w:val="27"/>
          <w:rtl/>
          <w:lang w:bidi="ar-SY"/>
        </w:rPr>
        <w:t>إلى</w:t>
      </w:r>
      <w:r w:rsidRPr="00904FCB">
        <w:rPr>
          <w:sz w:val="27"/>
          <w:rtl/>
          <w:lang w:bidi="ar-SY"/>
        </w:rPr>
        <w:t xml:space="preserve"> </w:t>
      </w:r>
      <w:r w:rsidRPr="00904FCB">
        <w:rPr>
          <w:rFonts w:hint="cs"/>
          <w:sz w:val="27"/>
          <w:rtl/>
          <w:lang w:bidi="ar-SY"/>
        </w:rPr>
        <w:t>حدوث</w:t>
      </w:r>
      <w:r w:rsidRPr="00904FCB">
        <w:rPr>
          <w:sz w:val="27"/>
          <w:rtl/>
          <w:lang w:bidi="ar-SY"/>
        </w:rPr>
        <w:t xml:space="preserve"> </w:t>
      </w:r>
      <w:r w:rsidRPr="00904FCB">
        <w:rPr>
          <w:rFonts w:hint="cs"/>
          <w:sz w:val="27"/>
          <w:rtl/>
          <w:lang w:bidi="ar-SY"/>
        </w:rPr>
        <w:t>حروب</w:t>
      </w:r>
      <w:r w:rsidRPr="00904FCB">
        <w:rPr>
          <w:sz w:val="27"/>
          <w:rtl/>
          <w:lang w:bidi="ar-SY"/>
        </w:rPr>
        <w:t xml:space="preserve"> </w:t>
      </w:r>
      <w:r w:rsidRPr="00904FCB">
        <w:rPr>
          <w:rFonts w:hint="cs"/>
          <w:sz w:val="27"/>
          <w:rtl/>
          <w:lang w:bidi="ar-SY"/>
        </w:rPr>
        <w:t>ومنازعات</w:t>
      </w:r>
      <w:r w:rsidRPr="00904FCB">
        <w:rPr>
          <w:sz w:val="27"/>
          <w:rtl/>
          <w:lang w:bidi="ar-SY"/>
        </w:rPr>
        <w:t xml:space="preserve"> </w:t>
      </w:r>
      <w:r w:rsidRPr="00904FCB">
        <w:rPr>
          <w:rFonts w:hint="cs"/>
          <w:sz w:val="27"/>
          <w:rtl/>
          <w:lang w:bidi="ar-SY"/>
        </w:rPr>
        <w:t>وصراعات</w:t>
      </w:r>
      <w:r w:rsidRPr="00904FCB">
        <w:rPr>
          <w:sz w:val="27"/>
          <w:rtl/>
          <w:lang w:bidi="ar-SY"/>
        </w:rPr>
        <w:t xml:space="preserve"> </w:t>
      </w:r>
      <w:r w:rsidRPr="00904FCB">
        <w:rPr>
          <w:rFonts w:hint="cs"/>
          <w:sz w:val="27"/>
          <w:rtl/>
          <w:lang w:bidi="ar-SY"/>
        </w:rPr>
        <w:lastRenderedPageBreak/>
        <w:t>دموية</w:t>
      </w:r>
      <w:r w:rsidRPr="00904FCB">
        <w:rPr>
          <w:sz w:val="27"/>
          <w:rtl/>
          <w:lang w:bidi="ar-SY"/>
        </w:rPr>
        <w:t xml:space="preserve"> </w:t>
      </w:r>
      <w:r w:rsidRPr="00904FCB">
        <w:rPr>
          <w:rFonts w:hint="cs"/>
          <w:sz w:val="27"/>
          <w:rtl/>
          <w:lang w:bidi="ar-SY"/>
        </w:rPr>
        <w:t>طويلة</w:t>
      </w:r>
      <w:r w:rsidRPr="00904FCB">
        <w:rPr>
          <w:sz w:val="27"/>
          <w:rtl/>
          <w:lang w:bidi="ar-SY"/>
        </w:rPr>
        <w:t xml:space="preserve"> </w:t>
      </w:r>
      <w:r w:rsidRPr="00904FCB">
        <w:rPr>
          <w:rFonts w:hint="cs"/>
          <w:sz w:val="27"/>
          <w:rtl/>
          <w:lang w:bidi="ar-SY"/>
        </w:rPr>
        <w:t>كثيرة</w:t>
      </w:r>
      <w:r w:rsidR="00496706" w:rsidRPr="00904FCB">
        <w:rPr>
          <w:rFonts w:hint="cs"/>
          <w:sz w:val="27"/>
          <w:rtl/>
          <w:lang w:bidi="ar-SY"/>
        </w:rPr>
        <w:t>،</w:t>
      </w:r>
      <w:r w:rsidRPr="00904FCB">
        <w:rPr>
          <w:sz w:val="27"/>
          <w:rtl/>
          <w:lang w:bidi="ar-SY"/>
        </w:rPr>
        <w:t xml:space="preserve"> </w:t>
      </w:r>
      <w:r w:rsidRPr="00904FCB">
        <w:rPr>
          <w:rFonts w:hint="cs"/>
          <w:sz w:val="27"/>
          <w:rtl/>
          <w:lang w:bidi="ar-SY"/>
        </w:rPr>
        <w:t>كل</w:t>
      </w:r>
      <w:r w:rsidR="00496706" w:rsidRPr="00904FCB">
        <w:rPr>
          <w:rFonts w:hint="cs"/>
          <w:sz w:val="27"/>
          <w:rtl/>
          <w:lang w:bidi="ar-SY"/>
        </w:rPr>
        <w:t>َّ</w:t>
      </w:r>
      <w:r w:rsidRPr="00904FCB">
        <w:rPr>
          <w:rFonts w:hint="cs"/>
          <w:sz w:val="27"/>
          <w:rtl/>
          <w:lang w:bidi="ar-SY"/>
        </w:rPr>
        <w:t>فت</w:t>
      </w:r>
      <w:r w:rsidRPr="00904FCB">
        <w:rPr>
          <w:sz w:val="27"/>
          <w:rtl/>
          <w:lang w:bidi="ar-SY"/>
        </w:rPr>
        <w:t xml:space="preserve"> </w:t>
      </w:r>
      <w:r w:rsidRPr="00904FCB">
        <w:rPr>
          <w:rFonts w:hint="cs"/>
          <w:sz w:val="27"/>
          <w:rtl/>
          <w:lang w:bidi="ar-SY"/>
        </w:rPr>
        <w:t>البشرية</w:t>
      </w:r>
      <w:r w:rsidRPr="00904FCB">
        <w:rPr>
          <w:sz w:val="27"/>
          <w:rtl/>
          <w:lang w:bidi="ar-SY"/>
        </w:rPr>
        <w:t xml:space="preserve"> </w:t>
      </w:r>
      <w:r w:rsidRPr="00904FCB">
        <w:rPr>
          <w:rFonts w:hint="cs"/>
          <w:sz w:val="27"/>
          <w:rtl/>
          <w:lang w:bidi="ar-SY"/>
        </w:rPr>
        <w:t>أنهاراً</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الدماء</w:t>
      </w:r>
      <w:r w:rsidRPr="00904FCB">
        <w:rPr>
          <w:sz w:val="27"/>
          <w:rtl/>
          <w:lang w:bidi="ar-SY"/>
        </w:rPr>
        <w:t xml:space="preserve"> </w:t>
      </w:r>
      <w:r w:rsidRPr="00904FCB">
        <w:rPr>
          <w:rFonts w:hint="cs"/>
          <w:sz w:val="27"/>
          <w:rtl/>
          <w:lang w:bidi="ar-SY"/>
        </w:rPr>
        <w:t>والدموع</w:t>
      </w:r>
      <w:r w:rsidRPr="00904FCB">
        <w:rPr>
          <w:sz w:val="27"/>
          <w:rtl/>
          <w:lang w:bidi="ar-SY"/>
        </w:rPr>
        <w:t xml:space="preserve">. </w:t>
      </w:r>
      <w:r w:rsidRPr="00904FCB">
        <w:rPr>
          <w:rFonts w:hint="cs"/>
          <w:sz w:val="27"/>
          <w:rtl/>
          <w:lang w:bidi="ar-SY"/>
        </w:rPr>
        <w:t>وكان</w:t>
      </w:r>
      <w:r w:rsidRPr="00904FCB">
        <w:rPr>
          <w:sz w:val="27"/>
          <w:rtl/>
          <w:lang w:bidi="ar-SY"/>
        </w:rPr>
        <w:t xml:space="preserve"> </w:t>
      </w:r>
      <w:r w:rsidRPr="00904FCB">
        <w:rPr>
          <w:rFonts w:hint="cs"/>
          <w:sz w:val="27"/>
          <w:rtl/>
          <w:lang w:bidi="ar-SY"/>
        </w:rPr>
        <w:t>عماد</w:t>
      </w:r>
      <w:r w:rsidRPr="00904FCB">
        <w:rPr>
          <w:sz w:val="27"/>
          <w:rtl/>
          <w:lang w:bidi="ar-SY"/>
        </w:rPr>
        <w:t xml:space="preserve"> </w:t>
      </w:r>
      <w:r w:rsidRPr="00904FCB">
        <w:rPr>
          <w:rFonts w:hint="cs"/>
          <w:sz w:val="27"/>
          <w:rtl/>
          <w:lang w:bidi="ar-SY"/>
        </w:rPr>
        <w:t>وأس</w:t>
      </w:r>
      <w:r w:rsidR="00496706" w:rsidRPr="00904FCB">
        <w:rPr>
          <w:rFonts w:hint="cs"/>
          <w:sz w:val="27"/>
          <w:rtl/>
          <w:lang w:bidi="ar-SY"/>
        </w:rPr>
        <w:t>ّ</w:t>
      </w:r>
      <w:r w:rsidRPr="00904FCB">
        <w:rPr>
          <w:sz w:val="27"/>
          <w:rtl/>
          <w:lang w:bidi="ar-SY"/>
        </w:rPr>
        <w:t xml:space="preserve"> </w:t>
      </w:r>
      <w:r w:rsidRPr="00904FCB">
        <w:rPr>
          <w:rFonts w:hint="cs"/>
          <w:sz w:val="27"/>
          <w:rtl/>
          <w:lang w:bidi="ar-SY"/>
        </w:rPr>
        <w:t>تلك</w:t>
      </w:r>
      <w:r w:rsidRPr="00904FCB">
        <w:rPr>
          <w:sz w:val="27"/>
          <w:rtl/>
          <w:lang w:bidi="ar-SY"/>
        </w:rPr>
        <w:t xml:space="preserve"> </w:t>
      </w:r>
      <w:r w:rsidRPr="00904FCB">
        <w:rPr>
          <w:rFonts w:hint="cs"/>
          <w:sz w:val="27"/>
          <w:rtl/>
          <w:lang w:bidi="ar-SY"/>
        </w:rPr>
        <w:t>التجارب</w:t>
      </w:r>
      <w:r w:rsidRPr="00904FCB">
        <w:rPr>
          <w:sz w:val="27"/>
          <w:rtl/>
          <w:lang w:bidi="ar-SY"/>
        </w:rPr>
        <w:t xml:space="preserve"> </w:t>
      </w:r>
      <w:r w:rsidRPr="00904FCB">
        <w:rPr>
          <w:rFonts w:hint="cs"/>
          <w:sz w:val="27"/>
          <w:rtl/>
          <w:lang w:bidi="ar-SY"/>
        </w:rPr>
        <w:t>المرة</w:t>
      </w:r>
      <w:r w:rsidRPr="00904FCB">
        <w:rPr>
          <w:sz w:val="27"/>
          <w:rtl/>
          <w:lang w:bidi="ar-SY"/>
        </w:rPr>
        <w:t xml:space="preserve"> </w:t>
      </w:r>
      <w:r w:rsidRPr="00904FCB">
        <w:rPr>
          <w:rFonts w:hint="cs"/>
          <w:sz w:val="27"/>
          <w:rtl/>
          <w:lang w:bidi="ar-SY"/>
        </w:rPr>
        <w:t>والصعبة</w:t>
      </w:r>
      <w:r w:rsidRPr="00904FCB">
        <w:rPr>
          <w:sz w:val="27"/>
          <w:rtl/>
          <w:lang w:bidi="ar-SY"/>
        </w:rPr>
        <w:t xml:space="preserve"> </w:t>
      </w:r>
      <w:r w:rsidRPr="00904FCB">
        <w:rPr>
          <w:rFonts w:hint="cs"/>
          <w:sz w:val="27"/>
          <w:rtl/>
          <w:lang w:bidi="ar-SY"/>
        </w:rPr>
        <w:t>هو</w:t>
      </w:r>
      <w:r w:rsidRPr="00904FCB">
        <w:rPr>
          <w:sz w:val="27"/>
          <w:rtl/>
          <w:lang w:bidi="ar-SY"/>
        </w:rPr>
        <w:t xml:space="preserve"> </w:t>
      </w:r>
      <w:r w:rsidRPr="00904FCB">
        <w:rPr>
          <w:rFonts w:hint="cs"/>
          <w:sz w:val="27"/>
          <w:rtl/>
          <w:lang w:bidi="ar-SY"/>
        </w:rPr>
        <w:t>التوافق</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تنظيم</w:t>
      </w:r>
      <w:r w:rsidRPr="00904FCB">
        <w:rPr>
          <w:sz w:val="27"/>
          <w:rtl/>
          <w:lang w:bidi="ar-SY"/>
        </w:rPr>
        <w:t xml:space="preserve"> </w:t>
      </w:r>
      <w:r w:rsidRPr="00904FCB">
        <w:rPr>
          <w:rFonts w:hint="cs"/>
          <w:sz w:val="27"/>
          <w:rtl/>
          <w:lang w:bidi="ar-SY"/>
        </w:rPr>
        <w:t>الخلاف</w:t>
      </w:r>
      <w:r w:rsidRPr="00904FCB">
        <w:rPr>
          <w:sz w:val="27"/>
          <w:rtl/>
          <w:lang w:bidi="ar-SY"/>
        </w:rPr>
        <w:t xml:space="preserve"> </w:t>
      </w:r>
      <w:r w:rsidRPr="00904FCB">
        <w:rPr>
          <w:rFonts w:hint="cs"/>
          <w:sz w:val="27"/>
          <w:rtl/>
          <w:lang w:bidi="ar-SY"/>
        </w:rPr>
        <w:t>والتناقض</w:t>
      </w:r>
      <w:r w:rsidRPr="00904FCB">
        <w:rPr>
          <w:sz w:val="27"/>
          <w:rtl/>
          <w:lang w:bidi="ar-SY"/>
        </w:rPr>
        <w:t xml:space="preserve"> </w:t>
      </w:r>
      <w:r w:rsidRPr="00904FCB">
        <w:rPr>
          <w:rFonts w:hint="cs"/>
          <w:sz w:val="27"/>
          <w:rtl/>
          <w:lang w:bidi="ar-SY"/>
        </w:rPr>
        <w:t>والتعد</w:t>
      </w:r>
      <w:r w:rsidR="00496706" w:rsidRPr="00904FCB">
        <w:rPr>
          <w:rFonts w:hint="cs"/>
          <w:sz w:val="27"/>
          <w:rtl/>
          <w:lang w:bidi="ar-SY"/>
        </w:rPr>
        <w:t>ُّ</w:t>
      </w:r>
      <w:r w:rsidRPr="00904FCB">
        <w:rPr>
          <w:rFonts w:hint="cs"/>
          <w:sz w:val="27"/>
          <w:rtl/>
          <w:lang w:bidi="ar-SY"/>
        </w:rPr>
        <w:t>د</w:t>
      </w:r>
      <w:r w:rsidRPr="00904FCB">
        <w:rPr>
          <w:sz w:val="27"/>
          <w:rtl/>
          <w:lang w:bidi="ar-SY"/>
        </w:rPr>
        <w:t xml:space="preserve"> </w:t>
      </w:r>
      <w:r w:rsidRPr="00904FCB">
        <w:rPr>
          <w:rFonts w:hint="cs"/>
          <w:sz w:val="27"/>
          <w:rtl/>
          <w:lang w:bidi="ar-SY"/>
        </w:rPr>
        <w:t>والخصومات</w:t>
      </w:r>
      <w:r w:rsidRPr="00904FCB">
        <w:rPr>
          <w:sz w:val="27"/>
          <w:rtl/>
          <w:lang w:bidi="ar-SY"/>
        </w:rPr>
        <w:t xml:space="preserve"> </w:t>
      </w:r>
      <w:r w:rsidRPr="00904FCB">
        <w:rPr>
          <w:rFonts w:hint="cs"/>
          <w:sz w:val="27"/>
          <w:rtl/>
          <w:lang w:bidi="ar-SY"/>
        </w:rPr>
        <w:t>بين</w:t>
      </w:r>
      <w:r w:rsidRPr="00904FCB">
        <w:rPr>
          <w:sz w:val="27"/>
          <w:rtl/>
          <w:lang w:bidi="ar-SY"/>
        </w:rPr>
        <w:t xml:space="preserve"> </w:t>
      </w:r>
      <w:r w:rsidRPr="00904FCB">
        <w:rPr>
          <w:rFonts w:hint="cs"/>
          <w:sz w:val="27"/>
          <w:rtl/>
          <w:lang w:bidi="ar-SY"/>
        </w:rPr>
        <w:t>الناس، من</w:t>
      </w:r>
      <w:r w:rsidRPr="00904FCB">
        <w:rPr>
          <w:sz w:val="27"/>
          <w:rtl/>
          <w:lang w:bidi="ar-SY"/>
        </w:rPr>
        <w:t xml:space="preserve"> </w:t>
      </w:r>
      <w:r w:rsidRPr="00904FCB">
        <w:rPr>
          <w:rFonts w:hint="cs"/>
          <w:sz w:val="27"/>
          <w:rtl/>
          <w:lang w:bidi="ar-SY"/>
        </w:rPr>
        <w:t>خلال</w:t>
      </w:r>
      <w:r w:rsidRPr="00904FCB">
        <w:rPr>
          <w:sz w:val="27"/>
          <w:rtl/>
          <w:lang w:bidi="ar-SY"/>
        </w:rPr>
        <w:t xml:space="preserve"> </w:t>
      </w:r>
      <w:r w:rsidRPr="00904FCB">
        <w:rPr>
          <w:rFonts w:hint="cs"/>
          <w:sz w:val="27"/>
          <w:rtl/>
          <w:lang w:bidi="ar-SY"/>
        </w:rPr>
        <w:t>بناء</w:t>
      </w:r>
      <w:r w:rsidRPr="00904FCB">
        <w:rPr>
          <w:sz w:val="27"/>
          <w:rtl/>
          <w:lang w:bidi="ar-SY"/>
        </w:rPr>
        <w:t xml:space="preserve"> </w:t>
      </w:r>
      <w:r w:rsidRPr="00904FCB">
        <w:rPr>
          <w:rFonts w:hint="cs"/>
          <w:sz w:val="27"/>
          <w:rtl/>
          <w:lang w:bidi="ar-SY"/>
        </w:rPr>
        <w:t>عقد</w:t>
      </w:r>
      <w:r w:rsidRPr="00904FCB">
        <w:rPr>
          <w:sz w:val="27"/>
          <w:rtl/>
          <w:lang w:bidi="ar-SY"/>
        </w:rPr>
        <w:t xml:space="preserve"> </w:t>
      </w:r>
      <w:r w:rsidRPr="00904FCB">
        <w:rPr>
          <w:rFonts w:hint="cs"/>
          <w:sz w:val="27"/>
          <w:rtl/>
          <w:lang w:bidi="ar-SY"/>
        </w:rPr>
        <w:t>اجتماعي</w:t>
      </w:r>
      <w:r w:rsidRPr="00904FCB">
        <w:rPr>
          <w:sz w:val="27"/>
          <w:rtl/>
          <w:lang w:bidi="ar-SY"/>
        </w:rPr>
        <w:t xml:space="preserve"> </w:t>
      </w:r>
      <w:r w:rsidRPr="00904FCB">
        <w:rPr>
          <w:rFonts w:hint="cs"/>
          <w:sz w:val="27"/>
          <w:rtl/>
          <w:lang w:bidi="ar-SY"/>
        </w:rPr>
        <w:t>بشري</w:t>
      </w:r>
      <w:r w:rsidR="00496706" w:rsidRPr="00904FCB">
        <w:rPr>
          <w:rFonts w:hint="cs"/>
          <w:sz w:val="27"/>
          <w:rtl/>
          <w:lang w:bidi="ar-SY"/>
        </w:rPr>
        <w:t>ّ</w:t>
      </w:r>
      <w:r w:rsidRPr="00904FCB">
        <w:rPr>
          <w:sz w:val="27"/>
          <w:rtl/>
          <w:lang w:bidi="ar-SY"/>
        </w:rPr>
        <w:t xml:space="preserve"> </w:t>
      </w:r>
      <w:r w:rsidRPr="00904FCB">
        <w:rPr>
          <w:rFonts w:hint="cs"/>
          <w:sz w:val="27"/>
          <w:rtl/>
          <w:lang w:bidi="ar-SY"/>
        </w:rPr>
        <w:t>يعطي</w:t>
      </w:r>
      <w:r w:rsidRPr="00904FCB">
        <w:rPr>
          <w:sz w:val="27"/>
          <w:rtl/>
          <w:lang w:bidi="ar-SY"/>
        </w:rPr>
        <w:t xml:space="preserve"> </w:t>
      </w:r>
      <w:r w:rsidRPr="00904FCB">
        <w:rPr>
          <w:rFonts w:hint="cs"/>
          <w:sz w:val="27"/>
          <w:rtl/>
          <w:lang w:bidi="ar-SY"/>
        </w:rPr>
        <w:t>مجموعة</w:t>
      </w:r>
      <w:r w:rsidR="00496706" w:rsidRPr="00904FCB">
        <w:rPr>
          <w:rFonts w:hint="cs"/>
          <w:sz w:val="27"/>
          <w:rtl/>
          <w:lang w:bidi="ar-SY"/>
        </w:rPr>
        <w:t>ً</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الناس</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المجتمع</w:t>
      </w:r>
      <w:r w:rsidRPr="00904FCB">
        <w:rPr>
          <w:sz w:val="27"/>
          <w:rtl/>
          <w:lang w:bidi="ar-SY"/>
        </w:rPr>
        <w:t xml:space="preserve"> </w:t>
      </w:r>
      <w:r w:rsidRPr="00904FCB">
        <w:rPr>
          <w:rFonts w:hint="cs"/>
          <w:sz w:val="27"/>
          <w:rtl/>
          <w:lang w:bidi="ar-SY"/>
        </w:rPr>
        <w:t>الحق</w:t>
      </w:r>
      <w:r w:rsidR="00496706" w:rsidRPr="00904FCB">
        <w:rPr>
          <w:rFonts w:hint="cs"/>
          <w:sz w:val="27"/>
          <w:rtl/>
          <w:lang w:bidi="ar-SY"/>
        </w:rPr>
        <w:t>ّ</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الحكم</w:t>
      </w:r>
      <w:r w:rsidRPr="00904FCB">
        <w:rPr>
          <w:sz w:val="27"/>
          <w:rtl/>
          <w:lang w:bidi="ar-SY"/>
        </w:rPr>
        <w:t xml:space="preserve"> </w:t>
      </w:r>
      <w:r w:rsidRPr="00904FCB">
        <w:rPr>
          <w:rFonts w:hint="cs"/>
          <w:sz w:val="27"/>
          <w:rtl/>
          <w:lang w:bidi="ar-SY"/>
        </w:rPr>
        <w:t>وإصدار</w:t>
      </w:r>
      <w:r w:rsidRPr="00904FCB">
        <w:rPr>
          <w:sz w:val="27"/>
          <w:rtl/>
          <w:lang w:bidi="ar-SY"/>
        </w:rPr>
        <w:t xml:space="preserve"> </w:t>
      </w:r>
      <w:r w:rsidRPr="00904FCB">
        <w:rPr>
          <w:rFonts w:hint="cs"/>
          <w:sz w:val="27"/>
          <w:rtl/>
          <w:lang w:bidi="ar-SY"/>
        </w:rPr>
        <w:t>القوانين</w:t>
      </w:r>
      <w:r w:rsidRPr="00904FCB">
        <w:rPr>
          <w:sz w:val="27"/>
          <w:rtl/>
          <w:lang w:bidi="ar-SY"/>
        </w:rPr>
        <w:t xml:space="preserve"> </w:t>
      </w:r>
      <w:r w:rsidRPr="00904FCB">
        <w:rPr>
          <w:rFonts w:hint="cs"/>
          <w:sz w:val="27"/>
          <w:rtl/>
          <w:lang w:bidi="ar-SY"/>
        </w:rPr>
        <w:t>وسن</w:t>
      </w:r>
      <w:r w:rsidR="00496706" w:rsidRPr="00904FCB">
        <w:rPr>
          <w:rFonts w:hint="cs"/>
          <w:sz w:val="27"/>
          <w:rtl/>
          <w:lang w:bidi="ar-SY"/>
        </w:rPr>
        <w:t>ّ</w:t>
      </w:r>
      <w:r w:rsidRPr="00904FCB">
        <w:rPr>
          <w:sz w:val="27"/>
          <w:rtl/>
          <w:lang w:bidi="ar-SY"/>
        </w:rPr>
        <w:t xml:space="preserve"> </w:t>
      </w:r>
      <w:r w:rsidRPr="00904FCB">
        <w:rPr>
          <w:rFonts w:hint="cs"/>
          <w:sz w:val="27"/>
          <w:rtl/>
          <w:lang w:bidi="ar-SY"/>
        </w:rPr>
        <w:t>النظم</w:t>
      </w:r>
      <w:r w:rsidRPr="00904FCB">
        <w:rPr>
          <w:sz w:val="27"/>
          <w:rtl/>
          <w:lang w:bidi="ar-SY"/>
        </w:rPr>
        <w:t xml:space="preserve"> </w:t>
      </w:r>
      <w:r w:rsidRPr="00904FCB">
        <w:rPr>
          <w:rFonts w:hint="cs"/>
          <w:sz w:val="27"/>
          <w:rtl/>
          <w:lang w:bidi="ar-SY"/>
        </w:rPr>
        <w:t>والإشراف</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سير</w:t>
      </w:r>
      <w:r w:rsidRPr="00904FCB">
        <w:rPr>
          <w:sz w:val="27"/>
          <w:rtl/>
          <w:lang w:bidi="ar-SY"/>
        </w:rPr>
        <w:t xml:space="preserve"> </w:t>
      </w:r>
      <w:r w:rsidRPr="00904FCB">
        <w:rPr>
          <w:rFonts w:hint="cs"/>
          <w:sz w:val="27"/>
          <w:rtl/>
          <w:lang w:bidi="ar-SY"/>
        </w:rPr>
        <w:t>المجتمعات</w:t>
      </w:r>
      <w:r w:rsidR="00496706" w:rsidRPr="00904FCB">
        <w:rPr>
          <w:rFonts w:hint="cs"/>
          <w:sz w:val="27"/>
          <w:rtl/>
          <w:lang w:bidi="ar-SY"/>
        </w:rPr>
        <w:t>،</w:t>
      </w:r>
      <w:r w:rsidRPr="00904FCB">
        <w:rPr>
          <w:sz w:val="27"/>
          <w:rtl/>
          <w:lang w:bidi="ar-SY"/>
        </w:rPr>
        <w:t xml:space="preserve"> </w:t>
      </w:r>
      <w:r w:rsidRPr="00904FCB">
        <w:rPr>
          <w:rFonts w:hint="cs"/>
          <w:sz w:val="27"/>
          <w:rtl/>
          <w:lang w:bidi="ar-SY"/>
        </w:rPr>
        <w:t>ومنها</w:t>
      </w:r>
      <w:r w:rsidR="00496706" w:rsidRPr="00904FCB">
        <w:rPr>
          <w:rFonts w:hint="cs"/>
          <w:sz w:val="27"/>
          <w:rtl/>
          <w:lang w:bidi="ar-SY"/>
        </w:rPr>
        <w:t>:</w:t>
      </w:r>
      <w:r w:rsidRPr="00904FCB">
        <w:rPr>
          <w:sz w:val="27"/>
          <w:rtl/>
          <w:lang w:bidi="ar-SY"/>
        </w:rPr>
        <w:t xml:space="preserve"> </w:t>
      </w:r>
      <w:r w:rsidRPr="00904FCB">
        <w:rPr>
          <w:rFonts w:hint="cs"/>
          <w:sz w:val="27"/>
          <w:rtl/>
          <w:lang w:bidi="ar-SY"/>
        </w:rPr>
        <w:t>حقهم</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إصدار</w:t>
      </w:r>
      <w:r w:rsidRPr="00904FCB">
        <w:rPr>
          <w:sz w:val="27"/>
          <w:rtl/>
          <w:lang w:bidi="ar-SY"/>
        </w:rPr>
        <w:t xml:space="preserve"> </w:t>
      </w:r>
      <w:r w:rsidRPr="00904FCB">
        <w:rPr>
          <w:rFonts w:hint="cs"/>
          <w:sz w:val="27"/>
          <w:rtl/>
          <w:lang w:bidi="ar-SY"/>
        </w:rPr>
        <w:t>الأمر، واستخدام</w:t>
      </w:r>
      <w:r w:rsidRPr="00904FCB">
        <w:rPr>
          <w:sz w:val="27"/>
          <w:rtl/>
          <w:lang w:bidi="ar-SY"/>
        </w:rPr>
        <w:t xml:space="preserve"> </w:t>
      </w:r>
      <w:r w:rsidRPr="00904FCB">
        <w:rPr>
          <w:rFonts w:hint="cs"/>
          <w:sz w:val="27"/>
          <w:rtl/>
          <w:lang w:bidi="ar-SY"/>
        </w:rPr>
        <w:t>القو</w:t>
      </w:r>
      <w:r w:rsidR="00496706" w:rsidRPr="00904FCB">
        <w:rPr>
          <w:rFonts w:hint="cs"/>
          <w:sz w:val="27"/>
          <w:rtl/>
          <w:lang w:bidi="ar-SY"/>
        </w:rPr>
        <w:t>ّ</w:t>
      </w:r>
      <w:r w:rsidRPr="00904FCB">
        <w:rPr>
          <w:rFonts w:hint="cs"/>
          <w:sz w:val="27"/>
          <w:rtl/>
          <w:lang w:bidi="ar-SY"/>
        </w:rPr>
        <w:t>ة</w:t>
      </w:r>
      <w:r w:rsidRPr="00904FCB">
        <w:rPr>
          <w:sz w:val="27"/>
          <w:rtl/>
          <w:lang w:bidi="ar-SY"/>
        </w:rPr>
        <w:t xml:space="preserve"> </w:t>
      </w:r>
      <w:r w:rsidRPr="00904FCB">
        <w:rPr>
          <w:rFonts w:hint="cs"/>
          <w:sz w:val="27"/>
          <w:rtl/>
          <w:lang w:bidi="ar-SY"/>
        </w:rPr>
        <w:t>والعنف</w:t>
      </w:r>
      <w:r w:rsidRPr="00904FCB">
        <w:rPr>
          <w:sz w:val="27"/>
          <w:rtl/>
          <w:lang w:bidi="ar-SY"/>
        </w:rPr>
        <w:t xml:space="preserve"> </w:t>
      </w:r>
      <w:r w:rsidRPr="00904FCB">
        <w:rPr>
          <w:rFonts w:hint="cs"/>
          <w:sz w:val="27"/>
          <w:rtl/>
          <w:lang w:bidi="ar-SY"/>
        </w:rPr>
        <w:t>بصورة</w:t>
      </w:r>
      <w:r w:rsidR="00496706" w:rsidRPr="00904FCB">
        <w:rPr>
          <w:rFonts w:hint="cs"/>
          <w:sz w:val="27"/>
          <w:rtl/>
          <w:lang w:bidi="ar-SY"/>
        </w:rPr>
        <w:t>ٍ</w:t>
      </w:r>
      <w:r w:rsidRPr="00904FCB">
        <w:rPr>
          <w:sz w:val="27"/>
          <w:rtl/>
          <w:lang w:bidi="ar-SY"/>
        </w:rPr>
        <w:t xml:space="preserve"> </w:t>
      </w:r>
      <w:r w:rsidRPr="00904FCB">
        <w:rPr>
          <w:rFonts w:hint="cs"/>
          <w:sz w:val="27"/>
          <w:rtl/>
          <w:lang w:bidi="ar-SY"/>
        </w:rPr>
        <w:t>جزئية</w:t>
      </w:r>
      <w:r w:rsidRPr="00904FCB">
        <w:rPr>
          <w:sz w:val="27"/>
          <w:rtl/>
          <w:lang w:bidi="ar-SY"/>
        </w:rPr>
        <w:t xml:space="preserve"> </w:t>
      </w:r>
      <w:r w:rsidRPr="00904FCB">
        <w:rPr>
          <w:rFonts w:hint="cs"/>
          <w:sz w:val="27"/>
          <w:rtl/>
          <w:lang w:bidi="ar-SY"/>
        </w:rPr>
        <w:t>مقوننة</w:t>
      </w:r>
      <w:r w:rsidRPr="00904FCB">
        <w:rPr>
          <w:sz w:val="27"/>
          <w:rtl/>
          <w:lang w:bidi="ar-SY"/>
        </w:rPr>
        <w:t xml:space="preserve">. </w:t>
      </w:r>
    </w:p>
    <w:p w:rsidR="00057E24" w:rsidRPr="00904FCB" w:rsidRDefault="00057E24" w:rsidP="007A21AA">
      <w:pPr>
        <w:spacing w:line="400" w:lineRule="exact"/>
        <w:rPr>
          <w:sz w:val="27"/>
          <w:rtl/>
          <w:lang w:bidi="ar-SY"/>
        </w:rPr>
      </w:pPr>
      <w:r w:rsidRPr="00904FCB">
        <w:rPr>
          <w:rFonts w:hint="cs"/>
          <w:sz w:val="27"/>
          <w:rtl/>
          <w:lang w:bidi="ar-SY"/>
        </w:rPr>
        <w:t>وقد</w:t>
      </w:r>
      <w:r w:rsidRPr="00904FCB">
        <w:rPr>
          <w:sz w:val="27"/>
          <w:rtl/>
          <w:lang w:bidi="ar-SY"/>
        </w:rPr>
        <w:t xml:space="preserve"> </w:t>
      </w:r>
      <w:r w:rsidRPr="00904FCB">
        <w:rPr>
          <w:rFonts w:hint="cs"/>
          <w:sz w:val="27"/>
          <w:rtl/>
          <w:lang w:bidi="ar-SY"/>
        </w:rPr>
        <w:t>أد</w:t>
      </w:r>
      <w:r w:rsidR="00496706" w:rsidRPr="00904FCB">
        <w:rPr>
          <w:rFonts w:hint="cs"/>
          <w:sz w:val="27"/>
          <w:rtl/>
          <w:lang w:bidi="ar-SY"/>
        </w:rPr>
        <w:t>ّ</w:t>
      </w:r>
      <w:r w:rsidRPr="00904FCB">
        <w:rPr>
          <w:rFonts w:hint="cs"/>
          <w:sz w:val="27"/>
          <w:rtl/>
          <w:lang w:bidi="ar-SY"/>
        </w:rPr>
        <w:t>ى</w:t>
      </w:r>
      <w:r w:rsidRPr="00904FCB">
        <w:rPr>
          <w:sz w:val="27"/>
          <w:rtl/>
          <w:lang w:bidi="ar-SY"/>
        </w:rPr>
        <w:t xml:space="preserve"> </w:t>
      </w:r>
      <w:r w:rsidRPr="00904FCB">
        <w:rPr>
          <w:rFonts w:hint="cs"/>
          <w:sz w:val="27"/>
          <w:rtl/>
          <w:lang w:bidi="ar-SY"/>
        </w:rPr>
        <w:t>هذا</w:t>
      </w:r>
      <w:r w:rsidRPr="00904FCB">
        <w:rPr>
          <w:sz w:val="27"/>
          <w:rtl/>
          <w:lang w:bidi="ar-SY"/>
        </w:rPr>
        <w:t xml:space="preserve"> </w:t>
      </w:r>
      <w:r w:rsidRPr="00904FCB">
        <w:rPr>
          <w:rFonts w:hint="cs"/>
          <w:sz w:val="27"/>
          <w:rtl/>
          <w:lang w:bidi="ar-SY"/>
        </w:rPr>
        <w:t>التقنين</w:t>
      </w:r>
      <w:r w:rsidRPr="00904FCB">
        <w:rPr>
          <w:sz w:val="27"/>
          <w:rtl/>
          <w:lang w:bidi="ar-SY"/>
        </w:rPr>
        <w:t xml:space="preserve"> </w:t>
      </w:r>
      <w:r w:rsidRPr="00904FCB">
        <w:rPr>
          <w:rFonts w:hint="cs"/>
          <w:sz w:val="27"/>
          <w:rtl/>
          <w:lang w:bidi="ar-SY"/>
        </w:rPr>
        <w:t>لحركة</w:t>
      </w:r>
      <w:r w:rsidRPr="00904FCB">
        <w:rPr>
          <w:sz w:val="27"/>
          <w:rtl/>
          <w:lang w:bidi="ar-SY"/>
        </w:rPr>
        <w:t xml:space="preserve"> </w:t>
      </w:r>
      <w:r w:rsidRPr="00904FCB">
        <w:rPr>
          <w:rFonts w:hint="cs"/>
          <w:sz w:val="27"/>
          <w:rtl/>
          <w:lang w:bidi="ar-SY"/>
        </w:rPr>
        <w:t>القو</w:t>
      </w:r>
      <w:r w:rsidR="00496706" w:rsidRPr="00904FCB">
        <w:rPr>
          <w:rFonts w:hint="cs"/>
          <w:sz w:val="27"/>
          <w:rtl/>
          <w:lang w:bidi="ar-SY"/>
        </w:rPr>
        <w:t>ّ</w:t>
      </w:r>
      <w:r w:rsidRPr="00904FCB">
        <w:rPr>
          <w:rFonts w:hint="cs"/>
          <w:sz w:val="27"/>
          <w:rtl/>
          <w:lang w:bidi="ar-SY"/>
        </w:rPr>
        <w:t>ة</w:t>
      </w:r>
      <w:r w:rsidRPr="00904FCB">
        <w:rPr>
          <w:sz w:val="27"/>
          <w:rtl/>
          <w:lang w:bidi="ar-SY"/>
        </w:rPr>
        <w:t xml:space="preserve"> </w:t>
      </w:r>
      <w:r w:rsidRPr="00904FCB">
        <w:rPr>
          <w:rFonts w:hint="cs"/>
          <w:sz w:val="27"/>
          <w:rtl/>
          <w:lang w:bidi="ar-SY"/>
        </w:rPr>
        <w:t>والعنف</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حركة</w:t>
      </w:r>
      <w:r w:rsidRPr="00904FCB">
        <w:rPr>
          <w:sz w:val="27"/>
          <w:rtl/>
          <w:lang w:bidi="ar-SY"/>
        </w:rPr>
        <w:t xml:space="preserve"> </w:t>
      </w:r>
      <w:r w:rsidRPr="00904FCB">
        <w:rPr>
          <w:rFonts w:hint="cs"/>
          <w:sz w:val="27"/>
          <w:rtl/>
          <w:lang w:bidi="ar-SY"/>
        </w:rPr>
        <w:t>المجتمع</w:t>
      </w:r>
      <w:r w:rsidRPr="00904FCB">
        <w:rPr>
          <w:sz w:val="27"/>
          <w:rtl/>
          <w:lang w:bidi="ar-SY"/>
        </w:rPr>
        <w:t xml:space="preserve"> </w:t>
      </w:r>
      <w:r w:rsidRPr="00904FCB">
        <w:rPr>
          <w:rFonts w:hint="cs"/>
          <w:sz w:val="27"/>
          <w:rtl/>
          <w:lang w:bidi="ar-SY"/>
        </w:rPr>
        <w:t>الإنساني</w:t>
      </w:r>
      <w:r w:rsidRPr="00904FCB">
        <w:rPr>
          <w:sz w:val="27"/>
          <w:rtl/>
          <w:lang w:bidi="ar-SY"/>
        </w:rPr>
        <w:t xml:space="preserve"> </w:t>
      </w:r>
      <w:r w:rsidRPr="00904FCB">
        <w:rPr>
          <w:rFonts w:hint="cs"/>
          <w:sz w:val="27"/>
          <w:rtl/>
          <w:lang w:bidi="ar-SY"/>
        </w:rPr>
        <w:t>إلى</w:t>
      </w:r>
      <w:r w:rsidRPr="00904FCB">
        <w:rPr>
          <w:sz w:val="27"/>
          <w:rtl/>
          <w:lang w:bidi="ar-SY"/>
        </w:rPr>
        <w:t xml:space="preserve"> </w:t>
      </w:r>
      <w:r w:rsidRPr="00904FCB">
        <w:rPr>
          <w:rFonts w:hint="cs"/>
          <w:sz w:val="27"/>
          <w:rtl/>
          <w:lang w:bidi="ar-SY"/>
        </w:rPr>
        <w:t>تقليص</w:t>
      </w:r>
      <w:r w:rsidRPr="00904FCB">
        <w:rPr>
          <w:sz w:val="27"/>
          <w:rtl/>
          <w:lang w:bidi="ar-SY"/>
        </w:rPr>
        <w:t xml:space="preserve"> </w:t>
      </w:r>
      <w:r w:rsidRPr="00904FCB">
        <w:rPr>
          <w:rFonts w:hint="cs"/>
          <w:sz w:val="27"/>
          <w:rtl/>
          <w:lang w:bidi="ar-SY"/>
        </w:rPr>
        <w:t>حجم</w:t>
      </w:r>
      <w:r w:rsidRPr="00904FCB">
        <w:rPr>
          <w:sz w:val="27"/>
          <w:rtl/>
          <w:lang w:bidi="ar-SY"/>
        </w:rPr>
        <w:t xml:space="preserve"> </w:t>
      </w:r>
      <w:r w:rsidRPr="00904FCB">
        <w:rPr>
          <w:rFonts w:hint="cs"/>
          <w:sz w:val="27"/>
          <w:rtl/>
          <w:lang w:bidi="ar-SY"/>
        </w:rPr>
        <w:t>مساحة</w:t>
      </w:r>
      <w:r w:rsidRPr="00904FCB">
        <w:rPr>
          <w:sz w:val="27"/>
          <w:rtl/>
          <w:lang w:bidi="ar-SY"/>
        </w:rPr>
        <w:t xml:space="preserve"> </w:t>
      </w:r>
      <w:r w:rsidRPr="00904FCB">
        <w:rPr>
          <w:rFonts w:hint="cs"/>
          <w:sz w:val="27"/>
          <w:rtl/>
          <w:lang w:bidi="ar-SY"/>
        </w:rPr>
        <w:t>القو</w:t>
      </w:r>
      <w:r w:rsidR="00496706" w:rsidRPr="00904FCB">
        <w:rPr>
          <w:rFonts w:hint="cs"/>
          <w:sz w:val="27"/>
          <w:rtl/>
          <w:lang w:bidi="ar-SY"/>
        </w:rPr>
        <w:t>ّ</w:t>
      </w:r>
      <w:r w:rsidRPr="00904FCB">
        <w:rPr>
          <w:rFonts w:hint="cs"/>
          <w:sz w:val="27"/>
          <w:rtl/>
          <w:lang w:bidi="ar-SY"/>
        </w:rPr>
        <w:t>ة</w:t>
      </w:r>
      <w:r w:rsidRPr="00904FCB">
        <w:rPr>
          <w:sz w:val="27"/>
          <w:rtl/>
          <w:lang w:bidi="ar-SY"/>
        </w:rPr>
        <w:t xml:space="preserve"> </w:t>
      </w:r>
      <w:r w:rsidRPr="00904FCB">
        <w:rPr>
          <w:rFonts w:hint="cs"/>
          <w:sz w:val="27"/>
          <w:rtl/>
          <w:lang w:bidi="ar-SY"/>
        </w:rPr>
        <w:t>والعنف، وضبط</w:t>
      </w:r>
      <w:r w:rsidRPr="00904FCB">
        <w:rPr>
          <w:sz w:val="27"/>
          <w:rtl/>
          <w:lang w:bidi="ar-SY"/>
        </w:rPr>
        <w:t xml:space="preserve"> </w:t>
      </w:r>
      <w:r w:rsidRPr="00904FCB">
        <w:rPr>
          <w:rFonts w:hint="cs"/>
          <w:sz w:val="27"/>
          <w:rtl/>
          <w:lang w:bidi="ar-SY"/>
        </w:rPr>
        <w:t>مساراته</w:t>
      </w:r>
      <w:r w:rsidRPr="00904FCB">
        <w:rPr>
          <w:sz w:val="27"/>
          <w:rtl/>
          <w:lang w:bidi="ar-SY"/>
        </w:rPr>
        <w:t xml:space="preserve"> </w:t>
      </w:r>
      <w:r w:rsidRPr="00904FCB">
        <w:rPr>
          <w:rFonts w:hint="cs"/>
          <w:sz w:val="27"/>
          <w:rtl/>
          <w:lang w:bidi="ar-SY"/>
        </w:rPr>
        <w:t>العشوائية</w:t>
      </w:r>
      <w:r w:rsidRPr="00904FCB">
        <w:rPr>
          <w:sz w:val="27"/>
          <w:rtl/>
          <w:lang w:bidi="ar-SY"/>
        </w:rPr>
        <w:t xml:space="preserve"> </w:t>
      </w:r>
      <w:r w:rsidRPr="00904FCB">
        <w:rPr>
          <w:rFonts w:hint="cs"/>
          <w:sz w:val="27"/>
          <w:rtl/>
          <w:lang w:bidi="ar-SY"/>
        </w:rPr>
        <w:t>السابقة، وكبح</w:t>
      </w:r>
      <w:r w:rsidRPr="00904FCB">
        <w:rPr>
          <w:sz w:val="27"/>
          <w:rtl/>
          <w:lang w:bidi="ar-SY"/>
        </w:rPr>
        <w:t xml:space="preserve"> </w:t>
      </w:r>
      <w:r w:rsidRPr="00904FCB">
        <w:rPr>
          <w:rFonts w:hint="cs"/>
          <w:sz w:val="27"/>
          <w:rtl/>
          <w:lang w:bidi="ar-SY"/>
        </w:rPr>
        <w:t>جماحه</w:t>
      </w:r>
      <w:r w:rsidRPr="00904FCB">
        <w:rPr>
          <w:sz w:val="27"/>
          <w:rtl/>
          <w:lang w:bidi="ar-SY"/>
        </w:rPr>
        <w:t xml:space="preserve"> </w:t>
      </w:r>
      <w:r w:rsidRPr="00904FCB">
        <w:rPr>
          <w:rFonts w:hint="cs"/>
          <w:sz w:val="27"/>
          <w:rtl/>
          <w:lang w:bidi="ar-SY"/>
        </w:rPr>
        <w:t>لدى</w:t>
      </w:r>
      <w:r w:rsidRPr="00904FCB">
        <w:rPr>
          <w:sz w:val="27"/>
          <w:rtl/>
          <w:lang w:bidi="ar-SY"/>
        </w:rPr>
        <w:t xml:space="preserve"> </w:t>
      </w:r>
      <w:r w:rsidRPr="00904FCB">
        <w:rPr>
          <w:rFonts w:hint="cs"/>
          <w:sz w:val="27"/>
          <w:rtl/>
          <w:lang w:bidi="ar-SY"/>
        </w:rPr>
        <w:t>معتنقيه</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الساسة</w:t>
      </w:r>
      <w:r w:rsidRPr="00904FCB">
        <w:rPr>
          <w:sz w:val="27"/>
          <w:rtl/>
          <w:lang w:bidi="ar-SY"/>
        </w:rPr>
        <w:t xml:space="preserve"> </w:t>
      </w:r>
      <w:r w:rsidRPr="00904FCB">
        <w:rPr>
          <w:rFonts w:hint="cs"/>
          <w:sz w:val="27"/>
          <w:rtl/>
          <w:lang w:bidi="ar-SY"/>
        </w:rPr>
        <w:t>والنخب</w:t>
      </w:r>
      <w:r w:rsidRPr="00904FCB">
        <w:rPr>
          <w:sz w:val="27"/>
          <w:rtl/>
          <w:lang w:bidi="ar-SY"/>
        </w:rPr>
        <w:t xml:space="preserve"> </w:t>
      </w:r>
      <w:r w:rsidRPr="00904FCB">
        <w:rPr>
          <w:rFonts w:hint="cs"/>
          <w:sz w:val="27"/>
          <w:rtl/>
          <w:lang w:bidi="ar-SY"/>
        </w:rPr>
        <w:t>والقادة، من</w:t>
      </w:r>
      <w:r w:rsidRPr="00904FCB">
        <w:rPr>
          <w:sz w:val="27"/>
          <w:rtl/>
          <w:lang w:bidi="ar-SY"/>
        </w:rPr>
        <w:t xml:space="preserve"> </w:t>
      </w:r>
      <w:r w:rsidRPr="00904FCB">
        <w:rPr>
          <w:rFonts w:hint="cs"/>
          <w:sz w:val="27"/>
          <w:rtl/>
          <w:lang w:bidi="ar-SY"/>
        </w:rPr>
        <w:t>خلال</w:t>
      </w:r>
      <w:r w:rsidRPr="00904FCB">
        <w:rPr>
          <w:sz w:val="27"/>
          <w:rtl/>
          <w:lang w:bidi="ar-SY"/>
        </w:rPr>
        <w:t xml:space="preserve"> </w:t>
      </w:r>
      <w:r w:rsidRPr="00904FCB">
        <w:rPr>
          <w:rFonts w:hint="cs"/>
          <w:sz w:val="27"/>
          <w:rtl/>
          <w:lang w:bidi="ar-SY"/>
        </w:rPr>
        <w:t>تنظيم</w:t>
      </w:r>
      <w:r w:rsidRPr="00904FCB">
        <w:rPr>
          <w:sz w:val="27"/>
          <w:rtl/>
          <w:lang w:bidi="ar-SY"/>
        </w:rPr>
        <w:t xml:space="preserve"> </w:t>
      </w:r>
      <w:r w:rsidRPr="00904FCB">
        <w:rPr>
          <w:rFonts w:hint="cs"/>
          <w:sz w:val="27"/>
          <w:rtl/>
          <w:lang w:bidi="ar-SY"/>
        </w:rPr>
        <w:t>مفرداته</w:t>
      </w:r>
      <w:r w:rsidR="00496706" w:rsidRPr="00904FCB">
        <w:rPr>
          <w:rFonts w:hint="cs"/>
          <w:sz w:val="27"/>
          <w:rtl/>
          <w:lang w:bidi="ar-SY"/>
        </w:rPr>
        <w:t>،</w:t>
      </w:r>
      <w:r w:rsidRPr="00904FCB">
        <w:rPr>
          <w:sz w:val="27"/>
          <w:rtl/>
          <w:lang w:bidi="ar-SY"/>
        </w:rPr>
        <w:t xml:space="preserve"> </w:t>
      </w:r>
      <w:r w:rsidRPr="00904FCB">
        <w:rPr>
          <w:rFonts w:hint="cs"/>
          <w:sz w:val="27"/>
          <w:rtl/>
          <w:lang w:bidi="ar-SY"/>
        </w:rPr>
        <w:t>وتحديد</w:t>
      </w:r>
      <w:r w:rsidRPr="00904FCB">
        <w:rPr>
          <w:sz w:val="27"/>
          <w:rtl/>
          <w:lang w:bidi="ar-SY"/>
        </w:rPr>
        <w:t xml:space="preserve"> </w:t>
      </w:r>
      <w:r w:rsidRPr="00904FCB">
        <w:rPr>
          <w:rFonts w:hint="cs"/>
          <w:sz w:val="27"/>
          <w:rtl/>
          <w:lang w:bidi="ar-SY"/>
        </w:rPr>
        <w:t>آلياته</w:t>
      </w:r>
      <w:r w:rsidRPr="00904FCB">
        <w:rPr>
          <w:sz w:val="27"/>
          <w:rtl/>
          <w:lang w:bidi="ar-SY"/>
        </w:rPr>
        <w:t xml:space="preserve"> </w:t>
      </w:r>
      <w:r w:rsidRPr="00904FCB">
        <w:rPr>
          <w:rFonts w:hint="cs"/>
          <w:sz w:val="27"/>
          <w:rtl/>
          <w:lang w:bidi="ar-SY"/>
        </w:rPr>
        <w:t>ومعاييره</w:t>
      </w:r>
      <w:r w:rsidRPr="00904FCB">
        <w:rPr>
          <w:sz w:val="27"/>
          <w:rtl/>
          <w:lang w:bidi="ar-SY"/>
        </w:rPr>
        <w:t xml:space="preserve"> </w:t>
      </w:r>
      <w:r w:rsidRPr="00904FCB">
        <w:rPr>
          <w:rFonts w:hint="cs"/>
          <w:sz w:val="27"/>
          <w:rtl/>
          <w:lang w:bidi="ar-SY"/>
        </w:rPr>
        <w:t>عبر</w:t>
      </w:r>
      <w:r w:rsidRPr="00904FCB">
        <w:rPr>
          <w:sz w:val="27"/>
          <w:rtl/>
          <w:lang w:bidi="ar-SY"/>
        </w:rPr>
        <w:t xml:space="preserve"> </w:t>
      </w:r>
      <w:r w:rsidRPr="00904FCB">
        <w:rPr>
          <w:rFonts w:hint="cs"/>
          <w:sz w:val="27"/>
          <w:rtl/>
          <w:lang w:bidi="ar-SY"/>
        </w:rPr>
        <w:t>نصوص</w:t>
      </w:r>
      <w:r w:rsidRPr="00904FCB">
        <w:rPr>
          <w:sz w:val="27"/>
          <w:rtl/>
          <w:lang w:bidi="ar-SY"/>
        </w:rPr>
        <w:t xml:space="preserve"> </w:t>
      </w:r>
      <w:r w:rsidRPr="00904FCB">
        <w:rPr>
          <w:rFonts w:hint="cs"/>
          <w:sz w:val="27"/>
          <w:rtl/>
          <w:lang w:bidi="ar-SY"/>
        </w:rPr>
        <w:t>دستورية</w:t>
      </w:r>
      <w:r w:rsidRPr="00904FCB">
        <w:rPr>
          <w:sz w:val="27"/>
          <w:rtl/>
          <w:lang w:bidi="ar-SY"/>
        </w:rPr>
        <w:t xml:space="preserve"> </w:t>
      </w:r>
      <w:r w:rsidRPr="00904FCB">
        <w:rPr>
          <w:rFonts w:hint="cs"/>
          <w:sz w:val="27"/>
          <w:rtl/>
          <w:lang w:bidi="ar-SY"/>
        </w:rPr>
        <w:t>قانونية</w:t>
      </w:r>
      <w:r w:rsidRPr="00904FCB">
        <w:rPr>
          <w:sz w:val="27"/>
          <w:rtl/>
          <w:lang w:bidi="ar-SY"/>
        </w:rPr>
        <w:t xml:space="preserve"> </w:t>
      </w:r>
      <w:r w:rsidRPr="00904FCB">
        <w:rPr>
          <w:rFonts w:hint="cs"/>
          <w:sz w:val="27"/>
          <w:rtl/>
          <w:lang w:bidi="ar-SY"/>
        </w:rPr>
        <w:t>مت</w:t>
      </w:r>
      <w:r w:rsidR="00496706" w:rsidRPr="00904FCB">
        <w:rPr>
          <w:rFonts w:hint="cs"/>
          <w:sz w:val="27"/>
          <w:rtl/>
          <w:lang w:bidi="ar-SY"/>
        </w:rPr>
        <w:t>َّ</w:t>
      </w:r>
      <w:r w:rsidRPr="00904FCB">
        <w:rPr>
          <w:rFonts w:hint="cs"/>
          <w:sz w:val="27"/>
          <w:rtl/>
          <w:lang w:bidi="ar-SY"/>
        </w:rPr>
        <w:t>فق</w:t>
      </w:r>
      <w:r w:rsidRPr="00904FCB">
        <w:rPr>
          <w:sz w:val="27"/>
          <w:rtl/>
          <w:lang w:bidi="ar-SY"/>
        </w:rPr>
        <w:t xml:space="preserve"> </w:t>
      </w:r>
      <w:r w:rsidRPr="00904FCB">
        <w:rPr>
          <w:rFonts w:hint="cs"/>
          <w:sz w:val="27"/>
          <w:rtl/>
          <w:lang w:bidi="ar-SY"/>
        </w:rPr>
        <w:t>عليها</w:t>
      </w:r>
      <w:r w:rsidRPr="00904FCB">
        <w:rPr>
          <w:sz w:val="27"/>
          <w:rtl/>
          <w:lang w:bidi="ar-SY"/>
        </w:rPr>
        <w:t xml:space="preserve"> </w:t>
      </w:r>
      <w:r w:rsidRPr="00904FCB">
        <w:rPr>
          <w:rFonts w:hint="cs"/>
          <w:sz w:val="27"/>
          <w:rtl/>
          <w:lang w:bidi="ar-SY"/>
        </w:rPr>
        <w:t>بين</w:t>
      </w:r>
      <w:r w:rsidRPr="00904FCB">
        <w:rPr>
          <w:sz w:val="27"/>
          <w:rtl/>
          <w:lang w:bidi="ar-SY"/>
        </w:rPr>
        <w:t xml:space="preserve"> </w:t>
      </w:r>
      <w:r w:rsidRPr="00904FCB">
        <w:rPr>
          <w:rFonts w:hint="cs"/>
          <w:sz w:val="27"/>
          <w:rtl/>
          <w:lang w:bidi="ar-SY"/>
        </w:rPr>
        <w:t>أبناء</w:t>
      </w:r>
      <w:r w:rsidRPr="00904FCB">
        <w:rPr>
          <w:sz w:val="27"/>
          <w:rtl/>
          <w:lang w:bidi="ar-SY"/>
        </w:rPr>
        <w:t xml:space="preserve"> </w:t>
      </w:r>
      <w:r w:rsidRPr="00904FCB">
        <w:rPr>
          <w:rFonts w:hint="cs"/>
          <w:sz w:val="27"/>
          <w:rtl/>
          <w:lang w:bidi="ar-SY"/>
        </w:rPr>
        <w:t>المجتمعات</w:t>
      </w:r>
      <w:r w:rsidRPr="00904FCB">
        <w:rPr>
          <w:sz w:val="27"/>
          <w:rtl/>
          <w:lang w:bidi="ar-SY"/>
        </w:rPr>
        <w:t xml:space="preserve"> </w:t>
      </w:r>
      <w:r w:rsidRPr="00904FCB">
        <w:rPr>
          <w:rFonts w:hint="cs"/>
          <w:sz w:val="27"/>
          <w:rtl/>
          <w:lang w:bidi="ar-SY"/>
        </w:rPr>
        <w:t>الحديثة</w:t>
      </w:r>
      <w:r w:rsidRPr="00904FCB">
        <w:rPr>
          <w:sz w:val="27"/>
          <w:rtl/>
          <w:lang w:bidi="ar-SY"/>
        </w:rPr>
        <w:t xml:space="preserve"> </w:t>
      </w:r>
      <w:r w:rsidRPr="00904FCB">
        <w:rPr>
          <w:rFonts w:hint="cs"/>
          <w:sz w:val="27"/>
          <w:rtl/>
          <w:lang w:bidi="ar-SY"/>
        </w:rPr>
        <w:t>جميعاً</w:t>
      </w:r>
      <w:r w:rsidR="00496706" w:rsidRPr="00904FCB">
        <w:rPr>
          <w:rFonts w:hint="cs"/>
          <w:sz w:val="27"/>
          <w:rtl/>
          <w:lang w:bidi="ar-SY"/>
        </w:rPr>
        <w:t>؛</w:t>
      </w:r>
      <w:r w:rsidRPr="00904FCB">
        <w:rPr>
          <w:sz w:val="27"/>
          <w:rtl/>
          <w:lang w:bidi="ar-SY"/>
        </w:rPr>
        <w:t xml:space="preserve"> </w:t>
      </w:r>
      <w:r w:rsidRPr="00904FCB">
        <w:rPr>
          <w:rFonts w:hint="cs"/>
          <w:sz w:val="27"/>
          <w:rtl/>
          <w:lang w:bidi="ar-SY"/>
        </w:rPr>
        <w:t>ليكون</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استثناءً</w:t>
      </w:r>
      <w:r w:rsidR="00496706" w:rsidRPr="00904FCB">
        <w:rPr>
          <w:rFonts w:hint="cs"/>
          <w:sz w:val="27"/>
          <w:rtl/>
          <w:lang w:bidi="ar-SY"/>
        </w:rPr>
        <w:t xml:space="preserve">، </w:t>
      </w:r>
      <w:r w:rsidRPr="00904FCB">
        <w:rPr>
          <w:rFonts w:hint="cs"/>
          <w:sz w:val="27"/>
          <w:rtl/>
          <w:lang w:bidi="ar-SY"/>
        </w:rPr>
        <w:t>والتوافق</w:t>
      </w:r>
      <w:r w:rsidRPr="00904FCB">
        <w:rPr>
          <w:sz w:val="27"/>
          <w:rtl/>
          <w:lang w:bidi="ar-SY"/>
        </w:rPr>
        <w:t xml:space="preserve"> </w:t>
      </w:r>
      <w:r w:rsidRPr="00904FCB">
        <w:rPr>
          <w:rFonts w:hint="cs"/>
          <w:sz w:val="27"/>
          <w:rtl/>
          <w:lang w:bidi="ar-SY"/>
        </w:rPr>
        <w:t>القانوني</w:t>
      </w:r>
      <w:r w:rsidRPr="00904FCB">
        <w:rPr>
          <w:sz w:val="27"/>
          <w:rtl/>
          <w:lang w:bidi="ar-SY"/>
        </w:rPr>
        <w:t xml:space="preserve"> </w:t>
      </w:r>
      <w:r w:rsidRPr="00904FCB">
        <w:rPr>
          <w:rFonts w:hint="cs"/>
          <w:sz w:val="27"/>
          <w:rtl/>
          <w:lang w:bidi="ar-SY"/>
        </w:rPr>
        <w:t>قاعدة</w:t>
      </w:r>
      <w:r w:rsidRPr="00904FCB">
        <w:rPr>
          <w:sz w:val="27"/>
          <w:rtl/>
          <w:lang w:bidi="ar-SY"/>
        </w:rPr>
        <w:t xml:space="preserve"> </w:t>
      </w:r>
      <w:r w:rsidRPr="00904FCB">
        <w:rPr>
          <w:rFonts w:hint="cs"/>
          <w:sz w:val="27"/>
          <w:rtl/>
          <w:lang w:bidi="ar-SY"/>
        </w:rPr>
        <w:t>للعمل</w:t>
      </w:r>
      <w:r w:rsidRPr="00904FCB">
        <w:rPr>
          <w:sz w:val="27"/>
          <w:rtl/>
          <w:lang w:bidi="ar-SY"/>
        </w:rPr>
        <w:t xml:space="preserve"> </w:t>
      </w:r>
      <w:r w:rsidRPr="00904FCB">
        <w:rPr>
          <w:rFonts w:hint="cs"/>
          <w:sz w:val="27"/>
          <w:rtl/>
          <w:lang w:bidi="ar-SY"/>
        </w:rPr>
        <w:t>البشري</w:t>
      </w:r>
      <w:r w:rsidRPr="00904FCB">
        <w:rPr>
          <w:sz w:val="27"/>
          <w:rtl/>
          <w:lang w:bidi="ar-SY"/>
        </w:rPr>
        <w:t xml:space="preserve"> </w:t>
      </w:r>
      <w:r w:rsidRPr="00904FCB">
        <w:rPr>
          <w:rFonts w:hint="cs"/>
          <w:sz w:val="27"/>
          <w:rtl/>
          <w:lang w:bidi="ar-SY"/>
        </w:rPr>
        <w:t>بكل</w:t>
      </w:r>
      <w:r w:rsidR="00496706" w:rsidRPr="00904FCB">
        <w:rPr>
          <w:rFonts w:hint="cs"/>
          <w:sz w:val="27"/>
          <w:rtl/>
          <w:lang w:bidi="ar-SY"/>
        </w:rPr>
        <w:t>ّ</w:t>
      </w:r>
      <w:r w:rsidRPr="00904FCB">
        <w:rPr>
          <w:sz w:val="27"/>
          <w:rtl/>
          <w:lang w:bidi="ar-SY"/>
        </w:rPr>
        <w:t xml:space="preserve"> </w:t>
      </w:r>
      <w:r w:rsidRPr="00904FCB">
        <w:rPr>
          <w:rFonts w:hint="cs"/>
          <w:sz w:val="27"/>
          <w:rtl/>
          <w:lang w:bidi="ar-SY"/>
        </w:rPr>
        <w:t>اتجاهاته</w:t>
      </w:r>
      <w:r w:rsidRPr="00904FCB">
        <w:rPr>
          <w:sz w:val="27"/>
          <w:rtl/>
          <w:lang w:bidi="ar-SY"/>
        </w:rPr>
        <w:t xml:space="preserve"> </w:t>
      </w:r>
      <w:r w:rsidRPr="00904FCB">
        <w:rPr>
          <w:rFonts w:hint="cs"/>
          <w:sz w:val="27"/>
          <w:rtl/>
          <w:lang w:bidi="ar-SY"/>
        </w:rPr>
        <w:t>السياسية</w:t>
      </w:r>
      <w:r w:rsidRPr="00904FCB">
        <w:rPr>
          <w:sz w:val="27"/>
          <w:rtl/>
          <w:lang w:bidi="ar-SY"/>
        </w:rPr>
        <w:t xml:space="preserve"> </w:t>
      </w:r>
      <w:r w:rsidRPr="00904FCB">
        <w:rPr>
          <w:rFonts w:hint="cs"/>
          <w:sz w:val="27"/>
          <w:rtl/>
          <w:lang w:bidi="ar-SY"/>
        </w:rPr>
        <w:t>والاجتماعية</w:t>
      </w:r>
      <w:r w:rsidRPr="00904FCB">
        <w:rPr>
          <w:sz w:val="27"/>
          <w:rtl/>
          <w:lang w:bidi="ar-SY"/>
        </w:rPr>
        <w:t xml:space="preserve"> </w:t>
      </w:r>
      <w:r w:rsidRPr="00904FCB">
        <w:rPr>
          <w:rFonts w:hint="cs"/>
          <w:sz w:val="27"/>
          <w:rtl/>
          <w:lang w:bidi="ar-SY"/>
        </w:rPr>
        <w:t>والاقتصادية</w:t>
      </w:r>
      <w:r w:rsidRPr="00904FCB">
        <w:rPr>
          <w:sz w:val="27"/>
          <w:rtl/>
          <w:lang w:bidi="ar-SY"/>
        </w:rPr>
        <w:t xml:space="preserve">. </w:t>
      </w:r>
      <w:r w:rsidRPr="00904FCB">
        <w:rPr>
          <w:rFonts w:hint="cs"/>
          <w:sz w:val="27"/>
          <w:rtl/>
          <w:lang w:bidi="ar-SY"/>
        </w:rPr>
        <w:t>ولهذا</w:t>
      </w:r>
      <w:r w:rsidRPr="00904FCB">
        <w:rPr>
          <w:sz w:val="27"/>
          <w:rtl/>
          <w:lang w:bidi="ar-SY"/>
        </w:rPr>
        <w:t xml:space="preserve"> </w:t>
      </w:r>
      <w:r w:rsidRPr="00904FCB">
        <w:rPr>
          <w:rFonts w:hint="cs"/>
          <w:sz w:val="27"/>
          <w:rtl/>
          <w:lang w:bidi="ar-SY"/>
        </w:rPr>
        <w:t>أنشئت</w:t>
      </w:r>
      <w:r w:rsidRPr="00904FCB">
        <w:rPr>
          <w:sz w:val="27"/>
          <w:rtl/>
          <w:lang w:bidi="ar-SY"/>
        </w:rPr>
        <w:t xml:space="preserve"> </w:t>
      </w:r>
      <w:r w:rsidRPr="00904FCB">
        <w:rPr>
          <w:rFonts w:hint="cs"/>
          <w:sz w:val="27"/>
          <w:rtl/>
          <w:lang w:bidi="ar-SY"/>
        </w:rPr>
        <w:t>المحاكم</w:t>
      </w:r>
      <w:r w:rsidR="00496706" w:rsidRPr="00904FCB">
        <w:rPr>
          <w:rFonts w:hint="cs"/>
          <w:sz w:val="27"/>
          <w:rtl/>
          <w:lang w:bidi="ar-SY"/>
        </w:rPr>
        <w:t>،</w:t>
      </w:r>
      <w:r w:rsidRPr="00904FCB">
        <w:rPr>
          <w:sz w:val="27"/>
          <w:rtl/>
          <w:lang w:bidi="ar-SY"/>
        </w:rPr>
        <w:t xml:space="preserve"> </w:t>
      </w:r>
      <w:r w:rsidRPr="00904FCB">
        <w:rPr>
          <w:rFonts w:hint="cs"/>
          <w:sz w:val="27"/>
          <w:rtl/>
          <w:lang w:bidi="ar-SY"/>
        </w:rPr>
        <w:t>ورفعت</w:t>
      </w:r>
      <w:r w:rsidRPr="00904FCB">
        <w:rPr>
          <w:sz w:val="27"/>
          <w:rtl/>
          <w:lang w:bidi="ar-SY"/>
        </w:rPr>
        <w:t xml:space="preserve"> </w:t>
      </w:r>
      <w:r w:rsidRPr="00904FCB">
        <w:rPr>
          <w:rFonts w:hint="cs"/>
          <w:sz w:val="27"/>
          <w:rtl/>
          <w:lang w:bidi="ar-SY"/>
        </w:rPr>
        <w:t>أعمدة</w:t>
      </w:r>
      <w:r w:rsidRPr="00904FCB">
        <w:rPr>
          <w:sz w:val="27"/>
          <w:rtl/>
          <w:lang w:bidi="ar-SY"/>
        </w:rPr>
        <w:t xml:space="preserve"> </w:t>
      </w:r>
      <w:r w:rsidRPr="00904FCB">
        <w:rPr>
          <w:rFonts w:hint="cs"/>
          <w:sz w:val="27"/>
          <w:rtl/>
          <w:lang w:bidi="ar-SY"/>
        </w:rPr>
        <w:t>القضاء</w:t>
      </w:r>
      <w:r w:rsidR="00496706" w:rsidRPr="00904FCB">
        <w:rPr>
          <w:rFonts w:hint="cs"/>
          <w:sz w:val="27"/>
          <w:rtl/>
          <w:lang w:bidi="ar-SY"/>
        </w:rPr>
        <w:t>،</w:t>
      </w:r>
      <w:r w:rsidRPr="00904FCB">
        <w:rPr>
          <w:sz w:val="27"/>
          <w:rtl/>
          <w:lang w:bidi="ar-SY"/>
        </w:rPr>
        <w:t xml:space="preserve"> </w:t>
      </w:r>
      <w:r w:rsidRPr="00904FCB">
        <w:rPr>
          <w:rFonts w:hint="cs"/>
          <w:sz w:val="27"/>
          <w:rtl/>
          <w:lang w:bidi="ar-SY"/>
        </w:rPr>
        <w:t>كمؤس</w:t>
      </w:r>
      <w:r w:rsidR="00496706" w:rsidRPr="00904FCB">
        <w:rPr>
          <w:rFonts w:hint="cs"/>
          <w:sz w:val="27"/>
          <w:rtl/>
          <w:lang w:bidi="ar-SY"/>
        </w:rPr>
        <w:t>َّ</w:t>
      </w:r>
      <w:r w:rsidRPr="00904FCB">
        <w:rPr>
          <w:rFonts w:hint="cs"/>
          <w:sz w:val="27"/>
          <w:rtl/>
          <w:lang w:bidi="ar-SY"/>
        </w:rPr>
        <w:t>سات</w:t>
      </w:r>
      <w:r w:rsidRPr="00904FCB">
        <w:rPr>
          <w:sz w:val="27"/>
          <w:rtl/>
          <w:lang w:bidi="ar-SY"/>
        </w:rPr>
        <w:t xml:space="preserve"> </w:t>
      </w:r>
      <w:r w:rsidRPr="00904FCB">
        <w:rPr>
          <w:rFonts w:hint="cs"/>
          <w:sz w:val="27"/>
          <w:rtl/>
          <w:lang w:bidi="ar-SY"/>
        </w:rPr>
        <w:t>ضابطة</w:t>
      </w:r>
      <w:r w:rsidRPr="00904FCB">
        <w:rPr>
          <w:sz w:val="27"/>
          <w:rtl/>
          <w:lang w:bidi="ar-SY"/>
        </w:rPr>
        <w:t xml:space="preserve"> </w:t>
      </w:r>
      <w:r w:rsidRPr="00904FCB">
        <w:rPr>
          <w:rFonts w:hint="cs"/>
          <w:sz w:val="27"/>
          <w:rtl/>
          <w:lang w:bidi="ar-SY"/>
        </w:rPr>
        <w:t>ومعيارية</w:t>
      </w:r>
      <w:r w:rsidRPr="00904FCB">
        <w:rPr>
          <w:sz w:val="27"/>
          <w:rtl/>
          <w:lang w:bidi="ar-SY"/>
        </w:rPr>
        <w:t xml:space="preserve"> </w:t>
      </w:r>
      <w:r w:rsidRPr="00904FCB">
        <w:rPr>
          <w:rFonts w:hint="cs"/>
          <w:sz w:val="27"/>
          <w:rtl/>
          <w:lang w:bidi="ar-SY"/>
        </w:rPr>
        <w:t>لموضوع</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بالذات</w:t>
      </w:r>
      <w:r w:rsidRPr="00904FCB">
        <w:rPr>
          <w:sz w:val="27"/>
          <w:rtl/>
          <w:lang w:bidi="ar-SY"/>
        </w:rPr>
        <w:t xml:space="preserve"> (</w:t>
      </w:r>
      <w:r w:rsidRPr="00904FCB">
        <w:rPr>
          <w:rFonts w:hint="cs"/>
          <w:sz w:val="27"/>
          <w:rtl/>
          <w:lang w:bidi="ar-SY"/>
        </w:rPr>
        <w:t>تقييد</w:t>
      </w:r>
      <w:r w:rsidRPr="00904FCB">
        <w:rPr>
          <w:sz w:val="27"/>
          <w:rtl/>
          <w:lang w:bidi="ar-SY"/>
        </w:rPr>
        <w:t xml:space="preserve"> </w:t>
      </w:r>
      <w:r w:rsidRPr="00904FCB">
        <w:rPr>
          <w:rFonts w:hint="cs"/>
          <w:sz w:val="27"/>
          <w:rtl/>
          <w:lang w:bidi="ar-SY"/>
        </w:rPr>
        <w:t>وتقنين</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مستوى</w:t>
      </w:r>
      <w:r w:rsidRPr="00904FCB">
        <w:rPr>
          <w:sz w:val="27"/>
          <w:rtl/>
          <w:lang w:bidi="ar-SY"/>
        </w:rPr>
        <w:t xml:space="preserve"> </w:t>
      </w:r>
      <w:r w:rsidRPr="00904FCB">
        <w:rPr>
          <w:rFonts w:hint="cs"/>
          <w:sz w:val="27"/>
          <w:rtl/>
          <w:lang w:bidi="ar-SY"/>
        </w:rPr>
        <w:t>الاستخدام</w:t>
      </w:r>
      <w:r w:rsidRPr="00904FCB">
        <w:rPr>
          <w:sz w:val="27"/>
          <w:rtl/>
          <w:lang w:bidi="ar-SY"/>
        </w:rPr>
        <w:t xml:space="preserve"> </w:t>
      </w:r>
      <w:r w:rsidRPr="00904FCB">
        <w:rPr>
          <w:rFonts w:hint="cs"/>
          <w:sz w:val="27"/>
          <w:rtl/>
          <w:lang w:bidi="ar-SY"/>
        </w:rPr>
        <w:t>السلبي</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الإيجابي</w:t>
      </w:r>
      <w:r w:rsidR="00496706" w:rsidRPr="00904FCB">
        <w:rPr>
          <w:sz w:val="27"/>
          <w:rtl/>
          <w:lang w:bidi="ar-SY"/>
        </w:rPr>
        <w:t>)</w:t>
      </w:r>
      <w:r w:rsidR="00496706" w:rsidRPr="00904FCB">
        <w:rPr>
          <w:rFonts w:hint="cs"/>
          <w:sz w:val="27"/>
          <w:rtl/>
          <w:lang w:bidi="ar-SY"/>
        </w:rPr>
        <w:t>،</w:t>
      </w:r>
      <w:r w:rsidRPr="00904FCB">
        <w:rPr>
          <w:sz w:val="27"/>
          <w:rtl/>
          <w:lang w:bidi="ar-SY"/>
        </w:rPr>
        <w:t xml:space="preserve"> </w:t>
      </w:r>
      <w:r w:rsidRPr="00904FCB">
        <w:rPr>
          <w:rFonts w:hint="cs"/>
          <w:sz w:val="27"/>
          <w:rtl/>
          <w:lang w:bidi="ar-SY"/>
        </w:rPr>
        <w:t>بما</w:t>
      </w:r>
      <w:r w:rsidRPr="00904FCB">
        <w:rPr>
          <w:sz w:val="27"/>
          <w:rtl/>
          <w:lang w:bidi="ar-SY"/>
        </w:rPr>
        <w:t xml:space="preserve"> </w:t>
      </w:r>
      <w:r w:rsidRPr="00904FCB">
        <w:rPr>
          <w:rFonts w:hint="cs"/>
          <w:sz w:val="27"/>
          <w:rtl/>
          <w:lang w:bidi="ar-SY"/>
        </w:rPr>
        <w:t>يمنع</w:t>
      </w:r>
      <w:r w:rsidRPr="00904FCB">
        <w:rPr>
          <w:sz w:val="27"/>
          <w:rtl/>
          <w:lang w:bidi="ar-SY"/>
        </w:rPr>
        <w:t xml:space="preserve"> </w:t>
      </w:r>
      <w:r w:rsidRPr="00904FCB">
        <w:rPr>
          <w:rFonts w:hint="cs"/>
          <w:sz w:val="27"/>
          <w:rtl/>
          <w:lang w:bidi="ar-SY"/>
        </w:rPr>
        <w:t>ظهور</w:t>
      </w:r>
      <w:r w:rsidRPr="00904FCB">
        <w:rPr>
          <w:sz w:val="27"/>
          <w:rtl/>
          <w:lang w:bidi="ar-SY"/>
        </w:rPr>
        <w:t xml:space="preserve"> </w:t>
      </w:r>
      <w:r w:rsidRPr="00904FCB">
        <w:rPr>
          <w:rFonts w:hint="cs"/>
          <w:sz w:val="27"/>
          <w:rtl/>
          <w:lang w:bidi="ar-SY"/>
        </w:rPr>
        <w:t>أشخاص</w:t>
      </w:r>
      <w:r w:rsidRPr="00904FCB">
        <w:rPr>
          <w:sz w:val="27"/>
          <w:rtl/>
          <w:lang w:bidi="ar-SY"/>
        </w:rPr>
        <w:t xml:space="preserve"> </w:t>
      </w:r>
      <w:r w:rsidRPr="00904FCB">
        <w:rPr>
          <w:rFonts w:hint="cs"/>
          <w:sz w:val="27"/>
          <w:rtl/>
          <w:lang w:bidi="ar-SY"/>
        </w:rPr>
        <w:t>ورموز</w:t>
      </w:r>
      <w:r w:rsidRPr="00904FCB">
        <w:rPr>
          <w:sz w:val="27"/>
          <w:rtl/>
          <w:lang w:bidi="ar-SY"/>
        </w:rPr>
        <w:t xml:space="preserve"> </w:t>
      </w:r>
      <w:r w:rsidRPr="00904FCB">
        <w:rPr>
          <w:rFonts w:hint="cs"/>
          <w:sz w:val="27"/>
          <w:rtl/>
          <w:lang w:bidi="ar-SY"/>
        </w:rPr>
        <w:t>وساسة</w:t>
      </w:r>
      <w:r w:rsidRPr="00904FCB">
        <w:rPr>
          <w:sz w:val="27"/>
          <w:rtl/>
          <w:lang w:bidi="ar-SY"/>
        </w:rPr>
        <w:t xml:space="preserve"> </w:t>
      </w:r>
      <w:r w:rsidRPr="00904FCB">
        <w:rPr>
          <w:rFonts w:hint="cs"/>
          <w:sz w:val="27"/>
          <w:rtl/>
          <w:lang w:bidi="ar-SY"/>
        </w:rPr>
        <w:t>يتبن</w:t>
      </w:r>
      <w:r w:rsidR="00496706" w:rsidRPr="00904FCB">
        <w:rPr>
          <w:rFonts w:hint="cs"/>
          <w:sz w:val="27"/>
          <w:rtl/>
          <w:lang w:bidi="ar-SY"/>
        </w:rPr>
        <w:t>ّ</w:t>
      </w:r>
      <w:r w:rsidRPr="00904FCB">
        <w:rPr>
          <w:rFonts w:hint="cs"/>
          <w:sz w:val="27"/>
          <w:rtl/>
          <w:lang w:bidi="ar-SY"/>
        </w:rPr>
        <w:t>ون</w:t>
      </w:r>
      <w:r w:rsidRPr="00904FCB">
        <w:rPr>
          <w:sz w:val="27"/>
          <w:rtl/>
          <w:lang w:bidi="ar-SY"/>
        </w:rPr>
        <w:t xml:space="preserve"> </w:t>
      </w:r>
      <w:r w:rsidRPr="00904FCB">
        <w:rPr>
          <w:rFonts w:hint="cs"/>
          <w:sz w:val="27"/>
          <w:rtl/>
          <w:lang w:bidi="ar-SY"/>
        </w:rPr>
        <w:t>منهج</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الأعمى</w:t>
      </w:r>
      <w:r w:rsidRPr="00904FCB">
        <w:rPr>
          <w:sz w:val="27"/>
          <w:rtl/>
          <w:lang w:bidi="ar-SY"/>
        </w:rPr>
        <w:t xml:space="preserve"> </w:t>
      </w:r>
      <w:r w:rsidRPr="00904FCB">
        <w:rPr>
          <w:rFonts w:hint="cs"/>
          <w:sz w:val="27"/>
          <w:rtl/>
          <w:lang w:bidi="ar-SY"/>
        </w:rPr>
        <w:t>والقوة</w:t>
      </w:r>
      <w:r w:rsidRPr="00904FCB">
        <w:rPr>
          <w:sz w:val="27"/>
          <w:rtl/>
          <w:lang w:bidi="ar-SY"/>
        </w:rPr>
        <w:t xml:space="preserve"> </w:t>
      </w:r>
      <w:r w:rsidRPr="00904FCB">
        <w:rPr>
          <w:rFonts w:hint="cs"/>
          <w:sz w:val="27"/>
          <w:rtl/>
          <w:lang w:bidi="ar-SY"/>
        </w:rPr>
        <w:t>العارية</w:t>
      </w:r>
      <w:r w:rsidRPr="00904FCB">
        <w:rPr>
          <w:sz w:val="27"/>
          <w:rtl/>
          <w:lang w:bidi="ar-SY"/>
        </w:rPr>
        <w:t xml:space="preserve"> </w:t>
      </w:r>
      <w:r w:rsidRPr="00904FCB">
        <w:rPr>
          <w:rFonts w:hint="cs"/>
          <w:sz w:val="27"/>
          <w:rtl/>
          <w:lang w:bidi="ar-SY"/>
        </w:rPr>
        <w:t>الساحقة</w:t>
      </w:r>
      <w:r w:rsidR="00496706" w:rsidRPr="00904FCB">
        <w:rPr>
          <w:rFonts w:hint="cs"/>
          <w:sz w:val="27"/>
          <w:rtl/>
          <w:lang w:bidi="ar-SY"/>
        </w:rPr>
        <w:t>،</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طريقة</w:t>
      </w:r>
      <w:r w:rsidRPr="00904FCB">
        <w:rPr>
          <w:sz w:val="27"/>
          <w:rtl/>
          <w:lang w:bidi="ar-SY"/>
        </w:rPr>
        <w:t xml:space="preserve"> </w:t>
      </w:r>
      <w:r w:rsidRPr="00904FCB">
        <w:rPr>
          <w:rFonts w:hint="cs"/>
          <w:sz w:val="27"/>
          <w:rtl/>
          <w:lang w:bidi="ar-SY"/>
        </w:rPr>
        <w:t>الحج</w:t>
      </w:r>
      <w:r w:rsidR="00496706" w:rsidRPr="00904FCB">
        <w:rPr>
          <w:rFonts w:hint="cs"/>
          <w:sz w:val="27"/>
          <w:rtl/>
          <w:lang w:bidi="ar-SY"/>
        </w:rPr>
        <w:t>ّ</w:t>
      </w:r>
      <w:r w:rsidRPr="00904FCB">
        <w:rPr>
          <w:rFonts w:hint="cs"/>
          <w:sz w:val="27"/>
          <w:rtl/>
          <w:lang w:bidi="ar-SY"/>
        </w:rPr>
        <w:t>اج</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هتلر</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موسوليني</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ستالين</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ماوتسي</w:t>
      </w:r>
      <w:r w:rsidRPr="00904FCB">
        <w:rPr>
          <w:sz w:val="27"/>
          <w:rtl/>
          <w:lang w:bidi="ar-SY"/>
        </w:rPr>
        <w:t xml:space="preserve"> </w:t>
      </w:r>
      <w:r w:rsidRPr="00904FCB">
        <w:rPr>
          <w:rFonts w:hint="cs"/>
          <w:sz w:val="27"/>
          <w:rtl/>
          <w:lang w:bidi="ar-SY"/>
        </w:rPr>
        <w:t>تونغ</w:t>
      </w:r>
      <w:r w:rsidR="00496706" w:rsidRPr="00904FCB">
        <w:rPr>
          <w:rFonts w:hint="cs"/>
          <w:sz w:val="27"/>
          <w:rtl/>
          <w:lang w:bidi="ar-SY"/>
        </w:rPr>
        <w:t>،</w:t>
      </w:r>
      <w:r w:rsidRPr="00904FCB">
        <w:rPr>
          <w:sz w:val="27"/>
          <w:rtl/>
          <w:lang w:bidi="ar-SY"/>
        </w:rPr>
        <w:t xml:space="preserve"> </w:t>
      </w:r>
      <w:r w:rsidRPr="00904FCB">
        <w:rPr>
          <w:rFonts w:hint="cs"/>
          <w:sz w:val="27"/>
          <w:rtl/>
          <w:lang w:bidi="ar-SY"/>
        </w:rPr>
        <w:t>أو</w:t>
      </w:r>
      <w:r w:rsidRPr="00904FCB">
        <w:rPr>
          <w:sz w:val="27"/>
          <w:rtl/>
          <w:lang w:bidi="ar-SY"/>
        </w:rPr>
        <w:t xml:space="preserve"> </w:t>
      </w:r>
      <w:r w:rsidRPr="00904FCB">
        <w:rPr>
          <w:rFonts w:hint="cs"/>
          <w:sz w:val="27"/>
          <w:rtl/>
          <w:lang w:bidi="ar-SY"/>
        </w:rPr>
        <w:t>غيرهم</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جبابرة</w:t>
      </w:r>
      <w:r w:rsidRPr="00904FCB">
        <w:rPr>
          <w:sz w:val="27"/>
          <w:rtl/>
          <w:lang w:bidi="ar-SY"/>
        </w:rPr>
        <w:t xml:space="preserve"> </w:t>
      </w:r>
      <w:r w:rsidRPr="00904FCB">
        <w:rPr>
          <w:rFonts w:hint="cs"/>
          <w:sz w:val="27"/>
          <w:rtl/>
          <w:lang w:bidi="ar-SY"/>
        </w:rPr>
        <w:t>الاستبداد</w:t>
      </w:r>
      <w:r w:rsidRPr="00904FCB">
        <w:rPr>
          <w:sz w:val="27"/>
          <w:rtl/>
          <w:lang w:bidi="ar-SY"/>
        </w:rPr>
        <w:t xml:space="preserve"> </w:t>
      </w:r>
      <w:r w:rsidRPr="00904FCB">
        <w:rPr>
          <w:rFonts w:hint="cs"/>
          <w:sz w:val="27"/>
          <w:rtl/>
          <w:lang w:bidi="ar-SY"/>
        </w:rPr>
        <w:t>والعنف</w:t>
      </w:r>
      <w:r w:rsidRPr="00904FCB">
        <w:rPr>
          <w:sz w:val="27"/>
          <w:rtl/>
          <w:lang w:bidi="ar-SY"/>
        </w:rPr>
        <w:t xml:space="preserve"> </w:t>
      </w:r>
      <w:r w:rsidRPr="00904FCB">
        <w:rPr>
          <w:rFonts w:hint="cs"/>
          <w:sz w:val="27"/>
          <w:rtl/>
          <w:lang w:bidi="ar-SY"/>
        </w:rPr>
        <w:t>الأعمى</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التاريخ</w:t>
      </w:r>
      <w:r w:rsidRPr="00904FCB">
        <w:rPr>
          <w:sz w:val="27"/>
          <w:rtl/>
          <w:lang w:bidi="ar-SY"/>
        </w:rPr>
        <w:t xml:space="preserve"> </w:t>
      </w:r>
      <w:r w:rsidRPr="00904FCB">
        <w:rPr>
          <w:rFonts w:hint="cs"/>
          <w:sz w:val="27"/>
          <w:rtl/>
          <w:lang w:bidi="ar-SY"/>
        </w:rPr>
        <w:t>الإنساني</w:t>
      </w:r>
      <w:r w:rsidRPr="00904FCB">
        <w:rPr>
          <w:sz w:val="27"/>
          <w:rtl/>
          <w:lang w:bidi="ar-SY"/>
        </w:rPr>
        <w:t xml:space="preserve">. </w:t>
      </w:r>
    </w:p>
    <w:p w:rsidR="00057E24" w:rsidRPr="00904FCB" w:rsidRDefault="00057E24" w:rsidP="00574045">
      <w:pPr>
        <w:spacing w:line="400" w:lineRule="exact"/>
        <w:rPr>
          <w:sz w:val="27"/>
          <w:rtl/>
          <w:lang w:bidi="ar-SY"/>
        </w:rPr>
      </w:pPr>
      <w:r w:rsidRPr="00904FCB">
        <w:rPr>
          <w:rFonts w:hint="cs"/>
          <w:sz w:val="27"/>
          <w:rtl/>
          <w:lang w:bidi="ar-SY"/>
        </w:rPr>
        <w:t>وكما</w:t>
      </w:r>
      <w:r w:rsidRPr="00904FCB">
        <w:rPr>
          <w:sz w:val="27"/>
          <w:rtl/>
          <w:lang w:bidi="ar-SY"/>
        </w:rPr>
        <w:t xml:space="preserve"> </w:t>
      </w:r>
      <w:r w:rsidRPr="00904FCB">
        <w:rPr>
          <w:rFonts w:hint="cs"/>
          <w:sz w:val="27"/>
          <w:rtl/>
          <w:lang w:bidi="ar-SY"/>
        </w:rPr>
        <w:t>أسلفنا</w:t>
      </w:r>
      <w:r w:rsidRPr="00904FCB">
        <w:rPr>
          <w:sz w:val="27"/>
          <w:rtl/>
          <w:lang w:bidi="ar-SY"/>
        </w:rPr>
        <w:t xml:space="preserve"> </w:t>
      </w:r>
      <w:r w:rsidRPr="00904FCB">
        <w:rPr>
          <w:rFonts w:hint="cs"/>
          <w:sz w:val="27"/>
          <w:rtl/>
          <w:lang w:bidi="ar-SY"/>
        </w:rPr>
        <w:t>لم</w:t>
      </w:r>
      <w:r w:rsidRPr="00904FCB">
        <w:rPr>
          <w:sz w:val="27"/>
          <w:rtl/>
          <w:lang w:bidi="ar-SY"/>
        </w:rPr>
        <w:t xml:space="preserve"> </w:t>
      </w:r>
      <w:r w:rsidRPr="00904FCB">
        <w:rPr>
          <w:rFonts w:hint="cs"/>
          <w:sz w:val="27"/>
          <w:rtl/>
          <w:lang w:bidi="ar-SY"/>
        </w:rPr>
        <w:t>يتمك</w:t>
      </w:r>
      <w:r w:rsidR="00496706" w:rsidRPr="00904FCB">
        <w:rPr>
          <w:rFonts w:hint="cs"/>
          <w:sz w:val="27"/>
          <w:rtl/>
          <w:lang w:bidi="ar-SY"/>
        </w:rPr>
        <w:t>َّ</w:t>
      </w:r>
      <w:r w:rsidRPr="00904FCB">
        <w:rPr>
          <w:rFonts w:hint="cs"/>
          <w:sz w:val="27"/>
          <w:rtl/>
          <w:lang w:bidi="ar-SY"/>
        </w:rPr>
        <w:t>ن</w:t>
      </w:r>
      <w:r w:rsidRPr="00904FCB">
        <w:rPr>
          <w:sz w:val="27"/>
          <w:rtl/>
          <w:lang w:bidi="ar-SY"/>
        </w:rPr>
        <w:t xml:space="preserve"> </w:t>
      </w:r>
      <w:r w:rsidRPr="00904FCB">
        <w:rPr>
          <w:rFonts w:hint="cs"/>
          <w:sz w:val="27"/>
          <w:rtl/>
          <w:lang w:bidi="ar-SY"/>
        </w:rPr>
        <w:t>بن</w:t>
      </w:r>
      <w:r w:rsidR="00574045">
        <w:rPr>
          <w:rFonts w:hint="cs"/>
          <w:sz w:val="27"/>
          <w:rtl/>
          <w:lang w:bidi="ar-SY"/>
        </w:rPr>
        <w:t>و</w:t>
      </w:r>
      <w:r w:rsidRPr="00904FCB">
        <w:rPr>
          <w:sz w:val="27"/>
          <w:rtl/>
          <w:lang w:bidi="ar-SY"/>
        </w:rPr>
        <w:t xml:space="preserve"> </w:t>
      </w:r>
      <w:r w:rsidRPr="00904FCB">
        <w:rPr>
          <w:rFonts w:hint="cs"/>
          <w:sz w:val="27"/>
          <w:rtl/>
          <w:lang w:bidi="ar-SY"/>
        </w:rPr>
        <w:t>البشر</w:t>
      </w:r>
      <w:r w:rsidRPr="00904FCB">
        <w:rPr>
          <w:sz w:val="27"/>
          <w:rtl/>
          <w:lang w:bidi="ar-SY"/>
        </w:rPr>
        <w:t xml:space="preserve"> ـ </w:t>
      </w:r>
      <w:r w:rsidR="00496706" w:rsidRPr="00904FCB">
        <w:rPr>
          <w:rFonts w:hint="cs"/>
          <w:sz w:val="27"/>
          <w:rtl/>
          <w:lang w:bidi="ar-SY"/>
        </w:rPr>
        <w:t>و</w:t>
      </w:r>
      <w:r w:rsidRPr="00904FCB">
        <w:rPr>
          <w:rFonts w:hint="cs"/>
          <w:sz w:val="27"/>
          <w:rtl/>
          <w:lang w:bidi="ar-SY"/>
        </w:rPr>
        <w:t>خاص</w:t>
      </w:r>
      <w:r w:rsidR="00496706" w:rsidRPr="00904FCB">
        <w:rPr>
          <w:rFonts w:hint="cs"/>
          <w:sz w:val="27"/>
          <w:rtl/>
          <w:lang w:bidi="ar-SY"/>
        </w:rPr>
        <w:t>ّ</w:t>
      </w:r>
      <w:r w:rsidRPr="00904FCB">
        <w:rPr>
          <w:rFonts w:hint="cs"/>
          <w:sz w:val="27"/>
          <w:rtl/>
          <w:lang w:bidi="ar-SY"/>
        </w:rPr>
        <w:t>ة</w:t>
      </w:r>
      <w:r w:rsidRPr="00904FCB">
        <w:rPr>
          <w:sz w:val="27"/>
          <w:rtl/>
          <w:lang w:bidi="ar-SY"/>
        </w:rPr>
        <w:t xml:space="preserve"> </w:t>
      </w:r>
      <w:r w:rsidRPr="00904FCB">
        <w:rPr>
          <w:rFonts w:hint="cs"/>
          <w:sz w:val="27"/>
          <w:rtl/>
          <w:lang w:bidi="ar-SY"/>
        </w:rPr>
        <w:t>على</w:t>
      </w:r>
      <w:r w:rsidRPr="00904FCB">
        <w:rPr>
          <w:sz w:val="27"/>
          <w:rtl/>
          <w:lang w:bidi="ar-SY"/>
        </w:rPr>
        <w:t xml:space="preserve"> </w:t>
      </w:r>
      <w:r w:rsidRPr="00904FCB">
        <w:rPr>
          <w:rFonts w:hint="cs"/>
          <w:sz w:val="27"/>
          <w:rtl/>
          <w:lang w:bidi="ar-SY"/>
        </w:rPr>
        <w:t>صعيد</w:t>
      </w:r>
      <w:r w:rsidRPr="00904FCB">
        <w:rPr>
          <w:sz w:val="27"/>
          <w:rtl/>
          <w:lang w:bidi="ar-SY"/>
        </w:rPr>
        <w:t xml:space="preserve"> </w:t>
      </w:r>
      <w:r w:rsidRPr="00904FCB">
        <w:rPr>
          <w:rFonts w:hint="cs"/>
          <w:sz w:val="27"/>
          <w:rtl/>
          <w:lang w:bidi="ar-SY"/>
        </w:rPr>
        <w:t>الفكر</w:t>
      </w:r>
      <w:r w:rsidRPr="00904FCB">
        <w:rPr>
          <w:sz w:val="27"/>
          <w:rtl/>
          <w:lang w:bidi="ar-SY"/>
        </w:rPr>
        <w:t xml:space="preserve"> </w:t>
      </w:r>
      <w:r w:rsidRPr="00904FCB">
        <w:rPr>
          <w:rFonts w:hint="cs"/>
          <w:sz w:val="27"/>
          <w:rtl/>
          <w:lang w:bidi="ar-SY"/>
        </w:rPr>
        <w:t>الأيديولوجي</w:t>
      </w:r>
      <w:r w:rsidRPr="00904FCB">
        <w:rPr>
          <w:sz w:val="27"/>
          <w:rtl/>
          <w:lang w:bidi="ar-SY"/>
        </w:rPr>
        <w:t xml:space="preserve"> </w:t>
      </w:r>
      <w:r w:rsidRPr="00904FCB">
        <w:rPr>
          <w:rFonts w:hint="cs"/>
          <w:sz w:val="27"/>
          <w:rtl/>
          <w:lang w:bidi="ar-SY"/>
        </w:rPr>
        <w:t>والعقائد</w:t>
      </w:r>
      <w:r w:rsidRPr="00904FCB">
        <w:rPr>
          <w:sz w:val="27"/>
          <w:rtl/>
          <w:lang w:bidi="ar-SY"/>
        </w:rPr>
        <w:t xml:space="preserve"> </w:t>
      </w:r>
      <w:r w:rsidRPr="00904FCB">
        <w:rPr>
          <w:rFonts w:hint="cs"/>
          <w:sz w:val="27"/>
          <w:rtl/>
          <w:lang w:bidi="ar-SY"/>
        </w:rPr>
        <w:t>الاصطفائية</w:t>
      </w:r>
      <w:r w:rsidRPr="00904FCB">
        <w:rPr>
          <w:sz w:val="27"/>
          <w:rtl/>
          <w:lang w:bidi="ar-SY"/>
        </w:rPr>
        <w:t xml:space="preserve"> ـ </w:t>
      </w:r>
      <w:r w:rsidRPr="00904FCB">
        <w:rPr>
          <w:rFonts w:hint="cs"/>
          <w:sz w:val="27"/>
          <w:rtl/>
          <w:lang w:bidi="ar-SY"/>
        </w:rPr>
        <w:t>من</w:t>
      </w:r>
      <w:r w:rsidRPr="00904FCB">
        <w:rPr>
          <w:sz w:val="27"/>
          <w:rtl/>
          <w:lang w:bidi="ar-SY"/>
        </w:rPr>
        <w:t xml:space="preserve"> </w:t>
      </w:r>
      <w:r w:rsidRPr="00904FCB">
        <w:rPr>
          <w:rFonts w:hint="cs"/>
          <w:sz w:val="27"/>
          <w:rtl/>
          <w:lang w:bidi="ar-SY"/>
        </w:rPr>
        <w:t>التوص</w:t>
      </w:r>
      <w:r w:rsidR="00496706" w:rsidRPr="00904FCB">
        <w:rPr>
          <w:rFonts w:hint="cs"/>
          <w:sz w:val="27"/>
          <w:rtl/>
          <w:lang w:bidi="ar-SY"/>
        </w:rPr>
        <w:t>ُّ</w:t>
      </w:r>
      <w:r w:rsidRPr="00904FCB">
        <w:rPr>
          <w:rFonts w:hint="cs"/>
          <w:sz w:val="27"/>
          <w:rtl/>
          <w:lang w:bidi="ar-SY"/>
        </w:rPr>
        <w:t>ل</w:t>
      </w:r>
      <w:r w:rsidRPr="00904FCB">
        <w:rPr>
          <w:sz w:val="27"/>
          <w:rtl/>
          <w:lang w:bidi="ar-SY"/>
        </w:rPr>
        <w:t xml:space="preserve"> </w:t>
      </w:r>
      <w:r w:rsidRPr="00904FCB">
        <w:rPr>
          <w:rFonts w:hint="cs"/>
          <w:sz w:val="27"/>
          <w:rtl/>
          <w:lang w:bidi="ar-SY"/>
        </w:rPr>
        <w:t>إلى</w:t>
      </w:r>
      <w:r w:rsidRPr="00904FCB">
        <w:rPr>
          <w:sz w:val="27"/>
          <w:rtl/>
          <w:lang w:bidi="ar-SY"/>
        </w:rPr>
        <w:t xml:space="preserve"> </w:t>
      </w:r>
      <w:r w:rsidRPr="00904FCB">
        <w:rPr>
          <w:rFonts w:hint="cs"/>
          <w:sz w:val="27"/>
          <w:rtl/>
          <w:lang w:bidi="ar-SY"/>
        </w:rPr>
        <w:t>تنظيم</w:t>
      </w:r>
      <w:r w:rsidRPr="00904FCB">
        <w:rPr>
          <w:sz w:val="27"/>
          <w:rtl/>
          <w:lang w:bidi="ar-SY"/>
        </w:rPr>
        <w:t xml:space="preserve"> </w:t>
      </w:r>
      <w:r w:rsidRPr="00904FCB">
        <w:rPr>
          <w:rFonts w:hint="cs"/>
          <w:sz w:val="27"/>
          <w:rtl/>
          <w:lang w:bidi="ar-SY"/>
        </w:rPr>
        <w:t>صراعاتهم</w:t>
      </w:r>
      <w:r w:rsidRPr="00904FCB">
        <w:rPr>
          <w:sz w:val="27"/>
          <w:rtl/>
          <w:lang w:bidi="ar-SY"/>
        </w:rPr>
        <w:t xml:space="preserve"> </w:t>
      </w:r>
      <w:r w:rsidRPr="00904FCB">
        <w:rPr>
          <w:rFonts w:hint="cs"/>
          <w:sz w:val="27"/>
          <w:rtl/>
          <w:lang w:bidi="ar-SY"/>
        </w:rPr>
        <w:t>الدموية</w:t>
      </w:r>
      <w:r w:rsidR="00496706" w:rsidRPr="00904FCB">
        <w:rPr>
          <w:rFonts w:hint="cs"/>
          <w:sz w:val="27"/>
          <w:rtl/>
          <w:lang w:bidi="ar-SY"/>
        </w:rPr>
        <w:t>،</w:t>
      </w:r>
      <w:r w:rsidRPr="00904FCB">
        <w:rPr>
          <w:sz w:val="27"/>
          <w:rtl/>
          <w:lang w:bidi="ar-SY"/>
        </w:rPr>
        <w:t xml:space="preserve"> </w:t>
      </w:r>
      <w:r w:rsidRPr="00904FCB">
        <w:rPr>
          <w:rFonts w:hint="cs"/>
          <w:sz w:val="27"/>
          <w:rtl/>
          <w:lang w:bidi="ar-SY"/>
        </w:rPr>
        <w:t>وتقييد</w:t>
      </w:r>
      <w:r w:rsidRPr="00904FCB">
        <w:rPr>
          <w:sz w:val="27"/>
          <w:rtl/>
          <w:lang w:bidi="ar-SY"/>
        </w:rPr>
        <w:t xml:space="preserve"> </w:t>
      </w:r>
      <w:r w:rsidRPr="00904FCB">
        <w:rPr>
          <w:rFonts w:hint="cs"/>
          <w:sz w:val="27"/>
          <w:rtl/>
          <w:lang w:bidi="ar-SY"/>
        </w:rPr>
        <w:t>حركة</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مجتمعاتها</w:t>
      </w:r>
      <w:r w:rsidR="00496706" w:rsidRPr="00904FCB">
        <w:rPr>
          <w:rFonts w:hint="cs"/>
          <w:sz w:val="27"/>
          <w:rtl/>
          <w:lang w:bidi="ar-SY"/>
        </w:rPr>
        <w:t>،</w:t>
      </w:r>
      <w:r w:rsidRPr="00904FCB">
        <w:rPr>
          <w:sz w:val="27"/>
          <w:rtl/>
          <w:lang w:bidi="ar-SY"/>
        </w:rPr>
        <w:t xml:space="preserve"> </w:t>
      </w:r>
      <w:r w:rsidRPr="00904FCB">
        <w:rPr>
          <w:rFonts w:hint="cs"/>
          <w:sz w:val="27"/>
          <w:rtl/>
          <w:lang w:bidi="ar-SY"/>
        </w:rPr>
        <w:t>وبين</w:t>
      </w:r>
      <w:r w:rsidRPr="00904FCB">
        <w:rPr>
          <w:sz w:val="27"/>
          <w:rtl/>
          <w:lang w:bidi="ar-SY"/>
        </w:rPr>
        <w:t xml:space="preserve"> </w:t>
      </w:r>
      <w:r w:rsidRPr="00904FCB">
        <w:rPr>
          <w:rFonts w:hint="cs"/>
          <w:sz w:val="27"/>
          <w:rtl/>
          <w:lang w:bidi="ar-SY"/>
        </w:rPr>
        <w:t>بعضهم</w:t>
      </w:r>
      <w:r w:rsidRPr="00904FCB">
        <w:rPr>
          <w:sz w:val="27"/>
          <w:rtl/>
          <w:lang w:bidi="ar-SY"/>
        </w:rPr>
        <w:t xml:space="preserve"> </w:t>
      </w:r>
      <w:r w:rsidRPr="00904FCB">
        <w:rPr>
          <w:rFonts w:hint="cs"/>
          <w:sz w:val="27"/>
          <w:rtl/>
          <w:lang w:bidi="ar-SY"/>
        </w:rPr>
        <w:t>البعض</w:t>
      </w:r>
      <w:r w:rsidR="00496706" w:rsidRPr="00904FCB">
        <w:rPr>
          <w:rFonts w:hint="cs"/>
          <w:sz w:val="27"/>
          <w:rtl/>
          <w:lang w:bidi="ar-SY"/>
        </w:rPr>
        <w:t>،</w:t>
      </w:r>
      <w:r w:rsidRPr="00904FCB">
        <w:rPr>
          <w:sz w:val="27"/>
          <w:rtl/>
          <w:lang w:bidi="ar-SY"/>
        </w:rPr>
        <w:t xml:space="preserve"> </w:t>
      </w:r>
      <w:r w:rsidRPr="00904FCB">
        <w:rPr>
          <w:rFonts w:hint="cs"/>
          <w:sz w:val="27"/>
          <w:rtl/>
          <w:lang w:bidi="ar-SY"/>
        </w:rPr>
        <w:t>ومع</w:t>
      </w:r>
      <w:r w:rsidRPr="00904FCB">
        <w:rPr>
          <w:sz w:val="27"/>
          <w:rtl/>
          <w:lang w:bidi="ar-SY"/>
        </w:rPr>
        <w:t xml:space="preserve"> </w:t>
      </w:r>
      <w:r w:rsidRPr="00904FCB">
        <w:rPr>
          <w:rFonts w:hint="cs"/>
          <w:sz w:val="27"/>
          <w:rtl/>
          <w:lang w:bidi="ar-SY"/>
        </w:rPr>
        <w:t>غيرهم</w:t>
      </w:r>
      <w:r w:rsidR="00496706" w:rsidRPr="00904FCB">
        <w:rPr>
          <w:rFonts w:hint="cs"/>
          <w:sz w:val="27"/>
          <w:rtl/>
          <w:lang w:bidi="ar-SY"/>
        </w:rPr>
        <w:t>،</w:t>
      </w:r>
      <w:r w:rsidRPr="00904FCB">
        <w:rPr>
          <w:sz w:val="27"/>
          <w:rtl/>
          <w:lang w:bidi="ar-SY"/>
        </w:rPr>
        <w:t xml:space="preserve"> </w:t>
      </w:r>
      <w:r w:rsidRPr="00904FCB">
        <w:rPr>
          <w:rFonts w:hint="cs"/>
          <w:sz w:val="27"/>
          <w:rtl/>
          <w:lang w:bidi="ar-SY"/>
        </w:rPr>
        <w:t>إلا</w:t>
      </w:r>
      <w:r w:rsidR="00496706" w:rsidRPr="00904FCB">
        <w:rPr>
          <w:rFonts w:hint="cs"/>
          <w:sz w:val="27"/>
          <w:rtl/>
          <w:lang w:bidi="ar-SY"/>
        </w:rPr>
        <w:t>ّ</w:t>
      </w:r>
      <w:r w:rsidRPr="00904FCB">
        <w:rPr>
          <w:sz w:val="27"/>
          <w:rtl/>
          <w:lang w:bidi="ar-SY"/>
        </w:rPr>
        <w:t xml:space="preserve"> </w:t>
      </w:r>
      <w:r w:rsidRPr="00904FCB">
        <w:rPr>
          <w:rFonts w:hint="cs"/>
          <w:sz w:val="27"/>
          <w:rtl/>
          <w:lang w:bidi="ar-SY"/>
        </w:rPr>
        <w:t>بعد</w:t>
      </w:r>
      <w:r w:rsidRPr="00904FCB">
        <w:rPr>
          <w:sz w:val="27"/>
          <w:rtl/>
          <w:lang w:bidi="ar-SY"/>
        </w:rPr>
        <w:t xml:space="preserve"> </w:t>
      </w:r>
      <w:r w:rsidR="00717285" w:rsidRPr="00904FCB">
        <w:rPr>
          <w:rFonts w:hint="cs"/>
          <w:sz w:val="27"/>
          <w:rtl/>
          <w:lang w:bidi="ar-SY"/>
        </w:rPr>
        <w:t>أن مرّوا</w:t>
      </w:r>
      <w:r w:rsidRPr="00904FCB">
        <w:rPr>
          <w:sz w:val="27"/>
          <w:rtl/>
          <w:lang w:bidi="ar-SY"/>
        </w:rPr>
        <w:t xml:space="preserve"> </w:t>
      </w:r>
      <w:r w:rsidRPr="00904FCB">
        <w:rPr>
          <w:rFonts w:hint="cs"/>
          <w:sz w:val="27"/>
          <w:rtl/>
          <w:lang w:bidi="ar-SY"/>
        </w:rPr>
        <w:t>وخبروا</w:t>
      </w:r>
      <w:r w:rsidRPr="00904FCB">
        <w:rPr>
          <w:sz w:val="27"/>
          <w:rtl/>
          <w:lang w:bidi="ar-SY"/>
        </w:rPr>
        <w:t xml:space="preserve"> </w:t>
      </w:r>
      <w:r w:rsidRPr="00904FCB">
        <w:rPr>
          <w:rFonts w:hint="cs"/>
          <w:sz w:val="27"/>
          <w:rtl/>
          <w:lang w:bidi="ar-SY"/>
        </w:rPr>
        <w:t>تجارب</w:t>
      </w:r>
      <w:r w:rsidRPr="00904FCB">
        <w:rPr>
          <w:sz w:val="27"/>
          <w:rtl/>
          <w:lang w:bidi="ar-SY"/>
        </w:rPr>
        <w:t xml:space="preserve"> </w:t>
      </w:r>
      <w:r w:rsidRPr="00904FCB">
        <w:rPr>
          <w:rFonts w:hint="cs"/>
          <w:sz w:val="27"/>
          <w:rtl/>
          <w:lang w:bidi="ar-SY"/>
        </w:rPr>
        <w:t>صعبة</w:t>
      </w:r>
      <w:r w:rsidRPr="00904FCB">
        <w:rPr>
          <w:sz w:val="27"/>
          <w:rtl/>
          <w:lang w:bidi="ar-SY"/>
        </w:rPr>
        <w:t xml:space="preserve"> </w:t>
      </w:r>
      <w:r w:rsidRPr="00904FCB">
        <w:rPr>
          <w:rFonts w:hint="cs"/>
          <w:sz w:val="27"/>
          <w:rtl/>
          <w:lang w:bidi="ar-SY"/>
        </w:rPr>
        <w:t>ومؤلمة، خاضوا</w:t>
      </w:r>
      <w:r w:rsidRPr="00904FCB">
        <w:rPr>
          <w:sz w:val="27"/>
          <w:rtl/>
          <w:lang w:bidi="ar-SY"/>
        </w:rPr>
        <w:t xml:space="preserve"> </w:t>
      </w:r>
      <w:r w:rsidRPr="00904FCB">
        <w:rPr>
          <w:rFonts w:hint="cs"/>
          <w:sz w:val="27"/>
          <w:rtl/>
          <w:lang w:bidi="ar-SY"/>
        </w:rPr>
        <w:t>خلالها</w:t>
      </w:r>
      <w:r w:rsidRPr="00904FCB">
        <w:rPr>
          <w:sz w:val="27"/>
          <w:rtl/>
          <w:lang w:bidi="ar-SY"/>
        </w:rPr>
        <w:t xml:space="preserve"> </w:t>
      </w:r>
      <w:r w:rsidRPr="00904FCB">
        <w:rPr>
          <w:rFonts w:hint="cs"/>
          <w:sz w:val="27"/>
          <w:rtl/>
          <w:lang w:bidi="ar-SY"/>
        </w:rPr>
        <w:t>حروباً</w:t>
      </w:r>
      <w:r w:rsidRPr="00904FCB">
        <w:rPr>
          <w:sz w:val="27"/>
          <w:rtl/>
          <w:lang w:bidi="ar-SY"/>
        </w:rPr>
        <w:t xml:space="preserve"> </w:t>
      </w:r>
      <w:r w:rsidRPr="00904FCB">
        <w:rPr>
          <w:rFonts w:hint="cs"/>
          <w:sz w:val="27"/>
          <w:rtl/>
          <w:lang w:bidi="ar-SY"/>
        </w:rPr>
        <w:t>وصراعات</w:t>
      </w:r>
      <w:r w:rsidRPr="00904FCB">
        <w:rPr>
          <w:sz w:val="27"/>
          <w:rtl/>
          <w:lang w:bidi="ar-SY"/>
        </w:rPr>
        <w:t xml:space="preserve"> </w:t>
      </w:r>
      <w:r w:rsidRPr="00904FCB">
        <w:rPr>
          <w:rFonts w:hint="cs"/>
          <w:sz w:val="27"/>
          <w:rtl/>
          <w:lang w:bidi="ar-SY"/>
        </w:rPr>
        <w:t>كونية</w:t>
      </w:r>
      <w:r w:rsidRPr="00904FCB">
        <w:rPr>
          <w:sz w:val="27"/>
          <w:rtl/>
          <w:lang w:bidi="ar-SY"/>
        </w:rPr>
        <w:t xml:space="preserve"> </w:t>
      </w:r>
      <w:r w:rsidRPr="00904FCB">
        <w:rPr>
          <w:rFonts w:hint="cs"/>
          <w:sz w:val="27"/>
          <w:rtl/>
          <w:lang w:bidi="ar-SY"/>
        </w:rPr>
        <w:t>مدم</w:t>
      </w:r>
      <w:r w:rsidR="00717285" w:rsidRPr="00904FCB">
        <w:rPr>
          <w:rFonts w:hint="cs"/>
          <w:sz w:val="27"/>
          <w:rtl/>
          <w:lang w:bidi="ar-SY"/>
        </w:rPr>
        <w:t>ّ</w:t>
      </w:r>
      <w:r w:rsidRPr="00904FCB">
        <w:rPr>
          <w:rFonts w:hint="cs"/>
          <w:sz w:val="27"/>
          <w:rtl/>
          <w:lang w:bidi="ar-SY"/>
        </w:rPr>
        <w:t>رة</w:t>
      </w:r>
      <w:r w:rsidR="00717285" w:rsidRPr="00904FCB">
        <w:rPr>
          <w:rFonts w:hint="cs"/>
          <w:sz w:val="27"/>
          <w:rtl/>
          <w:lang w:bidi="ar-SY"/>
        </w:rPr>
        <w:t>،</w:t>
      </w:r>
      <w:r w:rsidRPr="00904FCB">
        <w:rPr>
          <w:sz w:val="27"/>
          <w:rtl/>
          <w:lang w:bidi="ar-SY"/>
        </w:rPr>
        <w:t xml:space="preserve"> </w:t>
      </w:r>
      <w:r w:rsidRPr="00904FCB">
        <w:rPr>
          <w:rFonts w:hint="cs"/>
          <w:sz w:val="27"/>
          <w:rtl/>
          <w:lang w:bidi="ar-SY"/>
        </w:rPr>
        <w:t>كلفتهم</w:t>
      </w:r>
      <w:r w:rsidRPr="00904FCB">
        <w:rPr>
          <w:sz w:val="27"/>
          <w:rtl/>
          <w:lang w:bidi="ar-SY"/>
        </w:rPr>
        <w:t xml:space="preserve"> </w:t>
      </w:r>
      <w:r w:rsidRPr="00904FCB">
        <w:rPr>
          <w:rFonts w:hint="cs"/>
          <w:sz w:val="27"/>
          <w:rtl/>
          <w:lang w:bidi="ar-SY"/>
        </w:rPr>
        <w:t>مئات</w:t>
      </w:r>
      <w:r w:rsidRPr="00904FCB">
        <w:rPr>
          <w:sz w:val="27"/>
          <w:rtl/>
          <w:lang w:bidi="ar-SY"/>
        </w:rPr>
        <w:t xml:space="preserve"> </w:t>
      </w:r>
      <w:r w:rsidRPr="00904FCB">
        <w:rPr>
          <w:rFonts w:hint="cs"/>
          <w:sz w:val="27"/>
          <w:rtl/>
          <w:lang w:bidi="ar-SY"/>
        </w:rPr>
        <w:t>الملايين</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الأرواح</w:t>
      </w:r>
      <w:r w:rsidRPr="00904FCB">
        <w:rPr>
          <w:sz w:val="27"/>
          <w:rtl/>
          <w:lang w:bidi="ar-SY"/>
        </w:rPr>
        <w:t xml:space="preserve"> </w:t>
      </w:r>
      <w:r w:rsidRPr="00904FCB">
        <w:rPr>
          <w:rFonts w:hint="cs"/>
          <w:sz w:val="27"/>
          <w:rtl/>
          <w:lang w:bidi="ar-SY"/>
        </w:rPr>
        <w:t>والضحايا</w:t>
      </w:r>
      <w:r w:rsidR="00717285" w:rsidRPr="00904FCB">
        <w:rPr>
          <w:rFonts w:hint="cs"/>
          <w:sz w:val="27"/>
          <w:rtl/>
          <w:lang w:bidi="ar-SY"/>
        </w:rPr>
        <w:t>،</w:t>
      </w:r>
      <w:r w:rsidRPr="00904FCB">
        <w:rPr>
          <w:sz w:val="27"/>
          <w:rtl/>
          <w:lang w:bidi="ar-SY"/>
        </w:rPr>
        <w:t xml:space="preserve"> </w:t>
      </w:r>
      <w:r w:rsidRPr="00904FCB">
        <w:rPr>
          <w:rFonts w:hint="cs"/>
          <w:sz w:val="27"/>
          <w:rtl/>
          <w:lang w:bidi="ar-SY"/>
        </w:rPr>
        <w:t>والعيش</w:t>
      </w:r>
      <w:r w:rsidRPr="00904FCB">
        <w:rPr>
          <w:sz w:val="27"/>
          <w:rtl/>
          <w:lang w:bidi="ar-SY"/>
        </w:rPr>
        <w:t xml:space="preserve"> </w:t>
      </w:r>
      <w:r w:rsidR="00717285" w:rsidRPr="00904FCB">
        <w:rPr>
          <w:rFonts w:hint="cs"/>
          <w:sz w:val="27"/>
          <w:rtl/>
          <w:lang w:bidi="ar-SY"/>
        </w:rPr>
        <w:t>ل</w:t>
      </w:r>
      <w:r w:rsidRPr="00904FCB">
        <w:rPr>
          <w:rFonts w:hint="cs"/>
          <w:sz w:val="27"/>
          <w:rtl/>
          <w:lang w:bidi="ar-SY"/>
        </w:rPr>
        <w:t>قرون</w:t>
      </w:r>
      <w:r w:rsidRPr="00904FCB">
        <w:rPr>
          <w:sz w:val="27"/>
          <w:rtl/>
          <w:lang w:bidi="ar-SY"/>
        </w:rPr>
        <w:t xml:space="preserve"> </w:t>
      </w:r>
      <w:r w:rsidRPr="00904FCB">
        <w:rPr>
          <w:rFonts w:hint="cs"/>
          <w:sz w:val="27"/>
          <w:rtl/>
          <w:lang w:bidi="ar-SY"/>
        </w:rPr>
        <w:t>طويلة</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جحيم</w:t>
      </w:r>
      <w:r w:rsidRPr="00904FCB">
        <w:rPr>
          <w:sz w:val="27"/>
          <w:rtl/>
          <w:lang w:bidi="ar-SY"/>
        </w:rPr>
        <w:t xml:space="preserve"> </w:t>
      </w:r>
      <w:r w:rsidRPr="00904FCB">
        <w:rPr>
          <w:rFonts w:hint="cs"/>
          <w:sz w:val="27"/>
          <w:rtl/>
          <w:lang w:bidi="ar-SY"/>
        </w:rPr>
        <w:t>التخل</w:t>
      </w:r>
      <w:r w:rsidR="00717285" w:rsidRPr="00904FCB">
        <w:rPr>
          <w:rFonts w:hint="cs"/>
          <w:sz w:val="27"/>
          <w:rtl/>
          <w:lang w:bidi="ar-SY"/>
        </w:rPr>
        <w:t>ُّ</w:t>
      </w:r>
      <w:r w:rsidRPr="00904FCB">
        <w:rPr>
          <w:rFonts w:hint="cs"/>
          <w:sz w:val="27"/>
          <w:rtl/>
          <w:lang w:bidi="ar-SY"/>
        </w:rPr>
        <w:t>ف</w:t>
      </w:r>
      <w:r w:rsidRPr="00904FCB">
        <w:rPr>
          <w:sz w:val="27"/>
          <w:rtl/>
          <w:lang w:bidi="ar-SY"/>
        </w:rPr>
        <w:t xml:space="preserve"> </w:t>
      </w:r>
      <w:r w:rsidRPr="00904FCB">
        <w:rPr>
          <w:rFonts w:hint="cs"/>
          <w:sz w:val="27"/>
          <w:rtl/>
          <w:lang w:bidi="ar-SY"/>
        </w:rPr>
        <w:t>والانقسام</w:t>
      </w:r>
      <w:r w:rsidRPr="00904FCB">
        <w:rPr>
          <w:sz w:val="27"/>
          <w:rtl/>
          <w:lang w:bidi="ar-SY"/>
        </w:rPr>
        <w:t xml:space="preserve"> </w:t>
      </w:r>
      <w:r w:rsidRPr="00904FCB">
        <w:rPr>
          <w:rFonts w:hint="cs"/>
          <w:sz w:val="27"/>
          <w:rtl/>
          <w:lang w:bidi="ar-SY"/>
        </w:rPr>
        <w:t>والظلمات</w:t>
      </w:r>
      <w:r w:rsidRPr="00904FCB">
        <w:rPr>
          <w:sz w:val="27"/>
          <w:rtl/>
          <w:lang w:bidi="ar-SY"/>
        </w:rPr>
        <w:t xml:space="preserve">. </w:t>
      </w:r>
    </w:p>
    <w:p w:rsidR="00057E24" w:rsidRPr="00904FCB" w:rsidRDefault="00057E24" w:rsidP="007A21AA">
      <w:pPr>
        <w:spacing w:line="400" w:lineRule="exact"/>
        <w:rPr>
          <w:sz w:val="27"/>
          <w:rtl/>
          <w:lang w:bidi="ar-SY"/>
        </w:rPr>
      </w:pPr>
    </w:p>
    <w:p w:rsidR="00057E24" w:rsidRPr="00904FCB" w:rsidRDefault="00057E24" w:rsidP="007A21AA">
      <w:pPr>
        <w:pStyle w:val="31"/>
        <w:spacing w:line="400" w:lineRule="exact"/>
        <w:rPr>
          <w:color w:val="auto"/>
          <w:rtl/>
          <w:lang w:bidi="ar-SY"/>
        </w:rPr>
      </w:pPr>
      <w:r w:rsidRPr="00904FCB">
        <w:rPr>
          <w:rFonts w:hint="cs"/>
          <w:color w:val="auto"/>
          <w:rtl/>
          <w:lang w:bidi="ar-SY"/>
        </w:rPr>
        <w:t>بين</w:t>
      </w:r>
      <w:r w:rsidRPr="00904FCB">
        <w:rPr>
          <w:color w:val="auto"/>
          <w:rtl/>
          <w:lang w:bidi="ar-SY"/>
        </w:rPr>
        <w:t xml:space="preserve"> </w:t>
      </w:r>
      <w:r w:rsidRPr="00904FCB">
        <w:rPr>
          <w:rFonts w:hint="cs"/>
          <w:color w:val="auto"/>
          <w:rtl/>
          <w:lang w:bidi="ar-SY"/>
        </w:rPr>
        <w:t>العنف</w:t>
      </w:r>
      <w:r w:rsidRPr="00904FCB">
        <w:rPr>
          <w:color w:val="auto"/>
          <w:rtl/>
          <w:lang w:bidi="ar-SY"/>
        </w:rPr>
        <w:t xml:space="preserve"> </w:t>
      </w:r>
      <w:r w:rsidRPr="00904FCB">
        <w:rPr>
          <w:rFonts w:hint="cs"/>
          <w:color w:val="auto"/>
          <w:rtl/>
          <w:lang w:bidi="ar-SY"/>
        </w:rPr>
        <w:t>السياسي</w:t>
      </w:r>
      <w:r w:rsidRPr="00904FCB">
        <w:rPr>
          <w:color w:val="auto"/>
          <w:rtl/>
          <w:lang w:bidi="ar-SY"/>
        </w:rPr>
        <w:t xml:space="preserve"> </w:t>
      </w:r>
      <w:r w:rsidRPr="00904FCB">
        <w:rPr>
          <w:rFonts w:hint="cs"/>
          <w:color w:val="auto"/>
          <w:rtl/>
          <w:lang w:bidi="ar-SY"/>
        </w:rPr>
        <w:t>العضوي</w:t>
      </w:r>
      <w:r w:rsidRPr="00904FCB">
        <w:rPr>
          <w:color w:val="auto"/>
          <w:rtl/>
          <w:lang w:bidi="ar-SY"/>
        </w:rPr>
        <w:t xml:space="preserve"> </w:t>
      </w:r>
      <w:r w:rsidRPr="00904FCB">
        <w:rPr>
          <w:rFonts w:hint="cs"/>
          <w:color w:val="auto"/>
          <w:rtl/>
          <w:lang w:bidi="ar-SY"/>
        </w:rPr>
        <w:t>والعنف</w:t>
      </w:r>
      <w:r w:rsidRPr="00904FCB">
        <w:rPr>
          <w:color w:val="auto"/>
          <w:rtl/>
          <w:lang w:bidi="ar-SY"/>
        </w:rPr>
        <w:t xml:space="preserve"> </w:t>
      </w:r>
      <w:r w:rsidRPr="00904FCB">
        <w:rPr>
          <w:rFonts w:hint="cs"/>
          <w:color w:val="auto"/>
          <w:rtl/>
          <w:lang w:bidi="ar-SY"/>
        </w:rPr>
        <w:t>المفاهيمي</w:t>
      </w:r>
      <w:r w:rsidRPr="00904FCB">
        <w:rPr>
          <w:color w:val="auto"/>
          <w:rtl/>
          <w:lang w:bidi="ar-SY"/>
        </w:rPr>
        <w:t xml:space="preserve"> </w:t>
      </w:r>
      <w:r w:rsidRPr="00904FCB">
        <w:rPr>
          <w:rFonts w:hint="cs"/>
          <w:color w:val="auto"/>
          <w:rtl/>
          <w:lang w:bidi="ar-SY"/>
        </w:rPr>
        <w:t>الرمزي</w:t>
      </w:r>
      <w:r w:rsidRPr="00904FCB">
        <w:rPr>
          <w:color w:val="auto"/>
          <w:rtl/>
          <w:lang w:bidi="ar-SY"/>
        </w:rPr>
        <w:t xml:space="preserve"> </w:t>
      </w:r>
    </w:p>
    <w:p w:rsidR="00057E24" w:rsidRPr="00904FCB" w:rsidRDefault="00057E24" w:rsidP="007A21AA">
      <w:pPr>
        <w:spacing w:line="400" w:lineRule="exact"/>
        <w:rPr>
          <w:sz w:val="27"/>
          <w:rtl/>
        </w:rPr>
      </w:pPr>
      <w:r w:rsidRPr="00904FCB">
        <w:rPr>
          <w:rFonts w:hint="cs"/>
          <w:sz w:val="27"/>
          <w:rtl/>
          <w:lang w:bidi="ar-SY"/>
        </w:rPr>
        <w:t>لا</w:t>
      </w:r>
      <w:r w:rsidR="00717285" w:rsidRPr="00904FCB">
        <w:rPr>
          <w:rFonts w:hint="cs"/>
          <w:sz w:val="27"/>
          <w:rtl/>
          <w:lang w:bidi="ar-SY"/>
        </w:rPr>
        <w:t xml:space="preserve"> </w:t>
      </w:r>
      <w:r w:rsidRPr="00904FCB">
        <w:rPr>
          <w:rFonts w:hint="cs"/>
          <w:sz w:val="27"/>
          <w:rtl/>
          <w:lang w:bidi="ar-SY"/>
        </w:rPr>
        <w:t>ب</w:t>
      </w:r>
      <w:r w:rsidR="00717285" w:rsidRPr="00904FCB">
        <w:rPr>
          <w:rFonts w:hint="cs"/>
          <w:sz w:val="27"/>
          <w:rtl/>
          <w:lang w:bidi="ar-SY"/>
        </w:rPr>
        <w:t>ُ</w:t>
      </w:r>
      <w:r w:rsidRPr="00904FCB">
        <w:rPr>
          <w:rFonts w:hint="cs"/>
          <w:sz w:val="27"/>
          <w:rtl/>
          <w:lang w:bidi="ar-SY"/>
        </w:rPr>
        <w:t>د</w:t>
      </w:r>
      <w:r w:rsidR="00717285" w:rsidRPr="00904FCB">
        <w:rPr>
          <w:rFonts w:hint="cs"/>
          <w:sz w:val="27"/>
          <w:rtl/>
          <w:lang w:bidi="ar-SY"/>
        </w:rPr>
        <w:t>َّ</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حديثنا</w:t>
      </w:r>
      <w:r w:rsidRPr="00904FCB">
        <w:rPr>
          <w:sz w:val="27"/>
          <w:rtl/>
          <w:lang w:bidi="ar-SY"/>
        </w:rPr>
        <w:t xml:space="preserve"> </w:t>
      </w:r>
      <w:r w:rsidRPr="00904FCB">
        <w:rPr>
          <w:rFonts w:hint="cs"/>
          <w:sz w:val="27"/>
          <w:rtl/>
          <w:lang w:bidi="ar-SY"/>
        </w:rPr>
        <w:t>عن</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التمييز</w:t>
      </w:r>
      <w:r w:rsidRPr="00904FCB">
        <w:rPr>
          <w:sz w:val="27"/>
          <w:rtl/>
          <w:lang w:bidi="ar-SY"/>
        </w:rPr>
        <w:t xml:space="preserve"> </w:t>
      </w:r>
      <w:r w:rsidRPr="00904FCB">
        <w:rPr>
          <w:rFonts w:hint="cs"/>
          <w:sz w:val="27"/>
          <w:rtl/>
          <w:lang w:bidi="ar-SY"/>
        </w:rPr>
        <w:t>المنهجي</w:t>
      </w:r>
      <w:r w:rsidRPr="00904FCB">
        <w:rPr>
          <w:sz w:val="27"/>
          <w:rtl/>
          <w:lang w:bidi="ar-SY"/>
        </w:rPr>
        <w:t xml:space="preserve"> </w:t>
      </w:r>
      <w:r w:rsidRPr="00904FCB">
        <w:rPr>
          <w:rFonts w:hint="cs"/>
          <w:sz w:val="27"/>
          <w:rtl/>
          <w:lang w:bidi="ar-SY"/>
        </w:rPr>
        <w:t>العملي</w:t>
      </w:r>
      <w:r w:rsidRPr="00904FCB">
        <w:rPr>
          <w:sz w:val="27"/>
          <w:rtl/>
          <w:lang w:bidi="ar-SY"/>
        </w:rPr>
        <w:t xml:space="preserve"> </w:t>
      </w:r>
      <w:r w:rsidRPr="00904FCB">
        <w:rPr>
          <w:rFonts w:hint="cs"/>
          <w:sz w:val="27"/>
          <w:rtl/>
          <w:lang w:bidi="ar-SY"/>
        </w:rPr>
        <w:t>بين</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العضوي</w:t>
      </w:r>
      <w:r w:rsidRPr="00904FCB">
        <w:rPr>
          <w:sz w:val="27"/>
          <w:rtl/>
          <w:lang w:bidi="ar-SY"/>
        </w:rPr>
        <w:t xml:space="preserve"> </w:t>
      </w:r>
      <w:r w:rsidRPr="00904FCB">
        <w:rPr>
          <w:rFonts w:hint="cs"/>
          <w:sz w:val="27"/>
          <w:rtl/>
          <w:lang w:bidi="ar-SY"/>
        </w:rPr>
        <w:t>المادي</w:t>
      </w:r>
      <w:r w:rsidRPr="00904FCB">
        <w:rPr>
          <w:sz w:val="27"/>
          <w:rtl/>
          <w:lang w:bidi="ar-SY"/>
        </w:rPr>
        <w:t xml:space="preserve"> (</w:t>
      </w:r>
      <w:r w:rsidRPr="00904FCB">
        <w:rPr>
          <w:rFonts w:hint="cs"/>
          <w:sz w:val="27"/>
          <w:rtl/>
          <w:lang w:bidi="ar-SY"/>
        </w:rPr>
        <w:t>السياسي</w:t>
      </w:r>
      <w:r w:rsidRPr="00904FCB">
        <w:rPr>
          <w:sz w:val="27"/>
          <w:rtl/>
          <w:lang w:bidi="ar-SY"/>
        </w:rPr>
        <w:t xml:space="preserve">) </w:t>
      </w:r>
      <w:r w:rsidRPr="00904FCB">
        <w:rPr>
          <w:rFonts w:hint="cs"/>
          <w:sz w:val="27"/>
          <w:rtl/>
          <w:lang w:bidi="ar-SY"/>
        </w:rPr>
        <w:t>وبين</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الرمزي</w:t>
      </w:r>
      <w:r w:rsidRPr="00904FCB">
        <w:rPr>
          <w:sz w:val="27"/>
          <w:rtl/>
          <w:lang w:bidi="ar-SY"/>
        </w:rPr>
        <w:t xml:space="preserve"> (</w:t>
      </w:r>
      <w:r w:rsidRPr="00904FCB">
        <w:rPr>
          <w:rFonts w:hint="cs"/>
          <w:sz w:val="27"/>
          <w:rtl/>
          <w:lang w:bidi="ar-SY"/>
        </w:rPr>
        <w:t>المعنوي</w:t>
      </w:r>
      <w:r w:rsidRPr="00904FCB">
        <w:rPr>
          <w:sz w:val="27"/>
          <w:rtl/>
          <w:lang w:bidi="ar-SY"/>
        </w:rPr>
        <w:t xml:space="preserve">) </w:t>
      </w:r>
      <w:r w:rsidRPr="00904FCB">
        <w:rPr>
          <w:rFonts w:hint="cs"/>
          <w:sz w:val="27"/>
          <w:rtl/>
          <w:lang w:bidi="ar-SY"/>
        </w:rPr>
        <w:t>الذي</w:t>
      </w:r>
      <w:r w:rsidRPr="00904FCB">
        <w:rPr>
          <w:sz w:val="27"/>
          <w:rtl/>
          <w:lang w:bidi="ar-SY"/>
        </w:rPr>
        <w:t xml:space="preserve"> </w:t>
      </w:r>
      <w:r w:rsidRPr="00904FCB">
        <w:rPr>
          <w:rFonts w:hint="cs"/>
          <w:sz w:val="27"/>
          <w:rtl/>
          <w:lang w:bidi="ar-SY"/>
        </w:rPr>
        <w:t>تمارسه</w:t>
      </w:r>
      <w:r w:rsidRPr="00904FCB">
        <w:rPr>
          <w:sz w:val="27"/>
          <w:rtl/>
          <w:lang w:bidi="ar-SY"/>
        </w:rPr>
        <w:t xml:space="preserve"> </w:t>
      </w:r>
      <w:r w:rsidRPr="00904FCB">
        <w:rPr>
          <w:rFonts w:hint="cs"/>
          <w:sz w:val="27"/>
          <w:rtl/>
          <w:lang w:bidi="ar-SY"/>
        </w:rPr>
        <w:t>الحكومات</w:t>
      </w:r>
      <w:r w:rsidRPr="00904FCB">
        <w:rPr>
          <w:sz w:val="27"/>
          <w:rtl/>
          <w:lang w:bidi="ar-SY"/>
        </w:rPr>
        <w:t xml:space="preserve"> </w:t>
      </w:r>
      <w:r w:rsidRPr="00904FCB">
        <w:rPr>
          <w:rFonts w:hint="cs"/>
          <w:sz w:val="27"/>
          <w:rtl/>
          <w:lang w:bidi="ar-SY"/>
        </w:rPr>
        <w:t>غير</w:t>
      </w:r>
      <w:r w:rsidRPr="00904FCB">
        <w:rPr>
          <w:sz w:val="27"/>
          <w:rtl/>
          <w:lang w:bidi="ar-SY"/>
        </w:rPr>
        <w:t xml:space="preserve"> </w:t>
      </w:r>
      <w:r w:rsidRPr="00904FCB">
        <w:rPr>
          <w:rFonts w:hint="cs"/>
          <w:sz w:val="27"/>
          <w:rtl/>
          <w:lang w:bidi="ar-SY"/>
        </w:rPr>
        <w:t>الشرعية</w:t>
      </w:r>
      <w:r w:rsidRPr="00904FCB">
        <w:rPr>
          <w:sz w:val="27"/>
          <w:rtl/>
          <w:lang w:bidi="ar-SY"/>
        </w:rPr>
        <w:t xml:space="preserve"> </w:t>
      </w:r>
      <w:r w:rsidRPr="00904FCB">
        <w:rPr>
          <w:rFonts w:hint="cs"/>
          <w:sz w:val="27"/>
          <w:rtl/>
          <w:lang w:bidi="ar-SY"/>
        </w:rPr>
        <w:t>بحق</w:t>
      </w:r>
      <w:r w:rsidR="00717285" w:rsidRPr="00904FCB">
        <w:rPr>
          <w:rFonts w:hint="cs"/>
          <w:sz w:val="27"/>
          <w:rtl/>
          <w:lang w:bidi="ar-SY"/>
        </w:rPr>
        <w:t>ّ</w:t>
      </w:r>
      <w:r w:rsidRPr="00904FCB">
        <w:rPr>
          <w:sz w:val="27"/>
          <w:rtl/>
          <w:lang w:bidi="ar-SY"/>
        </w:rPr>
        <w:t xml:space="preserve"> </w:t>
      </w:r>
      <w:r w:rsidRPr="00904FCB">
        <w:rPr>
          <w:rFonts w:hint="cs"/>
          <w:sz w:val="27"/>
          <w:rtl/>
          <w:lang w:bidi="ar-SY"/>
        </w:rPr>
        <w:lastRenderedPageBreak/>
        <w:t>شعوبها، حيث</w:t>
      </w:r>
      <w:r w:rsidRPr="00904FCB">
        <w:rPr>
          <w:sz w:val="27"/>
          <w:rtl/>
          <w:lang w:bidi="ar-SY"/>
        </w:rPr>
        <w:t xml:space="preserve"> </w:t>
      </w:r>
      <w:r w:rsidRPr="00904FCB">
        <w:rPr>
          <w:rFonts w:hint="cs"/>
          <w:sz w:val="27"/>
          <w:rtl/>
        </w:rPr>
        <w:t>درجت</w:t>
      </w:r>
      <w:r w:rsidRPr="00904FCB">
        <w:rPr>
          <w:sz w:val="27"/>
          <w:rtl/>
        </w:rPr>
        <w:t xml:space="preserve"> </w:t>
      </w:r>
      <w:r w:rsidRPr="00904FCB">
        <w:rPr>
          <w:rFonts w:hint="cs"/>
          <w:sz w:val="27"/>
          <w:rtl/>
        </w:rPr>
        <w:t>العادة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الحديث</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عموماً</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تحديد</w:t>
      </w:r>
      <w:r w:rsidRPr="00904FCB">
        <w:rPr>
          <w:sz w:val="27"/>
          <w:rtl/>
        </w:rPr>
        <w:t xml:space="preserve"> </w:t>
      </w:r>
      <w:r w:rsidRPr="00904FCB">
        <w:rPr>
          <w:rFonts w:hint="cs"/>
          <w:sz w:val="27"/>
          <w:rtl/>
        </w:rPr>
        <w:t>آلي</w:t>
      </w:r>
      <w:r w:rsidR="00717285"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الفصل</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النوعين</w:t>
      </w:r>
      <w:r w:rsidR="00717285" w:rsidRPr="00904FCB">
        <w:rPr>
          <w:rFonts w:hint="cs"/>
          <w:sz w:val="27"/>
          <w:rtl/>
        </w:rPr>
        <w:t>،</w:t>
      </w:r>
      <w:r w:rsidRPr="00904FCB">
        <w:rPr>
          <w:sz w:val="27"/>
          <w:rtl/>
        </w:rPr>
        <w:t xml:space="preserve"> </w:t>
      </w:r>
      <w:r w:rsidRPr="00904FCB">
        <w:rPr>
          <w:rFonts w:hint="cs"/>
          <w:sz w:val="27"/>
          <w:rtl/>
        </w:rPr>
        <w:t>باعتبار</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النظام</w:t>
      </w:r>
      <w:r w:rsidRPr="00904FCB">
        <w:rPr>
          <w:sz w:val="27"/>
          <w:rtl/>
        </w:rPr>
        <w:t xml:space="preserve"> </w:t>
      </w:r>
      <w:r w:rsidRPr="00904FCB">
        <w:rPr>
          <w:rFonts w:hint="cs"/>
          <w:sz w:val="27"/>
          <w:rtl/>
        </w:rPr>
        <w:t>المستبد</w:t>
      </w:r>
      <w:r w:rsidR="00717285" w:rsidRPr="00904FCB">
        <w:rPr>
          <w:rFonts w:hint="cs"/>
          <w:sz w:val="27"/>
          <w:rtl/>
        </w:rPr>
        <w:t>ّ</w:t>
      </w:r>
      <w:r w:rsidRPr="00904FCB">
        <w:rPr>
          <w:sz w:val="27"/>
          <w:rtl/>
        </w:rPr>
        <w:t xml:space="preserve"> </w:t>
      </w:r>
      <w:r w:rsidRPr="00904FCB">
        <w:rPr>
          <w:rFonts w:hint="cs"/>
          <w:sz w:val="27"/>
          <w:rtl/>
        </w:rPr>
        <w:t>الشمولي</w:t>
      </w:r>
      <w:r w:rsidRPr="00904FCB">
        <w:rPr>
          <w:sz w:val="27"/>
          <w:rtl/>
        </w:rPr>
        <w:t xml:space="preserve"> </w:t>
      </w:r>
      <w:r w:rsidRPr="00904FCB">
        <w:rPr>
          <w:rFonts w:hint="cs"/>
          <w:sz w:val="27"/>
          <w:rtl/>
        </w:rPr>
        <w:t>المركزي</w:t>
      </w:r>
      <w:r w:rsidRPr="00904FCB">
        <w:rPr>
          <w:sz w:val="27"/>
          <w:rtl/>
        </w:rPr>
        <w:t xml:space="preserve"> </w:t>
      </w:r>
      <w:r w:rsidRPr="00904FCB">
        <w:rPr>
          <w:rFonts w:hint="cs"/>
          <w:sz w:val="27"/>
          <w:rtl/>
        </w:rPr>
        <w:t>يمارس</w:t>
      </w:r>
      <w:r w:rsidRPr="00904FCB">
        <w:rPr>
          <w:sz w:val="27"/>
          <w:rtl/>
        </w:rPr>
        <w:t xml:space="preserve"> </w:t>
      </w:r>
      <w:r w:rsidRPr="00904FCB">
        <w:rPr>
          <w:rFonts w:hint="cs"/>
          <w:sz w:val="27"/>
          <w:rtl/>
        </w:rPr>
        <w:t>الاثنين</w:t>
      </w:r>
      <w:r w:rsidRPr="00904FCB">
        <w:rPr>
          <w:sz w:val="27"/>
          <w:rtl/>
        </w:rPr>
        <w:t xml:space="preserve"> </w:t>
      </w:r>
      <w:r w:rsidRPr="00904FCB">
        <w:rPr>
          <w:rFonts w:hint="cs"/>
          <w:sz w:val="27"/>
          <w:rtl/>
        </w:rPr>
        <w:t>معاً</w:t>
      </w:r>
      <w:r w:rsidRPr="00904FCB">
        <w:rPr>
          <w:sz w:val="27"/>
          <w:rtl/>
        </w:rPr>
        <w:t xml:space="preserve"> (</w:t>
      </w:r>
      <w:r w:rsidRPr="00904FCB">
        <w:rPr>
          <w:rFonts w:hint="cs"/>
          <w:sz w:val="27"/>
          <w:rtl/>
        </w:rPr>
        <w:t>سياسياً</w:t>
      </w:r>
      <w:r w:rsidRPr="00904FCB">
        <w:rPr>
          <w:sz w:val="27"/>
          <w:rtl/>
        </w:rPr>
        <w:t xml:space="preserve"> </w:t>
      </w:r>
      <w:r w:rsidRPr="00904FCB">
        <w:rPr>
          <w:rFonts w:hint="cs"/>
          <w:sz w:val="27"/>
          <w:rtl/>
        </w:rPr>
        <w:t>ونفسياً</w:t>
      </w:r>
      <w:r w:rsidRPr="00904FCB">
        <w:rPr>
          <w:sz w:val="27"/>
          <w:rtl/>
        </w:rPr>
        <w:t xml:space="preserve"> </w:t>
      </w:r>
      <w:r w:rsidRPr="00904FCB">
        <w:rPr>
          <w:rFonts w:hint="cs"/>
          <w:sz w:val="27"/>
          <w:rtl/>
        </w:rPr>
        <w:t>وإعلامياً</w:t>
      </w:r>
      <w:r w:rsidRPr="00904FCB">
        <w:rPr>
          <w:sz w:val="27"/>
          <w:rtl/>
        </w:rPr>
        <w:t>)</w:t>
      </w:r>
      <w:r w:rsidR="00717285"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محددات</w:t>
      </w:r>
      <w:r w:rsidRPr="00904FCB">
        <w:rPr>
          <w:sz w:val="27"/>
          <w:rtl/>
        </w:rPr>
        <w:t xml:space="preserve"> </w:t>
      </w:r>
      <w:r w:rsidRPr="00904FCB">
        <w:rPr>
          <w:rFonts w:hint="cs"/>
          <w:sz w:val="27"/>
          <w:rtl/>
        </w:rPr>
        <w:t>وضوابط</w:t>
      </w:r>
      <w:r w:rsidRPr="00904FCB">
        <w:rPr>
          <w:sz w:val="27"/>
          <w:rtl/>
        </w:rPr>
        <w:t xml:space="preserve"> </w:t>
      </w:r>
      <w:r w:rsidRPr="00904FCB">
        <w:rPr>
          <w:rFonts w:hint="cs"/>
          <w:sz w:val="27"/>
          <w:rtl/>
        </w:rPr>
        <w:t>وآليات</w:t>
      </w:r>
      <w:r w:rsidRPr="00904FCB">
        <w:rPr>
          <w:sz w:val="27"/>
          <w:rtl/>
        </w:rPr>
        <w:t xml:space="preserve"> </w:t>
      </w:r>
      <w:r w:rsidRPr="00904FCB">
        <w:rPr>
          <w:rFonts w:hint="cs"/>
          <w:sz w:val="27"/>
          <w:rtl/>
        </w:rPr>
        <w:t>فاصلة</w:t>
      </w:r>
      <w:r w:rsidR="00717285" w:rsidRPr="00904FCB">
        <w:rPr>
          <w:rFonts w:hint="cs"/>
          <w:sz w:val="27"/>
          <w:rtl/>
        </w:rPr>
        <w:t>.</w:t>
      </w:r>
      <w:r w:rsidRPr="00904FCB">
        <w:rPr>
          <w:rFonts w:hint="cs"/>
          <w:sz w:val="27"/>
          <w:rtl/>
        </w:rPr>
        <w:t xml:space="preserve"> فمثلاً</w:t>
      </w:r>
      <w:r w:rsidR="00717285" w:rsidRPr="00904FCB">
        <w:rPr>
          <w:rFonts w:hint="cs"/>
          <w:sz w:val="27"/>
          <w:rtl/>
        </w:rPr>
        <w:t xml:space="preserve">: </w:t>
      </w:r>
      <w:r w:rsidRPr="00904FCB">
        <w:rPr>
          <w:rFonts w:hint="cs"/>
          <w:sz w:val="27"/>
          <w:rtl/>
        </w:rPr>
        <w:t>نجد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السياسي</w:t>
      </w:r>
      <w:r w:rsidR="00717285" w:rsidRPr="00904FCB">
        <w:rPr>
          <w:rFonts w:hint="cs"/>
          <w:sz w:val="27"/>
          <w:rtl/>
        </w:rPr>
        <w:t>،</w:t>
      </w:r>
      <w:r w:rsidRPr="00904FCB">
        <w:rPr>
          <w:sz w:val="27"/>
          <w:rtl/>
        </w:rPr>
        <w:t xml:space="preserve"> </w:t>
      </w:r>
      <w:r w:rsidRPr="00904FCB">
        <w:rPr>
          <w:rFonts w:hint="cs"/>
          <w:sz w:val="27"/>
          <w:rtl/>
        </w:rPr>
        <w:t>أي</w:t>
      </w:r>
      <w:r w:rsidR="00717285" w:rsidRPr="00904FCB">
        <w:rPr>
          <w:rFonts w:hint="cs"/>
          <w:sz w:val="27"/>
          <w:rtl/>
        </w:rPr>
        <w:t>ّ</w:t>
      </w:r>
      <w:r w:rsidRPr="00904FCB">
        <w:rPr>
          <w:rFonts w:hint="cs"/>
          <w:sz w:val="27"/>
          <w:rtl/>
        </w:rPr>
        <w:t>ا</w:t>
      </w:r>
      <w:r w:rsidR="00717285"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شكله</w:t>
      </w:r>
      <w:r w:rsidRPr="00904FCB">
        <w:rPr>
          <w:sz w:val="27"/>
          <w:rtl/>
        </w:rPr>
        <w:t xml:space="preserve"> </w:t>
      </w:r>
      <w:r w:rsidRPr="00904FCB">
        <w:rPr>
          <w:rFonts w:hint="cs"/>
          <w:sz w:val="27"/>
          <w:rtl/>
        </w:rPr>
        <w:t>ومصدره</w:t>
      </w:r>
      <w:r w:rsidR="00717285" w:rsidRPr="00904FCB">
        <w:rPr>
          <w:rFonts w:hint="cs"/>
          <w:sz w:val="27"/>
          <w:rtl/>
        </w:rPr>
        <w:t>،</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نوع</w:t>
      </w:r>
      <w:r w:rsidR="00717285"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الإرهاب</w:t>
      </w:r>
      <w:r w:rsidRPr="00904FCB">
        <w:rPr>
          <w:sz w:val="27"/>
          <w:rtl/>
        </w:rPr>
        <w:t xml:space="preserve"> </w:t>
      </w:r>
      <w:r w:rsidRPr="00904FCB">
        <w:rPr>
          <w:rFonts w:hint="cs"/>
          <w:sz w:val="27"/>
          <w:rtl/>
        </w:rPr>
        <w:t>الماد</w:t>
      </w:r>
      <w:r w:rsidR="00717285" w:rsidRPr="00904FCB">
        <w:rPr>
          <w:rFonts w:hint="cs"/>
          <w:sz w:val="27"/>
          <w:rtl/>
        </w:rPr>
        <w:t>ّ</w:t>
      </w:r>
      <w:r w:rsidRPr="00904FCB">
        <w:rPr>
          <w:rFonts w:hint="cs"/>
          <w:sz w:val="27"/>
          <w:rtl/>
        </w:rPr>
        <w:t>ي</w:t>
      </w:r>
      <w:r w:rsidRPr="00904FCB">
        <w:rPr>
          <w:sz w:val="27"/>
          <w:rtl/>
        </w:rPr>
        <w:t xml:space="preserve"> </w:t>
      </w:r>
      <w:r w:rsidRPr="00904FCB">
        <w:rPr>
          <w:rFonts w:hint="cs"/>
          <w:sz w:val="27"/>
          <w:rtl/>
        </w:rPr>
        <w:t>العضوي</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تستخدمه</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المستبد</w:t>
      </w:r>
      <w:r w:rsidR="00717285" w:rsidRPr="00904FCB">
        <w:rPr>
          <w:rFonts w:hint="cs"/>
          <w:sz w:val="27"/>
          <w:rtl/>
        </w:rPr>
        <w:t>ّ</w:t>
      </w:r>
      <w:r w:rsidRPr="00904FCB">
        <w:rPr>
          <w:rFonts w:hint="cs"/>
          <w:sz w:val="27"/>
          <w:rtl/>
        </w:rPr>
        <w:t>ة</w:t>
      </w:r>
      <w:r w:rsidRPr="00904FCB">
        <w:rPr>
          <w:sz w:val="27"/>
          <w:rtl/>
        </w:rPr>
        <w:t xml:space="preserve"> </w:t>
      </w:r>
      <w:r w:rsidRPr="00904FCB">
        <w:rPr>
          <w:rFonts w:hint="cs"/>
          <w:sz w:val="27"/>
          <w:rtl/>
        </w:rPr>
        <w:t>بحق</w:t>
      </w:r>
      <w:r w:rsidR="00717285" w:rsidRPr="00904FCB">
        <w:rPr>
          <w:rFonts w:hint="cs"/>
          <w:sz w:val="27"/>
          <w:rtl/>
        </w:rPr>
        <w:t>ّ</w:t>
      </w:r>
      <w:r w:rsidRPr="00904FCB">
        <w:rPr>
          <w:sz w:val="27"/>
          <w:rtl/>
        </w:rPr>
        <w:t xml:space="preserve"> </w:t>
      </w:r>
      <w:r w:rsidRPr="00904FCB">
        <w:rPr>
          <w:rFonts w:hint="cs"/>
          <w:sz w:val="27"/>
          <w:rtl/>
        </w:rPr>
        <w:t>الفرد</w:t>
      </w:r>
      <w:r w:rsidRPr="00904FCB">
        <w:rPr>
          <w:sz w:val="27"/>
          <w:rtl/>
        </w:rPr>
        <w:t xml:space="preserve"> </w:t>
      </w:r>
      <w:r w:rsidRPr="00904FCB">
        <w:rPr>
          <w:rFonts w:hint="cs"/>
          <w:sz w:val="27"/>
          <w:rtl/>
        </w:rPr>
        <w:t>والجماعة</w:t>
      </w:r>
      <w:r w:rsidR="00717285" w:rsidRPr="00904FCB">
        <w:rPr>
          <w:rFonts w:hint="cs"/>
          <w:sz w:val="27"/>
          <w:rtl/>
        </w:rPr>
        <w:t>؛</w:t>
      </w:r>
      <w:r w:rsidRPr="00904FCB">
        <w:rPr>
          <w:sz w:val="27"/>
          <w:rtl/>
        </w:rPr>
        <w:t xml:space="preserve"> </w:t>
      </w:r>
      <w:r w:rsidRPr="00904FCB">
        <w:rPr>
          <w:rFonts w:hint="cs"/>
          <w:sz w:val="27"/>
          <w:rtl/>
        </w:rPr>
        <w:t>بهدف</w:t>
      </w:r>
      <w:r w:rsidRPr="00904FCB">
        <w:rPr>
          <w:sz w:val="27"/>
          <w:rtl/>
        </w:rPr>
        <w:t xml:space="preserve"> </w:t>
      </w:r>
      <w:r w:rsidRPr="00904FCB">
        <w:rPr>
          <w:rFonts w:hint="cs"/>
          <w:sz w:val="27"/>
          <w:rtl/>
        </w:rPr>
        <w:t>تطويعها</w:t>
      </w:r>
      <w:r w:rsidRPr="00904FCB">
        <w:rPr>
          <w:sz w:val="27"/>
          <w:rtl/>
        </w:rPr>
        <w:t xml:space="preserve"> </w:t>
      </w:r>
      <w:r w:rsidRPr="00904FCB">
        <w:rPr>
          <w:rFonts w:hint="cs"/>
          <w:sz w:val="27"/>
          <w:rtl/>
        </w:rPr>
        <w:t>وقسرها</w:t>
      </w:r>
      <w:r w:rsidRPr="00904FCB">
        <w:rPr>
          <w:sz w:val="27"/>
          <w:rtl/>
        </w:rPr>
        <w:t xml:space="preserve"> </w:t>
      </w:r>
      <w:r w:rsidRPr="00904FCB">
        <w:rPr>
          <w:rFonts w:hint="cs"/>
          <w:sz w:val="27"/>
          <w:rtl/>
        </w:rPr>
        <w:t>وكسر</w:t>
      </w:r>
      <w:r w:rsidRPr="00904FCB">
        <w:rPr>
          <w:sz w:val="27"/>
          <w:rtl/>
        </w:rPr>
        <w:t xml:space="preserve"> </w:t>
      </w:r>
      <w:r w:rsidRPr="00904FCB">
        <w:rPr>
          <w:rFonts w:hint="cs"/>
          <w:sz w:val="27"/>
          <w:rtl/>
        </w:rPr>
        <w:t>إرادتها</w:t>
      </w:r>
      <w:r w:rsidRPr="00904FCB">
        <w:rPr>
          <w:sz w:val="27"/>
          <w:rtl/>
        </w:rPr>
        <w:t xml:space="preserve"> </w:t>
      </w:r>
      <w:r w:rsidRPr="00904FCB">
        <w:rPr>
          <w:rFonts w:hint="cs"/>
          <w:sz w:val="27"/>
          <w:rtl/>
        </w:rPr>
        <w:t>المادية</w:t>
      </w:r>
      <w:r w:rsidR="00717285" w:rsidRPr="00904FCB">
        <w:rPr>
          <w:rFonts w:hint="cs"/>
          <w:sz w:val="27"/>
          <w:rtl/>
        </w:rPr>
        <w:t>.</w:t>
      </w:r>
      <w:r w:rsidRPr="00904FCB">
        <w:rPr>
          <w:rFonts w:hint="cs"/>
          <w:sz w:val="27"/>
          <w:rtl/>
        </w:rPr>
        <w:t xml:space="preserve"> وهو</w:t>
      </w:r>
      <w:r w:rsidRPr="00904FCB">
        <w:rPr>
          <w:sz w:val="27"/>
          <w:rtl/>
        </w:rPr>
        <w:t xml:space="preserve"> </w:t>
      </w:r>
      <w:r w:rsidRPr="00904FCB">
        <w:rPr>
          <w:rFonts w:hint="cs"/>
          <w:sz w:val="27"/>
          <w:rtl/>
        </w:rPr>
        <w:t>نوع</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تستخدم</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شت</w:t>
      </w:r>
      <w:r w:rsidR="00717285" w:rsidRPr="00904FCB">
        <w:rPr>
          <w:rFonts w:hint="cs"/>
          <w:sz w:val="27"/>
          <w:rtl/>
        </w:rPr>
        <w:t>ّ</w:t>
      </w:r>
      <w:r w:rsidRPr="00904FCB">
        <w:rPr>
          <w:rFonts w:hint="cs"/>
          <w:sz w:val="27"/>
          <w:rtl/>
        </w:rPr>
        <w:t>ى</w:t>
      </w:r>
      <w:r w:rsidRPr="00904FCB">
        <w:rPr>
          <w:sz w:val="27"/>
          <w:rtl/>
        </w:rPr>
        <w:t xml:space="preserve"> </w:t>
      </w:r>
      <w:r w:rsidRPr="00904FCB">
        <w:rPr>
          <w:rFonts w:hint="cs"/>
          <w:sz w:val="27"/>
          <w:rtl/>
        </w:rPr>
        <w:t>أنواع</w:t>
      </w:r>
      <w:r w:rsidRPr="00904FCB">
        <w:rPr>
          <w:sz w:val="27"/>
          <w:rtl/>
        </w:rPr>
        <w:t xml:space="preserve"> </w:t>
      </w:r>
      <w:r w:rsidRPr="00904FCB">
        <w:rPr>
          <w:rFonts w:hint="cs"/>
          <w:sz w:val="27"/>
          <w:rtl/>
        </w:rPr>
        <w:t>الأدوات</w:t>
      </w:r>
      <w:r w:rsidRPr="00904FCB">
        <w:rPr>
          <w:sz w:val="27"/>
          <w:rtl/>
        </w:rPr>
        <w:t xml:space="preserve"> </w:t>
      </w:r>
      <w:r w:rsidRPr="00904FCB">
        <w:rPr>
          <w:rFonts w:hint="cs"/>
          <w:sz w:val="27"/>
          <w:rtl/>
        </w:rPr>
        <w:t>العنيفة</w:t>
      </w:r>
      <w:r w:rsidR="00717285"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فنون</w:t>
      </w:r>
      <w:r w:rsidRPr="00904FCB">
        <w:rPr>
          <w:sz w:val="27"/>
          <w:rtl/>
        </w:rPr>
        <w:t xml:space="preserve"> </w:t>
      </w:r>
      <w:r w:rsidRPr="00904FCB">
        <w:rPr>
          <w:rFonts w:hint="cs"/>
          <w:sz w:val="27"/>
          <w:rtl/>
        </w:rPr>
        <w:t>التعذيب</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السجون</w:t>
      </w:r>
      <w:r w:rsidRPr="00904FCB">
        <w:rPr>
          <w:sz w:val="27"/>
          <w:rtl/>
        </w:rPr>
        <w:t xml:space="preserve"> </w:t>
      </w:r>
      <w:r w:rsidRPr="00904FCB">
        <w:rPr>
          <w:rFonts w:hint="cs"/>
          <w:sz w:val="27"/>
          <w:rtl/>
        </w:rPr>
        <w:t>والمعتقلات</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تصل</w:t>
      </w:r>
      <w:r w:rsidRPr="00904FCB">
        <w:rPr>
          <w:sz w:val="27"/>
          <w:rtl/>
        </w:rPr>
        <w:t xml:space="preserve"> </w:t>
      </w:r>
      <w:r w:rsidR="00717285" w:rsidRPr="00904FCB">
        <w:rPr>
          <w:rFonts w:hint="cs"/>
          <w:sz w:val="27"/>
          <w:rtl/>
        </w:rPr>
        <w:t xml:space="preserve">إلى </w:t>
      </w:r>
      <w:r w:rsidRPr="00904FCB">
        <w:rPr>
          <w:rFonts w:hint="cs"/>
          <w:sz w:val="27"/>
          <w:rtl/>
        </w:rPr>
        <w:t>حد</w:t>
      </w:r>
      <w:r w:rsidR="00717285" w:rsidRPr="00904FCB">
        <w:rPr>
          <w:rFonts w:hint="cs"/>
          <w:sz w:val="27"/>
          <w:rtl/>
        </w:rPr>
        <w:t>ّ</w:t>
      </w:r>
      <w:r w:rsidRPr="00904FCB">
        <w:rPr>
          <w:sz w:val="27"/>
          <w:rtl/>
        </w:rPr>
        <w:t xml:space="preserve"> </w:t>
      </w:r>
      <w:r w:rsidRPr="00904FCB">
        <w:rPr>
          <w:rFonts w:hint="cs"/>
          <w:sz w:val="27"/>
          <w:rtl/>
        </w:rPr>
        <w:t>التصفية</w:t>
      </w:r>
      <w:r w:rsidRPr="00904FCB">
        <w:rPr>
          <w:sz w:val="27"/>
          <w:rtl/>
        </w:rPr>
        <w:t xml:space="preserve"> </w:t>
      </w:r>
      <w:r w:rsidRPr="00904FCB">
        <w:rPr>
          <w:rFonts w:hint="cs"/>
          <w:sz w:val="27"/>
          <w:rtl/>
        </w:rPr>
        <w:t>والقتل</w:t>
      </w:r>
      <w:r w:rsidRPr="00904FCB">
        <w:rPr>
          <w:sz w:val="27"/>
          <w:rtl/>
        </w:rPr>
        <w:t xml:space="preserve"> </w:t>
      </w:r>
      <w:r w:rsidRPr="00904FCB">
        <w:rPr>
          <w:rFonts w:hint="cs"/>
          <w:sz w:val="27"/>
          <w:rtl/>
        </w:rPr>
        <w:t>بلا</w:t>
      </w:r>
      <w:r w:rsidRPr="00904FCB">
        <w:rPr>
          <w:sz w:val="27"/>
          <w:rtl/>
        </w:rPr>
        <w:t xml:space="preserve"> </w:t>
      </w:r>
      <w:r w:rsidRPr="00904FCB">
        <w:rPr>
          <w:rFonts w:hint="cs"/>
          <w:sz w:val="27"/>
          <w:rtl/>
        </w:rPr>
        <w:t>رادع</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قانون</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مساءلة</w:t>
      </w:r>
      <w:r w:rsidRPr="00904FCB">
        <w:rPr>
          <w:sz w:val="27"/>
          <w:rtl/>
        </w:rPr>
        <w:t xml:space="preserve">. </w:t>
      </w:r>
      <w:r w:rsidRPr="00904FCB">
        <w:rPr>
          <w:rFonts w:hint="cs"/>
          <w:sz w:val="27"/>
          <w:rtl/>
        </w:rPr>
        <w:t>وهذا</w:t>
      </w:r>
      <w:r w:rsidRPr="00904FCB">
        <w:rPr>
          <w:sz w:val="27"/>
          <w:rtl/>
        </w:rPr>
        <w:t xml:space="preserve"> </w:t>
      </w:r>
      <w:r w:rsidRPr="00904FCB">
        <w:rPr>
          <w:rFonts w:hint="cs"/>
          <w:sz w:val="27"/>
          <w:rtl/>
        </w:rPr>
        <w:t>نوع</w:t>
      </w:r>
      <w:r w:rsidR="00717285"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الإرهاب</w:t>
      </w:r>
      <w:r w:rsidRPr="00904FCB">
        <w:rPr>
          <w:sz w:val="27"/>
          <w:rtl/>
        </w:rPr>
        <w:t xml:space="preserve"> </w:t>
      </w:r>
      <w:r w:rsidRPr="00904FCB">
        <w:rPr>
          <w:rFonts w:hint="cs"/>
          <w:sz w:val="27"/>
          <w:rtl/>
        </w:rPr>
        <w:t>والعنف</w:t>
      </w:r>
      <w:r w:rsidRPr="00904FCB">
        <w:rPr>
          <w:sz w:val="27"/>
          <w:rtl/>
        </w:rPr>
        <w:t xml:space="preserve"> </w:t>
      </w:r>
      <w:r w:rsidRPr="00904FCB">
        <w:rPr>
          <w:rFonts w:hint="cs"/>
          <w:sz w:val="27"/>
          <w:rtl/>
        </w:rPr>
        <w:t>الماد</w:t>
      </w:r>
      <w:r w:rsidR="00717285" w:rsidRPr="00904FCB">
        <w:rPr>
          <w:rFonts w:hint="cs"/>
          <w:sz w:val="27"/>
          <w:rtl/>
        </w:rPr>
        <w:t>ّ</w:t>
      </w:r>
      <w:r w:rsidRPr="00904FCB">
        <w:rPr>
          <w:rFonts w:hint="cs"/>
          <w:sz w:val="27"/>
          <w:rtl/>
        </w:rPr>
        <w:t>ي</w:t>
      </w:r>
      <w:r w:rsidRPr="00904FCB">
        <w:rPr>
          <w:sz w:val="27"/>
          <w:rtl/>
        </w:rPr>
        <w:t xml:space="preserve"> </w:t>
      </w:r>
      <w:r w:rsidRPr="00904FCB">
        <w:rPr>
          <w:rFonts w:hint="cs"/>
          <w:sz w:val="27"/>
          <w:rtl/>
        </w:rPr>
        <w:t>يخرج</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القيم</w:t>
      </w:r>
      <w:r w:rsidRPr="00904FCB">
        <w:rPr>
          <w:sz w:val="27"/>
          <w:rtl/>
        </w:rPr>
        <w:t xml:space="preserve"> </w:t>
      </w:r>
      <w:r w:rsidRPr="00904FCB">
        <w:rPr>
          <w:rFonts w:hint="cs"/>
          <w:sz w:val="27"/>
          <w:rtl/>
        </w:rPr>
        <w:t>والمعايير</w:t>
      </w:r>
      <w:r w:rsidRPr="00904FCB">
        <w:rPr>
          <w:sz w:val="27"/>
          <w:rtl/>
        </w:rPr>
        <w:t xml:space="preserve"> </w:t>
      </w:r>
      <w:r w:rsidRPr="00904FCB">
        <w:rPr>
          <w:rFonts w:hint="cs"/>
          <w:sz w:val="27"/>
          <w:rtl/>
        </w:rPr>
        <w:t>الإنسانية</w:t>
      </w:r>
      <w:r w:rsidR="00717285" w:rsidRPr="00904FCB">
        <w:rPr>
          <w:rFonts w:hint="cs"/>
          <w:sz w:val="27"/>
          <w:rtl/>
        </w:rPr>
        <w:t>،</w:t>
      </w:r>
      <w:r w:rsidRPr="00904FCB">
        <w:rPr>
          <w:sz w:val="27"/>
          <w:rtl/>
        </w:rPr>
        <w:t xml:space="preserve"> </w:t>
      </w:r>
      <w:r w:rsidRPr="00904FCB">
        <w:rPr>
          <w:rFonts w:hint="cs"/>
          <w:sz w:val="27"/>
          <w:rtl/>
        </w:rPr>
        <w:t>مثلما</w:t>
      </w:r>
      <w:r w:rsidRPr="00904FCB">
        <w:rPr>
          <w:sz w:val="27"/>
          <w:rtl/>
        </w:rPr>
        <w:t xml:space="preserve"> </w:t>
      </w:r>
      <w:r w:rsidRPr="00904FCB">
        <w:rPr>
          <w:rFonts w:hint="cs"/>
          <w:sz w:val="27"/>
          <w:rtl/>
        </w:rPr>
        <w:t>يخرج</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وسائل</w:t>
      </w:r>
      <w:r w:rsidRPr="00904FCB">
        <w:rPr>
          <w:sz w:val="27"/>
          <w:rtl/>
        </w:rPr>
        <w:t xml:space="preserve"> </w:t>
      </w:r>
      <w:r w:rsidRPr="00904FCB">
        <w:rPr>
          <w:rFonts w:hint="cs"/>
          <w:sz w:val="27"/>
          <w:rtl/>
        </w:rPr>
        <w:t>الضبط</w:t>
      </w:r>
      <w:r w:rsidRPr="00904FCB">
        <w:rPr>
          <w:sz w:val="27"/>
          <w:rtl/>
        </w:rPr>
        <w:t xml:space="preserve"> </w:t>
      </w:r>
      <w:r w:rsidRPr="00904FCB">
        <w:rPr>
          <w:rFonts w:hint="cs"/>
          <w:sz w:val="27"/>
          <w:rtl/>
        </w:rPr>
        <w:t>الاجتماعية، الع</w:t>
      </w:r>
      <w:r w:rsidR="00717285" w:rsidRPr="00904FCB">
        <w:rPr>
          <w:rFonts w:hint="cs"/>
          <w:sz w:val="27"/>
          <w:rtl/>
        </w:rPr>
        <w:t>ُ</w:t>
      </w:r>
      <w:r w:rsidRPr="00904FCB">
        <w:rPr>
          <w:rFonts w:hint="cs"/>
          <w:sz w:val="27"/>
          <w:rtl/>
        </w:rPr>
        <w:t>ر</w:t>
      </w:r>
      <w:r w:rsidR="00717285" w:rsidRPr="00904FCB">
        <w:rPr>
          <w:rFonts w:hint="cs"/>
          <w:sz w:val="27"/>
          <w:rtl/>
        </w:rPr>
        <w:t>ْ</w:t>
      </w:r>
      <w:r w:rsidRPr="00904FCB">
        <w:rPr>
          <w:rFonts w:hint="cs"/>
          <w:sz w:val="27"/>
          <w:rtl/>
        </w:rPr>
        <w:t>فية</w:t>
      </w:r>
      <w:r w:rsidRPr="00904FCB">
        <w:rPr>
          <w:sz w:val="27"/>
          <w:rtl/>
        </w:rPr>
        <w:t xml:space="preserve"> </w:t>
      </w:r>
      <w:r w:rsidRPr="00904FCB">
        <w:rPr>
          <w:rFonts w:hint="cs"/>
          <w:sz w:val="27"/>
          <w:rtl/>
        </w:rPr>
        <w:t>والوضعية</w:t>
      </w:r>
      <w:r w:rsidR="00717285" w:rsidRPr="00904FCB">
        <w:rPr>
          <w:rFonts w:hint="cs"/>
          <w:sz w:val="27"/>
          <w:rtl/>
        </w:rPr>
        <w:t>؛</w:t>
      </w:r>
      <w:r w:rsidRPr="00904FCB">
        <w:rPr>
          <w:rFonts w:hint="cs"/>
          <w:sz w:val="27"/>
          <w:rtl/>
        </w:rPr>
        <w:t xml:space="preserve"> لأنه</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مشروع</w:t>
      </w:r>
      <w:r w:rsidR="00717285" w:rsidRPr="00904FCB">
        <w:rPr>
          <w:rFonts w:hint="cs"/>
          <w:sz w:val="27"/>
          <w:rtl/>
        </w:rPr>
        <w:t>،</w:t>
      </w:r>
      <w:r w:rsidRPr="00904FCB">
        <w:rPr>
          <w:sz w:val="27"/>
          <w:rtl/>
        </w:rPr>
        <w:t xml:space="preserve"> </w:t>
      </w:r>
      <w:r w:rsidRPr="00904FCB">
        <w:rPr>
          <w:rFonts w:hint="cs"/>
          <w:sz w:val="27"/>
          <w:rtl/>
        </w:rPr>
        <w:t>ويهدف</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التخل</w:t>
      </w:r>
      <w:r w:rsidR="00717285" w:rsidRPr="00904FCB">
        <w:rPr>
          <w:rFonts w:hint="cs"/>
          <w:sz w:val="27"/>
          <w:rtl/>
        </w:rPr>
        <w:t>ُّ</w:t>
      </w:r>
      <w:r w:rsidRPr="00904FCB">
        <w:rPr>
          <w:rFonts w:hint="cs"/>
          <w:sz w:val="27"/>
          <w:rtl/>
        </w:rPr>
        <w:t>ص</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الطرف</w:t>
      </w:r>
      <w:r w:rsidRPr="00904FCB">
        <w:rPr>
          <w:sz w:val="27"/>
          <w:rtl/>
        </w:rPr>
        <w:t xml:space="preserve"> </w:t>
      </w:r>
      <w:r w:rsidRPr="00904FCB">
        <w:rPr>
          <w:rFonts w:hint="cs"/>
          <w:sz w:val="27"/>
          <w:rtl/>
        </w:rPr>
        <w:t>المقابل</w:t>
      </w:r>
      <w:r w:rsidRPr="00904FCB">
        <w:rPr>
          <w:sz w:val="27"/>
          <w:rtl/>
        </w:rPr>
        <w:t xml:space="preserve"> </w:t>
      </w:r>
      <w:r w:rsidRPr="00904FCB">
        <w:rPr>
          <w:rFonts w:hint="cs"/>
          <w:sz w:val="27"/>
          <w:rtl/>
        </w:rPr>
        <w:t>باستخدام</w:t>
      </w:r>
      <w:r w:rsidRPr="00904FCB">
        <w:rPr>
          <w:sz w:val="27"/>
          <w:rtl/>
        </w:rPr>
        <w:t xml:space="preserve"> </w:t>
      </w:r>
      <w:r w:rsidRPr="00904FCB">
        <w:rPr>
          <w:rFonts w:hint="cs"/>
          <w:sz w:val="27"/>
          <w:rtl/>
        </w:rPr>
        <w:t>جميع</w:t>
      </w:r>
      <w:r w:rsidRPr="00904FCB">
        <w:rPr>
          <w:sz w:val="27"/>
          <w:rtl/>
        </w:rPr>
        <w:t xml:space="preserve"> </w:t>
      </w:r>
      <w:r w:rsidRPr="00904FCB">
        <w:rPr>
          <w:rFonts w:hint="cs"/>
          <w:sz w:val="27"/>
          <w:rtl/>
        </w:rPr>
        <w:t>أدوات</w:t>
      </w:r>
      <w:r w:rsidRPr="00904FCB">
        <w:rPr>
          <w:sz w:val="27"/>
          <w:rtl/>
        </w:rPr>
        <w:t xml:space="preserve"> </w:t>
      </w:r>
      <w:r w:rsidRPr="00904FCB">
        <w:rPr>
          <w:rFonts w:hint="cs"/>
          <w:sz w:val="27"/>
          <w:rtl/>
        </w:rPr>
        <w:t>الإبادة</w:t>
      </w:r>
      <w:r w:rsidRPr="00904FCB">
        <w:rPr>
          <w:sz w:val="27"/>
          <w:rtl/>
        </w:rPr>
        <w:t xml:space="preserve"> </w:t>
      </w:r>
      <w:r w:rsidRPr="00904FCB">
        <w:rPr>
          <w:rFonts w:hint="cs"/>
          <w:sz w:val="27"/>
          <w:rtl/>
        </w:rPr>
        <w:t>والتدمير</w:t>
      </w:r>
      <w:r w:rsidRPr="00904FCB">
        <w:rPr>
          <w:sz w:val="27"/>
          <w:rtl/>
        </w:rPr>
        <w:t xml:space="preserve">. </w:t>
      </w:r>
      <w:r w:rsidRPr="00904FCB">
        <w:rPr>
          <w:rFonts w:hint="cs"/>
          <w:sz w:val="27"/>
          <w:rtl/>
        </w:rPr>
        <w:t>وهناك</w:t>
      </w:r>
      <w:r w:rsidRPr="00904FCB">
        <w:rPr>
          <w:sz w:val="27"/>
          <w:rtl/>
        </w:rPr>
        <w:t xml:space="preserve"> </w:t>
      </w:r>
      <w:r w:rsidRPr="00904FCB">
        <w:rPr>
          <w:rFonts w:hint="cs"/>
          <w:sz w:val="27"/>
          <w:rtl/>
        </w:rPr>
        <w:t>جملة</w:t>
      </w:r>
      <w:r w:rsidR="00717285"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الأسباب</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تدفع</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نشوء</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سنفص</w:t>
      </w:r>
      <w:r w:rsidR="00717285" w:rsidRPr="00904FCB">
        <w:rPr>
          <w:rFonts w:hint="cs"/>
          <w:sz w:val="27"/>
          <w:rtl/>
        </w:rPr>
        <w:t>ِّ</w:t>
      </w:r>
      <w:r w:rsidRPr="00904FCB">
        <w:rPr>
          <w:rFonts w:hint="cs"/>
          <w:sz w:val="27"/>
          <w:rtl/>
        </w:rPr>
        <w:t>ل</w:t>
      </w:r>
      <w:r w:rsidRPr="00904FCB">
        <w:rPr>
          <w:sz w:val="27"/>
          <w:rtl/>
        </w:rPr>
        <w:t xml:space="preserve"> </w:t>
      </w:r>
      <w:r w:rsidRPr="00904FCB">
        <w:rPr>
          <w:rFonts w:hint="cs"/>
          <w:sz w:val="27"/>
          <w:rtl/>
        </w:rPr>
        <w:t>الحديث</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لاحقاً، وهي</w:t>
      </w:r>
      <w:r w:rsidRPr="00904FCB">
        <w:rPr>
          <w:sz w:val="27"/>
          <w:rtl/>
        </w:rPr>
        <w:t xml:space="preserve"> </w:t>
      </w:r>
      <w:r w:rsidRPr="00904FCB">
        <w:rPr>
          <w:rFonts w:hint="cs"/>
          <w:sz w:val="27"/>
          <w:rtl/>
        </w:rPr>
        <w:t>تتمحور</w:t>
      </w:r>
      <w:r w:rsidRPr="00904FCB">
        <w:rPr>
          <w:sz w:val="27"/>
          <w:rtl/>
        </w:rPr>
        <w:t xml:space="preserve"> </w:t>
      </w:r>
      <w:r w:rsidRPr="00904FCB">
        <w:rPr>
          <w:rFonts w:hint="cs"/>
          <w:sz w:val="27"/>
          <w:rtl/>
        </w:rPr>
        <w:t>حول</w:t>
      </w:r>
      <w:r w:rsidRPr="00904FCB">
        <w:rPr>
          <w:sz w:val="27"/>
          <w:rtl/>
        </w:rPr>
        <w:t xml:space="preserve"> </w:t>
      </w:r>
      <w:r w:rsidRPr="00904FCB">
        <w:rPr>
          <w:rFonts w:hint="cs"/>
          <w:sz w:val="27"/>
          <w:rtl/>
        </w:rPr>
        <w:t>هيمنة</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الاحتقان</w:t>
      </w:r>
      <w:r w:rsidRPr="00904FCB">
        <w:rPr>
          <w:sz w:val="27"/>
          <w:rtl/>
        </w:rPr>
        <w:t xml:space="preserve"> </w:t>
      </w:r>
      <w:r w:rsidRPr="00904FCB">
        <w:rPr>
          <w:rFonts w:hint="cs"/>
          <w:sz w:val="27"/>
          <w:rtl/>
        </w:rPr>
        <w:t>والشعور</w:t>
      </w:r>
      <w:r w:rsidRPr="00904FCB">
        <w:rPr>
          <w:sz w:val="27"/>
          <w:rtl/>
        </w:rPr>
        <w:t xml:space="preserve"> </w:t>
      </w:r>
      <w:r w:rsidRPr="00904FCB">
        <w:rPr>
          <w:rFonts w:hint="cs"/>
          <w:sz w:val="27"/>
          <w:rtl/>
        </w:rPr>
        <w:t>بالإحباط</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الناس</w:t>
      </w:r>
      <w:r w:rsidR="00717285" w:rsidRPr="00904FCB">
        <w:rPr>
          <w:rFonts w:hint="cs"/>
          <w:sz w:val="27"/>
          <w:rtl/>
        </w:rPr>
        <w:t>؛</w:t>
      </w:r>
      <w:r w:rsidRPr="00904FCB">
        <w:rPr>
          <w:sz w:val="27"/>
          <w:rtl/>
        </w:rPr>
        <w:t xml:space="preserve"> </w:t>
      </w:r>
      <w:r w:rsidRPr="00904FCB">
        <w:rPr>
          <w:rFonts w:hint="cs"/>
          <w:sz w:val="27"/>
          <w:rtl/>
        </w:rPr>
        <w:t>نتيجة</w:t>
      </w:r>
      <w:r w:rsidRPr="00904FCB">
        <w:rPr>
          <w:sz w:val="27"/>
          <w:rtl/>
        </w:rPr>
        <w:t xml:space="preserve"> </w:t>
      </w:r>
      <w:r w:rsidRPr="00904FCB">
        <w:rPr>
          <w:rFonts w:hint="cs"/>
          <w:sz w:val="27"/>
          <w:rtl/>
        </w:rPr>
        <w:t>الصدمة</w:t>
      </w:r>
      <w:r w:rsidRPr="00904FCB">
        <w:rPr>
          <w:sz w:val="27"/>
          <w:rtl/>
        </w:rPr>
        <w:t xml:space="preserve"> </w:t>
      </w:r>
      <w:r w:rsidRPr="00904FCB">
        <w:rPr>
          <w:rFonts w:hint="cs"/>
          <w:sz w:val="27"/>
          <w:rtl/>
        </w:rPr>
        <w:t>بعدم</w:t>
      </w:r>
      <w:r w:rsidRPr="00904FCB">
        <w:rPr>
          <w:sz w:val="27"/>
          <w:rtl/>
        </w:rPr>
        <w:t xml:space="preserve"> </w:t>
      </w:r>
      <w:r w:rsidRPr="00904FCB">
        <w:rPr>
          <w:rFonts w:hint="cs"/>
          <w:sz w:val="27"/>
          <w:rtl/>
        </w:rPr>
        <w:t>تحقيق</w:t>
      </w:r>
      <w:r w:rsidRPr="00904FCB">
        <w:rPr>
          <w:sz w:val="27"/>
          <w:rtl/>
        </w:rPr>
        <w:t xml:space="preserve"> </w:t>
      </w:r>
      <w:r w:rsidRPr="00904FCB">
        <w:rPr>
          <w:rFonts w:hint="cs"/>
          <w:sz w:val="27"/>
          <w:rtl/>
        </w:rPr>
        <w:t>الآمال</w:t>
      </w:r>
      <w:r w:rsidRPr="00904FCB">
        <w:rPr>
          <w:sz w:val="27"/>
          <w:rtl/>
        </w:rPr>
        <w:t xml:space="preserve"> </w:t>
      </w:r>
      <w:r w:rsidRPr="00904FCB">
        <w:rPr>
          <w:rFonts w:hint="cs"/>
          <w:sz w:val="27"/>
          <w:rtl/>
        </w:rPr>
        <w:t>والتطل</w:t>
      </w:r>
      <w:r w:rsidR="00717285" w:rsidRPr="00904FCB">
        <w:rPr>
          <w:rFonts w:hint="cs"/>
          <w:sz w:val="27"/>
          <w:rtl/>
        </w:rPr>
        <w:t>ُّ</w:t>
      </w:r>
      <w:r w:rsidRPr="00904FCB">
        <w:rPr>
          <w:rFonts w:hint="cs"/>
          <w:sz w:val="27"/>
          <w:rtl/>
        </w:rPr>
        <w:t>عات</w:t>
      </w:r>
      <w:r w:rsidRPr="00904FCB">
        <w:rPr>
          <w:sz w:val="27"/>
          <w:rtl/>
        </w:rPr>
        <w:t xml:space="preserve"> </w:t>
      </w:r>
      <w:r w:rsidRPr="00904FCB">
        <w:rPr>
          <w:rFonts w:hint="cs"/>
          <w:sz w:val="27"/>
          <w:rtl/>
        </w:rPr>
        <w:t>والأهداف</w:t>
      </w:r>
      <w:r w:rsidRPr="00904FCB">
        <w:rPr>
          <w:sz w:val="27"/>
          <w:rtl/>
        </w:rPr>
        <w:t xml:space="preserve"> </w:t>
      </w:r>
      <w:r w:rsidRPr="00904FCB">
        <w:rPr>
          <w:rFonts w:hint="cs"/>
          <w:sz w:val="27"/>
          <w:rtl/>
        </w:rPr>
        <w:t>الكبرى</w:t>
      </w:r>
      <w:r w:rsidRPr="00904FCB">
        <w:rPr>
          <w:sz w:val="27"/>
          <w:rtl/>
        </w:rPr>
        <w:t xml:space="preserve"> </w:t>
      </w:r>
      <w:r w:rsidRPr="00904FCB">
        <w:rPr>
          <w:rFonts w:hint="cs"/>
          <w:sz w:val="27"/>
          <w:rtl/>
        </w:rPr>
        <w:t>والصغرى</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دفع</w:t>
      </w:r>
      <w:r w:rsidRPr="00904FCB">
        <w:rPr>
          <w:sz w:val="27"/>
          <w:rtl/>
        </w:rPr>
        <w:t xml:space="preserve"> </w:t>
      </w:r>
      <w:r w:rsidRPr="00904FCB">
        <w:rPr>
          <w:rFonts w:hint="cs"/>
          <w:sz w:val="27"/>
          <w:rtl/>
        </w:rPr>
        <w:t>الناس</w:t>
      </w:r>
      <w:r w:rsidRPr="00904FCB">
        <w:rPr>
          <w:sz w:val="27"/>
          <w:rtl/>
        </w:rPr>
        <w:t xml:space="preserve"> </w:t>
      </w:r>
      <w:r w:rsidRPr="00904FCB">
        <w:rPr>
          <w:rFonts w:hint="cs"/>
          <w:sz w:val="27"/>
          <w:rtl/>
        </w:rPr>
        <w:t>الأثمان</w:t>
      </w:r>
      <w:r w:rsidRPr="00904FCB">
        <w:rPr>
          <w:sz w:val="27"/>
          <w:rtl/>
        </w:rPr>
        <w:t xml:space="preserve"> </w:t>
      </w:r>
      <w:r w:rsidRPr="00904FCB">
        <w:rPr>
          <w:rFonts w:hint="cs"/>
          <w:sz w:val="27"/>
          <w:rtl/>
        </w:rPr>
        <w:t>الباهظة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سبيلها، وكذلك</w:t>
      </w:r>
      <w:r w:rsidRPr="00904FCB">
        <w:rPr>
          <w:sz w:val="27"/>
          <w:rtl/>
        </w:rPr>
        <w:t xml:space="preserve"> </w:t>
      </w:r>
      <w:r w:rsidRPr="00904FCB">
        <w:rPr>
          <w:rFonts w:hint="cs"/>
          <w:sz w:val="27"/>
          <w:rtl/>
        </w:rPr>
        <w:t>التناقضات</w:t>
      </w:r>
      <w:r w:rsidRPr="00904FCB">
        <w:rPr>
          <w:sz w:val="27"/>
          <w:rtl/>
        </w:rPr>
        <w:t xml:space="preserve"> </w:t>
      </w:r>
      <w:r w:rsidRPr="00904FCB">
        <w:rPr>
          <w:rFonts w:hint="cs"/>
          <w:sz w:val="27"/>
          <w:rtl/>
        </w:rPr>
        <w:t>والصراعات</w:t>
      </w:r>
      <w:r w:rsidRPr="00904FCB">
        <w:rPr>
          <w:sz w:val="27"/>
          <w:rtl/>
        </w:rPr>
        <w:t xml:space="preserve"> </w:t>
      </w:r>
      <w:r w:rsidRPr="00904FCB">
        <w:rPr>
          <w:rFonts w:hint="cs"/>
          <w:sz w:val="27"/>
          <w:rtl/>
        </w:rPr>
        <w:t>الاجتماعية</w:t>
      </w:r>
      <w:r w:rsidR="00717285" w:rsidRPr="00904FCB">
        <w:rPr>
          <w:rFonts w:hint="cs"/>
          <w:sz w:val="27"/>
          <w:rtl/>
        </w:rPr>
        <w:t>،</w:t>
      </w:r>
      <w:r w:rsidRPr="00904FCB">
        <w:rPr>
          <w:sz w:val="27"/>
          <w:rtl/>
        </w:rPr>
        <w:t xml:space="preserve"> </w:t>
      </w:r>
      <w:r w:rsidRPr="00904FCB">
        <w:rPr>
          <w:rFonts w:hint="cs"/>
          <w:sz w:val="27"/>
          <w:rtl/>
        </w:rPr>
        <w:t>واستبداد</w:t>
      </w:r>
      <w:r w:rsidRPr="00904FCB">
        <w:rPr>
          <w:sz w:val="27"/>
          <w:rtl/>
        </w:rPr>
        <w:t xml:space="preserve"> </w:t>
      </w:r>
      <w:r w:rsidRPr="00904FCB">
        <w:rPr>
          <w:rFonts w:hint="cs"/>
          <w:sz w:val="27"/>
          <w:rtl/>
        </w:rPr>
        <w:t>السلطات</w:t>
      </w:r>
      <w:r w:rsidR="00717285" w:rsidRPr="00904FCB">
        <w:rPr>
          <w:rFonts w:hint="cs"/>
          <w:sz w:val="27"/>
          <w:rtl/>
        </w:rPr>
        <w:t xml:space="preserve">، </w:t>
      </w:r>
      <w:r w:rsidRPr="00904FCB">
        <w:rPr>
          <w:rFonts w:hint="cs"/>
          <w:sz w:val="27"/>
          <w:rtl/>
        </w:rPr>
        <w:t>والقمع</w:t>
      </w:r>
      <w:r w:rsidRPr="00904FCB">
        <w:rPr>
          <w:sz w:val="27"/>
          <w:rtl/>
        </w:rPr>
        <w:t xml:space="preserve"> </w:t>
      </w:r>
      <w:r w:rsidRPr="00904FCB">
        <w:rPr>
          <w:rFonts w:hint="cs"/>
          <w:sz w:val="27"/>
          <w:rtl/>
        </w:rPr>
        <w:t>المفرط</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العقاب</w:t>
      </w:r>
      <w:r w:rsidR="00717285" w:rsidRPr="00904FCB">
        <w:rPr>
          <w:rFonts w:hint="cs"/>
          <w:sz w:val="27"/>
          <w:rtl/>
        </w:rPr>
        <w:t>،</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الرجوع</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الأسباب</w:t>
      </w:r>
      <w:r w:rsidRPr="00904FCB">
        <w:rPr>
          <w:sz w:val="27"/>
          <w:rtl/>
        </w:rPr>
        <w:t xml:space="preserve"> </w:t>
      </w:r>
      <w:r w:rsidRPr="00904FCB">
        <w:rPr>
          <w:rFonts w:hint="cs"/>
          <w:sz w:val="27"/>
          <w:rtl/>
        </w:rPr>
        <w:t>الحقيقية</w:t>
      </w:r>
      <w:r w:rsidRPr="00904FCB">
        <w:rPr>
          <w:sz w:val="27"/>
          <w:rtl/>
        </w:rPr>
        <w:t xml:space="preserve"> </w:t>
      </w:r>
      <w:r w:rsidRPr="00904FCB">
        <w:rPr>
          <w:rFonts w:hint="cs"/>
          <w:sz w:val="27"/>
          <w:rtl/>
        </w:rPr>
        <w:t>والكامنة</w:t>
      </w:r>
      <w:r w:rsidRPr="00904FCB">
        <w:rPr>
          <w:sz w:val="27"/>
          <w:rtl/>
        </w:rPr>
        <w:t xml:space="preserve"> </w:t>
      </w:r>
      <w:r w:rsidRPr="00904FCB">
        <w:rPr>
          <w:rFonts w:hint="cs"/>
          <w:sz w:val="27"/>
          <w:rtl/>
        </w:rPr>
        <w:t>وراء</w:t>
      </w:r>
      <w:r w:rsidRPr="00904FCB">
        <w:rPr>
          <w:sz w:val="27"/>
          <w:rtl/>
        </w:rPr>
        <w:t xml:space="preserve"> </w:t>
      </w:r>
      <w:r w:rsidRPr="00904FCB">
        <w:rPr>
          <w:rFonts w:hint="cs"/>
          <w:sz w:val="27"/>
          <w:rtl/>
        </w:rPr>
        <w:t>فعل</w:t>
      </w:r>
      <w:r w:rsidRPr="00904FCB">
        <w:rPr>
          <w:sz w:val="27"/>
          <w:rtl/>
        </w:rPr>
        <w:t xml:space="preserve"> </w:t>
      </w:r>
      <w:r w:rsidRPr="00904FCB">
        <w:rPr>
          <w:rFonts w:hint="cs"/>
          <w:sz w:val="27"/>
          <w:rtl/>
        </w:rPr>
        <w:t>العنف، والتي</w:t>
      </w:r>
      <w:r w:rsidRPr="00904FCB">
        <w:rPr>
          <w:sz w:val="27"/>
          <w:rtl/>
        </w:rPr>
        <w:t xml:space="preserve"> </w:t>
      </w:r>
      <w:r w:rsidRPr="00904FCB">
        <w:rPr>
          <w:rFonts w:hint="cs"/>
          <w:sz w:val="27"/>
          <w:rtl/>
        </w:rPr>
        <w:t>تنشأ</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ممارسة</w:t>
      </w:r>
      <w:r w:rsidRPr="00904FCB">
        <w:rPr>
          <w:sz w:val="27"/>
          <w:rtl/>
        </w:rPr>
        <w:t xml:space="preserve"> </w:t>
      </w:r>
      <w:r w:rsidRPr="00904FCB">
        <w:rPr>
          <w:rFonts w:hint="cs"/>
          <w:sz w:val="27"/>
          <w:rtl/>
        </w:rPr>
        <w:t>الديمقراطية</w:t>
      </w:r>
      <w:r w:rsidRPr="00904FCB">
        <w:rPr>
          <w:sz w:val="27"/>
          <w:rtl/>
        </w:rPr>
        <w:t xml:space="preserve"> </w:t>
      </w:r>
      <w:r w:rsidRPr="00904FCB">
        <w:rPr>
          <w:rFonts w:hint="cs"/>
          <w:sz w:val="27"/>
          <w:rtl/>
        </w:rPr>
        <w:t>والتعد</w:t>
      </w:r>
      <w:r w:rsidR="00717285" w:rsidRPr="00904FCB">
        <w:rPr>
          <w:rFonts w:hint="cs"/>
          <w:sz w:val="27"/>
          <w:rtl/>
        </w:rPr>
        <w:t>ُّ</w:t>
      </w:r>
      <w:r w:rsidRPr="00904FCB">
        <w:rPr>
          <w:rFonts w:hint="cs"/>
          <w:sz w:val="27"/>
          <w:rtl/>
        </w:rPr>
        <w:t>دية</w:t>
      </w:r>
      <w:r w:rsidRPr="00904FCB">
        <w:rPr>
          <w:sz w:val="27"/>
          <w:rtl/>
        </w:rPr>
        <w:t xml:space="preserve"> </w:t>
      </w:r>
      <w:r w:rsidRPr="00904FCB">
        <w:rPr>
          <w:rFonts w:hint="cs"/>
          <w:sz w:val="27"/>
          <w:rtl/>
        </w:rPr>
        <w:t>واحترام</w:t>
      </w:r>
      <w:r w:rsidRPr="00904FCB">
        <w:rPr>
          <w:sz w:val="27"/>
          <w:rtl/>
        </w:rPr>
        <w:t xml:space="preserve"> </w:t>
      </w:r>
      <w:r w:rsidRPr="00904FCB">
        <w:rPr>
          <w:rFonts w:hint="cs"/>
          <w:sz w:val="27"/>
          <w:rtl/>
        </w:rPr>
        <w:t>الرأي</w:t>
      </w:r>
      <w:r w:rsidRPr="00904FCB">
        <w:rPr>
          <w:sz w:val="27"/>
          <w:rtl/>
        </w:rPr>
        <w:t xml:space="preserve"> </w:t>
      </w:r>
      <w:r w:rsidRPr="00904FCB">
        <w:rPr>
          <w:rFonts w:hint="cs"/>
          <w:sz w:val="27"/>
          <w:rtl/>
        </w:rPr>
        <w:t>الآخر</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أما</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الرمزي</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قامت</w:t>
      </w:r>
      <w:r w:rsidRPr="00904FCB">
        <w:rPr>
          <w:sz w:val="27"/>
          <w:rtl/>
        </w:rPr>
        <w:t xml:space="preserve"> </w:t>
      </w:r>
      <w:r w:rsidRPr="00904FCB">
        <w:rPr>
          <w:rFonts w:hint="cs"/>
          <w:sz w:val="27"/>
          <w:rtl/>
        </w:rPr>
        <w:t>وتقوم</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النخب</w:t>
      </w:r>
      <w:r w:rsidRPr="00904FCB">
        <w:rPr>
          <w:sz w:val="27"/>
          <w:rtl/>
        </w:rPr>
        <w:t xml:space="preserve"> </w:t>
      </w:r>
      <w:r w:rsidRPr="00904FCB">
        <w:rPr>
          <w:rFonts w:hint="cs"/>
          <w:sz w:val="27"/>
          <w:rtl/>
        </w:rPr>
        <w:t>والنظم</w:t>
      </w:r>
      <w:r w:rsidRPr="00904FCB">
        <w:rPr>
          <w:sz w:val="27"/>
          <w:rtl/>
        </w:rPr>
        <w:t xml:space="preserve"> </w:t>
      </w:r>
      <w:r w:rsidRPr="00904FCB">
        <w:rPr>
          <w:rFonts w:hint="cs"/>
          <w:sz w:val="27"/>
          <w:rtl/>
        </w:rPr>
        <w:t>ومختلف</w:t>
      </w:r>
      <w:r w:rsidRPr="00904FCB">
        <w:rPr>
          <w:sz w:val="27"/>
          <w:rtl/>
        </w:rPr>
        <w:t xml:space="preserve"> </w:t>
      </w:r>
      <w:r w:rsidRPr="00904FCB">
        <w:rPr>
          <w:rFonts w:hint="cs"/>
          <w:sz w:val="27"/>
          <w:rtl/>
        </w:rPr>
        <w:t>الجماعات</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الحاكمة</w:t>
      </w:r>
      <w:r w:rsidRPr="00904FCB">
        <w:rPr>
          <w:sz w:val="27"/>
          <w:rtl/>
        </w:rPr>
        <w:t xml:space="preserve"> </w:t>
      </w:r>
      <w:r w:rsidRPr="00904FCB">
        <w:rPr>
          <w:rFonts w:hint="cs"/>
          <w:sz w:val="27"/>
          <w:rtl/>
        </w:rPr>
        <w:t>فله</w:t>
      </w:r>
      <w:r w:rsidRPr="00904FCB">
        <w:rPr>
          <w:sz w:val="27"/>
          <w:rtl/>
        </w:rPr>
        <w:t xml:space="preserve"> </w:t>
      </w:r>
      <w:r w:rsidRPr="00904FCB">
        <w:rPr>
          <w:rFonts w:hint="cs"/>
          <w:sz w:val="27"/>
          <w:rtl/>
        </w:rPr>
        <w:t>جذور</w:t>
      </w:r>
      <w:r w:rsidR="000D4EDE" w:rsidRPr="00904FCB">
        <w:rPr>
          <w:rFonts w:hint="cs"/>
          <w:sz w:val="27"/>
          <w:rtl/>
        </w:rPr>
        <w:t>ٌ</w:t>
      </w:r>
      <w:r w:rsidRPr="00904FCB">
        <w:rPr>
          <w:sz w:val="27"/>
          <w:rtl/>
        </w:rPr>
        <w:t xml:space="preserve"> </w:t>
      </w:r>
      <w:r w:rsidRPr="00904FCB">
        <w:rPr>
          <w:rFonts w:hint="cs"/>
          <w:sz w:val="27"/>
          <w:rtl/>
        </w:rPr>
        <w:t>مجتمعية</w:t>
      </w:r>
      <w:r w:rsidR="000D4EDE" w:rsidRPr="00904FCB">
        <w:rPr>
          <w:rFonts w:hint="cs"/>
          <w:sz w:val="27"/>
          <w:rtl/>
        </w:rPr>
        <w:t>،</w:t>
      </w:r>
      <w:r w:rsidRPr="00904FCB">
        <w:rPr>
          <w:sz w:val="27"/>
          <w:rtl/>
        </w:rPr>
        <w:t xml:space="preserve"> </w:t>
      </w:r>
      <w:r w:rsidRPr="00904FCB">
        <w:rPr>
          <w:rFonts w:hint="cs"/>
          <w:sz w:val="27"/>
          <w:rtl/>
        </w:rPr>
        <w:t>يمارسها</w:t>
      </w:r>
      <w:r w:rsidRPr="00904FCB">
        <w:rPr>
          <w:sz w:val="27"/>
          <w:rtl/>
        </w:rPr>
        <w:t xml:space="preserve"> </w:t>
      </w:r>
      <w:r w:rsidRPr="00904FCB">
        <w:rPr>
          <w:rFonts w:hint="cs"/>
          <w:sz w:val="27"/>
          <w:rtl/>
        </w:rPr>
        <w:t>الأفراد</w:t>
      </w:r>
      <w:r w:rsidRPr="00904FCB">
        <w:rPr>
          <w:sz w:val="27"/>
          <w:rtl/>
        </w:rPr>
        <w:t xml:space="preserve"> </w:t>
      </w:r>
      <w:r w:rsidRPr="00904FCB">
        <w:rPr>
          <w:rFonts w:hint="cs"/>
          <w:sz w:val="27"/>
          <w:rtl/>
        </w:rPr>
        <w:t>بوعي</w:t>
      </w:r>
      <w:r w:rsidR="000D4EDE"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بدون</w:t>
      </w:r>
      <w:r w:rsidRPr="00904FCB">
        <w:rPr>
          <w:sz w:val="27"/>
          <w:rtl/>
        </w:rPr>
        <w:t xml:space="preserve"> </w:t>
      </w:r>
      <w:r w:rsidRPr="00904FCB">
        <w:rPr>
          <w:rFonts w:hint="cs"/>
          <w:sz w:val="27"/>
          <w:rtl/>
        </w:rPr>
        <w:t>وعي</w:t>
      </w:r>
      <w:r w:rsidRPr="00904FCB">
        <w:rPr>
          <w:sz w:val="27"/>
          <w:rtl/>
        </w:rPr>
        <w:t xml:space="preserve"> </w:t>
      </w:r>
      <w:r w:rsidRPr="00904FCB">
        <w:rPr>
          <w:rFonts w:hint="cs"/>
          <w:sz w:val="27"/>
          <w:rtl/>
        </w:rPr>
        <w:t>منهم</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يطلق</w:t>
      </w:r>
      <w:r w:rsidRPr="00904FCB">
        <w:rPr>
          <w:sz w:val="27"/>
          <w:rtl/>
        </w:rPr>
        <w:t xml:space="preserve"> </w:t>
      </w:r>
      <w:r w:rsidRPr="00904FCB">
        <w:rPr>
          <w:rFonts w:hint="cs"/>
          <w:sz w:val="27"/>
          <w:rtl/>
        </w:rPr>
        <w:t>عليه</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الاجتماعي</w:t>
      </w:r>
      <w:r w:rsidRPr="00904FCB">
        <w:rPr>
          <w:sz w:val="27"/>
          <w:rtl/>
        </w:rPr>
        <w:t xml:space="preserve"> </w:t>
      </w:r>
      <w:r w:rsidRPr="00904FCB">
        <w:rPr>
          <w:rFonts w:hint="cs"/>
          <w:sz w:val="27"/>
          <w:rtl/>
        </w:rPr>
        <w:t>المقن</w:t>
      </w:r>
      <w:r w:rsidR="000D4EDE" w:rsidRPr="00904FCB">
        <w:rPr>
          <w:rFonts w:hint="cs"/>
          <w:sz w:val="27"/>
          <w:rtl/>
        </w:rPr>
        <w:t>َّ</w:t>
      </w:r>
      <w:r w:rsidRPr="00904FCB">
        <w:rPr>
          <w:rFonts w:hint="cs"/>
          <w:sz w:val="27"/>
          <w:rtl/>
        </w:rPr>
        <w:t>ع</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المخفي</w:t>
      </w:r>
      <w:r w:rsidR="000D4EDE" w:rsidRPr="00904FCB">
        <w:rPr>
          <w:rFonts w:hint="cs"/>
          <w:sz w:val="27"/>
          <w:rtl/>
        </w:rPr>
        <w:t>ّ.</w:t>
      </w:r>
      <w:r w:rsidRPr="00904FCB">
        <w:rPr>
          <w:rFonts w:hint="cs"/>
          <w:sz w:val="27"/>
          <w:rtl/>
        </w:rPr>
        <w:t xml:space="preserve"> وهو</w:t>
      </w:r>
      <w:r w:rsidRPr="00904FCB">
        <w:rPr>
          <w:sz w:val="27"/>
          <w:rtl/>
        </w:rPr>
        <w:t xml:space="preserve"> </w:t>
      </w:r>
      <w:r w:rsidRPr="00904FCB">
        <w:rPr>
          <w:rFonts w:hint="cs"/>
          <w:sz w:val="27"/>
          <w:rtl/>
        </w:rPr>
        <w:t>نوع</w:t>
      </w:r>
      <w:r w:rsidR="000D4EDE"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أنواع</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الرمزي</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المباشر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أغلب</w:t>
      </w:r>
      <w:r w:rsidRPr="00904FCB">
        <w:rPr>
          <w:sz w:val="27"/>
          <w:rtl/>
        </w:rPr>
        <w:t xml:space="preserve"> </w:t>
      </w:r>
      <w:r w:rsidRPr="00904FCB">
        <w:rPr>
          <w:rFonts w:hint="cs"/>
          <w:sz w:val="27"/>
          <w:rtl/>
        </w:rPr>
        <w:t>الأحيان، والذي</w:t>
      </w:r>
      <w:r w:rsidRPr="00904FCB">
        <w:rPr>
          <w:sz w:val="27"/>
          <w:rtl/>
        </w:rPr>
        <w:t xml:space="preserve"> </w:t>
      </w:r>
      <w:r w:rsidRPr="00904FCB">
        <w:rPr>
          <w:rFonts w:hint="cs"/>
          <w:sz w:val="27"/>
          <w:rtl/>
        </w:rPr>
        <w:t>يسكت</w:t>
      </w:r>
      <w:r w:rsidRPr="00904FCB">
        <w:rPr>
          <w:sz w:val="27"/>
          <w:rtl/>
        </w:rPr>
        <w:t xml:space="preserve"> </w:t>
      </w:r>
      <w:r w:rsidRPr="00904FCB">
        <w:rPr>
          <w:rFonts w:hint="cs"/>
          <w:sz w:val="27"/>
          <w:rtl/>
        </w:rPr>
        <w:t>عنه</w:t>
      </w:r>
      <w:r w:rsidRPr="00904FCB">
        <w:rPr>
          <w:sz w:val="27"/>
          <w:rtl/>
        </w:rPr>
        <w:t xml:space="preserve"> </w:t>
      </w:r>
      <w:r w:rsidRPr="00904FCB">
        <w:rPr>
          <w:rFonts w:hint="cs"/>
          <w:sz w:val="27"/>
          <w:rtl/>
        </w:rPr>
        <w:t>الناس</w:t>
      </w:r>
      <w:r w:rsidRPr="00904FCB">
        <w:rPr>
          <w:sz w:val="27"/>
          <w:rtl/>
        </w:rPr>
        <w:t xml:space="preserve">. </w:t>
      </w:r>
      <w:r w:rsidRPr="00904FCB">
        <w:rPr>
          <w:rFonts w:hint="cs"/>
          <w:sz w:val="27"/>
          <w:rtl/>
        </w:rPr>
        <w:t>وتتحك</w:t>
      </w:r>
      <w:r w:rsidR="000D4EDE" w:rsidRPr="00904FCB">
        <w:rPr>
          <w:rFonts w:hint="cs"/>
          <w:sz w:val="27"/>
          <w:rtl/>
        </w:rPr>
        <w:t>َّ</w:t>
      </w:r>
      <w:r w:rsidRPr="00904FCB">
        <w:rPr>
          <w:rFonts w:hint="cs"/>
          <w:sz w:val="27"/>
          <w:rtl/>
        </w:rPr>
        <w:t>م</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وتسي</w:t>
      </w:r>
      <w:r w:rsidR="000D4EDE" w:rsidRPr="00904FCB">
        <w:rPr>
          <w:rFonts w:hint="cs"/>
          <w:sz w:val="27"/>
          <w:rtl/>
        </w:rPr>
        <w:t>ِّ</w:t>
      </w:r>
      <w:r w:rsidRPr="00904FCB">
        <w:rPr>
          <w:rFonts w:hint="cs"/>
          <w:sz w:val="27"/>
          <w:rtl/>
        </w:rPr>
        <w:t>ره</w:t>
      </w:r>
      <w:r w:rsidRPr="00904FCB">
        <w:rPr>
          <w:sz w:val="27"/>
          <w:rtl/>
        </w:rPr>
        <w:t xml:space="preserve"> </w:t>
      </w:r>
      <w:r w:rsidRPr="00904FCB">
        <w:rPr>
          <w:rFonts w:hint="cs"/>
          <w:sz w:val="27"/>
          <w:rtl/>
        </w:rPr>
        <w:t>ثقافة</w:t>
      </w:r>
      <w:r w:rsidRPr="00904FCB">
        <w:rPr>
          <w:sz w:val="27"/>
          <w:rtl/>
        </w:rPr>
        <w:t xml:space="preserve"> </w:t>
      </w:r>
      <w:r w:rsidRPr="00904FCB">
        <w:rPr>
          <w:rFonts w:hint="cs"/>
          <w:sz w:val="27"/>
          <w:rtl/>
        </w:rPr>
        <w:t>تقليدية</w:t>
      </w:r>
      <w:r w:rsidR="000D4EDE" w:rsidRPr="00904FCB">
        <w:rPr>
          <w:rFonts w:hint="cs"/>
          <w:sz w:val="27"/>
          <w:rtl/>
        </w:rPr>
        <w:t>،</w:t>
      </w:r>
      <w:r w:rsidRPr="00904FCB">
        <w:rPr>
          <w:sz w:val="27"/>
          <w:rtl/>
        </w:rPr>
        <w:t xml:space="preserve"> </w:t>
      </w:r>
      <w:r w:rsidRPr="00904FCB">
        <w:rPr>
          <w:rFonts w:hint="cs"/>
          <w:sz w:val="27"/>
          <w:rtl/>
        </w:rPr>
        <w:t>ونصوص</w:t>
      </w:r>
      <w:r w:rsidRPr="00904FCB">
        <w:rPr>
          <w:sz w:val="27"/>
          <w:rtl/>
        </w:rPr>
        <w:t xml:space="preserve"> </w:t>
      </w:r>
      <w:r w:rsidRPr="00904FCB">
        <w:rPr>
          <w:rFonts w:hint="cs"/>
          <w:sz w:val="27"/>
          <w:rtl/>
        </w:rPr>
        <w:t>وتفسيرات</w:t>
      </w:r>
      <w:r w:rsidRPr="00904FCB">
        <w:rPr>
          <w:sz w:val="27"/>
          <w:rtl/>
        </w:rPr>
        <w:t xml:space="preserve"> </w:t>
      </w:r>
      <w:r w:rsidRPr="00904FCB">
        <w:rPr>
          <w:rFonts w:hint="cs"/>
          <w:sz w:val="27"/>
          <w:rtl/>
        </w:rPr>
        <w:t>وتأويلات</w:t>
      </w:r>
      <w:r w:rsidRPr="00904FCB">
        <w:rPr>
          <w:sz w:val="27"/>
          <w:rtl/>
        </w:rPr>
        <w:t xml:space="preserve"> </w:t>
      </w:r>
      <w:r w:rsidRPr="00904FCB">
        <w:rPr>
          <w:rFonts w:hint="cs"/>
          <w:sz w:val="27"/>
          <w:rtl/>
        </w:rPr>
        <w:t>ديني</w:t>
      </w:r>
      <w:r w:rsidR="000D4EDE" w:rsidRPr="00904FCB">
        <w:rPr>
          <w:rFonts w:hint="cs"/>
          <w:sz w:val="27"/>
          <w:rtl/>
        </w:rPr>
        <w:t>ّ</w:t>
      </w:r>
      <w:r w:rsidRPr="00904FCB">
        <w:rPr>
          <w:rFonts w:hint="cs"/>
          <w:sz w:val="27"/>
          <w:rtl/>
        </w:rPr>
        <w:t>ة</w:t>
      </w:r>
      <w:r w:rsidR="000D4EDE" w:rsidRPr="00904FCB">
        <w:rPr>
          <w:rFonts w:hint="cs"/>
          <w:sz w:val="27"/>
          <w:rtl/>
        </w:rPr>
        <w:t>،</w:t>
      </w:r>
      <w:r w:rsidRPr="00904FCB">
        <w:rPr>
          <w:sz w:val="27"/>
          <w:rtl/>
        </w:rPr>
        <w:t xml:space="preserve"> </w:t>
      </w:r>
      <w:r w:rsidRPr="00904FCB">
        <w:rPr>
          <w:rFonts w:hint="cs"/>
          <w:sz w:val="27"/>
          <w:rtl/>
        </w:rPr>
        <w:t>تقد</w:t>
      </w:r>
      <w:r w:rsidR="000D4EDE" w:rsidRPr="00904FCB">
        <w:rPr>
          <w:rFonts w:hint="cs"/>
          <w:sz w:val="27"/>
          <w:rtl/>
        </w:rPr>
        <w:t>ِّ</w:t>
      </w:r>
      <w:r w:rsidRPr="00904FCB">
        <w:rPr>
          <w:rFonts w:hint="cs"/>
          <w:sz w:val="27"/>
          <w:rtl/>
        </w:rPr>
        <w:t>س</w:t>
      </w:r>
      <w:r w:rsidRPr="00904FCB">
        <w:rPr>
          <w:sz w:val="27"/>
          <w:rtl/>
        </w:rPr>
        <w:t xml:space="preserve"> </w:t>
      </w:r>
      <w:r w:rsidRPr="00904FCB">
        <w:rPr>
          <w:rFonts w:hint="cs"/>
          <w:sz w:val="27"/>
          <w:rtl/>
        </w:rPr>
        <w:t>الأضحية</w:t>
      </w:r>
      <w:r w:rsidRPr="00904FCB">
        <w:rPr>
          <w:sz w:val="27"/>
          <w:rtl/>
        </w:rPr>
        <w:t xml:space="preserve"> </w:t>
      </w:r>
      <w:r w:rsidRPr="00904FCB">
        <w:rPr>
          <w:rFonts w:hint="cs"/>
          <w:sz w:val="27"/>
          <w:rtl/>
        </w:rPr>
        <w:t>والعنف</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ولكن</w:t>
      </w:r>
      <w:r w:rsidR="000D4EDE" w:rsidRPr="00904FCB">
        <w:rPr>
          <w:rFonts w:hint="cs"/>
          <w:sz w:val="27"/>
          <w:rtl/>
        </w:rPr>
        <w:t>ّ</w:t>
      </w:r>
      <w:r w:rsidRPr="00904FCB">
        <w:rPr>
          <w:sz w:val="27"/>
          <w:rtl/>
        </w:rPr>
        <w:t xml:space="preserve"> </w:t>
      </w:r>
      <w:r w:rsidRPr="00904FCB">
        <w:rPr>
          <w:rFonts w:hint="cs"/>
          <w:sz w:val="27"/>
          <w:rtl/>
        </w:rPr>
        <w:t>الشكل</w:t>
      </w:r>
      <w:r w:rsidRPr="00904FCB">
        <w:rPr>
          <w:sz w:val="27"/>
          <w:rtl/>
        </w:rPr>
        <w:t xml:space="preserve"> </w:t>
      </w:r>
      <w:r w:rsidRPr="00904FCB">
        <w:rPr>
          <w:rFonts w:hint="cs"/>
          <w:sz w:val="27"/>
          <w:rtl/>
        </w:rPr>
        <w:t>الواضح</w:t>
      </w:r>
      <w:r w:rsidRPr="00904FCB">
        <w:rPr>
          <w:sz w:val="27"/>
          <w:rtl/>
        </w:rPr>
        <w:t xml:space="preserve"> </w:t>
      </w:r>
      <w:r w:rsidRPr="00904FCB">
        <w:rPr>
          <w:rFonts w:hint="cs"/>
          <w:sz w:val="27"/>
          <w:rtl/>
        </w:rPr>
        <w:t>منه</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تقوم</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الدول</w:t>
      </w:r>
      <w:r w:rsidRPr="00904FCB">
        <w:rPr>
          <w:sz w:val="27"/>
          <w:rtl/>
        </w:rPr>
        <w:t xml:space="preserve"> </w:t>
      </w:r>
      <w:r w:rsidRPr="00904FCB">
        <w:rPr>
          <w:rFonts w:hint="cs"/>
          <w:sz w:val="27"/>
          <w:rtl/>
        </w:rPr>
        <w:t>المستبد</w:t>
      </w:r>
      <w:r w:rsidR="000D4EDE" w:rsidRPr="00904FCB">
        <w:rPr>
          <w:rFonts w:hint="cs"/>
          <w:sz w:val="27"/>
          <w:rtl/>
        </w:rPr>
        <w:t>ّ</w:t>
      </w:r>
      <w:r w:rsidRPr="00904FCB">
        <w:rPr>
          <w:rFonts w:hint="cs"/>
          <w:sz w:val="27"/>
          <w:rtl/>
        </w:rPr>
        <w:t>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عنف</w:t>
      </w:r>
      <w:r w:rsidR="000D4EDE" w:rsidRPr="00904FCB">
        <w:rPr>
          <w:rFonts w:hint="cs"/>
          <w:sz w:val="27"/>
          <w:rtl/>
        </w:rPr>
        <w:t>ٍ</w:t>
      </w:r>
      <w:r w:rsidRPr="00904FCB">
        <w:rPr>
          <w:sz w:val="27"/>
          <w:rtl/>
        </w:rPr>
        <w:t xml:space="preserve"> </w:t>
      </w:r>
      <w:r w:rsidRPr="00904FCB">
        <w:rPr>
          <w:rFonts w:hint="cs"/>
          <w:sz w:val="27"/>
          <w:rtl/>
        </w:rPr>
        <w:t>رمزي</w:t>
      </w:r>
      <w:r w:rsidRPr="00904FCB">
        <w:rPr>
          <w:sz w:val="27"/>
          <w:rtl/>
        </w:rPr>
        <w:t xml:space="preserve"> </w:t>
      </w:r>
      <w:r w:rsidRPr="00904FCB">
        <w:rPr>
          <w:rFonts w:hint="cs"/>
          <w:sz w:val="27"/>
          <w:rtl/>
        </w:rPr>
        <w:t>يظهر</w:t>
      </w:r>
      <w:r w:rsidRPr="00904FCB">
        <w:rPr>
          <w:sz w:val="27"/>
          <w:rtl/>
        </w:rPr>
        <w:t xml:space="preserve"> </w:t>
      </w:r>
      <w:r w:rsidRPr="00904FCB">
        <w:rPr>
          <w:rFonts w:hint="cs"/>
          <w:sz w:val="27"/>
          <w:rtl/>
        </w:rPr>
        <w:t>منه</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الإعلامي</w:t>
      </w:r>
      <w:r w:rsidRPr="00904FCB">
        <w:rPr>
          <w:sz w:val="27"/>
          <w:rtl/>
        </w:rPr>
        <w:t xml:space="preserve"> </w:t>
      </w:r>
      <w:r w:rsidRPr="00904FCB">
        <w:rPr>
          <w:rFonts w:hint="cs"/>
          <w:sz w:val="27"/>
          <w:rtl/>
        </w:rPr>
        <w:t>والفكري</w:t>
      </w:r>
      <w:r w:rsidRPr="00904FCB">
        <w:rPr>
          <w:sz w:val="27"/>
          <w:rtl/>
        </w:rPr>
        <w:t xml:space="preserve"> </w:t>
      </w:r>
      <w:r w:rsidRPr="00904FCB">
        <w:rPr>
          <w:rFonts w:hint="cs"/>
          <w:sz w:val="27"/>
          <w:rtl/>
        </w:rPr>
        <w:t>والثقافي</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نشاهده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مختلف</w:t>
      </w:r>
      <w:r w:rsidRPr="00904FCB">
        <w:rPr>
          <w:sz w:val="27"/>
          <w:rtl/>
        </w:rPr>
        <w:t xml:space="preserve"> </w:t>
      </w:r>
      <w:r w:rsidRPr="00904FCB">
        <w:rPr>
          <w:rFonts w:hint="cs"/>
          <w:sz w:val="27"/>
          <w:rtl/>
        </w:rPr>
        <w:t>وسائل</w:t>
      </w:r>
      <w:r w:rsidRPr="00904FCB">
        <w:rPr>
          <w:sz w:val="27"/>
          <w:rtl/>
        </w:rPr>
        <w:t xml:space="preserve"> </w:t>
      </w:r>
      <w:r w:rsidRPr="00904FCB">
        <w:rPr>
          <w:rFonts w:hint="cs"/>
          <w:sz w:val="27"/>
          <w:rtl/>
        </w:rPr>
        <w:t>الإعلام</w:t>
      </w:r>
      <w:r w:rsidRPr="00904FCB">
        <w:rPr>
          <w:sz w:val="27"/>
          <w:rtl/>
        </w:rPr>
        <w:t xml:space="preserve"> </w:t>
      </w:r>
      <w:r w:rsidRPr="00904FCB">
        <w:rPr>
          <w:rFonts w:hint="cs"/>
          <w:sz w:val="27"/>
          <w:rtl/>
        </w:rPr>
        <w:t>التابعة</w:t>
      </w:r>
      <w:r w:rsidRPr="00904FCB">
        <w:rPr>
          <w:sz w:val="27"/>
          <w:rtl/>
        </w:rPr>
        <w:t xml:space="preserve"> </w:t>
      </w:r>
      <w:r w:rsidRPr="00904FCB">
        <w:rPr>
          <w:rFonts w:hint="cs"/>
          <w:sz w:val="27"/>
          <w:rtl/>
        </w:rPr>
        <w:t>لتلك</w:t>
      </w:r>
      <w:r w:rsidRPr="00904FCB">
        <w:rPr>
          <w:sz w:val="27"/>
          <w:rtl/>
        </w:rPr>
        <w:t xml:space="preserve"> </w:t>
      </w:r>
      <w:r w:rsidRPr="00904FCB">
        <w:rPr>
          <w:rFonts w:hint="cs"/>
          <w:sz w:val="27"/>
          <w:rtl/>
        </w:rPr>
        <w:t>النظم</w:t>
      </w:r>
      <w:r w:rsidR="000D4EDE" w:rsidRPr="00904FCB">
        <w:rPr>
          <w:rFonts w:hint="cs"/>
          <w:sz w:val="27"/>
          <w:rtl/>
        </w:rPr>
        <w:t>،</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تضخ</w:t>
      </w:r>
      <w:r w:rsidRPr="00904FCB">
        <w:rPr>
          <w:sz w:val="27"/>
          <w:rtl/>
        </w:rPr>
        <w:t xml:space="preserve"> </w:t>
      </w:r>
      <w:r w:rsidRPr="00904FCB">
        <w:rPr>
          <w:rFonts w:hint="cs"/>
          <w:sz w:val="27"/>
          <w:rtl/>
        </w:rPr>
        <w:t>كميات</w:t>
      </w:r>
      <w:r w:rsidRPr="00904FCB">
        <w:rPr>
          <w:sz w:val="27"/>
          <w:rtl/>
        </w:rPr>
        <w:t xml:space="preserve"> </w:t>
      </w:r>
      <w:r w:rsidRPr="00904FCB">
        <w:rPr>
          <w:rFonts w:hint="cs"/>
          <w:sz w:val="27"/>
          <w:rtl/>
        </w:rPr>
        <w:t>كبيرة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مشاهد</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الإعلامي</w:t>
      </w:r>
      <w:r w:rsidR="000D4EDE" w:rsidRPr="00904FCB">
        <w:rPr>
          <w:rFonts w:hint="cs"/>
          <w:sz w:val="27"/>
          <w:rtl/>
        </w:rPr>
        <w:t>؛</w:t>
      </w:r>
      <w:r w:rsidRPr="00904FCB">
        <w:rPr>
          <w:sz w:val="27"/>
          <w:rtl/>
        </w:rPr>
        <w:t xml:space="preserve"> </w:t>
      </w:r>
      <w:r w:rsidRPr="00904FCB">
        <w:rPr>
          <w:rFonts w:hint="cs"/>
          <w:sz w:val="27"/>
          <w:rtl/>
        </w:rPr>
        <w:t>بهدف</w:t>
      </w:r>
      <w:r w:rsidRPr="00904FCB">
        <w:rPr>
          <w:sz w:val="27"/>
          <w:rtl/>
        </w:rPr>
        <w:t xml:space="preserve"> </w:t>
      </w:r>
      <w:r w:rsidRPr="00904FCB">
        <w:rPr>
          <w:rFonts w:hint="cs"/>
          <w:sz w:val="27"/>
          <w:rtl/>
        </w:rPr>
        <w:t>قلب</w:t>
      </w:r>
      <w:r w:rsidRPr="00904FCB">
        <w:rPr>
          <w:sz w:val="27"/>
          <w:rtl/>
        </w:rPr>
        <w:t xml:space="preserve"> </w:t>
      </w:r>
      <w:r w:rsidRPr="00904FCB">
        <w:rPr>
          <w:rFonts w:hint="cs"/>
          <w:sz w:val="27"/>
          <w:rtl/>
        </w:rPr>
        <w:t>الحقائق</w:t>
      </w:r>
      <w:r w:rsidR="000D4EDE" w:rsidRPr="00904FCB">
        <w:rPr>
          <w:rFonts w:hint="cs"/>
          <w:sz w:val="27"/>
          <w:rtl/>
        </w:rPr>
        <w:t>،</w:t>
      </w:r>
      <w:r w:rsidRPr="00904FCB">
        <w:rPr>
          <w:sz w:val="27"/>
          <w:rtl/>
        </w:rPr>
        <w:t xml:space="preserve"> </w:t>
      </w:r>
      <w:r w:rsidRPr="00904FCB">
        <w:rPr>
          <w:rFonts w:hint="cs"/>
          <w:sz w:val="27"/>
          <w:rtl/>
        </w:rPr>
        <w:t>والتأثير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نفوس</w:t>
      </w:r>
      <w:r w:rsidRPr="00904FCB">
        <w:rPr>
          <w:sz w:val="27"/>
          <w:rtl/>
        </w:rPr>
        <w:t xml:space="preserve"> </w:t>
      </w:r>
      <w:r w:rsidRPr="00904FCB">
        <w:rPr>
          <w:rFonts w:hint="cs"/>
          <w:sz w:val="27"/>
          <w:rtl/>
        </w:rPr>
        <w:t>وقرار</w:t>
      </w:r>
      <w:r w:rsidRPr="00904FCB">
        <w:rPr>
          <w:sz w:val="27"/>
          <w:rtl/>
        </w:rPr>
        <w:t xml:space="preserve"> </w:t>
      </w:r>
      <w:r w:rsidRPr="00904FCB">
        <w:rPr>
          <w:rFonts w:hint="cs"/>
          <w:sz w:val="27"/>
          <w:rtl/>
        </w:rPr>
        <w:t>وقناعات</w:t>
      </w:r>
      <w:r w:rsidRPr="00904FCB">
        <w:rPr>
          <w:sz w:val="27"/>
          <w:rtl/>
        </w:rPr>
        <w:t xml:space="preserve"> </w:t>
      </w:r>
      <w:r w:rsidRPr="00904FCB">
        <w:rPr>
          <w:rFonts w:hint="cs"/>
          <w:sz w:val="27"/>
          <w:rtl/>
        </w:rPr>
        <w:t>الناس</w:t>
      </w:r>
      <w:r w:rsidRPr="00904FCB">
        <w:rPr>
          <w:sz w:val="27"/>
          <w:rtl/>
        </w:rPr>
        <w:t xml:space="preserve"> </w:t>
      </w:r>
      <w:r w:rsidRPr="00904FCB">
        <w:rPr>
          <w:rFonts w:hint="cs"/>
          <w:sz w:val="27"/>
          <w:rtl/>
        </w:rPr>
        <w:t>المتحك</w:t>
      </w:r>
      <w:r w:rsidR="000D4EDE" w:rsidRPr="00904FCB">
        <w:rPr>
          <w:rFonts w:hint="cs"/>
          <w:sz w:val="27"/>
          <w:rtl/>
        </w:rPr>
        <w:t>ِّ</w:t>
      </w:r>
      <w:r w:rsidRPr="00904FCB">
        <w:rPr>
          <w:rFonts w:hint="cs"/>
          <w:sz w:val="27"/>
          <w:rtl/>
        </w:rPr>
        <w:t>مة</w:t>
      </w:r>
      <w:r w:rsidRPr="00904FCB">
        <w:rPr>
          <w:sz w:val="27"/>
          <w:rtl/>
        </w:rPr>
        <w:t xml:space="preserve"> </w:t>
      </w:r>
      <w:r w:rsidRPr="00904FCB">
        <w:rPr>
          <w:rFonts w:hint="cs"/>
          <w:sz w:val="27"/>
          <w:rtl/>
        </w:rPr>
        <w:t>بهم، وجعلهم</w:t>
      </w:r>
      <w:r w:rsidRPr="00904FCB">
        <w:rPr>
          <w:sz w:val="27"/>
          <w:rtl/>
        </w:rPr>
        <w:t xml:space="preserve"> </w:t>
      </w:r>
      <w:r w:rsidRPr="00904FCB">
        <w:rPr>
          <w:rFonts w:hint="cs"/>
          <w:sz w:val="27"/>
          <w:rtl/>
        </w:rPr>
        <w:lastRenderedPageBreak/>
        <w:t>يتحر</w:t>
      </w:r>
      <w:r w:rsidR="000D4EDE" w:rsidRPr="00904FCB">
        <w:rPr>
          <w:rFonts w:hint="cs"/>
          <w:sz w:val="27"/>
          <w:rtl/>
        </w:rPr>
        <w:t>َّ</w:t>
      </w:r>
      <w:r w:rsidRPr="00904FCB">
        <w:rPr>
          <w:rFonts w:hint="cs"/>
          <w:sz w:val="27"/>
          <w:rtl/>
        </w:rPr>
        <w:t>كون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مسارب</w:t>
      </w:r>
      <w:r w:rsidRPr="00904FCB">
        <w:rPr>
          <w:sz w:val="27"/>
          <w:rtl/>
        </w:rPr>
        <w:t xml:space="preserve"> </w:t>
      </w:r>
      <w:r w:rsidRPr="00904FCB">
        <w:rPr>
          <w:rFonts w:hint="cs"/>
          <w:sz w:val="27"/>
          <w:rtl/>
        </w:rPr>
        <w:t>وطرق</w:t>
      </w:r>
      <w:r w:rsidRPr="00904FCB">
        <w:rPr>
          <w:sz w:val="27"/>
          <w:rtl/>
        </w:rPr>
        <w:t xml:space="preserve"> </w:t>
      </w:r>
      <w:r w:rsidRPr="00904FCB">
        <w:rPr>
          <w:rFonts w:hint="cs"/>
          <w:sz w:val="27"/>
          <w:rtl/>
        </w:rPr>
        <w:t>خاص</w:t>
      </w:r>
      <w:r w:rsidR="000D4EDE" w:rsidRPr="00904FCB">
        <w:rPr>
          <w:rFonts w:hint="cs"/>
          <w:sz w:val="27"/>
          <w:rtl/>
        </w:rPr>
        <w:t>ّ</w:t>
      </w:r>
      <w:r w:rsidRPr="00904FCB">
        <w:rPr>
          <w:rFonts w:hint="cs"/>
          <w:sz w:val="27"/>
          <w:rtl/>
        </w:rPr>
        <w:t>ة</w:t>
      </w:r>
      <w:r w:rsidRPr="00904FCB">
        <w:rPr>
          <w:sz w:val="27"/>
          <w:rtl/>
        </w:rPr>
        <w:t xml:space="preserve"> </w:t>
      </w:r>
      <w:r w:rsidRPr="00904FCB">
        <w:rPr>
          <w:rFonts w:hint="cs"/>
          <w:sz w:val="27"/>
          <w:rtl/>
        </w:rPr>
        <w:t>بها</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إن</w:t>
      </w:r>
      <w:r w:rsidRPr="00904FCB">
        <w:rPr>
          <w:sz w:val="27"/>
          <w:rtl/>
        </w:rPr>
        <w:t xml:space="preserve"> </w:t>
      </w:r>
      <w:r w:rsidRPr="00904FCB">
        <w:rPr>
          <w:rFonts w:hint="cs"/>
          <w:sz w:val="27"/>
          <w:rtl/>
        </w:rPr>
        <w:t>تسمية</w:t>
      </w:r>
      <w:r w:rsidRPr="00904FCB">
        <w:rPr>
          <w:sz w:val="27"/>
          <w:rtl/>
        </w:rPr>
        <w:t xml:space="preserve"> </w:t>
      </w:r>
      <w:r w:rsidRPr="00904FCB">
        <w:rPr>
          <w:rFonts w:hint="cs"/>
          <w:sz w:val="27"/>
          <w:rtl/>
        </w:rPr>
        <w:t>الأمور</w:t>
      </w:r>
      <w:r w:rsidRPr="00904FCB">
        <w:rPr>
          <w:sz w:val="27"/>
          <w:rtl/>
        </w:rPr>
        <w:t xml:space="preserve"> </w:t>
      </w:r>
      <w:r w:rsidRPr="00904FCB">
        <w:rPr>
          <w:rFonts w:hint="cs"/>
          <w:sz w:val="27"/>
          <w:rtl/>
        </w:rPr>
        <w:t>بغير</w:t>
      </w:r>
      <w:r w:rsidRPr="00904FCB">
        <w:rPr>
          <w:sz w:val="27"/>
          <w:rtl/>
        </w:rPr>
        <w:t xml:space="preserve"> </w:t>
      </w:r>
      <w:r w:rsidRPr="00904FCB">
        <w:rPr>
          <w:rFonts w:hint="cs"/>
          <w:sz w:val="27"/>
          <w:rtl/>
        </w:rPr>
        <w:t>مسم</w:t>
      </w:r>
      <w:r w:rsidR="000D4EDE" w:rsidRPr="00904FCB">
        <w:rPr>
          <w:rFonts w:hint="cs"/>
          <w:sz w:val="27"/>
          <w:rtl/>
        </w:rPr>
        <w:t>َّ</w:t>
      </w:r>
      <w:r w:rsidRPr="00904FCB">
        <w:rPr>
          <w:rFonts w:hint="cs"/>
          <w:sz w:val="27"/>
          <w:rtl/>
        </w:rPr>
        <w:t>ياتها</w:t>
      </w:r>
      <w:r w:rsidRPr="00904FCB">
        <w:rPr>
          <w:sz w:val="27"/>
          <w:rtl/>
        </w:rPr>
        <w:t xml:space="preserve"> </w:t>
      </w:r>
      <w:r w:rsidRPr="00904FCB">
        <w:rPr>
          <w:rFonts w:hint="cs"/>
          <w:sz w:val="27"/>
          <w:rtl/>
        </w:rPr>
        <w:t>الحقيقية</w:t>
      </w:r>
      <w:r w:rsidRPr="00904FCB">
        <w:rPr>
          <w:sz w:val="27"/>
          <w:rtl/>
        </w:rPr>
        <w:t xml:space="preserve"> </w:t>
      </w:r>
      <w:r w:rsidRPr="00904FCB">
        <w:rPr>
          <w:rFonts w:hint="cs"/>
          <w:sz w:val="27"/>
          <w:rtl/>
        </w:rPr>
        <w:t>المعروفة</w:t>
      </w:r>
      <w:r w:rsidRPr="00904FCB">
        <w:rPr>
          <w:sz w:val="27"/>
          <w:rtl/>
        </w:rPr>
        <w:t xml:space="preserve"> </w:t>
      </w:r>
      <w:r w:rsidRPr="00904FCB">
        <w:rPr>
          <w:rFonts w:hint="cs"/>
          <w:sz w:val="27"/>
          <w:rtl/>
        </w:rPr>
        <w:t>والبديهية</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أيضاً</w:t>
      </w:r>
      <w:r w:rsidRPr="00904FCB">
        <w:rPr>
          <w:sz w:val="27"/>
          <w:rtl/>
        </w:rPr>
        <w:t xml:space="preserve"> </w:t>
      </w:r>
      <w:r w:rsidRPr="00904FCB">
        <w:rPr>
          <w:rFonts w:hint="cs"/>
          <w:sz w:val="27"/>
          <w:rtl/>
        </w:rPr>
        <w:t>نوع</w:t>
      </w:r>
      <w:r w:rsidR="000D4EDE"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الرمزي</w:t>
      </w:r>
      <w:r w:rsidRPr="00904FCB">
        <w:rPr>
          <w:sz w:val="27"/>
          <w:rtl/>
        </w:rPr>
        <w:t xml:space="preserve"> </w:t>
      </w:r>
      <w:r w:rsidRPr="00904FCB">
        <w:rPr>
          <w:rFonts w:hint="cs"/>
          <w:sz w:val="27"/>
          <w:rtl/>
        </w:rPr>
        <w:t>المستخدم</w:t>
      </w:r>
      <w:r w:rsidRPr="00904FCB">
        <w:rPr>
          <w:sz w:val="27"/>
          <w:rtl/>
        </w:rPr>
        <w:t xml:space="preserve"> </w:t>
      </w:r>
      <w:r w:rsidRPr="00904FCB">
        <w:rPr>
          <w:rFonts w:hint="cs"/>
          <w:sz w:val="27"/>
          <w:rtl/>
        </w:rPr>
        <w:t>ضد</w:t>
      </w:r>
      <w:r w:rsidR="000D4EDE" w:rsidRPr="00904FCB">
        <w:rPr>
          <w:rFonts w:hint="cs"/>
          <w:sz w:val="27"/>
          <w:rtl/>
        </w:rPr>
        <w:t>ّ</w:t>
      </w:r>
      <w:r w:rsidRPr="00904FCB">
        <w:rPr>
          <w:sz w:val="27"/>
          <w:rtl/>
        </w:rPr>
        <w:t xml:space="preserve"> </w:t>
      </w:r>
      <w:r w:rsidRPr="00904FCB">
        <w:rPr>
          <w:rFonts w:hint="cs"/>
          <w:sz w:val="27"/>
          <w:rtl/>
        </w:rPr>
        <w:t>الناس</w:t>
      </w:r>
      <w:r w:rsidR="000D4EDE" w:rsidRPr="00904FCB">
        <w:rPr>
          <w:rFonts w:hint="cs"/>
          <w:sz w:val="27"/>
          <w:rtl/>
        </w:rPr>
        <w:t>؛</w:t>
      </w:r>
      <w:r w:rsidRPr="00904FCB">
        <w:rPr>
          <w:sz w:val="27"/>
          <w:rtl/>
        </w:rPr>
        <w:t xml:space="preserve"> </w:t>
      </w:r>
      <w:r w:rsidRPr="00904FCB">
        <w:rPr>
          <w:rFonts w:hint="cs"/>
          <w:sz w:val="27"/>
          <w:rtl/>
        </w:rPr>
        <w:t>للتأثير</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قرارهم</w:t>
      </w:r>
      <w:r w:rsidRPr="00904FCB">
        <w:rPr>
          <w:sz w:val="27"/>
          <w:rtl/>
        </w:rPr>
        <w:t xml:space="preserve"> </w:t>
      </w:r>
      <w:r w:rsidRPr="00904FCB">
        <w:rPr>
          <w:rFonts w:hint="cs"/>
          <w:sz w:val="27"/>
          <w:rtl/>
        </w:rPr>
        <w:t>وسلوكياتهم</w:t>
      </w:r>
      <w:r w:rsidRPr="00904FCB">
        <w:rPr>
          <w:sz w:val="27"/>
          <w:rtl/>
        </w:rPr>
        <w:t xml:space="preserve">. </w:t>
      </w:r>
      <w:r w:rsidRPr="00904FCB">
        <w:rPr>
          <w:rFonts w:hint="cs"/>
          <w:sz w:val="27"/>
          <w:rtl/>
        </w:rPr>
        <w:t>وهذا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اشتغلت</w:t>
      </w:r>
      <w:r w:rsidRPr="00904FCB">
        <w:rPr>
          <w:sz w:val="27"/>
          <w:rtl/>
        </w:rPr>
        <w:t xml:space="preserve"> </w:t>
      </w:r>
      <w:r w:rsidRPr="00904FCB">
        <w:rPr>
          <w:rFonts w:hint="cs"/>
          <w:sz w:val="27"/>
          <w:rtl/>
        </w:rPr>
        <w:t>عليه</w:t>
      </w:r>
      <w:r w:rsidRPr="00904FCB">
        <w:rPr>
          <w:sz w:val="27"/>
          <w:rtl/>
        </w:rPr>
        <w:t xml:space="preserve"> </w:t>
      </w:r>
      <w:r w:rsidRPr="00904FCB">
        <w:rPr>
          <w:rFonts w:hint="cs"/>
          <w:sz w:val="27"/>
          <w:rtl/>
        </w:rPr>
        <w:t>نظم</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العربية</w:t>
      </w:r>
      <w:r w:rsidR="000D4EDE" w:rsidRPr="00904FCB">
        <w:rPr>
          <w:rFonts w:hint="cs"/>
          <w:sz w:val="27"/>
          <w:rtl/>
        </w:rPr>
        <w:t>،</w:t>
      </w:r>
      <w:r w:rsidRPr="00904FCB">
        <w:rPr>
          <w:sz w:val="27"/>
          <w:rtl/>
        </w:rPr>
        <w:t xml:space="preserve"> </w:t>
      </w:r>
      <w:r w:rsidRPr="00904FCB">
        <w:rPr>
          <w:rFonts w:hint="cs"/>
          <w:sz w:val="27"/>
          <w:rtl/>
        </w:rPr>
        <w:t>وكذلك</w:t>
      </w:r>
      <w:r w:rsidRPr="00904FCB">
        <w:rPr>
          <w:sz w:val="27"/>
          <w:rtl/>
        </w:rPr>
        <w:t xml:space="preserve"> </w:t>
      </w:r>
      <w:r w:rsidRPr="00904FCB">
        <w:rPr>
          <w:rFonts w:hint="cs"/>
          <w:sz w:val="27"/>
          <w:rtl/>
        </w:rPr>
        <w:t>معظم</w:t>
      </w:r>
      <w:r w:rsidRPr="00904FCB">
        <w:rPr>
          <w:sz w:val="27"/>
          <w:rtl/>
        </w:rPr>
        <w:t xml:space="preserve"> </w:t>
      </w:r>
      <w:r w:rsidRPr="00904FCB">
        <w:rPr>
          <w:rFonts w:hint="cs"/>
          <w:sz w:val="27"/>
          <w:rtl/>
        </w:rPr>
        <w:t>التيارات</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الدينية</w:t>
      </w:r>
      <w:r w:rsidRPr="00904FCB">
        <w:rPr>
          <w:sz w:val="27"/>
          <w:rtl/>
        </w:rPr>
        <w:t xml:space="preserve"> </w:t>
      </w:r>
      <w:r w:rsidRPr="00904FCB">
        <w:rPr>
          <w:rFonts w:hint="cs"/>
          <w:sz w:val="27"/>
          <w:rtl/>
        </w:rPr>
        <w:t>الأصولية</w:t>
      </w:r>
      <w:r w:rsidR="000D4EDE" w:rsidRPr="00904FCB">
        <w:rPr>
          <w:rFonts w:hint="cs"/>
          <w:sz w:val="27"/>
          <w:rtl/>
        </w:rPr>
        <w:t>،</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يرى</w:t>
      </w:r>
      <w:r w:rsidRPr="00904FCB">
        <w:rPr>
          <w:sz w:val="27"/>
          <w:rtl/>
        </w:rPr>
        <w:t xml:space="preserve"> </w:t>
      </w:r>
      <w:r w:rsidRPr="00904FCB">
        <w:rPr>
          <w:rFonts w:hint="cs"/>
          <w:sz w:val="27"/>
          <w:rtl/>
        </w:rPr>
        <w:t>عالم</w:t>
      </w:r>
      <w:r w:rsidRPr="00904FCB">
        <w:rPr>
          <w:sz w:val="27"/>
          <w:rtl/>
        </w:rPr>
        <w:t xml:space="preserve"> </w:t>
      </w:r>
      <w:r w:rsidRPr="00904FCB">
        <w:rPr>
          <w:rFonts w:hint="cs"/>
          <w:sz w:val="27"/>
          <w:rtl/>
        </w:rPr>
        <w:t>النفس</w:t>
      </w:r>
      <w:r w:rsidRPr="00904FCB">
        <w:rPr>
          <w:sz w:val="27"/>
          <w:rtl/>
        </w:rPr>
        <w:t xml:space="preserve"> </w:t>
      </w:r>
      <w:r w:rsidRPr="00904FCB">
        <w:rPr>
          <w:rFonts w:hint="cs"/>
          <w:sz w:val="27"/>
          <w:rtl/>
        </w:rPr>
        <w:t>الاجتماعي</w:t>
      </w:r>
      <w:r w:rsidRPr="00904FCB">
        <w:rPr>
          <w:sz w:val="27"/>
          <w:rtl/>
        </w:rPr>
        <w:t xml:space="preserve"> </w:t>
      </w:r>
      <w:r w:rsidRPr="00904FCB">
        <w:rPr>
          <w:rFonts w:hint="cs"/>
          <w:sz w:val="27"/>
          <w:rtl/>
        </w:rPr>
        <w:t>الفرنسي</w:t>
      </w:r>
      <w:r w:rsidRPr="00904FCB">
        <w:rPr>
          <w:sz w:val="27"/>
          <w:rtl/>
        </w:rPr>
        <w:t xml:space="preserve"> </w:t>
      </w:r>
      <w:r w:rsidRPr="00904FCB">
        <w:rPr>
          <w:rFonts w:hint="eastAsia"/>
          <w:sz w:val="27"/>
          <w:rtl/>
        </w:rPr>
        <w:t>«</w:t>
      </w:r>
      <w:r w:rsidRPr="00904FCB">
        <w:rPr>
          <w:rFonts w:hint="cs"/>
          <w:sz w:val="27"/>
          <w:rtl/>
        </w:rPr>
        <w:t>بيار</w:t>
      </w:r>
      <w:r w:rsidRPr="00904FCB">
        <w:rPr>
          <w:sz w:val="27"/>
          <w:rtl/>
        </w:rPr>
        <w:t xml:space="preserve"> </w:t>
      </w:r>
      <w:r w:rsidRPr="00904FCB">
        <w:rPr>
          <w:rFonts w:hint="cs"/>
          <w:sz w:val="27"/>
          <w:rtl/>
        </w:rPr>
        <w:t>بورديو</w:t>
      </w:r>
      <w:r w:rsidRPr="00904FCB">
        <w:rPr>
          <w:rFonts w:hint="eastAsia"/>
          <w:sz w:val="27"/>
          <w:rtl/>
        </w:rPr>
        <w:t>»</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الخطاب</w:t>
      </w:r>
      <w:r w:rsidRPr="00904FCB">
        <w:rPr>
          <w:sz w:val="27"/>
          <w:rtl/>
        </w:rPr>
        <w:t xml:space="preserve"> </w:t>
      </w:r>
      <w:r w:rsidRPr="00904FCB">
        <w:rPr>
          <w:rFonts w:hint="cs"/>
          <w:sz w:val="27"/>
          <w:rtl/>
        </w:rPr>
        <w:t>الديني</w:t>
      </w:r>
      <w:r w:rsidRPr="00904FCB">
        <w:rPr>
          <w:sz w:val="27"/>
          <w:rtl/>
        </w:rPr>
        <w:t xml:space="preserve"> </w:t>
      </w:r>
      <w:r w:rsidRPr="00904FCB">
        <w:rPr>
          <w:rFonts w:hint="cs"/>
          <w:sz w:val="27"/>
          <w:rtl/>
        </w:rPr>
        <w:t>المتطر</w:t>
      </w:r>
      <w:r w:rsidR="000D4EDE" w:rsidRPr="00904FCB">
        <w:rPr>
          <w:rFonts w:hint="cs"/>
          <w:sz w:val="27"/>
          <w:rtl/>
        </w:rPr>
        <w:t>ِّ</w:t>
      </w:r>
      <w:r w:rsidRPr="00904FCB">
        <w:rPr>
          <w:rFonts w:hint="cs"/>
          <w:sz w:val="27"/>
          <w:rtl/>
        </w:rPr>
        <w:t>ف</w:t>
      </w:r>
      <w:r w:rsidRPr="00904FCB">
        <w:rPr>
          <w:sz w:val="27"/>
          <w:rtl/>
        </w:rPr>
        <w:t xml:space="preserve"> (</w:t>
      </w:r>
      <w:r w:rsidRPr="00904FCB">
        <w:rPr>
          <w:rFonts w:hint="cs"/>
          <w:sz w:val="27"/>
          <w:rtl/>
        </w:rPr>
        <w:t>الأصولي</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خطاب</w:t>
      </w:r>
      <w:r w:rsidRPr="00904FCB">
        <w:rPr>
          <w:sz w:val="27"/>
          <w:rtl/>
        </w:rPr>
        <w:t xml:space="preserve"> </w:t>
      </w:r>
      <w:r w:rsidRPr="00904FCB">
        <w:rPr>
          <w:rFonts w:hint="cs"/>
          <w:sz w:val="27"/>
          <w:rtl/>
        </w:rPr>
        <w:t>رمزي</w:t>
      </w:r>
      <w:r w:rsidRPr="00904FCB">
        <w:rPr>
          <w:sz w:val="27"/>
          <w:rtl/>
        </w:rPr>
        <w:t xml:space="preserve"> </w:t>
      </w:r>
      <w:r w:rsidRPr="00904FCB">
        <w:rPr>
          <w:rFonts w:hint="cs"/>
          <w:sz w:val="27"/>
          <w:rtl/>
        </w:rPr>
        <w:t>يؤو</w:t>
      </w:r>
      <w:r w:rsidR="000D4EDE" w:rsidRPr="00904FCB">
        <w:rPr>
          <w:rFonts w:hint="cs"/>
          <w:sz w:val="27"/>
          <w:rtl/>
        </w:rPr>
        <w:t>ِّ</w:t>
      </w:r>
      <w:r w:rsidRPr="00904FCB">
        <w:rPr>
          <w:rFonts w:hint="cs"/>
          <w:sz w:val="27"/>
          <w:rtl/>
        </w:rPr>
        <w:t>ل</w:t>
      </w:r>
      <w:r w:rsidRPr="00904FCB">
        <w:rPr>
          <w:sz w:val="27"/>
          <w:rtl/>
        </w:rPr>
        <w:t xml:space="preserve"> </w:t>
      </w:r>
      <w:r w:rsidRPr="00904FCB">
        <w:rPr>
          <w:rFonts w:hint="cs"/>
          <w:sz w:val="27"/>
          <w:rtl/>
        </w:rPr>
        <w:t>النصوص</w:t>
      </w:r>
      <w:r w:rsidRPr="00904FCB">
        <w:rPr>
          <w:sz w:val="27"/>
          <w:rtl/>
        </w:rPr>
        <w:t xml:space="preserve"> </w:t>
      </w:r>
      <w:r w:rsidRPr="00904FCB">
        <w:rPr>
          <w:rFonts w:hint="cs"/>
          <w:sz w:val="27"/>
          <w:rtl/>
        </w:rPr>
        <w:t>الدينية، ويشو</w:t>
      </w:r>
      <w:r w:rsidR="000D4EDE" w:rsidRPr="00904FCB">
        <w:rPr>
          <w:rFonts w:hint="cs"/>
          <w:sz w:val="27"/>
          <w:rtl/>
        </w:rPr>
        <w:t>ِّ</w:t>
      </w:r>
      <w:r w:rsidRPr="00904FCB">
        <w:rPr>
          <w:rFonts w:hint="cs"/>
          <w:sz w:val="27"/>
          <w:rtl/>
        </w:rPr>
        <w:t>هها</w:t>
      </w:r>
      <w:r w:rsidRPr="00904FCB">
        <w:rPr>
          <w:sz w:val="27"/>
          <w:rtl/>
        </w:rPr>
        <w:t xml:space="preserve"> </w:t>
      </w:r>
      <w:r w:rsidRPr="00904FCB">
        <w:rPr>
          <w:rFonts w:hint="cs"/>
          <w:sz w:val="27"/>
          <w:rtl/>
        </w:rPr>
        <w:t>عبر</w:t>
      </w:r>
      <w:r w:rsidRPr="00904FCB">
        <w:rPr>
          <w:sz w:val="27"/>
          <w:rtl/>
        </w:rPr>
        <w:t xml:space="preserve"> </w:t>
      </w:r>
      <w:r w:rsidRPr="00904FCB">
        <w:rPr>
          <w:rFonts w:hint="cs"/>
          <w:sz w:val="27"/>
          <w:rtl/>
        </w:rPr>
        <w:t>خطاب</w:t>
      </w:r>
      <w:r w:rsidRPr="00904FCB">
        <w:rPr>
          <w:sz w:val="27"/>
          <w:rtl/>
        </w:rPr>
        <w:t xml:space="preserve"> </w:t>
      </w:r>
      <w:r w:rsidRPr="00904FCB">
        <w:rPr>
          <w:rFonts w:hint="cs"/>
          <w:sz w:val="27"/>
          <w:rtl/>
        </w:rPr>
        <w:t>عاطفي</w:t>
      </w:r>
      <w:r w:rsidR="000D4EDE" w:rsidRPr="00904FCB">
        <w:rPr>
          <w:rFonts w:hint="cs"/>
          <w:sz w:val="27"/>
          <w:rtl/>
        </w:rPr>
        <w:t>،</w:t>
      </w:r>
      <w:r w:rsidRPr="00904FCB">
        <w:rPr>
          <w:sz w:val="27"/>
          <w:rtl/>
        </w:rPr>
        <w:t xml:space="preserve"> </w:t>
      </w:r>
      <w:r w:rsidRPr="00904FCB">
        <w:rPr>
          <w:rFonts w:hint="cs"/>
          <w:sz w:val="27"/>
          <w:rtl/>
        </w:rPr>
        <w:t>لا</w:t>
      </w:r>
      <w:r w:rsidR="000D4EDE" w:rsidRPr="00904FCB">
        <w:rPr>
          <w:rFonts w:hint="cs"/>
          <w:sz w:val="27"/>
          <w:rtl/>
        </w:rPr>
        <w:t xml:space="preserve"> </w:t>
      </w:r>
      <w:r w:rsidRPr="00904FCB">
        <w:rPr>
          <w:rFonts w:hint="cs"/>
          <w:sz w:val="27"/>
          <w:rtl/>
        </w:rPr>
        <w:t>عقلاني</w:t>
      </w:r>
      <w:r w:rsidRPr="00904FCB">
        <w:rPr>
          <w:sz w:val="27"/>
          <w:rtl/>
        </w:rPr>
        <w:t xml:space="preserve">. </w:t>
      </w:r>
      <w:r w:rsidRPr="00904FCB">
        <w:rPr>
          <w:rFonts w:hint="cs"/>
          <w:sz w:val="27"/>
          <w:rtl/>
        </w:rPr>
        <w:t>فهو</w:t>
      </w:r>
      <w:r w:rsidRPr="00904FCB">
        <w:rPr>
          <w:sz w:val="27"/>
          <w:rtl/>
        </w:rPr>
        <w:t xml:space="preserve"> </w:t>
      </w:r>
      <w:r w:rsidRPr="00904FCB">
        <w:rPr>
          <w:rFonts w:hint="cs"/>
          <w:sz w:val="27"/>
          <w:rtl/>
        </w:rPr>
        <w:t>يمتلك</w:t>
      </w:r>
      <w:r w:rsidRPr="00904FCB">
        <w:rPr>
          <w:sz w:val="27"/>
          <w:rtl/>
        </w:rPr>
        <w:t xml:space="preserve"> </w:t>
      </w:r>
      <w:r w:rsidRPr="00904FCB">
        <w:rPr>
          <w:rFonts w:hint="cs"/>
          <w:sz w:val="27"/>
          <w:rtl/>
        </w:rPr>
        <w:t>سلطة</w:t>
      </w:r>
      <w:r w:rsidRPr="00904FCB">
        <w:rPr>
          <w:sz w:val="27"/>
          <w:rtl/>
        </w:rPr>
        <w:t xml:space="preserve"> </w:t>
      </w:r>
      <w:r w:rsidRPr="00904FCB">
        <w:rPr>
          <w:rFonts w:hint="cs"/>
          <w:sz w:val="27"/>
          <w:rtl/>
        </w:rPr>
        <w:t>رمزية</w:t>
      </w:r>
      <w:r w:rsidRPr="00904FCB">
        <w:rPr>
          <w:sz w:val="27"/>
          <w:rtl/>
        </w:rPr>
        <w:t xml:space="preserve"> (</w:t>
      </w:r>
      <w:r w:rsidRPr="00904FCB">
        <w:rPr>
          <w:rFonts w:hint="cs"/>
          <w:sz w:val="27"/>
          <w:rtl/>
        </w:rPr>
        <w:t>عنف</w:t>
      </w:r>
      <w:r w:rsidRPr="00904FCB">
        <w:rPr>
          <w:sz w:val="27"/>
          <w:rtl/>
        </w:rPr>
        <w:t xml:space="preserve"> </w:t>
      </w:r>
      <w:r w:rsidRPr="00904FCB">
        <w:rPr>
          <w:rFonts w:hint="cs"/>
          <w:sz w:val="27"/>
          <w:rtl/>
        </w:rPr>
        <w:t>رمزي</w:t>
      </w:r>
      <w:r w:rsidRPr="00904FCB">
        <w:rPr>
          <w:sz w:val="27"/>
          <w:rtl/>
        </w:rPr>
        <w:t xml:space="preserve">) </w:t>
      </w:r>
      <w:r w:rsidRPr="00904FCB">
        <w:rPr>
          <w:rFonts w:hint="cs"/>
          <w:sz w:val="27"/>
          <w:rtl/>
        </w:rPr>
        <w:t>تكتسب</w:t>
      </w:r>
      <w:r w:rsidRPr="00904FCB">
        <w:rPr>
          <w:sz w:val="27"/>
          <w:rtl/>
        </w:rPr>
        <w:t xml:space="preserve"> </w:t>
      </w:r>
      <w:r w:rsidRPr="00904FCB">
        <w:rPr>
          <w:rFonts w:hint="cs"/>
          <w:sz w:val="27"/>
          <w:rtl/>
        </w:rPr>
        <w:t>شرعيتها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مقولاتها</w:t>
      </w:r>
      <w:r w:rsidRPr="00904FCB">
        <w:rPr>
          <w:sz w:val="27"/>
          <w:rtl/>
        </w:rPr>
        <w:t xml:space="preserve"> </w:t>
      </w:r>
      <w:r w:rsidRPr="00904FCB">
        <w:rPr>
          <w:rFonts w:hint="cs"/>
          <w:sz w:val="27"/>
          <w:rtl/>
        </w:rPr>
        <w:t>الخاصة</w:t>
      </w:r>
      <w:r w:rsidR="000D4EDE" w:rsidRPr="00904FCB">
        <w:rPr>
          <w:rFonts w:hint="cs"/>
          <w:sz w:val="27"/>
          <w:rtl/>
        </w:rPr>
        <w:t>،</w:t>
      </w:r>
      <w:r w:rsidRPr="00904FCB">
        <w:rPr>
          <w:sz w:val="27"/>
          <w:rtl/>
        </w:rPr>
        <w:t xml:space="preserve"> </w:t>
      </w:r>
      <w:r w:rsidRPr="00904FCB">
        <w:rPr>
          <w:rFonts w:hint="cs"/>
          <w:sz w:val="27"/>
          <w:rtl/>
        </w:rPr>
        <w:t>ومن</w:t>
      </w:r>
      <w:r w:rsidRPr="00904FCB">
        <w:rPr>
          <w:sz w:val="27"/>
          <w:rtl/>
        </w:rPr>
        <w:t xml:space="preserve"> </w:t>
      </w:r>
      <w:r w:rsidRPr="00904FCB">
        <w:rPr>
          <w:rFonts w:hint="cs"/>
          <w:sz w:val="27"/>
          <w:rtl/>
        </w:rPr>
        <w:t>منطقها</w:t>
      </w:r>
      <w:r w:rsidRPr="00904FCB">
        <w:rPr>
          <w:sz w:val="27"/>
          <w:rtl/>
        </w:rPr>
        <w:t xml:space="preserve"> </w:t>
      </w:r>
      <w:r w:rsidRPr="00904FCB">
        <w:rPr>
          <w:rFonts w:hint="cs"/>
          <w:sz w:val="27"/>
          <w:rtl/>
        </w:rPr>
        <w:t>الداخلي</w:t>
      </w:r>
      <w:r w:rsidR="000D4EDE" w:rsidRPr="00904FCB">
        <w:rPr>
          <w:rFonts w:hint="cs"/>
          <w:sz w:val="27"/>
          <w:rtl/>
        </w:rPr>
        <w:t>،</w:t>
      </w:r>
      <w:r w:rsidRPr="00904FCB">
        <w:rPr>
          <w:sz w:val="27"/>
          <w:rtl/>
        </w:rPr>
        <w:t xml:space="preserve"> </w:t>
      </w:r>
      <w:r w:rsidRPr="00904FCB">
        <w:rPr>
          <w:rFonts w:hint="cs"/>
          <w:sz w:val="27"/>
          <w:rtl/>
        </w:rPr>
        <w:t>ومن</w:t>
      </w:r>
      <w:r w:rsidRPr="00904FCB">
        <w:rPr>
          <w:sz w:val="27"/>
          <w:rtl/>
        </w:rPr>
        <w:t xml:space="preserve"> </w:t>
      </w:r>
      <w:r w:rsidRPr="00904FCB">
        <w:rPr>
          <w:rFonts w:hint="cs"/>
          <w:sz w:val="27"/>
          <w:rtl/>
        </w:rPr>
        <w:t>مفاهيمها</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يستمد</w:t>
      </w:r>
      <w:r w:rsidRPr="00904FCB">
        <w:rPr>
          <w:sz w:val="27"/>
          <w:rtl/>
        </w:rPr>
        <w:t xml:space="preserve"> </w:t>
      </w:r>
      <w:r w:rsidRPr="00904FCB">
        <w:rPr>
          <w:rFonts w:hint="cs"/>
          <w:sz w:val="27"/>
          <w:rtl/>
        </w:rPr>
        <w:t>شرعيته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استعدادات</w:t>
      </w:r>
      <w:r w:rsidRPr="00904FCB">
        <w:rPr>
          <w:sz w:val="27"/>
          <w:rtl/>
        </w:rPr>
        <w:t xml:space="preserve"> </w:t>
      </w:r>
      <w:r w:rsidRPr="00904FCB">
        <w:rPr>
          <w:rFonts w:hint="cs"/>
          <w:sz w:val="27"/>
          <w:rtl/>
        </w:rPr>
        <w:t>مؤي</w:t>
      </w:r>
      <w:r w:rsidR="000D4EDE" w:rsidRPr="00904FCB">
        <w:rPr>
          <w:rFonts w:hint="cs"/>
          <w:sz w:val="27"/>
          <w:rtl/>
        </w:rPr>
        <w:t>ِّ</w:t>
      </w:r>
      <w:r w:rsidRPr="00904FCB">
        <w:rPr>
          <w:rFonts w:hint="cs"/>
          <w:sz w:val="27"/>
          <w:rtl/>
        </w:rPr>
        <w:t>ديه</w:t>
      </w:r>
      <w:r w:rsidRPr="00904FCB">
        <w:rPr>
          <w:sz w:val="27"/>
          <w:rtl/>
        </w:rPr>
        <w:t xml:space="preserve"> </w:t>
      </w:r>
      <w:r w:rsidRPr="00904FCB">
        <w:rPr>
          <w:rFonts w:hint="cs"/>
          <w:sz w:val="27"/>
          <w:rtl/>
        </w:rPr>
        <w:t>بشكل</w:t>
      </w:r>
      <w:r w:rsidR="000D4EDE" w:rsidRPr="00904FCB">
        <w:rPr>
          <w:rFonts w:hint="cs"/>
          <w:sz w:val="27"/>
          <w:rtl/>
        </w:rPr>
        <w:t>ٍ</w:t>
      </w:r>
      <w:r w:rsidRPr="00904FCB">
        <w:rPr>
          <w:sz w:val="27"/>
          <w:rtl/>
        </w:rPr>
        <w:t xml:space="preserve"> </w:t>
      </w:r>
      <w:r w:rsidRPr="00904FCB">
        <w:rPr>
          <w:rFonts w:hint="cs"/>
          <w:sz w:val="27"/>
          <w:rtl/>
        </w:rPr>
        <w:t>غيبي</w:t>
      </w:r>
      <w:r w:rsidRPr="00904FCB">
        <w:rPr>
          <w:sz w:val="27"/>
          <w:rtl/>
        </w:rPr>
        <w:t xml:space="preserve"> </w:t>
      </w:r>
      <w:r w:rsidRPr="00904FCB">
        <w:rPr>
          <w:rFonts w:hint="cs"/>
          <w:sz w:val="27"/>
          <w:rtl/>
        </w:rPr>
        <w:t>وانفعالي</w:t>
      </w:r>
      <w:r w:rsidRPr="00904FCB">
        <w:rPr>
          <w:sz w:val="27"/>
          <w:rtl/>
        </w:rPr>
        <w:t xml:space="preserve"> </w:t>
      </w:r>
      <w:r w:rsidRPr="00904FCB">
        <w:rPr>
          <w:rFonts w:hint="cs"/>
          <w:sz w:val="27"/>
          <w:rtl/>
        </w:rPr>
        <w:t>يدغدغ</w:t>
      </w:r>
      <w:r w:rsidRPr="00904FCB">
        <w:rPr>
          <w:sz w:val="27"/>
          <w:rtl/>
        </w:rPr>
        <w:t xml:space="preserve"> </w:t>
      </w:r>
      <w:r w:rsidRPr="00904FCB">
        <w:rPr>
          <w:rFonts w:hint="cs"/>
          <w:sz w:val="27"/>
          <w:rtl/>
        </w:rPr>
        <w:t>الغرائز</w:t>
      </w:r>
      <w:r w:rsidRPr="00904FCB">
        <w:rPr>
          <w:sz w:val="27"/>
          <w:rtl/>
        </w:rPr>
        <w:t xml:space="preserve"> </w:t>
      </w:r>
      <w:r w:rsidRPr="00904FCB">
        <w:rPr>
          <w:rFonts w:hint="cs"/>
          <w:sz w:val="27"/>
          <w:rtl/>
        </w:rPr>
        <w:t>الحس</w:t>
      </w:r>
      <w:r w:rsidR="000D4EDE" w:rsidRPr="00904FCB">
        <w:rPr>
          <w:rFonts w:hint="cs"/>
          <w:sz w:val="27"/>
          <w:rtl/>
        </w:rPr>
        <w:t>ِّ</w:t>
      </w:r>
      <w:r w:rsidRPr="00904FCB">
        <w:rPr>
          <w:rFonts w:hint="cs"/>
          <w:sz w:val="27"/>
          <w:rtl/>
        </w:rPr>
        <w:t>ية</w:t>
      </w:r>
      <w:r w:rsidRPr="00904FCB">
        <w:rPr>
          <w:sz w:val="27"/>
          <w:rtl/>
        </w:rPr>
        <w:t xml:space="preserve"> </w:t>
      </w:r>
      <w:r w:rsidRPr="00904FCB">
        <w:rPr>
          <w:rFonts w:hint="cs"/>
          <w:sz w:val="27"/>
          <w:rtl/>
        </w:rPr>
        <w:t>والجسدية</w:t>
      </w:r>
      <w:r w:rsidR="000D4EDE" w:rsidRPr="00904FCB">
        <w:rPr>
          <w:rFonts w:hint="cs"/>
          <w:sz w:val="27"/>
          <w:rtl/>
        </w:rPr>
        <w:t>،</w:t>
      </w:r>
      <w:r w:rsidRPr="00904FCB">
        <w:rPr>
          <w:sz w:val="27"/>
          <w:rtl/>
        </w:rPr>
        <w:t xml:space="preserve"> </w:t>
      </w:r>
      <w:r w:rsidRPr="00904FCB">
        <w:rPr>
          <w:rFonts w:hint="cs"/>
          <w:sz w:val="27"/>
          <w:rtl/>
        </w:rPr>
        <w:t>وينتج</w:t>
      </w:r>
      <w:r w:rsidRPr="00904FCB">
        <w:rPr>
          <w:sz w:val="27"/>
          <w:rtl/>
        </w:rPr>
        <w:t xml:space="preserve"> </w:t>
      </w:r>
      <w:r w:rsidRPr="00904FCB">
        <w:rPr>
          <w:rFonts w:hint="cs"/>
          <w:sz w:val="27"/>
          <w:rtl/>
        </w:rPr>
        <w:t>تأويلات</w:t>
      </w:r>
      <w:r w:rsidRPr="00904FCB">
        <w:rPr>
          <w:sz w:val="27"/>
          <w:rtl/>
        </w:rPr>
        <w:t xml:space="preserve"> </w:t>
      </w:r>
      <w:r w:rsidRPr="00904FCB">
        <w:rPr>
          <w:rFonts w:hint="cs"/>
          <w:sz w:val="27"/>
          <w:rtl/>
        </w:rPr>
        <w:t>خاطئة</w:t>
      </w:r>
      <w:r w:rsidRPr="00904FCB">
        <w:rPr>
          <w:sz w:val="27"/>
          <w:rtl/>
        </w:rPr>
        <w:t xml:space="preserve"> </w:t>
      </w:r>
      <w:r w:rsidRPr="00904FCB">
        <w:rPr>
          <w:rFonts w:hint="cs"/>
          <w:sz w:val="27"/>
          <w:rtl/>
        </w:rPr>
        <w:t>لمفهوم</w:t>
      </w:r>
      <w:r w:rsidRPr="00904FCB">
        <w:rPr>
          <w:sz w:val="27"/>
          <w:rtl/>
        </w:rPr>
        <w:t xml:space="preserve"> </w:t>
      </w:r>
      <w:r w:rsidRPr="00904FCB">
        <w:rPr>
          <w:rFonts w:hint="cs"/>
          <w:sz w:val="27"/>
          <w:rtl/>
        </w:rPr>
        <w:t>الحوار</w:t>
      </w:r>
      <w:r w:rsidRPr="00904FCB">
        <w:rPr>
          <w:sz w:val="27"/>
          <w:rtl/>
        </w:rPr>
        <w:t xml:space="preserve"> </w:t>
      </w:r>
      <w:r w:rsidRPr="00904FCB">
        <w:rPr>
          <w:rFonts w:hint="cs"/>
          <w:sz w:val="27"/>
          <w:rtl/>
        </w:rPr>
        <w:t>الثقافي</w:t>
      </w:r>
      <w:r w:rsidR="000D4EDE" w:rsidRPr="00904FCB">
        <w:rPr>
          <w:rFonts w:hint="cs"/>
          <w:sz w:val="27"/>
          <w:rtl/>
        </w:rPr>
        <w:t>؛</w:t>
      </w:r>
      <w:r w:rsidRPr="00904FCB">
        <w:rPr>
          <w:rFonts w:hint="cs"/>
          <w:sz w:val="27"/>
          <w:rtl/>
        </w:rPr>
        <w:t xml:space="preserve"> لأنه</w:t>
      </w:r>
      <w:r w:rsidRPr="00904FCB">
        <w:rPr>
          <w:sz w:val="27"/>
          <w:rtl/>
        </w:rPr>
        <w:t xml:space="preserve"> </w:t>
      </w:r>
      <w:r w:rsidRPr="00904FCB">
        <w:rPr>
          <w:rFonts w:hint="cs"/>
          <w:sz w:val="27"/>
          <w:rtl/>
        </w:rPr>
        <w:t>مستمد</w:t>
      </w:r>
      <w:r w:rsidR="000D4EDE"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خطاب</w:t>
      </w:r>
      <w:r w:rsidRPr="00904FCB">
        <w:rPr>
          <w:sz w:val="27"/>
          <w:rtl/>
        </w:rPr>
        <w:t xml:space="preserve"> </w:t>
      </w:r>
      <w:r w:rsidRPr="00904FCB">
        <w:rPr>
          <w:rFonts w:hint="cs"/>
          <w:sz w:val="27"/>
          <w:rtl/>
        </w:rPr>
        <w:t>ديني</w:t>
      </w:r>
      <w:r w:rsidRPr="00904FCB">
        <w:rPr>
          <w:sz w:val="27"/>
          <w:rtl/>
        </w:rPr>
        <w:t xml:space="preserve"> </w:t>
      </w:r>
      <w:r w:rsidRPr="00904FCB">
        <w:rPr>
          <w:rFonts w:hint="cs"/>
          <w:sz w:val="27"/>
          <w:rtl/>
        </w:rPr>
        <w:t>أسير</w:t>
      </w:r>
      <w:r w:rsidRPr="00904FCB">
        <w:rPr>
          <w:sz w:val="27"/>
          <w:rtl/>
        </w:rPr>
        <w:t xml:space="preserve"> </w:t>
      </w:r>
      <w:r w:rsidRPr="00904FCB">
        <w:rPr>
          <w:rFonts w:hint="cs"/>
          <w:sz w:val="27"/>
          <w:rtl/>
        </w:rPr>
        <w:t>الصورة</w:t>
      </w:r>
      <w:r w:rsidRPr="00904FCB">
        <w:rPr>
          <w:sz w:val="27"/>
          <w:rtl/>
        </w:rPr>
        <w:t xml:space="preserve"> </w:t>
      </w:r>
      <w:r w:rsidRPr="00904FCB">
        <w:rPr>
          <w:rFonts w:hint="cs"/>
          <w:sz w:val="27"/>
          <w:rtl/>
        </w:rPr>
        <w:t>الأولى</w:t>
      </w:r>
      <w:r w:rsidRPr="00904FCB">
        <w:rPr>
          <w:sz w:val="27"/>
          <w:rtl/>
        </w:rPr>
        <w:t xml:space="preserve"> </w:t>
      </w:r>
      <w:r w:rsidRPr="00904FCB">
        <w:rPr>
          <w:rFonts w:hint="cs"/>
          <w:sz w:val="27"/>
          <w:rtl/>
        </w:rPr>
        <w:t>البدائية، وتتحك</w:t>
      </w:r>
      <w:r w:rsidR="000D4EDE" w:rsidRPr="00904FCB">
        <w:rPr>
          <w:rFonts w:hint="cs"/>
          <w:sz w:val="27"/>
          <w:rtl/>
        </w:rPr>
        <w:t>َّ</w:t>
      </w:r>
      <w:r w:rsidRPr="00904FCB">
        <w:rPr>
          <w:rFonts w:hint="cs"/>
          <w:sz w:val="27"/>
          <w:rtl/>
        </w:rPr>
        <w:t>م</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ثنائيات</w:t>
      </w:r>
      <w:r w:rsidRPr="00904FCB">
        <w:rPr>
          <w:sz w:val="27"/>
          <w:rtl/>
        </w:rPr>
        <w:t xml:space="preserve"> </w:t>
      </w:r>
      <w:r w:rsidRPr="00904FCB">
        <w:rPr>
          <w:rFonts w:hint="cs"/>
          <w:sz w:val="27"/>
          <w:rtl/>
        </w:rPr>
        <w:t>ساذجة</w:t>
      </w:r>
      <w:r w:rsidR="000D4EDE" w:rsidRPr="00904FCB">
        <w:rPr>
          <w:rFonts w:hint="cs"/>
          <w:sz w:val="27"/>
          <w:rtl/>
        </w:rPr>
        <w:t>،</w:t>
      </w:r>
      <w:r w:rsidRPr="00904FCB">
        <w:rPr>
          <w:sz w:val="27"/>
          <w:rtl/>
        </w:rPr>
        <w:t xml:space="preserve"> </w:t>
      </w:r>
      <w:r w:rsidRPr="00904FCB">
        <w:rPr>
          <w:rFonts w:hint="cs"/>
          <w:sz w:val="27"/>
          <w:rtl/>
        </w:rPr>
        <w:t>كالخير</w:t>
      </w:r>
      <w:r w:rsidRPr="00904FCB">
        <w:rPr>
          <w:sz w:val="27"/>
          <w:rtl/>
        </w:rPr>
        <w:t xml:space="preserve"> </w:t>
      </w:r>
      <w:r w:rsidRPr="00904FCB">
        <w:rPr>
          <w:rFonts w:hint="cs"/>
          <w:sz w:val="27"/>
          <w:rtl/>
        </w:rPr>
        <w:t>والشر، والإيمان</w:t>
      </w:r>
      <w:r w:rsidRPr="00904FCB">
        <w:rPr>
          <w:sz w:val="27"/>
          <w:rtl/>
        </w:rPr>
        <w:t xml:space="preserve"> </w:t>
      </w:r>
      <w:r w:rsidRPr="00904FCB">
        <w:rPr>
          <w:rFonts w:hint="cs"/>
          <w:sz w:val="27"/>
          <w:rtl/>
        </w:rPr>
        <w:t>والكفر، والحق</w:t>
      </w:r>
      <w:r w:rsidR="000D4EDE" w:rsidRPr="00904FCB">
        <w:rPr>
          <w:rFonts w:hint="cs"/>
          <w:sz w:val="27"/>
          <w:rtl/>
        </w:rPr>
        <w:t>ّ</w:t>
      </w:r>
      <w:r w:rsidRPr="00904FCB">
        <w:rPr>
          <w:sz w:val="27"/>
          <w:rtl/>
        </w:rPr>
        <w:t xml:space="preserve"> </w:t>
      </w:r>
      <w:r w:rsidRPr="00904FCB">
        <w:rPr>
          <w:rFonts w:hint="cs"/>
          <w:sz w:val="27"/>
          <w:rtl/>
        </w:rPr>
        <w:t>والباطل، والعقل</w:t>
      </w:r>
      <w:r w:rsidRPr="00904FCB">
        <w:rPr>
          <w:sz w:val="27"/>
          <w:rtl/>
        </w:rPr>
        <w:t xml:space="preserve"> </w:t>
      </w:r>
      <w:r w:rsidRPr="00904FCB">
        <w:rPr>
          <w:rFonts w:hint="cs"/>
          <w:sz w:val="27"/>
          <w:rtl/>
        </w:rPr>
        <w:t>والنقل، حيث</w:t>
      </w:r>
      <w:r w:rsidRPr="00904FCB">
        <w:rPr>
          <w:sz w:val="27"/>
          <w:rtl/>
        </w:rPr>
        <w:t xml:space="preserve"> </w:t>
      </w:r>
      <w:r w:rsidRPr="00904FCB">
        <w:rPr>
          <w:rFonts w:hint="cs"/>
          <w:sz w:val="27"/>
          <w:rtl/>
        </w:rPr>
        <w:t>ينتقل</w:t>
      </w:r>
      <w:r w:rsidRPr="00904FCB">
        <w:rPr>
          <w:sz w:val="27"/>
          <w:rtl/>
        </w:rPr>
        <w:t xml:space="preserve"> </w:t>
      </w:r>
      <w:r w:rsidRPr="00904FCB">
        <w:rPr>
          <w:rFonts w:hint="cs"/>
          <w:sz w:val="27"/>
          <w:rtl/>
        </w:rPr>
        <w:t>الخطاب</w:t>
      </w:r>
      <w:r w:rsidRPr="00904FCB">
        <w:rPr>
          <w:sz w:val="27"/>
          <w:rtl/>
        </w:rPr>
        <w:t xml:space="preserve"> </w:t>
      </w:r>
      <w:r w:rsidRPr="00904FCB">
        <w:rPr>
          <w:rFonts w:hint="cs"/>
          <w:sz w:val="27"/>
          <w:rtl/>
        </w:rPr>
        <w:t>الديني</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خطاب</w:t>
      </w:r>
      <w:r w:rsidRPr="00904FCB">
        <w:rPr>
          <w:sz w:val="27"/>
          <w:rtl/>
        </w:rPr>
        <w:t xml:space="preserve"> </w:t>
      </w:r>
      <w:r w:rsidR="000D4EDE" w:rsidRPr="00904FCB">
        <w:rPr>
          <w:rFonts w:hint="cs"/>
          <w:sz w:val="27"/>
          <w:rtl/>
        </w:rPr>
        <w:t>إ</w:t>
      </w:r>
      <w:r w:rsidRPr="00904FCB">
        <w:rPr>
          <w:rFonts w:hint="cs"/>
          <w:sz w:val="27"/>
          <w:rtl/>
        </w:rPr>
        <w:t>لهي</w:t>
      </w:r>
      <w:r w:rsidR="000D4EDE" w:rsidRPr="00904FCB">
        <w:rPr>
          <w:rFonts w:hint="cs"/>
          <w:sz w:val="27"/>
          <w:rtl/>
        </w:rPr>
        <w:t>ّ</w:t>
      </w:r>
      <w:r w:rsidRPr="00904FCB">
        <w:rPr>
          <w:sz w:val="27"/>
          <w:rtl/>
        </w:rPr>
        <w:t xml:space="preserve"> </w:t>
      </w:r>
      <w:r w:rsidRPr="00904FCB">
        <w:rPr>
          <w:rFonts w:hint="cs"/>
          <w:sz w:val="27"/>
          <w:rtl/>
        </w:rPr>
        <w:t>يتماثل</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النص</w:t>
      </w:r>
      <w:r w:rsidR="000D4EDE" w:rsidRPr="00904FCB">
        <w:rPr>
          <w:rFonts w:hint="cs"/>
          <w:sz w:val="27"/>
          <w:rtl/>
        </w:rPr>
        <w:t>ّ</w:t>
      </w:r>
      <w:r w:rsidRPr="00904FCB">
        <w:rPr>
          <w:sz w:val="27"/>
          <w:rtl/>
        </w:rPr>
        <w:t xml:space="preserve"> </w:t>
      </w:r>
      <w:r w:rsidRPr="00904FCB">
        <w:rPr>
          <w:rFonts w:hint="cs"/>
          <w:sz w:val="27"/>
          <w:rtl/>
        </w:rPr>
        <w:t>الديني</w:t>
      </w:r>
      <w:r w:rsidRPr="00904FCB">
        <w:rPr>
          <w:sz w:val="27"/>
          <w:rtl/>
        </w:rPr>
        <w:t xml:space="preserve"> </w:t>
      </w:r>
      <w:r w:rsidRPr="00904FCB">
        <w:rPr>
          <w:rFonts w:hint="cs"/>
          <w:sz w:val="27"/>
          <w:rtl/>
        </w:rPr>
        <w:t>المقد</w:t>
      </w:r>
      <w:r w:rsidR="000D4EDE" w:rsidRPr="00904FCB">
        <w:rPr>
          <w:rFonts w:hint="cs"/>
          <w:sz w:val="27"/>
          <w:rtl/>
        </w:rPr>
        <w:t>َّ</w:t>
      </w:r>
      <w:r w:rsidRPr="00904FCB">
        <w:rPr>
          <w:rFonts w:hint="cs"/>
          <w:sz w:val="27"/>
          <w:rtl/>
        </w:rPr>
        <w:t>س</w:t>
      </w:r>
      <w:r w:rsidR="000D4EDE"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يتماهى</w:t>
      </w:r>
      <w:r w:rsidRPr="00904FCB">
        <w:rPr>
          <w:sz w:val="27"/>
          <w:rtl/>
        </w:rPr>
        <w:t xml:space="preserve"> </w:t>
      </w:r>
      <w:r w:rsidRPr="00904FCB">
        <w:rPr>
          <w:rFonts w:hint="cs"/>
          <w:sz w:val="27"/>
          <w:rtl/>
        </w:rPr>
        <w:t>معه</w:t>
      </w:r>
      <w:r w:rsidR="000D4EDE"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يخلق</w:t>
      </w:r>
      <w:r w:rsidRPr="00904FCB">
        <w:rPr>
          <w:sz w:val="27"/>
          <w:rtl/>
        </w:rPr>
        <w:t xml:space="preserve"> </w:t>
      </w:r>
      <w:r w:rsidRPr="00904FCB">
        <w:rPr>
          <w:rFonts w:hint="cs"/>
          <w:sz w:val="27"/>
          <w:rtl/>
        </w:rPr>
        <w:t>صورة</w:t>
      </w:r>
      <w:r w:rsidR="000D4EDE" w:rsidRPr="00904FCB">
        <w:rPr>
          <w:rFonts w:hint="cs"/>
          <w:sz w:val="27"/>
          <w:rtl/>
        </w:rPr>
        <w:t>ً</w:t>
      </w:r>
      <w:r w:rsidRPr="00904FCB">
        <w:rPr>
          <w:sz w:val="27"/>
          <w:rtl/>
        </w:rPr>
        <w:t xml:space="preserve"> </w:t>
      </w:r>
      <w:r w:rsidRPr="00904FCB">
        <w:rPr>
          <w:rFonts w:hint="cs"/>
          <w:sz w:val="27"/>
          <w:rtl/>
        </w:rPr>
        <w:t>لخطاب</w:t>
      </w:r>
      <w:r w:rsidRPr="00904FCB">
        <w:rPr>
          <w:sz w:val="27"/>
          <w:rtl/>
        </w:rPr>
        <w:t xml:space="preserve"> </w:t>
      </w:r>
      <w:r w:rsidRPr="00904FCB">
        <w:rPr>
          <w:rFonts w:hint="cs"/>
          <w:sz w:val="27"/>
          <w:rtl/>
        </w:rPr>
        <w:t>يقترب</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المقد</w:t>
      </w:r>
      <w:r w:rsidR="000D4EDE" w:rsidRPr="00904FCB">
        <w:rPr>
          <w:rFonts w:hint="cs"/>
          <w:sz w:val="27"/>
          <w:rtl/>
        </w:rPr>
        <w:t>َّ</w:t>
      </w:r>
      <w:r w:rsidRPr="00904FCB">
        <w:rPr>
          <w:rFonts w:hint="cs"/>
          <w:sz w:val="27"/>
          <w:rtl/>
        </w:rPr>
        <w:t>س</w:t>
      </w:r>
      <w:r w:rsidR="000D4EDE" w:rsidRPr="00904FCB">
        <w:rPr>
          <w:rFonts w:hint="cs"/>
          <w:sz w:val="27"/>
          <w:rtl/>
        </w:rPr>
        <w:t>،</w:t>
      </w:r>
      <w:r w:rsidRPr="00904FCB">
        <w:rPr>
          <w:sz w:val="27"/>
          <w:rtl/>
        </w:rPr>
        <w:t xml:space="preserve"> </w:t>
      </w:r>
      <w:r w:rsidRPr="00904FCB">
        <w:rPr>
          <w:rFonts w:hint="cs"/>
          <w:sz w:val="27"/>
          <w:rtl/>
        </w:rPr>
        <w:t>ويتعالى</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الواقع</w:t>
      </w:r>
      <w:r w:rsidR="000D4EDE"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يعترف</w:t>
      </w:r>
      <w:r w:rsidRPr="00904FCB">
        <w:rPr>
          <w:sz w:val="27"/>
          <w:rtl/>
        </w:rPr>
        <w:t xml:space="preserve"> </w:t>
      </w:r>
      <w:r w:rsidRPr="00904FCB">
        <w:rPr>
          <w:rFonts w:hint="cs"/>
          <w:sz w:val="27"/>
          <w:rtl/>
        </w:rPr>
        <w:t>بالمتغي</w:t>
      </w:r>
      <w:r w:rsidR="000D4EDE" w:rsidRPr="00904FCB">
        <w:rPr>
          <w:rFonts w:hint="cs"/>
          <w:sz w:val="27"/>
          <w:rtl/>
        </w:rPr>
        <w:t>ِّ</w:t>
      </w:r>
      <w:r w:rsidRPr="00904FCB">
        <w:rPr>
          <w:rFonts w:hint="cs"/>
          <w:sz w:val="27"/>
          <w:rtl/>
        </w:rPr>
        <w:t>رات</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تحدث</w:t>
      </w:r>
      <w:r w:rsidRPr="00904FCB">
        <w:rPr>
          <w:sz w:val="27"/>
          <w:rtl/>
        </w:rPr>
        <w:t xml:space="preserve"> </w:t>
      </w:r>
      <w:r w:rsidRPr="00904FCB">
        <w:rPr>
          <w:rFonts w:hint="cs"/>
          <w:sz w:val="27"/>
          <w:rtl/>
        </w:rPr>
        <w:t>فيه</w:t>
      </w:r>
      <w:r w:rsidRPr="00904FCB">
        <w:rPr>
          <w:sz w:val="27"/>
          <w:rtl/>
        </w:rPr>
        <w:t xml:space="preserve">. </w:t>
      </w:r>
    </w:p>
    <w:p w:rsidR="00057E24" w:rsidRPr="00904FCB" w:rsidRDefault="00057E24" w:rsidP="007A21AA">
      <w:pPr>
        <w:pStyle w:val="31"/>
        <w:spacing w:line="400" w:lineRule="exact"/>
        <w:rPr>
          <w:color w:val="auto"/>
          <w:rtl/>
          <w:lang w:bidi="ar-SY"/>
        </w:rPr>
      </w:pPr>
      <w:r w:rsidRPr="00904FCB">
        <w:rPr>
          <w:color w:val="auto"/>
          <w:rtl/>
        </w:rPr>
        <w:br/>
      </w:r>
      <w:r w:rsidRPr="00904FCB">
        <w:rPr>
          <w:rFonts w:hint="cs"/>
          <w:color w:val="auto"/>
          <w:rtl/>
          <w:lang w:bidi="ar-SY"/>
        </w:rPr>
        <w:t>أسباب</w:t>
      </w:r>
      <w:r w:rsidRPr="00904FCB">
        <w:rPr>
          <w:color w:val="auto"/>
          <w:rtl/>
          <w:lang w:bidi="ar-SY"/>
        </w:rPr>
        <w:t xml:space="preserve"> </w:t>
      </w:r>
      <w:r w:rsidRPr="00904FCB">
        <w:rPr>
          <w:rFonts w:hint="cs"/>
          <w:color w:val="auto"/>
          <w:rtl/>
          <w:lang w:bidi="ar-SY"/>
        </w:rPr>
        <w:t>ومول</w:t>
      </w:r>
      <w:r w:rsidR="00DC724A" w:rsidRPr="00904FCB">
        <w:rPr>
          <w:rFonts w:hint="cs"/>
          <w:color w:val="auto"/>
          <w:rtl/>
          <w:lang w:bidi="ar-SY"/>
        </w:rPr>
        <w:t>ِّ</w:t>
      </w:r>
      <w:r w:rsidRPr="00904FCB">
        <w:rPr>
          <w:rFonts w:hint="cs"/>
          <w:color w:val="auto"/>
          <w:rtl/>
          <w:lang w:bidi="ar-SY"/>
        </w:rPr>
        <w:t>دات</w:t>
      </w:r>
      <w:r w:rsidRPr="00904FCB">
        <w:rPr>
          <w:color w:val="auto"/>
          <w:rtl/>
          <w:lang w:bidi="ar-SY"/>
        </w:rPr>
        <w:t xml:space="preserve"> </w:t>
      </w:r>
      <w:r w:rsidRPr="00904FCB">
        <w:rPr>
          <w:rFonts w:hint="cs"/>
          <w:color w:val="auto"/>
          <w:rtl/>
          <w:lang w:bidi="ar-SY"/>
        </w:rPr>
        <w:t>العنف</w:t>
      </w:r>
      <w:r w:rsidRPr="00904FCB">
        <w:rPr>
          <w:color w:val="auto"/>
          <w:rtl/>
          <w:lang w:bidi="ar-SY"/>
        </w:rPr>
        <w:t xml:space="preserve"> </w:t>
      </w:r>
      <w:r w:rsidRPr="00904FCB">
        <w:rPr>
          <w:rFonts w:hint="cs"/>
          <w:color w:val="auto"/>
          <w:rtl/>
          <w:lang w:bidi="ar-SY"/>
        </w:rPr>
        <w:t>في</w:t>
      </w:r>
      <w:r w:rsidRPr="00904FCB">
        <w:rPr>
          <w:color w:val="auto"/>
          <w:rtl/>
          <w:lang w:bidi="ar-SY"/>
        </w:rPr>
        <w:t xml:space="preserve"> </w:t>
      </w:r>
      <w:r w:rsidRPr="00904FCB">
        <w:rPr>
          <w:rFonts w:hint="cs"/>
          <w:color w:val="auto"/>
          <w:rtl/>
          <w:lang w:bidi="ar-SY"/>
        </w:rPr>
        <w:t>مجتمعاتنا</w:t>
      </w:r>
      <w:r w:rsidRPr="00904FCB">
        <w:rPr>
          <w:color w:val="auto"/>
          <w:rtl/>
          <w:lang w:bidi="ar-SY"/>
        </w:rPr>
        <w:t xml:space="preserve"> </w:t>
      </w:r>
    </w:p>
    <w:p w:rsidR="00057E24" w:rsidRPr="00904FCB" w:rsidRDefault="00057E24" w:rsidP="007A21AA">
      <w:pPr>
        <w:spacing w:line="400" w:lineRule="exact"/>
        <w:rPr>
          <w:sz w:val="27"/>
          <w:rtl/>
          <w:lang w:bidi="ar-SY"/>
        </w:rPr>
      </w:pPr>
      <w:r w:rsidRPr="00904FCB">
        <w:rPr>
          <w:rFonts w:hint="cs"/>
          <w:sz w:val="27"/>
          <w:rtl/>
          <w:lang w:bidi="ar-SY"/>
        </w:rPr>
        <w:t>حت</w:t>
      </w:r>
      <w:r w:rsidR="008262BD" w:rsidRPr="00904FCB">
        <w:rPr>
          <w:rFonts w:hint="cs"/>
          <w:sz w:val="27"/>
          <w:rtl/>
          <w:lang w:bidi="ar-SY"/>
        </w:rPr>
        <w:t>ّ</w:t>
      </w:r>
      <w:r w:rsidRPr="00904FCB">
        <w:rPr>
          <w:rFonts w:hint="cs"/>
          <w:sz w:val="27"/>
          <w:rtl/>
          <w:lang w:bidi="ar-SY"/>
        </w:rPr>
        <w:t>ى</w:t>
      </w:r>
      <w:r w:rsidRPr="00904FCB">
        <w:rPr>
          <w:sz w:val="27"/>
          <w:rtl/>
          <w:lang w:bidi="ar-SY"/>
        </w:rPr>
        <w:t xml:space="preserve"> </w:t>
      </w:r>
      <w:r w:rsidRPr="00904FCB">
        <w:rPr>
          <w:rFonts w:hint="cs"/>
          <w:sz w:val="27"/>
          <w:rtl/>
          <w:lang w:bidi="ar-SY"/>
        </w:rPr>
        <w:t>تمك</w:t>
      </w:r>
      <w:r w:rsidR="008262BD" w:rsidRPr="00904FCB">
        <w:rPr>
          <w:rFonts w:hint="cs"/>
          <w:sz w:val="27"/>
          <w:rtl/>
          <w:lang w:bidi="ar-SY"/>
        </w:rPr>
        <w:t>َّ</w:t>
      </w:r>
      <w:r w:rsidRPr="00904FCB">
        <w:rPr>
          <w:rFonts w:hint="cs"/>
          <w:sz w:val="27"/>
          <w:rtl/>
          <w:lang w:bidi="ar-SY"/>
        </w:rPr>
        <w:t>نت</w:t>
      </w:r>
      <w:r w:rsidRPr="00904FCB">
        <w:rPr>
          <w:sz w:val="27"/>
          <w:rtl/>
          <w:lang w:bidi="ar-SY"/>
        </w:rPr>
        <w:t xml:space="preserve"> </w:t>
      </w:r>
      <w:r w:rsidRPr="00904FCB">
        <w:rPr>
          <w:rFonts w:hint="cs"/>
          <w:sz w:val="27"/>
          <w:rtl/>
          <w:lang w:bidi="ar-SY"/>
        </w:rPr>
        <w:t>الدول</w:t>
      </w:r>
      <w:r w:rsidRPr="00904FCB">
        <w:rPr>
          <w:sz w:val="27"/>
          <w:rtl/>
          <w:lang w:bidi="ar-SY"/>
        </w:rPr>
        <w:t xml:space="preserve"> </w:t>
      </w:r>
      <w:r w:rsidRPr="00904FCB">
        <w:rPr>
          <w:rFonts w:hint="cs"/>
          <w:sz w:val="27"/>
          <w:rtl/>
          <w:lang w:bidi="ar-SY"/>
        </w:rPr>
        <w:t>والشعوب</w:t>
      </w:r>
      <w:r w:rsidRPr="00904FCB">
        <w:rPr>
          <w:sz w:val="27"/>
          <w:rtl/>
          <w:lang w:bidi="ar-SY"/>
        </w:rPr>
        <w:t xml:space="preserve"> </w:t>
      </w:r>
      <w:r w:rsidRPr="00904FCB">
        <w:rPr>
          <w:rFonts w:hint="cs"/>
          <w:sz w:val="27"/>
          <w:rtl/>
          <w:lang w:bidi="ar-SY"/>
        </w:rPr>
        <w:t>البشرية</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قوننة</w:t>
      </w:r>
      <w:r w:rsidRPr="00904FCB">
        <w:rPr>
          <w:sz w:val="27"/>
          <w:rtl/>
          <w:lang w:bidi="ar-SY"/>
        </w:rPr>
        <w:t xml:space="preserve"> </w:t>
      </w:r>
      <w:r w:rsidRPr="00904FCB">
        <w:rPr>
          <w:rFonts w:hint="cs"/>
          <w:sz w:val="27"/>
          <w:rtl/>
          <w:lang w:bidi="ar-SY"/>
        </w:rPr>
        <w:t>عنفها</w:t>
      </w:r>
      <w:r w:rsidRPr="00904FCB">
        <w:rPr>
          <w:sz w:val="27"/>
          <w:rtl/>
          <w:lang w:bidi="ar-SY"/>
        </w:rPr>
        <w:t xml:space="preserve"> </w:t>
      </w:r>
      <w:r w:rsidRPr="00904FCB">
        <w:rPr>
          <w:rFonts w:hint="cs"/>
          <w:sz w:val="27"/>
          <w:rtl/>
          <w:lang w:bidi="ar-SY"/>
        </w:rPr>
        <w:t>وفوائض</w:t>
      </w:r>
      <w:r w:rsidRPr="00904FCB">
        <w:rPr>
          <w:sz w:val="27"/>
          <w:rtl/>
          <w:lang w:bidi="ar-SY"/>
        </w:rPr>
        <w:t xml:space="preserve"> </w:t>
      </w:r>
      <w:r w:rsidRPr="00904FCB">
        <w:rPr>
          <w:rFonts w:hint="cs"/>
          <w:sz w:val="27"/>
          <w:rtl/>
          <w:lang w:bidi="ar-SY"/>
        </w:rPr>
        <w:t>قو</w:t>
      </w:r>
      <w:r w:rsidR="008262BD" w:rsidRPr="00904FCB">
        <w:rPr>
          <w:rFonts w:hint="cs"/>
          <w:sz w:val="27"/>
          <w:rtl/>
          <w:lang w:bidi="ar-SY"/>
        </w:rPr>
        <w:t>ّ</w:t>
      </w:r>
      <w:r w:rsidRPr="00904FCB">
        <w:rPr>
          <w:rFonts w:hint="cs"/>
          <w:sz w:val="27"/>
          <w:rtl/>
          <w:lang w:bidi="ar-SY"/>
        </w:rPr>
        <w:t>تها كان</w:t>
      </w:r>
      <w:r w:rsidRPr="00904FCB">
        <w:rPr>
          <w:sz w:val="27"/>
          <w:rtl/>
          <w:lang w:bidi="ar-SY"/>
        </w:rPr>
        <w:t xml:space="preserve"> </w:t>
      </w:r>
      <w:r w:rsidRPr="00904FCB">
        <w:rPr>
          <w:rFonts w:hint="cs"/>
          <w:sz w:val="27"/>
          <w:rtl/>
          <w:lang w:bidi="ar-SY"/>
        </w:rPr>
        <w:t>لا</w:t>
      </w:r>
      <w:r w:rsidR="008262BD" w:rsidRPr="00904FCB">
        <w:rPr>
          <w:rFonts w:hint="cs"/>
          <w:sz w:val="27"/>
          <w:rtl/>
          <w:lang w:bidi="ar-SY"/>
        </w:rPr>
        <w:t xml:space="preserve"> </w:t>
      </w:r>
      <w:r w:rsidRPr="00904FCB">
        <w:rPr>
          <w:rFonts w:hint="cs"/>
          <w:sz w:val="27"/>
          <w:rtl/>
          <w:lang w:bidi="ar-SY"/>
        </w:rPr>
        <w:t>ب</w:t>
      </w:r>
      <w:r w:rsidR="008262BD" w:rsidRPr="00904FCB">
        <w:rPr>
          <w:rFonts w:hint="cs"/>
          <w:sz w:val="27"/>
          <w:rtl/>
          <w:lang w:bidi="ar-SY"/>
        </w:rPr>
        <w:t>ُ</w:t>
      </w:r>
      <w:r w:rsidRPr="00904FCB">
        <w:rPr>
          <w:rFonts w:hint="cs"/>
          <w:sz w:val="27"/>
          <w:rtl/>
          <w:lang w:bidi="ar-SY"/>
        </w:rPr>
        <w:t>د</w:t>
      </w:r>
      <w:r w:rsidR="008262BD" w:rsidRPr="00904FCB">
        <w:rPr>
          <w:rFonts w:hint="cs"/>
          <w:sz w:val="27"/>
          <w:rtl/>
          <w:lang w:bidi="ar-SY"/>
        </w:rPr>
        <w:t>َّ</w:t>
      </w:r>
      <w:r w:rsidRPr="00904FCB">
        <w:rPr>
          <w:sz w:val="27"/>
          <w:rtl/>
          <w:lang w:bidi="ar-SY"/>
        </w:rPr>
        <w:t xml:space="preserve"> </w:t>
      </w:r>
      <w:r w:rsidRPr="00904FCB">
        <w:rPr>
          <w:rFonts w:hint="cs"/>
          <w:sz w:val="27"/>
          <w:rtl/>
          <w:lang w:bidi="ar-SY"/>
        </w:rPr>
        <w:t>من</w:t>
      </w:r>
      <w:r w:rsidRPr="00904FCB">
        <w:rPr>
          <w:sz w:val="27"/>
          <w:rtl/>
          <w:lang w:bidi="ar-SY"/>
        </w:rPr>
        <w:t xml:space="preserve"> </w:t>
      </w:r>
      <w:r w:rsidRPr="00904FCB">
        <w:rPr>
          <w:rFonts w:hint="cs"/>
          <w:sz w:val="27"/>
          <w:rtl/>
          <w:lang w:bidi="ar-SY"/>
        </w:rPr>
        <w:t>معرفة</w:t>
      </w:r>
      <w:r w:rsidRPr="00904FCB">
        <w:rPr>
          <w:sz w:val="27"/>
          <w:rtl/>
          <w:lang w:bidi="ar-SY"/>
        </w:rPr>
        <w:t xml:space="preserve"> </w:t>
      </w:r>
      <w:r w:rsidRPr="00904FCB">
        <w:rPr>
          <w:rFonts w:hint="cs"/>
          <w:sz w:val="27"/>
          <w:rtl/>
          <w:lang w:bidi="ar-SY"/>
        </w:rPr>
        <w:t>عوامل</w:t>
      </w:r>
      <w:r w:rsidRPr="00904FCB">
        <w:rPr>
          <w:sz w:val="27"/>
          <w:rtl/>
          <w:lang w:bidi="ar-SY"/>
        </w:rPr>
        <w:t xml:space="preserve"> </w:t>
      </w:r>
      <w:r w:rsidRPr="00904FCB">
        <w:rPr>
          <w:rFonts w:hint="cs"/>
          <w:sz w:val="27"/>
          <w:rtl/>
          <w:lang w:bidi="ar-SY"/>
        </w:rPr>
        <w:t>ومسب</w:t>
      </w:r>
      <w:r w:rsidR="008262BD" w:rsidRPr="00904FCB">
        <w:rPr>
          <w:rFonts w:hint="cs"/>
          <w:sz w:val="27"/>
          <w:rtl/>
          <w:lang w:bidi="ar-SY"/>
        </w:rPr>
        <w:t>ّ</w:t>
      </w:r>
      <w:r w:rsidRPr="00904FCB">
        <w:rPr>
          <w:rFonts w:hint="cs"/>
          <w:sz w:val="27"/>
          <w:rtl/>
          <w:lang w:bidi="ar-SY"/>
        </w:rPr>
        <w:t>بات</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والقوة</w:t>
      </w:r>
      <w:r w:rsidRPr="00904FCB">
        <w:rPr>
          <w:sz w:val="27"/>
          <w:rtl/>
          <w:lang w:bidi="ar-SY"/>
        </w:rPr>
        <w:t xml:space="preserve">. </w:t>
      </w:r>
      <w:r w:rsidRPr="00904FCB">
        <w:rPr>
          <w:rFonts w:hint="cs"/>
          <w:sz w:val="27"/>
          <w:rtl/>
          <w:lang w:bidi="ar-SY"/>
        </w:rPr>
        <w:t>وعلى</w:t>
      </w:r>
      <w:r w:rsidRPr="00904FCB">
        <w:rPr>
          <w:sz w:val="27"/>
          <w:rtl/>
          <w:lang w:bidi="ar-SY"/>
        </w:rPr>
        <w:t xml:space="preserve"> </w:t>
      </w:r>
      <w:r w:rsidRPr="00904FCB">
        <w:rPr>
          <w:rFonts w:hint="cs"/>
          <w:sz w:val="27"/>
          <w:rtl/>
          <w:lang w:bidi="ar-SY"/>
        </w:rPr>
        <w:t>صعيدنا</w:t>
      </w:r>
      <w:r w:rsidRPr="00904FCB">
        <w:rPr>
          <w:sz w:val="27"/>
          <w:rtl/>
          <w:lang w:bidi="ar-SY"/>
        </w:rPr>
        <w:t xml:space="preserve"> </w:t>
      </w:r>
      <w:r w:rsidRPr="00904FCB">
        <w:rPr>
          <w:rFonts w:hint="cs"/>
          <w:sz w:val="27"/>
          <w:rtl/>
          <w:lang w:bidi="ar-SY"/>
        </w:rPr>
        <w:t>نحن</w:t>
      </w:r>
      <w:r w:rsidRPr="00904FCB">
        <w:rPr>
          <w:sz w:val="27"/>
          <w:rtl/>
          <w:lang w:bidi="ar-SY"/>
        </w:rPr>
        <w:t xml:space="preserve"> </w:t>
      </w:r>
      <w:r w:rsidRPr="00904FCB">
        <w:rPr>
          <w:rFonts w:hint="cs"/>
          <w:sz w:val="27"/>
          <w:rtl/>
          <w:lang w:bidi="ar-SY"/>
        </w:rPr>
        <w:t>في</w:t>
      </w:r>
      <w:r w:rsidRPr="00904FCB">
        <w:rPr>
          <w:sz w:val="27"/>
          <w:rtl/>
          <w:lang w:bidi="ar-SY"/>
        </w:rPr>
        <w:t xml:space="preserve"> </w:t>
      </w:r>
      <w:r w:rsidRPr="00904FCB">
        <w:rPr>
          <w:rFonts w:hint="cs"/>
          <w:sz w:val="27"/>
          <w:rtl/>
          <w:lang w:bidi="ar-SY"/>
        </w:rPr>
        <w:t>عالمنا</w:t>
      </w:r>
      <w:r w:rsidRPr="00904FCB">
        <w:rPr>
          <w:sz w:val="27"/>
          <w:rtl/>
          <w:lang w:bidi="ar-SY"/>
        </w:rPr>
        <w:t xml:space="preserve"> </w:t>
      </w:r>
      <w:r w:rsidRPr="00904FCB">
        <w:rPr>
          <w:rFonts w:hint="cs"/>
          <w:sz w:val="27"/>
          <w:rtl/>
          <w:lang w:bidi="ar-SY"/>
        </w:rPr>
        <w:t>العربي</w:t>
      </w:r>
      <w:r w:rsidRPr="00904FCB">
        <w:rPr>
          <w:sz w:val="27"/>
          <w:rtl/>
          <w:lang w:bidi="ar-SY"/>
        </w:rPr>
        <w:t xml:space="preserve"> </w:t>
      </w:r>
      <w:r w:rsidRPr="00904FCB">
        <w:rPr>
          <w:rFonts w:hint="cs"/>
          <w:sz w:val="27"/>
          <w:rtl/>
          <w:lang w:bidi="ar-SY"/>
        </w:rPr>
        <w:t>يمكن</w:t>
      </w:r>
      <w:r w:rsidRPr="00904FCB">
        <w:rPr>
          <w:sz w:val="27"/>
          <w:rtl/>
          <w:lang w:bidi="ar-SY"/>
        </w:rPr>
        <w:t xml:space="preserve"> </w:t>
      </w:r>
      <w:r w:rsidRPr="00904FCB">
        <w:rPr>
          <w:rFonts w:hint="cs"/>
          <w:sz w:val="27"/>
          <w:rtl/>
          <w:lang w:bidi="ar-SY"/>
        </w:rPr>
        <w:t>القول</w:t>
      </w:r>
      <w:r w:rsidRPr="00904FCB">
        <w:rPr>
          <w:sz w:val="27"/>
          <w:rtl/>
          <w:lang w:bidi="ar-SY"/>
        </w:rPr>
        <w:t xml:space="preserve"> </w:t>
      </w:r>
      <w:r w:rsidRPr="00904FCB">
        <w:rPr>
          <w:rFonts w:hint="cs"/>
          <w:sz w:val="27"/>
          <w:rtl/>
          <w:lang w:bidi="ar-SY"/>
        </w:rPr>
        <w:t>بكل</w:t>
      </w:r>
      <w:r w:rsidRPr="00904FCB">
        <w:rPr>
          <w:sz w:val="27"/>
          <w:rtl/>
          <w:lang w:bidi="ar-SY"/>
        </w:rPr>
        <w:t xml:space="preserve"> </w:t>
      </w:r>
      <w:r w:rsidRPr="00904FCB">
        <w:rPr>
          <w:rFonts w:hint="cs"/>
          <w:sz w:val="27"/>
          <w:rtl/>
          <w:lang w:bidi="ar-SY"/>
        </w:rPr>
        <w:t>تأكيد</w:t>
      </w:r>
      <w:r w:rsidR="008262BD" w:rsidRPr="00904FCB">
        <w:rPr>
          <w:rFonts w:hint="cs"/>
          <w:sz w:val="27"/>
          <w:rtl/>
          <w:lang w:bidi="ar-SY"/>
        </w:rPr>
        <w:t>ٍ:</w:t>
      </w:r>
      <w:r w:rsidRPr="00904FCB">
        <w:rPr>
          <w:sz w:val="27"/>
          <w:rtl/>
          <w:lang w:bidi="ar-SY"/>
        </w:rPr>
        <w:t xml:space="preserve"> </w:t>
      </w:r>
      <w:r w:rsidR="008262BD" w:rsidRPr="00904FCB">
        <w:rPr>
          <w:rFonts w:hint="cs"/>
          <w:sz w:val="27"/>
          <w:rtl/>
          <w:lang w:bidi="ar-SY"/>
        </w:rPr>
        <w:t>إنّ</w:t>
      </w:r>
      <w:r w:rsidRPr="00904FCB">
        <w:rPr>
          <w:sz w:val="27"/>
          <w:rtl/>
          <w:lang w:bidi="ar-SY"/>
        </w:rPr>
        <w:t xml:space="preserve"> </w:t>
      </w:r>
      <w:r w:rsidRPr="00904FCB">
        <w:rPr>
          <w:rFonts w:hint="cs"/>
          <w:sz w:val="27"/>
          <w:rtl/>
          <w:lang w:bidi="ar-SY"/>
        </w:rPr>
        <w:t>مناخ</w:t>
      </w:r>
      <w:r w:rsidRPr="00904FCB">
        <w:rPr>
          <w:sz w:val="27"/>
          <w:rtl/>
          <w:lang w:bidi="ar-SY"/>
        </w:rPr>
        <w:t xml:space="preserve"> </w:t>
      </w:r>
      <w:r w:rsidRPr="00904FCB">
        <w:rPr>
          <w:rFonts w:hint="cs"/>
          <w:sz w:val="27"/>
          <w:rtl/>
          <w:lang w:bidi="ar-SY"/>
        </w:rPr>
        <w:t>العنف</w:t>
      </w:r>
      <w:r w:rsidRPr="00904FCB">
        <w:rPr>
          <w:sz w:val="27"/>
          <w:rtl/>
          <w:lang w:bidi="ar-SY"/>
        </w:rPr>
        <w:t xml:space="preserve"> </w:t>
      </w:r>
      <w:r w:rsidRPr="00904FCB">
        <w:rPr>
          <w:rFonts w:hint="cs"/>
          <w:sz w:val="27"/>
          <w:rtl/>
          <w:lang w:bidi="ar-SY"/>
        </w:rPr>
        <w:t>السياسي</w:t>
      </w:r>
      <w:r w:rsidRPr="00904FCB">
        <w:rPr>
          <w:sz w:val="27"/>
          <w:rtl/>
          <w:lang w:bidi="ar-SY"/>
        </w:rPr>
        <w:t xml:space="preserve"> </w:t>
      </w:r>
      <w:r w:rsidRPr="00904FCB">
        <w:rPr>
          <w:rFonts w:hint="cs"/>
          <w:sz w:val="27"/>
          <w:rtl/>
          <w:lang w:bidi="ar-SY"/>
        </w:rPr>
        <w:t>وغير</w:t>
      </w:r>
      <w:r w:rsidRPr="00904FCB">
        <w:rPr>
          <w:sz w:val="27"/>
          <w:rtl/>
          <w:lang w:bidi="ar-SY"/>
        </w:rPr>
        <w:t xml:space="preserve"> </w:t>
      </w:r>
      <w:r w:rsidRPr="00904FCB">
        <w:rPr>
          <w:rFonts w:hint="cs"/>
          <w:sz w:val="27"/>
          <w:rtl/>
          <w:lang w:bidi="ar-SY"/>
        </w:rPr>
        <w:t>السياسي</w:t>
      </w:r>
      <w:r w:rsidR="008262BD" w:rsidRPr="00904FCB">
        <w:rPr>
          <w:rFonts w:hint="cs"/>
          <w:sz w:val="27"/>
          <w:rtl/>
          <w:lang w:bidi="ar-SY"/>
        </w:rPr>
        <w:t>،</w:t>
      </w:r>
      <w:r w:rsidRPr="00904FCB">
        <w:rPr>
          <w:sz w:val="27"/>
          <w:rtl/>
          <w:lang w:bidi="ar-SY"/>
        </w:rPr>
        <w:t xml:space="preserve"> </w:t>
      </w:r>
      <w:r w:rsidRPr="00904FCB">
        <w:rPr>
          <w:rFonts w:hint="cs"/>
          <w:sz w:val="27"/>
          <w:rtl/>
          <w:lang w:bidi="ar-SY"/>
        </w:rPr>
        <w:t>بنوع</w:t>
      </w:r>
      <w:r w:rsidR="008262BD" w:rsidRPr="00904FCB">
        <w:rPr>
          <w:rFonts w:hint="cs"/>
          <w:sz w:val="27"/>
          <w:rtl/>
          <w:lang w:bidi="ar-SY"/>
        </w:rPr>
        <w:t>َ</w:t>
      </w:r>
      <w:r w:rsidRPr="00904FCB">
        <w:rPr>
          <w:rFonts w:hint="cs"/>
          <w:sz w:val="27"/>
          <w:rtl/>
          <w:lang w:bidi="ar-SY"/>
        </w:rPr>
        <w:t>ي</w:t>
      </w:r>
      <w:r w:rsidR="008262BD" w:rsidRPr="00904FCB">
        <w:rPr>
          <w:rFonts w:hint="cs"/>
          <w:sz w:val="27"/>
          <w:rtl/>
          <w:lang w:bidi="ar-SY"/>
        </w:rPr>
        <w:t>ْ</w:t>
      </w:r>
      <w:r w:rsidRPr="00904FCB">
        <w:rPr>
          <w:rFonts w:hint="cs"/>
          <w:sz w:val="27"/>
          <w:rtl/>
          <w:lang w:bidi="ar-SY"/>
        </w:rPr>
        <w:t>ه</w:t>
      </w:r>
      <w:r w:rsidR="008262BD" w:rsidRPr="00904FCB">
        <w:rPr>
          <w:rFonts w:hint="cs"/>
          <w:sz w:val="27"/>
          <w:rtl/>
          <w:lang w:bidi="ar-SY"/>
        </w:rPr>
        <w:t>:</w:t>
      </w:r>
      <w:r w:rsidRPr="00904FCB">
        <w:rPr>
          <w:sz w:val="27"/>
          <w:rtl/>
          <w:lang w:bidi="ar-SY"/>
        </w:rPr>
        <w:t xml:space="preserve"> </w:t>
      </w:r>
      <w:r w:rsidRPr="00904FCB">
        <w:rPr>
          <w:rFonts w:hint="cs"/>
          <w:sz w:val="27"/>
          <w:rtl/>
          <w:lang w:bidi="ar-SY"/>
        </w:rPr>
        <w:t>العضوي</w:t>
      </w:r>
      <w:r w:rsidR="008262BD" w:rsidRPr="00904FCB">
        <w:rPr>
          <w:rFonts w:hint="cs"/>
          <w:sz w:val="27"/>
          <w:rtl/>
          <w:lang w:bidi="ar-SY"/>
        </w:rPr>
        <w:t>؛</w:t>
      </w:r>
      <w:r w:rsidRPr="00904FCB">
        <w:rPr>
          <w:sz w:val="27"/>
          <w:rtl/>
          <w:lang w:bidi="ar-SY"/>
        </w:rPr>
        <w:t xml:space="preserve"> </w:t>
      </w:r>
      <w:r w:rsidRPr="00904FCB">
        <w:rPr>
          <w:rFonts w:hint="cs"/>
          <w:sz w:val="27"/>
          <w:rtl/>
          <w:lang w:bidi="ar-SY"/>
        </w:rPr>
        <w:t>والرمزي</w:t>
      </w:r>
      <w:r w:rsidR="008262BD" w:rsidRPr="00904FCB">
        <w:rPr>
          <w:rFonts w:hint="cs"/>
          <w:sz w:val="27"/>
          <w:rtl/>
          <w:lang w:bidi="ar-SY"/>
        </w:rPr>
        <w:t>،</w:t>
      </w:r>
      <w:r w:rsidRPr="00904FCB">
        <w:rPr>
          <w:sz w:val="27"/>
          <w:rtl/>
          <w:lang w:bidi="ar-SY"/>
        </w:rPr>
        <w:t xml:space="preserve"> </w:t>
      </w:r>
      <w:r w:rsidRPr="00904FCB">
        <w:rPr>
          <w:rFonts w:hint="cs"/>
          <w:sz w:val="27"/>
          <w:rtl/>
          <w:lang w:bidi="ar-SY"/>
        </w:rPr>
        <w:t>لا</w:t>
      </w:r>
      <w:r w:rsidRPr="00904FCB">
        <w:rPr>
          <w:sz w:val="27"/>
          <w:rtl/>
          <w:lang w:bidi="ar-SY"/>
        </w:rPr>
        <w:t xml:space="preserve"> </w:t>
      </w:r>
      <w:r w:rsidRPr="00904FCB">
        <w:rPr>
          <w:rFonts w:hint="cs"/>
          <w:sz w:val="27"/>
          <w:rtl/>
          <w:lang w:bidi="ar-SY"/>
        </w:rPr>
        <w:t>زال</w:t>
      </w:r>
      <w:r w:rsidRPr="00904FCB">
        <w:rPr>
          <w:sz w:val="27"/>
          <w:rtl/>
          <w:lang w:bidi="ar-SY"/>
        </w:rPr>
        <w:t xml:space="preserve"> </w:t>
      </w:r>
      <w:r w:rsidRPr="00904FCB">
        <w:rPr>
          <w:rFonts w:hint="cs"/>
          <w:sz w:val="27"/>
          <w:rtl/>
          <w:lang w:bidi="ar-SY"/>
        </w:rPr>
        <w:t>حاضراً</w:t>
      </w:r>
      <w:r w:rsidRPr="00904FCB">
        <w:rPr>
          <w:sz w:val="27"/>
          <w:rtl/>
          <w:lang w:bidi="ar-SY"/>
        </w:rPr>
        <w:t xml:space="preserve"> </w:t>
      </w:r>
      <w:r w:rsidRPr="00904FCB">
        <w:rPr>
          <w:rFonts w:hint="cs"/>
          <w:sz w:val="27"/>
          <w:rtl/>
          <w:lang w:bidi="ar-SY"/>
        </w:rPr>
        <w:t>بقو</w:t>
      </w:r>
      <w:r w:rsidR="008262BD" w:rsidRPr="00904FCB">
        <w:rPr>
          <w:rFonts w:hint="cs"/>
          <w:sz w:val="27"/>
          <w:rtl/>
          <w:lang w:bidi="ar-SY"/>
        </w:rPr>
        <w:t>ّ</w:t>
      </w:r>
      <w:r w:rsidRPr="00904FCB">
        <w:rPr>
          <w:rFonts w:hint="cs"/>
          <w:sz w:val="27"/>
          <w:rtl/>
          <w:lang w:bidi="ar-SY"/>
        </w:rPr>
        <w:t>ة، ولا</w:t>
      </w:r>
      <w:r w:rsidRPr="00904FCB">
        <w:rPr>
          <w:sz w:val="27"/>
          <w:rtl/>
          <w:lang w:bidi="ar-SY"/>
        </w:rPr>
        <w:t xml:space="preserve"> </w:t>
      </w:r>
      <w:r w:rsidRPr="00904FCB">
        <w:rPr>
          <w:rFonts w:hint="cs"/>
          <w:sz w:val="27"/>
          <w:rtl/>
          <w:lang w:bidi="ar-SY"/>
        </w:rPr>
        <w:t>تزال</w:t>
      </w:r>
      <w:r w:rsidRPr="00904FCB">
        <w:rPr>
          <w:sz w:val="27"/>
          <w:rtl/>
          <w:lang w:bidi="ar-SY"/>
        </w:rPr>
        <w:t xml:space="preserve"> </w:t>
      </w:r>
      <w:r w:rsidRPr="00904FCB">
        <w:rPr>
          <w:rFonts w:hint="cs"/>
          <w:sz w:val="27"/>
          <w:rtl/>
          <w:lang w:bidi="ar-SY"/>
        </w:rPr>
        <w:t>ل</w:t>
      </w:r>
      <w:r w:rsidR="008262BD" w:rsidRPr="00904FCB">
        <w:rPr>
          <w:rFonts w:hint="cs"/>
          <w:sz w:val="27"/>
          <w:rtl/>
          <w:lang w:bidi="ar-SY"/>
        </w:rPr>
        <w:t>ه</w:t>
      </w:r>
      <w:r w:rsidRPr="00904FCB">
        <w:rPr>
          <w:sz w:val="27"/>
          <w:rtl/>
          <w:lang w:bidi="ar-SY"/>
        </w:rPr>
        <w:t xml:space="preserve"> </w:t>
      </w:r>
      <w:r w:rsidRPr="00904FCB">
        <w:rPr>
          <w:rFonts w:hint="cs"/>
          <w:sz w:val="27"/>
          <w:rtl/>
          <w:lang w:bidi="ar-SY"/>
        </w:rPr>
        <w:t>بيئة</w:t>
      </w:r>
      <w:r w:rsidRPr="00904FCB">
        <w:rPr>
          <w:sz w:val="27"/>
          <w:rtl/>
          <w:lang w:bidi="ar-SY"/>
        </w:rPr>
        <w:t xml:space="preserve"> </w:t>
      </w:r>
      <w:r w:rsidRPr="00904FCB">
        <w:rPr>
          <w:rFonts w:hint="cs"/>
          <w:sz w:val="27"/>
          <w:rtl/>
          <w:lang w:bidi="ar-SY"/>
        </w:rPr>
        <w:t>حاضنة</w:t>
      </w:r>
      <w:r w:rsidR="008262BD" w:rsidRPr="00904FCB">
        <w:rPr>
          <w:rFonts w:hint="cs"/>
          <w:sz w:val="27"/>
          <w:rtl/>
          <w:lang w:bidi="ar-SY"/>
        </w:rPr>
        <w:t>،</w:t>
      </w:r>
      <w:r w:rsidRPr="00904FCB">
        <w:rPr>
          <w:sz w:val="27"/>
          <w:rtl/>
          <w:lang w:bidi="ar-SY"/>
        </w:rPr>
        <w:t xml:space="preserve"> </w:t>
      </w:r>
      <w:r w:rsidRPr="00904FCB">
        <w:rPr>
          <w:rFonts w:hint="cs"/>
          <w:sz w:val="27"/>
          <w:rtl/>
          <w:lang w:bidi="ar-SY"/>
        </w:rPr>
        <w:t>وتربة</w:t>
      </w:r>
      <w:r w:rsidRPr="00904FCB">
        <w:rPr>
          <w:sz w:val="27"/>
          <w:rtl/>
          <w:lang w:bidi="ar-SY"/>
        </w:rPr>
        <w:t xml:space="preserve"> </w:t>
      </w:r>
      <w:r w:rsidRPr="00904FCB">
        <w:rPr>
          <w:rFonts w:hint="cs"/>
          <w:sz w:val="27"/>
          <w:rtl/>
          <w:lang w:bidi="ar-SY"/>
        </w:rPr>
        <w:t>مناسبة</w:t>
      </w:r>
      <w:r w:rsidRPr="00904FCB">
        <w:rPr>
          <w:sz w:val="27"/>
          <w:rtl/>
          <w:lang w:bidi="ar-SY"/>
        </w:rPr>
        <w:t xml:space="preserve"> </w:t>
      </w:r>
      <w:r w:rsidRPr="00904FCB">
        <w:rPr>
          <w:rFonts w:hint="cs"/>
          <w:sz w:val="27"/>
          <w:rtl/>
          <w:lang w:bidi="ar-SY"/>
        </w:rPr>
        <w:t>لنمو</w:t>
      </w:r>
      <w:r w:rsidR="008262BD" w:rsidRPr="00904FCB">
        <w:rPr>
          <w:rFonts w:hint="cs"/>
          <w:sz w:val="27"/>
          <w:rtl/>
          <w:lang w:bidi="ar-SY"/>
        </w:rPr>
        <w:t>ّ</w:t>
      </w:r>
      <w:r w:rsidRPr="00904FCB">
        <w:rPr>
          <w:rFonts w:hint="cs"/>
          <w:sz w:val="27"/>
          <w:rtl/>
          <w:lang w:bidi="ar-SY"/>
        </w:rPr>
        <w:t>ه</w:t>
      </w:r>
      <w:r w:rsidRPr="00904FCB">
        <w:rPr>
          <w:sz w:val="27"/>
          <w:rtl/>
          <w:lang w:bidi="ar-SY"/>
        </w:rPr>
        <w:t xml:space="preserve"> </w:t>
      </w:r>
      <w:r w:rsidRPr="00904FCB">
        <w:rPr>
          <w:rFonts w:hint="cs"/>
          <w:sz w:val="27"/>
          <w:rtl/>
          <w:lang w:bidi="ar-SY"/>
        </w:rPr>
        <w:t>وتصاعده</w:t>
      </w:r>
      <w:r w:rsidR="008262BD" w:rsidRPr="00904FCB">
        <w:rPr>
          <w:rFonts w:hint="cs"/>
          <w:sz w:val="27"/>
          <w:rtl/>
          <w:lang w:bidi="ar-SY"/>
        </w:rPr>
        <w:t>.</w:t>
      </w:r>
      <w:r w:rsidRPr="00904FCB">
        <w:rPr>
          <w:rFonts w:hint="cs"/>
          <w:sz w:val="27"/>
          <w:rtl/>
          <w:lang w:bidi="ar-SY"/>
        </w:rPr>
        <w:t xml:space="preserve"> ولهذا</w:t>
      </w:r>
      <w:r w:rsidRPr="00904FCB">
        <w:rPr>
          <w:sz w:val="27"/>
          <w:rtl/>
          <w:lang w:bidi="ar-SY"/>
        </w:rPr>
        <w:t xml:space="preserve"> </w:t>
      </w:r>
      <w:r w:rsidRPr="00904FCB">
        <w:rPr>
          <w:rFonts w:hint="cs"/>
          <w:sz w:val="27"/>
          <w:rtl/>
          <w:lang w:bidi="ar-SY"/>
        </w:rPr>
        <w:t>جذوره</w:t>
      </w:r>
      <w:r w:rsidRPr="00904FCB">
        <w:rPr>
          <w:sz w:val="27"/>
          <w:rtl/>
          <w:lang w:bidi="ar-SY"/>
        </w:rPr>
        <w:t xml:space="preserve"> </w:t>
      </w:r>
      <w:r w:rsidRPr="00904FCB">
        <w:rPr>
          <w:rFonts w:hint="cs"/>
          <w:sz w:val="27"/>
          <w:rtl/>
          <w:lang w:bidi="ar-SY"/>
        </w:rPr>
        <w:t>ومولداته</w:t>
      </w:r>
      <w:r w:rsidR="008262BD" w:rsidRPr="00904FCB">
        <w:rPr>
          <w:rFonts w:hint="cs"/>
          <w:sz w:val="27"/>
          <w:rtl/>
          <w:lang w:bidi="ar-SY"/>
        </w:rPr>
        <w:t xml:space="preserve">، </w:t>
      </w:r>
      <w:r w:rsidRPr="00904FCB">
        <w:rPr>
          <w:rFonts w:hint="cs"/>
          <w:sz w:val="27"/>
          <w:rtl/>
          <w:lang w:bidi="ar-SY"/>
        </w:rPr>
        <w:t>وعوامل</w:t>
      </w:r>
      <w:r w:rsidRPr="00904FCB">
        <w:rPr>
          <w:sz w:val="27"/>
          <w:rtl/>
          <w:lang w:bidi="ar-SY"/>
        </w:rPr>
        <w:t xml:space="preserve"> </w:t>
      </w:r>
      <w:r w:rsidRPr="00904FCB">
        <w:rPr>
          <w:rFonts w:hint="cs"/>
          <w:sz w:val="27"/>
          <w:rtl/>
          <w:lang w:bidi="ar-SY"/>
        </w:rPr>
        <w:t>لنشوئه، وهي</w:t>
      </w:r>
      <w:r w:rsidRPr="00904FCB">
        <w:rPr>
          <w:sz w:val="27"/>
          <w:rtl/>
          <w:lang w:bidi="ar-SY"/>
        </w:rPr>
        <w:t xml:space="preserve"> </w:t>
      </w:r>
      <w:r w:rsidRPr="00904FCB">
        <w:rPr>
          <w:rFonts w:hint="cs"/>
          <w:sz w:val="27"/>
          <w:rtl/>
          <w:lang w:bidi="ar-SY"/>
        </w:rPr>
        <w:t>بالإجمال</w:t>
      </w:r>
      <w:r w:rsidR="008262BD" w:rsidRPr="00904FCB">
        <w:rPr>
          <w:rFonts w:hint="cs"/>
          <w:sz w:val="27"/>
          <w:rtl/>
          <w:lang w:bidi="ar-SY"/>
        </w:rPr>
        <w:t xml:space="preserve"> العامّ</w:t>
      </w:r>
      <w:r w:rsidRPr="00904FCB">
        <w:rPr>
          <w:sz w:val="27"/>
          <w:rtl/>
          <w:lang w:bidi="ar-SY"/>
        </w:rPr>
        <w:t xml:space="preserve">: </w:t>
      </w:r>
    </w:p>
    <w:p w:rsidR="00057E24" w:rsidRPr="00904FCB" w:rsidRDefault="00057E24" w:rsidP="007A21AA">
      <w:pPr>
        <w:tabs>
          <w:tab w:val="left" w:pos="4337"/>
        </w:tabs>
        <w:spacing w:line="400" w:lineRule="exact"/>
        <w:rPr>
          <w:sz w:val="27"/>
          <w:rtl/>
        </w:rPr>
      </w:pPr>
      <w:r w:rsidRPr="00904FCB">
        <w:rPr>
          <w:rFonts w:hint="cs"/>
          <w:sz w:val="27"/>
          <w:rtl/>
        </w:rPr>
        <w:t>ـ وجود</w:t>
      </w:r>
      <w:r w:rsidRPr="00904FCB">
        <w:rPr>
          <w:sz w:val="27"/>
          <w:rtl/>
        </w:rPr>
        <w:t xml:space="preserve"> </w:t>
      </w:r>
      <w:r w:rsidRPr="00904FCB">
        <w:rPr>
          <w:rFonts w:hint="cs"/>
          <w:sz w:val="27"/>
          <w:rtl/>
        </w:rPr>
        <w:t>نظم</w:t>
      </w:r>
      <w:r w:rsidRPr="00904FCB">
        <w:rPr>
          <w:sz w:val="27"/>
          <w:rtl/>
        </w:rPr>
        <w:t xml:space="preserve"> </w:t>
      </w:r>
      <w:r w:rsidRPr="00904FCB">
        <w:rPr>
          <w:rFonts w:hint="cs"/>
          <w:sz w:val="27"/>
          <w:rtl/>
        </w:rPr>
        <w:t>أمنية</w:t>
      </w:r>
      <w:r w:rsidRPr="00904FCB">
        <w:rPr>
          <w:sz w:val="27"/>
          <w:rtl/>
        </w:rPr>
        <w:t xml:space="preserve"> </w:t>
      </w:r>
      <w:r w:rsidRPr="00904FCB">
        <w:rPr>
          <w:rFonts w:hint="cs"/>
          <w:sz w:val="27"/>
          <w:rtl/>
        </w:rPr>
        <w:t>عنيفة</w:t>
      </w:r>
      <w:r w:rsidRPr="00904FCB">
        <w:rPr>
          <w:sz w:val="27"/>
          <w:rtl/>
        </w:rPr>
        <w:t xml:space="preserve"> </w:t>
      </w:r>
      <w:r w:rsidRPr="00904FCB">
        <w:rPr>
          <w:rFonts w:hint="cs"/>
          <w:sz w:val="27"/>
          <w:rtl/>
        </w:rPr>
        <w:t>مغلقة</w:t>
      </w:r>
      <w:r w:rsidR="008262BD" w:rsidRPr="00904FCB">
        <w:rPr>
          <w:rFonts w:hint="cs"/>
          <w:sz w:val="27"/>
          <w:rtl/>
        </w:rPr>
        <w:t>،</w:t>
      </w:r>
      <w:r w:rsidRPr="00904FCB">
        <w:rPr>
          <w:sz w:val="27"/>
          <w:rtl/>
        </w:rPr>
        <w:t xml:space="preserve"> </w:t>
      </w:r>
      <w:r w:rsidRPr="00904FCB">
        <w:rPr>
          <w:rFonts w:hint="cs"/>
          <w:sz w:val="27"/>
          <w:rtl/>
        </w:rPr>
        <w:t>تتبن</w:t>
      </w:r>
      <w:r w:rsidR="008262BD" w:rsidRPr="00904FCB">
        <w:rPr>
          <w:rFonts w:hint="cs"/>
          <w:sz w:val="27"/>
          <w:rtl/>
        </w:rPr>
        <w:t>ّ</w:t>
      </w:r>
      <w:r w:rsidRPr="00904FCB">
        <w:rPr>
          <w:rFonts w:hint="cs"/>
          <w:sz w:val="27"/>
          <w:rtl/>
        </w:rPr>
        <w:t>ى</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منهجاً</w:t>
      </w:r>
      <w:r w:rsidRPr="00904FCB">
        <w:rPr>
          <w:sz w:val="27"/>
          <w:rtl/>
        </w:rPr>
        <w:t xml:space="preserve"> </w:t>
      </w:r>
      <w:r w:rsidRPr="00904FCB">
        <w:rPr>
          <w:rFonts w:hint="cs"/>
          <w:sz w:val="27"/>
          <w:rtl/>
        </w:rPr>
        <w:t>وطريقاً</w:t>
      </w:r>
      <w:r w:rsidRPr="00904FCB">
        <w:rPr>
          <w:sz w:val="27"/>
          <w:rtl/>
        </w:rPr>
        <w:t xml:space="preserve"> </w:t>
      </w:r>
      <w:r w:rsidRPr="00904FCB">
        <w:rPr>
          <w:rFonts w:hint="cs"/>
          <w:sz w:val="27"/>
          <w:rtl/>
        </w:rPr>
        <w:t>وحيداً</w:t>
      </w:r>
      <w:r w:rsidRPr="00904FCB">
        <w:rPr>
          <w:sz w:val="27"/>
          <w:rtl/>
        </w:rPr>
        <w:t xml:space="preserve"> </w:t>
      </w:r>
      <w:r w:rsidRPr="00904FCB">
        <w:rPr>
          <w:rFonts w:hint="cs"/>
          <w:sz w:val="27"/>
          <w:rtl/>
        </w:rPr>
        <w:t>للعمل</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وهي</w:t>
      </w:r>
      <w:r w:rsidRPr="00904FCB">
        <w:rPr>
          <w:sz w:val="27"/>
          <w:rtl/>
        </w:rPr>
        <w:t xml:space="preserve"> </w:t>
      </w:r>
      <w:r w:rsidRPr="00904FCB">
        <w:rPr>
          <w:rFonts w:hint="cs"/>
          <w:sz w:val="27"/>
          <w:rtl/>
        </w:rPr>
        <w:t>تتست</w:t>
      </w:r>
      <w:r w:rsidR="008262BD" w:rsidRPr="00904FCB">
        <w:rPr>
          <w:rFonts w:hint="cs"/>
          <w:sz w:val="27"/>
          <w:rtl/>
        </w:rPr>
        <w:t>َّ</w:t>
      </w:r>
      <w:r w:rsidRPr="00904FCB">
        <w:rPr>
          <w:rFonts w:hint="cs"/>
          <w:sz w:val="27"/>
          <w:rtl/>
        </w:rPr>
        <w:t>ر</w:t>
      </w:r>
      <w:r w:rsidRPr="00904FCB">
        <w:rPr>
          <w:sz w:val="27"/>
          <w:rtl/>
        </w:rPr>
        <w:t xml:space="preserve"> </w:t>
      </w:r>
      <w:r w:rsidRPr="00904FCB">
        <w:rPr>
          <w:rFonts w:hint="cs"/>
          <w:sz w:val="27"/>
          <w:rtl/>
        </w:rPr>
        <w:t>بالشعارات</w:t>
      </w:r>
      <w:r w:rsidRPr="00904FCB">
        <w:rPr>
          <w:sz w:val="27"/>
          <w:rtl/>
        </w:rPr>
        <w:t xml:space="preserve"> </w:t>
      </w:r>
      <w:r w:rsidRPr="00904FCB">
        <w:rPr>
          <w:rFonts w:hint="cs"/>
          <w:sz w:val="27"/>
          <w:rtl/>
        </w:rPr>
        <w:t>الكبيرة</w:t>
      </w:r>
      <w:r w:rsidRPr="00904FCB">
        <w:rPr>
          <w:sz w:val="27"/>
          <w:rtl/>
        </w:rPr>
        <w:t xml:space="preserve"> </w:t>
      </w:r>
      <w:r w:rsidRPr="00904FCB">
        <w:rPr>
          <w:rFonts w:hint="cs"/>
          <w:sz w:val="27"/>
          <w:rtl/>
        </w:rPr>
        <w:t>والضخمة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فوق</w:t>
      </w:r>
      <w:r w:rsidRPr="00904FCB">
        <w:rPr>
          <w:sz w:val="27"/>
          <w:rtl/>
        </w:rPr>
        <w:t xml:space="preserve"> </w:t>
      </w:r>
      <w:r w:rsidRPr="00904FCB">
        <w:rPr>
          <w:rFonts w:hint="cs"/>
          <w:sz w:val="27"/>
          <w:rtl/>
        </w:rPr>
        <w:t>إمكانياتها</w:t>
      </w:r>
      <w:r w:rsidRPr="00904FCB">
        <w:rPr>
          <w:sz w:val="27"/>
          <w:rtl/>
        </w:rPr>
        <w:t xml:space="preserve"> </w:t>
      </w:r>
      <w:r w:rsidRPr="00904FCB">
        <w:rPr>
          <w:rFonts w:hint="cs"/>
          <w:sz w:val="27"/>
          <w:rtl/>
        </w:rPr>
        <w:t>وقدراتها</w:t>
      </w:r>
      <w:r w:rsidR="008262BD" w:rsidRPr="00904FCB">
        <w:rPr>
          <w:rFonts w:hint="cs"/>
          <w:sz w:val="27"/>
          <w:rtl/>
        </w:rPr>
        <w:t>؛</w:t>
      </w:r>
      <w:r w:rsidRPr="00904FCB">
        <w:rPr>
          <w:sz w:val="27"/>
          <w:rtl/>
        </w:rPr>
        <w:t xml:space="preserve"> </w:t>
      </w:r>
      <w:r w:rsidRPr="00904FCB">
        <w:rPr>
          <w:rFonts w:hint="cs"/>
          <w:sz w:val="27"/>
          <w:rtl/>
        </w:rPr>
        <w:t>كي</w:t>
      </w:r>
      <w:r w:rsidRPr="00904FCB">
        <w:rPr>
          <w:sz w:val="27"/>
          <w:rtl/>
        </w:rPr>
        <w:t xml:space="preserve"> </w:t>
      </w:r>
      <w:r w:rsidRPr="00904FCB">
        <w:rPr>
          <w:rFonts w:hint="cs"/>
          <w:sz w:val="27"/>
          <w:rtl/>
        </w:rPr>
        <w:t>تبر</w:t>
      </w:r>
      <w:r w:rsidR="008262BD" w:rsidRPr="00904FCB">
        <w:rPr>
          <w:rFonts w:hint="cs"/>
          <w:sz w:val="27"/>
          <w:rtl/>
        </w:rPr>
        <w:t>ِّ</w:t>
      </w:r>
      <w:r w:rsidRPr="00904FCB">
        <w:rPr>
          <w:rFonts w:hint="cs"/>
          <w:sz w:val="27"/>
          <w:rtl/>
        </w:rPr>
        <w:t>ر</w:t>
      </w:r>
      <w:r w:rsidRPr="00904FCB">
        <w:rPr>
          <w:sz w:val="27"/>
          <w:rtl/>
        </w:rPr>
        <w:t xml:space="preserve"> </w:t>
      </w:r>
      <w:r w:rsidRPr="00904FCB">
        <w:rPr>
          <w:rFonts w:hint="cs"/>
          <w:sz w:val="27"/>
          <w:rtl/>
        </w:rPr>
        <w:t>وجودها</w:t>
      </w:r>
      <w:r w:rsidRPr="00904FCB">
        <w:rPr>
          <w:sz w:val="27"/>
          <w:rtl/>
        </w:rPr>
        <w:t xml:space="preserve"> </w:t>
      </w:r>
      <w:r w:rsidRPr="00904FCB">
        <w:rPr>
          <w:rFonts w:hint="cs"/>
          <w:sz w:val="27"/>
          <w:rtl/>
        </w:rPr>
        <w:t>اللاشرعي، وامتلاكها</w:t>
      </w:r>
      <w:r w:rsidRPr="00904FCB">
        <w:rPr>
          <w:sz w:val="27"/>
          <w:rtl/>
        </w:rPr>
        <w:t xml:space="preserve"> </w:t>
      </w:r>
      <w:r w:rsidRPr="00904FCB">
        <w:rPr>
          <w:rFonts w:hint="cs"/>
          <w:sz w:val="27"/>
          <w:rtl/>
        </w:rPr>
        <w:t>لوسائل</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والقوة</w:t>
      </w:r>
      <w:r w:rsidRPr="00904FCB">
        <w:rPr>
          <w:sz w:val="27"/>
          <w:rtl/>
        </w:rPr>
        <w:t xml:space="preserve"> </w:t>
      </w:r>
      <w:r w:rsidRPr="00904FCB">
        <w:rPr>
          <w:rFonts w:hint="cs"/>
          <w:sz w:val="27"/>
          <w:rtl/>
        </w:rPr>
        <w:t>العارية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المقوننة، واستخدامها</w:t>
      </w:r>
      <w:r w:rsidRPr="00904FCB">
        <w:rPr>
          <w:sz w:val="27"/>
          <w:rtl/>
        </w:rPr>
        <w:t xml:space="preserve"> </w:t>
      </w:r>
      <w:r w:rsidRPr="00904FCB">
        <w:rPr>
          <w:rFonts w:hint="cs"/>
          <w:sz w:val="27"/>
          <w:rtl/>
        </w:rPr>
        <w:t>الكثيف</w:t>
      </w:r>
      <w:r w:rsidRPr="00904FCB">
        <w:rPr>
          <w:sz w:val="27"/>
          <w:rtl/>
        </w:rPr>
        <w:t xml:space="preserve"> </w:t>
      </w:r>
      <w:r w:rsidRPr="00904FCB">
        <w:rPr>
          <w:rFonts w:hint="cs"/>
          <w:sz w:val="27"/>
          <w:rtl/>
        </w:rPr>
        <w:t>والعاري</w:t>
      </w:r>
      <w:r w:rsidRPr="00904FCB">
        <w:rPr>
          <w:sz w:val="27"/>
          <w:rtl/>
        </w:rPr>
        <w:t xml:space="preserve"> </w:t>
      </w:r>
      <w:r w:rsidRPr="00904FCB">
        <w:rPr>
          <w:rFonts w:hint="cs"/>
          <w:sz w:val="27"/>
          <w:rtl/>
        </w:rPr>
        <w:t>لأفظع</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الأدوات</w:t>
      </w:r>
      <w:r w:rsidR="008262BD" w:rsidRPr="00904FCB">
        <w:rPr>
          <w:rFonts w:hint="cs"/>
          <w:sz w:val="27"/>
          <w:rtl/>
        </w:rPr>
        <w:t>؛</w:t>
      </w:r>
      <w:r w:rsidRPr="00904FCB">
        <w:rPr>
          <w:sz w:val="27"/>
          <w:rtl/>
        </w:rPr>
        <w:t xml:space="preserve"> </w:t>
      </w:r>
      <w:r w:rsidRPr="00904FCB">
        <w:rPr>
          <w:rFonts w:hint="cs"/>
          <w:sz w:val="27"/>
          <w:rtl/>
        </w:rPr>
        <w:t>لتطويع</w:t>
      </w:r>
      <w:r w:rsidRPr="00904FCB">
        <w:rPr>
          <w:sz w:val="27"/>
          <w:rtl/>
        </w:rPr>
        <w:t xml:space="preserve"> </w:t>
      </w:r>
      <w:r w:rsidRPr="00904FCB">
        <w:rPr>
          <w:rFonts w:hint="cs"/>
          <w:sz w:val="27"/>
          <w:rtl/>
        </w:rPr>
        <w:t>وكسر</w:t>
      </w:r>
      <w:r w:rsidRPr="00904FCB">
        <w:rPr>
          <w:sz w:val="27"/>
          <w:rtl/>
        </w:rPr>
        <w:t xml:space="preserve"> </w:t>
      </w:r>
      <w:r w:rsidRPr="00904FCB">
        <w:rPr>
          <w:rFonts w:hint="cs"/>
          <w:sz w:val="27"/>
          <w:rtl/>
        </w:rPr>
        <w:t>إرادة</w:t>
      </w:r>
      <w:r w:rsidRPr="00904FCB">
        <w:rPr>
          <w:sz w:val="27"/>
          <w:rtl/>
        </w:rPr>
        <w:t xml:space="preserve"> </w:t>
      </w:r>
      <w:r w:rsidRPr="00904FCB">
        <w:rPr>
          <w:rFonts w:hint="cs"/>
          <w:sz w:val="27"/>
          <w:rtl/>
        </w:rPr>
        <w:t>شعوبها</w:t>
      </w:r>
      <w:r w:rsidRPr="00904FCB">
        <w:rPr>
          <w:sz w:val="27"/>
          <w:rtl/>
        </w:rPr>
        <w:t xml:space="preserve"> </w:t>
      </w:r>
      <w:r w:rsidRPr="00904FCB">
        <w:rPr>
          <w:rFonts w:hint="cs"/>
          <w:sz w:val="27"/>
          <w:rtl/>
        </w:rPr>
        <w:t>ومعارضيها</w:t>
      </w:r>
      <w:r w:rsidRPr="00904FCB">
        <w:rPr>
          <w:sz w:val="27"/>
          <w:rtl/>
        </w:rPr>
        <w:t xml:space="preserve"> </w:t>
      </w:r>
      <w:r w:rsidRPr="00904FCB">
        <w:rPr>
          <w:rFonts w:hint="cs"/>
          <w:sz w:val="27"/>
          <w:rtl/>
        </w:rPr>
        <w:t>ومجتمعاتها</w:t>
      </w:r>
      <w:r w:rsidRPr="00904FCB">
        <w:rPr>
          <w:sz w:val="27"/>
          <w:rtl/>
        </w:rPr>
        <w:t xml:space="preserve"> </w:t>
      </w:r>
      <w:r w:rsidRPr="00904FCB">
        <w:rPr>
          <w:rFonts w:hint="cs"/>
          <w:sz w:val="27"/>
          <w:rtl/>
        </w:rPr>
        <w:t xml:space="preserve">عموماً، </w:t>
      </w:r>
      <w:r w:rsidR="008262BD" w:rsidRPr="00904FCB">
        <w:rPr>
          <w:rFonts w:hint="cs"/>
          <w:sz w:val="27"/>
          <w:rtl/>
        </w:rPr>
        <w:t>و</w:t>
      </w:r>
      <w:r w:rsidRPr="00904FCB">
        <w:rPr>
          <w:rFonts w:hint="cs"/>
          <w:sz w:val="27"/>
          <w:rtl/>
        </w:rPr>
        <w:t>خاص</w:t>
      </w:r>
      <w:r w:rsidR="008262BD" w:rsidRPr="00904FCB">
        <w:rPr>
          <w:rFonts w:hint="cs"/>
          <w:sz w:val="27"/>
          <w:rtl/>
        </w:rPr>
        <w:t>ّ</w:t>
      </w:r>
      <w:r w:rsidRPr="00904FCB">
        <w:rPr>
          <w:rFonts w:hint="cs"/>
          <w:sz w:val="27"/>
          <w:rtl/>
        </w:rPr>
        <w:t>ة</w:t>
      </w:r>
      <w:r w:rsidRPr="00904FCB">
        <w:rPr>
          <w:sz w:val="27"/>
          <w:rtl/>
        </w:rPr>
        <w:t xml:space="preserve"> </w:t>
      </w:r>
      <w:r w:rsidRPr="00904FCB">
        <w:rPr>
          <w:rFonts w:hint="cs"/>
          <w:sz w:val="27"/>
          <w:rtl/>
        </w:rPr>
        <w:t>عندما</w:t>
      </w:r>
      <w:r w:rsidRPr="00904FCB">
        <w:rPr>
          <w:sz w:val="27"/>
          <w:rtl/>
        </w:rPr>
        <w:t xml:space="preserve"> </w:t>
      </w:r>
      <w:r w:rsidRPr="00904FCB">
        <w:rPr>
          <w:rFonts w:hint="cs"/>
          <w:sz w:val="27"/>
          <w:rtl/>
        </w:rPr>
        <w:t>يرفع</w:t>
      </w:r>
      <w:r w:rsidRPr="00904FCB">
        <w:rPr>
          <w:sz w:val="27"/>
          <w:rtl/>
        </w:rPr>
        <w:t xml:space="preserve"> </w:t>
      </w:r>
      <w:r w:rsidRPr="00904FCB">
        <w:rPr>
          <w:rFonts w:hint="cs"/>
          <w:sz w:val="27"/>
          <w:rtl/>
        </w:rPr>
        <w:t>أفرادها</w:t>
      </w:r>
      <w:r w:rsidRPr="00904FCB">
        <w:rPr>
          <w:sz w:val="27"/>
          <w:rtl/>
        </w:rPr>
        <w:t xml:space="preserve"> ـ </w:t>
      </w:r>
      <w:r w:rsidRPr="00904FCB">
        <w:rPr>
          <w:rFonts w:hint="cs"/>
          <w:sz w:val="27"/>
          <w:rtl/>
        </w:rPr>
        <w:t>أو</w:t>
      </w:r>
      <w:r w:rsidRPr="00904FCB">
        <w:rPr>
          <w:sz w:val="27"/>
          <w:rtl/>
        </w:rPr>
        <w:t xml:space="preserve"> </w:t>
      </w:r>
      <w:r w:rsidRPr="00904FCB">
        <w:rPr>
          <w:rFonts w:hint="cs"/>
          <w:sz w:val="27"/>
          <w:rtl/>
        </w:rPr>
        <w:lastRenderedPageBreak/>
        <w:t>بعض</w:t>
      </w:r>
      <w:r w:rsidRPr="00904FCB">
        <w:rPr>
          <w:sz w:val="27"/>
          <w:rtl/>
        </w:rPr>
        <w:t xml:space="preserve"> </w:t>
      </w:r>
      <w:r w:rsidRPr="00904FCB">
        <w:rPr>
          <w:rFonts w:hint="cs"/>
          <w:sz w:val="27"/>
          <w:rtl/>
        </w:rPr>
        <w:t>معارضيها</w:t>
      </w:r>
      <w:r w:rsidRPr="00904FCB">
        <w:rPr>
          <w:sz w:val="27"/>
          <w:rtl/>
        </w:rPr>
        <w:t xml:space="preserve"> ـ </w:t>
      </w:r>
      <w:r w:rsidRPr="00904FCB">
        <w:rPr>
          <w:rFonts w:hint="cs"/>
          <w:sz w:val="27"/>
          <w:rtl/>
        </w:rPr>
        <w:t>الصوت</w:t>
      </w:r>
      <w:r w:rsidRPr="00904FCB">
        <w:rPr>
          <w:sz w:val="27"/>
          <w:rtl/>
        </w:rPr>
        <w:t xml:space="preserve"> </w:t>
      </w:r>
      <w:r w:rsidRPr="00904FCB">
        <w:rPr>
          <w:rFonts w:hint="cs"/>
          <w:sz w:val="27"/>
          <w:rtl/>
        </w:rPr>
        <w:t>عالياً</w:t>
      </w:r>
      <w:r w:rsidR="008262BD" w:rsidRPr="00904FCB">
        <w:rPr>
          <w:rFonts w:hint="cs"/>
          <w:sz w:val="27"/>
          <w:rtl/>
        </w:rPr>
        <w:t>،</w:t>
      </w:r>
      <w:r w:rsidRPr="00904FCB">
        <w:rPr>
          <w:sz w:val="27"/>
          <w:rtl/>
        </w:rPr>
        <w:t xml:space="preserve"> </w:t>
      </w:r>
      <w:r w:rsidRPr="00904FCB">
        <w:rPr>
          <w:rFonts w:hint="cs"/>
          <w:sz w:val="27"/>
          <w:rtl/>
        </w:rPr>
        <w:t>مطالبين</w:t>
      </w:r>
      <w:r w:rsidRPr="00904FCB">
        <w:rPr>
          <w:sz w:val="27"/>
          <w:rtl/>
        </w:rPr>
        <w:t xml:space="preserve"> </w:t>
      </w:r>
      <w:r w:rsidRPr="00904FCB">
        <w:rPr>
          <w:rFonts w:hint="cs"/>
          <w:sz w:val="27"/>
          <w:rtl/>
        </w:rPr>
        <w:t>بالحر</w:t>
      </w:r>
      <w:r w:rsidR="008262BD" w:rsidRPr="00904FCB">
        <w:rPr>
          <w:rFonts w:hint="cs"/>
          <w:sz w:val="27"/>
          <w:rtl/>
        </w:rPr>
        <w:t>ّ</w:t>
      </w:r>
      <w:r w:rsidRPr="00904FCB">
        <w:rPr>
          <w:rFonts w:hint="cs"/>
          <w:sz w:val="27"/>
          <w:rtl/>
        </w:rPr>
        <w:t>ية</w:t>
      </w:r>
      <w:r w:rsidRPr="00904FCB">
        <w:rPr>
          <w:sz w:val="27"/>
          <w:rtl/>
        </w:rPr>
        <w:t xml:space="preserve"> </w:t>
      </w:r>
      <w:r w:rsidRPr="00904FCB">
        <w:rPr>
          <w:rFonts w:hint="cs"/>
          <w:sz w:val="27"/>
          <w:rtl/>
        </w:rPr>
        <w:t>والكرامة</w:t>
      </w:r>
      <w:r w:rsidRPr="00904FCB">
        <w:rPr>
          <w:sz w:val="27"/>
          <w:rtl/>
        </w:rPr>
        <w:t xml:space="preserve"> </w:t>
      </w:r>
      <w:r w:rsidRPr="00904FCB">
        <w:rPr>
          <w:rFonts w:hint="cs"/>
          <w:sz w:val="27"/>
          <w:rtl/>
        </w:rPr>
        <w:t>والعدالة</w:t>
      </w:r>
      <w:r w:rsidRPr="00904FCB">
        <w:rPr>
          <w:sz w:val="27"/>
          <w:rtl/>
        </w:rPr>
        <w:t xml:space="preserve"> </w:t>
      </w:r>
      <w:r w:rsidRPr="00904FCB">
        <w:rPr>
          <w:rFonts w:hint="cs"/>
          <w:sz w:val="27"/>
          <w:rtl/>
        </w:rPr>
        <w:t>والعيش</w:t>
      </w:r>
      <w:r w:rsidRPr="00904FCB">
        <w:rPr>
          <w:sz w:val="27"/>
          <w:rtl/>
        </w:rPr>
        <w:t xml:space="preserve"> </w:t>
      </w:r>
      <w:r w:rsidRPr="00904FCB">
        <w:rPr>
          <w:rFonts w:hint="cs"/>
          <w:sz w:val="27"/>
          <w:rtl/>
        </w:rPr>
        <w:t>الحر</w:t>
      </w:r>
      <w:r w:rsidR="008262BD" w:rsidRPr="00904FCB">
        <w:rPr>
          <w:rFonts w:hint="cs"/>
          <w:sz w:val="27"/>
          <w:rtl/>
        </w:rPr>
        <w:t>ّ</w:t>
      </w:r>
      <w:r w:rsidRPr="00904FCB">
        <w:rPr>
          <w:sz w:val="27"/>
          <w:rtl/>
        </w:rPr>
        <w:t xml:space="preserve"> </w:t>
      </w:r>
      <w:r w:rsidRPr="00904FCB">
        <w:rPr>
          <w:rFonts w:hint="cs"/>
          <w:sz w:val="27"/>
          <w:rtl/>
        </w:rPr>
        <w:t>الآمن</w:t>
      </w:r>
      <w:r w:rsidRPr="00904FCB">
        <w:rPr>
          <w:sz w:val="27"/>
          <w:rtl/>
        </w:rPr>
        <w:t xml:space="preserve">. </w:t>
      </w:r>
      <w:r w:rsidRPr="00904FCB">
        <w:rPr>
          <w:rFonts w:hint="cs"/>
          <w:sz w:val="27"/>
          <w:rtl/>
        </w:rPr>
        <w:t>وترتكز</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النظم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عنف</w:t>
      </w:r>
      <w:r w:rsidR="008262BD" w:rsidRPr="00904FCB">
        <w:rPr>
          <w:rFonts w:hint="cs"/>
          <w:sz w:val="27"/>
          <w:rtl/>
        </w:rPr>
        <w:t>ٍ</w:t>
      </w:r>
      <w:r w:rsidRPr="00904FCB">
        <w:rPr>
          <w:sz w:val="27"/>
          <w:rtl/>
        </w:rPr>
        <w:t xml:space="preserve"> </w:t>
      </w:r>
      <w:r w:rsidRPr="00904FCB">
        <w:rPr>
          <w:rFonts w:hint="cs"/>
          <w:sz w:val="27"/>
          <w:rtl/>
        </w:rPr>
        <w:t>عار</w:t>
      </w:r>
      <w:r w:rsidR="008262BD" w:rsidRPr="00904FCB">
        <w:rPr>
          <w:rFonts w:hint="cs"/>
          <w:sz w:val="27"/>
          <w:rtl/>
        </w:rPr>
        <w:t>ٍ</w:t>
      </w:r>
      <w:r w:rsidRPr="00904FCB">
        <w:rPr>
          <w:sz w:val="27"/>
          <w:rtl/>
        </w:rPr>
        <w:t xml:space="preserve"> </w:t>
      </w:r>
      <w:r w:rsidRPr="00904FCB">
        <w:rPr>
          <w:rFonts w:hint="cs"/>
          <w:sz w:val="27"/>
          <w:rtl/>
        </w:rPr>
        <w:t>أعمى</w:t>
      </w:r>
      <w:r w:rsidRPr="00904FCB">
        <w:rPr>
          <w:sz w:val="27"/>
          <w:rtl/>
        </w:rPr>
        <w:t xml:space="preserve"> </w:t>
      </w:r>
      <w:r w:rsidRPr="00904FCB">
        <w:rPr>
          <w:rFonts w:hint="cs"/>
          <w:sz w:val="27"/>
          <w:rtl/>
        </w:rPr>
        <w:t>بدائي</w:t>
      </w:r>
      <w:r w:rsidR="008262BD"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أجل</w:t>
      </w:r>
      <w:r w:rsidRPr="00904FCB">
        <w:rPr>
          <w:sz w:val="27"/>
          <w:rtl/>
        </w:rPr>
        <w:t xml:space="preserve"> </w:t>
      </w:r>
      <w:r w:rsidRPr="00904FCB">
        <w:rPr>
          <w:rFonts w:hint="cs"/>
          <w:sz w:val="27"/>
          <w:rtl/>
        </w:rPr>
        <w:t>استمرارية</w:t>
      </w:r>
      <w:r w:rsidRPr="00904FCB">
        <w:rPr>
          <w:sz w:val="27"/>
          <w:rtl/>
        </w:rPr>
        <w:t xml:space="preserve"> </w:t>
      </w:r>
      <w:r w:rsidRPr="00904FCB">
        <w:rPr>
          <w:rFonts w:hint="cs"/>
          <w:sz w:val="27"/>
          <w:rtl/>
        </w:rPr>
        <w:t>وجودها</w:t>
      </w:r>
      <w:r w:rsidR="008262BD" w:rsidRPr="00904FCB">
        <w:rPr>
          <w:rFonts w:hint="cs"/>
          <w:sz w:val="27"/>
          <w:rtl/>
        </w:rPr>
        <w:t>،</w:t>
      </w:r>
      <w:r w:rsidRPr="00904FCB">
        <w:rPr>
          <w:sz w:val="27"/>
          <w:rtl/>
        </w:rPr>
        <w:t xml:space="preserve"> </w:t>
      </w:r>
      <w:r w:rsidRPr="00904FCB">
        <w:rPr>
          <w:rFonts w:hint="cs"/>
          <w:sz w:val="27"/>
          <w:rtl/>
        </w:rPr>
        <w:t>وتحقيق</w:t>
      </w:r>
      <w:r w:rsidRPr="00904FCB">
        <w:rPr>
          <w:sz w:val="27"/>
          <w:rtl/>
        </w:rPr>
        <w:t xml:space="preserve"> </w:t>
      </w:r>
      <w:r w:rsidRPr="00904FCB">
        <w:rPr>
          <w:rFonts w:hint="cs"/>
          <w:sz w:val="27"/>
          <w:rtl/>
        </w:rPr>
        <w:t>مكاسبها</w:t>
      </w:r>
      <w:r w:rsidRPr="00904FCB">
        <w:rPr>
          <w:sz w:val="27"/>
          <w:rtl/>
        </w:rPr>
        <w:t xml:space="preserve"> </w:t>
      </w:r>
      <w:r w:rsidRPr="00904FCB">
        <w:rPr>
          <w:rFonts w:hint="cs"/>
          <w:sz w:val="27"/>
          <w:rtl/>
        </w:rPr>
        <w:t>ومصالحها</w:t>
      </w:r>
      <w:r w:rsidRPr="00904FCB">
        <w:rPr>
          <w:sz w:val="27"/>
          <w:rtl/>
        </w:rPr>
        <w:t xml:space="preserve"> </w:t>
      </w:r>
      <w:r w:rsidRPr="00904FCB">
        <w:rPr>
          <w:rFonts w:hint="cs"/>
          <w:sz w:val="27"/>
          <w:rtl/>
        </w:rPr>
        <w:t>الخاصة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بقائها</w:t>
      </w:r>
      <w:r w:rsidRPr="00904FCB">
        <w:rPr>
          <w:sz w:val="27"/>
          <w:rtl/>
        </w:rPr>
        <w:t xml:space="preserve"> </w:t>
      </w:r>
      <w:r w:rsidRPr="00904FCB">
        <w:rPr>
          <w:rFonts w:hint="cs"/>
          <w:sz w:val="27"/>
          <w:rtl/>
        </w:rPr>
        <w:t>متفر</w:t>
      </w:r>
      <w:r w:rsidR="008262BD" w:rsidRPr="00904FCB">
        <w:rPr>
          <w:rFonts w:hint="cs"/>
          <w:sz w:val="27"/>
          <w:rtl/>
        </w:rPr>
        <w:t>ّ</w:t>
      </w:r>
      <w:r w:rsidRPr="00904FCB">
        <w:rPr>
          <w:rFonts w:hint="cs"/>
          <w:sz w:val="27"/>
          <w:rtl/>
        </w:rPr>
        <w:t>دة</w:t>
      </w:r>
      <w:r w:rsidRPr="00904FCB">
        <w:rPr>
          <w:sz w:val="27"/>
          <w:rtl/>
        </w:rPr>
        <w:t xml:space="preserve"> </w:t>
      </w:r>
      <w:r w:rsidRPr="00904FCB">
        <w:rPr>
          <w:rFonts w:hint="cs"/>
          <w:sz w:val="27"/>
          <w:rtl/>
        </w:rPr>
        <w:t>بالسلطة</w:t>
      </w:r>
      <w:r w:rsidRPr="00904FCB">
        <w:rPr>
          <w:sz w:val="27"/>
          <w:rtl/>
        </w:rPr>
        <w:t xml:space="preserve"> </w:t>
      </w:r>
      <w:r w:rsidRPr="00904FCB">
        <w:rPr>
          <w:rFonts w:hint="cs"/>
          <w:sz w:val="27"/>
          <w:rtl/>
        </w:rPr>
        <w:t>والثروة</w:t>
      </w:r>
      <w:r w:rsidRPr="00904FCB">
        <w:rPr>
          <w:sz w:val="27"/>
          <w:rtl/>
        </w:rPr>
        <w:t xml:space="preserve"> </w:t>
      </w:r>
      <w:r w:rsidRPr="00904FCB">
        <w:rPr>
          <w:rFonts w:hint="cs"/>
          <w:sz w:val="27"/>
          <w:rtl/>
        </w:rPr>
        <w:t>والقرار</w:t>
      </w:r>
      <w:r w:rsidRPr="00904FCB">
        <w:rPr>
          <w:sz w:val="27"/>
          <w:rtl/>
        </w:rPr>
        <w:t xml:space="preserve">. </w:t>
      </w:r>
      <w:r w:rsidRPr="00904FCB">
        <w:rPr>
          <w:rFonts w:hint="cs"/>
          <w:sz w:val="27"/>
          <w:rtl/>
        </w:rPr>
        <w:t>ويمكن</w:t>
      </w:r>
      <w:r w:rsidRPr="00904FCB">
        <w:rPr>
          <w:sz w:val="27"/>
          <w:rtl/>
        </w:rPr>
        <w:t xml:space="preserve"> </w:t>
      </w:r>
      <w:r w:rsidRPr="00904FCB">
        <w:rPr>
          <w:rFonts w:hint="cs"/>
          <w:sz w:val="27"/>
          <w:rtl/>
        </w:rPr>
        <w:t>إيراد</w:t>
      </w:r>
      <w:r w:rsidRPr="00904FCB">
        <w:rPr>
          <w:sz w:val="27"/>
          <w:rtl/>
        </w:rPr>
        <w:t xml:space="preserve"> </w:t>
      </w:r>
      <w:r w:rsidRPr="00904FCB">
        <w:rPr>
          <w:rFonts w:hint="cs"/>
          <w:sz w:val="27"/>
          <w:rtl/>
        </w:rPr>
        <w:t>كل</w:t>
      </w:r>
      <w:r w:rsidR="008262BD"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معظم</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يسمى</w:t>
      </w:r>
      <w:r w:rsidRPr="00904FCB">
        <w:rPr>
          <w:sz w:val="27"/>
          <w:rtl/>
        </w:rPr>
        <w:t xml:space="preserve"> </w:t>
      </w:r>
      <w:r w:rsidRPr="00904FCB">
        <w:rPr>
          <w:rFonts w:hint="cs"/>
          <w:sz w:val="27"/>
          <w:rtl/>
        </w:rPr>
        <w:t>بــ</w:t>
      </w:r>
      <w:r w:rsidR="008262BD" w:rsidRPr="00904FCB">
        <w:rPr>
          <w:rFonts w:hint="cs"/>
          <w:sz w:val="27"/>
          <w:rtl/>
        </w:rPr>
        <w:t xml:space="preserve"> </w:t>
      </w:r>
      <w:r w:rsidR="001864C3" w:rsidRPr="00904FCB">
        <w:rPr>
          <w:rFonts w:hint="eastAsia"/>
          <w:sz w:val="27"/>
          <w:rtl/>
        </w:rPr>
        <w:t>«</w:t>
      </w:r>
      <w:r w:rsidRPr="00904FCB">
        <w:rPr>
          <w:rFonts w:hint="cs"/>
          <w:sz w:val="27"/>
          <w:rtl/>
        </w:rPr>
        <w:t>حركات</w:t>
      </w:r>
      <w:r w:rsidRPr="00904FCB">
        <w:rPr>
          <w:sz w:val="27"/>
          <w:rtl/>
        </w:rPr>
        <w:t xml:space="preserve"> </w:t>
      </w:r>
      <w:r w:rsidRPr="00904FCB">
        <w:rPr>
          <w:rFonts w:hint="cs"/>
          <w:sz w:val="27"/>
          <w:rtl/>
        </w:rPr>
        <w:t>التحر</w:t>
      </w:r>
      <w:r w:rsidR="001864C3" w:rsidRPr="00904FCB">
        <w:rPr>
          <w:rFonts w:hint="cs"/>
          <w:sz w:val="27"/>
          <w:rtl/>
        </w:rPr>
        <w:t>ُّ</w:t>
      </w:r>
      <w:r w:rsidRPr="00904FCB">
        <w:rPr>
          <w:rFonts w:hint="cs"/>
          <w:sz w:val="27"/>
          <w:rtl/>
        </w:rPr>
        <w:t>ر</w:t>
      </w:r>
      <w:r w:rsidRPr="00904FCB">
        <w:rPr>
          <w:sz w:val="27"/>
          <w:rtl/>
        </w:rPr>
        <w:t xml:space="preserve"> </w:t>
      </w:r>
      <w:r w:rsidRPr="00904FCB">
        <w:rPr>
          <w:rFonts w:hint="cs"/>
          <w:sz w:val="27"/>
          <w:rtl/>
        </w:rPr>
        <w:t>العربي</w:t>
      </w:r>
      <w:r w:rsidRPr="00904FCB">
        <w:rPr>
          <w:rFonts w:hint="eastAsia"/>
          <w:sz w:val="27"/>
          <w:rtl/>
        </w:rPr>
        <w:t>»</w:t>
      </w:r>
      <w:r w:rsidRPr="00904FCB">
        <w:rPr>
          <w:sz w:val="27"/>
          <w:rtl/>
        </w:rPr>
        <w:t xml:space="preserve"> </w:t>
      </w:r>
      <w:r w:rsidRPr="00904FCB">
        <w:rPr>
          <w:rFonts w:hint="cs"/>
          <w:sz w:val="27"/>
          <w:rtl/>
        </w:rPr>
        <w:t>القومية</w:t>
      </w:r>
      <w:r w:rsidRPr="00904FCB">
        <w:rPr>
          <w:sz w:val="27"/>
          <w:rtl/>
        </w:rPr>
        <w:t xml:space="preserve"> </w:t>
      </w:r>
      <w:r w:rsidRPr="00904FCB">
        <w:rPr>
          <w:rFonts w:hint="cs"/>
          <w:sz w:val="27"/>
          <w:rtl/>
        </w:rPr>
        <w:t>واليسارية</w:t>
      </w:r>
      <w:r w:rsidRPr="00904FCB">
        <w:rPr>
          <w:sz w:val="27"/>
          <w:rtl/>
        </w:rPr>
        <w:t xml:space="preserve"> </w:t>
      </w:r>
      <w:r w:rsidRPr="00904FCB">
        <w:rPr>
          <w:rFonts w:hint="cs"/>
          <w:sz w:val="27"/>
          <w:rtl/>
        </w:rPr>
        <w:t>عموماً</w:t>
      </w:r>
      <w:r w:rsidRPr="00904FCB">
        <w:rPr>
          <w:sz w:val="27"/>
          <w:rtl/>
        </w:rPr>
        <w:t xml:space="preserve"> </w:t>
      </w:r>
      <w:r w:rsidRPr="00904FCB">
        <w:rPr>
          <w:rFonts w:hint="cs"/>
          <w:sz w:val="27"/>
          <w:rtl/>
        </w:rPr>
        <w:t>كمثال</w:t>
      </w:r>
      <w:r w:rsidR="001864C3" w:rsidRPr="00904FCB">
        <w:rPr>
          <w:rFonts w:hint="cs"/>
          <w:sz w:val="27"/>
          <w:rtl/>
        </w:rPr>
        <w:t>ٍ</w:t>
      </w:r>
      <w:r w:rsidRPr="00904FCB">
        <w:rPr>
          <w:sz w:val="27"/>
          <w:rtl/>
        </w:rPr>
        <w:t xml:space="preserve"> </w:t>
      </w:r>
      <w:r w:rsidRPr="00904FCB">
        <w:rPr>
          <w:rFonts w:hint="cs"/>
          <w:sz w:val="27"/>
          <w:rtl/>
        </w:rPr>
        <w:t>بارز</w:t>
      </w:r>
      <w:r w:rsidRPr="00904FCB">
        <w:rPr>
          <w:sz w:val="27"/>
          <w:rtl/>
        </w:rPr>
        <w:t xml:space="preserve"> </w:t>
      </w:r>
      <w:r w:rsidRPr="00904FCB">
        <w:rPr>
          <w:rFonts w:hint="cs"/>
          <w:sz w:val="27"/>
          <w:rtl/>
        </w:rPr>
        <w:t>وصارخ</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تيارات</w:t>
      </w:r>
      <w:r w:rsidRPr="00904FCB">
        <w:rPr>
          <w:sz w:val="27"/>
          <w:rtl/>
        </w:rPr>
        <w:t xml:space="preserve"> </w:t>
      </w:r>
      <w:r w:rsidRPr="00904FCB">
        <w:rPr>
          <w:rFonts w:hint="cs"/>
          <w:sz w:val="27"/>
          <w:rtl/>
        </w:rPr>
        <w:t>العنف</w:t>
      </w:r>
      <w:r w:rsidR="001864C3" w:rsidRPr="00904FCB">
        <w:rPr>
          <w:rFonts w:hint="cs"/>
          <w:sz w:val="27"/>
          <w:rtl/>
        </w:rPr>
        <w:t>،</w:t>
      </w:r>
      <w:r w:rsidRPr="00904FCB">
        <w:rPr>
          <w:sz w:val="27"/>
          <w:rtl/>
        </w:rPr>
        <w:t xml:space="preserve"> </w:t>
      </w:r>
      <w:r w:rsidRPr="00904FCB">
        <w:rPr>
          <w:rFonts w:hint="cs"/>
          <w:sz w:val="27"/>
          <w:rtl/>
        </w:rPr>
        <w:t>وأيديولوجيا</w:t>
      </w:r>
      <w:r w:rsidRPr="00904FCB">
        <w:rPr>
          <w:sz w:val="27"/>
          <w:rtl/>
        </w:rPr>
        <w:t xml:space="preserve"> </w:t>
      </w:r>
      <w:r w:rsidRPr="00904FCB">
        <w:rPr>
          <w:rFonts w:hint="cs"/>
          <w:sz w:val="27"/>
          <w:rtl/>
        </w:rPr>
        <w:t>الاصطفاء</w:t>
      </w:r>
      <w:r w:rsidRPr="00904FCB">
        <w:rPr>
          <w:sz w:val="27"/>
          <w:rtl/>
        </w:rPr>
        <w:t xml:space="preserve"> </w:t>
      </w:r>
      <w:r w:rsidRPr="00904FCB">
        <w:rPr>
          <w:rFonts w:hint="cs"/>
          <w:sz w:val="27"/>
          <w:rtl/>
        </w:rPr>
        <w:t>العقائدي</w:t>
      </w:r>
      <w:r w:rsidRPr="00904FCB">
        <w:rPr>
          <w:sz w:val="27"/>
          <w:rtl/>
        </w:rPr>
        <w:t xml:space="preserve"> </w:t>
      </w:r>
      <w:r w:rsidRPr="00904FCB">
        <w:rPr>
          <w:rFonts w:hint="cs"/>
          <w:sz w:val="27"/>
          <w:rtl/>
        </w:rPr>
        <w:t>والعنصري</w:t>
      </w:r>
      <w:r w:rsidR="001864C3"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بمعظمها</w:t>
      </w:r>
      <w:r w:rsidRPr="00904FCB">
        <w:rPr>
          <w:sz w:val="27"/>
          <w:rtl/>
        </w:rPr>
        <w:t xml:space="preserve"> ـ </w:t>
      </w:r>
      <w:r w:rsidRPr="00904FCB">
        <w:rPr>
          <w:rFonts w:hint="cs"/>
          <w:sz w:val="27"/>
          <w:rtl/>
        </w:rPr>
        <w:t>كما</w:t>
      </w:r>
      <w:r w:rsidRPr="00904FCB">
        <w:rPr>
          <w:sz w:val="27"/>
          <w:rtl/>
        </w:rPr>
        <w:t xml:space="preserve"> </w:t>
      </w:r>
      <w:r w:rsidRPr="00904FCB">
        <w:rPr>
          <w:rFonts w:hint="cs"/>
          <w:sz w:val="27"/>
          <w:rtl/>
        </w:rPr>
        <w:t>عب</w:t>
      </w:r>
      <w:r w:rsidR="001864C3" w:rsidRPr="00904FCB">
        <w:rPr>
          <w:rFonts w:hint="cs"/>
          <w:sz w:val="27"/>
          <w:rtl/>
        </w:rPr>
        <w:t>َّ</w:t>
      </w:r>
      <w:r w:rsidRPr="00904FCB">
        <w:rPr>
          <w:rFonts w:hint="cs"/>
          <w:sz w:val="27"/>
          <w:rtl/>
        </w:rPr>
        <w:t>رت</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منطلقاتها</w:t>
      </w:r>
      <w:r w:rsidRPr="00904FCB">
        <w:rPr>
          <w:sz w:val="27"/>
          <w:rtl/>
        </w:rPr>
        <w:t xml:space="preserve"> </w:t>
      </w:r>
      <w:r w:rsidRPr="00904FCB">
        <w:rPr>
          <w:rFonts w:hint="cs"/>
          <w:sz w:val="27"/>
          <w:rtl/>
        </w:rPr>
        <w:t>النظرية</w:t>
      </w:r>
      <w:r w:rsidRPr="00904FCB">
        <w:rPr>
          <w:sz w:val="27"/>
          <w:rtl/>
        </w:rPr>
        <w:t xml:space="preserve"> ـ </w:t>
      </w:r>
      <w:r w:rsidRPr="00904FCB">
        <w:rPr>
          <w:rFonts w:hint="cs"/>
          <w:sz w:val="27"/>
          <w:rtl/>
        </w:rPr>
        <w:t>حركات</w:t>
      </w:r>
      <w:r w:rsidRPr="00904FCB">
        <w:rPr>
          <w:sz w:val="27"/>
          <w:rtl/>
        </w:rPr>
        <w:t xml:space="preserve"> </w:t>
      </w:r>
      <w:r w:rsidRPr="00904FCB">
        <w:rPr>
          <w:rFonts w:hint="cs"/>
          <w:sz w:val="27"/>
          <w:rtl/>
        </w:rPr>
        <w:t>انقلابية</w:t>
      </w:r>
      <w:r w:rsidR="001864C3" w:rsidRPr="00904FCB">
        <w:rPr>
          <w:rFonts w:hint="cs"/>
          <w:sz w:val="27"/>
          <w:rtl/>
        </w:rPr>
        <w:t>،</w:t>
      </w:r>
      <w:r w:rsidRPr="00904FCB">
        <w:rPr>
          <w:sz w:val="27"/>
          <w:rtl/>
        </w:rPr>
        <w:t xml:space="preserve"> </w:t>
      </w:r>
      <w:r w:rsidRPr="00904FCB">
        <w:rPr>
          <w:rFonts w:hint="cs"/>
          <w:sz w:val="27"/>
          <w:rtl/>
        </w:rPr>
        <w:t>أي</w:t>
      </w:r>
      <w:r w:rsidR="001864C3" w:rsidRPr="00904FCB">
        <w:rPr>
          <w:rFonts w:hint="cs"/>
          <w:sz w:val="27"/>
          <w:rtl/>
        </w:rPr>
        <w:t>ّ</w:t>
      </w:r>
      <w:r w:rsidRPr="00904FCB">
        <w:rPr>
          <w:sz w:val="27"/>
          <w:rtl/>
        </w:rPr>
        <w:t xml:space="preserve"> </w:t>
      </w:r>
      <w:r w:rsidRPr="00904FCB">
        <w:rPr>
          <w:rFonts w:hint="cs"/>
          <w:sz w:val="27"/>
          <w:rtl/>
        </w:rPr>
        <w:t>ثورية</w:t>
      </w:r>
      <w:r w:rsidRPr="00904FCB">
        <w:rPr>
          <w:sz w:val="27"/>
          <w:rtl/>
        </w:rPr>
        <w:t xml:space="preserve"> </w:t>
      </w:r>
      <w:r w:rsidRPr="00904FCB">
        <w:rPr>
          <w:rFonts w:hint="cs"/>
          <w:sz w:val="27"/>
          <w:rtl/>
        </w:rPr>
        <w:t>عنيفة، تمتلك</w:t>
      </w:r>
      <w:r w:rsidRPr="00904FCB">
        <w:rPr>
          <w:sz w:val="27"/>
          <w:rtl/>
        </w:rPr>
        <w:t xml:space="preserve"> </w:t>
      </w:r>
      <w:r w:rsidRPr="00904FCB">
        <w:rPr>
          <w:rFonts w:hint="cs"/>
          <w:sz w:val="27"/>
          <w:rtl/>
        </w:rPr>
        <w:t>مخزون</w:t>
      </w:r>
      <w:r w:rsidR="001864C3" w:rsidRPr="00904FCB">
        <w:rPr>
          <w:rFonts w:hint="cs"/>
          <w:sz w:val="27"/>
          <w:rtl/>
        </w:rPr>
        <w:t>اً</w:t>
      </w:r>
      <w:r w:rsidRPr="00904FCB">
        <w:rPr>
          <w:sz w:val="27"/>
          <w:rtl/>
        </w:rPr>
        <w:t xml:space="preserve"> </w:t>
      </w:r>
      <w:r w:rsidRPr="00904FCB">
        <w:rPr>
          <w:rFonts w:hint="cs"/>
          <w:sz w:val="27"/>
          <w:rtl/>
        </w:rPr>
        <w:t>تراثي</w:t>
      </w:r>
      <w:r w:rsidR="001864C3" w:rsidRPr="00904FCB">
        <w:rPr>
          <w:rFonts w:hint="cs"/>
          <w:sz w:val="27"/>
          <w:rtl/>
        </w:rPr>
        <w:t>ّاً</w:t>
      </w:r>
      <w:r w:rsidRPr="00904FCB">
        <w:rPr>
          <w:sz w:val="27"/>
          <w:rtl/>
        </w:rPr>
        <w:t xml:space="preserve"> </w:t>
      </w:r>
      <w:r w:rsidRPr="00904FCB">
        <w:rPr>
          <w:rFonts w:hint="cs"/>
          <w:sz w:val="27"/>
          <w:rtl/>
        </w:rPr>
        <w:t>عنفي</w:t>
      </w:r>
      <w:r w:rsidR="001864C3" w:rsidRPr="00904FCB">
        <w:rPr>
          <w:rFonts w:hint="cs"/>
          <w:sz w:val="27"/>
          <w:rtl/>
        </w:rPr>
        <w:t>ّاً</w:t>
      </w:r>
      <w:r w:rsidRPr="00904FCB">
        <w:rPr>
          <w:sz w:val="27"/>
          <w:rtl/>
        </w:rPr>
        <w:t xml:space="preserve"> </w:t>
      </w:r>
      <w:r w:rsidRPr="00904FCB">
        <w:rPr>
          <w:rFonts w:hint="cs"/>
          <w:sz w:val="27"/>
          <w:rtl/>
        </w:rPr>
        <w:t>كبير</w:t>
      </w:r>
      <w:r w:rsidR="001864C3" w:rsidRPr="00904FCB">
        <w:rPr>
          <w:rFonts w:hint="cs"/>
          <w:sz w:val="27"/>
          <w:rtl/>
        </w:rPr>
        <w:t>اً</w:t>
      </w:r>
      <w:r w:rsidRPr="00904FCB">
        <w:rPr>
          <w:rFonts w:hint="cs"/>
          <w:sz w:val="27"/>
          <w:rtl/>
        </w:rPr>
        <w:t>، تتبن</w:t>
      </w:r>
      <w:r w:rsidR="001864C3" w:rsidRPr="00904FCB">
        <w:rPr>
          <w:rFonts w:hint="cs"/>
          <w:sz w:val="27"/>
          <w:rtl/>
        </w:rPr>
        <w:t>ّ</w:t>
      </w:r>
      <w:r w:rsidRPr="00904FCB">
        <w:rPr>
          <w:rFonts w:hint="cs"/>
          <w:sz w:val="27"/>
          <w:rtl/>
        </w:rPr>
        <w:t>ى</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والانقلاب</w:t>
      </w:r>
      <w:r w:rsidRPr="00904FCB">
        <w:rPr>
          <w:sz w:val="27"/>
          <w:rtl/>
        </w:rPr>
        <w:t xml:space="preserve"> </w:t>
      </w:r>
      <w:r w:rsidRPr="00904FCB">
        <w:rPr>
          <w:rFonts w:hint="cs"/>
          <w:sz w:val="27"/>
          <w:rtl/>
        </w:rPr>
        <w:t>الثوري</w:t>
      </w:r>
      <w:r w:rsidRPr="00904FCB">
        <w:rPr>
          <w:sz w:val="27"/>
          <w:rtl/>
        </w:rPr>
        <w:t xml:space="preserve"> </w:t>
      </w:r>
      <w:r w:rsidRPr="00904FCB">
        <w:rPr>
          <w:rFonts w:hint="cs"/>
          <w:sz w:val="27"/>
          <w:rtl/>
        </w:rPr>
        <w:t>كأسلوب</w:t>
      </w:r>
      <w:r w:rsidRPr="00904FCB">
        <w:rPr>
          <w:sz w:val="27"/>
          <w:rtl/>
        </w:rPr>
        <w:t xml:space="preserve"> </w:t>
      </w:r>
      <w:r w:rsidRPr="00904FCB">
        <w:rPr>
          <w:rFonts w:hint="cs"/>
          <w:sz w:val="27"/>
          <w:rtl/>
        </w:rPr>
        <w:t>عمل</w:t>
      </w:r>
      <w:r w:rsidR="001864C3" w:rsidRPr="00904FCB">
        <w:rPr>
          <w:rFonts w:hint="cs"/>
          <w:sz w:val="27"/>
          <w:rtl/>
        </w:rPr>
        <w:t>ٍ</w:t>
      </w:r>
      <w:r w:rsidRPr="00904FCB">
        <w:rPr>
          <w:sz w:val="27"/>
          <w:rtl/>
        </w:rPr>
        <w:t xml:space="preserve"> </w:t>
      </w:r>
      <w:r w:rsidRPr="00904FCB">
        <w:rPr>
          <w:rFonts w:hint="cs"/>
          <w:sz w:val="27"/>
          <w:rtl/>
        </w:rPr>
        <w:t>وحيد</w:t>
      </w:r>
      <w:r w:rsidRPr="00904FCB">
        <w:rPr>
          <w:sz w:val="27"/>
          <w:rtl/>
        </w:rPr>
        <w:t xml:space="preserve"> </w:t>
      </w:r>
      <w:r w:rsidRPr="00904FCB">
        <w:rPr>
          <w:rFonts w:hint="cs"/>
          <w:sz w:val="27"/>
          <w:rtl/>
        </w:rPr>
        <w:t>للعمل</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والاجتماعي</w:t>
      </w:r>
      <w:r w:rsidR="001864C3" w:rsidRPr="00904FCB">
        <w:rPr>
          <w:rFonts w:hint="cs"/>
          <w:sz w:val="27"/>
          <w:rtl/>
        </w:rPr>
        <w:t>،</w:t>
      </w:r>
      <w:r w:rsidRPr="00904FCB">
        <w:rPr>
          <w:sz w:val="27"/>
          <w:rtl/>
        </w:rPr>
        <w:t xml:space="preserve"> </w:t>
      </w:r>
      <w:r w:rsidRPr="00904FCB">
        <w:rPr>
          <w:rFonts w:hint="cs"/>
          <w:sz w:val="27"/>
          <w:rtl/>
        </w:rPr>
        <w:t>وربما</w:t>
      </w:r>
      <w:r w:rsidRPr="00904FCB">
        <w:rPr>
          <w:sz w:val="27"/>
          <w:rtl/>
        </w:rPr>
        <w:t xml:space="preserve"> </w:t>
      </w:r>
      <w:r w:rsidRPr="00904FCB">
        <w:rPr>
          <w:rFonts w:hint="cs"/>
          <w:sz w:val="27"/>
          <w:rtl/>
        </w:rPr>
        <w:t>الاقتصادي</w:t>
      </w:r>
      <w:r w:rsidRPr="00904FCB">
        <w:rPr>
          <w:sz w:val="27"/>
          <w:rtl/>
        </w:rPr>
        <w:t xml:space="preserve">. </w:t>
      </w:r>
      <w:r w:rsidRPr="00904FCB">
        <w:rPr>
          <w:rFonts w:hint="cs"/>
          <w:sz w:val="27"/>
          <w:rtl/>
        </w:rPr>
        <w:t>وهذا</w:t>
      </w:r>
      <w:r w:rsidRPr="00904FCB">
        <w:rPr>
          <w:sz w:val="27"/>
          <w:rtl/>
        </w:rPr>
        <w:t xml:space="preserve"> </w:t>
      </w:r>
      <w:r w:rsidRPr="00904FCB">
        <w:rPr>
          <w:rFonts w:hint="cs"/>
          <w:sz w:val="27"/>
          <w:rtl/>
        </w:rPr>
        <w:t>التراث</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العنفي</w:t>
      </w:r>
      <w:r w:rsidRPr="00904FCB">
        <w:rPr>
          <w:sz w:val="27"/>
          <w:rtl/>
        </w:rPr>
        <w:t xml:space="preserve"> </w:t>
      </w:r>
      <w:r w:rsidRPr="00904FCB">
        <w:rPr>
          <w:rFonts w:hint="cs"/>
          <w:sz w:val="27"/>
          <w:rtl/>
        </w:rPr>
        <w:t>لاحظناه</w:t>
      </w:r>
      <w:r w:rsidRPr="00904FCB">
        <w:rPr>
          <w:sz w:val="27"/>
          <w:rtl/>
        </w:rPr>
        <w:t xml:space="preserve"> </w:t>
      </w:r>
      <w:r w:rsidRPr="00904FCB">
        <w:rPr>
          <w:rFonts w:hint="cs"/>
          <w:sz w:val="27"/>
          <w:rtl/>
        </w:rPr>
        <w:t>لدى</w:t>
      </w:r>
      <w:r w:rsidRPr="00904FCB">
        <w:rPr>
          <w:sz w:val="27"/>
          <w:rtl/>
        </w:rPr>
        <w:t xml:space="preserve"> </w:t>
      </w:r>
      <w:r w:rsidRPr="00904FCB">
        <w:rPr>
          <w:rFonts w:hint="cs"/>
          <w:sz w:val="27"/>
          <w:rtl/>
        </w:rPr>
        <w:t>كل</w:t>
      </w:r>
      <w:r w:rsidR="001864C3" w:rsidRPr="00904FCB">
        <w:rPr>
          <w:rFonts w:hint="cs"/>
          <w:sz w:val="27"/>
          <w:rtl/>
        </w:rPr>
        <w:t>ّ</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النظم</w:t>
      </w:r>
      <w:r w:rsidRPr="00904FCB">
        <w:rPr>
          <w:sz w:val="27"/>
          <w:rtl/>
        </w:rPr>
        <w:t xml:space="preserve"> </w:t>
      </w:r>
      <w:r w:rsidRPr="00904FCB">
        <w:rPr>
          <w:rFonts w:hint="cs"/>
          <w:sz w:val="27"/>
          <w:rtl/>
        </w:rPr>
        <w:t>القومية</w:t>
      </w:r>
      <w:r w:rsidRPr="00904FCB">
        <w:rPr>
          <w:sz w:val="27"/>
          <w:rtl/>
        </w:rPr>
        <w:t xml:space="preserve"> </w:t>
      </w:r>
      <w:r w:rsidRPr="00904FCB">
        <w:rPr>
          <w:rFonts w:hint="cs"/>
          <w:sz w:val="27"/>
          <w:rtl/>
        </w:rPr>
        <w:t>والاشتراكية</w:t>
      </w:r>
      <w:r w:rsidRPr="00904FCB">
        <w:rPr>
          <w:sz w:val="27"/>
          <w:rtl/>
        </w:rPr>
        <w:t xml:space="preserve"> </w:t>
      </w:r>
      <w:r w:rsidRPr="00904FCB">
        <w:rPr>
          <w:rFonts w:hint="cs"/>
          <w:sz w:val="27"/>
          <w:rtl/>
        </w:rPr>
        <w:t>والإسلامية</w:t>
      </w:r>
      <w:r w:rsidR="001864C3"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اختلفت</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كل</w:t>
      </w:r>
      <w:r w:rsidR="001864C3" w:rsidRPr="00904FCB">
        <w:rPr>
          <w:rFonts w:hint="cs"/>
          <w:sz w:val="27"/>
          <w:rtl/>
        </w:rPr>
        <w:t>ّ</w:t>
      </w:r>
      <w:r w:rsidRPr="00904FCB">
        <w:rPr>
          <w:sz w:val="27"/>
          <w:rtl/>
        </w:rPr>
        <w:t xml:space="preserve"> </w:t>
      </w:r>
      <w:r w:rsidRPr="00904FCB">
        <w:rPr>
          <w:rFonts w:hint="cs"/>
          <w:sz w:val="27"/>
          <w:rtl/>
        </w:rPr>
        <w:t>شيء</w:t>
      </w:r>
      <w:r w:rsidR="001864C3" w:rsidRPr="00904FCB">
        <w:rPr>
          <w:rFonts w:hint="cs"/>
          <w:sz w:val="27"/>
          <w:rtl/>
        </w:rPr>
        <w:t>ٍ،</w:t>
      </w:r>
      <w:r w:rsidRPr="00904FCB">
        <w:rPr>
          <w:sz w:val="27"/>
          <w:rtl/>
        </w:rPr>
        <w:t xml:space="preserve"> </w:t>
      </w:r>
      <w:r w:rsidRPr="00904FCB">
        <w:rPr>
          <w:rFonts w:hint="cs"/>
          <w:sz w:val="27"/>
          <w:rtl/>
        </w:rPr>
        <w:t>وات</w:t>
      </w:r>
      <w:r w:rsidR="001864C3" w:rsidRPr="00904FCB">
        <w:rPr>
          <w:rFonts w:hint="cs"/>
          <w:sz w:val="27"/>
          <w:rtl/>
        </w:rPr>
        <w:t>َّ</w:t>
      </w:r>
      <w:r w:rsidRPr="00904FCB">
        <w:rPr>
          <w:rFonts w:hint="cs"/>
          <w:sz w:val="27"/>
          <w:rtl/>
        </w:rPr>
        <w:t>فقت</w:t>
      </w:r>
      <w:r w:rsidRPr="00904FCB">
        <w:rPr>
          <w:sz w:val="27"/>
          <w:rtl/>
        </w:rPr>
        <w:t xml:space="preserve"> ـ </w:t>
      </w:r>
      <w:r w:rsidRPr="00904FCB">
        <w:rPr>
          <w:rFonts w:hint="cs"/>
          <w:sz w:val="27"/>
          <w:rtl/>
        </w:rPr>
        <w:t>بالرغم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تناقضاتها</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والموضوعية</w:t>
      </w:r>
      <w:r w:rsidRPr="00904FCB">
        <w:rPr>
          <w:sz w:val="27"/>
          <w:rtl/>
        </w:rPr>
        <w:t xml:space="preserve"> ـ </w:t>
      </w:r>
      <w:r w:rsidRPr="00904FCB">
        <w:rPr>
          <w:rFonts w:hint="cs"/>
          <w:sz w:val="27"/>
          <w:rtl/>
        </w:rPr>
        <w:t>على</w:t>
      </w:r>
      <w:r w:rsidRPr="00904FCB">
        <w:rPr>
          <w:sz w:val="27"/>
          <w:rtl/>
        </w:rPr>
        <w:t xml:space="preserve"> </w:t>
      </w:r>
      <w:r w:rsidRPr="00904FCB">
        <w:rPr>
          <w:rFonts w:hint="cs"/>
          <w:sz w:val="27"/>
          <w:rtl/>
        </w:rPr>
        <w:t>تبن</w:t>
      </w:r>
      <w:r w:rsidR="001864C3" w:rsidRPr="00904FCB">
        <w:rPr>
          <w:rFonts w:hint="cs"/>
          <w:sz w:val="27"/>
          <w:rtl/>
        </w:rPr>
        <w:t>ّ</w:t>
      </w:r>
      <w:r w:rsidRPr="00904FCB">
        <w:rPr>
          <w:rFonts w:hint="cs"/>
          <w:sz w:val="27"/>
          <w:rtl/>
        </w:rPr>
        <w:t>ي</w:t>
      </w:r>
      <w:r w:rsidRPr="00904FCB">
        <w:rPr>
          <w:sz w:val="27"/>
          <w:rtl/>
        </w:rPr>
        <w:t xml:space="preserve"> </w:t>
      </w:r>
      <w:r w:rsidRPr="00904FCB">
        <w:rPr>
          <w:rFonts w:hint="cs"/>
          <w:sz w:val="27"/>
          <w:rtl/>
        </w:rPr>
        <w:t>فكر</w:t>
      </w:r>
      <w:r w:rsidRPr="00904FCB">
        <w:rPr>
          <w:sz w:val="27"/>
          <w:rtl/>
        </w:rPr>
        <w:t xml:space="preserve"> </w:t>
      </w:r>
      <w:r w:rsidRPr="00904FCB">
        <w:rPr>
          <w:rFonts w:hint="cs"/>
          <w:sz w:val="27"/>
          <w:rtl/>
        </w:rPr>
        <w:t>ومنهج</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والقو</w:t>
      </w:r>
      <w:r w:rsidR="001864C3" w:rsidRPr="00904FCB">
        <w:rPr>
          <w:rFonts w:hint="cs"/>
          <w:sz w:val="27"/>
          <w:rtl/>
        </w:rPr>
        <w:t>ّ</w:t>
      </w:r>
      <w:r w:rsidRPr="00904FCB">
        <w:rPr>
          <w:rFonts w:hint="cs"/>
          <w:sz w:val="27"/>
          <w:rtl/>
        </w:rPr>
        <w:t>ة</w:t>
      </w:r>
      <w:r w:rsidRPr="00904FCB">
        <w:rPr>
          <w:sz w:val="27"/>
          <w:rtl/>
        </w:rPr>
        <w:t xml:space="preserve"> </w:t>
      </w:r>
      <w:r w:rsidRPr="00904FCB">
        <w:rPr>
          <w:rFonts w:hint="cs"/>
          <w:sz w:val="27"/>
          <w:rtl/>
        </w:rPr>
        <w:t>والبطش</w:t>
      </w:r>
      <w:r w:rsidR="001864C3" w:rsidRPr="00904FCB">
        <w:rPr>
          <w:rFonts w:hint="cs"/>
          <w:sz w:val="27"/>
          <w:rtl/>
        </w:rPr>
        <w:t>؛</w:t>
      </w:r>
      <w:r w:rsidRPr="00904FCB">
        <w:rPr>
          <w:sz w:val="27"/>
          <w:rtl/>
        </w:rPr>
        <w:t xml:space="preserve"> </w:t>
      </w:r>
      <w:r w:rsidRPr="00904FCB">
        <w:rPr>
          <w:rFonts w:hint="cs"/>
          <w:sz w:val="27"/>
          <w:rtl/>
        </w:rPr>
        <w:t>للوصول</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السلطة</w:t>
      </w:r>
      <w:r w:rsidR="001864C3" w:rsidRPr="00904FCB">
        <w:rPr>
          <w:rFonts w:hint="cs"/>
          <w:sz w:val="27"/>
          <w:rtl/>
        </w:rPr>
        <w:t>،</w:t>
      </w:r>
      <w:r w:rsidRPr="00904FCB">
        <w:rPr>
          <w:sz w:val="27"/>
          <w:rtl/>
        </w:rPr>
        <w:t xml:space="preserve"> </w:t>
      </w:r>
      <w:r w:rsidRPr="00904FCB">
        <w:rPr>
          <w:rFonts w:hint="cs"/>
          <w:sz w:val="27"/>
          <w:rtl/>
        </w:rPr>
        <w:t>والبقاء</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بالقو</w:t>
      </w:r>
      <w:r w:rsidR="001864C3" w:rsidRPr="00904FCB">
        <w:rPr>
          <w:rFonts w:hint="cs"/>
          <w:sz w:val="27"/>
          <w:rtl/>
        </w:rPr>
        <w:t>ّ</w:t>
      </w:r>
      <w:r w:rsidRPr="00904FCB">
        <w:rPr>
          <w:rFonts w:hint="cs"/>
          <w:sz w:val="27"/>
          <w:rtl/>
        </w:rPr>
        <w:t>ة</w:t>
      </w:r>
      <w:r w:rsidR="001864C3" w:rsidRPr="00904FCB">
        <w:rPr>
          <w:rFonts w:hint="cs"/>
          <w:sz w:val="27"/>
          <w:rtl/>
        </w:rPr>
        <w:t>،</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فرض</w:t>
      </w:r>
      <w:r w:rsidRPr="00904FCB">
        <w:rPr>
          <w:sz w:val="27"/>
          <w:rtl/>
        </w:rPr>
        <w:t xml:space="preserve"> </w:t>
      </w:r>
      <w:r w:rsidR="001864C3" w:rsidRPr="00904FCB">
        <w:rPr>
          <w:rFonts w:hint="cs"/>
          <w:sz w:val="27"/>
          <w:rtl/>
        </w:rPr>
        <w:t>أ</w:t>
      </w:r>
      <w:r w:rsidRPr="00904FCB">
        <w:rPr>
          <w:rFonts w:hint="cs"/>
          <w:sz w:val="27"/>
          <w:rtl/>
        </w:rPr>
        <w:t>يديولوجي</w:t>
      </w:r>
      <w:r w:rsidR="001864C3" w:rsidRPr="00904FCB">
        <w:rPr>
          <w:rFonts w:hint="cs"/>
          <w:sz w:val="27"/>
          <w:rtl/>
        </w:rPr>
        <w:t>ّ</w:t>
      </w:r>
      <w:r w:rsidRPr="00904FCB">
        <w:rPr>
          <w:rFonts w:hint="cs"/>
          <w:sz w:val="27"/>
          <w:rtl/>
        </w:rPr>
        <w:t>اتها</w:t>
      </w:r>
      <w:r w:rsidRPr="00904FCB">
        <w:rPr>
          <w:sz w:val="27"/>
          <w:rtl/>
        </w:rPr>
        <w:t xml:space="preserve"> </w:t>
      </w:r>
      <w:r w:rsidRPr="00904FCB">
        <w:rPr>
          <w:rFonts w:hint="cs"/>
          <w:sz w:val="27"/>
          <w:rtl/>
        </w:rPr>
        <w:t>وأفكارها</w:t>
      </w:r>
      <w:r w:rsidRPr="00904FCB">
        <w:rPr>
          <w:sz w:val="27"/>
          <w:rtl/>
        </w:rPr>
        <w:t xml:space="preserve"> </w:t>
      </w:r>
      <w:r w:rsidRPr="00904FCB">
        <w:rPr>
          <w:rFonts w:hint="cs"/>
          <w:sz w:val="27"/>
          <w:rtl/>
        </w:rPr>
        <w:t>العبثية</w:t>
      </w:r>
      <w:r w:rsidRPr="00904FCB">
        <w:rPr>
          <w:sz w:val="27"/>
          <w:rtl/>
        </w:rPr>
        <w:t xml:space="preserve"> </w:t>
      </w:r>
      <w:r w:rsidRPr="00904FCB">
        <w:rPr>
          <w:rFonts w:hint="cs"/>
          <w:sz w:val="27"/>
          <w:rtl/>
        </w:rPr>
        <w:t>المدمرة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الآخرين</w:t>
      </w:r>
      <w:r w:rsidR="001864C3" w:rsidRPr="00904FCB">
        <w:rPr>
          <w:rFonts w:hint="cs"/>
          <w:sz w:val="27"/>
          <w:rtl/>
        </w:rPr>
        <w:t>،</w:t>
      </w:r>
      <w:r w:rsidRPr="00904FCB">
        <w:rPr>
          <w:sz w:val="27"/>
          <w:rtl/>
        </w:rPr>
        <w:t xml:space="preserve"> </w:t>
      </w:r>
      <w:r w:rsidRPr="00904FCB">
        <w:rPr>
          <w:rFonts w:hint="cs"/>
          <w:sz w:val="27"/>
          <w:rtl/>
        </w:rPr>
        <w:t>مستنيرين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بتجارب</w:t>
      </w:r>
      <w:r w:rsidRPr="00904FCB">
        <w:rPr>
          <w:sz w:val="27"/>
          <w:rtl/>
        </w:rPr>
        <w:t xml:space="preserve"> </w:t>
      </w:r>
      <w:r w:rsidRPr="00904FCB">
        <w:rPr>
          <w:rFonts w:hint="cs"/>
          <w:sz w:val="27"/>
          <w:rtl/>
        </w:rPr>
        <w:t>الشيوعية</w:t>
      </w:r>
      <w:r w:rsidRPr="00904FCB">
        <w:rPr>
          <w:sz w:val="27"/>
          <w:rtl/>
        </w:rPr>
        <w:t xml:space="preserve"> </w:t>
      </w:r>
      <w:r w:rsidRPr="00904FCB">
        <w:rPr>
          <w:rFonts w:hint="cs"/>
          <w:sz w:val="27"/>
          <w:rtl/>
        </w:rPr>
        <w:t>الستالينية</w:t>
      </w:r>
      <w:r w:rsidRPr="00904FCB">
        <w:rPr>
          <w:sz w:val="27"/>
          <w:rtl/>
        </w:rPr>
        <w:t xml:space="preserve"> </w:t>
      </w:r>
      <w:r w:rsidRPr="00904FCB">
        <w:rPr>
          <w:rFonts w:hint="cs"/>
          <w:sz w:val="27"/>
          <w:rtl/>
        </w:rPr>
        <w:t>والناصرية</w:t>
      </w:r>
      <w:r w:rsidRPr="00904FCB">
        <w:rPr>
          <w:sz w:val="27"/>
          <w:rtl/>
        </w:rPr>
        <w:t xml:space="preserve"> </w:t>
      </w:r>
      <w:r w:rsidRPr="00904FCB">
        <w:rPr>
          <w:rFonts w:hint="cs"/>
          <w:sz w:val="27"/>
          <w:rtl/>
        </w:rPr>
        <w:t>المخابراتية</w:t>
      </w:r>
      <w:r w:rsidR="001864C3" w:rsidRPr="00904FCB">
        <w:rPr>
          <w:rFonts w:hint="cs"/>
          <w:sz w:val="27"/>
          <w:rtl/>
        </w:rPr>
        <w:t>،</w:t>
      </w:r>
      <w:r w:rsidRPr="00904FCB">
        <w:rPr>
          <w:sz w:val="27"/>
          <w:rtl/>
        </w:rPr>
        <w:t xml:space="preserve"> </w:t>
      </w:r>
      <w:r w:rsidRPr="00904FCB">
        <w:rPr>
          <w:rFonts w:hint="cs"/>
          <w:sz w:val="27"/>
          <w:rtl/>
        </w:rPr>
        <w:t>وغيرها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مواريث</w:t>
      </w:r>
      <w:r w:rsidRPr="00904FCB">
        <w:rPr>
          <w:sz w:val="27"/>
          <w:rtl/>
        </w:rPr>
        <w:t xml:space="preserve"> </w:t>
      </w:r>
      <w:r w:rsidRPr="00904FCB">
        <w:rPr>
          <w:rFonts w:hint="cs"/>
          <w:sz w:val="27"/>
          <w:rtl/>
        </w:rPr>
        <w:t>دول</w:t>
      </w:r>
      <w:r w:rsidRPr="00904FCB">
        <w:rPr>
          <w:sz w:val="27"/>
          <w:rtl/>
        </w:rPr>
        <w:t xml:space="preserve"> </w:t>
      </w:r>
      <w:r w:rsidRPr="00904FCB">
        <w:rPr>
          <w:rFonts w:hint="cs"/>
          <w:sz w:val="27"/>
          <w:rtl/>
        </w:rPr>
        <w:t>القمع</w:t>
      </w:r>
      <w:r w:rsidRPr="00904FCB">
        <w:rPr>
          <w:sz w:val="27"/>
          <w:rtl/>
        </w:rPr>
        <w:t xml:space="preserve"> </w:t>
      </w:r>
      <w:r w:rsidRPr="00904FCB">
        <w:rPr>
          <w:rFonts w:hint="cs"/>
          <w:sz w:val="27"/>
          <w:rtl/>
        </w:rPr>
        <w:t>والاستبداد</w:t>
      </w:r>
      <w:r w:rsidRPr="00904FCB">
        <w:rPr>
          <w:sz w:val="27"/>
          <w:rtl/>
        </w:rPr>
        <w:t xml:space="preserve"> </w:t>
      </w:r>
      <w:r w:rsidRPr="00904FCB">
        <w:rPr>
          <w:rFonts w:hint="cs"/>
          <w:sz w:val="27"/>
          <w:rtl/>
        </w:rPr>
        <w:t>العربي</w:t>
      </w:r>
      <w:r w:rsidRPr="00904FCB">
        <w:rPr>
          <w:sz w:val="27"/>
          <w:rtl/>
        </w:rPr>
        <w:t xml:space="preserve"> </w:t>
      </w:r>
      <w:r w:rsidRPr="00904FCB">
        <w:rPr>
          <w:rFonts w:hint="cs"/>
          <w:sz w:val="27"/>
          <w:rtl/>
        </w:rPr>
        <w:t>والعالمي</w:t>
      </w:r>
      <w:r w:rsidR="001864C3" w:rsidRPr="00904FCB">
        <w:rPr>
          <w:rFonts w:hint="cs"/>
          <w:sz w:val="27"/>
          <w:rtl/>
        </w:rPr>
        <w:t>،</w:t>
      </w:r>
      <w:r w:rsidRPr="00904FCB">
        <w:rPr>
          <w:sz w:val="27"/>
          <w:rtl/>
        </w:rPr>
        <w:t xml:space="preserve"> </w:t>
      </w:r>
      <w:r w:rsidRPr="00904FCB">
        <w:rPr>
          <w:rFonts w:hint="cs"/>
          <w:sz w:val="27"/>
          <w:rtl/>
        </w:rPr>
        <w:t>الحديثة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التاريخية</w:t>
      </w:r>
      <w:r w:rsidRPr="00904FCB">
        <w:rPr>
          <w:sz w:val="27"/>
          <w:rtl/>
        </w:rPr>
        <w:t xml:space="preserve">. </w:t>
      </w:r>
    </w:p>
    <w:p w:rsidR="00057E24" w:rsidRPr="00904FCB" w:rsidRDefault="00057E24" w:rsidP="00A8172D">
      <w:pPr>
        <w:spacing w:line="400" w:lineRule="exact"/>
        <w:rPr>
          <w:sz w:val="27"/>
        </w:rPr>
      </w:pPr>
      <w:r w:rsidRPr="00904FCB">
        <w:rPr>
          <w:rFonts w:hint="cs"/>
          <w:sz w:val="27"/>
          <w:rtl/>
        </w:rPr>
        <w:t>ـ وجود</w:t>
      </w:r>
      <w:r w:rsidRPr="00904FCB">
        <w:rPr>
          <w:sz w:val="27"/>
          <w:rtl/>
        </w:rPr>
        <w:t xml:space="preserve"> </w:t>
      </w:r>
      <w:r w:rsidRPr="00904FCB">
        <w:rPr>
          <w:rFonts w:hint="cs"/>
          <w:sz w:val="27"/>
          <w:rtl/>
        </w:rPr>
        <w:t>وهيمنة</w:t>
      </w:r>
      <w:r w:rsidRPr="00904FCB">
        <w:rPr>
          <w:sz w:val="27"/>
          <w:rtl/>
        </w:rPr>
        <w:t xml:space="preserve"> </w:t>
      </w:r>
      <w:r w:rsidRPr="00904FCB">
        <w:rPr>
          <w:rFonts w:hint="cs"/>
          <w:sz w:val="27"/>
          <w:rtl/>
        </w:rPr>
        <w:t>تراث</w:t>
      </w:r>
      <w:r w:rsidRPr="00904FCB">
        <w:rPr>
          <w:sz w:val="27"/>
          <w:rtl/>
        </w:rPr>
        <w:t xml:space="preserve"> </w:t>
      </w:r>
      <w:r w:rsidRPr="00904FCB">
        <w:rPr>
          <w:rFonts w:hint="cs"/>
          <w:sz w:val="27"/>
          <w:rtl/>
        </w:rPr>
        <w:t>ثقافي</w:t>
      </w:r>
      <w:r w:rsidRPr="00904FCB">
        <w:rPr>
          <w:sz w:val="27"/>
          <w:rtl/>
        </w:rPr>
        <w:t xml:space="preserve"> </w:t>
      </w:r>
      <w:r w:rsidRPr="00904FCB">
        <w:rPr>
          <w:rFonts w:hint="cs"/>
          <w:sz w:val="27"/>
          <w:rtl/>
        </w:rPr>
        <w:t>وعقائدي</w:t>
      </w:r>
      <w:r w:rsidRPr="00904FCB">
        <w:rPr>
          <w:sz w:val="27"/>
          <w:rtl/>
        </w:rPr>
        <w:t xml:space="preserve"> </w:t>
      </w:r>
      <w:r w:rsidRPr="00904FCB">
        <w:rPr>
          <w:rFonts w:hint="cs"/>
          <w:sz w:val="27"/>
          <w:rtl/>
        </w:rPr>
        <w:t>تدي</w:t>
      </w:r>
      <w:r w:rsidR="001864C3" w:rsidRPr="00904FCB">
        <w:rPr>
          <w:rFonts w:hint="cs"/>
          <w:sz w:val="27"/>
          <w:rtl/>
        </w:rPr>
        <w:t>ُّ</w:t>
      </w:r>
      <w:r w:rsidRPr="00904FCB">
        <w:rPr>
          <w:rFonts w:hint="cs"/>
          <w:sz w:val="27"/>
          <w:rtl/>
        </w:rPr>
        <w:t>ني (غير ديني) إقصائي</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تسامحي، يبر</w:t>
      </w:r>
      <w:r w:rsidR="0064533A" w:rsidRPr="00904FCB">
        <w:rPr>
          <w:rFonts w:hint="cs"/>
          <w:sz w:val="27"/>
          <w:rtl/>
        </w:rPr>
        <w:t>ِّ</w:t>
      </w:r>
      <w:r w:rsidRPr="00904FCB">
        <w:rPr>
          <w:rFonts w:hint="cs"/>
          <w:sz w:val="27"/>
          <w:rtl/>
        </w:rPr>
        <w:t>ر</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ويمج</w:t>
      </w:r>
      <w:r w:rsidR="0064533A" w:rsidRPr="00904FCB">
        <w:rPr>
          <w:rFonts w:hint="cs"/>
          <w:sz w:val="27"/>
          <w:rtl/>
        </w:rPr>
        <w:t>ِّ</w:t>
      </w:r>
      <w:r w:rsidRPr="00904FCB">
        <w:rPr>
          <w:rFonts w:hint="cs"/>
          <w:sz w:val="27"/>
          <w:rtl/>
        </w:rPr>
        <w:t>د</w:t>
      </w:r>
      <w:r w:rsidRPr="00904FCB">
        <w:rPr>
          <w:sz w:val="27"/>
          <w:rtl/>
        </w:rPr>
        <w:t xml:space="preserve"> </w:t>
      </w:r>
      <w:r w:rsidRPr="00904FCB">
        <w:rPr>
          <w:rFonts w:hint="cs"/>
          <w:sz w:val="27"/>
          <w:rtl/>
        </w:rPr>
        <w:t>القوة، ويعتبره</w:t>
      </w:r>
      <w:r w:rsidRPr="00904FCB">
        <w:rPr>
          <w:sz w:val="27"/>
          <w:rtl/>
        </w:rPr>
        <w:t xml:space="preserve"> </w:t>
      </w:r>
      <w:r w:rsidRPr="00904FCB">
        <w:rPr>
          <w:rFonts w:hint="cs"/>
          <w:sz w:val="27"/>
          <w:rtl/>
        </w:rPr>
        <w:t>نوعاً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العبادة</w:t>
      </w:r>
      <w:r w:rsidRPr="00904FCB">
        <w:rPr>
          <w:sz w:val="27"/>
          <w:rtl/>
        </w:rPr>
        <w:t xml:space="preserve"> </w:t>
      </w:r>
      <w:r w:rsidRPr="00904FCB">
        <w:rPr>
          <w:rFonts w:hint="cs"/>
          <w:sz w:val="27"/>
          <w:rtl/>
        </w:rPr>
        <w:t>والتقر</w:t>
      </w:r>
      <w:r w:rsidR="0064533A" w:rsidRPr="00904FCB">
        <w:rPr>
          <w:rFonts w:hint="cs"/>
          <w:sz w:val="27"/>
          <w:rtl/>
        </w:rPr>
        <w:t>ُّ</w:t>
      </w:r>
      <w:r w:rsidRPr="00904FCB">
        <w:rPr>
          <w:rFonts w:hint="cs"/>
          <w:sz w:val="27"/>
          <w:rtl/>
        </w:rPr>
        <w:t>ب</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الخالق، وأيضاً</w:t>
      </w:r>
      <w:r w:rsidRPr="00904FCB">
        <w:rPr>
          <w:sz w:val="27"/>
          <w:rtl/>
        </w:rPr>
        <w:t xml:space="preserve"> </w:t>
      </w:r>
      <w:r w:rsidRPr="00904FCB">
        <w:rPr>
          <w:rFonts w:hint="cs"/>
          <w:sz w:val="27"/>
          <w:rtl/>
        </w:rPr>
        <w:t>يجعله</w:t>
      </w:r>
      <w:r w:rsidRPr="00904FCB">
        <w:rPr>
          <w:sz w:val="27"/>
          <w:rtl/>
        </w:rPr>
        <w:t xml:space="preserve"> </w:t>
      </w:r>
      <w:r w:rsidRPr="00904FCB">
        <w:rPr>
          <w:rFonts w:hint="cs"/>
          <w:sz w:val="27"/>
          <w:rtl/>
        </w:rPr>
        <w:t>طريقاً</w:t>
      </w:r>
      <w:r w:rsidRPr="00904FCB">
        <w:rPr>
          <w:sz w:val="27"/>
          <w:rtl/>
        </w:rPr>
        <w:t xml:space="preserve"> </w:t>
      </w:r>
      <w:r w:rsidRPr="00904FCB">
        <w:rPr>
          <w:rFonts w:hint="cs"/>
          <w:sz w:val="27"/>
          <w:rtl/>
        </w:rPr>
        <w:t>وحيداً</w:t>
      </w:r>
      <w:r w:rsidRPr="00904FCB">
        <w:rPr>
          <w:sz w:val="27"/>
          <w:rtl/>
        </w:rPr>
        <w:t xml:space="preserve"> </w:t>
      </w:r>
      <w:r w:rsidRPr="00904FCB">
        <w:rPr>
          <w:rFonts w:hint="cs"/>
          <w:sz w:val="27"/>
          <w:rtl/>
        </w:rPr>
        <w:t>لحل</w:t>
      </w:r>
      <w:r w:rsidR="0064533A" w:rsidRPr="00904FCB">
        <w:rPr>
          <w:rFonts w:hint="cs"/>
          <w:sz w:val="27"/>
          <w:rtl/>
        </w:rPr>
        <w:t>ّ</w:t>
      </w:r>
      <w:r w:rsidRPr="00904FCB">
        <w:rPr>
          <w:sz w:val="27"/>
          <w:rtl/>
        </w:rPr>
        <w:t xml:space="preserve"> </w:t>
      </w:r>
      <w:r w:rsidRPr="00904FCB">
        <w:rPr>
          <w:rFonts w:hint="cs"/>
          <w:sz w:val="27"/>
          <w:rtl/>
        </w:rPr>
        <w:t>القضايا</w:t>
      </w:r>
      <w:r w:rsidRPr="00904FCB">
        <w:rPr>
          <w:sz w:val="27"/>
          <w:rtl/>
        </w:rPr>
        <w:t xml:space="preserve"> </w:t>
      </w:r>
      <w:r w:rsidRPr="00904FCB">
        <w:rPr>
          <w:rFonts w:hint="cs"/>
          <w:sz w:val="27"/>
          <w:rtl/>
        </w:rPr>
        <w:t>والخلافات</w:t>
      </w:r>
      <w:r w:rsidRPr="00904FCB">
        <w:rPr>
          <w:sz w:val="27"/>
          <w:rtl/>
        </w:rPr>
        <w:t xml:space="preserve"> </w:t>
      </w:r>
      <w:r w:rsidRPr="00904FCB">
        <w:rPr>
          <w:rFonts w:hint="cs"/>
          <w:sz w:val="27"/>
          <w:rtl/>
        </w:rPr>
        <w:t>والخصومات</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المتصارعين</w:t>
      </w:r>
      <w:r w:rsidRPr="00904FCB">
        <w:rPr>
          <w:sz w:val="27"/>
          <w:rtl/>
        </w:rPr>
        <w:t xml:space="preserve"> </w:t>
      </w:r>
      <w:r w:rsidRPr="00904FCB">
        <w:rPr>
          <w:rFonts w:hint="cs"/>
          <w:sz w:val="27"/>
          <w:rtl/>
        </w:rPr>
        <w:t>والمختلفين</w:t>
      </w:r>
      <w:r w:rsidRPr="00904FCB">
        <w:rPr>
          <w:sz w:val="27"/>
          <w:rtl/>
        </w:rPr>
        <w:t xml:space="preserve"> </w:t>
      </w:r>
      <w:r w:rsidRPr="00904FCB">
        <w:rPr>
          <w:rFonts w:hint="cs"/>
          <w:sz w:val="27"/>
          <w:rtl/>
        </w:rPr>
        <w:t>وأصحاب</w:t>
      </w:r>
      <w:r w:rsidRPr="00904FCB">
        <w:rPr>
          <w:sz w:val="27"/>
          <w:rtl/>
        </w:rPr>
        <w:t xml:space="preserve"> </w:t>
      </w:r>
      <w:r w:rsidRPr="00904FCB">
        <w:rPr>
          <w:rFonts w:hint="cs"/>
          <w:sz w:val="27"/>
          <w:rtl/>
        </w:rPr>
        <w:t>الخصومات</w:t>
      </w:r>
      <w:r w:rsidRPr="00904FCB">
        <w:rPr>
          <w:sz w:val="27"/>
          <w:rtl/>
        </w:rPr>
        <w:t xml:space="preserve"> </w:t>
      </w:r>
      <w:r w:rsidRPr="00904FCB">
        <w:rPr>
          <w:rFonts w:hint="cs"/>
          <w:sz w:val="27"/>
          <w:rtl/>
        </w:rPr>
        <w:t>والعداوات</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السياسية</w:t>
      </w:r>
      <w:r w:rsidR="0064533A"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نعدم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تاريخنا</w:t>
      </w:r>
      <w:r w:rsidRPr="00904FCB">
        <w:rPr>
          <w:sz w:val="27"/>
          <w:rtl/>
        </w:rPr>
        <w:t xml:space="preserve"> </w:t>
      </w:r>
      <w:r w:rsidRPr="00904FCB">
        <w:rPr>
          <w:rFonts w:hint="cs"/>
          <w:sz w:val="27"/>
          <w:rtl/>
        </w:rPr>
        <w:t>كثرة</w:t>
      </w:r>
      <w:r w:rsidRPr="00904FCB">
        <w:rPr>
          <w:sz w:val="27"/>
          <w:rtl/>
        </w:rPr>
        <w:t xml:space="preserve"> </w:t>
      </w:r>
      <w:r w:rsidRPr="00904FCB">
        <w:rPr>
          <w:rFonts w:hint="cs"/>
          <w:sz w:val="27"/>
          <w:rtl/>
        </w:rPr>
        <w:t>الأمثلة</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الجماعات</w:t>
      </w:r>
      <w:r w:rsidR="0064533A"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تتبن</w:t>
      </w:r>
      <w:r w:rsidR="0064533A" w:rsidRPr="00904FCB">
        <w:rPr>
          <w:rFonts w:hint="cs"/>
          <w:sz w:val="27"/>
          <w:rtl/>
        </w:rPr>
        <w:t>ّ</w:t>
      </w:r>
      <w:r w:rsidRPr="00904FCB">
        <w:rPr>
          <w:rFonts w:hint="cs"/>
          <w:sz w:val="27"/>
          <w:rtl/>
        </w:rPr>
        <w:t>ى</w:t>
      </w:r>
      <w:r w:rsidRPr="00904FCB">
        <w:rPr>
          <w:sz w:val="27"/>
          <w:rtl/>
        </w:rPr>
        <w:t xml:space="preserve"> </w:t>
      </w:r>
      <w:r w:rsidRPr="00904FCB">
        <w:rPr>
          <w:rFonts w:hint="cs"/>
          <w:sz w:val="27"/>
          <w:rtl/>
        </w:rPr>
        <w:t>نظرية</w:t>
      </w:r>
      <w:r w:rsidRPr="00904FCB">
        <w:rPr>
          <w:sz w:val="27"/>
          <w:rtl/>
        </w:rPr>
        <w:t xml:space="preserve"> </w:t>
      </w:r>
      <w:r w:rsidRPr="00904FCB">
        <w:rPr>
          <w:rFonts w:hint="cs"/>
          <w:sz w:val="27"/>
          <w:rtl/>
        </w:rPr>
        <w:t>وأيديولوجي</w:t>
      </w:r>
      <w:r w:rsidR="00A8172D">
        <w:rPr>
          <w:rFonts w:hint="cs"/>
          <w:sz w:val="27"/>
          <w:rtl/>
        </w:rPr>
        <w:t>ا</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منهج</w:t>
      </w:r>
      <w:r w:rsidRPr="00904FCB">
        <w:rPr>
          <w:sz w:val="27"/>
          <w:rtl/>
        </w:rPr>
        <w:t xml:space="preserve"> </w:t>
      </w:r>
      <w:r w:rsidRPr="00904FCB">
        <w:rPr>
          <w:rFonts w:hint="cs"/>
          <w:sz w:val="27"/>
          <w:rtl/>
        </w:rPr>
        <w:t>عنف</w:t>
      </w:r>
      <w:r w:rsidRPr="00904FCB">
        <w:rPr>
          <w:sz w:val="27"/>
          <w:rtl/>
        </w:rPr>
        <w:t xml:space="preserve"> </w:t>
      </w:r>
      <w:r w:rsidRPr="00904FCB">
        <w:rPr>
          <w:rFonts w:hint="cs"/>
          <w:sz w:val="27"/>
          <w:rtl/>
        </w:rPr>
        <w:t>الصحابة</w:t>
      </w:r>
      <w:r w:rsidRPr="00904FCB">
        <w:rPr>
          <w:sz w:val="27"/>
          <w:rtl/>
        </w:rPr>
        <w:t xml:space="preserve"> </w:t>
      </w:r>
      <w:r w:rsidRPr="00904FCB">
        <w:rPr>
          <w:rFonts w:hint="cs"/>
          <w:sz w:val="27"/>
          <w:rtl/>
        </w:rPr>
        <w:t>الأوائل</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بعضهم</w:t>
      </w:r>
      <w:r w:rsidRPr="00904FCB">
        <w:rPr>
          <w:sz w:val="27"/>
          <w:rtl/>
        </w:rPr>
        <w:t xml:space="preserve"> </w:t>
      </w:r>
      <w:r w:rsidRPr="00904FCB">
        <w:rPr>
          <w:rFonts w:hint="cs"/>
          <w:sz w:val="27"/>
          <w:rtl/>
        </w:rPr>
        <w:t>البعض، إلى</w:t>
      </w:r>
      <w:r w:rsidRPr="00904FCB">
        <w:rPr>
          <w:sz w:val="27"/>
          <w:rtl/>
        </w:rPr>
        <w:t xml:space="preserve"> </w:t>
      </w:r>
      <w:r w:rsidRPr="00904FCB">
        <w:rPr>
          <w:rFonts w:hint="cs"/>
          <w:sz w:val="27"/>
          <w:rtl/>
        </w:rPr>
        <w:t>الحروب</w:t>
      </w:r>
      <w:r w:rsidRPr="00904FCB">
        <w:rPr>
          <w:sz w:val="27"/>
          <w:rtl/>
        </w:rPr>
        <w:t xml:space="preserve"> </w:t>
      </w:r>
      <w:r w:rsidRPr="00904FCB">
        <w:rPr>
          <w:rFonts w:hint="cs"/>
          <w:sz w:val="27"/>
          <w:rtl/>
        </w:rPr>
        <w:t>والفتوحات</w:t>
      </w:r>
      <w:r w:rsidRPr="00904FCB">
        <w:rPr>
          <w:sz w:val="27"/>
          <w:rtl/>
        </w:rPr>
        <w:t xml:space="preserve"> </w:t>
      </w:r>
      <w:r w:rsidRPr="00904FCB">
        <w:rPr>
          <w:rFonts w:hint="cs"/>
          <w:sz w:val="27"/>
          <w:rtl/>
        </w:rPr>
        <w:t>الدينية، إلى</w:t>
      </w:r>
      <w:r w:rsidRPr="00904FCB">
        <w:rPr>
          <w:sz w:val="27"/>
          <w:rtl/>
        </w:rPr>
        <w:t xml:space="preserve"> </w:t>
      </w:r>
      <w:r w:rsidRPr="00904FCB">
        <w:rPr>
          <w:rFonts w:hint="cs"/>
          <w:sz w:val="27"/>
          <w:rtl/>
        </w:rPr>
        <w:t>سلفية</w:t>
      </w:r>
      <w:r w:rsidRPr="00904FCB">
        <w:rPr>
          <w:sz w:val="27"/>
          <w:rtl/>
        </w:rPr>
        <w:t xml:space="preserve"> </w:t>
      </w:r>
      <w:r w:rsidR="0064533A" w:rsidRPr="00904FCB">
        <w:rPr>
          <w:rFonts w:hint="cs"/>
          <w:sz w:val="27"/>
          <w:rtl/>
        </w:rPr>
        <w:t>فتاوى</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تيمية</w:t>
      </w:r>
      <w:r w:rsidR="0064533A" w:rsidRPr="00904FCB">
        <w:rPr>
          <w:rFonts w:hint="cs"/>
          <w:sz w:val="27"/>
          <w:rtl/>
        </w:rPr>
        <w:t>،</w:t>
      </w:r>
      <w:r w:rsidRPr="00904FCB">
        <w:rPr>
          <w:sz w:val="27"/>
          <w:rtl/>
        </w:rPr>
        <w:t xml:space="preserve"> </w:t>
      </w:r>
      <w:r w:rsidRPr="00904FCB">
        <w:rPr>
          <w:rFonts w:hint="cs"/>
          <w:sz w:val="27"/>
          <w:rtl/>
        </w:rPr>
        <w:t>وطروحات</w:t>
      </w:r>
      <w:r w:rsidRPr="00904FCB">
        <w:rPr>
          <w:sz w:val="27"/>
          <w:rtl/>
        </w:rPr>
        <w:t xml:space="preserve"> </w:t>
      </w:r>
      <w:r w:rsidRPr="00904FCB">
        <w:rPr>
          <w:rFonts w:hint="cs"/>
          <w:sz w:val="27"/>
          <w:rtl/>
        </w:rPr>
        <w:t>وفتاو</w:t>
      </w:r>
      <w:r w:rsidR="0064533A" w:rsidRPr="00904FCB">
        <w:rPr>
          <w:rFonts w:hint="cs"/>
          <w:sz w:val="27"/>
          <w:rtl/>
        </w:rPr>
        <w:t>ى</w:t>
      </w:r>
      <w:r w:rsidRPr="00904FCB">
        <w:rPr>
          <w:sz w:val="27"/>
          <w:rtl/>
        </w:rPr>
        <w:t xml:space="preserve"> </w:t>
      </w:r>
      <w:r w:rsidR="0064533A" w:rsidRPr="00904FCB">
        <w:rPr>
          <w:rFonts w:hint="cs"/>
          <w:sz w:val="27"/>
          <w:rtl/>
        </w:rPr>
        <w:t>السيد</w:t>
      </w:r>
      <w:r w:rsidRPr="00904FCB">
        <w:rPr>
          <w:sz w:val="27"/>
          <w:rtl/>
        </w:rPr>
        <w:t xml:space="preserve"> </w:t>
      </w:r>
      <w:r w:rsidRPr="00904FCB">
        <w:rPr>
          <w:rFonts w:hint="cs"/>
          <w:sz w:val="27"/>
          <w:rtl/>
        </w:rPr>
        <w:t>الخميني، إلى</w:t>
      </w:r>
      <w:r w:rsidRPr="00904FCB">
        <w:rPr>
          <w:sz w:val="27"/>
          <w:rtl/>
        </w:rPr>
        <w:t xml:space="preserve"> </w:t>
      </w:r>
      <w:r w:rsidRPr="00904FCB">
        <w:rPr>
          <w:rFonts w:hint="cs"/>
          <w:sz w:val="27"/>
          <w:rtl/>
        </w:rPr>
        <w:t>غيرهم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مشايخ</w:t>
      </w:r>
      <w:r w:rsidRPr="00904FCB">
        <w:rPr>
          <w:sz w:val="27"/>
          <w:rtl/>
        </w:rPr>
        <w:t xml:space="preserve"> </w:t>
      </w:r>
      <w:r w:rsidRPr="00904FCB">
        <w:rPr>
          <w:rFonts w:hint="cs"/>
          <w:sz w:val="27"/>
          <w:rtl/>
        </w:rPr>
        <w:t>ورجالات</w:t>
      </w:r>
      <w:r w:rsidRPr="00904FCB">
        <w:rPr>
          <w:sz w:val="27"/>
          <w:rtl/>
        </w:rPr>
        <w:t xml:space="preserve"> </w:t>
      </w:r>
      <w:r w:rsidRPr="00904FCB">
        <w:rPr>
          <w:rFonts w:hint="cs"/>
          <w:sz w:val="27"/>
          <w:rtl/>
        </w:rPr>
        <w:t>الدين</w:t>
      </w:r>
      <w:r w:rsidRPr="00904FCB">
        <w:rPr>
          <w:sz w:val="27"/>
          <w:rtl/>
        </w:rPr>
        <w:t xml:space="preserve"> </w:t>
      </w:r>
      <w:r w:rsidRPr="00904FCB">
        <w:rPr>
          <w:rFonts w:hint="cs"/>
          <w:sz w:val="27"/>
          <w:rtl/>
        </w:rPr>
        <w:t>الإسلامي</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الإسلامي، وغيرهم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أتباع</w:t>
      </w:r>
      <w:r w:rsidRPr="00904FCB">
        <w:rPr>
          <w:sz w:val="27"/>
          <w:rtl/>
        </w:rPr>
        <w:t xml:space="preserve"> </w:t>
      </w:r>
      <w:r w:rsidRPr="00904FCB">
        <w:rPr>
          <w:rFonts w:hint="cs"/>
          <w:sz w:val="27"/>
          <w:rtl/>
        </w:rPr>
        <w:t>منهاج</w:t>
      </w:r>
      <w:r w:rsidRPr="00904FCB">
        <w:rPr>
          <w:sz w:val="27"/>
          <w:rtl/>
        </w:rPr>
        <w:t xml:space="preserve"> </w:t>
      </w:r>
      <w:r w:rsidRPr="00904FCB">
        <w:rPr>
          <w:rFonts w:hint="cs"/>
          <w:sz w:val="27"/>
          <w:rtl/>
        </w:rPr>
        <w:t>وعقائد</w:t>
      </w:r>
      <w:r w:rsidRPr="00904FCB">
        <w:rPr>
          <w:sz w:val="27"/>
          <w:rtl/>
        </w:rPr>
        <w:t xml:space="preserve"> </w:t>
      </w:r>
      <w:r w:rsidRPr="00904FCB">
        <w:rPr>
          <w:rFonts w:hint="cs"/>
          <w:sz w:val="27"/>
          <w:rtl/>
        </w:rPr>
        <w:t>الأصوليات</w:t>
      </w:r>
      <w:r w:rsidRPr="00904FCB">
        <w:rPr>
          <w:sz w:val="27"/>
          <w:rtl/>
        </w:rPr>
        <w:t xml:space="preserve"> </w:t>
      </w:r>
      <w:r w:rsidRPr="00904FCB">
        <w:rPr>
          <w:rFonts w:hint="cs"/>
          <w:sz w:val="27"/>
          <w:rtl/>
        </w:rPr>
        <w:t>الاصطفائية</w:t>
      </w:r>
      <w:r w:rsidRPr="00904FCB">
        <w:rPr>
          <w:sz w:val="27"/>
          <w:rtl/>
        </w:rPr>
        <w:t xml:space="preserve"> </w:t>
      </w:r>
      <w:r w:rsidRPr="00904FCB">
        <w:rPr>
          <w:rFonts w:hint="cs"/>
          <w:sz w:val="27"/>
          <w:rtl/>
        </w:rPr>
        <w:t>الدينية</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الدينية</w:t>
      </w:r>
      <w:r w:rsidR="0064533A" w:rsidRPr="00904FCB">
        <w:rPr>
          <w:rFonts w:hint="cs"/>
          <w:sz w:val="27"/>
          <w:rtl/>
        </w:rPr>
        <w:t>)</w:t>
      </w:r>
      <w:r w:rsidRPr="00904FCB">
        <w:rPr>
          <w:sz w:val="27"/>
          <w:rtl/>
        </w:rPr>
        <w:t xml:space="preserve">. </w:t>
      </w:r>
      <w:r w:rsidRPr="00904FCB">
        <w:rPr>
          <w:rFonts w:hint="cs"/>
          <w:sz w:val="27"/>
          <w:rtl/>
        </w:rPr>
        <w:t>ومجمل</w:t>
      </w:r>
      <w:r w:rsidRPr="00904FCB">
        <w:rPr>
          <w:sz w:val="27"/>
          <w:rtl/>
        </w:rPr>
        <w:t xml:space="preserve"> </w:t>
      </w:r>
      <w:r w:rsidRPr="00904FCB">
        <w:rPr>
          <w:rFonts w:hint="cs"/>
          <w:sz w:val="27"/>
          <w:rtl/>
        </w:rPr>
        <w:t>أصحاب</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الاتجاهات</w:t>
      </w:r>
      <w:r w:rsidRPr="00904FCB">
        <w:rPr>
          <w:sz w:val="27"/>
          <w:rtl/>
        </w:rPr>
        <w:t xml:space="preserve"> </w:t>
      </w:r>
      <w:r w:rsidRPr="00904FCB">
        <w:rPr>
          <w:rFonts w:hint="cs"/>
          <w:sz w:val="27"/>
          <w:rtl/>
        </w:rPr>
        <w:t>الفكرية</w:t>
      </w:r>
      <w:r w:rsidRPr="00904FCB">
        <w:rPr>
          <w:sz w:val="27"/>
          <w:rtl/>
        </w:rPr>
        <w:t xml:space="preserve"> </w:t>
      </w:r>
      <w:r w:rsidRPr="00904FCB">
        <w:rPr>
          <w:rFonts w:hint="cs"/>
          <w:sz w:val="27"/>
          <w:rtl/>
        </w:rPr>
        <w:t>يؤمنون</w:t>
      </w:r>
      <w:r w:rsidRPr="00904FCB">
        <w:rPr>
          <w:sz w:val="27"/>
          <w:rtl/>
        </w:rPr>
        <w:t xml:space="preserve"> </w:t>
      </w:r>
      <w:r w:rsidRPr="00904FCB">
        <w:rPr>
          <w:rFonts w:hint="cs"/>
          <w:sz w:val="27"/>
          <w:rtl/>
        </w:rPr>
        <w:t>بعقلية</w:t>
      </w:r>
      <w:r w:rsidRPr="00904FCB">
        <w:rPr>
          <w:sz w:val="27"/>
          <w:rtl/>
        </w:rPr>
        <w:t xml:space="preserve"> </w:t>
      </w:r>
      <w:r w:rsidRPr="00904FCB">
        <w:rPr>
          <w:rFonts w:hint="eastAsia"/>
          <w:sz w:val="27"/>
          <w:rtl/>
        </w:rPr>
        <w:t>«</w:t>
      </w:r>
      <w:r w:rsidRPr="00904FCB">
        <w:rPr>
          <w:rFonts w:hint="cs"/>
          <w:sz w:val="27"/>
          <w:rtl/>
        </w:rPr>
        <w:t>عقيدتي</w:t>
      </w:r>
      <w:r w:rsidRPr="00904FCB">
        <w:rPr>
          <w:sz w:val="27"/>
          <w:rtl/>
        </w:rPr>
        <w:t xml:space="preserve"> </w:t>
      </w:r>
      <w:r w:rsidRPr="00904FCB">
        <w:rPr>
          <w:rFonts w:hint="cs"/>
          <w:sz w:val="27"/>
          <w:rtl/>
        </w:rPr>
        <w:t>حق</w:t>
      </w:r>
      <w:r w:rsidR="0064533A" w:rsidRPr="00904FCB">
        <w:rPr>
          <w:rFonts w:hint="cs"/>
          <w:sz w:val="27"/>
          <w:rtl/>
        </w:rPr>
        <w:t>ٌّ</w:t>
      </w:r>
      <w:r w:rsidRPr="00904FCB">
        <w:rPr>
          <w:sz w:val="27"/>
          <w:rtl/>
        </w:rPr>
        <w:t xml:space="preserve"> </w:t>
      </w:r>
      <w:r w:rsidRPr="00904FCB">
        <w:rPr>
          <w:rFonts w:hint="cs"/>
          <w:sz w:val="27"/>
          <w:rtl/>
        </w:rPr>
        <w:t>ويقين، وعقيدة</w:t>
      </w:r>
      <w:r w:rsidRPr="00904FCB">
        <w:rPr>
          <w:sz w:val="27"/>
          <w:rtl/>
        </w:rPr>
        <w:t xml:space="preserve"> </w:t>
      </w:r>
      <w:r w:rsidRPr="00904FCB">
        <w:rPr>
          <w:rFonts w:hint="cs"/>
          <w:sz w:val="27"/>
          <w:rtl/>
        </w:rPr>
        <w:t>غيري</w:t>
      </w:r>
      <w:r w:rsidRPr="00904FCB">
        <w:rPr>
          <w:sz w:val="27"/>
          <w:rtl/>
        </w:rPr>
        <w:t xml:space="preserve"> </w:t>
      </w:r>
      <w:r w:rsidRPr="00904FCB">
        <w:rPr>
          <w:rFonts w:hint="cs"/>
          <w:sz w:val="27"/>
          <w:rtl/>
        </w:rPr>
        <w:t>باطل</w:t>
      </w:r>
      <w:r w:rsidR="0064533A" w:rsidRPr="00904FCB">
        <w:rPr>
          <w:rFonts w:hint="cs"/>
          <w:sz w:val="27"/>
          <w:rtl/>
        </w:rPr>
        <w:t>ٌ</w:t>
      </w:r>
      <w:r w:rsidRPr="00904FCB">
        <w:rPr>
          <w:sz w:val="27"/>
          <w:rtl/>
        </w:rPr>
        <w:t xml:space="preserve"> </w:t>
      </w:r>
      <w:r w:rsidRPr="00904FCB">
        <w:rPr>
          <w:rFonts w:hint="cs"/>
          <w:sz w:val="27"/>
          <w:rtl/>
        </w:rPr>
        <w:t>وتشكيك</w:t>
      </w:r>
      <w:r w:rsidR="0064533A" w:rsidRPr="00904FCB">
        <w:rPr>
          <w:rFonts w:hint="cs"/>
          <w:sz w:val="27"/>
          <w:rtl/>
        </w:rPr>
        <w:t>.</w:t>
      </w:r>
      <w:r w:rsidRPr="00904FCB">
        <w:rPr>
          <w:sz w:val="27"/>
          <w:rtl/>
        </w:rPr>
        <w:t xml:space="preserve"> </w:t>
      </w:r>
      <w:r w:rsidRPr="00904FCB">
        <w:rPr>
          <w:rFonts w:hint="cs"/>
          <w:sz w:val="27"/>
          <w:rtl/>
        </w:rPr>
        <w:t>وهم</w:t>
      </w:r>
      <w:r w:rsidRPr="00904FCB">
        <w:rPr>
          <w:sz w:val="27"/>
          <w:rtl/>
        </w:rPr>
        <w:t xml:space="preserve"> </w:t>
      </w:r>
      <w:r w:rsidRPr="00904FCB">
        <w:rPr>
          <w:rFonts w:hint="cs"/>
          <w:sz w:val="27"/>
          <w:rtl/>
        </w:rPr>
        <w:t>بذلك</w:t>
      </w:r>
      <w:r w:rsidRPr="00904FCB">
        <w:rPr>
          <w:sz w:val="27"/>
          <w:rtl/>
        </w:rPr>
        <w:t xml:space="preserve"> </w:t>
      </w:r>
      <w:r w:rsidRPr="00904FCB">
        <w:rPr>
          <w:rFonts w:hint="cs"/>
          <w:sz w:val="27"/>
          <w:rtl/>
        </w:rPr>
        <w:t>يدّ</w:t>
      </w:r>
      <w:r w:rsidR="0064533A" w:rsidRPr="00904FCB">
        <w:rPr>
          <w:rFonts w:hint="cs"/>
          <w:sz w:val="27"/>
          <w:rtl/>
        </w:rPr>
        <w:t>َ</w:t>
      </w:r>
      <w:r w:rsidRPr="00904FCB">
        <w:rPr>
          <w:rFonts w:hint="cs"/>
          <w:sz w:val="27"/>
          <w:rtl/>
        </w:rPr>
        <w:t>عون</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التطه</w:t>
      </w:r>
      <w:r w:rsidR="0064533A" w:rsidRPr="00904FCB">
        <w:rPr>
          <w:rFonts w:hint="cs"/>
          <w:sz w:val="27"/>
          <w:rtl/>
        </w:rPr>
        <w:t>ُّ</w:t>
      </w:r>
      <w:r w:rsidRPr="00904FCB">
        <w:rPr>
          <w:rFonts w:hint="cs"/>
          <w:sz w:val="27"/>
          <w:rtl/>
        </w:rPr>
        <w:t>رية</w:t>
      </w:r>
      <w:r w:rsidRPr="00904FCB">
        <w:rPr>
          <w:sz w:val="27"/>
          <w:rtl/>
        </w:rPr>
        <w:t xml:space="preserve"> </w:t>
      </w:r>
      <w:r w:rsidRPr="00904FCB">
        <w:rPr>
          <w:rFonts w:hint="cs"/>
          <w:sz w:val="27"/>
          <w:rtl/>
        </w:rPr>
        <w:t>الفكرية</w:t>
      </w:r>
      <w:r w:rsidRPr="00904FCB">
        <w:rPr>
          <w:sz w:val="27"/>
          <w:rtl/>
        </w:rPr>
        <w:t xml:space="preserve"> </w:t>
      </w:r>
      <w:r w:rsidRPr="00904FCB">
        <w:rPr>
          <w:rFonts w:hint="cs"/>
          <w:sz w:val="27"/>
          <w:rtl/>
        </w:rPr>
        <w:t>والسياسية</w:t>
      </w:r>
      <w:r w:rsidR="0064533A" w:rsidRPr="00904FCB">
        <w:rPr>
          <w:rFonts w:hint="cs"/>
          <w:sz w:val="27"/>
          <w:rtl/>
        </w:rPr>
        <w:t>،</w:t>
      </w:r>
      <w:r w:rsidRPr="00904FCB">
        <w:rPr>
          <w:sz w:val="27"/>
          <w:rtl/>
        </w:rPr>
        <w:t xml:space="preserve"> </w:t>
      </w:r>
      <w:r w:rsidRPr="00904FCB">
        <w:rPr>
          <w:rFonts w:hint="cs"/>
          <w:sz w:val="27"/>
          <w:rtl/>
        </w:rPr>
        <w:t>وامتلاك</w:t>
      </w:r>
      <w:r w:rsidRPr="00904FCB">
        <w:rPr>
          <w:sz w:val="27"/>
          <w:rtl/>
        </w:rPr>
        <w:t xml:space="preserve"> </w:t>
      </w:r>
      <w:r w:rsidRPr="00904FCB">
        <w:rPr>
          <w:rFonts w:hint="cs"/>
          <w:sz w:val="27"/>
          <w:rtl/>
        </w:rPr>
        <w:t>الحقيقة</w:t>
      </w:r>
      <w:r w:rsidRPr="00904FCB">
        <w:rPr>
          <w:sz w:val="27"/>
          <w:rtl/>
        </w:rPr>
        <w:t xml:space="preserve"> </w:t>
      </w:r>
      <w:r w:rsidRPr="00904FCB">
        <w:rPr>
          <w:rFonts w:hint="cs"/>
          <w:sz w:val="27"/>
          <w:rtl/>
        </w:rPr>
        <w:t>المقد</w:t>
      </w:r>
      <w:r w:rsidR="0064533A" w:rsidRPr="00904FCB">
        <w:rPr>
          <w:rFonts w:hint="cs"/>
          <w:sz w:val="27"/>
          <w:rtl/>
        </w:rPr>
        <w:t>ّ</w:t>
      </w:r>
      <w:r w:rsidRPr="00904FCB">
        <w:rPr>
          <w:rFonts w:hint="cs"/>
          <w:sz w:val="27"/>
          <w:rtl/>
        </w:rPr>
        <w:t>سة، وأنهم</w:t>
      </w:r>
      <w:r w:rsidRPr="00904FCB">
        <w:rPr>
          <w:sz w:val="27"/>
          <w:rtl/>
        </w:rPr>
        <w:t xml:space="preserve"> </w:t>
      </w:r>
      <w:r w:rsidRPr="00904FCB">
        <w:rPr>
          <w:rFonts w:hint="cs"/>
          <w:sz w:val="27"/>
          <w:rtl/>
        </w:rPr>
        <w:t>يمث</w:t>
      </w:r>
      <w:r w:rsidR="0064533A" w:rsidRPr="00904FCB">
        <w:rPr>
          <w:rFonts w:hint="cs"/>
          <w:sz w:val="27"/>
          <w:rtl/>
        </w:rPr>
        <w:t>ِّ</w:t>
      </w:r>
      <w:r w:rsidRPr="00904FCB">
        <w:rPr>
          <w:rFonts w:hint="cs"/>
          <w:sz w:val="27"/>
          <w:rtl/>
        </w:rPr>
        <w:t>لون</w:t>
      </w:r>
      <w:r w:rsidRPr="00904FCB">
        <w:rPr>
          <w:sz w:val="27"/>
          <w:rtl/>
        </w:rPr>
        <w:t xml:space="preserve"> </w:t>
      </w:r>
      <w:r w:rsidRPr="00904FCB">
        <w:rPr>
          <w:rFonts w:hint="eastAsia"/>
          <w:sz w:val="27"/>
          <w:rtl/>
        </w:rPr>
        <w:t>«</w:t>
      </w:r>
      <w:r w:rsidRPr="00904FCB">
        <w:rPr>
          <w:rFonts w:hint="cs"/>
          <w:sz w:val="27"/>
          <w:rtl/>
        </w:rPr>
        <w:t>الخير</w:t>
      </w:r>
      <w:r w:rsidRPr="00904FCB">
        <w:rPr>
          <w:sz w:val="27"/>
          <w:rtl/>
        </w:rPr>
        <w:t xml:space="preserve"> </w:t>
      </w:r>
      <w:r w:rsidRPr="00904FCB">
        <w:rPr>
          <w:rFonts w:hint="cs"/>
          <w:sz w:val="27"/>
          <w:rtl/>
        </w:rPr>
        <w:lastRenderedPageBreak/>
        <w:t>المطلق</w:t>
      </w:r>
      <w:r w:rsidRPr="00904FCB">
        <w:rPr>
          <w:rFonts w:hint="eastAsia"/>
          <w:sz w:val="27"/>
          <w:rtl/>
        </w:rPr>
        <w:t>»</w:t>
      </w:r>
      <w:r w:rsidR="0064533A"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مواجهة</w:t>
      </w:r>
      <w:r w:rsidRPr="00904FCB">
        <w:rPr>
          <w:sz w:val="27"/>
          <w:rtl/>
        </w:rPr>
        <w:t xml:space="preserve"> </w:t>
      </w:r>
      <w:r w:rsidRPr="00904FCB">
        <w:rPr>
          <w:rFonts w:hint="cs"/>
          <w:sz w:val="27"/>
          <w:rtl/>
        </w:rPr>
        <w:t>الآخرين</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هم</w:t>
      </w:r>
      <w:r w:rsidRPr="00904FCB">
        <w:rPr>
          <w:sz w:val="27"/>
          <w:rtl/>
        </w:rPr>
        <w:t xml:space="preserve"> </w:t>
      </w:r>
      <w:r w:rsidRPr="00904FCB">
        <w:rPr>
          <w:rFonts w:hint="eastAsia"/>
          <w:sz w:val="27"/>
          <w:rtl/>
        </w:rPr>
        <w:t>«</w:t>
      </w:r>
      <w:r w:rsidRPr="00904FCB">
        <w:rPr>
          <w:rFonts w:hint="cs"/>
          <w:sz w:val="27"/>
          <w:rtl/>
        </w:rPr>
        <w:t>الشر</w:t>
      </w:r>
      <w:r w:rsidR="0064533A" w:rsidRPr="00904FCB">
        <w:rPr>
          <w:rFonts w:hint="cs"/>
          <w:sz w:val="27"/>
          <w:rtl/>
        </w:rPr>
        <w:t>ّ</w:t>
      </w:r>
      <w:r w:rsidRPr="00904FCB">
        <w:rPr>
          <w:sz w:val="27"/>
          <w:rtl/>
        </w:rPr>
        <w:t xml:space="preserve"> </w:t>
      </w:r>
      <w:r w:rsidRPr="00904FCB">
        <w:rPr>
          <w:rFonts w:hint="cs"/>
          <w:sz w:val="27"/>
          <w:rtl/>
        </w:rPr>
        <w:t>المطلق</w:t>
      </w:r>
      <w:r w:rsidRPr="00904FCB">
        <w:rPr>
          <w:rFonts w:hint="eastAsia"/>
          <w:sz w:val="27"/>
          <w:rtl/>
        </w:rPr>
        <w:t>»</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العقلية</w:t>
      </w:r>
      <w:r w:rsidRPr="00904FCB">
        <w:rPr>
          <w:sz w:val="27"/>
          <w:rtl/>
        </w:rPr>
        <w:t xml:space="preserve"> </w:t>
      </w:r>
      <w:r w:rsidRPr="00904FCB">
        <w:rPr>
          <w:rFonts w:hint="cs"/>
          <w:sz w:val="27"/>
          <w:rtl/>
        </w:rPr>
        <w:t>الإلغائية</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أساس</w:t>
      </w:r>
      <w:r w:rsidRPr="00904FCB">
        <w:rPr>
          <w:sz w:val="27"/>
          <w:rtl/>
        </w:rPr>
        <w:t xml:space="preserve"> </w:t>
      </w:r>
      <w:r w:rsidRPr="00904FCB">
        <w:rPr>
          <w:rFonts w:hint="cs"/>
          <w:sz w:val="27"/>
          <w:rtl/>
        </w:rPr>
        <w:t>وقاعدة</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العضوي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مجتمعاتنا</w:t>
      </w:r>
      <w:r w:rsidRPr="00904FCB">
        <w:rPr>
          <w:sz w:val="27"/>
          <w:rtl/>
        </w:rPr>
        <w:t xml:space="preserve"> </w:t>
      </w:r>
      <w:r w:rsidRPr="00904FCB">
        <w:rPr>
          <w:rFonts w:hint="cs"/>
          <w:sz w:val="27"/>
          <w:rtl/>
        </w:rPr>
        <w:t>عموماً</w:t>
      </w:r>
      <w:r w:rsidRPr="00904FCB">
        <w:rPr>
          <w:sz w:val="27"/>
          <w:rtl/>
        </w:rPr>
        <w:t xml:space="preserve">. </w:t>
      </w:r>
    </w:p>
    <w:p w:rsidR="00057E24" w:rsidRPr="00904FCB" w:rsidRDefault="00057E24" w:rsidP="007A21AA">
      <w:pPr>
        <w:spacing w:line="400" w:lineRule="exact"/>
        <w:rPr>
          <w:sz w:val="27"/>
        </w:rPr>
      </w:pPr>
      <w:r w:rsidRPr="00904FCB">
        <w:rPr>
          <w:rFonts w:hint="cs"/>
          <w:sz w:val="27"/>
          <w:rtl/>
        </w:rPr>
        <w:t>ـ تصاعد</w:t>
      </w:r>
      <w:r w:rsidRPr="00904FCB">
        <w:rPr>
          <w:sz w:val="27"/>
          <w:rtl/>
        </w:rPr>
        <w:t xml:space="preserve"> </w:t>
      </w:r>
      <w:r w:rsidRPr="00904FCB">
        <w:rPr>
          <w:rFonts w:hint="cs"/>
          <w:sz w:val="27"/>
          <w:rtl/>
        </w:rPr>
        <w:t>وتزايد</w:t>
      </w:r>
      <w:r w:rsidRPr="00904FCB">
        <w:rPr>
          <w:sz w:val="27"/>
          <w:rtl/>
        </w:rPr>
        <w:t xml:space="preserve"> </w:t>
      </w:r>
      <w:r w:rsidRPr="00904FCB">
        <w:rPr>
          <w:rFonts w:hint="cs"/>
          <w:sz w:val="27"/>
          <w:rtl/>
        </w:rPr>
        <w:t>معد</w:t>
      </w:r>
      <w:r w:rsidR="0064533A" w:rsidRPr="00904FCB">
        <w:rPr>
          <w:rFonts w:hint="cs"/>
          <w:sz w:val="27"/>
          <w:rtl/>
        </w:rPr>
        <w:t>ّ</w:t>
      </w:r>
      <w:r w:rsidRPr="00904FCB">
        <w:rPr>
          <w:rFonts w:hint="cs"/>
          <w:sz w:val="27"/>
          <w:rtl/>
        </w:rPr>
        <w:t>لات</w:t>
      </w:r>
      <w:r w:rsidRPr="00904FCB">
        <w:rPr>
          <w:sz w:val="27"/>
          <w:rtl/>
        </w:rPr>
        <w:t xml:space="preserve"> </w:t>
      </w:r>
      <w:r w:rsidRPr="00904FCB">
        <w:rPr>
          <w:rFonts w:hint="cs"/>
          <w:sz w:val="27"/>
          <w:rtl/>
        </w:rPr>
        <w:t>الفقر</w:t>
      </w:r>
      <w:r w:rsidRPr="00904FCB">
        <w:rPr>
          <w:sz w:val="27"/>
          <w:rtl/>
        </w:rPr>
        <w:t xml:space="preserve"> </w:t>
      </w:r>
      <w:r w:rsidRPr="00904FCB">
        <w:rPr>
          <w:rFonts w:hint="cs"/>
          <w:sz w:val="27"/>
          <w:rtl/>
        </w:rPr>
        <w:t>والبطالة</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صفوف</w:t>
      </w:r>
      <w:r w:rsidRPr="00904FCB">
        <w:rPr>
          <w:sz w:val="27"/>
          <w:rtl/>
        </w:rPr>
        <w:t xml:space="preserve"> </w:t>
      </w:r>
      <w:r w:rsidRPr="00904FCB">
        <w:rPr>
          <w:rFonts w:hint="cs"/>
          <w:sz w:val="27"/>
          <w:rtl/>
        </w:rPr>
        <w:t>الشباب</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وجه</w:t>
      </w:r>
      <w:r w:rsidRPr="00904FCB">
        <w:rPr>
          <w:sz w:val="27"/>
          <w:rtl/>
        </w:rPr>
        <w:t xml:space="preserve"> </w:t>
      </w:r>
      <w:r w:rsidRPr="00904FCB">
        <w:rPr>
          <w:rFonts w:hint="cs"/>
          <w:sz w:val="27"/>
          <w:rtl/>
        </w:rPr>
        <w:t>الخصوص، مم</w:t>
      </w:r>
      <w:r w:rsidR="0064533A" w:rsidRPr="00904FCB">
        <w:rPr>
          <w:rFonts w:hint="cs"/>
          <w:sz w:val="27"/>
          <w:rtl/>
        </w:rPr>
        <w:t>ّ</w:t>
      </w:r>
      <w:r w:rsidRPr="00904FCB">
        <w:rPr>
          <w:rFonts w:hint="cs"/>
          <w:sz w:val="27"/>
          <w:rtl/>
        </w:rPr>
        <w:t>ا</w:t>
      </w:r>
      <w:r w:rsidRPr="00904FCB">
        <w:rPr>
          <w:sz w:val="27"/>
          <w:rtl/>
        </w:rPr>
        <w:t xml:space="preserve"> </w:t>
      </w:r>
      <w:r w:rsidRPr="00904FCB">
        <w:rPr>
          <w:rFonts w:hint="cs"/>
          <w:sz w:val="27"/>
          <w:rtl/>
        </w:rPr>
        <w:t>تسب</w:t>
      </w:r>
      <w:r w:rsidR="0064533A" w:rsidRPr="00904FCB">
        <w:rPr>
          <w:rFonts w:hint="cs"/>
          <w:sz w:val="27"/>
          <w:rtl/>
        </w:rPr>
        <w:t>ّ</w:t>
      </w:r>
      <w:r w:rsidRPr="00904FCB">
        <w:rPr>
          <w:rFonts w:hint="cs"/>
          <w:sz w:val="27"/>
          <w:rtl/>
        </w:rPr>
        <w:t>ب</w:t>
      </w:r>
      <w:r w:rsidRPr="00904FCB">
        <w:rPr>
          <w:sz w:val="27"/>
          <w:rtl/>
        </w:rPr>
        <w:t xml:space="preserve"> </w:t>
      </w:r>
      <w:r w:rsidRPr="00904FCB">
        <w:rPr>
          <w:rFonts w:hint="cs"/>
          <w:sz w:val="27"/>
          <w:rtl/>
        </w:rPr>
        <w:t>بانهيار</w:t>
      </w:r>
      <w:r w:rsidRPr="00904FCB">
        <w:rPr>
          <w:sz w:val="27"/>
          <w:rtl/>
        </w:rPr>
        <w:t xml:space="preserve"> </w:t>
      </w:r>
      <w:r w:rsidRPr="00904FCB">
        <w:rPr>
          <w:rFonts w:hint="cs"/>
          <w:sz w:val="27"/>
          <w:rtl/>
        </w:rPr>
        <w:t>تدريجي</w:t>
      </w:r>
      <w:r w:rsidRPr="00904FCB">
        <w:rPr>
          <w:sz w:val="27"/>
          <w:rtl/>
        </w:rPr>
        <w:t xml:space="preserve"> </w:t>
      </w:r>
      <w:r w:rsidRPr="00904FCB">
        <w:rPr>
          <w:rFonts w:hint="cs"/>
          <w:sz w:val="27"/>
          <w:rtl/>
        </w:rPr>
        <w:t>للطبقة</w:t>
      </w:r>
      <w:r w:rsidRPr="00904FCB">
        <w:rPr>
          <w:sz w:val="27"/>
          <w:rtl/>
        </w:rPr>
        <w:t xml:space="preserve"> </w:t>
      </w:r>
      <w:r w:rsidRPr="00904FCB">
        <w:rPr>
          <w:rFonts w:hint="cs"/>
          <w:sz w:val="27"/>
          <w:rtl/>
        </w:rPr>
        <w:t>الوسطى</w:t>
      </w:r>
      <w:r w:rsidR="0064533A" w:rsidRPr="00904FCB">
        <w:rPr>
          <w:rFonts w:hint="cs"/>
          <w:sz w:val="27"/>
          <w:rtl/>
        </w:rPr>
        <w:t>،</w:t>
      </w:r>
      <w:r w:rsidRPr="00904FCB">
        <w:rPr>
          <w:sz w:val="27"/>
          <w:rtl/>
        </w:rPr>
        <w:t xml:space="preserve"> </w:t>
      </w:r>
      <w:r w:rsidRPr="00904FCB">
        <w:rPr>
          <w:rFonts w:hint="cs"/>
          <w:sz w:val="27"/>
          <w:rtl/>
        </w:rPr>
        <w:t>حاملة</w:t>
      </w:r>
      <w:r w:rsidRPr="00904FCB">
        <w:rPr>
          <w:sz w:val="27"/>
          <w:rtl/>
        </w:rPr>
        <w:t xml:space="preserve"> </w:t>
      </w:r>
      <w:r w:rsidRPr="00904FCB">
        <w:rPr>
          <w:rFonts w:hint="cs"/>
          <w:sz w:val="27"/>
          <w:rtl/>
        </w:rPr>
        <w:t>مشروع</w:t>
      </w:r>
      <w:r w:rsidRPr="00904FCB">
        <w:rPr>
          <w:sz w:val="27"/>
          <w:rtl/>
        </w:rPr>
        <w:t xml:space="preserve"> </w:t>
      </w:r>
      <w:r w:rsidRPr="00904FCB">
        <w:rPr>
          <w:rFonts w:hint="cs"/>
          <w:sz w:val="27"/>
          <w:rtl/>
        </w:rPr>
        <w:t>التغيير</w:t>
      </w:r>
      <w:r w:rsidRPr="00904FCB">
        <w:rPr>
          <w:sz w:val="27"/>
          <w:rtl/>
        </w:rPr>
        <w:t xml:space="preserve"> </w:t>
      </w:r>
      <w:r w:rsidRPr="00904FCB">
        <w:rPr>
          <w:rFonts w:hint="cs"/>
          <w:sz w:val="27"/>
          <w:rtl/>
        </w:rPr>
        <w:t>والنهوض</w:t>
      </w:r>
      <w:r w:rsidRPr="00904FCB">
        <w:rPr>
          <w:sz w:val="27"/>
          <w:rtl/>
        </w:rPr>
        <w:t xml:space="preserve"> </w:t>
      </w:r>
      <w:r w:rsidRPr="00904FCB">
        <w:rPr>
          <w:rFonts w:hint="cs"/>
          <w:sz w:val="27"/>
          <w:rtl/>
        </w:rPr>
        <w:t>والتقد</w:t>
      </w:r>
      <w:r w:rsidR="0064533A" w:rsidRPr="00904FCB">
        <w:rPr>
          <w:rFonts w:hint="cs"/>
          <w:sz w:val="27"/>
          <w:rtl/>
        </w:rPr>
        <w:t>ُّ</w:t>
      </w:r>
      <w:r w:rsidRPr="00904FCB">
        <w:rPr>
          <w:rFonts w:hint="cs"/>
          <w:sz w:val="27"/>
          <w:rtl/>
        </w:rPr>
        <w:t>م</w:t>
      </w:r>
      <w:r w:rsidRPr="00904FCB">
        <w:rPr>
          <w:sz w:val="27"/>
          <w:rtl/>
        </w:rPr>
        <w:t xml:space="preserve"> </w:t>
      </w:r>
      <w:r w:rsidRPr="00904FCB">
        <w:rPr>
          <w:rFonts w:hint="cs"/>
          <w:sz w:val="27"/>
          <w:rtl/>
        </w:rPr>
        <w:t>والعدالة</w:t>
      </w:r>
      <w:r w:rsidRPr="00904FCB">
        <w:rPr>
          <w:sz w:val="27"/>
          <w:rtl/>
        </w:rPr>
        <w:t xml:space="preserve"> </w:t>
      </w:r>
      <w:r w:rsidRPr="00904FCB">
        <w:rPr>
          <w:rFonts w:hint="cs"/>
          <w:sz w:val="27"/>
          <w:rtl/>
        </w:rPr>
        <w:t>الاجتماعية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أي</w:t>
      </w:r>
      <w:r w:rsidR="0064533A" w:rsidRPr="00904FCB">
        <w:rPr>
          <w:rFonts w:hint="cs"/>
          <w:sz w:val="27"/>
          <w:rtl/>
        </w:rPr>
        <w:t>ّ</w:t>
      </w:r>
      <w:r w:rsidRPr="00904FCB">
        <w:rPr>
          <w:sz w:val="27"/>
          <w:rtl/>
        </w:rPr>
        <w:t xml:space="preserve"> </w:t>
      </w:r>
      <w:r w:rsidRPr="00904FCB">
        <w:rPr>
          <w:rFonts w:hint="cs"/>
          <w:sz w:val="27"/>
          <w:rtl/>
        </w:rPr>
        <w:t>مجتمع</w:t>
      </w:r>
      <w:r w:rsidRPr="00904FCB">
        <w:rPr>
          <w:sz w:val="27"/>
          <w:rtl/>
        </w:rPr>
        <w:t xml:space="preserve">. </w:t>
      </w:r>
      <w:r w:rsidRPr="00904FCB">
        <w:rPr>
          <w:rFonts w:hint="cs"/>
          <w:sz w:val="27"/>
          <w:rtl/>
        </w:rPr>
        <w:t>فعدم</w:t>
      </w:r>
      <w:r w:rsidRPr="00904FCB">
        <w:rPr>
          <w:sz w:val="27"/>
          <w:rtl/>
        </w:rPr>
        <w:t xml:space="preserve"> </w:t>
      </w:r>
      <w:r w:rsidRPr="00904FCB">
        <w:rPr>
          <w:rFonts w:hint="cs"/>
          <w:sz w:val="27"/>
          <w:rtl/>
        </w:rPr>
        <w:t>حصول</w:t>
      </w:r>
      <w:r w:rsidRPr="00904FCB">
        <w:rPr>
          <w:sz w:val="27"/>
          <w:rtl/>
        </w:rPr>
        <w:t xml:space="preserve"> </w:t>
      </w:r>
      <w:r w:rsidRPr="00904FCB">
        <w:rPr>
          <w:rFonts w:hint="cs"/>
          <w:sz w:val="27"/>
          <w:rtl/>
        </w:rPr>
        <w:t>الناس</w:t>
      </w:r>
      <w:r w:rsidR="0064533A" w:rsidRPr="00904FCB">
        <w:rPr>
          <w:rFonts w:hint="cs"/>
          <w:sz w:val="27"/>
          <w:rtl/>
        </w:rPr>
        <w:t>،</w:t>
      </w:r>
      <w:r w:rsidRPr="00904FCB">
        <w:rPr>
          <w:sz w:val="27"/>
          <w:rtl/>
        </w:rPr>
        <w:t xml:space="preserve"> </w:t>
      </w:r>
      <w:r w:rsidRPr="00904FCB">
        <w:rPr>
          <w:rFonts w:hint="cs"/>
          <w:sz w:val="27"/>
          <w:rtl/>
        </w:rPr>
        <w:t>وخاصة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هؤلاء</w:t>
      </w:r>
      <w:r w:rsidRPr="00904FCB">
        <w:rPr>
          <w:sz w:val="27"/>
          <w:rtl/>
        </w:rPr>
        <w:t xml:space="preserve"> </w:t>
      </w:r>
      <w:r w:rsidRPr="00904FCB">
        <w:rPr>
          <w:rFonts w:hint="cs"/>
          <w:sz w:val="27"/>
          <w:rtl/>
        </w:rPr>
        <w:t>الشباب</w:t>
      </w:r>
      <w:r w:rsidRPr="00904FCB">
        <w:rPr>
          <w:sz w:val="27"/>
          <w:rtl/>
        </w:rPr>
        <w:t xml:space="preserve"> </w:t>
      </w:r>
      <w:r w:rsidRPr="00904FCB">
        <w:rPr>
          <w:rFonts w:hint="cs"/>
          <w:sz w:val="27"/>
          <w:rtl/>
        </w:rPr>
        <w:t>العاطل</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العمل، والذي</w:t>
      </w:r>
      <w:r w:rsidRPr="00904FCB">
        <w:rPr>
          <w:sz w:val="27"/>
          <w:rtl/>
        </w:rPr>
        <w:t xml:space="preserve"> </w:t>
      </w:r>
      <w:r w:rsidRPr="00904FCB">
        <w:rPr>
          <w:rFonts w:hint="cs"/>
          <w:sz w:val="27"/>
          <w:rtl/>
        </w:rPr>
        <w:t>يريد</w:t>
      </w:r>
      <w:r w:rsidRPr="00904FCB">
        <w:rPr>
          <w:sz w:val="27"/>
          <w:rtl/>
        </w:rPr>
        <w:t xml:space="preserve"> </w:t>
      </w:r>
      <w:r w:rsidRPr="00904FCB">
        <w:rPr>
          <w:rFonts w:hint="cs"/>
          <w:sz w:val="27"/>
          <w:rtl/>
        </w:rPr>
        <w:t>تأمين</w:t>
      </w:r>
      <w:r w:rsidRPr="00904FCB">
        <w:rPr>
          <w:sz w:val="27"/>
          <w:rtl/>
        </w:rPr>
        <w:t xml:space="preserve"> </w:t>
      </w:r>
      <w:r w:rsidRPr="00904FCB">
        <w:rPr>
          <w:rFonts w:hint="cs"/>
          <w:sz w:val="27"/>
          <w:rtl/>
        </w:rPr>
        <w:t>فرص</w:t>
      </w:r>
      <w:r w:rsidRPr="00904FCB">
        <w:rPr>
          <w:sz w:val="27"/>
          <w:rtl/>
        </w:rPr>
        <w:t xml:space="preserve"> </w:t>
      </w:r>
      <w:r w:rsidRPr="00904FCB">
        <w:rPr>
          <w:rFonts w:hint="cs"/>
          <w:sz w:val="27"/>
          <w:rtl/>
        </w:rPr>
        <w:t>عيش</w:t>
      </w:r>
      <w:r w:rsidRPr="00904FCB">
        <w:rPr>
          <w:sz w:val="27"/>
          <w:rtl/>
        </w:rPr>
        <w:t xml:space="preserve"> </w:t>
      </w:r>
      <w:r w:rsidRPr="00904FCB">
        <w:rPr>
          <w:rFonts w:hint="cs"/>
          <w:sz w:val="27"/>
          <w:rtl/>
        </w:rPr>
        <w:t>صح</w:t>
      </w:r>
      <w:r w:rsidR="0064533A" w:rsidRPr="00904FCB">
        <w:rPr>
          <w:rFonts w:hint="cs"/>
          <w:sz w:val="27"/>
          <w:rtl/>
        </w:rPr>
        <w:t>ّ</w:t>
      </w:r>
      <w:r w:rsidRPr="00904FCB">
        <w:rPr>
          <w:rFonts w:hint="cs"/>
          <w:sz w:val="27"/>
          <w:rtl/>
        </w:rPr>
        <w:t>ية</w:t>
      </w:r>
      <w:r w:rsidRPr="00904FCB">
        <w:rPr>
          <w:sz w:val="27"/>
          <w:rtl/>
        </w:rPr>
        <w:t xml:space="preserve"> </w:t>
      </w:r>
      <w:r w:rsidRPr="00904FCB">
        <w:rPr>
          <w:rFonts w:hint="cs"/>
          <w:sz w:val="27"/>
          <w:rtl/>
        </w:rPr>
        <w:t>ملائمة</w:t>
      </w:r>
      <w:r w:rsidRPr="00904FCB">
        <w:rPr>
          <w:sz w:val="27"/>
          <w:rtl/>
        </w:rPr>
        <w:t xml:space="preserve"> </w:t>
      </w:r>
      <w:r w:rsidRPr="00904FCB">
        <w:rPr>
          <w:rFonts w:hint="cs"/>
          <w:sz w:val="27"/>
          <w:rtl/>
        </w:rPr>
        <w:t>له، ويرغب</w:t>
      </w:r>
      <w:r w:rsidRPr="00904FCB">
        <w:rPr>
          <w:sz w:val="27"/>
          <w:rtl/>
        </w:rPr>
        <w:t xml:space="preserve"> </w:t>
      </w:r>
      <w:r w:rsidRPr="00904FCB">
        <w:rPr>
          <w:rFonts w:hint="cs"/>
          <w:sz w:val="27"/>
          <w:rtl/>
        </w:rPr>
        <w:t>بتأسيس</w:t>
      </w:r>
      <w:r w:rsidRPr="00904FCB">
        <w:rPr>
          <w:sz w:val="27"/>
          <w:rtl/>
        </w:rPr>
        <w:t xml:space="preserve"> </w:t>
      </w:r>
      <w:r w:rsidRPr="00904FCB">
        <w:rPr>
          <w:rFonts w:hint="cs"/>
          <w:sz w:val="27"/>
          <w:rtl/>
        </w:rPr>
        <w:t>شبكة</w:t>
      </w:r>
      <w:r w:rsidRPr="00904FCB">
        <w:rPr>
          <w:sz w:val="27"/>
          <w:rtl/>
        </w:rPr>
        <w:t xml:space="preserve"> </w:t>
      </w:r>
      <w:r w:rsidRPr="00904FCB">
        <w:rPr>
          <w:rFonts w:hint="cs"/>
          <w:sz w:val="27"/>
          <w:rtl/>
        </w:rPr>
        <w:t>أمان</w:t>
      </w:r>
      <w:r w:rsidR="0064533A" w:rsidRPr="00904FCB">
        <w:rPr>
          <w:rFonts w:hint="cs"/>
          <w:sz w:val="27"/>
          <w:rtl/>
        </w:rPr>
        <w:t>ٍ</w:t>
      </w:r>
      <w:r w:rsidRPr="00904FCB">
        <w:rPr>
          <w:sz w:val="27"/>
          <w:rtl/>
        </w:rPr>
        <w:t xml:space="preserve"> </w:t>
      </w:r>
      <w:r w:rsidRPr="00904FCB">
        <w:rPr>
          <w:rFonts w:hint="cs"/>
          <w:sz w:val="27"/>
          <w:rtl/>
        </w:rPr>
        <w:t>مجتمعية</w:t>
      </w:r>
      <w:r w:rsidRPr="00904FCB">
        <w:rPr>
          <w:sz w:val="27"/>
          <w:rtl/>
        </w:rPr>
        <w:t xml:space="preserve"> </w:t>
      </w:r>
      <w:r w:rsidRPr="00904FCB">
        <w:rPr>
          <w:rFonts w:hint="cs"/>
          <w:sz w:val="27"/>
          <w:rtl/>
        </w:rPr>
        <w:t>أساسها</w:t>
      </w:r>
      <w:r w:rsidRPr="00904FCB">
        <w:rPr>
          <w:sz w:val="27"/>
          <w:rtl/>
        </w:rPr>
        <w:t xml:space="preserve"> </w:t>
      </w:r>
      <w:r w:rsidRPr="00904FCB">
        <w:rPr>
          <w:rFonts w:hint="cs"/>
          <w:sz w:val="27"/>
          <w:rtl/>
        </w:rPr>
        <w:t>وقوامها</w:t>
      </w:r>
      <w:r w:rsidRPr="00904FCB">
        <w:rPr>
          <w:sz w:val="27"/>
          <w:rtl/>
        </w:rPr>
        <w:t xml:space="preserve"> </w:t>
      </w:r>
      <w:r w:rsidRPr="00904FCB">
        <w:rPr>
          <w:rFonts w:hint="cs"/>
          <w:sz w:val="27"/>
          <w:rtl/>
        </w:rPr>
        <w:t>العمل</w:t>
      </w:r>
      <w:r w:rsidRPr="00904FCB">
        <w:rPr>
          <w:sz w:val="27"/>
          <w:rtl/>
        </w:rPr>
        <w:t xml:space="preserve"> </w:t>
      </w:r>
      <w:r w:rsidRPr="00904FCB">
        <w:rPr>
          <w:rFonts w:hint="cs"/>
          <w:sz w:val="27"/>
          <w:rtl/>
        </w:rPr>
        <w:t>الصالح</w:t>
      </w:r>
      <w:r w:rsidRPr="00904FCB">
        <w:rPr>
          <w:sz w:val="27"/>
          <w:rtl/>
        </w:rPr>
        <w:t xml:space="preserve"> </w:t>
      </w:r>
      <w:r w:rsidRPr="00904FCB">
        <w:rPr>
          <w:rFonts w:hint="cs"/>
          <w:sz w:val="27"/>
          <w:rtl/>
        </w:rPr>
        <w:t>المنتج</w:t>
      </w:r>
      <w:r w:rsidRPr="00904FCB">
        <w:rPr>
          <w:sz w:val="27"/>
          <w:rtl/>
        </w:rPr>
        <w:t xml:space="preserve"> </w:t>
      </w:r>
      <w:r w:rsidRPr="00904FCB">
        <w:rPr>
          <w:rFonts w:hint="cs"/>
          <w:sz w:val="27"/>
          <w:rtl/>
        </w:rPr>
        <w:t>والنافع</w:t>
      </w:r>
      <w:r w:rsidRPr="00904FCB">
        <w:rPr>
          <w:sz w:val="27"/>
          <w:rtl/>
        </w:rPr>
        <w:t xml:space="preserve"> </w:t>
      </w:r>
      <w:r w:rsidRPr="00904FCB">
        <w:rPr>
          <w:rFonts w:hint="cs"/>
          <w:sz w:val="27"/>
          <w:rtl/>
        </w:rPr>
        <w:t>القائم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الحر</w:t>
      </w:r>
      <w:r w:rsidR="0064533A" w:rsidRPr="00904FCB">
        <w:rPr>
          <w:rFonts w:hint="cs"/>
          <w:sz w:val="27"/>
          <w:rtl/>
        </w:rPr>
        <w:t>ّ</w:t>
      </w:r>
      <w:r w:rsidRPr="00904FCB">
        <w:rPr>
          <w:rFonts w:hint="cs"/>
          <w:sz w:val="27"/>
          <w:rtl/>
        </w:rPr>
        <w:t>ية</w:t>
      </w:r>
      <w:r w:rsidRPr="00904FCB">
        <w:rPr>
          <w:sz w:val="27"/>
          <w:rtl/>
        </w:rPr>
        <w:t xml:space="preserve"> </w:t>
      </w:r>
      <w:r w:rsidRPr="00904FCB">
        <w:rPr>
          <w:rFonts w:hint="cs"/>
          <w:sz w:val="27"/>
          <w:rtl/>
        </w:rPr>
        <w:t>والكرامة</w:t>
      </w:r>
      <w:r w:rsidRPr="00904FCB">
        <w:rPr>
          <w:sz w:val="27"/>
          <w:rtl/>
        </w:rPr>
        <w:t xml:space="preserve"> </w:t>
      </w:r>
      <w:r w:rsidRPr="00904FCB">
        <w:rPr>
          <w:rFonts w:hint="cs"/>
          <w:sz w:val="27"/>
          <w:rtl/>
        </w:rPr>
        <w:t>والاستقرار، ليؤس</w:t>
      </w:r>
      <w:r w:rsidR="0064533A" w:rsidRPr="00904FCB">
        <w:rPr>
          <w:rFonts w:hint="cs"/>
          <w:sz w:val="27"/>
          <w:rtl/>
        </w:rPr>
        <w:t>ِّ</w:t>
      </w:r>
      <w:r w:rsidRPr="00904FCB">
        <w:rPr>
          <w:rFonts w:hint="cs"/>
          <w:sz w:val="27"/>
          <w:rtl/>
        </w:rPr>
        <w:t>س</w:t>
      </w:r>
      <w:r w:rsidRPr="00904FCB">
        <w:rPr>
          <w:sz w:val="27"/>
          <w:rtl/>
        </w:rPr>
        <w:t xml:space="preserve"> </w:t>
      </w:r>
      <w:r w:rsidRPr="00904FCB">
        <w:rPr>
          <w:rFonts w:hint="cs"/>
          <w:sz w:val="27"/>
          <w:rtl/>
        </w:rPr>
        <w:t>بيت</w:t>
      </w:r>
      <w:r w:rsidR="0064533A" w:rsidRPr="00904FCB">
        <w:rPr>
          <w:rFonts w:hint="cs"/>
          <w:sz w:val="27"/>
          <w:rtl/>
        </w:rPr>
        <w:t>اً</w:t>
      </w:r>
      <w:r w:rsidRPr="00904FCB">
        <w:rPr>
          <w:sz w:val="27"/>
          <w:rtl/>
        </w:rPr>
        <w:t xml:space="preserve"> </w:t>
      </w:r>
      <w:r w:rsidRPr="00904FCB">
        <w:rPr>
          <w:rFonts w:hint="cs"/>
          <w:sz w:val="27"/>
          <w:rtl/>
        </w:rPr>
        <w:t>وعائلة</w:t>
      </w:r>
      <w:r w:rsidRPr="00904FCB">
        <w:rPr>
          <w:sz w:val="27"/>
          <w:rtl/>
        </w:rPr>
        <w:t xml:space="preserve"> </w:t>
      </w:r>
      <w:r w:rsidRPr="00904FCB">
        <w:rPr>
          <w:rFonts w:hint="cs"/>
          <w:sz w:val="27"/>
          <w:rtl/>
        </w:rPr>
        <w:t>ودخل</w:t>
      </w:r>
      <w:r w:rsidR="0064533A" w:rsidRPr="00904FCB">
        <w:rPr>
          <w:rFonts w:hint="cs"/>
          <w:sz w:val="27"/>
          <w:rtl/>
        </w:rPr>
        <w:t>اً</w:t>
      </w:r>
      <w:r w:rsidRPr="00904FCB">
        <w:rPr>
          <w:sz w:val="27"/>
          <w:rtl/>
        </w:rPr>
        <w:t xml:space="preserve"> </w:t>
      </w:r>
      <w:r w:rsidRPr="00904FCB">
        <w:rPr>
          <w:rFonts w:hint="cs"/>
          <w:sz w:val="27"/>
          <w:rtl/>
        </w:rPr>
        <w:t>مناسب</w:t>
      </w:r>
      <w:r w:rsidR="0064533A" w:rsidRPr="00904FCB">
        <w:rPr>
          <w:rFonts w:hint="cs"/>
          <w:sz w:val="27"/>
          <w:rtl/>
        </w:rPr>
        <w:t>اً</w:t>
      </w:r>
      <w:r w:rsidRPr="00904FCB">
        <w:rPr>
          <w:rFonts w:hint="cs"/>
          <w:sz w:val="27"/>
          <w:rtl/>
        </w:rPr>
        <w:t>، هو</w:t>
      </w:r>
      <w:r w:rsidRPr="00904FCB">
        <w:rPr>
          <w:sz w:val="27"/>
          <w:rtl/>
        </w:rPr>
        <w:t xml:space="preserve"> </w:t>
      </w:r>
      <w:r w:rsidRPr="00904FCB">
        <w:rPr>
          <w:rFonts w:hint="cs"/>
          <w:sz w:val="27"/>
          <w:rtl/>
        </w:rPr>
        <w:t>أكبر</w:t>
      </w:r>
      <w:r w:rsidRPr="00904FCB">
        <w:rPr>
          <w:sz w:val="27"/>
          <w:rtl/>
        </w:rPr>
        <w:t xml:space="preserve"> </w:t>
      </w:r>
      <w:r w:rsidRPr="00904FCB">
        <w:rPr>
          <w:rFonts w:hint="cs"/>
          <w:sz w:val="27"/>
          <w:rtl/>
        </w:rPr>
        <w:t>عامل</w:t>
      </w:r>
      <w:r w:rsidRPr="00904FCB">
        <w:rPr>
          <w:sz w:val="27"/>
          <w:rtl/>
        </w:rPr>
        <w:t xml:space="preserve"> </w:t>
      </w:r>
      <w:r w:rsidRPr="00904FCB">
        <w:rPr>
          <w:rFonts w:hint="cs"/>
          <w:sz w:val="27"/>
          <w:rtl/>
        </w:rPr>
        <w:t>مساعد</w:t>
      </w:r>
      <w:r w:rsidR="0064533A" w:rsidRPr="00904FCB">
        <w:rPr>
          <w:rFonts w:hint="cs"/>
          <w:sz w:val="27"/>
          <w:rtl/>
        </w:rPr>
        <w:t>،</w:t>
      </w:r>
      <w:r w:rsidRPr="00904FCB">
        <w:rPr>
          <w:sz w:val="27"/>
          <w:rtl/>
        </w:rPr>
        <w:t xml:space="preserve"> </w:t>
      </w:r>
      <w:r w:rsidRPr="00904FCB">
        <w:rPr>
          <w:rFonts w:hint="cs"/>
          <w:sz w:val="27"/>
          <w:rtl/>
        </w:rPr>
        <w:t>وربما</w:t>
      </w:r>
      <w:r w:rsidRPr="00904FCB">
        <w:rPr>
          <w:sz w:val="27"/>
          <w:rtl/>
        </w:rPr>
        <w:t xml:space="preserve"> </w:t>
      </w:r>
      <w:r w:rsidRPr="00904FCB">
        <w:rPr>
          <w:rFonts w:hint="cs"/>
          <w:sz w:val="27"/>
          <w:rtl/>
        </w:rPr>
        <w:t>أكبر</w:t>
      </w:r>
      <w:r w:rsidRPr="00904FCB">
        <w:rPr>
          <w:sz w:val="27"/>
          <w:rtl/>
        </w:rPr>
        <w:t xml:space="preserve"> </w:t>
      </w:r>
      <w:r w:rsidRPr="00904FCB">
        <w:rPr>
          <w:rFonts w:hint="cs"/>
          <w:sz w:val="27"/>
          <w:rtl/>
        </w:rPr>
        <w:t>دافع</w:t>
      </w:r>
      <w:r w:rsidR="0064533A" w:rsidRPr="00904FCB">
        <w:rPr>
          <w:rFonts w:hint="cs"/>
          <w:sz w:val="27"/>
          <w:rtl/>
        </w:rPr>
        <w:t>ٍ،</w:t>
      </w:r>
      <w:r w:rsidRPr="00904FCB">
        <w:rPr>
          <w:sz w:val="27"/>
          <w:rtl/>
        </w:rPr>
        <w:t xml:space="preserve"> </w:t>
      </w:r>
      <w:r w:rsidRPr="00904FCB">
        <w:rPr>
          <w:rFonts w:hint="cs"/>
          <w:sz w:val="27"/>
          <w:rtl/>
        </w:rPr>
        <w:t>لخلق</w:t>
      </w:r>
      <w:r w:rsidRPr="00904FCB">
        <w:rPr>
          <w:sz w:val="27"/>
          <w:rtl/>
        </w:rPr>
        <w:t xml:space="preserve"> </w:t>
      </w:r>
      <w:r w:rsidRPr="00904FCB">
        <w:rPr>
          <w:rFonts w:hint="cs"/>
          <w:sz w:val="27"/>
          <w:rtl/>
        </w:rPr>
        <w:t>بيئة</w:t>
      </w:r>
      <w:r w:rsidRPr="00904FCB">
        <w:rPr>
          <w:sz w:val="27"/>
          <w:rtl/>
        </w:rPr>
        <w:t xml:space="preserve"> </w:t>
      </w:r>
      <w:r w:rsidRPr="00904FCB">
        <w:rPr>
          <w:rFonts w:hint="cs"/>
          <w:sz w:val="27"/>
          <w:rtl/>
        </w:rPr>
        <w:t>ومناخ</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بلداننا</w:t>
      </w:r>
      <w:r w:rsidRPr="00904FCB">
        <w:rPr>
          <w:sz w:val="27"/>
          <w:rtl/>
        </w:rPr>
        <w:t xml:space="preserve"> </w:t>
      </w:r>
      <w:r w:rsidRPr="00904FCB">
        <w:rPr>
          <w:rFonts w:hint="cs"/>
          <w:sz w:val="27"/>
          <w:rtl/>
        </w:rPr>
        <w:t>الشرقية</w:t>
      </w:r>
      <w:r w:rsidR="0064533A" w:rsidRPr="00904FCB">
        <w:rPr>
          <w:rFonts w:hint="cs"/>
          <w:sz w:val="27"/>
          <w:rtl/>
        </w:rPr>
        <w:t>؛</w:t>
      </w:r>
      <w:r w:rsidRPr="00904FCB">
        <w:rPr>
          <w:rFonts w:hint="cs"/>
          <w:sz w:val="27"/>
          <w:rtl/>
        </w:rPr>
        <w:t xml:space="preserve"> حيث</w:t>
      </w:r>
      <w:r w:rsidRPr="00904FCB">
        <w:rPr>
          <w:sz w:val="27"/>
          <w:rtl/>
        </w:rPr>
        <w:t xml:space="preserve"> </w:t>
      </w:r>
      <w:r w:rsidR="0064533A" w:rsidRPr="00904FCB">
        <w:rPr>
          <w:rFonts w:hint="cs"/>
          <w:sz w:val="27"/>
          <w:rtl/>
        </w:rPr>
        <w:t>إ</w:t>
      </w:r>
      <w:r w:rsidRPr="00904FCB">
        <w:rPr>
          <w:rFonts w:hint="cs"/>
          <w:sz w:val="27"/>
          <w:rtl/>
        </w:rPr>
        <w:t>ن</w:t>
      </w:r>
      <w:r w:rsidRPr="00904FCB">
        <w:rPr>
          <w:sz w:val="27"/>
          <w:rtl/>
        </w:rPr>
        <w:t xml:space="preserve"> </w:t>
      </w:r>
      <w:r w:rsidRPr="00904FCB">
        <w:rPr>
          <w:rFonts w:hint="cs"/>
          <w:sz w:val="27"/>
          <w:rtl/>
        </w:rPr>
        <w:t>الشاب</w:t>
      </w:r>
      <w:r w:rsidRPr="00904FCB">
        <w:rPr>
          <w:sz w:val="27"/>
          <w:rtl/>
        </w:rPr>
        <w:t xml:space="preserve"> </w:t>
      </w:r>
      <w:r w:rsidRPr="00904FCB">
        <w:rPr>
          <w:rFonts w:hint="cs"/>
          <w:sz w:val="27"/>
          <w:rtl/>
        </w:rPr>
        <w:t>العاطل</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المعط</w:t>
      </w:r>
      <w:r w:rsidR="0064533A" w:rsidRPr="00904FCB">
        <w:rPr>
          <w:rFonts w:hint="cs"/>
          <w:sz w:val="27"/>
          <w:rtl/>
        </w:rPr>
        <w:t>َّ</w:t>
      </w:r>
      <w:r w:rsidRPr="00904FCB">
        <w:rPr>
          <w:rFonts w:hint="cs"/>
          <w:sz w:val="27"/>
          <w:rtl/>
        </w:rPr>
        <w:t>ل</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استثمار</w:t>
      </w:r>
      <w:r w:rsidRPr="00904FCB">
        <w:rPr>
          <w:sz w:val="27"/>
          <w:rtl/>
        </w:rPr>
        <w:t xml:space="preserve"> </w:t>
      </w:r>
      <w:r w:rsidRPr="00904FCB">
        <w:rPr>
          <w:rFonts w:hint="cs"/>
          <w:sz w:val="27"/>
          <w:rtl/>
        </w:rPr>
        <w:t>طاقته</w:t>
      </w:r>
      <w:r w:rsidRPr="00904FCB">
        <w:rPr>
          <w:sz w:val="27"/>
          <w:rtl/>
        </w:rPr>
        <w:t xml:space="preserve"> </w:t>
      </w:r>
      <w:r w:rsidRPr="00904FCB">
        <w:rPr>
          <w:rFonts w:hint="cs"/>
          <w:sz w:val="27"/>
          <w:rtl/>
        </w:rPr>
        <w:t>وشهادته</w:t>
      </w:r>
      <w:r w:rsidRPr="00904FCB">
        <w:rPr>
          <w:sz w:val="27"/>
          <w:rtl/>
        </w:rPr>
        <w:t xml:space="preserve"> </w:t>
      </w:r>
      <w:r w:rsidRPr="00904FCB">
        <w:rPr>
          <w:rFonts w:hint="cs"/>
          <w:sz w:val="27"/>
          <w:rtl/>
        </w:rPr>
        <w:t>ومهارته</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تعل</w:t>
      </w:r>
      <w:r w:rsidR="0064533A" w:rsidRPr="00904FCB">
        <w:rPr>
          <w:rFonts w:hint="cs"/>
          <w:sz w:val="27"/>
          <w:rtl/>
        </w:rPr>
        <w:t>َّ</w:t>
      </w:r>
      <w:r w:rsidRPr="00904FCB">
        <w:rPr>
          <w:rFonts w:hint="cs"/>
          <w:sz w:val="27"/>
          <w:rtl/>
        </w:rPr>
        <w:t>مها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الجامعات</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المعاهد</w:t>
      </w:r>
      <w:r w:rsidRPr="00904FCB">
        <w:rPr>
          <w:sz w:val="27"/>
          <w:rtl/>
        </w:rPr>
        <w:t xml:space="preserve"> </w:t>
      </w:r>
      <w:r w:rsidRPr="00904FCB">
        <w:rPr>
          <w:rFonts w:hint="cs"/>
          <w:sz w:val="27"/>
          <w:rtl/>
        </w:rPr>
        <w:t>سيجد</w:t>
      </w:r>
      <w:r w:rsidRPr="00904FCB">
        <w:rPr>
          <w:sz w:val="27"/>
          <w:rtl/>
        </w:rPr>
        <w:t xml:space="preserve"> </w:t>
      </w:r>
      <w:r w:rsidRPr="00904FCB">
        <w:rPr>
          <w:rFonts w:hint="cs"/>
          <w:sz w:val="27"/>
          <w:rtl/>
        </w:rPr>
        <w:t>نفسه</w:t>
      </w:r>
      <w:r w:rsidRPr="00904FCB">
        <w:rPr>
          <w:sz w:val="27"/>
          <w:rtl/>
        </w:rPr>
        <w:t xml:space="preserve"> </w:t>
      </w:r>
      <w:r w:rsidRPr="00904FCB">
        <w:rPr>
          <w:rFonts w:hint="cs"/>
          <w:sz w:val="27"/>
          <w:rtl/>
        </w:rPr>
        <w:t>تنزلق</w:t>
      </w:r>
      <w:r w:rsidRPr="00904FCB">
        <w:rPr>
          <w:sz w:val="27"/>
          <w:rtl/>
        </w:rPr>
        <w:t xml:space="preserve"> </w:t>
      </w:r>
      <w:r w:rsidRPr="00904FCB">
        <w:rPr>
          <w:rFonts w:hint="cs"/>
          <w:sz w:val="27"/>
          <w:rtl/>
        </w:rPr>
        <w:t>بالضرورة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تي</w:t>
      </w:r>
      <w:r w:rsidR="0064533A" w:rsidRPr="00904FCB">
        <w:rPr>
          <w:rFonts w:hint="cs"/>
          <w:sz w:val="27"/>
          <w:rtl/>
        </w:rPr>
        <w:t>ّ</w:t>
      </w:r>
      <w:r w:rsidRPr="00904FCB">
        <w:rPr>
          <w:rFonts w:hint="cs"/>
          <w:sz w:val="27"/>
          <w:rtl/>
        </w:rPr>
        <w:t>ارات</w:t>
      </w:r>
      <w:r w:rsidRPr="00904FCB">
        <w:rPr>
          <w:sz w:val="27"/>
          <w:rtl/>
        </w:rPr>
        <w:t xml:space="preserve"> </w:t>
      </w:r>
      <w:r w:rsidRPr="00904FCB">
        <w:rPr>
          <w:rFonts w:hint="cs"/>
          <w:sz w:val="27"/>
          <w:rtl/>
        </w:rPr>
        <w:t>سياسية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ثقافية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معتقدية</w:t>
      </w:r>
      <w:r w:rsidRPr="00904FCB">
        <w:rPr>
          <w:sz w:val="27"/>
          <w:rtl/>
        </w:rPr>
        <w:t xml:space="preserve"> </w:t>
      </w:r>
      <w:r w:rsidRPr="00904FCB">
        <w:rPr>
          <w:rFonts w:hint="cs"/>
          <w:sz w:val="27"/>
          <w:rtl/>
        </w:rPr>
        <w:t>أخرى</w:t>
      </w:r>
      <w:r w:rsidR="0064533A" w:rsidRPr="00904FCB">
        <w:rPr>
          <w:rFonts w:hint="cs"/>
          <w:sz w:val="27"/>
          <w:rtl/>
        </w:rPr>
        <w:t>،</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تستثمر</w:t>
      </w:r>
      <w:r w:rsidRPr="00904FCB">
        <w:rPr>
          <w:sz w:val="27"/>
          <w:rtl/>
        </w:rPr>
        <w:t xml:space="preserve"> </w:t>
      </w:r>
      <w:r w:rsidRPr="00904FCB">
        <w:rPr>
          <w:rFonts w:hint="cs"/>
          <w:sz w:val="27"/>
          <w:rtl/>
        </w:rPr>
        <w:t>حاجته</w:t>
      </w:r>
      <w:r w:rsidRPr="00904FCB">
        <w:rPr>
          <w:sz w:val="27"/>
          <w:rtl/>
        </w:rPr>
        <w:t xml:space="preserve"> </w:t>
      </w:r>
      <w:r w:rsidRPr="00904FCB">
        <w:rPr>
          <w:rFonts w:hint="cs"/>
          <w:sz w:val="27"/>
          <w:rtl/>
        </w:rPr>
        <w:t>لتوظيف</w:t>
      </w:r>
      <w:r w:rsidRPr="00904FCB">
        <w:rPr>
          <w:sz w:val="27"/>
          <w:rtl/>
        </w:rPr>
        <w:t xml:space="preserve"> </w:t>
      </w:r>
      <w:r w:rsidRPr="00904FCB">
        <w:rPr>
          <w:rFonts w:hint="cs"/>
          <w:sz w:val="27"/>
          <w:rtl/>
        </w:rPr>
        <w:t>قدراته</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يلائم</w:t>
      </w:r>
      <w:r w:rsidRPr="00904FCB">
        <w:rPr>
          <w:sz w:val="27"/>
          <w:rtl/>
        </w:rPr>
        <w:t xml:space="preserve"> </w:t>
      </w:r>
      <w:r w:rsidRPr="00904FCB">
        <w:rPr>
          <w:rFonts w:hint="cs"/>
          <w:sz w:val="27"/>
          <w:rtl/>
        </w:rPr>
        <w:t>قناعاتها</w:t>
      </w:r>
      <w:r w:rsidRPr="00904FCB">
        <w:rPr>
          <w:sz w:val="27"/>
          <w:rtl/>
        </w:rPr>
        <w:t xml:space="preserve"> </w:t>
      </w:r>
      <w:r w:rsidRPr="00904FCB">
        <w:rPr>
          <w:rFonts w:hint="cs"/>
          <w:sz w:val="27"/>
          <w:rtl/>
        </w:rPr>
        <w:t>ومصالحها</w:t>
      </w:r>
      <w:r w:rsidRPr="00904FCB">
        <w:rPr>
          <w:sz w:val="27"/>
          <w:rtl/>
        </w:rPr>
        <w:t xml:space="preserve"> </w:t>
      </w:r>
      <w:r w:rsidRPr="00904FCB">
        <w:rPr>
          <w:rFonts w:hint="cs"/>
          <w:sz w:val="27"/>
          <w:rtl/>
        </w:rPr>
        <w:t>هي</w:t>
      </w:r>
      <w:r w:rsidR="0064533A" w:rsidRPr="00904FCB">
        <w:rPr>
          <w:rFonts w:hint="cs"/>
          <w:sz w:val="27"/>
          <w:rtl/>
        </w:rPr>
        <w:t>،</w:t>
      </w:r>
      <w:r w:rsidRPr="00904FCB">
        <w:rPr>
          <w:sz w:val="27"/>
          <w:rtl/>
        </w:rPr>
        <w:t xml:space="preserve"> </w:t>
      </w:r>
      <w:r w:rsidRPr="00904FCB">
        <w:rPr>
          <w:rFonts w:hint="cs"/>
          <w:sz w:val="27"/>
          <w:rtl/>
        </w:rPr>
        <w:t>مقابل</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تضمن</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كل</w:t>
      </w:r>
      <w:r w:rsidR="0064533A" w:rsidRPr="00904FCB">
        <w:rPr>
          <w:rFonts w:hint="cs"/>
          <w:sz w:val="27"/>
          <w:rtl/>
        </w:rPr>
        <w:t>ّ</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يرنو</w:t>
      </w:r>
      <w:r w:rsidRPr="00904FCB">
        <w:rPr>
          <w:sz w:val="27"/>
          <w:rtl/>
        </w:rPr>
        <w:t xml:space="preserve"> </w:t>
      </w:r>
      <w:r w:rsidRPr="00904FCB">
        <w:rPr>
          <w:rFonts w:hint="cs"/>
          <w:sz w:val="27"/>
          <w:rtl/>
        </w:rPr>
        <w:t>إليه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مطالب</w:t>
      </w:r>
      <w:r w:rsidRPr="00904FCB">
        <w:rPr>
          <w:sz w:val="27"/>
          <w:rtl/>
        </w:rPr>
        <w:t xml:space="preserve"> </w:t>
      </w:r>
      <w:r w:rsidRPr="00904FCB">
        <w:rPr>
          <w:rFonts w:hint="cs"/>
          <w:sz w:val="27"/>
          <w:rtl/>
        </w:rPr>
        <w:t>حيوية</w:t>
      </w:r>
      <w:r w:rsidRPr="00904FCB">
        <w:rPr>
          <w:sz w:val="27"/>
          <w:rtl/>
        </w:rPr>
        <w:t xml:space="preserve"> </w:t>
      </w:r>
      <w:r w:rsidRPr="00904FCB">
        <w:rPr>
          <w:rFonts w:hint="cs"/>
          <w:sz w:val="27"/>
          <w:rtl/>
        </w:rPr>
        <w:t>أساسية</w:t>
      </w:r>
      <w:r w:rsidR="0064533A"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يفترض</w:t>
      </w:r>
      <w:r w:rsidRPr="00904FCB">
        <w:rPr>
          <w:sz w:val="27"/>
          <w:rtl/>
        </w:rPr>
        <w:t xml:space="preserve"> </w:t>
      </w:r>
      <w:r w:rsidRPr="00904FCB">
        <w:rPr>
          <w:rFonts w:hint="cs"/>
          <w:sz w:val="27"/>
          <w:rtl/>
        </w:rPr>
        <w:t>بدولته</w:t>
      </w:r>
      <w:r w:rsidRPr="00904FCB">
        <w:rPr>
          <w:sz w:val="27"/>
          <w:rtl/>
        </w:rPr>
        <w:t xml:space="preserve"> </w:t>
      </w:r>
      <w:r w:rsidRPr="00904FCB">
        <w:rPr>
          <w:rFonts w:hint="cs"/>
          <w:sz w:val="27"/>
          <w:rtl/>
        </w:rPr>
        <w:t>ومؤس</w:t>
      </w:r>
      <w:r w:rsidR="0064533A" w:rsidRPr="00904FCB">
        <w:rPr>
          <w:rFonts w:hint="cs"/>
          <w:sz w:val="27"/>
          <w:rtl/>
        </w:rPr>
        <w:t>ّ</w:t>
      </w:r>
      <w:r w:rsidRPr="00904FCB">
        <w:rPr>
          <w:rFonts w:hint="cs"/>
          <w:sz w:val="27"/>
          <w:rtl/>
        </w:rPr>
        <w:t>سات</w:t>
      </w:r>
      <w:r w:rsidRPr="00904FCB">
        <w:rPr>
          <w:sz w:val="27"/>
          <w:rtl/>
        </w:rPr>
        <w:t xml:space="preserve"> </w:t>
      </w:r>
      <w:r w:rsidRPr="00904FCB">
        <w:rPr>
          <w:rFonts w:hint="cs"/>
          <w:sz w:val="27"/>
          <w:rtl/>
        </w:rPr>
        <w:t>مجتمعه</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توف</w:t>
      </w:r>
      <w:r w:rsidR="0064533A" w:rsidRPr="00904FCB">
        <w:rPr>
          <w:rFonts w:hint="cs"/>
          <w:sz w:val="27"/>
          <w:rtl/>
        </w:rPr>
        <w:t>ِّ</w:t>
      </w:r>
      <w:r w:rsidRPr="00904FCB">
        <w:rPr>
          <w:rFonts w:hint="cs"/>
          <w:sz w:val="27"/>
          <w:rtl/>
        </w:rPr>
        <w:t>رها</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بصورة</w:t>
      </w:r>
      <w:r w:rsidR="0064533A" w:rsidRPr="00904FCB">
        <w:rPr>
          <w:rFonts w:hint="cs"/>
          <w:sz w:val="27"/>
          <w:rtl/>
        </w:rPr>
        <w:t>ٍ</w:t>
      </w:r>
      <w:r w:rsidRPr="00904FCB">
        <w:rPr>
          <w:sz w:val="27"/>
          <w:rtl/>
        </w:rPr>
        <w:t xml:space="preserve"> </w:t>
      </w:r>
      <w:r w:rsidRPr="00904FCB">
        <w:rPr>
          <w:rFonts w:hint="cs"/>
          <w:sz w:val="27"/>
          <w:rtl/>
        </w:rPr>
        <w:t>طبيعية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الصورة</w:t>
      </w:r>
      <w:r w:rsidRPr="00904FCB">
        <w:rPr>
          <w:sz w:val="27"/>
          <w:rtl/>
        </w:rPr>
        <w:t xml:space="preserve"> </w:t>
      </w:r>
      <w:r w:rsidRPr="00904FCB">
        <w:rPr>
          <w:rFonts w:hint="cs"/>
          <w:sz w:val="27"/>
          <w:rtl/>
        </w:rPr>
        <w:t>الأمثل</w:t>
      </w:r>
      <w:r w:rsidRPr="00904FCB">
        <w:rPr>
          <w:sz w:val="27"/>
          <w:rtl/>
        </w:rPr>
        <w:t xml:space="preserve"> </w:t>
      </w:r>
      <w:r w:rsidRPr="00904FCB">
        <w:rPr>
          <w:rFonts w:hint="cs"/>
          <w:sz w:val="27"/>
          <w:rtl/>
        </w:rPr>
        <w:t>والأفضل</w:t>
      </w:r>
      <w:r w:rsidR="0064533A" w:rsidRPr="00904FCB">
        <w:rPr>
          <w:rFonts w:hint="cs"/>
          <w:sz w:val="27"/>
          <w:rtl/>
        </w:rPr>
        <w:t>،</w:t>
      </w:r>
      <w:r w:rsidRPr="00904FCB">
        <w:rPr>
          <w:sz w:val="27"/>
          <w:rtl/>
        </w:rPr>
        <w:t xml:space="preserve"> </w:t>
      </w:r>
      <w:r w:rsidRPr="00904FCB">
        <w:rPr>
          <w:rFonts w:hint="cs"/>
          <w:sz w:val="27"/>
          <w:rtl/>
        </w:rPr>
        <w:t>بدلاً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يجد</w:t>
      </w:r>
      <w:r w:rsidRPr="00904FCB">
        <w:rPr>
          <w:sz w:val="27"/>
          <w:rtl/>
        </w:rPr>
        <w:t xml:space="preserve"> </w:t>
      </w:r>
      <w:r w:rsidRPr="00904FCB">
        <w:rPr>
          <w:rFonts w:hint="cs"/>
          <w:sz w:val="27"/>
          <w:rtl/>
        </w:rPr>
        <w:t>نفسه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أتون</w:t>
      </w:r>
      <w:r w:rsidRPr="00904FCB">
        <w:rPr>
          <w:sz w:val="27"/>
          <w:rtl/>
        </w:rPr>
        <w:t xml:space="preserve"> </w:t>
      </w:r>
      <w:r w:rsidRPr="00904FCB">
        <w:rPr>
          <w:rFonts w:hint="cs"/>
          <w:sz w:val="27"/>
          <w:rtl/>
        </w:rPr>
        <w:t>محرقة</w:t>
      </w:r>
      <w:r w:rsidRPr="00904FCB">
        <w:rPr>
          <w:sz w:val="27"/>
          <w:rtl/>
        </w:rPr>
        <w:t xml:space="preserve"> </w:t>
      </w:r>
      <w:r w:rsidRPr="00904FCB">
        <w:rPr>
          <w:rFonts w:hint="cs"/>
          <w:sz w:val="27"/>
          <w:rtl/>
        </w:rPr>
        <w:t>أيديولوجيا</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والقوة</w:t>
      </w:r>
      <w:r w:rsidRPr="00904FCB">
        <w:rPr>
          <w:sz w:val="27"/>
          <w:rtl/>
        </w:rPr>
        <w:t xml:space="preserve">. </w:t>
      </w:r>
      <w:r w:rsidRPr="00904FCB">
        <w:rPr>
          <w:rFonts w:hint="cs"/>
          <w:sz w:val="27"/>
          <w:rtl/>
        </w:rPr>
        <w:t>وكثير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شبابنا</w:t>
      </w:r>
      <w:r w:rsidRPr="00904FCB">
        <w:rPr>
          <w:sz w:val="27"/>
          <w:rtl/>
        </w:rPr>
        <w:t xml:space="preserve"> </w:t>
      </w:r>
      <w:r w:rsidRPr="00904FCB">
        <w:rPr>
          <w:rFonts w:hint="cs"/>
          <w:sz w:val="27"/>
          <w:rtl/>
        </w:rPr>
        <w:t>العربي</w:t>
      </w:r>
      <w:r w:rsidRPr="00904FCB">
        <w:rPr>
          <w:sz w:val="27"/>
          <w:rtl/>
        </w:rPr>
        <w:t xml:space="preserve"> </w:t>
      </w:r>
      <w:r w:rsidRPr="00904FCB">
        <w:rPr>
          <w:rFonts w:hint="cs"/>
          <w:sz w:val="27"/>
          <w:rtl/>
        </w:rPr>
        <w:t>والمسلم</w:t>
      </w:r>
      <w:r w:rsidRPr="00904FCB">
        <w:rPr>
          <w:sz w:val="27"/>
          <w:rtl/>
        </w:rPr>
        <w:t xml:space="preserve"> </w:t>
      </w:r>
      <w:r w:rsidRPr="00904FCB">
        <w:rPr>
          <w:rFonts w:hint="cs"/>
          <w:sz w:val="27"/>
          <w:rtl/>
        </w:rPr>
        <w:t>ضاعوا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الطريق</w:t>
      </w:r>
      <w:r w:rsidRPr="00904FCB">
        <w:rPr>
          <w:sz w:val="27"/>
          <w:rtl/>
        </w:rPr>
        <w:t xml:space="preserve">. </w:t>
      </w:r>
      <w:r w:rsidRPr="00904FCB">
        <w:rPr>
          <w:rFonts w:hint="cs"/>
          <w:sz w:val="27"/>
          <w:rtl/>
        </w:rPr>
        <w:t>إذ</w:t>
      </w:r>
      <w:r w:rsidR="00475813" w:rsidRPr="00904FCB">
        <w:rPr>
          <w:rFonts w:hint="cs"/>
          <w:sz w:val="27"/>
          <w:rtl/>
        </w:rPr>
        <w:t>ن</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تأمين</w:t>
      </w:r>
      <w:r w:rsidRPr="00904FCB">
        <w:rPr>
          <w:sz w:val="27"/>
          <w:rtl/>
        </w:rPr>
        <w:t xml:space="preserve"> </w:t>
      </w:r>
      <w:r w:rsidRPr="00904FCB">
        <w:rPr>
          <w:rFonts w:hint="cs"/>
          <w:sz w:val="27"/>
          <w:rtl/>
        </w:rPr>
        <w:t>مطالب</w:t>
      </w:r>
      <w:r w:rsidRPr="00904FCB">
        <w:rPr>
          <w:sz w:val="27"/>
          <w:rtl/>
        </w:rPr>
        <w:t xml:space="preserve"> </w:t>
      </w:r>
      <w:r w:rsidRPr="00904FCB">
        <w:rPr>
          <w:rFonts w:hint="cs"/>
          <w:sz w:val="27"/>
          <w:rtl/>
        </w:rPr>
        <w:t>الناس</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أو</w:t>
      </w:r>
      <w:r w:rsidR="00475813" w:rsidRPr="00904FCB">
        <w:rPr>
          <w:rFonts w:hint="cs"/>
          <w:sz w:val="27"/>
          <w:rtl/>
        </w:rPr>
        <w:t>ّ</w:t>
      </w:r>
      <w:r w:rsidRPr="00904FCB">
        <w:rPr>
          <w:rFonts w:hint="cs"/>
          <w:sz w:val="27"/>
          <w:rtl/>
        </w:rPr>
        <w:t>ل</w:t>
      </w:r>
      <w:r w:rsidRPr="00904FCB">
        <w:rPr>
          <w:sz w:val="27"/>
          <w:rtl/>
        </w:rPr>
        <w:t xml:space="preserve"> </w:t>
      </w:r>
      <w:r w:rsidRPr="00904FCB">
        <w:rPr>
          <w:rFonts w:hint="cs"/>
          <w:sz w:val="27"/>
          <w:rtl/>
        </w:rPr>
        <w:t>خطوة</w:t>
      </w:r>
      <w:r w:rsidR="00475813" w:rsidRPr="00904FCB">
        <w:rPr>
          <w:rFonts w:hint="cs"/>
          <w:sz w:val="27"/>
          <w:rtl/>
        </w:rPr>
        <w:t>ٍ</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طريق</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والقوة</w:t>
      </w:r>
      <w:r w:rsidRPr="00904FCB">
        <w:rPr>
          <w:sz w:val="27"/>
          <w:rtl/>
        </w:rPr>
        <w:t xml:space="preserve">. </w:t>
      </w:r>
    </w:p>
    <w:p w:rsidR="00057E24" w:rsidRPr="00904FCB" w:rsidRDefault="00057E24" w:rsidP="00A8172D">
      <w:pPr>
        <w:spacing w:line="400" w:lineRule="exact"/>
        <w:rPr>
          <w:sz w:val="27"/>
          <w:rtl/>
        </w:rPr>
      </w:pPr>
      <w:r w:rsidRPr="00904FCB">
        <w:rPr>
          <w:rFonts w:hint="cs"/>
          <w:sz w:val="27"/>
          <w:rtl/>
        </w:rPr>
        <w:t>ـ العلاقة</w:t>
      </w:r>
      <w:r w:rsidRPr="00904FCB">
        <w:rPr>
          <w:sz w:val="27"/>
          <w:rtl/>
        </w:rPr>
        <w:t xml:space="preserve"> </w:t>
      </w:r>
      <w:r w:rsidRPr="00904FCB">
        <w:rPr>
          <w:rFonts w:hint="cs"/>
          <w:sz w:val="27"/>
          <w:rtl/>
        </w:rPr>
        <w:t>الفوقانية</w:t>
      </w:r>
      <w:r w:rsidRPr="00904FCB">
        <w:rPr>
          <w:sz w:val="27"/>
          <w:rtl/>
        </w:rPr>
        <w:t xml:space="preserve"> </w:t>
      </w:r>
      <w:r w:rsidRPr="00904FCB">
        <w:rPr>
          <w:rFonts w:hint="cs"/>
          <w:sz w:val="27"/>
          <w:rtl/>
        </w:rPr>
        <w:t>الجائرة</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النخب</w:t>
      </w:r>
      <w:r w:rsidRPr="00904FCB">
        <w:rPr>
          <w:sz w:val="27"/>
          <w:rtl/>
        </w:rPr>
        <w:t xml:space="preserve"> </w:t>
      </w:r>
      <w:r w:rsidRPr="00904FCB">
        <w:rPr>
          <w:rFonts w:hint="cs"/>
          <w:sz w:val="27"/>
          <w:rtl/>
        </w:rPr>
        <w:t>الحاكمة</w:t>
      </w:r>
      <w:r w:rsidRPr="00904FCB">
        <w:rPr>
          <w:sz w:val="27"/>
          <w:rtl/>
        </w:rPr>
        <w:t xml:space="preserve"> </w:t>
      </w:r>
      <w:r w:rsidRPr="00904FCB">
        <w:rPr>
          <w:rFonts w:hint="cs"/>
          <w:sz w:val="27"/>
          <w:rtl/>
        </w:rPr>
        <w:t>والجماهير</w:t>
      </w:r>
      <w:r w:rsidRPr="00904FCB">
        <w:rPr>
          <w:sz w:val="27"/>
          <w:rtl/>
        </w:rPr>
        <w:t xml:space="preserve"> </w:t>
      </w:r>
      <w:r w:rsidRPr="00904FCB">
        <w:rPr>
          <w:rFonts w:hint="cs"/>
          <w:sz w:val="27"/>
          <w:rtl/>
        </w:rPr>
        <w:t>المحكومة</w:t>
      </w:r>
      <w:r w:rsidR="00475813" w:rsidRPr="00904FCB">
        <w:rPr>
          <w:rFonts w:hint="cs"/>
          <w:sz w:val="27"/>
          <w:rtl/>
        </w:rPr>
        <w:t>،</w:t>
      </w:r>
      <w:r w:rsidRPr="00904FCB">
        <w:rPr>
          <w:sz w:val="27"/>
          <w:rtl/>
        </w:rPr>
        <w:t xml:space="preserve"> </w:t>
      </w:r>
      <w:r w:rsidRPr="00904FCB">
        <w:rPr>
          <w:rFonts w:hint="cs"/>
          <w:sz w:val="27"/>
          <w:rtl/>
        </w:rPr>
        <w:t>وعدم</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جسور</w:t>
      </w:r>
      <w:r w:rsidRPr="00904FCB">
        <w:rPr>
          <w:sz w:val="27"/>
          <w:rtl/>
        </w:rPr>
        <w:t xml:space="preserve"> </w:t>
      </w:r>
      <w:r w:rsidRPr="00904FCB">
        <w:rPr>
          <w:rFonts w:hint="cs"/>
          <w:sz w:val="27"/>
          <w:rtl/>
        </w:rPr>
        <w:t>وقنوات</w:t>
      </w:r>
      <w:r w:rsidRPr="00904FCB">
        <w:rPr>
          <w:sz w:val="27"/>
          <w:rtl/>
        </w:rPr>
        <w:t xml:space="preserve"> </w:t>
      </w:r>
      <w:r w:rsidRPr="00904FCB">
        <w:rPr>
          <w:rFonts w:hint="cs"/>
          <w:sz w:val="27"/>
          <w:rtl/>
        </w:rPr>
        <w:t>تفاهم</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توس</w:t>
      </w:r>
      <w:r w:rsidR="00475813" w:rsidRPr="00904FCB">
        <w:rPr>
          <w:rFonts w:hint="cs"/>
          <w:sz w:val="27"/>
          <w:rtl/>
        </w:rPr>
        <w:t>ُّ</w:t>
      </w:r>
      <w:r w:rsidRPr="00904FCB">
        <w:rPr>
          <w:rFonts w:hint="cs"/>
          <w:sz w:val="27"/>
          <w:rtl/>
        </w:rPr>
        <w:t>طات</w:t>
      </w:r>
      <w:r w:rsidRPr="00904FCB">
        <w:rPr>
          <w:sz w:val="27"/>
          <w:rtl/>
        </w:rPr>
        <w:t xml:space="preserve"> </w:t>
      </w:r>
      <w:r w:rsidRPr="00904FCB">
        <w:rPr>
          <w:rFonts w:hint="cs"/>
          <w:sz w:val="27"/>
          <w:rtl/>
        </w:rPr>
        <w:t>مدنية</w:t>
      </w:r>
      <w:r w:rsidRPr="00904FCB">
        <w:rPr>
          <w:sz w:val="27"/>
          <w:rtl/>
        </w:rPr>
        <w:t xml:space="preserve"> </w:t>
      </w:r>
      <w:r w:rsidRPr="00904FCB">
        <w:rPr>
          <w:rFonts w:hint="cs"/>
          <w:sz w:val="27"/>
          <w:rtl/>
        </w:rPr>
        <w:t>حقيقية</w:t>
      </w:r>
      <w:r w:rsidRPr="00904FCB">
        <w:rPr>
          <w:sz w:val="27"/>
          <w:rtl/>
        </w:rPr>
        <w:t xml:space="preserve"> </w:t>
      </w:r>
      <w:r w:rsidRPr="00904FCB">
        <w:rPr>
          <w:rFonts w:hint="cs"/>
          <w:sz w:val="27"/>
          <w:rtl/>
        </w:rPr>
        <w:t>مهيكلة</w:t>
      </w:r>
      <w:r w:rsidRPr="00904FCB">
        <w:rPr>
          <w:sz w:val="27"/>
          <w:rtl/>
        </w:rPr>
        <w:t xml:space="preserve"> </w:t>
      </w:r>
      <w:r w:rsidRPr="00904FCB">
        <w:rPr>
          <w:rFonts w:hint="cs"/>
          <w:sz w:val="27"/>
          <w:rtl/>
        </w:rPr>
        <w:t>بينهما</w:t>
      </w:r>
      <w:r w:rsidR="00475813"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تنظيمات</w:t>
      </w:r>
      <w:r w:rsidRPr="00904FCB">
        <w:rPr>
          <w:sz w:val="27"/>
          <w:rtl/>
        </w:rPr>
        <w:t xml:space="preserve"> </w:t>
      </w:r>
      <w:r w:rsidRPr="00904FCB">
        <w:rPr>
          <w:rFonts w:hint="cs"/>
          <w:sz w:val="27"/>
          <w:rtl/>
        </w:rPr>
        <w:t>ومؤس</w:t>
      </w:r>
      <w:r w:rsidR="00475813" w:rsidRPr="00904FCB">
        <w:rPr>
          <w:rFonts w:hint="cs"/>
          <w:sz w:val="27"/>
          <w:rtl/>
        </w:rPr>
        <w:t>ّ</w:t>
      </w:r>
      <w:r w:rsidRPr="00904FCB">
        <w:rPr>
          <w:rFonts w:hint="cs"/>
          <w:sz w:val="27"/>
          <w:rtl/>
        </w:rPr>
        <w:t>سات</w:t>
      </w:r>
      <w:r w:rsidRPr="00904FCB">
        <w:rPr>
          <w:sz w:val="27"/>
          <w:rtl/>
        </w:rPr>
        <w:t xml:space="preserve"> </w:t>
      </w:r>
      <w:r w:rsidRPr="00904FCB">
        <w:rPr>
          <w:rFonts w:hint="cs"/>
          <w:sz w:val="27"/>
          <w:rtl/>
        </w:rPr>
        <w:t>مدنية</w:t>
      </w:r>
      <w:r w:rsidRPr="00904FCB">
        <w:rPr>
          <w:sz w:val="27"/>
          <w:rtl/>
        </w:rPr>
        <w:t xml:space="preserve"> </w:t>
      </w:r>
      <w:r w:rsidRPr="00904FCB">
        <w:rPr>
          <w:rFonts w:hint="cs"/>
          <w:sz w:val="27"/>
          <w:rtl/>
        </w:rPr>
        <w:t>وأحزاب</w:t>
      </w:r>
      <w:r w:rsidRPr="00904FCB">
        <w:rPr>
          <w:sz w:val="27"/>
          <w:rtl/>
        </w:rPr>
        <w:t xml:space="preserve"> </w:t>
      </w:r>
      <w:r w:rsidRPr="00904FCB">
        <w:rPr>
          <w:rFonts w:hint="cs"/>
          <w:sz w:val="27"/>
          <w:rtl/>
        </w:rPr>
        <w:t>ومنظمات</w:t>
      </w:r>
      <w:r w:rsidRPr="00904FCB">
        <w:rPr>
          <w:sz w:val="27"/>
          <w:rtl/>
        </w:rPr>
        <w:t xml:space="preserve"> </w:t>
      </w:r>
      <w:r w:rsidRPr="00904FCB">
        <w:rPr>
          <w:rFonts w:hint="cs"/>
          <w:sz w:val="27"/>
          <w:rtl/>
        </w:rPr>
        <w:t>أهلية</w:t>
      </w:r>
      <w:r w:rsidR="00475813" w:rsidRPr="00904FCB">
        <w:rPr>
          <w:rFonts w:hint="cs"/>
          <w:sz w:val="27"/>
          <w:rtl/>
        </w:rPr>
        <w:t>،</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تكون</w:t>
      </w:r>
      <w:r w:rsidRPr="00904FCB">
        <w:rPr>
          <w:sz w:val="27"/>
          <w:rtl/>
        </w:rPr>
        <w:t xml:space="preserve"> </w:t>
      </w:r>
      <w:r w:rsidRPr="00904FCB">
        <w:rPr>
          <w:rFonts w:hint="cs"/>
          <w:sz w:val="27"/>
          <w:rtl/>
        </w:rPr>
        <w:t>محطة</w:t>
      </w:r>
      <w:r w:rsidRPr="00904FCB">
        <w:rPr>
          <w:sz w:val="27"/>
          <w:rtl/>
        </w:rPr>
        <w:t xml:space="preserve"> </w:t>
      </w:r>
      <w:r w:rsidRPr="00904FCB">
        <w:rPr>
          <w:rFonts w:hint="cs"/>
          <w:sz w:val="27"/>
          <w:rtl/>
        </w:rPr>
        <w:t>تواصل</w:t>
      </w:r>
      <w:r w:rsidRPr="00904FCB">
        <w:rPr>
          <w:sz w:val="27"/>
          <w:rtl/>
        </w:rPr>
        <w:t xml:space="preserve"> </w:t>
      </w:r>
      <w:r w:rsidRPr="00904FCB">
        <w:rPr>
          <w:rFonts w:hint="cs"/>
          <w:sz w:val="27"/>
          <w:rtl/>
        </w:rPr>
        <w:t>وتفاعل</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وعموم</w:t>
      </w:r>
      <w:r w:rsidRPr="00904FCB">
        <w:rPr>
          <w:sz w:val="27"/>
          <w:rtl/>
        </w:rPr>
        <w:t xml:space="preserve"> </w:t>
      </w:r>
      <w:r w:rsidRPr="00904FCB">
        <w:rPr>
          <w:rFonts w:hint="cs"/>
          <w:sz w:val="27"/>
          <w:rtl/>
        </w:rPr>
        <w:t>الجمهور</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باعد</w:t>
      </w:r>
      <w:r w:rsidRPr="00904FCB">
        <w:rPr>
          <w:sz w:val="27"/>
          <w:rtl/>
        </w:rPr>
        <w:t xml:space="preserve"> </w:t>
      </w:r>
      <w:r w:rsidRPr="00904FCB">
        <w:rPr>
          <w:rFonts w:hint="cs"/>
          <w:sz w:val="27"/>
          <w:rtl/>
        </w:rPr>
        <w:t>ويباعد</w:t>
      </w:r>
      <w:r w:rsidRPr="00904FCB">
        <w:rPr>
          <w:sz w:val="27"/>
          <w:rtl/>
        </w:rPr>
        <w:t xml:space="preserve"> </w:t>
      </w:r>
      <w:r w:rsidRPr="00904FCB">
        <w:rPr>
          <w:rFonts w:hint="cs"/>
          <w:sz w:val="27"/>
          <w:rtl/>
        </w:rPr>
        <w:t>المسافة ويزيد</w:t>
      </w:r>
      <w:r w:rsidRPr="00904FCB">
        <w:rPr>
          <w:sz w:val="27"/>
          <w:rtl/>
        </w:rPr>
        <w:t xml:space="preserve"> </w:t>
      </w:r>
      <w:r w:rsidRPr="00904FCB">
        <w:rPr>
          <w:rFonts w:hint="cs"/>
          <w:sz w:val="27"/>
          <w:rtl/>
        </w:rPr>
        <w:t>الشرخ</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مؤس</w:t>
      </w:r>
      <w:r w:rsidR="00475813" w:rsidRPr="00904FCB">
        <w:rPr>
          <w:rFonts w:hint="cs"/>
          <w:sz w:val="27"/>
          <w:rtl/>
        </w:rPr>
        <w:t>َّ</w:t>
      </w:r>
      <w:r w:rsidRPr="00904FCB">
        <w:rPr>
          <w:rFonts w:hint="cs"/>
          <w:sz w:val="27"/>
          <w:rtl/>
        </w:rPr>
        <w:t>سات</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النخبوية</w:t>
      </w:r>
      <w:r w:rsidRPr="00904FCB">
        <w:rPr>
          <w:sz w:val="27"/>
          <w:rtl/>
        </w:rPr>
        <w:t xml:space="preserve"> </w:t>
      </w:r>
      <w:r w:rsidRPr="00904FCB">
        <w:rPr>
          <w:rFonts w:hint="cs"/>
          <w:sz w:val="27"/>
          <w:rtl/>
        </w:rPr>
        <w:t>وباقي</w:t>
      </w:r>
      <w:r w:rsidRPr="00904FCB">
        <w:rPr>
          <w:sz w:val="27"/>
          <w:rtl/>
        </w:rPr>
        <w:t xml:space="preserve"> </w:t>
      </w:r>
      <w:r w:rsidRPr="00904FCB">
        <w:rPr>
          <w:rFonts w:hint="cs"/>
          <w:sz w:val="27"/>
          <w:rtl/>
        </w:rPr>
        <w:t>أفراد</w:t>
      </w:r>
      <w:r w:rsidRPr="00904FCB">
        <w:rPr>
          <w:sz w:val="27"/>
          <w:rtl/>
        </w:rPr>
        <w:t xml:space="preserve"> </w:t>
      </w:r>
      <w:r w:rsidRPr="00904FCB">
        <w:rPr>
          <w:rFonts w:hint="cs"/>
          <w:sz w:val="27"/>
          <w:rtl/>
        </w:rPr>
        <w:t>المجتمع</w:t>
      </w:r>
      <w:r w:rsidR="00475813" w:rsidRPr="00904FCB">
        <w:rPr>
          <w:rFonts w:hint="cs"/>
          <w:sz w:val="27"/>
          <w:rtl/>
        </w:rPr>
        <w:t>،</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هم</w:t>
      </w:r>
      <w:r w:rsidRPr="00904FCB">
        <w:rPr>
          <w:sz w:val="27"/>
          <w:rtl/>
        </w:rPr>
        <w:t xml:space="preserve"> </w:t>
      </w:r>
      <w:r w:rsidRPr="00904FCB">
        <w:rPr>
          <w:rFonts w:hint="cs"/>
          <w:sz w:val="27"/>
          <w:rtl/>
        </w:rPr>
        <w:t>م</w:t>
      </w:r>
      <w:r w:rsidR="00475813" w:rsidRPr="00904FCB">
        <w:rPr>
          <w:rFonts w:hint="cs"/>
          <w:sz w:val="27"/>
          <w:rtl/>
        </w:rPr>
        <w:t>َ</w:t>
      </w:r>
      <w:r w:rsidRPr="00904FCB">
        <w:rPr>
          <w:rFonts w:hint="cs"/>
          <w:sz w:val="27"/>
          <w:rtl/>
        </w:rPr>
        <w:t>ن</w:t>
      </w:r>
      <w:r w:rsidR="00475813" w:rsidRPr="00904FCB">
        <w:rPr>
          <w:rFonts w:hint="cs"/>
          <w:sz w:val="27"/>
          <w:rtl/>
        </w:rPr>
        <w:t>ْ</w:t>
      </w:r>
      <w:r w:rsidRPr="00904FCB">
        <w:rPr>
          <w:sz w:val="27"/>
          <w:rtl/>
        </w:rPr>
        <w:t xml:space="preserve"> </w:t>
      </w:r>
      <w:r w:rsidRPr="00904FCB">
        <w:rPr>
          <w:rFonts w:hint="cs"/>
          <w:sz w:val="27"/>
          <w:rtl/>
        </w:rPr>
        <w:t>تقع</w:t>
      </w:r>
      <w:r w:rsidRPr="00904FCB">
        <w:rPr>
          <w:sz w:val="27"/>
          <w:rtl/>
        </w:rPr>
        <w:t xml:space="preserve"> </w:t>
      </w:r>
      <w:r w:rsidRPr="00904FCB">
        <w:rPr>
          <w:rFonts w:hint="cs"/>
          <w:sz w:val="27"/>
          <w:rtl/>
        </w:rPr>
        <w:t>وتترت</w:t>
      </w:r>
      <w:r w:rsidR="00475813" w:rsidRPr="00904FCB">
        <w:rPr>
          <w:rFonts w:hint="cs"/>
          <w:sz w:val="27"/>
          <w:rtl/>
        </w:rPr>
        <w:t>َّ</w:t>
      </w:r>
      <w:r w:rsidRPr="00904FCB">
        <w:rPr>
          <w:rFonts w:hint="cs"/>
          <w:sz w:val="27"/>
          <w:rtl/>
        </w:rPr>
        <w:t>ب</w:t>
      </w:r>
      <w:r w:rsidRPr="00904FCB">
        <w:rPr>
          <w:sz w:val="27"/>
          <w:rtl/>
        </w:rPr>
        <w:t xml:space="preserve"> </w:t>
      </w:r>
      <w:r w:rsidRPr="00904FCB">
        <w:rPr>
          <w:rFonts w:hint="cs"/>
          <w:sz w:val="27"/>
          <w:rtl/>
        </w:rPr>
        <w:t>عليهم</w:t>
      </w:r>
      <w:r w:rsidRPr="00904FCB">
        <w:rPr>
          <w:sz w:val="27"/>
          <w:rtl/>
        </w:rPr>
        <w:t xml:space="preserve"> </w:t>
      </w:r>
      <w:r w:rsidRPr="00904FCB">
        <w:rPr>
          <w:rFonts w:hint="cs"/>
          <w:sz w:val="27"/>
          <w:rtl/>
        </w:rPr>
        <w:t>نتائج</w:t>
      </w:r>
      <w:r w:rsidRPr="00904FCB">
        <w:rPr>
          <w:sz w:val="27"/>
          <w:rtl/>
        </w:rPr>
        <w:t xml:space="preserve"> </w:t>
      </w:r>
      <w:r w:rsidRPr="00904FCB">
        <w:rPr>
          <w:rFonts w:hint="cs"/>
          <w:sz w:val="27"/>
          <w:rtl/>
        </w:rPr>
        <w:t>أعمال</w:t>
      </w:r>
      <w:r w:rsidRPr="00904FCB">
        <w:rPr>
          <w:sz w:val="27"/>
          <w:rtl/>
        </w:rPr>
        <w:t xml:space="preserve"> </w:t>
      </w:r>
      <w:r w:rsidRPr="00904FCB">
        <w:rPr>
          <w:rFonts w:hint="cs"/>
          <w:sz w:val="27"/>
          <w:rtl/>
        </w:rPr>
        <w:t>وممارسات</w:t>
      </w:r>
      <w:r w:rsidRPr="00904FCB">
        <w:rPr>
          <w:sz w:val="27"/>
          <w:rtl/>
        </w:rPr>
        <w:t xml:space="preserve"> </w:t>
      </w:r>
      <w:r w:rsidRPr="00904FCB">
        <w:rPr>
          <w:rFonts w:hint="cs"/>
          <w:sz w:val="27"/>
          <w:rtl/>
        </w:rPr>
        <w:t>حكوماتهم</w:t>
      </w:r>
      <w:r w:rsidR="00475813" w:rsidRPr="00904FCB">
        <w:rPr>
          <w:rFonts w:hint="cs"/>
          <w:sz w:val="27"/>
          <w:rtl/>
        </w:rPr>
        <w:t>،</w:t>
      </w:r>
      <w:r w:rsidRPr="00904FCB">
        <w:rPr>
          <w:sz w:val="27"/>
          <w:rtl/>
        </w:rPr>
        <w:t xml:space="preserve"> </w:t>
      </w:r>
      <w:r w:rsidRPr="00904FCB">
        <w:rPr>
          <w:rFonts w:hint="cs"/>
          <w:sz w:val="27"/>
          <w:rtl/>
        </w:rPr>
        <w:t>باعتبارهم</w:t>
      </w:r>
      <w:r w:rsidRPr="00904FCB">
        <w:rPr>
          <w:sz w:val="27"/>
          <w:rtl/>
        </w:rPr>
        <w:t xml:space="preserve"> </w:t>
      </w:r>
      <w:r w:rsidRPr="00904FCB">
        <w:rPr>
          <w:rFonts w:hint="cs"/>
          <w:sz w:val="27"/>
          <w:rtl/>
        </w:rPr>
        <w:t>موضوع</w:t>
      </w:r>
      <w:r w:rsidRPr="00904FCB">
        <w:rPr>
          <w:sz w:val="27"/>
          <w:rtl/>
        </w:rPr>
        <w:t xml:space="preserve"> </w:t>
      </w:r>
      <w:r w:rsidRPr="00904FCB">
        <w:rPr>
          <w:rFonts w:hint="cs"/>
          <w:sz w:val="27"/>
          <w:rtl/>
        </w:rPr>
        <w:t>الفعل</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السياسي</w:t>
      </w:r>
      <w:r w:rsidR="00475813" w:rsidRPr="00904FCB">
        <w:rPr>
          <w:rFonts w:hint="cs"/>
          <w:sz w:val="27"/>
          <w:rtl/>
        </w:rPr>
        <w:t>.</w:t>
      </w:r>
      <w:r w:rsidRPr="00904FCB">
        <w:rPr>
          <w:sz w:val="27"/>
          <w:rtl/>
        </w:rPr>
        <w:t xml:space="preserve"> </w:t>
      </w:r>
      <w:r w:rsidR="00475813" w:rsidRPr="00904FCB">
        <w:rPr>
          <w:rFonts w:hint="cs"/>
          <w:sz w:val="27"/>
          <w:rtl/>
        </w:rPr>
        <w:t>و</w:t>
      </w:r>
      <w:r w:rsidRPr="00904FCB">
        <w:rPr>
          <w:rFonts w:hint="cs"/>
          <w:sz w:val="27"/>
          <w:rtl/>
        </w:rPr>
        <w:t>خاص</w:t>
      </w:r>
      <w:r w:rsidR="00475813" w:rsidRPr="00904FCB">
        <w:rPr>
          <w:rFonts w:hint="cs"/>
          <w:sz w:val="27"/>
          <w:rtl/>
        </w:rPr>
        <w:t>ّ</w:t>
      </w:r>
      <w:r w:rsidRPr="00904FCB">
        <w:rPr>
          <w:rFonts w:hint="cs"/>
          <w:sz w:val="27"/>
          <w:rtl/>
        </w:rPr>
        <w:t>ة</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عمدت</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النخب</w:t>
      </w:r>
      <w:r w:rsidR="00475813"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شك</w:t>
      </w:r>
      <w:r w:rsidR="00475813" w:rsidRPr="00904FCB">
        <w:rPr>
          <w:rFonts w:hint="cs"/>
          <w:sz w:val="27"/>
          <w:rtl/>
        </w:rPr>
        <w:t>َّ</w:t>
      </w:r>
      <w:r w:rsidRPr="00904FCB">
        <w:rPr>
          <w:rFonts w:hint="cs"/>
          <w:sz w:val="27"/>
          <w:rtl/>
        </w:rPr>
        <w:t>لت</w:t>
      </w:r>
      <w:r w:rsidRPr="00904FCB">
        <w:rPr>
          <w:sz w:val="27"/>
          <w:rtl/>
        </w:rPr>
        <w:t xml:space="preserve"> </w:t>
      </w:r>
      <w:r w:rsidRPr="00904FCB">
        <w:rPr>
          <w:rFonts w:hint="cs"/>
          <w:sz w:val="27"/>
          <w:rtl/>
        </w:rPr>
        <w:t>نظماً</w:t>
      </w:r>
      <w:r w:rsidRPr="00904FCB">
        <w:rPr>
          <w:sz w:val="27"/>
          <w:rtl/>
        </w:rPr>
        <w:t xml:space="preserve"> </w:t>
      </w:r>
      <w:r w:rsidRPr="00904FCB">
        <w:rPr>
          <w:rFonts w:hint="cs"/>
          <w:sz w:val="27"/>
          <w:rtl/>
        </w:rPr>
        <w:t>أمنية</w:t>
      </w:r>
      <w:r w:rsidRPr="00904FCB">
        <w:rPr>
          <w:sz w:val="27"/>
          <w:rtl/>
        </w:rPr>
        <w:t xml:space="preserve"> </w:t>
      </w:r>
      <w:r w:rsidRPr="00904FCB">
        <w:rPr>
          <w:rFonts w:hint="cs"/>
          <w:sz w:val="27"/>
          <w:rtl/>
        </w:rPr>
        <w:t>وعسكرية</w:t>
      </w:r>
      <w:r w:rsidRPr="00904FCB">
        <w:rPr>
          <w:sz w:val="27"/>
          <w:rtl/>
        </w:rPr>
        <w:t xml:space="preserve"> </w:t>
      </w:r>
      <w:r w:rsidRPr="00904FCB">
        <w:rPr>
          <w:rFonts w:hint="cs"/>
          <w:sz w:val="27"/>
          <w:rtl/>
        </w:rPr>
        <w:t>مصمتة</w:t>
      </w:r>
      <w:r w:rsidRPr="00904FCB">
        <w:rPr>
          <w:sz w:val="27"/>
          <w:rtl/>
        </w:rPr>
        <w:t xml:space="preserve"> </w:t>
      </w:r>
      <w:r w:rsidRPr="00904FCB">
        <w:rPr>
          <w:rFonts w:hint="cs"/>
          <w:sz w:val="27"/>
          <w:rtl/>
        </w:rPr>
        <w:t>ومغلقة</w:t>
      </w:r>
      <w:r w:rsidRPr="00904FCB">
        <w:rPr>
          <w:sz w:val="27"/>
          <w:rtl/>
        </w:rPr>
        <w:t xml:space="preserve"> </w:t>
      </w:r>
      <w:r w:rsidRPr="00904FCB">
        <w:rPr>
          <w:rFonts w:hint="cs"/>
          <w:sz w:val="27"/>
          <w:rtl/>
        </w:rPr>
        <w:t>بالكامل</w:t>
      </w:r>
      <w:r w:rsidR="00475813" w:rsidRPr="00904FCB">
        <w:rPr>
          <w:rFonts w:hint="cs"/>
          <w:sz w:val="27"/>
          <w:rtl/>
        </w:rPr>
        <w:t>،</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بناء</w:t>
      </w:r>
      <w:r w:rsidRPr="00904FCB">
        <w:rPr>
          <w:sz w:val="27"/>
          <w:rtl/>
        </w:rPr>
        <w:t xml:space="preserve"> </w:t>
      </w:r>
      <w:r w:rsidRPr="00904FCB">
        <w:rPr>
          <w:rFonts w:hint="cs"/>
          <w:sz w:val="27"/>
          <w:rtl/>
        </w:rPr>
        <w:t>جدران</w:t>
      </w:r>
      <w:r w:rsidRPr="00904FCB">
        <w:rPr>
          <w:sz w:val="27"/>
          <w:rtl/>
        </w:rPr>
        <w:t xml:space="preserve"> </w:t>
      </w:r>
      <w:r w:rsidRPr="00904FCB">
        <w:rPr>
          <w:rFonts w:hint="cs"/>
          <w:sz w:val="27"/>
          <w:rtl/>
        </w:rPr>
        <w:t>عالية</w:t>
      </w:r>
      <w:r w:rsidRPr="00904FCB">
        <w:rPr>
          <w:sz w:val="27"/>
          <w:rtl/>
        </w:rPr>
        <w:t xml:space="preserve"> </w:t>
      </w:r>
      <w:r w:rsidRPr="00904FCB">
        <w:rPr>
          <w:rFonts w:hint="cs"/>
          <w:sz w:val="27"/>
          <w:rtl/>
        </w:rPr>
        <w:t>فاصلة</w:t>
      </w:r>
      <w:r w:rsidRPr="00904FCB">
        <w:rPr>
          <w:sz w:val="27"/>
          <w:rtl/>
        </w:rPr>
        <w:t xml:space="preserve"> </w:t>
      </w:r>
      <w:r w:rsidRPr="00904FCB">
        <w:rPr>
          <w:rFonts w:hint="cs"/>
          <w:sz w:val="27"/>
          <w:rtl/>
        </w:rPr>
        <w:t>بينها</w:t>
      </w:r>
      <w:r w:rsidRPr="00904FCB">
        <w:rPr>
          <w:sz w:val="27"/>
          <w:rtl/>
        </w:rPr>
        <w:t xml:space="preserve"> </w:t>
      </w:r>
      <w:r w:rsidRPr="00904FCB">
        <w:rPr>
          <w:rFonts w:hint="cs"/>
          <w:sz w:val="27"/>
          <w:rtl/>
        </w:rPr>
        <w:t>وبين</w:t>
      </w:r>
      <w:r w:rsidRPr="00904FCB">
        <w:rPr>
          <w:sz w:val="27"/>
          <w:rtl/>
        </w:rPr>
        <w:t xml:space="preserve"> </w:t>
      </w:r>
      <w:r w:rsidRPr="00904FCB">
        <w:rPr>
          <w:rFonts w:hint="cs"/>
          <w:sz w:val="27"/>
          <w:rtl/>
        </w:rPr>
        <w:t>مجتمعاتها</w:t>
      </w:r>
      <w:r w:rsidR="00475813" w:rsidRPr="00904FCB">
        <w:rPr>
          <w:rFonts w:hint="cs"/>
          <w:sz w:val="27"/>
          <w:rtl/>
        </w:rPr>
        <w:t>،</w:t>
      </w:r>
      <w:r w:rsidRPr="00904FCB">
        <w:rPr>
          <w:sz w:val="27"/>
          <w:rtl/>
        </w:rPr>
        <w:t xml:space="preserve"> </w:t>
      </w:r>
      <w:r w:rsidRPr="00904FCB">
        <w:rPr>
          <w:rFonts w:hint="cs"/>
          <w:sz w:val="27"/>
          <w:rtl/>
        </w:rPr>
        <w:t>جعلتها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ترى</w:t>
      </w:r>
      <w:r w:rsidRPr="00904FCB">
        <w:rPr>
          <w:sz w:val="27"/>
          <w:rtl/>
        </w:rPr>
        <w:t xml:space="preserve"> </w:t>
      </w:r>
      <w:r w:rsidRPr="00904FCB">
        <w:rPr>
          <w:rFonts w:hint="cs"/>
          <w:sz w:val="27"/>
          <w:rtl/>
        </w:rPr>
        <w:t>حقائق</w:t>
      </w:r>
      <w:r w:rsidRPr="00904FCB">
        <w:rPr>
          <w:sz w:val="27"/>
          <w:rtl/>
        </w:rPr>
        <w:t xml:space="preserve"> </w:t>
      </w:r>
      <w:r w:rsidRPr="00904FCB">
        <w:rPr>
          <w:rFonts w:hint="cs"/>
          <w:sz w:val="27"/>
          <w:rtl/>
        </w:rPr>
        <w:t>الأرض</w:t>
      </w:r>
      <w:r w:rsidR="00475813" w:rsidRPr="00904FCB">
        <w:rPr>
          <w:rFonts w:hint="cs"/>
          <w:sz w:val="27"/>
          <w:rtl/>
        </w:rPr>
        <w:t>،</w:t>
      </w:r>
      <w:r w:rsidRPr="00904FCB">
        <w:rPr>
          <w:sz w:val="27"/>
          <w:rtl/>
        </w:rPr>
        <w:t xml:space="preserve"> </w:t>
      </w:r>
      <w:r w:rsidRPr="00904FCB">
        <w:rPr>
          <w:rFonts w:hint="cs"/>
          <w:sz w:val="27"/>
          <w:rtl/>
        </w:rPr>
        <w:t>وتعقيدات</w:t>
      </w:r>
      <w:r w:rsidRPr="00904FCB">
        <w:rPr>
          <w:sz w:val="27"/>
          <w:rtl/>
        </w:rPr>
        <w:t xml:space="preserve"> </w:t>
      </w:r>
      <w:r w:rsidRPr="00904FCB">
        <w:rPr>
          <w:rFonts w:hint="cs"/>
          <w:sz w:val="27"/>
          <w:rtl/>
        </w:rPr>
        <w:t>ومشاكل</w:t>
      </w:r>
      <w:r w:rsidRPr="00904FCB">
        <w:rPr>
          <w:sz w:val="27"/>
          <w:rtl/>
        </w:rPr>
        <w:t xml:space="preserve"> </w:t>
      </w:r>
      <w:r w:rsidRPr="00904FCB">
        <w:rPr>
          <w:rFonts w:hint="cs"/>
          <w:sz w:val="27"/>
          <w:rtl/>
        </w:rPr>
        <w:t>الحياة</w:t>
      </w:r>
      <w:r w:rsidRPr="00904FCB">
        <w:rPr>
          <w:sz w:val="27"/>
          <w:rtl/>
        </w:rPr>
        <w:t xml:space="preserve"> </w:t>
      </w:r>
      <w:r w:rsidRPr="00904FCB">
        <w:rPr>
          <w:rFonts w:hint="cs"/>
          <w:sz w:val="27"/>
          <w:rtl/>
        </w:rPr>
        <w:t>لشعوبها</w:t>
      </w:r>
      <w:r w:rsidRPr="00904FCB">
        <w:rPr>
          <w:sz w:val="27"/>
          <w:rtl/>
        </w:rPr>
        <w:t xml:space="preserve"> </w:t>
      </w:r>
      <w:r w:rsidRPr="00904FCB">
        <w:rPr>
          <w:rFonts w:hint="cs"/>
          <w:sz w:val="27"/>
          <w:rtl/>
        </w:rPr>
        <w:t>وجماهيرها، أو</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تراها</w:t>
      </w:r>
      <w:r w:rsidRPr="00904FCB">
        <w:rPr>
          <w:sz w:val="27"/>
          <w:rtl/>
        </w:rPr>
        <w:t xml:space="preserve"> </w:t>
      </w:r>
      <w:r w:rsidRPr="00904FCB">
        <w:rPr>
          <w:rFonts w:hint="cs"/>
          <w:sz w:val="27"/>
          <w:rtl/>
        </w:rPr>
        <w:t>فقط</w:t>
      </w:r>
      <w:r w:rsidRPr="00904FCB">
        <w:rPr>
          <w:sz w:val="27"/>
          <w:rtl/>
        </w:rPr>
        <w:t xml:space="preserve"> </w:t>
      </w:r>
      <w:r w:rsidRPr="00904FCB">
        <w:rPr>
          <w:rFonts w:hint="cs"/>
          <w:sz w:val="27"/>
          <w:rtl/>
        </w:rPr>
        <w:lastRenderedPageBreak/>
        <w:t>من</w:t>
      </w:r>
      <w:r w:rsidRPr="00904FCB">
        <w:rPr>
          <w:sz w:val="27"/>
          <w:rtl/>
        </w:rPr>
        <w:t xml:space="preserve"> </w:t>
      </w:r>
      <w:r w:rsidRPr="00904FCB">
        <w:rPr>
          <w:rFonts w:hint="cs"/>
          <w:sz w:val="27"/>
          <w:rtl/>
        </w:rPr>
        <w:t>منظورها</w:t>
      </w:r>
      <w:r w:rsidRPr="00904FCB">
        <w:rPr>
          <w:sz w:val="27"/>
          <w:rtl/>
        </w:rPr>
        <w:t xml:space="preserve"> </w:t>
      </w:r>
      <w:r w:rsidRPr="00904FCB">
        <w:rPr>
          <w:rFonts w:hint="cs"/>
          <w:sz w:val="27"/>
          <w:rtl/>
        </w:rPr>
        <w:t>الأمني</w:t>
      </w:r>
      <w:r w:rsidRPr="00904FCB">
        <w:rPr>
          <w:sz w:val="27"/>
          <w:rtl/>
        </w:rPr>
        <w:t xml:space="preserve"> </w:t>
      </w:r>
      <w:r w:rsidRPr="00904FCB">
        <w:rPr>
          <w:rFonts w:hint="cs"/>
          <w:sz w:val="27"/>
          <w:rtl/>
        </w:rPr>
        <w:t>فقط، ومن</w:t>
      </w:r>
      <w:r w:rsidRPr="00904FCB">
        <w:rPr>
          <w:sz w:val="27"/>
          <w:rtl/>
        </w:rPr>
        <w:t xml:space="preserve"> </w:t>
      </w:r>
      <w:r w:rsidRPr="00904FCB">
        <w:rPr>
          <w:rFonts w:hint="cs"/>
          <w:sz w:val="27"/>
          <w:rtl/>
        </w:rPr>
        <w:t>زاوية</w:t>
      </w:r>
      <w:r w:rsidRPr="00904FCB">
        <w:rPr>
          <w:sz w:val="27"/>
          <w:rtl/>
        </w:rPr>
        <w:t xml:space="preserve"> </w:t>
      </w:r>
      <w:r w:rsidRPr="00904FCB">
        <w:rPr>
          <w:rFonts w:hint="cs"/>
          <w:sz w:val="27"/>
          <w:rtl/>
        </w:rPr>
        <w:t>م</w:t>
      </w:r>
      <w:r w:rsidR="00475813" w:rsidRPr="00904FCB">
        <w:rPr>
          <w:rFonts w:hint="cs"/>
          <w:sz w:val="27"/>
          <w:rtl/>
        </w:rPr>
        <w:t>َ</w:t>
      </w:r>
      <w:r w:rsidRPr="00904FCB">
        <w:rPr>
          <w:rFonts w:hint="cs"/>
          <w:sz w:val="27"/>
          <w:rtl/>
        </w:rPr>
        <w:t>ن</w:t>
      </w:r>
      <w:r w:rsidR="00475813" w:rsidRPr="00904FCB">
        <w:rPr>
          <w:rFonts w:hint="cs"/>
          <w:sz w:val="27"/>
          <w:rtl/>
        </w:rPr>
        <w:t>ْ</w:t>
      </w:r>
      <w:r w:rsidRPr="00904FCB">
        <w:rPr>
          <w:sz w:val="27"/>
          <w:rtl/>
        </w:rPr>
        <w:t xml:space="preserve"> </w:t>
      </w:r>
      <w:r w:rsidRPr="00904FCB">
        <w:rPr>
          <w:rFonts w:hint="cs"/>
          <w:sz w:val="27"/>
          <w:rtl/>
        </w:rPr>
        <w:t>معي؟ وم</w:t>
      </w:r>
      <w:r w:rsidR="00475813" w:rsidRPr="00904FCB">
        <w:rPr>
          <w:rFonts w:hint="cs"/>
          <w:sz w:val="27"/>
          <w:rtl/>
        </w:rPr>
        <w:t>َ</w:t>
      </w:r>
      <w:r w:rsidRPr="00904FCB">
        <w:rPr>
          <w:rFonts w:hint="cs"/>
          <w:sz w:val="27"/>
          <w:rtl/>
        </w:rPr>
        <w:t>ن</w:t>
      </w:r>
      <w:r w:rsidR="00475813" w:rsidRPr="00904FCB">
        <w:rPr>
          <w:rFonts w:hint="cs"/>
          <w:sz w:val="27"/>
          <w:rtl/>
        </w:rPr>
        <w:t>ْ</w:t>
      </w:r>
      <w:r w:rsidRPr="00904FCB">
        <w:rPr>
          <w:sz w:val="27"/>
          <w:rtl/>
        </w:rPr>
        <w:t xml:space="preserve"> </w:t>
      </w:r>
      <w:r w:rsidRPr="00904FCB">
        <w:rPr>
          <w:rFonts w:hint="cs"/>
          <w:sz w:val="27"/>
          <w:rtl/>
        </w:rPr>
        <w:t>ضدي؟</w:t>
      </w:r>
      <w:r w:rsidR="00475813" w:rsidRPr="00904FCB">
        <w:rPr>
          <w:rFonts w:hint="cs"/>
          <w:sz w:val="27"/>
          <w:rtl/>
        </w:rPr>
        <w:t>،</w:t>
      </w:r>
      <w:r w:rsidRPr="00904FCB">
        <w:rPr>
          <w:sz w:val="27"/>
          <w:rtl/>
        </w:rPr>
        <w:t xml:space="preserve"> </w:t>
      </w:r>
      <w:r w:rsidRPr="00904FCB">
        <w:rPr>
          <w:rFonts w:hint="cs"/>
          <w:sz w:val="27"/>
          <w:rtl/>
        </w:rPr>
        <w:t>بحيث</w:t>
      </w:r>
      <w:r w:rsidRPr="00904FCB">
        <w:rPr>
          <w:sz w:val="27"/>
          <w:rtl/>
        </w:rPr>
        <w:t xml:space="preserve"> </w:t>
      </w:r>
      <w:r w:rsidRPr="00904FCB">
        <w:rPr>
          <w:rFonts w:hint="cs"/>
          <w:sz w:val="27"/>
          <w:rtl/>
        </w:rPr>
        <w:t>هناك</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قطيعة</w:t>
      </w:r>
      <w:r w:rsidRPr="00904FCB">
        <w:rPr>
          <w:sz w:val="27"/>
          <w:rtl/>
        </w:rPr>
        <w:t xml:space="preserve"> </w:t>
      </w:r>
      <w:r w:rsidRPr="00904FCB">
        <w:rPr>
          <w:rFonts w:hint="cs"/>
          <w:sz w:val="27"/>
          <w:rtl/>
        </w:rPr>
        <w:t>شبه</w:t>
      </w:r>
      <w:r w:rsidRPr="00904FCB">
        <w:rPr>
          <w:sz w:val="27"/>
          <w:rtl/>
        </w:rPr>
        <w:t xml:space="preserve"> </w:t>
      </w:r>
      <w:r w:rsidRPr="00904FCB">
        <w:rPr>
          <w:rFonts w:hint="cs"/>
          <w:sz w:val="27"/>
          <w:rtl/>
        </w:rPr>
        <w:t>كاملة</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والمجتمع، الأمر</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حو</w:t>
      </w:r>
      <w:r w:rsidR="00475813" w:rsidRPr="00904FCB">
        <w:rPr>
          <w:rFonts w:hint="cs"/>
          <w:sz w:val="27"/>
          <w:rtl/>
        </w:rPr>
        <w:t>ّ</w:t>
      </w:r>
      <w:r w:rsidRPr="00904FCB">
        <w:rPr>
          <w:rFonts w:hint="cs"/>
          <w:sz w:val="27"/>
          <w:rtl/>
        </w:rPr>
        <w:t>ل</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العربية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دولة</w:t>
      </w:r>
      <w:r w:rsidRPr="00904FCB">
        <w:rPr>
          <w:sz w:val="27"/>
          <w:rtl/>
        </w:rPr>
        <w:t xml:space="preserve"> </w:t>
      </w:r>
      <w:r w:rsidRPr="00904FCB">
        <w:rPr>
          <w:rFonts w:hint="cs"/>
          <w:sz w:val="27"/>
          <w:rtl/>
        </w:rPr>
        <w:t>خاص</w:t>
      </w:r>
      <w:r w:rsidR="00475813" w:rsidRPr="00904FCB">
        <w:rPr>
          <w:rFonts w:hint="cs"/>
          <w:sz w:val="27"/>
          <w:rtl/>
        </w:rPr>
        <w:t>ّ</w:t>
      </w:r>
      <w:r w:rsidRPr="00904FCB">
        <w:rPr>
          <w:rFonts w:hint="cs"/>
          <w:sz w:val="27"/>
          <w:rtl/>
        </w:rPr>
        <w:t>ة</w:t>
      </w:r>
      <w:r w:rsidRPr="00904FCB">
        <w:rPr>
          <w:sz w:val="27"/>
          <w:rtl/>
        </w:rPr>
        <w:t xml:space="preserve"> </w:t>
      </w:r>
      <w:r w:rsidRPr="00904FCB">
        <w:rPr>
          <w:rFonts w:hint="cs"/>
          <w:sz w:val="27"/>
          <w:rtl/>
        </w:rPr>
        <w:t>بالنخبة</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الحاكمة</w:t>
      </w:r>
      <w:r w:rsidRPr="00904FCB">
        <w:rPr>
          <w:sz w:val="27"/>
          <w:rtl/>
        </w:rPr>
        <w:t xml:space="preserve">. </w:t>
      </w:r>
      <w:r w:rsidRPr="00904FCB">
        <w:rPr>
          <w:rFonts w:hint="cs"/>
          <w:sz w:val="27"/>
          <w:rtl/>
        </w:rPr>
        <w:t>ولم</w:t>
      </w:r>
      <w:r w:rsidRPr="00904FCB">
        <w:rPr>
          <w:sz w:val="27"/>
          <w:rtl/>
        </w:rPr>
        <w:t xml:space="preserve"> </w:t>
      </w:r>
      <w:r w:rsidRPr="00904FCB">
        <w:rPr>
          <w:rFonts w:hint="cs"/>
          <w:sz w:val="27"/>
          <w:rtl/>
        </w:rPr>
        <w:t>تتمك</w:t>
      </w:r>
      <w:r w:rsidR="00475813" w:rsidRPr="00904FCB">
        <w:rPr>
          <w:rFonts w:hint="cs"/>
          <w:sz w:val="27"/>
          <w:rtl/>
        </w:rPr>
        <w:t>َّ</w:t>
      </w:r>
      <w:r w:rsidRPr="00904FCB">
        <w:rPr>
          <w:rFonts w:hint="cs"/>
          <w:sz w:val="27"/>
          <w:rtl/>
        </w:rPr>
        <w:t>ن</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التحو</w:t>
      </w:r>
      <w:r w:rsidR="00475813" w:rsidRPr="00904FCB">
        <w:rPr>
          <w:rFonts w:hint="cs"/>
          <w:sz w:val="27"/>
          <w:rtl/>
        </w:rPr>
        <w:t>ُّ</w:t>
      </w:r>
      <w:r w:rsidRPr="00904FCB">
        <w:rPr>
          <w:rFonts w:hint="cs"/>
          <w:sz w:val="27"/>
          <w:rtl/>
        </w:rPr>
        <w:t>ل</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دولة</w:t>
      </w:r>
      <w:r w:rsidRPr="00904FCB">
        <w:rPr>
          <w:sz w:val="27"/>
          <w:rtl/>
        </w:rPr>
        <w:t xml:space="preserve"> </w:t>
      </w:r>
      <w:r w:rsidRPr="00904FCB">
        <w:rPr>
          <w:rFonts w:hint="cs"/>
          <w:sz w:val="27"/>
          <w:rtl/>
        </w:rPr>
        <w:t>مواطنيها</w:t>
      </w:r>
      <w:r w:rsidRPr="00904FCB">
        <w:rPr>
          <w:sz w:val="27"/>
          <w:rtl/>
        </w:rPr>
        <w:t xml:space="preserve"> </w:t>
      </w:r>
      <w:r w:rsidRPr="00904FCB">
        <w:rPr>
          <w:rFonts w:hint="cs"/>
          <w:sz w:val="27"/>
          <w:rtl/>
        </w:rPr>
        <w:t>الأحرار</w:t>
      </w:r>
      <w:r w:rsidRPr="00904FCB">
        <w:rPr>
          <w:sz w:val="27"/>
          <w:rtl/>
        </w:rPr>
        <w:t xml:space="preserve"> </w:t>
      </w:r>
      <w:r w:rsidRPr="00904FCB">
        <w:rPr>
          <w:rFonts w:hint="cs"/>
          <w:sz w:val="27"/>
          <w:rtl/>
        </w:rPr>
        <w:t>الشرفاء</w:t>
      </w:r>
      <w:r w:rsidRPr="00904FCB">
        <w:rPr>
          <w:sz w:val="27"/>
          <w:rtl/>
        </w:rPr>
        <w:t xml:space="preserve"> </w:t>
      </w:r>
      <w:r w:rsidRPr="00904FCB">
        <w:rPr>
          <w:rFonts w:hint="cs"/>
          <w:sz w:val="27"/>
          <w:rtl/>
        </w:rPr>
        <w:t>أصحاب</w:t>
      </w:r>
      <w:r w:rsidRPr="00904FCB">
        <w:rPr>
          <w:sz w:val="27"/>
          <w:rtl/>
        </w:rPr>
        <w:t xml:space="preserve"> </w:t>
      </w:r>
      <w:r w:rsidRPr="00904FCB">
        <w:rPr>
          <w:rFonts w:hint="cs"/>
          <w:sz w:val="27"/>
          <w:rtl/>
        </w:rPr>
        <w:t>الكرامة</w:t>
      </w:r>
      <w:r w:rsidRPr="00904FCB">
        <w:rPr>
          <w:sz w:val="27"/>
          <w:rtl/>
        </w:rPr>
        <w:t xml:space="preserve"> </w:t>
      </w:r>
      <w:r w:rsidRPr="00904FCB">
        <w:rPr>
          <w:rFonts w:hint="cs"/>
          <w:sz w:val="27"/>
          <w:rtl/>
        </w:rPr>
        <w:t>والعز</w:t>
      </w:r>
      <w:r w:rsidR="00475813" w:rsidRPr="00904FCB">
        <w:rPr>
          <w:rFonts w:hint="cs"/>
          <w:sz w:val="27"/>
          <w:rtl/>
        </w:rPr>
        <w:t>ّ</w:t>
      </w:r>
      <w:r w:rsidRPr="00904FCB">
        <w:rPr>
          <w:rFonts w:hint="cs"/>
          <w:sz w:val="27"/>
          <w:rtl/>
        </w:rPr>
        <w:t>ة</w:t>
      </w:r>
      <w:r w:rsidR="00475813" w:rsidRPr="00904FCB">
        <w:rPr>
          <w:rFonts w:hint="cs"/>
          <w:sz w:val="27"/>
          <w:rtl/>
        </w:rPr>
        <w:t>،</w:t>
      </w:r>
      <w:r w:rsidRPr="00904FCB">
        <w:rPr>
          <w:sz w:val="27"/>
          <w:rtl/>
        </w:rPr>
        <w:t xml:space="preserve"> </w:t>
      </w:r>
      <w:r w:rsidRPr="00904FCB">
        <w:rPr>
          <w:rFonts w:hint="cs"/>
          <w:sz w:val="27"/>
          <w:rtl/>
        </w:rPr>
        <w:t>أي</w:t>
      </w:r>
      <w:r w:rsidRPr="00904FCB">
        <w:rPr>
          <w:sz w:val="27"/>
          <w:rtl/>
        </w:rPr>
        <w:t xml:space="preserve"> </w:t>
      </w:r>
      <w:r w:rsidR="00475813" w:rsidRPr="00904FCB">
        <w:rPr>
          <w:rFonts w:hint="cs"/>
          <w:sz w:val="27"/>
          <w:rtl/>
        </w:rPr>
        <w:t>إ</w:t>
      </w:r>
      <w:r w:rsidRPr="00904FCB">
        <w:rPr>
          <w:rFonts w:hint="cs"/>
          <w:sz w:val="27"/>
          <w:rtl/>
        </w:rPr>
        <w:t>نها</w:t>
      </w:r>
      <w:r w:rsidRPr="00904FCB">
        <w:rPr>
          <w:sz w:val="27"/>
          <w:rtl/>
        </w:rPr>
        <w:t xml:space="preserve"> </w:t>
      </w:r>
      <w:r w:rsidRPr="00904FCB">
        <w:rPr>
          <w:rFonts w:hint="cs"/>
          <w:sz w:val="27"/>
          <w:rtl/>
        </w:rPr>
        <w:t>دولة</w:t>
      </w:r>
      <w:r w:rsidRPr="00904FCB">
        <w:rPr>
          <w:sz w:val="27"/>
          <w:rtl/>
        </w:rPr>
        <w:t xml:space="preserve"> </w:t>
      </w:r>
      <w:r w:rsidRPr="00904FCB">
        <w:rPr>
          <w:rFonts w:hint="cs"/>
          <w:sz w:val="27"/>
          <w:rtl/>
        </w:rPr>
        <w:t>منفصلة</w:t>
      </w:r>
      <w:r w:rsidRPr="00904FCB">
        <w:rPr>
          <w:sz w:val="27"/>
          <w:rtl/>
        </w:rPr>
        <w:t xml:space="preserve"> </w:t>
      </w:r>
      <w:r w:rsidRPr="00904FCB">
        <w:rPr>
          <w:rFonts w:hint="cs"/>
          <w:sz w:val="27"/>
          <w:rtl/>
        </w:rPr>
        <w:t>كل</w:t>
      </w:r>
      <w:r w:rsidR="00475813" w:rsidRPr="00904FCB">
        <w:rPr>
          <w:rFonts w:hint="cs"/>
          <w:sz w:val="27"/>
          <w:rtl/>
        </w:rPr>
        <w:t>ّ</w:t>
      </w:r>
      <w:r w:rsidRPr="00904FCB">
        <w:rPr>
          <w:rFonts w:hint="cs"/>
          <w:sz w:val="27"/>
          <w:rtl/>
        </w:rPr>
        <w:t>ياً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المجتمع</w:t>
      </w:r>
      <w:r w:rsidRPr="00904FCB">
        <w:rPr>
          <w:sz w:val="27"/>
          <w:rtl/>
        </w:rPr>
        <w:t xml:space="preserve"> </w:t>
      </w:r>
      <w:r w:rsidRPr="00904FCB">
        <w:rPr>
          <w:rFonts w:hint="cs"/>
          <w:sz w:val="27"/>
          <w:rtl/>
        </w:rPr>
        <w:t>المهم</w:t>
      </w:r>
      <w:r w:rsidR="00475813" w:rsidRPr="00904FCB">
        <w:rPr>
          <w:rFonts w:hint="cs"/>
          <w:sz w:val="27"/>
          <w:rtl/>
        </w:rPr>
        <w:t>َّ</w:t>
      </w:r>
      <w:r w:rsidRPr="00904FCB">
        <w:rPr>
          <w:rFonts w:hint="cs"/>
          <w:sz w:val="27"/>
          <w:rtl/>
        </w:rPr>
        <w:t>ش</w:t>
      </w:r>
      <w:r w:rsidRPr="00904FCB">
        <w:rPr>
          <w:sz w:val="27"/>
          <w:rtl/>
        </w:rPr>
        <w:t xml:space="preserve"> </w:t>
      </w:r>
      <w:r w:rsidRPr="00904FCB">
        <w:rPr>
          <w:rFonts w:hint="cs"/>
          <w:sz w:val="27"/>
          <w:rtl/>
        </w:rPr>
        <w:t>والمدم</w:t>
      </w:r>
      <w:r w:rsidR="00475813" w:rsidRPr="00904FCB">
        <w:rPr>
          <w:rFonts w:hint="cs"/>
          <w:sz w:val="27"/>
          <w:rtl/>
        </w:rPr>
        <w:t>َّ</w:t>
      </w:r>
      <w:r w:rsidRPr="00904FCB">
        <w:rPr>
          <w:rFonts w:hint="cs"/>
          <w:sz w:val="27"/>
          <w:rtl/>
        </w:rPr>
        <w:t>ر، والأمة</w:t>
      </w:r>
      <w:r w:rsidRPr="00904FCB">
        <w:rPr>
          <w:sz w:val="27"/>
          <w:rtl/>
        </w:rPr>
        <w:t xml:space="preserve"> </w:t>
      </w:r>
      <w:r w:rsidRPr="00904FCB">
        <w:rPr>
          <w:rFonts w:hint="cs"/>
          <w:sz w:val="27"/>
          <w:rtl/>
        </w:rPr>
        <w:t>المقصي</w:t>
      </w:r>
      <w:r w:rsidR="00475813" w:rsidRPr="00904FCB">
        <w:rPr>
          <w:rFonts w:hint="cs"/>
          <w:sz w:val="27"/>
          <w:rtl/>
        </w:rPr>
        <w:t>ّ</w:t>
      </w:r>
      <w:r w:rsidRPr="00904FCB">
        <w:rPr>
          <w:rFonts w:hint="cs"/>
          <w:sz w:val="27"/>
          <w:rtl/>
        </w:rPr>
        <w:t>ة</w:t>
      </w:r>
      <w:r w:rsidRPr="00904FCB">
        <w:rPr>
          <w:sz w:val="27"/>
          <w:rtl/>
        </w:rPr>
        <w:t xml:space="preserve"> </w:t>
      </w:r>
      <w:r w:rsidRPr="00904FCB">
        <w:rPr>
          <w:rFonts w:hint="cs"/>
          <w:sz w:val="27"/>
          <w:rtl/>
        </w:rPr>
        <w:t>والمستبعدة</w:t>
      </w:r>
      <w:r w:rsidRPr="00904FCB">
        <w:rPr>
          <w:sz w:val="27"/>
          <w:rtl/>
        </w:rPr>
        <w:t xml:space="preserve"> </w:t>
      </w:r>
      <w:r w:rsidRPr="00904FCB">
        <w:rPr>
          <w:rFonts w:hint="cs"/>
          <w:sz w:val="27"/>
          <w:rtl/>
        </w:rPr>
        <w:t>كل</w:t>
      </w:r>
      <w:r w:rsidR="00475813" w:rsidRPr="00904FCB">
        <w:rPr>
          <w:rFonts w:hint="cs"/>
          <w:sz w:val="27"/>
          <w:rtl/>
        </w:rPr>
        <w:t>ّ</w:t>
      </w:r>
      <w:r w:rsidRPr="00904FCB">
        <w:rPr>
          <w:rFonts w:hint="cs"/>
          <w:sz w:val="27"/>
          <w:rtl/>
        </w:rPr>
        <w:t>ياً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ساحة</w:t>
      </w:r>
      <w:r w:rsidRPr="00904FCB">
        <w:rPr>
          <w:sz w:val="27"/>
          <w:rtl/>
        </w:rPr>
        <w:t xml:space="preserve"> </w:t>
      </w:r>
      <w:r w:rsidRPr="00904FCB">
        <w:rPr>
          <w:rFonts w:hint="cs"/>
          <w:sz w:val="27"/>
          <w:rtl/>
        </w:rPr>
        <w:t>الفعل</w:t>
      </w:r>
      <w:r w:rsidRPr="00904FCB">
        <w:rPr>
          <w:sz w:val="27"/>
          <w:rtl/>
        </w:rPr>
        <w:t xml:space="preserve"> </w:t>
      </w:r>
      <w:r w:rsidRPr="00904FCB">
        <w:rPr>
          <w:rFonts w:hint="cs"/>
          <w:sz w:val="27"/>
          <w:rtl/>
        </w:rPr>
        <w:t>والإبداع</w:t>
      </w:r>
      <w:r w:rsidRPr="00904FCB">
        <w:rPr>
          <w:sz w:val="27"/>
          <w:rtl/>
        </w:rPr>
        <w:t xml:space="preserve"> </w:t>
      </w:r>
      <w:r w:rsidRPr="00904FCB">
        <w:rPr>
          <w:rFonts w:hint="cs"/>
          <w:sz w:val="27"/>
          <w:rtl/>
        </w:rPr>
        <w:t>الحضاري، أي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تقرير</w:t>
      </w:r>
      <w:r w:rsidRPr="00904FCB">
        <w:rPr>
          <w:sz w:val="27"/>
          <w:rtl/>
        </w:rPr>
        <w:t xml:space="preserve"> </w:t>
      </w:r>
      <w:r w:rsidRPr="00904FCB">
        <w:rPr>
          <w:rFonts w:hint="cs"/>
          <w:sz w:val="27"/>
          <w:rtl/>
        </w:rPr>
        <w:t>مصيرها</w:t>
      </w:r>
      <w:r w:rsidRPr="00904FCB">
        <w:rPr>
          <w:sz w:val="27"/>
          <w:rtl/>
        </w:rPr>
        <w:t xml:space="preserve"> </w:t>
      </w:r>
      <w:r w:rsidRPr="00904FCB">
        <w:rPr>
          <w:rFonts w:hint="cs"/>
          <w:sz w:val="27"/>
          <w:rtl/>
        </w:rPr>
        <w:t>بيدها</w:t>
      </w:r>
      <w:r w:rsidRPr="00904FCB">
        <w:rPr>
          <w:sz w:val="27"/>
          <w:rtl/>
        </w:rPr>
        <w:t>.</w:t>
      </w:r>
    </w:p>
    <w:p w:rsidR="00057E24" w:rsidRPr="00904FCB" w:rsidRDefault="00057E24" w:rsidP="007A21AA">
      <w:pPr>
        <w:spacing w:line="400" w:lineRule="exact"/>
        <w:rPr>
          <w:sz w:val="27"/>
        </w:rPr>
      </w:pPr>
      <w:r w:rsidRPr="00904FCB">
        <w:rPr>
          <w:rFonts w:hint="cs"/>
          <w:sz w:val="27"/>
          <w:rtl/>
        </w:rPr>
        <w:t>ـ عجز</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العربية</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إقامة</w:t>
      </w:r>
      <w:r w:rsidRPr="00904FCB">
        <w:rPr>
          <w:sz w:val="27"/>
          <w:rtl/>
        </w:rPr>
        <w:t xml:space="preserve"> </w:t>
      </w:r>
      <w:r w:rsidRPr="00904FCB">
        <w:rPr>
          <w:rFonts w:hint="cs"/>
          <w:sz w:val="27"/>
          <w:rtl/>
        </w:rPr>
        <w:t>علاقات</w:t>
      </w:r>
      <w:r w:rsidRPr="00904FCB">
        <w:rPr>
          <w:sz w:val="27"/>
          <w:rtl/>
        </w:rPr>
        <w:t xml:space="preserve"> </w:t>
      </w:r>
      <w:r w:rsidRPr="00904FCB">
        <w:rPr>
          <w:rFonts w:hint="cs"/>
          <w:sz w:val="27"/>
          <w:rtl/>
        </w:rPr>
        <w:t>قانونية</w:t>
      </w:r>
      <w:r w:rsidRPr="00904FCB">
        <w:rPr>
          <w:sz w:val="27"/>
          <w:rtl/>
        </w:rPr>
        <w:t xml:space="preserve"> </w:t>
      </w:r>
      <w:r w:rsidRPr="00904FCB">
        <w:rPr>
          <w:rFonts w:hint="cs"/>
          <w:sz w:val="27"/>
          <w:rtl/>
        </w:rPr>
        <w:t>متوازنة</w:t>
      </w:r>
      <w:r w:rsidRPr="00904FCB">
        <w:rPr>
          <w:sz w:val="27"/>
          <w:rtl/>
        </w:rPr>
        <w:t xml:space="preserve"> </w:t>
      </w:r>
      <w:r w:rsidRPr="00904FCB">
        <w:rPr>
          <w:rFonts w:hint="cs"/>
          <w:sz w:val="27"/>
          <w:rtl/>
        </w:rPr>
        <w:t>بالنسبة</w:t>
      </w:r>
      <w:r w:rsidRPr="00904FCB">
        <w:rPr>
          <w:sz w:val="27"/>
          <w:rtl/>
        </w:rPr>
        <w:t xml:space="preserve"> </w:t>
      </w:r>
      <w:r w:rsidR="00830B28" w:rsidRPr="00904FCB">
        <w:rPr>
          <w:rFonts w:hint="cs"/>
          <w:sz w:val="27"/>
          <w:rtl/>
        </w:rPr>
        <w:t>إلى ا</w:t>
      </w:r>
      <w:r w:rsidRPr="00904FCB">
        <w:rPr>
          <w:rFonts w:hint="cs"/>
          <w:sz w:val="27"/>
          <w:rtl/>
        </w:rPr>
        <w:t>لشعب</w:t>
      </w:r>
      <w:r w:rsidRPr="00904FCB">
        <w:rPr>
          <w:sz w:val="27"/>
          <w:rtl/>
        </w:rPr>
        <w:t xml:space="preserve"> </w:t>
      </w:r>
      <w:r w:rsidRPr="00904FCB">
        <w:rPr>
          <w:rFonts w:hint="cs"/>
          <w:sz w:val="27"/>
          <w:rtl/>
        </w:rPr>
        <w:t>المدني</w:t>
      </w:r>
      <w:r w:rsidRPr="00904FCB">
        <w:rPr>
          <w:sz w:val="27"/>
          <w:rtl/>
        </w:rPr>
        <w:t xml:space="preserve"> </w:t>
      </w:r>
      <w:r w:rsidRPr="00904FCB">
        <w:rPr>
          <w:rFonts w:hint="cs"/>
          <w:sz w:val="27"/>
          <w:rtl/>
        </w:rPr>
        <w:t>المهمش</w:t>
      </w:r>
      <w:r w:rsidRPr="00904FCB">
        <w:rPr>
          <w:sz w:val="27"/>
          <w:rtl/>
        </w:rPr>
        <w:t xml:space="preserve"> </w:t>
      </w:r>
      <w:r w:rsidRPr="00904FCB">
        <w:rPr>
          <w:rFonts w:hint="cs"/>
          <w:sz w:val="27"/>
          <w:rtl/>
        </w:rPr>
        <w:t>والموجود</w:t>
      </w:r>
      <w:r w:rsidRPr="00904FCB">
        <w:rPr>
          <w:sz w:val="27"/>
          <w:rtl/>
        </w:rPr>
        <w:t xml:space="preserve"> </w:t>
      </w:r>
      <w:r w:rsidRPr="00904FCB">
        <w:rPr>
          <w:rFonts w:hint="cs"/>
          <w:sz w:val="27"/>
          <w:rtl/>
        </w:rPr>
        <w:t>خارج</w:t>
      </w:r>
      <w:r w:rsidRPr="00904FCB">
        <w:rPr>
          <w:sz w:val="27"/>
          <w:rtl/>
        </w:rPr>
        <w:t xml:space="preserve"> </w:t>
      </w:r>
      <w:r w:rsidRPr="00904FCB">
        <w:rPr>
          <w:rFonts w:hint="cs"/>
          <w:sz w:val="27"/>
          <w:rtl/>
        </w:rPr>
        <w:t>دائرة</w:t>
      </w:r>
      <w:r w:rsidRPr="00904FCB">
        <w:rPr>
          <w:sz w:val="27"/>
          <w:rtl/>
        </w:rPr>
        <w:t xml:space="preserve"> </w:t>
      </w:r>
      <w:r w:rsidRPr="00904FCB">
        <w:rPr>
          <w:rFonts w:hint="cs"/>
          <w:sz w:val="27"/>
          <w:rtl/>
        </w:rPr>
        <w:t>السلطة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الحكم، باعتبارها</w:t>
      </w:r>
      <w:r w:rsidRPr="00904FCB">
        <w:rPr>
          <w:sz w:val="27"/>
          <w:rtl/>
        </w:rPr>
        <w:t xml:space="preserve"> </w:t>
      </w:r>
      <w:r w:rsidRPr="00904FCB">
        <w:rPr>
          <w:rFonts w:hint="cs"/>
          <w:sz w:val="27"/>
          <w:rtl/>
        </w:rPr>
        <w:t>دولة</w:t>
      </w:r>
      <w:r w:rsidRPr="00904FCB">
        <w:rPr>
          <w:sz w:val="27"/>
          <w:rtl/>
        </w:rPr>
        <w:t xml:space="preserve"> </w:t>
      </w:r>
      <w:r w:rsidRPr="00904FCB">
        <w:rPr>
          <w:rFonts w:hint="cs"/>
          <w:sz w:val="27"/>
          <w:rtl/>
        </w:rPr>
        <w:t>قهري</w:t>
      </w:r>
      <w:r w:rsidR="00830B28" w:rsidRPr="00904FCB">
        <w:rPr>
          <w:rFonts w:hint="cs"/>
          <w:sz w:val="27"/>
          <w:rtl/>
        </w:rPr>
        <w:t>ّ</w:t>
      </w:r>
      <w:r w:rsidRPr="00904FCB">
        <w:rPr>
          <w:rFonts w:hint="cs"/>
          <w:sz w:val="27"/>
          <w:rtl/>
        </w:rPr>
        <w:t>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قانونية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كل</w:t>
      </w:r>
      <w:r w:rsidR="00830B28" w:rsidRPr="00904FCB">
        <w:rPr>
          <w:rFonts w:hint="cs"/>
          <w:sz w:val="27"/>
          <w:rtl/>
        </w:rPr>
        <w:t>ّ</w:t>
      </w:r>
      <w:r w:rsidRPr="00904FCB">
        <w:rPr>
          <w:sz w:val="27"/>
          <w:rtl/>
        </w:rPr>
        <w:t xml:space="preserve"> </w:t>
      </w:r>
      <w:r w:rsidRPr="00904FCB">
        <w:rPr>
          <w:rFonts w:hint="cs"/>
          <w:sz w:val="27"/>
          <w:rtl/>
        </w:rPr>
        <w:t>مواقعها</w:t>
      </w:r>
      <w:r w:rsidR="00830B28" w:rsidRPr="00904FCB">
        <w:rPr>
          <w:rFonts w:hint="cs"/>
          <w:sz w:val="27"/>
          <w:rtl/>
        </w:rPr>
        <w:t>،</w:t>
      </w:r>
      <w:r w:rsidRPr="00904FCB">
        <w:rPr>
          <w:sz w:val="27"/>
          <w:rtl/>
        </w:rPr>
        <w:t xml:space="preserve"> </w:t>
      </w:r>
      <w:r w:rsidRPr="00904FCB">
        <w:rPr>
          <w:rFonts w:hint="cs"/>
          <w:sz w:val="27"/>
          <w:rtl/>
        </w:rPr>
        <w:t>حيال</w:t>
      </w:r>
      <w:r w:rsidRPr="00904FCB">
        <w:rPr>
          <w:sz w:val="27"/>
          <w:rtl/>
        </w:rPr>
        <w:t xml:space="preserve"> </w:t>
      </w:r>
      <w:r w:rsidRPr="00904FCB">
        <w:rPr>
          <w:rFonts w:hint="cs"/>
          <w:sz w:val="27"/>
          <w:rtl/>
        </w:rPr>
        <w:t>أكثرية</w:t>
      </w:r>
      <w:r w:rsidRPr="00904FCB">
        <w:rPr>
          <w:sz w:val="27"/>
          <w:rtl/>
        </w:rPr>
        <w:t xml:space="preserve"> </w:t>
      </w:r>
      <w:r w:rsidRPr="00904FCB">
        <w:rPr>
          <w:rFonts w:hint="cs"/>
          <w:sz w:val="27"/>
          <w:rtl/>
        </w:rPr>
        <w:t>مواطنيها</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وقد</w:t>
      </w:r>
      <w:r w:rsidRPr="00904FCB">
        <w:rPr>
          <w:sz w:val="27"/>
          <w:rtl/>
        </w:rPr>
        <w:t xml:space="preserve"> </w:t>
      </w:r>
      <w:r w:rsidRPr="00904FCB">
        <w:rPr>
          <w:rFonts w:hint="cs"/>
          <w:sz w:val="27"/>
          <w:rtl/>
        </w:rPr>
        <w:t>قاد</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النزوع</w:t>
      </w:r>
      <w:r w:rsidRPr="00904FCB">
        <w:rPr>
          <w:sz w:val="27"/>
          <w:rtl/>
        </w:rPr>
        <w:t xml:space="preserve"> </w:t>
      </w:r>
      <w:r w:rsidRPr="00904FCB">
        <w:rPr>
          <w:rFonts w:hint="cs"/>
          <w:sz w:val="27"/>
          <w:rtl/>
        </w:rPr>
        <w:t>السلطوي</w:t>
      </w:r>
      <w:r w:rsidRPr="00904FCB">
        <w:rPr>
          <w:sz w:val="27"/>
          <w:rtl/>
        </w:rPr>
        <w:t xml:space="preserve"> </w:t>
      </w:r>
      <w:r w:rsidRPr="00904FCB">
        <w:rPr>
          <w:rFonts w:hint="cs"/>
          <w:sz w:val="27"/>
          <w:rtl/>
        </w:rPr>
        <w:t>المجنون</w:t>
      </w:r>
      <w:r w:rsidRPr="00904FCB">
        <w:rPr>
          <w:sz w:val="27"/>
          <w:rtl/>
        </w:rPr>
        <w:t xml:space="preserve"> </w:t>
      </w:r>
      <w:r w:rsidRPr="00904FCB">
        <w:rPr>
          <w:rFonts w:hint="cs"/>
          <w:sz w:val="27"/>
          <w:rtl/>
        </w:rPr>
        <w:t>للنخبة</w:t>
      </w:r>
      <w:r w:rsidRPr="00904FCB">
        <w:rPr>
          <w:sz w:val="27"/>
          <w:rtl/>
        </w:rPr>
        <w:t xml:space="preserve"> </w:t>
      </w:r>
      <w:r w:rsidRPr="00904FCB">
        <w:rPr>
          <w:rFonts w:hint="cs"/>
          <w:sz w:val="27"/>
          <w:rtl/>
        </w:rPr>
        <w:t>الحاكمة</w:t>
      </w:r>
      <w:r w:rsidRPr="00904FCB">
        <w:rPr>
          <w:sz w:val="27"/>
          <w:rtl/>
        </w:rPr>
        <w:t xml:space="preserve"> ـ </w:t>
      </w:r>
      <w:r w:rsidRPr="00904FCB">
        <w:rPr>
          <w:rFonts w:hint="cs"/>
          <w:sz w:val="27"/>
          <w:rtl/>
        </w:rPr>
        <w:t>في</w:t>
      </w:r>
      <w:r w:rsidRPr="00904FCB">
        <w:rPr>
          <w:sz w:val="27"/>
          <w:rtl/>
        </w:rPr>
        <w:t xml:space="preserve"> </w:t>
      </w:r>
      <w:r w:rsidRPr="00904FCB">
        <w:rPr>
          <w:rFonts w:hint="cs"/>
          <w:sz w:val="27"/>
          <w:rtl/>
        </w:rPr>
        <w:t>استمراري</w:t>
      </w:r>
      <w:r w:rsidR="00830B28" w:rsidRPr="00904FCB">
        <w:rPr>
          <w:rFonts w:hint="cs"/>
          <w:sz w:val="27"/>
          <w:rtl/>
        </w:rPr>
        <w:t>ّ</w:t>
      </w:r>
      <w:r w:rsidRPr="00904FCB">
        <w:rPr>
          <w:rFonts w:hint="cs"/>
          <w:sz w:val="27"/>
          <w:rtl/>
        </w:rPr>
        <w:t>تها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رأس</w:t>
      </w:r>
      <w:r w:rsidRPr="00904FCB">
        <w:rPr>
          <w:sz w:val="27"/>
          <w:rtl/>
        </w:rPr>
        <w:t xml:space="preserve"> </w:t>
      </w:r>
      <w:r w:rsidRPr="00904FCB">
        <w:rPr>
          <w:rFonts w:hint="cs"/>
          <w:sz w:val="27"/>
          <w:rtl/>
        </w:rPr>
        <w:t>الحكم</w:t>
      </w:r>
      <w:r w:rsidR="00830B28" w:rsidRPr="00904FCB">
        <w:rPr>
          <w:rFonts w:hint="cs"/>
          <w:sz w:val="27"/>
          <w:rtl/>
        </w:rPr>
        <w:t>،</w:t>
      </w:r>
      <w:r w:rsidRPr="00904FCB">
        <w:rPr>
          <w:sz w:val="27"/>
          <w:rtl/>
        </w:rPr>
        <w:t xml:space="preserve"> </w:t>
      </w:r>
      <w:r w:rsidRPr="00904FCB">
        <w:rPr>
          <w:rFonts w:hint="cs"/>
          <w:sz w:val="27"/>
          <w:rtl/>
        </w:rPr>
        <w:t>وتحك</w:t>
      </w:r>
      <w:r w:rsidR="00830B28" w:rsidRPr="00904FCB">
        <w:rPr>
          <w:rFonts w:hint="cs"/>
          <w:sz w:val="27"/>
          <w:rtl/>
        </w:rPr>
        <w:t>ّ</w:t>
      </w:r>
      <w:r w:rsidRPr="00904FCB">
        <w:rPr>
          <w:rFonts w:hint="cs"/>
          <w:sz w:val="27"/>
          <w:rtl/>
        </w:rPr>
        <w:t>مها</w:t>
      </w:r>
      <w:r w:rsidRPr="00904FCB">
        <w:rPr>
          <w:sz w:val="27"/>
          <w:rtl/>
        </w:rPr>
        <w:t xml:space="preserve"> </w:t>
      </w:r>
      <w:r w:rsidRPr="00904FCB">
        <w:rPr>
          <w:rFonts w:hint="cs"/>
          <w:sz w:val="27"/>
          <w:rtl/>
        </w:rPr>
        <w:t>بمفاصل</w:t>
      </w:r>
      <w:r w:rsidRPr="00904FCB">
        <w:rPr>
          <w:sz w:val="27"/>
          <w:rtl/>
        </w:rPr>
        <w:t xml:space="preserve"> </w:t>
      </w:r>
      <w:r w:rsidRPr="00904FCB">
        <w:rPr>
          <w:rFonts w:hint="cs"/>
          <w:sz w:val="27"/>
          <w:rtl/>
        </w:rPr>
        <w:t>القرار</w:t>
      </w:r>
      <w:r w:rsidRPr="00904FCB">
        <w:rPr>
          <w:sz w:val="27"/>
          <w:rtl/>
        </w:rPr>
        <w:t xml:space="preserve"> ـ </w:t>
      </w:r>
      <w:r w:rsidRPr="00904FCB">
        <w:rPr>
          <w:rFonts w:hint="cs"/>
          <w:sz w:val="27"/>
          <w:rtl/>
        </w:rPr>
        <w:t>إلى</w:t>
      </w:r>
      <w:r w:rsidRPr="00904FCB">
        <w:rPr>
          <w:sz w:val="27"/>
          <w:rtl/>
        </w:rPr>
        <w:t xml:space="preserve"> </w:t>
      </w:r>
      <w:r w:rsidRPr="00904FCB">
        <w:rPr>
          <w:rFonts w:hint="cs"/>
          <w:sz w:val="27"/>
          <w:rtl/>
        </w:rPr>
        <w:t>تزايد</w:t>
      </w:r>
      <w:r w:rsidRPr="00904FCB">
        <w:rPr>
          <w:sz w:val="27"/>
          <w:rtl/>
        </w:rPr>
        <w:t xml:space="preserve"> </w:t>
      </w:r>
      <w:r w:rsidRPr="00904FCB">
        <w:rPr>
          <w:rFonts w:hint="cs"/>
          <w:sz w:val="27"/>
          <w:rtl/>
        </w:rPr>
        <w:t>الرغبة</w:t>
      </w:r>
      <w:r w:rsidRPr="00904FCB">
        <w:rPr>
          <w:sz w:val="27"/>
          <w:rtl/>
        </w:rPr>
        <w:t xml:space="preserve"> </w:t>
      </w:r>
      <w:r w:rsidRPr="00904FCB">
        <w:rPr>
          <w:rFonts w:hint="cs"/>
          <w:sz w:val="27"/>
          <w:rtl/>
        </w:rPr>
        <w:t>الشعبية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تدمير</w:t>
      </w:r>
      <w:r w:rsidRPr="00904FCB">
        <w:rPr>
          <w:sz w:val="27"/>
          <w:rtl/>
        </w:rPr>
        <w:t xml:space="preserve"> </w:t>
      </w:r>
      <w:r w:rsidRPr="00904FCB">
        <w:rPr>
          <w:rFonts w:hint="cs"/>
          <w:sz w:val="27"/>
          <w:rtl/>
        </w:rPr>
        <w:t>النظم</w:t>
      </w:r>
      <w:r w:rsidRPr="00904FCB">
        <w:rPr>
          <w:sz w:val="27"/>
          <w:rtl/>
        </w:rPr>
        <w:t xml:space="preserve"> </w:t>
      </w:r>
      <w:r w:rsidRPr="00904FCB">
        <w:rPr>
          <w:rFonts w:hint="cs"/>
          <w:sz w:val="27"/>
          <w:rtl/>
        </w:rPr>
        <w:t>القائمة</w:t>
      </w:r>
      <w:r w:rsidRPr="00904FCB">
        <w:rPr>
          <w:sz w:val="27"/>
          <w:rtl/>
        </w:rPr>
        <w:t xml:space="preserve"> </w:t>
      </w:r>
      <w:r w:rsidRPr="00904FCB">
        <w:rPr>
          <w:rFonts w:hint="cs"/>
          <w:sz w:val="27"/>
          <w:rtl/>
        </w:rPr>
        <w:t>المتشك</w:t>
      </w:r>
      <w:r w:rsidR="00830B28" w:rsidRPr="00904FCB">
        <w:rPr>
          <w:rFonts w:hint="cs"/>
          <w:sz w:val="27"/>
          <w:rtl/>
        </w:rPr>
        <w:t>ِّ</w:t>
      </w:r>
      <w:r w:rsidRPr="00904FCB">
        <w:rPr>
          <w:rFonts w:hint="cs"/>
          <w:sz w:val="27"/>
          <w:rtl/>
        </w:rPr>
        <w:t>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النحو</w:t>
      </w:r>
      <w:r w:rsidRPr="00904FCB">
        <w:rPr>
          <w:sz w:val="27"/>
          <w:rtl/>
        </w:rPr>
        <w:t xml:space="preserve"> </w:t>
      </w:r>
      <w:r w:rsidRPr="00904FCB">
        <w:rPr>
          <w:rFonts w:hint="cs"/>
          <w:sz w:val="27"/>
          <w:rtl/>
        </w:rPr>
        <w:t xml:space="preserve">الفوقي، </w:t>
      </w:r>
      <w:r w:rsidR="00830B28" w:rsidRPr="00904FCB">
        <w:rPr>
          <w:rFonts w:hint="cs"/>
          <w:sz w:val="27"/>
          <w:rtl/>
        </w:rPr>
        <w:t>و</w:t>
      </w:r>
      <w:r w:rsidRPr="00904FCB">
        <w:rPr>
          <w:rFonts w:hint="cs"/>
          <w:sz w:val="27"/>
          <w:rtl/>
        </w:rPr>
        <w:t>خاصة</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تلاشي</w:t>
      </w:r>
      <w:r w:rsidRPr="00904FCB">
        <w:rPr>
          <w:sz w:val="27"/>
          <w:rtl/>
        </w:rPr>
        <w:t xml:space="preserve"> </w:t>
      </w:r>
      <w:r w:rsidRPr="00904FCB">
        <w:rPr>
          <w:rFonts w:hint="cs"/>
          <w:sz w:val="27"/>
          <w:rtl/>
        </w:rPr>
        <w:t>أي</w:t>
      </w:r>
      <w:r w:rsidR="00830B28" w:rsidRPr="00904FCB">
        <w:rPr>
          <w:rFonts w:hint="cs"/>
          <w:sz w:val="27"/>
          <w:rtl/>
        </w:rPr>
        <w:t>ّ</w:t>
      </w:r>
      <w:r w:rsidRPr="00904FCB">
        <w:rPr>
          <w:sz w:val="27"/>
          <w:rtl/>
        </w:rPr>
        <w:t xml:space="preserve"> </w:t>
      </w:r>
      <w:r w:rsidRPr="00904FCB">
        <w:rPr>
          <w:rFonts w:hint="cs"/>
          <w:sz w:val="27"/>
          <w:rtl/>
        </w:rPr>
        <w:t>أمل</w:t>
      </w:r>
      <w:r w:rsidR="00830B28"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ولو</w:t>
      </w:r>
      <w:r w:rsidRPr="00904FCB">
        <w:rPr>
          <w:sz w:val="27"/>
          <w:rtl/>
        </w:rPr>
        <w:t xml:space="preserve"> </w:t>
      </w:r>
      <w:r w:rsidRPr="00904FCB">
        <w:rPr>
          <w:rFonts w:hint="cs"/>
          <w:sz w:val="27"/>
          <w:rtl/>
        </w:rPr>
        <w:t>نافذة</w:t>
      </w:r>
      <w:r w:rsidRPr="00904FCB">
        <w:rPr>
          <w:sz w:val="27"/>
          <w:rtl/>
        </w:rPr>
        <w:t xml:space="preserve"> </w:t>
      </w:r>
      <w:r w:rsidRPr="00904FCB">
        <w:rPr>
          <w:rFonts w:hint="cs"/>
          <w:sz w:val="27"/>
          <w:rtl/>
        </w:rPr>
        <w:t>بسيطة</w:t>
      </w:r>
      <w:r w:rsidRPr="00904FCB">
        <w:rPr>
          <w:sz w:val="27"/>
          <w:rtl/>
        </w:rPr>
        <w:t xml:space="preserve"> </w:t>
      </w:r>
      <w:r w:rsidRPr="00904FCB">
        <w:rPr>
          <w:rFonts w:hint="cs"/>
          <w:sz w:val="27"/>
          <w:rtl/>
        </w:rPr>
        <w:t>لإصلاحها، أو</w:t>
      </w:r>
      <w:r w:rsidRPr="00904FCB">
        <w:rPr>
          <w:sz w:val="27"/>
          <w:rtl/>
        </w:rPr>
        <w:t xml:space="preserve"> </w:t>
      </w:r>
      <w:r w:rsidRPr="00904FCB">
        <w:rPr>
          <w:rFonts w:hint="cs"/>
          <w:sz w:val="27"/>
          <w:rtl/>
        </w:rPr>
        <w:t>العمل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إيجاد</w:t>
      </w:r>
      <w:r w:rsidRPr="00904FCB">
        <w:rPr>
          <w:sz w:val="27"/>
          <w:rtl/>
        </w:rPr>
        <w:t xml:space="preserve"> </w:t>
      </w:r>
      <w:r w:rsidRPr="00904FCB">
        <w:rPr>
          <w:rFonts w:hint="cs"/>
          <w:sz w:val="27"/>
          <w:rtl/>
        </w:rPr>
        <w:t>حلول</w:t>
      </w:r>
      <w:r w:rsidR="00830B28" w:rsidRPr="00904FCB">
        <w:rPr>
          <w:rFonts w:hint="cs"/>
          <w:sz w:val="27"/>
          <w:rtl/>
        </w:rPr>
        <w:t>ٍ</w:t>
      </w:r>
      <w:r w:rsidRPr="00904FCB">
        <w:rPr>
          <w:sz w:val="27"/>
          <w:rtl/>
        </w:rPr>
        <w:t xml:space="preserve"> </w:t>
      </w:r>
      <w:r w:rsidRPr="00904FCB">
        <w:rPr>
          <w:rFonts w:hint="cs"/>
          <w:sz w:val="27"/>
          <w:rtl/>
        </w:rPr>
        <w:t>ناجعة</w:t>
      </w:r>
      <w:r w:rsidRPr="00904FCB">
        <w:rPr>
          <w:sz w:val="27"/>
          <w:rtl/>
        </w:rPr>
        <w:t xml:space="preserve"> (</w:t>
      </w:r>
      <w:r w:rsidRPr="00904FCB">
        <w:rPr>
          <w:rFonts w:hint="cs"/>
          <w:sz w:val="27"/>
          <w:rtl/>
        </w:rPr>
        <w:t>لأزماتها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داخلها</w:t>
      </w:r>
      <w:r w:rsidRPr="00904FCB">
        <w:rPr>
          <w:sz w:val="27"/>
          <w:rtl/>
        </w:rPr>
        <w:t xml:space="preserve">. </w:t>
      </w:r>
      <w:r w:rsidRPr="00904FCB">
        <w:rPr>
          <w:rFonts w:hint="cs"/>
          <w:sz w:val="27"/>
          <w:rtl/>
        </w:rPr>
        <w:t>كل</w:t>
      </w:r>
      <w:r w:rsidR="00830B28" w:rsidRPr="00904FCB">
        <w:rPr>
          <w:rFonts w:hint="cs"/>
          <w:sz w:val="27"/>
          <w:rtl/>
        </w:rPr>
        <w:t>ّ</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نتيجة</w:t>
      </w:r>
      <w:r w:rsidRPr="00904FCB">
        <w:rPr>
          <w:sz w:val="27"/>
          <w:rtl/>
        </w:rPr>
        <w:t xml:space="preserve"> </w:t>
      </w:r>
      <w:r w:rsidRPr="00904FCB">
        <w:rPr>
          <w:rFonts w:hint="cs"/>
          <w:sz w:val="27"/>
          <w:rtl/>
        </w:rPr>
        <w:t>تفاقم</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الاستبعاد</w:t>
      </w:r>
      <w:r w:rsidRPr="00904FCB">
        <w:rPr>
          <w:sz w:val="27"/>
          <w:rtl/>
        </w:rPr>
        <w:t xml:space="preserve"> </w:t>
      </w:r>
      <w:r w:rsidRPr="00904FCB">
        <w:rPr>
          <w:rFonts w:hint="cs"/>
          <w:sz w:val="27"/>
          <w:rtl/>
        </w:rPr>
        <w:t>والتهميش</w:t>
      </w:r>
      <w:r w:rsidRPr="00904FCB">
        <w:rPr>
          <w:sz w:val="27"/>
          <w:rtl/>
        </w:rPr>
        <w:t xml:space="preserve"> </w:t>
      </w:r>
      <w:r w:rsidRPr="00904FCB">
        <w:rPr>
          <w:rFonts w:hint="cs"/>
          <w:sz w:val="27"/>
          <w:rtl/>
        </w:rPr>
        <w:t>المنظ</w:t>
      </w:r>
      <w:r w:rsidR="00830B28" w:rsidRPr="00904FCB">
        <w:rPr>
          <w:rFonts w:hint="cs"/>
          <w:sz w:val="27"/>
          <w:rtl/>
        </w:rPr>
        <w:t>َّ</w:t>
      </w:r>
      <w:r w:rsidRPr="00904FCB">
        <w:rPr>
          <w:rFonts w:hint="cs"/>
          <w:sz w:val="27"/>
          <w:rtl/>
        </w:rPr>
        <w:t>م</w:t>
      </w:r>
      <w:r w:rsidRPr="00904FCB">
        <w:rPr>
          <w:sz w:val="27"/>
          <w:rtl/>
        </w:rPr>
        <w:t xml:space="preserve"> </w:t>
      </w:r>
      <w:r w:rsidRPr="00904FCB">
        <w:rPr>
          <w:rFonts w:hint="cs"/>
          <w:sz w:val="27"/>
          <w:rtl/>
        </w:rPr>
        <w:t>لمختلف</w:t>
      </w:r>
      <w:r w:rsidRPr="00904FCB">
        <w:rPr>
          <w:sz w:val="27"/>
          <w:rtl/>
        </w:rPr>
        <w:t xml:space="preserve"> </w:t>
      </w:r>
      <w:r w:rsidRPr="00904FCB">
        <w:rPr>
          <w:rFonts w:hint="cs"/>
          <w:sz w:val="27"/>
          <w:rtl/>
        </w:rPr>
        <w:t>قطاعات</w:t>
      </w:r>
      <w:r w:rsidRPr="00904FCB">
        <w:rPr>
          <w:sz w:val="27"/>
          <w:rtl/>
        </w:rPr>
        <w:t xml:space="preserve"> </w:t>
      </w:r>
      <w:r w:rsidRPr="00904FCB">
        <w:rPr>
          <w:rFonts w:hint="cs"/>
          <w:sz w:val="27"/>
          <w:rtl/>
        </w:rPr>
        <w:t>الشعب، وانعدام</w:t>
      </w:r>
      <w:r w:rsidRPr="00904FCB">
        <w:rPr>
          <w:sz w:val="27"/>
          <w:rtl/>
        </w:rPr>
        <w:t xml:space="preserve"> </w:t>
      </w:r>
      <w:r w:rsidRPr="00904FCB">
        <w:rPr>
          <w:rFonts w:hint="cs"/>
          <w:sz w:val="27"/>
          <w:rtl/>
        </w:rPr>
        <w:t>الوزن</w:t>
      </w:r>
      <w:r w:rsidRPr="00904FCB">
        <w:rPr>
          <w:sz w:val="27"/>
          <w:rtl/>
        </w:rPr>
        <w:t xml:space="preserve"> </w:t>
      </w:r>
      <w:r w:rsidRPr="00904FCB">
        <w:rPr>
          <w:rFonts w:hint="cs"/>
          <w:sz w:val="27"/>
          <w:rtl/>
        </w:rPr>
        <w:t>للعديد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الفئات</w:t>
      </w:r>
      <w:r w:rsidRPr="00904FCB">
        <w:rPr>
          <w:sz w:val="27"/>
          <w:rtl/>
        </w:rPr>
        <w:t xml:space="preserve"> </w:t>
      </w:r>
      <w:r w:rsidRPr="00904FCB">
        <w:rPr>
          <w:rFonts w:hint="cs"/>
          <w:sz w:val="27"/>
          <w:rtl/>
        </w:rPr>
        <w:t>والشرائح</w:t>
      </w:r>
      <w:r w:rsidRPr="00904FCB">
        <w:rPr>
          <w:sz w:val="27"/>
          <w:rtl/>
        </w:rPr>
        <w:t xml:space="preserve"> </w:t>
      </w:r>
      <w:r w:rsidRPr="00904FCB">
        <w:rPr>
          <w:rFonts w:hint="cs"/>
          <w:sz w:val="27"/>
          <w:rtl/>
        </w:rPr>
        <w:t>الاجتماعية</w:t>
      </w:r>
      <w:r w:rsidRPr="00904FCB">
        <w:rPr>
          <w:sz w:val="27"/>
          <w:rtl/>
        </w:rPr>
        <w:t xml:space="preserve"> </w:t>
      </w:r>
      <w:r w:rsidRPr="00904FCB">
        <w:rPr>
          <w:rFonts w:hint="cs"/>
          <w:sz w:val="27"/>
          <w:rtl/>
        </w:rPr>
        <w:t>الشعبية</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الشعبية</w:t>
      </w:r>
      <w:r w:rsidRPr="00904FCB">
        <w:rPr>
          <w:sz w:val="27"/>
          <w:rtl/>
        </w:rPr>
        <w:t xml:space="preserve">. </w:t>
      </w:r>
    </w:p>
    <w:p w:rsidR="00057E24" w:rsidRPr="00904FCB" w:rsidRDefault="00057E24" w:rsidP="00A8172D">
      <w:pPr>
        <w:spacing w:line="400" w:lineRule="exact"/>
        <w:rPr>
          <w:sz w:val="27"/>
        </w:rPr>
      </w:pPr>
      <w:r w:rsidRPr="00904FCB">
        <w:rPr>
          <w:rFonts w:hint="cs"/>
          <w:sz w:val="27"/>
          <w:rtl/>
        </w:rPr>
        <w:t>ـ فشل</w:t>
      </w:r>
      <w:r w:rsidRPr="00904FCB">
        <w:rPr>
          <w:sz w:val="27"/>
          <w:rtl/>
        </w:rPr>
        <w:t xml:space="preserve"> </w:t>
      </w:r>
      <w:r w:rsidRPr="00904FCB">
        <w:rPr>
          <w:rFonts w:hint="cs"/>
          <w:sz w:val="27"/>
          <w:rtl/>
        </w:rPr>
        <w:t>التكوين</w:t>
      </w:r>
      <w:r w:rsidRPr="00904FCB">
        <w:rPr>
          <w:sz w:val="27"/>
          <w:rtl/>
        </w:rPr>
        <w:t xml:space="preserve"> </w:t>
      </w:r>
      <w:r w:rsidRPr="00904FCB">
        <w:rPr>
          <w:rFonts w:hint="cs"/>
          <w:sz w:val="27"/>
          <w:rtl/>
        </w:rPr>
        <w:t>الوطني</w:t>
      </w:r>
      <w:r w:rsidRPr="00904FCB">
        <w:rPr>
          <w:sz w:val="27"/>
          <w:rtl/>
        </w:rPr>
        <w:t xml:space="preserve"> </w:t>
      </w:r>
      <w:r w:rsidRPr="00904FCB">
        <w:rPr>
          <w:rFonts w:hint="cs"/>
          <w:sz w:val="27"/>
          <w:rtl/>
        </w:rPr>
        <w:t>الديمقراطي</w:t>
      </w:r>
      <w:r w:rsidRPr="00904FCB">
        <w:rPr>
          <w:sz w:val="27"/>
          <w:rtl/>
        </w:rPr>
        <w:t xml:space="preserve"> </w:t>
      </w:r>
      <w:r w:rsidRPr="00904FCB">
        <w:rPr>
          <w:rFonts w:hint="cs"/>
          <w:sz w:val="27"/>
          <w:rtl/>
        </w:rPr>
        <w:t>للدولة</w:t>
      </w:r>
      <w:r w:rsidRPr="00904FCB">
        <w:rPr>
          <w:sz w:val="27"/>
          <w:rtl/>
        </w:rPr>
        <w:t xml:space="preserve"> </w:t>
      </w:r>
      <w:r w:rsidRPr="00904FCB">
        <w:rPr>
          <w:rFonts w:hint="cs"/>
          <w:sz w:val="27"/>
          <w:rtl/>
        </w:rPr>
        <w:t>العربية</w:t>
      </w:r>
      <w:r w:rsidRPr="00904FCB">
        <w:rPr>
          <w:sz w:val="27"/>
          <w:rtl/>
        </w:rPr>
        <w:t xml:space="preserve"> </w:t>
      </w:r>
      <w:r w:rsidRPr="00904FCB">
        <w:rPr>
          <w:rFonts w:hint="cs"/>
          <w:sz w:val="27"/>
          <w:rtl/>
        </w:rPr>
        <w:t>الحديثة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شكلها</w:t>
      </w:r>
      <w:r w:rsidRPr="00904FCB">
        <w:rPr>
          <w:sz w:val="27"/>
          <w:rtl/>
        </w:rPr>
        <w:t xml:space="preserve"> </w:t>
      </w:r>
      <w:r w:rsidRPr="00904FCB">
        <w:rPr>
          <w:rFonts w:hint="cs"/>
          <w:sz w:val="27"/>
          <w:rtl/>
        </w:rPr>
        <w:t>ولبوسها</w:t>
      </w:r>
      <w:r w:rsidRPr="00904FCB">
        <w:rPr>
          <w:sz w:val="27"/>
          <w:rtl/>
        </w:rPr>
        <w:t xml:space="preserve"> </w:t>
      </w:r>
      <w:r w:rsidRPr="00904FCB">
        <w:rPr>
          <w:rFonts w:hint="cs"/>
          <w:sz w:val="27"/>
          <w:rtl/>
        </w:rPr>
        <w:t>السياسي</w:t>
      </w:r>
      <w:r w:rsidRPr="00904FCB">
        <w:rPr>
          <w:sz w:val="27"/>
          <w:rtl/>
        </w:rPr>
        <w:t xml:space="preserve"> ـ </w:t>
      </w:r>
      <w:r w:rsidRPr="00904FCB">
        <w:rPr>
          <w:rFonts w:hint="cs"/>
          <w:sz w:val="27"/>
          <w:rtl/>
        </w:rPr>
        <w:t>الاجتماعي</w:t>
      </w:r>
      <w:r w:rsidRPr="00904FCB">
        <w:rPr>
          <w:sz w:val="27"/>
          <w:rtl/>
        </w:rPr>
        <w:t xml:space="preserve"> </w:t>
      </w:r>
      <w:r w:rsidRPr="00904FCB">
        <w:rPr>
          <w:rFonts w:hint="cs"/>
          <w:sz w:val="27"/>
          <w:rtl/>
        </w:rPr>
        <w:t>والاقتصادي</w:t>
      </w:r>
      <w:r w:rsidRPr="00904FCB">
        <w:rPr>
          <w:sz w:val="27"/>
          <w:rtl/>
        </w:rPr>
        <w:t xml:space="preserve"> </w:t>
      </w:r>
      <w:r w:rsidRPr="00904FCB">
        <w:rPr>
          <w:rFonts w:hint="cs"/>
          <w:sz w:val="27"/>
          <w:rtl/>
        </w:rPr>
        <w:t>حت</w:t>
      </w:r>
      <w:r w:rsidR="00830B28" w:rsidRPr="00904FCB">
        <w:rPr>
          <w:rFonts w:hint="cs"/>
          <w:sz w:val="27"/>
          <w:rtl/>
        </w:rPr>
        <w:t>ّ</w:t>
      </w:r>
      <w:r w:rsidRPr="00904FCB">
        <w:rPr>
          <w:rFonts w:hint="cs"/>
          <w:sz w:val="27"/>
          <w:rtl/>
        </w:rPr>
        <w:t>ى</w:t>
      </w:r>
      <w:r w:rsidRPr="00904FCB">
        <w:rPr>
          <w:sz w:val="27"/>
          <w:rtl/>
        </w:rPr>
        <w:t xml:space="preserve"> </w:t>
      </w:r>
      <w:r w:rsidRPr="00904FCB">
        <w:rPr>
          <w:rFonts w:hint="cs"/>
          <w:sz w:val="27"/>
          <w:rtl/>
        </w:rPr>
        <w:t>الآن</w:t>
      </w:r>
      <w:r w:rsidR="00830B28" w:rsidRPr="00904FCB">
        <w:rPr>
          <w:rFonts w:hint="cs"/>
          <w:sz w:val="27"/>
          <w:rtl/>
        </w:rPr>
        <w:t>؛</w:t>
      </w:r>
      <w:r w:rsidRPr="00904FCB">
        <w:rPr>
          <w:sz w:val="27"/>
          <w:rtl/>
        </w:rPr>
        <w:t xml:space="preserve"> </w:t>
      </w:r>
      <w:r w:rsidRPr="00904FCB">
        <w:rPr>
          <w:rFonts w:hint="cs"/>
          <w:sz w:val="27"/>
          <w:rtl/>
        </w:rPr>
        <w:t>حيث</w:t>
      </w:r>
      <w:r w:rsidRPr="00904FCB">
        <w:rPr>
          <w:sz w:val="27"/>
          <w:rtl/>
        </w:rPr>
        <w:t xml:space="preserve"> </w:t>
      </w:r>
      <w:r w:rsidR="00830B28" w:rsidRPr="00904FCB">
        <w:rPr>
          <w:rFonts w:hint="cs"/>
          <w:sz w:val="27"/>
          <w:rtl/>
        </w:rPr>
        <w:t>إ</w:t>
      </w:r>
      <w:r w:rsidRPr="00904FCB">
        <w:rPr>
          <w:rFonts w:hint="cs"/>
          <w:sz w:val="27"/>
          <w:rtl/>
        </w:rPr>
        <w:t>ن</w:t>
      </w:r>
      <w:r w:rsidRPr="00904FCB">
        <w:rPr>
          <w:sz w:val="27"/>
          <w:rtl/>
        </w:rPr>
        <w:t xml:space="preserve"> </w:t>
      </w:r>
      <w:r w:rsidRPr="00904FCB">
        <w:rPr>
          <w:rFonts w:hint="cs"/>
          <w:sz w:val="27"/>
          <w:rtl/>
        </w:rPr>
        <w:t>نموذج</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المدنية</w:t>
      </w:r>
      <w:r w:rsidRPr="00904FCB">
        <w:rPr>
          <w:sz w:val="27"/>
          <w:rtl/>
        </w:rPr>
        <w:t xml:space="preserve"> </w:t>
      </w:r>
      <w:r w:rsidRPr="00904FCB">
        <w:rPr>
          <w:rFonts w:hint="cs"/>
          <w:sz w:val="27"/>
          <w:rtl/>
        </w:rPr>
        <w:t>الديمقراطية</w:t>
      </w:r>
      <w:r w:rsidRPr="00904FCB">
        <w:rPr>
          <w:sz w:val="27"/>
          <w:rtl/>
        </w:rPr>
        <w:t xml:space="preserve"> </w:t>
      </w:r>
      <w:r w:rsidRPr="00904FCB">
        <w:rPr>
          <w:rFonts w:hint="cs"/>
          <w:sz w:val="27"/>
          <w:rtl/>
        </w:rPr>
        <w:t>الحقيقية</w:t>
      </w:r>
      <w:r w:rsidRPr="00904FCB">
        <w:rPr>
          <w:sz w:val="27"/>
          <w:rtl/>
        </w:rPr>
        <w:t xml:space="preserve"> </w:t>
      </w:r>
      <w:r w:rsidRPr="00904FCB">
        <w:rPr>
          <w:rFonts w:hint="cs"/>
          <w:sz w:val="27"/>
          <w:rtl/>
        </w:rPr>
        <w:t>يحتمل</w:t>
      </w:r>
      <w:r w:rsidRPr="00904FCB">
        <w:rPr>
          <w:sz w:val="27"/>
          <w:rtl/>
        </w:rPr>
        <w:t xml:space="preserve"> </w:t>
      </w:r>
      <w:r w:rsidRPr="00904FCB">
        <w:rPr>
          <w:rFonts w:hint="cs"/>
          <w:sz w:val="27"/>
          <w:rtl/>
        </w:rPr>
        <w:t>الاختلاف</w:t>
      </w:r>
      <w:r w:rsidRPr="00904FCB">
        <w:rPr>
          <w:sz w:val="27"/>
          <w:rtl/>
        </w:rPr>
        <w:t xml:space="preserve"> </w:t>
      </w:r>
      <w:r w:rsidRPr="00904FCB">
        <w:rPr>
          <w:rFonts w:hint="cs"/>
          <w:sz w:val="27"/>
          <w:rtl/>
        </w:rPr>
        <w:t>والتعد</w:t>
      </w:r>
      <w:r w:rsidR="00830B28" w:rsidRPr="00904FCB">
        <w:rPr>
          <w:rFonts w:hint="cs"/>
          <w:sz w:val="27"/>
          <w:rtl/>
        </w:rPr>
        <w:t>ُّ</w:t>
      </w:r>
      <w:r w:rsidRPr="00904FCB">
        <w:rPr>
          <w:rFonts w:hint="cs"/>
          <w:sz w:val="27"/>
          <w:rtl/>
        </w:rPr>
        <w:t>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الرؤى</w:t>
      </w:r>
      <w:r w:rsidRPr="00904FCB">
        <w:rPr>
          <w:sz w:val="27"/>
          <w:rtl/>
        </w:rPr>
        <w:t xml:space="preserve"> </w:t>
      </w:r>
      <w:r w:rsidRPr="00904FCB">
        <w:rPr>
          <w:rFonts w:hint="cs"/>
          <w:sz w:val="27"/>
          <w:rtl/>
        </w:rPr>
        <w:t>والأفكار، وكذلك</w:t>
      </w:r>
      <w:r w:rsidRPr="00904FCB">
        <w:rPr>
          <w:sz w:val="27"/>
          <w:rtl/>
        </w:rPr>
        <w:t xml:space="preserve"> </w:t>
      </w:r>
      <w:r w:rsidRPr="00904FCB">
        <w:rPr>
          <w:rFonts w:hint="cs"/>
          <w:sz w:val="27"/>
          <w:rtl/>
        </w:rPr>
        <w:t>يحتمل</w:t>
      </w:r>
      <w:r w:rsidRPr="00904FCB">
        <w:rPr>
          <w:sz w:val="27"/>
          <w:rtl/>
        </w:rPr>
        <w:t xml:space="preserve"> </w:t>
      </w:r>
      <w:r w:rsidRPr="00904FCB">
        <w:rPr>
          <w:rFonts w:hint="cs"/>
          <w:sz w:val="27"/>
          <w:rtl/>
        </w:rPr>
        <w:t>النزاع</w:t>
      </w:r>
      <w:r w:rsidRPr="00904FCB">
        <w:rPr>
          <w:sz w:val="27"/>
          <w:rtl/>
        </w:rPr>
        <w:t xml:space="preserve"> </w:t>
      </w:r>
      <w:r w:rsidRPr="00904FCB">
        <w:rPr>
          <w:rFonts w:hint="cs"/>
          <w:sz w:val="27"/>
          <w:rtl/>
        </w:rPr>
        <w:t>والتخاصم</w:t>
      </w:r>
      <w:r w:rsidRPr="00904FCB">
        <w:rPr>
          <w:sz w:val="27"/>
          <w:rtl/>
        </w:rPr>
        <w:t xml:space="preserve"> </w:t>
      </w:r>
      <w:r w:rsidRPr="00904FCB">
        <w:rPr>
          <w:rFonts w:hint="cs"/>
          <w:sz w:val="27"/>
          <w:rtl/>
        </w:rPr>
        <w:t>والسجال</w:t>
      </w:r>
      <w:r w:rsidRPr="00904FCB">
        <w:rPr>
          <w:sz w:val="27"/>
          <w:rtl/>
        </w:rPr>
        <w:t xml:space="preserve"> </w:t>
      </w:r>
      <w:r w:rsidRPr="00904FCB">
        <w:rPr>
          <w:rFonts w:hint="cs"/>
          <w:sz w:val="27"/>
          <w:rtl/>
        </w:rPr>
        <w:t>السياسي، ويكفل</w:t>
      </w:r>
      <w:r w:rsidRPr="00904FCB">
        <w:rPr>
          <w:sz w:val="27"/>
          <w:rtl/>
        </w:rPr>
        <w:t xml:space="preserve"> </w:t>
      </w:r>
      <w:r w:rsidRPr="00904FCB">
        <w:rPr>
          <w:rFonts w:hint="cs"/>
          <w:sz w:val="27"/>
          <w:rtl/>
        </w:rPr>
        <w:t>حل</w:t>
      </w:r>
      <w:r w:rsidR="00830B28" w:rsidRPr="00904FCB">
        <w:rPr>
          <w:rFonts w:hint="cs"/>
          <w:sz w:val="27"/>
          <w:rtl/>
        </w:rPr>
        <w:t>ّ</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المنازعات</w:t>
      </w:r>
      <w:r w:rsidRPr="00904FCB">
        <w:rPr>
          <w:sz w:val="27"/>
          <w:rtl/>
        </w:rPr>
        <w:t xml:space="preserve"> </w:t>
      </w:r>
      <w:r w:rsidRPr="00904FCB">
        <w:rPr>
          <w:rFonts w:hint="cs"/>
          <w:sz w:val="27"/>
          <w:rtl/>
        </w:rPr>
        <w:t>والخصومات</w:t>
      </w:r>
      <w:r w:rsidRPr="00904FCB">
        <w:rPr>
          <w:sz w:val="27"/>
          <w:rtl/>
        </w:rPr>
        <w:t xml:space="preserve"> </w:t>
      </w:r>
      <w:r w:rsidRPr="00904FCB">
        <w:rPr>
          <w:rFonts w:hint="cs"/>
          <w:sz w:val="27"/>
          <w:rtl/>
        </w:rPr>
        <w:t>بالطريقة</w:t>
      </w:r>
      <w:r w:rsidRPr="00904FCB">
        <w:rPr>
          <w:sz w:val="27"/>
          <w:rtl/>
        </w:rPr>
        <w:t xml:space="preserve"> </w:t>
      </w:r>
      <w:r w:rsidRPr="00904FCB">
        <w:rPr>
          <w:rFonts w:hint="cs"/>
          <w:sz w:val="27"/>
          <w:rtl/>
        </w:rPr>
        <w:t>السلمية</w:t>
      </w:r>
      <w:r w:rsidRPr="00904FCB">
        <w:rPr>
          <w:sz w:val="27"/>
          <w:rtl/>
        </w:rPr>
        <w:t xml:space="preserve"> </w:t>
      </w:r>
      <w:r w:rsidRPr="00904FCB">
        <w:rPr>
          <w:rFonts w:hint="cs"/>
          <w:sz w:val="27"/>
          <w:rtl/>
        </w:rPr>
        <w:t>الحضارية</w:t>
      </w:r>
      <w:r w:rsidR="00830B28" w:rsidRPr="00904FCB">
        <w:rPr>
          <w:rFonts w:hint="cs"/>
          <w:sz w:val="27"/>
          <w:rtl/>
        </w:rPr>
        <w:t>،</w:t>
      </w:r>
      <w:r w:rsidRPr="00904FCB">
        <w:rPr>
          <w:sz w:val="27"/>
          <w:rtl/>
        </w:rPr>
        <w:t xml:space="preserve"> </w:t>
      </w:r>
      <w:r w:rsidRPr="00904FCB">
        <w:rPr>
          <w:rFonts w:hint="cs"/>
          <w:sz w:val="27"/>
          <w:rtl/>
        </w:rPr>
        <w:t>البعيدة</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والقو</w:t>
      </w:r>
      <w:r w:rsidR="00830B28" w:rsidRPr="00904FCB">
        <w:rPr>
          <w:rFonts w:hint="cs"/>
          <w:sz w:val="27"/>
          <w:rtl/>
        </w:rPr>
        <w:t>ّ</w:t>
      </w:r>
      <w:r w:rsidRPr="00904FCB">
        <w:rPr>
          <w:rFonts w:hint="cs"/>
          <w:sz w:val="27"/>
          <w:rtl/>
        </w:rPr>
        <w:t>ة</w:t>
      </w:r>
      <w:r w:rsidR="00830B28" w:rsidRPr="00904FCB">
        <w:rPr>
          <w:rFonts w:hint="cs"/>
          <w:sz w:val="27"/>
          <w:rtl/>
        </w:rPr>
        <w:t>،</w:t>
      </w:r>
      <w:r w:rsidRPr="00904FCB">
        <w:rPr>
          <w:sz w:val="27"/>
          <w:rtl/>
        </w:rPr>
        <w:t xml:space="preserve"> </w:t>
      </w:r>
      <w:r w:rsidRPr="00904FCB">
        <w:rPr>
          <w:rFonts w:hint="cs"/>
          <w:sz w:val="27"/>
          <w:rtl/>
        </w:rPr>
        <w:t>رمزياً</w:t>
      </w:r>
      <w:r w:rsidRPr="00904FCB">
        <w:rPr>
          <w:sz w:val="27"/>
          <w:rtl/>
        </w:rPr>
        <w:t xml:space="preserve"> </w:t>
      </w:r>
      <w:r w:rsidRPr="00904FCB">
        <w:rPr>
          <w:rFonts w:hint="cs"/>
          <w:sz w:val="27"/>
          <w:rtl/>
        </w:rPr>
        <w:t>ومعنوياً</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أم</w:t>
      </w:r>
      <w:r w:rsidRPr="00904FCB">
        <w:rPr>
          <w:sz w:val="27"/>
          <w:rtl/>
        </w:rPr>
        <w:t xml:space="preserve"> </w:t>
      </w:r>
      <w:r w:rsidRPr="00904FCB">
        <w:rPr>
          <w:rFonts w:hint="cs"/>
          <w:sz w:val="27"/>
          <w:rtl/>
        </w:rPr>
        <w:t>مادياً</w:t>
      </w:r>
      <w:r w:rsidRPr="00904FCB">
        <w:rPr>
          <w:sz w:val="27"/>
          <w:rtl/>
        </w:rPr>
        <w:t xml:space="preserve"> </w:t>
      </w:r>
      <w:r w:rsidRPr="00904FCB">
        <w:rPr>
          <w:rFonts w:hint="cs"/>
          <w:sz w:val="27"/>
          <w:rtl/>
        </w:rPr>
        <w:t>عضوياً</w:t>
      </w:r>
      <w:r w:rsidR="00830B28" w:rsidRPr="00904FCB">
        <w:rPr>
          <w:rFonts w:hint="cs"/>
          <w:sz w:val="27"/>
          <w:rtl/>
        </w:rPr>
        <w:t>.</w:t>
      </w:r>
      <w:r w:rsidRPr="00904FCB">
        <w:rPr>
          <w:rFonts w:hint="cs"/>
          <w:sz w:val="27"/>
          <w:rtl/>
        </w:rPr>
        <w:t xml:space="preserve"> كما</w:t>
      </w:r>
      <w:r w:rsidRPr="00904FCB">
        <w:rPr>
          <w:sz w:val="27"/>
          <w:rtl/>
        </w:rPr>
        <w:t xml:space="preserve"> </w:t>
      </w:r>
      <w:r w:rsidRPr="00904FCB">
        <w:rPr>
          <w:rFonts w:hint="cs"/>
          <w:sz w:val="27"/>
          <w:rtl/>
        </w:rPr>
        <w:t>يكفل</w:t>
      </w:r>
      <w:r w:rsidRPr="00904FCB">
        <w:rPr>
          <w:sz w:val="27"/>
          <w:rtl/>
        </w:rPr>
        <w:t xml:space="preserve"> </w:t>
      </w:r>
      <w:r w:rsidRPr="00904FCB">
        <w:rPr>
          <w:rFonts w:hint="cs"/>
          <w:sz w:val="27"/>
          <w:rtl/>
        </w:rPr>
        <w:t>ويضمن</w:t>
      </w:r>
      <w:r w:rsidRPr="00904FCB">
        <w:rPr>
          <w:sz w:val="27"/>
          <w:rtl/>
        </w:rPr>
        <w:t xml:space="preserve"> ـ </w:t>
      </w:r>
      <w:r w:rsidRPr="00904FCB">
        <w:rPr>
          <w:rFonts w:hint="cs"/>
          <w:sz w:val="27"/>
          <w:rtl/>
        </w:rPr>
        <w:t>بالقانون</w:t>
      </w:r>
      <w:r w:rsidRPr="00904FCB">
        <w:rPr>
          <w:sz w:val="27"/>
          <w:rtl/>
        </w:rPr>
        <w:t xml:space="preserve"> </w:t>
      </w:r>
      <w:r w:rsidRPr="00904FCB">
        <w:rPr>
          <w:rFonts w:hint="cs"/>
          <w:sz w:val="27"/>
          <w:rtl/>
        </w:rPr>
        <w:t>والدستور</w:t>
      </w:r>
      <w:r w:rsidRPr="00904FCB">
        <w:rPr>
          <w:sz w:val="27"/>
          <w:rtl/>
        </w:rPr>
        <w:t xml:space="preserve"> ـ </w:t>
      </w:r>
      <w:r w:rsidRPr="00904FCB">
        <w:rPr>
          <w:rFonts w:hint="cs"/>
          <w:sz w:val="27"/>
          <w:rtl/>
        </w:rPr>
        <w:t>إيجاد</w:t>
      </w:r>
      <w:r w:rsidRPr="00904FCB">
        <w:rPr>
          <w:sz w:val="27"/>
          <w:rtl/>
        </w:rPr>
        <w:t xml:space="preserve"> </w:t>
      </w:r>
      <w:r w:rsidRPr="00904FCB">
        <w:rPr>
          <w:rFonts w:hint="cs"/>
          <w:sz w:val="27"/>
          <w:rtl/>
        </w:rPr>
        <w:t>مخارج</w:t>
      </w:r>
      <w:r w:rsidRPr="00904FCB">
        <w:rPr>
          <w:sz w:val="27"/>
          <w:rtl/>
        </w:rPr>
        <w:t xml:space="preserve"> </w:t>
      </w:r>
      <w:r w:rsidRPr="00904FCB">
        <w:rPr>
          <w:rFonts w:hint="cs"/>
          <w:sz w:val="27"/>
          <w:rtl/>
        </w:rPr>
        <w:t>طبيعية</w:t>
      </w:r>
      <w:r w:rsidRPr="00904FCB">
        <w:rPr>
          <w:sz w:val="27"/>
          <w:rtl/>
        </w:rPr>
        <w:t xml:space="preserve"> </w:t>
      </w:r>
      <w:r w:rsidRPr="00904FCB">
        <w:rPr>
          <w:rFonts w:hint="cs"/>
          <w:sz w:val="27"/>
          <w:rtl/>
        </w:rPr>
        <w:t>لمواقع</w:t>
      </w:r>
      <w:r w:rsidRPr="00904FCB">
        <w:rPr>
          <w:sz w:val="27"/>
          <w:rtl/>
        </w:rPr>
        <w:t xml:space="preserve"> </w:t>
      </w:r>
      <w:r w:rsidRPr="00904FCB">
        <w:rPr>
          <w:rFonts w:hint="cs"/>
          <w:sz w:val="27"/>
          <w:rtl/>
        </w:rPr>
        <w:t>وأماكن</w:t>
      </w:r>
      <w:r w:rsidRPr="00904FCB">
        <w:rPr>
          <w:sz w:val="27"/>
          <w:rtl/>
        </w:rPr>
        <w:t xml:space="preserve"> </w:t>
      </w:r>
      <w:r w:rsidRPr="00904FCB">
        <w:rPr>
          <w:rFonts w:hint="cs"/>
          <w:sz w:val="27"/>
          <w:rtl/>
        </w:rPr>
        <w:t>الاحتقانات</w:t>
      </w:r>
      <w:r w:rsidRPr="00904FCB">
        <w:rPr>
          <w:sz w:val="27"/>
          <w:rtl/>
        </w:rPr>
        <w:t xml:space="preserve"> </w:t>
      </w:r>
      <w:r w:rsidRPr="00904FCB">
        <w:rPr>
          <w:rFonts w:hint="cs"/>
          <w:sz w:val="27"/>
          <w:rtl/>
        </w:rPr>
        <w:t>والتناقضات</w:t>
      </w:r>
      <w:r w:rsidRPr="00904FCB">
        <w:rPr>
          <w:sz w:val="27"/>
          <w:rtl/>
        </w:rPr>
        <w:t xml:space="preserve"> </w:t>
      </w:r>
      <w:r w:rsidRPr="00904FCB">
        <w:rPr>
          <w:rFonts w:hint="cs"/>
          <w:sz w:val="27"/>
          <w:rtl/>
        </w:rPr>
        <w:t>المجتمعية</w:t>
      </w:r>
      <w:r w:rsidRPr="00904FCB">
        <w:rPr>
          <w:sz w:val="27"/>
          <w:rtl/>
        </w:rPr>
        <w:t xml:space="preserve"> </w:t>
      </w:r>
      <w:r w:rsidRPr="00904FCB">
        <w:rPr>
          <w:rFonts w:hint="cs"/>
          <w:sz w:val="27"/>
          <w:rtl/>
        </w:rPr>
        <w:t>ذات</w:t>
      </w:r>
      <w:r w:rsidRPr="00904FCB">
        <w:rPr>
          <w:sz w:val="27"/>
          <w:rtl/>
        </w:rPr>
        <w:t xml:space="preserve"> </w:t>
      </w:r>
      <w:r w:rsidRPr="00904FCB">
        <w:rPr>
          <w:rFonts w:hint="cs"/>
          <w:sz w:val="27"/>
          <w:rtl/>
        </w:rPr>
        <w:t>الأبعاد</w:t>
      </w:r>
      <w:r w:rsidRPr="00904FCB">
        <w:rPr>
          <w:sz w:val="27"/>
          <w:rtl/>
        </w:rPr>
        <w:t xml:space="preserve"> </w:t>
      </w:r>
      <w:r w:rsidRPr="00904FCB">
        <w:rPr>
          <w:rFonts w:hint="cs"/>
          <w:sz w:val="27"/>
          <w:rtl/>
        </w:rPr>
        <w:t>الطائفية</w:t>
      </w:r>
      <w:r w:rsidRPr="00904FCB">
        <w:rPr>
          <w:sz w:val="27"/>
          <w:rtl/>
        </w:rPr>
        <w:t xml:space="preserve"> </w:t>
      </w:r>
      <w:r w:rsidRPr="00904FCB">
        <w:rPr>
          <w:rFonts w:hint="cs"/>
          <w:sz w:val="27"/>
          <w:rtl/>
        </w:rPr>
        <w:t>وال</w:t>
      </w:r>
      <w:r w:rsidR="00830B28" w:rsidRPr="00904FCB">
        <w:rPr>
          <w:rFonts w:hint="cs"/>
          <w:sz w:val="27"/>
          <w:rtl/>
        </w:rPr>
        <w:t>إث</w:t>
      </w:r>
      <w:r w:rsidRPr="00904FCB">
        <w:rPr>
          <w:rFonts w:hint="cs"/>
          <w:sz w:val="27"/>
          <w:rtl/>
        </w:rPr>
        <w:t>نية</w:t>
      </w:r>
      <w:r w:rsidRPr="00904FCB">
        <w:rPr>
          <w:sz w:val="27"/>
          <w:rtl/>
        </w:rPr>
        <w:t xml:space="preserve"> </w:t>
      </w:r>
      <w:r w:rsidRPr="00904FCB">
        <w:rPr>
          <w:rFonts w:hint="cs"/>
          <w:sz w:val="27"/>
          <w:rtl/>
        </w:rPr>
        <w:t>والقومية</w:t>
      </w:r>
      <w:r w:rsidR="00830B28" w:rsidRPr="00904FCB">
        <w:rPr>
          <w:rFonts w:hint="cs"/>
          <w:sz w:val="27"/>
          <w:rtl/>
        </w:rPr>
        <w:t>،</w:t>
      </w:r>
      <w:r w:rsidRPr="00904FCB">
        <w:rPr>
          <w:sz w:val="27"/>
          <w:rtl/>
        </w:rPr>
        <w:t xml:space="preserve"> </w:t>
      </w:r>
      <w:r w:rsidRPr="00904FCB">
        <w:rPr>
          <w:rFonts w:hint="cs"/>
          <w:sz w:val="27"/>
          <w:rtl/>
        </w:rPr>
        <w:t>تحت</w:t>
      </w:r>
      <w:r w:rsidRPr="00904FCB">
        <w:rPr>
          <w:sz w:val="27"/>
          <w:rtl/>
        </w:rPr>
        <w:t xml:space="preserve"> </w:t>
      </w:r>
      <w:r w:rsidRPr="00904FCB">
        <w:rPr>
          <w:rFonts w:hint="cs"/>
          <w:sz w:val="27"/>
          <w:rtl/>
        </w:rPr>
        <w:t>مظل</w:t>
      </w:r>
      <w:r w:rsidR="00830B28" w:rsidRPr="00904FCB">
        <w:rPr>
          <w:rFonts w:hint="cs"/>
          <w:sz w:val="27"/>
          <w:rtl/>
        </w:rPr>
        <w:t>ّ</w:t>
      </w:r>
      <w:r w:rsidRPr="00904FCB">
        <w:rPr>
          <w:rFonts w:hint="cs"/>
          <w:sz w:val="27"/>
          <w:rtl/>
        </w:rPr>
        <w:t>ة</w:t>
      </w:r>
      <w:r w:rsidRPr="00904FCB">
        <w:rPr>
          <w:sz w:val="27"/>
          <w:rtl/>
        </w:rPr>
        <w:t xml:space="preserve"> </w:t>
      </w:r>
      <w:r w:rsidRPr="00904FCB">
        <w:rPr>
          <w:rFonts w:hint="cs"/>
          <w:sz w:val="27"/>
          <w:rtl/>
        </w:rPr>
        <w:t>وفضاء</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الصالح</w:t>
      </w:r>
      <w:r w:rsidRPr="00904FCB">
        <w:rPr>
          <w:sz w:val="27"/>
          <w:rtl/>
        </w:rPr>
        <w:t xml:space="preserve"> </w:t>
      </w:r>
      <w:r w:rsidRPr="00904FCB">
        <w:rPr>
          <w:rFonts w:hint="cs"/>
          <w:sz w:val="27"/>
          <w:rtl/>
        </w:rPr>
        <w:t>الديمقراطي</w:t>
      </w:r>
      <w:r w:rsidRPr="00904FCB">
        <w:rPr>
          <w:sz w:val="27"/>
          <w:rtl/>
        </w:rPr>
        <w:t xml:space="preserve"> </w:t>
      </w:r>
      <w:r w:rsidRPr="00904FCB">
        <w:rPr>
          <w:rFonts w:hint="cs"/>
          <w:sz w:val="27"/>
          <w:rtl/>
        </w:rPr>
        <w:t>التعد</w:t>
      </w:r>
      <w:r w:rsidR="00830B28" w:rsidRPr="00904FCB">
        <w:rPr>
          <w:rFonts w:hint="cs"/>
          <w:sz w:val="27"/>
          <w:rtl/>
        </w:rPr>
        <w:t>ُّ</w:t>
      </w:r>
      <w:r w:rsidRPr="00904FCB">
        <w:rPr>
          <w:rFonts w:hint="cs"/>
          <w:sz w:val="27"/>
          <w:rtl/>
        </w:rPr>
        <w:t>دي، بما</w:t>
      </w:r>
      <w:r w:rsidRPr="00904FCB">
        <w:rPr>
          <w:sz w:val="27"/>
          <w:rtl/>
        </w:rPr>
        <w:t xml:space="preserve"> </w:t>
      </w:r>
      <w:r w:rsidRPr="00904FCB">
        <w:rPr>
          <w:rFonts w:hint="cs"/>
          <w:sz w:val="27"/>
          <w:rtl/>
        </w:rPr>
        <w:t>يمنع</w:t>
      </w:r>
      <w:r w:rsidRPr="00904FCB">
        <w:rPr>
          <w:sz w:val="27"/>
          <w:rtl/>
        </w:rPr>
        <w:t xml:space="preserve"> </w:t>
      </w:r>
      <w:r w:rsidRPr="00904FCB">
        <w:rPr>
          <w:rFonts w:hint="cs"/>
          <w:sz w:val="27"/>
          <w:rtl/>
        </w:rPr>
        <w:t>اشتعال</w:t>
      </w:r>
      <w:r w:rsidRPr="00904FCB">
        <w:rPr>
          <w:sz w:val="27"/>
          <w:rtl/>
        </w:rPr>
        <w:t xml:space="preserve"> </w:t>
      </w:r>
      <w:r w:rsidRPr="00904FCB">
        <w:rPr>
          <w:rFonts w:hint="cs"/>
          <w:sz w:val="27"/>
          <w:rtl/>
        </w:rPr>
        <w:t>بذور</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الموجودة</w:t>
      </w:r>
      <w:r w:rsidRPr="00904FCB">
        <w:rPr>
          <w:sz w:val="27"/>
          <w:rtl/>
        </w:rPr>
        <w:t xml:space="preserve"> </w:t>
      </w:r>
      <w:r w:rsidRPr="00904FCB">
        <w:rPr>
          <w:rFonts w:hint="cs"/>
          <w:sz w:val="27"/>
          <w:rtl/>
        </w:rPr>
        <w:t>أساساً، ويضمن</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الانجرار</w:t>
      </w:r>
      <w:r w:rsidRPr="00904FCB">
        <w:rPr>
          <w:sz w:val="27"/>
          <w:rtl/>
        </w:rPr>
        <w:t xml:space="preserve"> </w:t>
      </w:r>
      <w:r w:rsidRPr="00904FCB">
        <w:rPr>
          <w:rFonts w:hint="cs"/>
          <w:sz w:val="27"/>
          <w:rtl/>
        </w:rPr>
        <w:t>وراء</w:t>
      </w:r>
      <w:r w:rsidRPr="00904FCB">
        <w:rPr>
          <w:sz w:val="27"/>
          <w:rtl/>
        </w:rPr>
        <w:t xml:space="preserve"> </w:t>
      </w:r>
      <w:r w:rsidRPr="00904FCB">
        <w:rPr>
          <w:rFonts w:hint="cs"/>
          <w:sz w:val="27"/>
          <w:rtl/>
        </w:rPr>
        <w:t>الاقتتالات</w:t>
      </w:r>
      <w:r w:rsidRPr="00904FCB">
        <w:rPr>
          <w:sz w:val="27"/>
          <w:rtl/>
        </w:rPr>
        <w:t xml:space="preserve"> </w:t>
      </w:r>
      <w:r w:rsidRPr="00904FCB">
        <w:rPr>
          <w:rFonts w:hint="cs"/>
          <w:sz w:val="27"/>
          <w:rtl/>
        </w:rPr>
        <w:t>الطائفية</w:t>
      </w:r>
      <w:r w:rsidRPr="00904FCB">
        <w:rPr>
          <w:sz w:val="27"/>
          <w:rtl/>
        </w:rPr>
        <w:t xml:space="preserve"> </w:t>
      </w:r>
      <w:r w:rsidRPr="00904FCB">
        <w:rPr>
          <w:rFonts w:hint="cs"/>
          <w:sz w:val="27"/>
          <w:rtl/>
        </w:rPr>
        <w:t>والنزاعات</w:t>
      </w:r>
      <w:r w:rsidRPr="00904FCB">
        <w:rPr>
          <w:sz w:val="27"/>
          <w:rtl/>
        </w:rPr>
        <w:t xml:space="preserve"> </w:t>
      </w:r>
      <w:r w:rsidRPr="00904FCB">
        <w:rPr>
          <w:rFonts w:hint="cs"/>
          <w:sz w:val="27"/>
          <w:rtl/>
        </w:rPr>
        <w:t>الأهلية</w:t>
      </w:r>
      <w:r w:rsidR="001D46E0"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تزال</w:t>
      </w:r>
      <w:r w:rsidRPr="00904FCB">
        <w:rPr>
          <w:sz w:val="27"/>
          <w:rtl/>
        </w:rPr>
        <w:t xml:space="preserve"> </w:t>
      </w:r>
      <w:r w:rsidRPr="00904FCB">
        <w:rPr>
          <w:rFonts w:hint="cs"/>
          <w:sz w:val="27"/>
          <w:rtl/>
        </w:rPr>
        <w:t>ناراً</w:t>
      </w:r>
      <w:r w:rsidRPr="00904FCB">
        <w:rPr>
          <w:sz w:val="27"/>
          <w:rtl/>
        </w:rPr>
        <w:t xml:space="preserve"> </w:t>
      </w:r>
      <w:r w:rsidRPr="00904FCB">
        <w:rPr>
          <w:rFonts w:hint="cs"/>
          <w:sz w:val="27"/>
          <w:rtl/>
        </w:rPr>
        <w:t>تحت</w:t>
      </w:r>
      <w:r w:rsidRPr="00904FCB">
        <w:rPr>
          <w:sz w:val="27"/>
          <w:rtl/>
        </w:rPr>
        <w:t xml:space="preserve"> </w:t>
      </w:r>
      <w:r w:rsidRPr="00904FCB">
        <w:rPr>
          <w:rFonts w:hint="cs"/>
          <w:sz w:val="27"/>
          <w:rtl/>
        </w:rPr>
        <w:t>رماد</w:t>
      </w:r>
      <w:r w:rsidRPr="00904FCB">
        <w:rPr>
          <w:sz w:val="27"/>
          <w:rtl/>
        </w:rPr>
        <w:t xml:space="preserve"> </w:t>
      </w:r>
      <w:r w:rsidRPr="00904FCB">
        <w:rPr>
          <w:rFonts w:hint="cs"/>
          <w:sz w:val="27"/>
          <w:rtl/>
        </w:rPr>
        <w:t>أزمات</w:t>
      </w:r>
      <w:r w:rsidRPr="00904FCB">
        <w:rPr>
          <w:sz w:val="27"/>
          <w:rtl/>
        </w:rPr>
        <w:t xml:space="preserve"> </w:t>
      </w:r>
      <w:r w:rsidRPr="00904FCB">
        <w:rPr>
          <w:rFonts w:hint="cs"/>
          <w:sz w:val="27"/>
          <w:rtl/>
        </w:rPr>
        <w:t>مجتمعاتنا</w:t>
      </w:r>
      <w:r w:rsidRPr="00904FCB">
        <w:rPr>
          <w:sz w:val="27"/>
          <w:rtl/>
        </w:rPr>
        <w:t xml:space="preserve"> </w:t>
      </w:r>
      <w:r w:rsidRPr="00904FCB">
        <w:rPr>
          <w:rFonts w:hint="cs"/>
          <w:sz w:val="27"/>
          <w:rtl/>
        </w:rPr>
        <w:t>العربية</w:t>
      </w:r>
      <w:r w:rsidRPr="00904FCB">
        <w:rPr>
          <w:sz w:val="27"/>
          <w:rtl/>
        </w:rPr>
        <w:t xml:space="preserve"> </w:t>
      </w:r>
      <w:r w:rsidRPr="00904FCB">
        <w:rPr>
          <w:rFonts w:hint="cs"/>
          <w:sz w:val="27"/>
          <w:rtl/>
        </w:rPr>
        <w:t>حت</w:t>
      </w:r>
      <w:r w:rsidR="001D46E0" w:rsidRPr="00904FCB">
        <w:rPr>
          <w:rFonts w:hint="cs"/>
          <w:sz w:val="27"/>
          <w:rtl/>
        </w:rPr>
        <w:t>ّ</w:t>
      </w:r>
      <w:r w:rsidRPr="00904FCB">
        <w:rPr>
          <w:rFonts w:hint="cs"/>
          <w:sz w:val="27"/>
          <w:rtl/>
        </w:rPr>
        <w:t>ى</w:t>
      </w:r>
      <w:r w:rsidRPr="00904FCB">
        <w:rPr>
          <w:sz w:val="27"/>
          <w:rtl/>
        </w:rPr>
        <w:t xml:space="preserve"> </w:t>
      </w:r>
      <w:r w:rsidRPr="00904FCB">
        <w:rPr>
          <w:rFonts w:hint="cs"/>
          <w:sz w:val="27"/>
          <w:rtl/>
        </w:rPr>
        <w:t>الآن</w:t>
      </w:r>
      <w:r w:rsidRPr="00904FCB">
        <w:rPr>
          <w:sz w:val="27"/>
          <w:rtl/>
        </w:rPr>
        <w:t xml:space="preserve">. </w:t>
      </w:r>
    </w:p>
    <w:p w:rsidR="00057E24" w:rsidRPr="00904FCB" w:rsidRDefault="00057E24" w:rsidP="007A21AA">
      <w:pPr>
        <w:spacing w:line="400" w:lineRule="exact"/>
        <w:rPr>
          <w:sz w:val="27"/>
        </w:rPr>
      </w:pPr>
      <w:r w:rsidRPr="00904FCB">
        <w:rPr>
          <w:rFonts w:hint="cs"/>
          <w:sz w:val="27"/>
          <w:rtl/>
        </w:rPr>
        <w:t>ـ وجود</w:t>
      </w:r>
      <w:r w:rsidRPr="00904FCB">
        <w:rPr>
          <w:sz w:val="27"/>
          <w:rtl/>
        </w:rPr>
        <w:t xml:space="preserve"> </w:t>
      </w:r>
      <w:r w:rsidRPr="00904FCB">
        <w:rPr>
          <w:rFonts w:hint="cs"/>
          <w:sz w:val="27"/>
          <w:rtl/>
        </w:rPr>
        <w:t>إسرائيل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قلب</w:t>
      </w:r>
      <w:r w:rsidRPr="00904FCB">
        <w:rPr>
          <w:sz w:val="27"/>
          <w:rtl/>
        </w:rPr>
        <w:t xml:space="preserve"> </w:t>
      </w:r>
      <w:r w:rsidRPr="00904FCB">
        <w:rPr>
          <w:rFonts w:hint="cs"/>
          <w:sz w:val="27"/>
          <w:rtl/>
        </w:rPr>
        <w:t>منطقتنا</w:t>
      </w:r>
      <w:r w:rsidRPr="00904FCB">
        <w:rPr>
          <w:sz w:val="27"/>
          <w:rtl/>
        </w:rPr>
        <w:t xml:space="preserve"> </w:t>
      </w:r>
      <w:r w:rsidRPr="00904FCB">
        <w:rPr>
          <w:rFonts w:hint="cs"/>
          <w:sz w:val="27"/>
          <w:rtl/>
        </w:rPr>
        <w:t>العربية</w:t>
      </w:r>
      <w:r w:rsidRPr="00904FCB">
        <w:rPr>
          <w:sz w:val="27"/>
          <w:rtl/>
        </w:rPr>
        <w:t xml:space="preserve"> </w:t>
      </w:r>
      <w:r w:rsidRPr="00904FCB">
        <w:rPr>
          <w:rFonts w:hint="cs"/>
          <w:sz w:val="27"/>
          <w:rtl/>
        </w:rPr>
        <w:t>كعامل</w:t>
      </w:r>
      <w:r w:rsidRPr="00904FCB">
        <w:rPr>
          <w:sz w:val="27"/>
          <w:rtl/>
        </w:rPr>
        <w:t xml:space="preserve"> </w:t>
      </w:r>
      <w:r w:rsidRPr="00904FCB">
        <w:rPr>
          <w:rFonts w:hint="cs"/>
          <w:sz w:val="27"/>
          <w:rtl/>
        </w:rPr>
        <w:t>باعث</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العنف، مع</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lastRenderedPageBreak/>
        <w:t>كان</w:t>
      </w:r>
      <w:r w:rsidRPr="00904FCB">
        <w:rPr>
          <w:sz w:val="27"/>
          <w:rtl/>
        </w:rPr>
        <w:t xml:space="preserve"> </w:t>
      </w:r>
      <w:r w:rsidRPr="00904FCB">
        <w:rPr>
          <w:rFonts w:hint="cs"/>
          <w:sz w:val="27"/>
          <w:rtl/>
        </w:rPr>
        <w:t>يجب</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دافعاً</w:t>
      </w:r>
      <w:r w:rsidRPr="00904FCB">
        <w:rPr>
          <w:sz w:val="27"/>
          <w:rtl/>
        </w:rPr>
        <w:t xml:space="preserve"> </w:t>
      </w:r>
      <w:r w:rsidRPr="00904FCB">
        <w:rPr>
          <w:rFonts w:hint="cs"/>
          <w:sz w:val="27"/>
          <w:rtl/>
        </w:rPr>
        <w:t>للعلم</w:t>
      </w:r>
      <w:r w:rsidRPr="00904FCB">
        <w:rPr>
          <w:sz w:val="27"/>
          <w:rtl/>
        </w:rPr>
        <w:t xml:space="preserve"> </w:t>
      </w:r>
      <w:r w:rsidRPr="00904FCB">
        <w:rPr>
          <w:rFonts w:hint="cs"/>
          <w:sz w:val="27"/>
          <w:rtl/>
        </w:rPr>
        <w:t>والتنمية</w:t>
      </w:r>
      <w:r w:rsidRPr="00904FCB">
        <w:rPr>
          <w:sz w:val="27"/>
          <w:rtl/>
        </w:rPr>
        <w:t xml:space="preserve"> </w:t>
      </w:r>
      <w:r w:rsidRPr="00904FCB">
        <w:rPr>
          <w:rFonts w:hint="cs"/>
          <w:sz w:val="27"/>
          <w:rtl/>
        </w:rPr>
        <w:t>والديمقراطية</w:t>
      </w:r>
      <w:r w:rsidRPr="00904FCB">
        <w:rPr>
          <w:sz w:val="27"/>
          <w:rtl/>
        </w:rPr>
        <w:t xml:space="preserve"> </w:t>
      </w:r>
      <w:r w:rsidRPr="00904FCB">
        <w:rPr>
          <w:rFonts w:hint="cs"/>
          <w:sz w:val="27"/>
          <w:rtl/>
        </w:rPr>
        <w:t>والحرية</w:t>
      </w:r>
      <w:r w:rsidR="001D46E0" w:rsidRPr="00904FCB">
        <w:rPr>
          <w:rFonts w:hint="cs"/>
          <w:sz w:val="27"/>
          <w:rtl/>
        </w:rPr>
        <w:t>،</w:t>
      </w:r>
      <w:r w:rsidRPr="00904FCB">
        <w:rPr>
          <w:sz w:val="27"/>
          <w:rtl/>
        </w:rPr>
        <w:t xml:space="preserve"> </w:t>
      </w:r>
      <w:r w:rsidRPr="00904FCB">
        <w:rPr>
          <w:rFonts w:hint="cs"/>
          <w:sz w:val="27"/>
          <w:rtl/>
        </w:rPr>
        <w:t>بدلاً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كونه</w:t>
      </w:r>
      <w:r w:rsidRPr="00904FCB">
        <w:rPr>
          <w:sz w:val="27"/>
          <w:rtl/>
        </w:rPr>
        <w:t xml:space="preserve"> </w:t>
      </w:r>
      <w:r w:rsidRPr="00904FCB">
        <w:rPr>
          <w:rFonts w:hint="cs"/>
          <w:sz w:val="27"/>
          <w:rtl/>
        </w:rPr>
        <w:t>محر</w:t>
      </w:r>
      <w:r w:rsidR="001D46E0" w:rsidRPr="00904FCB">
        <w:rPr>
          <w:rFonts w:hint="cs"/>
          <w:sz w:val="27"/>
          <w:rtl/>
        </w:rPr>
        <w:t>ِّ</w:t>
      </w:r>
      <w:r w:rsidRPr="00904FCB">
        <w:rPr>
          <w:rFonts w:hint="cs"/>
          <w:sz w:val="27"/>
          <w:rtl/>
        </w:rPr>
        <w:t>ضاً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القمع</w:t>
      </w:r>
      <w:r w:rsidRPr="00904FCB">
        <w:rPr>
          <w:sz w:val="27"/>
          <w:rtl/>
        </w:rPr>
        <w:t xml:space="preserve"> </w:t>
      </w:r>
      <w:r w:rsidRPr="00904FCB">
        <w:rPr>
          <w:rFonts w:hint="cs"/>
          <w:sz w:val="27"/>
          <w:rtl/>
        </w:rPr>
        <w:t>والاستبداد</w:t>
      </w:r>
      <w:r w:rsidRPr="00904FCB">
        <w:rPr>
          <w:sz w:val="27"/>
          <w:rtl/>
        </w:rPr>
        <w:t xml:space="preserve"> </w:t>
      </w:r>
      <w:r w:rsidRPr="00904FCB">
        <w:rPr>
          <w:rFonts w:hint="cs"/>
          <w:sz w:val="27"/>
          <w:rtl/>
        </w:rPr>
        <w:t>والعنف</w:t>
      </w:r>
      <w:r w:rsidR="001D46E0" w:rsidRPr="00904FCB">
        <w:rPr>
          <w:rFonts w:hint="cs"/>
          <w:sz w:val="27"/>
          <w:rtl/>
        </w:rPr>
        <w:t>؛</w:t>
      </w:r>
      <w:r w:rsidRPr="00904FCB">
        <w:rPr>
          <w:sz w:val="27"/>
          <w:rtl/>
        </w:rPr>
        <w:t xml:space="preserve"> </w:t>
      </w:r>
      <w:r w:rsidRPr="00904FCB">
        <w:rPr>
          <w:rFonts w:hint="cs"/>
          <w:sz w:val="27"/>
          <w:rtl/>
        </w:rPr>
        <w:t>حيث</w:t>
      </w:r>
      <w:r w:rsidRPr="00904FCB">
        <w:rPr>
          <w:sz w:val="27"/>
          <w:rtl/>
        </w:rPr>
        <w:t xml:space="preserve"> </w:t>
      </w:r>
      <w:r w:rsidR="001D46E0" w:rsidRPr="00904FCB">
        <w:rPr>
          <w:rFonts w:hint="cs"/>
          <w:sz w:val="27"/>
          <w:rtl/>
        </w:rPr>
        <w:t>إ</w:t>
      </w:r>
      <w:r w:rsidRPr="00904FCB">
        <w:rPr>
          <w:rFonts w:hint="cs"/>
          <w:sz w:val="27"/>
          <w:rtl/>
        </w:rPr>
        <w:t>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الوجود</w:t>
      </w:r>
      <w:r w:rsidRPr="00904FCB">
        <w:rPr>
          <w:sz w:val="27"/>
          <w:rtl/>
        </w:rPr>
        <w:t xml:space="preserve"> </w:t>
      </w:r>
      <w:r w:rsidRPr="00904FCB">
        <w:rPr>
          <w:rFonts w:hint="cs"/>
          <w:sz w:val="27"/>
          <w:rtl/>
        </w:rPr>
        <w:t>ساعد</w:t>
      </w:r>
      <w:r w:rsidRPr="00904FCB">
        <w:rPr>
          <w:sz w:val="27"/>
          <w:rtl/>
        </w:rPr>
        <w:t xml:space="preserve"> </w:t>
      </w:r>
      <w:r w:rsidRPr="00904FCB">
        <w:rPr>
          <w:rFonts w:hint="cs"/>
          <w:sz w:val="27"/>
          <w:rtl/>
        </w:rPr>
        <w:t>كثيراً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خلق</w:t>
      </w:r>
      <w:r w:rsidRPr="00904FCB">
        <w:rPr>
          <w:sz w:val="27"/>
          <w:rtl/>
        </w:rPr>
        <w:t xml:space="preserve"> </w:t>
      </w:r>
      <w:r w:rsidRPr="00904FCB">
        <w:rPr>
          <w:rFonts w:hint="cs"/>
          <w:sz w:val="27"/>
          <w:rtl/>
        </w:rPr>
        <w:t>مناخ</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الدائم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بيئتنا</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والحركية</w:t>
      </w:r>
      <w:r w:rsidR="001D46E0" w:rsidRPr="00904FCB">
        <w:rPr>
          <w:rFonts w:hint="cs"/>
          <w:sz w:val="27"/>
          <w:rtl/>
        </w:rPr>
        <w:t>،</w:t>
      </w:r>
      <w:r w:rsidRPr="00904FCB">
        <w:rPr>
          <w:sz w:val="27"/>
          <w:rtl/>
        </w:rPr>
        <w:t xml:space="preserve"> </w:t>
      </w:r>
      <w:r w:rsidR="001D46E0" w:rsidRPr="00904FCB">
        <w:rPr>
          <w:rFonts w:hint="cs"/>
          <w:sz w:val="27"/>
          <w:rtl/>
        </w:rPr>
        <w:t>و</w:t>
      </w:r>
      <w:r w:rsidRPr="00904FCB">
        <w:rPr>
          <w:rFonts w:hint="cs"/>
          <w:sz w:val="27"/>
          <w:rtl/>
        </w:rPr>
        <w:t>خاصة</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مناخ</w:t>
      </w:r>
      <w:r w:rsidRPr="00904FCB">
        <w:rPr>
          <w:sz w:val="27"/>
          <w:rtl/>
        </w:rPr>
        <w:t xml:space="preserve"> </w:t>
      </w:r>
      <w:r w:rsidRPr="00904FCB">
        <w:rPr>
          <w:rFonts w:hint="cs"/>
          <w:sz w:val="27"/>
          <w:rtl/>
        </w:rPr>
        <w:t>ثقافي</w:t>
      </w:r>
      <w:r w:rsidRPr="00904FCB">
        <w:rPr>
          <w:sz w:val="27"/>
          <w:rtl/>
        </w:rPr>
        <w:t xml:space="preserve"> </w:t>
      </w:r>
      <w:r w:rsidRPr="00904FCB">
        <w:rPr>
          <w:rFonts w:hint="cs"/>
          <w:sz w:val="27"/>
          <w:rtl/>
        </w:rPr>
        <w:t>مؤه</w:t>
      </w:r>
      <w:r w:rsidR="001D46E0" w:rsidRPr="00904FCB">
        <w:rPr>
          <w:rFonts w:hint="cs"/>
          <w:sz w:val="27"/>
          <w:rtl/>
        </w:rPr>
        <w:t>ّ</w:t>
      </w:r>
      <w:r w:rsidRPr="00904FCB">
        <w:rPr>
          <w:rFonts w:hint="cs"/>
          <w:sz w:val="27"/>
          <w:rtl/>
        </w:rPr>
        <w:t>ل</w:t>
      </w:r>
      <w:r w:rsidRPr="00904FCB">
        <w:rPr>
          <w:sz w:val="27"/>
          <w:rtl/>
        </w:rPr>
        <w:t xml:space="preserve"> </w:t>
      </w:r>
      <w:r w:rsidRPr="00904FCB">
        <w:rPr>
          <w:rFonts w:hint="cs"/>
          <w:sz w:val="27"/>
          <w:rtl/>
        </w:rPr>
        <w:t>ومستعد</w:t>
      </w:r>
      <w:r w:rsidR="001D46E0" w:rsidRPr="00904FCB">
        <w:rPr>
          <w:rFonts w:hint="cs"/>
          <w:sz w:val="27"/>
          <w:rtl/>
        </w:rPr>
        <w:t>ّ</w:t>
      </w:r>
      <w:r w:rsidRPr="00904FCB">
        <w:rPr>
          <w:sz w:val="27"/>
          <w:rtl/>
        </w:rPr>
        <w:t xml:space="preserve"> </w:t>
      </w:r>
      <w:r w:rsidRPr="00904FCB">
        <w:rPr>
          <w:rFonts w:hint="cs"/>
          <w:sz w:val="27"/>
          <w:rtl/>
        </w:rPr>
        <w:t>دائماً</w:t>
      </w:r>
      <w:r w:rsidRPr="00904FCB">
        <w:rPr>
          <w:sz w:val="27"/>
          <w:rtl/>
        </w:rPr>
        <w:t xml:space="preserve"> </w:t>
      </w:r>
      <w:r w:rsidRPr="00904FCB">
        <w:rPr>
          <w:rFonts w:hint="cs"/>
          <w:sz w:val="27"/>
          <w:rtl/>
        </w:rPr>
        <w:t>لتقب</w:t>
      </w:r>
      <w:r w:rsidR="001D46E0" w:rsidRPr="00904FCB">
        <w:rPr>
          <w:rFonts w:hint="cs"/>
          <w:sz w:val="27"/>
          <w:rtl/>
        </w:rPr>
        <w:t>ُّ</w:t>
      </w:r>
      <w:r w:rsidRPr="00904FCB">
        <w:rPr>
          <w:rFonts w:hint="cs"/>
          <w:sz w:val="27"/>
          <w:rtl/>
        </w:rPr>
        <w:t>ل</w:t>
      </w:r>
      <w:r w:rsidRPr="00904FCB">
        <w:rPr>
          <w:sz w:val="27"/>
          <w:rtl/>
        </w:rPr>
        <w:t xml:space="preserve"> </w:t>
      </w:r>
      <w:r w:rsidRPr="00904FCB">
        <w:rPr>
          <w:rFonts w:hint="cs"/>
          <w:sz w:val="27"/>
          <w:rtl/>
        </w:rPr>
        <w:t>أفكار</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والقو</w:t>
      </w:r>
      <w:r w:rsidR="001D46E0" w:rsidRPr="00904FCB">
        <w:rPr>
          <w:rFonts w:hint="cs"/>
          <w:sz w:val="27"/>
          <w:rtl/>
        </w:rPr>
        <w:t>ّ</w:t>
      </w:r>
      <w:r w:rsidRPr="00904FCB">
        <w:rPr>
          <w:rFonts w:hint="cs"/>
          <w:sz w:val="27"/>
          <w:rtl/>
        </w:rPr>
        <w:t>ة</w:t>
      </w:r>
      <w:r w:rsidRPr="00904FCB">
        <w:rPr>
          <w:sz w:val="27"/>
          <w:rtl/>
        </w:rPr>
        <w:t xml:space="preserve">. </w:t>
      </w:r>
      <w:r w:rsidRPr="00904FCB">
        <w:rPr>
          <w:rFonts w:hint="cs"/>
          <w:sz w:val="27"/>
          <w:rtl/>
        </w:rPr>
        <w:t>وأدى</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لاحقاً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اجتياح</w:t>
      </w:r>
      <w:r w:rsidRPr="00904FCB">
        <w:rPr>
          <w:sz w:val="27"/>
          <w:rtl/>
        </w:rPr>
        <w:t xml:space="preserve"> </w:t>
      </w:r>
      <w:r w:rsidRPr="00904FCB">
        <w:rPr>
          <w:rFonts w:hint="cs"/>
          <w:sz w:val="27"/>
          <w:rtl/>
        </w:rPr>
        <w:t>منظ</w:t>
      </w:r>
      <w:r w:rsidR="001D46E0" w:rsidRPr="00904FCB">
        <w:rPr>
          <w:rFonts w:hint="cs"/>
          <w:sz w:val="27"/>
          <w:rtl/>
        </w:rPr>
        <w:t>ّ</w:t>
      </w:r>
      <w:r w:rsidRPr="00904FCB">
        <w:rPr>
          <w:rFonts w:hint="cs"/>
          <w:sz w:val="27"/>
          <w:rtl/>
        </w:rPr>
        <w:t>مات</w:t>
      </w:r>
      <w:r w:rsidRPr="00904FCB">
        <w:rPr>
          <w:sz w:val="27"/>
          <w:rtl/>
        </w:rPr>
        <w:t xml:space="preserve"> </w:t>
      </w:r>
      <w:r w:rsidRPr="00904FCB">
        <w:rPr>
          <w:rFonts w:hint="cs"/>
          <w:sz w:val="27"/>
          <w:rtl/>
        </w:rPr>
        <w:t>وتنظيمات</w:t>
      </w:r>
      <w:r w:rsidRPr="00904FCB">
        <w:rPr>
          <w:sz w:val="27"/>
          <w:rtl/>
        </w:rPr>
        <w:t xml:space="preserve"> </w:t>
      </w:r>
      <w:r w:rsidRPr="00904FCB">
        <w:rPr>
          <w:rFonts w:hint="cs"/>
          <w:sz w:val="27"/>
          <w:rtl/>
        </w:rPr>
        <w:t>وتيارات</w:t>
      </w:r>
      <w:r w:rsidRPr="00904FCB">
        <w:rPr>
          <w:sz w:val="27"/>
          <w:rtl/>
        </w:rPr>
        <w:t xml:space="preserve"> </w:t>
      </w:r>
      <w:r w:rsidRPr="00904FCB">
        <w:rPr>
          <w:rFonts w:hint="cs"/>
          <w:sz w:val="27"/>
          <w:rtl/>
        </w:rPr>
        <w:t>وجماعات</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لمجتمعاتنا</w:t>
      </w:r>
      <w:r w:rsidRPr="00904FCB">
        <w:rPr>
          <w:sz w:val="27"/>
          <w:rtl/>
        </w:rPr>
        <w:t xml:space="preserve"> </w:t>
      </w:r>
      <w:r w:rsidRPr="00904FCB">
        <w:rPr>
          <w:rFonts w:hint="cs"/>
          <w:sz w:val="27"/>
          <w:rtl/>
        </w:rPr>
        <w:t xml:space="preserve">العربية، </w:t>
      </w:r>
      <w:r w:rsidR="001D46E0" w:rsidRPr="00904FCB">
        <w:rPr>
          <w:rFonts w:hint="cs"/>
          <w:sz w:val="27"/>
          <w:rtl/>
        </w:rPr>
        <w:t>و</w:t>
      </w:r>
      <w:r w:rsidRPr="00904FCB">
        <w:rPr>
          <w:rFonts w:hint="cs"/>
          <w:sz w:val="27"/>
          <w:rtl/>
        </w:rPr>
        <w:t>خاصة</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التنظيمات</w:t>
      </w:r>
      <w:r w:rsidRPr="00904FCB">
        <w:rPr>
          <w:sz w:val="27"/>
          <w:rtl/>
        </w:rPr>
        <w:t xml:space="preserve"> </w:t>
      </w:r>
      <w:r w:rsidRPr="00904FCB">
        <w:rPr>
          <w:rFonts w:hint="cs"/>
          <w:sz w:val="27"/>
          <w:rtl/>
        </w:rPr>
        <w:t>بمعظمها</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دخلت</w:t>
      </w:r>
      <w:r w:rsidRPr="00904FCB">
        <w:rPr>
          <w:sz w:val="27"/>
          <w:rtl/>
        </w:rPr>
        <w:t xml:space="preserve"> </w:t>
      </w:r>
      <w:r w:rsidRPr="00904FCB">
        <w:rPr>
          <w:rFonts w:hint="cs"/>
          <w:sz w:val="27"/>
          <w:rtl/>
        </w:rPr>
        <w:t>وأدخلت</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صراعات</w:t>
      </w:r>
      <w:r w:rsidRPr="00904FCB">
        <w:rPr>
          <w:sz w:val="27"/>
          <w:rtl/>
        </w:rPr>
        <w:t xml:space="preserve"> </w:t>
      </w:r>
      <w:r w:rsidRPr="00904FCB">
        <w:rPr>
          <w:rFonts w:hint="cs"/>
          <w:sz w:val="27"/>
          <w:rtl/>
        </w:rPr>
        <w:t>العرب</w:t>
      </w:r>
      <w:r w:rsidRPr="00904FCB">
        <w:rPr>
          <w:sz w:val="27"/>
          <w:rtl/>
        </w:rPr>
        <w:t xml:space="preserve"> </w:t>
      </w:r>
      <w:r w:rsidRPr="00904FCB">
        <w:rPr>
          <w:rFonts w:hint="cs"/>
          <w:sz w:val="27"/>
          <w:rtl/>
        </w:rPr>
        <w:t>الداخلية</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بعضهم</w:t>
      </w:r>
      <w:r w:rsidRPr="00904FCB">
        <w:rPr>
          <w:sz w:val="27"/>
          <w:rtl/>
        </w:rPr>
        <w:t xml:space="preserve"> </w:t>
      </w:r>
      <w:r w:rsidRPr="00904FCB">
        <w:rPr>
          <w:rFonts w:hint="cs"/>
          <w:sz w:val="27"/>
          <w:rtl/>
        </w:rPr>
        <w:t>البعض</w:t>
      </w:r>
      <w:r w:rsidR="001D46E0" w:rsidRPr="00904FCB">
        <w:rPr>
          <w:rFonts w:hint="cs"/>
          <w:sz w:val="27"/>
          <w:rtl/>
        </w:rPr>
        <w:t>،</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فاقم</w:t>
      </w:r>
      <w:r w:rsidRPr="00904FCB">
        <w:rPr>
          <w:sz w:val="27"/>
          <w:rtl/>
        </w:rPr>
        <w:t xml:space="preserve"> </w:t>
      </w:r>
      <w:r w:rsidRPr="00904FCB">
        <w:rPr>
          <w:rFonts w:hint="cs"/>
          <w:sz w:val="27"/>
          <w:rtl/>
        </w:rPr>
        <w:t>المشكلة</w:t>
      </w:r>
      <w:r w:rsidR="001D46E0" w:rsidRPr="00904FCB">
        <w:rPr>
          <w:rFonts w:hint="cs"/>
          <w:sz w:val="27"/>
          <w:rtl/>
        </w:rPr>
        <w:t>،</w:t>
      </w:r>
      <w:r w:rsidRPr="00904FCB">
        <w:rPr>
          <w:sz w:val="27"/>
          <w:rtl/>
        </w:rPr>
        <w:t xml:space="preserve"> </w:t>
      </w:r>
      <w:r w:rsidRPr="00904FCB">
        <w:rPr>
          <w:rFonts w:hint="cs"/>
          <w:sz w:val="27"/>
          <w:rtl/>
        </w:rPr>
        <w:t>وراكم</w:t>
      </w:r>
      <w:r w:rsidRPr="00904FCB">
        <w:rPr>
          <w:sz w:val="27"/>
          <w:rtl/>
        </w:rPr>
        <w:t xml:space="preserve"> </w:t>
      </w:r>
      <w:r w:rsidRPr="00904FCB">
        <w:rPr>
          <w:rFonts w:hint="cs"/>
          <w:sz w:val="27"/>
          <w:rtl/>
        </w:rPr>
        <w:t>تجارب</w:t>
      </w:r>
      <w:r w:rsidRPr="00904FCB">
        <w:rPr>
          <w:sz w:val="27"/>
          <w:rtl/>
        </w:rPr>
        <w:t xml:space="preserve"> </w:t>
      </w:r>
      <w:r w:rsidRPr="00904FCB">
        <w:rPr>
          <w:rFonts w:hint="cs"/>
          <w:sz w:val="27"/>
          <w:rtl/>
        </w:rPr>
        <w:t>ومنهجيات</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العضوي</w:t>
      </w:r>
      <w:r w:rsidRPr="00904FCB">
        <w:rPr>
          <w:sz w:val="27"/>
          <w:rtl/>
        </w:rPr>
        <w:t xml:space="preserve"> </w:t>
      </w:r>
      <w:r w:rsidRPr="00904FCB">
        <w:rPr>
          <w:rFonts w:hint="cs"/>
          <w:sz w:val="27"/>
          <w:rtl/>
        </w:rPr>
        <w:t>الدموي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بلداننا</w:t>
      </w:r>
      <w:r w:rsidRPr="00904FCB">
        <w:rPr>
          <w:sz w:val="27"/>
          <w:rtl/>
        </w:rPr>
        <w:t xml:space="preserve"> </w:t>
      </w:r>
      <w:r w:rsidRPr="00904FCB">
        <w:rPr>
          <w:rFonts w:hint="cs"/>
          <w:sz w:val="27"/>
          <w:rtl/>
        </w:rPr>
        <w:t>العربي</w:t>
      </w:r>
      <w:r w:rsidR="00A8172D">
        <w:rPr>
          <w:rFonts w:hint="cs"/>
          <w:sz w:val="27"/>
          <w:rtl/>
        </w:rPr>
        <w:t>ّة</w:t>
      </w:r>
      <w:r w:rsidR="001D46E0" w:rsidRPr="00904FCB">
        <w:rPr>
          <w:rFonts w:hint="cs"/>
          <w:sz w:val="27"/>
          <w:rtl/>
        </w:rPr>
        <w:t>.</w:t>
      </w:r>
      <w:r w:rsidRPr="00904FCB">
        <w:rPr>
          <w:rFonts w:hint="cs"/>
          <w:sz w:val="27"/>
          <w:rtl/>
        </w:rPr>
        <w:t xml:space="preserve"> فكل</w:t>
      </w:r>
      <w:r w:rsidRPr="00904FCB">
        <w:rPr>
          <w:sz w:val="27"/>
          <w:rtl/>
        </w:rPr>
        <w:t xml:space="preserve"> </w:t>
      </w:r>
      <w:r w:rsidRPr="00904FCB">
        <w:rPr>
          <w:rFonts w:hint="cs"/>
          <w:sz w:val="27"/>
          <w:rtl/>
        </w:rPr>
        <w:t>نظام</w:t>
      </w:r>
      <w:r w:rsidRPr="00904FCB">
        <w:rPr>
          <w:sz w:val="27"/>
          <w:rtl/>
        </w:rPr>
        <w:t xml:space="preserve"> </w:t>
      </w:r>
      <w:r w:rsidRPr="00904FCB">
        <w:rPr>
          <w:rFonts w:hint="cs"/>
          <w:sz w:val="27"/>
          <w:rtl/>
        </w:rPr>
        <w:t>سياسي</w:t>
      </w:r>
      <w:r w:rsidRPr="00904FCB">
        <w:rPr>
          <w:sz w:val="27"/>
          <w:rtl/>
        </w:rPr>
        <w:t xml:space="preserve"> </w:t>
      </w:r>
      <w:r w:rsidRPr="00904FCB">
        <w:rPr>
          <w:rFonts w:hint="cs"/>
          <w:sz w:val="27"/>
          <w:rtl/>
        </w:rPr>
        <w:t>عربي</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يريد</w:t>
      </w:r>
      <w:r w:rsidRPr="00904FCB">
        <w:rPr>
          <w:sz w:val="27"/>
          <w:rtl/>
        </w:rPr>
        <w:t xml:space="preserve"> </w:t>
      </w:r>
      <w:r w:rsidRPr="00904FCB">
        <w:rPr>
          <w:rFonts w:hint="cs"/>
          <w:sz w:val="27"/>
          <w:rtl/>
        </w:rPr>
        <w:t>تعليق</w:t>
      </w:r>
      <w:r w:rsidRPr="00904FCB">
        <w:rPr>
          <w:sz w:val="27"/>
          <w:rtl/>
        </w:rPr>
        <w:t xml:space="preserve"> </w:t>
      </w:r>
      <w:r w:rsidRPr="00904FCB">
        <w:rPr>
          <w:rFonts w:hint="cs"/>
          <w:sz w:val="27"/>
          <w:rtl/>
        </w:rPr>
        <w:t>مشاكله</w:t>
      </w:r>
      <w:r w:rsidRPr="00904FCB">
        <w:rPr>
          <w:sz w:val="27"/>
          <w:rtl/>
        </w:rPr>
        <w:t xml:space="preserve"> </w:t>
      </w:r>
      <w:r w:rsidRPr="00904FCB">
        <w:rPr>
          <w:rFonts w:hint="cs"/>
          <w:sz w:val="27"/>
          <w:rtl/>
        </w:rPr>
        <w:t>وأزماته</w:t>
      </w:r>
      <w:r w:rsidRPr="00904FCB">
        <w:rPr>
          <w:sz w:val="27"/>
          <w:rtl/>
        </w:rPr>
        <w:t xml:space="preserve"> </w:t>
      </w:r>
      <w:r w:rsidRPr="00904FCB">
        <w:rPr>
          <w:rFonts w:hint="cs"/>
          <w:sz w:val="27"/>
          <w:rtl/>
        </w:rPr>
        <w:t>الذاتي</w:t>
      </w:r>
      <w:r w:rsidR="001D46E0"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الداخلية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شم</w:t>
      </w:r>
      <w:r w:rsidR="001D46E0" w:rsidRPr="00904FCB">
        <w:rPr>
          <w:rFonts w:hint="cs"/>
          <w:sz w:val="27"/>
          <w:rtl/>
        </w:rPr>
        <w:t>ّ</w:t>
      </w:r>
      <w:r w:rsidRPr="00904FCB">
        <w:rPr>
          <w:rFonts w:hint="cs"/>
          <w:sz w:val="27"/>
          <w:rtl/>
        </w:rPr>
        <w:t>اعة</w:t>
      </w:r>
      <w:r w:rsidRPr="00904FCB">
        <w:rPr>
          <w:sz w:val="27"/>
          <w:rtl/>
        </w:rPr>
        <w:t xml:space="preserve"> </w:t>
      </w:r>
      <w:r w:rsidRPr="00904FCB">
        <w:rPr>
          <w:rFonts w:hint="eastAsia"/>
          <w:sz w:val="27"/>
          <w:rtl/>
        </w:rPr>
        <w:t>«</w:t>
      </w:r>
      <w:r w:rsidRPr="00904FCB">
        <w:rPr>
          <w:rFonts w:hint="cs"/>
          <w:sz w:val="27"/>
          <w:rtl/>
        </w:rPr>
        <w:t>العدو</w:t>
      </w:r>
      <w:r w:rsidR="001D46E0" w:rsidRPr="00904FCB">
        <w:rPr>
          <w:rFonts w:hint="cs"/>
          <w:sz w:val="27"/>
          <w:rtl/>
        </w:rPr>
        <w:t>ّ</w:t>
      </w:r>
      <w:r w:rsidRPr="00904FCB">
        <w:rPr>
          <w:rFonts w:hint="eastAsia"/>
          <w:sz w:val="27"/>
          <w:rtl/>
        </w:rPr>
        <w:t>»</w:t>
      </w:r>
      <w:r w:rsidRPr="00904FCB">
        <w:rPr>
          <w:rFonts w:hint="cs"/>
          <w:sz w:val="27"/>
          <w:rtl/>
        </w:rPr>
        <w:t>، واستغلال</w:t>
      </w:r>
      <w:r w:rsidRPr="00904FCB">
        <w:rPr>
          <w:sz w:val="27"/>
          <w:rtl/>
        </w:rPr>
        <w:t xml:space="preserve"> </w:t>
      </w:r>
      <w:r w:rsidRPr="00904FCB">
        <w:rPr>
          <w:rFonts w:hint="cs"/>
          <w:sz w:val="27"/>
          <w:rtl/>
        </w:rPr>
        <w:t>واستثمار</w:t>
      </w:r>
      <w:r w:rsidRPr="00904FCB">
        <w:rPr>
          <w:sz w:val="27"/>
          <w:rtl/>
        </w:rPr>
        <w:t xml:space="preserve"> </w:t>
      </w:r>
      <w:r w:rsidRPr="00904FCB">
        <w:rPr>
          <w:rFonts w:hint="cs"/>
          <w:sz w:val="27"/>
          <w:rtl/>
        </w:rPr>
        <w:t>قضية</w:t>
      </w:r>
      <w:r w:rsidRPr="00904FCB">
        <w:rPr>
          <w:sz w:val="27"/>
          <w:rtl/>
        </w:rPr>
        <w:t xml:space="preserve"> </w:t>
      </w:r>
      <w:r w:rsidRPr="00904FCB">
        <w:rPr>
          <w:rFonts w:hint="cs"/>
          <w:sz w:val="27"/>
          <w:rtl/>
        </w:rPr>
        <w:t>الصراع</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إسرائيل</w:t>
      </w:r>
      <w:r w:rsidR="001D46E0" w:rsidRPr="00904FCB">
        <w:rPr>
          <w:rFonts w:hint="cs"/>
          <w:sz w:val="27"/>
          <w:rtl/>
        </w:rPr>
        <w:t>؛</w:t>
      </w:r>
      <w:r w:rsidRPr="00904FCB">
        <w:rPr>
          <w:sz w:val="27"/>
          <w:rtl/>
        </w:rPr>
        <w:t xml:space="preserve"> </w:t>
      </w:r>
      <w:r w:rsidRPr="00904FCB">
        <w:rPr>
          <w:rFonts w:hint="cs"/>
          <w:sz w:val="27"/>
          <w:rtl/>
        </w:rPr>
        <w:t>لتنفيذ</w:t>
      </w:r>
      <w:r w:rsidRPr="00904FCB">
        <w:rPr>
          <w:sz w:val="27"/>
          <w:rtl/>
        </w:rPr>
        <w:t xml:space="preserve"> </w:t>
      </w:r>
      <w:r w:rsidRPr="00904FCB">
        <w:rPr>
          <w:rFonts w:hint="cs"/>
          <w:sz w:val="27"/>
          <w:rtl/>
        </w:rPr>
        <w:t>أجندته</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داخل</w:t>
      </w:r>
      <w:r w:rsidRPr="00904FCB">
        <w:rPr>
          <w:sz w:val="27"/>
          <w:rtl/>
        </w:rPr>
        <w:t xml:space="preserve"> </w:t>
      </w:r>
      <w:r w:rsidRPr="00904FCB">
        <w:rPr>
          <w:rFonts w:hint="cs"/>
          <w:sz w:val="27"/>
          <w:rtl/>
        </w:rPr>
        <w:t>بلده، فيقتل</w:t>
      </w:r>
      <w:r w:rsidRPr="00904FCB">
        <w:rPr>
          <w:sz w:val="27"/>
          <w:rtl/>
        </w:rPr>
        <w:t xml:space="preserve"> </w:t>
      </w:r>
      <w:r w:rsidRPr="00904FCB">
        <w:rPr>
          <w:rFonts w:hint="cs"/>
          <w:sz w:val="27"/>
          <w:rtl/>
        </w:rPr>
        <w:t>المعارضين، ويلغي</w:t>
      </w:r>
      <w:r w:rsidRPr="00904FCB">
        <w:rPr>
          <w:sz w:val="27"/>
          <w:rtl/>
        </w:rPr>
        <w:t xml:space="preserve"> </w:t>
      </w:r>
      <w:r w:rsidRPr="00904FCB">
        <w:rPr>
          <w:rFonts w:hint="cs"/>
          <w:sz w:val="27"/>
          <w:rtl/>
        </w:rPr>
        <w:t>الحياة</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بالكامل، ويوس</w:t>
      </w:r>
      <w:r w:rsidR="001D46E0" w:rsidRPr="00904FCB">
        <w:rPr>
          <w:rFonts w:hint="cs"/>
          <w:sz w:val="27"/>
          <w:rtl/>
        </w:rPr>
        <w:t>ِّ</w:t>
      </w:r>
      <w:r w:rsidRPr="00904FCB">
        <w:rPr>
          <w:rFonts w:hint="cs"/>
          <w:sz w:val="27"/>
          <w:rtl/>
        </w:rPr>
        <w:t>ع</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السجون</w:t>
      </w:r>
      <w:r w:rsidRPr="00904FCB">
        <w:rPr>
          <w:sz w:val="27"/>
          <w:rtl/>
        </w:rPr>
        <w:t xml:space="preserve"> </w:t>
      </w:r>
      <w:r w:rsidRPr="00904FCB">
        <w:rPr>
          <w:rFonts w:hint="cs"/>
          <w:sz w:val="27"/>
          <w:rtl/>
        </w:rPr>
        <w:t>والمعتقلات</w:t>
      </w:r>
      <w:r w:rsidRPr="00904FCB">
        <w:rPr>
          <w:sz w:val="27"/>
          <w:rtl/>
        </w:rPr>
        <w:t xml:space="preserve"> </w:t>
      </w:r>
      <w:r w:rsidRPr="00904FCB">
        <w:rPr>
          <w:rFonts w:hint="cs"/>
          <w:sz w:val="27"/>
          <w:rtl/>
        </w:rPr>
        <w:t>والمنافي</w:t>
      </w:r>
      <w:r w:rsidRPr="00904FCB">
        <w:rPr>
          <w:sz w:val="27"/>
          <w:rtl/>
        </w:rPr>
        <w:t xml:space="preserve"> </w:t>
      </w:r>
      <w:r w:rsidRPr="00904FCB">
        <w:rPr>
          <w:rFonts w:hint="cs"/>
          <w:sz w:val="27"/>
          <w:rtl/>
        </w:rPr>
        <w:t>الصحراوية، وينفق</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أجهزة</w:t>
      </w:r>
      <w:r w:rsidRPr="00904FCB">
        <w:rPr>
          <w:sz w:val="27"/>
          <w:rtl/>
        </w:rPr>
        <w:t xml:space="preserve"> </w:t>
      </w:r>
      <w:r w:rsidRPr="00904FCB">
        <w:rPr>
          <w:rFonts w:hint="cs"/>
          <w:sz w:val="27"/>
          <w:rtl/>
        </w:rPr>
        <w:t>الأمن</w:t>
      </w:r>
      <w:r w:rsidRPr="00904FCB">
        <w:rPr>
          <w:sz w:val="27"/>
          <w:rtl/>
        </w:rPr>
        <w:t xml:space="preserve"> </w:t>
      </w:r>
      <w:r w:rsidRPr="00904FCB">
        <w:rPr>
          <w:rFonts w:hint="cs"/>
          <w:sz w:val="27"/>
          <w:rtl/>
        </w:rPr>
        <w:t>والعسكر</w:t>
      </w:r>
      <w:r w:rsidRPr="00904FCB">
        <w:rPr>
          <w:sz w:val="27"/>
          <w:rtl/>
        </w:rPr>
        <w:t xml:space="preserve"> </w:t>
      </w:r>
      <w:r w:rsidRPr="00904FCB">
        <w:rPr>
          <w:rFonts w:hint="cs"/>
          <w:sz w:val="27"/>
          <w:rtl/>
        </w:rPr>
        <w:t>بصورة</w:t>
      </w:r>
      <w:r w:rsidR="001D46E0" w:rsidRPr="00904FCB">
        <w:rPr>
          <w:rFonts w:hint="cs"/>
          <w:sz w:val="27"/>
          <w:rtl/>
        </w:rPr>
        <w:t>ٍ</w:t>
      </w:r>
      <w:r w:rsidRPr="00904FCB">
        <w:rPr>
          <w:sz w:val="27"/>
          <w:rtl/>
        </w:rPr>
        <w:t xml:space="preserve"> </w:t>
      </w:r>
      <w:r w:rsidRPr="00904FCB">
        <w:rPr>
          <w:rFonts w:hint="cs"/>
          <w:sz w:val="27"/>
          <w:rtl/>
        </w:rPr>
        <w:t>مفتوحة</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حدود</w:t>
      </w:r>
      <w:r w:rsidRPr="00904FCB">
        <w:rPr>
          <w:sz w:val="27"/>
          <w:rtl/>
        </w:rPr>
        <w:t xml:space="preserve"> </w:t>
      </w:r>
      <w:r w:rsidRPr="00904FCB">
        <w:rPr>
          <w:rFonts w:hint="cs"/>
          <w:sz w:val="27"/>
          <w:rtl/>
        </w:rPr>
        <w:t>لها، ويؤج</w:t>
      </w:r>
      <w:r w:rsidR="001D46E0" w:rsidRPr="00904FCB">
        <w:rPr>
          <w:rFonts w:hint="cs"/>
          <w:sz w:val="27"/>
          <w:rtl/>
        </w:rPr>
        <w:t>ِّ</w:t>
      </w:r>
      <w:r w:rsidRPr="00904FCB">
        <w:rPr>
          <w:rFonts w:hint="cs"/>
          <w:sz w:val="27"/>
          <w:rtl/>
        </w:rPr>
        <w:t>ل</w:t>
      </w:r>
      <w:r w:rsidRPr="00904FCB">
        <w:rPr>
          <w:sz w:val="27"/>
          <w:rtl/>
        </w:rPr>
        <w:t xml:space="preserve"> </w:t>
      </w:r>
      <w:r w:rsidRPr="00904FCB">
        <w:rPr>
          <w:rFonts w:hint="cs"/>
          <w:sz w:val="27"/>
          <w:rtl/>
        </w:rPr>
        <w:t>خطط</w:t>
      </w:r>
      <w:r w:rsidRPr="00904FCB">
        <w:rPr>
          <w:sz w:val="27"/>
          <w:rtl/>
        </w:rPr>
        <w:t xml:space="preserve"> </w:t>
      </w:r>
      <w:r w:rsidRPr="00904FCB">
        <w:rPr>
          <w:rFonts w:hint="cs"/>
          <w:sz w:val="27"/>
          <w:rtl/>
        </w:rPr>
        <w:t>التنمية</w:t>
      </w:r>
      <w:r w:rsidRPr="00904FCB">
        <w:rPr>
          <w:sz w:val="27"/>
          <w:rtl/>
        </w:rPr>
        <w:t xml:space="preserve"> </w:t>
      </w:r>
      <w:r w:rsidRPr="00904FCB">
        <w:rPr>
          <w:rFonts w:hint="cs"/>
          <w:sz w:val="27"/>
          <w:rtl/>
        </w:rPr>
        <w:t>البشرية، ويخص</w:t>
      </w:r>
      <w:r w:rsidR="001D46E0" w:rsidRPr="00904FCB">
        <w:rPr>
          <w:rFonts w:hint="cs"/>
          <w:sz w:val="27"/>
          <w:rtl/>
        </w:rPr>
        <w:t>ِّ</w:t>
      </w:r>
      <w:r w:rsidRPr="00904FCB">
        <w:rPr>
          <w:rFonts w:hint="cs"/>
          <w:sz w:val="27"/>
          <w:rtl/>
        </w:rPr>
        <w:t>ص</w:t>
      </w:r>
      <w:r w:rsidRPr="00904FCB">
        <w:rPr>
          <w:sz w:val="27"/>
          <w:rtl/>
        </w:rPr>
        <w:t xml:space="preserve"> </w:t>
      </w:r>
      <w:r w:rsidRPr="00904FCB">
        <w:rPr>
          <w:rFonts w:hint="cs"/>
          <w:sz w:val="27"/>
          <w:rtl/>
        </w:rPr>
        <w:t>الجزء</w:t>
      </w:r>
      <w:r w:rsidRPr="00904FCB">
        <w:rPr>
          <w:sz w:val="27"/>
          <w:rtl/>
        </w:rPr>
        <w:t xml:space="preserve"> </w:t>
      </w:r>
      <w:r w:rsidRPr="00904FCB">
        <w:rPr>
          <w:rFonts w:hint="cs"/>
          <w:sz w:val="27"/>
          <w:rtl/>
        </w:rPr>
        <w:t>الأكبر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الميزانية</w:t>
      </w:r>
      <w:r w:rsidRPr="00904FCB">
        <w:rPr>
          <w:sz w:val="27"/>
          <w:rtl/>
        </w:rPr>
        <w:t xml:space="preserve"> </w:t>
      </w:r>
      <w:r w:rsidRPr="00904FCB">
        <w:rPr>
          <w:rFonts w:hint="cs"/>
          <w:sz w:val="27"/>
          <w:rtl/>
        </w:rPr>
        <w:t>العامة</w:t>
      </w:r>
      <w:r w:rsidRPr="00904FCB">
        <w:rPr>
          <w:sz w:val="27"/>
          <w:rtl/>
        </w:rPr>
        <w:t xml:space="preserve"> </w:t>
      </w:r>
      <w:r w:rsidRPr="00904FCB">
        <w:rPr>
          <w:rFonts w:hint="cs"/>
          <w:sz w:val="27"/>
          <w:rtl/>
        </w:rPr>
        <w:t>لبلده</w:t>
      </w:r>
      <w:r w:rsidRPr="00904FCB">
        <w:rPr>
          <w:sz w:val="27"/>
          <w:rtl/>
        </w:rPr>
        <w:t xml:space="preserve"> </w:t>
      </w:r>
      <w:r w:rsidR="001D46E0" w:rsidRPr="00904FCB">
        <w:rPr>
          <w:rFonts w:hint="cs"/>
          <w:sz w:val="27"/>
          <w:rtl/>
        </w:rPr>
        <w:t>ل</w:t>
      </w:r>
      <w:r w:rsidRPr="00904FCB">
        <w:rPr>
          <w:rFonts w:hint="cs"/>
          <w:sz w:val="27"/>
          <w:rtl/>
        </w:rPr>
        <w:t>شراء</w:t>
      </w:r>
      <w:r w:rsidRPr="00904FCB">
        <w:rPr>
          <w:sz w:val="27"/>
          <w:rtl/>
        </w:rPr>
        <w:t xml:space="preserve"> </w:t>
      </w:r>
      <w:r w:rsidRPr="00904FCB">
        <w:rPr>
          <w:rFonts w:hint="cs"/>
          <w:sz w:val="27"/>
          <w:rtl/>
        </w:rPr>
        <w:t>وتكديس</w:t>
      </w:r>
      <w:r w:rsidRPr="00904FCB">
        <w:rPr>
          <w:sz w:val="27"/>
          <w:rtl/>
        </w:rPr>
        <w:t xml:space="preserve"> </w:t>
      </w:r>
      <w:r w:rsidRPr="00904FCB">
        <w:rPr>
          <w:rFonts w:hint="cs"/>
          <w:sz w:val="27"/>
          <w:rtl/>
        </w:rPr>
        <w:t>السلاح</w:t>
      </w:r>
      <w:r w:rsidRPr="00904FCB">
        <w:rPr>
          <w:sz w:val="27"/>
          <w:rtl/>
        </w:rPr>
        <w:t xml:space="preserve"> </w:t>
      </w:r>
      <w:r w:rsidRPr="00904FCB">
        <w:rPr>
          <w:rFonts w:hint="cs"/>
          <w:sz w:val="27"/>
          <w:rtl/>
        </w:rPr>
        <w:t>للمواجهة</w:t>
      </w:r>
      <w:r w:rsidRPr="00904FCB">
        <w:rPr>
          <w:sz w:val="27"/>
          <w:rtl/>
        </w:rPr>
        <w:t xml:space="preserve"> </w:t>
      </w:r>
      <w:r w:rsidRPr="00904FCB">
        <w:rPr>
          <w:rFonts w:hint="cs"/>
          <w:sz w:val="27"/>
          <w:rtl/>
        </w:rPr>
        <w:t>الشاملة</w:t>
      </w:r>
      <w:r w:rsidRPr="00904FCB">
        <w:rPr>
          <w:sz w:val="27"/>
          <w:rtl/>
        </w:rPr>
        <w:t xml:space="preserve"> (</w:t>
      </w:r>
      <w:r w:rsidRPr="00904FCB">
        <w:rPr>
          <w:rFonts w:hint="cs"/>
          <w:sz w:val="27"/>
          <w:rtl/>
        </w:rPr>
        <w:t>المرتقبة</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العدو</w:t>
      </w:r>
      <w:r w:rsidRPr="00904FCB">
        <w:rPr>
          <w:sz w:val="27"/>
          <w:rtl/>
        </w:rPr>
        <w:t xml:space="preserve"> </w:t>
      </w:r>
      <w:r w:rsidRPr="00904FCB">
        <w:rPr>
          <w:rFonts w:hint="cs"/>
          <w:sz w:val="27"/>
          <w:rtl/>
        </w:rPr>
        <w:t>الإسرائيلي، وتحرم</w:t>
      </w:r>
      <w:r w:rsidRPr="00904FCB">
        <w:rPr>
          <w:sz w:val="27"/>
          <w:rtl/>
        </w:rPr>
        <w:t xml:space="preserve"> </w:t>
      </w:r>
      <w:r w:rsidRPr="00904FCB">
        <w:rPr>
          <w:rFonts w:hint="cs"/>
          <w:sz w:val="27"/>
          <w:rtl/>
        </w:rPr>
        <w:t>الناس</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أبسط</w:t>
      </w:r>
      <w:r w:rsidRPr="00904FCB">
        <w:rPr>
          <w:sz w:val="27"/>
          <w:rtl/>
        </w:rPr>
        <w:t xml:space="preserve"> </w:t>
      </w:r>
      <w:r w:rsidRPr="00904FCB">
        <w:rPr>
          <w:rFonts w:hint="cs"/>
          <w:sz w:val="27"/>
          <w:rtl/>
        </w:rPr>
        <w:t>حقوقها</w:t>
      </w:r>
      <w:r w:rsidRPr="00904FCB">
        <w:rPr>
          <w:sz w:val="27"/>
          <w:rtl/>
        </w:rPr>
        <w:t xml:space="preserve"> </w:t>
      </w:r>
      <w:r w:rsidRPr="00904FCB">
        <w:rPr>
          <w:rFonts w:hint="cs"/>
          <w:sz w:val="27"/>
          <w:rtl/>
        </w:rPr>
        <w:t>المدنية</w:t>
      </w:r>
      <w:r w:rsidRPr="00904FCB">
        <w:rPr>
          <w:sz w:val="27"/>
          <w:rtl/>
        </w:rPr>
        <w:t xml:space="preserve"> </w:t>
      </w:r>
      <w:r w:rsidRPr="00904FCB">
        <w:rPr>
          <w:rFonts w:hint="cs"/>
          <w:sz w:val="27"/>
          <w:rtl/>
        </w:rPr>
        <w:t>والحياتية، وتعلن</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الطوارئ</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الدوام</w:t>
      </w:r>
      <w:r w:rsidRPr="00904FCB">
        <w:rPr>
          <w:sz w:val="27"/>
          <w:rtl/>
        </w:rPr>
        <w:t xml:space="preserve"> </w:t>
      </w:r>
      <w:r w:rsidRPr="00904FCB">
        <w:rPr>
          <w:rFonts w:hint="cs"/>
          <w:sz w:val="27"/>
          <w:rtl/>
        </w:rPr>
        <w:t>وإلى</w:t>
      </w:r>
      <w:r w:rsidRPr="00904FCB">
        <w:rPr>
          <w:sz w:val="27"/>
          <w:rtl/>
        </w:rPr>
        <w:t xml:space="preserve"> </w:t>
      </w:r>
      <w:r w:rsidRPr="00904FCB">
        <w:rPr>
          <w:rFonts w:hint="cs"/>
          <w:sz w:val="27"/>
          <w:rtl/>
        </w:rPr>
        <w:t>الأبد، ويجعل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القادة</w:t>
      </w:r>
      <w:r w:rsidRPr="00904FCB">
        <w:rPr>
          <w:sz w:val="27"/>
          <w:rtl/>
        </w:rPr>
        <w:t xml:space="preserve"> </w:t>
      </w:r>
      <w:r w:rsidRPr="00904FCB">
        <w:rPr>
          <w:rFonts w:hint="cs"/>
          <w:sz w:val="27"/>
          <w:rtl/>
        </w:rPr>
        <w:t>آلهة</w:t>
      </w:r>
      <w:r w:rsidR="00013313"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أشباه</w:t>
      </w:r>
      <w:r w:rsidRPr="00904FCB">
        <w:rPr>
          <w:sz w:val="27"/>
          <w:rtl/>
        </w:rPr>
        <w:t xml:space="preserve"> </w:t>
      </w:r>
      <w:r w:rsidRPr="00904FCB">
        <w:rPr>
          <w:rFonts w:hint="cs"/>
          <w:sz w:val="27"/>
          <w:rtl/>
        </w:rPr>
        <w:t>آلهة</w:t>
      </w:r>
      <w:r w:rsidRPr="00904FCB">
        <w:rPr>
          <w:sz w:val="27"/>
          <w:rtl/>
        </w:rPr>
        <w:t xml:space="preserve">. </w:t>
      </w:r>
      <w:r w:rsidRPr="00904FCB">
        <w:rPr>
          <w:rFonts w:hint="cs"/>
          <w:sz w:val="27"/>
          <w:rtl/>
        </w:rPr>
        <w:t>كل</w:t>
      </w:r>
      <w:r w:rsidR="00013313" w:rsidRPr="00904FCB">
        <w:rPr>
          <w:rFonts w:hint="cs"/>
          <w:sz w:val="27"/>
          <w:rtl/>
        </w:rPr>
        <w:t>ّ</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فقط</w:t>
      </w:r>
      <w:r w:rsidRPr="00904FCB">
        <w:rPr>
          <w:sz w:val="27"/>
          <w:rtl/>
        </w:rPr>
        <w:t xml:space="preserve"> </w:t>
      </w:r>
      <w:r w:rsidRPr="00904FCB">
        <w:rPr>
          <w:rFonts w:hint="cs"/>
          <w:sz w:val="27"/>
          <w:rtl/>
        </w:rPr>
        <w:t>كرمى</w:t>
      </w:r>
      <w:r w:rsidRPr="00904FCB">
        <w:rPr>
          <w:sz w:val="27"/>
          <w:rtl/>
        </w:rPr>
        <w:t xml:space="preserve"> </w:t>
      </w:r>
      <w:r w:rsidRPr="00904FCB">
        <w:rPr>
          <w:rFonts w:hint="cs"/>
          <w:sz w:val="27"/>
          <w:rtl/>
        </w:rPr>
        <w:t>لعيون</w:t>
      </w:r>
      <w:r w:rsidRPr="00904FCB">
        <w:rPr>
          <w:sz w:val="27"/>
          <w:rtl/>
        </w:rPr>
        <w:t xml:space="preserve"> </w:t>
      </w:r>
      <w:r w:rsidRPr="00904FCB">
        <w:rPr>
          <w:rFonts w:hint="cs"/>
          <w:sz w:val="27"/>
          <w:rtl/>
        </w:rPr>
        <w:t>الصراع</w:t>
      </w:r>
      <w:r w:rsidRPr="00904FCB">
        <w:rPr>
          <w:sz w:val="27"/>
          <w:rtl/>
        </w:rPr>
        <w:t xml:space="preserve"> </w:t>
      </w:r>
      <w:r w:rsidRPr="00904FCB">
        <w:rPr>
          <w:rFonts w:hint="cs"/>
          <w:sz w:val="27"/>
          <w:rtl/>
        </w:rPr>
        <w:t>ضد</w:t>
      </w:r>
      <w:r w:rsidR="00013313" w:rsidRPr="00904FCB">
        <w:rPr>
          <w:rFonts w:hint="cs"/>
          <w:sz w:val="27"/>
          <w:rtl/>
        </w:rPr>
        <w:t>ّ</w:t>
      </w:r>
      <w:r w:rsidRPr="00904FCB">
        <w:rPr>
          <w:sz w:val="27"/>
          <w:rtl/>
        </w:rPr>
        <w:t xml:space="preserve"> </w:t>
      </w:r>
      <w:r w:rsidRPr="00904FCB">
        <w:rPr>
          <w:rFonts w:hint="cs"/>
          <w:sz w:val="27"/>
          <w:rtl/>
        </w:rPr>
        <w:t>العدو</w:t>
      </w:r>
      <w:r w:rsidRPr="00904FCB">
        <w:rPr>
          <w:sz w:val="27"/>
          <w:rtl/>
        </w:rPr>
        <w:t xml:space="preserve"> </w:t>
      </w:r>
      <w:r w:rsidRPr="00904FCB">
        <w:rPr>
          <w:rFonts w:hint="cs"/>
          <w:sz w:val="27"/>
          <w:rtl/>
        </w:rPr>
        <w:t>الأبدي</w:t>
      </w:r>
      <w:r w:rsidR="00013313" w:rsidRPr="00904FCB">
        <w:rPr>
          <w:rFonts w:hint="cs"/>
          <w:sz w:val="27"/>
          <w:rtl/>
        </w:rPr>
        <w:t>ّ</w:t>
      </w:r>
      <w:r w:rsidRPr="00904FCB">
        <w:rPr>
          <w:sz w:val="27"/>
          <w:rtl/>
        </w:rPr>
        <w:t xml:space="preserve"> </w:t>
      </w:r>
      <w:r w:rsidRPr="00904FCB">
        <w:rPr>
          <w:rFonts w:hint="cs"/>
          <w:sz w:val="27"/>
          <w:rtl/>
        </w:rPr>
        <w:t>إسرائيل</w:t>
      </w:r>
      <w:r w:rsidRPr="00904FCB">
        <w:rPr>
          <w:sz w:val="27"/>
          <w:rtl/>
        </w:rPr>
        <w:t xml:space="preserve">. </w:t>
      </w:r>
      <w:r w:rsidRPr="00904FCB">
        <w:rPr>
          <w:rFonts w:hint="cs"/>
          <w:sz w:val="27"/>
          <w:rtl/>
        </w:rPr>
        <w:t>طبعاً</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إسرائيل</w:t>
      </w:r>
      <w:r w:rsidRPr="00904FCB">
        <w:rPr>
          <w:sz w:val="27"/>
          <w:rtl/>
        </w:rPr>
        <w:t xml:space="preserve"> </w:t>
      </w:r>
      <w:r w:rsidRPr="00904FCB">
        <w:rPr>
          <w:rFonts w:hint="cs"/>
          <w:sz w:val="27"/>
          <w:rtl/>
        </w:rPr>
        <w:t>كعامل</w:t>
      </w:r>
      <w:r w:rsidR="00013313" w:rsidRPr="00904FCB">
        <w:rPr>
          <w:rFonts w:hint="cs"/>
          <w:sz w:val="27"/>
          <w:rtl/>
        </w:rPr>
        <w:t>ٍ</w:t>
      </w:r>
      <w:r w:rsidRPr="00904FCB">
        <w:rPr>
          <w:sz w:val="27"/>
          <w:rtl/>
        </w:rPr>
        <w:t xml:space="preserve"> </w:t>
      </w:r>
      <w:r w:rsidRPr="00904FCB">
        <w:rPr>
          <w:rFonts w:hint="cs"/>
          <w:sz w:val="27"/>
          <w:rtl/>
        </w:rPr>
        <w:t>مساعد</w:t>
      </w:r>
      <w:r w:rsidRPr="00904FCB">
        <w:rPr>
          <w:sz w:val="27"/>
          <w:rtl/>
        </w:rPr>
        <w:t xml:space="preserve"> </w:t>
      </w:r>
      <w:r w:rsidRPr="00904FCB">
        <w:rPr>
          <w:rFonts w:hint="cs"/>
          <w:sz w:val="27"/>
          <w:rtl/>
        </w:rPr>
        <w:t>لإنتاج</w:t>
      </w:r>
      <w:r w:rsidRPr="00904FCB">
        <w:rPr>
          <w:sz w:val="27"/>
          <w:rtl/>
        </w:rPr>
        <w:t xml:space="preserve"> </w:t>
      </w:r>
      <w:r w:rsidRPr="00904FCB">
        <w:rPr>
          <w:rFonts w:hint="cs"/>
          <w:sz w:val="27"/>
          <w:rtl/>
        </w:rPr>
        <w:t>مناخ</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واقعنا</w:t>
      </w:r>
      <w:r w:rsidRPr="00904FCB">
        <w:rPr>
          <w:sz w:val="27"/>
          <w:rtl/>
        </w:rPr>
        <w:t xml:space="preserve"> </w:t>
      </w:r>
      <w:r w:rsidRPr="00904FCB">
        <w:rPr>
          <w:rFonts w:hint="cs"/>
          <w:sz w:val="27"/>
          <w:rtl/>
        </w:rPr>
        <w:t>العربي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يلغي</w:t>
      </w:r>
      <w:r w:rsidRPr="00904FCB">
        <w:rPr>
          <w:sz w:val="27"/>
          <w:rtl/>
        </w:rPr>
        <w:t xml:space="preserve"> </w:t>
      </w:r>
      <w:r w:rsidR="00013313" w:rsidRPr="00904FCB">
        <w:rPr>
          <w:rFonts w:hint="cs"/>
          <w:sz w:val="27"/>
          <w:rtl/>
        </w:rPr>
        <w:t xml:space="preserve">ـ </w:t>
      </w:r>
      <w:r w:rsidRPr="00904FCB">
        <w:rPr>
          <w:rFonts w:hint="cs"/>
          <w:sz w:val="27"/>
          <w:rtl/>
        </w:rPr>
        <w:t>كما</w:t>
      </w:r>
      <w:r w:rsidRPr="00904FCB">
        <w:rPr>
          <w:sz w:val="27"/>
          <w:rtl/>
        </w:rPr>
        <w:t xml:space="preserve"> </w:t>
      </w:r>
      <w:r w:rsidRPr="00904FCB">
        <w:rPr>
          <w:rFonts w:hint="cs"/>
          <w:sz w:val="27"/>
          <w:rtl/>
        </w:rPr>
        <w:t>قلنا</w:t>
      </w:r>
      <w:r w:rsidRPr="00904FCB">
        <w:rPr>
          <w:sz w:val="27"/>
          <w:rtl/>
        </w:rPr>
        <w:t xml:space="preserve"> </w:t>
      </w:r>
      <w:r w:rsidR="00013313" w:rsidRPr="00904FCB">
        <w:rPr>
          <w:rFonts w:hint="cs"/>
          <w:sz w:val="27"/>
          <w:rtl/>
        </w:rPr>
        <w:t xml:space="preserve">ـ </w:t>
      </w:r>
      <w:r w:rsidRPr="00904FCB">
        <w:rPr>
          <w:rFonts w:hint="cs"/>
          <w:sz w:val="27"/>
          <w:rtl/>
        </w:rPr>
        <w:t>وجود</w:t>
      </w:r>
      <w:r w:rsidRPr="00904FCB">
        <w:rPr>
          <w:sz w:val="27"/>
          <w:rtl/>
        </w:rPr>
        <w:t xml:space="preserve"> </w:t>
      </w:r>
      <w:r w:rsidRPr="00904FCB">
        <w:rPr>
          <w:rFonts w:hint="cs"/>
          <w:sz w:val="27"/>
          <w:rtl/>
        </w:rPr>
        <w:t>عوامل</w:t>
      </w:r>
      <w:r w:rsidRPr="00904FCB">
        <w:rPr>
          <w:sz w:val="27"/>
          <w:rtl/>
        </w:rPr>
        <w:t xml:space="preserve"> </w:t>
      </w:r>
      <w:r w:rsidRPr="00904FCB">
        <w:rPr>
          <w:rFonts w:hint="cs"/>
          <w:sz w:val="27"/>
          <w:rtl/>
        </w:rPr>
        <w:t>أخرى</w:t>
      </w:r>
      <w:r w:rsidRPr="00904FCB">
        <w:rPr>
          <w:sz w:val="27"/>
          <w:rtl/>
        </w:rPr>
        <w:t xml:space="preserve"> </w:t>
      </w:r>
      <w:r w:rsidRPr="00904FCB">
        <w:rPr>
          <w:rFonts w:hint="cs"/>
          <w:sz w:val="27"/>
          <w:rtl/>
        </w:rPr>
        <w:t>ذاتية</w:t>
      </w:r>
      <w:r w:rsidRPr="00904FCB">
        <w:rPr>
          <w:sz w:val="27"/>
          <w:rtl/>
        </w:rPr>
        <w:t xml:space="preserve"> </w:t>
      </w:r>
      <w:r w:rsidRPr="00904FCB">
        <w:rPr>
          <w:rFonts w:hint="cs"/>
          <w:sz w:val="27"/>
          <w:rtl/>
        </w:rPr>
        <w:t>تولد</w:t>
      </w:r>
      <w:r w:rsidRPr="00904FCB">
        <w:rPr>
          <w:sz w:val="27"/>
          <w:rtl/>
        </w:rPr>
        <w:t xml:space="preserve"> </w:t>
      </w:r>
      <w:r w:rsidRPr="00904FCB">
        <w:rPr>
          <w:rFonts w:hint="cs"/>
          <w:sz w:val="27"/>
          <w:rtl/>
        </w:rPr>
        <w:t>باستمرار</w:t>
      </w:r>
      <w:r w:rsidRPr="00904FCB">
        <w:rPr>
          <w:sz w:val="27"/>
          <w:rtl/>
        </w:rPr>
        <w:t xml:space="preserve"> </w:t>
      </w:r>
      <w:r w:rsidRPr="00904FCB">
        <w:rPr>
          <w:rFonts w:hint="cs"/>
          <w:sz w:val="27"/>
          <w:rtl/>
        </w:rPr>
        <w:t>مناخات</w:t>
      </w:r>
      <w:r w:rsidRPr="00904FCB">
        <w:rPr>
          <w:sz w:val="27"/>
          <w:rtl/>
        </w:rPr>
        <w:t xml:space="preserve"> </w:t>
      </w:r>
      <w:r w:rsidRPr="00904FCB">
        <w:rPr>
          <w:rFonts w:hint="cs"/>
          <w:sz w:val="27"/>
          <w:rtl/>
        </w:rPr>
        <w:t xml:space="preserve">العنف، </w:t>
      </w:r>
      <w:r w:rsidR="00013313" w:rsidRPr="00904FCB">
        <w:rPr>
          <w:rFonts w:hint="cs"/>
          <w:sz w:val="27"/>
          <w:rtl/>
        </w:rPr>
        <w:t>و</w:t>
      </w:r>
      <w:r w:rsidRPr="00904FCB">
        <w:rPr>
          <w:rFonts w:hint="cs"/>
          <w:sz w:val="27"/>
          <w:rtl/>
        </w:rPr>
        <w:t>خاصةً</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استمرار</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أزمة</w:t>
      </w:r>
      <w:r w:rsidRPr="00904FCB">
        <w:rPr>
          <w:sz w:val="27"/>
          <w:rtl/>
        </w:rPr>
        <w:t xml:space="preserve"> </w:t>
      </w:r>
      <w:r w:rsidRPr="00904FCB">
        <w:rPr>
          <w:rFonts w:hint="cs"/>
          <w:sz w:val="27"/>
          <w:rtl/>
        </w:rPr>
        <w:t>هوي</w:t>
      </w:r>
      <w:r w:rsidR="00013313" w:rsidRPr="00904FCB">
        <w:rPr>
          <w:rFonts w:hint="cs"/>
          <w:sz w:val="27"/>
          <w:rtl/>
        </w:rPr>
        <w:t>ّ</w:t>
      </w:r>
      <w:r w:rsidRPr="00904FCB">
        <w:rPr>
          <w:rFonts w:hint="cs"/>
          <w:sz w:val="27"/>
          <w:rtl/>
        </w:rPr>
        <w:t>ة</w:t>
      </w:r>
      <w:r w:rsidRPr="00904FCB">
        <w:rPr>
          <w:sz w:val="27"/>
          <w:rtl/>
        </w:rPr>
        <w:t xml:space="preserve"> </w:t>
      </w:r>
      <w:r w:rsidRPr="00904FCB">
        <w:rPr>
          <w:rFonts w:hint="cs"/>
          <w:sz w:val="27"/>
          <w:rtl/>
        </w:rPr>
        <w:t>ضائعة</w:t>
      </w:r>
      <w:r w:rsidRPr="00904FCB">
        <w:rPr>
          <w:sz w:val="27"/>
          <w:rtl/>
        </w:rPr>
        <w:t xml:space="preserve"> </w:t>
      </w:r>
      <w:r w:rsidRPr="00904FCB">
        <w:rPr>
          <w:rFonts w:hint="cs"/>
          <w:sz w:val="27"/>
          <w:rtl/>
        </w:rPr>
        <w:t>حت</w:t>
      </w:r>
      <w:r w:rsidR="00013313" w:rsidRPr="00904FCB">
        <w:rPr>
          <w:rFonts w:hint="cs"/>
          <w:sz w:val="27"/>
          <w:rtl/>
        </w:rPr>
        <w:t>ّ</w:t>
      </w:r>
      <w:r w:rsidRPr="00904FCB">
        <w:rPr>
          <w:rFonts w:hint="cs"/>
          <w:sz w:val="27"/>
          <w:rtl/>
        </w:rPr>
        <w:t>ى</w:t>
      </w:r>
      <w:r w:rsidRPr="00904FCB">
        <w:rPr>
          <w:sz w:val="27"/>
          <w:rtl/>
        </w:rPr>
        <w:t xml:space="preserve"> </w:t>
      </w:r>
      <w:r w:rsidRPr="00904FCB">
        <w:rPr>
          <w:rFonts w:hint="cs"/>
          <w:sz w:val="27"/>
          <w:rtl/>
        </w:rPr>
        <w:t>الآن</w:t>
      </w:r>
      <w:r w:rsidR="00013313" w:rsidRPr="00904FCB">
        <w:rPr>
          <w:rFonts w:hint="cs"/>
          <w:sz w:val="27"/>
          <w:rtl/>
        </w:rPr>
        <w:t>؛</w:t>
      </w:r>
      <w:r w:rsidRPr="00904FCB">
        <w:rPr>
          <w:sz w:val="27"/>
          <w:rtl/>
        </w:rPr>
        <w:t xml:space="preserve"> </w:t>
      </w:r>
      <w:r w:rsidRPr="00904FCB">
        <w:rPr>
          <w:rFonts w:hint="cs"/>
          <w:sz w:val="27"/>
          <w:rtl/>
        </w:rPr>
        <w:t>جراء</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الإحباط</w:t>
      </w:r>
      <w:r w:rsidRPr="00904FCB">
        <w:rPr>
          <w:sz w:val="27"/>
          <w:rtl/>
        </w:rPr>
        <w:t xml:space="preserve"> </w:t>
      </w:r>
      <w:r w:rsidRPr="00904FCB">
        <w:rPr>
          <w:rFonts w:hint="cs"/>
          <w:sz w:val="27"/>
          <w:rtl/>
        </w:rPr>
        <w:t>التاريخي</w:t>
      </w:r>
      <w:r w:rsidRPr="00904FCB">
        <w:rPr>
          <w:sz w:val="27"/>
          <w:rtl/>
        </w:rPr>
        <w:t xml:space="preserve"> </w:t>
      </w:r>
      <w:r w:rsidRPr="00904FCB">
        <w:rPr>
          <w:rFonts w:hint="cs"/>
          <w:sz w:val="27"/>
          <w:rtl/>
        </w:rPr>
        <w:t>الناجم</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فشلنا</w:t>
      </w:r>
      <w:r w:rsidRPr="00904FCB">
        <w:rPr>
          <w:sz w:val="27"/>
          <w:rtl/>
        </w:rPr>
        <w:t xml:space="preserve"> </w:t>
      </w:r>
      <w:r w:rsidRPr="00904FCB">
        <w:rPr>
          <w:rFonts w:hint="cs"/>
          <w:sz w:val="27"/>
          <w:rtl/>
        </w:rPr>
        <w:t>كشعوب</w:t>
      </w:r>
      <w:r w:rsidRPr="00904FCB">
        <w:rPr>
          <w:sz w:val="27"/>
          <w:rtl/>
        </w:rPr>
        <w:t xml:space="preserve"> </w:t>
      </w:r>
      <w:r w:rsidRPr="00904FCB">
        <w:rPr>
          <w:rFonts w:hint="cs"/>
          <w:sz w:val="27"/>
          <w:rtl/>
        </w:rPr>
        <w:t>وأنظمة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تكوين</w:t>
      </w:r>
      <w:r w:rsidRPr="00904FCB">
        <w:rPr>
          <w:sz w:val="27"/>
          <w:rtl/>
        </w:rPr>
        <w:t xml:space="preserve"> </w:t>
      </w:r>
      <w:r w:rsidRPr="00904FCB">
        <w:rPr>
          <w:rFonts w:hint="cs"/>
          <w:sz w:val="27"/>
          <w:rtl/>
        </w:rPr>
        <w:t>وبناء</w:t>
      </w:r>
      <w:r w:rsidRPr="00904FCB">
        <w:rPr>
          <w:sz w:val="27"/>
          <w:rtl/>
        </w:rPr>
        <w:t xml:space="preserve"> </w:t>
      </w:r>
      <w:r w:rsidRPr="00904FCB">
        <w:rPr>
          <w:rFonts w:hint="cs"/>
          <w:sz w:val="27"/>
          <w:rtl/>
        </w:rPr>
        <w:t>كيان</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كيانات</w:t>
      </w:r>
      <w:r w:rsidRPr="00904FCB">
        <w:rPr>
          <w:sz w:val="27"/>
          <w:rtl/>
        </w:rPr>
        <w:t xml:space="preserve"> </w:t>
      </w:r>
      <w:r w:rsidRPr="00904FCB">
        <w:rPr>
          <w:rFonts w:hint="cs"/>
          <w:sz w:val="27"/>
          <w:rtl/>
        </w:rPr>
        <w:t>سياسية</w:t>
      </w:r>
      <w:r w:rsidRPr="00904FCB">
        <w:rPr>
          <w:sz w:val="27"/>
          <w:rtl/>
        </w:rPr>
        <w:t xml:space="preserve"> </w:t>
      </w:r>
      <w:r w:rsidRPr="00904FCB">
        <w:rPr>
          <w:rFonts w:hint="cs"/>
          <w:sz w:val="27"/>
          <w:rtl/>
        </w:rPr>
        <w:t>حقيقية</w:t>
      </w:r>
      <w:r w:rsidRPr="00904FCB">
        <w:rPr>
          <w:sz w:val="27"/>
          <w:rtl/>
        </w:rPr>
        <w:t xml:space="preserve"> </w:t>
      </w:r>
      <w:r w:rsidRPr="00904FCB">
        <w:rPr>
          <w:rFonts w:hint="cs"/>
          <w:sz w:val="27"/>
          <w:rtl/>
        </w:rPr>
        <w:t>مستقل</w:t>
      </w:r>
      <w:r w:rsidR="00013313" w:rsidRPr="00904FCB">
        <w:rPr>
          <w:rFonts w:hint="cs"/>
          <w:sz w:val="27"/>
          <w:rtl/>
        </w:rPr>
        <w:t>ّ</w:t>
      </w:r>
      <w:r w:rsidRPr="00904FCB">
        <w:rPr>
          <w:rFonts w:hint="cs"/>
          <w:sz w:val="27"/>
          <w:rtl/>
        </w:rPr>
        <w:t>ة</w:t>
      </w:r>
      <w:r w:rsidRPr="00904FCB">
        <w:rPr>
          <w:sz w:val="27"/>
          <w:rtl/>
        </w:rPr>
        <w:t xml:space="preserve"> </w:t>
      </w:r>
      <w:r w:rsidRPr="00904FCB">
        <w:rPr>
          <w:rFonts w:hint="cs"/>
          <w:sz w:val="27"/>
          <w:rtl/>
        </w:rPr>
        <w:t>تماماً</w:t>
      </w:r>
      <w:r w:rsidRPr="00904FCB">
        <w:rPr>
          <w:sz w:val="27"/>
          <w:rtl/>
        </w:rPr>
        <w:t xml:space="preserve"> </w:t>
      </w:r>
      <w:r w:rsidRPr="00904FCB">
        <w:rPr>
          <w:rFonts w:hint="cs"/>
          <w:sz w:val="27"/>
          <w:rtl/>
        </w:rPr>
        <w:t>وقوية، يمكن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تتوافر</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مقو</w:t>
      </w:r>
      <w:r w:rsidR="00013313" w:rsidRPr="00904FCB">
        <w:rPr>
          <w:rFonts w:hint="cs"/>
          <w:sz w:val="27"/>
          <w:rtl/>
        </w:rPr>
        <w:t>ِّ</w:t>
      </w:r>
      <w:r w:rsidRPr="00904FCB">
        <w:rPr>
          <w:rFonts w:hint="cs"/>
          <w:sz w:val="27"/>
          <w:rtl/>
        </w:rPr>
        <w:t>مات</w:t>
      </w:r>
      <w:r w:rsidRPr="00904FCB">
        <w:rPr>
          <w:sz w:val="27"/>
          <w:rtl/>
        </w:rPr>
        <w:t xml:space="preserve"> </w:t>
      </w:r>
      <w:r w:rsidRPr="00904FCB">
        <w:rPr>
          <w:rFonts w:hint="cs"/>
          <w:sz w:val="27"/>
          <w:rtl/>
        </w:rPr>
        <w:t>الدفاع</w:t>
      </w:r>
      <w:r w:rsidRPr="00904FCB">
        <w:rPr>
          <w:sz w:val="27"/>
          <w:rtl/>
        </w:rPr>
        <w:t xml:space="preserve"> </w:t>
      </w:r>
      <w:r w:rsidRPr="00904FCB">
        <w:rPr>
          <w:rFonts w:hint="cs"/>
          <w:sz w:val="27"/>
          <w:rtl/>
        </w:rPr>
        <w:t>عن</w:t>
      </w:r>
      <w:r w:rsidRPr="00904FCB">
        <w:rPr>
          <w:sz w:val="27"/>
        </w:rPr>
        <w:t xml:space="preserve"> </w:t>
      </w:r>
      <w:r w:rsidRPr="00904FCB">
        <w:rPr>
          <w:rFonts w:hint="cs"/>
          <w:sz w:val="27"/>
          <w:rtl/>
        </w:rPr>
        <w:t>حقوقها</w:t>
      </w:r>
      <w:r w:rsidR="00013313" w:rsidRPr="00904FCB">
        <w:rPr>
          <w:rFonts w:hint="cs"/>
          <w:sz w:val="27"/>
          <w:rtl/>
        </w:rPr>
        <w:t>،</w:t>
      </w:r>
      <w:r w:rsidRPr="00904FCB">
        <w:rPr>
          <w:sz w:val="27"/>
          <w:rtl/>
        </w:rPr>
        <w:t xml:space="preserve"> </w:t>
      </w:r>
      <w:r w:rsidRPr="00904FCB">
        <w:rPr>
          <w:rFonts w:hint="cs"/>
          <w:sz w:val="27"/>
          <w:rtl/>
        </w:rPr>
        <w:t>وسيادتها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أرضها</w:t>
      </w:r>
      <w:r w:rsidRPr="00904FCB">
        <w:rPr>
          <w:sz w:val="27"/>
          <w:rtl/>
        </w:rPr>
        <w:t xml:space="preserve"> </w:t>
      </w:r>
      <w:r w:rsidRPr="00904FCB">
        <w:rPr>
          <w:rFonts w:hint="cs"/>
          <w:sz w:val="27"/>
          <w:rtl/>
        </w:rPr>
        <w:t>وثرواتها، وإغناء</w:t>
      </w:r>
      <w:r w:rsidRPr="00904FCB">
        <w:rPr>
          <w:sz w:val="27"/>
          <w:rtl/>
        </w:rPr>
        <w:t xml:space="preserve"> </w:t>
      </w:r>
      <w:r w:rsidRPr="00904FCB">
        <w:rPr>
          <w:rFonts w:hint="cs"/>
          <w:sz w:val="27"/>
          <w:rtl/>
        </w:rPr>
        <w:t>ثقافتها</w:t>
      </w:r>
      <w:r w:rsidRPr="00904FCB">
        <w:rPr>
          <w:sz w:val="27"/>
          <w:rtl/>
        </w:rPr>
        <w:t xml:space="preserve"> </w:t>
      </w:r>
      <w:r w:rsidRPr="00904FCB">
        <w:rPr>
          <w:rFonts w:hint="cs"/>
          <w:sz w:val="27"/>
          <w:rtl/>
        </w:rPr>
        <w:t>وبلورة</w:t>
      </w:r>
      <w:r w:rsidRPr="00904FCB">
        <w:rPr>
          <w:sz w:val="27"/>
          <w:rtl/>
        </w:rPr>
        <w:t xml:space="preserve"> </w:t>
      </w:r>
      <w:r w:rsidR="00013313" w:rsidRPr="00904FCB">
        <w:rPr>
          <w:rFonts w:hint="cs"/>
          <w:sz w:val="27"/>
          <w:rtl/>
        </w:rPr>
        <w:t xml:space="preserve">شخصيتها </w:t>
      </w:r>
      <w:r w:rsidRPr="00904FCB">
        <w:rPr>
          <w:rFonts w:hint="cs"/>
          <w:sz w:val="27"/>
          <w:rtl/>
        </w:rPr>
        <w:t>الحضارية</w:t>
      </w:r>
      <w:r w:rsidRPr="00904FCB">
        <w:rPr>
          <w:sz w:val="27"/>
          <w:rtl/>
        </w:rPr>
        <w:t xml:space="preserve"> </w:t>
      </w:r>
      <w:r w:rsidRPr="00904FCB">
        <w:rPr>
          <w:rFonts w:hint="cs"/>
          <w:sz w:val="27"/>
          <w:rtl/>
        </w:rPr>
        <w:t>المستقل</w:t>
      </w:r>
      <w:r w:rsidR="00013313" w:rsidRPr="00904FCB">
        <w:rPr>
          <w:rFonts w:hint="cs"/>
          <w:sz w:val="27"/>
          <w:rtl/>
        </w:rPr>
        <w:t>ّ</w:t>
      </w:r>
      <w:r w:rsidRPr="00904FCB">
        <w:rPr>
          <w:rFonts w:hint="cs"/>
          <w:sz w:val="27"/>
          <w:rtl/>
        </w:rPr>
        <w:t>ة</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التابعة</w:t>
      </w:r>
      <w:r w:rsidRPr="00904FCB">
        <w:rPr>
          <w:sz w:val="27"/>
          <w:rtl/>
        </w:rPr>
        <w:t xml:space="preserve">. </w:t>
      </w:r>
    </w:p>
    <w:p w:rsidR="00057E24" w:rsidRPr="00904FCB" w:rsidRDefault="00057E24" w:rsidP="007A21AA">
      <w:pPr>
        <w:spacing w:line="400" w:lineRule="exact"/>
        <w:rPr>
          <w:sz w:val="27"/>
        </w:rPr>
      </w:pPr>
      <w:r w:rsidRPr="00904FCB">
        <w:rPr>
          <w:rFonts w:hint="cs"/>
          <w:sz w:val="27"/>
          <w:rtl/>
        </w:rPr>
        <w:t>ـ استشراء</w:t>
      </w:r>
      <w:r w:rsidRPr="00904FCB">
        <w:rPr>
          <w:sz w:val="27"/>
          <w:rtl/>
        </w:rPr>
        <w:t xml:space="preserve"> </w:t>
      </w:r>
      <w:r w:rsidRPr="00904FCB">
        <w:rPr>
          <w:rFonts w:hint="cs"/>
          <w:sz w:val="27"/>
          <w:rtl/>
        </w:rPr>
        <w:t>وتفش</w:t>
      </w:r>
      <w:r w:rsidR="00013313" w:rsidRPr="00904FCB">
        <w:rPr>
          <w:rFonts w:hint="cs"/>
          <w:sz w:val="27"/>
          <w:rtl/>
        </w:rPr>
        <w:t>ّ</w:t>
      </w:r>
      <w:r w:rsidRPr="00904FCB">
        <w:rPr>
          <w:rFonts w:hint="cs"/>
          <w:sz w:val="27"/>
          <w:rtl/>
        </w:rPr>
        <w:t>ي</w:t>
      </w:r>
      <w:r w:rsidRPr="00904FCB">
        <w:rPr>
          <w:sz w:val="27"/>
          <w:rtl/>
        </w:rPr>
        <w:t xml:space="preserve"> </w:t>
      </w:r>
      <w:r w:rsidRPr="00904FCB">
        <w:rPr>
          <w:rFonts w:hint="cs"/>
          <w:sz w:val="27"/>
          <w:rtl/>
        </w:rPr>
        <w:t>الفساد</w:t>
      </w:r>
      <w:r w:rsidRPr="00904FCB">
        <w:rPr>
          <w:sz w:val="27"/>
          <w:rtl/>
        </w:rPr>
        <w:t xml:space="preserve"> </w:t>
      </w:r>
      <w:r w:rsidRPr="00904FCB">
        <w:rPr>
          <w:rFonts w:hint="cs"/>
          <w:sz w:val="27"/>
          <w:rtl/>
        </w:rPr>
        <w:t>والإفساد</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والاقتصادي</w:t>
      </w:r>
      <w:r w:rsidR="00013313" w:rsidRPr="00904FCB">
        <w:rPr>
          <w:rFonts w:hint="cs"/>
          <w:sz w:val="27"/>
          <w:rtl/>
        </w:rPr>
        <w:t>؛</w:t>
      </w:r>
      <w:r w:rsidRPr="00904FCB">
        <w:rPr>
          <w:sz w:val="27"/>
          <w:rtl/>
        </w:rPr>
        <w:t xml:space="preserve"> </w:t>
      </w:r>
      <w:r w:rsidRPr="00904FCB">
        <w:rPr>
          <w:rFonts w:hint="cs"/>
          <w:sz w:val="27"/>
          <w:rtl/>
        </w:rPr>
        <w:t>نتيجة</w:t>
      </w:r>
      <w:r w:rsidRPr="00904FCB">
        <w:rPr>
          <w:sz w:val="27"/>
          <w:rtl/>
        </w:rPr>
        <w:t xml:space="preserve"> </w:t>
      </w:r>
      <w:r w:rsidRPr="00904FCB">
        <w:rPr>
          <w:rFonts w:hint="cs"/>
          <w:sz w:val="27"/>
          <w:rtl/>
        </w:rPr>
        <w:t>حكم</w:t>
      </w:r>
      <w:r w:rsidRPr="00904FCB">
        <w:rPr>
          <w:sz w:val="27"/>
          <w:rtl/>
        </w:rPr>
        <w:t xml:space="preserve"> </w:t>
      </w:r>
      <w:r w:rsidRPr="00904FCB">
        <w:rPr>
          <w:rFonts w:hint="cs"/>
          <w:sz w:val="27"/>
          <w:rtl/>
        </w:rPr>
        <w:t>القوة</w:t>
      </w:r>
      <w:r w:rsidRPr="00904FCB">
        <w:rPr>
          <w:sz w:val="27"/>
          <w:rtl/>
        </w:rPr>
        <w:t xml:space="preserve"> </w:t>
      </w:r>
      <w:r w:rsidRPr="00904FCB">
        <w:rPr>
          <w:rFonts w:hint="cs"/>
          <w:sz w:val="27"/>
          <w:rtl/>
        </w:rPr>
        <w:t>والاستبداد</w:t>
      </w:r>
      <w:r w:rsidR="00013313" w:rsidRPr="00904FCB">
        <w:rPr>
          <w:rFonts w:hint="cs"/>
          <w:sz w:val="27"/>
          <w:rtl/>
        </w:rPr>
        <w:t>.</w:t>
      </w:r>
      <w:r w:rsidRPr="00904FCB">
        <w:rPr>
          <w:rFonts w:hint="cs"/>
          <w:sz w:val="27"/>
          <w:rtl/>
        </w:rPr>
        <w:t xml:space="preserve"> وهذا</w:t>
      </w:r>
      <w:r w:rsidRPr="00904FCB">
        <w:rPr>
          <w:sz w:val="27"/>
          <w:rtl/>
        </w:rPr>
        <w:t xml:space="preserve"> </w:t>
      </w:r>
      <w:r w:rsidRPr="00904FCB">
        <w:rPr>
          <w:rFonts w:hint="cs"/>
          <w:sz w:val="27"/>
          <w:rtl/>
        </w:rPr>
        <w:t>يدفع</w:t>
      </w:r>
      <w:r w:rsidRPr="00904FCB">
        <w:rPr>
          <w:sz w:val="27"/>
          <w:rtl/>
        </w:rPr>
        <w:t xml:space="preserve"> </w:t>
      </w:r>
      <w:r w:rsidRPr="00904FCB">
        <w:rPr>
          <w:rFonts w:hint="cs"/>
          <w:sz w:val="27"/>
          <w:rtl/>
        </w:rPr>
        <w:t>باستمرار</w:t>
      </w:r>
      <w:r w:rsidR="00013313" w:rsidRPr="00904FCB">
        <w:rPr>
          <w:rFonts w:hint="cs"/>
          <w:sz w:val="27"/>
          <w:rtl/>
        </w:rPr>
        <w:t>ٍ</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خلق</w:t>
      </w:r>
      <w:r w:rsidRPr="00904FCB">
        <w:rPr>
          <w:sz w:val="27"/>
          <w:rtl/>
        </w:rPr>
        <w:t xml:space="preserve"> </w:t>
      </w:r>
      <w:r w:rsidRPr="00904FCB">
        <w:rPr>
          <w:rFonts w:hint="cs"/>
          <w:sz w:val="27"/>
          <w:rtl/>
        </w:rPr>
        <w:t>مناخات</w:t>
      </w:r>
      <w:r w:rsidRPr="00904FCB">
        <w:rPr>
          <w:sz w:val="27"/>
          <w:rtl/>
        </w:rPr>
        <w:t xml:space="preserve"> </w:t>
      </w:r>
      <w:r w:rsidRPr="00904FCB">
        <w:rPr>
          <w:rFonts w:hint="cs"/>
          <w:sz w:val="27"/>
          <w:rtl/>
        </w:rPr>
        <w:t>لانعدام</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لنقل</w:t>
      </w:r>
      <w:r w:rsidRPr="00904FCB">
        <w:rPr>
          <w:sz w:val="27"/>
          <w:rtl/>
        </w:rPr>
        <w:t xml:space="preserve"> </w:t>
      </w:r>
      <w:r w:rsidRPr="00904FCB">
        <w:rPr>
          <w:rFonts w:hint="cs"/>
          <w:sz w:val="27"/>
          <w:rtl/>
        </w:rPr>
        <w:t>غياب</w:t>
      </w:r>
      <w:r w:rsidRPr="00904FCB">
        <w:rPr>
          <w:sz w:val="27"/>
          <w:rtl/>
        </w:rPr>
        <w:t xml:space="preserve"> </w:t>
      </w:r>
      <w:r w:rsidRPr="00904FCB">
        <w:rPr>
          <w:rFonts w:hint="cs"/>
          <w:sz w:val="27"/>
          <w:rtl/>
        </w:rPr>
        <w:t>ثقافة</w:t>
      </w:r>
      <w:r w:rsidRPr="00904FCB">
        <w:rPr>
          <w:sz w:val="27"/>
          <w:rtl/>
        </w:rPr>
        <w:t xml:space="preserve"> </w:t>
      </w:r>
      <w:r w:rsidRPr="00904FCB">
        <w:rPr>
          <w:rFonts w:hint="cs"/>
          <w:sz w:val="27"/>
          <w:rtl/>
        </w:rPr>
        <w:t>القيم</w:t>
      </w:r>
      <w:r w:rsidRPr="00904FCB">
        <w:rPr>
          <w:sz w:val="27"/>
          <w:rtl/>
        </w:rPr>
        <w:t xml:space="preserve"> </w:t>
      </w:r>
      <w:r w:rsidRPr="00904FCB">
        <w:rPr>
          <w:rFonts w:hint="cs"/>
          <w:sz w:val="27"/>
          <w:rtl/>
        </w:rPr>
        <w:t>المدنية، وتغييب</w:t>
      </w:r>
      <w:r w:rsidRPr="00904FCB">
        <w:rPr>
          <w:sz w:val="27"/>
          <w:rtl/>
        </w:rPr>
        <w:t xml:space="preserve"> </w:t>
      </w:r>
      <w:r w:rsidRPr="00904FCB">
        <w:rPr>
          <w:rFonts w:hint="cs"/>
          <w:sz w:val="27"/>
          <w:rtl/>
        </w:rPr>
        <w:t>للقيم</w:t>
      </w:r>
      <w:r w:rsidRPr="00904FCB">
        <w:rPr>
          <w:sz w:val="27"/>
          <w:rtl/>
        </w:rPr>
        <w:t xml:space="preserve"> </w:t>
      </w:r>
      <w:r w:rsidRPr="00904FCB">
        <w:rPr>
          <w:rFonts w:hint="cs"/>
          <w:sz w:val="27"/>
          <w:rtl/>
        </w:rPr>
        <w:t>والأخلاقيات</w:t>
      </w:r>
      <w:r w:rsidRPr="00904FCB">
        <w:rPr>
          <w:sz w:val="27"/>
          <w:rtl/>
        </w:rPr>
        <w:t xml:space="preserve"> </w:t>
      </w:r>
      <w:r w:rsidRPr="00904FCB">
        <w:rPr>
          <w:rFonts w:hint="cs"/>
          <w:sz w:val="27"/>
          <w:rtl/>
        </w:rPr>
        <w:t>المجتمعية</w:t>
      </w:r>
      <w:r w:rsidRPr="00904FCB">
        <w:rPr>
          <w:sz w:val="27"/>
          <w:rtl/>
        </w:rPr>
        <w:t xml:space="preserve"> </w:t>
      </w:r>
      <w:r w:rsidRPr="00904FCB">
        <w:rPr>
          <w:rFonts w:hint="cs"/>
          <w:sz w:val="27"/>
          <w:rtl/>
        </w:rPr>
        <w:t>السليمة</w:t>
      </w:r>
      <w:r w:rsidR="00013313"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ترعى</w:t>
      </w:r>
      <w:r w:rsidRPr="00904FCB">
        <w:rPr>
          <w:sz w:val="27"/>
          <w:rtl/>
        </w:rPr>
        <w:t xml:space="preserve"> </w:t>
      </w:r>
      <w:r w:rsidRPr="00904FCB">
        <w:rPr>
          <w:rFonts w:hint="cs"/>
          <w:sz w:val="27"/>
          <w:rtl/>
        </w:rPr>
        <w:t>وتحضن</w:t>
      </w:r>
      <w:r w:rsidRPr="00904FCB">
        <w:rPr>
          <w:sz w:val="27"/>
          <w:rtl/>
        </w:rPr>
        <w:t xml:space="preserve"> </w:t>
      </w:r>
      <w:r w:rsidRPr="00904FCB">
        <w:rPr>
          <w:rFonts w:hint="cs"/>
          <w:sz w:val="27"/>
          <w:rtl/>
        </w:rPr>
        <w:t>السلوك</w:t>
      </w:r>
      <w:r w:rsidRPr="00904FCB">
        <w:rPr>
          <w:sz w:val="27"/>
          <w:rtl/>
        </w:rPr>
        <w:t xml:space="preserve"> </w:t>
      </w:r>
      <w:r w:rsidRPr="00904FCB">
        <w:rPr>
          <w:rFonts w:hint="cs"/>
          <w:sz w:val="27"/>
          <w:rtl/>
        </w:rPr>
        <w:t>القويم</w:t>
      </w:r>
      <w:r w:rsidR="00013313" w:rsidRPr="00904FCB">
        <w:rPr>
          <w:rFonts w:hint="cs"/>
          <w:sz w:val="27"/>
          <w:rtl/>
        </w:rPr>
        <w:t>،</w:t>
      </w:r>
      <w:r w:rsidRPr="00904FCB">
        <w:rPr>
          <w:sz w:val="27"/>
          <w:rtl/>
        </w:rPr>
        <w:t xml:space="preserve"> </w:t>
      </w:r>
      <w:r w:rsidRPr="00904FCB">
        <w:rPr>
          <w:rFonts w:hint="cs"/>
          <w:sz w:val="27"/>
          <w:rtl/>
        </w:rPr>
        <w:t>والاستقامة</w:t>
      </w:r>
      <w:r w:rsidRPr="00904FCB">
        <w:rPr>
          <w:sz w:val="27"/>
          <w:rtl/>
        </w:rPr>
        <w:t xml:space="preserve"> </w:t>
      </w:r>
      <w:r w:rsidRPr="00904FCB">
        <w:rPr>
          <w:rFonts w:hint="cs"/>
          <w:sz w:val="27"/>
          <w:rtl/>
        </w:rPr>
        <w:t>العملية</w:t>
      </w:r>
      <w:r w:rsidRPr="00904FCB">
        <w:rPr>
          <w:sz w:val="27"/>
          <w:rtl/>
        </w:rPr>
        <w:t xml:space="preserve"> </w:t>
      </w:r>
      <w:r w:rsidRPr="00904FCB">
        <w:rPr>
          <w:rFonts w:hint="cs"/>
          <w:sz w:val="27"/>
          <w:rtl/>
        </w:rPr>
        <w:t>والنزاهة</w:t>
      </w:r>
      <w:r w:rsidRPr="00904FCB">
        <w:rPr>
          <w:sz w:val="27"/>
          <w:rtl/>
        </w:rPr>
        <w:t xml:space="preserve"> </w:t>
      </w:r>
      <w:r w:rsidRPr="00904FCB">
        <w:rPr>
          <w:rFonts w:hint="cs"/>
          <w:sz w:val="27"/>
          <w:rtl/>
        </w:rPr>
        <w:t>والشرف</w:t>
      </w:r>
      <w:r w:rsidRPr="00904FCB">
        <w:rPr>
          <w:sz w:val="27"/>
          <w:rtl/>
        </w:rPr>
        <w:t xml:space="preserve"> </w:t>
      </w:r>
      <w:r w:rsidRPr="00904FCB">
        <w:rPr>
          <w:rFonts w:hint="cs"/>
          <w:sz w:val="27"/>
          <w:rtl/>
        </w:rPr>
        <w:t>وغيرها، بما</w:t>
      </w:r>
      <w:r w:rsidRPr="00904FCB">
        <w:rPr>
          <w:sz w:val="27"/>
          <w:rtl/>
        </w:rPr>
        <w:t xml:space="preserve"> </w:t>
      </w:r>
      <w:r w:rsidRPr="00904FCB">
        <w:rPr>
          <w:rFonts w:hint="cs"/>
          <w:sz w:val="27"/>
          <w:rtl/>
        </w:rPr>
        <w:t>يؤد</w:t>
      </w:r>
      <w:r w:rsidR="00013313" w:rsidRPr="00904FCB">
        <w:rPr>
          <w:rFonts w:hint="cs"/>
          <w:sz w:val="27"/>
          <w:rtl/>
        </w:rPr>
        <w:t>ّ</w:t>
      </w:r>
      <w:r w:rsidRPr="00904FCB">
        <w:rPr>
          <w:rFonts w:hint="cs"/>
          <w:sz w:val="27"/>
          <w:rtl/>
        </w:rPr>
        <w:t>ي</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خلق</w:t>
      </w:r>
      <w:r w:rsidRPr="00904FCB">
        <w:rPr>
          <w:sz w:val="27"/>
          <w:rtl/>
        </w:rPr>
        <w:t xml:space="preserve"> </w:t>
      </w:r>
      <w:r w:rsidRPr="00904FCB">
        <w:rPr>
          <w:rFonts w:hint="cs"/>
          <w:sz w:val="27"/>
          <w:rtl/>
        </w:rPr>
        <w:t>قيم</w:t>
      </w:r>
      <w:r w:rsidRPr="00904FCB">
        <w:rPr>
          <w:sz w:val="27"/>
          <w:rtl/>
        </w:rPr>
        <w:t xml:space="preserve"> </w:t>
      </w:r>
      <w:r w:rsidRPr="00904FCB">
        <w:rPr>
          <w:rFonts w:hint="cs"/>
          <w:sz w:val="27"/>
          <w:rtl/>
        </w:rPr>
        <w:lastRenderedPageBreak/>
        <w:t>وأخلاقيات</w:t>
      </w:r>
      <w:r w:rsidRPr="00904FCB">
        <w:rPr>
          <w:sz w:val="27"/>
          <w:rtl/>
        </w:rPr>
        <w:t xml:space="preserve"> </w:t>
      </w:r>
      <w:r w:rsidRPr="00904FCB">
        <w:rPr>
          <w:rFonts w:hint="cs"/>
          <w:sz w:val="27"/>
          <w:rtl/>
        </w:rPr>
        <w:t>سلوكية</w:t>
      </w:r>
      <w:r w:rsidRPr="00904FCB">
        <w:rPr>
          <w:sz w:val="27"/>
          <w:rtl/>
        </w:rPr>
        <w:t xml:space="preserve"> </w:t>
      </w:r>
      <w:r w:rsidRPr="00904FCB">
        <w:rPr>
          <w:rFonts w:hint="cs"/>
          <w:sz w:val="27"/>
          <w:rtl/>
        </w:rPr>
        <w:t>أخرى</w:t>
      </w:r>
      <w:r w:rsidRPr="00904FCB">
        <w:rPr>
          <w:sz w:val="27"/>
          <w:rtl/>
        </w:rPr>
        <w:t xml:space="preserve"> </w:t>
      </w:r>
      <w:r w:rsidRPr="00904FCB">
        <w:rPr>
          <w:rFonts w:hint="cs"/>
          <w:sz w:val="27"/>
          <w:rtl/>
        </w:rPr>
        <w:t>مستحدثة</w:t>
      </w:r>
      <w:r w:rsidRPr="00904FCB">
        <w:rPr>
          <w:sz w:val="27"/>
          <w:rtl/>
        </w:rPr>
        <w:t xml:space="preserve"> </w:t>
      </w:r>
      <w:r w:rsidRPr="00904FCB">
        <w:rPr>
          <w:rFonts w:hint="cs"/>
          <w:sz w:val="27"/>
          <w:rtl/>
        </w:rPr>
        <w:t>جديدة</w:t>
      </w:r>
      <w:r w:rsidRPr="00904FCB">
        <w:rPr>
          <w:sz w:val="27"/>
          <w:rtl/>
        </w:rPr>
        <w:t xml:space="preserve"> </w:t>
      </w:r>
      <w:r w:rsidRPr="00904FCB">
        <w:rPr>
          <w:rFonts w:hint="cs"/>
          <w:sz w:val="27"/>
          <w:rtl/>
        </w:rPr>
        <w:t>طارئة</w:t>
      </w:r>
      <w:r w:rsidR="00013313" w:rsidRPr="00904FCB">
        <w:rPr>
          <w:rFonts w:hint="cs"/>
          <w:sz w:val="27"/>
          <w:rtl/>
        </w:rPr>
        <w:t>،</w:t>
      </w:r>
      <w:r w:rsidRPr="00904FCB">
        <w:rPr>
          <w:sz w:val="27"/>
          <w:rtl/>
        </w:rPr>
        <w:t xml:space="preserve"> </w:t>
      </w:r>
      <w:r w:rsidRPr="00904FCB">
        <w:rPr>
          <w:rFonts w:hint="cs"/>
          <w:sz w:val="27"/>
          <w:rtl/>
        </w:rPr>
        <w:t>تناسب</w:t>
      </w:r>
      <w:r w:rsidRPr="00904FCB">
        <w:rPr>
          <w:sz w:val="27"/>
          <w:rtl/>
        </w:rPr>
        <w:t xml:space="preserve"> </w:t>
      </w:r>
      <w:r w:rsidRPr="00904FCB">
        <w:rPr>
          <w:rFonts w:hint="cs"/>
          <w:sz w:val="27"/>
          <w:rtl/>
        </w:rPr>
        <w:t>عقلية</w:t>
      </w:r>
      <w:r w:rsidRPr="00904FCB">
        <w:rPr>
          <w:sz w:val="27"/>
          <w:rtl/>
        </w:rPr>
        <w:t xml:space="preserve"> </w:t>
      </w:r>
      <w:r w:rsidRPr="00904FCB">
        <w:rPr>
          <w:rFonts w:hint="cs"/>
          <w:sz w:val="27"/>
          <w:rtl/>
        </w:rPr>
        <w:t>ومناخ</w:t>
      </w:r>
      <w:r w:rsidRPr="00904FCB">
        <w:rPr>
          <w:sz w:val="27"/>
          <w:rtl/>
        </w:rPr>
        <w:t xml:space="preserve"> </w:t>
      </w:r>
      <w:r w:rsidRPr="00904FCB">
        <w:rPr>
          <w:rFonts w:hint="cs"/>
          <w:sz w:val="27"/>
          <w:rtl/>
        </w:rPr>
        <w:t>القوة</w:t>
      </w:r>
      <w:r w:rsidRPr="00904FCB">
        <w:rPr>
          <w:sz w:val="27"/>
          <w:rtl/>
        </w:rPr>
        <w:t xml:space="preserve"> </w:t>
      </w:r>
      <w:r w:rsidRPr="00904FCB">
        <w:rPr>
          <w:rFonts w:hint="cs"/>
          <w:sz w:val="27"/>
          <w:rtl/>
        </w:rPr>
        <w:t>والاستبداد، تبر</w:t>
      </w:r>
      <w:r w:rsidR="00013313" w:rsidRPr="00904FCB">
        <w:rPr>
          <w:rFonts w:hint="cs"/>
          <w:sz w:val="27"/>
          <w:rtl/>
        </w:rPr>
        <w:t>ِّ</w:t>
      </w:r>
      <w:r w:rsidRPr="00904FCB">
        <w:rPr>
          <w:rFonts w:hint="cs"/>
          <w:sz w:val="27"/>
          <w:rtl/>
        </w:rPr>
        <w:t>ر</w:t>
      </w:r>
      <w:r w:rsidRPr="00904FCB">
        <w:rPr>
          <w:sz w:val="27"/>
          <w:rtl/>
        </w:rPr>
        <w:t xml:space="preserve"> </w:t>
      </w:r>
      <w:r w:rsidRPr="00904FCB">
        <w:rPr>
          <w:rFonts w:hint="cs"/>
          <w:sz w:val="27"/>
          <w:rtl/>
        </w:rPr>
        <w:t>استخدام</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بكل</w:t>
      </w:r>
      <w:r w:rsidR="00013313" w:rsidRPr="00904FCB">
        <w:rPr>
          <w:rFonts w:hint="cs"/>
          <w:sz w:val="27"/>
          <w:rtl/>
        </w:rPr>
        <w:t>ّ</w:t>
      </w:r>
      <w:r w:rsidRPr="00904FCB">
        <w:rPr>
          <w:sz w:val="27"/>
          <w:rtl/>
        </w:rPr>
        <w:t xml:space="preserve"> </w:t>
      </w:r>
      <w:r w:rsidRPr="00904FCB">
        <w:rPr>
          <w:rFonts w:hint="cs"/>
          <w:sz w:val="27"/>
          <w:rtl/>
        </w:rPr>
        <w:t>أشكاله</w:t>
      </w:r>
      <w:r w:rsidRPr="00904FCB">
        <w:rPr>
          <w:sz w:val="27"/>
          <w:rtl/>
        </w:rPr>
        <w:t xml:space="preserve"> </w:t>
      </w:r>
      <w:r w:rsidRPr="00904FCB">
        <w:rPr>
          <w:rFonts w:hint="cs"/>
          <w:sz w:val="27"/>
          <w:rtl/>
        </w:rPr>
        <w:t>ضد</w:t>
      </w:r>
      <w:r w:rsidR="00013313" w:rsidRPr="00904FCB">
        <w:rPr>
          <w:rFonts w:hint="cs"/>
          <w:sz w:val="27"/>
          <w:rtl/>
        </w:rPr>
        <w:t>ّ</w:t>
      </w:r>
      <w:r w:rsidRPr="00904FCB">
        <w:rPr>
          <w:sz w:val="27"/>
          <w:rtl/>
        </w:rPr>
        <w:t xml:space="preserve"> </w:t>
      </w:r>
      <w:r w:rsidRPr="00904FCB">
        <w:rPr>
          <w:rFonts w:hint="cs"/>
          <w:sz w:val="27"/>
          <w:rtl/>
        </w:rPr>
        <w:t>الآخر</w:t>
      </w:r>
      <w:r w:rsidR="00013313" w:rsidRPr="00904FCB">
        <w:rPr>
          <w:rFonts w:hint="cs"/>
          <w:sz w:val="27"/>
          <w:rtl/>
        </w:rPr>
        <w:t>؛</w:t>
      </w:r>
      <w:r w:rsidRPr="00904FCB">
        <w:rPr>
          <w:sz w:val="27"/>
          <w:rtl/>
        </w:rPr>
        <w:t xml:space="preserve"> </w:t>
      </w:r>
      <w:r w:rsidRPr="00904FCB">
        <w:rPr>
          <w:rFonts w:hint="cs"/>
          <w:sz w:val="27"/>
          <w:rtl/>
        </w:rPr>
        <w:t>للوصول</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المصلحة</w:t>
      </w:r>
      <w:r w:rsidRPr="00904FCB">
        <w:rPr>
          <w:sz w:val="27"/>
          <w:rtl/>
        </w:rPr>
        <w:t xml:space="preserve"> </w:t>
      </w:r>
      <w:r w:rsidRPr="00904FCB">
        <w:rPr>
          <w:rFonts w:hint="cs"/>
          <w:sz w:val="27"/>
          <w:rtl/>
        </w:rPr>
        <w:t>والمكسب</w:t>
      </w:r>
      <w:r w:rsidRPr="00904FCB">
        <w:rPr>
          <w:sz w:val="27"/>
          <w:rtl/>
        </w:rPr>
        <w:t xml:space="preserve"> </w:t>
      </w:r>
      <w:r w:rsidRPr="00904FCB">
        <w:rPr>
          <w:rFonts w:hint="cs"/>
          <w:sz w:val="27"/>
          <w:rtl/>
        </w:rPr>
        <w:t>والمنفعة</w:t>
      </w:r>
      <w:r w:rsidRPr="00904FCB">
        <w:rPr>
          <w:sz w:val="27"/>
          <w:rtl/>
        </w:rPr>
        <w:t xml:space="preserve"> </w:t>
      </w:r>
      <w:r w:rsidRPr="00904FCB">
        <w:rPr>
          <w:rFonts w:hint="cs"/>
          <w:sz w:val="27"/>
          <w:rtl/>
        </w:rPr>
        <w:t>الخاصة</w:t>
      </w:r>
      <w:r w:rsidR="00013313" w:rsidRPr="00904FCB">
        <w:rPr>
          <w:rFonts w:hint="cs"/>
          <w:sz w:val="27"/>
          <w:rtl/>
        </w:rPr>
        <w:t>،</w:t>
      </w:r>
      <w:r w:rsidRPr="00904FCB">
        <w:rPr>
          <w:sz w:val="27"/>
          <w:rtl/>
        </w:rPr>
        <w:t xml:space="preserve"> </w:t>
      </w:r>
      <w:r w:rsidRPr="00904FCB">
        <w:rPr>
          <w:rFonts w:hint="cs"/>
          <w:sz w:val="27"/>
          <w:rtl/>
        </w:rPr>
        <w:t>بقطع</w:t>
      </w:r>
      <w:r w:rsidRPr="00904FCB">
        <w:rPr>
          <w:sz w:val="27"/>
          <w:rtl/>
        </w:rPr>
        <w:t xml:space="preserve"> </w:t>
      </w:r>
      <w:r w:rsidRPr="00904FCB">
        <w:rPr>
          <w:rFonts w:hint="cs"/>
          <w:sz w:val="27"/>
          <w:rtl/>
        </w:rPr>
        <w:t>النظر</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أخلاقيات</w:t>
      </w:r>
      <w:r w:rsidRPr="00904FCB">
        <w:rPr>
          <w:sz w:val="27"/>
          <w:rtl/>
        </w:rPr>
        <w:t xml:space="preserve"> </w:t>
      </w:r>
      <w:r w:rsidRPr="00904FCB">
        <w:rPr>
          <w:rFonts w:hint="cs"/>
          <w:sz w:val="27"/>
          <w:rtl/>
        </w:rPr>
        <w:t>الوصول</w:t>
      </w:r>
      <w:r w:rsidRPr="00904FCB">
        <w:rPr>
          <w:sz w:val="27"/>
          <w:rtl/>
        </w:rPr>
        <w:t xml:space="preserve"> </w:t>
      </w:r>
      <w:r w:rsidRPr="00904FCB">
        <w:rPr>
          <w:rFonts w:hint="cs"/>
          <w:sz w:val="27"/>
          <w:rtl/>
        </w:rPr>
        <w:t>وشرعي</w:t>
      </w:r>
      <w:r w:rsidR="00013313" w:rsidRPr="00904FCB">
        <w:rPr>
          <w:rFonts w:hint="cs"/>
          <w:sz w:val="27"/>
          <w:rtl/>
        </w:rPr>
        <w:t>َّ</w:t>
      </w:r>
      <w:r w:rsidRPr="00904FCB">
        <w:rPr>
          <w:rFonts w:hint="cs"/>
          <w:sz w:val="27"/>
          <w:rtl/>
        </w:rPr>
        <w:t>ته</w:t>
      </w:r>
      <w:r w:rsidRPr="00904FCB">
        <w:rPr>
          <w:sz w:val="27"/>
          <w:rtl/>
        </w:rPr>
        <w:t xml:space="preserve"> </w:t>
      </w:r>
      <w:r w:rsidRPr="00904FCB">
        <w:rPr>
          <w:rFonts w:hint="cs"/>
          <w:sz w:val="27"/>
          <w:rtl/>
        </w:rPr>
        <w:t>الأخلاقية</w:t>
      </w:r>
      <w:r w:rsidRPr="00904FCB">
        <w:rPr>
          <w:sz w:val="27"/>
          <w:rtl/>
        </w:rPr>
        <w:t xml:space="preserve"> </w:t>
      </w:r>
      <w:r w:rsidRPr="00904FCB">
        <w:rPr>
          <w:rFonts w:hint="cs"/>
          <w:sz w:val="27"/>
          <w:rtl/>
        </w:rPr>
        <w:t>والقانونية</w:t>
      </w:r>
      <w:r w:rsidR="00013313" w:rsidRPr="00904FCB">
        <w:rPr>
          <w:rFonts w:hint="cs"/>
          <w:sz w:val="27"/>
          <w:rtl/>
        </w:rPr>
        <w:t>،</w:t>
      </w:r>
      <w:r w:rsidRPr="00904FCB">
        <w:rPr>
          <w:sz w:val="27"/>
          <w:rtl/>
        </w:rPr>
        <w:t xml:space="preserve"> </w:t>
      </w:r>
      <w:r w:rsidRPr="00904FCB">
        <w:rPr>
          <w:rFonts w:hint="cs"/>
          <w:sz w:val="27"/>
          <w:rtl/>
        </w:rPr>
        <w:t>أي</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يؤدي</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إباحة</w:t>
      </w:r>
      <w:r w:rsidRPr="00904FCB">
        <w:rPr>
          <w:sz w:val="27"/>
          <w:rtl/>
        </w:rPr>
        <w:t xml:space="preserve"> </w:t>
      </w:r>
      <w:r w:rsidRPr="00904FCB">
        <w:rPr>
          <w:rFonts w:hint="cs"/>
          <w:sz w:val="27"/>
          <w:rtl/>
        </w:rPr>
        <w:t>الاستيلاء</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حقوق</w:t>
      </w:r>
      <w:r w:rsidRPr="00904FCB">
        <w:rPr>
          <w:sz w:val="27"/>
          <w:rtl/>
        </w:rPr>
        <w:t xml:space="preserve"> </w:t>
      </w:r>
      <w:r w:rsidRPr="00904FCB">
        <w:rPr>
          <w:rFonts w:hint="cs"/>
          <w:sz w:val="27"/>
          <w:rtl/>
        </w:rPr>
        <w:t>الآخرين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جانب</w:t>
      </w:r>
      <w:r w:rsidRPr="00904FCB">
        <w:rPr>
          <w:sz w:val="27"/>
          <w:rtl/>
        </w:rPr>
        <w:t xml:space="preserve"> </w:t>
      </w:r>
      <w:r w:rsidRPr="00904FCB">
        <w:rPr>
          <w:rFonts w:hint="cs"/>
          <w:sz w:val="27"/>
          <w:rtl/>
        </w:rPr>
        <w:t>السلطة</w:t>
      </w:r>
      <w:r w:rsidRPr="00904FCB">
        <w:rPr>
          <w:sz w:val="27"/>
          <w:rtl/>
        </w:rPr>
        <w:t xml:space="preserve"> </w:t>
      </w:r>
      <w:r w:rsidRPr="00904FCB">
        <w:rPr>
          <w:rFonts w:hint="cs"/>
          <w:sz w:val="27"/>
          <w:rtl/>
        </w:rPr>
        <w:t>ومن</w:t>
      </w:r>
      <w:r w:rsidRPr="00904FCB">
        <w:rPr>
          <w:sz w:val="27"/>
          <w:rtl/>
        </w:rPr>
        <w:t xml:space="preserve"> </w:t>
      </w:r>
      <w:r w:rsidRPr="00904FCB">
        <w:rPr>
          <w:rFonts w:hint="cs"/>
          <w:sz w:val="27"/>
          <w:rtl/>
        </w:rPr>
        <w:t>جانب</w:t>
      </w:r>
      <w:r w:rsidRPr="00904FCB">
        <w:rPr>
          <w:sz w:val="27"/>
          <w:rtl/>
        </w:rPr>
        <w:t xml:space="preserve"> </w:t>
      </w:r>
      <w:r w:rsidRPr="00904FCB">
        <w:rPr>
          <w:rFonts w:hint="cs"/>
          <w:sz w:val="27"/>
          <w:rtl/>
        </w:rPr>
        <w:t>الشعب</w:t>
      </w:r>
      <w:r w:rsidRPr="00904FCB">
        <w:rPr>
          <w:sz w:val="27"/>
          <w:rtl/>
        </w:rPr>
        <w:t xml:space="preserve"> </w:t>
      </w:r>
      <w:r w:rsidRPr="00904FCB">
        <w:rPr>
          <w:rFonts w:hint="cs"/>
          <w:sz w:val="27"/>
          <w:rtl/>
        </w:rPr>
        <w:t>والأم</w:t>
      </w:r>
      <w:r w:rsidR="00013313" w:rsidRPr="00904FCB">
        <w:rPr>
          <w:rFonts w:hint="cs"/>
          <w:sz w:val="27"/>
          <w:rtl/>
        </w:rPr>
        <w:t>ّ</w:t>
      </w:r>
      <w:r w:rsidRPr="00904FCB">
        <w:rPr>
          <w:rFonts w:hint="cs"/>
          <w:sz w:val="27"/>
          <w:rtl/>
        </w:rPr>
        <w:t>ة</w:t>
      </w:r>
      <w:r w:rsidR="00013313" w:rsidRPr="00904FCB">
        <w:rPr>
          <w:rFonts w:hint="cs"/>
          <w:sz w:val="27"/>
          <w:rtl/>
        </w:rPr>
        <w:t>.</w:t>
      </w:r>
      <w:r w:rsidRPr="00904FCB">
        <w:rPr>
          <w:sz w:val="27"/>
          <w:rtl/>
        </w:rPr>
        <w:t xml:space="preserve"> </w:t>
      </w:r>
      <w:r w:rsidRPr="00904FCB">
        <w:rPr>
          <w:rFonts w:hint="cs"/>
          <w:sz w:val="27"/>
          <w:rtl/>
        </w:rPr>
        <w:t>ولو</w:t>
      </w:r>
      <w:r w:rsidRPr="00904FCB">
        <w:rPr>
          <w:sz w:val="27"/>
          <w:rtl/>
        </w:rPr>
        <w:t xml:space="preserve"> </w:t>
      </w:r>
      <w:r w:rsidRPr="00904FCB">
        <w:rPr>
          <w:rFonts w:hint="cs"/>
          <w:sz w:val="27"/>
          <w:rtl/>
        </w:rPr>
        <w:t>راجعنا</w:t>
      </w:r>
      <w:r w:rsidRPr="00904FCB">
        <w:rPr>
          <w:sz w:val="27"/>
          <w:rtl/>
        </w:rPr>
        <w:t xml:space="preserve"> </w:t>
      </w:r>
      <w:r w:rsidRPr="00904FCB">
        <w:rPr>
          <w:rFonts w:hint="cs"/>
          <w:sz w:val="27"/>
          <w:rtl/>
        </w:rPr>
        <w:t>يوميات</w:t>
      </w:r>
      <w:r w:rsidRPr="00904FCB">
        <w:rPr>
          <w:sz w:val="27"/>
          <w:rtl/>
        </w:rPr>
        <w:t xml:space="preserve"> </w:t>
      </w:r>
      <w:r w:rsidRPr="00904FCB">
        <w:rPr>
          <w:rFonts w:hint="cs"/>
          <w:sz w:val="27"/>
          <w:rtl/>
        </w:rPr>
        <w:t>وسلوكيات</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مجتمعات</w:t>
      </w:r>
      <w:r w:rsidRPr="00904FCB">
        <w:rPr>
          <w:sz w:val="27"/>
          <w:rtl/>
        </w:rPr>
        <w:t xml:space="preserve"> </w:t>
      </w:r>
      <w:r w:rsidRPr="00904FCB">
        <w:rPr>
          <w:rFonts w:hint="cs"/>
          <w:sz w:val="27"/>
          <w:rtl/>
        </w:rPr>
        <w:t>الاستبداد</w:t>
      </w:r>
      <w:r w:rsidRPr="00904FCB">
        <w:rPr>
          <w:sz w:val="27"/>
          <w:rtl/>
        </w:rPr>
        <w:t xml:space="preserve"> </w:t>
      </w:r>
      <w:r w:rsidRPr="00904FCB">
        <w:rPr>
          <w:rFonts w:hint="cs"/>
          <w:sz w:val="27"/>
          <w:rtl/>
        </w:rPr>
        <w:t>العربي</w:t>
      </w:r>
      <w:r w:rsidRPr="00904FCB">
        <w:rPr>
          <w:sz w:val="27"/>
          <w:rtl/>
        </w:rPr>
        <w:t xml:space="preserve"> </w:t>
      </w:r>
      <w:r w:rsidRPr="00904FCB">
        <w:rPr>
          <w:rFonts w:hint="cs"/>
          <w:sz w:val="27"/>
          <w:rtl/>
        </w:rPr>
        <w:t>لرأينا</w:t>
      </w:r>
      <w:r w:rsidRPr="00904FCB">
        <w:rPr>
          <w:sz w:val="27"/>
          <w:rtl/>
        </w:rPr>
        <w:t xml:space="preserve"> </w:t>
      </w:r>
      <w:r w:rsidRPr="00904FCB">
        <w:rPr>
          <w:rFonts w:hint="cs"/>
          <w:sz w:val="27"/>
          <w:rtl/>
        </w:rPr>
        <w:t>العجب</w:t>
      </w:r>
      <w:r w:rsidRPr="00904FCB">
        <w:rPr>
          <w:sz w:val="27"/>
          <w:rtl/>
        </w:rPr>
        <w:t xml:space="preserve"> </w:t>
      </w:r>
      <w:r w:rsidRPr="00904FCB">
        <w:rPr>
          <w:rFonts w:hint="cs"/>
          <w:sz w:val="27"/>
          <w:rtl/>
        </w:rPr>
        <w:t>العجاب</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هيمنة</w:t>
      </w:r>
      <w:r w:rsidRPr="00904FCB">
        <w:rPr>
          <w:sz w:val="27"/>
          <w:rtl/>
        </w:rPr>
        <w:t xml:space="preserve"> </w:t>
      </w:r>
      <w:r w:rsidRPr="00904FCB">
        <w:rPr>
          <w:rFonts w:hint="cs"/>
          <w:sz w:val="27"/>
          <w:rtl/>
        </w:rPr>
        <w:t>المصلحي</w:t>
      </w:r>
      <w:r w:rsidRPr="00904FCB">
        <w:rPr>
          <w:sz w:val="27"/>
          <w:rtl/>
        </w:rPr>
        <w:t xml:space="preserve"> </w:t>
      </w:r>
      <w:r w:rsidRPr="00904FCB">
        <w:rPr>
          <w:rFonts w:hint="cs"/>
          <w:sz w:val="27"/>
          <w:rtl/>
        </w:rPr>
        <w:t>والنفعي</w:t>
      </w:r>
      <w:r w:rsidRPr="00904FCB">
        <w:rPr>
          <w:sz w:val="27"/>
          <w:rtl/>
        </w:rPr>
        <w:t xml:space="preserve"> </w:t>
      </w:r>
      <w:r w:rsidRPr="00904FCB">
        <w:rPr>
          <w:rFonts w:hint="cs"/>
          <w:sz w:val="27"/>
          <w:rtl/>
        </w:rPr>
        <w:t>والذاتي</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الإنساني</w:t>
      </w:r>
      <w:r w:rsidRPr="00904FCB">
        <w:rPr>
          <w:sz w:val="27"/>
          <w:rtl/>
        </w:rPr>
        <w:t xml:space="preserve"> </w:t>
      </w:r>
      <w:r w:rsidRPr="00904FCB">
        <w:rPr>
          <w:rFonts w:hint="cs"/>
          <w:sz w:val="27"/>
          <w:rtl/>
        </w:rPr>
        <w:t>والوطني</w:t>
      </w:r>
      <w:r w:rsidRPr="00904FCB">
        <w:rPr>
          <w:sz w:val="27"/>
          <w:rtl/>
        </w:rPr>
        <w:t xml:space="preserve"> </w:t>
      </w:r>
      <w:r w:rsidRPr="00904FCB">
        <w:rPr>
          <w:rFonts w:hint="cs"/>
          <w:sz w:val="27"/>
          <w:rtl/>
        </w:rPr>
        <w:t>والقانوني</w:t>
      </w:r>
      <w:r w:rsidRPr="00904FCB">
        <w:rPr>
          <w:sz w:val="27"/>
          <w:rtl/>
        </w:rPr>
        <w:t xml:space="preserve"> </w:t>
      </w:r>
      <w:r w:rsidRPr="00904FCB">
        <w:rPr>
          <w:rFonts w:hint="cs"/>
          <w:sz w:val="27"/>
          <w:rtl/>
        </w:rPr>
        <w:t>والإنساني</w:t>
      </w:r>
      <w:r w:rsidR="00013313" w:rsidRPr="00904FCB">
        <w:rPr>
          <w:rFonts w:hint="cs"/>
          <w:sz w:val="27"/>
          <w:rtl/>
        </w:rPr>
        <w:t>.</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من</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عندما</w:t>
      </w:r>
      <w:r w:rsidRPr="00904FCB">
        <w:rPr>
          <w:sz w:val="27"/>
          <w:rtl/>
        </w:rPr>
        <w:t xml:space="preserve"> </w:t>
      </w:r>
      <w:r w:rsidRPr="00904FCB">
        <w:rPr>
          <w:rFonts w:hint="cs"/>
          <w:sz w:val="27"/>
          <w:rtl/>
        </w:rPr>
        <w:t>تعجز</w:t>
      </w:r>
      <w:r w:rsidRPr="00904FCB">
        <w:rPr>
          <w:sz w:val="27"/>
          <w:rtl/>
        </w:rPr>
        <w:t xml:space="preserve"> </w:t>
      </w:r>
      <w:r w:rsidRPr="00904FCB">
        <w:rPr>
          <w:rFonts w:hint="cs"/>
          <w:sz w:val="27"/>
          <w:rtl/>
        </w:rPr>
        <w:t>أي</w:t>
      </w:r>
      <w:r w:rsidR="00013313" w:rsidRPr="00904FCB">
        <w:rPr>
          <w:rFonts w:hint="cs"/>
          <w:sz w:val="27"/>
          <w:rtl/>
        </w:rPr>
        <w:t>ّ</w:t>
      </w:r>
      <w:r w:rsidRPr="00904FCB">
        <w:rPr>
          <w:sz w:val="27"/>
          <w:rtl/>
        </w:rPr>
        <w:t xml:space="preserve"> </w:t>
      </w:r>
      <w:r w:rsidRPr="00904FCB">
        <w:rPr>
          <w:rFonts w:hint="cs"/>
          <w:sz w:val="27"/>
          <w:rtl/>
        </w:rPr>
        <w:t>سلطة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أي</w:t>
      </w:r>
      <w:r w:rsidR="00013313" w:rsidRPr="00904FCB">
        <w:rPr>
          <w:rFonts w:hint="cs"/>
          <w:sz w:val="27"/>
          <w:rtl/>
        </w:rPr>
        <w:t>ّ</w:t>
      </w:r>
      <w:r w:rsidRPr="00904FCB">
        <w:rPr>
          <w:sz w:val="27"/>
          <w:rtl/>
        </w:rPr>
        <w:t xml:space="preserve"> </w:t>
      </w:r>
      <w:r w:rsidRPr="00904FCB">
        <w:rPr>
          <w:rFonts w:hint="cs"/>
          <w:sz w:val="27"/>
          <w:rtl/>
        </w:rPr>
        <w:t>نظام</w:t>
      </w:r>
      <w:r w:rsidRPr="00904FCB">
        <w:rPr>
          <w:sz w:val="27"/>
          <w:rtl/>
        </w:rPr>
        <w:t xml:space="preserve"> </w:t>
      </w:r>
      <w:r w:rsidRPr="00904FCB">
        <w:rPr>
          <w:rFonts w:hint="cs"/>
          <w:sz w:val="27"/>
          <w:rtl/>
        </w:rPr>
        <w:t>سياسي</w:t>
      </w:r>
      <w:r w:rsidRPr="00904FCB">
        <w:rPr>
          <w:sz w:val="27"/>
          <w:rtl/>
        </w:rPr>
        <w:t xml:space="preserve"> ـ </w:t>
      </w:r>
      <w:r w:rsidRPr="00904FCB">
        <w:rPr>
          <w:rFonts w:hint="cs"/>
          <w:sz w:val="27"/>
          <w:rtl/>
        </w:rPr>
        <w:t>متحك</w:t>
      </w:r>
      <w:r w:rsidR="00013313" w:rsidRPr="00904FCB">
        <w:rPr>
          <w:rFonts w:hint="cs"/>
          <w:sz w:val="27"/>
          <w:rtl/>
        </w:rPr>
        <w:t>ّ</w:t>
      </w:r>
      <w:r w:rsidRPr="00904FCB">
        <w:rPr>
          <w:rFonts w:hint="cs"/>
          <w:sz w:val="27"/>
          <w:rtl/>
        </w:rPr>
        <w:t>م</w:t>
      </w:r>
      <w:r w:rsidRPr="00904FCB">
        <w:rPr>
          <w:sz w:val="27"/>
          <w:rtl/>
        </w:rPr>
        <w:t xml:space="preserve"> </w:t>
      </w:r>
      <w:r w:rsidRPr="00904FCB">
        <w:rPr>
          <w:rFonts w:hint="cs"/>
          <w:sz w:val="27"/>
          <w:rtl/>
        </w:rPr>
        <w:t>ومسي</w:t>
      </w:r>
      <w:r w:rsidR="00013313" w:rsidRPr="00904FCB">
        <w:rPr>
          <w:rFonts w:hint="cs"/>
          <w:sz w:val="27"/>
          <w:rtl/>
        </w:rPr>
        <w:t>ِّ</w:t>
      </w:r>
      <w:r w:rsidRPr="00904FCB">
        <w:rPr>
          <w:rFonts w:hint="cs"/>
          <w:sz w:val="27"/>
          <w:rtl/>
        </w:rPr>
        <w:t>ر</w:t>
      </w:r>
      <w:r w:rsidR="00013313" w:rsidRPr="00904FCB">
        <w:rPr>
          <w:sz w:val="27"/>
          <w:rtl/>
        </w:rPr>
        <w:t xml:space="preserve"> </w:t>
      </w:r>
      <w:r w:rsidRPr="00904FCB">
        <w:rPr>
          <w:rFonts w:hint="cs"/>
          <w:sz w:val="27"/>
          <w:rtl/>
        </w:rPr>
        <w:t>لمؤس</w:t>
      </w:r>
      <w:r w:rsidR="00013313" w:rsidRPr="00904FCB">
        <w:rPr>
          <w:rFonts w:hint="cs"/>
          <w:sz w:val="27"/>
          <w:rtl/>
        </w:rPr>
        <w:t>ّ</w:t>
      </w:r>
      <w:r w:rsidRPr="00904FCB">
        <w:rPr>
          <w:rFonts w:hint="cs"/>
          <w:sz w:val="27"/>
          <w:rtl/>
        </w:rPr>
        <w:t>سات</w:t>
      </w:r>
      <w:r w:rsidRPr="00904FCB">
        <w:rPr>
          <w:sz w:val="27"/>
          <w:rtl/>
        </w:rPr>
        <w:t xml:space="preserve"> </w:t>
      </w:r>
      <w:r w:rsidRPr="00904FCB">
        <w:rPr>
          <w:rFonts w:hint="cs"/>
          <w:sz w:val="27"/>
          <w:rtl/>
        </w:rPr>
        <w:t>دولة</w:t>
      </w:r>
      <w:r w:rsidR="009C07C9" w:rsidRPr="00904FCB">
        <w:rPr>
          <w:rFonts w:hint="cs"/>
          <w:sz w:val="27"/>
          <w:rtl/>
        </w:rPr>
        <w:t>،</w:t>
      </w:r>
      <w:r w:rsidRPr="00904FCB">
        <w:rPr>
          <w:sz w:val="27"/>
          <w:rtl/>
        </w:rPr>
        <w:t xml:space="preserve"> </w:t>
      </w:r>
      <w:r w:rsidRPr="00904FCB">
        <w:rPr>
          <w:rFonts w:hint="cs"/>
          <w:sz w:val="27"/>
          <w:rtl/>
        </w:rPr>
        <w:t>بناءً</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صيغة</w:t>
      </w:r>
      <w:r w:rsidRPr="00904FCB">
        <w:rPr>
          <w:sz w:val="27"/>
          <w:rtl/>
        </w:rPr>
        <w:t xml:space="preserve"> </w:t>
      </w:r>
      <w:r w:rsidRPr="00904FCB">
        <w:rPr>
          <w:rFonts w:hint="cs"/>
          <w:sz w:val="27"/>
          <w:rtl/>
        </w:rPr>
        <w:t>سياسية</w:t>
      </w:r>
      <w:r w:rsidRPr="00904FCB">
        <w:rPr>
          <w:sz w:val="27"/>
          <w:rtl/>
        </w:rPr>
        <w:t xml:space="preserve"> </w:t>
      </w:r>
      <w:r w:rsidRPr="00904FCB">
        <w:rPr>
          <w:rFonts w:hint="cs"/>
          <w:sz w:val="27"/>
          <w:rtl/>
        </w:rPr>
        <w:t>تعاقدية</w:t>
      </w:r>
      <w:r w:rsidRPr="00904FCB">
        <w:rPr>
          <w:sz w:val="27"/>
          <w:rtl/>
        </w:rPr>
        <w:t xml:space="preserve"> </w:t>
      </w:r>
      <w:r w:rsidRPr="00904FCB">
        <w:rPr>
          <w:rFonts w:hint="cs"/>
          <w:sz w:val="27"/>
          <w:rtl/>
        </w:rPr>
        <w:t>معينة</w:t>
      </w:r>
      <w:r w:rsidRPr="00904FCB">
        <w:rPr>
          <w:sz w:val="27"/>
          <w:rtl/>
        </w:rPr>
        <w:t xml:space="preserve"> ـ </w:t>
      </w:r>
      <w:r w:rsidRPr="00904FCB">
        <w:rPr>
          <w:rFonts w:hint="cs"/>
          <w:sz w:val="27"/>
          <w:rtl/>
        </w:rPr>
        <w:t>عن</w:t>
      </w:r>
      <w:r w:rsidRPr="00904FCB">
        <w:rPr>
          <w:sz w:val="27"/>
          <w:rtl/>
        </w:rPr>
        <w:t xml:space="preserve"> </w:t>
      </w:r>
      <w:r w:rsidRPr="00904FCB">
        <w:rPr>
          <w:rFonts w:hint="cs"/>
          <w:sz w:val="27"/>
          <w:rtl/>
        </w:rPr>
        <w:t>تأمين</w:t>
      </w:r>
      <w:r w:rsidRPr="00904FCB">
        <w:rPr>
          <w:sz w:val="27"/>
          <w:rtl/>
        </w:rPr>
        <w:t xml:space="preserve"> </w:t>
      </w:r>
      <w:r w:rsidRPr="00904FCB">
        <w:rPr>
          <w:rFonts w:hint="cs"/>
          <w:sz w:val="27"/>
          <w:rtl/>
        </w:rPr>
        <w:t>حقوق</w:t>
      </w:r>
      <w:r w:rsidRPr="00904FCB">
        <w:rPr>
          <w:sz w:val="27"/>
          <w:rtl/>
        </w:rPr>
        <w:t xml:space="preserve"> </w:t>
      </w:r>
      <w:r w:rsidRPr="00904FCB">
        <w:rPr>
          <w:rFonts w:hint="cs"/>
          <w:sz w:val="27"/>
          <w:rtl/>
        </w:rPr>
        <w:t>ومطالب</w:t>
      </w:r>
      <w:r w:rsidRPr="00904FCB">
        <w:rPr>
          <w:sz w:val="27"/>
          <w:rtl/>
        </w:rPr>
        <w:t xml:space="preserve"> </w:t>
      </w:r>
      <w:r w:rsidRPr="00904FCB">
        <w:rPr>
          <w:rFonts w:hint="cs"/>
          <w:sz w:val="27"/>
          <w:rtl/>
        </w:rPr>
        <w:t>شعوبها</w:t>
      </w:r>
      <w:r w:rsidRPr="00904FCB">
        <w:rPr>
          <w:sz w:val="27"/>
          <w:rtl/>
        </w:rPr>
        <w:t xml:space="preserve"> </w:t>
      </w:r>
      <w:r w:rsidRPr="00904FCB">
        <w:rPr>
          <w:rFonts w:hint="cs"/>
          <w:sz w:val="27"/>
          <w:rtl/>
        </w:rPr>
        <w:t>العادلة</w:t>
      </w:r>
      <w:r w:rsidRPr="00904FCB">
        <w:rPr>
          <w:sz w:val="27"/>
          <w:rtl/>
        </w:rPr>
        <w:t xml:space="preserve"> </w:t>
      </w:r>
      <w:r w:rsidRPr="00904FCB">
        <w:rPr>
          <w:rFonts w:hint="cs"/>
          <w:sz w:val="27"/>
          <w:rtl/>
        </w:rPr>
        <w:t>والمحق</w:t>
      </w:r>
      <w:r w:rsidR="009C07C9" w:rsidRPr="00904FCB">
        <w:rPr>
          <w:rFonts w:hint="cs"/>
          <w:sz w:val="27"/>
          <w:rtl/>
        </w:rPr>
        <w:t>ّ</w:t>
      </w:r>
      <w:r w:rsidRPr="00904FCB">
        <w:rPr>
          <w:rFonts w:hint="cs"/>
          <w:sz w:val="27"/>
          <w:rtl/>
        </w:rPr>
        <w:t>ة، وتتخف</w:t>
      </w:r>
      <w:r w:rsidR="009C07C9" w:rsidRPr="00904FCB">
        <w:rPr>
          <w:rFonts w:hint="cs"/>
          <w:sz w:val="27"/>
          <w:rtl/>
        </w:rPr>
        <w:t>ّ</w:t>
      </w:r>
      <w:r w:rsidRPr="00904FCB">
        <w:rPr>
          <w:rFonts w:hint="cs"/>
          <w:sz w:val="27"/>
          <w:rtl/>
        </w:rPr>
        <w:t>ى</w:t>
      </w:r>
      <w:r w:rsidRPr="00904FCB">
        <w:rPr>
          <w:sz w:val="27"/>
          <w:rtl/>
        </w:rPr>
        <w:t xml:space="preserve"> </w:t>
      </w:r>
      <w:r w:rsidRPr="00904FCB">
        <w:rPr>
          <w:rFonts w:hint="cs"/>
          <w:sz w:val="27"/>
          <w:rtl/>
        </w:rPr>
        <w:t>وراء</w:t>
      </w:r>
      <w:r w:rsidRPr="00904FCB">
        <w:rPr>
          <w:sz w:val="27"/>
          <w:rtl/>
        </w:rPr>
        <w:t xml:space="preserve"> </w:t>
      </w:r>
      <w:r w:rsidRPr="00904FCB">
        <w:rPr>
          <w:rFonts w:hint="cs"/>
          <w:sz w:val="27"/>
          <w:rtl/>
        </w:rPr>
        <w:t>نظريات</w:t>
      </w:r>
      <w:r w:rsidRPr="00904FCB">
        <w:rPr>
          <w:sz w:val="27"/>
          <w:rtl/>
        </w:rPr>
        <w:t xml:space="preserve"> </w:t>
      </w:r>
      <w:r w:rsidRPr="00904FCB">
        <w:rPr>
          <w:rFonts w:hint="cs"/>
          <w:sz w:val="27"/>
          <w:rtl/>
        </w:rPr>
        <w:t>التآمر</w:t>
      </w:r>
      <w:r w:rsidRPr="00904FCB">
        <w:rPr>
          <w:sz w:val="27"/>
          <w:rtl/>
        </w:rPr>
        <w:t xml:space="preserve"> </w:t>
      </w:r>
      <w:r w:rsidRPr="00904FCB">
        <w:rPr>
          <w:rFonts w:hint="cs"/>
          <w:sz w:val="27"/>
          <w:rtl/>
        </w:rPr>
        <w:t>العاجزة</w:t>
      </w:r>
      <w:r w:rsidR="009C07C9" w:rsidRPr="00904FCB">
        <w:rPr>
          <w:rFonts w:hint="cs"/>
          <w:sz w:val="27"/>
          <w:rtl/>
        </w:rPr>
        <w:t>،</w:t>
      </w:r>
      <w:r w:rsidRPr="00904FCB">
        <w:rPr>
          <w:sz w:val="27"/>
          <w:rtl/>
        </w:rPr>
        <w:t xml:space="preserve"> </w:t>
      </w:r>
      <w:r w:rsidRPr="00904FCB">
        <w:rPr>
          <w:rFonts w:hint="cs"/>
          <w:sz w:val="27"/>
          <w:rtl/>
        </w:rPr>
        <w:t>ومقولات</w:t>
      </w:r>
      <w:r w:rsidRPr="00904FCB">
        <w:rPr>
          <w:sz w:val="27"/>
          <w:rtl/>
        </w:rPr>
        <w:t xml:space="preserve"> </w:t>
      </w:r>
      <w:r w:rsidRPr="00904FCB">
        <w:rPr>
          <w:rFonts w:hint="cs"/>
          <w:sz w:val="27"/>
          <w:rtl/>
        </w:rPr>
        <w:t>التآمر</w:t>
      </w:r>
      <w:r w:rsidRPr="00904FCB">
        <w:rPr>
          <w:sz w:val="27"/>
          <w:rtl/>
        </w:rPr>
        <w:t xml:space="preserve"> </w:t>
      </w:r>
      <w:r w:rsidRPr="00904FCB">
        <w:rPr>
          <w:rFonts w:hint="cs"/>
          <w:sz w:val="27"/>
          <w:rtl/>
        </w:rPr>
        <w:t>القديمة</w:t>
      </w:r>
      <w:r w:rsidR="009C07C9" w:rsidRPr="00904FCB">
        <w:rPr>
          <w:rFonts w:hint="cs"/>
          <w:sz w:val="27"/>
          <w:rtl/>
        </w:rPr>
        <w:t>،</w:t>
      </w:r>
      <w:r w:rsidRPr="00904FCB">
        <w:rPr>
          <w:sz w:val="27"/>
          <w:rtl/>
        </w:rPr>
        <w:t xml:space="preserve"> </w:t>
      </w:r>
      <w:r w:rsidRPr="00904FCB">
        <w:rPr>
          <w:rFonts w:hint="cs"/>
          <w:sz w:val="27"/>
          <w:rtl/>
        </w:rPr>
        <w:t>الفاقدة</w:t>
      </w:r>
      <w:r w:rsidRPr="00904FCB">
        <w:rPr>
          <w:sz w:val="27"/>
          <w:rtl/>
        </w:rPr>
        <w:t xml:space="preserve"> </w:t>
      </w:r>
      <w:r w:rsidRPr="00904FCB">
        <w:rPr>
          <w:rFonts w:hint="cs"/>
          <w:sz w:val="27"/>
          <w:rtl/>
        </w:rPr>
        <w:t>للمصداقية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الفهم</w:t>
      </w:r>
      <w:r w:rsidRPr="00904FCB">
        <w:rPr>
          <w:sz w:val="27"/>
          <w:rtl/>
        </w:rPr>
        <w:t xml:space="preserve"> </w:t>
      </w:r>
      <w:r w:rsidRPr="00904FCB">
        <w:rPr>
          <w:rFonts w:hint="cs"/>
          <w:sz w:val="27"/>
          <w:rtl/>
        </w:rPr>
        <w:t>والتحليل</w:t>
      </w:r>
      <w:r w:rsidRPr="00904FCB">
        <w:rPr>
          <w:sz w:val="27"/>
          <w:rtl/>
        </w:rPr>
        <w:t xml:space="preserve"> </w:t>
      </w:r>
      <w:r w:rsidRPr="00904FCB">
        <w:rPr>
          <w:rFonts w:hint="cs"/>
          <w:sz w:val="27"/>
          <w:rtl/>
        </w:rPr>
        <w:t>والتشخيص</w:t>
      </w:r>
      <w:r w:rsidRPr="00904FCB">
        <w:rPr>
          <w:sz w:val="27"/>
          <w:rtl/>
        </w:rPr>
        <w:t xml:space="preserve"> </w:t>
      </w:r>
      <w:r w:rsidRPr="00904FCB">
        <w:rPr>
          <w:rFonts w:hint="cs"/>
          <w:sz w:val="27"/>
          <w:rtl/>
        </w:rPr>
        <w:t xml:space="preserve">السليم </w:t>
      </w:r>
      <w:r w:rsidRPr="00904FCB">
        <w:rPr>
          <w:sz w:val="27"/>
          <w:rtl/>
        </w:rPr>
        <w:t>(</w:t>
      </w:r>
      <w:r w:rsidRPr="00904FCB">
        <w:rPr>
          <w:rFonts w:hint="cs"/>
          <w:sz w:val="27"/>
          <w:rtl/>
        </w:rPr>
        <w:t>التي</w:t>
      </w:r>
      <w:r w:rsidRPr="00904FCB">
        <w:rPr>
          <w:sz w:val="27"/>
          <w:rtl/>
        </w:rPr>
        <w:t xml:space="preserve"> </w:t>
      </w:r>
      <w:r w:rsidRPr="00904FCB">
        <w:rPr>
          <w:rFonts w:hint="cs"/>
          <w:sz w:val="27"/>
          <w:rtl/>
        </w:rPr>
        <w:t>أضح</w:t>
      </w:r>
      <w:r w:rsidR="009C07C9" w:rsidRPr="00904FCB">
        <w:rPr>
          <w:rFonts w:hint="cs"/>
          <w:sz w:val="27"/>
          <w:rtl/>
        </w:rPr>
        <w:t>َ</w:t>
      </w:r>
      <w:r w:rsidRPr="00904FCB">
        <w:rPr>
          <w:rFonts w:hint="cs"/>
          <w:sz w:val="27"/>
          <w:rtl/>
        </w:rPr>
        <w:t>ت</w:t>
      </w:r>
      <w:r w:rsidR="009C07C9" w:rsidRPr="00904FCB">
        <w:rPr>
          <w:rFonts w:hint="cs"/>
          <w:sz w:val="27"/>
          <w:rtl/>
        </w:rPr>
        <w:t>ْ</w:t>
      </w:r>
      <w:r w:rsidRPr="00904FCB">
        <w:rPr>
          <w:sz w:val="27"/>
          <w:rtl/>
        </w:rPr>
        <w:t xml:space="preserve"> </w:t>
      </w:r>
      <w:r w:rsidRPr="00904FCB">
        <w:rPr>
          <w:rFonts w:hint="cs"/>
          <w:sz w:val="27"/>
          <w:rtl/>
        </w:rPr>
        <w:t>أداة</w:t>
      </w:r>
      <w:r w:rsidRPr="00904FCB">
        <w:rPr>
          <w:sz w:val="27"/>
          <w:rtl/>
        </w:rPr>
        <w:t xml:space="preserve"> </w:t>
      </w:r>
      <w:r w:rsidRPr="00904FCB">
        <w:rPr>
          <w:rFonts w:hint="cs"/>
          <w:sz w:val="27"/>
          <w:rtl/>
        </w:rPr>
        <w:t>للحجب</w:t>
      </w:r>
      <w:r w:rsidRPr="00904FCB">
        <w:rPr>
          <w:sz w:val="27"/>
          <w:rtl/>
        </w:rPr>
        <w:t xml:space="preserve"> </w:t>
      </w:r>
      <w:r w:rsidRPr="00904FCB">
        <w:rPr>
          <w:rFonts w:hint="cs"/>
          <w:sz w:val="27"/>
          <w:rtl/>
        </w:rPr>
        <w:t>والتضليل</w:t>
      </w:r>
      <w:r w:rsidRPr="00904FCB">
        <w:rPr>
          <w:sz w:val="27"/>
          <w:rtl/>
        </w:rPr>
        <w:t xml:space="preserve"> </w:t>
      </w:r>
      <w:r w:rsidRPr="00904FCB">
        <w:rPr>
          <w:rFonts w:hint="cs"/>
          <w:sz w:val="27"/>
          <w:rtl/>
        </w:rPr>
        <w:t>والتزييف</w:t>
      </w:r>
      <w:r w:rsidRPr="00904FCB">
        <w:rPr>
          <w:sz w:val="27"/>
          <w:rtl/>
        </w:rPr>
        <w:t>)</w:t>
      </w:r>
      <w:r w:rsidR="009C07C9" w:rsidRPr="00904FCB">
        <w:rPr>
          <w:rFonts w:hint="cs"/>
          <w:sz w:val="27"/>
          <w:rtl/>
        </w:rPr>
        <w:t>،</w:t>
      </w:r>
      <w:r w:rsidRPr="00904FCB">
        <w:rPr>
          <w:sz w:val="27"/>
          <w:rtl/>
        </w:rPr>
        <w:t xml:space="preserve"> </w:t>
      </w:r>
      <w:r w:rsidRPr="00904FCB">
        <w:rPr>
          <w:rFonts w:hint="cs"/>
          <w:sz w:val="27"/>
          <w:rtl/>
        </w:rPr>
        <w:t>فإن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التناقض</w:t>
      </w:r>
      <w:r w:rsidRPr="00904FCB">
        <w:rPr>
          <w:sz w:val="27"/>
          <w:rtl/>
        </w:rPr>
        <w:t xml:space="preserve"> </w:t>
      </w:r>
      <w:r w:rsidRPr="00904FCB">
        <w:rPr>
          <w:rFonts w:hint="cs"/>
          <w:sz w:val="27"/>
          <w:rtl/>
        </w:rPr>
        <w:t>الصارخ</w:t>
      </w:r>
      <w:r w:rsidRPr="00904FCB">
        <w:rPr>
          <w:sz w:val="27"/>
          <w:rtl/>
        </w:rPr>
        <w:t xml:space="preserve"> </w:t>
      </w:r>
      <w:r w:rsidRPr="00904FCB">
        <w:rPr>
          <w:rFonts w:hint="cs"/>
          <w:sz w:val="27"/>
          <w:rtl/>
        </w:rPr>
        <w:t>والتمايز</w:t>
      </w:r>
      <w:r w:rsidRPr="00904FCB">
        <w:rPr>
          <w:sz w:val="27"/>
          <w:rtl/>
        </w:rPr>
        <w:t xml:space="preserve"> </w:t>
      </w:r>
      <w:r w:rsidRPr="00904FCB">
        <w:rPr>
          <w:rFonts w:hint="cs"/>
          <w:sz w:val="27"/>
          <w:rtl/>
        </w:rPr>
        <w:t>البائن</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يفتح</w:t>
      </w:r>
      <w:r w:rsidRPr="00904FCB">
        <w:rPr>
          <w:sz w:val="27"/>
          <w:rtl/>
        </w:rPr>
        <w:t xml:space="preserve"> </w:t>
      </w:r>
      <w:r w:rsidRPr="00904FCB">
        <w:rPr>
          <w:rFonts w:hint="cs"/>
          <w:sz w:val="27"/>
          <w:rtl/>
        </w:rPr>
        <w:t>الطريق</w:t>
      </w:r>
      <w:r w:rsidRPr="00904FCB">
        <w:rPr>
          <w:sz w:val="27"/>
          <w:rtl/>
        </w:rPr>
        <w:t xml:space="preserve"> </w:t>
      </w:r>
      <w:r w:rsidRPr="00904FCB">
        <w:rPr>
          <w:rFonts w:hint="cs"/>
          <w:sz w:val="27"/>
          <w:rtl/>
        </w:rPr>
        <w:t>واسعاً</w:t>
      </w:r>
      <w:r w:rsidRPr="00904FCB">
        <w:rPr>
          <w:sz w:val="27"/>
          <w:rtl/>
        </w:rPr>
        <w:t xml:space="preserve"> </w:t>
      </w:r>
      <w:r w:rsidRPr="00904FCB">
        <w:rPr>
          <w:rFonts w:hint="cs"/>
          <w:sz w:val="27"/>
          <w:rtl/>
        </w:rPr>
        <w:t>لاستخدام</w:t>
      </w:r>
      <w:r w:rsidRPr="00904FCB">
        <w:rPr>
          <w:sz w:val="27"/>
          <w:rtl/>
        </w:rPr>
        <w:t xml:space="preserve"> </w:t>
      </w:r>
      <w:r w:rsidRPr="00904FCB">
        <w:rPr>
          <w:rFonts w:hint="cs"/>
          <w:sz w:val="27"/>
          <w:rtl/>
        </w:rPr>
        <w:t>وسائل</w:t>
      </w:r>
      <w:r w:rsidRPr="00904FCB">
        <w:rPr>
          <w:sz w:val="27"/>
          <w:rtl/>
        </w:rPr>
        <w:t xml:space="preserve"> </w:t>
      </w:r>
      <w:r w:rsidRPr="00904FCB">
        <w:rPr>
          <w:rFonts w:hint="cs"/>
          <w:sz w:val="27"/>
          <w:rtl/>
        </w:rPr>
        <w:t>القو</w:t>
      </w:r>
      <w:r w:rsidR="009C07C9" w:rsidRPr="00904FCB">
        <w:rPr>
          <w:rFonts w:hint="cs"/>
          <w:sz w:val="27"/>
          <w:rtl/>
        </w:rPr>
        <w:t>ّ</w:t>
      </w:r>
      <w:r w:rsidRPr="00904FCB">
        <w:rPr>
          <w:rFonts w:hint="cs"/>
          <w:sz w:val="27"/>
          <w:rtl/>
        </w:rPr>
        <w:t>ة</w:t>
      </w:r>
      <w:r w:rsidRPr="00904FCB">
        <w:rPr>
          <w:sz w:val="27"/>
          <w:rtl/>
        </w:rPr>
        <w:t xml:space="preserve"> </w:t>
      </w:r>
      <w:r w:rsidRPr="00904FCB">
        <w:rPr>
          <w:rFonts w:hint="cs"/>
          <w:sz w:val="27"/>
          <w:rtl/>
        </w:rPr>
        <w:t xml:space="preserve">والعنف، </w:t>
      </w:r>
      <w:r w:rsidR="009C07C9" w:rsidRPr="00904FCB">
        <w:rPr>
          <w:rFonts w:hint="cs"/>
          <w:sz w:val="27"/>
          <w:rtl/>
        </w:rPr>
        <w:t>و</w:t>
      </w:r>
      <w:r w:rsidRPr="00904FCB">
        <w:rPr>
          <w:rFonts w:hint="cs"/>
          <w:sz w:val="27"/>
          <w:rtl/>
        </w:rPr>
        <w:t>خاصة</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نخب</w:t>
      </w:r>
      <w:r w:rsidRPr="00904FCB">
        <w:rPr>
          <w:sz w:val="27"/>
          <w:rtl/>
        </w:rPr>
        <w:t xml:space="preserve"> </w:t>
      </w:r>
      <w:r w:rsidRPr="00904FCB">
        <w:rPr>
          <w:rFonts w:hint="cs"/>
          <w:sz w:val="27"/>
          <w:rtl/>
        </w:rPr>
        <w:t>حكم</w:t>
      </w:r>
      <w:r w:rsidRPr="00904FCB">
        <w:rPr>
          <w:sz w:val="27"/>
          <w:rtl/>
        </w:rPr>
        <w:t xml:space="preserve"> </w:t>
      </w:r>
      <w:r w:rsidRPr="00904FCB">
        <w:rPr>
          <w:rFonts w:hint="cs"/>
          <w:sz w:val="27"/>
          <w:rtl/>
        </w:rPr>
        <w:t>مستبد</w:t>
      </w:r>
      <w:r w:rsidR="009C07C9" w:rsidRPr="00904FCB">
        <w:rPr>
          <w:rFonts w:hint="cs"/>
          <w:sz w:val="27"/>
          <w:rtl/>
        </w:rPr>
        <w:t>ّ</w:t>
      </w:r>
      <w:r w:rsidRPr="00904FCB">
        <w:rPr>
          <w:rFonts w:hint="cs"/>
          <w:sz w:val="27"/>
          <w:rtl/>
        </w:rPr>
        <w:t>ة</w:t>
      </w:r>
      <w:r w:rsidRPr="00904FCB">
        <w:rPr>
          <w:sz w:val="27"/>
          <w:rtl/>
        </w:rPr>
        <w:t xml:space="preserve"> </w:t>
      </w:r>
      <w:r w:rsidRPr="00904FCB">
        <w:rPr>
          <w:rFonts w:hint="cs"/>
          <w:sz w:val="27"/>
          <w:rtl/>
        </w:rPr>
        <w:t>ومفسدة، لا</w:t>
      </w:r>
      <w:r w:rsidRPr="00904FCB">
        <w:rPr>
          <w:sz w:val="27"/>
          <w:rtl/>
        </w:rPr>
        <w:t xml:space="preserve"> </w:t>
      </w:r>
      <w:r w:rsidRPr="00904FCB">
        <w:rPr>
          <w:rFonts w:hint="cs"/>
          <w:sz w:val="27"/>
          <w:rtl/>
        </w:rPr>
        <w:t>هم</w:t>
      </w:r>
      <w:r w:rsidR="009C07C9" w:rsidRPr="00904FCB">
        <w:rPr>
          <w:rFonts w:hint="cs"/>
          <w:sz w:val="27"/>
          <w:rtl/>
        </w:rPr>
        <w:t>َّ</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سوى</w:t>
      </w:r>
      <w:r w:rsidRPr="00904FCB">
        <w:rPr>
          <w:sz w:val="27"/>
          <w:rtl/>
        </w:rPr>
        <w:t xml:space="preserve"> </w:t>
      </w:r>
      <w:r w:rsidRPr="00904FCB">
        <w:rPr>
          <w:rFonts w:hint="cs"/>
          <w:sz w:val="27"/>
          <w:rtl/>
        </w:rPr>
        <w:t>ديمومة</w:t>
      </w:r>
      <w:r w:rsidRPr="00904FCB">
        <w:rPr>
          <w:sz w:val="27"/>
          <w:rtl/>
        </w:rPr>
        <w:t xml:space="preserve"> </w:t>
      </w:r>
      <w:r w:rsidRPr="00904FCB">
        <w:rPr>
          <w:rFonts w:hint="cs"/>
          <w:sz w:val="27"/>
          <w:rtl/>
        </w:rPr>
        <w:t>حكمها</w:t>
      </w:r>
      <w:r w:rsidR="009C07C9" w:rsidRPr="00904FCB">
        <w:rPr>
          <w:rFonts w:hint="cs"/>
          <w:sz w:val="27"/>
          <w:rtl/>
        </w:rPr>
        <w:t>،</w:t>
      </w:r>
      <w:r w:rsidRPr="00904FCB">
        <w:rPr>
          <w:sz w:val="27"/>
          <w:rtl/>
        </w:rPr>
        <w:t xml:space="preserve"> </w:t>
      </w:r>
      <w:r w:rsidRPr="00904FCB">
        <w:rPr>
          <w:rFonts w:hint="cs"/>
          <w:sz w:val="27"/>
          <w:rtl/>
        </w:rPr>
        <w:t>واستمرارية</w:t>
      </w:r>
      <w:r w:rsidRPr="00904FCB">
        <w:rPr>
          <w:sz w:val="27"/>
          <w:rtl/>
        </w:rPr>
        <w:t xml:space="preserve"> </w:t>
      </w:r>
      <w:r w:rsidRPr="00904FCB">
        <w:rPr>
          <w:rFonts w:hint="cs"/>
          <w:sz w:val="27"/>
          <w:rtl/>
        </w:rPr>
        <w:t>بقائها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كراسي</w:t>
      </w:r>
      <w:r w:rsidRPr="00904FCB">
        <w:rPr>
          <w:sz w:val="27"/>
          <w:rtl/>
        </w:rPr>
        <w:t xml:space="preserve"> </w:t>
      </w:r>
      <w:r w:rsidRPr="00904FCB">
        <w:rPr>
          <w:rFonts w:hint="cs"/>
          <w:sz w:val="27"/>
          <w:rtl/>
        </w:rPr>
        <w:t>الحكم</w:t>
      </w:r>
      <w:r w:rsidR="009C07C9" w:rsidRPr="00904FCB">
        <w:rPr>
          <w:rFonts w:hint="cs"/>
          <w:sz w:val="27"/>
          <w:rtl/>
        </w:rPr>
        <w:t>،</w:t>
      </w:r>
      <w:r w:rsidRPr="00904FCB">
        <w:rPr>
          <w:sz w:val="27"/>
          <w:rtl/>
        </w:rPr>
        <w:t xml:space="preserve"> </w:t>
      </w:r>
      <w:r w:rsidRPr="00904FCB">
        <w:rPr>
          <w:rFonts w:hint="cs"/>
          <w:sz w:val="27"/>
          <w:rtl/>
        </w:rPr>
        <w:t>حت</w:t>
      </w:r>
      <w:r w:rsidR="009C07C9" w:rsidRPr="00904FCB">
        <w:rPr>
          <w:rFonts w:hint="cs"/>
          <w:sz w:val="27"/>
          <w:rtl/>
        </w:rPr>
        <w:t>ّ</w:t>
      </w:r>
      <w:r w:rsidRPr="00904FCB">
        <w:rPr>
          <w:rFonts w:hint="cs"/>
          <w:sz w:val="27"/>
          <w:rtl/>
        </w:rPr>
        <w:t>ى</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ي</w:t>
      </w:r>
      <w:r w:rsidR="009C07C9" w:rsidRPr="00904FCB">
        <w:rPr>
          <w:rFonts w:hint="cs"/>
          <w:sz w:val="27"/>
          <w:rtl/>
        </w:rPr>
        <w:t>َ</w:t>
      </w:r>
      <w:r w:rsidRPr="00904FCB">
        <w:rPr>
          <w:rFonts w:hint="cs"/>
          <w:sz w:val="27"/>
          <w:rtl/>
        </w:rPr>
        <w:t>ب</w:t>
      </w:r>
      <w:r w:rsidR="009C07C9" w:rsidRPr="00904FCB">
        <w:rPr>
          <w:rFonts w:hint="cs"/>
          <w:sz w:val="27"/>
          <w:rtl/>
        </w:rPr>
        <w:t>ْ</w:t>
      </w:r>
      <w:r w:rsidRPr="00904FCB">
        <w:rPr>
          <w:rFonts w:hint="cs"/>
          <w:sz w:val="27"/>
          <w:rtl/>
        </w:rPr>
        <w:t>ق</w:t>
      </w:r>
      <w:r w:rsidR="009C07C9" w:rsidRPr="00904FCB">
        <w:rPr>
          <w:rFonts w:hint="cs"/>
          <w:sz w:val="27"/>
          <w:rtl/>
        </w:rPr>
        <w:t>َ</w:t>
      </w:r>
      <w:r w:rsidRPr="00904FCB">
        <w:rPr>
          <w:sz w:val="27"/>
          <w:rtl/>
        </w:rPr>
        <w:t xml:space="preserve"> </w:t>
      </w:r>
      <w:r w:rsidRPr="00904FCB">
        <w:rPr>
          <w:rFonts w:hint="cs"/>
          <w:sz w:val="27"/>
          <w:rtl/>
        </w:rPr>
        <w:t>شيء</w:t>
      </w:r>
      <w:r w:rsidR="009C07C9" w:rsidRPr="00904FCB">
        <w:rPr>
          <w:rFonts w:hint="cs"/>
          <w:sz w:val="27"/>
          <w:rtl/>
        </w:rPr>
        <w:t>ٌ</w:t>
      </w:r>
      <w:r w:rsidRPr="00904FCB">
        <w:rPr>
          <w:sz w:val="27"/>
          <w:rtl/>
        </w:rPr>
        <w:t xml:space="preserve"> </w:t>
      </w:r>
      <w:r w:rsidRPr="00904FCB">
        <w:rPr>
          <w:rFonts w:hint="cs"/>
          <w:sz w:val="27"/>
          <w:rtl/>
        </w:rPr>
        <w:t>تحكمه</w:t>
      </w:r>
      <w:r w:rsidR="009C07C9" w:rsidRPr="00904FCB">
        <w:rPr>
          <w:rFonts w:hint="cs"/>
          <w:sz w:val="27"/>
          <w:rtl/>
        </w:rPr>
        <w:t>،</w:t>
      </w:r>
      <w:r w:rsidRPr="00904FCB">
        <w:rPr>
          <w:sz w:val="27"/>
          <w:rtl/>
        </w:rPr>
        <w:t xml:space="preserve"> </w:t>
      </w:r>
      <w:r w:rsidRPr="00904FCB">
        <w:rPr>
          <w:rFonts w:hint="cs"/>
          <w:sz w:val="27"/>
          <w:rtl/>
        </w:rPr>
        <w:t>سوى</w:t>
      </w:r>
      <w:r w:rsidRPr="00904FCB">
        <w:rPr>
          <w:sz w:val="27"/>
          <w:rtl/>
        </w:rPr>
        <w:t xml:space="preserve"> </w:t>
      </w:r>
      <w:r w:rsidRPr="00904FCB">
        <w:rPr>
          <w:rFonts w:hint="cs"/>
          <w:sz w:val="27"/>
          <w:rtl/>
        </w:rPr>
        <w:t>الأشلاء</w:t>
      </w:r>
      <w:r w:rsidRPr="00904FCB">
        <w:rPr>
          <w:sz w:val="27"/>
          <w:rtl/>
        </w:rPr>
        <w:t xml:space="preserve"> </w:t>
      </w:r>
      <w:r w:rsidRPr="00904FCB">
        <w:rPr>
          <w:rFonts w:hint="cs"/>
          <w:sz w:val="27"/>
          <w:rtl/>
        </w:rPr>
        <w:t>والجماجم</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في</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الجو</w:t>
      </w:r>
      <w:r w:rsidR="009C07C9" w:rsidRPr="00904FCB">
        <w:rPr>
          <w:rFonts w:hint="cs"/>
          <w:sz w:val="27"/>
          <w:rtl/>
        </w:rPr>
        <w:t>ّ</w:t>
      </w:r>
      <w:r w:rsidRPr="00904FCB">
        <w:rPr>
          <w:sz w:val="27"/>
          <w:rtl/>
        </w:rPr>
        <w:t xml:space="preserve"> </w:t>
      </w:r>
      <w:r w:rsidRPr="00904FCB">
        <w:rPr>
          <w:rFonts w:hint="cs"/>
          <w:sz w:val="27"/>
          <w:rtl/>
        </w:rPr>
        <w:t>بالذات</w:t>
      </w:r>
      <w:r w:rsidRPr="00904FCB">
        <w:rPr>
          <w:sz w:val="27"/>
          <w:rtl/>
        </w:rPr>
        <w:t xml:space="preserve"> </w:t>
      </w:r>
      <w:r w:rsidRPr="00904FCB">
        <w:rPr>
          <w:rFonts w:hint="cs"/>
          <w:sz w:val="27"/>
          <w:rtl/>
        </w:rPr>
        <w:t>تتناقض</w:t>
      </w:r>
      <w:r w:rsidRPr="00904FCB">
        <w:rPr>
          <w:sz w:val="27"/>
          <w:rtl/>
        </w:rPr>
        <w:t xml:space="preserve"> </w:t>
      </w:r>
      <w:r w:rsidRPr="00904FCB">
        <w:rPr>
          <w:rFonts w:hint="cs"/>
          <w:sz w:val="27"/>
          <w:rtl/>
        </w:rPr>
        <w:t>مصالح</w:t>
      </w:r>
      <w:r w:rsidRPr="00904FCB">
        <w:rPr>
          <w:sz w:val="27"/>
          <w:rtl/>
        </w:rPr>
        <w:t xml:space="preserve"> </w:t>
      </w:r>
      <w:r w:rsidRPr="00904FCB">
        <w:rPr>
          <w:rFonts w:hint="cs"/>
          <w:sz w:val="27"/>
          <w:rtl/>
        </w:rPr>
        <w:t>النخبة</w:t>
      </w:r>
      <w:r w:rsidRPr="00904FCB">
        <w:rPr>
          <w:sz w:val="27"/>
          <w:rtl/>
        </w:rPr>
        <w:t xml:space="preserve"> </w:t>
      </w:r>
      <w:r w:rsidRPr="00904FCB">
        <w:rPr>
          <w:rFonts w:hint="cs"/>
          <w:sz w:val="27"/>
          <w:rtl/>
        </w:rPr>
        <w:t>السياسية</w:t>
      </w:r>
      <w:r w:rsidRPr="00904FCB">
        <w:rPr>
          <w:sz w:val="27"/>
          <w:rtl/>
        </w:rPr>
        <w:t xml:space="preserve"> </w:t>
      </w:r>
      <w:r w:rsidRPr="00904FCB">
        <w:rPr>
          <w:rFonts w:hint="cs"/>
          <w:sz w:val="27"/>
          <w:rtl/>
        </w:rPr>
        <w:t>الحاكمة</w:t>
      </w:r>
      <w:r w:rsidRPr="00904FCB">
        <w:rPr>
          <w:sz w:val="27"/>
          <w:rtl/>
        </w:rPr>
        <w:t xml:space="preserve"> </w:t>
      </w:r>
      <w:r w:rsidRPr="00904FCB">
        <w:rPr>
          <w:rFonts w:hint="cs"/>
          <w:sz w:val="27"/>
          <w:rtl/>
        </w:rPr>
        <w:t>العاملة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أهداف</w:t>
      </w:r>
      <w:r w:rsidRPr="00904FCB">
        <w:rPr>
          <w:sz w:val="27"/>
          <w:rtl/>
        </w:rPr>
        <w:t xml:space="preserve"> </w:t>
      </w:r>
      <w:r w:rsidRPr="00904FCB">
        <w:rPr>
          <w:rFonts w:hint="cs"/>
          <w:sz w:val="27"/>
          <w:rtl/>
        </w:rPr>
        <w:t>ذاتية</w:t>
      </w:r>
      <w:r w:rsidRPr="00904FCB">
        <w:rPr>
          <w:sz w:val="27"/>
          <w:rtl/>
        </w:rPr>
        <w:t xml:space="preserve"> </w:t>
      </w:r>
      <w:r w:rsidRPr="00904FCB">
        <w:rPr>
          <w:rFonts w:hint="cs"/>
          <w:sz w:val="27"/>
          <w:rtl/>
        </w:rPr>
        <w:t>معاكسة</w:t>
      </w:r>
      <w:r w:rsidRPr="00904FCB">
        <w:rPr>
          <w:sz w:val="27"/>
          <w:rtl/>
        </w:rPr>
        <w:t xml:space="preserve"> </w:t>
      </w:r>
      <w:r w:rsidRPr="00904FCB">
        <w:rPr>
          <w:rFonts w:hint="cs"/>
          <w:sz w:val="27"/>
          <w:rtl/>
        </w:rPr>
        <w:t>تماماً</w:t>
      </w:r>
      <w:r w:rsidRPr="00904FCB">
        <w:rPr>
          <w:sz w:val="27"/>
          <w:rtl/>
        </w:rPr>
        <w:t xml:space="preserve"> </w:t>
      </w:r>
      <w:r w:rsidRPr="00904FCB">
        <w:rPr>
          <w:rFonts w:hint="cs"/>
          <w:sz w:val="27"/>
          <w:rtl/>
        </w:rPr>
        <w:t>لأهداف</w:t>
      </w:r>
      <w:r w:rsidRPr="00904FCB">
        <w:rPr>
          <w:sz w:val="27"/>
          <w:rtl/>
        </w:rPr>
        <w:t xml:space="preserve"> </w:t>
      </w:r>
      <w:r w:rsidRPr="00904FCB">
        <w:rPr>
          <w:rFonts w:hint="cs"/>
          <w:sz w:val="27"/>
          <w:rtl/>
        </w:rPr>
        <w:t>الجماهير</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مصالح</w:t>
      </w:r>
      <w:r w:rsidRPr="00904FCB">
        <w:rPr>
          <w:sz w:val="27"/>
          <w:rtl/>
        </w:rPr>
        <w:t xml:space="preserve"> </w:t>
      </w:r>
      <w:r w:rsidRPr="00904FCB">
        <w:rPr>
          <w:rFonts w:hint="cs"/>
          <w:sz w:val="27"/>
          <w:rtl/>
        </w:rPr>
        <w:t>الكتلة</w:t>
      </w:r>
      <w:r w:rsidRPr="00904FCB">
        <w:rPr>
          <w:sz w:val="27"/>
          <w:rtl/>
        </w:rPr>
        <w:t xml:space="preserve"> </w:t>
      </w:r>
      <w:r w:rsidRPr="00904FCB">
        <w:rPr>
          <w:rFonts w:hint="cs"/>
          <w:sz w:val="27"/>
          <w:rtl/>
        </w:rPr>
        <w:t>الأكبر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الناس</w:t>
      </w:r>
      <w:r w:rsidRPr="00904FCB">
        <w:rPr>
          <w:sz w:val="27"/>
          <w:rtl/>
        </w:rPr>
        <w:t xml:space="preserve"> </w:t>
      </w:r>
      <w:r w:rsidRPr="00904FCB">
        <w:rPr>
          <w:rFonts w:hint="cs"/>
          <w:sz w:val="27"/>
          <w:rtl/>
        </w:rPr>
        <w:t>أصحاب</w:t>
      </w:r>
      <w:r w:rsidRPr="00904FCB">
        <w:rPr>
          <w:sz w:val="27"/>
          <w:rtl/>
        </w:rPr>
        <w:t xml:space="preserve"> </w:t>
      </w:r>
      <w:r w:rsidRPr="00904FCB">
        <w:rPr>
          <w:rFonts w:hint="cs"/>
          <w:sz w:val="27"/>
          <w:rtl/>
        </w:rPr>
        <w:t>الحقوق</w:t>
      </w:r>
      <w:r w:rsidRPr="00904FCB">
        <w:rPr>
          <w:sz w:val="27"/>
          <w:rtl/>
        </w:rPr>
        <w:t xml:space="preserve"> </w:t>
      </w:r>
      <w:r w:rsidRPr="00904FCB">
        <w:rPr>
          <w:rFonts w:hint="cs"/>
          <w:sz w:val="27"/>
          <w:rtl/>
        </w:rPr>
        <w:t>الأساسية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المتحق</w:t>
      </w:r>
      <w:r w:rsidR="009C07C9" w:rsidRPr="00904FCB">
        <w:rPr>
          <w:rFonts w:hint="cs"/>
          <w:sz w:val="27"/>
          <w:rtl/>
        </w:rPr>
        <w:t>ِّ</w:t>
      </w:r>
      <w:r w:rsidRPr="00904FCB">
        <w:rPr>
          <w:rFonts w:hint="cs"/>
          <w:sz w:val="27"/>
          <w:rtl/>
        </w:rPr>
        <w:t>قة</w:t>
      </w:r>
      <w:r w:rsidRPr="00904FCB">
        <w:rPr>
          <w:sz w:val="27"/>
          <w:rtl/>
        </w:rPr>
        <w:t xml:space="preserve"> </w:t>
      </w:r>
      <w:r w:rsidRPr="00904FCB">
        <w:rPr>
          <w:rFonts w:hint="cs"/>
          <w:sz w:val="27"/>
          <w:rtl/>
        </w:rPr>
        <w:t>حت</w:t>
      </w:r>
      <w:r w:rsidR="009C07C9" w:rsidRPr="00904FCB">
        <w:rPr>
          <w:rFonts w:hint="cs"/>
          <w:sz w:val="27"/>
          <w:rtl/>
        </w:rPr>
        <w:t>ّ</w:t>
      </w:r>
      <w:r w:rsidRPr="00904FCB">
        <w:rPr>
          <w:rFonts w:hint="cs"/>
          <w:sz w:val="27"/>
          <w:rtl/>
        </w:rPr>
        <w:t>ى</w:t>
      </w:r>
      <w:r w:rsidRPr="00904FCB">
        <w:rPr>
          <w:sz w:val="27"/>
          <w:rtl/>
        </w:rPr>
        <w:t xml:space="preserve"> </w:t>
      </w:r>
      <w:r w:rsidRPr="00904FCB">
        <w:rPr>
          <w:rFonts w:hint="cs"/>
          <w:sz w:val="27"/>
          <w:rtl/>
        </w:rPr>
        <w:t>الآن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أي</w:t>
      </w:r>
      <w:r w:rsidR="009C07C9" w:rsidRPr="00904FCB">
        <w:rPr>
          <w:rFonts w:hint="cs"/>
          <w:sz w:val="27"/>
          <w:rtl/>
        </w:rPr>
        <w:t>ّ</w:t>
      </w:r>
      <w:r w:rsidRPr="00904FCB">
        <w:rPr>
          <w:sz w:val="27"/>
          <w:rtl/>
        </w:rPr>
        <w:t xml:space="preserve"> </w:t>
      </w:r>
      <w:r w:rsidRPr="00904FCB">
        <w:rPr>
          <w:rFonts w:hint="cs"/>
          <w:sz w:val="27"/>
          <w:rtl/>
        </w:rPr>
        <w:t>اجتماع</w:t>
      </w:r>
      <w:r w:rsidRPr="00904FCB">
        <w:rPr>
          <w:sz w:val="27"/>
          <w:rtl/>
        </w:rPr>
        <w:t xml:space="preserve"> </w:t>
      </w:r>
      <w:r w:rsidRPr="00904FCB">
        <w:rPr>
          <w:rFonts w:hint="cs"/>
          <w:sz w:val="27"/>
          <w:rtl/>
        </w:rPr>
        <w:t>عربي</w:t>
      </w:r>
      <w:r w:rsidR="009C07C9" w:rsidRPr="00904FCB">
        <w:rPr>
          <w:rFonts w:hint="cs"/>
          <w:sz w:val="27"/>
          <w:rtl/>
        </w:rPr>
        <w:t>.</w:t>
      </w:r>
      <w:r w:rsidRPr="00904FCB">
        <w:rPr>
          <w:rFonts w:hint="cs"/>
          <w:sz w:val="27"/>
          <w:rtl/>
        </w:rPr>
        <w:t xml:space="preserve"> وهذا</w:t>
      </w:r>
      <w:r w:rsidRPr="00904FCB">
        <w:rPr>
          <w:sz w:val="27"/>
          <w:rtl/>
        </w:rPr>
        <w:t xml:space="preserve"> </w:t>
      </w:r>
      <w:r w:rsidRPr="00904FCB">
        <w:rPr>
          <w:rFonts w:hint="cs"/>
          <w:sz w:val="27"/>
          <w:rtl/>
        </w:rPr>
        <w:t>حو</w:t>
      </w:r>
      <w:r w:rsidR="009C07C9" w:rsidRPr="00904FCB">
        <w:rPr>
          <w:rFonts w:hint="cs"/>
          <w:sz w:val="27"/>
          <w:rtl/>
        </w:rPr>
        <w:t>َّ</w:t>
      </w:r>
      <w:r w:rsidRPr="00904FCB">
        <w:rPr>
          <w:rFonts w:hint="cs"/>
          <w:sz w:val="27"/>
          <w:rtl/>
        </w:rPr>
        <w:t>ل</w:t>
      </w:r>
      <w:r w:rsidRPr="00904FCB">
        <w:rPr>
          <w:sz w:val="27"/>
          <w:rtl/>
        </w:rPr>
        <w:t xml:space="preserve"> </w:t>
      </w:r>
      <w:r w:rsidRPr="00904FCB">
        <w:rPr>
          <w:rFonts w:hint="cs"/>
          <w:sz w:val="27"/>
          <w:rtl/>
        </w:rPr>
        <w:t>ويحو</w:t>
      </w:r>
      <w:r w:rsidR="009C07C9" w:rsidRPr="00904FCB">
        <w:rPr>
          <w:rFonts w:hint="cs"/>
          <w:sz w:val="27"/>
          <w:rtl/>
        </w:rPr>
        <w:t>ِّ</w:t>
      </w:r>
      <w:r w:rsidRPr="00904FCB">
        <w:rPr>
          <w:rFonts w:hint="cs"/>
          <w:sz w:val="27"/>
          <w:rtl/>
        </w:rPr>
        <w:t>ل</w:t>
      </w:r>
      <w:r w:rsidRPr="00904FCB">
        <w:rPr>
          <w:sz w:val="27"/>
          <w:rtl/>
        </w:rPr>
        <w:t xml:space="preserve"> </w:t>
      </w:r>
      <w:r w:rsidRPr="00904FCB">
        <w:rPr>
          <w:rFonts w:hint="cs"/>
          <w:sz w:val="27"/>
          <w:rtl/>
        </w:rPr>
        <w:t>مختلف</w:t>
      </w:r>
      <w:r w:rsidRPr="00904FCB">
        <w:rPr>
          <w:sz w:val="27"/>
          <w:rtl/>
        </w:rPr>
        <w:t xml:space="preserve"> </w:t>
      </w:r>
      <w:r w:rsidRPr="00904FCB">
        <w:rPr>
          <w:rFonts w:hint="cs"/>
          <w:sz w:val="27"/>
          <w:rtl/>
        </w:rPr>
        <w:t>مواقع</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العليا</w:t>
      </w:r>
      <w:r w:rsidRPr="00904FCB">
        <w:rPr>
          <w:sz w:val="27"/>
          <w:rtl/>
        </w:rPr>
        <w:t xml:space="preserve"> </w:t>
      </w:r>
      <w:r w:rsidRPr="00904FCB">
        <w:rPr>
          <w:rFonts w:hint="cs"/>
          <w:sz w:val="27"/>
          <w:rtl/>
        </w:rPr>
        <w:t>النخبوية</w:t>
      </w:r>
      <w:r w:rsidRPr="00904FCB">
        <w:rPr>
          <w:sz w:val="27"/>
          <w:rtl/>
        </w:rPr>
        <w:t xml:space="preserve"> </w:t>
      </w:r>
      <w:r w:rsidRPr="00904FCB">
        <w:rPr>
          <w:rFonts w:hint="cs"/>
          <w:sz w:val="27"/>
          <w:rtl/>
        </w:rPr>
        <w:t>عندنا</w:t>
      </w:r>
      <w:r w:rsidRPr="00904FCB">
        <w:rPr>
          <w:sz w:val="27"/>
          <w:rtl/>
        </w:rPr>
        <w:t xml:space="preserve"> ـ </w:t>
      </w:r>
      <w:r w:rsidRPr="00904FCB">
        <w:rPr>
          <w:rFonts w:hint="cs"/>
          <w:sz w:val="27"/>
          <w:rtl/>
        </w:rPr>
        <w:t>عندما</w:t>
      </w:r>
      <w:r w:rsidRPr="00904FCB">
        <w:rPr>
          <w:sz w:val="27"/>
          <w:rtl/>
        </w:rPr>
        <w:t xml:space="preserve"> </w:t>
      </w:r>
      <w:r w:rsidRPr="00904FCB">
        <w:rPr>
          <w:rFonts w:hint="cs"/>
          <w:sz w:val="27"/>
          <w:rtl/>
        </w:rPr>
        <w:t>تعمل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ترسيخ</w:t>
      </w:r>
      <w:r w:rsidRPr="00904FCB">
        <w:rPr>
          <w:sz w:val="27"/>
          <w:rtl/>
        </w:rPr>
        <w:t xml:space="preserve"> </w:t>
      </w:r>
      <w:r w:rsidRPr="00904FCB">
        <w:rPr>
          <w:rFonts w:hint="cs"/>
          <w:sz w:val="27"/>
          <w:rtl/>
        </w:rPr>
        <w:t>شعاراتها</w:t>
      </w:r>
      <w:r w:rsidRPr="00904FCB">
        <w:rPr>
          <w:sz w:val="27"/>
          <w:rtl/>
        </w:rPr>
        <w:t xml:space="preserve"> </w:t>
      </w:r>
      <w:r w:rsidRPr="00904FCB">
        <w:rPr>
          <w:rFonts w:hint="cs"/>
          <w:sz w:val="27"/>
          <w:rtl/>
        </w:rPr>
        <w:t>ومقولاتها</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المقد</w:t>
      </w:r>
      <w:r w:rsidR="009C07C9" w:rsidRPr="00904FCB">
        <w:rPr>
          <w:rFonts w:hint="cs"/>
          <w:sz w:val="27"/>
          <w:rtl/>
        </w:rPr>
        <w:t>ّ</w:t>
      </w:r>
      <w:r w:rsidRPr="00904FCB">
        <w:rPr>
          <w:rFonts w:hint="cs"/>
          <w:sz w:val="27"/>
          <w:rtl/>
        </w:rPr>
        <w:t>سة</w:t>
      </w:r>
      <w:r w:rsidRPr="00904FCB">
        <w:rPr>
          <w:sz w:val="27"/>
          <w:rtl/>
        </w:rPr>
        <w:t xml:space="preserve"> </w:t>
      </w:r>
      <w:r w:rsidRPr="00904FCB">
        <w:rPr>
          <w:rFonts w:hint="cs"/>
          <w:sz w:val="27"/>
          <w:rtl/>
        </w:rPr>
        <w:t>الفارغة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أي</w:t>
      </w:r>
      <w:r w:rsidR="009C07C9" w:rsidRPr="00904FCB">
        <w:rPr>
          <w:rFonts w:hint="cs"/>
          <w:sz w:val="27"/>
          <w:rtl/>
        </w:rPr>
        <w:t>ّ</w:t>
      </w:r>
      <w:r w:rsidRPr="00904FCB">
        <w:rPr>
          <w:sz w:val="27"/>
          <w:rtl/>
        </w:rPr>
        <w:t xml:space="preserve"> </w:t>
      </w:r>
      <w:r w:rsidRPr="00904FCB">
        <w:rPr>
          <w:rFonts w:hint="cs"/>
          <w:sz w:val="27"/>
          <w:rtl/>
        </w:rPr>
        <w:t>مضامين</w:t>
      </w:r>
      <w:r w:rsidRPr="00904FCB">
        <w:rPr>
          <w:sz w:val="27"/>
          <w:rtl/>
        </w:rPr>
        <w:t xml:space="preserve"> </w:t>
      </w:r>
      <w:r w:rsidRPr="00904FCB">
        <w:rPr>
          <w:rFonts w:hint="cs"/>
          <w:sz w:val="27"/>
          <w:rtl/>
        </w:rPr>
        <w:t>عملية</w:t>
      </w:r>
      <w:r w:rsidRPr="00904FCB">
        <w:rPr>
          <w:sz w:val="27"/>
          <w:rtl/>
        </w:rPr>
        <w:t xml:space="preserve"> </w:t>
      </w:r>
      <w:r w:rsidRPr="00904FCB">
        <w:rPr>
          <w:rFonts w:hint="cs"/>
          <w:sz w:val="27"/>
          <w:rtl/>
        </w:rPr>
        <w:t>مثمرة</w:t>
      </w:r>
      <w:r w:rsidRPr="00904FCB">
        <w:rPr>
          <w:sz w:val="27"/>
          <w:rtl/>
        </w:rPr>
        <w:t xml:space="preserve"> </w:t>
      </w:r>
      <w:r w:rsidRPr="00904FCB">
        <w:rPr>
          <w:rFonts w:hint="cs"/>
          <w:sz w:val="27"/>
          <w:rtl/>
        </w:rPr>
        <w:t>ومفيدة</w:t>
      </w:r>
      <w:r w:rsidR="009C07C9" w:rsidRPr="00904FCB">
        <w:rPr>
          <w:rFonts w:hint="cs"/>
          <w:sz w:val="27"/>
          <w:rtl/>
        </w:rPr>
        <w:t>؛</w:t>
      </w:r>
      <w:r w:rsidRPr="00904FCB">
        <w:rPr>
          <w:rFonts w:hint="cs"/>
          <w:sz w:val="27"/>
          <w:rtl/>
        </w:rPr>
        <w:t xml:space="preserve"> كونها</w:t>
      </w:r>
      <w:r w:rsidRPr="00904FCB">
        <w:rPr>
          <w:sz w:val="27"/>
          <w:rtl/>
        </w:rPr>
        <w:t xml:space="preserve"> </w:t>
      </w:r>
      <w:r w:rsidRPr="00904FCB">
        <w:rPr>
          <w:rFonts w:hint="cs"/>
          <w:sz w:val="27"/>
          <w:rtl/>
        </w:rPr>
        <w:t>تدعو</w:t>
      </w:r>
      <w:r w:rsidRPr="00904FCB">
        <w:rPr>
          <w:sz w:val="27"/>
          <w:rtl/>
        </w:rPr>
        <w:t xml:space="preserve"> </w:t>
      </w:r>
      <w:r w:rsidRPr="00904FCB">
        <w:rPr>
          <w:rFonts w:hint="cs"/>
          <w:sz w:val="27"/>
          <w:rtl/>
        </w:rPr>
        <w:t>لتأليه</w:t>
      </w:r>
      <w:r w:rsidRPr="00904FCB">
        <w:rPr>
          <w:sz w:val="27"/>
          <w:rtl/>
        </w:rPr>
        <w:t xml:space="preserve"> </w:t>
      </w:r>
      <w:r w:rsidRPr="00904FCB">
        <w:rPr>
          <w:rFonts w:hint="cs"/>
          <w:sz w:val="27"/>
          <w:rtl/>
        </w:rPr>
        <w:t>وتأبيد</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الاستبدادي</w:t>
      </w:r>
      <w:r w:rsidRPr="00904FCB">
        <w:rPr>
          <w:sz w:val="27"/>
          <w:rtl/>
        </w:rPr>
        <w:t xml:space="preserve"> ـ </w:t>
      </w:r>
      <w:r w:rsidRPr="00904FCB">
        <w:rPr>
          <w:rFonts w:hint="cs"/>
          <w:sz w:val="27"/>
          <w:rtl/>
        </w:rPr>
        <w:t>إلى</w:t>
      </w:r>
      <w:r w:rsidRPr="00904FCB">
        <w:rPr>
          <w:sz w:val="27"/>
          <w:rtl/>
        </w:rPr>
        <w:t xml:space="preserve"> </w:t>
      </w:r>
      <w:r w:rsidRPr="00904FCB">
        <w:rPr>
          <w:rFonts w:hint="cs"/>
          <w:sz w:val="27"/>
          <w:rtl/>
        </w:rPr>
        <w:t>مجموعة</w:t>
      </w:r>
      <w:r w:rsidRPr="00904FCB">
        <w:rPr>
          <w:sz w:val="27"/>
          <w:rtl/>
        </w:rPr>
        <w:t xml:space="preserve"> </w:t>
      </w:r>
      <w:r w:rsidRPr="00904FCB">
        <w:rPr>
          <w:rFonts w:hint="cs"/>
          <w:sz w:val="27"/>
          <w:rtl/>
        </w:rPr>
        <w:t>إقطاعات</w:t>
      </w:r>
      <w:r w:rsidRPr="00904FCB">
        <w:rPr>
          <w:sz w:val="27"/>
          <w:rtl/>
        </w:rPr>
        <w:t xml:space="preserve"> </w:t>
      </w:r>
      <w:r w:rsidRPr="00904FCB">
        <w:rPr>
          <w:rFonts w:hint="cs"/>
          <w:sz w:val="27"/>
          <w:rtl/>
        </w:rPr>
        <w:t>ومافيات</w:t>
      </w:r>
      <w:r w:rsidRPr="00904FCB">
        <w:rPr>
          <w:sz w:val="27"/>
          <w:rtl/>
        </w:rPr>
        <w:t xml:space="preserve"> </w:t>
      </w:r>
      <w:r w:rsidRPr="00904FCB">
        <w:rPr>
          <w:rFonts w:hint="cs"/>
          <w:sz w:val="27"/>
          <w:rtl/>
        </w:rPr>
        <w:t>حقيقية</w:t>
      </w:r>
      <w:r w:rsidR="009C07C9" w:rsidRPr="00904FCB">
        <w:rPr>
          <w:rFonts w:hint="cs"/>
          <w:sz w:val="27"/>
          <w:rtl/>
        </w:rPr>
        <w:t>،</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أفرادها</w:t>
      </w:r>
      <w:r w:rsidRPr="00904FCB">
        <w:rPr>
          <w:sz w:val="27"/>
          <w:rtl/>
        </w:rPr>
        <w:t xml:space="preserve"> </w:t>
      </w:r>
      <w:r w:rsidRPr="00904FCB">
        <w:rPr>
          <w:rFonts w:hint="cs"/>
          <w:sz w:val="27"/>
          <w:rtl/>
        </w:rPr>
        <w:t>وأزلامها</w:t>
      </w:r>
      <w:r w:rsidRPr="00904FCB">
        <w:rPr>
          <w:sz w:val="27"/>
          <w:rtl/>
        </w:rPr>
        <w:t xml:space="preserve"> </w:t>
      </w:r>
      <w:r w:rsidRPr="00904FCB">
        <w:rPr>
          <w:rFonts w:hint="cs"/>
          <w:sz w:val="27"/>
          <w:rtl/>
        </w:rPr>
        <w:t>الدائرين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فلكها، وعندئذ</w:t>
      </w:r>
      <w:r w:rsidR="009C07C9" w:rsidRPr="00904FCB">
        <w:rPr>
          <w:rFonts w:hint="cs"/>
          <w:sz w:val="27"/>
          <w:rtl/>
        </w:rPr>
        <w:t>ٍ</w:t>
      </w:r>
      <w:r w:rsidRPr="00904FCB">
        <w:rPr>
          <w:sz w:val="27"/>
          <w:rtl/>
        </w:rPr>
        <w:t xml:space="preserve"> </w:t>
      </w:r>
      <w:r w:rsidRPr="00904FCB">
        <w:rPr>
          <w:rFonts w:hint="cs"/>
          <w:sz w:val="27"/>
          <w:rtl/>
        </w:rPr>
        <w:t>تطفو</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السطح</w:t>
      </w:r>
      <w:r w:rsidRPr="00904FCB">
        <w:rPr>
          <w:sz w:val="27"/>
          <w:rtl/>
        </w:rPr>
        <w:t xml:space="preserve"> </w:t>
      </w:r>
      <w:r w:rsidRPr="00904FCB">
        <w:rPr>
          <w:rFonts w:hint="cs"/>
          <w:sz w:val="27"/>
          <w:rtl/>
        </w:rPr>
        <w:t>ظاهرة</w:t>
      </w:r>
      <w:r w:rsidRPr="00904FCB">
        <w:rPr>
          <w:sz w:val="27"/>
          <w:rtl/>
        </w:rPr>
        <w:t xml:space="preserve"> </w:t>
      </w:r>
      <w:r w:rsidRPr="00904FCB">
        <w:rPr>
          <w:rFonts w:hint="cs"/>
          <w:sz w:val="27"/>
          <w:rtl/>
        </w:rPr>
        <w:t>جديدة</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ظاهرة</w:t>
      </w:r>
      <w:r w:rsidRPr="00904FCB">
        <w:rPr>
          <w:sz w:val="27"/>
          <w:rtl/>
        </w:rPr>
        <w:t xml:space="preserve"> </w:t>
      </w:r>
      <w:r w:rsidRPr="00904FCB">
        <w:rPr>
          <w:rFonts w:hint="eastAsia"/>
          <w:sz w:val="27"/>
          <w:rtl/>
        </w:rPr>
        <w:t>«</w:t>
      </w:r>
      <w:r w:rsidRPr="00904FCB">
        <w:rPr>
          <w:rFonts w:hint="cs"/>
          <w:sz w:val="27"/>
          <w:rtl/>
        </w:rPr>
        <w:t>التشبيح</w:t>
      </w:r>
      <w:r w:rsidRPr="00904FCB">
        <w:rPr>
          <w:rFonts w:hint="eastAsia"/>
          <w:sz w:val="27"/>
          <w:rtl/>
        </w:rPr>
        <w:t>»</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والاجتماعي</w:t>
      </w:r>
      <w:r w:rsidR="009C07C9"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دعائمها</w:t>
      </w:r>
      <w:r w:rsidRPr="00904FCB">
        <w:rPr>
          <w:sz w:val="27"/>
          <w:rtl/>
        </w:rPr>
        <w:t xml:space="preserve"> </w:t>
      </w:r>
      <w:r w:rsidRPr="00904FCB">
        <w:rPr>
          <w:rFonts w:hint="cs"/>
          <w:sz w:val="27"/>
          <w:rtl/>
        </w:rPr>
        <w:t>ورموزها</w:t>
      </w:r>
      <w:r w:rsidR="009C07C9" w:rsidRPr="00904FCB">
        <w:rPr>
          <w:rFonts w:hint="cs"/>
          <w:sz w:val="27"/>
          <w:rtl/>
        </w:rPr>
        <w:t>،</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يعملون</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تحويل</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مجموعة</w:t>
      </w:r>
      <w:r w:rsidRPr="00904FCB">
        <w:rPr>
          <w:sz w:val="27"/>
          <w:rtl/>
        </w:rPr>
        <w:t xml:space="preserve"> </w:t>
      </w:r>
      <w:r w:rsidRPr="00904FCB">
        <w:rPr>
          <w:rFonts w:hint="cs"/>
          <w:sz w:val="27"/>
          <w:rtl/>
        </w:rPr>
        <w:t>مزارع</w:t>
      </w:r>
      <w:r w:rsidRPr="00904FCB">
        <w:rPr>
          <w:sz w:val="27"/>
          <w:rtl/>
        </w:rPr>
        <w:t xml:space="preserve"> </w:t>
      </w:r>
      <w:r w:rsidRPr="00904FCB">
        <w:rPr>
          <w:rFonts w:hint="cs"/>
          <w:sz w:val="27"/>
          <w:rtl/>
        </w:rPr>
        <w:t>و</w:t>
      </w:r>
      <w:r w:rsidR="009C07C9" w:rsidRPr="00904FCB">
        <w:rPr>
          <w:rFonts w:hint="cs"/>
          <w:sz w:val="27"/>
          <w:rtl/>
        </w:rPr>
        <w:t>إ</w:t>
      </w:r>
      <w:r w:rsidRPr="00904FCB">
        <w:rPr>
          <w:rFonts w:hint="cs"/>
          <w:sz w:val="27"/>
          <w:rtl/>
        </w:rPr>
        <w:t>قطاعات</w:t>
      </w:r>
      <w:r w:rsidRPr="00904FCB">
        <w:rPr>
          <w:sz w:val="27"/>
          <w:rtl/>
        </w:rPr>
        <w:t xml:space="preserve"> </w:t>
      </w:r>
      <w:r w:rsidRPr="00904FCB">
        <w:rPr>
          <w:rFonts w:hint="cs"/>
          <w:sz w:val="27"/>
          <w:rtl/>
        </w:rPr>
        <w:t>واستثمارات</w:t>
      </w:r>
      <w:r w:rsidRPr="00904FCB">
        <w:rPr>
          <w:sz w:val="27"/>
          <w:rtl/>
        </w:rPr>
        <w:t xml:space="preserve"> </w:t>
      </w:r>
      <w:r w:rsidRPr="00904FCB">
        <w:rPr>
          <w:rFonts w:hint="cs"/>
          <w:sz w:val="27"/>
          <w:rtl/>
        </w:rPr>
        <w:t>ربحية</w:t>
      </w:r>
      <w:r w:rsidRPr="00904FCB">
        <w:rPr>
          <w:sz w:val="27"/>
          <w:rtl/>
        </w:rPr>
        <w:t xml:space="preserve"> </w:t>
      </w:r>
      <w:r w:rsidRPr="00904FCB">
        <w:rPr>
          <w:rFonts w:hint="cs"/>
          <w:sz w:val="27"/>
          <w:rtl/>
        </w:rPr>
        <w:t>نفعية</w:t>
      </w:r>
      <w:r w:rsidRPr="00904FCB">
        <w:rPr>
          <w:sz w:val="27"/>
          <w:rtl/>
        </w:rPr>
        <w:t xml:space="preserve"> </w:t>
      </w:r>
      <w:r w:rsidRPr="00904FCB">
        <w:rPr>
          <w:rFonts w:hint="cs"/>
          <w:sz w:val="27"/>
          <w:rtl/>
        </w:rPr>
        <w:t>خاصة</w:t>
      </w:r>
      <w:r w:rsidRPr="00904FCB">
        <w:rPr>
          <w:sz w:val="27"/>
          <w:rtl/>
        </w:rPr>
        <w:t xml:space="preserve">. </w:t>
      </w:r>
    </w:p>
    <w:p w:rsidR="00057E24" w:rsidRPr="00904FCB" w:rsidRDefault="00057E24" w:rsidP="00A8172D">
      <w:pPr>
        <w:spacing w:line="400" w:lineRule="exact"/>
        <w:rPr>
          <w:sz w:val="27"/>
          <w:rtl/>
        </w:rPr>
      </w:pPr>
      <w:r w:rsidRPr="00904FCB">
        <w:rPr>
          <w:rFonts w:hint="cs"/>
          <w:sz w:val="27"/>
          <w:rtl/>
        </w:rPr>
        <w:t>وطالما</w:t>
      </w:r>
      <w:r w:rsidRPr="00904FCB">
        <w:rPr>
          <w:sz w:val="27"/>
          <w:rtl/>
        </w:rPr>
        <w:t xml:space="preserve"> </w:t>
      </w:r>
      <w:r w:rsidRPr="00904FCB">
        <w:rPr>
          <w:rFonts w:hint="cs"/>
          <w:sz w:val="27"/>
          <w:rtl/>
        </w:rPr>
        <w:t>تجري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ظل</w:t>
      </w:r>
      <w:r w:rsidR="009C07C9" w:rsidRPr="00904FCB">
        <w:rPr>
          <w:rFonts w:hint="cs"/>
          <w:sz w:val="27"/>
          <w:rtl/>
        </w:rPr>
        <w:t>ّ</w:t>
      </w:r>
      <w:r w:rsidRPr="00904FCB">
        <w:rPr>
          <w:sz w:val="27"/>
          <w:rtl/>
        </w:rPr>
        <w:t xml:space="preserve"> </w:t>
      </w:r>
      <w:r w:rsidRPr="00904FCB">
        <w:rPr>
          <w:rFonts w:hint="cs"/>
          <w:sz w:val="27"/>
          <w:rtl/>
        </w:rPr>
        <w:t>دولة</w:t>
      </w:r>
      <w:r w:rsidRPr="00904FCB">
        <w:rPr>
          <w:sz w:val="27"/>
          <w:rtl/>
        </w:rPr>
        <w:t xml:space="preserve"> </w:t>
      </w:r>
      <w:r w:rsidRPr="00904FCB">
        <w:rPr>
          <w:rFonts w:hint="cs"/>
          <w:sz w:val="27"/>
          <w:rtl/>
        </w:rPr>
        <w:t>الاستبداد</w:t>
      </w:r>
      <w:r w:rsidRPr="00904FCB">
        <w:rPr>
          <w:sz w:val="27"/>
          <w:rtl/>
        </w:rPr>
        <w:t xml:space="preserve"> </w:t>
      </w:r>
      <w:r w:rsidRPr="00904FCB">
        <w:rPr>
          <w:rFonts w:hint="cs"/>
          <w:sz w:val="27"/>
          <w:rtl/>
        </w:rPr>
        <w:t>العربية</w:t>
      </w:r>
      <w:r w:rsidRPr="00904FCB">
        <w:rPr>
          <w:sz w:val="27"/>
          <w:rtl/>
        </w:rPr>
        <w:t xml:space="preserve"> </w:t>
      </w:r>
      <w:r w:rsidRPr="00904FCB">
        <w:rPr>
          <w:rFonts w:hint="cs"/>
          <w:sz w:val="27"/>
          <w:rtl/>
        </w:rPr>
        <w:t>القائمة</w:t>
      </w:r>
      <w:r w:rsidRPr="00904FCB">
        <w:rPr>
          <w:sz w:val="27"/>
          <w:rtl/>
        </w:rPr>
        <w:t xml:space="preserve"> </w:t>
      </w:r>
      <w:r w:rsidRPr="00904FCB">
        <w:rPr>
          <w:rFonts w:hint="cs"/>
          <w:sz w:val="27"/>
          <w:rtl/>
        </w:rPr>
        <w:t>مثل</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المظالم</w:t>
      </w:r>
      <w:r w:rsidRPr="00904FCB">
        <w:rPr>
          <w:sz w:val="27"/>
          <w:rtl/>
        </w:rPr>
        <w:t xml:space="preserve"> </w:t>
      </w:r>
      <w:r w:rsidRPr="00904FCB">
        <w:rPr>
          <w:rFonts w:hint="cs"/>
          <w:sz w:val="27"/>
          <w:rtl/>
        </w:rPr>
        <w:t>المتراكمة</w:t>
      </w:r>
      <w:r w:rsidR="00A719D8" w:rsidRPr="00904FCB">
        <w:rPr>
          <w:rFonts w:hint="cs"/>
          <w:sz w:val="27"/>
          <w:rtl/>
        </w:rPr>
        <w:t>،</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مستوى</w:t>
      </w:r>
      <w:r w:rsidRPr="00904FCB">
        <w:rPr>
          <w:sz w:val="27"/>
          <w:rtl/>
        </w:rPr>
        <w:t xml:space="preserve"> </w:t>
      </w:r>
      <w:r w:rsidRPr="00904FCB">
        <w:rPr>
          <w:rFonts w:hint="cs"/>
          <w:sz w:val="27"/>
          <w:rtl/>
        </w:rPr>
        <w:t>انتهاك</w:t>
      </w:r>
      <w:r w:rsidRPr="00904FCB">
        <w:rPr>
          <w:sz w:val="27"/>
          <w:rtl/>
        </w:rPr>
        <w:t xml:space="preserve"> </w:t>
      </w:r>
      <w:r w:rsidRPr="00904FCB">
        <w:rPr>
          <w:rFonts w:hint="cs"/>
          <w:sz w:val="27"/>
          <w:rtl/>
        </w:rPr>
        <w:t>حقوق</w:t>
      </w:r>
      <w:r w:rsidR="00A719D8" w:rsidRPr="00904FCB">
        <w:rPr>
          <w:rFonts w:hint="cs"/>
          <w:sz w:val="27"/>
          <w:rtl/>
        </w:rPr>
        <w:t>،</w:t>
      </w:r>
      <w:r w:rsidRPr="00904FCB">
        <w:rPr>
          <w:sz w:val="27"/>
          <w:rtl/>
        </w:rPr>
        <w:t xml:space="preserve"> </w:t>
      </w:r>
      <w:r w:rsidRPr="00904FCB">
        <w:rPr>
          <w:rFonts w:hint="cs"/>
          <w:sz w:val="27"/>
          <w:rtl/>
        </w:rPr>
        <w:t>ومصادرة</w:t>
      </w:r>
      <w:r w:rsidRPr="00904FCB">
        <w:rPr>
          <w:sz w:val="27"/>
          <w:rtl/>
        </w:rPr>
        <w:t xml:space="preserve"> </w:t>
      </w:r>
      <w:r w:rsidRPr="00904FCB">
        <w:rPr>
          <w:rFonts w:hint="cs"/>
          <w:sz w:val="27"/>
          <w:rtl/>
        </w:rPr>
        <w:t>حر</w:t>
      </w:r>
      <w:r w:rsidR="00A719D8" w:rsidRPr="00904FCB">
        <w:rPr>
          <w:rFonts w:hint="cs"/>
          <w:sz w:val="27"/>
          <w:rtl/>
        </w:rPr>
        <w:t>ّ</w:t>
      </w:r>
      <w:r w:rsidRPr="00904FCB">
        <w:rPr>
          <w:rFonts w:hint="cs"/>
          <w:sz w:val="27"/>
          <w:rtl/>
        </w:rPr>
        <w:t>يات</w:t>
      </w:r>
      <w:r w:rsidR="00A719D8" w:rsidRPr="00904FCB">
        <w:rPr>
          <w:rFonts w:hint="cs"/>
          <w:sz w:val="27"/>
          <w:rtl/>
        </w:rPr>
        <w:t xml:space="preserve">، </w:t>
      </w:r>
      <w:r w:rsidRPr="00904FCB">
        <w:rPr>
          <w:rFonts w:hint="cs"/>
          <w:sz w:val="27"/>
          <w:rtl/>
        </w:rPr>
        <w:t>وعدم</w:t>
      </w:r>
      <w:r w:rsidRPr="00904FCB">
        <w:rPr>
          <w:sz w:val="27"/>
          <w:rtl/>
        </w:rPr>
        <w:t xml:space="preserve"> </w:t>
      </w:r>
      <w:r w:rsidRPr="00904FCB">
        <w:rPr>
          <w:rFonts w:hint="cs"/>
          <w:sz w:val="27"/>
          <w:rtl/>
        </w:rPr>
        <w:t>تحقيق</w:t>
      </w:r>
      <w:r w:rsidRPr="00904FCB">
        <w:rPr>
          <w:sz w:val="27"/>
          <w:rtl/>
        </w:rPr>
        <w:t xml:space="preserve"> </w:t>
      </w:r>
      <w:r w:rsidRPr="00904FCB">
        <w:rPr>
          <w:rFonts w:hint="cs"/>
          <w:sz w:val="27"/>
          <w:rtl/>
        </w:rPr>
        <w:t>مطالب</w:t>
      </w:r>
      <w:r w:rsidRPr="00904FCB">
        <w:rPr>
          <w:sz w:val="27"/>
          <w:rtl/>
        </w:rPr>
        <w:t xml:space="preserve"> </w:t>
      </w:r>
      <w:r w:rsidRPr="00904FCB">
        <w:rPr>
          <w:rFonts w:hint="cs"/>
          <w:sz w:val="27"/>
          <w:rtl/>
        </w:rPr>
        <w:t>الناس، فإنه</w:t>
      </w:r>
      <w:r w:rsidRPr="00904FCB">
        <w:rPr>
          <w:sz w:val="27"/>
          <w:rtl/>
        </w:rPr>
        <w:t xml:space="preserve"> </w:t>
      </w:r>
      <w:r w:rsidRPr="00904FCB">
        <w:rPr>
          <w:rFonts w:hint="cs"/>
          <w:sz w:val="27"/>
          <w:rtl/>
        </w:rPr>
        <w:lastRenderedPageBreak/>
        <w:t>سيجري</w:t>
      </w:r>
      <w:r w:rsidRPr="00904FCB">
        <w:rPr>
          <w:sz w:val="27"/>
          <w:rtl/>
        </w:rPr>
        <w:t xml:space="preserve"> </w:t>
      </w:r>
      <w:r w:rsidRPr="00904FCB">
        <w:rPr>
          <w:rFonts w:hint="cs"/>
          <w:sz w:val="27"/>
          <w:rtl/>
        </w:rPr>
        <w:t>دوماً</w:t>
      </w:r>
      <w:r w:rsidRPr="00904FCB">
        <w:rPr>
          <w:sz w:val="27"/>
          <w:rtl/>
        </w:rPr>
        <w:t xml:space="preserve"> </w:t>
      </w:r>
      <w:r w:rsidRPr="00904FCB">
        <w:rPr>
          <w:rFonts w:hint="cs"/>
          <w:sz w:val="27"/>
          <w:rtl/>
        </w:rPr>
        <w:t>إعادة</w:t>
      </w:r>
      <w:r w:rsidRPr="00904FCB">
        <w:rPr>
          <w:sz w:val="27"/>
          <w:rtl/>
        </w:rPr>
        <w:t xml:space="preserve"> </w:t>
      </w:r>
      <w:r w:rsidRPr="00904FCB">
        <w:rPr>
          <w:rFonts w:hint="cs"/>
          <w:sz w:val="27"/>
          <w:rtl/>
        </w:rPr>
        <w:t>توليد</w:t>
      </w:r>
      <w:r w:rsidRPr="00904FCB">
        <w:rPr>
          <w:sz w:val="27"/>
          <w:rtl/>
        </w:rPr>
        <w:t xml:space="preserve"> </w:t>
      </w:r>
      <w:r w:rsidRPr="00904FCB">
        <w:rPr>
          <w:rFonts w:hint="cs"/>
          <w:sz w:val="27"/>
          <w:rtl/>
        </w:rPr>
        <w:t>وتخصيب</w:t>
      </w:r>
      <w:r w:rsidRPr="00904FCB">
        <w:rPr>
          <w:sz w:val="27"/>
          <w:rtl/>
        </w:rPr>
        <w:t xml:space="preserve"> </w:t>
      </w:r>
      <w:r w:rsidRPr="00904FCB">
        <w:rPr>
          <w:rFonts w:hint="cs"/>
          <w:sz w:val="27"/>
          <w:rtl/>
        </w:rPr>
        <w:t>مستمر</w:t>
      </w:r>
      <w:r w:rsidR="00A719D8" w:rsidRPr="00904FCB">
        <w:rPr>
          <w:rFonts w:hint="cs"/>
          <w:sz w:val="27"/>
          <w:rtl/>
        </w:rPr>
        <w:t>ّ</w:t>
      </w:r>
      <w:r w:rsidRPr="00904FCB">
        <w:rPr>
          <w:sz w:val="27"/>
          <w:rtl/>
        </w:rPr>
        <w:t xml:space="preserve"> </w:t>
      </w:r>
      <w:r w:rsidRPr="00904FCB">
        <w:rPr>
          <w:rFonts w:hint="cs"/>
          <w:sz w:val="27"/>
          <w:rtl/>
        </w:rPr>
        <w:t>لثقافة</w:t>
      </w:r>
      <w:r w:rsidRPr="00904FCB">
        <w:rPr>
          <w:sz w:val="27"/>
          <w:rtl/>
        </w:rPr>
        <w:t xml:space="preserve"> </w:t>
      </w:r>
      <w:r w:rsidRPr="00904FCB">
        <w:rPr>
          <w:rFonts w:hint="cs"/>
          <w:sz w:val="27"/>
          <w:rtl/>
        </w:rPr>
        <w:t>وعقلية</w:t>
      </w:r>
      <w:r w:rsidRPr="00904FCB">
        <w:rPr>
          <w:sz w:val="27"/>
          <w:rtl/>
        </w:rPr>
        <w:t xml:space="preserve"> </w:t>
      </w:r>
      <w:r w:rsidRPr="00904FCB">
        <w:rPr>
          <w:rFonts w:hint="cs"/>
          <w:sz w:val="27"/>
          <w:rtl/>
        </w:rPr>
        <w:t>العنف</w:t>
      </w:r>
      <w:r w:rsidR="00A719D8" w:rsidRPr="00904FCB">
        <w:rPr>
          <w:rFonts w:hint="cs"/>
          <w:sz w:val="27"/>
          <w:rtl/>
        </w:rPr>
        <w:t>،</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يؤد</w:t>
      </w:r>
      <w:r w:rsidR="00A719D8" w:rsidRPr="00904FCB">
        <w:rPr>
          <w:rFonts w:hint="cs"/>
          <w:sz w:val="27"/>
          <w:rtl/>
        </w:rPr>
        <w:t>ّ</w:t>
      </w:r>
      <w:r w:rsidRPr="00904FCB">
        <w:rPr>
          <w:rFonts w:hint="cs"/>
          <w:sz w:val="27"/>
          <w:rtl/>
        </w:rPr>
        <w:t>ي</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بروز</w:t>
      </w:r>
      <w:r w:rsidRPr="00904FCB">
        <w:rPr>
          <w:sz w:val="27"/>
          <w:rtl/>
        </w:rPr>
        <w:t xml:space="preserve"> </w:t>
      </w:r>
      <w:r w:rsidRPr="00904FCB">
        <w:rPr>
          <w:rFonts w:hint="cs"/>
          <w:sz w:val="27"/>
          <w:rtl/>
        </w:rPr>
        <w:t>وظهور</w:t>
      </w:r>
      <w:r w:rsidRPr="00904FCB">
        <w:rPr>
          <w:sz w:val="27"/>
          <w:rtl/>
        </w:rPr>
        <w:t xml:space="preserve"> </w:t>
      </w:r>
      <w:r w:rsidRPr="00904FCB">
        <w:rPr>
          <w:rFonts w:hint="cs"/>
          <w:sz w:val="27"/>
          <w:rtl/>
        </w:rPr>
        <w:t>أشكال</w:t>
      </w:r>
      <w:r w:rsidRPr="00904FCB">
        <w:rPr>
          <w:sz w:val="27"/>
          <w:rtl/>
        </w:rPr>
        <w:t xml:space="preserve"> </w:t>
      </w:r>
      <w:r w:rsidRPr="00904FCB">
        <w:rPr>
          <w:rFonts w:hint="cs"/>
          <w:sz w:val="27"/>
          <w:rtl/>
        </w:rPr>
        <w:t>نافرة</w:t>
      </w:r>
      <w:r w:rsidRPr="00904FCB">
        <w:rPr>
          <w:sz w:val="27"/>
          <w:rtl/>
        </w:rPr>
        <w:t xml:space="preserve"> </w:t>
      </w:r>
      <w:r w:rsidRPr="00904FCB">
        <w:rPr>
          <w:rFonts w:hint="cs"/>
          <w:sz w:val="27"/>
          <w:rtl/>
        </w:rPr>
        <w:t>مقز</w:t>
      </w:r>
      <w:r w:rsidR="00A719D8" w:rsidRPr="00904FCB">
        <w:rPr>
          <w:rFonts w:hint="cs"/>
          <w:sz w:val="27"/>
          <w:rtl/>
        </w:rPr>
        <w:t>ِّ</w:t>
      </w:r>
      <w:r w:rsidRPr="00904FCB">
        <w:rPr>
          <w:rFonts w:hint="cs"/>
          <w:sz w:val="27"/>
          <w:rtl/>
        </w:rPr>
        <w:t>زة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أعمال</w:t>
      </w:r>
      <w:r w:rsidRPr="00904FCB">
        <w:rPr>
          <w:sz w:val="27"/>
          <w:rtl/>
        </w:rPr>
        <w:t xml:space="preserve"> </w:t>
      </w:r>
      <w:r w:rsidRPr="00904FCB">
        <w:rPr>
          <w:rFonts w:hint="eastAsia"/>
          <w:sz w:val="27"/>
          <w:rtl/>
        </w:rPr>
        <w:t>«</w:t>
      </w:r>
      <w:r w:rsidRPr="00904FCB">
        <w:rPr>
          <w:rFonts w:hint="cs"/>
          <w:sz w:val="27"/>
          <w:rtl/>
        </w:rPr>
        <w:t>العنف</w:t>
      </w:r>
      <w:r w:rsidRPr="00904FCB">
        <w:rPr>
          <w:sz w:val="27"/>
          <w:rtl/>
        </w:rPr>
        <w:t xml:space="preserve"> </w:t>
      </w:r>
      <w:r w:rsidRPr="00904FCB">
        <w:rPr>
          <w:rFonts w:hint="cs"/>
          <w:sz w:val="27"/>
          <w:rtl/>
        </w:rPr>
        <w:t>الانتحاري</w:t>
      </w:r>
      <w:r w:rsidRPr="00904FCB">
        <w:rPr>
          <w:sz w:val="27"/>
          <w:rtl/>
        </w:rPr>
        <w:t xml:space="preserve"> </w:t>
      </w:r>
      <w:r w:rsidRPr="00904FCB">
        <w:rPr>
          <w:rFonts w:hint="cs"/>
          <w:sz w:val="27"/>
          <w:rtl/>
        </w:rPr>
        <w:t>الإلغائي</w:t>
      </w:r>
      <w:r w:rsidRPr="00904FCB">
        <w:rPr>
          <w:rFonts w:hint="eastAsia"/>
          <w:sz w:val="27"/>
          <w:rtl/>
        </w:rPr>
        <w:t>»</w:t>
      </w:r>
      <w:r w:rsidR="005320CA" w:rsidRPr="00904FCB">
        <w:rPr>
          <w:rFonts w:hint="cs"/>
          <w:sz w:val="27"/>
          <w:rtl/>
        </w:rPr>
        <w:t>،</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شاهدنا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سوريا</w:t>
      </w:r>
      <w:r w:rsidRPr="00904FCB">
        <w:rPr>
          <w:sz w:val="27"/>
          <w:rtl/>
        </w:rPr>
        <w:t xml:space="preserve"> </w:t>
      </w:r>
      <w:r w:rsidRPr="00904FCB">
        <w:rPr>
          <w:rFonts w:hint="cs"/>
          <w:sz w:val="27"/>
          <w:rtl/>
        </w:rPr>
        <w:t>والجزائر</w:t>
      </w:r>
      <w:r w:rsidRPr="00904FCB">
        <w:rPr>
          <w:sz w:val="27"/>
          <w:rtl/>
        </w:rPr>
        <w:t xml:space="preserve"> </w:t>
      </w:r>
      <w:r w:rsidRPr="00904FCB">
        <w:rPr>
          <w:rFonts w:hint="cs"/>
          <w:sz w:val="27"/>
          <w:rtl/>
        </w:rPr>
        <w:t>واليمن</w:t>
      </w:r>
      <w:r w:rsidRPr="00904FCB">
        <w:rPr>
          <w:sz w:val="27"/>
          <w:rtl/>
        </w:rPr>
        <w:t xml:space="preserve"> </w:t>
      </w:r>
      <w:r w:rsidRPr="00904FCB">
        <w:rPr>
          <w:rFonts w:hint="cs"/>
          <w:sz w:val="27"/>
          <w:rtl/>
        </w:rPr>
        <w:t>والسودان</w:t>
      </w:r>
      <w:r w:rsidRPr="00904FCB">
        <w:rPr>
          <w:sz w:val="27"/>
          <w:rtl/>
        </w:rPr>
        <w:t xml:space="preserve"> </w:t>
      </w:r>
      <w:r w:rsidRPr="00904FCB">
        <w:rPr>
          <w:rFonts w:hint="cs"/>
          <w:sz w:val="27"/>
          <w:rtl/>
        </w:rPr>
        <w:t>وغيرها</w:t>
      </w:r>
      <w:r w:rsidRPr="00904FCB">
        <w:rPr>
          <w:sz w:val="27"/>
          <w:rtl/>
        </w:rPr>
        <w:t xml:space="preserve">. </w:t>
      </w:r>
      <w:r w:rsidRPr="00904FCB">
        <w:rPr>
          <w:rFonts w:hint="cs"/>
          <w:sz w:val="27"/>
          <w:rtl/>
        </w:rPr>
        <w:t>وهذه</w:t>
      </w:r>
      <w:r w:rsidRPr="00904FCB">
        <w:rPr>
          <w:sz w:val="27"/>
          <w:rtl/>
        </w:rPr>
        <w:t xml:space="preserve"> </w:t>
      </w:r>
      <w:r w:rsidRPr="00904FCB">
        <w:rPr>
          <w:rFonts w:hint="cs"/>
          <w:sz w:val="27"/>
          <w:rtl/>
        </w:rPr>
        <w:t>الدول</w:t>
      </w:r>
      <w:r w:rsidRPr="00904FCB">
        <w:rPr>
          <w:sz w:val="27"/>
          <w:rtl/>
        </w:rPr>
        <w:t xml:space="preserve"> </w:t>
      </w:r>
      <w:r w:rsidRPr="00904FCB">
        <w:rPr>
          <w:rFonts w:hint="cs"/>
          <w:sz w:val="27"/>
          <w:rtl/>
        </w:rPr>
        <w:t>والمجتمعات</w:t>
      </w:r>
      <w:r w:rsidRPr="00904FCB">
        <w:rPr>
          <w:sz w:val="27"/>
          <w:rtl/>
        </w:rPr>
        <w:t xml:space="preserve"> </w:t>
      </w:r>
      <w:r w:rsidRPr="00904FCB">
        <w:rPr>
          <w:rFonts w:hint="cs"/>
          <w:sz w:val="27"/>
          <w:rtl/>
        </w:rPr>
        <w:t>المقهورة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حدثت</w:t>
      </w:r>
      <w:r w:rsidRPr="00904FCB">
        <w:rPr>
          <w:sz w:val="27"/>
          <w:rtl/>
        </w:rPr>
        <w:t xml:space="preserve"> </w:t>
      </w:r>
      <w:r w:rsidRPr="00904FCB">
        <w:rPr>
          <w:rFonts w:hint="cs"/>
          <w:sz w:val="27"/>
          <w:rtl/>
        </w:rPr>
        <w:t>وتحدث</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موجات</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الانتحاري</w:t>
      </w:r>
      <w:r w:rsidRPr="00904FCB">
        <w:rPr>
          <w:sz w:val="27"/>
          <w:rtl/>
        </w:rPr>
        <w:t xml:space="preserve"> </w:t>
      </w:r>
      <w:r w:rsidRPr="00904FCB">
        <w:rPr>
          <w:rFonts w:hint="cs"/>
          <w:sz w:val="27"/>
          <w:rtl/>
        </w:rPr>
        <w:t>المتعاظم</w:t>
      </w:r>
      <w:r w:rsidRPr="00904FCB">
        <w:rPr>
          <w:sz w:val="27"/>
          <w:rtl/>
        </w:rPr>
        <w:t xml:space="preserve"> </w:t>
      </w:r>
      <w:r w:rsidRPr="00904FCB">
        <w:rPr>
          <w:rFonts w:hint="cs"/>
          <w:sz w:val="27"/>
          <w:rtl/>
        </w:rPr>
        <w:t>نلحظ</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حجم</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مقبول</w:t>
      </w:r>
      <w:r w:rsidR="005320CA" w:rsidRPr="00904FCB">
        <w:rPr>
          <w:rFonts w:hint="cs"/>
          <w:sz w:val="27"/>
          <w:rtl/>
        </w:rPr>
        <w:t>،</w:t>
      </w:r>
      <w:r w:rsidRPr="00904FCB">
        <w:rPr>
          <w:sz w:val="27"/>
          <w:rtl/>
        </w:rPr>
        <w:t xml:space="preserve"> </w:t>
      </w:r>
      <w:r w:rsidRPr="00904FCB">
        <w:rPr>
          <w:rFonts w:hint="cs"/>
          <w:sz w:val="27"/>
          <w:rtl/>
        </w:rPr>
        <w:t>وكبير</w:t>
      </w:r>
      <w:r w:rsidRPr="00904FCB">
        <w:rPr>
          <w:sz w:val="27"/>
          <w:rtl/>
        </w:rPr>
        <w:t xml:space="preserve"> </w:t>
      </w:r>
      <w:r w:rsidRPr="00904FCB">
        <w:rPr>
          <w:rFonts w:hint="cs"/>
          <w:sz w:val="27"/>
          <w:rtl/>
        </w:rPr>
        <w:t>للغاية</w:t>
      </w:r>
      <w:r w:rsidR="005320CA" w:rsidRPr="00904FCB">
        <w:rPr>
          <w:rFonts w:hint="cs"/>
          <w:sz w:val="27"/>
          <w:rtl/>
        </w:rPr>
        <w:t xml:space="preserve">، </w:t>
      </w:r>
      <w:r w:rsidRPr="00904FCB">
        <w:rPr>
          <w:rFonts w:hint="cs"/>
          <w:sz w:val="27"/>
          <w:rtl/>
        </w:rPr>
        <w:t>من</w:t>
      </w:r>
      <w:r w:rsidRPr="00904FCB">
        <w:rPr>
          <w:sz w:val="27"/>
          <w:rtl/>
        </w:rPr>
        <w:t xml:space="preserve"> </w:t>
      </w:r>
      <w:r w:rsidRPr="00904FCB">
        <w:rPr>
          <w:rFonts w:hint="cs"/>
          <w:sz w:val="27"/>
          <w:rtl/>
        </w:rPr>
        <w:t>التمايزات</w:t>
      </w:r>
      <w:r w:rsidRPr="00904FCB">
        <w:rPr>
          <w:sz w:val="27"/>
          <w:rtl/>
        </w:rPr>
        <w:t xml:space="preserve"> </w:t>
      </w:r>
      <w:r w:rsidRPr="00904FCB">
        <w:rPr>
          <w:rFonts w:hint="cs"/>
          <w:sz w:val="27"/>
          <w:rtl/>
        </w:rPr>
        <w:t>والفوارق</w:t>
      </w:r>
      <w:r w:rsidRPr="00904FCB">
        <w:rPr>
          <w:sz w:val="27"/>
          <w:rtl/>
        </w:rPr>
        <w:t xml:space="preserve"> </w:t>
      </w:r>
      <w:r w:rsidRPr="00904FCB">
        <w:rPr>
          <w:rFonts w:hint="cs"/>
          <w:sz w:val="27"/>
          <w:rtl/>
        </w:rPr>
        <w:t>الاجتماعية</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مختلف</w:t>
      </w:r>
      <w:r w:rsidRPr="00904FCB">
        <w:rPr>
          <w:sz w:val="27"/>
          <w:rtl/>
        </w:rPr>
        <w:t xml:space="preserve"> </w:t>
      </w:r>
      <w:r w:rsidRPr="00904FCB">
        <w:rPr>
          <w:rFonts w:hint="cs"/>
          <w:sz w:val="27"/>
          <w:rtl/>
        </w:rPr>
        <w:t>مكو</w:t>
      </w:r>
      <w:r w:rsidR="005320CA" w:rsidRPr="00904FCB">
        <w:rPr>
          <w:rFonts w:hint="cs"/>
          <w:sz w:val="27"/>
          <w:rtl/>
        </w:rPr>
        <w:t>ّ</w:t>
      </w:r>
      <w:r w:rsidRPr="00904FCB">
        <w:rPr>
          <w:rFonts w:hint="cs"/>
          <w:sz w:val="27"/>
          <w:rtl/>
        </w:rPr>
        <w:t>ناتها</w:t>
      </w:r>
      <w:r w:rsidRPr="00904FCB">
        <w:rPr>
          <w:sz w:val="27"/>
          <w:rtl/>
        </w:rPr>
        <w:t xml:space="preserve"> </w:t>
      </w:r>
      <w:r w:rsidRPr="00904FCB">
        <w:rPr>
          <w:rFonts w:hint="cs"/>
          <w:sz w:val="27"/>
          <w:rtl/>
        </w:rPr>
        <w:t>ال</w:t>
      </w:r>
      <w:r w:rsidR="005320CA" w:rsidRPr="00904FCB">
        <w:rPr>
          <w:rFonts w:hint="cs"/>
          <w:sz w:val="27"/>
          <w:rtl/>
        </w:rPr>
        <w:t>إث</w:t>
      </w:r>
      <w:r w:rsidRPr="00904FCB">
        <w:rPr>
          <w:rFonts w:hint="cs"/>
          <w:sz w:val="27"/>
          <w:rtl/>
        </w:rPr>
        <w:t>نية</w:t>
      </w:r>
      <w:r w:rsidRPr="00904FCB">
        <w:rPr>
          <w:sz w:val="27"/>
          <w:rtl/>
        </w:rPr>
        <w:t xml:space="preserve"> </w:t>
      </w:r>
      <w:r w:rsidRPr="00904FCB">
        <w:rPr>
          <w:rFonts w:hint="cs"/>
          <w:sz w:val="27"/>
          <w:rtl/>
        </w:rPr>
        <w:t>والدينية</w:t>
      </w:r>
      <w:r w:rsidRPr="00904FCB">
        <w:rPr>
          <w:sz w:val="27"/>
          <w:rtl/>
        </w:rPr>
        <w:t xml:space="preserve"> </w:t>
      </w:r>
      <w:r w:rsidRPr="00904FCB">
        <w:rPr>
          <w:rFonts w:hint="cs"/>
          <w:sz w:val="27"/>
          <w:rtl/>
        </w:rPr>
        <w:t>والقومية</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من</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إزالة</w:t>
      </w:r>
      <w:r w:rsidRPr="00904FCB">
        <w:rPr>
          <w:sz w:val="27"/>
          <w:rtl/>
        </w:rPr>
        <w:t xml:space="preserve"> </w:t>
      </w:r>
      <w:r w:rsidRPr="00904FCB">
        <w:rPr>
          <w:rFonts w:hint="cs"/>
          <w:sz w:val="27"/>
          <w:rtl/>
        </w:rPr>
        <w:t>العنف</w:t>
      </w:r>
      <w:r w:rsidRPr="00904FCB">
        <w:rPr>
          <w:sz w:val="27"/>
          <w:rtl/>
        </w:rPr>
        <w:t xml:space="preserve"> </w:t>
      </w:r>
      <w:r w:rsidRPr="00904FCB">
        <w:rPr>
          <w:rFonts w:hint="cs"/>
          <w:sz w:val="27"/>
          <w:rtl/>
        </w:rPr>
        <w:t>واستئصال</w:t>
      </w:r>
      <w:r w:rsidRPr="00904FCB">
        <w:rPr>
          <w:sz w:val="27"/>
          <w:rtl/>
        </w:rPr>
        <w:t xml:space="preserve"> </w:t>
      </w:r>
      <w:r w:rsidRPr="00904FCB">
        <w:rPr>
          <w:rFonts w:hint="cs"/>
          <w:sz w:val="27"/>
          <w:rtl/>
        </w:rPr>
        <w:t>جذوره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نفوس</w:t>
      </w:r>
      <w:r w:rsidRPr="00904FCB">
        <w:rPr>
          <w:sz w:val="27"/>
          <w:rtl/>
        </w:rPr>
        <w:t xml:space="preserve"> </w:t>
      </w:r>
      <w:r w:rsidRPr="00904FCB">
        <w:rPr>
          <w:rFonts w:hint="cs"/>
          <w:sz w:val="27"/>
          <w:rtl/>
        </w:rPr>
        <w:t>نخبنا</w:t>
      </w:r>
      <w:r w:rsidRPr="00904FCB">
        <w:rPr>
          <w:sz w:val="27"/>
          <w:rtl/>
        </w:rPr>
        <w:t xml:space="preserve"> </w:t>
      </w:r>
      <w:r w:rsidRPr="00904FCB">
        <w:rPr>
          <w:rFonts w:hint="cs"/>
          <w:sz w:val="27"/>
          <w:rtl/>
        </w:rPr>
        <w:t>وبلداننا</w:t>
      </w:r>
      <w:r w:rsidRPr="00904FCB">
        <w:rPr>
          <w:sz w:val="27"/>
          <w:rtl/>
        </w:rPr>
        <w:t xml:space="preserve"> </w:t>
      </w:r>
      <w:r w:rsidRPr="00904FCB">
        <w:rPr>
          <w:rFonts w:hint="cs"/>
          <w:sz w:val="27"/>
          <w:rtl/>
        </w:rPr>
        <w:t>ومجتمعاتنا</w:t>
      </w:r>
      <w:r w:rsidRPr="00904FCB">
        <w:rPr>
          <w:sz w:val="27"/>
          <w:rtl/>
        </w:rPr>
        <w:t xml:space="preserve"> </w:t>
      </w:r>
      <w:r w:rsidRPr="00904FCB">
        <w:rPr>
          <w:rFonts w:hint="cs"/>
          <w:sz w:val="27"/>
          <w:rtl/>
        </w:rPr>
        <w:t>إلا</w:t>
      </w:r>
      <w:r w:rsidR="005320CA" w:rsidRPr="00904FCB">
        <w:rPr>
          <w:rFonts w:hint="cs"/>
          <w:sz w:val="27"/>
          <w:rtl/>
        </w:rPr>
        <w:t>ّ</w:t>
      </w:r>
      <w:r w:rsidRPr="00904FCB">
        <w:rPr>
          <w:sz w:val="27"/>
          <w:rtl/>
        </w:rPr>
        <w:t xml:space="preserve"> </w:t>
      </w:r>
      <w:r w:rsidRPr="00904FCB">
        <w:rPr>
          <w:rFonts w:hint="cs"/>
          <w:sz w:val="27"/>
          <w:rtl/>
        </w:rPr>
        <w:t>عبر</w:t>
      </w:r>
      <w:r w:rsidRPr="00904FCB">
        <w:rPr>
          <w:sz w:val="27"/>
          <w:rtl/>
        </w:rPr>
        <w:t xml:space="preserve"> </w:t>
      </w:r>
      <w:r w:rsidRPr="00904FCB">
        <w:rPr>
          <w:rFonts w:hint="cs"/>
          <w:sz w:val="27"/>
          <w:rtl/>
        </w:rPr>
        <w:t>السيطرة</w:t>
      </w:r>
      <w:r w:rsidRPr="00904FCB">
        <w:rPr>
          <w:sz w:val="27"/>
          <w:rtl/>
        </w:rPr>
        <w:t xml:space="preserve"> </w:t>
      </w:r>
      <w:r w:rsidRPr="00904FCB">
        <w:rPr>
          <w:rFonts w:hint="cs"/>
          <w:sz w:val="27"/>
          <w:rtl/>
        </w:rPr>
        <w:t>الكاملة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مواقع</w:t>
      </w:r>
      <w:r w:rsidRPr="00904FCB">
        <w:rPr>
          <w:sz w:val="27"/>
          <w:rtl/>
        </w:rPr>
        <w:t xml:space="preserve"> </w:t>
      </w:r>
      <w:r w:rsidRPr="00904FCB">
        <w:rPr>
          <w:rFonts w:hint="cs"/>
          <w:sz w:val="27"/>
          <w:rtl/>
        </w:rPr>
        <w:t>وجوده</w:t>
      </w:r>
      <w:r w:rsidR="005320CA" w:rsidRPr="00904FCB">
        <w:rPr>
          <w:rFonts w:hint="cs"/>
          <w:sz w:val="27"/>
          <w:rtl/>
        </w:rPr>
        <w:t>،</w:t>
      </w:r>
      <w:r w:rsidRPr="00904FCB">
        <w:rPr>
          <w:sz w:val="27"/>
          <w:rtl/>
        </w:rPr>
        <w:t xml:space="preserve"> </w:t>
      </w:r>
      <w:r w:rsidRPr="00904FCB">
        <w:rPr>
          <w:rFonts w:hint="cs"/>
          <w:sz w:val="27"/>
          <w:rtl/>
        </w:rPr>
        <w:t>وقابليات</w:t>
      </w:r>
      <w:r w:rsidRPr="00904FCB">
        <w:rPr>
          <w:sz w:val="27"/>
          <w:rtl/>
        </w:rPr>
        <w:t xml:space="preserve"> </w:t>
      </w:r>
      <w:r w:rsidRPr="00904FCB">
        <w:rPr>
          <w:rFonts w:hint="cs"/>
          <w:sz w:val="27"/>
          <w:rtl/>
        </w:rPr>
        <w:t>اشتعاله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بيئة</w:t>
      </w:r>
      <w:r w:rsidRPr="00904FCB">
        <w:rPr>
          <w:sz w:val="27"/>
          <w:rtl/>
        </w:rPr>
        <w:t xml:space="preserve"> </w:t>
      </w:r>
      <w:r w:rsidRPr="00904FCB">
        <w:rPr>
          <w:rFonts w:hint="cs"/>
          <w:sz w:val="27"/>
          <w:rtl/>
        </w:rPr>
        <w:t>مجتمعاتنا</w:t>
      </w:r>
      <w:r w:rsidRPr="00904FCB">
        <w:rPr>
          <w:sz w:val="27"/>
          <w:rtl/>
        </w:rPr>
        <w:t xml:space="preserve"> </w:t>
      </w:r>
      <w:r w:rsidRPr="00904FCB">
        <w:rPr>
          <w:rFonts w:hint="cs"/>
          <w:sz w:val="27"/>
          <w:rtl/>
        </w:rPr>
        <w:t>العربية، أي</w:t>
      </w:r>
      <w:r w:rsidRPr="00904FCB">
        <w:rPr>
          <w:sz w:val="27"/>
          <w:rtl/>
        </w:rPr>
        <w:t xml:space="preserve"> </w:t>
      </w:r>
      <w:r w:rsidRPr="00904FCB">
        <w:rPr>
          <w:rFonts w:hint="cs"/>
          <w:sz w:val="27"/>
          <w:rtl/>
        </w:rPr>
        <w:t>بإزالة</w:t>
      </w:r>
      <w:r w:rsidRPr="00904FCB">
        <w:rPr>
          <w:sz w:val="27"/>
          <w:rtl/>
        </w:rPr>
        <w:t xml:space="preserve"> </w:t>
      </w:r>
      <w:r w:rsidRPr="00904FCB">
        <w:rPr>
          <w:rFonts w:hint="cs"/>
          <w:sz w:val="27"/>
          <w:rtl/>
        </w:rPr>
        <w:t>أسبابه</w:t>
      </w:r>
      <w:r w:rsidRPr="00904FCB">
        <w:rPr>
          <w:sz w:val="27"/>
          <w:rtl/>
        </w:rPr>
        <w:t xml:space="preserve"> </w:t>
      </w:r>
      <w:r w:rsidRPr="00904FCB">
        <w:rPr>
          <w:rFonts w:hint="cs"/>
          <w:sz w:val="27"/>
          <w:rtl/>
        </w:rPr>
        <w:t>ومقد</w:t>
      </w:r>
      <w:r w:rsidR="005320CA" w:rsidRPr="00904FCB">
        <w:rPr>
          <w:rFonts w:hint="cs"/>
          <w:sz w:val="27"/>
          <w:rtl/>
        </w:rPr>
        <w:t>ّ</w:t>
      </w:r>
      <w:r w:rsidRPr="00904FCB">
        <w:rPr>
          <w:rFonts w:hint="cs"/>
          <w:sz w:val="27"/>
          <w:rtl/>
        </w:rPr>
        <w:t>ماته</w:t>
      </w:r>
      <w:r w:rsidRPr="00904FCB">
        <w:rPr>
          <w:sz w:val="27"/>
          <w:rtl/>
        </w:rPr>
        <w:t xml:space="preserve"> </w:t>
      </w:r>
      <w:r w:rsidRPr="00904FCB">
        <w:rPr>
          <w:rFonts w:hint="cs"/>
          <w:sz w:val="27"/>
          <w:rtl/>
        </w:rPr>
        <w:t>وجذوره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داخل</w:t>
      </w:r>
      <w:r w:rsidRPr="00904FCB">
        <w:rPr>
          <w:sz w:val="27"/>
          <w:rtl/>
        </w:rPr>
        <w:t xml:space="preserve"> </w:t>
      </w:r>
      <w:r w:rsidRPr="00904FCB">
        <w:rPr>
          <w:rFonts w:hint="cs"/>
          <w:sz w:val="27"/>
          <w:rtl/>
        </w:rPr>
        <w:t>تربة</w:t>
      </w:r>
      <w:r w:rsidRPr="00904FCB">
        <w:rPr>
          <w:sz w:val="27"/>
          <w:rtl/>
        </w:rPr>
        <w:t xml:space="preserve"> </w:t>
      </w:r>
      <w:r w:rsidRPr="00904FCB">
        <w:rPr>
          <w:rFonts w:hint="cs"/>
          <w:sz w:val="27"/>
          <w:rtl/>
        </w:rPr>
        <w:t>مجتمعاتنا، على</w:t>
      </w:r>
      <w:r w:rsidRPr="00904FCB">
        <w:rPr>
          <w:sz w:val="27"/>
          <w:rtl/>
        </w:rPr>
        <w:t xml:space="preserve"> </w:t>
      </w:r>
      <w:r w:rsidRPr="00904FCB">
        <w:rPr>
          <w:rFonts w:hint="cs"/>
          <w:sz w:val="27"/>
          <w:rtl/>
        </w:rPr>
        <w:t>مستوى</w:t>
      </w:r>
      <w:r w:rsidRPr="00904FCB">
        <w:rPr>
          <w:sz w:val="27"/>
          <w:rtl/>
        </w:rPr>
        <w:t xml:space="preserve"> </w:t>
      </w:r>
      <w:r w:rsidRPr="00904FCB">
        <w:rPr>
          <w:rFonts w:hint="cs"/>
          <w:sz w:val="27"/>
          <w:rtl/>
        </w:rPr>
        <w:t>الفكر</w:t>
      </w:r>
      <w:r w:rsidRPr="00904FCB">
        <w:rPr>
          <w:sz w:val="27"/>
          <w:rtl/>
        </w:rPr>
        <w:t xml:space="preserve"> </w:t>
      </w:r>
      <w:r w:rsidRPr="00904FCB">
        <w:rPr>
          <w:rFonts w:hint="cs"/>
          <w:sz w:val="27"/>
          <w:rtl/>
        </w:rPr>
        <w:t>والأخلاق</w:t>
      </w:r>
      <w:r w:rsidRPr="00904FCB">
        <w:rPr>
          <w:sz w:val="27"/>
          <w:rtl/>
        </w:rPr>
        <w:t xml:space="preserve"> </w:t>
      </w:r>
      <w:r w:rsidRPr="00904FCB">
        <w:rPr>
          <w:rFonts w:hint="cs"/>
          <w:sz w:val="27"/>
          <w:rtl/>
        </w:rPr>
        <w:t>والطبائع</w:t>
      </w:r>
      <w:r w:rsidRPr="00904FCB">
        <w:rPr>
          <w:sz w:val="27"/>
          <w:rtl/>
        </w:rPr>
        <w:t xml:space="preserve"> </w:t>
      </w:r>
      <w:r w:rsidRPr="00904FCB">
        <w:rPr>
          <w:rFonts w:hint="cs"/>
          <w:sz w:val="27"/>
          <w:rtl/>
        </w:rPr>
        <w:t>والسلوك</w:t>
      </w:r>
      <w:r w:rsidRPr="00904FCB">
        <w:rPr>
          <w:sz w:val="27"/>
          <w:rtl/>
        </w:rPr>
        <w:t xml:space="preserve">. </w:t>
      </w:r>
    </w:p>
    <w:p w:rsidR="00057E24" w:rsidRPr="00904FCB" w:rsidRDefault="00057E24" w:rsidP="007A21AA">
      <w:pPr>
        <w:spacing w:line="400" w:lineRule="exact"/>
        <w:rPr>
          <w:sz w:val="27"/>
          <w:rtl/>
        </w:rPr>
      </w:pPr>
      <w:r w:rsidRPr="00904FCB">
        <w:rPr>
          <w:rFonts w:hint="cs"/>
          <w:sz w:val="27"/>
          <w:rtl/>
        </w:rPr>
        <w:t>ولهذا</w:t>
      </w:r>
      <w:r w:rsidRPr="00904FCB">
        <w:rPr>
          <w:sz w:val="27"/>
          <w:rtl/>
        </w:rPr>
        <w:t xml:space="preserve"> </w:t>
      </w:r>
      <w:r w:rsidRPr="00904FCB">
        <w:rPr>
          <w:rFonts w:hint="cs"/>
          <w:sz w:val="27"/>
          <w:rtl/>
        </w:rPr>
        <w:t>تكون</w:t>
      </w:r>
      <w:r w:rsidRPr="00904FCB">
        <w:rPr>
          <w:sz w:val="27"/>
          <w:rtl/>
        </w:rPr>
        <w:t xml:space="preserve"> </w:t>
      </w:r>
      <w:r w:rsidRPr="00904FCB">
        <w:rPr>
          <w:rFonts w:hint="cs"/>
          <w:sz w:val="27"/>
          <w:rtl/>
        </w:rPr>
        <w:t>الدولة</w:t>
      </w:r>
      <w:r w:rsidRPr="00904FCB">
        <w:rPr>
          <w:sz w:val="27"/>
          <w:rtl/>
        </w:rPr>
        <w:t xml:space="preserve"> </w:t>
      </w:r>
      <w:r w:rsidRPr="00904FCB">
        <w:rPr>
          <w:rFonts w:hint="cs"/>
          <w:sz w:val="27"/>
          <w:rtl/>
        </w:rPr>
        <w:t>الديمقراطية</w:t>
      </w:r>
      <w:r w:rsidRPr="00904FCB">
        <w:rPr>
          <w:sz w:val="27"/>
          <w:rtl/>
        </w:rPr>
        <w:t xml:space="preserve"> </w:t>
      </w:r>
      <w:r w:rsidRPr="00904FCB">
        <w:rPr>
          <w:rFonts w:hint="cs"/>
          <w:sz w:val="27"/>
          <w:rtl/>
        </w:rPr>
        <w:t>ذات</w:t>
      </w:r>
      <w:r w:rsidRPr="00904FCB">
        <w:rPr>
          <w:sz w:val="27"/>
          <w:rtl/>
        </w:rPr>
        <w:t xml:space="preserve"> </w:t>
      </w:r>
      <w:r w:rsidRPr="00904FCB">
        <w:rPr>
          <w:rFonts w:hint="cs"/>
          <w:sz w:val="27"/>
          <w:rtl/>
        </w:rPr>
        <w:t>البنية</w:t>
      </w:r>
      <w:r w:rsidRPr="00904FCB">
        <w:rPr>
          <w:sz w:val="27"/>
          <w:rtl/>
        </w:rPr>
        <w:t xml:space="preserve"> </w:t>
      </w:r>
      <w:r w:rsidRPr="00904FCB">
        <w:rPr>
          <w:rFonts w:hint="cs"/>
          <w:sz w:val="27"/>
          <w:rtl/>
        </w:rPr>
        <w:t>المؤس</w:t>
      </w:r>
      <w:r w:rsidR="005320CA" w:rsidRPr="00904FCB">
        <w:rPr>
          <w:rFonts w:hint="cs"/>
          <w:sz w:val="27"/>
          <w:rtl/>
        </w:rPr>
        <w:t>ّ</w:t>
      </w:r>
      <w:r w:rsidRPr="00904FCB">
        <w:rPr>
          <w:rFonts w:hint="cs"/>
          <w:sz w:val="27"/>
          <w:rtl/>
        </w:rPr>
        <w:t>ساتية</w:t>
      </w:r>
      <w:r w:rsidRPr="00904FCB">
        <w:rPr>
          <w:sz w:val="27"/>
          <w:rtl/>
        </w:rPr>
        <w:t xml:space="preserve"> </w:t>
      </w:r>
      <w:r w:rsidRPr="00904FCB">
        <w:rPr>
          <w:rFonts w:hint="cs"/>
          <w:sz w:val="27"/>
          <w:rtl/>
        </w:rPr>
        <w:t>القانونية</w:t>
      </w:r>
      <w:r w:rsidRPr="00904FCB">
        <w:rPr>
          <w:sz w:val="27"/>
          <w:rtl/>
        </w:rPr>
        <w:t xml:space="preserve"> </w:t>
      </w:r>
      <w:r w:rsidRPr="00904FCB">
        <w:rPr>
          <w:rFonts w:hint="cs"/>
          <w:sz w:val="27"/>
          <w:rtl/>
        </w:rPr>
        <w:t>الراسخة</w:t>
      </w:r>
      <w:r w:rsidRPr="00904FCB">
        <w:rPr>
          <w:sz w:val="27"/>
          <w:rtl/>
        </w:rPr>
        <w:t xml:space="preserve"> </w:t>
      </w:r>
      <w:r w:rsidRPr="00904FCB">
        <w:rPr>
          <w:rFonts w:hint="cs"/>
          <w:sz w:val="27"/>
          <w:rtl/>
        </w:rPr>
        <w:t>والقوية</w:t>
      </w:r>
      <w:r w:rsidR="005320CA" w:rsidRPr="00904FCB">
        <w:rPr>
          <w:rFonts w:hint="cs"/>
          <w:sz w:val="27"/>
          <w:rtl/>
        </w:rPr>
        <w:t>؛</w:t>
      </w:r>
      <w:r w:rsidRPr="00904FCB">
        <w:rPr>
          <w:sz w:val="27"/>
          <w:rtl/>
        </w:rPr>
        <w:t xml:space="preserve"> </w:t>
      </w:r>
      <w:r w:rsidRPr="00904FCB">
        <w:rPr>
          <w:rFonts w:hint="cs"/>
          <w:sz w:val="27"/>
          <w:rtl/>
        </w:rPr>
        <w:t>بحكم</w:t>
      </w:r>
      <w:r w:rsidRPr="00904FCB">
        <w:rPr>
          <w:sz w:val="27"/>
          <w:rtl/>
        </w:rPr>
        <w:t xml:space="preserve"> </w:t>
      </w:r>
      <w:r w:rsidRPr="00904FCB">
        <w:rPr>
          <w:rFonts w:hint="cs"/>
          <w:sz w:val="27"/>
          <w:rtl/>
        </w:rPr>
        <w:t>العراقة</w:t>
      </w:r>
      <w:r w:rsidRPr="00904FCB">
        <w:rPr>
          <w:sz w:val="27"/>
          <w:rtl/>
        </w:rPr>
        <w:t xml:space="preserve"> </w:t>
      </w:r>
      <w:r w:rsidRPr="00904FCB">
        <w:rPr>
          <w:rFonts w:hint="cs"/>
          <w:sz w:val="27"/>
          <w:rtl/>
        </w:rPr>
        <w:t>والضمانات</w:t>
      </w:r>
      <w:r w:rsidRPr="00904FCB">
        <w:rPr>
          <w:sz w:val="27"/>
          <w:rtl/>
        </w:rPr>
        <w:t xml:space="preserve"> </w:t>
      </w:r>
      <w:r w:rsidRPr="00904FCB">
        <w:rPr>
          <w:rFonts w:hint="cs"/>
          <w:sz w:val="27"/>
          <w:rtl/>
        </w:rPr>
        <w:t>الدستورية</w:t>
      </w:r>
      <w:r w:rsidRPr="00904FCB">
        <w:rPr>
          <w:sz w:val="27"/>
          <w:rtl/>
        </w:rPr>
        <w:t xml:space="preserve"> </w:t>
      </w:r>
      <w:r w:rsidRPr="00904FCB">
        <w:rPr>
          <w:rFonts w:hint="cs"/>
          <w:sz w:val="27"/>
          <w:rtl/>
        </w:rPr>
        <w:t>والوعي</w:t>
      </w:r>
      <w:r w:rsidRPr="00904FCB">
        <w:rPr>
          <w:sz w:val="27"/>
          <w:rtl/>
        </w:rPr>
        <w:t xml:space="preserve"> </w:t>
      </w:r>
      <w:r w:rsidRPr="00904FCB">
        <w:rPr>
          <w:rFonts w:hint="cs"/>
          <w:sz w:val="27"/>
          <w:rtl/>
        </w:rPr>
        <w:t>العقلي</w:t>
      </w:r>
      <w:r w:rsidRPr="00904FCB">
        <w:rPr>
          <w:sz w:val="27"/>
          <w:rtl/>
        </w:rPr>
        <w:t xml:space="preserve"> </w:t>
      </w:r>
      <w:r w:rsidRPr="00904FCB">
        <w:rPr>
          <w:rFonts w:hint="cs"/>
          <w:sz w:val="27"/>
          <w:rtl/>
        </w:rPr>
        <w:t>الشعبي، هي</w:t>
      </w:r>
      <w:r w:rsidRPr="00904FCB">
        <w:rPr>
          <w:sz w:val="27"/>
          <w:rtl/>
        </w:rPr>
        <w:t xml:space="preserve"> </w:t>
      </w:r>
      <w:r w:rsidRPr="00904FCB">
        <w:rPr>
          <w:rFonts w:hint="cs"/>
          <w:sz w:val="27"/>
          <w:rtl/>
        </w:rPr>
        <w:t>الوحيدة</w:t>
      </w:r>
      <w:r w:rsidRPr="00904FCB">
        <w:rPr>
          <w:sz w:val="27"/>
          <w:rtl/>
        </w:rPr>
        <w:t xml:space="preserve"> </w:t>
      </w:r>
      <w:r w:rsidRPr="00904FCB">
        <w:rPr>
          <w:rFonts w:hint="cs"/>
          <w:sz w:val="27"/>
          <w:rtl/>
        </w:rPr>
        <w:t>القادرة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إضفاء</w:t>
      </w:r>
      <w:r w:rsidRPr="00904FCB">
        <w:rPr>
          <w:sz w:val="27"/>
          <w:rtl/>
        </w:rPr>
        <w:t xml:space="preserve"> </w:t>
      </w:r>
      <w:r w:rsidRPr="00904FCB">
        <w:rPr>
          <w:rFonts w:hint="cs"/>
          <w:sz w:val="27"/>
          <w:rtl/>
        </w:rPr>
        <w:t>طابع</w:t>
      </w:r>
      <w:r w:rsidRPr="00904FCB">
        <w:rPr>
          <w:sz w:val="27"/>
          <w:rtl/>
        </w:rPr>
        <w:t xml:space="preserve"> </w:t>
      </w:r>
      <w:r w:rsidRPr="00904FCB">
        <w:rPr>
          <w:rFonts w:hint="cs"/>
          <w:sz w:val="27"/>
          <w:rtl/>
        </w:rPr>
        <w:t>الشرعية</w:t>
      </w:r>
      <w:r w:rsidRPr="00904FCB">
        <w:rPr>
          <w:sz w:val="27"/>
          <w:rtl/>
        </w:rPr>
        <w:t xml:space="preserve"> </w:t>
      </w:r>
      <w:r w:rsidRPr="00904FCB">
        <w:rPr>
          <w:rFonts w:hint="cs"/>
          <w:sz w:val="27"/>
          <w:rtl/>
        </w:rPr>
        <w:t>القانونية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مناخ</w:t>
      </w:r>
      <w:r w:rsidRPr="00904FCB">
        <w:rPr>
          <w:sz w:val="27"/>
          <w:rtl/>
        </w:rPr>
        <w:t xml:space="preserve"> </w:t>
      </w:r>
      <w:r w:rsidRPr="00904FCB">
        <w:rPr>
          <w:rFonts w:hint="cs"/>
          <w:sz w:val="27"/>
          <w:rtl/>
        </w:rPr>
        <w:t>العنف</w:t>
      </w:r>
      <w:r w:rsidR="005320CA" w:rsidRPr="00904FCB">
        <w:rPr>
          <w:rFonts w:hint="cs"/>
          <w:sz w:val="27"/>
          <w:rtl/>
        </w:rPr>
        <w:t>،</w:t>
      </w:r>
      <w:r w:rsidRPr="00904FCB">
        <w:rPr>
          <w:sz w:val="27"/>
          <w:rtl/>
        </w:rPr>
        <w:t xml:space="preserve"> </w:t>
      </w:r>
      <w:r w:rsidRPr="00904FCB">
        <w:rPr>
          <w:rFonts w:hint="cs"/>
          <w:sz w:val="27"/>
          <w:rtl/>
        </w:rPr>
        <w:t>عبر</w:t>
      </w:r>
      <w:r w:rsidRPr="00904FCB">
        <w:rPr>
          <w:sz w:val="27"/>
          <w:rtl/>
        </w:rPr>
        <w:t xml:space="preserve"> </w:t>
      </w:r>
      <w:r w:rsidRPr="00904FCB">
        <w:rPr>
          <w:rFonts w:hint="cs"/>
          <w:sz w:val="27"/>
          <w:rtl/>
        </w:rPr>
        <w:t>التحك</w:t>
      </w:r>
      <w:r w:rsidR="005320CA" w:rsidRPr="00904FCB">
        <w:rPr>
          <w:rFonts w:hint="cs"/>
          <w:sz w:val="27"/>
          <w:rtl/>
        </w:rPr>
        <w:t>ُّ</w:t>
      </w:r>
      <w:r w:rsidRPr="00904FCB">
        <w:rPr>
          <w:rFonts w:hint="cs"/>
          <w:sz w:val="27"/>
          <w:rtl/>
        </w:rPr>
        <w:t>م</w:t>
      </w:r>
      <w:r w:rsidRPr="00904FCB">
        <w:rPr>
          <w:sz w:val="27"/>
          <w:rtl/>
        </w:rPr>
        <w:t xml:space="preserve"> </w:t>
      </w:r>
      <w:r w:rsidRPr="00904FCB">
        <w:rPr>
          <w:rFonts w:hint="cs"/>
          <w:sz w:val="27"/>
          <w:rtl/>
        </w:rPr>
        <w:t>بمختلف</w:t>
      </w:r>
      <w:r w:rsidRPr="00904FCB">
        <w:rPr>
          <w:sz w:val="27"/>
          <w:rtl/>
        </w:rPr>
        <w:t xml:space="preserve"> </w:t>
      </w:r>
      <w:r w:rsidRPr="00904FCB">
        <w:rPr>
          <w:rFonts w:hint="cs"/>
          <w:sz w:val="27"/>
          <w:rtl/>
        </w:rPr>
        <w:t>آلي</w:t>
      </w:r>
      <w:r w:rsidR="005320CA" w:rsidRPr="00904FCB">
        <w:rPr>
          <w:rFonts w:hint="cs"/>
          <w:sz w:val="27"/>
          <w:rtl/>
        </w:rPr>
        <w:t>ّ</w:t>
      </w:r>
      <w:r w:rsidRPr="00904FCB">
        <w:rPr>
          <w:rFonts w:hint="cs"/>
          <w:sz w:val="27"/>
          <w:rtl/>
        </w:rPr>
        <w:t>ات</w:t>
      </w:r>
      <w:r w:rsidRPr="00904FCB">
        <w:rPr>
          <w:sz w:val="27"/>
          <w:rtl/>
        </w:rPr>
        <w:t xml:space="preserve"> </w:t>
      </w:r>
      <w:r w:rsidRPr="00904FCB">
        <w:rPr>
          <w:rFonts w:hint="cs"/>
          <w:sz w:val="27"/>
          <w:rtl/>
        </w:rPr>
        <w:t>ووسائل</w:t>
      </w:r>
      <w:r w:rsidRPr="00904FCB">
        <w:rPr>
          <w:sz w:val="27"/>
          <w:rtl/>
        </w:rPr>
        <w:t xml:space="preserve"> </w:t>
      </w:r>
      <w:r w:rsidRPr="00904FCB">
        <w:rPr>
          <w:rFonts w:hint="cs"/>
          <w:sz w:val="27"/>
          <w:rtl/>
        </w:rPr>
        <w:t>الضبط</w:t>
      </w:r>
      <w:r w:rsidRPr="00904FCB">
        <w:rPr>
          <w:sz w:val="27"/>
          <w:rtl/>
        </w:rPr>
        <w:t xml:space="preserve"> </w:t>
      </w:r>
      <w:r w:rsidRPr="00904FCB">
        <w:rPr>
          <w:rFonts w:hint="cs"/>
          <w:sz w:val="27"/>
          <w:rtl/>
        </w:rPr>
        <w:t>والردع</w:t>
      </w:r>
      <w:r w:rsidRPr="00904FCB">
        <w:rPr>
          <w:sz w:val="27"/>
          <w:rtl/>
        </w:rPr>
        <w:t xml:space="preserve"> </w:t>
      </w:r>
      <w:r w:rsidRPr="00904FCB">
        <w:rPr>
          <w:rFonts w:hint="cs"/>
          <w:sz w:val="27"/>
          <w:rtl/>
        </w:rPr>
        <w:t>لطرق</w:t>
      </w:r>
      <w:r w:rsidRPr="00904FCB">
        <w:rPr>
          <w:sz w:val="27"/>
          <w:rtl/>
        </w:rPr>
        <w:t xml:space="preserve"> </w:t>
      </w:r>
      <w:r w:rsidRPr="00904FCB">
        <w:rPr>
          <w:rFonts w:hint="cs"/>
          <w:sz w:val="27"/>
          <w:rtl/>
        </w:rPr>
        <w:t>استخدام</w:t>
      </w:r>
      <w:r w:rsidRPr="00904FCB">
        <w:rPr>
          <w:sz w:val="27"/>
          <w:rtl/>
        </w:rPr>
        <w:t xml:space="preserve"> </w:t>
      </w:r>
      <w:r w:rsidRPr="00904FCB">
        <w:rPr>
          <w:rFonts w:hint="cs"/>
          <w:sz w:val="27"/>
          <w:rtl/>
        </w:rPr>
        <w:t>القو</w:t>
      </w:r>
      <w:r w:rsidR="005320CA" w:rsidRPr="00904FCB">
        <w:rPr>
          <w:rFonts w:hint="cs"/>
          <w:sz w:val="27"/>
          <w:rtl/>
        </w:rPr>
        <w:t>ّ</w:t>
      </w:r>
      <w:r w:rsidRPr="00904FCB">
        <w:rPr>
          <w:rFonts w:hint="cs"/>
          <w:sz w:val="27"/>
          <w:rtl/>
        </w:rPr>
        <w:t>ة</w:t>
      </w:r>
      <w:r w:rsidRPr="00904FCB">
        <w:rPr>
          <w:sz w:val="27"/>
          <w:rtl/>
        </w:rPr>
        <w:t xml:space="preserve"> </w:t>
      </w:r>
      <w:r w:rsidRPr="00904FCB">
        <w:rPr>
          <w:rFonts w:hint="cs"/>
          <w:sz w:val="27"/>
          <w:rtl/>
        </w:rPr>
        <w:t>ومختلف</w:t>
      </w:r>
      <w:r w:rsidRPr="00904FCB">
        <w:rPr>
          <w:sz w:val="27"/>
          <w:rtl/>
        </w:rPr>
        <w:t xml:space="preserve"> </w:t>
      </w:r>
      <w:r w:rsidRPr="00904FCB">
        <w:rPr>
          <w:rFonts w:hint="cs"/>
          <w:sz w:val="27"/>
          <w:rtl/>
        </w:rPr>
        <w:t>أدوات</w:t>
      </w:r>
      <w:r w:rsidRPr="00904FCB">
        <w:rPr>
          <w:sz w:val="27"/>
          <w:rtl/>
        </w:rPr>
        <w:t xml:space="preserve"> </w:t>
      </w:r>
      <w:r w:rsidRPr="00904FCB">
        <w:rPr>
          <w:rFonts w:hint="cs"/>
          <w:sz w:val="27"/>
          <w:rtl/>
        </w:rPr>
        <w:t>العنف، مع</w:t>
      </w:r>
      <w:r w:rsidRPr="00904FCB">
        <w:rPr>
          <w:sz w:val="27"/>
          <w:rtl/>
        </w:rPr>
        <w:t xml:space="preserve"> </w:t>
      </w:r>
      <w:r w:rsidRPr="00904FCB">
        <w:rPr>
          <w:rFonts w:hint="cs"/>
          <w:sz w:val="27"/>
          <w:rtl/>
        </w:rPr>
        <w:t>حصر</w:t>
      </w:r>
      <w:r w:rsidRPr="00904FCB">
        <w:rPr>
          <w:sz w:val="27"/>
          <w:rtl/>
        </w:rPr>
        <w:t xml:space="preserve"> </w:t>
      </w:r>
      <w:r w:rsidRPr="00904FCB">
        <w:rPr>
          <w:rFonts w:hint="cs"/>
          <w:sz w:val="27"/>
          <w:rtl/>
        </w:rPr>
        <w:t>احتكار</w:t>
      </w:r>
      <w:r w:rsidRPr="00904FCB">
        <w:rPr>
          <w:sz w:val="27"/>
          <w:rtl/>
        </w:rPr>
        <w:t xml:space="preserve"> </w:t>
      </w:r>
      <w:r w:rsidRPr="00904FCB">
        <w:rPr>
          <w:rFonts w:hint="cs"/>
          <w:sz w:val="27"/>
          <w:rtl/>
        </w:rPr>
        <w:t>سلطة</w:t>
      </w:r>
      <w:r w:rsidRPr="00904FCB">
        <w:rPr>
          <w:sz w:val="27"/>
          <w:rtl/>
        </w:rPr>
        <w:t xml:space="preserve"> </w:t>
      </w:r>
      <w:r w:rsidRPr="00904FCB">
        <w:rPr>
          <w:rFonts w:hint="cs"/>
          <w:sz w:val="27"/>
          <w:rtl/>
        </w:rPr>
        <w:t>إصدار</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بيد</w:t>
      </w:r>
      <w:r w:rsidRPr="00904FCB">
        <w:rPr>
          <w:sz w:val="27"/>
          <w:rtl/>
        </w:rPr>
        <w:t xml:space="preserve"> </w:t>
      </w:r>
      <w:r w:rsidRPr="00904FCB">
        <w:rPr>
          <w:rFonts w:hint="cs"/>
          <w:sz w:val="27"/>
          <w:rtl/>
        </w:rPr>
        <w:t>أقل</w:t>
      </w:r>
      <w:r w:rsidR="005320CA" w:rsidRPr="00904FCB">
        <w:rPr>
          <w:rFonts w:hint="cs"/>
          <w:sz w:val="27"/>
          <w:rtl/>
        </w:rPr>
        <w:t>ّ</w:t>
      </w:r>
      <w:r w:rsidRPr="00904FCB">
        <w:rPr>
          <w:rFonts w:hint="cs"/>
          <w:sz w:val="27"/>
          <w:rtl/>
        </w:rPr>
        <w:t>ية</w:t>
      </w:r>
      <w:r w:rsidRPr="00904FCB">
        <w:rPr>
          <w:sz w:val="27"/>
          <w:rtl/>
        </w:rPr>
        <w:t xml:space="preserve"> </w:t>
      </w:r>
      <w:r w:rsidRPr="00904FCB">
        <w:rPr>
          <w:rFonts w:hint="cs"/>
          <w:sz w:val="27"/>
          <w:rtl/>
        </w:rPr>
        <w:t>سياسية</w:t>
      </w:r>
      <w:r w:rsidRPr="00904FCB">
        <w:rPr>
          <w:sz w:val="27"/>
          <w:rtl/>
        </w:rPr>
        <w:t xml:space="preserve"> </w:t>
      </w:r>
      <w:r w:rsidRPr="00904FCB">
        <w:rPr>
          <w:rFonts w:hint="cs"/>
          <w:sz w:val="27"/>
          <w:rtl/>
        </w:rPr>
        <w:t>منتخبة</w:t>
      </w:r>
      <w:r w:rsidRPr="00904FCB">
        <w:rPr>
          <w:sz w:val="27"/>
          <w:rtl/>
        </w:rPr>
        <w:t xml:space="preserve"> </w:t>
      </w:r>
      <w:r w:rsidRPr="00904FCB">
        <w:rPr>
          <w:rFonts w:hint="cs"/>
          <w:sz w:val="27"/>
          <w:rtl/>
        </w:rPr>
        <w:t>إرادياً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الناس، وهي</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تتحم</w:t>
      </w:r>
      <w:r w:rsidR="005320CA" w:rsidRPr="00904FCB">
        <w:rPr>
          <w:rFonts w:hint="cs"/>
          <w:sz w:val="27"/>
          <w:rtl/>
        </w:rPr>
        <w:t>َّ</w:t>
      </w:r>
      <w:r w:rsidRPr="00904FCB">
        <w:rPr>
          <w:rFonts w:hint="cs"/>
          <w:sz w:val="27"/>
          <w:rtl/>
        </w:rPr>
        <w:t>ل</w:t>
      </w:r>
      <w:r w:rsidRPr="00904FCB">
        <w:rPr>
          <w:sz w:val="27"/>
          <w:rtl/>
        </w:rPr>
        <w:t xml:space="preserve"> </w:t>
      </w:r>
      <w:r w:rsidRPr="00904FCB">
        <w:rPr>
          <w:rFonts w:hint="cs"/>
          <w:sz w:val="27"/>
          <w:rtl/>
        </w:rPr>
        <w:t>مسؤوليات</w:t>
      </w:r>
      <w:r w:rsidRPr="00904FCB">
        <w:rPr>
          <w:sz w:val="27"/>
          <w:rtl/>
        </w:rPr>
        <w:t xml:space="preserve"> </w:t>
      </w:r>
      <w:r w:rsidRPr="00904FCB">
        <w:rPr>
          <w:rFonts w:hint="cs"/>
          <w:sz w:val="27"/>
          <w:rtl/>
        </w:rPr>
        <w:t>العمل</w:t>
      </w:r>
      <w:r w:rsidRPr="00904FCB">
        <w:rPr>
          <w:sz w:val="27"/>
          <w:rtl/>
        </w:rPr>
        <w:t xml:space="preserve"> </w:t>
      </w:r>
      <w:r w:rsidRPr="00904FCB">
        <w:rPr>
          <w:rFonts w:hint="cs"/>
          <w:sz w:val="27"/>
          <w:rtl/>
        </w:rPr>
        <w:t>السياسي</w:t>
      </w:r>
      <w:r w:rsidRPr="00904FCB">
        <w:rPr>
          <w:sz w:val="27"/>
          <w:rtl/>
        </w:rPr>
        <w:t xml:space="preserve"> </w:t>
      </w:r>
      <w:r w:rsidRPr="00904FCB">
        <w:rPr>
          <w:rFonts w:hint="cs"/>
          <w:sz w:val="27"/>
          <w:rtl/>
        </w:rPr>
        <w:t>وغير</w:t>
      </w:r>
      <w:r w:rsidRPr="00904FCB">
        <w:rPr>
          <w:sz w:val="27"/>
          <w:rtl/>
        </w:rPr>
        <w:t xml:space="preserve"> </w:t>
      </w:r>
      <w:r w:rsidRPr="00904FCB">
        <w:rPr>
          <w:rFonts w:hint="cs"/>
          <w:sz w:val="27"/>
          <w:rtl/>
        </w:rPr>
        <w:t>السياسي، وبناء</w:t>
      </w:r>
      <w:r w:rsidRPr="00904FCB">
        <w:rPr>
          <w:sz w:val="27"/>
          <w:rtl/>
        </w:rPr>
        <w:t xml:space="preserve"> </w:t>
      </w:r>
      <w:r w:rsidRPr="00904FCB">
        <w:rPr>
          <w:rFonts w:hint="cs"/>
          <w:sz w:val="27"/>
          <w:rtl/>
        </w:rPr>
        <w:t>مناخ</w:t>
      </w:r>
      <w:r w:rsidRPr="00904FCB">
        <w:rPr>
          <w:sz w:val="27"/>
          <w:rtl/>
        </w:rPr>
        <w:t xml:space="preserve"> </w:t>
      </w:r>
      <w:r w:rsidRPr="00904FCB">
        <w:rPr>
          <w:rFonts w:hint="cs"/>
          <w:sz w:val="27"/>
          <w:rtl/>
        </w:rPr>
        <w:t>عام</w:t>
      </w:r>
      <w:r w:rsidR="005320CA" w:rsidRPr="00904FCB">
        <w:rPr>
          <w:rFonts w:hint="cs"/>
          <w:sz w:val="27"/>
          <w:rtl/>
        </w:rPr>
        <w:t>ّ</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مناسب</w:t>
      </w:r>
      <w:r w:rsidRPr="00904FCB">
        <w:rPr>
          <w:sz w:val="27"/>
          <w:rtl/>
        </w:rPr>
        <w:t xml:space="preserve"> </w:t>
      </w:r>
      <w:r w:rsidRPr="00904FCB">
        <w:rPr>
          <w:rFonts w:hint="cs"/>
          <w:sz w:val="27"/>
          <w:rtl/>
        </w:rPr>
        <w:t>لذلك</w:t>
      </w:r>
      <w:r w:rsidRPr="00904FCB">
        <w:rPr>
          <w:sz w:val="27"/>
          <w:rtl/>
        </w:rPr>
        <w:t xml:space="preserve">. </w:t>
      </w:r>
    </w:p>
    <w:p w:rsidR="00E83C22" w:rsidRPr="00904FCB" w:rsidRDefault="00057E24" w:rsidP="007A21AA">
      <w:pPr>
        <w:spacing w:line="400" w:lineRule="exact"/>
        <w:rPr>
          <w:rtl/>
        </w:rPr>
      </w:pPr>
      <w:r w:rsidRPr="00904FCB">
        <w:rPr>
          <w:rtl/>
        </w:rPr>
        <w:t>إننا نعتقد أن إشادة هيكل المدنية الراسخ والمتين</w:t>
      </w:r>
      <w:r w:rsidR="00B35585" w:rsidRPr="00904FCB">
        <w:rPr>
          <w:rFonts w:hint="cs"/>
          <w:rtl/>
        </w:rPr>
        <w:t>،</w:t>
      </w:r>
      <w:r w:rsidRPr="00904FCB">
        <w:rPr>
          <w:rtl/>
        </w:rPr>
        <w:t xml:space="preserve"> من خلال بناء قواعد الديمقراطية </w:t>
      </w:r>
      <w:r w:rsidRPr="00904FCB">
        <w:rPr>
          <w:rFonts w:hint="cs"/>
          <w:rtl/>
        </w:rPr>
        <w:t xml:space="preserve">المنتجة ضمن سياقاتها الحضارية العربية والإسلامية، مع </w:t>
      </w:r>
      <w:r w:rsidRPr="00904FCB">
        <w:rPr>
          <w:rtl/>
        </w:rPr>
        <w:t>تحقيق القيم العملية للتنظيم الديمقراطي المدني</w:t>
      </w:r>
      <w:r w:rsidRPr="00904FCB">
        <w:rPr>
          <w:rFonts w:hint="cs"/>
          <w:rtl/>
        </w:rPr>
        <w:t xml:space="preserve"> الحر</w:t>
      </w:r>
      <w:r w:rsidR="00B35585" w:rsidRPr="00904FCB">
        <w:rPr>
          <w:rFonts w:hint="cs"/>
          <w:rtl/>
        </w:rPr>
        <w:t>ّ</w:t>
      </w:r>
      <w:r w:rsidRPr="00904FCB">
        <w:rPr>
          <w:rtl/>
        </w:rPr>
        <w:t>، المرتكز بدوره على تحقيق التوازن المجتمعي</w:t>
      </w:r>
      <w:r w:rsidR="00B35585" w:rsidRPr="00904FCB">
        <w:rPr>
          <w:rFonts w:hint="cs"/>
          <w:rtl/>
        </w:rPr>
        <w:t>،</w:t>
      </w:r>
      <w:r w:rsidRPr="00904FCB">
        <w:rPr>
          <w:rtl/>
        </w:rPr>
        <w:t xml:space="preserve"> الذي يجعل الإنسان مركز وجوهر وقاعدة عملية التنمية</w:t>
      </w:r>
      <w:r w:rsidR="00B35585" w:rsidRPr="00904FCB">
        <w:rPr>
          <w:rFonts w:hint="cs"/>
          <w:rtl/>
        </w:rPr>
        <w:t>،</w:t>
      </w:r>
      <w:r w:rsidRPr="00904FCB">
        <w:rPr>
          <w:rtl/>
        </w:rPr>
        <w:t xml:space="preserve"> يبقى هو أفضل مناخ مناسب للتعايش السلمي المتين بين مختلف المكو</w:t>
      </w:r>
      <w:r w:rsidR="00B35585" w:rsidRPr="00904FCB">
        <w:rPr>
          <w:rFonts w:hint="cs"/>
          <w:rtl/>
        </w:rPr>
        <w:t>ّ</w:t>
      </w:r>
      <w:r w:rsidRPr="00904FCB">
        <w:rPr>
          <w:rtl/>
        </w:rPr>
        <w:t xml:space="preserve">نات المجتمعية في بلداننا، </w:t>
      </w:r>
      <w:r w:rsidR="00B35585" w:rsidRPr="00904FCB">
        <w:rPr>
          <w:rFonts w:hint="cs"/>
          <w:rtl/>
        </w:rPr>
        <w:t>و</w:t>
      </w:r>
      <w:r w:rsidRPr="00904FCB">
        <w:rPr>
          <w:rtl/>
        </w:rPr>
        <w:t>خاصة أن أحد أسباب نشوء العنف قد يكون نتيجة وجود فوارق وتمايزات بين تلك المكو</w:t>
      </w:r>
      <w:r w:rsidR="00B35585" w:rsidRPr="00904FCB">
        <w:rPr>
          <w:rFonts w:hint="cs"/>
          <w:rtl/>
        </w:rPr>
        <w:t>ّ</w:t>
      </w:r>
      <w:r w:rsidRPr="00904FCB">
        <w:rPr>
          <w:rtl/>
        </w:rPr>
        <w:t>نات</w:t>
      </w:r>
      <w:r w:rsidR="00B35585" w:rsidRPr="00904FCB">
        <w:rPr>
          <w:rFonts w:hint="cs"/>
          <w:rtl/>
        </w:rPr>
        <w:t>،</w:t>
      </w:r>
      <w:r w:rsidRPr="00904FCB">
        <w:rPr>
          <w:rtl/>
        </w:rPr>
        <w:t xml:space="preserve"> عبر عدم مراعاة أوضاعها وحقوقها</w:t>
      </w:r>
      <w:r w:rsidR="00B35585" w:rsidRPr="00904FCB">
        <w:rPr>
          <w:rFonts w:hint="cs"/>
          <w:rtl/>
        </w:rPr>
        <w:t>.</w:t>
      </w:r>
      <w:r w:rsidRPr="00904FCB">
        <w:rPr>
          <w:rtl/>
        </w:rPr>
        <w:t xml:space="preserve"> لهذا في ظل</w:t>
      </w:r>
      <w:r w:rsidR="00B35585" w:rsidRPr="00904FCB">
        <w:rPr>
          <w:rFonts w:hint="cs"/>
          <w:rtl/>
        </w:rPr>
        <w:t>ّ</w:t>
      </w:r>
      <w:r w:rsidRPr="00904FCB">
        <w:rPr>
          <w:rtl/>
        </w:rPr>
        <w:t xml:space="preserve"> النظام المدني الديمقراطي يمكن لتلك المكو</w:t>
      </w:r>
      <w:r w:rsidR="00B35585" w:rsidRPr="00904FCB">
        <w:rPr>
          <w:rFonts w:hint="cs"/>
          <w:rtl/>
        </w:rPr>
        <w:t>ّ</w:t>
      </w:r>
      <w:r w:rsidRPr="00904FCB">
        <w:rPr>
          <w:rtl/>
        </w:rPr>
        <w:t>نات أن تشعر بحقوقها العملية، وتنخرط بعد ذلك للمساهمة الإيجابية في بناء وتطوير الحياة المجتمعية المشتركة.</w:t>
      </w:r>
    </w:p>
    <w:p w:rsidR="00E83C22" w:rsidRPr="00904FCB" w:rsidRDefault="00E83C2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136"/>
          <w:headerReference w:type="default" r:id="rId137"/>
          <w:footerReference w:type="even" r:id="rId138"/>
          <w:footerReference w:type="default" r:id="rId13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143A12">
      <w:pPr>
        <w:spacing w:line="400" w:lineRule="exact"/>
        <w:ind w:firstLine="0"/>
        <w:rPr>
          <w:rtl/>
        </w:rPr>
        <w:sectPr w:rsidR="00E83C22" w:rsidRPr="00904FCB" w:rsidSect="00E85587">
          <w:headerReference w:type="even" r:id="rId140"/>
          <w:headerReference w:type="default" r:id="rId141"/>
          <w:footerReference w:type="even" r:id="rId142"/>
          <w:footerReference w:type="default" r:id="rId143"/>
          <w:headerReference w:type="first" r:id="rId14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057E24" w:rsidRPr="00904FCB" w:rsidRDefault="00057E24" w:rsidP="00143A12">
      <w:pPr>
        <w:pStyle w:val="10"/>
        <w:spacing w:line="240" w:lineRule="auto"/>
        <w:rPr>
          <w:rtl/>
        </w:rPr>
      </w:pPr>
      <w:bookmarkStart w:id="45" w:name="_Toc435577207"/>
      <w:r w:rsidRPr="00904FCB">
        <w:rPr>
          <w:rFonts w:hint="cs"/>
          <w:rtl/>
          <w:lang w:bidi="fa-IR"/>
        </w:rPr>
        <w:t>الشهيد الثاني</w:t>
      </w:r>
      <w:bookmarkEnd w:id="45"/>
    </w:p>
    <w:p w:rsidR="00057E24" w:rsidRPr="00904FCB" w:rsidRDefault="00057E24" w:rsidP="00143A12">
      <w:pPr>
        <w:pStyle w:val="10"/>
        <w:spacing w:line="240" w:lineRule="auto"/>
        <w:rPr>
          <w:sz w:val="26"/>
          <w:szCs w:val="42"/>
          <w:rtl/>
          <w:lang w:bidi="fa-IR"/>
        </w:rPr>
      </w:pPr>
      <w:bookmarkStart w:id="46" w:name="_Toc435577208"/>
      <w:r w:rsidRPr="00904FCB">
        <w:rPr>
          <w:rFonts w:hint="cs"/>
          <w:sz w:val="26"/>
          <w:szCs w:val="42"/>
          <w:rtl/>
          <w:lang w:bidi="fa-IR"/>
        </w:rPr>
        <w:t>جولةٌ في بعض إبداعاته ونظريّاته الاجتهاديّة</w:t>
      </w:r>
      <w:bookmarkEnd w:id="46"/>
    </w:p>
    <w:p w:rsidR="00057E24" w:rsidRPr="00904FCB" w:rsidRDefault="00057E24" w:rsidP="007A21AA">
      <w:pPr>
        <w:spacing w:line="400" w:lineRule="exact"/>
        <w:rPr>
          <w:rtl/>
        </w:rPr>
      </w:pPr>
    </w:p>
    <w:p w:rsidR="00057E24" w:rsidRPr="00904FCB" w:rsidRDefault="00057E24" w:rsidP="00A856D8">
      <w:pPr>
        <w:pStyle w:val="Author"/>
        <w:spacing w:line="400" w:lineRule="exact"/>
        <w:rPr>
          <w:rtl/>
        </w:rPr>
      </w:pPr>
      <w:bookmarkStart w:id="47" w:name="_Toc435577209"/>
      <w:r w:rsidRPr="00904FCB">
        <w:rPr>
          <w:rFonts w:hint="cs"/>
          <w:rtl/>
          <w:lang w:bidi="fa-IR"/>
        </w:rPr>
        <w:t>د.</w:t>
      </w:r>
      <w:r w:rsidRPr="00904FCB">
        <w:rPr>
          <w:rtl/>
          <w:lang w:bidi="fa-IR"/>
        </w:rPr>
        <w:t xml:space="preserve"> </w:t>
      </w:r>
      <w:r w:rsidR="00A856D8" w:rsidRPr="00904FCB">
        <w:rPr>
          <w:rFonts w:hint="cs"/>
          <w:rtl/>
          <w:lang w:bidi="fa-IR"/>
        </w:rPr>
        <w:t xml:space="preserve">الشيخ </w:t>
      </w:r>
      <w:r w:rsidRPr="00904FCB">
        <w:rPr>
          <w:rtl/>
          <w:lang w:bidi="fa-IR"/>
        </w:rPr>
        <w:t>محمد زروند</w:t>
      </w:r>
      <w:r w:rsidRPr="00904FCB">
        <w:rPr>
          <w:rFonts w:hint="cs"/>
          <w:rtl/>
          <w:lang w:bidi="fa-IR"/>
        </w:rPr>
        <w:t>ي</w:t>
      </w:r>
      <w:r w:rsidRPr="00904FCB">
        <w:rPr>
          <w:rFonts w:cs="Taher" w:hint="cs"/>
          <w:vertAlign w:val="superscript"/>
          <w:rtl/>
        </w:rPr>
        <w:t>(</w:t>
      </w:r>
      <w:r w:rsidRPr="00904FCB">
        <w:rPr>
          <w:rFonts w:cs="Taher"/>
          <w:vertAlign w:val="superscript"/>
          <w:rtl/>
        </w:rPr>
        <w:footnoteReference w:customMarkFollows="1" w:id="15"/>
        <w:t>*)</w:t>
      </w:r>
      <w:bookmarkEnd w:id="47"/>
    </w:p>
    <w:p w:rsidR="00057E24" w:rsidRPr="00904FCB" w:rsidRDefault="00057E24" w:rsidP="007A21AA">
      <w:pPr>
        <w:spacing w:line="400" w:lineRule="exact"/>
        <w:rPr>
          <w:rtl/>
        </w:rPr>
      </w:pPr>
    </w:p>
    <w:p w:rsidR="00057E24" w:rsidRPr="00904FCB" w:rsidRDefault="00057E24" w:rsidP="007A21AA">
      <w:pPr>
        <w:pStyle w:val="31"/>
        <w:spacing w:line="400" w:lineRule="exact"/>
        <w:rPr>
          <w:color w:val="auto"/>
          <w:rtl/>
        </w:rPr>
      </w:pPr>
      <w:r w:rsidRPr="00904FCB">
        <w:rPr>
          <w:rFonts w:hint="cs"/>
          <w:color w:val="auto"/>
          <w:rtl/>
        </w:rPr>
        <w:t>مقدّمة</w:t>
      </w:r>
    </w:p>
    <w:p w:rsidR="00057E24" w:rsidRPr="00904FCB" w:rsidRDefault="00057E24" w:rsidP="0029271A">
      <w:pPr>
        <w:spacing w:line="420" w:lineRule="exact"/>
        <w:ind w:firstLine="561"/>
        <w:rPr>
          <w:rFonts w:ascii="Times New Roman" w:hAnsi="Times New Roman"/>
          <w:sz w:val="27"/>
          <w:rtl/>
          <w:lang w:bidi="fa-IR"/>
        </w:rPr>
      </w:pPr>
      <w:r w:rsidRPr="00904FCB">
        <w:rPr>
          <w:rFonts w:ascii="Times New Roman" w:hAnsi="Times New Roman" w:hint="cs"/>
          <w:sz w:val="27"/>
          <w:rtl/>
          <w:lang w:bidi="fa-IR"/>
        </w:rPr>
        <w:t>يتميز</w:t>
      </w:r>
      <w:r w:rsidRPr="00904FCB">
        <w:rPr>
          <w:rFonts w:ascii="Times New Roman" w:hAnsi="Times New Roman"/>
          <w:sz w:val="27"/>
          <w:rtl/>
          <w:lang w:bidi="fa-IR"/>
        </w:rPr>
        <w:t xml:space="preserve"> </w:t>
      </w:r>
      <w:r w:rsidRPr="00904FCB">
        <w:rPr>
          <w:rFonts w:ascii="Times New Roman" w:hAnsi="Times New Roman" w:hint="cs"/>
          <w:sz w:val="27"/>
          <w:rtl/>
          <w:lang w:bidi="fa-IR"/>
        </w:rPr>
        <w:t>الفقه</w:t>
      </w:r>
      <w:r w:rsidRPr="00904FCB">
        <w:rPr>
          <w:rFonts w:ascii="Times New Roman" w:hAnsi="Times New Roman"/>
          <w:sz w:val="27"/>
          <w:rtl/>
          <w:lang w:bidi="fa-IR"/>
        </w:rPr>
        <w:t xml:space="preserve"> </w:t>
      </w:r>
      <w:r w:rsidRPr="00904FCB">
        <w:rPr>
          <w:rFonts w:ascii="Times New Roman" w:hAnsi="Times New Roman" w:hint="cs"/>
          <w:sz w:val="27"/>
          <w:rtl/>
          <w:lang w:bidi="fa-IR"/>
        </w:rPr>
        <w:t>الشيعي</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عن</w:t>
      </w:r>
      <w:r w:rsidRPr="00904FCB">
        <w:rPr>
          <w:rFonts w:ascii="Times New Roman" w:hAnsi="Times New Roman"/>
          <w:sz w:val="27"/>
          <w:rtl/>
          <w:lang w:bidi="fa-IR"/>
        </w:rPr>
        <w:t xml:space="preserve"> </w:t>
      </w:r>
      <w:r w:rsidRPr="00904FCB">
        <w:rPr>
          <w:rFonts w:ascii="Times New Roman" w:hAnsi="Times New Roman" w:hint="cs"/>
          <w:sz w:val="27"/>
          <w:rtl/>
          <w:lang w:bidi="fa-IR"/>
        </w:rPr>
        <w:t>سائر</w:t>
      </w:r>
      <w:r w:rsidRPr="00904FCB">
        <w:rPr>
          <w:rFonts w:ascii="Times New Roman" w:hAnsi="Times New Roman"/>
          <w:sz w:val="27"/>
          <w:rtl/>
          <w:lang w:bidi="fa-IR"/>
        </w:rPr>
        <w:t xml:space="preserve"> </w:t>
      </w:r>
      <w:r w:rsidRPr="00904FCB">
        <w:rPr>
          <w:rFonts w:ascii="Times New Roman" w:hAnsi="Times New Roman" w:hint="cs"/>
          <w:sz w:val="27"/>
          <w:rtl/>
          <w:lang w:bidi="fa-IR"/>
        </w:rPr>
        <w:t>المذاهب</w:t>
      </w:r>
      <w:r w:rsidRPr="00904FCB">
        <w:rPr>
          <w:rFonts w:ascii="Times New Roman" w:hAnsi="Times New Roman"/>
          <w:sz w:val="27"/>
          <w:rtl/>
          <w:lang w:bidi="fa-IR"/>
        </w:rPr>
        <w:t xml:space="preserve"> و</w:t>
      </w:r>
      <w:r w:rsidRPr="00904FCB">
        <w:rPr>
          <w:rFonts w:ascii="Times New Roman" w:hAnsi="Times New Roman" w:hint="cs"/>
          <w:sz w:val="27"/>
          <w:rtl/>
          <w:lang w:bidi="fa-IR"/>
        </w:rPr>
        <w:t>المدارس</w:t>
      </w:r>
      <w:r w:rsidRPr="00904FCB">
        <w:rPr>
          <w:rFonts w:ascii="Times New Roman" w:hAnsi="Times New Roman"/>
          <w:sz w:val="27"/>
          <w:rtl/>
          <w:lang w:bidi="fa-IR"/>
        </w:rPr>
        <w:t xml:space="preserve"> </w:t>
      </w:r>
      <w:r w:rsidRPr="00904FCB">
        <w:rPr>
          <w:rFonts w:ascii="Times New Roman" w:hAnsi="Times New Roman" w:hint="cs"/>
          <w:sz w:val="27"/>
          <w:rtl/>
          <w:lang w:bidi="fa-IR"/>
        </w:rPr>
        <w:t>الفق</w:t>
      </w:r>
      <w:r w:rsidRPr="00904FCB">
        <w:rPr>
          <w:rFonts w:ascii="Times New Roman" w:hAnsi="Times New Roman"/>
          <w:sz w:val="27"/>
          <w:rtl/>
          <w:lang w:bidi="fa-IR"/>
        </w:rPr>
        <w:t>هية 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العالم بأمور</w:t>
      </w:r>
      <w:r w:rsidRPr="00904FCB">
        <w:rPr>
          <w:rFonts w:ascii="Times New Roman" w:hAnsi="Times New Roman"/>
          <w:sz w:val="27"/>
          <w:rtl/>
          <w:lang w:bidi="fa-IR"/>
        </w:rPr>
        <w:t xml:space="preserve"> و</w:t>
      </w:r>
      <w:r w:rsidRPr="00904FCB">
        <w:rPr>
          <w:rFonts w:ascii="Times New Roman" w:hAnsi="Times New Roman" w:hint="cs"/>
          <w:sz w:val="27"/>
          <w:rtl/>
          <w:lang w:bidi="fa-IR"/>
        </w:rPr>
        <w:t>مزايا</w:t>
      </w:r>
      <w:r w:rsidRPr="00904FCB">
        <w:rPr>
          <w:rFonts w:ascii="Times New Roman" w:hAnsi="Times New Roman"/>
          <w:sz w:val="27"/>
          <w:rtl/>
          <w:lang w:bidi="fa-IR"/>
        </w:rPr>
        <w:t xml:space="preserve"> </w:t>
      </w:r>
      <w:r w:rsidRPr="00904FCB">
        <w:rPr>
          <w:rFonts w:ascii="Times New Roman" w:hAnsi="Times New Roman" w:hint="cs"/>
          <w:sz w:val="27"/>
          <w:rtl/>
          <w:lang w:bidi="fa-IR"/>
        </w:rPr>
        <w:t>كثيرة، منها</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«فتح</w:t>
      </w:r>
      <w:r w:rsidRPr="00904FCB">
        <w:rPr>
          <w:rFonts w:ascii="Times New Roman" w:hAnsi="Times New Roman"/>
          <w:sz w:val="27"/>
          <w:rtl/>
          <w:lang w:bidi="fa-IR"/>
        </w:rPr>
        <w:t xml:space="preserve"> </w:t>
      </w:r>
      <w:r w:rsidRPr="00904FCB">
        <w:rPr>
          <w:rFonts w:ascii="Times New Roman" w:hAnsi="Times New Roman" w:hint="cs"/>
          <w:sz w:val="27"/>
          <w:rtl/>
          <w:lang w:bidi="fa-IR"/>
        </w:rPr>
        <w:t>باب</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00BD3FB3" w:rsidRPr="00904FCB">
        <w:rPr>
          <w:rFonts w:ascii="Times New Roman" w:hAnsi="Times New Roman" w:hint="cs"/>
          <w:sz w:val="27"/>
          <w:rtl/>
          <w:lang w:bidi="fa-IR"/>
        </w:rPr>
        <w:t>ا</w:t>
      </w:r>
      <w:r w:rsidRPr="00904FCB">
        <w:rPr>
          <w:rFonts w:ascii="Times New Roman" w:hAnsi="Times New Roman"/>
          <w:sz w:val="27"/>
          <w:rtl/>
          <w:lang w:bidi="fa-IR"/>
        </w:rPr>
        <w:t xml:space="preserve">جتهاد». </w:t>
      </w:r>
      <w:r w:rsidR="00BD3FB3" w:rsidRPr="00904FCB">
        <w:rPr>
          <w:rFonts w:ascii="Times New Roman" w:hAnsi="Times New Roman" w:hint="cs"/>
          <w:sz w:val="27"/>
          <w:rtl/>
          <w:lang w:bidi="fa-IR"/>
        </w:rPr>
        <w:t xml:space="preserve">وهو </w:t>
      </w:r>
      <w:r w:rsidRPr="00904FCB">
        <w:rPr>
          <w:rFonts w:ascii="Times New Roman" w:hAnsi="Times New Roman"/>
          <w:sz w:val="27"/>
          <w:rtl/>
          <w:lang w:bidi="fa-IR"/>
        </w:rPr>
        <w:t>الأمر الذ</w:t>
      </w:r>
      <w:r w:rsidRPr="00904FCB">
        <w:rPr>
          <w:rFonts w:ascii="Times New Roman" w:hAnsi="Times New Roman" w:hint="cs"/>
          <w:sz w:val="27"/>
          <w:rtl/>
          <w:lang w:bidi="fa-IR"/>
        </w:rPr>
        <w:t>ي</w:t>
      </w:r>
      <w:r w:rsidRPr="00904FCB">
        <w:rPr>
          <w:rFonts w:ascii="Times New Roman" w:hAnsi="Times New Roman"/>
          <w:sz w:val="27"/>
          <w:rtl/>
          <w:lang w:bidi="fa-IR"/>
        </w:rPr>
        <w:t xml:space="preserve"> لم تقتصر بركاته وفوائده على </w:t>
      </w:r>
      <w:r w:rsidRPr="00904FCB">
        <w:rPr>
          <w:rFonts w:ascii="Times New Roman" w:hAnsi="Times New Roman" w:hint="cs"/>
          <w:sz w:val="27"/>
          <w:rtl/>
          <w:lang w:bidi="fa-IR"/>
        </w:rPr>
        <w:t>حفظ</w:t>
      </w:r>
      <w:r w:rsidRPr="00904FCB">
        <w:rPr>
          <w:rFonts w:ascii="Times New Roman" w:hAnsi="Times New Roman"/>
          <w:sz w:val="27"/>
          <w:rtl/>
          <w:lang w:bidi="fa-IR"/>
        </w:rPr>
        <w:t xml:space="preserve"> و</w:t>
      </w:r>
      <w:r w:rsidRPr="00904FCB">
        <w:rPr>
          <w:rFonts w:ascii="Times New Roman" w:hAnsi="Times New Roman" w:hint="cs"/>
          <w:sz w:val="27"/>
          <w:rtl/>
          <w:lang w:bidi="fa-IR"/>
        </w:rPr>
        <w:t>صيانة</w:t>
      </w:r>
      <w:r w:rsidRPr="00904FCB">
        <w:rPr>
          <w:rFonts w:ascii="Times New Roman" w:hAnsi="Times New Roman"/>
          <w:sz w:val="27"/>
          <w:rtl/>
          <w:lang w:bidi="fa-IR"/>
        </w:rPr>
        <w:t xml:space="preserve"> </w:t>
      </w:r>
      <w:r w:rsidRPr="00904FCB">
        <w:rPr>
          <w:rFonts w:ascii="Times New Roman" w:hAnsi="Times New Roman" w:hint="cs"/>
          <w:sz w:val="27"/>
          <w:rtl/>
          <w:lang w:bidi="fa-IR"/>
        </w:rPr>
        <w:t>المذهب</w:t>
      </w:r>
      <w:r w:rsidRPr="00904FCB">
        <w:rPr>
          <w:rFonts w:ascii="Times New Roman" w:hAnsi="Times New Roman"/>
          <w:sz w:val="27"/>
          <w:rtl/>
          <w:lang w:bidi="fa-IR"/>
        </w:rPr>
        <w:t xml:space="preserve"> </w:t>
      </w:r>
      <w:r w:rsidRPr="00904FCB">
        <w:rPr>
          <w:rFonts w:ascii="Times New Roman" w:hAnsi="Times New Roman" w:hint="cs"/>
          <w:sz w:val="27"/>
          <w:rtl/>
          <w:lang w:bidi="fa-IR"/>
        </w:rPr>
        <w:t>الشيعي</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المخاطر</w:t>
      </w:r>
      <w:r w:rsidRPr="00904FCB">
        <w:rPr>
          <w:rFonts w:ascii="Times New Roman" w:hAnsi="Times New Roman"/>
          <w:sz w:val="27"/>
          <w:rtl/>
          <w:lang w:bidi="fa-IR"/>
        </w:rPr>
        <w:t xml:space="preserve"> و</w:t>
      </w:r>
      <w:r w:rsidRPr="00904FCB">
        <w:rPr>
          <w:rFonts w:ascii="Times New Roman" w:hAnsi="Times New Roman" w:hint="cs"/>
          <w:sz w:val="27"/>
          <w:rtl/>
          <w:lang w:bidi="fa-IR"/>
        </w:rPr>
        <w:t>نقاط</w:t>
      </w:r>
      <w:r w:rsidRPr="00904FCB">
        <w:rPr>
          <w:rFonts w:ascii="Times New Roman" w:hAnsi="Times New Roman"/>
          <w:sz w:val="27"/>
          <w:rtl/>
          <w:lang w:bidi="fa-IR"/>
        </w:rPr>
        <w:t xml:space="preserve"> </w:t>
      </w:r>
      <w:r w:rsidRPr="00904FCB">
        <w:rPr>
          <w:rFonts w:ascii="Times New Roman" w:hAnsi="Times New Roman" w:hint="cs"/>
          <w:sz w:val="27"/>
          <w:rtl/>
          <w:lang w:bidi="fa-IR"/>
        </w:rPr>
        <w:t>الضع</w:t>
      </w:r>
      <w:r w:rsidRPr="00904FCB">
        <w:rPr>
          <w:rFonts w:ascii="Times New Roman" w:hAnsi="Times New Roman"/>
          <w:sz w:val="27"/>
          <w:rtl/>
          <w:lang w:bidi="fa-IR"/>
        </w:rPr>
        <w:t xml:space="preserve">ف، بل تجاوزتها </w:t>
      </w:r>
      <w:r w:rsidR="00BD3FB3"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الكثير</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00BD3FB3" w:rsidRPr="00904FCB">
        <w:rPr>
          <w:rFonts w:ascii="Times New Roman" w:hAnsi="Times New Roman" w:hint="cs"/>
          <w:sz w:val="27"/>
          <w:rtl/>
          <w:lang w:bidi="fa-IR"/>
        </w:rPr>
        <w:t>ا</w:t>
      </w:r>
      <w:r w:rsidRPr="00904FCB">
        <w:rPr>
          <w:rFonts w:ascii="Times New Roman" w:hAnsi="Times New Roman"/>
          <w:sz w:val="27"/>
          <w:rtl/>
          <w:lang w:bidi="fa-IR"/>
        </w:rPr>
        <w:t>مت</w:t>
      </w:r>
      <w:r w:rsidRPr="00904FCB">
        <w:rPr>
          <w:rFonts w:ascii="Times New Roman" w:hAnsi="Times New Roman" w:hint="cs"/>
          <w:sz w:val="27"/>
          <w:rtl/>
          <w:lang w:bidi="fa-IR"/>
        </w:rPr>
        <w:t>يازات، و</w:t>
      </w:r>
      <w:r w:rsidRPr="00904FCB">
        <w:rPr>
          <w:rFonts w:ascii="Times New Roman" w:hAnsi="Times New Roman"/>
          <w:sz w:val="27"/>
          <w:rtl/>
          <w:lang w:bidi="fa-IR"/>
        </w:rPr>
        <w:t xml:space="preserve">منها: </w:t>
      </w:r>
      <w:r w:rsidR="00BD3FB3" w:rsidRPr="00904FCB">
        <w:rPr>
          <w:rFonts w:ascii="Times New Roman" w:hAnsi="Times New Roman"/>
          <w:sz w:val="27"/>
          <w:rtl/>
          <w:lang w:bidi="fa-IR"/>
        </w:rPr>
        <w:t>النمو</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والتطوّ</w:t>
      </w:r>
      <w:r w:rsidR="00BD3FB3" w:rsidRPr="00904FCB">
        <w:rPr>
          <w:rFonts w:ascii="Times New Roman" w:hAnsi="Times New Roman" w:hint="cs"/>
          <w:sz w:val="27"/>
          <w:rtl/>
          <w:lang w:bidi="fa-IR"/>
        </w:rPr>
        <w:t>ُ</w:t>
      </w:r>
      <w:r w:rsidR="00BD3FB3" w:rsidRPr="00904FCB">
        <w:rPr>
          <w:rFonts w:ascii="Times New Roman" w:hAnsi="Times New Roman"/>
          <w:sz w:val="27"/>
          <w:rtl/>
          <w:lang w:bidi="fa-IR"/>
        </w:rPr>
        <w:t>ر</w:t>
      </w:r>
      <w:r w:rsidRPr="00904FCB">
        <w:rPr>
          <w:rFonts w:ascii="Times New Roman" w:hAnsi="Times New Roman"/>
          <w:sz w:val="27"/>
          <w:rtl/>
          <w:lang w:bidi="fa-IR"/>
        </w:rPr>
        <w:t xml:space="preserve"> كمّاً وك</w:t>
      </w:r>
      <w:r w:rsidRPr="00904FCB">
        <w:rPr>
          <w:rFonts w:ascii="Times New Roman" w:hAnsi="Times New Roman" w:hint="cs"/>
          <w:sz w:val="27"/>
          <w:rtl/>
          <w:lang w:bidi="fa-IR"/>
        </w:rPr>
        <w:t xml:space="preserve">يفاً، </w:t>
      </w:r>
      <w:r w:rsidR="00BD3FB3" w:rsidRPr="00904FCB">
        <w:rPr>
          <w:rFonts w:ascii="Times New Roman" w:hAnsi="Times New Roman" w:hint="cs"/>
          <w:sz w:val="27"/>
          <w:rtl/>
          <w:lang w:bidi="fa-IR"/>
        </w:rPr>
        <w:t>م</w:t>
      </w:r>
      <w:r w:rsidRPr="00904FCB">
        <w:rPr>
          <w:rFonts w:ascii="Times New Roman" w:hAnsi="Times New Roman" w:hint="cs"/>
          <w:sz w:val="27"/>
          <w:rtl/>
          <w:lang w:bidi="fa-IR"/>
        </w:rPr>
        <w:t>ا</w:t>
      </w:r>
      <w:r w:rsidR="00BD3FB3" w:rsidRPr="00904FCB">
        <w:rPr>
          <w:rFonts w:ascii="Times New Roman" w:hAnsi="Times New Roman" w:hint="cs"/>
          <w:sz w:val="27"/>
          <w:rtl/>
          <w:lang w:bidi="fa-IR"/>
        </w:rPr>
        <w:t xml:space="preserve"> </w:t>
      </w:r>
      <w:r w:rsidRPr="00904FCB">
        <w:rPr>
          <w:rFonts w:ascii="Times New Roman" w:hAnsi="Times New Roman" w:hint="cs"/>
          <w:sz w:val="27"/>
          <w:rtl/>
          <w:lang w:bidi="fa-IR"/>
        </w:rPr>
        <w:t>ج</w:t>
      </w:r>
      <w:r w:rsidR="00BD3FB3" w:rsidRPr="00904FCB">
        <w:rPr>
          <w:rFonts w:ascii="Times New Roman" w:hAnsi="Times New Roman" w:hint="cs"/>
          <w:sz w:val="27"/>
          <w:rtl/>
          <w:lang w:bidi="fa-IR"/>
        </w:rPr>
        <w:t>عل</w:t>
      </w:r>
      <w:r w:rsidRPr="00904FCB">
        <w:rPr>
          <w:rFonts w:ascii="Times New Roman" w:hAnsi="Times New Roman" w:hint="cs"/>
          <w:sz w:val="27"/>
          <w:rtl/>
          <w:lang w:bidi="fa-IR"/>
        </w:rPr>
        <w:t>ه</w:t>
      </w:r>
      <w:r w:rsidRPr="00904FCB">
        <w:rPr>
          <w:rFonts w:ascii="Times New Roman" w:hAnsi="Times New Roman"/>
          <w:sz w:val="27"/>
          <w:rtl/>
          <w:lang w:bidi="fa-IR"/>
        </w:rPr>
        <w:t xml:space="preserve"> مثمراً ومواكباً للعصر وحاجاته المتجدّدة</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حدّ</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الإمام</w:t>
      </w:r>
      <w:r w:rsidRPr="00904FCB">
        <w:rPr>
          <w:rFonts w:ascii="Times New Roman" w:hAnsi="Times New Roman"/>
          <w:sz w:val="27"/>
          <w:rtl/>
          <w:lang w:bidi="fa-IR"/>
        </w:rPr>
        <w:t xml:space="preserve"> </w:t>
      </w:r>
      <w:r w:rsidRPr="00904FCB">
        <w:rPr>
          <w:rFonts w:ascii="Times New Roman" w:hAnsi="Times New Roman" w:hint="cs"/>
          <w:sz w:val="27"/>
          <w:rtl/>
          <w:lang w:bidi="fa-IR"/>
        </w:rPr>
        <w:t>الخميني</w:t>
      </w:r>
      <w:r w:rsidR="00510A75" w:rsidRPr="00756F2A">
        <w:rPr>
          <w:rFonts w:ascii="Mosawi" w:hAnsi="Mosawi" w:cs="Mosawi"/>
          <w:sz w:val="22"/>
          <w:szCs w:val="22"/>
          <w:rtl/>
          <w:lang w:bidi="fa-IR"/>
        </w:rPr>
        <w:t>&amp;</w:t>
      </w:r>
      <w:r w:rsidRPr="00904FCB">
        <w:rPr>
          <w:rFonts w:ascii="Times New Roman" w:hAnsi="Times New Roman"/>
          <w:sz w:val="27"/>
          <w:rtl/>
          <w:lang w:bidi="fa-IR"/>
        </w:rPr>
        <w:t xml:space="preserve"> </w:t>
      </w:r>
      <w:r w:rsidRPr="00904FCB">
        <w:rPr>
          <w:rFonts w:ascii="Times New Roman" w:hAnsi="Times New Roman" w:hint="cs"/>
          <w:sz w:val="27"/>
          <w:rtl/>
          <w:lang w:bidi="fa-IR"/>
        </w:rPr>
        <w:t>يوجّ</w:t>
      </w:r>
      <w:r w:rsidR="00BD3FB3" w:rsidRPr="00904FCB">
        <w:rPr>
          <w:rFonts w:ascii="Times New Roman" w:hAnsi="Times New Roman" w:hint="cs"/>
          <w:sz w:val="27"/>
          <w:rtl/>
          <w:lang w:bidi="fa-IR"/>
        </w:rPr>
        <w:t>ِ</w:t>
      </w:r>
      <w:r w:rsidRPr="00904FCB">
        <w:rPr>
          <w:rFonts w:ascii="Times New Roman" w:hAnsi="Times New Roman" w:hint="cs"/>
          <w:sz w:val="27"/>
          <w:rtl/>
          <w:lang w:bidi="fa-IR"/>
        </w:rPr>
        <w:t>ه</w:t>
      </w:r>
      <w:r w:rsidRPr="00904FCB">
        <w:rPr>
          <w:rFonts w:ascii="Times New Roman" w:hAnsi="Times New Roman"/>
          <w:sz w:val="27"/>
          <w:rtl/>
          <w:lang w:bidi="fa-IR"/>
        </w:rPr>
        <w:t xml:space="preserve"> </w:t>
      </w:r>
      <w:r w:rsidRPr="00904FCB">
        <w:rPr>
          <w:rFonts w:ascii="Times New Roman" w:hAnsi="Times New Roman" w:hint="cs"/>
          <w:sz w:val="27"/>
          <w:rtl/>
          <w:lang w:bidi="fa-IR"/>
        </w:rPr>
        <w:t>رسال</w:t>
      </w:r>
      <w:r w:rsidRPr="00904FCB">
        <w:rPr>
          <w:rFonts w:ascii="Times New Roman" w:hAnsi="Times New Roman"/>
          <w:sz w:val="27"/>
          <w:rtl/>
          <w:lang w:bidi="fa-IR"/>
        </w:rPr>
        <w:t>ة فخر و</w:t>
      </w:r>
      <w:r w:rsidR="00BD3FB3" w:rsidRPr="00904FCB">
        <w:rPr>
          <w:rFonts w:ascii="Times New Roman" w:hAnsi="Times New Roman" w:hint="cs"/>
          <w:sz w:val="27"/>
          <w:rtl/>
          <w:lang w:bidi="fa-IR"/>
        </w:rPr>
        <w:t>ا</w:t>
      </w:r>
      <w:r w:rsidRPr="00904FCB">
        <w:rPr>
          <w:rFonts w:ascii="Times New Roman" w:hAnsi="Times New Roman"/>
          <w:sz w:val="27"/>
          <w:rtl/>
          <w:lang w:bidi="fa-IR"/>
        </w:rPr>
        <w:t>عتزاز للع</w:t>
      </w:r>
      <w:r w:rsidRPr="00904FCB">
        <w:rPr>
          <w:rFonts w:ascii="Times New Roman" w:hAnsi="Times New Roman" w:hint="cs"/>
          <w:sz w:val="27"/>
          <w:rtl/>
          <w:lang w:bidi="fa-IR"/>
        </w:rPr>
        <w:t>ا</w:t>
      </w:r>
      <w:r w:rsidRPr="00904FCB">
        <w:rPr>
          <w:rFonts w:ascii="Times New Roman" w:hAnsi="Times New Roman"/>
          <w:sz w:val="27"/>
          <w:rtl/>
          <w:lang w:bidi="fa-IR"/>
        </w:rPr>
        <w:t>لم أنّ الفقه نظر</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واقعية</w:t>
      </w:r>
      <w:r w:rsidRPr="00904FCB">
        <w:rPr>
          <w:rFonts w:ascii="Times New Roman" w:hAnsi="Times New Roman"/>
          <w:sz w:val="27"/>
          <w:rtl/>
          <w:lang w:bidi="fa-IR"/>
        </w:rPr>
        <w:t xml:space="preserve"> </w:t>
      </w:r>
      <w:r w:rsidRPr="00904FCB">
        <w:rPr>
          <w:rFonts w:ascii="Times New Roman" w:hAnsi="Times New Roman" w:hint="cs"/>
          <w:sz w:val="27"/>
          <w:rtl/>
          <w:lang w:bidi="fa-IR"/>
        </w:rPr>
        <w:t>وكاملة</w:t>
      </w:r>
      <w:r w:rsidRPr="00904FCB">
        <w:rPr>
          <w:rFonts w:ascii="Times New Roman" w:hAnsi="Times New Roman"/>
          <w:sz w:val="27"/>
          <w:rtl/>
          <w:lang w:bidi="fa-IR"/>
        </w:rPr>
        <w:t xml:space="preserve"> </w:t>
      </w:r>
      <w:r w:rsidRPr="00904FCB">
        <w:rPr>
          <w:rFonts w:ascii="Times New Roman" w:hAnsi="Times New Roman" w:hint="cs"/>
          <w:sz w:val="27"/>
          <w:rtl/>
          <w:lang w:bidi="fa-IR"/>
        </w:rPr>
        <w:t>لإدارة</w:t>
      </w:r>
      <w:r w:rsidRPr="00904FCB">
        <w:rPr>
          <w:rFonts w:ascii="Times New Roman" w:hAnsi="Times New Roman"/>
          <w:sz w:val="27"/>
          <w:rtl/>
          <w:lang w:bidi="fa-IR"/>
        </w:rPr>
        <w:t xml:space="preserve"> </w:t>
      </w:r>
      <w:r w:rsidRPr="00904FCB">
        <w:rPr>
          <w:rFonts w:ascii="Times New Roman" w:hAnsi="Times New Roman" w:hint="cs"/>
          <w:sz w:val="27"/>
          <w:rtl/>
          <w:lang w:bidi="fa-IR"/>
        </w:rPr>
        <w:t>شؤون</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الإنسان</w:t>
      </w:r>
      <w:r w:rsidRPr="00904FCB">
        <w:rPr>
          <w:rFonts w:ascii="Times New Roman" w:hAnsi="Times New Roman"/>
          <w:sz w:val="27"/>
          <w:rtl/>
          <w:lang w:bidi="fa-IR"/>
        </w:rPr>
        <w:t xml:space="preserve"> </w:t>
      </w:r>
      <w:r w:rsidRPr="00904FCB">
        <w:rPr>
          <w:rFonts w:ascii="Times New Roman" w:hAnsi="Times New Roman" w:hint="cs"/>
          <w:sz w:val="27"/>
          <w:rtl/>
          <w:lang w:bidi="fa-IR"/>
        </w:rPr>
        <w:t>والمجتمع</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المهد</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اللحد</w:t>
      </w:r>
      <w:r w:rsidRPr="00904FCB">
        <w:rPr>
          <w:rFonts w:ascii="Times New Roman" w:hAnsi="Times New Roman"/>
          <w:sz w:val="27"/>
          <w:rtl/>
          <w:lang w:bidi="fa-IR"/>
        </w:rPr>
        <w:t>.</w:t>
      </w:r>
    </w:p>
    <w:p w:rsidR="00057E24" w:rsidRPr="00904FCB" w:rsidRDefault="00057E24" w:rsidP="0029271A">
      <w:pPr>
        <w:spacing w:line="420" w:lineRule="exact"/>
        <w:ind w:firstLine="561"/>
        <w:rPr>
          <w:rFonts w:ascii="Times New Roman" w:hAnsi="Times New Roman"/>
          <w:sz w:val="27"/>
          <w:rtl/>
          <w:lang w:bidi="fa-IR"/>
        </w:rPr>
      </w:pPr>
      <w:r w:rsidRPr="00904FCB">
        <w:rPr>
          <w:rFonts w:ascii="Times New Roman" w:hAnsi="Times New Roman"/>
          <w:sz w:val="27"/>
          <w:rtl/>
          <w:lang w:bidi="fa-IR"/>
        </w:rPr>
        <w:t>ولا</w:t>
      </w:r>
      <w:r w:rsidR="00BD3FB3" w:rsidRPr="00904FCB">
        <w:rPr>
          <w:rFonts w:ascii="Times New Roman" w:hAnsi="Times New Roman" w:hint="cs"/>
          <w:sz w:val="27"/>
          <w:rtl/>
          <w:lang w:bidi="fa-IR"/>
        </w:rPr>
        <w:t xml:space="preserve"> </w:t>
      </w:r>
      <w:r w:rsidRPr="00904FCB">
        <w:rPr>
          <w:rFonts w:ascii="Times New Roman" w:hAnsi="Times New Roman"/>
          <w:sz w:val="27"/>
          <w:rtl/>
          <w:lang w:bidi="fa-IR"/>
        </w:rPr>
        <w:t>ش</w:t>
      </w:r>
      <w:r w:rsidR="00BD3FB3" w:rsidRPr="00904FCB">
        <w:rPr>
          <w:rFonts w:ascii="Times New Roman" w:hAnsi="Times New Roman" w:hint="cs"/>
          <w:sz w:val="27"/>
          <w:rtl/>
          <w:lang w:bidi="fa-IR"/>
        </w:rPr>
        <w:t>َ</w:t>
      </w:r>
      <w:r w:rsidRPr="00904FCB">
        <w:rPr>
          <w:rFonts w:ascii="Times New Roman" w:hAnsi="Times New Roman"/>
          <w:sz w:val="27"/>
          <w:rtl/>
          <w:lang w:bidi="fa-IR"/>
        </w:rPr>
        <w:t>ك</w:t>
      </w:r>
      <w:r w:rsidR="00BD3FB3" w:rsidRPr="00904FCB">
        <w:rPr>
          <w:rFonts w:ascii="Times New Roman" w:hAnsi="Times New Roman" w:hint="cs"/>
          <w:sz w:val="27"/>
          <w:rtl/>
          <w:lang w:bidi="fa-IR"/>
        </w:rPr>
        <w:t>َّ</w:t>
      </w:r>
      <w:r w:rsidR="00BD3FB3" w:rsidRPr="00904FCB">
        <w:rPr>
          <w:rFonts w:ascii="Times New Roman" w:hAnsi="Times New Roman"/>
          <w:sz w:val="27"/>
          <w:rtl/>
          <w:lang w:bidi="fa-IR"/>
        </w:rPr>
        <w:t xml:space="preserve"> بأنّ ل</w:t>
      </w:r>
      <w:r w:rsidRPr="00904FCB">
        <w:rPr>
          <w:rFonts w:ascii="Times New Roman" w:hAnsi="Times New Roman"/>
          <w:sz w:val="27"/>
          <w:rtl/>
          <w:lang w:bidi="fa-IR"/>
        </w:rPr>
        <w:t>علم الأصول موقع</w:t>
      </w:r>
      <w:r w:rsidR="00BD3FB3" w:rsidRPr="00904FCB">
        <w:rPr>
          <w:rFonts w:ascii="Times New Roman" w:hAnsi="Times New Roman" w:hint="cs"/>
          <w:sz w:val="27"/>
          <w:rtl/>
          <w:lang w:bidi="fa-IR"/>
        </w:rPr>
        <w:t>اً</w:t>
      </w:r>
      <w:r w:rsidRPr="00904FCB">
        <w:rPr>
          <w:rFonts w:ascii="Times New Roman" w:hAnsi="Times New Roman"/>
          <w:sz w:val="27"/>
          <w:rtl/>
          <w:lang w:bidi="fa-IR"/>
        </w:rPr>
        <w:t xml:space="preserve"> ومكانة كب</w:t>
      </w:r>
      <w:r w:rsidRPr="00904FCB">
        <w:rPr>
          <w:rFonts w:ascii="Times New Roman" w:hAnsi="Times New Roman" w:hint="cs"/>
          <w:sz w:val="27"/>
          <w:rtl/>
          <w:lang w:bidi="fa-IR"/>
        </w:rPr>
        <w:t>يرين</w:t>
      </w:r>
      <w:r w:rsidRPr="00904FCB">
        <w:rPr>
          <w:rFonts w:ascii="Times New Roman" w:hAnsi="Times New Roman"/>
          <w:sz w:val="27"/>
          <w:rtl/>
          <w:lang w:bidi="fa-IR"/>
        </w:rPr>
        <w:t xml:space="preserve"> </w:t>
      </w:r>
      <w:r w:rsidRPr="00904FCB">
        <w:rPr>
          <w:rFonts w:ascii="Times New Roman" w:hAnsi="Times New Roman" w:hint="cs"/>
          <w:sz w:val="27"/>
          <w:rtl/>
          <w:lang w:bidi="fa-IR"/>
        </w:rPr>
        <w:t>بين</w:t>
      </w:r>
      <w:r w:rsidRPr="00904FCB">
        <w:rPr>
          <w:rFonts w:ascii="Times New Roman" w:hAnsi="Times New Roman"/>
          <w:sz w:val="27"/>
          <w:rtl/>
          <w:lang w:bidi="fa-IR"/>
        </w:rPr>
        <w:t xml:space="preserve"> </w:t>
      </w:r>
      <w:r w:rsidRPr="00904FCB">
        <w:rPr>
          <w:rFonts w:ascii="Times New Roman" w:hAnsi="Times New Roman" w:hint="cs"/>
          <w:sz w:val="27"/>
          <w:rtl/>
          <w:lang w:bidi="fa-IR"/>
        </w:rPr>
        <w:t>العلوم</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لما يلعبه</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دورٍ</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مهمّ</w:t>
      </w:r>
      <w:r w:rsidRPr="00904FCB">
        <w:rPr>
          <w:rFonts w:ascii="Times New Roman" w:hAnsi="Times New Roman"/>
          <w:sz w:val="27"/>
          <w:rtl/>
          <w:lang w:bidi="fa-IR"/>
        </w:rPr>
        <w:t xml:space="preserve"> </w:t>
      </w:r>
      <w:r w:rsidRPr="00904FCB">
        <w:rPr>
          <w:rFonts w:ascii="Times New Roman" w:hAnsi="Times New Roman" w:hint="cs"/>
          <w:sz w:val="27"/>
          <w:rtl/>
          <w:lang w:bidi="fa-IR"/>
        </w:rPr>
        <w:t>كأداةٍ</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ومنطق</w:t>
      </w:r>
      <w:r w:rsidRPr="00904FCB">
        <w:rPr>
          <w:rFonts w:ascii="Times New Roman" w:hAnsi="Times New Roman"/>
          <w:sz w:val="27"/>
          <w:rtl/>
          <w:lang w:bidi="fa-IR"/>
        </w:rPr>
        <w:t xml:space="preserve"> </w:t>
      </w:r>
      <w:r w:rsidRPr="00904FCB">
        <w:rPr>
          <w:rFonts w:ascii="Times New Roman" w:hAnsi="Times New Roman" w:hint="cs"/>
          <w:sz w:val="27"/>
          <w:rtl/>
          <w:lang w:bidi="fa-IR"/>
        </w:rPr>
        <w:t>للفقه</w:t>
      </w:r>
      <w:r w:rsidRPr="00904FCB">
        <w:rPr>
          <w:rFonts w:ascii="Times New Roman" w:hAnsi="Times New Roman"/>
          <w:sz w:val="27"/>
          <w:rtl/>
          <w:lang w:bidi="fa-IR"/>
        </w:rPr>
        <w:t xml:space="preserve">. </w:t>
      </w:r>
      <w:r w:rsidRPr="00904FCB">
        <w:rPr>
          <w:rFonts w:ascii="Times New Roman" w:hAnsi="Times New Roman" w:hint="cs"/>
          <w:sz w:val="27"/>
          <w:rtl/>
          <w:lang w:bidi="fa-IR"/>
        </w:rPr>
        <w:t>وبناءً</w:t>
      </w:r>
      <w:r w:rsidRPr="00904FCB">
        <w:rPr>
          <w:rFonts w:ascii="Times New Roman" w:hAnsi="Times New Roman"/>
          <w:sz w:val="27"/>
          <w:rtl/>
          <w:lang w:bidi="fa-IR"/>
        </w:rPr>
        <w:t xml:space="preserve"> </w:t>
      </w:r>
      <w:r w:rsidRPr="00904FCB">
        <w:rPr>
          <w:rFonts w:ascii="Times New Roman" w:hAnsi="Times New Roman" w:hint="cs"/>
          <w:sz w:val="27"/>
          <w:rtl/>
          <w:lang w:bidi="fa-IR"/>
        </w:rPr>
        <w:t>عليه</w:t>
      </w:r>
      <w:r w:rsidRPr="00904FCB">
        <w:rPr>
          <w:rFonts w:ascii="Times New Roman" w:hAnsi="Times New Roman"/>
          <w:sz w:val="27"/>
          <w:rtl/>
          <w:lang w:bidi="fa-IR"/>
        </w:rPr>
        <w:t xml:space="preserve"> </w:t>
      </w:r>
      <w:r w:rsidRPr="00904FCB">
        <w:rPr>
          <w:rFonts w:ascii="Times New Roman" w:hAnsi="Times New Roman" w:hint="cs"/>
          <w:sz w:val="27"/>
          <w:rtl/>
          <w:lang w:bidi="fa-IR"/>
        </w:rPr>
        <w:t>ف</w:t>
      </w:r>
      <w:r w:rsidR="00BD3FB3" w:rsidRPr="00904FCB">
        <w:rPr>
          <w:rFonts w:ascii="Times New Roman" w:hAnsi="Times New Roman" w:hint="cs"/>
          <w:sz w:val="27"/>
          <w:rtl/>
          <w:lang w:bidi="fa-IR"/>
        </w:rPr>
        <w:t>إ</w:t>
      </w:r>
      <w:r w:rsidRPr="00904FCB">
        <w:rPr>
          <w:rFonts w:ascii="Times New Roman" w:hAnsi="Times New Roman" w:hint="cs"/>
          <w:sz w:val="27"/>
          <w:rtl/>
          <w:lang w:bidi="fa-IR"/>
        </w:rPr>
        <w:t>نّ</w:t>
      </w:r>
      <w:r w:rsidRPr="00904FCB">
        <w:rPr>
          <w:rFonts w:ascii="Times New Roman" w:hAnsi="Times New Roman"/>
          <w:sz w:val="27"/>
          <w:rtl/>
          <w:lang w:bidi="fa-IR"/>
        </w:rPr>
        <w:t xml:space="preserve"> </w:t>
      </w:r>
      <w:r w:rsidRPr="00904FCB">
        <w:rPr>
          <w:rFonts w:ascii="Times New Roman" w:hAnsi="Times New Roman" w:hint="cs"/>
          <w:sz w:val="27"/>
          <w:rtl/>
          <w:lang w:bidi="fa-IR"/>
        </w:rPr>
        <w:t>العلماء</w:t>
      </w:r>
      <w:r w:rsidRPr="00904FCB">
        <w:rPr>
          <w:rFonts w:ascii="Times New Roman" w:hAnsi="Times New Roman"/>
          <w:sz w:val="27"/>
          <w:rtl/>
          <w:lang w:bidi="fa-IR"/>
        </w:rPr>
        <w:t xml:space="preserve"> </w:t>
      </w:r>
      <w:r w:rsidRPr="00904FCB">
        <w:rPr>
          <w:rFonts w:ascii="Times New Roman" w:hAnsi="Times New Roman" w:hint="cs"/>
          <w:sz w:val="27"/>
          <w:rtl/>
          <w:lang w:bidi="fa-IR"/>
        </w:rPr>
        <w:t>الذين</w:t>
      </w:r>
      <w:r w:rsidRPr="00904FCB">
        <w:rPr>
          <w:rFonts w:ascii="Times New Roman" w:hAnsi="Times New Roman"/>
          <w:sz w:val="27"/>
          <w:rtl/>
          <w:lang w:bidi="fa-IR"/>
        </w:rPr>
        <w:t xml:space="preserve"> </w:t>
      </w:r>
      <w:r w:rsidRPr="00904FCB">
        <w:rPr>
          <w:rFonts w:ascii="Times New Roman" w:hAnsi="Times New Roman" w:hint="cs"/>
          <w:sz w:val="27"/>
          <w:rtl/>
          <w:lang w:bidi="fa-IR"/>
        </w:rPr>
        <w:t>بذلوا</w:t>
      </w:r>
      <w:r w:rsidRPr="00904FCB">
        <w:rPr>
          <w:rFonts w:ascii="Times New Roman" w:hAnsi="Times New Roman"/>
          <w:sz w:val="27"/>
          <w:rtl/>
          <w:lang w:bidi="fa-IR"/>
        </w:rPr>
        <w:t xml:space="preserve"> </w:t>
      </w:r>
      <w:r w:rsidRPr="00904FCB">
        <w:rPr>
          <w:rFonts w:ascii="Times New Roman" w:hAnsi="Times New Roman" w:hint="cs"/>
          <w:sz w:val="27"/>
          <w:rtl/>
          <w:lang w:bidi="fa-IR"/>
        </w:rPr>
        <w:t>جهوداً</w:t>
      </w:r>
      <w:r w:rsidRPr="00904FCB">
        <w:rPr>
          <w:rFonts w:ascii="Times New Roman" w:hAnsi="Times New Roman"/>
          <w:sz w:val="27"/>
          <w:rtl/>
          <w:lang w:bidi="fa-IR"/>
        </w:rPr>
        <w:t xml:space="preserve"> </w:t>
      </w:r>
      <w:r w:rsidRPr="00904FCB">
        <w:rPr>
          <w:rFonts w:ascii="Times New Roman" w:hAnsi="Times New Roman" w:hint="cs"/>
          <w:sz w:val="27"/>
          <w:rtl/>
          <w:lang w:bidi="fa-IR"/>
        </w:rPr>
        <w:t>مض</w:t>
      </w:r>
      <w:r w:rsidR="00BD3FB3" w:rsidRPr="00904FCB">
        <w:rPr>
          <w:rFonts w:ascii="Times New Roman" w:hAnsi="Times New Roman" w:hint="cs"/>
          <w:sz w:val="27"/>
          <w:rtl/>
          <w:lang w:bidi="fa-IR"/>
        </w:rPr>
        <w:t>ن</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وم</w:t>
      </w:r>
      <w:r w:rsidRPr="00904FCB">
        <w:rPr>
          <w:rFonts w:ascii="Times New Roman" w:hAnsi="Times New Roman" w:hint="cs"/>
          <w:sz w:val="27"/>
          <w:rtl/>
          <w:lang w:bidi="fa-IR"/>
        </w:rPr>
        <w:t>ريرة</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وصلت أح</w:t>
      </w:r>
      <w:r w:rsidRPr="00904FCB">
        <w:rPr>
          <w:rFonts w:ascii="Times New Roman" w:hAnsi="Times New Roman" w:hint="cs"/>
          <w:sz w:val="27"/>
          <w:rtl/>
          <w:lang w:bidi="fa-IR"/>
        </w:rPr>
        <w:t>ياناً‌</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حدّ</w:t>
      </w:r>
      <w:r w:rsidRPr="00904FCB">
        <w:rPr>
          <w:rFonts w:ascii="Times New Roman" w:hAnsi="Times New Roman"/>
          <w:sz w:val="27"/>
          <w:rtl/>
          <w:lang w:bidi="fa-IR"/>
        </w:rPr>
        <w:t xml:space="preserve"> </w:t>
      </w:r>
      <w:r w:rsidRPr="00904FCB">
        <w:rPr>
          <w:rFonts w:ascii="Times New Roman" w:hAnsi="Times New Roman" w:hint="cs"/>
          <w:sz w:val="27"/>
          <w:rtl/>
          <w:lang w:bidi="fa-IR"/>
        </w:rPr>
        <w:t>التضحية</w:t>
      </w:r>
      <w:r w:rsidRPr="00904FCB">
        <w:rPr>
          <w:rFonts w:ascii="Times New Roman" w:hAnsi="Times New Roman"/>
          <w:sz w:val="27"/>
          <w:rtl/>
          <w:lang w:bidi="fa-IR"/>
        </w:rPr>
        <w:t xml:space="preserve"> </w:t>
      </w:r>
      <w:r w:rsidRPr="00904FCB">
        <w:rPr>
          <w:rFonts w:ascii="Times New Roman" w:hAnsi="Times New Roman" w:hint="cs"/>
          <w:sz w:val="27"/>
          <w:rtl/>
          <w:lang w:bidi="fa-IR"/>
        </w:rPr>
        <w:t>بالنفس</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أجل</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حفظ</w:t>
      </w:r>
      <w:r w:rsidRPr="00904FCB">
        <w:rPr>
          <w:rFonts w:ascii="Times New Roman" w:hAnsi="Times New Roman"/>
          <w:sz w:val="27"/>
          <w:rtl/>
          <w:lang w:bidi="fa-IR"/>
        </w:rPr>
        <w:t xml:space="preserve"> </w:t>
      </w:r>
      <w:r w:rsidRPr="00904FCB">
        <w:rPr>
          <w:rFonts w:ascii="Times New Roman" w:hAnsi="Times New Roman" w:hint="cs"/>
          <w:sz w:val="27"/>
          <w:rtl/>
          <w:lang w:bidi="fa-IR"/>
        </w:rPr>
        <w:t>وتكامل</w:t>
      </w:r>
      <w:r w:rsidRPr="00904FCB">
        <w:rPr>
          <w:rFonts w:ascii="Times New Roman" w:hAnsi="Times New Roman"/>
          <w:sz w:val="27"/>
          <w:rtl/>
          <w:lang w:bidi="fa-IR"/>
        </w:rPr>
        <w:t xml:space="preserve"> </w:t>
      </w:r>
      <w:r w:rsidRPr="00904FCB">
        <w:rPr>
          <w:rFonts w:ascii="Times New Roman" w:hAnsi="Times New Roman" w:hint="cs"/>
          <w:sz w:val="27"/>
          <w:rtl/>
          <w:lang w:bidi="fa-IR"/>
        </w:rPr>
        <w:t>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الميراث</w:t>
      </w:r>
      <w:r w:rsidRPr="00904FCB">
        <w:rPr>
          <w:rFonts w:ascii="Times New Roman" w:hAnsi="Times New Roman"/>
          <w:sz w:val="27"/>
          <w:rtl/>
          <w:lang w:bidi="fa-IR"/>
        </w:rPr>
        <w:t xml:space="preserve"> </w:t>
      </w:r>
      <w:r w:rsidRPr="00904FCB">
        <w:rPr>
          <w:rFonts w:ascii="Times New Roman" w:hAnsi="Times New Roman" w:hint="cs"/>
          <w:sz w:val="27"/>
          <w:rtl/>
          <w:lang w:bidi="fa-IR"/>
        </w:rPr>
        <w:t>النفيس، لهم</w:t>
      </w:r>
      <w:r w:rsidRPr="00904FCB">
        <w:rPr>
          <w:rFonts w:ascii="Times New Roman" w:hAnsi="Times New Roman"/>
          <w:sz w:val="27"/>
          <w:rtl/>
          <w:lang w:bidi="fa-IR"/>
        </w:rPr>
        <w:t xml:space="preserve"> </w:t>
      </w:r>
      <w:r w:rsidRPr="00904FCB">
        <w:rPr>
          <w:rFonts w:ascii="Times New Roman" w:hAnsi="Times New Roman" w:hint="cs"/>
          <w:sz w:val="27"/>
          <w:rtl/>
          <w:lang w:bidi="fa-IR"/>
        </w:rPr>
        <w:t>منزلة</w:t>
      </w:r>
      <w:r w:rsidRPr="00904FCB">
        <w:rPr>
          <w:rFonts w:ascii="Times New Roman" w:hAnsi="Times New Roman"/>
          <w:sz w:val="27"/>
          <w:rtl/>
          <w:lang w:bidi="fa-IR"/>
        </w:rPr>
        <w:t xml:space="preserve"> </w:t>
      </w:r>
      <w:r w:rsidRPr="00904FCB">
        <w:rPr>
          <w:rFonts w:ascii="Times New Roman" w:hAnsi="Times New Roman" w:hint="cs"/>
          <w:sz w:val="27"/>
          <w:rtl/>
          <w:lang w:bidi="fa-IR"/>
        </w:rPr>
        <w:t>وقيمة</w:t>
      </w:r>
      <w:r w:rsidRPr="00904FCB">
        <w:rPr>
          <w:rFonts w:ascii="Times New Roman" w:hAnsi="Times New Roman"/>
          <w:sz w:val="27"/>
          <w:rtl/>
          <w:lang w:bidi="fa-IR"/>
        </w:rPr>
        <w:t xml:space="preserve"> </w:t>
      </w:r>
      <w:r w:rsidRPr="00904FCB">
        <w:rPr>
          <w:rFonts w:ascii="Times New Roman" w:hAnsi="Times New Roman" w:hint="cs"/>
          <w:sz w:val="27"/>
          <w:rtl/>
          <w:lang w:bidi="fa-IR"/>
        </w:rPr>
        <w:t>مضاعف</w:t>
      </w:r>
      <w:r w:rsidR="00BD3FB3" w:rsidRPr="00904FCB">
        <w:rPr>
          <w:rFonts w:ascii="Times New Roman" w:hAnsi="Times New Roman" w:hint="cs"/>
          <w:sz w:val="27"/>
          <w:rtl/>
          <w:lang w:bidi="fa-IR"/>
        </w:rPr>
        <w:t>ا</w:t>
      </w:r>
      <w:r w:rsidRPr="00904FCB">
        <w:rPr>
          <w:rFonts w:ascii="Times New Roman" w:hAnsi="Times New Roman" w:hint="cs"/>
          <w:sz w:val="27"/>
          <w:rtl/>
          <w:lang w:bidi="fa-IR"/>
        </w:rPr>
        <w:t>ن</w:t>
      </w:r>
      <w:r w:rsidRPr="00904FCB">
        <w:rPr>
          <w:rFonts w:ascii="Times New Roman" w:hAnsi="Times New Roman"/>
          <w:sz w:val="27"/>
          <w:rtl/>
          <w:lang w:bidi="fa-IR"/>
        </w:rPr>
        <w:t xml:space="preserve">. </w:t>
      </w:r>
      <w:r w:rsidRPr="00904FCB">
        <w:rPr>
          <w:rFonts w:ascii="Times New Roman" w:hAnsi="Times New Roman" w:hint="cs"/>
          <w:sz w:val="27"/>
          <w:rtl/>
          <w:lang w:bidi="fa-IR"/>
        </w:rPr>
        <w:t>ولا</w:t>
      </w:r>
      <w:r w:rsidR="00BD3FB3" w:rsidRPr="00904FCB">
        <w:rPr>
          <w:rFonts w:ascii="Times New Roman" w:hAnsi="Times New Roman" w:hint="cs"/>
          <w:sz w:val="27"/>
          <w:rtl/>
          <w:lang w:bidi="fa-IR"/>
        </w:rPr>
        <w:t xml:space="preserve"> </w:t>
      </w:r>
      <w:r w:rsidRPr="00904FCB">
        <w:rPr>
          <w:rFonts w:ascii="Times New Roman" w:hAnsi="Times New Roman" w:hint="cs"/>
          <w:sz w:val="27"/>
          <w:rtl/>
          <w:lang w:bidi="fa-IR"/>
        </w:rPr>
        <w:t>ش</w:t>
      </w:r>
      <w:r w:rsidR="00BD3FB3" w:rsidRPr="00904FCB">
        <w:rPr>
          <w:rFonts w:ascii="Times New Roman" w:hAnsi="Times New Roman" w:hint="cs"/>
          <w:sz w:val="27"/>
          <w:rtl/>
          <w:lang w:bidi="fa-IR"/>
        </w:rPr>
        <w:t>َ</w:t>
      </w:r>
      <w:r w:rsidRPr="00904FCB">
        <w:rPr>
          <w:rFonts w:ascii="Times New Roman" w:hAnsi="Times New Roman" w:hint="cs"/>
          <w:sz w:val="27"/>
          <w:rtl/>
          <w:lang w:bidi="fa-IR"/>
        </w:rPr>
        <w:t>ك</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أيضاً</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زين</w:t>
      </w:r>
      <w:r w:rsidRPr="00904FCB">
        <w:rPr>
          <w:rFonts w:ascii="Times New Roman" w:hAnsi="Times New Roman"/>
          <w:sz w:val="27"/>
          <w:rtl/>
          <w:lang w:bidi="fa-IR"/>
        </w:rPr>
        <w:t xml:space="preserve"> </w:t>
      </w:r>
      <w:r w:rsidRPr="00904FCB">
        <w:rPr>
          <w:rFonts w:ascii="Times New Roman" w:hAnsi="Times New Roman" w:hint="cs"/>
          <w:sz w:val="27"/>
          <w:rtl/>
          <w:lang w:bidi="fa-IR"/>
        </w:rPr>
        <w:t>الدين</w:t>
      </w:r>
      <w:r w:rsidRPr="00904FCB">
        <w:rPr>
          <w:rFonts w:ascii="Times New Roman" w:hAnsi="Times New Roman"/>
          <w:sz w:val="27"/>
          <w:rtl/>
          <w:lang w:bidi="fa-IR"/>
        </w:rPr>
        <w:t xml:space="preserve"> </w:t>
      </w:r>
      <w:r w:rsidRPr="00904FCB">
        <w:rPr>
          <w:rFonts w:ascii="Times New Roman" w:hAnsi="Times New Roman" w:hint="cs"/>
          <w:sz w:val="27"/>
          <w:rtl/>
          <w:lang w:bidi="fa-IR"/>
        </w:rPr>
        <w:t>العاملي</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المعروف</w:t>
      </w:r>
      <w:r w:rsidRPr="00904FCB">
        <w:rPr>
          <w:rFonts w:ascii="Times New Roman" w:hAnsi="Times New Roman"/>
          <w:sz w:val="27"/>
          <w:rtl/>
          <w:lang w:bidi="fa-IR"/>
        </w:rPr>
        <w:t xml:space="preserve"> </w:t>
      </w:r>
      <w:r w:rsidRPr="00904FCB">
        <w:rPr>
          <w:rFonts w:ascii="Times New Roman" w:hAnsi="Times New Roman" w:hint="cs"/>
          <w:sz w:val="27"/>
          <w:rtl/>
          <w:lang w:bidi="fa-IR"/>
        </w:rPr>
        <w:t>بالش</w:t>
      </w:r>
      <w:r w:rsidRPr="00904FCB">
        <w:rPr>
          <w:rFonts w:ascii="Times New Roman" w:hAnsi="Times New Roman"/>
          <w:sz w:val="27"/>
          <w:rtl/>
          <w:lang w:bidi="fa-IR"/>
        </w:rPr>
        <w:t>هيد الثان</w:t>
      </w:r>
      <w:r w:rsidRPr="00904FCB">
        <w:rPr>
          <w:rFonts w:ascii="Times New Roman" w:hAnsi="Times New Roman" w:hint="cs"/>
          <w:sz w:val="27"/>
          <w:rtl/>
          <w:lang w:bidi="fa-IR"/>
        </w:rPr>
        <w:t>ي</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00BD3FB3" w:rsidRPr="00904FCB">
        <w:rPr>
          <w:rFonts w:ascii="Times New Roman" w:hAnsi="Times New Roman" w:hint="cs"/>
          <w:sz w:val="27"/>
          <w:rtl/>
          <w:lang w:bidi="fa-IR"/>
        </w:rPr>
        <w:t xml:space="preserve">هو </w:t>
      </w:r>
      <w:r w:rsidRPr="00904FCB">
        <w:rPr>
          <w:rFonts w:ascii="Times New Roman" w:hAnsi="Times New Roman" w:hint="cs"/>
          <w:sz w:val="27"/>
          <w:rtl/>
          <w:lang w:bidi="fa-IR"/>
        </w:rPr>
        <w:t>أحد</w:t>
      </w:r>
      <w:r w:rsidRPr="00904FCB">
        <w:rPr>
          <w:rFonts w:ascii="Times New Roman" w:hAnsi="Times New Roman"/>
          <w:sz w:val="27"/>
          <w:rtl/>
          <w:lang w:bidi="fa-IR"/>
        </w:rPr>
        <w:t xml:space="preserve"> </w:t>
      </w:r>
      <w:r w:rsidRPr="00904FCB">
        <w:rPr>
          <w:rFonts w:ascii="Times New Roman" w:hAnsi="Times New Roman" w:hint="cs"/>
          <w:sz w:val="27"/>
          <w:rtl/>
          <w:lang w:bidi="fa-IR"/>
        </w:rPr>
        <w:t>النجوم</w:t>
      </w:r>
      <w:r w:rsidRPr="00904FCB">
        <w:rPr>
          <w:rFonts w:ascii="Times New Roman" w:hAnsi="Times New Roman"/>
          <w:sz w:val="27"/>
          <w:rtl/>
          <w:lang w:bidi="fa-IR"/>
        </w:rPr>
        <w:t xml:space="preserve"> </w:t>
      </w:r>
      <w:r w:rsidRPr="00904FCB">
        <w:rPr>
          <w:rFonts w:ascii="Times New Roman" w:hAnsi="Times New Roman" w:hint="cs"/>
          <w:sz w:val="27"/>
          <w:rtl/>
          <w:lang w:bidi="fa-IR"/>
        </w:rPr>
        <w:t>الساطعة</w:t>
      </w:r>
      <w:r w:rsidRPr="00904FCB">
        <w:rPr>
          <w:rFonts w:ascii="Times New Roman" w:hAnsi="Times New Roman"/>
          <w:sz w:val="27"/>
          <w:rtl/>
          <w:lang w:bidi="fa-IR"/>
        </w:rPr>
        <w:t xml:space="preserve"> </w:t>
      </w:r>
      <w:r w:rsidRPr="00904FCB">
        <w:rPr>
          <w:rFonts w:ascii="Times New Roman" w:hAnsi="Times New Roman" w:hint="cs"/>
          <w:sz w:val="27"/>
          <w:rtl/>
          <w:lang w:bidi="fa-IR"/>
        </w:rPr>
        <w:t>والبارز</w:t>
      </w:r>
      <w:r w:rsidRPr="00904FCB">
        <w:rPr>
          <w:rFonts w:ascii="Times New Roman" w:hAnsi="Times New Roman"/>
          <w:sz w:val="27"/>
          <w:rtl/>
          <w:lang w:bidi="fa-IR"/>
        </w:rPr>
        <w:t>ة 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الميزان</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لأنّه</w:t>
      </w:r>
      <w:r w:rsidRPr="00904FCB">
        <w:rPr>
          <w:rFonts w:ascii="Times New Roman" w:hAnsi="Times New Roman"/>
          <w:sz w:val="27"/>
          <w:rtl/>
          <w:lang w:bidi="fa-IR"/>
        </w:rPr>
        <w:t xml:space="preserve"> </w:t>
      </w:r>
      <w:r w:rsidRPr="00904FCB">
        <w:rPr>
          <w:rFonts w:ascii="Times New Roman" w:hAnsi="Times New Roman" w:hint="cs"/>
          <w:sz w:val="27"/>
          <w:rtl/>
          <w:lang w:bidi="fa-IR"/>
        </w:rPr>
        <w:t>أحدث</w:t>
      </w:r>
      <w:r w:rsidRPr="00904FCB">
        <w:rPr>
          <w:rFonts w:ascii="Times New Roman" w:hAnsi="Times New Roman"/>
          <w:sz w:val="27"/>
          <w:rtl/>
          <w:lang w:bidi="fa-IR"/>
        </w:rPr>
        <w:t xml:space="preserve"> </w:t>
      </w:r>
      <w:r w:rsidRPr="00904FCB">
        <w:rPr>
          <w:rFonts w:ascii="Times New Roman" w:hAnsi="Times New Roman" w:hint="cs"/>
          <w:sz w:val="27"/>
          <w:rtl/>
          <w:lang w:bidi="fa-IR"/>
        </w:rPr>
        <w:t>تحوّلاً</w:t>
      </w:r>
      <w:r w:rsidRPr="00904FCB">
        <w:rPr>
          <w:rFonts w:ascii="Times New Roman" w:hAnsi="Times New Roman"/>
          <w:sz w:val="27"/>
          <w:rtl/>
          <w:lang w:bidi="fa-IR"/>
        </w:rPr>
        <w:t xml:space="preserve"> </w:t>
      </w:r>
      <w:r w:rsidRPr="00904FCB">
        <w:rPr>
          <w:rFonts w:ascii="Times New Roman" w:hAnsi="Times New Roman" w:hint="cs"/>
          <w:sz w:val="27"/>
          <w:rtl/>
          <w:lang w:bidi="fa-IR"/>
        </w:rPr>
        <w:t>ونقلة</w:t>
      </w:r>
      <w:r w:rsidRPr="00904FCB">
        <w:rPr>
          <w:rFonts w:ascii="Times New Roman" w:hAnsi="Times New Roman"/>
          <w:sz w:val="27"/>
          <w:rtl/>
          <w:lang w:bidi="fa-IR"/>
        </w:rPr>
        <w:t xml:space="preserve"> نوع</w:t>
      </w:r>
      <w:r w:rsidRPr="00904FCB">
        <w:rPr>
          <w:rFonts w:ascii="Times New Roman" w:hAnsi="Times New Roman" w:hint="cs"/>
          <w:sz w:val="27"/>
          <w:rtl/>
          <w:lang w:bidi="fa-IR"/>
        </w:rPr>
        <w:t>ية</w:t>
      </w:r>
      <w:r w:rsidRPr="00904FCB">
        <w:rPr>
          <w:rFonts w:ascii="Times New Roman" w:hAnsi="Times New Roman"/>
          <w:sz w:val="27"/>
          <w:rtl/>
          <w:lang w:bidi="fa-IR"/>
        </w:rPr>
        <w:t xml:space="preserve"> 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المجال</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ببركة</w:t>
      </w:r>
      <w:r w:rsidRPr="00904FCB">
        <w:rPr>
          <w:rFonts w:ascii="Times New Roman" w:hAnsi="Times New Roman"/>
          <w:sz w:val="27"/>
          <w:rtl/>
          <w:lang w:bidi="fa-IR"/>
        </w:rPr>
        <w:t xml:space="preserve"> </w:t>
      </w:r>
      <w:r w:rsidRPr="00904FCB">
        <w:rPr>
          <w:rFonts w:ascii="Times New Roman" w:hAnsi="Times New Roman" w:hint="cs"/>
          <w:sz w:val="27"/>
          <w:rtl/>
          <w:lang w:bidi="fa-IR"/>
        </w:rPr>
        <w:t>بي</w:t>
      </w:r>
      <w:r w:rsidRPr="00904FCB">
        <w:rPr>
          <w:rFonts w:ascii="Times New Roman" w:hAnsi="Times New Roman"/>
          <w:sz w:val="27"/>
          <w:rtl/>
          <w:lang w:bidi="fa-IR"/>
        </w:rPr>
        <w:t>انه و</w:t>
      </w:r>
      <w:r w:rsidR="00BD3FB3" w:rsidRPr="00904FCB">
        <w:rPr>
          <w:rFonts w:ascii="Times New Roman" w:hAnsi="Times New Roman"/>
          <w:sz w:val="27"/>
          <w:rtl/>
          <w:lang w:bidi="fa-IR"/>
        </w:rPr>
        <w:t>ب</w:t>
      </w:r>
      <w:r w:rsidRPr="00904FCB">
        <w:rPr>
          <w:rFonts w:ascii="Times New Roman" w:hAnsi="Times New Roman"/>
          <w:sz w:val="27"/>
          <w:rtl/>
          <w:lang w:bidi="fa-IR"/>
        </w:rPr>
        <w:t xml:space="preserve">نانه.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هذه المقالة</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الت</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دوّنت</w:t>
      </w:r>
      <w:r w:rsidRPr="00904FCB">
        <w:rPr>
          <w:rFonts w:ascii="Times New Roman" w:hAnsi="Times New Roman"/>
          <w:sz w:val="27"/>
          <w:rtl/>
          <w:lang w:bidi="fa-IR"/>
        </w:rPr>
        <w:t xml:space="preserve"> </w:t>
      </w:r>
      <w:r w:rsidRPr="00904FCB">
        <w:rPr>
          <w:rFonts w:ascii="Times New Roman" w:hAnsi="Times New Roman" w:hint="cs"/>
          <w:sz w:val="27"/>
          <w:rtl/>
          <w:lang w:bidi="fa-IR"/>
        </w:rPr>
        <w:t>استجابة</w:t>
      </w:r>
      <w:r w:rsidRPr="00904FCB">
        <w:rPr>
          <w:rFonts w:ascii="Times New Roman" w:hAnsi="Times New Roman"/>
          <w:sz w:val="27"/>
          <w:rtl/>
          <w:lang w:bidi="fa-IR"/>
        </w:rPr>
        <w:t xml:space="preserve"> </w:t>
      </w:r>
      <w:r w:rsidRPr="00904FCB">
        <w:rPr>
          <w:rFonts w:ascii="Times New Roman" w:hAnsi="Times New Roman" w:hint="cs"/>
          <w:sz w:val="27"/>
          <w:rtl/>
          <w:lang w:bidi="fa-IR"/>
        </w:rPr>
        <w:t>لطلب</w:t>
      </w:r>
      <w:r w:rsidRPr="00904FCB">
        <w:rPr>
          <w:rFonts w:ascii="Times New Roman" w:hAnsi="Times New Roman"/>
          <w:sz w:val="27"/>
          <w:rtl/>
          <w:lang w:bidi="fa-IR"/>
        </w:rPr>
        <w:t xml:space="preserve"> </w:t>
      </w:r>
      <w:r w:rsidRPr="00904FCB">
        <w:rPr>
          <w:rFonts w:ascii="Times New Roman" w:hAnsi="Times New Roman" w:hint="cs"/>
          <w:sz w:val="27"/>
          <w:rtl/>
          <w:lang w:bidi="fa-IR"/>
        </w:rPr>
        <w:t>منظ</w:t>
      </w:r>
      <w:r w:rsidR="00BD3FB3" w:rsidRPr="00904FCB">
        <w:rPr>
          <w:rFonts w:ascii="Times New Roman" w:hAnsi="Times New Roman" w:hint="cs"/>
          <w:sz w:val="27"/>
          <w:rtl/>
          <w:lang w:bidi="fa-IR"/>
        </w:rPr>
        <w:t>ِّ</w:t>
      </w:r>
      <w:r w:rsidRPr="00904FCB">
        <w:rPr>
          <w:rFonts w:ascii="Times New Roman" w:hAnsi="Times New Roman" w:hint="cs"/>
          <w:sz w:val="27"/>
          <w:rtl/>
          <w:lang w:bidi="fa-IR"/>
        </w:rPr>
        <w:t>مي</w:t>
      </w:r>
      <w:r w:rsidRPr="00904FCB">
        <w:rPr>
          <w:rFonts w:ascii="Times New Roman" w:hAnsi="Times New Roman"/>
          <w:sz w:val="27"/>
          <w:rtl/>
          <w:lang w:bidi="fa-IR"/>
        </w:rPr>
        <w:t xml:space="preserve"> المؤتمر الدول</w:t>
      </w:r>
      <w:r w:rsidRPr="00904FCB">
        <w:rPr>
          <w:rFonts w:ascii="Times New Roman" w:hAnsi="Times New Roman" w:hint="cs"/>
          <w:sz w:val="27"/>
          <w:rtl/>
          <w:lang w:bidi="fa-IR"/>
        </w:rPr>
        <w:t>ي</w:t>
      </w:r>
      <w:r w:rsidRPr="00904FCB">
        <w:rPr>
          <w:rFonts w:ascii="Times New Roman" w:hAnsi="Times New Roman"/>
          <w:sz w:val="27"/>
          <w:rtl/>
          <w:lang w:bidi="fa-IR"/>
        </w:rPr>
        <w:t xml:space="preserve"> للشهيد</w:t>
      </w:r>
      <w:r w:rsidRPr="00904FCB">
        <w:rPr>
          <w:rFonts w:ascii="Times New Roman" w:hAnsi="Times New Roman" w:hint="cs"/>
          <w:sz w:val="27"/>
          <w:rtl/>
          <w:lang w:bidi="fa-IR"/>
        </w:rPr>
        <w:t>ين</w:t>
      </w:r>
      <w:r w:rsidR="00BD3FB3" w:rsidRPr="00904FCB">
        <w:rPr>
          <w:rFonts w:ascii="Times New Roman" w:hAnsi="Times New Roman" w:hint="cs"/>
          <w:sz w:val="27"/>
          <w:rtl/>
          <w:lang w:bidi="fa-IR"/>
        </w:rPr>
        <w:t>،</w:t>
      </w:r>
      <w:r w:rsidRPr="00904FCB">
        <w:rPr>
          <w:rFonts w:ascii="Times New Roman" w:hAnsi="Times New Roman" w:hint="cs"/>
          <w:sz w:val="27"/>
          <w:rtl/>
          <w:lang w:bidi="fa-IR"/>
        </w:rPr>
        <w:t xml:space="preserve"> تمث</w:t>
      </w:r>
      <w:r w:rsidR="00A8172D">
        <w:rPr>
          <w:rFonts w:ascii="Times New Roman" w:hAnsi="Times New Roman" w:hint="cs"/>
          <w:sz w:val="27"/>
          <w:rtl/>
          <w:lang w:bidi="fa-IR"/>
        </w:rPr>
        <w:t>ِّ</w:t>
      </w:r>
      <w:r w:rsidRPr="00904FCB">
        <w:rPr>
          <w:rFonts w:ascii="Times New Roman" w:hAnsi="Times New Roman" w:hint="cs"/>
          <w:sz w:val="27"/>
          <w:rtl/>
          <w:lang w:bidi="fa-IR"/>
        </w:rPr>
        <w:t>ل</w:t>
      </w:r>
      <w:r w:rsidRPr="00904FCB">
        <w:rPr>
          <w:rFonts w:ascii="Times New Roman" w:hAnsi="Times New Roman"/>
          <w:sz w:val="27"/>
          <w:rtl/>
          <w:lang w:bidi="fa-IR"/>
        </w:rPr>
        <w:t xml:space="preserve"> </w:t>
      </w:r>
      <w:r w:rsidRPr="00904FCB">
        <w:rPr>
          <w:rFonts w:ascii="Times New Roman" w:hAnsi="Times New Roman" w:hint="cs"/>
          <w:sz w:val="27"/>
          <w:rtl/>
          <w:lang w:bidi="fa-IR"/>
        </w:rPr>
        <w:t>إطلالة</w:t>
      </w:r>
      <w:r w:rsidRPr="00904FCB">
        <w:rPr>
          <w:rFonts w:ascii="Times New Roman" w:hAnsi="Times New Roman"/>
          <w:sz w:val="27"/>
          <w:rtl/>
          <w:lang w:bidi="fa-IR"/>
        </w:rPr>
        <w:t xml:space="preserve"> </w:t>
      </w:r>
      <w:r w:rsidRPr="00904FCB">
        <w:rPr>
          <w:rFonts w:ascii="Times New Roman" w:hAnsi="Times New Roman" w:hint="cs"/>
          <w:sz w:val="27"/>
          <w:rtl/>
          <w:lang w:bidi="fa-IR"/>
        </w:rPr>
        <w:t>موجزة</w:t>
      </w:r>
      <w:r w:rsidRPr="00904FCB">
        <w:rPr>
          <w:rFonts w:ascii="Times New Roman" w:hAnsi="Times New Roman"/>
          <w:sz w:val="27"/>
          <w:rtl/>
          <w:lang w:bidi="fa-IR"/>
        </w:rPr>
        <w:t xml:space="preserve"> على </w:t>
      </w:r>
      <w:r w:rsidRPr="00904FCB">
        <w:rPr>
          <w:rFonts w:ascii="Times New Roman" w:hAnsi="Times New Roman" w:hint="cs"/>
          <w:sz w:val="27"/>
          <w:rtl/>
          <w:lang w:bidi="fa-IR"/>
        </w:rPr>
        <w:t>مقام</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و</w:t>
      </w:r>
      <w:r w:rsidRPr="00904FCB">
        <w:rPr>
          <w:rFonts w:ascii="Times New Roman" w:hAnsi="Times New Roman" w:hint="cs"/>
          <w:sz w:val="27"/>
          <w:rtl/>
          <w:lang w:bidi="fa-IR"/>
        </w:rPr>
        <w:t>أسلوبه</w:t>
      </w:r>
      <w:r w:rsidR="00BD3FB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وبعض</w:t>
      </w:r>
      <w:r w:rsidRPr="00904FCB">
        <w:rPr>
          <w:rFonts w:ascii="Times New Roman" w:hAnsi="Times New Roman"/>
          <w:sz w:val="27"/>
          <w:rtl/>
          <w:lang w:bidi="fa-IR"/>
        </w:rPr>
        <w:t xml:space="preserve"> </w:t>
      </w:r>
      <w:r w:rsidRPr="00904FCB">
        <w:rPr>
          <w:rFonts w:ascii="Times New Roman" w:hAnsi="Times New Roman" w:hint="cs"/>
          <w:sz w:val="27"/>
          <w:rtl/>
          <w:lang w:bidi="fa-IR"/>
        </w:rPr>
        <w:t>مواطن</w:t>
      </w:r>
      <w:r w:rsidRPr="00904FCB">
        <w:rPr>
          <w:rFonts w:ascii="Times New Roman" w:hAnsi="Times New Roman"/>
          <w:sz w:val="27"/>
          <w:rtl/>
          <w:lang w:bidi="fa-IR"/>
        </w:rPr>
        <w:t xml:space="preserve"> </w:t>
      </w:r>
      <w:r w:rsidRPr="00904FCB">
        <w:rPr>
          <w:rFonts w:ascii="Times New Roman" w:hAnsi="Times New Roman" w:hint="cs"/>
          <w:sz w:val="27"/>
          <w:rtl/>
          <w:lang w:bidi="fa-IR"/>
        </w:rPr>
        <w:t>التجديد</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فكر</w:t>
      </w:r>
      <w:r w:rsidRPr="00904FCB">
        <w:rPr>
          <w:rFonts w:ascii="Times New Roman" w:hAnsi="Times New Roman" w:hint="cs"/>
          <w:sz w:val="27"/>
          <w:rtl/>
          <w:lang w:bidi="fa-IR"/>
        </w:rPr>
        <w:t>ه</w:t>
      </w:r>
      <w:r w:rsidRPr="00904FCB">
        <w:rPr>
          <w:rFonts w:ascii="Times New Roman" w:hAnsi="Times New Roman"/>
          <w:sz w:val="27"/>
          <w:rtl/>
          <w:lang w:bidi="fa-IR"/>
        </w:rPr>
        <w:t xml:space="preserve"> </w:t>
      </w:r>
      <w:r w:rsidRPr="00904FCB">
        <w:rPr>
          <w:rFonts w:ascii="Times New Roman" w:hAnsi="Times New Roman"/>
          <w:sz w:val="27"/>
          <w:rtl/>
          <w:lang w:bidi="fa-IR"/>
        </w:rPr>
        <w:lastRenderedPageBreak/>
        <w:t>ومبان</w:t>
      </w:r>
      <w:r w:rsidRPr="00904FCB">
        <w:rPr>
          <w:rFonts w:ascii="Times New Roman" w:hAnsi="Times New Roman" w:hint="cs"/>
          <w:sz w:val="27"/>
          <w:rtl/>
          <w:lang w:bidi="fa-IR"/>
        </w:rPr>
        <w:t>يه</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الأصولية</w:t>
      </w:r>
      <w:r w:rsidRPr="00904FCB">
        <w:rPr>
          <w:rFonts w:ascii="Times New Roman" w:hAnsi="Times New Roman"/>
          <w:sz w:val="27"/>
          <w:rtl/>
          <w:lang w:bidi="fa-IR"/>
        </w:rPr>
        <w:t xml:space="preserve">. </w:t>
      </w:r>
    </w:p>
    <w:p w:rsidR="00057E24" w:rsidRPr="00904FCB" w:rsidRDefault="00BD3FB3" w:rsidP="007A21AA">
      <w:pPr>
        <w:spacing w:line="400" w:lineRule="exact"/>
        <w:rPr>
          <w:rFonts w:ascii="Times New Roman" w:hAnsi="Times New Roman"/>
          <w:sz w:val="27"/>
          <w:rtl/>
          <w:lang w:bidi="fa-IR"/>
        </w:rPr>
      </w:pPr>
      <w:r w:rsidRPr="00904FCB">
        <w:rPr>
          <w:rFonts w:ascii="Times New Roman" w:hAnsi="Times New Roman" w:hint="cs"/>
          <w:sz w:val="27"/>
          <w:rtl/>
          <w:lang w:bidi="fa-IR"/>
        </w:rPr>
        <w:t>و</w:t>
      </w:r>
      <w:r w:rsidR="00057E24" w:rsidRPr="00904FCB">
        <w:rPr>
          <w:rFonts w:ascii="Times New Roman" w:hAnsi="Times New Roman"/>
          <w:sz w:val="27"/>
          <w:rtl/>
          <w:lang w:bidi="fa-IR"/>
        </w:rPr>
        <w:t>قبل الدخول ف</w:t>
      </w:r>
      <w:r w:rsidR="00057E24" w:rsidRPr="00904FCB">
        <w:rPr>
          <w:rFonts w:ascii="Times New Roman" w:hAnsi="Times New Roman" w:hint="cs"/>
          <w:sz w:val="27"/>
          <w:rtl/>
          <w:lang w:bidi="fa-IR"/>
        </w:rPr>
        <w:t>ي</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ص</w:t>
      </w:r>
      <w:r w:rsidR="00057E24" w:rsidRPr="00904FCB">
        <w:rPr>
          <w:rFonts w:ascii="Times New Roman" w:hAnsi="Times New Roman"/>
          <w:sz w:val="27"/>
          <w:rtl/>
          <w:lang w:bidi="fa-IR"/>
        </w:rPr>
        <w:t>لب الموضوع من المف</w:t>
      </w:r>
      <w:r w:rsidR="00057E24" w:rsidRPr="00904FCB">
        <w:rPr>
          <w:rFonts w:ascii="Times New Roman" w:hAnsi="Times New Roman" w:hint="cs"/>
          <w:sz w:val="27"/>
          <w:rtl/>
          <w:lang w:bidi="fa-IR"/>
        </w:rPr>
        <w:t>يد</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الإشارة</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إ</w:t>
      </w:r>
      <w:r w:rsidR="00057E24" w:rsidRPr="00904FCB">
        <w:rPr>
          <w:rFonts w:ascii="Times New Roman" w:hAnsi="Times New Roman"/>
          <w:sz w:val="27"/>
          <w:rtl/>
          <w:lang w:bidi="fa-IR"/>
        </w:rPr>
        <w:t xml:space="preserve">لى </w:t>
      </w:r>
      <w:r w:rsidR="00057E24" w:rsidRPr="00904FCB">
        <w:rPr>
          <w:rFonts w:ascii="Times New Roman" w:hAnsi="Times New Roman" w:hint="cs"/>
          <w:sz w:val="27"/>
          <w:rtl/>
          <w:lang w:bidi="fa-IR"/>
        </w:rPr>
        <w:t>رؤوس</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المطالب</w:t>
      </w:r>
      <w:r w:rsidR="00057E24" w:rsidRPr="00904FCB">
        <w:rPr>
          <w:rFonts w:ascii="Times New Roman" w:hAnsi="Times New Roman"/>
          <w:sz w:val="27"/>
          <w:rtl/>
          <w:lang w:bidi="fa-IR"/>
        </w:rPr>
        <w:t xml:space="preserve"> و</w:t>
      </w:r>
      <w:r w:rsidR="00057E24" w:rsidRPr="00904FCB">
        <w:rPr>
          <w:rFonts w:ascii="Times New Roman" w:hAnsi="Times New Roman" w:hint="cs"/>
          <w:sz w:val="27"/>
          <w:rtl/>
          <w:lang w:bidi="fa-IR"/>
        </w:rPr>
        <w:t>العناوين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التي</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أ</w:t>
      </w:r>
      <w:r w:rsidR="00057E24" w:rsidRPr="00904FCB">
        <w:rPr>
          <w:rFonts w:ascii="Times New Roman" w:hAnsi="Times New Roman"/>
          <w:sz w:val="27"/>
          <w:rtl/>
          <w:lang w:bidi="fa-IR"/>
        </w:rPr>
        <w:t xml:space="preserve">شارت </w:t>
      </w:r>
      <w:r w:rsidRPr="00904FCB">
        <w:rPr>
          <w:rFonts w:ascii="Times New Roman" w:hAnsi="Times New Roman" w:hint="cs"/>
          <w:sz w:val="27"/>
          <w:rtl/>
          <w:lang w:bidi="fa-IR"/>
        </w:rPr>
        <w:t>إ</w:t>
      </w:r>
      <w:r w:rsidR="00057E24" w:rsidRPr="00904FCB">
        <w:rPr>
          <w:rFonts w:ascii="Times New Roman" w:hAnsi="Times New Roman"/>
          <w:sz w:val="27"/>
          <w:rtl/>
          <w:lang w:bidi="fa-IR"/>
        </w:rPr>
        <w:t>ل</w:t>
      </w:r>
      <w:r w:rsidR="00057E24" w:rsidRPr="00904FCB">
        <w:rPr>
          <w:rFonts w:ascii="Times New Roman" w:hAnsi="Times New Roman" w:hint="cs"/>
          <w:sz w:val="27"/>
          <w:rtl/>
          <w:lang w:bidi="fa-IR"/>
        </w:rPr>
        <w:t>يها</w:t>
      </w:r>
      <w:r w:rsidR="00057E24" w:rsidRPr="00904FCB">
        <w:rPr>
          <w:rFonts w:ascii="Times New Roman" w:hAnsi="Times New Roman"/>
          <w:sz w:val="27"/>
          <w:rtl/>
          <w:lang w:bidi="fa-IR"/>
        </w:rPr>
        <w:t xml:space="preserve">، وهي: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hint="cs"/>
          <w:sz w:val="27"/>
          <w:rtl/>
          <w:lang w:bidi="fa-IR"/>
        </w:rPr>
        <w:t>أ</w:t>
      </w:r>
      <w:r w:rsidRPr="00904FCB">
        <w:rPr>
          <w:rFonts w:ascii="Times New Roman" w:hAnsi="Times New Roman"/>
          <w:sz w:val="27"/>
          <w:rtl/>
          <w:lang w:bidi="fa-IR"/>
        </w:rPr>
        <w:t>ـ مكانة الشهيد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علم الأصول.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hint="cs"/>
          <w:sz w:val="27"/>
          <w:rtl/>
          <w:lang w:bidi="fa-IR"/>
        </w:rPr>
        <w:t>ب</w:t>
      </w:r>
      <w:r w:rsidRPr="00904FCB">
        <w:rPr>
          <w:rFonts w:ascii="Times New Roman" w:hAnsi="Times New Roman"/>
          <w:sz w:val="27"/>
          <w:rtl/>
          <w:lang w:bidi="fa-IR"/>
        </w:rPr>
        <w:t xml:space="preserve"> </w:t>
      </w:r>
      <w:r w:rsidRPr="00904FCB">
        <w:rPr>
          <w:rFonts w:ascii="Times New Roman" w:hAnsi="Times New Roman" w:hint="cs"/>
          <w:sz w:val="27"/>
          <w:rtl/>
          <w:lang w:bidi="fa-IR"/>
        </w:rPr>
        <w:t>ـ</w:t>
      </w:r>
      <w:r w:rsidRPr="00904FCB">
        <w:rPr>
          <w:rFonts w:ascii="Times New Roman" w:hAnsi="Times New Roman"/>
          <w:sz w:val="27"/>
          <w:rtl/>
          <w:lang w:bidi="fa-IR"/>
        </w:rPr>
        <w:t xml:space="preserve"> </w:t>
      </w:r>
      <w:r w:rsidRPr="00904FCB">
        <w:rPr>
          <w:rFonts w:ascii="Times New Roman" w:hAnsi="Times New Roman" w:hint="cs"/>
          <w:sz w:val="27"/>
          <w:rtl/>
          <w:lang w:bidi="fa-IR"/>
        </w:rPr>
        <w:t>إبداعات</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w:t>
      </w:r>
      <w:r w:rsidR="00A8172D">
        <w:rPr>
          <w:rFonts w:ascii="Times New Roman" w:hAnsi="Times New Roman" w:hint="cs"/>
          <w:sz w:val="27"/>
          <w:rtl/>
          <w:lang w:bidi="fa-IR"/>
        </w:rPr>
        <w:t xml:space="preserve"> الثاني</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ج ـ مزا</w:t>
      </w:r>
      <w:r w:rsidRPr="00904FCB">
        <w:rPr>
          <w:rFonts w:ascii="Times New Roman" w:hAnsi="Times New Roman" w:hint="cs"/>
          <w:sz w:val="27"/>
          <w:rtl/>
          <w:lang w:bidi="fa-IR"/>
        </w:rPr>
        <w:t>ياه</w:t>
      </w:r>
      <w:r w:rsidR="002530D8" w:rsidRPr="00904FCB">
        <w:rPr>
          <w:rFonts w:ascii="Times New Roman" w:hAnsi="Times New Roman" w:hint="cs"/>
          <w:sz w:val="27"/>
          <w:rtl/>
          <w:lang w:bidi="fa-IR"/>
        </w:rPr>
        <w:t>.</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د ـ بعض المبان</w:t>
      </w:r>
      <w:r w:rsidRPr="00904FCB">
        <w:rPr>
          <w:rFonts w:ascii="Times New Roman" w:hAnsi="Times New Roman" w:hint="cs"/>
          <w:sz w:val="27"/>
          <w:rtl/>
          <w:lang w:bidi="fa-IR"/>
        </w:rPr>
        <w:t>ي</w:t>
      </w:r>
      <w:r w:rsidRPr="00904FCB">
        <w:rPr>
          <w:rFonts w:ascii="Times New Roman" w:hAnsi="Times New Roman"/>
          <w:sz w:val="27"/>
          <w:rtl/>
          <w:lang w:bidi="fa-IR"/>
        </w:rPr>
        <w:t xml:space="preserve"> الأصول</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للش</w:t>
      </w:r>
      <w:r w:rsidRPr="00904FCB">
        <w:rPr>
          <w:rFonts w:ascii="Times New Roman" w:hAnsi="Times New Roman"/>
          <w:sz w:val="27"/>
          <w:rtl/>
          <w:lang w:bidi="fa-IR"/>
        </w:rPr>
        <w:t>هيد</w:t>
      </w:r>
      <w:r w:rsidR="00A8172D">
        <w:rPr>
          <w:rFonts w:ascii="Times New Roman" w:hAnsi="Times New Roman" w:hint="cs"/>
          <w:sz w:val="27"/>
          <w:rtl/>
          <w:lang w:bidi="fa-IR"/>
        </w:rPr>
        <w:t xml:space="preserve"> الثاني</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هـ ـ القواعد الأدب</w:t>
      </w:r>
      <w:r w:rsidRPr="00904FCB">
        <w:rPr>
          <w:rFonts w:ascii="Times New Roman" w:hAnsi="Times New Roman" w:hint="cs"/>
          <w:sz w:val="27"/>
          <w:rtl/>
          <w:lang w:bidi="fa-IR"/>
        </w:rPr>
        <w:t xml:space="preserve">ية </w:t>
      </w:r>
      <w:r w:rsidR="002530D8" w:rsidRPr="00904FCB">
        <w:rPr>
          <w:rFonts w:ascii="Times New Roman" w:hAnsi="Times New Roman" w:hint="cs"/>
          <w:i/>
          <w:sz w:val="27"/>
          <w:rtl/>
          <w:lang w:bidi="fa-IR"/>
        </w:rPr>
        <w:t>التي</w:t>
      </w:r>
      <w:r w:rsidR="002530D8" w:rsidRPr="00904FCB">
        <w:rPr>
          <w:rFonts w:ascii="Times New Roman" w:hAnsi="Times New Roman"/>
          <w:i/>
          <w:sz w:val="27"/>
          <w:rtl/>
          <w:lang w:bidi="fa-IR"/>
        </w:rPr>
        <w:t xml:space="preserve"> </w:t>
      </w:r>
      <w:r w:rsidR="002530D8" w:rsidRPr="00904FCB">
        <w:rPr>
          <w:rFonts w:ascii="Times New Roman" w:hAnsi="Times New Roman" w:hint="cs"/>
          <w:i/>
          <w:sz w:val="27"/>
          <w:rtl/>
          <w:lang w:bidi="fa-IR"/>
        </w:rPr>
        <w:t>تدخل</w:t>
      </w:r>
      <w:r w:rsidR="002530D8" w:rsidRPr="00904FCB">
        <w:rPr>
          <w:rFonts w:ascii="Times New Roman" w:hAnsi="Times New Roman"/>
          <w:i/>
          <w:sz w:val="27"/>
          <w:rtl/>
          <w:lang w:bidi="fa-IR"/>
        </w:rPr>
        <w:t xml:space="preserve"> </w:t>
      </w:r>
      <w:r w:rsidR="002530D8" w:rsidRPr="00904FCB">
        <w:rPr>
          <w:rFonts w:ascii="Times New Roman" w:hAnsi="Times New Roman" w:hint="cs"/>
          <w:i/>
          <w:sz w:val="27"/>
          <w:rtl/>
          <w:lang w:bidi="fa-IR"/>
        </w:rPr>
        <w:t>في</w:t>
      </w:r>
      <w:r w:rsidR="002530D8" w:rsidRPr="00904FCB">
        <w:rPr>
          <w:rFonts w:ascii="Times New Roman" w:hAnsi="Times New Roman"/>
          <w:i/>
          <w:sz w:val="27"/>
          <w:rtl/>
          <w:lang w:bidi="fa-IR"/>
        </w:rPr>
        <w:t xml:space="preserve"> </w:t>
      </w:r>
      <w:r w:rsidR="002530D8" w:rsidRPr="00904FCB">
        <w:rPr>
          <w:rFonts w:ascii="Times New Roman" w:hAnsi="Times New Roman" w:hint="cs"/>
          <w:i/>
          <w:sz w:val="27"/>
          <w:rtl/>
          <w:lang w:bidi="fa-IR"/>
        </w:rPr>
        <w:t>مجال</w:t>
      </w:r>
      <w:r w:rsidR="002530D8" w:rsidRPr="00904FCB">
        <w:rPr>
          <w:rFonts w:ascii="Times New Roman" w:hAnsi="Times New Roman"/>
          <w:i/>
          <w:sz w:val="27"/>
          <w:rtl/>
          <w:lang w:bidi="fa-IR"/>
        </w:rPr>
        <w:t xml:space="preserve"> </w:t>
      </w:r>
      <w:r w:rsidR="002530D8" w:rsidRPr="00904FCB">
        <w:rPr>
          <w:rFonts w:ascii="Times New Roman" w:hAnsi="Times New Roman" w:hint="cs"/>
          <w:i/>
          <w:sz w:val="27"/>
          <w:rtl/>
          <w:lang w:bidi="fa-IR"/>
        </w:rPr>
        <w:t>الأصول</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 xml:space="preserve">و ـ بعض النواقص والملاحظات من الكاتب. </w:t>
      </w:r>
    </w:p>
    <w:p w:rsidR="00057E24" w:rsidRPr="00904FCB" w:rsidRDefault="00057E24" w:rsidP="007A21AA">
      <w:pPr>
        <w:spacing w:line="400" w:lineRule="exact"/>
        <w:rPr>
          <w:rFonts w:ascii="Times New Roman" w:hAnsi="Times New Roman"/>
          <w:b/>
          <w:bCs/>
          <w:sz w:val="27"/>
          <w:rtl/>
          <w:lang w:bidi="fa-IR"/>
        </w:rPr>
      </w:pPr>
    </w:p>
    <w:p w:rsidR="00057E24" w:rsidRPr="00904FCB" w:rsidRDefault="00057E24" w:rsidP="007A21AA">
      <w:pPr>
        <w:pStyle w:val="31"/>
        <w:spacing w:line="400" w:lineRule="exact"/>
        <w:rPr>
          <w:color w:val="auto"/>
          <w:rtl/>
          <w:lang w:bidi="fa-IR"/>
        </w:rPr>
      </w:pPr>
      <w:r w:rsidRPr="00904FCB">
        <w:rPr>
          <w:rFonts w:hint="cs"/>
          <w:color w:val="auto"/>
          <w:rtl/>
          <w:lang w:bidi="fa-IR"/>
        </w:rPr>
        <w:t>أـ</w:t>
      </w:r>
      <w:r w:rsidRPr="00904FCB">
        <w:rPr>
          <w:color w:val="auto"/>
          <w:rtl/>
          <w:lang w:bidi="fa-IR"/>
        </w:rPr>
        <w:t xml:space="preserve"> مكانة الشهيد الثان</w:t>
      </w:r>
      <w:r w:rsidRPr="00904FCB">
        <w:rPr>
          <w:rFonts w:hint="cs"/>
          <w:color w:val="auto"/>
          <w:rtl/>
          <w:lang w:bidi="fa-IR"/>
        </w:rPr>
        <w:t>ي</w:t>
      </w:r>
      <w:r w:rsidRPr="00904FCB">
        <w:rPr>
          <w:color w:val="auto"/>
          <w:rtl/>
          <w:lang w:bidi="fa-IR"/>
        </w:rPr>
        <w:t xml:space="preserve"> ف</w:t>
      </w:r>
      <w:r w:rsidRPr="00904FCB">
        <w:rPr>
          <w:rFonts w:hint="cs"/>
          <w:color w:val="auto"/>
          <w:rtl/>
          <w:lang w:bidi="fa-IR"/>
        </w:rPr>
        <w:t>ي</w:t>
      </w:r>
      <w:r w:rsidRPr="00904FCB">
        <w:rPr>
          <w:color w:val="auto"/>
          <w:rtl/>
          <w:lang w:bidi="fa-IR"/>
        </w:rPr>
        <w:t xml:space="preserve"> علم الأصول </w:t>
      </w:r>
    </w:p>
    <w:p w:rsidR="002530D8"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اختلفت آراء الأصول</w:t>
      </w:r>
      <w:r w:rsidRPr="00904FCB">
        <w:rPr>
          <w:rFonts w:ascii="Times New Roman" w:hAnsi="Times New Roman" w:hint="cs"/>
          <w:sz w:val="27"/>
          <w:rtl/>
          <w:lang w:bidi="fa-IR"/>
        </w:rPr>
        <w:t>يين</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تار</w:t>
      </w:r>
      <w:r w:rsidRPr="00904FCB">
        <w:rPr>
          <w:rFonts w:ascii="Times New Roman" w:hAnsi="Times New Roman" w:hint="cs"/>
          <w:sz w:val="27"/>
          <w:rtl/>
          <w:lang w:bidi="fa-IR"/>
        </w:rPr>
        <w:t>يخ</w:t>
      </w:r>
      <w:r w:rsidRPr="00904FCB">
        <w:rPr>
          <w:rFonts w:ascii="Times New Roman" w:hAnsi="Times New Roman"/>
          <w:sz w:val="27"/>
          <w:rtl/>
          <w:lang w:bidi="fa-IR"/>
        </w:rPr>
        <w:t xml:space="preserve"> </w:t>
      </w:r>
      <w:r w:rsidRPr="00904FCB">
        <w:rPr>
          <w:rFonts w:ascii="Times New Roman" w:hAnsi="Times New Roman" w:hint="cs"/>
          <w:sz w:val="27"/>
          <w:rtl/>
          <w:lang w:bidi="fa-IR"/>
        </w:rPr>
        <w:t>وتحوّلات</w:t>
      </w:r>
      <w:r w:rsidRPr="00904FCB">
        <w:rPr>
          <w:rFonts w:ascii="Times New Roman" w:hAnsi="Times New Roman"/>
          <w:sz w:val="27"/>
          <w:rtl/>
          <w:lang w:bidi="fa-IR"/>
        </w:rPr>
        <w:t xml:space="preserve"> </w:t>
      </w:r>
      <w:r w:rsidRPr="00904FCB">
        <w:rPr>
          <w:rFonts w:ascii="Times New Roman" w:hAnsi="Times New Roman" w:hint="cs"/>
          <w:sz w:val="27"/>
          <w:rtl/>
          <w:lang w:bidi="fa-IR"/>
        </w:rPr>
        <w:t>وتطوّر</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002530D8" w:rsidRPr="00904FCB">
        <w:rPr>
          <w:rFonts w:ascii="Times New Roman" w:hAnsi="Times New Roman" w:hint="cs"/>
          <w:sz w:val="27"/>
          <w:rtl/>
          <w:lang w:bidi="fa-IR"/>
        </w:rPr>
        <w:t>.</w:t>
      </w:r>
      <w:r w:rsidRPr="00904FCB">
        <w:rPr>
          <w:rFonts w:ascii="Times New Roman" w:hAnsi="Times New Roman" w:hint="cs"/>
          <w:sz w:val="27"/>
          <w:rtl/>
          <w:lang w:bidi="fa-IR"/>
        </w:rPr>
        <w:t xml:space="preserve"> وفي</w:t>
      </w:r>
      <w:r w:rsidR="002530D8" w:rsidRPr="00904FCB">
        <w:rPr>
          <w:rFonts w:ascii="Times New Roman" w:hAnsi="Times New Roman" w:hint="cs"/>
          <w:sz w:val="27"/>
          <w:rtl/>
          <w:lang w:bidi="fa-IR"/>
        </w:rPr>
        <w:t xml:space="preserve"> </w:t>
      </w:r>
      <w:r w:rsidRPr="00904FCB">
        <w:rPr>
          <w:rFonts w:ascii="Times New Roman" w:hAnsi="Times New Roman" w:hint="cs"/>
          <w:sz w:val="27"/>
          <w:rtl/>
          <w:lang w:bidi="fa-IR"/>
        </w:rPr>
        <w:t>ما يأتي</w:t>
      </w:r>
      <w:r w:rsidRPr="00904FCB">
        <w:rPr>
          <w:rFonts w:ascii="Times New Roman" w:hAnsi="Times New Roman"/>
          <w:sz w:val="27"/>
          <w:rtl/>
          <w:lang w:bidi="fa-IR"/>
        </w:rPr>
        <w:t xml:space="preserve"> </w:t>
      </w:r>
      <w:r w:rsidRPr="00904FCB">
        <w:rPr>
          <w:rFonts w:ascii="Times New Roman" w:hAnsi="Times New Roman" w:hint="cs"/>
          <w:sz w:val="27"/>
          <w:rtl/>
          <w:lang w:bidi="fa-IR"/>
        </w:rPr>
        <w:t>سنشير</w:t>
      </w:r>
      <w:r w:rsidRPr="00904FCB">
        <w:rPr>
          <w:rFonts w:ascii="Times New Roman" w:hAnsi="Times New Roman"/>
          <w:sz w:val="27"/>
          <w:rtl/>
          <w:lang w:bidi="fa-IR"/>
        </w:rPr>
        <w:t xml:space="preserve"> </w:t>
      </w:r>
      <w:r w:rsidRPr="00904FCB">
        <w:rPr>
          <w:rFonts w:ascii="Times New Roman" w:hAnsi="Times New Roman" w:hint="cs"/>
          <w:sz w:val="27"/>
          <w:rtl/>
          <w:lang w:bidi="fa-IR"/>
        </w:rPr>
        <w:t>ب</w:t>
      </w:r>
      <w:r w:rsidR="002530D8" w:rsidRPr="00904FCB">
        <w:rPr>
          <w:rFonts w:ascii="Times New Roman" w:hAnsi="Times New Roman" w:hint="cs"/>
          <w:sz w:val="27"/>
          <w:rtl/>
          <w:lang w:bidi="fa-IR"/>
        </w:rPr>
        <w:t>ا</w:t>
      </w:r>
      <w:r w:rsidRPr="00904FCB">
        <w:rPr>
          <w:rFonts w:ascii="Times New Roman" w:hAnsi="Times New Roman"/>
          <w:sz w:val="27"/>
          <w:rtl/>
          <w:lang w:bidi="fa-IR"/>
        </w:rPr>
        <w:t xml:space="preserve">ختصار </w:t>
      </w:r>
      <w:r w:rsidR="002530D8"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بعض</w:t>
      </w:r>
      <w:r w:rsidRPr="00904FCB">
        <w:rPr>
          <w:rFonts w:ascii="Times New Roman" w:hAnsi="Times New Roman"/>
          <w:sz w:val="27"/>
          <w:rtl/>
          <w:lang w:bidi="fa-IR"/>
        </w:rPr>
        <w:t xml:space="preserve"> </w:t>
      </w:r>
      <w:r w:rsidRPr="00904FCB">
        <w:rPr>
          <w:rFonts w:ascii="Times New Roman" w:hAnsi="Times New Roman" w:hint="cs"/>
          <w:sz w:val="27"/>
          <w:rtl/>
          <w:lang w:bidi="fa-IR"/>
        </w:rPr>
        <w:t>هذه</w:t>
      </w:r>
      <w:r w:rsidRPr="00904FCB">
        <w:rPr>
          <w:rFonts w:ascii="Times New Roman" w:hAnsi="Times New Roman"/>
          <w:sz w:val="27"/>
          <w:rtl/>
          <w:lang w:bidi="fa-IR"/>
        </w:rPr>
        <w:t xml:space="preserve"> </w:t>
      </w:r>
      <w:r w:rsidRPr="00904FCB">
        <w:rPr>
          <w:rFonts w:ascii="Times New Roman" w:hAnsi="Times New Roman" w:hint="cs"/>
          <w:sz w:val="27"/>
          <w:rtl/>
          <w:lang w:bidi="fa-IR"/>
        </w:rPr>
        <w:t>الآراء</w:t>
      </w:r>
      <w:r w:rsidR="002530D8" w:rsidRPr="00904FCB">
        <w:rPr>
          <w:rFonts w:ascii="Times New Roman" w:hAnsi="Times New Roman"/>
          <w:sz w:val="27"/>
          <w:rtl/>
          <w:lang w:bidi="fa-IR"/>
        </w:rPr>
        <w:t>.</w:t>
      </w:r>
    </w:p>
    <w:p w:rsidR="002530D8" w:rsidRPr="00904FCB" w:rsidRDefault="00057E24" w:rsidP="007A21AA">
      <w:pPr>
        <w:spacing w:line="400" w:lineRule="exact"/>
        <w:rPr>
          <w:rFonts w:ascii="Times New Roman" w:hAnsi="Times New Roman"/>
          <w:sz w:val="27"/>
          <w:rtl/>
          <w:lang w:bidi="fa-IR"/>
        </w:rPr>
      </w:pPr>
      <w:r w:rsidRPr="00904FCB">
        <w:rPr>
          <w:rFonts w:ascii="Times New Roman" w:hAnsi="Times New Roman" w:hint="cs"/>
          <w:sz w:val="27"/>
          <w:rtl/>
          <w:lang w:bidi="fa-IR"/>
        </w:rPr>
        <w:t>فقد</w:t>
      </w:r>
      <w:r w:rsidRPr="00904FCB">
        <w:rPr>
          <w:rFonts w:ascii="Times New Roman" w:hAnsi="Times New Roman"/>
          <w:sz w:val="27"/>
          <w:rtl/>
          <w:lang w:bidi="fa-IR"/>
        </w:rPr>
        <w:t xml:space="preserve"> </w:t>
      </w:r>
      <w:r w:rsidRPr="00904FCB">
        <w:rPr>
          <w:rFonts w:ascii="Times New Roman" w:hAnsi="Times New Roman" w:hint="cs"/>
          <w:sz w:val="27"/>
          <w:rtl/>
          <w:lang w:bidi="fa-IR"/>
        </w:rPr>
        <w:t>قسّ</w:t>
      </w:r>
      <w:r w:rsidR="002530D8" w:rsidRPr="00904FCB">
        <w:rPr>
          <w:rFonts w:ascii="Times New Roman" w:hAnsi="Times New Roman" w:hint="cs"/>
          <w:sz w:val="27"/>
          <w:rtl/>
          <w:lang w:bidi="fa-IR"/>
        </w:rPr>
        <w:t>َ</w:t>
      </w:r>
      <w:r w:rsidRPr="00904FCB">
        <w:rPr>
          <w:rFonts w:ascii="Times New Roman" w:hAnsi="Times New Roman" w:hint="cs"/>
          <w:sz w:val="27"/>
          <w:rtl/>
          <w:lang w:bidi="fa-IR"/>
        </w:rPr>
        <w:t>م</w:t>
      </w:r>
      <w:r w:rsidRPr="00904FCB">
        <w:rPr>
          <w:rFonts w:ascii="Times New Roman" w:hAnsi="Times New Roman"/>
          <w:sz w:val="27"/>
          <w:rtl/>
          <w:lang w:bidi="fa-IR"/>
        </w:rPr>
        <w:t xml:space="preserve"> </w:t>
      </w:r>
      <w:r w:rsidRPr="00904FCB">
        <w:rPr>
          <w:rFonts w:ascii="Times New Roman" w:hAnsi="Times New Roman" w:hint="cs"/>
          <w:sz w:val="27"/>
          <w:rtl/>
          <w:lang w:bidi="fa-IR"/>
        </w:rPr>
        <w:t>بعضه</w:t>
      </w:r>
      <w:r w:rsidRPr="00904FCB">
        <w:rPr>
          <w:rFonts w:ascii="Times New Roman" w:hAnsi="Times New Roman"/>
          <w:sz w:val="27"/>
          <w:rtl/>
          <w:lang w:bidi="fa-IR"/>
        </w:rPr>
        <w:t>م تار</w:t>
      </w:r>
      <w:r w:rsidRPr="00904FCB">
        <w:rPr>
          <w:rFonts w:ascii="Times New Roman" w:hAnsi="Times New Roman" w:hint="cs"/>
          <w:sz w:val="27"/>
          <w:rtl/>
          <w:lang w:bidi="fa-IR"/>
        </w:rPr>
        <w:t>يخ</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w:t>
      </w:r>
      <w:r w:rsidR="002530D8"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ثلاث</w:t>
      </w:r>
      <w:r w:rsidRPr="00904FCB">
        <w:rPr>
          <w:rFonts w:ascii="Times New Roman" w:hAnsi="Times New Roman"/>
          <w:sz w:val="27"/>
          <w:rtl/>
          <w:lang w:bidi="fa-IR"/>
        </w:rPr>
        <w:t xml:space="preserve"> </w:t>
      </w:r>
      <w:r w:rsidRPr="00904FCB">
        <w:rPr>
          <w:rFonts w:ascii="Times New Roman" w:hAnsi="Times New Roman" w:hint="cs"/>
          <w:sz w:val="27"/>
          <w:rtl/>
          <w:lang w:bidi="fa-IR"/>
        </w:rPr>
        <w:t>مراحل</w:t>
      </w:r>
      <w:r w:rsidR="002530D8" w:rsidRPr="00904FCB">
        <w:rPr>
          <w:rFonts w:ascii="Times New Roman" w:hAnsi="Times New Roman" w:hint="cs"/>
          <w:sz w:val="27"/>
          <w:rtl/>
          <w:lang w:bidi="fa-IR"/>
        </w:rPr>
        <w:t>.</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hint="cs"/>
          <w:sz w:val="27"/>
          <w:rtl/>
          <w:lang w:bidi="fa-IR"/>
        </w:rPr>
        <w:t>فعل</w:t>
      </w:r>
      <w:r w:rsidR="002530D8"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سبيل</w:t>
      </w:r>
      <w:r w:rsidRPr="00904FCB">
        <w:rPr>
          <w:rFonts w:ascii="Times New Roman" w:hAnsi="Times New Roman"/>
          <w:sz w:val="27"/>
          <w:rtl/>
          <w:lang w:bidi="fa-IR"/>
        </w:rPr>
        <w:t xml:space="preserve"> </w:t>
      </w:r>
      <w:r w:rsidRPr="00904FCB">
        <w:rPr>
          <w:rFonts w:ascii="Times New Roman" w:hAnsi="Times New Roman" w:hint="cs"/>
          <w:sz w:val="27"/>
          <w:rtl/>
          <w:lang w:bidi="fa-IR"/>
        </w:rPr>
        <w:t>المثال</w:t>
      </w:r>
      <w:r w:rsidR="002530D8"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002530D8" w:rsidRPr="00904FCB">
        <w:rPr>
          <w:rFonts w:ascii="Times New Roman" w:hAnsi="Times New Roman" w:hint="cs"/>
          <w:sz w:val="27"/>
          <w:rtl/>
          <w:lang w:bidi="fa-IR"/>
        </w:rPr>
        <w:t>قسَّم السيد</w:t>
      </w:r>
      <w:r w:rsidRPr="00904FCB">
        <w:rPr>
          <w:rFonts w:ascii="Times New Roman" w:hAnsi="Times New Roman"/>
          <w:sz w:val="27"/>
          <w:rtl/>
          <w:lang w:bidi="fa-IR"/>
        </w:rPr>
        <w:t xml:space="preserve"> </w:t>
      </w:r>
      <w:r w:rsidRPr="00904FCB">
        <w:rPr>
          <w:rFonts w:ascii="Times New Roman" w:hAnsi="Times New Roman" w:hint="cs"/>
          <w:sz w:val="27"/>
          <w:rtl/>
          <w:lang w:bidi="fa-IR"/>
        </w:rPr>
        <w:t>السيستاني</w:t>
      </w:r>
      <w:r w:rsidR="002530D8"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بعد</w:t>
      </w:r>
      <w:r w:rsidRPr="00904FCB">
        <w:rPr>
          <w:rFonts w:ascii="Times New Roman" w:hAnsi="Times New Roman"/>
          <w:sz w:val="27"/>
          <w:rtl/>
          <w:lang w:bidi="fa-IR"/>
        </w:rPr>
        <w:t xml:space="preserve"> </w:t>
      </w:r>
      <w:r w:rsidRPr="00904FCB">
        <w:rPr>
          <w:rFonts w:ascii="Times New Roman" w:hAnsi="Times New Roman" w:hint="cs"/>
          <w:sz w:val="27"/>
          <w:rtl/>
          <w:lang w:bidi="fa-IR"/>
        </w:rPr>
        <w:t>بيان</w:t>
      </w:r>
      <w:r w:rsidRPr="00904FCB">
        <w:rPr>
          <w:rFonts w:ascii="Times New Roman" w:hAnsi="Times New Roman"/>
          <w:sz w:val="27"/>
          <w:rtl/>
          <w:lang w:bidi="fa-IR"/>
        </w:rPr>
        <w:t xml:space="preserve"> </w:t>
      </w:r>
      <w:r w:rsidRPr="00904FCB">
        <w:rPr>
          <w:rFonts w:ascii="Times New Roman" w:hAnsi="Times New Roman" w:hint="cs"/>
          <w:sz w:val="27"/>
          <w:rtl/>
          <w:lang w:bidi="fa-IR"/>
        </w:rPr>
        <w:t>ملاك</w:t>
      </w:r>
      <w:r w:rsidRPr="00904FCB">
        <w:rPr>
          <w:rFonts w:ascii="Times New Roman" w:hAnsi="Times New Roman"/>
          <w:sz w:val="27"/>
          <w:rtl/>
          <w:lang w:bidi="fa-IR"/>
        </w:rPr>
        <w:t xml:space="preserve"> </w:t>
      </w:r>
      <w:r w:rsidRPr="00904FCB">
        <w:rPr>
          <w:rFonts w:ascii="Times New Roman" w:hAnsi="Times New Roman" w:hint="cs"/>
          <w:sz w:val="27"/>
          <w:rtl/>
          <w:lang w:bidi="fa-IR"/>
        </w:rPr>
        <w:t>ومعيار</w:t>
      </w:r>
      <w:r w:rsidRPr="00904FCB">
        <w:rPr>
          <w:rFonts w:ascii="Times New Roman" w:hAnsi="Times New Roman"/>
          <w:sz w:val="27"/>
          <w:rtl/>
          <w:lang w:bidi="fa-IR"/>
        </w:rPr>
        <w:t xml:space="preserve"> </w:t>
      </w:r>
      <w:r w:rsidRPr="00904FCB">
        <w:rPr>
          <w:rFonts w:ascii="Times New Roman" w:hAnsi="Times New Roman" w:hint="cs"/>
          <w:sz w:val="27"/>
          <w:rtl/>
          <w:lang w:bidi="fa-IR"/>
        </w:rPr>
        <w:t>المرحلة، و</w:t>
      </w:r>
      <w:r w:rsidRPr="00904FCB">
        <w:rPr>
          <w:rFonts w:ascii="Times New Roman" w:hAnsi="Times New Roman"/>
          <w:sz w:val="27"/>
          <w:rtl/>
          <w:lang w:bidi="fa-IR"/>
        </w:rPr>
        <w:t>الق</w:t>
      </w:r>
      <w:r w:rsidRPr="00904FCB">
        <w:rPr>
          <w:rFonts w:ascii="Times New Roman" w:hAnsi="Times New Roman" w:hint="cs"/>
          <w:sz w:val="27"/>
          <w:rtl/>
          <w:lang w:bidi="fa-IR"/>
        </w:rPr>
        <w:t>يود</w:t>
      </w:r>
      <w:r w:rsidRPr="00904FCB">
        <w:rPr>
          <w:rFonts w:ascii="Times New Roman" w:hAnsi="Times New Roman"/>
          <w:sz w:val="27"/>
          <w:rtl/>
          <w:lang w:bidi="fa-IR"/>
        </w:rPr>
        <w:t xml:space="preserve"> </w:t>
      </w:r>
      <w:r w:rsidRPr="00904FCB">
        <w:rPr>
          <w:rFonts w:ascii="Times New Roman" w:hAnsi="Times New Roman" w:hint="cs"/>
          <w:sz w:val="27"/>
          <w:rtl/>
          <w:lang w:bidi="fa-IR"/>
        </w:rPr>
        <w:t>الخاصّة</w:t>
      </w:r>
      <w:r w:rsidRPr="00904FCB">
        <w:rPr>
          <w:rFonts w:ascii="Times New Roman" w:hAnsi="Times New Roman"/>
          <w:sz w:val="27"/>
          <w:rtl/>
          <w:lang w:bidi="fa-IR"/>
        </w:rPr>
        <w:t xml:space="preserve"> </w:t>
      </w:r>
      <w:r w:rsidRPr="00904FCB">
        <w:rPr>
          <w:rFonts w:ascii="Times New Roman" w:hAnsi="Times New Roman" w:hint="cs"/>
          <w:sz w:val="27"/>
          <w:rtl/>
          <w:lang w:bidi="fa-IR"/>
        </w:rPr>
        <w:t>ببروز</w:t>
      </w:r>
      <w:r w:rsidRPr="00904FCB">
        <w:rPr>
          <w:rFonts w:ascii="Times New Roman" w:hAnsi="Times New Roman"/>
          <w:sz w:val="27"/>
          <w:rtl/>
          <w:lang w:bidi="fa-IR"/>
        </w:rPr>
        <w:t xml:space="preserve"> </w:t>
      </w:r>
      <w:r w:rsidRPr="00904FCB">
        <w:rPr>
          <w:rFonts w:ascii="Times New Roman" w:hAnsi="Times New Roman" w:hint="cs"/>
          <w:sz w:val="27"/>
          <w:rtl/>
          <w:lang w:bidi="fa-IR"/>
        </w:rPr>
        <w:t>وظهور</w:t>
      </w:r>
      <w:r w:rsidRPr="00904FCB">
        <w:rPr>
          <w:rFonts w:ascii="Times New Roman" w:hAnsi="Times New Roman"/>
          <w:sz w:val="27"/>
          <w:rtl/>
          <w:lang w:bidi="fa-IR"/>
        </w:rPr>
        <w:t xml:space="preserve"> </w:t>
      </w:r>
      <w:r w:rsidRPr="00904FCB">
        <w:rPr>
          <w:rFonts w:ascii="Times New Roman" w:hAnsi="Times New Roman" w:hint="cs"/>
          <w:sz w:val="27"/>
          <w:rtl/>
          <w:lang w:bidi="fa-IR"/>
        </w:rPr>
        <w:t>النظريات و</w:t>
      </w:r>
      <w:r w:rsidRPr="00904FCB">
        <w:rPr>
          <w:rFonts w:ascii="Times New Roman" w:hAnsi="Times New Roman"/>
          <w:sz w:val="27"/>
          <w:rtl/>
          <w:lang w:bidi="fa-IR"/>
        </w:rPr>
        <w:t>الآراء الجد</w:t>
      </w:r>
      <w:r w:rsidRPr="00904FCB">
        <w:rPr>
          <w:rFonts w:ascii="Times New Roman" w:hAnsi="Times New Roman" w:hint="cs"/>
          <w:sz w:val="27"/>
          <w:rtl/>
          <w:lang w:bidi="fa-IR"/>
        </w:rPr>
        <w:t>يدة</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امتداد</w:t>
      </w:r>
      <w:r w:rsidRPr="00904FCB">
        <w:rPr>
          <w:rFonts w:ascii="Times New Roman" w:hAnsi="Times New Roman"/>
          <w:sz w:val="27"/>
          <w:rtl/>
          <w:lang w:bidi="fa-IR"/>
        </w:rPr>
        <w:t xml:space="preserve"> </w:t>
      </w:r>
      <w:r w:rsidRPr="00904FCB">
        <w:rPr>
          <w:rFonts w:ascii="Times New Roman" w:hAnsi="Times New Roman" w:hint="cs"/>
          <w:sz w:val="27"/>
          <w:rtl/>
          <w:lang w:bidi="fa-IR"/>
        </w:rPr>
        <w:t>تاريخ</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الأصول، </w:t>
      </w:r>
      <w:r w:rsidR="00321F39"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المراحل</w:t>
      </w:r>
      <w:r w:rsidRPr="00904FCB">
        <w:rPr>
          <w:rFonts w:ascii="Times New Roman" w:hAnsi="Times New Roman"/>
          <w:sz w:val="27"/>
          <w:rtl/>
          <w:lang w:bidi="fa-IR"/>
        </w:rPr>
        <w:t xml:space="preserve"> </w:t>
      </w:r>
      <w:r w:rsidRPr="00904FCB">
        <w:rPr>
          <w:rFonts w:ascii="Times New Roman" w:hAnsi="Times New Roman" w:hint="cs"/>
          <w:sz w:val="27"/>
          <w:rtl/>
          <w:lang w:bidi="fa-IR"/>
        </w:rPr>
        <w:t>التالية</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b/>
          <w:bCs/>
          <w:sz w:val="27"/>
          <w:rtl/>
          <w:lang w:bidi="fa-IR"/>
        </w:rPr>
        <w:t>الأول</w:t>
      </w:r>
      <w:r w:rsidRPr="00904FCB">
        <w:rPr>
          <w:rFonts w:ascii="Times New Roman" w:hAnsi="Times New Roman" w:hint="cs"/>
          <w:b/>
          <w:bCs/>
          <w:sz w:val="27"/>
          <w:rtl/>
          <w:lang w:bidi="fa-IR"/>
        </w:rPr>
        <w:t>ى</w:t>
      </w:r>
      <w:r w:rsidRPr="00904FCB">
        <w:rPr>
          <w:rFonts w:ascii="Times New Roman" w:hAnsi="Times New Roman"/>
          <w:sz w:val="27"/>
          <w:rtl/>
          <w:lang w:bidi="fa-IR"/>
        </w:rPr>
        <w:t>: وهي مرحلة ظهور موقف علماء الش</w:t>
      </w:r>
      <w:r w:rsidRPr="00904FCB">
        <w:rPr>
          <w:rFonts w:ascii="Times New Roman" w:hAnsi="Times New Roman" w:hint="cs"/>
          <w:sz w:val="27"/>
          <w:rtl/>
          <w:lang w:bidi="fa-IR"/>
        </w:rPr>
        <w:t>يعة</w:t>
      </w:r>
      <w:r w:rsidRPr="00904FCB">
        <w:rPr>
          <w:rFonts w:ascii="Times New Roman" w:hAnsi="Times New Roman"/>
          <w:sz w:val="27"/>
          <w:rtl/>
          <w:lang w:bidi="fa-IR"/>
        </w:rPr>
        <w:t xml:space="preserve"> </w:t>
      </w:r>
      <w:r w:rsidRPr="00904FCB">
        <w:rPr>
          <w:rFonts w:ascii="Times New Roman" w:hAnsi="Times New Roman" w:hint="cs"/>
          <w:sz w:val="27"/>
          <w:rtl/>
          <w:lang w:bidi="fa-IR"/>
        </w:rPr>
        <w:t>حيال</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Pr="00904FCB">
        <w:rPr>
          <w:rFonts w:ascii="Times New Roman" w:hAnsi="Times New Roman"/>
          <w:sz w:val="27"/>
          <w:rtl/>
          <w:lang w:bidi="fa-IR"/>
        </w:rPr>
        <w:t>مواقف الفكر</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لأه</w:t>
      </w:r>
      <w:r w:rsidRPr="00904FCB">
        <w:rPr>
          <w:rFonts w:ascii="Times New Roman" w:hAnsi="Times New Roman"/>
          <w:sz w:val="27"/>
          <w:rtl/>
          <w:lang w:bidi="fa-IR"/>
        </w:rPr>
        <w:t>ل السنّة. وف</w:t>
      </w:r>
      <w:r w:rsidRPr="00904FCB">
        <w:rPr>
          <w:rFonts w:ascii="Times New Roman" w:hAnsi="Times New Roman" w:hint="cs"/>
          <w:sz w:val="27"/>
          <w:rtl/>
          <w:lang w:bidi="fa-IR"/>
        </w:rPr>
        <w:t>ي</w:t>
      </w:r>
      <w:r w:rsidRPr="00904FCB">
        <w:rPr>
          <w:rFonts w:ascii="Times New Roman" w:hAnsi="Times New Roman"/>
          <w:sz w:val="27"/>
          <w:rtl/>
          <w:lang w:bidi="fa-IR"/>
        </w:rPr>
        <w:t xml:space="preserve"> هذه المرحلة أرس</w:t>
      </w:r>
      <w:r w:rsidR="00321F39"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علماء</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w:t>
      </w:r>
      <w:r w:rsidRPr="00904FCB">
        <w:rPr>
          <w:rFonts w:ascii="Times New Roman" w:hAnsi="Times New Roman" w:hint="cs"/>
          <w:sz w:val="27"/>
          <w:rtl/>
          <w:lang w:bidi="fa-IR"/>
        </w:rPr>
        <w:t>الشيعة</w:t>
      </w:r>
      <w:r w:rsidRPr="00904FCB">
        <w:rPr>
          <w:rFonts w:ascii="Times New Roman" w:hAnsi="Times New Roman"/>
          <w:sz w:val="27"/>
          <w:rtl/>
          <w:lang w:bidi="fa-IR"/>
        </w:rPr>
        <w:t xml:space="preserve"> </w:t>
      </w:r>
      <w:r w:rsidRPr="00904FCB">
        <w:rPr>
          <w:rFonts w:ascii="Times New Roman" w:hAnsi="Times New Roman" w:hint="cs"/>
          <w:sz w:val="27"/>
          <w:rtl/>
          <w:lang w:bidi="fa-IR"/>
        </w:rPr>
        <w:t>أسس</w:t>
      </w:r>
      <w:r w:rsidRPr="00904FCB">
        <w:rPr>
          <w:rFonts w:ascii="Times New Roman" w:hAnsi="Times New Roman"/>
          <w:sz w:val="27"/>
          <w:rtl/>
          <w:lang w:bidi="fa-IR"/>
        </w:rPr>
        <w:t xml:space="preserve"> </w:t>
      </w:r>
      <w:r w:rsidRPr="00904FCB">
        <w:rPr>
          <w:rFonts w:ascii="Times New Roman" w:hAnsi="Times New Roman" w:hint="cs"/>
          <w:sz w:val="27"/>
          <w:rtl/>
          <w:lang w:bidi="fa-IR"/>
        </w:rPr>
        <w:t>وقواعد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w:t>
      </w:r>
      <w:r w:rsidRPr="00904FCB">
        <w:rPr>
          <w:rFonts w:ascii="Times New Roman" w:hAnsi="Times New Roman"/>
          <w:sz w:val="27"/>
          <w:rtl/>
          <w:lang w:bidi="fa-IR"/>
        </w:rPr>
        <w:t>ل، وتمك</w:t>
      </w:r>
      <w:r w:rsidR="00321F39" w:rsidRPr="00904FCB">
        <w:rPr>
          <w:rFonts w:ascii="Times New Roman" w:hAnsi="Times New Roman" w:hint="cs"/>
          <w:sz w:val="27"/>
          <w:rtl/>
          <w:lang w:bidi="fa-IR"/>
        </w:rPr>
        <w:t>َّ</w:t>
      </w:r>
      <w:r w:rsidRPr="00904FCB">
        <w:rPr>
          <w:rFonts w:ascii="Times New Roman" w:hAnsi="Times New Roman"/>
          <w:sz w:val="27"/>
          <w:rtl/>
          <w:lang w:bidi="fa-IR"/>
        </w:rPr>
        <w:t>نوا من وضع مباحثه الأساس</w:t>
      </w:r>
      <w:r w:rsidRPr="00904FCB">
        <w:rPr>
          <w:rFonts w:ascii="Times New Roman" w:hAnsi="Times New Roman" w:hint="cs"/>
          <w:sz w:val="27"/>
          <w:rtl/>
          <w:lang w:bidi="fa-IR"/>
        </w:rPr>
        <w:t>ية، وذلك</w:t>
      </w:r>
      <w:r w:rsidRPr="00904FCB">
        <w:rPr>
          <w:rFonts w:ascii="Times New Roman" w:hAnsi="Times New Roman"/>
          <w:sz w:val="27"/>
          <w:rtl/>
          <w:lang w:bidi="fa-IR"/>
        </w:rPr>
        <w:t xml:space="preserve"> </w:t>
      </w:r>
      <w:r w:rsidRPr="00904FCB">
        <w:rPr>
          <w:rFonts w:ascii="Times New Roman" w:hAnsi="Times New Roman" w:hint="cs"/>
          <w:sz w:val="27"/>
          <w:rtl/>
          <w:lang w:bidi="fa-IR"/>
        </w:rPr>
        <w:t>بعد</w:t>
      </w:r>
      <w:r w:rsidRPr="00904FCB">
        <w:rPr>
          <w:rFonts w:ascii="Times New Roman" w:hAnsi="Times New Roman"/>
          <w:sz w:val="27"/>
          <w:rtl/>
          <w:lang w:bidi="fa-IR"/>
        </w:rPr>
        <w:t xml:space="preserve"> </w:t>
      </w:r>
      <w:r w:rsidRPr="00904FCB">
        <w:rPr>
          <w:rFonts w:ascii="Times New Roman" w:hAnsi="Times New Roman" w:hint="cs"/>
          <w:sz w:val="27"/>
          <w:rtl/>
          <w:lang w:bidi="fa-IR"/>
        </w:rPr>
        <w:t>مخالفتهم</w:t>
      </w:r>
      <w:r w:rsidRPr="00904FCB">
        <w:rPr>
          <w:rFonts w:ascii="Times New Roman" w:hAnsi="Times New Roman"/>
          <w:sz w:val="27"/>
          <w:rtl/>
          <w:lang w:bidi="fa-IR"/>
        </w:rPr>
        <w:t xml:space="preserve"> </w:t>
      </w:r>
      <w:r w:rsidRPr="00904FCB">
        <w:rPr>
          <w:rFonts w:ascii="Times New Roman" w:hAnsi="Times New Roman" w:hint="cs"/>
          <w:sz w:val="27"/>
          <w:rtl/>
          <w:lang w:bidi="fa-IR"/>
        </w:rPr>
        <w:t>للمدارس</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الأصولية</w:t>
      </w:r>
      <w:r w:rsidRPr="00904FCB">
        <w:rPr>
          <w:rFonts w:ascii="Times New Roman" w:hAnsi="Times New Roman"/>
          <w:sz w:val="27"/>
          <w:rtl/>
          <w:lang w:bidi="fa-IR"/>
        </w:rPr>
        <w:t xml:space="preserve"> </w:t>
      </w:r>
      <w:r w:rsidRPr="00904FCB">
        <w:rPr>
          <w:rFonts w:ascii="Times New Roman" w:hAnsi="Times New Roman" w:hint="cs"/>
          <w:sz w:val="27"/>
          <w:rtl/>
          <w:lang w:bidi="fa-IR"/>
        </w:rPr>
        <w:t>السنّية، ولبعض</w:t>
      </w:r>
      <w:r w:rsidRPr="00904FCB">
        <w:rPr>
          <w:rFonts w:ascii="Times New Roman" w:hAnsi="Times New Roman"/>
          <w:sz w:val="27"/>
          <w:rtl/>
          <w:lang w:bidi="fa-IR"/>
        </w:rPr>
        <w:t xml:space="preserve"> </w:t>
      </w:r>
      <w:r w:rsidRPr="00904FCB">
        <w:rPr>
          <w:rFonts w:ascii="Times New Roman" w:hAnsi="Times New Roman" w:hint="cs"/>
          <w:sz w:val="27"/>
          <w:rtl/>
          <w:lang w:bidi="fa-IR"/>
        </w:rPr>
        <w:t>فقهاء</w:t>
      </w:r>
      <w:r w:rsidRPr="00904FCB">
        <w:rPr>
          <w:rFonts w:ascii="Times New Roman" w:hAnsi="Times New Roman"/>
          <w:sz w:val="27"/>
          <w:rtl/>
          <w:lang w:bidi="fa-IR"/>
        </w:rPr>
        <w:t xml:space="preserve"> </w:t>
      </w:r>
      <w:r w:rsidRPr="00904FCB">
        <w:rPr>
          <w:rFonts w:ascii="Times New Roman" w:hAnsi="Times New Roman" w:hint="cs"/>
          <w:sz w:val="27"/>
          <w:rtl/>
          <w:lang w:bidi="fa-IR"/>
        </w:rPr>
        <w:t>الشيعة</w:t>
      </w:r>
      <w:r w:rsidRPr="00904FCB">
        <w:rPr>
          <w:rFonts w:ascii="Times New Roman" w:hAnsi="Times New Roman"/>
          <w:sz w:val="27"/>
          <w:rtl/>
          <w:lang w:bidi="fa-IR"/>
        </w:rPr>
        <w:t xml:space="preserve"> </w:t>
      </w:r>
      <w:r w:rsidRPr="00904FCB">
        <w:rPr>
          <w:rFonts w:ascii="Times New Roman" w:hAnsi="Times New Roman" w:hint="cs"/>
          <w:sz w:val="27"/>
          <w:rtl/>
          <w:lang w:bidi="fa-IR"/>
        </w:rPr>
        <w:t>المتأثّ</w:t>
      </w:r>
      <w:r w:rsidR="00321F39" w:rsidRPr="00904FCB">
        <w:rPr>
          <w:rFonts w:ascii="Times New Roman" w:hAnsi="Times New Roman" w:hint="cs"/>
          <w:sz w:val="27"/>
          <w:rtl/>
          <w:lang w:bidi="fa-IR"/>
        </w:rPr>
        <w:t>ِ</w:t>
      </w:r>
      <w:r w:rsidRPr="00904FCB">
        <w:rPr>
          <w:rFonts w:ascii="Times New Roman" w:hAnsi="Times New Roman" w:hint="cs"/>
          <w:sz w:val="27"/>
          <w:rtl/>
          <w:lang w:bidi="fa-IR"/>
        </w:rPr>
        <w:t>رين</w:t>
      </w:r>
      <w:r w:rsidRPr="00904FCB">
        <w:rPr>
          <w:rFonts w:ascii="Times New Roman" w:hAnsi="Times New Roman"/>
          <w:sz w:val="27"/>
          <w:rtl/>
          <w:lang w:bidi="fa-IR"/>
        </w:rPr>
        <w:t xml:space="preserve"> </w:t>
      </w:r>
      <w:r w:rsidRPr="00904FCB">
        <w:rPr>
          <w:rFonts w:ascii="Times New Roman" w:hAnsi="Times New Roman" w:hint="cs"/>
          <w:sz w:val="27"/>
          <w:rtl/>
          <w:lang w:bidi="fa-IR"/>
        </w:rPr>
        <w:t>بهم، من</w:t>
      </w:r>
      <w:r w:rsidRPr="00904FCB">
        <w:rPr>
          <w:rFonts w:ascii="Times New Roman" w:hAnsi="Times New Roman"/>
          <w:sz w:val="27"/>
          <w:rtl/>
          <w:lang w:bidi="fa-IR"/>
        </w:rPr>
        <w:t xml:space="preserve"> </w:t>
      </w:r>
      <w:r w:rsidRPr="00904FCB">
        <w:rPr>
          <w:rFonts w:ascii="Times New Roman" w:hAnsi="Times New Roman" w:hint="cs"/>
          <w:sz w:val="27"/>
          <w:rtl/>
          <w:lang w:bidi="fa-IR"/>
        </w:rPr>
        <w:t>قبيل</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ابن</w:t>
      </w:r>
      <w:r w:rsidRPr="00904FCB">
        <w:rPr>
          <w:rFonts w:ascii="Times New Roman" w:hAnsi="Times New Roman"/>
          <w:sz w:val="27"/>
          <w:rtl/>
          <w:lang w:bidi="fa-IR"/>
        </w:rPr>
        <w:t xml:space="preserve"> </w:t>
      </w:r>
      <w:r w:rsidRPr="00904FCB">
        <w:rPr>
          <w:rFonts w:ascii="Times New Roman" w:hAnsi="Times New Roman" w:hint="cs"/>
          <w:sz w:val="27"/>
          <w:rtl/>
          <w:lang w:bidi="fa-IR"/>
        </w:rPr>
        <w:t>الجنيد</w:t>
      </w:r>
      <w:r w:rsidRPr="00904FCB">
        <w:rPr>
          <w:rFonts w:ascii="Times New Roman" w:hAnsi="Times New Roman"/>
          <w:sz w:val="27"/>
          <w:rtl/>
          <w:lang w:bidi="fa-IR"/>
        </w:rPr>
        <w:t xml:space="preserve">. </w:t>
      </w:r>
      <w:r w:rsidRPr="00904FCB">
        <w:rPr>
          <w:rFonts w:ascii="Times New Roman" w:hAnsi="Times New Roman" w:hint="cs"/>
          <w:sz w:val="27"/>
          <w:rtl/>
          <w:lang w:bidi="fa-IR"/>
        </w:rPr>
        <w:t>وتمك</w:t>
      </w:r>
      <w:r w:rsidR="00321F39" w:rsidRPr="00904FCB">
        <w:rPr>
          <w:rFonts w:ascii="Times New Roman" w:hAnsi="Times New Roman" w:hint="cs"/>
          <w:sz w:val="27"/>
          <w:rtl/>
          <w:lang w:bidi="fa-IR"/>
        </w:rPr>
        <w:t>َّ</w:t>
      </w:r>
      <w:r w:rsidRPr="00904FCB">
        <w:rPr>
          <w:rFonts w:ascii="Times New Roman" w:hAnsi="Times New Roman" w:hint="cs"/>
          <w:sz w:val="27"/>
          <w:rtl/>
          <w:lang w:bidi="fa-IR"/>
        </w:rPr>
        <w:t>نوا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هذه المرحلة من نقد بعض المباحث الأصول</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السنّية</w:t>
      </w:r>
      <w:r w:rsidRPr="00904FCB">
        <w:rPr>
          <w:rFonts w:ascii="Times New Roman" w:hAnsi="Times New Roman"/>
          <w:sz w:val="27"/>
          <w:rtl/>
          <w:lang w:bidi="fa-IR"/>
        </w:rPr>
        <w:t xml:space="preserve"> </w:t>
      </w:r>
      <w:r w:rsidRPr="00904FCB">
        <w:rPr>
          <w:rFonts w:ascii="Times New Roman" w:hAnsi="Times New Roman" w:hint="cs"/>
          <w:sz w:val="27"/>
          <w:rtl/>
          <w:lang w:bidi="fa-IR"/>
        </w:rPr>
        <w:t>الخاطئة</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كالقياس</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b/>
          <w:bCs/>
          <w:sz w:val="27"/>
          <w:rtl/>
          <w:lang w:bidi="fa-IR"/>
        </w:rPr>
        <w:t>الثان</w:t>
      </w:r>
      <w:r w:rsidRPr="00904FCB">
        <w:rPr>
          <w:rFonts w:ascii="Times New Roman" w:hAnsi="Times New Roman" w:hint="cs"/>
          <w:b/>
          <w:bCs/>
          <w:sz w:val="27"/>
          <w:rtl/>
          <w:lang w:bidi="fa-IR"/>
        </w:rPr>
        <w:t>ية</w:t>
      </w:r>
      <w:r w:rsidRPr="00904FCB">
        <w:rPr>
          <w:rFonts w:ascii="Times New Roman" w:hAnsi="Times New Roman"/>
          <w:sz w:val="27"/>
          <w:rtl/>
          <w:lang w:bidi="fa-IR"/>
        </w:rPr>
        <w:t>: وهي مرحلة المواجهة ب</w:t>
      </w:r>
      <w:r w:rsidRPr="00904FCB">
        <w:rPr>
          <w:rFonts w:ascii="Times New Roman" w:hAnsi="Times New Roman" w:hint="cs"/>
          <w:sz w:val="27"/>
          <w:rtl/>
          <w:lang w:bidi="fa-IR"/>
        </w:rPr>
        <w:t>ين</w:t>
      </w:r>
      <w:r w:rsidRPr="00904FCB">
        <w:rPr>
          <w:rFonts w:ascii="Times New Roman" w:hAnsi="Times New Roman"/>
          <w:sz w:val="27"/>
          <w:rtl/>
          <w:lang w:bidi="fa-IR"/>
        </w:rPr>
        <w:t xml:space="preserve"> علماء الأصول والأخبار</w:t>
      </w:r>
      <w:r w:rsidRPr="00904FCB">
        <w:rPr>
          <w:rFonts w:ascii="Times New Roman" w:hAnsi="Times New Roman" w:hint="cs"/>
          <w:sz w:val="27"/>
          <w:rtl/>
          <w:lang w:bidi="fa-IR"/>
        </w:rPr>
        <w:t>يين</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الذين</w:t>
      </w:r>
      <w:r w:rsidRPr="00904FCB">
        <w:rPr>
          <w:rFonts w:ascii="Times New Roman" w:hAnsi="Times New Roman"/>
          <w:sz w:val="27"/>
          <w:rtl/>
          <w:lang w:bidi="fa-IR"/>
        </w:rPr>
        <w:t xml:space="preserve"> </w:t>
      </w:r>
      <w:r w:rsidRPr="00904FCB">
        <w:rPr>
          <w:rFonts w:ascii="Times New Roman" w:hAnsi="Times New Roman" w:hint="cs"/>
          <w:sz w:val="27"/>
          <w:rtl/>
          <w:lang w:bidi="fa-IR"/>
        </w:rPr>
        <w:t>كان</w:t>
      </w:r>
      <w:r w:rsidRPr="00904FCB">
        <w:rPr>
          <w:rFonts w:ascii="Times New Roman" w:hAnsi="Times New Roman"/>
          <w:sz w:val="27"/>
          <w:rtl/>
          <w:lang w:bidi="fa-IR"/>
        </w:rPr>
        <w:t xml:space="preserve"> على </w:t>
      </w:r>
      <w:r w:rsidRPr="00904FCB">
        <w:rPr>
          <w:rFonts w:ascii="Times New Roman" w:hAnsi="Times New Roman" w:hint="cs"/>
          <w:sz w:val="27"/>
          <w:rtl/>
          <w:lang w:bidi="fa-IR"/>
        </w:rPr>
        <w:t>رأسهم</w:t>
      </w:r>
      <w:r w:rsidRPr="00904FCB">
        <w:rPr>
          <w:rFonts w:ascii="Times New Roman" w:hAnsi="Times New Roman"/>
          <w:sz w:val="27"/>
          <w:rtl/>
          <w:lang w:bidi="fa-IR"/>
        </w:rPr>
        <w:t xml:space="preserve"> </w:t>
      </w:r>
      <w:r w:rsidR="00321F39" w:rsidRPr="00904FCB">
        <w:rPr>
          <w:rFonts w:ascii="Times New Roman" w:hAnsi="Times New Roman" w:hint="cs"/>
          <w:sz w:val="27"/>
          <w:rtl/>
          <w:lang w:bidi="fa-IR"/>
        </w:rPr>
        <w:t>المل</w:t>
      </w:r>
      <w:r w:rsidRPr="00904FCB">
        <w:rPr>
          <w:rFonts w:ascii="Times New Roman" w:hAnsi="Times New Roman" w:hint="cs"/>
          <w:sz w:val="27"/>
          <w:rtl/>
          <w:lang w:bidi="fa-IR"/>
        </w:rPr>
        <w:t>ا</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أحمد</w:t>
      </w:r>
      <w:r w:rsidRPr="00904FCB">
        <w:rPr>
          <w:rFonts w:ascii="Times New Roman" w:hAnsi="Times New Roman"/>
          <w:sz w:val="27"/>
          <w:rtl/>
          <w:lang w:bidi="fa-IR"/>
        </w:rPr>
        <w:t xml:space="preserve"> </w:t>
      </w:r>
      <w:r w:rsidRPr="00904FCB">
        <w:rPr>
          <w:rFonts w:ascii="Times New Roman" w:hAnsi="Times New Roman" w:hint="cs"/>
          <w:sz w:val="27"/>
          <w:rtl/>
          <w:lang w:bidi="fa-IR"/>
        </w:rPr>
        <w:t>أمين</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00321F39" w:rsidRPr="00904FCB">
        <w:rPr>
          <w:rFonts w:ascii="Times New Roman" w:hAnsi="Times New Roman" w:hint="cs"/>
          <w:sz w:val="27"/>
          <w:rtl/>
          <w:lang w:bidi="fa-IR"/>
        </w:rPr>
        <w:t>إ</w:t>
      </w:r>
      <w:r w:rsidRPr="00904FCB">
        <w:rPr>
          <w:rFonts w:ascii="Times New Roman" w:hAnsi="Times New Roman" w:hint="cs"/>
          <w:sz w:val="27"/>
          <w:rtl/>
          <w:lang w:bidi="fa-IR"/>
        </w:rPr>
        <w:t>ستر</w:t>
      </w:r>
      <w:r w:rsidR="00321F39" w:rsidRPr="00904FCB">
        <w:rPr>
          <w:rFonts w:ascii="Times New Roman" w:hAnsi="Times New Roman" w:hint="cs"/>
          <w:sz w:val="27"/>
          <w:rtl/>
          <w:lang w:bidi="fa-IR"/>
        </w:rPr>
        <w:t>آ</w:t>
      </w:r>
      <w:r w:rsidRPr="00904FCB">
        <w:rPr>
          <w:rFonts w:ascii="Times New Roman" w:hAnsi="Times New Roman" w:hint="cs"/>
          <w:sz w:val="27"/>
          <w:rtl/>
          <w:lang w:bidi="fa-IR"/>
        </w:rPr>
        <w:t>بادي</w:t>
      </w:r>
      <w:r w:rsidRPr="00904FCB">
        <w:rPr>
          <w:rFonts w:ascii="Times New Roman" w:hAnsi="Times New Roman"/>
          <w:sz w:val="27"/>
          <w:rtl/>
          <w:lang w:bidi="fa-IR"/>
        </w:rPr>
        <w:t xml:space="preserve">. </w:t>
      </w:r>
      <w:r w:rsidRPr="00904FCB">
        <w:rPr>
          <w:rFonts w:ascii="Times New Roman" w:hAnsi="Times New Roman" w:hint="cs"/>
          <w:sz w:val="27"/>
          <w:rtl/>
          <w:lang w:bidi="fa-IR"/>
        </w:rPr>
        <w:t>وفي</w:t>
      </w:r>
      <w:r w:rsidRPr="00904FCB">
        <w:rPr>
          <w:rFonts w:ascii="Times New Roman" w:hAnsi="Times New Roman"/>
          <w:sz w:val="27"/>
          <w:rtl/>
          <w:lang w:bidi="fa-IR"/>
        </w:rPr>
        <w:t xml:space="preserve"> هذه المرحلة تمّ تطو</w:t>
      </w:r>
      <w:r w:rsidRPr="00904FCB">
        <w:rPr>
          <w:rFonts w:ascii="Times New Roman" w:hAnsi="Times New Roman" w:hint="cs"/>
          <w:sz w:val="27"/>
          <w:rtl/>
          <w:lang w:bidi="fa-IR"/>
        </w:rPr>
        <w:t>ير</w:t>
      </w:r>
      <w:r w:rsidR="00321F39" w:rsidRPr="00904FCB">
        <w:rPr>
          <w:rFonts w:ascii="Times New Roman" w:hAnsi="Times New Roman" w:hint="cs"/>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w:t>
      </w:r>
      <w:r w:rsidRPr="00904FCB">
        <w:rPr>
          <w:rFonts w:ascii="Times New Roman" w:hAnsi="Times New Roman" w:hint="cs"/>
          <w:sz w:val="27"/>
          <w:rtl/>
          <w:lang w:bidi="fa-IR"/>
        </w:rPr>
        <w:t>ورفع</w:t>
      </w:r>
      <w:r w:rsidRPr="00904FCB">
        <w:rPr>
          <w:rFonts w:ascii="Times New Roman" w:hAnsi="Times New Roman"/>
          <w:sz w:val="27"/>
          <w:rtl/>
          <w:lang w:bidi="fa-IR"/>
        </w:rPr>
        <w:t xml:space="preserve"> </w:t>
      </w:r>
      <w:r w:rsidRPr="00904FCB">
        <w:rPr>
          <w:rFonts w:ascii="Times New Roman" w:hAnsi="Times New Roman" w:hint="cs"/>
          <w:sz w:val="27"/>
          <w:rtl/>
          <w:lang w:bidi="fa-IR"/>
        </w:rPr>
        <w:t>مستواه</w:t>
      </w:r>
      <w:r w:rsidRPr="00904FCB">
        <w:rPr>
          <w:rFonts w:ascii="Times New Roman" w:hAnsi="Times New Roman"/>
          <w:sz w:val="27"/>
          <w:rtl/>
          <w:lang w:bidi="fa-IR"/>
        </w:rPr>
        <w:t xml:space="preserve"> على </w:t>
      </w:r>
      <w:r w:rsidRPr="00904FCB">
        <w:rPr>
          <w:rFonts w:ascii="Times New Roman" w:hAnsi="Times New Roman" w:hint="cs"/>
          <w:sz w:val="27"/>
          <w:rtl/>
          <w:lang w:bidi="fa-IR"/>
        </w:rPr>
        <w:t>يد</w:t>
      </w:r>
      <w:r w:rsidRPr="00904FCB">
        <w:rPr>
          <w:rFonts w:ascii="Times New Roman" w:hAnsi="Times New Roman"/>
          <w:sz w:val="27"/>
          <w:rtl/>
          <w:lang w:bidi="fa-IR"/>
        </w:rPr>
        <w:t xml:space="preserve"> </w:t>
      </w:r>
      <w:r w:rsidRPr="00904FCB">
        <w:rPr>
          <w:rFonts w:ascii="Times New Roman" w:hAnsi="Times New Roman" w:hint="cs"/>
          <w:sz w:val="27"/>
          <w:rtl/>
          <w:lang w:bidi="fa-IR"/>
        </w:rPr>
        <w:t>كبار</w:t>
      </w:r>
      <w:r w:rsidR="00321F39" w:rsidRPr="00904FCB">
        <w:rPr>
          <w:rFonts w:ascii="Times New Roman" w:hAnsi="Times New Roman" w:hint="cs"/>
          <w:sz w:val="27"/>
          <w:rtl/>
          <w:lang w:bidi="fa-IR"/>
        </w:rPr>
        <w:t xml:space="preserve"> </w:t>
      </w:r>
      <w:r w:rsidRPr="00904FCB">
        <w:rPr>
          <w:rFonts w:ascii="Times New Roman" w:hAnsi="Times New Roman" w:hint="cs"/>
          <w:sz w:val="27"/>
          <w:rtl/>
          <w:lang w:bidi="fa-IR"/>
        </w:rPr>
        <w:t>علماء</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 أمثال</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الوحيد</w:t>
      </w:r>
      <w:r w:rsidRPr="00904FCB">
        <w:rPr>
          <w:rFonts w:ascii="Times New Roman" w:hAnsi="Times New Roman"/>
          <w:sz w:val="27"/>
          <w:rtl/>
          <w:lang w:bidi="fa-IR"/>
        </w:rPr>
        <w:t xml:space="preserve"> </w:t>
      </w:r>
      <w:r w:rsidRPr="00904FCB">
        <w:rPr>
          <w:rFonts w:ascii="Times New Roman" w:hAnsi="Times New Roman" w:hint="cs"/>
          <w:sz w:val="27"/>
          <w:rtl/>
          <w:lang w:bidi="fa-IR"/>
        </w:rPr>
        <w:t>البهبهاني</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والمحقّ</w:t>
      </w:r>
      <w:r w:rsidR="00321F39" w:rsidRPr="00904FCB">
        <w:rPr>
          <w:rFonts w:ascii="Times New Roman" w:hAnsi="Times New Roman" w:hint="cs"/>
          <w:sz w:val="27"/>
          <w:rtl/>
          <w:lang w:bidi="fa-IR"/>
        </w:rPr>
        <w:t>ِ</w:t>
      </w:r>
      <w:r w:rsidRPr="00904FCB">
        <w:rPr>
          <w:rFonts w:ascii="Times New Roman" w:hAnsi="Times New Roman"/>
          <w:sz w:val="27"/>
          <w:rtl/>
          <w:lang w:bidi="fa-IR"/>
        </w:rPr>
        <w:t>ق القمّ</w:t>
      </w:r>
      <w:r w:rsidRPr="00904FCB">
        <w:rPr>
          <w:rFonts w:ascii="Times New Roman" w:hAnsi="Times New Roman" w:hint="cs"/>
          <w:sz w:val="27"/>
          <w:rtl/>
          <w:lang w:bidi="fa-IR"/>
        </w:rPr>
        <w:t>ي، وصاحب</w:t>
      </w:r>
      <w:r w:rsidRPr="00904FCB">
        <w:rPr>
          <w:rFonts w:ascii="Times New Roman" w:hAnsi="Times New Roman"/>
          <w:sz w:val="27"/>
          <w:rtl/>
          <w:lang w:bidi="fa-IR"/>
        </w:rPr>
        <w:t xml:space="preserve"> </w:t>
      </w:r>
      <w:r w:rsidRPr="00904FCB">
        <w:rPr>
          <w:rFonts w:ascii="Times New Roman" w:hAnsi="Times New Roman" w:hint="cs"/>
          <w:sz w:val="27"/>
          <w:rtl/>
          <w:lang w:bidi="fa-IR"/>
        </w:rPr>
        <w:t>الفصول</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والشيخ</w:t>
      </w:r>
      <w:r w:rsidRPr="00904FCB">
        <w:rPr>
          <w:rFonts w:ascii="Times New Roman" w:hAnsi="Times New Roman"/>
          <w:sz w:val="27"/>
          <w:rtl/>
          <w:lang w:bidi="fa-IR"/>
        </w:rPr>
        <w:t xml:space="preserve"> </w:t>
      </w:r>
      <w:r w:rsidRPr="00904FCB">
        <w:rPr>
          <w:rFonts w:ascii="Times New Roman" w:hAnsi="Times New Roman" w:hint="cs"/>
          <w:sz w:val="27"/>
          <w:rtl/>
          <w:lang w:bidi="fa-IR"/>
        </w:rPr>
        <w:t>الأنصاري</w:t>
      </w:r>
      <w:r w:rsidRPr="00904FCB">
        <w:rPr>
          <w:rFonts w:ascii="Times New Roman" w:hAnsi="Times New Roman"/>
          <w:sz w:val="27"/>
          <w:rtl/>
          <w:lang w:bidi="fa-IR"/>
        </w:rPr>
        <w:t xml:space="preserve">. </w:t>
      </w:r>
    </w:p>
    <w:p w:rsidR="00057E24" w:rsidRPr="00904FCB" w:rsidRDefault="00057E24" w:rsidP="00A8172D">
      <w:pPr>
        <w:spacing w:line="400" w:lineRule="exact"/>
        <w:rPr>
          <w:rFonts w:ascii="Times New Roman" w:hAnsi="Times New Roman"/>
          <w:sz w:val="27"/>
          <w:rtl/>
          <w:lang w:bidi="fa-IR"/>
        </w:rPr>
      </w:pPr>
      <w:r w:rsidRPr="00904FCB">
        <w:rPr>
          <w:rFonts w:ascii="Times New Roman" w:hAnsi="Times New Roman"/>
          <w:b/>
          <w:bCs/>
          <w:sz w:val="27"/>
          <w:rtl/>
          <w:lang w:bidi="fa-IR"/>
        </w:rPr>
        <w:lastRenderedPageBreak/>
        <w:t>الثالثة</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يقول </w:t>
      </w:r>
      <w:r w:rsidRPr="00904FCB">
        <w:rPr>
          <w:rFonts w:ascii="Times New Roman" w:hAnsi="Times New Roman"/>
          <w:sz w:val="27"/>
          <w:rtl/>
          <w:lang w:bidi="fa-IR"/>
        </w:rPr>
        <w:t>الفاضل القائ</w:t>
      </w:r>
      <w:r w:rsidRPr="00904FCB">
        <w:rPr>
          <w:rFonts w:ascii="Times New Roman" w:hAnsi="Times New Roman" w:hint="cs"/>
          <w:sz w:val="27"/>
          <w:rtl/>
          <w:lang w:bidi="fa-IR"/>
        </w:rPr>
        <w:t>يني</w:t>
      </w:r>
      <w:r w:rsidRPr="00904FCB">
        <w:rPr>
          <w:rFonts w:ascii="Times New Roman" w:hAnsi="Times New Roman"/>
          <w:sz w:val="27"/>
          <w:rtl/>
          <w:lang w:bidi="fa-IR"/>
        </w:rPr>
        <w:t xml:space="preserve"> ف</w:t>
      </w:r>
      <w:r w:rsidRPr="00904FCB">
        <w:rPr>
          <w:rFonts w:ascii="Times New Roman" w:hAnsi="Times New Roman" w:hint="cs"/>
          <w:sz w:val="27"/>
          <w:rtl/>
          <w:lang w:bidi="fa-IR"/>
        </w:rPr>
        <w:t>ي</w:t>
      </w:r>
      <w:r w:rsidRPr="00904FCB">
        <w:rPr>
          <w:rFonts w:ascii="Times New Roman" w:hAnsi="Times New Roman"/>
          <w:sz w:val="27"/>
          <w:rtl/>
          <w:lang w:bidi="fa-IR"/>
        </w:rPr>
        <w:t xml:space="preserve"> إحد</w:t>
      </w:r>
      <w:r w:rsidR="00321F39"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كتاباته</w:t>
      </w:r>
      <w:r w:rsidRPr="00904FCB">
        <w:rPr>
          <w:rFonts w:ascii="Times New Roman" w:hAnsi="Times New Roman"/>
          <w:sz w:val="27"/>
          <w:rtl/>
          <w:lang w:bidi="fa-IR"/>
        </w:rPr>
        <w:t xml:space="preserve">: </w:t>
      </w:r>
      <w:r w:rsidRPr="00904FCB">
        <w:rPr>
          <w:rFonts w:ascii="Times New Roman" w:hAnsi="Times New Roman" w:hint="cs"/>
          <w:sz w:val="27"/>
          <w:rtl/>
          <w:lang w:bidi="fa-IR"/>
        </w:rPr>
        <w:t>لقد</w:t>
      </w:r>
      <w:r w:rsidRPr="00904FCB">
        <w:rPr>
          <w:rFonts w:ascii="Times New Roman" w:hAnsi="Times New Roman"/>
          <w:sz w:val="27"/>
          <w:rtl/>
          <w:lang w:bidi="fa-IR"/>
        </w:rPr>
        <w:t xml:space="preserve"> </w:t>
      </w:r>
      <w:r w:rsidRPr="00904FCB">
        <w:rPr>
          <w:rFonts w:ascii="Times New Roman" w:hAnsi="Times New Roman" w:hint="cs"/>
          <w:sz w:val="27"/>
          <w:rtl/>
          <w:lang w:bidi="fa-IR"/>
        </w:rPr>
        <w:t>قسّمنا</w:t>
      </w:r>
      <w:r w:rsidRPr="00904FCB">
        <w:rPr>
          <w:rFonts w:ascii="Times New Roman" w:hAnsi="Times New Roman"/>
          <w:sz w:val="27"/>
          <w:rtl/>
          <w:lang w:bidi="fa-IR"/>
        </w:rPr>
        <w:t xml:space="preserve"> </w:t>
      </w:r>
      <w:r w:rsidRPr="00904FCB">
        <w:rPr>
          <w:rFonts w:ascii="Times New Roman" w:hAnsi="Times New Roman" w:hint="cs"/>
          <w:sz w:val="27"/>
          <w:rtl/>
          <w:lang w:bidi="fa-IR"/>
        </w:rPr>
        <w:t>تاريخ</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w:t>
      </w:r>
      <w:r w:rsidR="00321F39"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أربعة</w:t>
      </w:r>
      <w:r w:rsidRPr="00904FCB">
        <w:rPr>
          <w:rFonts w:ascii="Times New Roman" w:hAnsi="Times New Roman"/>
          <w:sz w:val="27"/>
          <w:rtl/>
          <w:lang w:bidi="fa-IR"/>
        </w:rPr>
        <w:t xml:space="preserve"> </w:t>
      </w:r>
      <w:r w:rsidRPr="00904FCB">
        <w:rPr>
          <w:rFonts w:ascii="Times New Roman" w:hAnsi="Times New Roman" w:hint="cs"/>
          <w:sz w:val="27"/>
          <w:rtl/>
          <w:lang w:bidi="fa-IR"/>
        </w:rPr>
        <w:t>مدارس</w:t>
      </w:r>
      <w:r w:rsidRPr="00904FCB">
        <w:rPr>
          <w:rFonts w:ascii="Times New Roman" w:hAnsi="Times New Roman"/>
          <w:sz w:val="27"/>
          <w:rtl/>
          <w:lang w:bidi="fa-IR"/>
        </w:rPr>
        <w:t xml:space="preserve">: </w:t>
      </w:r>
      <w:r w:rsidRPr="00904FCB">
        <w:rPr>
          <w:rFonts w:ascii="Times New Roman" w:hAnsi="Times New Roman" w:hint="cs"/>
          <w:sz w:val="27"/>
          <w:rtl/>
          <w:lang w:bidi="fa-IR"/>
        </w:rPr>
        <w:t>المدرسة</w:t>
      </w:r>
      <w:r w:rsidRPr="00904FCB">
        <w:rPr>
          <w:rFonts w:ascii="Times New Roman" w:hAnsi="Times New Roman"/>
          <w:sz w:val="27"/>
          <w:rtl/>
          <w:lang w:bidi="fa-IR"/>
        </w:rPr>
        <w:t xml:space="preserve"> </w:t>
      </w:r>
      <w:r w:rsidRPr="00904FCB">
        <w:rPr>
          <w:rFonts w:ascii="Times New Roman" w:hAnsi="Times New Roman" w:hint="cs"/>
          <w:sz w:val="27"/>
          <w:rtl/>
          <w:lang w:bidi="fa-IR"/>
        </w:rPr>
        <w:t>الأول</w:t>
      </w:r>
      <w:r w:rsidR="00321F39"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هي</w:t>
      </w:r>
      <w:r w:rsidRPr="00904FCB">
        <w:rPr>
          <w:rFonts w:ascii="Times New Roman" w:hAnsi="Times New Roman"/>
          <w:sz w:val="27"/>
          <w:rtl/>
          <w:lang w:bidi="fa-IR"/>
        </w:rPr>
        <w:t xml:space="preserve"> مدرسة ما قبل التأل</w:t>
      </w:r>
      <w:r w:rsidRPr="00904FCB">
        <w:rPr>
          <w:rFonts w:ascii="Times New Roman" w:hAnsi="Times New Roman" w:hint="cs"/>
          <w:sz w:val="27"/>
          <w:rtl/>
          <w:lang w:bidi="fa-IR"/>
        </w:rPr>
        <w:t>يف، والتي</w:t>
      </w:r>
      <w:r w:rsidRPr="00904FCB">
        <w:rPr>
          <w:rFonts w:ascii="Times New Roman" w:hAnsi="Times New Roman"/>
          <w:sz w:val="27"/>
          <w:rtl/>
          <w:lang w:bidi="fa-IR"/>
        </w:rPr>
        <w:t xml:space="preserve"> تبدأ</w:t>
      </w:r>
      <w:r w:rsidRPr="00904FCB">
        <w:rPr>
          <w:rFonts w:ascii="Times New Roman" w:hAnsi="Times New Roman" w:hint="cs"/>
          <w:sz w:val="27"/>
          <w:rtl/>
          <w:lang w:bidi="fa-IR"/>
        </w:rPr>
        <w:t xml:space="preserve"> م</w:t>
      </w:r>
      <w:r w:rsidRPr="00904FCB">
        <w:rPr>
          <w:rFonts w:ascii="Times New Roman" w:hAnsi="Times New Roman"/>
          <w:sz w:val="27"/>
          <w:rtl/>
          <w:lang w:bidi="fa-IR"/>
        </w:rPr>
        <w:t>ع تلامذة الإمام</w:t>
      </w:r>
      <w:r w:rsidRPr="00904FCB">
        <w:rPr>
          <w:rFonts w:ascii="Times New Roman" w:hAnsi="Times New Roman" w:hint="cs"/>
          <w:sz w:val="27"/>
          <w:rtl/>
          <w:lang w:bidi="fa-IR"/>
        </w:rPr>
        <w:t>ين</w:t>
      </w:r>
      <w:r w:rsidRPr="00904FCB">
        <w:rPr>
          <w:rFonts w:ascii="Times New Roman" w:hAnsi="Times New Roman"/>
          <w:sz w:val="27"/>
          <w:rtl/>
          <w:lang w:bidi="fa-IR"/>
        </w:rPr>
        <w:t xml:space="preserve"> </w:t>
      </w:r>
      <w:r w:rsidRPr="00904FCB">
        <w:rPr>
          <w:rFonts w:ascii="Times New Roman" w:hAnsi="Times New Roman" w:hint="cs"/>
          <w:sz w:val="27"/>
          <w:rtl/>
          <w:lang w:bidi="fa-IR"/>
        </w:rPr>
        <w:t>الباقر</w:t>
      </w:r>
      <w:r w:rsidRPr="00904FCB">
        <w:rPr>
          <w:rFonts w:ascii="Times New Roman" w:hAnsi="Times New Roman"/>
          <w:sz w:val="27"/>
          <w:rtl/>
          <w:lang w:bidi="fa-IR"/>
        </w:rPr>
        <w:t xml:space="preserve"> </w:t>
      </w:r>
      <w:r w:rsidRPr="00904FCB">
        <w:rPr>
          <w:rFonts w:ascii="Times New Roman" w:hAnsi="Times New Roman" w:hint="cs"/>
          <w:sz w:val="27"/>
          <w:rtl/>
          <w:lang w:bidi="fa-IR"/>
        </w:rPr>
        <w:t>والصادق</w:t>
      </w:r>
      <w:r w:rsidR="00A8172D" w:rsidRPr="00CB2F28">
        <w:rPr>
          <w:rFonts w:ascii="Mosawi" w:hAnsi="Mosawi" w:cs="Mosawi"/>
          <w:sz w:val="22"/>
          <w:szCs w:val="22"/>
          <w:rtl/>
        </w:rPr>
        <w:t>’</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والمدرسة</w:t>
      </w:r>
      <w:r w:rsidRPr="00904FCB">
        <w:rPr>
          <w:rFonts w:ascii="Times New Roman" w:hAnsi="Times New Roman"/>
          <w:sz w:val="27"/>
          <w:rtl/>
          <w:lang w:bidi="fa-IR"/>
        </w:rPr>
        <w:t xml:space="preserve"> </w:t>
      </w:r>
      <w:r w:rsidRPr="00904FCB">
        <w:rPr>
          <w:rFonts w:ascii="Times New Roman" w:hAnsi="Times New Roman" w:hint="cs"/>
          <w:sz w:val="27"/>
          <w:rtl/>
          <w:lang w:bidi="fa-IR"/>
        </w:rPr>
        <w:t>الثانية</w:t>
      </w:r>
      <w:r w:rsidRPr="00904FCB">
        <w:rPr>
          <w:rFonts w:ascii="Times New Roman" w:hAnsi="Times New Roman"/>
          <w:sz w:val="27"/>
          <w:rtl/>
          <w:lang w:bidi="fa-IR"/>
        </w:rPr>
        <w:t xml:space="preserve"> </w:t>
      </w:r>
      <w:r w:rsidRPr="00904FCB">
        <w:rPr>
          <w:rFonts w:ascii="Times New Roman" w:hAnsi="Times New Roman" w:hint="cs"/>
          <w:sz w:val="27"/>
          <w:rtl/>
          <w:lang w:bidi="fa-IR"/>
        </w:rPr>
        <w:t>هي</w:t>
      </w:r>
      <w:r w:rsidRPr="00904FCB">
        <w:rPr>
          <w:rFonts w:ascii="Times New Roman" w:hAnsi="Times New Roman"/>
          <w:sz w:val="27"/>
          <w:rtl/>
          <w:lang w:bidi="fa-IR"/>
        </w:rPr>
        <w:t xml:space="preserve"> بدا</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عصرالتأليف، والتي</w:t>
      </w:r>
      <w:r w:rsidRPr="00904FCB">
        <w:rPr>
          <w:rFonts w:ascii="Times New Roman" w:hAnsi="Times New Roman"/>
          <w:sz w:val="27"/>
          <w:rtl/>
          <w:lang w:bidi="fa-IR"/>
        </w:rPr>
        <w:t xml:space="preserve"> تبدأ مع ابن عق</w:t>
      </w:r>
      <w:r w:rsidRPr="00904FCB">
        <w:rPr>
          <w:rFonts w:ascii="Times New Roman" w:hAnsi="Times New Roman" w:hint="cs"/>
          <w:sz w:val="27"/>
          <w:rtl/>
          <w:lang w:bidi="fa-IR"/>
        </w:rPr>
        <w:t>يل</w:t>
      </w:r>
      <w:r w:rsidRPr="00904FCB">
        <w:rPr>
          <w:rFonts w:ascii="Times New Roman" w:hAnsi="Times New Roman"/>
          <w:sz w:val="27"/>
          <w:rtl/>
          <w:lang w:bidi="fa-IR"/>
        </w:rPr>
        <w:t xml:space="preserve"> و</w:t>
      </w:r>
      <w:r w:rsidRPr="00904FCB">
        <w:rPr>
          <w:rFonts w:ascii="Times New Roman" w:hAnsi="Times New Roman" w:hint="cs"/>
          <w:sz w:val="27"/>
          <w:rtl/>
          <w:lang w:bidi="fa-IR"/>
        </w:rPr>
        <w:t>ابن</w:t>
      </w:r>
      <w:r w:rsidRPr="00904FCB">
        <w:rPr>
          <w:rFonts w:ascii="Times New Roman" w:hAnsi="Times New Roman"/>
          <w:sz w:val="27"/>
          <w:rtl/>
          <w:lang w:bidi="fa-IR"/>
        </w:rPr>
        <w:t xml:space="preserve"> </w:t>
      </w:r>
      <w:r w:rsidRPr="00904FCB">
        <w:rPr>
          <w:rFonts w:ascii="Times New Roman" w:hAnsi="Times New Roman" w:hint="cs"/>
          <w:sz w:val="27"/>
          <w:rtl/>
          <w:lang w:bidi="fa-IR"/>
        </w:rPr>
        <w:t>الجنيد</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والمدرسة</w:t>
      </w:r>
      <w:r w:rsidRPr="00904FCB">
        <w:rPr>
          <w:rFonts w:ascii="Times New Roman" w:hAnsi="Times New Roman"/>
          <w:sz w:val="27"/>
          <w:rtl/>
          <w:lang w:bidi="fa-IR"/>
        </w:rPr>
        <w:t xml:space="preserve"> الثالثة ه</w:t>
      </w:r>
      <w:r w:rsidRPr="00904FCB">
        <w:rPr>
          <w:rFonts w:ascii="Times New Roman" w:hAnsi="Times New Roman" w:hint="cs"/>
          <w:sz w:val="27"/>
          <w:rtl/>
          <w:lang w:bidi="fa-IR"/>
        </w:rPr>
        <w:t>ي</w:t>
      </w:r>
      <w:r w:rsidRPr="00904FCB">
        <w:rPr>
          <w:rFonts w:ascii="Times New Roman" w:hAnsi="Times New Roman"/>
          <w:sz w:val="27"/>
          <w:rtl/>
          <w:lang w:bidi="fa-IR"/>
        </w:rPr>
        <w:t xml:space="preserve"> مرحلة النموّ</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والت</w:t>
      </w:r>
      <w:r w:rsidRPr="00904FCB">
        <w:rPr>
          <w:rFonts w:ascii="Times New Roman" w:hAnsi="Times New Roman" w:hint="cs"/>
          <w:sz w:val="27"/>
          <w:rtl/>
          <w:lang w:bidi="fa-IR"/>
        </w:rPr>
        <w:t>ي</w:t>
      </w:r>
      <w:r w:rsidRPr="00904FCB">
        <w:rPr>
          <w:rFonts w:ascii="Times New Roman" w:hAnsi="Times New Roman"/>
          <w:sz w:val="27"/>
          <w:rtl/>
          <w:lang w:bidi="fa-IR"/>
        </w:rPr>
        <w:t xml:space="preserve"> تبدأ من عصر الش</w:t>
      </w:r>
      <w:r w:rsidRPr="00904FCB">
        <w:rPr>
          <w:rFonts w:ascii="Times New Roman" w:hAnsi="Times New Roman" w:hint="cs"/>
          <w:sz w:val="27"/>
          <w:rtl/>
          <w:lang w:bidi="fa-IR"/>
        </w:rPr>
        <w:t>يخ</w:t>
      </w:r>
      <w:r w:rsidRPr="00904FCB">
        <w:rPr>
          <w:rFonts w:ascii="Times New Roman" w:hAnsi="Times New Roman"/>
          <w:sz w:val="27"/>
          <w:rtl/>
          <w:lang w:bidi="fa-IR"/>
        </w:rPr>
        <w:t xml:space="preserve"> </w:t>
      </w:r>
      <w:r w:rsidRPr="00904FCB">
        <w:rPr>
          <w:rFonts w:ascii="Times New Roman" w:hAnsi="Times New Roman" w:hint="cs"/>
          <w:sz w:val="27"/>
          <w:rtl/>
          <w:lang w:bidi="fa-IR"/>
        </w:rPr>
        <w:t>الطوسي</w:t>
      </w:r>
      <w:r w:rsidR="00321F39" w:rsidRPr="00904FCB">
        <w:rPr>
          <w:rFonts w:ascii="Times New Roman" w:hAnsi="Times New Roman" w:hint="cs"/>
          <w:sz w:val="27"/>
          <w:rtl/>
          <w:lang w:bidi="fa-IR"/>
        </w:rPr>
        <w:t xml:space="preserve">؛ </w:t>
      </w:r>
      <w:r w:rsidRPr="00904FCB">
        <w:rPr>
          <w:rFonts w:ascii="Times New Roman" w:hAnsi="Times New Roman"/>
          <w:sz w:val="27"/>
          <w:rtl/>
          <w:lang w:bidi="fa-IR"/>
        </w:rPr>
        <w:t>والمدرسة‌</w:t>
      </w:r>
      <w:r w:rsidRPr="00904FCB">
        <w:rPr>
          <w:rFonts w:ascii="Times New Roman" w:hAnsi="Times New Roman" w:hint="cs"/>
          <w:sz w:val="27"/>
          <w:rtl/>
          <w:lang w:bidi="fa-IR"/>
        </w:rPr>
        <w:t xml:space="preserve"> </w:t>
      </w:r>
      <w:r w:rsidRPr="00904FCB">
        <w:rPr>
          <w:rFonts w:ascii="Times New Roman" w:hAnsi="Times New Roman"/>
          <w:sz w:val="27"/>
          <w:rtl/>
          <w:lang w:bidi="fa-IR"/>
        </w:rPr>
        <w:t xml:space="preserve">الرابعة هي مرحلة </w:t>
      </w:r>
      <w:r w:rsidRPr="00904FCB">
        <w:rPr>
          <w:rFonts w:ascii="Times New Roman" w:hAnsi="Times New Roman" w:hint="cs"/>
          <w:sz w:val="27"/>
          <w:rtl/>
          <w:lang w:bidi="fa-IR"/>
        </w:rPr>
        <w:t>النموّ</w:t>
      </w:r>
      <w:r w:rsidR="00321F39" w:rsidRPr="00904FCB">
        <w:rPr>
          <w:rFonts w:ascii="Times New Roman" w:hAnsi="Times New Roman" w:hint="cs"/>
          <w:sz w:val="27"/>
          <w:rtl/>
          <w:lang w:bidi="fa-IR"/>
        </w:rPr>
        <w:t>،</w:t>
      </w:r>
      <w:r w:rsidRPr="00904FCB">
        <w:rPr>
          <w:rFonts w:ascii="Times New Roman" w:hAnsi="Times New Roman" w:hint="cs"/>
          <w:sz w:val="27"/>
          <w:rtl/>
          <w:lang w:bidi="fa-IR"/>
        </w:rPr>
        <w:t xml:space="preserve"> والتي</w:t>
      </w:r>
      <w:r w:rsidRPr="00904FCB">
        <w:rPr>
          <w:rFonts w:ascii="Times New Roman" w:hAnsi="Times New Roman"/>
          <w:sz w:val="27"/>
          <w:rtl/>
          <w:lang w:bidi="fa-IR"/>
        </w:rPr>
        <w:t xml:space="preserve"> تب</w:t>
      </w:r>
      <w:r w:rsidRPr="00904FCB">
        <w:rPr>
          <w:rFonts w:ascii="Times New Roman" w:hAnsi="Times New Roman" w:hint="cs"/>
          <w:sz w:val="27"/>
          <w:rtl/>
          <w:lang w:bidi="fa-IR"/>
        </w:rPr>
        <w:t>د</w:t>
      </w:r>
      <w:r w:rsidRPr="00904FCB">
        <w:rPr>
          <w:rFonts w:ascii="Times New Roman" w:hAnsi="Times New Roman"/>
          <w:sz w:val="27"/>
          <w:rtl/>
          <w:lang w:bidi="fa-IR"/>
        </w:rPr>
        <w:t>أ من عصر الوح</w:t>
      </w:r>
      <w:r w:rsidRPr="00904FCB">
        <w:rPr>
          <w:rFonts w:ascii="Times New Roman" w:hAnsi="Times New Roman" w:hint="cs"/>
          <w:sz w:val="27"/>
          <w:rtl/>
          <w:lang w:bidi="fa-IR"/>
        </w:rPr>
        <w:t>يد</w:t>
      </w:r>
      <w:r w:rsidRPr="00904FCB">
        <w:rPr>
          <w:rFonts w:ascii="Times New Roman" w:hAnsi="Times New Roman"/>
          <w:sz w:val="27"/>
          <w:rtl/>
          <w:lang w:bidi="fa-IR"/>
        </w:rPr>
        <w:t xml:space="preserve"> </w:t>
      </w:r>
      <w:r w:rsidRPr="00904FCB">
        <w:rPr>
          <w:rFonts w:ascii="Times New Roman" w:hAnsi="Times New Roman" w:hint="cs"/>
          <w:sz w:val="27"/>
          <w:rtl/>
          <w:lang w:bidi="fa-IR"/>
        </w:rPr>
        <w:t>البهبهاني</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ولا</w:t>
      </w:r>
      <w:r w:rsidR="00321F39" w:rsidRPr="00904FCB">
        <w:rPr>
          <w:rFonts w:ascii="Times New Roman" w:hAnsi="Times New Roman" w:hint="cs"/>
          <w:sz w:val="27"/>
          <w:rtl/>
          <w:lang w:bidi="fa-IR"/>
        </w:rPr>
        <w:t xml:space="preserve"> </w:t>
      </w:r>
      <w:r w:rsidRPr="00904FCB">
        <w:rPr>
          <w:rFonts w:ascii="Times New Roman" w:hAnsi="Times New Roman" w:hint="cs"/>
          <w:sz w:val="27"/>
          <w:rtl/>
          <w:lang w:bidi="fa-IR"/>
        </w:rPr>
        <w:t>تزال</w:t>
      </w:r>
      <w:r w:rsidRPr="00904FCB">
        <w:rPr>
          <w:rFonts w:ascii="Times New Roman" w:hAnsi="Times New Roman"/>
          <w:sz w:val="27"/>
          <w:rtl/>
          <w:lang w:bidi="fa-IR"/>
        </w:rPr>
        <w:t xml:space="preserve"> </w:t>
      </w:r>
      <w:r w:rsidRPr="00904FCB">
        <w:rPr>
          <w:rFonts w:ascii="Times New Roman" w:hAnsi="Times New Roman" w:hint="cs"/>
          <w:sz w:val="27"/>
          <w:rtl/>
          <w:lang w:bidi="fa-IR"/>
        </w:rPr>
        <w:t>مستمّرة</w:t>
      </w:r>
      <w:r w:rsidRPr="00904FCB">
        <w:rPr>
          <w:rFonts w:ascii="Times New Roman" w:hAnsi="Times New Roman"/>
          <w:sz w:val="27"/>
          <w:rtl/>
          <w:lang w:bidi="fa-IR"/>
        </w:rPr>
        <w:t xml:space="preserve"> </w:t>
      </w:r>
      <w:r w:rsidR="00321F39"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عصرنا</w:t>
      </w:r>
      <w:r w:rsidRPr="00904FCB">
        <w:rPr>
          <w:rFonts w:ascii="Times New Roman" w:hAnsi="Times New Roman"/>
          <w:sz w:val="27"/>
          <w:rtl/>
          <w:lang w:bidi="fa-IR"/>
        </w:rPr>
        <w:t xml:space="preserve"> </w:t>
      </w:r>
      <w:r w:rsidRPr="00904FCB">
        <w:rPr>
          <w:rFonts w:ascii="Times New Roman" w:hAnsi="Times New Roman" w:hint="cs"/>
          <w:sz w:val="27"/>
          <w:rtl/>
          <w:lang w:bidi="fa-IR"/>
        </w:rPr>
        <w:t>الحاضر</w:t>
      </w:r>
      <w:r w:rsidRPr="00904FCB">
        <w:rPr>
          <w:rFonts w:ascii="Times New Roman" w:hAnsi="Times New Roman"/>
          <w:sz w:val="27"/>
          <w:rtl/>
          <w:lang w:bidi="fa-IR"/>
        </w:rPr>
        <w:t>. و</w:t>
      </w:r>
      <w:r w:rsidRPr="00904FCB">
        <w:rPr>
          <w:rFonts w:ascii="Times New Roman" w:hAnsi="Times New Roman" w:hint="cs"/>
          <w:sz w:val="27"/>
          <w:rtl/>
          <w:lang w:bidi="fa-IR"/>
        </w:rPr>
        <w:t>قد</w:t>
      </w:r>
      <w:r w:rsidRPr="00904FCB">
        <w:rPr>
          <w:rFonts w:ascii="Times New Roman" w:hAnsi="Times New Roman"/>
          <w:sz w:val="27"/>
          <w:rtl/>
          <w:lang w:bidi="fa-IR"/>
        </w:rPr>
        <w:t xml:space="preserve"> </w:t>
      </w:r>
      <w:r w:rsidRPr="00904FCB">
        <w:rPr>
          <w:rFonts w:ascii="Times New Roman" w:hAnsi="Times New Roman" w:hint="cs"/>
          <w:sz w:val="27"/>
          <w:rtl/>
          <w:lang w:bidi="fa-IR"/>
        </w:rPr>
        <w:t>تجاوزت</w:t>
      </w:r>
      <w:r w:rsidRPr="00904FCB">
        <w:rPr>
          <w:rFonts w:ascii="Times New Roman" w:hAnsi="Times New Roman"/>
          <w:sz w:val="27"/>
          <w:rtl/>
          <w:lang w:bidi="fa-IR"/>
        </w:rPr>
        <w:t xml:space="preserve"> </w:t>
      </w:r>
      <w:r w:rsidRPr="00904FCB">
        <w:rPr>
          <w:rFonts w:ascii="Times New Roman" w:hAnsi="Times New Roman" w:hint="cs"/>
          <w:sz w:val="27"/>
          <w:rtl/>
          <w:lang w:bidi="fa-IR"/>
        </w:rPr>
        <w:t>ثلاث</w:t>
      </w:r>
      <w:r w:rsidRPr="00904FCB">
        <w:rPr>
          <w:rFonts w:ascii="Times New Roman" w:hAnsi="Times New Roman"/>
          <w:sz w:val="27"/>
          <w:rtl/>
          <w:lang w:bidi="fa-IR"/>
        </w:rPr>
        <w:t xml:space="preserve"> </w:t>
      </w:r>
      <w:r w:rsidRPr="00904FCB">
        <w:rPr>
          <w:rFonts w:ascii="Times New Roman" w:hAnsi="Times New Roman" w:hint="cs"/>
          <w:sz w:val="27"/>
          <w:rtl/>
          <w:lang w:bidi="fa-IR"/>
        </w:rPr>
        <w:t>مراحل</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الأقلّ</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هناك مجموعة</w:t>
      </w:r>
      <w:r w:rsidR="00321F39" w:rsidRPr="00904FCB">
        <w:rPr>
          <w:rFonts w:ascii="Times New Roman" w:hAnsi="Times New Roman" w:hint="cs"/>
          <w:sz w:val="27"/>
          <w:rtl/>
          <w:lang w:bidi="fa-IR"/>
        </w:rPr>
        <w:t>ٌ</w:t>
      </w:r>
      <w:r w:rsidRPr="00904FCB">
        <w:rPr>
          <w:rFonts w:ascii="Times New Roman" w:hAnsi="Times New Roman"/>
          <w:sz w:val="27"/>
          <w:rtl/>
          <w:lang w:bidi="fa-IR"/>
        </w:rPr>
        <w:t>‌</w:t>
      </w:r>
      <w:r w:rsidRPr="00904FCB">
        <w:rPr>
          <w:rFonts w:ascii="Times New Roman" w:hAnsi="Times New Roman" w:hint="cs"/>
          <w:sz w:val="27"/>
          <w:rtl/>
          <w:lang w:bidi="fa-IR"/>
        </w:rPr>
        <w:t xml:space="preserve"> </w:t>
      </w:r>
      <w:r w:rsidRPr="00904FCB">
        <w:rPr>
          <w:rFonts w:ascii="Times New Roman" w:hAnsi="Times New Roman"/>
          <w:sz w:val="27"/>
          <w:rtl/>
          <w:lang w:bidi="fa-IR"/>
        </w:rPr>
        <w:t>ثالثة تقسّ</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م مراحل علم الأصول </w:t>
      </w:r>
      <w:r w:rsidR="00321F39"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ثمانية</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ومن</w:t>
      </w:r>
      <w:r w:rsidRPr="00904FCB">
        <w:rPr>
          <w:rFonts w:ascii="Times New Roman" w:hAnsi="Times New Roman"/>
          <w:sz w:val="27"/>
          <w:rtl/>
          <w:lang w:bidi="fa-IR"/>
        </w:rPr>
        <w:t xml:space="preserve"> </w:t>
      </w:r>
      <w:r w:rsidRPr="00904FCB">
        <w:rPr>
          <w:rFonts w:ascii="Times New Roman" w:hAnsi="Times New Roman" w:hint="cs"/>
          <w:sz w:val="27"/>
          <w:rtl/>
          <w:lang w:bidi="fa-IR"/>
        </w:rPr>
        <w:t>ه</w:t>
      </w:r>
      <w:r w:rsidRPr="00904FCB">
        <w:rPr>
          <w:rFonts w:ascii="Times New Roman" w:hAnsi="Times New Roman"/>
          <w:sz w:val="27"/>
          <w:rtl/>
          <w:lang w:bidi="fa-IR"/>
        </w:rPr>
        <w:t>ؤلاء</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أبو</w:t>
      </w:r>
      <w:r w:rsidR="00321F39" w:rsidRPr="00904FCB">
        <w:rPr>
          <w:rFonts w:ascii="Times New Roman" w:hAnsi="Times New Roman" w:hint="cs"/>
          <w:sz w:val="27"/>
          <w:rtl/>
          <w:lang w:bidi="fa-IR"/>
        </w:rPr>
        <w:t xml:space="preserve"> </w:t>
      </w:r>
      <w:r w:rsidRPr="00904FCB">
        <w:rPr>
          <w:rFonts w:ascii="Times New Roman" w:hAnsi="Times New Roman"/>
          <w:sz w:val="27"/>
          <w:rtl/>
          <w:lang w:bidi="fa-IR"/>
        </w:rPr>
        <w:t xml:space="preserve">القاسم </w:t>
      </w:r>
      <w:r w:rsidR="00321F39" w:rsidRPr="00904FCB">
        <w:rPr>
          <w:rFonts w:ascii="Mosawi" w:eastAsiaTheme="minorHAnsi" w:hAnsi="Mosawi" w:cs="Abz-3 (Yagut)"/>
          <w:sz w:val="24"/>
          <w:szCs w:val="24"/>
          <w:rtl/>
        </w:rPr>
        <w:t>گ</w:t>
      </w:r>
      <w:r w:rsidRPr="00904FCB">
        <w:rPr>
          <w:rFonts w:ascii="Mosawi" w:eastAsiaTheme="minorHAnsi" w:hAnsi="Mosawi" w:cs="Abz-3 (Yagut)"/>
          <w:sz w:val="24"/>
          <w:szCs w:val="24"/>
          <w:rtl/>
        </w:rPr>
        <w:t>رج</w:t>
      </w:r>
      <w:r w:rsidRPr="00904FCB">
        <w:rPr>
          <w:rFonts w:ascii="Mosawi" w:eastAsiaTheme="minorHAnsi" w:hAnsi="Mosawi" w:cs="Abz-3 (Yagut)" w:hint="cs"/>
          <w:sz w:val="24"/>
          <w:szCs w:val="24"/>
          <w:rtl/>
        </w:rPr>
        <w:t>ي</w:t>
      </w:r>
      <w:r w:rsidR="00321F39" w:rsidRPr="00904FCB">
        <w:rPr>
          <w:rFonts w:ascii="Mosawi" w:eastAsiaTheme="minorHAnsi" w:hAnsi="Mosawi" w:cs="Abz-3 (Yagut)" w:hint="cs"/>
          <w:sz w:val="24"/>
          <w:szCs w:val="24"/>
          <w:rtl/>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الذي</w:t>
      </w:r>
      <w:r w:rsidRPr="00904FCB">
        <w:rPr>
          <w:rFonts w:ascii="Times New Roman" w:hAnsi="Times New Roman"/>
          <w:sz w:val="27"/>
          <w:rtl/>
          <w:lang w:bidi="fa-IR"/>
        </w:rPr>
        <w:t xml:space="preserve"> </w:t>
      </w:r>
      <w:r w:rsidRPr="00904FCB">
        <w:rPr>
          <w:rFonts w:ascii="Times New Roman" w:hAnsi="Times New Roman" w:hint="cs"/>
          <w:sz w:val="27"/>
          <w:rtl/>
          <w:lang w:bidi="fa-IR"/>
        </w:rPr>
        <w:t>دوّن</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هذا المجال ما</w:t>
      </w:r>
      <w:r w:rsidRPr="00904FCB">
        <w:rPr>
          <w:rFonts w:ascii="Times New Roman" w:hAnsi="Times New Roman" w:hint="cs"/>
          <w:sz w:val="27"/>
          <w:rtl/>
          <w:lang w:bidi="fa-IR"/>
        </w:rPr>
        <w:t xml:space="preserve"> يلي</w:t>
      </w:r>
      <w:r w:rsidRPr="00904FCB">
        <w:rPr>
          <w:rFonts w:ascii="Times New Roman" w:hAnsi="Times New Roman"/>
          <w:sz w:val="27"/>
          <w:rtl/>
          <w:lang w:bidi="fa-IR"/>
        </w:rPr>
        <w:t xml:space="preserve">: </w:t>
      </w:r>
      <w:r w:rsidRPr="00904FCB">
        <w:rPr>
          <w:rFonts w:ascii="Times New Roman" w:hAnsi="Times New Roman" w:hint="cs"/>
          <w:sz w:val="27"/>
          <w:rtl/>
          <w:lang w:bidi="fa-IR"/>
        </w:rPr>
        <w:t>يتصوّ</w:t>
      </w:r>
      <w:r w:rsidR="00321F39" w:rsidRPr="00904FCB">
        <w:rPr>
          <w:rFonts w:ascii="Times New Roman" w:hAnsi="Times New Roman" w:hint="cs"/>
          <w:sz w:val="27"/>
          <w:rtl/>
          <w:lang w:bidi="fa-IR"/>
        </w:rPr>
        <w:t>َ</w:t>
      </w:r>
      <w:r w:rsidRPr="00904FCB">
        <w:rPr>
          <w:rFonts w:ascii="Times New Roman" w:hAnsi="Times New Roman" w:hint="cs"/>
          <w:sz w:val="27"/>
          <w:rtl/>
          <w:lang w:bidi="fa-IR"/>
        </w:rPr>
        <w:t>ر</w:t>
      </w:r>
      <w:r w:rsidRPr="00904FCB">
        <w:rPr>
          <w:rFonts w:ascii="Times New Roman" w:hAnsi="Times New Roman"/>
          <w:sz w:val="27"/>
          <w:rtl/>
          <w:lang w:bidi="fa-IR"/>
        </w:rPr>
        <w:t xml:space="preserve"> </w:t>
      </w:r>
      <w:r w:rsidRPr="00904FCB">
        <w:rPr>
          <w:rFonts w:ascii="Times New Roman" w:hAnsi="Times New Roman" w:hint="cs"/>
          <w:sz w:val="27"/>
          <w:rtl/>
          <w:lang w:bidi="fa-IR"/>
        </w:rPr>
        <w:t>لعلم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امتداد</w:t>
      </w:r>
      <w:r w:rsidRPr="00904FCB">
        <w:rPr>
          <w:rFonts w:ascii="Times New Roman" w:hAnsi="Times New Roman"/>
          <w:sz w:val="27"/>
          <w:rtl/>
          <w:lang w:bidi="fa-IR"/>
        </w:rPr>
        <w:t xml:space="preserve"> </w:t>
      </w:r>
      <w:r w:rsidRPr="00904FCB">
        <w:rPr>
          <w:rFonts w:ascii="Times New Roman" w:hAnsi="Times New Roman" w:hint="cs"/>
          <w:sz w:val="27"/>
          <w:rtl/>
          <w:lang w:bidi="fa-IR"/>
        </w:rPr>
        <w:t>تاريخه</w:t>
      </w:r>
      <w:r w:rsidRPr="00904FCB">
        <w:rPr>
          <w:rFonts w:ascii="Times New Roman" w:hAnsi="Times New Roman"/>
          <w:sz w:val="27"/>
          <w:rtl/>
          <w:lang w:bidi="fa-IR"/>
        </w:rPr>
        <w:t xml:space="preserve"> </w:t>
      </w:r>
      <w:r w:rsidRPr="00904FCB">
        <w:rPr>
          <w:rFonts w:ascii="Times New Roman" w:hAnsi="Times New Roman" w:hint="cs"/>
          <w:sz w:val="27"/>
          <w:rtl/>
          <w:lang w:bidi="fa-IR"/>
        </w:rPr>
        <w:t>مراحل</w:t>
      </w:r>
      <w:r w:rsidRPr="00904FCB">
        <w:rPr>
          <w:rFonts w:ascii="Times New Roman" w:hAnsi="Times New Roman"/>
          <w:sz w:val="27"/>
          <w:rtl/>
          <w:lang w:bidi="fa-IR"/>
        </w:rPr>
        <w:t xml:space="preserve"> </w:t>
      </w:r>
      <w:r w:rsidRPr="00904FCB">
        <w:rPr>
          <w:rFonts w:ascii="Times New Roman" w:hAnsi="Times New Roman" w:hint="cs"/>
          <w:sz w:val="27"/>
          <w:rtl/>
          <w:lang w:bidi="fa-IR"/>
        </w:rPr>
        <w:t>عديدة</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تتميز</w:t>
      </w:r>
      <w:r w:rsidRPr="00904FCB">
        <w:rPr>
          <w:rFonts w:ascii="Times New Roman" w:hAnsi="Times New Roman"/>
          <w:sz w:val="27"/>
          <w:rtl/>
          <w:lang w:bidi="fa-IR"/>
        </w:rPr>
        <w:t xml:space="preserve"> </w:t>
      </w:r>
      <w:r w:rsidRPr="00904FCB">
        <w:rPr>
          <w:rFonts w:ascii="Times New Roman" w:hAnsi="Times New Roman" w:hint="cs"/>
          <w:sz w:val="27"/>
          <w:rtl/>
          <w:lang w:bidi="fa-IR"/>
        </w:rPr>
        <w:t>كلّ</w:t>
      </w:r>
      <w:r w:rsidRPr="00904FCB">
        <w:rPr>
          <w:rFonts w:ascii="Times New Roman" w:hAnsi="Times New Roman"/>
          <w:sz w:val="27"/>
          <w:rtl/>
          <w:lang w:bidi="fa-IR"/>
        </w:rPr>
        <w:t xml:space="preserve"> </w:t>
      </w:r>
      <w:r w:rsidRPr="00904FCB">
        <w:rPr>
          <w:rFonts w:ascii="Times New Roman" w:hAnsi="Times New Roman" w:hint="cs"/>
          <w:sz w:val="27"/>
          <w:rtl/>
          <w:lang w:bidi="fa-IR"/>
        </w:rPr>
        <w:t>واحدة</w:t>
      </w:r>
      <w:r w:rsidRPr="00904FCB">
        <w:rPr>
          <w:rFonts w:ascii="Times New Roman" w:hAnsi="Times New Roman"/>
          <w:sz w:val="27"/>
          <w:rtl/>
          <w:lang w:bidi="fa-IR"/>
        </w:rPr>
        <w:t xml:space="preserve"> </w:t>
      </w:r>
      <w:r w:rsidRPr="00904FCB">
        <w:rPr>
          <w:rFonts w:ascii="Times New Roman" w:hAnsi="Times New Roman" w:hint="cs"/>
          <w:sz w:val="27"/>
          <w:rtl/>
          <w:lang w:bidi="fa-IR"/>
        </w:rPr>
        <w:t>منها</w:t>
      </w:r>
      <w:r w:rsidRPr="00904FCB">
        <w:rPr>
          <w:rFonts w:ascii="Times New Roman" w:hAnsi="Times New Roman"/>
          <w:sz w:val="27"/>
          <w:rtl/>
          <w:lang w:bidi="fa-IR"/>
        </w:rPr>
        <w:t xml:space="preserve"> </w:t>
      </w:r>
      <w:r w:rsidRPr="00904FCB">
        <w:rPr>
          <w:rFonts w:ascii="Times New Roman" w:hAnsi="Times New Roman" w:hint="cs"/>
          <w:sz w:val="27"/>
          <w:rtl/>
          <w:lang w:bidi="fa-IR"/>
        </w:rPr>
        <w:t>بمزايا</w:t>
      </w:r>
      <w:r w:rsidRPr="00904FCB">
        <w:rPr>
          <w:rFonts w:ascii="Times New Roman" w:hAnsi="Times New Roman"/>
          <w:sz w:val="27"/>
          <w:rtl/>
          <w:lang w:bidi="fa-IR"/>
        </w:rPr>
        <w:t xml:space="preserve"> </w:t>
      </w:r>
      <w:r w:rsidRPr="00904FCB">
        <w:rPr>
          <w:rFonts w:ascii="Times New Roman" w:hAnsi="Times New Roman" w:hint="cs"/>
          <w:sz w:val="27"/>
          <w:rtl/>
          <w:lang w:bidi="fa-IR"/>
        </w:rPr>
        <w:t>خاصّ</w:t>
      </w:r>
      <w:r w:rsidR="00321F39" w:rsidRPr="00904FCB">
        <w:rPr>
          <w:rFonts w:ascii="Times New Roman" w:hAnsi="Times New Roman" w:hint="cs"/>
          <w:sz w:val="27"/>
          <w:rtl/>
          <w:lang w:bidi="fa-IR"/>
        </w:rPr>
        <w:t>ة</w:t>
      </w:r>
      <w:r w:rsidRPr="00904FCB">
        <w:rPr>
          <w:rFonts w:ascii="Times New Roman" w:hAnsi="Times New Roman"/>
          <w:sz w:val="27"/>
          <w:rtl/>
          <w:lang w:bidi="fa-IR"/>
        </w:rPr>
        <w:t xml:space="preserve"> </w:t>
      </w:r>
      <w:r w:rsidRPr="00904FCB">
        <w:rPr>
          <w:rFonts w:ascii="Times New Roman" w:hAnsi="Times New Roman" w:hint="cs"/>
          <w:sz w:val="27"/>
          <w:rtl/>
          <w:lang w:bidi="fa-IR"/>
        </w:rPr>
        <w:t>كان</w:t>
      </w:r>
      <w:r w:rsidRPr="00904FCB">
        <w:rPr>
          <w:rFonts w:ascii="Times New Roman" w:hAnsi="Times New Roman"/>
          <w:sz w:val="27"/>
          <w:rtl/>
          <w:lang w:bidi="fa-IR"/>
        </w:rPr>
        <w:t xml:space="preserve"> </w:t>
      </w:r>
      <w:r w:rsidRPr="00904FCB">
        <w:rPr>
          <w:rFonts w:ascii="Times New Roman" w:hAnsi="Times New Roman" w:hint="cs"/>
          <w:sz w:val="27"/>
          <w:rtl/>
          <w:lang w:bidi="fa-IR"/>
        </w:rPr>
        <w:t>لها</w:t>
      </w:r>
      <w:r w:rsidRPr="00904FCB">
        <w:rPr>
          <w:rFonts w:ascii="Times New Roman" w:hAnsi="Times New Roman"/>
          <w:sz w:val="27"/>
          <w:rtl/>
          <w:lang w:bidi="fa-IR"/>
        </w:rPr>
        <w:t xml:space="preserve"> </w:t>
      </w:r>
      <w:r w:rsidRPr="00904FCB">
        <w:rPr>
          <w:rFonts w:ascii="Times New Roman" w:hAnsi="Times New Roman" w:hint="cs"/>
          <w:sz w:val="27"/>
          <w:rtl/>
          <w:lang w:bidi="fa-IR"/>
        </w:rPr>
        <w:t>تأثيرها</w:t>
      </w:r>
      <w:r w:rsidRPr="00904FCB">
        <w:rPr>
          <w:rFonts w:ascii="Times New Roman" w:hAnsi="Times New Roman"/>
          <w:sz w:val="27"/>
          <w:rtl/>
          <w:lang w:bidi="fa-IR"/>
        </w:rPr>
        <w:t xml:space="preserve"> </w:t>
      </w:r>
      <w:r w:rsidRPr="00904FCB">
        <w:rPr>
          <w:rFonts w:ascii="Times New Roman" w:hAnsi="Times New Roman" w:hint="cs"/>
          <w:sz w:val="27"/>
          <w:rtl/>
          <w:lang w:bidi="fa-IR"/>
        </w:rPr>
        <w:t>الكبير</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تار</w:t>
      </w:r>
      <w:r w:rsidRPr="00904FCB">
        <w:rPr>
          <w:rFonts w:ascii="Times New Roman" w:hAnsi="Times New Roman" w:hint="cs"/>
          <w:sz w:val="27"/>
          <w:rtl/>
          <w:lang w:bidi="fa-IR"/>
        </w:rPr>
        <w:t>يخ</w:t>
      </w:r>
      <w:r w:rsidRPr="00904FCB">
        <w:rPr>
          <w:rFonts w:ascii="Times New Roman" w:hAnsi="Times New Roman"/>
          <w:sz w:val="27"/>
          <w:rtl/>
          <w:lang w:bidi="fa-IR"/>
        </w:rPr>
        <w:t xml:space="preserve"> </w:t>
      </w:r>
      <w:r w:rsidRPr="00904FCB">
        <w:rPr>
          <w:rFonts w:ascii="Times New Roman" w:hAnsi="Times New Roman" w:hint="cs"/>
          <w:sz w:val="27"/>
          <w:rtl/>
          <w:lang w:bidi="fa-IR"/>
        </w:rPr>
        <w:t>تحوّل</w:t>
      </w:r>
      <w:r w:rsidRPr="00904FCB">
        <w:rPr>
          <w:rFonts w:ascii="Times New Roman" w:hAnsi="Times New Roman"/>
          <w:sz w:val="27"/>
          <w:rtl/>
          <w:lang w:bidi="fa-IR"/>
        </w:rPr>
        <w:t xml:space="preserve"> </w:t>
      </w:r>
      <w:r w:rsidRPr="00904FCB">
        <w:rPr>
          <w:rFonts w:ascii="Times New Roman" w:hAnsi="Times New Roman" w:hint="cs"/>
          <w:sz w:val="27"/>
          <w:rtl/>
          <w:lang w:bidi="fa-IR"/>
        </w:rPr>
        <w:t>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العلم</w:t>
      </w:r>
      <w:r w:rsidRPr="00904FCB">
        <w:rPr>
          <w:rFonts w:ascii="Times New Roman" w:hAnsi="Times New Roman"/>
          <w:sz w:val="27"/>
          <w:rtl/>
          <w:lang w:bidi="fa-IR"/>
        </w:rPr>
        <w:t xml:space="preserve"> </w:t>
      </w:r>
      <w:r w:rsidRPr="00904FCB">
        <w:rPr>
          <w:rFonts w:ascii="Times New Roman" w:hAnsi="Times New Roman" w:hint="cs"/>
          <w:sz w:val="27"/>
          <w:rtl/>
          <w:lang w:bidi="fa-IR"/>
        </w:rPr>
        <w:t>وتطوّره</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المرحلة الأول</w:t>
      </w:r>
      <w:r w:rsidR="00321F39" w:rsidRPr="00904FCB">
        <w:rPr>
          <w:rFonts w:ascii="Times New Roman" w:hAnsi="Times New Roman" w:hint="cs"/>
          <w:sz w:val="27"/>
          <w:rtl/>
          <w:lang w:bidi="fa-IR"/>
        </w:rPr>
        <w:t>ى</w:t>
      </w:r>
      <w:r w:rsidRPr="00904FCB">
        <w:rPr>
          <w:rFonts w:ascii="Times New Roman" w:hAnsi="Times New Roman"/>
          <w:sz w:val="27"/>
          <w:rtl/>
          <w:lang w:bidi="fa-IR"/>
        </w:rPr>
        <w:t xml:space="preserve"> هي مرحلة التأس</w:t>
      </w:r>
      <w:r w:rsidRPr="00904FCB">
        <w:rPr>
          <w:rFonts w:ascii="Times New Roman" w:hAnsi="Times New Roman" w:hint="cs"/>
          <w:sz w:val="27"/>
          <w:rtl/>
          <w:lang w:bidi="fa-IR"/>
        </w:rPr>
        <w:t>يس</w:t>
      </w:r>
      <w:r w:rsidRPr="00904FCB">
        <w:rPr>
          <w:rFonts w:ascii="Times New Roman" w:hAnsi="Times New Roman"/>
          <w:sz w:val="27"/>
          <w:rtl/>
          <w:lang w:bidi="fa-IR"/>
        </w:rPr>
        <w:t xml:space="preserve"> (</w:t>
      </w:r>
      <w:r w:rsidRPr="00AD189E">
        <w:rPr>
          <w:rFonts w:ascii="Times New Roman" w:hAnsi="Times New Roman" w:hint="cs"/>
          <w:sz w:val="27"/>
          <w:rtl/>
          <w:lang w:bidi="ar-LB"/>
        </w:rPr>
        <w:t>305</w:t>
      </w:r>
      <w:r w:rsidRPr="00904FCB">
        <w:rPr>
          <w:rFonts w:ascii="Times New Roman" w:hAnsi="Times New Roman"/>
          <w:sz w:val="27"/>
          <w:rtl/>
          <w:lang w:bidi="fa-IR"/>
        </w:rPr>
        <w:t xml:space="preserve">)، </w:t>
      </w:r>
      <w:r w:rsidRPr="00904FCB">
        <w:rPr>
          <w:rFonts w:ascii="Times New Roman" w:hAnsi="Times New Roman" w:hint="cs"/>
          <w:sz w:val="27"/>
          <w:rtl/>
          <w:lang w:bidi="fa-IR"/>
        </w:rPr>
        <w:t>والمرحلة</w:t>
      </w:r>
      <w:r w:rsidRPr="00904FCB">
        <w:rPr>
          <w:rFonts w:ascii="Times New Roman" w:hAnsi="Times New Roman"/>
          <w:sz w:val="27"/>
          <w:rtl/>
          <w:lang w:bidi="fa-IR"/>
        </w:rPr>
        <w:t xml:space="preserve"> </w:t>
      </w:r>
      <w:r w:rsidRPr="00904FCB">
        <w:rPr>
          <w:rFonts w:ascii="Times New Roman" w:hAnsi="Times New Roman" w:hint="cs"/>
          <w:sz w:val="27"/>
          <w:rtl/>
          <w:lang w:bidi="fa-IR"/>
        </w:rPr>
        <w:t>الثانية</w:t>
      </w:r>
      <w:r w:rsidRPr="00904FCB">
        <w:rPr>
          <w:rFonts w:ascii="Times New Roman" w:hAnsi="Times New Roman"/>
          <w:sz w:val="27"/>
          <w:rtl/>
          <w:lang w:bidi="fa-IR"/>
        </w:rPr>
        <w:t xml:space="preserve"> هي</w:t>
      </w:r>
      <w:r w:rsidRPr="00904FCB">
        <w:rPr>
          <w:rFonts w:ascii="Times New Roman" w:hAnsi="Times New Roman" w:hint="cs"/>
          <w:sz w:val="27"/>
          <w:rtl/>
          <w:lang w:bidi="fa-IR"/>
        </w:rPr>
        <w:t xml:space="preserve"> </w:t>
      </w:r>
      <w:r w:rsidRPr="00904FCB">
        <w:rPr>
          <w:rFonts w:ascii="Times New Roman" w:hAnsi="Times New Roman"/>
          <w:sz w:val="27"/>
          <w:rtl/>
          <w:lang w:bidi="fa-IR"/>
        </w:rPr>
        <w:t>مرحلة‌</w:t>
      </w:r>
      <w:r w:rsidRPr="00904FCB">
        <w:rPr>
          <w:rFonts w:ascii="Times New Roman" w:hAnsi="Times New Roman" w:hint="cs"/>
          <w:sz w:val="27"/>
          <w:rtl/>
          <w:lang w:bidi="fa-IR"/>
        </w:rPr>
        <w:t xml:space="preserve"> </w:t>
      </w:r>
      <w:r w:rsidRPr="00904FCB">
        <w:rPr>
          <w:rFonts w:ascii="Times New Roman" w:hAnsi="Times New Roman"/>
          <w:sz w:val="27"/>
          <w:rtl/>
          <w:lang w:bidi="fa-IR"/>
        </w:rPr>
        <w:t>التصن</w:t>
      </w:r>
      <w:r w:rsidRPr="00904FCB">
        <w:rPr>
          <w:rFonts w:ascii="Times New Roman" w:hAnsi="Times New Roman" w:hint="cs"/>
          <w:sz w:val="27"/>
          <w:rtl/>
          <w:lang w:bidi="fa-IR"/>
        </w:rPr>
        <w:t>يف</w:t>
      </w:r>
      <w:r w:rsidRPr="00904FCB">
        <w:rPr>
          <w:rFonts w:ascii="Times New Roman" w:hAnsi="Times New Roman"/>
          <w:sz w:val="27"/>
          <w:rtl/>
          <w:lang w:bidi="fa-IR"/>
        </w:rPr>
        <w:t xml:space="preserve"> (</w:t>
      </w:r>
      <w:r w:rsidRPr="00AD189E">
        <w:rPr>
          <w:rFonts w:ascii="Times New Roman" w:hAnsi="Times New Roman" w:hint="cs"/>
          <w:sz w:val="27"/>
          <w:rtl/>
          <w:lang w:bidi="ar-LB"/>
        </w:rPr>
        <w:t>309</w:t>
      </w:r>
      <w:r w:rsidRPr="00904FCB">
        <w:rPr>
          <w:rFonts w:ascii="Times New Roman" w:hAnsi="Times New Roman"/>
          <w:sz w:val="27"/>
          <w:rtl/>
          <w:lang w:bidi="fa-IR"/>
        </w:rPr>
        <w:t xml:space="preserve">)، </w:t>
      </w:r>
      <w:r w:rsidRPr="00904FCB">
        <w:rPr>
          <w:rFonts w:ascii="Times New Roman" w:hAnsi="Times New Roman" w:hint="cs"/>
          <w:sz w:val="27"/>
          <w:rtl/>
          <w:lang w:bidi="fa-IR"/>
        </w:rPr>
        <w:t>والمرحلة</w:t>
      </w:r>
      <w:r w:rsidRPr="00904FCB">
        <w:rPr>
          <w:rFonts w:ascii="Times New Roman" w:hAnsi="Times New Roman"/>
          <w:sz w:val="27"/>
          <w:rtl/>
          <w:lang w:bidi="fa-IR"/>
        </w:rPr>
        <w:t xml:space="preserve"> </w:t>
      </w:r>
      <w:r w:rsidRPr="00904FCB">
        <w:rPr>
          <w:rFonts w:ascii="Times New Roman" w:hAnsi="Times New Roman" w:hint="cs"/>
          <w:sz w:val="27"/>
          <w:rtl/>
          <w:lang w:bidi="fa-IR"/>
        </w:rPr>
        <w:t>الثالثة</w:t>
      </w:r>
      <w:r w:rsidRPr="00904FCB">
        <w:rPr>
          <w:rFonts w:ascii="Times New Roman" w:hAnsi="Times New Roman"/>
          <w:sz w:val="27"/>
          <w:rtl/>
          <w:lang w:bidi="fa-IR"/>
        </w:rPr>
        <w:t xml:space="preserve"> هي</w:t>
      </w:r>
      <w:r w:rsidRPr="00904FCB">
        <w:rPr>
          <w:rFonts w:ascii="Times New Roman" w:hAnsi="Times New Roman" w:hint="cs"/>
          <w:sz w:val="27"/>
          <w:rtl/>
          <w:lang w:bidi="fa-IR"/>
        </w:rPr>
        <w:t xml:space="preserve"> </w:t>
      </w:r>
      <w:r w:rsidRPr="00904FCB">
        <w:rPr>
          <w:rFonts w:ascii="Times New Roman" w:hAnsi="Times New Roman"/>
          <w:sz w:val="27"/>
          <w:rtl/>
          <w:lang w:bidi="fa-IR"/>
        </w:rPr>
        <w:t>مرحلة الاختلاط (</w:t>
      </w:r>
      <w:r w:rsidRPr="00AD189E">
        <w:rPr>
          <w:rFonts w:ascii="Times New Roman" w:hAnsi="Times New Roman" w:hint="cs"/>
          <w:sz w:val="27"/>
          <w:rtl/>
          <w:lang w:bidi="ar-LB"/>
        </w:rPr>
        <w:t>312</w:t>
      </w:r>
      <w:r w:rsidRPr="00904FCB">
        <w:rPr>
          <w:rFonts w:ascii="Times New Roman" w:hAnsi="Times New Roman"/>
          <w:sz w:val="27"/>
          <w:rtl/>
          <w:lang w:bidi="fa-IR"/>
        </w:rPr>
        <w:t>)، والمرحلة</w:t>
      </w:r>
      <w:r w:rsidRPr="00904FCB">
        <w:rPr>
          <w:rFonts w:ascii="Times New Roman" w:hAnsi="Times New Roman" w:hint="cs"/>
          <w:sz w:val="27"/>
          <w:rtl/>
          <w:lang w:bidi="fa-IR"/>
        </w:rPr>
        <w:t xml:space="preserve"> </w:t>
      </w:r>
      <w:r w:rsidRPr="00904FCB">
        <w:rPr>
          <w:rFonts w:ascii="Times New Roman" w:hAnsi="Times New Roman"/>
          <w:sz w:val="27"/>
          <w:rtl/>
          <w:lang w:bidi="fa-IR"/>
        </w:rPr>
        <w:t>‌الرابعة هي</w:t>
      </w:r>
      <w:r w:rsidRPr="00904FCB">
        <w:rPr>
          <w:rFonts w:ascii="Times New Roman" w:hAnsi="Times New Roman" w:hint="cs"/>
          <w:sz w:val="27"/>
          <w:rtl/>
          <w:lang w:bidi="fa-IR"/>
        </w:rPr>
        <w:t xml:space="preserve"> </w:t>
      </w:r>
      <w:r w:rsidRPr="00904FCB">
        <w:rPr>
          <w:rFonts w:ascii="Times New Roman" w:hAnsi="Times New Roman"/>
          <w:sz w:val="27"/>
          <w:rtl/>
          <w:lang w:bidi="fa-IR"/>
        </w:rPr>
        <w:t>مرحلة الكمال والاستقلال (</w:t>
      </w:r>
      <w:r w:rsidRPr="00AD189E">
        <w:rPr>
          <w:rFonts w:ascii="Times New Roman" w:hAnsi="Times New Roman" w:hint="cs"/>
          <w:sz w:val="27"/>
          <w:rtl/>
          <w:lang w:bidi="ar-LB"/>
        </w:rPr>
        <w:t>316</w:t>
      </w:r>
      <w:r w:rsidRPr="00904FCB">
        <w:rPr>
          <w:rFonts w:ascii="Times New Roman" w:hAnsi="Times New Roman"/>
          <w:sz w:val="27"/>
          <w:rtl/>
          <w:lang w:bidi="fa-IR"/>
        </w:rPr>
        <w:t>)، والمرحلة الخامسة هي</w:t>
      </w:r>
      <w:r w:rsidRPr="00904FCB">
        <w:rPr>
          <w:rFonts w:ascii="Times New Roman" w:hAnsi="Times New Roman" w:hint="cs"/>
          <w:sz w:val="27"/>
          <w:rtl/>
          <w:lang w:bidi="fa-IR"/>
        </w:rPr>
        <w:t xml:space="preserve"> </w:t>
      </w:r>
      <w:r w:rsidRPr="00904FCB">
        <w:rPr>
          <w:rFonts w:ascii="Times New Roman" w:hAnsi="Times New Roman"/>
          <w:sz w:val="27"/>
          <w:rtl/>
          <w:lang w:bidi="fa-IR"/>
        </w:rPr>
        <w:t>مرحل</w:t>
      </w:r>
      <w:r w:rsidR="00321F39" w:rsidRPr="00904FCB">
        <w:rPr>
          <w:rFonts w:ascii="Times New Roman" w:hAnsi="Times New Roman" w:hint="cs"/>
          <w:sz w:val="27"/>
          <w:rtl/>
          <w:lang w:bidi="fa-IR"/>
        </w:rPr>
        <w:t>ة</w:t>
      </w:r>
      <w:r w:rsidRPr="00904FCB">
        <w:rPr>
          <w:rFonts w:ascii="Times New Roman" w:hAnsi="Times New Roman"/>
          <w:sz w:val="27"/>
          <w:rtl/>
          <w:lang w:bidi="fa-IR"/>
        </w:rPr>
        <w:t xml:space="preserve"> ركود الاستنباط (</w:t>
      </w:r>
      <w:r w:rsidRPr="00AD189E">
        <w:rPr>
          <w:rFonts w:ascii="Times New Roman" w:hAnsi="Times New Roman" w:hint="cs"/>
          <w:sz w:val="27"/>
          <w:rtl/>
          <w:lang w:bidi="ar-LB"/>
        </w:rPr>
        <w:t>321</w:t>
      </w:r>
      <w:r w:rsidRPr="00904FCB">
        <w:rPr>
          <w:rFonts w:ascii="Times New Roman" w:hAnsi="Times New Roman"/>
          <w:sz w:val="27"/>
          <w:rtl/>
          <w:lang w:bidi="fa-IR"/>
        </w:rPr>
        <w:t>)، والمرحلة السادسة هي مرحلة النهوض مجدّداً (</w:t>
      </w:r>
      <w:r w:rsidRPr="00AD189E">
        <w:rPr>
          <w:rFonts w:ascii="Times New Roman" w:hAnsi="Times New Roman" w:hint="cs"/>
          <w:sz w:val="27"/>
          <w:rtl/>
          <w:lang w:bidi="ar-LB"/>
        </w:rPr>
        <w:t>322</w:t>
      </w:r>
      <w:r w:rsidRPr="00904FCB">
        <w:rPr>
          <w:rFonts w:ascii="Times New Roman" w:hAnsi="Times New Roman"/>
          <w:sz w:val="27"/>
          <w:rtl/>
          <w:lang w:bidi="fa-IR"/>
        </w:rPr>
        <w:t>)، والمر</w:t>
      </w:r>
      <w:r w:rsidRPr="00904FCB">
        <w:rPr>
          <w:rFonts w:ascii="Times New Roman" w:hAnsi="Times New Roman" w:hint="cs"/>
          <w:sz w:val="27"/>
          <w:rtl/>
          <w:lang w:bidi="fa-IR"/>
        </w:rPr>
        <w:t>ح</w:t>
      </w:r>
      <w:r w:rsidRPr="00904FCB">
        <w:rPr>
          <w:rFonts w:ascii="Times New Roman" w:hAnsi="Times New Roman"/>
          <w:sz w:val="27"/>
          <w:rtl/>
          <w:lang w:bidi="fa-IR"/>
        </w:rPr>
        <w:t>لة السابعة هي</w:t>
      </w:r>
      <w:r w:rsidRPr="00904FCB">
        <w:rPr>
          <w:rFonts w:ascii="Times New Roman" w:hAnsi="Times New Roman" w:hint="cs"/>
          <w:sz w:val="27"/>
          <w:rtl/>
          <w:lang w:bidi="fa-IR"/>
        </w:rPr>
        <w:t xml:space="preserve"> </w:t>
      </w:r>
      <w:r w:rsidRPr="00904FCB">
        <w:rPr>
          <w:rFonts w:ascii="Times New Roman" w:hAnsi="Times New Roman"/>
          <w:sz w:val="27"/>
          <w:rtl/>
          <w:lang w:bidi="fa-IR"/>
        </w:rPr>
        <w:t>مرحلة الضعف (</w:t>
      </w:r>
      <w:r w:rsidRPr="00AD189E">
        <w:rPr>
          <w:rFonts w:ascii="Times New Roman" w:hAnsi="Times New Roman" w:hint="cs"/>
          <w:sz w:val="27"/>
          <w:rtl/>
          <w:lang w:bidi="ar-LB"/>
        </w:rPr>
        <w:t>325</w:t>
      </w:r>
      <w:r w:rsidRPr="00904FCB">
        <w:rPr>
          <w:rFonts w:ascii="Times New Roman" w:hAnsi="Times New Roman"/>
          <w:sz w:val="27"/>
          <w:rtl/>
          <w:lang w:bidi="fa-IR"/>
        </w:rPr>
        <w:t>)، والمرحلة الثا</w:t>
      </w:r>
      <w:r w:rsidRPr="00904FCB">
        <w:rPr>
          <w:rFonts w:ascii="Times New Roman" w:hAnsi="Times New Roman" w:hint="cs"/>
          <w:sz w:val="27"/>
          <w:rtl/>
          <w:lang w:bidi="fa-IR"/>
        </w:rPr>
        <w:t>من</w:t>
      </w:r>
      <w:r w:rsidR="00321F39" w:rsidRPr="00904FCB">
        <w:rPr>
          <w:rFonts w:ascii="Times New Roman" w:hAnsi="Times New Roman" w:hint="cs"/>
          <w:sz w:val="27"/>
          <w:rtl/>
          <w:lang w:bidi="fa-IR"/>
        </w:rPr>
        <w:t>ة</w:t>
      </w:r>
      <w:r w:rsidRPr="00904FCB">
        <w:rPr>
          <w:rFonts w:ascii="Times New Roman" w:hAnsi="Times New Roman"/>
          <w:sz w:val="27"/>
          <w:rtl/>
          <w:lang w:bidi="fa-IR"/>
        </w:rPr>
        <w:t xml:space="preserve"> هي</w:t>
      </w:r>
      <w:r w:rsidRPr="00904FCB">
        <w:rPr>
          <w:rFonts w:ascii="Times New Roman" w:hAnsi="Times New Roman" w:hint="cs"/>
          <w:sz w:val="27"/>
          <w:rtl/>
          <w:lang w:bidi="fa-IR"/>
        </w:rPr>
        <w:t xml:space="preserve"> </w:t>
      </w:r>
      <w:r w:rsidRPr="00904FCB">
        <w:rPr>
          <w:rFonts w:ascii="Times New Roman" w:hAnsi="Times New Roman"/>
          <w:sz w:val="27"/>
          <w:rtl/>
          <w:lang w:bidi="fa-IR"/>
        </w:rPr>
        <w:t>مرحلة الجد</w:t>
      </w:r>
      <w:r w:rsidR="00321F39" w:rsidRPr="00904FCB">
        <w:rPr>
          <w:rFonts w:ascii="Times New Roman" w:hAnsi="Times New Roman" w:hint="cs"/>
          <w:sz w:val="27"/>
          <w:rtl/>
          <w:lang w:bidi="fa-IR"/>
        </w:rPr>
        <w:t>ّ</w:t>
      </w:r>
      <w:r w:rsidRPr="00904FCB">
        <w:rPr>
          <w:rFonts w:ascii="Times New Roman" w:hAnsi="Times New Roman"/>
          <w:sz w:val="27"/>
          <w:rtl/>
          <w:lang w:bidi="fa-IR"/>
        </w:rPr>
        <w:t xml:space="preserve"> (</w:t>
      </w:r>
      <w:r w:rsidR="00321F39" w:rsidRPr="00AD189E">
        <w:rPr>
          <w:rFonts w:ascii="Times New Roman" w:hAnsi="Times New Roman" w:hint="cs"/>
          <w:sz w:val="27"/>
          <w:rtl/>
          <w:lang w:bidi="ar-LB"/>
        </w:rPr>
        <w:t>328</w:t>
      </w:r>
      <w:r w:rsidRPr="00904FCB">
        <w:rPr>
          <w:rFonts w:ascii="Times New Roman" w:hAnsi="Times New Roman"/>
          <w:sz w:val="27"/>
          <w:rtl/>
          <w:lang w:bidi="fa-IR"/>
        </w:rPr>
        <w:t xml:space="preserve">)! </w:t>
      </w:r>
    </w:p>
    <w:p w:rsidR="00057E24" w:rsidRPr="00904FCB" w:rsidRDefault="004722A1" w:rsidP="004722A1">
      <w:pPr>
        <w:rPr>
          <w:rtl/>
          <w:lang w:bidi="fa-IR"/>
        </w:rPr>
      </w:pPr>
      <w:r w:rsidRPr="00904FCB">
        <w:rPr>
          <w:rFonts w:hint="cs"/>
          <w:rtl/>
        </w:rPr>
        <w:t xml:space="preserve">بعد هذه المقدّمة، نجد أنّنا </w:t>
      </w:r>
      <w:r w:rsidR="00057E24" w:rsidRPr="00904FCB">
        <w:rPr>
          <w:rtl/>
        </w:rPr>
        <w:t>لو</w:t>
      </w:r>
      <w:r w:rsidR="00D67215">
        <w:rPr>
          <w:rFonts w:hint="cs"/>
          <w:rtl/>
        </w:rPr>
        <w:t xml:space="preserve"> </w:t>
      </w:r>
      <w:r w:rsidR="00057E24" w:rsidRPr="00904FCB">
        <w:rPr>
          <w:rtl/>
        </w:rPr>
        <w:t>ألق</w:t>
      </w:r>
      <w:r w:rsidR="00057E24" w:rsidRPr="00904FCB">
        <w:rPr>
          <w:rFonts w:hint="cs"/>
          <w:rtl/>
        </w:rPr>
        <w:t>ينا</w:t>
      </w:r>
      <w:r w:rsidR="00057E24" w:rsidRPr="00904FCB">
        <w:rPr>
          <w:rtl/>
        </w:rPr>
        <w:t xml:space="preserve"> </w:t>
      </w:r>
      <w:r w:rsidR="00057E24" w:rsidRPr="00904FCB">
        <w:rPr>
          <w:rFonts w:hint="cs"/>
          <w:rtl/>
        </w:rPr>
        <w:t>نظرةً</w:t>
      </w:r>
      <w:r w:rsidR="00057E24" w:rsidRPr="00904FCB">
        <w:rPr>
          <w:rtl/>
          <w:lang w:bidi="fa-IR"/>
        </w:rPr>
        <w:t xml:space="preserve"> </w:t>
      </w:r>
      <w:r w:rsidR="00057E24" w:rsidRPr="00904FCB">
        <w:rPr>
          <w:rFonts w:hint="cs"/>
          <w:rtl/>
          <w:lang w:bidi="fa-IR"/>
        </w:rPr>
        <w:t>إجماليةً</w:t>
      </w:r>
      <w:r w:rsidR="00057E24" w:rsidRPr="00904FCB">
        <w:rPr>
          <w:rtl/>
          <w:lang w:bidi="fa-IR"/>
        </w:rPr>
        <w:t xml:space="preserve"> على </w:t>
      </w:r>
      <w:r w:rsidR="000E0D39" w:rsidRPr="00904FCB">
        <w:rPr>
          <w:rFonts w:hint="cs"/>
          <w:rtl/>
          <w:lang w:bidi="fa-IR"/>
        </w:rPr>
        <w:t>كتاب</w:t>
      </w:r>
      <w:r w:rsidR="00057E24" w:rsidRPr="00904FCB">
        <w:rPr>
          <w:rtl/>
          <w:lang w:bidi="fa-IR"/>
        </w:rPr>
        <w:t xml:space="preserve"> </w:t>
      </w:r>
      <w:r w:rsidR="00057E24" w:rsidRPr="00904FCB">
        <w:rPr>
          <w:rFonts w:hint="cs"/>
          <w:rtl/>
          <w:lang w:bidi="fa-IR"/>
        </w:rPr>
        <w:t>«تم</w:t>
      </w:r>
      <w:r w:rsidR="00057E24" w:rsidRPr="00904FCB">
        <w:rPr>
          <w:rtl/>
          <w:lang w:bidi="fa-IR"/>
        </w:rPr>
        <w:t xml:space="preserve">هيد القواعد» </w:t>
      </w:r>
      <w:r w:rsidR="00057E24" w:rsidRPr="00904FCB">
        <w:rPr>
          <w:rFonts w:hint="cs"/>
          <w:rtl/>
          <w:lang w:bidi="fa-IR"/>
        </w:rPr>
        <w:t>يتّضح</w:t>
      </w:r>
      <w:r w:rsidR="00057E24" w:rsidRPr="00904FCB">
        <w:rPr>
          <w:rtl/>
          <w:lang w:bidi="fa-IR"/>
        </w:rPr>
        <w:t xml:space="preserve"> </w:t>
      </w:r>
      <w:r w:rsidR="00057E24" w:rsidRPr="00904FCB">
        <w:rPr>
          <w:rFonts w:hint="cs"/>
          <w:rtl/>
          <w:lang w:bidi="fa-IR"/>
        </w:rPr>
        <w:t>لنا</w:t>
      </w:r>
      <w:r w:rsidR="00057E24" w:rsidRPr="00904FCB">
        <w:rPr>
          <w:rtl/>
          <w:lang w:bidi="fa-IR"/>
        </w:rPr>
        <w:t xml:space="preserve"> </w:t>
      </w:r>
      <w:r w:rsidR="00057E24" w:rsidRPr="00904FCB">
        <w:rPr>
          <w:rFonts w:hint="cs"/>
          <w:rtl/>
          <w:lang w:bidi="fa-IR"/>
        </w:rPr>
        <w:t>أنّ</w:t>
      </w:r>
      <w:r w:rsidR="00057E24" w:rsidRPr="00904FCB">
        <w:rPr>
          <w:rtl/>
          <w:lang w:bidi="fa-IR"/>
        </w:rPr>
        <w:t xml:space="preserve"> </w:t>
      </w:r>
      <w:r w:rsidR="00057E24" w:rsidRPr="00904FCB">
        <w:rPr>
          <w:rFonts w:hint="cs"/>
          <w:rtl/>
          <w:lang w:bidi="fa-IR"/>
        </w:rPr>
        <w:t>الش</w:t>
      </w:r>
      <w:r w:rsidR="000E0D39" w:rsidRPr="00904FCB">
        <w:rPr>
          <w:rtl/>
          <w:lang w:bidi="fa-IR"/>
        </w:rPr>
        <w:t>هيد كان صاحب أسلوبٍ ومدرسة</w:t>
      </w:r>
      <w:r w:rsidR="00057E24" w:rsidRPr="00904FCB">
        <w:rPr>
          <w:rtl/>
          <w:lang w:bidi="fa-IR"/>
        </w:rPr>
        <w:t xml:space="preserve"> متم</w:t>
      </w:r>
      <w:r w:rsidR="00057E24" w:rsidRPr="00904FCB">
        <w:rPr>
          <w:rFonts w:hint="cs"/>
          <w:rtl/>
          <w:lang w:bidi="fa-IR"/>
        </w:rPr>
        <w:t>يزين</w:t>
      </w:r>
      <w:r w:rsidR="00057E24" w:rsidRPr="00904FCB">
        <w:rPr>
          <w:rtl/>
          <w:lang w:bidi="fa-IR"/>
        </w:rPr>
        <w:t xml:space="preserve"> </w:t>
      </w:r>
      <w:r w:rsidR="00057E24" w:rsidRPr="00904FCB">
        <w:rPr>
          <w:rFonts w:hint="cs"/>
          <w:rtl/>
          <w:lang w:bidi="fa-IR"/>
        </w:rPr>
        <w:t>في</w:t>
      </w:r>
      <w:r w:rsidR="00057E24" w:rsidRPr="00904FCB">
        <w:rPr>
          <w:rtl/>
          <w:lang w:bidi="fa-IR"/>
        </w:rPr>
        <w:t xml:space="preserve"> تب</w:t>
      </w:r>
      <w:r w:rsidR="00057E24" w:rsidRPr="00904FCB">
        <w:rPr>
          <w:rFonts w:hint="cs"/>
          <w:rtl/>
          <w:lang w:bidi="fa-IR"/>
        </w:rPr>
        <w:t>يين</w:t>
      </w:r>
      <w:r w:rsidR="00057E24" w:rsidRPr="00904FCB">
        <w:rPr>
          <w:rtl/>
          <w:lang w:bidi="fa-IR"/>
        </w:rPr>
        <w:t xml:space="preserve"> </w:t>
      </w:r>
      <w:r w:rsidR="00057E24" w:rsidRPr="00904FCB">
        <w:rPr>
          <w:rFonts w:hint="cs"/>
          <w:rtl/>
          <w:lang w:bidi="fa-IR"/>
        </w:rPr>
        <w:t>المباحث</w:t>
      </w:r>
      <w:r w:rsidR="00057E24" w:rsidRPr="00904FCB">
        <w:rPr>
          <w:rtl/>
          <w:lang w:bidi="fa-IR"/>
        </w:rPr>
        <w:t xml:space="preserve"> </w:t>
      </w:r>
      <w:r w:rsidR="00057E24" w:rsidRPr="00904FCB">
        <w:rPr>
          <w:rFonts w:hint="cs"/>
          <w:rtl/>
          <w:lang w:bidi="fa-IR"/>
        </w:rPr>
        <w:t>الأصولية</w:t>
      </w:r>
      <w:r w:rsidR="00057E24" w:rsidRPr="00904FCB">
        <w:rPr>
          <w:rtl/>
          <w:lang w:bidi="fa-IR"/>
        </w:rPr>
        <w:t xml:space="preserve">. </w:t>
      </w:r>
      <w:r w:rsidR="00057E24" w:rsidRPr="00904FCB">
        <w:rPr>
          <w:rFonts w:hint="cs"/>
          <w:rtl/>
          <w:lang w:bidi="fa-IR"/>
        </w:rPr>
        <w:t>وهذا</w:t>
      </w:r>
      <w:r w:rsidR="00057E24" w:rsidRPr="00904FCB">
        <w:rPr>
          <w:rtl/>
          <w:lang w:bidi="fa-IR"/>
        </w:rPr>
        <w:t xml:space="preserve"> </w:t>
      </w:r>
      <w:r w:rsidR="00057E24" w:rsidRPr="00904FCB">
        <w:rPr>
          <w:rFonts w:hint="cs"/>
          <w:rtl/>
          <w:lang w:bidi="fa-IR"/>
        </w:rPr>
        <w:t>الأسلوب</w:t>
      </w:r>
      <w:r w:rsidR="00057E24" w:rsidRPr="00904FCB">
        <w:rPr>
          <w:rtl/>
          <w:lang w:bidi="fa-IR"/>
        </w:rPr>
        <w:t xml:space="preserve"> </w:t>
      </w:r>
      <w:r w:rsidR="00057E24" w:rsidRPr="00904FCB">
        <w:rPr>
          <w:rFonts w:hint="cs"/>
          <w:rtl/>
          <w:lang w:bidi="fa-IR"/>
        </w:rPr>
        <w:t>مشفوعٌ</w:t>
      </w:r>
      <w:r w:rsidR="00057E24" w:rsidRPr="00904FCB">
        <w:rPr>
          <w:rtl/>
          <w:lang w:bidi="fa-IR"/>
        </w:rPr>
        <w:t xml:space="preserve"> </w:t>
      </w:r>
      <w:r w:rsidR="00057E24" w:rsidRPr="00904FCB">
        <w:rPr>
          <w:rFonts w:hint="cs"/>
          <w:rtl/>
          <w:lang w:bidi="fa-IR"/>
        </w:rPr>
        <w:t>بإبداع</w:t>
      </w:r>
      <w:r w:rsidR="00057E24" w:rsidRPr="00904FCB">
        <w:rPr>
          <w:rtl/>
          <w:lang w:bidi="fa-IR"/>
        </w:rPr>
        <w:t xml:space="preserve">اتٍ </w:t>
      </w:r>
      <w:r w:rsidR="00057E24" w:rsidRPr="00904FCB">
        <w:rPr>
          <w:rFonts w:hint="cs"/>
          <w:rtl/>
          <w:lang w:bidi="fa-IR"/>
        </w:rPr>
        <w:t>يمكن</w:t>
      </w:r>
      <w:r w:rsidR="00057E24" w:rsidRPr="00904FCB">
        <w:rPr>
          <w:rtl/>
          <w:lang w:bidi="fa-IR"/>
        </w:rPr>
        <w:t xml:space="preserve"> </w:t>
      </w:r>
      <w:r w:rsidR="00057E24" w:rsidRPr="00904FCB">
        <w:rPr>
          <w:rFonts w:hint="cs"/>
          <w:rtl/>
          <w:lang w:bidi="fa-IR"/>
        </w:rPr>
        <w:t>الإشارة</w:t>
      </w:r>
      <w:r w:rsidR="00057E24" w:rsidRPr="00904FCB">
        <w:rPr>
          <w:rtl/>
          <w:lang w:bidi="fa-IR"/>
        </w:rPr>
        <w:t xml:space="preserve"> </w:t>
      </w:r>
      <w:r w:rsidR="000E0D39" w:rsidRPr="00904FCB">
        <w:rPr>
          <w:rFonts w:hint="cs"/>
          <w:rtl/>
          <w:lang w:bidi="fa-IR"/>
        </w:rPr>
        <w:t>إ</w:t>
      </w:r>
      <w:r w:rsidR="00057E24" w:rsidRPr="00904FCB">
        <w:rPr>
          <w:rtl/>
          <w:lang w:bidi="fa-IR"/>
        </w:rPr>
        <w:t xml:space="preserve">لى </w:t>
      </w:r>
      <w:r w:rsidR="00057E24" w:rsidRPr="00904FCB">
        <w:rPr>
          <w:rFonts w:hint="cs"/>
          <w:rtl/>
          <w:lang w:bidi="fa-IR"/>
        </w:rPr>
        <w:t>بعضها</w:t>
      </w:r>
      <w:r w:rsidR="00057E24" w:rsidRPr="00904FCB">
        <w:rPr>
          <w:rtl/>
          <w:lang w:bidi="fa-IR"/>
        </w:rPr>
        <w:t xml:space="preserve"> </w:t>
      </w:r>
      <w:r w:rsidR="00057E24" w:rsidRPr="00904FCB">
        <w:rPr>
          <w:rFonts w:hint="cs"/>
          <w:rtl/>
          <w:lang w:bidi="fa-IR"/>
        </w:rPr>
        <w:t>في</w:t>
      </w:r>
      <w:r w:rsidR="000E0D39" w:rsidRPr="00904FCB">
        <w:rPr>
          <w:rFonts w:hint="cs"/>
          <w:rtl/>
          <w:lang w:bidi="fa-IR"/>
        </w:rPr>
        <w:t xml:space="preserve"> </w:t>
      </w:r>
      <w:r w:rsidR="00057E24" w:rsidRPr="00904FCB">
        <w:rPr>
          <w:rFonts w:hint="cs"/>
          <w:rtl/>
          <w:lang w:bidi="fa-IR"/>
        </w:rPr>
        <w:t>ما يلي</w:t>
      </w:r>
      <w:r w:rsidR="00057E24" w:rsidRPr="00904FCB">
        <w:rPr>
          <w:rtl/>
          <w:lang w:bidi="fa-IR"/>
        </w:rPr>
        <w:t xml:space="preserve">: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AD189E">
        <w:rPr>
          <w:rFonts w:hint="cs"/>
          <w:color w:val="auto"/>
          <w:rtl/>
          <w:lang w:bidi="ar-LB"/>
        </w:rPr>
        <w:t>1ـ ا</w:t>
      </w:r>
      <w:r w:rsidRPr="00AD189E">
        <w:rPr>
          <w:color w:val="auto"/>
          <w:rtl/>
          <w:lang w:bidi="fa-IR"/>
        </w:rPr>
        <w:t>لأسلوب</w:t>
      </w:r>
      <w:r w:rsidRPr="00904FCB">
        <w:rPr>
          <w:color w:val="auto"/>
          <w:rtl/>
          <w:lang w:bidi="fa-IR"/>
        </w:rPr>
        <w:t xml:space="preserve"> التطب</w:t>
      </w:r>
      <w:r w:rsidRPr="00904FCB">
        <w:rPr>
          <w:rFonts w:hint="cs"/>
          <w:color w:val="auto"/>
          <w:rtl/>
          <w:lang w:bidi="fa-IR"/>
        </w:rPr>
        <w:t>يقي</w:t>
      </w:r>
      <w:r w:rsidRPr="00904FCB">
        <w:rPr>
          <w:color w:val="auto"/>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عل</w:t>
      </w:r>
      <w:r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سبيل</w:t>
      </w:r>
      <w:r w:rsidRPr="00904FCB">
        <w:rPr>
          <w:rFonts w:ascii="Times New Roman" w:hAnsi="Times New Roman"/>
          <w:sz w:val="27"/>
          <w:rtl/>
          <w:lang w:bidi="fa-IR"/>
        </w:rPr>
        <w:t xml:space="preserve"> </w:t>
      </w:r>
      <w:r w:rsidRPr="00904FCB">
        <w:rPr>
          <w:rFonts w:ascii="Times New Roman" w:hAnsi="Times New Roman" w:hint="cs"/>
          <w:sz w:val="27"/>
          <w:rtl/>
          <w:lang w:bidi="fa-IR"/>
        </w:rPr>
        <w:t>المثال، في</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القاعدة</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السادسة</w:t>
      </w:r>
      <w:r w:rsidRPr="00904FCB">
        <w:rPr>
          <w:rFonts w:ascii="Times New Roman" w:hAnsi="Times New Roman"/>
          <w:sz w:val="27"/>
          <w:rtl/>
          <w:lang w:bidi="fa-IR"/>
        </w:rPr>
        <w:t xml:space="preserve"> </w:t>
      </w:r>
      <w:r w:rsidRPr="00904FCB">
        <w:rPr>
          <w:rFonts w:ascii="Times New Roman" w:hAnsi="Times New Roman" w:hint="cs"/>
          <w:sz w:val="27"/>
          <w:rtl/>
          <w:lang w:bidi="fa-IR"/>
        </w:rPr>
        <w:t>وال</w:t>
      </w:r>
      <w:r w:rsidR="000E0D39" w:rsidRPr="00904FCB">
        <w:rPr>
          <w:rFonts w:ascii="Times New Roman" w:hAnsi="Times New Roman" w:hint="cs"/>
          <w:sz w:val="27"/>
          <w:rtl/>
          <w:lang w:bidi="fa-IR"/>
        </w:rPr>
        <w:t>ت</w:t>
      </w:r>
      <w:r w:rsidRPr="00904FCB">
        <w:rPr>
          <w:rFonts w:ascii="Times New Roman" w:hAnsi="Times New Roman" w:hint="cs"/>
          <w:sz w:val="27"/>
          <w:rtl/>
          <w:lang w:bidi="fa-IR"/>
        </w:rPr>
        <w:t>سعين</w:t>
      </w:r>
      <w:r w:rsidRPr="00904FCB">
        <w:rPr>
          <w:rFonts w:ascii="Times New Roman" w:hAnsi="Times New Roman"/>
          <w:sz w:val="27"/>
          <w:rtl/>
          <w:lang w:bidi="fa-IR"/>
        </w:rPr>
        <w:t xml:space="preserve"> </w:t>
      </w:r>
      <w:r w:rsidRPr="00904FCB">
        <w:rPr>
          <w:rFonts w:ascii="Times New Roman" w:hAnsi="Times New Roman" w:hint="cs"/>
          <w:sz w:val="27"/>
          <w:rtl/>
          <w:lang w:bidi="fa-IR"/>
        </w:rPr>
        <w:t>المتعلّ</w:t>
      </w:r>
      <w:r w:rsidR="000E0D39" w:rsidRPr="00904FCB">
        <w:rPr>
          <w:rFonts w:ascii="Times New Roman" w:hAnsi="Times New Roman" w:hint="cs"/>
          <w:sz w:val="27"/>
          <w:rtl/>
          <w:lang w:bidi="fa-IR"/>
        </w:rPr>
        <w:t>ِقة</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بحجّية</w:t>
      </w:r>
      <w:r w:rsidRPr="00904FCB">
        <w:rPr>
          <w:rFonts w:ascii="Times New Roman" w:hAnsi="Times New Roman"/>
          <w:sz w:val="27"/>
          <w:rtl/>
          <w:lang w:bidi="fa-IR"/>
        </w:rPr>
        <w:t xml:space="preserve"> </w:t>
      </w:r>
      <w:r w:rsidRPr="00904FCB">
        <w:rPr>
          <w:rFonts w:ascii="Times New Roman" w:hAnsi="Times New Roman" w:hint="cs"/>
          <w:sz w:val="27"/>
          <w:rtl/>
          <w:lang w:bidi="fa-IR"/>
        </w:rPr>
        <w:t>است</w:t>
      </w:r>
      <w:r w:rsidR="000E0D39" w:rsidRPr="00904FCB">
        <w:rPr>
          <w:rFonts w:ascii="Times New Roman" w:hAnsi="Times New Roman" w:hint="cs"/>
          <w:sz w:val="27"/>
          <w:rtl/>
          <w:lang w:bidi="fa-IR"/>
        </w:rPr>
        <w:t>ص</w:t>
      </w:r>
      <w:r w:rsidRPr="00904FCB">
        <w:rPr>
          <w:rFonts w:ascii="Times New Roman" w:hAnsi="Times New Roman" w:hint="cs"/>
          <w:sz w:val="27"/>
          <w:rtl/>
          <w:lang w:bidi="fa-IR"/>
        </w:rPr>
        <w:t>حاب</w:t>
      </w:r>
      <w:r w:rsidRPr="00904FCB">
        <w:rPr>
          <w:rFonts w:ascii="Times New Roman" w:hAnsi="Times New Roman"/>
          <w:sz w:val="27"/>
          <w:rtl/>
          <w:lang w:bidi="fa-IR"/>
        </w:rPr>
        <w:t xml:space="preserve"> </w:t>
      </w:r>
      <w:r w:rsidRPr="00904FCB">
        <w:rPr>
          <w:rFonts w:ascii="Times New Roman" w:hAnsi="Times New Roman" w:hint="cs"/>
          <w:sz w:val="27"/>
          <w:rtl/>
          <w:lang w:bidi="fa-IR"/>
        </w:rPr>
        <w:t>الحال</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إن</w:t>
      </w:r>
      <w:r w:rsidRPr="00904FCB">
        <w:rPr>
          <w:rFonts w:ascii="Times New Roman" w:hAnsi="Times New Roman"/>
          <w:sz w:val="27"/>
          <w:rtl/>
          <w:lang w:bidi="fa-IR"/>
        </w:rPr>
        <w:t xml:space="preserve"> </w:t>
      </w:r>
      <w:r w:rsidRPr="00904FCB">
        <w:rPr>
          <w:rFonts w:ascii="Times New Roman" w:hAnsi="Times New Roman" w:hint="cs"/>
          <w:sz w:val="27"/>
          <w:rtl/>
          <w:lang w:bidi="fa-IR"/>
        </w:rPr>
        <w:t>الأصل</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في </w:t>
      </w:r>
      <w:r w:rsidRPr="00904FCB">
        <w:rPr>
          <w:rFonts w:ascii="Times New Roman" w:hAnsi="Times New Roman"/>
          <w:sz w:val="27"/>
          <w:rtl/>
          <w:lang w:bidi="fa-IR"/>
        </w:rPr>
        <w:t>كلّ حادث تقد</w:t>
      </w:r>
      <w:r w:rsidRPr="00904FCB">
        <w:rPr>
          <w:rFonts w:ascii="Times New Roman" w:hAnsi="Times New Roman" w:hint="cs"/>
          <w:sz w:val="27"/>
          <w:rtl/>
          <w:lang w:bidi="fa-IR"/>
        </w:rPr>
        <w:t>يره</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أقرب زمان)، وبعد شرح القاعدة وب</w:t>
      </w:r>
      <w:r w:rsidR="000E0D39" w:rsidRPr="00904FCB">
        <w:rPr>
          <w:rFonts w:ascii="Times New Roman" w:hAnsi="Times New Roman" w:hint="cs"/>
          <w:sz w:val="27"/>
          <w:rtl/>
          <w:lang w:bidi="fa-IR"/>
        </w:rPr>
        <w:t>يان</w:t>
      </w:r>
      <w:r w:rsidRPr="00904FCB">
        <w:rPr>
          <w:rFonts w:ascii="Times New Roman" w:hAnsi="Times New Roman"/>
          <w:sz w:val="27"/>
          <w:rtl/>
          <w:lang w:bidi="fa-IR"/>
        </w:rPr>
        <w:t xml:space="preserve"> </w:t>
      </w:r>
      <w:r w:rsidRPr="00904FCB">
        <w:rPr>
          <w:rFonts w:ascii="Times New Roman" w:hAnsi="Times New Roman" w:hint="cs"/>
          <w:sz w:val="27"/>
          <w:rtl/>
          <w:lang w:bidi="fa-IR"/>
        </w:rPr>
        <w:t>أقسامها</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ورسالت</w:t>
      </w:r>
      <w:r w:rsidRPr="00904FCB">
        <w:rPr>
          <w:rFonts w:ascii="Times New Roman" w:hAnsi="Times New Roman" w:hint="cs"/>
          <w:sz w:val="27"/>
          <w:rtl/>
          <w:lang w:bidi="fa-IR"/>
        </w:rPr>
        <w:t xml:space="preserve">ها، </w:t>
      </w:r>
      <w:r w:rsidR="000E0D39" w:rsidRPr="00904FCB">
        <w:rPr>
          <w:rFonts w:ascii="Times New Roman" w:hAnsi="Times New Roman" w:hint="cs"/>
          <w:sz w:val="27"/>
          <w:rtl/>
          <w:lang w:bidi="fa-IR"/>
        </w:rPr>
        <w:t xml:space="preserve">يذكر </w:t>
      </w:r>
      <w:r w:rsidRPr="00904FCB">
        <w:rPr>
          <w:rFonts w:ascii="Times New Roman" w:hAnsi="Times New Roman" w:hint="cs"/>
          <w:sz w:val="27"/>
          <w:rtl/>
          <w:lang w:bidi="fa-IR"/>
        </w:rPr>
        <w:t>لها</w:t>
      </w:r>
      <w:r w:rsidRPr="00904FCB">
        <w:rPr>
          <w:rFonts w:ascii="Times New Roman" w:hAnsi="Times New Roman"/>
          <w:sz w:val="27"/>
          <w:rtl/>
          <w:lang w:bidi="fa-IR"/>
        </w:rPr>
        <w:t xml:space="preserve"> </w:t>
      </w:r>
      <w:r w:rsidRPr="00904FCB">
        <w:rPr>
          <w:rFonts w:ascii="Times New Roman" w:hAnsi="Times New Roman" w:hint="cs"/>
          <w:sz w:val="27"/>
          <w:rtl/>
          <w:lang w:bidi="fa-IR"/>
        </w:rPr>
        <w:t>أكثر</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عشرين</w:t>
      </w:r>
      <w:r w:rsidRPr="00904FCB">
        <w:rPr>
          <w:rFonts w:ascii="Times New Roman" w:hAnsi="Times New Roman"/>
          <w:sz w:val="27"/>
          <w:rtl/>
          <w:lang w:bidi="fa-IR"/>
        </w:rPr>
        <w:t xml:space="preserve"> </w:t>
      </w:r>
      <w:r w:rsidRPr="00904FCB">
        <w:rPr>
          <w:rFonts w:ascii="Times New Roman" w:hAnsi="Times New Roman" w:hint="cs"/>
          <w:sz w:val="27"/>
          <w:rtl/>
          <w:lang w:bidi="fa-IR"/>
        </w:rPr>
        <w:t>م</w:t>
      </w:r>
      <w:r w:rsidRPr="00904FCB">
        <w:rPr>
          <w:rFonts w:ascii="Times New Roman" w:hAnsi="Times New Roman"/>
          <w:sz w:val="27"/>
          <w:rtl/>
          <w:lang w:bidi="fa-IR"/>
        </w:rPr>
        <w:t>صداق</w:t>
      </w:r>
      <w:r w:rsidR="000E0D39" w:rsidRPr="00904FCB">
        <w:rPr>
          <w:rFonts w:ascii="Times New Roman" w:hAnsi="Times New Roman" w:hint="cs"/>
          <w:sz w:val="27"/>
          <w:rtl/>
          <w:lang w:bidi="fa-IR"/>
        </w:rPr>
        <w:t>اً</w:t>
      </w:r>
      <w:r w:rsidRPr="00904FCB">
        <w:rPr>
          <w:rFonts w:ascii="Times New Roman" w:hAnsi="Times New Roman"/>
          <w:sz w:val="27"/>
          <w:rtl/>
          <w:lang w:bidi="fa-IR"/>
        </w:rPr>
        <w:t>، و</w:t>
      </w:r>
      <w:r w:rsidRPr="00904FCB">
        <w:rPr>
          <w:rFonts w:ascii="Times New Roman" w:hAnsi="Times New Roman" w:hint="cs"/>
          <w:sz w:val="27"/>
          <w:rtl/>
          <w:lang w:bidi="fa-IR"/>
        </w:rPr>
        <w:t>يطبّق</w:t>
      </w:r>
      <w:r w:rsidRPr="00904FCB">
        <w:rPr>
          <w:rFonts w:ascii="Times New Roman" w:hAnsi="Times New Roman"/>
          <w:sz w:val="27"/>
          <w:rtl/>
          <w:lang w:bidi="fa-IR"/>
        </w:rPr>
        <w:t xml:space="preserve"> </w:t>
      </w:r>
      <w:r w:rsidRPr="00904FCB">
        <w:rPr>
          <w:rFonts w:ascii="Times New Roman" w:hAnsi="Times New Roman" w:hint="cs"/>
          <w:sz w:val="27"/>
          <w:rtl/>
          <w:lang w:bidi="fa-IR"/>
        </w:rPr>
        <w:t>القاعدة</w:t>
      </w:r>
      <w:r w:rsidRPr="00904FCB">
        <w:rPr>
          <w:rFonts w:ascii="Times New Roman" w:hAnsi="Times New Roman"/>
          <w:sz w:val="27"/>
          <w:rtl/>
          <w:lang w:bidi="fa-IR"/>
        </w:rPr>
        <w:t xml:space="preserve"> على </w:t>
      </w:r>
      <w:r w:rsidRPr="00904FCB">
        <w:rPr>
          <w:rFonts w:ascii="Times New Roman" w:hAnsi="Times New Roman" w:hint="cs"/>
          <w:sz w:val="27"/>
          <w:rtl/>
          <w:lang w:bidi="fa-IR"/>
        </w:rPr>
        <w:t>كلِّ</w:t>
      </w:r>
      <w:r w:rsidRPr="00904FCB">
        <w:rPr>
          <w:rFonts w:ascii="Times New Roman" w:hAnsi="Times New Roman"/>
          <w:sz w:val="27"/>
          <w:rtl/>
          <w:lang w:bidi="fa-IR"/>
        </w:rPr>
        <w:t xml:space="preserve"> </w:t>
      </w:r>
      <w:r w:rsidRPr="00904FCB">
        <w:rPr>
          <w:rFonts w:ascii="Times New Roman" w:hAnsi="Times New Roman" w:hint="cs"/>
          <w:sz w:val="27"/>
          <w:rtl/>
          <w:lang w:bidi="fa-IR"/>
        </w:rPr>
        <w:t>هذه</w:t>
      </w:r>
      <w:r w:rsidRPr="00904FCB">
        <w:rPr>
          <w:rFonts w:ascii="Times New Roman" w:hAnsi="Times New Roman"/>
          <w:sz w:val="27"/>
          <w:rtl/>
          <w:lang w:bidi="fa-IR"/>
        </w:rPr>
        <w:t xml:space="preserve"> </w:t>
      </w:r>
      <w:r w:rsidRPr="00904FCB">
        <w:rPr>
          <w:rFonts w:ascii="Times New Roman" w:hAnsi="Times New Roman" w:hint="cs"/>
          <w:sz w:val="27"/>
          <w:rtl/>
          <w:lang w:bidi="fa-IR"/>
        </w:rPr>
        <w:t>المصاديق</w:t>
      </w:r>
      <w:r w:rsidRPr="00904FCB">
        <w:rPr>
          <w:rFonts w:ascii="Times New Roman" w:hAnsi="Times New Roman"/>
          <w:sz w:val="27"/>
          <w:rtl/>
          <w:lang w:bidi="fa-IR"/>
        </w:rPr>
        <w:t xml:space="preserve">. </w:t>
      </w:r>
    </w:p>
    <w:p w:rsidR="00057E24" w:rsidRPr="00904FCB" w:rsidRDefault="000E0D39" w:rsidP="0029271A">
      <w:pPr>
        <w:spacing w:line="420" w:lineRule="exact"/>
        <w:ind w:firstLine="561"/>
        <w:rPr>
          <w:rFonts w:ascii="Times New Roman" w:hAnsi="Times New Roman"/>
          <w:sz w:val="27"/>
          <w:rtl/>
          <w:lang w:bidi="fa-IR"/>
        </w:rPr>
      </w:pPr>
      <w:r w:rsidRPr="00904FCB">
        <w:rPr>
          <w:rFonts w:ascii="Times New Roman" w:hAnsi="Times New Roman"/>
          <w:sz w:val="27"/>
          <w:rtl/>
          <w:lang w:bidi="fa-IR"/>
        </w:rPr>
        <w:t>و</w:t>
      </w:r>
      <w:r w:rsidR="00057E24" w:rsidRPr="00904FCB">
        <w:rPr>
          <w:rFonts w:ascii="Times New Roman" w:hAnsi="Times New Roman"/>
          <w:sz w:val="27"/>
          <w:rtl/>
          <w:lang w:bidi="fa-IR"/>
        </w:rPr>
        <w:t>كذلك ف</w:t>
      </w:r>
      <w:r w:rsidR="00057E24" w:rsidRPr="00904FCB">
        <w:rPr>
          <w:rFonts w:ascii="Times New Roman" w:hAnsi="Times New Roman" w:hint="cs"/>
          <w:sz w:val="27"/>
          <w:rtl/>
          <w:lang w:bidi="fa-IR"/>
        </w:rPr>
        <w:t>ي</w:t>
      </w:r>
      <w:r w:rsidRPr="00904FCB">
        <w:rPr>
          <w:rFonts w:ascii="Times New Roman" w:hAnsi="Times New Roman"/>
          <w:sz w:val="27"/>
          <w:rtl/>
          <w:lang w:bidi="fa-IR"/>
        </w:rPr>
        <w:t xml:space="preserve"> القاعدة الثام</w:t>
      </w:r>
      <w:r w:rsidR="00057E24" w:rsidRPr="00904FCB">
        <w:rPr>
          <w:rFonts w:ascii="Times New Roman" w:hAnsi="Times New Roman"/>
          <w:sz w:val="27"/>
          <w:rtl/>
          <w:lang w:bidi="fa-IR"/>
        </w:rPr>
        <w:t>نة والتسع</w:t>
      </w:r>
      <w:r w:rsidR="00057E24" w:rsidRPr="00904FCB">
        <w:rPr>
          <w:rFonts w:ascii="Times New Roman" w:hAnsi="Times New Roman" w:hint="cs"/>
          <w:sz w:val="27"/>
          <w:rtl/>
          <w:lang w:bidi="fa-IR"/>
        </w:rPr>
        <w:t>ين</w:t>
      </w:r>
      <w:r w:rsidRPr="00904FCB">
        <w:rPr>
          <w:rFonts w:ascii="Times New Roman" w:hAnsi="Times New Roman" w:hint="cs"/>
          <w:sz w:val="27"/>
          <w:rtl/>
          <w:lang w:bidi="fa-IR"/>
        </w:rPr>
        <w:t>،</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والتي</w:t>
      </w:r>
      <w:r w:rsidRPr="00904FCB">
        <w:rPr>
          <w:rFonts w:ascii="Times New Roman" w:hAnsi="Times New Roman"/>
          <w:sz w:val="27"/>
          <w:rtl/>
          <w:lang w:bidi="fa-IR"/>
        </w:rPr>
        <w:t xml:space="preserve"> تنصّ</w:t>
      </w:r>
      <w:r w:rsidR="00057E24" w:rsidRPr="00904FCB">
        <w:rPr>
          <w:rFonts w:ascii="Times New Roman" w:hAnsi="Times New Roman"/>
          <w:sz w:val="27"/>
          <w:rtl/>
          <w:lang w:bidi="fa-IR"/>
        </w:rPr>
        <w:t xml:space="preserve"> على </w:t>
      </w:r>
      <w:r w:rsidR="00057E24" w:rsidRPr="00904FCB">
        <w:rPr>
          <w:rFonts w:ascii="Times New Roman" w:hAnsi="Times New Roman" w:hint="cs"/>
          <w:sz w:val="27"/>
          <w:rtl/>
          <w:lang w:bidi="fa-IR"/>
        </w:rPr>
        <w:t>أنّه</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لو</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تعارض</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أصلان</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يُعمَل</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بأرجح</w:t>
      </w:r>
      <w:r w:rsidR="00057E24" w:rsidRPr="00904FCB">
        <w:rPr>
          <w:rFonts w:ascii="Times New Roman" w:hAnsi="Times New Roman" w:hint="cs"/>
          <w:sz w:val="27"/>
          <w:rtl/>
          <w:lang w:bidi="fa-IR"/>
        </w:rPr>
        <w:t xml:space="preserve">هما، </w:t>
      </w:r>
      <w:r w:rsidRPr="00904FCB">
        <w:rPr>
          <w:rFonts w:ascii="Times New Roman" w:hAnsi="Times New Roman" w:hint="cs"/>
          <w:sz w:val="27"/>
          <w:rtl/>
          <w:lang w:bidi="fa-IR"/>
        </w:rPr>
        <w:t>ط</w:t>
      </w:r>
      <w:r w:rsidR="00057E24" w:rsidRPr="00904FCB">
        <w:rPr>
          <w:rFonts w:ascii="Times New Roman" w:hAnsi="Times New Roman"/>
          <w:sz w:val="27"/>
          <w:rtl/>
          <w:lang w:bidi="fa-IR"/>
        </w:rPr>
        <w:t>بّ</w:t>
      </w:r>
      <w:r w:rsidRPr="00904FCB">
        <w:rPr>
          <w:rFonts w:ascii="Times New Roman" w:hAnsi="Times New Roman" w:hint="cs"/>
          <w:sz w:val="27"/>
          <w:rtl/>
          <w:lang w:bidi="fa-IR"/>
        </w:rPr>
        <w:t>َ</w:t>
      </w:r>
      <w:r w:rsidR="00057E24" w:rsidRPr="00904FCB">
        <w:rPr>
          <w:rFonts w:ascii="Times New Roman" w:hAnsi="Times New Roman"/>
          <w:sz w:val="27"/>
          <w:rtl/>
          <w:lang w:bidi="fa-IR"/>
        </w:rPr>
        <w:t>ق هذه القاعدة‌</w:t>
      </w:r>
      <w:r w:rsidRPr="00904FCB">
        <w:rPr>
          <w:rFonts w:ascii="Times New Roman" w:hAnsi="Times New Roman" w:hint="cs"/>
          <w:sz w:val="27"/>
          <w:rtl/>
          <w:lang w:bidi="fa-IR"/>
        </w:rPr>
        <w:t xml:space="preserve"> </w:t>
      </w:r>
      <w:r w:rsidR="00057E24" w:rsidRPr="00904FCB">
        <w:rPr>
          <w:rFonts w:ascii="Times New Roman" w:hAnsi="Times New Roman"/>
          <w:sz w:val="27"/>
          <w:rtl/>
          <w:lang w:bidi="fa-IR"/>
        </w:rPr>
        <w:t>عل</w:t>
      </w:r>
      <w:r w:rsidRPr="00904FCB">
        <w:rPr>
          <w:rFonts w:ascii="Times New Roman" w:hAnsi="Times New Roman" w:hint="cs"/>
          <w:sz w:val="27"/>
          <w:rtl/>
          <w:lang w:bidi="fa-IR"/>
        </w:rPr>
        <w:t>ى</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أكثر</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من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أربعين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مورد</w:t>
      </w:r>
      <w:r w:rsidRPr="00904FCB">
        <w:rPr>
          <w:rFonts w:ascii="Times New Roman" w:hAnsi="Times New Roman" w:hint="cs"/>
          <w:sz w:val="27"/>
          <w:rtl/>
          <w:lang w:bidi="fa-IR"/>
        </w:rPr>
        <w:t>اً</w:t>
      </w:r>
      <w:r w:rsidR="00057E24" w:rsidRPr="00904FCB">
        <w:rPr>
          <w:rFonts w:ascii="Times New Roman" w:hAnsi="Times New Roman"/>
          <w:sz w:val="27"/>
          <w:rtl/>
          <w:lang w:bidi="fa-IR"/>
        </w:rPr>
        <w:t xml:space="preserve">. </w:t>
      </w:r>
    </w:p>
    <w:p w:rsidR="00057E24" w:rsidRPr="00904FCB" w:rsidRDefault="00057E24"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lastRenderedPageBreak/>
        <w:t>وأمّا القاعدة</w:t>
      </w:r>
      <w:r w:rsidRPr="00904FCB">
        <w:rPr>
          <w:rFonts w:ascii="Times New Roman" w:hAnsi="Times New Roman" w:hint="cs"/>
          <w:sz w:val="27"/>
          <w:rtl/>
          <w:lang w:bidi="fa-IR"/>
        </w:rPr>
        <w:t xml:space="preserve"> </w:t>
      </w:r>
      <w:r w:rsidRPr="00904FCB">
        <w:rPr>
          <w:rFonts w:ascii="Times New Roman" w:hAnsi="Times New Roman"/>
          <w:sz w:val="27"/>
          <w:rtl/>
          <w:lang w:bidi="fa-IR"/>
        </w:rPr>
        <w:t>‌التاسعة والتسع</w:t>
      </w:r>
      <w:r w:rsidRPr="00904FCB">
        <w:rPr>
          <w:rFonts w:ascii="Times New Roman" w:hAnsi="Times New Roman" w:hint="cs"/>
          <w:sz w:val="27"/>
          <w:rtl/>
          <w:lang w:bidi="fa-IR"/>
        </w:rPr>
        <w:t>ين</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تعارض الأصل والظاهر، فقد أورد لها أكثر من خمس</w:t>
      </w:r>
      <w:r w:rsidRPr="00904FCB">
        <w:rPr>
          <w:rFonts w:ascii="Times New Roman" w:hAnsi="Times New Roman" w:hint="cs"/>
          <w:sz w:val="27"/>
          <w:rtl/>
          <w:lang w:bidi="fa-IR"/>
        </w:rPr>
        <w:t>ين</w:t>
      </w:r>
      <w:r w:rsidRPr="00904FCB">
        <w:rPr>
          <w:rFonts w:ascii="Times New Roman" w:hAnsi="Times New Roman"/>
          <w:sz w:val="27"/>
          <w:rtl/>
          <w:lang w:bidi="fa-IR"/>
        </w:rPr>
        <w:t xml:space="preserve"> </w:t>
      </w:r>
      <w:r w:rsidRPr="00904FCB">
        <w:rPr>
          <w:rFonts w:ascii="Times New Roman" w:hAnsi="Times New Roman" w:hint="cs"/>
          <w:sz w:val="27"/>
          <w:rtl/>
          <w:lang w:bidi="fa-IR"/>
        </w:rPr>
        <w:t>مصداقاً</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مرفقةً</w:t>
      </w:r>
      <w:r w:rsidRPr="00904FCB">
        <w:rPr>
          <w:rFonts w:ascii="Times New Roman" w:hAnsi="Times New Roman"/>
          <w:sz w:val="27"/>
          <w:rtl/>
          <w:lang w:bidi="fa-IR"/>
        </w:rPr>
        <w:t xml:space="preserve"> </w:t>
      </w:r>
      <w:r w:rsidRPr="00904FCB">
        <w:rPr>
          <w:rFonts w:ascii="Times New Roman" w:hAnsi="Times New Roman" w:hint="cs"/>
          <w:sz w:val="27"/>
          <w:rtl/>
          <w:lang w:bidi="fa-IR"/>
        </w:rPr>
        <w:t>بمباحثها</w:t>
      </w:r>
      <w:r w:rsidRPr="00904FCB">
        <w:rPr>
          <w:rFonts w:ascii="Times New Roman" w:hAnsi="Times New Roman"/>
          <w:sz w:val="27"/>
          <w:rtl/>
          <w:lang w:bidi="fa-IR"/>
        </w:rPr>
        <w:t xml:space="preserve"> </w:t>
      </w:r>
      <w:r w:rsidRPr="00904FCB">
        <w:rPr>
          <w:rFonts w:ascii="Times New Roman" w:hAnsi="Times New Roman" w:hint="cs"/>
          <w:sz w:val="27"/>
          <w:rtl/>
          <w:lang w:bidi="fa-IR"/>
        </w:rPr>
        <w:t>التطبيقية</w:t>
      </w:r>
      <w:r w:rsidRPr="00904FCB">
        <w:rPr>
          <w:rFonts w:ascii="Times New Roman" w:hAnsi="Times New Roman"/>
          <w:sz w:val="27"/>
          <w:rtl/>
          <w:lang w:bidi="fa-IR"/>
        </w:rPr>
        <w:t xml:space="preserve"> </w:t>
      </w:r>
      <w:r w:rsidRPr="00904FCB">
        <w:rPr>
          <w:rFonts w:ascii="Times New Roman" w:hAnsi="Times New Roman" w:hint="cs"/>
          <w:sz w:val="27"/>
          <w:rtl/>
          <w:lang w:bidi="fa-IR"/>
        </w:rPr>
        <w:t>التفصيلية</w:t>
      </w:r>
      <w:r w:rsidRPr="00904FCB">
        <w:rPr>
          <w:rFonts w:ascii="Times New Roman" w:hAnsi="Times New Roman"/>
          <w:sz w:val="27"/>
          <w:rtl/>
          <w:lang w:bidi="fa-IR"/>
        </w:rPr>
        <w:t xml:space="preserve">. </w:t>
      </w:r>
    </w:p>
    <w:p w:rsidR="00057E24" w:rsidRPr="00904FCB" w:rsidRDefault="00057E24" w:rsidP="001A1A02">
      <w:pPr>
        <w:ind w:firstLine="561"/>
        <w:rPr>
          <w:rFonts w:ascii="Times New Roman" w:hAnsi="Times New Roman"/>
          <w:sz w:val="27"/>
          <w:rtl/>
          <w:lang w:bidi="fa-IR"/>
        </w:rPr>
      </w:pPr>
      <w:r w:rsidRPr="00904FCB">
        <w:rPr>
          <w:rFonts w:ascii="Times New Roman" w:hAnsi="Times New Roman"/>
          <w:sz w:val="27"/>
          <w:rtl/>
          <w:lang w:bidi="fa-IR"/>
        </w:rPr>
        <w:t>هذا التم</w:t>
      </w:r>
      <w:r w:rsidRPr="00904FCB">
        <w:rPr>
          <w:rFonts w:ascii="Times New Roman" w:hAnsi="Times New Roman" w:hint="cs"/>
          <w:sz w:val="27"/>
          <w:rtl/>
          <w:lang w:bidi="fa-IR"/>
        </w:rPr>
        <w:t>ي</w:t>
      </w:r>
      <w:r w:rsidR="000E0D39" w:rsidRPr="00904FCB">
        <w:rPr>
          <w:rFonts w:ascii="Times New Roman" w:hAnsi="Times New Roman" w:hint="cs"/>
          <w:sz w:val="27"/>
          <w:rtl/>
          <w:lang w:bidi="fa-IR"/>
        </w:rPr>
        <w:t>ُّ</w:t>
      </w:r>
      <w:r w:rsidRPr="00904FCB">
        <w:rPr>
          <w:rFonts w:ascii="Times New Roman" w:hAnsi="Times New Roman" w:hint="cs"/>
          <w:sz w:val="27"/>
          <w:rtl/>
          <w:lang w:bidi="fa-IR"/>
        </w:rPr>
        <w:t>ز</w:t>
      </w:r>
      <w:r w:rsidRPr="00904FCB">
        <w:rPr>
          <w:rFonts w:ascii="Times New Roman" w:hAnsi="Times New Roman"/>
          <w:sz w:val="27"/>
          <w:rtl/>
          <w:lang w:bidi="fa-IR"/>
        </w:rPr>
        <w:t xml:space="preserve"> </w:t>
      </w:r>
      <w:r w:rsidRPr="00904FCB">
        <w:rPr>
          <w:rFonts w:ascii="Times New Roman" w:hAnsi="Times New Roman" w:hint="cs"/>
          <w:sz w:val="27"/>
          <w:rtl/>
          <w:lang w:bidi="fa-IR"/>
        </w:rPr>
        <w:t>والإبداع</w:t>
      </w:r>
      <w:r w:rsidRPr="00904FCB">
        <w:rPr>
          <w:rFonts w:ascii="Times New Roman" w:hAnsi="Times New Roman"/>
          <w:sz w:val="27"/>
          <w:rtl/>
          <w:lang w:bidi="fa-IR"/>
        </w:rPr>
        <w:t xml:space="preserve"> </w:t>
      </w:r>
      <w:r w:rsidRPr="00904FCB">
        <w:rPr>
          <w:rFonts w:ascii="Times New Roman" w:hAnsi="Times New Roman" w:hint="cs"/>
          <w:sz w:val="27"/>
          <w:rtl/>
          <w:lang w:bidi="fa-IR"/>
        </w:rPr>
        <w:t>يمنح</w:t>
      </w:r>
      <w:r w:rsidRPr="00904FCB">
        <w:rPr>
          <w:rFonts w:ascii="Times New Roman" w:hAnsi="Times New Roman"/>
          <w:sz w:val="27"/>
          <w:rtl/>
          <w:lang w:bidi="fa-IR"/>
        </w:rPr>
        <w:t xml:space="preserve"> الشهيد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مكانةً</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عالية</w:t>
      </w:r>
      <w:r w:rsidRPr="00904FCB">
        <w:rPr>
          <w:rFonts w:ascii="Times New Roman" w:hAnsi="Times New Roman"/>
          <w:sz w:val="27"/>
          <w:rtl/>
          <w:lang w:bidi="fa-IR"/>
        </w:rPr>
        <w:t xml:space="preserve"> </w:t>
      </w:r>
      <w:r w:rsidRPr="00904FCB">
        <w:rPr>
          <w:rFonts w:ascii="Times New Roman" w:hAnsi="Times New Roman" w:hint="cs"/>
          <w:sz w:val="27"/>
          <w:rtl/>
          <w:lang w:bidi="fa-IR"/>
        </w:rPr>
        <w:t>ومقاماً</w:t>
      </w:r>
      <w:r w:rsidRPr="00904FCB">
        <w:rPr>
          <w:rFonts w:ascii="Times New Roman" w:hAnsi="Times New Roman"/>
          <w:sz w:val="27"/>
          <w:rtl/>
          <w:lang w:bidi="fa-IR"/>
        </w:rPr>
        <w:t xml:space="preserve"> </w:t>
      </w:r>
      <w:r w:rsidRPr="00904FCB">
        <w:rPr>
          <w:rFonts w:ascii="Times New Roman" w:hAnsi="Times New Roman" w:hint="cs"/>
          <w:sz w:val="27"/>
          <w:rtl/>
          <w:lang w:bidi="fa-IR"/>
        </w:rPr>
        <w:t>مرموقاً</w:t>
      </w:r>
      <w:r w:rsidRPr="00904FCB">
        <w:rPr>
          <w:rFonts w:ascii="Times New Roman" w:hAnsi="Times New Roman"/>
          <w:sz w:val="27"/>
          <w:rtl/>
          <w:lang w:bidi="fa-IR"/>
        </w:rPr>
        <w:t xml:space="preserve"> </w:t>
      </w:r>
      <w:r w:rsidRPr="00904FCB">
        <w:rPr>
          <w:rFonts w:ascii="Times New Roman" w:hAnsi="Times New Roman" w:hint="cs"/>
          <w:sz w:val="27"/>
          <w:rtl/>
          <w:lang w:bidi="fa-IR"/>
        </w:rPr>
        <w:t>بين</w:t>
      </w:r>
      <w:r w:rsidRPr="00904FCB">
        <w:rPr>
          <w:rFonts w:ascii="Times New Roman" w:hAnsi="Times New Roman"/>
          <w:sz w:val="27"/>
          <w:rtl/>
          <w:lang w:bidi="fa-IR"/>
        </w:rPr>
        <w:t xml:space="preserve"> </w:t>
      </w:r>
      <w:r w:rsidRPr="00904FCB">
        <w:rPr>
          <w:rFonts w:ascii="Times New Roman" w:hAnsi="Times New Roman" w:hint="cs"/>
          <w:sz w:val="27"/>
          <w:rtl/>
          <w:lang w:bidi="fa-IR"/>
        </w:rPr>
        <w:t>العلماء</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لأنّ ما</w:t>
      </w:r>
      <w:r w:rsidRPr="00904FCB">
        <w:rPr>
          <w:rFonts w:ascii="Times New Roman" w:hAnsi="Times New Roman" w:hint="cs"/>
          <w:sz w:val="27"/>
          <w:rtl/>
          <w:lang w:bidi="fa-IR"/>
        </w:rPr>
        <w:t xml:space="preserve"> </w:t>
      </w:r>
      <w:r w:rsidRPr="00904FCB">
        <w:rPr>
          <w:rFonts w:ascii="Times New Roman" w:hAnsi="Times New Roman"/>
          <w:sz w:val="27"/>
          <w:rtl/>
          <w:lang w:bidi="fa-IR"/>
        </w:rPr>
        <w:t>أنجزه ل</w:t>
      </w:r>
      <w:r w:rsidRPr="00904FCB">
        <w:rPr>
          <w:rFonts w:ascii="Times New Roman" w:hAnsi="Times New Roman" w:hint="cs"/>
          <w:sz w:val="27"/>
          <w:rtl/>
          <w:lang w:bidi="fa-IR"/>
        </w:rPr>
        <w:t>يس</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م</w:t>
      </w:r>
      <w:r w:rsidRPr="00904FCB">
        <w:rPr>
          <w:rFonts w:ascii="Times New Roman" w:hAnsi="Times New Roman" w:hint="cs"/>
          <w:sz w:val="27"/>
          <w:rtl/>
          <w:lang w:bidi="fa-IR"/>
        </w:rPr>
        <w:t>تاحاً</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ومت</w:t>
      </w:r>
      <w:r w:rsidRPr="00904FCB">
        <w:rPr>
          <w:rFonts w:ascii="Times New Roman" w:hAnsi="Times New Roman" w:hint="cs"/>
          <w:sz w:val="27"/>
          <w:rtl/>
          <w:lang w:bidi="fa-IR"/>
        </w:rPr>
        <w:t>يسّ</w:t>
      </w:r>
      <w:r w:rsidR="000E0D39" w:rsidRPr="00904FCB">
        <w:rPr>
          <w:rFonts w:ascii="Times New Roman" w:hAnsi="Times New Roman" w:hint="cs"/>
          <w:sz w:val="27"/>
          <w:rtl/>
          <w:lang w:bidi="fa-IR"/>
        </w:rPr>
        <w:t>ِ</w:t>
      </w:r>
      <w:r w:rsidRPr="00904FCB">
        <w:rPr>
          <w:rFonts w:ascii="Times New Roman" w:hAnsi="Times New Roman" w:hint="cs"/>
          <w:sz w:val="27"/>
          <w:rtl/>
          <w:lang w:bidi="fa-IR"/>
        </w:rPr>
        <w:t>راً</w:t>
      </w:r>
      <w:r w:rsidRPr="00904FCB">
        <w:rPr>
          <w:rFonts w:ascii="Times New Roman" w:hAnsi="Times New Roman"/>
          <w:sz w:val="27"/>
          <w:rtl/>
          <w:lang w:bidi="fa-IR"/>
        </w:rPr>
        <w:t xml:space="preserve"> </w:t>
      </w:r>
      <w:r w:rsidRPr="00904FCB">
        <w:rPr>
          <w:rFonts w:ascii="Times New Roman" w:hAnsi="Times New Roman" w:hint="cs"/>
          <w:sz w:val="27"/>
          <w:rtl/>
          <w:lang w:bidi="fa-IR"/>
        </w:rPr>
        <w:t>لكلّ</w:t>
      </w:r>
      <w:r w:rsidRPr="00904FCB">
        <w:rPr>
          <w:rFonts w:ascii="Times New Roman" w:hAnsi="Times New Roman"/>
          <w:sz w:val="27"/>
          <w:rtl/>
          <w:lang w:bidi="fa-IR"/>
        </w:rPr>
        <w:t xml:space="preserve"> </w:t>
      </w:r>
      <w:r w:rsidRPr="00904FCB">
        <w:rPr>
          <w:rFonts w:ascii="Times New Roman" w:hAnsi="Times New Roman" w:hint="cs"/>
          <w:sz w:val="27"/>
          <w:rtl/>
          <w:lang w:bidi="fa-IR"/>
        </w:rPr>
        <w:t>فقيه، بل</w:t>
      </w:r>
      <w:r w:rsidRPr="00904FCB">
        <w:rPr>
          <w:rFonts w:ascii="Times New Roman" w:hAnsi="Times New Roman"/>
          <w:sz w:val="27"/>
          <w:rtl/>
          <w:lang w:bidi="fa-IR"/>
        </w:rPr>
        <w:t xml:space="preserve"> </w:t>
      </w:r>
      <w:r w:rsidRPr="00904FCB">
        <w:rPr>
          <w:rFonts w:ascii="Times New Roman" w:hAnsi="Times New Roman" w:hint="cs"/>
          <w:sz w:val="27"/>
          <w:rtl/>
          <w:lang w:bidi="fa-IR"/>
        </w:rPr>
        <w:t>يحتاج</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الكثير</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الإحاطة</w:t>
      </w:r>
      <w:r w:rsidRPr="00904FCB">
        <w:rPr>
          <w:rFonts w:ascii="Times New Roman" w:hAnsi="Times New Roman"/>
          <w:sz w:val="27"/>
          <w:rtl/>
          <w:lang w:bidi="fa-IR"/>
        </w:rPr>
        <w:t xml:space="preserve"> </w:t>
      </w:r>
      <w:r w:rsidRPr="00904FCB">
        <w:rPr>
          <w:rFonts w:ascii="Times New Roman" w:hAnsi="Times New Roman" w:hint="cs"/>
          <w:sz w:val="27"/>
          <w:rtl/>
          <w:lang w:bidi="fa-IR"/>
        </w:rPr>
        <w:t>والاستيعاب</w:t>
      </w:r>
      <w:r w:rsidRPr="00904FCB">
        <w:rPr>
          <w:rFonts w:ascii="Times New Roman" w:hAnsi="Times New Roman"/>
          <w:sz w:val="27"/>
          <w:rtl/>
          <w:lang w:bidi="fa-IR"/>
        </w:rPr>
        <w:t xml:space="preserve">. </w:t>
      </w:r>
      <w:r w:rsidRPr="00904FCB">
        <w:rPr>
          <w:rFonts w:ascii="Times New Roman" w:hAnsi="Times New Roman" w:hint="cs"/>
          <w:sz w:val="27"/>
          <w:rtl/>
          <w:lang w:bidi="fa-IR"/>
        </w:rPr>
        <w:t>وهو</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جهة</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أخر</w:t>
      </w:r>
      <w:r w:rsidR="000E0D39" w:rsidRPr="00904FCB">
        <w:rPr>
          <w:rFonts w:ascii="Times New Roman" w:hAnsi="Times New Roman" w:hint="cs"/>
          <w:sz w:val="27"/>
          <w:rtl/>
          <w:lang w:bidi="fa-IR"/>
        </w:rPr>
        <w:t>ى</w:t>
      </w:r>
      <w:r w:rsidRPr="00904FCB">
        <w:rPr>
          <w:rFonts w:ascii="Times New Roman" w:hAnsi="Times New Roman" w:hint="cs"/>
          <w:sz w:val="27"/>
          <w:rtl/>
          <w:lang w:bidi="fa-IR"/>
        </w:rPr>
        <w:t xml:space="preserve"> يمنح</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طالب</w:t>
      </w:r>
      <w:r w:rsidRPr="00904FCB">
        <w:rPr>
          <w:rFonts w:ascii="Times New Roman" w:hAnsi="Times New Roman"/>
          <w:sz w:val="27"/>
          <w:rtl/>
          <w:lang w:bidi="fa-IR"/>
        </w:rPr>
        <w:t xml:space="preserve"> </w:t>
      </w:r>
      <w:r w:rsidRPr="00904FCB">
        <w:rPr>
          <w:rFonts w:ascii="Times New Roman" w:hAnsi="Times New Roman" w:hint="cs"/>
          <w:sz w:val="27"/>
          <w:rtl/>
          <w:lang w:bidi="fa-IR"/>
        </w:rPr>
        <w:t>العلم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القدرة</w:t>
      </w:r>
      <w:r w:rsidRPr="00904FCB">
        <w:rPr>
          <w:rFonts w:ascii="Times New Roman" w:hAnsi="Times New Roman"/>
          <w:sz w:val="27"/>
          <w:rtl/>
          <w:lang w:bidi="fa-IR"/>
        </w:rPr>
        <w:t xml:space="preserve"> </w:t>
      </w:r>
      <w:r w:rsidRPr="00904FCB">
        <w:rPr>
          <w:rFonts w:ascii="Times New Roman" w:hAnsi="Times New Roman" w:hint="cs"/>
          <w:sz w:val="27"/>
          <w:rtl/>
          <w:lang w:bidi="fa-IR"/>
        </w:rPr>
        <w:t>والتسلّط</w:t>
      </w:r>
      <w:r w:rsidRPr="00904FCB">
        <w:rPr>
          <w:rFonts w:ascii="Times New Roman" w:hAnsi="Times New Roman"/>
          <w:sz w:val="27"/>
          <w:rtl/>
          <w:lang w:bidi="fa-IR"/>
        </w:rPr>
        <w:t xml:space="preserve"> على </w:t>
      </w:r>
      <w:r w:rsidRPr="00904FCB">
        <w:rPr>
          <w:rFonts w:ascii="Times New Roman" w:hAnsi="Times New Roman" w:hint="cs"/>
          <w:sz w:val="27"/>
          <w:rtl/>
          <w:lang w:bidi="fa-IR"/>
        </w:rPr>
        <w:t>كيفية</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إعمال</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القواعد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الأصولية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الفقه</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الذ</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يعتبر</w:t>
      </w:r>
      <w:r w:rsidRPr="00904FCB">
        <w:rPr>
          <w:rFonts w:ascii="Times New Roman" w:hAnsi="Times New Roman"/>
          <w:sz w:val="27"/>
          <w:rtl/>
          <w:lang w:bidi="fa-IR"/>
        </w:rPr>
        <w:t xml:space="preserve"> </w:t>
      </w:r>
      <w:r w:rsidRPr="00904FCB">
        <w:rPr>
          <w:rFonts w:ascii="Times New Roman" w:hAnsi="Times New Roman" w:hint="cs"/>
          <w:sz w:val="27"/>
          <w:rtl/>
          <w:lang w:bidi="fa-IR"/>
        </w:rPr>
        <w:t>هدفه</w:t>
      </w:r>
      <w:r w:rsidRPr="00904FCB">
        <w:rPr>
          <w:rFonts w:ascii="Times New Roman" w:hAnsi="Times New Roman"/>
          <w:sz w:val="27"/>
          <w:rtl/>
          <w:lang w:bidi="fa-IR"/>
        </w:rPr>
        <w:t xml:space="preserve"> </w:t>
      </w:r>
      <w:r w:rsidRPr="00904FCB">
        <w:rPr>
          <w:rFonts w:ascii="Times New Roman" w:hAnsi="Times New Roman" w:hint="cs"/>
          <w:sz w:val="27"/>
          <w:rtl/>
          <w:lang w:bidi="fa-IR"/>
        </w:rPr>
        <w:t>الأساسي، ويخلّص</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عل</w:t>
      </w:r>
      <w:r w:rsidRPr="00904FCB">
        <w:rPr>
          <w:rFonts w:ascii="Times New Roman" w:hAnsi="Times New Roman" w:hint="cs"/>
          <w:sz w:val="27"/>
          <w:rtl/>
          <w:lang w:bidi="fa-IR"/>
        </w:rPr>
        <w:t>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التضخّ</w:t>
      </w:r>
      <w:r w:rsidR="000E0D39" w:rsidRPr="00904FCB">
        <w:rPr>
          <w:rFonts w:ascii="Times New Roman" w:hAnsi="Times New Roman" w:hint="cs"/>
          <w:sz w:val="27"/>
          <w:rtl/>
          <w:lang w:bidi="fa-IR"/>
        </w:rPr>
        <w:t>ُ</w:t>
      </w:r>
      <w:r w:rsidRPr="00904FCB">
        <w:rPr>
          <w:rFonts w:ascii="Times New Roman" w:hAnsi="Times New Roman" w:hint="cs"/>
          <w:sz w:val="27"/>
          <w:rtl/>
          <w:lang w:bidi="fa-IR"/>
        </w:rPr>
        <w:t xml:space="preserve">م، </w:t>
      </w:r>
      <w:r w:rsidR="000E0D39" w:rsidRPr="00904FCB">
        <w:rPr>
          <w:rFonts w:ascii="Times New Roman" w:hAnsi="Times New Roman" w:hint="cs"/>
          <w:sz w:val="27"/>
          <w:rtl/>
          <w:lang w:bidi="fa-IR"/>
        </w:rPr>
        <w:t>ويصون</w:t>
      </w:r>
      <w:r w:rsidRPr="00904FCB">
        <w:rPr>
          <w:rFonts w:ascii="Times New Roman" w:hAnsi="Times New Roman" w:hint="cs"/>
          <w:sz w:val="27"/>
          <w:rtl/>
          <w:lang w:bidi="fa-IR"/>
        </w:rPr>
        <w:t>ه</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الانحراف عن </w:t>
      </w:r>
      <w:r w:rsidRPr="00904FCB">
        <w:rPr>
          <w:rFonts w:ascii="Times New Roman" w:hAnsi="Times New Roman" w:hint="cs"/>
          <w:sz w:val="27"/>
          <w:rtl/>
          <w:lang w:bidi="fa-IR"/>
        </w:rPr>
        <w:t>مس</w:t>
      </w:r>
      <w:r w:rsidRPr="00904FCB">
        <w:rPr>
          <w:rFonts w:ascii="Times New Roman" w:hAnsi="Times New Roman"/>
          <w:sz w:val="27"/>
          <w:rtl/>
          <w:lang w:bidi="fa-IR"/>
        </w:rPr>
        <w:t>اره الأصل</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ـ</w:t>
      </w:r>
      <w:r w:rsidRPr="00904FCB">
        <w:rPr>
          <w:rFonts w:ascii="Times New Roman" w:hAnsi="Times New Roman"/>
          <w:sz w:val="27"/>
          <w:rtl/>
          <w:lang w:bidi="fa-IR"/>
        </w:rPr>
        <w:t xml:space="preserve"> </w:t>
      </w:r>
      <w:r w:rsidRPr="00904FCB">
        <w:rPr>
          <w:rFonts w:ascii="Times New Roman" w:hAnsi="Times New Roman" w:hint="cs"/>
          <w:sz w:val="27"/>
          <w:rtl/>
          <w:lang w:bidi="fa-IR"/>
        </w:rPr>
        <w:t>وهو</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000E0D39" w:rsidRPr="00904FCB">
        <w:rPr>
          <w:rFonts w:ascii="Times New Roman" w:hAnsi="Times New Roman" w:hint="cs"/>
          <w:sz w:val="27"/>
          <w:rtl/>
          <w:lang w:bidi="fa-IR"/>
        </w:rPr>
        <w:t>آ</w:t>
      </w:r>
      <w:r w:rsidRPr="00904FCB">
        <w:rPr>
          <w:rFonts w:ascii="Times New Roman" w:hAnsi="Times New Roman" w:hint="cs"/>
          <w:sz w:val="27"/>
          <w:rtl/>
          <w:lang w:bidi="fa-IR"/>
        </w:rPr>
        <w:t>لي</w:t>
      </w:r>
      <w:r w:rsidR="000E0D39" w:rsidRPr="00904FCB">
        <w:rPr>
          <w:rFonts w:ascii="Times New Roman" w:hAnsi="Times New Roman" w:hint="cs"/>
          <w:sz w:val="27"/>
          <w:rtl/>
          <w:lang w:bidi="fa-IR"/>
        </w:rPr>
        <w:t>ّ</w:t>
      </w:r>
      <w:r w:rsidRPr="00904FCB">
        <w:rPr>
          <w:rFonts w:ascii="Times New Roman" w:hAnsi="Times New Roman" w:hint="cs"/>
          <w:sz w:val="27"/>
          <w:rtl/>
          <w:lang w:bidi="fa-IR"/>
        </w:rPr>
        <w:t>ة</w:t>
      </w:r>
      <w:r w:rsidRPr="00904FCB">
        <w:rPr>
          <w:rFonts w:ascii="Times New Roman" w:hAnsi="Times New Roman"/>
          <w:sz w:val="27"/>
          <w:rtl/>
          <w:lang w:bidi="fa-IR"/>
        </w:rPr>
        <w:t xml:space="preserve"> و</w:t>
      </w:r>
      <w:r w:rsidRPr="00904FCB">
        <w:rPr>
          <w:rFonts w:ascii="Times New Roman" w:hAnsi="Times New Roman" w:hint="cs"/>
          <w:sz w:val="27"/>
          <w:rtl/>
          <w:lang w:bidi="fa-IR"/>
        </w:rPr>
        <w:t>المقدّمية</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ـ، </w:t>
      </w:r>
      <w:r w:rsidR="000E0D39" w:rsidRPr="00904FCB">
        <w:rPr>
          <w:rFonts w:ascii="Times New Roman" w:hAnsi="Times New Roman" w:hint="cs"/>
          <w:sz w:val="27"/>
          <w:rtl/>
          <w:lang w:bidi="fa-IR"/>
        </w:rPr>
        <w:t>ويحو</w:t>
      </w:r>
      <w:r w:rsidRPr="00904FCB">
        <w:rPr>
          <w:rFonts w:ascii="Times New Roman" w:hAnsi="Times New Roman" w:hint="cs"/>
          <w:sz w:val="27"/>
          <w:rtl/>
          <w:lang w:bidi="fa-IR"/>
        </w:rPr>
        <w:t>ل</w:t>
      </w:r>
      <w:r w:rsidRPr="00904FCB">
        <w:rPr>
          <w:rFonts w:ascii="Times New Roman" w:hAnsi="Times New Roman"/>
          <w:sz w:val="27"/>
          <w:rtl/>
          <w:lang w:bidi="fa-IR"/>
        </w:rPr>
        <w:t xml:space="preserve"> </w:t>
      </w:r>
      <w:r w:rsidRPr="00904FCB">
        <w:rPr>
          <w:rFonts w:ascii="Times New Roman" w:hAnsi="Times New Roman" w:hint="cs"/>
          <w:sz w:val="27"/>
          <w:rtl/>
          <w:lang w:bidi="fa-IR"/>
        </w:rPr>
        <w:t>دون</w:t>
      </w:r>
      <w:r w:rsidRPr="00904FCB">
        <w:rPr>
          <w:rFonts w:ascii="Times New Roman" w:hAnsi="Times New Roman"/>
          <w:sz w:val="27"/>
          <w:rtl/>
          <w:lang w:bidi="fa-IR"/>
        </w:rPr>
        <w:t xml:space="preserve"> </w:t>
      </w:r>
      <w:r w:rsidRPr="00904FCB">
        <w:rPr>
          <w:rFonts w:ascii="Times New Roman" w:hAnsi="Times New Roman" w:hint="cs"/>
          <w:sz w:val="27"/>
          <w:rtl/>
          <w:lang w:bidi="fa-IR"/>
        </w:rPr>
        <w:t>تحوّله</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ذي</w:t>
      </w:r>
      <w:r w:rsidRPr="00904FCB">
        <w:rPr>
          <w:rFonts w:ascii="Times New Roman" w:hAnsi="Times New Roman"/>
          <w:sz w:val="27"/>
          <w:rtl/>
          <w:lang w:bidi="fa-IR"/>
        </w:rPr>
        <w:t xml:space="preserve"> المقدّمة. </w:t>
      </w:r>
    </w:p>
    <w:p w:rsidR="00057E24" w:rsidRPr="00904FCB" w:rsidRDefault="00057E24"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t xml:space="preserve">وبناءً </w:t>
      </w:r>
      <w:r w:rsidR="000E0D39" w:rsidRPr="00904FCB">
        <w:rPr>
          <w:rFonts w:ascii="Times New Roman" w:hAnsi="Times New Roman" w:hint="cs"/>
          <w:sz w:val="27"/>
          <w:rtl/>
          <w:lang w:bidi="fa-IR"/>
        </w:rPr>
        <w:t>على م</w:t>
      </w:r>
      <w:r w:rsidRPr="00904FCB">
        <w:rPr>
          <w:rFonts w:ascii="Times New Roman" w:hAnsi="Times New Roman"/>
          <w:sz w:val="27"/>
          <w:rtl/>
          <w:lang w:bidi="fa-IR"/>
        </w:rPr>
        <w:t>ا تقدّم لو</w:t>
      </w:r>
      <w:r w:rsidRPr="00904FCB">
        <w:rPr>
          <w:rFonts w:ascii="Times New Roman" w:hAnsi="Times New Roman" w:hint="cs"/>
          <w:sz w:val="27"/>
          <w:rtl/>
          <w:lang w:bidi="fa-IR"/>
        </w:rPr>
        <w:t xml:space="preserve"> </w:t>
      </w:r>
      <w:r w:rsidRPr="00904FCB">
        <w:rPr>
          <w:rFonts w:ascii="Times New Roman" w:hAnsi="Times New Roman"/>
          <w:sz w:val="27"/>
          <w:rtl/>
          <w:lang w:bidi="fa-IR"/>
        </w:rPr>
        <w:t xml:space="preserve">أن العلماء وأصحاب الفكر </w:t>
      </w:r>
      <w:r w:rsidRPr="00904FCB">
        <w:rPr>
          <w:rFonts w:ascii="Times New Roman" w:hAnsi="Times New Roman" w:hint="cs"/>
          <w:sz w:val="27"/>
          <w:rtl/>
          <w:lang w:bidi="fa-IR"/>
        </w:rPr>
        <w:t>يجعلون</w:t>
      </w:r>
      <w:r w:rsidRPr="00904FCB">
        <w:rPr>
          <w:rFonts w:ascii="Times New Roman" w:hAnsi="Times New Roman"/>
          <w:sz w:val="27"/>
          <w:rtl/>
          <w:lang w:bidi="fa-IR"/>
        </w:rPr>
        <w:t xml:space="preserve"> </w:t>
      </w:r>
      <w:r w:rsidRPr="00904FCB">
        <w:rPr>
          <w:rFonts w:ascii="Times New Roman" w:hAnsi="Times New Roman" w:hint="cs"/>
          <w:sz w:val="27"/>
          <w:rtl/>
          <w:lang w:bidi="fa-IR"/>
        </w:rPr>
        <w:t>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الكتاب</w:t>
      </w:r>
      <w:r w:rsidRPr="00904FCB">
        <w:rPr>
          <w:rFonts w:ascii="Times New Roman" w:hAnsi="Times New Roman"/>
          <w:sz w:val="27"/>
          <w:rtl/>
          <w:lang w:bidi="fa-IR"/>
        </w:rPr>
        <w:t xml:space="preserve"> </w:t>
      </w:r>
      <w:r w:rsidRPr="00904FCB">
        <w:rPr>
          <w:rFonts w:ascii="Times New Roman" w:hAnsi="Times New Roman" w:hint="cs"/>
          <w:sz w:val="27"/>
          <w:rtl/>
          <w:lang w:bidi="fa-IR"/>
        </w:rPr>
        <w:t>وهذا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الأسلوب</w:t>
      </w:r>
      <w:r w:rsidRPr="00904FCB">
        <w:rPr>
          <w:rFonts w:ascii="Times New Roman" w:hAnsi="Times New Roman"/>
          <w:sz w:val="27"/>
          <w:rtl/>
          <w:lang w:bidi="fa-IR"/>
        </w:rPr>
        <w:t xml:space="preserve"> </w:t>
      </w:r>
      <w:r w:rsidRPr="00904FCB">
        <w:rPr>
          <w:rFonts w:ascii="Times New Roman" w:hAnsi="Times New Roman" w:hint="cs"/>
          <w:sz w:val="27"/>
          <w:rtl/>
          <w:lang w:bidi="fa-IR"/>
        </w:rPr>
        <w:t>محوراً</w:t>
      </w:r>
      <w:r w:rsidRPr="00904FCB">
        <w:rPr>
          <w:rFonts w:ascii="Times New Roman" w:hAnsi="Times New Roman"/>
          <w:sz w:val="27"/>
          <w:rtl/>
          <w:lang w:bidi="fa-IR"/>
        </w:rPr>
        <w:t xml:space="preserve"> </w:t>
      </w:r>
      <w:r w:rsidRPr="00904FCB">
        <w:rPr>
          <w:rFonts w:ascii="Times New Roman" w:hAnsi="Times New Roman" w:hint="cs"/>
          <w:sz w:val="27"/>
          <w:rtl/>
          <w:lang w:bidi="fa-IR"/>
        </w:rPr>
        <w:t>لأبحاثه</w:t>
      </w:r>
      <w:r w:rsidR="000E0D39" w:rsidRPr="00904FCB">
        <w:rPr>
          <w:rFonts w:ascii="Times New Roman" w:hAnsi="Times New Roman"/>
          <w:sz w:val="27"/>
          <w:rtl/>
          <w:lang w:bidi="fa-IR"/>
        </w:rPr>
        <w:t>م ودراسات</w:t>
      </w:r>
      <w:r w:rsidRPr="00904FCB">
        <w:rPr>
          <w:rFonts w:ascii="Times New Roman" w:hAnsi="Times New Roman"/>
          <w:sz w:val="27"/>
          <w:rtl/>
          <w:lang w:bidi="fa-IR"/>
        </w:rPr>
        <w:t>هم الأصول</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فإنّ</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w:t>
      </w:r>
      <w:r w:rsidRPr="00904FCB">
        <w:rPr>
          <w:rFonts w:ascii="Times New Roman" w:hAnsi="Times New Roman" w:hint="cs"/>
          <w:sz w:val="27"/>
          <w:rtl/>
          <w:lang w:bidi="fa-IR"/>
        </w:rPr>
        <w:t>يصبح</w:t>
      </w:r>
      <w:r w:rsidRPr="00904FCB">
        <w:rPr>
          <w:rFonts w:ascii="Times New Roman" w:hAnsi="Times New Roman"/>
          <w:sz w:val="27"/>
          <w:rtl/>
          <w:lang w:bidi="fa-IR"/>
        </w:rPr>
        <w:t xml:space="preserve"> </w:t>
      </w:r>
      <w:r w:rsidRPr="00904FCB">
        <w:rPr>
          <w:rFonts w:ascii="Times New Roman" w:hAnsi="Times New Roman" w:hint="cs"/>
          <w:sz w:val="27"/>
          <w:rtl/>
          <w:lang w:bidi="fa-IR"/>
        </w:rPr>
        <w:t>أكثر</w:t>
      </w:r>
      <w:r w:rsidRPr="00904FCB">
        <w:rPr>
          <w:rFonts w:ascii="Times New Roman" w:hAnsi="Times New Roman"/>
          <w:sz w:val="27"/>
          <w:rtl/>
          <w:lang w:bidi="fa-IR"/>
        </w:rPr>
        <w:t xml:space="preserve"> </w:t>
      </w:r>
      <w:r w:rsidRPr="00904FCB">
        <w:rPr>
          <w:rFonts w:ascii="Times New Roman" w:hAnsi="Times New Roman" w:hint="cs"/>
          <w:sz w:val="27"/>
          <w:rtl/>
          <w:lang w:bidi="fa-IR"/>
        </w:rPr>
        <w:t>فاعلية، وتتضاعف</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ثماره</w:t>
      </w:r>
      <w:r w:rsidRPr="00904FCB">
        <w:rPr>
          <w:rFonts w:ascii="Times New Roman" w:hAnsi="Times New Roman"/>
          <w:sz w:val="27"/>
          <w:rtl/>
          <w:lang w:bidi="fa-IR"/>
        </w:rPr>
        <w:t xml:space="preserve"> </w:t>
      </w:r>
      <w:r w:rsidRPr="00904FCB">
        <w:rPr>
          <w:rFonts w:ascii="Times New Roman" w:hAnsi="Times New Roman" w:hint="cs"/>
          <w:sz w:val="27"/>
          <w:rtl/>
          <w:lang w:bidi="fa-IR"/>
        </w:rPr>
        <w:t>العملية</w:t>
      </w:r>
      <w:r w:rsidRPr="00904FCB">
        <w:rPr>
          <w:rFonts w:ascii="Times New Roman" w:hAnsi="Times New Roman"/>
          <w:sz w:val="27"/>
          <w:rtl/>
          <w:lang w:bidi="fa-IR"/>
        </w:rPr>
        <w:t xml:space="preserve"> </w:t>
      </w:r>
      <w:r w:rsidRPr="00904FCB">
        <w:rPr>
          <w:rFonts w:ascii="Times New Roman" w:hAnsi="Times New Roman" w:hint="cs"/>
          <w:sz w:val="27"/>
          <w:rtl/>
          <w:lang w:bidi="fa-IR"/>
        </w:rPr>
        <w:t>وفوائده</w:t>
      </w:r>
      <w:r w:rsidRPr="00904FCB">
        <w:rPr>
          <w:rFonts w:ascii="Times New Roman" w:hAnsi="Times New Roman"/>
          <w:sz w:val="27"/>
          <w:rtl/>
          <w:lang w:bidi="fa-IR"/>
        </w:rPr>
        <w:t xml:space="preserve">. </w:t>
      </w:r>
    </w:p>
    <w:p w:rsidR="00057E24" w:rsidRPr="00904FCB" w:rsidRDefault="00057E24" w:rsidP="001A1A02">
      <w:pPr>
        <w:ind w:firstLine="561"/>
        <w:rPr>
          <w:rFonts w:ascii="Times New Roman" w:hAnsi="Times New Roman"/>
          <w:sz w:val="27"/>
          <w:rtl/>
          <w:lang w:bidi="fa-IR"/>
        </w:rPr>
      </w:pPr>
      <w:r w:rsidRPr="00904FCB">
        <w:rPr>
          <w:rFonts w:ascii="Times New Roman" w:hAnsi="Times New Roman"/>
          <w:sz w:val="27"/>
          <w:rtl/>
          <w:lang w:bidi="fa-IR"/>
        </w:rPr>
        <w:t>ولكن</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 xml:space="preserve">ـ </w:t>
      </w:r>
      <w:r w:rsidRPr="00904FCB">
        <w:rPr>
          <w:rFonts w:ascii="Times New Roman" w:hAnsi="Times New Roman" w:hint="cs"/>
          <w:sz w:val="27"/>
          <w:rtl/>
          <w:lang w:bidi="fa-IR"/>
        </w:rPr>
        <w:t>مع</w:t>
      </w:r>
      <w:r w:rsidRPr="00904FCB">
        <w:rPr>
          <w:rFonts w:ascii="Times New Roman" w:hAnsi="Times New Roman"/>
          <w:sz w:val="27"/>
          <w:rtl/>
          <w:lang w:bidi="fa-IR"/>
        </w:rPr>
        <w:t xml:space="preserve"> الأسف ـ الكث</w:t>
      </w:r>
      <w:r w:rsidRPr="00904FCB">
        <w:rPr>
          <w:rFonts w:ascii="Times New Roman" w:hAnsi="Times New Roman" w:hint="cs"/>
          <w:sz w:val="27"/>
          <w:rtl/>
          <w:lang w:bidi="fa-IR"/>
        </w:rPr>
        <w:t>ير</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المباحث</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الأصولية</w:t>
      </w:r>
      <w:r w:rsidRPr="00904FCB">
        <w:rPr>
          <w:rFonts w:ascii="Times New Roman" w:hAnsi="Times New Roman"/>
          <w:sz w:val="27"/>
          <w:rtl/>
          <w:lang w:bidi="fa-IR"/>
        </w:rPr>
        <w:t xml:space="preserve"> </w:t>
      </w:r>
      <w:r w:rsidRPr="00904FCB">
        <w:rPr>
          <w:rFonts w:ascii="Times New Roman" w:hAnsi="Times New Roman" w:hint="cs"/>
          <w:sz w:val="27"/>
          <w:rtl/>
          <w:lang w:bidi="fa-IR"/>
        </w:rPr>
        <w:t>تفتقر</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إل</w:t>
      </w:r>
      <w:r w:rsidRPr="00904FCB">
        <w:rPr>
          <w:rFonts w:ascii="Times New Roman" w:hAnsi="Times New Roman"/>
          <w:sz w:val="27"/>
          <w:rtl/>
          <w:lang w:bidi="fa-IR"/>
        </w:rPr>
        <w:t xml:space="preserve">ى </w:t>
      </w:r>
      <w:r w:rsidRPr="00904FCB">
        <w:rPr>
          <w:rFonts w:ascii="Times New Roman" w:hAnsi="Times New Roman" w:hint="cs"/>
          <w:sz w:val="27"/>
          <w:rtl/>
          <w:lang w:bidi="fa-IR"/>
        </w:rPr>
        <w:t>البحث</w:t>
      </w:r>
      <w:r w:rsidRPr="00904FCB">
        <w:rPr>
          <w:rFonts w:ascii="Times New Roman" w:hAnsi="Times New Roman"/>
          <w:sz w:val="27"/>
          <w:rtl/>
          <w:lang w:bidi="fa-IR"/>
        </w:rPr>
        <w:t xml:space="preserve"> </w:t>
      </w:r>
      <w:r w:rsidRPr="00904FCB">
        <w:rPr>
          <w:rFonts w:ascii="Times New Roman" w:hAnsi="Times New Roman" w:hint="cs"/>
          <w:sz w:val="27"/>
          <w:rtl/>
          <w:lang w:bidi="fa-IR"/>
        </w:rPr>
        <w:t>التطبيقي، بل</w:t>
      </w:r>
      <w:r w:rsidRPr="00904FCB">
        <w:rPr>
          <w:rFonts w:ascii="Times New Roman" w:hAnsi="Times New Roman"/>
          <w:sz w:val="27"/>
          <w:rtl/>
          <w:lang w:bidi="fa-IR"/>
        </w:rPr>
        <w:t xml:space="preserve"> </w:t>
      </w:r>
      <w:r w:rsidRPr="00904FCB">
        <w:rPr>
          <w:rFonts w:ascii="Times New Roman" w:hAnsi="Times New Roman" w:hint="cs"/>
          <w:sz w:val="27"/>
          <w:rtl/>
          <w:lang w:bidi="fa-IR"/>
        </w:rPr>
        <w:t>تظهر</w:t>
      </w:r>
      <w:r w:rsidRPr="00904FCB">
        <w:rPr>
          <w:rFonts w:ascii="Times New Roman" w:hAnsi="Times New Roman"/>
          <w:sz w:val="27"/>
          <w:rtl/>
          <w:lang w:bidi="fa-IR"/>
        </w:rPr>
        <w:t xml:space="preserve"> على </w:t>
      </w:r>
      <w:r w:rsidRPr="00904FCB">
        <w:rPr>
          <w:rFonts w:ascii="Times New Roman" w:hAnsi="Times New Roman" w:hint="cs"/>
          <w:sz w:val="27"/>
          <w:rtl/>
          <w:lang w:bidi="fa-IR"/>
        </w:rPr>
        <w:t>شكل</w:t>
      </w:r>
      <w:r w:rsidRPr="00904FCB">
        <w:rPr>
          <w:rFonts w:ascii="Times New Roman" w:hAnsi="Times New Roman"/>
          <w:sz w:val="27"/>
          <w:rtl/>
          <w:lang w:bidi="fa-IR"/>
        </w:rPr>
        <w:t xml:space="preserve"> </w:t>
      </w:r>
      <w:r w:rsidRPr="00904FCB">
        <w:rPr>
          <w:rFonts w:ascii="Times New Roman" w:hAnsi="Times New Roman" w:hint="cs"/>
          <w:sz w:val="27"/>
          <w:rtl/>
          <w:lang w:bidi="fa-IR"/>
        </w:rPr>
        <w:t>كل</w:t>
      </w:r>
      <w:r w:rsidRPr="00904FCB">
        <w:rPr>
          <w:rFonts w:ascii="Times New Roman" w:hAnsi="Times New Roman"/>
          <w:sz w:val="27"/>
          <w:rtl/>
          <w:lang w:bidi="fa-IR"/>
        </w:rPr>
        <w:t>ّ</w:t>
      </w:r>
      <w:r w:rsidR="000E0D39" w:rsidRPr="00904FCB">
        <w:rPr>
          <w:rFonts w:ascii="Times New Roman" w:hAnsi="Times New Roman" w:hint="cs"/>
          <w:sz w:val="27"/>
          <w:rtl/>
          <w:lang w:bidi="fa-IR"/>
        </w:rPr>
        <w:t>ِ</w:t>
      </w:r>
      <w:r w:rsidRPr="00904FCB">
        <w:rPr>
          <w:rFonts w:ascii="Times New Roman" w:hAnsi="Times New Roman" w:hint="cs"/>
          <w:sz w:val="27"/>
          <w:rtl/>
          <w:lang w:bidi="fa-IR"/>
        </w:rPr>
        <w:t>ياتٍ</w:t>
      </w:r>
      <w:r w:rsidRPr="00904FCB">
        <w:rPr>
          <w:rFonts w:ascii="Times New Roman" w:hAnsi="Times New Roman"/>
          <w:sz w:val="27"/>
          <w:rtl/>
          <w:lang w:bidi="fa-IR"/>
        </w:rPr>
        <w:t xml:space="preserve"> </w:t>
      </w:r>
      <w:r w:rsidRPr="00904FCB">
        <w:rPr>
          <w:rFonts w:ascii="Times New Roman" w:hAnsi="Times New Roman" w:hint="cs"/>
          <w:sz w:val="27"/>
          <w:rtl/>
          <w:lang w:bidi="fa-IR"/>
        </w:rPr>
        <w:t>وقواعد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عامّة</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إمّا</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لا </w:t>
      </w:r>
      <w:r w:rsidRPr="00904FCB">
        <w:rPr>
          <w:rFonts w:ascii="Times New Roman" w:hAnsi="Times New Roman"/>
          <w:sz w:val="27"/>
          <w:rtl/>
          <w:lang w:bidi="fa-IR"/>
        </w:rPr>
        <w:t>مصاد</w:t>
      </w:r>
      <w:r w:rsidRPr="00904FCB">
        <w:rPr>
          <w:rFonts w:ascii="Times New Roman" w:hAnsi="Times New Roman" w:hint="cs"/>
          <w:sz w:val="27"/>
          <w:rtl/>
          <w:lang w:bidi="fa-IR"/>
        </w:rPr>
        <w:t>يق</w:t>
      </w:r>
      <w:r w:rsidRPr="00904FCB">
        <w:rPr>
          <w:rFonts w:ascii="Times New Roman" w:hAnsi="Times New Roman"/>
          <w:sz w:val="27"/>
          <w:rtl/>
          <w:lang w:bidi="fa-IR"/>
        </w:rPr>
        <w:t xml:space="preserve"> </w:t>
      </w:r>
      <w:r w:rsidRPr="00904FCB">
        <w:rPr>
          <w:rFonts w:ascii="Times New Roman" w:hAnsi="Times New Roman" w:hint="cs"/>
          <w:sz w:val="27"/>
          <w:rtl/>
          <w:lang w:bidi="fa-IR"/>
        </w:rPr>
        <w:t>لها</w:t>
      </w:r>
      <w:r w:rsidR="000E0D39" w:rsidRPr="00904FCB">
        <w:rPr>
          <w:rFonts w:ascii="Times New Roman" w:hAnsi="Times New Roman" w:hint="cs"/>
          <w:sz w:val="27"/>
          <w:rtl/>
          <w:lang w:bidi="fa-IR"/>
        </w:rPr>
        <w:t>؛</w:t>
      </w:r>
      <w:r w:rsidRPr="00904FCB">
        <w:rPr>
          <w:rFonts w:ascii="Times New Roman" w:hAnsi="Times New Roman" w:hint="cs"/>
          <w:sz w:val="27"/>
          <w:rtl/>
          <w:lang w:bidi="fa-IR"/>
        </w:rPr>
        <w:t xml:space="preserve"> أو</w:t>
      </w:r>
      <w:r w:rsidRPr="00904FCB">
        <w:rPr>
          <w:rFonts w:ascii="Times New Roman" w:hAnsi="Times New Roman"/>
          <w:sz w:val="27"/>
          <w:rtl/>
          <w:lang w:bidi="fa-IR"/>
        </w:rPr>
        <w:t xml:space="preserve"> </w:t>
      </w:r>
      <w:r w:rsidR="000E0D39" w:rsidRPr="00904FCB">
        <w:rPr>
          <w:rFonts w:ascii="Times New Roman" w:hAnsi="Times New Roman" w:hint="cs"/>
          <w:sz w:val="27"/>
          <w:rtl/>
          <w:lang w:bidi="fa-IR"/>
        </w:rPr>
        <w:t>إ</w:t>
      </w:r>
      <w:r w:rsidRPr="00904FCB">
        <w:rPr>
          <w:rFonts w:ascii="Times New Roman" w:hAnsi="Times New Roman" w:hint="cs"/>
          <w:sz w:val="27"/>
          <w:rtl/>
          <w:lang w:bidi="fa-IR"/>
        </w:rPr>
        <w:t>نّ</w:t>
      </w:r>
      <w:r w:rsidRPr="00904FCB">
        <w:rPr>
          <w:rFonts w:ascii="Times New Roman" w:hAnsi="Times New Roman"/>
          <w:sz w:val="27"/>
          <w:rtl/>
          <w:lang w:bidi="fa-IR"/>
        </w:rPr>
        <w:t xml:space="preserve"> </w:t>
      </w:r>
      <w:r w:rsidRPr="00904FCB">
        <w:rPr>
          <w:rFonts w:ascii="Times New Roman" w:hAnsi="Times New Roman" w:hint="cs"/>
          <w:sz w:val="27"/>
          <w:rtl/>
          <w:lang w:bidi="fa-IR"/>
        </w:rPr>
        <w:t>مصاديقها</w:t>
      </w:r>
      <w:r w:rsidRPr="00904FCB">
        <w:rPr>
          <w:rFonts w:ascii="Times New Roman" w:hAnsi="Times New Roman"/>
          <w:sz w:val="27"/>
          <w:rtl/>
          <w:lang w:bidi="fa-IR"/>
        </w:rPr>
        <w:t xml:space="preserve"> </w:t>
      </w:r>
      <w:r w:rsidRPr="00904FCB">
        <w:rPr>
          <w:rFonts w:ascii="Times New Roman" w:hAnsi="Times New Roman" w:hint="cs"/>
          <w:sz w:val="27"/>
          <w:rtl/>
          <w:lang w:bidi="fa-IR"/>
        </w:rPr>
        <w:t>إن</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وُجد</w:t>
      </w:r>
      <w:r w:rsidR="000E0D39" w:rsidRPr="00904FCB">
        <w:rPr>
          <w:rFonts w:ascii="Times New Roman" w:hAnsi="Times New Roman" w:hint="cs"/>
          <w:sz w:val="27"/>
          <w:rtl/>
          <w:lang w:bidi="fa-IR"/>
        </w:rPr>
        <w:t>َ</w:t>
      </w:r>
      <w:r w:rsidRPr="00904FCB">
        <w:rPr>
          <w:rFonts w:ascii="Times New Roman" w:hAnsi="Times New Roman" w:hint="cs"/>
          <w:sz w:val="27"/>
          <w:rtl/>
          <w:lang w:bidi="fa-IR"/>
        </w:rPr>
        <w:t>ت</w:t>
      </w:r>
      <w:r w:rsidR="000E0D39"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لا</w:t>
      </w:r>
      <w:r w:rsidR="000E0D39" w:rsidRPr="00904FCB">
        <w:rPr>
          <w:rFonts w:ascii="Times New Roman" w:hAnsi="Times New Roman" w:hint="cs"/>
          <w:sz w:val="27"/>
          <w:rtl/>
          <w:lang w:bidi="fa-IR"/>
        </w:rPr>
        <w:t xml:space="preserve"> </w:t>
      </w:r>
      <w:r w:rsidRPr="00904FCB">
        <w:rPr>
          <w:rFonts w:ascii="Times New Roman" w:hAnsi="Times New Roman" w:hint="cs"/>
          <w:sz w:val="27"/>
          <w:rtl/>
          <w:lang w:bidi="fa-IR"/>
        </w:rPr>
        <w:t>تكون</w:t>
      </w:r>
      <w:r w:rsidRPr="00904FCB">
        <w:rPr>
          <w:rFonts w:ascii="Times New Roman" w:hAnsi="Times New Roman"/>
          <w:sz w:val="27"/>
          <w:rtl/>
          <w:lang w:bidi="fa-IR"/>
        </w:rPr>
        <w:t xml:space="preserve"> </w:t>
      </w:r>
      <w:r w:rsidRPr="00904FCB">
        <w:rPr>
          <w:rFonts w:ascii="Times New Roman" w:hAnsi="Times New Roman" w:hint="cs"/>
          <w:sz w:val="27"/>
          <w:rtl/>
          <w:lang w:bidi="fa-IR"/>
        </w:rPr>
        <w:t>واقعية، وكان</w:t>
      </w:r>
      <w:r w:rsidR="00A57246" w:rsidRPr="00904FCB">
        <w:rPr>
          <w:rFonts w:ascii="Times New Roman" w:hAnsi="Times New Roman" w:hint="cs"/>
          <w:sz w:val="27"/>
          <w:rtl/>
          <w:lang w:bidi="fa-IR"/>
        </w:rPr>
        <w:t>وا</w:t>
      </w:r>
      <w:r w:rsidRPr="00904FCB">
        <w:rPr>
          <w:rFonts w:ascii="Times New Roman" w:hAnsi="Times New Roman"/>
          <w:sz w:val="27"/>
          <w:rtl/>
          <w:lang w:bidi="fa-IR"/>
        </w:rPr>
        <w:t xml:space="preserve"> </w:t>
      </w:r>
      <w:r w:rsidRPr="00904FCB">
        <w:rPr>
          <w:rFonts w:ascii="Times New Roman" w:hAnsi="Times New Roman" w:hint="cs"/>
          <w:sz w:val="27"/>
          <w:rtl/>
          <w:lang w:bidi="fa-IR"/>
        </w:rPr>
        <w:t>يقولون</w:t>
      </w:r>
      <w:r w:rsidRPr="00904FCB">
        <w:rPr>
          <w:rFonts w:ascii="Times New Roman" w:hAnsi="Times New Roman"/>
          <w:sz w:val="27"/>
          <w:rtl/>
          <w:lang w:bidi="fa-IR"/>
        </w:rPr>
        <w:t xml:space="preserve">: </w:t>
      </w:r>
      <w:r w:rsidRPr="00904FCB">
        <w:rPr>
          <w:rFonts w:ascii="Times New Roman" w:hAnsi="Times New Roman" w:hint="cs"/>
          <w:sz w:val="27"/>
          <w:rtl/>
          <w:lang w:bidi="fa-IR"/>
        </w:rPr>
        <w:t>«إنّما</w:t>
      </w:r>
      <w:r w:rsidRPr="00904FCB">
        <w:rPr>
          <w:rFonts w:ascii="Times New Roman" w:hAnsi="Times New Roman"/>
          <w:sz w:val="27"/>
          <w:rtl/>
          <w:lang w:bidi="fa-IR"/>
        </w:rPr>
        <w:t xml:space="preserve"> </w:t>
      </w:r>
      <w:r w:rsidRPr="00904FCB">
        <w:rPr>
          <w:rFonts w:ascii="Times New Roman" w:hAnsi="Times New Roman" w:hint="cs"/>
          <w:sz w:val="27"/>
          <w:rtl/>
          <w:lang w:bidi="fa-IR"/>
        </w:rPr>
        <w:t>يظهر</w:t>
      </w:r>
      <w:r w:rsidRPr="00904FCB">
        <w:rPr>
          <w:rFonts w:ascii="Times New Roman" w:hAnsi="Times New Roman"/>
          <w:sz w:val="27"/>
          <w:rtl/>
          <w:lang w:bidi="fa-IR"/>
        </w:rPr>
        <w:t xml:space="preserve"> </w:t>
      </w:r>
      <w:r w:rsidRPr="00904FCB">
        <w:rPr>
          <w:rFonts w:ascii="Times New Roman" w:hAnsi="Times New Roman" w:hint="cs"/>
          <w:sz w:val="27"/>
          <w:rtl/>
          <w:lang w:bidi="fa-IR"/>
        </w:rPr>
        <w:t>الثمر</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الن</w:t>
      </w:r>
      <w:r w:rsidR="00A57246" w:rsidRPr="00904FCB">
        <w:rPr>
          <w:rFonts w:ascii="Times New Roman" w:hAnsi="Times New Roman" w:hint="cs"/>
          <w:sz w:val="27"/>
          <w:rtl/>
          <w:lang w:bidi="fa-IR"/>
        </w:rPr>
        <w:t>َّ</w:t>
      </w:r>
      <w:r w:rsidRPr="00904FCB">
        <w:rPr>
          <w:rFonts w:ascii="Times New Roman" w:hAnsi="Times New Roman" w:hint="cs"/>
          <w:sz w:val="27"/>
          <w:rtl/>
          <w:lang w:bidi="fa-IR"/>
        </w:rPr>
        <w:t>ذ</w:t>
      </w:r>
      <w:r w:rsidR="00A57246" w:rsidRPr="00904FCB">
        <w:rPr>
          <w:rFonts w:ascii="Times New Roman" w:hAnsi="Times New Roman" w:hint="cs"/>
          <w:sz w:val="27"/>
          <w:rtl/>
          <w:lang w:bidi="fa-IR"/>
        </w:rPr>
        <w:t>ْ</w:t>
      </w:r>
      <w:r w:rsidRPr="00904FCB">
        <w:rPr>
          <w:rFonts w:ascii="Times New Roman" w:hAnsi="Times New Roman" w:hint="cs"/>
          <w:sz w:val="27"/>
          <w:rtl/>
          <w:lang w:bidi="fa-IR"/>
        </w:rPr>
        <w:t>ر»</w:t>
      </w:r>
      <w:r w:rsidR="00A5724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ولو</w:t>
      </w:r>
      <w:r w:rsidRPr="00904FCB">
        <w:rPr>
          <w:rFonts w:ascii="Times New Roman" w:hAnsi="Times New Roman"/>
          <w:sz w:val="27"/>
          <w:rtl/>
          <w:lang w:bidi="fa-IR"/>
        </w:rPr>
        <w:t xml:space="preserve"> </w:t>
      </w:r>
      <w:r w:rsidRPr="00904FCB">
        <w:rPr>
          <w:rFonts w:ascii="Times New Roman" w:hAnsi="Times New Roman" w:hint="cs"/>
          <w:sz w:val="27"/>
          <w:rtl/>
          <w:lang w:bidi="fa-IR"/>
        </w:rPr>
        <w:t>كان</w:t>
      </w:r>
      <w:r w:rsidRPr="00904FCB">
        <w:rPr>
          <w:rFonts w:ascii="Times New Roman" w:hAnsi="Times New Roman"/>
          <w:sz w:val="27"/>
          <w:rtl/>
          <w:lang w:bidi="fa-IR"/>
        </w:rPr>
        <w:t xml:space="preserve"> </w:t>
      </w:r>
      <w:r w:rsidRPr="00904FCB">
        <w:rPr>
          <w:rFonts w:ascii="Times New Roman" w:hAnsi="Times New Roman" w:hint="cs"/>
          <w:sz w:val="27"/>
          <w:rtl/>
          <w:lang w:bidi="fa-IR"/>
        </w:rPr>
        <w:t>لها</w:t>
      </w:r>
      <w:r w:rsidRPr="00904FCB">
        <w:rPr>
          <w:rFonts w:ascii="Times New Roman" w:hAnsi="Times New Roman"/>
          <w:sz w:val="27"/>
          <w:rtl/>
          <w:lang w:bidi="fa-IR"/>
        </w:rPr>
        <w:t xml:space="preserve"> </w:t>
      </w:r>
      <w:r w:rsidRPr="00904FCB">
        <w:rPr>
          <w:rFonts w:ascii="Times New Roman" w:hAnsi="Times New Roman" w:hint="cs"/>
          <w:sz w:val="27"/>
          <w:rtl/>
          <w:lang w:bidi="fa-IR"/>
        </w:rPr>
        <w:t>مصاديق</w:t>
      </w:r>
      <w:r w:rsidRPr="00904FCB">
        <w:rPr>
          <w:rFonts w:ascii="Times New Roman" w:hAnsi="Times New Roman"/>
          <w:sz w:val="27"/>
          <w:rtl/>
          <w:lang w:bidi="fa-IR"/>
        </w:rPr>
        <w:t xml:space="preserve"> </w:t>
      </w:r>
      <w:r w:rsidRPr="00904FCB">
        <w:rPr>
          <w:rFonts w:ascii="Times New Roman" w:hAnsi="Times New Roman" w:hint="cs"/>
          <w:sz w:val="27"/>
          <w:rtl/>
          <w:lang w:bidi="fa-IR"/>
        </w:rPr>
        <w:t>واقعية</w:t>
      </w:r>
      <w:r w:rsidRPr="00904FCB">
        <w:rPr>
          <w:rFonts w:ascii="Times New Roman" w:hAnsi="Times New Roman"/>
          <w:sz w:val="27"/>
          <w:rtl/>
          <w:lang w:bidi="fa-IR"/>
        </w:rPr>
        <w:t xml:space="preserve"> </w:t>
      </w:r>
      <w:r w:rsidRPr="00904FCB">
        <w:rPr>
          <w:rFonts w:ascii="Times New Roman" w:hAnsi="Times New Roman" w:hint="cs"/>
          <w:sz w:val="27"/>
          <w:rtl/>
          <w:lang w:bidi="fa-IR"/>
        </w:rPr>
        <w:t>فهي</w:t>
      </w:r>
      <w:r w:rsidRPr="00904FCB">
        <w:rPr>
          <w:rFonts w:ascii="Times New Roman" w:hAnsi="Times New Roman"/>
          <w:sz w:val="27"/>
          <w:rtl/>
          <w:lang w:bidi="fa-IR"/>
        </w:rPr>
        <w:t xml:space="preserve"> محدودة</w:t>
      </w:r>
      <w:r w:rsidR="00A57246" w:rsidRPr="00904FCB">
        <w:rPr>
          <w:rFonts w:ascii="Times New Roman" w:hAnsi="Times New Roman" w:hint="cs"/>
          <w:sz w:val="27"/>
          <w:rtl/>
          <w:lang w:bidi="fa-IR"/>
        </w:rPr>
        <w:t>ٌ</w:t>
      </w:r>
      <w:r w:rsidRPr="00904FCB">
        <w:rPr>
          <w:rFonts w:ascii="Times New Roman" w:hAnsi="Times New Roman"/>
          <w:sz w:val="27"/>
          <w:rtl/>
          <w:lang w:bidi="fa-IR"/>
        </w:rPr>
        <w:t xml:space="preserve"> وقل</w:t>
      </w:r>
      <w:r w:rsidRPr="00904FCB">
        <w:rPr>
          <w:rFonts w:ascii="Times New Roman" w:hAnsi="Times New Roman" w:hint="cs"/>
          <w:sz w:val="27"/>
          <w:rtl/>
          <w:lang w:bidi="fa-IR"/>
        </w:rPr>
        <w:t>يلة</w:t>
      </w:r>
      <w:r w:rsidR="00A5724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الأمر</w:t>
      </w:r>
      <w:r w:rsidRPr="00904FCB">
        <w:rPr>
          <w:rFonts w:ascii="Times New Roman" w:hAnsi="Times New Roman"/>
          <w:sz w:val="27"/>
          <w:rtl/>
          <w:lang w:bidi="fa-IR"/>
        </w:rPr>
        <w:t xml:space="preserve"> </w:t>
      </w:r>
      <w:r w:rsidRPr="00904FCB">
        <w:rPr>
          <w:rFonts w:ascii="Times New Roman" w:hAnsi="Times New Roman" w:hint="cs"/>
          <w:sz w:val="27"/>
          <w:rtl/>
          <w:lang w:bidi="fa-IR"/>
        </w:rPr>
        <w:t>الذي</w:t>
      </w:r>
      <w:r w:rsidRPr="00904FCB">
        <w:rPr>
          <w:rFonts w:ascii="Times New Roman" w:hAnsi="Times New Roman"/>
          <w:sz w:val="27"/>
          <w:rtl/>
          <w:lang w:bidi="fa-IR"/>
        </w:rPr>
        <w:t xml:space="preserve"> </w:t>
      </w:r>
      <w:r w:rsidRPr="00904FCB">
        <w:rPr>
          <w:rFonts w:ascii="Times New Roman" w:hAnsi="Times New Roman" w:hint="cs"/>
          <w:sz w:val="27"/>
          <w:rtl/>
          <w:lang w:bidi="fa-IR"/>
        </w:rPr>
        <w:t>يصرف</w:t>
      </w:r>
      <w:r w:rsidRPr="00904FCB">
        <w:rPr>
          <w:rFonts w:ascii="Times New Roman" w:hAnsi="Times New Roman"/>
          <w:sz w:val="27"/>
          <w:rtl/>
          <w:lang w:bidi="fa-IR"/>
        </w:rPr>
        <w:t xml:space="preserve"> </w:t>
      </w:r>
      <w:r w:rsidRPr="00904FCB">
        <w:rPr>
          <w:rFonts w:ascii="Times New Roman" w:hAnsi="Times New Roman" w:hint="cs"/>
          <w:sz w:val="27"/>
          <w:rtl/>
          <w:lang w:bidi="fa-IR"/>
        </w:rPr>
        <w:t>انتباه</w:t>
      </w:r>
      <w:r w:rsidRPr="00904FCB">
        <w:rPr>
          <w:rFonts w:ascii="Times New Roman" w:hAnsi="Times New Roman"/>
          <w:sz w:val="27"/>
          <w:rtl/>
          <w:lang w:bidi="fa-IR"/>
        </w:rPr>
        <w:t xml:space="preserve"> </w:t>
      </w:r>
      <w:r w:rsidRPr="00904FCB">
        <w:rPr>
          <w:rFonts w:ascii="Times New Roman" w:hAnsi="Times New Roman" w:hint="cs"/>
          <w:sz w:val="27"/>
          <w:rtl/>
          <w:lang w:bidi="fa-IR"/>
        </w:rPr>
        <w:t>الأستاذ</w:t>
      </w:r>
      <w:r w:rsidRPr="00904FCB">
        <w:rPr>
          <w:rFonts w:ascii="Times New Roman" w:hAnsi="Times New Roman"/>
          <w:sz w:val="27"/>
          <w:rtl/>
          <w:lang w:bidi="fa-IR"/>
        </w:rPr>
        <w:t xml:space="preserve"> </w:t>
      </w:r>
      <w:r w:rsidRPr="00904FCB">
        <w:rPr>
          <w:rFonts w:ascii="Times New Roman" w:hAnsi="Times New Roman" w:hint="cs"/>
          <w:sz w:val="27"/>
          <w:rtl/>
          <w:lang w:bidi="fa-IR"/>
        </w:rPr>
        <w:t>عنها، ‌ويساهم</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00A57246" w:rsidRPr="00904FCB">
        <w:rPr>
          <w:rFonts w:ascii="Times New Roman" w:hAnsi="Times New Roman"/>
          <w:sz w:val="27"/>
          <w:rtl/>
          <w:lang w:bidi="fa-IR"/>
        </w:rPr>
        <w:t xml:space="preserve"> إغفالها وعدم أخذ</w:t>
      </w:r>
      <w:r w:rsidRPr="00904FCB">
        <w:rPr>
          <w:rFonts w:ascii="Times New Roman" w:hAnsi="Times New Roman"/>
          <w:sz w:val="27"/>
          <w:rtl/>
          <w:lang w:bidi="fa-IR"/>
        </w:rPr>
        <w:t>ها بع</w:t>
      </w:r>
      <w:r w:rsidRPr="00904FCB">
        <w:rPr>
          <w:rFonts w:ascii="Times New Roman" w:hAnsi="Times New Roman" w:hint="cs"/>
          <w:sz w:val="27"/>
          <w:rtl/>
          <w:lang w:bidi="fa-IR"/>
        </w:rPr>
        <w:t>ين</w:t>
      </w:r>
      <w:r w:rsidRPr="00904FCB">
        <w:rPr>
          <w:rFonts w:ascii="Times New Roman" w:hAnsi="Times New Roman"/>
          <w:sz w:val="27"/>
          <w:rtl/>
          <w:lang w:bidi="fa-IR"/>
        </w:rPr>
        <w:t xml:space="preserve"> </w:t>
      </w:r>
      <w:r w:rsidRPr="00904FCB">
        <w:rPr>
          <w:rFonts w:ascii="Times New Roman" w:hAnsi="Times New Roman" w:hint="cs"/>
          <w:sz w:val="27"/>
          <w:rtl/>
          <w:lang w:bidi="fa-IR"/>
        </w:rPr>
        <w:t>الاعتبار</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عمل</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الاستنباط</w:t>
      </w:r>
      <w:r w:rsidRPr="00904FCB">
        <w:rPr>
          <w:rFonts w:ascii="Times New Roman" w:hAnsi="Times New Roman"/>
          <w:sz w:val="27"/>
          <w:rtl/>
          <w:lang w:bidi="fa-IR"/>
        </w:rPr>
        <w:t xml:space="preserve">. </w:t>
      </w:r>
    </w:p>
    <w:p w:rsidR="00057E24" w:rsidRPr="00904FCB" w:rsidRDefault="00A57246"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t>و</w:t>
      </w:r>
      <w:r w:rsidR="00057E24" w:rsidRPr="00904FCB">
        <w:rPr>
          <w:rFonts w:ascii="Times New Roman" w:hAnsi="Times New Roman"/>
          <w:sz w:val="27"/>
          <w:rtl/>
          <w:lang w:bidi="fa-IR"/>
        </w:rPr>
        <w:t>كث</w:t>
      </w:r>
      <w:r w:rsidR="00057E24" w:rsidRPr="00904FCB">
        <w:rPr>
          <w:rFonts w:ascii="Times New Roman" w:hAnsi="Times New Roman" w:hint="cs"/>
          <w:sz w:val="27"/>
          <w:rtl/>
          <w:lang w:bidi="fa-IR"/>
        </w:rPr>
        <w:t>يراً</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ما</w:t>
      </w:r>
      <w:r w:rsidR="00A71B08" w:rsidRPr="00904FCB">
        <w:rPr>
          <w:rFonts w:ascii="Times New Roman" w:hAnsi="Times New Roman" w:hint="cs"/>
          <w:sz w:val="27"/>
          <w:rtl/>
          <w:lang w:bidi="fa-IR"/>
        </w:rPr>
        <w:t xml:space="preserve"> </w:t>
      </w:r>
      <w:r w:rsidR="00057E24" w:rsidRPr="00904FCB">
        <w:rPr>
          <w:rFonts w:ascii="Times New Roman" w:hAnsi="Times New Roman" w:hint="cs"/>
          <w:sz w:val="27"/>
          <w:rtl/>
          <w:lang w:bidi="fa-IR"/>
        </w:rPr>
        <w:t>يحصل</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أنّ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الطالب</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عن</w:t>
      </w:r>
      <w:r w:rsidR="00057E24" w:rsidRPr="00904FCB">
        <w:rPr>
          <w:rFonts w:ascii="Times New Roman" w:hAnsi="Times New Roman"/>
          <w:sz w:val="27"/>
          <w:rtl/>
          <w:lang w:bidi="fa-IR"/>
        </w:rPr>
        <w:t xml:space="preserve">دما </w:t>
      </w:r>
      <w:r w:rsidR="00057E24" w:rsidRPr="00904FCB">
        <w:rPr>
          <w:rFonts w:ascii="Times New Roman" w:hAnsi="Times New Roman" w:hint="cs"/>
          <w:sz w:val="27"/>
          <w:rtl/>
          <w:lang w:bidi="fa-IR"/>
        </w:rPr>
        <w:t>يسأل</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أستاذه</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عن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موارد</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إعمال</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القاعدة</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والمسألة</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 xml:space="preserve">الأصولية </w:t>
      </w:r>
      <w:r w:rsidR="00FB21F9" w:rsidRPr="00904FCB">
        <w:rPr>
          <w:rFonts w:ascii="Times New Roman" w:hAnsi="Times New Roman" w:hint="cs"/>
          <w:sz w:val="27"/>
          <w:rtl/>
          <w:lang w:bidi="fa-IR"/>
        </w:rPr>
        <w:t>يجيب</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الأستاذ</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بأنّ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ثمرة</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هذا</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البحث</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علميةٌ</w:t>
      </w:r>
      <w:r w:rsidR="00FB21F9" w:rsidRPr="00904FCB">
        <w:rPr>
          <w:rFonts w:ascii="Times New Roman" w:hAnsi="Times New Roman" w:hint="cs"/>
          <w:sz w:val="27"/>
          <w:rtl/>
          <w:lang w:bidi="fa-IR"/>
        </w:rPr>
        <w:t>،</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ولا</w:t>
      </w:r>
      <w:r w:rsidR="00FB21F9" w:rsidRPr="00904FCB">
        <w:rPr>
          <w:rFonts w:ascii="Times New Roman" w:hAnsi="Times New Roman" w:hint="cs"/>
          <w:sz w:val="27"/>
          <w:rtl/>
          <w:lang w:bidi="fa-IR"/>
        </w:rPr>
        <w:t xml:space="preserve"> </w:t>
      </w:r>
      <w:r w:rsidR="00057E24" w:rsidRPr="00904FCB">
        <w:rPr>
          <w:rFonts w:ascii="Times New Roman" w:hAnsi="Times New Roman" w:hint="cs"/>
          <w:sz w:val="27"/>
          <w:rtl/>
          <w:lang w:bidi="fa-IR"/>
        </w:rPr>
        <w:t>مصاديق</w:t>
      </w:r>
      <w:r w:rsidR="00057E24" w:rsidRPr="00904FCB">
        <w:rPr>
          <w:rFonts w:ascii="Times New Roman" w:hAnsi="Times New Roman"/>
          <w:sz w:val="27"/>
          <w:rtl/>
          <w:lang w:bidi="fa-IR"/>
        </w:rPr>
        <w:t xml:space="preserve"> </w:t>
      </w:r>
      <w:r w:rsidR="00FB21F9" w:rsidRPr="00904FCB">
        <w:rPr>
          <w:rFonts w:ascii="Times New Roman" w:hAnsi="Times New Roman" w:hint="cs"/>
          <w:sz w:val="27"/>
          <w:rtl/>
          <w:lang w:bidi="fa-IR"/>
        </w:rPr>
        <w:t>تطبيقيّة</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له</w:t>
      </w:r>
      <w:r w:rsidR="00057E24" w:rsidRPr="00904FCB">
        <w:rPr>
          <w:rFonts w:ascii="Times New Roman" w:hAnsi="Times New Roman"/>
          <w:sz w:val="27"/>
          <w:rtl/>
          <w:lang w:bidi="fa-IR"/>
        </w:rPr>
        <w:t xml:space="preserve">. </w:t>
      </w:r>
    </w:p>
    <w:p w:rsidR="00057E24" w:rsidRPr="00904FCB" w:rsidRDefault="00FB21F9"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t>إنّ مدرسة وأسلوب</w:t>
      </w:r>
      <w:r w:rsidR="00057E24" w:rsidRPr="00904FCB">
        <w:rPr>
          <w:rFonts w:ascii="Times New Roman" w:hAnsi="Times New Roman"/>
          <w:sz w:val="27"/>
          <w:rtl/>
          <w:lang w:bidi="fa-IR"/>
        </w:rPr>
        <w:t xml:space="preserve"> الشهيد الثان</w:t>
      </w:r>
      <w:r w:rsidR="00057E24" w:rsidRPr="00904FCB">
        <w:rPr>
          <w:rFonts w:ascii="Times New Roman" w:hAnsi="Times New Roman" w:hint="cs"/>
          <w:sz w:val="27"/>
          <w:rtl/>
          <w:lang w:bidi="fa-IR"/>
        </w:rPr>
        <w:t>ي</w:t>
      </w:r>
      <w:r w:rsidR="00057E24" w:rsidRPr="00904FCB">
        <w:rPr>
          <w:rFonts w:ascii="Times New Roman" w:hAnsi="Times New Roman"/>
          <w:sz w:val="27"/>
          <w:rtl/>
          <w:lang w:bidi="fa-IR"/>
        </w:rPr>
        <w:t xml:space="preserve">، مضافاً </w:t>
      </w:r>
      <w:r w:rsidRPr="00904FCB">
        <w:rPr>
          <w:rFonts w:ascii="Times New Roman" w:hAnsi="Times New Roman" w:hint="cs"/>
          <w:sz w:val="27"/>
          <w:rtl/>
          <w:lang w:bidi="fa-IR"/>
        </w:rPr>
        <w:t>إل</w:t>
      </w:r>
      <w:r w:rsidR="00057E24" w:rsidRPr="00904FCB">
        <w:rPr>
          <w:rFonts w:ascii="Times New Roman" w:hAnsi="Times New Roman"/>
          <w:sz w:val="27"/>
          <w:rtl/>
          <w:lang w:bidi="fa-IR"/>
        </w:rPr>
        <w:t xml:space="preserve">ى </w:t>
      </w:r>
      <w:r w:rsidR="00057E24" w:rsidRPr="00904FCB">
        <w:rPr>
          <w:rFonts w:ascii="Times New Roman" w:hAnsi="Times New Roman" w:hint="cs"/>
          <w:sz w:val="27"/>
          <w:rtl/>
          <w:lang w:bidi="fa-IR"/>
        </w:rPr>
        <w:t>أنّهما</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يساهمان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في</w:t>
      </w:r>
      <w:r w:rsidR="00057E24" w:rsidRPr="00904FCB">
        <w:rPr>
          <w:rFonts w:ascii="Times New Roman" w:hAnsi="Times New Roman"/>
          <w:sz w:val="27"/>
          <w:rtl/>
          <w:lang w:bidi="fa-IR"/>
        </w:rPr>
        <w:t xml:space="preserve"> معالجة نقاط ال</w:t>
      </w:r>
      <w:r w:rsidR="00057E24" w:rsidRPr="00904FCB">
        <w:rPr>
          <w:rFonts w:ascii="Times New Roman" w:hAnsi="Times New Roman" w:hint="cs"/>
          <w:sz w:val="27"/>
          <w:rtl/>
          <w:lang w:bidi="fa-IR"/>
        </w:rPr>
        <w:t>ضع</w:t>
      </w:r>
      <w:r w:rsidR="00057E24" w:rsidRPr="00904FCB">
        <w:rPr>
          <w:rFonts w:ascii="Times New Roman" w:hAnsi="Times New Roman"/>
          <w:sz w:val="27"/>
          <w:rtl/>
          <w:lang w:bidi="fa-IR"/>
        </w:rPr>
        <w:t>ف والنواقص الت</w:t>
      </w:r>
      <w:r w:rsidR="00057E24" w:rsidRPr="00904FCB">
        <w:rPr>
          <w:rFonts w:ascii="Times New Roman" w:hAnsi="Times New Roman" w:hint="cs"/>
          <w:sz w:val="27"/>
          <w:rtl/>
          <w:lang w:bidi="fa-IR"/>
        </w:rPr>
        <w:t>ي</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اب</w:t>
      </w:r>
      <w:r w:rsidR="00057E24" w:rsidRPr="00904FCB">
        <w:rPr>
          <w:rFonts w:ascii="Times New Roman" w:hAnsi="Times New Roman" w:hint="cs"/>
          <w:sz w:val="27"/>
          <w:rtl/>
          <w:lang w:bidi="fa-IR"/>
        </w:rPr>
        <w:t>تُلي</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بها</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الأصول، لهما</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فوائد</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وثمار</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كثيرة</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يجب</w:t>
      </w:r>
      <w:r w:rsidR="00057E24" w:rsidRPr="00904FCB">
        <w:rPr>
          <w:rFonts w:ascii="Times New Roman" w:hAnsi="Times New Roman"/>
          <w:sz w:val="27"/>
          <w:rtl/>
          <w:lang w:bidi="fa-IR"/>
        </w:rPr>
        <w:t xml:space="preserve"> </w:t>
      </w:r>
      <w:r w:rsidRPr="00904FCB">
        <w:rPr>
          <w:rFonts w:ascii="Times New Roman" w:hAnsi="Times New Roman" w:hint="cs"/>
          <w:sz w:val="27"/>
          <w:rtl/>
          <w:lang w:bidi="fa-IR"/>
        </w:rPr>
        <w:t>الاعتناء</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ببحثها</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ودراستها</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في</w:t>
      </w:r>
      <w:r w:rsidR="00057E24" w:rsidRPr="00904FCB">
        <w:rPr>
          <w:rFonts w:ascii="Times New Roman" w:hAnsi="Times New Roman"/>
          <w:sz w:val="27"/>
          <w:rtl/>
          <w:lang w:bidi="fa-IR"/>
        </w:rPr>
        <w:t xml:space="preserve"> محلّها.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AD189E">
        <w:rPr>
          <w:rFonts w:hint="cs"/>
          <w:color w:val="auto"/>
          <w:rtl/>
          <w:lang w:bidi="ar-LB"/>
        </w:rPr>
        <w:t xml:space="preserve">2ـ </w:t>
      </w:r>
      <w:r w:rsidRPr="00AD189E">
        <w:rPr>
          <w:color w:val="auto"/>
          <w:rtl/>
          <w:lang w:bidi="fa-IR"/>
        </w:rPr>
        <w:t>طرح الأقوال</w:t>
      </w:r>
      <w:r w:rsidRPr="00904FCB">
        <w:rPr>
          <w:color w:val="auto"/>
          <w:rtl/>
          <w:lang w:bidi="fa-IR"/>
        </w:rPr>
        <w:t xml:space="preserve"> والآراء المختلفة </w:t>
      </w:r>
    </w:p>
    <w:p w:rsidR="00057E24" w:rsidRPr="00904FCB" w:rsidRDefault="00057E24"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t>قبل الدخول ف</w:t>
      </w:r>
      <w:r w:rsidRPr="00904FCB">
        <w:rPr>
          <w:rFonts w:ascii="Times New Roman" w:hAnsi="Times New Roman" w:hint="cs"/>
          <w:sz w:val="27"/>
          <w:rtl/>
          <w:lang w:bidi="fa-IR"/>
        </w:rPr>
        <w:t>ي</w:t>
      </w:r>
      <w:r w:rsidRPr="00904FCB">
        <w:rPr>
          <w:rFonts w:ascii="Times New Roman" w:hAnsi="Times New Roman"/>
          <w:sz w:val="27"/>
          <w:rtl/>
          <w:lang w:bidi="fa-IR"/>
        </w:rPr>
        <w:t xml:space="preserve"> كلِّ مبحث</w:t>
      </w:r>
      <w:r w:rsidR="004D518C"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يستعرض</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004D518C" w:rsidRPr="00904FCB">
        <w:rPr>
          <w:rFonts w:ascii="Times New Roman" w:hAnsi="Times New Roman"/>
          <w:sz w:val="27"/>
          <w:rtl/>
          <w:lang w:bidi="fa-IR"/>
        </w:rPr>
        <w:t>هيد</w:t>
      </w:r>
      <w:r w:rsidRPr="00904FCB">
        <w:rPr>
          <w:rFonts w:ascii="Times New Roman" w:hAnsi="Times New Roman"/>
          <w:sz w:val="27"/>
          <w:rtl/>
          <w:lang w:bidi="fa-IR"/>
        </w:rPr>
        <w:t xml:space="preserve">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الأقوا</w:t>
      </w:r>
      <w:r w:rsidR="004D518C" w:rsidRPr="00904FCB">
        <w:rPr>
          <w:rFonts w:ascii="Times New Roman" w:hAnsi="Times New Roman" w:hint="cs"/>
          <w:sz w:val="27"/>
          <w:rtl/>
          <w:lang w:bidi="fa-IR"/>
        </w:rPr>
        <w:t>ل</w:t>
      </w:r>
      <w:r w:rsidRPr="00904FCB">
        <w:rPr>
          <w:rFonts w:ascii="Times New Roman" w:hAnsi="Times New Roman"/>
          <w:sz w:val="27"/>
          <w:rtl/>
          <w:lang w:bidi="fa-IR"/>
        </w:rPr>
        <w:t xml:space="preserve"> </w:t>
      </w:r>
      <w:r w:rsidR="004D518C" w:rsidRPr="00904FCB">
        <w:rPr>
          <w:rFonts w:ascii="Times New Roman" w:hAnsi="Times New Roman" w:hint="cs"/>
          <w:sz w:val="27"/>
          <w:rtl/>
          <w:lang w:bidi="fa-IR"/>
        </w:rPr>
        <w:t>والآراء</w:t>
      </w:r>
      <w:r w:rsidRPr="00904FCB">
        <w:rPr>
          <w:rFonts w:ascii="Times New Roman" w:hAnsi="Times New Roman"/>
          <w:sz w:val="27"/>
          <w:rtl/>
          <w:lang w:bidi="fa-IR"/>
        </w:rPr>
        <w:t xml:space="preserve"> </w:t>
      </w:r>
      <w:r w:rsidRPr="00904FCB">
        <w:rPr>
          <w:rFonts w:ascii="Times New Roman" w:hAnsi="Times New Roman" w:hint="cs"/>
          <w:sz w:val="27"/>
          <w:rtl/>
          <w:lang w:bidi="fa-IR"/>
        </w:rPr>
        <w:t>المختلف</w:t>
      </w:r>
      <w:r w:rsidR="004D518C" w:rsidRPr="00904FCB">
        <w:rPr>
          <w:rFonts w:ascii="Times New Roman" w:hAnsi="Times New Roman" w:hint="cs"/>
          <w:sz w:val="27"/>
          <w:rtl/>
          <w:lang w:bidi="fa-IR"/>
        </w:rPr>
        <w:t>ة</w:t>
      </w:r>
      <w:r w:rsidRPr="00904FCB">
        <w:rPr>
          <w:rFonts w:ascii="Times New Roman" w:hAnsi="Times New Roman"/>
          <w:sz w:val="27"/>
          <w:rtl/>
          <w:lang w:bidi="fa-IR"/>
        </w:rPr>
        <w:t xml:space="preserve"> </w:t>
      </w:r>
      <w:r w:rsidRPr="00904FCB">
        <w:rPr>
          <w:rFonts w:ascii="Times New Roman" w:hAnsi="Times New Roman" w:hint="cs"/>
          <w:sz w:val="27"/>
          <w:rtl/>
          <w:lang w:bidi="fa-IR"/>
        </w:rPr>
        <w:t>فيه</w:t>
      </w:r>
      <w:r w:rsidRPr="00904FCB">
        <w:rPr>
          <w:rFonts w:ascii="Times New Roman" w:hAnsi="Times New Roman"/>
          <w:sz w:val="27"/>
          <w:rtl/>
          <w:lang w:bidi="fa-IR"/>
        </w:rPr>
        <w:t xml:space="preserve">. </w:t>
      </w:r>
      <w:r w:rsidRPr="00904FCB">
        <w:rPr>
          <w:rFonts w:ascii="Times New Roman" w:hAnsi="Times New Roman" w:hint="cs"/>
          <w:sz w:val="27"/>
          <w:rtl/>
          <w:lang w:bidi="fa-IR"/>
        </w:rPr>
        <w:t>وأحياناً</w:t>
      </w:r>
      <w:r w:rsidRPr="00904FCB">
        <w:rPr>
          <w:rFonts w:ascii="Times New Roman" w:hAnsi="Times New Roman"/>
          <w:sz w:val="27"/>
          <w:rtl/>
          <w:lang w:bidi="fa-IR"/>
        </w:rPr>
        <w:t xml:space="preserve"> </w:t>
      </w:r>
      <w:r w:rsidR="004D518C" w:rsidRPr="00904FCB">
        <w:rPr>
          <w:rFonts w:ascii="Times New Roman" w:hAnsi="Times New Roman" w:hint="cs"/>
          <w:sz w:val="27"/>
          <w:rtl/>
          <w:lang w:bidi="fa-IR"/>
        </w:rPr>
        <w:t>يصل</w:t>
      </w:r>
      <w:r w:rsidRPr="00904FCB">
        <w:rPr>
          <w:rFonts w:ascii="Times New Roman" w:hAnsi="Times New Roman"/>
          <w:sz w:val="27"/>
          <w:rtl/>
          <w:lang w:bidi="fa-IR"/>
        </w:rPr>
        <w:t xml:space="preserve"> </w:t>
      </w:r>
      <w:r w:rsidR="004D518C" w:rsidRPr="00904FCB">
        <w:rPr>
          <w:rFonts w:ascii="Times New Roman" w:hAnsi="Times New Roman" w:hint="cs"/>
          <w:sz w:val="27"/>
          <w:rtl/>
          <w:lang w:bidi="fa-IR"/>
        </w:rPr>
        <w:t>عدد</w:t>
      </w:r>
      <w:r w:rsidRPr="00904FCB">
        <w:rPr>
          <w:rFonts w:ascii="Times New Roman" w:hAnsi="Times New Roman"/>
          <w:sz w:val="27"/>
          <w:rtl/>
          <w:lang w:bidi="fa-IR"/>
        </w:rPr>
        <w:t xml:space="preserve"> </w:t>
      </w:r>
      <w:r w:rsidRPr="00904FCB">
        <w:rPr>
          <w:rFonts w:ascii="Times New Roman" w:hAnsi="Times New Roman" w:hint="cs"/>
          <w:sz w:val="27"/>
          <w:rtl/>
          <w:lang w:bidi="fa-IR"/>
        </w:rPr>
        <w:t>الأقوال</w:t>
      </w:r>
      <w:r w:rsidRPr="00904FCB">
        <w:rPr>
          <w:rFonts w:ascii="Times New Roman" w:hAnsi="Times New Roman"/>
          <w:sz w:val="27"/>
          <w:rtl/>
          <w:lang w:bidi="fa-IR"/>
        </w:rPr>
        <w:t xml:space="preserve"> </w:t>
      </w:r>
      <w:r w:rsidRPr="00904FCB">
        <w:rPr>
          <w:rFonts w:ascii="Times New Roman" w:hAnsi="Times New Roman" w:hint="cs"/>
          <w:sz w:val="27"/>
          <w:rtl/>
          <w:lang w:bidi="fa-IR"/>
        </w:rPr>
        <w:t>التي</w:t>
      </w:r>
      <w:r w:rsidRPr="00904FCB">
        <w:rPr>
          <w:rFonts w:ascii="Times New Roman" w:hAnsi="Times New Roman"/>
          <w:sz w:val="27"/>
          <w:rtl/>
          <w:lang w:bidi="fa-IR"/>
        </w:rPr>
        <w:t xml:space="preserve"> </w:t>
      </w:r>
      <w:r w:rsidRPr="00904FCB">
        <w:rPr>
          <w:rFonts w:ascii="Times New Roman" w:hAnsi="Times New Roman" w:hint="cs"/>
          <w:sz w:val="27"/>
          <w:rtl/>
          <w:lang w:bidi="fa-IR"/>
        </w:rPr>
        <w:t>يورد</w:t>
      </w:r>
      <w:r w:rsidRPr="00904FCB">
        <w:rPr>
          <w:rFonts w:ascii="Times New Roman" w:hAnsi="Times New Roman"/>
          <w:sz w:val="27"/>
          <w:rtl/>
          <w:lang w:bidi="fa-IR"/>
        </w:rPr>
        <w:t>ها ف</w:t>
      </w:r>
      <w:r w:rsidRPr="00904FCB">
        <w:rPr>
          <w:rFonts w:ascii="Times New Roman" w:hAnsi="Times New Roman" w:hint="cs"/>
          <w:sz w:val="27"/>
          <w:rtl/>
          <w:lang w:bidi="fa-IR"/>
        </w:rPr>
        <w:t>ي</w:t>
      </w:r>
      <w:r w:rsidR="004D518C" w:rsidRPr="00904FCB">
        <w:rPr>
          <w:rFonts w:ascii="Times New Roman" w:hAnsi="Times New Roman"/>
          <w:sz w:val="27"/>
          <w:rtl/>
          <w:lang w:bidi="fa-IR"/>
        </w:rPr>
        <w:t xml:space="preserve"> القاعدة</w:t>
      </w:r>
      <w:r w:rsidRPr="00904FCB">
        <w:rPr>
          <w:rFonts w:ascii="Times New Roman" w:hAnsi="Times New Roman"/>
          <w:sz w:val="27"/>
          <w:rtl/>
          <w:lang w:bidi="fa-IR"/>
        </w:rPr>
        <w:t xml:space="preserve"> الأصول</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الواحدة</w:t>
      </w:r>
      <w:r w:rsidRPr="00904FCB">
        <w:rPr>
          <w:rFonts w:ascii="Times New Roman" w:hAnsi="Times New Roman"/>
          <w:sz w:val="27"/>
          <w:rtl/>
          <w:lang w:bidi="fa-IR"/>
        </w:rPr>
        <w:t xml:space="preserve"> </w:t>
      </w:r>
      <w:r w:rsidR="004D518C"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عشرة</w:t>
      </w:r>
      <w:r w:rsidRPr="00904FCB">
        <w:rPr>
          <w:rFonts w:ascii="Times New Roman" w:hAnsi="Times New Roman"/>
          <w:sz w:val="27"/>
          <w:rtl/>
          <w:lang w:bidi="fa-IR"/>
        </w:rPr>
        <w:t xml:space="preserve"> </w:t>
      </w:r>
      <w:r w:rsidR="004D518C" w:rsidRPr="00904FCB">
        <w:rPr>
          <w:rFonts w:ascii="Times New Roman" w:hAnsi="Times New Roman" w:hint="cs"/>
          <w:sz w:val="27"/>
          <w:rtl/>
          <w:lang w:bidi="fa-IR"/>
        </w:rPr>
        <w:t>أقوال</w:t>
      </w:r>
      <w:r w:rsidRPr="00904FCB">
        <w:rPr>
          <w:rFonts w:ascii="Times New Roman" w:hAnsi="Times New Roman"/>
          <w:sz w:val="27"/>
          <w:rtl/>
          <w:lang w:bidi="fa-IR"/>
        </w:rPr>
        <w:t xml:space="preserve">. </w:t>
      </w:r>
      <w:r w:rsidRPr="00904FCB">
        <w:rPr>
          <w:rFonts w:ascii="Times New Roman" w:hAnsi="Times New Roman" w:hint="cs"/>
          <w:sz w:val="27"/>
          <w:rtl/>
          <w:lang w:bidi="fa-IR"/>
        </w:rPr>
        <w:t>نذكر</w:t>
      </w:r>
      <w:r w:rsidRPr="00904FCB">
        <w:rPr>
          <w:rFonts w:ascii="Times New Roman" w:hAnsi="Times New Roman"/>
          <w:sz w:val="27"/>
          <w:rtl/>
          <w:lang w:bidi="fa-IR"/>
        </w:rPr>
        <w:t xml:space="preserve"> على </w:t>
      </w:r>
      <w:r w:rsidRPr="00904FCB">
        <w:rPr>
          <w:rFonts w:ascii="Times New Roman" w:hAnsi="Times New Roman" w:hint="cs"/>
          <w:sz w:val="27"/>
          <w:rtl/>
          <w:lang w:bidi="fa-IR"/>
        </w:rPr>
        <w:t>سبيل</w:t>
      </w:r>
      <w:r w:rsidRPr="00904FCB">
        <w:rPr>
          <w:rFonts w:ascii="Times New Roman" w:hAnsi="Times New Roman"/>
          <w:sz w:val="27"/>
          <w:rtl/>
          <w:lang w:bidi="fa-IR"/>
        </w:rPr>
        <w:t xml:space="preserve"> </w:t>
      </w:r>
      <w:r w:rsidRPr="00904FCB">
        <w:rPr>
          <w:rFonts w:ascii="Times New Roman" w:hAnsi="Times New Roman" w:hint="cs"/>
          <w:sz w:val="27"/>
          <w:rtl/>
          <w:lang w:bidi="fa-IR"/>
        </w:rPr>
        <w:t>المثال</w:t>
      </w:r>
      <w:r w:rsidR="004D518C" w:rsidRPr="00904FCB">
        <w:rPr>
          <w:rFonts w:ascii="Times New Roman" w:hAnsi="Times New Roman" w:hint="cs"/>
          <w:sz w:val="27"/>
          <w:rtl/>
          <w:lang w:bidi="fa-IR"/>
        </w:rPr>
        <w:t>:</w:t>
      </w:r>
      <w:r w:rsidRPr="00904FCB">
        <w:rPr>
          <w:rFonts w:ascii="Times New Roman" w:hAnsi="Times New Roman" w:hint="cs"/>
          <w:sz w:val="27"/>
          <w:rtl/>
          <w:lang w:bidi="fa-IR"/>
        </w:rPr>
        <w:t xml:space="preserve"> القاعدة</w:t>
      </w:r>
      <w:r w:rsidRPr="00904FCB">
        <w:rPr>
          <w:rFonts w:ascii="Times New Roman" w:hAnsi="Times New Roman"/>
          <w:sz w:val="27"/>
          <w:rtl/>
          <w:lang w:bidi="fa-IR"/>
        </w:rPr>
        <w:t xml:space="preserve"> </w:t>
      </w:r>
      <w:r w:rsidRPr="00904FCB">
        <w:rPr>
          <w:rFonts w:ascii="Times New Roman" w:hAnsi="Times New Roman" w:hint="cs"/>
          <w:sz w:val="27"/>
          <w:rtl/>
          <w:lang w:bidi="fa-IR"/>
        </w:rPr>
        <w:t>الحادية</w:t>
      </w:r>
      <w:r w:rsidRPr="00904FCB">
        <w:rPr>
          <w:rFonts w:ascii="Times New Roman" w:hAnsi="Times New Roman"/>
          <w:sz w:val="27"/>
          <w:rtl/>
          <w:lang w:bidi="fa-IR"/>
        </w:rPr>
        <w:t xml:space="preserve"> </w:t>
      </w:r>
      <w:r w:rsidRPr="00904FCB">
        <w:rPr>
          <w:rFonts w:ascii="Times New Roman" w:hAnsi="Times New Roman" w:hint="cs"/>
          <w:sz w:val="27"/>
          <w:rtl/>
          <w:lang w:bidi="fa-IR"/>
        </w:rPr>
        <w:t>والثلاثون</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مفهوم الأمر، الأعمّ من كونه بص</w:t>
      </w:r>
      <w:r w:rsidRPr="00904FCB">
        <w:rPr>
          <w:rFonts w:ascii="Times New Roman" w:hAnsi="Times New Roman" w:hint="cs"/>
          <w:sz w:val="27"/>
          <w:rtl/>
          <w:lang w:bidi="fa-IR"/>
        </w:rPr>
        <w:t>يغة</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الأمر </w:t>
      </w:r>
      <w:r w:rsidRPr="00904FCB">
        <w:rPr>
          <w:rFonts w:ascii="Times New Roman" w:hAnsi="Times New Roman"/>
          <w:sz w:val="27"/>
          <w:rtl/>
          <w:lang w:bidi="fa-IR"/>
        </w:rPr>
        <w:t>أو الفعل المضارع المتّصل ب</w:t>
      </w:r>
      <w:r w:rsidR="004D518C" w:rsidRPr="00904FCB">
        <w:rPr>
          <w:rFonts w:ascii="Times New Roman" w:hAnsi="Times New Roman" w:hint="cs"/>
          <w:sz w:val="27"/>
          <w:rtl/>
          <w:lang w:bidi="fa-IR"/>
        </w:rPr>
        <w:t>ـ</w:t>
      </w:r>
      <w:r w:rsidRPr="00904FCB">
        <w:rPr>
          <w:rFonts w:ascii="Times New Roman" w:hAnsi="Times New Roman"/>
          <w:sz w:val="27"/>
          <w:rtl/>
          <w:lang w:bidi="fa-IR"/>
        </w:rPr>
        <w:t xml:space="preserve"> «</w:t>
      </w:r>
      <w:r w:rsidR="004D518C" w:rsidRPr="00904FCB">
        <w:rPr>
          <w:rFonts w:ascii="Times New Roman" w:hAnsi="Times New Roman" w:hint="cs"/>
          <w:sz w:val="27"/>
          <w:rtl/>
          <w:lang w:bidi="fa-IR"/>
        </w:rPr>
        <w:t>ا</w:t>
      </w:r>
      <w:r w:rsidRPr="00904FCB">
        <w:rPr>
          <w:rFonts w:ascii="Times New Roman" w:hAnsi="Times New Roman"/>
          <w:sz w:val="27"/>
          <w:rtl/>
          <w:lang w:bidi="fa-IR"/>
        </w:rPr>
        <w:t xml:space="preserve">ل» أو اسم الفعل، </w:t>
      </w:r>
      <w:r w:rsidRPr="00904FCB">
        <w:rPr>
          <w:rFonts w:ascii="Times New Roman" w:hAnsi="Times New Roman" w:hint="cs"/>
          <w:sz w:val="27"/>
          <w:rtl/>
          <w:lang w:bidi="fa-IR"/>
        </w:rPr>
        <w:t>يورد</w:t>
      </w:r>
      <w:r w:rsidRPr="00904FCB">
        <w:rPr>
          <w:rFonts w:ascii="Times New Roman" w:hAnsi="Times New Roman"/>
          <w:sz w:val="27"/>
          <w:rtl/>
          <w:lang w:bidi="fa-IR"/>
        </w:rPr>
        <w:t xml:space="preserve"> </w:t>
      </w:r>
      <w:r w:rsidRPr="00904FCB">
        <w:rPr>
          <w:rFonts w:ascii="Times New Roman" w:hAnsi="Times New Roman" w:hint="cs"/>
          <w:sz w:val="27"/>
          <w:rtl/>
          <w:lang w:bidi="fa-IR"/>
        </w:rPr>
        <w:t>فيها</w:t>
      </w:r>
      <w:r w:rsidRPr="00904FCB">
        <w:rPr>
          <w:rFonts w:ascii="Times New Roman" w:hAnsi="Times New Roman"/>
          <w:sz w:val="27"/>
          <w:rtl/>
          <w:lang w:bidi="fa-IR"/>
        </w:rPr>
        <w:t xml:space="preserve"> </w:t>
      </w:r>
      <w:r w:rsidRPr="00904FCB">
        <w:rPr>
          <w:rFonts w:ascii="Times New Roman" w:hAnsi="Times New Roman" w:hint="cs"/>
          <w:sz w:val="27"/>
          <w:rtl/>
          <w:lang w:bidi="fa-IR"/>
        </w:rPr>
        <w:t>أربعة</w:t>
      </w:r>
      <w:r w:rsidRPr="00904FCB">
        <w:rPr>
          <w:rFonts w:ascii="Times New Roman" w:hAnsi="Times New Roman"/>
          <w:sz w:val="27"/>
          <w:rtl/>
          <w:lang w:bidi="fa-IR"/>
        </w:rPr>
        <w:t xml:space="preserve"> </w:t>
      </w:r>
      <w:r w:rsidRPr="00904FCB">
        <w:rPr>
          <w:rFonts w:ascii="Times New Roman" w:hAnsi="Times New Roman" w:hint="cs"/>
          <w:sz w:val="27"/>
          <w:rtl/>
          <w:lang w:bidi="fa-IR"/>
        </w:rPr>
        <w:lastRenderedPageBreak/>
        <w:t>عشر</w:t>
      </w:r>
      <w:r w:rsidRPr="00904FCB">
        <w:rPr>
          <w:rFonts w:ascii="Times New Roman" w:hAnsi="Times New Roman"/>
          <w:sz w:val="27"/>
          <w:rtl/>
          <w:lang w:bidi="fa-IR"/>
        </w:rPr>
        <w:t xml:space="preserve"> </w:t>
      </w:r>
      <w:r w:rsidRPr="00904FCB">
        <w:rPr>
          <w:rFonts w:ascii="Times New Roman" w:hAnsi="Times New Roman" w:hint="cs"/>
          <w:sz w:val="27"/>
          <w:rtl/>
          <w:lang w:bidi="fa-IR"/>
        </w:rPr>
        <w:t>قولاً</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AD189E">
        <w:rPr>
          <w:rFonts w:hint="cs"/>
          <w:color w:val="auto"/>
          <w:rtl/>
          <w:lang w:bidi="ar-LB"/>
        </w:rPr>
        <w:t xml:space="preserve">3ـ </w:t>
      </w:r>
      <w:r w:rsidRPr="00AD189E">
        <w:rPr>
          <w:color w:val="auto"/>
          <w:rtl/>
          <w:lang w:bidi="fa-IR"/>
        </w:rPr>
        <w:t>الالتفات</w:t>
      </w:r>
      <w:r w:rsidRPr="00904FCB">
        <w:rPr>
          <w:color w:val="auto"/>
          <w:rtl/>
          <w:lang w:bidi="fa-IR"/>
        </w:rPr>
        <w:t xml:space="preserve"> </w:t>
      </w:r>
      <w:r w:rsidR="004D518C" w:rsidRPr="00904FCB">
        <w:rPr>
          <w:rFonts w:hint="cs"/>
          <w:color w:val="auto"/>
          <w:rtl/>
          <w:lang w:bidi="fa-IR"/>
        </w:rPr>
        <w:t>إ</w:t>
      </w:r>
      <w:r w:rsidRPr="00904FCB">
        <w:rPr>
          <w:color w:val="auto"/>
          <w:rtl/>
          <w:lang w:bidi="fa-IR"/>
        </w:rPr>
        <w:t xml:space="preserve">لى </w:t>
      </w:r>
      <w:r w:rsidRPr="00904FCB">
        <w:rPr>
          <w:rFonts w:hint="cs"/>
          <w:color w:val="auto"/>
          <w:rtl/>
          <w:lang w:bidi="fa-IR"/>
        </w:rPr>
        <w:t>بعض</w:t>
      </w:r>
      <w:r w:rsidRPr="00904FCB">
        <w:rPr>
          <w:color w:val="auto"/>
          <w:rtl/>
          <w:lang w:bidi="fa-IR"/>
        </w:rPr>
        <w:t xml:space="preserve"> </w:t>
      </w:r>
      <w:r w:rsidRPr="00904FCB">
        <w:rPr>
          <w:rFonts w:hint="cs"/>
          <w:color w:val="auto"/>
          <w:rtl/>
          <w:lang w:bidi="fa-IR"/>
        </w:rPr>
        <w:t>المباحث</w:t>
      </w:r>
      <w:r w:rsidRPr="00904FCB">
        <w:rPr>
          <w:color w:val="auto"/>
          <w:rtl/>
          <w:lang w:bidi="fa-IR"/>
        </w:rPr>
        <w:t xml:space="preserve"> </w:t>
      </w:r>
      <w:r w:rsidRPr="00904FCB">
        <w:rPr>
          <w:rFonts w:hint="cs"/>
          <w:color w:val="auto"/>
          <w:rtl/>
          <w:lang w:bidi="fa-IR"/>
        </w:rPr>
        <w:t>المحورية</w:t>
      </w:r>
      <w:r w:rsidRPr="00904FCB">
        <w:rPr>
          <w:color w:val="auto"/>
          <w:rtl/>
          <w:lang w:bidi="fa-IR"/>
        </w:rPr>
        <w:t xml:space="preserve"> </w:t>
      </w:r>
    </w:p>
    <w:p w:rsidR="00057E24" w:rsidRPr="00904FCB" w:rsidRDefault="00057E24"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t>لقد اعتن</w:t>
      </w:r>
      <w:r w:rsidR="004D518C"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00051390" w:rsidRPr="00904FCB">
        <w:rPr>
          <w:rFonts w:ascii="Times New Roman" w:hAnsi="Times New Roman"/>
          <w:sz w:val="27"/>
          <w:rtl/>
          <w:lang w:bidi="fa-IR"/>
        </w:rPr>
        <w:t>هيد</w:t>
      </w:r>
      <w:r w:rsidRPr="00904FCB">
        <w:rPr>
          <w:rFonts w:ascii="Times New Roman" w:hAnsi="Times New Roman"/>
          <w:sz w:val="27"/>
          <w:rtl/>
          <w:lang w:bidi="fa-IR"/>
        </w:rPr>
        <w:t xml:space="preserve">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بشرح وتوض</w:t>
      </w:r>
      <w:r w:rsidRPr="00904FCB">
        <w:rPr>
          <w:rFonts w:ascii="Times New Roman" w:hAnsi="Times New Roman" w:hint="cs"/>
          <w:sz w:val="27"/>
          <w:rtl/>
          <w:lang w:bidi="fa-IR"/>
        </w:rPr>
        <w:t>يح</w:t>
      </w:r>
      <w:r w:rsidRPr="00904FCB">
        <w:rPr>
          <w:rFonts w:ascii="Times New Roman" w:hAnsi="Times New Roman"/>
          <w:sz w:val="27"/>
          <w:rtl/>
          <w:lang w:bidi="fa-IR"/>
        </w:rPr>
        <w:t xml:space="preserve"> </w:t>
      </w:r>
      <w:r w:rsidRPr="00904FCB">
        <w:rPr>
          <w:rFonts w:ascii="Times New Roman" w:hAnsi="Times New Roman" w:hint="cs"/>
          <w:sz w:val="27"/>
          <w:rtl/>
          <w:lang w:bidi="fa-IR"/>
        </w:rPr>
        <w:t>بعض</w:t>
      </w:r>
      <w:r w:rsidRPr="00904FCB">
        <w:rPr>
          <w:rFonts w:ascii="Times New Roman" w:hAnsi="Times New Roman"/>
          <w:sz w:val="27"/>
          <w:rtl/>
          <w:lang w:bidi="fa-IR"/>
        </w:rPr>
        <w:t xml:space="preserve"> </w:t>
      </w:r>
      <w:r w:rsidRPr="00904FCB">
        <w:rPr>
          <w:rFonts w:ascii="Times New Roman" w:hAnsi="Times New Roman" w:hint="cs"/>
          <w:sz w:val="27"/>
          <w:rtl/>
          <w:lang w:bidi="fa-IR"/>
        </w:rPr>
        <w:t>المطالب</w:t>
      </w:r>
      <w:r w:rsidRPr="00904FCB">
        <w:rPr>
          <w:rFonts w:ascii="Times New Roman" w:hAnsi="Times New Roman"/>
          <w:sz w:val="27"/>
          <w:rtl/>
          <w:lang w:bidi="fa-IR"/>
        </w:rPr>
        <w:t xml:space="preserve"> </w:t>
      </w:r>
      <w:r w:rsidRPr="00904FCB">
        <w:rPr>
          <w:rFonts w:ascii="Times New Roman" w:hAnsi="Times New Roman" w:hint="cs"/>
          <w:sz w:val="27"/>
          <w:rtl/>
          <w:lang w:bidi="fa-IR"/>
        </w:rPr>
        <w:t>التي</w:t>
      </w:r>
      <w:r w:rsidRPr="00904FCB">
        <w:rPr>
          <w:rFonts w:ascii="Times New Roman" w:hAnsi="Times New Roman"/>
          <w:sz w:val="27"/>
          <w:rtl/>
          <w:lang w:bidi="fa-IR"/>
        </w:rPr>
        <w:t xml:space="preserve"> تعدّ محور البحث والعلم</w:t>
      </w:r>
      <w:r w:rsidR="00051390" w:rsidRPr="00904FCB">
        <w:rPr>
          <w:rFonts w:ascii="Times New Roman" w:hAnsi="Times New Roman" w:hint="cs"/>
          <w:sz w:val="27"/>
          <w:rtl/>
          <w:lang w:bidi="fa-IR"/>
        </w:rPr>
        <w:t>.</w:t>
      </w:r>
      <w:r w:rsidRPr="00904FCB">
        <w:rPr>
          <w:rFonts w:ascii="Times New Roman" w:hAnsi="Times New Roman"/>
          <w:sz w:val="27"/>
          <w:rtl/>
          <w:lang w:bidi="fa-IR"/>
        </w:rPr>
        <w:t xml:space="preserve"> فعل</w:t>
      </w:r>
      <w:r w:rsidR="00051390"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سبيل</w:t>
      </w:r>
      <w:r w:rsidRPr="00904FCB">
        <w:rPr>
          <w:rFonts w:ascii="Times New Roman" w:hAnsi="Times New Roman"/>
          <w:sz w:val="27"/>
          <w:rtl/>
          <w:lang w:bidi="fa-IR"/>
        </w:rPr>
        <w:t xml:space="preserve"> </w:t>
      </w:r>
      <w:r w:rsidRPr="00904FCB">
        <w:rPr>
          <w:rFonts w:ascii="Times New Roman" w:hAnsi="Times New Roman" w:hint="cs"/>
          <w:sz w:val="27"/>
          <w:rtl/>
          <w:lang w:bidi="fa-IR"/>
        </w:rPr>
        <w:t>المثال</w:t>
      </w:r>
      <w:r w:rsidRPr="00904FCB">
        <w:rPr>
          <w:rFonts w:ascii="Times New Roman" w:hAnsi="Times New Roman"/>
          <w:sz w:val="27"/>
          <w:rtl/>
          <w:lang w:bidi="fa-IR"/>
        </w:rPr>
        <w:t xml:space="preserve">: </w:t>
      </w:r>
      <w:r w:rsidRPr="00904FCB">
        <w:rPr>
          <w:rFonts w:ascii="Times New Roman" w:hAnsi="Times New Roman" w:hint="cs"/>
          <w:sz w:val="27"/>
          <w:rtl/>
          <w:lang w:bidi="fa-IR"/>
        </w:rPr>
        <w:t>إنّ</w:t>
      </w:r>
      <w:r w:rsidRPr="00904FCB">
        <w:rPr>
          <w:rFonts w:ascii="Times New Roman" w:hAnsi="Times New Roman"/>
          <w:sz w:val="27"/>
          <w:rtl/>
          <w:lang w:bidi="fa-IR"/>
        </w:rPr>
        <w:t xml:space="preserve"> </w:t>
      </w:r>
      <w:r w:rsidRPr="00904FCB">
        <w:rPr>
          <w:rFonts w:ascii="Times New Roman" w:hAnsi="Times New Roman" w:hint="cs"/>
          <w:sz w:val="27"/>
          <w:rtl/>
          <w:lang w:bidi="fa-IR"/>
        </w:rPr>
        <w:t>محور</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الفقه، وبالت</w:t>
      </w:r>
      <w:r w:rsidR="00051390" w:rsidRPr="00904FCB">
        <w:rPr>
          <w:rFonts w:ascii="Times New Roman" w:hAnsi="Times New Roman" w:hint="cs"/>
          <w:sz w:val="27"/>
          <w:rtl/>
          <w:lang w:bidi="fa-IR"/>
        </w:rPr>
        <w:t>َّ</w:t>
      </w:r>
      <w:r w:rsidRPr="00904FCB">
        <w:rPr>
          <w:rFonts w:ascii="Times New Roman" w:hAnsi="Times New Roman" w:hint="cs"/>
          <w:sz w:val="27"/>
          <w:rtl/>
          <w:lang w:bidi="fa-IR"/>
        </w:rPr>
        <w:t>ب</w:t>
      </w:r>
      <w:r w:rsidR="00051390" w:rsidRPr="00904FCB">
        <w:rPr>
          <w:rFonts w:ascii="Times New Roman" w:hAnsi="Times New Roman" w:hint="cs"/>
          <w:sz w:val="27"/>
          <w:rtl/>
          <w:lang w:bidi="fa-IR"/>
        </w:rPr>
        <w:t>َ</w:t>
      </w:r>
      <w:r w:rsidRPr="00904FCB">
        <w:rPr>
          <w:rFonts w:ascii="Times New Roman" w:hAnsi="Times New Roman" w:hint="cs"/>
          <w:sz w:val="27"/>
          <w:rtl/>
          <w:lang w:bidi="fa-IR"/>
        </w:rPr>
        <w:t>عية</w:t>
      </w:r>
      <w:r w:rsidRPr="00904FCB">
        <w:rPr>
          <w:rFonts w:ascii="Times New Roman" w:hAnsi="Times New Roman"/>
          <w:sz w:val="27"/>
          <w:rtl/>
          <w:lang w:bidi="fa-IR"/>
        </w:rPr>
        <w:t xml:space="preserve"> </w:t>
      </w:r>
      <w:r w:rsidRPr="00904FCB">
        <w:rPr>
          <w:rFonts w:ascii="Times New Roman" w:hAnsi="Times New Roman" w:hint="cs"/>
          <w:sz w:val="27"/>
          <w:rtl/>
          <w:lang w:bidi="fa-IR"/>
        </w:rPr>
        <w:t>له</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w:t>
      </w:r>
      <w:r w:rsidRPr="00904FCB">
        <w:rPr>
          <w:rFonts w:ascii="Times New Roman" w:hAnsi="Times New Roman" w:hint="cs"/>
          <w:sz w:val="27"/>
          <w:rtl/>
          <w:lang w:bidi="fa-IR"/>
        </w:rPr>
        <w:t>الذي</w:t>
      </w:r>
      <w:r w:rsidRPr="00904FCB">
        <w:rPr>
          <w:rFonts w:ascii="Times New Roman" w:hAnsi="Times New Roman"/>
          <w:sz w:val="27"/>
          <w:rtl/>
          <w:lang w:bidi="fa-IR"/>
        </w:rPr>
        <w:t xml:space="preserve"> </w:t>
      </w:r>
      <w:r w:rsidRPr="00904FCB">
        <w:rPr>
          <w:rFonts w:ascii="Times New Roman" w:hAnsi="Times New Roman" w:hint="cs"/>
          <w:sz w:val="27"/>
          <w:rtl/>
          <w:lang w:bidi="fa-IR"/>
        </w:rPr>
        <w:t>يعدُّ</w:t>
      </w:r>
      <w:r w:rsidRPr="00904FCB">
        <w:rPr>
          <w:rFonts w:ascii="Times New Roman" w:hAnsi="Times New Roman"/>
          <w:sz w:val="27"/>
          <w:rtl/>
          <w:lang w:bidi="fa-IR"/>
        </w:rPr>
        <w:t xml:space="preserve"> </w:t>
      </w:r>
      <w:r w:rsidRPr="00904FCB">
        <w:rPr>
          <w:rFonts w:ascii="Times New Roman" w:hAnsi="Times New Roman" w:hint="cs"/>
          <w:sz w:val="27"/>
          <w:rtl/>
          <w:lang w:bidi="fa-IR"/>
        </w:rPr>
        <w:t>مقدمّة</w:t>
      </w:r>
      <w:r w:rsidRPr="00904FCB">
        <w:rPr>
          <w:rFonts w:ascii="Times New Roman" w:hAnsi="Times New Roman"/>
          <w:sz w:val="27"/>
          <w:rtl/>
          <w:lang w:bidi="fa-IR"/>
        </w:rPr>
        <w:t xml:space="preserve"> </w:t>
      </w:r>
      <w:r w:rsidRPr="00904FCB">
        <w:rPr>
          <w:rFonts w:ascii="Times New Roman" w:hAnsi="Times New Roman" w:hint="cs"/>
          <w:sz w:val="27"/>
          <w:rtl/>
          <w:lang w:bidi="fa-IR"/>
        </w:rPr>
        <w:t>الفقه، هو</w:t>
      </w:r>
      <w:r w:rsidRPr="00904FCB">
        <w:rPr>
          <w:rFonts w:ascii="Times New Roman" w:hAnsi="Times New Roman"/>
          <w:sz w:val="27"/>
          <w:rtl/>
          <w:lang w:bidi="fa-IR"/>
        </w:rPr>
        <w:t xml:space="preserve"> </w:t>
      </w:r>
      <w:r w:rsidRPr="00904FCB">
        <w:rPr>
          <w:rFonts w:ascii="Times New Roman" w:hAnsi="Times New Roman" w:hint="cs"/>
          <w:sz w:val="27"/>
          <w:rtl/>
          <w:lang w:bidi="fa-IR"/>
        </w:rPr>
        <w:t>الحكم</w:t>
      </w:r>
      <w:r w:rsidRPr="00904FCB">
        <w:rPr>
          <w:rFonts w:ascii="Times New Roman" w:hAnsi="Times New Roman"/>
          <w:sz w:val="27"/>
          <w:rtl/>
          <w:lang w:bidi="fa-IR"/>
        </w:rPr>
        <w:t xml:space="preserve"> </w:t>
      </w:r>
      <w:r w:rsidRPr="00904FCB">
        <w:rPr>
          <w:rFonts w:ascii="Times New Roman" w:hAnsi="Times New Roman" w:hint="cs"/>
          <w:sz w:val="27"/>
          <w:rtl/>
          <w:lang w:bidi="fa-IR"/>
        </w:rPr>
        <w:t>الشرعي</w:t>
      </w:r>
      <w:r w:rsidRPr="00904FCB">
        <w:rPr>
          <w:rFonts w:ascii="Times New Roman" w:hAnsi="Times New Roman"/>
          <w:sz w:val="27"/>
          <w:rtl/>
          <w:lang w:bidi="fa-IR"/>
        </w:rPr>
        <w:t>. و</w:t>
      </w:r>
      <w:r w:rsidR="00051390" w:rsidRPr="00904FCB">
        <w:rPr>
          <w:rFonts w:ascii="Times New Roman" w:hAnsi="Times New Roman" w:hint="cs"/>
          <w:sz w:val="27"/>
          <w:rtl/>
          <w:lang w:bidi="fa-IR"/>
        </w:rPr>
        <w:t>لم</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يوضِّ</w:t>
      </w:r>
      <w:r w:rsidRPr="00904FCB">
        <w:rPr>
          <w:rFonts w:ascii="Times New Roman" w:hAnsi="Times New Roman" w:hint="cs"/>
          <w:sz w:val="27"/>
          <w:rtl/>
          <w:lang w:bidi="fa-IR"/>
        </w:rPr>
        <w:t>ح</w:t>
      </w:r>
      <w:r w:rsidRPr="00904FCB">
        <w:rPr>
          <w:rFonts w:ascii="Times New Roman" w:hAnsi="Times New Roman"/>
          <w:sz w:val="27"/>
          <w:rtl/>
          <w:lang w:bidi="fa-IR"/>
        </w:rPr>
        <w:t xml:space="preserve"> </w:t>
      </w:r>
      <w:r w:rsidRPr="00904FCB">
        <w:rPr>
          <w:rFonts w:ascii="Times New Roman" w:hAnsi="Times New Roman" w:hint="cs"/>
          <w:sz w:val="27"/>
          <w:rtl/>
          <w:lang w:bidi="fa-IR"/>
        </w:rPr>
        <w:t>الباحثون</w:t>
      </w:r>
      <w:r w:rsidRPr="00904FCB">
        <w:rPr>
          <w:rFonts w:ascii="Times New Roman" w:hAnsi="Times New Roman"/>
          <w:sz w:val="27"/>
          <w:rtl/>
          <w:lang w:bidi="fa-IR"/>
        </w:rPr>
        <w:t xml:space="preserve"> </w:t>
      </w:r>
      <w:r w:rsidRPr="00904FCB">
        <w:rPr>
          <w:rFonts w:ascii="Times New Roman" w:hAnsi="Times New Roman" w:hint="cs"/>
          <w:sz w:val="27"/>
          <w:rtl/>
          <w:lang w:bidi="fa-IR"/>
        </w:rPr>
        <w:t>هذه</w:t>
      </w:r>
      <w:r w:rsidRPr="00904FCB">
        <w:rPr>
          <w:rFonts w:ascii="Times New Roman" w:hAnsi="Times New Roman"/>
          <w:sz w:val="27"/>
          <w:rtl/>
          <w:lang w:bidi="fa-IR"/>
        </w:rPr>
        <w:t xml:space="preserve"> </w:t>
      </w:r>
      <w:r w:rsidRPr="00904FCB">
        <w:rPr>
          <w:rFonts w:ascii="Times New Roman" w:hAnsi="Times New Roman" w:hint="cs"/>
          <w:sz w:val="27"/>
          <w:rtl/>
          <w:lang w:bidi="fa-IR"/>
        </w:rPr>
        <w:t>المباحث</w:t>
      </w:r>
      <w:r w:rsidRPr="00904FCB">
        <w:rPr>
          <w:rFonts w:ascii="Times New Roman" w:hAnsi="Times New Roman"/>
          <w:sz w:val="27"/>
          <w:rtl/>
          <w:lang w:bidi="fa-IR"/>
        </w:rPr>
        <w:t xml:space="preserve"> </w:t>
      </w:r>
      <w:r w:rsidRPr="00904FCB">
        <w:rPr>
          <w:rFonts w:ascii="Times New Roman" w:hAnsi="Times New Roman" w:hint="cs"/>
          <w:sz w:val="27"/>
          <w:rtl/>
          <w:lang w:bidi="fa-IR"/>
        </w:rPr>
        <w:t>المحورية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00051390" w:rsidRPr="00904FCB">
        <w:rPr>
          <w:rFonts w:ascii="Times New Roman" w:hAnsi="Times New Roman"/>
          <w:sz w:val="27"/>
          <w:rtl/>
          <w:lang w:bidi="fa-IR"/>
        </w:rPr>
        <w:t xml:space="preserve"> فصلٍ أو عنوان</w:t>
      </w:r>
      <w:r w:rsidRPr="00904FCB">
        <w:rPr>
          <w:rFonts w:ascii="Times New Roman" w:hAnsi="Times New Roman"/>
          <w:sz w:val="27"/>
          <w:rtl/>
          <w:lang w:bidi="fa-IR"/>
        </w:rPr>
        <w:t xml:space="preserve"> مستقلّ</w:t>
      </w:r>
      <w:r w:rsidRPr="00904FCB">
        <w:rPr>
          <w:rFonts w:ascii="Times New Roman" w:hAnsi="Times New Roman" w:hint="cs"/>
          <w:sz w:val="27"/>
          <w:rtl/>
          <w:lang w:bidi="fa-IR"/>
        </w:rPr>
        <w:t>ين</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ولكنّ</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 xml:space="preserve">هيد </w:t>
      </w:r>
      <w:r w:rsidR="00051390" w:rsidRPr="00904FCB">
        <w:rPr>
          <w:rFonts w:ascii="Times New Roman" w:hAnsi="Times New Roman" w:hint="cs"/>
          <w:sz w:val="27"/>
          <w:rtl/>
          <w:lang w:bidi="fa-IR"/>
        </w:rPr>
        <w:t>يُورِد</w:t>
      </w:r>
      <w:r w:rsidRPr="00904FCB">
        <w:rPr>
          <w:rFonts w:ascii="Times New Roman" w:hAnsi="Times New Roman"/>
          <w:sz w:val="27"/>
          <w:rtl/>
          <w:lang w:bidi="fa-IR"/>
        </w:rPr>
        <w:t xml:space="preserve"> </w:t>
      </w:r>
      <w:r w:rsidRPr="00904FCB">
        <w:rPr>
          <w:rFonts w:ascii="Times New Roman" w:hAnsi="Times New Roman" w:hint="cs"/>
          <w:sz w:val="27"/>
          <w:rtl/>
          <w:lang w:bidi="fa-IR"/>
        </w:rPr>
        <w:t>تعريفاً</w:t>
      </w:r>
      <w:r w:rsidRPr="00904FCB">
        <w:rPr>
          <w:rFonts w:ascii="Times New Roman" w:hAnsi="Times New Roman"/>
          <w:sz w:val="27"/>
          <w:rtl/>
          <w:lang w:bidi="fa-IR"/>
        </w:rPr>
        <w:t xml:space="preserve"> </w:t>
      </w:r>
      <w:r w:rsidRPr="00904FCB">
        <w:rPr>
          <w:rFonts w:ascii="Times New Roman" w:hAnsi="Times New Roman" w:hint="cs"/>
          <w:sz w:val="27"/>
          <w:rtl/>
          <w:lang w:bidi="fa-IR"/>
        </w:rPr>
        <w:t>وشرحاً</w:t>
      </w:r>
      <w:r w:rsidRPr="00904FCB">
        <w:rPr>
          <w:rFonts w:ascii="Times New Roman" w:hAnsi="Times New Roman"/>
          <w:sz w:val="27"/>
          <w:rtl/>
          <w:lang w:bidi="fa-IR"/>
        </w:rPr>
        <w:t xml:space="preserve"> </w:t>
      </w:r>
      <w:r w:rsidRPr="00904FCB">
        <w:rPr>
          <w:rFonts w:ascii="Times New Roman" w:hAnsi="Times New Roman" w:hint="cs"/>
          <w:sz w:val="27"/>
          <w:rtl/>
          <w:lang w:bidi="fa-IR"/>
        </w:rPr>
        <w:t>كاملاً</w:t>
      </w:r>
      <w:r w:rsidRPr="00904FCB">
        <w:rPr>
          <w:rFonts w:ascii="Times New Roman" w:hAnsi="Times New Roman"/>
          <w:sz w:val="27"/>
          <w:rtl/>
          <w:lang w:bidi="fa-IR"/>
        </w:rPr>
        <w:t xml:space="preserve"> </w:t>
      </w:r>
      <w:r w:rsidRPr="00904FCB">
        <w:rPr>
          <w:rFonts w:ascii="Times New Roman" w:hAnsi="Times New Roman" w:hint="cs"/>
          <w:sz w:val="27"/>
          <w:rtl/>
          <w:lang w:bidi="fa-IR"/>
        </w:rPr>
        <w:t>لل</w:t>
      </w:r>
      <w:r w:rsidRPr="00904FCB">
        <w:rPr>
          <w:rFonts w:ascii="Times New Roman" w:hAnsi="Times New Roman"/>
          <w:sz w:val="27"/>
          <w:rtl/>
          <w:lang w:bidi="fa-IR"/>
        </w:rPr>
        <w:t>حكم وأقسامه ف</w:t>
      </w:r>
      <w:r w:rsidRPr="00904FCB">
        <w:rPr>
          <w:rFonts w:ascii="Times New Roman" w:hAnsi="Times New Roman" w:hint="cs"/>
          <w:sz w:val="27"/>
          <w:rtl/>
          <w:lang w:bidi="fa-IR"/>
        </w:rPr>
        <w:t>ي</w:t>
      </w:r>
      <w:r w:rsidRPr="00904FCB">
        <w:rPr>
          <w:rFonts w:ascii="Times New Roman" w:hAnsi="Times New Roman"/>
          <w:sz w:val="27"/>
          <w:rtl/>
          <w:lang w:bidi="fa-IR"/>
        </w:rPr>
        <w:t xml:space="preserve"> المقصد الأوّل. وهذا النقص مشهودٌ ف</w:t>
      </w:r>
      <w:r w:rsidRPr="00904FCB">
        <w:rPr>
          <w:rFonts w:ascii="Times New Roman" w:hAnsi="Times New Roman" w:hint="cs"/>
          <w:sz w:val="27"/>
          <w:rtl/>
          <w:lang w:bidi="fa-IR"/>
        </w:rPr>
        <w:t>ي</w:t>
      </w:r>
      <w:r w:rsidRPr="00904FCB">
        <w:rPr>
          <w:rFonts w:ascii="Times New Roman" w:hAnsi="Times New Roman"/>
          <w:sz w:val="27"/>
          <w:rtl/>
          <w:lang w:bidi="fa-IR"/>
        </w:rPr>
        <w:t xml:space="preserve"> الكتب الدراس</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عصرنا الحاضر، </w:t>
      </w:r>
      <w:r w:rsidR="00051390" w:rsidRPr="00904FCB">
        <w:rPr>
          <w:rFonts w:ascii="Times New Roman" w:hAnsi="Times New Roman" w:hint="cs"/>
          <w:sz w:val="27"/>
          <w:rtl/>
          <w:lang w:bidi="fa-IR"/>
        </w:rPr>
        <w:t>وهو ما</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يُبقي</w:t>
      </w:r>
      <w:r w:rsidRPr="00904FCB">
        <w:rPr>
          <w:rFonts w:ascii="Times New Roman" w:hAnsi="Times New Roman"/>
          <w:sz w:val="27"/>
          <w:rtl/>
          <w:lang w:bidi="fa-IR"/>
        </w:rPr>
        <w:t xml:space="preserve"> </w:t>
      </w:r>
      <w:r w:rsidRPr="00904FCB">
        <w:rPr>
          <w:rFonts w:ascii="Times New Roman" w:hAnsi="Times New Roman" w:hint="cs"/>
          <w:sz w:val="27"/>
          <w:rtl/>
          <w:lang w:bidi="fa-IR"/>
        </w:rPr>
        <w:t>الكثير</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مباحث</w:t>
      </w:r>
      <w:r w:rsidRPr="00904FCB">
        <w:rPr>
          <w:rFonts w:ascii="Times New Roman" w:hAnsi="Times New Roman"/>
          <w:sz w:val="27"/>
          <w:rtl/>
          <w:lang w:bidi="fa-IR"/>
        </w:rPr>
        <w:t xml:space="preserve"> </w:t>
      </w:r>
      <w:r w:rsidRPr="00904FCB">
        <w:rPr>
          <w:rFonts w:ascii="Times New Roman" w:hAnsi="Times New Roman" w:hint="cs"/>
          <w:sz w:val="27"/>
          <w:rtl/>
          <w:lang w:bidi="fa-IR"/>
        </w:rPr>
        <w:t>الكتاب</w:t>
      </w:r>
      <w:r w:rsidRPr="00904FCB">
        <w:rPr>
          <w:rFonts w:ascii="Times New Roman" w:hAnsi="Times New Roman"/>
          <w:sz w:val="27"/>
          <w:rtl/>
          <w:lang w:bidi="fa-IR"/>
        </w:rPr>
        <w:t xml:space="preserve"> </w:t>
      </w:r>
      <w:r w:rsidRPr="00904FCB">
        <w:rPr>
          <w:rFonts w:ascii="Times New Roman" w:hAnsi="Times New Roman" w:hint="cs"/>
          <w:sz w:val="27"/>
          <w:rtl/>
          <w:lang w:bidi="fa-IR"/>
        </w:rPr>
        <w:t>التي</w:t>
      </w:r>
      <w:r w:rsidRPr="00904FCB">
        <w:rPr>
          <w:rFonts w:ascii="Times New Roman" w:hAnsi="Times New Roman"/>
          <w:sz w:val="27"/>
          <w:rtl/>
          <w:lang w:bidi="fa-IR"/>
        </w:rPr>
        <w:t xml:space="preserve"> </w:t>
      </w:r>
      <w:r w:rsidRPr="00904FCB">
        <w:rPr>
          <w:rFonts w:ascii="Times New Roman" w:hAnsi="Times New Roman" w:hint="cs"/>
          <w:sz w:val="27"/>
          <w:rtl/>
          <w:lang w:bidi="fa-IR"/>
        </w:rPr>
        <w:t>ت</w:t>
      </w:r>
      <w:r w:rsidR="00051390" w:rsidRPr="00904FCB">
        <w:rPr>
          <w:rFonts w:ascii="Times New Roman" w:hAnsi="Times New Roman"/>
          <w:sz w:val="27"/>
          <w:rtl/>
          <w:lang w:bidi="fa-IR"/>
        </w:rPr>
        <w:t>توق</w:t>
      </w:r>
      <w:r w:rsidR="00051390" w:rsidRPr="00904FCB">
        <w:rPr>
          <w:rFonts w:ascii="Times New Roman" w:hAnsi="Times New Roman" w:hint="cs"/>
          <w:sz w:val="27"/>
          <w:rtl/>
          <w:lang w:bidi="fa-IR"/>
        </w:rPr>
        <w:t>َّ</w:t>
      </w:r>
      <w:r w:rsidRPr="00904FCB">
        <w:rPr>
          <w:rFonts w:ascii="Times New Roman" w:hAnsi="Times New Roman"/>
          <w:sz w:val="27"/>
          <w:rtl/>
          <w:lang w:bidi="fa-IR"/>
        </w:rPr>
        <w:t xml:space="preserve">ف على </w:t>
      </w:r>
      <w:r w:rsidRPr="00904FCB">
        <w:rPr>
          <w:rFonts w:ascii="Times New Roman" w:hAnsi="Times New Roman" w:hint="cs"/>
          <w:sz w:val="27"/>
          <w:rtl/>
          <w:lang w:bidi="fa-IR"/>
        </w:rPr>
        <w:t>ذلك مُبْه</w:t>
      </w:r>
      <w:r w:rsidR="00051390" w:rsidRPr="00904FCB">
        <w:rPr>
          <w:rFonts w:ascii="Times New Roman" w:hAnsi="Times New Roman" w:hint="cs"/>
          <w:sz w:val="27"/>
          <w:rtl/>
          <w:lang w:bidi="fa-IR"/>
        </w:rPr>
        <w:t>َ</w:t>
      </w:r>
      <w:r w:rsidRPr="00904FCB">
        <w:rPr>
          <w:rFonts w:ascii="Times New Roman" w:hAnsi="Times New Roman" w:hint="cs"/>
          <w:sz w:val="27"/>
          <w:rtl/>
          <w:lang w:bidi="fa-IR"/>
        </w:rPr>
        <w:t>م</w:t>
      </w:r>
      <w:r w:rsidR="00051390" w:rsidRPr="00904FCB">
        <w:rPr>
          <w:rFonts w:ascii="Times New Roman" w:hAnsi="Times New Roman" w:hint="cs"/>
          <w:sz w:val="27"/>
          <w:rtl/>
          <w:lang w:bidi="fa-IR"/>
        </w:rPr>
        <w:t>ةً</w:t>
      </w:r>
      <w:r w:rsidRPr="00904FCB">
        <w:rPr>
          <w:rFonts w:ascii="Times New Roman" w:hAnsi="Times New Roman"/>
          <w:sz w:val="27"/>
          <w:rtl/>
          <w:lang w:bidi="fa-IR"/>
        </w:rPr>
        <w:t xml:space="preserve"> حتّى </w:t>
      </w:r>
      <w:r w:rsidRPr="00904FCB">
        <w:rPr>
          <w:rFonts w:ascii="Times New Roman" w:hAnsi="Times New Roman" w:hint="cs"/>
          <w:sz w:val="27"/>
          <w:rtl/>
          <w:lang w:bidi="fa-IR"/>
        </w:rPr>
        <w:t>النهاية</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AD189E">
        <w:rPr>
          <w:rFonts w:hint="cs"/>
          <w:color w:val="auto"/>
          <w:rtl/>
          <w:lang w:bidi="ar-LB"/>
        </w:rPr>
        <w:t>4ـ</w:t>
      </w:r>
      <w:r w:rsidRPr="00904FCB">
        <w:rPr>
          <w:rFonts w:hint="cs"/>
          <w:color w:val="auto"/>
          <w:rtl/>
          <w:lang w:bidi="ar-LB"/>
        </w:rPr>
        <w:t xml:space="preserve"> </w:t>
      </w:r>
      <w:r w:rsidRPr="00904FCB">
        <w:rPr>
          <w:color w:val="auto"/>
          <w:rtl/>
          <w:lang w:bidi="fa-IR"/>
        </w:rPr>
        <w:t>توظ</w:t>
      </w:r>
      <w:r w:rsidRPr="00904FCB">
        <w:rPr>
          <w:rFonts w:hint="cs"/>
          <w:color w:val="auto"/>
          <w:rtl/>
          <w:lang w:bidi="fa-IR"/>
        </w:rPr>
        <w:t>يف</w:t>
      </w:r>
      <w:r w:rsidRPr="00904FCB">
        <w:rPr>
          <w:color w:val="auto"/>
          <w:rtl/>
          <w:lang w:bidi="fa-IR"/>
        </w:rPr>
        <w:t xml:space="preserve"> </w:t>
      </w:r>
      <w:r w:rsidRPr="00904FCB">
        <w:rPr>
          <w:rFonts w:hint="cs"/>
          <w:color w:val="auto"/>
          <w:rtl/>
          <w:lang w:bidi="fa-IR"/>
        </w:rPr>
        <w:t>علوم</w:t>
      </w:r>
      <w:r w:rsidRPr="00904FCB">
        <w:rPr>
          <w:color w:val="auto"/>
          <w:rtl/>
          <w:lang w:bidi="fa-IR"/>
        </w:rPr>
        <w:t xml:space="preserve"> </w:t>
      </w:r>
      <w:r w:rsidRPr="00904FCB">
        <w:rPr>
          <w:rFonts w:hint="cs"/>
          <w:color w:val="auto"/>
          <w:rtl/>
          <w:lang w:bidi="fa-IR"/>
        </w:rPr>
        <w:t>اللغة</w:t>
      </w:r>
      <w:r w:rsidRPr="00904FCB">
        <w:rPr>
          <w:color w:val="auto"/>
          <w:rtl/>
          <w:lang w:bidi="fa-IR"/>
        </w:rPr>
        <w:t xml:space="preserve"> </w:t>
      </w:r>
      <w:r w:rsidRPr="00904FCB">
        <w:rPr>
          <w:rFonts w:hint="cs"/>
          <w:color w:val="auto"/>
          <w:rtl/>
          <w:lang w:bidi="fa-IR"/>
        </w:rPr>
        <w:t>العربية</w:t>
      </w:r>
      <w:r w:rsidRPr="00904FCB">
        <w:rPr>
          <w:color w:val="auto"/>
          <w:rtl/>
          <w:lang w:bidi="fa-IR"/>
        </w:rPr>
        <w:t xml:space="preserve"> </w:t>
      </w:r>
      <w:r w:rsidRPr="00904FCB">
        <w:rPr>
          <w:rFonts w:hint="cs"/>
          <w:color w:val="auto"/>
          <w:rtl/>
          <w:lang w:bidi="fa-IR"/>
        </w:rPr>
        <w:t>في</w:t>
      </w:r>
      <w:r w:rsidRPr="00904FCB">
        <w:rPr>
          <w:color w:val="auto"/>
          <w:rtl/>
          <w:lang w:bidi="fa-IR"/>
        </w:rPr>
        <w:t xml:space="preserve"> مس</w:t>
      </w:r>
      <w:r w:rsidRPr="00904FCB">
        <w:rPr>
          <w:rFonts w:hint="cs"/>
          <w:color w:val="auto"/>
          <w:rtl/>
          <w:lang w:bidi="fa-IR"/>
        </w:rPr>
        <w:t>ير</w:t>
      </w:r>
      <w:r w:rsidR="004722A1" w:rsidRPr="00904FCB">
        <w:rPr>
          <w:rFonts w:hint="cs"/>
          <w:color w:val="auto"/>
          <w:rtl/>
          <w:lang w:bidi="fa-IR"/>
        </w:rPr>
        <w:t>ة</w:t>
      </w:r>
      <w:r w:rsidR="00051390" w:rsidRPr="00904FCB">
        <w:rPr>
          <w:rFonts w:hint="cs"/>
          <w:color w:val="auto"/>
          <w:rtl/>
          <w:lang w:bidi="fa-IR"/>
        </w:rPr>
        <w:t xml:space="preserve"> </w:t>
      </w:r>
      <w:r w:rsidRPr="00904FCB">
        <w:rPr>
          <w:color w:val="auto"/>
          <w:rtl/>
          <w:lang w:bidi="fa-IR"/>
        </w:rPr>
        <w:t xml:space="preserve">الاجتهاد </w:t>
      </w:r>
    </w:p>
    <w:p w:rsidR="00057E24" w:rsidRPr="00904FCB" w:rsidRDefault="00057E24"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t>وهذه الم</w:t>
      </w:r>
      <w:r w:rsidRPr="00904FCB">
        <w:rPr>
          <w:rFonts w:ascii="Times New Roman" w:hAnsi="Times New Roman" w:hint="cs"/>
          <w:sz w:val="27"/>
          <w:rtl/>
          <w:lang w:bidi="fa-IR"/>
        </w:rPr>
        <w:t>يزة</w:t>
      </w:r>
      <w:r w:rsidRPr="00904FCB">
        <w:rPr>
          <w:rFonts w:ascii="Times New Roman" w:hAnsi="Times New Roman"/>
          <w:sz w:val="27"/>
          <w:rtl/>
          <w:lang w:bidi="fa-IR"/>
        </w:rPr>
        <w:t xml:space="preserve"> </w:t>
      </w:r>
      <w:r w:rsidRPr="00904FCB">
        <w:rPr>
          <w:rFonts w:ascii="Times New Roman" w:hAnsi="Times New Roman" w:hint="cs"/>
          <w:sz w:val="27"/>
          <w:rtl/>
          <w:lang w:bidi="fa-IR"/>
        </w:rPr>
        <w:t>توجب</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نضوج</w:t>
      </w:r>
      <w:r w:rsidRPr="00904FCB">
        <w:rPr>
          <w:rFonts w:ascii="Times New Roman" w:hAnsi="Times New Roman"/>
          <w:sz w:val="27"/>
          <w:rtl/>
          <w:lang w:bidi="fa-IR"/>
        </w:rPr>
        <w:t xml:space="preserve"> </w:t>
      </w:r>
      <w:r w:rsidRPr="00904FCB">
        <w:rPr>
          <w:rFonts w:ascii="Times New Roman" w:hAnsi="Times New Roman" w:hint="cs"/>
          <w:sz w:val="27"/>
          <w:rtl/>
          <w:lang w:bidi="fa-IR"/>
        </w:rPr>
        <w:t>وتكامل</w:t>
      </w:r>
      <w:r w:rsidRPr="00904FCB">
        <w:rPr>
          <w:rFonts w:ascii="Times New Roman" w:hAnsi="Times New Roman"/>
          <w:sz w:val="27"/>
          <w:rtl/>
          <w:lang w:bidi="fa-IR"/>
        </w:rPr>
        <w:t xml:space="preserve"> </w:t>
      </w:r>
      <w:r w:rsidRPr="00904FCB">
        <w:rPr>
          <w:rFonts w:ascii="Times New Roman" w:hAnsi="Times New Roman" w:hint="cs"/>
          <w:sz w:val="27"/>
          <w:rtl/>
          <w:lang w:bidi="fa-IR"/>
        </w:rPr>
        <w:t>محتو</w:t>
      </w:r>
      <w:r w:rsidR="00051390"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Pr="00904FCB">
        <w:rPr>
          <w:rFonts w:ascii="Times New Roman" w:hAnsi="Times New Roman"/>
          <w:sz w:val="27"/>
          <w:rtl/>
          <w:lang w:bidi="fa-IR"/>
        </w:rPr>
        <w:t xml:space="preserve">. </w:t>
      </w:r>
      <w:r w:rsidRPr="00904FCB">
        <w:rPr>
          <w:rFonts w:ascii="Times New Roman" w:hAnsi="Times New Roman" w:hint="cs"/>
          <w:sz w:val="27"/>
          <w:rtl/>
          <w:lang w:bidi="fa-IR"/>
        </w:rPr>
        <w:t>كما</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ت</w:t>
      </w:r>
      <w:r w:rsidRPr="00904FCB">
        <w:rPr>
          <w:rFonts w:ascii="Times New Roman" w:hAnsi="Times New Roman" w:hint="cs"/>
          <w:sz w:val="27"/>
          <w:rtl/>
          <w:lang w:bidi="fa-IR"/>
        </w:rPr>
        <w:t>ؤدّي</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ازدياد</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الرغبة</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والشوق</w:t>
      </w:r>
      <w:r w:rsidRPr="00904FCB">
        <w:rPr>
          <w:rFonts w:ascii="Times New Roman" w:hAnsi="Times New Roman"/>
          <w:sz w:val="27"/>
          <w:rtl/>
          <w:lang w:bidi="fa-IR"/>
        </w:rPr>
        <w:t xml:space="preserve"> </w:t>
      </w:r>
      <w:r w:rsidRPr="00904FCB">
        <w:rPr>
          <w:rFonts w:ascii="Times New Roman" w:hAnsi="Times New Roman" w:hint="cs"/>
          <w:sz w:val="27"/>
          <w:rtl/>
          <w:lang w:bidi="fa-IR"/>
        </w:rPr>
        <w:t>لد</w:t>
      </w:r>
      <w:r w:rsidR="00051390" w:rsidRPr="00904FCB">
        <w:rPr>
          <w:rFonts w:ascii="Times New Roman" w:hAnsi="Times New Roman" w:hint="cs"/>
          <w:sz w:val="27"/>
          <w:rtl/>
          <w:lang w:bidi="fa-IR"/>
        </w:rPr>
        <w:t>ى</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طل</w:t>
      </w:r>
      <w:r w:rsidRPr="00904FCB">
        <w:rPr>
          <w:rFonts w:ascii="Times New Roman" w:hAnsi="Times New Roman" w:hint="cs"/>
          <w:sz w:val="27"/>
          <w:rtl/>
          <w:lang w:bidi="fa-IR"/>
        </w:rPr>
        <w:t>ا</w:t>
      </w:r>
      <w:r w:rsidR="00051390" w:rsidRPr="00904FCB">
        <w:rPr>
          <w:rFonts w:ascii="Times New Roman" w:hAnsi="Times New Roman" w:hint="cs"/>
          <w:sz w:val="27"/>
          <w:rtl/>
          <w:lang w:bidi="fa-IR"/>
        </w:rPr>
        <w:t>ّ</w:t>
      </w:r>
      <w:r w:rsidRPr="00904FCB">
        <w:rPr>
          <w:rFonts w:ascii="Times New Roman" w:hAnsi="Times New Roman" w:hint="cs"/>
          <w:sz w:val="27"/>
          <w:rtl/>
          <w:lang w:bidi="fa-IR"/>
        </w:rPr>
        <w:t>ب</w:t>
      </w:r>
      <w:r w:rsidRPr="00904FCB">
        <w:rPr>
          <w:rFonts w:ascii="Times New Roman" w:hAnsi="Times New Roman"/>
          <w:sz w:val="27"/>
          <w:rtl/>
          <w:lang w:bidi="fa-IR"/>
        </w:rPr>
        <w:t xml:space="preserve"> </w:t>
      </w:r>
      <w:r w:rsidRPr="00904FCB">
        <w:rPr>
          <w:rFonts w:ascii="Times New Roman" w:hAnsi="Times New Roman" w:hint="cs"/>
          <w:sz w:val="27"/>
          <w:rtl/>
          <w:lang w:bidi="fa-IR"/>
        </w:rPr>
        <w:t>العلوم</w:t>
      </w:r>
      <w:r w:rsidRPr="00904FCB">
        <w:rPr>
          <w:rFonts w:ascii="Times New Roman" w:hAnsi="Times New Roman"/>
          <w:sz w:val="27"/>
          <w:rtl/>
          <w:lang w:bidi="fa-IR"/>
        </w:rPr>
        <w:t xml:space="preserve"> </w:t>
      </w:r>
      <w:r w:rsidRPr="00904FCB">
        <w:rPr>
          <w:rFonts w:ascii="Times New Roman" w:hAnsi="Times New Roman" w:hint="cs"/>
          <w:sz w:val="27"/>
          <w:rtl/>
          <w:lang w:bidi="fa-IR"/>
        </w:rPr>
        <w:t>الأدبية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تعلّ</w:t>
      </w:r>
      <w:r w:rsidR="00051390" w:rsidRPr="00904FCB">
        <w:rPr>
          <w:rFonts w:ascii="Times New Roman" w:hAnsi="Times New Roman" w:hint="cs"/>
          <w:sz w:val="27"/>
          <w:rtl/>
          <w:lang w:bidi="fa-IR"/>
        </w:rPr>
        <w:t>ُ</w:t>
      </w:r>
      <w:r w:rsidRPr="00904FCB">
        <w:rPr>
          <w:rFonts w:ascii="Times New Roman" w:hAnsi="Times New Roman"/>
          <w:sz w:val="27"/>
          <w:rtl/>
          <w:lang w:bidi="fa-IR"/>
        </w:rPr>
        <w:t>م تلك العلوم. ولذلك جعل الشهيد القسم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من كتابه تحت عنوان: «القسم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تقر</w:t>
      </w:r>
      <w:r w:rsidRPr="00904FCB">
        <w:rPr>
          <w:rFonts w:ascii="Times New Roman" w:hAnsi="Times New Roman" w:hint="cs"/>
          <w:sz w:val="27"/>
          <w:rtl/>
          <w:lang w:bidi="fa-IR"/>
        </w:rPr>
        <w:t>ير</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المطالب</w:t>
      </w:r>
      <w:r w:rsidRPr="00904FCB">
        <w:rPr>
          <w:rFonts w:ascii="Times New Roman" w:hAnsi="Times New Roman"/>
          <w:sz w:val="27"/>
          <w:rtl/>
          <w:lang w:bidi="fa-IR"/>
        </w:rPr>
        <w:t xml:space="preserve"> </w:t>
      </w:r>
      <w:r w:rsidRPr="00904FCB">
        <w:rPr>
          <w:rFonts w:ascii="Times New Roman" w:hAnsi="Times New Roman" w:hint="cs"/>
          <w:sz w:val="27"/>
          <w:rtl/>
          <w:lang w:bidi="fa-IR"/>
        </w:rPr>
        <w:t>العربية</w:t>
      </w:r>
      <w:r w:rsidRPr="00904FCB">
        <w:rPr>
          <w:rFonts w:ascii="Times New Roman" w:hAnsi="Times New Roman"/>
          <w:sz w:val="27"/>
          <w:rtl/>
          <w:lang w:bidi="fa-IR"/>
        </w:rPr>
        <w:t xml:space="preserve"> </w:t>
      </w:r>
      <w:r w:rsidRPr="00904FCB">
        <w:rPr>
          <w:rFonts w:ascii="Times New Roman" w:hAnsi="Times New Roman" w:hint="cs"/>
          <w:sz w:val="27"/>
          <w:rtl/>
          <w:lang w:bidi="fa-IR"/>
        </w:rPr>
        <w:t>وما</w:t>
      </w:r>
      <w:r w:rsidRPr="00904FCB">
        <w:rPr>
          <w:rFonts w:ascii="Times New Roman" w:hAnsi="Times New Roman"/>
          <w:sz w:val="27"/>
          <w:rtl/>
          <w:lang w:bidi="fa-IR"/>
        </w:rPr>
        <w:t xml:space="preserve"> </w:t>
      </w:r>
      <w:r w:rsidRPr="00904FCB">
        <w:rPr>
          <w:rFonts w:ascii="Times New Roman" w:hAnsi="Times New Roman" w:hint="cs"/>
          <w:sz w:val="27"/>
          <w:rtl/>
          <w:lang w:bidi="fa-IR"/>
        </w:rPr>
        <w:t>يتفرّ</w:t>
      </w:r>
      <w:r w:rsidR="00051390" w:rsidRPr="00904FCB">
        <w:rPr>
          <w:rFonts w:ascii="Times New Roman" w:hAnsi="Times New Roman" w:hint="cs"/>
          <w:sz w:val="27"/>
          <w:rtl/>
          <w:lang w:bidi="fa-IR"/>
        </w:rPr>
        <w:t>َ</w:t>
      </w:r>
      <w:r w:rsidRPr="00904FCB">
        <w:rPr>
          <w:rFonts w:ascii="Times New Roman" w:hAnsi="Times New Roman" w:hint="cs"/>
          <w:sz w:val="27"/>
          <w:rtl/>
          <w:lang w:bidi="fa-IR"/>
        </w:rPr>
        <w:t>ع</w:t>
      </w:r>
      <w:r w:rsidRPr="00904FCB">
        <w:rPr>
          <w:rFonts w:ascii="Times New Roman" w:hAnsi="Times New Roman"/>
          <w:sz w:val="27"/>
          <w:rtl/>
          <w:lang w:bidi="fa-IR"/>
        </w:rPr>
        <w:t xml:space="preserve"> </w:t>
      </w:r>
      <w:r w:rsidRPr="00904FCB">
        <w:rPr>
          <w:rFonts w:ascii="Times New Roman" w:hAnsi="Times New Roman" w:hint="cs"/>
          <w:sz w:val="27"/>
          <w:rtl/>
          <w:lang w:bidi="fa-IR"/>
        </w:rPr>
        <w:t>عليها</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Pr="00904FCB">
        <w:rPr>
          <w:rFonts w:ascii="Times New Roman" w:hAnsi="Times New Roman"/>
          <w:sz w:val="27"/>
          <w:rtl/>
          <w:lang w:bidi="fa-IR"/>
        </w:rPr>
        <w:t>أحكام الشرع</w:t>
      </w:r>
      <w:r w:rsidRPr="00904FCB">
        <w:rPr>
          <w:rFonts w:ascii="Times New Roman" w:hAnsi="Times New Roman" w:hint="cs"/>
          <w:sz w:val="27"/>
          <w:rtl/>
          <w:lang w:bidi="fa-IR"/>
        </w:rPr>
        <w:t>ي</w:t>
      </w:r>
      <w:r w:rsidR="00051390" w:rsidRPr="00904FCB">
        <w:rPr>
          <w:rFonts w:ascii="Times New Roman" w:hAnsi="Times New Roman" w:hint="cs"/>
          <w:sz w:val="27"/>
          <w:rtl/>
          <w:lang w:bidi="fa-IR"/>
        </w:rPr>
        <w:t>ة</w:t>
      </w:r>
      <w:r w:rsidRPr="00904FCB">
        <w:rPr>
          <w:rFonts w:ascii="Times New Roman" w:hAnsi="Times New Roman" w:hint="cs"/>
          <w:sz w:val="27"/>
          <w:rtl/>
          <w:lang w:bidi="fa-IR"/>
        </w:rPr>
        <w:t>»</w:t>
      </w:r>
      <w:r w:rsidR="0005139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وعمل</w:t>
      </w:r>
      <w:r w:rsidRPr="00904FCB">
        <w:rPr>
          <w:rFonts w:ascii="Times New Roman" w:hAnsi="Times New Roman"/>
          <w:sz w:val="27"/>
          <w:rtl/>
          <w:lang w:bidi="fa-IR"/>
        </w:rPr>
        <w:t xml:space="preserve"> </w:t>
      </w:r>
      <w:r w:rsidRPr="00904FCB">
        <w:rPr>
          <w:rFonts w:ascii="Times New Roman" w:hAnsi="Times New Roman" w:hint="cs"/>
          <w:sz w:val="27"/>
          <w:rtl/>
          <w:lang w:bidi="fa-IR"/>
        </w:rPr>
        <w:t>فيه</w:t>
      </w:r>
      <w:r w:rsidRPr="00904FCB">
        <w:rPr>
          <w:rFonts w:ascii="Times New Roman" w:hAnsi="Times New Roman"/>
          <w:sz w:val="27"/>
          <w:rtl/>
          <w:lang w:bidi="fa-IR"/>
        </w:rPr>
        <w:t xml:space="preserve"> على </w:t>
      </w:r>
      <w:r w:rsidRPr="00904FCB">
        <w:rPr>
          <w:rFonts w:ascii="Times New Roman" w:hAnsi="Times New Roman" w:hint="cs"/>
          <w:sz w:val="27"/>
          <w:rtl/>
          <w:lang w:bidi="fa-IR"/>
        </w:rPr>
        <w:t>استخراج</w:t>
      </w:r>
      <w:r w:rsidRPr="00904FCB">
        <w:rPr>
          <w:rFonts w:ascii="Times New Roman" w:hAnsi="Times New Roman"/>
          <w:sz w:val="27"/>
          <w:rtl/>
          <w:lang w:bidi="fa-IR"/>
        </w:rPr>
        <w:t xml:space="preserve"> </w:t>
      </w:r>
      <w:r w:rsidRPr="00904FCB">
        <w:rPr>
          <w:rFonts w:ascii="Times New Roman" w:hAnsi="Times New Roman" w:hint="cs"/>
          <w:sz w:val="27"/>
          <w:rtl/>
          <w:lang w:bidi="fa-IR"/>
        </w:rPr>
        <w:t>م</w:t>
      </w:r>
      <w:r w:rsidR="00051390" w:rsidRPr="00904FCB">
        <w:rPr>
          <w:rFonts w:ascii="Times New Roman" w:hAnsi="Times New Roman" w:hint="cs"/>
          <w:sz w:val="27"/>
          <w:rtl/>
          <w:lang w:bidi="fa-IR"/>
        </w:rPr>
        <w:t>ئة</w:t>
      </w:r>
      <w:r w:rsidRPr="00904FCB">
        <w:rPr>
          <w:rFonts w:ascii="Times New Roman" w:hAnsi="Times New Roman"/>
          <w:sz w:val="27"/>
          <w:rtl/>
          <w:lang w:bidi="fa-IR"/>
        </w:rPr>
        <w:t xml:space="preserve"> </w:t>
      </w:r>
      <w:r w:rsidRPr="00904FCB">
        <w:rPr>
          <w:rFonts w:ascii="Times New Roman" w:hAnsi="Times New Roman" w:hint="cs"/>
          <w:sz w:val="27"/>
          <w:rtl/>
          <w:lang w:bidi="fa-IR"/>
        </w:rPr>
        <w:t>قاعدة</w:t>
      </w:r>
      <w:r w:rsidRPr="00904FCB">
        <w:rPr>
          <w:rFonts w:ascii="Times New Roman" w:hAnsi="Times New Roman"/>
          <w:sz w:val="27"/>
          <w:rtl/>
          <w:lang w:bidi="fa-IR"/>
        </w:rPr>
        <w:t xml:space="preserve"> </w:t>
      </w:r>
      <w:r w:rsidRPr="00904FCB">
        <w:rPr>
          <w:rFonts w:ascii="Times New Roman" w:hAnsi="Times New Roman" w:hint="cs"/>
          <w:sz w:val="27"/>
          <w:rtl/>
          <w:lang w:bidi="fa-IR"/>
        </w:rPr>
        <w:t>ذات</w:t>
      </w:r>
      <w:r w:rsidRPr="00904FCB">
        <w:rPr>
          <w:rFonts w:ascii="Times New Roman" w:hAnsi="Times New Roman"/>
          <w:sz w:val="27"/>
          <w:rtl/>
          <w:lang w:bidi="fa-IR"/>
        </w:rPr>
        <w:t xml:space="preserve"> </w:t>
      </w:r>
      <w:r w:rsidRPr="00904FCB">
        <w:rPr>
          <w:rFonts w:ascii="Times New Roman" w:hAnsi="Times New Roman" w:hint="cs"/>
          <w:sz w:val="27"/>
          <w:rtl/>
          <w:lang w:bidi="fa-IR"/>
        </w:rPr>
        <w:t>صبغةٍ</w:t>
      </w:r>
      <w:r w:rsidRPr="00904FCB">
        <w:rPr>
          <w:rFonts w:ascii="Times New Roman" w:hAnsi="Times New Roman"/>
          <w:sz w:val="27"/>
          <w:rtl/>
          <w:lang w:bidi="fa-IR"/>
        </w:rPr>
        <w:t xml:space="preserve"> </w:t>
      </w:r>
      <w:r w:rsidR="00051390" w:rsidRPr="00904FCB">
        <w:rPr>
          <w:rFonts w:ascii="Times New Roman" w:hAnsi="Times New Roman" w:hint="cs"/>
          <w:sz w:val="27"/>
          <w:rtl/>
          <w:lang w:bidi="fa-IR"/>
        </w:rPr>
        <w:t>أصولية</w:t>
      </w:r>
      <w:r w:rsidRPr="00904FCB">
        <w:rPr>
          <w:rFonts w:ascii="Times New Roman" w:hAnsi="Times New Roman"/>
          <w:sz w:val="27"/>
          <w:rtl/>
          <w:lang w:bidi="fa-IR"/>
        </w:rPr>
        <w:t xml:space="preserve"> </w:t>
      </w:r>
      <w:r w:rsidRPr="00904FCB">
        <w:rPr>
          <w:rFonts w:ascii="Times New Roman" w:hAnsi="Times New Roman" w:hint="cs"/>
          <w:sz w:val="27"/>
          <w:rtl/>
          <w:lang w:bidi="fa-IR"/>
        </w:rPr>
        <w:t>أو</w:t>
      </w:r>
      <w:r w:rsidRPr="00904FCB">
        <w:rPr>
          <w:rFonts w:ascii="Times New Roman" w:hAnsi="Times New Roman"/>
          <w:sz w:val="27"/>
          <w:rtl/>
          <w:lang w:bidi="fa-IR"/>
        </w:rPr>
        <w:t xml:space="preserve"> </w:t>
      </w:r>
      <w:r w:rsidRPr="00904FCB">
        <w:rPr>
          <w:rFonts w:ascii="Times New Roman" w:hAnsi="Times New Roman" w:hint="cs"/>
          <w:sz w:val="27"/>
          <w:rtl/>
          <w:lang w:bidi="fa-IR"/>
        </w:rPr>
        <w:t>تفيد</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طر</w:t>
      </w:r>
      <w:r w:rsidRPr="00904FCB">
        <w:rPr>
          <w:rFonts w:ascii="Times New Roman" w:hAnsi="Times New Roman" w:hint="cs"/>
          <w:sz w:val="27"/>
          <w:rtl/>
          <w:lang w:bidi="fa-IR"/>
        </w:rPr>
        <w:t>يق</w:t>
      </w:r>
      <w:r w:rsidRPr="00904FCB">
        <w:rPr>
          <w:rFonts w:ascii="Times New Roman" w:hAnsi="Times New Roman"/>
          <w:sz w:val="27"/>
          <w:rtl/>
          <w:lang w:bidi="fa-IR"/>
        </w:rPr>
        <w:t xml:space="preserve"> </w:t>
      </w:r>
      <w:r w:rsidRPr="00904FCB">
        <w:rPr>
          <w:rFonts w:ascii="Times New Roman" w:hAnsi="Times New Roman" w:hint="cs"/>
          <w:sz w:val="27"/>
          <w:rtl/>
          <w:lang w:bidi="fa-IR"/>
        </w:rPr>
        <w:t>الاستنباط، وطبَّقها</w:t>
      </w:r>
      <w:r w:rsidRPr="00904FCB">
        <w:rPr>
          <w:rFonts w:ascii="Times New Roman" w:hAnsi="Times New Roman"/>
          <w:sz w:val="27"/>
          <w:rtl/>
          <w:lang w:bidi="fa-IR"/>
        </w:rPr>
        <w:t xml:space="preserve"> </w:t>
      </w:r>
      <w:r w:rsidRPr="00904FCB">
        <w:rPr>
          <w:rFonts w:ascii="Times New Roman" w:hAnsi="Times New Roman" w:hint="cs"/>
          <w:sz w:val="27"/>
          <w:rtl/>
          <w:lang w:bidi="fa-IR"/>
        </w:rPr>
        <w:t>ـ</w:t>
      </w:r>
      <w:r w:rsidRPr="00904FCB">
        <w:rPr>
          <w:rFonts w:ascii="Times New Roman" w:hAnsi="Times New Roman"/>
          <w:sz w:val="27"/>
          <w:rtl/>
          <w:lang w:bidi="fa-IR"/>
        </w:rPr>
        <w:t xml:space="preserve"> </w:t>
      </w:r>
      <w:r w:rsidRPr="00904FCB">
        <w:rPr>
          <w:rFonts w:ascii="Times New Roman" w:hAnsi="Times New Roman" w:hint="cs"/>
          <w:sz w:val="27"/>
          <w:rtl/>
          <w:lang w:bidi="fa-IR"/>
        </w:rPr>
        <w:t>كما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القسم</w:t>
      </w:r>
      <w:r w:rsidRPr="00904FCB">
        <w:rPr>
          <w:rFonts w:ascii="Times New Roman" w:hAnsi="Times New Roman"/>
          <w:sz w:val="27"/>
          <w:rtl/>
          <w:lang w:bidi="fa-IR"/>
        </w:rPr>
        <w:t xml:space="preserve"> </w:t>
      </w:r>
      <w:r w:rsidRPr="00904FCB">
        <w:rPr>
          <w:rFonts w:ascii="Times New Roman" w:hAnsi="Times New Roman" w:hint="cs"/>
          <w:sz w:val="27"/>
          <w:rtl/>
          <w:lang w:bidi="fa-IR"/>
        </w:rPr>
        <w:t>الأوّل</w:t>
      </w:r>
      <w:r w:rsidRPr="00904FCB">
        <w:rPr>
          <w:rFonts w:ascii="Times New Roman" w:hAnsi="Times New Roman"/>
          <w:sz w:val="27"/>
          <w:rtl/>
          <w:lang w:bidi="fa-IR"/>
        </w:rPr>
        <w:t xml:space="preserve"> </w:t>
      </w:r>
      <w:r w:rsidRPr="00904FCB">
        <w:rPr>
          <w:rFonts w:ascii="Times New Roman" w:hAnsi="Times New Roman" w:hint="cs"/>
          <w:sz w:val="27"/>
          <w:rtl/>
          <w:lang w:bidi="fa-IR"/>
        </w:rPr>
        <w:t>ـ</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الفروع</w:t>
      </w:r>
      <w:r w:rsidRPr="00904FCB">
        <w:rPr>
          <w:rFonts w:ascii="Times New Roman" w:hAnsi="Times New Roman"/>
          <w:sz w:val="27"/>
          <w:rtl/>
          <w:lang w:bidi="fa-IR"/>
        </w:rPr>
        <w:t xml:space="preserve"> </w:t>
      </w:r>
      <w:r w:rsidRPr="00904FCB">
        <w:rPr>
          <w:rFonts w:ascii="Times New Roman" w:hAnsi="Times New Roman" w:hint="cs"/>
          <w:sz w:val="27"/>
          <w:rtl/>
          <w:lang w:bidi="fa-IR"/>
        </w:rPr>
        <w:t>الفق</w:t>
      </w:r>
      <w:r w:rsidR="00051390" w:rsidRPr="00904FCB">
        <w:rPr>
          <w:rFonts w:ascii="Times New Roman" w:hAnsi="Times New Roman"/>
          <w:sz w:val="27"/>
          <w:rtl/>
          <w:lang w:bidi="fa-IR"/>
        </w:rPr>
        <w:t>هية</w:t>
      </w:r>
      <w:r w:rsidRPr="00904FCB">
        <w:rPr>
          <w:rFonts w:ascii="Times New Roman" w:hAnsi="Times New Roman"/>
          <w:sz w:val="27"/>
          <w:rtl/>
          <w:lang w:bidi="fa-IR"/>
        </w:rPr>
        <w:t xml:space="preserve"> الكث</w:t>
      </w:r>
      <w:r w:rsidRPr="00904FCB">
        <w:rPr>
          <w:rFonts w:ascii="Times New Roman" w:hAnsi="Times New Roman" w:hint="cs"/>
          <w:sz w:val="27"/>
          <w:rtl/>
          <w:lang w:bidi="fa-IR"/>
        </w:rPr>
        <w:t>يرة</w:t>
      </w:r>
      <w:r w:rsidRPr="00904FCB">
        <w:rPr>
          <w:rFonts w:ascii="Times New Roman" w:hAnsi="Times New Roman"/>
          <w:sz w:val="27"/>
          <w:rtl/>
          <w:lang w:bidi="fa-IR"/>
        </w:rPr>
        <w:t xml:space="preserve">. </w:t>
      </w:r>
    </w:p>
    <w:p w:rsidR="00057E24" w:rsidRPr="00904FCB" w:rsidRDefault="00057E24"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t>هذه الم</w:t>
      </w:r>
      <w:r w:rsidRPr="00904FCB">
        <w:rPr>
          <w:rFonts w:ascii="Times New Roman" w:hAnsi="Times New Roman" w:hint="cs"/>
          <w:sz w:val="27"/>
          <w:rtl/>
          <w:lang w:bidi="fa-IR"/>
        </w:rPr>
        <w:t>يزة</w:t>
      </w:r>
      <w:r w:rsidRPr="00904FCB">
        <w:rPr>
          <w:rFonts w:ascii="Times New Roman" w:hAnsi="Times New Roman"/>
          <w:sz w:val="27"/>
          <w:rtl/>
          <w:lang w:bidi="fa-IR"/>
        </w:rPr>
        <w:t xml:space="preserve"> أ</w:t>
      </w:r>
      <w:r w:rsidRPr="00904FCB">
        <w:rPr>
          <w:rFonts w:ascii="Times New Roman" w:hAnsi="Times New Roman" w:hint="cs"/>
          <w:sz w:val="27"/>
          <w:rtl/>
          <w:lang w:bidi="fa-IR"/>
        </w:rPr>
        <w:t>يضاً</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المزايا</w:t>
      </w:r>
      <w:r w:rsidRPr="00904FCB">
        <w:rPr>
          <w:rFonts w:ascii="Times New Roman" w:hAnsi="Times New Roman"/>
          <w:sz w:val="27"/>
          <w:rtl/>
          <w:lang w:bidi="fa-IR"/>
        </w:rPr>
        <w:t xml:space="preserve"> </w:t>
      </w:r>
      <w:r w:rsidRPr="00904FCB">
        <w:rPr>
          <w:rFonts w:ascii="Times New Roman" w:hAnsi="Times New Roman" w:hint="cs"/>
          <w:sz w:val="27"/>
          <w:rtl/>
          <w:lang w:bidi="fa-IR"/>
        </w:rPr>
        <w:t>التي</w:t>
      </w:r>
      <w:r w:rsidRPr="00904FCB">
        <w:rPr>
          <w:rFonts w:ascii="Times New Roman" w:hAnsi="Times New Roman"/>
          <w:sz w:val="27"/>
          <w:rtl/>
          <w:lang w:bidi="fa-IR"/>
        </w:rPr>
        <w:t xml:space="preserve"> </w:t>
      </w:r>
      <w:r w:rsidRPr="00904FCB">
        <w:rPr>
          <w:rFonts w:ascii="Times New Roman" w:hAnsi="Times New Roman" w:hint="cs"/>
          <w:sz w:val="27"/>
          <w:rtl/>
          <w:lang w:bidi="fa-IR"/>
        </w:rPr>
        <w:t>تفرّ</w:t>
      </w:r>
      <w:r w:rsidR="00051390" w:rsidRPr="00904FCB">
        <w:rPr>
          <w:rFonts w:ascii="Times New Roman" w:hAnsi="Times New Roman" w:hint="cs"/>
          <w:sz w:val="27"/>
          <w:rtl/>
          <w:lang w:bidi="fa-IR"/>
        </w:rPr>
        <w:t>َ</w:t>
      </w:r>
      <w:r w:rsidRPr="00904FCB">
        <w:rPr>
          <w:rFonts w:ascii="Times New Roman" w:hAnsi="Times New Roman" w:hint="cs"/>
          <w:sz w:val="27"/>
          <w:rtl/>
          <w:lang w:bidi="fa-IR"/>
        </w:rPr>
        <w:t>د</w:t>
      </w:r>
      <w:r w:rsidRPr="00904FCB">
        <w:rPr>
          <w:rFonts w:ascii="Times New Roman" w:hAnsi="Times New Roman"/>
          <w:sz w:val="27"/>
          <w:rtl/>
          <w:lang w:bidi="fa-IR"/>
        </w:rPr>
        <w:t xml:space="preserve"> </w:t>
      </w:r>
      <w:r w:rsidRPr="00904FCB">
        <w:rPr>
          <w:rFonts w:ascii="Times New Roman" w:hAnsi="Times New Roman" w:hint="cs"/>
          <w:sz w:val="27"/>
          <w:rtl/>
          <w:lang w:bidi="fa-IR"/>
        </w:rPr>
        <w:t>بها</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 والتي</w:t>
      </w:r>
      <w:r w:rsidRPr="00904FCB">
        <w:rPr>
          <w:rFonts w:ascii="Times New Roman" w:hAnsi="Times New Roman"/>
          <w:sz w:val="27"/>
          <w:rtl/>
          <w:lang w:bidi="fa-IR"/>
        </w:rPr>
        <w:t xml:space="preserve"> </w:t>
      </w:r>
      <w:r w:rsidRPr="00904FCB">
        <w:rPr>
          <w:rFonts w:ascii="Times New Roman" w:hAnsi="Times New Roman" w:hint="cs"/>
          <w:sz w:val="27"/>
          <w:rtl/>
          <w:lang w:bidi="fa-IR"/>
        </w:rPr>
        <w:t>يج</w:t>
      </w:r>
      <w:r w:rsidR="00051390" w:rsidRPr="00904FCB">
        <w:rPr>
          <w:rFonts w:ascii="Times New Roman" w:hAnsi="Times New Roman"/>
          <w:sz w:val="27"/>
          <w:rtl/>
          <w:lang w:bidi="fa-IR"/>
        </w:rPr>
        <w:t>در</w:t>
      </w:r>
      <w:r w:rsidRPr="00904FCB">
        <w:rPr>
          <w:rFonts w:ascii="Times New Roman" w:hAnsi="Times New Roman"/>
          <w:sz w:val="27"/>
          <w:rtl/>
          <w:lang w:bidi="fa-IR"/>
        </w:rPr>
        <w:t xml:space="preserve"> الالتفات إل</w:t>
      </w:r>
      <w:r w:rsidRPr="00904FCB">
        <w:rPr>
          <w:rFonts w:ascii="Times New Roman" w:hAnsi="Times New Roman" w:hint="cs"/>
          <w:sz w:val="27"/>
          <w:rtl/>
          <w:lang w:bidi="fa-IR"/>
        </w:rPr>
        <w:t>يها</w:t>
      </w:r>
      <w:r w:rsidR="0005139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ومراعاتها</w:t>
      </w:r>
      <w:r w:rsidRPr="00904FCB">
        <w:rPr>
          <w:rFonts w:ascii="Times New Roman" w:hAnsi="Times New Roman"/>
          <w:sz w:val="27"/>
          <w:rtl/>
          <w:lang w:bidi="fa-IR"/>
        </w:rPr>
        <w:t xml:space="preserve"> ف</w:t>
      </w:r>
      <w:r w:rsidRPr="00904FCB">
        <w:rPr>
          <w:rFonts w:ascii="Times New Roman" w:hAnsi="Times New Roman" w:hint="cs"/>
          <w:sz w:val="27"/>
          <w:rtl/>
          <w:lang w:bidi="fa-IR"/>
        </w:rPr>
        <w:t>ي</w:t>
      </w:r>
      <w:r w:rsidR="00051390" w:rsidRPr="00904FCB">
        <w:rPr>
          <w:rFonts w:ascii="Times New Roman" w:hAnsi="Times New Roman"/>
          <w:sz w:val="27"/>
          <w:rtl/>
          <w:lang w:bidi="fa-IR"/>
        </w:rPr>
        <w:t xml:space="preserve"> الكتب والدروس</w:t>
      </w:r>
      <w:r w:rsidRPr="00904FCB">
        <w:rPr>
          <w:rFonts w:ascii="Times New Roman" w:hAnsi="Times New Roman"/>
          <w:sz w:val="27"/>
          <w:rtl/>
          <w:lang w:bidi="fa-IR"/>
        </w:rPr>
        <w:t xml:space="preserve"> المعاصرة.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AD189E">
        <w:rPr>
          <w:rFonts w:hint="cs"/>
          <w:color w:val="auto"/>
          <w:rtl/>
          <w:lang w:bidi="ar-LB"/>
        </w:rPr>
        <w:t>5ـ</w:t>
      </w:r>
      <w:r w:rsidRPr="00904FCB">
        <w:rPr>
          <w:rFonts w:hint="cs"/>
          <w:color w:val="auto"/>
          <w:rtl/>
          <w:lang w:bidi="ar-LB"/>
        </w:rPr>
        <w:t xml:space="preserve"> </w:t>
      </w:r>
      <w:r w:rsidRPr="00904FCB">
        <w:rPr>
          <w:color w:val="auto"/>
          <w:rtl/>
          <w:lang w:bidi="fa-IR"/>
        </w:rPr>
        <w:t xml:space="preserve">الاستفادة من </w:t>
      </w:r>
      <w:r w:rsidR="00051390" w:rsidRPr="00904FCB">
        <w:rPr>
          <w:rFonts w:hint="cs"/>
          <w:color w:val="auto"/>
          <w:rtl/>
          <w:lang w:bidi="fa-IR"/>
        </w:rPr>
        <w:t>أ</w:t>
      </w:r>
      <w:r w:rsidRPr="00904FCB">
        <w:rPr>
          <w:color w:val="auto"/>
          <w:rtl/>
          <w:lang w:bidi="fa-IR"/>
        </w:rPr>
        <w:t>سلوب تدو</w:t>
      </w:r>
      <w:r w:rsidRPr="00904FCB">
        <w:rPr>
          <w:rFonts w:hint="cs"/>
          <w:color w:val="auto"/>
          <w:rtl/>
          <w:lang w:bidi="fa-IR"/>
        </w:rPr>
        <w:t>ين</w:t>
      </w:r>
      <w:r w:rsidRPr="00904FCB">
        <w:rPr>
          <w:color w:val="auto"/>
          <w:rtl/>
          <w:lang w:bidi="fa-IR"/>
        </w:rPr>
        <w:t xml:space="preserve"> </w:t>
      </w:r>
      <w:r w:rsidRPr="00904FCB">
        <w:rPr>
          <w:rFonts w:hint="cs"/>
          <w:color w:val="auto"/>
          <w:rtl/>
          <w:lang w:bidi="fa-IR"/>
        </w:rPr>
        <w:t>القواعد</w:t>
      </w:r>
    </w:p>
    <w:p w:rsidR="00057E24" w:rsidRDefault="00057E24" w:rsidP="001A1A02">
      <w:pPr>
        <w:spacing w:line="380" w:lineRule="exact"/>
        <w:ind w:firstLine="561"/>
        <w:rPr>
          <w:rFonts w:ascii="Times New Roman" w:hAnsi="Times New Roman"/>
          <w:sz w:val="27"/>
          <w:rtl/>
          <w:lang w:bidi="fa-IR"/>
        </w:rPr>
      </w:pPr>
      <w:r w:rsidRPr="00904FCB">
        <w:rPr>
          <w:rFonts w:ascii="Times New Roman" w:hAnsi="Times New Roman"/>
          <w:sz w:val="27"/>
          <w:rtl/>
          <w:lang w:bidi="fa-IR"/>
        </w:rPr>
        <w:t>فبالرغم من أن هذا المنهج قد سلكه م</w:t>
      </w:r>
      <w:r w:rsidR="00051390" w:rsidRPr="00904FCB">
        <w:rPr>
          <w:rFonts w:ascii="Times New Roman" w:hAnsi="Times New Roman" w:hint="cs"/>
          <w:sz w:val="27"/>
          <w:rtl/>
          <w:lang w:bidi="fa-IR"/>
        </w:rPr>
        <w:t>َ</w:t>
      </w:r>
      <w:r w:rsidRPr="00904FCB">
        <w:rPr>
          <w:rFonts w:ascii="Times New Roman" w:hAnsi="Times New Roman"/>
          <w:sz w:val="27"/>
          <w:rtl/>
          <w:lang w:bidi="fa-IR"/>
        </w:rPr>
        <w:t>ن</w:t>
      </w:r>
      <w:r w:rsidR="00051390" w:rsidRPr="00904FCB">
        <w:rPr>
          <w:rFonts w:ascii="Times New Roman" w:hAnsi="Times New Roman" w:hint="cs"/>
          <w:sz w:val="27"/>
          <w:rtl/>
          <w:lang w:bidi="fa-IR"/>
        </w:rPr>
        <w:t>ْ</w:t>
      </w:r>
      <w:r w:rsidRPr="00904FCB">
        <w:rPr>
          <w:rFonts w:ascii="Times New Roman" w:hAnsi="Times New Roman"/>
          <w:sz w:val="27"/>
          <w:rtl/>
          <w:lang w:bidi="fa-IR"/>
        </w:rPr>
        <w:t xml:space="preserve"> سبق الشهيد الثان</w:t>
      </w:r>
      <w:r w:rsidRPr="00904FCB">
        <w:rPr>
          <w:rFonts w:ascii="Times New Roman" w:hAnsi="Times New Roman" w:hint="cs"/>
          <w:sz w:val="27"/>
          <w:rtl/>
          <w:lang w:bidi="fa-IR"/>
        </w:rPr>
        <w:t>ي، سواء</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الشيعة</w:t>
      </w:r>
      <w:r w:rsidR="0005139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ومنهم</w:t>
      </w:r>
      <w:r w:rsidR="0005139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الأول</w:t>
      </w:r>
      <w:r w:rsidRPr="00904FCB">
        <w:rPr>
          <w:rFonts w:ascii="Times New Roman" w:hAnsi="Times New Roman" w:hint="cs"/>
          <w:sz w:val="27"/>
          <w:rtl/>
          <w:lang w:bidi="fa-IR"/>
        </w:rPr>
        <w:t>،</w:t>
      </w:r>
      <w:r w:rsidRPr="00904FCB">
        <w:rPr>
          <w:rFonts w:ascii="Times New Roman" w:hAnsi="Times New Roman"/>
          <w:sz w:val="27"/>
          <w:rtl/>
          <w:lang w:bidi="fa-IR"/>
        </w:rPr>
        <w:t xml:space="preserve"> أو السنّة، إلا</w:t>
      </w:r>
      <w:r w:rsidR="00051390" w:rsidRPr="00904FCB">
        <w:rPr>
          <w:rFonts w:ascii="Times New Roman" w:hAnsi="Times New Roman" w:hint="cs"/>
          <w:sz w:val="27"/>
          <w:rtl/>
          <w:lang w:bidi="fa-IR"/>
        </w:rPr>
        <w:t>ّ</w:t>
      </w:r>
      <w:r w:rsidRPr="00904FCB">
        <w:rPr>
          <w:rFonts w:ascii="Times New Roman" w:hAnsi="Times New Roman"/>
          <w:sz w:val="27"/>
          <w:rtl/>
          <w:lang w:bidi="fa-IR"/>
        </w:rPr>
        <w:t xml:space="preserve"> أنّ ف</w:t>
      </w:r>
      <w:r w:rsidRPr="00904FCB">
        <w:rPr>
          <w:rFonts w:ascii="Times New Roman" w:hAnsi="Times New Roman" w:hint="cs"/>
          <w:sz w:val="27"/>
          <w:rtl/>
          <w:lang w:bidi="fa-IR"/>
        </w:rPr>
        <w:t>ي</w:t>
      </w:r>
      <w:r w:rsidRPr="00904FCB">
        <w:rPr>
          <w:rFonts w:ascii="Times New Roman" w:hAnsi="Times New Roman"/>
          <w:sz w:val="27"/>
          <w:rtl/>
          <w:lang w:bidi="fa-IR"/>
        </w:rPr>
        <w:t xml:space="preserve"> مؤل</w:t>
      </w:r>
      <w:r w:rsidR="00E855E6" w:rsidRPr="00904FCB">
        <w:rPr>
          <w:rFonts w:ascii="Times New Roman" w:hAnsi="Times New Roman" w:hint="cs"/>
          <w:sz w:val="27"/>
          <w:rtl/>
          <w:lang w:bidi="fa-IR"/>
        </w:rPr>
        <w:t>َّ</w:t>
      </w:r>
      <w:r w:rsidRPr="00904FCB">
        <w:rPr>
          <w:rFonts w:ascii="Times New Roman" w:hAnsi="Times New Roman"/>
          <w:sz w:val="27"/>
          <w:rtl/>
          <w:lang w:bidi="fa-IR"/>
        </w:rPr>
        <w:t>فات هذا الفق</w:t>
      </w:r>
      <w:r w:rsidRPr="00904FCB">
        <w:rPr>
          <w:rFonts w:ascii="Times New Roman" w:hAnsi="Times New Roman" w:hint="cs"/>
          <w:sz w:val="27"/>
          <w:rtl/>
          <w:lang w:bidi="fa-IR"/>
        </w:rPr>
        <w:t>يه</w:t>
      </w:r>
      <w:r w:rsidRPr="00904FCB">
        <w:rPr>
          <w:rFonts w:ascii="Times New Roman" w:hAnsi="Times New Roman"/>
          <w:sz w:val="27"/>
          <w:rtl/>
          <w:lang w:bidi="fa-IR"/>
        </w:rPr>
        <w:t xml:space="preserve"> </w:t>
      </w:r>
      <w:r w:rsidRPr="00904FCB">
        <w:rPr>
          <w:rFonts w:ascii="Times New Roman" w:hAnsi="Times New Roman" w:hint="cs"/>
          <w:sz w:val="27"/>
          <w:rtl/>
          <w:lang w:bidi="fa-IR"/>
        </w:rPr>
        <w:t>البارع</w:t>
      </w:r>
      <w:r w:rsidRPr="00904FCB">
        <w:rPr>
          <w:rFonts w:ascii="Times New Roman" w:hAnsi="Times New Roman"/>
          <w:sz w:val="27"/>
          <w:rtl/>
          <w:lang w:bidi="fa-IR"/>
        </w:rPr>
        <w:t xml:space="preserve"> </w:t>
      </w:r>
      <w:r w:rsidRPr="00904FCB">
        <w:rPr>
          <w:rFonts w:ascii="Times New Roman" w:hAnsi="Times New Roman" w:hint="cs"/>
          <w:sz w:val="27"/>
          <w:rtl/>
          <w:lang w:bidi="fa-IR"/>
        </w:rPr>
        <w:t>طعماً</w:t>
      </w:r>
      <w:r w:rsidRPr="00904FCB">
        <w:rPr>
          <w:rFonts w:ascii="Times New Roman" w:hAnsi="Times New Roman"/>
          <w:sz w:val="27"/>
          <w:rtl/>
          <w:lang w:bidi="fa-IR"/>
        </w:rPr>
        <w:t xml:space="preserve"> </w:t>
      </w:r>
      <w:r w:rsidR="00E855E6" w:rsidRPr="00904FCB">
        <w:rPr>
          <w:rFonts w:ascii="Times New Roman" w:hAnsi="Times New Roman" w:hint="cs"/>
          <w:sz w:val="27"/>
          <w:rtl/>
          <w:lang w:bidi="fa-IR"/>
        </w:rPr>
        <w:t>ونكهة</w:t>
      </w:r>
      <w:r w:rsidRPr="00904FCB">
        <w:rPr>
          <w:rFonts w:ascii="Times New Roman" w:hAnsi="Times New Roman"/>
          <w:sz w:val="27"/>
          <w:rtl/>
          <w:lang w:bidi="fa-IR"/>
        </w:rPr>
        <w:t xml:space="preserve"> </w:t>
      </w:r>
      <w:r w:rsidR="00E855E6" w:rsidRPr="00904FCB">
        <w:rPr>
          <w:rFonts w:ascii="Times New Roman" w:hAnsi="Times New Roman" w:hint="cs"/>
          <w:sz w:val="27"/>
          <w:rtl/>
          <w:lang w:bidi="fa-IR"/>
        </w:rPr>
        <w:t>خاصّة</w:t>
      </w:r>
      <w:r w:rsidRPr="00904FCB">
        <w:rPr>
          <w:rFonts w:ascii="Times New Roman" w:hAnsi="Times New Roman"/>
          <w:sz w:val="27"/>
          <w:rtl/>
          <w:lang w:bidi="fa-IR"/>
        </w:rPr>
        <w:t xml:space="preserve"> </w:t>
      </w:r>
      <w:r w:rsidR="00E855E6" w:rsidRPr="00904FCB">
        <w:rPr>
          <w:rFonts w:ascii="Times New Roman" w:hAnsi="Times New Roman" w:hint="cs"/>
          <w:sz w:val="27"/>
          <w:rtl/>
          <w:lang w:bidi="fa-IR"/>
        </w:rPr>
        <w:t>مختلفة</w:t>
      </w:r>
      <w:r w:rsidRPr="00904FCB">
        <w:rPr>
          <w:rFonts w:ascii="Times New Roman" w:hAnsi="Times New Roman"/>
          <w:sz w:val="27"/>
          <w:rtl/>
          <w:lang w:bidi="fa-IR"/>
        </w:rPr>
        <w:t xml:space="preserve"> </w:t>
      </w:r>
      <w:r w:rsidRPr="00904FCB">
        <w:rPr>
          <w:rFonts w:ascii="Times New Roman" w:hAnsi="Times New Roman" w:hint="cs"/>
          <w:sz w:val="27"/>
          <w:rtl/>
          <w:lang w:bidi="fa-IR"/>
        </w:rPr>
        <w:t>عن</w:t>
      </w:r>
      <w:r w:rsidRPr="00904FCB">
        <w:rPr>
          <w:rFonts w:ascii="Times New Roman" w:hAnsi="Times New Roman"/>
          <w:sz w:val="27"/>
          <w:rtl/>
          <w:lang w:bidi="fa-IR"/>
        </w:rPr>
        <w:t xml:space="preserve"> </w:t>
      </w:r>
      <w:r w:rsidRPr="00904FCB">
        <w:rPr>
          <w:rFonts w:ascii="Times New Roman" w:hAnsi="Times New Roman" w:hint="cs"/>
          <w:sz w:val="27"/>
          <w:rtl/>
          <w:lang w:bidi="fa-IR"/>
        </w:rPr>
        <w:t>الآخرين، ولا</w:t>
      </w:r>
      <w:r w:rsidR="00E855E6" w:rsidRPr="00904FCB">
        <w:rPr>
          <w:rFonts w:ascii="Times New Roman" w:hAnsi="Times New Roman" w:hint="cs"/>
          <w:sz w:val="27"/>
          <w:rtl/>
          <w:lang w:bidi="fa-IR"/>
        </w:rPr>
        <w:t xml:space="preserve"> </w:t>
      </w:r>
      <w:r w:rsidRPr="00904FCB">
        <w:rPr>
          <w:rFonts w:ascii="Times New Roman" w:hAnsi="Times New Roman" w:hint="cs"/>
          <w:sz w:val="27"/>
          <w:rtl/>
          <w:lang w:bidi="fa-IR"/>
        </w:rPr>
        <w:t>سي</w:t>
      </w:r>
      <w:r w:rsidR="00E855E6" w:rsidRPr="00904FCB">
        <w:rPr>
          <w:rFonts w:ascii="Times New Roman" w:hAnsi="Times New Roman" w:hint="cs"/>
          <w:sz w:val="27"/>
          <w:rtl/>
          <w:lang w:bidi="fa-IR"/>
        </w:rPr>
        <w:t>َّ</w:t>
      </w:r>
      <w:r w:rsidRPr="00904FCB">
        <w:rPr>
          <w:rFonts w:ascii="Times New Roman" w:hAnsi="Times New Roman" w:hint="cs"/>
          <w:sz w:val="27"/>
          <w:rtl/>
          <w:lang w:bidi="fa-IR"/>
        </w:rPr>
        <w:t>ما</w:t>
      </w:r>
      <w:r w:rsidRPr="00904FCB">
        <w:rPr>
          <w:rFonts w:ascii="Times New Roman" w:hAnsi="Times New Roman"/>
          <w:sz w:val="27"/>
          <w:rtl/>
          <w:lang w:bidi="fa-IR"/>
        </w:rPr>
        <w:t xml:space="preserve"> </w:t>
      </w:r>
      <w:r w:rsidRPr="00904FCB">
        <w:rPr>
          <w:rFonts w:ascii="Times New Roman" w:hAnsi="Times New Roman" w:hint="cs"/>
          <w:sz w:val="27"/>
          <w:rtl/>
          <w:lang w:bidi="fa-IR"/>
        </w:rPr>
        <w:t>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 xml:space="preserve">هيد الأول. </w:t>
      </w:r>
    </w:p>
    <w:p w:rsidR="001A1A02" w:rsidRPr="00904FCB" w:rsidRDefault="001A1A02" w:rsidP="001A1A02">
      <w:pPr>
        <w:spacing w:line="380" w:lineRule="exact"/>
        <w:ind w:firstLine="561"/>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904FCB">
        <w:rPr>
          <w:color w:val="auto"/>
          <w:rtl/>
          <w:lang w:bidi="fa-IR"/>
        </w:rPr>
        <w:t>امت</w:t>
      </w:r>
      <w:r w:rsidRPr="00904FCB">
        <w:rPr>
          <w:rFonts w:hint="cs"/>
          <w:color w:val="auto"/>
          <w:rtl/>
          <w:lang w:bidi="fa-IR"/>
        </w:rPr>
        <w:t>يازات</w:t>
      </w:r>
      <w:r w:rsidRPr="00904FCB">
        <w:rPr>
          <w:color w:val="auto"/>
          <w:rtl/>
          <w:lang w:bidi="fa-IR"/>
        </w:rPr>
        <w:t xml:space="preserve"> </w:t>
      </w:r>
      <w:r w:rsidRPr="00904FCB">
        <w:rPr>
          <w:rFonts w:hint="cs"/>
          <w:color w:val="auto"/>
          <w:rtl/>
          <w:lang w:bidi="fa-IR"/>
        </w:rPr>
        <w:t>منهج</w:t>
      </w:r>
      <w:r w:rsidRPr="00904FCB">
        <w:rPr>
          <w:color w:val="auto"/>
          <w:rtl/>
          <w:lang w:bidi="fa-IR"/>
        </w:rPr>
        <w:t xml:space="preserve"> </w:t>
      </w:r>
      <w:r w:rsidRPr="00904FCB">
        <w:rPr>
          <w:rFonts w:hint="cs"/>
          <w:color w:val="auto"/>
          <w:rtl/>
          <w:lang w:bidi="fa-IR"/>
        </w:rPr>
        <w:t>الش</w:t>
      </w:r>
      <w:r w:rsidRPr="00904FCB">
        <w:rPr>
          <w:color w:val="auto"/>
          <w:rtl/>
          <w:lang w:bidi="fa-IR"/>
        </w:rPr>
        <w:t>هيد الثان</w:t>
      </w:r>
      <w:r w:rsidRPr="00904FCB">
        <w:rPr>
          <w:rFonts w:hint="cs"/>
          <w:color w:val="auto"/>
          <w:rtl/>
          <w:lang w:bidi="fa-IR"/>
        </w:rPr>
        <w:t>ي</w:t>
      </w:r>
      <w:r w:rsidRPr="00904FCB">
        <w:rPr>
          <w:color w:val="auto"/>
          <w:rtl/>
          <w:lang w:bidi="fa-IR"/>
        </w:rPr>
        <w:t xml:space="preserve"> على </w:t>
      </w:r>
      <w:r w:rsidRPr="00904FCB">
        <w:rPr>
          <w:rFonts w:hint="cs"/>
          <w:color w:val="auto"/>
          <w:rtl/>
          <w:lang w:bidi="fa-IR"/>
        </w:rPr>
        <w:t>الشهيد الأوّل</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ولتوض</w:t>
      </w:r>
      <w:r w:rsidRPr="00904FCB">
        <w:rPr>
          <w:rFonts w:ascii="Times New Roman" w:hAnsi="Times New Roman" w:hint="cs"/>
          <w:sz w:val="27"/>
          <w:rtl/>
          <w:lang w:bidi="fa-IR"/>
        </w:rPr>
        <w:t>يح</w:t>
      </w:r>
      <w:r w:rsidRPr="00904FCB">
        <w:rPr>
          <w:rFonts w:ascii="Times New Roman" w:hAnsi="Times New Roman"/>
          <w:sz w:val="27"/>
          <w:rtl/>
          <w:lang w:bidi="fa-IR"/>
        </w:rPr>
        <w:t xml:space="preserve"> </w:t>
      </w:r>
      <w:r w:rsidRPr="00904FCB">
        <w:rPr>
          <w:rFonts w:ascii="Times New Roman" w:hAnsi="Times New Roman" w:hint="cs"/>
          <w:sz w:val="27"/>
          <w:rtl/>
          <w:lang w:bidi="fa-IR"/>
        </w:rPr>
        <w:t>أسلوب</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 والنكهة</w:t>
      </w:r>
      <w:r w:rsidRPr="00904FCB">
        <w:rPr>
          <w:rFonts w:ascii="Times New Roman" w:hAnsi="Times New Roman"/>
          <w:sz w:val="27"/>
          <w:rtl/>
          <w:lang w:bidi="fa-IR"/>
        </w:rPr>
        <w:t xml:space="preserve"> </w:t>
      </w:r>
      <w:r w:rsidRPr="00904FCB">
        <w:rPr>
          <w:rFonts w:ascii="Times New Roman" w:hAnsi="Times New Roman" w:hint="cs"/>
          <w:sz w:val="27"/>
          <w:rtl/>
          <w:lang w:bidi="fa-IR"/>
        </w:rPr>
        <w:t>التي</w:t>
      </w:r>
      <w:r w:rsidRPr="00904FCB">
        <w:rPr>
          <w:rFonts w:ascii="Times New Roman" w:hAnsi="Times New Roman"/>
          <w:sz w:val="27"/>
          <w:rtl/>
          <w:lang w:bidi="fa-IR"/>
        </w:rPr>
        <w:t xml:space="preserve"> </w:t>
      </w:r>
      <w:r w:rsidRPr="00904FCB">
        <w:rPr>
          <w:rFonts w:ascii="Times New Roman" w:hAnsi="Times New Roman" w:hint="cs"/>
          <w:sz w:val="27"/>
          <w:rtl/>
          <w:lang w:bidi="fa-IR"/>
        </w:rPr>
        <w:t>تحملها</w:t>
      </w:r>
      <w:r w:rsidRPr="00904FCB">
        <w:rPr>
          <w:rFonts w:ascii="Times New Roman" w:hAnsi="Times New Roman"/>
          <w:sz w:val="27"/>
          <w:rtl/>
          <w:lang w:bidi="fa-IR"/>
        </w:rPr>
        <w:t xml:space="preserve"> </w:t>
      </w:r>
      <w:r w:rsidRPr="00904FCB">
        <w:rPr>
          <w:rFonts w:ascii="Times New Roman" w:hAnsi="Times New Roman" w:hint="cs"/>
          <w:sz w:val="27"/>
          <w:rtl/>
          <w:lang w:bidi="fa-IR"/>
        </w:rPr>
        <w:t>مؤلّ</w:t>
      </w:r>
      <w:r w:rsidR="00E855E6" w:rsidRPr="00904FCB">
        <w:rPr>
          <w:rFonts w:ascii="Times New Roman" w:hAnsi="Times New Roman" w:hint="cs"/>
          <w:sz w:val="27"/>
          <w:rtl/>
          <w:lang w:bidi="fa-IR"/>
        </w:rPr>
        <w:t>َ</w:t>
      </w:r>
      <w:r w:rsidRPr="00904FCB">
        <w:rPr>
          <w:rFonts w:ascii="Times New Roman" w:hAnsi="Times New Roman" w:hint="cs"/>
          <w:sz w:val="27"/>
          <w:rtl/>
          <w:lang w:bidi="fa-IR"/>
        </w:rPr>
        <w:t>فاته، يجدر</w:t>
      </w:r>
      <w:r w:rsidRPr="00904FCB">
        <w:rPr>
          <w:rFonts w:ascii="Times New Roman" w:hAnsi="Times New Roman"/>
          <w:sz w:val="27"/>
          <w:rtl/>
          <w:lang w:bidi="fa-IR"/>
        </w:rPr>
        <w:t xml:space="preserve"> </w:t>
      </w:r>
      <w:r w:rsidRPr="00904FCB">
        <w:rPr>
          <w:rFonts w:ascii="Times New Roman" w:hAnsi="Times New Roman" w:hint="cs"/>
          <w:sz w:val="27"/>
          <w:rtl/>
          <w:lang w:bidi="fa-IR"/>
        </w:rPr>
        <w:t>بنا</w:t>
      </w:r>
      <w:r w:rsidRPr="00904FCB">
        <w:rPr>
          <w:rFonts w:ascii="Times New Roman" w:hAnsi="Times New Roman"/>
          <w:sz w:val="27"/>
          <w:rtl/>
          <w:lang w:bidi="fa-IR"/>
        </w:rPr>
        <w:t xml:space="preserve"> </w:t>
      </w:r>
      <w:r w:rsidRPr="00904FCB">
        <w:rPr>
          <w:rFonts w:ascii="Times New Roman" w:hAnsi="Times New Roman" w:hint="cs"/>
          <w:sz w:val="27"/>
          <w:rtl/>
          <w:lang w:bidi="fa-IR"/>
        </w:rPr>
        <w:lastRenderedPageBreak/>
        <w:t>مقار</w:t>
      </w:r>
      <w:r w:rsidRPr="00904FCB">
        <w:rPr>
          <w:rFonts w:ascii="Times New Roman" w:hAnsi="Times New Roman"/>
          <w:sz w:val="27"/>
          <w:rtl/>
          <w:lang w:bidi="fa-IR"/>
        </w:rPr>
        <w:t xml:space="preserve">نته بأسلوب </w:t>
      </w:r>
      <w:r w:rsidRPr="00904FCB">
        <w:rPr>
          <w:rFonts w:ascii="Times New Roman" w:hAnsi="Times New Roman" w:hint="cs"/>
          <w:sz w:val="27"/>
          <w:rtl/>
          <w:lang w:bidi="fa-IR"/>
        </w:rPr>
        <w:t>ف</w:t>
      </w:r>
      <w:r w:rsidRPr="00904FCB">
        <w:rPr>
          <w:rFonts w:ascii="Times New Roman" w:hAnsi="Times New Roman"/>
          <w:sz w:val="27"/>
          <w:rtl/>
          <w:lang w:bidi="fa-IR"/>
        </w:rPr>
        <w:t>حل</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آ</w:t>
      </w:r>
      <w:r w:rsidRPr="00904FCB">
        <w:rPr>
          <w:rFonts w:ascii="Times New Roman" w:hAnsi="Times New Roman"/>
          <w:sz w:val="27"/>
          <w:rtl/>
          <w:lang w:bidi="fa-IR"/>
        </w:rPr>
        <w:t>خر من فحول هذا العلم، وهو الشهيد الأول</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الذ</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كان</w:t>
      </w:r>
      <w:r w:rsidRPr="00904FCB">
        <w:rPr>
          <w:rFonts w:ascii="Times New Roman" w:hAnsi="Times New Roman"/>
          <w:sz w:val="27"/>
          <w:rtl/>
          <w:lang w:bidi="fa-IR"/>
        </w:rPr>
        <w:t xml:space="preserve"> </w:t>
      </w:r>
      <w:r w:rsidRPr="00904FCB">
        <w:rPr>
          <w:rFonts w:ascii="Times New Roman" w:hAnsi="Times New Roman" w:hint="cs"/>
          <w:sz w:val="27"/>
          <w:rtl/>
          <w:lang w:bidi="fa-IR"/>
        </w:rPr>
        <w:t>له</w:t>
      </w:r>
      <w:r w:rsidRPr="00904FCB">
        <w:rPr>
          <w:rFonts w:ascii="Times New Roman" w:hAnsi="Times New Roman"/>
          <w:sz w:val="27"/>
          <w:rtl/>
          <w:lang w:bidi="fa-IR"/>
        </w:rPr>
        <w:t xml:space="preserve"> </w:t>
      </w:r>
      <w:r w:rsidRPr="00904FCB">
        <w:rPr>
          <w:rFonts w:ascii="Times New Roman" w:hAnsi="Times New Roman" w:hint="cs"/>
          <w:sz w:val="27"/>
          <w:rtl/>
          <w:lang w:bidi="fa-IR"/>
        </w:rPr>
        <w:t>باع</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مجال القواعد</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ولعلّ كت</w:t>
      </w:r>
      <w:r w:rsidRPr="00904FCB">
        <w:rPr>
          <w:rFonts w:ascii="Times New Roman" w:hAnsi="Times New Roman" w:hint="cs"/>
          <w:sz w:val="27"/>
          <w:rtl/>
          <w:lang w:bidi="fa-IR"/>
        </w:rPr>
        <w:t>ا</w:t>
      </w:r>
      <w:r w:rsidRPr="00904FCB">
        <w:rPr>
          <w:rFonts w:ascii="Times New Roman" w:hAnsi="Times New Roman"/>
          <w:sz w:val="27"/>
          <w:rtl/>
          <w:lang w:bidi="fa-IR"/>
        </w:rPr>
        <w:t>به النف</w:t>
      </w:r>
      <w:r w:rsidRPr="00904FCB">
        <w:rPr>
          <w:rFonts w:ascii="Times New Roman" w:hAnsi="Times New Roman" w:hint="cs"/>
          <w:sz w:val="27"/>
          <w:rtl/>
          <w:lang w:bidi="fa-IR"/>
        </w:rPr>
        <w:t>يس</w:t>
      </w:r>
      <w:r w:rsidRPr="00904FCB">
        <w:rPr>
          <w:rFonts w:ascii="Times New Roman" w:hAnsi="Times New Roman"/>
          <w:sz w:val="27"/>
          <w:rtl/>
          <w:lang w:bidi="fa-IR"/>
        </w:rPr>
        <w:t xml:space="preserve"> </w:t>
      </w:r>
      <w:r w:rsidRPr="00904FCB">
        <w:rPr>
          <w:rFonts w:ascii="Times New Roman" w:hAnsi="Times New Roman" w:hint="cs"/>
          <w:sz w:val="27"/>
          <w:rtl/>
          <w:lang w:bidi="fa-IR"/>
        </w:rPr>
        <w:t>«القواعد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والفوائد»</w:t>
      </w:r>
      <w:r w:rsidRPr="00904FCB">
        <w:rPr>
          <w:rFonts w:ascii="Times New Roman" w:hAnsi="Times New Roman"/>
          <w:sz w:val="27"/>
          <w:rtl/>
          <w:lang w:bidi="fa-IR"/>
        </w:rPr>
        <w:t xml:space="preserve"> </w:t>
      </w:r>
      <w:r w:rsidRPr="00904FCB">
        <w:rPr>
          <w:rFonts w:ascii="Times New Roman" w:hAnsi="Times New Roman" w:hint="cs"/>
          <w:sz w:val="27"/>
          <w:rtl/>
          <w:lang w:bidi="fa-IR"/>
        </w:rPr>
        <w:t>أشهر</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ي</w:t>
      </w:r>
      <w:r w:rsidR="00E855E6" w:rsidRPr="00904FCB">
        <w:rPr>
          <w:rFonts w:ascii="Times New Roman" w:hAnsi="Times New Roman" w:hint="cs"/>
          <w:sz w:val="27"/>
          <w:rtl/>
          <w:lang w:bidi="fa-IR"/>
        </w:rPr>
        <w:t>ُ</w:t>
      </w:r>
      <w:r w:rsidRPr="00904FCB">
        <w:rPr>
          <w:rFonts w:ascii="Times New Roman" w:hAnsi="Times New Roman" w:hint="cs"/>
          <w:sz w:val="27"/>
          <w:rtl/>
          <w:lang w:bidi="fa-IR"/>
        </w:rPr>
        <w:t>عرّ</w:t>
      </w:r>
      <w:r w:rsidR="00E855E6" w:rsidRPr="00904FCB">
        <w:rPr>
          <w:rFonts w:ascii="Times New Roman" w:hAnsi="Times New Roman" w:hint="cs"/>
          <w:sz w:val="27"/>
          <w:rtl/>
          <w:lang w:bidi="fa-IR"/>
        </w:rPr>
        <w:t>َ</w:t>
      </w:r>
      <w:r w:rsidRPr="00904FCB">
        <w:rPr>
          <w:rFonts w:ascii="Times New Roman" w:hAnsi="Times New Roman" w:hint="cs"/>
          <w:sz w:val="27"/>
          <w:rtl/>
          <w:lang w:bidi="fa-IR"/>
        </w:rPr>
        <w:t>ف</w:t>
      </w:r>
      <w:r w:rsidRPr="00904FCB">
        <w:rPr>
          <w:rFonts w:ascii="Times New Roman" w:hAnsi="Times New Roman"/>
          <w:sz w:val="27"/>
          <w:rtl/>
          <w:lang w:bidi="fa-IR"/>
        </w:rPr>
        <w:t xml:space="preserve">. </w:t>
      </w:r>
      <w:r w:rsidRPr="00904FCB">
        <w:rPr>
          <w:rFonts w:ascii="Times New Roman" w:hAnsi="Times New Roman" w:hint="cs"/>
          <w:sz w:val="27"/>
          <w:rtl/>
          <w:lang w:bidi="fa-IR"/>
        </w:rPr>
        <w:t>وعند</w:t>
      </w:r>
      <w:r w:rsidRPr="00904FCB">
        <w:rPr>
          <w:rFonts w:ascii="Times New Roman" w:hAnsi="Times New Roman"/>
          <w:sz w:val="27"/>
          <w:rtl/>
          <w:lang w:bidi="fa-IR"/>
        </w:rPr>
        <w:t xml:space="preserve"> </w:t>
      </w:r>
      <w:r w:rsidRPr="00904FCB">
        <w:rPr>
          <w:rFonts w:ascii="Times New Roman" w:hAnsi="Times New Roman" w:hint="cs"/>
          <w:sz w:val="27"/>
          <w:rtl/>
          <w:lang w:bidi="fa-IR"/>
        </w:rPr>
        <w:t>مقارنة</w:t>
      </w:r>
      <w:r w:rsidRPr="00904FCB">
        <w:rPr>
          <w:rFonts w:ascii="Times New Roman" w:hAnsi="Times New Roman"/>
          <w:sz w:val="27"/>
          <w:rtl/>
          <w:lang w:bidi="fa-IR"/>
        </w:rPr>
        <w:t xml:space="preserve"> </w:t>
      </w:r>
      <w:r w:rsidRPr="00904FCB">
        <w:rPr>
          <w:rFonts w:ascii="Times New Roman" w:hAnsi="Times New Roman" w:hint="cs"/>
          <w:sz w:val="27"/>
          <w:rtl/>
          <w:lang w:bidi="fa-IR"/>
        </w:rPr>
        <w:t>تم</w:t>
      </w:r>
      <w:r w:rsidRPr="00904FCB">
        <w:rPr>
          <w:rFonts w:ascii="Times New Roman" w:hAnsi="Times New Roman"/>
          <w:sz w:val="27"/>
          <w:rtl/>
          <w:lang w:bidi="fa-IR"/>
        </w:rPr>
        <w:t>هيد القواعد بهذا الكتاب نشهد فرقاً واضحاً ب</w:t>
      </w:r>
      <w:r w:rsidRPr="00904FCB">
        <w:rPr>
          <w:rFonts w:ascii="Times New Roman" w:hAnsi="Times New Roman" w:hint="cs"/>
          <w:sz w:val="27"/>
          <w:rtl/>
          <w:lang w:bidi="fa-IR"/>
        </w:rPr>
        <w:t>ين</w:t>
      </w:r>
      <w:r w:rsidRPr="00904FCB">
        <w:rPr>
          <w:rFonts w:ascii="Times New Roman" w:hAnsi="Times New Roman"/>
          <w:sz w:val="27"/>
          <w:rtl/>
          <w:lang w:bidi="fa-IR"/>
        </w:rPr>
        <w:t xml:space="preserve"> </w:t>
      </w:r>
      <w:r w:rsidRPr="00904FCB">
        <w:rPr>
          <w:rFonts w:ascii="Times New Roman" w:hAnsi="Times New Roman" w:hint="cs"/>
          <w:sz w:val="27"/>
          <w:rtl/>
          <w:lang w:bidi="fa-IR"/>
        </w:rPr>
        <w:t>منهج</w:t>
      </w:r>
      <w:r w:rsidRPr="00904FCB">
        <w:rPr>
          <w:rFonts w:ascii="Times New Roman" w:hAnsi="Times New Roman"/>
          <w:sz w:val="27"/>
          <w:rtl/>
          <w:lang w:bidi="fa-IR"/>
        </w:rPr>
        <w:t xml:space="preserve"> </w:t>
      </w:r>
      <w:r w:rsidRPr="00904FCB">
        <w:rPr>
          <w:rFonts w:ascii="Times New Roman" w:hAnsi="Times New Roman" w:hint="cs"/>
          <w:sz w:val="27"/>
          <w:rtl/>
          <w:lang w:bidi="fa-IR"/>
        </w:rPr>
        <w:t>هذين</w:t>
      </w:r>
      <w:r w:rsidRPr="00904FCB">
        <w:rPr>
          <w:rFonts w:ascii="Times New Roman" w:hAnsi="Times New Roman"/>
          <w:sz w:val="27"/>
          <w:rtl/>
          <w:lang w:bidi="fa-IR"/>
        </w:rPr>
        <w:t xml:space="preserve"> </w:t>
      </w:r>
      <w:r w:rsidRPr="00904FCB">
        <w:rPr>
          <w:rFonts w:ascii="Times New Roman" w:hAnsi="Times New Roman" w:hint="cs"/>
          <w:sz w:val="27"/>
          <w:rtl/>
          <w:lang w:bidi="fa-IR"/>
        </w:rPr>
        <w:t>الرجلين</w:t>
      </w:r>
      <w:r w:rsidRPr="00904FCB">
        <w:rPr>
          <w:rFonts w:ascii="Times New Roman" w:hAnsi="Times New Roman"/>
          <w:sz w:val="27"/>
          <w:rtl/>
          <w:lang w:bidi="fa-IR"/>
        </w:rPr>
        <w:t xml:space="preserve"> على </w:t>
      </w:r>
      <w:r w:rsidRPr="00904FCB">
        <w:rPr>
          <w:rFonts w:ascii="Times New Roman" w:hAnsi="Times New Roman" w:hint="cs"/>
          <w:sz w:val="27"/>
          <w:rtl/>
          <w:lang w:bidi="fa-IR"/>
        </w:rPr>
        <w:t>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الصعيد</w:t>
      </w:r>
      <w:r w:rsidR="00E855E6"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00E855E6" w:rsidRPr="00904FCB">
        <w:rPr>
          <w:rFonts w:ascii="Times New Roman" w:hAnsi="Times New Roman" w:hint="cs"/>
          <w:sz w:val="27"/>
          <w:rtl/>
          <w:lang w:bidi="fa-IR"/>
        </w:rPr>
        <w:t>و</w:t>
      </w:r>
      <w:r w:rsidRPr="00904FCB">
        <w:rPr>
          <w:rFonts w:ascii="Times New Roman" w:hAnsi="Times New Roman" w:hint="cs"/>
          <w:sz w:val="27"/>
          <w:rtl/>
          <w:lang w:bidi="fa-IR"/>
        </w:rPr>
        <w:t>نذكر</w:t>
      </w:r>
      <w:r w:rsidRPr="00904FCB">
        <w:rPr>
          <w:rFonts w:ascii="Times New Roman" w:hAnsi="Times New Roman"/>
          <w:sz w:val="27"/>
          <w:rtl/>
          <w:lang w:bidi="fa-IR"/>
        </w:rPr>
        <w:t xml:space="preserve"> </w:t>
      </w:r>
      <w:r w:rsidRPr="00904FCB">
        <w:rPr>
          <w:rFonts w:ascii="Times New Roman" w:hAnsi="Times New Roman" w:hint="cs"/>
          <w:sz w:val="27"/>
          <w:rtl/>
          <w:lang w:bidi="fa-IR"/>
        </w:rPr>
        <w:t>بعضاً</w:t>
      </w:r>
      <w:r w:rsidRPr="00904FCB">
        <w:rPr>
          <w:rFonts w:ascii="Times New Roman" w:hAnsi="Times New Roman"/>
          <w:sz w:val="27"/>
          <w:rtl/>
          <w:lang w:bidi="fa-IR"/>
        </w:rPr>
        <w:t xml:space="preserve"> </w:t>
      </w:r>
      <w:r w:rsidRPr="00904FCB">
        <w:rPr>
          <w:rFonts w:ascii="Times New Roman" w:hAnsi="Times New Roman" w:hint="cs"/>
          <w:sz w:val="27"/>
          <w:rtl/>
          <w:lang w:bidi="fa-IR"/>
        </w:rPr>
        <w:t>منه</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AD189E">
        <w:rPr>
          <w:rFonts w:ascii="Times New Roman" w:hAnsi="Times New Roman" w:hint="cs"/>
          <w:sz w:val="27"/>
          <w:rtl/>
          <w:lang w:bidi="ar-LB"/>
        </w:rPr>
        <w:t>1ـ</w:t>
      </w:r>
      <w:r w:rsidRPr="00904FCB">
        <w:rPr>
          <w:rFonts w:ascii="Times New Roman" w:hAnsi="Times New Roman" w:hint="cs"/>
          <w:sz w:val="27"/>
          <w:rtl/>
          <w:lang w:bidi="ar-LB"/>
        </w:rPr>
        <w:t xml:space="preserve"> </w:t>
      </w:r>
      <w:r w:rsidR="00E855E6" w:rsidRPr="00904FCB">
        <w:rPr>
          <w:rFonts w:ascii="Times New Roman" w:hAnsi="Times New Roman" w:hint="cs"/>
          <w:sz w:val="27"/>
          <w:rtl/>
          <w:lang w:bidi="fa-IR"/>
        </w:rPr>
        <w:t>إ</w:t>
      </w:r>
      <w:r w:rsidRPr="00904FCB">
        <w:rPr>
          <w:rFonts w:ascii="Times New Roman" w:hAnsi="Times New Roman"/>
          <w:sz w:val="27"/>
          <w:rtl/>
          <w:lang w:bidi="fa-IR"/>
        </w:rPr>
        <w:t xml:space="preserve">ن كتاب القواعد </w:t>
      </w:r>
      <w:r w:rsidRPr="00904FCB">
        <w:rPr>
          <w:rFonts w:ascii="Times New Roman" w:hAnsi="Times New Roman" w:hint="cs"/>
          <w:sz w:val="27"/>
          <w:rtl/>
          <w:lang w:bidi="fa-IR"/>
        </w:rPr>
        <w:t>يشتمل</w:t>
      </w:r>
      <w:r w:rsidRPr="00904FCB">
        <w:rPr>
          <w:rFonts w:ascii="Times New Roman" w:hAnsi="Times New Roman"/>
          <w:sz w:val="27"/>
          <w:rtl/>
          <w:lang w:bidi="fa-IR"/>
        </w:rPr>
        <w:t xml:space="preserve"> </w:t>
      </w:r>
      <w:r w:rsidRPr="00904FCB">
        <w:rPr>
          <w:rFonts w:ascii="Times New Roman" w:hAnsi="Times New Roman" w:hint="cs"/>
          <w:sz w:val="27"/>
          <w:rtl/>
          <w:lang w:bidi="fa-IR"/>
        </w:rPr>
        <w:t>ـ</w:t>
      </w:r>
      <w:r w:rsidRPr="00904FCB">
        <w:rPr>
          <w:rFonts w:ascii="Times New Roman" w:hAnsi="Times New Roman"/>
          <w:sz w:val="27"/>
          <w:rtl/>
          <w:lang w:bidi="fa-IR"/>
        </w:rPr>
        <w:t xml:space="preserve"> </w:t>
      </w:r>
      <w:r w:rsidRPr="00904FCB">
        <w:rPr>
          <w:rFonts w:ascii="Times New Roman" w:hAnsi="Times New Roman" w:hint="cs"/>
          <w:sz w:val="27"/>
          <w:rtl/>
          <w:lang w:bidi="fa-IR"/>
        </w:rPr>
        <w:t>إضافة</w:t>
      </w:r>
      <w:r w:rsidRPr="00904FCB">
        <w:rPr>
          <w:rFonts w:ascii="Times New Roman" w:hAnsi="Times New Roman"/>
          <w:sz w:val="27"/>
          <w:rtl/>
          <w:lang w:bidi="fa-IR"/>
        </w:rPr>
        <w:t xml:space="preserve"> </w:t>
      </w:r>
      <w:r w:rsidR="00E855E6"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القواعد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الأ</w:t>
      </w:r>
      <w:r w:rsidRPr="00904FCB">
        <w:rPr>
          <w:rFonts w:ascii="Times New Roman" w:hAnsi="Times New Roman"/>
          <w:sz w:val="27"/>
          <w:rtl/>
          <w:lang w:bidi="fa-IR"/>
        </w:rPr>
        <w:t>صول</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ـ</w:t>
      </w:r>
      <w:r w:rsidRPr="00904FCB">
        <w:rPr>
          <w:rFonts w:ascii="Times New Roman" w:hAnsi="Times New Roman"/>
          <w:sz w:val="27"/>
          <w:rtl/>
          <w:lang w:bidi="fa-IR"/>
        </w:rPr>
        <w:t xml:space="preserve"> على </w:t>
      </w:r>
      <w:r w:rsidRPr="00904FCB">
        <w:rPr>
          <w:rFonts w:ascii="Times New Roman" w:hAnsi="Times New Roman" w:hint="cs"/>
          <w:sz w:val="27"/>
          <w:rtl/>
          <w:lang w:bidi="fa-IR"/>
        </w:rPr>
        <w:t>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علمية</w:t>
      </w:r>
      <w:r w:rsidRPr="00904FCB">
        <w:rPr>
          <w:rFonts w:ascii="Times New Roman" w:hAnsi="Times New Roman"/>
          <w:sz w:val="27"/>
          <w:rtl/>
          <w:lang w:bidi="fa-IR"/>
        </w:rPr>
        <w:t xml:space="preserve"> </w:t>
      </w:r>
      <w:r w:rsidRPr="00904FCB">
        <w:rPr>
          <w:rFonts w:ascii="Times New Roman" w:hAnsi="Times New Roman" w:hint="cs"/>
          <w:sz w:val="27"/>
          <w:rtl/>
          <w:lang w:bidi="fa-IR"/>
        </w:rPr>
        <w:t>أخر</w:t>
      </w:r>
      <w:r w:rsidR="00E855E6"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قبيل</w:t>
      </w:r>
      <w:r w:rsidRPr="00904FCB">
        <w:rPr>
          <w:rFonts w:ascii="Times New Roman" w:hAnsi="Times New Roman"/>
          <w:sz w:val="27"/>
          <w:rtl/>
          <w:lang w:bidi="fa-IR"/>
        </w:rPr>
        <w:t xml:space="preserve">: </w:t>
      </w:r>
      <w:r w:rsidRPr="00904FCB">
        <w:rPr>
          <w:rFonts w:ascii="Times New Roman" w:hAnsi="Times New Roman" w:hint="cs"/>
          <w:sz w:val="27"/>
          <w:rtl/>
          <w:lang w:bidi="fa-IR"/>
        </w:rPr>
        <w:t>القواعد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الفق</w:t>
      </w:r>
      <w:r w:rsidRPr="00904FCB">
        <w:rPr>
          <w:rFonts w:ascii="Times New Roman" w:hAnsi="Times New Roman"/>
          <w:sz w:val="27"/>
          <w:rtl/>
          <w:lang w:bidi="fa-IR"/>
        </w:rPr>
        <w:t>هية والأدب</w:t>
      </w:r>
      <w:r w:rsidRPr="00904FCB">
        <w:rPr>
          <w:rFonts w:ascii="Times New Roman" w:hAnsi="Times New Roman" w:hint="cs"/>
          <w:sz w:val="27"/>
          <w:rtl/>
          <w:lang w:bidi="fa-IR"/>
        </w:rPr>
        <w:t>ية</w:t>
      </w:r>
      <w:r w:rsidR="00E855E6" w:rsidRPr="00904FCB">
        <w:rPr>
          <w:rFonts w:ascii="Times New Roman" w:hAnsi="Times New Roman" w:hint="cs"/>
          <w:sz w:val="27"/>
          <w:rtl/>
          <w:lang w:bidi="fa-IR"/>
        </w:rPr>
        <w:t>.</w:t>
      </w:r>
      <w:r w:rsidRPr="00904FCB">
        <w:rPr>
          <w:rFonts w:ascii="Times New Roman" w:hAnsi="Times New Roman" w:hint="cs"/>
          <w:sz w:val="27"/>
          <w:rtl/>
          <w:lang w:bidi="fa-IR"/>
        </w:rPr>
        <w:t xml:space="preserve"> في</w:t>
      </w:r>
      <w:r w:rsidRPr="00904FCB">
        <w:rPr>
          <w:rFonts w:ascii="Times New Roman" w:hAnsi="Times New Roman"/>
          <w:sz w:val="27"/>
          <w:rtl/>
          <w:lang w:bidi="fa-IR"/>
        </w:rPr>
        <w:t xml:space="preserve"> </w:t>
      </w:r>
      <w:r w:rsidR="00E855E6" w:rsidRPr="00904FCB">
        <w:rPr>
          <w:rFonts w:ascii="Times New Roman" w:hAnsi="Times New Roman" w:hint="cs"/>
          <w:sz w:val="27"/>
          <w:rtl/>
          <w:lang w:bidi="fa-IR"/>
        </w:rPr>
        <w:t>حين</w:t>
      </w:r>
      <w:r w:rsidRPr="00904FCB">
        <w:rPr>
          <w:rFonts w:ascii="Times New Roman" w:hAnsi="Times New Roman"/>
          <w:sz w:val="27"/>
          <w:rtl/>
          <w:lang w:bidi="fa-IR"/>
        </w:rPr>
        <w:t xml:space="preserve"> أن كتاب الشهيد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«تم</w:t>
      </w:r>
      <w:r w:rsidRPr="00904FCB">
        <w:rPr>
          <w:rFonts w:ascii="Times New Roman" w:hAnsi="Times New Roman"/>
          <w:sz w:val="27"/>
          <w:rtl/>
          <w:lang w:bidi="fa-IR"/>
        </w:rPr>
        <w:t xml:space="preserve">هيد القواعد» </w:t>
      </w:r>
      <w:r w:rsidRPr="00904FCB">
        <w:rPr>
          <w:rFonts w:ascii="Times New Roman" w:hAnsi="Times New Roman" w:hint="cs"/>
          <w:sz w:val="27"/>
          <w:rtl/>
          <w:lang w:bidi="fa-IR"/>
        </w:rPr>
        <w:t>يقتصر</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القوا</w:t>
      </w:r>
      <w:r w:rsidRPr="00904FCB">
        <w:rPr>
          <w:rFonts w:ascii="Times New Roman" w:hAnsi="Times New Roman"/>
          <w:sz w:val="27"/>
          <w:rtl/>
          <w:lang w:bidi="fa-IR"/>
        </w:rPr>
        <w:t>عد الأصول</w:t>
      </w:r>
      <w:r w:rsidRPr="00904FCB">
        <w:rPr>
          <w:rFonts w:ascii="Times New Roman" w:hAnsi="Times New Roman" w:hint="cs"/>
          <w:sz w:val="27"/>
          <w:rtl/>
          <w:lang w:bidi="fa-IR"/>
        </w:rPr>
        <w:t>ية، وعن</w:t>
      </w:r>
      <w:r w:rsidRPr="00904FCB">
        <w:rPr>
          <w:rFonts w:ascii="Times New Roman" w:hAnsi="Times New Roman"/>
          <w:sz w:val="27"/>
          <w:rtl/>
          <w:lang w:bidi="fa-IR"/>
        </w:rPr>
        <w:t>دما تطرّ</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ق </w:t>
      </w:r>
      <w:r w:rsidR="00E855E6" w:rsidRPr="00904FCB">
        <w:rPr>
          <w:rFonts w:ascii="Times New Roman" w:hAnsi="Times New Roman" w:hint="cs"/>
          <w:sz w:val="27"/>
          <w:rtl/>
          <w:lang w:bidi="fa-IR"/>
        </w:rPr>
        <w:t>إلى ا</w:t>
      </w:r>
      <w:r w:rsidRPr="00904FCB">
        <w:rPr>
          <w:rFonts w:ascii="Times New Roman" w:hAnsi="Times New Roman"/>
          <w:sz w:val="27"/>
          <w:rtl/>
          <w:lang w:bidi="fa-IR"/>
        </w:rPr>
        <w:t>لقواعد الأدب</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العربية</w:t>
      </w:r>
      <w:r w:rsidRPr="00904FCB">
        <w:rPr>
          <w:rFonts w:ascii="Times New Roman" w:hAnsi="Times New Roman"/>
          <w:sz w:val="27"/>
          <w:rtl/>
          <w:lang w:bidi="fa-IR"/>
        </w:rPr>
        <w:t xml:space="preserve"> </w:t>
      </w:r>
      <w:r w:rsidR="00E855E6" w:rsidRPr="00904FCB">
        <w:rPr>
          <w:rFonts w:ascii="Times New Roman" w:hAnsi="Times New Roman" w:hint="cs"/>
          <w:sz w:val="27"/>
          <w:rtl/>
          <w:lang w:bidi="fa-IR"/>
        </w:rPr>
        <w:t>فقد</w:t>
      </w:r>
      <w:r w:rsidRPr="00904FCB">
        <w:rPr>
          <w:rFonts w:ascii="Times New Roman" w:hAnsi="Times New Roman"/>
          <w:sz w:val="27"/>
          <w:rtl/>
          <w:lang w:bidi="fa-IR"/>
        </w:rPr>
        <w:t xml:space="preserve"> </w:t>
      </w:r>
      <w:r w:rsidRPr="00904FCB">
        <w:rPr>
          <w:rFonts w:ascii="Times New Roman" w:hAnsi="Times New Roman" w:hint="cs"/>
          <w:sz w:val="27"/>
          <w:rtl/>
          <w:lang w:bidi="fa-IR"/>
        </w:rPr>
        <w:t>ذكرها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مناخ حاجة علم</w:t>
      </w:r>
      <w:r w:rsidR="00E855E6" w:rsidRPr="00904FCB">
        <w:rPr>
          <w:rFonts w:ascii="Times New Roman" w:hAnsi="Times New Roman" w:hint="cs"/>
          <w:sz w:val="27"/>
          <w:rtl/>
          <w:lang w:bidi="fa-IR"/>
        </w:rPr>
        <w:t xml:space="preserve"> </w:t>
      </w:r>
      <w:r w:rsidRPr="00904FCB">
        <w:rPr>
          <w:rFonts w:ascii="Times New Roman" w:hAnsi="Times New Roman"/>
          <w:sz w:val="27"/>
          <w:rtl/>
          <w:lang w:bidi="fa-IR"/>
        </w:rPr>
        <w:t>الأصول لمثل هذه القواعد، ودخلها ف</w:t>
      </w:r>
      <w:r w:rsidRPr="00904FCB">
        <w:rPr>
          <w:rFonts w:ascii="Times New Roman" w:hAnsi="Times New Roman" w:hint="cs"/>
          <w:sz w:val="27"/>
          <w:rtl/>
          <w:lang w:bidi="fa-IR"/>
        </w:rPr>
        <w:t>ي</w:t>
      </w:r>
      <w:r w:rsidRPr="00904FCB">
        <w:rPr>
          <w:rFonts w:ascii="Times New Roman" w:hAnsi="Times New Roman"/>
          <w:sz w:val="27"/>
          <w:rtl/>
          <w:lang w:bidi="fa-IR"/>
        </w:rPr>
        <w:t xml:space="preserve"> هذا الإطار. </w:t>
      </w:r>
    </w:p>
    <w:p w:rsidR="00057E24" w:rsidRPr="00904FCB" w:rsidRDefault="00057E24" w:rsidP="007A21AA">
      <w:pPr>
        <w:spacing w:line="400" w:lineRule="exact"/>
        <w:rPr>
          <w:rFonts w:ascii="Times New Roman" w:hAnsi="Times New Roman"/>
          <w:sz w:val="27"/>
          <w:lang w:bidi="fa-IR"/>
        </w:rPr>
      </w:pPr>
      <w:r w:rsidRPr="00AD189E">
        <w:rPr>
          <w:rFonts w:ascii="Times New Roman" w:hAnsi="Times New Roman" w:hint="cs"/>
          <w:sz w:val="27"/>
          <w:rtl/>
          <w:lang w:bidi="ar-LB"/>
        </w:rPr>
        <w:t>2ـ</w:t>
      </w:r>
      <w:r w:rsidRPr="00904FCB">
        <w:rPr>
          <w:rFonts w:ascii="Times New Roman" w:hAnsi="Times New Roman" w:hint="cs"/>
          <w:sz w:val="27"/>
          <w:rtl/>
          <w:lang w:bidi="ar-LB"/>
        </w:rPr>
        <w:t xml:space="preserve"> </w:t>
      </w:r>
      <w:r w:rsidRPr="00904FCB">
        <w:rPr>
          <w:rFonts w:ascii="Times New Roman" w:hAnsi="Times New Roman"/>
          <w:sz w:val="27"/>
          <w:rtl/>
          <w:lang w:bidi="fa-IR"/>
        </w:rPr>
        <w:t xml:space="preserve">إنّ كتاب الشهيد الأول لم </w:t>
      </w:r>
      <w:r w:rsidRPr="00904FCB">
        <w:rPr>
          <w:rFonts w:ascii="Times New Roman" w:hAnsi="Times New Roman" w:hint="cs"/>
          <w:sz w:val="27"/>
          <w:rtl/>
          <w:lang w:bidi="fa-IR"/>
        </w:rPr>
        <w:t>ي</w:t>
      </w:r>
      <w:r w:rsidR="00E855E6" w:rsidRPr="00904FCB">
        <w:rPr>
          <w:rFonts w:ascii="Times New Roman" w:hAnsi="Times New Roman" w:hint="cs"/>
          <w:sz w:val="27"/>
          <w:rtl/>
          <w:lang w:bidi="fa-IR"/>
        </w:rPr>
        <w:t>ُ</w:t>
      </w:r>
      <w:r w:rsidRPr="00904FCB">
        <w:rPr>
          <w:rFonts w:ascii="Times New Roman" w:hAnsi="Times New Roman" w:hint="cs"/>
          <w:sz w:val="27"/>
          <w:rtl/>
          <w:lang w:bidi="fa-IR"/>
        </w:rPr>
        <w:t>راع</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ترتيباً</w:t>
      </w:r>
      <w:r w:rsidRPr="00904FCB">
        <w:rPr>
          <w:rFonts w:ascii="Times New Roman" w:hAnsi="Times New Roman"/>
          <w:sz w:val="27"/>
          <w:rtl/>
          <w:lang w:bidi="fa-IR"/>
        </w:rPr>
        <w:t xml:space="preserve"> </w:t>
      </w:r>
      <w:r w:rsidRPr="00904FCB">
        <w:rPr>
          <w:rFonts w:ascii="Times New Roman" w:hAnsi="Times New Roman" w:hint="cs"/>
          <w:sz w:val="27"/>
          <w:rtl/>
          <w:lang w:bidi="fa-IR"/>
        </w:rPr>
        <w:t>خاص</w:t>
      </w:r>
      <w:r w:rsidR="00E855E6" w:rsidRPr="00904FCB">
        <w:rPr>
          <w:rFonts w:ascii="Times New Roman" w:hAnsi="Times New Roman" w:hint="cs"/>
          <w:sz w:val="27"/>
          <w:rtl/>
          <w:lang w:bidi="fa-IR"/>
        </w:rPr>
        <w:t>ّ</w:t>
      </w:r>
      <w:r w:rsidRPr="00904FCB">
        <w:rPr>
          <w:rFonts w:ascii="Times New Roman" w:hAnsi="Times New Roman" w:hint="cs"/>
          <w:sz w:val="27"/>
          <w:rtl/>
          <w:lang w:bidi="fa-IR"/>
        </w:rPr>
        <w:t>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الموضوع</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00E855E6" w:rsidRPr="00904FCB">
        <w:rPr>
          <w:rFonts w:ascii="Times New Roman" w:hAnsi="Times New Roman" w:hint="cs"/>
          <w:sz w:val="27"/>
          <w:rtl/>
          <w:lang w:bidi="fa-IR"/>
        </w:rPr>
        <w:t>ب</w:t>
      </w:r>
      <w:r w:rsidRPr="00904FCB">
        <w:rPr>
          <w:rFonts w:ascii="Times New Roman" w:hAnsi="Times New Roman" w:hint="cs"/>
          <w:sz w:val="27"/>
          <w:rtl/>
          <w:lang w:bidi="fa-IR"/>
        </w:rPr>
        <w:t>خلاف</w:t>
      </w:r>
      <w:r w:rsidRPr="00904FCB">
        <w:rPr>
          <w:rFonts w:ascii="Times New Roman" w:hAnsi="Times New Roman"/>
          <w:sz w:val="27"/>
          <w:rtl/>
          <w:lang w:bidi="fa-IR"/>
        </w:rPr>
        <w:t xml:space="preserve"> </w:t>
      </w:r>
      <w:r w:rsidRPr="00904FCB">
        <w:rPr>
          <w:rFonts w:ascii="Times New Roman" w:hAnsi="Times New Roman" w:hint="cs"/>
          <w:sz w:val="27"/>
          <w:rtl/>
          <w:lang w:bidi="fa-IR"/>
        </w:rPr>
        <w:t>كتاب</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الذ</w:t>
      </w:r>
      <w:r w:rsidRPr="00904FCB">
        <w:rPr>
          <w:rFonts w:ascii="Times New Roman" w:hAnsi="Times New Roman" w:hint="cs"/>
          <w:sz w:val="27"/>
          <w:rtl/>
          <w:lang w:bidi="fa-IR"/>
        </w:rPr>
        <w:t>ي</w:t>
      </w:r>
      <w:r w:rsidRPr="00904FCB">
        <w:rPr>
          <w:rFonts w:ascii="Times New Roman" w:hAnsi="Times New Roman"/>
          <w:sz w:val="27"/>
          <w:rtl/>
          <w:lang w:bidi="fa-IR"/>
        </w:rPr>
        <w:t xml:space="preserve"> دوّ</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نه على </w:t>
      </w:r>
      <w:r w:rsidRPr="00904FCB">
        <w:rPr>
          <w:rFonts w:ascii="Times New Roman" w:hAnsi="Times New Roman" w:hint="cs"/>
          <w:sz w:val="27"/>
          <w:rtl/>
          <w:lang w:bidi="fa-IR"/>
        </w:rPr>
        <w:t>أساس</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مميز</w:t>
      </w:r>
      <w:r w:rsidRPr="00904FCB">
        <w:rPr>
          <w:rFonts w:ascii="Times New Roman" w:hAnsi="Times New Roman"/>
          <w:sz w:val="27"/>
          <w:rtl/>
          <w:lang w:bidi="fa-IR"/>
        </w:rPr>
        <w:t xml:space="preserve"> </w:t>
      </w:r>
      <w:r w:rsidRPr="00904FCB">
        <w:rPr>
          <w:rFonts w:ascii="Times New Roman" w:hAnsi="Times New Roman" w:hint="cs"/>
          <w:sz w:val="27"/>
          <w:rtl/>
          <w:lang w:bidi="fa-IR"/>
        </w:rPr>
        <w:t>وخاص</w:t>
      </w:r>
      <w:r w:rsidR="00E855E6" w:rsidRPr="00904FCB">
        <w:rPr>
          <w:rFonts w:ascii="Times New Roman" w:hAnsi="Times New Roman" w:hint="cs"/>
          <w:sz w:val="27"/>
          <w:rtl/>
          <w:lang w:bidi="fa-IR"/>
        </w:rPr>
        <w:t>ّ</w:t>
      </w:r>
      <w:r w:rsidRPr="00904FCB">
        <w:rPr>
          <w:rFonts w:ascii="Times New Roman" w:hAnsi="Times New Roman" w:hint="cs"/>
          <w:sz w:val="27"/>
          <w:rtl/>
          <w:lang w:bidi="fa-IR"/>
        </w:rPr>
        <w:t>، وبترتيب</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معتبر</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lang w:bidi="fa-IR"/>
        </w:rPr>
      </w:pPr>
      <w:r w:rsidRPr="006333E0">
        <w:rPr>
          <w:rFonts w:ascii="Times New Roman" w:hAnsi="Times New Roman" w:cs="Ya-Ali" w:hint="cs"/>
          <w:sz w:val="27"/>
          <w:rtl/>
          <w:lang w:bidi="ar-LB"/>
        </w:rPr>
        <w:t>3</w:t>
      </w:r>
      <w:r w:rsidRPr="00904FCB">
        <w:rPr>
          <w:rFonts w:ascii="Times New Roman" w:hAnsi="Times New Roman" w:hint="cs"/>
          <w:sz w:val="27"/>
          <w:rtl/>
          <w:lang w:bidi="ar-LB"/>
        </w:rPr>
        <w:t xml:space="preserve">ـ </w:t>
      </w:r>
      <w:r w:rsidR="00E855E6" w:rsidRPr="00904FCB">
        <w:rPr>
          <w:rFonts w:ascii="Times New Roman" w:hAnsi="Times New Roman" w:hint="cs"/>
          <w:sz w:val="27"/>
          <w:rtl/>
          <w:lang w:bidi="fa-IR"/>
        </w:rPr>
        <w:t>إ</w:t>
      </w:r>
      <w:r w:rsidRPr="00904FCB">
        <w:rPr>
          <w:rFonts w:ascii="Times New Roman" w:hAnsi="Times New Roman"/>
          <w:sz w:val="27"/>
          <w:rtl/>
          <w:lang w:bidi="fa-IR"/>
        </w:rPr>
        <w:t>نّ منهج الشهيد الأول ف</w:t>
      </w:r>
      <w:r w:rsidRPr="00904FCB">
        <w:rPr>
          <w:rFonts w:ascii="Times New Roman" w:hAnsi="Times New Roman" w:hint="cs"/>
          <w:sz w:val="27"/>
          <w:rtl/>
          <w:lang w:bidi="fa-IR"/>
        </w:rPr>
        <w:t>ي</w:t>
      </w:r>
      <w:r w:rsidRPr="00904FCB">
        <w:rPr>
          <w:rFonts w:ascii="Times New Roman" w:hAnsi="Times New Roman"/>
          <w:sz w:val="27"/>
          <w:rtl/>
          <w:lang w:bidi="fa-IR"/>
        </w:rPr>
        <w:t xml:space="preserve"> كتابه قد طرح جم</w:t>
      </w:r>
      <w:r w:rsidRPr="00904FCB">
        <w:rPr>
          <w:rFonts w:ascii="Times New Roman" w:hAnsi="Times New Roman" w:hint="cs"/>
          <w:sz w:val="27"/>
          <w:rtl/>
          <w:lang w:bidi="fa-IR"/>
        </w:rPr>
        <w:t>يع</w:t>
      </w:r>
      <w:r w:rsidRPr="00904FCB">
        <w:rPr>
          <w:rFonts w:ascii="Times New Roman" w:hAnsi="Times New Roman"/>
          <w:sz w:val="27"/>
          <w:rtl/>
          <w:lang w:bidi="fa-IR"/>
        </w:rPr>
        <w:t xml:space="preserve"> </w:t>
      </w:r>
      <w:r w:rsidRPr="00904FCB">
        <w:rPr>
          <w:rFonts w:ascii="Times New Roman" w:hAnsi="Times New Roman" w:hint="cs"/>
          <w:sz w:val="27"/>
          <w:rtl/>
          <w:lang w:bidi="fa-IR"/>
        </w:rPr>
        <w:t>مباحث</w:t>
      </w:r>
      <w:r w:rsidRPr="00904FCB">
        <w:rPr>
          <w:rFonts w:ascii="Times New Roman" w:hAnsi="Times New Roman"/>
          <w:sz w:val="27"/>
          <w:rtl/>
          <w:lang w:bidi="fa-IR"/>
        </w:rPr>
        <w:t xml:space="preserve"> </w:t>
      </w:r>
      <w:r w:rsidRPr="00904FCB">
        <w:rPr>
          <w:rFonts w:ascii="Times New Roman" w:hAnsi="Times New Roman" w:hint="cs"/>
          <w:sz w:val="27"/>
          <w:rtl/>
          <w:lang w:bidi="fa-IR"/>
        </w:rPr>
        <w:t>علم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w:t>
      </w:r>
      <w:r w:rsidR="00B95274" w:rsidRPr="00904FCB">
        <w:rPr>
          <w:rFonts w:ascii="Times New Roman" w:hAnsi="Times New Roman" w:hint="cs"/>
          <w:sz w:val="27"/>
          <w:rtl/>
          <w:lang w:bidi="fa-IR"/>
        </w:rPr>
        <w:t>؛</w:t>
      </w:r>
      <w:r w:rsidRPr="00904FCB">
        <w:rPr>
          <w:rFonts w:ascii="Times New Roman" w:hAnsi="Times New Roman" w:hint="cs"/>
          <w:sz w:val="27"/>
          <w:rtl/>
          <w:lang w:bidi="fa-IR"/>
        </w:rPr>
        <w:t xml:space="preserve"> بينما</w:t>
      </w:r>
      <w:r w:rsidRPr="00904FCB">
        <w:rPr>
          <w:rFonts w:ascii="Times New Roman" w:hAnsi="Times New Roman"/>
          <w:sz w:val="27"/>
          <w:rtl/>
          <w:lang w:bidi="fa-IR"/>
        </w:rPr>
        <w:t xml:space="preserve"> </w:t>
      </w:r>
      <w:r w:rsidR="00E855E6" w:rsidRPr="00904FCB">
        <w:rPr>
          <w:rFonts w:ascii="Times New Roman" w:hAnsi="Times New Roman" w:hint="cs"/>
          <w:sz w:val="27"/>
          <w:rtl/>
          <w:lang w:bidi="fa-IR"/>
        </w:rPr>
        <w:t>يمكن</w:t>
      </w:r>
      <w:r w:rsidR="00E855E6" w:rsidRPr="00904FCB">
        <w:rPr>
          <w:rFonts w:ascii="Times New Roman" w:hAnsi="Times New Roman"/>
          <w:sz w:val="27"/>
          <w:rtl/>
          <w:lang w:bidi="fa-IR"/>
        </w:rPr>
        <w:t xml:space="preserve"> </w:t>
      </w:r>
      <w:r w:rsidR="00E855E6" w:rsidRPr="00904FCB">
        <w:rPr>
          <w:rFonts w:ascii="Times New Roman" w:hAnsi="Times New Roman" w:hint="cs"/>
          <w:sz w:val="27"/>
          <w:rtl/>
          <w:lang w:bidi="fa-IR"/>
        </w:rPr>
        <w:t>القول:</w:t>
      </w:r>
      <w:r w:rsidR="00E855E6" w:rsidRPr="00904FCB">
        <w:rPr>
          <w:rFonts w:ascii="Times New Roman" w:hAnsi="Times New Roman"/>
          <w:sz w:val="27"/>
          <w:rtl/>
          <w:lang w:bidi="fa-IR"/>
        </w:rPr>
        <w:t xml:space="preserve"> </w:t>
      </w:r>
      <w:r w:rsidR="00E855E6" w:rsidRPr="00904FCB">
        <w:rPr>
          <w:rFonts w:ascii="Times New Roman" w:hAnsi="Times New Roman" w:hint="cs"/>
          <w:sz w:val="27"/>
          <w:rtl/>
          <w:lang w:bidi="fa-IR"/>
        </w:rPr>
        <w:t xml:space="preserve">إنّ </w:t>
      </w:r>
      <w:r w:rsidRPr="00904FCB">
        <w:rPr>
          <w:rFonts w:ascii="Times New Roman" w:hAnsi="Times New Roman" w:hint="cs"/>
          <w:sz w:val="27"/>
          <w:rtl/>
          <w:lang w:bidi="fa-IR"/>
        </w:rPr>
        <w:t>منهج</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w:t>
      </w:r>
      <w:r w:rsidR="00C07161">
        <w:rPr>
          <w:rFonts w:ascii="Times New Roman" w:hAnsi="Times New Roman" w:hint="cs"/>
          <w:sz w:val="27"/>
          <w:rtl/>
          <w:lang w:bidi="fa-IR"/>
        </w:rPr>
        <w:t xml:space="preserve"> </w:t>
      </w:r>
      <w:r w:rsidRPr="00904FCB">
        <w:rPr>
          <w:rFonts w:ascii="Times New Roman" w:hAnsi="Times New Roman"/>
          <w:sz w:val="27"/>
          <w:rtl/>
          <w:lang w:bidi="fa-IR"/>
        </w:rPr>
        <w:t>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طرح</w:t>
      </w:r>
      <w:r w:rsidRPr="00904FCB">
        <w:rPr>
          <w:rFonts w:ascii="Times New Roman" w:hAnsi="Times New Roman"/>
          <w:sz w:val="27"/>
          <w:rtl/>
          <w:lang w:bidi="fa-IR"/>
        </w:rPr>
        <w:t xml:space="preserve"> </w:t>
      </w:r>
      <w:r w:rsidRPr="00904FCB">
        <w:rPr>
          <w:rFonts w:ascii="Times New Roman" w:hAnsi="Times New Roman" w:hint="cs"/>
          <w:sz w:val="27"/>
          <w:rtl/>
          <w:lang w:bidi="fa-IR"/>
        </w:rPr>
        <w:t>جميع</w:t>
      </w:r>
      <w:r w:rsidRPr="00904FCB">
        <w:rPr>
          <w:rFonts w:ascii="Times New Roman" w:hAnsi="Times New Roman"/>
          <w:sz w:val="27"/>
          <w:rtl/>
          <w:lang w:bidi="fa-IR"/>
        </w:rPr>
        <w:t xml:space="preserve"> </w:t>
      </w:r>
      <w:r w:rsidRPr="00904FCB">
        <w:rPr>
          <w:rFonts w:ascii="Times New Roman" w:hAnsi="Times New Roman" w:hint="cs"/>
          <w:sz w:val="27"/>
          <w:rtl/>
          <w:lang w:bidi="fa-IR"/>
        </w:rPr>
        <w:t>المباحث</w:t>
      </w:r>
      <w:r w:rsidRPr="00904FCB">
        <w:rPr>
          <w:rFonts w:ascii="Times New Roman" w:hAnsi="Times New Roman"/>
          <w:sz w:val="27"/>
          <w:rtl/>
          <w:lang w:bidi="fa-IR"/>
        </w:rPr>
        <w:t xml:space="preserve"> </w:t>
      </w:r>
      <w:r w:rsidRPr="00904FCB">
        <w:rPr>
          <w:rFonts w:ascii="Times New Roman" w:hAnsi="Times New Roman" w:hint="cs"/>
          <w:sz w:val="27"/>
          <w:rtl/>
          <w:lang w:bidi="fa-IR"/>
        </w:rPr>
        <w:t>أيضاً</w:t>
      </w:r>
      <w:r w:rsidRPr="00904FCB">
        <w:rPr>
          <w:rFonts w:ascii="Times New Roman" w:hAnsi="Times New Roman"/>
          <w:sz w:val="27"/>
          <w:rtl/>
          <w:lang w:bidi="fa-IR"/>
        </w:rPr>
        <w:t xml:space="preserve"> </w:t>
      </w:r>
      <w:r w:rsidRPr="00904FCB">
        <w:rPr>
          <w:rFonts w:ascii="Times New Roman" w:hAnsi="Times New Roman" w:hint="cs"/>
          <w:sz w:val="27"/>
          <w:rtl/>
          <w:lang w:bidi="fa-IR"/>
        </w:rPr>
        <w:t>إلا</w:t>
      </w:r>
      <w:r w:rsidR="00E855E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قليلاً</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lang w:bidi="fa-IR"/>
        </w:rPr>
      </w:pPr>
      <w:r w:rsidRPr="00AD189E">
        <w:rPr>
          <w:rFonts w:ascii="Times New Roman" w:hAnsi="Times New Roman" w:hint="cs"/>
          <w:sz w:val="27"/>
          <w:rtl/>
          <w:lang w:bidi="ar-LB"/>
        </w:rPr>
        <w:t>4ـ</w:t>
      </w:r>
      <w:r w:rsidRPr="00904FCB">
        <w:rPr>
          <w:rFonts w:ascii="Times New Roman" w:hAnsi="Times New Roman" w:hint="cs"/>
          <w:sz w:val="27"/>
          <w:rtl/>
          <w:lang w:bidi="ar-LB"/>
        </w:rPr>
        <w:t xml:space="preserve"> </w:t>
      </w:r>
      <w:r w:rsidRPr="00904FCB">
        <w:rPr>
          <w:rFonts w:ascii="Times New Roman" w:hAnsi="Times New Roman"/>
          <w:sz w:val="27"/>
          <w:rtl/>
          <w:lang w:bidi="fa-IR"/>
        </w:rPr>
        <w:t>الشهيد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00B95274" w:rsidRPr="00904FCB">
        <w:rPr>
          <w:rFonts w:ascii="Times New Roman" w:hAnsi="Times New Roman"/>
          <w:sz w:val="27"/>
          <w:rtl/>
          <w:lang w:bidi="fa-IR"/>
        </w:rPr>
        <w:t>ف</w:t>
      </w:r>
      <w:r w:rsidR="00B95274" w:rsidRPr="00904FCB">
        <w:rPr>
          <w:rFonts w:ascii="Times New Roman" w:hAnsi="Times New Roman" w:hint="cs"/>
          <w:sz w:val="27"/>
          <w:rtl/>
          <w:lang w:bidi="fa-IR"/>
        </w:rPr>
        <w:t>ي</w:t>
      </w:r>
      <w:r w:rsidR="00B95274" w:rsidRPr="00904FCB">
        <w:rPr>
          <w:rFonts w:ascii="Times New Roman" w:hAnsi="Times New Roman"/>
          <w:sz w:val="27"/>
          <w:rtl/>
          <w:lang w:bidi="fa-IR"/>
        </w:rPr>
        <w:t xml:space="preserve"> كتاب</w:t>
      </w:r>
      <w:r w:rsidR="00B95274" w:rsidRPr="00904FCB">
        <w:rPr>
          <w:rFonts w:ascii="Times New Roman" w:hAnsi="Times New Roman" w:hint="cs"/>
          <w:sz w:val="27"/>
          <w:rtl/>
          <w:lang w:bidi="fa-IR"/>
        </w:rPr>
        <w:t>ه</w:t>
      </w:r>
      <w:r w:rsidR="00B95274" w:rsidRPr="00904FCB">
        <w:rPr>
          <w:rFonts w:ascii="Times New Roman" w:hAnsi="Times New Roman"/>
          <w:sz w:val="27"/>
          <w:rtl/>
          <w:lang w:bidi="fa-IR"/>
        </w:rPr>
        <w:t xml:space="preserve"> </w:t>
      </w:r>
      <w:r w:rsidRPr="00904FCB">
        <w:rPr>
          <w:rFonts w:ascii="Times New Roman" w:hAnsi="Times New Roman" w:hint="cs"/>
          <w:sz w:val="27"/>
          <w:rtl/>
          <w:lang w:bidi="fa-IR"/>
        </w:rPr>
        <w:t>سلك</w:t>
      </w:r>
      <w:r w:rsidRPr="00904FCB">
        <w:rPr>
          <w:rFonts w:ascii="Times New Roman" w:hAnsi="Times New Roman"/>
          <w:sz w:val="27"/>
          <w:rtl/>
          <w:lang w:bidi="fa-IR"/>
        </w:rPr>
        <w:t xml:space="preserve"> </w:t>
      </w:r>
      <w:r w:rsidRPr="00904FCB">
        <w:rPr>
          <w:rFonts w:ascii="Times New Roman" w:hAnsi="Times New Roman" w:hint="cs"/>
          <w:sz w:val="27"/>
          <w:rtl/>
          <w:lang w:bidi="fa-IR"/>
        </w:rPr>
        <w:t>مسلكاً</w:t>
      </w:r>
      <w:r w:rsidRPr="00904FCB">
        <w:rPr>
          <w:rFonts w:ascii="Times New Roman" w:hAnsi="Times New Roman"/>
          <w:sz w:val="27"/>
          <w:rtl/>
          <w:lang w:bidi="fa-IR"/>
        </w:rPr>
        <w:t xml:space="preserve"> </w:t>
      </w:r>
      <w:r w:rsidRPr="00904FCB">
        <w:rPr>
          <w:rFonts w:ascii="Times New Roman" w:hAnsi="Times New Roman" w:hint="cs"/>
          <w:sz w:val="27"/>
          <w:rtl/>
          <w:lang w:bidi="fa-IR"/>
        </w:rPr>
        <w:t>علمياً</w:t>
      </w:r>
      <w:r w:rsidR="00B95274" w:rsidRPr="00904FCB">
        <w:rPr>
          <w:rFonts w:ascii="Times New Roman" w:hAnsi="Times New Roman" w:hint="cs"/>
          <w:sz w:val="27"/>
          <w:rtl/>
          <w:lang w:bidi="fa-IR"/>
        </w:rPr>
        <w:t>،</w:t>
      </w:r>
      <w:r w:rsidRPr="00904FCB">
        <w:rPr>
          <w:rFonts w:ascii="Times New Roman" w:hAnsi="Times New Roman" w:hint="cs"/>
          <w:sz w:val="27"/>
          <w:rtl/>
          <w:lang w:bidi="fa-IR"/>
        </w:rPr>
        <w:t xml:space="preserve"> فإنّه</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أ</w:t>
      </w:r>
      <w:r w:rsidRPr="00904FCB">
        <w:rPr>
          <w:rFonts w:ascii="Times New Roman" w:hAnsi="Times New Roman"/>
          <w:sz w:val="27"/>
          <w:rtl/>
          <w:lang w:bidi="fa-IR"/>
        </w:rPr>
        <w:t xml:space="preserve">ول الكتاب </w:t>
      </w:r>
      <w:r w:rsidR="00B95274"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آخره</w:t>
      </w:r>
      <w:r w:rsidRPr="00904FCB">
        <w:rPr>
          <w:rFonts w:ascii="Times New Roman" w:hAnsi="Times New Roman"/>
          <w:sz w:val="27"/>
          <w:rtl/>
          <w:lang w:bidi="fa-IR"/>
        </w:rPr>
        <w:t xml:space="preserve"> </w:t>
      </w:r>
      <w:r w:rsidRPr="00904FCB">
        <w:rPr>
          <w:rFonts w:ascii="Times New Roman" w:hAnsi="Times New Roman" w:hint="cs"/>
          <w:sz w:val="27"/>
          <w:rtl/>
          <w:lang w:bidi="fa-IR"/>
        </w:rPr>
        <w:t>يطرح</w:t>
      </w:r>
      <w:r w:rsidRPr="00904FCB">
        <w:rPr>
          <w:rFonts w:ascii="Times New Roman" w:hAnsi="Times New Roman"/>
          <w:sz w:val="27"/>
          <w:rtl/>
          <w:lang w:bidi="fa-IR"/>
        </w:rPr>
        <w:t xml:space="preserve"> </w:t>
      </w:r>
      <w:r w:rsidRPr="00904FCB">
        <w:rPr>
          <w:rFonts w:ascii="Times New Roman" w:hAnsi="Times New Roman" w:hint="cs"/>
          <w:sz w:val="27"/>
          <w:rtl/>
          <w:lang w:bidi="fa-IR"/>
        </w:rPr>
        <w:t>هدفاً</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ويسع</w:t>
      </w:r>
      <w:r w:rsidR="00B95274" w:rsidRPr="00904FCB">
        <w:rPr>
          <w:rFonts w:ascii="Times New Roman" w:hAnsi="Times New Roman" w:hint="cs"/>
          <w:sz w:val="27"/>
          <w:rtl/>
          <w:lang w:bidi="fa-IR"/>
        </w:rPr>
        <w:t>ى</w:t>
      </w:r>
      <w:r w:rsidRPr="00904FCB">
        <w:rPr>
          <w:rFonts w:ascii="Times New Roman" w:hAnsi="Times New Roman"/>
          <w:sz w:val="27"/>
          <w:rtl/>
          <w:lang w:bidi="fa-IR"/>
        </w:rPr>
        <w:t xml:space="preserve"> </w:t>
      </w:r>
      <w:r w:rsidR="00B95274"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البحث</w:t>
      </w:r>
      <w:r w:rsidRPr="00904FCB">
        <w:rPr>
          <w:rFonts w:ascii="Times New Roman" w:hAnsi="Times New Roman"/>
          <w:sz w:val="27"/>
          <w:rtl/>
          <w:lang w:bidi="fa-IR"/>
        </w:rPr>
        <w:t xml:space="preserve"> </w:t>
      </w:r>
      <w:r w:rsidRPr="00904FCB">
        <w:rPr>
          <w:rFonts w:ascii="Times New Roman" w:hAnsi="Times New Roman" w:hint="cs"/>
          <w:sz w:val="27"/>
          <w:rtl/>
          <w:lang w:bidi="fa-IR"/>
        </w:rPr>
        <w:t>عنه</w:t>
      </w:r>
      <w:r w:rsidR="00B95274" w:rsidRPr="00904FCB">
        <w:rPr>
          <w:rFonts w:ascii="Times New Roman" w:hAnsi="Times New Roman" w:hint="cs"/>
          <w:sz w:val="27"/>
          <w:rtl/>
          <w:lang w:bidi="fa-IR"/>
        </w:rPr>
        <w:t>،</w:t>
      </w:r>
      <w:r w:rsidRPr="00904FCB">
        <w:rPr>
          <w:rFonts w:ascii="Times New Roman" w:hAnsi="Times New Roman" w:hint="cs"/>
          <w:sz w:val="27"/>
          <w:rtl/>
          <w:lang w:bidi="fa-IR"/>
        </w:rPr>
        <w:t xml:space="preserve"> و</w:t>
      </w:r>
      <w:r w:rsidRPr="00904FCB">
        <w:rPr>
          <w:rFonts w:ascii="Times New Roman" w:hAnsi="Times New Roman"/>
          <w:sz w:val="27"/>
          <w:rtl/>
          <w:lang w:bidi="fa-IR"/>
        </w:rPr>
        <w:t>إثباته. ولقد نجح ف</w:t>
      </w:r>
      <w:r w:rsidRPr="00904FCB">
        <w:rPr>
          <w:rFonts w:ascii="Times New Roman" w:hAnsi="Times New Roman" w:hint="cs"/>
          <w:sz w:val="27"/>
          <w:rtl/>
          <w:lang w:bidi="fa-IR"/>
        </w:rPr>
        <w:t>ي</w:t>
      </w:r>
      <w:r w:rsidRPr="00904FCB">
        <w:rPr>
          <w:rFonts w:ascii="Times New Roman" w:hAnsi="Times New Roman"/>
          <w:sz w:val="27"/>
          <w:rtl/>
          <w:lang w:bidi="fa-IR"/>
        </w:rPr>
        <w:t xml:space="preserve"> هذا الأمر. فهو على </w:t>
      </w:r>
      <w:r w:rsidRPr="00904FCB">
        <w:rPr>
          <w:rFonts w:ascii="Times New Roman" w:hAnsi="Times New Roman" w:hint="cs"/>
          <w:sz w:val="27"/>
          <w:rtl/>
          <w:lang w:bidi="fa-IR"/>
        </w:rPr>
        <w:t>أساس</w:t>
      </w:r>
      <w:r w:rsidRPr="00904FCB">
        <w:rPr>
          <w:rFonts w:ascii="Times New Roman" w:hAnsi="Times New Roman"/>
          <w:sz w:val="27"/>
          <w:rtl/>
          <w:lang w:bidi="fa-IR"/>
        </w:rPr>
        <w:t xml:space="preserve"> </w:t>
      </w:r>
      <w:r w:rsidRPr="00904FCB">
        <w:rPr>
          <w:rFonts w:ascii="Times New Roman" w:hAnsi="Times New Roman" w:hint="cs"/>
          <w:sz w:val="27"/>
          <w:rtl/>
          <w:lang w:bidi="fa-IR"/>
        </w:rPr>
        <w:t>تصدّيه</w:t>
      </w:r>
      <w:r w:rsidRPr="00904FCB">
        <w:rPr>
          <w:rFonts w:ascii="Times New Roman" w:hAnsi="Times New Roman"/>
          <w:sz w:val="27"/>
          <w:rtl/>
          <w:lang w:bidi="fa-IR"/>
        </w:rPr>
        <w:t xml:space="preserve"> </w:t>
      </w:r>
      <w:r w:rsidRPr="00904FCB">
        <w:rPr>
          <w:rFonts w:ascii="Times New Roman" w:hAnsi="Times New Roman" w:hint="cs"/>
          <w:sz w:val="27"/>
          <w:rtl/>
          <w:lang w:bidi="fa-IR"/>
        </w:rPr>
        <w:t>لبلوغ</w:t>
      </w:r>
      <w:r w:rsidRPr="00904FCB">
        <w:rPr>
          <w:rFonts w:ascii="Times New Roman" w:hAnsi="Times New Roman"/>
          <w:sz w:val="27"/>
          <w:rtl/>
          <w:lang w:bidi="fa-IR"/>
        </w:rPr>
        <w:t xml:space="preserve"> </w:t>
      </w:r>
      <w:r w:rsidR="00B95274" w:rsidRPr="00904FCB">
        <w:rPr>
          <w:rFonts w:ascii="Times New Roman" w:hAnsi="Times New Roman" w:hint="cs"/>
          <w:sz w:val="27"/>
          <w:rtl/>
          <w:lang w:bidi="fa-IR"/>
        </w:rPr>
        <w:t>الهدف</w:t>
      </w:r>
      <w:r w:rsidRPr="00904FCB">
        <w:rPr>
          <w:rFonts w:ascii="Times New Roman" w:hAnsi="Times New Roman"/>
          <w:sz w:val="27"/>
          <w:rtl/>
          <w:lang w:bidi="fa-IR"/>
        </w:rPr>
        <w:t xml:space="preserve"> الذ</w:t>
      </w:r>
      <w:r w:rsidRPr="00904FCB">
        <w:rPr>
          <w:rFonts w:ascii="Times New Roman" w:hAnsi="Times New Roman" w:hint="cs"/>
          <w:sz w:val="27"/>
          <w:rtl/>
          <w:lang w:bidi="fa-IR"/>
        </w:rPr>
        <w:t>ي</w:t>
      </w:r>
      <w:r w:rsidRPr="00904FCB">
        <w:rPr>
          <w:rFonts w:ascii="Times New Roman" w:hAnsi="Times New Roman"/>
          <w:sz w:val="27"/>
          <w:rtl/>
          <w:lang w:bidi="fa-IR"/>
        </w:rPr>
        <w:t xml:space="preserve"> أعلنه ف</w:t>
      </w:r>
      <w:r w:rsidRPr="00904FCB">
        <w:rPr>
          <w:rFonts w:ascii="Times New Roman" w:hAnsi="Times New Roman" w:hint="cs"/>
          <w:sz w:val="27"/>
          <w:rtl/>
          <w:lang w:bidi="fa-IR"/>
        </w:rPr>
        <w:t>ي</w:t>
      </w:r>
      <w:r w:rsidRPr="00904FCB">
        <w:rPr>
          <w:rFonts w:ascii="Times New Roman" w:hAnsi="Times New Roman"/>
          <w:sz w:val="27"/>
          <w:rtl/>
          <w:lang w:bidi="fa-IR"/>
        </w:rPr>
        <w:t xml:space="preserve"> أو</w:t>
      </w:r>
      <w:r w:rsidR="00B95274" w:rsidRPr="00904FCB">
        <w:rPr>
          <w:rFonts w:ascii="Times New Roman" w:hAnsi="Times New Roman" w:hint="cs"/>
          <w:sz w:val="27"/>
          <w:rtl/>
          <w:lang w:bidi="fa-IR"/>
        </w:rPr>
        <w:t>ّ</w:t>
      </w:r>
      <w:r w:rsidRPr="00904FCB">
        <w:rPr>
          <w:rFonts w:ascii="Times New Roman" w:hAnsi="Times New Roman"/>
          <w:sz w:val="27"/>
          <w:rtl/>
          <w:lang w:bidi="fa-IR"/>
        </w:rPr>
        <w:t>ل الكتاب، ح</w:t>
      </w:r>
      <w:r w:rsidRPr="00904FCB">
        <w:rPr>
          <w:rFonts w:ascii="Times New Roman" w:hAnsi="Times New Roman" w:hint="cs"/>
          <w:sz w:val="27"/>
          <w:rtl/>
          <w:lang w:bidi="fa-IR"/>
        </w:rPr>
        <w:t>يث</w:t>
      </w:r>
      <w:r w:rsidRPr="00904FCB">
        <w:rPr>
          <w:rFonts w:ascii="Times New Roman" w:hAnsi="Times New Roman"/>
          <w:sz w:val="27"/>
          <w:rtl/>
          <w:lang w:bidi="fa-IR"/>
        </w:rPr>
        <w:t xml:space="preserve"> </w:t>
      </w:r>
      <w:r w:rsidRPr="00904FCB">
        <w:rPr>
          <w:rFonts w:ascii="Times New Roman" w:hAnsi="Times New Roman" w:hint="cs"/>
          <w:sz w:val="27"/>
          <w:rtl/>
          <w:lang w:bidi="fa-IR"/>
        </w:rPr>
        <w:t>يقول</w:t>
      </w:r>
      <w:r w:rsidRPr="00904FCB">
        <w:rPr>
          <w:rFonts w:ascii="Times New Roman" w:hAnsi="Times New Roman"/>
          <w:sz w:val="27"/>
          <w:rtl/>
          <w:lang w:bidi="fa-IR"/>
        </w:rPr>
        <w:t xml:space="preserve">: </w:t>
      </w:r>
      <w:r w:rsidRPr="00904FCB">
        <w:rPr>
          <w:rFonts w:ascii="Times New Roman" w:hAnsi="Times New Roman" w:hint="cs"/>
          <w:sz w:val="27"/>
          <w:rtl/>
          <w:lang w:bidi="fa-IR"/>
        </w:rPr>
        <w:t>«ليكون</w:t>
      </w:r>
      <w:r w:rsidRPr="00904FCB">
        <w:rPr>
          <w:rFonts w:ascii="Times New Roman" w:hAnsi="Times New Roman"/>
          <w:sz w:val="27"/>
          <w:rtl/>
          <w:lang w:bidi="fa-IR"/>
        </w:rPr>
        <w:t xml:space="preserve"> </w:t>
      </w:r>
      <w:r w:rsidRPr="00904FCB">
        <w:rPr>
          <w:rFonts w:ascii="Times New Roman" w:hAnsi="Times New Roman" w:hint="cs"/>
          <w:sz w:val="27"/>
          <w:rtl/>
          <w:lang w:bidi="fa-IR"/>
        </w:rPr>
        <w:t>ذلك</w:t>
      </w:r>
      <w:r w:rsidRPr="00904FCB">
        <w:rPr>
          <w:rFonts w:ascii="Times New Roman" w:hAnsi="Times New Roman"/>
          <w:sz w:val="27"/>
          <w:rtl/>
          <w:lang w:bidi="fa-IR"/>
        </w:rPr>
        <w:t xml:space="preserve"> </w:t>
      </w:r>
      <w:r w:rsidRPr="00904FCB">
        <w:rPr>
          <w:rFonts w:ascii="Times New Roman" w:hAnsi="Times New Roman" w:hint="cs"/>
          <w:sz w:val="27"/>
          <w:rtl/>
          <w:lang w:bidi="fa-IR"/>
        </w:rPr>
        <w:t>عوناً</w:t>
      </w:r>
      <w:r w:rsidRPr="00904FCB">
        <w:rPr>
          <w:rFonts w:ascii="Times New Roman" w:hAnsi="Times New Roman"/>
          <w:sz w:val="27"/>
          <w:rtl/>
          <w:lang w:bidi="fa-IR"/>
        </w:rPr>
        <w:t xml:space="preserve"> </w:t>
      </w:r>
      <w:r w:rsidRPr="00904FCB">
        <w:rPr>
          <w:rFonts w:ascii="Times New Roman" w:hAnsi="Times New Roman" w:hint="cs"/>
          <w:sz w:val="27"/>
          <w:rtl/>
          <w:lang w:bidi="fa-IR"/>
        </w:rPr>
        <w:t>لطالب</w:t>
      </w:r>
      <w:r w:rsidRPr="00904FCB">
        <w:rPr>
          <w:rFonts w:ascii="Times New Roman" w:hAnsi="Times New Roman"/>
          <w:sz w:val="27"/>
          <w:rtl/>
          <w:lang w:bidi="fa-IR"/>
        </w:rPr>
        <w:t xml:space="preserve"> </w:t>
      </w:r>
      <w:r w:rsidRPr="00904FCB">
        <w:rPr>
          <w:rFonts w:ascii="Times New Roman" w:hAnsi="Times New Roman" w:hint="cs"/>
          <w:sz w:val="27"/>
          <w:rtl/>
          <w:lang w:bidi="fa-IR"/>
        </w:rPr>
        <w:t>التفقّ</w:t>
      </w:r>
      <w:r w:rsidR="00B95274" w:rsidRPr="00904FCB">
        <w:rPr>
          <w:rFonts w:ascii="Times New Roman" w:hAnsi="Times New Roman" w:hint="cs"/>
          <w:sz w:val="27"/>
          <w:rtl/>
          <w:lang w:bidi="fa-IR"/>
        </w:rPr>
        <w:t>ُ</w:t>
      </w:r>
      <w:r w:rsidRPr="00904FCB">
        <w:rPr>
          <w:rFonts w:ascii="Times New Roman" w:hAnsi="Times New Roman" w:hint="cs"/>
          <w:sz w:val="27"/>
          <w:rtl/>
          <w:lang w:bidi="fa-IR"/>
        </w:rPr>
        <w:t>ه</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تحص</w:t>
      </w:r>
      <w:r w:rsidRPr="00904FCB">
        <w:rPr>
          <w:rFonts w:ascii="Times New Roman" w:hAnsi="Times New Roman" w:hint="cs"/>
          <w:sz w:val="27"/>
          <w:rtl/>
          <w:lang w:bidi="fa-IR"/>
        </w:rPr>
        <w:t>يل</w:t>
      </w:r>
      <w:r w:rsidRPr="00904FCB">
        <w:rPr>
          <w:rFonts w:ascii="Times New Roman" w:hAnsi="Times New Roman"/>
          <w:sz w:val="27"/>
          <w:rtl/>
          <w:lang w:bidi="fa-IR"/>
        </w:rPr>
        <w:t xml:space="preserve"> </w:t>
      </w:r>
      <w:r w:rsidRPr="00904FCB">
        <w:rPr>
          <w:rFonts w:ascii="Times New Roman" w:hAnsi="Times New Roman" w:hint="cs"/>
          <w:sz w:val="27"/>
          <w:rtl/>
          <w:lang w:bidi="fa-IR"/>
        </w:rPr>
        <w:t>ملكة</w:t>
      </w:r>
      <w:r w:rsidRPr="00904FCB">
        <w:rPr>
          <w:rFonts w:ascii="Times New Roman" w:hAnsi="Times New Roman"/>
          <w:sz w:val="27"/>
          <w:rtl/>
          <w:lang w:bidi="fa-IR"/>
        </w:rPr>
        <w:t xml:space="preserve"> </w:t>
      </w:r>
      <w:r w:rsidRPr="00904FCB">
        <w:rPr>
          <w:rFonts w:ascii="Times New Roman" w:hAnsi="Times New Roman" w:hint="cs"/>
          <w:sz w:val="27"/>
          <w:rtl/>
          <w:lang w:bidi="fa-IR"/>
        </w:rPr>
        <w:t>استنباط</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00B95274" w:rsidRPr="00904FCB">
        <w:rPr>
          <w:rFonts w:ascii="Times New Roman" w:hAnsi="Times New Roman" w:hint="cs"/>
          <w:sz w:val="27"/>
          <w:rtl/>
          <w:lang w:bidi="fa-IR"/>
        </w:rPr>
        <w:t>أ</w:t>
      </w:r>
      <w:r w:rsidRPr="00904FCB">
        <w:rPr>
          <w:rFonts w:ascii="Times New Roman" w:hAnsi="Times New Roman" w:hint="cs"/>
          <w:sz w:val="27"/>
          <w:rtl/>
          <w:lang w:bidi="fa-IR"/>
        </w:rPr>
        <w:t>حكام</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الموارد</w:t>
      </w:r>
      <w:r w:rsidR="00B95274" w:rsidRPr="00904FCB">
        <w:rPr>
          <w:rFonts w:ascii="Times New Roman" w:hAnsi="Times New Roman"/>
          <w:sz w:val="27"/>
          <w:rtl/>
          <w:lang w:bidi="fa-IR"/>
        </w:rPr>
        <w:t>...</w:t>
      </w:r>
      <w:r w:rsidRPr="00904FCB">
        <w:rPr>
          <w:rFonts w:ascii="Times New Roman" w:hAnsi="Times New Roman"/>
          <w:sz w:val="27"/>
          <w:rtl/>
          <w:lang w:bidi="fa-IR"/>
        </w:rPr>
        <w:t>»</w:t>
      </w:r>
      <w:r w:rsidR="00C07161">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يقدّ</w:t>
      </w:r>
      <w:r w:rsidR="00B95274" w:rsidRPr="00904FCB">
        <w:rPr>
          <w:rFonts w:ascii="Times New Roman" w:hAnsi="Times New Roman" w:hint="cs"/>
          <w:sz w:val="27"/>
          <w:rtl/>
          <w:lang w:bidi="fa-IR"/>
        </w:rPr>
        <w:t>ِ</w:t>
      </w:r>
      <w:r w:rsidRPr="00904FCB">
        <w:rPr>
          <w:rFonts w:ascii="Times New Roman" w:hAnsi="Times New Roman" w:hint="cs"/>
          <w:sz w:val="27"/>
          <w:rtl/>
          <w:lang w:bidi="fa-IR"/>
        </w:rPr>
        <w:t>م</w:t>
      </w:r>
      <w:r w:rsidRPr="00904FCB">
        <w:rPr>
          <w:rFonts w:ascii="Times New Roman" w:hAnsi="Times New Roman"/>
          <w:sz w:val="27"/>
          <w:rtl/>
          <w:lang w:bidi="fa-IR"/>
        </w:rPr>
        <w:t xml:space="preserve"> </w:t>
      </w:r>
      <w:r w:rsidRPr="00904FCB">
        <w:rPr>
          <w:rFonts w:ascii="Times New Roman" w:hAnsi="Times New Roman" w:hint="cs"/>
          <w:sz w:val="27"/>
          <w:rtl/>
          <w:lang w:bidi="fa-IR"/>
        </w:rPr>
        <w:t>خدمة</w:t>
      </w:r>
      <w:r w:rsidRPr="00904FCB">
        <w:rPr>
          <w:rFonts w:ascii="Times New Roman" w:hAnsi="Times New Roman"/>
          <w:sz w:val="27"/>
          <w:rtl/>
          <w:lang w:bidi="fa-IR"/>
        </w:rPr>
        <w:t xml:space="preserve"> </w:t>
      </w:r>
      <w:r w:rsidRPr="00904FCB">
        <w:rPr>
          <w:rFonts w:ascii="Times New Roman" w:hAnsi="Times New Roman" w:hint="cs"/>
          <w:sz w:val="27"/>
          <w:rtl/>
          <w:lang w:bidi="fa-IR"/>
        </w:rPr>
        <w:t>للفقه</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جهة</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ولطلابه</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جهة</w:t>
      </w:r>
      <w:r w:rsidRPr="00904FCB">
        <w:rPr>
          <w:rFonts w:ascii="Times New Roman" w:hAnsi="Times New Roman"/>
          <w:sz w:val="27"/>
          <w:rtl/>
          <w:lang w:bidi="fa-IR"/>
        </w:rPr>
        <w:t xml:space="preserve"> </w:t>
      </w:r>
      <w:r w:rsidRPr="00904FCB">
        <w:rPr>
          <w:rFonts w:ascii="Times New Roman" w:hAnsi="Times New Roman" w:hint="cs"/>
          <w:sz w:val="27"/>
          <w:rtl/>
          <w:lang w:bidi="fa-IR"/>
        </w:rPr>
        <w:t>أخر</w:t>
      </w:r>
      <w:r w:rsidR="00B95274" w:rsidRPr="00904FCB">
        <w:rPr>
          <w:rFonts w:ascii="Times New Roman" w:hAnsi="Times New Roman" w:hint="cs"/>
          <w:sz w:val="27"/>
          <w:rtl/>
          <w:lang w:bidi="fa-IR"/>
        </w:rPr>
        <w:t>ى؛</w:t>
      </w:r>
      <w:r w:rsidRPr="00904FCB">
        <w:rPr>
          <w:rFonts w:ascii="Times New Roman" w:hAnsi="Times New Roman" w:hint="cs"/>
          <w:sz w:val="27"/>
          <w:rtl/>
          <w:lang w:bidi="fa-IR"/>
        </w:rPr>
        <w:t xml:space="preserve"> على خلاف</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الأول الذ</w:t>
      </w:r>
      <w:r w:rsidRPr="00904FCB">
        <w:rPr>
          <w:rFonts w:ascii="Times New Roman" w:hAnsi="Times New Roman" w:hint="cs"/>
          <w:sz w:val="27"/>
          <w:rtl/>
          <w:lang w:bidi="fa-IR"/>
        </w:rPr>
        <w:t>ي</w:t>
      </w:r>
      <w:r w:rsidRPr="00904FCB">
        <w:rPr>
          <w:rFonts w:ascii="Times New Roman" w:hAnsi="Times New Roman"/>
          <w:sz w:val="27"/>
          <w:rtl/>
          <w:lang w:bidi="fa-IR"/>
        </w:rPr>
        <w:t xml:space="preserve"> لم </w:t>
      </w:r>
      <w:r w:rsidRPr="00904FCB">
        <w:rPr>
          <w:rFonts w:ascii="Times New Roman" w:hAnsi="Times New Roman" w:hint="cs"/>
          <w:sz w:val="27"/>
          <w:rtl/>
          <w:lang w:bidi="fa-IR"/>
        </w:rPr>
        <w:t>يعلن</w:t>
      </w:r>
      <w:r w:rsidRPr="00904FCB">
        <w:rPr>
          <w:rFonts w:ascii="Times New Roman" w:hAnsi="Times New Roman"/>
          <w:sz w:val="27"/>
          <w:rtl/>
          <w:lang w:bidi="fa-IR"/>
        </w:rPr>
        <w:t xml:space="preserve"> </w:t>
      </w:r>
      <w:r w:rsidRPr="00904FCB">
        <w:rPr>
          <w:rFonts w:ascii="Times New Roman" w:hAnsi="Times New Roman" w:hint="cs"/>
          <w:sz w:val="27"/>
          <w:rtl/>
          <w:lang w:bidi="fa-IR"/>
        </w:rPr>
        <w:t>عن</w:t>
      </w:r>
      <w:r w:rsidRPr="00904FCB">
        <w:rPr>
          <w:rFonts w:ascii="Times New Roman" w:hAnsi="Times New Roman"/>
          <w:sz w:val="27"/>
          <w:rtl/>
          <w:lang w:bidi="fa-IR"/>
        </w:rPr>
        <w:t xml:space="preserve"> </w:t>
      </w:r>
      <w:r w:rsidRPr="00904FCB">
        <w:rPr>
          <w:rFonts w:ascii="Times New Roman" w:hAnsi="Times New Roman" w:hint="cs"/>
          <w:sz w:val="27"/>
          <w:rtl/>
          <w:lang w:bidi="fa-IR"/>
        </w:rPr>
        <w:t>هكذا</w:t>
      </w:r>
      <w:r w:rsidRPr="00904FCB">
        <w:rPr>
          <w:rFonts w:ascii="Times New Roman" w:hAnsi="Times New Roman"/>
          <w:sz w:val="27"/>
          <w:rtl/>
          <w:lang w:bidi="fa-IR"/>
        </w:rPr>
        <w:t xml:space="preserve"> </w:t>
      </w:r>
      <w:r w:rsidRPr="00904FCB">
        <w:rPr>
          <w:rFonts w:ascii="Times New Roman" w:hAnsi="Times New Roman" w:hint="cs"/>
          <w:sz w:val="27"/>
          <w:rtl/>
          <w:lang w:bidi="fa-IR"/>
        </w:rPr>
        <w:t>هدف</w:t>
      </w:r>
      <w:r w:rsidR="00B95274" w:rsidRPr="00904FCB">
        <w:rPr>
          <w:rFonts w:ascii="Times New Roman" w:hAnsi="Times New Roman" w:hint="cs"/>
          <w:sz w:val="27"/>
          <w:rtl/>
          <w:lang w:bidi="fa-IR"/>
        </w:rPr>
        <w:t>ٍ</w:t>
      </w:r>
      <w:r w:rsidRPr="00904FCB">
        <w:rPr>
          <w:rFonts w:ascii="Times New Roman" w:hAnsi="Times New Roman" w:hint="cs"/>
          <w:sz w:val="27"/>
          <w:rtl/>
          <w:lang w:bidi="fa-IR"/>
        </w:rPr>
        <w:t>، بل</w:t>
      </w:r>
      <w:r w:rsidRPr="00904FCB">
        <w:rPr>
          <w:rFonts w:ascii="Times New Roman" w:hAnsi="Times New Roman"/>
          <w:sz w:val="27"/>
          <w:rtl/>
          <w:lang w:bidi="fa-IR"/>
        </w:rPr>
        <w:t xml:space="preserve"> </w:t>
      </w:r>
      <w:r w:rsidRPr="00904FCB">
        <w:rPr>
          <w:rFonts w:ascii="Times New Roman" w:hAnsi="Times New Roman" w:hint="cs"/>
          <w:sz w:val="27"/>
          <w:rtl/>
          <w:lang w:bidi="fa-IR"/>
        </w:rPr>
        <w:t>نجد</w:t>
      </w:r>
      <w:r w:rsidRPr="00904FCB">
        <w:rPr>
          <w:rFonts w:ascii="Times New Roman" w:hAnsi="Times New Roman"/>
          <w:sz w:val="27"/>
          <w:rtl/>
          <w:lang w:bidi="fa-IR"/>
        </w:rPr>
        <w:t>ه ف</w:t>
      </w:r>
      <w:r w:rsidRPr="00904FCB">
        <w:rPr>
          <w:rFonts w:ascii="Times New Roman" w:hAnsi="Times New Roman" w:hint="cs"/>
          <w:sz w:val="27"/>
          <w:rtl/>
          <w:lang w:bidi="fa-IR"/>
        </w:rPr>
        <w:t>ي</w:t>
      </w:r>
      <w:r w:rsidRPr="00904FCB">
        <w:rPr>
          <w:rFonts w:ascii="Times New Roman" w:hAnsi="Times New Roman"/>
          <w:sz w:val="27"/>
          <w:rtl/>
          <w:lang w:bidi="fa-IR"/>
        </w:rPr>
        <w:t xml:space="preserve"> كتابه ناظراً الى </w:t>
      </w:r>
      <w:r w:rsidRPr="00904FCB">
        <w:rPr>
          <w:rFonts w:ascii="Times New Roman" w:hAnsi="Times New Roman" w:hint="cs"/>
          <w:sz w:val="27"/>
          <w:rtl/>
          <w:lang w:bidi="fa-IR"/>
        </w:rPr>
        <w:t>مج</w:t>
      </w:r>
      <w:r w:rsidRPr="00904FCB">
        <w:rPr>
          <w:rFonts w:ascii="Times New Roman" w:hAnsi="Times New Roman"/>
          <w:sz w:val="27"/>
          <w:rtl/>
          <w:lang w:bidi="fa-IR"/>
        </w:rPr>
        <w:t>ال</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واحد فح</w:t>
      </w:r>
      <w:r w:rsidR="00B95274" w:rsidRPr="00904FCB">
        <w:rPr>
          <w:rFonts w:ascii="Times New Roman" w:hAnsi="Times New Roman" w:hint="cs"/>
          <w:sz w:val="27"/>
          <w:rtl/>
          <w:lang w:bidi="fa-IR"/>
        </w:rPr>
        <w:t>َ</w:t>
      </w:r>
      <w:r w:rsidRPr="00904FCB">
        <w:rPr>
          <w:rFonts w:ascii="Times New Roman" w:hAnsi="Times New Roman"/>
          <w:sz w:val="27"/>
          <w:rtl/>
          <w:lang w:bidi="fa-IR"/>
        </w:rPr>
        <w:t>س</w:t>
      </w:r>
      <w:r w:rsidR="00B95274" w:rsidRPr="00904FCB">
        <w:rPr>
          <w:rFonts w:ascii="Times New Roman" w:hAnsi="Times New Roman" w:hint="cs"/>
          <w:sz w:val="27"/>
          <w:rtl/>
          <w:lang w:bidi="fa-IR"/>
        </w:rPr>
        <w:t>ْ</w:t>
      </w:r>
      <w:r w:rsidRPr="00904FCB">
        <w:rPr>
          <w:rFonts w:ascii="Times New Roman" w:hAnsi="Times New Roman"/>
          <w:sz w:val="27"/>
          <w:rtl/>
          <w:lang w:bidi="fa-IR"/>
        </w:rPr>
        <w:t>ب، لذا تراه مفعماً بالبحوث غ</w:t>
      </w:r>
      <w:r w:rsidRPr="00904FCB">
        <w:rPr>
          <w:rFonts w:ascii="Times New Roman" w:hAnsi="Times New Roman" w:hint="cs"/>
          <w:sz w:val="27"/>
          <w:rtl/>
          <w:lang w:bidi="fa-IR"/>
        </w:rPr>
        <w:t>ير</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الأصولية</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lang w:bidi="fa-IR"/>
        </w:rPr>
      </w:pPr>
      <w:r w:rsidRPr="00AD189E">
        <w:rPr>
          <w:rFonts w:ascii="Times New Roman" w:hAnsi="Times New Roman" w:hint="cs"/>
          <w:sz w:val="27"/>
          <w:rtl/>
          <w:lang w:bidi="ar-LB"/>
        </w:rPr>
        <w:t>5ـ</w:t>
      </w:r>
      <w:r w:rsidRPr="00904FCB">
        <w:rPr>
          <w:rFonts w:ascii="Times New Roman" w:hAnsi="Times New Roman" w:hint="cs"/>
          <w:sz w:val="27"/>
          <w:rtl/>
          <w:lang w:bidi="ar-LB"/>
        </w:rPr>
        <w:t xml:space="preserve"> </w:t>
      </w:r>
      <w:r w:rsidRPr="00904FCB">
        <w:rPr>
          <w:rFonts w:ascii="Times New Roman" w:hAnsi="Times New Roman"/>
          <w:sz w:val="27"/>
          <w:rtl/>
          <w:lang w:bidi="fa-IR"/>
        </w:rPr>
        <w:t>كانت غا</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الأول من تأل</w:t>
      </w:r>
      <w:r w:rsidRPr="00904FCB">
        <w:rPr>
          <w:rFonts w:ascii="Times New Roman" w:hAnsi="Times New Roman" w:hint="cs"/>
          <w:sz w:val="27"/>
          <w:rtl/>
          <w:lang w:bidi="fa-IR"/>
        </w:rPr>
        <w:t>يفه</w:t>
      </w:r>
      <w:r w:rsidRPr="00904FCB">
        <w:rPr>
          <w:rFonts w:ascii="Times New Roman" w:hAnsi="Times New Roman"/>
          <w:sz w:val="27"/>
          <w:rtl/>
          <w:lang w:bidi="fa-IR"/>
        </w:rPr>
        <w:t xml:space="preserve"> </w:t>
      </w:r>
      <w:r w:rsidRPr="00904FCB">
        <w:rPr>
          <w:rFonts w:ascii="Times New Roman" w:hAnsi="Times New Roman" w:hint="cs"/>
          <w:sz w:val="27"/>
          <w:rtl/>
          <w:lang w:bidi="fa-IR"/>
        </w:rPr>
        <w:t>للقواعد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هو</w:t>
      </w:r>
      <w:r w:rsidRPr="00904FCB">
        <w:rPr>
          <w:rFonts w:ascii="Times New Roman" w:hAnsi="Times New Roman"/>
          <w:sz w:val="27"/>
          <w:rtl/>
          <w:lang w:bidi="fa-IR"/>
        </w:rPr>
        <w:t xml:space="preserve"> </w:t>
      </w:r>
      <w:r w:rsidRPr="00904FCB">
        <w:rPr>
          <w:rFonts w:ascii="Times New Roman" w:hAnsi="Times New Roman" w:hint="cs"/>
          <w:sz w:val="27"/>
          <w:rtl/>
          <w:lang w:bidi="fa-IR"/>
        </w:rPr>
        <w:t>إعانة</w:t>
      </w:r>
      <w:r w:rsidRPr="00904FCB">
        <w:rPr>
          <w:rFonts w:ascii="Times New Roman" w:hAnsi="Times New Roman"/>
          <w:sz w:val="27"/>
          <w:rtl/>
          <w:lang w:bidi="fa-IR"/>
        </w:rPr>
        <w:t xml:space="preserve"> </w:t>
      </w:r>
      <w:r w:rsidRPr="00904FCB">
        <w:rPr>
          <w:rFonts w:ascii="Times New Roman" w:hAnsi="Times New Roman" w:hint="cs"/>
          <w:sz w:val="27"/>
          <w:rtl/>
          <w:lang w:bidi="fa-IR"/>
        </w:rPr>
        <w:t>الطلاب</w:t>
      </w:r>
      <w:r w:rsidRPr="00904FCB">
        <w:rPr>
          <w:rFonts w:ascii="Times New Roman" w:hAnsi="Times New Roman"/>
          <w:sz w:val="27"/>
          <w:rtl/>
          <w:lang w:bidi="fa-IR"/>
        </w:rPr>
        <w:t xml:space="preserve"> على </w:t>
      </w:r>
      <w:r w:rsidRPr="00904FCB">
        <w:rPr>
          <w:rFonts w:ascii="Times New Roman" w:hAnsi="Times New Roman" w:hint="cs"/>
          <w:sz w:val="27"/>
          <w:rtl/>
          <w:lang w:bidi="fa-IR"/>
        </w:rPr>
        <w:t>كيفية</w:t>
      </w:r>
      <w:r w:rsidRPr="00904FCB">
        <w:rPr>
          <w:rFonts w:ascii="Times New Roman" w:hAnsi="Times New Roman"/>
          <w:sz w:val="27"/>
          <w:rtl/>
          <w:lang w:bidi="fa-IR"/>
        </w:rPr>
        <w:t xml:space="preserve"> </w:t>
      </w:r>
      <w:r w:rsidRPr="00904FCB">
        <w:rPr>
          <w:rFonts w:ascii="Times New Roman" w:hAnsi="Times New Roman" w:hint="cs"/>
          <w:sz w:val="27"/>
          <w:rtl/>
          <w:lang w:bidi="fa-IR"/>
        </w:rPr>
        <w:t>التفريع</w:t>
      </w:r>
      <w:r w:rsidRPr="00904FCB">
        <w:rPr>
          <w:rFonts w:ascii="Times New Roman" w:hAnsi="Times New Roman"/>
          <w:sz w:val="27"/>
          <w:rtl/>
          <w:lang w:bidi="fa-IR"/>
        </w:rPr>
        <w:t xml:space="preserve"> و</w:t>
      </w:r>
      <w:r w:rsidRPr="00904FCB">
        <w:rPr>
          <w:rFonts w:ascii="Times New Roman" w:hAnsi="Times New Roman" w:hint="cs"/>
          <w:sz w:val="27"/>
          <w:rtl/>
          <w:lang w:bidi="fa-IR"/>
        </w:rPr>
        <w:t>استخراج</w:t>
      </w:r>
      <w:r w:rsidRPr="00904FCB">
        <w:rPr>
          <w:rFonts w:ascii="Times New Roman" w:hAnsi="Times New Roman"/>
          <w:sz w:val="27"/>
          <w:rtl/>
          <w:lang w:bidi="fa-IR"/>
        </w:rPr>
        <w:t xml:space="preserve"> </w:t>
      </w:r>
      <w:r w:rsidRPr="00904FCB">
        <w:rPr>
          <w:rFonts w:ascii="Times New Roman" w:hAnsi="Times New Roman" w:hint="cs"/>
          <w:sz w:val="27"/>
          <w:rtl/>
          <w:lang w:bidi="fa-IR"/>
        </w:rPr>
        <w:t>الفروع</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الأصل، لكن</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دون</w:t>
      </w:r>
      <w:r w:rsidRPr="00904FCB">
        <w:rPr>
          <w:rFonts w:ascii="Times New Roman" w:hAnsi="Times New Roman"/>
          <w:sz w:val="27"/>
          <w:rtl/>
          <w:lang w:bidi="fa-IR"/>
        </w:rPr>
        <w:t xml:space="preserve"> </w:t>
      </w:r>
      <w:r w:rsidRPr="00904FCB">
        <w:rPr>
          <w:rFonts w:ascii="Times New Roman" w:hAnsi="Times New Roman" w:hint="cs"/>
          <w:sz w:val="27"/>
          <w:rtl/>
          <w:lang w:bidi="fa-IR"/>
        </w:rPr>
        <w:t>مراعاة</w:t>
      </w:r>
      <w:r w:rsidRPr="00904FCB">
        <w:rPr>
          <w:rFonts w:ascii="Times New Roman" w:hAnsi="Times New Roman"/>
          <w:sz w:val="27"/>
          <w:rtl/>
          <w:lang w:bidi="fa-IR"/>
        </w:rPr>
        <w:t xml:space="preserve"> </w:t>
      </w:r>
      <w:r w:rsidRPr="00904FCB">
        <w:rPr>
          <w:rFonts w:ascii="Times New Roman" w:hAnsi="Times New Roman" w:hint="cs"/>
          <w:sz w:val="27"/>
          <w:rtl/>
          <w:lang w:bidi="fa-IR"/>
        </w:rPr>
        <w:t>للأدلّة</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فهو</w:t>
      </w:r>
      <w:r w:rsidRPr="00904FCB">
        <w:rPr>
          <w:rFonts w:ascii="Times New Roman" w:hAnsi="Times New Roman"/>
          <w:sz w:val="27"/>
          <w:rtl/>
          <w:lang w:bidi="fa-IR"/>
        </w:rPr>
        <w:t xml:space="preserve"> </w:t>
      </w:r>
      <w:r w:rsidRPr="00904FCB">
        <w:rPr>
          <w:rFonts w:ascii="Times New Roman" w:hAnsi="Times New Roman" w:hint="cs"/>
          <w:sz w:val="27"/>
          <w:rtl/>
          <w:lang w:bidi="fa-IR"/>
        </w:rPr>
        <w:t>يقول</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مقد</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مة الكتاب: «وفرّعنا المسائل الفقهية على </w:t>
      </w:r>
      <w:r w:rsidRPr="00904FCB">
        <w:rPr>
          <w:rFonts w:ascii="Times New Roman" w:hAnsi="Times New Roman" w:hint="cs"/>
          <w:sz w:val="27"/>
          <w:rtl/>
          <w:lang w:bidi="fa-IR"/>
        </w:rPr>
        <w:t>نفس</w:t>
      </w:r>
      <w:r w:rsidRPr="00904FCB">
        <w:rPr>
          <w:rFonts w:ascii="Times New Roman" w:hAnsi="Times New Roman"/>
          <w:sz w:val="27"/>
          <w:rtl/>
          <w:lang w:bidi="fa-IR"/>
        </w:rPr>
        <w:t xml:space="preserve"> </w:t>
      </w:r>
      <w:r w:rsidRPr="00904FCB">
        <w:rPr>
          <w:rFonts w:ascii="Times New Roman" w:hAnsi="Times New Roman" w:hint="cs"/>
          <w:sz w:val="27"/>
          <w:rtl/>
          <w:lang w:bidi="fa-IR"/>
        </w:rPr>
        <w:t>الق</w:t>
      </w:r>
      <w:r w:rsidRPr="00904FCB">
        <w:rPr>
          <w:rFonts w:ascii="Times New Roman" w:hAnsi="Times New Roman"/>
          <w:sz w:val="27"/>
          <w:rtl/>
          <w:lang w:bidi="fa-IR"/>
        </w:rPr>
        <w:t>اعدة</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من غ</w:t>
      </w:r>
      <w:r w:rsidRPr="00904FCB">
        <w:rPr>
          <w:rFonts w:ascii="Times New Roman" w:hAnsi="Times New Roman" w:hint="cs"/>
          <w:sz w:val="27"/>
          <w:rtl/>
          <w:lang w:bidi="fa-IR"/>
        </w:rPr>
        <w:t>ير</w:t>
      </w:r>
      <w:r w:rsidRPr="00904FCB">
        <w:rPr>
          <w:rFonts w:ascii="Times New Roman" w:hAnsi="Times New Roman"/>
          <w:sz w:val="27"/>
          <w:rtl/>
          <w:lang w:bidi="fa-IR"/>
        </w:rPr>
        <w:t xml:space="preserve"> </w:t>
      </w:r>
      <w:r w:rsidRPr="00904FCB">
        <w:rPr>
          <w:rFonts w:ascii="Times New Roman" w:hAnsi="Times New Roman" w:hint="cs"/>
          <w:sz w:val="27"/>
          <w:rtl/>
          <w:lang w:bidi="fa-IR"/>
        </w:rPr>
        <w:t>مراعاة</w:t>
      </w:r>
      <w:r w:rsidRPr="00904FCB">
        <w:rPr>
          <w:rFonts w:ascii="Times New Roman" w:hAnsi="Times New Roman"/>
          <w:sz w:val="27"/>
          <w:rtl/>
          <w:lang w:bidi="fa-IR"/>
        </w:rPr>
        <w:t xml:space="preserve"> </w:t>
      </w:r>
      <w:r w:rsidRPr="00904FCB">
        <w:rPr>
          <w:rFonts w:ascii="Times New Roman" w:hAnsi="Times New Roman" w:hint="cs"/>
          <w:sz w:val="27"/>
          <w:rtl/>
          <w:lang w:bidi="fa-IR"/>
        </w:rPr>
        <w:t>الدليل</w:t>
      </w:r>
      <w:r w:rsidRPr="00904FCB">
        <w:rPr>
          <w:rFonts w:ascii="Times New Roman" w:hAnsi="Times New Roman"/>
          <w:sz w:val="27"/>
          <w:rtl/>
          <w:lang w:bidi="fa-IR"/>
        </w:rPr>
        <w:t xml:space="preserve"> </w:t>
      </w:r>
      <w:r w:rsidRPr="00904FCB">
        <w:rPr>
          <w:rFonts w:ascii="Times New Roman" w:hAnsi="Times New Roman" w:hint="cs"/>
          <w:sz w:val="27"/>
          <w:rtl/>
          <w:lang w:bidi="fa-IR"/>
        </w:rPr>
        <w:t>المذكور، إلا</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ما</w:t>
      </w:r>
      <w:r w:rsidRPr="00904FCB">
        <w:rPr>
          <w:rFonts w:ascii="Times New Roman" w:hAnsi="Times New Roman"/>
          <w:sz w:val="27"/>
          <w:rtl/>
          <w:lang w:bidi="fa-IR"/>
        </w:rPr>
        <w:t xml:space="preserve"> </w:t>
      </w:r>
      <w:r w:rsidRPr="00904FCB">
        <w:rPr>
          <w:rFonts w:ascii="Times New Roman" w:hAnsi="Times New Roman" w:hint="cs"/>
          <w:sz w:val="27"/>
          <w:rtl/>
          <w:lang w:bidi="fa-IR"/>
        </w:rPr>
        <w:t>شذّ</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أمّا غا</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فهي ـ إضافة </w:t>
      </w:r>
      <w:r w:rsidR="00B95274"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التفريع</w:t>
      </w:r>
      <w:r w:rsidRPr="00904FCB">
        <w:rPr>
          <w:rFonts w:ascii="Times New Roman" w:hAnsi="Times New Roman"/>
          <w:sz w:val="27"/>
          <w:rtl/>
          <w:lang w:bidi="fa-IR"/>
        </w:rPr>
        <w:t xml:space="preserve"> </w:t>
      </w:r>
      <w:r w:rsidRPr="00904FCB">
        <w:rPr>
          <w:rFonts w:ascii="Times New Roman" w:hAnsi="Times New Roman" w:hint="cs"/>
          <w:sz w:val="27"/>
          <w:rtl/>
          <w:lang w:bidi="fa-IR"/>
        </w:rPr>
        <w:t>ـ</w:t>
      </w:r>
      <w:r w:rsidRPr="00904FCB">
        <w:rPr>
          <w:rFonts w:ascii="Times New Roman" w:hAnsi="Times New Roman"/>
          <w:sz w:val="27"/>
          <w:rtl/>
          <w:lang w:bidi="fa-IR"/>
        </w:rPr>
        <w:t xml:space="preserve"> </w:t>
      </w:r>
      <w:r w:rsidRPr="00904FCB">
        <w:rPr>
          <w:rFonts w:ascii="Times New Roman" w:hAnsi="Times New Roman" w:hint="cs"/>
          <w:sz w:val="27"/>
          <w:rtl/>
          <w:lang w:bidi="fa-IR"/>
        </w:rPr>
        <w:t>التطبيق، فهو</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أح</w:t>
      </w:r>
      <w:r w:rsidR="00B95274" w:rsidRPr="00904FCB">
        <w:rPr>
          <w:rFonts w:ascii="Times New Roman" w:hAnsi="Times New Roman" w:hint="cs"/>
          <w:sz w:val="27"/>
          <w:rtl/>
          <w:lang w:bidi="fa-IR"/>
        </w:rPr>
        <w:t>يان</w:t>
      </w:r>
      <w:r w:rsidRPr="00904FCB">
        <w:rPr>
          <w:rFonts w:ascii="Times New Roman" w:hAnsi="Times New Roman"/>
          <w:sz w:val="27"/>
          <w:rtl/>
          <w:lang w:bidi="fa-IR"/>
        </w:rPr>
        <w:t xml:space="preserve"> </w:t>
      </w:r>
      <w:r w:rsidRPr="00904FCB">
        <w:rPr>
          <w:rFonts w:ascii="Times New Roman" w:hAnsi="Times New Roman" w:hint="cs"/>
          <w:sz w:val="27"/>
          <w:rtl/>
          <w:lang w:bidi="fa-IR"/>
        </w:rPr>
        <w:t>كثيرة</w:t>
      </w:r>
      <w:r w:rsidRPr="00904FCB">
        <w:rPr>
          <w:rFonts w:ascii="Times New Roman" w:hAnsi="Times New Roman"/>
          <w:sz w:val="27"/>
          <w:rtl/>
          <w:lang w:bidi="fa-IR"/>
        </w:rPr>
        <w:t xml:space="preserve"> </w:t>
      </w:r>
      <w:r w:rsidRPr="00904FCB">
        <w:rPr>
          <w:rFonts w:ascii="Times New Roman" w:hAnsi="Times New Roman" w:hint="cs"/>
          <w:sz w:val="27"/>
          <w:rtl/>
          <w:lang w:bidi="fa-IR"/>
        </w:rPr>
        <w:t>يشير</w:t>
      </w:r>
      <w:r w:rsidRPr="00904FCB">
        <w:rPr>
          <w:rFonts w:ascii="Times New Roman" w:hAnsi="Times New Roman"/>
          <w:sz w:val="27"/>
          <w:rtl/>
          <w:lang w:bidi="fa-IR"/>
        </w:rPr>
        <w:t xml:space="preserve"> </w:t>
      </w:r>
      <w:r w:rsidR="00B95274"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المنهج</w:t>
      </w:r>
      <w:r w:rsidRPr="00904FCB">
        <w:rPr>
          <w:rFonts w:ascii="Times New Roman" w:hAnsi="Times New Roman"/>
          <w:sz w:val="27"/>
          <w:rtl/>
          <w:lang w:bidi="fa-IR"/>
        </w:rPr>
        <w:t xml:space="preserve"> </w:t>
      </w:r>
      <w:r w:rsidRPr="00904FCB">
        <w:rPr>
          <w:rFonts w:ascii="Times New Roman" w:hAnsi="Times New Roman" w:hint="cs"/>
          <w:sz w:val="27"/>
          <w:rtl/>
          <w:lang w:bidi="fa-IR"/>
        </w:rPr>
        <w:t>الاستدلالي</w:t>
      </w:r>
      <w:r w:rsidRPr="00904FCB">
        <w:rPr>
          <w:rFonts w:ascii="Times New Roman" w:hAnsi="Times New Roman"/>
          <w:sz w:val="27"/>
          <w:rtl/>
          <w:lang w:bidi="fa-IR"/>
        </w:rPr>
        <w:t xml:space="preserve"> </w:t>
      </w:r>
      <w:r w:rsidRPr="00904FCB">
        <w:rPr>
          <w:rFonts w:ascii="Times New Roman" w:hAnsi="Times New Roman" w:hint="cs"/>
          <w:sz w:val="27"/>
          <w:rtl/>
          <w:lang w:bidi="fa-IR"/>
        </w:rPr>
        <w:t>لتفريعه، ثم</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يسع</w:t>
      </w:r>
      <w:r w:rsidR="00B95274" w:rsidRPr="00904FCB">
        <w:rPr>
          <w:rFonts w:ascii="Times New Roman" w:hAnsi="Times New Roman" w:hint="cs"/>
          <w:sz w:val="27"/>
          <w:rtl/>
          <w:lang w:bidi="fa-IR"/>
        </w:rPr>
        <w:t>ى</w:t>
      </w:r>
      <w:r w:rsidRPr="00904FCB">
        <w:rPr>
          <w:rFonts w:ascii="Times New Roman" w:hAnsi="Times New Roman"/>
          <w:sz w:val="27"/>
          <w:rtl/>
          <w:lang w:bidi="fa-IR"/>
        </w:rPr>
        <w:t xml:space="preserve"> </w:t>
      </w:r>
      <w:r w:rsidR="00B95274" w:rsidRPr="00904FCB">
        <w:rPr>
          <w:rFonts w:ascii="Times New Roman" w:hAnsi="Times New Roman" w:hint="cs"/>
          <w:sz w:val="27"/>
          <w:rtl/>
          <w:lang w:bidi="fa-IR"/>
        </w:rPr>
        <w:t>ل</w:t>
      </w:r>
      <w:r w:rsidRPr="00904FCB">
        <w:rPr>
          <w:rFonts w:ascii="Times New Roman" w:hAnsi="Times New Roman" w:hint="cs"/>
          <w:sz w:val="27"/>
          <w:rtl/>
          <w:lang w:bidi="fa-IR"/>
        </w:rPr>
        <w:t>تطبيقه</w:t>
      </w:r>
      <w:r w:rsidRPr="00904FCB">
        <w:rPr>
          <w:rFonts w:ascii="Times New Roman" w:hAnsi="Times New Roman"/>
          <w:sz w:val="27"/>
          <w:rtl/>
          <w:lang w:bidi="fa-IR"/>
        </w:rPr>
        <w:t xml:space="preserve">. </w:t>
      </w:r>
    </w:p>
    <w:p w:rsidR="00057E24" w:rsidRPr="00904FCB" w:rsidRDefault="00057E24" w:rsidP="00510A75">
      <w:pPr>
        <w:spacing w:line="400" w:lineRule="exact"/>
        <w:rPr>
          <w:rFonts w:ascii="Times New Roman" w:hAnsi="Times New Roman"/>
          <w:sz w:val="27"/>
          <w:rtl/>
          <w:lang w:bidi="fa-IR"/>
        </w:rPr>
      </w:pPr>
      <w:r w:rsidRPr="00AD189E">
        <w:rPr>
          <w:rFonts w:ascii="Times New Roman" w:hAnsi="Times New Roman" w:hint="cs"/>
          <w:sz w:val="27"/>
          <w:rtl/>
          <w:lang w:bidi="ar-LB"/>
        </w:rPr>
        <w:t>6ـ</w:t>
      </w:r>
      <w:r w:rsidRPr="00904FCB">
        <w:rPr>
          <w:rFonts w:ascii="Times New Roman" w:hAnsi="Times New Roman" w:hint="cs"/>
          <w:sz w:val="27"/>
          <w:rtl/>
          <w:lang w:bidi="ar-LB"/>
        </w:rPr>
        <w:t xml:space="preserve"> </w:t>
      </w:r>
      <w:r w:rsidRPr="00904FCB">
        <w:rPr>
          <w:rFonts w:ascii="Times New Roman" w:hAnsi="Times New Roman"/>
          <w:sz w:val="27"/>
          <w:rtl/>
          <w:lang w:bidi="fa-IR"/>
        </w:rPr>
        <w:t>اهتمام الشهيد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با</w:t>
      </w:r>
      <w:r w:rsidR="00B95274" w:rsidRPr="00904FCB">
        <w:rPr>
          <w:rFonts w:ascii="Times New Roman" w:hAnsi="Times New Roman" w:hint="cs"/>
          <w:sz w:val="27"/>
          <w:rtl/>
          <w:lang w:bidi="fa-IR"/>
        </w:rPr>
        <w:t>ل</w:t>
      </w:r>
      <w:r w:rsidRPr="00904FCB">
        <w:rPr>
          <w:rFonts w:ascii="Times New Roman" w:hAnsi="Times New Roman"/>
          <w:sz w:val="27"/>
          <w:rtl/>
          <w:lang w:bidi="fa-IR"/>
        </w:rPr>
        <w:t>فروق اللغو</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للمصطلحات</w:t>
      </w:r>
      <w:r w:rsidRPr="00904FCB">
        <w:rPr>
          <w:rFonts w:ascii="Times New Roman" w:hAnsi="Times New Roman"/>
          <w:sz w:val="27"/>
          <w:rtl/>
          <w:lang w:bidi="fa-IR"/>
        </w:rPr>
        <w:t xml:space="preserve"> و</w:t>
      </w:r>
      <w:r w:rsidRPr="00904FCB">
        <w:rPr>
          <w:rFonts w:ascii="Times New Roman" w:hAnsi="Times New Roman" w:hint="cs"/>
          <w:sz w:val="27"/>
          <w:rtl/>
          <w:lang w:bidi="fa-IR"/>
        </w:rPr>
        <w:t>الألفاظ</w:t>
      </w:r>
      <w:r w:rsidRPr="00904FCB">
        <w:rPr>
          <w:rFonts w:ascii="Times New Roman" w:hAnsi="Times New Roman"/>
          <w:sz w:val="27"/>
          <w:rtl/>
          <w:lang w:bidi="fa-IR"/>
        </w:rPr>
        <w:t xml:space="preserve"> </w:t>
      </w:r>
      <w:r w:rsidRPr="00904FCB">
        <w:rPr>
          <w:rFonts w:ascii="Times New Roman" w:hAnsi="Times New Roman" w:hint="cs"/>
          <w:sz w:val="27"/>
          <w:rtl/>
          <w:lang w:bidi="fa-IR"/>
        </w:rPr>
        <w:t>الفق</w:t>
      </w:r>
      <w:r w:rsidRPr="00904FCB">
        <w:rPr>
          <w:rFonts w:ascii="Times New Roman" w:hAnsi="Times New Roman"/>
          <w:sz w:val="27"/>
          <w:rtl/>
          <w:lang w:bidi="fa-IR"/>
        </w:rPr>
        <w:t>هية، وب</w:t>
      </w:r>
      <w:r w:rsidRPr="00904FCB">
        <w:rPr>
          <w:rFonts w:ascii="Times New Roman" w:hAnsi="Times New Roman" w:hint="cs"/>
          <w:sz w:val="27"/>
          <w:rtl/>
          <w:lang w:bidi="fa-IR"/>
        </w:rPr>
        <w:t>يان</w:t>
      </w:r>
      <w:r w:rsidRPr="00904FCB">
        <w:rPr>
          <w:rFonts w:ascii="Times New Roman" w:hAnsi="Times New Roman"/>
          <w:sz w:val="27"/>
          <w:rtl/>
          <w:lang w:bidi="fa-IR"/>
        </w:rPr>
        <w:t xml:space="preserve"> </w:t>
      </w:r>
      <w:r w:rsidRPr="00904FCB">
        <w:rPr>
          <w:rFonts w:ascii="Times New Roman" w:hAnsi="Times New Roman" w:hint="cs"/>
          <w:sz w:val="27"/>
          <w:rtl/>
          <w:lang w:bidi="fa-IR"/>
        </w:rPr>
        <w:lastRenderedPageBreak/>
        <w:t>أ</w:t>
      </w:r>
      <w:r w:rsidRPr="00904FCB">
        <w:rPr>
          <w:rFonts w:ascii="Times New Roman" w:hAnsi="Times New Roman"/>
          <w:sz w:val="27"/>
          <w:rtl/>
          <w:lang w:bidi="fa-IR"/>
        </w:rPr>
        <w:t xml:space="preserve">وجه </w:t>
      </w:r>
      <w:r w:rsidRPr="00904FCB">
        <w:rPr>
          <w:rFonts w:ascii="Times New Roman" w:hAnsi="Times New Roman" w:hint="cs"/>
          <w:sz w:val="27"/>
          <w:rtl/>
          <w:lang w:bidi="fa-IR"/>
        </w:rPr>
        <w:t>الفرق</w:t>
      </w:r>
      <w:r w:rsidRPr="00904FCB">
        <w:rPr>
          <w:rFonts w:ascii="Times New Roman" w:hAnsi="Times New Roman"/>
          <w:sz w:val="27"/>
          <w:rtl/>
          <w:lang w:bidi="fa-IR"/>
        </w:rPr>
        <w:t xml:space="preserve"> ب</w:t>
      </w:r>
      <w:r w:rsidRPr="00904FCB">
        <w:rPr>
          <w:rFonts w:ascii="Times New Roman" w:hAnsi="Times New Roman" w:hint="cs"/>
          <w:sz w:val="27"/>
          <w:rtl/>
          <w:lang w:bidi="fa-IR"/>
        </w:rPr>
        <w:t>ينها، ومن</w:t>
      </w:r>
      <w:r w:rsidRPr="00904FCB">
        <w:rPr>
          <w:rFonts w:ascii="Times New Roman" w:hAnsi="Times New Roman"/>
          <w:sz w:val="27"/>
          <w:rtl/>
          <w:lang w:bidi="fa-IR"/>
        </w:rPr>
        <w:t xml:space="preserve"> </w:t>
      </w:r>
      <w:r w:rsidRPr="00904FCB">
        <w:rPr>
          <w:rFonts w:ascii="Times New Roman" w:hAnsi="Times New Roman" w:hint="cs"/>
          <w:sz w:val="27"/>
          <w:rtl/>
          <w:lang w:bidi="fa-IR"/>
        </w:rPr>
        <w:t>جملتها</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بحث الخبر والإنشاء</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ف</w:t>
      </w:r>
      <w:r w:rsidRPr="00904FCB">
        <w:rPr>
          <w:rFonts w:ascii="Times New Roman" w:hAnsi="Times New Roman" w:hint="cs"/>
          <w:sz w:val="27"/>
          <w:rtl/>
          <w:lang w:bidi="fa-IR"/>
        </w:rPr>
        <w:t>ي</w:t>
      </w:r>
      <w:r w:rsidRPr="00904FCB">
        <w:rPr>
          <w:rFonts w:ascii="Times New Roman" w:hAnsi="Times New Roman"/>
          <w:sz w:val="27"/>
          <w:rtl/>
          <w:lang w:bidi="fa-IR"/>
        </w:rPr>
        <w:t xml:space="preserve"> كتابه «التمهيد»</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ب</w:t>
      </w:r>
      <w:r w:rsidRPr="00904FCB">
        <w:rPr>
          <w:rFonts w:ascii="Times New Roman" w:hAnsi="Times New Roman" w:hint="cs"/>
          <w:sz w:val="27"/>
          <w:rtl/>
          <w:lang w:bidi="fa-IR"/>
        </w:rPr>
        <w:t>ينما</w:t>
      </w:r>
      <w:r w:rsidRPr="00904FCB">
        <w:rPr>
          <w:rFonts w:ascii="Times New Roman" w:hAnsi="Times New Roman"/>
          <w:sz w:val="27"/>
          <w:rtl/>
          <w:lang w:bidi="fa-IR"/>
        </w:rPr>
        <w:t xml:space="preserve"> لم </w:t>
      </w:r>
      <w:r w:rsidRPr="00904FCB">
        <w:rPr>
          <w:rFonts w:ascii="Times New Roman" w:hAnsi="Times New Roman" w:hint="cs"/>
          <w:sz w:val="27"/>
          <w:rtl/>
          <w:lang w:bidi="fa-IR"/>
        </w:rPr>
        <w:t>ي</w:t>
      </w:r>
      <w:r w:rsidR="00B95274" w:rsidRPr="00904FCB">
        <w:rPr>
          <w:rFonts w:ascii="Times New Roman" w:hAnsi="Times New Roman" w:hint="cs"/>
          <w:sz w:val="27"/>
          <w:rtl/>
          <w:lang w:bidi="fa-IR"/>
        </w:rPr>
        <w:t>ُ</w:t>
      </w:r>
      <w:r w:rsidRPr="00904FCB">
        <w:rPr>
          <w:rFonts w:ascii="Times New Roman" w:hAnsi="Times New Roman" w:hint="cs"/>
          <w:sz w:val="27"/>
          <w:rtl/>
          <w:lang w:bidi="fa-IR"/>
        </w:rPr>
        <w:t>ب</w:t>
      </w:r>
      <w:r w:rsidR="00B95274" w:rsidRPr="00904FCB">
        <w:rPr>
          <w:rFonts w:ascii="Times New Roman" w:hAnsi="Times New Roman" w:hint="cs"/>
          <w:sz w:val="27"/>
          <w:rtl/>
          <w:lang w:bidi="fa-IR"/>
        </w:rPr>
        <w:t>ْ</w:t>
      </w:r>
      <w:r w:rsidRPr="00904FCB">
        <w:rPr>
          <w:rFonts w:ascii="Times New Roman" w:hAnsi="Times New Roman" w:hint="cs"/>
          <w:sz w:val="27"/>
          <w:rtl/>
          <w:lang w:bidi="fa-IR"/>
        </w:rPr>
        <w:t>د</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00B95274" w:rsidRPr="00904FCB">
        <w:rPr>
          <w:rFonts w:ascii="Times New Roman" w:hAnsi="Times New Roman" w:hint="cs"/>
          <w:sz w:val="27"/>
          <w:rtl/>
          <w:lang w:bidi="fa-IR"/>
        </w:rPr>
        <w:t>الش</w:t>
      </w:r>
      <w:r w:rsidR="00B95274" w:rsidRPr="00904FCB">
        <w:rPr>
          <w:rFonts w:ascii="Times New Roman" w:hAnsi="Times New Roman"/>
          <w:sz w:val="27"/>
          <w:rtl/>
          <w:lang w:bidi="fa-IR"/>
        </w:rPr>
        <w:t xml:space="preserve">هيد الأول </w:t>
      </w:r>
      <w:r w:rsidRPr="00904FCB">
        <w:rPr>
          <w:rFonts w:ascii="Times New Roman" w:hAnsi="Times New Roman"/>
          <w:sz w:val="27"/>
          <w:rtl/>
          <w:lang w:bidi="fa-IR"/>
        </w:rPr>
        <w:t xml:space="preserve">اهتماماً </w:t>
      </w:r>
      <w:r w:rsidRPr="00904FCB">
        <w:rPr>
          <w:rFonts w:ascii="Times New Roman" w:hAnsi="Times New Roman" w:hint="cs"/>
          <w:sz w:val="27"/>
          <w:rtl/>
          <w:lang w:bidi="fa-IR"/>
        </w:rPr>
        <w:t>ك</w:t>
      </w:r>
      <w:r w:rsidR="00B95274" w:rsidRPr="00904FCB">
        <w:rPr>
          <w:rFonts w:ascii="Times New Roman" w:hAnsi="Times New Roman" w:hint="cs"/>
          <w:sz w:val="27"/>
          <w:rtl/>
          <w:lang w:bidi="fa-IR"/>
        </w:rPr>
        <w:t>الذي</w:t>
      </w:r>
      <w:r w:rsidRPr="00904FCB">
        <w:rPr>
          <w:rFonts w:ascii="Times New Roman" w:hAnsi="Times New Roman" w:hint="cs"/>
          <w:sz w:val="27"/>
          <w:rtl/>
          <w:lang w:bidi="fa-IR"/>
        </w:rPr>
        <w:t xml:space="preserve"> </w:t>
      </w:r>
      <w:r w:rsidRPr="00904FCB">
        <w:rPr>
          <w:rFonts w:ascii="Times New Roman" w:hAnsi="Times New Roman"/>
          <w:sz w:val="27"/>
          <w:rtl/>
          <w:lang w:bidi="fa-IR"/>
        </w:rPr>
        <w:t xml:space="preserve">أبداه </w:t>
      </w:r>
      <w:r w:rsidR="00B95274" w:rsidRPr="00904FCB">
        <w:rPr>
          <w:rFonts w:ascii="Times New Roman" w:hAnsi="Times New Roman" w:hint="cs"/>
          <w:sz w:val="27"/>
          <w:rtl/>
          <w:lang w:bidi="fa-IR"/>
        </w:rPr>
        <w:t xml:space="preserve">الشهيد </w:t>
      </w:r>
      <w:r w:rsidRPr="00904FCB">
        <w:rPr>
          <w:rFonts w:ascii="Times New Roman" w:hAnsi="Times New Roman"/>
          <w:sz w:val="27"/>
          <w:rtl/>
          <w:lang w:bidi="fa-IR"/>
        </w:rPr>
        <w:t>الثان</w:t>
      </w:r>
      <w:r w:rsidRPr="00904FCB">
        <w:rPr>
          <w:rFonts w:ascii="Times New Roman" w:hAnsi="Times New Roman" w:hint="cs"/>
          <w:sz w:val="27"/>
          <w:rtl/>
          <w:lang w:bidi="fa-IR"/>
        </w:rPr>
        <w:t>ي</w:t>
      </w:r>
      <w:r w:rsidR="00510A75" w:rsidRPr="00756F2A">
        <w:rPr>
          <w:rFonts w:ascii="Mosawi" w:hAnsi="Mosawi" w:cs="Mosawi"/>
          <w:sz w:val="22"/>
          <w:szCs w:val="22"/>
          <w:rtl/>
          <w:lang w:bidi="fa-IR"/>
        </w:rPr>
        <w:t>&amp;</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lang w:bidi="fa-IR"/>
        </w:rPr>
      </w:pPr>
      <w:r w:rsidRPr="00AD189E">
        <w:rPr>
          <w:rFonts w:ascii="Times New Roman" w:hAnsi="Times New Roman" w:hint="cs"/>
          <w:sz w:val="27"/>
          <w:rtl/>
          <w:lang w:bidi="ar-LB"/>
        </w:rPr>
        <w:t>7ـ</w:t>
      </w:r>
      <w:r w:rsidRPr="00904FCB">
        <w:rPr>
          <w:rFonts w:ascii="Times New Roman" w:hAnsi="Times New Roman" w:hint="cs"/>
          <w:sz w:val="27"/>
          <w:rtl/>
          <w:lang w:bidi="ar-LB"/>
        </w:rPr>
        <w:t xml:space="preserve"> </w:t>
      </w:r>
      <w:r w:rsidRPr="00904FCB">
        <w:rPr>
          <w:rFonts w:ascii="Times New Roman" w:hAnsi="Times New Roman"/>
          <w:sz w:val="27"/>
          <w:rtl/>
          <w:lang w:bidi="fa-IR"/>
        </w:rPr>
        <w:t xml:space="preserve">لم </w:t>
      </w:r>
      <w:r w:rsidRPr="00904FCB">
        <w:rPr>
          <w:rFonts w:ascii="Times New Roman" w:hAnsi="Times New Roman" w:hint="cs"/>
          <w:sz w:val="27"/>
          <w:rtl/>
          <w:lang w:bidi="fa-IR"/>
        </w:rPr>
        <w:t>ي</w:t>
      </w:r>
      <w:r w:rsidR="00B95274" w:rsidRPr="00904FCB">
        <w:rPr>
          <w:rFonts w:ascii="Times New Roman" w:hAnsi="Times New Roman" w:hint="cs"/>
          <w:sz w:val="27"/>
          <w:rtl/>
          <w:lang w:bidi="fa-IR"/>
        </w:rPr>
        <w:t>َ</w:t>
      </w:r>
      <w:r w:rsidRPr="00904FCB">
        <w:rPr>
          <w:rFonts w:ascii="Times New Roman" w:hAnsi="Times New Roman" w:hint="cs"/>
          <w:sz w:val="27"/>
          <w:rtl/>
          <w:lang w:bidi="fa-IR"/>
        </w:rPr>
        <w:t>س</w:t>
      </w:r>
      <w:r w:rsidR="00B95274" w:rsidRPr="00904FCB">
        <w:rPr>
          <w:rFonts w:ascii="Times New Roman" w:hAnsi="Times New Roman" w:hint="cs"/>
          <w:sz w:val="27"/>
          <w:rtl/>
          <w:lang w:bidi="fa-IR"/>
        </w:rPr>
        <w:t>ْ</w:t>
      </w:r>
      <w:r w:rsidRPr="00904FCB">
        <w:rPr>
          <w:rFonts w:ascii="Times New Roman" w:hAnsi="Times New Roman" w:hint="cs"/>
          <w:sz w:val="27"/>
          <w:rtl/>
          <w:lang w:bidi="fa-IR"/>
        </w:rPr>
        <w:t>ع</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 xml:space="preserve">هيد الأول </w:t>
      </w:r>
      <w:r w:rsidR="00B95274"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فصل</w:t>
      </w:r>
      <w:r w:rsidRPr="00904FCB">
        <w:rPr>
          <w:rFonts w:ascii="Times New Roman" w:hAnsi="Times New Roman"/>
          <w:sz w:val="27"/>
          <w:rtl/>
          <w:lang w:bidi="fa-IR"/>
        </w:rPr>
        <w:t xml:space="preserve"> </w:t>
      </w:r>
      <w:r w:rsidRPr="00904FCB">
        <w:rPr>
          <w:rFonts w:ascii="Times New Roman" w:hAnsi="Times New Roman" w:hint="cs"/>
          <w:sz w:val="27"/>
          <w:rtl/>
          <w:lang w:bidi="fa-IR"/>
        </w:rPr>
        <w:t>القواعد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الأصولية</w:t>
      </w:r>
      <w:r w:rsidRPr="00904FCB">
        <w:rPr>
          <w:rFonts w:ascii="Times New Roman" w:hAnsi="Times New Roman"/>
          <w:sz w:val="27"/>
          <w:rtl/>
          <w:lang w:bidi="fa-IR"/>
        </w:rPr>
        <w:t xml:space="preserve"> </w:t>
      </w:r>
      <w:r w:rsidRPr="00904FCB">
        <w:rPr>
          <w:rFonts w:ascii="Times New Roman" w:hAnsi="Times New Roman" w:hint="cs"/>
          <w:sz w:val="27"/>
          <w:rtl/>
          <w:lang w:bidi="fa-IR"/>
        </w:rPr>
        <w:t>عن</w:t>
      </w:r>
      <w:r w:rsidRPr="00904FCB">
        <w:rPr>
          <w:rFonts w:ascii="Times New Roman" w:hAnsi="Times New Roman"/>
          <w:sz w:val="27"/>
          <w:rtl/>
          <w:lang w:bidi="fa-IR"/>
        </w:rPr>
        <w:t xml:space="preserve"> </w:t>
      </w:r>
      <w:r w:rsidRPr="00904FCB">
        <w:rPr>
          <w:rFonts w:ascii="Times New Roman" w:hAnsi="Times New Roman" w:hint="cs"/>
          <w:sz w:val="27"/>
          <w:rtl/>
          <w:lang w:bidi="fa-IR"/>
        </w:rPr>
        <w:t>القواعد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الأدبية</w:t>
      </w:r>
      <w:r w:rsidR="00B95274" w:rsidRPr="00904FCB">
        <w:rPr>
          <w:rFonts w:ascii="Times New Roman" w:hAnsi="Times New Roman" w:hint="cs"/>
          <w:sz w:val="27"/>
          <w:rtl/>
          <w:lang w:bidi="fa-IR"/>
        </w:rPr>
        <w:t>؛</w:t>
      </w:r>
      <w:r w:rsidRPr="00904FCB">
        <w:rPr>
          <w:rFonts w:ascii="Times New Roman" w:hAnsi="Times New Roman" w:hint="cs"/>
          <w:sz w:val="27"/>
          <w:rtl/>
          <w:lang w:bidi="fa-IR"/>
        </w:rPr>
        <w:t xml:space="preserve"> بخلاف</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الذ</w:t>
      </w:r>
      <w:r w:rsidRPr="00904FCB">
        <w:rPr>
          <w:rFonts w:ascii="Times New Roman" w:hAnsi="Times New Roman" w:hint="cs"/>
          <w:sz w:val="27"/>
          <w:rtl/>
          <w:lang w:bidi="fa-IR"/>
        </w:rPr>
        <w:t>ي</w:t>
      </w:r>
      <w:r w:rsidRPr="00904FCB">
        <w:rPr>
          <w:rFonts w:ascii="Times New Roman" w:hAnsi="Times New Roman"/>
          <w:sz w:val="27"/>
          <w:rtl/>
          <w:lang w:bidi="fa-IR"/>
        </w:rPr>
        <w:t xml:space="preserve"> فرّق ب</w:t>
      </w:r>
      <w:r w:rsidRPr="00904FCB">
        <w:rPr>
          <w:rFonts w:ascii="Times New Roman" w:hAnsi="Times New Roman" w:hint="cs"/>
          <w:sz w:val="27"/>
          <w:rtl/>
          <w:lang w:bidi="fa-IR"/>
        </w:rPr>
        <w:t>ينها، فجعل</w:t>
      </w:r>
      <w:r w:rsidRPr="00904FCB">
        <w:rPr>
          <w:rFonts w:ascii="Times New Roman" w:hAnsi="Times New Roman"/>
          <w:sz w:val="27"/>
          <w:rtl/>
          <w:lang w:bidi="fa-IR"/>
        </w:rPr>
        <w:t xml:space="preserve"> </w:t>
      </w:r>
      <w:r w:rsidRPr="00904FCB">
        <w:rPr>
          <w:rFonts w:ascii="Times New Roman" w:hAnsi="Times New Roman" w:hint="cs"/>
          <w:sz w:val="27"/>
          <w:rtl/>
          <w:lang w:bidi="fa-IR"/>
        </w:rPr>
        <w:t>القسم</w:t>
      </w:r>
      <w:r w:rsidRPr="00904FCB">
        <w:rPr>
          <w:rFonts w:ascii="Times New Roman" w:hAnsi="Times New Roman"/>
          <w:sz w:val="27"/>
          <w:rtl/>
          <w:lang w:bidi="fa-IR"/>
        </w:rPr>
        <w:t xml:space="preserve"> </w:t>
      </w:r>
      <w:r w:rsidRPr="00904FCB">
        <w:rPr>
          <w:rFonts w:ascii="Times New Roman" w:hAnsi="Times New Roman" w:hint="cs"/>
          <w:sz w:val="27"/>
          <w:rtl/>
          <w:lang w:bidi="fa-IR"/>
        </w:rPr>
        <w:t>الأو</w:t>
      </w:r>
      <w:r w:rsidR="00B95274" w:rsidRPr="00904FCB">
        <w:rPr>
          <w:rFonts w:ascii="Times New Roman" w:hAnsi="Times New Roman" w:hint="cs"/>
          <w:sz w:val="27"/>
          <w:rtl/>
          <w:lang w:bidi="fa-IR"/>
        </w:rPr>
        <w:t>ّ</w:t>
      </w:r>
      <w:r w:rsidRPr="00904FCB">
        <w:rPr>
          <w:rFonts w:ascii="Times New Roman" w:hAnsi="Times New Roman" w:hint="cs"/>
          <w:sz w:val="27"/>
          <w:rtl/>
          <w:lang w:bidi="fa-IR"/>
        </w:rPr>
        <w:t>ل</w:t>
      </w:r>
      <w:r w:rsidRPr="00904FCB">
        <w:rPr>
          <w:rFonts w:ascii="Times New Roman" w:hAnsi="Times New Roman"/>
          <w:sz w:val="27"/>
          <w:rtl/>
          <w:lang w:bidi="fa-IR"/>
        </w:rPr>
        <w:t xml:space="preserve"> </w:t>
      </w:r>
      <w:r w:rsidRPr="00904FCB">
        <w:rPr>
          <w:rFonts w:ascii="Times New Roman" w:hAnsi="Times New Roman" w:hint="cs"/>
          <w:sz w:val="27"/>
          <w:rtl/>
          <w:lang w:bidi="fa-IR"/>
        </w:rPr>
        <w:t>يتصدّ</w:t>
      </w:r>
      <w:r w:rsidR="00B95274" w:rsidRPr="00904FCB">
        <w:rPr>
          <w:rFonts w:ascii="Times New Roman" w:hAnsi="Times New Roman" w:hint="cs"/>
          <w:sz w:val="27"/>
          <w:rtl/>
          <w:lang w:bidi="fa-IR"/>
        </w:rPr>
        <w:t>ى</w:t>
      </w:r>
      <w:r w:rsidRPr="00904FCB">
        <w:rPr>
          <w:rFonts w:ascii="Times New Roman" w:hAnsi="Times New Roman"/>
          <w:sz w:val="27"/>
          <w:rtl/>
          <w:lang w:bidi="fa-IR"/>
        </w:rPr>
        <w:t xml:space="preserve"> للقواعد الأصول</w:t>
      </w:r>
      <w:r w:rsidRPr="00904FCB">
        <w:rPr>
          <w:rFonts w:ascii="Times New Roman" w:hAnsi="Times New Roman" w:hint="cs"/>
          <w:sz w:val="27"/>
          <w:rtl/>
          <w:lang w:bidi="fa-IR"/>
        </w:rPr>
        <w:t>ية، والقسم</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00B95274" w:rsidRPr="00904FCB">
        <w:rPr>
          <w:rFonts w:ascii="Times New Roman" w:hAnsi="Times New Roman" w:hint="cs"/>
          <w:sz w:val="27"/>
          <w:rtl/>
          <w:lang w:bidi="fa-IR"/>
        </w:rPr>
        <w:t>آ</w:t>
      </w:r>
      <w:r w:rsidRPr="00904FCB">
        <w:rPr>
          <w:rFonts w:ascii="Times New Roman" w:hAnsi="Times New Roman" w:hint="cs"/>
          <w:sz w:val="27"/>
          <w:rtl/>
          <w:lang w:bidi="fa-IR"/>
        </w:rPr>
        <w:t>خر</w:t>
      </w:r>
      <w:r w:rsidRPr="00904FCB">
        <w:rPr>
          <w:rFonts w:ascii="Times New Roman" w:hAnsi="Times New Roman"/>
          <w:sz w:val="27"/>
          <w:rtl/>
          <w:lang w:bidi="fa-IR"/>
        </w:rPr>
        <w:t xml:space="preserve"> </w:t>
      </w:r>
      <w:r w:rsidRPr="00904FCB">
        <w:rPr>
          <w:rFonts w:ascii="Times New Roman" w:hAnsi="Times New Roman" w:hint="cs"/>
          <w:sz w:val="27"/>
          <w:rtl/>
          <w:lang w:bidi="fa-IR"/>
        </w:rPr>
        <w:t>يتعرّض</w:t>
      </w:r>
      <w:r w:rsidRPr="00904FCB">
        <w:rPr>
          <w:rFonts w:ascii="Times New Roman" w:hAnsi="Times New Roman"/>
          <w:sz w:val="27"/>
          <w:rtl/>
          <w:lang w:bidi="fa-IR"/>
        </w:rPr>
        <w:t xml:space="preserve"> </w:t>
      </w:r>
      <w:r w:rsidRPr="00904FCB">
        <w:rPr>
          <w:rFonts w:ascii="Times New Roman" w:hAnsi="Times New Roman" w:hint="cs"/>
          <w:sz w:val="27"/>
          <w:rtl/>
          <w:lang w:bidi="fa-IR"/>
        </w:rPr>
        <w:t>للقواعد</w:t>
      </w:r>
      <w:r w:rsidRPr="00904FCB">
        <w:rPr>
          <w:rFonts w:ascii="Times New Roman" w:hAnsi="Times New Roman"/>
          <w:sz w:val="27"/>
          <w:rtl/>
          <w:lang w:bidi="fa-IR"/>
        </w:rPr>
        <w:t xml:space="preserve"> </w:t>
      </w:r>
      <w:r w:rsidRPr="00904FCB">
        <w:rPr>
          <w:rFonts w:ascii="Times New Roman" w:hAnsi="Times New Roman" w:hint="cs"/>
          <w:sz w:val="27"/>
          <w:rtl/>
          <w:lang w:bidi="fa-IR"/>
        </w:rPr>
        <w:t>الأدبية</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AD189E">
        <w:rPr>
          <w:rFonts w:ascii="Times New Roman" w:hAnsi="Times New Roman" w:hint="cs"/>
          <w:sz w:val="27"/>
          <w:rtl/>
          <w:lang w:bidi="ar-LB"/>
        </w:rPr>
        <w:t>8ـ</w:t>
      </w:r>
      <w:r w:rsidRPr="00904FCB">
        <w:rPr>
          <w:rFonts w:ascii="Times New Roman" w:hAnsi="Times New Roman" w:hint="cs"/>
          <w:sz w:val="27"/>
          <w:rtl/>
          <w:lang w:bidi="ar-LB"/>
        </w:rPr>
        <w:t xml:space="preserve"> </w:t>
      </w:r>
      <w:r w:rsidRPr="00904FCB">
        <w:rPr>
          <w:rFonts w:ascii="Times New Roman" w:hAnsi="Times New Roman"/>
          <w:sz w:val="27"/>
          <w:rtl/>
          <w:lang w:bidi="fa-IR"/>
        </w:rPr>
        <w:t>مراعاة الشهيد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لمسألة تقر</w:t>
      </w:r>
      <w:r w:rsidRPr="00904FCB">
        <w:rPr>
          <w:rFonts w:ascii="Times New Roman" w:hAnsi="Times New Roman" w:hint="cs"/>
          <w:sz w:val="27"/>
          <w:rtl/>
          <w:lang w:bidi="fa-IR"/>
        </w:rPr>
        <w:t>ير</w:t>
      </w:r>
      <w:r w:rsidRPr="00904FCB">
        <w:rPr>
          <w:rFonts w:ascii="Times New Roman" w:hAnsi="Times New Roman"/>
          <w:sz w:val="27"/>
          <w:rtl/>
          <w:lang w:bidi="fa-IR"/>
        </w:rPr>
        <w:t xml:space="preserve"> </w:t>
      </w:r>
      <w:r w:rsidRPr="00904FCB">
        <w:rPr>
          <w:rFonts w:ascii="Times New Roman" w:hAnsi="Times New Roman" w:hint="cs"/>
          <w:sz w:val="27"/>
          <w:rtl/>
          <w:lang w:bidi="fa-IR"/>
        </w:rPr>
        <w:t>محل</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النزاع</w:t>
      </w:r>
      <w:r w:rsidRPr="00904FCB">
        <w:rPr>
          <w:rFonts w:ascii="Times New Roman" w:hAnsi="Times New Roman"/>
          <w:sz w:val="27"/>
          <w:rtl/>
          <w:lang w:bidi="fa-IR"/>
        </w:rPr>
        <w:t xml:space="preserve"> </w:t>
      </w:r>
      <w:r w:rsidRPr="00904FCB">
        <w:rPr>
          <w:rFonts w:ascii="Times New Roman" w:hAnsi="Times New Roman" w:hint="cs"/>
          <w:sz w:val="27"/>
          <w:rtl/>
          <w:lang w:bidi="fa-IR"/>
        </w:rPr>
        <w:t>أولاً</w:t>
      </w:r>
      <w:r w:rsidRPr="00904FCB">
        <w:rPr>
          <w:rFonts w:ascii="Times New Roman" w:hAnsi="Times New Roman"/>
          <w:sz w:val="27"/>
          <w:rtl/>
          <w:lang w:bidi="fa-IR"/>
        </w:rPr>
        <w:t xml:space="preserve"> </w:t>
      </w:r>
      <w:r w:rsidRPr="00904FCB">
        <w:rPr>
          <w:rFonts w:ascii="Times New Roman" w:hAnsi="Times New Roman" w:hint="cs"/>
          <w:sz w:val="27"/>
          <w:rtl/>
          <w:lang w:bidi="fa-IR"/>
        </w:rPr>
        <w:t>قبل</w:t>
      </w:r>
      <w:r w:rsidRPr="00904FCB">
        <w:rPr>
          <w:rFonts w:ascii="Times New Roman" w:hAnsi="Times New Roman"/>
          <w:sz w:val="27"/>
          <w:rtl/>
          <w:lang w:bidi="fa-IR"/>
        </w:rPr>
        <w:t xml:space="preserve"> </w:t>
      </w:r>
      <w:r w:rsidRPr="00904FCB">
        <w:rPr>
          <w:rFonts w:ascii="Times New Roman" w:hAnsi="Times New Roman" w:hint="cs"/>
          <w:sz w:val="27"/>
          <w:rtl/>
          <w:lang w:bidi="fa-IR"/>
        </w:rPr>
        <w:t>الشروع</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البحث، كما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القاعدة</w:t>
      </w:r>
      <w:r w:rsidRPr="00904FCB">
        <w:rPr>
          <w:rFonts w:ascii="Times New Roman" w:hAnsi="Times New Roman"/>
          <w:sz w:val="27"/>
          <w:rtl/>
          <w:lang w:bidi="fa-IR"/>
        </w:rPr>
        <w:t xml:space="preserve"> (</w:t>
      </w:r>
      <w:r w:rsidRPr="00AD189E">
        <w:rPr>
          <w:rFonts w:ascii="Times New Roman" w:hAnsi="Times New Roman" w:hint="cs"/>
          <w:sz w:val="27"/>
          <w:rtl/>
          <w:lang w:bidi="ar-LB"/>
        </w:rPr>
        <w:t>52</w:t>
      </w:r>
      <w:r w:rsidRPr="00904FCB">
        <w:rPr>
          <w:rFonts w:ascii="Times New Roman" w:hAnsi="Times New Roman"/>
          <w:sz w:val="27"/>
          <w:rtl/>
          <w:lang w:bidi="fa-IR"/>
        </w:rPr>
        <w:t>)</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حيث</w:t>
      </w:r>
      <w:r w:rsidRPr="00904FCB">
        <w:rPr>
          <w:rFonts w:ascii="Times New Roman" w:hAnsi="Times New Roman"/>
          <w:sz w:val="27"/>
          <w:rtl/>
          <w:lang w:bidi="fa-IR"/>
        </w:rPr>
        <w:t xml:space="preserve"> </w:t>
      </w:r>
      <w:r w:rsidRPr="00904FCB">
        <w:rPr>
          <w:rFonts w:ascii="Times New Roman" w:hAnsi="Times New Roman" w:hint="cs"/>
          <w:sz w:val="27"/>
          <w:rtl/>
          <w:lang w:bidi="fa-IR"/>
        </w:rPr>
        <w:t>أطنب</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تقريره</w:t>
      </w:r>
      <w:r w:rsidR="00B95274" w:rsidRPr="00904FCB">
        <w:rPr>
          <w:rFonts w:ascii="Times New Roman" w:hAnsi="Times New Roman" w:hint="cs"/>
          <w:sz w:val="27"/>
          <w:rtl/>
          <w:lang w:bidi="fa-IR"/>
        </w:rPr>
        <w:t>؛</w:t>
      </w:r>
      <w:r w:rsidRPr="00904FCB">
        <w:rPr>
          <w:rFonts w:ascii="Times New Roman" w:hAnsi="Times New Roman" w:hint="cs"/>
          <w:sz w:val="27"/>
          <w:rtl/>
          <w:lang w:bidi="fa-IR"/>
        </w:rPr>
        <w:t xml:space="preserve"> بينما</w:t>
      </w:r>
      <w:r w:rsidRPr="00904FCB">
        <w:rPr>
          <w:rFonts w:ascii="Times New Roman" w:hAnsi="Times New Roman"/>
          <w:sz w:val="27"/>
          <w:rtl/>
          <w:lang w:bidi="fa-IR"/>
        </w:rPr>
        <w:t xml:space="preserve"> </w:t>
      </w:r>
      <w:r w:rsidRPr="00904FCB">
        <w:rPr>
          <w:rFonts w:ascii="Times New Roman" w:hAnsi="Times New Roman" w:hint="cs"/>
          <w:sz w:val="27"/>
          <w:rtl/>
          <w:lang w:bidi="fa-IR"/>
        </w:rPr>
        <w:t>لم</w:t>
      </w:r>
      <w:r w:rsidRPr="00904FCB">
        <w:rPr>
          <w:rFonts w:ascii="Times New Roman" w:hAnsi="Times New Roman"/>
          <w:sz w:val="27"/>
          <w:rtl/>
          <w:lang w:bidi="fa-IR"/>
        </w:rPr>
        <w:t xml:space="preserve"> </w:t>
      </w:r>
      <w:r w:rsidRPr="00904FCB">
        <w:rPr>
          <w:rFonts w:ascii="Times New Roman" w:hAnsi="Times New Roman" w:hint="cs"/>
          <w:sz w:val="27"/>
          <w:rtl/>
          <w:lang w:bidi="fa-IR"/>
        </w:rPr>
        <w:t>ي</w:t>
      </w:r>
      <w:r w:rsidR="00B95274" w:rsidRPr="00904FCB">
        <w:rPr>
          <w:rFonts w:ascii="Times New Roman" w:hAnsi="Times New Roman" w:hint="cs"/>
          <w:sz w:val="27"/>
          <w:rtl/>
          <w:lang w:bidi="fa-IR"/>
        </w:rPr>
        <w:t>ُ</w:t>
      </w:r>
      <w:r w:rsidRPr="00904FCB">
        <w:rPr>
          <w:rFonts w:ascii="Times New Roman" w:hAnsi="Times New Roman" w:hint="cs"/>
          <w:sz w:val="27"/>
          <w:rtl/>
          <w:lang w:bidi="fa-IR"/>
        </w:rPr>
        <w:t>ب</w:t>
      </w:r>
      <w:r w:rsidR="00B95274" w:rsidRPr="00904FCB">
        <w:rPr>
          <w:rFonts w:ascii="Times New Roman" w:hAnsi="Times New Roman" w:hint="cs"/>
          <w:sz w:val="27"/>
          <w:rtl/>
          <w:lang w:bidi="fa-IR"/>
        </w:rPr>
        <w:t>ْ</w:t>
      </w:r>
      <w:r w:rsidRPr="00904FCB">
        <w:rPr>
          <w:rFonts w:ascii="Times New Roman" w:hAnsi="Times New Roman" w:hint="cs"/>
          <w:sz w:val="27"/>
          <w:rtl/>
          <w:lang w:bidi="fa-IR"/>
        </w:rPr>
        <w:t>د</w:t>
      </w:r>
      <w:r w:rsidR="00B95274"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 xml:space="preserve">هيد الأول اهتماماً بهذا الشأن. </w:t>
      </w:r>
    </w:p>
    <w:p w:rsidR="00057E24" w:rsidRPr="00904FCB" w:rsidRDefault="00057E24" w:rsidP="007A21AA">
      <w:pPr>
        <w:spacing w:line="400" w:lineRule="exact"/>
        <w:rPr>
          <w:rFonts w:ascii="Times New Roman" w:hAnsi="Times New Roman"/>
          <w:sz w:val="27"/>
          <w:lang w:bidi="fa-IR"/>
        </w:rPr>
      </w:pPr>
    </w:p>
    <w:p w:rsidR="00057E24" w:rsidRPr="00904FCB" w:rsidRDefault="00057E24" w:rsidP="007A21AA">
      <w:pPr>
        <w:pStyle w:val="31"/>
        <w:spacing w:line="400" w:lineRule="exact"/>
        <w:rPr>
          <w:color w:val="auto"/>
          <w:rtl/>
          <w:lang w:bidi="fa-IR"/>
        </w:rPr>
      </w:pPr>
      <w:r w:rsidRPr="00904FCB">
        <w:rPr>
          <w:color w:val="auto"/>
          <w:rtl/>
          <w:lang w:bidi="fa-IR"/>
        </w:rPr>
        <w:t>بعض أفكاره ف</w:t>
      </w:r>
      <w:r w:rsidRPr="00904FCB">
        <w:rPr>
          <w:rFonts w:hint="cs"/>
          <w:color w:val="auto"/>
          <w:rtl/>
          <w:lang w:bidi="fa-IR"/>
        </w:rPr>
        <w:t>ي</w:t>
      </w:r>
      <w:r w:rsidRPr="00904FCB">
        <w:rPr>
          <w:color w:val="auto"/>
          <w:rtl/>
          <w:lang w:bidi="fa-IR"/>
        </w:rPr>
        <w:t xml:space="preserve"> أصول الفقه</w:t>
      </w:r>
    </w:p>
    <w:p w:rsidR="00057E24" w:rsidRPr="00904FCB" w:rsidRDefault="00057E24" w:rsidP="007A21AA">
      <w:pPr>
        <w:pStyle w:val="31"/>
        <w:spacing w:line="400" w:lineRule="exact"/>
        <w:rPr>
          <w:color w:val="auto"/>
          <w:rtl/>
          <w:lang w:bidi="fa-IR"/>
        </w:rPr>
      </w:pPr>
      <w:r w:rsidRPr="00B769C0">
        <w:rPr>
          <w:rFonts w:hint="cs"/>
          <w:color w:val="auto"/>
          <w:rtl/>
          <w:lang w:bidi="ar-LB"/>
        </w:rPr>
        <w:t xml:space="preserve">1ـ </w:t>
      </w:r>
      <w:r w:rsidRPr="00B769C0">
        <w:rPr>
          <w:color w:val="auto"/>
          <w:rtl/>
          <w:lang w:bidi="fa-IR"/>
        </w:rPr>
        <w:t>الحد</w:t>
      </w:r>
      <w:r w:rsidR="00B95274" w:rsidRPr="00B769C0">
        <w:rPr>
          <w:rFonts w:hint="cs"/>
          <w:color w:val="auto"/>
          <w:rtl/>
          <w:lang w:bidi="fa-IR"/>
        </w:rPr>
        <w:t>ّ</w:t>
      </w:r>
      <w:r w:rsidRPr="00904FCB">
        <w:rPr>
          <w:color w:val="auto"/>
          <w:rtl/>
          <w:lang w:bidi="fa-IR"/>
        </w:rPr>
        <w:t xml:space="preserve"> الأقلّ والأكثر من الد</w:t>
      </w:r>
      <w:r w:rsidRPr="00904FCB">
        <w:rPr>
          <w:rFonts w:hint="cs"/>
          <w:color w:val="auto"/>
          <w:rtl/>
          <w:lang w:bidi="fa-IR"/>
        </w:rPr>
        <w:t>ين</w:t>
      </w:r>
      <w:r w:rsidRPr="00904FCB">
        <w:rPr>
          <w:color w:val="auto"/>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من البحوث المهمّة الت</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يطرحها</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ضمن</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القاعدة </w:t>
      </w:r>
      <w:r w:rsidRPr="006333E0">
        <w:rPr>
          <w:rFonts w:ascii="Times New Roman" w:hAnsi="Times New Roman" w:cs="Ya-Ali" w:hint="cs"/>
          <w:sz w:val="27"/>
          <w:rtl/>
          <w:lang w:bidi="ar-LB"/>
        </w:rPr>
        <w:t>87</w:t>
      </w:r>
      <w:r w:rsidRPr="00904FCB">
        <w:rPr>
          <w:rFonts w:ascii="Times New Roman" w:hAnsi="Times New Roman"/>
          <w:sz w:val="27"/>
          <w:rtl/>
          <w:lang w:bidi="fa-IR"/>
        </w:rPr>
        <w:t xml:space="preserve">) </w:t>
      </w:r>
      <w:r w:rsidRPr="00904FCB">
        <w:rPr>
          <w:rFonts w:ascii="Times New Roman" w:hAnsi="Times New Roman" w:hint="cs"/>
          <w:sz w:val="27"/>
          <w:rtl/>
          <w:lang w:bidi="fa-IR"/>
        </w:rPr>
        <w:t>كون</w:t>
      </w:r>
      <w:r w:rsidRPr="00904FCB">
        <w:rPr>
          <w:rFonts w:ascii="Times New Roman" w:hAnsi="Times New Roman"/>
          <w:sz w:val="27"/>
          <w:rtl/>
          <w:lang w:bidi="fa-IR"/>
        </w:rPr>
        <w:t xml:space="preserve"> </w:t>
      </w:r>
      <w:r w:rsidRPr="00904FCB">
        <w:rPr>
          <w:rFonts w:ascii="Times New Roman" w:hAnsi="Times New Roman" w:hint="cs"/>
          <w:sz w:val="27"/>
          <w:rtl/>
          <w:lang w:bidi="fa-IR"/>
        </w:rPr>
        <w:t>جميع</w:t>
      </w:r>
      <w:r w:rsidRPr="00904FCB">
        <w:rPr>
          <w:rFonts w:ascii="Times New Roman" w:hAnsi="Times New Roman"/>
          <w:sz w:val="27"/>
          <w:rtl/>
          <w:lang w:bidi="fa-IR"/>
        </w:rPr>
        <w:t xml:space="preserve"> </w:t>
      </w:r>
      <w:r w:rsidRPr="00904FCB">
        <w:rPr>
          <w:rFonts w:ascii="Times New Roman" w:hAnsi="Times New Roman" w:hint="cs"/>
          <w:sz w:val="27"/>
          <w:rtl/>
          <w:lang w:bidi="fa-IR"/>
        </w:rPr>
        <w:t>أفعال</w:t>
      </w:r>
      <w:r w:rsidRPr="00904FCB">
        <w:rPr>
          <w:rFonts w:ascii="Times New Roman" w:hAnsi="Times New Roman"/>
          <w:sz w:val="27"/>
          <w:rtl/>
          <w:lang w:bidi="fa-IR"/>
        </w:rPr>
        <w:t xml:space="preserve"> </w:t>
      </w:r>
      <w:r w:rsidRPr="00904FCB">
        <w:rPr>
          <w:rFonts w:ascii="Times New Roman" w:hAnsi="Times New Roman" w:hint="cs"/>
          <w:sz w:val="27"/>
          <w:rtl/>
          <w:lang w:bidi="fa-IR"/>
        </w:rPr>
        <w:t>النبي</w:t>
      </w:r>
      <w:r w:rsidR="00495EE0" w:rsidRPr="00904FCB">
        <w:rPr>
          <w:rFonts w:ascii="Times New Roman" w:hAnsi="Times New Roman" w:hint="cs"/>
          <w:sz w:val="27"/>
          <w:rtl/>
          <w:lang w:bidi="fa-IR"/>
        </w:rPr>
        <w:t>ّ</w:t>
      </w:r>
      <w:r w:rsidR="00635E51" w:rsidRPr="00904FCB">
        <w:rPr>
          <w:rFonts w:ascii="Times New Roman" w:hAnsi="Times New Roman" w:cs="Mosawi"/>
          <w:sz w:val="27"/>
          <w:szCs w:val="22"/>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حج</w:t>
      </w:r>
      <w:r w:rsidR="00495EE0" w:rsidRPr="00904FCB">
        <w:rPr>
          <w:rFonts w:ascii="Times New Roman" w:hAnsi="Times New Roman" w:hint="cs"/>
          <w:sz w:val="27"/>
          <w:rtl/>
          <w:lang w:bidi="fa-IR"/>
        </w:rPr>
        <w:t>ّ</w:t>
      </w:r>
      <w:r w:rsidRPr="00904FCB">
        <w:rPr>
          <w:rFonts w:ascii="Times New Roman" w:hAnsi="Times New Roman" w:hint="cs"/>
          <w:sz w:val="27"/>
          <w:rtl/>
          <w:lang w:bidi="fa-IR"/>
        </w:rPr>
        <w:t>ة، إلا</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ما</w:t>
      </w:r>
      <w:r w:rsidRPr="00904FCB">
        <w:rPr>
          <w:rFonts w:ascii="Times New Roman" w:hAnsi="Times New Roman"/>
          <w:sz w:val="27"/>
          <w:rtl/>
          <w:lang w:bidi="fa-IR"/>
        </w:rPr>
        <w:t xml:space="preserve"> </w:t>
      </w:r>
      <w:r w:rsidRPr="00904FCB">
        <w:rPr>
          <w:rFonts w:ascii="Times New Roman" w:hAnsi="Times New Roman" w:hint="cs"/>
          <w:sz w:val="27"/>
          <w:rtl/>
          <w:lang w:bidi="fa-IR"/>
        </w:rPr>
        <w:t>ثبت</w:t>
      </w:r>
      <w:r w:rsidRPr="00904FCB">
        <w:rPr>
          <w:rFonts w:ascii="Times New Roman" w:hAnsi="Times New Roman"/>
          <w:sz w:val="27"/>
          <w:rtl/>
          <w:lang w:bidi="fa-IR"/>
        </w:rPr>
        <w:t xml:space="preserve"> </w:t>
      </w:r>
      <w:r w:rsidRPr="00904FCB">
        <w:rPr>
          <w:rFonts w:ascii="Times New Roman" w:hAnsi="Times New Roman" w:hint="cs"/>
          <w:sz w:val="27"/>
          <w:rtl/>
          <w:lang w:bidi="fa-IR"/>
        </w:rPr>
        <w:t>بالدليل</w:t>
      </w:r>
      <w:r w:rsidRPr="00904FCB">
        <w:rPr>
          <w:rFonts w:ascii="Times New Roman" w:hAnsi="Times New Roman"/>
          <w:sz w:val="27"/>
          <w:rtl/>
          <w:lang w:bidi="fa-IR"/>
        </w:rPr>
        <w:t xml:space="preserve"> </w:t>
      </w:r>
      <w:r w:rsidRPr="00904FCB">
        <w:rPr>
          <w:rFonts w:ascii="Times New Roman" w:hAnsi="Times New Roman" w:hint="cs"/>
          <w:sz w:val="27"/>
          <w:rtl/>
          <w:lang w:bidi="fa-IR"/>
        </w:rPr>
        <w:t>خلافه</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لكنّه ف</w:t>
      </w:r>
      <w:r w:rsidRPr="00904FCB">
        <w:rPr>
          <w:rFonts w:ascii="Times New Roman" w:hAnsi="Times New Roman" w:hint="cs"/>
          <w:sz w:val="27"/>
          <w:rtl/>
          <w:lang w:bidi="fa-IR"/>
        </w:rPr>
        <w:t>ي</w:t>
      </w:r>
      <w:r w:rsidRPr="00904FCB">
        <w:rPr>
          <w:rFonts w:ascii="Times New Roman" w:hAnsi="Times New Roman"/>
          <w:sz w:val="27"/>
          <w:rtl/>
          <w:lang w:bidi="fa-IR"/>
        </w:rPr>
        <w:t xml:space="preserve"> هامش هذا البحث </w:t>
      </w:r>
      <w:r w:rsidRPr="00904FCB">
        <w:rPr>
          <w:rFonts w:ascii="Times New Roman" w:hAnsi="Times New Roman" w:hint="cs"/>
          <w:sz w:val="27"/>
          <w:rtl/>
          <w:lang w:bidi="fa-IR"/>
        </w:rPr>
        <w:t>يتعرّض</w:t>
      </w:r>
      <w:r w:rsidRPr="00904FCB">
        <w:rPr>
          <w:rFonts w:ascii="Times New Roman" w:hAnsi="Times New Roman"/>
          <w:sz w:val="27"/>
          <w:rtl/>
          <w:lang w:bidi="fa-IR"/>
        </w:rPr>
        <w:t xml:space="preserve"> </w:t>
      </w:r>
      <w:r w:rsidR="00495EE0" w:rsidRPr="00904FCB">
        <w:rPr>
          <w:rFonts w:ascii="Times New Roman" w:hAnsi="Times New Roman" w:hint="cs"/>
          <w:sz w:val="27"/>
          <w:rtl/>
          <w:lang w:bidi="fa-IR"/>
        </w:rPr>
        <w:t>إ</w:t>
      </w:r>
      <w:r w:rsidRPr="00904FCB">
        <w:rPr>
          <w:rFonts w:ascii="Times New Roman" w:hAnsi="Times New Roman"/>
          <w:sz w:val="27"/>
          <w:rtl/>
          <w:lang w:bidi="fa-IR"/>
        </w:rPr>
        <w:t xml:space="preserve">لى </w:t>
      </w:r>
      <w:r w:rsidRPr="00904FCB">
        <w:rPr>
          <w:rFonts w:ascii="Times New Roman" w:hAnsi="Times New Roman" w:hint="cs"/>
          <w:sz w:val="27"/>
          <w:rtl/>
          <w:lang w:bidi="fa-IR"/>
        </w:rPr>
        <w:t>مسألة</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مبتكرةٌ</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وهي</w:t>
      </w:r>
      <w:r w:rsidRPr="00904FCB">
        <w:rPr>
          <w:rFonts w:ascii="Times New Roman" w:hAnsi="Times New Roman" w:hint="cs"/>
          <w:sz w:val="27"/>
          <w:rtl/>
          <w:lang w:bidi="fa-IR"/>
        </w:rPr>
        <w:t xml:space="preserve"> </w:t>
      </w:r>
      <w:r w:rsidRPr="00904FCB">
        <w:rPr>
          <w:rFonts w:ascii="Times New Roman" w:hAnsi="Times New Roman"/>
          <w:sz w:val="27"/>
          <w:rtl/>
          <w:lang w:bidi="fa-IR"/>
        </w:rPr>
        <w:t>أنّه إذا كانت كلّ أفعال النب</w:t>
      </w:r>
      <w:r w:rsidRPr="00904FCB">
        <w:rPr>
          <w:rFonts w:ascii="Times New Roman" w:hAnsi="Times New Roman" w:hint="cs"/>
          <w:sz w:val="27"/>
          <w:rtl/>
          <w:lang w:bidi="fa-IR"/>
        </w:rPr>
        <w:t>ي</w:t>
      </w:r>
      <w:r w:rsidR="00495EE0" w:rsidRPr="00904FCB">
        <w:rPr>
          <w:rFonts w:ascii="Times New Roman" w:hAnsi="Times New Roman" w:hint="cs"/>
          <w:sz w:val="27"/>
          <w:rtl/>
          <w:lang w:bidi="fa-IR"/>
        </w:rPr>
        <w:t>ّ</w:t>
      </w:r>
      <w:r w:rsidR="00635E51" w:rsidRPr="00904FCB">
        <w:rPr>
          <w:rFonts w:ascii="Times New Roman" w:hAnsi="Times New Roman" w:cs="Mosawi"/>
          <w:sz w:val="27"/>
          <w:szCs w:val="22"/>
          <w:rtl/>
          <w:lang w:bidi="fa-IR"/>
        </w:rPr>
        <w:t>|</w:t>
      </w:r>
      <w:r w:rsidRPr="00904FCB">
        <w:rPr>
          <w:rFonts w:ascii="Times New Roman" w:hAnsi="Times New Roman"/>
          <w:sz w:val="27"/>
          <w:rtl/>
          <w:lang w:bidi="fa-IR"/>
        </w:rPr>
        <w:t xml:space="preserve"> ف</w:t>
      </w:r>
      <w:r w:rsidRPr="00904FCB">
        <w:rPr>
          <w:rFonts w:ascii="Times New Roman" w:hAnsi="Times New Roman" w:hint="cs"/>
          <w:sz w:val="27"/>
          <w:rtl/>
          <w:lang w:bidi="fa-IR"/>
        </w:rPr>
        <w:t>ي</w:t>
      </w:r>
      <w:r w:rsidRPr="00904FCB">
        <w:rPr>
          <w:rFonts w:ascii="Times New Roman" w:hAnsi="Times New Roman"/>
          <w:sz w:val="27"/>
          <w:rtl/>
          <w:lang w:bidi="fa-IR"/>
        </w:rPr>
        <w:t xml:space="preserve"> مقام ب</w:t>
      </w:r>
      <w:r w:rsidRPr="00904FCB">
        <w:rPr>
          <w:rFonts w:ascii="Times New Roman" w:hAnsi="Times New Roman" w:hint="cs"/>
          <w:sz w:val="27"/>
          <w:rtl/>
          <w:lang w:bidi="fa-IR"/>
        </w:rPr>
        <w:t>يان</w:t>
      </w:r>
      <w:r w:rsidRPr="00904FCB">
        <w:rPr>
          <w:rFonts w:ascii="Times New Roman" w:hAnsi="Times New Roman"/>
          <w:sz w:val="27"/>
          <w:rtl/>
          <w:lang w:bidi="fa-IR"/>
        </w:rPr>
        <w:t xml:space="preserve"> </w:t>
      </w:r>
      <w:r w:rsidRPr="00904FCB">
        <w:rPr>
          <w:rFonts w:ascii="Times New Roman" w:hAnsi="Times New Roman" w:hint="cs"/>
          <w:sz w:val="27"/>
          <w:rtl/>
          <w:lang w:bidi="fa-IR"/>
        </w:rPr>
        <w:t>الأحكام</w:t>
      </w:r>
      <w:r w:rsidRPr="00904FCB">
        <w:rPr>
          <w:rFonts w:ascii="Times New Roman" w:hAnsi="Times New Roman"/>
          <w:sz w:val="27"/>
          <w:rtl/>
          <w:lang w:bidi="fa-IR"/>
        </w:rPr>
        <w:t xml:space="preserve"> </w:t>
      </w:r>
      <w:r w:rsidRPr="00904FCB">
        <w:rPr>
          <w:rFonts w:ascii="Times New Roman" w:hAnsi="Times New Roman" w:hint="cs"/>
          <w:sz w:val="27"/>
          <w:rtl/>
          <w:lang w:bidi="fa-IR"/>
        </w:rPr>
        <w:t>الشرعية</w:t>
      </w:r>
      <w:r w:rsidRPr="00904FCB">
        <w:rPr>
          <w:rFonts w:ascii="Times New Roman" w:hAnsi="Times New Roman"/>
          <w:sz w:val="27"/>
          <w:rtl/>
          <w:lang w:bidi="fa-IR"/>
        </w:rPr>
        <w:t xml:space="preserve"> </w:t>
      </w:r>
      <w:r w:rsidRPr="00904FCB">
        <w:rPr>
          <w:rFonts w:ascii="Times New Roman" w:hAnsi="Times New Roman" w:hint="cs"/>
          <w:sz w:val="27"/>
          <w:rtl/>
          <w:lang w:bidi="fa-IR"/>
        </w:rPr>
        <w:t>فتحمل</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العبادة، وهو</w:t>
      </w:r>
      <w:r w:rsidRPr="00904FCB">
        <w:rPr>
          <w:rFonts w:ascii="Times New Roman" w:hAnsi="Times New Roman"/>
          <w:sz w:val="27"/>
          <w:rtl/>
          <w:lang w:bidi="fa-IR"/>
        </w:rPr>
        <w:t xml:space="preserve"> </w:t>
      </w:r>
      <w:r w:rsidRPr="00904FCB">
        <w:rPr>
          <w:rFonts w:ascii="Times New Roman" w:hAnsi="Times New Roman" w:hint="cs"/>
          <w:sz w:val="27"/>
          <w:rtl/>
          <w:lang w:bidi="fa-IR"/>
        </w:rPr>
        <w:t>الهدف</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بعثة</w:t>
      </w:r>
      <w:r w:rsidRPr="00904FCB">
        <w:rPr>
          <w:rFonts w:ascii="Times New Roman" w:hAnsi="Times New Roman"/>
          <w:sz w:val="27"/>
          <w:rtl/>
          <w:lang w:bidi="fa-IR"/>
        </w:rPr>
        <w:t xml:space="preserve"> </w:t>
      </w:r>
      <w:r w:rsidRPr="00904FCB">
        <w:rPr>
          <w:rFonts w:ascii="Times New Roman" w:hAnsi="Times New Roman" w:hint="cs"/>
          <w:sz w:val="27"/>
          <w:rtl/>
          <w:lang w:bidi="fa-IR"/>
        </w:rPr>
        <w:t>الأنبياء، وكذلك</w:t>
      </w:r>
      <w:r w:rsidRPr="00904FCB">
        <w:rPr>
          <w:rFonts w:ascii="Times New Roman" w:hAnsi="Times New Roman"/>
          <w:sz w:val="27"/>
          <w:rtl/>
          <w:lang w:bidi="fa-IR"/>
        </w:rPr>
        <w:t xml:space="preserve"> </w:t>
      </w:r>
      <w:r w:rsidRPr="00904FCB">
        <w:rPr>
          <w:rFonts w:ascii="Times New Roman" w:hAnsi="Times New Roman" w:hint="cs"/>
          <w:sz w:val="27"/>
          <w:rtl/>
          <w:lang w:bidi="fa-IR"/>
        </w:rPr>
        <w:t>يمكن</w:t>
      </w:r>
      <w:r w:rsidRPr="00904FCB">
        <w:rPr>
          <w:rFonts w:ascii="Times New Roman" w:hAnsi="Times New Roman"/>
          <w:sz w:val="27"/>
          <w:rtl/>
          <w:lang w:bidi="fa-IR"/>
        </w:rPr>
        <w:t xml:space="preserve"> </w:t>
      </w:r>
      <w:r w:rsidRPr="00904FCB">
        <w:rPr>
          <w:rFonts w:ascii="Times New Roman" w:hAnsi="Times New Roman" w:hint="cs"/>
          <w:sz w:val="27"/>
          <w:rtl/>
          <w:lang w:bidi="fa-IR"/>
        </w:rPr>
        <w:t>حملها</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الفعل</w:t>
      </w:r>
      <w:r w:rsidRPr="00904FCB">
        <w:rPr>
          <w:rFonts w:ascii="Times New Roman" w:hAnsi="Times New Roman"/>
          <w:sz w:val="27"/>
          <w:rtl/>
          <w:lang w:bidi="fa-IR"/>
        </w:rPr>
        <w:t xml:space="preserve"> </w:t>
      </w:r>
      <w:r w:rsidRPr="00904FCB">
        <w:rPr>
          <w:rFonts w:ascii="Times New Roman" w:hAnsi="Times New Roman" w:hint="cs"/>
          <w:sz w:val="27"/>
          <w:rtl/>
          <w:lang w:bidi="fa-IR"/>
        </w:rPr>
        <w:t>العادي</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باب</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الأصل</w:t>
      </w:r>
      <w:r w:rsidRPr="00904FCB">
        <w:rPr>
          <w:rFonts w:ascii="Times New Roman" w:hAnsi="Times New Roman"/>
          <w:sz w:val="27"/>
          <w:rtl/>
          <w:lang w:bidi="fa-IR"/>
        </w:rPr>
        <w:t xml:space="preserve"> </w:t>
      </w:r>
      <w:r w:rsidRPr="00904FCB">
        <w:rPr>
          <w:rFonts w:ascii="Times New Roman" w:hAnsi="Times New Roman" w:hint="cs"/>
          <w:sz w:val="27"/>
          <w:rtl/>
          <w:lang w:bidi="fa-IR"/>
        </w:rPr>
        <w:t>عدم</w:t>
      </w:r>
      <w:r w:rsidRPr="00904FCB">
        <w:rPr>
          <w:rFonts w:ascii="Times New Roman" w:hAnsi="Times New Roman"/>
          <w:sz w:val="27"/>
          <w:rtl/>
          <w:lang w:bidi="fa-IR"/>
        </w:rPr>
        <w:t xml:space="preserve"> </w:t>
      </w:r>
      <w:r w:rsidRPr="00904FCB">
        <w:rPr>
          <w:rFonts w:ascii="Times New Roman" w:hAnsi="Times New Roman" w:hint="cs"/>
          <w:sz w:val="27"/>
          <w:rtl/>
          <w:lang w:bidi="fa-IR"/>
        </w:rPr>
        <w:t>التشريع، فعند</w:t>
      </w:r>
      <w:r w:rsidRPr="00904FCB">
        <w:rPr>
          <w:rFonts w:ascii="Times New Roman" w:hAnsi="Times New Roman"/>
          <w:sz w:val="27"/>
          <w:rtl/>
          <w:lang w:bidi="fa-IR"/>
        </w:rPr>
        <w:t xml:space="preserve"> </w:t>
      </w:r>
      <w:r w:rsidRPr="00904FCB">
        <w:rPr>
          <w:rFonts w:ascii="Times New Roman" w:hAnsi="Times New Roman" w:hint="cs"/>
          <w:sz w:val="27"/>
          <w:rtl/>
          <w:lang w:bidi="fa-IR"/>
        </w:rPr>
        <w:t>الشك</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أي</w:t>
      </w:r>
      <w:r w:rsidR="00495EE0" w:rsidRPr="00904FCB">
        <w:rPr>
          <w:rFonts w:ascii="Times New Roman" w:hAnsi="Times New Roman" w:hint="cs"/>
          <w:sz w:val="27"/>
          <w:rtl/>
          <w:lang w:bidi="fa-IR"/>
        </w:rPr>
        <w:t>ُّ</w:t>
      </w:r>
      <w:r w:rsidRPr="00904FCB">
        <w:rPr>
          <w:rFonts w:ascii="Times New Roman" w:hAnsi="Times New Roman" w:hint="cs"/>
          <w:sz w:val="27"/>
          <w:rtl/>
          <w:lang w:bidi="fa-IR"/>
        </w:rPr>
        <w:t>هما</w:t>
      </w:r>
      <w:r w:rsidRPr="00904FCB">
        <w:rPr>
          <w:rFonts w:ascii="Times New Roman" w:hAnsi="Times New Roman"/>
          <w:sz w:val="27"/>
          <w:rtl/>
          <w:lang w:bidi="fa-IR"/>
        </w:rPr>
        <w:t xml:space="preserve"> </w:t>
      </w:r>
      <w:r w:rsidRPr="00904FCB">
        <w:rPr>
          <w:rFonts w:ascii="Times New Roman" w:hAnsi="Times New Roman" w:hint="cs"/>
          <w:sz w:val="27"/>
          <w:rtl/>
          <w:lang w:bidi="fa-IR"/>
        </w:rPr>
        <w:t>يقدّ</w:t>
      </w:r>
      <w:r w:rsidR="00495EE0" w:rsidRPr="00904FCB">
        <w:rPr>
          <w:rFonts w:ascii="Times New Roman" w:hAnsi="Times New Roman" w:hint="cs"/>
          <w:sz w:val="27"/>
          <w:rtl/>
          <w:lang w:bidi="fa-IR"/>
        </w:rPr>
        <w:t>َ</w:t>
      </w:r>
      <w:r w:rsidRPr="00904FCB">
        <w:rPr>
          <w:rFonts w:ascii="Times New Roman" w:hAnsi="Times New Roman" w:hint="cs"/>
          <w:sz w:val="27"/>
          <w:rtl/>
          <w:lang w:bidi="fa-IR"/>
        </w:rPr>
        <w:t>م؟ يقول</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المسألة خلاف</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 xml:space="preserve">ثم إنّه </w:t>
      </w:r>
      <w:r w:rsidRPr="00904FCB">
        <w:rPr>
          <w:rFonts w:ascii="Times New Roman" w:hAnsi="Times New Roman" w:hint="cs"/>
          <w:sz w:val="27"/>
          <w:rtl/>
          <w:lang w:bidi="fa-IR"/>
        </w:rPr>
        <w:t>يفرّ</w:t>
      </w:r>
      <w:r w:rsidR="00495EE0" w:rsidRPr="00904FCB">
        <w:rPr>
          <w:rFonts w:ascii="Times New Roman" w:hAnsi="Times New Roman" w:hint="cs"/>
          <w:sz w:val="27"/>
          <w:rtl/>
          <w:lang w:bidi="fa-IR"/>
        </w:rPr>
        <w:t>ِ</w:t>
      </w:r>
      <w:r w:rsidRPr="00904FCB">
        <w:rPr>
          <w:rFonts w:ascii="Times New Roman" w:hAnsi="Times New Roman" w:hint="cs"/>
          <w:sz w:val="27"/>
          <w:rtl/>
          <w:lang w:bidi="fa-IR"/>
        </w:rPr>
        <w:t>ع</w:t>
      </w:r>
      <w:r w:rsidRPr="00904FCB">
        <w:rPr>
          <w:rFonts w:ascii="Times New Roman" w:hAnsi="Times New Roman"/>
          <w:sz w:val="27"/>
          <w:rtl/>
          <w:lang w:bidi="fa-IR"/>
        </w:rPr>
        <w:t xml:space="preserve"> على </w:t>
      </w:r>
      <w:r w:rsidRPr="00904FCB">
        <w:rPr>
          <w:rFonts w:ascii="Times New Roman" w:hAnsi="Times New Roman" w:hint="cs"/>
          <w:sz w:val="27"/>
          <w:rtl/>
          <w:lang w:bidi="fa-IR"/>
        </w:rPr>
        <w:t>هذه</w:t>
      </w:r>
      <w:r w:rsidRPr="00904FCB">
        <w:rPr>
          <w:rFonts w:ascii="Times New Roman" w:hAnsi="Times New Roman"/>
          <w:sz w:val="27"/>
          <w:rtl/>
          <w:lang w:bidi="fa-IR"/>
        </w:rPr>
        <w:t xml:space="preserve"> </w:t>
      </w:r>
      <w:r w:rsidRPr="00904FCB">
        <w:rPr>
          <w:rFonts w:ascii="Times New Roman" w:hAnsi="Times New Roman" w:hint="cs"/>
          <w:sz w:val="27"/>
          <w:rtl/>
          <w:lang w:bidi="fa-IR"/>
        </w:rPr>
        <w:t>المسألة</w:t>
      </w:r>
      <w:r w:rsidRPr="00904FCB">
        <w:rPr>
          <w:rFonts w:ascii="Times New Roman" w:hAnsi="Times New Roman"/>
          <w:sz w:val="27"/>
          <w:rtl/>
          <w:lang w:bidi="fa-IR"/>
        </w:rPr>
        <w:t xml:space="preserve"> </w:t>
      </w:r>
      <w:r w:rsidRPr="00904FCB">
        <w:rPr>
          <w:rFonts w:ascii="Times New Roman" w:hAnsi="Times New Roman" w:hint="cs"/>
          <w:sz w:val="27"/>
          <w:rtl/>
          <w:lang w:bidi="fa-IR"/>
        </w:rPr>
        <w:t>جملة</w:t>
      </w:r>
      <w:r w:rsidRPr="00904FCB">
        <w:rPr>
          <w:rFonts w:ascii="Times New Roman" w:hAnsi="Times New Roman"/>
          <w:sz w:val="27"/>
          <w:rtl/>
          <w:lang w:bidi="fa-IR"/>
        </w:rPr>
        <w:t xml:space="preserve"> </w:t>
      </w:r>
      <w:r w:rsidRPr="00904FCB">
        <w:rPr>
          <w:rFonts w:ascii="Times New Roman" w:hAnsi="Times New Roman" w:hint="cs"/>
          <w:sz w:val="27"/>
          <w:rtl/>
          <w:lang w:bidi="fa-IR"/>
        </w:rPr>
        <w:t>مسائل، منها</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hint="cs"/>
          <w:sz w:val="27"/>
          <w:rtl/>
          <w:lang w:bidi="fa-IR"/>
        </w:rPr>
        <w:t xml:space="preserve">أـ </w:t>
      </w:r>
      <w:r w:rsidRPr="00904FCB">
        <w:rPr>
          <w:rFonts w:ascii="Times New Roman" w:hAnsi="Times New Roman"/>
          <w:sz w:val="27"/>
          <w:rtl/>
          <w:lang w:bidi="fa-IR"/>
        </w:rPr>
        <w:t>حكم جلسة‌</w:t>
      </w:r>
      <w:r w:rsidR="00495EE0" w:rsidRPr="00904FCB">
        <w:rPr>
          <w:rFonts w:ascii="Times New Roman" w:hAnsi="Times New Roman" w:hint="cs"/>
          <w:sz w:val="27"/>
          <w:rtl/>
          <w:lang w:bidi="fa-IR"/>
        </w:rPr>
        <w:t xml:space="preserve"> </w:t>
      </w:r>
      <w:r w:rsidRPr="00904FCB">
        <w:rPr>
          <w:rFonts w:ascii="Times New Roman" w:hAnsi="Times New Roman"/>
          <w:sz w:val="27"/>
          <w:rtl/>
          <w:lang w:bidi="fa-IR"/>
        </w:rPr>
        <w:t>الاستراحة 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الصلاة</w:t>
      </w:r>
      <w:r w:rsidR="00495EE0" w:rsidRPr="00904FCB">
        <w:rPr>
          <w:rFonts w:ascii="Times New Roman" w:hAnsi="Times New Roman" w:hint="cs"/>
          <w:sz w:val="27"/>
          <w:rtl/>
          <w:lang w:bidi="fa-IR"/>
        </w:rPr>
        <w:t>،</w:t>
      </w:r>
      <w:r w:rsidRPr="00904FCB">
        <w:rPr>
          <w:rFonts w:ascii="Times New Roman" w:hAnsi="Times New Roman" w:hint="cs"/>
          <w:sz w:val="27"/>
          <w:rtl/>
          <w:lang w:bidi="fa-IR"/>
        </w:rPr>
        <w:t xml:space="preserve"> واجبة</w:t>
      </w:r>
      <w:r w:rsidRPr="00904FCB">
        <w:rPr>
          <w:rFonts w:ascii="Times New Roman" w:hAnsi="Times New Roman"/>
          <w:sz w:val="27"/>
          <w:rtl/>
          <w:lang w:bidi="fa-IR"/>
        </w:rPr>
        <w:t xml:space="preserve"> </w:t>
      </w:r>
      <w:r w:rsidRPr="00904FCB">
        <w:rPr>
          <w:rFonts w:ascii="Times New Roman" w:hAnsi="Times New Roman" w:hint="cs"/>
          <w:sz w:val="27"/>
          <w:rtl/>
          <w:lang w:bidi="fa-IR"/>
        </w:rPr>
        <w:t>أم</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لا؟ </w:t>
      </w:r>
    </w:p>
    <w:p w:rsidR="00057E24" w:rsidRPr="00904FCB" w:rsidRDefault="00057E24" w:rsidP="007A21AA">
      <w:pPr>
        <w:spacing w:line="400" w:lineRule="exact"/>
        <w:rPr>
          <w:rFonts w:ascii="Times New Roman" w:hAnsi="Times New Roman"/>
          <w:sz w:val="27"/>
          <w:lang w:bidi="fa-IR"/>
        </w:rPr>
      </w:pPr>
      <w:r w:rsidRPr="00904FCB">
        <w:rPr>
          <w:rFonts w:ascii="Times New Roman" w:hAnsi="Times New Roman" w:hint="cs"/>
          <w:sz w:val="27"/>
          <w:rtl/>
          <w:lang w:bidi="fa-IR"/>
        </w:rPr>
        <w:t xml:space="preserve">ب ـ </w:t>
      </w:r>
      <w:r w:rsidRPr="00904FCB">
        <w:rPr>
          <w:rFonts w:ascii="Times New Roman" w:hAnsi="Times New Roman"/>
          <w:sz w:val="27"/>
          <w:rtl/>
          <w:lang w:bidi="fa-IR"/>
        </w:rPr>
        <w:t>دخول مك</w:t>
      </w:r>
      <w:r w:rsidR="00495EE0" w:rsidRPr="00904FCB">
        <w:rPr>
          <w:rFonts w:ascii="Times New Roman" w:hAnsi="Times New Roman" w:hint="cs"/>
          <w:sz w:val="27"/>
          <w:rtl/>
          <w:lang w:bidi="fa-IR"/>
        </w:rPr>
        <w:t>ّ</w:t>
      </w:r>
      <w:r w:rsidRPr="00904FCB">
        <w:rPr>
          <w:rFonts w:ascii="Times New Roman" w:hAnsi="Times New Roman"/>
          <w:sz w:val="27"/>
          <w:rtl/>
          <w:lang w:bidi="fa-IR"/>
        </w:rPr>
        <w:t>ة من الطر</w:t>
      </w:r>
      <w:r w:rsidRPr="00904FCB">
        <w:rPr>
          <w:rFonts w:ascii="Times New Roman" w:hAnsi="Times New Roman" w:hint="cs"/>
          <w:sz w:val="27"/>
          <w:rtl/>
          <w:lang w:bidi="fa-IR"/>
        </w:rPr>
        <w:t>يق</w:t>
      </w:r>
      <w:r w:rsidRPr="00904FCB">
        <w:rPr>
          <w:rFonts w:ascii="Times New Roman" w:hAnsi="Times New Roman"/>
          <w:sz w:val="27"/>
          <w:rtl/>
          <w:lang w:bidi="fa-IR"/>
        </w:rPr>
        <w:t xml:space="preserve"> </w:t>
      </w:r>
      <w:r w:rsidRPr="00904FCB">
        <w:rPr>
          <w:rFonts w:ascii="Times New Roman" w:hAnsi="Times New Roman" w:hint="cs"/>
          <w:sz w:val="27"/>
          <w:rtl/>
          <w:lang w:bidi="fa-IR"/>
        </w:rPr>
        <w:t>ال</w:t>
      </w:r>
      <w:r w:rsidRPr="00904FCB">
        <w:rPr>
          <w:rFonts w:ascii="Times New Roman" w:hAnsi="Times New Roman"/>
          <w:sz w:val="27"/>
          <w:rtl/>
          <w:lang w:bidi="fa-IR"/>
        </w:rPr>
        <w:t>فلان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والخروج</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طريق</w:t>
      </w:r>
      <w:r w:rsidRPr="00904FCB">
        <w:rPr>
          <w:rFonts w:ascii="Times New Roman" w:hAnsi="Times New Roman"/>
          <w:sz w:val="27"/>
          <w:rtl/>
          <w:lang w:bidi="fa-IR"/>
        </w:rPr>
        <w:t xml:space="preserve"> </w:t>
      </w:r>
      <w:r w:rsidRPr="00904FCB">
        <w:rPr>
          <w:rFonts w:ascii="Times New Roman" w:hAnsi="Times New Roman" w:hint="cs"/>
          <w:sz w:val="27"/>
          <w:rtl/>
          <w:lang w:bidi="fa-IR"/>
        </w:rPr>
        <w:t>الفلاني</w:t>
      </w:r>
      <w:r w:rsidRPr="00904FCB">
        <w:rPr>
          <w:rFonts w:ascii="Times New Roman" w:hAnsi="Times New Roman"/>
          <w:sz w:val="27"/>
          <w:rtl/>
          <w:lang w:bidi="fa-IR"/>
        </w:rPr>
        <w:t xml:space="preserve"> </w:t>
      </w:r>
      <w:r w:rsidRPr="00904FCB">
        <w:rPr>
          <w:rFonts w:ascii="Times New Roman" w:hAnsi="Times New Roman" w:hint="cs"/>
          <w:sz w:val="27"/>
          <w:rtl/>
          <w:lang w:bidi="fa-IR"/>
        </w:rPr>
        <w:t>واجب</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أم</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لا؟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ج</w:t>
      </w:r>
      <w:r w:rsidRPr="00904FCB">
        <w:rPr>
          <w:rFonts w:ascii="Times New Roman" w:hAnsi="Times New Roman" w:hint="cs"/>
          <w:sz w:val="27"/>
          <w:rtl/>
          <w:lang w:bidi="fa-IR"/>
        </w:rPr>
        <w:t xml:space="preserve"> ـ </w:t>
      </w:r>
      <w:r w:rsidRPr="00904FCB">
        <w:rPr>
          <w:rFonts w:ascii="Times New Roman" w:hAnsi="Times New Roman"/>
          <w:sz w:val="27"/>
          <w:rtl/>
          <w:lang w:bidi="fa-IR"/>
        </w:rPr>
        <w:t>نزول النب</w:t>
      </w:r>
      <w:r w:rsidRPr="00904FCB">
        <w:rPr>
          <w:rFonts w:ascii="Times New Roman" w:hAnsi="Times New Roman" w:hint="cs"/>
          <w:sz w:val="27"/>
          <w:rtl/>
          <w:lang w:bidi="fa-IR"/>
        </w:rPr>
        <w:t>ي</w:t>
      </w:r>
      <w:r w:rsidR="00495EE0" w:rsidRPr="00904FCB">
        <w:rPr>
          <w:rFonts w:ascii="Times New Roman" w:hAnsi="Times New Roman" w:hint="cs"/>
          <w:sz w:val="27"/>
          <w:rtl/>
          <w:lang w:bidi="fa-IR"/>
        </w:rPr>
        <w:t>ّ</w:t>
      </w:r>
      <w:r w:rsidR="00635E51" w:rsidRPr="00904FCB">
        <w:rPr>
          <w:rFonts w:ascii="Times New Roman" w:hAnsi="Times New Roman" w:cs="Mosawi" w:hint="cs"/>
          <w:sz w:val="27"/>
          <w:szCs w:val="22"/>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حج</w:t>
      </w:r>
      <w:r w:rsidR="00495EE0" w:rsidRPr="00904FCB">
        <w:rPr>
          <w:rFonts w:ascii="Times New Roman" w:hAnsi="Times New Roman" w:hint="cs"/>
          <w:sz w:val="27"/>
          <w:rtl/>
          <w:lang w:bidi="fa-IR"/>
        </w:rPr>
        <w:t>ّ</w:t>
      </w:r>
      <w:r w:rsidRPr="00904FCB">
        <w:rPr>
          <w:rFonts w:ascii="Times New Roman" w:hAnsi="Times New Roman"/>
          <w:sz w:val="27"/>
          <w:rtl/>
          <w:lang w:bidi="fa-IR"/>
        </w:rPr>
        <w:t>ة الوداع 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منطقة</w:t>
      </w:r>
      <w:r w:rsidRPr="00904FCB">
        <w:rPr>
          <w:rFonts w:ascii="Times New Roman" w:hAnsi="Times New Roman"/>
          <w:sz w:val="27"/>
          <w:rtl/>
          <w:lang w:bidi="fa-IR"/>
        </w:rPr>
        <w:t xml:space="preserve"> </w:t>
      </w:r>
      <w:r w:rsidRPr="00904FCB">
        <w:rPr>
          <w:rFonts w:ascii="Times New Roman" w:hAnsi="Times New Roman" w:hint="cs"/>
          <w:sz w:val="27"/>
          <w:rtl/>
          <w:lang w:bidi="fa-IR"/>
        </w:rPr>
        <w:t>«محصّب»</w:t>
      </w:r>
      <w:r w:rsidRPr="00904FCB">
        <w:rPr>
          <w:rFonts w:ascii="Times New Roman" w:hAnsi="Times New Roman"/>
          <w:sz w:val="27"/>
          <w:rtl/>
          <w:lang w:bidi="fa-IR"/>
        </w:rPr>
        <w:t xml:space="preserve"> </w:t>
      </w:r>
      <w:r w:rsidRPr="00904FCB">
        <w:rPr>
          <w:rFonts w:ascii="Times New Roman" w:hAnsi="Times New Roman" w:hint="cs"/>
          <w:sz w:val="27"/>
          <w:rtl/>
          <w:lang w:bidi="fa-IR"/>
        </w:rPr>
        <w:t>هل</w:t>
      </w:r>
      <w:r w:rsidRPr="00904FCB">
        <w:rPr>
          <w:rFonts w:ascii="Times New Roman" w:hAnsi="Times New Roman"/>
          <w:sz w:val="27"/>
          <w:rtl/>
          <w:lang w:bidi="fa-IR"/>
        </w:rPr>
        <w:t xml:space="preserve"> </w:t>
      </w:r>
      <w:r w:rsidRPr="00904FCB">
        <w:rPr>
          <w:rFonts w:ascii="Times New Roman" w:hAnsi="Times New Roman" w:hint="cs"/>
          <w:sz w:val="27"/>
          <w:rtl/>
          <w:lang w:bidi="fa-IR"/>
        </w:rPr>
        <w:t>هو</w:t>
      </w:r>
      <w:r w:rsidRPr="00904FCB">
        <w:rPr>
          <w:rFonts w:ascii="Times New Roman" w:hAnsi="Times New Roman"/>
          <w:sz w:val="27"/>
          <w:rtl/>
          <w:lang w:bidi="fa-IR"/>
        </w:rPr>
        <w:t xml:space="preserve"> </w:t>
      </w:r>
      <w:r w:rsidRPr="00904FCB">
        <w:rPr>
          <w:rFonts w:ascii="Times New Roman" w:hAnsi="Times New Roman" w:hint="cs"/>
          <w:sz w:val="27"/>
          <w:rtl/>
          <w:lang w:bidi="fa-IR"/>
        </w:rPr>
        <w:t>واجب</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عل</w:t>
      </w:r>
      <w:r w:rsidR="00495EE0" w:rsidRPr="00904FCB">
        <w:rPr>
          <w:rFonts w:ascii="Times New Roman" w:hAnsi="Times New Roman" w:hint="cs"/>
          <w:sz w:val="27"/>
          <w:rtl/>
          <w:lang w:bidi="fa-IR"/>
        </w:rPr>
        <w:t xml:space="preserve">ى </w:t>
      </w:r>
      <w:r w:rsidRPr="00904FCB">
        <w:rPr>
          <w:rFonts w:ascii="Times New Roman" w:hAnsi="Times New Roman" w:hint="cs"/>
          <w:sz w:val="27"/>
          <w:rtl/>
          <w:lang w:bidi="fa-IR"/>
        </w:rPr>
        <w:t>الآخرين</w:t>
      </w:r>
      <w:r w:rsidRPr="00904FCB">
        <w:rPr>
          <w:rFonts w:ascii="Times New Roman" w:hAnsi="Times New Roman"/>
          <w:sz w:val="27"/>
          <w:rtl/>
          <w:lang w:bidi="fa-IR"/>
        </w:rPr>
        <w:t xml:space="preserve"> </w:t>
      </w:r>
      <w:r w:rsidRPr="00904FCB">
        <w:rPr>
          <w:rFonts w:ascii="Times New Roman" w:hAnsi="Times New Roman" w:hint="cs"/>
          <w:sz w:val="27"/>
          <w:rtl/>
          <w:lang w:bidi="fa-IR"/>
        </w:rPr>
        <w:t>أم</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لا؟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 xml:space="preserve">ثم </w:t>
      </w:r>
      <w:r w:rsidRPr="00904FCB">
        <w:rPr>
          <w:rFonts w:ascii="Times New Roman" w:hAnsi="Times New Roman" w:hint="cs"/>
          <w:sz w:val="27"/>
          <w:rtl/>
          <w:lang w:bidi="fa-IR"/>
        </w:rPr>
        <w:t>يقول</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مضيفاً</w:t>
      </w:r>
      <w:r w:rsidRPr="00904FCB">
        <w:rPr>
          <w:rFonts w:ascii="Times New Roman" w:hAnsi="Times New Roman"/>
          <w:sz w:val="27"/>
          <w:rtl/>
          <w:lang w:bidi="fa-IR"/>
        </w:rPr>
        <w:t xml:space="preserve"> و</w:t>
      </w:r>
      <w:r w:rsidRPr="00904FCB">
        <w:rPr>
          <w:rFonts w:ascii="Times New Roman" w:hAnsi="Times New Roman" w:hint="cs"/>
          <w:sz w:val="27"/>
          <w:rtl/>
          <w:lang w:bidi="fa-IR"/>
        </w:rPr>
        <w:t>مجيباً</w:t>
      </w:r>
      <w:r w:rsidRPr="00904FCB">
        <w:rPr>
          <w:rFonts w:ascii="Times New Roman" w:hAnsi="Times New Roman"/>
          <w:sz w:val="27"/>
          <w:rtl/>
          <w:lang w:bidi="fa-IR"/>
        </w:rPr>
        <w:t xml:space="preserve">: </w:t>
      </w:r>
      <w:r w:rsidRPr="00904FCB">
        <w:rPr>
          <w:rFonts w:ascii="Times New Roman" w:hAnsi="Times New Roman" w:hint="cs"/>
          <w:sz w:val="27"/>
          <w:rtl/>
          <w:lang w:bidi="fa-IR"/>
        </w:rPr>
        <w:t>«وعندنا</w:t>
      </w:r>
      <w:r w:rsidRPr="00904FCB">
        <w:rPr>
          <w:rFonts w:ascii="Times New Roman" w:hAnsi="Times New Roman"/>
          <w:sz w:val="27"/>
          <w:rtl/>
          <w:lang w:bidi="fa-IR"/>
        </w:rPr>
        <w:t xml:space="preserve"> </w:t>
      </w:r>
      <w:r w:rsidRPr="00904FCB">
        <w:rPr>
          <w:rFonts w:ascii="Times New Roman" w:hAnsi="Times New Roman" w:hint="cs"/>
          <w:sz w:val="27"/>
          <w:rtl/>
          <w:lang w:bidi="fa-IR"/>
        </w:rPr>
        <w:t>ذلك</w:t>
      </w:r>
      <w:r w:rsidRPr="00904FCB">
        <w:rPr>
          <w:rFonts w:ascii="Times New Roman" w:hAnsi="Times New Roman"/>
          <w:sz w:val="27"/>
          <w:rtl/>
          <w:lang w:bidi="fa-IR"/>
        </w:rPr>
        <w:t xml:space="preserve"> </w:t>
      </w:r>
      <w:r w:rsidRPr="00904FCB">
        <w:rPr>
          <w:rFonts w:ascii="Times New Roman" w:hAnsi="Times New Roman" w:hint="cs"/>
          <w:sz w:val="27"/>
          <w:rtl/>
          <w:lang w:bidi="fa-IR"/>
        </w:rPr>
        <w:t>كلّه</w:t>
      </w:r>
      <w:r w:rsidRPr="00904FCB">
        <w:rPr>
          <w:rFonts w:ascii="Times New Roman" w:hAnsi="Times New Roman"/>
          <w:sz w:val="27"/>
          <w:rtl/>
          <w:lang w:bidi="fa-IR"/>
        </w:rPr>
        <w:t xml:space="preserve"> </w:t>
      </w:r>
      <w:r w:rsidRPr="00904FCB">
        <w:rPr>
          <w:rFonts w:ascii="Times New Roman" w:hAnsi="Times New Roman" w:hint="cs"/>
          <w:sz w:val="27"/>
          <w:rtl/>
          <w:lang w:bidi="fa-IR"/>
        </w:rPr>
        <w:t>محمول</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الشرعي</w:t>
      </w:r>
      <w:r w:rsidR="00495EE0" w:rsidRPr="00904FCB">
        <w:rPr>
          <w:rFonts w:ascii="Times New Roman" w:hAnsi="Times New Roman" w:hint="cs"/>
          <w:sz w:val="27"/>
          <w:rtl/>
          <w:lang w:bidi="fa-IR"/>
        </w:rPr>
        <w:t>؛</w:t>
      </w:r>
      <w:r w:rsidRPr="00904FCB">
        <w:rPr>
          <w:rFonts w:ascii="Times New Roman" w:hAnsi="Times New Roman"/>
          <w:sz w:val="27"/>
          <w:rtl/>
          <w:lang w:bidi="fa-IR"/>
        </w:rPr>
        <w:t xml:space="preserve"> لعموم أدلّة التأسّ</w:t>
      </w:r>
      <w:r w:rsidRPr="00904FCB">
        <w:rPr>
          <w:rFonts w:ascii="Times New Roman" w:hAnsi="Times New Roman" w:hint="cs"/>
          <w:sz w:val="27"/>
          <w:rtl/>
          <w:lang w:bidi="fa-IR"/>
        </w:rPr>
        <w:t>ي»</w:t>
      </w:r>
      <w:r w:rsidRPr="00904FCB">
        <w:rPr>
          <w:rFonts w:ascii="Times New Roman" w:hAnsi="Times New Roman"/>
          <w:sz w:val="27"/>
          <w:rtl/>
          <w:lang w:bidi="fa-IR"/>
        </w:rPr>
        <w:t xml:space="preserve">. </w:t>
      </w:r>
    </w:p>
    <w:p w:rsidR="00057E24" w:rsidRPr="00904FCB" w:rsidRDefault="00495EE0" w:rsidP="007A21AA">
      <w:pPr>
        <w:spacing w:line="400" w:lineRule="exact"/>
        <w:rPr>
          <w:rFonts w:ascii="Times New Roman" w:hAnsi="Times New Roman"/>
          <w:sz w:val="27"/>
          <w:rtl/>
          <w:lang w:bidi="fa-IR"/>
        </w:rPr>
      </w:pPr>
      <w:r w:rsidRPr="00904FCB">
        <w:rPr>
          <w:rFonts w:ascii="Times New Roman" w:hAnsi="Times New Roman"/>
          <w:sz w:val="27"/>
          <w:rtl/>
          <w:lang w:bidi="fa-IR"/>
        </w:rPr>
        <w:t>و</w:t>
      </w:r>
      <w:r w:rsidR="00057E24" w:rsidRPr="00904FCB">
        <w:rPr>
          <w:rFonts w:ascii="Times New Roman" w:hAnsi="Times New Roman"/>
          <w:sz w:val="27"/>
          <w:rtl/>
          <w:lang w:bidi="fa-IR"/>
        </w:rPr>
        <w:t>هذه القاعدة وما ترتّب عل</w:t>
      </w:r>
      <w:r w:rsidR="00057E24" w:rsidRPr="00904FCB">
        <w:rPr>
          <w:rFonts w:ascii="Times New Roman" w:hAnsi="Times New Roman" w:hint="cs"/>
          <w:sz w:val="27"/>
          <w:rtl/>
          <w:lang w:bidi="fa-IR"/>
        </w:rPr>
        <w:t>يها</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من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فروع</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تعدّ</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اليوم</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من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البحوث</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الفق</w:t>
      </w:r>
      <w:r w:rsidR="00057E24" w:rsidRPr="00904FCB">
        <w:rPr>
          <w:rFonts w:ascii="Times New Roman" w:hAnsi="Times New Roman"/>
          <w:sz w:val="27"/>
          <w:rtl/>
          <w:lang w:bidi="fa-IR"/>
        </w:rPr>
        <w:t>هية ا</w:t>
      </w:r>
      <w:r w:rsidRPr="00904FCB">
        <w:rPr>
          <w:rFonts w:ascii="Times New Roman" w:hAnsi="Times New Roman" w:hint="cs"/>
          <w:sz w:val="27"/>
          <w:rtl/>
          <w:lang w:bidi="fa-IR"/>
        </w:rPr>
        <w:t>ل</w:t>
      </w:r>
      <w:r w:rsidR="00057E24" w:rsidRPr="00904FCB">
        <w:rPr>
          <w:rFonts w:ascii="Times New Roman" w:hAnsi="Times New Roman"/>
          <w:sz w:val="27"/>
          <w:rtl/>
          <w:lang w:bidi="fa-IR"/>
        </w:rPr>
        <w:t>رائجة، وتحت عنوان: هل الد</w:t>
      </w:r>
      <w:r w:rsidR="00057E24" w:rsidRPr="00904FCB">
        <w:rPr>
          <w:rFonts w:ascii="Times New Roman" w:hAnsi="Times New Roman" w:hint="cs"/>
          <w:sz w:val="27"/>
          <w:rtl/>
          <w:lang w:bidi="fa-IR"/>
        </w:rPr>
        <w:t>ين</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الحدّ</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الأقلّ</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أم</w:t>
      </w:r>
      <w:r w:rsidR="00057E24" w:rsidRPr="00904FCB">
        <w:rPr>
          <w:rFonts w:ascii="Times New Roman" w:hAnsi="Times New Roman"/>
          <w:sz w:val="27"/>
          <w:rtl/>
          <w:lang w:bidi="fa-IR"/>
        </w:rPr>
        <w:t xml:space="preserve"> </w:t>
      </w:r>
      <w:r w:rsidR="00057E24" w:rsidRPr="00904FCB">
        <w:rPr>
          <w:rFonts w:ascii="Times New Roman" w:hAnsi="Times New Roman" w:hint="cs"/>
          <w:sz w:val="27"/>
          <w:rtl/>
          <w:lang w:bidi="fa-IR"/>
        </w:rPr>
        <w:t>الأكثر</w:t>
      </w:r>
      <w:r w:rsidRPr="00904FCB">
        <w:rPr>
          <w:rFonts w:ascii="Times New Roman" w:hAnsi="Times New Roman" w:hint="cs"/>
          <w:sz w:val="27"/>
          <w:rtl/>
          <w:lang w:bidi="fa-IR"/>
        </w:rPr>
        <w:t>؟</w:t>
      </w:r>
      <w:r w:rsidR="00057E24" w:rsidRPr="00904FCB">
        <w:rPr>
          <w:rFonts w:ascii="Times New Roman" w:hAnsi="Times New Roman"/>
          <w:sz w:val="27"/>
          <w:rtl/>
          <w:lang w:bidi="fa-IR"/>
        </w:rPr>
        <w:t xml:space="preserve"> </w:t>
      </w:r>
    </w:p>
    <w:p w:rsidR="00057E24" w:rsidRPr="00904FCB" w:rsidRDefault="00057E24" w:rsidP="007A21AA">
      <w:pPr>
        <w:pStyle w:val="31"/>
        <w:spacing w:line="400" w:lineRule="exact"/>
        <w:rPr>
          <w:color w:val="auto"/>
          <w:rtl/>
          <w:lang w:bidi="fa-IR"/>
        </w:rPr>
      </w:pPr>
      <w:r w:rsidRPr="00B769C0">
        <w:rPr>
          <w:rFonts w:hint="cs"/>
          <w:color w:val="auto"/>
          <w:rtl/>
          <w:lang w:bidi="ar-LB"/>
        </w:rPr>
        <w:lastRenderedPageBreak/>
        <w:t xml:space="preserve">2ـ </w:t>
      </w:r>
      <w:r w:rsidRPr="00B769C0">
        <w:rPr>
          <w:color w:val="auto"/>
          <w:rtl/>
          <w:lang w:bidi="fa-IR"/>
        </w:rPr>
        <w:t>دوران</w:t>
      </w:r>
      <w:r w:rsidRPr="00904FCB">
        <w:rPr>
          <w:color w:val="auto"/>
          <w:rtl/>
          <w:lang w:bidi="fa-IR"/>
        </w:rPr>
        <w:t xml:space="preserve"> الحكم ب</w:t>
      </w:r>
      <w:r w:rsidRPr="00904FCB">
        <w:rPr>
          <w:rFonts w:hint="cs"/>
          <w:color w:val="auto"/>
          <w:rtl/>
          <w:lang w:bidi="fa-IR"/>
        </w:rPr>
        <w:t>ين</w:t>
      </w:r>
      <w:r w:rsidRPr="00904FCB">
        <w:rPr>
          <w:color w:val="auto"/>
          <w:rtl/>
          <w:lang w:bidi="fa-IR"/>
        </w:rPr>
        <w:t xml:space="preserve"> </w:t>
      </w:r>
      <w:r w:rsidR="004722A1" w:rsidRPr="00904FCB">
        <w:rPr>
          <w:rFonts w:hint="cs"/>
          <w:color w:val="auto"/>
          <w:rtl/>
          <w:lang w:bidi="fa-IR"/>
        </w:rPr>
        <w:t>الحكم الحكومي</w:t>
      </w:r>
      <w:r w:rsidRPr="00904FCB">
        <w:rPr>
          <w:color w:val="auto"/>
          <w:rtl/>
          <w:lang w:bidi="fa-IR"/>
        </w:rPr>
        <w:t xml:space="preserve"> و</w:t>
      </w:r>
      <w:r w:rsidRPr="00904FCB">
        <w:rPr>
          <w:rFonts w:hint="cs"/>
          <w:color w:val="auto"/>
          <w:rtl/>
          <w:lang w:bidi="fa-IR"/>
        </w:rPr>
        <w:t>الأصل</w:t>
      </w:r>
      <w:r w:rsidRPr="00904FCB">
        <w:rPr>
          <w:color w:val="auto"/>
          <w:rtl/>
          <w:lang w:bidi="fa-IR"/>
        </w:rPr>
        <w:t xml:space="preserve"> </w:t>
      </w:r>
      <w:r w:rsidRPr="00904FCB">
        <w:rPr>
          <w:rFonts w:hint="cs"/>
          <w:color w:val="auto"/>
          <w:rtl/>
          <w:lang w:bidi="fa-IR"/>
        </w:rPr>
        <w:t>الأولي</w:t>
      </w:r>
      <w:r w:rsidRPr="00904FCB">
        <w:rPr>
          <w:color w:val="auto"/>
          <w:rtl/>
          <w:lang w:bidi="fa-IR"/>
        </w:rPr>
        <w:t xml:space="preserve"> </w:t>
      </w:r>
    </w:p>
    <w:p w:rsidR="004526C3" w:rsidRPr="00904FCB" w:rsidRDefault="00057E24" w:rsidP="007A21AA">
      <w:pPr>
        <w:spacing w:line="400" w:lineRule="exact"/>
        <w:rPr>
          <w:rFonts w:ascii="Times New Roman" w:hAnsi="Times New Roman"/>
          <w:sz w:val="27"/>
          <w:rtl/>
          <w:lang w:bidi="fa-IR"/>
        </w:rPr>
      </w:pPr>
      <w:r w:rsidRPr="00904FCB">
        <w:rPr>
          <w:rFonts w:ascii="Times New Roman" w:hAnsi="Times New Roman" w:hint="cs"/>
          <w:sz w:val="27"/>
          <w:rtl/>
          <w:lang w:bidi="fa-IR"/>
        </w:rPr>
        <w:t>يذكر</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آخر</w:t>
      </w:r>
      <w:r w:rsidRPr="00904FCB">
        <w:rPr>
          <w:rFonts w:ascii="Times New Roman" w:hAnsi="Times New Roman"/>
          <w:sz w:val="27"/>
          <w:rtl/>
          <w:lang w:bidi="fa-IR"/>
        </w:rPr>
        <w:t xml:space="preserve"> </w:t>
      </w:r>
      <w:r w:rsidRPr="00904FCB">
        <w:rPr>
          <w:rFonts w:ascii="Times New Roman" w:hAnsi="Times New Roman" w:hint="cs"/>
          <w:sz w:val="27"/>
          <w:rtl/>
          <w:lang w:bidi="fa-IR"/>
        </w:rPr>
        <w:t>شرحه</w:t>
      </w:r>
      <w:r w:rsidRPr="00904FCB">
        <w:rPr>
          <w:rFonts w:ascii="Times New Roman" w:hAnsi="Times New Roman"/>
          <w:sz w:val="27"/>
          <w:rtl/>
          <w:lang w:bidi="fa-IR"/>
        </w:rPr>
        <w:t xml:space="preserve"> </w:t>
      </w:r>
      <w:r w:rsidRPr="00904FCB">
        <w:rPr>
          <w:rFonts w:ascii="Times New Roman" w:hAnsi="Times New Roman" w:hint="cs"/>
          <w:sz w:val="27"/>
          <w:rtl/>
          <w:lang w:bidi="fa-IR"/>
        </w:rPr>
        <w:t>للقاعدة</w:t>
      </w:r>
      <w:r w:rsidRPr="00904FCB">
        <w:rPr>
          <w:rFonts w:ascii="Times New Roman" w:hAnsi="Times New Roman"/>
          <w:sz w:val="27"/>
          <w:rtl/>
          <w:lang w:bidi="fa-IR"/>
        </w:rPr>
        <w:t xml:space="preserve"> (</w:t>
      </w:r>
      <w:r w:rsidR="00495EE0" w:rsidRPr="00B769C0">
        <w:rPr>
          <w:rFonts w:ascii="Times New Roman" w:hAnsi="Times New Roman" w:hint="cs"/>
          <w:sz w:val="27"/>
          <w:rtl/>
          <w:lang w:bidi="ar-LB"/>
        </w:rPr>
        <w:t>89</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فعل</w:t>
      </w:r>
      <w:r w:rsidRPr="00904FCB">
        <w:rPr>
          <w:rFonts w:ascii="Times New Roman" w:hAnsi="Times New Roman"/>
          <w:sz w:val="27"/>
          <w:rtl/>
          <w:lang w:bidi="fa-IR"/>
        </w:rPr>
        <w:t xml:space="preserve"> </w:t>
      </w:r>
      <w:r w:rsidRPr="00904FCB">
        <w:rPr>
          <w:rFonts w:ascii="Times New Roman" w:hAnsi="Times New Roman" w:hint="cs"/>
          <w:sz w:val="27"/>
          <w:rtl/>
          <w:lang w:bidi="fa-IR"/>
        </w:rPr>
        <w:t>النبي</w:t>
      </w:r>
      <w:r w:rsidR="00495EE0" w:rsidRPr="00904FCB">
        <w:rPr>
          <w:rFonts w:ascii="Times New Roman" w:hAnsi="Times New Roman" w:hint="cs"/>
          <w:sz w:val="27"/>
          <w:rtl/>
          <w:lang w:bidi="fa-IR"/>
        </w:rPr>
        <w:t>ّ</w:t>
      </w:r>
      <w:r w:rsidR="00635E51" w:rsidRPr="00904FCB">
        <w:rPr>
          <w:rFonts w:ascii="Times New Roman" w:hAnsi="Times New Roman" w:cs="Mosawi"/>
          <w:sz w:val="27"/>
          <w:szCs w:val="22"/>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أو</w:t>
      </w:r>
      <w:r w:rsidRPr="00904FCB">
        <w:rPr>
          <w:rFonts w:ascii="Times New Roman" w:hAnsi="Times New Roman"/>
          <w:sz w:val="27"/>
          <w:rtl/>
          <w:lang w:bidi="fa-IR"/>
        </w:rPr>
        <w:t xml:space="preserve"> </w:t>
      </w:r>
      <w:r w:rsidRPr="00904FCB">
        <w:rPr>
          <w:rFonts w:ascii="Times New Roman" w:hAnsi="Times New Roman" w:hint="cs"/>
          <w:sz w:val="27"/>
          <w:rtl/>
          <w:lang w:bidi="fa-IR"/>
        </w:rPr>
        <w:t>قوله</w:t>
      </w:r>
      <w:r w:rsidRPr="00904FCB">
        <w:rPr>
          <w:rFonts w:ascii="Times New Roman" w:hAnsi="Times New Roman"/>
          <w:sz w:val="27"/>
          <w:rtl/>
          <w:lang w:bidi="fa-IR"/>
        </w:rPr>
        <w:t xml:space="preserve"> </w:t>
      </w:r>
      <w:r w:rsidRPr="00904FCB">
        <w:rPr>
          <w:rFonts w:ascii="Times New Roman" w:hAnsi="Times New Roman" w:hint="cs"/>
          <w:sz w:val="27"/>
          <w:rtl/>
          <w:lang w:bidi="fa-IR"/>
        </w:rPr>
        <w:t>هو</w:t>
      </w:r>
      <w:r w:rsidRPr="00904FCB">
        <w:rPr>
          <w:rFonts w:ascii="Times New Roman" w:hAnsi="Times New Roman"/>
          <w:sz w:val="27"/>
          <w:rtl/>
          <w:lang w:bidi="fa-IR"/>
        </w:rPr>
        <w:t xml:space="preserve"> </w:t>
      </w:r>
      <w:r w:rsidRPr="00904FCB">
        <w:rPr>
          <w:rFonts w:ascii="Times New Roman" w:hAnsi="Times New Roman" w:hint="cs"/>
          <w:sz w:val="27"/>
          <w:rtl/>
          <w:lang w:bidi="fa-IR"/>
        </w:rPr>
        <w:t>أحياناً</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موقع</w:t>
      </w:r>
      <w:r w:rsidRPr="00904FCB">
        <w:rPr>
          <w:rFonts w:ascii="Times New Roman" w:hAnsi="Times New Roman"/>
          <w:sz w:val="27"/>
          <w:rtl/>
          <w:lang w:bidi="fa-IR"/>
        </w:rPr>
        <w:t xml:space="preserve"> </w:t>
      </w:r>
      <w:r w:rsidRPr="00904FCB">
        <w:rPr>
          <w:rFonts w:ascii="Times New Roman" w:hAnsi="Times New Roman" w:hint="cs"/>
          <w:sz w:val="27"/>
          <w:rtl/>
          <w:lang w:bidi="fa-IR"/>
        </w:rPr>
        <w:t>تبليغ</w:t>
      </w:r>
      <w:r w:rsidRPr="00904FCB">
        <w:rPr>
          <w:rFonts w:ascii="Times New Roman" w:hAnsi="Times New Roman"/>
          <w:sz w:val="27"/>
          <w:rtl/>
          <w:lang w:bidi="fa-IR"/>
        </w:rPr>
        <w:t xml:space="preserve"> </w:t>
      </w:r>
      <w:r w:rsidRPr="00904FCB">
        <w:rPr>
          <w:rFonts w:ascii="Times New Roman" w:hAnsi="Times New Roman" w:hint="cs"/>
          <w:sz w:val="27"/>
          <w:rtl/>
          <w:lang w:bidi="fa-IR"/>
        </w:rPr>
        <w:t>الأحكام</w:t>
      </w:r>
      <w:r w:rsidRPr="00904FCB">
        <w:rPr>
          <w:rFonts w:ascii="Times New Roman" w:hAnsi="Times New Roman"/>
          <w:sz w:val="27"/>
          <w:rtl/>
          <w:lang w:bidi="fa-IR"/>
        </w:rPr>
        <w:t xml:space="preserve"> </w:t>
      </w:r>
      <w:r w:rsidRPr="00904FCB">
        <w:rPr>
          <w:rFonts w:ascii="Times New Roman" w:hAnsi="Times New Roman" w:hint="cs"/>
          <w:sz w:val="27"/>
          <w:rtl/>
          <w:lang w:bidi="fa-IR"/>
        </w:rPr>
        <w:t>الشرعية، بحيث</w:t>
      </w:r>
      <w:r w:rsidRPr="00904FCB">
        <w:rPr>
          <w:rFonts w:ascii="Times New Roman" w:hAnsi="Times New Roman"/>
          <w:sz w:val="27"/>
          <w:rtl/>
          <w:lang w:bidi="fa-IR"/>
        </w:rPr>
        <w:t xml:space="preserve"> </w:t>
      </w:r>
      <w:r w:rsidRPr="00904FCB">
        <w:rPr>
          <w:rFonts w:ascii="Times New Roman" w:hAnsi="Times New Roman" w:hint="cs"/>
          <w:sz w:val="27"/>
          <w:rtl/>
          <w:lang w:bidi="fa-IR"/>
        </w:rPr>
        <w:t>يقع</w:t>
      </w:r>
      <w:r w:rsidRPr="00904FCB">
        <w:rPr>
          <w:rFonts w:ascii="Times New Roman" w:hAnsi="Times New Roman"/>
          <w:sz w:val="27"/>
          <w:rtl/>
          <w:lang w:bidi="fa-IR"/>
        </w:rPr>
        <w:t xml:space="preserve"> </w:t>
      </w:r>
      <w:r w:rsidRPr="00904FCB">
        <w:rPr>
          <w:rFonts w:ascii="Times New Roman" w:hAnsi="Times New Roman" w:hint="cs"/>
          <w:sz w:val="27"/>
          <w:rtl/>
          <w:lang w:bidi="fa-IR"/>
        </w:rPr>
        <w:t>موقع</w:t>
      </w:r>
      <w:r w:rsidRPr="00904FCB">
        <w:rPr>
          <w:rFonts w:ascii="Times New Roman" w:hAnsi="Times New Roman"/>
          <w:sz w:val="27"/>
          <w:rtl/>
          <w:lang w:bidi="fa-IR"/>
        </w:rPr>
        <w:t xml:space="preserve"> </w:t>
      </w:r>
      <w:r w:rsidRPr="00904FCB">
        <w:rPr>
          <w:rFonts w:ascii="Times New Roman" w:hAnsi="Times New Roman" w:hint="cs"/>
          <w:sz w:val="27"/>
          <w:rtl/>
          <w:lang w:bidi="fa-IR"/>
        </w:rPr>
        <w:t>الفتو</w:t>
      </w:r>
      <w:r w:rsidR="00495EE0" w:rsidRPr="00904FCB">
        <w:rPr>
          <w:rFonts w:ascii="Times New Roman" w:hAnsi="Times New Roman" w:hint="cs"/>
          <w:sz w:val="27"/>
          <w:rtl/>
          <w:lang w:bidi="fa-IR"/>
        </w:rPr>
        <w:t>ى</w:t>
      </w:r>
      <w:r w:rsidR="004526C3"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004526C3" w:rsidRPr="00904FCB">
        <w:rPr>
          <w:rFonts w:ascii="Times New Roman" w:hAnsi="Times New Roman" w:hint="cs"/>
          <w:sz w:val="27"/>
          <w:rtl/>
          <w:lang w:bidi="fa-IR"/>
        </w:rPr>
        <w:t xml:space="preserve">وأحياناً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مقام</w:t>
      </w:r>
      <w:r w:rsidRPr="00904FCB">
        <w:rPr>
          <w:rFonts w:ascii="Times New Roman" w:hAnsi="Times New Roman"/>
          <w:sz w:val="27"/>
          <w:rtl/>
          <w:lang w:bidi="fa-IR"/>
        </w:rPr>
        <w:t xml:space="preserve"> </w:t>
      </w:r>
      <w:r w:rsidRPr="00904FCB">
        <w:rPr>
          <w:rFonts w:ascii="Times New Roman" w:hAnsi="Times New Roman" w:hint="cs"/>
          <w:sz w:val="27"/>
          <w:rtl/>
          <w:lang w:bidi="fa-IR"/>
        </w:rPr>
        <w:t>الإمامة</w:t>
      </w:r>
      <w:r w:rsidRPr="00904FCB">
        <w:rPr>
          <w:rFonts w:ascii="Times New Roman" w:hAnsi="Times New Roman"/>
          <w:sz w:val="27"/>
          <w:rtl/>
          <w:lang w:bidi="fa-IR"/>
        </w:rPr>
        <w:t xml:space="preserve"> </w:t>
      </w:r>
      <w:r w:rsidRPr="00904FCB">
        <w:rPr>
          <w:rFonts w:ascii="Times New Roman" w:hAnsi="Times New Roman" w:hint="cs"/>
          <w:sz w:val="27"/>
          <w:rtl/>
          <w:lang w:bidi="fa-IR"/>
        </w:rPr>
        <w:t>ولوازمها، مثل</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حكم</w:t>
      </w:r>
      <w:r w:rsidRPr="00904FCB">
        <w:rPr>
          <w:rFonts w:ascii="Times New Roman" w:hAnsi="Times New Roman"/>
          <w:sz w:val="27"/>
          <w:rtl/>
          <w:lang w:bidi="fa-IR"/>
        </w:rPr>
        <w:t xml:space="preserve"> </w:t>
      </w:r>
      <w:r w:rsidRPr="00904FCB">
        <w:rPr>
          <w:rFonts w:ascii="Times New Roman" w:hAnsi="Times New Roman" w:hint="cs"/>
          <w:sz w:val="27"/>
          <w:rtl/>
          <w:lang w:bidi="fa-IR"/>
        </w:rPr>
        <w:t>الجهاد</w:t>
      </w:r>
      <w:r w:rsidRPr="00904FCB">
        <w:rPr>
          <w:rFonts w:ascii="Times New Roman" w:hAnsi="Times New Roman"/>
          <w:sz w:val="27"/>
          <w:rtl/>
          <w:lang w:bidi="fa-IR"/>
        </w:rPr>
        <w:t xml:space="preserve"> و</w:t>
      </w:r>
      <w:r w:rsidRPr="00904FCB">
        <w:rPr>
          <w:rFonts w:ascii="Times New Roman" w:hAnsi="Times New Roman" w:hint="cs"/>
          <w:sz w:val="27"/>
          <w:rtl/>
          <w:lang w:bidi="fa-IR"/>
        </w:rPr>
        <w:t>التصرّف</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بيت</w:t>
      </w:r>
      <w:r w:rsidRPr="00904FCB">
        <w:rPr>
          <w:rFonts w:ascii="Times New Roman" w:hAnsi="Times New Roman"/>
          <w:sz w:val="27"/>
          <w:rtl/>
          <w:lang w:bidi="fa-IR"/>
        </w:rPr>
        <w:t xml:space="preserve"> </w:t>
      </w:r>
      <w:r w:rsidRPr="00904FCB">
        <w:rPr>
          <w:rFonts w:ascii="Times New Roman" w:hAnsi="Times New Roman" w:hint="cs"/>
          <w:sz w:val="27"/>
          <w:rtl/>
          <w:lang w:bidi="fa-IR"/>
        </w:rPr>
        <w:t>المال</w:t>
      </w:r>
      <w:r w:rsidR="004526C3" w:rsidRPr="00904FCB">
        <w:rPr>
          <w:rFonts w:ascii="Times New Roman" w:hAnsi="Times New Roman" w:hint="cs"/>
          <w:sz w:val="27"/>
          <w:rtl/>
          <w:lang w:bidi="fa-IR"/>
        </w:rPr>
        <w:t>؛</w:t>
      </w:r>
      <w:r w:rsidRPr="00904FCB">
        <w:rPr>
          <w:rFonts w:ascii="Times New Roman" w:hAnsi="Times New Roman" w:hint="cs"/>
          <w:sz w:val="27"/>
          <w:rtl/>
          <w:lang w:bidi="fa-IR"/>
        </w:rPr>
        <w:t xml:space="preserve"> وأحياناً</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موقع</w:t>
      </w:r>
      <w:r w:rsidRPr="00904FCB">
        <w:rPr>
          <w:rFonts w:ascii="Times New Roman" w:hAnsi="Times New Roman"/>
          <w:sz w:val="27"/>
          <w:rtl/>
          <w:lang w:bidi="fa-IR"/>
        </w:rPr>
        <w:t xml:space="preserve"> </w:t>
      </w:r>
      <w:r w:rsidRPr="00904FCB">
        <w:rPr>
          <w:rFonts w:ascii="Times New Roman" w:hAnsi="Times New Roman" w:hint="cs"/>
          <w:sz w:val="27"/>
          <w:rtl/>
          <w:lang w:bidi="fa-IR"/>
        </w:rPr>
        <w:t>القضاء</w:t>
      </w:r>
      <w:r w:rsidRPr="00904FCB">
        <w:rPr>
          <w:rFonts w:ascii="Times New Roman" w:hAnsi="Times New Roman"/>
          <w:sz w:val="27"/>
          <w:rtl/>
          <w:lang w:bidi="fa-IR"/>
        </w:rPr>
        <w:t xml:space="preserve"> و</w:t>
      </w:r>
      <w:r w:rsidRPr="00904FCB">
        <w:rPr>
          <w:rFonts w:ascii="Times New Roman" w:hAnsi="Times New Roman" w:hint="cs"/>
          <w:sz w:val="27"/>
          <w:rtl/>
          <w:lang w:bidi="fa-IR"/>
        </w:rPr>
        <w:t>لوازمه</w:t>
      </w:r>
      <w:r w:rsidRPr="00904FCB">
        <w:rPr>
          <w:rFonts w:ascii="Times New Roman" w:hAnsi="Times New Roman"/>
          <w:sz w:val="27"/>
          <w:rtl/>
          <w:lang w:bidi="fa-IR"/>
        </w:rPr>
        <w:t>. ثم</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يضيف</w:t>
      </w:r>
      <w:r w:rsidRPr="00904FCB">
        <w:rPr>
          <w:rFonts w:ascii="Times New Roman" w:hAnsi="Times New Roman"/>
          <w:sz w:val="27"/>
          <w:rtl/>
          <w:lang w:bidi="fa-IR"/>
        </w:rPr>
        <w:t xml:space="preserve"> </w:t>
      </w:r>
      <w:r w:rsidRPr="00904FCB">
        <w:rPr>
          <w:rFonts w:ascii="Times New Roman" w:hAnsi="Times New Roman" w:hint="cs"/>
          <w:sz w:val="27"/>
          <w:rtl/>
          <w:lang w:bidi="fa-IR"/>
        </w:rPr>
        <w:t>بعد</w:t>
      </w:r>
      <w:r w:rsidRPr="00904FCB">
        <w:rPr>
          <w:rFonts w:ascii="Times New Roman" w:hAnsi="Times New Roman"/>
          <w:sz w:val="27"/>
          <w:rtl/>
          <w:lang w:bidi="fa-IR"/>
        </w:rPr>
        <w:t xml:space="preserve"> </w:t>
      </w:r>
      <w:r w:rsidRPr="00904FCB">
        <w:rPr>
          <w:rFonts w:ascii="Times New Roman" w:hAnsi="Times New Roman" w:hint="cs"/>
          <w:sz w:val="27"/>
          <w:rtl/>
          <w:lang w:bidi="fa-IR"/>
        </w:rPr>
        <w:t>ذلك</w:t>
      </w:r>
      <w:r w:rsidRPr="00904FCB">
        <w:rPr>
          <w:rFonts w:ascii="Times New Roman" w:hAnsi="Times New Roman"/>
          <w:sz w:val="27"/>
          <w:rtl/>
          <w:lang w:bidi="fa-IR"/>
        </w:rPr>
        <w:t xml:space="preserve"> </w:t>
      </w:r>
      <w:r w:rsidRPr="00904FCB">
        <w:rPr>
          <w:rFonts w:ascii="Times New Roman" w:hAnsi="Times New Roman" w:hint="cs"/>
          <w:sz w:val="27"/>
          <w:rtl/>
          <w:lang w:bidi="fa-IR"/>
        </w:rPr>
        <w:t>متسائلاً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حال الشك</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ما العمل</w:t>
      </w:r>
      <w:r w:rsidR="004526C3" w:rsidRPr="00904FCB">
        <w:rPr>
          <w:rFonts w:ascii="Times New Roman" w:hAnsi="Times New Roman"/>
          <w:sz w:val="27"/>
          <w:rtl/>
          <w:lang w:bidi="fa-IR"/>
        </w:rPr>
        <w:t>؟</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وثمرة</w:t>
      </w:r>
      <w:r w:rsidR="004526C3" w:rsidRPr="00904FCB">
        <w:rPr>
          <w:rFonts w:ascii="Times New Roman" w:hAnsi="Times New Roman" w:hint="cs"/>
          <w:sz w:val="27"/>
          <w:rtl/>
          <w:lang w:bidi="fa-IR"/>
        </w:rPr>
        <w:t xml:space="preserve"> </w:t>
      </w:r>
      <w:r w:rsidRPr="00904FCB">
        <w:rPr>
          <w:rFonts w:ascii="Times New Roman" w:hAnsi="Times New Roman"/>
          <w:sz w:val="27"/>
          <w:rtl/>
          <w:lang w:bidi="fa-IR"/>
        </w:rPr>
        <w:t>‌هذا البحث تظهر ف</w:t>
      </w:r>
      <w:r w:rsidRPr="00904FCB">
        <w:rPr>
          <w:rFonts w:ascii="Times New Roman" w:hAnsi="Times New Roman" w:hint="cs"/>
          <w:sz w:val="27"/>
          <w:rtl/>
          <w:lang w:bidi="fa-IR"/>
        </w:rPr>
        <w:t>ي</w:t>
      </w:r>
      <w:r w:rsidRPr="00904FCB">
        <w:rPr>
          <w:rFonts w:ascii="Times New Roman" w:hAnsi="Times New Roman"/>
          <w:sz w:val="27"/>
          <w:rtl/>
          <w:lang w:bidi="fa-IR"/>
        </w:rPr>
        <w:t xml:space="preserve"> مثل قوله</w:t>
      </w:r>
      <w:r w:rsidR="00635E51" w:rsidRPr="00904FCB">
        <w:rPr>
          <w:rFonts w:ascii="Times New Roman" w:hAnsi="Times New Roman" w:cs="Mosawi"/>
          <w:sz w:val="27"/>
          <w:szCs w:val="22"/>
          <w:rtl/>
          <w:lang w:bidi="fa-IR"/>
        </w:rPr>
        <w:t>|</w:t>
      </w:r>
      <w:r w:rsidRPr="00904FCB">
        <w:rPr>
          <w:rFonts w:ascii="Times New Roman" w:hAnsi="Times New Roman"/>
          <w:sz w:val="27"/>
          <w:rtl/>
          <w:lang w:bidi="fa-IR"/>
        </w:rPr>
        <w:t>: «م</w:t>
      </w:r>
      <w:r w:rsidR="004526C3" w:rsidRPr="00904FCB">
        <w:rPr>
          <w:rFonts w:ascii="Times New Roman" w:hAnsi="Times New Roman" w:hint="cs"/>
          <w:sz w:val="27"/>
          <w:rtl/>
          <w:lang w:bidi="fa-IR"/>
        </w:rPr>
        <w:t>َ</w:t>
      </w:r>
      <w:r w:rsidRPr="00904FCB">
        <w:rPr>
          <w:rFonts w:ascii="Times New Roman" w:hAnsi="Times New Roman"/>
          <w:sz w:val="27"/>
          <w:rtl/>
          <w:lang w:bidi="fa-IR"/>
        </w:rPr>
        <w:t>ن</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أح</w:t>
      </w:r>
      <w:r w:rsidRPr="00904FCB">
        <w:rPr>
          <w:rFonts w:ascii="Times New Roman" w:hAnsi="Times New Roman" w:hint="cs"/>
          <w:sz w:val="27"/>
          <w:rtl/>
          <w:lang w:bidi="fa-IR"/>
        </w:rPr>
        <w:t>ي</w:t>
      </w:r>
      <w:r w:rsidR="004526C3" w:rsidRPr="00904FCB">
        <w:rPr>
          <w:rFonts w:ascii="Times New Roman" w:hAnsi="Times New Roman" w:hint="cs"/>
          <w:sz w:val="27"/>
          <w:rtl/>
          <w:lang w:bidi="fa-IR"/>
        </w:rPr>
        <w:t>ا</w:t>
      </w:r>
      <w:r w:rsidRPr="00904FCB">
        <w:rPr>
          <w:rFonts w:ascii="Times New Roman" w:hAnsi="Times New Roman"/>
          <w:sz w:val="27"/>
          <w:rtl/>
          <w:lang w:bidi="fa-IR"/>
        </w:rPr>
        <w:t xml:space="preserve"> </w:t>
      </w:r>
      <w:r w:rsidRPr="00904FCB">
        <w:rPr>
          <w:rFonts w:ascii="Times New Roman" w:hAnsi="Times New Roman" w:hint="cs"/>
          <w:sz w:val="27"/>
          <w:rtl/>
          <w:lang w:bidi="fa-IR"/>
        </w:rPr>
        <w:t>أرضاً</w:t>
      </w:r>
      <w:r w:rsidRPr="00904FCB">
        <w:rPr>
          <w:rFonts w:ascii="Times New Roman" w:hAnsi="Times New Roman"/>
          <w:sz w:val="27"/>
          <w:rtl/>
          <w:lang w:bidi="fa-IR"/>
        </w:rPr>
        <w:t xml:space="preserve"> </w:t>
      </w:r>
      <w:r w:rsidRPr="00904FCB">
        <w:rPr>
          <w:rFonts w:ascii="Times New Roman" w:hAnsi="Times New Roman" w:hint="cs"/>
          <w:sz w:val="27"/>
          <w:rtl/>
          <w:lang w:bidi="fa-IR"/>
        </w:rPr>
        <w:t>ميتاً</w:t>
      </w:r>
      <w:r w:rsidRPr="00904FCB">
        <w:rPr>
          <w:rFonts w:ascii="Times New Roman" w:hAnsi="Times New Roman"/>
          <w:sz w:val="27"/>
          <w:rtl/>
          <w:lang w:bidi="fa-IR"/>
        </w:rPr>
        <w:t xml:space="preserve"> </w:t>
      </w:r>
      <w:r w:rsidRPr="00904FCB">
        <w:rPr>
          <w:rFonts w:ascii="Times New Roman" w:hAnsi="Times New Roman" w:hint="cs"/>
          <w:sz w:val="27"/>
          <w:rtl/>
          <w:lang w:bidi="fa-IR"/>
        </w:rPr>
        <w:t>ف</w:t>
      </w:r>
      <w:r w:rsidRPr="00904FCB">
        <w:rPr>
          <w:rFonts w:ascii="Times New Roman" w:hAnsi="Times New Roman"/>
          <w:sz w:val="27"/>
          <w:rtl/>
          <w:lang w:bidi="fa-IR"/>
        </w:rPr>
        <w:t>هي له»</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فلو كان ف</w:t>
      </w:r>
      <w:r w:rsidRPr="00904FCB">
        <w:rPr>
          <w:rFonts w:ascii="Times New Roman" w:hAnsi="Times New Roman" w:hint="cs"/>
          <w:sz w:val="27"/>
          <w:rtl/>
          <w:lang w:bidi="fa-IR"/>
        </w:rPr>
        <w:t>ي</w:t>
      </w:r>
      <w:r w:rsidRPr="00904FCB">
        <w:rPr>
          <w:rFonts w:ascii="Times New Roman" w:hAnsi="Times New Roman"/>
          <w:sz w:val="27"/>
          <w:rtl/>
          <w:lang w:bidi="fa-IR"/>
        </w:rPr>
        <w:t xml:space="preserve"> مقام التبل</w:t>
      </w:r>
      <w:r w:rsidRPr="00904FCB">
        <w:rPr>
          <w:rFonts w:ascii="Times New Roman" w:hAnsi="Times New Roman" w:hint="cs"/>
          <w:sz w:val="27"/>
          <w:rtl/>
          <w:lang w:bidi="fa-IR"/>
        </w:rPr>
        <w:t>يغ</w:t>
      </w:r>
      <w:r w:rsidRPr="00904FCB">
        <w:rPr>
          <w:rFonts w:ascii="Times New Roman" w:hAnsi="Times New Roman"/>
          <w:sz w:val="27"/>
          <w:rtl/>
          <w:lang w:bidi="fa-IR"/>
        </w:rPr>
        <w:t xml:space="preserve"> </w:t>
      </w:r>
      <w:r w:rsidRPr="00904FCB">
        <w:rPr>
          <w:rFonts w:ascii="Times New Roman" w:hAnsi="Times New Roman" w:hint="cs"/>
          <w:sz w:val="27"/>
          <w:rtl/>
          <w:lang w:bidi="fa-IR"/>
        </w:rPr>
        <w:t>فلا</w:t>
      </w:r>
      <w:r w:rsidRPr="00904FCB">
        <w:rPr>
          <w:rFonts w:ascii="Times New Roman" w:hAnsi="Times New Roman"/>
          <w:sz w:val="27"/>
          <w:rtl/>
          <w:lang w:bidi="fa-IR"/>
        </w:rPr>
        <w:t xml:space="preserve"> </w:t>
      </w:r>
      <w:r w:rsidRPr="00904FCB">
        <w:rPr>
          <w:rFonts w:ascii="Times New Roman" w:hAnsi="Times New Roman" w:hint="cs"/>
          <w:sz w:val="27"/>
          <w:rtl/>
          <w:lang w:bidi="fa-IR"/>
        </w:rPr>
        <w:t>يلزم</w:t>
      </w:r>
      <w:r w:rsidRPr="00904FCB">
        <w:rPr>
          <w:rFonts w:ascii="Times New Roman" w:hAnsi="Times New Roman"/>
          <w:sz w:val="27"/>
          <w:rtl/>
          <w:lang w:bidi="fa-IR"/>
        </w:rPr>
        <w:t xml:space="preserve"> </w:t>
      </w:r>
      <w:r w:rsidRPr="00904FCB">
        <w:rPr>
          <w:rFonts w:ascii="Times New Roman" w:hAnsi="Times New Roman" w:hint="cs"/>
          <w:sz w:val="27"/>
          <w:rtl/>
          <w:lang w:bidi="fa-IR"/>
        </w:rPr>
        <w:t>إذ</w:t>
      </w:r>
      <w:r w:rsidR="004526C3" w:rsidRPr="00904FCB">
        <w:rPr>
          <w:rFonts w:ascii="Times New Roman" w:hAnsi="Times New Roman" w:hint="cs"/>
          <w:sz w:val="27"/>
          <w:rtl/>
          <w:lang w:bidi="fa-IR"/>
        </w:rPr>
        <w:t>ْ</w:t>
      </w:r>
      <w:r w:rsidRPr="00904FCB">
        <w:rPr>
          <w:rFonts w:ascii="Times New Roman" w:hAnsi="Times New Roman" w:hint="cs"/>
          <w:sz w:val="27"/>
          <w:rtl/>
          <w:lang w:bidi="fa-IR"/>
        </w:rPr>
        <w:t>ن</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الإمام</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عصر الحضور أو نائبه (الول</w:t>
      </w:r>
      <w:r w:rsidRPr="00904FCB">
        <w:rPr>
          <w:rFonts w:ascii="Times New Roman" w:hAnsi="Times New Roman" w:hint="cs"/>
          <w:sz w:val="27"/>
          <w:rtl/>
          <w:lang w:bidi="fa-IR"/>
        </w:rPr>
        <w:t>ي</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الفقيه</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عصر الغ</w:t>
      </w:r>
      <w:r w:rsidRPr="00904FCB">
        <w:rPr>
          <w:rFonts w:ascii="Times New Roman" w:hAnsi="Times New Roman" w:hint="cs"/>
          <w:sz w:val="27"/>
          <w:rtl/>
          <w:lang w:bidi="fa-IR"/>
        </w:rPr>
        <w:t>يبة، ولو</w:t>
      </w:r>
      <w:r w:rsidRPr="00904FCB">
        <w:rPr>
          <w:rFonts w:ascii="Times New Roman" w:hAnsi="Times New Roman"/>
          <w:sz w:val="27"/>
          <w:rtl/>
          <w:lang w:bidi="fa-IR"/>
        </w:rPr>
        <w:t xml:space="preserve"> </w:t>
      </w:r>
      <w:r w:rsidRPr="00904FCB">
        <w:rPr>
          <w:rFonts w:ascii="Times New Roman" w:hAnsi="Times New Roman" w:hint="cs"/>
          <w:sz w:val="27"/>
          <w:rtl/>
          <w:lang w:bidi="fa-IR"/>
        </w:rPr>
        <w:t>كان</w:t>
      </w:r>
      <w:r w:rsidRPr="00904FCB">
        <w:rPr>
          <w:rFonts w:ascii="Times New Roman" w:hAnsi="Times New Roman"/>
          <w:sz w:val="27"/>
          <w:rtl/>
          <w:lang w:bidi="fa-IR"/>
        </w:rPr>
        <w:t xml:space="preserve"> </w:t>
      </w:r>
      <w:r w:rsidRPr="00904FCB">
        <w:rPr>
          <w:rFonts w:ascii="Times New Roman" w:hAnsi="Times New Roman" w:hint="cs"/>
          <w:sz w:val="27"/>
          <w:rtl/>
          <w:lang w:bidi="fa-IR"/>
        </w:rPr>
        <w:t>غير</w:t>
      </w:r>
      <w:r w:rsidRPr="00904FCB">
        <w:rPr>
          <w:rFonts w:ascii="Times New Roman" w:hAnsi="Times New Roman"/>
          <w:sz w:val="27"/>
          <w:rtl/>
          <w:lang w:bidi="fa-IR"/>
        </w:rPr>
        <w:t xml:space="preserve"> </w:t>
      </w:r>
      <w:r w:rsidRPr="00904FCB">
        <w:rPr>
          <w:rFonts w:ascii="Times New Roman" w:hAnsi="Times New Roman" w:hint="cs"/>
          <w:sz w:val="27"/>
          <w:rtl/>
          <w:lang w:bidi="fa-IR"/>
        </w:rPr>
        <w:t>ذلك</w:t>
      </w:r>
      <w:r w:rsidRPr="00904FCB">
        <w:rPr>
          <w:rFonts w:ascii="Times New Roman" w:hAnsi="Times New Roman"/>
          <w:sz w:val="27"/>
          <w:rtl/>
          <w:lang w:bidi="fa-IR"/>
        </w:rPr>
        <w:t xml:space="preserve"> </w:t>
      </w:r>
      <w:r w:rsidRPr="00904FCB">
        <w:rPr>
          <w:rFonts w:ascii="Times New Roman" w:hAnsi="Times New Roman" w:hint="cs"/>
          <w:sz w:val="27"/>
          <w:rtl/>
          <w:lang w:bidi="fa-IR"/>
        </w:rPr>
        <w:t>فالإذن</w:t>
      </w:r>
      <w:r w:rsidRPr="00904FCB">
        <w:rPr>
          <w:rFonts w:ascii="Times New Roman" w:hAnsi="Times New Roman"/>
          <w:sz w:val="27"/>
          <w:rtl/>
          <w:lang w:bidi="fa-IR"/>
        </w:rPr>
        <w:t xml:space="preserve"> </w:t>
      </w:r>
      <w:r w:rsidRPr="00904FCB">
        <w:rPr>
          <w:rFonts w:ascii="Times New Roman" w:hAnsi="Times New Roman" w:hint="cs"/>
          <w:sz w:val="27"/>
          <w:rtl/>
          <w:lang w:bidi="fa-IR"/>
        </w:rPr>
        <w:t>لازم</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المقام</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ومن هنا فف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موارد</w:t>
      </w:r>
      <w:r w:rsidRPr="00904FCB">
        <w:rPr>
          <w:rFonts w:ascii="Times New Roman" w:hAnsi="Times New Roman"/>
          <w:sz w:val="27"/>
          <w:rtl/>
          <w:lang w:bidi="fa-IR"/>
        </w:rPr>
        <w:t xml:space="preserve"> </w:t>
      </w:r>
      <w:r w:rsidRPr="00904FCB">
        <w:rPr>
          <w:rFonts w:ascii="Times New Roman" w:hAnsi="Times New Roman" w:hint="cs"/>
          <w:sz w:val="27"/>
          <w:rtl/>
          <w:lang w:bidi="fa-IR"/>
        </w:rPr>
        <w:t>الشك</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يجب</w:t>
      </w:r>
      <w:r w:rsidRPr="00904FCB">
        <w:rPr>
          <w:rFonts w:ascii="Times New Roman" w:hAnsi="Times New Roman"/>
          <w:sz w:val="27"/>
          <w:rtl/>
          <w:lang w:bidi="fa-IR"/>
        </w:rPr>
        <w:t xml:space="preserve"> </w:t>
      </w:r>
      <w:r w:rsidRPr="00904FCB">
        <w:rPr>
          <w:rFonts w:ascii="Times New Roman" w:hAnsi="Times New Roman" w:hint="cs"/>
          <w:sz w:val="27"/>
          <w:rtl/>
          <w:lang w:bidi="fa-IR"/>
        </w:rPr>
        <w:t>الحمل</w:t>
      </w:r>
      <w:r w:rsidRPr="00904FCB">
        <w:rPr>
          <w:rFonts w:ascii="Times New Roman" w:hAnsi="Times New Roman"/>
          <w:sz w:val="27"/>
          <w:rtl/>
          <w:lang w:bidi="fa-IR"/>
        </w:rPr>
        <w:t xml:space="preserve"> على </w:t>
      </w:r>
      <w:r w:rsidRPr="00904FCB">
        <w:rPr>
          <w:rFonts w:ascii="Times New Roman" w:hAnsi="Times New Roman" w:hint="cs"/>
          <w:sz w:val="27"/>
          <w:rtl/>
          <w:lang w:bidi="fa-IR"/>
        </w:rPr>
        <w:t>ما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حيثية</w:t>
      </w:r>
      <w:r w:rsidRPr="00904FCB">
        <w:rPr>
          <w:rFonts w:ascii="Times New Roman" w:hAnsi="Times New Roman"/>
          <w:sz w:val="27"/>
          <w:rtl/>
          <w:lang w:bidi="fa-IR"/>
        </w:rPr>
        <w:t xml:space="preserve"> </w:t>
      </w:r>
      <w:r w:rsidRPr="00904FCB">
        <w:rPr>
          <w:rFonts w:ascii="Times New Roman" w:hAnsi="Times New Roman" w:hint="cs"/>
          <w:sz w:val="27"/>
          <w:rtl/>
          <w:lang w:bidi="fa-IR"/>
        </w:rPr>
        <w:t>الصدور، من</w:t>
      </w:r>
      <w:r w:rsidRPr="00904FCB">
        <w:rPr>
          <w:rFonts w:ascii="Times New Roman" w:hAnsi="Times New Roman"/>
          <w:sz w:val="27"/>
          <w:rtl/>
          <w:lang w:bidi="fa-IR"/>
        </w:rPr>
        <w:t xml:space="preserve"> </w:t>
      </w:r>
      <w:r w:rsidRPr="00904FCB">
        <w:rPr>
          <w:rFonts w:ascii="Times New Roman" w:hAnsi="Times New Roman" w:hint="cs"/>
          <w:sz w:val="27"/>
          <w:rtl/>
          <w:lang w:bidi="fa-IR"/>
        </w:rPr>
        <w:t>باب</w:t>
      </w:r>
      <w:r w:rsidRPr="00904FCB">
        <w:rPr>
          <w:rFonts w:ascii="Times New Roman" w:hAnsi="Times New Roman"/>
          <w:sz w:val="27"/>
          <w:rtl/>
          <w:lang w:bidi="fa-IR"/>
        </w:rPr>
        <w:t xml:space="preserve"> </w:t>
      </w:r>
      <w:r w:rsidRPr="00904FCB">
        <w:rPr>
          <w:rFonts w:ascii="Times New Roman" w:hAnsi="Times New Roman" w:hint="cs"/>
          <w:sz w:val="27"/>
          <w:rtl/>
          <w:lang w:bidi="fa-IR"/>
        </w:rPr>
        <w:t>ترجيح</w:t>
      </w:r>
      <w:r w:rsidRPr="00904FCB">
        <w:rPr>
          <w:rFonts w:ascii="Times New Roman" w:hAnsi="Times New Roman"/>
          <w:sz w:val="27"/>
          <w:rtl/>
          <w:lang w:bidi="fa-IR"/>
        </w:rPr>
        <w:t xml:space="preserve"> </w:t>
      </w:r>
      <w:r w:rsidRPr="00904FCB">
        <w:rPr>
          <w:rFonts w:ascii="Times New Roman" w:hAnsi="Times New Roman" w:hint="cs"/>
          <w:sz w:val="27"/>
          <w:rtl/>
          <w:lang w:bidi="fa-IR"/>
        </w:rPr>
        <w:t>الغالب</w:t>
      </w:r>
      <w:r w:rsidRPr="00904FCB">
        <w:rPr>
          <w:rFonts w:ascii="Times New Roman" w:hAnsi="Times New Roman"/>
          <w:sz w:val="27"/>
          <w:rtl/>
          <w:lang w:bidi="fa-IR"/>
        </w:rPr>
        <w:t xml:space="preserve"> على </w:t>
      </w:r>
      <w:r w:rsidRPr="00904FCB">
        <w:rPr>
          <w:rFonts w:ascii="Times New Roman" w:hAnsi="Times New Roman" w:hint="cs"/>
          <w:sz w:val="27"/>
          <w:rtl/>
          <w:lang w:bidi="fa-IR"/>
        </w:rPr>
        <w:t>ا</w:t>
      </w:r>
      <w:r w:rsidRPr="00904FCB">
        <w:rPr>
          <w:rFonts w:ascii="Times New Roman" w:hAnsi="Times New Roman"/>
          <w:sz w:val="27"/>
          <w:rtl/>
          <w:lang w:bidi="fa-IR"/>
        </w:rPr>
        <w:t xml:space="preserve">لنادر.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3ـ</w:t>
      </w:r>
      <w:r w:rsidRPr="00904FCB">
        <w:rPr>
          <w:rFonts w:hint="cs"/>
          <w:color w:val="auto"/>
          <w:rtl/>
          <w:lang w:bidi="ar-LB"/>
        </w:rPr>
        <w:t xml:space="preserve"> </w:t>
      </w:r>
      <w:r w:rsidRPr="00904FCB">
        <w:rPr>
          <w:color w:val="auto"/>
          <w:rtl/>
          <w:lang w:bidi="fa-IR"/>
        </w:rPr>
        <w:t>دوران الفعل ب</w:t>
      </w:r>
      <w:r w:rsidRPr="00904FCB">
        <w:rPr>
          <w:rFonts w:hint="cs"/>
          <w:color w:val="auto"/>
          <w:rtl/>
          <w:lang w:bidi="fa-IR"/>
        </w:rPr>
        <w:t>ين</w:t>
      </w:r>
      <w:r w:rsidRPr="00904FCB">
        <w:rPr>
          <w:color w:val="auto"/>
          <w:rtl/>
          <w:lang w:bidi="fa-IR"/>
        </w:rPr>
        <w:t xml:space="preserve"> </w:t>
      </w:r>
      <w:r w:rsidRPr="00904FCB">
        <w:rPr>
          <w:rFonts w:hint="cs"/>
          <w:color w:val="auto"/>
          <w:rtl/>
          <w:lang w:bidi="fa-IR"/>
        </w:rPr>
        <w:t>الوجوب</w:t>
      </w:r>
      <w:r w:rsidRPr="00904FCB">
        <w:rPr>
          <w:color w:val="auto"/>
          <w:rtl/>
          <w:lang w:bidi="fa-IR"/>
        </w:rPr>
        <w:t xml:space="preserve"> </w:t>
      </w:r>
      <w:r w:rsidRPr="00904FCB">
        <w:rPr>
          <w:rFonts w:hint="cs"/>
          <w:color w:val="auto"/>
          <w:rtl/>
          <w:lang w:bidi="fa-IR"/>
        </w:rPr>
        <w:t>والندب</w:t>
      </w:r>
      <w:r w:rsidRPr="00904FCB">
        <w:rPr>
          <w:color w:val="auto"/>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لو ثبت فعل من أفعال النب</w:t>
      </w:r>
      <w:r w:rsidRPr="00904FCB">
        <w:rPr>
          <w:rFonts w:ascii="Times New Roman" w:hAnsi="Times New Roman" w:hint="cs"/>
          <w:sz w:val="27"/>
          <w:rtl/>
          <w:lang w:bidi="fa-IR"/>
        </w:rPr>
        <w:t>ي</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الأكرم</w:t>
      </w:r>
      <w:r w:rsidR="00635E51" w:rsidRPr="00904FCB">
        <w:rPr>
          <w:rFonts w:ascii="Times New Roman" w:hAnsi="Times New Roman" w:cs="Mosawi"/>
          <w:sz w:val="27"/>
          <w:szCs w:val="22"/>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بقصد</w:t>
      </w:r>
      <w:r w:rsidRPr="00904FCB">
        <w:rPr>
          <w:rFonts w:ascii="Times New Roman" w:hAnsi="Times New Roman"/>
          <w:sz w:val="27"/>
          <w:rtl/>
          <w:lang w:bidi="fa-IR"/>
        </w:rPr>
        <w:t xml:space="preserve"> </w:t>
      </w:r>
      <w:r w:rsidRPr="00904FCB">
        <w:rPr>
          <w:rFonts w:ascii="Times New Roman" w:hAnsi="Times New Roman" w:hint="cs"/>
          <w:sz w:val="27"/>
          <w:rtl/>
          <w:lang w:bidi="fa-IR"/>
        </w:rPr>
        <w:t>القربة، لكن</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ش</w:t>
      </w:r>
      <w:r w:rsidR="004526C3" w:rsidRPr="00904FCB">
        <w:rPr>
          <w:rFonts w:ascii="Times New Roman" w:hAnsi="Times New Roman" w:hint="cs"/>
          <w:sz w:val="27"/>
          <w:rtl/>
          <w:lang w:bidi="fa-IR"/>
        </w:rPr>
        <w:t>ُ</w:t>
      </w:r>
      <w:r w:rsidRPr="00904FCB">
        <w:rPr>
          <w:rFonts w:ascii="Times New Roman" w:hAnsi="Times New Roman" w:hint="cs"/>
          <w:sz w:val="27"/>
          <w:rtl/>
          <w:lang w:bidi="fa-IR"/>
        </w:rPr>
        <w:t>ك</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أنّه</w:t>
      </w:r>
      <w:r w:rsidRPr="00904FCB">
        <w:rPr>
          <w:rFonts w:ascii="Times New Roman" w:hAnsi="Times New Roman"/>
          <w:sz w:val="27"/>
          <w:rtl/>
          <w:lang w:bidi="fa-IR"/>
        </w:rPr>
        <w:t xml:space="preserve"> </w:t>
      </w:r>
      <w:r w:rsidRPr="00904FCB">
        <w:rPr>
          <w:rFonts w:ascii="Times New Roman" w:hAnsi="Times New Roman" w:hint="cs"/>
          <w:sz w:val="27"/>
          <w:rtl/>
          <w:lang w:bidi="fa-IR"/>
        </w:rPr>
        <w:t>واجب</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أم</w:t>
      </w:r>
      <w:r w:rsidRPr="00904FCB">
        <w:rPr>
          <w:rFonts w:ascii="Times New Roman" w:hAnsi="Times New Roman"/>
          <w:sz w:val="27"/>
          <w:rtl/>
          <w:lang w:bidi="fa-IR"/>
        </w:rPr>
        <w:t xml:space="preserve"> </w:t>
      </w:r>
      <w:r w:rsidRPr="00904FCB">
        <w:rPr>
          <w:rFonts w:ascii="Times New Roman" w:hAnsi="Times New Roman" w:hint="cs"/>
          <w:sz w:val="27"/>
          <w:rtl/>
          <w:lang w:bidi="fa-IR"/>
        </w:rPr>
        <w:t>مستحب</w:t>
      </w:r>
      <w:r w:rsidR="004526C3" w:rsidRPr="00904FCB">
        <w:rPr>
          <w:rFonts w:ascii="Times New Roman" w:hAnsi="Times New Roman" w:hint="cs"/>
          <w:sz w:val="27"/>
          <w:rtl/>
          <w:lang w:bidi="fa-IR"/>
        </w:rPr>
        <w:t>ّ؟</w:t>
      </w:r>
      <w:r w:rsidRPr="00904FCB">
        <w:rPr>
          <w:rFonts w:ascii="Times New Roman" w:hAnsi="Times New Roman" w:hint="cs"/>
          <w:sz w:val="27"/>
          <w:rtl/>
          <w:lang w:bidi="fa-IR"/>
        </w:rPr>
        <w:t xml:space="preserve"> فهل</w:t>
      </w:r>
      <w:r w:rsidRPr="00904FCB">
        <w:rPr>
          <w:rFonts w:ascii="Times New Roman" w:hAnsi="Times New Roman"/>
          <w:sz w:val="27"/>
          <w:rtl/>
          <w:lang w:bidi="fa-IR"/>
        </w:rPr>
        <w:t xml:space="preserve"> </w:t>
      </w:r>
      <w:r w:rsidRPr="00904FCB">
        <w:rPr>
          <w:rFonts w:ascii="Times New Roman" w:hAnsi="Times New Roman" w:hint="cs"/>
          <w:sz w:val="27"/>
          <w:rtl/>
          <w:lang w:bidi="fa-IR"/>
        </w:rPr>
        <w:t>يحمل</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الوجوب</w:t>
      </w:r>
      <w:r w:rsidRPr="00904FCB">
        <w:rPr>
          <w:rFonts w:ascii="Times New Roman" w:hAnsi="Times New Roman"/>
          <w:sz w:val="27"/>
          <w:rtl/>
          <w:lang w:bidi="fa-IR"/>
        </w:rPr>
        <w:t xml:space="preserve"> </w:t>
      </w:r>
      <w:r w:rsidRPr="00904FCB">
        <w:rPr>
          <w:rFonts w:ascii="Times New Roman" w:hAnsi="Times New Roman" w:hint="cs"/>
          <w:sz w:val="27"/>
          <w:rtl/>
          <w:lang w:bidi="fa-IR"/>
        </w:rPr>
        <w:t>أم</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الندب؟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hint="cs"/>
          <w:sz w:val="27"/>
          <w:rtl/>
          <w:lang w:bidi="fa-IR"/>
        </w:rPr>
        <w:t>يذكر</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هذه</w:t>
      </w:r>
      <w:r w:rsidRPr="00904FCB">
        <w:rPr>
          <w:rFonts w:ascii="Times New Roman" w:hAnsi="Times New Roman"/>
          <w:sz w:val="27"/>
          <w:rtl/>
          <w:lang w:bidi="fa-IR"/>
        </w:rPr>
        <w:t xml:space="preserve"> </w:t>
      </w:r>
      <w:r w:rsidRPr="00904FCB">
        <w:rPr>
          <w:rFonts w:ascii="Times New Roman" w:hAnsi="Times New Roman" w:hint="cs"/>
          <w:sz w:val="27"/>
          <w:rtl/>
          <w:lang w:bidi="fa-IR"/>
        </w:rPr>
        <w:t>المسألة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ذيل</w:t>
      </w:r>
      <w:r w:rsidRPr="00904FCB">
        <w:rPr>
          <w:rFonts w:ascii="Times New Roman" w:hAnsi="Times New Roman"/>
          <w:sz w:val="27"/>
          <w:rtl/>
          <w:lang w:bidi="fa-IR"/>
        </w:rPr>
        <w:t xml:space="preserve"> </w:t>
      </w:r>
      <w:r w:rsidRPr="00904FCB">
        <w:rPr>
          <w:rFonts w:ascii="Times New Roman" w:hAnsi="Times New Roman" w:hint="cs"/>
          <w:sz w:val="27"/>
          <w:rtl/>
          <w:lang w:bidi="fa-IR"/>
        </w:rPr>
        <w:t>القاعدة</w:t>
      </w:r>
      <w:r w:rsidRPr="00904FCB">
        <w:rPr>
          <w:rFonts w:ascii="Times New Roman" w:hAnsi="Times New Roman"/>
          <w:sz w:val="27"/>
          <w:rtl/>
          <w:lang w:bidi="fa-IR"/>
        </w:rPr>
        <w:t xml:space="preserve"> (</w:t>
      </w:r>
      <w:r w:rsidRPr="00B769C0">
        <w:rPr>
          <w:rFonts w:ascii="Times New Roman" w:hAnsi="Times New Roman" w:hint="cs"/>
          <w:sz w:val="27"/>
          <w:rtl/>
          <w:lang w:bidi="ar-LB"/>
        </w:rPr>
        <w:t>89</w:t>
      </w:r>
      <w:r w:rsidRPr="00904FCB">
        <w:rPr>
          <w:rFonts w:ascii="Times New Roman" w:hAnsi="Times New Roman"/>
          <w:sz w:val="27"/>
          <w:rtl/>
          <w:lang w:bidi="fa-IR"/>
        </w:rPr>
        <w:t xml:space="preserve">)، </w:t>
      </w:r>
      <w:r w:rsidRPr="00904FCB">
        <w:rPr>
          <w:rFonts w:ascii="Times New Roman" w:hAnsi="Times New Roman" w:hint="cs"/>
          <w:sz w:val="27"/>
          <w:rtl/>
          <w:lang w:bidi="fa-IR"/>
        </w:rPr>
        <w:t>ويعقّ</w:t>
      </w:r>
      <w:r w:rsidR="004526C3" w:rsidRPr="00904FCB">
        <w:rPr>
          <w:rFonts w:ascii="Times New Roman" w:hAnsi="Times New Roman" w:hint="cs"/>
          <w:sz w:val="27"/>
          <w:rtl/>
          <w:lang w:bidi="fa-IR"/>
        </w:rPr>
        <w:t>ِ</w:t>
      </w:r>
      <w:r w:rsidRPr="00904FCB">
        <w:rPr>
          <w:rFonts w:ascii="Times New Roman" w:hAnsi="Times New Roman" w:hint="cs"/>
          <w:sz w:val="27"/>
          <w:rtl/>
          <w:lang w:bidi="fa-IR"/>
        </w:rPr>
        <w:t>ب</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لها</w:t>
      </w:r>
      <w:r w:rsidRPr="00904FCB">
        <w:rPr>
          <w:rFonts w:ascii="Times New Roman" w:hAnsi="Times New Roman"/>
          <w:sz w:val="27"/>
          <w:rtl/>
          <w:lang w:bidi="fa-IR"/>
        </w:rPr>
        <w:t xml:space="preserve"> </w:t>
      </w:r>
      <w:r w:rsidRPr="00904FCB">
        <w:rPr>
          <w:rFonts w:ascii="Times New Roman" w:hAnsi="Times New Roman" w:hint="cs"/>
          <w:sz w:val="27"/>
          <w:rtl/>
          <w:lang w:bidi="fa-IR"/>
        </w:rPr>
        <w:t>ثمرات</w:t>
      </w:r>
      <w:r w:rsidRPr="00904FCB">
        <w:rPr>
          <w:rFonts w:ascii="Times New Roman" w:hAnsi="Times New Roman"/>
          <w:sz w:val="27"/>
          <w:rtl/>
          <w:lang w:bidi="fa-IR"/>
        </w:rPr>
        <w:t xml:space="preserve"> </w:t>
      </w:r>
      <w:r w:rsidRPr="00904FCB">
        <w:rPr>
          <w:rFonts w:ascii="Times New Roman" w:hAnsi="Times New Roman" w:hint="cs"/>
          <w:sz w:val="27"/>
          <w:rtl/>
          <w:lang w:bidi="fa-IR"/>
        </w:rPr>
        <w:t>فق</w:t>
      </w:r>
      <w:r w:rsidRPr="00904FCB">
        <w:rPr>
          <w:rFonts w:ascii="Times New Roman" w:hAnsi="Times New Roman"/>
          <w:sz w:val="27"/>
          <w:rtl/>
          <w:lang w:bidi="fa-IR"/>
        </w:rPr>
        <w:t>هية، منها: رعا</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التأس</w:t>
      </w:r>
      <w:r w:rsidR="004526C3" w:rsidRPr="00904FCB">
        <w:rPr>
          <w:rFonts w:ascii="Times New Roman" w:hAnsi="Times New Roman" w:hint="cs"/>
          <w:sz w:val="27"/>
          <w:rtl/>
          <w:lang w:bidi="fa-IR"/>
        </w:rPr>
        <w:t>ّ</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برسول</w:t>
      </w:r>
      <w:r w:rsidRPr="00904FCB">
        <w:rPr>
          <w:rFonts w:ascii="Times New Roman" w:hAnsi="Times New Roman"/>
          <w:sz w:val="27"/>
          <w:rtl/>
          <w:lang w:bidi="fa-IR"/>
        </w:rPr>
        <w:t xml:space="preserve"> </w:t>
      </w:r>
      <w:r w:rsidRPr="00904FCB">
        <w:rPr>
          <w:rFonts w:ascii="Times New Roman" w:hAnsi="Times New Roman" w:hint="cs"/>
          <w:sz w:val="27"/>
          <w:rtl/>
          <w:lang w:bidi="fa-IR"/>
        </w:rPr>
        <w:t>الله</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تحصيل</w:t>
      </w:r>
      <w:r w:rsidRPr="00904FCB">
        <w:rPr>
          <w:rFonts w:ascii="Times New Roman" w:hAnsi="Times New Roman"/>
          <w:sz w:val="27"/>
          <w:rtl/>
          <w:lang w:bidi="fa-IR"/>
        </w:rPr>
        <w:t xml:space="preserve"> </w:t>
      </w:r>
      <w:r w:rsidRPr="00904FCB">
        <w:rPr>
          <w:rFonts w:ascii="Times New Roman" w:hAnsi="Times New Roman" w:hint="cs"/>
          <w:sz w:val="27"/>
          <w:rtl/>
          <w:lang w:bidi="fa-IR"/>
        </w:rPr>
        <w:t>الطهارة</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غير</w:t>
      </w:r>
      <w:r w:rsidRPr="00904FCB">
        <w:rPr>
          <w:rFonts w:ascii="Times New Roman" w:hAnsi="Times New Roman"/>
          <w:sz w:val="27"/>
          <w:rtl/>
          <w:lang w:bidi="fa-IR"/>
        </w:rPr>
        <w:t xml:space="preserve"> </w:t>
      </w:r>
      <w:r w:rsidRPr="00904FCB">
        <w:rPr>
          <w:rFonts w:ascii="Times New Roman" w:hAnsi="Times New Roman" w:hint="cs"/>
          <w:sz w:val="27"/>
          <w:rtl/>
          <w:lang w:bidi="fa-IR"/>
        </w:rPr>
        <w:t>الغسل، والموالاة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الطواف، وتقد</w:t>
      </w:r>
      <w:r w:rsidR="004526C3" w:rsidRPr="00904FCB">
        <w:rPr>
          <w:rFonts w:ascii="Times New Roman" w:hAnsi="Times New Roman" w:hint="cs"/>
          <w:sz w:val="27"/>
          <w:rtl/>
          <w:lang w:bidi="fa-IR"/>
        </w:rPr>
        <w:t>ّ</w:t>
      </w:r>
      <w:r w:rsidRPr="00904FCB">
        <w:rPr>
          <w:rFonts w:ascii="Times New Roman" w:hAnsi="Times New Roman" w:hint="cs"/>
          <w:sz w:val="27"/>
          <w:rtl/>
          <w:lang w:bidi="fa-IR"/>
        </w:rPr>
        <w:t>م</w:t>
      </w:r>
      <w:r w:rsidRPr="00904FCB">
        <w:rPr>
          <w:rFonts w:ascii="Times New Roman" w:hAnsi="Times New Roman"/>
          <w:sz w:val="27"/>
          <w:rtl/>
          <w:lang w:bidi="fa-IR"/>
        </w:rPr>
        <w:t xml:space="preserve"> </w:t>
      </w:r>
      <w:r w:rsidRPr="00904FCB">
        <w:rPr>
          <w:rFonts w:ascii="Times New Roman" w:hAnsi="Times New Roman" w:hint="cs"/>
          <w:sz w:val="27"/>
          <w:rtl/>
          <w:lang w:bidi="fa-IR"/>
        </w:rPr>
        <w:t>خطبة</w:t>
      </w:r>
      <w:r w:rsidRPr="00904FCB">
        <w:rPr>
          <w:rFonts w:ascii="Times New Roman" w:hAnsi="Times New Roman"/>
          <w:sz w:val="27"/>
          <w:rtl/>
          <w:lang w:bidi="fa-IR"/>
        </w:rPr>
        <w:t xml:space="preserve"> </w:t>
      </w:r>
      <w:r w:rsidRPr="00904FCB">
        <w:rPr>
          <w:rFonts w:ascii="Times New Roman" w:hAnsi="Times New Roman" w:hint="cs"/>
          <w:sz w:val="27"/>
          <w:rtl/>
          <w:lang w:bidi="fa-IR"/>
        </w:rPr>
        <w:t>الجمعة</w:t>
      </w:r>
      <w:r w:rsidRPr="00904FCB">
        <w:rPr>
          <w:rFonts w:ascii="Times New Roman" w:hAnsi="Times New Roman"/>
          <w:sz w:val="27"/>
          <w:rtl/>
          <w:lang w:bidi="fa-IR"/>
        </w:rPr>
        <w:t xml:space="preserve"> </w:t>
      </w:r>
      <w:r w:rsidRPr="00904FCB">
        <w:rPr>
          <w:rFonts w:ascii="Times New Roman" w:hAnsi="Times New Roman" w:hint="cs"/>
          <w:sz w:val="27"/>
          <w:rtl/>
          <w:lang w:bidi="fa-IR"/>
        </w:rPr>
        <w:t>أو</w:t>
      </w:r>
      <w:r w:rsidRPr="00904FCB">
        <w:rPr>
          <w:rFonts w:ascii="Times New Roman" w:hAnsi="Times New Roman"/>
          <w:sz w:val="27"/>
          <w:rtl/>
          <w:lang w:bidi="fa-IR"/>
        </w:rPr>
        <w:t xml:space="preserve"> </w:t>
      </w:r>
      <w:r w:rsidRPr="00904FCB">
        <w:rPr>
          <w:rFonts w:ascii="Times New Roman" w:hAnsi="Times New Roman" w:hint="cs"/>
          <w:sz w:val="27"/>
          <w:rtl/>
          <w:lang w:bidi="fa-IR"/>
        </w:rPr>
        <w:t>العيد</w:t>
      </w:r>
      <w:r w:rsidRPr="00904FCB">
        <w:rPr>
          <w:rFonts w:ascii="Times New Roman" w:hAnsi="Times New Roman"/>
          <w:sz w:val="27"/>
          <w:rtl/>
          <w:lang w:bidi="fa-IR"/>
        </w:rPr>
        <w:t xml:space="preserve"> </w:t>
      </w:r>
      <w:r w:rsidRPr="00904FCB">
        <w:rPr>
          <w:rFonts w:ascii="Times New Roman" w:hAnsi="Times New Roman" w:hint="cs"/>
          <w:sz w:val="27"/>
          <w:rtl/>
          <w:lang w:bidi="fa-IR"/>
        </w:rPr>
        <w:t>إذا</w:t>
      </w:r>
      <w:r w:rsidRPr="00904FCB">
        <w:rPr>
          <w:rFonts w:ascii="Times New Roman" w:hAnsi="Times New Roman"/>
          <w:sz w:val="27"/>
          <w:rtl/>
          <w:lang w:bidi="fa-IR"/>
        </w:rPr>
        <w:t xml:space="preserve"> </w:t>
      </w:r>
      <w:r w:rsidRPr="00904FCB">
        <w:rPr>
          <w:rFonts w:ascii="Times New Roman" w:hAnsi="Times New Roman" w:hint="cs"/>
          <w:sz w:val="27"/>
          <w:rtl/>
          <w:lang w:bidi="fa-IR"/>
        </w:rPr>
        <w:t>اجتمعا، والمبيت</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المشعر</w:t>
      </w:r>
      <w:r w:rsidRPr="00904FCB">
        <w:rPr>
          <w:rFonts w:ascii="Times New Roman" w:hAnsi="Times New Roman"/>
          <w:sz w:val="27"/>
          <w:rtl/>
          <w:lang w:bidi="fa-IR"/>
        </w:rPr>
        <w:t xml:space="preserve"> </w:t>
      </w:r>
      <w:r w:rsidRPr="00904FCB">
        <w:rPr>
          <w:rFonts w:ascii="Times New Roman" w:hAnsi="Times New Roman" w:hint="cs"/>
          <w:sz w:val="27"/>
          <w:rtl/>
          <w:lang w:bidi="fa-IR"/>
        </w:rPr>
        <w:t>الحرام</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وغير</w:t>
      </w:r>
      <w:r w:rsidRPr="00904FCB">
        <w:rPr>
          <w:rFonts w:ascii="Times New Roman" w:hAnsi="Times New Roman"/>
          <w:sz w:val="27"/>
          <w:rtl/>
          <w:lang w:bidi="fa-IR"/>
        </w:rPr>
        <w:t xml:space="preserve"> </w:t>
      </w:r>
      <w:r w:rsidRPr="00904FCB">
        <w:rPr>
          <w:rFonts w:ascii="Times New Roman" w:hAnsi="Times New Roman" w:hint="cs"/>
          <w:sz w:val="27"/>
          <w:rtl/>
          <w:lang w:bidi="fa-IR"/>
        </w:rPr>
        <w:t>ذلك</w:t>
      </w:r>
      <w:r w:rsidRPr="00904FCB">
        <w:rPr>
          <w:rFonts w:ascii="Times New Roman" w:hAnsi="Times New Roman"/>
          <w:sz w:val="27"/>
          <w:rtl/>
          <w:lang w:bidi="fa-IR"/>
        </w:rPr>
        <w:t xml:space="preserve">. </w:t>
      </w:r>
    </w:p>
    <w:p w:rsidR="00057E24" w:rsidRPr="00904FCB" w:rsidRDefault="00057E24" w:rsidP="00510A75">
      <w:pPr>
        <w:spacing w:line="400" w:lineRule="exact"/>
        <w:rPr>
          <w:rFonts w:ascii="Times New Roman" w:hAnsi="Times New Roman"/>
          <w:sz w:val="27"/>
          <w:rtl/>
          <w:lang w:bidi="fa-IR"/>
        </w:rPr>
      </w:pPr>
      <w:r w:rsidRPr="00904FCB">
        <w:rPr>
          <w:rFonts w:ascii="Times New Roman" w:hAnsi="Times New Roman"/>
          <w:sz w:val="27"/>
          <w:rtl/>
          <w:lang w:bidi="fa-IR"/>
        </w:rPr>
        <w:t>ومن هنا فمن الضرور</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مطالعة</w:t>
      </w:r>
      <w:r w:rsidRPr="00904FCB">
        <w:rPr>
          <w:rFonts w:ascii="Times New Roman" w:hAnsi="Times New Roman"/>
          <w:sz w:val="27"/>
          <w:rtl/>
          <w:lang w:bidi="fa-IR"/>
        </w:rPr>
        <w:t xml:space="preserve"> </w:t>
      </w:r>
      <w:r w:rsidRPr="00904FCB">
        <w:rPr>
          <w:rFonts w:ascii="Times New Roman" w:hAnsi="Times New Roman" w:hint="cs"/>
          <w:sz w:val="27"/>
          <w:rtl/>
          <w:lang w:bidi="fa-IR"/>
        </w:rPr>
        <w:t>تاريخ</w:t>
      </w:r>
      <w:r w:rsidRPr="00904FCB">
        <w:rPr>
          <w:rFonts w:ascii="Times New Roman" w:hAnsi="Times New Roman"/>
          <w:sz w:val="27"/>
          <w:rtl/>
          <w:lang w:bidi="fa-IR"/>
        </w:rPr>
        <w:t xml:space="preserve"> </w:t>
      </w:r>
      <w:r w:rsidRPr="00904FCB">
        <w:rPr>
          <w:rFonts w:ascii="Times New Roman" w:hAnsi="Times New Roman" w:hint="cs"/>
          <w:sz w:val="27"/>
          <w:rtl/>
          <w:lang w:bidi="fa-IR"/>
        </w:rPr>
        <w:t>وسيرة</w:t>
      </w:r>
      <w:r w:rsidRPr="00904FCB">
        <w:rPr>
          <w:rFonts w:ascii="Times New Roman" w:hAnsi="Times New Roman"/>
          <w:sz w:val="27"/>
          <w:rtl/>
          <w:lang w:bidi="fa-IR"/>
        </w:rPr>
        <w:t xml:space="preserve"> </w:t>
      </w:r>
      <w:r w:rsidRPr="00904FCB">
        <w:rPr>
          <w:rFonts w:ascii="Times New Roman" w:hAnsi="Times New Roman" w:hint="cs"/>
          <w:sz w:val="27"/>
          <w:rtl/>
          <w:lang w:bidi="fa-IR"/>
        </w:rPr>
        <w:t>المعصومين</w:t>
      </w:r>
      <w:r w:rsidR="00510A75" w:rsidRPr="00904FCB">
        <w:rPr>
          <w:rFonts w:ascii="Mosawi" w:hAnsi="Mosawi" w:cs="Mosawi"/>
          <w:sz w:val="27"/>
          <w:rtl/>
          <w:lang w:bidi="fa-IR"/>
        </w:rPr>
        <w:t>^</w:t>
      </w:r>
      <w:r w:rsidR="004526C3" w:rsidRPr="00904FCB">
        <w:rPr>
          <w:rFonts w:ascii="Times New Roman" w:hAnsi="Times New Roman" w:hint="cs"/>
          <w:sz w:val="27"/>
          <w:rtl/>
          <w:lang w:bidi="fa-IR"/>
        </w:rPr>
        <w:t>؛</w:t>
      </w:r>
      <w:r w:rsidRPr="00904FCB">
        <w:rPr>
          <w:rFonts w:ascii="Times New Roman" w:hAnsi="Times New Roman" w:hint="cs"/>
          <w:sz w:val="27"/>
          <w:rtl/>
          <w:lang w:bidi="fa-IR"/>
        </w:rPr>
        <w:t xml:space="preserve"> حيث</w:t>
      </w:r>
      <w:r w:rsidRPr="00904FCB">
        <w:rPr>
          <w:rFonts w:ascii="Times New Roman" w:hAnsi="Times New Roman"/>
          <w:sz w:val="27"/>
          <w:rtl/>
          <w:lang w:bidi="fa-IR"/>
        </w:rPr>
        <w:t xml:space="preserve"> </w:t>
      </w:r>
      <w:r w:rsidRPr="00904FCB">
        <w:rPr>
          <w:rFonts w:ascii="Times New Roman" w:hAnsi="Times New Roman" w:hint="cs"/>
          <w:sz w:val="27"/>
          <w:rtl/>
          <w:lang w:bidi="fa-IR"/>
        </w:rPr>
        <w:t>إن</w:t>
      </w:r>
      <w:r w:rsidRPr="00904FCB">
        <w:rPr>
          <w:rFonts w:ascii="Times New Roman" w:hAnsi="Times New Roman"/>
          <w:sz w:val="27"/>
          <w:rtl/>
          <w:lang w:bidi="fa-IR"/>
        </w:rPr>
        <w:t xml:space="preserve"> </w:t>
      </w:r>
      <w:r w:rsidRPr="00904FCB">
        <w:rPr>
          <w:rFonts w:ascii="Times New Roman" w:hAnsi="Times New Roman" w:hint="cs"/>
          <w:sz w:val="27"/>
          <w:rtl/>
          <w:lang w:bidi="fa-IR"/>
        </w:rPr>
        <w:t>مصاديق</w:t>
      </w:r>
      <w:r w:rsidRPr="00904FCB">
        <w:rPr>
          <w:rFonts w:ascii="Times New Roman" w:hAnsi="Times New Roman"/>
          <w:sz w:val="27"/>
          <w:rtl/>
          <w:lang w:bidi="fa-IR"/>
        </w:rPr>
        <w:t xml:space="preserve"> </w:t>
      </w:r>
      <w:r w:rsidRPr="00904FCB">
        <w:rPr>
          <w:rFonts w:ascii="Times New Roman" w:hAnsi="Times New Roman" w:hint="cs"/>
          <w:sz w:val="27"/>
          <w:rtl/>
          <w:lang w:bidi="fa-IR"/>
        </w:rPr>
        <w:t>هذه</w:t>
      </w:r>
      <w:r w:rsidRPr="00904FCB">
        <w:rPr>
          <w:rFonts w:ascii="Times New Roman" w:hAnsi="Times New Roman"/>
          <w:sz w:val="27"/>
          <w:rtl/>
          <w:lang w:bidi="fa-IR"/>
        </w:rPr>
        <w:t xml:space="preserve"> </w:t>
      </w:r>
      <w:r w:rsidRPr="00904FCB">
        <w:rPr>
          <w:rFonts w:ascii="Times New Roman" w:hAnsi="Times New Roman" w:hint="cs"/>
          <w:sz w:val="27"/>
          <w:rtl/>
          <w:lang w:bidi="fa-IR"/>
        </w:rPr>
        <w:t>المسألة</w:t>
      </w:r>
      <w:r w:rsidRPr="00904FCB">
        <w:rPr>
          <w:rFonts w:ascii="Times New Roman" w:hAnsi="Times New Roman"/>
          <w:sz w:val="27"/>
          <w:rtl/>
          <w:lang w:bidi="fa-IR"/>
        </w:rPr>
        <w:t xml:space="preserve"> </w:t>
      </w:r>
      <w:r w:rsidRPr="00904FCB">
        <w:rPr>
          <w:rFonts w:ascii="Times New Roman" w:hAnsi="Times New Roman" w:hint="cs"/>
          <w:sz w:val="27"/>
          <w:rtl/>
          <w:lang w:bidi="fa-IR"/>
        </w:rPr>
        <w:t>وما</w:t>
      </w:r>
      <w:r w:rsidRPr="00904FCB">
        <w:rPr>
          <w:rFonts w:ascii="Times New Roman" w:hAnsi="Times New Roman"/>
          <w:sz w:val="27"/>
          <w:rtl/>
          <w:lang w:bidi="fa-IR"/>
        </w:rPr>
        <w:t xml:space="preserve"> </w:t>
      </w:r>
      <w:r w:rsidRPr="00904FCB">
        <w:rPr>
          <w:rFonts w:ascii="Times New Roman" w:hAnsi="Times New Roman" w:hint="cs"/>
          <w:sz w:val="27"/>
          <w:rtl/>
          <w:lang w:bidi="fa-IR"/>
        </w:rPr>
        <w:t>يماثلها</w:t>
      </w:r>
      <w:r w:rsidRPr="00904FCB">
        <w:rPr>
          <w:rFonts w:ascii="Times New Roman" w:hAnsi="Times New Roman"/>
          <w:sz w:val="27"/>
          <w:rtl/>
          <w:lang w:bidi="fa-IR"/>
        </w:rPr>
        <w:t xml:space="preserve"> تكثر 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سيرتهم</w:t>
      </w:r>
      <w:r w:rsidR="00510A75" w:rsidRPr="00904FCB">
        <w:rPr>
          <w:rFonts w:ascii="Mosawi" w:hAnsi="Mosawi" w:cs="Mosawi"/>
          <w:sz w:val="27"/>
          <w:rtl/>
          <w:lang w:bidi="fa-IR"/>
        </w:rPr>
        <w:t>^</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4ـ</w:t>
      </w:r>
      <w:r w:rsidRPr="00904FCB">
        <w:rPr>
          <w:rFonts w:hint="cs"/>
          <w:color w:val="auto"/>
          <w:rtl/>
          <w:lang w:bidi="ar-LB"/>
        </w:rPr>
        <w:t xml:space="preserve"> </w:t>
      </w:r>
      <w:r w:rsidRPr="00B769C0">
        <w:rPr>
          <w:color w:val="auto"/>
          <w:rtl/>
          <w:lang w:bidi="fa-IR"/>
        </w:rPr>
        <w:t>تعارض</w:t>
      </w:r>
      <w:r w:rsidRPr="00904FCB">
        <w:rPr>
          <w:color w:val="auto"/>
          <w:rtl/>
          <w:lang w:bidi="fa-IR"/>
        </w:rPr>
        <w:t xml:space="preserve"> الأصل والظاهر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من البحوث الت</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انفرد</w:t>
      </w:r>
      <w:r w:rsidRPr="00904FCB">
        <w:rPr>
          <w:rFonts w:ascii="Times New Roman" w:hAnsi="Times New Roman"/>
          <w:sz w:val="27"/>
          <w:rtl/>
          <w:lang w:bidi="fa-IR"/>
        </w:rPr>
        <w:t xml:space="preserve"> </w:t>
      </w:r>
      <w:r w:rsidR="004526C3" w:rsidRPr="00904FCB">
        <w:rPr>
          <w:rFonts w:ascii="Times New Roman" w:hAnsi="Times New Roman" w:hint="cs"/>
          <w:sz w:val="27"/>
          <w:rtl/>
          <w:lang w:bidi="fa-IR"/>
        </w:rPr>
        <w:t>الش</w:t>
      </w:r>
      <w:r w:rsidR="004526C3" w:rsidRPr="00904FCB">
        <w:rPr>
          <w:rFonts w:ascii="Times New Roman" w:hAnsi="Times New Roman"/>
          <w:sz w:val="27"/>
          <w:rtl/>
          <w:lang w:bidi="fa-IR"/>
        </w:rPr>
        <w:t>هيد الثان</w:t>
      </w:r>
      <w:r w:rsidR="004526C3" w:rsidRPr="00904FCB">
        <w:rPr>
          <w:rFonts w:ascii="Times New Roman" w:hAnsi="Times New Roman" w:hint="cs"/>
          <w:sz w:val="27"/>
          <w:rtl/>
          <w:lang w:bidi="fa-IR"/>
        </w:rPr>
        <w:t>ي</w:t>
      </w:r>
      <w:r w:rsidR="004526C3" w:rsidRPr="00904FCB">
        <w:rPr>
          <w:rFonts w:ascii="Times New Roman" w:hAnsi="Times New Roman"/>
          <w:sz w:val="27"/>
          <w:rtl/>
          <w:lang w:bidi="fa-IR"/>
        </w:rPr>
        <w:t xml:space="preserve"> </w:t>
      </w:r>
      <w:r w:rsidRPr="00904FCB">
        <w:rPr>
          <w:rFonts w:ascii="Times New Roman" w:hAnsi="Times New Roman" w:hint="cs"/>
          <w:sz w:val="27"/>
          <w:rtl/>
          <w:lang w:bidi="fa-IR"/>
        </w:rPr>
        <w:t>بطرحها</w:t>
      </w:r>
      <w:r w:rsidRPr="00904FCB">
        <w:rPr>
          <w:rFonts w:ascii="Times New Roman" w:hAnsi="Times New Roman"/>
          <w:sz w:val="27"/>
          <w:rtl/>
          <w:lang w:bidi="fa-IR"/>
        </w:rPr>
        <w:t xml:space="preserve"> </w:t>
      </w:r>
      <w:r w:rsidRPr="00904FCB">
        <w:rPr>
          <w:rFonts w:ascii="Times New Roman" w:hAnsi="Times New Roman" w:hint="cs"/>
          <w:sz w:val="27"/>
          <w:rtl/>
          <w:lang w:bidi="fa-IR"/>
        </w:rPr>
        <w:t>بحث</w:t>
      </w:r>
      <w:r w:rsidRPr="00904FCB">
        <w:rPr>
          <w:rFonts w:ascii="Times New Roman" w:hAnsi="Times New Roman"/>
          <w:sz w:val="27"/>
          <w:rtl/>
          <w:lang w:bidi="fa-IR"/>
        </w:rPr>
        <w:t xml:space="preserve"> </w:t>
      </w:r>
      <w:r w:rsidRPr="00904FCB">
        <w:rPr>
          <w:rFonts w:ascii="Times New Roman" w:hAnsi="Times New Roman" w:hint="cs"/>
          <w:sz w:val="27"/>
          <w:rtl/>
          <w:lang w:bidi="fa-IR"/>
        </w:rPr>
        <w:t>تعارض</w:t>
      </w:r>
      <w:r w:rsidRPr="00904FCB">
        <w:rPr>
          <w:rFonts w:ascii="Times New Roman" w:hAnsi="Times New Roman"/>
          <w:sz w:val="27"/>
          <w:rtl/>
          <w:lang w:bidi="fa-IR"/>
        </w:rPr>
        <w:t xml:space="preserve"> </w:t>
      </w:r>
      <w:r w:rsidRPr="00904FCB">
        <w:rPr>
          <w:rFonts w:ascii="Times New Roman" w:hAnsi="Times New Roman" w:hint="cs"/>
          <w:sz w:val="27"/>
          <w:rtl/>
          <w:lang w:bidi="fa-IR"/>
        </w:rPr>
        <w:t>الأصل</w:t>
      </w:r>
      <w:r w:rsidRPr="00904FCB">
        <w:rPr>
          <w:rFonts w:ascii="Times New Roman" w:hAnsi="Times New Roman"/>
          <w:sz w:val="27"/>
          <w:rtl/>
          <w:lang w:bidi="fa-IR"/>
        </w:rPr>
        <w:t xml:space="preserve"> </w:t>
      </w:r>
      <w:r w:rsidRPr="00904FCB">
        <w:rPr>
          <w:rFonts w:ascii="Times New Roman" w:hAnsi="Times New Roman" w:hint="cs"/>
          <w:sz w:val="27"/>
          <w:rtl/>
          <w:lang w:bidi="fa-IR"/>
        </w:rPr>
        <w:t>مع</w:t>
      </w:r>
      <w:r w:rsidRPr="00904FCB">
        <w:rPr>
          <w:rFonts w:ascii="Times New Roman" w:hAnsi="Times New Roman"/>
          <w:sz w:val="27"/>
          <w:rtl/>
          <w:lang w:bidi="fa-IR"/>
        </w:rPr>
        <w:t xml:space="preserve"> </w:t>
      </w:r>
      <w:r w:rsidRPr="00904FCB">
        <w:rPr>
          <w:rFonts w:ascii="Times New Roman" w:hAnsi="Times New Roman" w:hint="cs"/>
          <w:sz w:val="27"/>
          <w:rtl/>
          <w:lang w:bidi="fa-IR"/>
        </w:rPr>
        <w:t>الظاهر</w:t>
      </w:r>
      <w:r w:rsidR="004526C3"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الذي</w:t>
      </w:r>
      <w:r w:rsidRPr="00904FCB">
        <w:rPr>
          <w:rFonts w:ascii="Times New Roman" w:hAnsi="Times New Roman"/>
          <w:sz w:val="27"/>
          <w:rtl/>
          <w:lang w:bidi="fa-IR"/>
        </w:rPr>
        <w:t xml:space="preserve"> </w:t>
      </w:r>
      <w:r w:rsidRPr="00904FCB">
        <w:rPr>
          <w:rFonts w:ascii="Times New Roman" w:hAnsi="Times New Roman" w:hint="cs"/>
          <w:sz w:val="27"/>
          <w:rtl/>
          <w:lang w:bidi="fa-IR"/>
        </w:rPr>
        <w:t>يعالجه</w:t>
      </w:r>
      <w:r w:rsidRPr="00904FCB">
        <w:rPr>
          <w:rFonts w:ascii="Times New Roman" w:hAnsi="Times New Roman"/>
          <w:sz w:val="27"/>
          <w:rtl/>
          <w:lang w:bidi="fa-IR"/>
        </w:rPr>
        <w:t xml:space="preserve"> </w:t>
      </w:r>
      <w:r w:rsidRPr="00904FCB">
        <w:rPr>
          <w:rFonts w:ascii="Times New Roman" w:hAnsi="Times New Roman" w:hint="cs"/>
          <w:sz w:val="27"/>
          <w:rtl/>
          <w:lang w:bidi="fa-IR"/>
        </w:rPr>
        <w:t>مفصّلاً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القاعدة</w:t>
      </w:r>
      <w:r w:rsidRPr="00904FCB">
        <w:rPr>
          <w:rFonts w:ascii="Times New Roman" w:hAnsi="Times New Roman"/>
          <w:sz w:val="27"/>
          <w:rtl/>
          <w:lang w:bidi="fa-IR"/>
        </w:rPr>
        <w:t xml:space="preserve"> (</w:t>
      </w:r>
      <w:r w:rsidRPr="00B769C0">
        <w:rPr>
          <w:rFonts w:ascii="Times New Roman" w:hAnsi="Times New Roman" w:hint="cs"/>
          <w:sz w:val="27"/>
          <w:rtl/>
          <w:lang w:bidi="ar-LB"/>
        </w:rPr>
        <w:t>99</w:t>
      </w:r>
      <w:r w:rsidRPr="00904FCB">
        <w:rPr>
          <w:rFonts w:ascii="Times New Roman" w:hAnsi="Times New Roman"/>
          <w:sz w:val="27"/>
          <w:rtl/>
          <w:lang w:bidi="fa-IR"/>
        </w:rPr>
        <w:t xml:space="preserve">)، </w:t>
      </w:r>
      <w:r w:rsidRPr="00904FCB">
        <w:rPr>
          <w:rFonts w:ascii="Times New Roman" w:hAnsi="Times New Roman" w:hint="cs"/>
          <w:sz w:val="27"/>
          <w:rtl/>
          <w:lang w:bidi="fa-IR"/>
        </w:rPr>
        <w:t>حيث</w:t>
      </w:r>
      <w:r w:rsidRPr="00904FCB">
        <w:rPr>
          <w:rFonts w:ascii="Times New Roman" w:hAnsi="Times New Roman"/>
          <w:sz w:val="27"/>
          <w:rtl/>
          <w:lang w:bidi="fa-IR"/>
        </w:rPr>
        <w:t xml:space="preserve"> </w:t>
      </w:r>
      <w:r w:rsidRPr="00904FCB">
        <w:rPr>
          <w:rFonts w:ascii="Times New Roman" w:hAnsi="Times New Roman" w:hint="cs"/>
          <w:sz w:val="27"/>
          <w:rtl/>
          <w:lang w:bidi="fa-IR"/>
        </w:rPr>
        <w:t>يبحثه</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أربعة أقسام: </w:t>
      </w:r>
    </w:p>
    <w:p w:rsidR="00057E24" w:rsidRPr="00904FCB" w:rsidRDefault="00057E24" w:rsidP="004722A1">
      <w:pPr>
        <w:spacing w:line="400" w:lineRule="exact"/>
        <w:rPr>
          <w:rFonts w:ascii="Times New Roman" w:hAnsi="Times New Roman"/>
          <w:sz w:val="27"/>
          <w:rtl/>
          <w:lang w:bidi="fa-IR"/>
        </w:rPr>
      </w:pPr>
      <w:r w:rsidRPr="00904FCB">
        <w:rPr>
          <w:rFonts w:ascii="Times New Roman" w:hAnsi="Times New Roman"/>
          <w:b/>
          <w:bCs/>
          <w:sz w:val="27"/>
          <w:rtl/>
          <w:lang w:bidi="fa-IR"/>
        </w:rPr>
        <w:t>أو</w:t>
      </w:r>
      <w:r w:rsidR="004526C3" w:rsidRPr="00904FCB">
        <w:rPr>
          <w:rFonts w:ascii="Times New Roman" w:hAnsi="Times New Roman" w:hint="cs"/>
          <w:b/>
          <w:bCs/>
          <w:sz w:val="27"/>
          <w:rtl/>
          <w:lang w:bidi="fa-IR"/>
        </w:rPr>
        <w:t>ّ</w:t>
      </w:r>
      <w:r w:rsidRPr="00904FCB">
        <w:rPr>
          <w:rFonts w:ascii="Times New Roman" w:hAnsi="Times New Roman"/>
          <w:b/>
          <w:bCs/>
          <w:sz w:val="27"/>
          <w:rtl/>
          <w:lang w:bidi="fa-IR"/>
        </w:rPr>
        <w:t xml:space="preserve">لها: </w:t>
      </w:r>
      <w:r w:rsidRPr="00904FCB">
        <w:rPr>
          <w:rFonts w:ascii="Times New Roman" w:hAnsi="Times New Roman"/>
          <w:sz w:val="27"/>
          <w:rtl/>
          <w:lang w:bidi="fa-IR"/>
        </w:rPr>
        <w:t>الموارد الت</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يعمل</w:t>
      </w:r>
      <w:r w:rsidRPr="00904FCB">
        <w:rPr>
          <w:rFonts w:ascii="Times New Roman" w:hAnsi="Times New Roman"/>
          <w:sz w:val="27"/>
          <w:rtl/>
          <w:lang w:bidi="fa-IR"/>
        </w:rPr>
        <w:t xml:space="preserve"> </w:t>
      </w:r>
      <w:r w:rsidRPr="00904FCB">
        <w:rPr>
          <w:rFonts w:ascii="Times New Roman" w:hAnsi="Times New Roman" w:hint="cs"/>
          <w:sz w:val="27"/>
          <w:rtl/>
          <w:lang w:bidi="fa-IR"/>
        </w:rPr>
        <w:t>بظاهرها، فأت</w:t>
      </w:r>
      <w:r w:rsidR="004526C3"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بما</w:t>
      </w:r>
      <w:r w:rsidRPr="00904FCB">
        <w:rPr>
          <w:rFonts w:ascii="Times New Roman" w:hAnsi="Times New Roman"/>
          <w:sz w:val="27"/>
          <w:rtl/>
          <w:lang w:bidi="fa-IR"/>
        </w:rPr>
        <w:t xml:space="preserve"> </w:t>
      </w:r>
      <w:r w:rsidRPr="00904FCB">
        <w:rPr>
          <w:rFonts w:ascii="Times New Roman" w:hAnsi="Times New Roman" w:hint="cs"/>
          <w:sz w:val="27"/>
          <w:rtl/>
          <w:lang w:bidi="fa-IR"/>
        </w:rPr>
        <w:t>يقار</w:t>
      </w:r>
      <w:r w:rsidRPr="00904FCB">
        <w:rPr>
          <w:rFonts w:ascii="Times New Roman" w:hAnsi="Times New Roman"/>
          <w:sz w:val="27"/>
          <w:rtl/>
          <w:lang w:bidi="fa-IR"/>
        </w:rPr>
        <w:t>ب أحد عشر مصداقاً فق</w:t>
      </w:r>
      <w:r w:rsidRPr="00904FCB">
        <w:rPr>
          <w:rFonts w:ascii="Times New Roman" w:hAnsi="Times New Roman" w:hint="cs"/>
          <w:sz w:val="27"/>
          <w:rtl/>
          <w:lang w:bidi="fa-IR"/>
        </w:rPr>
        <w:t>ه</w:t>
      </w:r>
      <w:r w:rsidR="005821D0" w:rsidRPr="00904FCB">
        <w:rPr>
          <w:rFonts w:ascii="Times New Roman" w:hAnsi="Times New Roman" w:hint="cs"/>
          <w:sz w:val="27"/>
          <w:rtl/>
          <w:lang w:bidi="fa-IR"/>
        </w:rPr>
        <w:t>ي</w:t>
      </w:r>
      <w:r w:rsidRPr="00904FCB">
        <w:rPr>
          <w:rFonts w:ascii="Times New Roman" w:hAnsi="Times New Roman" w:hint="cs"/>
          <w:sz w:val="27"/>
          <w:rtl/>
          <w:lang w:bidi="fa-IR"/>
        </w:rPr>
        <w:t>اً</w:t>
      </w:r>
      <w:r w:rsidRPr="00904FCB">
        <w:rPr>
          <w:rFonts w:ascii="Times New Roman" w:hAnsi="Times New Roman"/>
          <w:sz w:val="27"/>
          <w:rtl/>
          <w:lang w:bidi="fa-IR"/>
        </w:rPr>
        <w:t xml:space="preserve"> </w:t>
      </w:r>
      <w:r w:rsidRPr="00904FCB">
        <w:rPr>
          <w:rFonts w:ascii="Times New Roman" w:hAnsi="Times New Roman" w:hint="cs"/>
          <w:sz w:val="27"/>
          <w:rtl/>
          <w:lang w:bidi="fa-IR"/>
        </w:rPr>
        <w:t>ل</w:t>
      </w:r>
      <w:r w:rsidRPr="00904FCB">
        <w:rPr>
          <w:rFonts w:ascii="Times New Roman" w:hAnsi="Times New Roman"/>
          <w:sz w:val="27"/>
          <w:rtl/>
          <w:lang w:bidi="fa-IR"/>
        </w:rPr>
        <w:t xml:space="preserve">ها.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b/>
          <w:bCs/>
          <w:sz w:val="27"/>
          <w:rtl/>
          <w:lang w:bidi="fa-IR"/>
        </w:rPr>
        <w:t>ثان</w:t>
      </w:r>
      <w:r w:rsidRPr="00904FCB">
        <w:rPr>
          <w:rFonts w:ascii="Times New Roman" w:hAnsi="Times New Roman" w:hint="cs"/>
          <w:b/>
          <w:bCs/>
          <w:sz w:val="27"/>
          <w:rtl/>
          <w:lang w:bidi="fa-IR"/>
        </w:rPr>
        <w:t>يها</w:t>
      </w:r>
      <w:r w:rsidRPr="00904FCB">
        <w:rPr>
          <w:rFonts w:ascii="Times New Roman" w:hAnsi="Times New Roman"/>
          <w:b/>
          <w:bCs/>
          <w:sz w:val="27"/>
          <w:rtl/>
          <w:lang w:bidi="fa-IR"/>
        </w:rPr>
        <w:t xml:space="preserve">: </w:t>
      </w:r>
      <w:r w:rsidRPr="00904FCB">
        <w:rPr>
          <w:rFonts w:ascii="Times New Roman" w:hAnsi="Times New Roman"/>
          <w:sz w:val="27"/>
          <w:rtl/>
          <w:lang w:bidi="fa-IR"/>
        </w:rPr>
        <w:t>الموارد الت</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يعمل</w:t>
      </w:r>
      <w:r w:rsidRPr="00904FCB">
        <w:rPr>
          <w:rFonts w:ascii="Times New Roman" w:hAnsi="Times New Roman"/>
          <w:sz w:val="27"/>
          <w:rtl/>
          <w:lang w:bidi="fa-IR"/>
        </w:rPr>
        <w:t xml:space="preserve"> </w:t>
      </w:r>
      <w:r w:rsidRPr="00904FCB">
        <w:rPr>
          <w:rFonts w:ascii="Times New Roman" w:hAnsi="Times New Roman" w:hint="cs"/>
          <w:sz w:val="27"/>
          <w:rtl/>
          <w:lang w:bidi="fa-IR"/>
        </w:rPr>
        <w:t>فيها</w:t>
      </w:r>
      <w:r w:rsidRPr="00904FCB">
        <w:rPr>
          <w:rFonts w:ascii="Times New Roman" w:hAnsi="Times New Roman"/>
          <w:sz w:val="27"/>
          <w:rtl/>
          <w:lang w:bidi="fa-IR"/>
        </w:rPr>
        <w:t xml:space="preserve"> </w:t>
      </w:r>
      <w:r w:rsidRPr="00904FCB">
        <w:rPr>
          <w:rFonts w:ascii="Times New Roman" w:hAnsi="Times New Roman" w:hint="cs"/>
          <w:sz w:val="27"/>
          <w:rtl/>
          <w:lang w:bidi="fa-IR"/>
        </w:rPr>
        <w:t>بالأصل</w:t>
      </w:r>
      <w:r w:rsidR="005821D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لا</w:t>
      </w:r>
      <w:r w:rsidRPr="00904FCB">
        <w:rPr>
          <w:rFonts w:ascii="Times New Roman" w:hAnsi="Times New Roman"/>
          <w:sz w:val="27"/>
          <w:rtl/>
          <w:lang w:bidi="fa-IR"/>
        </w:rPr>
        <w:t xml:space="preserve"> </w:t>
      </w:r>
      <w:r w:rsidRPr="00904FCB">
        <w:rPr>
          <w:rFonts w:ascii="Times New Roman" w:hAnsi="Times New Roman" w:hint="cs"/>
          <w:sz w:val="27"/>
          <w:rtl/>
          <w:lang w:bidi="fa-IR"/>
        </w:rPr>
        <w:t>الظاهر، من</w:t>
      </w:r>
      <w:r w:rsidRPr="00904FCB">
        <w:rPr>
          <w:rFonts w:ascii="Times New Roman" w:hAnsi="Times New Roman"/>
          <w:sz w:val="27"/>
          <w:rtl/>
          <w:lang w:bidi="fa-IR"/>
        </w:rPr>
        <w:t xml:space="preserve"> </w:t>
      </w:r>
      <w:r w:rsidRPr="00904FCB">
        <w:rPr>
          <w:rFonts w:ascii="Times New Roman" w:hAnsi="Times New Roman" w:hint="cs"/>
          <w:sz w:val="27"/>
          <w:rtl/>
          <w:lang w:bidi="fa-IR"/>
        </w:rPr>
        <w:t>باب</w:t>
      </w:r>
      <w:r w:rsidRPr="00904FCB">
        <w:rPr>
          <w:rFonts w:ascii="Times New Roman" w:hAnsi="Times New Roman"/>
          <w:sz w:val="27"/>
          <w:rtl/>
          <w:lang w:bidi="fa-IR"/>
        </w:rPr>
        <w:t xml:space="preserve"> </w:t>
      </w:r>
      <w:r w:rsidRPr="00904FCB">
        <w:rPr>
          <w:rFonts w:ascii="Times New Roman" w:hAnsi="Times New Roman" w:hint="cs"/>
          <w:sz w:val="27"/>
          <w:rtl/>
          <w:lang w:bidi="fa-IR"/>
        </w:rPr>
        <w:t>أنّه</w:t>
      </w:r>
      <w:r w:rsidRPr="00904FCB">
        <w:rPr>
          <w:rFonts w:ascii="Times New Roman" w:hAnsi="Times New Roman"/>
          <w:sz w:val="27"/>
          <w:rtl/>
          <w:lang w:bidi="fa-IR"/>
        </w:rPr>
        <w:t xml:space="preserve"> </w:t>
      </w:r>
      <w:r w:rsidRPr="00904FCB">
        <w:rPr>
          <w:rFonts w:ascii="Times New Roman" w:hAnsi="Times New Roman" w:hint="cs"/>
          <w:sz w:val="27"/>
          <w:rtl/>
          <w:lang w:bidi="fa-IR"/>
        </w:rPr>
        <w:t>دليل</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شرعي، </w:t>
      </w:r>
      <w:r w:rsidRPr="00904FCB">
        <w:rPr>
          <w:rFonts w:ascii="Times New Roman" w:hAnsi="Times New Roman" w:hint="cs"/>
          <w:sz w:val="27"/>
          <w:rtl/>
          <w:lang w:bidi="fa-IR"/>
        </w:rPr>
        <w:lastRenderedPageBreak/>
        <w:t>فأت</w:t>
      </w:r>
      <w:r w:rsidR="005821D0"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بسبعة</w:t>
      </w:r>
      <w:r w:rsidRPr="00904FCB">
        <w:rPr>
          <w:rFonts w:ascii="Times New Roman" w:hAnsi="Times New Roman"/>
          <w:sz w:val="27"/>
          <w:rtl/>
          <w:lang w:bidi="fa-IR"/>
        </w:rPr>
        <w:t xml:space="preserve"> </w:t>
      </w:r>
      <w:r w:rsidRPr="00904FCB">
        <w:rPr>
          <w:rFonts w:ascii="Times New Roman" w:hAnsi="Times New Roman" w:hint="cs"/>
          <w:sz w:val="27"/>
          <w:rtl/>
          <w:lang w:bidi="fa-IR"/>
        </w:rPr>
        <w:t>مصاديق</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b/>
          <w:bCs/>
          <w:sz w:val="27"/>
          <w:rtl/>
          <w:lang w:bidi="fa-IR"/>
        </w:rPr>
        <w:t xml:space="preserve">ثالثها: </w:t>
      </w:r>
      <w:r w:rsidRPr="00904FCB">
        <w:rPr>
          <w:rFonts w:ascii="Times New Roman" w:hAnsi="Times New Roman"/>
          <w:sz w:val="27"/>
          <w:rtl/>
          <w:lang w:bidi="fa-IR"/>
        </w:rPr>
        <w:t>الموارد الت</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يعمل</w:t>
      </w:r>
      <w:r w:rsidRPr="00904FCB">
        <w:rPr>
          <w:rFonts w:ascii="Times New Roman" w:hAnsi="Times New Roman"/>
          <w:sz w:val="27"/>
          <w:rtl/>
          <w:lang w:bidi="fa-IR"/>
        </w:rPr>
        <w:t xml:space="preserve"> </w:t>
      </w:r>
      <w:r w:rsidRPr="00904FCB">
        <w:rPr>
          <w:rFonts w:ascii="Times New Roman" w:hAnsi="Times New Roman" w:hint="cs"/>
          <w:sz w:val="27"/>
          <w:rtl/>
          <w:lang w:bidi="fa-IR"/>
        </w:rPr>
        <w:t>فيها</w:t>
      </w:r>
      <w:r w:rsidRPr="00904FCB">
        <w:rPr>
          <w:rFonts w:ascii="Times New Roman" w:hAnsi="Times New Roman"/>
          <w:sz w:val="27"/>
          <w:rtl/>
          <w:lang w:bidi="fa-IR"/>
        </w:rPr>
        <w:t xml:space="preserve"> </w:t>
      </w:r>
      <w:r w:rsidRPr="00904FCB">
        <w:rPr>
          <w:rFonts w:ascii="Times New Roman" w:hAnsi="Times New Roman" w:hint="cs"/>
          <w:sz w:val="27"/>
          <w:rtl/>
          <w:lang w:bidi="fa-IR"/>
        </w:rPr>
        <w:t>بالظاهر، ويترك</w:t>
      </w:r>
      <w:r w:rsidRPr="00904FCB">
        <w:rPr>
          <w:rFonts w:ascii="Times New Roman" w:hAnsi="Times New Roman"/>
          <w:sz w:val="27"/>
          <w:rtl/>
          <w:lang w:bidi="fa-IR"/>
        </w:rPr>
        <w:t xml:space="preserve"> </w:t>
      </w:r>
      <w:r w:rsidRPr="00904FCB">
        <w:rPr>
          <w:rFonts w:ascii="Times New Roman" w:hAnsi="Times New Roman" w:hint="cs"/>
          <w:sz w:val="27"/>
          <w:rtl/>
          <w:lang w:bidi="fa-IR"/>
        </w:rPr>
        <w:t>العمل</w:t>
      </w:r>
      <w:r w:rsidRPr="00904FCB">
        <w:rPr>
          <w:rFonts w:ascii="Times New Roman" w:hAnsi="Times New Roman"/>
          <w:sz w:val="27"/>
          <w:rtl/>
          <w:lang w:bidi="fa-IR"/>
        </w:rPr>
        <w:t xml:space="preserve"> </w:t>
      </w:r>
      <w:r w:rsidRPr="00904FCB">
        <w:rPr>
          <w:rFonts w:ascii="Times New Roman" w:hAnsi="Times New Roman" w:hint="cs"/>
          <w:sz w:val="27"/>
          <w:rtl/>
          <w:lang w:bidi="fa-IR"/>
        </w:rPr>
        <w:t>بالأصل، ل</w:t>
      </w:r>
      <w:r w:rsidR="005821D0" w:rsidRPr="00904FCB">
        <w:rPr>
          <w:rFonts w:ascii="Times New Roman" w:hAnsi="Times New Roman" w:hint="cs"/>
          <w:sz w:val="27"/>
          <w:rtl/>
          <w:lang w:bidi="fa-IR"/>
        </w:rPr>
        <w:t>ا</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باب</w:t>
      </w:r>
      <w:r w:rsidRPr="00904FCB">
        <w:rPr>
          <w:rFonts w:ascii="Times New Roman" w:hAnsi="Times New Roman"/>
          <w:sz w:val="27"/>
          <w:rtl/>
          <w:lang w:bidi="fa-IR"/>
        </w:rPr>
        <w:t xml:space="preserve"> </w:t>
      </w:r>
      <w:r w:rsidRPr="00904FCB">
        <w:rPr>
          <w:rFonts w:ascii="Times New Roman" w:hAnsi="Times New Roman" w:hint="cs"/>
          <w:sz w:val="27"/>
          <w:rtl/>
          <w:lang w:bidi="fa-IR"/>
        </w:rPr>
        <w:t>أنّه</w:t>
      </w:r>
      <w:r w:rsidRPr="00904FCB">
        <w:rPr>
          <w:rFonts w:ascii="Times New Roman" w:hAnsi="Times New Roman"/>
          <w:sz w:val="27"/>
          <w:rtl/>
          <w:lang w:bidi="fa-IR"/>
        </w:rPr>
        <w:t xml:space="preserve"> </w:t>
      </w:r>
      <w:r w:rsidRPr="00904FCB">
        <w:rPr>
          <w:rFonts w:ascii="Times New Roman" w:hAnsi="Times New Roman" w:hint="cs"/>
          <w:sz w:val="27"/>
          <w:rtl/>
          <w:lang w:bidi="fa-IR"/>
        </w:rPr>
        <w:t>دليل</w:t>
      </w:r>
      <w:r w:rsidRPr="00904FCB">
        <w:rPr>
          <w:rFonts w:ascii="Times New Roman" w:hAnsi="Times New Roman"/>
          <w:sz w:val="27"/>
          <w:rtl/>
          <w:lang w:bidi="fa-IR"/>
        </w:rPr>
        <w:t xml:space="preserve"> </w:t>
      </w:r>
      <w:r w:rsidRPr="00904FCB">
        <w:rPr>
          <w:rFonts w:ascii="Times New Roman" w:hAnsi="Times New Roman" w:hint="cs"/>
          <w:sz w:val="27"/>
          <w:rtl/>
          <w:lang w:bidi="fa-IR"/>
        </w:rPr>
        <w:t>شرعي، وإنّما</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باب</w:t>
      </w:r>
      <w:r w:rsidRPr="00904FCB">
        <w:rPr>
          <w:rFonts w:ascii="Times New Roman" w:hAnsi="Times New Roman"/>
          <w:sz w:val="27"/>
          <w:rtl/>
          <w:lang w:bidi="fa-IR"/>
        </w:rPr>
        <w:t xml:space="preserve"> </w:t>
      </w:r>
      <w:r w:rsidRPr="00904FCB">
        <w:rPr>
          <w:rFonts w:ascii="Times New Roman" w:hAnsi="Times New Roman" w:hint="cs"/>
          <w:sz w:val="27"/>
          <w:rtl/>
          <w:lang w:bidi="fa-IR"/>
        </w:rPr>
        <w:t>تقديم</w:t>
      </w:r>
      <w:r w:rsidRPr="00904FCB">
        <w:rPr>
          <w:rFonts w:ascii="Times New Roman" w:hAnsi="Times New Roman"/>
          <w:sz w:val="27"/>
          <w:rtl/>
          <w:lang w:bidi="fa-IR"/>
        </w:rPr>
        <w:t xml:space="preserve"> </w:t>
      </w:r>
      <w:r w:rsidRPr="00904FCB">
        <w:rPr>
          <w:rFonts w:ascii="Times New Roman" w:hAnsi="Times New Roman" w:hint="cs"/>
          <w:sz w:val="27"/>
          <w:rtl/>
          <w:lang w:bidi="fa-IR"/>
        </w:rPr>
        <w:t>الظاهر</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الأصل</w:t>
      </w:r>
      <w:r w:rsidRPr="00904FCB">
        <w:rPr>
          <w:rFonts w:ascii="Times New Roman" w:hAnsi="Times New Roman"/>
          <w:sz w:val="27"/>
          <w:rtl/>
          <w:lang w:bidi="fa-IR"/>
        </w:rPr>
        <w:t xml:space="preserve">. </w:t>
      </w:r>
      <w:r w:rsidRPr="00904FCB">
        <w:rPr>
          <w:rFonts w:ascii="Times New Roman" w:hAnsi="Times New Roman" w:hint="cs"/>
          <w:sz w:val="27"/>
          <w:rtl/>
          <w:lang w:bidi="fa-IR"/>
        </w:rPr>
        <w:t>وأت</w:t>
      </w:r>
      <w:r w:rsidR="005821D0"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بست</w:t>
      </w:r>
      <w:r w:rsidR="005821D0" w:rsidRPr="00904FCB">
        <w:rPr>
          <w:rFonts w:ascii="Times New Roman" w:hAnsi="Times New Roman" w:hint="cs"/>
          <w:sz w:val="27"/>
          <w:rtl/>
          <w:lang w:bidi="fa-IR"/>
        </w:rPr>
        <w:t>ّ</w:t>
      </w:r>
      <w:r w:rsidRPr="00904FCB">
        <w:rPr>
          <w:rFonts w:ascii="Times New Roman" w:hAnsi="Times New Roman"/>
          <w:sz w:val="27"/>
          <w:rtl/>
          <w:lang w:bidi="fa-IR"/>
        </w:rPr>
        <w:t xml:space="preserve">ة عشر مصداقاً لها. </w:t>
      </w:r>
    </w:p>
    <w:p w:rsidR="00057E24" w:rsidRPr="00904FCB" w:rsidRDefault="00057E24" w:rsidP="00C07161">
      <w:pPr>
        <w:spacing w:line="400" w:lineRule="exact"/>
        <w:rPr>
          <w:rFonts w:ascii="Times New Roman" w:hAnsi="Times New Roman"/>
          <w:sz w:val="27"/>
          <w:rtl/>
          <w:lang w:bidi="fa-IR"/>
        </w:rPr>
      </w:pPr>
      <w:r w:rsidRPr="00904FCB">
        <w:rPr>
          <w:rFonts w:ascii="Times New Roman" w:hAnsi="Times New Roman"/>
          <w:b/>
          <w:bCs/>
          <w:sz w:val="27"/>
          <w:rtl/>
          <w:lang w:bidi="fa-IR"/>
        </w:rPr>
        <w:t xml:space="preserve">رابعها: </w:t>
      </w:r>
      <w:r w:rsidRPr="00904FCB">
        <w:rPr>
          <w:rFonts w:ascii="Times New Roman" w:hAnsi="Times New Roman"/>
          <w:sz w:val="27"/>
          <w:rtl/>
          <w:lang w:bidi="fa-IR"/>
        </w:rPr>
        <w:t>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موارد</w:t>
      </w:r>
      <w:r w:rsidRPr="00904FCB">
        <w:rPr>
          <w:rFonts w:ascii="Times New Roman" w:hAnsi="Times New Roman"/>
          <w:sz w:val="27"/>
          <w:rtl/>
          <w:lang w:bidi="fa-IR"/>
        </w:rPr>
        <w:t xml:space="preserve"> </w:t>
      </w:r>
      <w:r w:rsidRPr="00904FCB">
        <w:rPr>
          <w:rFonts w:ascii="Times New Roman" w:hAnsi="Times New Roman" w:hint="cs"/>
          <w:sz w:val="27"/>
          <w:rtl/>
          <w:lang w:bidi="fa-IR"/>
        </w:rPr>
        <w:t>الشك</w:t>
      </w:r>
      <w:r w:rsidR="005821D0" w:rsidRPr="00904FCB">
        <w:rPr>
          <w:rFonts w:ascii="Times New Roman" w:hAnsi="Times New Roman" w:hint="cs"/>
          <w:sz w:val="27"/>
          <w:rtl/>
          <w:lang w:bidi="fa-IR"/>
        </w:rPr>
        <w:t>ّ</w:t>
      </w:r>
      <w:r w:rsidRPr="00904FCB">
        <w:rPr>
          <w:rFonts w:ascii="Times New Roman" w:hAnsi="Times New Roman" w:hint="cs"/>
          <w:sz w:val="27"/>
          <w:rtl/>
          <w:lang w:bidi="fa-IR"/>
        </w:rPr>
        <w:t xml:space="preserve"> أي</w:t>
      </w:r>
      <w:r w:rsidR="005821D0" w:rsidRPr="00904FCB">
        <w:rPr>
          <w:rFonts w:ascii="Times New Roman" w:hAnsi="Times New Roman" w:hint="cs"/>
          <w:sz w:val="27"/>
          <w:rtl/>
          <w:lang w:bidi="fa-IR"/>
        </w:rPr>
        <w:t>ُّ</w:t>
      </w:r>
      <w:r w:rsidRPr="00904FCB">
        <w:rPr>
          <w:rFonts w:ascii="Times New Roman" w:hAnsi="Times New Roman" w:hint="cs"/>
          <w:sz w:val="27"/>
          <w:rtl/>
          <w:lang w:bidi="fa-IR"/>
        </w:rPr>
        <w:t>هما</w:t>
      </w:r>
      <w:r w:rsidRPr="00904FCB">
        <w:rPr>
          <w:rFonts w:ascii="Times New Roman" w:hAnsi="Times New Roman"/>
          <w:sz w:val="27"/>
          <w:rtl/>
          <w:lang w:bidi="fa-IR"/>
        </w:rPr>
        <w:t xml:space="preserve"> </w:t>
      </w:r>
      <w:r w:rsidRPr="00904FCB">
        <w:rPr>
          <w:rFonts w:ascii="Times New Roman" w:hAnsi="Times New Roman" w:hint="cs"/>
          <w:sz w:val="27"/>
          <w:rtl/>
          <w:lang w:bidi="fa-IR"/>
        </w:rPr>
        <w:t>يقدّم</w:t>
      </w:r>
      <w:r w:rsidRPr="00904FCB">
        <w:rPr>
          <w:rFonts w:ascii="Times New Roman" w:hAnsi="Times New Roman"/>
          <w:sz w:val="27"/>
          <w:rtl/>
          <w:lang w:bidi="fa-IR"/>
        </w:rPr>
        <w:t xml:space="preserve">: </w:t>
      </w:r>
      <w:r w:rsidRPr="00904FCB">
        <w:rPr>
          <w:rFonts w:ascii="Times New Roman" w:hAnsi="Times New Roman" w:hint="cs"/>
          <w:sz w:val="27"/>
          <w:rtl/>
          <w:lang w:bidi="fa-IR"/>
        </w:rPr>
        <w:t>الظاهر</w:t>
      </w:r>
      <w:r w:rsidRPr="00904FCB">
        <w:rPr>
          <w:rFonts w:ascii="Times New Roman" w:hAnsi="Times New Roman"/>
          <w:sz w:val="27"/>
          <w:rtl/>
          <w:lang w:bidi="fa-IR"/>
        </w:rPr>
        <w:t xml:space="preserve"> </w:t>
      </w:r>
      <w:r w:rsidRPr="00904FCB">
        <w:rPr>
          <w:rFonts w:ascii="Times New Roman" w:hAnsi="Times New Roman" w:hint="cs"/>
          <w:sz w:val="27"/>
          <w:rtl/>
          <w:lang w:bidi="fa-IR"/>
        </w:rPr>
        <w:t>أم</w:t>
      </w:r>
      <w:r w:rsidRPr="00904FCB">
        <w:rPr>
          <w:rFonts w:ascii="Times New Roman" w:hAnsi="Times New Roman"/>
          <w:sz w:val="27"/>
          <w:rtl/>
          <w:lang w:bidi="fa-IR"/>
        </w:rPr>
        <w:t xml:space="preserve"> </w:t>
      </w:r>
      <w:r w:rsidRPr="00904FCB">
        <w:rPr>
          <w:rFonts w:ascii="Times New Roman" w:hAnsi="Times New Roman" w:hint="cs"/>
          <w:sz w:val="27"/>
          <w:rtl/>
          <w:lang w:bidi="fa-IR"/>
        </w:rPr>
        <w:t>الأصل؟ وقد</w:t>
      </w:r>
      <w:r w:rsidRPr="00904FCB">
        <w:rPr>
          <w:rFonts w:ascii="Times New Roman" w:hAnsi="Times New Roman"/>
          <w:sz w:val="27"/>
          <w:rtl/>
          <w:lang w:bidi="fa-IR"/>
        </w:rPr>
        <w:t xml:space="preserve"> </w:t>
      </w:r>
      <w:r w:rsidRPr="00904FCB">
        <w:rPr>
          <w:rFonts w:ascii="Times New Roman" w:hAnsi="Times New Roman" w:hint="cs"/>
          <w:sz w:val="27"/>
          <w:rtl/>
          <w:lang w:bidi="fa-IR"/>
        </w:rPr>
        <w:t>أورد</w:t>
      </w:r>
      <w:r w:rsidRPr="00904FCB">
        <w:rPr>
          <w:rFonts w:ascii="Times New Roman" w:hAnsi="Times New Roman"/>
          <w:sz w:val="27"/>
          <w:rtl/>
          <w:lang w:bidi="fa-IR"/>
        </w:rPr>
        <w:t xml:space="preserve"> </w:t>
      </w:r>
      <w:r w:rsidRPr="00904FCB">
        <w:rPr>
          <w:rFonts w:ascii="Times New Roman" w:hAnsi="Times New Roman" w:hint="cs"/>
          <w:sz w:val="27"/>
          <w:rtl/>
          <w:lang w:bidi="fa-IR"/>
        </w:rPr>
        <w:t>سبعة</w:t>
      </w:r>
      <w:r w:rsidRPr="00904FCB">
        <w:rPr>
          <w:rFonts w:ascii="Times New Roman" w:hAnsi="Times New Roman"/>
          <w:sz w:val="27"/>
          <w:rtl/>
          <w:lang w:bidi="fa-IR"/>
        </w:rPr>
        <w:t xml:space="preserve"> </w:t>
      </w:r>
      <w:r w:rsidRPr="00904FCB">
        <w:rPr>
          <w:rFonts w:ascii="Times New Roman" w:hAnsi="Times New Roman" w:hint="cs"/>
          <w:sz w:val="27"/>
          <w:rtl/>
          <w:lang w:bidi="fa-IR"/>
        </w:rPr>
        <w:t>مصاديق</w:t>
      </w:r>
      <w:r w:rsidRPr="00904FCB">
        <w:rPr>
          <w:rFonts w:ascii="Times New Roman" w:hAnsi="Times New Roman"/>
          <w:sz w:val="27"/>
          <w:rtl/>
          <w:lang w:bidi="fa-IR"/>
        </w:rPr>
        <w:t xml:space="preserve"> </w:t>
      </w:r>
      <w:r w:rsidRPr="00904FCB">
        <w:rPr>
          <w:rFonts w:ascii="Times New Roman" w:hAnsi="Times New Roman" w:hint="cs"/>
          <w:sz w:val="27"/>
          <w:rtl/>
          <w:lang w:bidi="fa-IR"/>
        </w:rPr>
        <w:t>لها</w:t>
      </w:r>
      <w:r w:rsidR="005821D0" w:rsidRPr="00904FCB">
        <w:rPr>
          <w:rFonts w:ascii="Times New Roman" w:hAnsi="Times New Roman" w:hint="cs"/>
          <w:sz w:val="27"/>
          <w:rtl/>
          <w:lang w:bidi="fa-IR"/>
        </w:rPr>
        <w:t>.</w:t>
      </w:r>
      <w:r w:rsidRPr="00904FCB">
        <w:rPr>
          <w:rFonts w:ascii="Times New Roman" w:hAnsi="Times New Roman"/>
          <w:sz w:val="27"/>
          <w:rtl/>
          <w:lang w:bidi="fa-IR"/>
        </w:rPr>
        <w:t xml:space="preserve"> و</w:t>
      </w:r>
      <w:r w:rsidRPr="00904FCB">
        <w:rPr>
          <w:rFonts w:ascii="Times New Roman" w:hAnsi="Times New Roman" w:hint="cs"/>
          <w:sz w:val="27"/>
          <w:rtl/>
          <w:lang w:bidi="fa-IR"/>
        </w:rPr>
        <w:t>بهذا</w:t>
      </w:r>
      <w:r w:rsidRPr="00904FCB">
        <w:rPr>
          <w:rFonts w:ascii="Times New Roman" w:hAnsi="Times New Roman"/>
          <w:sz w:val="27"/>
          <w:rtl/>
          <w:lang w:bidi="fa-IR"/>
        </w:rPr>
        <w:t xml:space="preserve"> </w:t>
      </w:r>
      <w:r w:rsidRPr="00904FCB">
        <w:rPr>
          <w:rFonts w:ascii="Times New Roman" w:hAnsi="Times New Roman" w:hint="cs"/>
          <w:sz w:val="27"/>
          <w:rtl/>
          <w:lang w:bidi="fa-IR"/>
        </w:rPr>
        <w:t>يكون</w:t>
      </w:r>
      <w:r w:rsidRPr="00904FCB">
        <w:rPr>
          <w:rFonts w:ascii="Times New Roman" w:hAnsi="Times New Roman"/>
          <w:sz w:val="27"/>
          <w:rtl/>
          <w:lang w:bidi="fa-IR"/>
        </w:rPr>
        <w:t xml:space="preserve"> </w:t>
      </w:r>
      <w:r w:rsidRPr="00904FCB">
        <w:rPr>
          <w:rFonts w:ascii="Times New Roman" w:hAnsi="Times New Roman" w:hint="cs"/>
          <w:sz w:val="27"/>
          <w:rtl/>
          <w:lang w:bidi="fa-IR"/>
        </w:rPr>
        <w:t>المجموع</w:t>
      </w:r>
      <w:r w:rsidRPr="00904FCB">
        <w:rPr>
          <w:rFonts w:ascii="Times New Roman" w:hAnsi="Times New Roman"/>
          <w:sz w:val="27"/>
          <w:rtl/>
          <w:lang w:bidi="fa-IR"/>
        </w:rPr>
        <w:t xml:space="preserve"> </w:t>
      </w:r>
      <w:r w:rsidRPr="00904FCB">
        <w:rPr>
          <w:rFonts w:ascii="Times New Roman" w:hAnsi="Times New Roman" w:hint="cs"/>
          <w:sz w:val="27"/>
          <w:rtl/>
          <w:lang w:bidi="fa-IR"/>
        </w:rPr>
        <w:t>ما</w:t>
      </w:r>
      <w:r w:rsidRPr="00904FCB">
        <w:rPr>
          <w:rFonts w:ascii="Times New Roman" w:hAnsi="Times New Roman"/>
          <w:sz w:val="27"/>
          <w:rtl/>
          <w:lang w:bidi="fa-IR"/>
        </w:rPr>
        <w:t xml:space="preserve"> </w:t>
      </w:r>
      <w:r w:rsidRPr="00904FCB">
        <w:rPr>
          <w:rFonts w:ascii="Times New Roman" w:hAnsi="Times New Roman" w:hint="cs"/>
          <w:sz w:val="27"/>
          <w:rtl/>
          <w:lang w:bidi="fa-IR"/>
        </w:rPr>
        <w:t>يقارب</w:t>
      </w:r>
      <w:r w:rsidRPr="00904FCB">
        <w:rPr>
          <w:rFonts w:ascii="Times New Roman" w:hAnsi="Times New Roman"/>
          <w:sz w:val="27"/>
          <w:rtl/>
          <w:lang w:bidi="fa-IR"/>
        </w:rPr>
        <w:t xml:space="preserve"> </w:t>
      </w:r>
      <w:r w:rsidRPr="00904FCB">
        <w:rPr>
          <w:rFonts w:ascii="Times New Roman" w:hAnsi="Times New Roman" w:hint="cs"/>
          <w:sz w:val="27"/>
          <w:rtl/>
          <w:lang w:bidi="fa-IR"/>
        </w:rPr>
        <w:t>خمسين</w:t>
      </w:r>
      <w:r w:rsidRPr="00904FCB">
        <w:rPr>
          <w:rFonts w:ascii="Times New Roman" w:hAnsi="Times New Roman"/>
          <w:sz w:val="27"/>
          <w:rtl/>
          <w:lang w:bidi="fa-IR"/>
        </w:rPr>
        <w:t xml:space="preserve"> </w:t>
      </w:r>
      <w:r w:rsidRPr="00904FCB">
        <w:rPr>
          <w:rFonts w:ascii="Times New Roman" w:hAnsi="Times New Roman" w:hint="cs"/>
          <w:sz w:val="27"/>
          <w:rtl/>
          <w:lang w:bidi="fa-IR"/>
        </w:rPr>
        <w:t>فرعاً</w:t>
      </w:r>
      <w:r w:rsidRPr="00904FCB">
        <w:rPr>
          <w:rFonts w:ascii="Times New Roman" w:hAnsi="Times New Roman"/>
          <w:sz w:val="27"/>
          <w:rtl/>
          <w:lang w:bidi="fa-IR"/>
        </w:rPr>
        <w:t xml:space="preserve"> </w:t>
      </w:r>
      <w:r w:rsidRPr="00904FCB">
        <w:rPr>
          <w:rFonts w:ascii="Times New Roman" w:hAnsi="Times New Roman" w:hint="cs"/>
          <w:sz w:val="27"/>
          <w:rtl/>
          <w:lang w:bidi="fa-IR"/>
        </w:rPr>
        <w:t>فق</w:t>
      </w:r>
      <w:r w:rsidRPr="00904FCB">
        <w:rPr>
          <w:rFonts w:ascii="Times New Roman" w:hAnsi="Times New Roman"/>
          <w:sz w:val="27"/>
          <w:rtl/>
          <w:lang w:bidi="fa-IR"/>
        </w:rPr>
        <w:t>هياً كمصاد</w:t>
      </w:r>
      <w:r w:rsidRPr="00904FCB">
        <w:rPr>
          <w:rFonts w:ascii="Times New Roman" w:hAnsi="Times New Roman" w:hint="cs"/>
          <w:sz w:val="27"/>
          <w:rtl/>
          <w:lang w:bidi="fa-IR"/>
        </w:rPr>
        <w:t>يق</w:t>
      </w:r>
      <w:r w:rsidRPr="00904FCB">
        <w:rPr>
          <w:rFonts w:ascii="Times New Roman" w:hAnsi="Times New Roman"/>
          <w:sz w:val="27"/>
          <w:rtl/>
          <w:lang w:bidi="fa-IR"/>
        </w:rPr>
        <w:t xml:space="preserve"> و</w:t>
      </w:r>
      <w:r w:rsidRPr="00904FCB">
        <w:rPr>
          <w:rFonts w:ascii="Times New Roman" w:hAnsi="Times New Roman" w:hint="cs"/>
          <w:sz w:val="27"/>
          <w:rtl/>
          <w:lang w:bidi="fa-IR"/>
        </w:rPr>
        <w:t>أمثلة</w:t>
      </w:r>
      <w:r w:rsidRPr="00904FCB">
        <w:rPr>
          <w:rFonts w:ascii="Times New Roman" w:hAnsi="Times New Roman"/>
          <w:sz w:val="27"/>
          <w:rtl/>
          <w:lang w:bidi="fa-IR"/>
        </w:rPr>
        <w:t xml:space="preserve"> </w:t>
      </w:r>
      <w:r w:rsidRPr="00904FCB">
        <w:rPr>
          <w:rFonts w:ascii="Times New Roman" w:hAnsi="Times New Roman" w:hint="cs"/>
          <w:sz w:val="27"/>
          <w:rtl/>
          <w:lang w:bidi="fa-IR"/>
        </w:rPr>
        <w:t>للقاعدة</w:t>
      </w:r>
      <w:r w:rsidRPr="00904FCB">
        <w:rPr>
          <w:rFonts w:ascii="Times New Roman" w:hAnsi="Times New Roman"/>
          <w:sz w:val="27"/>
          <w:rtl/>
          <w:lang w:bidi="fa-IR"/>
        </w:rPr>
        <w:t xml:space="preserve"> </w:t>
      </w:r>
      <w:r w:rsidRPr="00904FCB">
        <w:rPr>
          <w:rFonts w:ascii="Times New Roman" w:hAnsi="Times New Roman" w:hint="cs"/>
          <w:sz w:val="27"/>
          <w:rtl/>
          <w:lang w:bidi="fa-IR"/>
        </w:rPr>
        <w:t>المذكورة</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5ـ</w:t>
      </w:r>
      <w:r w:rsidRPr="00904FCB">
        <w:rPr>
          <w:rFonts w:hint="cs"/>
          <w:color w:val="auto"/>
          <w:rtl/>
          <w:lang w:bidi="ar-LB"/>
        </w:rPr>
        <w:t xml:space="preserve"> </w:t>
      </w:r>
      <w:r w:rsidRPr="00904FCB">
        <w:rPr>
          <w:color w:val="auto"/>
          <w:rtl/>
          <w:lang w:bidi="fa-IR"/>
        </w:rPr>
        <w:t>الضابط ف</w:t>
      </w:r>
      <w:r w:rsidRPr="00904FCB">
        <w:rPr>
          <w:rFonts w:hint="cs"/>
          <w:color w:val="auto"/>
          <w:rtl/>
          <w:lang w:bidi="fa-IR"/>
        </w:rPr>
        <w:t>ي</w:t>
      </w:r>
      <w:r w:rsidRPr="00904FCB">
        <w:rPr>
          <w:color w:val="auto"/>
          <w:rtl/>
          <w:lang w:bidi="fa-IR"/>
        </w:rPr>
        <w:t xml:space="preserve"> </w:t>
      </w:r>
      <w:r w:rsidRPr="00904FCB">
        <w:rPr>
          <w:rFonts w:hint="cs"/>
          <w:color w:val="auto"/>
          <w:rtl/>
          <w:lang w:bidi="fa-IR"/>
        </w:rPr>
        <w:t>دلالة</w:t>
      </w:r>
      <w:r w:rsidRPr="00904FCB">
        <w:rPr>
          <w:color w:val="auto"/>
          <w:rtl/>
          <w:lang w:bidi="fa-IR"/>
        </w:rPr>
        <w:t xml:space="preserve"> </w:t>
      </w:r>
      <w:r w:rsidRPr="00904FCB">
        <w:rPr>
          <w:rFonts w:hint="cs"/>
          <w:color w:val="auto"/>
          <w:rtl/>
          <w:lang w:bidi="fa-IR"/>
        </w:rPr>
        <w:t>الأمر</w:t>
      </w:r>
      <w:r w:rsidRPr="00904FCB">
        <w:rPr>
          <w:color w:val="auto"/>
          <w:rtl/>
          <w:lang w:bidi="fa-IR"/>
        </w:rPr>
        <w:t xml:space="preserve"> على </w:t>
      </w:r>
      <w:r w:rsidRPr="00904FCB">
        <w:rPr>
          <w:rFonts w:hint="cs"/>
          <w:color w:val="auto"/>
          <w:rtl/>
          <w:lang w:bidi="fa-IR"/>
        </w:rPr>
        <w:t>الوجوب</w:t>
      </w:r>
      <w:r w:rsidRPr="00904FCB">
        <w:rPr>
          <w:color w:val="auto"/>
          <w:rtl/>
          <w:lang w:bidi="fa-IR"/>
        </w:rPr>
        <w:t xml:space="preserve"> </w:t>
      </w:r>
    </w:p>
    <w:p w:rsidR="00057E24" w:rsidRPr="00904FCB" w:rsidRDefault="00057E24" w:rsidP="00510A75">
      <w:pPr>
        <w:spacing w:line="400" w:lineRule="exact"/>
        <w:rPr>
          <w:rFonts w:ascii="Times New Roman" w:hAnsi="Times New Roman"/>
          <w:sz w:val="27"/>
          <w:rtl/>
          <w:lang w:bidi="fa-IR"/>
        </w:rPr>
      </w:pPr>
      <w:r w:rsidRPr="00904FCB">
        <w:rPr>
          <w:rFonts w:ascii="Times New Roman" w:hAnsi="Times New Roman"/>
          <w:sz w:val="27"/>
          <w:rtl/>
          <w:lang w:bidi="fa-IR"/>
        </w:rPr>
        <w:t>لو كان المكلّف راغباً بال</w:t>
      </w:r>
      <w:r w:rsidR="00746156" w:rsidRPr="00904FCB">
        <w:rPr>
          <w:rFonts w:ascii="Times New Roman" w:hAnsi="Times New Roman" w:hint="cs"/>
          <w:sz w:val="27"/>
          <w:rtl/>
          <w:lang w:bidi="fa-IR"/>
        </w:rPr>
        <w:t>إ</w:t>
      </w:r>
      <w:r w:rsidRPr="00904FCB">
        <w:rPr>
          <w:rFonts w:ascii="Times New Roman" w:hAnsi="Times New Roman"/>
          <w:sz w:val="27"/>
          <w:rtl/>
          <w:lang w:bidi="fa-IR"/>
        </w:rPr>
        <w:t>ت</w:t>
      </w:r>
      <w:r w:rsidRPr="00904FCB">
        <w:rPr>
          <w:rFonts w:ascii="Times New Roman" w:hAnsi="Times New Roman" w:hint="cs"/>
          <w:sz w:val="27"/>
          <w:rtl/>
          <w:lang w:bidi="fa-IR"/>
        </w:rPr>
        <w:t>يان</w:t>
      </w:r>
      <w:r w:rsidRPr="00904FCB">
        <w:rPr>
          <w:rFonts w:ascii="Times New Roman" w:hAnsi="Times New Roman"/>
          <w:sz w:val="27"/>
          <w:rtl/>
          <w:lang w:bidi="fa-IR"/>
        </w:rPr>
        <w:t xml:space="preserve"> </w:t>
      </w:r>
      <w:r w:rsidRPr="00904FCB">
        <w:rPr>
          <w:rFonts w:ascii="Times New Roman" w:hAnsi="Times New Roman" w:hint="cs"/>
          <w:sz w:val="27"/>
          <w:rtl/>
          <w:lang w:bidi="fa-IR"/>
        </w:rPr>
        <w:t>بالم</w:t>
      </w:r>
      <w:r w:rsidRPr="00904FCB">
        <w:rPr>
          <w:rFonts w:ascii="Times New Roman" w:hAnsi="Times New Roman"/>
          <w:sz w:val="27"/>
          <w:rtl/>
          <w:lang w:bidi="fa-IR"/>
        </w:rPr>
        <w:t>أمور به بغضّ النظر عن الأمر، وص</w:t>
      </w:r>
      <w:r w:rsidRPr="00904FCB">
        <w:rPr>
          <w:rFonts w:ascii="Times New Roman" w:hAnsi="Times New Roman" w:hint="cs"/>
          <w:sz w:val="27"/>
          <w:rtl/>
          <w:lang w:bidi="fa-IR"/>
        </w:rPr>
        <w:t>يغة</w:t>
      </w:r>
      <w:r w:rsidRPr="00904FCB">
        <w:rPr>
          <w:rFonts w:ascii="Times New Roman" w:hAnsi="Times New Roman"/>
          <w:sz w:val="27"/>
          <w:rtl/>
          <w:lang w:bidi="fa-IR"/>
        </w:rPr>
        <w:t xml:space="preserve"> </w:t>
      </w:r>
      <w:r w:rsidRPr="00904FCB">
        <w:rPr>
          <w:rFonts w:ascii="Times New Roman" w:hAnsi="Times New Roman" w:hint="cs"/>
          <w:sz w:val="27"/>
          <w:rtl/>
          <w:lang w:bidi="fa-IR"/>
        </w:rPr>
        <w:t>الأمر</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مثل هكذا موارد لا</w:t>
      </w:r>
      <w:r w:rsidR="00746156" w:rsidRPr="00904FCB">
        <w:rPr>
          <w:rFonts w:ascii="Times New Roman" w:hAnsi="Times New Roman" w:hint="cs"/>
          <w:sz w:val="27"/>
          <w:rtl/>
          <w:lang w:bidi="fa-IR"/>
        </w:rPr>
        <w:t xml:space="preserve"> </w:t>
      </w:r>
      <w:r w:rsidRPr="00904FCB">
        <w:rPr>
          <w:rFonts w:ascii="Times New Roman" w:hAnsi="Times New Roman"/>
          <w:sz w:val="27"/>
          <w:rtl/>
          <w:lang w:bidi="fa-IR"/>
        </w:rPr>
        <w:t xml:space="preserve">تدلّ على </w:t>
      </w:r>
      <w:r w:rsidRPr="00904FCB">
        <w:rPr>
          <w:rFonts w:ascii="Times New Roman" w:hAnsi="Times New Roman" w:hint="cs"/>
          <w:sz w:val="27"/>
          <w:rtl/>
          <w:lang w:bidi="fa-IR"/>
        </w:rPr>
        <w:t>الوجوب</w:t>
      </w:r>
      <w:r w:rsidR="00746156" w:rsidRPr="00904FCB">
        <w:rPr>
          <w:rFonts w:ascii="Times New Roman" w:hAnsi="Times New Roman" w:hint="cs"/>
          <w:sz w:val="27"/>
          <w:rtl/>
          <w:lang w:bidi="fa-IR"/>
        </w:rPr>
        <w:t>؛</w:t>
      </w:r>
      <w:r w:rsidRPr="00904FCB">
        <w:rPr>
          <w:rFonts w:ascii="Times New Roman" w:hAnsi="Times New Roman" w:hint="cs"/>
          <w:sz w:val="27"/>
          <w:rtl/>
          <w:lang w:bidi="fa-IR"/>
        </w:rPr>
        <w:t xml:space="preserve"> لأنّ</w:t>
      </w:r>
      <w:r w:rsidRPr="00904FCB">
        <w:rPr>
          <w:rFonts w:ascii="Times New Roman" w:hAnsi="Times New Roman"/>
          <w:sz w:val="27"/>
          <w:rtl/>
          <w:lang w:bidi="fa-IR"/>
        </w:rPr>
        <w:t xml:space="preserve"> </w:t>
      </w:r>
      <w:r w:rsidRPr="00904FCB">
        <w:rPr>
          <w:rFonts w:ascii="Times New Roman" w:hAnsi="Times New Roman" w:hint="cs"/>
          <w:sz w:val="27"/>
          <w:rtl/>
          <w:lang w:bidi="fa-IR"/>
        </w:rPr>
        <w:t>الغاية</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وجوب</w:t>
      </w:r>
      <w:r w:rsidRPr="00904FCB">
        <w:rPr>
          <w:rFonts w:ascii="Times New Roman" w:hAnsi="Times New Roman"/>
          <w:sz w:val="27"/>
          <w:rtl/>
          <w:lang w:bidi="fa-IR"/>
        </w:rPr>
        <w:t xml:space="preserve"> </w:t>
      </w:r>
      <w:r w:rsidRPr="00904FCB">
        <w:rPr>
          <w:rFonts w:ascii="Times New Roman" w:hAnsi="Times New Roman" w:hint="cs"/>
          <w:sz w:val="27"/>
          <w:rtl/>
          <w:lang w:bidi="fa-IR"/>
        </w:rPr>
        <w:t>المأمور</w:t>
      </w:r>
      <w:r w:rsidRPr="00904FCB">
        <w:rPr>
          <w:rFonts w:ascii="Times New Roman" w:hAnsi="Times New Roman"/>
          <w:sz w:val="27"/>
          <w:rtl/>
          <w:lang w:bidi="fa-IR"/>
        </w:rPr>
        <w:t xml:space="preserve"> </w:t>
      </w:r>
      <w:r w:rsidRPr="00904FCB">
        <w:rPr>
          <w:rFonts w:ascii="Times New Roman" w:hAnsi="Times New Roman" w:hint="cs"/>
          <w:sz w:val="27"/>
          <w:rtl/>
          <w:lang w:bidi="fa-IR"/>
        </w:rPr>
        <w:t>به</w:t>
      </w:r>
      <w:r w:rsidRPr="00904FCB">
        <w:rPr>
          <w:rFonts w:ascii="Times New Roman" w:hAnsi="Times New Roman"/>
          <w:sz w:val="27"/>
          <w:rtl/>
          <w:lang w:bidi="fa-IR"/>
        </w:rPr>
        <w:t xml:space="preserve"> </w:t>
      </w:r>
      <w:r w:rsidRPr="00904FCB">
        <w:rPr>
          <w:rFonts w:ascii="Times New Roman" w:hAnsi="Times New Roman" w:hint="cs"/>
          <w:sz w:val="27"/>
          <w:rtl/>
          <w:lang w:bidi="fa-IR"/>
        </w:rPr>
        <w:t>هو</w:t>
      </w:r>
      <w:r w:rsidRPr="00904FCB">
        <w:rPr>
          <w:rFonts w:ascii="Times New Roman" w:hAnsi="Times New Roman"/>
          <w:sz w:val="27"/>
          <w:rtl/>
          <w:lang w:bidi="fa-IR"/>
        </w:rPr>
        <w:t xml:space="preserve"> </w:t>
      </w:r>
      <w:r w:rsidRPr="00904FCB">
        <w:rPr>
          <w:rFonts w:ascii="Times New Roman" w:hAnsi="Times New Roman" w:hint="cs"/>
          <w:sz w:val="27"/>
          <w:rtl/>
          <w:lang w:bidi="fa-IR"/>
        </w:rPr>
        <w:t>بعث</w:t>
      </w:r>
      <w:r w:rsidRPr="00904FCB">
        <w:rPr>
          <w:rFonts w:ascii="Times New Roman" w:hAnsi="Times New Roman"/>
          <w:sz w:val="27"/>
          <w:rtl/>
          <w:lang w:bidi="fa-IR"/>
        </w:rPr>
        <w:t xml:space="preserve"> و</w:t>
      </w:r>
      <w:r w:rsidRPr="00904FCB">
        <w:rPr>
          <w:rFonts w:ascii="Times New Roman" w:hAnsi="Times New Roman" w:hint="cs"/>
          <w:sz w:val="27"/>
          <w:rtl/>
          <w:lang w:bidi="fa-IR"/>
        </w:rPr>
        <w:t>تحريك</w:t>
      </w:r>
      <w:r w:rsidRPr="00904FCB">
        <w:rPr>
          <w:rFonts w:ascii="Times New Roman" w:hAnsi="Times New Roman"/>
          <w:sz w:val="27"/>
          <w:rtl/>
          <w:lang w:bidi="fa-IR"/>
        </w:rPr>
        <w:t xml:space="preserve"> </w:t>
      </w:r>
      <w:r w:rsidRPr="00904FCB">
        <w:rPr>
          <w:rFonts w:ascii="Times New Roman" w:hAnsi="Times New Roman" w:hint="cs"/>
          <w:sz w:val="27"/>
          <w:rtl/>
          <w:lang w:bidi="fa-IR"/>
        </w:rPr>
        <w:t>المكلّ</w:t>
      </w:r>
      <w:r w:rsidR="00746156" w:rsidRPr="00904FCB">
        <w:rPr>
          <w:rFonts w:ascii="Times New Roman" w:hAnsi="Times New Roman" w:hint="cs"/>
          <w:sz w:val="27"/>
          <w:rtl/>
          <w:lang w:bidi="fa-IR"/>
        </w:rPr>
        <w:t>َ</w:t>
      </w:r>
      <w:r w:rsidRPr="00904FCB">
        <w:rPr>
          <w:rFonts w:ascii="Times New Roman" w:hAnsi="Times New Roman" w:hint="cs"/>
          <w:sz w:val="27"/>
          <w:rtl/>
          <w:lang w:bidi="fa-IR"/>
        </w:rPr>
        <w:t>ف</w:t>
      </w:r>
      <w:r w:rsidRPr="00904FCB">
        <w:rPr>
          <w:rFonts w:ascii="Times New Roman" w:hAnsi="Times New Roman"/>
          <w:sz w:val="27"/>
          <w:rtl/>
          <w:lang w:bidi="fa-IR"/>
        </w:rPr>
        <w:t xml:space="preserve"> </w:t>
      </w:r>
      <w:r w:rsidRPr="00904FCB">
        <w:rPr>
          <w:rFonts w:ascii="Times New Roman" w:hAnsi="Times New Roman" w:hint="cs"/>
          <w:sz w:val="27"/>
          <w:rtl/>
          <w:lang w:bidi="fa-IR"/>
        </w:rPr>
        <w:t>لتحقيق</w:t>
      </w:r>
      <w:r w:rsidRPr="00904FCB">
        <w:rPr>
          <w:rFonts w:ascii="Times New Roman" w:hAnsi="Times New Roman"/>
          <w:sz w:val="27"/>
          <w:rtl/>
          <w:lang w:bidi="fa-IR"/>
        </w:rPr>
        <w:t xml:space="preserve"> </w:t>
      </w:r>
      <w:r w:rsidRPr="00904FCB">
        <w:rPr>
          <w:rFonts w:ascii="Times New Roman" w:hAnsi="Times New Roman" w:hint="cs"/>
          <w:sz w:val="27"/>
          <w:rtl/>
          <w:lang w:bidi="fa-IR"/>
        </w:rPr>
        <w:t>الأمر</w:t>
      </w:r>
      <w:r w:rsidRPr="00904FCB">
        <w:rPr>
          <w:rFonts w:ascii="Times New Roman" w:hAnsi="Times New Roman"/>
          <w:sz w:val="27"/>
          <w:rtl/>
          <w:lang w:bidi="fa-IR"/>
        </w:rPr>
        <w:t xml:space="preserve"> </w:t>
      </w:r>
      <w:r w:rsidRPr="00904FCB">
        <w:rPr>
          <w:rFonts w:ascii="Times New Roman" w:hAnsi="Times New Roman" w:hint="cs"/>
          <w:sz w:val="27"/>
          <w:rtl/>
          <w:lang w:bidi="fa-IR"/>
        </w:rPr>
        <w:t>المطل</w:t>
      </w:r>
      <w:r w:rsidR="00746156" w:rsidRPr="00904FCB">
        <w:rPr>
          <w:rFonts w:ascii="Times New Roman" w:hAnsi="Times New Roman" w:hint="cs"/>
          <w:sz w:val="27"/>
          <w:rtl/>
          <w:lang w:bidi="fa-IR"/>
        </w:rPr>
        <w:t>و</w:t>
      </w:r>
      <w:r w:rsidRPr="00904FCB">
        <w:rPr>
          <w:rFonts w:ascii="Times New Roman" w:hAnsi="Times New Roman" w:hint="cs"/>
          <w:sz w:val="27"/>
          <w:rtl/>
          <w:lang w:bidi="fa-IR"/>
        </w:rPr>
        <w:t>ب، ومع</w:t>
      </w:r>
      <w:r w:rsidRPr="00904FCB">
        <w:rPr>
          <w:rFonts w:ascii="Times New Roman" w:hAnsi="Times New Roman"/>
          <w:sz w:val="27"/>
          <w:rtl/>
          <w:lang w:bidi="fa-IR"/>
        </w:rPr>
        <w:t xml:space="preserve"> </w:t>
      </w:r>
      <w:r w:rsidRPr="00904FCB">
        <w:rPr>
          <w:rFonts w:ascii="Times New Roman" w:hAnsi="Times New Roman" w:hint="cs"/>
          <w:sz w:val="27"/>
          <w:rtl/>
          <w:lang w:bidi="fa-IR"/>
        </w:rPr>
        <w:t>فرض</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أنّ‌ </w:t>
      </w:r>
      <w:r w:rsidRPr="00904FCB">
        <w:rPr>
          <w:rFonts w:ascii="Times New Roman" w:hAnsi="Times New Roman"/>
          <w:sz w:val="27"/>
          <w:rtl/>
          <w:lang w:bidi="fa-IR"/>
        </w:rPr>
        <w:t>التحر</w:t>
      </w:r>
      <w:r w:rsidRPr="00904FCB">
        <w:rPr>
          <w:rFonts w:ascii="Times New Roman" w:hAnsi="Times New Roman" w:hint="cs"/>
          <w:sz w:val="27"/>
          <w:rtl/>
          <w:lang w:bidi="fa-IR"/>
        </w:rPr>
        <w:t>يك</w:t>
      </w:r>
      <w:r w:rsidRPr="00904FCB">
        <w:rPr>
          <w:rFonts w:ascii="Times New Roman" w:hAnsi="Times New Roman"/>
          <w:sz w:val="27"/>
          <w:rtl/>
          <w:lang w:bidi="fa-IR"/>
        </w:rPr>
        <w:t xml:space="preserve"> </w:t>
      </w:r>
      <w:r w:rsidRPr="00904FCB">
        <w:rPr>
          <w:rFonts w:ascii="Times New Roman" w:hAnsi="Times New Roman" w:hint="cs"/>
          <w:sz w:val="27"/>
          <w:rtl/>
          <w:lang w:bidi="fa-IR"/>
        </w:rPr>
        <w:t>حاصل</w:t>
      </w:r>
      <w:r w:rsidR="0074615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نفسه </w:t>
      </w:r>
      <w:r w:rsidR="00746156" w:rsidRPr="00904FCB">
        <w:rPr>
          <w:rFonts w:ascii="Times New Roman" w:hAnsi="Times New Roman"/>
          <w:sz w:val="27"/>
          <w:rtl/>
          <w:lang w:bidi="fa-IR"/>
        </w:rPr>
        <w:t>فإنه</w:t>
      </w:r>
      <w:r w:rsidR="00510A75" w:rsidRPr="00756F2A">
        <w:rPr>
          <w:rFonts w:ascii="Mosawi" w:hAnsi="Mosawi" w:cs="Mosawi"/>
          <w:sz w:val="22"/>
          <w:szCs w:val="22"/>
          <w:rtl/>
          <w:lang w:bidi="fa-IR"/>
        </w:rPr>
        <w:t>&amp;</w:t>
      </w:r>
      <w:r w:rsidRPr="00904FCB">
        <w:rPr>
          <w:rFonts w:ascii="Times New Roman" w:hAnsi="Times New Roman"/>
          <w:sz w:val="27"/>
          <w:rtl/>
          <w:lang w:bidi="fa-IR"/>
        </w:rPr>
        <w:t xml:space="preserve"> </w:t>
      </w:r>
      <w:r w:rsidRPr="00904FCB">
        <w:rPr>
          <w:rFonts w:ascii="Times New Roman" w:hAnsi="Times New Roman" w:hint="cs"/>
          <w:sz w:val="27"/>
          <w:rtl/>
          <w:lang w:bidi="fa-IR"/>
        </w:rPr>
        <w:t>يقول</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القاعدة (</w:t>
      </w:r>
      <w:r w:rsidRPr="00B769C0">
        <w:rPr>
          <w:rFonts w:ascii="Times New Roman" w:hAnsi="Times New Roman" w:hint="cs"/>
          <w:sz w:val="27"/>
          <w:rtl/>
          <w:lang w:bidi="ar-LB"/>
        </w:rPr>
        <w:t>33</w:t>
      </w:r>
      <w:r w:rsidRPr="00904FCB">
        <w:rPr>
          <w:rFonts w:ascii="Times New Roman" w:hAnsi="Times New Roman"/>
          <w:sz w:val="27"/>
          <w:rtl/>
          <w:lang w:bidi="fa-IR"/>
        </w:rPr>
        <w:t>): «إذا أمر بش</w:t>
      </w:r>
      <w:r w:rsidRPr="00904FCB">
        <w:rPr>
          <w:rFonts w:ascii="Times New Roman" w:hAnsi="Times New Roman" w:hint="cs"/>
          <w:sz w:val="27"/>
          <w:rtl/>
          <w:lang w:bidi="fa-IR"/>
        </w:rPr>
        <w:t>يء</w:t>
      </w:r>
      <w:r w:rsidR="00746156" w:rsidRPr="00904FCB">
        <w:rPr>
          <w:rFonts w:ascii="Times New Roman" w:hAnsi="Times New Roman" w:hint="cs"/>
          <w:sz w:val="27"/>
          <w:rtl/>
          <w:lang w:bidi="fa-IR"/>
        </w:rPr>
        <w:t>ٍ</w:t>
      </w:r>
      <w:r w:rsidRPr="00904FCB">
        <w:rPr>
          <w:rFonts w:ascii="Times New Roman" w:hAnsi="Times New Roman" w:hint="cs"/>
          <w:sz w:val="27"/>
          <w:rtl/>
          <w:lang w:bidi="fa-IR"/>
        </w:rPr>
        <w:t xml:space="preserve"> يتعلّ</w:t>
      </w:r>
      <w:r w:rsidR="00746156" w:rsidRPr="00904FCB">
        <w:rPr>
          <w:rFonts w:ascii="Times New Roman" w:hAnsi="Times New Roman" w:hint="cs"/>
          <w:sz w:val="27"/>
          <w:rtl/>
          <w:lang w:bidi="fa-IR"/>
        </w:rPr>
        <w:t>َ</w:t>
      </w:r>
      <w:r w:rsidRPr="00904FCB">
        <w:rPr>
          <w:rFonts w:ascii="Times New Roman" w:hAnsi="Times New Roman" w:hint="cs"/>
          <w:sz w:val="27"/>
          <w:rtl/>
          <w:lang w:bidi="fa-IR"/>
        </w:rPr>
        <w:t>ق</w:t>
      </w:r>
      <w:r w:rsidRPr="00904FCB">
        <w:rPr>
          <w:rFonts w:ascii="Times New Roman" w:hAnsi="Times New Roman"/>
          <w:sz w:val="27"/>
          <w:rtl/>
          <w:lang w:bidi="fa-IR"/>
        </w:rPr>
        <w:t xml:space="preserve"> </w:t>
      </w:r>
      <w:r w:rsidRPr="00904FCB">
        <w:rPr>
          <w:rFonts w:ascii="Times New Roman" w:hAnsi="Times New Roman" w:hint="cs"/>
          <w:sz w:val="27"/>
          <w:rtl/>
          <w:lang w:bidi="fa-IR"/>
        </w:rPr>
        <w:t>بالمأم</w:t>
      </w:r>
      <w:r w:rsidRPr="00904FCB">
        <w:rPr>
          <w:rFonts w:ascii="Times New Roman" w:hAnsi="Times New Roman"/>
          <w:sz w:val="27"/>
          <w:rtl/>
          <w:lang w:bidi="fa-IR"/>
        </w:rPr>
        <w:t xml:space="preserve">ور، وكان عند المأمور دافع </w:t>
      </w:r>
      <w:r w:rsidRPr="00904FCB">
        <w:rPr>
          <w:rFonts w:ascii="Times New Roman" w:hAnsi="Times New Roman" w:hint="cs"/>
          <w:sz w:val="27"/>
          <w:rtl/>
          <w:lang w:bidi="fa-IR"/>
        </w:rPr>
        <w:t>يحمله</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الإتيان</w:t>
      </w:r>
      <w:r w:rsidRPr="00904FCB">
        <w:rPr>
          <w:rFonts w:ascii="Times New Roman" w:hAnsi="Times New Roman"/>
          <w:sz w:val="27"/>
          <w:rtl/>
          <w:lang w:bidi="fa-IR"/>
        </w:rPr>
        <w:t xml:space="preserve"> </w:t>
      </w:r>
      <w:r w:rsidRPr="00904FCB">
        <w:rPr>
          <w:rFonts w:ascii="Times New Roman" w:hAnsi="Times New Roman" w:hint="cs"/>
          <w:sz w:val="27"/>
          <w:rtl/>
          <w:lang w:bidi="fa-IR"/>
        </w:rPr>
        <w:t>به، فلا</w:t>
      </w:r>
      <w:r w:rsidR="00746156" w:rsidRPr="00904FCB">
        <w:rPr>
          <w:rFonts w:ascii="Times New Roman" w:hAnsi="Times New Roman" w:hint="cs"/>
          <w:sz w:val="27"/>
          <w:rtl/>
          <w:lang w:bidi="fa-IR"/>
        </w:rPr>
        <w:t xml:space="preserve"> </w:t>
      </w:r>
      <w:r w:rsidRPr="00904FCB">
        <w:rPr>
          <w:rFonts w:ascii="Times New Roman" w:hAnsi="Times New Roman" w:hint="cs"/>
          <w:sz w:val="27"/>
          <w:rtl/>
          <w:lang w:bidi="fa-IR"/>
        </w:rPr>
        <w:t>يحمل</w:t>
      </w:r>
      <w:r w:rsidRPr="00904FCB">
        <w:rPr>
          <w:rFonts w:ascii="Times New Roman" w:hAnsi="Times New Roman"/>
          <w:sz w:val="27"/>
          <w:rtl/>
          <w:lang w:bidi="fa-IR"/>
        </w:rPr>
        <w:t xml:space="preserve"> </w:t>
      </w:r>
      <w:r w:rsidRPr="00904FCB">
        <w:rPr>
          <w:rFonts w:ascii="Times New Roman" w:hAnsi="Times New Roman" w:hint="cs"/>
          <w:sz w:val="27"/>
          <w:rtl/>
          <w:lang w:bidi="fa-IR"/>
        </w:rPr>
        <w:t>ذلك</w:t>
      </w:r>
      <w:r w:rsidRPr="00904FCB">
        <w:rPr>
          <w:rFonts w:ascii="Times New Roman" w:hAnsi="Times New Roman"/>
          <w:sz w:val="27"/>
          <w:rtl/>
          <w:lang w:bidi="fa-IR"/>
        </w:rPr>
        <w:t xml:space="preserve"> </w:t>
      </w:r>
      <w:r w:rsidRPr="00904FCB">
        <w:rPr>
          <w:rFonts w:ascii="Times New Roman" w:hAnsi="Times New Roman" w:hint="cs"/>
          <w:sz w:val="27"/>
          <w:rtl/>
          <w:lang w:bidi="fa-IR"/>
        </w:rPr>
        <w:t>الأمر</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الوجوب</w:t>
      </w:r>
      <w:r w:rsidR="0074615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لأنّ</w:t>
      </w:r>
      <w:r w:rsidRPr="00904FCB">
        <w:rPr>
          <w:rFonts w:ascii="Times New Roman" w:hAnsi="Times New Roman"/>
          <w:sz w:val="27"/>
          <w:rtl/>
          <w:lang w:bidi="fa-IR"/>
        </w:rPr>
        <w:t xml:space="preserve"> </w:t>
      </w:r>
      <w:r w:rsidRPr="00904FCB">
        <w:rPr>
          <w:rFonts w:ascii="Times New Roman" w:hAnsi="Times New Roman" w:hint="cs"/>
          <w:sz w:val="27"/>
          <w:rtl/>
          <w:lang w:bidi="fa-IR"/>
        </w:rPr>
        <w:t>المقصود</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الإ</w:t>
      </w:r>
      <w:r w:rsidRPr="00904FCB">
        <w:rPr>
          <w:rFonts w:ascii="Times New Roman" w:hAnsi="Times New Roman" w:hint="cs"/>
          <w:sz w:val="27"/>
          <w:rtl/>
          <w:lang w:bidi="fa-IR"/>
        </w:rPr>
        <w:t>يجاب</w:t>
      </w:r>
      <w:r w:rsidRPr="00904FCB">
        <w:rPr>
          <w:rFonts w:ascii="Times New Roman" w:hAnsi="Times New Roman"/>
          <w:sz w:val="27"/>
          <w:rtl/>
          <w:lang w:bidi="fa-IR"/>
        </w:rPr>
        <w:t xml:space="preserve"> </w:t>
      </w:r>
      <w:r w:rsidRPr="00904FCB">
        <w:rPr>
          <w:rFonts w:ascii="Times New Roman" w:hAnsi="Times New Roman" w:hint="cs"/>
          <w:sz w:val="27"/>
          <w:rtl/>
          <w:lang w:bidi="fa-IR"/>
        </w:rPr>
        <w:t>إنّما</w:t>
      </w:r>
      <w:r w:rsidRPr="00904FCB">
        <w:rPr>
          <w:rFonts w:ascii="Times New Roman" w:hAnsi="Times New Roman"/>
          <w:sz w:val="27"/>
          <w:rtl/>
          <w:lang w:bidi="fa-IR"/>
        </w:rPr>
        <w:t xml:space="preserve"> </w:t>
      </w:r>
      <w:r w:rsidRPr="00904FCB">
        <w:rPr>
          <w:rFonts w:ascii="Times New Roman" w:hAnsi="Times New Roman" w:hint="cs"/>
          <w:sz w:val="27"/>
          <w:rtl/>
          <w:lang w:bidi="fa-IR"/>
        </w:rPr>
        <w:t>هو</w:t>
      </w:r>
      <w:r w:rsidRPr="00904FCB">
        <w:rPr>
          <w:rFonts w:ascii="Times New Roman" w:hAnsi="Times New Roman"/>
          <w:sz w:val="27"/>
          <w:rtl/>
          <w:lang w:bidi="fa-IR"/>
        </w:rPr>
        <w:t xml:space="preserve"> </w:t>
      </w:r>
      <w:r w:rsidRPr="00904FCB">
        <w:rPr>
          <w:rFonts w:ascii="Times New Roman" w:hAnsi="Times New Roman" w:hint="cs"/>
          <w:sz w:val="27"/>
          <w:rtl/>
          <w:lang w:bidi="fa-IR"/>
        </w:rPr>
        <w:t>الحثّ</w:t>
      </w:r>
      <w:r w:rsidRPr="00904FCB">
        <w:rPr>
          <w:rFonts w:ascii="Times New Roman" w:hAnsi="Times New Roman"/>
          <w:sz w:val="27"/>
          <w:rtl/>
          <w:lang w:bidi="fa-IR"/>
        </w:rPr>
        <w:t xml:space="preserve"> على </w:t>
      </w:r>
      <w:r w:rsidRPr="00904FCB">
        <w:rPr>
          <w:rFonts w:ascii="Times New Roman" w:hAnsi="Times New Roman" w:hint="cs"/>
          <w:sz w:val="27"/>
          <w:rtl/>
          <w:lang w:bidi="fa-IR"/>
        </w:rPr>
        <w:t>طلب</w:t>
      </w:r>
      <w:r w:rsidRPr="00904FCB">
        <w:rPr>
          <w:rFonts w:ascii="Times New Roman" w:hAnsi="Times New Roman"/>
          <w:sz w:val="27"/>
          <w:rtl/>
          <w:lang w:bidi="fa-IR"/>
        </w:rPr>
        <w:t xml:space="preserve"> </w:t>
      </w:r>
      <w:r w:rsidRPr="00904FCB">
        <w:rPr>
          <w:rFonts w:ascii="Times New Roman" w:hAnsi="Times New Roman" w:hint="cs"/>
          <w:sz w:val="27"/>
          <w:rtl/>
          <w:lang w:bidi="fa-IR"/>
        </w:rPr>
        <w:t>الفعل»</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إنّ هذه الالتفاتة من الشهيد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تعدّ‌ إحد</w:t>
      </w:r>
      <w:r w:rsidR="00746156"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اهتمامات</w:t>
      </w:r>
      <w:r w:rsidRPr="00904FCB">
        <w:rPr>
          <w:rFonts w:ascii="Times New Roman" w:hAnsi="Times New Roman"/>
          <w:sz w:val="27"/>
          <w:rtl/>
          <w:lang w:bidi="fa-IR"/>
        </w:rPr>
        <w:t xml:space="preserve"> </w:t>
      </w:r>
      <w:r w:rsidRPr="00904FCB">
        <w:rPr>
          <w:rFonts w:ascii="Times New Roman" w:hAnsi="Times New Roman" w:hint="cs"/>
          <w:sz w:val="27"/>
          <w:rtl/>
          <w:lang w:bidi="fa-IR"/>
        </w:rPr>
        <w:t>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الفقيه</w:t>
      </w:r>
      <w:r w:rsidRPr="00904FCB">
        <w:rPr>
          <w:rFonts w:ascii="Times New Roman" w:hAnsi="Times New Roman"/>
          <w:sz w:val="27"/>
          <w:rtl/>
          <w:lang w:bidi="fa-IR"/>
        </w:rPr>
        <w:t xml:space="preserve"> على </w:t>
      </w:r>
      <w:r w:rsidRPr="00904FCB">
        <w:rPr>
          <w:rFonts w:ascii="Times New Roman" w:hAnsi="Times New Roman" w:hint="cs"/>
          <w:sz w:val="27"/>
          <w:rtl/>
          <w:lang w:bidi="fa-IR"/>
        </w:rPr>
        <w:t>نحو</w:t>
      </w:r>
      <w:r w:rsidRPr="00904FCB">
        <w:rPr>
          <w:rFonts w:ascii="Times New Roman" w:hAnsi="Times New Roman"/>
          <w:sz w:val="27"/>
          <w:rtl/>
          <w:lang w:bidi="fa-IR"/>
        </w:rPr>
        <w:t xml:space="preserve"> </w:t>
      </w:r>
      <w:r w:rsidRPr="00904FCB">
        <w:rPr>
          <w:rFonts w:ascii="Times New Roman" w:hAnsi="Times New Roman" w:hint="cs"/>
          <w:sz w:val="27"/>
          <w:rtl/>
          <w:lang w:bidi="fa-IR"/>
        </w:rPr>
        <w:t>الدقّة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تشخ</w:t>
      </w:r>
      <w:r w:rsidRPr="00904FCB">
        <w:rPr>
          <w:rFonts w:ascii="Times New Roman" w:hAnsi="Times New Roman" w:hint="cs"/>
          <w:sz w:val="27"/>
          <w:rtl/>
          <w:lang w:bidi="fa-IR"/>
        </w:rPr>
        <w:t>يص</w:t>
      </w:r>
      <w:r w:rsidRPr="00904FCB">
        <w:rPr>
          <w:rFonts w:ascii="Times New Roman" w:hAnsi="Times New Roman"/>
          <w:sz w:val="27"/>
          <w:rtl/>
          <w:lang w:bidi="fa-IR"/>
        </w:rPr>
        <w:t xml:space="preserve"> </w:t>
      </w:r>
      <w:r w:rsidRPr="00904FCB">
        <w:rPr>
          <w:rFonts w:ascii="Times New Roman" w:hAnsi="Times New Roman" w:hint="cs"/>
          <w:sz w:val="27"/>
          <w:rtl/>
          <w:lang w:bidi="fa-IR"/>
        </w:rPr>
        <w:t>المطالب، وإحد</w:t>
      </w:r>
      <w:r w:rsidR="00746156"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الخصائص</w:t>
      </w:r>
      <w:r w:rsidRPr="00904FCB">
        <w:rPr>
          <w:rFonts w:ascii="Times New Roman" w:hAnsi="Times New Roman"/>
          <w:sz w:val="27"/>
          <w:rtl/>
          <w:lang w:bidi="fa-IR"/>
        </w:rPr>
        <w:t xml:space="preserve"> </w:t>
      </w:r>
      <w:r w:rsidRPr="00904FCB">
        <w:rPr>
          <w:rFonts w:ascii="Times New Roman" w:hAnsi="Times New Roman" w:hint="cs"/>
          <w:sz w:val="27"/>
          <w:rtl/>
          <w:lang w:bidi="fa-IR"/>
        </w:rPr>
        <w:t>التي</w:t>
      </w:r>
      <w:r w:rsidRPr="00904FCB">
        <w:rPr>
          <w:rFonts w:ascii="Times New Roman" w:hAnsi="Times New Roman"/>
          <w:sz w:val="27"/>
          <w:rtl/>
          <w:lang w:bidi="fa-IR"/>
        </w:rPr>
        <w:t xml:space="preserve"> تم</w:t>
      </w:r>
      <w:r w:rsidRPr="00904FCB">
        <w:rPr>
          <w:rFonts w:ascii="Times New Roman" w:hAnsi="Times New Roman" w:hint="cs"/>
          <w:sz w:val="27"/>
          <w:rtl/>
          <w:lang w:bidi="fa-IR"/>
        </w:rPr>
        <w:t>ي</w:t>
      </w:r>
      <w:r w:rsidR="00746156" w:rsidRPr="00904FCB">
        <w:rPr>
          <w:rFonts w:ascii="Times New Roman" w:hAnsi="Times New Roman" w:hint="cs"/>
          <w:sz w:val="27"/>
          <w:rtl/>
          <w:lang w:bidi="fa-IR"/>
        </w:rPr>
        <w:t>َّ</w:t>
      </w:r>
      <w:r w:rsidRPr="00904FCB">
        <w:rPr>
          <w:rFonts w:ascii="Times New Roman" w:hAnsi="Times New Roman" w:hint="cs"/>
          <w:sz w:val="27"/>
          <w:rtl/>
          <w:lang w:bidi="fa-IR"/>
        </w:rPr>
        <w:t>ز</w:t>
      </w:r>
      <w:r w:rsidRPr="00904FCB">
        <w:rPr>
          <w:rFonts w:ascii="Times New Roman" w:hAnsi="Times New Roman"/>
          <w:sz w:val="27"/>
          <w:rtl/>
          <w:lang w:bidi="fa-IR"/>
        </w:rPr>
        <w:t xml:space="preserve"> بها عن غ</w:t>
      </w:r>
      <w:r w:rsidRPr="00904FCB">
        <w:rPr>
          <w:rFonts w:ascii="Times New Roman" w:hAnsi="Times New Roman" w:hint="cs"/>
          <w:sz w:val="27"/>
          <w:rtl/>
          <w:lang w:bidi="fa-IR"/>
        </w:rPr>
        <w:t>يره</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الفقهاء</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6ـ</w:t>
      </w:r>
      <w:r w:rsidRPr="00904FCB">
        <w:rPr>
          <w:rFonts w:hint="cs"/>
          <w:color w:val="auto"/>
          <w:rtl/>
          <w:lang w:bidi="ar-LB"/>
        </w:rPr>
        <w:t xml:space="preserve"> </w:t>
      </w:r>
      <w:r w:rsidRPr="00904FCB">
        <w:rPr>
          <w:color w:val="auto"/>
          <w:rtl/>
          <w:lang w:bidi="fa-IR"/>
        </w:rPr>
        <w:t>أقسام متعلّ</w:t>
      </w:r>
      <w:r w:rsidR="00746156" w:rsidRPr="00904FCB">
        <w:rPr>
          <w:rFonts w:hint="cs"/>
          <w:color w:val="auto"/>
          <w:rtl/>
          <w:lang w:bidi="fa-IR"/>
        </w:rPr>
        <w:t>َ</w:t>
      </w:r>
      <w:r w:rsidRPr="00904FCB">
        <w:rPr>
          <w:color w:val="auto"/>
          <w:rtl/>
          <w:lang w:bidi="fa-IR"/>
        </w:rPr>
        <w:t xml:space="preserve">ق الواجب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القاعدة (</w:t>
      </w:r>
      <w:r w:rsidRPr="00B769C0">
        <w:rPr>
          <w:rFonts w:ascii="Times New Roman" w:hAnsi="Times New Roman" w:hint="cs"/>
          <w:sz w:val="27"/>
          <w:rtl/>
          <w:lang w:bidi="ar-LB"/>
        </w:rPr>
        <w:t>12</w:t>
      </w:r>
      <w:r w:rsidRPr="00904FCB">
        <w:rPr>
          <w:rFonts w:ascii="Times New Roman" w:hAnsi="Times New Roman"/>
          <w:sz w:val="27"/>
          <w:rtl/>
          <w:lang w:bidi="fa-IR"/>
        </w:rPr>
        <w:t>) تبحث ف</w:t>
      </w:r>
      <w:r w:rsidRPr="00904FCB">
        <w:rPr>
          <w:rFonts w:ascii="Times New Roman" w:hAnsi="Times New Roman" w:hint="cs"/>
          <w:sz w:val="27"/>
          <w:rtl/>
          <w:lang w:bidi="fa-IR"/>
        </w:rPr>
        <w:t>ي</w:t>
      </w:r>
      <w:r w:rsidRPr="00904FCB">
        <w:rPr>
          <w:rFonts w:ascii="Times New Roman" w:hAnsi="Times New Roman"/>
          <w:sz w:val="27"/>
          <w:rtl/>
          <w:lang w:bidi="fa-IR"/>
        </w:rPr>
        <w:t xml:space="preserve"> أنّه إذا كان متعلّق الحكم اسم</w:t>
      </w:r>
      <w:r w:rsidR="00746156" w:rsidRPr="00904FCB">
        <w:rPr>
          <w:rFonts w:ascii="Times New Roman" w:hAnsi="Times New Roman" w:hint="cs"/>
          <w:sz w:val="27"/>
          <w:rtl/>
          <w:lang w:bidi="fa-IR"/>
        </w:rPr>
        <w:t>اً</w:t>
      </w:r>
      <w:r w:rsidRPr="00904FCB">
        <w:rPr>
          <w:rFonts w:ascii="Times New Roman" w:hAnsi="Times New Roman"/>
          <w:sz w:val="27"/>
          <w:rtl/>
          <w:lang w:bidi="fa-IR"/>
        </w:rPr>
        <w:t xml:space="preserve"> </w:t>
      </w:r>
      <w:r w:rsidRPr="00904FCB">
        <w:rPr>
          <w:rFonts w:ascii="Times New Roman" w:hAnsi="Times New Roman" w:hint="cs"/>
          <w:sz w:val="27"/>
          <w:rtl/>
          <w:lang w:bidi="fa-IR"/>
        </w:rPr>
        <w:t>يصدق</w:t>
      </w:r>
      <w:r w:rsidRPr="00904FCB">
        <w:rPr>
          <w:rFonts w:ascii="Times New Roman" w:hAnsi="Times New Roman"/>
          <w:sz w:val="27"/>
          <w:rtl/>
          <w:lang w:bidi="fa-IR"/>
        </w:rPr>
        <w:t xml:space="preserve"> </w:t>
      </w:r>
      <w:r w:rsidRPr="00904FCB">
        <w:rPr>
          <w:rFonts w:ascii="Times New Roman" w:hAnsi="Times New Roman" w:hint="cs"/>
          <w:sz w:val="27"/>
          <w:rtl/>
          <w:lang w:bidi="fa-IR"/>
        </w:rPr>
        <w:t>مع</w:t>
      </w:r>
      <w:r w:rsidRPr="00904FCB">
        <w:rPr>
          <w:rFonts w:ascii="Times New Roman" w:hAnsi="Times New Roman"/>
          <w:sz w:val="27"/>
          <w:rtl/>
          <w:lang w:bidi="fa-IR"/>
        </w:rPr>
        <w:t xml:space="preserve"> </w:t>
      </w:r>
      <w:r w:rsidRPr="00904FCB">
        <w:rPr>
          <w:rFonts w:ascii="Times New Roman" w:hAnsi="Times New Roman" w:hint="cs"/>
          <w:sz w:val="27"/>
          <w:rtl/>
          <w:lang w:bidi="fa-IR"/>
        </w:rPr>
        <w:t>القليل</w:t>
      </w:r>
      <w:r w:rsidRPr="00904FCB">
        <w:rPr>
          <w:rFonts w:ascii="Times New Roman" w:hAnsi="Times New Roman"/>
          <w:sz w:val="27"/>
          <w:rtl/>
          <w:lang w:bidi="fa-IR"/>
        </w:rPr>
        <w:t xml:space="preserve"> </w:t>
      </w:r>
      <w:r w:rsidRPr="00904FCB">
        <w:rPr>
          <w:rFonts w:ascii="Times New Roman" w:hAnsi="Times New Roman" w:hint="cs"/>
          <w:sz w:val="27"/>
          <w:rtl/>
          <w:lang w:bidi="fa-IR"/>
        </w:rPr>
        <w:t>وال</w:t>
      </w:r>
      <w:r w:rsidRPr="00904FCB">
        <w:rPr>
          <w:rFonts w:ascii="Times New Roman" w:hAnsi="Times New Roman"/>
          <w:sz w:val="27"/>
          <w:rtl/>
          <w:lang w:bidi="fa-IR"/>
        </w:rPr>
        <w:t>كث</w:t>
      </w:r>
      <w:r w:rsidRPr="00904FCB">
        <w:rPr>
          <w:rFonts w:ascii="Times New Roman" w:hAnsi="Times New Roman" w:hint="cs"/>
          <w:sz w:val="27"/>
          <w:rtl/>
          <w:lang w:bidi="fa-IR"/>
        </w:rPr>
        <w:t xml:space="preserve">ير، </w:t>
      </w:r>
      <w:r w:rsidR="004722A1" w:rsidRPr="00904FCB">
        <w:rPr>
          <w:rFonts w:ascii="Times New Roman" w:hAnsi="Times New Roman" w:hint="cs"/>
          <w:sz w:val="27"/>
          <w:rtl/>
          <w:lang w:bidi="fa-IR"/>
        </w:rPr>
        <w:t xml:space="preserve">وتذكر </w:t>
      </w:r>
      <w:r w:rsidRPr="00904FCB">
        <w:rPr>
          <w:rFonts w:ascii="Times New Roman" w:hAnsi="Times New Roman" w:hint="cs"/>
          <w:sz w:val="27"/>
          <w:rtl/>
          <w:lang w:bidi="fa-IR"/>
        </w:rPr>
        <w:t>مورداً</w:t>
      </w:r>
      <w:r w:rsidRPr="00904FCB">
        <w:rPr>
          <w:rFonts w:ascii="Times New Roman" w:hAnsi="Times New Roman"/>
          <w:sz w:val="27"/>
          <w:rtl/>
          <w:lang w:bidi="fa-IR"/>
        </w:rPr>
        <w:t xml:space="preserve"> </w:t>
      </w:r>
      <w:r w:rsidRPr="00904FCB">
        <w:rPr>
          <w:rFonts w:ascii="Times New Roman" w:hAnsi="Times New Roman" w:hint="cs"/>
          <w:sz w:val="27"/>
          <w:rtl/>
          <w:lang w:bidi="fa-IR"/>
        </w:rPr>
        <w:t>ظريفاً</w:t>
      </w:r>
      <w:r w:rsidRPr="00904FCB">
        <w:rPr>
          <w:rFonts w:ascii="Times New Roman" w:hAnsi="Times New Roman"/>
          <w:sz w:val="27"/>
          <w:rtl/>
          <w:lang w:bidi="fa-IR"/>
        </w:rPr>
        <w:t xml:space="preserve"> </w:t>
      </w:r>
      <w:r w:rsidRPr="00904FCB">
        <w:rPr>
          <w:rFonts w:ascii="Times New Roman" w:hAnsi="Times New Roman" w:hint="cs"/>
          <w:sz w:val="27"/>
          <w:rtl/>
          <w:lang w:bidi="fa-IR"/>
        </w:rPr>
        <w:t>يتعلّ</w:t>
      </w:r>
      <w:r w:rsidR="00746156" w:rsidRPr="00904FCB">
        <w:rPr>
          <w:rFonts w:ascii="Times New Roman" w:hAnsi="Times New Roman" w:hint="cs"/>
          <w:sz w:val="27"/>
          <w:rtl/>
          <w:lang w:bidi="fa-IR"/>
        </w:rPr>
        <w:t>َ</w:t>
      </w:r>
      <w:r w:rsidRPr="00904FCB">
        <w:rPr>
          <w:rFonts w:ascii="Times New Roman" w:hAnsi="Times New Roman" w:hint="cs"/>
          <w:sz w:val="27"/>
          <w:rtl/>
          <w:lang w:bidi="fa-IR"/>
        </w:rPr>
        <w:t>ق</w:t>
      </w:r>
      <w:r w:rsidRPr="00904FCB">
        <w:rPr>
          <w:rFonts w:ascii="Times New Roman" w:hAnsi="Times New Roman"/>
          <w:sz w:val="27"/>
          <w:rtl/>
          <w:lang w:bidi="fa-IR"/>
        </w:rPr>
        <w:t xml:space="preserve"> </w:t>
      </w:r>
      <w:r w:rsidRPr="00904FCB">
        <w:rPr>
          <w:rFonts w:ascii="Times New Roman" w:hAnsi="Times New Roman" w:hint="cs"/>
          <w:sz w:val="27"/>
          <w:rtl/>
          <w:lang w:bidi="fa-IR"/>
        </w:rPr>
        <w:t>بالحكم</w:t>
      </w:r>
      <w:r w:rsidRPr="00904FCB">
        <w:rPr>
          <w:rFonts w:ascii="Times New Roman" w:hAnsi="Times New Roman"/>
          <w:sz w:val="27"/>
          <w:rtl/>
          <w:lang w:bidi="fa-IR"/>
        </w:rPr>
        <w:t xml:space="preserve"> </w:t>
      </w:r>
      <w:r w:rsidRPr="00904FCB">
        <w:rPr>
          <w:rFonts w:ascii="Times New Roman" w:hAnsi="Times New Roman" w:hint="cs"/>
          <w:sz w:val="27"/>
          <w:rtl/>
          <w:lang w:bidi="fa-IR"/>
        </w:rPr>
        <w:t>الإسلامي</w:t>
      </w:r>
      <w:r w:rsidRPr="00904FCB">
        <w:rPr>
          <w:rFonts w:ascii="Times New Roman" w:hAnsi="Times New Roman"/>
          <w:sz w:val="27"/>
          <w:rtl/>
          <w:lang w:bidi="fa-IR"/>
        </w:rPr>
        <w:t xml:space="preserve"> </w:t>
      </w:r>
      <w:r w:rsidRPr="00904FCB">
        <w:rPr>
          <w:rFonts w:ascii="Times New Roman" w:hAnsi="Times New Roman" w:hint="cs"/>
          <w:sz w:val="27"/>
          <w:rtl/>
          <w:lang w:bidi="fa-IR"/>
        </w:rPr>
        <w:t>وما</w:t>
      </w:r>
      <w:r w:rsidRPr="00904FCB">
        <w:rPr>
          <w:rFonts w:ascii="Times New Roman" w:hAnsi="Times New Roman"/>
          <w:sz w:val="27"/>
          <w:rtl/>
          <w:lang w:bidi="fa-IR"/>
        </w:rPr>
        <w:t xml:space="preserve"> </w:t>
      </w:r>
      <w:r w:rsidRPr="00904FCB">
        <w:rPr>
          <w:rFonts w:ascii="Times New Roman" w:hAnsi="Times New Roman" w:hint="cs"/>
          <w:sz w:val="27"/>
          <w:rtl/>
          <w:lang w:bidi="fa-IR"/>
        </w:rPr>
        <w:t>يصدق</w:t>
      </w:r>
      <w:r w:rsidRPr="00904FCB">
        <w:rPr>
          <w:rFonts w:ascii="Times New Roman" w:hAnsi="Times New Roman"/>
          <w:sz w:val="27"/>
          <w:rtl/>
          <w:lang w:bidi="fa-IR"/>
        </w:rPr>
        <w:t xml:space="preserve"> </w:t>
      </w:r>
      <w:r w:rsidRPr="00904FCB">
        <w:rPr>
          <w:rFonts w:ascii="Times New Roman" w:hAnsi="Times New Roman" w:hint="cs"/>
          <w:sz w:val="27"/>
          <w:rtl/>
          <w:lang w:bidi="fa-IR"/>
        </w:rPr>
        <w:t>عليه</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أمور، مثل</w:t>
      </w:r>
      <w:r w:rsidR="00746156"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المسح</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الرأس</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الوضوء، وال</w:t>
      </w:r>
      <w:r w:rsidR="00746156" w:rsidRPr="00904FCB">
        <w:rPr>
          <w:rFonts w:ascii="Times New Roman" w:hAnsi="Times New Roman" w:hint="cs"/>
          <w:sz w:val="27"/>
          <w:rtl/>
          <w:lang w:bidi="fa-IR"/>
        </w:rPr>
        <w:t>أ</w:t>
      </w:r>
      <w:r w:rsidRPr="00904FCB">
        <w:rPr>
          <w:rFonts w:ascii="Times New Roman" w:hAnsi="Times New Roman" w:hint="cs"/>
          <w:sz w:val="27"/>
          <w:rtl/>
          <w:lang w:bidi="fa-IR"/>
        </w:rPr>
        <w:t>ضحية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الحج</w:t>
      </w:r>
      <w:r w:rsidR="00746156" w:rsidRPr="00904FCB">
        <w:rPr>
          <w:rFonts w:ascii="Times New Roman" w:hAnsi="Times New Roman" w:hint="cs"/>
          <w:sz w:val="27"/>
          <w:rtl/>
          <w:lang w:bidi="fa-IR"/>
        </w:rPr>
        <w:t>ّ</w:t>
      </w:r>
      <w:r w:rsidRPr="00904FCB">
        <w:rPr>
          <w:rFonts w:ascii="Times New Roman" w:hAnsi="Times New Roman"/>
          <w:sz w:val="27"/>
          <w:rtl/>
          <w:lang w:bidi="fa-IR"/>
        </w:rPr>
        <w:t xml:space="preserve">، </w:t>
      </w:r>
      <w:r w:rsidR="004722A1" w:rsidRPr="00904FCB">
        <w:rPr>
          <w:rFonts w:ascii="Times New Roman" w:hAnsi="Times New Roman" w:hint="cs"/>
          <w:sz w:val="27"/>
          <w:rtl/>
          <w:lang w:bidi="fa-IR"/>
        </w:rPr>
        <w:t xml:space="preserve">حيث </w:t>
      </w:r>
      <w:r w:rsidRPr="00904FCB">
        <w:rPr>
          <w:rFonts w:ascii="Times New Roman" w:hAnsi="Times New Roman" w:hint="cs"/>
          <w:sz w:val="27"/>
          <w:rtl/>
          <w:lang w:bidi="fa-IR"/>
        </w:rPr>
        <w:t>يذكر</w:t>
      </w:r>
      <w:r w:rsidRPr="00904FCB">
        <w:rPr>
          <w:rFonts w:ascii="Times New Roman" w:hAnsi="Times New Roman"/>
          <w:sz w:val="27"/>
          <w:rtl/>
          <w:lang w:bidi="fa-IR"/>
        </w:rPr>
        <w:t xml:space="preserve"> </w:t>
      </w:r>
      <w:r w:rsidR="004722A1" w:rsidRPr="00904FCB">
        <w:rPr>
          <w:rFonts w:ascii="Times New Roman" w:hAnsi="Times New Roman" w:hint="cs"/>
          <w:sz w:val="27"/>
          <w:rtl/>
          <w:lang w:bidi="fa-IR"/>
        </w:rPr>
        <w:t xml:space="preserve">الشهيد الثاني بعد ذلك </w:t>
      </w:r>
      <w:r w:rsidRPr="00904FCB">
        <w:rPr>
          <w:rFonts w:ascii="Times New Roman" w:hAnsi="Times New Roman" w:hint="cs"/>
          <w:sz w:val="27"/>
          <w:rtl/>
          <w:lang w:bidi="fa-IR"/>
        </w:rPr>
        <w:t>ستّ</w:t>
      </w:r>
      <w:r w:rsidRPr="00904FCB">
        <w:rPr>
          <w:rFonts w:ascii="Times New Roman" w:hAnsi="Times New Roman"/>
          <w:sz w:val="27"/>
          <w:rtl/>
          <w:lang w:bidi="fa-IR"/>
        </w:rPr>
        <w:t xml:space="preserve"> </w:t>
      </w:r>
      <w:r w:rsidRPr="00904FCB">
        <w:rPr>
          <w:rFonts w:ascii="Times New Roman" w:hAnsi="Times New Roman" w:hint="cs"/>
          <w:sz w:val="27"/>
          <w:rtl/>
          <w:lang w:bidi="fa-IR"/>
        </w:rPr>
        <w:t>ثمرات</w:t>
      </w:r>
      <w:r w:rsidRPr="00904FCB">
        <w:rPr>
          <w:rFonts w:ascii="Times New Roman" w:hAnsi="Times New Roman"/>
          <w:sz w:val="27"/>
          <w:rtl/>
          <w:lang w:bidi="fa-IR"/>
        </w:rPr>
        <w:t xml:space="preserve"> </w:t>
      </w:r>
      <w:r w:rsidRPr="00904FCB">
        <w:rPr>
          <w:rFonts w:ascii="Times New Roman" w:hAnsi="Times New Roman" w:hint="cs"/>
          <w:sz w:val="27"/>
          <w:rtl/>
          <w:lang w:bidi="fa-IR"/>
        </w:rPr>
        <w:t>فق</w:t>
      </w:r>
      <w:r w:rsidRPr="00904FCB">
        <w:rPr>
          <w:rFonts w:ascii="Times New Roman" w:hAnsi="Times New Roman"/>
          <w:sz w:val="27"/>
          <w:rtl/>
          <w:lang w:bidi="fa-IR"/>
        </w:rPr>
        <w:t>هية تترتّ</w:t>
      </w:r>
      <w:r w:rsidR="00746156" w:rsidRPr="00904FCB">
        <w:rPr>
          <w:rFonts w:ascii="Times New Roman" w:hAnsi="Times New Roman" w:hint="cs"/>
          <w:sz w:val="27"/>
          <w:rtl/>
          <w:lang w:bidi="fa-IR"/>
        </w:rPr>
        <w:t>َ</w:t>
      </w:r>
      <w:r w:rsidRPr="00904FCB">
        <w:rPr>
          <w:rFonts w:ascii="Times New Roman" w:hAnsi="Times New Roman"/>
          <w:sz w:val="27"/>
          <w:rtl/>
          <w:lang w:bidi="fa-IR"/>
        </w:rPr>
        <w:t xml:space="preserve">ب على </w:t>
      </w:r>
      <w:r w:rsidRPr="00904FCB">
        <w:rPr>
          <w:rFonts w:ascii="Times New Roman" w:hAnsi="Times New Roman" w:hint="cs"/>
          <w:sz w:val="27"/>
          <w:rtl/>
          <w:lang w:bidi="fa-IR"/>
        </w:rPr>
        <w:t>هذه</w:t>
      </w:r>
      <w:r w:rsidRPr="00904FCB">
        <w:rPr>
          <w:rFonts w:ascii="Times New Roman" w:hAnsi="Times New Roman"/>
          <w:sz w:val="27"/>
          <w:rtl/>
          <w:lang w:bidi="fa-IR"/>
        </w:rPr>
        <w:t xml:space="preserve"> </w:t>
      </w:r>
      <w:r w:rsidRPr="00904FCB">
        <w:rPr>
          <w:rFonts w:ascii="Times New Roman" w:hAnsi="Times New Roman" w:hint="cs"/>
          <w:sz w:val="27"/>
          <w:rtl/>
          <w:lang w:bidi="fa-IR"/>
        </w:rPr>
        <w:t>المسألة</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r w:rsidRPr="00904FCB">
        <w:rPr>
          <w:rFonts w:ascii="Times New Roman" w:hAnsi="Times New Roman"/>
          <w:sz w:val="27"/>
          <w:rtl/>
          <w:lang w:bidi="fa-IR"/>
        </w:rPr>
        <w:t>منها: لو</w:t>
      </w:r>
      <w:r w:rsidR="00746156" w:rsidRPr="00904FCB">
        <w:rPr>
          <w:rFonts w:ascii="Times New Roman" w:hAnsi="Times New Roman" w:hint="cs"/>
          <w:sz w:val="27"/>
          <w:rtl/>
          <w:lang w:bidi="fa-IR"/>
        </w:rPr>
        <w:t xml:space="preserve"> </w:t>
      </w:r>
      <w:r w:rsidRPr="00904FCB">
        <w:rPr>
          <w:rFonts w:ascii="Times New Roman" w:hAnsi="Times New Roman" w:hint="cs"/>
          <w:sz w:val="27"/>
          <w:rtl/>
          <w:lang w:bidi="fa-IR"/>
        </w:rPr>
        <w:t>مسح</w:t>
      </w:r>
      <w:r w:rsidRPr="00904FCB">
        <w:rPr>
          <w:rFonts w:ascii="Times New Roman" w:hAnsi="Times New Roman"/>
          <w:sz w:val="27"/>
          <w:rtl/>
          <w:lang w:bidi="fa-IR"/>
        </w:rPr>
        <w:t xml:space="preserve"> على </w:t>
      </w:r>
      <w:r w:rsidRPr="00904FCB">
        <w:rPr>
          <w:rFonts w:ascii="Times New Roman" w:hAnsi="Times New Roman" w:hint="cs"/>
          <w:sz w:val="27"/>
          <w:rtl/>
          <w:lang w:bidi="fa-IR"/>
        </w:rPr>
        <w:t>أزيد</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حدود</w:t>
      </w:r>
      <w:r w:rsidRPr="00904FCB">
        <w:rPr>
          <w:rFonts w:ascii="Times New Roman" w:hAnsi="Times New Roman"/>
          <w:sz w:val="27"/>
          <w:rtl/>
          <w:lang w:bidi="fa-IR"/>
        </w:rPr>
        <w:t xml:space="preserve"> </w:t>
      </w:r>
      <w:r w:rsidRPr="00904FCB">
        <w:rPr>
          <w:rFonts w:ascii="Times New Roman" w:hAnsi="Times New Roman" w:hint="cs"/>
          <w:sz w:val="27"/>
          <w:rtl/>
          <w:lang w:bidi="fa-IR"/>
        </w:rPr>
        <w:t>ا</w:t>
      </w:r>
      <w:r w:rsidRPr="00904FCB">
        <w:rPr>
          <w:rFonts w:ascii="Times New Roman" w:hAnsi="Times New Roman"/>
          <w:sz w:val="27"/>
          <w:rtl/>
          <w:lang w:bidi="fa-IR"/>
        </w:rPr>
        <w:t>لصدق والمسمّ</w:t>
      </w:r>
      <w:r w:rsidR="00A23C8A" w:rsidRPr="00904FCB">
        <w:rPr>
          <w:rFonts w:ascii="Times New Roman" w:hAnsi="Times New Roman" w:hint="cs"/>
          <w:sz w:val="27"/>
          <w:rtl/>
          <w:lang w:bidi="fa-IR"/>
        </w:rPr>
        <w:t>ى</w:t>
      </w:r>
      <w:r w:rsidRPr="00904FCB">
        <w:rPr>
          <w:rFonts w:ascii="Times New Roman" w:hAnsi="Times New Roman" w:hint="cs"/>
          <w:sz w:val="27"/>
          <w:rtl/>
          <w:lang w:bidi="fa-IR"/>
        </w:rPr>
        <w:t xml:space="preserve"> فهل</w:t>
      </w:r>
      <w:r w:rsidRPr="00904FCB">
        <w:rPr>
          <w:rFonts w:ascii="Times New Roman" w:hAnsi="Times New Roman"/>
          <w:sz w:val="27"/>
          <w:rtl/>
          <w:lang w:bidi="fa-IR"/>
        </w:rPr>
        <w:t xml:space="preserve"> </w:t>
      </w:r>
      <w:r w:rsidRPr="00904FCB">
        <w:rPr>
          <w:rFonts w:ascii="Times New Roman" w:hAnsi="Times New Roman" w:hint="cs"/>
          <w:sz w:val="27"/>
          <w:rtl/>
          <w:lang w:bidi="fa-IR"/>
        </w:rPr>
        <w:t>يحكم</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الزيادة</w:t>
      </w:r>
      <w:r w:rsidRPr="00904FCB">
        <w:rPr>
          <w:rFonts w:ascii="Times New Roman" w:hAnsi="Times New Roman"/>
          <w:sz w:val="27"/>
          <w:rtl/>
          <w:lang w:bidi="fa-IR"/>
        </w:rPr>
        <w:t xml:space="preserve"> </w:t>
      </w:r>
      <w:r w:rsidRPr="00904FCB">
        <w:rPr>
          <w:rFonts w:ascii="Times New Roman" w:hAnsi="Times New Roman" w:hint="cs"/>
          <w:sz w:val="27"/>
          <w:rtl/>
          <w:lang w:bidi="fa-IR"/>
        </w:rPr>
        <w:t>بالوجوب</w:t>
      </w:r>
      <w:r w:rsidRPr="00904FCB">
        <w:rPr>
          <w:rFonts w:ascii="Times New Roman" w:hAnsi="Times New Roman"/>
          <w:sz w:val="27"/>
          <w:rtl/>
          <w:lang w:bidi="fa-IR"/>
        </w:rPr>
        <w:t xml:space="preserve"> </w:t>
      </w:r>
      <w:r w:rsidRPr="00904FCB">
        <w:rPr>
          <w:rFonts w:ascii="Times New Roman" w:hAnsi="Times New Roman" w:hint="cs"/>
          <w:sz w:val="27"/>
          <w:rtl/>
          <w:lang w:bidi="fa-IR"/>
        </w:rPr>
        <w:t>أو</w:t>
      </w:r>
      <w:r w:rsidR="00A23C8A" w:rsidRPr="00904FCB">
        <w:rPr>
          <w:rFonts w:ascii="Times New Roman" w:hAnsi="Times New Roman" w:hint="cs"/>
          <w:sz w:val="27"/>
          <w:rtl/>
          <w:lang w:bidi="fa-IR"/>
        </w:rPr>
        <w:t xml:space="preserve"> </w:t>
      </w:r>
      <w:r w:rsidRPr="00904FCB">
        <w:rPr>
          <w:rFonts w:ascii="Times New Roman" w:hAnsi="Times New Roman" w:hint="cs"/>
          <w:sz w:val="27"/>
          <w:rtl/>
          <w:lang w:bidi="fa-IR"/>
        </w:rPr>
        <w:t>الاستحباب؟ أقوال</w:t>
      </w:r>
      <w:r w:rsidR="00A23C8A" w:rsidRPr="00904FCB">
        <w:rPr>
          <w:rFonts w:ascii="Times New Roman" w:hAnsi="Times New Roman" w:hint="cs"/>
          <w:sz w:val="27"/>
          <w:rtl/>
          <w:lang w:bidi="fa-IR"/>
        </w:rPr>
        <w:t>:</w:t>
      </w:r>
      <w:r w:rsidRPr="00904FCB">
        <w:rPr>
          <w:rFonts w:ascii="Times New Roman" w:hAnsi="Times New Roman" w:hint="cs"/>
          <w:sz w:val="27"/>
          <w:rtl/>
          <w:lang w:bidi="fa-IR"/>
        </w:rPr>
        <w:t xml:space="preserve"> أحدها</w:t>
      </w:r>
      <w:r w:rsidR="00A23C8A"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التفصيل</w:t>
      </w:r>
      <w:r w:rsidRPr="00904FCB">
        <w:rPr>
          <w:rFonts w:ascii="Times New Roman" w:hAnsi="Times New Roman"/>
          <w:sz w:val="27"/>
          <w:rtl/>
          <w:lang w:bidi="fa-IR"/>
        </w:rPr>
        <w:t xml:space="preserve"> </w:t>
      </w:r>
      <w:r w:rsidRPr="00904FCB">
        <w:rPr>
          <w:rFonts w:ascii="Times New Roman" w:hAnsi="Times New Roman" w:hint="cs"/>
          <w:sz w:val="27"/>
          <w:rtl/>
          <w:lang w:bidi="fa-IR"/>
        </w:rPr>
        <w:t>بين</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تمسح</w:t>
      </w:r>
      <w:r w:rsidRPr="00904FCB">
        <w:rPr>
          <w:rFonts w:ascii="Times New Roman" w:hAnsi="Times New Roman"/>
          <w:sz w:val="27"/>
          <w:rtl/>
          <w:lang w:bidi="fa-IR"/>
        </w:rPr>
        <w:t xml:space="preserve"> </w:t>
      </w:r>
      <w:r w:rsidRPr="00904FCB">
        <w:rPr>
          <w:rFonts w:ascii="Times New Roman" w:hAnsi="Times New Roman" w:hint="cs"/>
          <w:sz w:val="27"/>
          <w:rtl/>
          <w:lang w:bidi="fa-IR"/>
        </w:rPr>
        <w:t>القدم</w:t>
      </w:r>
      <w:r w:rsidRPr="00904FCB">
        <w:rPr>
          <w:rFonts w:ascii="Times New Roman" w:hAnsi="Times New Roman"/>
          <w:sz w:val="27"/>
          <w:rtl/>
          <w:lang w:bidi="fa-IR"/>
        </w:rPr>
        <w:t xml:space="preserve"> </w:t>
      </w:r>
      <w:r w:rsidRPr="00904FCB">
        <w:rPr>
          <w:rFonts w:ascii="Times New Roman" w:hAnsi="Times New Roman" w:hint="cs"/>
          <w:sz w:val="27"/>
          <w:rtl/>
          <w:lang w:bidi="fa-IR"/>
        </w:rPr>
        <w:t>أكثر</w:t>
      </w:r>
      <w:r w:rsidRPr="00904FCB">
        <w:rPr>
          <w:rFonts w:ascii="Times New Roman" w:hAnsi="Times New Roman"/>
          <w:sz w:val="27"/>
          <w:rtl/>
          <w:lang w:bidi="fa-IR"/>
        </w:rPr>
        <w:t xml:space="preserve"> </w:t>
      </w:r>
      <w:r w:rsidRPr="00904FCB">
        <w:rPr>
          <w:rFonts w:ascii="Times New Roman" w:hAnsi="Times New Roman" w:hint="cs"/>
          <w:sz w:val="27"/>
          <w:rtl/>
          <w:lang w:bidi="fa-IR"/>
        </w:rPr>
        <w:t>دفعة</w:t>
      </w:r>
      <w:r w:rsidRPr="00904FCB">
        <w:rPr>
          <w:rFonts w:ascii="Times New Roman" w:hAnsi="Times New Roman"/>
          <w:sz w:val="27"/>
          <w:rtl/>
          <w:lang w:bidi="fa-IR"/>
        </w:rPr>
        <w:t xml:space="preserve"> </w:t>
      </w:r>
      <w:r w:rsidRPr="00904FCB">
        <w:rPr>
          <w:rFonts w:ascii="Times New Roman" w:hAnsi="Times New Roman" w:hint="cs"/>
          <w:sz w:val="27"/>
          <w:rtl/>
          <w:lang w:bidi="fa-IR"/>
        </w:rPr>
        <w:t>واحدة</w:t>
      </w:r>
      <w:r w:rsidRPr="00904FCB">
        <w:rPr>
          <w:rFonts w:ascii="Times New Roman" w:hAnsi="Times New Roman"/>
          <w:sz w:val="27"/>
          <w:rtl/>
          <w:lang w:bidi="fa-IR"/>
        </w:rPr>
        <w:t xml:space="preserve"> </w:t>
      </w:r>
      <w:r w:rsidRPr="00904FCB">
        <w:rPr>
          <w:rFonts w:ascii="Times New Roman" w:hAnsi="Times New Roman" w:hint="cs"/>
          <w:sz w:val="27"/>
          <w:rtl/>
          <w:lang w:bidi="fa-IR"/>
        </w:rPr>
        <w:t>أو</w:t>
      </w:r>
      <w:r w:rsidRPr="00904FCB">
        <w:rPr>
          <w:rFonts w:ascii="Times New Roman" w:hAnsi="Times New Roman"/>
          <w:sz w:val="27"/>
          <w:rtl/>
          <w:lang w:bidi="fa-IR"/>
        </w:rPr>
        <w:t xml:space="preserve"> </w:t>
      </w:r>
      <w:r w:rsidRPr="00904FCB">
        <w:rPr>
          <w:rFonts w:ascii="Times New Roman" w:hAnsi="Times New Roman" w:hint="cs"/>
          <w:sz w:val="27"/>
          <w:rtl/>
          <w:lang w:bidi="fa-IR"/>
        </w:rPr>
        <w:t>بالتدريج</w:t>
      </w:r>
      <w:r w:rsidR="00A23C8A"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ففي</w:t>
      </w:r>
      <w:r w:rsidRPr="00904FCB">
        <w:rPr>
          <w:rFonts w:ascii="Times New Roman" w:hAnsi="Times New Roman"/>
          <w:sz w:val="27"/>
          <w:rtl/>
          <w:lang w:bidi="fa-IR"/>
        </w:rPr>
        <w:t xml:space="preserve"> الصورة الأول</w:t>
      </w:r>
      <w:r w:rsidR="00A23C8A"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تمام</w:t>
      </w:r>
      <w:r w:rsidRPr="00904FCB">
        <w:rPr>
          <w:rFonts w:ascii="Times New Roman" w:hAnsi="Times New Roman"/>
          <w:sz w:val="27"/>
          <w:rtl/>
          <w:lang w:bidi="fa-IR"/>
        </w:rPr>
        <w:t xml:space="preserve"> </w:t>
      </w:r>
      <w:r w:rsidRPr="00904FCB">
        <w:rPr>
          <w:rFonts w:ascii="Times New Roman" w:hAnsi="Times New Roman" w:hint="cs"/>
          <w:sz w:val="27"/>
          <w:rtl/>
          <w:lang w:bidi="fa-IR"/>
        </w:rPr>
        <w:t>المسح</w:t>
      </w:r>
      <w:r w:rsidRPr="00904FCB">
        <w:rPr>
          <w:rFonts w:ascii="Times New Roman" w:hAnsi="Times New Roman"/>
          <w:sz w:val="27"/>
          <w:rtl/>
          <w:lang w:bidi="fa-IR"/>
        </w:rPr>
        <w:t xml:space="preserve"> </w:t>
      </w:r>
      <w:r w:rsidRPr="00904FCB">
        <w:rPr>
          <w:rFonts w:ascii="Times New Roman" w:hAnsi="Times New Roman" w:hint="cs"/>
          <w:sz w:val="27"/>
          <w:rtl/>
          <w:lang w:bidi="fa-IR"/>
        </w:rPr>
        <w:t>الحاصل</w:t>
      </w:r>
      <w:r w:rsidRPr="00904FCB">
        <w:rPr>
          <w:rFonts w:ascii="Times New Roman" w:hAnsi="Times New Roman"/>
          <w:sz w:val="27"/>
          <w:rtl/>
          <w:lang w:bidi="fa-IR"/>
        </w:rPr>
        <w:t xml:space="preserve"> </w:t>
      </w:r>
      <w:r w:rsidRPr="00904FCB">
        <w:rPr>
          <w:rFonts w:ascii="Times New Roman" w:hAnsi="Times New Roman" w:hint="cs"/>
          <w:sz w:val="27"/>
          <w:rtl/>
          <w:lang w:bidi="fa-IR"/>
        </w:rPr>
        <w:t>يكون</w:t>
      </w:r>
      <w:r w:rsidRPr="00904FCB">
        <w:rPr>
          <w:rFonts w:ascii="Times New Roman" w:hAnsi="Times New Roman"/>
          <w:sz w:val="27"/>
          <w:rtl/>
          <w:lang w:bidi="fa-IR"/>
        </w:rPr>
        <w:t xml:space="preserve"> </w:t>
      </w:r>
      <w:r w:rsidRPr="00904FCB">
        <w:rPr>
          <w:rFonts w:ascii="Times New Roman" w:hAnsi="Times New Roman" w:hint="cs"/>
          <w:sz w:val="27"/>
          <w:rtl/>
          <w:lang w:bidi="fa-IR"/>
        </w:rPr>
        <w:t>مصداقاً</w:t>
      </w:r>
      <w:r w:rsidRPr="00904FCB">
        <w:rPr>
          <w:rFonts w:ascii="Times New Roman" w:hAnsi="Times New Roman"/>
          <w:sz w:val="27"/>
          <w:rtl/>
          <w:lang w:bidi="fa-IR"/>
        </w:rPr>
        <w:t xml:space="preserve"> </w:t>
      </w:r>
      <w:r w:rsidRPr="00904FCB">
        <w:rPr>
          <w:rFonts w:ascii="Times New Roman" w:hAnsi="Times New Roman" w:hint="cs"/>
          <w:sz w:val="27"/>
          <w:rtl/>
          <w:lang w:bidi="fa-IR"/>
        </w:rPr>
        <w:t>للواجب</w:t>
      </w:r>
      <w:r w:rsidR="00A23C8A" w:rsidRPr="00904FCB">
        <w:rPr>
          <w:rFonts w:ascii="Times New Roman" w:hAnsi="Times New Roman" w:hint="cs"/>
          <w:sz w:val="27"/>
          <w:rtl/>
          <w:lang w:bidi="fa-IR"/>
        </w:rPr>
        <w:t>؛</w:t>
      </w:r>
      <w:r w:rsidRPr="00904FCB">
        <w:rPr>
          <w:rFonts w:ascii="Times New Roman" w:hAnsi="Times New Roman"/>
          <w:sz w:val="27"/>
          <w:rtl/>
          <w:lang w:bidi="fa-IR"/>
        </w:rPr>
        <w:t xml:space="preserve"> و</w:t>
      </w:r>
      <w:r w:rsidRPr="00904FCB">
        <w:rPr>
          <w:rFonts w:ascii="Times New Roman" w:hAnsi="Times New Roman" w:hint="cs"/>
          <w:sz w:val="27"/>
          <w:rtl/>
          <w:lang w:bidi="fa-IR"/>
        </w:rPr>
        <w:t>أمّا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الصورة</w:t>
      </w:r>
      <w:r w:rsidRPr="00904FCB">
        <w:rPr>
          <w:rFonts w:ascii="Times New Roman" w:hAnsi="Times New Roman"/>
          <w:sz w:val="27"/>
          <w:rtl/>
          <w:lang w:bidi="fa-IR"/>
        </w:rPr>
        <w:t xml:space="preserve"> </w:t>
      </w:r>
      <w:r w:rsidRPr="00904FCB">
        <w:rPr>
          <w:rFonts w:ascii="Times New Roman" w:hAnsi="Times New Roman" w:hint="cs"/>
          <w:sz w:val="27"/>
          <w:rtl/>
          <w:lang w:bidi="fa-IR"/>
        </w:rPr>
        <w:t>الثا</w:t>
      </w:r>
      <w:r w:rsidRPr="00904FCB">
        <w:rPr>
          <w:rFonts w:ascii="Times New Roman" w:hAnsi="Times New Roman"/>
          <w:sz w:val="27"/>
          <w:rtl/>
          <w:lang w:bidi="fa-IR"/>
        </w:rPr>
        <w:t>ن</w:t>
      </w:r>
      <w:r w:rsidRPr="00904FCB">
        <w:rPr>
          <w:rFonts w:ascii="Times New Roman" w:hAnsi="Times New Roman" w:hint="cs"/>
          <w:sz w:val="27"/>
          <w:rtl/>
          <w:lang w:bidi="fa-IR"/>
        </w:rPr>
        <w:t>ية</w:t>
      </w:r>
      <w:r w:rsidRPr="00904FCB">
        <w:rPr>
          <w:rFonts w:ascii="Times New Roman" w:hAnsi="Times New Roman"/>
          <w:sz w:val="27"/>
          <w:rtl/>
          <w:lang w:bidi="fa-IR"/>
        </w:rPr>
        <w:t xml:space="preserve"> </w:t>
      </w:r>
      <w:r w:rsidRPr="00904FCB">
        <w:rPr>
          <w:rFonts w:ascii="Times New Roman" w:hAnsi="Times New Roman" w:hint="cs"/>
          <w:sz w:val="27"/>
          <w:rtl/>
          <w:lang w:bidi="fa-IR"/>
        </w:rPr>
        <w:t>فيكون</w:t>
      </w:r>
      <w:r w:rsidRPr="00904FCB">
        <w:rPr>
          <w:rFonts w:ascii="Times New Roman" w:hAnsi="Times New Roman"/>
          <w:sz w:val="27"/>
          <w:rtl/>
          <w:lang w:bidi="fa-IR"/>
        </w:rPr>
        <w:t xml:space="preserve"> </w:t>
      </w:r>
      <w:r w:rsidRPr="00904FCB">
        <w:rPr>
          <w:rFonts w:ascii="Times New Roman" w:hAnsi="Times New Roman" w:hint="cs"/>
          <w:sz w:val="27"/>
          <w:rtl/>
          <w:lang w:bidi="fa-IR"/>
        </w:rPr>
        <w:t>بمقدار</w:t>
      </w:r>
      <w:r w:rsidRPr="00904FCB">
        <w:rPr>
          <w:rFonts w:ascii="Times New Roman" w:hAnsi="Times New Roman"/>
          <w:sz w:val="27"/>
          <w:rtl/>
          <w:lang w:bidi="fa-IR"/>
        </w:rPr>
        <w:t xml:space="preserve"> </w:t>
      </w:r>
      <w:r w:rsidRPr="00904FCB">
        <w:rPr>
          <w:rFonts w:ascii="Times New Roman" w:hAnsi="Times New Roman" w:hint="cs"/>
          <w:sz w:val="27"/>
          <w:rtl/>
          <w:lang w:bidi="fa-IR"/>
        </w:rPr>
        <w:t>المسمّ</w:t>
      </w:r>
      <w:r w:rsidR="00A23C8A"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واجباً، والباقي</w:t>
      </w:r>
      <w:r w:rsidRPr="00904FCB">
        <w:rPr>
          <w:rFonts w:ascii="Times New Roman" w:hAnsi="Times New Roman"/>
          <w:sz w:val="27"/>
          <w:rtl/>
          <w:lang w:bidi="fa-IR"/>
        </w:rPr>
        <w:t xml:space="preserve"> </w:t>
      </w:r>
      <w:r w:rsidRPr="00904FCB">
        <w:rPr>
          <w:rFonts w:ascii="Times New Roman" w:hAnsi="Times New Roman" w:hint="cs"/>
          <w:sz w:val="27"/>
          <w:rtl/>
          <w:lang w:bidi="fa-IR"/>
        </w:rPr>
        <w:t>مستحبّاً</w:t>
      </w:r>
      <w:r w:rsidRPr="00904FCB">
        <w:rPr>
          <w:rFonts w:ascii="Times New Roman" w:hAnsi="Times New Roman"/>
          <w:sz w:val="27"/>
          <w:rtl/>
          <w:lang w:bidi="fa-IR"/>
        </w:rPr>
        <w:t xml:space="preserve">. </w:t>
      </w:r>
    </w:p>
    <w:p w:rsidR="00057E24" w:rsidRPr="00904FCB" w:rsidRDefault="00057E24" w:rsidP="00C07161">
      <w:pPr>
        <w:spacing w:line="400" w:lineRule="exact"/>
        <w:ind w:firstLine="561"/>
        <w:rPr>
          <w:rFonts w:ascii="Times New Roman" w:hAnsi="Times New Roman"/>
          <w:sz w:val="27"/>
          <w:rtl/>
          <w:lang w:bidi="fa-IR"/>
        </w:rPr>
      </w:pPr>
      <w:r w:rsidRPr="00904FCB">
        <w:rPr>
          <w:rFonts w:ascii="Times New Roman" w:hAnsi="Times New Roman"/>
          <w:sz w:val="27"/>
          <w:rtl/>
          <w:lang w:bidi="fa-IR"/>
        </w:rPr>
        <w:lastRenderedPageBreak/>
        <w:t>ولا</w:t>
      </w:r>
      <w:r w:rsidR="00A23C8A" w:rsidRPr="00904FCB">
        <w:rPr>
          <w:rFonts w:ascii="Times New Roman" w:hAnsi="Times New Roman" w:hint="cs"/>
          <w:sz w:val="27"/>
          <w:rtl/>
          <w:lang w:bidi="fa-IR"/>
        </w:rPr>
        <w:t xml:space="preserve"> </w:t>
      </w:r>
      <w:r w:rsidRPr="00904FCB">
        <w:rPr>
          <w:rFonts w:ascii="Times New Roman" w:hAnsi="Times New Roman" w:hint="cs"/>
          <w:sz w:val="27"/>
          <w:rtl/>
          <w:lang w:bidi="fa-IR"/>
        </w:rPr>
        <w:t>يخف</w:t>
      </w:r>
      <w:r w:rsidR="00A23C8A"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لهذه</w:t>
      </w:r>
      <w:r w:rsidRPr="00904FCB">
        <w:rPr>
          <w:rFonts w:ascii="Times New Roman" w:hAnsi="Times New Roman"/>
          <w:sz w:val="27"/>
          <w:rtl/>
          <w:lang w:bidi="fa-IR"/>
        </w:rPr>
        <w:t xml:space="preserve"> </w:t>
      </w:r>
      <w:r w:rsidRPr="00904FCB">
        <w:rPr>
          <w:rFonts w:ascii="Times New Roman" w:hAnsi="Times New Roman" w:hint="cs"/>
          <w:sz w:val="27"/>
          <w:rtl/>
          <w:lang w:bidi="fa-IR"/>
        </w:rPr>
        <w:t>القاعدة</w:t>
      </w:r>
      <w:r w:rsidRPr="00904FCB">
        <w:rPr>
          <w:rFonts w:ascii="Times New Roman" w:hAnsi="Times New Roman"/>
          <w:sz w:val="27"/>
          <w:rtl/>
          <w:lang w:bidi="fa-IR"/>
        </w:rPr>
        <w:t xml:space="preserve"> </w:t>
      </w:r>
      <w:r w:rsidRPr="00904FCB">
        <w:rPr>
          <w:rFonts w:ascii="Times New Roman" w:hAnsi="Times New Roman" w:hint="cs"/>
          <w:sz w:val="27"/>
          <w:rtl/>
          <w:lang w:bidi="fa-IR"/>
        </w:rPr>
        <w:t>مصاديق</w:t>
      </w:r>
      <w:r w:rsidRPr="00904FCB">
        <w:rPr>
          <w:rFonts w:ascii="Times New Roman" w:hAnsi="Times New Roman"/>
          <w:sz w:val="27"/>
          <w:rtl/>
          <w:lang w:bidi="fa-IR"/>
        </w:rPr>
        <w:t xml:space="preserve"> </w:t>
      </w:r>
      <w:r w:rsidRPr="00904FCB">
        <w:rPr>
          <w:rFonts w:ascii="Times New Roman" w:hAnsi="Times New Roman" w:hint="cs"/>
          <w:sz w:val="27"/>
          <w:rtl/>
          <w:lang w:bidi="fa-IR"/>
        </w:rPr>
        <w:t xml:space="preserve">كثيرة، </w:t>
      </w:r>
      <w:r w:rsidR="00A23C8A" w:rsidRPr="00904FCB">
        <w:rPr>
          <w:rFonts w:ascii="Times New Roman" w:hAnsi="Times New Roman" w:hint="cs"/>
          <w:sz w:val="27"/>
          <w:rtl/>
          <w:lang w:bidi="fa-IR"/>
        </w:rPr>
        <w:t>و</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جملتها</w:t>
      </w:r>
      <w:r w:rsidRPr="00904FCB">
        <w:rPr>
          <w:rFonts w:ascii="Times New Roman" w:hAnsi="Times New Roman"/>
          <w:sz w:val="27"/>
          <w:rtl/>
          <w:lang w:bidi="fa-IR"/>
        </w:rPr>
        <w:t xml:space="preserve">: </w:t>
      </w:r>
      <w:r w:rsidRPr="00904FCB">
        <w:rPr>
          <w:rFonts w:ascii="Times New Roman" w:hAnsi="Times New Roman" w:hint="cs"/>
          <w:sz w:val="27"/>
          <w:rtl/>
          <w:lang w:bidi="fa-IR"/>
        </w:rPr>
        <w:t>الزيادة</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التسبيح</w:t>
      </w:r>
      <w:r w:rsidRPr="00904FCB">
        <w:rPr>
          <w:rFonts w:ascii="Times New Roman" w:hAnsi="Times New Roman"/>
          <w:sz w:val="27"/>
          <w:rtl/>
          <w:lang w:bidi="fa-IR"/>
        </w:rPr>
        <w:t xml:space="preserve"> </w:t>
      </w:r>
      <w:r w:rsidRPr="00904FCB">
        <w:rPr>
          <w:rFonts w:ascii="Times New Roman" w:hAnsi="Times New Roman" w:hint="cs"/>
          <w:sz w:val="27"/>
          <w:rtl/>
          <w:lang w:bidi="fa-IR"/>
        </w:rPr>
        <w:t>الواحد</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الركوع</w:t>
      </w:r>
      <w:r w:rsidRPr="00904FCB">
        <w:rPr>
          <w:rFonts w:ascii="Times New Roman" w:hAnsi="Times New Roman"/>
          <w:sz w:val="27"/>
          <w:rtl/>
          <w:lang w:bidi="fa-IR"/>
        </w:rPr>
        <w:t xml:space="preserve"> و</w:t>
      </w:r>
      <w:r w:rsidRPr="00904FCB">
        <w:rPr>
          <w:rFonts w:ascii="Times New Roman" w:hAnsi="Times New Roman" w:hint="cs"/>
          <w:sz w:val="27"/>
          <w:rtl/>
          <w:lang w:bidi="fa-IR"/>
        </w:rPr>
        <w:t>السجود، والزيادة</w:t>
      </w:r>
      <w:r w:rsidRPr="00904FCB">
        <w:rPr>
          <w:rFonts w:ascii="Times New Roman" w:hAnsi="Times New Roman"/>
          <w:sz w:val="27"/>
          <w:rtl/>
          <w:lang w:bidi="fa-IR"/>
        </w:rPr>
        <w:t xml:space="preserve"> على </w:t>
      </w:r>
      <w:r w:rsidRPr="00904FCB">
        <w:rPr>
          <w:rFonts w:ascii="Times New Roman" w:hAnsi="Times New Roman" w:hint="cs"/>
          <w:sz w:val="27"/>
          <w:rtl/>
          <w:lang w:bidi="fa-IR"/>
        </w:rPr>
        <w:t>مقدار</w:t>
      </w:r>
      <w:r w:rsidRPr="00904FCB">
        <w:rPr>
          <w:rFonts w:ascii="Times New Roman" w:hAnsi="Times New Roman"/>
          <w:sz w:val="27"/>
          <w:rtl/>
          <w:lang w:bidi="fa-IR"/>
        </w:rPr>
        <w:t xml:space="preserve"> </w:t>
      </w:r>
      <w:r w:rsidRPr="00904FCB">
        <w:rPr>
          <w:rFonts w:ascii="Times New Roman" w:hAnsi="Times New Roman" w:hint="cs"/>
          <w:sz w:val="27"/>
          <w:rtl/>
          <w:lang w:bidi="fa-IR"/>
        </w:rPr>
        <w:t>الح</w:t>
      </w:r>
      <w:r w:rsidR="00A23C8A" w:rsidRPr="00904FCB">
        <w:rPr>
          <w:rFonts w:ascii="Times New Roman" w:hAnsi="Times New Roman" w:hint="cs"/>
          <w:sz w:val="27"/>
          <w:rtl/>
          <w:lang w:bidi="fa-IR"/>
        </w:rPr>
        <w:t>ل</w:t>
      </w:r>
      <w:r w:rsidRPr="00904FCB">
        <w:rPr>
          <w:rFonts w:ascii="Times New Roman" w:hAnsi="Times New Roman" w:hint="cs"/>
          <w:sz w:val="27"/>
          <w:rtl/>
          <w:lang w:bidi="fa-IR"/>
        </w:rPr>
        <w:t>ق</w:t>
      </w:r>
      <w:r w:rsidRPr="00904FCB">
        <w:rPr>
          <w:rFonts w:ascii="Times New Roman" w:hAnsi="Times New Roman"/>
          <w:sz w:val="27"/>
          <w:rtl/>
          <w:lang w:bidi="fa-IR"/>
        </w:rPr>
        <w:t xml:space="preserve"> </w:t>
      </w:r>
      <w:r w:rsidRPr="00904FCB">
        <w:rPr>
          <w:rFonts w:ascii="Times New Roman" w:hAnsi="Times New Roman" w:hint="cs"/>
          <w:sz w:val="27"/>
          <w:rtl/>
          <w:lang w:bidi="fa-IR"/>
        </w:rPr>
        <w:t>أو</w:t>
      </w:r>
      <w:r w:rsidRPr="00904FCB">
        <w:rPr>
          <w:rFonts w:ascii="Times New Roman" w:hAnsi="Times New Roman"/>
          <w:sz w:val="27"/>
          <w:rtl/>
          <w:lang w:bidi="fa-IR"/>
        </w:rPr>
        <w:t xml:space="preserve"> </w:t>
      </w:r>
      <w:r w:rsidRPr="00904FCB">
        <w:rPr>
          <w:rFonts w:ascii="Times New Roman" w:hAnsi="Times New Roman" w:hint="cs"/>
          <w:sz w:val="27"/>
          <w:rtl/>
          <w:lang w:bidi="fa-IR"/>
        </w:rPr>
        <w:t>التقصير</w:t>
      </w:r>
      <w:r w:rsidRPr="00904FCB">
        <w:rPr>
          <w:rFonts w:ascii="Times New Roman" w:hAnsi="Times New Roman"/>
          <w:sz w:val="27"/>
          <w:rtl/>
          <w:lang w:bidi="fa-IR"/>
        </w:rPr>
        <w:t>. و</w:t>
      </w:r>
      <w:r w:rsidRPr="00904FCB">
        <w:rPr>
          <w:rFonts w:ascii="Times New Roman" w:hAnsi="Times New Roman" w:hint="cs"/>
          <w:sz w:val="27"/>
          <w:rtl/>
          <w:lang w:bidi="fa-IR"/>
        </w:rPr>
        <w:t>هو</w:t>
      </w:r>
      <w:r w:rsidRPr="00904FCB">
        <w:rPr>
          <w:rFonts w:ascii="Times New Roman" w:hAnsi="Times New Roman"/>
          <w:sz w:val="27"/>
          <w:rtl/>
          <w:lang w:bidi="fa-IR"/>
        </w:rPr>
        <w:t xml:space="preserve"> </w:t>
      </w:r>
      <w:r w:rsidRPr="00904FCB">
        <w:rPr>
          <w:rFonts w:ascii="Times New Roman" w:hAnsi="Times New Roman" w:hint="cs"/>
          <w:sz w:val="27"/>
          <w:rtl/>
          <w:lang w:bidi="fa-IR"/>
        </w:rPr>
        <w:t>يذكر</w:t>
      </w:r>
      <w:r w:rsidRPr="00904FCB">
        <w:rPr>
          <w:rFonts w:ascii="Times New Roman" w:hAnsi="Times New Roman"/>
          <w:sz w:val="27"/>
          <w:rtl/>
          <w:lang w:bidi="fa-IR"/>
        </w:rPr>
        <w:t xml:space="preserve"> </w:t>
      </w:r>
      <w:r w:rsidRPr="00904FCB">
        <w:rPr>
          <w:rFonts w:ascii="Times New Roman" w:hAnsi="Times New Roman" w:hint="cs"/>
          <w:sz w:val="27"/>
          <w:rtl/>
          <w:lang w:bidi="fa-IR"/>
        </w:rPr>
        <w:t>خمس</w:t>
      </w:r>
      <w:r w:rsidRPr="00904FCB">
        <w:rPr>
          <w:rFonts w:ascii="Times New Roman" w:hAnsi="Times New Roman"/>
          <w:sz w:val="27"/>
          <w:rtl/>
          <w:lang w:bidi="fa-IR"/>
        </w:rPr>
        <w:t xml:space="preserve"> </w:t>
      </w:r>
      <w:r w:rsidRPr="00904FCB">
        <w:rPr>
          <w:rFonts w:ascii="Times New Roman" w:hAnsi="Times New Roman" w:hint="cs"/>
          <w:sz w:val="27"/>
          <w:rtl/>
          <w:lang w:bidi="fa-IR"/>
        </w:rPr>
        <w:t>ثمرات</w:t>
      </w:r>
      <w:r w:rsidRPr="00904FCB">
        <w:rPr>
          <w:rFonts w:ascii="Times New Roman" w:hAnsi="Times New Roman"/>
          <w:sz w:val="27"/>
          <w:rtl/>
          <w:lang w:bidi="fa-IR"/>
        </w:rPr>
        <w:t xml:space="preserve"> </w:t>
      </w:r>
      <w:r w:rsidRPr="00904FCB">
        <w:rPr>
          <w:rFonts w:ascii="Times New Roman" w:hAnsi="Times New Roman" w:hint="cs"/>
          <w:sz w:val="27"/>
          <w:rtl/>
          <w:lang w:bidi="fa-IR"/>
        </w:rPr>
        <w:t>فق</w:t>
      </w:r>
      <w:r w:rsidRPr="00904FCB">
        <w:rPr>
          <w:rFonts w:ascii="Times New Roman" w:hAnsi="Times New Roman"/>
          <w:sz w:val="27"/>
          <w:rtl/>
          <w:lang w:bidi="fa-IR"/>
        </w:rPr>
        <w:t xml:space="preserve">هية تترتّب على </w:t>
      </w:r>
      <w:r w:rsidRPr="00904FCB">
        <w:rPr>
          <w:rFonts w:ascii="Times New Roman" w:hAnsi="Times New Roman" w:hint="cs"/>
          <w:sz w:val="27"/>
          <w:rtl/>
          <w:lang w:bidi="fa-IR"/>
        </w:rPr>
        <w:t>هذا</w:t>
      </w:r>
      <w:r w:rsidRPr="00904FCB">
        <w:rPr>
          <w:rFonts w:ascii="Times New Roman" w:hAnsi="Times New Roman"/>
          <w:sz w:val="27"/>
          <w:rtl/>
          <w:lang w:bidi="fa-IR"/>
        </w:rPr>
        <w:t xml:space="preserve"> </w:t>
      </w:r>
      <w:r w:rsidRPr="00904FCB">
        <w:rPr>
          <w:rFonts w:ascii="Times New Roman" w:hAnsi="Times New Roman" w:hint="cs"/>
          <w:sz w:val="27"/>
          <w:rtl/>
          <w:lang w:bidi="fa-IR"/>
        </w:rPr>
        <w:t>الفرع</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7ـ</w:t>
      </w:r>
      <w:r w:rsidRPr="00904FCB">
        <w:rPr>
          <w:rFonts w:hint="cs"/>
          <w:color w:val="auto"/>
          <w:rtl/>
          <w:lang w:bidi="ar-LB"/>
        </w:rPr>
        <w:t xml:space="preserve"> </w:t>
      </w:r>
      <w:r w:rsidRPr="00904FCB">
        <w:rPr>
          <w:color w:val="auto"/>
          <w:rtl/>
          <w:lang w:bidi="fa-IR"/>
        </w:rPr>
        <w:t xml:space="preserve">مدلول النهي بعد الوجوب </w:t>
      </w:r>
    </w:p>
    <w:p w:rsidR="00057E24" w:rsidRPr="00904FCB" w:rsidRDefault="00057E24" w:rsidP="00C07161">
      <w:pPr>
        <w:spacing w:line="400" w:lineRule="exact"/>
        <w:ind w:firstLine="561"/>
        <w:rPr>
          <w:rFonts w:ascii="Times New Roman" w:hAnsi="Times New Roman"/>
          <w:sz w:val="27"/>
          <w:rtl/>
          <w:lang w:bidi="fa-IR"/>
        </w:rPr>
      </w:pPr>
      <w:r w:rsidRPr="00904FCB">
        <w:rPr>
          <w:rFonts w:ascii="Times New Roman" w:hAnsi="Times New Roman"/>
          <w:sz w:val="27"/>
          <w:rtl/>
          <w:lang w:bidi="fa-IR"/>
        </w:rPr>
        <w:t>من جملة ال</w:t>
      </w:r>
      <w:r w:rsidR="00A23C8A" w:rsidRPr="00904FCB">
        <w:rPr>
          <w:rFonts w:ascii="Times New Roman" w:hAnsi="Times New Roman"/>
          <w:sz w:val="27"/>
          <w:rtl/>
          <w:lang w:bidi="fa-IR"/>
        </w:rPr>
        <w:t>ب</w:t>
      </w:r>
      <w:r w:rsidRPr="00904FCB">
        <w:rPr>
          <w:rFonts w:ascii="Times New Roman" w:hAnsi="Times New Roman"/>
          <w:sz w:val="27"/>
          <w:rtl/>
          <w:lang w:bidi="fa-IR"/>
        </w:rPr>
        <w:t>حوث الت</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طرحها</w:t>
      </w:r>
      <w:r w:rsidRPr="00904FCB">
        <w:rPr>
          <w:rFonts w:ascii="Times New Roman" w:hAnsi="Times New Roman"/>
          <w:sz w:val="27"/>
          <w:rtl/>
          <w:lang w:bidi="fa-IR"/>
        </w:rPr>
        <w:t xml:space="preserve"> </w:t>
      </w:r>
      <w:r w:rsidRPr="00904FCB">
        <w:rPr>
          <w:rFonts w:ascii="Times New Roman" w:hAnsi="Times New Roman" w:hint="cs"/>
          <w:sz w:val="27"/>
          <w:rtl/>
          <w:lang w:bidi="fa-IR"/>
        </w:rPr>
        <w:t>الش</w:t>
      </w:r>
      <w:r w:rsidRPr="00904FCB">
        <w:rPr>
          <w:rFonts w:ascii="Times New Roman" w:hAnsi="Times New Roman"/>
          <w:sz w:val="27"/>
          <w:rtl/>
          <w:lang w:bidi="fa-IR"/>
        </w:rPr>
        <w:t>هيد الثان</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هل</w:t>
      </w:r>
      <w:r w:rsidRPr="00904FCB">
        <w:rPr>
          <w:rFonts w:ascii="Times New Roman" w:hAnsi="Times New Roman"/>
          <w:sz w:val="27"/>
          <w:rtl/>
          <w:lang w:bidi="fa-IR"/>
        </w:rPr>
        <w:t xml:space="preserve"> النهي الوارد بعد الوجوب </w:t>
      </w:r>
      <w:r w:rsidRPr="00904FCB">
        <w:rPr>
          <w:rFonts w:ascii="Times New Roman" w:hAnsi="Times New Roman" w:hint="cs"/>
          <w:sz w:val="27"/>
          <w:rtl/>
          <w:lang w:bidi="fa-IR"/>
        </w:rPr>
        <w:t>يدلّ</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الحرمة</w:t>
      </w:r>
      <w:r w:rsidRPr="00904FCB">
        <w:rPr>
          <w:rFonts w:ascii="Times New Roman" w:hAnsi="Times New Roman"/>
          <w:sz w:val="27"/>
          <w:rtl/>
          <w:lang w:bidi="fa-IR"/>
        </w:rPr>
        <w:t xml:space="preserve"> </w:t>
      </w:r>
      <w:r w:rsidRPr="00904FCB">
        <w:rPr>
          <w:rFonts w:ascii="Times New Roman" w:hAnsi="Times New Roman" w:hint="cs"/>
          <w:sz w:val="27"/>
          <w:rtl/>
          <w:lang w:bidi="fa-IR"/>
        </w:rPr>
        <w:t>أم</w:t>
      </w:r>
      <w:r w:rsidRPr="00904FCB">
        <w:rPr>
          <w:rFonts w:ascii="Times New Roman" w:hAnsi="Times New Roman"/>
          <w:sz w:val="27"/>
          <w:rtl/>
          <w:lang w:bidi="fa-IR"/>
        </w:rPr>
        <w:t xml:space="preserve"> </w:t>
      </w:r>
      <w:r w:rsidRPr="00904FCB">
        <w:rPr>
          <w:rFonts w:ascii="Times New Roman" w:hAnsi="Times New Roman" w:hint="cs"/>
          <w:sz w:val="27"/>
          <w:rtl/>
          <w:lang w:bidi="fa-IR"/>
        </w:rPr>
        <w:t>لا؟ فهو</w:t>
      </w:r>
      <w:r w:rsidRPr="00904FCB">
        <w:rPr>
          <w:rFonts w:ascii="Times New Roman" w:hAnsi="Times New Roman"/>
          <w:sz w:val="27"/>
          <w:rtl/>
          <w:lang w:bidi="fa-IR"/>
        </w:rPr>
        <w:t xml:space="preserve"> </w:t>
      </w:r>
      <w:r w:rsidRPr="00904FCB">
        <w:rPr>
          <w:rFonts w:ascii="Times New Roman" w:hAnsi="Times New Roman" w:hint="cs"/>
          <w:sz w:val="27"/>
          <w:rtl/>
          <w:lang w:bidi="fa-IR"/>
        </w:rPr>
        <w:t>يعتقد</w:t>
      </w:r>
      <w:r w:rsidRPr="00904FCB">
        <w:rPr>
          <w:rFonts w:ascii="Times New Roman" w:hAnsi="Times New Roman"/>
          <w:sz w:val="27"/>
          <w:rtl/>
          <w:lang w:bidi="fa-IR"/>
        </w:rPr>
        <w:t xml:space="preserve"> </w:t>
      </w:r>
      <w:r w:rsidRPr="00904FCB">
        <w:rPr>
          <w:rFonts w:ascii="Times New Roman" w:hAnsi="Times New Roman" w:hint="cs"/>
          <w:sz w:val="27"/>
          <w:rtl/>
          <w:lang w:bidi="fa-IR"/>
        </w:rPr>
        <w:t>أنّه</w:t>
      </w:r>
      <w:r w:rsidRPr="00904FCB">
        <w:rPr>
          <w:rFonts w:ascii="Times New Roman" w:hAnsi="Times New Roman"/>
          <w:sz w:val="27"/>
          <w:rtl/>
          <w:lang w:bidi="fa-IR"/>
        </w:rPr>
        <w:t xml:space="preserve"> </w:t>
      </w:r>
      <w:r w:rsidRPr="00904FCB">
        <w:rPr>
          <w:rFonts w:ascii="Times New Roman" w:hAnsi="Times New Roman" w:hint="cs"/>
          <w:sz w:val="27"/>
          <w:rtl/>
          <w:lang w:bidi="fa-IR"/>
        </w:rPr>
        <w:t>كما</w:t>
      </w:r>
      <w:r w:rsidRPr="00904FCB">
        <w:rPr>
          <w:rFonts w:ascii="Times New Roman" w:hAnsi="Times New Roman"/>
          <w:sz w:val="27"/>
          <w:rtl/>
          <w:lang w:bidi="fa-IR"/>
        </w:rPr>
        <w:t xml:space="preserve"> </w:t>
      </w:r>
      <w:r w:rsidRPr="00904FCB">
        <w:rPr>
          <w:rFonts w:ascii="Times New Roman" w:hAnsi="Times New Roman" w:hint="cs"/>
          <w:sz w:val="27"/>
          <w:rtl/>
          <w:lang w:bidi="fa-IR"/>
        </w:rPr>
        <w:t>نبحث</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دلالة</w:t>
      </w:r>
      <w:r w:rsidRPr="00904FCB">
        <w:rPr>
          <w:rFonts w:ascii="Times New Roman" w:hAnsi="Times New Roman"/>
          <w:sz w:val="27"/>
          <w:rtl/>
          <w:lang w:bidi="fa-IR"/>
        </w:rPr>
        <w:t xml:space="preserve"> </w:t>
      </w:r>
      <w:r w:rsidRPr="00904FCB">
        <w:rPr>
          <w:rFonts w:ascii="Times New Roman" w:hAnsi="Times New Roman" w:hint="cs"/>
          <w:sz w:val="27"/>
          <w:rtl/>
          <w:lang w:bidi="fa-IR"/>
        </w:rPr>
        <w:t>الأمر</w:t>
      </w:r>
      <w:r w:rsidRPr="00904FCB">
        <w:rPr>
          <w:rFonts w:ascii="Times New Roman" w:hAnsi="Times New Roman"/>
          <w:sz w:val="27"/>
          <w:rtl/>
          <w:lang w:bidi="fa-IR"/>
        </w:rPr>
        <w:t xml:space="preserve"> </w:t>
      </w:r>
      <w:r w:rsidRPr="00904FCB">
        <w:rPr>
          <w:rFonts w:ascii="Times New Roman" w:hAnsi="Times New Roman" w:hint="cs"/>
          <w:sz w:val="27"/>
          <w:rtl/>
          <w:lang w:bidi="fa-IR"/>
        </w:rPr>
        <w:t>بعد</w:t>
      </w:r>
      <w:r w:rsidRPr="00904FCB">
        <w:rPr>
          <w:rFonts w:ascii="Times New Roman" w:hAnsi="Times New Roman"/>
          <w:sz w:val="27"/>
          <w:rtl/>
          <w:lang w:bidi="fa-IR"/>
        </w:rPr>
        <w:t xml:space="preserve"> </w:t>
      </w:r>
      <w:r w:rsidRPr="00904FCB">
        <w:rPr>
          <w:rFonts w:ascii="Times New Roman" w:hAnsi="Times New Roman" w:hint="cs"/>
          <w:sz w:val="27"/>
          <w:rtl/>
          <w:lang w:bidi="fa-IR"/>
        </w:rPr>
        <w:t>الن</w:t>
      </w:r>
      <w:r w:rsidRPr="00904FCB">
        <w:rPr>
          <w:rFonts w:ascii="Times New Roman" w:hAnsi="Times New Roman"/>
          <w:sz w:val="27"/>
          <w:rtl/>
          <w:lang w:bidi="fa-IR"/>
        </w:rPr>
        <w:t>هي والحظ</w:t>
      </w:r>
      <w:r w:rsidR="00A23C8A" w:rsidRPr="00904FCB">
        <w:rPr>
          <w:rFonts w:ascii="Times New Roman" w:hAnsi="Times New Roman" w:hint="cs"/>
          <w:sz w:val="27"/>
          <w:rtl/>
          <w:lang w:bidi="fa-IR"/>
        </w:rPr>
        <w:t>ر</w:t>
      </w:r>
      <w:r w:rsidRPr="00904FCB">
        <w:rPr>
          <w:rFonts w:ascii="Times New Roman" w:hAnsi="Times New Roman"/>
          <w:sz w:val="27"/>
          <w:rtl/>
          <w:lang w:bidi="fa-IR"/>
        </w:rPr>
        <w:t xml:space="preserve"> على </w:t>
      </w:r>
      <w:r w:rsidRPr="00904FCB">
        <w:rPr>
          <w:rFonts w:ascii="Times New Roman" w:hAnsi="Times New Roman" w:hint="cs"/>
          <w:sz w:val="27"/>
          <w:rtl/>
          <w:lang w:bidi="fa-IR"/>
        </w:rPr>
        <w:t>الوجوب</w:t>
      </w:r>
      <w:r w:rsidRPr="00904FCB">
        <w:rPr>
          <w:rFonts w:ascii="Times New Roman" w:hAnsi="Times New Roman"/>
          <w:sz w:val="27"/>
          <w:rtl/>
          <w:lang w:bidi="fa-IR"/>
        </w:rPr>
        <w:t xml:space="preserve"> </w:t>
      </w:r>
      <w:r w:rsidRPr="00904FCB">
        <w:rPr>
          <w:rFonts w:ascii="Times New Roman" w:hAnsi="Times New Roman" w:hint="cs"/>
          <w:sz w:val="27"/>
          <w:rtl/>
          <w:lang w:bidi="fa-IR"/>
        </w:rPr>
        <w:t>كذلك</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المناسب</w:t>
      </w:r>
      <w:r w:rsidRPr="00904FCB">
        <w:rPr>
          <w:rFonts w:ascii="Times New Roman" w:hAnsi="Times New Roman"/>
          <w:sz w:val="27"/>
          <w:rtl/>
          <w:lang w:bidi="fa-IR"/>
        </w:rPr>
        <w:t xml:space="preserve"> </w:t>
      </w:r>
      <w:r w:rsidRPr="00904FCB">
        <w:rPr>
          <w:rFonts w:ascii="Times New Roman" w:hAnsi="Times New Roman" w:hint="cs"/>
          <w:sz w:val="27"/>
          <w:rtl/>
          <w:lang w:bidi="fa-IR"/>
        </w:rPr>
        <w:t>البحث</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دلالة</w:t>
      </w:r>
      <w:r w:rsidRPr="00904FCB">
        <w:rPr>
          <w:rFonts w:ascii="Times New Roman" w:hAnsi="Times New Roman"/>
          <w:sz w:val="27"/>
          <w:rtl/>
          <w:lang w:bidi="fa-IR"/>
        </w:rPr>
        <w:t xml:space="preserve"> </w:t>
      </w:r>
      <w:r w:rsidRPr="00904FCB">
        <w:rPr>
          <w:rFonts w:ascii="Times New Roman" w:hAnsi="Times New Roman" w:hint="cs"/>
          <w:sz w:val="27"/>
          <w:rtl/>
          <w:lang w:bidi="fa-IR"/>
        </w:rPr>
        <w:t>الن</w:t>
      </w:r>
      <w:r w:rsidRPr="00904FCB">
        <w:rPr>
          <w:rFonts w:ascii="Times New Roman" w:hAnsi="Times New Roman"/>
          <w:sz w:val="27"/>
          <w:rtl/>
          <w:lang w:bidi="fa-IR"/>
        </w:rPr>
        <w:t xml:space="preserve">هي على </w:t>
      </w:r>
      <w:r w:rsidRPr="00904FCB">
        <w:rPr>
          <w:rFonts w:ascii="Times New Roman" w:hAnsi="Times New Roman" w:hint="cs"/>
          <w:sz w:val="27"/>
          <w:rtl/>
          <w:lang w:bidi="fa-IR"/>
        </w:rPr>
        <w:t>الحرمة</w:t>
      </w:r>
      <w:r w:rsidRPr="00904FCB">
        <w:rPr>
          <w:rFonts w:ascii="Times New Roman" w:hAnsi="Times New Roman"/>
          <w:sz w:val="27"/>
          <w:rtl/>
          <w:lang w:bidi="fa-IR"/>
        </w:rPr>
        <w:t xml:space="preserve"> </w:t>
      </w:r>
      <w:r w:rsidRPr="00904FCB">
        <w:rPr>
          <w:rFonts w:ascii="Times New Roman" w:hAnsi="Times New Roman" w:hint="cs"/>
          <w:sz w:val="27"/>
          <w:rtl/>
          <w:lang w:bidi="fa-IR"/>
        </w:rPr>
        <w:t>أيضاً</w:t>
      </w:r>
      <w:r w:rsidR="00A23C8A"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فيقول</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القاعدة</w:t>
      </w:r>
      <w:r w:rsidRPr="00904FCB">
        <w:rPr>
          <w:rFonts w:ascii="Times New Roman" w:hAnsi="Times New Roman"/>
          <w:sz w:val="27"/>
          <w:rtl/>
          <w:lang w:bidi="fa-IR"/>
        </w:rPr>
        <w:t xml:space="preserve"> (</w:t>
      </w:r>
      <w:r w:rsidRPr="00B769C0">
        <w:rPr>
          <w:rFonts w:ascii="Times New Roman" w:hAnsi="Times New Roman" w:hint="cs"/>
          <w:sz w:val="27"/>
          <w:rtl/>
          <w:lang w:bidi="ar-LB"/>
        </w:rPr>
        <w:t>41</w:t>
      </w:r>
      <w:r w:rsidRPr="00904FCB">
        <w:rPr>
          <w:rFonts w:ascii="Times New Roman" w:hAnsi="Times New Roman"/>
          <w:sz w:val="27"/>
          <w:rtl/>
          <w:lang w:bidi="fa-IR"/>
        </w:rPr>
        <w:t xml:space="preserve">): </w:t>
      </w:r>
      <w:r w:rsidRPr="00904FCB">
        <w:rPr>
          <w:rFonts w:ascii="Times New Roman" w:hAnsi="Times New Roman" w:hint="cs"/>
          <w:sz w:val="27"/>
          <w:rtl/>
          <w:lang w:bidi="fa-IR"/>
        </w:rPr>
        <w:t>«م</w:t>
      </w:r>
      <w:r w:rsidR="00A23C8A" w:rsidRPr="00904FCB">
        <w:rPr>
          <w:rFonts w:ascii="Times New Roman" w:hAnsi="Times New Roman" w:hint="cs"/>
          <w:sz w:val="27"/>
          <w:rtl/>
          <w:lang w:bidi="fa-IR"/>
        </w:rPr>
        <w:t>َ</w:t>
      </w:r>
      <w:r w:rsidRPr="00904FCB">
        <w:rPr>
          <w:rFonts w:ascii="Times New Roman" w:hAnsi="Times New Roman" w:hint="cs"/>
          <w:sz w:val="27"/>
          <w:rtl/>
          <w:lang w:bidi="fa-IR"/>
        </w:rPr>
        <w:t>ن</w:t>
      </w:r>
      <w:r w:rsidR="00A23C8A"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قال</w:t>
      </w:r>
      <w:r w:rsidRPr="00904FCB">
        <w:rPr>
          <w:rFonts w:ascii="Times New Roman" w:hAnsi="Times New Roman"/>
          <w:sz w:val="27"/>
          <w:rtl/>
          <w:lang w:bidi="fa-IR"/>
        </w:rPr>
        <w:t xml:space="preserve">: </w:t>
      </w:r>
      <w:r w:rsidRPr="00904FCB">
        <w:rPr>
          <w:rFonts w:ascii="Times New Roman" w:hAnsi="Times New Roman" w:hint="cs"/>
          <w:sz w:val="27"/>
          <w:rtl/>
          <w:lang w:bidi="fa-IR"/>
        </w:rPr>
        <w:t>إنّ</w:t>
      </w:r>
      <w:r w:rsidRPr="00904FCB">
        <w:rPr>
          <w:rFonts w:ascii="Times New Roman" w:hAnsi="Times New Roman"/>
          <w:sz w:val="27"/>
          <w:rtl/>
          <w:lang w:bidi="fa-IR"/>
        </w:rPr>
        <w:t xml:space="preserve"> الأمر بعد التحر</w:t>
      </w:r>
      <w:r w:rsidRPr="00904FCB">
        <w:rPr>
          <w:rFonts w:ascii="Times New Roman" w:hAnsi="Times New Roman" w:hint="cs"/>
          <w:sz w:val="27"/>
          <w:rtl/>
          <w:lang w:bidi="fa-IR"/>
        </w:rPr>
        <w:t>يم</w:t>
      </w:r>
      <w:r w:rsidRPr="00904FCB">
        <w:rPr>
          <w:rFonts w:ascii="Times New Roman" w:hAnsi="Times New Roman"/>
          <w:sz w:val="27"/>
          <w:rtl/>
          <w:lang w:bidi="fa-IR"/>
        </w:rPr>
        <w:t xml:space="preserve"> </w:t>
      </w:r>
      <w:r w:rsidRPr="00904FCB">
        <w:rPr>
          <w:rFonts w:ascii="Times New Roman" w:hAnsi="Times New Roman" w:hint="cs"/>
          <w:sz w:val="27"/>
          <w:rtl/>
          <w:lang w:bidi="fa-IR"/>
        </w:rPr>
        <w:t>للوجوب</w:t>
      </w:r>
      <w:r w:rsidRPr="00904FCB">
        <w:rPr>
          <w:rFonts w:ascii="Times New Roman" w:hAnsi="Times New Roman"/>
          <w:sz w:val="27"/>
          <w:rtl/>
          <w:lang w:bidi="fa-IR"/>
        </w:rPr>
        <w:t xml:space="preserve"> </w:t>
      </w:r>
      <w:r w:rsidRPr="00904FCB">
        <w:rPr>
          <w:rFonts w:ascii="Times New Roman" w:hAnsi="Times New Roman" w:hint="cs"/>
          <w:sz w:val="27"/>
          <w:rtl/>
          <w:lang w:bidi="fa-IR"/>
        </w:rPr>
        <w:t>قال</w:t>
      </w:r>
      <w:r w:rsidRPr="00904FCB">
        <w:rPr>
          <w:rFonts w:ascii="Times New Roman" w:hAnsi="Times New Roman"/>
          <w:sz w:val="27"/>
          <w:rtl/>
          <w:lang w:bidi="fa-IR"/>
        </w:rPr>
        <w:t xml:space="preserve">: </w:t>
      </w:r>
      <w:r w:rsidRPr="00904FCB">
        <w:rPr>
          <w:rFonts w:ascii="Times New Roman" w:hAnsi="Times New Roman" w:hint="cs"/>
          <w:sz w:val="27"/>
          <w:rtl/>
          <w:lang w:bidi="fa-IR"/>
        </w:rPr>
        <w:t>إنّ</w:t>
      </w:r>
      <w:r w:rsidRPr="00904FCB">
        <w:rPr>
          <w:rFonts w:ascii="Times New Roman" w:hAnsi="Times New Roman"/>
          <w:sz w:val="27"/>
          <w:rtl/>
          <w:lang w:bidi="fa-IR"/>
        </w:rPr>
        <w:t xml:space="preserve"> </w:t>
      </w:r>
      <w:r w:rsidRPr="00904FCB">
        <w:rPr>
          <w:rFonts w:ascii="Times New Roman" w:hAnsi="Times New Roman" w:hint="cs"/>
          <w:sz w:val="27"/>
          <w:rtl/>
          <w:lang w:bidi="fa-IR"/>
        </w:rPr>
        <w:t>الن</w:t>
      </w:r>
      <w:r w:rsidRPr="00904FCB">
        <w:rPr>
          <w:rFonts w:ascii="Times New Roman" w:hAnsi="Times New Roman"/>
          <w:sz w:val="27"/>
          <w:rtl/>
          <w:lang w:bidi="fa-IR"/>
        </w:rPr>
        <w:t>هي بعد الوجوب للتحر</w:t>
      </w:r>
      <w:r w:rsidRPr="00904FCB">
        <w:rPr>
          <w:rFonts w:ascii="Times New Roman" w:hAnsi="Times New Roman" w:hint="cs"/>
          <w:sz w:val="27"/>
          <w:rtl/>
          <w:lang w:bidi="fa-IR"/>
        </w:rPr>
        <w:t>يم</w:t>
      </w:r>
      <w:r w:rsidRPr="00904FCB">
        <w:rPr>
          <w:rFonts w:ascii="Times New Roman" w:hAnsi="Times New Roman"/>
          <w:sz w:val="27"/>
          <w:rtl/>
          <w:lang w:bidi="fa-IR"/>
        </w:rPr>
        <w:t xml:space="preserve"> </w:t>
      </w:r>
      <w:r w:rsidR="00A23C8A" w:rsidRPr="00904FCB">
        <w:rPr>
          <w:rFonts w:ascii="Times New Roman" w:hAnsi="Times New Roman" w:hint="cs"/>
          <w:sz w:val="27"/>
          <w:rtl/>
          <w:lang w:bidi="fa-IR"/>
        </w:rPr>
        <w:t>أ</w:t>
      </w:r>
      <w:r w:rsidRPr="00904FCB">
        <w:rPr>
          <w:rFonts w:ascii="Times New Roman" w:hAnsi="Times New Roman" w:hint="cs"/>
          <w:sz w:val="27"/>
          <w:rtl/>
          <w:lang w:bidi="fa-IR"/>
        </w:rPr>
        <w:t>يضاً»</w:t>
      </w:r>
      <w:r w:rsidRPr="00904FCB">
        <w:rPr>
          <w:rFonts w:ascii="Times New Roman" w:hAnsi="Times New Roman"/>
          <w:sz w:val="27"/>
          <w:rtl/>
          <w:lang w:bidi="fa-IR"/>
        </w:rPr>
        <w:t xml:space="preserve">. </w:t>
      </w:r>
    </w:p>
    <w:p w:rsidR="00057E24" w:rsidRPr="00904FCB" w:rsidRDefault="00057E24" w:rsidP="007A21AA">
      <w:pPr>
        <w:spacing w:line="400" w:lineRule="exact"/>
        <w:rPr>
          <w:rFonts w:ascii="Times New Roman" w:hAnsi="Times New Roman"/>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8ـ</w:t>
      </w:r>
      <w:r w:rsidRPr="00904FCB">
        <w:rPr>
          <w:rFonts w:hint="cs"/>
          <w:color w:val="auto"/>
          <w:rtl/>
          <w:lang w:bidi="ar-LB"/>
        </w:rPr>
        <w:t xml:space="preserve"> </w:t>
      </w:r>
      <w:r w:rsidRPr="00904FCB">
        <w:rPr>
          <w:color w:val="auto"/>
          <w:rtl/>
          <w:lang w:bidi="fa-IR"/>
        </w:rPr>
        <w:t xml:space="preserve">تقدّم الاستصحاب على </w:t>
      </w:r>
      <w:r w:rsidRPr="00904FCB">
        <w:rPr>
          <w:rFonts w:hint="cs"/>
          <w:color w:val="auto"/>
          <w:rtl/>
          <w:lang w:bidi="fa-IR"/>
        </w:rPr>
        <w:t>قاعدة</w:t>
      </w:r>
      <w:r w:rsidRPr="00904FCB">
        <w:rPr>
          <w:color w:val="auto"/>
          <w:rtl/>
          <w:lang w:bidi="fa-IR"/>
        </w:rPr>
        <w:t xml:space="preserve"> </w:t>
      </w:r>
      <w:r w:rsidRPr="00904FCB">
        <w:rPr>
          <w:rFonts w:hint="cs"/>
          <w:color w:val="auto"/>
          <w:rtl/>
          <w:lang w:bidi="fa-IR"/>
        </w:rPr>
        <w:t>اليد</w:t>
      </w:r>
      <w:r w:rsidRPr="00904FCB">
        <w:rPr>
          <w:color w:val="auto"/>
          <w:rtl/>
          <w:lang w:bidi="fa-IR"/>
        </w:rPr>
        <w:t xml:space="preserve"> </w:t>
      </w:r>
    </w:p>
    <w:p w:rsidR="00057E24" w:rsidRPr="00904FCB" w:rsidRDefault="00057E24" w:rsidP="00C07161">
      <w:pPr>
        <w:spacing w:line="400" w:lineRule="exact"/>
        <w:ind w:firstLine="561"/>
        <w:rPr>
          <w:rFonts w:ascii="Times New Roman" w:hAnsi="Times New Roman"/>
          <w:i/>
          <w:sz w:val="27"/>
          <w:rtl/>
          <w:lang w:bidi="fa-IR"/>
        </w:rPr>
      </w:pPr>
      <w:r w:rsidRPr="00904FCB">
        <w:rPr>
          <w:rFonts w:ascii="Times New Roman" w:hAnsi="Times New Roman"/>
          <w:i/>
          <w:sz w:val="27"/>
          <w:rtl/>
          <w:lang w:bidi="fa-IR"/>
        </w:rPr>
        <w:t>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موارد</w:t>
      </w:r>
      <w:r w:rsidRPr="00904FCB">
        <w:rPr>
          <w:rFonts w:ascii="Times New Roman" w:hAnsi="Times New Roman"/>
          <w:i/>
          <w:sz w:val="27"/>
          <w:rtl/>
          <w:lang w:bidi="fa-IR"/>
        </w:rPr>
        <w:t xml:space="preserve"> </w:t>
      </w:r>
      <w:r w:rsidRPr="00904FCB">
        <w:rPr>
          <w:rFonts w:ascii="Times New Roman" w:hAnsi="Times New Roman" w:hint="cs"/>
          <w:i/>
          <w:sz w:val="27"/>
          <w:rtl/>
          <w:lang w:bidi="fa-IR"/>
        </w:rPr>
        <w:t>تعارض</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الأصل</w:t>
      </w:r>
      <w:r w:rsidRPr="00904FCB">
        <w:rPr>
          <w:rFonts w:ascii="Times New Roman" w:hAnsi="Times New Roman"/>
          <w:i/>
          <w:sz w:val="27"/>
          <w:rtl/>
          <w:lang w:bidi="fa-IR"/>
        </w:rPr>
        <w:t xml:space="preserve"> </w:t>
      </w:r>
      <w:r w:rsidRPr="00904FCB">
        <w:rPr>
          <w:rFonts w:ascii="Times New Roman" w:hAnsi="Times New Roman" w:hint="cs"/>
          <w:i/>
          <w:sz w:val="27"/>
          <w:rtl/>
          <w:lang w:bidi="fa-IR"/>
        </w:rPr>
        <w:t>مع</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الأمارة يقدّ</w:t>
      </w:r>
      <w:r w:rsidR="00A23C8A" w:rsidRPr="00904FCB">
        <w:rPr>
          <w:rFonts w:ascii="Times New Roman" w:hAnsi="Times New Roman" w:hint="cs"/>
          <w:i/>
          <w:sz w:val="27"/>
          <w:rtl/>
          <w:lang w:bidi="fa-IR"/>
        </w:rPr>
        <w:t>ِ</w:t>
      </w:r>
      <w:r w:rsidRPr="00904FCB">
        <w:rPr>
          <w:rFonts w:ascii="Times New Roman" w:hAnsi="Times New Roman" w:hint="cs"/>
          <w:i/>
          <w:sz w:val="27"/>
          <w:rtl/>
          <w:lang w:bidi="fa-IR"/>
        </w:rPr>
        <w:t>م</w:t>
      </w:r>
      <w:r w:rsidRPr="00904FCB">
        <w:rPr>
          <w:rFonts w:ascii="Times New Roman" w:hAnsi="Times New Roman"/>
          <w:i/>
          <w:sz w:val="27"/>
          <w:rtl/>
          <w:lang w:bidi="fa-IR"/>
        </w:rPr>
        <w:t xml:space="preserve"> </w:t>
      </w:r>
      <w:r w:rsidRPr="00904FCB">
        <w:rPr>
          <w:rFonts w:ascii="Times New Roman" w:hAnsi="Times New Roman" w:hint="cs"/>
          <w:i/>
          <w:sz w:val="27"/>
          <w:rtl/>
          <w:lang w:bidi="fa-IR"/>
        </w:rPr>
        <w:t>أرباب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الأصول</w:t>
      </w:r>
      <w:r w:rsidR="00AF2893" w:rsidRPr="00904FCB">
        <w:rPr>
          <w:rFonts w:ascii="Times New Roman" w:hAnsi="Times New Roman" w:hint="cs"/>
          <w:i/>
          <w:sz w:val="27"/>
          <w:rtl/>
          <w:lang w:bidi="fa-IR"/>
        </w:rPr>
        <w:t xml:space="preserve"> الأمارة.</w:t>
      </w:r>
      <w:r w:rsidRPr="00904FCB">
        <w:rPr>
          <w:rFonts w:ascii="Times New Roman" w:hAnsi="Times New Roman"/>
          <w:i/>
          <w:sz w:val="27"/>
          <w:rtl/>
          <w:lang w:bidi="fa-IR"/>
        </w:rPr>
        <w:t xml:space="preserve"> و</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جملة</w:t>
      </w:r>
      <w:r w:rsidRPr="00904FCB">
        <w:rPr>
          <w:rFonts w:ascii="Times New Roman" w:hAnsi="Times New Roman"/>
          <w:i/>
          <w:sz w:val="27"/>
          <w:rtl/>
          <w:lang w:bidi="fa-IR"/>
        </w:rPr>
        <w:t xml:space="preserve"> </w:t>
      </w:r>
      <w:r w:rsidRPr="00904FCB">
        <w:rPr>
          <w:rFonts w:ascii="Times New Roman" w:hAnsi="Times New Roman" w:hint="cs"/>
          <w:i/>
          <w:sz w:val="27"/>
          <w:rtl/>
          <w:lang w:bidi="fa-IR"/>
        </w:rPr>
        <w:t>ذلك</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موارد</w:t>
      </w:r>
      <w:r w:rsidRPr="00904FCB">
        <w:rPr>
          <w:rFonts w:ascii="Times New Roman" w:hAnsi="Times New Roman"/>
          <w:i/>
          <w:sz w:val="27"/>
          <w:rtl/>
          <w:lang w:bidi="fa-IR"/>
        </w:rPr>
        <w:t xml:space="preserve"> </w:t>
      </w:r>
      <w:r w:rsidRPr="00904FCB">
        <w:rPr>
          <w:rFonts w:ascii="Times New Roman" w:hAnsi="Times New Roman" w:hint="cs"/>
          <w:i/>
          <w:sz w:val="27"/>
          <w:rtl/>
          <w:lang w:bidi="fa-IR"/>
        </w:rPr>
        <w:t>تعارض</w:t>
      </w:r>
      <w:r w:rsidRPr="00904FCB">
        <w:rPr>
          <w:rFonts w:ascii="Times New Roman" w:hAnsi="Times New Roman"/>
          <w:i/>
          <w:sz w:val="27"/>
          <w:rtl/>
          <w:lang w:bidi="fa-IR"/>
        </w:rPr>
        <w:t xml:space="preserve"> </w:t>
      </w:r>
      <w:r w:rsidRPr="00904FCB">
        <w:rPr>
          <w:rFonts w:ascii="Times New Roman" w:hAnsi="Times New Roman" w:hint="cs"/>
          <w:i/>
          <w:sz w:val="27"/>
          <w:rtl/>
          <w:lang w:bidi="fa-IR"/>
        </w:rPr>
        <w:t>قاعدة</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اليد</w:t>
      </w:r>
      <w:r w:rsidR="00C07161">
        <w:rPr>
          <w:rFonts w:ascii="Times New Roman" w:hAnsi="Times New Roman" w:hint="cs"/>
          <w:i/>
          <w:sz w:val="27"/>
          <w:rtl/>
          <w:lang w:bidi="fa-IR"/>
        </w:rPr>
        <w:t xml:space="preserve"> ـ</w:t>
      </w:r>
      <w:r w:rsidR="00AF2893" w:rsidRPr="00904FCB">
        <w:rPr>
          <w:rFonts w:ascii="Times New Roman" w:hAnsi="Times New Roman" w:hint="cs"/>
          <w:i/>
          <w:sz w:val="27"/>
          <w:rtl/>
          <w:lang w:bidi="fa-IR"/>
        </w:rPr>
        <w:t xml:space="preserve"> </w:t>
      </w:r>
      <w:r w:rsidRPr="00904FCB">
        <w:rPr>
          <w:rFonts w:ascii="Times New Roman" w:hAnsi="Times New Roman"/>
          <w:i/>
          <w:sz w:val="27"/>
          <w:rtl/>
          <w:lang w:bidi="fa-IR"/>
        </w:rPr>
        <w:t>الت</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تعتبر</w:t>
      </w:r>
      <w:r w:rsidRPr="00904FCB">
        <w:rPr>
          <w:rFonts w:ascii="Times New Roman" w:hAnsi="Times New Roman"/>
          <w:i/>
          <w:sz w:val="27"/>
          <w:rtl/>
          <w:lang w:bidi="fa-IR"/>
        </w:rPr>
        <w:t xml:space="preserve"> </w:t>
      </w:r>
      <w:r w:rsidRPr="00904FCB">
        <w:rPr>
          <w:rFonts w:ascii="Times New Roman" w:hAnsi="Times New Roman" w:hint="cs"/>
          <w:i/>
          <w:sz w:val="27"/>
          <w:rtl/>
          <w:lang w:bidi="fa-IR"/>
        </w:rPr>
        <w:t>أمارة</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الم</w:t>
      </w:r>
      <w:r w:rsidR="00AF2893" w:rsidRPr="00904FCB">
        <w:rPr>
          <w:rFonts w:ascii="Times New Roman" w:hAnsi="Times New Roman" w:hint="cs"/>
          <w:i/>
          <w:sz w:val="27"/>
          <w:rtl/>
          <w:lang w:bidi="fa-IR"/>
        </w:rPr>
        <w:t>ل</w:t>
      </w:r>
      <w:r w:rsidRPr="00904FCB">
        <w:rPr>
          <w:rFonts w:ascii="Times New Roman" w:hAnsi="Times New Roman" w:hint="cs"/>
          <w:i/>
          <w:sz w:val="27"/>
          <w:rtl/>
          <w:lang w:bidi="fa-IR"/>
        </w:rPr>
        <w:t>كية</w:t>
      </w:r>
      <w:r w:rsidRPr="00904FCB">
        <w:rPr>
          <w:rFonts w:ascii="Times New Roman" w:hAnsi="Times New Roman"/>
          <w:i/>
          <w:sz w:val="27"/>
          <w:rtl/>
          <w:lang w:bidi="fa-IR"/>
        </w:rPr>
        <w:t xml:space="preserve"> </w:t>
      </w:r>
      <w:r w:rsidRPr="00904FCB">
        <w:rPr>
          <w:rFonts w:ascii="Times New Roman" w:hAnsi="Times New Roman" w:hint="cs"/>
          <w:i/>
          <w:sz w:val="27"/>
          <w:rtl/>
          <w:lang w:bidi="fa-IR"/>
        </w:rPr>
        <w:t>ـ</w:t>
      </w:r>
      <w:r w:rsidRPr="00904FCB">
        <w:rPr>
          <w:rFonts w:ascii="Times New Roman" w:hAnsi="Times New Roman"/>
          <w:i/>
          <w:sz w:val="27"/>
          <w:rtl/>
          <w:lang w:bidi="fa-IR"/>
        </w:rPr>
        <w:t xml:space="preserve"> </w:t>
      </w:r>
      <w:r w:rsidRPr="00904FCB">
        <w:rPr>
          <w:rFonts w:ascii="Times New Roman" w:hAnsi="Times New Roman" w:hint="cs"/>
          <w:i/>
          <w:sz w:val="27"/>
          <w:rtl/>
          <w:lang w:bidi="fa-IR"/>
        </w:rPr>
        <w:t>مع</w:t>
      </w:r>
      <w:r w:rsidRPr="00904FCB">
        <w:rPr>
          <w:rFonts w:ascii="Times New Roman" w:hAnsi="Times New Roman"/>
          <w:i/>
          <w:sz w:val="27"/>
          <w:rtl/>
          <w:lang w:bidi="fa-IR"/>
        </w:rPr>
        <w:t xml:space="preserve"> </w:t>
      </w:r>
      <w:r w:rsidRPr="00904FCB">
        <w:rPr>
          <w:rFonts w:ascii="Times New Roman" w:hAnsi="Times New Roman" w:hint="cs"/>
          <w:i/>
          <w:sz w:val="27"/>
          <w:rtl/>
          <w:lang w:bidi="fa-IR"/>
        </w:rPr>
        <w:t>است</w:t>
      </w:r>
      <w:r w:rsidR="00AF2893" w:rsidRPr="00904FCB">
        <w:rPr>
          <w:rFonts w:ascii="Times New Roman" w:hAnsi="Times New Roman" w:hint="cs"/>
          <w:i/>
          <w:sz w:val="27"/>
          <w:rtl/>
          <w:lang w:bidi="fa-IR"/>
        </w:rPr>
        <w:t>ص</w:t>
      </w:r>
      <w:r w:rsidRPr="00904FCB">
        <w:rPr>
          <w:rFonts w:ascii="Times New Roman" w:hAnsi="Times New Roman" w:hint="cs"/>
          <w:i/>
          <w:sz w:val="27"/>
          <w:rtl/>
          <w:lang w:bidi="fa-IR"/>
        </w:rPr>
        <w:t>حاب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عدم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الملكية</w:t>
      </w:r>
      <w:r w:rsidRPr="00904FCB">
        <w:rPr>
          <w:rFonts w:ascii="Times New Roman" w:hAnsi="Times New Roman"/>
          <w:i/>
          <w:sz w:val="27"/>
          <w:rtl/>
          <w:lang w:bidi="fa-IR"/>
        </w:rPr>
        <w:t xml:space="preserve"> </w:t>
      </w:r>
      <w:r w:rsidRPr="00904FCB">
        <w:rPr>
          <w:rFonts w:ascii="Times New Roman" w:hAnsi="Times New Roman" w:hint="cs"/>
          <w:i/>
          <w:sz w:val="27"/>
          <w:rtl/>
          <w:lang w:bidi="fa-IR"/>
        </w:rPr>
        <w:t>لغير</w:t>
      </w:r>
      <w:r w:rsidRPr="00904FCB">
        <w:rPr>
          <w:rFonts w:ascii="Times New Roman" w:hAnsi="Times New Roman"/>
          <w:i/>
          <w:sz w:val="27"/>
          <w:rtl/>
          <w:lang w:bidi="fa-IR"/>
        </w:rPr>
        <w:t xml:space="preserve"> </w:t>
      </w:r>
      <w:r w:rsidRPr="00904FCB">
        <w:rPr>
          <w:rFonts w:ascii="Times New Roman" w:hAnsi="Times New Roman" w:hint="cs"/>
          <w:i/>
          <w:sz w:val="27"/>
          <w:rtl/>
          <w:lang w:bidi="fa-IR"/>
        </w:rPr>
        <w:t>ذي</w:t>
      </w:r>
      <w:r w:rsidRPr="00904FCB">
        <w:rPr>
          <w:rFonts w:ascii="Times New Roman" w:hAnsi="Times New Roman"/>
          <w:i/>
          <w:sz w:val="27"/>
          <w:rtl/>
          <w:lang w:bidi="fa-IR"/>
        </w:rPr>
        <w:t xml:space="preserve"> ال</w:t>
      </w:r>
      <w:r w:rsidRPr="00904FCB">
        <w:rPr>
          <w:rFonts w:ascii="Times New Roman" w:hAnsi="Times New Roman" w:hint="cs"/>
          <w:i/>
          <w:sz w:val="27"/>
          <w:rtl/>
          <w:lang w:bidi="fa-IR"/>
        </w:rPr>
        <w:t>يد</w:t>
      </w:r>
      <w:r w:rsidRPr="00904FCB">
        <w:rPr>
          <w:rFonts w:ascii="Times New Roman" w:hAnsi="Times New Roman"/>
          <w:i/>
          <w:sz w:val="27"/>
          <w:rtl/>
          <w:lang w:bidi="fa-IR"/>
        </w:rPr>
        <w:t xml:space="preserve">. </w:t>
      </w:r>
      <w:r w:rsidRPr="00904FCB">
        <w:rPr>
          <w:rFonts w:ascii="Times New Roman" w:hAnsi="Times New Roman" w:hint="cs"/>
          <w:i/>
          <w:sz w:val="27"/>
          <w:rtl/>
          <w:lang w:bidi="fa-IR"/>
        </w:rPr>
        <w:t>لكن</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يقول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96</w:t>
      </w:r>
      <w:r w:rsidRPr="00904FCB">
        <w:rPr>
          <w:rFonts w:ascii="Times New Roman" w:hAnsi="Times New Roman"/>
          <w:i/>
          <w:sz w:val="27"/>
          <w:rtl/>
          <w:lang w:bidi="fa-IR"/>
        </w:rPr>
        <w:t xml:space="preserve">): </w:t>
      </w:r>
      <w:r w:rsidRPr="00904FCB">
        <w:rPr>
          <w:rFonts w:ascii="Times New Roman" w:hAnsi="Times New Roman" w:hint="cs"/>
          <w:i/>
          <w:sz w:val="27"/>
          <w:rtl/>
          <w:lang w:bidi="fa-IR"/>
        </w:rPr>
        <w:t>«لو</w:t>
      </w:r>
      <w:r w:rsidRPr="00904FCB">
        <w:rPr>
          <w:rFonts w:ascii="Times New Roman" w:hAnsi="Times New Roman"/>
          <w:i/>
          <w:sz w:val="27"/>
          <w:rtl/>
          <w:lang w:bidi="fa-IR"/>
        </w:rPr>
        <w:t xml:space="preserve"> </w:t>
      </w:r>
      <w:r w:rsidRPr="00904FCB">
        <w:rPr>
          <w:rFonts w:ascii="Times New Roman" w:hAnsi="Times New Roman" w:hint="cs"/>
          <w:i/>
          <w:sz w:val="27"/>
          <w:rtl/>
          <w:lang w:bidi="fa-IR"/>
        </w:rPr>
        <w:t>تعارض</w:t>
      </w:r>
      <w:r w:rsidRPr="00904FCB">
        <w:rPr>
          <w:rFonts w:ascii="Times New Roman" w:hAnsi="Times New Roman"/>
          <w:i/>
          <w:sz w:val="27"/>
          <w:rtl/>
          <w:lang w:bidi="fa-IR"/>
        </w:rPr>
        <w:t xml:space="preserve"> </w:t>
      </w:r>
      <w:r w:rsidR="00AF2893" w:rsidRPr="00904FCB">
        <w:rPr>
          <w:rFonts w:ascii="Times New Roman" w:hAnsi="Times New Roman" w:hint="cs"/>
          <w:i/>
          <w:sz w:val="27"/>
          <w:rtl/>
          <w:lang w:bidi="fa-IR"/>
        </w:rPr>
        <w:t>ا</w:t>
      </w:r>
      <w:r w:rsidRPr="00904FCB">
        <w:rPr>
          <w:rFonts w:ascii="Times New Roman" w:hAnsi="Times New Roman" w:hint="cs"/>
          <w:i/>
          <w:sz w:val="27"/>
          <w:rtl/>
          <w:lang w:bidi="fa-IR"/>
        </w:rPr>
        <w:t>لملك</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القديم</w:t>
      </w:r>
      <w:r w:rsidRPr="00904FCB">
        <w:rPr>
          <w:rFonts w:ascii="Times New Roman" w:hAnsi="Times New Roman"/>
          <w:i/>
          <w:sz w:val="27"/>
          <w:rtl/>
          <w:lang w:bidi="fa-IR"/>
        </w:rPr>
        <w:t xml:space="preserve"> </w:t>
      </w:r>
      <w:r w:rsidRPr="00904FCB">
        <w:rPr>
          <w:rFonts w:ascii="Times New Roman" w:hAnsi="Times New Roman" w:hint="cs"/>
          <w:i/>
          <w:sz w:val="27"/>
          <w:rtl/>
          <w:lang w:bidi="fa-IR"/>
        </w:rPr>
        <w:t>واليد</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الحادثة</w:t>
      </w:r>
      <w:r w:rsidRPr="00904FCB">
        <w:rPr>
          <w:rFonts w:ascii="Times New Roman" w:hAnsi="Times New Roman"/>
          <w:i/>
          <w:sz w:val="27"/>
          <w:rtl/>
          <w:lang w:bidi="fa-IR"/>
        </w:rPr>
        <w:t xml:space="preserve"> </w:t>
      </w:r>
      <w:r w:rsidRPr="00904FCB">
        <w:rPr>
          <w:rFonts w:ascii="Times New Roman" w:hAnsi="Times New Roman" w:hint="cs"/>
          <w:i/>
          <w:sz w:val="27"/>
          <w:rtl/>
          <w:lang w:bidi="fa-IR"/>
        </w:rPr>
        <w:t>ففي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ترجيح</w:t>
      </w:r>
      <w:r w:rsidRPr="00904FCB">
        <w:rPr>
          <w:rFonts w:ascii="Times New Roman" w:hAnsi="Times New Roman"/>
          <w:i/>
          <w:sz w:val="27"/>
          <w:rtl/>
          <w:lang w:bidi="fa-IR"/>
        </w:rPr>
        <w:t xml:space="preserve"> </w:t>
      </w:r>
      <w:r w:rsidRPr="00904FCB">
        <w:rPr>
          <w:rFonts w:ascii="Times New Roman" w:hAnsi="Times New Roman" w:hint="cs"/>
          <w:i/>
          <w:sz w:val="27"/>
          <w:rtl/>
          <w:lang w:bidi="fa-IR"/>
        </w:rPr>
        <w:t>أي</w:t>
      </w:r>
      <w:r w:rsidR="00AF2893" w:rsidRPr="00904FCB">
        <w:rPr>
          <w:rFonts w:ascii="Times New Roman" w:hAnsi="Times New Roman" w:hint="cs"/>
          <w:i/>
          <w:sz w:val="27"/>
          <w:rtl/>
          <w:lang w:bidi="fa-IR"/>
        </w:rPr>
        <w:t>ِّ</w:t>
      </w:r>
      <w:r w:rsidRPr="00904FCB">
        <w:rPr>
          <w:rFonts w:ascii="Times New Roman" w:hAnsi="Times New Roman" w:hint="cs"/>
          <w:i/>
          <w:sz w:val="27"/>
          <w:rtl/>
          <w:lang w:bidi="fa-IR"/>
        </w:rPr>
        <w:t>هما</w:t>
      </w:r>
      <w:r w:rsidRPr="00904FCB">
        <w:rPr>
          <w:rFonts w:ascii="Times New Roman" w:hAnsi="Times New Roman"/>
          <w:i/>
          <w:sz w:val="27"/>
          <w:rtl/>
          <w:lang w:bidi="fa-IR"/>
        </w:rPr>
        <w:t xml:space="preserve"> </w:t>
      </w:r>
      <w:r w:rsidRPr="00904FCB">
        <w:rPr>
          <w:rFonts w:ascii="Times New Roman" w:hAnsi="Times New Roman" w:hint="cs"/>
          <w:i/>
          <w:sz w:val="27"/>
          <w:rtl/>
          <w:lang w:bidi="fa-IR"/>
        </w:rPr>
        <w:t>قولان</w:t>
      </w:r>
      <w:r w:rsidRPr="00904FCB">
        <w:rPr>
          <w:rFonts w:ascii="Times New Roman" w:hAnsi="Times New Roman"/>
          <w:i/>
          <w:sz w:val="27"/>
          <w:rtl/>
          <w:lang w:bidi="fa-IR"/>
        </w:rPr>
        <w:t>...</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الأوّل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مقدّ</w:t>
      </w:r>
      <w:r w:rsidR="00AF2893" w:rsidRPr="00904FCB">
        <w:rPr>
          <w:rFonts w:ascii="Times New Roman" w:hAnsi="Times New Roman" w:hint="cs"/>
          <w:i/>
          <w:sz w:val="27"/>
          <w:rtl/>
          <w:lang w:bidi="fa-IR"/>
        </w:rPr>
        <w:t>َ</w:t>
      </w:r>
      <w:r w:rsidRPr="00904FCB">
        <w:rPr>
          <w:rFonts w:ascii="Times New Roman" w:hAnsi="Times New Roman" w:hint="cs"/>
          <w:i/>
          <w:sz w:val="27"/>
          <w:rtl/>
          <w:lang w:bidi="fa-IR"/>
        </w:rPr>
        <w:t>م»</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أي</w:t>
      </w:r>
      <w:r w:rsidRPr="00904FCB">
        <w:rPr>
          <w:rFonts w:ascii="Times New Roman" w:hAnsi="Times New Roman"/>
          <w:i/>
          <w:sz w:val="27"/>
          <w:rtl/>
          <w:lang w:bidi="fa-IR"/>
        </w:rPr>
        <w:t xml:space="preserve"> </w:t>
      </w:r>
      <w:r w:rsidRPr="00904FCB">
        <w:rPr>
          <w:rFonts w:ascii="Times New Roman" w:hAnsi="Times New Roman" w:hint="cs"/>
          <w:i/>
          <w:sz w:val="27"/>
          <w:rtl/>
          <w:lang w:bidi="fa-IR"/>
        </w:rPr>
        <w:t>يقدّم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است</w:t>
      </w:r>
      <w:r w:rsidR="00AF2893" w:rsidRPr="00904FCB">
        <w:rPr>
          <w:rFonts w:ascii="Times New Roman" w:hAnsi="Times New Roman" w:hint="cs"/>
          <w:i/>
          <w:sz w:val="27"/>
          <w:rtl/>
          <w:lang w:bidi="fa-IR"/>
        </w:rPr>
        <w:t>ص</w:t>
      </w:r>
      <w:r w:rsidRPr="00904FCB">
        <w:rPr>
          <w:rFonts w:ascii="Times New Roman" w:hAnsi="Times New Roman" w:hint="cs"/>
          <w:i/>
          <w:sz w:val="27"/>
          <w:rtl/>
          <w:lang w:bidi="fa-IR"/>
        </w:rPr>
        <w:t>حاب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الملك</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القديم</w:t>
      </w:r>
      <w:r w:rsidRPr="00904FCB">
        <w:rPr>
          <w:rFonts w:ascii="Times New Roman" w:hAnsi="Times New Roman"/>
          <w:i/>
          <w:sz w:val="27"/>
          <w:rtl/>
          <w:lang w:bidi="fa-IR"/>
        </w:rPr>
        <w:t xml:space="preserve">. </w:t>
      </w:r>
    </w:p>
    <w:p w:rsidR="00057E24" w:rsidRPr="00904FCB" w:rsidRDefault="00057E24" w:rsidP="007A21AA">
      <w:pPr>
        <w:spacing w:line="40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9ـ</w:t>
      </w:r>
      <w:r w:rsidRPr="00904FCB">
        <w:rPr>
          <w:rFonts w:hint="cs"/>
          <w:color w:val="auto"/>
          <w:rtl/>
          <w:lang w:bidi="ar-LB"/>
        </w:rPr>
        <w:t xml:space="preserve"> </w:t>
      </w:r>
      <w:r w:rsidRPr="00904FCB">
        <w:rPr>
          <w:color w:val="auto"/>
          <w:rtl/>
          <w:lang w:bidi="fa-IR"/>
        </w:rPr>
        <w:t>حج</w:t>
      </w:r>
      <w:r w:rsidR="00AF2893" w:rsidRPr="00904FCB">
        <w:rPr>
          <w:rFonts w:hint="cs"/>
          <w:color w:val="auto"/>
          <w:rtl/>
          <w:lang w:bidi="fa-IR"/>
        </w:rPr>
        <w:t>ّ</w:t>
      </w:r>
      <w:r w:rsidRPr="00904FCB">
        <w:rPr>
          <w:rFonts w:hint="cs"/>
          <w:color w:val="auto"/>
          <w:rtl/>
          <w:lang w:bidi="fa-IR"/>
        </w:rPr>
        <w:t>ية</w:t>
      </w:r>
      <w:r w:rsidRPr="00904FCB">
        <w:rPr>
          <w:color w:val="auto"/>
          <w:rtl/>
          <w:lang w:bidi="fa-IR"/>
        </w:rPr>
        <w:t xml:space="preserve"> </w:t>
      </w:r>
      <w:r w:rsidRPr="00904FCB">
        <w:rPr>
          <w:rFonts w:hint="cs"/>
          <w:color w:val="auto"/>
          <w:rtl/>
          <w:lang w:bidi="fa-IR"/>
        </w:rPr>
        <w:t>القياس</w:t>
      </w:r>
      <w:r w:rsidRPr="00904FCB">
        <w:rPr>
          <w:color w:val="auto"/>
          <w:rtl/>
          <w:lang w:bidi="fa-IR"/>
        </w:rPr>
        <w:t xml:space="preserve"> </w:t>
      </w:r>
      <w:r w:rsidRPr="00904FCB">
        <w:rPr>
          <w:rFonts w:hint="cs"/>
          <w:color w:val="auto"/>
          <w:rtl/>
          <w:lang w:bidi="fa-IR"/>
        </w:rPr>
        <w:t>ال</w:t>
      </w:r>
      <w:r w:rsidR="00AF2893" w:rsidRPr="00904FCB">
        <w:rPr>
          <w:rFonts w:hint="cs"/>
          <w:color w:val="auto"/>
          <w:rtl/>
          <w:lang w:bidi="fa-IR"/>
        </w:rPr>
        <w:t>م</w:t>
      </w:r>
      <w:r w:rsidRPr="00904FCB">
        <w:rPr>
          <w:rFonts w:hint="cs"/>
          <w:color w:val="auto"/>
          <w:rtl/>
          <w:lang w:bidi="fa-IR"/>
        </w:rPr>
        <w:t>نصوص</w:t>
      </w:r>
      <w:r w:rsidRPr="00904FCB">
        <w:rPr>
          <w:color w:val="auto"/>
          <w:rtl/>
          <w:lang w:bidi="fa-IR"/>
        </w:rPr>
        <w:t xml:space="preserve"> </w:t>
      </w:r>
      <w:r w:rsidRPr="00904FCB">
        <w:rPr>
          <w:rFonts w:hint="cs"/>
          <w:color w:val="auto"/>
          <w:rtl/>
          <w:lang w:bidi="fa-IR"/>
        </w:rPr>
        <w:t>العلّة</w:t>
      </w:r>
      <w:r w:rsidRPr="00904FCB">
        <w:rPr>
          <w:color w:val="auto"/>
          <w:rtl/>
          <w:lang w:bidi="fa-IR"/>
        </w:rPr>
        <w:t xml:space="preserve"> </w:t>
      </w:r>
    </w:p>
    <w:p w:rsidR="00057E24" w:rsidRDefault="00AF2893" w:rsidP="00C07161">
      <w:pPr>
        <w:spacing w:line="400" w:lineRule="exact"/>
        <w:ind w:firstLine="561"/>
        <w:rPr>
          <w:rFonts w:ascii="Times New Roman" w:hAnsi="Times New Roman"/>
          <w:i/>
          <w:sz w:val="27"/>
          <w:rtl/>
          <w:lang w:bidi="fa-IR"/>
        </w:rPr>
      </w:pPr>
      <w:r w:rsidRPr="00904FCB">
        <w:rPr>
          <w:rFonts w:ascii="Times New Roman" w:hAnsi="Times New Roman" w:hint="cs"/>
          <w:i/>
          <w:sz w:val="27"/>
          <w:rtl/>
          <w:lang w:bidi="fa-IR"/>
        </w:rPr>
        <w:t>إ</w:t>
      </w:r>
      <w:r w:rsidR="00057E24" w:rsidRPr="00904FCB">
        <w:rPr>
          <w:rFonts w:ascii="Times New Roman" w:hAnsi="Times New Roman"/>
          <w:i/>
          <w:sz w:val="27"/>
          <w:rtl/>
          <w:lang w:bidi="fa-IR"/>
        </w:rPr>
        <w:t>نّ الشهيد بعد تقس</w:t>
      </w:r>
      <w:r w:rsidR="00057E24" w:rsidRPr="00904FCB">
        <w:rPr>
          <w:rFonts w:ascii="Times New Roman" w:hAnsi="Times New Roman" w:hint="cs"/>
          <w:i/>
          <w:sz w:val="27"/>
          <w:rtl/>
          <w:lang w:bidi="fa-IR"/>
        </w:rPr>
        <w:t>يمه</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الق</w:t>
      </w:r>
      <w:r w:rsidRPr="00904FCB">
        <w:rPr>
          <w:rFonts w:ascii="Times New Roman" w:hAnsi="Times New Roman" w:hint="cs"/>
          <w:i/>
          <w:sz w:val="27"/>
          <w:rtl/>
          <w:lang w:bidi="fa-IR"/>
        </w:rPr>
        <w:t>ي</w:t>
      </w:r>
      <w:r w:rsidR="00057E24" w:rsidRPr="00904FCB">
        <w:rPr>
          <w:rFonts w:ascii="Times New Roman" w:hAnsi="Times New Roman" w:hint="cs"/>
          <w:i/>
          <w:sz w:val="27"/>
          <w:rtl/>
          <w:lang w:bidi="fa-IR"/>
        </w:rPr>
        <w:t>اس</w:t>
      </w:r>
      <w:r w:rsidR="00057E24" w:rsidRPr="00904FCB">
        <w:rPr>
          <w:rFonts w:ascii="Times New Roman" w:hAnsi="Times New Roman"/>
          <w:i/>
          <w:sz w:val="27"/>
          <w:rtl/>
          <w:lang w:bidi="fa-IR"/>
        </w:rPr>
        <w:t xml:space="preserve"> </w:t>
      </w:r>
      <w:r w:rsidRPr="00904FCB">
        <w:rPr>
          <w:rFonts w:ascii="Times New Roman" w:hAnsi="Times New Roman" w:hint="cs"/>
          <w:i/>
          <w:sz w:val="27"/>
          <w:rtl/>
          <w:lang w:bidi="fa-IR"/>
        </w:rPr>
        <w:t>إ</w:t>
      </w:r>
      <w:r w:rsidR="00057E24" w:rsidRPr="00904FCB">
        <w:rPr>
          <w:rFonts w:ascii="Times New Roman" w:hAnsi="Times New Roman"/>
          <w:i/>
          <w:sz w:val="27"/>
          <w:rtl/>
          <w:lang w:bidi="fa-IR"/>
        </w:rPr>
        <w:t>لى</w:t>
      </w:r>
      <w:r w:rsidRPr="00904FCB">
        <w:rPr>
          <w:rFonts w:ascii="Times New Roman" w:hAnsi="Times New Roman" w:hint="cs"/>
          <w:i/>
          <w:sz w:val="27"/>
          <w:rtl/>
          <w:lang w:bidi="fa-IR"/>
        </w:rPr>
        <w:t>:</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منطقي</w:t>
      </w:r>
      <w:r w:rsidRPr="00904FCB">
        <w:rPr>
          <w:rFonts w:ascii="Times New Roman" w:hAnsi="Times New Roman" w:hint="cs"/>
          <w:i/>
          <w:sz w:val="27"/>
          <w:rtl/>
          <w:lang w:bidi="fa-IR"/>
        </w:rPr>
        <w:t>؛</w:t>
      </w:r>
      <w:r w:rsidR="00057E24" w:rsidRPr="00904FCB">
        <w:rPr>
          <w:rFonts w:ascii="Times New Roman" w:hAnsi="Times New Roman"/>
          <w:i/>
          <w:sz w:val="27"/>
          <w:rtl/>
          <w:lang w:bidi="fa-IR"/>
        </w:rPr>
        <w:t xml:space="preserve"> و</w:t>
      </w:r>
      <w:r w:rsidR="00057E24" w:rsidRPr="00904FCB">
        <w:rPr>
          <w:rFonts w:ascii="Times New Roman" w:hAnsi="Times New Roman" w:hint="cs"/>
          <w:i/>
          <w:sz w:val="27"/>
          <w:rtl/>
          <w:lang w:bidi="fa-IR"/>
        </w:rPr>
        <w:t>فق</w:t>
      </w:r>
      <w:r w:rsidR="00057E24" w:rsidRPr="00904FCB">
        <w:rPr>
          <w:rFonts w:ascii="Times New Roman" w:hAnsi="Times New Roman"/>
          <w:i/>
          <w:sz w:val="27"/>
          <w:rtl/>
          <w:lang w:bidi="fa-IR"/>
        </w:rPr>
        <w:t>هي</w:t>
      </w:r>
      <w:r w:rsidRPr="00904FCB">
        <w:rPr>
          <w:rFonts w:ascii="Times New Roman" w:hAnsi="Times New Roman" w:hint="cs"/>
          <w:i/>
          <w:sz w:val="27"/>
          <w:rtl/>
          <w:lang w:bidi="fa-IR"/>
        </w:rPr>
        <w:t>؛</w:t>
      </w:r>
      <w:r w:rsidR="00057E24" w:rsidRPr="00904FCB">
        <w:rPr>
          <w:rFonts w:ascii="Times New Roman" w:hAnsi="Times New Roman"/>
          <w:i/>
          <w:sz w:val="27"/>
          <w:rtl/>
          <w:lang w:bidi="fa-IR"/>
        </w:rPr>
        <w:t xml:space="preserve"> واستقرائ</w:t>
      </w:r>
      <w:r w:rsidR="00057E24" w:rsidRPr="00904FCB">
        <w:rPr>
          <w:rFonts w:ascii="Times New Roman" w:hAnsi="Times New Roman" w:hint="cs"/>
          <w:i/>
          <w:sz w:val="27"/>
          <w:rtl/>
          <w:lang w:bidi="fa-IR"/>
        </w:rPr>
        <w:t>ي</w:t>
      </w:r>
      <w:r w:rsidRPr="00904FCB">
        <w:rPr>
          <w:rFonts w:ascii="Times New Roman" w:hAnsi="Times New Roman" w:hint="cs"/>
          <w:i/>
          <w:sz w:val="27"/>
          <w:rtl/>
          <w:lang w:bidi="fa-IR"/>
        </w:rPr>
        <w:t>،</w:t>
      </w:r>
      <w:r w:rsidR="00057E24" w:rsidRPr="00904FCB">
        <w:rPr>
          <w:rFonts w:ascii="Times New Roman" w:hAnsi="Times New Roman"/>
          <w:i/>
          <w:sz w:val="27"/>
          <w:rtl/>
          <w:lang w:bidi="fa-IR"/>
        </w:rPr>
        <w:t xml:space="preserve"> كتب </w:t>
      </w:r>
      <w:r w:rsidR="00057E24" w:rsidRPr="00904FCB">
        <w:rPr>
          <w:rFonts w:ascii="Times New Roman" w:hAnsi="Times New Roman" w:hint="cs"/>
          <w:i/>
          <w:sz w:val="27"/>
          <w:rtl/>
          <w:lang w:bidi="fa-IR"/>
        </w:rPr>
        <w:t>يقول</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إنّ</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القياس</w:t>
      </w:r>
      <w:r w:rsidR="00057E24" w:rsidRPr="00904FCB">
        <w:rPr>
          <w:rFonts w:ascii="Times New Roman" w:hAnsi="Times New Roman"/>
          <w:i/>
          <w:sz w:val="27"/>
          <w:rtl/>
          <w:lang w:bidi="fa-IR"/>
        </w:rPr>
        <w:t xml:space="preserve"> </w:t>
      </w:r>
      <w:r w:rsidRPr="00904FCB">
        <w:rPr>
          <w:rFonts w:ascii="Times New Roman" w:hAnsi="Times New Roman" w:hint="cs"/>
          <w:i/>
          <w:sz w:val="27"/>
          <w:rtl/>
          <w:lang w:bidi="fa-IR"/>
        </w:rPr>
        <w:t>م</w:t>
      </w:r>
      <w:r w:rsidR="00057E24" w:rsidRPr="00904FCB">
        <w:rPr>
          <w:rFonts w:ascii="Times New Roman" w:hAnsi="Times New Roman" w:hint="cs"/>
          <w:i/>
          <w:sz w:val="27"/>
          <w:rtl/>
          <w:lang w:bidi="fa-IR"/>
        </w:rPr>
        <w:t>نصوص</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العلّة</w:t>
      </w:r>
      <w:r w:rsidRPr="00904FCB">
        <w:rPr>
          <w:rFonts w:ascii="Times New Roman" w:hAnsi="Times New Roman" w:hint="cs"/>
          <w:i/>
          <w:sz w:val="27"/>
          <w:rtl/>
          <w:lang w:bidi="fa-IR"/>
        </w:rPr>
        <w:t>،</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أو</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النصّ</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الدالّ</w:t>
      </w:r>
      <w:r w:rsidR="00057E24" w:rsidRPr="00904FCB">
        <w:rPr>
          <w:rFonts w:ascii="Times New Roman" w:hAnsi="Times New Roman"/>
          <w:i/>
          <w:sz w:val="27"/>
          <w:rtl/>
          <w:lang w:bidi="fa-IR"/>
        </w:rPr>
        <w:t xml:space="preserve"> على </w:t>
      </w:r>
      <w:r w:rsidR="00057E24" w:rsidRPr="00904FCB">
        <w:rPr>
          <w:rFonts w:ascii="Times New Roman" w:hAnsi="Times New Roman" w:hint="cs"/>
          <w:i/>
          <w:sz w:val="27"/>
          <w:rtl/>
          <w:lang w:bidi="fa-IR"/>
        </w:rPr>
        <w:t>العلّة</w:t>
      </w:r>
      <w:r w:rsidRPr="00904FCB">
        <w:rPr>
          <w:rFonts w:ascii="Times New Roman" w:hAnsi="Times New Roman" w:hint="cs"/>
          <w:i/>
          <w:sz w:val="27"/>
          <w:rtl/>
          <w:lang w:bidi="fa-IR"/>
        </w:rPr>
        <w:t>؛</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إمّا</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قطعي</w:t>
      </w:r>
      <w:r w:rsidRPr="00904FCB">
        <w:rPr>
          <w:rFonts w:ascii="Times New Roman" w:hAnsi="Times New Roman" w:hint="cs"/>
          <w:i/>
          <w:sz w:val="27"/>
          <w:rtl/>
          <w:lang w:bidi="fa-IR"/>
        </w:rPr>
        <w:t>؛</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أو</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ظاهر</w:t>
      </w:r>
      <w:r w:rsidR="00057E24" w:rsidRPr="00904FCB">
        <w:rPr>
          <w:rFonts w:ascii="Times New Roman" w:hAnsi="Times New Roman"/>
          <w:i/>
          <w:sz w:val="27"/>
          <w:rtl/>
          <w:lang w:bidi="fa-IR"/>
        </w:rPr>
        <w:t xml:space="preserve"> و</w:t>
      </w:r>
      <w:r w:rsidR="00057E24" w:rsidRPr="00904FCB">
        <w:rPr>
          <w:rFonts w:ascii="Times New Roman" w:hAnsi="Times New Roman" w:hint="cs"/>
          <w:i/>
          <w:sz w:val="27"/>
          <w:rtl/>
          <w:lang w:bidi="fa-IR"/>
        </w:rPr>
        <w:t>ظنّي</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الأول</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حج</w:t>
      </w:r>
      <w:r w:rsidRPr="00904FCB">
        <w:rPr>
          <w:rFonts w:ascii="Times New Roman" w:hAnsi="Times New Roman" w:hint="cs"/>
          <w:i/>
          <w:sz w:val="27"/>
          <w:rtl/>
          <w:lang w:bidi="fa-IR"/>
        </w:rPr>
        <w:t>ّ</w:t>
      </w:r>
      <w:r w:rsidR="00057E24" w:rsidRPr="00904FCB">
        <w:rPr>
          <w:rFonts w:ascii="Times New Roman" w:hAnsi="Times New Roman" w:hint="cs"/>
          <w:i/>
          <w:sz w:val="27"/>
          <w:rtl/>
          <w:lang w:bidi="fa-IR"/>
        </w:rPr>
        <w:t>ة، وتترت</w:t>
      </w:r>
      <w:r w:rsidRPr="00904FCB">
        <w:rPr>
          <w:rFonts w:ascii="Times New Roman" w:hAnsi="Times New Roman" w:hint="cs"/>
          <w:i/>
          <w:sz w:val="27"/>
          <w:rtl/>
          <w:lang w:bidi="fa-IR"/>
        </w:rPr>
        <w:t>َّ</w:t>
      </w:r>
      <w:r w:rsidR="00057E24" w:rsidRPr="00904FCB">
        <w:rPr>
          <w:rFonts w:ascii="Times New Roman" w:hAnsi="Times New Roman" w:hint="cs"/>
          <w:i/>
          <w:sz w:val="27"/>
          <w:rtl/>
          <w:lang w:bidi="fa-IR"/>
        </w:rPr>
        <w:t>ب</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عليه</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فروع</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كثيرة</w:t>
      </w:r>
      <w:r w:rsidR="00057E24" w:rsidRPr="00904FCB">
        <w:rPr>
          <w:rFonts w:ascii="Times New Roman" w:hAnsi="Times New Roman"/>
          <w:i/>
          <w:sz w:val="27"/>
          <w:rtl/>
          <w:lang w:bidi="fa-IR"/>
        </w:rPr>
        <w:t xml:space="preserve">. </w:t>
      </w:r>
    </w:p>
    <w:p w:rsidR="00C07161" w:rsidRPr="00904FCB" w:rsidRDefault="00C07161" w:rsidP="00826CE1">
      <w:pPr>
        <w:spacing w:line="42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904FCB">
        <w:rPr>
          <w:color w:val="auto"/>
          <w:rtl/>
          <w:lang w:bidi="fa-IR"/>
        </w:rPr>
        <w:t>بعض</w:t>
      </w:r>
      <w:r w:rsidR="00AF2893" w:rsidRPr="00904FCB">
        <w:rPr>
          <w:rFonts w:hint="cs"/>
          <w:color w:val="auto"/>
          <w:rtl/>
          <w:lang w:bidi="fa-IR"/>
        </w:rPr>
        <w:t>ٌ</w:t>
      </w:r>
      <w:r w:rsidRPr="00904FCB">
        <w:rPr>
          <w:color w:val="auto"/>
          <w:rtl/>
          <w:lang w:bidi="fa-IR"/>
        </w:rPr>
        <w:t xml:space="preserve"> من أفكاره ف</w:t>
      </w:r>
      <w:r w:rsidRPr="00904FCB">
        <w:rPr>
          <w:rFonts w:hint="cs"/>
          <w:color w:val="auto"/>
          <w:rtl/>
          <w:lang w:bidi="fa-IR"/>
        </w:rPr>
        <w:t>ي</w:t>
      </w:r>
      <w:r w:rsidRPr="00904FCB">
        <w:rPr>
          <w:color w:val="auto"/>
          <w:rtl/>
          <w:lang w:bidi="fa-IR"/>
        </w:rPr>
        <w:t xml:space="preserve"> </w:t>
      </w:r>
      <w:r w:rsidRPr="00904FCB">
        <w:rPr>
          <w:rFonts w:hint="cs"/>
          <w:color w:val="auto"/>
          <w:rtl/>
          <w:lang w:bidi="fa-IR"/>
        </w:rPr>
        <w:t>القواعد</w:t>
      </w:r>
      <w:r w:rsidRPr="00904FCB">
        <w:rPr>
          <w:color w:val="auto"/>
          <w:rtl/>
          <w:lang w:bidi="fa-IR"/>
        </w:rPr>
        <w:t xml:space="preserve"> </w:t>
      </w:r>
      <w:r w:rsidRPr="00904FCB">
        <w:rPr>
          <w:rFonts w:hint="cs"/>
          <w:color w:val="auto"/>
          <w:rtl/>
          <w:lang w:bidi="fa-IR"/>
        </w:rPr>
        <w:t>الأدبية</w:t>
      </w:r>
    </w:p>
    <w:p w:rsidR="00057E24" w:rsidRPr="00904FCB" w:rsidRDefault="00057E24" w:rsidP="007A21AA">
      <w:pPr>
        <w:spacing w:line="400" w:lineRule="exact"/>
        <w:rPr>
          <w:rFonts w:ascii="Times New Roman" w:hAnsi="Times New Roman"/>
          <w:i/>
          <w:sz w:val="27"/>
          <w:rtl/>
          <w:lang w:bidi="fa-IR"/>
        </w:rPr>
      </w:pPr>
      <w:r w:rsidRPr="00904FCB">
        <w:rPr>
          <w:rFonts w:ascii="Times New Roman" w:hAnsi="Times New Roman"/>
          <w:i/>
          <w:sz w:val="27"/>
          <w:rtl/>
          <w:lang w:bidi="fa-IR"/>
        </w:rPr>
        <w:t>ذكر جملة</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من القواعد الأدب</w:t>
      </w:r>
      <w:r w:rsidRPr="00904FCB">
        <w:rPr>
          <w:rFonts w:ascii="Times New Roman" w:hAnsi="Times New Roman" w:hint="cs"/>
          <w:i/>
          <w:sz w:val="27"/>
          <w:rtl/>
          <w:lang w:bidi="fa-IR"/>
        </w:rPr>
        <w:t>ية</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التي</w:t>
      </w:r>
      <w:r w:rsidRPr="00904FCB">
        <w:rPr>
          <w:rFonts w:ascii="Times New Roman" w:hAnsi="Times New Roman"/>
          <w:i/>
          <w:sz w:val="27"/>
          <w:rtl/>
          <w:lang w:bidi="fa-IR"/>
        </w:rPr>
        <w:t xml:space="preserve"> </w:t>
      </w:r>
      <w:r w:rsidRPr="00904FCB">
        <w:rPr>
          <w:rFonts w:ascii="Times New Roman" w:hAnsi="Times New Roman" w:hint="cs"/>
          <w:i/>
          <w:sz w:val="27"/>
          <w:rtl/>
          <w:lang w:bidi="fa-IR"/>
        </w:rPr>
        <w:t>تدخل</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مجال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الأصول، ولها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علاقة</w:t>
      </w:r>
      <w:r w:rsidRPr="00904FCB">
        <w:rPr>
          <w:rFonts w:ascii="Times New Roman" w:hAnsi="Times New Roman"/>
          <w:i/>
          <w:sz w:val="27"/>
          <w:rtl/>
          <w:lang w:bidi="fa-IR"/>
        </w:rPr>
        <w:t xml:space="preserve"> </w:t>
      </w:r>
      <w:r w:rsidRPr="00904FCB">
        <w:rPr>
          <w:rFonts w:ascii="Times New Roman" w:hAnsi="Times New Roman" w:hint="cs"/>
          <w:i/>
          <w:sz w:val="27"/>
          <w:rtl/>
          <w:lang w:bidi="fa-IR"/>
        </w:rPr>
        <w:t>بعملية</w:t>
      </w:r>
      <w:r w:rsidRPr="00904FCB">
        <w:rPr>
          <w:rFonts w:ascii="Times New Roman" w:hAnsi="Times New Roman"/>
          <w:i/>
          <w:sz w:val="27"/>
          <w:rtl/>
          <w:lang w:bidi="fa-IR"/>
        </w:rPr>
        <w:t xml:space="preserve"> </w:t>
      </w:r>
      <w:r w:rsidRPr="00904FCB">
        <w:rPr>
          <w:rFonts w:ascii="Times New Roman" w:hAnsi="Times New Roman" w:hint="cs"/>
          <w:i/>
          <w:sz w:val="27"/>
          <w:rtl/>
          <w:lang w:bidi="fa-IR"/>
        </w:rPr>
        <w:t xml:space="preserve">الاستنباط، </w:t>
      </w:r>
      <w:r w:rsidR="00AF2893" w:rsidRPr="00904FCB">
        <w:rPr>
          <w:rFonts w:ascii="Times New Roman" w:hAnsi="Times New Roman" w:hint="cs"/>
          <w:i/>
          <w:sz w:val="27"/>
          <w:rtl/>
          <w:lang w:bidi="fa-IR"/>
        </w:rPr>
        <w:t>و</w:t>
      </w:r>
      <w:r w:rsidRPr="00904FCB">
        <w:rPr>
          <w:rFonts w:ascii="Times New Roman" w:hAnsi="Times New Roman" w:hint="cs"/>
          <w:i/>
          <w:sz w:val="27"/>
          <w:rtl/>
          <w:lang w:bidi="fa-IR"/>
        </w:rPr>
        <w:t>منها</w:t>
      </w:r>
      <w:r w:rsidRPr="00904FCB">
        <w:rPr>
          <w:rFonts w:ascii="Times New Roman" w:hAnsi="Times New Roman"/>
          <w:i/>
          <w:sz w:val="27"/>
          <w:rtl/>
          <w:lang w:bidi="fa-IR"/>
        </w:rPr>
        <w:t xml:space="preserve">: </w:t>
      </w:r>
    </w:p>
    <w:p w:rsidR="00057E24" w:rsidRPr="00904FCB" w:rsidRDefault="00057E24" w:rsidP="007A21AA">
      <w:pPr>
        <w:pStyle w:val="31"/>
        <w:spacing w:line="400" w:lineRule="exact"/>
        <w:rPr>
          <w:color w:val="auto"/>
          <w:rtl/>
          <w:lang w:bidi="fa-IR"/>
        </w:rPr>
      </w:pPr>
      <w:r w:rsidRPr="00B769C0">
        <w:rPr>
          <w:rFonts w:hint="cs"/>
          <w:color w:val="auto"/>
          <w:rtl/>
          <w:lang w:bidi="ar-LB"/>
        </w:rPr>
        <w:lastRenderedPageBreak/>
        <w:t>1ـ</w:t>
      </w:r>
      <w:r w:rsidRPr="00904FCB">
        <w:rPr>
          <w:rFonts w:hint="cs"/>
          <w:color w:val="auto"/>
          <w:rtl/>
          <w:lang w:bidi="ar-LB"/>
        </w:rPr>
        <w:t xml:space="preserve"> </w:t>
      </w:r>
      <w:r w:rsidRPr="00904FCB">
        <w:rPr>
          <w:color w:val="auto"/>
          <w:rtl/>
          <w:lang w:bidi="fa-IR"/>
        </w:rPr>
        <w:t xml:space="preserve">صدق الكلام على </w:t>
      </w:r>
      <w:r w:rsidRPr="00904FCB">
        <w:rPr>
          <w:rFonts w:hint="cs"/>
          <w:color w:val="auto"/>
          <w:rtl/>
          <w:lang w:bidi="fa-IR"/>
        </w:rPr>
        <w:t>الكتابة</w:t>
      </w:r>
      <w:r w:rsidRPr="00904FCB">
        <w:rPr>
          <w:color w:val="auto"/>
          <w:rtl/>
          <w:lang w:bidi="fa-IR"/>
        </w:rPr>
        <w:t xml:space="preserve"> </w:t>
      </w:r>
    </w:p>
    <w:p w:rsidR="00AF2893" w:rsidRPr="00904FCB" w:rsidRDefault="00057E24" w:rsidP="0029271A">
      <w:pPr>
        <w:ind w:firstLine="561"/>
        <w:rPr>
          <w:rFonts w:ascii="Times New Roman" w:hAnsi="Times New Roman"/>
          <w:i/>
          <w:sz w:val="27"/>
          <w:rtl/>
          <w:lang w:bidi="fa-IR"/>
        </w:rPr>
      </w:pPr>
      <w:r w:rsidRPr="00904FCB">
        <w:rPr>
          <w:rFonts w:ascii="Times New Roman" w:hAnsi="Times New Roman"/>
          <w:i/>
          <w:sz w:val="27"/>
          <w:rtl/>
          <w:lang w:bidi="fa-IR"/>
        </w:rPr>
        <w:t>وقع ب</w:t>
      </w:r>
      <w:r w:rsidRPr="00904FCB">
        <w:rPr>
          <w:rFonts w:ascii="Times New Roman" w:hAnsi="Times New Roman" w:hint="cs"/>
          <w:i/>
          <w:sz w:val="27"/>
          <w:rtl/>
          <w:lang w:bidi="fa-IR"/>
        </w:rPr>
        <w:t>ين</w:t>
      </w:r>
      <w:r w:rsidRPr="00904FCB">
        <w:rPr>
          <w:rFonts w:ascii="Times New Roman" w:hAnsi="Times New Roman"/>
          <w:i/>
          <w:sz w:val="27"/>
          <w:rtl/>
          <w:lang w:bidi="fa-IR"/>
        </w:rPr>
        <w:t xml:space="preserve"> </w:t>
      </w:r>
      <w:r w:rsidRPr="00904FCB">
        <w:rPr>
          <w:rFonts w:ascii="Times New Roman" w:hAnsi="Times New Roman" w:hint="cs"/>
          <w:i/>
          <w:sz w:val="27"/>
          <w:rtl/>
          <w:lang w:bidi="fa-IR"/>
        </w:rPr>
        <w:t>أصحاب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النظر</w:t>
      </w:r>
      <w:r w:rsidRPr="00904FCB">
        <w:rPr>
          <w:rFonts w:ascii="Times New Roman" w:hAnsi="Times New Roman"/>
          <w:i/>
          <w:sz w:val="27"/>
          <w:rtl/>
          <w:lang w:bidi="fa-IR"/>
        </w:rPr>
        <w:t xml:space="preserve"> </w:t>
      </w:r>
      <w:r w:rsidRPr="00904FCB">
        <w:rPr>
          <w:rFonts w:ascii="Times New Roman" w:hAnsi="Times New Roman" w:hint="cs"/>
          <w:i/>
          <w:sz w:val="27"/>
          <w:rtl/>
          <w:lang w:bidi="fa-IR"/>
        </w:rPr>
        <w:t>بحث</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مبني</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إطلاق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الكلام</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الكتابة</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الإشارة</w:t>
      </w:r>
      <w:r w:rsidRPr="00904FCB">
        <w:rPr>
          <w:rFonts w:ascii="Times New Roman" w:hAnsi="Times New Roman"/>
          <w:i/>
          <w:sz w:val="27"/>
          <w:rtl/>
          <w:lang w:bidi="fa-IR"/>
        </w:rPr>
        <w:t xml:space="preserve"> </w:t>
      </w:r>
      <w:r w:rsidRPr="00904FCB">
        <w:rPr>
          <w:rFonts w:ascii="Times New Roman" w:hAnsi="Times New Roman" w:hint="cs"/>
          <w:i/>
          <w:sz w:val="27"/>
          <w:rtl/>
          <w:lang w:bidi="fa-IR"/>
        </w:rPr>
        <w:t>هل</w:t>
      </w:r>
      <w:r w:rsidRPr="00904FCB">
        <w:rPr>
          <w:rFonts w:ascii="Times New Roman" w:hAnsi="Times New Roman"/>
          <w:i/>
          <w:sz w:val="27"/>
          <w:rtl/>
          <w:lang w:bidi="fa-IR"/>
        </w:rPr>
        <w:t xml:space="preserve"> </w:t>
      </w:r>
      <w:r w:rsidRPr="00904FCB">
        <w:rPr>
          <w:rFonts w:ascii="Times New Roman" w:hAnsi="Times New Roman" w:hint="cs"/>
          <w:i/>
          <w:sz w:val="27"/>
          <w:rtl/>
          <w:lang w:bidi="fa-IR"/>
        </w:rPr>
        <w:t>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مجازي</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أم</w:t>
      </w:r>
      <w:r w:rsidRPr="00904FCB">
        <w:rPr>
          <w:rFonts w:ascii="Times New Roman" w:hAnsi="Times New Roman"/>
          <w:i/>
          <w:sz w:val="27"/>
          <w:rtl/>
          <w:lang w:bidi="fa-IR"/>
        </w:rPr>
        <w:t xml:space="preserve"> </w:t>
      </w:r>
      <w:r w:rsidRPr="00904FCB">
        <w:rPr>
          <w:rFonts w:ascii="Times New Roman" w:hAnsi="Times New Roman" w:hint="cs"/>
          <w:i/>
          <w:sz w:val="27"/>
          <w:rtl/>
          <w:lang w:bidi="fa-IR"/>
        </w:rPr>
        <w:t>هو</w:t>
      </w:r>
      <w:r w:rsidR="00AF2893" w:rsidRPr="00904FCB">
        <w:rPr>
          <w:rFonts w:ascii="Times New Roman" w:hAnsi="Times New Roman" w:hint="cs"/>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باب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الاشتراك</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اللفظي</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الحقيقي</w:t>
      </w:r>
      <w:r w:rsidR="00AF2893" w:rsidRPr="00904FCB">
        <w:rPr>
          <w:rFonts w:ascii="Times New Roman" w:hAnsi="Times New Roman" w:hint="cs"/>
          <w:i/>
          <w:sz w:val="27"/>
          <w:rtl/>
          <w:lang w:bidi="fa-IR"/>
        </w:rPr>
        <w:t>؟</w:t>
      </w:r>
    </w:p>
    <w:p w:rsidR="00057E24" w:rsidRPr="00904FCB" w:rsidRDefault="00057E24" w:rsidP="00826CE1">
      <w:pPr>
        <w:spacing w:line="380" w:lineRule="exact"/>
        <w:rPr>
          <w:rFonts w:ascii="Times New Roman" w:hAnsi="Times New Roman"/>
          <w:i/>
          <w:sz w:val="27"/>
          <w:rtl/>
          <w:lang w:bidi="fa-IR"/>
        </w:rPr>
      </w:pPr>
      <w:r w:rsidRPr="00904FCB">
        <w:rPr>
          <w:rFonts w:ascii="Times New Roman" w:hAnsi="Times New Roman" w:hint="cs"/>
          <w:i/>
          <w:sz w:val="27"/>
          <w:rtl/>
          <w:lang w:bidi="fa-IR"/>
        </w:rPr>
        <w:t>طرح</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w:t>
      </w:r>
      <w:r w:rsidR="00AF2893" w:rsidRPr="00904FCB">
        <w:rPr>
          <w:rFonts w:ascii="Times New Roman" w:hAnsi="Times New Roman" w:hint="cs"/>
          <w:i/>
          <w:sz w:val="27"/>
          <w:rtl/>
          <w:lang w:bidi="fa-IR"/>
        </w:rPr>
        <w:t xml:space="preserve"> الثاني</w:t>
      </w:r>
      <w:r w:rsidRPr="00904FCB">
        <w:rPr>
          <w:rFonts w:ascii="Times New Roman" w:hAnsi="Times New Roman"/>
          <w:i/>
          <w:sz w:val="27"/>
          <w:rtl/>
          <w:lang w:bidi="fa-IR"/>
        </w:rPr>
        <w:t xml:space="preserve"> هذا المبحث الأدب</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103</w:t>
      </w:r>
      <w:r w:rsidRPr="00904FCB">
        <w:rPr>
          <w:rFonts w:ascii="Times New Roman" w:hAnsi="Times New Roman"/>
          <w:i/>
          <w:sz w:val="27"/>
          <w:rtl/>
          <w:lang w:bidi="fa-IR"/>
        </w:rPr>
        <w:t>)</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رتّب</w:t>
      </w:r>
      <w:r w:rsidRPr="00904FCB">
        <w:rPr>
          <w:rFonts w:ascii="Times New Roman" w:hAnsi="Times New Roman"/>
          <w:i/>
          <w:sz w:val="27"/>
          <w:rtl/>
          <w:lang w:bidi="fa-IR"/>
        </w:rPr>
        <w:t xml:space="preserve"> </w:t>
      </w:r>
      <w:r w:rsidRPr="00904FCB">
        <w:rPr>
          <w:rFonts w:ascii="Times New Roman" w:hAnsi="Times New Roman" w:hint="cs"/>
          <w:i/>
          <w:sz w:val="27"/>
          <w:rtl/>
          <w:lang w:bidi="fa-IR"/>
        </w:rPr>
        <w:t>عليه</w:t>
      </w:r>
      <w:r w:rsidRPr="00904FCB">
        <w:rPr>
          <w:rFonts w:ascii="Times New Roman" w:hAnsi="Times New Roman"/>
          <w:i/>
          <w:sz w:val="27"/>
          <w:rtl/>
          <w:lang w:bidi="fa-IR"/>
        </w:rPr>
        <w:t xml:space="preserve"> </w:t>
      </w:r>
      <w:r w:rsidRPr="00904FCB">
        <w:rPr>
          <w:rFonts w:ascii="Times New Roman" w:hAnsi="Times New Roman" w:hint="cs"/>
          <w:i/>
          <w:sz w:val="27"/>
          <w:rtl/>
          <w:lang w:bidi="fa-IR"/>
        </w:rPr>
        <w:t>ثمرات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فق</w:t>
      </w:r>
      <w:r w:rsidRPr="00904FCB">
        <w:rPr>
          <w:rFonts w:ascii="Times New Roman" w:hAnsi="Times New Roman"/>
          <w:i/>
          <w:sz w:val="27"/>
          <w:rtl/>
          <w:lang w:bidi="fa-IR"/>
        </w:rPr>
        <w:t>هية</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يمكن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الإشارة</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هذا</w:t>
      </w:r>
      <w:r w:rsidR="00AF2893" w:rsidRPr="00904FCB">
        <w:rPr>
          <w:rFonts w:ascii="Times New Roman" w:hAnsi="Times New Roman" w:hint="cs"/>
          <w:i/>
          <w:sz w:val="27"/>
          <w:rtl/>
          <w:lang w:bidi="fa-IR"/>
        </w:rPr>
        <w:t xml:space="preserve"> ا</w:t>
      </w:r>
      <w:r w:rsidRPr="00904FCB">
        <w:rPr>
          <w:rFonts w:ascii="Times New Roman" w:hAnsi="Times New Roman" w:hint="cs"/>
          <w:i/>
          <w:sz w:val="27"/>
          <w:rtl/>
          <w:lang w:bidi="fa-IR"/>
        </w:rPr>
        <w:t>لمجال</w:t>
      </w:r>
      <w:r w:rsidRPr="00904FCB">
        <w:rPr>
          <w:rFonts w:ascii="Times New Roman" w:hAnsi="Times New Roman"/>
          <w:i/>
          <w:sz w:val="27"/>
          <w:rtl/>
          <w:lang w:bidi="fa-IR"/>
        </w:rPr>
        <w:t xml:space="preserve"> </w:t>
      </w:r>
      <w:r w:rsidR="00AF2893" w:rsidRPr="00904FCB">
        <w:rPr>
          <w:rFonts w:ascii="Times New Roman" w:hAnsi="Times New Roman" w:hint="cs"/>
          <w:i/>
          <w:sz w:val="27"/>
          <w:rtl/>
          <w:lang w:bidi="fa-IR"/>
        </w:rPr>
        <w:t>إ</w:t>
      </w:r>
      <w:r w:rsidRPr="00904FCB">
        <w:rPr>
          <w:rFonts w:ascii="Times New Roman" w:hAnsi="Times New Roman"/>
          <w:i/>
          <w:sz w:val="27"/>
          <w:rtl/>
          <w:lang w:bidi="fa-IR"/>
        </w:rPr>
        <w:t xml:space="preserve">لى </w:t>
      </w:r>
      <w:r w:rsidRPr="00904FCB">
        <w:rPr>
          <w:rFonts w:ascii="Times New Roman" w:hAnsi="Times New Roman" w:hint="cs"/>
          <w:i/>
          <w:sz w:val="27"/>
          <w:rtl/>
          <w:lang w:bidi="fa-IR"/>
        </w:rPr>
        <w:t>المثال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الت</w:t>
      </w:r>
      <w:r w:rsidRPr="00904FCB">
        <w:rPr>
          <w:rFonts w:ascii="Times New Roman" w:hAnsi="Times New Roman"/>
          <w:i/>
          <w:sz w:val="27"/>
          <w:rtl/>
          <w:lang w:bidi="fa-IR"/>
        </w:rPr>
        <w:t>ال</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لو</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رجلاً</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w:t>
      </w:r>
      <w:r w:rsidRPr="00904FCB">
        <w:rPr>
          <w:rFonts w:ascii="Times New Roman" w:hAnsi="Times New Roman"/>
          <w:i/>
          <w:sz w:val="27"/>
          <w:rtl/>
          <w:lang w:bidi="fa-IR"/>
        </w:rPr>
        <w:t xml:space="preserve"> </w:t>
      </w:r>
      <w:r w:rsidRPr="00904FCB">
        <w:rPr>
          <w:rFonts w:ascii="Times New Roman" w:hAnsi="Times New Roman" w:hint="cs"/>
          <w:i/>
          <w:sz w:val="27"/>
          <w:rtl/>
          <w:lang w:bidi="fa-IR"/>
        </w:rPr>
        <w:t>زوجتان</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قال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إحد</w:t>
      </w:r>
      <w:r w:rsidR="00AF2893" w:rsidRPr="00904FCB">
        <w:rPr>
          <w:rFonts w:ascii="Times New Roman" w:hAnsi="Times New Roman" w:hint="cs"/>
          <w:i/>
          <w:sz w:val="27"/>
          <w:rtl/>
          <w:lang w:bidi="fa-IR"/>
        </w:rPr>
        <w:t>ا</w:t>
      </w:r>
      <w:r w:rsidRPr="00904FCB">
        <w:rPr>
          <w:rFonts w:ascii="Times New Roman" w:hAnsi="Times New Roman" w:hint="cs"/>
          <w:i/>
          <w:sz w:val="27"/>
          <w:rtl/>
          <w:lang w:bidi="fa-IR"/>
        </w:rPr>
        <w:t>هما</w:t>
      </w:r>
      <w:r w:rsidRPr="00904FCB">
        <w:rPr>
          <w:rFonts w:ascii="Times New Roman" w:hAnsi="Times New Roman"/>
          <w:i/>
          <w:sz w:val="27"/>
          <w:rtl/>
          <w:lang w:bidi="fa-IR"/>
        </w:rPr>
        <w:t xml:space="preserve"> </w:t>
      </w:r>
      <w:r w:rsidRPr="00904FCB">
        <w:rPr>
          <w:rFonts w:ascii="Times New Roman" w:hAnsi="Times New Roman" w:hint="cs"/>
          <w:i/>
          <w:sz w:val="27"/>
          <w:rtl/>
          <w:lang w:bidi="fa-IR"/>
        </w:rPr>
        <w:t>طالق</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00AF2893" w:rsidRPr="00904FCB">
        <w:rPr>
          <w:rFonts w:ascii="Times New Roman" w:hAnsi="Times New Roman" w:hint="cs"/>
          <w:i/>
          <w:sz w:val="27"/>
          <w:rtl/>
          <w:lang w:bidi="fa-IR"/>
        </w:rPr>
        <w:t>أ</w:t>
      </w:r>
      <w:r w:rsidRPr="00904FCB">
        <w:rPr>
          <w:rFonts w:ascii="Times New Roman" w:hAnsi="Times New Roman" w:hint="cs"/>
          <w:i/>
          <w:sz w:val="27"/>
          <w:rtl/>
          <w:lang w:bidi="fa-IR"/>
        </w:rPr>
        <w:t>شار</w:t>
      </w:r>
      <w:r w:rsidRPr="00904FCB">
        <w:rPr>
          <w:rFonts w:ascii="Times New Roman" w:hAnsi="Times New Roman"/>
          <w:i/>
          <w:sz w:val="27"/>
          <w:rtl/>
          <w:lang w:bidi="fa-IR"/>
        </w:rPr>
        <w:t xml:space="preserve"> </w:t>
      </w:r>
      <w:r w:rsidRPr="00904FCB">
        <w:rPr>
          <w:rFonts w:ascii="Times New Roman" w:hAnsi="Times New Roman" w:hint="cs"/>
          <w:i/>
          <w:sz w:val="27"/>
          <w:rtl/>
          <w:lang w:bidi="fa-IR"/>
        </w:rPr>
        <w:t>إليها</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فإذا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كان</w:t>
      </w:r>
      <w:r w:rsidRPr="00904FCB">
        <w:rPr>
          <w:rFonts w:ascii="Times New Roman" w:hAnsi="Times New Roman"/>
          <w:i/>
          <w:sz w:val="27"/>
          <w:rtl/>
          <w:lang w:bidi="fa-IR"/>
        </w:rPr>
        <w:t xml:space="preserve"> </w:t>
      </w:r>
      <w:r w:rsidRPr="00904FCB">
        <w:rPr>
          <w:rFonts w:ascii="Times New Roman" w:hAnsi="Times New Roman" w:hint="cs"/>
          <w:i/>
          <w:sz w:val="27"/>
          <w:rtl/>
          <w:lang w:bidi="fa-IR"/>
        </w:rPr>
        <w:t>صدق</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الك</w:t>
      </w:r>
      <w:r w:rsidR="00AF2893" w:rsidRPr="00904FCB">
        <w:rPr>
          <w:rFonts w:ascii="Times New Roman" w:hAnsi="Times New Roman" w:hint="cs"/>
          <w:i/>
          <w:sz w:val="27"/>
          <w:rtl/>
          <w:lang w:bidi="fa-IR"/>
        </w:rPr>
        <w:t>ل</w:t>
      </w:r>
      <w:r w:rsidRPr="00904FCB">
        <w:rPr>
          <w:rFonts w:ascii="Times New Roman" w:hAnsi="Times New Roman" w:hint="cs"/>
          <w:i/>
          <w:sz w:val="27"/>
          <w:rtl/>
          <w:lang w:bidi="fa-IR"/>
        </w:rPr>
        <w:t>ام</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الإشارة</w:t>
      </w:r>
      <w:r w:rsidRPr="00904FCB">
        <w:rPr>
          <w:rFonts w:ascii="Times New Roman" w:hAnsi="Times New Roman"/>
          <w:i/>
          <w:sz w:val="27"/>
          <w:rtl/>
          <w:lang w:bidi="fa-IR"/>
        </w:rPr>
        <w:t xml:space="preserve"> </w:t>
      </w:r>
      <w:r w:rsidRPr="00904FCB">
        <w:rPr>
          <w:rFonts w:ascii="Times New Roman" w:hAnsi="Times New Roman" w:hint="cs"/>
          <w:i/>
          <w:sz w:val="27"/>
          <w:rtl/>
          <w:lang w:bidi="fa-IR"/>
        </w:rPr>
        <w:t>مجازي</w:t>
      </w:r>
      <w:r w:rsidR="00AF2893" w:rsidRPr="00904FCB">
        <w:rPr>
          <w:rFonts w:ascii="Times New Roman" w:hAnsi="Times New Roman" w:hint="cs"/>
          <w:i/>
          <w:sz w:val="27"/>
          <w:rtl/>
          <w:lang w:bidi="fa-IR"/>
        </w:rPr>
        <w:t>ّاً</w:t>
      </w:r>
      <w:r w:rsidRPr="00904FCB">
        <w:rPr>
          <w:rFonts w:ascii="Times New Roman" w:hAnsi="Times New Roman" w:hint="cs"/>
          <w:i/>
          <w:sz w:val="27"/>
          <w:rtl/>
          <w:lang w:bidi="fa-IR"/>
        </w:rPr>
        <w:t xml:space="preserve"> فالطلاق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لا</w:t>
      </w:r>
      <w:r w:rsidR="00CA2A47">
        <w:rPr>
          <w:rFonts w:ascii="Times New Roman" w:hAnsi="Times New Roman" w:hint="cs"/>
          <w:i/>
          <w:sz w:val="27"/>
          <w:rtl/>
          <w:lang w:bidi="fa-IR"/>
        </w:rPr>
        <w:t xml:space="preserve"> </w:t>
      </w:r>
      <w:r w:rsidRPr="00904FCB">
        <w:rPr>
          <w:rFonts w:ascii="Times New Roman" w:hAnsi="Times New Roman" w:hint="cs"/>
          <w:i/>
          <w:sz w:val="27"/>
          <w:rtl/>
          <w:lang w:bidi="fa-IR"/>
        </w:rPr>
        <w:t>يقع</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إذا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كان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الإطلاق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باب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الاشتراك</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اللفظي</w:t>
      </w:r>
      <w:r w:rsidRPr="00904FCB">
        <w:rPr>
          <w:rFonts w:ascii="Times New Roman" w:hAnsi="Times New Roman"/>
          <w:i/>
          <w:sz w:val="27"/>
          <w:rtl/>
          <w:lang w:bidi="fa-IR"/>
        </w:rPr>
        <w:t xml:space="preserve"> </w:t>
      </w:r>
      <w:r w:rsidRPr="00904FCB">
        <w:rPr>
          <w:rFonts w:ascii="Times New Roman" w:hAnsi="Times New Roman" w:hint="cs"/>
          <w:i/>
          <w:sz w:val="27"/>
          <w:rtl/>
          <w:lang w:bidi="fa-IR"/>
        </w:rPr>
        <w:t>فالطلاق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واقع</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w:t>
      </w:r>
    </w:p>
    <w:p w:rsidR="00057E24" w:rsidRPr="00904FCB" w:rsidRDefault="00057E24" w:rsidP="007A21AA">
      <w:pPr>
        <w:spacing w:line="40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2ـ</w:t>
      </w:r>
      <w:r w:rsidRPr="00904FCB">
        <w:rPr>
          <w:rFonts w:hint="cs"/>
          <w:color w:val="auto"/>
          <w:rtl/>
          <w:lang w:bidi="ar-LB"/>
        </w:rPr>
        <w:t xml:space="preserve"> </w:t>
      </w:r>
      <w:r w:rsidRPr="00904FCB">
        <w:rPr>
          <w:color w:val="auto"/>
          <w:rtl/>
          <w:lang w:bidi="fa-IR"/>
        </w:rPr>
        <w:t>مفهوم اسم</w:t>
      </w:r>
      <w:r w:rsidR="00AF2893" w:rsidRPr="00904FCB">
        <w:rPr>
          <w:rFonts w:hint="cs"/>
          <w:color w:val="auto"/>
          <w:rtl/>
          <w:lang w:bidi="fa-IR"/>
        </w:rPr>
        <w:t>َ</w:t>
      </w:r>
      <w:r w:rsidRPr="00904FCB">
        <w:rPr>
          <w:rFonts w:hint="cs"/>
          <w:color w:val="auto"/>
          <w:rtl/>
          <w:lang w:bidi="fa-IR"/>
        </w:rPr>
        <w:t>ي</w:t>
      </w:r>
      <w:r w:rsidR="00AF2893" w:rsidRPr="00904FCB">
        <w:rPr>
          <w:rFonts w:hint="cs"/>
          <w:color w:val="auto"/>
          <w:rtl/>
          <w:lang w:bidi="fa-IR"/>
        </w:rPr>
        <w:t>ْ</w:t>
      </w:r>
      <w:r w:rsidRPr="00904FCB">
        <w:rPr>
          <w:color w:val="auto"/>
          <w:rtl/>
          <w:lang w:bidi="fa-IR"/>
        </w:rPr>
        <w:t xml:space="preserve"> </w:t>
      </w:r>
      <w:r w:rsidRPr="00904FCB">
        <w:rPr>
          <w:rFonts w:hint="cs"/>
          <w:color w:val="auto"/>
          <w:rtl/>
          <w:lang w:bidi="fa-IR"/>
        </w:rPr>
        <w:t>الفاعل</w:t>
      </w:r>
      <w:r w:rsidRPr="00904FCB">
        <w:rPr>
          <w:color w:val="auto"/>
          <w:rtl/>
          <w:lang w:bidi="fa-IR"/>
        </w:rPr>
        <w:t xml:space="preserve"> و</w:t>
      </w:r>
      <w:r w:rsidRPr="00904FCB">
        <w:rPr>
          <w:rFonts w:hint="cs"/>
          <w:color w:val="auto"/>
          <w:rtl/>
          <w:lang w:bidi="fa-IR"/>
        </w:rPr>
        <w:t>المفعول</w:t>
      </w:r>
      <w:r w:rsidRPr="00904FCB">
        <w:rPr>
          <w:color w:val="auto"/>
          <w:rtl/>
          <w:lang w:bidi="fa-IR"/>
        </w:rPr>
        <w:t xml:space="preserve"> </w:t>
      </w:r>
    </w:p>
    <w:p w:rsidR="00057E24" w:rsidRPr="00904FCB" w:rsidRDefault="00057E24" w:rsidP="00CA2A47">
      <w:pPr>
        <w:spacing w:line="380" w:lineRule="exact"/>
        <w:rPr>
          <w:rFonts w:ascii="Times New Roman" w:hAnsi="Times New Roman"/>
          <w:i/>
          <w:sz w:val="27"/>
          <w:rtl/>
          <w:lang w:bidi="fa-IR"/>
        </w:rPr>
      </w:pPr>
      <w:r w:rsidRPr="00904FCB">
        <w:rPr>
          <w:rFonts w:ascii="Times New Roman" w:hAnsi="Times New Roman" w:hint="cs"/>
          <w:i/>
          <w:sz w:val="27"/>
          <w:rtl/>
          <w:lang w:bidi="fa-IR"/>
        </w:rPr>
        <w:t>ير</w:t>
      </w:r>
      <w:r w:rsidR="00AF2893"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علماء</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الصرف</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الن</w:t>
      </w:r>
      <w:r w:rsidR="00AF2893" w:rsidRPr="00904FCB">
        <w:rPr>
          <w:rFonts w:ascii="Times New Roman" w:hAnsi="Times New Roman" w:hint="cs"/>
          <w:i/>
          <w:sz w:val="27"/>
          <w:rtl/>
          <w:lang w:bidi="fa-IR"/>
        </w:rPr>
        <w:t>َّ</w:t>
      </w:r>
      <w:r w:rsidRPr="00904FCB">
        <w:rPr>
          <w:rFonts w:ascii="Times New Roman" w:hAnsi="Times New Roman" w:hint="cs"/>
          <w:i/>
          <w:sz w:val="27"/>
          <w:rtl/>
          <w:lang w:bidi="fa-IR"/>
        </w:rPr>
        <w:t>ح</w:t>
      </w:r>
      <w:r w:rsidR="00AF2893" w:rsidRPr="00904FCB">
        <w:rPr>
          <w:rFonts w:ascii="Times New Roman" w:hAnsi="Times New Roman" w:hint="cs"/>
          <w:i/>
          <w:sz w:val="27"/>
          <w:rtl/>
          <w:lang w:bidi="fa-IR"/>
        </w:rPr>
        <w:t>ْ</w:t>
      </w:r>
      <w:r w:rsidRPr="00904FCB">
        <w:rPr>
          <w:rFonts w:ascii="Times New Roman" w:hAnsi="Times New Roman" w:hint="cs"/>
          <w:i/>
          <w:sz w:val="27"/>
          <w:rtl/>
          <w:lang w:bidi="fa-IR"/>
        </w:rPr>
        <w:t>و</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اسم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الفاعل</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المفعول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يطلق</w:t>
      </w:r>
      <w:r w:rsidRPr="00904FCB">
        <w:rPr>
          <w:rFonts w:ascii="Times New Roman" w:hAnsi="Times New Roman"/>
          <w:i/>
          <w:sz w:val="27"/>
          <w:rtl/>
          <w:lang w:bidi="fa-IR"/>
        </w:rPr>
        <w:t xml:space="preserve"> حق</w:t>
      </w:r>
      <w:r w:rsidRPr="00904FCB">
        <w:rPr>
          <w:rFonts w:ascii="Times New Roman" w:hAnsi="Times New Roman" w:hint="cs"/>
          <w:i/>
          <w:sz w:val="27"/>
          <w:rtl/>
          <w:lang w:bidi="fa-IR"/>
        </w:rPr>
        <w:t>يقةً</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معاني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الماضي</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الحال</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المستقبل</w:t>
      </w:r>
      <w:r w:rsidRPr="00904FCB">
        <w:rPr>
          <w:rFonts w:ascii="Times New Roman" w:hAnsi="Times New Roman"/>
          <w:i/>
          <w:sz w:val="27"/>
          <w:rtl/>
          <w:lang w:bidi="fa-IR"/>
        </w:rPr>
        <w:t xml:space="preserve">. </w:t>
      </w:r>
      <w:r w:rsidRPr="00904FCB">
        <w:rPr>
          <w:rFonts w:ascii="Times New Roman" w:hAnsi="Times New Roman" w:hint="cs"/>
          <w:i/>
          <w:sz w:val="27"/>
          <w:rtl/>
          <w:lang w:bidi="fa-IR"/>
        </w:rPr>
        <w:t>أمّا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الأصوليون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فقد</w:t>
      </w:r>
      <w:r w:rsidRPr="00904FCB">
        <w:rPr>
          <w:rFonts w:ascii="Times New Roman" w:hAnsi="Times New Roman"/>
          <w:i/>
          <w:sz w:val="27"/>
          <w:rtl/>
          <w:lang w:bidi="fa-IR"/>
        </w:rPr>
        <w:t xml:space="preserve"> </w:t>
      </w:r>
      <w:r w:rsidRPr="00904FCB">
        <w:rPr>
          <w:rFonts w:ascii="Times New Roman" w:hAnsi="Times New Roman" w:hint="cs"/>
          <w:i/>
          <w:sz w:val="27"/>
          <w:rtl/>
          <w:lang w:bidi="fa-IR"/>
        </w:rPr>
        <w:t>ات</w:t>
      </w:r>
      <w:r w:rsidR="00AF2893" w:rsidRPr="00904FCB">
        <w:rPr>
          <w:rFonts w:ascii="Times New Roman" w:hAnsi="Times New Roman" w:hint="cs"/>
          <w:i/>
          <w:sz w:val="27"/>
          <w:rtl/>
          <w:lang w:bidi="fa-IR"/>
        </w:rPr>
        <w:t>َّ</w:t>
      </w:r>
      <w:r w:rsidRPr="00904FCB">
        <w:rPr>
          <w:rFonts w:ascii="Times New Roman" w:hAnsi="Times New Roman" w:hint="cs"/>
          <w:i/>
          <w:sz w:val="27"/>
          <w:rtl/>
          <w:lang w:bidi="fa-IR"/>
        </w:rPr>
        <w:t>فقوا</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أنّهما</w:t>
      </w:r>
      <w:r w:rsidRPr="00904FCB">
        <w:rPr>
          <w:rFonts w:ascii="Times New Roman" w:hAnsi="Times New Roman"/>
          <w:i/>
          <w:sz w:val="27"/>
          <w:rtl/>
          <w:lang w:bidi="fa-IR"/>
        </w:rPr>
        <w:t xml:space="preserve"> </w:t>
      </w:r>
      <w:r w:rsidRPr="00904FCB">
        <w:rPr>
          <w:rFonts w:ascii="Times New Roman" w:hAnsi="Times New Roman" w:hint="cs"/>
          <w:i/>
          <w:sz w:val="27"/>
          <w:rtl/>
          <w:lang w:bidi="fa-IR"/>
        </w:rPr>
        <w:t>يطلقان</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مع</w:t>
      </w:r>
      <w:r w:rsidR="00AF2893" w:rsidRPr="00904FCB">
        <w:rPr>
          <w:rFonts w:ascii="Times New Roman" w:hAnsi="Times New Roman" w:hint="cs"/>
          <w:i/>
          <w:sz w:val="27"/>
          <w:rtl/>
          <w:lang w:bidi="fa-IR"/>
        </w:rPr>
        <w:t>ن</w:t>
      </w:r>
      <w:r w:rsidRPr="00904FCB">
        <w:rPr>
          <w:rFonts w:ascii="Times New Roman" w:hAnsi="Times New Roman" w:hint="cs"/>
          <w:i/>
          <w:sz w:val="27"/>
          <w:rtl/>
          <w:lang w:bidi="fa-IR"/>
        </w:rPr>
        <w:t>يي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الحال</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المستقبل، واختلفوا</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الماضي</w:t>
      </w:r>
      <w:r w:rsidR="00AF2893" w:rsidRPr="00904FCB">
        <w:rPr>
          <w:rFonts w:ascii="Times New Roman" w:hAnsi="Times New Roman" w:hint="cs"/>
          <w:i/>
          <w:sz w:val="27"/>
          <w:rtl/>
          <w:lang w:bidi="fa-IR"/>
        </w:rPr>
        <w:t>؛</w:t>
      </w:r>
      <w:r w:rsidRPr="00904FCB">
        <w:rPr>
          <w:rFonts w:ascii="Times New Roman" w:hAnsi="Times New Roman" w:hint="cs"/>
          <w:i/>
          <w:sz w:val="27"/>
          <w:rtl/>
          <w:lang w:bidi="fa-IR"/>
        </w:rPr>
        <w:t xml:space="preserve"> فقال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الأشاعرة</w:t>
      </w:r>
      <w:r w:rsidRPr="00904FCB">
        <w:rPr>
          <w:rFonts w:ascii="Times New Roman" w:hAnsi="Times New Roman"/>
          <w:i/>
          <w:sz w:val="27"/>
          <w:rtl/>
          <w:lang w:bidi="fa-IR"/>
        </w:rPr>
        <w:t xml:space="preserve"> </w:t>
      </w:r>
      <w:r w:rsidRPr="00904FCB">
        <w:rPr>
          <w:rFonts w:ascii="Times New Roman" w:hAnsi="Times New Roman" w:hint="cs"/>
          <w:i/>
          <w:sz w:val="27"/>
          <w:rtl/>
          <w:lang w:bidi="fa-IR"/>
        </w:rPr>
        <w:t>بأنّ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الإطلاق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مجازي</w:t>
      </w:r>
      <w:r w:rsidR="00AF2893" w:rsidRPr="00904FCB">
        <w:rPr>
          <w:rFonts w:ascii="Times New Roman" w:hAnsi="Times New Roman" w:hint="cs"/>
          <w:i/>
          <w:sz w:val="27"/>
          <w:rtl/>
          <w:lang w:bidi="fa-IR"/>
        </w:rPr>
        <w:t>ّ؛</w:t>
      </w:r>
      <w:r w:rsidRPr="00904FCB">
        <w:rPr>
          <w:rFonts w:ascii="Times New Roman" w:hAnsi="Times New Roman" w:hint="cs"/>
          <w:i/>
          <w:sz w:val="27"/>
          <w:rtl/>
          <w:lang w:bidi="fa-IR"/>
        </w:rPr>
        <w:t xml:space="preserve"> بينما</w:t>
      </w:r>
      <w:r w:rsidRPr="00904FCB">
        <w:rPr>
          <w:rFonts w:ascii="Times New Roman" w:hAnsi="Times New Roman"/>
          <w:i/>
          <w:sz w:val="27"/>
          <w:rtl/>
          <w:lang w:bidi="fa-IR"/>
        </w:rPr>
        <w:t xml:space="preserve"> </w:t>
      </w:r>
      <w:r w:rsidR="00AF2893" w:rsidRPr="00904FCB">
        <w:rPr>
          <w:rFonts w:ascii="Times New Roman" w:hAnsi="Times New Roman" w:hint="cs"/>
          <w:i/>
          <w:sz w:val="27"/>
          <w:rtl/>
          <w:lang w:bidi="fa-IR"/>
        </w:rPr>
        <w:t xml:space="preserve">ذهب </w:t>
      </w:r>
      <w:r w:rsidRPr="00904FCB">
        <w:rPr>
          <w:rFonts w:ascii="Times New Roman" w:hAnsi="Times New Roman" w:hint="cs"/>
          <w:i/>
          <w:sz w:val="27"/>
          <w:rtl/>
          <w:lang w:bidi="fa-IR"/>
        </w:rPr>
        <w:t>الإمامية</w:t>
      </w:r>
      <w:r w:rsidRPr="00904FCB">
        <w:rPr>
          <w:rFonts w:ascii="Times New Roman" w:hAnsi="Times New Roman"/>
          <w:i/>
          <w:sz w:val="27"/>
          <w:rtl/>
          <w:lang w:bidi="fa-IR"/>
        </w:rPr>
        <w:t xml:space="preserve"> </w:t>
      </w:r>
      <w:r w:rsidRPr="00904FCB">
        <w:rPr>
          <w:rFonts w:ascii="Times New Roman" w:hAnsi="Times New Roman" w:hint="cs"/>
          <w:i/>
          <w:sz w:val="27"/>
          <w:rtl/>
          <w:lang w:bidi="fa-IR"/>
        </w:rPr>
        <w:t>والمعتزلة</w:t>
      </w:r>
      <w:r w:rsidRPr="00904FCB">
        <w:rPr>
          <w:rFonts w:ascii="Times New Roman" w:hAnsi="Times New Roman"/>
          <w:i/>
          <w:sz w:val="27"/>
          <w:rtl/>
          <w:lang w:bidi="fa-IR"/>
        </w:rPr>
        <w:t xml:space="preserve"> </w:t>
      </w:r>
      <w:r w:rsidR="00AF2893" w:rsidRPr="00904FCB">
        <w:rPr>
          <w:rFonts w:ascii="Times New Roman" w:hAnsi="Times New Roman" w:hint="cs"/>
          <w:i/>
          <w:sz w:val="27"/>
          <w:rtl/>
          <w:lang w:bidi="fa-IR"/>
        </w:rPr>
        <w:t>إ</w:t>
      </w:r>
      <w:r w:rsidRPr="00904FCB">
        <w:rPr>
          <w:rFonts w:ascii="Times New Roman" w:hAnsi="Times New Roman"/>
          <w:i/>
          <w:sz w:val="27"/>
          <w:rtl/>
          <w:lang w:bidi="fa-IR"/>
        </w:rPr>
        <w:t xml:space="preserve">لى </w:t>
      </w:r>
      <w:r w:rsidRPr="00904FCB">
        <w:rPr>
          <w:rFonts w:ascii="Times New Roman" w:hAnsi="Times New Roman" w:hint="cs"/>
          <w:i/>
          <w:sz w:val="27"/>
          <w:rtl/>
          <w:lang w:bidi="fa-IR"/>
        </w:rPr>
        <w:t>أنّه</w:t>
      </w:r>
      <w:r w:rsidRPr="00904FCB">
        <w:rPr>
          <w:rFonts w:ascii="Times New Roman" w:hAnsi="Times New Roman"/>
          <w:i/>
          <w:sz w:val="27"/>
          <w:rtl/>
          <w:lang w:bidi="fa-IR"/>
        </w:rPr>
        <w:t xml:space="preserve"> </w:t>
      </w:r>
      <w:r w:rsidRPr="00904FCB">
        <w:rPr>
          <w:rFonts w:ascii="Times New Roman" w:hAnsi="Times New Roman" w:hint="cs"/>
          <w:i/>
          <w:sz w:val="27"/>
          <w:rtl/>
          <w:lang w:bidi="fa-IR"/>
        </w:rPr>
        <w:t>حقيقي</w:t>
      </w:r>
      <w:r w:rsidRPr="00904FCB">
        <w:rPr>
          <w:rFonts w:ascii="Times New Roman" w:hAnsi="Times New Roman"/>
          <w:i/>
          <w:sz w:val="27"/>
          <w:rtl/>
          <w:lang w:bidi="fa-IR"/>
        </w:rPr>
        <w:t xml:space="preserve">. </w:t>
      </w:r>
    </w:p>
    <w:p w:rsidR="00057E24" w:rsidRPr="00904FCB" w:rsidRDefault="00057E24" w:rsidP="00826CE1">
      <w:pPr>
        <w:spacing w:line="380" w:lineRule="exact"/>
        <w:rPr>
          <w:rFonts w:ascii="Times New Roman" w:hAnsi="Times New Roman"/>
          <w:i/>
          <w:sz w:val="27"/>
          <w:rtl/>
          <w:lang w:bidi="fa-IR"/>
        </w:rPr>
      </w:pPr>
      <w:r w:rsidRPr="00904FCB">
        <w:rPr>
          <w:rFonts w:ascii="Times New Roman" w:hAnsi="Times New Roman" w:hint="cs"/>
          <w:i/>
          <w:sz w:val="27"/>
          <w:rtl/>
          <w:lang w:bidi="fa-IR"/>
        </w:rPr>
        <w:t>يذكر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هذا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البحث</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الأدبي</w:t>
      </w:r>
      <w:r w:rsidRPr="00904FCB">
        <w:rPr>
          <w:rFonts w:ascii="Times New Roman" w:hAnsi="Times New Roman"/>
          <w:i/>
          <w:sz w:val="27"/>
          <w:rtl/>
          <w:lang w:bidi="fa-IR"/>
        </w:rPr>
        <w:t xml:space="preserve"> </w:t>
      </w:r>
      <w:r w:rsidRPr="00904FCB">
        <w:rPr>
          <w:rFonts w:ascii="Times New Roman" w:hAnsi="Times New Roman" w:hint="cs"/>
          <w:i/>
          <w:sz w:val="27"/>
          <w:rtl/>
          <w:lang w:bidi="fa-IR"/>
        </w:rPr>
        <w:t>ضمن</w:t>
      </w:r>
      <w:r w:rsidRPr="00904FCB">
        <w:rPr>
          <w:rFonts w:ascii="Times New Roman" w:hAnsi="Times New Roman"/>
          <w:i/>
          <w:sz w:val="27"/>
          <w:rtl/>
          <w:lang w:bidi="fa-IR"/>
        </w:rPr>
        <w:t xml:space="preserve"> القاعدة (</w:t>
      </w:r>
      <w:r w:rsidR="00AF2893" w:rsidRPr="00B769C0">
        <w:rPr>
          <w:rFonts w:ascii="Times New Roman" w:hAnsi="Times New Roman" w:hint="cs"/>
          <w:i/>
          <w:sz w:val="27"/>
          <w:rtl/>
          <w:lang w:bidi="ar-LB"/>
        </w:rPr>
        <w:t>115</w:t>
      </w:r>
      <w:r w:rsidRPr="00904FCB">
        <w:rPr>
          <w:rFonts w:ascii="Times New Roman" w:hAnsi="Times New Roman"/>
          <w:i/>
          <w:sz w:val="27"/>
          <w:rtl/>
          <w:lang w:bidi="fa-IR"/>
        </w:rPr>
        <w:t>)</w:t>
      </w:r>
      <w:r w:rsidR="00AF2893"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يذكر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w:t>
      </w:r>
      <w:r w:rsidRPr="00904FCB">
        <w:rPr>
          <w:rFonts w:ascii="Times New Roman" w:hAnsi="Times New Roman"/>
          <w:i/>
          <w:sz w:val="27"/>
          <w:rtl/>
          <w:lang w:bidi="fa-IR"/>
        </w:rPr>
        <w:t xml:space="preserve"> </w:t>
      </w:r>
      <w:r w:rsidRPr="00904FCB">
        <w:rPr>
          <w:rFonts w:ascii="Times New Roman" w:hAnsi="Times New Roman" w:hint="cs"/>
          <w:i/>
          <w:sz w:val="27"/>
          <w:rtl/>
          <w:lang w:bidi="fa-IR"/>
        </w:rPr>
        <w:t>ثمرات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فق</w:t>
      </w:r>
      <w:r w:rsidRPr="00904FCB">
        <w:rPr>
          <w:rFonts w:ascii="Times New Roman" w:hAnsi="Times New Roman"/>
          <w:i/>
          <w:sz w:val="27"/>
          <w:rtl/>
          <w:lang w:bidi="fa-IR"/>
        </w:rPr>
        <w:t>هية عد</w:t>
      </w:r>
      <w:r w:rsidRPr="00904FCB">
        <w:rPr>
          <w:rFonts w:ascii="Times New Roman" w:hAnsi="Times New Roman" w:hint="cs"/>
          <w:i/>
          <w:sz w:val="27"/>
          <w:rtl/>
          <w:lang w:bidi="fa-IR"/>
        </w:rPr>
        <w:t>يدة، منها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قول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w:t>
      </w:r>
      <w:r w:rsidR="00AF2893" w:rsidRPr="00904FCB">
        <w:rPr>
          <w:rFonts w:ascii="Times New Roman" w:hAnsi="Times New Roman" w:hint="cs"/>
          <w:i/>
          <w:sz w:val="27"/>
          <w:rtl/>
          <w:lang w:bidi="fa-IR"/>
        </w:rPr>
        <w:t>ق</w:t>
      </w:r>
      <w:r w:rsidRPr="00904FCB">
        <w:rPr>
          <w:rFonts w:ascii="Times New Roman" w:hAnsi="Times New Roman" w:hint="cs"/>
          <w:i/>
          <w:sz w:val="27"/>
          <w:rtl/>
          <w:lang w:bidi="fa-IR"/>
        </w:rPr>
        <w:t>ائل</w:t>
      </w:r>
      <w:r w:rsidRPr="00904FCB">
        <w:rPr>
          <w:rFonts w:ascii="Times New Roman" w:hAnsi="Times New Roman"/>
          <w:i/>
          <w:sz w:val="27"/>
          <w:rtl/>
          <w:lang w:bidi="fa-IR"/>
        </w:rPr>
        <w:t xml:space="preserve">: </w:t>
      </w:r>
      <w:r w:rsidRPr="00904FCB">
        <w:rPr>
          <w:rFonts w:ascii="Times New Roman" w:hAnsi="Times New Roman" w:hint="cs"/>
          <w:i/>
          <w:sz w:val="27"/>
          <w:rtl/>
          <w:lang w:bidi="fa-IR"/>
        </w:rPr>
        <w:t>وقفت</w:t>
      </w:r>
      <w:r w:rsidR="00CA2A47">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داري</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حفّاظ</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القرآن</w:t>
      </w:r>
      <w:r w:rsidRPr="00904FCB">
        <w:rPr>
          <w:rFonts w:ascii="Times New Roman" w:hAnsi="Times New Roman"/>
          <w:i/>
          <w:sz w:val="27"/>
          <w:rtl/>
          <w:lang w:bidi="fa-IR"/>
        </w:rPr>
        <w:t xml:space="preserve">. </w:t>
      </w:r>
      <w:r w:rsidR="007E201F" w:rsidRPr="00904FCB">
        <w:rPr>
          <w:rFonts w:ascii="Times New Roman" w:hAnsi="Times New Roman" w:hint="cs"/>
          <w:i/>
          <w:sz w:val="27"/>
          <w:rtl/>
          <w:lang w:bidi="fa-IR"/>
        </w:rPr>
        <w:t>ف</w:t>
      </w:r>
      <w:r w:rsidRPr="00904FCB">
        <w:rPr>
          <w:rFonts w:ascii="Times New Roman" w:hAnsi="Times New Roman" w:hint="cs"/>
          <w:i/>
          <w:sz w:val="27"/>
          <w:rtl/>
          <w:lang w:bidi="fa-IR"/>
        </w:rPr>
        <w:t>لو</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شخصاً</w:t>
      </w:r>
      <w:r w:rsidRPr="00904FCB">
        <w:rPr>
          <w:rFonts w:ascii="Times New Roman" w:hAnsi="Times New Roman"/>
          <w:i/>
          <w:sz w:val="27"/>
          <w:rtl/>
          <w:lang w:bidi="fa-IR"/>
        </w:rPr>
        <w:t xml:space="preserve"> </w:t>
      </w:r>
      <w:r w:rsidRPr="00904FCB">
        <w:rPr>
          <w:rFonts w:ascii="Times New Roman" w:hAnsi="Times New Roman" w:hint="cs"/>
          <w:i/>
          <w:sz w:val="27"/>
          <w:rtl/>
          <w:lang w:bidi="fa-IR"/>
        </w:rPr>
        <w:t>كان</w:t>
      </w:r>
      <w:r w:rsidRPr="00904FCB">
        <w:rPr>
          <w:rFonts w:ascii="Times New Roman" w:hAnsi="Times New Roman"/>
          <w:i/>
          <w:sz w:val="27"/>
          <w:rtl/>
          <w:lang w:bidi="fa-IR"/>
        </w:rPr>
        <w:t xml:space="preserve"> </w:t>
      </w:r>
      <w:r w:rsidRPr="00904FCB">
        <w:rPr>
          <w:rFonts w:ascii="Times New Roman" w:hAnsi="Times New Roman" w:hint="cs"/>
          <w:i/>
          <w:sz w:val="27"/>
          <w:rtl/>
          <w:lang w:bidi="fa-IR"/>
        </w:rPr>
        <w:t>حافظاً</w:t>
      </w:r>
      <w:r w:rsidRPr="00904FCB">
        <w:rPr>
          <w:rFonts w:ascii="Times New Roman" w:hAnsi="Times New Roman"/>
          <w:i/>
          <w:sz w:val="27"/>
          <w:rtl/>
          <w:lang w:bidi="fa-IR"/>
        </w:rPr>
        <w:t xml:space="preserve"> </w:t>
      </w:r>
      <w:r w:rsidRPr="00904FCB">
        <w:rPr>
          <w:rFonts w:ascii="Times New Roman" w:hAnsi="Times New Roman" w:hint="cs"/>
          <w:i/>
          <w:sz w:val="27"/>
          <w:rtl/>
          <w:lang w:bidi="fa-IR"/>
        </w:rPr>
        <w:t>للقرآن</w:t>
      </w:r>
      <w:r w:rsidR="007E201F"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لكنّه</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الآن</w:t>
      </w:r>
      <w:r w:rsidRPr="00904FCB">
        <w:rPr>
          <w:rFonts w:ascii="Times New Roman" w:hAnsi="Times New Roman"/>
          <w:i/>
          <w:sz w:val="27"/>
          <w:rtl/>
          <w:lang w:bidi="fa-IR"/>
        </w:rPr>
        <w:t xml:space="preserve"> </w:t>
      </w:r>
      <w:r w:rsidRPr="00904FCB">
        <w:rPr>
          <w:rFonts w:ascii="Times New Roman" w:hAnsi="Times New Roman" w:hint="cs"/>
          <w:i/>
          <w:sz w:val="27"/>
          <w:rtl/>
          <w:lang w:bidi="fa-IR"/>
        </w:rPr>
        <w:t>نسي، فعل</w:t>
      </w:r>
      <w:r w:rsidR="007E201F"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مذهب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الأشاعرة</w:t>
      </w:r>
      <w:r w:rsidRPr="00904FCB">
        <w:rPr>
          <w:rFonts w:ascii="Times New Roman" w:hAnsi="Times New Roman"/>
          <w:i/>
          <w:sz w:val="27"/>
          <w:rtl/>
          <w:lang w:bidi="fa-IR"/>
        </w:rPr>
        <w:t xml:space="preserve"> </w:t>
      </w:r>
      <w:r w:rsidRPr="00904FCB">
        <w:rPr>
          <w:rFonts w:ascii="Times New Roman" w:hAnsi="Times New Roman" w:hint="cs"/>
          <w:i/>
          <w:sz w:val="27"/>
          <w:rtl/>
          <w:lang w:bidi="fa-IR"/>
        </w:rPr>
        <w:t>لا</w:t>
      </w:r>
      <w:r w:rsidR="007E201F" w:rsidRPr="00904FCB">
        <w:rPr>
          <w:rFonts w:ascii="Times New Roman" w:hAnsi="Times New Roman" w:hint="cs"/>
          <w:i/>
          <w:sz w:val="27"/>
          <w:rtl/>
          <w:lang w:bidi="fa-IR"/>
        </w:rPr>
        <w:t xml:space="preserve"> </w:t>
      </w:r>
      <w:r w:rsidRPr="00904FCB">
        <w:rPr>
          <w:rFonts w:ascii="Times New Roman" w:hAnsi="Times New Roman" w:hint="cs"/>
          <w:i/>
          <w:sz w:val="27"/>
          <w:rtl/>
          <w:lang w:bidi="fa-IR"/>
        </w:rPr>
        <w:t>يكون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مصداقاً</w:t>
      </w:r>
      <w:r w:rsidRPr="00904FCB">
        <w:rPr>
          <w:rFonts w:ascii="Times New Roman" w:hAnsi="Times New Roman"/>
          <w:i/>
          <w:sz w:val="27"/>
          <w:rtl/>
          <w:lang w:bidi="fa-IR"/>
        </w:rPr>
        <w:t xml:space="preserve"> </w:t>
      </w:r>
      <w:r w:rsidRPr="00904FCB">
        <w:rPr>
          <w:rFonts w:ascii="Times New Roman" w:hAnsi="Times New Roman" w:hint="cs"/>
          <w:i/>
          <w:sz w:val="27"/>
          <w:rtl/>
          <w:lang w:bidi="fa-IR"/>
        </w:rPr>
        <w:t>للموقوف</w:t>
      </w:r>
      <w:r w:rsidRPr="00904FCB">
        <w:rPr>
          <w:rFonts w:ascii="Times New Roman" w:hAnsi="Times New Roman"/>
          <w:i/>
          <w:sz w:val="27"/>
          <w:rtl/>
          <w:lang w:bidi="fa-IR"/>
        </w:rPr>
        <w:t xml:space="preserve"> </w:t>
      </w:r>
      <w:r w:rsidRPr="00904FCB">
        <w:rPr>
          <w:rFonts w:ascii="Times New Roman" w:hAnsi="Times New Roman" w:hint="cs"/>
          <w:i/>
          <w:sz w:val="27"/>
          <w:rtl/>
          <w:lang w:bidi="fa-IR"/>
        </w:rPr>
        <w:t>عليه</w:t>
      </w:r>
      <w:r w:rsidR="007E201F" w:rsidRPr="00904FCB">
        <w:rPr>
          <w:rFonts w:ascii="Times New Roman" w:hAnsi="Times New Roman" w:hint="cs"/>
          <w:i/>
          <w:sz w:val="27"/>
          <w:rtl/>
          <w:lang w:bidi="fa-IR"/>
        </w:rPr>
        <w:t>، إلاّ</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904FCB">
        <w:rPr>
          <w:rFonts w:ascii="Times New Roman" w:hAnsi="Times New Roman" w:hint="cs"/>
          <w:i/>
          <w:sz w:val="27"/>
          <w:rtl/>
          <w:lang w:bidi="fa-IR"/>
        </w:rPr>
        <w:t>تقتضي</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يكون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مصداقاً</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w:t>
      </w:r>
      <w:r w:rsidRPr="00904FCB">
        <w:rPr>
          <w:rFonts w:ascii="Times New Roman" w:hAnsi="Times New Roman"/>
          <w:i/>
          <w:sz w:val="27"/>
          <w:rtl/>
          <w:lang w:bidi="fa-IR"/>
        </w:rPr>
        <w:t xml:space="preserve">. </w:t>
      </w:r>
    </w:p>
    <w:p w:rsidR="00057E24" w:rsidRPr="00904FCB" w:rsidRDefault="00057E24" w:rsidP="007A21AA">
      <w:pPr>
        <w:spacing w:line="40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3ـ</w:t>
      </w:r>
      <w:r w:rsidRPr="00904FCB">
        <w:rPr>
          <w:rFonts w:hint="cs"/>
          <w:color w:val="auto"/>
          <w:rtl/>
          <w:lang w:bidi="ar-LB"/>
        </w:rPr>
        <w:t xml:space="preserve"> </w:t>
      </w:r>
      <w:r w:rsidRPr="00904FCB">
        <w:rPr>
          <w:color w:val="auto"/>
          <w:rtl/>
          <w:lang w:bidi="fa-IR"/>
        </w:rPr>
        <w:t>الترخ</w:t>
      </w:r>
      <w:r w:rsidRPr="00904FCB">
        <w:rPr>
          <w:rFonts w:hint="cs"/>
          <w:color w:val="auto"/>
          <w:rtl/>
          <w:lang w:bidi="fa-IR"/>
        </w:rPr>
        <w:t>يم</w:t>
      </w:r>
      <w:r w:rsidRPr="00904FCB">
        <w:rPr>
          <w:color w:val="auto"/>
          <w:rtl/>
          <w:lang w:bidi="fa-IR"/>
        </w:rPr>
        <w:t xml:space="preserve"> </w:t>
      </w:r>
    </w:p>
    <w:p w:rsidR="00057E24" w:rsidRDefault="00057E24" w:rsidP="00826CE1">
      <w:pPr>
        <w:spacing w:line="380" w:lineRule="exact"/>
        <w:rPr>
          <w:rFonts w:ascii="Times New Roman" w:hAnsi="Times New Roman"/>
          <w:i/>
          <w:sz w:val="27"/>
          <w:rtl/>
          <w:lang w:bidi="fa-IR"/>
        </w:rPr>
      </w:pPr>
      <w:r w:rsidRPr="00904FCB">
        <w:rPr>
          <w:rFonts w:ascii="Times New Roman" w:hAnsi="Times New Roman"/>
          <w:i/>
          <w:sz w:val="27"/>
          <w:rtl/>
          <w:lang w:bidi="fa-IR"/>
        </w:rPr>
        <w:t>وهو عبارة</w:t>
      </w:r>
      <w:r w:rsidR="0007730F" w:rsidRPr="00904FCB">
        <w:rPr>
          <w:rFonts w:ascii="Times New Roman" w:hAnsi="Times New Roman" w:hint="cs"/>
          <w:i/>
          <w:sz w:val="27"/>
          <w:rtl/>
          <w:lang w:bidi="fa-IR"/>
        </w:rPr>
        <w:t>ٌ</w:t>
      </w:r>
      <w:r w:rsidRPr="00904FCB">
        <w:rPr>
          <w:rFonts w:ascii="Times New Roman" w:hAnsi="Times New Roman"/>
          <w:i/>
          <w:sz w:val="27"/>
          <w:rtl/>
          <w:lang w:bidi="fa-IR"/>
        </w:rPr>
        <w:t xml:space="preserve"> عن حذف آخر الاسم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النداء</w:t>
      </w:r>
      <w:r w:rsidRPr="00904FCB">
        <w:rPr>
          <w:rFonts w:ascii="Times New Roman" w:hAnsi="Times New Roman"/>
          <w:i/>
          <w:sz w:val="27"/>
          <w:rtl/>
          <w:lang w:bidi="fa-IR"/>
        </w:rPr>
        <w:t xml:space="preserve"> و</w:t>
      </w:r>
      <w:r w:rsidRPr="00904FCB">
        <w:rPr>
          <w:rFonts w:ascii="Times New Roman" w:hAnsi="Times New Roman" w:hint="cs"/>
          <w:i/>
          <w:sz w:val="27"/>
          <w:rtl/>
          <w:lang w:bidi="fa-IR"/>
        </w:rPr>
        <w:t>غيره</w:t>
      </w:r>
      <w:r w:rsidRPr="00904FCB">
        <w:rPr>
          <w:rFonts w:ascii="Times New Roman" w:hAnsi="Times New Roman"/>
          <w:i/>
          <w:sz w:val="27"/>
          <w:rtl/>
          <w:lang w:bidi="fa-IR"/>
        </w:rPr>
        <w:t>... و</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ثمرات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هذا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البحث</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الأدبي</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الزوج</w:t>
      </w:r>
      <w:r w:rsidRPr="00904FCB">
        <w:rPr>
          <w:rFonts w:ascii="Times New Roman" w:hAnsi="Times New Roman"/>
          <w:i/>
          <w:sz w:val="27"/>
          <w:rtl/>
          <w:lang w:bidi="fa-IR"/>
        </w:rPr>
        <w:t xml:space="preserve"> </w:t>
      </w:r>
      <w:r w:rsidRPr="00904FCB">
        <w:rPr>
          <w:rFonts w:ascii="Times New Roman" w:hAnsi="Times New Roman" w:hint="cs"/>
          <w:i/>
          <w:sz w:val="27"/>
          <w:rtl/>
          <w:lang w:bidi="fa-IR"/>
        </w:rPr>
        <w:t>لو</w:t>
      </w:r>
      <w:r w:rsidRPr="00904FCB">
        <w:rPr>
          <w:rFonts w:ascii="Times New Roman" w:hAnsi="Times New Roman"/>
          <w:i/>
          <w:sz w:val="27"/>
          <w:rtl/>
          <w:lang w:bidi="fa-IR"/>
        </w:rPr>
        <w:t xml:space="preserve"> </w:t>
      </w:r>
      <w:r w:rsidRPr="00904FCB">
        <w:rPr>
          <w:rFonts w:ascii="Times New Roman" w:hAnsi="Times New Roman" w:hint="cs"/>
          <w:i/>
          <w:sz w:val="27"/>
          <w:rtl/>
          <w:lang w:bidi="fa-IR"/>
        </w:rPr>
        <w:t>قال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لزوجته</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«أنت</w:t>
      </w:r>
      <w:r w:rsidRPr="00904FCB">
        <w:rPr>
          <w:rFonts w:ascii="Times New Roman" w:hAnsi="Times New Roman"/>
          <w:i/>
          <w:sz w:val="27"/>
          <w:rtl/>
          <w:lang w:bidi="fa-IR"/>
        </w:rPr>
        <w:t xml:space="preserve"> </w:t>
      </w:r>
      <w:r w:rsidRPr="00904FCB">
        <w:rPr>
          <w:rFonts w:ascii="Times New Roman" w:hAnsi="Times New Roman" w:hint="cs"/>
          <w:i/>
          <w:sz w:val="27"/>
          <w:rtl/>
          <w:lang w:bidi="fa-IR"/>
        </w:rPr>
        <w:t>طال</w:t>
      </w:r>
      <w:r w:rsidR="0007730F" w:rsidRPr="00904FCB">
        <w:rPr>
          <w:rFonts w:ascii="Times New Roman" w:hAnsi="Times New Roman" w:hint="cs"/>
          <w:i/>
          <w:sz w:val="27"/>
          <w:rtl/>
          <w:lang w:bidi="fa-IR"/>
        </w:rPr>
        <w:t>ِ</w:t>
      </w:r>
      <w:r w:rsidRPr="00904FCB">
        <w:rPr>
          <w:rFonts w:ascii="Times New Roman" w:hAnsi="Times New Roman" w:hint="cs"/>
          <w:i/>
          <w:sz w:val="27"/>
          <w:rtl/>
          <w:lang w:bidi="fa-IR"/>
        </w:rPr>
        <w:t>»</w:t>
      </w:r>
      <w:r w:rsidR="0007730F"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بحذف</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القاف</w:t>
      </w:r>
      <w:r w:rsidR="0007730F"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0007730F" w:rsidRPr="00904FCB">
        <w:rPr>
          <w:rFonts w:ascii="Times New Roman" w:hAnsi="Times New Roman" w:hint="cs"/>
          <w:i/>
          <w:sz w:val="27"/>
          <w:rtl/>
          <w:lang w:bidi="fa-IR"/>
        </w:rPr>
        <w:t>ف</w:t>
      </w:r>
      <w:r w:rsidRPr="00904FCB">
        <w:rPr>
          <w:rFonts w:ascii="Times New Roman" w:hAnsi="Times New Roman" w:hint="cs"/>
          <w:i/>
          <w:sz w:val="27"/>
          <w:rtl/>
          <w:lang w:bidi="fa-IR"/>
        </w:rPr>
        <w:t>هل</w:t>
      </w:r>
      <w:r w:rsidRPr="00904FCB">
        <w:rPr>
          <w:rFonts w:ascii="Times New Roman" w:hAnsi="Times New Roman"/>
          <w:i/>
          <w:sz w:val="27"/>
          <w:rtl/>
          <w:lang w:bidi="fa-IR"/>
        </w:rPr>
        <w:t xml:space="preserve"> </w:t>
      </w:r>
      <w:r w:rsidRPr="00904FCB">
        <w:rPr>
          <w:rFonts w:ascii="Times New Roman" w:hAnsi="Times New Roman" w:hint="cs"/>
          <w:i/>
          <w:sz w:val="27"/>
          <w:rtl/>
          <w:lang w:bidi="fa-IR"/>
        </w:rPr>
        <w:t>تقع</w:t>
      </w:r>
      <w:r w:rsidRPr="00904FCB">
        <w:rPr>
          <w:rFonts w:ascii="Times New Roman" w:hAnsi="Times New Roman"/>
          <w:i/>
          <w:sz w:val="27"/>
          <w:rtl/>
          <w:lang w:bidi="fa-IR"/>
        </w:rPr>
        <w:t xml:space="preserve"> </w:t>
      </w:r>
      <w:r w:rsidRPr="00904FCB">
        <w:rPr>
          <w:rFonts w:ascii="Times New Roman" w:hAnsi="Times New Roman" w:hint="cs"/>
          <w:i/>
          <w:sz w:val="27"/>
          <w:rtl/>
          <w:lang w:bidi="fa-IR"/>
        </w:rPr>
        <w:t>صيغة</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الطلاق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أم</w:t>
      </w:r>
      <w:r w:rsidRPr="00904FCB">
        <w:rPr>
          <w:rFonts w:ascii="Times New Roman" w:hAnsi="Times New Roman"/>
          <w:i/>
          <w:sz w:val="27"/>
          <w:rtl/>
          <w:lang w:bidi="fa-IR"/>
        </w:rPr>
        <w:t xml:space="preserve"> </w:t>
      </w:r>
      <w:r w:rsidRPr="00904FCB">
        <w:rPr>
          <w:rFonts w:ascii="Times New Roman" w:hAnsi="Times New Roman" w:hint="cs"/>
          <w:i/>
          <w:sz w:val="27"/>
          <w:rtl/>
          <w:lang w:bidi="fa-IR"/>
        </w:rPr>
        <w:t>لا؟ يتعر</w:t>
      </w:r>
      <w:r w:rsidR="0007730F" w:rsidRPr="00904FCB">
        <w:rPr>
          <w:rFonts w:ascii="Times New Roman" w:hAnsi="Times New Roman" w:hint="cs"/>
          <w:i/>
          <w:sz w:val="27"/>
          <w:rtl/>
          <w:lang w:bidi="fa-IR"/>
        </w:rPr>
        <w:t>َّ</w:t>
      </w:r>
      <w:r w:rsidRPr="00904FCB">
        <w:rPr>
          <w:rFonts w:ascii="Times New Roman" w:hAnsi="Times New Roman" w:hint="cs"/>
          <w:i/>
          <w:sz w:val="27"/>
          <w:rtl/>
          <w:lang w:bidi="fa-IR"/>
        </w:rPr>
        <w:t>ض</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للمسألة</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200</w:t>
      </w:r>
      <w:r w:rsidRPr="00904FCB">
        <w:rPr>
          <w:rFonts w:ascii="Times New Roman" w:hAnsi="Times New Roman"/>
          <w:i/>
          <w:sz w:val="27"/>
          <w:rtl/>
          <w:lang w:bidi="fa-IR"/>
        </w:rPr>
        <w:t>)</w:t>
      </w:r>
      <w:r w:rsidR="0007730F"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مع</w:t>
      </w:r>
      <w:r w:rsidRPr="00904FCB">
        <w:rPr>
          <w:rFonts w:ascii="Times New Roman" w:hAnsi="Times New Roman"/>
          <w:i/>
          <w:sz w:val="27"/>
          <w:rtl/>
          <w:lang w:bidi="fa-IR"/>
        </w:rPr>
        <w:t xml:space="preserve"> </w:t>
      </w:r>
      <w:r w:rsidRPr="00904FCB">
        <w:rPr>
          <w:rFonts w:ascii="Times New Roman" w:hAnsi="Times New Roman" w:hint="cs"/>
          <w:i/>
          <w:sz w:val="27"/>
          <w:rtl/>
          <w:lang w:bidi="fa-IR"/>
        </w:rPr>
        <w:t>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أنّهم</w:t>
      </w:r>
      <w:r w:rsidRPr="00904FCB">
        <w:rPr>
          <w:rFonts w:ascii="Times New Roman" w:hAnsi="Times New Roman"/>
          <w:i/>
          <w:sz w:val="27"/>
          <w:rtl/>
          <w:lang w:bidi="fa-IR"/>
        </w:rPr>
        <w:t xml:space="preserve"> </w:t>
      </w:r>
      <w:r w:rsidRPr="00904FCB">
        <w:rPr>
          <w:rFonts w:ascii="Times New Roman" w:hAnsi="Times New Roman" w:hint="cs"/>
          <w:i/>
          <w:sz w:val="27"/>
          <w:rtl/>
          <w:lang w:bidi="fa-IR"/>
        </w:rPr>
        <w:t>يرت</w:t>
      </w:r>
      <w:r w:rsidR="0007730F" w:rsidRPr="00904FCB">
        <w:rPr>
          <w:rFonts w:ascii="Times New Roman" w:hAnsi="Times New Roman" w:hint="cs"/>
          <w:i/>
          <w:sz w:val="27"/>
          <w:rtl/>
          <w:lang w:bidi="fa-IR"/>
        </w:rPr>
        <w:t>ِّ</w:t>
      </w:r>
      <w:r w:rsidRPr="00904FCB">
        <w:rPr>
          <w:rFonts w:ascii="Times New Roman" w:hAnsi="Times New Roman" w:hint="cs"/>
          <w:i/>
          <w:sz w:val="27"/>
          <w:rtl/>
          <w:lang w:bidi="fa-IR"/>
        </w:rPr>
        <w:t>بون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الأثر</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ثمرة</w:t>
      </w:r>
      <w:r w:rsidRPr="00904FCB">
        <w:rPr>
          <w:rFonts w:ascii="Times New Roman" w:hAnsi="Times New Roman"/>
          <w:i/>
          <w:sz w:val="27"/>
          <w:rtl/>
          <w:lang w:bidi="fa-IR"/>
        </w:rPr>
        <w:t xml:space="preserve"> </w:t>
      </w:r>
      <w:r w:rsidRPr="00904FCB">
        <w:rPr>
          <w:rFonts w:ascii="Times New Roman" w:hAnsi="Times New Roman" w:hint="cs"/>
          <w:i/>
          <w:sz w:val="27"/>
          <w:rtl/>
          <w:lang w:bidi="fa-IR"/>
        </w:rPr>
        <w:t>هذه</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الموارد</w:t>
      </w:r>
      <w:r w:rsidR="0007730F" w:rsidRPr="00904FCB">
        <w:rPr>
          <w:rFonts w:ascii="Times New Roman" w:hAnsi="Times New Roman" w:hint="cs"/>
          <w:i/>
          <w:sz w:val="27"/>
          <w:rtl/>
          <w:lang w:bidi="fa-IR"/>
        </w:rPr>
        <w:t>.</w:t>
      </w:r>
      <w:r w:rsidRPr="00904FCB">
        <w:rPr>
          <w:rFonts w:ascii="Times New Roman" w:hAnsi="Times New Roman" w:hint="cs"/>
          <w:i/>
          <w:sz w:val="27"/>
          <w:rtl/>
          <w:lang w:bidi="fa-IR"/>
        </w:rPr>
        <w:t xml:space="preserve"> </w:t>
      </w:r>
    </w:p>
    <w:p w:rsidR="00CA2A47" w:rsidRPr="00904FCB" w:rsidRDefault="00CA2A47" w:rsidP="00826CE1">
      <w:pPr>
        <w:spacing w:line="38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4ـ</w:t>
      </w:r>
      <w:r w:rsidRPr="00904FCB">
        <w:rPr>
          <w:rFonts w:hint="cs"/>
          <w:color w:val="auto"/>
          <w:rtl/>
          <w:lang w:bidi="ar-LB"/>
        </w:rPr>
        <w:t xml:space="preserve"> </w:t>
      </w:r>
      <w:r w:rsidRPr="00904FCB">
        <w:rPr>
          <w:color w:val="auto"/>
          <w:rtl/>
          <w:lang w:bidi="fa-IR"/>
        </w:rPr>
        <w:t>تبد</w:t>
      </w:r>
      <w:r w:rsidRPr="00904FCB">
        <w:rPr>
          <w:rFonts w:hint="cs"/>
          <w:color w:val="auto"/>
          <w:rtl/>
          <w:lang w:bidi="fa-IR"/>
        </w:rPr>
        <w:t>يل</w:t>
      </w:r>
      <w:r w:rsidRPr="00904FCB">
        <w:rPr>
          <w:color w:val="auto"/>
          <w:rtl/>
          <w:lang w:bidi="fa-IR"/>
        </w:rPr>
        <w:t xml:space="preserve"> </w:t>
      </w:r>
      <w:r w:rsidRPr="00904FCB">
        <w:rPr>
          <w:rFonts w:hint="cs"/>
          <w:color w:val="auto"/>
          <w:rtl/>
          <w:lang w:bidi="fa-IR"/>
        </w:rPr>
        <w:t>الحاء</w:t>
      </w:r>
      <w:r w:rsidRPr="00904FCB">
        <w:rPr>
          <w:color w:val="auto"/>
          <w:rtl/>
          <w:lang w:bidi="fa-IR"/>
        </w:rPr>
        <w:t xml:space="preserve"> </w:t>
      </w:r>
      <w:r w:rsidRPr="00904FCB">
        <w:rPr>
          <w:rFonts w:hint="cs"/>
          <w:color w:val="auto"/>
          <w:rtl/>
          <w:lang w:bidi="fa-IR"/>
        </w:rPr>
        <w:t>بالهاء</w:t>
      </w:r>
      <w:r w:rsidR="0007730F" w:rsidRPr="00904FCB">
        <w:rPr>
          <w:rFonts w:hint="cs"/>
          <w:color w:val="auto"/>
          <w:rtl/>
          <w:lang w:bidi="fa-IR"/>
        </w:rPr>
        <w:t>،</w:t>
      </w:r>
      <w:r w:rsidRPr="00904FCB">
        <w:rPr>
          <w:color w:val="auto"/>
          <w:rtl/>
          <w:lang w:bidi="fa-IR"/>
        </w:rPr>
        <w:t xml:space="preserve"> و</w:t>
      </w:r>
      <w:r w:rsidRPr="00904FCB">
        <w:rPr>
          <w:rFonts w:hint="cs"/>
          <w:color w:val="auto"/>
          <w:rtl/>
          <w:lang w:bidi="fa-IR"/>
        </w:rPr>
        <w:t>القاف</w:t>
      </w:r>
      <w:r w:rsidRPr="00904FCB">
        <w:rPr>
          <w:color w:val="auto"/>
          <w:rtl/>
          <w:lang w:bidi="fa-IR"/>
        </w:rPr>
        <w:t xml:space="preserve"> </w:t>
      </w:r>
      <w:r w:rsidRPr="00904FCB">
        <w:rPr>
          <w:rFonts w:hint="cs"/>
          <w:color w:val="auto"/>
          <w:rtl/>
          <w:lang w:bidi="fa-IR"/>
        </w:rPr>
        <w:t xml:space="preserve">بالكاف </w:t>
      </w:r>
    </w:p>
    <w:p w:rsidR="00057E24" w:rsidRPr="00904FCB" w:rsidRDefault="00057E24" w:rsidP="0029271A">
      <w:pPr>
        <w:spacing w:line="400" w:lineRule="exact"/>
        <w:ind w:firstLine="561"/>
        <w:rPr>
          <w:rFonts w:ascii="Times New Roman" w:hAnsi="Times New Roman"/>
          <w:i/>
          <w:sz w:val="27"/>
          <w:rtl/>
          <w:lang w:bidi="fa-IR"/>
        </w:rPr>
      </w:pPr>
      <w:r w:rsidRPr="00904FCB">
        <w:rPr>
          <w:rFonts w:ascii="Times New Roman" w:hAnsi="Times New Roman"/>
          <w:i/>
          <w:sz w:val="27"/>
          <w:rtl/>
          <w:lang w:bidi="fa-IR"/>
        </w:rPr>
        <w:t>من البحوث المطروحة جواز أو عدم جواز تبد</w:t>
      </w:r>
      <w:r w:rsidRPr="00904FCB">
        <w:rPr>
          <w:rFonts w:ascii="Times New Roman" w:hAnsi="Times New Roman" w:hint="cs"/>
          <w:i/>
          <w:sz w:val="27"/>
          <w:rtl/>
          <w:lang w:bidi="fa-IR"/>
        </w:rPr>
        <w:t>يل</w:t>
      </w:r>
      <w:r w:rsidRPr="00904FCB">
        <w:rPr>
          <w:rFonts w:ascii="Times New Roman" w:hAnsi="Times New Roman"/>
          <w:i/>
          <w:sz w:val="27"/>
          <w:rtl/>
          <w:lang w:bidi="fa-IR"/>
        </w:rPr>
        <w:t xml:space="preserve"> </w:t>
      </w:r>
      <w:r w:rsidR="0007730F" w:rsidRPr="00904FCB">
        <w:rPr>
          <w:rFonts w:ascii="Times New Roman" w:hAnsi="Times New Roman" w:hint="cs"/>
          <w:i/>
          <w:sz w:val="27"/>
          <w:rtl/>
          <w:lang w:bidi="fa-IR"/>
        </w:rPr>
        <w:t>ه</w:t>
      </w:r>
      <w:r w:rsidRPr="00904FCB">
        <w:rPr>
          <w:rFonts w:ascii="Times New Roman" w:hAnsi="Times New Roman" w:hint="cs"/>
          <w:i/>
          <w:sz w:val="27"/>
          <w:rtl/>
          <w:lang w:bidi="fa-IR"/>
        </w:rPr>
        <w:t>ذه</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الحروف</w:t>
      </w:r>
      <w:r w:rsidR="0007730F"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إن</w:t>
      </w:r>
      <w:r w:rsidR="0007730F"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لم</w:t>
      </w:r>
      <w:r w:rsidRPr="00904FCB">
        <w:rPr>
          <w:rFonts w:ascii="Times New Roman" w:hAnsi="Times New Roman"/>
          <w:i/>
          <w:sz w:val="27"/>
          <w:rtl/>
          <w:lang w:bidi="fa-IR"/>
        </w:rPr>
        <w:t xml:space="preserve"> </w:t>
      </w:r>
      <w:r w:rsidRPr="00904FCB">
        <w:rPr>
          <w:rFonts w:ascii="Times New Roman" w:hAnsi="Times New Roman" w:hint="cs"/>
          <w:i/>
          <w:sz w:val="27"/>
          <w:rtl/>
          <w:lang w:bidi="fa-IR"/>
        </w:rPr>
        <w:t>تكن</w:t>
      </w:r>
      <w:r w:rsidRPr="00904FCB">
        <w:rPr>
          <w:rFonts w:ascii="Times New Roman" w:hAnsi="Times New Roman"/>
          <w:i/>
          <w:sz w:val="27"/>
          <w:rtl/>
          <w:lang w:bidi="fa-IR"/>
        </w:rPr>
        <w:t xml:space="preserve"> </w:t>
      </w:r>
      <w:r w:rsidRPr="00904FCB">
        <w:rPr>
          <w:rFonts w:ascii="Times New Roman" w:hAnsi="Times New Roman" w:hint="cs"/>
          <w:i/>
          <w:sz w:val="27"/>
          <w:rtl/>
          <w:lang w:bidi="fa-IR"/>
        </w:rPr>
        <w:t>شائعة، لكنّها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تشتمل</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ثمرات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فق</w:t>
      </w:r>
      <w:r w:rsidRPr="00904FCB">
        <w:rPr>
          <w:rFonts w:ascii="Times New Roman" w:hAnsi="Times New Roman"/>
          <w:i/>
          <w:sz w:val="27"/>
          <w:rtl/>
          <w:lang w:bidi="fa-IR"/>
        </w:rPr>
        <w:t>هية، مثل: م</w:t>
      </w:r>
      <w:r w:rsidR="0007730F" w:rsidRPr="00904FCB">
        <w:rPr>
          <w:rFonts w:ascii="Times New Roman" w:hAnsi="Times New Roman" w:hint="cs"/>
          <w:i/>
          <w:sz w:val="27"/>
          <w:rtl/>
          <w:lang w:bidi="fa-IR"/>
        </w:rPr>
        <w:t>َ</w:t>
      </w:r>
      <w:r w:rsidRPr="00904FCB">
        <w:rPr>
          <w:rFonts w:ascii="Times New Roman" w:hAnsi="Times New Roman"/>
          <w:i/>
          <w:sz w:val="27"/>
          <w:rtl/>
          <w:lang w:bidi="fa-IR"/>
        </w:rPr>
        <w:t>ن</w:t>
      </w:r>
      <w:r w:rsidR="0007730F"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يلفظ</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«الحمد»</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«الرحمن»</w:t>
      </w:r>
      <w:r w:rsidRPr="00904FCB">
        <w:rPr>
          <w:rFonts w:ascii="Times New Roman" w:hAnsi="Times New Roman"/>
          <w:i/>
          <w:sz w:val="27"/>
          <w:rtl/>
          <w:lang w:bidi="fa-IR"/>
        </w:rPr>
        <w:t xml:space="preserve"> </w:t>
      </w:r>
      <w:r w:rsidRPr="00904FCB">
        <w:rPr>
          <w:rFonts w:ascii="Times New Roman" w:hAnsi="Times New Roman"/>
          <w:i/>
          <w:sz w:val="27"/>
          <w:rtl/>
          <w:lang w:bidi="fa-IR"/>
        </w:rPr>
        <w:lastRenderedPageBreak/>
        <w:t>و</w:t>
      </w:r>
      <w:r w:rsidRPr="00904FCB">
        <w:rPr>
          <w:rFonts w:ascii="Times New Roman" w:hAnsi="Times New Roman" w:hint="cs"/>
          <w:i/>
          <w:sz w:val="27"/>
          <w:rtl/>
          <w:lang w:bidi="fa-IR"/>
        </w:rPr>
        <w:t>«الرحيم»</w:t>
      </w:r>
      <w:r w:rsidRPr="00904FCB">
        <w:rPr>
          <w:rFonts w:ascii="Times New Roman" w:hAnsi="Times New Roman"/>
          <w:i/>
          <w:sz w:val="27"/>
          <w:rtl/>
          <w:lang w:bidi="fa-IR"/>
        </w:rPr>
        <w:t xml:space="preserve"> </w:t>
      </w:r>
      <w:r w:rsidRPr="00904FCB">
        <w:rPr>
          <w:rFonts w:ascii="Times New Roman" w:hAnsi="Times New Roman" w:hint="cs"/>
          <w:i/>
          <w:sz w:val="27"/>
          <w:rtl/>
          <w:lang w:bidi="fa-IR"/>
        </w:rPr>
        <w:t>بالهاء، فهل</w:t>
      </w:r>
      <w:r w:rsidRPr="00904FCB">
        <w:rPr>
          <w:rFonts w:ascii="Times New Roman" w:hAnsi="Times New Roman"/>
          <w:i/>
          <w:sz w:val="27"/>
          <w:rtl/>
          <w:lang w:bidi="fa-IR"/>
        </w:rPr>
        <w:t xml:space="preserve"> </w:t>
      </w:r>
      <w:r w:rsidRPr="00904FCB">
        <w:rPr>
          <w:rFonts w:ascii="Times New Roman" w:hAnsi="Times New Roman" w:hint="cs"/>
          <w:i/>
          <w:sz w:val="27"/>
          <w:rtl/>
          <w:lang w:bidi="fa-IR"/>
        </w:rPr>
        <w:t>صلات</w:t>
      </w:r>
      <w:r w:rsidRPr="00904FCB">
        <w:rPr>
          <w:rFonts w:ascii="Times New Roman" w:hAnsi="Times New Roman"/>
          <w:i/>
          <w:sz w:val="27"/>
          <w:rtl/>
          <w:lang w:bidi="fa-IR"/>
        </w:rPr>
        <w:t>ه صح</w:t>
      </w:r>
      <w:r w:rsidRPr="00904FCB">
        <w:rPr>
          <w:rFonts w:ascii="Times New Roman" w:hAnsi="Times New Roman" w:hint="cs"/>
          <w:i/>
          <w:sz w:val="27"/>
          <w:rtl/>
          <w:lang w:bidi="fa-IR"/>
        </w:rPr>
        <w:t>يحة؟ يذكر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200</w:t>
      </w:r>
      <w:r w:rsidRPr="00904FCB">
        <w:rPr>
          <w:rFonts w:ascii="Times New Roman" w:hAnsi="Times New Roman"/>
          <w:i/>
          <w:sz w:val="27"/>
          <w:rtl/>
          <w:lang w:bidi="fa-IR"/>
        </w:rPr>
        <w:t xml:space="preserve">) </w:t>
      </w:r>
      <w:r w:rsidRPr="00904FCB">
        <w:rPr>
          <w:rFonts w:ascii="Times New Roman" w:hAnsi="Times New Roman" w:hint="cs"/>
          <w:i/>
          <w:sz w:val="27"/>
          <w:rtl/>
          <w:lang w:bidi="fa-IR"/>
        </w:rPr>
        <w:t>أصل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المسألة، وأنّها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مبتنية</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القراء</w:t>
      </w:r>
      <w:r w:rsidRPr="00904FCB">
        <w:rPr>
          <w:rFonts w:ascii="Times New Roman" w:hAnsi="Times New Roman"/>
          <w:i/>
          <w:sz w:val="27"/>
          <w:rtl/>
          <w:lang w:bidi="fa-IR"/>
        </w:rPr>
        <w:softHyphen/>
      </w:r>
      <w:r w:rsidRPr="00904FCB">
        <w:rPr>
          <w:rFonts w:ascii="Times New Roman" w:hAnsi="Times New Roman" w:hint="cs"/>
          <w:i/>
          <w:sz w:val="27"/>
          <w:rtl/>
          <w:lang w:bidi="fa-IR"/>
        </w:rPr>
        <w:t>ة</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الواجبة</w:t>
      </w:r>
      <w:r w:rsidRPr="00904FCB">
        <w:rPr>
          <w:rFonts w:ascii="Times New Roman" w:hAnsi="Times New Roman"/>
          <w:i/>
          <w:sz w:val="27"/>
          <w:rtl/>
          <w:lang w:bidi="fa-IR"/>
        </w:rPr>
        <w:t xml:space="preserve"> </w:t>
      </w:r>
      <w:r w:rsidRPr="00904FCB">
        <w:rPr>
          <w:rFonts w:ascii="Times New Roman" w:hAnsi="Times New Roman" w:hint="cs"/>
          <w:i/>
          <w:sz w:val="27"/>
          <w:rtl/>
          <w:lang w:bidi="fa-IR"/>
        </w:rPr>
        <w:t>يجب</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تكون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مطابقة</w:t>
      </w:r>
      <w:r w:rsidRPr="00904FCB">
        <w:rPr>
          <w:rFonts w:ascii="Times New Roman" w:hAnsi="Times New Roman"/>
          <w:i/>
          <w:sz w:val="27"/>
          <w:rtl/>
          <w:lang w:bidi="fa-IR"/>
        </w:rPr>
        <w:t xml:space="preserve"> </w:t>
      </w:r>
      <w:r w:rsidRPr="00904FCB">
        <w:rPr>
          <w:rFonts w:ascii="Times New Roman" w:hAnsi="Times New Roman" w:hint="cs"/>
          <w:i/>
          <w:sz w:val="27"/>
          <w:rtl/>
          <w:lang w:bidi="fa-IR"/>
        </w:rPr>
        <w:t>لإحد</w:t>
      </w:r>
      <w:r w:rsidR="00AC290B"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القراءات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ا</w:t>
      </w:r>
      <w:r w:rsidR="00AC290B" w:rsidRPr="00904FCB">
        <w:rPr>
          <w:rFonts w:ascii="Times New Roman" w:hAnsi="Times New Roman" w:hint="cs"/>
          <w:i/>
          <w:sz w:val="27"/>
          <w:rtl/>
          <w:lang w:bidi="fa-IR"/>
        </w:rPr>
        <w:t>ل</w:t>
      </w:r>
      <w:r w:rsidRPr="00904FCB">
        <w:rPr>
          <w:rFonts w:ascii="Times New Roman" w:hAnsi="Times New Roman" w:hint="cs"/>
          <w:i/>
          <w:sz w:val="27"/>
          <w:rtl/>
          <w:lang w:bidi="fa-IR"/>
        </w:rPr>
        <w:t>متواترة</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ثم</w:t>
      </w:r>
      <w:r w:rsidRPr="00904FCB">
        <w:rPr>
          <w:rFonts w:ascii="Times New Roman" w:hAnsi="Times New Roman"/>
          <w:i/>
          <w:sz w:val="27"/>
          <w:rtl/>
          <w:lang w:bidi="fa-IR"/>
        </w:rPr>
        <w:t xml:space="preserve"> </w:t>
      </w:r>
      <w:r w:rsidRPr="00904FCB">
        <w:rPr>
          <w:rFonts w:ascii="Times New Roman" w:hAnsi="Times New Roman" w:hint="cs"/>
          <w:i/>
          <w:sz w:val="27"/>
          <w:rtl/>
          <w:lang w:bidi="fa-IR"/>
        </w:rPr>
        <w:t>قال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هذه</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القراء</w:t>
      </w:r>
      <w:r w:rsidRPr="00904FCB">
        <w:rPr>
          <w:rFonts w:ascii="Times New Roman" w:hAnsi="Times New Roman"/>
          <w:i/>
          <w:sz w:val="27"/>
          <w:rtl/>
          <w:lang w:bidi="fa-IR"/>
        </w:rPr>
        <w:softHyphen/>
      </w:r>
      <w:r w:rsidRPr="00904FCB">
        <w:rPr>
          <w:rFonts w:ascii="Times New Roman" w:hAnsi="Times New Roman" w:hint="cs"/>
          <w:i/>
          <w:sz w:val="27"/>
          <w:rtl/>
          <w:lang w:bidi="fa-IR"/>
        </w:rPr>
        <w:t>ة</w:t>
      </w:r>
      <w:r w:rsidRPr="00904FCB">
        <w:rPr>
          <w:rFonts w:ascii="Times New Roman" w:hAnsi="Times New Roman"/>
          <w:i/>
          <w:sz w:val="27"/>
          <w:rtl/>
          <w:lang w:bidi="fa-IR"/>
        </w:rPr>
        <w:t xml:space="preserve"> </w:t>
      </w:r>
      <w:r w:rsidRPr="00904FCB">
        <w:rPr>
          <w:rFonts w:ascii="Times New Roman" w:hAnsi="Times New Roman" w:hint="cs"/>
          <w:i/>
          <w:sz w:val="27"/>
          <w:rtl/>
          <w:lang w:bidi="fa-IR"/>
        </w:rPr>
        <w:t>لو</w:t>
      </w:r>
      <w:r w:rsidRPr="00904FCB">
        <w:rPr>
          <w:rFonts w:ascii="Times New Roman" w:hAnsi="Times New Roman"/>
          <w:i/>
          <w:sz w:val="27"/>
          <w:rtl/>
          <w:lang w:bidi="fa-IR"/>
        </w:rPr>
        <w:t xml:space="preserve"> </w:t>
      </w:r>
      <w:r w:rsidRPr="00904FCB">
        <w:rPr>
          <w:rFonts w:ascii="Times New Roman" w:hAnsi="Times New Roman" w:hint="cs"/>
          <w:i/>
          <w:sz w:val="27"/>
          <w:rtl/>
          <w:lang w:bidi="fa-IR"/>
        </w:rPr>
        <w:t>أمكن</w:t>
      </w:r>
      <w:r w:rsidRPr="00904FCB">
        <w:rPr>
          <w:rFonts w:ascii="Times New Roman" w:hAnsi="Times New Roman"/>
          <w:i/>
          <w:sz w:val="27"/>
          <w:rtl/>
          <w:lang w:bidi="fa-IR"/>
        </w:rPr>
        <w:t xml:space="preserve"> </w:t>
      </w:r>
      <w:r w:rsidRPr="00904FCB">
        <w:rPr>
          <w:rFonts w:ascii="Times New Roman" w:hAnsi="Times New Roman" w:hint="cs"/>
          <w:i/>
          <w:sz w:val="27"/>
          <w:rtl/>
          <w:lang w:bidi="fa-IR"/>
        </w:rPr>
        <w:t>تصحيحها</w:t>
      </w:r>
      <w:r w:rsidRPr="00904FCB">
        <w:rPr>
          <w:rFonts w:ascii="Times New Roman" w:hAnsi="Times New Roman"/>
          <w:i/>
          <w:sz w:val="27"/>
          <w:rtl/>
          <w:lang w:bidi="fa-IR"/>
        </w:rPr>
        <w:t xml:space="preserve"> </w:t>
      </w:r>
      <w:r w:rsidR="00AC290B" w:rsidRPr="00904FCB">
        <w:rPr>
          <w:rFonts w:ascii="Times New Roman" w:hAnsi="Times New Roman" w:hint="cs"/>
          <w:i/>
          <w:sz w:val="27"/>
          <w:rtl/>
          <w:lang w:bidi="fa-IR"/>
        </w:rPr>
        <w:t>فهي</w:t>
      </w:r>
      <w:r w:rsidRPr="00904FCB">
        <w:rPr>
          <w:rFonts w:ascii="Times New Roman" w:hAnsi="Times New Roman"/>
          <w:i/>
          <w:sz w:val="27"/>
          <w:rtl/>
          <w:lang w:bidi="fa-IR"/>
        </w:rPr>
        <w:t xml:space="preserve"> </w:t>
      </w:r>
      <w:r w:rsidRPr="00904FCB">
        <w:rPr>
          <w:rFonts w:ascii="Times New Roman" w:hAnsi="Times New Roman" w:hint="cs"/>
          <w:i/>
          <w:sz w:val="27"/>
          <w:rtl/>
          <w:lang w:bidi="fa-IR"/>
        </w:rPr>
        <w:t>باطلة</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 xml:space="preserve"> وإن</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لم</w:t>
      </w:r>
      <w:r w:rsidRPr="00904FCB">
        <w:rPr>
          <w:rFonts w:ascii="Times New Roman" w:hAnsi="Times New Roman"/>
          <w:i/>
          <w:sz w:val="27"/>
          <w:rtl/>
          <w:lang w:bidi="fa-IR"/>
        </w:rPr>
        <w:t xml:space="preserve"> </w:t>
      </w:r>
      <w:r w:rsidRPr="00904FCB">
        <w:rPr>
          <w:rFonts w:ascii="Times New Roman" w:hAnsi="Times New Roman" w:hint="cs"/>
          <w:i/>
          <w:sz w:val="27"/>
          <w:rtl/>
          <w:lang w:bidi="fa-IR"/>
        </w:rPr>
        <w:t>يمكن</w:t>
      </w:r>
      <w:r w:rsidRPr="00904FCB">
        <w:rPr>
          <w:rFonts w:ascii="Times New Roman" w:hAnsi="Times New Roman"/>
          <w:i/>
          <w:sz w:val="27"/>
          <w:rtl/>
          <w:lang w:bidi="fa-IR"/>
        </w:rPr>
        <w:t xml:space="preserve"> </w:t>
      </w:r>
      <w:r w:rsidRPr="00904FCB">
        <w:rPr>
          <w:rFonts w:ascii="Times New Roman" w:hAnsi="Times New Roman" w:hint="cs"/>
          <w:i/>
          <w:sz w:val="27"/>
          <w:rtl/>
          <w:lang w:bidi="fa-IR"/>
        </w:rPr>
        <w:t>تصحيحها، ف</w:t>
      </w:r>
      <w:r w:rsidR="00AC290B" w:rsidRPr="00904FCB">
        <w:rPr>
          <w:rFonts w:ascii="Times New Roman" w:hAnsi="Times New Roman" w:hint="cs"/>
          <w:i/>
          <w:sz w:val="27"/>
          <w:rtl/>
          <w:lang w:bidi="fa-IR"/>
        </w:rPr>
        <w:t>ه</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أشبه</w:t>
      </w:r>
      <w:r w:rsidRPr="00904FCB">
        <w:rPr>
          <w:rFonts w:ascii="Times New Roman" w:hAnsi="Times New Roman"/>
          <w:i/>
          <w:sz w:val="27"/>
          <w:rtl/>
          <w:lang w:bidi="fa-IR"/>
        </w:rPr>
        <w:t xml:space="preserve"> </w:t>
      </w:r>
      <w:r w:rsidRPr="00904FCB">
        <w:rPr>
          <w:rFonts w:ascii="Times New Roman" w:hAnsi="Times New Roman" w:hint="cs"/>
          <w:i/>
          <w:sz w:val="27"/>
          <w:rtl/>
          <w:lang w:bidi="fa-IR"/>
        </w:rPr>
        <w:t>بم</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ن</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يلثغ، فتكون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صحيحة</w:t>
      </w:r>
      <w:r w:rsidRPr="00904FCB">
        <w:rPr>
          <w:rFonts w:ascii="Times New Roman" w:hAnsi="Times New Roman"/>
          <w:i/>
          <w:sz w:val="27"/>
          <w:rtl/>
          <w:lang w:bidi="fa-IR"/>
        </w:rPr>
        <w:t xml:space="preserve">. </w:t>
      </w:r>
    </w:p>
    <w:p w:rsidR="00057E24" w:rsidRPr="00904FCB" w:rsidRDefault="00057E24" w:rsidP="007003D4">
      <w:pPr>
        <w:spacing w:line="38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5ـ</w:t>
      </w:r>
      <w:r w:rsidRPr="00904FCB">
        <w:rPr>
          <w:rFonts w:hint="cs"/>
          <w:color w:val="auto"/>
          <w:rtl/>
          <w:lang w:bidi="ar-LB"/>
        </w:rPr>
        <w:t xml:space="preserve"> </w:t>
      </w:r>
      <w:r w:rsidRPr="00904FCB">
        <w:rPr>
          <w:color w:val="auto"/>
          <w:rtl/>
          <w:lang w:bidi="fa-IR"/>
        </w:rPr>
        <w:t>معن</w:t>
      </w:r>
      <w:r w:rsidRPr="00904FCB">
        <w:rPr>
          <w:rFonts w:hint="cs"/>
          <w:color w:val="auto"/>
          <w:rtl/>
          <w:lang w:bidi="fa-IR"/>
        </w:rPr>
        <w:t>ى</w:t>
      </w:r>
      <w:r w:rsidRPr="00904FCB">
        <w:rPr>
          <w:color w:val="auto"/>
          <w:rtl/>
          <w:lang w:bidi="fa-IR"/>
        </w:rPr>
        <w:t xml:space="preserve"> </w:t>
      </w:r>
      <w:r w:rsidRPr="00904FCB">
        <w:rPr>
          <w:rFonts w:hint="cs"/>
          <w:color w:val="auto"/>
          <w:rtl/>
          <w:lang w:bidi="fa-IR"/>
        </w:rPr>
        <w:t>الفعل</w:t>
      </w:r>
      <w:r w:rsidRPr="00904FCB">
        <w:rPr>
          <w:color w:val="auto"/>
          <w:rtl/>
          <w:lang w:bidi="fa-IR"/>
        </w:rPr>
        <w:t xml:space="preserve"> </w:t>
      </w:r>
      <w:r w:rsidRPr="00904FCB">
        <w:rPr>
          <w:rFonts w:hint="cs"/>
          <w:color w:val="auto"/>
          <w:rtl/>
          <w:lang w:bidi="fa-IR"/>
        </w:rPr>
        <w:t>المض</w:t>
      </w:r>
      <w:r w:rsidRPr="00904FCB">
        <w:rPr>
          <w:color w:val="auto"/>
          <w:rtl/>
          <w:lang w:bidi="fa-IR"/>
        </w:rPr>
        <w:t xml:space="preserve">ارع </w:t>
      </w:r>
    </w:p>
    <w:p w:rsidR="00057E24" w:rsidRPr="00904FCB" w:rsidRDefault="00057E24" w:rsidP="0029271A">
      <w:pPr>
        <w:spacing w:line="380" w:lineRule="exact"/>
        <w:ind w:firstLine="561"/>
        <w:rPr>
          <w:rFonts w:ascii="Times New Roman" w:hAnsi="Times New Roman"/>
          <w:i/>
          <w:sz w:val="27"/>
          <w:rtl/>
          <w:lang w:bidi="fa-IR"/>
        </w:rPr>
      </w:pPr>
      <w:r w:rsidRPr="00904FCB">
        <w:rPr>
          <w:rFonts w:ascii="Times New Roman" w:hAnsi="Times New Roman" w:hint="cs"/>
          <w:i/>
          <w:sz w:val="27"/>
          <w:rtl/>
          <w:lang w:bidi="fa-IR"/>
        </w:rPr>
        <w:t>ينقل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ضمن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141</w:t>
      </w:r>
      <w:r w:rsidRPr="00904FCB">
        <w:rPr>
          <w:rFonts w:ascii="Times New Roman" w:hAnsi="Times New Roman"/>
          <w:i/>
          <w:sz w:val="27"/>
          <w:rtl/>
          <w:lang w:bidi="fa-IR"/>
        </w:rPr>
        <w:t xml:space="preserve">) </w:t>
      </w:r>
      <w:r w:rsidRPr="00904FCB">
        <w:rPr>
          <w:rFonts w:ascii="Times New Roman" w:hAnsi="Times New Roman" w:hint="cs"/>
          <w:i/>
          <w:sz w:val="27"/>
          <w:rtl/>
          <w:lang w:bidi="fa-IR"/>
        </w:rPr>
        <w:t>أقوالاً</w:t>
      </w:r>
      <w:r w:rsidRPr="00904FCB">
        <w:rPr>
          <w:rFonts w:ascii="Times New Roman" w:hAnsi="Times New Roman"/>
          <w:i/>
          <w:sz w:val="27"/>
          <w:rtl/>
          <w:lang w:bidi="fa-IR"/>
        </w:rPr>
        <w:t xml:space="preserve"> </w:t>
      </w:r>
      <w:r w:rsidRPr="00904FCB">
        <w:rPr>
          <w:rFonts w:ascii="Times New Roman" w:hAnsi="Times New Roman" w:hint="cs"/>
          <w:i/>
          <w:sz w:val="27"/>
          <w:rtl/>
          <w:lang w:bidi="fa-IR"/>
        </w:rPr>
        <w:t>مختلفة</w:t>
      </w:r>
      <w:r w:rsidRPr="00904FCB">
        <w:rPr>
          <w:rFonts w:ascii="Times New Roman" w:hAnsi="Times New Roman"/>
          <w:i/>
          <w:sz w:val="27"/>
          <w:rtl/>
          <w:lang w:bidi="fa-IR"/>
        </w:rPr>
        <w:t xml:space="preserve"> </w:t>
      </w:r>
      <w:r w:rsidRPr="00904FCB">
        <w:rPr>
          <w:rFonts w:ascii="Times New Roman" w:hAnsi="Times New Roman" w:hint="cs"/>
          <w:i/>
          <w:sz w:val="27"/>
          <w:rtl/>
          <w:lang w:bidi="fa-IR"/>
        </w:rPr>
        <w:t>حول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معن</w:t>
      </w:r>
      <w:r w:rsidR="00AC290B"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المضارع</w:t>
      </w:r>
      <w:r w:rsidRPr="00904FCB">
        <w:rPr>
          <w:rFonts w:ascii="Times New Roman" w:hAnsi="Times New Roman"/>
          <w:i/>
          <w:sz w:val="27"/>
          <w:rtl/>
          <w:lang w:bidi="fa-IR"/>
        </w:rPr>
        <w:t xml:space="preserve">: </w:t>
      </w:r>
    </w:p>
    <w:p w:rsidR="00057E24" w:rsidRPr="00904FCB" w:rsidRDefault="00057E24" w:rsidP="0029271A">
      <w:pPr>
        <w:spacing w:line="380" w:lineRule="exact"/>
        <w:ind w:firstLine="561"/>
        <w:rPr>
          <w:rFonts w:ascii="Times New Roman" w:hAnsi="Times New Roman"/>
          <w:i/>
          <w:sz w:val="27"/>
          <w:rtl/>
          <w:lang w:bidi="fa-IR"/>
        </w:rPr>
      </w:pPr>
      <w:r w:rsidRPr="00904FCB">
        <w:rPr>
          <w:rFonts w:ascii="Times New Roman" w:hAnsi="Times New Roman" w:hint="cs"/>
          <w:i/>
          <w:sz w:val="27"/>
          <w:rtl/>
          <w:lang w:bidi="fa-IR"/>
        </w:rPr>
        <w:t xml:space="preserve">أـ </w:t>
      </w:r>
      <w:r w:rsidRPr="00904FCB">
        <w:rPr>
          <w:rFonts w:ascii="Times New Roman" w:hAnsi="Times New Roman"/>
          <w:i/>
          <w:sz w:val="27"/>
          <w:rtl/>
          <w:lang w:bidi="fa-IR"/>
        </w:rPr>
        <w:t>مشترك ب</w:t>
      </w:r>
      <w:r w:rsidRPr="00904FCB">
        <w:rPr>
          <w:rFonts w:ascii="Times New Roman" w:hAnsi="Times New Roman" w:hint="cs"/>
          <w:i/>
          <w:sz w:val="27"/>
          <w:rtl/>
          <w:lang w:bidi="fa-IR"/>
        </w:rPr>
        <w:t>ين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الحال</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المستقبل</w:t>
      </w:r>
      <w:r w:rsidRPr="00904FCB">
        <w:rPr>
          <w:rFonts w:ascii="Times New Roman" w:hAnsi="Times New Roman"/>
          <w:i/>
          <w:sz w:val="27"/>
          <w:rtl/>
          <w:lang w:bidi="fa-IR"/>
        </w:rPr>
        <w:t xml:space="preserve">. </w:t>
      </w:r>
    </w:p>
    <w:p w:rsidR="00057E24" w:rsidRPr="00904FCB" w:rsidRDefault="00057E24" w:rsidP="0029271A">
      <w:pPr>
        <w:spacing w:line="380" w:lineRule="exact"/>
        <w:ind w:firstLine="561"/>
        <w:rPr>
          <w:rFonts w:ascii="Times New Roman" w:hAnsi="Times New Roman"/>
          <w:i/>
          <w:sz w:val="27"/>
          <w:lang w:bidi="fa-IR"/>
        </w:rPr>
      </w:pPr>
      <w:r w:rsidRPr="00904FCB">
        <w:rPr>
          <w:rFonts w:ascii="Times New Roman" w:hAnsi="Times New Roman" w:hint="cs"/>
          <w:i/>
          <w:sz w:val="27"/>
          <w:rtl/>
          <w:lang w:bidi="fa-IR"/>
        </w:rPr>
        <w:t xml:space="preserve">ب ـ </w:t>
      </w:r>
      <w:r w:rsidRPr="00904FCB">
        <w:rPr>
          <w:rFonts w:ascii="Times New Roman" w:hAnsi="Times New Roman"/>
          <w:i/>
          <w:sz w:val="27"/>
          <w:rtl/>
          <w:lang w:bidi="fa-IR"/>
        </w:rPr>
        <w:t>حق</w:t>
      </w:r>
      <w:r w:rsidRPr="00904FCB">
        <w:rPr>
          <w:rFonts w:ascii="Times New Roman" w:hAnsi="Times New Roman" w:hint="cs"/>
          <w:i/>
          <w:sz w:val="27"/>
          <w:rtl/>
          <w:lang w:bidi="fa-IR"/>
        </w:rPr>
        <w:t>يقة</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الحال</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مجازي</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الاستقبال</w:t>
      </w:r>
      <w:r w:rsidRPr="00904FCB">
        <w:rPr>
          <w:rFonts w:ascii="Times New Roman" w:hAnsi="Times New Roman"/>
          <w:i/>
          <w:sz w:val="27"/>
          <w:rtl/>
          <w:lang w:bidi="fa-IR"/>
        </w:rPr>
        <w:t xml:space="preserve">. </w:t>
      </w:r>
    </w:p>
    <w:p w:rsidR="00057E24" w:rsidRPr="00904FCB" w:rsidRDefault="00057E24" w:rsidP="0029271A">
      <w:pPr>
        <w:spacing w:line="380" w:lineRule="exact"/>
        <w:ind w:firstLine="561"/>
        <w:rPr>
          <w:rFonts w:ascii="Times New Roman" w:hAnsi="Times New Roman"/>
          <w:i/>
          <w:sz w:val="27"/>
          <w:rtl/>
          <w:lang w:bidi="fa-IR"/>
        </w:rPr>
      </w:pPr>
      <w:r w:rsidRPr="00904FCB">
        <w:rPr>
          <w:rFonts w:ascii="Times New Roman" w:hAnsi="Times New Roman" w:hint="cs"/>
          <w:i/>
          <w:sz w:val="27"/>
          <w:rtl/>
          <w:lang w:bidi="fa-IR"/>
        </w:rPr>
        <w:t>ج ـ</w:t>
      </w:r>
      <w:r w:rsidRPr="00904FCB">
        <w:rPr>
          <w:rFonts w:ascii="Times New Roman" w:hAnsi="Times New Roman"/>
          <w:i/>
          <w:sz w:val="27"/>
          <w:rtl/>
          <w:lang w:bidi="fa-IR"/>
        </w:rPr>
        <w:t xml:space="preserve"> عكس الثان</w:t>
      </w:r>
      <w:r w:rsidRPr="00904FCB">
        <w:rPr>
          <w:rFonts w:ascii="Times New Roman" w:hAnsi="Times New Roman" w:hint="cs"/>
          <w:i/>
          <w:sz w:val="27"/>
          <w:rtl/>
          <w:lang w:bidi="fa-IR"/>
        </w:rPr>
        <w:t>ية</w:t>
      </w:r>
      <w:r w:rsidRPr="00904FCB">
        <w:rPr>
          <w:rFonts w:ascii="Times New Roman" w:hAnsi="Times New Roman"/>
          <w:i/>
          <w:sz w:val="27"/>
          <w:rtl/>
          <w:lang w:bidi="fa-IR"/>
        </w:rPr>
        <w:t xml:space="preserve">. </w:t>
      </w:r>
    </w:p>
    <w:p w:rsidR="00057E24" w:rsidRPr="00904FCB" w:rsidRDefault="00057E24" w:rsidP="0029271A">
      <w:pPr>
        <w:spacing w:line="380" w:lineRule="exact"/>
        <w:ind w:firstLine="561"/>
        <w:rPr>
          <w:rFonts w:ascii="Times New Roman" w:hAnsi="Times New Roman"/>
          <w:i/>
          <w:sz w:val="27"/>
          <w:rtl/>
          <w:lang w:bidi="fa-IR"/>
        </w:rPr>
      </w:pPr>
      <w:r w:rsidRPr="00904FCB">
        <w:rPr>
          <w:rFonts w:ascii="Times New Roman" w:hAnsi="Times New Roman" w:hint="cs"/>
          <w:i/>
          <w:sz w:val="27"/>
          <w:rtl/>
          <w:lang w:bidi="fa-IR"/>
        </w:rPr>
        <w:t>د ـ</w:t>
      </w:r>
      <w:r w:rsidRPr="00904FCB">
        <w:rPr>
          <w:rFonts w:ascii="Times New Roman" w:hAnsi="Times New Roman"/>
          <w:i/>
          <w:sz w:val="27"/>
          <w:rtl/>
          <w:lang w:bidi="fa-IR"/>
        </w:rPr>
        <w:t xml:space="preserve"> ح</w:t>
      </w:r>
      <w:r w:rsidR="00AC290B" w:rsidRPr="00904FCB">
        <w:rPr>
          <w:rFonts w:ascii="Times New Roman" w:hAnsi="Times New Roman" w:hint="cs"/>
          <w:i/>
          <w:sz w:val="27"/>
          <w:rtl/>
          <w:lang w:bidi="fa-IR"/>
        </w:rPr>
        <w:t>ق</w:t>
      </w:r>
      <w:r w:rsidRPr="00904FCB">
        <w:rPr>
          <w:rFonts w:ascii="Times New Roman" w:hAnsi="Times New Roman" w:hint="cs"/>
          <w:i/>
          <w:sz w:val="27"/>
          <w:rtl/>
          <w:lang w:bidi="fa-IR"/>
        </w:rPr>
        <w:t>يقة</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الحال</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لا</w:t>
      </w:r>
      <w:r w:rsidR="00AC290B" w:rsidRPr="00904FCB">
        <w:rPr>
          <w:rFonts w:ascii="Times New Roman" w:hAnsi="Times New Roman" w:hint="cs"/>
          <w:i/>
          <w:sz w:val="27"/>
          <w:rtl/>
          <w:lang w:bidi="fa-IR"/>
        </w:rPr>
        <w:t xml:space="preserve"> </w:t>
      </w:r>
      <w:r w:rsidRPr="00904FCB">
        <w:rPr>
          <w:rFonts w:ascii="Times New Roman" w:hAnsi="Times New Roman" w:hint="cs"/>
          <w:i/>
          <w:sz w:val="27"/>
          <w:rtl/>
          <w:lang w:bidi="fa-IR"/>
        </w:rPr>
        <w:t>يستعمل</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الاستقبال، لا</w:t>
      </w:r>
      <w:r w:rsidR="00AC290B" w:rsidRPr="00904FCB">
        <w:rPr>
          <w:rFonts w:ascii="Times New Roman" w:hAnsi="Times New Roman" w:hint="cs"/>
          <w:i/>
          <w:sz w:val="27"/>
          <w:rtl/>
          <w:lang w:bidi="fa-IR"/>
        </w:rPr>
        <w:t xml:space="preserve"> </w:t>
      </w:r>
      <w:r w:rsidRPr="00904FCB">
        <w:rPr>
          <w:rFonts w:ascii="Times New Roman" w:hAnsi="Times New Roman" w:hint="cs"/>
          <w:i/>
          <w:sz w:val="27"/>
          <w:rtl/>
          <w:lang w:bidi="fa-IR"/>
        </w:rPr>
        <w:t>حقيقةً</w:t>
      </w:r>
      <w:r w:rsidRPr="00904FCB">
        <w:rPr>
          <w:rFonts w:ascii="Times New Roman" w:hAnsi="Times New Roman"/>
          <w:i/>
          <w:sz w:val="27"/>
          <w:rtl/>
          <w:lang w:bidi="fa-IR"/>
        </w:rPr>
        <w:t xml:space="preserve"> و</w:t>
      </w:r>
      <w:r w:rsidRPr="00904FCB">
        <w:rPr>
          <w:rFonts w:ascii="Times New Roman" w:hAnsi="Times New Roman" w:hint="cs"/>
          <w:i/>
          <w:sz w:val="27"/>
          <w:rtl/>
          <w:lang w:bidi="fa-IR"/>
        </w:rPr>
        <w:t>لا</w:t>
      </w:r>
      <w:r w:rsidR="00AC290B" w:rsidRPr="00904FCB">
        <w:rPr>
          <w:rFonts w:ascii="Times New Roman" w:hAnsi="Times New Roman" w:hint="cs"/>
          <w:i/>
          <w:sz w:val="27"/>
          <w:rtl/>
          <w:lang w:bidi="fa-IR"/>
        </w:rPr>
        <w:t xml:space="preserve"> </w:t>
      </w:r>
      <w:r w:rsidRPr="00904FCB">
        <w:rPr>
          <w:rFonts w:ascii="Times New Roman" w:hAnsi="Times New Roman" w:hint="cs"/>
          <w:i/>
          <w:sz w:val="27"/>
          <w:rtl/>
          <w:lang w:bidi="fa-IR"/>
        </w:rPr>
        <w:t>مجازاً</w:t>
      </w:r>
      <w:r w:rsidRPr="00904FCB">
        <w:rPr>
          <w:rFonts w:ascii="Times New Roman" w:hAnsi="Times New Roman"/>
          <w:i/>
          <w:sz w:val="27"/>
          <w:rtl/>
          <w:lang w:bidi="fa-IR"/>
        </w:rPr>
        <w:t xml:space="preserve">. </w:t>
      </w:r>
    </w:p>
    <w:p w:rsidR="00057E24" w:rsidRPr="00904FCB" w:rsidRDefault="00057E24" w:rsidP="0029271A">
      <w:pPr>
        <w:spacing w:line="380" w:lineRule="exact"/>
        <w:ind w:firstLine="561"/>
        <w:rPr>
          <w:rFonts w:ascii="Times New Roman" w:hAnsi="Times New Roman"/>
          <w:i/>
          <w:sz w:val="27"/>
          <w:rtl/>
          <w:lang w:bidi="fa-IR"/>
        </w:rPr>
      </w:pPr>
      <w:r w:rsidRPr="00904FCB">
        <w:rPr>
          <w:rFonts w:ascii="Times New Roman" w:hAnsi="Times New Roman" w:hint="cs"/>
          <w:i/>
          <w:sz w:val="27"/>
          <w:rtl/>
          <w:lang w:bidi="fa-IR"/>
        </w:rPr>
        <w:t>هـ ـ</w:t>
      </w:r>
      <w:r w:rsidRPr="00904FCB">
        <w:rPr>
          <w:rFonts w:ascii="Times New Roman" w:hAnsi="Times New Roman"/>
          <w:i/>
          <w:sz w:val="27"/>
          <w:rtl/>
          <w:lang w:bidi="fa-IR"/>
        </w:rPr>
        <w:t xml:space="preserve"> عكس الصورة السابقة. </w:t>
      </w:r>
    </w:p>
    <w:p w:rsidR="00057E24" w:rsidRPr="00904FCB" w:rsidRDefault="00057E24" w:rsidP="0029271A">
      <w:pPr>
        <w:spacing w:line="380" w:lineRule="exact"/>
        <w:ind w:firstLine="561"/>
        <w:rPr>
          <w:rFonts w:ascii="Times New Roman" w:hAnsi="Times New Roman"/>
          <w:i/>
          <w:sz w:val="27"/>
          <w:rtl/>
          <w:lang w:bidi="fa-IR"/>
        </w:rPr>
      </w:pPr>
      <w:r w:rsidRPr="00904FCB">
        <w:rPr>
          <w:rFonts w:ascii="Times New Roman" w:hAnsi="Times New Roman"/>
          <w:i/>
          <w:sz w:val="27"/>
          <w:rtl/>
          <w:lang w:bidi="fa-IR"/>
        </w:rPr>
        <w:t>و</w:t>
      </w:r>
      <w:r w:rsidRPr="00904FCB">
        <w:rPr>
          <w:rFonts w:ascii="Times New Roman" w:hAnsi="Times New Roman" w:hint="cs"/>
          <w:i/>
          <w:sz w:val="27"/>
          <w:rtl/>
          <w:lang w:bidi="fa-IR"/>
        </w:rPr>
        <w:t>يرتّ</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بعض الثمرات الفقهية على هذه الأقوال</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00AC290B" w:rsidRPr="00904FCB">
        <w:rPr>
          <w:rFonts w:ascii="Times New Roman" w:hAnsi="Times New Roman" w:hint="cs"/>
          <w:i/>
          <w:sz w:val="27"/>
          <w:rtl/>
          <w:lang w:bidi="fa-IR"/>
        </w:rPr>
        <w:t>و</w:t>
      </w:r>
      <w:r w:rsidRPr="00904FCB">
        <w:rPr>
          <w:rFonts w:ascii="Times New Roman" w:hAnsi="Times New Roman"/>
          <w:i/>
          <w:sz w:val="27"/>
          <w:rtl/>
          <w:lang w:bidi="fa-IR"/>
        </w:rPr>
        <w:t xml:space="preserve">نذكر على </w:t>
      </w:r>
      <w:r w:rsidRPr="00904FCB">
        <w:rPr>
          <w:rFonts w:ascii="Times New Roman" w:hAnsi="Times New Roman" w:hint="cs"/>
          <w:i/>
          <w:sz w:val="27"/>
          <w:rtl/>
          <w:lang w:bidi="fa-IR"/>
        </w:rPr>
        <w:t>سبيل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المثال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إذا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أقسم</w:t>
      </w:r>
      <w:r w:rsidRPr="00904FCB">
        <w:rPr>
          <w:rFonts w:ascii="Times New Roman" w:hAnsi="Times New Roman"/>
          <w:i/>
          <w:sz w:val="27"/>
          <w:rtl/>
          <w:lang w:bidi="fa-IR"/>
        </w:rPr>
        <w:t xml:space="preserve"> </w:t>
      </w:r>
      <w:r w:rsidRPr="00904FCB">
        <w:rPr>
          <w:rFonts w:ascii="Times New Roman" w:hAnsi="Times New Roman" w:hint="cs"/>
          <w:i/>
          <w:sz w:val="27"/>
          <w:rtl/>
          <w:lang w:bidi="fa-IR"/>
        </w:rPr>
        <w:t>أحد</w:t>
      </w:r>
      <w:r w:rsidR="00CA2A47">
        <w:rPr>
          <w:rFonts w:ascii="Times New Roman" w:hAnsi="Times New Roman" w:hint="cs"/>
          <w:i/>
          <w:sz w:val="27"/>
          <w:rtl/>
          <w:lang w:bidi="fa-IR"/>
        </w:rPr>
        <w:t>ُ</w:t>
      </w:r>
      <w:r w:rsidRPr="00904FCB">
        <w:rPr>
          <w:rFonts w:ascii="Times New Roman" w:hAnsi="Times New Roman" w:hint="cs"/>
          <w:i/>
          <w:sz w:val="27"/>
          <w:rtl/>
          <w:lang w:bidi="fa-IR"/>
        </w:rPr>
        <w:t>هم</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قال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«والله</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لأصومنّ</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ففي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صورة</w:t>
      </w:r>
      <w:r w:rsidRPr="00904FCB">
        <w:rPr>
          <w:rFonts w:ascii="Times New Roman" w:hAnsi="Times New Roman"/>
          <w:i/>
          <w:sz w:val="27"/>
          <w:rtl/>
          <w:lang w:bidi="fa-IR"/>
        </w:rPr>
        <w:t xml:space="preserve"> </w:t>
      </w:r>
      <w:r w:rsidRPr="00904FCB">
        <w:rPr>
          <w:rFonts w:ascii="Times New Roman" w:hAnsi="Times New Roman" w:hint="cs"/>
          <w:i/>
          <w:sz w:val="27"/>
          <w:rtl/>
          <w:lang w:bidi="fa-IR"/>
        </w:rPr>
        <w:t>عدم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القرينة</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تعيين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أو</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الاستقبال</w:t>
      </w:r>
      <w:r w:rsidRPr="00904FCB">
        <w:rPr>
          <w:rFonts w:ascii="Times New Roman" w:hAnsi="Times New Roman"/>
          <w:i/>
          <w:sz w:val="27"/>
          <w:rtl/>
          <w:lang w:bidi="fa-IR"/>
        </w:rPr>
        <w:t xml:space="preserve"> </w:t>
      </w:r>
      <w:r w:rsidR="00AC290B" w:rsidRPr="00904FCB">
        <w:rPr>
          <w:rFonts w:ascii="Times New Roman" w:hAnsi="Times New Roman" w:hint="cs"/>
          <w:i/>
          <w:sz w:val="27"/>
          <w:rtl/>
          <w:lang w:bidi="fa-IR"/>
        </w:rPr>
        <w:t>ف</w:t>
      </w:r>
      <w:r w:rsidRPr="00904FCB">
        <w:rPr>
          <w:rFonts w:ascii="Times New Roman" w:hAnsi="Times New Roman" w:hint="cs"/>
          <w:i/>
          <w:sz w:val="27"/>
          <w:rtl/>
          <w:lang w:bidi="fa-IR"/>
        </w:rPr>
        <w:t>طبق</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المعن</w:t>
      </w:r>
      <w:r w:rsidR="00AC290B"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الأول عليه</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الصيام الآن</w:t>
      </w:r>
      <w:r w:rsidRPr="00904FCB">
        <w:rPr>
          <w:rFonts w:ascii="Times New Roman" w:hAnsi="Times New Roman"/>
          <w:i/>
          <w:sz w:val="27"/>
          <w:rtl/>
          <w:lang w:bidi="fa-IR"/>
        </w:rPr>
        <w:t xml:space="preserve"> </w:t>
      </w:r>
      <w:r w:rsidRPr="00904FCB">
        <w:rPr>
          <w:rFonts w:ascii="Times New Roman" w:hAnsi="Times New Roman" w:hint="cs"/>
          <w:i/>
          <w:sz w:val="27"/>
          <w:rtl/>
          <w:lang w:bidi="fa-IR"/>
        </w:rPr>
        <w:t>أو</w:t>
      </w:r>
      <w:r w:rsidRPr="00904FCB">
        <w:rPr>
          <w:rFonts w:ascii="Times New Roman" w:hAnsi="Times New Roman"/>
          <w:i/>
          <w:sz w:val="27"/>
          <w:rtl/>
          <w:lang w:bidi="fa-IR"/>
        </w:rPr>
        <w:t xml:space="preserve"> </w:t>
      </w:r>
      <w:r w:rsidRPr="00904FCB">
        <w:rPr>
          <w:rFonts w:ascii="Times New Roman" w:hAnsi="Times New Roman" w:hint="cs"/>
          <w:i/>
          <w:sz w:val="27"/>
          <w:rtl/>
          <w:lang w:bidi="fa-IR"/>
        </w:rPr>
        <w:t>بعد</w:t>
      </w:r>
      <w:r w:rsidRPr="00904FCB">
        <w:rPr>
          <w:rFonts w:ascii="Times New Roman" w:hAnsi="Times New Roman"/>
          <w:i/>
          <w:sz w:val="27"/>
          <w:rtl/>
          <w:lang w:bidi="fa-IR"/>
        </w:rPr>
        <w:t xml:space="preserve"> </w:t>
      </w:r>
      <w:r w:rsidRPr="00904FCB">
        <w:rPr>
          <w:rFonts w:ascii="Times New Roman" w:hAnsi="Times New Roman" w:hint="cs"/>
          <w:i/>
          <w:sz w:val="27"/>
          <w:rtl/>
          <w:lang w:bidi="fa-IR"/>
        </w:rPr>
        <w:t>ذلك، وطبق</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المعن</w:t>
      </w:r>
      <w:r w:rsidR="00AC290B"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الثاني</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الرابع</w:t>
      </w:r>
      <w:r w:rsidRPr="00904FCB">
        <w:rPr>
          <w:rFonts w:ascii="Times New Roman" w:hAnsi="Times New Roman"/>
          <w:i/>
          <w:sz w:val="27"/>
          <w:rtl/>
          <w:lang w:bidi="fa-IR"/>
        </w:rPr>
        <w:t xml:space="preserve"> </w:t>
      </w:r>
      <w:r w:rsidR="00AC290B" w:rsidRPr="00904FCB">
        <w:rPr>
          <w:rFonts w:ascii="Times New Roman" w:hAnsi="Times New Roman" w:hint="cs"/>
          <w:i/>
          <w:sz w:val="27"/>
          <w:rtl/>
          <w:lang w:bidi="fa-IR"/>
        </w:rPr>
        <w:t xml:space="preserve">يكون </w:t>
      </w:r>
      <w:r w:rsidRPr="00904FCB">
        <w:rPr>
          <w:rFonts w:ascii="Times New Roman" w:hAnsi="Times New Roman" w:hint="cs"/>
          <w:i/>
          <w:sz w:val="27"/>
          <w:rtl/>
          <w:lang w:bidi="fa-IR"/>
        </w:rPr>
        <w:t>أداء</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الصوم</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الوقت</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w:t>
      </w:r>
      <w:r w:rsidR="00AC290B" w:rsidRPr="00904FCB">
        <w:rPr>
          <w:rFonts w:ascii="Times New Roman" w:hAnsi="Times New Roman" w:hint="cs"/>
          <w:i/>
          <w:sz w:val="27"/>
          <w:rtl/>
          <w:lang w:bidi="fa-IR"/>
        </w:rPr>
        <w:t>ض</w:t>
      </w:r>
      <w:r w:rsidRPr="00904FCB">
        <w:rPr>
          <w:rFonts w:ascii="Times New Roman" w:hAnsi="Times New Roman" w:hint="cs"/>
          <w:i/>
          <w:sz w:val="27"/>
          <w:rtl/>
          <w:lang w:bidi="fa-IR"/>
        </w:rPr>
        <w:t>ر</w:t>
      </w:r>
      <w:r w:rsidRPr="00904FCB">
        <w:rPr>
          <w:rFonts w:ascii="Times New Roman" w:hAnsi="Times New Roman"/>
          <w:i/>
          <w:sz w:val="27"/>
          <w:rtl/>
          <w:lang w:bidi="fa-IR"/>
        </w:rPr>
        <w:t xml:space="preserve"> </w:t>
      </w:r>
      <w:r w:rsidRPr="00904FCB">
        <w:rPr>
          <w:rFonts w:ascii="Times New Roman" w:hAnsi="Times New Roman" w:hint="cs"/>
          <w:i/>
          <w:sz w:val="27"/>
          <w:rtl/>
          <w:lang w:bidi="fa-IR"/>
        </w:rPr>
        <w:t>و</w:t>
      </w:r>
      <w:r w:rsidRPr="00904FCB">
        <w:rPr>
          <w:rFonts w:ascii="Times New Roman" w:hAnsi="Times New Roman"/>
          <w:i/>
          <w:sz w:val="27"/>
          <w:rtl/>
          <w:lang w:bidi="fa-IR"/>
        </w:rPr>
        <w:t>اجب</w:t>
      </w:r>
      <w:r w:rsidR="00AC290B" w:rsidRPr="00904FCB">
        <w:rPr>
          <w:rFonts w:ascii="Times New Roman" w:hAnsi="Times New Roman" w:hint="cs"/>
          <w:i/>
          <w:sz w:val="27"/>
          <w:rtl/>
          <w:lang w:bidi="fa-IR"/>
        </w:rPr>
        <w:t>اً</w:t>
      </w:r>
      <w:r w:rsidRPr="00904FCB">
        <w:rPr>
          <w:rFonts w:ascii="Times New Roman" w:hAnsi="Times New Roman"/>
          <w:i/>
          <w:sz w:val="27"/>
          <w:rtl/>
          <w:lang w:bidi="fa-IR"/>
        </w:rPr>
        <w:t xml:space="preserve">. </w:t>
      </w:r>
    </w:p>
    <w:p w:rsidR="00057E24" w:rsidRPr="00904FCB" w:rsidRDefault="00057E24" w:rsidP="007003D4">
      <w:pPr>
        <w:spacing w:line="38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6ـ</w:t>
      </w:r>
      <w:r w:rsidRPr="00904FCB">
        <w:rPr>
          <w:rFonts w:hint="cs"/>
          <w:color w:val="auto"/>
          <w:rtl/>
          <w:lang w:bidi="ar-LB"/>
        </w:rPr>
        <w:t xml:space="preserve"> </w:t>
      </w:r>
      <w:r w:rsidRPr="00904FCB">
        <w:rPr>
          <w:color w:val="auto"/>
          <w:rtl/>
          <w:lang w:bidi="fa-IR"/>
        </w:rPr>
        <w:t>ذكر الوصف ف</w:t>
      </w:r>
      <w:r w:rsidRPr="00904FCB">
        <w:rPr>
          <w:rFonts w:hint="cs"/>
          <w:color w:val="auto"/>
          <w:rtl/>
          <w:lang w:bidi="fa-IR"/>
        </w:rPr>
        <w:t>ي</w:t>
      </w:r>
      <w:r w:rsidRPr="00904FCB">
        <w:rPr>
          <w:color w:val="auto"/>
          <w:rtl/>
          <w:lang w:bidi="fa-IR"/>
        </w:rPr>
        <w:t xml:space="preserve"> </w:t>
      </w:r>
      <w:r w:rsidRPr="00904FCB">
        <w:rPr>
          <w:rFonts w:hint="cs"/>
          <w:color w:val="auto"/>
          <w:rtl/>
          <w:lang w:bidi="fa-IR"/>
        </w:rPr>
        <w:t>نهاية</w:t>
      </w:r>
      <w:r w:rsidRPr="00904FCB">
        <w:rPr>
          <w:color w:val="auto"/>
          <w:rtl/>
          <w:lang w:bidi="fa-IR"/>
        </w:rPr>
        <w:t xml:space="preserve"> </w:t>
      </w:r>
      <w:r w:rsidRPr="00904FCB">
        <w:rPr>
          <w:rFonts w:hint="cs"/>
          <w:color w:val="auto"/>
          <w:rtl/>
          <w:lang w:bidi="fa-IR"/>
        </w:rPr>
        <w:t>الجمل</w:t>
      </w:r>
      <w:r w:rsidRPr="00904FCB">
        <w:rPr>
          <w:color w:val="auto"/>
          <w:rtl/>
          <w:lang w:bidi="fa-IR"/>
        </w:rPr>
        <w:t xml:space="preserve"> </w:t>
      </w:r>
      <w:r w:rsidRPr="00904FCB">
        <w:rPr>
          <w:rFonts w:hint="cs"/>
          <w:color w:val="auto"/>
          <w:rtl/>
          <w:lang w:bidi="fa-IR"/>
        </w:rPr>
        <w:t>المتعد</w:t>
      </w:r>
      <w:r w:rsidR="00AC290B" w:rsidRPr="00904FCB">
        <w:rPr>
          <w:rFonts w:hint="cs"/>
          <w:color w:val="auto"/>
          <w:rtl/>
          <w:lang w:bidi="fa-IR"/>
        </w:rPr>
        <w:t>ِّ</w:t>
      </w:r>
      <w:r w:rsidRPr="00904FCB">
        <w:rPr>
          <w:rFonts w:hint="cs"/>
          <w:color w:val="auto"/>
          <w:rtl/>
          <w:lang w:bidi="fa-IR"/>
        </w:rPr>
        <w:t>دة</w:t>
      </w:r>
      <w:r w:rsidRPr="00904FCB">
        <w:rPr>
          <w:color w:val="auto"/>
          <w:rtl/>
          <w:lang w:bidi="fa-IR"/>
        </w:rPr>
        <w:t xml:space="preserve"> </w:t>
      </w:r>
    </w:p>
    <w:p w:rsidR="00057E24" w:rsidRDefault="00057E24" w:rsidP="0029271A">
      <w:pPr>
        <w:spacing w:line="380" w:lineRule="exact"/>
        <w:ind w:firstLine="561"/>
        <w:rPr>
          <w:rFonts w:ascii="Times New Roman" w:hAnsi="Times New Roman"/>
          <w:i/>
          <w:sz w:val="27"/>
          <w:rtl/>
          <w:lang w:bidi="fa-IR"/>
        </w:rPr>
      </w:pPr>
      <w:r w:rsidRPr="00904FCB">
        <w:rPr>
          <w:rFonts w:ascii="Times New Roman" w:hAnsi="Times New Roman" w:hint="cs"/>
          <w:i/>
          <w:sz w:val="27"/>
          <w:rtl/>
          <w:lang w:bidi="fa-IR"/>
        </w:rPr>
        <w:t>يطرح</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192</w:t>
      </w:r>
      <w:r w:rsidRPr="00904FCB">
        <w:rPr>
          <w:rFonts w:ascii="Times New Roman" w:hAnsi="Times New Roman"/>
          <w:i/>
          <w:sz w:val="27"/>
          <w:rtl/>
          <w:lang w:bidi="fa-IR"/>
        </w:rPr>
        <w:t xml:space="preserve">) </w:t>
      </w:r>
      <w:r w:rsidRPr="00904FCB">
        <w:rPr>
          <w:rFonts w:ascii="Times New Roman" w:hAnsi="Times New Roman" w:hint="cs"/>
          <w:i/>
          <w:sz w:val="27"/>
          <w:rtl/>
          <w:lang w:bidi="fa-IR"/>
        </w:rPr>
        <w:t>بحثاً</w:t>
      </w:r>
      <w:r w:rsidRPr="00904FCB">
        <w:rPr>
          <w:rFonts w:ascii="Times New Roman" w:hAnsi="Times New Roman"/>
          <w:i/>
          <w:sz w:val="27"/>
          <w:rtl/>
          <w:lang w:bidi="fa-IR"/>
        </w:rPr>
        <w:t xml:space="preserve"> </w:t>
      </w:r>
      <w:r w:rsidR="00AC290B" w:rsidRPr="00904FCB">
        <w:rPr>
          <w:rFonts w:ascii="Times New Roman" w:hAnsi="Times New Roman" w:hint="cs"/>
          <w:i/>
          <w:sz w:val="27"/>
          <w:rtl/>
          <w:lang w:bidi="fa-IR"/>
        </w:rPr>
        <w:t>أ</w:t>
      </w:r>
      <w:r w:rsidRPr="00904FCB">
        <w:rPr>
          <w:rFonts w:ascii="Times New Roman" w:hAnsi="Times New Roman" w:hint="cs"/>
          <w:i/>
          <w:sz w:val="27"/>
          <w:rtl/>
          <w:lang w:bidi="fa-IR"/>
        </w:rPr>
        <w:t>دبياً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اختلف</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فيه</w:t>
      </w:r>
      <w:r w:rsidRPr="00904FCB">
        <w:rPr>
          <w:rFonts w:ascii="Times New Roman" w:hAnsi="Times New Roman"/>
          <w:i/>
          <w:sz w:val="27"/>
          <w:rtl/>
          <w:lang w:bidi="fa-IR"/>
        </w:rPr>
        <w:t xml:space="preserve"> </w:t>
      </w:r>
      <w:r w:rsidRPr="00904FCB">
        <w:rPr>
          <w:rFonts w:ascii="Times New Roman" w:hAnsi="Times New Roman" w:hint="cs"/>
          <w:i/>
          <w:sz w:val="27"/>
          <w:rtl/>
          <w:lang w:bidi="fa-IR"/>
        </w:rPr>
        <w:t>أرباب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هذا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الفنّ، وهو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إذا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اشتمل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الكلام</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عدّة</w:t>
      </w:r>
      <w:r w:rsidRPr="00904FCB">
        <w:rPr>
          <w:rFonts w:ascii="Times New Roman" w:hAnsi="Times New Roman"/>
          <w:i/>
          <w:sz w:val="27"/>
          <w:rtl/>
          <w:lang w:bidi="fa-IR"/>
        </w:rPr>
        <w:t xml:space="preserve"> </w:t>
      </w:r>
      <w:r w:rsidRPr="00904FCB">
        <w:rPr>
          <w:rFonts w:ascii="Times New Roman" w:hAnsi="Times New Roman" w:hint="cs"/>
          <w:i/>
          <w:sz w:val="27"/>
          <w:rtl/>
          <w:lang w:bidi="fa-IR"/>
        </w:rPr>
        <w:t>جمل، وفي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نهايتها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أ</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تي</w:t>
      </w:r>
      <w:r w:rsidRPr="00904FCB">
        <w:rPr>
          <w:rFonts w:ascii="Times New Roman" w:hAnsi="Times New Roman"/>
          <w:i/>
          <w:sz w:val="27"/>
          <w:rtl/>
          <w:lang w:bidi="fa-IR"/>
        </w:rPr>
        <w:t xml:space="preserve"> </w:t>
      </w:r>
      <w:r w:rsidRPr="00904FCB">
        <w:rPr>
          <w:rFonts w:ascii="Times New Roman" w:hAnsi="Times New Roman" w:hint="cs"/>
          <w:i/>
          <w:sz w:val="27"/>
          <w:rtl/>
          <w:lang w:bidi="fa-IR"/>
        </w:rPr>
        <w:t>بوصف</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 مثل</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قول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القائل</w:t>
      </w:r>
      <w:r w:rsidRPr="00904FCB">
        <w:rPr>
          <w:rFonts w:ascii="Times New Roman" w:hAnsi="Times New Roman"/>
          <w:i/>
          <w:sz w:val="27"/>
          <w:rtl/>
          <w:lang w:bidi="fa-IR"/>
        </w:rPr>
        <w:t xml:space="preserve">: </w:t>
      </w:r>
      <w:r w:rsidRPr="00904FCB">
        <w:rPr>
          <w:rFonts w:ascii="Times New Roman" w:hAnsi="Times New Roman" w:hint="cs"/>
          <w:i/>
          <w:sz w:val="27"/>
          <w:rtl/>
          <w:lang w:bidi="fa-IR"/>
        </w:rPr>
        <w:t>وقفت</w:t>
      </w:r>
      <w:r w:rsidRPr="00904FCB">
        <w:rPr>
          <w:rFonts w:ascii="Times New Roman" w:hAnsi="Times New Roman"/>
          <w:i/>
          <w:sz w:val="27"/>
          <w:rtl/>
          <w:lang w:bidi="fa-IR"/>
        </w:rPr>
        <w:t xml:space="preserve"> </w:t>
      </w:r>
      <w:r w:rsidRPr="00904FCB">
        <w:rPr>
          <w:rFonts w:ascii="Times New Roman" w:hAnsi="Times New Roman" w:hint="cs"/>
          <w:i/>
          <w:sz w:val="27"/>
          <w:rtl/>
          <w:lang w:bidi="fa-IR"/>
        </w:rPr>
        <w:t>داري</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أولادي</w:t>
      </w:r>
      <w:r w:rsidRPr="00904FCB">
        <w:rPr>
          <w:rFonts w:ascii="Times New Roman" w:hAnsi="Times New Roman"/>
          <w:i/>
          <w:sz w:val="27"/>
          <w:rtl/>
          <w:lang w:bidi="fa-IR"/>
        </w:rPr>
        <w:t xml:space="preserve"> و</w:t>
      </w:r>
      <w:r w:rsidRPr="00904FCB">
        <w:rPr>
          <w:rFonts w:ascii="Times New Roman" w:hAnsi="Times New Roman" w:hint="cs"/>
          <w:i/>
          <w:sz w:val="27"/>
          <w:rtl/>
          <w:lang w:bidi="fa-IR"/>
        </w:rPr>
        <w:t>أولاد</w:t>
      </w:r>
      <w:r w:rsidRPr="00904FCB">
        <w:rPr>
          <w:rFonts w:ascii="Times New Roman" w:hAnsi="Times New Roman"/>
          <w:i/>
          <w:sz w:val="27"/>
          <w:rtl/>
          <w:lang w:bidi="fa-IR"/>
        </w:rPr>
        <w:t xml:space="preserve"> </w:t>
      </w:r>
      <w:r w:rsidRPr="00904FCB">
        <w:rPr>
          <w:rFonts w:ascii="Times New Roman" w:hAnsi="Times New Roman" w:hint="cs"/>
          <w:i/>
          <w:sz w:val="27"/>
          <w:rtl/>
          <w:lang w:bidi="fa-IR"/>
        </w:rPr>
        <w:t>أولادي</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الطلا</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ب</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القر</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اء</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العدول</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فهل</w:t>
      </w:r>
      <w:r w:rsidRPr="00904FCB">
        <w:rPr>
          <w:rFonts w:ascii="Times New Roman" w:hAnsi="Times New Roman"/>
          <w:i/>
          <w:sz w:val="27"/>
          <w:rtl/>
          <w:lang w:bidi="fa-IR"/>
        </w:rPr>
        <w:t xml:space="preserve"> </w:t>
      </w:r>
      <w:r w:rsidRPr="00904FCB">
        <w:rPr>
          <w:rFonts w:ascii="Times New Roman" w:hAnsi="Times New Roman" w:hint="cs"/>
          <w:i/>
          <w:sz w:val="27"/>
          <w:rtl/>
          <w:lang w:bidi="fa-IR"/>
        </w:rPr>
        <w:t>وص</w:t>
      </w:r>
      <w:r w:rsidRPr="00904FCB">
        <w:rPr>
          <w:rFonts w:ascii="Times New Roman" w:hAnsi="Times New Roman"/>
          <w:i/>
          <w:sz w:val="27"/>
          <w:rtl/>
          <w:lang w:bidi="fa-IR"/>
        </w:rPr>
        <w:t>ف العدول متعلّق بالكلّ أم بالأخ</w:t>
      </w:r>
      <w:r w:rsidRPr="00904FCB">
        <w:rPr>
          <w:rFonts w:ascii="Times New Roman" w:hAnsi="Times New Roman" w:hint="cs"/>
          <w:i/>
          <w:sz w:val="27"/>
          <w:rtl/>
          <w:lang w:bidi="fa-IR"/>
        </w:rPr>
        <w:t>ير</w:t>
      </w:r>
      <w:r w:rsidRPr="00904FCB">
        <w:rPr>
          <w:rFonts w:ascii="Times New Roman" w:hAnsi="Times New Roman"/>
          <w:i/>
          <w:sz w:val="27"/>
          <w:rtl/>
          <w:lang w:bidi="fa-IR"/>
        </w:rPr>
        <w:t xml:space="preserve"> </w:t>
      </w:r>
      <w:r w:rsidRPr="00904FCB">
        <w:rPr>
          <w:rFonts w:ascii="Times New Roman" w:hAnsi="Times New Roman" w:hint="cs"/>
          <w:i/>
          <w:sz w:val="27"/>
          <w:rtl/>
          <w:lang w:bidi="fa-IR"/>
        </w:rPr>
        <w:t>خاص</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ة؟ أقوال</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يذكر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الوصف</w:t>
      </w:r>
      <w:r w:rsidRPr="00904FCB">
        <w:rPr>
          <w:rFonts w:ascii="Times New Roman" w:hAnsi="Times New Roman"/>
          <w:i/>
          <w:sz w:val="27"/>
          <w:rtl/>
          <w:lang w:bidi="fa-IR"/>
        </w:rPr>
        <w:t xml:space="preserve"> </w:t>
      </w:r>
      <w:r w:rsidRPr="00904FCB">
        <w:rPr>
          <w:rFonts w:ascii="Times New Roman" w:hAnsi="Times New Roman" w:hint="cs"/>
          <w:i/>
          <w:sz w:val="27"/>
          <w:rtl/>
          <w:lang w:bidi="fa-IR"/>
        </w:rPr>
        <w:t>بناءً</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تعلّ</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قه</w:t>
      </w:r>
      <w:r w:rsidRPr="00904FCB">
        <w:rPr>
          <w:rFonts w:ascii="Times New Roman" w:hAnsi="Times New Roman"/>
          <w:i/>
          <w:sz w:val="27"/>
          <w:rtl/>
          <w:lang w:bidi="fa-IR"/>
        </w:rPr>
        <w:t xml:space="preserve"> </w:t>
      </w:r>
      <w:r w:rsidRPr="00904FCB">
        <w:rPr>
          <w:rFonts w:ascii="Times New Roman" w:hAnsi="Times New Roman" w:hint="cs"/>
          <w:i/>
          <w:sz w:val="27"/>
          <w:rtl/>
          <w:lang w:bidi="fa-IR"/>
        </w:rPr>
        <w:t>بكلّ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الجمل</w:t>
      </w:r>
      <w:r w:rsidRPr="00904FCB">
        <w:rPr>
          <w:rFonts w:ascii="Times New Roman" w:hAnsi="Times New Roman"/>
          <w:i/>
          <w:sz w:val="27"/>
          <w:rtl/>
          <w:lang w:bidi="fa-IR"/>
        </w:rPr>
        <w:t xml:space="preserve"> </w:t>
      </w:r>
      <w:r w:rsidRPr="00904FCB">
        <w:rPr>
          <w:rFonts w:ascii="Times New Roman" w:hAnsi="Times New Roman" w:hint="cs"/>
          <w:i/>
          <w:sz w:val="27"/>
          <w:rtl/>
          <w:lang w:bidi="fa-IR"/>
        </w:rPr>
        <w:t>فهو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قيد</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جميعاً</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بدون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هذا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القيد</w:t>
      </w:r>
      <w:r w:rsidRPr="00904FCB">
        <w:rPr>
          <w:rFonts w:ascii="Times New Roman" w:hAnsi="Times New Roman"/>
          <w:i/>
          <w:sz w:val="27"/>
          <w:rtl/>
          <w:lang w:bidi="fa-IR"/>
        </w:rPr>
        <w:t xml:space="preserve"> </w:t>
      </w:r>
      <w:r w:rsidRPr="00904FCB">
        <w:rPr>
          <w:rFonts w:ascii="Times New Roman" w:hAnsi="Times New Roman" w:hint="cs"/>
          <w:i/>
          <w:sz w:val="27"/>
          <w:rtl/>
          <w:lang w:bidi="fa-IR"/>
        </w:rPr>
        <w:t>لن</w:t>
      </w:r>
      <w:r w:rsidRPr="00904FCB">
        <w:rPr>
          <w:rFonts w:ascii="Times New Roman" w:hAnsi="Times New Roman"/>
          <w:i/>
          <w:sz w:val="27"/>
          <w:rtl/>
          <w:lang w:bidi="fa-IR"/>
        </w:rPr>
        <w:t xml:space="preserve"> </w:t>
      </w:r>
      <w:r w:rsidRPr="00904FCB">
        <w:rPr>
          <w:rFonts w:ascii="Times New Roman" w:hAnsi="Times New Roman" w:hint="cs"/>
          <w:i/>
          <w:sz w:val="27"/>
          <w:rtl/>
          <w:lang w:bidi="fa-IR"/>
        </w:rPr>
        <w:t>يكون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الجميع</w:t>
      </w:r>
      <w:r w:rsidRPr="00904FCB">
        <w:rPr>
          <w:rFonts w:ascii="Times New Roman" w:hAnsi="Times New Roman"/>
          <w:i/>
          <w:sz w:val="27"/>
          <w:rtl/>
          <w:lang w:bidi="fa-IR"/>
        </w:rPr>
        <w:t xml:space="preserve"> </w:t>
      </w:r>
      <w:r w:rsidRPr="00904FCB">
        <w:rPr>
          <w:rFonts w:ascii="Times New Roman" w:hAnsi="Times New Roman" w:hint="cs"/>
          <w:i/>
          <w:sz w:val="27"/>
          <w:rtl/>
          <w:lang w:bidi="fa-IR"/>
        </w:rPr>
        <w:t>مشمول</w:t>
      </w:r>
      <w:r w:rsidR="00AC290B" w:rsidRPr="00904FCB">
        <w:rPr>
          <w:rFonts w:ascii="Times New Roman" w:hAnsi="Times New Roman" w:hint="cs"/>
          <w:i/>
          <w:sz w:val="27"/>
          <w:rtl/>
          <w:lang w:bidi="fa-IR"/>
        </w:rPr>
        <w:t>ي</w:t>
      </w:r>
      <w:r w:rsidRPr="00904FCB">
        <w:rPr>
          <w:rFonts w:ascii="Times New Roman" w:hAnsi="Times New Roman" w:hint="cs"/>
          <w:i/>
          <w:sz w:val="27"/>
          <w:rtl/>
          <w:lang w:bidi="fa-IR"/>
        </w:rPr>
        <w:t>ن</w:t>
      </w:r>
      <w:r w:rsidRPr="00904FCB">
        <w:rPr>
          <w:rFonts w:ascii="Times New Roman" w:hAnsi="Times New Roman"/>
          <w:i/>
          <w:sz w:val="27"/>
          <w:rtl/>
          <w:lang w:bidi="fa-IR"/>
        </w:rPr>
        <w:t xml:space="preserve"> </w:t>
      </w:r>
      <w:r w:rsidRPr="00904FCB">
        <w:rPr>
          <w:rFonts w:ascii="Times New Roman" w:hAnsi="Times New Roman" w:hint="cs"/>
          <w:i/>
          <w:sz w:val="27"/>
          <w:rtl/>
          <w:lang w:bidi="fa-IR"/>
        </w:rPr>
        <w:t>بالحكم</w:t>
      </w:r>
      <w:r w:rsidR="00AC290B" w:rsidRPr="00904FCB">
        <w:rPr>
          <w:rFonts w:ascii="Times New Roman" w:hAnsi="Times New Roman" w:hint="cs"/>
          <w:i/>
          <w:sz w:val="27"/>
          <w:rtl/>
          <w:lang w:bidi="fa-IR"/>
        </w:rPr>
        <w:t>؛ لأنّ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الموضوع</w:t>
      </w:r>
      <w:r w:rsidRPr="00904FCB">
        <w:rPr>
          <w:rFonts w:ascii="Times New Roman" w:hAnsi="Times New Roman"/>
          <w:i/>
          <w:sz w:val="27"/>
          <w:rtl/>
          <w:lang w:bidi="fa-IR"/>
        </w:rPr>
        <w:t xml:space="preserve"> </w:t>
      </w:r>
      <w:r w:rsidRPr="00904FCB">
        <w:rPr>
          <w:rFonts w:ascii="Times New Roman" w:hAnsi="Times New Roman" w:hint="cs"/>
          <w:i/>
          <w:sz w:val="27"/>
          <w:rtl/>
          <w:lang w:bidi="fa-IR"/>
        </w:rPr>
        <w:t>لم</w:t>
      </w:r>
      <w:r w:rsidRPr="00904FCB">
        <w:rPr>
          <w:rFonts w:ascii="Times New Roman" w:hAnsi="Times New Roman"/>
          <w:i/>
          <w:sz w:val="27"/>
          <w:rtl/>
          <w:lang w:bidi="fa-IR"/>
        </w:rPr>
        <w:t xml:space="preserve"> </w:t>
      </w:r>
      <w:r w:rsidRPr="00904FCB">
        <w:rPr>
          <w:rFonts w:ascii="Times New Roman" w:hAnsi="Times New Roman" w:hint="cs"/>
          <w:i/>
          <w:sz w:val="27"/>
          <w:rtl/>
          <w:lang w:bidi="fa-IR"/>
        </w:rPr>
        <w:t>يتحقّ</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ق</w:t>
      </w:r>
      <w:r w:rsidRPr="00904FCB">
        <w:rPr>
          <w:rFonts w:ascii="Times New Roman" w:hAnsi="Times New Roman"/>
          <w:i/>
          <w:sz w:val="27"/>
          <w:rtl/>
          <w:lang w:bidi="fa-IR"/>
        </w:rPr>
        <w:t xml:space="preserve">. </w:t>
      </w:r>
    </w:p>
    <w:p w:rsidR="000E7D46" w:rsidRPr="00904FCB" w:rsidRDefault="000E7D46" w:rsidP="007003D4">
      <w:pPr>
        <w:spacing w:line="380" w:lineRule="exact"/>
        <w:ind w:firstLine="561"/>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7ـ</w:t>
      </w:r>
      <w:r w:rsidRPr="00904FCB">
        <w:rPr>
          <w:rFonts w:hint="cs"/>
          <w:color w:val="auto"/>
          <w:rtl/>
          <w:lang w:bidi="ar-LB"/>
        </w:rPr>
        <w:t xml:space="preserve"> </w:t>
      </w:r>
      <w:r w:rsidRPr="00904FCB">
        <w:rPr>
          <w:color w:val="auto"/>
          <w:rtl/>
          <w:lang w:bidi="fa-IR"/>
        </w:rPr>
        <w:t xml:space="preserve">أقلّ العدد </w:t>
      </w:r>
    </w:p>
    <w:p w:rsidR="00057E24" w:rsidRPr="00904FCB" w:rsidRDefault="00057E24" w:rsidP="00865294">
      <w:pPr>
        <w:spacing w:line="380" w:lineRule="exact"/>
        <w:ind w:firstLine="561"/>
        <w:rPr>
          <w:rFonts w:ascii="Times New Roman" w:hAnsi="Times New Roman"/>
          <w:i/>
          <w:sz w:val="27"/>
          <w:rtl/>
          <w:lang w:bidi="fa-IR"/>
        </w:rPr>
      </w:pPr>
      <w:r w:rsidRPr="00904FCB">
        <w:rPr>
          <w:rFonts w:ascii="Times New Roman" w:hAnsi="Times New Roman"/>
          <w:i/>
          <w:sz w:val="27"/>
          <w:rtl/>
          <w:lang w:bidi="fa-IR"/>
        </w:rPr>
        <w:t>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بحث</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الأعداد قالوا</w:t>
      </w:r>
      <w:r w:rsidRPr="00904FCB">
        <w:rPr>
          <w:rFonts w:ascii="Times New Roman" w:hAnsi="Times New Roman"/>
          <w:i/>
          <w:sz w:val="27"/>
          <w:rtl/>
          <w:lang w:bidi="fa-IR"/>
        </w:rPr>
        <w:t xml:space="preserve">: </w:t>
      </w:r>
      <w:r w:rsidRPr="00904FCB">
        <w:rPr>
          <w:rFonts w:ascii="Times New Roman" w:hAnsi="Times New Roman" w:hint="cs"/>
          <w:i/>
          <w:sz w:val="27"/>
          <w:rtl/>
          <w:lang w:bidi="fa-IR"/>
        </w:rPr>
        <w:t>إنّ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العدد</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الأقلّ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اثنان، وأم</w:t>
      </w:r>
      <w:r w:rsidRPr="00904FCB">
        <w:rPr>
          <w:rFonts w:ascii="Times New Roman" w:hAnsi="Times New Roman"/>
          <w:i/>
          <w:sz w:val="27"/>
          <w:rtl/>
          <w:lang w:bidi="fa-IR"/>
        </w:rPr>
        <w:t>ّا الواحد فل</w:t>
      </w:r>
      <w:r w:rsidRPr="00904FCB">
        <w:rPr>
          <w:rFonts w:ascii="Times New Roman" w:hAnsi="Times New Roman" w:hint="cs"/>
          <w:i/>
          <w:sz w:val="27"/>
          <w:rtl/>
          <w:lang w:bidi="fa-IR"/>
        </w:rPr>
        <w:t>يس</w:t>
      </w:r>
      <w:r w:rsidRPr="00904FCB">
        <w:rPr>
          <w:rFonts w:ascii="Times New Roman" w:hAnsi="Times New Roman"/>
          <w:i/>
          <w:sz w:val="27"/>
          <w:rtl/>
          <w:lang w:bidi="fa-IR"/>
        </w:rPr>
        <w:t xml:space="preserve"> </w:t>
      </w:r>
      <w:r w:rsidRPr="00904FCB">
        <w:rPr>
          <w:rFonts w:ascii="Times New Roman" w:hAnsi="Times New Roman" w:hint="cs"/>
          <w:i/>
          <w:sz w:val="27"/>
          <w:rtl/>
          <w:lang w:bidi="fa-IR"/>
        </w:rPr>
        <w:t>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جزء</w:t>
      </w:r>
      <w:r w:rsidR="00AC290B" w:rsidRPr="00904FCB">
        <w:rPr>
          <w:rFonts w:ascii="Times New Roman" w:hAnsi="Times New Roman" w:hint="cs"/>
          <w:i/>
          <w:sz w:val="27"/>
          <w:rtl/>
          <w:lang w:bidi="fa-IR"/>
        </w:rPr>
        <w:t xml:space="preserve"> </w:t>
      </w:r>
      <w:r w:rsidRPr="00904FCB">
        <w:rPr>
          <w:rFonts w:ascii="Times New Roman" w:hAnsi="Times New Roman" w:hint="cs"/>
          <w:i/>
          <w:sz w:val="27"/>
          <w:rtl/>
          <w:lang w:bidi="fa-IR"/>
        </w:rPr>
        <w:t xml:space="preserve">‌العدد، </w:t>
      </w:r>
      <w:r w:rsidRPr="00904FCB">
        <w:rPr>
          <w:rFonts w:ascii="Times New Roman" w:hAnsi="Times New Roman" w:hint="cs"/>
          <w:i/>
          <w:sz w:val="27"/>
          <w:rtl/>
          <w:lang w:bidi="fa-IR"/>
        </w:rPr>
        <w:lastRenderedPageBreak/>
        <w:t>بل</w:t>
      </w:r>
      <w:r w:rsidRPr="00904FCB">
        <w:rPr>
          <w:rFonts w:ascii="Times New Roman" w:hAnsi="Times New Roman"/>
          <w:i/>
          <w:sz w:val="27"/>
          <w:rtl/>
          <w:lang w:bidi="fa-IR"/>
        </w:rPr>
        <w:t xml:space="preserve"> </w:t>
      </w:r>
      <w:r w:rsidRPr="00904FCB">
        <w:rPr>
          <w:rFonts w:ascii="Times New Roman" w:hAnsi="Times New Roman" w:hint="cs"/>
          <w:i/>
          <w:sz w:val="27"/>
          <w:rtl/>
          <w:lang w:bidi="fa-IR"/>
        </w:rPr>
        <w:t>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أصل</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00AC290B" w:rsidRPr="00904FCB">
        <w:rPr>
          <w:rFonts w:ascii="Times New Roman" w:hAnsi="Times New Roman" w:hint="cs"/>
          <w:i/>
          <w:sz w:val="27"/>
          <w:rtl/>
          <w:lang w:bidi="fa-IR"/>
        </w:rPr>
        <w:t>و</w:t>
      </w:r>
      <w:r w:rsidRPr="00904FCB">
        <w:rPr>
          <w:rFonts w:ascii="Times New Roman" w:hAnsi="Times New Roman" w:hint="cs"/>
          <w:i/>
          <w:sz w:val="27"/>
          <w:rtl/>
          <w:lang w:bidi="fa-IR"/>
        </w:rPr>
        <w:t>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يذكر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135</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البحث</w:t>
      </w:r>
      <w:r w:rsidRPr="00904FCB">
        <w:rPr>
          <w:rFonts w:ascii="Times New Roman" w:hAnsi="Times New Roman"/>
          <w:i/>
          <w:sz w:val="27"/>
          <w:rtl/>
          <w:lang w:bidi="fa-IR"/>
        </w:rPr>
        <w:t xml:space="preserve"> </w:t>
      </w:r>
      <w:r w:rsidRPr="00904FCB">
        <w:rPr>
          <w:rFonts w:ascii="Times New Roman" w:hAnsi="Times New Roman" w:hint="cs"/>
          <w:i/>
          <w:sz w:val="27"/>
          <w:rtl/>
          <w:lang w:bidi="fa-IR"/>
        </w:rPr>
        <w:t>جملة</w:t>
      </w:r>
      <w:r w:rsidRPr="00904FCB">
        <w:rPr>
          <w:rFonts w:ascii="Times New Roman" w:hAnsi="Times New Roman"/>
          <w:i/>
          <w:sz w:val="27"/>
          <w:rtl/>
          <w:lang w:bidi="fa-IR"/>
        </w:rPr>
        <w:t xml:space="preserve"> </w:t>
      </w:r>
      <w:r w:rsidRPr="00904FCB">
        <w:rPr>
          <w:rFonts w:ascii="Times New Roman" w:hAnsi="Times New Roman" w:hint="cs"/>
          <w:i/>
          <w:sz w:val="27"/>
          <w:rtl/>
          <w:lang w:bidi="fa-IR"/>
        </w:rPr>
        <w:t>ثمرات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فق</w:t>
      </w:r>
      <w:r w:rsidRPr="00904FCB">
        <w:rPr>
          <w:rFonts w:ascii="Times New Roman" w:hAnsi="Times New Roman"/>
          <w:i/>
          <w:sz w:val="27"/>
          <w:rtl/>
          <w:lang w:bidi="fa-IR"/>
        </w:rPr>
        <w:t>هية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باب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الإقرار</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الوصي</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ة</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الن</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ذ</w:t>
      </w:r>
      <w:r w:rsidR="00AC290B" w:rsidRPr="00904FCB">
        <w:rPr>
          <w:rFonts w:ascii="Times New Roman" w:hAnsi="Times New Roman" w:hint="cs"/>
          <w:i/>
          <w:sz w:val="27"/>
          <w:rtl/>
          <w:lang w:bidi="fa-IR"/>
        </w:rPr>
        <w:t>ْر</w:t>
      </w:r>
      <w:r w:rsidRPr="00904FCB">
        <w:rPr>
          <w:rFonts w:ascii="Times New Roman" w:hAnsi="Times New Roman"/>
          <w:i/>
          <w:sz w:val="27"/>
          <w:rtl/>
          <w:lang w:bidi="fa-IR"/>
        </w:rPr>
        <w:t xml:space="preserve"> و</w:t>
      </w:r>
      <w:r w:rsidRPr="00904FCB">
        <w:rPr>
          <w:rFonts w:ascii="Times New Roman" w:hAnsi="Times New Roman" w:hint="cs"/>
          <w:i/>
          <w:sz w:val="27"/>
          <w:rtl/>
          <w:lang w:bidi="fa-IR"/>
        </w:rPr>
        <w:t>غيرها</w:t>
      </w:r>
      <w:r w:rsidRPr="00904FCB">
        <w:rPr>
          <w:rFonts w:ascii="Times New Roman" w:hAnsi="Times New Roman"/>
          <w:i/>
          <w:sz w:val="27"/>
          <w:rtl/>
          <w:lang w:bidi="fa-IR"/>
        </w:rPr>
        <w:t xml:space="preserve">. </w:t>
      </w:r>
    </w:p>
    <w:p w:rsidR="00057E24" w:rsidRPr="00904FCB" w:rsidRDefault="00057E24" w:rsidP="00865294">
      <w:pPr>
        <w:spacing w:line="380" w:lineRule="exact"/>
        <w:ind w:firstLine="561"/>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904FCB">
        <w:rPr>
          <w:color w:val="auto"/>
          <w:rtl/>
          <w:lang w:bidi="fa-IR"/>
        </w:rPr>
        <w:t>بعض أفكاره</w:t>
      </w:r>
      <w:r w:rsidR="00AC290B" w:rsidRPr="00904FCB">
        <w:rPr>
          <w:rFonts w:hint="cs"/>
          <w:color w:val="auto"/>
          <w:rtl/>
          <w:lang w:bidi="fa-IR"/>
        </w:rPr>
        <w:t>،</w:t>
      </w:r>
      <w:r w:rsidRPr="00904FCB">
        <w:rPr>
          <w:color w:val="auto"/>
          <w:rtl/>
          <w:lang w:bidi="fa-IR"/>
        </w:rPr>
        <w:t xml:space="preserve"> ونقودها</w:t>
      </w:r>
    </w:p>
    <w:p w:rsidR="00057E24" w:rsidRPr="00904FCB" w:rsidRDefault="00057E24" w:rsidP="00865294">
      <w:pPr>
        <w:spacing w:line="380" w:lineRule="exact"/>
        <w:ind w:firstLine="561"/>
        <w:rPr>
          <w:rFonts w:ascii="Times New Roman" w:hAnsi="Times New Roman"/>
          <w:i/>
          <w:sz w:val="27"/>
          <w:rtl/>
          <w:lang w:bidi="fa-IR"/>
        </w:rPr>
      </w:pPr>
      <w:r w:rsidRPr="00904FCB">
        <w:rPr>
          <w:rFonts w:ascii="Times New Roman" w:hAnsi="Times New Roman"/>
          <w:i/>
          <w:sz w:val="27"/>
          <w:rtl/>
          <w:lang w:bidi="fa-IR"/>
        </w:rPr>
        <w:t>طرح الشهيد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بعضاً</w:t>
      </w:r>
      <w:r w:rsidRPr="00904FCB">
        <w:rPr>
          <w:rFonts w:ascii="Times New Roman" w:hAnsi="Times New Roman"/>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الأفكار</w:t>
      </w:r>
      <w:r w:rsidRPr="00904FCB">
        <w:rPr>
          <w:rFonts w:ascii="Times New Roman" w:hAnsi="Times New Roman"/>
          <w:i/>
          <w:sz w:val="27"/>
          <w:rtl/>
          <w:lang w:bidi="fa-IR"/>
        </w:rPr>
        <w:t xml:space="preserve"> </w:t>
      </w:r>
      <w:r w:rsidRPr="00904FCB">
        <w:rPr>
          <w:rFonts w:ascii="Times New Roman" w:hAnsi="Times New Roman" w:hint="cs"/>
          <w:i/>
          <w:sz w:val="27"/>
          <w:rtl/>
          <w:lang w:bidi="fa-IR"/>
        </w:rPr>
        <w:t>لم</w:t>
      </w:r>
      <w:r w:rsidRPr="00904FCB">
        <w:rPr>
          <w:rFonts w:ascii="Times New Roman" w:hAnsi="Times New Roman"/>
          <w:i/>
          <w:sz w:val="27"/>
          <w:rtl/>
          <w:lang w:bidi="fa-IR"/>
        </w:rPr>
        <w:t xml:space="preserve"> </w:t>
      </w:r>
      <w:r w:rsidRPr="00904FCB">
        <w:rPr>
          <w:rFonts w:ascii="Times New Roman" w:hAnsi="Times New Roman" w:hint="cs"/>
          <w:i/>
          <w:sz w:val="27"/>
          <w:rtl/>
          <w:lang w:bidi="fa-IR"/>
        </w:rPr>
        <w:t>يرحّ</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ب</w:t>
      </w:r>
      <w:r w:rsidRPr="00904FCB">
        <w:rPr>
          <w:rFonts w:ascii="Times New Roman" w:hAnsi="Times New Roman"/>
          <w:i/>
          <w:sz w:val="27"/>
          <w:rtl/>
          <w:lang w:bidi="fa-IR"/>
        </w:rPr>
        <w:t xml:space="preserve"> </w:t>
      </w:r>
      <w:r w:rsidRPr="00904FCB">
        <w:rPr>
          <w:rFonts w:ascii="Times New Roman" w:hAnsi="Times New Roman" w:hint="cs"/>
          <w:i/>
          <w:sz w:val="27"/>
          <w:rtl/>
          <w:lang w:bidi="fa-IR"/>
        </w:rPr>
        <w:t>بها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الأصولي</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ون، بل</w:t>
      </w:r>
      <w:r w:rsidRPr="00904FCB">
        <w:rPr>
          <w:rFonts w:ascii="Times New Roman" w:hAnsi="Times New Roman"/>
          <w:i/>
          <w:sz w:val="27"/>
          <w:rtl/>
          <w:lang w:bidi="fa-IR"/>
        </w:rPr>
        <w:t xml:space="preserve"> </w:t>
      </w:r>
      <w:r w:rsidRPr="00904FCB">
        <w:rPr>
          <w:rFonts w:ascii="Times New Roman" w:hAnsi="Times New Roman" w:hint="cs"/>
          <w:i/>
          <w:sz w:val="27"/>
          <w:rtl/>
          <w:lang w:bidi="fa-IR"/>
        </w:rPr>
        <w:t>صارت</w:t>
      </w:r>
      <w:r w:rsidRPr="00904FCB">
        <w:rPr>
          <w:rFonts w:ascii="Times New Roman" w:hAnsi="Times New Roman"/>
          <w:i/>
          <w:sz w:val="27"/>
          <w:rtl/>
          <w:lang w:bidi="fa-IR"/>
        </w:rPr>
        <w:t xml:space="preserve"> </w:t>
      </w:r>
      <w:r w:rsidR="00AC290B" w:rsidRPr="00904FCB">
        <w:rPr>
          <w:rFonts w:ascii="Times New Roman" w:hAnsi="Times New Roman" w:hint="cs"/>
          <w:i/>
          <w:sz w:val="27"/>
          <w:rtl/>
          <w:lang w:bidi="fa-IR"/>
        </w:rPr>
        <w:t xml:space="preserve">مورداً </w:t>
      </w:r>
      <w:r w:rsidRPr="00904FCB">
        <w:rPr>
          <w:rFonts w:ascii="Times New Roman" w:hAnsi="Times New Roman" w:hint="cs"/>
          <w:i/>
          <w:sz w:val="27"/>
          <w:rtl/>
          <w:lang w:bidi="fa-IR"/>
        </w:rPr>
        <w:t>للنقد</w:t>
      </w:r>
      <w:r w:rsidR="00AC290B" w:rsidRPr="00904FCB">
        <w:rPr>
          <w:rFonts w:ascii="Times New Roman" w:hAnsi="Times New Roman" w:hint="cs"/>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قبلهم</w:t>
      </w:r>
      <w:r w:rsidR="00AC290B" w:rsidRPr="00904FCB">
        <w:rPr>
          <w:rFonts w:ascii="Times New Roman" w:hAnsi="Times New Roman" w:hint="cs"/>
          <w:i/>
          <w:sz w:val="27"/>
          <w:rtl/>
          <w:lang w:bidi="fa-IR"/>
        </w:rPr>
        <w:t>، و</w:t>
      </w:r>
      <w:r w:rsidRPr="00904FCB">
        <w:rPr>
          <w:rFonts w:ascii="Times New Roman" w:hAnsi="Times New Roman" w:hint="cs"/>
          <w:i/>
          <w:sz w:val="27"/>
          <w:rtl/>
          <w:lang w:bidi="fa-IR"/>
        </w:rPr>
        <w:t>نذكر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أهمّه</w:t>
      </w:r>
      <w:r w:rsidRPr="00904FCB">
        <w:rPr>
          <w:rFonts w:ascii="Times New Roman" w:hAnsi="Times New Roman"/>
          <w:i/>
          <w:sz w:val="27"/>
          <w:rtl/>
          <w:lang w:bidi="fa-IR"/>
        </w:rPr>
        <w:t xml:space="preserve">ا: </w:t>
      </w:r>
    </w:p>
    <w:p w:rsidR="00057E24" w:rsidRPr="00904FCB" w:rsidRDefault="00057E24" w:rsidP="00865294">
      <w:pPr>
        <w:spacing w:line="380" w:lineRule="exact"/>
        <w:ind w:firstLine="561"/>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1ـ</w:t>
      </w:r>
      <w:r w:rsidRPr="00904FCB">
        <w:rPr>
          <w:rFonts w:hint="cs"/>
          <w:color w:val="auto"/>
          <w:rtl/>
          <w:lang w:bidi="ar-LB"/>
        </w:rPr>
        <w:t xml:space="preserve"> </w:t>
      </w:r>
      <w:r w:rsidRPr="00904FCB">
        <w:rPr>
          <w:color w:val="auto"/>
          <w:rtl/>
          <w:lang w:bidi="fa-IR"/>
        </w:rPr>
        <w:t xml:space="preserve">مفهوم الوصف </w:t>
      </w:r>
    </w:p>
    <w:p w:rsidR="00057E24" w:rsidRPr="00904FCB" w:rsidRDefault="00057E24" w:rsidP="00865294">
      <w:pPr>
        <w:spacing w:line="380" w:lineRule="exact"/>
        <w:ind w:firstLine="561"/>
        <w:rPr>
          <w:rFonts w:ascii="Times New Roman" w:hAnsi="Times New Roman"/>
          <w:i/>
          <w:sz w:val="27"/>
          <w:rtl/>
          <w:lang w:bidi="fa-IR"/>
        </w:rPr>
      </w:pPr>
      <w:r w:rsidRPr="00904FCB">
        <w:rPr>
          <w:rFonts w:ascii="Times New Roman" w:hAnsi="Times New Roman"/>
          <w:i/>
          <w:sz w:val="27"/>
          <w:rtl/>
          <w:lang w:bidi="fa-IR"/>
        </w:rPr>
        <w:t>ذكر الشهيد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حج</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ية</w:t>
      </w:r>
      <w:r w:rsidRPr="00904FCB">
        <w:rPr>
          <w:rFonts w:ascii="Times New Roman" w:hAnsi="Times New Roman"/>
          <w:i/>
          <w:sz w:val="27"/>
          <w:rtl/>
          <w:lang w:bidi="fa-IR"/>
        </w:rPr>
        <w:t xml:space="preserve"> </w:t>
      </w:r>
      <w:r w:rsidR="00AC290B" w:rsidRPr="00904FCB">
        <w:rPr>
          <w:rFonts w:ascii="Times New Roman" w:hAnsi="Times New Roman" w:hint="cs"/>
          <w:i/>
          <w:sz w:val="27"/>
          <w:rtl/>
          <w:lang w:bidi="fa-IR"/>
        </w:rPr>
        <w:t>م</w:t>
      </w:r>
      <w:r w:rsidRPr="00904FCB">
        <w:rPr>
          <w:rFonts w:ascii="Times New Roman" w:hAnsi="Times New Roman" w:hint="cs"/>
          <w:i/>
          <w:sz w:val="27"/>
          <w:rtl/>
          <w:lang w:bidi="fa-IR"/>
        </w:rPr>
        <w:t>فهوم</w:t>
      </w:r>
      <w:r w:rsidR="00AC290B" w:rsidRPr="00904FCB">
        <w:rPr>
          <w:rFonts w:ascii="Times New Roman" w:hAnsi="Times New Roman" w:hint="cs"/>
          <w:i/>
          <w:sz w:val="27"/>
          <w:rtl/>
          <w:lang w:bidi="fa-IR"/>
        </w:rPr>
        <w:t xml:space="preserve"> الوصف</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الشرط</w:t>
      </w:r>
      <w:r w:rsidR="00AC290B" w:rsidRPr="00904FCB">
        <w:rPr>
          <w:rFonts w:ascii="Times New Roman" w:hAnsi="Times New Roman" w:hint="cs"/>
          <w:i/>
          <w:sz w:val="27"/>
          <w:rtl/>
          <w:lang w:bidi="fa-IR"/>
        </w:rPr>
        <w:t>، و</w:t>
      </w:r>
      <w:r w:rsidRPr="00904FCB">
        <w:rPr>
          <w:rFonts w:ascii="Times New Roman" w:hAnsi="Times New Roman" w:hint="cs"/>
          <w:i/>
          <w:sz w:val="27"/>
          <w:rtl/>
          <w:lang w:bidi="fa-IR"/>
        </w:rPr>
        <w:t>بعد</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أورد</w:t>
      </w:r>
      <w:r w:rsidRPr="00904FCB">
        <w:rPr>
          <w:rFonts w:ascii="Times New Roman" w:hAnsi="Times New Roman"/>
          <w:i/>
          <w:sz w:val="27"/>
          <w:rtl/>
          <w:lang w:bidi="fa-IR"/>
        </w:rPr>
        <w:t xml:space="preserve"> </w:t>
      </w:r>
      <w:r w:rsidRPr="00904FCB">
        <w:rPr>
          <w:rFonts w:ascii="Times New Roman" w:hAnsi="Times New Roman" w:hint="cs"/>
          <w:i/>
          <w:sz w:val="27"/>
          <w:rtl/>
          <w:lang w:bidi="fa-IR"/>
        </w:rPr>
        <w:t>أقوالاً اخت</w:t>
      </w:r>
      <w:r w:rsidR="00AC290B" w:rsidRPr="00904FCB">
        <w:rPr>
          <w:rFonts w:ascii="Times New Roman" w:hAnsi="Times New Roman" w:hint="cs"/>
          <w:i/>
          <w:sz w:val="27"/>
          <w:rtl/>
          <w:lang w:bidi="fa-IR"/>
        </w:rPr>
        <w:t>ا</w:t>
      </w:r>
      <w:r w:rsidRPr="00904FCB">
        <w:rPr>
          <w:rFonts w:ascii="Times New Roman" w:hAnsi="Times New Roman" w:hint="cs"/>
          <w:i/>
          <w:sz w:val="27"/>
          <w:rtl/>
          <w:lang w:bidi="fa-IR"/>
        </w:rPr>
        <w:t>ر</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الثالث</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التفصيل</w:t>
      </w:r>
      <w:r w:rsidRPr="00904FCB">
        <w:rPr>
          <w:rFonts w:ascii="Times New Roman" w:hAnsi="Times New Roman"/>
          <w:i/>
          <w:sz w:val="27"/>
          <w:rtl/>
          <w:lang w:bidi="fa-IR"/>
        </w:rPr>
        <w:t xml:space="preserve"> </w:t>
      </w:r>
      <w:r w:rsidRPr="00904FCB">
        <w:rPr>
          <w:rFonts w:ascii="Times New Roman" w:hAnsi="Times New Roman" w:hint="cs"/>
          <w:i/>
          <w:sz w:val="27"/>
          <w:rtl/>
          <w:lang w:bidi="fa-IR"/>
        </w:rPr>
        <w:t>بين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المفهومين</w:t>
      </w:r>
      <w:r w:rsidRPr="00904FCB">
        <w:rPr>
          <w:rFonts w:ascii="Times New Roman" w:hAnsi="Times New Roman"/>
          <w:i/>
          <w:sz w:val="27"/>
          <w:rtl/>
          <w:lang w:bidi="fa-IR"/>
        </w:rPr>
        <w:t xml:space="preserve">. </w:t>
      </w:r>
      <w:r w:rsidRPr="00904FCB">
        <w:rPr>
          <w:rFonts w:ascii="Times New Roman" w:hAnsi="Times New Roman" w:hint="cs"/>
          <w:i/>
          <w:sz w:val="27"/>
          <w:rtl/>
          <w:lang w:bidi="fa-IR"/>
        </w:rPr>
        <w:t>ذكر</w:t>
      </w:r>
      <w:r w:rsidR="00AC290B" w:rsidRPr="00904FCB">
        <w:rPr>
          <w:rFonts w:ascii="Times New Roman" w:hAnsi="Times New Roman" w:hint="cs"/>
          <w:i/>
          <w:sz w:val="27"/>
          <w:rtl/>
          <w:lang w:bidi="fa-IR"/>
        </w:rPr>
        <w:t xml:space="preserve"> ذلك</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25</w:t>
      </w:r>
      <w:r w:rsidRPr="00904FCB">
        <w:rPr>
          <w:rFonts w:ascii="Times New Roman" w:hAnsi="Times New Roman"/>
          <w:i/>
          <w:sz w:val="27"/>
          <w:rtl/>
          <w:lang w:bidi="fa-IR"/>
        </w:rPr>
        <w:t>)</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رغم</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المشهور</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الوقت</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الحاضر</w:t>
      </w:r>
      <w:r w:rsidRPr="00904FCB">
        <w:rPr>
          <w:rFonts w:ascii="Times New Roman" w:hAnsi="Times New Roman"/>
          <w:i/>
          <w:sz w:val="27"/>
          <w:rtl/>
          <w:lang w:bidi="fa-IR"/>
        </w:rPr>
        <w:t xml:space="preserve"> </w:t>
      </w:r>
      <w:r w:rsidRPr="00904FCB">
        <w:rPr>
          <w:rFonts w:ascii="Times New Roman" w:hAnsi="Times New Roman" w:hint="cs"/>
          <w:i/>
          <w:sz w:val="27"/>
          <w:rtl/>
          <w:lang w:bidi="fa-IR"/>
        </w:rPr>
        <w:t>بينهم</w:t>
      </w:r>
      <w:r w:rsidRPr="00904FCB">
        <w:rPr>
          <w:rFonts w:ascii="Times New Roman" w:hAnsi="Times New Roman"/>
          <w:i/>
          <w:sz w:val="27"/>
          <w:rtl/>
          <w:lang w:bidi="fa-IR"/>
        </w:rPr>
        <w:t xml:space="preserve"> </w:t>
      </w:r>
      <w:r w:rsidRPr="00904FCB">
        <w:rPr>
          <w:rFonts w:ascii="Times New Roman" w:hAnsi="Times New Roman" w:hint="cs"/>
          <w:i/>
          <w:sz w:val="27"/>
          <w:rtl/>
          <w:lang w:bidi="fa-IR"/>
        </w:rPr>
        <w:t>تفاوت</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كبير</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صعيد</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الحج</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ية</w:t>
      </w:r>
      <w:r w:rsidRPr="00904FCB">
        <w:rPr>
          <w:rFonts w:ascii="Times New Roman" w:hAnsi="Times New Roman"/>
          <w:i/>
          <w:sz w:val="27"/>
          <w:rtl/>
          <w:lang w:bidi="fa-IR"/>
        </w:rPr>
        <w:t xml:space="preserve"> و</w:t>
      </w:r>
      <w:r w:rsidRPr="00904FCB">
        <w:rPr>
          <w:rFonts w:ascii="Times New Roman" w:hAnsi="Times New Roman" w:hint="cs"/>
          <w:i/>
          <w:sz w:val="27"/>
          <w:rtl/>
          <w:lang w:bidi="fa-IR"/>
        </w:rPr>
        <w:t>عدم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الحجّ</w:t>
      </w:r>
      <w:r w:rsidR="00AC290B" w:rsidRPr="00904FCB">
        <w:rPr>
          <w:rFonts w:ascii="Times New Roman" w:hAnsi="Times New Roman" w:hint="cs"/>
          <w:i/>
          <w:sz w:val="27"/>
          <w:rtl/>
          <w:lang w:bidi="fa-IR"/>
        </w:rPr>
        <w:t>ي</w:t>
      </w:r>
      <w:r w:rsidRPr="00904FCB">
        <w:rPr>
          <w:rFonts w:ascii="Times New Roman" w:hAnsi="Times New Roman" w:hint="cs"/>
          <w:i/>
          <w:sz w:val="27"/>
          <w:rtl/>
          <w:lang w:bidi="fa-IR"/>
        </w:rPr>
        <w:t>ة</w:t>
      </w:r>
      <w:r w:rsidRPr="00904FCB">
        <w:rPr>
          <w:rFonts w:ascii="Times New Roman" w:hAnsi="Times New Roman"/>
          <w:i/>
          <w:sz w:val="27"/>
          <w:rtl/>
          <w:lang w:bidi="fa-IR"/>
        </w:rPr>
        <w:t xml:space="preserve">. </w:t>
      </w:r>
    </w:p>
    <w:p w:rsidR="00057E24" w:rsidRPr="00904FCB" w:rsidRDefault="00057E24" w:rsidP="00865294">
      <w:pPr>
        <w:spacing w:line="380" w:lineRule="exact"/>
        <w:ind w:firstLine="561"/>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2ـ</w:t>
      </w:r>
      <w:r w:rsidRPr="00904FCB">
        <w:rPr>
          <w:rFonts w:hint="cs"/>
          <w:color w:val="auto"/>
          <w:rtl/>
          <w:lang w:bidi="ar-LB"/>
        </w:rPr>
        <w:t xml:space="preserve"> </w:t>
      </w:r>
      <w:r w:rsidRPr="00904FCB">
        <w:rPr>
          <w:color w:val="auto"/>
          <w:rtl/>
          <w:lang w:bidi="fa-IR"/>
        </w:rPr>
        <w:t xml:space="preserve">مفهوم الزمان والمكان </w:t>
      </w:r>
    </w:p>
    <w:p w:rsidR="00057E24" w:rsidRPr="00904FCB" w:rsidRDefault="00057E24" w:rsidP="00865294">
      <w:pPr>
        <w:spacing w:line="380" w:lineRule="exact"/>
        <w:ind w:firstLine="561"/>
        <w:rPr>
          <w:rFonts w:ascii="Times New Roman" w:hAnsi="Times New Roman"/>
          <w:i/>
          <w:sz w:val="27"/>
          <w:rtl/>
          <w:lang w:bidi="fa-IR"/>
        </w:rPr>
      </w:pPr>
      <w:r w:rsidRPr="00904FCB">
        <w:rPr>
          <w:rFonts w:ascii="Times New Roman" w:hAnsi="Times New Roman"/>
          <w:i/>
          <w:sz w:val="27"/>
          <w:rtl/>
          <w:lang w:bidi="fa-IR"/>
        </w:rPr>
        <w:t>من جملة البحوث الت</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تعر</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ض</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أيضاً</w:t>
      </w:r>
      <w:r w:rsidRPr="00904FCB">
        <w:rPr>
          <w:rFonts w:ascii="Times New Roman" w:hAnsi="Times New Roman"/>
          <w:i/>
          <w:sz w:val="27"/>
          <w:rtl/>
          <w:lang w:bidi="fa-IR"/>
        </w:rPr>
        <w:t xml:space="preserve"> </w:t>
      </w:r>
      <w:r w:rsidRPr="00904FCB">
        <w:rPr>
          <w:rFonts w:ascii="Times New Roman" w:hAnsi="Times New Roman" w:hint="cs"/>
          <w:i/>
          <w:sz w:val="27"/>
          <w:rtl/>
          <w:lang w:bidi="fa-IR"/>
        </w:rPr>
        <w:t>مفهوم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الزمان</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المكان</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ذكره</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ذيل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B769C0">
        <w:rPr>
          <w:rFonts w:ascii="Times New Roman" w:hAnsi="Times New Roman" w:hint="cs"/>
          <w:sz w:val="27"/>
          <w:rtl/>
          <w:lang w:bidi="ar-LB"/>
        </w:rPr>
        <w:t>28</w:t>
      </w:r>
      <w:r w:rsidRPr="00904FCB">
        <w:rPr>
          <w:rFonts w:ascii="Times New Roman" w:hAnsi="Times New Roman"/>
          <w:i/>
          <w:sz w:val="27"/>
          <w:rtl/>
          <w:lang w:bidi="fa-IR"/>
        </w:rPr>
        <w:t>)</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فيقول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«مفهوم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الزمان</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المكان</w:t>
      </w:r>
      <w:r w:rsidRPr="00904FCB">
        <w:rPr>
          <w:rFonts w:ascii="Times New Roman" w:hAnsi="Times New Roman"/>
          <w:i/>
          <w:sz w:val="27"/>
          <w:rtl/>
          <w:lang w:bidi="fa-IR"/>
        </w:rPr>
        <w:t xml:space="preserve"> </w:t>
      </w:r>
      <w:r w:rsidRPr="00904FCB">
        <w:rPr>
          <w:rFonts w:ascii="Times New Roman" w:hAnsi="Times New Roman" w:hint="cs"/>
          <w:i/>
          <w:sz w:val="27"/>
          <w:rtl/>
          <w:lang w:bidi="fa-IR"/>
        </w:rPr>
        <w:t>حج</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ة</w:t>
      </w:r>
      <w:r w:rsidRPr="00904FCB">
        <w:rPr>
          <w:rFonts w:ascii="Times New Roman" w:hAnsi="Times New Roman"/>
          <w:i/>
          <w:sz w:val="27"/>
          <w:rtl/>
          <w:lang w:bidi="fa-IR"/>
        </w:rPr>
        <w:t xml:space="preserve"> </w:t>
      </w:r>
      <w:r w:rsidRPr="00904FCB">
        <w:rPr>
          <w:rFonts w:ascii="Times New Roman" w:hAnsi="Times New Roman" w:hint="cs"/>
          <w:i/>
          <w:sz w:val="27"/>
          <w:rtl/>
          <w:lang w:bidi="fa-IR"/>
        </w:rPr>
        <w:t>عند</w:t>
      </w:r>
      <w:r w:rsidRPr="00904FCB">
        <w:rPr>
          <w:rFonts w:ascii="Times New Roman" w:hAnsi="Times New Roman"/>
          <w:i/>
          <w:sz w:val="27"/>
          <w:rtl/>
          <w:lang w:bidi="fa-IR"/>
        </w:rPr>
        <w:t xml:space="preserve"> </w:t>
      </w:r>
      <w:r w:rsidRPr="00904FCB">
        <w:rPr>
          <w:rFonts w:ascii="Times New Roman" w:hAnsi="Times New Roman" w:hint="cs"/>
          <w:i/>
          <w:sz w:val="27"/>
          <w:rtl/>
          <w:lang w:bidi="fa-IR"/>
        </w:rPr>
        <w:t>جماعة</w:t>
      </w:r>
      <w:r w:rsidR="00AC290B"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مردود</w:t>
      </w:r>
      <w:r w:rsidRPr="00904FCB">
        <w:rPr>
          <w:rFonts w:ascii="Times New Roman" w:hAnsi="Times New Roman"/>
          <w:i/>
          <w:sz w:val="27"/>
          <w:rtl/>
          <w:lang w:bidi="fa-IR"/>
        </w:rPr>
        <w:t xml:space="preserve"> </w:t>
      </w:r>
      <w:r w:rsidRPr="00904FCB">
        <w:rPr>
          <w:rFonts w:ascii="Times New Roman" w:hAnsi="Times New Roman" w:hint="cs"/>
          <w:i/>
          <w:sz w:val="27"/>
          <w:rtl/>
          <w:lang w:bidi="fa-IR"/>
        </w:rPr>
        <w:t>عند</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المحق</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قين»</w:t>
      </w:r>
      <w:r w:rsidRPr="00904FCB">
        <w:rPr>
          <w:rFonts w:ascii="Times New Roman" w:hAnsi="Times New Roman"/>
          <w:i/>
          <w:sz w:val="27"/>
          <w:rtl/>
          <w:lang w:bidi="fa-IR"/>
        </w:rPr>
        <w:t xml:space="preserve">. </w:t>
      </w:r>
    </w:p>
    <w:p w:rsidR="00057E24" w:rsidRPr="00904FCB" w:rsidRDefault="00057E24" w:rsidP="00865294">
      <w:pPr>
        <w:spacing w:line="380" w:lineRule="exact"/>
        <w:ind w:firstLine="561"/>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3ـ</w:t>
      </w:r>
      <w:r w:rsidRPr="00904FCB">
        <w:rPr>
          <w:rFonts w:hint="cs"/>
          <w:color w:val="auto"/>
          <w:rtl/>
          <w:lang w:bidi="ar-LB"/>
        </w:rPr>
        <w:t xml:space="preserve"> </w:t>
      </w:r>
      <w:r w:rsidRPr="00904FCB">
        <w:rPr>
          <w:color w:val="auto"/>
          <w:rtl/>
          <w:lang w:bidi="fa-IR"/>
        </w:rPr>
        <w:t>مدلول الفكرة الواقعة ف</w:t>
      </w:r>
      <w:r w:rsidRPr="00904FCB">
        <w:rPr>
          <w:rFonts w:hint="cs"/>
          <w:color w:val="auto"/>
          <w:rtl/>
          <w:lang w:bidi="fa-IR"/>
        </w:rPr>
        <w:t>ي</w:t>
      </w:r>
      <w:r w:rsidRPr="00904FCB">
        <w:rPr>
          <w:color w:val="auto"/>
          <w:rtl/>
          <w:lang w:bidi="fa-IR"/>
        </w:rPr>
        <w:t xml:space="preserve"> </w:t>
      </w:r>
      <w:r w:rsidRPr="00904FCB">
        <w:rPr>
          <w:rFonts w:hint="cs"/>
          <w:color w:val="auto"/>
          <w:rtl/>
          <w:lang w:bidi="fa-IR"/>
        </w:rPr>
        <w:t>سياق</w:t>
      </w:r>
      <w:r w:rsidRPr="00904FCB">
        <w:rPr>
          <w:color w:val="auto"/>
          <w:rtl/>
          <w:lang w:bidi="fa-IR"/>
        </w:rPr>
        <w:t xml:space="preserve"> </w:t>
      </w:r>
      <w:r w:rsidRPr="00904FCB">
        <w:rPr>
          <w:rFonts w:hint="cs"/>
          <w:color w:val="auto"/>
          <w:rtl/>
          <w:lang w:bidi="fa-IR"/>
        </w:rPr>
        <w:t>الشرط</w:t>
      </w:r>
      <w:r w:rsidRPr="00904FCB">
        <w:rPr>
          <w:color w:val="auto"/>
          <w:rtl/>
          <w:lang w:bidi="fa-IR"/>
        </w:rPr>
        <w:t xml:space="preserve"> و</w:t>
      </w:r>
      <w:r w:rsidRPr="00904FCB">
        <w:rPr>
          <w:rFonts w:hint="cs"/>
          <w:color w:val="auto"/>
          <w:rtl/>
          <w:lang w:bidi="fa-IR"/>
        </w:rPr>
        <w:t xml:space="preserve">الإثبات </w:t>
      </w:r>
    </w:p>
    <w:p w:rsidR="00057E24" w:rsidRDefault="00057E24" w:rsidP="00865294">
      <w:pPr>
        <w:spacing w:line="380" w:lineRule="exact"/>
        <w:ind w:firstLine="561"/>
        <w:rPr>
          <w:rFonts w:ascii="Times New Roman" w:hAnsi="Times New Roman"/>
          <w:i/>
          <w:sz w:val="27"/>
          <w:rtl/>
          <w:lang w:bidi="fa-IR"/>
        </w:rPr>
      </w:pPr>
      <w:r w:rsidRPr="00904FCB">
        <w:rPr>
          <w:rFonts w:ascii="Times New Roman" w:hAnsi="Times New Roman"/>
          <w:i/>
          <w:sz w:val="27"/>
          <w:rtl/>
          <w:lang w:bidi="fa-IR"/>
        </w:rPr>
        <w:t>من البحوث الت</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ط</w:t>
      </w:r>
      <w:r w:rsidR="00AC290B" w:rsidRPr="00904FCB">
        <w:rPr>
          <w:rFonts w:ascii="Times New Roman" w:hAnsi="Times New Roman" w:hint="cs"/>
          <w:i/>
          <w:sz w:val="27"/>
          <w:rtl/>
          <w:lang w:bidi="fa-IR"/>
        </w:rPr>
        <w:t>ُ</w:t>
      </w:r>
      <w:r w:rsidRPr="00904FCB">
        <w:rPr>
          <w:rFonts w:ascii="Times New Roman" w:hAnsi="Times New Roman" w:hint="cs"/>
          <w:i/>
          <w:sz w:val="27"/>
          <w:rtl/>
          <w:lang w:bidi="fa-IR"/>
        </w:rPr>
        <w:t>رحت</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عصر</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الف</w:t>
      </w:r>
      <w:r w:rsidRPr="00904FCB">
        <w:rPr>
          <w:rFonts w:ascii="Times New Roman" w:hAnsi="Times New Roman"/>
          <w:i/>
          <w:sz w:val="27"/>
          <w:rtl/>
          <w:lang w:bidi="fa-IR"/>
        </w:rPr>
        <w:t>كرة الواقعة</w:t>
      </w:r>
      <w:r w:rsidR="00AC290B" w:rsidRPr="00904FCB">
        <w:rPr>
          <w:rFonts w:ascii="Times New Roman" w:hAnsi="Times New Roman" w:hint="cs"/>
          <w:i/>
          <w:sz w:val="27"/>
          <w:rtl/>
          <w:lang w:bidi="fa-IR"/>
        </w:rPr>
        <w:t xml:space="preserve"> </w:t>
      </w:r>
      <w:r w:rsidRPr="00904FCB">
        <w:rPr>
          <w:rFonts w:ascii="Times New Roman" w:hAnsi="Times New Roman"/>
          <w:i/>
          <w:sz w:val="27"/>
          <w:rtl/>
          <w:lang w:bidi="fa-IR"/>
        </w:rPr>
        <w:t>(أ)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سياق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النفي</w:t>
      </w:r>
      <w:r w:rsidR="00AE77CE"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ب</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سياق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الشرط</w:t>
      </w:r>
      <w:r w:rsidR="00AE77CE"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ج</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سياق</w:t>
      </w:r>
      <w:r w:rsidRPr="00904FCB">
        <w:rPr>
          <w:rFonts w:ascii="Times New Roman" w:hAnsi="Times New Roman"/>
          <w:i/>
          <w:sz w:val="27"/>
          <w:rtl/>
          <w:lang w:bidi="fa-IR"/>
        </w:rPr>
        <w:t xml:space="preserve"> </w:t>
      </w:r>
      <w:r w:rsidRPr="00904FCB">
        <w:rPr>
          <w:rFonts w:ascii="Times New Roman" w:hAnsi="Times New Roman" w:hint="cs"/>
          <w:i/>
          <w:sz w:val="27"/>
          <w:rtl/>
          <w:lang w:bidi="fa-IR"/>
        </w:rPr>
        <w:t xml:space="preserve">الإثبات، </w:t>
      </w:r>
      <w:r w:rsidR="00AE77CE" w:rsidRPr="00904FCB">
        <w:rPr>
          <w:rFonts w:ascii="Times New Roman" w:hAnsi="Times New Roman" w:hint="cs"/>
          <w:i/>
          <w:sz w:val="27"/>
          <w:rtl/>
          <w:lang w:bidi="fa-IR"/>
        </w:rPr>
        <w:t xml:space="preserve">هل </w:t>
      </w:r>
      <w:r w:rsidRPr="00904FCB">
        <w:rPr>
          <w:rFonts w:ascii="Times New Roman" w:hAnsi="Times New Roman"/>
          <w:i/>
          <w:sz w:val="27"/>
          <w:rtl/>
          <w:lang w:bidi="fa-IR"/>
        </w:rPr>
        <w:t>هي من ألفاظ العموم وتدلّ عل</w:t>
      </w:r>
      <w:r w:rsidRPr="00904FCB">
        <w:rPr>
          <w:rFonts w:ascii="Times New Roman" w:hAnsi="Times New Roman" w:hint="cs"/>
          <w:i/>
          <w:sz w:val="27"/>
          <w:rtl/>
          <w:lang w:bidi="fa-IR"/>
        </w:rPr>
        <w:t>يه</w:t>
      </w:r>
      <w:r w:rsidRPr="00904FCB">
        <w:rPr>
          <w:rFonts w:ascii="Times New Roman" w:hAnsi="Times New Roman"/>
          <w:i/>
          <w:sz w:val="27"/>
          <w:rtl/>
          <w:lang w:bidi="fa-IR"/>
        </w:rPr>
        <w:t xml:space="preserve"> </w:t>
      </w:r>
      <w:r w:rsidR="00AE77CE" w:rsidRPr="00904FCB">
        <w:rPr>
          <w:rFonts w:ascii="Times New Roman" w:hAnsi="Times New Roman" w:hint="cs"/>
          <w:i/>
          <w:sz w:val="27"/>
          <w:rtl/>
          <w:lang w:bidi="fa-IR"/>
        </w:rPr>
        <w:t>أ</w:t>
      </w:r>
      <w:r w:rsidRPr="00904FCB">
        <w:rPr>
          <w:rFonts w:ascii="Times New Roman" w:hAnsi="Times New Roman" w:hint="cs"/>
          <w:i/>
          <w:sz w:val="27"/>
          <w:rtl/>
          <w:lang w:bidi="fa-IR"/>
        </w:rPr>
        <w:t>م</w:t>
      </w:r>
      <w:r w:rsidRPr="00904FCB">
        <w:rPr>
          <w:rFonts w:ascii="Times New Roman" w:hAnsi="Times New Roman"/>
          <w:i/>
          <w:sz w:val="27"/>
          <w:rtl/>
          <w:lang w:bidi="fa-IR"/>
        </w:rPr>
        <w:t xml:space="preserve"> </w:t>
      </w:r>
      <w:r w:rsidRPr="00904FCB">
        <w:rPr>
          <w:rFonts w:ascii="Times New Roman" w:hAnsi="Times New Roman" w:hint="cs"/>
          <w:i/>
          <w:sz w:val="27"/>
          <w:rtl/>
          <w:lang w:bidi="fa-IR"/>
        </w:rPr>
        <w:t>لا؟ ير</w:t>
      </w:r>
      <w:r w:rsidR="00AE77CE"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 xml:space="preserve">هيد أنّ ثلاثتها </w:t>
      </w:r>
      <w:r w:rsidRPr="00904FCB">
        <w:rPr>
          <w:rFonts w:ascii="Times New Roman" w:hAnsi="Times New Roman" w:hint="cs"/>
          <w:i/>
          <w:sz w:val="27"/>
          <w:rtl/>
          <w:lang w:bidi="fa-IR"/>
        </w:rPr>
        <w:t>يدلّ</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العموم</w:t>
      </w:r>
      <w:r w:rsidRPr="00904FCB">
        <w:rPr>
          <w:rFonts w:ascii="Times New Roman" w:hAnsi="Times New Roman"/>
          <w:i/>
          <w:sz w:val="27"/>
          <w:rtl/>
          <w:lang w:bidi="fa-IR"/>
        </w:rPr>
        <w:t xml:space="preserve">. </w:t>
      </w:r>
      <w:r w:rsidR="00AE77CE" w:rsidRPr="00904FCB">
        <w:rPr>
          <w:rFonts w:ascii="Times New Roman" w:hAnsi="Times New Roman" w:hint="cs"/>
          <w:i/>
          <w:sz w:val="27"/>
          <w:rtl/>
          <w:lang w:bidi="fa-IR"/>
        </w:rPr>
        <w:t xml:space="preserve">وقد </w:t>
      </w:r>
      <w:r w:rsidRPr="00904FCB">
        <w:rPr>
          <w:rFonts w:ascii="Times New Roman" w:hAnsi="Times New Roman" w:hint="cs"/>
          <w:i/>
          <w:sz w:val="27"/>
          <w:rtl/>
          <w:lang w:bidi="fa-IR"/>
        </w:rPr>
        <w:t>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ذلك</w:t>
      </w:r>
      <w:r w:rsidRPr="00904FCB">
        <w:rPr>
          <w:rFonts w:ascii="Times New Roman" w:hAnsi="Times New Roman"/>
          <w:i/>
          <w:sz w:val="27"/>
          <w:rtl/>
          <w:lang w:bidi="fa-IR"/>
        </w:rPr>
        <w:t xml:space="preserve"> </w:t>
      </w:r>
      <w:r w:rsidRPr="00904FCB">
        <w:rPr>
          <w:rFonts w:ascii="Times New Roman" w:hAnsi="Times New Roman" w:hint="cs"/>
          <w:i/>
          <w:sz w:val="27"/>
          <w:rtl/>
          <w:lang w:bidi="fa-IR"/>
        </w:rPr>
        <w:t>ضمن</w:t>
      </w:r>
      <w:r w:rsidRPr="00904FCB">
        <w:rPr>
          <w:rFonts w:ascii="Times New Roman" w:hAnsi="Times New Roman"/>
          <w:i/>
          <w:sz w:val="27"/>
          <w:rtl/>
          <w:lang w:bidi="fa-IR"/>
        </w:rPr>
        <w:t xml:space="preserve"> </w:t>
      </w:r>
      <w:r w:rsidRPr="00B769C0">
        <w:rPr>
          <w:rFonts w:ascii="Times New Roman" w:hAnsi="Times New Roman" w:hint="cs"/>
          <w:i/>
          <w:sz w:val="27"/>
          <w:rtl/>
          <w:lang w:bidi="fa-IR"/>
        </w:rPr>
        <w:t>القواعد</w:t>
      </w:r>
      <w:r w:rsidRPr="00B769C0">
        <w:rPr>
          <w:rFonts w:ascii="Times New Roman" w:hAnsi="Times New Roman"/>
          <w:i/>
          <w:sz w:val="27"/>
          <w:rtl/>
          <w:lang w:bidi="fa-IR"/>
        </w:rPr>
        <w:t xml:space="preserve"> (</w:t>
      </w:r>
      <w:r w:rsidRPr="00B769C0">
        <w:rPr>
          <w:rFonts w:ascii="Times New Roman" w:hAnsi="Times New Roman" w:hint="cs"/>
          <w:sz w:val="27"/>
          <w:rtl/>
          <w:lang w:bidi="ar-LB"/>
        </w:rPr>
        <w:t>53</w:t>
      </w:r>
      <w:r w:rsidRPr="00B769C0">
        <w:rPr>
          <w:rFonts w:ascii="Times New Roman" w:hAnsi="Times New Roman" w:hint="cs"/>
          <w:i/>
          <w:sz w:val="27"/>
          <w:rtl/>
          <w:lang w:bidi="fa-IR"/>
        </w:rPr>
        <w:t xml:space="preserve">، </w:t>
      </w:r>
      <w:r w:rsidRPr="00B769C0">
        <w:rPr>
          <w:rFonts w:ascii="Times New Roman" w:hAnsi="Times New Roman" w:hint="cs"/>
          <w:sz w:val="27"/>
          <w:rtl/>
          <w:lang w:bidi="ar-LB"/>
        </w:rPr>
        <w:t xml:space="preserve">54، </w:t>
      </w:r>
      <w:r w:rsidRPr="00B769C0">
        <w:rPr>
          <w:rFonts w:ascii="Times New Roman" w:hAnsi="Times New Roman"/>
          <w:i/>
          <w:sz w:val="27"/>
          <w:rtl/>
          <w:lang w:bidi="fa-IR"/>
        </w:rPr>
        <w:t>و</w:t>
      </w:r>
      <w:r w:rsidRPr="00B769C0">
        <w:rPr>
          <w:rFonts w:ascii="Times New Roman" w:hAnsi="Times New Roman" w:hint="cs"/>
          <w:sz w:val="27"/>
          <w:rtl/>
          <w:lang w:bidi="ar-LB"/>
        </w:rPr>
        <w:t>55</w:t>
      </w:r>
      <w:r w:rsidRPr="00B769C0">
        <w:rPr>
          <w:rFonts w:ascii="Times New Roman" w:hAnsi="Times New Roman"/>
          <w:i/>
          <w:sz w:val="27"/>
          <w:rtl/>
          <w:lang w:bidi="fa-IR"/>
        </w:rPr>
        <w:t>).</w:t>
      </w:r>
      <w:r w:rsidRPr="00904FCB">
        <w:rPr>
          <w:rFonts w:ascii="Times New Roman" w:hAnsi="Times New Roman"/>
          <w:i/>
          <w:sz w:val="27"/>
          <w:rtl/>
          <w:lang w:bidi="fa-IR"/>
        </w:rPr>
        <w:t xml:space="preserve"> </w:t>
      </w:r>
    </w:p>
    <w:p w:rsidR="00865294" w:rsidRPr="00904FCB" w:rsidRDefault="00865294" w:rsidP="00865294">
      <w:pPr>
        <w:spacing w:line="380" w:lineRule="exact"/>
        <w:ind w:firstLine="561"/>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4ـ</w:t>
      </w:r>
      <w:r w:rsidRPr="00904FCB">
        <w:rPr>
          <w:rFonts w:hint="cs"/>
          <w:color w:val="auto"/>
          <w:rtl/>
          <w:lang w:bidi="ar-LB"/>
        </w:rPr>
        <w:t xml:space="preserve"> </w:t>
      </w:r>
      <w:r w:rsidRPr="00904FCB">
        <w:rPr>
          <w:color w:val="auto"/>
          <w:rtl/>
          <w:lang w:bidi="fa-IR"/>
        </w:rPr>
        <w:t>دخول المتكل</w:t>
      </w:r>
      <w:r w:rsidR="00AE77CE" w:rsidRPr="00904FCB">
        <w:rPr>
          <w:rFonts w:hint="cs"/>
          <w:color w:val="auto"/>
          <w:rtl/>
          <w:lang w:bidi="fa-IR"/>
        </w:rPr>
        <w:t>ِّ</w:t>
      </w:r>
      <w:r w:rsidRPr="00904FCB">
        <w:rPr>
          <w:color w:val="auto"/>
          <w:rtl/>
          <w:lang w:bidi="fa-IR"/>
        </w:rPr>
        <w:t>م ف</w:t>
      </w:r>
      <w:r w:rsidRPr="00904FCB">
        <w:rPr>
          <w:rFonts w:hint="cs"/>
          <w:color w:val="auto"/>
          <w:rtl/>
          <w:lang w:bidi="fa-IR"/>
        </w:rPr>
        <w:t>ي</w:t>
      </w:r>
      <w:r w:rsidRPr="00904FCB">
        <w:rPr>
          <w:color w:val="auto"/>
          <w:rtl/>
          <w:lang w:bidi="fa-IR"/>
        </w:rPr>
        <w:t xml:space="preserve"> </w:t>
      </w:r>
      <w:r w:rsidRPr="00904FCB">
        <w:rPr>
          <w:rFonts w:hint="cs"/>
          <w:color w:val="auto"/>
          <w:rtl/>
          <w:lang w:bidi="fa-IR"/>
        </w:rPr>
        <w:t>عموم</w:t>
      </w:r>
      <w:r w:rsidRPr="00904FCB">
        <w:rPr>
          <w:color w:val="auto"/>
          <w:rtl/>
          <w:lang w:bidi="fa-IR"/>
        </w:rPr>
        <w:t xml:space="preserve"> </w:t>
      </w:r>
      <w:r w:rsidRPr="00904FCB">
        <w:rPr>
          <w:rFonts w:hint="cs"/>
          <w:color w:val="auto"/>
          <w:rtl/>
          <w:lang w:bidi="fa-IR"/>
        </w:rPr>
        <w:t xml:space="preserve">الخطاب </w:t>
      </w:r>
    </w:p>
    <w:p w:rsidR="00057E24" w:rsidRPr="00904FCB" w:rsidRDefault="00057E24" w:rsidP="007003D4">
      <w:pPr>
        <w:spacing w:line="400" w:lineRule="exact"/>
        <w:ind w:firstLine="561"/>
        <w:rPr>
          <w:rFonts w:ascii="Times New Roman" w:hAnsi="Times New Roman"/>
          <w:i/>
          <w:sz w:val="27"/>
          <w:rtl/>
          <w:lang w:bidi="fa-IR"/>
        </w:rPr>
      </w:pPr>
      <w:r w:rsidRPr="00904FCB">
        <w:rPr>
          <w:rFonts w:ascii="Times New Roman" w:hAnsi="Times New Roman"/>
          <w:i/>
          <w:sz w:val="27"/>
          <w:rtl/>
          <w:lang w:bidi="fa-IR"/>
        </w:rPr>
        <w:t>ذكر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w:t>
      </w:r>
      <w:r w:rsidRPr="00904FCB">
        <w:rPr>
          <w:rFonts w:ascii="Times New Roman" w:hAnsi="Times New Roman"/>
          <w:i/>
          <w:sz w:val="27"/>
          <w:rtl/>
          <w:lang w:bidi="fa-IR"/>
        </w:rPr>
        <w:t>ة (</w:t>
      </w:r>
      <w:r w:rsidRPr="00B769C0">
        <w:rPr>
          <w:rFonts w:ascii="Times New Roman" w:hAnsi="Times New Roman" w:hint="cs"/>
          <w:sz w:val="27"/>
          <w:rtl/>
          <w:lang w:bidi="ar-LB"/>
        </w:rPr>
        <w:t>60</w:t>
      </w:r>
      <w:r w:rsidRPr="00904FCB">
        <w:rPr>
          <w:rFonts w:ascii="Times New Roman" w:hAnsi="Times New Roman"/>
          <w:i/>
          <w:sz w:val="27"/>
          <w:rtl/>
          <w:lang w:bidi="fa-IR"/>
        </w:rPr>
        <w:t>) أنّ المتكل</w:t>
      </w:r>
      <w:r w:rsidR="003373E9" w:rsidRPr="00904FCB">
        <w:rPr>
          <w:rFonts w:ascii="Times New Roman" w:hAnsi="Times New Roman" w:hint="cs"/>
          <w:i/>
          <w:sz w:val="27"/>
          <w:rtl/>
          <w:lang w:bidi="fa-IR"/>
        </w:rPr>
        <w:t>ِّ</w:t>
      </w:r>
      <w:r w:rsidRPr="00904FCB">
        <w:rPr>
          <w:rFonts w:ascii="Times New Roman" w:hAnsi="Times New Roman"/>
          <w:i/>
          <w:sz w:val="27"/>
          <w:rtl/>
          <w:lang w:bidi="fa-IR"/>
        </w:rPr>
        <w:t>م الذ</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يدخل</w:t>
      </w:r>
      <w:r w:rsidRPr="00904FCB">
        <w:rPr>
          <w:rFonts w:ascii="Times New Roman" w:hAnsi="Times New Roman"/>
          <w:i/>
          <w:sz w:val="27"/>
          <w:rtl/>
          <w:lang w:bidi="fa-IR"/>
        </w:rPr>
        <w:t xml:space="preserve">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متعلّق</w:t>
      </w:r>
      <w:r w:rsidRPr="00904FCB">
        <w:rPr>
          <w:rFonts w:ascii="Times New Roman" w:hAnsi="Times New Roman"/>
          <w:i/>
          <w:sz w:val="27"/>
          <w:rtl/>
          <w:lang w:bidi="fa-IR"/>
        </w:rPr>
        <w:t xml:space="preserve"> </w:t>
      </w:r>
      <w:r w:rsidRPr="00904FCB">
        <w:rPr>
          <w:rFonts w:ascii="Times New Roman" w:hAnsi="Times New Roman" w:hint="cs"/>
          <w:i/>
          <w:sz w:val="27"/>
          <w:rtl/>
          <w:lang w:bidi="fa-IR"/>
        </w:rPr>
        <w:t>عموم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الخطاب</w:t>
      </w:r>
      <w:r w:rsidR="003373E9" w:rsidRPr="00904FCB">
        <w:rPr>
          <w:rFonts w:ascii="Times New Roman" w:hAnsi="Times New Roman" w:hint="cs"/>
          <w:i/>
          <w:sz w:val="27"/>
          <w:rtl/>
          <w:lang w:bidi="fa-IR"/>
        </w:rPr>
        <w:t xml:space="preserve"> </w:t>
      </w:r>
      <w:r w:rsidRPr="00904FCB">
        <w:rPr>
          <w:rFonts w:ascii="Times New Roman" w:hAnsi="Times New Roman" w:hint="cs"/>
          <w:i/>
          <w:sz w:val="27"/>
          <w:rtl/>
          <w:lang w:bidi="fa-IR"/>
        </w:rPr>
        <w:t>هل</w:t>
      </w:r>
      <w:r w:rsidRPr="00904FCB">
        <w:rPr>
          <w:rFonts w:ascii="Times New Roman" w:hAnsi="Times New Roman"/>
          <w:i/>
          <w:sz w:val="27"/>
          <w:rtl/>
          <w:lang w:bidi="fa-IR"/>
        </w:rPr>
        <w:t xml:space="preserve"> </w:t>
      </w:r>
      <w:r w:rsidRPr="00904FCB">
        <w:rPr>
          <w:rFonts w:ascii="Times New Roman" w:hAnsi="Times New Roman" w:hint="cs"/>
          <w:i/>
          <w:sz w:val="27"/>
          <w:rtl/>
          <w:lang w:bidi="fa-IR"/>
        </w:rPr>
        <w:t>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داخل</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خطاب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الخبر</w:t>
      </w:r>
      <w:r w:rsidRPr="00904FCB">
        <w:rPr>
          <w:rFonts w:ascii="Times New Roman" w:hAnsi="Times New Roman"/>
          <w:i/>
          <w:sz w:val="27"/>
          <w:rtl/>
          <w:lang w:bidi="fa-IR"/>
        </w:rPr>
        <w:t xml:space="preserve"> </w:t>
      </w:r>
      <w:r w:rsidRPr="00904FCB">
        <w:rPr>
          <w:rFonts w:ascii="Times New Roman" w:hAnsi="Times New Roman" w:hint="cs"/>
          <w:i/>
          <w:sz w:val="27"/>
          <w:rtl/>
          <w:lang w:bidi="fa-IR"/>
        </w:rPr>
        <w:t>فح</w:t>
      </w:r>
      <w:r w:rsidR="003373E9" w:rsidRPr="00904FCB">
        <w:rPr>
          <w:rFonts w:ascii="Times New Roman" w:hAnsi="Times New Roman" w:hint="cs"/>
          <w:i/>
          <w:sz w:val="27"/>
          <w:rtl/>
          <w:lang w:bidi="fa-IR"/>
        </w:rPr>
        <w:t>َ</w:t>
      </w:r>
      <w:r w:rsidRPr="00904FCB">
        <w:rPr>
          <w:rFonts w:ascii="Times New Roman" w:hAnsi="Times New Roman" w:hint="cs"/>
          <w:i/>
          <w:sz w:val="27"/>
          <w:rtl/>
          <w:lang w:bidi="fa-IR"/>
        </w:rPr>
        <w:t>س</w:t>
      </w:r>
      <w:r w:rsidR="003373E9" w:rsidRPr="00904FCB">
        <w:rPr>
          <w:rFonts w:ascii="Times New Roman" w:hAnsi="Times New Roman" w:hint="cs"/>
          <w:i/>
          <w:sz w:val="27"/>
          <w:rtl/>
          <w:lang w:bidi="fa-IR"/>
        </w:rPr>
        <w:t>ْ</w:t>
      </w:r>
      <w:r w:rsidRPr="00904FCB">
        <w:rPr>
          <w:rFonts w:ascii="Times New Roman" w:hAnsi="Times New Roman" w:hint="cs"/>
          <w:i/>
          <w:sz w:val="27"/>
          <w:rtl/>
          <w:lang w:bidi="fa-IR"/>
        </w:rPr>
        <w:t>ب</w:t>
      </w:r>
      <w:r w:rsidRPr="00904FCB">
        <w:rPr>
          <w:rFonts w:ascii="Times New Roman" w:hAnsi="Times New Roman"/>
          <w:i/>
          <w:sz w:val="27"/>
          <w:rtl/>
          <w:lang w:bidi="fa-IR"/>
        </w:rPr>
        <w:t xml:space="preserve"> </w:t>
      </w:r>
      <w:r w:rsidRPr="00904FCB">
        <w:rPr>
          <w:rFonts w:ascii="Times New Roman" w:hAnsi="Times New Roman" w:hint="cs"/>
          <w:i/>
          <w:sz w:val="27"/>
          <w:rtl/>
          <w:lang w:bidi="fa-IR"/>
        </w:rPr>
        <w:t>أم</w:t>
      </w:r>
      <w:r w:rsidRPr="00904FCB">
        <w:rPr>
          <w:rFonts w:ascii="Times New Roman" w:hAnsi="Times New Roman"/>
          <w:i/>
          <w:sz w:val="27"/>
          <w:rtl/>
          <w:lang w:bidi="fa-IR"/>
        </w:rPr>
        <w:t xml:space="preserve"> </w:t>
      </w:r>
      <w:r w:rsidRPr="00904FCB">
        <w:rPr>
          <w:rFonts w:ascii="Times New Roman" w:hAnsi="Times New Roman" w:hint="cs"/>
          <w:i/>
          <w:sz w:val="27"/>
          <w:rtl/>
          <w:lang w:bidi="fa-IR"/>
        </w:rPr>
        <w:t>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يدخل</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أعمّ</w:t>
      </w:r>
      <w:r w:rsidRPr="00904FCB">
        <w:rPr>
          <w:rFonts w:ascii="Times New Roman" w:hAnsi="Times New Roman"/>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ذلك</w:t>
      </w:r>
      <w:r w:rsidR="003373E9"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كأن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يكون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للأمر</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الن</w:t>
      </w:r>
      <w:r w:rsidRPr="00904FCB">
        <w:rPr>
          <w:rFonts w:ascii="Times New Roman" w:hAnsi="Times New Roman"/>
          <w:i/>
          <w:sz w:val="27"/>
          <w:rtl/>
          <w:lang w:bidi="fa-IR"/>
        </w:rPr>
        <w:t>هي أ</w:t>
      </w:r>
      <w:r w:rsidRPr="00904FCB">
        <w:rPr>
          <w:rFonts w:ascii="Times New Roman" w:hAnsi="Times New Roman" w:hint="cs"/>
          <w:i/>
          <w:sz w:val="27"/>
          <w:rtl/>
          <w:lang w:bidi="fa-IR"/>
        </w:rPr>
        <w:t xml:space="preserve">يضاً؟ </w:t>
      </w:r>
    </w:p>
    <w:p w:rsidR="00057E24" w:rsidRPr="00904FCB" w:rsidRDefault="00865294" w:rsidP="007003D4">
      <w:pPr>
        <w:spacing w:line="400" w:lineRule="exact"/>
        <w:ind w:firstLine="561"/>
        <w:rPr>
          <w:rFonts w:ascii="Times New Roman" w:hAnsi="Times New Roman"/>
          <w:i/>
          <w:sz w:val="27"/>
          <w:rtl/>
          <w:lang w:bidi="fa-IR"/>
        </w:rPr>
      </w:pPr>
      <w:r>
        <w:rPr>
          <w:rFonts w:ascii="Times New Roman" w:hAnsi="Times New Roman"/>
          <w:i/>
          <w:sz w:val="27"/>
          <w:rtl/>
          <w:lang w:bidi="fa-IR"/>
        </w:rPr>
        <w:lastRenderedPageBreak/>
        <w:t>و</w:t>
      </w:r>
      <w:r w:rsidR="00057E24" w:rsidRPr="00904FCB">
        <w:rPr>
          <w:rFonts w:ascii="Times New Roman" w:hAnsi="Times New Roman"/>
          <w:i/>
          <w:sz w:val="27"/>
          <w:rtl/>
          <w:lang w:bidi="fa-IR"/>
        </w:rPr>
        <w:t xml:space="preserve">قد رتّب على </w:t>
      </w:r>
      <w:r w:rsidR="00057E24" w:rsidRPr="00904FCB">
        <w:rPr>
          <w:rFonts w:ascii="Times New Roman" w:hAnsi="Times New Roman" w:hint="cs"/>
          <w:i/>
          <w:sz w:val="27"/>
          <w:rtl/>
          <w:lang w:bidi="fa-IR"/>
        </w:rPr>
        <w:t>المسألة</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عشرة</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فروع</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فق</w:t>
      </w:r>
      <w:r w:rsidR="00057E24" w:rsidRPr="00904FCB">
        <w:rPr>
          <w:rFonts w:ascii="Times New Roman" w:hAnsi="Times New Roman"/>
          <w:i/>
          <w:sz w:val="27"/>
          <w:rtl/>
          <w:lang w:bidi="fa-IR"/>
        </w:rPr>
        <w:t>هية</w:t>
      </w:r>
      <w:r w:rsidR="003373E9" w:rsidRPr="00904FCB">
        <w:rPr>
          <w:rFonts w:ascii="Times New Roman" w:hAnsi="Times New Roman" w:hint="cs"/>
          <w:i/>
          <w:sz w:val="27"/>
          <w:rtl/>
          <w:lang w:bidi="fa-IR"/>
        </w:rPr>
        <w:t>،</w:t>
      </w:r>
      <w:r w:rsidR="00057E24" w:rsidRPr="00904FCB">
        <w:rPr>
          <w:rFonts w:ascii="Times New Roman" w:hAnsi="Times New Roman"/>
          <w:i/>
          <w:sz w:val="27"/>
          <w:rtl/>
          <w:lang w:bidi="fa-IR"/>
        </w:rPr>
        <w:t xml:space="preserve"> كلّها تدخل ف</w:t>
      </w:r>
      <w:r w:rsidR="00057E24" w:rsidRPr="00904FCB">
        <w:rPr>
          <w:rFonts w:ascii="Times New Roman" w:hAnsi="Times New Roman" w:hint="cs"/>
          <w:i/>
          <w:sz w:val="27"/>
          <w:rtl/>
          <w:lang w:bidi="fa-IR"/>
        </w:rPr>
        <w:t>ي</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عملية</w:t>
      </w:r>
      <w:r w:rsidR="00057E24" w:rsidRPr="00904FCB">
        <w:rPr>
          <w:rFonts w:ascii="Times New Roman" w:hAnsi="Times New Roman"/>
          <w:i/>
          <w:sz w:val="27"/>
          <w:rtl/>
          <w:lang w:bidi="fa-IR"/>
        </w:rPr>
        <w:t xml:space="preserve"> </w:t>
      </w:r>
      <w:r w:rsidR="00057E24" w:rsidRPr="00904FCB">
        <w:rPr>
          <w:rFonts w:ascii="Times New Roman" w:hAnsi="Times New Roman" w:hint="cs"/>
          <w:i/>
          <w:sz w:val="27"/>
          <w:rtl/>
          <w:lang w:bidi="fa-IR"/>
        </w:rPr>
        <w:t>الاستنباط</w:t>
      </w:r>
      <w:r w:rsidR="00057E24" w:rsidRPr="00904FCB">
        <w:rPr>
          <w:rFonts w:ascii="Times New Roman" w:hAnsi="Times New Roman"/>
          <w:i/>
          <w:sz w:val="27"/>
          <w:rtl/>
          <w:lang w:bidi="fa-IR"/>
        </w:rPr>
        <w:t xml:space="preserve">. </w:t>
      </w:r>
    </w:p>
    <w:p w:rsidR="00057E24" w:rsidRPr="00904FCB" w:rsidRDefault="00057E24" w:rsidP="007A21AA">
      <w:pPr>
        <w:spacing w:line="40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5ـ</w:t>
      </w:r>
      <w:r w:rsidRPr="00904FCB">
        <w:rPr>
          <w:rFonts w:hint="cs"/>
          <w:color w:val="auto"/>
          <w:rtl/>
          <w:lang w:bidi="ar-LB"/>
        </w:rPr>
        <w:t xml:space="preserve"> </w:t>
      </w:r>
      <w:r w:rsidRPr="00904FCB">
        <w:rPr>
          <w:color w:val="auto"/>
          <w:rtl/>
          <w:lang w:bidi="fa-IR"/>
        </w:rPr>
        <w:t>بطلان المعاملة المنهي</w:t>
      </w:r>
      <w:r w:rsidR="003373E9" w:rsidRPr="00904FCB">
        <w:rPr>
          <w:rFonts w:hint="cs"/>
          <w:color w:val="auto"/>
          <w:rtl/>
          <w:lang w:bidi="fa-IR"/>
        </w:rPr>
        <w:t>ّ</w:t>
      </w:r>
      <w:r w:rsidRPr="00904FCB">
        <w:rPr>
          <w:color w:val="auto"/>
          <w:rtl/>
          <w:lang w:bidi="fa-IR"/>
        </w:rPr>
        <w:t xml:space="preserve"> عنها </w:t>
      </w:r>
    </w:p>
    <w:p w:rsidR="00057E24" w:rsidRPr="00904FCB" w:rsidRDefault="00057E24" w:rsidP="007003D4">
      <w:pPr>
        <w:spacing w:line="400" w:lineRule="exact"/>
        <w:ind w:firstLine="561"/>
        <w:rPr>
          <w:rFonts w:ascii="Times New Roman" w:hAnsi="Times New Roman"/>
          <w:i/>
          <w:sz w:val="27"/>
          <w:rtl/>
          <w:lang w:bidi="fa-IR"/>
        </w:rPr>
      </w:pPr>
      <w:r w:rsidRPr="00904FCB">
        <w:rPr>
          <w:rFonts w:ascii="Times New Roman" w:hAnsi="Times New Roman" w:hint="cs"/>
          <w:i/>
          <w:sz w:val="27"/>
          <w:rtl/>
          <w:lang w:bidi="fa-IR"/>
        </w:rPr>
        <w:t>ير</w:t>
      </w:r>
      <w:r w:rsidR="003373E9"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w:t>
      </w:r>
      <w:r w:rsidRPr="00904FCB">
        <w:rPr>
          <w:rFonts w:ascii="Times New Roman" w:hAnsi="Times New Roman"/>
          <w:i/>
          <w:sz w:val="27"/>
          <w:rtl/>
          <w:lang w:bidi="fa-IR"/>
        </w:rPr>
        <w:t>هي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المعاملات</w:t>
      </w:r>
      <w:r w:rsidR="003373E9"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كالن</w:t>
      </w:r>
      <w:r w:rsidRPr="00904FCB">
        <w:rPr>
          <w:rFonts w:ascii="Times New Roman" w:hAnsi="Times New Roman"/>
          <w:i/>
          <w:sz w:val="27"/>
          <w:rtl/>
          <w:lang w:bidi="fa-IR"/>
        </w:rPr>
        <w:t>هي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العبادات</w:t>
      </w:r>
      <w:r w:rsidR="003373E9"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موجب</w:t>
      </w:r>
      <w:r w:rsidR="003373E9"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للفساد</w:t>
      </w:r>
      <w:r w:rsidRPr="00904FCB">
        <w:rPr>
          <w:rFonts w:ascii="Times New Roman" w:hAnsi="Times New Roman"/>
          <w:i/>
          <w:sz w:val="27"/>
          <w:rtl/>
          <w:lang w:bidi="fa-IR"/>
        </w:rPr>
        <w:t xml:space="preserve">. </w:t>
      </w:r>
      <w:r w:rsidRPr="00904FCB">
        <w:rPr>
          <w:rFonts w:ascii="Times New Roman" w:hAnsi="Times New Roman" w:hint="cs"/>
          <w:i/>
          <w:sz w:val="27"/>
          <w:rtl/>
          <w:lang w:bidi="fa-IR"/>
        </w:rPr>
        <w:t>يقول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A35A7D">
        <w:rPr>
          <w:rFonts w:ascii="Times New Roman" w:hAnsi="Times New Roman" w:hint="cs"/>
          <w:sz w:val="27"/>
          <w:rtl/>
          <w:lang w:bidi="ar-LB"/>
        </w:rPr>
        <w:t>42</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w:t>
      </w:r>
      <w:r w:rsidRPr="00904FCB">
        <w:rPr>
          <w:rFonts w:ascii="Times New Roman" w:hAnsi="Times New Roman"/>
          <w:i/>
          <w:sz w:val="27"/>
          <w:rtl/>
          <w:lang w:bidi="fa-IR"/>
        </w:rPr>
        <w:t>هي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العبادات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يدلّ</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الفساد</w:t>
      </w:r>
      <w:r w:rsidRPr="00904FCB">
        <w:rPr>
          <w:rFonts w:ascii="Times New Roman" w:hAnsi="Times New Roman"/>
          <w:i/>
          <w:sz w:val="27"/>
          <w:rtl/>
          <w:lang w:bidi="fa-IR"/>
        </w:rPr>
        <w:t xml:space="preserve"> </w:t>
      </w:r>
      <w:r w:rsidRPr="00904FCB">
        <w:rPr>
          <w:rFonts w:ascii="Times New Roman" w:hAnsi="Times New Roman" w:hint="cs"/>
          <w:i/>
          <w:sz w:val="27"/>
          <w:rtl/>
          <w:lang w:bidi="fa-IR"/>
        </w:rPr>
        <w:t>مطلقاً، وكذا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المعاملات، إلا</w:t>
      </w:r>
      <w:r w:rsidR="003373E9"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يرجع</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w:t>
      </w:r>
      <w:r w:rsidRPr="00904FCB">
        <w:rPr>
          <w:rFonts w:ascii="Times New Roman" w:hAnsi="Times New Roman"/>
          <w:i/>
          <w:sz w:val="27"/>
          <w:rtl/>
          <w:lang w:bidi="fa-IR"/>
        </w:rPr>
        <w:t xml:space="preserve">هي </w:t>
      </w:r>
      <w:r w:rsidR="003373E9" w:rsidRPr="00904FCB">
        <w:rPr>
          <w:rFonts w:ascii="Times New Roman" w:hAnsi="Times New Roman" w:hint="cs"/>
          <w:i/>
          <w:sz w:val="27"/>
          <w:rtl/>
          <w:lang w:bidi="fa-IR"/>
        </w:rPr>
        <w:t>إ</w:t>
      </w:r>
      <w:r w:rsidRPr="00904FCB">
        <w:rPr>
          <w:rFonts w:ascii="Times New Roman" w:hAnsi="Times New Roman"/>
          <w:i/>
          <w:sz w:val="27"/>
          <w:rtl/>
          <w:lang w:bidi="fa-IR"/>
        </w:rPr>
        <w:t xml:space="preserve">لى </w:t>
      </w:r>
      <w:r w:rsidRPr="00904FCB">
        <w:rPr>
          <w:rFonts w:ascii="Times New Roman" w:hAnsi="Times New Roman" w:hint="cs"/>
          <w:i/>
          <w:sz w:val="27"/>
          <w:rtl/>
          <w:lang w:bidi="fa-IR"/>
        </w:rPr>
        <w:t>أمر</w:t>
      </w:r>
      <w:r w:rsidRPr="00904FCB">
        <w:rPr>
          <w:rFonts w:ascii="Times New Roman" w:hAnsi="Times New Roman"/>
          <w:i/>
          <w:sz w:val="27"/>
          <w:rtl/>
          <w:lang w:bidi="fa-IR"/>
        </w:rPr>
        <w:t xml:space="preserve"> </w:t>
      </w:r>
      <w:r w:rsidR="003373E9" w:rsidRPr="00904FCB">
        <w:rPr>
          <w:rFonts w:ascii="Times New Roman" w:hAnsi="Times New Roman" w:hint="cs"/>
          <w:i/>
          <w:sz w:val="27"/>
          <w:rtl/>
          <w:lang w:bidi="fa-IR"/>
        </w:rPr>
        <w:t>م</w:t>
      </w:r>
      <w:r w:rsidRPr="00904FCB">
        <w:rPr>
          <w:rFonts w:ascii="Times New Roman" w:hAnsi="Times New Roman" w:hint="cs"/>
          <w:i/>
          <w:sz w:val="27"/>
          <w:rtl/>
          <w:lang w:bidi="fa-IR"/>
        </w:rPr>
        <w:t>قارن</w:t>
      </w:r>
      <w:r w:rsidRPr="00904FCB">
        <w:rPr>
          <w:rFonts w:ascii="Times New Roman" w:hAnsi="Times New Roman"/>
          <w:i/>
          <w:sz w:val="27"/>
          <w:rtl/>
          <w:lang w:bidi="fa-IR"/>
        </w:rPr>
        <w:t xml:space="preserve"> </w:t>
      </w:r>
      <w:r w:rsidRPr="00904FCB">
        <w:rPr>
          <w:rFonts w:ascii="Times New Roman" w:hAnsi="Times New Roman" w:hint="cs"/>
          <w:i/>
          <w:sz w:val="27"/>
          <w:rtl/>
          <w:lang w:bidi="fa-IR"/>
        </w:rPr>
        <w:t>للقصد</w:t>
      </w:r>
      <w:r w:rsidRPr="00904FCB">
        <w:rPr>
          <w:rFonts w:ascii="Times New Roman" w:hAnsi="Times New Roman"/>
          <w:i/>
          <w:sz w:val="27"/>
          <w:rtl/>
          <w:lang w:bidi="fa-IR"/>
        </w:rPr>
        <w:t xml:space="preserve"> </w:t>
      </w:r>
      <w:r w:rsidRPr="00904FCB">
        <w:rPr>
          <w:rFonts w:ascii="Times New Roman" w:hAnsi="Times New Roman" w:hint="cs"/>
          <w:i/>
          <w:sz w:val="27"/>
          <w:rtl/>
          <w:lang w:bidi="fa-IR"/>
        </w:rPr>
        <w:t>غير</w:t>
      </w:r>
      <w:r w:rsidRPr="00904FCB">
        <w:rPr>
          <w:rFonts w:ascii="Times New Roman" w:hAnsi="Times New Roman"/>
          <w:i/>
          <w:sz w:val="27"/>
          <w:rtl/>
          <w:lang w:bidi="fa-IR"/>
        </w:rPr>
        <w:t xml:space="preserve"> </w:t>
      </w:r>
      <w:r w:rsidRPr="00904FCB">
        <w:rPr>
          <w:rFonts w:ascii="Times New Roman" w:hAnsi="Times New Roman" w:hint="cs"/>
          <w:i/>
          <w:sz w:val="27"/>
          <w:rtl/>
          <w:lang w:bidi="fa-IR"/>
        </w:rPr>
        <w:t>لازم</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 بل</w:t>
      </w:r>
      <w:r w:rsidRPr="00904FCB">
        <w:rPr>
          <w:rFonts w:ascii="Times New Roman" w:hAnsi="Times New Roman"/>
          <w:i/>
          <w:sz w:val="27"/>
          <w:rtl/>
          <w:lang w:bidi="fa-IR"/>
        </w:rPr>
        <w:t xml:space="preserve"> </w:t>
      </w:r>
      <w:r w:rsidRPr="00904FCB">
        <w:rPr>
          <w:rFonts w:ascii="Times New Roman" w:hAnsi="Times New Roman" w:hint="cs"/>
          <w:i/>
          <w:sz w:val="27"/>
          <w:rtl/>
          <w:lang w:bidi="fa-IR"/>
        </w:rPr>
        <w:t>منفك</w:t>
      </w:r>
      <w:r w:rsidR="003373E9"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عنه، كالن</w:t>
      </w:r>
      <w:r w:rsidRPr="00904FCB">
        <w:rPr>
          <w:rFonts w:ascii="Times New Roman" w:hAnsi="Times New Roman"/>
          <w:i/>
          <w:sz w:val="27"/>
          <w:rtl/>
          <w:lang w:bidi="fa-IR"/>
        </w:rPr>
        <w:t>هي عن الب</w:t>
      </w:r>
      <w:r w:rsidRPr="00904FCB">
        <w:rPr>
          <w:rFonts w:ascii="Times New Roman" w:hAnsi="Times New Roman" w:hint="cs"/>
          <w:i/>
          <w:sz w:val="27"/>
          <w:rtl/>
          <w:lang w:bidi="fa-IR"/>
        </w:rPr>
        <w:t>يع</w:t>
      </w:r>
      <w:r w:rsidRPr="00904FCB">
        <w:rPr>
          <w:rFonts w:ascii="Times New Roman" w:hAnsi="Times New Roman"/>
          <w:i/>
          <w:sz w:val="27"/>
          <w:rtl/>
          <w:lang w:bidi="fa-IR"/>
        </w:rPr>
        <w:t xml:space="preserve"> </w:t>
      </w:r>
      <w:r w:rsidRPr="00904FCB">
        <w:rPr>
          <w:rFonts w:ascii="Times New Roman" w:hAnsi="Times New Roman" w:hint="cs"/>
          <w:i/>
          <w:sz w:val="27"/>
          <w:rtl/>
          <w:lang w:bidi="fa-IR"/>
        </w:rPr>
        <w:t>يوم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الجمعة</w:t>
      </w:r>
      <w:r w:rsidRPr="00904FCB">
        <w:rPr>
          <w:rFonts w:ascii="Times New Roman" w:hAnsi="Times New Roman"/>
          <w:i/>
          <w:sz w:val="27"/>
          <w:rtl/>
          <w:lang w:bidi="fa-IR"/>
        </w:rPr>
        <w:t xml:space="preserve"> </w:t>
      </w:r>
      <w:r w:rsidRPr="00904FCB">
        <w:rPr>
          <w:rFonts w:ascii="Times New Roman" w:hAnsi="Times New Roman" w:hint="cs"/>
          <w:i/>
          <w:sz w:val="27"/>
          <w:rtl/>
          <w:lang w:bidi="fa-IR"/>
        </w:rPr>
        <w:t>وقت</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النداء»</w:t>
      </w:r>
      <w:r w:rsidRPr="00904FCB">
        <w:rPr>
          <w:rFonts w:ascii="Times New Roman" w:hAnsi="Times New Roman"/>
          <w:i/>
          <w:sz w:val="27"/>
          <w:rtl/>
          <w:lang w:bidi="fa-IR"/>
        </w:rPr>
        <w:t xml:space="preserve">. </w:t>
      </w:r>
    </w:p>
    <w:p w:rsidR="00057E24" w:rsidRPr="00904FCB" w:rsidRDefault="00057E24" w:rsidP="007A21AA">
      <w:pPr>
        <w:spacing w:line="40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6ـ</w:t>
      </w:r>
      <w:r w:rsidRPr="00904FCB">
        <w:rPr>
          <w:rFonts w:hint="cs"/>
          <w:color w:val="auto"/>
          <w:rtl/>
          <w:lang w:bidi="ar-LB"/>
        </w:rPr>
        <w:t xml:space="preserve"> </w:t>
      </w:r>
      <w:r w:rsidRPr="00904FCB">
        <w:rPr>
          <w:color w:val="auto"/>
          <w:rtl/>
          <w:lang w:bidi="fa-IR"/>
        </w:rPr>
        <w:t>دخول العب</w:t>
      </w:r>
      <w:r w:rsidRPr="00904FCB">
        <w:rPr>
          <w:rFonts w:hint="cs"/>
          <w:color w:val="auto"/>
          <w:rtl/>
          <w:lang w:bidi="fa-IR"/>
        </w:rPr>
        <w:t>يد</w:t>
      </w:r>
      <w:r w:rsidRPr="00904FCB">
        <w:rPr>
          <w:color w:val="auto"/>
          <w:rtl/>
          <w:lang w:bidi="fa-IR"/>
        </w:rPr>
        <w:t xml:space="preserve"> </w:t>
      </w:r>
      <w:r w:rsidRPr="00904FCB">
        <w:rPr>
          <w:rFonts w:hint="cs"/>
          <w:color w:val="auto"/>
          <w:rtl/>
          <w:lang w:bidi="fa-IR"/>
        </w:rPr>
        <w:t>في</w:t>
      </w:r>
      <w:r w:rsidRPr="00904FCB">
        <w:rPr>
          <w:color w:val="auto"/>
          <w:rtl/>
          <w:lang w:bidi="fa-IR"/>
        </w:rPr>
        <w:t xml:space="preserve"> </w:t>
      </w:r>
      <w:r w:rsidRPr="00904FCB">
        <w:rPr>
          <w:rFonts w:hint="cs"/>
          <w:color w:val="auto"/>
          <w:rtl/>
          <w:lang w:bidi="fa-IR"/>
        </w:rPr>
        <w:t>عموم</w:t>
      </w:r>
      <w:r w:rsidRPr="00904FCB">
        <w:rPr>
          <w:color w:val="auto"/>
          <w:rtl/>
          <w:lang w:bidi="fa-IR"/>
        </w:rPr>
        <w:t xml:space="preserve"> </w:t>
      </w:r>
      <w:r w:rsidRPr="00904FCB">
        <w:rPr>
          <w:rFonts w:hint="cs"/>
          <w:color w:val="auto"/>
          <w:rtl/>
          <w:lang w:bidi="fa-IR"/>
        </w:rPr>
        <w:t>خطابات</w:t>
      </w:r>
      <w:r w:rsidRPr="00904FCB">
        <w:rPr>
          <w:color w:val="auto"/>
          <w:rtl/>
          <w:lang w:bidi="fa-IR"/>
        </w:rPr>
        <w:t xml:space="preserve"> </w:t>
      </w:r>
      <w:r w:rsidRPr="00904FCB">
        <w:rPr>
          <w:rFonts w:hint="cs"/>
          <w:color w:val="auto"/>
          <w:rtl/>
          <w:lang w:bidi="fa-IR"/>
        </w:rPr>
        <w:t xml:space="preserve">الشارع </w:t>
      </w:r>
    </w:p>
    <w:p w:rsidR="00057E24" w:rsidRPr="00904FCB" w:rsidRDefault="00057E24" w:rsidP="007003D4">
      <w:pPr>
        <w:spacing w:line="400" w:lineRule="exact"/>
        <w:ind w:firstLine="561"/>
        <w:rPr>
          <w:rFonts w:ascii="Times New Roman" w:hAnsi="Times New Roman"/>
          <w:i/>
          <w:sz w:val="27"/>
          <w:rtl/>
          <w:lang w:bidi="fa-IR"/>
        </w:rPr>
      </w:pPr>
      <w:r w:rsidRPr="00904FCB">
        <w:rPr>
          <w:rFonts w:ascii="Times New Roman" w:hAnsi="Times New Roman"/>
          <w:i/>
          <w:sz w:val="27"/>
          <w:rtl/>
          <w:lang w:bidi="fa-IR"/>
        </w:rPr>
        <w:t>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نها</w:t>
      </w:r>
      <w:r w:rsidRPr="00904FCB">
        <w:rPr>
          <w:rFonts w:ascii="Times New Roman" w:hAnsi="Times New Roman" w:hint="cs"/>
          <w:i/>
          <w:sz w:val="27"/>
          <w:rtl/>
          <w:lang w:bidi="fa-IR"/>
        </w:rPr>
        <w:t>ية</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A35A7D">
        <w:rPr>
          <w:rFonts w:ascii="Times New Roman" w:hAnsi="Times New Roman" w:hint="cs"/>
          <w:sz w:val="27"/>
          <w:rtl/>
          <w:lang w:bidi="ar-LB"/>
        </w:rPr>
        <w:t>61</w:t>
      </w:r>
      <w:r w:rsidRPr="00904FCB">
        <w:rPr>
          <w:rFonts w:ascii="Times New Roman" w:hAnsi="Times New Roman"/>
          <w:i/>
          <w:sz w:val="27"/>
          <w:rtl/>
          <w:lang w:bidi="fa-IR"/>
        </w:rPr>
        <w:t xml:space="preserve">) </w:t>
      </w:r>
      <w:r w:rsidRPr="00904FCB">
        <w:rPr>
          <w:rFonts w:ascii="Times New Roman" w:hAnsi="Times New Roman" w:hint="cs"/>
          <w:i/>
          <w:sz w:val="27"/>
          <w:rtl/>
          <w:lang w:bidi="fa-IR"/>
        </w:rPr>
        <w:t>يطرح</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هيد الثان</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مسألة</w:t>
      </w:r>
      <w:r w:rsidRPr="00904FCB">
        <w:rPr>
          <w:rFonts w:ascii="Times New Roman" w:hAnsi="Times New Roman"/>
          <w:i/>
          <w:sz w:val="27"/>
          <w:rtl/>
          <w:lang w:bidi="fa-IR"/>
        </w:rPr>
        <w:t xml:space="preserve"> </w:t>
      </w:r>
      <w:r w:rsidRPr="00904FCB">
        <w:rPr>
          <w:rFonts w:ascii="Times New Roman" w:hAnsi="Times New Roman" w:hint="cs"/>
          <w:i/>
          <w:sz w:val="27"/>
          <w:rtl/>
          <w:lang w:bidi="fa-IR"/>
        </w:rPr>
        <w:t>دخول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العبيد</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الرقّ</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عموم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الخطابات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الشرعية، كالمسلمين</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المؤمنين</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 xml:space="preserve"> ورتّ</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ب</w:t>
      </w:r>
      <w:r w:rsidRPr="00904FCB">
        <w:rPr>
          <w:rFonts w:ascii="Times New Roman" w:hAnsi="Times New Roman"/>
          <w:i/>
          <w:sz w:val="27"/>
          <w:rtl/>
          <w:lang w:bidi="fa-IR"/>
        </w:rPr>
        <w:t xml:space="preserve"> على </w:t>
      </w:r>
      <w:r w:rsidRPr="00904FCB">
        <w:rPr>
          <w:rFonts w:ascii="Times New Roman" w:hAnsi="Times New Roman" w:hint="cs"/>
          <w:i/>
          <w:sz w:val="27"/>
          <w:rtl/>
          <w:lang w:bidi="fa-IR"/>
        </w:rPr>
        <w:t>ذلك</w:t>
      </w:r>
      <w:r w:rsidRPr="00904FCB">
        <w:rPr>
          <w:rFonts w:ascii="Times New Roman" w:hAnsi="Times New Roman"/>
          <w:i/>
          <w:sz w:val="27"/>
          <w:rtl/>
          <w:lang w:bidi="fa-IR"/>
        </w:rPr>
        <w:t xml:space="preserve"> </w:t>
      </w:r>
      <w:r w:rsidRPr="00904FCB">
        <w:rPr>
          <w:rFonts w:ascii="Times New Roman" w:hAnsi="Times New Roman" w:hint="cs"/>
          <w:i/>
          <w:sz w:val="27"/>
          <w:rtl/>
          <w:lang w:bidi="fa-IR"/>
        </w:rPr>
        <w:t>بضع</w:t>
      </w:r>
      <w:r w:rsidRPr="00904FCB">
        <w:rPr>
          <w:rFonts w:ascii="Times New Roman" w:hAnsi="Times New Roman"/>
          <w:i/>
          <w:sz w:val="27"/>
          <w:rtl/>
          <w:lang w:bidi="fa-IR"/>
        </w:rPr>
        <w:t xml:space="preserve"> </w:t>
      </w:r>
      <w:r w:rsidRPr="00904FCB">
        <w:rPr>
          <w:rFonts w:ascii="Times New Roman" w:hAnsi="Times New Roman" w:hint="cs"/>
          <w:i/>
          <w:sz w:val="27"/>
          <w:rtl/>
          <w:lang w:bidi="fa-IR"/>
        </w:rPr>
        <w:t>نتائج</w:t>
      </w:r>
      <w:r w:rsidRPr="00904FCB">
        <w:rPr>
          <w:rFonts w:ascii="Times New Roman" w:hAnsi="Times New Roman"/>
          <w:i/>
          <w:sz w:val="27"/>
          <w:rtl/>
          <w:lang w:bidi="fa-IR"/>
        </w:rPr>
        <w:t xml:space="preserve"> </w:t>
      </w:r>
      <w:r w:rsidRPr="00904FCB">
        <w:rPr>
          <w:rFonts w:ascii="Times New Roman" w:hAnsi="Times New Roman" w:hint="cs"/>
          <w:i/>
          <w:sz w:val="27"/>
          <w:rtl/>
          <w:lang w:bidi="fa-IR"/>
        </w:rPr>
        <w:t>فق</w:t>
      </w:r>
      <w:r w:rsidRPr="00904FCB">
        <w:rPr>
          <w:rFonts w:ascii="Times New Roman" w:hAnsi="Times New Roman"/>
          <w:i/>
          <w:sz w:val="27"/>
          <w:rtl/>
          <w:lang w:bidi="fa-IR"/>
        </w:rPr>
        <w:t>هية</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وإن</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كان هذا الموضوع لم </w:t>
      </w:r>
      <w:r w:rsidRPr="00904FCB">
        <w:rPr>
          <w:rFonts w:ascii="Times New Roman" w:hAnsi="Times New Roman" w:hint="cs"/>
          <w:i/>
          <w:sz w:val="27"/>
          <w:rtl/>
          <w:lang w:bidi="fa-IR"/>
        </w:rPr>
        <w:t>ي</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ل</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ق</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ترحيباً</w:t>
      </w:r>
      <w:r w:rsidRPr="00904FCB">
        <w:rPr>
          <w:rFonts w:ascii="Times New Roman" w:hAnsi="Times New Roman"/>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الآخرين</w:t>
      </w:r>
      <w:r w:rsidRPr="00904FCB">
        <w:rPr>
          <w:rFonts w:ascii="Times New Roman" w:hAnsi="Times New Roman"/>
          <w:i/>
          <w:sz w:val="27"/>
          <w:rtl/>
          <w:lang w:bidi="fa-IR"/>
        </w:rPr>
        <w:t xml:space="preserve">. </w:t>
      </w:r>
    </w:p>
    <w:p w:rsidR="00057E24" w:rsidRPr="00904FCB" w:rsidRDefault="00057E24" w:rsidP="007A21AA">
      <w:pPr>
        <w:spacing w:line="40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7ـ</w:t>
      </w:r>
      <w:r w:rsidRPr="00904FCB">
        <w:rPr>
          <w:rFonts w:hint="cs"/>
          <w:color w:val="auto"/>
          <w:rtl/>
          <w:lang w:bidi="ar-LB"/>
        </w:rPr>
        <w:t xml:space="preserve"> </w:t>
      </w:r>
      <w:r w:rsidRPr="00904FCB">
        <w:rPr>
          <w:color w:val="auto"/>
          <w:rtl/>
          <w:lang w:bidi="fa-IR"/>
        </w:rPr>
        <w:t xml:space="preserve">اختصاص الخطابات بالمشافهة </w:t>
      </w:r>
    </w:p>
    <w:p w:rsidR="00057E24" w:rsidRPr="00904FCB" w:rsidRDefault="00057E24" w:rsidP="007003D4">
      <w:pPr>
        <w:spacing w:line="400" w:lineRule="exact"/>
        <w:ind w:firstLine="561"/>
        <w:rPr>
          <w:rFonts w:ascii="Times New Roman" w:hAnsi="Times New Roman"/>
          <w:i/>
          <w:sz w:val="27"/>
          <w:rtl/>
          <w:lang w:bidi="fa-IR"/>
        </w:rPr>
      </w:pPr>
      <w:r w:rsidRPr="00904FCB">
        <w:rPr>
          <w:rFonts w:ascii="Times New Roman" w:hAnsi="Times New Roman"/>
          <w:i/>
          <w:sz w:val="27"/>
          <w:rtl/>
          <w:lang w:bidi="fa-IR"/>
        </w:rPr>
        <w:t>ذكر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A35A7D">
        <w:rPr>
          <w:rFonts w:ascii="Times New Roman" w:hAnsi="Times New Roman" w:hint="cs"/>
          <w:sz w:val="27"/>
          <w:rtl/>
          <w:lang w:bidi="ar-LB"/>
        </w:rPr>
        <w:t>63</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الخطابات</w:t>
      </w:r>
      <w:r w:rsidRPr="00904FCB">
        <w:rPr>
          <w:rFonts w:ascii="Times New Roman" w:hAnsi="Times New Roman"/>
          <w:i/>
          <w:sz w:val="27"/>
          <w:rtl/>
          <w:lang w:bidi="fa-IR"/>
        </w:rPr>
        <w:t xml:space="preserve"> مثل</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يا</w:t>
      </w:r>
      <w:r w:rsidRPr="00904FCB">
        <w:rPr>
          <w:rFonts w:ascii="Times New Roman" w:hAnsi="Times New Roman"/>
          <w:i/>
          <w:sz w:val="27"/>
          <w:rtl/>
          <w:lang w:bidi="fa-IR"/>
        </w:rPr>
        <w:t xml:space="preserve"> </w:t>
      </w:r>
      <w:r w:rsidRPr="00904FCB">
        <w:rPr>
          <w:rFonts w:ascii="Times New Roman" w:hAnsi="Times New Roman" w:hint="cs"/>
          <w:i/>
          <w:sz w:val="27"/>
          <w:rtl/>
          <w:lang w:bidi="fa-IR"/>
        </w:rPr>
        <w:t>أيها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الناس»</w:t>
      </w:r>
      <w:r w:rsidR="0098075B" w:rsidRPr="00904FCB">
        <w:rPr>
          <w:rFonts w:ascii="Times New Roman" w:hAnsi="Times New Roman" w:hint="cs"/>
          <w:i/>
          <w:sz w:val="27"/>
          <w:rtl/>
          <w:lang w:bidi="fa-IR"/>
        </w:rPr>
        <w:t xml:space="preserve"> </w:t>
      </w:r>
      <w:r w:rsidRPr="00904FCB">
        <w:rPr>
          <w:rFonts w:ascii="Times New Roman" w:hAnsi="Times New Roman" w:hint="cs"/>
          <w:i/>
          <w:sz w:val="27"/>
          <w:rtl/>
          <w:lang w:bidi="fa-IR"/>
        </w:rPr>
        <w:t>‌تشمل</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الحاضرين</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عصر</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الخطاب</w:t>
      </w:r>
      <w:r w:rsidRPr="00904FCB">
        <w:rPr>
          <w:rFonts w:ascii="Times New Roman" w:hAnsi="Times New Roman"/>
          <w:i/>
          <w:sz w:val="27"/>
          <w:rtl/>
          <w:lang w:bidi="fa-IR"/>
        </w:rPr>
        <w:t xml:space="preserve"> </w:t>
      </w:r>
      <w:r w:rsidRPr="00904FCB">
        <w:rPr>
          <w:rFonts w:ascii="Times New Roman" w:hAnsi="Times New Roman" w:hint="cs"/>
          <w:i/>
          <w:sz w:val="27"/>
          <w:rtl/>
          <w:lang w:bidi="fa-IR"/>
        </w:rPr>
        <w:t>فقط، ولا</w:t>
      </w:r>
      <w:r w:rsidRPr="00904FCB">
        <w:rPr>
          <w:rFonts w:ascii="Times New Roman" w:hAnsi="Times New Roman"/>
          <w:i/>
          <w:sz w:val="27"/>
          <w:rtl/>
          <w:lang w:bidi="fa-IR"/>
        </w:rPr>
        <w:t xml:space="preserve"> </w:t>
      </w:r>
      <w:r w:rsidRPr="00904FCB">
        <w:rPr>
          <w:rFonts w:ascii="Times New Roman" w:hAnsi="Times New Roman" w:hint="cs"/>
          <w:i/>
          <w:sz w:val="27"/>
          <w:rtl/>
          <w:lang w:bidi="fa-IR"/>
        </w:rPr>
        <w:t>تشمل</w:t>
      </w:r>
      <w:r w:rsidRPr="00904FCB">
        <w:rPr>
          <w:rFonts w:ascii="Times New Roman" w:hAnsi="Times New Roman"/>
          <w:i/>
          <w:sz w:val="27"/>
          <w:rtl/>
          <w:lang w:bidi="fa-IR"/>
        </w:rPr>
        <w:t xml:space="preserve"> </w:t>
      </w:r>
      <w:r w:rsidRPr="00904FCB">
        <w:rPr>
          <w:rFonts w:ascii="Times New Roman" w:hAnsi="Times New Roman" w:hint="cs"/>
          <w:i/>
          <w:sz w:val="27"/>
          <w:rtl/>
          <w:lang w:bidi="fa-IR"/>
        </w:rPr>
        <w:t>ما</w:t>
      </w:r>
      <w:r w:rsidRPr="00904FCB">
        <w:rPr>
          <w:rFonts w:ascii="Times New Roman" w:hAnsi="Times New Roman"/>
          <w:i/>
          <w:sz w:val="27"/>
          <w:rtl/>
          <w:lang w:bidi="fa-IR"/>
        </w:rPr>
        <w:t xml:space="preserve"> </w:t>
      </w:r>
      <w:r w:rsidRPr="00904FCB">
        <w:rPr>
          <w:rFonts w:ascii="Times New Roman" w:hAnsi="Times New Roman" w:hint="cs"/>
          <w:i/>
          <w:sz w:val="27"/>
          <w:rtl/>
          <w:lang w:bidi="fa-IR"/>
        </w:rPr>
        <w:t>بعدهم</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يقول</w:t>
      </w:r>
      <w:r w:rsidRPr="00904FCB">
        <w:rPr>
          <w:rFonts w:ascii="Times New Roman" w:hAnsi="Times New Roman"/>
          <w:i/>
          <w:sz w:val="27"/>
          <w:rtl/>
          <w:lang w:bidi="fa-IR"/>
        </w:rPr>
        <w:t xml:space="preserve">: </w:t>
      </w:r>
      <w:r w:rsidRPr="00904FCB">
        <w:rPr>
          <w:rFonts w:ascii="Times New Roman" w:hAnsi="Times New Roman" w:hint="cs"/>
          <w:i/>
          <w:sz w:val="27"/>
          <w:rtl/>
          <w:lang w:bidi="fa-IR"/>
        </w:rPr>
        <w:t>«خطاب</w:t>
      </w:r>
      <w:r w:rsidRPr="00904FCB">
        <w:rPr>
          <w:rFonts w:ascii="Times New Roman" w:hAnsi="Times New Roman"/>
          <w:i/>
          <w:sz w:val="27"/>
          <w:rtl/>
          <w:lang w:bidi="fa-IR"/>
        </w:rPr>
        <w:t xml:space="preserve"> </w:t>
      </w:r>
      <w:r w:rsidR="004722A1" w:rsidRPr="00904FCB">
        <w:rPr>
          <w:rFonts w:ascii="Times New Roman" w:hAnsi="Times New Roman" w:hint="cs"/>
          <w:i/>
          <w:sz w:val="27"/>
          <w:rtl/>
          <w:lang w:bidi="fa-IR"/>
        </w:rPr>
        <w:t>المشافه</w:t>
      </w:r>
      <w:r w:rsidRPr="00904FCB">
        <w:rPr>
          <w:rFonts w:ascii="Times New Roman" w:hAnsi="Times New Roman" w:hint="cs"/>
          <w:i/>
          <w:sz w:val="27"/>
          <w:rtl/>
          <w:lang w:bidi="fa-IR"/>
        </w:rPr>
        <w:t>ة</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نحو</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0098075B" w:rsidRPr="00904FCB">
        <w:rPr>
          <w:rFonts w:ascii="Times New Roman" w:hAnsi="Times New Roman"/>
          <w:i/>
          <w:sz w:val="27"/>
          <w:rtl/>
          <w:lang w:bidi="fa-IR"/>
        </w:rPr>
        <w:t>«</w:t>
      </w:r>
      <w:r w:rsidRPr="00904FCB">
        <w:rPr>
          <w:rFonts w:ascii="Times New Roman" w:hAnsi="Times New Roman" w:hint="cs"/>
          <w:i/>
          <w:sz w:val="27"/>
          <w:rtl/>
          <w:lang w:bidi="fa-IR"/>
        </w:rPr>
        <w:t>يا</w:t>
      </w:r>
      <w:r w:rsidRPr="00904FCB">
        <w:rPr>
          <w:rFonts w:ascii="Times New Roman" w:hAnsi="Times New Roman"/>
          <w:i/>
          <w:sz w:val="27"/>
          <w:rtl/>
          <w:lang w:bidi="fa-IR"/>
        </w:rPr>
        <w:t xml:space="preserve"> </w:t>
      </w:r>
      <w:r w:rsidRPr="00904FCB">
        <w:rPr>
          <w:rFonts w:ascii="Times New Roman" w:hAnsi="Times New Roman" w:hint="cs"/>
          <w:i/>
          <w:sz w:val="27"/>
          <w:rtl/>
          <w:lang w:bidi="fa-IR"/>
        </w:rPr>
        <w:t>أيها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الناس</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ليس</w:t>
      </w:r>
      <w:r w:rsidRPr="00904FCB">
        <w:rPr>
          <w:rFonts w:ascii="Times New Roman" w:hAnsi="Times New Roman"/>
          <w:i/>
          <w:sz w:val="27"/>
          <w:rtl/>
          <w:lang w:bidi="fa-IR"/>
        </w:rPr>
        <w:t xml:space="preserve"> </w:t>
      </w:r>
      <w:r w:rsidRPr="00904FCB">
        <w:rPr>
          <w:rFonts w:ascii="Times New Roman" w:hAnsi="Times New Roman" w:hint="cs"/>
          <w:i/>
          <w:sz w:val="27"/>
          <w:rtl/>
          <w:lang w:bidi="fa-IR"/>
        </w:rPr>
        <w:t>خطاباً</w:t>
      </w:r>
      <w:r w:rsidRPr="00904FCB">
        <w:rPr>
          <w:rFonts w:ascii="Times New Roman" w:hAnsi="Times New Roman"/>
          <w:i/>
          <w:sz w:val="27"/>
          <w:rtl/>
          <w:lang w:bidi="fa-IR"/>
        </w:rPr>
        <w:t xml:space="preserve"> </w:t>
      </w:r>
      <w:r w:rsidRPr="00904FCB">
        <w:rPr>
          <w:rFonts w:ascii="Times New Roman" w:hAnsi="Times New Roman" w:hint="cs"/>
          <w:i/>
          <w:sz w:val="27"/>
          <w:rtl/>
          <w:lang w:bidi="fa-IR"/>
        </w:rPr>
        <w:t>لم</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ن</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بعدهم، وإنّما</w:t>
      </w:r>
      <w:r w:rsidRPr="00904FCB">
        <w:rPr>
          <w:rFonts w:ascii="Times New Roman" w:hAnsi="Times New Roman"/>
          <w:i/>
          <w:sz w:val="27"/>
          <w:rtl/>
          <w:lang w:bidi="fa-IR"/>
        </w:rPr>
        <w:t xml:space="preserve"> </w:t>
      </w:r>
      <w:r w:rsidRPr="00904FCB">
        <w:rPr>
          <w:rFonts w:ascii="Times New Roman" w:hAnsi="Times New Roman" w:hint="cs"/>
          <w:i/>
          <w:sz w:val="27"/>
          <w:rtl/>
          <w:lang w:bidi="fa-IR"/>
        </w:rPr>
        <w:t>يثبت</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الحكم</w:t>
      </w:r>
      <w:r w:rsidRPr="00904FCB">
        <w:rPr>
          <w:rFonts w:ascii="Times New Roman" w:hAnsi="Times New Roman"/>
          <w:i/>
          <w:sz w:val="27"/>
          <w:rtl/>
          <w:lang w:bidi="fa-IR"/>
        </w:rPr>
        <w:t xml:space="preserve"> </w:t>
      </w:r>
      <w:r w:rsidRPr="00904FCB">
        <w:rPr>
          <w:rFonts w:ascii="Times New Roman" w:hAnsi="Times New Roman" w:hint="cs"/>
          <w:i/>
          <w:sz w:val="27"/>
          <w:rtl/>
          <w:lang w:bidi="fa-IR"/>
        </w:rPr>
        <w:t>بدليل</w:t>
      </w:r>
      <w:r w:rsidRPr="00904FCB">
        <w:rPr>
          <w:rFonts w:ascii="Times New Roman" w:hAnsi="Times New Roman"/>
          <w:i/>
          <w:sz w:val="27"/>
          <w:rtl/>
          <w:lang w:bidi="fa-IR"/>
        </w:rPr>
        <w:t xml:space="preserve"> </w:t>
      </w:r>
      <w:r w:rsidRPr="00904FCB">
        <w:rPr>
          <w:rFonts w:ascii="Times New Roman" w:hAnsi="Times New Roman" w:hint="cs"/>
          <w:i/>
          <w:sz w:val="27"/>
          <w:rtl/>
          <w:lang w:bidi="fa-IR"/>
        </w:rPr>
        <w:t>آخر</w:t>
      </w:r>
      <w:r w:rsidR="0098075B" w:rsidRPr="00904FCB">
        <w:rPr>
          <w:rFonts w:ascii="Times New Roman" w:hAnsi="Times New Roman" w:hint="cs"/>
          <w:i/>
          <w:sz w:val="27"/>
          <w:rtl/>
          <w:lang w:bidi="fa-IR"/>
        </w:rPr>
        <w:t xml:space="preserve">، </w:t>
      </w:r>
      <w:r w:rsidRPr="00904FCB">
        <w:rPr>
          <w:rFonts w:ascii="Times New Roman" w:hAnsi="Times New Roman" w:hint="cs"/>
          <w:i/>
          <w:sz w:val="27"/>
          <w:rtl/>
          <w:lang w:bidi="fa-IR"/>
        </w:rPr>
        <w:t>كالإجماع»</w:t>
      </w:r>
      <w:r w:rsidRPr="00904FCB">
        <w:rPr>
          <w:rFonts w:ascii="Times New Roman" w:hAnsi="Times New Roman"/>
          <w:i/>
          <w:sz w:val="27"/>
          <w:rtl/>
          <w:lang w:bidi="fa-IR"/>
        </w:rPr>
        <w:t xml:space="preserve">. </w:t>
      </w:r>
    </w:p>
    <w:p w:rsidR="00057E24" w:rsidRPr="00904FCB" w:rsidRDefault="00057E24" w:rsidP="007A21AA">
      <w:pPr>
        <w:spacing w:line="400" w:lineRule="exact"/>
        <w:rPr>
          <w:rFonts w:ascii="Times New Roman" w:hAnsi="Times New Roman"/>
          <w:i/>
          <w:sz w:val="27"/>
          <w:rtl/>
          <w:lang w:bidi="fa-IR"/>
        </w:rPr>
      </w:pPr>
    </w:p>
    <w:p w:rsidR="00057E24" w:rsidRPr="00904FCB" w:rsidRDefault="00057E24" w:rsidP="007A21AA">
      <w:pPr>
        <w:pStyle w:val="31"/>
        <w:spacing w:line="400" w:lineRule="exact"/>
        <w:rPr>
          <w:color w:val="auto"/>
          <w:rtl/>
          <w:lang w:bidi="fa-IR"/>
        </w:rPr>
      </w:pPr>
      <w:r w:rsidRPr="00B769C0">
        <w:rPr>
          <w:rFonts w:hint="cs"/>
          <w:color w:val="auto"/>
          <w:rtl/>
          <w:lang w:bidi="ar-LB"/>
        </w:rPr>
        <w:t>8ـ</w:t>
      </w:r>
      <w:r w:rsidRPr="00904FCB">
        <w:rPr>
          <w:rFonts w:hint="cs"/>
          <w:color w:val="auto"/>
          <w:rtl/>
          <w:lang w:bidi="ar-LB"/>
        </w:rPr>
        <w:t xml:space="preserve"> </w:t>
      </w:r>
      <w:r w:rsidRPr="00904FCB">
        <w:rPr>
          <w:color w:val="auto"/>
          <w:rtl/>
          <w:lang w:bidi="fa-IR"/>
        </w:rPr>
        <w:t>الاختصار ف</w:t>
      </w:r>
      <w:r w:rsidRPr="00904FCB">
        <w:rPr>
          <w:rFonts w:hint="cs"/>
          <w:color w:val="auto"/>
          <w:rtl/>
          <w:lang w:bidi="fa-IR"/>
        </w:rPr>
        <w:t>ي</w:t>
      </w:r>
      <w:r w:rsidRPr="00904FCB">
        <w:rPr>
          <w:color w:val="auto"/>
          <w:rtl/>
          <w:lang w:bidi="fa-IR"/>
        </w:rPr>
        <w:t xml:space="preserve"> </w:t>
      </w:r>
      <w:r w:rsidRPr="00904FCB">
        <w:rPr>
          <w:rFonts w:hint="cs"/>
          <w:color w:val="auto"/>
          <w:rtl/>
          <w:lang w:bidi="fa-IR"/>
        </w:rPr>
        <w:t>بحث</w:t>
      </w:r>
      <w:r w:rsidRPr="00904FCB">
        <w:rPr>
          <w:color w:val="auto"/>
          <w:rtl/>
          <w:lang w:bidi="fa-IR"/>
        </w:rPr>
        <w:t xml:space="preserve"> </w:t>
      </w:r>
      <w:r w:rsidRPr="00904FCB">
        <w:rPr>
          <w:rFonts w:hint="cs"/>
          <w:color w:val="auto"/>
          <w:rtl/>
          <w:lang w:bidi="fa-IR"/>
        </w:rPr>
        <w:t xml:space="preserve">الخبر </w:t>
      </w:r>
    </w:p>
    <w:p w:rsidR="00057E24" w:rsidRPr="00904FCB" w:rsidRDefault="00057E24" w:rsidP="007003D4">
      <w:pPr>
        <w:spacing w:line="400" w:lineRule="exact"/>
        <w:ind w:firstLine="561"/>
        <w:rPr>
          <w:rFonts w:ascii="Times New Roman" w:hAnsi="Times New Roman"/>
          <w:i/>
          <w:sz w:val="27"/>
          <w:rtl/>
          <w:lang w:bidi="fa-IR"/>
        </w:rPr>
      </w:pPr>
      <w:r w:rsidRPr="00904FCB">
        <w:rPr>
          <w:rFonts w:ascii="Times New Roman" w:hAnsi="Times New Roman"/>
          <w:i/>
          <w:sz w:val="27"/>
          <w:rtl/>
          <w:lang w:bidi="fa-IR"/>
        </w:rPr>
        <w:t>من جملة البحوث الت</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تعرّ</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ض</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لها، واشتهرت</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كتب</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الأصوليين</w:t>
      </w:r>
      <w:r w:rsidRPr="00904FCB">
        <w:rPr>
          <w:rFonts w:ascii="Times New Roman" w:hAnsi="Times New Roman"/>
          <w:i/>
          <w:sz w:val="27"/>
          <w:rtl/>
          <w:lang w:bidi="fa-IR"/>
        </w:rPr>
        <w:t xml:space="preserve"> </w:t>
      </w:r>
      <w:r w:rsidR="0098075B" w:rsidRPr="00904FCB">
        <w:rPr>
          <w:rFonts w:ascii="Times New Roman" w:hAnsi="Times New Roman" w:hint="cs"/>
          <w:i/>
          <w:sz w:val="27"/>
          <w:rtl/>
          <w:lang w:bidi="fa-IR"/>
        </w:rPr>
        <w:t>إ</w:t>
      </w:r>
      <w:r w:rsidRPr="00904FCB">
        <w:rPr>
          <w:rFonts w:ascii="Times New Roman" w:hAnsi="Times New Roman"/>
          <w:i/>
          <w:sz w:val="27"/>
          <w:rtl/>
          <w:lang w:bidi="fa-IR"/>
        </w:rPr>
        <w:t xml:space="preserve">لى </w:t>
      </w:r>
      <w:r w:rsidR="0098075B" w:rsidRPr="00904FCB">
        <w:rPr>
          <w:rFonts w:ascii="Times New Roman" w:hAnsi="Times New Roman" w:hint="cs"/>
          <w:i/>
          <w:sz w:val="27"/>
          <w:rtl/>
          <w:lang w:bidi="fa-IR"/>
        </w:rPr>
        <w:t>اليوم،</w:t>
      </w:r>
      <w:r w:rsidRPr="00904FCB">
        <w:rPr>
          <w:rFonts w:ascii="Times New Roman" w:hAnsi="Times New Roman"/>
          <w:i/>
          <w:sz w:val="27"/>
          <w:rtl/>
          <w:lang w:bidi="fa-IR"/>
        </w:rPr>
        <w:t xml:space="preserve"> </w:t>
      </w:r>
      <w:r w:rsidRPr="00904FCB">
        <w:rPr>
          <w:rFonts w:ascii="Times New Roman" w:hAnsi="Times New Roman" w:hint="cs"/>
          <w:i/>
          <w:sz w:val="27"/>
          <w:rtl/>
          <w:lang w:bidi="fa-IR"/>
        </w:rPr>
        <w:t>هو</w:t>
      </w:r>
      <w:r w:rsidRPr="00904FCB">
        <w:rPr>
          <w:rFonts w:ascii="Times New Roman" w:hAnsi="Times New Roman"/>
          <w:i/>
          <w:sz w:val="27"/>
          <w:rtl/>
          <w:lang w:bidi="fa-IR"/>
        </w:rPr>
        <w:t xml:space="preserve"> </w:t>
      </w:r>
      <w:r w:rsidRPr="00904FCB">
        <w:rPr>
          <w:rFonts w:ascii="Times New Roman" w:hAnsi="Times New Roman" w:hint="cs"/>
          <w:i/>
          <w:sz w:val="27"/>
          <w:rtl/>
          <w:lang w:bidi="fa-IR"/>
        </w:rPr>
        <w:t>بحث</w:t>
      </w:r>
      <w:r w:rsidRPr="00904FCB">
        <w:rPr>
          <w:rFonts w:ascii="Times New Roman" w:hAnsi="Times New Roman"/>
          <w:i/>
          <w:sz w:val="27"/>
          <w:rtl/>
          <w:lang w:bidi="fa-IR"/>
        </w:rPr>
        <w:t xml:space="preserve"> </w:t>
      </w:r>
      <w:r w:rsidRPr="00904FCB">
        <w:rPr>
          <w:rFonts w:ascii="Times New Roman" w:hAnsi="Times New Roman" w:hint="cs"/>
          <w:i/>
          <w:sz w:val="27"/>
          <w:rtl/>
          <w:lang w:bidi="fa-IR"/>
        </w:rPr>
        <w:t>حج</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ية</w:t>
      </w:r>
      <w:r w:rsidRPr="00904FCB">
        <w:rPr>
          <w:rFonts w:ascii="Times New Roman" w:hAnsi="Times New Roman"/>
          <w:i/>
          <w:sz w:val="27"/>
          <w:rtl/>
          <w:lang w:bidi="fa-IR"/>
        </w:rPr>
        <w:t xml:space="preserve"> </w:t>
      </w:r>
      <w:r w:rsidRPr="00904FCB">
        <w:rPr>
          <w:rFonts w:ascii="Times New Roman" w:hAnsi="Times New Roman" w:hint="cs"/>
          <w:i/>
          <w:sz w:val="27"/>
          <w:rtl/>
          <w:lang w:bidi="fa-IR"/>
        </w:rPr>
        <w:t>خبر</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الواحد، و</w:t>
      </w:r>
      <w:r w:rsidR="0098075B" w:rsidRPr="00904FCB">
        <w:rPr>
          <w:rFonts w:ascii="Times New Roman" w:hAnsi="Times New Roman" w:hint="cs"/>
          <w:i/>
          <w:sz w:val="27"/>
          <w:rtl/>
          <w:lang w:bidi="fa-IR"/>
        </w:rPr>
        <w:t xml:space="preserve">قد تعرَّض له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جهات</w:t>
      </w:r>
      <w:r w:rsidRPr="00904FCB">
        <w:rPr>
          <w:rFonts w:ascii="Times New Roman" w:hAnsi="Times New Roman"/>
          <w:i/>
          <w:sz w:val="27"/>
          <w:rtl/>
          <w:lang w:bidi="fa-IR"/>
        </w:rPr>
        <w:t xml:space="preserve"> </w:t>
      </w:r>
      <w:r w:rsidRPr="00904FCB">
        <w:rPr>
          <w:rFonts w:ascii="Times New Roman" w:hAnsi="Times New Roman" w:hint="cs"/>
          <w:i/>
          <w:sz w:val="27"/>
          <w:rtl/>
          <w:lang w:bidi="fa-IR"/>
        </w:rPr>
        <w:t>متعد</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دة</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 xml:space="preserve"> حيث</w:t>
      </w:r>
      <w:r w:rsidRPr="00904FCB">
        <w:rPr>
          <w:rFonts w:ascii="Times New Roman" w:hAnsi="Times New Roman"/>
          <w:i/>
          <w:sz w:val="27"/>
          <w:rtl/>
          <w:lang w:bidi="fa-IR"/>
        </w:rPr>
        <w:t xml:space="preserve"> </w:t>
      </w:r>
      <w:r w:rsidRPr="00904FCB">
        <w:rPr>
          <w:rFonts w:ascii="Times New Roman" w:hAnsi="Times New Roman" w:hint="cs"/>
          <w:i/>
          <w:sz w:val="27"/>
          <w:rtl/>
          <w:lang w:bidi="fa-IR"/>
        </w:rPr>
        <w:t>يذكر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A35A7D">
        <w:rPr>
          <w:rFonts w:ascii="Times New Roman" w:hAnsi="Times New Roman" w:hint="cs"/>
          <w:i/>
          <w:sz w:val="27"/>
          <w:rtl/>
          <w:lang w:bidi="fa-IR"/>
        </w:rPr>
        <w:t xml:space="preserve">الباب </w:t>
      </w:r>
      <w:r w:rsidRPr="00A35A7D">
        <w:rPr>
          <w:rFonts w:ascii="Times New Roman" w:hAnsi="Times New Roman"/>
          <w:i/>
          <w:sz w:val="27"/>
          <w:rtl/>
          <w:lang w:bidi="fa-IR"/>
        </w:rPr>
        <w:t>(</w:t>
      </w:r>
      <w:r w:rsidRPr="00A35A7D">
        <w:rPr>
          <w:rFonts w:ascii="Times New Roman" w:hAnsi="Times New Roman" w:hint="cs"/>
          <w:sz w:val="27"/>
          <w:rtl/>
          <w:lang w:bidi="ar-LB"/>
        </w:rPr>
        <w:t>8</w:t>
      </w:r>
      <w:r w:rsidRPr="00A35A7D">
        <w:rPr>
          <w:rFonts w:ascii="Times New Roman" w:hAnsi="Times New Roman"/>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المقصد</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الثاني</w:t>
      </w:r>
      <w:r w:rsidRPr="00904FCB">
        <w:rPr>
          <w:rFonts w:ascii="Times New Roman" w:hAnsi="Times New Roman"/>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Pr="00904FCB">
        <w:rPr>
          <w:rFonts w:ascii="Times New Roman" w:hAnsi="Times New Roman" w:hint="cs"/>
          <w:i/>
          <w:sz w:val="27"/>
          <w:rtl/>
          <w:lang w:bidi="fa-IR"/>
        </w:rPr>
        <w:t>كتابه</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التم</w:t>
      </w:r>
      <w:r w:rsidRPr="00904FCB">
        <w:rPr>
          <w:rFonts w:ascii="Times New Roman" w:hAnsi="Times New Roman"/>
          <w:i/>
          <w:sz w:val="27"/>
          <w:rtl/>
          <w:lang w:bidi="fa-IR"/>
        </w:rPr>
        <w:t>هيد مطالب عد</w:t>
      </w:r>
      <w:r w:rsidRPr="00904FCB">
        <w:rPr>
          <w:rFonts w:ascii="Times New Roman" w:hAnsi="Times New Roman" w:hint="cs"/>
          <w:i/>
          <w:sz w:val="27"/>
          <w:rtl/>
          <w:lang w:bidi="fa-IR"/>
        </w:rPr>
        <w:t>يدة</w:t>
      </w:r>
      <w:r w:rsidRPr="00904FCB">
        <w:rPr>
          <w:rFonts w:ascii="Times New Roman" w:hAnsi="Times New Roman"/>
          <w:i/>
          <w:sz w:val="27"/>
          <w:rtl/>
          <w:lang w:bidi="fa-IR"/>
        </w:rPr>
        <w:t xml:space="preserve"> </w:t>
      </w:r>
      <w:r w:rsidRPr="00904FCB">
        <w:rPr>
          <w:rFonts w:ascii="Times New Roman" w:hAnsi="Times New Roman" w:hint="cs"/>
          <w:i/>
          <w:sz w:val="27"/>
          <w:rtl/>
          <w:lang w:bidi="fa-IR"/>
        </w:rPr>
        <w:t>متعل</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قة</w:t>
      </w:r>
      <w:r w:rsidRPr="00904FCB">
        <w:rPr>
          <w:rFonts w:ascii="Times New Roman" w:hAnsi="Times New Roman"/>
          <w:i/>
          <w:sz w:val="27"/>
          <w:rtl/>
          <w:lang w:bidi="fa-IR"/>
        </w:rPr>
        <w:t xml:space="preserve"> </w:t>
      </w:r>
      <w:r w:rsidRPr="00904FCB">
        <w:rPr>
          <w:rFonts w:ascii="Times New Roman" w:hAnsi="Times New Roman" w:hint="cs"/>
          <w:i/>
          <w:sz w:val="27"/>
          <w:rtl/>
          <w:lang w:bidi="fa-IR"/>
        </w:rPr>
        <w:t>بهذه</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المسأل</w:t>
      </w:r>
      <w:r w:rsidR="0098075B" w:rsidRPr="00904FCB">
        <w:rPr>
          <w:rFonts w:ascii="Times New Roman" w:hAnsi="Times New Roman" w:hint="cs"/>
          <w:i/>
          <w:sz w:val="27"/>
          <w:rtl/>
          <w:lang w:bidi="fa-IR"/>
        </w:rPr>
        <w:t>ة</w:t>
      </w:r>
      <w:r w:rsidRPr="00904FCB">
        <w:rPr>
          <w:rFonts w:ascii="Times New Roman" w:hAnsi="Times New Roman"/>
          <w:i/>
          <w:sz w:val="27"/>
          <w:rtl/>
          <w:lang w:bidi="fa-IR"/>
        </w:rPr>
        <w:t>. و</w:t>
      </w:r>
      <w:r w:rsidRPr="00904FCB">
        <w:rPr>
          <w:rFonts w:ascii="Times New Roman" w:hAnsi="Times New Roman" w:hint="cs"/>
          <w:i/>
          <w:sz w:val="27"/>
          <w:rtl/>
          <w:lang w:bidi="fa-IR"/>
        </w:rPr>
        <w:t>كذا</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A35A7D">
        <w:rPr>
          <w:rFonts w:ascii="Times New Roman" w:hAnsi="Times New Roman" w:hint="cs"/>
          <w:sz w:val="27"/>
          <w:rtl/>
          <w:lang w:bidi="ar-LB"/>
        </w:rPr>
        <w:t>90</w:t>
      </w:r>
      <w:r w:rsidRPr="00904FCB">
        <w:rPr>
          <w:rFonts w:ascii="Times New Roman" w:hAnsi="Times New Roman"/>
          <w:i/>
          <w:sz w:val="27"/>
          <w:rtl/>
          <w:lang w:bidi="fa-IR"/>
        </w:rPr>
        <w:t>)</w:t>
      </w:r>
      <w:r w:rsidR="0098075B"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حيث</w:t>
      </w:r>
      <w:r w:rsidRPr="00904FCB">
        <w:rPr>
          <w:rFonts w:ascii="Times New Roman" w:hAnsi="Times New Roman"/>
          <w:i/>
          <w:sz w:val="27"/>
          <w:rtl/>
          <w:lang w:bidi="fa-IR"/>
        </w:rPr>
        <w:t xml:space="preserve"> </w:t>
      </w:r>
      <w:r w:rsidRPr="00904FCB">
        <w:rPr>
          <w:rFonts w:ascii="Times New Roman" w:hAnsi="Times New Roman" w:hint="cs"/>
          <w:i/>
          <w:sz w:val="27"/>
          <w:rtl/>
          <w:lang w:bidi="fa-IR"/>
        </w:rPr>
        <w:t>يذكر</w:t>
      </w:r>
      <w:r w:rsidRPr="00904FCB">
        <w:rPr>
          <w:rFonts w:ascii="Times New Roman" w:hAnsi="Times New Roman"/>
          <w:i/>
          <w:sz w:val="27"/>
          <w:rtl/>
          <w:lang w:bidi="fa-IR"/>
        </w:rPr>
        <w:t xml:space="preserve"> </w:t>
      </w:r>
      <w:r w:rsidRPr="00904FCB">
        <w:rPr>
          <w:rFonts w:ascii="Times New Roman" w:hAnsi="Times New Roman" w:hint="cs"/>
          <w:i/>
          <w:sz w:val="27"/>
          <w:rtl/>
          <w:lang w:bidi="fa-IR"/>
        </w:rPr>
        <w:t>تعريف</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الخبر</w:t>
      </w:r>
      <w:r w:rsidRPr="00904FCB">
        <w:rPr>
          <w:rFonts w:ascii="Times New Roman" w:hAnsi="Times New Roman"/>
          <w:i/>
          <w:sz w:val="27"/>
          <w:rtl/>
          <w:lang w:bidi="fa-IR"/>
        </w:rPr>
        <w:t xml:space="preserve"> و</w:t>
      </w:r>
      <w:r w:rsidRPr="00904FCB">
        <w:rPr>
          <w:rFonts w:ascii="Times New Roman" w:hAnsi="Times New Roman" w:hint="cs"/>
          <w:i/>
          <w:sz w:val="27"/>
          <w:rtl/>
          <w:lang w:bidi="fa-IR"/>
        </w:rPr>
        <w:t>ف</w:t>
      </w:r>
      <w:r w:rsidR="0098075B" w:rsidRPr="00904FCB">
        <w:rPr>
          <w:rFonts w:ascii="Times New Roman" w:hAnsi="Times New Roman" w:hint="cs"/>
          <w:i/>
          <w:sz w:val="27"/>
          <w:rtl/>
          <w:lang w:bidi="fa-IR"/>
        </w:rPr>
        <w:t>ر</w:t>
      </w:r>
      <w:r w:rsidRPr="00904FCB">
        <w:rPr>
          <w:rFonts w:ascii="Times New Roman" w:hAnsi="Times New Roman" w:hint="cs"/>
          <w:i/>
          <w:sz w:val="27"/>
          <w:rtl/>
          <w:lang w:bidi="fa-IR"/>
        </w:rPr>
        <w:t>وع</w:t>
      </w:r>
      <w:r w:rsidRPr="00904FCB">
        <w:rPr>
          <w:rFonts w:ascii="Times New Roman" w:hAnsi="Times New Roman"/>
          <w:i/>
          <w:sz w:val="27"/>
          <w:rtl/>
          <w:lang w:bidi="fa-IR"/>
        </w:rPr>
        <w:t xml:space="preserve"> </w:t>
      </w:r>
      <w:r w:rsidRPr="00904FCB">
        <w:rPr>
          <w:rFonts w:ascii="Times New Roman" w:hAnsi="Times New Roman" w:hint="cs"/>
          <w:i/>
          <w:sz w:val="27"/>
          <w:rtl/>
          <w:lang w:bidi="fa-IR"/>
        </w:rPr>
        <w:t>ذلك</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 xml:space="preserve"> وفي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القاعدة</w:t>
      </w:r>
      <w:r w:rsidRPr="00904FCB">
        <w:rPr>
          <w:rFonts w:ascii="Times New Roman" w:hAnsi="Times New Roman"/>
          <w:i/>
          <w:sz w:val="27"/>
          <w:rtl/>
          <w:lang w:bidi="fa-IR"/>
        </w:rPr>
        <w:t xml:space="preserve"> (</w:t>
      </w:r>
      <w:r w:rsidRPr="00A35A7D">
        <w:rPr>
          <w:rFonts w:ascii="Times New Roman" w:hAnsi="Times New Roman" w:hint="cs"/>
          <w:sz w:val="27"/>
          <w:rtl/>
          <w:lang w:bidi="ar-LB"/>
        </w:rPr>
        <w:t>91</w:t>
      </w:r>
      <w:r w:rsidRPr="00904FCB">
        <w:rPr>
          <w:rFonts w:ascii="Times New Roman" w:hAnsi="Times New Roman"/>
          <w:i/>
          <w:sz w:val="27"/>
          <w:rtl/>
          <w:lang w:bidi="fa-IR"/>
        </w:rPr>
        <w:t xml:space="preserve">) </w:t>
      </w:r>
      <w:r w:rsidRPr="00904FCB">
        <w:rPr>
          <w:rFonts w:ascii="Times New Roman" w:hAnsi="Times New Roman" w:hint="cs"/>
          <w:i/>
          <w:sz w:val="27"/>
          <w:rtl/>
          <w:lang w:bidi="fa-IR"/>
        </w:rPr>
        <w:t>يبحث</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مفهوم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الصدق</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الكذب</w:t>
      </w:r>
      <w:r w:rsidR="0098075B" w:rsidRPr="00904FCB">
        <w:rPr>
          <w:rFonts w:ascii="Times New Roman" w:hAnsi="Times New Roman" w:hint="cs"/>
          <w:i/>
          <w:sz w:val="27"/>
          <w:rtl/>
          <w:lang w:bidi="fa-IR"/>
        </w:rPr>
        <w:t>.</w:t>
      </w:r>
      <w:r w:rsidRPr="00904FCB">
        <w:rPr>
          <w:rFonts w:ascii="Times New Roman" w:hAnsi="Times New Roman" w:hint="cs"/>
          <w:i/>
          <w:sz w:val="27"/>
          <w:rtl/>
          <w:lang w:bidi="fa-IR"/>
        </w:rPr>
        <w:t xml:space="preserve"> وفي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القاعد</w:t>
      </w:r>
      <w:r w:rsidRPr="00904FCB">
        <w:rPr>
          <w:rFonts w:ascii="Times New Roman" w:hAnsi="Times New Roman"/>
          <w:i/>
          <w:sz w:val="27"/>
          <w:rtl/>
          <w:lang w:bidi="fa-IR"/>
        </w:rPr>
        <w:t>ة (</w:t>
      </w:r>
      <w:r w:rsidRPr="00A35A7D">
        <w:rPr>
          <w:rFonts w:ascii="Times New Roman" w:hAnsi="Times New Roman" w:hint="cs"/>
          <w:sz w:val="27"/>
          <w:rtl/>
          <w:lang w:bidi="ar-LB"/>
        </w:rPr>
        <w:t>92</w:t>
      </w:r>
      <w:r w:rsidRPr="00904FCB">
        <w:rPr>
          <w:rFonts w:ascii="Times New Roman" w:hAnsi="Times New Roman"/>
          <w:i/>
          <w:sz w:val="27"/>
          <w:rtl/>
          <w:lang w:bidi="fa-IR"/>
        </w:rPr>
        <w:t xml:space="preserve">) </w:t>
      </w:r>
      <w:r w:rsidR="002864CA" w:rsidRPr="00904FCB">
        <w:rPr>
          <w:rFonts w:ascii="Times New Roman" w:hAnsi="Times New Roman" w:hint="cs"/>
          <w:i/>
          <w:sz w:val="27"/>
          <w:rtl/>
          <w:lang w:bidi="fa-IR"/>
        </w:rPr>
        <w:t xml:space="preserve">بحثٌ </w:t>
      </w:r>
      <w:r w:rsidRPr="00904FCB">
        <w:rPr>
          <w:rFonts w:ascii="Times New Roman" w:hAnsi="Times New Roman"/>
          <w:i/>
          <w:sz w:val="27"/>
          <w:rtl/>
          <w:lang w:bidi="fa-IR"/>
        </w:rPr>
        <w:t>حول القرائن المسبّ</w:t>
      </w:r>
      <w:r w:rsidR="0098075B" w:rsidRPr="00904FCB">
        <w:rPr>
          <w:rFonts w:ascii="Times New Roman" w:hAnsi="Times New Roman" w:hint="cs"/>
          <w:i/>
          <w:sz w:val="27"/>
          <w:rtl/>
          <w:lang w:bidi="fa-IR"/>
        </w:rPr>
        <w:t>َ</w:t>
      </w:r>
      <w:r w:rsidRPr="00904FCB">
        <w:rPr>
          <w:rFonts w:ascii="Times New Roman" w:hAnsi="Times New Roman"/>
          <w:i/>
          <w:sz w:val="27"/>
          <w:rtl/>
          <w:lang w:bidi="fa-IR"/>
        </w:rPr>
        <w:t>بة للخبر ودخلها ف</w:t>
      </w:r>
      <w:r w:rsidRPr="00904FCB">
        <w:rPr>
          <w:rFonts w:ascii="Times New Roman" w:hAnsi="Times New Roman" w:hint="cs"/>
          <w:i/>
          <w:sz w:val="27"/>
          <w:rtl/>
          <w:lang w:bidi="fa-IR"/>
        </w:rPr>
        <w:t>ي</w:t>
      </w:r>
      <w:r w:rsidRPr="00904FCB">
        <w:rPr>
          <w:rFonts w:ascii="Times New Roman" w:hAnsi="Times New Roman"/>
          <w:i/>
          <w:sz w:val="27"/>
          <w:rtl/>
          <w:lang w:bidi="fa-IR"/>
        </w:rPr>
        <w:t xml:space="preserve"> </w:t>
      </w:r>
      <w:r w:rsidRPr="00904FCB">
        <w:rPr>
          <w:rFonts w:ascii="Times New Roman" w:hAnsi="Times New Roman" w:hint="cs"/>
          <w:i/>
          <w:sz w:val="27"/>
          <w:rtl/>
          <w:lang w:bidi="fa-IR"/>
        </w:rPr>
        <w:t>مصداقه</w:t>
      </w:r>
      <w:r w:rsidRPr="00904FCB">
        <w:rPr>
          <w:rFonts w:ascii="Times New Roman" w:hAnsi="Times New Roman"/>
          <w:i/>
          <w:sz w:val="27"/>
          <w:rtl/>
          <w:lang w:bidi="fa-IR"/>
        </w:rPr>
        <w:t xml:space="preserve">. </w:t>
      </w:r>
      <w:r w:rsidRPr="00904FCB">
        <w:rPr>
          <w:rFonts w:ascii="Times New Roman" w:hAnsi="Times New Roman" w:hint="cs"/>
          <w:i/>
          <w:sz w:val="27"/>
          <w:rtl/>
          <w:lang w:bidi="fa-IR"/>
        </w:rPr>
        <w:t>فالموضوع</w:t>
      </w:r>
      <w:r w:rsidRPr="00904FCB">
        <w:rPr>
          <w:rFonts w:ascii="Times New Roman" w:hAnsi="Times New Roman"/>
          <w:i/>
          <w:sz w:val="27"/>
          <w:rtl/>
          <w:lang w:bidi="fa-IR"/>
        </w:rPr>
        <w:t xml:space="preserve"> </w:t>
      </w:r>
      <w:r w:rsidRPr="00904FCB">
        <w:rPr>
          <w:rFonts w:ascii="Times New Roman" w:hAnsi="Times New Roman" w:hint="cs"/>
          <w:i/>
          <w:sz w:val="27"/>
          <w:rtl/>
          <w:lang w:bidi="fa-IR"/>
        </w:rPr>
        <w:t>رغم</w:t>
      </w:r>
      <w:r w:rsidRPr="00904FCB">
        <w:rPr>
          <w:rFonts w:ascii="Times New Roman" w:hAnsi="Times New Roman"/>
          <w:i/>
          <w:sz w:val="27"/>
          <w:rtl/>
          <w:lang w:bidi="fa-IR"/>
        </w:rPr>
        <w:t xml:space="preserve"> </w:t>
      </w:r>
      <w:r w:rsidRPr="00904FCB">
        <w:rPr>
          <w:rFonts w:ascii="Times New Roman" w:hAnsi="Times New Roman" w:hint="cs"/>
          <w:i/>
          <w:sz w:val="27"/>
          <w:rtl/>
          <w:lang w:bidi="fa-IR"/>
        </w:rPr>
        <w:t>أهم</w:t>
      </w:r>
      <w:r w:rsidR="002864CA" w:rsidRPr="00904FCB">
        <w:rPr>
          <w:rFonts w:ascii="Times New Roman" w:hAnsi="Times New Roman" w:hint="cs"/>
          <w:i/>
          <w:sz w:val="27"/>
          <w:rtl/>
          <w:lang w:bidi="fa-IR"/>
        </w:rPr>
        <w:t>ّ</w:t>
      </w:r>
      <w:r w:rsidRPr="00904FCB">
        <w:rPr>
          <w:rFonts w:ascii="Times New Roman" w:hAnsi="Times New Roman" w:hint="cs"/>
          <w:i/>
          <w:sz w:val="27"/>
          <w:rtl/>
          <w:lang w:bidi="fa-IR"/>
        </w:rPr>
        <w:t>يته</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علم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الأصول، وقد</w:t>
      </w:r>
      <w:r w:rsidRPr="00904FCB">
        <w:rPr>
          <w:rFonts w:ascii="Times New Roman" w:hAnsi="Times New Roman"/>
          <w:i/>
          <w:sz w:val="27"/>
          <w:rtl/>
          <w:lang w:bidi="fa-IR"/>
        </w:rPr>
        <w:t xml:space="preserve"> </w:t>
      </w:r>
      <w:r w:rsidRPr="00904FCB">
        <w:rPr>
          <w:rFonts w:ascii="Times New Roman" w:hAnsi="Times New Roman" w:hint="cs"/>
          <w:i/>
          <w:sz w:val="27"/>
          <w:rtl/>
          <w:lang w:bidi="fa-IR"/>
        </w:rPr>
        <w:t>أفرد</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الأصوليون</w:t>
      </w:r>
      <w:r w:rsidRPr="00904FCB">
        <w:rPr>
          <w:rFonts w:ascii="Times New Roman" w:hAnsi="Times New Roman"/>
          <w:i/>
          <w:sz w:val="27"/>
          <w:rtl/>
          <w:lang w:bidi="fa-IR"/>
        </w:rPr>
        <w:t xml:space="preserve"> </w:t>
      </w:r>
      <w:r w:rsidRPr="00904FCB">
        <w:rPr>
          <w:rFonts w:ascii="Times New Roman" w:hAnsi="Times New Roman" w:hint="cs"/>
          <w:i/>
          <w:sz w:val="27"/>
          <w:rtl/>
          <w:lang w:bidi="fa-IR"/>
        </w:rPr>
        <w:t>أبواباً</w:t>
      </w:r>
      <w:r w:rsidRPr="00904FCB">
        <w:rPr>
          <w:rFonts w:ascii="Times New Roman" w:hAnsi="Times New Roman"/>
          <w:i/>
          <w:sz w:val="27"/>
          <w:rtl/>
          <w:lang w:bidi="fa-IR"/>
        </w:rPr>
        <w:t xml:space="preserve"> </w:t>
      </w:r>
      <w:r w:rsidRPr="00904FCB">
        <w:rPr>
          <w:rFonts w:ascii="Times New Roman" w:hAnsi="Times New Roman" w:hint="cs"/>
          <w:i/>
          <w:sz w:val="27"/>
          <w:rtl/>
          <w:lang w:bidi="fa-IR"/>
        </w:rPr>
        <w:t>خاص</w:t>
      </w:r>
      <w:r w:rsidR="002864CA" w:rsidRPr="00904FCB">
        <w:rPr>
          <w:rFonts w:ascii="Times New Roman" w:hAnsi="Times New Roman" w:hint="cs"/>
          <w:i/>
          <w:sz w:val="27"/>
          <w:rtl/>
          <w:lang w:bidi="fa-IR"/>
        </w:rPr>
        <w:t>ّ</w:t>
      </w:r>
      <w:r w:rsidRPr="00904FCB">
        <w:rPr>
          <w:rFonts w:ascii="Times New Roman" w:hAnsi="Times New Roman" w:hint="cs"/>
          <w:i/>
          <w:sz w:val="27"/>
          <w:rtl/>
          <w:lang w:bidi="fa-IR"/>
        </w:rPr>
        <w:t>اً</w:t>
      </w:r>
      <w:r w:rsidRPr="00904FCB">
        <w:rPr>
          <w:rFonts w:ascii="Times New Roman" w:hAnsi="Times New Roman"/>
          <w:i/>
          <w:sz w:val="27"/>
          <w:rtl/>
          <w:lang w:bidi="fa-IR"/>
        </w:rPr>
        <w:t xml:space="preserve"> </w:t>
      </w:r>
      <w:r w:rsidRPr="00904FCB">
        <w:rPr>
          <w:rFonts w:ascii="Times New Roman" w:hAnsi="Times New Roman" w:hint="cs"/>
          <w:i/>
          <w:sz w:val="27"/>
          <w:rtl/>
          <w:lang w:bidi="fa-IR"/>
        </w:rPr>
        <w:t>به، إلا</w:t>
      </w:r>
      <w:r w:rsidR="002864CA"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الش</w:t>
      </w:r>
      <w:r w:rsidRPr="00904FCB">
        <w:rPr>
          <w:rFonts w:ascii="Times New Roman" w:hAnsi="Times New Roman"/>
          <w:i/>
          <w:sz w:val="27"/>
          <w:rtl/>
          <w:lang w:bidi="fa-IR"/>
        </w:rPr>
        <w:t xml:space="preserve">هيد لم </w:t>
      </w:r>
      <w:r w:rsidRPr="00904FCB">
        <w:rPr>
          <w:rFonts w:ascii="Times New Roman" w:hAnsi="Times New Roman" w:hint="cs"/>
          <w:i/>
          <w:sz w:val="27"/>
          <w:rtl/>
          <w:lang w:bidi="fa-IR"/>
        </w:rPr>
        <w:t>يتعرّ</w:t>
      </w:r>
      <w:r w:rsidR="002864CA" w:rsidRPr="00904FCB">
        <w:rPr>
          <w:rFonts w:ascii="Times New Roman" w:hAnsi="Times New Roman" w:hint="cs"/>
          <w:i/>
          <w:sz w:val="27"/>
          <w:rtl/>
          <w:lang w:bidi="fa-IR"/>
        </w:rPr>
        <w:t>َ</w:t>
      </w:r>
      <w:r w:rsidRPr="00904FCB">
        <w:rPr>
          <w:rFonts w:ascii="Times New Roman" w:hAnsi="Times New Roman" w:hint="cs"/>
          <w:i/>
          <w:sz w:val="27"/>
          <w:rtl/>
          <w:lang w:bidi="fa-IR"/>
        </w:rPr>
        <w:t>ض</w:t>
      </w:r>
      <w:r w:rsidRPr="00904FCB">
        <w:rPr>
          <w:rFonts w:ascii="Times New Roman" w:hAnsi="Times New Roman"/>
          <w:i/>
          <w:sz w:val="27"/>
          <w:rtl/>
          <w:lang w:bidi="fa-IR"/>
        </w:rPr>
        <w:t xml:space="preserve"> </w:t>
      </w:r>
      <w:r w:rsidRPr="00904FCB">
        <w:rPr>
          <w:rFonts w:ascii="Times New Roman" w:hAnsi="Times New Roman" w:hint="cs"/>
          <w:i/>
          <w:sz w:val="27"/>
          <w:rtl/>
          <w:lang w:bidi="fa-IR"/>
        </w:rPr>
        <w:t>له</w:t>
      </w:r>
      <w:r w:rsidRPr="00904FCB">
        <w:rPr>
          <w:rFonts w:ascii="Times New Roman" w:hAnsi="Times New Roman"/>
          <w:i/>
          <w:sz w:val="27"/>
          <w:rtl/>
          <w:lang w:bidi="fa-IR"/>
        </w:rPr>
        <w:t xml:space="preserve"> </w:t>
      </w:r>
      <w:r w:rsidRPr="00904FCB">
        <w:rPr>
          <w:rFonts w:ascii="Times New Roman" w:hAnsi="Times New Roman" w:hint="cs"/>
          <w:i/>
          <w:sz w:val="27"/>
          <w:rtl/>
          <w:lang w:bidi="fa-IR"/>
        </w:rPr>
        <w:t>إلا</w:t>
      </w:r>
      <w:r w:rsidR="002864CA"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اختصاراً، و</w:t>
      </w:r>
      <w:r w:rsidR="002864CA" w:rsidRPr="00904FCB">
        <w:rPr>
          <w:rFonts w:ascii="Times New Roman" w:hAnsi="Times New Roman" w:hint="cs"/>
          <w:i/>
          <w:sz w:val="27"/>
          <w:rtl/>
          <w:lang w:bidi="fa-IR"/>
        </w:rPr>
        <w:t>لعلّ</w:t>
      </w:r>
      <w:r w:rsidRPr="00904FCB">
        <w:rPr>
          <w:rFonts w:ascii="Times New Roman" w:hAnsi="Times New Roman"/>
          <w:i/>
          <w:sz w:val="27"/>
          <w:rtl/>
          <w:lang w:bidi="fa-IR"/>
        </w:rPr>
        <w:t xml:space="preserve"> </w:t>
      </w:r>
      <w:r w:rsidRPr="00904FCB">
        <w:rPr>
          <w:rFonts w:ascii="Times New Roman" w:hAnsi="Times New Roman" w:hint="cs"/>
          <w:i/>
          <w:sz w:val="27"/>
          <w:rtl/>
          <w:lang w:bidi="fa-IR"/>
        </w:rPr>
        <w:t>ذلك</w:t>
      </w:r>
      <w:r w:rsidRPr="00904FCB">
        <w:rPr>
          <w:rFonts w:ascii="Times New Roman" w:hAnsi="Times New Roman"/>
          <w:i/>
          <w:sz w:val="27"/>
          <w:rtl/>
          <w:lang w:bidi="fa-IR"/>
        </w:rPr>
        <w:t xml:space="preserve"> </w:t>
      </w:r>
      <w:r w:rsidRPr="00904FCB">
        <w:rPr>
          <w:rFonts w:ascii="Times New Roman" w:hAnsi="Times New Roman" w:hint="cs"/>
          <w:i/>
          <w:sz w:val="27"/>
          <w:rtl/>
          <w:lang w:bidi="fa-IR"/>
        </w:rPr>
        <w:t>ع</w:t>
      </w:r>
      <w:r w:rsidR="002864CA" w:rsidRPr="00904FCB">
        <w:rPr>
          <w:rFonts w:ascii="Times New Roman" w:hAnsi="Times New Roman" w:hint="cs"/>
          <w:i/>
          <w:sz w:val="27"/>
          <w:rtl/>
          <w:lang w:bidi="fa-IR"/>
        </w:rPr>
        <w:t>ُ</w:t>
      </w:r>
      <w:r w:rsidRPr="00904FCB">
        <w:rPr>
          <w:rFonts w:ascii="Times New Roman" w:hAnsi="Times New Roman" w:hint="cs"/>
          <w:i/>
          <w:sz w:val="27"/>
          <w:rtl/>
          <w:lang w:bidi="fa-IR"/>
        </w:rPr>
        <w:t>دّ</w:t>
      </w:r>
      <w:r w:rsidR="002864CA"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من</w:t>
      </w:r>
      <w:r w:rsidRPr="00904FCB">
        <w:rPr>
          <w:rFonts w:ascii="Times New Roman" w:hAnsi="Times New Roman"/>
          <w:i/>
          <w:sz w:val="27"/>
          <w:rtl/>
          <w:lang w:bidi="fa-IR"/>
        </w:rPr>
        <w:t xml:space="preserve"> </w:t>
      </w:r>
      <w:r w:rsidR="002864CA" w:rsidRPr="00904FCB">
        <w:rPr>
          <w:rFonts w:ascii="Times New Roman" w:hAnsi="Times New Roman" w:hint="cs"/>
          <w:i/>
          <w:sz w:val="27"/>
          <w:rtl/>
          <w:lang w:bidi="fa-IR"/>
        </w:rPr>
        <w:t>م</w:t>
      </w:r>
      <w:r w:rsidRPr="00904FCB">
        <w:rPr>
          <w:rFonts w:ascii="Times New Roman" w:hAnsi="Times New Roman" w:hint="cs"/>
          <w:i/>
          <w:sz w:val="27"/>
          <w:rtl/>
          <w:lang w:bidi="fa-IR"/>
        </w:rPr>
        <w:t>وارد</w:t>
      </w:r>
      <w:r w:rsidRPr="00904FCB">
        <w:rPr>
          <w:rFonts w:ascii="Times New Roman" w:hAnsi="Times New Roman"/>
          <w:i/>
          <w:sz w:val="27"/>
          <w:rtl/>
          <w:lang w:bidi="fa-IR"/>
        </w:rPr>
        <w:t xml:space="preserve"> </w:t>
      </w:r>
      <w:r w:rsidRPr="00904FCB">
        <w:rPr>
          <w:rFonts w:ascii="Times New Roman" w:hAnsi="Times New Roman" w:hint="cs"/>
          <w:i/>
          <w:sz w:val="27"/>
          <w:rtl/>
          <w:lang w:bidi="fa-IR"/>
        </w:rPr>
        <w:t>نقص</w:t>
      </w:r>
      <w:r w:rsidRPr="00904FCB">
        <w:rPr>
          <w:rFonts w:ascii="Times New Roman" w:hAnsi="Times New Roman"/>
          <w:i/>
          <w:sz w:val="27"/>
          <w:rtl/>
          <w:lang w:bidi="fa-IR"/>
        </w:rPr>
        <w:t xml:space="preserve"> </w:t>
      </w:r>
      <w:r w:rsidRPr="00904FCB">
        <w:rPr>
          <w:rFonts w:ascii="Times New Roman" w:hAnsi="Times New Roman" w:hint="cs"/>
          <w:i/>
          <w:sz w:val="27"/>
          <w:rtl/>
          <w:lang w:bidi="fa-IR"/>
        </w:rPr>
        <w:t>كتابه</w:t>
      </w:r>
      <w:r w:rsidRPr="00904FCB">
        <w:rPr>
          <w:rFonts w:ascii="Times New Roman" w:hAnsi="Times New Roman"/>
          <w:i/>
          <w:sz w:val="27"/>
          <w:rtl/>
          <w:lang w:bidi="fa-IR"/>
        </w:rPr>
        <w:t xml:space="preserve">. </w:t>
      </w:r>
    </w:p>
    <w:p w:rsidR="00057E24" w:rsidRPr="00904FCB" w:rsidRDefault="00057E24" w:rsidP="007A21AA">
      <w:pPr>
        <w:pStyle w:val="31"/>
        <w:spacing w:line="400" w:lineRule="exact"/>
        <w:rPr>
          <w:color w:val="auto"/>
          <w:rtl/>
          <w:lang w:bidi="fa-IR"/>
        </w:rPr>
      </w:pPr>
      <w:r w:rsidRPr="00A35A7D">
        <w:rPr>
          <w:rFonts w:hint="cs"/>
          <w:color w:val="auto"/>
          <w:rtl/>
          <w:lang w:bidi="ar-LB"/>
        </w:rPr>
        <w:lastRenderedPageBreak/>
        <w:t>9ـ</w:t>
      </w:r>
      <w:r w:rsidRPr="00904FCB">
        <w:rPr>
          <w:rFonts w:hint="cs"/>
          <w:color w:val="auto"/>
          <w:rtl/>
          <w:lang w:bidi="ar-LB"/>
        </w:rPr>
        <w:t xml:space="preserve"> </w:t>
      </w:r>
      <w:r w:rsidRPr="00904FCB">
        <w:rPr>
          <w:color w:val="auto"/>
          <w:rtl/>
          <w:lang w:bidi="fa-IR"/>
        </w:rPr>
        <w:t>تهم</w:t>
      </w:r>
      <w:r w:rsidRPr="00904FCB">
        <w:rPr>
          <w:rFonts w:hint="cs"/>
          <w:color w:val="auto"/>
          <w:rtl/>
          <w:lang w:bidi="fa-IR"/>
        </w:rPr>
        <w:t>يش</w:t>
      </w:r>
      <w:r w:rsidRPr="00904FCB">
        <w:rPr>
          <w:color w:val="auto"/>
          <w:rtl/>
          <w:lang w:bidi="fa-IR"/>
        </w:rPr>
        <w:t xml:space="preserve"> </w:t>
      </w:r>
      <w:r w:rsidRPr="00904FCB">
        <w:rPr>
          <w:rFonts w:hint="cs"/>
          <w:color w:val="auto"/>
          <w:rtl/>
          <w:lang w:bidi="fa-IR"/>
        </w:rPr>
        <w:t>البحوث</w:t>
      </w:r>
      <w:r w:rsidRPr="00904FCB">
        <w:rPr>
          <w:color w:val="auto"/>
          <w:rtl/>
          <w:lang w:bidi="fa-IR"/>
        </w:rPr>
        <w:t xml:space="preserve"> </w:t>
      </w:r>
      <w:r w:rsidRPr="00904FCB">
        <w:rPr>
          <w:rFonts w:hint="cs"/>
          <w:color w:val="auto"/>
          <w:rtl/>
          <w:lang w:bidi="fa-IR"/>
        </w:rPr>
        <w:t xml:space="preserve">الأصلية </w:t>
      </w:r>
    </w:p>
    <w:p w:rsidR="00057E24" w:rsidRPr="00904FCB" w:rsidRDefault="00057E24" w:rsidP="007A21AA">
      <w:pPr>
        <w:spacing w:line="400" w:lineRule="exact"/>
        <w:rPr>
          <w:rFonts w:ascii="Times New Roman" w:hAnsi="Times New Roman"/>
          <w:i/>
          <w:sz w:val="27"/>
          <w:rtl/>
          <w:lang w:bidi="fa-IR"/>
        </w:rPr>
      </w:pPr>
      <w:r w:rsidRPr="00904FCB">
        <w:rPr>
          <w:rFonts w:ascii="Times New Roman" w:hAnsi="Times New Roman"/>
          <w:i/>
          <w:sz w:val="27"/>
          <w:rtl/>
          <w:lang w:bidi="fa-IR"/>
        </w:rPr>
        <w:t>فالشهيد الثان</w:t>
      </w:r>
      <w:r w:rsidRPr="00904FCB">
        <w:rPr>
          <w:rFonts w:ascii="Times New Roman" w:hAnsi="Times New Roman" w:hint="cs"/>
          <w:i/>
          <w:sz w:val="27"/>
          <w:rtl/>
          <w:lang w:bidi="fa-IR"/>
        </w:rPr>
        <w:t>ي</w:t>
      </w:r>
      <w:r w:rsidR="002864CA" w:rsidRPr="00904FCB">
        <w:rPr>
          <w:rFonts w:ascii="Times New Roman" w:hAnsi="Times New Roman" w:hint="cs"/>
          <w:i/>
          <w:sz w:val="27"/>
          <w:rtl/>
          <w:lang w:bidi="fa-IR"/>
        </w:rPr>
        <w:t>،</w:t>
      </w:r>
      <w:r w:rsidRPr="00904FCB">
        <w:rPr>
          <w:rFonts w:ascii="Times New Roman" w:hAnsi="Times New Roman"/>
          <w:i/>
          <w:sz w:val="27"/>
          <w:rtl/>
          <w:lang w:bidi="fa-IR"/>
        </w:rPr>
        <w:t xml:space="preserve"> و</w:t>
      </w:r>
      <w:r w:rsidRPr="00904FCB">
        <w:rPr>
          <w:rFonts w:ascii="Times New Roman" w:hAnsi="Times New Roman" w:hint="cs"/>
          <w:i/>
          <w:sz w:val="27"/>
          <w:rtl/>
          <w:lang w:bidi="fa-IR"/>
        </w:rPr>
        <w:t>خلال</w:t>
      </w:r>
      <w:r w:rsidRPr="00904FCB">
        <w:rPr>
          <w:rFonts w:ascii="Times New Roman" w:hAnsi="Times New Roman"/>
          <w:i/>
          <w:sz w:val="27"/>
          <w:rtl/>
          <w:lang w:bidi="fa-IR"/>
        </w:rPr>
        <w:t xml:space="preserve"> </w:t>
      </w:r>
      <w:r w:rsidRPr="00904FCB">
        <w:rPr>
          <w:rFonts w:ascii="Times New Roman" w:hAnsi="Times New Roman" w:hint="cs"/>
          <w:i/>
          <w:sz w:val="27"/>
          <w:rtl/>
          <w:lang w:bidi="fa-IR"/>
        </w:rPr>
        <w:t>بحث</w:t>
      </w:r>
      <w:r w:rsidRPr="00904FCB">
        <w:rPr>
          <w:rFonts w:ascii="Times New Roman" w:hAnsi="Times New Roman"/>
          <w:i/>
          <w:sz w:val="27"/>
          <w:rtl/>
          <w:lang w:bidi="fa-IR"/>
        </w:rPr>
        <w:t>ه حول «المفاهيم»</w:t>
      </w:r>
      <w:r w:rsidR="002864CA" w:rsidRPr="00904FCB">
        <w:rPr>
          <w:rFonts w:ascii="Times New Roman" w:hAnsi="Times New Roman" w:hint="cs"/>
          <w:i/>
          <w:sz w:val="27"/>
          <w:rtl/>
          <w:lang w:bidi="fa-IR"/>
        </w:rPr>
        <w:t>،</w:t>
      </w:r>
      <w:r w:rsidRPr="00904FCB">
        <w:rPr>
          <w:rFonts w:ascii="Times New Roman" w:hAnsi="Times New Roman"/>
          <w:i/>
          <w:sz w:val="27"/>
          <w:rtl/>
          <w:lang w:bidi="fa-IR"/>
        </w:rPr>
        <w:t xml:space="preserve"> وهو من البحوث المحور</w:t>
      </w:r>
      <w:r w:rsidRPr="00904FCB">
        <w:rPr>
          <w:rFonts w:ascii="Times New Roman" w:hAnsi="Times New Roman" w:hint="cs"/>
          <w:i/>
          <w:sz w:val="27"/>
          <w:rtl/>
          <w:lang w:bidi="fa-IR"/>
        </w:rPr>
        <w:t>ية</w:t>
      </w:r>
      <w:r w:rsidRPr="00904FCB">
        <w:rPr>
          <w:rFonts w:ascii="Times New Roman" w:hAnsi="Times New Roman"/>
          <w:i/>
          <w:sz w:val="27"/>
          <w:rtl/>
          <w:lang w:bidi="fa-IR"/>
        </w:rPr>
        <w:t xml:space="preserve"> و</w:t>
      </w:r>
      <w:r w:rsidRPr="00904FCB">
        <w:rPr>
          <w:rFonts w:ascii="Times New Roman" w:hAnsi="Times New Roman" w:hint="cs"/>
          <w:i/>
          <w:sz w:val="27"/>
          <w:rtl/>
          <w:lang w:bidi="fa-IR"/>
        </w:rPr>
        <w:t>المهمة</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علم</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الأصول، نجده</w:t>
      </w:r>
      <w:r w:rsidRPr="00904FCB">
        <w:rPr>
          <w:rFonts w:ascii="Times New Roman" w:hAnsi="Times New Roman"/>
          <w:i/>
          <w:sz w:val="27"/>
          <w:rtl/>
          <w:lang w:bidi="fa-IR"/>
        </w:rPr>
        <w:t xml:space="preserve"> </w:t>
      </w:r>
      <w:r w:rsidRPr="00904FCB">
        <w:rPr>
          <w:rFonts w:ascii="Times New Roman" w:hAnsi="Times New Roman" w:hint="cs"/>
          <w:i/>
          <w:sz w:val="27"/>
          <w:rtl/>
          <w:lang w:bidi="fa-IR"/>
        </w:rPr>
        <w:t>يوردها</w:t>
      </w:r>
      <w:r w:rsidRPr="00904FCB">
        <w:rPr>
          <w:rFonts w:ascii="Times New Roman" w:hAnsi="Times New Roman"/>
          <w:i/>
          <w:sz w:val="27"/>
          <w:rtl/>
          <w:lang w:bidi="fa-IR"/>
        </w:rPr>
        <w:t xml:space="preserve"> </w:t>
      </w:r>
      <w:r w:rsidRPr="00904FCB">
        <w:rPr>
          <w:rFonts w:ascii="Times New Roman" w:hAnsi="Times New Roman" w:hint="cs"/>
          <w:i/>
          <w:sz w:val="27"/>
          <w:rtl/>
          <w:lang w:bidi="fa-IR"/>
        </w:rPr>
        <w:t>في</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الحواشي</w:t>
      </w:r>
      <w:r w:rsidRPr="00904FCB">
        <w:rPr>
          <w:rFonts w:ascii="Times New Roman" w:hAnsi="Times New Roman"/>
          <w:i/>
          <w:sz w:val="27"/>
          <w:rtl/>
          <w:lang w:bidi="fa-IR"/>
        </w:rPr>
        <w:t xml:space="preserve"> </w:t>
      </w:r>
      <w:r w:rsidRPr="00904FCB">
        <w:rPr>
          <w:rFonts w:ascii="Times New Roman" w:hAnsi="Times New Roman" w:hint="cs"/>
          <w:i/>
          <w:sz w:val="27"/>
          <w:rtl/>
          <w:lang w:bidi="fa-IR"/>
        </w:rPr>
        <w:t>أو</w:t>
      </w:r>
      <w:r w:rsidRPr="00904FCB">
        <w:rPr>
          <w:rFonts w:ascii="Times New Roman" w:hAnsi="Times New Roman"/>
          <w:i/>
          <w:sz w:val="27"/>
          <w:rtl/>
          <w:lang w:bidi="fa-IR"/>
        </w:rPr>
        <w:t xml:space="preserve"> </w:t>
      </w:r>
      <w:r w:rsidRPr="00904FCB">
        <w:rPr>
          <w:rFonts w:ascii="Times New Roman" w:hAnsi="Times New Roman" w:hint="cs"/>
          <w:i/>
          <w:sz w:val="27"/>
          <w:rtl/>
          <w:lang w:bidi="fa-IR"/>
        </w:rPr>
        <w:t>الملاحق</w:t>
      </w:r>
      <w:r w:rsidRPr="00904FCB">
        <w:rPr>
          <w:rFonts w:ascii="Times New Roman" w:hAnsi="Times New Roman"/>
          <w:i/>
          <w:sz w:val="27"/>
          <w:rtl/>
          <w:lang w:bidi="fa-IR"/>
        </w:rPr>
        <w:t xml:space="preserve"> </w:t>
      </w:r>
      <w:r w:rsidRPr="00904FCB">
        <w:rPr>
          <w:rFonts w:ascii="Times New Roman" w:hAnsi="Times New Roman" w:hint="cs"/>
          <w:i/>
          <w:sz w:val="27"/>
          <w:rtl/>
          <w:lang w:bidi="fa-IR"/>
        </w:rPr>
        <w:t>لبحوث</w:t>
      </w:r>
      <w:r w:rsidRPr="00904FCB">
        <w:rPr>
          <w:rFonts w:ascii="Times New Roman" w:hAnsi="Times New Roman"/>
          <w:i/>
          <w:sz w:val="27"/>
          <w:rtl/>
          <w:lang w:bidi="fa-IR"/>
        </w:rPr>
        <w:t xml:space="preserve"> </w:t>
      </w:r>
      <w:r w:rsidRPr="00904FCB">
        <w:rPr>
          <w:rFonts w:ascii="Times New Roman" w:hAnsi="Times New Roman" w:hint="cs"/>
          <w:i/>
          <w:sz w:val="27"/>
          <w:rtl/>
          <w:lang w:bidi="fa-IR"/>
        </w:rPr>
        <w:t>أخر</w:t>
      </w:r>
      <w:r w:rsidR="002864CA" w:rsidRPr="00904FCB">
        <w:rPr>
          <w:rFonts w:ascii="Times New Roman" w:hAnsi="Times New Roman" w:hint="cs"/>
          <w:i/>
          <w:sz w:val="27"/>
          <w:rtl/>
          <w:lang w:bidi="fa-IR"/>
        </w:rPr>
        <w:t>ى</w:t>
      </w:r>
      <w:r w:rsidRPr="00904FCB">
        <w:rPr>
          <w:rFonts w:ascii="Times New Roman" w:hAnsi="Times New Roman"/>
          <w:i/>
          <w:sz w:val="27"/>
          <w:rtl/>
          <w:lang w:bidi="fa-IR"/>
        </w:rPr>
        <w:t>. و</w:t>
      </w:r>
      <w:r w:rsidRPr="00904FCB">
        <w:rPr>
          <w:rFonts w:ascii="Times New Roman" w:hAnsi="Times New Roman" w:hint="cs"/>
          <w:i/>
          <w:sz w:val="27"/>
          <w:rtl/>
          <w:lang w:bidi="fa-IR"/>
        </w:rPr>
        <w:t>نر</w:t>
      </w:r>
      <w:r w:rsidR="002864CA" w:rsidRPr="00904FCB">
        <w:rPr>
          <w:rFonts w:ascii="Times New Roman" w:hAnsi="Times New Roman" w:hint="cs"/>
          <w:i/>
          <w:sz w:val="27"/>
          <w:rtl/>
          <w:lang w:bidi="fa-IR"/>
        </w:rPr>
        <w:t>ى</w:t>
      </w:r>
      <w:r w:rsidRPr="00904FCB">
        <w:rPr>
          <w:rFonts w:ascii="Times New Roman" w:hAnsi="Times New Roman"/>
          <w:i/>
          <w:sz w:val="27"/>
          <w:rtl/>
          <w:lang w:bidi="fa-IR"/>
        </w:rPr>
        <w:t xml:space="preserve"> </w:t>
      </w:r>
      <w:r w:rsidRPr="00904FCB">
        <w:rPr>
          <w:rFonts w:ascii="Times New Roman" w:hAnsi="Times New Roman" w:hint="cs"/>
          <w:i/>
          <w:sz w:val="27"/>
          <w:rtl/>
          <w:lang w:bidi="fa-IR"/>
        </w:rPr>
        <w:t>أنّ</w:t>
      </w:r>
      <w:r w:rsidRPr="00904FCB">
        <w:rPr>
          <w:rFonts w:ascii="Times New Roman" w:hAnsi="Times New Roman"/>
          <w:i/>
          <w:sz w:val="27"/>
          <w:rtl/>
          <w:lang w:bidi="fa-IR"/>
        </w:rPr>
        <w:t xml:space="preserve"> </w:t>
      </w:r>
      <w:r w:rsidRPr="00904FCB">
        <w:rPr>
          <w:rFonts w:ascii="Times New Roman" w:hAnsi="Times New Roman" w:hint="cs"/>
          <w:i/>
          <w:sz w:val="27"/>
          <w:rtl/>
          <w:lang w:bidi="fa-IR"/>
        </w:rPr>
        <w:t>ذلك</w:t>
      </w:r>
      <w:r w:rsidRPr="00904FCB">
        <w:rPr>
          <w:rFonts w:ascii="Times New Roman" w:hAnsi="Times New Roman"/>
          <w:i/>
          <w:sz w:val="27"/>
          <w:rtl/>
          <w:lang w:bidi="fa-IR"/>
        </w:rPr>
        <w:t xml:space="preserve"> </w:t>
      </w:r>
      <w:r w:rsidRPr="00904FCB">
        <w:rPr>
          <w:rFonts w:ascii="Times New Roman" w:hAnsi="Times New Roman" w:hint="cs"/>
          <w:i/>
          <w:sz w:val="27"/>
          <w:rtl/>
          <w:lang w:bidi="fa-IR"/>
        </w:rPr>
        <w:t>نقص</w:t>
      </w:r>
      <w:r w:rsidR="002864CA" w:rsidRPr="00904FCB">
        <w:rPr>
          <w:rFonts w:ascii="Times New Roman" w:hAnsi="Times New Roman" w:hint="cs"/>
          <w:i/>
          <w:sz w:val="27"/>
          <w:rtl/>
          <w:lang w:bidi="fa-IR"/>
        </w:rPr>
        <w:t>ٌ</w:t>
      </w:r>
      <w:r w:rsidRPr="00904FCB">
        <w:rPr>
          <w:rFonts w:ascii="Times New Roman" w:hAnsi="Times New Roman"/>
          <w:i/>
          <w:sz w:val="27"/>
          <w:rtl/>
          <w:lang w:bidi="fa-IR"/>
        </w:rPr>
        <w:t xml:space="preserve"> </w:t>
      </w:r>
      <w:r w:rsidRPr="00904FCB">
        <w:rPr>
          <w:rFonts w:ascii="Times New Roman" w:hAnsi="Times New Roman" w:hint="cs"/>
          <w:i/>
          <w:sz w:val="27"/>
          <w:rtl/>
          <w:lang w:bidi="fa-IR"/>
        </w:rPr>
        <w:t>يلحق</w:t>
      </w:r>
      <w:r w:rsidRPr="00904FCB">
        <w:rPr>
          <w:rFonts w:ascii="Times New Roman" w:hAnsi="Times New Roman"/>
          <w:i/>
          <w:sz w:val="27"/>
          <w:rtl/>
          <w:lang w:bidi="fa-IR"/>
        </w:rPr>
        <w:t xml:space="preserve"> </w:t>
      </w:r>
      <w:r w:rsidRPr="00904FCB">
        <w:rPr>
          <w:rFonts w:ascii="Times New Roman" w:hAnsi="Times New Roman" w:hint="cs"/>
          <w:i/>
          <w:sz w:val="27"/>
          <w:rtl/>
          <w:lang w:bidi="fa-IR"/>
        </w:rPr>
        <w:t>بالكتاب</w:t>
      </w:r>
      <w:r w:rsidRPr="00904FCB">
        <w:rPr>
          <w:rFonts w:ascii="Times New Roman" w:hAnsi="Times New Roman"/>
          <w:i/>
          <w:sz w:val="27"/>
          <w:rtl/>
          <w:lang w:bidi="fa-IR"/>
        </w:rPr>
        <w:t xml:space="preserve">. </w:t>
      </w:r>
    </w:p>
    <w:p w:rsidR="002864CA" w:rsidRPr="00904FCB" w:rsidRDefault="002864CA" w:rsidP="007A21AA">
      <w:pPr>
        <w:spacing w:line="400" w:lineRule="exact"/>
        <w:rPr>
          <w:rFonts w:ascii="Times New Roman" w:hAnsi="Times New Roman"/>
          <w:i/>
          <w:sz w:val="27"/>
          <w:rtl/>
          <w:lang w:bidi="fa-IR"/>
        </w:rPr>
      </w:pPr>
    </w:p>
    <w:p w:rsidR="002864CA" w:rsidRPr="00904FCB" w:rsidRDefault="002864CA" w:rsidP="007A21AA">
      <w:pPr>
        <w:pStyle w:val="31"/>
        <w:spacing w:line="400" w:lineRule="exact"/>
        <w:rPr>
          <w:color w:val="auto"/>
          <w:rtl/>
          <w:lang w:bidi="fa-IR"/>
        </w:rPr>
      </w:pPr>
      <w:r w:rsidRPr="00A35A7D">
        <w:rPr>
          <w:rFonts w:hint="cs"/>
          <w:color w:val="auto"/>
          <w:rtl/>
          <w:lang w:bidi="fa-IR"/>
        </w:rPr>
        <w:t>10ـ</w:t>
      </w:r>
      <w:r w:rsidRPr="00904FCB">
        <w:rPr>
          <w:rFonts w:hint="cs"/>
          <w:color w:val="auto"/>
          <w:rtl/>
          <w:lang w:bidi="fa-IR"/>
        </w:rPr>
        <w:t xml:space="preserve"> عدم الاهتمام بالبحوث العقليّة</w:t>
      </w:r>
    </w:p>
    <w:p w:rsidR="00E83C22" w:rsidRPr="00904FCB" w:rsidRDefault="00057E24" w:rsidP="007A21AA">
      <w:pPr>
        <w:spacing w:line="400" w:lineRule="exact"/>
        <w:rPr>
          <w:rtl/>
        </w:rPr>
      </w:pPr>
      <w:r w:rsidRPr="00904FCB">
        <w:rPr>
          <w:rtl/>
          <w:lang w:bidi="fa-IR"/>
        </w:rPr>
        <w:t xml:space="preserve">لم </w:t>
      </w:r>
      <w:r w:rsidRPr="00904FCB">
        <w:rPr>
          <w:rFonts w:hint="cs"/>
          <w:rtl/>
          <w:lang w:bidi="fa-IR"/>
        </w:rPr>
        <w:t>ي</w:t>
      </w:r>
      <w:r w:rsidR="002864CA" w:rsidRPr="00904FCB">
        <w:rPr>
          <w:rFonts w:hint="cs"/>
          <w:rtl/>
          <w:lang w:bidi="fa-IR"/>
        </w:rPr>
        <w:t>ُ</w:t>
      </w:r>
      <w:r w:rsidRPr="00904FCB">
        <w:rPr>
          <w:rFonts w:hint="cs"/>
          <w:rtl/>
          <w:lang w:bidi="fa-IR"/>
        </w:rPr>
        <w:t>ب</w:t>
      </w:r>
      <w:r w:rsidR="002864CA" w:rsidRPr="00904FCB">
        <w:rPr>
          <w:rFonts w:hint="cs"/>
          <w:rtl/>
          <w:lang w:bidi="fa-IR"/>
        </w:rPr>
        <w:t>ْ</w:t>
      </w:r>
      <w:r w:rsidRPr="00904FCB">
        <w:rPr>
          <w:rFonts w:hint="cs"/>
          <w:rtl/>
          <w:lang w:bidi="fa-IR"/>
        </w:rPr>
        <w:t>د</w:t>
      </w:r>
      <w:r w:rsidR="002864CA" w:rsidRPr="00904FCB">
        <w:rPr>
          <w:rFonts w:hint="cs"/>
          <w:rtl/>
          <w:lang w:bidi="fa-IR"/>
        </w:rPr>
        <w:t>ِ</w:t>
      </w:r>
      <w:r w:rsidRPr="00904FCB">
        <w:rPr>
          <w:rtl/>
          <w:lang w:bidi="fa-IR"/>
        </w:rPr>
        <w:t xml:space="preserve"> </w:t>
      </w:r>
      <w:r w:rsidRPr="00904FCB">
        <w:rPr>
          <w:rFonts w:hint="cs"/>
          <w:rtl/>
          <w:lang w:bidi="fa-IR"/>
        </w:rPr>
        <w:t>الش</w:t>
      </w:r>
      <w:r w:rsidRPr="00904FCB">
        <w:rPr>
          <w:rtl/>
          <w:lang w:bidi="fa-IR"/>
        </w:rPr>
        <w:t>هيد الثان</w:t>
      </w:r>
      <w:r w:rsidRPr="00904FCB">
        <w:rPr>
          <w:rFonts w:hint="cs"/>
          <w:rtl/>
          <w:lang w:bidi="fa-IR"/>
        </w:rPr>
        <w:t>ي</w:t>
      </w:r>
      <w:r w:rsidRPr="00904FCB">
        <w:rPr>
          <w:rtl/>
          <w:lang w:bidi="fa-IR"/>
        </w:rPr>
        <w:t xml:space="preserve"> </w:t>
      </w:r>
      <w:r w:rsidRPr="00904FCB">
        <w:rPr>
          <w:rFonts w:hint="cs"/>
          <w:rtl/>
          <w:lang w:bidi="fa-IR"/>
        </w:rPr>
        <w:t>اهتماماً</w:t>
      </w:r>
      <w:r w:rsidRPr="00904FCB">
        <w:rPr>
          <w:rtl/>
          <w:lang w:bidi="fa-IR"/>
        </w:rPr>
        <w:t xml:space="preserve"> </w:t>
      </w:r>
      <w:r w:rsidRPr="00904FCB">
        <w:rPr>
          <w:rFonts w:hint="cs"/>
          <w:rtl/>
          <w:lang w:bidi="fa-IR"/>
        </w:rPr>
        <w:t>بالبحوث</w:t>
      </w:r>
      <w:r w:rsidRPr="00904FCB">
        <w:rPr>
          <w:rtl/>
          <w:lang w:bidi="fa-IR"/>
        </w:rPr>
        <w:t xml:space="preserve"> </w:t>
      </w:r>
      <w:r w:rsidRPr="00904FCB">
        <w:rPr>
          <w:rFonts w:hint="cs"/>
          <w:rtl/>
          <w:lang w:bidi="fa-IR"/>
        </w:rPr>
        <w:t>المتعلّق</w:t>
      </w:r>
      <w:r w:rsidR="002864CA" w:rsidRPr="00904FCB">
        <w:rPr>
          <w:rFonts w:hint="cs"/>
          <w:rtl/>
          <w:lang w:bidi="fa-IR"/>
        </w:rPr>
        <w:t>ة</w:t>
      </w:r>
      <w:r w:rsidRPr="00904FCB">
        <w:rPr>
          <w:rtl/>
          <w:lang w:bidi="fa-IR"/>
        </w:rPr>
        <w:t xml:space="preserve"> </w:t>
      </w:r>
      <w:r w:rsidRPr="00904FCB">
        <w:rPr>
          <w:rFonts w:hint="cs"/>
          <w:rtl/>
          <w:lang w:bidi="fa-IR"/>
        </w:rPr>
        <w:t>بالعقل، بل</w:t>
      </w:r>
      <w:r w:rsidRPr="00904FCB">
        <w:rPr>
          <w:rtl/>
          <w:lang w:bidi="fa-IR"/>
        </w:rPr>
        <w:t xml:space="preserve"> </w:t>
      </w:r>
      <w:r w:rsidRPr="00904FCB">
        <w:rPr>
          <w:rFonts w:hint="cs"/>
          <w:rtl/>
          <w:lang w:bidi="fa-IR"/>
        </w:rPr>
        <w:t>يكاد</w:t>
      </w:r>
      <w:r w:rsidRPr="00904FCB">
        <w:rPr>
          <w:rtl/>
          <w:lang w:bidi="fa-IR"/>
        </w:rPr>
        <w:t xml:space="preserve"> </w:t>
      </w:r>
      <w:r w:rsidRPr="00904FCB">
        <w:rPr>
          <w:rFonts w:hint="cs"/>
          <w:rtl/>
          <w:lang w:bidi="fa-IR"/>
        </w:rPr>
        <w:t>لم</w:t>
      </w:r>
      <w:r w:rsidRPr="00904FCB">
        <w:rPr>
          <w:rtl/>
          <w:lang w:bidi="fa-IR"/>
        </w:rPr>
        <w:t xml:space="preserve"> </w:t>
      </w:r>
      <w:r w:rsidRPr="00904FCB">
        <w:rPr>
          <w:rFonts w:hint="cs"/>
          <w:rtl/>
          <w:lang w:bidi="fa-IR"/>
        </w:rPr>
        <w:t>يذكرها</w:t>
      </w:r>
      <w:r w:rsidRPr="00904FCB">
        <w:rPr>
          <w:rtl/>
          <w:lang w:bidi="fa-IR"/>
        </w:rPr>
        <w:t xml:space="preserve"> </w:t>
      </w:r>
      <w:r w:rsidRPr="00904FCB">
        <w:rPr>
          <w:rFonts w:hint="cs"/>
          <w:rtl/>
          <w:lang w:bidi="fa-IR"/>
        </w:rPr>
        <w:t>في</w:t>
      </w:r>
      <w:r w:rsidRPr="00904FCB">
        <w:rPr>
          <w:rtl/>
          <w:lang w:bidi="fa-IR"/>
        </w:rPr>
        <w:t xml:space="preserve"> </w:t>
      </w:r>
      <w:r w:rsidRPr="00904FCB">
        <w:rPr>
          <w:rFonts w:hint="cs"/>
          <w:rtl/>
          <w:lang w:bidi="fa-IR"/>
        </w:rPr>
        <w:t>كتابه، في</w:t>
      </w:r>
      <w:r w:rsidRPr="00904FCB">
        <w:rPr>
          <w:rtl/>
          <w:lang w:bidi="fa-IR"/>
        </w:rPr>
        <w:t xml:space="preserve"> </w:t>
      </w:r>
      <w:r w:rsidRPr="00904FCB">
        <w:rPr>
          <w:rFonts w:hint="cs"/>
          <w:rtl/>
          <w:lang w:bidi="fa-IR"/>
        </w:rPr>
        <w:t>وقت</w:t>
      </w:r>
      <w:r w:rsidR="002864CA" w:rsidRPr="00904FCB">
        <w:rPr>
          <w:rFonts w:hint="cs"/>
          <w:rtl/>
          <w:lang w:bidi="fa-IR"/>
        </w:rPr>
        <w:t>ٍ</w:t>
      </w:r>
      <w:r w:rsidRPr="00904FCB">
        <w:rPr>
          <w:rtl/>
          <w:lang w:bidi="fa-IR"/>
        </w:rPr>
        <w:t xml:space="preserve"> </w:t>
      </w:r>
      <w:r w:rsidRPr="00904FCB">
        <w:rPr>
          <w:rFonts w:hint="cs"/>
          <w:rtl/>
          <w:lang w:bidi="fa-IR"/>
        </w:rPr>
        <w:t>تشك</w:t>
      </w:r>
      <w:r w:rsidR="002864CA" w:rsidRPr="00904FCB">
        <w:rPr>
          <w:rFonts w:hint="cs"/>
          <w:rtl/>
          <w:lang w:bidi="fa-IR"/>
        </w:rPr>
        <w:t>ِّ</w:t>
      </w:r>
      <w:r w:rsidRPr="00904FCB">
        <w:rPr>
          <w:rFonts w:hint="cs"/>
          <w:rtl/>
          <w:lang w:bidi="fa-IR"/>
        </w:rPr>
        <w:t>ل</w:t>
      </w:r>
      <w:r w:rsidRPr="00904FCB">
        <w:rPr>
          <w:rtl/>
          <w:lang w:bidi="fa-IR"/>
        </w:rPr>
        <w:t xml:space="preserve"> </w:t>
      </w:r>
      <w:r w:rsidRPr="00904FCB">
        <w:rPr>
          <w:rFonts w:hint="cs"/>
          <w:rtl/>
          <w:lang w:bidi="fa-IR"/>
        </w:rPr>
        <w:t>هذه</w:t>
      </w:r>
      <w:r w:rsidRPr="00904FCB">
        <w:rPr>
          <w:rtl/>
          <w:lang w:bidi="fa-IR"/>
        </w:rPr>
        <w:t xml:space="preserve"> </w:t>
      </w:r>
      <w:r w:rsidRPr="00904FCB">
        <w:rPr>
          <w:rFonts w:hint="cs"/>
          <w:rtl/>
          <w:lang w:bidi="fa-IR"/>
        </w:rPr>
        <w:t>البحو</w:t>
      </w:r>
      <w:r w:rsidRPr="00904FCB">
        <w:rPr>
          <w:rtl/>
          <w:lang w:bidi="fa-IR"/>
        </w:rPr>
        <w:t>ث أحد مصادر استنباط الأحكام، وتحتلّ مسا</w:t>
      </w:r>
      <w:r w:rsidR="002864CA" w:rsidRPr="00904FCB">
        <w:rPr>
          <w:rFonts w:hint="cs"/>
          <w:rtl/>
          <w:lang w:bidi="fa-IR"/>
        </w:rPr>
        <w:t>ح</w:t>
      </w:r>
      <w:r w:rsidRPr="00904FCB">
        <w:rPr>
          <w:rtl/>
          <w:lang w:bidi="fa-IR"/>
        </w:rPr>
        <w:t>ة</w:t>
      </w:r>
      <w:r w:rsidR="002864CA" w:rsidRPr="00904FCB">
        <w:rPr>
          <w:rFonts w:hint="cs"/>
          <w:rtl/>
          <w:lang w:bidi="fa-IR"/>
        </w:rPr>
        <w:t>ً</w:t>
      </w:r>
      <w:r w:rsidRPr="00904FCB">
        <w:rPr>
          <w:rtl/>
          <w:lang w:bidi="fa-IR"/>
        </w:rPr>
        <w:t xml:space="preserve"> واسعة من علم الأصول، ولها أثر</w:t>
      </w:r>
      <w:r w:rsidR="002864CA" w:rsidRPr="00904FCB">
        <w:rPr>
          <w:rFonts w:hint="cs"/>
          <w:rtl/>
          <w:lang w:bidi="fa-IR"/>
        </w:rPr>
        <w:t>ٌ</w:t>
      </w:r>
      <w:r w:rsidRPr="00904FCB">
        <w:rPr>
          <w:rtl/>
          <w:lang w:bidi="fa-IR"/>
        </w:rPr>
        <w:t xml:space="preserve"> ف</w:t>
      </w:r>
      <w:r w:rsidRPr="00904FCB">
        <w:rPr>
          <w:rFonts w:hint="cs"/>
          <w:rtl/>
          <w:lang w:bidi="fa-IR"/>
        </w:rPr>
        <w:t>ي</w:t>
      </w:r>
      <w:r w:rsidRPr="00904FCB">
        <w:rPr>
          <w:rtl/>
          <w:lang w:bidi="fa-IR"/>
        </w:rPr>
        <w:t xml:space="preserve"> </w:t>
      </w:r>
      <w:r w:rsidRPr="00904FCB">
        <w:rPr>
          <w:rFonts w:hint="cs"/>
          <w:rtl/>
          <w:lang w:bidi="fa-IR"/>
        </w:rPr>
        <w:t>مقد</w:t>
      </w:r>
      <w:r w:rsidR="002864CA" w:rsidRPr="00904FCB">
        <w:rPr>
          <w:rFonts w:hint="cs"/>
          <w:rtl/>
          <w:lang w:bidi="fa-IR"/>
        </w:rPr>
        <w:t>ّ</w:t>
      </w:r>
      <w:r w:rsidRPr="00904FCB">
        <w:rPr>
          <w:rFonts w:hint="cs"/>
          <w:rtl/>
          <w:lang w:bidi="fa-IR"/>
        </w:rPr>
        <w:t>مات</w:t>
      </w:r>
      <w:r w:rsidRPr="00904FCB">
        <w:rPr>
          <w:rtl/>
          <w:lang w:bidi="fa-IR"/>
        </w:rPr>
        <w:t xml:space="preserve"> </w:t>
      </w:r>
      <w:r w:rsidRPr="00904FCB">
        <w:rPr>
          <w:rFonts w:hint="cs"/>
          <w:rtl/>
          <w:lang w:bidi="fa-IR"/>
        </w:rPr>
        <w:t>الأدلّة</w:t>
      </w:r>
      <w:r w:rsidRPr="00904FCB">
        <w:rPr>
          <w:rtl/>
          <w:lang w:bidi="fa-IR"/>
        </w:rPr>
        <w:t xml:space="preserve"> </w:t>
      </w:r>
      <w:r w:rsidRPr="00904FCB">
        <w:rPr>
          <w:rFonts w:hint="cs"/>
          <w:rtl/>
          <w:lang w:bidi="fa-IR"/>
        </w:rPr>
        <w:t>الأخرى.</w:t>
      </w:r>
    </w:p>
    <w:p w:rsidR="00E83C22" w:rsidRPr="00904FCB" w:rsidRDefault="00E83C2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145"/>
          <w:headerReference w:type="default" r:id="rId146"/>
          <w:footerReference w:type="even" r:id="rId147"/>
          <w:footerReference w:type="default" r:id="rId14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149"/>
          <w:headerReference w:type="default" r:id="rId150"/>
          <w:footerReference w:type="even" r:id="rId151"/>
          <w:footerReference w:type="default" r:id="rId152"/>
          <w:headerReference w:type="first" r:id="rId153"/>
          <w:endnotePr>
            <w:numFmt w:val="decimal"/>
            <w:numRestart w:val="eachSect"/>
          </w:endnotePr>
          <w:type w:val="continuous"/>
          <w:pgSz w:w="11907" w:h="16840" w:code="9"/>
          <w:pgMar w:top="2637" w:right="2438" w:bottom="3686" w:left="2438" w:header="2268" w:footer="3119" w:gutter="0"/>
          <w:cols w:space="720"/>
          <w:titlePg/>
          <w:docGrid w:linePitch="360"/>
        </w:sectPr>
      </w:pPr>
    </w:p>
    <w:p w:rsidR="00625F5D" w:rsidRPr="00904FCB" w:rsidRDefault="00625F5D" w:rsidP="007A21AA">
      <w:pPr>
        <w:spacing w:line="400" w:lineRule="exact"/>
        <w:rPr>
          <w:rtl/>
        </w:rPr>
      </w:pPr>
    </w:p>
    <w:p w:rsidR="00625F5D" w:rsidRPr="00904FCB" w:rsidRDefault="00625F5D" w:rsidP="007A21AA">
      <w:pPr>
        <w:spacing w:line="400" w:lineRule="exact"/>
        <w:rPr>
          <w:rtl/>
        </w:rPr>
      </w:pPr>
    </w:p>
    <w:p w:rsidR="00625F5D" w:rsidRPr="00904FCB" w:rsidRDefault="00625F5D" w:rsidP="00826CE1">
      <w:pPr>
        <w:pStyle w:val="10"/>
        <w:spacing w:line="240" w:lineRule="auto"/>
        <w:rPr>
          <w:rtl/>
          <w:lang w:bidi="ar-DZ"/>
        </w:rPr>
      </w:pPr>
      <w:bookmarkStart w:id="48" w:name="_Toc435577210"/>
      <w:bookmarkStart w:id="49" w:name="_GoBack"/>
      <w:bookmarkEnd w:id="49"/>
      <w:r w:rsidRPr="00904FCB">
        <w:rPr>
          <w:rFonts w:hint="cs"/>
          <w:rtl/>
          <w:lang w:bidi="ar-DZ"/>
        </w:rPr>
        <w:t>تجلِّيات الحداثة الغربيّة في الوطن العربي</w:t>
      </w:r>
      <w:bookmarkEnd w:id="48"/>
    </w:p>
    <w:p w:rsidR="00625F5D" w:rsidRPr="00904FCB" w:rsidRDefault="00625F5D" w:rsidP="007A21AA">
      <w:pPr>
        <w:spacing w:line="400" w:lineRule="exact"/>
        <w:rPr>
          <w:rtl/>
        </w:rPr>
      </w:pPr>
    </w:p>
    <w:p w:rsidR="00625F5D" w:rsidRPr="00904FCB" w:rsidRDefault="00625F5D" w:rsidP="007A21AA">
      <w:pPr>
        <w:pStyle w:val="Author"/>
        <w:spacing w:line="400" w:lineRule="exact"/>
        <w:rPr>
          <w:rtl/>
        </w:rPr>
      </w:pPr>
      <w:bookmarkStart w:id="50" w:name="_Toc435577211"/>
      <w:r w:rsidRPr="00904FCB">
        <w:rPr>
          <w:rFonts w:hint="cs"/>
          <w:rtl/>
          <w:lang w:bidi="ar-DZ"/>
        </w:rPr>
        <w:t>د. قويدري الأخضر</w:t>
      </w:r>
      <w:r w:rsidR="00BA35F6" w:rsidRPr="00BA35F6">
        <w:rPr>
          <w:rFonts w:hint="cs"/>
          <w:sz w:val="4"/>
          <w:szCs w:val="4"/>
          <w:rtl/>
          <w:lang w:bidi="ar-DZ"/>
        </w:rPr>
        <w:t xml:space="preserve"> </w:t>
      </w:r>
      <w:r w:rsidRPr="00904FCB">
        <w:rPr>
          <w:rFonts w:cs="Taher" w:hint="cs"/>
          <w:vertAlign w:val="superscript"/>
          <w:rtl/>
        </w:rPr>
        <w:t>(</w:t>
      </w:r>
      <w:r w:rsidRPr="00904FCB">
        <w:rPr>
          <w:rFonts w:cs="Taher"/>
          <w:vertAlign w:val="superscript"/>
          <w:rtl/>
        </w:rPr>
        <w:footnoteReference w:customMarkFollows="1" w:id="16"/>
        <w:t>*)</w:t>
      </w:r>
      <w:bookmarkEnd w:id="50"/>
    </w:p>
    <w:p w:rsidR="00625F5D" w:rsidRPr="00904FCB" w:rsidRDefault="00625F5D" w:rsidP="007A21AA">
      <w:pPr>
        <w:spacing w:line="400" w:lineRule="exact"/>
        <w:rPr>
          <w:rtl/>
        </w:rPr>
      </w:pPr>
    </w:p>
    <w:p w:rsidR="00625F5D" w:rsidRPr="00904FCB" w:rsidRDefault="00625F5D" w:rsidP="007A21AA">
      <w:pPr>
        <w:pStyle w:val="31"/>
        <w:spacing w:line="400" w:lineRule="exact"/>
        <w:rPr>
          <w:color w:val="auto"/>
          <w:rtl/>
          <w:lang w:bidi="ar-DZ"/>
        </w:rPr>
      </w:pPr>
      <w:r w:rsidRPr="00904FCB">
        <w:rPr>
          <w:rFonts w:hint="cs"/>
          <w:color w:val="auto"/>
          <w:rtl/>
          <w:lang w:bidi="ar-DZ"/>
        </w:rPr>
        <w:t>مدخل</w:t>
      </w:r>
      <w:r w:rsidR="000E3EF8" w:rsidRPr="00904FCB">
        <w:rPr>
          <w:rFonts w:hint="cs"/>
          <w:color w:val="auto"/>
          <w:rtl/>
          <w:lang w:bidi="ar-DZ"/>
        </w:rPr>
        <w:t>ٌ</w:t>
      </w:r>
      <w:r w:rsidRPr="00904FCB">
        <w:rPr>
          <w:rFonts w:hint="cs"/>
          <w:color w:val="auto"/>
          <w:rtl/>
          <w:lang w:bidi="ar-DZ"/>
        </w:rPr>
        <w:t xml:space="preserve"> </w:t>
      </w:r>
    </w:p>
    <w:p w:rsidR="00625F5D" w:rsidRPr="00904FCB" w:rsidRDefault="00625F5D" w:rsidP="002E4825">
      <w:pPr>
        <w:spacing w:line="420" w:lineRule="exact"/>
        <w:ind w:firstLine="561"/>
        <w:rPr>
          <w:sz w:val="27"/>
          <w:rtl/>
          <w:lang w:bidi="ar-DZ"/>
        </w:rPr>
      </w:pPr>
      <w:r w:rsidRPr="00904FCB">
        <w:rPr>
          <w:rFonts w:hint="cs"/>
          <w:sz w:val="27"/>
          <w:rtl/>
          <w:lang w:bidi="ar-DZ"/>
        </w:rPr>
        <w:t>الحداثة فكرة</w:t>
      </w:r>
      <w:r w:rsidR="002864CA" w:rsidRPr="00904FCB">
        <w:rPr>
          <w:rFonts w:hint="cs"/>
          <w:sz w:val="27"/>
          <w:rtl/>
          <w:lang w:bidi="ar-DZ"/>
        </w:rPr>
        <w:t>ٌ</w:t>
      </w:r>
      <w:r w:rsidRPr="00904FCB">
        <w:rPr>
          <w:rFonts w:hint="cs"/>
          <w:sz w:val="27"/>
          <w:rtl/>
          <w:lang w:bidi="ar-DZ"/>
        </w:rPr>
        <w:t xml:space="preserve"> نشأت في سياقات تاريخية وثقافية غربية، وحملت في ذاتها قيما</w:t>
      </w:r>
      <w:r w:rsidR="002864CA" w:rsidRPr="00904FCB">
        <w:rPr>
          <w:rFonts w:hint="cs"/>
          <w:sz w:val="27"/>
          <w:rtl/>
          <w:lang w:bidi="ar-DZ"/>
        </w:rPr>
        <w:t>ً</w:t>
      </w:r>
      <w:r w:rsidRPr="00904FCB">
        <w:rPr>
          <w:rFonts w:hint="cs"/>
          <w:sz w:val="27"/>
          <w:rtl/>
          <w:lang w:bidi="ar-DZ"/>
        </w:rPr>
        <w:t xml:space="preserve"> قلَب</w:t>
      </w:r>
      <w:r w:rsidR="002864CA" w:rsidRPr="00904FCB">
        <w:rPr>
          <w:rFonts w:hint="cs"/>
          <w:sz w:val="27"/>
          <w:rtl/>
          <w:lang w:bidi="ar-DZ"/>
        </w:rPr>
        <w:t>َ</w:t>
      </w:r>
      <w:r w:rsidRPr="00904FCB">
        <w:rPr>
          <w:rFonts w:hint="cs"/>
          <w:sz w:val="27"/>
          <w:rtl/>
          <w:lang w:bidi="ar-DZ"/>
        </w:rPr>
        <w:t>ت</w:t>
      </w:r>
      <w:r w:rsidR="002864CA" w:rsidRPr="00904FCB">
        <w:rPr>
          <w:rFonts w:hint="cs"/>
          <w:sz w:val="27"/>
          <w:rtl/>
          <w:lang w:bidi="ar-DZ"/>
        </w:rPr>
        <w:t>ْ</w:t>
      </w:r>
      <w:r w:rsidRPr="00904FCB">
        <w:rPr>
          <w:rFonts w:hint="cs"/>
          <w:sz w:val="27"/>
          <w:rtl/>
          <w:lang w:bidi="ar-DZ"/>
        </w:rPr>
        <w:t xml:space="preserve"> المجتمع الغربي رأسا</w:t>
      </w:r>
      <w:r w:rsidR="002864CA" w:rsidRPr="00904FCB">
        <w:rPr>
          <w:rFonts w:hint="cs"/>
          <w:sz w:val="27"/>
          <w:rtl/>
          <w:lang w:bidi="ar-DZ"/>
        </w:rPr>
        <w:t>ً</w:t>
      </w:r>
      <w:r w:rsidRPr="00904FCB">
        <w:rPr>
          <w:rFonts w:hint="cs"/>
          <w:sz w:val="27"/>
          <w:rtl/>
          <w:lang w:bidi="ar-DZ"/>
        </w:rPr>
        <w:t xml:space="preserve"> على عقب، وأخرجته من ظلمات العصور الوسطى إلى أنوار العصر الحديث. </w:t>
      </w:r>
    </w:p>
    <w:p w:rsidR="00625F5D" w:rsidRPr="00904FCB" w:rsidRDefault="00625F5D" w:rsidP="00BA35F6">
      <w:pPr>
        <w:spacing w:line="420" w:lineRule="exact"/>
        <w:ind w:firstLine="561"/>
        <w:rPr>
          <w:rtl/>
          <w:lang w:bidi="ar-DZ"/>
        </w:rPr>
      </w:pPr>
      <w:r w:rsidRPr="00904FCB">
        <w:rPr>
          <w:rFonts w:hint="cs"/>
          <w:rtl/>
          <w:lang w:bidi="ar-DZ"/>
        </w:rPr>
        <w:t>وخلال احتكاك العرب بأوروبا ـ منذ حملة نابليون على مصر</w:t>
      </w:r>
      <w:r w:rsidR="00523736" w:rsidRPr="00904FCB">
        <w:rPr>
          <w:rFonts w:hint="cs"/>
          <w:rtl/>
          <w:lang w:bidi="ar-DZ"/>
        </w:rPr>
        <w:t xml:space="preserve"> </w:t>
      </w:r>
      <w:r w:rsidRPr="00904FCB">
        <w:rPr>
          <w:rFonts w:hint="cs"/>
          <w:rtl/>
          <w:lang w:bidi="ar-DZ"/>
        </w:rPr>
        <w:t>ـ اكتشفت النخب العربية المثق</w:t>
      </w:r>
      <w:r w:rsidR="00523736" w:rsidRPr="00904FCB">
        <w:rPr>
          <w:rFonts w:hint="cs"/>
          <w:rtl/>
          <w:lang w:bidi="ar-DZ"/>
        </w:rPr>
        <w:t>َّ</w:t>
      </w:r>
      <w:r w:rsidRPr="00904FCB">
        <w:rPr>
          <w:rFonts w:hint="cs"/>
          <w:rtl/>
          <w:lang w:bidi="ar-DZ"/>
        </w:rPr>
        <w:t>فة ذلك البون الشاسع الذي يفصل بين مجتمع</w:t>
      </w:r>
      <w:r w:rsidR="00523736" w:rsidRPr="00904FCB">
        <w:rPr>
          <w:rFonts w:hint="cs"/>
          <w:rtl/>
          <w:lang w:bidi="ar-DZ"/>
        </w:rPr>
        <w:t>ٍ</w:t>
      </w:r>
      <w:r w:rsidRPr="00904FCB">
        <w:rPr>
          <w:rFonts w:hint="cs"/>
          <w:rtl/>
          <w:lang w:bidi="ar-DZ"/>
        </w:rPr>
        <w:t xml:space="preserve"> لم يبق</w:t>
      </w:r>
      <w:r w:rsidR="00523736" w:rsidRPr="00904FCB">
        <w:rPr>
          <w:rFonts w:hint="cs"/>
          <w:rtl/>
          <w:lang w:bidi="ar-DZ"/>
        </w:rPr>
        <w:t>َ</w:t>
      </w:r>
      <w:r w:rsidRPr="00904FCB">
        <w:rPr>
          <w:rFonts w:hint="cs"/>
          <w:rtl/>
          <w:lang w:bidi="ar-DZ"/>
        </w:rPr>
        <w:t xml:space="preserve"> له من حضارته الإسلامية إلا</w:t>
      </w:r>
      <w:r w:rsidR="00523736" w:rsidRPr="00904FCB">
        <w:rPr>
          <w:rFonts w:hint="cs"/>
          <w:rtl/>
          <w:lang w:bidi="ar-DZ"/>
        </w:rPr>
        <w:t>ّ</w:t>
      </w:r>
      <w:r w:rsidRPr="00904FCB">
        <w:rPr>
          <w:rFonts w:hint="cs"/>
          <w:rtl/>
          <w:lang w:bidi="ar-DZ"/>
        </w:rPr>
        <w:t xml:space="preserve"> تراث</w:t>
      </w:r>
      <w:r w:rsidR="00523736" w:rsidRPr="00904FCB">
        <w:rPr>
          <w:rFonts w:hint="cs"/>
          <w:rtl/>
          <w:lang w:bidi="ar-DZ"/>
        </w:rPr>
        <w:t>ٌ</w:t>
      </w:r>
      <w:r w:rsidRPr="00904FCB">
        <w:rPr>
          <w:rFonts w:hint="cs"/>
          <w:rtl/>
          <w:lang w:bidi="ar-DZ"/>
        </w:rPr>
        <w:t xml:space="preserve"> مهلهل </w:t>
      </w:r>
      <w:r w:rsidR="00523736" w:rsidRPr="00904FCB">
        <w:rPr>
          <w:rFonts w:hint="cs"/>
          <w:rtl/>
          <w:lang w:bidi="ar-DZ"/>
        </w:rPr>
        <w:t>و</w:t>
      </w:r>
      <w:r w:rsidRPr="00904FCB">
        <w:rPr>
          <w:rFonts w:hint="cs"/>
          <w:rtl/>
          <w:lang w:bidi="ar-DZ"/>
        </w:rPr>
        <w:t>مجتمع</w:t>
      </w:r>
      <w:r w:rsidR="00523736" w:rsidRPr="00904FCB">
        <w:rPr>
          <w:rFonts w:hint="cs"/>
          <w:rtl/>
          <w:lang w:bidi="ar-DZ"/>
        </w:rPr>
        <w:t>ٍ</w:t>
      </w:r>
      <w:r w:rsidRPr="00904FCB">
        <w:rPr>
          <w:rFonts w:hint="cs"/>
          <w:rtl/>
          <w:lang w:bidi="ar-DZ"/>
        </w:rPr>
        <w:t xml:space="preserve"> ينعم بحضارة</w:t>
      </w:r>
      <w:r w:rsidR="00523736" w:rsidRPr="00904FCB">
        <w:rPr>
          <w:rFonts w:hint="cs"/>
          <w:rtl/>
          <w:lang w:bidi="ar-DZ"/>
        </w:rPr>
        <w:t>ٍ</w:t>
      </w:r>
      <w:r w:rsidRPr="00904FCB">
        <w:rPr>
          <w:rFonts w:hint="cs"/>
          <w:rtl/>
          <w:lang w:bidi="ar-DZ"/>
        </w:rPr>
        <w:t xml:space="preserve"> جديدة باهرة. وكانت الصدمة عنيفة قسّ</w:t>
      </w:r>
      <w:r w:rsidR="00523736" w:rsidRPr="00904FCB">
        <w:rPr>
          <w:rFonts w:hint="cs"/>
          <w:rtl/>
          <w:lang w:bidi="ar-DZ"/>
        </w:rPr>
        <w:t>َ</w:t>
      </w:r>
      <w:r w:rsidRPr="00904FCB">
        <w:rPr>
          <w:rFonts w:hint="cs"/>
          <w:rtl/>
          <w:lang w:bidi="ar-DZ"/>
        </w:rPr>
        <w:t>م</w:t>
      </w:r>
      <w:r w:rsidR="00523736" w:rsidRPr="00904FCB">
        <w:rPr>
          <w:rFonts w:hint="cs"/>
          <w:rtl/>
          <w:lang w:bidi="ar-DZ"/>
        </w:rPr>
        <w:t>َ</w:t>
      </w:r>
      <w:r w:rsidRPr="00904FCB">
        <w:rPr>
          <w:rFonts w:hint="cs"/>
          <w:rtl/>
          <w:lang w:bidi="ar-DZ"/>
        </w:rPr>
        <w:t>ت</w:t>
      </w:r>
      <w:r w:rsidR="00523736" w:rsidRPr="00904FCB">
        <w:rPr>
          <w:rFonts w:hint="cs"/>
          <w:rtl/>
          <w:lang w:bidi="ar-DZ"/>
        </w:rPr>
        <w:t>ْ</w:t>
      </w:r>
      <w:r w:rsidRPr="00904FCB">
        <w:rPr>
          <w:rFonts w:hint="cs"/>
          <w:rtl/>
          <w:lang w:bidi="ar-DZ"/>
        </w:rPr>
        <w:t xml:space="preserve"> العقل العربي إلى تيارات مختلفة</w:t>
      </w:r>
      <w:r w:rsidR="00523736" w:rsidRPr="00904FCB">
        <w:rPr>
          <w:rFonts w:hint="cs"/>
          <w:rtl/>
          <w:lang w:bidi="ar-DZ"/>
        </w:rPr>
        <w:t>،</w:t>
      </w:r>
      <w:r w:rsidRPr="00904FCB">
        <w:rPr>
          <w:rFonts w:hint="cs"/>
          <w:rtl/>
          <w:lang w:bidi="ar-DZ"/>
        </w:rPr>
        <w:t xml:space="preserve"> أرادت جميعها أن تجيب عن السؤال الحضاري المؤرّ</w:t>
      </w:r>
      <w:r w:rsidR="00523736" w:rsidRPr="00904FCB">
        <w:rPr>
          <w:rFonts w:hint="cs"/>
          <w:rtl/>
          <w:lang w:bidi="ar-DZ"/>
        </w:rPr>
        <w:t>ِ</w:t>
      </w:r>
      <w:r w:rsidRPr="00904FCB">
        <w:rPr>
          <w:rFonts w:hint="cs"/>
          <w:rtl/>
          <w:lang w:bidi="ar-DZ"/>
        </w:rPr>
        <w:t xml:space="preserve">ق: كيف نتعامل مع الحداثة الغربية؟ </w:t>
      </w:r>
    </w:p>
    <w:p w:rsidR="00625F5D" w:rsidRPr="00904FCB" w:rsidRDefault="00625F5D" w:rsidP="002E4825">
      <w:pPr>
        <w:spacing w:line="420" w:lineRule="exact"/>
        <w:ind w:firstLine="561"/>
        <w:rPr>
          <w:rtl/>
          <w:lang w:bidi="ar-DZ"/>
        </w:rPr>
      </w:pPr>
      <w:r w:rsidRPr="00904FCB">
        <w:rPr>
          <w:rFonts w:hint="cs"/>
          <w:rtl/>
          <w:lang w:bidi="ar-DZ"/>
        </w:rPr>
        <w:t>واختلفت الإجابات</w:t>
      </w:r>
      <w:r w:rsidR="00523736" w:rsidRPr="00904FCB">
        <w:rPr>
          <w:rFonts w:hint="cs"/>
          <w:rtl/>
          <w:lang w:bidi="ar-DZ"/>
        </w:rPr>
        <w:t>،</w:t>
      </w:r>
      <w:r w:rsidRPr="00904FCB">
        <w:rPr>
          <w:rFonts w:hint="cs"/>
          <w:rtl/>
          <w:lang w:bidi="ar-DZ"/>
        </w:rPr>
        <w:t xml:space="preserve"> وتباينت الرؤى، ولم تتحق</w:t>
      </w:r>
      <w:r w:rsidR="00523736" w:rsidRPr="00904FCB">
        <w:rPr>
          <w:rFonts w:hint="cs"/>
          <w:rtl/>
          <w:lang w:bidi="ar-DZ"/>
        </w:rPr>
        <w:t>َّ</w:t>
      </w:r>
      <w:r w:rsidRPr="00904FCB">
        <w:rPr>
          <w:rFonts w:hint="cs"/>
          <w:rtl/>
          <w:lang w:bidi="ar-DZ"/>
        </w:rPr>
        <w:t>ق النهضة المأمولة، بل اصطدم العرب ـ بعد صراع</w:t>
      </w:r>
      <w:r w:rsidR="00523736" w:rsidRPr="00904FCB">
        <w:rPr>
          <w:rFonts w:hint="cs"/>
          <w:rtl/>
          <w:lang w:bidi="ar-DZ"/>
        </w:rPr>
        <w:t>ٍ</w:t>
      </w:r>
      <w:r w:rsidRPr="00904FCB">
        <w:rPr>
          <w:rFonts w:hint="cs"/>
          <w:rtl/>
          <w:lang w:bidi="ar-DZ"/>
        </w:rPr>
        <w:t xml:space="preserve"> طويل مع الذات ومع الآخر ـ بجملة</w:t>
      </w:r>
      <w:r w:rsidR="00523736" w:rsidRPr="00904FCB">
        <w:rPr>
          <w:rFonts w:hint="cs"/>
          <w:rtl/>
          <w:lang w:bidi="ar-DZ"/>
        </w:rPr>
        <w:t>ٍ</w:t>
      </w:r>
      <w:r w:rsidRPr="00904FCB">
        <w:rPr>
          <w:rFonts w:hint="cs"/>
          <w:rtl/>
          <w:lang w:bidi="ar-DZ"/>
        </w:rPr>
        <w:t xml:space="preserve"> من الخ</w:t>
      </w:r>
      <w:r w:rsidR="00523736" w:rsidRPr="00904FCB">
        <w:rPr>
          <w:rFonts w:hint="cs"/>
          <w:rtl/>
          <w:lang w:bidi="ar-DZ"/>
        </w:rPr>
        <w:t>َ</w:t>
      </w:r>
      <w:r w:rsidRPr="00904FCB">
        <w:rPr>
          <w:rFonts w:hint="cs"/>
          <w:rtl/>
          <w:lang w:bidi="ar-DZ"/>
        </w:rPr>
        <w:t>ي</w:t>
      </w:r>
      <w:r w:rsidR="00523736" w:rsidRPr="00904FCB">
        <w:rPr>
          <w:rFonts w:hint="cs"/>
          <w:rtl/>
          <w:lang w:bidi="ar-DZ"/>
        </w:rPr>
        <w:t>ْ</w:t>
      </w:r>
      <w:r w:rsidRPr="00904FCB">
        <w:rPr>
          <w:rFonts w:hint="cs"/>
          <w:rtl/>
          <w:lang w:bidi="ar-DZ"/>
        </w:rPr>
        <w:t xml:space="preserve">بات والانتكاسات. </w:t>
      </w:r>
    </w:p>
    <w:p w:rsidR="00625F5D" w:rsidRPr="00904FCB" w:rsidRDefault="00625F5D" w:rsidP="00826CE1">
      <w:pPr>
        <w:spacing w:line="410" w:lineRule="exact"/>
        <w:rPr>
          <w:rtl/>
          <w:lang w:bidi="ar-DZ"/>
        </w:rPr>
      </w:pPr>
      <w:r w:rsidRPr="00904FCB">
        <w:rPr>
          <w:rFonts w:hint="cs"/>
          <w:rtl/>
          <w:lang w:bidi="ar-DZ"/>
        </w:rPr>
        <w:t xml:space="preserve"> ومن هنا تأتي هذه الدراسة لتجيب عن جملة</w:t>
      </w:r>
      <w:r w:rsidR="00523736" w:rsidRPr="00904FCB">
        <w:rPr>
          <w:rFonts w:hint="cs"/>
          <w:rtl/>
          <w:lang w:bidi="ar-DZ"/>
        </w:rPr>
        <w:t>ٍ</w:t>
      </w:r>
      <w:r w:rsidRPr="00904FCB">
        <w:rPr>
          <w:rFonts w:hint="cs"/>
          <w:rtl/>
          <w:lang w:bidi="ar-DZ"/>
        </w:rPr>
        <w:t xml:space="preserve"> من الأسئلة</w:t>
      </w:r>
      <w:r w:rsidR="00523736" w:rsidRPr="00904FCB">
        <w:rPr>
          <w:rFonts w:hint="cs"/>
          <w:rtl/>
          <w:lang w:bidi="ar-DZ"/>
        </w:rPr>
        <w:t>، و</w:t>
      </w:r>
      <w:r w:rsidRPr="00904FCB">
        <w:rPr>
          <w:rFonts w:hint="cs"/>
          <w:rtl/>
          <w:lang w:bidi="ar-DZ"/>
        </w:rPr>
        <w:t xml:space="preserve">هي: </w:t>
      </w:r>
    </w:p>
    <w:p w:rsidR="00625F5D" w:rsidRPr="00904FCB" w:rsidRDefault="00625F5D" w:rsidP="00826CE1">
      <w:pPr>
        <w:spacing w:line="410" w:lineRule="exact"/>
        <w:rPr>
          <w:lang w:bidi="ar-DZ"/>
        </w:rPr>
      </w:pPr>
      <w:r w:rsidRPr="00904FCB">
        <w:rPr>
          <w:rFonts w:hint="cs"/>
          <w:rtl/>
          <w:lang w:bidi="ar-DZ"/>
        </w:rPr>
        <w:t>ـ ما هي الق</w:t>
      </w:r>
      <w:r w:rsidR="00523736" w:rsidRPr="00904FCB">
        <w:rPr>
          <w:rFonts w:hint="cs"/>
          <w:rtl/>
          <w:lang w:bidi="ar-DZ"/>
        </w:rPr>
        <w:t>ِ</w:t>
      </w:r>
      <w:r w:rsidRPr="00904FCB">
        <w:rPr>
          <w:rFonts w:hint="cs"/>
          <w:rtl/>
          <w:lang w:bidi="ar-DZ"/>
        </w:rPr>
        <w:t>ي</w:t>
      </w:r>
      <w:r w:rsidR="00523736" w:rsidRPr="00904FCB">
        <w:rPr>
          <w:rFonts w:hint="cs"/>
          <w:rtl/>
          <w:lang w:bidi="ar-DZ"/>
        </w:rPr>
        <w:t>َ</w:t>
      </w:r>
      <w:r w:rsidRPr="00904FCB">
        <w:rPr>
          <w:rFonts w:hint="cs"/>
          <w:rtl/>
          <w:lang w:bidi="ar-DZ"/>
        </w:rPr>
        <w:t xml:space="preserve">م التي جاءت بها الحداثة الغربية؟ وكيف استقبلها العقل العربي الإسلامي؟ </w:t>
      </w:r>
    </w:p>
    <w:p w:rsidR="00625F5D" w:rsidRPr="00904FCB" w:rsidRDefault="00625F5D" w:rsidP="002E4825">
      <w:pPr>
        <w:spacing w:line="420" w:lineRule="exact"/>
        <w:ind w:firstLine="561"/>
        <w:rPr>
          <w:rtl/>
          <w:lang w:bidi="ar-DZ"/>
        </w:rPr>
      </w:pPr>
      <w:r w:rsidRPr="00904FCB">
        <w:rPr>
          <w:rFonts w:hint="cs"/>
          <w:rtl/>
          <w:lang w:bidi="ar-DZ"/>
        </w:rPr>
        <w:t>ـ وهل الغرب كان صادقا</w:t>
      </w:r>
      <w:r w:rsidR="00523736" w:rsidRPr="00904FCB">
        <w:rPr>
          <w:rFonts w:hint="cs"/>
          <w:rtl/>
          <w:lang w:bidi="ar-DZ"/>
        </w:rPr>
        <w:t>ً</w:t>
      </w:r>
      <w:r w:rsidRPr="00904FCB">
        <w:rPr>
          <w:rFonts w:hint="cs"/>
          <w:rtl/>
          <w:lang w:bidi="ar-DZ"/>
        </w:rPr>
        <w:t xml:space="preserve"> في نشر ق</w:t>
      </w:r>
      <w:r w:rsidR="00523736" w:rsidRPr="00904FCB">
        <w:rPr>
          <w:rFonts w:hint="cs"/>
          <w:rtl/>
          <w:lang w:bidi="ar-DZ"/>
        </w:rPr>
        <w:t>ِ</w:t>
      </w:r>
      <w:r w:rsidRPr="00904FCB">
        <w:rPr>
          <w:rFonts w:hint="cs"/>
          <w:rtl/>
          <w:lang w:bidi="ar-DZ"/>
        </w:rPr>
        <w:t>ي</w:t>
      </w:r>
      <w:r w:rsidR="00523736" w:rsidRPr="00904FCB">
        <w:rPr>
          <w:rFonts w:hint="cs"/>
          <w:rtl/>
          <w:lang w:bidi="ar-DZ"/>
        </w:rPr>
        <w:t>َ</w:t>
      </w:r>
      <w:r w:rsidRPr="00904FCB">
        <w:rPr>
          <w:rFonts w:hint="cs"/>
          <w:rtl/>
          <w:lang w:bidi="ar-DZ"/>
        </w:rPr>
        <w:t>مه الحداثية في مجتمعاتنا العربية الإسلامية أم أنه اتّ</w:t>
      </w:r>
      <w:r w:rsidR="00523736" w:rsidRPr="00904FCB">
        <w:rPr>
          <w:rFonts w:hint="cs"/>
          <w:rtl/>
          <w:lang w:bidi="ar-DZ"/>
        </w:rPr>
        <w:t>َ</w:t>
      </w:r>
      <w:r w:rsidRPr="00904FCB">
        <w:rPr>
          <w:rFonts w:hint="cs"/>
          <w:rtl/>
          <w:lang w:bidi="ar-DZ"/>
        </w:rPr>
        <w:t>خذها مبر</w:t>
      </w:r>
      <w:r w:rsidR="00523736" w:rsidRPr="00904FCB">
        <w:rPr>
          <w:rFonts w:hint="cs"/>
          <w:rtl/>
          <w:lang w:bidi="ar-DZ"/>
        </w:rPr>
        <w:t>ِّ</w:t>
      </w:r>
      <w:r w:rsidRPr="00904FCB">
        <w:rPr>
          <w:rFonts w:hint="cs"/>
          <w:rtl/>
          <w:lang w:bidi="ar-DZ"/>
        </w:rPr>
        <w:t>رات لمزيد من التدخ</w:t>
      </w:r>
      <w:r w:rsidR="00BA35F6">
        <w:rPr>
          <w:rFonts w:hint="cs"/>
          <w:rtl/>
          <w:lang w:bidi="ar-DZ"/>
        </w:rPr>
        <w:t>ُّ</w:t>
      </w:r>
      <w:r w:rsidRPr="00904FCB">
        <w:rPr>
          <w:rFonts w:hint="cs"/>
          <w:rtl/>
          <w:lang w:bidi="ar-DZ"/>
        </w:rPr>
        <w:t xml:space="preserve">ل والهيمنة؟ </w:t>
      </w:r>
    </w:p>
    <w:p w:rsidR="00625F5D" w:rsidRPr="00904FCB" w:rsidRDefault="00625F5D" w:rsidP="007A21AA">
      <w:pPr>
        <w:pStyle w:val="31"/>
        <w:spacing w:line="400" w:lineRule="exact"/>
        <w:rPr>
          <w:color w:val="auto"/>
          <w:rtl/>
          <w:lang w:bidi="ar-DZ"/>
        </w:rPr>
      </w:pPr>
      <w:r w:rsidRPr="00904FCB">
        <w:rPr>
          <w:rFonts w:hint="cs"/>
          <w:color w:val="auto"/>
          <w:rtl/>
          <w:lang w:bidi="ar-DZ"/>
        </w:rPr>
        <w:lastRenderedPageBreak/>
        <w:t>أولاً: الجذور التاريخية والفلسفية للحداثة</w:t>
      </w:r>
    </w:p>
    <w:p w:rsidR="00625F5D" w:rsidRPr="00904FCB" w:rsidRDefault="00625F5D" w:rsidP="002E4825">
      <w:pPr>
        <w:pStyle w:val="31"/>
        <w:spacing w:line="400" w:lineRule="exact"/>
        <w:rPr>
          <w:color w:val="auto"/>
          <w:rtl/>
        </w:rPr>
      </w:pPr>
      <w:r w:rsidRPr="00A35A7D">
        <w:rPr>
          <w:rFonts w:hint="cs"/>
          <w:color w:val="auto"/>
          <w:rtl/>
        </w:rPr>
        <w:t>1ـ</w:t>
      </w:r>
      <w:r w:rsidRPr="00904FCB">
        <w:rPr>
          <w:rFonts w:hint="cs"/>
          <w:color w:val="auto"/>
          <w:rtl/>
        </w:rPr>
        <w:t xml:space="preserve"> الحداثة لغ</w:t>
      </w:r>
      <w:r w:rsidR="002E4825">
        <w:rPr>
          <w:rFonts w:hint="cs"/>
          <w:color w:val="auto"/>
          <w:rtl/>
        </w:rPr>
        <w:t>ةً</w:t>
      </w:r>
    </w:p>
    <w:p w:rsidR="00625F5D" w:rsidRPr="00904FCB" w:rsidRDefault="00625F5D" w:rsidP="007A21AA">
      <w:pPr>
        <w:spacing w:line="400" w:lineRule="exact"/>
        <w:rPr>
          <w:rtl/>
        </w:rPr>
      </w:pPr>
      <w:r w:rsidRPr="00904FCB">
        <w:rPr>
          <w:rFonts w:hint="cs"/>
          <w:rtl/>
        </w:rPr>
        <w:t>هي مصدر فعل حَدَثَ</w:t>
      </w:r>
      <w:r w:rsidR="00523736" w:rsidRPr="00904FCB">
        <w:rPr>
          <w:rFonts w:hint="cs"/>
          <w:rtl/>
        </w:rPr>
        <w:t>،</w:t>
      </w:r>
      <w:r w:rsidRPr="00904FCB">
        <w:rPr>
          <w:rFonts w:hint="cs"/>
          <w:rtl/>
        </w:rPr>
        <w:t xml:space="preserve"> يَحْدُثُ، ووصفٌ لما هو حديث</w:t>
      </w:r>
      <w:r w:rsidR="00523736" w:rsidRPr="00904FCB">
        <w:rPr>
          <w:rFonts w:hint="cs"/>
          <w:rtl/>
        </w:rPr>
        <w:t>.</w:t>
      </w:r>
      <w:r w:rsidRPr="00904FCB">
        <w:rPr>
          <w:rFonts w:hint="cs"/>
          <w:rtl/>
        </w:rPr>
        <w:t xml:space="preserve"> </w:t>
      </w:r>
      <w:r w:rsidR="00523736" w:rsidRPr="00904FCB">
        <w:rPr>
          <w:rFonts w:hint="cs"/>
          <w:rtl/>
        </w:rPr>
        <w:t>ويمكن أن تَرِدَ</w:t>
      </w:r>
      <w:r w:rsidRPr="00904FCB">
        <w:rPr>
          <w:rFonts w:hint="cs"/>
          <w:rtl/>
        </w:rPr>
        <w:t xml:space="preserve"> في سياق يفيد ما اسْتُحدث، أو ما جَد</w:t>
      </w:r>
      <w:r w:rsidRPr="00904FCB">
        <w:rPr>
          <w:rFonts w:ascii="Times New Roman" w:hAnsi="Times New Roman" w:cs="Times New Roman" w:hint="cs"/>
          <w:rtl/>
        </w:rPr>
        <w:t>ﱠ</w:t>
      </w:r>
      <w:r w:rsidRPr="00904FCB">
        <w:rPr>
          <w:rFonts w:hint="cs"/>
          <w:rtl/>
        </w:rPr>
        <w:t xml:space="preserve"> من تطو</w:t>
      </w:r>
      <w:r w:rsidR="00523736" w:rsidRPr="00904FCB">
        <w:rPr>
          <w:rFonts w:hint="cs"/>
          <w:rtl/>
        </w:rPr>
        <w:t>ُّ</w:t>
      </w:r>
      <w:r w:rsidRPr="00904FCB">
        <w:rPr>
          <w:rFonts w:hint="cs"/>
          <w:rtl/>
        </w:rPr>
        <w:t xml:space="preserve">ر. وكلمة الحداثة في اللغة العربية تقابل </w:t>
      </w:r>
      <w:r w:rsidRPr="00904FCB">
        <w:rPr>
          <w:rFonts w:asciiTheme="majorBidi" w:hAnsiTheme="majorBidi"/>
          <w:rtl/>
        </w:rPr>
        <w:t>(</w:t>
      </w:r>
      <w:r w:rsidRPr="00904FCB">
        <w:rPr>
          <w:rFonts w:asciiTheme="majorBidi" w:hAnsiTheme="majorBidi"/>
          <w:sz w:val="22"/>
          <w:szCs w:val="22"/>
        </w:rPr>
        <w:t>Modernity</w:t>
      </w:r>
      <w:r w:rsidRPr="00904FCB">
        <w:rPr>
          <w:rFonts w:hint="cs"/>
          <w:rtl/>
        </w:rPr>
        <w:t>) في اللغة الإنجليزية، و</w:t>
      </w:r>
      <w:r w:rsidRPr="00904FCB">
        <w:rPr>
          <w:rFonts w:asciiTheme="majorBidi" w:hAnsiTheme="majorBidi"/>
          <w:rtl/>
        </w:rPr>
        <w:t>(</w:t>
      </w:r>
      <w:r w:rsidRPr="00904FCB">
        <w:rPr>
          <w:rFonts w:asciiTheme="majorBidi" w:hAnsiTheme="majorBidi"/>
          <w:sz w:val="22"/>
          <w:szCs w:val="22"/>
        </w:rPr>
        <w:t>Modernité</w:t>
      </w:r>
      <w:r w:rsidRPr="00904FCB">
        <w:rPr>
          <w:rFonts w:hint="cs"/>
          <w:rtl/>
        </w:rPr>
        <w:t xml:space="preserve">) في اللغة الفرنسية، </w:t>
      </w:r>
      <w:r w:rsidR="00523736" w:rsidRPr="00904FCB">
        <w:rPr>
          <w:rFonts w:hint="cs"/>
          <w:rtl/>
        </w:rPr>
        <w:t>والأصل اللاتيني للكلمة ه</w:t>
      </w:r>
      <w:r w:rsidRPr="00904FCB">
        <w:rPr>
          <w:rFonts w:hint="cs"/>
          <w:rtl/>
        </w:rPr>
        <w:t>و</w:t>
      </w:r>
      <w:r w:rsidR="00523736" w:rsidRPr="00904FCB">
        <w:rPr>
          <w:rFonts w:hint="cs"/>
          <w:rtl/>
        </w:rPr>
        <w:t xml:space="preserve"> </w:t>
      </w:r>
      <w:r w:rsidRPr="00904FCB">
        <w:rPr>
          <w:rFonts w:asciiTheme="majorBidi" w:hAnsiTheme="majorBidi"/>
          <w:sz w:val="22"/>
          <w:szCs w:val="22"/>
        </w:rPr>
        <w:t>Modernus</w:t>
      </w:r>
      <w:r w:rsidR="0025449B" w:rsidRPr="00904FCB">
        <w:rPr>
          <w:rFonts w:asciiTheme="majorBidi" w:hAnsiTheme="majorBidi" w:hint="cs"/>
          <w:rtl/>
        </w:rPr>
        <w:t>،</w:t>
      </w:r>
      <w:r w:rsidRPr="00904FCB">
        <w:rPr>
          <w:rFonts w:asciiTheme="majorBidi" w:hAnsiTheme="majorBidi"/>
          <w:rtl/>
        </w:rPr>
        <w:t xml:space="preserve"> </w:t>
      </w:r>
      <w:r w:rsidRPr="00904FCB">
        <w:rPr>
          <w:rFonts w:hint="cs"/>
          <w:rtl/>
        </w:rPr>
        <w:t>بمعنى حدث مؤخ</w:t>
      </w:r>
      <w:r w:rsidR="0025449B" w:rsidRPr="00904FCB">
        <w:rPr>
          <w:rFonts w:hint="cs"/>
          <w:rtl/>
        </w:rPr>
        <w:t>ّ</w:t>
      </w:r>
      <w:r w:rsidRPr="00904FCB">
        <w:rPr>
          <w:rFonts w:hint="cs"/>
          <w:rtl/>
        </w:rPr>
        <w:t>را</w:t>
      </w:r>
      <w:r w:rsidR="0025449B" w:rsidRPr="00904FCB">
        <w:rPr>
          <w:rFonts w:hint="cs"/>
          <w:rtl/>
        </w:rPr>
        <w:t>ً</w:t>
      </w:r>
      <w:r w:rsidRPr="00904FCB">
        <w:rPr>
          <w:rFonts w:hint="cs"/>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Pr>
      </w:pPr>
      <w:r w:rsidRPr="00A35A7D">
        <w:rPr>
          <w:rFonts w:hint="cs"/>
          <w:color w:val="auto"/>
          <w:rtl/>
        </w:rPr>
        <w:t>2ـ</w:t>
      </w:r>
      <w:r w:rsidRPr="00904FCB">
        <w:rPr>
          <w:rFonts w:hint="cs"/>
          <w:color w:val="auto"/>
          <w:rtl/>
        </w:rPr>
        <w:t xml:space="preserve"> الحداثة اصطلاحاً </w:t>
      </w:r>
    </w:p>
    <w:p w:rsidR="00625F5D" w:rsidRPr="00904FCB" w:rsidRDefault="009163C6" w:rsidP="007A21AA">
      <w:pPr>
        <w:spacing w:line="400" w:lineRule="exact"/>
      </w:pPr>
      <w:r w:rsidRPr="00904FCB">
        <w:rPr>
          <w:rFonts w:hint="cs"/>
          <w:rtl/>
        </w:rPr>
        <w:t>تحمل الحداثة مضامين فلسفي</w:t>
      </w:r>
      <w:r w:rsidR="00625F5D" w:rsidRPr="00904FCB">
        <w:rPr>
          <w:rFonts w:hint="cs"/>
          <w:rtl/>
        </w:rPr>
        <w:t>ة و</w:t>
      </w:r>
      <w:r w:rsidR="0025449B" w:rsidRPr="00904FCB">
        <w:rPr>
          <w:rFonts w:hint="cs"/>
          <w:rtl/>
        </w:rPr>
        <w:t>أ</w:t>
      </w:r>
      <w:r w:rsidR="00625F5D" w:rsidRPr="00904FCB">
        <w:rPr>
          <w:rFonts w:hint="cs"/>
          <w:rtl/>
        </w:rPr>
        <w:t>يديولوجية، ترتكز على أحداث ووقائع تمي</w:t>
      </w:r>
      <w:r w:rsidR="0025449B" w:rsidRPr="00904FCB">
        <w:rPr>
          <w:rFonts w:hint="cs"/>
          <w:rtl/>
        </w:rPr>
        <w:t>َّ</w:t>
      </w:r>
      <w:r w:rsidR="00625F5D" w:rsidRPr="00904FCB">
        <w:rPr>
          <w:rFonts w:hint="cs"/>
          <w:rtl/>
        </w:rPr>
        <w:t>زت بها حقبة تاريخية معينة، في حي</w:t>
      </w:r>
      <w:r w:rsidR="0025449B" w:rsidRPr="00904FCB">
        <w:rPr>
          <w:rFonts w:hint="cs"/>
          <w:rtl/>
        </w:rPr>
        <w:t>ِّ</w:t>
      </w:r>
      <w:r w:rsidR="00625F5D" w:rsidRPr="00904FCB">
        <w:rPr>
          <w:rFonts w:hint="cs"/>
          <w:rtl/>
        </w:rPr>
        <w:t>ز جغرافي محد</w:t>
      </w:r>
      <w:r w:rsidR="0025449B" w:rsidRPr="00904FCB">
        <w:rPr>
          <w:rFonts w:hint="cs"/>
          <w:rtl/>
        </w:rPr>
        <w:t>َّ</w:t>
      </w:r>
      <w:r w:rsidR="00625F5D" w:rsidRPr="00904FCB">
        <w:rPr>
          <w:rFonts w:hint="cs"/>
          <w:rtl/>
        </w:rPr>
        <w:t>د، ويتعل</w:t>
      </w:r>
      <w:r w:rsidR="0025449B" w:rsidRPr="00904FCB">
        <w:rPr>
          <w:rFonts w:hint="cs"/>
          <w:rtl/>
        </w:rPr>
        <w:t>ّ</w:t>
      </w:r>
      <w:r w:rsidR="00625F5D" w:rsidRPr="00904FCB">
        <w:rPr>
          <w:rFonts w:hint="cs"/>
          <w:rtl/>
        </w:rPr>
        <w:t>ق الأمر بالتحو</w:t>
      </w:r>
      <w:r w:rsidR="0025449B" w:rsidRPr="00904FCB">
        <w:rPr>
          <w:rFonts w:hint="cs"/>
          <w:rtl/>
        </w:rPr>
        <w:t>ُّ</w:t>
      </w:r>
      <w:r w:rsidR="00625F5D" w:rsidRPr="00904FCB">
        <w:rPr>
          <w:rFonts w:hint="cs"/>
          <w:rtl/>
        </w:rPr>
        <w:t>لات السياسية والفكرية والعلمية والاقتصادية والحضارية التي عرفتها أور</w:t>
      </w:r>
      <w:r w:rsidR="0025449B" w:rsidRPr="00904FCB">
        <w:rPr>
          <w:rFonts w:hint="cs"/>
          <w:rtl/>
        </w:rPr>
        <w:t>و</w:t>
      </w:r>
      <w:r w:rsidR="00625F5D" w:rsidRPr="00904FCB">
        <w:rPr>
          <w:rFonts w:hint="cs"/>
          <w:rtl/>
        </w:rPr>
        <w:t>با الغربية، في مرحلة</w:t>
      </w:r>
      <w:r w:rsidR="0025449B" w:rsidRPr="00904FCB">
        <w:rPr>
          <w:rFonts w:hint="cs"/>
          <w:rtl/>
        </w:rPr>
        <w:t>ٍ</w:t>
      </w:r>
      <w:r w:rsidR="00625F5D" w:rsidRPr="00904FCB">
        <w:rPr>
          <w:rFonts w:hint="cs"/>
          <w:rtl/>
        </w:rPr>
        <w:t xml:space="preserve"> زمني</w:t>
      </w:r>
      <w:r w:rsidR="0025449B" w:rsidRPr="00904FCB">
        <w:rPr>
          <w:rFonts w:hint="cs"/>
          <w:rtl/>
        </w:rPr>
        <w:t>ّ</w:t>
      </w:r>
      <w:r w:rsidR="00625F5D" w:rsidRPr="00904FCB">
        <w:rPr>
          <w:rFonts w:hint="cs"/>
          <w:rtl/>
        </w:rPr>
        <w:t>ة تمتد</w:t>
      </w:r>
      <w:r w:rsidR="0025449B" w:rsidRPr="00904FCB">
        <w:rPr>
          <w:rFonts w:hint="cs"/>
          <w:rtl/>
        </w:rPr>
        <w:t>ّ</w:t>
      </w:r>
      <w:r w:rsidR="00625F5D" w:rsidRPr="00904FCB">
        <w:rPr>
          <w:rFonts w:hint="cs"/>
          <w:rtl/>
        </w:rPr>
        <w:t xml:space="preserve"> على الأرجح بين بداية القرن السادس عشر والقرن العشرين. </w:t>
      </w:r>
    </w:p>
    <w:p w:rsidR="00625F5D" w:rsidRPr="00904FCB" w:rsidRDefault="00625F5D" w:rsidP="007A21AA">
      <w:pPr>
        <w:spacing w:line="400" w:lineRule="exact"/>
        <w:rPr>
          <w:rtl/>
        </w:rPr>
      </w:pPr>
      <w:r w:rsidRPr="00904FCB">
        <w:rPr>
          <w:rFonts w:hint="cs"/>
          <w:rtl/>
        </w:rPr>
        <w:t xml:space="preserve">وحسب القاموس الدولي للمصطلحات الأدبية فإن وصف حديث </w:t>
      </w:r>
      <w:r w:rsidRPr="00904FCB">
        <w:rPr>
          <w:rFonts w:asciiTheme="majorBidi" w:hAnsiTheme="majorBidi"/>
          <w:rtl/>
        </w:rPr>
        <w:t>(</w:t>
      </w:r>
      <w:r w:rsidRPr="00904FCB">
        <w:rPr>
          <w:rFonts w:asciiTheme="majorBidi" w:hAnsiTheme="majorBidi"/>
          <w:sz w:val="22"/>
          <w:szCs w:val="22"/>
        </w:rPr>
        <w:t>mod</w:t>
      </w:r>
      <w:r w:rsidRPr="00904FCB">
        <w:rPr>
          <w:rFonts w:asciiTheme="majorBidi" w:hAnsiTheme="majorBidi"/>
          <w:sz w:val="22"/>
          <w:szCs w:val="22"/>
          <w:lang w:val="fr-FR" w:bidi="ar-EG"/>
        </w:rPr>
        <w:t>é</w:t>
      </w:r>
      <w:r w:rsidRPr="00904FCB">
        <w:rPr>
          <w:rFonts w:asciiTheme="majorBidi" w:hAnsiTheme="majorBidi"/>
          <w:sz w:val="22"/>
          <w:szCs w:val="22"/>
        </w:rPr>
        <w:t>rne</w:t>
      </w:r>
      <w:r w:rsidRPr="00904FCB">
        <w:rPr>
          <w:rFonts w:hint="cs"/>
          <w:rtl/>
        </w:rPr>
        <w:t>) ظهر في المحادثة الفرنسية خلال القرن السادس عشر، للتمييز بين ما يرجع للماضي المتمثل في العهد الإغريقي والروماني، وما هو حديث في تلك الفترة</w:t>
      </w:r>
      <w:r w:rsidR="00CB6AB7" w:rsidRPr="00904FCB">
        <w:rPr>
          <w:rFonts w:hint="cs"/>
          <w:rtl/>
        </w:rPr>
        <w:t xml:space="preserve"> التي امتدت إلى القرن الثامن عشر</w:t>
      </w:r>
      <w:r w:rsidRPr="00904FCB">
        <w:rPr>
          <w:vertAlign w:val="superscript"/>
          <w:rtl/>
        </w:rPr>
        <w:t>(</w:t>
      </w:r>
      <w:r w:rsidRPr="00904FCB">
        <w:rPr>
          <w:rStyle w:val="ac"/>
          <w:sz w:val="27"/>
          <w:rtl/>
        </w:rPr>
        <w:endnoteReference w:id="472"/>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ويعتبر (</w:t>
      </w:r>
      <w:r w:rsidRPr="00904FCB">
        <w:rPr>
          <w:rFonts w:asciiTheme="majorBidi" w:hAnsiTheme="majorBidi"/>
          <w:sz w:val="22"/>
          <w:szCs w:val="22"/>
        </w:rPr>
        <w:t>Marshall Berman</w:t>
      </w:r>
      <w:r w:rsidRPr="00904FCB">
        <w:rPr>
          <w:rFonts w:hint="cs"/>
          <w:rtl/>
        </w:rPr>
        <w:t>) أن الحداثة ـ استنادا</w:t>
      </w:r>
      <w:r w:rsidR="00CB6AB7" w:rsidRPr="00904FCB">
        <w:rPr>
          <w:rFonts w:hint="cs"/>
          <w:rtl/>
        </w:rPr>
        <w:t>ً</w:t>
      </w:r>
      <w:r w:rsidRPr="00904FCB">
        <w:rPr>
          <w:rFonts w:hint="cs"/>
          <w:rtl/>
        </w:rPr>
        <w:t xml:space="preserve"> للتجربة الأور</w:t>
      </w:r>
      <w:r w:rsidR="00CB6AB7" w:rsidRPr="00904FCB">
        <w:rPr>
          <w:rFonts w:hint="cs"/>
          <w:rtl/>
        </w:rPr>
        <w:t>و</w:t>
      </w:r>
      <w:r w:rsidRPr="00904FCB">
        <w:rPr>
          <w:rFonts w:hint="cs"/>
          <w:rtl/>
        </w:rPr>
        <w:t>بية ـ تشمل الفترة الزمنية من أوائل القرن السادس عشر حت</w:t>
      </w:r>
      <w:r w:rsidR="00CB6AB7" w:rsidRPr="00904FCB">
        <w:rPr>
          <w:rFonts w:hint="cs"/>
          <w:rtl/>
        </w:rPr>
        <w:t>ّ</w:t>
      </w:r>
      <w:r w:rsidRPr="00904FCB">
        <w:rPr>
          <w:rFonts w:hint="cs"/>
          <w:rtl/>
        </w:rPr>
        <w:t>ى القرن العشرين</w:t>
      </w:r>
      <w:r w:rsidR="00CB6AB7" w:rsidRPr="00904FCB">
        <w:rPr>
          <w:rFonts w:hint="cs"/>
          <w:rtl/>
        </w:rPr>
        <w:t>.</w:t>
      </w:r>
      <w:r w:rsidRPr="00904FCB">
        <w:rPr>
          <w:rFonts w:hint="cs"/>
          <w:rtl/>
        </w:rPr>
        <w:t xml:space="preserve"> ويقس</w:t>
      </w:r>
      <w:r w:rsidR="00CB6AB7" w:rsidRPr="00904FCB">
        <w:rPr>
          <w:rFonts w:hint="cs"/>
          <w:rtl/>
        </w:rPr>
        <w:t>ِّ</w:t>
      </w:r>
      <w:r w:rsidRPr="00904FCB">
        <w:rPr>
          <w:rFonts w:hint="cs"/>
          <w:rtl/>
        </w:rPr>
        <w:t>مها إلى ثلاث مراحل</w:t>
      </w:r>
      <w:r w:rsidRPr="00904FCB">
        <w:rPr>
          <w:rtl/>
        </w:rPr>
        <w:t xml:space="preserve">: </w:t>
      </w:r>
    </w:p>
    <w:p w:rsidR="00625F5D" w:rsidRPr="00904FCB" w:rsidRDefault="00625F5D" w:rsidP="007A21AA">
      <w:pPr>
        <w:spacing w:line="400" w:lineRule="exact"/>
        <w:rPr>
          <w:lang w:bidi="ar-DZ"/>
        </w:rPr>
      </w:pPr>
      <w:r w:rsidRPr="00904FCB">
        <w:rPr>
          <w:rFonts w:hint="cs"/>
          <w:b/>
          <w:bCs/>
          <w:rtl/>
          <w:lang w:bidi="ar-DZ"/>
        </w:rPr>
        <w:t xml:space="preserve">المرحلة </w:t>
      </w:r>
      <w:r w:rsidRPr="00904FCB">
        <w:rPr>
          <w:rFonts w:hint="cs"/>
          <w:b/>
          <w:bCs/>
          <w:rtl/>
        </w:rPr>
        <w:t>الأولى</w:t>
      </w:r>
      <w:r w:rsidR="00CB6AB7" w:rsidRPr="00904FCB">
        <w:rPr>
          <w:rFonts w:hint="cs"/>
          <w:rtl/>
        </w:rPr>
        <w:t>:</w:t>
      </w:r>
      <w:r w:rsidRPr="00904FCB">
        <w:rPr>
          <w:rFonts w:hint="cs"/>
          <w:rtl/>
        </w:rPr>
        <w:t xml:space="preserve"> تبدأ من القرن السادس عشر إلى نهاية القرن الثامن عشر، حيث بدأ الناس يجربون الحياة الحديثة. </w:t>
      </w:r>
    </w:p>
    <w:p w:rsidR="00625F5D" w:rsidRPr="00904FCB" w:rsidRDefault="00625F5D" w:rsidP="002E4825">
      <w:pPr>
        <w:spacing w:line="400" w:lineRule="exact"/>
        <w:rPr>
          <w:rtl/>
        </w:rPr>
      </w:pPr>
      <w:r w:rsidRPr="00904FCB">
        <w:rPr>
          <w:rFonts w:hint="cs"/>
          <w:rtl/>
          <w:lang w:bidi="ar-DZ"/>
        </w:rPr>
        <w:t xml:space="preserve"> </w:t>
      </w:r>
      <w:r w:rsidRPr="00904FCB">
        <w:rPr>
          <w:rFonts w:hint="cs"/>
          <w:b/>
          <w:bCs/>
          <w:rtl/>
          <w:lang w:bidi="ar-DZ"/>
        </w:rPr>
        <w:t xml:space="preserve">المرحلة </w:t>
      </w:r>
      <w:r w:rsidRPr="00904FCB">
        <w:rPr>
          <w:rFonts w:hint="cs"/>
          <w:b/>
          <w:bCs/>
          <w:rtl/>
        </w:rPr>
        <w:t>الثانية</w:t>
      </w:r>
      <w:r w:rsidR="00CB6AB7" w:rsidRPr="00904FCB">
        <w:rPr>
          <w:rFonts w:hint="cs"/>
          <w:rtl/>
        </w:rPr>
        <w:t>:</w:t>
      </w:r>
      <w:r w:rsidRPr="00904FCB">
        <w:rPr>
          <w:rFonts w:hint="cs"/>
          <w:rtl/>
        </w:rPr>
        <w:t xml:space="preserve"> تبدأ في تسعينات القرن الثامن عشر، مع أحداث الثورة الفرنسية، إلى </w:t>
      </w:r>
      <w:r w:rsidR="002E4825">
        <w:rPr>
          <w:rFonts w:hint="cs"/>
          <w:rtl/>
        </w:rPr>
        <w:t>نه</w:t>
      </w:r>
      <w:r w:rsidRPr="00904FCB">
        <w:rPr>
          <w:rFonts w:hint="cs"/>
          <w:rtl/>
        </w:rPr>
        <w:t xml:space="preserve">اية القرن التاسع عشر. </w:t>
      </w:r>
    </w:p>
    <w:p w:rsidR="00625F5D" w:rsidRPr="00904FCB" w:rsidRDefault="00625F5D" w:rsidP="007A21AA">
      <w:pPr>
        <w:spacing w:line="400" w:lineRule="exact"/>
        <w:rPr>
          <w:rtl/>
        </w:rPr>
      </w:pPr>
      <w:r w:rsidRPr="00904FCB">
        <w:rPr>
          <w:rFonts w:hint="cs"/>
          <w:b/>
          <w:bCs/>
          <w:rtl/>
        </w:rPr>
        <w:t>المرحلة الثالثة</w:t>
      </w:r>
      <w:r w:rsidR="00CB6AB7" w:rsidRPr="00904FCB">
        <w:rPr>
          <w:rFonts w:hint="cs"/>
          <w:rtl/>
        </w:rPr>
        <w:t>:</w:t>
      </w:r>
      <w:r w:rsidRPr="00904FCB">
        <w:rPr>
          <w:rFonts w:hint="cs"/>
          <w:rtl/>
        </w:rPr>
        <w:t xml:space="preserve"> تبدأ في القرن العشرين، حيث </w:t>
      </w:r>
      <w:r w:rsidR="00D240FE" w:rsidRPr="00904FCB">
        <w:rPr>
          <w:rFonts w:hint="cs"/>
          <w:rtl/>
        </w:rPr>
        <w:t>بدأت</w:t>
      </w:r>
      <w:r w:rsidRPr="00904FCB">
        <w:rPr>
          <w:rFonts w:hint="cs"/>
          <w:rtl/>
        </w:rPr>
        <w:t xml:space="preserve"> عملية التحديث تت</w:t>
      </w:r>
      <w:r w:rsidR="00D240FE" w:rsidRPr="00904FCB">
        <w:rPr>
          <w:rFonts w:hint="cs"/>
          <w:rtl/>
        </w:rPr>
        <w:t>ّ</w:t>
      </w:r>
      <w:r w:rsidRPr="00904FCB">
        <w:rPr>
          <w:rFonts w:hint="cs"/>
          <w:rtl/>
        </w:rPr>
        <w:t>سع لتشمل العالم كله</w:t>
      </w:r>
      <w:r w:rsidRPr="00904FCB">
        <w:rPr>
          <w:vertAlign w:val="superscript"/>
          <w:rtl/>
        </w:rPr>
        <w:t>(</w:t>
      </w:r>
      <w:r w:rsidRPr="00904FCB">
        <w:rPr>
          <w:rStyle w:val="ac"/>
          <w:sz w:val="27"/>
          <w:rtl/>
        </w:rPr>
        <w:endnoteReference w:id="473"/>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هذا وقد اختلف الباحثون في تاريخ ظهور هذه الفكرة، فيذهب هشام جعيط إلى أن الحداثة تمث</w:t>
      </w:r>
      <w:r w:rsidR="00D240FE" w:rsidRPr="00904FCB">
        <w:rPr>
          <w:rFonts w:hint="cs"/>
          <w:rtl/>
        </w:rPr>
        <w:t>ِّ</w:t>
      </w:r>
      <w:r w:rsidRPr="00904FCB">
        <w:rPr>
          <w:rFonts w:hint="cs"/>
          <w:rtl/>
        </w:rPr>
        <w:t xml:space="preserve">ل بنية جديدة دخلت فيها الإنسانية منذ خمسة قرون أو أربعة، في </w:t>
      </w:r>
      <w:r w:rsidRPr="00904FCB">
        <w:rPr>
          <w:rFonts w:hint="cs"/>
          <w:rtl/>
        </w:rPr>
        <w:lastRenderedPageBreak/>
        <w:t>أور</w:t>
      </w:r>
      <w:r w:rsidR="00D240FE" w:rsidRPr="00904FCB">
        <w:rPr>
          <w:rFonts w:hint="cs"/>
          <w:rtl/>
        </w:rPr>
        <w:t>و</w:t>
      </w:r>
      <w:r w:rsidRPr="00904FCB">
        <w:rPr>
          <w:rFonts w:hint="cs"/>
          <w:rtl/>
        </w:rPr>
        <w:t>با الغربية، وأخذت منذ قرن ونصف في الانبساط على كل</w:t>
      </w:r>
      <w:r w:rsidR="00D240FE" w:rsidRPr="00904FCB">
        <w:rPr>
          <w:rFonts w:hint="cs"/>
          <w:rtl/>
        </w:rPr>
        <w:t>ّ</w:t>
      </w:r>
      <w:r w:rsidRPr="00904FCB">
        <w:rPr>
          <w:rFonts w:hint="cs"/>
          <w:rtl/>
        </w:rPr>
        <w:t xml:space="preserve"> المعمورة</w:t>
      </w:r>
      <w:r w:rsidRPr="00904FCB">
        <w:rPr>
          <w:vertAlign w:val="superscript"/>
          <w:rtl/>
        </w:rPr>
        <w:t>(</w:t>
      </w:r>
      <w:r w:rsidRPr="00904FCB">
        <w:rPr>
          <w:rStyle w:val="ac"/>
          <w:sz w:val="27"/>
          <w:rtl/>
        </w:rPr>
        <w:endnoteReference w:id="474"/>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أما المؤر</w:t>
      </w:r>
      <w:r w:rsidR="00D240FE" w:rsidRPr="00904FCB">
        <w:rPr>
          <w:rFonts w:hint="cs"/>
          <w:rtl/>
        </w:rPr>
        <w:t>ِّ</w:t>
      </w:r>
      <w:r w:rsidRPr="00904FCB">
        <w:rPr>
          <w:rFonts w:hint="cs"/>
          <w:rtl/>
        </w:rPr>
        <w:t>خ البريطاني أرنولد توينبي فيؤك</w:t>
      </w:r>
      <w:r w:rsidR="00D240FE" w:rsidRPr="00904FCB">
        <w:rPr>
          <w:rFonts w:hint="cs"/>
          <w:rtl/>
        </w:rPr>
        <w:t>ِّ</w:t>
      </w:r>
      <w:r w:rsidRPr="00904FCB">
        <w:rPr>
          <w:rFonts w:hint="cs"/>
          <w:rtl/>
        </w:rPr>
        <w:t xml:space="preserve">د على أن الحداثة بدأت عام </w:t>
      </w:r>
      <w:r w:rsidRPr="00A35A7D">
        <w:rPr>
          <w:rFonts w:hint="cs"/>
          <w:rtl/>
        </w:rPr>
        <w:t>1875م</w:t>
      </w:r>
      <w:r w:rsidRPr="00904FCB">
        <w:rPr>
          <w:rFonts w:hint="cs"/>
          <w:rtl/>
        </w:rPr>
        <w:t xml:space="preserve">. وشهدت الفترة </w:t>
      </w:r>
      <w:r w:rsidR="00D240FE" w:rsidRPr="00904FCB">
        <w:rPr>
          <w:rFonts w:hint="cs"/>
          <w:rtl/>
        </w:rPr>
        <w:t xml:space="preserve">المتراوحة بين عامي </w:t>
      </w:r>
      <w:r w:rsidR="00D240FE" w:rsidRPr="00A35A7D">
        <w:rPr>
          <w:rFonts w:hint="cs"/>
          <w:rtl/>
        </w:rPr>
        <w:t>1910</w:t>
      </w:r>
      <w:r w:rsidR="00D240FE" w:rsidRPr="00904FCB">
        <w:rPr>
          <w:rFonts w:hint="cs"/>
          <w:rtl/>
        </w:rPr>
        <w:t xml:space="preserve"> </w:t>
      </w:r>
      <w:r w:rsidR="00D240FE" w:rsidRPr="00A35A7D">
        <w:rPr>
          <w:rFonts w:hint="cs"/>
          <w:rtl/>
        </w:rPr>
        <w:t>و1950</w:t>
      </w:r>
      <w:r w:rsidR="00D240FE" w:rsidRPr="00904FCB">
        <w:rPr>
          <w:rFonts w:hint="cs"/>
          <w:rtl/>
        </w:rPr>
        <w:t xml:space="preserve"> ذروة</w:t>
      </w:r>
      <w:r w:rsidRPr="00904FCB">
        <w:rPr>
          <w:rFonts w:hint="cs"/>
          <w:rtl/>
        </w:rPr>
        <w:t xml:space="preserve"> الحداثة، لتبدأ بعد ذلك حقبة أخرى</w:t>
      </w:r>
      <w:r w:rsidR="00D240FE" w:rsidRPr="00904FCB">
        <w:rPr>
          <w:rFonts w:hint="cs"/>
          <w:rtl/>
        </w:rPr>
        <w:t>،</w:t>
      </w:r>
      <w:r w:rsidRPr="00904FCB">
        <w:rPr>
          <w:rFonts w:hint="cs"/>
          <w:rtl/>
        </w:rPr>
        <w:t xml:space="preserve"> هي </w:t>
      </w:r>
      <w:r w:rsidR="00D240FE" w:rsidRPr="00904FCB">
        <w:rPr>
          <w:rFonts w:hint="cs"/>
          <w:rtl/>
        </w:rPr>
        <w:t>(</w:t>
      </w:r>
      <w:r w:rsidRPr="00904FCB">
        <w:rPr>
          <w:rFonts w:hint="cs"/>
          <w:rtl/>
        </w:rPr>
        <w:t>ما بعد الحداثة</w:t>
      </w:r>
      <w:r w:rsidR="00D240FE" w:rsidRPr="00904FCB">
        <w:rPr>
          <w:rFonts w:hint="cs"/>
          <w:rtl/>
        </w:rPr>
        <w:t>)</w:t>
      </w:r>
      <w:r w:rsidRPr="00904FCB">
        <w:rPr>
          <w:vertAlign w:val="superscript"/>
          <w:rtl/>
        </w:rPr>
        <w:t>(</w:t>
      </w:r>
      <w:r w:rsidRPr="00904FCB">
        <w:rPr>
          <w:rStyle w:val="ac"/>
          <w:sz w:val="27"/>
          <w:rtl/>
        </w:rPr>
        <w:endnoteReference w:id="475"/>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ويرى هشام شرابي أن الحداثة تشير إلى الفترة المعروفة بعصر الحداثة والتنوير في أور</w:t>
      </w:r>
      <w:r w:rsidR="00D240FE" w:rsidRPr="00904FCB">
        <w:rPr>
          <w:rFonts w:hint="cs"/>
          <w:rtl/>
        </w:rPr>
        <w:t>و</w:t>
      </w:r>
      <w:r w:rsidRPr="00904FCB">
        <w:rPr>
          <w:rFonts w:hint="cs"/>
          <w:rtl/>
        </w:rPr>
        <w:t xml:space="preserve">با، </w:t>
      </w:r>
      <w:r w:rsidR="00D240FE" w:rsidRPr="00904FCB">
        <w:rPr>
          <w:rFonts w:hint="cs"/>
          <w:rtl/>
        </w:rPr>
        <w:t>بدء</w:t>
      </w:r>
      <w:r w:rsidRPr="00904FCB">
        <w:rPr>
          <w:rFonts w:hint="cs"/>
          <w:rtl/>
        </w:rPr>
        <w:t>ا</w:t>
      </w:r>
      <w:r w:rsidR="00D240FE" w:rsidRPr="00904FCB">
        <w:rPr>
          <w:rFonts w:hint="cs"/>
          <w:rtl/>
        </w:rPr>
        <w:t>ً</w:t>
      </w:r>
      <w:r w:rsidRPr="00904FCB">
        <w:rPr>
          <w:rFonts w:hint="cs"/>
          <w:rtl/>
        </w:rPr>
        <w:t xml:space="preserve"> من نهاية القرن الثامن عشر إلى منتصف القرن العشرين، لتأتي بعد ذلك مرحلة ما بعد الحداثة، من منتصف القرن العشرين، وخاص</w:t>
      </w:r>
      <w:r w:rsidR="00D240FE" w:rsidRPr="00904FCB">
        <w:rPr>
          <w:rFonts w:hint="cs"/>
          <w:rtl/>
        </w:rPr>
        <w:t>ّ</w:t>
      </w:r>
      <w:r w:rsidRPr="00904FCB">
        <w:rPr>
          <w:rFonts w:hint="cs"/>
          <w:rtl/>
        </w:rPr>
        <w:t xml:space="preserve">ة منذ السبعينات. </w:t>
      </w:r>
    </w:p>
    <w:p w:rsidR="00625F5D" w:rsidRPr="00904FCB" w:rsidRDefault="00625F5D" w:rsidP="007A21AA">
      <w:pPr>
        <w:spacing w:line="400" w:lineRule="exact"/>
        <w:rPr>
          <w:rtl/>
        </w:rPr>
      </w:pPr>
      <w:r w:rsidRPr="00904FCB">
        <w:rPr>
          <w:rFonts w:hint="cs"/>
          <w:rtl/>
        </w:rPr>
        <w:t>أما من الناحية الفلسفية فإنه يوجد خلاف بين المفك</w:t>
      </w:r>
      <w:r w:rsidR="00D240FE" w:rsidRPr="00904FCB">
        <w:rPr>
          <w:rFonts w:hint="cs"/>
          <w:rtl/>
        </w:rPr>
        <w:t>ِّ</w:t>
      </w:r>
      <w:r w:rsidRPr="00904FCB">
        <w:rPr>
          <w:rFonts w:hint="cs"/>
          <w:rtl/>
        </w:rPr>
        <w:t>رين حول المضمون الفلسفي للحداثة. فالفيلسوف الفرنسي المعاصر</w:t>
      </w:r>
      <w:r w:rsidR="00D240FE" w:rsidRPr="00904FCB">
        <w:rPr>
          <w:rFonts w:hint="cs"/>
          <w:rtl/>
        </w:rPr>
        <w:t xml:space="preserve"> </w:t>
      </w:r>
      <w:r w:rsidRPr="00904FCB">
        <w:rPr>
          <w:sz w:val="22"/>
          <w:szCs w:val="22"/>
        </w:rPr>
        <w:t>Jean Budrillard</w:t>
      </w:r>
      <w:r w:rsidRPr="00904FCB">
        <w:rPr>
          <w:rtl/>
        </w:rPr>
        <w:t xml:space="preserve"> </w:t>
      </w:r>
      <w:r w:rsidRPr="00904FCB">
        <w:rPr>
          <w:rFonts w:hint="cs"/>
          <w:rtl/>
        </w:rPr>
        <w:t xml:space="preserve">يرى بأن </w:t>
      </w:r>
      <w:r w:rsidR="00D240FE" w:rsidRPr="00904FCB">
        <w:rPr>
          <w:rFonts w:hint="eastAsia"/>
          <w:sz w:val="27"/>
          <w:rtl/>
        </w:rPr>
        <w:t>«</w:t>
      </w:r>
      <w:r w:rsidR="00D240FE" w:rsidRPr="00904FCB">
        <w:rPr>
          <w:rFonts w:hint="cs"/>
          <w:rtl/>
        </w:rPr>
        <w:t>الحداثة صيغة مميِّ</w:t>
      </w:r>
      <w:r w:rsidRPr="00904FCB">
        <w:rPr>
          <w:rFonts w:hint="cs"/>
          <w:rtl/>
        </w:rPr>
        <w:t>زة للحضارة، تعارض صيغة التقليد، وجميع الثقافات السابقة أو التقليدية</w:t>
      </w:r>
      <w:r w:rsidRPr="00904FCB">
        <w:rPr>
          <w:rFonts w:hint="eastAsia"/>
          <w:rtl/>
        </w:rPr>
        <w:t>»</w:t>
      </w:r>
      <w:r w:rsidRPr="00904FCB">
        <w:rPr>
          <w:vertAlign w:val="superscript"/>
          <w:rtl/>
        </w:rPr>
        <w:t>(</w:t>
      </w:r>
      <w:r w:rsidRPr="00904FCB">
        <w:rPr>
          <w:rStyle w:val="ac"/>
          <w:sz w:val="27"/>
          <w:rtl/>
        </w:rPr>
        <w:endnoteReference w:id="476"/>
      </w:r>
      <w:r w:rsidRPr="00904FCB">
        <w:rPr>
          <w:vertAlign w:val="superscript"/>
          <w:rtl/>
        </w:rPr>
        <w:t>)</w:t>
      </w:r>
      <w:r w:rsidR="00D240FE" w:rsidRPr="00904FCB">
        <w:rPr>
          <w:rFonts w:hint="cs"/>
          <w:rtl/>
        </w:rPr>
        <w:t>.</w:t>
      </w:r>
    </w:p>
    <w:p w:rsidR="00625F5D" w:rsidRPr="00904FCB" w:rsidRDefault="00625F5D" w:rsidP="007A21AA">
      <w:pPr>
        <w:spacing w:line="400" w:lineRule="exact"/>
        <w:rPr>
          <w:rtl/>
        </w:rPr>
      </w:pPr>
      <w:r w:rsidRPr="00904FCB">
        <w:rPr>
          <w:rFonts w:hint="cs"/>
          <w:rtl/>
          <w:lang w:val="fr-FR" w:bidi="ar-DZ"/>
        </w:rPr>
        <w:t>أما</w:t>
      </w:r>
      <w:r w:rsidRPr="00904FCB">
        <w:rPr>
          <w:rFonts w:hint="cs"/>
          <w:rtl/>
          <w:lang w:bidi="ar-DZ"/>
        </w:rPr>
        <w:t xml:space="preserve"> </w:t>
      </w:r>
      <w:r w:rsidRPr="00904FCB">
        <w:rPr>
          <w:sz w:val="22"/>
          <w:szCs w:val="22"/>
        </w:rPr>
        <w:t>Alain</w:t>
      </w:r>
      <w:r w:rsidRPr="00904FCB">
        <w:rPr>
          <w:rFonts w:hint="cs"/>
          <w:sz w:val="22"/>
          <w:szCs w:val="22"/>
          <w:rtl/>
        </w:rPr>
        <w:t xml:space="preserve"> </w:t>
      </w:r>
      <w:r w:rsidRPr="00904FCB">
        <w:rPr>
          <w:sz w:val="22"/>
          <w:szCs w:val="22"/>
        </w:rPr>
        <w:t>Touraine</w:t>
      </w:r>
      <w:r w:rsidRPr="00904FCB">
        <w:rPr>
          <w:rFonts w:hint="cs"/>
          <w:rtl/>
        </w:rPr>
        <w:t xml:space="preserve"> فيصف الحداثة بأنها </w:t>
      </w:r>
      <w:r w:rsidR="00D240FE" w:rsidRPr="00904FCB">
        <w:rPr>
          <w:rFonts w:hint="eastAsia"/>
          <w:sz w:val="27"/>
          <w:rtl/>
        </w:rPr>
        <w:t>«</w:t>
      </w:r>
      <w:r w:rsidRPr="00904FCB">
        <w:rPr>
          <w:rFonts w:hint="cs"/>
          <w:rtl/>
        </w:rPr>
        <w:t>ثورة الإنسان المتنوّر ضد التقليد، وتقديس المجتمع، وخضوع العقل لقانون الطبيعة. والحداثة في مفهومها الغربي هي نتاج العقل نفسه</w:t>
      </w:r>
      <w:r w:rsidRPr="00904FCB">
        <w:rPr>
          <w:rFonts w:hint="eastAsia"/>
          <w:rtl/>
        </w:rPr>
        <w:t>»</w:t>
      </w:r>
      <w:r w:rsidRPr="00904FCB">
        <w:rPr>
          <w:vertAlign w:val="superscript"/>
          <w:rtl/>
        </w:rPr>
        <w:t>(</w:t>
      </w:r>
      <w:r w:rsidRPr="00904FCB">
        <w:rPr>
          <w:rStyle w:val="ac"/>
          <w:sz w:val="27"/>
          <w:rtl/>
        </w:rPr>
        <w:endnoteReference w:id="477"/>
      </w:r>
      <w:r w:rsidRPr="00904FCB">
        <w:rPr>
          <w:vertAlign w:val="superscript"/>
          <w:rtl/>
        </w:rPr>
        <w:t>)</w:t>
      </w:r>
      <w:r w:rsidR="00D240FE" w:rsidRPr="00904FCB">
        <w:rPr>
          <w:rFonts w:hint="cs"/>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وترى الباحثة الفرنسية دانيال هير فيوليجيه أن الحداثة مسار تاريخي طويل</w:t>
      </w:r>
      <w:r w:rsidR="00D240FE" w:rsidRPr="00904FCB">
        <w:rPr>
          <w:rFonts w:hint="cs"/>
          <w:rtl/>
        </w:rPr>
        <w:t>؛</w:t>
      </w:r>
      <w:r w:rsidRPr="00904FCB">
        <w:rPr>
          <w:rFonts w:hint="cs"/>
          <w:rtl/>
        </w:rPr>
        <w:t xml:space="preserve"> للتحر</w:t>
      </w:r>
      <w:r w:rsidR="00D240FE" w:rsidRPr="00904FCB">
        <w:rPr>
          <w:rFonts w:hint="cs"/>
          <w:rtl/>
        </w:rPr>
        <w:t>ُّ</w:t>
      </w:r>
      <w:r w:rsidRPr="00904FCB">
        <w:rPr>
          <w:rFonts w:hint="cs"/>
          <w:rtl/>
        </w:rPr>
        <w:t>ر من عقال الدين</w:t>
      </w:r>
      <w:r w:rsidR="00D240FE" w:rsidRPr="00904FCB">
        <w:rPr>
          <w:rFonts w:hint="cs"/>
          <w:rtl/>
        </w:rPr>
        <w:t>،</w:t>
      </w:r>
      <w:r w:rsidRPr="00904FCB">
        <w:rPr>
          <w:rFonts w:hint="cs"/>
          <w:rtl/>
        </w:rPr>
        <w:t xml:space="preserve"> والارتكاز على العقل والعلم</w:t>
      </w:r>
      <w:r w:rsidRPr="00904FCB">
        <w:rPr>
          <w:vertAlign w:val="superscript"/>
          <w:rtl/>
        </w:rPr>
        <w:t>(</w:t>
      </w:r>
      <w:r w:rsidRPr="00904FCB">
        <w:rPr>
          <w:rStyle w:val="ac"/>
          <w:sz w:val="27"/>
          <w:rtl/>
        </w:rPr>
        <w:endnoteReference w:id="478"/>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lang w:bidi="ar-EG"/>
        </w:rPr>
        <w:t xml:space="preserve">هذا في حين نجد </w:t>
      </w:r>
      <w:r w:rsidRPr="00904FCB">
        <w:rPr>
          <w:sz w:val="22"/>
          <w:szCs w:val="22"/>
        </w:rPr>
        <w:t>Hebermas</w:t>
      </w:r>
      <w:r w:rsidRPr="00904FCB">
        <w:rPr>
          <w:rFonts w:hint="cs"/>
          <w:rtl/>
        </w:rPr>
        <w:t xml:space="preserve"> </w:t>
      </w:r>
      <w:r w:rsidRPr="00904FCB">
        <w:rPr>
          <w:rFonts w:hint="cs"/>
          <w:rtl/>
          <w:lang w:val="fr-FR" w:bidi="ar-DZ"/>
        </w:rPr>
        <w:t>يؤك</w:t>
      </w:r>
      <w:r w:rsidR="00D240FE" w:rsidRPr="00904FCB">
        <w:rPr>
          <w:rFonts w:hint="cs"/>
          <w:rtl/>
          <w:lang w:val="fr-FR" w:bidi="ar-DZ"/>
        </w:rPr>
        <w:t>ِّ</w:t>
      </w:r>
      <w:r w:rsidRPr="00904FCB">
        <w:rPr>
          <w:rFonts w:hint="cs"/>
          <w:rtl/>
          <w:lang w:val="fr-FR" w:bidi="ar-DZ"/>
        </w:rPr>
        <w:t xml:space="preserve">د على </w:t>
      </w:r>
      <w:r w:rsidRPr="00904FCB">
        <w:rPr>
          <w:rFonts w:hint="cs"/>
          <w:rtl/>
        </w:rPr>
        <w:t>أن الحداثة بمثابة انبثاق وضع جديد، شب</w:t>
      </w:r>
      <w:r w:rsidR="00D240FE" w:rsidRPr="00904FCB">
        <w:rPr>
          <w:rFonts w:hint="cs"/>
          <w:rtl/>
        </w:rPr>
        <w:t>َّ</w:t>
      </w:r>
      <w:r w:rsidRPr="00904FCB">
        <w:rPr>
          <w:rFonts w:hint="cs"/>
          <w:rtl/>
        </w:rPr>
        <w:t>هه (</w:t>
      </w:r>
      <w:r w:rsidRPr="00904FCB">
        <w:rPr>
          <w:sz w:val="22"/>
          <w:szCs w:val="22"/>
        </w:rPr>
        <w:t>Hegel</w:t>
      </w:r>
      <w:r w:rsidRPr="00904FCB">
        <w:rPr>
          <w:rFonts w:hint="cs"/>
          <w:rtl/>
        </w:rPr>
        <w:t>) بالشروق الرائع للشمس، المقترن بفلسفة الأنوار، وبالثورة الفرنسية، وهو ما يمي</w:t>
      </w:r>
      <w:r w:rsidR="00D240FE" w:rsidRPr="00904FCB">
        <w:rPr>
          <w:rFonts w:hint="cs"/>
          <w:rtl/>
        </w:rPr>
        <w:t>ِّ</w:t>
      </w:r>
      <w:r w:rsidRPr="00904FCB">
        <w:rPr>
          <w:rFonts w:hint="cs"/>
          <w:rtl/>
        </w:rPr>
        <w:t>ز عصرها وزمانها عن العصور والأزمنة السابقة لها. ومن ناحية</w:t>
      </w:r>
      <w:r w:rsidR="00D9473A" w:rsidRPr="00904FCB">
        <w:rPr>
          <w:rFonts w:hint="cs"/>
          <w:rtl/>
        </w:rPr>
        <w:t>ٍ</w:t>
      </w:r>
      <w:r w:rsidRPr="00904FCB">
        <w:rPr>
          <w:rFonts w:hint="cs"/>
          <w:rtl/>
        </w:rPr>
        <w:t xml:space="preserve"> أخرى ترتبط الحداثة بوعي</w:t>
      </w:r>
      <w:r w:rsidR="00D9473A" w:rsidRPr="00904FCB">
        <w:rPr>
          <w:rFonts w:hint="cs"/>
          <w:rtl/>
        </w:rPr>
        <w:t>ٍ</w:t>
      </w:r>
      <w:r w:rsidRPr="00904FCB">
        <w:rPr>
          <w:rFonts w:hint="cs"/>
          <w:rtl/>
        </w:rPr>
        <w:t xml:space="preserve"> ذاتي</w:t>
      </w:r>
      <w:r w:rsidR="00D9473A" w:rsidRPr="00904FCB">
        <w:rPr>
          <w:rFonts w:hint="cs"/>
          <w:rtl/>
        </w:rPr>
        <w:t>ّ</w:t>
      </w:r>
      <w:r w:rsidRPr="00904FCB">
        <w:rPr>
          <w:rFonts w:hint="cs"/>
          <w:rtl/>
        </w:rPr>
        <w:t xml:space="preserve"> بشرطها المتمث</w:t>
      </w:r>
      <w:r w:rsidR="00D9473A" w:rsidRPr="00904FCB">
        <w:rPr>
          <w:rFonts w:hint="cs"/>
          <w:rtl/>
        </w:rPr>
        <w:t>ِّ</w:t>
      </w:r>
      <w:r w:rsidRPr="00904FCB">
        <w:rPr>
          <w:rFonts w:hint="cs"/>
          <w:rtl/>
        </w:rPr>
        <w:t>ل في سيادة الإنسان على الطبيعة والمجتمع، وفي رغبته المستمرة في التغيّ</w:t>
      </w:r>
      <w:r w:rsidR="00D9473A" w:rsidRPr="00904FCB">
        <w:rPr>
          <w:rFonts w:hint="cs"/>
          <w:rtl/>
        </w:rPr>
        <w:t>ُ</w:t>
      </w:r>
      <w:r w:rsidRPr="00904FCB">
        <w:rPr>
          <w:rFonts w:hint="cs"/>
          <w:rtl/>
        </w:rPr>
        <w:t>ر</w:t>
      </w:r>
      <w:r w:rsidR="00D9473A" w:rsidRPr="00904FCB">
        <w:rPr>
          <w:rFonts w:hint="cs"/>
          <w:rtl/>
        </w:rPr>
        <w:t>،</w:t>
      </w:r>
      <w:r w:rsidRPr="00904FCB">
        <w:rPr>
          <w:rFonts w:hint="cs"/>
          <w:rtl/>
        </w:rPr>
        <w:t xml:space="preserve"> واستشراف آفاق مستقبلية واعدة</w:t>
      </w:r>
      <w:r w:rsidRPr="00904FCB">
        <w:rPr>
          <w:vertAlign w:val="superscript"/>
          <w:rtl/>
        </w:rPr>
        <w:t>(</w:t>
      </w:r>
      <w:r w:rsidRPr="00904FCB">
        <w:rPr>
          <w:rStyle w:val="ac"/>
          <w:sz w:val="27"/>
          <w:rtl/>
        </w:rPr>
        <w:endnoteReference w:id="479"/>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وفي تحليله لمفهوم الحداثة يذهب المفك</w:t>
      </w:r>
      <w:r w:rsidR="00D9473A" w:rsidRPr="00904FCB">
        <w:rPr>
          <w:rFonts w:hint="cs"/>
          <w:rtl/>
        </w:rPr>
        <w:t>ِّ</w:t>
      </w:r>
      <w:r w:rsidRPr="00904FCB">
        <w:rPr>
          <w:rFonts w:hint="cs"/>
          <w:rtl/>
        </w:rPr>
        <w:t>ر المغربي محمد سبيلا إلى أن</w:t>
      </w:r>
      <w:r w:rsidR="00D9473A" w:rsidRPr="00904FCB">
        <w:rPr>
          <w:rFonts w:hint="cs"/>
          <w:rtl/>
        </w:rPr>
        <w:t>ّ</w:t>
      </w:r>
      <w:r w:rsidRPr="00904FCB">
        <w:rPr>
          <w:rFonts w:hint="cs"/>
          <w:rtl/>
        </w:rPr>
        <w:t xml:space="preserve">ها تشير إلى </w:t>
      </w:r>
      <w:r w:rsidRPr="00904FCB">
        <w:rPr>
          <w:rFonts w:hint="eastAsia"/>
          <w:rtl/>
        </w:rPr>
        <w:t>«</w:t>
      </w:r>
      <w:r w:rsidRPr="00904FCB">
        <w:rPr>
          <w:rFonts w:hint="cs"/>
          <w:rtl/>
        </w:rPr>
        <w:t>بنية فلسفية وفكرية تمثلت</w:t>
      </w:r>
      <w:r w:rsidR="00D9473A" w:rsidRPr="00904FCB">
        <w:rPr>
          <w:rFonts w:hint="cs"/>
          <w:rtl/>
        </w:rPr>
        <w:t xml:space="preserve"> </w:t>
      </w:r>
      <w:r w:rsidRPr="00904FCB">
        <w:rPr>
          <w:rFonts w:hint="cs"/>
          <w:rtl/>
        </w:rPr>
        <w:t>في بروز النزعة الإنسانية ـ في الغرب ـ بمدلولها الفلسفي... وكذا في بروز نزعة عقلانية أداتية صارمة في مجال المعرفة والعمل معا</w:t>
      </w:r>
      <w:r w:rsidR="00D9473A" w:rsidRPr="00904FCB">
        <w:rPr>
          <w:rFonts w:hint="cs"/>
          <w:rtl/>
        </w:rPr>
        <w:t>ً</w:t>
      </w:r>
      <w:r w:rsidRPr="00904FCB">
        <w:rPr>
          <w:rFonts w:hint="eastAsia"/>
          <w:rtl/>
        </w:rPr>
        <w:t>»</w:t>
      </w:r>
      <w:r w:rsidRPr="00904FCB">
        <w:rPr>
          <w:vertAlign w:val="superscript"/>
          <w:rtl/>
        </w:rPr>
        <w:t>(</w:t>
      </w:r>
      <w:r w:rsidRPr="00904FCB">
        <w:rPr>
          <w:rStyle w:val="ac"/>
          <w:sz w:val="27"/>
          <w:rtl/>
        </w:rPr>
        <w:endnoteReference w:id="480"/>
      </w:r>
      <w:r w:rsidRPr="00904FCB">
        <w:rPr>
          <w:vertAlign w:val="superscript"/>
          <w:rtl/>
        </w:rPr>
        <w:t>)</w:t>
      </w:r>
      <w:r w:rsidRPr="00904FCB">
        <w:rPr>
          <w:rFonts w:hint="cs"/>
          <w:rtl/>
        </w:rPr>
        <w:t xml:space="preserve">. </w:t>
      </w:r>
    </w:p>
    <w:p w:rsidR="00625F5D" w:rsidRPr="00904FCB" w:rsidRDefault="00625F5D" w:rsidP="007A21AA">
      <w:pPr>
        <w:spacing w:line="400" w:lineRule="exact"/>
      </w:pPr>
      <w:r w:rsidRPr="00904FCB">
        <w:rPr>
          <w:rFonts w:hint="cs"/>
          <w:rtl/>
        </w:rPr>
        <w:t>ويصل الأستاذ فتحي التريكي إلى تعريف</w:t>
      </w:r>
      <w:r w:rsidR="00D9473A" w:rsidRPr="00904FCB">
        <w:rPr>
          <w:rFonts w:hint="cs"/>
          <w:rtl/>
        </w:rPr>
        <w:t>ٍ</w:t>
      </w:r>
      <w:r w:rsidRPr="00904FCB">
        <w:rPr>
          <w:rFonts w:hint="cs"/>
          <w:rtl/>
        </w:rPr>
        <w:t xml:space="preserve"> موسَّع لها</w:t>
      </w:r>
      <w:r w:rsidR="00D9473A" w:rsidRPr="00904FCB">
        <w:rPr>
          <w:rFonts w:hint="cs"/>
          <w:rtl/>
        </w:rPr>
        <w:t>،</w:t>
      </w:r>
      <w:r w:rsidRPr="00904FCB">
        <w:rPr>
          <w:rFonts w:hint="cs"/>
          <w:rtl/>
        </w:rPr>
        <w:t xml:space="preserve"> فيصفها بأنها </w:t>
      </w:r>
      <w:r w:rsidRPr="00904FCB">
        <w:rPr>
          <w:rFonts w:hint="eastAsia"/>
          <w:rtl/>
        </w:rPr>
        <w:t>«</w:t>
      </w:r>
      <w:r w:rsidRPr="00904FCB">
        <w:rPr>
          <w:rFonts w:hint="cs"/>
          <w:rtl/>
        </w:rPr>
        <w:t xml:space="preserve">مجموعة من العمليات التراكمية التي دفعت المجتمع إلى تطوير اقتصاده، وأنماط حياته، </w:t>
      </w:r>
      <w:r w:rsidRPr="00904FCB">
        <w:rPr>
          <w:rFonts w:hint="cs"/>
          <w:rtl/>
        </w:rPr>
        <w:lastRenderedPageBreak/>
        <w:t>وتفكيره وتعبيراته المتنو</w:t>
      </w:r>
      <w:r w:rsidR="00D9473A" w:rsidRPr="00904FCB">
        <w:rPr>
          <w:rFonts w:hint="cs"/>
          <w:rtl/>
        </w:rPr>
        <w:t>ّ</w:t>
      </w:r>
      <w:r w:rsidRPr="00904FCB">
        <w:rPr>
          <w:rFonts w:hint="cs"/>
          <w:rtl/>
        </w:rPr>
        <w:t>عة، معتمدة في ذلك على جدلية العودة والتجاوز، العودة إلى التراث بعقل</w:t>
      </w:r>
      <w:r w:rsidR="00D9473A" w:rsidRPr="00904FCB">
        <w:rPr>
          <w:rFonts w:hint="cs"/>
          <w:rtl/>
        </w:rPr>
        <w:t>ٍ</w:t>
      </w:r>
      <w:r w:rsidRPr="00904FCB">
        <w:rPr>
          <w:rFonts w:hint="cs"/>
          <w:rtl/>
        </w:rPr>
        <w:t xml:space="preserve"> نقدي</w:t>
      </w:r>
      <w:r w:rsidR="00D9473A" w:rsidRPr="00904FCB">
        <w:rPr>
          <w:rFonts w:hint="cs"/>
          <w:rtl/>
        </w:rPr>
        <w:t>ّ</w:t>
      </w:r>
      <w:r w:rsidRPr="00904FCB">
        <w:rPr>
          <w:rFonts w:hint="cs"/>
          <w:rtl/>
        </w:rPr>
        <w:t xml:space="preserve"> متجذّ</w:t>
      </w:r>
      <w:r w:rsidR="00D9473A" w:rsidRPr="00904FCB">
        <w:rPr>
          <w:rFonts w:hint="cs"/>
          <w:rtl/>
        </w:rPr>
        <w:t>ِ</w:t>
      </w:r>
      <w:r w:rsidRPr="00904FCB">
        <w:rPr>
          <w:rFonts w:hint="cs"/>
          <w:rtl/>
        </w:rPr>
        <w:t>ر، متجاوزة التقاليد المكب</w:t>
      </w:r>
      <w:r w:rsidR="00D9473A" w:rsidRPr="00904FCB">
        <w:rPr>
          <w:rFonts w:hint="cs"/>
          <w:rtl/>
        </w:rPr>
        <w:t>ّ</w:t>
      </w:r>
      <w:r w:rsidRPr="00904FCB">
        <w:rPr>
          <w:rFonts w:hint="cs"/>
          <w:rtl/>
        </w:rPr>
        <w:t>لة، ومحر</w:t>
      </w:r>
      <w:r w:rsidR="00D9473A" w:rsidRPr="00904FCB">
        <w:rPr>
          <w:rFonts w:hint="cs"/>
          <w:rtl/>
        </w:rPr>
        <w:t>ّ</w:t>
      </w:r>
      <w:r w:rsidRPr="00904FCB">
        <w:rPr>
          <w:rFonts w:hint="cs"/>
          <w:rtl/>
        </w:rPr>
        <w:t>رة الأنا من الد</w:t>
      </w:r>
      <w:r w:rsidR="00D9473A" w:rsidRPr="00904FCB">
        <w:rPr>
          <w:rFonts w:hint="cs"/>
          <w:rtl/>
        </w:rPr>
        <w:t>و</w:t>
      </w:r>
      <w:r w:rsidRPr="00904FCB">
        <w:rPr>
          <w:rFonts w:hint="cs"/>
          <w:rtl/>
        </w:rPr>
        <w:t>غمائية الضي</w:t>
      </w:r>
      <w:r w:rsidR="00D9473A" w:rsidRPr="00904FCB">
        <w:rPr>
          <w:rFonts w:hint="cs"/>
          <w:rtl/>
        </w:rPr>
        <w:t>ِّ</w:t>
      </w:r>
      <w:r w:rsidRPr="00904FCB">
        <w:rPr>
          <w:rFonts w:hint="cs"/>
          <w:rtl/>
        </w:rPr>
        <w:t>قة، سواء كانت للشرق أم للغرب، للماضي أم للحاضر</w:t>
      </w:r>
      <w:r w:rsidRPr="00904FCB">
        <w:rPr>
          <w:rFonts w:hint="eastAsia"/>
          <w:rtl/>
        </w:rPr>
        <w:t>»</w:t>
      </w:r>
      <w:r w:rsidRPr="00904FCB">
        <w:rPr>
          <w:vertAlign w:val="superscript"/>
          <w:rtl/>
        </w:rPr>
        <w:t>(</w:t>
      </w:r>
      <w:r w:rsidRPr="00904FCB">
        <w:rPr>
          <w:rStyle w:val="ac"/>
          <w:sz w:val="27"/>
          <w:rtl/>
        </w:rPr>
        <w:endnoteReference w:id="481"/>
      </w:r>
      <w:r w:rsidRPr="00904FCB">
        <w:rPr>
          <w:vertAlign w:val="superscript"/>
          <w:rtl/>
        </w:rPr>
        <w:t>)</w:t>
      </w:r>
      <w:r w:rsidRPr="00904FCB">
        <w:rPr>
          <w:rFonts w:hint="cs"/>
          <w:rtl/>
        </w:rPr>
        <w:t xml:space="preserve">. </w:t>
      </w:r>
    </w:p>
    <w:p w:rsidR="00625F5D" w:rsidRPr="00904FCB" w:rsidRDefault="00625F5D" w:rsidP="002E4825">
      <w:pPr>
        <w:spacing w:line="400" w:lineRule="exact"/>
        <w:rPr>
          <w:rtl/>
        </w:rPr>
      </w:pPr>
      <w:r w:rsidRPr="00904FCB">
        <w:rPr>
          <w:rFonts w:hint="cs"/>
          <w:rtl/>
        </w:rPr>
        <w:t>أما المفك</w:t>
      </w:r>
      <w:r w:rsidR="00D9473A" w:rsidRPr="00904FCB">
        <w:rPr>
          <w:rFonts w:hint="cs"/>
          <w:rtl/>
        </w:rPr>
        <w:t>ِّ</w:t>
      </w:r>
      <w:r w:rsidRPr="00904FCB">
        <w:rPr>
          <w:rFonts w:hint="cs"/>
          <w:rtl/>
        </w:rPr>
        <w:t>ر طه عبد الرحمن فقد عرض عد</w:t>
      </w:r>
      <w:r w:rsidR="00D9473A" w:rsidRPr="00904FCB">
        <w:rPr>
          <w:rFonts w:hint="cs"/>
          <w:rtl/>
        </w:rPr>
        <w:t>ّ</w:t>
      </w:r>
      <w:r w:rsidRPr="00904FCB">
        <w:rPr>
          <w:rFonts w:hint="cs"/>
          <w:rtl/>
        </w:rPr>
        <w:t>ة تعاريف وُض</w:t>
      </w:r>
      <w:r w:rsidR="00D9473A" w:rsidRPr="00904FCB">
        <w:rPr>
          <w:rFonts w:hint="cs"/>
          <w:rtl/>
        </w:rPr>
        <w:t>ِ</w:t>
      </w:r>
      <w:r w:rsidRPr="00904FCB">
        <w:rPr>
          <w:rFonts w:hint="cs"/>
          <w:rtl/>
        </w:rPr>
        <w:t>ع</w:t>
      </w:r>
      <w:r w:rsidR="00D9473A" w:rsidRPr="00904FCB">
        <w:rPr>
          <w:rFonts w:hint="cs"/>
          <w:rtl/>
        </w:rPr>
        <w:t>َ</w:t>
      </w:r>
      <w:r w:rsidRPr="00904FCB">
        <w:rPr>
          <w:rFonts w:hint="cs"/>
          <w:rtl/>
        </w:rPr>
        <w:t>ت</w:t>
      </w:r>
      <w:r w:rsidR="00D9473A" w:rsidRPr="00904FCB">
        <w:rPr>
          <w:rFonts w:hint="cs"/>
          <w:rtl/>
        </w:rPr>
        <w:t>ْ</w:t>
      </w:r>
      <w:r w:rsidRPr="00904FCB">
        <w:rPr>
          <w:rFonts w:hint="cs"/>
          <w:rtl/>
        </w:rPr>
        <w:t xml:space="preserve"> للحداثة من طرف مفك</w:t>
      </w:r>
      <w:r w:rsidR="00D9473A" w:rsidRPr="00904FCB">
        <w:rPr>
          <w:rFonts w:hint="cs"/>
          <w:rtl/>
        </w:rPr>
        <w:t>ِّ</w:t>
      </w:r>
      <w:r w:rsidRPr="00904FCB">
        <w:rPr>
          <w:rFonts w:hint="cs"/>
          <w:rtl/>
        </w:rPr>
        <w:t>رين غربيين</w:t>
      </w:r>
      <w:r w:rsidR="00D9473A" w:rsidRPr="00904FCB">
        <w:rPr>
          <w:rFonts w:hint="cs"/>
          <w:rtl/>
        </w:rPr>
        <w:t>،</w:t>
      </w:r>
      <w:r w:rsidRPr="00904FCB">
        <w:rPr>
          <w:rFonts w:hint="cs"/>
          <w:rtl/>
        </w:rPr>
        <w:t xml:space="preserve"> حيث يقول:</w:t>
      </w:r>
      <w:r w:rsidR="00D9473A" w:rsidRPr="00904FCB">
        <w:rPr>
          <w:rFonts w:hint="cs"/>
          <w:rtl/>
        </w:rPr>
        <w:t xml:space="preserve"> ...</w:t>
      </w:r>
      <w:r w:rsidRPr="00904FCB">
        <w:rPr>
          <w:rFonts w:hint="cs"/>
          <w:rtl/>
        </w:rPr>
        <w:t>فمنهم م</w:t>
      </w:r>
      <w:r w:rsidR="00D9473A" w:rsidRPr="00904FCB">
        <w:rPr>
          <w:rFonts w:hint="cs"/>
          <w:rtl/>
        </w:rPr>
        <w:t>َ</w:t>
      </w:r>
      <w:r w:rsidRPr="00904FCB">
        <w:rPr>
          <w:rFonts w:hint="cs"/>
          <w:rtl/>
        </w:rPr>
        <w:t>ن</w:t>
      </w:r>
      <w:r w:rsidR="00D9473A" w:rsidRPr="00904FCB">
        <w:rPr>
          <w:rFonts w:hint="cs"/>
          <w:rtl/>
        </w:rPr>
        <w:t>ْ</w:t>
      </w:r>
      <w:r w:rsidRPr="00904FCB">
        <w:rPr>
          <w:rFonts w:hint="cs"/>
          <w:rtl/>
        </w:rPr>
        <w:t xml:space="preserve"> قال: إنها النهوض بأسباب العقل والتقدم والتحرر</w:t>
      </w:r>
      <w:r w:rsidR="00D9473A" w:rsidRPr="00904FCB">
        <w:rPr>
          <w:rFonts w:hint="cs"/>
          <w:rtl/>
        </w:rPr>
        <w:t>؛</w:t>
      </w:r>
      <w:r w:rsidRPr="00904FCB">
        <w:rPr>
          <w:rFonts w:hint="cs"/>
          <w:rtl/>
        </w:rPr>
        <w:t xml:space="preserve"> وم</w:t>
      </w:r>
      <w:r w:rsidR="00D9473A" w:rsidRPr="00904FCB">
        <w:rPr>
          <w:rFonts w:hint="cs"/>
          <w:rtl/>
        </w:rPr>
        <w:t>َ</w:t>
      </w:r>
      <w:r w:rsidRPr="00904FCB">
        <w:rPr>
          <w:rFonts w:hint="cs"/>
          <w:rtl/>
        </w:rPr>
        <w:t>ن</w:t>
      </w:r>
      <w:r w:rsidR="00D9473A" w:rsidRPr="00904FCB">
        <w:rPr>
          <w:rFonts w:hint="cs"/>
          <w:rtl/>
        </w:rPr>
        <w:t>ْ</w:t>
      </w:r>
      <w:r w:rsidRPr="00904FCB">
        <w:rPr>
          <w:rFonts w:hint="cs"/>
          <w:rtl/>
        </w:rPr>
        <w:t xml:space="preserve"> قال: إنها ممارسة السيادة على الطبيعة وعلى المجتمع وعلى الإنسان</w:t>
      </w:r>
      <w:r w:rsidR="00D9473A" w:rsidRPr="00904FCB">
        <w:rPr>
          <w:rFonts w:hint="cs"/>
          <w:rtl/>
        </w:rPr>
        <w:t>؛</w:t>
      </w:r>
      <w:r w:rsidRPr="00904FCB">
        <w:rPr>
          <w:rFonts w:hint="cs"/>
          <w:rtl/>
        </w:rPr>
        <w:t xml:space="preserve"> وهناك م</w:t>
      </w:r>
      <w:r w:rsidR="00D9473A" w:rsidRPr="00904FCB">
        <w:rPr>
          <w:rFonts w:hint="cs"/>
          <w:rtl/>
        </w:rPr>
        <w:t>َ</w:t>
      </w:r>
      <w:r w:rsidRPr="00904FCB">
        <w:rPr>
          <w:rFonts w:hint="cs"/>
          <w:rtl/>
        </w:rPr>
        <w:t>ن</w:t>
      </w:r>
      <w:r w:rsidR="00D9473A" w:rsidRPr="00904FCB">
        <w:rPr>
          <w:rFonts w:hint="cs"/>
          <w:rtl/>
        </w:rPr>
        <w:t>ْ</w:t>
      </w:r>
      <w:r w:rsidRPr="00904FCB">
        <w:rPr>
          <w:rFonts w:hint="cs"/>
          <w:rtl/>
        </w:rPr>
        <w:t xml:space="preserve"> يرى أنها قطع الصلة بالتراث</w:t>
      </w:r>
      <w:r w:rsidR="00D9473A" w:rsidRPr="00904FCB">
        <w:rPr>
          <w:rFonts w:hint="cs"/>
          <w:rtl/>
        </w:rPr>
        <w:t>؛</w:t>
      </w:r>
      <w:r w:rsidRPr="00904FCB">
        <w:rPr>
          <w:rFonts w:hint="cs"/>
          <w:rtl/>
        </w:rPr>
        <w:t xml:space="preserve"> أو يقول: إنها طلب الجديد</w:t>
      </w:r>
      <w:r w:rsidR="00D9473A" w:rsidRPr="00904FCB">
        <w:rPr>
          <w:rFonts w:hint="cs"/>
          <w:rtl/>
        </w:rPr>
        <w:t>؛</w:t>
      </w:r>
      <w:r w:rsidRPr="00904FCB">
        <w:rPr>
          <w:rFonts w:hint="cs"/>
          <w:rtl/>
        </w:rPr>
        <w:t xml:space="preserve"> أو يقول: إنها محو القداسة من العالم</w:t>
      </w:r>
      <w:r w:rsidR="00D9473A" w:rsidRPr="00904FCB">
        <w:rPr>
          <w:rFonts w:hint="cs"/>
          <w:rtl/>
        </w:rPr>
        <w:t>؛</w:t>
      </w:r>
      <w:r w:rsidRPr="00904FCB">
        <w:rPr>
          <w:rFonts w:hint="cs"/>
          <w:rtl/>
        </w:rPr>
        <w:t xml:space="preserve"> أو يصفها بالتعقيل والعقلنة</w:t>
      </w:r>
      <w:r w:rsidR="00D9473A" w:rsidRPr="00904FCB">
        <w:rPr>
          <w:rFonts w:hint="cs"/>
          <w:rtl/>
        </w:rPr>
        <w:t>؛</w:t>
      </w:r>
      <w:r w:rsidRPr="00904FCB">
        <w:rPr>
          <w:rFonts w:hint="cs"/>
          <w:rtl/>
        </w:rPr>
        <w:t xml:space="preserve"> أويقول: إنها الديمقراطية أو حقوق الإنسان</w:t>
      </w:r>
      <w:r w:rsidR="00D9473A" w:rsidRPr="00904FCB">
        <w:rPr>
          <w:rFonts w:hint="cs"/>
          <w:rtl/>
        </w:rPr>
        <w:t>؛</w:t>
      </w:r>
      <w:r w:rsidRPr="00904FCB">
        <w:rPr>
          <w:rFonts w:hint="cs"/>
          <w:rtl/>
        </w:rPr>
        <w:t xml:space="preserve"> أو إنها قطع الصلة بالدين</w:t>
      </w:r>
      <w:r w:rsidR="00D9473A" w:rsidRPr="00904FCB">
        <w:rPr>
          <w:rFonts w:hint="cs"/>
          <w:rtl/>
        </w:rPr>
        <w:t>؛</w:t>
      </w:r>
      <w:r w:rsidRPr="00904FCB">
        <w:rPr>
          <w:rFonts w:hint="cs"/>
          <w:rtl/>
        </w:rPr>
        <w:t xml:space="preserve"> أو إنها العلمانية</w:t>
      </w:r>
      <w:r w:rsidRPr="00904FCB">
        <w:rPr>
          <w:rFonts w:hint="eastAsia"/>
          <w:rtl/>
        </w:rPr>
        <w:t>»</w:t>
      </w:r>
      <w:r w:rsidRPr="00904FCB">
        <w:rPr>
          <w:vertAlign w:val="superscript"/>
          <w:rtl/>
        </w:rPr>
        <w:t>(</w:t>
      </w:r>
      <w:r w:rsidRPr="00904FCB">
        <w:rPr>
          <w:rStyle w:val="ac"/>
          <w:sz w:val="27"/>
          <w:rtl/>
        </w:rPr>
        <w:endnoteReference w:id="482"/>
      </w:r>
      <w:r w:rsidRPr="00904FCB">
        <w:rPr>
          <w:vertAlign w:val="superscript"/>
          <w:rtl/>
        </w:rPr>
        <w:t>)</w:t>
      </w:r>
      <w:r w:rsidRPr="00904FCB">
        <w:rPr>
          <w:rFonts w:hint="cs"/>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tl/>
        </w:rPr>
      </w:pPr>
      <w:r w:rsidRPr="00904FCB">
        <w:rPr>
          <w:rFonts w:hint="cs"/>
          <w:color w:val="auto"/>
          <w:rtl/>
        </w:rPr>
        <w:t xml:space="preserve"> ثانياً: ق</w:t>
      </w:r>
      <w:r w:rsidR="00D9473A" w:rsidRPr="00904FCB">
        <w:rPr>
          <w:rFonts w:hint="cs"/>
          <w:color w:val="auto"/>
          <w:rtl/>
        </w:rPr>
        <w:t>ِ</w:t>
      </w:r>
      <w:r w:rsidRPr="00904FCB">
        <w:rPr>
          <w:rFonts w:hint="cs"/>
          <w:color w:val="auto"/>
          <w:rtl/>
        </w:rPr>
        <w:t>ي</w:t>
      </w:r>
      <w:r w:rsidR="00D9473A" w:rsidRPr="00904FCB">
        <w:rPr>
          <w:rFonts w:hint="cs"/>
          <w:color w:val="auto"/>
          <w:rtl/>
        </w:rPr>
        <w:t>َ</w:t>
      </w:r>
      <w:r w:rsidRPr="00904FCB">
        <w:rPr>
          <w:rFonts w:hint="cs"/>
          <w:color w:val="auto"/>
          <w:rtl/>
        </w:rPr>
        <w:t xml:space="preserve">م الحداثة </w:t>
      </w:r>
    </w:p>
    <w:p w:rsidR="00625F5D" w:rsidRPr="00904FCB" w:rsidRDefault="00625F5D" w:rsidP="007A21AA">
      <w:pPr>
        <w:spacing w:line="400" w:lineRule="exact"/>
        <w:rPr>
          <w:rtl/>
        </w:rPr>
      </w:pPr>
      <w:r w:rsidRPr="00904FCB">
        <w:rPr>
          <w:rFonts w:hint="cs"/>
          <w:rtl/>
        </w:rPr>
        <w:t>ترتكز الحداثة على مجموعة من القيم</w:t>
      </w:r>
      <w:r w:rsidR="00D9473A" w:rsidRPr="00904FCB">
        <w:rPr>
          <w:rFonts w:hint="cs"/>
          <w:rtl/>
        </w:rPr>
        <w:t>،</w:t>
      </w:r>
      <w:r w:rsidRPr="00904FCB">
        <w:rPr>
          <w:rFonts w:hint="cs"/>
          <w:rtl/>
        </w:rPr>
        <w:t xml:space="preserve"> والتي يمكن إجمالها في ما </w:t>
      </w:r>
      <w:r w:rsidR="00D9473A" w:rsidRPr="00904FCB">
        <w:rPr>
          <w:rFonts w:hint="cs"/>
          <w:rtl/>
        </w:rPr>
        <w:t>يلي</w:t>
      </w:r>
      <w:r w:rsidRPr="00904FCB">
        <w:rPr>
          <w:rFonts w:hint="cs"/>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tl/>
        </w:rPr>
      </w:pPr>
      <w:r w:rsidRPr="00A35A7D">
        <w:rPr>
          <w:rFonts w:hint="cs"/>
          <w:color w:val="auto"/>
          <w:rtl/>
        </w:rPr>
        <w:t>1ـ</w:t>
      </w:r>
      <w:r w:rsidRPr="00904FCB">
        <w:rPr>
          <w:rFonts w:hint="cs"/>
          <w:color w:val="auto"/>
          <w:rtl/>
        </w:rPr>
        <w:t xml:space="preserve"> العلمانية </w:t>
      </w:r>
    </w:p>
    <w:p w:rsidR="00625F5D" w:rsidRPr="00904FCB" w:rsidRDefault="00625F5D" w:rsidP="007A21AA">
      <w:pPr>
        <w:spacing w:line="400" w:lineRule="exact"/>
        <w:rPr>
          <w:rtl/>
        </w:rPr>
      </w:pPr>
      <w:r w:rsidRPr="00904FCB">
        <w:rPr>
          <w:rFonts w:hint="cs"/>
          <w:rtl/>
        </w:rPr>
        <w:t xml:space="preserve"> من القيم الأولية والأساسية التي نادت بها الحداثة الثورة</w:t>
      </w:r>
      <w:r w:rsidR="00D9473A" w:rsidRPr="00904FCB">
        <w:rPr>
          <w:rFonts w:hint="cs"/>
          <w:rtl/>
        </w:rPr>
        <w:t>ُ</w:t>
      </w:r>
      <w:r w:rsidRPr="00904FCB">
        <w:rPr>
          <w:rFonts w:hint="cs"/>
          <w:rtl/>
        </w:rPr>
        <w:t xml:space="preserve"> على الكنيسة، والدعوة إلى التحر</w:t>
      </w:r>
      <w:r w:rsidR="00D9473A" w:rsidRPr="00904FCB">
        <w:rPr>
          <w:rFonts w:hint="cs"/>
          <w:rtl/>
        </w:rPr>
        <w:t>ُّ</w:t>
      </w:r>
      <w:r w:rsidRPr="00904FCB">
        <w:rPr>
          <w:rFonts w:hint="cs"/>
          <w:rtl/>
        </w:rPr>
        <w:t>ر من سيطرتها، ومن النفوذ الواسع الذي كان يتمت</w:t>
      </w:r>
      <w:r w:rsidR="00D9473A" w:rsidRPr="00904FCB">
        <w:rPr>
          <w:rFonts w:hint="cs"/>
          <w:rtl/>
        </w:rPr>
        <w:t>َّ</w:t>
      </w:r>
      <w:r w:rsidRPr="00904FCB">
        <w:rPr>
          <w:rFonts w:hint="cs"/>
          <w:rtl/>
        </w:rPr>
        <w:t>ع به رجال الدين</w:t>
      </w:r>
      <w:r w:rsidR="00D9473A" w:rsidRPr="00904FCB">
        <w:rPr>
          <w:rFonts w:hint="cs"/>
          <w:rtl/>
        </w:rPr>
        <w:t>،</w:t>
      </w:r>
      <w:r w:rsidRPr="00904FCB">
        <w:rPr>
          <w:rFonts w:hint="cs"/>
          <w:rtl/>
        </w:rPr>
        <w:t xml:space="preserve"> واحتكارهم للعلم والمعرفة. فبعد مراحل من تطو</w:t>
      </w:r>
      <w:r w:rsidR="00D9473A" w:rsidRPr="00904FCB">
        <w:rPr>
          <w:rFonts w:hint="cs"/>
          <w:rtl/>
        </w:rPr>
        <w:t>ُّ</w:t>
      </w:r>
      <w:r w:rsidRPr="00904FCB">
        <w:rPr>
          <w:rFonts w:hint="cs"/>
          <w:rtl/>
        </w:rPr>
        <w:t xml:space="preserve">ر الفكر الفلسفي في الغرب أصبحت الثورة المعلنة على الكنيسة ورجال الكهنوت ثورة على الدين نفسه، ومن هنا جاءت مقولة (نيتشه) الشهيرة: </w:t>
      </w:r>
      <w:r w:rsidRPr="00904FCB">
        <w:rPr>
          <w:rFonts w:hint="eastAsia"/>
          <w:rtl/>
        </w:rPr>
        <w:t>«</w:t>
      </w:r>
      <w:r w:rsidRPr="00904FCB">
        <w:rPr>
          <w:rFonts w:hint="cs"/>
          <w:rtl/>
        </w:rPr>
        <w:t>قد مات الإله</w:t>
      </w:r>
      <w:r w:rsidRPr="00904FCB">
        <w:rPr>
          <w:rFonts w:hint="eastAsia"/>
          <w:rtl/>
        </w:rPr>
        <w:t>»</w:t>
      </w:r>
      <w:r w:rsidR="00D9473A" w:rsidRPr="00904FCB">
        <w:rPr>
          <w:rFonts w:hint="cs"/>
          <w:rtl/>
        </w:rPr>
        <w:t>،</w:t>
      </w:r>
      <w:r w:rsidRPr="00904FCB">
        <w:rPr>
          <w:rFonts w:hint="cs"/>
          <w:rtl/>
        </w:rPr>
        <w:t xml:space="preserve"> وأضحى تنظيم شؤون المجتمع وأفراده لا علاقة له بالدين، وراج شعار</w:t>
      </w:r>
      <w:r w:rsidR="00D9473A" w:rsidRPr="00904FCB">
        <w:rPr>
          <w:rFonts w:hint="cs"/>
          <w:rtl/>
        </w:rPr>
        <w:t xml:space="preserve"> </w:t>
      </w:r>
      <w:r w:rsidR="00D9473A" w:rsidRPr="00904FCB">
        <w:rPr>
          <w:rFonts w:hint="eastAsia"/>
          <w:sz w:val="27"/>
          <w:rtl/>
        </w:rPr>
        <w:t>«</w:t>
      </w:r>
      <w:r w:rsidRPr="00904FCB">
        <w:rPr>
          <w:rFonts w:hint="cs"/>
          <w:rtl/>
        </w:rPr>
        <w:t>الإنسان يصنع تاريخه</w:t>
      </w:r>
      <w:r w:rsidRPr="00904FCB">
        <w:rPr>
          <w:rFonts w:hint="eastAsia"/>
          <w:rtl/>
        </w:rPr>
        <w:t>»</w:t>
      </w:r>
      <w:r w:rsidRPr="00904FCB">
        <w:rPr>
          <w:vertAlign w:val="superscript"/>
          <w:rtl/>
        </w:rPr>
        <w:t>(</w:t>
      </w:r>
      <w:r w:rsidRPr="00904FCB">
        <w:rPr>
          <w:rStyle w:val="ac"/>
          <w:sz w:val="27"/>
          <w:rtl/>
        </w:rPr>
        <w:endnoteReference w:id="483"/>
      </w:r>
      <w:r w:rsidRPr="00904FCB">
        <w:rPr>
          <w:vertAlign w:val="superscript"/>
          <w:rtl/>
        </w:rPr>
        <w:t>)</w:t>
      </w:r>
      <w:r w:rsidRPr="00904FCB">
        <w:rPr>
          <w:rFonts w:hint="cs"/>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tl/>
        </w:rPr>
      </w:pPr>
      <w:r w:rsidRPr="00A35A7D">
        <w:rPr>
          <w:rFonts w:hint="cs"/>
          <w:color w:val="auto"/>
          <w:rtl/>
        </w:rPr>
        <w:t>2ـ</w:t>
      </w:r>
      <w:r w:rsidRPr="00904FCB">
        <w:rPr>
          <w:rFonts w:hint="cs"/>
          <w:color w:val="auto"/>
          <w:rtl/>
        </w:rPr>
        <w:t xml:space="preserve"> العقلانية </w:t>
      </w:r>
    </w:p>
    <w:p w:rsidR="00625F5D" w:rsidRPr="00904FCB" w:rsidRDefault="00625F5D" w:rsidP="007A21AA">
      <w:pPr>
        <w:spacing w:line="400" w:lineRule="exact"/>
        <w:rPr>
          <w:rtl/>
        </w:rPr>
      </w:pPr>
      <w:r w:rsidRPr="00904FCB">
        <w:rPr>
          <w:rFonts w:hint="cs"/>
          <w:rtl/>
        </w:rPr>
        <w:t xml:space="preserve"> ويقصد بالعقلانية احتكام الإنسان إلى العقل في كل شؤونه. وقد اعتبر الفيلسوف الفرنسي</w:t>
      </w:r>
      <w:r w:rsidRPr="00904FCB">
        <w:rPr>
          <w:rFonts w:hint="cs"/>
        </w:rPr>
        <w:t xml:space="preserve"> </w:t>
      </w:r>
      <w:r w:rsidRPr="00904FCB">
        <w:rPr>
          <w:rFonts w:hint="cs"/>
          <w:rtl/>
          <w:lang w:bidi="ar-DZ"/>
        </w:rPr>
        <w:t>رو</w:t>
      </w:r>
      <w:r w:rsidRPr="00904FCB">
        <w:rPr>
          <w:rFonts w:hint="cs"/>
          <w:rtl/>
          <w:lang w:bidi="ar-EG"/>
        </w:rPr>
        <w:t>ني ديكارت</w:t>
      </w:r>
      <w:r w:rsidRPr="00904FCB">
        <w:rPr>
          <w:sz w:val="22"/>
          <w:szCs w:val="22"/>
        </w:rPr>
        <w:t>D</w:t>
      </w:r>
      <w:r w:rsidR="004F6D04" w:rsidRPr="00904FCB">
        <w:rPr>
          <w:sz w:val="22"/>
          <w:szCs w:val="22"/>
        </w:rPr>
        <w:t>escartes</w:t>
      </w:r>
      <w:r w:rsidR="00D9473A" w:rsidRPr="00904FCB">
        <w:rPr>
          <w:sz w:val="22"/>
          <w:szCs w:val="22"/>
        </w:rPr>
        <w:t xml:space="preserve"> </w:t>
      </w:r>
      <w:r w:rsidRPr="00904FCB">
        <w:rPr>
          <w:rFonts w:hint="cs"/>
          <w:sz w:val="22"/>
          <w:szCs w:val="22"/>
          <w:rtl/>
        </w:rPr>
        <w:t xml:space="preserve"> </w:t>
      </w:r>
      <w:r w:rsidR="004F6D04" w:rsidRPr="00904FCB">
        <w:rPr>
          <w:sz w:val="22"/>
          <w:szCs w:val="22"/>
        </w:rPr>
        <w:t>René</w:t>
      </w:r>
      <w:r w:rsidR="004F6D04" w:rsidRPr="00904FCB">
        <w:rPr>
          <w:rFonts w:hint="cs"/>
          <w:rtl/>
        </w:rPr>
        <w:t xml:space="preserve"> </w:t>
      </w:r>
      <w:r w:rsidRPr="00904FCB">
        <w:rPr>
          <w:rFonts w:hint="cs"/>
          <w:rtl/>
        </w:rPr>
        <w:t>(</w:t>
      </w:r>
      <w:r w:rsidRPr="00A35A7D">
        <w:rPr>
          <w:rFonts w:asciiTheme="majorBidi" w:hAnsiTheme="majorBidi" w:hint="cs"/>
          <w:rtl/>
        </w:rPr>
        <w:t>1596</w:t>
      </w:r>
      <w:r w:rsidRPr="00904FCB">
        <w:rPr>
          <w:rFonts w:asciiTheme="majorBidi" w:hAnsiTheme="majorBidi" w:hint="cs"/>
          <w:rtl/>
        </w:rPr>
        <w:t xml:space="preserve"> </w:t>
      </w:r>
      <w:r w:rsidRPr="00904FCB">
        <w:rPr>
          <w:rFonts w:asciiTheme="majorBidi" w:hAnsiTheme="majorBidi"/>
          <w:rtl/>
        </w:rPr>
        <w:t xml:space="preserve">ـ </w:t>
      </w:r>
      <w:r w:rsidRPr="00A35A7D">
        <w:rPr>
          <w:rFonts w:asciiTheme="majorBidi" w:hAnsiTheme="majorBidi"/>
          <w:rtl/>
        </w:rPr>
        <w:t>1650</w:t>
      </w:r>
      <w:r w:rsidRPr="00A35A7D">
        <w:rPr>
          <w:rFonts w:hint="cs"/>
          <w:rtl/>
          <w:lang w:bidi="ar-DZ"/>
        </w:rPr>
        <w:t>م</w:t>
      </w:r>
      <w:r w:rsidRPr="00904FCB">
        <w:rPr>
          <w:rFonts w:hint="cs"/>
          <w:rtl/>
        </w:rPr>
        <w:t>) العقل هو قوة الوحيدة الحاكمة على الأشياء</w:t>
      </w:r>
      <w:r w:rsidR="004F6D04" w:rsidRPr="00904FCB">
        <w:rPr>
          <w:rFonts w:hint="cs"/>
          <w:rtl/>
        </w:rPr>
        <w:t>،</w:t>
      </w:r>
      <w:r w:rsidRPr="00904FCB">
        <w:rPr>
          <w:rFonts w:hint="cs"/>
          <w:rtl/>
        </w:rPr>
        <w:t xml:space="preserve"> كما دعا إلى تطبيق المنهج الديكارتي الذي يهدف إلى تحرير العقل من كل</w:t>
      </w:r>
      <w:r w:rsidR="004F6D04" w:rsidRPr="00904FCB">
        <w:rPr>
          <w:rFonts w:hint="cs"/>
          <w:rtl/>
        </w:rPr>
        <w:t>ّ</w:t>
      </w:r>
      <w:r w:rsidRPr="00904FCB">
        <w:rPr>
          <w:rFonts w:hint="cs"/>
          <w:rtl/>
        </w:rPr>
        <w:t xml:space="preserve"> حكم</w:t>
      </w:r>
      <w:r w:rsidR="004F6D04" w:rsidRPr="00904FCB">
        <w:rPr>
          <w:rFonts w:hint="cs"/>
          <w:rtl/>
        </w:rPr>
        <w:t>ٍ</w:t>
      </w:r>
      <w:r w:rsidRPr="00904FCB">
        <w:rPr>
          <w:rFonts w:hint="cs"/>
          <w:rtl/>
        </w:rPr>
        <w:t xml:space="preserve"> مسبق، ومن أي</w:t>
      </w:r>
      <w:r w:rsidR="004F6D04" w:rsidRPr="00904FCB">
        <w:rPr>
          <w:rFonts w:hint="cs"/>
          <w:rtl/>
        </w:rPr>
        <w:t>ّ</w:t>
      </w:r>
      <w:r w:rsidRPr="00904FCB">
        <w:rPr>
          <w:rFonts w:hint="cs"/>
          <w:rtl/>
        </w:rPr>
        <w:t xml:space="preserve"> سلطة مرجعية</w:t>
      </w:r>
      <w:r w:rsidRPr="00904FCB">
        <w:rPr>
          <w:vertAlign w:val="superscript"/>
          <w:rtl/>
        </w:rPr>
        <w:t>(</w:t>
      </w:r>
      <w:r w:rsidRPr="00904FCB">
        <w:rPr>
          <w:rStyle w:val="ac"/>
          <w:sz w:val="27"/>
          <w:rtl/>
        </w:rPr>
        <w:endnoteReference w:id="484"/>
      </w:r>
      <w:r w:rsidRPr="00904FCB">
        <w:rPr>
          <w:vertAlign w:val="superscript"/>
          <w:rtl/>
        </w:rPr>
        <w:t>)</w:t>
      </w:r>
      <w:r w:rsidRPr="00904FCB">
        <w:rPr>
          <w:rFonts w:hint="cs"/>
          <w:rtl/>
        </w:rPr>
        <w:t xml:space="preserve">. </w:t>
      </w:r>
    </w:p>
    <w:p w:rsidR="00625F5D" w:rsidRPr="00904FCB" w:rsidRDefault="00625F5D" w:rsidP="002E4825">
      <w:pPr>
        <w:spacing w:line="410" w:lineRule="exact"/>
        <w:ind w:firstLine="561"/>
        <w:rPr>
          <w:rtl/>
        </w:rPr>
      </w:pPr>
      <w:r w:rsidRPr="00904FCB">
        <w:rPr>
          <w:rFonts w:hint="cs"/>
          <w:rtl/>
        </w:rPr>
        <w:lastRenderedPageBreak/>
        <w:t>ويعتبر الفلاسفة الذين حملوا لواء التنوير أن للبشرية تطورا</w:t>
      </w:r>
      <w:r w:rsidR="004F6D04" w:rsidRPr="00904FCB">
        <w:rPr>
          <w:rFonts w:hint="cs"/>
          <w:rtl/>
        </w:rPr>
        <w:t>ً</w:t>
      </w:r>
      <w:r w:rsidRPr="00904FCB">
        <w:rPr>
          <w:rFonts w:hint="cs"/>
          <w:rtl/>
        </w:rPr>
        <w:t xml:space="preserve"> مرحليا</w:t>
      </w:r>
      <w:r w:rsidR="004F6D04" w:rsidRPr="00904FCB">
        <w:rPr>
          <w:rFonts w:hint="cs"/>
          <w:rtl/>
        </w:rPr>
        <w:t>ً</w:t>
      </w:r>
      <w:r w:rsidRPr="00904FCB">
        <w:rPr>
          <w:rFonts w:hint="cs"/>
          <w:rtl/>
        </w:rPr>
        <w:t xml:space="preserve"> يصبغ تاريخها الطويل، وأن تحر</w:t>
      </w:r>
      <w:r w:rsidR="004F6D04" w:rsidRPr="00904FCB">
        <w:rPr>
          <w:rFonts w:hint="cs"/>
          <w:rtl/>
        </w:rPr>
        <w:t>ّ</w:t>
      </w:r>
      <w:r w:rsidRPr="00904FCB">
        <w:rPr>
          <w:rFonts w:hint="cs"/>
          <w:rtl/>
        </w:rPr>
        <w:t>رها سيكون نتيجة أساسية لاستعمال العقل</w:t>
      </w:r>
      <w:r w:rsidR="004F6D04" w:rsidRPr="00904FCB">
        <w:rPr>
          <w:rFonts w:hint="cs"/>
          <w:rtl/>
        </w:rPr>
        <w:t>،</w:t>
      </w:r>
      <w:r w:rsidRPr="00904FCB">
        <w:rPr>
          <w:rFonts w:hint="cs"/>
          <w:rtl/>
        </w:rPr>
        <w:t xml:space="preserve"> من حيث إنه إقرار</w:t>
      </w:r>
      <w:r w:rsidR="004F6D04" w:rsidRPr="00904FCB">
        <w:rPr>
          <w:rFonts w:hint="cs"/>
          <w:rtl/>
        </w:rPr>
        <w:t>ٌ</w:t>
      </w:r>
      <w:r w:rsidRPr="00904FCB">
        <w:rPr>
          <w:rFonts w:hint="cs"/>
          <w:rtl/>
        </w:rPr>
        <w:t xml:space="preserve"> للشك</w:t>
      </w:r>
      <w:r w:rsidR="004F6D04" w:rsidRPr="00904FCB">
        <w:rPr>
          <w:rFonts w:hint="cs"/>
          <w:rtl/>
        </w:rPr>
        <w:t>ّ</w:t>
      </w:r>
      <w:r w:rsidRPr="00904FCB">
        <w:rPr>
          <w:rFonts w:hint="cs"/>
          <w:rtl/>
        </w:rPr>
        <w:t xml:space="preserve"> المنطقي، ورفض</w:t>
      </w:r>
      <w:r w:rsidR="004F6D04" w:rsidRPr="00904FCB">
        <w:rPr>
          <w:rFonts w:hint="cs"/>
          <w:rtl/>
        </w:rPr>
        <w:t>ٌ</w:t>
      </w:r>
      <w:r w:rsidRPr="00904FCB">
        <w:rPr>
          <w:rFonts w:hint="cs"/>
          <w:rtl/>
        </w:rPr>
        <w:t xml:space="preserve"> لكل</w:t>
      </w:r>
      <w:r w:rsidR="004F6D04" w:rsidRPr="00904FCB">
        <w:rPr>
          <w:rFonts w:hint="cs"/>
          <w:rtl/>
        </w:rPr>
        <w:t>ّ</w:t>
      </w:r>
      <w:r w:rsidRPr="00904FCB">
        <w:rPr>
          <w:rFonts w:hint="cs"/>
          <w:rtl/>
        </w:rPr>
        <w:t xml:space="preserve"> حكم</w:t>
      </w:r>
      <w:r w:rsidR="004F6D04" w:rsidRPr="00904FCB">
        <w:rPr>
          <w:rFonts w:hint="cs"/>
          <w:rtl/>
        </w:rPr>
        <w:t>ٍ</w:t>
      </w:r>
      <w:r w:rsidRPr="00904FCB">
        <w:rPr>
          <w:rFonts w:hint="cs"/>
          <w:rtl/>
        </w:rPr>
        <w:t xml:space="preserve"> مسبق، ولكل</w:t>
      </w:r>
      <w:r w:rsidR="004F6D04" w:rsidRPr="00904FCB">
        <w:rPr>
          <w:rFonts w:hint="cs"/>
          <w:rtl/>
        </w:rPr>
        <w:t>ّ</w:t>
      </w:r>
      <w:r w:rsidRPr="00904FCB">
        <w:rPr>
          <w:rFonts w:hint="cs"/>
          <w:rtl/>
        </w:rPr>
        <w:t xml:space="preserve"> سلطان مهيمن</w:t>
      </w:r>
      <w:r w:rsidRPr="00904FCB">
        <w:rPr>
          <w:vertAlign w:val="superscript"/>
          <w:rtl/>
        </w:rPr>
        <w:t>(</w:t>
      </w:r>
      <w:r w:rsidRPr="00904FCB">
        <w:rPr>
          <w:rStyle w:val="ac"/>
          <w:sz w:val="27"/>
          <w:rtl/>
        </w:rPr>
        <w:endnoteReference w:id="485"/>
      </w:r>
      <w:r w:rsidRPr="00904FCB">
        <w:rPr>
          <w:vertAlign w:val="superscript"/>
          <w:rtl/>
        </w:rPr>
        <w:t>)</w:t>
      </w:r>
      <w:r w:rsidRPr="00904FCB">
        <w:rPr>
          <w:rFonts w:hint="cs"/>
          <w:rtl/>
        </w:rPr>
        <w:t xml:space="preserve">. </w:t>
      </w:r>
    </w:p>
    <w:p w:rsidR="00625F5D" w:rsidRPr="00904FCB" w:rsidRDefault="00625F5D" w:rsidP="00826CE1">
      <w:pPr>
        <w:spacing w:line="420" w:lineRule="exact"/>
        <w:rPr>
          <w:rtl/>
        </w:rPr>
      </w:pPr>
      <w:r w:rsidRPr="00904FCB">
        <w:rPr>
          <w:rFonts w:hint="cs"/>
          <w:rtl/>
        </w:rPr>
        <w:t>وقد بيّن المفك</w:t>
      </w:r>
      <w:r w:rsidR="004F6D04" w:rsidRPr="00904FCB">
        <w:rPr>
          <w:rFonts w:hint="cs"/>
          <w:rtl/>
        </w:rPr>
        <w:t>ِّ</w:t>
      </w:r>
      <w:r w:rsidRPr="00904FCB">
        <w:rPr>
          <w:rFonts w:hint="cs"/>
          <w:rtl/>
        </w:rPr>
        <w:t>ر ألان تورين (</w:t>
      </w:r>
      <w:r w:rsidRPr="00904FCB">
        <w:rPr>
          <w:rFonts w:asciiTheme="majorBidi" w:hAnsiTheme="majorBidi"/>
          <w:sz w:val="22"/>
          <w:szCs w:val="22"/>
        </w:rPr>
        <w:t>Alain Touraine</w:t>
      </w:r>
      <w:r w:rsidRPr="00904FCB">
        <w:rPr>
          <w:rFonts w:hint="cs"/>
          <w:rtl/>
        </w:rPr>
        <w:t>) قو</w:t>
      </w:r>
      <w:r w:rsidR="004F6D04" w:rsidRPr="00904FCB">
        <w:rPr>
          <w:rFonts w:hint="cs"/>
          <w:rtl/>
        </w:rPr>
        <w:t>ّ</w:t>
      </w:r>
      <w:r w:rsidRPr="00904FCB">
        <w:rPr>
          <w:rFonts w:hint="cs"/>
          <w:rtl/>
        </w:rPr>
        <w:t>ة الارتباط بين الحداثة والعقلانية</w:t>
      </w:r>
      <w:r w:rsidR="004F6D04" w:rsidRPr="00904FCB">
        <w:rPr>
          <w:rFonts w:hint="cs"/>
          <w:rtl/>
        </w:rPr>
        <w:t>،</w:t>
      </w:r>
      <w:r w:rsidRPr="00904FCB">
        <w:rPr>
          <w:rFonts w:hint="cs"/>
          <w:rtl/>
        </w:rPr>
        <w:t xml:space="preserve"> فقال: </w:t>
      </w:r>
      <w:r w:rsidRPr="00904FCB">
        <w:rPr>
          <w:rFonts w:hint="eastAsia"/>
          <w:rtl/>
        </w:rPr>
        <w:t>«</w:t>
      </w:r>
      <w:r w:rsidRPr="00904FCB">
        <w:rPr>
          <w:rFonts w:hint="cs"/>
          <w:rtl/>
        </w:rPr>
        <w:t>إن المشروع الغربي للحداثة لم يقتصر على تاريخ تقد</w:t>
      </w:r>
      <w:r w:rsidR="004F6D04" w:rsidRPr="00904FCB">
        <w:rPr>
          <w:rFonts w:hint="cs"/>
          <w:rtl/>
        </w:rPr>
        <w:t>ُّ</w:t>
      </w:r>
      <w:r w:rsidRPr="00904FCB">
        <w:rPr>
          <w:rFonts w:hint="cs"/>
          <w:rtl/>
        </w:rPr>
        <w:t>م العقل... وإنما أراد أن ينتقل من الدور الأساسي المعترف به للعقلانية إلى فكرة</w:t>
      </w:r>
      <w:r w:rsidR="004F6D04" w:rsidRPr="00904FCB">
        <w:rPr>
          <w:rFonts w:hint="cs"/>
          <w:rtl/>
        </w:rPr>
        <w:t>ٍ</w:t>
      </w:r>
      <w:r w:rsidRPr="00904FCB">
        <w:rPr>
          <w:rFonts w:hint="cs"/>
          <w:rtl/>
        </w:rPr>
        <w:t xml:space="preserve"> أوسع، هي فكرة مجتمع عقلاني، يحكم فيه العقل</w:t>
      </w:r>
      <w:r w:rsidR="004F6D04" w:rsidRPr="00904FCB">
        <w:rPr>
          <w:rFonts w:hint="cs"/>
          <w:rtl/>
        </w:rPr>
        <w:t>،</w:t>
      </w:r>
      <w:r w:rsidRPr="00904FCB">
        <w:rPr>
          <w:rFonts w:hint="cs"/>
          <w:rtl/>
        </w:rPr>
        <w:t xml:space="preserve"> لا النشاط العلمي والتقني فح</w:t>
      </w:r>
      <w:r w:rsidR="004F6D04" w:rsidRPr="00904FCB">
        <w:rPr>
          <w:rFonts w:hint="cs"/>
          <w:rtl/>
        </w:rPr>
        <w:t>َ</w:t>
      </w:r>
      <w:r w:rsidRPr="00904FCB">
        <w:rPr>
          <w:rFonts w:hint="cs"/>
          <w:rtl/>
        </w:rPr>
        <w:t>س</w:t>
      </w:r>
      <w:r w:rsidR="004F6D04" w:rsidRPr="00904FCB">
        <w:rPr>
          <w:rFonts w:hint="cs"/>
          <w:rtl/>
        </w:rPr>
        <w:t>ْب،</w:t>
      </w:r>
      <w:r w:rsidRPr="00904FCB">
        <w:rPr>
          <w:rFonts w:hint="cs"/>
          <w:rtl/>
        </w:rPr>
        <w:t xml:space="preserve"> بل حكومة البشر وإدارة الأشياء. فالحداثة تُصوّ</w:t>
      </w:r>
      <w:r w:rsidR="004F6D04" w:rsidRPr="00904FCB">
        <w:rPr>
          <w:rFonts w:hint="cs"/>
          <w:rtl/>
        </w:rPr>
        <w:t>ِ</w:t>
      </w:r>
      <w:r w:rsidRPr="00904FCB">
        <w:rPr>
          <w:rFonts w:hint="cs"/>
          <w:rtl/>
        </w:rPr>
        <w:t>ر المجتمع على أنه نظام يخضع للعقل بوصفه الأداة الوحيدة لتحرير الطبيعة الإنسانية من جميع السلطات المحيطة به، وبوصفه أيضا</w:t>
      </w:r>
      <w:r w:rsidR="002E4825">
        <w:rPr>
          <w:rFonts w:hint="cs"/>
          <w:rtl/>
        </w:rPr>
        <w:t>ً</w:t>
      </w:r>
      <w:r w:rsidRPr="00904FCB">
        <w:rPr>
          <w:rFonts w:hint="cs"/>
          <w:rtl/>
        </w:rPr>
        <w:t xml:space="preserve"> المبدأ الوحيد لتنظيم الحياة الفردية والجماعية</w:t>
      </w:r>
      <w:r w:rsidR="004F6D04" w:rsidRPr="00904FCB">
        <w:rPr>
          <w:rFonts w:hint="eastAsia"/>
          <w:rtl/>
        </w:rPr>
        <w:t>»</w:t>
      </w:r>
      <w:r w:rsidRPr="00904FCB">
        <w:rPr>
          <w:vertAlign w:val="superscript"/>
          <w:rtl/>
        </w:rPr>
        <w:t>(</w:t>
      </w:r>
      <w:r w:rsidRPr="00904FCB">
        <w:rPr>
          <w:rStyle w:val="ac"/>
          <w:sz w:val="27"/>
          <w:rtl/>
        </w:rPr>
        <w:endnoteReference w:id="486"/>
      </w:r>
      <w:r w:rsidRPr="00904FCB">
        <w:rPr>
          <w:vertAlign w:val="superscript"/>
          <w:rtl/>
        </w:rPr>
        <w:t>)</w:t>
      </w:r>
      <w:r w:rsidRPr="00904FCB">
        <w:rPr>
          <w:rFonts w:hint="cs"/>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tl/>
        </w:rPr>
      </w:pPr>
      <w:r w:rsidRPr="00A35A7D">
        <w:rPr>
          <w:rFonts w:hint="cs"/>
          <w:color w:val="auto"/>
          <w:rtl/>
        </w:rPr>
        <w:t>3ـ</w:t>
      </w:r>
      <w:r w:rsidRPr="00904FCB">
        <w:rPr>
          <w:rFonts w:hint="cs"/>
          <w:color w:val="auto"/>
          <w:rtl/>
        </w:rPr>
        <w:t xml:space="preserve"> الارتكاز على التجارب العلمية </w:t>
      </w:r>
    </w:p>
    <w:p w:rsidR="00625F5D" w:rsidRPr="00904FCB" w:rsidRDefault="00625F5D" w:rsidP="00826CE1">
      <w:pPr>
        <w:spacing w:line="420" w:lineRule="exact"/>
        <w:rPr>
          <w:sz w:val="27"/>
          <w:rtl/>
        </w:rPr>
      </w:pPr>
      <w:r w:rsidRPr="00904FCB">
        <w:rPr>
          <w:rFonts w:hint="cs"/>
          <w:sz w:val="27"/>
          <w:rtl/>
        </w:rPr>
        <w:t>ويعني ذلك الابتعاد عن الغيبي</w:t>
      </w:r>
      <w:r w:rsidR="004F6D04" w:rsidRPr="00904FCB">
        <w:rPr>
          <w:rFonts w:hint="cs"/>
          <w:sz w:val="27"/>
          <w:rtl/>
        </w:rPr>
        <w:t>ّ</w:t>
      </w:r>
      <w:r w:rsidRPr="00904FCB">
        <w:rPr>
          <w:rFonts w:hint="cs"/>
          <w:sz w:val="27"/>
          <w:rtl/>
        </w:rPr>
        <w:t>ات، والأخذ بالمنطق العلمي الذي لا يُقرّ إلا</w:t>
      </w:r>
      <w:r w:rsidR="004F6D04" w:rsidRPr="00904FCB">
        <w:rPr>
          <w:rFonts w:hint="cs"/>
          <w:sz w:val="27"/>
          <w:rtl/>
        </w:rPr>
        <w:t>ّ</w:t>
      </w:r>
      <w:r w:rsidRPr="00904FCB">
        <w:rPr>
          <w:rFonts w:hint="cs"/>
          <w:sz w:val="27"/>
          <w:rtl/>
        </w:rPr>
        <w:t xml:space="preserve"> بما تُث</w:t>
      </w:r>
      <w:r w:rsidR="004F6D04" w:rsidRPr="00904FCB">
        <w:rPr>
          <w:rFonts w:hint="cs"/>
          <w:sz w:val="27"/>
          <w:rtl/>
        </w:rPr>
        <w:t>ْ</w:t>
      </w:r>
      <w:r w:rsidRPr="00904FCB">
        <w:rPr>
          <w:rFonts w:hint="cs"/>
          <w:sz w:val="27"/>
          <w:rtl/>
        </w:rPr>
        <w:t>بته التجارب العلمية</w:t>
      </w:r>
      <w:r w:rsidR="004F6D04" w:rsidRPr="00904FCB">
        <w:rPr>
          <w:rFonts w:hint="cs"/>
          <w:sz w:val="27"/>
          <w:rtl/>
        </w:rPr>
        <w:t>.</w:t>
      </w:r>
      <w:r w:rsidRPr="00904FCB">
        <w:rPr>
          <w:rFonts w:hint="cs"/>
          <w:sz w:val="27"/>
          <w:rtl/>
        </w:rPr>
        <w:t xml:space="preserve"> وبذلك سادت العقلانية المادية، التي تعطي لقدرات الإنسان قيمة مركزية في الكون. وترتكز هذه النظرة على النتائج الباهرة للتقد</w:t>
      </w:r>
      <w:r w:rsidR="004F6D04" w:rsidRPr="00904FCB">
        <w:rPr>
          <w:rFonts w:hint="cs"/>
          <w:sz w:val="27"/>
          <w:rtl/>
        </w:rPr>
        <w:t>ُّ</w:t>
      </w:r>
      <w:r w:rsidRPr="00904FCB">
        <w:rPr>
          <w:rFonts w:hint="cs"/>
          <w:sz w:val="27"/>
          <w:rtl/>
        </w:rPr>
        <w:t>م العلمي والتكنولوجي منذ أن تحر</w:t>
      </w:r>
      <w:r w:rsidR="004F6D04" w:rsidRPr="00904FCB">
        <w:rPr>
          <w:rFonts w:hint="cs"/>
          <w:sz w:val="27"/>
          <w:rtl/>
        </w:rPr>
        <w:t>َّ</w:t>
      </w:r>
      <w:r w:rsidRPr="00904FCB">
        <w:rPr>
          <w:rFonts w:hint="cs"/>
          <w:sz w:val="27"/>
          <w:rtl/>
        </w:rPr>
        <w:t>ر العقل الأور</w:t>
      </w:r>
      <w:r w:rsidR="004F6D04" w:rsidRPr="00904FCB">
        <w:rPr>
          <w:rFonts w:hint="cs"/>
          <w:sz w:val="27"/>
          <w:rtl/>
        </w:rPr>
        <w:t>و</w:t>
      </w:r>
      <w:r w:rsidRPr="00904FCB">
        <w:rPr>
          <w:rFonts w:hint="cs"/>
          <w:sz w:val="27"/>
          <w:rtl/>
        </w:rPr>
        <w:t>بي من قيود الكنيسة، وانطلاقه في فضاء واسع لارتياد المعرفة، وسبر أغوار العلوم، واستكشاف أسرار الكون</w:t>
      </w:r>
      <w:r w:rsidRPr="00904FCB">
        <w:rPr>
          <w:sz w:val="27"/>
          <w:vertAlign w:val="superscript"/>
          <w:rtl/>
        </w:rPr>
        <w:t>(</w:t>
      </w:r>
      <w:r w:rsidRPr="00904FCB">
        <w:rPr>
          <w:rStyle w:val="ac"/>
          <w:sz w:val="27"/>
          <w:rtl/>
        </w:rPr>
        <w:endnoteReference w:id="487"/>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tl/>
        </w:rPr>
      </w:pPr>
      <w:r w:rsidRPr="00A35A7D">
        <w:rPr>
          <w:rFonts w:hint="cs"/>
          <w:color w:val="auto"/>
          <w:rtl/>
        </w:rPr>
        <w:t>4ـ</w:t>
      </w:r>
      <w:r w:rsidRPr="00904FCB">
        <w:rPr>
          <w:rFonts w:hint="cs"/>
          <w:color w:val="auto"/>
          <w:rtl/>
        </w:rPr>
        <w:t xml:space="preserve"> الإيمان بفكرة التقدُّم </w:t>
      </w:r>
    </w:p>
    <w:p w:rsidR="00625F5D" w:rsidRPr="00904FCB" w:rsidRDefault="00625F5D" w:rsidP="00826CE1">
      <w:pPr>
        <w:spacing w:line="420" w:lineRule="exact"/>
        <w:rPr>
          <w:sz w:val="27"/>
          <w:rtl/>
          <w:lang w:bidi="ar-LB"/>
        </w:rPr>
      </w:pPr>
      <w:r w:rsidRPr="00904FCB">
        <w:rPr>
          <w:rFonts w:hint="cs"/>
          <w:sz w:val="27"/>
          <w:rtl/>
        </w:rPr>
        <w:t>ومؤد</w:t>
      </w:r>
      <w:r w:rsidR="004F6D04" w:rsidRPr="00904FCB">
        <w:rPr>
          <w:rFonts w:hint="cs"/>
          <w:sz w:val="27"/>
          <w:rtl/>
        </w:rPr>
        <w:t>ّ</w:t>
      </w:r>
      <w:r w:rsidRPr="00904FCB">
        <w:rPr>
          <w:rFonts w:hint="cs"/>
          <w:sz w:val="27"/>
          <w:rtl/>
        </w:rPr>
        <w:t>ى هذه الفكرة التسليم بجدلية التغي</w:t>
      </w:r>
      <w:r w:rsidR="004F6D04" w:rsidRPr="00904FCB">
        <w:rPr>
          <w:rFonts w:hint="cs"/>
          <w:sz w:val="27"/>
          <w:rtl/>
        </w:rPr>
        <w:t>ُّ</w:t>
      </w:r>
      <w:r w:rsidRPr="00904FCB">
        <w:rPr>
          <w:rFonts w:hint="cs"/>
          <w:sz w:val="27"/>
          <w:rtl/>
        </w:rPr>
        <w:t>ر والتحو</w:t>
      </w:r>
      <w:r w:rsidR="004F6D04" w:rsidRPr="00904FCB">
        <w:rPr>
          <w:rFonts w:hint="cs"/>
          <w:sz w:val="27"/>
          <w:rtl/>
        </w:rPr>
        <w:t>ُّ</w:t>
      </w:r>
      <w:r w:rsidRPr="00904FCB">
        <w:rPr>
          <w:rFonts w:hint="cs"/>
          <w:sz w:val="27"/>
          <w:rtl/>
        </w:rPr>
        <w:t>ل، وسير الإنسانية المتواصل إلى الأمام، وانتقالها المتواتر من عصر</w:t>
      </w:r>
      <w:r w:rsidR="004F6D04" w:rsidRPr="00904FCB">
        <w:rPr>
          <w:rFonts w:hint="cs"/>
          <w:sz w:val="27"/>
          <w:rtl/>
        </w:rPr>
        <w:t>ٍ</w:t>
      </w:r>
      <w:r w:rsidRPr="00904FCB">
        <w:rPr>
          <w:rFonts w:hint="cs"/>
          <w:sz w:val="27"/>
          <w:rtl/>
        </w:rPr>
        <w:t xml:space="preserve"> قديم إلى عصر آخر أكثر تقد</w:t>
      </w:r>
      <w:r w:rsidR="004F6D04" w:rsidRPr="00904FCB">
        <w:rPr>
          <w:rFonts w:hint="cs"/>
          <w:sz w:val="27"/>
          <w:rtl/>
        </w:rPr>
        <w:t>ُّ</w:t>
      </w:r>
      <w:r w:rsidRPr="00904FCB">
        <w:rPr>
          <w:rFonts w:hint="cs"/>
          <w:sz w:val="27"/>
          <w:rtl/>
        </w:rPr>
        <w:t>ما</w:t>
      </w:r>
      <w:r w:rsidR="004F6D04" w:rsidRPr="00904FCB">
        <w:rPr>
          <w:rFonts w:hint="cs"/>
          <w:sz w:val="27"/>
          <w:rtl/>
        </w:rPr>
        <w:t>ً</w:t>
      </w:r>
      <w:r w:rsidRPr="00904FCB">
        <w:rPr>
          <w:rFonts w:hint="cs"/>
          <w:sz w:val="27"/>
          <w:rtl/>
        </w:rPr>
        <w:t xml:space="preserve"> من سابقه، مم</w:t>
      </w:r>
      <w:r w:rsidR="004F6D04" w:rsidRPr="00904FCB">
        <w:rPr>
          <w:rFonts w:hint="cs"/>
          <w:sz w:val="27"/>
          <w:rtl/>
        </w:rPr>
        <w:t>ّ</w:t>
      </w:r>
      <w:r w:rsidRPr="00904FCB">
        <w:rPr>
          <w:rFonts w:hint="cs"/>
          <w:sz w:val="27"/>
          <w:rtl/>
        </w:rPr>
        <w:t>ا يجعل الحاضر دائما</w:t>
      </w:r>
      <w:r w:rsidR="004F6D04" w:rsidRPr="00904FCB">
        <w:rPr>
          <w:rFonts w:hint="cs"/>
          <w:sz w:val="27"/>
          <w:rtl/>
        </w:rPr>
        <w:t>ً</w:t>
      </w:r>
      <w:r w:rsidRPr="00904FCB">
        <w:rPr>
          <w:rFonts w:hint="cs"/>
          <w:sz w:val="27"/>
          <w:rtl/>
        </w:rPr>
        <w:t xml:space="preserve"> أفضل من الماضي، والمستقبل أفضل من الحاضر، على خلاف النظرة التي كانت سائدة في زمن ما قبل الحداثة، حيث كان الناس يمجّ</w:t>
      </w:r>
      <w:r w:rsidR="004F6D04" w:rsidRPr="00904FCB">
        <w:rPr>
          <w:rFonts w:hint="cs"/>
          <w:sz w:val="27"/>
          <w:rtl/>
        </w:rPr>
        <w:t>ِ</w:t>
      </w:r>
      <w:r w:rsidRPr="00904FCB">
        <w:rPr>
          <w:rFonts w:hint="cs"/>
          <w:sz w:val="27"/>
          <w:rtl/>
        </w:rPr>
        <w:t>دون الماضي إلى درجة التقديس. وبهذا تمّ الانتقال من مرحلة التفكير المطلق إلى مرحلة التفكير النسبي، الذي ينظر إلى كل</w:t>
      </w:r>
      <w:r w:rsidR="004F6D04" w:rsidRPr="00904FCB">
        <w:rPr>
          <w:rFonts w:hint="cs"/>
          <w:sz w:val="27"/>
          <w:rtl/>
        </w:rPr>
        <w:t>ّ</w:t>
      </w:r>
      <w:r w:rsidRPr="00904FCB">
        <w:rPr>
          <w:rFonts w:hint="cs"/>
          <w:sz w:val="27"/>
          <w:rtl/>
        </w:rPr>
        <w:t xml:space="preserve"> شيء على أن</w:t>
      </w:r>
      <w:r w:rsidR="004F6D04" w:rsidRPr="00904FCB">
        <w:rPr>
          <w:rFonts w:hint="cs"/>
          <w:sz w:val="27"/>
          <w:rtl/>
        </w:rPr>
        <w:t>ّ</w:t>
      </w:r>
      <w:r w:rsidRPr="00904FCB">
        <w:rPr>
          <w:rFonts w:hint="cs"/>
          <w:sz w:val="27"/>
          <w:rtl/>
        </w:rPr>
        <w:t>ه متغي</w:t>
      </w:r>
      <w:r w:rsidR="004F6D04" w:rsidRPr="00904FCB">
        <w:rPr>
          <w:rFonts w:hint="cs"/>
          <w:sz w:val="27"/>
          <w:rtl/>
        </w:rPr>
        <w:t>ِّ</w:t>
      </w:r>
      <w:r w:rsidRPr="00904FCB">
        <w:rPr>
          <w:rFonts w:hint="cs"/>
          <w:sz w:val="27"/>
          <w:rtl/>
        </w:rPr>
        <w:t>ر ونسبي</w:t>
      </w:r>
      <w:r w:rsidRPr="00904FCB">
        <w:rPr>
          <w:sz w:val="27"/>
          <w:vertAlign w:val="superscript"/>
          <w:rtl/>
        </w:rPr>
        <w:t>(</w:t>
      </w:r>
      <w:r w:rsidRPr="00904FCB">
        <w:rPr>
          <w:rStyle w:val="ac"/>
          <w:sz w:val="27"/>
          <w:rtl/>
        </w:rPr>
        <w:endnoteReference w:id="488"/>
      </w:r>
      <w:r w:rsidRPr="00904FCB">
        <w:rPr>
          <w:sz w:val="27"/>
          <w:vertAlign w:val="superscript"/>
          <w:rtl/>
        </w:rPr>
        <w:t>)</w:t>
      </w:r>
      <w:r w:rsidRPr="00904FCB">
        <w:rPr>
          <w:rFonts w:hint="cs"/>
          <w:sz w:val="27"/>
          <w:rtl/>
        </w:rPr>
        <w:t xml:space="preserve">. </w:t>
      </w:r>
    </w:p>
    <w:p w:rsidR="00625F5D" w:rsidRPr="00904FCB" w:rsidRDefault="00625F5D" w:rsidP="007A21AA">
      <w:pPr>
        <w:pStyle w:val="31"/>
        <w:spacing w:line="400" w:lineRule="exact"/>
        <w:rPr>
          <w:color w:val="auto"/>
          <w:rtl/>
        </w:rPr>
      </w:pPr>
      <w:r w:rsidRPr="00A35A7D">
        <w:rPr>
          <w:rFonts w:hint="cs"/>
          <w:color w:val="auto"/>
          <w:rtl/>
        </w:rPr>
        <w:lastRenderedPageBreak/>
        <w:t>5ـ</w:t>
      </w:r>
      <w:r w:rsidRPr="00904FCB">
        <w:rPr>
          <w:rFonts w:hint="cs"/>
          <w:color w:val="auto"/>
          <w:rtl/>
        </w:rPr>
        <w:t xml:space="preserve"> الحر</w:t>
      </w:r>
      <w:r w:rsidR="004F6D04" w:rsidRPr="00904FCB">
        <w:rPr>
          <w:rFonts w:hint="cs"/>
          <w:color w:val="auto"/>
          <w:rtl/>
        </w:rPr>
        <w:t>ِّ</w:t>
      </w:r>
      <w:r w:rsidRPr="00904FCB">
        <w:rPr>
          <w:rFonts w:hint="cs"/>
          <w:color w:val="auto"/>
          <w:rtl/>
        </w:rPr>
        <w:t xml:space="preserve">ية الفردية </w:t>
      </w:r>
    </w:p>
    <w:p w:rsidR="00625F5D" w:rsidRPr="00904FCB" w:rsidRDefault="00625F5D" w:rsidP="007A21AA">
      <w:pPr>
        <w:spacing w:line="400" w:lineRule="exact"/>
        <w:rPr>
          <w:sz w:val="27"/>
          <w:rtl/>
          <w:lang w:val="fr-FR" w:bidi="ar-DZ"/>
        </w:rPr>
      </w:pPr>
      <w:r w:rsidRPr="00904FCB">
        <w:rPr>
          <w:rFonts w:hint="cs"/>
          <w:sz w:val="27"/>
          <w:rtl/>
        </w:rPr>
        <w:t xml:space="preserve">قام الفكر السياسي والاجتماعي الغربي ـ </w:t>
      </w:r>
      <w:r w:rsidR="004F6D04" w:rsidRPr="00904FCB">
        <w:rPr>
          <w:rFonts w:hint="cs"/>
          <w:sz w:val="27"/>
          <w:rtl/>
        </w:rPr>
        <w:t>و</w:t>
      </w:r>
      <w:r w:rsidRPr="00904FCB">
        <w:rPr>
          <w:rFonts w:hint="cs"/>
          <w:sz w:val="27"/>
          <w:rtl/>
        </w:rPr>
        <w:t>خاص</w:t>
      </w:r>
      <w:r w:rsidR="004F6D04" w:rsidRPr="00904FCB">
        <w:rPr>
          <w:rFonts w:hint="cs"/>
          <w:sz w:val="27"/>
          <w:rtl/>
        </w:rPr>
        <w:t>ّ</w:t>
      </w:r>
      <w:r w:rsidRPr="00904FCB">
        <w:rPr>
          <w:rFonts w:hint="cs"/>
          <w:sz w:val="27"/>
          <w:rtl/>
        </w:rPr>
        <w:t>ة بعد الثورة الفرنسية</w:t>
      </w:r>
      <w:r w:rsidR="004F6D04" w:rsidRPr="00904FCB">
        <w:rPr>
          <w:rFonts w:hint="cs"/>
          <w:sz w:val="27"/>
          <w:rtl/>
        </w:rPr>
        <w:t xml:space="preserve"> </w:t>
      </w:r>
      <w:r w:rsidRPr="00904FCB">
        <w:rPr>
          <w:rFonts w:hint="cs"/>
          <w:sz w:val="27"/>
          <w:rtl/>
        </w:rPr>
        <w:t>(</w:t>
      </w:r>
      <w:r w:rsidRPr="00A35A7D">
        <w:rPr>
          <w:rFonts w:asciiTheme="majorBidi" w:hAnsiTheme="majorBidi"/>
          <w:sz w:val="27"/>
          <w:rtl/>
        </w:rPr>
        <w:t>1789</w:t>
      </w:r>
      <w:r w:rsidRPr="00A35A7D">
        <w:rPr>
          <w:rFonts w:hint="cs"/>
          <w:sz w:val="27"/>
          <w:rtl/>
        </w:rPr>
        <w:t>م</w:t>
      </w:r>
      <w:r w:rsidRPr="00904FCB">
        <w:rPr>
          <w:rFonts w:hint="cs"/>
          <w:sz w:val="27"/>
          <w:rtl/>
        </w:rPr>
        <w:t xml:space="preserve">) ـ على أساس مفهوم تقديس الفردية </w:t>
      </w:r>
      <w:r w:rsidRPr="00904FCB">
        <w:rPr>
          <w:rFonts w:asciiTheme="majorBidi" w:hAnsiTheme="majorBidi"/>
          <w:sz w:val="27"/>
          <w:rtl/>
        </w:rPr>
        <w:t>(</w:t>
      </w:r>
      <w:r w:rsidRPr="00904FCB">
        <w:rPr>
          <w:rFonts w:asciiTheme="majorBidi" w:hAnsiTheme="majorBidi"/>
          <w:sz w:val="22"/>
          <w:szCs w:val="22"/>
        </w:rPr>
        <w:t>Individualism</w:t>
      </w:r>
      <w:r w:rsidRPr="00904FCB">
        <w:rPr>
          <w:rFonts w:asciiTheme="majorBidi" w:hAnsiTheme="majorBidi"/>
          <w:sz w:val="27"/>
          <w:rtl/>
        </w:rPr>
        <w:t>)</w:t>
      </w:r>
      <w:r w:rsidR="004F6D04" w:rsidRPr="00904FCB">
        <w:rPr>
          <w:rFonts w:asciiTheme="majorBidi" w:hAnsiTheme="majorBidi" w:hint="cs"/>
          <w:sz w:val="27"/>
          <w:rtl/>
          <w:lang w:bidi="ar-LB"/>
        </w:rPr>
        <w:t>،</w:t>
      </w:r>
      <w:r w:rsidRPr="00904FCB">
        <w:rPr>
          <w:rFonts w:asciiTheme="majorBidi" w:hAnsiTheme="majorBidi"/>
          <w:sz w:val="27"/>
          <w:rtl/>
        </w:rPr>
        <w:t xml:space="preserve"> </w:t>
      </w:r>
      <w:r w:rsidRPr="00904FCB">
        <w:rPr>
          <w:rFonts w:hint="cs"/>
          <w:sz w:val="27"/>
          <w:rtl/>
        </w:rPr>
        <w:t>التي تعني في مجملها تحر</w:t>
      </w:r>
      <w:r w:rsidR="004F6D04" w:rsidRPr="00904FCB">
        <w:rPr>
          <w:rFonts w:hint="cs"/>
          <w:sz w:val="27"/>
          <w:rtl/>
        </w:rPr>
        <w:t>ُّ</w:t>
      </w:r>
      <w:r w:rsidRPr="00904FCB">
        <w:rPr>
          <w:rFonts w:hint="cs"/>
          <w:sz w:val="27"/>
          <w:rtl/>
        </w:rPr>
        <w:t>ر الفرد من كل القيود التي تعط</w:t>
      </w:r>
      <w:r w:rsidR="004F6D04" w:rsidRPr="00904FCB">
        <w:rPr>
          <w:rFonts w:hint="cs"/>
          <w:sz w:val="27"/>
          <w:rtl/>
        </w:rPr>
        <w:t>ِّ</w:t>
      </w:r>
      <w:r w:rsidRPr="00904FCB">
        <w:rPr>
          <w:rFonts w:hint="cs"/>
          <w:sz w:val="27"/>
          <w:rtl/>
        </w:rPr>
        <w:t>ل قدراته الذاتية، أو تحول دون تلبيته لرغباته، أو تمنعه من الوصول إلى السعادة وفق تصو</w:t>
      </w:r>
      <w:r w:rsidR="004F6D04" w:rsidRPr="00904FCB">
        <w:rPr>
          <w:rFonts w:hint="cs"/>
          <w:sz w:val="27"/>
          <w:rtl/>
        </w:rPr>
        <w:t>ُّ</w:t>
      </w:r>
      <w:r w:rsidRPr="00904FCB">
        <w:rPr>
          <w:rFonts w:hint="cs"/>
          <w:sz w:val="27"/>
          <w:rtl/>
        </w:rPr>
        <w:t>ره الخاص</w:t>
      </w:r>
      <w:r w:rsidR="004F6D04" w:rsidRPr="00904FCB">
        <w:rPr>
          <w:rFonts w:hint="cs"/>
          <w:sz w:val="27"/>
          <w:rtl/>
        </w:rPr>
        <w:t>ّ</w:t>
      </w:r>
      <w:r w:rsidRPr="00904FCB">
        <w:rPr>
          <w:rFonts w:hint="cs"/>
          <w:sz w:val="27"/>
          <w:rtl/>
        </w:rPr>
        <w:t>. ويمتزج هذا المفهوم بمقاصد المذهب الليبرالي</w:t>
      </w:r>
      <w:r w:rsidR="004F6D04" w:rsidRPr="00904FCB">
        <w:rPr>
          <w:rFonts w:hint="cs"/>
          <w:sz w:val="27"/>
          <w:rtl/>
        </w:rPr>
        <w:t>،</w:t>
      </w:r>
      <w:r w:rsidRPr="00904FCB">
        <w:rPr>
          <w:rFonts w:hint="cs"/>
          <w:sz w:val="27"/>
          <w:rtl/>
        </w:rPr>
        <w:t xml:space="preserve"> الذي يعتبر الحر</w:t>
      </w:r>
      <w:r w:rsidR="004F6D04" w:rsidRPr="00904FCB">
        <w:rPr>
          <w:rFonts w:hint="cs"/>
          <w:sz w:val="27"/>
          <w:rtl/>
        </w:rPr>
        <w:t>ِّ</w:t>
      </w:r>
      <w:r w:rsidRPr="00904FCB">
        <w:rPr>
          <w:rFonts w:hint="cs"/>
          <w:sz w:val="27"/>
          <w:rtl/>
        </w:rPr>
        <w:t>ية هي الغاية الأولى والرئيسة التي يتطل</w:t>
      </w:r>
      <w:r w:rsidR="004F6D04" w:rsidRPr="00904FCB">
        <w:rPr>
          <w:rFonts w:hint="cs"/>
          <w:sz w:val="27"/>
          <w:rtl/>
        </w:rPr>
        <w:t>َّ</w:t>
      </w:r>
      <w:r w:rsidRPr="00904FCB">
        <w:rPr>
          <w:rFonts w:hint="cs"/>
          <w:sz w:val="27"/>
          <w:rtl/>
        </w:rPr>
        <w:t>ع إليها الفرد. ولهذا يجب أن يتحر</w:t>
      </w:r>
      <w:r w:rsidR="004F6D04" w:rsidRPr="00904FCB">
        <w:rPr>
          <w:rFonts w:hint="cs"/>
          <w:sz w:val="27"/>
          <w:rtl/>
        </w:rPr>
        <w:t>َّ</w:t>
      </w:r>
      <w:r w:rsidRPr="00904FCB">
        <w:rPr>
          <w:rFonts w:hint="cs"/>
          <w:sz w:val="27"/>
          <w:rtl/>
        </w:rPr>
        <w:t>ر من كل</w:t>
      </w:r>
      <w:r w:rsidR="004F6D04" w:rsidRPr="00904FCB">
        <w:rPr>
          <w:rFonts w:hint="cs"/>
          <w:sz w:val="27"/>
          <w:rtl/>
        </w:rPr>
        <w:t>ّ</w:t>
      </w:r>
      <w:r w:rsidRPr="00904FCB">
        <w:rPr>
          <w:rFonts w:hint="cs"/>
          <w:sz w:val="27"/>
          <w:rtl/>
        </w:rPr>
        <w:t xml:space="preserve"> أنواع السيطرة والاستبداد وال</w:t>
      </w:r>
      <w:r w:rsidR="004F6D04" w:rsidRPr="00904FCB">
        <w:rPr>
          <w:rFonts w:hint="cs"/>
          <w:sz w:val="27"/>
          <w:rtl/>
        </w:rPr>
        <w:t>ت</w:t>
      </w:r>
      <w:r w:rsidRPr="00904FCB">
        <w:rPr>
          <w:rFonts w:hint="cs"/>
          <w:sz w:val="27"/>
          <w:rtl/>
        </w:rPr>
        <w:t>سل</w:t>
      </w:r>
      <w:r w:rsidR="004F6D04" w:rsidRPr="00904FCB">
        <w:rPr>
          <w:rFonts w:hint="cs"/>
          <w:sz w:val="27"/>
          <w:rtl/>
        </w:rPr>
        <w:t>ُّ</w:t>
      </w:r>
      <w:r w:rsidRPr="00904FCB">
        <w:rPr>
          <w:rFonts w:hint="cs"/>
          <w:sz w:val="27"/>
          <w:rtl/>
        </w:rPr>
        <w:t>ط، سواء كان مصدرها الدولة وأجهزتها، أو النظام الاجتماعي وما يشمله من تقاليد وأعراف</w:t>
      </w:r>
      <w:r w:rsidRPr="00904FCB">
        <w:rPr>
          <w:sz w:val="27"/>
          <w:vertAlign w:val="superscript"/>
          <w:rtl/>
        </w:rPr>
        <w:t>(</w:t>
      </w:r>
      <w:r w:rsidRPr="00904FCB">
        <w:rPr>
          <w:rStyle w:val="ac"/>
          <w:sz w:val="27"/>
          <w:rtl/>
        </w:rPr>
        <w:endnoteReference w:id="489"/>
      </w:r>
      <w:r w:rsidRPr="00904FCB">
        <w:rPr>
          <w:sz w:val="27"/>
          <w:vertAlign w:val="superscript"/>
          <w:rtl/>
        </w:rPr>
        <w:t>)</w:t>
      </w:r>
      <w:r w:rsidRPr="00904FCB">
        <w:rPr>
          <w:rFonts w:hint="cs"/>
          <w:sz w:val="27"/>
          <w:rtl/>
          <w:lang w:val="fr-FR" w:bidi="ar-DZ"/>
        </w:rPr>
        <w:t xml:space="preserve">. </w:t>
      </w:r>
    </w:p>
    <w:p w:rsidR="00625F5D" w:rsidRPr="00904FCB" w:rsidRDefault="00625F5D" w:rsidP="007A21AA">
      <w:pPr>
        <w:spacing w:line="400" w:lineRule="exact"/>
        <w:rPr>
          <w:sz w:val="27"/>
          <w:rtl/>
          <w:lang w:val="fr-FR" w:bidi="ar-DZ"/>
        </w:rPr>
      </w:pPr>
    </w:p>
    <w:p w:rsidR="00625F5D" w:rsidRPr="00904FCB" w:rsidRDefault="00625F5D" w:rsidP="007A21AA">
      <w:pPr>
        <w:pStyle w:val="31"/>
        <w:spacing w:line="400" w:lineRule="exact"/>
        <w:rPr>
          <w:color w:val="auto"/>
          <w:rtl/>
        </w:rPr>
      </w:pPr>
      <w:r w:rsidRPr="00A35A7D">
        <w:rPr>
          <w:rFonts w:hint="cs"/>
          <w:color w:val="auto"/>
          <w:rtl/>
        </w:rPr>
        <w:t>6ـ</w:t>
      </w:r>
      <w:r w:rsidRPr="00904FCB">
        <w:rPr>
          <w:rFonts w:hint="cs"/>
          <w:color w:val="auto"/>
          <w:rtl/>
        </w:rPr>
        <w:t xml:space="preserve"> الديمقراطية </w:t>
      </w:r>
    </w:p>
    <w:p w:rsidR="00625F5D" w:rsidRPr="00904FCB" w:rsidRDefault="00625F5D" w:rsidP="007A21AA">
      <w:pPr>
        <w:spacing w:line="400" w:lineRule="exact"/>
        <w:rPr>
          <w:sz w:val="27"/>
          <w:rtl/>
        </w:rPr>
      </w:pPr>
      <w:r w:rsidRPr="00904FCB">
        <w:rPr>
          <w:rFonts w:hint="cs"/>
          <w:sz w:val="27"/>
          <w:rtl/>
        </w:rPr>
        <w:t>ترمي الحداثة في جانبها السياسي إلى تكريس النظام الديمقراطي الليبرالي، الذي يقوم على التعد</w:t>
      </w:r>
      <w:r w:rsidR="00BB5A5F" w:rsidRPr="00904FCB">
        <w:rPr>
          <w:rFonts w:hint="cs"/>
          <w:sz w:val="27"/>
          <w:rtl/>
        </w:rPr>
        <w:t>ُّ</w:t>
      </w:r>
      <w:r w:rsidRPr="00904FCB">
        <w:rPr>
          <w:rFonts w:hint="cs"/>
          <w:sz w:val="27"/>
          <w:rtl/>
        </w:rPr>
        <w:t>دية الحزبية، وحر</w:t>
      </w:r>
      <w:r w:rsidR="00BB5A5F" w:rsidRPr="00904FCB">
        <w:rPr>
          <w:rFonts w:hint="cs"/>
          <w:sz w:val="27"/>
          <w:rtl/>
        </w:rPr>
        <w:t>ّ</w:t>
      </w:r>
      <w:r w:rsidRPr="00904FCB">
        <w:rPr>
          <w:rFonts w:hint="cs"/>
          <w:sz w:val="27"/>
          <w:rtl/>
        </w:rPr>
        <w:t>ية الانتماء السياسي والنقابي، وحر</w:t>
      </w:r>
      <w:r w:rsidR="00BB5A5F" w:rsidRPr="00904FCB">
        <w:rPr>
          <w:rFonts w:hint="cs"/>
          <w:sz w:val="27"/>
          <w:rtl/>
        </w:rPr>
        <w:t>ّ</w:t>
      </w:r>
      <w:r w:rsidRPr="00904FCB">
        <w:rPr>
          <w:rFonts w:hint="cs"/>
          <w:sz w:val="27"/>
          <w:rtl/>
        </w:rPr>
        <w:t>ية الصحافة، وتداول الحكم من طرف التيارات السياسية المعبّ</w:t>
      </w:r>
      <w:r w:rsidR="00BB5A5F" w:rsidRPr="00904FCB">
        <w:rPr>
          <w:rFonts w:hint="cs"/>
          <w:sz w:val="27"/>
          <w:rtl/>
        </w:rPr>
        <w:t>ِ</w:t>
      </w:r>
      <w:r w:rsidRPr="00904FCB">
        <w:rPr>
          <w:rFonts w:hint="cs"/>
          <w:sz w:val="27"/>
          <w:rtl/>
        </w:rPr>
        <w:t>رة عن توجهات إرادة الرأي العام المتباينة. وعلى هذا الأساس فإن الأغلبية التي تفرزها الانتخابات الحر</w:t>
      </w:r>
      <w:r w:rsidR="00BB5A5F" w:rsidRPr="00904FCB">
        <w:rPr>
          <w:rFonts w:hint="cs"/>
          <w:sz w:val="27"/>
          <w:rtl/>
        </w:rPr>
        <w:t>ّ</w:t>
      </w:r>
      <w:r w:rsidRPr="00904FCB">
        <w:rPr>
          <w:rFonts w:hint="cs"/>
          <w:sz w:val="27"/>
          <w:rtl/>
        </w:rPr>
        <w:t>ة هي التي تزاول الحكم، وتخضع للمراقبة والمساءلة الشعبية من خلال المؤس</w:t>
      </w:r>
      <w:r w:rsidR="00BB5A5F" w:rsidRPr="00904FCB">
        <w:rPr>
          <w:rFonts w:hint="cs"/>
          <w:sz w:val="27"/>
          <w:rtl/>
        </w:rPr>
        <w:t>ّ</w:t>
      </w:r>
      <w:r w:rsidRPr="00904FCB">
        <w:rPr>
          <w:rFonts w:hint="cs"/>
          <w:sz w:val="27"/>
          <w:rtl/>
        </w:rPr>
        <w:t>سات التمثيلية، ومن خلال وسائل الإعلام الحر</w:t>
      </w:r>
      <w:r w:rsidR="00BB5A5F" w:rsidRPr="00904FCB">
        <w:rPr>
          <w:rFonts w:hint="cs"/>
          <w:sz w:val="27"/>
          <w:rtl/>
        </w:rPr>
        <w:t>ّ</w:t>
      </w:r>
      <w:r w:rsidRPr="00904FCB">
        <w:rPr>
          <w:rFonts w:hint="cs"/>
          <w:sz w:val="27"/>
          <w:rtl/>
        </w:rPr>
        <w:t>ة</w:t>
      </w:r>
      <w:r w:rsidRPr="00904FCB">
        <w:rPr>
          <w:sz w:val="27"/>
          <w:vertAlign w:val="superscript"/>
          <w:rtl/>
        </w:rPr>
        <w:t>(</w:t>
      </w:r>
      <w:r w:rsidRPr="00904FCB">
        <w:rPr>
          <w:rStyle w:val="ac"/>
          <w:sz w:val="27"/>
          <w:rtl/>
        </w:rPr>
        <w:endnoteReference w:id="490"/>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tl/>
        </w:rPr>
      </w:pPr>
      <w:r w:rsidRPr="00A35A7D">
        <w:rPr>
          <w:rFonts w:hint="cs"/>
          <w:color w:val="auto"/>
          <w:rtl/>
        </w:rPr>
        <w:t>7ـ</w:t>
      </w:r>
      <w:r w:rsidRPr="00904FCB">
        <w:rPr>
          <w:rFonts w:hint="cs"/>
          <w:color w:val="auto"/>
          <w:rtl/>
        </w:rPr>
        <w:t xml:space="preserve"> احترام حقوق الإنسان </w:t>
      </w:r>
    </w:p>
    <w:p w:rsidR="00625F5D" w:rsidRPr="00904FCB" w:rsidRDefault="00625F5D" w:rsidP="007A21AA">
      <w:pPr>
        <w:spacing w:line="400" w:lineRule="exact"/>
        <w:rPr>
          <w:sz w:val="27"/>
          <w:rtl/>
        </w:rPr>
      </w:pPr>
      <w:r w:rsidRPr="00904FCB">
        <w:rPr>
          <w:rFonts w:hint="cs"/>
          <w:sz w:val="27"/>
          <w:rtl/>
        </w:rPr>
        <w:t>والمقصود بذلك احترام الحقوق والحر</w:t>
      </w:r>
      <w:r w:rsidR="00BB5A5F" w:rsidRPr="00904FCB">
        <w:rPr>
          <w:rFonts w:hint="cs"/>
          <w:sz w:val="27"/>
          <w:rtl/>
        </w:rPr>
        <w:t>ّ</w:t>
      </w:r>
      <w:r w:rsidRPr="00904FCB">
        <w:rPr>
          <w:rFonts w:hint="cs"/>
          <w:sz w:val="27"/>
          <w:rtl/>
        </w:rPr>
        <w:t>يات الفردية والجماعية، وحماية الكرامة الإنسانية</w:t>
      </w:r>
      <w:r w:rsidR="00BB5A5F" w:rsidRPr="00904FCB">
        <w:rPr>
          <w:rFonts w:hint="cs"/>
          <w:sz w:val="27"/>
          <w:rtl/>
        </w:rPr>
        <w:t>،</w:t>
      </w:r>
      <w:r w:rsidRPr="00904FCB">
        <w:rPr>
          <w:rFonts w:hint="cs"/>
          <w:sz w:val="27"/>
          <w:rtl/>
        </w:rPr>
        <w:t xml:space="preserve"> وفق المعايير التي أقر</w:t>
      </w:r>
      <w:r w:rsidR="00BB5A5F" w:rsidRPr="00904FCB">
        <w:rPr>
          <w:rFonts w:hint="cs"/>
          <w:sz w:val="27"/>
          <w:rtl/>
        </w:rPr>
        <w:t>َّ</w:t>
      </w:r>
      <w:r w:rsidRPr="00904FCB">
        <w:rPr>
          <w:rFonts w:hint="cs"/>
          <w:sz w:val="27"/>
          <w:rtl/>
        </w:rPr>
        <w:t>تها المواثيق الدولية لحقوق الإنسان. وتقع مسؤولية ذلك على السلطات العمومية، وعلى الجماعات والهيئات، وعلى الأفراد كذلك، مما يقتضي وجود ضمانات تشريعية وعملية لحماية الحقوق والحر</w:t>
      </w:r>
      <w:r w:rsidR="00BB5A5F" w:rsidRPr="00904FCB">
        <w:rPr>
          <w:rFonts w:hint="cs"/>
          <w:sz w:val="27"/>
          <w:rtl/>
        </w:rPr>
        <w:t>ّ</w:t>
      </w:r>
      <w:r w:rsidRPr="00904FCB">
        <w:rPr>
          <w:rFonts w:hint="cs"/>
          <w:sz w:val="27"/>
          <w:rtl/>
        </w:rPr>
        <w:t>يات الأساسية للإنسان من الانتهاك</w:t>
      </w:r>
      <w:r w:rsidRPr="00904FCB">
        <w:rPr>
          <w:sz w:val="27"/>
          <w:vertAlign w:val="superscript"/>
          <w:rtl/>
        </w:rPr>
        <w:t>(</w:t>
      </w:r>
      <w:r w:rsidRPr="00904FCB">
        <w:rPr>
          <w:rStyle w:val="ac"/>
          <w:sz w:val="27"/>
          <w:rtl/>
        </w:rPr>
        <w:endnoteReference w:id="491"/>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tl/>
        </w:rPr>
      </w:pPr>
      <w:r w:rsidRPr="00904FCB">
        <w:rPr>
          <w:rFonts w:hint="cs"/>
          <w:color w:val="auto"/>
          <w:rtl/>
        </w:rPr>
        <w:t xml:space="preserve">ثالثاً: محاولات التحديث في العالم العربي والإسلامي </w:t>
      </w:r>
    </w:p>
    <w:p w:rsidR="00625F5D" w:rsidRPr="00904FCB" w:rsidRDefault="00625F5D" w:rsidP="007A21AA">
      <w:pPr>
        <w:spacing w:line="400" w:lineRule="exact"/>
        <w:rPr>
          <w:sz w:val="27"/>
          <w:rtl/>
        </w:rPr>
      </w:pPr>
      <w:r w:rsidRPr="00904FCB">
        <w:rPr>
          <w:rFonts w:hint="cs"/>
          <w:sz w:val="27"/>
          <w:rtl/>
        </w:rPr>
        <w:t>لا</w:t>
      </w:r>
      <w:r w:rsidR="00BB5A5F" w:rsidRPr="00904FCB">
        <w:rPr>
          <w:rFonts w:hint="cs"/>
          <w:sz w:val="27"/>
          <w:rtl/>
        </w:rPr>
        <w:t xml:space="preserve"> </w:t>
      </w:r>
      <w:r w:rsidRPr="00904FCB">
        <w:rPr>
          <w:rFonts w:hint="cs"/>
          <w:sz w:val="27"/>
          <w:rtl/>
        </w:rPr>
        <w:t>ش</w:t>
      </w:r>
      <w:r w:rsidR="00BB5A5F" w:rsidRPr="00904FCB">
        <w:rPr>
          <w:rFonts w:hint="cs"/>
          <w:sz w:val="27"/>
          <w:rtl/>
        </w:rPr>
        <w:t>َ</w:t>
      </w:r>
      <w:r w:rsidRPr="00904FCB">
        <w:rPr>
          <w:rFonts w:hint="cs"/>
          <w:sz w:val="27"/>
          <w:rtl/>
        </w:rPr>
        <w:t>ك</w:t>
      </w:r>
      <w:r w:rsidR="00BB5A5F" w:rsidRPr="00904FCB">
        <w:rPr>
          <w:rFonts w:hint="cs"/>
          <w:sz w:val="27"/>
          <w:rtl/>
        </w:rPr>
        <w:t>َّ</w:t>
      </w:r>
      <w:r w:rsidRPr="00904FCB">
        <w:rPr>
          <w:rFonts w:hint="cs"/>
          <w:sz w:val="27"/>
          <w:rtl/>
        </w:rPr>
        <w:t xml:space="preserve"> أن الحداثة ـ بالمفاهيم السابقة ـ قد نشأ</w:t>
      </w:r>
      <w:r w:rsidR="00BB5A5F" w:rsidRPr="00904FCB">
        <w:rPr>
          <w:rFonts w:hint="cs"/>
          <w:sz w:val="27"/>
          <w:rtl/>
        </w:rPr>
        <w:t>َ</w:t>
      </w:r>
      <w:r w:rsidRPr="00904FCB">
        <w:rPr>
          <w:rFonts w:hint="cs"/>
          <w:sz w:val="27"/>
          <w:rtl/>
        </w:rPr>
        <w:t>ت</w:t>
      </w:r>
      <w:r w:rsidR="00BB5A5F" w:rsidRPr="00904FCB">
        <w:rPr>
          <w:rFonts w:hint="cs"/>
          <w:sz w:val="27"/>
          <w:rtl/>
        </w:rPr>
        <w:t>ْ</w:t>
      </w:r>
      <w:r w:rsidRPr="00904FCB">
        <w:rPr>
          <w:rFonts w:hint="cs"/>
          <w:sz w:val="27"/>
          <w:rtl/>
        </w:rPr>
        <w:t xml:space="preserve"> في الغرب، لكن</w:t>
      </w:r>
      <w:r w:rsidR="00BB5A5F" w:rsidRPr="00904FCB">
        <w:rPr>
          <w:rFonts w:hint="cs"/>
          <w:sz w:val="27"/>
          <w:rtl/>
        </w:rPr>
        <w:t>ّ</w:t>
      </w:r>
      <w:r w:rsidRPr="00904FCB">
        <w:rPr>
          <w:rFonts w:hint="cs"/>
          <w:sz w:val="27"/>
          <w:rtl/>
        </w:rPr>
        <w:t xml:space="preserve"> هذا لا يعني </w:t>
      </w:r>
      <w:r w:rsidRPr="00904FCB">
        <w:rPr>
          <w:rFonts w:hint="cs"/>
          <w:sz w:val="27"/>
          <w:rtl/>
        </w:rPr>
        <w:lastRenderedPageBreak/>
        <w:t>أن باقي مناطق العالم لم تكن لها أي</w:t>
      </w:r>
      <w:r w:rsidR="00BB5A5F" w:rsidRPr="00904FCB">
        <w:rPr>
          <w:rFonts w:hint="cs"/>
          <w:sz w:val="27"/>
          <w:rtl/>
        </w:rPr>
        <w:t>ّ</w:t>
      </w:r>
      <w:r w:rsidRPr="00904FCB">
        <w:rPr>
          <w:rFonts w:hint="cs"/>
          <w:sz w:val="27"/>
          <w:rtl/>
        </w:rPr>
        <w:t xml:space="preserve"> مساهمة في نشأتها، فهي لم تأ</w:t>
      </w:r>
      <w:r w:rsidR="00BB5A5F" w:rsidRPr="00904FCB">
        <w:rPr>
          <w:rFonts w:hint="cs"/>
          <w:sz w:val="27"/>
          <w:rtl/>
        </w:rPr>
        <w:t>ْ</w:t>
      </w:r>
      <w:r w:rsidRPr="00904FCB">
        <w:rPr>
          <w:rFonts w:hint="cs"/>
          <w:sz w:val="27"/>
          <w:rtl/>
        </w:rPr>
        <w:t>ت</w:t>
      </w:r>
      <w:r w:rsidR="00BB5A5F" w:rsidRPr="00904FCB">
        <w:rPr>
          <w:rFonts w:hint="cs"/>
          <w:sz w:val="27"/>
          <w:rtl/>
        </w:rPr>
        <w:t>ِ</w:t>
      </w:r>
      <w:r w:rsidRPr="00904FCB">
        <w:rPr>
          <w:rFonts w:hint="cs"/>
          <w:sz w:val="27"/>
          <w:rtl/>
        </w:rPr>
        <w:t xml:space="preserve"> من فراغ، وإن</w:t>
      </w:r>
      <w:r w:rsidR="00BB5A5F" w:rsidRPr="00904FCB">
        <w:rPr>
          <w:rFonts w:hint="cs"/>
          <w:sz w:val="27"/>
          <w:rtl/>
        </w:rPr>
        <w:t>ّ</w:t>
      </w:r>
      <w:r w:rsidRPr="00904FCB">
        <w:rPr>
          <w:rFonts w:hint="cs"/>
          <w:sz w:val="27"/>
          <w:rtl/>
        </w:rPr>
        <w:t>ما تشك</w:t>
      </w:r>
      <w:r w:rsidR="00BB5A5F" w:rsidRPr="00904FCB">
        <w:rPr>
          <w:rFonts w:hint="cs"/>
          <w:sz w:val="27"/>
          <w:rtl/>
        </w:rPr>
        <w:t>َّ</w:t>
      </w:r>
      <w:r w:rsidRPr="00904FCB">
        <w:rPr>
          <w:rFonts w:hint="cs"/>
          <w:sz w:val="27"/>
          <w:rtl/>
        </w:rPr>
        <w:t>ل</w:t>
      </w:r>
      <w:r w:rsidR="00BB5A5F" w:rsidRPr="00904FCB">
        <w:rPr>
          <w:rFonts w:hint="cs"/>
          <w:sz w:val="27"/>
          <w:rtl/>
        </w:rPr>
        <w:t>َ</w:t>
      </w:r>
      <w:r w:rsidRPr="00904FCB">
        <w:rPr>
          <w:rFonts w:hint="cs"/>
          <w:sz w:val="27"/>
          <w:rtl/>
        </w:rPr>
        <w:t>ت</w:t>
      </w:r>
      <w:r w:rsidR="00BB5A5F" w:rsidRPr="00904FCB">
        <w:rPr>
          <w:rFonts w:hint="cs"/>
          <w:sz w:val="27"/>
          <w:rtl/>
        </w:rPr>
        <w:t>ْ</w:t>
      </w:r>
      <w:r w:rsidRPr="00904FCB">
        <w:rPr>
          <w:rFonts w:hint="cs"/>
          <w:sz w:val="27"/>
          <w:rtl/>
        </w:rPr>
        <w:t xml:space="preserve"> من التراكمات العلمية والمعرفية التي شهدتها الحضارات البشرية في عصور متعاقبة. </w:t>
      </w:r>
    </w:p>
    <w:p w:rsidR="00625F5D" w:rsidRPr="00904FCB" w:rsidRDefault="00625F5D" w:rsidP="007A21AA">
      <w:pPr>
        <w:spacing w:line="400" w:lineRule="exact"/>
        <w:rPr>
          <w:sz w:val="27"/>
          <w:rtl/>
        </w:rPr>
      </w:pPr>
      <w:r w:rsidRPr="00904FCB">
        <w:rPr>
          <w:rFonts w:hint="cs"/>
          <w:sz w:val="27"/>
          <w:rtl/>
        </w:rPr>
        <w:t xml:space="preserve">ومن المعلوم أن قنوات الاتصال الثقافي بين العالم الإسلامي والغربي في المرحلة الممتدة من القرن الثاني عشر إلى القرن الرابع عشر </w:t>
      </w:r>
      <w:r w:rsidR="00BB5A5F" w:rsidRPr="00904FCB">
        <w:rPr>
          <w:rFonts w:hint="cs"/>
          <w:sz w:val="27"/>
          <w:rtl/>
        </w:rPr>
        <w:t>ال</w:t>
      </w:r>
      <w:r w:rsidRPr="00904FCB">
        <w:rPr>
          <w:rFonts w:hint="cs"/>
          <w:sz w:val="27"/>
          <w:rtl/>
        </w:rPr>
        <w:t>ميلادي ساهمت بكيفية مباشرة في حركة الإصلاح الديني التي عرفتها أور</w:t>
      </w:r>
      <w:r w:rsidR="00BB5A5F" w:rsidRPr="00904FCB">
        <w:rPr>
          <w:rFonts w:hint="cs"/>
          <w:sz w:val="27"/>
          <w:rtl/>
        </w:rPr>
        <w:t>و</w:t>
      </w:r>
      <w:r w:rsidRPr="00904FCB">
        <w:rPr>
          <w:rFonts w:hint="cs"/>
          <w:sz w:val="27"/>
          <w:rtl/>
        </w:rPr>
        <w:t>با كخطوة</w:t>
      </w:r>
      <w:r w:rsidR="00BB5A5F" w:rsidRPr="00904FCB">
        <w:rPr>
          <w:rFonts w:hint="cs"/>
          <w:sz w:val="27"/>
          <w:rtl/>
        </w:rPr>
        <w:t>ٍ</w:t>
      </w:r>
      <w:r w:rsidRPr="00904FCB">
        <w:rPr>
          <w:rFonts w:hint="cs"/>
          <w:sz w:val="27"/>
          <w:rtl/>
        </w:rPr>
        <w:t xml:space="preserve"> أساسية نحو الحداثة، كما أن العطاء الفكري والعطاء العلمي للعلماء والفلاسفة المسلمين أثر تأثيرا</w:t>
      </w:r>
      <w:r w:rsidR="00BB5A5F" w:rsidRPr="00904FCB">
        <w:rPr>
          <w:rFonts w:hint="cs"/>
          <w:sz w:val="27"/>
          <w:rtl/>
        </w:rPr>
        <w:t>ً</w:t>
      </w:r>
      <w:r w:rsidRPr="00904FCB">
        <w:rPr>
          <w:rFonts w:hint="cs"/>
          <w:sz w:val="27"/>
          <w:rtl/>
        </w:rPr>
        <w:t xml:space="preserve"> كبيرا</w:t>
      </w:r>
      <w:r w:rsidR="00BB5A5F" w:rsidRPr="00904FCB">
        <w:rPr>
          <w:rFonts w:hint="cs"/>
          <w:sz w:val="27"/>
          <w:rtl/>
        </w:rPr>
        <w:t>ً</w:t>
      </w:r>
      <w:r w:rsidRPr="00904FCB">
        <w:rPr>
          <w:rFonts w:hint="cs"/>
          <w:sz w:val="27"/>
          <w:rtl/>
        </w:rPr>
        <w:t xml:space="preserve"> في الثقافة الغربية بصفة</w:t>
      </w:r>
      <w:r w:rsidR="00BB5A5F" w:rsidRPr="00904FCB">
        <w:rPr>
          <w:rFonts w:hint="cs"/>
          <w:sz w:val="27"/>
          <w:rtl/>
        </w:rPr>
        <w:t>ٍ</w:t>
      </w:r>
      <w:r w:rsidRPr="00904FCB">
        <w:rPr>
          <w:rFonts w:hint="cs"/>
          <w:sz w:val="27"/>
          <w:rtl/>
        </w:rPr>
        <w:t xml:space="preserve"> عامة، وفي صقل العقل العلمي بوجه</w:t>
      </w:r>
      <w:r w:rsidR="00BB5A5F" w:rsidRPr="00904FCB">
        <w:rPr>
          <w:rFonts w:hint="cs"/>
          <w:sz w:val="27"/>
          <w:rtl/>
        </w:rPr>
        <w:t>ٍ</w:t>
      </w:r>
      <w:r w:rsidRPr="00904FCB">
        <w:rPr>
          <w:rFonts w:hint="cs"/>
          <w:sz w:val="27"/>
          <w:rtl/>
        </w:rPr>
        <w:t xml:space="preserve"> خاص</w:t>
      </w:r>
      <w:r w:rsidRPr="00904FCB">
        <w:rPr>
          <w:sz w:val="27"/>
          <w:vertAlign w:val="superscript"/>
          <w:rtl/>
        </w:rPr>
        <w:t>(</w:t>
      </w:r>
      <w:r w:rsidRPr="00904FCB">
        <w:rPr>
          <w:rStyle w:val="ac"/>
          <w:sz w:val="27"/>
          <w:rtl/>
        </w:rPr>
        <w:endnoteReference w:id="492"/>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rPr>
      </w:pPr>
      <w:r w:rsidRPr="00904FCB">
        <w:rPr>
          <w:rFonts w:hint="cs"/>
          <w:sz w:val="27"/>
          <w:rtl/>
        </w:rPr>
        <w:t>هذا دون أن نهمل ـ في عصرنا الحاضر ـ دور الكثير من الكفاءات العلمية التي هاجرت من العالم العربي والإسلامي، إلى دول أور</w:t>
      </w:r>
      <w:r w:rsidR="00BB5A5F" w:rsidRPr="00904FCB">
        <w:rPr>
          <w:rFonts w:hint="cs"/>
          <w:sz w:val="27"/>
          <w:rtl/>
        </w:rPr>
        <w:t>و</w:t>
      </w:r>
      <w:r w:rsidRPr="00904FCB">
        <w:rPr>
          <w:rFonts w:hint="cs"/>
          <w:sz w:val="27"/>
          <w:rtl/>
        </w:rPr>
        <w:t>با الغربية وأمريكا، وساهمت ـ وما تزال ـ بفعالي</w:t>
      </w:r>
      <w:r w:rsidR="00BB5A5F" w:rsidRPr="00904FCB">
        <w:rPr>
          <w:rFonts w:hint="cs"/>
          <w:sz w:val="27"/>
          <w:rtl/>
        </w:rPr>
        <w:t>ّ</w:t>
      </w:r>
      <w:r w:rsidRPr="00904FCB">
        <w:rPr>
          <w:rFonts w:hint="cs"/>
          <w:sz w:val="27"/>
          <w:rtl/>
        </w:rPr>
        <w:t>ة في تقد</w:t>
      </w:r>
      <w:r w:rsidR="00BB5A5F" w:rsidRPr="00904FCB">
        <w:rPr>
          <w:rFonts w:hint="cs"/>
          <w:sz w:val="27"/>
          <w:rtl/>
        </w:rPr>
        <w:t>ُّ</w:t>
      </w:r>
      <w:r w:rsidRPr="00904FCB">
        <w:rPr>
          <w:rFonts w:hint="cs"/>
          <w:sz w:val="27"/>
          <w:rtl/>
        </w:rPr>
        <w:t xml:space="preserve">مها العلمي والتكنولوجي. </w:t>
      </w:r>
    </w:p>
    <w:p w:rsidR="00625F5D" w:rsidRPr="00904FCB" w:rsidRDefault="00625F5D" w:rsidP="007A21AA">
      <w:pPr>
        <w:spacing w:line="400" w:lineRule="exact"/>
        <w:rPr>
          <w:sz w:val="27"/>
          <w:rtl/>
        </w:rPr>
      </w:pPr>
      <w:r w:rsidRPr="00904FCB">
        <w:rPr>
          <w:rFonts w:hint="cs"/>
          <w:sz w:val="27"/>
          <w:rtl/>
        </w:rPr>
        <w:t>أما عن محاولات التحديث في الوطن العربي والإسلامي فإنه ومنذ بداية القرن التاسع عشر بدأ يطرح سؤال (النهضة) بإلحاح</w:t>
      </w:r>
      <w:r w:rsidR="00CE21FB" w:rsidRPr="00904FCB">
        <w:rPr>
          <w:rFonts w:hint="cs"/>
          <w:sz w:val="27"/>
          <w:rtl/>
        </w:rPr>
        <w:t>ٍ</w:t>
      </w:r>
      <w:r w:rsidRPr="00904FCB">
        <w:rPr>
          <w:rFonts w:hint="cs"/>
          <w:sz w:val="27"/>
          <w:rtl/>
        </w:rPr>
        <w:t xml:space="preserve"> من لدن بعض النخب العربية المتأث</w:t>
      </w:r>
      <w:r w:rsidR="00CE21FB" w:rsidRPr="00904FCB">
        <w:rPr>
          <w:rFonts w:hint="cs"/>
          <w:sz w:val="27"/>
          <w:rtl/>
        </w:rPr>
        <w:t>ِّ</w:t>
      </w:r>
      <w:r w:rsidRPr="00904FCB">
        <w:rPr>
          <w:rFonts w:hint="cs"/>
          <w:sz w:val="27"/>
          <w:rtl/>
        </w:rPr>
        <w:t>رة بفلسفة الأنوار، وبمبادئ الثورة الفرنسية (الحرية والأخو</w:t>
      </w:r>
      <w:r w:rsidR="00CE21FB" w:rsidRPr="00904FCB">
        <w:rPr>
          <w:rFonts w:hint="cs"/>
          <w:sz w:val="27"/>
          <w:rtl/>
        </w:rPr>
        <w:t>ّ</w:t>
      </w:r>
      <w:r w:rsidRPr="00904FCB">
        <w:rPr>
          <w:rFonts w:hint="cs"/>
          <w:sz w:val="27"/>
          <w:rtl/>
        </w:rPr>
        <w:t xml:space="preserve">ة والمساواة). </w:t>
      </w:r>
    </w:p>
    <w:p w:rsidR="00625F5D" w:rsidRPr="00904FCB" w:rsidRDefault="00625F5D" w:rsidP="007A21AA">
      <w:pPr>
        <w:spacing w:line="400" w:lineRule="exact"/>
        <w:rPr>
          <w:sz w:val="27"/>
          <w:rtl/>
        </w:rPr>
      </w:pPr>
      <w:r w:rsidRPr="00904FCB">
        <w:rPr>
          <w:rFonts w:hint="cs"/>
          <w:sz w:val="27"/>
          <w:rtl/>
        </w:rPr>
        <w:t>ففي مطلع القرن التاسع عشر أطلق الشيخ الأزهري حسن العط</w:t>
      </w:r>
      <w:r w:rsidR="00CE21FB" w:rsidRPr="00904FCB">
        <w:rPr>
          <w:rFonts w:hint="cs"/>
          <w:sz w:val="27"/>
          <w:rtl/>
        </w:rPr>
        <w:t>ّ</w:t>
      </w:r>
      <w:r w:rsidRPr="00904FCB">
        <w:rPr>
          <w:rFonts w:hint="cs"/>
          <w:sz w:val="27"/>
          <w:rtl/>
        </w:rPr>
        <w:t xml:space="preserve">ار </w:t>
      </w:r>
      <w:r w:rsidRPr="00904FCB">
        <w:rPr>
          <w:rFonts w:asciiTheme="majorBidi" w:hAnsiTheme="majorBidi"/>
          <w:sz w:val="27"/>
          <w:rtl/>
        </w:rPr>
        <w:t>(</w:t>
      </w:r>
      <w:r w:rsidRPr="00A80D94">
        <w:rPr>
          <w:rFonts w:asciiTheme="majorBidi" w:hAnsiTheme="majorBidi"/>
          <w:sz w:val="27"/>
          <w:rtl/>
        </w:rPr>
        <w:t>1766</w:t>
      </w:r>
      <w:r w:rsidRPr="00904FCB">
        <w:rPr>
          <w:rFonts w:asciiTheme="majorBidi" w:hAnsiTheme="majorBidi"/>
          <w:sz w:val="27"/>
          <w:rtl/>
        </w:rPr>
        <w:t xml:space="preserve"> ـ </w:t>
      </w:r>
      <w:r w:rsidRPr="00A80D94">
        <w:rPr>
          <w:rFonts w:asciiTheme="majorBidi" w:hAnsiTheme="majorBidi"/>
          <w:sz w:val="27"/>
          <w:rtl/>
        </w:rPr>
        <w:t>1835</w:t>
      </w:r>
      <w:r w:rsidRPr="00904FCB">
        <w:rPr>
          <w:rFonts w:hint="cs"/>
          <w:sz w:val="27"/>
          <w:rtl/>
        </w:rPr>
        <w:t>) صيحة للتنبيه إلى ضرورة التغيير</w:t>
      </w:r>
      <w:r w:rsidR="00CE21FB" w:rsidRPr="00904FCB">
        <w:rPr>
          <w:rFonts w:hint="cs"/>
          <w:sz w:val="27"/>
          <w:rtl/>
        </w:rPr>
        <w:t>،</w:t>
      </w:r>
      <w:r w:rsidRPr="00904FCB">
        <w:rPr>
          <w:rFonts w:hint="cs"/>
          <w:sz w:val="27"/>
          <w:rtl/>
        </w:rPr>
        <w:t xml:space="preserve"> قائلا</w:t>
      </w:r>
      <w:r w:rsidR="00CE21FB"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إن بلادنا لا</w:t>
      </w:r>
      <w:r w:rsidR="00096A53" w:rsidRPr="00904FCB">
        <w:rPr>
          <w:rFonts w:hint="cs"/>
          <w:sz w:val="27"/>
          <w:rtl/>
        </w:rPr>
        <w:t xml:space="preserve"> </w:t>
      </w:r>
      <w:r w:rsidRPr="00904FCB">
        <w:rPr>
          <w:rFonts w:hint="cs"/>
          <w:sz w:val="27"/>
          <w:rtl/>
        </w:rPr>
        <w:t>ب</w:t>
      </w:r>
      <w:r w:rsidR="00096A53" w:rsidRPr="00904FCB">
        <w:rPr>
          <w:rFonts w:hint="cs"/>
          <w:sz w:val="27"/>
          <w:rtl/>
        </w:rPr>
        <w:t>ُ</w:t>
      </w:r>
      <w:r w:rsidRPr="00904FCB">
        <w:rPr>
          <w:rFonts w:hint="cs"/>
          <w:sz w:val="27"/>
          <w:rtl/>
        </w:rPr>
        <w:t>د</w:t>
      </w:r>
      <w:r w:rsidR="00096A53" w:rsidRPr="00904FCB">
        <w:rPr>
          <w:rFonts w:hint="cs"/>
          <w:sz w:val="27"/>
          <w:rtl/>
        </w:rPr>
        <w:t>َّ</w:t>
      </w:r>
      <w:r w:rsidRPr="00904FCB">
        <w:rPr>
          <w:rFonts w:hint="cs"/>
          <w:sz w:val="27"/>
          <w:rtl/>
        </w:rPr>
        <w:t xml:space="preserve"> أن تتغي</w:t>
      </w:r>
      <w:r w:rsidR="00CE21FB" w:rsidRPr="00904FCB">
        <w:rPr>
          <w:rFonts w:hint="cs"/>
          <w:sz w:val="27"/>
          <w:rtl/>
        </w:rPr>
        <w:t>َّ</w:t>
      </w:r>
      <w:r w:rsidRPr="00904FCB">
        <w:rPr>
          <w:rFonts w:hint="cs"/>
          <w:sz w:val="27"/>
          <w:rtl/>
        </w:rPr>
        <w:t>ر أحوالها، ويتجد</w:t>
      </w:r>
      <w:r w:rsidR="00CE21FB" w:rsidRPr="00904FCB">
        <w:rPr>
          <w:rFonts w:hint="cs"/>
          <w:sz w:val="27"/>
          <w:rtl/>
        </w:rPr>
        <w:t>َّ</w:t>
      </w:r>
      <w:r w:rsidRPr="00904FCB">
        <w:rPr>
          <w:rFonts w:hint="cs"/>
          <w:sz w:val="27"/>
          <w:rtl/>
        </w:rPr>
        <w:t>د بها من المعارف ما ليس فيها</w:t>
      </w:r>
      <w:r w:rsidRPr="00904FCB">
        <w:rPr>
          <w:rFonts w:hint="eastAsia"/>
          <w:sz w:val="27"/>
          <w:rtl/>
        </w:rPr>
        <w:t>»</w:t>
      </w:r>
      <w:r w:rsidRPr="00904FCB">
        <w:rPr>
          <w:rFonts w:hint="cs"/>
          <w:sz w:val="27"/>
          <w:rtl/>
        </w:rPr>
        <w:t>. وتحد</w:t>
      </w:r>
      <w:r w:rsidR="00CE21FB" w:rsidRPr="00904FCB">
        <w:rPr>
          <w:rFonts w:hint="cs"/>
          <w:sz w:val="27"/>
          <w:rtl/>
        </w:rPr>
        <w:t>َّ</w:t>
      </w:r>
      <w:r w:rsidRPr="00904FCB">
        <w:rPr>
          <w:rFonts w:hint="cs"/>
          <w:sz w:val="27"/>
          <w:rtl/>
        </w:rPr>
        <w:t>ث تلميذه الشيخ رفاعة الطهطاوي</w:t>
      </w:r>
      <w:r w:rsidRPr="00904FCB">
        <w:rPr>
          <w:rFonts w:asciiTheme="majorBidi" w:hAnsiTheme="majorBidi" w:hint="cs"/>
          <w:sz w:val="27"/>
          <w:rtl/>
        </w:rPr>
        <w:t xml:space="preserve"> </w:t>
      </w:r>
      <w:r w:rsidRPr="00904FCB">
        <w:rPr>
          <w:rFonts w:asciiTheme="majorBidi" w:hAnsiTheme="majorBidi"/>
          <w:sz w:val="27"/>
          <w:rtl/>
        </w:rPr>
        <w:t>(</w:t>
      </w:r>
      <w:r w:rsidRPr="00A80D94">
        <w:rPr>
          <w:rStyle w:val="st1"/>
          <w:rFonts w:asciiTheme="majorBidi" w:hAnsiTheme="majorBidi"/>
          <w:sz w:val="27"/>
          <w:rtl/>
          <w:lang w:bidi="ar-DZ"/>
        </w:rPr>
        <w:t>1801</w:t>
      </w:r>
      <w:r w:rsidRPr="00904FCB">
        <w:rPr>
          <w:rStyle w:val="st1"/>
          <w:rFonts w:asciiTheme="majorBidi" w:hAnsiTheme="majorBidi"/>
          <w:sz w:val="27"/>
          <w:rtl/>
          <w:lang w:bidi="ar-DZ"/>
        </w:rPr>
        <w:t xml:space="preserve"> ـ </w:t>
      </w:r>
      <w:r w:rsidRPr="00A80D94">
        <w:rPr>
          <w:rStyle w:val="st1"/>
          <w:rFonts w:asciiTheme="majorBidi" w:hAnsiTheme="majorBidi"/>
          <w:sz w:val="27"/>
          <w:rtl/>
          <w:lang w:bidi="ar-DZ"/>
        </w:rPr>
        <w:t>1873</w:t>
      </w:r>
      <w:r w:rsidRPr="00A80D94">
        <w:rPr>
          <w:rFonts w:asciiTheme="majorBidi" w:hAnsiTheme="majorBidi"/>
          <w:sz w:val="27"/>
          <w:rtl/>
        </w:rPr>
        <w:t>م</w:t>
      </w:r>
      <w:r w:rsidRPr="00904FCB">
        <w:rPr>
          <w:rFonts w:asciiTheme="majorBidi" w:hAnsiTheme="majorBidi"/>
          <w:sz w:val="27"/>
          <w:rtl/>
        </w:rPr>
        <w:t>)</w:t>
      </w:r>
      <w:r w:rsidR="00CE21FB" w:rsidRPr="00904FCB">
        <w:rPr>
          <w:rFonts w:asciiTheme="majorBidi" w:hAnsiTheme="majorBidi" w:hint="cs"/>
          <w:sz w:val="27"/>
          <w:rtl/>
        </w:rPr>
        <w:t>،</w:t>
      </w:r>
      <w:r w:rsidRPr="00904FCB">
        <w:rPr>
          <w:rFonts w:asciiTheme="majorBidi" w:hAnsiTheme="majorBidi"/>
          <w:sz w:val="27"/>
          <w:rtl/>
        </w:rPr>
        <w:t xml:space="preserve"> </w:t>
      </w:r>
      <w:r w:rsidRPr="00904FCB">
        <w:rPr>
          <w:rFonts w:hint="cs"/>
          <w:sz w:val="27"/>
          <w:rtl/>
        </w:rPr>
        <w:t xml:space="preserve">في كتابه الصادر سنة </w:t>
      </w:r>
      <w:r w:rsidRPr="00A80D94">
        <w:rPr>
          <w:rFonts w:hint="cs"/>
          <w:sz w:val="27"/>
          <w:rtl/>
        </w:rPr>
        <w:t>1834</w:t>
      </w:r>
      <w:r w:rsidRPr="00904FCB">
        <w:rPr>
          <w:rFonts w:hint="cs"/>
          <w:sz w:val="27"/>
          <w:rtl/>
        </w:rPr>
        <w:t>، بعنوان (تخليص الإبريز في تلخيص باريز)، عن الدستور الفرنسي، والحقوق الطبيعية، وما تعرفه باريس من تطور في مناخ الحر</w:t>
      </w:r>
      <w:r w:rsidR="00CE21FB" w:rsidRPr="00904FCB">
        <w:rPr>
          <w:rFonts w:hint="cs"/>
          <w:sz w:val="27"/>
          <w:rtl/>
        </w:rPr>
        <w:t>ّ</w:t>
      </w:r>
      <w:r w:rsidRPr="00904FCB">
        <w:rPr>
          <w:rFonts w:hint="cs"/>
          <w:sz w:val="27"/>
          <w:rtl/>
        </w:rPr>
        <w:t>يات، وخاصة حر</w:t>
      </w:r>
      <w:r w:rsidR="00CE21FB" w:rsidRPr="00904FCB">
        <w:rPr>
          <w:rFonts w:hint="cs"/>
          <w:sz w:val="27"/>
          <w:rtl/>
        </w:rPr>
        <w:t>ّ</w:t>
      </w:r>
      <w:r w:rsidRPr="00904FCB">
        <w:rPr>
          <w:rFonts w:hint="cs"/>
          <w:sz w:val="27"/>
          <w:rtl/>
        </w:rPr>
        <w:t>ية الفكر والصحافة والنشر، وأبرز تأث</w:t>
      </w:r>
      <w:r w:rsidR="00416DBA" w:rsidRPr="00904FCB">
        <w:rPr>
          <w:rFonts w:hint="cs"/>
          <w:sz w:val="27"/>
          <w:rtl/>
        </w:rPr>
        <w:t>ُّ</w:t>
      </w:r>
      <w:r w:rsidRPr="00904FCB">
        <w:rPr>
          <w:rFonts w:hint="cs"/>
          <w:sz w:val="27"/>
          <w:rtl/>
        </w:rPr>
        <w:t xml:space="preserve">ره بما قرأه في مؤلفات جون جاك روسو </w:t>
      </w:r>
      <w:r w:rsidRPr="00904FCB">
        <w:rPr>
          <w:rFonts w:asciiTheme="majorBidi" w:hAnsiTheme="majorBidi" w:hint="cs"/>
          <w:sz w:val="27"/>
          <w:rtl/>
        </w:rPr>
        <w:t>(</w:t>
      </w:r>
      <w:r w:rsidRPr="00904FCB">
        <w:rPr>
          <w:rFonts w:asciiTheme="majorBidi" w:hAnsiTheme="majorBidi" w:cstheme="majorBidi"/>
          <w:sz w:val="22"/>
          <w:szCs w:val="22"/>
        </w:rPr>
        <w:t>S</w:t>
      </w:r>
      <w:r w:rsidR="00416DBA" w:rsidRPr="00904FCB">
        <w:rPr>
          <w:rFonts w:asciiTheme="majorBidi" w:hAnsiTheme="majorBidi" w:cstheme="majorBidi"/>
          <w:sz w:val="22"/>
          <w:szCs w:val="22"/>
        </w:rPr>
        <w:t>rousseau</w:t>
      </w:r>
      <w:r w:rsidRPr="00904FCB">
        <w:rPr>
          <w:rFonts w:asciiTheme="majorBidi" w:hAnsiTheme="majorBidi" w:cstheme="majorBidi"/>
          <w:sz w:val="22"/>
          <w:szCs w:val="22"/>
          <w:rtl/>
        </w:rPr>
        <w:t xml:space="preserve"> </w:t>
      </w:r>
      <w:r w:rsidRPr="00904FCB">
        <w:rPr>
          <w:rFonts w:asciiTheme="majorBidi" w:hAnsiTheme="majorBidi" w:cstheme="majorBidi"/>
          <w:sz w:val="22"/>
          <w:szCs w:val="22"/>
          <w:lang w:val="fr-FR"/>
        </w:rPr>
        <w:t>J. J</w:t>
      </w:r>
      <w:r w:rsidRPr="00904FCB">
        <w:rPr>
          <w:rFonts w:asciiTheme="majorBidi" w:hAnsiTheme="majorBidi" w:hint="cs"/>
          <w:sz w:val="27"/>
          <w:rtl/>
        </w:rPr>
        <w:t>)</w:t>
      </w:r>
      <w:r w:rsidR="00416DBA" w:rsidRPr="00904FCB">
        <w:rPr>
          <w:rFonts w:asciiTheme="majorBidi" w:hAnsiTheme="majorBidi" w:hint="cs"/>
          <w:sz w:val="27"/>
          <w:rtl/>
        </w:rPr>
        <w:t>،</w:t>
      </w:r>
      <w:r w:rsidRPr="00904FCB">
        <w:rPr>
          <w:rFonts w:asciiTheme="majorBidi" w:hAnsiTheme="majorBidi" w:hint="cs"/>
          <w:sz w:val="27"/>
          <w:rtl/>
        </w:rPr>
        <w:t xml:space="preserve"> </w:t>
      </w:r>
      <w:r w:rsidRPr="00904FCB">
        <w:rPr>
          <w:rFonts w:hint="cs"/>
          <w:sz w:val="27"/>
          <w:rtl/>
        </w:rPr>
        <w:t>ولا</w:t>
      </w:r>
      <w:r w:rsidR="00416DBA" w:rsidRPr="00904FCB">
        <w:rPr>
          <w:rFonts w:hint="cs"/>
          <w:sz w:val="27"/>
          <w:rtl/>
        </w:rPr>
        <w:t xml:space="preserve"> </w:t>
      </w:r>
      <w:r w:rsidRPr="00904FCB">
        <w:rPr>
          <w:rFonts w:hint="cs"/>
          <w:sz w:val="27"/>
          <w:rtl/>
        </w:rPr>
        <w:t>سي</w:t>
      </w:r>
      <w:r w:rsidR="00416DBA" w:rsidRPr="00904FCB">
        <w:rPr>
          <w:rFonts w:hint="cs"/>
          <w:sz w:val="27"/>
          <w:rtl/>
        </w:rPr>
        <w:t>َّ</w:t>
      </w:r>
      <w:r w:rsidRPr="00904FCB">
        <w:rPr>
          <w:rFonts w:hint="cs"/>
          <w:sz w:val="27"/>
          <w:rtl/>
        </w:rPr>
        <w:t>ما (العقد الاجتماعي)</w:t>
      </w:r>
      <w:r w:rsidR="00416DBA" w:rsidRPr="00904FCB">
        <w:rPr>
          <w:rFonts w:hint="cs"/>
          <w:sz w:val="27"/>
          <w:rtl/>
        </w:rPr>
        <w:t>،</w:t>
      </w:r>
      <w:r w:rsidRPr="00904FCB">
        <w:rPr>
          <w:rFonts w:hint="cs"/>
          <w:sz w:val="27"/>
          <w:rtl/>
        </w:rPr>
        <w:t xml:space="preserve"> و(روح القوانين)</w:t>
      </w:r>
      <w:r w:rsidR="00416DBA" w:rsidRPr="00904FCB">
        <w:rPr>
          <w:rFonts w:hint="cs"/>
          <w:sz w:val="27"/>
          <w:rtl/>
        </w:rPr>
        <w:t>،</w:t>
      </w:r>
      <w:r w:rsidRPr="00904FCB">
        <w:rPr>
          <w:rFonts w:hint="cs"/>
          <w:sz w:val="27"/>
          <w:rtl/>
        </w:rPr>
        <w:t xml:space="preserve"> لـ مونتسكيو (</w:t>
      </w:r>
      <w:r w:rsidRPr="00904FCB">
        <w:rPr>
          <w:rFonts w:asciiTheme="majorBidi" w:hAnsiTheme="majorBidi" w:cstheme="majorBidi"/>
          <w:sz w:val="22"/>
          <w:szCs w:val="22"/>
        </w:rPr>
        <w:t>M</w:t>
      </w:r>
      <w:r w:rsidR="00416DBA" w:rsidRPr="00904FCB">
        <w:rPr>
          <w:rFonts w:asciiTheme="majorBidi" w:hAnsiTheme="majorBidi" w:cstheme="majorBidi"/>
          <w:sz w:val="22"/>
          <w:szCs w:val="22"/>
        </w:rPr>
        <w:t>ontesquieu</w:t>
      </w:r>
      <w:r w:rsidRPr="00904FCB">
        <w:rPr>
          <w:rFonts w:hint="cs"/>
          <w:sz w:val="27"/>
          <w:rtl/>
        </w:rPr>
        <w:t xml:space="preserve">). ويدخل في نفس السياق ما كتبه خير الدين التونسي </w:t>
      </w:r>
      <w:r w:rsidRPr="00904FCB">
        <w:rPr>
          <w:rFonts w:asciiTheme="majorBidi" w:hAnsiTheme="majorBidi"/>
          <w:sz w:val="27"/>
          <w:rtl/>
        </w:rPr>
        <w:t>(</w:t>
      </w:r>
      <w:r w:rsidRPr="00A80D94">
        <w:rPr>
          <w:rStyle w:val="st1"/>
          <w:rFonts w:asciiTheme="majorBidi" w:hAnsiTheme="majorBidi"/>
          <w:sz w:val="27"/>
          <w:rtl/>
          <w:lang w:bidi="ar-DZ"/>
        </w:rPr>
        <w:t>1820</w:t>
      </w:r>
      <w:r w:rsidRPr="00904FCB">
        <w:rPr>
          <w:rStyle w:val="st1"/>
          <w:rFonts w:asciiTheme="majorBidi" w:hAnsiTheme="majorBidi"/>
          <w:sz w:val="27"/>
          <w:rtl/>
          <w:lang w:bidi="ar-DZ"/>
        </w:rPr>
        <w:t xml:space="preserve"> ـ </w:t>
      </w:r>
      <w:r w:rsidRPr="00A80D94">
        <w:rPr>
          <w:rStyle w:val="st1"/>
          <w:rFonts w:asciiTheme="majorBidi" w:hAnsiTheme="majorBidi"/>
          <w:sz w:val="27"/>
          <w:rtl/>
          <w:lang w:bidi="ar-DZ"/>
        </w:rPr>
        <w:t>1889</w:t>
      </w:r>
      <w:r w:rsidRPr="00A80D94">
        <w:rPr>
          <w:rStyle w:val="st1"/>
          <w:rFonts w:asciiTheme="majorBidi" w:hAnsiTheme="majorBidi"/>
          <w:sz w:val="27"/>
          <w:rtl/>
        </w:rPr>
        <w:t>م</w:t>
      </w:r>
      <w:r w:rsidRPr="00904FCB">
        <w:rPr>
          <w:rFonts w:asciiTheme="majorBidi" w:hAnsiTheme="majorBidi"/>
          <w:sz w:val="27"/>
          <w:rtl/>
        </w:rPr>
        <w:t xml:space="preserve">)، </w:t>
      </w:r>
      <w:r w:rsidRPr="00904FCB">
        <w:rPr>
          <w:rFonts w:hint="cs"/>
          <w:sz w:val="27"/>
          <w:rtl/>
        </w:rPr>
        <w:t>في مؤل</w:t>
      </w:r>
      <w:r w:rsidR="00416DBA" w:rsidRPr="00904FCB">
        <w:rPr>
          <w:rFonts w:hint="cs"/>
          <w:sz w:val="27"/>
          <w:rtl/>
        </w:rPr>
        <w:t>َّ</w:t>
      </w:r>
      <w:r w:rsidRPr="00904FCB">
        <w:rPr>
          <w:rFonts w:hint="cs"/>
          <w:sz w:val="27"/>
          <w:rtl/>
        </w:rPr>
        <w:t xml:space="preserve">فه (أقوم المسالك في معرفة أحوال الممالك)، الصادر سنة </w:t>
      </w:r>
      <w:r w:rsidRPr="006333E0">
        <w:rPr>
          <w:rFonts w:cs="Ya-Ali" w:hint="cs"/>
          <w:sz w:val="27"/>
          <w:rtl/>
        </w:rPr>
        <w:t>1867</w:t>
      </w:r>
      <w:r w:rsidRPr="00904FCB">
        <w:rPr>
          <w:rFonts w:hint="cs"/>
          <w:sz w:val="27"/>
          <w:rtl/>
        </w:rPr>
        <w:t>. وما جاء أيضا</w:t>
      </w:r>
      <w:r w:rsidR="00416DBA" w:rsidRPr="00904FCB">
        <w:rPr>
          <w:rFonts w:hint="cs"/>
          <w:sz w:val="27"/>
          <w:rtl/>
        </w:rPr>
        <w:t>ً</w:t>
      </w:r>
      <w:r w:rsidRPr="00904FCB">
        <w:rPr>
          <w:rFonts w:hint="cs"/>
          <w:sz w:val="27"/>
          <w:rtl/>
        </w:rPr>
        <w:t xml:space="preserve"> في كتاب فارس الشدياق</w:t>
      </w:r>
      <w:r w:rsidR="00416DBA" w:rsidRPr="00904FCB">
        <w:rPr>
          <w:rFonts w:hint="cs"/>
          <w:sz w:val="27"/>
          <w:rtl/>
        </w:rPr>
        <w:t xml:space="preserve"> </w:t>
      </w:r>
      <w:r w:rsidRPr="00904FCB">
        <w:rPr>
          <w:rFonts w:asciiTheme="majorBidi" w:hAnsiTheme="majorBidi"/>
          <w:sz w:val="27"/>
          <w:rtl/>
        </w:rPr>
        <w:t>(</w:t>
      </w:r>
      <w:r w:rsidRPr="00A80D94">
        <w:rPr>
          <w:rStyle w:val="st1"/>
          <w:rFonts w:asciiTheme="majorBidi" w:hAnsiTheme="majorBidi"/>
          <w:sz w:val="27"/>
          <w:rtl/>
          <w:lang w:bidi="ar-DZ"/>
        </w:rPr>
        <w:t>1804</w:t>
      </w:r>
      <w:r w:rsidRPr="00904FCB">
        <w:rPr>
          <w:rStyle w:val="st1"/>
          <w:rFonts w:asciiTheme="majorBidi" w:hAnsiTheme="majorBidi"/>
          <w:sz w:val="27"/>
          <w:rtl/>
          <w:lang w:bidi="ar-DZ"/>
        </w:rPr>
        <w:t xml:space="preserve"> ـ </w:t>
      </w:r>
      <w:r w:rsidRPr="00A80D94">
        <w:rPr>
          <w:rStyle w:val="st1"/>
          <w:rFonts w:asciiTheme="majorBidi" w:hAnsiTheme="majorBidi"/>
          <w:sz w:val="27"/>
          <w:rtl/>
          <w:lang w:bidi="ar-DZ"/>
        </w:rPr>
        <w:t>1887</w:t>
      </w:r>
      <w:r w:rsidRPr="00A80D94">
        <w:rPr>
          <w:rStyle w:val="st1"/>
          <w:rFonts w:asciiTheme="majorBidi" w:hAnsiTheme="majorBidi"/>
          <w:sz w:val="27"/>
          <w:rtl/>
        </w:rPr>
        <w:t>م</w:t>
      </w:r>
      <w:r w:rsidRPr="00904FCB">
        <w:rPr>
          <w:rFonts w:hint="cs"/>
          <w:sz w:val="27"/>
          <w:rtl/>
        </w:rPr>
        <w:t>) (الواسطة في معرفة أحوال مالطة)</w:t>
      </w:r>
      <w:r w:rsidR="00416DBA" w:rsidRPr="00904FCB">
        <w:rPr>
          <w:rFonts w:hint="cs"/>
          <w:sz w:val="27"/>
          <w:rtl/>
        </w:rPr>
        <w:t>،</w:t>
      </w:r>
      <w:r w:rsidRPr="00904FCB">
        <w:rPr>
          <w:rFonts w:hint="cs"/>
          <w:sz w:val="27"/>
          <w:rtl/>
        </w:rPr>
        <w:t xml:space="preserve"> الصادر سنة </w:t>
      </w:r>
      <w:r w:rsidRPr="00A80D94">
        <w:rPr>
          <w:rFonts w:asciiTheme="majorBidi" w:hAnsiTheme="majorBidi"/>
          <w:sz w:val="27"/>
          <w:rtl/>
        </w:rPr>
        <w:t>1866</w:t>
      </w:r>
      <w:r w:rsidRPr="00904FCB">
        <w:rPr>
          <w:rFonts w:hint="cs"/>
          <w:sz w:val="27"/>
          <w:rtl/>
        </w:rPr>
        <w:t xml:space="preserve">. </w:t>
      </w:r>
    </w:p>
    <w:p w:rsidR="00625F5D" w:rsidRPr="00904FCB" w:rsidRDefault="00625F5D" w:rsidP="007A21AA">
      <w:pPr>
        <w:spacing w:line="400" w:lineRule="exact"/>
        <w:rPr>
          <w:sz w:val="27"/>
          <w:rtl/>
        </w:rPr>
      </w:pPr>
      <w:r w:rsidRPr="00904FCB">
        <w:rPr>
          <w:rFonts w:hint="cs"/>
          <w:sz w:val="27"/>
          <w:rtl/>
        </w:rPr>
        <w:t>ويبدو واضحا</w:t>
      </w:r>
      <w:r w:rsidR="00416DBA" w:rsidRPr="00904FCB">
        <w:rPr>
          <w:rFonts w:hint="cs"/>
          <w:sz w:val="27"/>
          <w:rtl/>
        </w:rPr>
        <w:t>ً</w:t>
      </w:r>
      <w:r w:rsidRPr="00904FCB">
        <w:rPr>
          <w:rFonts w:hint="cs"/>
          <w:sz w:val="27"/>
          <w:rtl/>
        </w:rPr>
        <w:t xml:space="preserve"> من الكتابات المذكورة مدى انبهار أصحابها بما شاهدوه </w:t>
      </w:r>
      <w:r w:rsidRPr="00904FCB">
        <w:rPr>
          <w:rFonts w:hint="cs"/>
          <w:sz w:val="27"/>
          <w:rtl/>
        </w:rPr>
        <w:lastRenderedPageBreak/>
        <w:t>ولاحظوه من مظاهر التقد</w:t>
      </w:r>
      <w:r w:rsidR="00416DBA" w:rsidRPr="00904FCB">
        <w:rPr>
          <w:rFonts w:hint="cs"/>
          <w:sz w:val="27"/>
          <w:rtl/>
        </w:rPr>
        <w:t>ُّ</w:t>
      </w:r>
      <w:r w:rsidRPr="00904FCB">
        <w:rPr>
          <w:rFonts w:hint="cs"/>
          <w:sz w:val="27"/>
          <w:rtl/>
        </w:rPr>
        <w:t>م في المجتمع الغربي، حيث أدركوا من خلال قراءاتهم أن تطور هذا المجتمع جاء بعد التخل</w:t>
      </w:r>
      <w:r w:rsidR="00416DBA" w:rsidRPr="00904FCB">
        <w:rPr>
          <w:rFonts w:hint="cs"/>
          <w:sz w:val="27"/>
          <w:rtl/>
        </w:rPr>
        <w:t>ُّ</w:t>
      </w:r>
      <w:r w:rsidRPr="00904FCB">
        <w:rPr>
          <w:rFonts w:hint="cs"/>
          <w:sz w:val="27"/>
          <w:rtl/>
        </w:rPr>
        <w:t>ص ممّا كان سائدا</w:t>
      </w:r>
      <w:r w:rsidR="00416DBA" w:rsidRPr="00904FCB">
        <w:rPr>
          <w:rFonts w:hint="cs"/>
          <w:sz w:val="27"/>
          <w:rtl/>
        </w:rPr>
        <w:t>ً</w:t>
      </w:r>
      <w:r w:rsidRPr="00904FCB">
        <w:rPr>
          <w:rFonts w:hint="cs"/>
          <w:sz w:val="27"/>
          <w:rtl/>
        </w:rPr>
        <w:t xml:space="preserve"> في أور</w:t>
      </w:r>
      <w:r w:rsidR="00416DBA" w:rsidRPr="00904FCB">
        <w:rPr>
          <w:rFonts w:hint="cs"/>
          <w:sz w:val="27"/>
          <w:rtl/>
        </w:rPr>
        <w:t>و</w:t>
      </w:r>
      <w:r w:rsidRPr="00904FCB">
        <w:rPr>
          <w:rFonts w:hint="cs"/>
          <w:sz w:val="27"/>
          <w:rtl/>
        </w:rPr>
        <w:t>با من أشكال الحكم الفردي المطلق، وما ات</w:t>
      </w:r>
      <w:r w:rsidR="00416DBA" w:rsidRPr="00904FCB">
        <w:rPr>
          <w:rFonts w:hint="cs"/>
          <w:sz w:val="27"/>
          <w:rtl/>
        </w:rPr>
        <w:t>َّ</w:t>
      </w:r>
      <w:r w:rsidRPr="00904FCB">
        <w:rPr>
          <w:rFonts w:hint="cs"/>
          <w:sz w:val="27"/>
          <w:rtl/>
        </w:rPr>
        <w:t>سمت به تلك الأنظمة من استبداد</w:t>
      </w:r>
      <w:r w:rsidR="00416DBA" w:rsidRPr="00904FCB">
        <w:rPr>
          <w:rFonts w:hint="cs"/>
          <w:sz w:val="27"/>
          <w:rtl/>
        </w:rPr>
        <w:t>ٍ</w:t>
      </w:r>
      <w:r w:rsidRPr="00904FCB">
        <w:rPr>
          <w:rFonts w:hint="cs"/>
          <w:sz w:val="27"/>
          <w:rtl/>
        </w:rPr>
        <w:t xml:space="preserve"> وقهر، وك</w:t>
      </w:r>
      <w:r w:rsidR="00416DBA" w:rsidRPr="00904FCB">
        <w:rPr>
          <w:rFonts w:hint="cs"/>
          <w:sz w:val="27"/>
          <w:rtl/>
        </w:rPr>
        <w:t>َ</w:t>
      </w:r>
      <w:r w:rsidRPr="00904FCB">
        <w:rPr>
          <w:rFonts w:hint="cs"/>
          <w:sz w:val="27"/>
          <w:rtl/>
        </w:rPr>
        <w:t>ب</w:t>
      </w:r>
      <w:r w:rsidR="00416DBA" w:rsidRPr="00904FCB">
        <w:rPr>
          <w:rFonts w:hint="cs"/>
          <w:sz w:val="27"/>
          <w:rtl/>
        </w:rPr>
        <w:t>ْ</w:t>
      </w:r>
      <w:r w:rsidRPr="00904FCB">
        <w:rPr>
          <w:rFonts w:hint="cs"/>
          <w:sz w:val="27"/>
          <w:rtl/>
        </w:rPr>
        <w:t>ت للحر</w:t>
      </w:r>
      <w:r w:rsidR="00416DBA" w:rsidRPr="00904FCB">
        <w:rPr>
          <w:rFonts w:hint="cs"/>
          <w:sz w:val="27"/>
          <w:rtl/>
        </w:rPr>
        <w:t>ّ</w:t>
      </w:r>
      <w:r w:rsidRPr="00904FCB">
        <w:rPr>
          <w:rFonts w:hint="cs"/>
          <w:sz w:val="27"/>
          <w:rtl/>
        </w:rPr>
        <w:t>يات، وإقصاء للطاقات المبدعة، ولذا انشغلوا بوضع الصيغ المناهضة للاستبداد والحكم المطلق، واستنتجوا بأن نهوض الأمة العربية والإسلامية يتوق</w:t>
      </w:r>
      <w:r w:rsidR="00EE3F23" w:rsidRPr="00904FCB">
        <w:rPr>
          <w:rFonts w:hint="cs"/>
          <w:sz w:val="27"/>
          <w:rtl/>
        </w:rPr>
        <w:t>ّ</w:t>
      </w:r>
      <w:r w:rsidRPr="00904FCB">
        <w:rPr>
          <w:rFonts w:hint="cs"/>
          <w:sz w:val="27"/>
          <w:rtl/>
        </w:rPr>
        <w:t>ف على الإصلاح السياسي، الذي يقوم على إطلاق الحر</w:t>
      </w:r>
      <w:r w:rsidR="00EE3F23" w:rsidRPr="00904FCB">
        <w:rPr>
          <w:rFonts w:hint="cs"/>
          <w:sz w:val="27"/>
          <w:rtl/>
        </w:rPr>
        <w:t>ّ</w:t>
      </w:r>
      <w:r w:rsidRPr="00904FCB">
        <w:rPr>
          <w:rFonts w:hint="cs"/>
          <w:sz w:val="27"/>
          <w:rtl/>
        </w:rPr>
        <w:t>يات كعنصر</w:t>
      </w:r>
      <w:r w:rsidR="00EE3F23" w:rsidRPr="00904FCB">
        <w:rPr>
          <w:rFonts w:hint="cs"/>
          <w:sz w:val="27"/>
          <w:rtl/>
        </w:rPr>
        <w:t>ٍ</w:t>
      </w:r>
      <w:r w:rsidRPr="00904FCB">
        <w:rPr>
          <w:rFonts w:hint="cs"/>
          <w:sz w:val="27"/>
          <w:rtl/>
        </w:rPr>
        <w:t xml:space="preserve"> أساس لتحقيق التطور الاقتصادي والعلمي، وإقامة المؤس</w:t>
      </w:r>
      <w:r w:rsidR="00EE3F23" w:rsidRPr="00904FCB">
        <w:rPr>
          <w:rFonts w:hint="cs"/>
          <w:sz w:val="27"/>
          <w:rtl/>
        </w:rPr>
        <w:t>ّ</w:t>
      </w:r>
      <w:r w:rsidRPr="00904FCB">
        <w:rPr>
          <w:rFonts w:hint="cs"/>
          <w:sz w:val="27"/>
          <w:rtl/>
        </w:rPr>
        <w:t xml:space="preserve">سات التمثيلية التي تلغي الاستبداد والتحكم الفردي، وتفتح المجال للمشاركة الشعبية. </w:t>
      </w:r>
    </w:p>
    <w:p w:rsidR="00625F5D" w:rsidRPr="00904FCB" w:rsidRDefault="00625F5D" w:rsidP="007A21AA">
      <w:pPr>
        <w:spacing w:line="400" w:lineRule="exact"/>
        <w:rPr>
          <w:sz w:val="27"/>
          <w:rtl/>
        </w:rPr>
      </w:pPr>
      <w:r w:rsidRPr="00904FCB">
        <w:rPr>
          <w:rFonts w:hint="cs"/>
          <w:sz w:val="27"/>
          <w:rtl/>
        </w:rPr>
        <w:t>ولم تقتصر تيارات الإصلاح على الدعوة إلى الاستفادة من التجارب الأور</w:t>
      </w:r>
      <w:r w:rsidR="00EE3F23" w:rsidRPr="00904FCB">
        <w:rPr>
          <w:rFonts w:hint="cs"/>
          <w:sz w:val="27"/>
          <w:rtl/>
        </w:rPr>
        <w:t>و</w:t>
      </w:r>
      <w:r w:rsidRPr="00904FCB">
        <w:rPr>
          <w:rFonts w:hint="cs"/>
          <w:sz w:val="27"/>
          <w:rtl/>
        </w:rPr>
        <w:t>بية، وإنما كانت هناك كتابات وتوج</w:t>
      </w:r>
      <w:r w:rsidR="00EE3F23" w:rsidRPr="00904FCB">
        <w:rPr>
          <w:rFonts w:hint="cs"/>
          <w:sz w:val="27"/>
          <w:rtl/>
        </w:rPr>
        <w:t>ّ</w:t>
      </w:r>
      <w:r w:rsidRPr="00904FCB">
        <w:rPr>
          <w:rFonts w:hint="cs"/>
          <w:sz w:val="27"/>
          <w:rtl/>
        </w:rPr>
        <w:t>هات فكرية تنطلق من تشخيص العوائق الذاتية، وتحد</w:t>
      </w:r>
      <w:r w:rsidR="00EE3F23" w:rsidRPr="00904FCB">
        <w:rPr>
          <w:rFonts w:hint="cs"/>
          <w:sz w:val="27"/>
          <w:rtl/>
        </w:rPr>
        <w:t>ّ</w:t>
      </w:r>
      <w:r w:rsidRPr="00904FCB">
        <w:rPr>
          <w:rFonts w:hint="cs"/>
          <w:sz w:val="27"/>
          <w:rtl/>
        </w:rPr>
        <w:t>د معالم الطريق</w:t>
      </w:r>
      <w:r w:rsidR="00EE3F23" w:rsidRPr="00904FCB">
        <w:rPr>
          <w:rFonts w:hint="cs"/>
          <w:sz w:val="27"/>
          <w:rtl/>
        </w:rPr>
        <w:t xml:space="preserve">؛ </w:t>
      </w:r>
      <w:r w:rsidRPr="00904FCB">
        <w:rPr>
          <w:rFonts w:hint="cs"/>
          <w:sz w:val="27"/>
          <w:rtl/>
        </w:rPr>
        <w:t>لتجاوزها</w:t>
      </w:r>
      <w:r w:rsidR="00EE3F23" w:rsidRPr="00904FCB">
        <w:rPr>
          <w:rFonts w:hint="cs"/>
          <w:sz w:val="27"/>
          <w:rtl/>
        </w:rPr>
        <w:t>.</w:t>
      </w:r>
      <w:r w:rsidRPr="00904FCB">
        <w:rPr>
          <w:rFonts w:hint="cs"/>
          <w:sz w:val="27"/>
          <w:rtl/>
        </w:rPr>
        <w:t xml:space="preserve"> ويتبي</w:t>
      </w:r>
      <w:r w:rsidR="00EE3F23" w:rsidRPr="00904FCB">
        <w:rPr>
          <w:rFonts w:hint="cs"/>
          <w:sz w:val="27"/>
          <w:rtl/>
        </w:rPr>
        <w:t>ّ</w:t>
      </w:r>
      <w:r w:rsidRPr="00904FCB">
        <w:rPr>
          <w:rFonts w:hint="cs"/>
          <w:sz w:val="27"/>
          <w:rtl/>
        </w:rPr>
        <w:t>ن ذلك من خلال أعمال العديد من المفك</w:t>
      </w:r>
      <w:r w:rsidR="00EE3F23" w:rsidRPr="00904FCB">
        <w:rPr>
          <w:rFonts w:hint="cs"/>
          <w:sz w:val="27"/>
          <w:rtl/>
        </w:rPr>
        <w:t>ِّ</w:t>
      </w:r>
      <w:r w:rsidRPr="00904FCB">
        <w:rPr>
          <w:rFonts w:hint="cs"/>
          <w:sz w:val="27"/>
          <w:rtl/>
        </w:rPr>
        <w:t>رين والمصلحين، أمثال</w:t>
      </w:r>
      <w:r w:rsidR="00EE3F23" w:rsidRPr="00904FCB">
        <w:rPr>
          <w:rFonts w:hint="cs"/>
          <w:sz w:val="27"/>
          <w:rtl/>
        </w:rPr>
        <w:t>:</w:t>
      </w:r>
      <w:r w:rsidRPr="00904FCB">
        <w:rPr>
          <w:rFonts w:hint="cs"/>
          <w:sz w:val="27"/>
          <w:rtl/>
        </w:rPr>
        <w:t xml:space="preserve"> جمال الدين الأفغاني </w:t>
      </w:r>
      <w:r w:rsidRPr="00904FCB">
        <w:rPr>
          <w:rFonts w:asciiTheme="majorBidi" w:hAnsiTheme="majorBidi"/>
          <w:sz w:val="27"/>
          <w:rtl/>
        </w:rPr>
        <w:t>(</w:t>
      </w:r>
      <w:r w:rsidRPr="00A80D94">
        <w:rPr>
          <w:rFonts w:asciiTheme="majorBidi" w:hAnsiTheme="majorBidi"/>
          <w:sz w:val="27"/>
          <w:rtl/>
        </w:rPr>
        <w:t>1838</w:t>
      </w:r>
      <w:r w:rsidRPr="00904FCB">
        <w:rPr>
          <w:rFonts w:asciiTheme="majorBidi" w:hAnsiTheme="majorBidi"/>
          <w:sz w:val="27"/>
          <w:rtl/>
        </w:rPr>
        <w:t xml:space="preserve"> ـ </w:t>
      </w:r>
      <w:r w:rsidRPr="00A80D94">
        <w:rPr>
          <w:rFonts w:asciiTheme="majorBidi" w:hAnsiTheme="majorBidi"/>
          <w:sz w:val="27"/>
          <w:rtl/>
        </w:rPr>
        <w:t>1897</w:t>
      </w:r>
      <w:r w:rsidRPr="00904FCB">
        <w:rPr>
          <w:rFonts w:hint="cs"/>
          <w:sz w:val="27"/>
          <w:rtl/>
        </w:rPr>
        <w:t>)، الذي دعا إلى تحرير الأمم الإسلامية من الاستعمار الأجنبي، وإقامة أنظمة دستورية</w:t>
      </w:r>
      <w:r w:rsidR="00EE3F23" w:rsidRPr="00904FCB">
        <w:rPr>
          <w:rFonts w:hint="cs"/>
          <w:sz w:val="27"/>
          <w:rtl/>
        </w:rPr>
        <w:t>؛</w:t>
      </w:r>
      <w:r w:rsidRPr="00904FCB">
        <w:rPr>
          <w:rFonts w:hint="cs"/>
          <w:sz w:val="27"/>
          <w:rtl/>
        </w:rPr>
        <w:t xml:space="preserve"> وكذلك محمد عبده </w:t>
      </w:r>
      <w:r w:rsidRPr="00904FCB">
        <w:rPr>
          <w:rFonts w:asciiTheme="majorBidi" w:hAnsiTheme="majorBidi"/>
          <w:sz w:val="27"/>
          <w:rtl/>
        </w:rPr>
        <w:t>(</w:t>
      </w:r>
      <w:r w:rsidRPr="00A80D94">
        <w:rPr>
          <w:rFonts w:asciiTheme="majorBidi" w:hAnsiTheme="majorBidi"/>
          <w:sz w:val="27"/>
          <w:rtl/>
        </w:rPr>
        <w:t>1845</w:t>
      </w:r>
      <w:r w:rsidRPr="00904FCB">
        <w:rPr>
          <w:rFonts w:asciiTheme="majorBidi" w:hAnsiTheme="majorBidi"/>
          <w:sz w:val="27"/>
          <w:rtl/>
        </w:rPr>
        <w:t xml:space="preserve"> ـ </w:t>
      </w:r>
      <w:r w:rsidRPr="00A80D94">
        <w:rPr>
          <w:rFonts w:asciiTheme="majorBidi" w:hAnsiTheme="majorBidi"/>
          <w:sz w:val="27"/>
          <w:rtl/>
        </w:rPr>
        <w:t>1905</w:t>
      </w:r>
      <w:r w:rsidRPr="00904FCB">
        <w:rPr>
          <w:rFonts w:hint="cs"/>
          <w:sz w:val="27"/>
          <w:rtl/>
        </w:rPr>
        <w:t>)، الذي دعا إلى تحرير الدين من الخرافات والجمود، كما دعا إلى حر</w:t>
      </w:r>
      <w:r w:rsidR="00EE3F23" w:rsidRPr="00904FCB">
        <w:rPr>
          <w:rFonts w:hint="cs"/>
          <w:sz w:val="27"/>
          <w:rtl/>
        </w:rPr>
        <w:t>ّ</w:t>
      </w:r>
      <w:r w:rsidRPr="00904FCB">
        <w:rPr>
          <w:rFonts w:hint="cs"/>
          <w:sz w:val="27"/>
          <w:rtl/>
        </w:rPr>
        <w:t>ية الاجتهاد، واحترام حقوق الشعوب، وتخليصها من طغيان الحك</w:t>
      </w:r>
      <w:r w:rsidR="002E4825">
        <w:rPr>
          <w:rFonts w:hint="cs"/>
          <w:sz w:val="27"/>
          <w:rtl/>
        </w:rPr>
        <w:t>ّ</w:t>
      </w:r>
      <w:r w:rsidRPr="00904FCB">
        <w:rPr>
          <w:rFonts w:hint="cs"/>
          <w:sz w:val="27"/>
          <w:rtl/>
        </w:rPr>
        <w:t>ام</w:t>
      </w:r>
      <w:r w:rsidRPr="00904FCB">
        <w:rPr>
          <w:sz w:val="27"/>
          <w:vertAlign w:val="superscript"/>
          <w:rtl/>
        </w:rPr>
        <w:t>(</w:t>
      </w:r>
      <w:r w:rsidRPr="00904FCB">
        <w:rPr>
          <w:rStyle w:val="ac"/>
          <w:sz w:val="27"/>
          <w:rtl/>
        </w:rPr>
        <w:endnoteReference w:id="493"/>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rPr>
      </w:pPr>
    </w:p>
    <w:p w:rsidR="00625F5D" w:rsidRPr="00904FCB" w:rsidRDefault="00625F5D" w:rsidP="007A21AA">
      <w:pPr>
        <w:pStyle w:val="31"/>
        <w:spacing w:line="400" w:lineRule="exact"/>
        <w:rPr>
          <w:color w:val="auto"/>
          <w:rtl/>
        </w:rPr>
      </w:pPr>
      <w:r w:rsidRPr="00904FCB">
        <w:rPr>
          <w:rFonts w:hint="cs"/>
          <w:color w:val="auto"/>
          <w:rtl/>
        </w:rPr>
        <w:t>رابعاً: معو</w:t>
      </w:r>
      <w:r w:rsidR="00EE3F23" w:rsidRPr="00904FCB">
        <w:rPr>
          <w:rFonts w:hint="cs"/>
          <w:color w:val="auto"/>
          <w:rtl/>
        </w:rPr>
        <w:t>ّ</w:t>
      </w:r>
      <w:r w:rsidRPr="00904FCB">
        <w:rPr>
          <w:rFonts w:hint="cs"/>
          <w:color w:val="auto"/>
          <w:rtl/>
        </w:rPr>
        <w:t xml:space="preserve">قات التحديث في العالم العربي والإسلامي </w:t>
      </w:r>
    </w:p>
    <w:p w:rsidR="00625F5D" w:rsidRPr="00904FCB" w:rsidRDefault="00625F5D" w:rsidP="007A21AA">
      <w:pPr>
        <w:spacing w:line="400" w:lineRule="exact"/>
        <w:rPr>
          <w:rtl/>
        </w:rPr>
      </w:pPr>
      <w:r w:rsidRPr="00904FCB">
        <w:rPr>
          <w:rFonts w:hint="cs"/>
          <w:rtl/>
        </w:rPr>
        <w:t>لماذا لم تنجح دعوات النهضة في الوطن العربي؟ ولماذا يستمر التعث</w:t>
      </w:r>
      <w:r w:rsidR="00EE3F23" w:rsidRPr="00904FCB">
        <w:rPr>
          <w:rFonts w:hint="cs"/>
          <w:rtl/>
        </w:rPr>
        <w:t>ُّ</w:t>
      </w:r>
      <w:r w:rsidRPr="00904FCB">
        <w:rPr>
          <w:rFonts w:hint="cs"/>
          <w:rtl/>
        </w:rPr>
        <w:t>ر في تحقيق ما تطمح إليه أمتنا من نهضة وتقد</w:t>
      </w:r>
      <w:r w:rsidR="00EE3F23" w:rsidRPr="00904FCB">
        <w:rPr>
          <w:rFonts w:hint="cs"/>
          <w:rtl/>
        </w:rPr>
        <w:t>ُّ</w:t>
      </w:r>
      <w:r w:rsidRPr="00904FCB">
        <w:rPr>
          <w:rFonts w:hint="cs"/>
          <w:rtl/>
        </w:rPr>
        <w:t>م؟ ولماذا يبقى هذا العالم مجر</w:t>
      </w:r>
      <w:r w:rsidR="00EE3F23" w:rsidRPr="00904FCB">
        <w:rPr>
          <w:rFonts w:hint="cs"/>
          <w:rtl/>
        </w:rPr>
        <w:t>ّ</w:t>
      </w:r>
      <w:r w:rsidRPr="00904FCB">
        <w:rPr>
          <w:rFonts w:hint="cs"/>
          <w:rtl/>
        </w:rPr>
        <w:t>د مستهلك لما ينتجه الغرب من وسائل الحياة العصرية، رغم توف</w:t>
      </w:r>
      <w:r w:rsidR="00EE3F23" w:rsidRPr="00904FCB">
        <w:rPr>
          <w:rFonts w:hint="cs"/>
          <w:rtl/>
        </w:rPr>
        <w:t>ُّ</w:t>
      </w:r>
      <w:r w:rsidRPr="00904FCB">
        <w:rPr>
          <w:rFonts w:hint="cs"/>
          <w:rtl/>
        </w:rPr>
        <w:t>ره على ثروات طبيعية هائلة، وطاقات بشرية خلا</w:t>
      </w:r>
      <w:r w:rsidR="00EE3F23" w:rsidRPr="00904FCB">
        <w:rPr>
          <w:rFonts w:hint="cs"/>
          <w:rtl/>
        </w:rPr>
        <w:t>ّ</w:t>
      </w:r>
      <w:r w:rsidRPr="00904FCB">
        <w:rPr>
          <w:rFonts w:hint="cs"/>
          <w:rtl/>
        </w:rPr>
        <w:t>قة، وموقع استراتيجي هام</w:t>
      </w:r>
      <w:r w:rsidR="00EE3F23" w:rsidRPr="00904FCB">
        <w:rPr>
          <w:rFonts w:hint="cs"/>
          <w:rtl/>
        </w:rPr>
        <w:t>ّ</w:t>
      </w:r>
      <w:r w:rsidRPr="00904FCB">
        <w:rPr>
          <w:rFonts w:hint="cs"/>
          <w:rtl/>
        </w:rPr>
        <w:t>، ورغم امتلاكه لعد</w:t>
      </w:r>
      <w:r w:rsidR="00EE3F23" w:rsidRPr="00904FCB">
        <w:rPr>
          <w:rFonts w:hint="cs"/>
          <w:rtl/>
        </w:rPr>
        <w:t>ّ</w:t>
      </w:r>
      <w:r w:rsidRPr="00904FCB">
        <w:rPr>
          <w:rFonts w:hint="cs"/>
          <w:rtl/>
        </w:rPr>
        <w:t>ة مؤه</w:t>
      </w:r>
      <w:r w:rsidR="00EE3F23" w:rsidRPr="00904FCB">
        <w:rPr>
          <w:rFonts w:hint="cs"/>
          <w:rtl/>
        </w:rPr>
        <w:t>ّ</w:t>
      </w:r>
      <w:r w:rsidRPr="00904FCB">
        <w:rPr>
          <w:rFonts w:hint="cs"/>
          <w:rtl/>
        </w:rPr>
        <w:t xml:space="preserve">لات ثقافية وحضارية عريقة؟ </w:t>
      </w:r>
    </w:p>
    <w:p w:rsidR="00625F5D" w:rsidRPr="00904FCB" w:rsidRDefault="00625F5D" w:rsidP="007A21AA">
      <w:pPr>
        <w:spacing w:line="400" w:lineRule="exact"/>
        <w:rPr>
          <w:rtl/>
        </w:rPr>
      </w:pPr>
      <w:r w:rsidRPr="00904FCB">
        <w:rPr>
          <w:rFonts w:hint="cs"/>
          <w:rtl/>
        </w:rPr>
        <w:t>إنها تساؤلات طالما طرحت بإلحاح من طرف العديد من المثق</w:t>
      </w:r>
      <w:r w:rsidR="00EE3F23" w:rsidRPr="00904FCB">
        <w:rPr>
          <w:rFonts w:hint="cs"/>
          <w:rtl/>
        </w:rPr>
        <w:t>َّ</w:t>
      </w:r>
      <w:r w:rsidRPr="00904FCB">
        <w:rPr>
          <w:rFonts w:hint="cs"/>
          <w:rtl/>
        </w:rPr>
        <w:t>فين المتنو</w:t>
      </w:r>
      <w:r w:rsidR="00EE3F23" w:rsidRPr="00904FCB">
        <w:rPr>
          <w:rFonts w:hint="cs"/>
          <w:rtl/>
        </w:rPr>
        <w:t>ِّ</w:t>
      </w:r>
      <w:r w:rsidRPr="00904FCB">
        <w:rPr>
          <w:rFonts w:hint="cs"/>
          <w:rtl/>
        </w:rPr>
        <w:t>رين</w:t>
      </w:r>
      <w:r w:rsidR="00EE3F23" w:rsidRPr="00904FCB">
        <w:rPr>
          <w:rFonts w:hint="cs"/>
          <w:rtl/>
        </w:rPr>
        <w:t>،</w:t>
      </w:r>
      <w:r w:rsidRPr="00904FCB">
        <w:rPr>
          <w:rFonts w:hint="cs"/>
          <w:rtl/>
        </w:rPr>
        <w:t xml:space="preserve"> لكن الأوضاع ما زالت على حالها. وفي حين تتقو</w:t>
      </w:r>
      <w:r w:rsidR="00EE3F23" w:rsidRPr="00904FCB">
        <w:rPr>
          <w:rFonts w:hint="cs"/>
          <w:rtl/>
        </w:rPr>
        <w:t>ّ</w:t>
      </w:r>
      <w:r w:rsidRPr="00904FCB">
        <w:rPr>
          <w:rFonts w:hint="cs"/>
          <w:rtl/>
        </w:rPr>
        <w:t xml:space="preserve">ى التكتلات السياسية والاقتصادية في العالم الغربي يزداد التنافر والتفكك في الجسم العربي والإسلامي، ويرجع ذلك لعوامل كثيرة متداخلة ومعقدة، </w:t>
      </w:r>
      <w:r w:rsidR="00EE3F23" w:rsidRPr="00904FCB">
        <w:rPr>
          <w:rFonts w:hint="cs"/>
          <w:rtl/>
        </w:rPr>
        <w:t>و</w:t>
      </w:r>
      <w:r w:rsidRPr="00904FCB">
        <w:rPr>
          <w:rFonts w:hint="cs"/>
          <w:rtl/>
        </w:rPr>
        <w:t xml:space="preserve">منها: </w:t>
      </w:r>
    </w:p>
    <w:p w:rsidR="00625F5D" w:rsidRPr="00904FCB" w:rsidRDefault="00625F5D" w:rsidP="007A21AA">
      <w:pPr>
        <w:spacing w:line="400" w:lineRule="exact"/>
        <w:rPr>
          <w:rtl/>
        </w:rPr>
      </w:pPr>
      <w:r w:rsidRPr="00A80D94">
        <w:rPr>
          <w:rFonts w:hint="cs"/>
          <w:rtl/>
        </w:rPr>
        <w:lastRenderedPageBreak/>
        <w:t>1ـ</w:t>
      </w:r>
      <w:r w:rsidRPr="00904FCB">
        <w:rPr>
          <w:rFonts w:hint="cs"/>
          <w:rtl/>
        </w:rPr>
        <w:t xml:space="preserve"> مخل</w:t>
      </w:r>
      <w:r w:rsidR="00EE3F23" w:rsidRPr="00904FCB">
        <w:rPr>
          <w:rFonts w:hint="cs"/>
          <w:rtl/>
        </w:rPr>
        <w:t>ّ</w:t>
      </w:r>
      <w:r w:rsidRPr="00904FCB">
        <w:rPr>
          <w:rFonts w:hint="cs"/>
          <w:rtl/>
        </w:rPr>
        <w:t>فات الاستعمار القديم</w:t>
      </w:r>
      <w:r w:rsidR="00EE3F23" w:rsidRPr="00904FCB">
        <w:rPr>
          <w:rFonts w:hint="cs"/>
          <w:rtl/>
        </w:rPr>
        <w:t xml:space="preserve">، </w:t>
      </w:r>
      <w:r w:rsidRPr="00904FCB">
        <w:rPr>
          <w:rFonts w:hint="cs"/>
          <w:rtl/>
        </w:rPr>
        <w:t>الذي خلّف بذور الت</w:t>
      </w:r>
      <w:r w:rsidR="00EE3F23" w:rsidRPr="00904FCB">
        <w:rPr>
          <w:rFonts w:hint="cs"/>
          <w:rtl/>
        </w:rPr>
        <w:t>َّ</w:t>
      </w:r>
      <w:r w:rsidRPr="00904FCB">
        <w:rPr>
          <w:rFonts w:hint="cs"/>
          <w:rtl/>
        </w:rPr>
        <w:t>ب</w:t>
      </w:r>
      <w:r w:rsidR="00EE3F23" w:rsidRPr="00904FCB">
        <w:rPr>
          <w:rFonts w:hint="cs"/>
          <w:rtl/>
        </w:rPr>
        <w:t>َ</w:t>
      </w:r>
      <w:r w:rsidRPr="00904FCB">
        <w:rPr>
          <w:rFonts w:hint="cs"/>
          <w:rtl/>
        </w:rPr>
        <w:t xml:space="preserve">عية السياسية والاقتصادية، والاستلاب الثقافي والحضاري. </w:t>
      </w:r>
    </w:p>
    <w:p w:rsidR="00625F5D" w:rsidRPr="00904FCB" w:rsidRDefault="00625F5D" w:rsidP="007A21AA">
      <w:pPr>
        <w:spacing w:line="400" w:lineRule="exact"/>
        <w:rPr>
          <w:rtl/>
        </w:rPr>
      </w:pPr>
      <w:r w:rsidRPr="00A80D94">
        <w:rPr>
          <w:rFonts w:hint="cs"/>
          <w:rtl/>
        </w:rPr>
        <w:t>2ـ</w:t>
      </w:r>
      <w:r w:rsidRPr="00904FCB">
        <w:rPr>
          <w:rFonts w:hint="cs"/>
          <w:rtl/>
        </w:rPr>
        <w:t xml:space="preserve"> حالة الضعف والتخاذل في مواجهة الكيان الصهيوني المزروع في أرض فلسطين العربية من طرف الولايات المت</w:t>
      </w:r>
      <w:r w:rsidR="00EE3F23" w:rsidRPr="00904FCB">
        <w:rPr>
          <w:rFonts w:hint="cs"/>
          <w:rtl/>
        </w:rPr>
        <w:t>َّ</w:t>
      </w:r>
      <w:r w:rsidRPr="00904FCB">
        <w:rPr>
          <w:rFonts w:hint="cs"/>
          <w:rtl/>
        </w:rPr>
        <w:t>حدة الأمريكية</w:t>
      </w:r>
      <w:r w:rsidR="00EE3F23" w:rsidRPr="00904FCB">
        <w:rPr>
          <w:rFonts w:hint="cs"/>
          <w:rtl/>
        </w:rPr>
        <w:t>،</w:t>
      </w:r>
      <w:r w:rsidRPr="00904FCB">
        <w:rPr>
          <w:rFonts w:hint="cs"/>
          <w:rtl/>
        </w:rPr>
        <w:t xml:space="preserve"> التي أضحت تمث</w:t>
      </w:r>
      <w:r w:rsidR="00EE3F23" w:rsidRPr="00904FCB">
        <w:rPr>
          <w:rFonts w:hint="cs"/>
          <w:rtl/>
        </w:rPr>
        <w:t>ِّ</w:t>
      </w:r>
      <w:r w:rsidRPr="00904FCB">
        <w:rPr>
          <w:rFonts w:hint="cs"/>
          <w:rtl/>
        </w:rPr>
        <w:t xml:space="preserve">ل القطب الأقوى الوحيد في النظام العالمي الجديد. </w:t>
      </w:r>
    </w:p>
    <w:p w:rsidR="00625F5D" w:rsidRPr="00904FCB" w:rsidRDefault="00625F5D" w:rsidP="007A21AA">
      <w:pPr>
        <w:spacing w:line="400" w:lineRule="exact"/>
        <w:rPr>
          <w:rtl/>
        </w:rPr>
      </w:pPr>
      <w:r w:rsidRPr="00A80D94">
        <w:rPr>
          <w:rFonts w:hint="cs"/>
          <w:rtl/>
        </w:rPr>
        <w:t>3ـ</w:t>
      </w:r>
      <w:r w:rsidRPr="00904FCB">
        <w:rPr>
          <w:rFonts w:hint="cs"/>
          <w:rtl/>
        </w:rPr>
        <w:t xml:space="preserve"> طبيعة الأنظمة السياسية في العالم العربي والإسلامي، والتي تستند إما على القبلية والعشائرية</w:t>
      </w:r>
      <w:r w:rsidR="00EE3F23" w:rsidRPr="00904FCB">
        <w:rPr>
          <w:rFonts w:hint="cs"/>
          <w:rtl/>
        </w:rPr>
        <w:t>؛</w:t>
      </w:r>
      <w:r w:rsidRPr="00904FCB">
        <w:rPr>
          <w:rFonts w:hint="cs"/>
          <w:rtl/>
        </w:rPr>
        <w:t xml:space="preserve"> أو على خصوصيات تشترك جميعها في تغييب الديمقراطية</w:t>
      </w:r>
      <w:r w:rsidR="00EE3F23" w:rsidRPr="00904FCB">
        <w:rPr>
          <w:rFonts w:hint="cs"/>
          <w:rtl/>
        </w:rPr>
        <w:t>،</w:t>
      </w:r>
      <w:r w:rsidRPr="00904FCB">
        <w:rPr>
          <w:rFonts w:hint="cs"/>
          <w:rtl/>
        </w:rPr>
        <w:t xml:space="preserve"> وتهميش إرادة الشعوب. </w:t>
      </w:r>
    </w:p>
    <w:p w:rsidR="00625F5D" w:rsidRPr="00904FCB" w:rsidRDefault="00625F5D" w:rsidP="007A21AA">
      <w:pPr>
        <w:spacing w:line="400" w:lineRule="exact"/>
        <w:rPr>
          <w:rtl/>
        </w:rPr>
      </w:pPr>
      <w:r w:rsidRPr="00A80D94">
        <w:rPr>
          <w:rFonts w:hint="cs"/>
          <w:rtl/>
        </w:rPr>
        <w:t>4ـ</w:t>
      </w:r>
      <w:r w:rsidRPr="00904FCB">
        <w:rPr>
          <w:rFonts w:hint="cs"/>
          <w:rtl/>
        </w:rPr>
        <w:t xml:space="preserve"> تمس</w:t>
      </w:r>
      <w:r w:rsidR="00EE3F23" w:rsidRPr="00904FCB">
        <w:rPr>
          <w:rFonts w:hint="cs"/>
          <w:rtl/>
        </w:rPr>
        <w:t>ّ</w:t>
      </w:r>
      <w:r w:rsidRPr="00904FCB">
        <w:rPr>
          <w:rFonts w:hint="cs"/>
          <w:rtl/>
        </w:rPr>
        <w:t>ك معظم الحك</w:t>
      </w:r>
      <w:r w:rsidR="00EE3F23" w:rsidRPr="00904FCB">
        <w:rPr>
          <w:rFonts w:hint="cs"/>
          <w:rtl/>
        </w:rPr>
        <w:t>ّ</w:t>
      </w:r>
      <w:r w:rsidRPr="00904FCB">
        <w:rPr>
          <w:rFonts w:hint="cs"/>
          <w:rtl/>
        </w:rPr>
        <w:t xml:space="preserve">ام وذوي النفوذ بالتقاليد، وكبحهم لمحاولات التغيير الحقيقي في اتجاه التحديث، رغم انخراط بعضهم في ترديد شعارات الحداثة والديمقراطية وحقوق الإنسان. </w:t>
      </w:r>
    </w:p>
    <w:p w:rsidR="00625F5D" w:rsidRPr="00904FCB" w:rsidRDefault="00625F5D" w:rsidP="007A21AA">
      <w:pPr>
        <w:spacing w:line="400" w:lineRule="exact"/>
        <w:rPr>
          <w:rtl/>
        </w:rPr>
      </w:pPr>
      <w:r w:rsidRPr="00904FCB">
        <w:rPr>
          <w:rFonts w:hint="cs"/>
          <w:rtl/>
        </w:rPr>
        <w:t>إن التحديث لا يتم</w:t>
      </w:r>
      <w:r w:rsidR="00EE3F23" w:rsidRPr="00904FCB">
        <w:rPr>
          <w:rFonts w:hint="cs"/>
          <w:rtl/>
        </w:rPr>
        <w:t>ّ</w:t>
      </w:r>
      <w:r w:rsidRPr="00904FCB">
        <w:rPr>
          <w:rFonts w:hint="cs"/>
          <w:rtl/>
        </w:rPr>
        <w:t xml:space="preserve"> على الإطلاق باستنساخ صورة الحداثة الغربية</w:t>
      </w:r>
      <w:r w:rsidR="00EE3F23" w:rsidRPr="00904FCB">
        <w:rPr>
          <w:rFonts w:hint="cs"/>
          <w:rtl/>
        </w:rPr>
        <w:t>،</w:t>
      </w:r>
      <w:r w:rsidRPr="00904FCB">
        <w:rPr>
          <w:rFonts w:hint="cs"/>
          <w:rtl/>
        </w:rPr>
        <w:t xml:space="preserve"> أو الاندماج الأعمى في نموذجها</w:t>
      </w:r>
      <w:r w:rsidR="00EE3F23" w:rsidRPr="00904FCB">
        <w:rPr>
          <w:rFonts w:hint="cs"/>
          <w:rtl/>
        </w:rPr>
        <w:t>؛</w:t>
      </w:r>
      <w:r w:rsidRPr="00904FCB">
        <w:rPr>
          <w:rFonts w:hint="cs"/>
          <w:rtl/>
        </w:rPr>
        <w:t xml:space="preserve"> لأن التطو</w:t>
      </w:r>
      <w:r w:rsidR="00EE3F23" w:rsidRPr="00904FCB">
        <w:rPr>
          <w:rFonts w:hint="cs"/>
          <w:rtl/>
        </w:rPr>
        <w:t>ُّ</w:t>
      </w:r>
      <w:r w:rsidRPr="00904FCB">
        <w:rPr>
          <w:rFonts w:hint="cs"/>
          <w:rtl/>
        </w:rPr>
        <w:t>ر الهائل الذي حق</w:t>
      </w:r>
      <w:r w:rsidR="00EE3F23" w:rsidRPr="00904FCB">
        <w:rPr>
          <w:rFonts w:hint="cs"/>
          <w:rtl/>
        </w:rPr>
        <w:t>َّ</w:t>
      </w:r>
      <w:r w:rsidRPr="00904FCB">
        <w:rPr>
          <w:rFonts w:hint="cs"/>
          <w:rtl/>
        </w:rPr>
        <w:t>قه الغرب لا يعني أن كل</w:t>
      </w:r>
      <w:r w:rsidR="00EE3F23" w:rsidRPr="00904FCB">
        <w:rPr>
          <w:rFonts w:hint="cs"/>
          <w:rtl/>
        </w:rPr>
        <w:t>ّ</w:t>
      </w:r>
      <w:r w:rsidRPr="00904FCB">
        <w:rPr>
          <w:rFonts w:hint="cs"/>
          <w:rtl/>
        </w:rPr>
        <w:t xml:space="preserve"> مبتكراته إيجابية. كما أن الانصهار في الآخر سيكون على حساب الذات بما تختزنه من طاقات، وما تمتلكه من مميزات. وفي هذا الشأن يقول الأستاذ طه عبد الرحمن: </w:t>
      </w:r>
      <w:r w:rsidRPr="00904FCB">
        <w:rPr>
          <w:rFonts w:hint="eastAsia"/>
          <w:rtl/>
        </w:rPr>
        <w:t>«</w:t>
      </w:r>
      <w:r w:rsidRPr="00904FCB">
        <w:rPr>
          <w:rFonts w:hint="cs"/>
          <w:rtl/>
        </w:rPr>
        <w:t>إن الحداثة ليست هي تقليد الغير في قوله وفعله، وإنما الإتيان بما يضاهي ما عند الغير إنتاجا</w:t>
      </w:r>
      <w:r w:rsidR="00EE3F23" w:rsidRPr="00904FCB">
        <w:rPr>
          <w:rFonts w:hint="cs"/>
          <w:rtl/>
        </w:rPr>
        <w:t>ً</w:t>
      </w:r>
      <w:r w:rsidRPr="00904FCB">
        <w:rPr>
          <w:rFonts w:hint="cs"/>
          <w:rtl/>
        </w:rPr>
        <w:t xml:space="preserve"> وإبداعا</w:t>
      </w:r>
      <w:r w:rsidR="00EE3F23" w:rsidRPr="00904FCB">
        <w:rPr>
          <w:rFonts w:hint="cs"/>
          <w:rtl/>
        </w:rPr>
        <w:t>ً</w:t>
      </w:r>
      <w:r w:rsidRPr="00904FCB">
        <w:rPr>
          <w:rFonts w:hint="eastAsia"/>
          <w:rtl/>
        </w:rPr>
        <w:t>»</w:t>
      </w:r>
      <w:r w:rsidRPr="00904FCB">
        <w:rPr>
          <w:vertAlign w:val="superscript"/>
          <w:rtl/>
        </w:rPr>
        <w:t>(</w:t>
      </w:r>
      <w:r w:rsidRPr="00904FCB">
        <w:rPr>
          <w:rStyle w:val="ac"/>
          <w:sz w:val="27"/>
          <w:rtl/>
        </w:rPr>
        <w:endnoteReference w:id="494"/>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كما أن التحديث لا يتحق</w:t>
      </w:r>
      <w:r w:rsidR="00EE3F23" w:rsidRPr="00904FCB">
        <w:rPr>
          <w:rFonts w:hint="cs"/>
          <w:rtl/>
        </w:rPr>
        <w:t>َّ</w:t>
      </w:r>
      <w:r w:rsidRPr="00904FCB">
        <w:rPr>
          <w:rFonts w:hint="cs"/>
          <w:rtl/>
        </w:rPr>
        <w:t>ق بالانغلاق على الذات بدعوى الخصوصية</w:t>
      </w:r>
      <w:r w:rsidR="00EE3F23" w:rsidRPr="00904FCB">
        <w:rPr>
          <w:rFonts w:hint="cs"/>
          <w:rtl/>
        </w:rPr>
        <w:t>؛</w:t>
      </w:r>
      <w:r w:rsidRPr="00904FCB">
        <w:rPr>
          <w:rFonts w:hint="cs"/>
          <w:rtl/>
        </w:rPr>
        <w:t xml:space="preserve"> لأن التمس</w:t>
      </w:r>
      <w:r w:rsidR="00EE3F23" w:rsidRPr="00904FCB">
        <w:rPr>
          <w:rFonts w:hint="cs"/>
          <w:rtl/>
        </w:rPr>
        <w:t>ُّ</w:t>
      </w:r>
      <w:r w:rsidRPr="00904FCB">
        <w:rPr>
          <w:rFonts w:hint="cs"/>
          <w:rtl/>
        </w:rPr>
        <w:t>ك بالأصول ومقوّ</w:t>
      </w:r>
      <w:r w:rsidR="00EE3F23" w:rsidRPr="00904FCB">
        <w:rPr>
          <w:rFonts w:hint="cs"/>
          <w:rtl/>
        </w:rPr>
        <w:t>ِ</w:t>
      </w:r>
      <w:r w:rsidRPr="00904FCB">
        <w:rPr>
          <w:rFonts w:hint="cs"/>
          <w:rtl/>
        </w:rPr>
        <w:t>مات الوجود لا يتعارض مع الاستفادة من الأفكار والابتكارات والإبداعات التي ينتجها عقل الإنسان في كل</w:t>
      </w:r>
      <w:r w:rsidR="00EE3F23" w:rsidRPr="00904FCB">
        <w:rPr>
          <w:rFonts w:hint="cs"/>
          <w:rtl/>
        </w:rPr>
        <w:t>ّ</w:t>
      </w:r>
      <w:r w:rsidRPr="00904FCB">
        <w:rPr>
          <w:rFonts w:hint="cs"/>
          <w:rtl/>
        </w:rPr>
        <w:t xml:space="preserve"> مكان</w:t>
      </w:r>
      <w:r w:rsidR="00EE3F23" w:rsidRPr="00904FCB">
        <w:rPr>
          <w:rFonts w:hint="cs"/>
          <w:rtl/>
        </w:rPr>
        <w:t>ٍ</w:t>
      </w:r>
      <w:r w:rsidRPr="00904FCB">
        <w:rPr>
          <w:rFonts w:hint="cs"/>
          <w:rtl/>
        </w:rPr>
        <w:t xml:space="preserve"> من العالم. وقد علّمنا التاريخ أن تلاقح الثقافات والحضارات يحق</w:t>
      </w:r>
      <w:r w:rsidR="00EE3F23" w:rsidRPr="00904FCB">
        <w:rPr>
          <w:rFonts w:hint="cs"/>
          <w:rtl/>
        </w:rPr>
        <w:t>ِّ</w:t>
      </w:r>
      <w:r w:rsidRPr="00904FCB">
        <w:rPr>
          <w:rFonts w:hint="cs"/>
          <w:rtl/>
        </w:rPr>
        <w:t>ق نتائج إيجابية في المجتمعات المختلفة</w:t>
      </w:r>
      <w:r w:rsidR="00EE3F23" w:rsidRPr="00904FCB">
        <w:rPr>
          <w:rFonts w:hint="cs"/>
          <w:rtl/>
        </w:rPr>
        <w:t>.</w:t>
      </w:r>
      <w:r w:rsidRPr="00904FCB">
        <w:rPr>
          <w:rFonts w:hint="cs"/>
          <w:rtl/>
        </w:rPr>
        <w:t xml:space="preserve"> وخير</w:t>
      </w:r>
      <w:r w:rsidR="00EE3F23" w:rsidRPr="00904FCB">
        <w:rPr>
          <w:rFonts w:hint="cs"/>
          <w:rtl/>
        </w:rPr>
        <w:t>ُ</w:t>
      </w:r>
      <w:r w:rsidRPr="00904FCB">
        <w:rPr>
          <w:rFonts w:hint="cs"/>
          <w:rtl/>
        </w:rPr>
        <w:t xml:space="preserve"> مثال</w:t>
      </w:r>
      <w:r w:rsidR="00EE3F23" w:rsidRPr="00904FCB">
        <w:rPr>
          <w:rFonts w:hint="cs"/>
          <w:rtl/>
        </w:rPr>
        <w:t>ٍ</w:t>
      </w:r>
      <w:r w:rsidRPr="00904FCB">
        <w:rPr>
          <w:rFonts w:hint="cs"/>
          <w:rtl/>
        </w:rPr>
        <w:t xml:space="preserve"> على هذا استفادة</w:t>
      </w:r>
      <w:r w:rsidR="00EE3F23" w:rsidRPr="00904FCB">
        <w:rPr>
          <w:rFonts w:hint="cs"/>
          <w:rtl/>
        </w:rPr>
        <w:t>ُ</w:t>
      </w:r>
      <w:r w:rsidRPr="00904FCB">
        <w:rPr>
          <w:rFonts w:hint="cs"/>
          <w:rtl/>
        </w:rPr>
        <w:t xml:space="preserve"> الغرب مما أنتج</w:t>
      </w:r>
      <w:r w:rsidR="002E4825">
        <w:rPr>
          <w:rFonts w:hint="cs"/>
          <w:rtl/>
        </w:rPr>
        <w:t>َ</w:t>
      </w:r>
      <w:r w:rsidRPr="00904FCB">
        <w:rPr>
          <w:rFonts w:hint="cs"/>
          <w:rtl/>
        </w:rPr>
        <w:t>ت</w:t>
      </w:r>
      <w:r w:rsidR="002E4825">
        <w:rPr>
          <w:rFonts w:hint="cs"/>
          <w:rtl/>
        </w:rPr>
        <w:t>ْ</w:t>
      </w:r>
      <w:r w:rsidRPr="00904FCB">
        <w:rPr>
          <w:rFonts w:hint="cs"/>
          <w:rtl/>
        </w:rPr>
        <w:t>ه الحضارة العربية الإسلامية، دون أن يؤث</w:t>
      </w:r>
      <w:r w:rsidR="00EE3F23" w:rsidRPr="00904FCB">
        <w:rPr>
          <w:rFonts w:hint="cs"/>
          <w:rtl/>
        </w:rPr>
        <w:t>ِّ</w:t>
      </w:r>
      <w:r w:rsidRPr="00904FCB">
        <w:rPr>
          <w:rFonts w:hint="cs"/>
          <w:rtl/>
        </w:rPr>
        <w:t>ر ذلك على جذوره، أو يغي</w:t>
      </w:r>
      <w:r w:rsidR="002E4825">
        <w:rPr>
          <w:rFonts w:hint="cs"/>
          <w:rtl/>
        </w:rPr>
        <w:t>ِّ</w:t>
      </w:r>
      <w:r w:rsidRPr="00904FCB">
        <w:rPr>
          <w:rFonts w:hint="cs"/>
          <w:rtl/>
        </w:rPr>
        <w:t>ر شيئا</w:t>
      </w:r>
      <w:r w:rsidR="00EE3F23" w:rsidRPr="00904FCB">
        <w:rPr>
          <w:rFonts w:hint="cs"/>
          <w:rtl/>
        </w:rPr>
        <w:t>ً</w:t>
      </w:r>
      <w:r w:rsidRPr="00904FCB">
        <w:rPr>
          <w:rFonts w:hint="cs"/>
          <w:rtl/>
        </w:rPr>
        <w:t xml:space="preserve"> من مرجعياته وخصوصياته. </w:t>
      </w:r>
    </w:p>
    <w:p w:rsidR="00625F5D" w:rsidRPr="00904FCB" w:rsidRDefault="00625F5D" w:rsidP="007A21AA">
      <w:pPr>
        <w:spacing w:line="400" w:lineRule="exact"/>
        <w:rPr>
          <w:rtl/>
        </w:rPr>
      </w:pPr>
      <w:r w:rsidRPr="00904FCB">
        <w:rPr>
          <w:rFonts w:hint="cs"/>
          <w:rtl/>
          <w:lang w:bidi="ar-DZ"/>
        </w:rPr>
        <w:t xml:space="preserve">وفي هذا الإطار </w:t>
      </w:r>
      <w:r w:rsidRPr="00904FCB">
        <w:rPr>
          <w:rFonts w:hint="cs"/>
          <w:rtl/>
        </w:rPr>
        <w:t xml:space="preserve">يمكن تقسيم التيارات النهضوية الفكرية في الوطن العربي إلى مجموعتين كبيرتين: </w:t>
      </w:r>
    </w:p>
    <w:p w:rsidR="00625F5D" w:rsidRPr="00904FCB" w:rsidRDefault="00625F5D" w:rsidP="007A21AA">
      <w:pPr>
        <w:spacing w:line="400" w:lineRule="exact"/>
        <w:rPr>
          <w:rtl/>
        </w:rPr>
      </w:pPr>
      <w:r w:rsidRPr="00904FCB">
        <w:rPr>
          <w:rFonts w:hint="cs"/>
          <w:b/>
          <w:bCs/>
          <w:rtl/>
        </w:rPr>
        <w:t>المجموعة الأولى</w:t>
      </w:r>
      <w:r w:rsidR="005E2396" w:rsidRPr="00904FCB">
        <w:rPr>
          <w:rFonts w:hint="cs"/>
          <w:rtl/>
        </w:rPr>
        <w:t>:</w:t>
      </w:r>
      <w:r w:rsidRPr="00904FCB">
        <w:rPr>
          <w:rFonts w:hint="cs"/>
          <w:rtl/>
        </w:rPr>
        <w:t xml:space="preserve"> ترفض الحداثة بشكل</w:t>
      </w:r>
      <w:r w:rsidR="005E2396" w:rsidRPr="00904FCB">
        <w:rPr>
          <w:rFonts w:hint="cs"/>
          <w:rtl/>
        </w:rPr>
        <w:t>ٍ</w:t>
      </w:r>
      <w:r w:rsidRPr="00904FCB">
        <w:rPr>
          <w:rFonts w:hint="cs"/>
          <w:rtl/>
        </w:rPr>
        <w:t xml:space="preserve"> مطلق من منظور</w:t>
      </w:r>
      <w:r w:rsidR="005E2396" w:rsidRPr="00904FCB">
        <w:rPr>
          <w:rFonts w:hint="cs"/>
          <w:rtl/>
        </w:rPr>
        <w:t>ٍ</w:t>
      </w:r>
      <w:r w:rsidRPr="00904FCB">
        <w:rPr>
          <w:rFonts w:hint="cs"/>
          <w:rtl/>
        </w:rPr>
        <w:t xml:space="preserve"> منغلق ومتزم</w:t>
      </w:r>
      <w:r w:rsidR="005E2396" w:rsidRPr="00904FCB">
        <w:rPr>
          <w:rFonts w:hint="cs"/>
          <w:rtl/>
        </w:rPr>
        <w:t>ِّ</w:t>
      </w:r>
      <w:r w:rsidRPr="00904FCB">
        <w:rPr>
          <w:rFonts w:hint="cs"/>
          <w:rtl/>
        </w:rPr>
        <w:t xml:space="preserve">ت، </w:t>
      </w:r>
      <w:r w:rsidRPr="00904FCB">
        <w:rPr>
          <w:rFonts w:hint="cs"/>
          <w:rtl/>
        </w:rPr>
        <w:lastRenderedPageBreak/>
        <w:t>وتنظر إلى التراث بعقل</w:t>
      </w:r>
      <w:r w:rsidR="005E2396" w:rsidRPr="00904FCB">
        <w:rPr>
          <w:rFonts w:hint="cs"/>
          <w:rtl/>
        </w:rPr>
        <w:t>ٍ</w:t>
      </w:r>
      <w:r w:rsidRPr="00904FCB">
        <w:rPr>
          <w:rFonts w:hint="cs"/>
          <w:rtl/>
        </w:rPr>
        <w:t xml:space="preserve"> جامد لا يقبل الاجتهاد، وتفضّ</w:t>
      </w:r>
      <w:r w:rsidR="005E2396" w:rsidRPr="00904FCB">
        <w:rPr>
          <w:rFonts w:hint="cs"/>
          <w:rtl/>
        </w:rPr>
        <w:t>ِ</w:t>
      </w:r>
      <w:r w:rsidRPr="00904FCB">
        <w:rPr>
          <w:rFonts w:hint="cs"/>
          <w:rtl/>
        </w:rPr>
        <w:t>ل العيش في سراديب الماضي، ولا تقبل الانخراط في العصر الحديث. وهذه المجموعة تساهم في عرقلة عجلة التحديث، كما أن بعض أطرافها كثيرا</w:t>
      </w:r>
      <w:r w:rsidR="005E2396" w:rsidRPr="00904FCB">
        <w:rPr>
          <w:rFonts w:hint="cs"/>
          <w:rtl/>
        </w:rPr>
        <w:t>ً</w:t>
      </w:r>
      <w:r w:rsidRPr="00904FCB">
        <w:rPr>
          <w:rFonts w:hint="cs"/>
          <w:rtl/>
        </w:rPr>
        <w:t xml:space="preserve"> ما يثيرون معارك جانبية لا طائل ي</w:t>
      </w:r>
      <w:r w:rsidR="005E2396" w:rsidRPr="00904FCB">
        <w:rPr>
          <w:rFonts w:hint="cs"/>
          <w:rtl/>
        </w:rPr>
        <w:t>ُ</w:t>
      </w:r>
      <w:r w:rsidRPr="00904FCB">
        <w:rPr>
          <w:rFonts w:hint="cs"/>
          <w:rtl/>
        </w:rPr>
        <w:t xml:space="preserve">رجى من ورائها. </w:t>
      </w:r>
    </w:p>
    <w:p w:rsidR="00625F5D" w:rsidRPr="00904FCB" w:rsidRDefault="00625F5D" w:rsidP="007A21AA">
      <w:pPr>
        <w:spacing w:line="400" w:lineRule="exact"/>
        <w:rPr>
          <w:rtl/>
        </w:rPr>
      </w:pPr>
      <w:r w:rsidRPr="00904FCB">
        <w:rPr>
          <w:rFonts w:hint="cs"/>
          <w:b/>
          <w:bCs/>
          <w:rtl/>
        </w:rPr>
        <w:t>المجموعة الثانية</w:t>
      </w:r>
      <w:r w:rsidR="005E2396" w:rsidRPr="00904FCB">
        <w:rPr>
          <w:rFonts w:hint="cs"/>
          <w:rtl/>
        </w:rPr>
        <w:t>:</w:t>
      </w:r>
      <w:r w:rsidRPr="00904FCB">
        <w:rPr>
          <w:rFonts w:hint="cs"/>
          <w:rtl/>
        </w:rPr>
        <w:t xml:space="preserve"> تتكو</w:t>
      </w:r>
      <w:r w:rsidR="005E2396" w:rsidRPr="00904FCB">
        <w:rPr>
          <w:rFonts w:hint="cs"/>
          <w:rtl/>
        </w:rPr>
        <w:t>ّ</w:t>
      </w:r>
      <w:r w:rsidRPr="00904FCB">
        <w:rPr>
          <w:rFonts w:hint="cs"/>
          <w:rtl/>
        </w:rPr>
        <w:t>ن من المثق</w:t>
      </w:r>
      <w:r w:rsidR="005E2396" w:rsidRPr="00904FCB">
        <w:rPr>
          <w:rFonts w:hint="cs"/>
          <w:rtl/>
        </w:rPr>
        <w:t>َّ</w:t>
      </w:r>
      <w:r w:rsidRPr="00904FCB">
        <w:rPr>
          <w:rFonts w:hint="cs"/>
          <w:rtl/>
        </w:rPr>
        <w:t>فين الحداثي</w:t>
      </w:r>
      <w:r w:rsidR="002E4825">
        <w:rPr>
          <w:rFonts w:hint="cs"/>
          <w:rtl/>
        </w:rPr>
        <w:t>ّ</w:t>
      </w:r>
      <w:r w:rsidRPr="00904FCB">
        <w:rPr>
          <w:rFonts w:hint="cs"/>
          <w:rtl/>
        </w:rPr>
        <w:t>ين، وهؤلاء أنفسهم ينطلقون من تصو</w:t>
      </w:r>
      <w:r w:rsidR="005E2396" w:rsidRPr="00904FCB">
        <w:rPr>
          <w:rFonts w:hint="cs"/>
          <w:rtl/>
        </w:rPr>
        <w:t>ُّ</w:t>
      </w:r>
      <w:r w:rsidRPr="00904FCB">
        <w:rPr>
          <w:rFonts w:hint="cs"/>
          <w:rtl/>
        </w:rPr>
        <w:t>رات متباينة، ومتناقضة أحيانا</w:t>
      </w:r>
      <w:r w:rsidR="005E2396" w:rsidRPr="00904FCB">
        <w:rPr>
          <w:rFonts w:hint="cs"/>
          <w:rtl/>
        </w:rPr>
        <w:t>ً.</w:t>
      </w:r>
      <w:r w:rsidRPr="00904FCB">
        <w:rPr>
          <w:rFonts w:hint="cs"/>
          <w:rtl/>
        </w:rPr>
        <w:t xml:space="preserve"> وأهم</w:t>
      </w:r>
      <w:r w:rsidR="005E2396" w:rsidRPr="00904FCB">
        <w:rPr>
          <w:rFonts w:hint="cs"/>
          <w:rtl/>
        </w:rPr>
        <w:t>ّ</w:t>
      </w:r>
      <w:r w:rsidRPr="00904FCB">
        <w:rPr>
          <w:rFonts w:hint="cs"/>
          <w:rtl/>
        </w:rPr>
        <w:t xml:space="preserve"> القضايا التي يثيرونها تتعل</w:t>
      </w:r>
      <w:r w:rsidR="005E2396" w:rsidRPr="00904FCB">
        <w:rPr>
          <w:rFonts w:hint="cs"/>
          <w:rtl/>
        </w:rPr>
        <w:t>َّ</w:t>
      </w:r>
      <w:r w:rsidRPr="00904FCB">
        <w:rPr>
          <w:rFonts w:hint="cs"/>
          <w:rtl/>
        </w:rPr>
        <w:t xml:space="preserve">ق بكيفية التعامل مع التراث. </w:t>
      </w:r>
    </w:p>
    <w:p w:rsidR="00625F5D" w:rsidRPr="00904FCB" w:rsidRDefault="00625F5D" w:rsidP="007A21AA">
      <w:pPr>
        <w:spacing w:line="400" w:lineRule="exact"/>
        <w:rPr>
          <w:rtl/>
        </w:rPr>
      </w:pPr>
      <w:r w:rsidRPr="00904FCB">
        <w:rPr>
          <w:rFonts w:hint="cs"/>
          <w:rtl/>
        </w:rPr>
        <w:t xml:space="preserve"> وكمثال عن المفك</w:t>
      </w:r>
      <w:r w:rsidR="005E2396" w:rsidRPr="00904FCB">
        <w:rPr>
          <w:rFonts w:hint="cs"/>
          <w:rtl/>
        </w:rPr>
        <w:t>ِّ</w:t>
      </w:r>
      <w:r w:rsidRPr="00904FCB">
        <w:rPr>
          <w:rFonts w:hint="cs"/>
          <w:rtl/>
        </w:rPr>
        <w:t>رين الذين تناولوا هذا الموضوع نقتصر على نموذجين مختلفين من المغرب العربي</w:t>
      </w:r>
      <w:r w:rsidR="005E2396" w:rsidRPr="00904FCB">
        <w:rPr>
          <w:rFonts w:hint="cs"/>
          <w:rtl/>
        </w:rPr>
        <w:t>،</w:t>
      </w:r>
      <w:r w:rsidRPr="00904FCB">
        <w:rPr>
          <w:rFonts w:hint="cs"/>
          <w:rtl/>
        </w:rPr>
        <w:t xml:space="preserve"> وهما</w:t>
      </w:r>
      <w:r w:rsidR="005E2396" w:rsidRPr="00904FCB">
        <w:rPr>
          <w:rFonts w:hint="cs"/>
          <w:rtl/>
        </w:rPr>
        <w:t>:</w:t>
      </w:r>
      <w:r w:rsidRPr="00904FCB">
        <w:rPr>
          <w:rFonts w:hint="cs"/>
          <w:rtl/>
        </w:rPr>
        <w:t xml:space="preserve"> محمد أركون</w:t>
      </w:r>
      <w:r w:rsidR="005E2396" w:rsidRPr="00904FCB">
        <w:rPr>
          <w:rFonts w:hint="cs"/>
          <w:rtl/>
        </w:rPr>
        <w:t>؛</w:t>
      </w:r>
      <w:r w:rsidRPr="00904FCB">
        <w:rPr>
          <w:rFonts w:hint="cs"/>
          <w:rtl/>
        </w:rPr>
        <w:t xml:space="preserve"> ومحمد عابد الجابري. </w:t>
      </w:r>
    </w:p>
    <w:p w:rsidR="00625F5D" w:rsidRPr="00904FCB" w:rsidRDefault="00625F5D" w:rsidP="007A21AA">
      <w:pPr>
        <w:spacing w:line="400" w:lineRule="exact"/>
        <w:rPr>
          <w:rtl/>
        </w:rPr>
      </w:pPr>
      <w:r w:rsidRPr="00904FCB">
        <w:rPr>
          <w:rFonts w:hint="cs"/>
          <w:rtl/>
        </w:rPr>
        <w:t>ـ فالمفك</w:t>
      </w:r>
      <w:r w:rsidR="005E2396" w:rsidRPr="00904FCB">
        <w:rPr>
          <w:rFonts w:hint="cs"/>
          <w:rtl/>
        </w:rPr>
        <w:t>ِّ</w:t>
      </w:r>
      <w:r w:rsidRPr="00904FCB">
        <w:rPr>
          <w:rFonts w:hint="cs"/>
          <w:rtl/>
        </w:rPr>
        <w:t>ر محمد أركون (</w:t>
      </w:r>
      <w:r w:rsidRPr="00A80D94">
        <w:rPr>
          <w:rFonts w:asciiTheme="majorBidi" w:hAnsiTheme="majorBidi"/>
          <w:rtl/>
        </w:rPr>
        <w:t>1928</w:t>
      </w:r>
      <w:r w:rsidRPr="00904FCB">
        <w:rPr>
          <w:rFonts w:asciiTheme="majorBidi" w:hAnsiTheme="majorBidi"/>
          <w:rtl/>
        </w:rPr>
        <w:t xml:space="preserve"> ـ </w:t>
      </w:r>
      <w:r w:rsidRPr="00A80D94">
        <w:rPr>
          <w:rFonts w:asciiTheme="majorBidi" w:hAnsiTheme="majorBidi"/>
          <w:rtl/>
        </w:rPr>
        <w:t>2010</w:t>
      </w:r>
      <w:r w:rsidRPr="00904FCB">
        <w:rPr>
          <w:rFonts w:asciiTheme="majorBidi" w:hAnsiTheme="majorBidi"/>
          <w:rtl/>
        </w:rPr>
        <w:t xml:space="preserve">) </w:t>
      </w:r>
      <w:r w:rsidR="005E2396" w:rsidRPr="00904FCB">
        <w:rPr>
          <w:rFonts w:hint="cs"/>
          <w:rtl/>
        </w:rPr>
        <w:t>يرى</w:t>
      </w:r>
      <w:r w:rsidRPr="00904FCB">
        <w:rPr>
          <w:rFonts w:hint="cs"/>
          <w:rtl/>
        </w:rPr>
        <w:t xml:space="preserve"> أنه لا</w:t>
      </w:r>
      <w:r w:rsidR="005E2396" w:rsidRPr="00904FCB">
        <w:rPr>
          <w:rFonts w:hint="cs"/>
          <w:rtl/>
        </w:rPr>
        <w:t xml:space="preserve"> </w:t>
      </w:r>
      <w:r w:rsidRPr="00904FCB">
        <w:rPr>
          <w:rFonts w:hint="cs"/>
          <w:rtl/>
        </w:rPr>
        <w:t>ب</w:t>
      </w:r>
      <w:r w:rsidR="005E2396" w:rsidRPr="00904FCB">
        <w:rPr>
          <w:rFonts w:hint="cs"/>
          <w:rtl/>
        </w:rPr>
        <w:t>ُ</w:t>
      </w:r>
      <w:r w:rsidRPr="00904FCB">
        <w:rPr>
          <w:rFonts w:hint="cs"/>
          <w:rtl/>
        </w:rPr>
        <w:t>د</w:t>
      </w:r>
      <w:r w:rsidR="005E2396" w:rsidRPr="00904FCB">
        <w:rPr>
          <w:rFonts w:hint="cs"/>
          <w:rtl/>
        </w:rPr>
        <w:t>َّ</w:t>
      </w:r>
      <w:r w:rsidRPr="00904FCB">
        <w:rPr>
          <w:rFonts w:hint="cs"/>
          <w:rtl/>
        </w:rPr>
        <w:t xml:space="preserve"> أن يكون </w:t>
      </w:r>
      <w:r w:rsidRPr="00904FCB">
        <w:rPr>
          <w:rFonts w:hint="eastAsia"/>
          <w:rtl/>
        </w:rPr>
        <w:t>«</w:t>
      </w:r>
      <w:r w:rsidRPr="00904FCB">
        <w:rPr>
          <w:rFonts w:hint="cs"/>
          <w:rtl/>
        </w:rPr>
        <w:t xml:space="preserve"> الانطلاق من نقطة الحداثة</w:t>
      </w:r>
      <w:r w:rsidR="005E2396" w:rsidRPr="00904FCB">
        <w:rPr>
          <w:rFonts w:hint="cs"/>
          <w:rtl/>
        </w:rPr>
        <w:t>،</w:t>
      </w:r>
      <w:r w:rsidRPr="00904FCB">
        <w:rPr>
          <w:rFonts w:hint="cs"/>
          <w:rtl/>
        </w:rPr>
        <w:t xml:space="preserve"> وليس من نقطة الماضي أو التراث</w:t>
      </w:r>
      <w:r w:rsidRPr="00904FCB">
        <w:rPr>
          <w:rFonts w:hint="eastAsia"/>
          <w:rtl/>
        </w:rPr>
        <w:t>»</w:t>
      </w:r>
      <w:r w:rsidRPr="00904FCB">
        <w:rPr>
          <w:vertAlign w:val="superscript"/>
          <w:rtl/>
        </w:rPr>
        <w:t>(</w:t>
      </w:r>
      <w:r w:rsidRPr="00904FCB">
        <w:rPr>
          <w:rStyle w:val="ac"/>
          <w:sz w:val="27"/>
          <w:rtl/>
        </w:rPr>
        <w:endnoteReference w:id="495"/>
      </w:r>
      <w:r w:rsidRPr="00904FCB">
        <w:rPr>
          <w:vertAlign w:val="superscript"/>
          <w:rtl/>
        </w:rPr>
        <w:t>)</w:t>
      </w:r>
      <w:r w:rsidR="005E2396" w:rsidRPr="00904FCB">
        <w:rPr>
          <w:rFonts w:hint="cs"/>
          <w:rtl/>
        </w:rPr>
        <w:t>،</w:t>
      </w:r>
      <w:r w:rsidRPr="00904FCB">
        <w:rPr>
          <w:rFonts w:hint="cs"/>
          <w:rtl/>
        </w:rPr>
        <w:t xml:space="preserve"> أي القطيعة مع التراث الديني عموما</w:t>
      </w:r>
      <w:r w:rsidR="005E2396" w:rsidRPr="00904FCB">
        <w:rPr>
          <w:rFonts w:hint="cs"/>
          <w:rtl/>
        </w:rPr>
        <w:t>ً</w:t>
      </w:r>
      <w:r w:rsidRPr="00904FCB">
        <w:rPr>
          <w:rFonts w:hint="cs"/>
          <w:rtl/>
        </w:rPr>
        <w:t>. فالإسلام في لحظة انبثاقه التاريخية كان يمث</w:t>
      </w:r>
      <w:r w:rsidR="005E2396" w:rsidRPr="00904FCB">
        <w:rPr>
          <w:rFonts w:hint="cs"/>
          <w:rtl/>
        </w:rPr>
        <w:t>ِّ</w:t>
      </w:r>
      <w:r w:rsidRPr="00904FCB">
        <w:rPr>
          <w:rFonts w:hint="cs"/>
          <w:rtl/>
        </w:rPr>
        <w:t>ل لحظة حداثة بالتأكيد</w:t>
      </w:r>
      <w:r w:rsidR="005E2396" w:rsidRPr="00904FCB">
        <w:rPr>
          <w:rFonts w:hint="cs"/>
          <w:rtl/>
        </w:rPr>
        <w:t>؛</w:t>
      </w:r>
      <w:r w:rsidRPr="00904FCB">
        <w:rPr>
          <w:rFonts w:hint="cs"/>
          <w:rtl/>
        </w:rPr>
        <w:t xml:space="preserve"> لأنه كان محطة تغيير وتحريك لعجلة التاريخ، أما اليوم فقد أصبح نوعا</w:t>
      </w:r>
      <w:r w:rsidR="005E2396" w:rsidRPr="00904FCB">
        <w:rPr>
          <w:rFonts w:hint="cs"/>
          <w:rtl/>
        </w:rPr>
        <w:t>ً</w:t>
      </w:r>
      <w:r w:rsidRPr="00904FCB">
        <w:rPr>
          <w:rFonts w:hint="cs"/>
          <w:rtl/>
        </w:rPr>
        <w:t xml:space="preserve"> من التراث والمعارف المتر</w:t>
      </w:r>
      <w:r w:rsidR="005E2396" w:rsidRPr="00904FCB">
        <w:rPr>
          <w:rFonts w:hint="cs"/>
          <w:rtl/>
        </w:rPr>
        <w:t>اكمة والمواقف الثقافية المكرَّر</w:t>
      </w:r>
      <w:r w:rsidRPr="00904FCB">
        <w:rPr>
          <w:rFonts w:hint="cs"/>
          <w:rtl/>
        </w:rPr>
        <w:t>ة، وبالتالي لا يمكنه حاليا</w:t>
      </w:r>
      <w:r w:rsidR="005E2396" w:rsidRPr="00904FCB">
        <w:rPr>
          <w:rFonts w:hint="cs"/>
          <w:rtl/>
        </w:rPr>
        <w:t>ً</w:t>
      </w:r>
      <w:r w:rsidRPr="00904FCB">
        <w:rPr>
          <w:rFonts w:hint="cs"/>
          <w:rtl/>
        </w:rPr>
        <w:t xml:space="preserve"> أن يمثل الحداثة</w:t>
      </w:r>
      <w:r w:rsidRPr="00904FCB">
        <w:rPr>
          <w:vertAlign w:val="superscript"/>
          <w:rtl/>
        </w:rPr>
        <w:t>(</w:t>
      </w:r>
      <w:r w:rsidRPr="00904FCB">
        <w:rPr>
          <w:rStyle w:val="ac"/>
          <w:sz w:val="27"/>
          <w:rtl/>
        </w:rPr>
        <w:endnoteReference w:id="496"/>
      </w:r>
      <w:r w:rsidRPr="00904FCB">
        <w:rPr>
          <w:vertAlign w:val="superscript"/>
          <w:rtl/>
        </w:rPr>
        <w:t>)</w:t>
      </w:r>
      <w:r w:rsidRPr="00904FCB">
        <w:rPr>
          <w:rFonts w:hint="cs"/>
          <w:rtl/>
        </w:rPr>
        <w:t xml:space="preserve">. </w:t>
      </w:r>
    </w:p>
    <w:p w:rsidR="00625F5D" w:rsidRPr="00904FCB" w:rsidRDefault="00625F5D" w:rsidP="004722A1">
      <w:pPr>
        <w:spacing w:line="400" w:lineRule="exact"/>
        <w:rPr>
          <w:rtl/>
        </w:rPr>
      </w:pPr>
      <w:r w:rsidRPr="00904FCB">
        <w:rPr>
          <w:rFonts w:hint="cs"/>
          <w:rtl/>
        </w:rPr>
        <w:t xml:space="preserve"> وهذا رأي</w:t>
      </w:r>
      <w:r w:rsidR="005E2396" w:rsidRPr="00904FCB">
        <w:rPr>
          <w:rFonts w:hint="cs"/>
          <w:rtl/>
        </w:rPr>
        <w:t>ٌ</w:t>
      </w:r>
      <w:r w:rsidRPr="00904FCB">
        <w:rPr>
          <w:rFonts w:hint="cs"/>
          <w:rtl/>
        </w:rPr>
        <w:t xml:space="preserve"> </w:t>
      </w:r>
      <w:r w:rsidR="004722A1" w:rsidRPr="00904FCB">
        <w:rPr>
          <w:rFonts w:hint="cs"/>
          <w:rtl/>
        </w:rPr>
        <w:t>خاطئ</w:t>
      </w:r>
      <w:r w:rsidR="005E2396" w:rsidRPr="00904FCB">
        <w:rPr>
          <w:rFonts w:hint="cs"/>
          <w:rtl/>
        </w:rPr>
        <w:t>؛</w:t>
      </w:r>
      <w:r w:rsidRPr="00904FCB">
        <w:rPr>
          <w:rFonts w:hint="cs"/>
          <w:rtl/>
        </w:rPr>
        <w:t xml:space="preserve"> لأن القيم الأساسية التي قامت عليها الحداثة في الغرب، كإعمال العقل، والاجتهاد، واعتماد العلم، والحر</w:t>
      </w:r>
      <w:r w:rsidR="005E2396" w:rsidRPr="00904FCB">
        <w:rPr>
          <w:rFonts w:hint="cs"/>
          <w:rtl/>
        </w:rPr>
        <w:t>ّ</w:t>
      </w:r>
      <w:r w:rsidRPr="00904FCB">
        <w:rPr>
          <w:rFonts w:hint="cs"/>
          <w:rtl/>
        </w:rPr>
        <w:t xml:space="preserve">ية، لا تتعارض مع القيم الإسلامية، بل هي من صميمها. </w:t>
      </w:r>
    </w:p>
    <w:p w:rsidR="00625F5D" w:rsidRPr="00904FCB" w:rsidRDefault="00625F5D" w:rsidP="007A21AA">
      <w:pPr>
        <w:spacing w:line="400" w:lineRule="exact"/>
        <w:rPr>
          <w:rtl/>
        </w:rPr>
      </w:pPr>
      <w:r w:rsidRPr="00904FCB">
        <w:rPr>
          <w:rFonts w:hint="cs"/>
          <w:rtl/>
        </w:rPr>
        <w:t>ـ أما المفك</w:t>
      </w:r>
      <w:r w:rsidR="005E2396" w:rsidRPr="00904FCB">
        <w:rPr>
          <w:rFonts w:hint="cs"/>
          <w:rtl/>
        </w:rPr>
        <w:t>ِّ</w:t>
      </w:r>
      <w:r w:rsidRPr="00904FCB">
        <w:rPr>
          <w:rFonts w:hint="cs"/>
          <w:rtl/>
        </w:rPr>
        <w:t xml:space="preserve">ر محمد عابد الجابري </w:t>
      </w:r>
      <w:r w:rsidRPr="00904FCB">
        <w:rPr>
          <w:rFonts w:asciiTheme="majorBidi" w:hAnsiTheme="majorBidi"/>
          <w:rtl/>
        </w:rPr>
        <w:t>(</w:t>
      </w:r>
      <w:r w:rsidRPr="00A80D94">
        <w:rPr>
          <w:rFonts w:asciiTheme="majorBidi" w:hAnsiTheme="majorBidi"/>
          <w:rtl/>
        </w:rPr>
        <w:t>1936</w:t>
      </w:r>
      <w:r w:rsidRPr="00904FCB">
        <w:rPr>
          <w:rFonts w:asciiTheme="majorBidi" w:hAnsiTheme="majorBidi"/>
          <w:rtl/>
        </w:rPr>
        <w:t xml:space="preserve"> ـ </w:t>
      </w:r>
      <w:r w:rsidRPr="00A80D94">
        <w:rPr>
          <w:rFonts w:asciiTheme="majorBidi" w:hAnsiTheme="majorBidi"/>
          <w:rtl/>
        </w:rPr>
        <w:t>2010</w:t>
      </w:r>
      <w:r w:rsidRPr="00904FCB">
        <w:rPr>
          <w:rFonts w:hint="cs"/>
          <w:rtl/>
        </w:rPr>
        <w:t>) فيرى أن الحداثة</w:t>
      </w:r>
      <w:r w:rsidR="005E2396" w:rsidRPr="00904FCB">
        <w:rPr>
          <w:rFonts w:hint="cs"/>
          <w:rtl/>
        </w:rPr>
        <w:t>؛</w:t>
      </w:r>
      <w:r w:rsidRPr="00904FCB">
        <w:rPr>
          <w:rFonts w:hint="cs"/>
          <w:rtl/>
        </w:rPr>
        <w:t xml:space="preserve"> إذْ تقوم على القطيعة الإرادية مع المتآكل والمُتجاوَز من منتوجات الماضي، فإنها تتأس</w:t>
      </w:r>
      <w:r w:rsidR="005D611C" w:rsidRPr="00904FCB">
        <w:rPr>
          <w:rFonts w:hint="cs"/>
          <w:rtl/>
        </w:rPr>
        <w:t>ّ</w:t>
      </w:r>
      <w:r w:rsidRPr="00904FCB">
        <w:rPr>
          <w:rFonts w:hint="cs"/>
          <w:rtl/>
        </w:rPr>
        <w:t>س في الوقت نفسه على ما هو قابل للتجديد والتجد</w:t>
      </w:r>
      <w:r w:rsidR="005D611C" w:rsidRPr="00904FCB">
        <w:rPr>
          <w:rFonts w:hint="cs"/>
          <w:rtl/>
        </w:rPr>
        <w:t>ُّ</w:t>
      </w:r>
      <w:r w:rsidRPr="00904FCB">
        <w:rPr>
          <w:rFonts w:hint="cs"/>
          <w:rtl/>
        </w:rPr>
        <w:t>د، والاستمرارية، مشكّ</w:t>
      </w:r>
      <w:r w:rsidR="005D611C" w:rsidRPr="00904FCB">
        <w:rPr>
          <w:rFonts w:hint="cs"/>
          <w:rtl/>
        </w:rPr>
        <w:t>ِ</w:t>
      </w:r>
      <w:r w:rsidRPr="00904FCB">
        <w:rPr>
          <w:rFonts w:hint="cs"/>
          <w:rtl/>
        </w:rPr>
        <w:t>لة</w:t>
      </w:r>
      <w:r w:rsidR="005D611C" w:rsidRPr="00904FCB">
        <w:rPr>
          <w:rFonts w:hint="cs"/>
          <w:rtl/>
        </w:rPr>
        <w:t>ً</w:t>
      </w:r>
      <w:r w:rsidRPr="00904FCB">
        <w:rPr>
          <w:rFonts w:hint="cs"/>
          <w:rtl/>
        </w:rPr>
        <w:t xml:space="preserve"> بذلك استيعابا</w:t>
      </w:r>
      <w:r w:rsidR="005D611C" w:rsidRPr="00904FCB">
        <w:rPr>
          <w:rFonts w:hint="cs"/>
          <w:rtl/>
        </w:rPr>
        <w:t>ً</w:t>
      </w:r>
      <w:r w:rsidRPr="00904FCB">
        <w:rPr>
          <w:rFonts w:hint="cs"/>
          <w:rtl/>
        </w:rPr>
        <w:t xml:space="preserve"> نقديا</w:t>
      </w:r>
      <w:r w:rsidR="005D611C" w:rsidRPr="00904FCB">
        <w:rPr>
          <w:rFonts w:hint="cs"/>
          <w:rtl/>
        </w:rPr>
        <w:t>ً</w:t>
      </w:r>
      <w:r w:rsidRPr="00904FCB">
        <w:rPr>
          <w:rFonts w:hint="cs"/>
          <w:rtl/>
        </w:rPr>
        <w:t xml:space="preserve"> واعيا</w:t>
      </w:r>
      <w:r w:rsidR="005D611C" w:rsidRPr="00904FCB">
        <w:rPr>
          <w:rFonts w:hint="cs"/>
          <w:rtl/>
        </w:rPr>
        <w:t>ً</w:t>
      </w:r>
      <w:r w:rsidRPr="00904FCB">
        <w:rPr>
          <w:rFonts w:hint="cs"/>
          <w:rtl/>
        </w:rPr>
        <w:t xml:space="preserve"> لهذه العناصر والتراكمات، وتجاوزا</w:t>
      </w:r>
      <w:r w:rsidR="005D611C" w:rsidRPr="00904FCB">
        <w:rPr>
          <w:rFonts w:hint="cs"/>
          <w:rtl/>
        </w:rPr>
        <w:t>ً</w:t>
      </w:r>
      <w:r w:rsidRPr="00904FCB">
        <w:rPr>
          <w:rFonts w:hint="cs"/>
          <w:rtl/>
        </w:rPr>
        <w:t xml:space="preserve"> لها في نفس الوقت، وذلك في إطار سيرورة جدلية ديناميكية تبادلية متواصلة بين القديم والجديد، </w:t>
      </w:r>
      <w:r w:rsidR="005D611C" w:rsidRPr="00904FCB">
        <w:rPr>
          <w:rFonts w:hint="cs"/>
          <w:rtl/>
        </w:rPr>
        <w:t>تُنْتَج</w:t>
      </w:r>
      <w:r w:rsidRPr="00904FCB">
        <w:rPr>
          <w:rFonts w:hint="cs"/>
          <w:rtl/>
        </w:rPr>
        <w:t xml:space="preserve"> فيها الحداثة عبر توالي وتطو</w:t>
      </w:r>
      <w:r w:rsidR="005D611C" w:rsidRPr="00904FCB">
        <w:rPr>
          <w:rFonts w:hint="cs"/>
          <w:rtl/>
        </w:rPr>
        <w:t>ُّ</w:t>
      </w:r>
      <w:r w:rsidRPr="00904FCB">
        <w:rPr>
          <w:rFonts w:hint="cs"/>
          <w:rtl/>
        </w:rPr>
        <w:t>ر لحظاتها، وتفرز فيها قيمها وثقافتها المتمي</w:t>
      </w:r>
      <w:r w:rsidR="005D611C" w:rsidRPr="00904FCB">
        <w:rPr>
          <w:rFonts w:hint="cs"/>
          <w:rtl/>
        </w:rPr>
        <w:t>ِّ</w:t>
      </w:r>
      <w:r w:rsidRPr="00904FCB">
        <w:rPr>
          <w:rFonts w:hint="cs"/>
          <w:rtl/>
        </w:rPr>
        <w:t>زة المشعّة، فتتأص</w:t>
      </w:r>
      <w:r w:rsidR="005D611C" w:rsidRPr="00904FCB">
        <w:rPr>
          <w:rFonts w:hint="cs"/>
          <w:rtl/>
        </w:rPr>
        <w:t>َّ</w:t>
      </w:r>
      <w:r w:rsidRPr="00904FCB">
        <w:rPr>
          <w:rFonts w:hint="cs"/>
          <w:rtl/>
        </w:rPr>
        <w:t>ل وتمتلك شرعية وجودها وانتمائها التاريخي</w:t>
      </w:r>
      <w:r w:rsidRPr="00904FCB">
        <w:rPr>
          <w:vertAlign w:val="superscript"/>
          <w:rtl/>
        </w:rPr>
        <w:t>(</w:t>
      </w:r>
      <w:r w:rsidRPr="00904FCB">
        <w:rPr>
          <w:rStyle w:val="ac"/>
          <w:sz w:val="27"/>
          <w:rtl/>
        </w:rPr>
        <w:endnoteReference w:id="497"/>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ويرى الجابري أن التأصيل للحداثة في الثقافة العربية لا يتيس</w:t>
      </w:r>
      <w:r w:rsidR="005D611C" w:rsidRPr="00904FCB">
        <w:rPr>
          <w:rFonts w:hint="cs"/>
          <w:rtl/>
        </w:rPr>
        <w:t>َّ</w:t>
      </w:r>
      <w:r w:rsidRPr="00904FCB">
        <w:rPr>
          <w:rFonts w:hint="cs"/>
          <w:rtl/>
        </w:rPr>
        <w:t>ر إلا</w:t>
      </w:r>
      <w:r w:rsidR="005D611C" w:rsidRPr="00904FCB">
        <w:rPr>
          <w:rFonts w:hint="cs"/>
          <w:rtl/>
        </w:rPr>
        <w:t>ّ</w:t>
      </w:r>
      <w:r w:rsidRPr="00904FCB">
        <w:rPr>
          <w:rFonts w:hint="cs"/>
          <w:rtl/>
        </w:rPr>
        <w:t xml:space="preserve"> بتحديث التعامل مع التراث، وليس بإعلان القطيعة التام</w:t>
      </w:r>
      <w:r w:rsidR="005D611C" w:rsidRPr="00904FCB">
        <w:rPr>
          <w:rFonts w:hint="cs"/>
          <w:rtl/>
        </w:rPr>
        <w:t>ّ</w:t>
      </w:r>
      <w:r w:rsidRPr="00904FCB">
        <w:rPr>
          <w:rFonts w:hint="cs"/>
          <w:rtl/>
        </w:rPr>
        <w:t>ة معه</w:t>
      </w:r>
      <w:r w:rsidR="005D611C" w:rsidRPr="00904FCB">
        <w:rPr>
          <w:rFonts w:hint="cs"/>
          <w:rtl/>
        </w:rPr>
        <w:t>.</w:t>
      </w:r>
      <w:r w:rsidRPr="00904FCB">
        <w:rPr>
          <w:rFonts w:hint="cs"/>
          <w:rtl/>
        </w:rPr>
        <w:t xml:space="preserve"> ويؤك</w:t>
      </w:r>
      <w:r w:rsidR="005D611C" w:rsidRPr="00904FCB">
        <w:rPr>
          <w:rFonts w:hint="cs"/>
          <w:rtl/>
        </w:rPr>
        <w:t>ِّ</w:t>
      </w:r>
      <w:r w:rsidRPr="00904FCB">
        <w:rPr>
          <w:rFonts w:hint="cs"/>
          <w:rtl/>
        </w:rPr>
        <w:t xml:space="preserve">د على ضرورة تجاوز </w:t>
      </w:r>
      <w:r w:rsidR="005D611C" w:rsidRPr="00904FCB">
        <w:rPr>
          <w:rFonts w:hint="eastAsia"/>
          <w:sz w:val="27"/>
          <w:rtl/>
        </w:rPr>
        <w:lastRenderedPageBreak/>
        <w:t>«</w:t>
      </w:r>
      <w:r w:rsidRPr="00904FCB">
        <w:rPr>
          <w:rFonts w:hint="cs"/>
          <w:rtl/>
        </w:rPr>
        <w:t>الفهم التراثي للتراث، وهو الفهم الذي يأخذ أقوال الأقدمين كما هي، سواء تلك التي يعبّ</w:t>
      </w:r>
      <w:r w:rsidR="005D611C" w:rsidRPr="00904FCB">
        <w:rPr>
          <w:rFonts w:hint="cs"/>
          <w:rtl/>
        </w:rPr>
        <w:t>ِ</w:t>
      </w:r>
      <w:r w:rsidRPr="00904FCB">
        <w:rPr>
          <w:rFonts w:hint="cs"/>
          <w:rtl/>
        </w:rPr>
        <w:t>رون فيها عن آرائهم الخاصة، أو التي يروون من خلالها أقوال م</w:t>
      </w:r>
      <w:r w:rsidR="005D611C" w:rsidRPr="00904FCB">
        <w:rPr>
          <w:rFonts w:hint="cs"/>
          <w:rtl/>
        </w:rPr>
        <w:t>َ</w:t>
      </w:r>
      <w:r w:rsidRPr="00904FCB">
        <w:rPr>
          <w:rFonts w:hint="cs"/>
          <w:rtl/>
        </w:rPr>
        <w:t>ن</w:t>
      </w:r>
      <w:r w:rsidR="005D611C" w:rsidRPr="00904FCB">
        <w:rPr>
          <w:rFonts w:hint="cs"/>
          <w:rtl/>
        </w:rPr>
        <w:t>ْ</w:t>
      </w:r>
      <w:r w:rsidRPr="00904FCB">
        <w:rPr>
          <w:rFonts w:hint="cs"/>
          <w:rtl/>
        </w:rPr>
        <w:t xml:space="preserve"> سبقوهم</w:t>
      </w:r>
      <w:r w:rsidRPr="00904FCB">
        <w:rPr>
          <w:rFonts w:hint="eastAsia"/>
          <w:rtl/>
        </w:rPr>
        <w:t>»</w:t>
      </w:r>
      <w:r w:rsidRPr="00904FCB">
        <w:rPr>
          <w:vertAlign w:val="superscript"/>
          <w:rtl/>
        </w:rPr>
        <w:t>(</w:t>
      </w:r>
      <w:r w:rsidRPr="00904FCB">
        <w:rPr>
          <w:rStyle w:val="ac"/>
          <w:sz w:val="27"/>
          <w:rtl/>
        </w:rPr>
        <w:endnoteReference w:id="498"/>
      </w:r>
      <w:r w:rsidRPr="00904FCB">
        <w:rPr>
          <w:vertAlign w:val="superscript"/>
          <w:rtl/>
        </w:rPr>
        <w:t>)</w:t>
      </w:r>
      <w:r w:rsidRPr="00904FCB">
        <w:rPr>
          <w:rFonts w:hint="cs"/>
          <w:rtl/>
        </w:rPr>
        <w:t xml:space="preserve">. </w:t>
      </w:r>
    </w:p>
    <w:p w:rsidR="00625F5D" w:rsidRPr="00904FCB" w:rsidRDefault="00625F5D" w:rsidP="007A21AA">
      <w:pPr>
        <w:spacing w:line="400" w:lineRule="exact"/>
        <w:rPr>
          <w:rtl/>
        </w:rPr>
      </w:pPr>
      <w:r w:rsidRPr="00904FCB">
        <w:rPr>
          <w:rFonts w:hint="cs"/>
          <w:rtl/>
        </w:rPr>
        <w:t>ويفس</w:t>
      </w:r>
      <w:r w:rsidR="005D611C" w:rsidRPr="00904FCB">
        <w:rPr>
          <w:rFonts w:hint="cs"/>
          <w:rtl/>
        </w:rPr>
        <w:t>ِّ</w:t>
      </w:r>
      <w:r w:rsidRPr="00904FCB">
        <w:rPr>
          <w:rFonts w:hint="cs"/>
          <w:rtl/>
        </w:rPr>
        <w:t>ر الجابري تأكيده على الربط بين الحداثة والتراث بكون الحداثة الغربية تبقى ـ بالرغم من اد</w:t>
      </w:r>
      <w:r w:rsidR="00411E3B" w:rsidRPr="00904FCB">
        <w:rPr>
          <w:rFonts w:hint="cs"/>
          <w:rtl/>
        </w:rPr>
        <w:t>ّ</w:t>
      </w:r>
      <w:r w:rsidRPr="00904FCB">
        <w:rPr>
          <w:rFonts w:hint="cs"/>
          <w:rtl/>
        </w:rPr>
        <w:t xml:space="preserve">عائها العالمية ـ منتظمة في التاريخ الثقافي الأوروبي، وبالتالي فهي </w:t>
      </w:r>
      <w:r w:rsidRPr="00904FCB">
        <w:rPr>
          <w:rFonts w:hint="eastAsia"/>
          <w:rtl/>
        </w:rPr>
        <w:t>«</w:t>
      </w:r>
      <w:r w:rsidRPr="00904FCB">
        <w:rPr>
          <w:rFonts w:hint="cs"/>
          <w:rtl/>
        </w:rPr>
        <w:t>لا تستطيع الدخول في حوار نقدي تمردي مع معطيات الثقافة العربية</w:t>
      </w:r>
      <w:r w:rsidR="00411E3B" w:rsidRPr="00904FCB">
        <w:rPr>
          <w:rFonts w:hint="cs"/>
          <w:rtl/>
        </w:rPr>
        <w:t>؛</w:t>
      </w:r>
      <w:r w:rsidRPr="00904FCB">
        <w:rPr>
          <w:rFonts w:hint="cs"/>
          <w:rtl/>
        </w:rPr>
        <w:t xml:space="preserve"> لكونها لا تنتظم في تاريخها، وباعتبارها خارجة عن إطارها. فهي لا تستطيع أن تحاورها حوارا</w:t>
      </w:r>
      <w:r w:rsidR="00411E3B" w:rsidRPr="00904FCB">
        <w:rPr>
          <w:rFonts w:hint="cs"/>
          <w:rtl/>
        </w:rPr>
        <w:t>ً</w:t>
      </w:r>
      <w:r w:rsidRPr="00904FCB">
        <w:rPr>
          <w:rFonts w:hint="cs"/>
          <w:rtl/>
        </w:rPr>
        <w:t xml:space="preserve"> يحرك فيها الحركة من داخل</w:t>
      </w:r>
      <w:r w:rsidRPr="00904FCB">
        <w:rPr>
          <w:rFonts w:hint="eastAsia"/>
          <w:rtl/>
        </w:rPr>
        <w:t>»</w:t>
      </w:r>
      <w:r w:rsidRPr="00904FCB">
        <w:rPr>
          <w:vertAlign w:val="superscript"/>
          <w:rtl/>
        </w:rPr>
        <w:t>(</w:t>
      </w:r>
      <w:r w:rsidRPr="00904FCB">
        <w:rPr>
          <w:rStyle w:val="ac"/>
          <w:sz w:val="27"/>
          <w:rtl/>
        </w:rPr>
        <w:endnoteReference w:id="499"/>
      </w:r>
      <w:r w:rsidRPr="00904FCB">
        <w:rPr>
          <w:vertAlign w:val="superscript"/>
          <w:rtl/>
        </w:rPr>
        <w:t>)</w:t>
      </w:r>
      <w:r w:rsidR="00411E3B" w:rsidRPr="00904FCB">
        <w:rPr>
          <w:rFonts w:hint="cs"/>
          <w:rtl/>
        </w:rPr>
        <w:t>.</w:t>
      </w:r>
      <w:r w:rsidRPr="00904FCB">
        <w:rPr>
          <w:rFonts w:hint="cs"/>
          <w:rtl/>
        </w:rPr>
        <w:t xml:space="preserve"> وطريقنا إلى الحداثة ـ في تصو</w:t>
      </w:r>
      <w:r w:rsidR="00411E3B" w:rsidRPr="00904FCB">
        <w:rPr>
          <w:rFonts w:hint="cs"/>
          <w:rtl/>
        </w:rPr>
        <w:t>ُّ</w:t>
      </w:r>
      <w:r w:rsidRPr="00904FCB">
        <w:rPr>
          <w:rFonts w:hint="cs"/>
          <w:rtl/>
        </w:rPr>
        <w:t>ره ـ يجب أن ينطلق من الانتظام النقدي في الثقافة العربية نفسها</w:t>
      </w:r>
      <w:r w:rsidR="00411E3B" w:rsidRPr="00904FCB">
        <w:rPr>
          <w:rFonts w:hint="cs"/>
          <w:rtl/>
        </w:rPr>
        <w:t>؛</w:t>
      </w:r>
      <w:r w:rsidRPr="00904FCB">
        <w:rPr>
          <w:rFonts w:hint="cs"/>
          <w:rtl/>
        </w:rPr>
        <w:t xml:space="preserve"> لتحريك التغيير من الداخل</w:t>
      </w:r>
      <w:r w:rsidRPr="00904FCB">
        <w:rPr>
          <w:vertAlign w:val="superscript"/>
          <w:rtl/>
        </w:rPr>
        <w:t>(</w:t>
      </w:r>
      <w:r w:rsidRPr="00904FCB">
        <w:rPr>
          <w:rStyle w:val="ac"/>
          <w:sz w:val="27"/>
          <w:rtl/>
        </w:rPr>
        <w:endnoteReference w:id="500"/>
      </w:r>
      <w:r w:rsidRPr="00904FCB">
        <w:rPr>
          <w:vertAlign w:val="superscript"/>
          <w:rtl/>
        </w:rPr>
        <w:t>)</w:t>
      </w:r>
      <w:r w:rsidRPr="00904FCB">
        <w:rPr>
          <w:rFonts w:hint="cs"/>
          <w:rtl/>
        </w:rPr>
        <w:t xml:space="preserve">. </w:t>
      </w:r>
    </w:p>
    <w:p w:rsidR="00625F5D" w:rsidRPr="00904FCB" w:rsidRDefault="00625F5D" w:rsidP="007A21AA">
      <w:pPr>
        <w:spacing w:line="400" w:lineRule="exact"/>
        <w:rPr>
          <w:sz w:val="27"/>
          <w:rtl/>
          <w:lang w:bidi="ar-DZ"/>
        </w:rPr>
      </w:pPr>
    </w:p>
    <w:p w:rsidR="00625F5D" w:rsidRPr="00904FCB" w:rsidRDefault="00625F5D" w:rsidP="007A21AA">
      <w:pPr>
        <w:pStyle w:val="31"/>
        <w:spacing w:line="400" w:lineRule="exact"/>
        <w:rPr>
          <w:color w:val="auto"/>
          <w:rtl/>
        </w:rPr>
      </w:pPr>
      <w:r w:rsidRPr="00904FCB">
        <w:rPr>
          <w:rFonts w:hint="cs"/>
          <w:color w:val="auto"/>
          <w:rtl/>
          <w:lang w:bidi="ar-DZ"/>
        </w:rPr>
        <w:t>خامساً: ق</w:t>
      </w:r>
      <w:r w:rsidR="00411E3B" w:rsidRPr="00904FCB">
        <w:rPr>
          <w:rFonts w:hint="cs"/>
          <w:color w:val="auto"/>
          <w:rtl/>
          <w:lang w:bidi="ar-DZ"/>
        </w:rPr>
        <w:t>ِ</w:t>
      </w:r>
      <w:r w:rsidRPr="00904FCB">
        <w:rPr>
          <w:rFonts w:hint="cs"/>
          <w:color w:val="auto"/>
          <w:rtl/>
          <w:lang w:bidi="ar-DZ"/>
        </w:rPr>
        <w:t>ي</w:t>
      </w:r>
      <w:r w:rsidR="00411E3B" w:rsidRPr="00904FCB">
        <w:rPr>
          <w:rFonts w:hint="cs"/>
          <w:color w:val="auto"/>
          <w:rtl/>
          <w:lang w:bidi="ar-DZ"/>
        </w:rPr>
        <w:t>َ</w:t>
      </w:r>
      <w:r w:rsidRPr="00904FCB">
        <w:rPr>
          <w:rFonts w:hint="cs"/>
          <w:color w:val="auto"/>
          <w:rtl/>
          <w:lang w:bidi="ar-DZ"/>
        </w:rPr>
        <w:t>م الحداثة الغربية في نظر طه عبد الرحمن</w:t>
      </w:r>
      <w:r w:rsidRPr="00904FCB">
        <w:rPr>
          <w:rFonts w:hint="cs"/>
          <w:color w:val="auto"/>
          <w:rtl/>
        </w:rPr>
        <w:t xml:space="preserve"> </w:t>
      </w:r>
    </w:p>
    <w:p w:rsidR="00625F5D" w:rsidRPr="00904FCB" w:rsidRDefault="00625F5D" w:rsidP="007A21AA">
      <w:pPr>
        <w:tabs>
          <w:tab w:val="num" w:pos="798"/>
        </w:tabs>
        <w:spacing w:line="400" w:lineRule="exact"/>
        <w:rPr>
          <w:sz w:val="27"/>
          <w:rtl/>
        </w:rPr>
      </w:pPr>
      <w:r w:rsidRPr="00904FCB">
        <w:rPr>
          <w:rFonts w:hint="cs"/>
          <w:sz w:val="27"/>
          <w:rtl/>
        </w:rPr>
        <w:tab/>
        <w:t>لقد استشعر عديد</w:t>
      </w:r>
      <w:r w:rsidR="00411E3B" w:rsidRPr="00904FCB">
        <w:rPr>
          <w:rFonts w:hint="cs"/>
          <w:sz w:val="27"/>
          <w:rtl/>
        </w:rPr>
        <w:t>ٌ</w:t>
      </w:r>
      <w:r w:rsidRPr="00904FCB">
        <w:rPr>
          <w:rFonts w:hint="cs"/>
          <w:sz w:val="27"/>
          <w:rtl/>
        </w:rPr>
        <w:t xml:space="preserve"> من المفك</w:t>
      </w:r>
      <w:r w:rsidR="00411E3B" w:rsidRPr="00904FCB">
        <w:rPr>
          <w:rFonts w:hint="cs"/>
          <w:sz w:val="27"/>
          <w:rtl/>
        </w:rPr>
        <w:t>ِّ</w:t>
      </w:r>
      <w:r w:rsidRPr="00904FCB">
        <w:rPr>
          <w:rFonts w:hint="cs"/>
          <w:sz w:val="27"/>
          <w:rtl/>
        </w:rPr>
        <w:t>رين الغربيين مخاطر حداثتهم على الإنسان الغربي نفسه، فراحو</w:t>
      </w:r>
      <w:r w:rsidR="00411E3B" w:rsidRPr="00904FCB">
        <w:rPr>
          <w:rFonts w:hint="cs"/>
          <w:sz w:val="27"/>
          <w:rtl/>
        </w:rPr>
        <w:t>ا</w:t>
      </w:r>
      <w:r w:rsidRPr="00904FCB">
        <w:rPr>
          <w:rFonts w:hint="cs"/>
          <w:sz w:val="27"/>
          <w:rtl/>
        </w:rPr>
        <w:t xml:space="preserve"> يشرحونها</w:t>
      </w:r>
      <w:r w:rsidR="00411E3B" w:rsidRPr="00904FCB">
        <w:rPr>
          <w:rFonts w:hint="cs"/>
          <w:sz w:val="27"/>
          <w:rtl/>
        </w:rPr>
        <w:t>،</w:t>
      </w:r>
      <w:r w:rsidRPr="00904FCB">
        <w:rPr>
          <w:rFonts w:hint="cs"/>
          <w:sz w:val="27"/>
          <w:rtl/>
        </w:rPr>
        <w:t xml:space="preserve"> ويظهرون عوارها</w:t>
      </w:r>
      <w:r w:rsidR="00411E3B" w:rsidRPr="00904FCB">
        <w:rPr>
          <w:rFonts w:hint="cs"/>
          <w:sz w:val="27"/>
          <w:rtl/>
        </w:rPr>
        <w:t>.</w:t>
      </w:r>
      <w:r w:rsidRPr="00904FCB">
        <w:rPr>
          <w:rFonts w:hint="cs"/>
          <w:sz w:val="27"/>
          <w:rtl/>
        </w:rPr>
        <w:t xml:space="preserve"> ويمكننا أن نشير باختصار إلى البعض منهم</w:t>
      </w:r>
      <w:r w:rsidR="00411E3B" w:rsidRPr="00904FCB">
        <w:rPr>
          <w:rFonts w:hint="cs"/>
          <w:sz w:val="27"/>
          <w:rtl/>
        </w:rPr>
        <w:t>،</w:t>
      </w:r>
      <w:r w:rsidRPr="00904FCB">
        <w:rPr>
          <w:rFonts w:hint="cs"/>
          <w:sz w:val="27"/>
          <w:rtl/>
        </w:rPr>
        <w:t xml:space="preserve"> أمثال</w:t>
      </w:r>
      <w:r w:rsidR="00411E3B" w:rsidRPr="00904FCB">
        <w:rPr>
          <w:rFonts w:hint="cs"/>
          <w:sz w:val="27"/>
          <w:rtl/>
        </w:rPr>
        <w:t>:</w:t>
      </w:r>
      <w:r w:rsidRPr="00904FCB">
        <w:rPr>
          <w:rFonts w:hint="cs"/>
          <w:sz w:val="27"/>
          <w:rtl/>
        </w:rPr>
        <w:t xml:space="preserve"> ألبرت شفيتسر</w:t>
      </w:r>
      <w:r w:rsidRPr="00904FCB">
        <w:rPr>
          <w:sz w:val="27"/>
          <w:vertAlign w:val="superscript"/>
          <w:rtl/>
        </w:rPr>
        <w:t>(</w:t>
      </w:r>
      <w:r w:rsidRPr="00904FCB">
        <w:rPr>
          <w:rStyle w:val="ac"/>
          <w:sz w:val="27"/>
          <w:rtl/>
        </w:rPr>
        <w:endnoteReference w:id="501"/>
      </w:r>
      <w:r w:rsidRPr="00904FCB">
        <w:rPr>
          <w:sz w:val="27"/>
          <w:vertAlign w:val="superscript"/>
          <w:rtl/>
        </w:rPr>
        <w:t>)</w:t>
      </w:r>
      <w:r w:rsidR="00411E3B" w:rsidRPr="00904FCB">
        <w:rPr>
          <w:rFonts w:hint="cs"/>
          <w:sz w:val="27"/>
          <w:rtl/>
        </w:rPr>
        <w:t>،</w:t>
      </w:r>
      <w:r w:rsidRPr="00904FCB">
        <w:rPr>
          <w:rFonts w:hint="cs"/>
          <w:sz w:val="27"/>
          <w:rtl/>
        </w:rPr>
        <w:t xml:space="preserve"> ر</w:t>
      </w:r>
      <w:r w:rsidR="00411E3B" w:rsidRPr="00904FCB">
        <w:rPr>
          <w:rFonts w:hint="cs"/>
          <w:sz w:val="27"/>
          <w:rtl/>
        </w:rPr>
        <w:t>ي</w:t>
      </w:r>
      <w:r w:rsidRPr="00904FCB">
        <w:rPr>
          <w:rFonts w:hint="cs"/>
          <w:sz w:val="27"/>
          <w:rtl/>
        </w:rPr>
        <w:t>ني</w:t>
      </w:r>
      <w:r w:rsidR="00411E3B" w:rsidRPr="00904FCB">
        <w:rPr>
          <w:rFonts w:hint="cs"/>
          <w:sz w:val="27"/>
          <w:rtl/>
        </w:rPr>
        <w:t>ه</w:t>
      </w:r>
      <w:r w:rsidRPr="00904FCB">
        <w:rPr>
          <w:rFonts w:hint="cs"/>
          <w:sz w:val="27"/>
          <w:rtl/>
        </w:rPr>
        <w:t xml:space="preserve"> غينون</w:t>
      </w:r>
      <w:r w:rsidRPr="00904FCB">
        <w:rPr>
          <w:sz w:val="27"/>
          <w:vertAlign w:val="superscript"/>
          <w:rtl/>
        </w:rPr>
        <w:t>(</w:t>
      </w:r>
      <w:r w:rsidRPr="00904FCB">
        <w:rPr>
          <w:rStyle w:val="ac"/>
          <w:sz w:val="27"/>
          <w:rtl/>
        </w:rPr>
        <w:endnoteReference w:id="502"/>
      </w:r>
      <w:r w:rsidRPr="00904FCB">
        <w:rPr>
          <w:sz w:val="27"/>
          <w:vertAlign w:val="superscript"/>
          <w:rtl/>
        </w:rPr>
        <w:t>)</w:t>
      </w:r>
      <w:r w:rsidR="00411E3B" w:rsidRPr="00904FCB">
        <w:rPr>
          <w:rFonts w:hint="cs"/>
          <w:sz w:val="27"/>
          <w:rtl/>
        </w:rPr>
        <w:t>،</w:t>
      </w:r>
      <w:r w:rsidRPr="00904FCB">
        <w:rPr>
          <w:rFonts w:hint="cs"/>
          <w:sz w:val="27"/>
          <w:rtl/>
        </w:rPr>
        <w:t xml:space="preserve"> روجي</w:t>
      </w:r>
      <w:r w:rsidR="00411E3B" w:rsidRPr="00904FCB">
        <w:rPr>
          <w:rFonts w:hint="cs"/>
          <w:sz w:val="27"/>
          <w:rtl/>
        </w:rPr>
        <w:t>ه</w:t>
      </w:r>
      <w:r w:rsidRPr="00904FCB">
        <w:rPr>
          <w:rFonts w:hint="cs"/>
          <w:sz w:val="27"/>
          <w:rtl/>
        </w:rPr>
        <w:t xml:space="preserve"> غارودي</w:t>
      </w:r>
      <w:r w:rsidRPr="00904FCB">
        <w:rPr>
          <w:sz w:val="27"/>
          <w:vertAlign w:val="superscript"/>
          <w:rtl/>
        </w:rPr>
        <w:t>(</w:t>
      </w:r>
      <w:r w:rsidRPr="00904FCB">
        <w:rPr>
          <w:rStyle w:val="ac"/>
          <w:sz w:val="27"/>
          <w:rtl/>
        </w:rPr>
        <w:endnoteReference w:id="503"/>
      </w:r>
      <w:r w:rsidRPr="00904FCB">
        <w:rPr>
          <w:sz w:val="27"/>
          <w:vertAlign w:val="superscript"/>
          <w:rtl/>
        </w:rPr>
        <w:t>)</w:t>
      </w:r>
      <w:r w:rsidR="00411E3B" w:rsidRPr="00904FCB">
        <w:rPr>
          <w:rFonts w:hint="cs"/>
          <w:sz w:val="27"/>
          <w:rtl/>
        </w:rPr>
        <w:t>،</w:t>
      </w:r>
      <w:r w:rsidRPr="00904FCB">
        <w:rPr>
          <w:rFonts w:hint="cs"/>
          <w:sz w:val="27"/>
          <w:rtl/>
        </w:rPr>
        <w:t xml:space="preserve"> وألكسيس كاريل</w:t>
      </w:r>
      <w:r w:rsidRPr="00904FCB">
        <w:rPr>
          <w:sz w:val="27"/>
          <w:vertAlign w:val="superscript"/>
          <w:rtl/>
        </w:rPr>
        <w:t>(</w:t>
      </w:r>
      <w:r w:rsidRPr="00904FCB">
        <w:rPr>
          <w:rStyle w:val="ac"/>
          <w:sz w:val="27"/>
          <w:rtl/>
        </w:rPr>
        <w:endnoteReference w:id="504"/>
      </w:r>
      <w:r w:rsidRPr="00904FCB">
        <w:rPr>
          <w:sz w:val="27"/>
          <w:vertAlign w:val="superscript"/>
          <w:rtl/>
        </w:rPr>
        <w:t>)</w:t>
      </w:r>
      <w:r w:rsidRPr="00904FCB">
        <w:rPr>
          <w:rFonts w:hint="cs"/>
          <w:sz w:val="27"/>
          <w:rtl/>
        </w:rPr>
        <w:t xml:space="preserve">. </w:t>
      </w:r>
    </w:p>
    <w:p w:rsidR="00625F5D" w:rsidRPr="00904FCB" w:rsidRDefault="00625F5D" w:rsidP="007A21AA">
      <w:pPr>
        <w:tabs>
          <w:tab w:val="num" w:pos="798"/>
        </w:tabs>
        <w:spacing w:line="400" w:lineRule="exact"/>
        <w:rPr>
          <w:sz w:val="27"/>
          <w:rtl/>
        </w:rPr>
      </w:pPr>
      <w:r w:rsidRPr="00904FCB">
        <w:rPr>
          <w:rFonts w:hint="cs"/>
          <w:sz w:val="27"/>
          <w:rtl/>
        </w:rPr>
        <w:t>ففيلسوف الحضارة الألماني ألبرت شفيتسر</w:t>
      </w:r>
      <w:r w:rsidRPr="00904FCB">
        <w:rPr>
          <w:rFonts w:asciiTheme="majorBidi" w:hAnsiTheme="majorBidi" w:hint="cs"/>
          <w:sz w:val="27"/>
          <w:rtl/>
        </w:rPr>
        <w:t xml:space="preserve"> </w:t>
      </w:r>
      <w:r w:rsidRPr="00904FCB">
        <w:rPr>
          <w:rFonts w:asciiTheme="majorBidi" w:hAnsiTheme="majorBidi"/>
          <w:sz w:val="27"/>
          <w:rtl/>
        </w:rPr>
        <w:t>(</w:t>
      </w:r>
      <w:r w:rsidRPr="00A80D94">
        <w:rPr>
          <w:rFonts w:asciiTheme="majorBidi" w:hAnsiTheme="majorBidi"/>
          <w:sz w:val="27"/>
          <w:rtl/>
        </w:rPr>
        <w:t>1875</w:t>
      </w:r>
      <w:r w:rsidRPr="00904FCB">
        <w:rPr>
          <w:rFonts w:asciiTheme="majorBidi" w:hAnsiTheme="majorBidi"/>
          <w:sz w:val="27"/>
          <w:rtl/>
        </w:rPr>
        <w:t xml:space="preserve"> ـ </w:t>
      </w:r>
      <w:r w:rsidRPr="00A80D94">
        <w:rPr>
          <w:rFonts w:asciiTheme="majorBidi" w:hAnsiTheme="majorBidi"/>
          <w:sz w:val="27"/>
          <w:rtl/>
        </w:rPr>
        <w:t>1965</w:t>
      </w:r>
      <w:r w:rsidRPr="00904FCB">
        <w:rPr>
          <w:rFonts w:asciiTheme="majorBidi" w:hAnsiTheme="majorBidi"/>
          <w:sz w:val="27"/>
          <w:rtl/>
        </w:rPr>
        <w:t xml:space="preserve">) </w:t>
      </w:r>
      <w:r w:rsidRPr="00904FCB">
        <w:rPr>
          <w:rFonts w:hint="cs"/>
          <w:sz w:val="27"/>
          <w:rtl/>
        </w:rPr>
        <w:t>يؤك</w:t>
      </w:r>
      <w:r w:rsidR="00411E3B" w:rsidRPr="00904FCB">
        <w:rPr>
          <w:rFonts w:hint="cs"/>
          <w:sz w:val="27"/>
          <w:rtl/>
        </w:rPr>
        <w:t>ِّ</w:t>
      </w:r>
      <w:r w:rsidRPr="00904FCB">
        <w:rPr>
          <w:rFonts w:hint="cs"/>
          <w:sz w:val="27"/>
          <w:rtl/>
        </w:rPr>
        <w:t>د قائلا</w:t>
      </w:r>
      <w:r w:rsidR="00411E3B"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نحن نعيش اليوم في ظل</w:t>
      </w:r>
      <w:r w:rsidR="00411E3B" w:rsidRPr="00904FCB">
        <w:rPr>
          <w:rFonts w:hint="cs"/>
          <w:sz w:val="27"/>
          <w:rtl/>
        </w:rPr>
        <w:t>ّ</w:t>
      </w:r>
      <w:r w:rsidRPr="00904FCB">
        <w:rPr>
          <w:rFonts w:hint="cs"/>
          <w:sz w:val="27"/>
          <w:rtl/>
        </w:rPr>
        <w:t xml:space="preserve"> انهيار الحضارة</w:t>
      </w:r>
      <w:r w:rsidR="00411E3B" w:rsidRPr="00904FCB">
        <w:rPr>
          <w:rFonts w:hint="cs"/>
          <w:sz w:val="27"/>
          <w:rtl/>
        </w:rPr>
        <w:t>،</w:t>
      </w:r>
      <w:r w:rsidRPr="00904FCB">
        <w:rPr>
          <w:rFonts w:hint="cs"/>
          <w:sz w:val="27"/>
          <w:rtl/>
        </w:rPr>
        <w:t xml:space="preserve"> وبالرغم من أن الغرب احتفظ بقو</w:t>
      </w:r>
      <w:r w:rsidR="00411E3B" w:rsidRPr="00904FCB">
        <w:rPr>
          <w:rFonts w:hint="cs"/>
          <w:sz w:val="27"/>
          <w:rtl/>
        </w:rPr>
        <w:t>ّ</w:t>
      </w:r>
      <w:r w:rsidRPr="00904FCB">
        <w:rPr>
          <w:rFonts w:hint="cs"/>
          <w:sz w:val="27"/>
          <w:rtl/>
        </w:rPr>
        <w:t>ته في معظم مرافق الحياة إلا</w:t>
      </w:r>
      <w:r w:rsidR="00CC2151">
        <w:rPr>
          <w:rFonts w:hint="cs"/>
          <w:sz w:val="27"/>
          <w:rtl/>
        </w:rPr>
        <w:t>ّ</w:t>
      </w:r>
      <w:r w:rsidRPr="00904FCB">
        <w:rPr>
          <w:rFonts w:hint="cs"/>
          <w:sz w:val="27"/>
          <w:rtl/>
        </w:rPr>
        <w:t xml:space="preserve"> أن</w:t>
      </w:r>
      <w:r w:rsidR="00411E3B" w:rsidRPr="00904FCB">
        <w:rPr>
          <w:rFonts w:hint="cs"/>
          <w:sz w:val="27"/>
          <w:rtl/>
        </w:rPr>
        <w:t>ّ</w:t>
      </w:r>
      <w:r w:rsidRPr="00904FCB">
        <w:rPr>
          <w:rFonts w:hint="cs"/>
          <w:sz w:val="27"/>
          <w:rtl/>
        </w:rPr>
        <w:t>ه روحي</w:t>
      </w:r>
      <w:r w:rsidR="00411E3B" w:rsidRPr="00904FCB">
        <w:rPr>
          <w:rFonts w:hint="cs"/>
          <w:sz w:val="27"/>
          <w:rtl/>
        </w:rPr>
        <w:t>ّ</w:t>
      </w:r>
      <w:r w:rsidRPr="00904FCB">
        <w:rPr>
          <w:rFonts w:hint="cs"/>
          <w:sz w:val="27"/>
          <w:rtl/>
        </w:rPr>
        <w:t>ا</w:t>
      </w:r>
      <w:r w:rsidR="00411E3B" w:rsidRPr="00904FCB">
        <w:rPr>
          <w:rFonts w:hint="cs"/>
          <w:sz w:val="27"/>
          <w:rtl/>
        </w:rPr>
        <w:t>ً</w:t>
      </w:r>
      <w:r w:rsidRPr="00904FCB">
        <w:rPr>
          <w:rFonts w:hint="cs"/>
          <w:sz w:val="27"/>
          <w:rtl/>
        </w:rPr>
        <w:t xml:space="preserve"> مصاب</w:t>
      </w:r>
      <w:r w:rsidR="00411E3B" w:rsidRPr="00904FCB">
        <w:rPr>
          <w:rFonts w:hint="cs"/>
          <w:sz w:val="27"/>
          <w:rtl/>
        </w:rPr>
        <w:t>ٌ</w:t>
      </w:r>
      <w:r w:rsidRPr="00904FCB">
        <w:rPr>
          <w:rFonts w:hint="cs"/>
          <w:sz w:val="27"/>
          <w:rtl/>
        </w:rPr>
        <w:t xml:space="preserve"> بالهزال</w:t>
      </w:r>
      <w:r w:rsidRPr="00904FCB">
        <w:rPr>
          <w:rFonts w:hint="eastAsia"/>
          <w:sz w:val="27"/>
          <w:rtl/>
        </w:rPr>
        <w:t>»</w:t>
      </w:r>
      <w:r w:rsidRPr="00904FCB">
        <w:rPr>
          <w:sz w:val="27"/>
          <w:vertAlign w:val="superscript"/>
          <w:rtl/>
        </w:rPr>
        <w:t>(</w:t>
      </w:r>
      <w:r w:rsidRPr="00904FCB">
        <w:rPr>
          <w:rStyle w:val="ac"/>
          <w:sz w:val="27"/>
          <w:rtl/>
        </w:rPr>
        <w:endnoteReference w:id="505"/>
      </w:r>
      <w:r w:rsidRPr="00904FCB">
        <w:rPr>
          <w:sz w:val="27"/>
          <w:vertAlign w:val="superscript"/>
          <w:rtl/>
        </w:rPr>
        <w:t>)</w:t>
      </w:r>
      <w:r w:rsidRPr="00904FCB">
        <w:rPr>
          <w:rFonts w:hint="cs"/>
          <w:sz w:val="27"/>
          <w:rtl/>
        </w:rPr>
        <w:t xml:space="preserve">. </w:t>
      </w:r>
    </w:p>
    <w:p w:rsidR="00625F5D" w:rsidRPr="00904FCB" w:rsidRDefault="00625F5D" w:rsidP="007A21AA">
      <w:pPr>
        <w:tabs>
          <w:tab w:val="num" w:pos="798"/>
        </w:tabs>
        <w:spacing w:line="400" w:lineRule="exact"/>
        <w:rPr>
          <w:sz w:val="27"/>
          <w:rtl/>
        </w:rPr>
      </w:pPr>
      <w:r w:rsidRPr="00904FCB">
        <w:rPr>
          <w:rFonts w:hint="cs"/>
          <w:sz w:val="27"/>
          <w:rtl/>
        </w:rPr>
        <w:t>أما المفك</w:t>
      </w:r>
      <w:r w:rsidR="00411E3B" w:rsidRPr="00904FCB">
        <w:rPr>
          <w:rFonts w:hint="cs"/>
          <w:sz w:val="27"/>
          <w:rtl/>
        </w:rPr>
        <w:t>ِّ</w:t>
      </w:r>
      <w:r w:rsidRPr="00904FCB">
        <w:rPr>
          <w:rFonts w:hint="cs"/>
          <w:sz w:val="27"/>
          <w:rtl/>
        </w:rPr>
        <w:t>ر الفرنسي</w:t>
      </w:r>
      <w:r w:rsidR="00411E3B" w:rsidRPr="00904FCB">
        <w:rPr>
          <w:rFonts w:hint="cs"/>
          <w:sz w:val="27"/>
          <w:rtl/>
        </w:rPr>
        <w:t xml:space="preserve"> </w:t>
      </w:r>
      <w:r w:rsidRPr="00904FCB">
        <w:rPr>
          <w:rFonts w:hint="cs"/>
          <w:sz w:val="27"/>
          <w:rtl/>
        </w:rPr>
        <w:t>ر</w:t>
      </w:r>
      <w:r w:rsidR="00411E3B" w:rsidRPr="00904FCB">
        <w:rPr>
          <w:rFonts w:hint="cs"/>
          <w:sz w:val="27"/>
          <w:rtl/>
        </w:rPr>
        <w:t>ي</w:t>
      </w:r>
      <w:r w:rsidRPr="00904FCB">
        <w:rPr>
          <w:rFonts w:hint="cs"/>
          <w:sz w:val="27"/>
          <w:rtl/>
        </w:rPr>
        <w:t>ني</w:t>
      </w:r>
      <w:r w:rsidR="00411E3B" w:rsidRPr="00904FCB">
        <w:rPr>
          <w:rFonts w:hint="cs"/>
          <w:sz w:val="27"/>
          <w:rtl/>
        </w:rPr>
        <w:t>ه</w:t>
      </w:r>
      <w:r w:rsidRPr="00904FCB">
        <w:rPr>
          <w:rFonts w:hint="cs"/>
          <w:sz w:val="27"/>
          <w:rtl/>
        </w:rPr>
        <w:t xml:space="preserve"> غينون</w:t>
      </w:r>
      <w:r w:rsidRPr="00904FCB">
        <w:rPr>
          <w:rFonts w:asciiTheme="majorBidi" w:hAnsiTheme="majorBidi" w:hint="cs"/>
          <w:sz w:val="27"/>
          <w:rtl/>
        </w:rPr>
        <w:t xml:space="preserve"> </w:t>
      </w:r>
      <w:r w:rsidRPr="00904FCB">
        <w:rPr>
          <w:rFonts w:asciiTheme="majorBidi" w:hAnsiTheme="majorBidi"/>
          <w:sz w:val="27"/>
          <w:rtl/>
        </w:rPr>
        <w:t>(</w:t>
      </w:r>
      <w:r w:rsidRPr="00A80D94">
        <w:rPr>
          <w:rFonts w:asciiTheme="majorBidi" w:hAnsiTheme="majorBidi" w:hint="cs"/>
          <w:sz w:val="27"/>
          <w:rtl/>
        </w:rPr>
        <w:t>1886</w:t>
      </w:r>
      <w:r w:rsidRPr="00904FCB">
        <w:rPr>
          <w:rFonts w:asciiTheme="majorBidi" w:hAnsiTheme="majorBidi"/>
          <w:sz w:val="27"/>
          <w:rtl/>
        </w:rPr>
        <w:t xml:space="preserve"> ـ </w:t>
      </w:r>
      <w:r w:rsidRPr="00A80D94">
        <w:rPr>
          <w:rFonts w:asciiTheme="majorBidi" w:hAnsiTheme="majorBidi" w:hint="cs"/>
          <w:sz w:val="27"/>
          <w:rtl/>
        </w:rPr>
        <w:t>1954</w:t>
      </w:r>
      <w:r w:rsidRPr="00904FCB">
        <w:rPr>
          <w:rFonts w:hint="cs"/>
          <w:sz w:val="27"/>
          <w:rtl/>
        </w:rPr>
        <w:t>) فيرى أن الحضارة الغربية بُنيت أساسا</w:t>
      </w:r>
      <w:r w:rsidR="00411E3B" w:rsidRPr="00904FCB">
        <w:rPr>
          <w:rFonts w:hint="cs"/>
          <w:sz w:val="27"/>
          <w:rtl/>
        </w:rPr>
        <w:t xml:space="preserve">ً </w:t>
      </w:r>
      <w:r w:rsidRPr="00904FCB">
        <w:rPr>
          <w:rFonts w:hint="cs"/>
          <w:sz w:val="27"/>
          <w:rtl/>
        </w:rPr>
        <w:t>على تغييب المبادئ الأخلاقية والروحية، فهي حضارة</w:t>
      </w:r>
      <w:r w:rsidR="00411E3B" w:rsidRPr="00904FCB">
        <w:rPr>
          <w:rFonts w:hint="cs"/>
          <w:sz w:val="27"/>
          <w:rtl/>
        </w:rPr>
        <w:t>ٌ</w:t>
      </w:r>
      <w:r w:rsidRPr="00904FCB">
        <w:rPr>
          <w:rFonts w:hint="cs"/>
          <w:sz w:val="27"/>
          <w:rtl/>
        </w:rPr>
        <w:t xml:space="preserve"> مادية متصل</w:t>
      </w:r>
      <w:r w:rsidR="00411E3B" w:rsidRPr="00904FCB">
        <w:rPr>
          <w:rFonts w:hint="cs"/>
          <w:sz w:val="27"/>
          <w:rtl/>
        </w:rPr>
        <w:t>ِّ</w:t>
      </w:r>
      <w:r w:rsidRPr="00904FCB">
        <w:rPr>
          <w:rFonts w:hint="cs"/>
          <w:sz w:val="27"/>
          <w:rtl/>
        </w:rPr>
        <w:t>دة. وقد كانت صبغتُها المادية متمركزة</w:t>
      </w:r>
      <w:r w:rsidR="00411E3B" w:rsidRPr="00904FCB">
        <w:rPr>
          <w:rFonts w:hint="cs"/>
          <w:sz w:val="27"/>
          <w:rtl/>
        </w:rPr>
        <w:t>ً</w:t>
      </w:r>
      <w:r w:rsidRPr="00904FCB">
        <w:rPr>
          <w:rFonts w:hint="cs"/>
          <w:sz w:val="27"/>
          <w:rtl/>
        </w:rPr>
        <w:t xml:space="preserve"> في حدودها، لكن</w:t>
      </w:r>
      <w:r w:rsidR="00411E3B" w:rsidRPr="00904FCB">
        <w:rPr>
          <w:rFonts w:hint="cs"/>
          <w:sz w:val="27"/>
          <w:rtl/>
        </w:rPr>
        <w:t>ّ</w:t>
      </w:r>
      <w:r w:rsidRPr="00904FCB">
        <w:rPr>
          <w:rFonts w:hint="cs"/>
          <w:sz w:val="27"/>
          <w:rtl/>
        </w:rPr>
        <w:t>ها الآن تسعى جاهدة إلى تصدير هذه المخاطر المادية إلى الشعوب الأخرى بكل الأشكال الممكنة. و</w:t>
      </w:r>
      <w:r w:rsidR="00411E3B" w:rsidRPr="00904FCB">
        <w:rPr>
          <w:rFonts w:hint="cs"/>
          <w:sz w:val="27"/>
          <w:rtl/>
        </w:rPr>
        <w:t>إ</w:t>
      </w:r>
      <w:r w:rsidRPr="00904FCB">
        <w:rPr>
          <w:rFonts w:hint="cs"/>
          <w:sz w:val="27"/>
          <w:rtl/>
        </w:rPr>
        <w:t>ننا إذا بحثنا في إيجابي</w:t>
      </w:r>
      <w:r w:rsidR="00411E3B" w:rsidRPr="00904FCB">
        <w:rPr>
          <w:rFonts w:hint="cs"/>
          <w:sz w:val="27"/>
          <w:rtl/>
        </w:rPr>
        <w:t>ّا</w:t>
      </w:r>
      <w:r w:rsidRPr="00904FCB">
        <w:rPr>
          <w:rFonts w:hint="cs"/>
          <w:sz w:val="27"/>
          <w:rtl/>
        </w:rPr>
        <w:t>تها وسلبي</w:t>
      </w:r>
      <w:r w:rsidR="00411E3B" w:rsidRPr="00904FCB">
        <w:rPr>
          <w:rFonts w:hint="cs"/>
          <w:sz w:val="27"/>
          <w:rtl/>
        </w:rPr>
        <w:t>ّ</w:t>
      </w:r>
      <w:r w:rsidRPr="00904FCB">
        <w:rPr>
          <w:rFonts w:hint="cs"/>
          <w:sz w:val="27"/>
          <w:rtl/>
        </w:rPr>
        <w:t>اتها</w:t>
      </w:r>
      <w:r w:rsidRPr="00904FCB">
        <w:rPr>
          <w:sz w:val="27"/>
          <w:rtl/>
        </w:rPr>
        <w:t xml:space="preserve"> </w:t>
      </w:r>
      <w:r w:rsidRPr="00904FCB">
        <w:rPr>
          <w:rFonts w:hint="cs"/>
          <w:sz w:val="27"/>
          <w:rtl/>
        </w:rPr>
        <w:t>وجدنا أن سلبي</w:t>
      </w:r>
      <w:r w:rsidR="00411E3B" w:rsidRPr="00904FCB">
        <w:rPr>
          <w:rFonts w:hint="cs"/>
          <w:sz w:val="27"/>
          <w:rtl/>
        </w:rPr>
        <w:t>ّ</w:t>
      </w:r>
      <w:r w:rsidRPr="00904FCB">
        <w:rPr>
          <w:rFonts w:hint="cs"/>
          <w:sz w:val="27"/>
          <w:rtl/>
        </w:rPr>
        <w:t>اتها أكثر من إيجابي</w:t>
      </w:r>
      <w:r w:rsidR="00411E3B" w:rsidRPr="00904FCB">
        <w:rPr>
          <w:rFonts w:hint="cs"/>
          <w:sz w:val="27"/>
          <w:rtl/>
        </w:rPr>
        <w:t>ّ</w:t>
      </w:r>
      <w:r w:rsidRPr="00904FCB">
        <w:rPr>
          <w:rFonts w:hint="cs"/>
          <w:sz w:val="27"/>
          <w:rtl/>
        </w:rPr>
        <w:t>اتها</w:t>
      </w:r>
      <w:r w:rsidRPr="00904FCB">
        <w:rPr>
          <w:sz w:val="27"/>
          <w:vertAlign w:val="superscript"/>
          <w:rtl/>
        </w:rPr>
        <w:t>(</w:t>
      </w:r>
      <w:r w:rsidRPr="00904FCB">
        <w:rPr>
          <w:rStyle w:val="ac"/>
          <w:sz w:val="27"/>
          <w:rtl/>
        </w:rPr>
        <w:endnoteReference w:id="506"/>
      </w:r>
      <w:r w:rsidRPr="00904FCB">
        <w:rPr>
          <w:sz w:val="27"/>
          <w:vertAlign w:val="superscript"/>
          <w:rtl/>
        </w:rPr>
        <w:t>)</w:t>
      </w:r>
      <w:r w:rsidRPr="00904FCB">
        <w:rPr>
          <w:rFonts w:hint="cs"/>
          <w:sz w:val="27"/>
          <w:rtl/>
        </w:rPr>
        <w:t xml:space="preserve">. </w:t>
      </w:r>
    </w:p>
    <w:p w:rsidR="00625F5D" w:rsidRPr="00904FCB" w:rsidRDefault="00625F5D" w:rsidP="007A21AA">
      <w:pPr>
        <w:tabs>
          <w:tab w:val="num" w:pos="798"/>
        </w:tabs>
        <w:spacing w:line="400" w:lineRule="exact"/>
        <w:rPr>
          <w:sz w:val="27"/>
          <w:rtl/>
        </w:rPr>
      </w:pPr>
      <w:r w:rsidRPr="00904FCB">
        <w:rPr>
          <w:rFonts w:hint="cs"/>
          <w:sz w:val="27"/>
          <w:rtl/>
        </w:rPr>
        <w:t>ويؤكد المفك</w:t>
      </w:r>
      <w:r w:rsidR="00411E3B" w:rsidRPr="00904FCB">
        <w:rPr>
          <w:rFonts w:hint="cs"/>
          <w:sz w:val="27"/>
          <w:rtl/>
        </w:rPr>
        <w:t>ِّ</w:t>
      </w:r>
      <w:r w:rsidRPr="00904FCB">
        <w:rPr>
          <w:rFonts w:hint="cs"/>
          <w:sz w:val="27"/>
          <w:rtl/>
        </w:rPr>
        <w:t>ر الفرنسي روجي</w:t>
      </w:r>
      <w:r w:rsidR="00411E3B" w:rsidRPr="00904FCB">
        <w:rPr>
          <w:rFonts w:hint="cs"/>
          <w:sz w:val="27"/>
          <w:rtl/>
        </w:rPr>
        <w:t>ه</w:t>
      </w:r>
      <w:r w:rsidRPr="00904FCB">
        <w:rPr>
          <w:rFonts w:hint="cs"/>
          <w:sz w:val="27"/>
          <w:rtl/>
        </w:rPr>
        <w:t xml:space="preserve"> غارودي</w:t>
      </w:r>
      <w:r w:rsidRPr="00904FCB">
        <w:rPr>
          <w:rFonts w:hint="cs"/>
          <w:sz w:val="27"/>
          <w:rtl/>
          <w:lang w:bidi="ar-LB"/>
        </w:rPr>
        <w:t xml:space="preserve"> </w:t>
      </w:r>
      <w:r w:rsidRPr="00904FCB">
        <w:rPr>
          <w:rFonts w:asciiTheme="majorBidi" w:hAnsiTheme="majorBidi"/>
          <w:sz w:val="27"/>
          <w:rtl/>
        </w:rPr>
        <w:t>(</w:t>
      </w:r>
      <w:r w:rsidRPr="00A80D94">
        <w:rPr>
          <w:rFonts w:asciiTheme="majorBidi" w:hAnsiTheme="majorBidi"/>
          <w:sz w:val="27"/>
          <w:rtl/>
        </w:rPr>
        <w:t>1913</w:t>
      </w:r>
      <w:r w:rsidRPr="00904FCB">
        <w:rPr>
          <w:rFonts w:asciiTheme="majorBidi" w:hAnsiTheme="majorBidi"/>
          <w:sz w:val="27"/>
          <w:rtl/>
        </w:rPr>
        <w:t xml:space="preserve"> ـ </w:t>
      </w:r>
      <w:r w:rsidRPr="00A80D94">
        <w:rPr>
          <w:rFonts w:asciiTheme="majorBidi" w:hAnsiTheme="majorBidi"/>
          <w:sz w:val="27"/>
          <w:rtl/>
        </w:rPr>
        <w:t>2012</w:t>
      </w:r>
      <w:r w:rsidRPr="00904FCB">
        <w:rPr>
          <w:rFonts w:hint="cs"/>
          <w:sz w:val="27"/>
          <w:rtl/>
        </w:rPr>
        <w:t>) على أن الحضارة الغربية قد ضي</w:t>
      </w:r>
      <w:r w:rsidR="00312497" w:rsidRPr="00904FCB">
        <w:rPr>
          <w:rFonts w:hint="cs"/>
          <w:sz w:val="27"/>
          <w:rtl/>
        </w:rPr>
        <w:t>َّ</w:t>
      </w:r>
      <w:r w:rsidRPr="00904FCB">
        <w:rPr>
          <w:rFonts w:hint="cs"/>
          <w:sz w:val="27"/>
          <w:rtl/>
        </w:rPr>
        <w:t>عت البعد الإنساني للبشر، فباتت ثقافتها ثقافة فرعونية</w:t>
      </w:r>
      <w:r w:rsidR="00312497" w:rsidRPr="00904FCB">
        <w:rPr>
          <w:rFonts w:hint="cs"/>
          <w:sz w:val="27"/>
          <w:rtl/>
        </w:rPr>
        <w:t>.</w:t>
      </w:r>
      <w:r w:rsidRPr="00904FCB">
        <w:rPr>
          <w:rFonts w:hint="cs"/>
          <w:sz w:val="27"/>
          <w:rtl/>
        </w:rPr>
        <w:t xml:space="preserve"> وإ</w:t>
      </w:r>
      <w:r w:rsidR="00312497" w:rsidRPr="00904FCB">
        <w:rPr>
          <w:rFonts w:hint="cs"/>
          <w:sz w:val="27"/>
          <w:rtl/>
        </w:rPr>
        <w:t>ذا</w:t>
      </w:r>
      <w:r w:rsidRPr="00904FCB">
        <w:rPr>
          <w:rFonts w:hint="cs"/>
          <w:sz w:val="27"/>
          <w:rtl/>
        </w:rPr>
        <w:t xml:space="preserve"> استمرت هذه الثقافة في الانتشار فإنها ستؤد</w:t>
      </w:r>
      <w:r w:rsidR="00312497" w:rsidRPr="00904FCB">
        <w:rPr>
          <w:rFonts w:hint="cs"/>
          <w:sz w:val="27"/>
          <w:rtl/>
        </w:rPr>
        <w:t>ّ</w:t>
      </w:r>
      <w:r w:rsidRPr="00904FCB">
        <w:rPr>
          <w:rFonts w:hint="cs"/>
          <w:sz w:val="27"/>
          <w:rtl/>
        </w:rPr>
        <w:t>ي إلى انتحار الكون بأكمله</w:t>
      </w:r>
      <w:r w:rsidRPr="00904FCB">
        <w:rPr>
          <w:sz w:val="27"/>
          <w:vertAlign w:val="superscript"/>
          <w:rtl/>
        </w:rPr>
        <w:t>(</w:t>
      </w:r>
      <w:r w:rsidRPr="00904FCB">
        <w:rPr>
          <w:rStyle w:val="ac"/>
          <w:sz w:val="27"/>
          <w:rtl/>
        </w:rPr>
        <w:endnoteReference w:id="507"/>
      </w:r>
      <w:r w:rsidRPr="00904FCB">
        <w:rPr>
          <w:sz w:val="27"/>
          <w:vertAlign w:val="superscript"/>
          <w:rtl/>
        </w:rPr>
        <w:t>)</w:t>
      </w:r>
      <w:r w:rsidRPr="00904FCB">
        <w:rPr>
          <w:rFonts w:hint="cs"/>
          <w:sz w:val="27"/>
          <w:rtl/>
        </w:rPr>
        <w:t xml:space="preserve">. </w:t>
      </w:r>
    </w:p>
    <w:p w:rsidR="00625F5D" w:rsidRPr="00904FCB" w:rsidRDefault="00625F5D" w:rsidP="007A21AA">
      <w:pPr>
        <w:tabs>
          <w:tab w:val="num" w:pos="798"/>
        </w:tabs>
        <w:spacing w:line="400" w:lineRule="exact"/>
        <w:rPr>
          <w:sz w:val="27"/>
          <w:rtl/>
        </w:rPr>
      </w:pPr>
      <w:r w:rsidRPr="00904FCB">
        <w:rPr>
          <w:rFonts w:hint="cs"/>
          <w:sz w:val="27"/>
          <w:rtl/>
        </w:rPr>
        <w:t>وقد توصّ</w:t>
      </w:r>
      <w:r w:rsidR="00312497" w:rsidRPr="00904FCB">
        <w:rPr>
          <w:rFonts w:hint="cs"/>
          <w:sz w:val="27"/>
          <w:rtl/>
        </w:rPr>
        <w:t>َ</w:t>
      </w:r>
      <w:r w:rsidRPr="00904FCB">
        <w:rPr>
          <w:rFonts w:hint="cs"/>
          <w:sz w:val="27"/>
          <w:rtl/>
        </w:rPr>
        <w:t xml:space="preserve">ل الطبيب الفرنسي ألكسيس كاريل </w:t>
      </w:r>
      <w:r w:rsidRPr="00904FCB">
        <w:rPr>
          <w:rFonts w:asciiTheme="majorBidi" w:hAnsiTheme="majorBidi"/>
          <w:sz w:val="27"/>
          <w:rtl/>
        </w:rPr>
        <w:t>(</w:t>
      </w:r>
      <w:r w:rsidRPr="00A80D94">
        <w:rPr>
          <w:rFonts w:asciiTheme="majorBidi" w:hAnsiTheme="majorBidi"/>
          <w:sz w:val="27"/>
          <w:rtl/>
        </w:rPr>
        <w:t>1873</w:t>
      </w:r>
      <w:r w:rsidRPr="00904FCB">
        <w:rPr>
          <w:rFonts w:asciiTheme="majorBidi" w:hAnsiTheme="majorBidi"/>
          <w:sz w:val="27"/>
          <w:rtl/>
        </w:rPr>
        <w:t xml:space="preserve"> ـ </w:t>
      </w:r>
      <w:r w:rsidRPr="00A80D94">
        <w:rPr>
          <w:rFonts w:asciiTheme="majorBidi" w:hAnsiTheme="majorBidi"/>
          <w:sz w:val="27"/>
          <w:rtl/>
        </w:rPr>
        <w:t>1944</w:t>
      </w:r>
      <w:r w:rsidRPr="00A80D94">
        <w:rPr>
          <w:rFonts w:hint="cs"/>
          <w:sz w:val="27"/>
          <w:rtl/>
        </w:rPr>
        <w:t>م</w:t>
      </w:r>
      <w:r w:rsidRPr="00904FCB">
        <w:rPr>
          <w:rFonts w:hint="cs"/>
          <w:sz w:val="27"/>
          <w:rtl/>
        </w:rPr>
        <w:t xml:space="preserve">) إلى أن </w:t>
      </w:r>
      <w:r w:rsidRPr="00904FCB">
        <w:rPr>
          <w:rFonts w:hint="cs"/>
          <w:sz w:val="27"/>
          <w:rtl/>
        </w:rPr>
        <w:lastRenderedPageBreak/>
        <w:t>الحضارة الغربية سحقت كل</w:t>
      </w:r>
      <w:r w:rsidR="00312497" w:rsidRPr="00904FCB">
        <w:rPr>
          <w:rFonts w:hint="cs"/>
          <w:sz w:val="27"/>
          <w:rtl/>
        </w:rPr>
        <w:t>ّ</w:t>
      </w:r>
      <w:r w:rsidRPr="00904FCB">
        <w:rPr>
          <w:rFonts w:hint="cs"/>
          <w:sz w:val="27"/>
          <w:rtl/>
        </w:rPr>
        <w:t xml:space="preserve"> المعاني الإنسانية لدى الإنسان</w:t>
      </w:r>
      <w:r w:rsidR="00312497" w:rsidRPr="00904FCB">
        <w:rPr>
          <w:rFonts w:hint="cs"/>
          <w:sz w:val="27"/>
          <w:rtl/>
        </w:rPr>
        <w:t>،</w:t>
      </w:r>
      <w:r w:rsidRPr="00904FCB">
        <w:rPr>
          <w:rFonts w:hint="cs"/>
          <w:sz w:val="27"/>
          <w:rtl/>
        </w:rPr>
        <w:t xml:space="preserve"> فأعلن قائلا</w:t>
      </w:r>
      <w:r w:rsidR="00312497" w:rsidRPr="00904FCB">
        <w:rPr>
          <w:rFonts w:hint="cs"/>
          <w:sz w:val="27"/>
          <w:rtl/>
        </w:rPr>
        <w:t>ً:</w:t>
      </w:r>
      <w:r w:rsidRPr="00904FCB">
        <w:rPr>
          <w:rFonts w:hint="cs"/>
          <w:sz w:val="27"/>
          <w:rtl/>
        </w:rPr>
        <w:t xml:space="preserve"> </w:t>
      </w:r>
      <w:r w:rsidRPr="00904FCB">
        <w:rPr>
          <w:rFonts w:hint="eastAsia"/>
          <w:sz w:val="27"/>
          <w:rtl/>
        </w:rPr>
        <w:t>«</w:t>
      </w:r>
      <w:r w:rsidRPr="00904FCB">
        <w:rPr>
          <w:rFonts w:hint="cs"/>
          <w:sz w:val="27"/>
          <w:rtl/>
        </w:rPr>
        <w:t>إننا قوم تعساء</w:t>
      </w:r>
      <w:r w:rsidR="00312497" w:rsidRPr="00904FCB">
        <w:rPr>
          <w:rFonts w:hint="cs"/>
          <w:sz w:val="27"/>
          <w:rtl/>
        </w:rPr>
        <w:t>؛</w:t>
      </w:r>
      <w:r w:rsidRPr="00904FCB">
        <w:rPr>
          <w:rFonts w:hint="cs"/>
          <w:sz w:val="27"/>
          <w:rtl/>
        </w:rPr>
        <w:t xml:space="preserve"> لأننا ننحط</w:t>
      </w:r>
      <w:r w:rsidR="00312497" w:rsidRPr="00904FCB">
        <w:rPr>
          <w:rFonts w:hint="cs"/>
          <w:sz w:val="27"/>
          <w:rtl/>
        </w:rPr>
        <w:t>ّ</w:t>
      </w:r>
      <w:r w:rsidRPr="00904FCB">
        <w:rPr>
          <w:rFonts w:hint="cs"/>
          <w:sz w:val="27"/>
          <w:rtl/>
        </w:rPr>
        <w:t xml:space="preserve"> أخلاقيا</w:t>
      </w:r>
      <w:r w:rsidR="00312497" w:rsidRPr="00904FCB">
        <w:rPr>
          <w:rFonts w:hint="cs"/>
          <w:sz w:val="27"/>
          <w:rtl/>
        </w:rPr>
        <w:t>ً</w:t>
      </w:r>
      <w:r w:rsidRPr="00904FCB">
        <w:rPr>
          <w:rFonts w:hint="cs"/>
          <w:sz w:val="27"/>
          <w:rtl/>
        </w:rPr>
        <w:t xml:space="preserve"> وعقليا</w:t>
      </w:r>
      <w:r w:rsidR="00312497" w:rsidRPr="00904FCB">
        <w:rPr>
          <w:rFonts w:hint="cs"/>
          <w:sz w:val="27"/>
          <w:rtl/>
        </w:rPr>
        <w:t>ً</w:t>
      </w:r>
      <w:r w:rsidRPr="00904FCB">
        <w:rPr>
          <w:rFonts w:hint="eastAsia"/>
          <w:sz w:val="27"/>
          <w:rtl/>
        </w:rPr>
        <w:t>»</w:t>
      </w:r>
      <w:r w:rsidRPr="00904FCB">
        <w:rPr>
          <w:sz w:val="27"/>
          <w:vertAlign w:val="superscript"/>
          <w:rtl/>
        </w:rPr>
        <w:t>(</w:t>
      </w:r>
      <w:r w:rsidRPr="00904FCB">
        <w:rPr>
          <w:rStyle w:val="ac"/>
          <w:sz w:val="27"/>
          <w:rtl/>
        </w:rPr>
        <w:endnoteReference w:id="508"/>
      </w:r>
      <w:r w:rsidRPr="00904FCB">
        <w:rPr>
          <w:sz w:val="27"/>
          <w:vertAlign w:val="superscript"/>
          <w:rtl/>
        </w:rPr>
        <w:t>)</w:t>
      </w:r>
      <w:r w:rsidRPr="00904FCB">
        <w:rPr>
          <w:rFonts w:hint="cs"/>
          <w:sz w:val="27"/>
          <w:rtl/>
        </w:rPr>
        <w:t xml:space="preserve">. </w:t>
      </w:r>
    </w:p>
    <w:p w:rsidR="00625F5D" w:rsidRPr="00904FCB" w:rsidRDefault="00625F5D" w:rsidP="007A21AA">
      <w:pPr>
        <w:tabs>
          <w:tab w:val="num" w:pos="798"/>
        </w:tabs>
        <w:spacing w:line="400" w:lineRule="exact"/>
        <w:rPr>
          <w:sz w:val="27"/>
        </w:rPr>
      </w:pPr>
      <w:r w:rsidRPr="00904FCB">
        <w:rPr>
          <w:rFonts w:hint="cs"/>
          <w:sz w:val="27"/>
          <w:rtl/>
        </w:rPr>
        <w:tab/>
        <w:t>إن التمع</w:t>
      </w:r>
      <w:r w:rsidR="00312497" w:rsidRPr="00904FCB">
        <w:rPr>
          <w:rFonts w:hint="cs"/>
          <w:sz w:val="27"/>
          <w:rtl/>
        </w:rPr>
        <w:t>ُّ</w:t>
      </w:r>
      <w:r w:rsidRPr="00904FCB">
        <w:rPr>
          <w:rFonts w:hint="cs"/>
          <w:sz w:val="27"/>
          <w:rtl/>
        </w:rPr>
        <w:t>ن في هذه الشهادات</w:t>
      </w:r>
      <w:r w:rsidR="00312497" w:rsidRPr="00904FCB">
        <w:rPr>
          <w:rFonts w:hint="cs"/>
          <w:sz w:val="27"/>
          <w:rtl/>
        </w:rPr>
        <w:t>،</w:t>
      </w:r>
      <w:r w:rsidRPr="00904FCB">
        <w:rPr>
          <w:rFonts w:hint="cs"/>
          <w:sz w:val="27"/>
          <w:rtl/>
        </w:rPr>
        <w:t xml:space="preserve"> التي تمث</w:t>
      </w:r>
      <w:r w:rsidR="00312497" w:rsidRPr="00904FCB">
        <w:rPr>
          <w:rFonts w:hint="cs"/>
          <w:sz w:val="27"/>
          <w:rtl/>
        </w:rPr>
        <w:t>ِّ</w:t>
      </w:r>
      <w:r w:rsidRPr="00904FCB">
        <w:rPr>
          <w:rFonts w:hint="cs"/>
          <w:sz w:val="27"/>
          <w:rtl/>
        </w:rPr>
        <w:t>ل نقد العقل الغربي لذاته، يقودنا إلى نتيجة</w:t>
      </w:r>
      <w:r w:rsidR="00312497" w:rsidRPr="00904FCB">
        <w:rPr>
          <w:rFonts w:hint="cs"/>
          <w:sz w:val="27"/>
          <w:rtl/>
        </w:rPr>
        <w:t>ٍ</w:t>
      </w:r>
      <w:r w:rsidRPr="00904FCB">
        <w:rPr>
          <w:rFonts w:hint="cs"/>
          <w:sz w:val="27"/>
          <w:rtl/>
        </w:rPr>
        <w:t xml:space="preserve"> هام</w:t>
      </w:r>
      <w:r w:rsidR="00312497" w:rsidRPr="00904FCB">
        <w:rPr>
          <w:rFonts w:hint="cs"/>
          <w:sz w:val="27"/>
          <w:rtl/>
        </w:rPr>
        <w:t>ّ</w:t>
      </w:r>
      <w:r w:rsidRPr="00904FCB">
        <w:rPr>
          <w:rFonts w:hint="cs"/>
          <w:sz w:val="27"/>
          <w:rtl/>
        </w:rPr>
        <w:t>ة</w:t>
      </w:r>
      <w:r w:rsidR="00312497" w:rsidRPr="00904FCB">
        <w:rPr>
          <w:rFonts w:hint="cs"/>
          <w:sz w:val="27"/>
          <w:rtl/>
        </w:rPr>
        <w:t>،</w:t>
      </w:r>
      <w:r w:rsidRPr="00904FCB">
        <w:rPr>
          <w:rFonts w:hint="cs"/>
          <w:sz w:val="27"/>
          <w:rtl/>
        </w:rPr>
        <w:t xml:space="preserve"> وهي أنه في حال اصطباغنا بق</w:t>
      </w:r>
      <w:r w:rsidR="00312497" w:rsidRPr="00904FCB">
        <w:rPr>
          <w:rFonts w:hint="cs"/>
          <w:sz w:val="27"/>
          <w:rtl/>
        </w:rPr>
        <w:t>ِ</w:t>
      </w:r>
      <w:r w:rsidRPr="00904FCB">
        <w:rPr>
          <w:rFonts w:hint="cs"/>
          <w:sz w:val="27"/>
          <w:rtl/>
        </w:rPr>
        <w:t>ي</w:t>
      </w:r>
      <w:r w:rsidR="00312497" w:rsidRPr="00904FCB">
        <w:rPr>
          <w:rFonts w:hint="cs"/>
          <w:sz w:val="27"/>
          <w:rtl/>
        </w:rPr>
        <w:t>َ</w:t>
      </w:r>
      <w:r w:rsidRPr="00904FCB">
        <w:rPr>
          <w:rFonts w:hint="cs"/>
          <w:sz w:val="27"/>
          <w:rtl/>
        </w:rPr>
        <w:t xml:space="preserve">م الحياة الاجتماعية الغربية سيصيبنا لا محالة ما أصاب ذلك المجتمع. </w:t>
      </w:r>
    </w:p>
    <w:p w:rsidR="00625F5D" w:rsidRPr="00904FCB" w:rsidRDefault="00625F5D" w:rsidP="007A21AA">
      <w:pPr>
        <w:tabs>
          <w:tab w:val="num" w:pos="798"/>
        </w:tabs>
        <w:spacing w:line="400" w:lineRule="exact"/>
        <w:rPr>
          <w:sz w:val="27"/>
          <w:rtl/>
        </w:rPr>
      </w:pPr>
      <w:r w:rsidRPr="00904FCB">
        <w:rPr>
          <w:rFonts w:hint="cs"/>
          <w:sz w:val="27"/>
          <w:rtl/>
        </w:rPr>
        <w:t>والحقيقة أن هذا الأمر غير مستبعد</w:t>
      </w:r>
      <w:r w:rsidR="00312497" w:rsidRPr="00904FCB">
        <w:rPr>
          <w:rFonts w:hint="cs"/>
          <w:sz w:val="27"/>
          <w:rtl/>
        </w:rPr>
        <w:t>؛</w:t>
      </w:r>
      <w:r w:rsidRPr="00904FCB">
        <w:rPr>
          <w:rFonts w:hint="cs"/>
          <w:sz w:val="27"/>
          <w:rtl/>
        </w:rPr>
        <w:t xml:space="preserve"> لأن الغرب </w:t>
      </w:r>
      <w:r w:rsidRPr="00904FCB">
        <w:rPr>
          <w:rFonts w:hint="eastAsia"/>
          <w:sz w:val="27"/>
          <w:rtl/>
        </w:rPr>
        <w:t>«</w:t>
      </w:r>
      <w:r w:rsidRPr="00904FCB">
        <w:rPr>
          <w:rFonts w:hint="cs"/>
          <w:sz w:val="27"/>
          <w:rtl/>
        </w:rPr>
        <w:t>بعد أن ات</w:t>
      </w:r>
      <w:r w:rsidR="00312497" w:rsidRPr="00904FCB">
        <w:rPr>
          <w:rFonts w:hint="cs"/>
          <w:sz w:val="27"/>
          <w:rtl/>
        </w:rPr>
        <w:t>َّ</w:t>
      </w:r>
      <w:r w:rsidRPr="00904FCB">
        <w:rPr>
          <w:rFonts w:hint="cs"/>
          <w:sz w:val="27"/>
          <w:rtl/>
        </w:rPr>
        <w:t>جه وجهته المادية</w:t>
      </w:r>
      <w:r w:rsidR="00312497" w:rsidRPr="00904FCB">
        <w:rPr>
          <w:rFonts w:hint="cs"/>
          <w:sz w:val="27"/>
          <w:rtl/>
        </w:rPr>
        <w:t>،</w:t>
      </w:r>
      <w:r w:rsidRPr="00904FCB">
        <w:rPr>
          <w:rFonts w:hint="cs"/>
          <w:sz w:val="27"/>
          <w:rtl/>
        </w:rPr>
        <w:t xml:space="preserve"> وصنع عالم أفكاره على أساس ذلك في مجال الفلسفة والسياسة والاقتصاد وعلم النفس والاجتماع والإدارة، وصل إلى حالة ال</w:t>
      </w:r>
      <w:r w:rsidR="00312497" w:rsidRPr="00904FCB">
        <w:rPr>
          <w:rFonts w:hint="cs"/>
          <w:sz w:val="27"/>
          <w:rtl/>
        </w:rPr>
        <w:t>ا</w:t>
      </w:r>
      <w:r w:rsidRPr="00904FCB">
        <w:rPr>
          <w:rFonts w:hint="cs"/>
          <w:sz w:val="27"/>
          <w:rtl/>
        </w:rPr>
        <w:t>غتراب</w:t>
      </w:r>
      <w:r w:rsidRPr="00904FCB">
        <w:rPr>
          <w:rFonts w:hint="eastAsia"/>
          <w:sz w:val="27"/>
          <w:rtl/>
        </w:rPr>
        <w:t>»</w:t>
      </w:r>
      <w:r w:rsidRPr="00904FCB">
        <w:rPr>
          <w:sz w:val="27"/>
          <w:vertAlign w:val="superscript"/>
          <w:rtl/>
        </w:rPr>
        <w:t>(</w:t>
      </w:r>
      <w:r w:rsidRPr="00904FCB">
        <w:rPr>
          <w:rStyle w:val="ac"/>
          <w:sz w:val="27"/>
          <w:rtl/>
        </w:rPr>
        <w:endnoteReference w:id="509"/>
      </w:r>
      <w:r w:rsidRPr="00904FCB">
        <w:rPr>
          <w:sz w:val="27"/>
          <w:vertAlign w:val="superscript"/>
          <w:rtl/>
        </w:rPr>
        <w:t>)</w:t>
      </w:r>
      <w:r w:rsidR="00312497" w:rsidRPr="00904FCB">
        <w:rPr>
          <w:rFonts w:hint="cs"/>
          <w:sz w:val="27"/>
          <w:rtl/>
        </w:rPr>
        <w:t>،</w:t>
      </w:r>
      <w:r w:rsidRPr="00904FCB">
        <w:rPr>
          <w:rFonts w:hint="cs"/>
          <w:sz w:val="27"/>
          <w:rtl/>
        </w:rPr>
        <w:t xml:space="preserve"> </w:t>
      </w:r>
      <w:r w:rsidR="00312497" w:rsidRPr="00904FCB">
        <w:rPr>
          <w:rFonts w:hint="cs"/>
          <w:sz w:val="27"/>
          <w:rtl/>
        </w:rPr>
        <w:t>و</w:t>
      </w:r>
      <w:r w:rsidRPr="00904FCB">
        <w:rPr>
          <w:rFonts w:hint="cs"/>
          <w:sz w:val="27"/>
          <w:rtl/>
        </w:rPr>
        <w:t>أصبح في المرحلة الراهنة يسعى عن قصد</w:t>
      </w:r>
      <w:r w:rsidR="00312497" w:rsidRPr="00904FCB">
        <w:rPr>
          <w:rFonts w:hint="cs"/>
          <w:sz w:val="27"/>
          <w:rtl/>
        </w:rPr>
        <w:t>ٍ</w:t>
      </w:r>
      <w:r w:rsidRPr="00904FCB">
        <w:rPr>
          <w:rFonts w:hint="cs"/>
          <w:sz w:val="27"/>
          <w:rtl/>
        </w:rPr>
        <w:t xml:space="preserve"> إلى نقل المجتمعات الأخرى المتأث</w:t>
      </w:r>
      <w:r w:rsidR="00312497" w:rsidRPr="00904FCB">
        <w:rPr>
          <w:rFonts w:hint="cs"/>
          <w:sz w:val="27"/>
          <w:rtl/>
        </w:rPr>
        <w:t>ِّ</w:t>
      </w:r>
      <w:r w:rsidRPr="00904FCB">
        <w:rPr>
          <w:rFonts w:hint="cs"/>
          <w:sz w:val="27"/>
          <w:rtl/>
        </w:rPr>
        <w:t>رة به إلى حالة اغتراب معق</w:t>
      </w:r>
      <w:r w:rsidR="00312497" w:rsidRPr="00904FCB">
        <w:rPr>
          <w:rFonts w:hint="cs"/>
          <w:sz w:val="27"/>
          <w:rtl/>
        </w:rPr>
        <w:t>َّ</w:t>
      </w:r>
      <w:r w:rsidRPr="00904FCB">
        <w:rPr>
          <w:rFonts w:hint="cs"/>
          <w:sz w:val="27"/>
          <w:rtl/>
        </w:rPr>
        <w:t>دة أشد</w:t>
      </w:r>
      <w:r w:rsidR="00312497" w:rsidRPr="00904FCB">
        <w:rPr>
          <w:rFonts w:hint="cs"/>
          <w:sz w:val="27"/>
          <w:rtl/>
        </w:rPr>
        <w:t>ّ</w:t>
      </w:r>
      <w:r w:rsidRPr="00904FCB">
        <w:rPr>
          <w:rFonts w:hint="cs"/>
          <w:sz w:val="27"/>
          <w:rtl/>
        </w:rPr>
        <w:t xml:space="preserve"> التعقيد. </w:t>
      </w:r>
    </w:p>
    <w:p w:rsidR="00625F5D" w:rsidRPr="00904FCB" w:rsidRDefault="00625F5D" w:rsidP="007A21AA">
      <w:pPr>
        <w:spacing w:line="400" w:lineRule="exact"/>
        <w:rPr>
          <w:sz w:val="27"/>
          <w:rtl/>
        </w:rPr>
      </w:pPr>
      <w:r w:rsidRPr="00904FCB">
        <w:rPr>
          <w:rFonts w:hint="cs"/>
          <w:sz w:val="27"/>
          <w:rtl/>
        </w:rPr>
        <w:t>أما المفك</w:t>
      </w:r>
      <w:r w:rsidR="00312497" w:rsidRPr="00904FCB">
        <w:rPr>
          <w:rFonts w:hint="cs"/>
          <w:sz w:val="27"/>
          <w:rtl/>
        </w:rPr>
        <w:t>ِّ</w:t>
      </w:r>
      <w:r w:rsidRPr="00904FCB">
        <w:rPr>
          <w:rFonts w:hint="cs"/>
          <w:sz w:val="27"/>
          <w:rtl/>
        </w:rPr>
        <w:t>ر المغربي طه عبد الرحمن فإنه لا يبتعد كثيرا</w:t>
      </w:r>
      <w:r w:rsidR="00312497" w:rsidRPr="00904FCB">
        <w:rPr>
          <w:rFonts w:hint="cs"/>
          <w:sz w:val="27"/>
          <w:rtl/>
        </w:rPr>
        <w:t>ً</w:t>
      </w:r>
      <w:r w:rsidRPr="00904FCB">
        <w:rPr>
          <w:rFonts w:hint="cs"/>
          <w:sz w:val="27"/>
          <w:rtl/>
        </w:rPr>
        <w:t xml:space="preserve"> عن انتقادات م</w:t>
      </w:r>
      <w:r w:rsidR="00312497" w:rsidRPr="00904FCB">
        <w:rPr>
          <w:rFonts w:hint="cs"/>
          <w:sz w:val="27"/>
          <w:rtl/>
        </w:rPr>
        <w:t>َ</w:t>
      </w:r>
      <w:r w:rsidRPr="00904FCB">
        <w:rPr>
          <w:rFonts w:hint="cs"/>
          <w:sz w:val="27"/>
          <w:rtl/>
        </w:rPr>
        <w:t>ن</w:t>
      </w:r>
      <w:r w:rsidR="00312497" w:rsidRPr="00904FCB">
        <w:rPr>
          <w:rFonts w:hint="cs"/>
          <w:sz w:val="27"/>
          <w:rtl/>
        </w:rPr>
        <w:t>ْ</w:t>
      </w:r>
      <w:r w:rsidRPr="00904FCB">
        <w:rPr>
          <w:rFonts w:hint="cs"/>
          <w:sz w:val="27"/>
          <w:rtl/>
        </w:rPr>
        <w:t xml:space="preserve"> ذكرنا من مفك</w:t>
      </w:r>
      <w:r w:rsidR="00312497" w:rsidRPr="00904FCB">
        <w:rPr>
          <w:rFonts w:hint="cs"/>
          <w:sz w:val="27"/>
          <w:rtl/>
        </w:rPr>
        <w:t>ِّ</w:t>
      </w:r>
      <w:r w:rsidRPr="00904FCB">
        <w:rPr>
          <w:rFonts w:hint="cs"/>
          <w:sz w:val="27"/>
          <w:rtl/>
        </w:rPr>
        <w:t>ري الغرب، لكن</w:t>
      </w:r>
      <w:r w:rsidR="00312497" w:rsidRPr="00904FCB">
        <w:rPr>
          <w:rFonts w:hint="cs"/>
          <w:sz w:val="27"/>
          <w:rtl/>
        </w:rPr>
        <w:t>ّ</w:t>
      </w:r>
      <w:r w:rsidRPr="00904FCB">
        <w:rPr>
          <w:rFonts w:hint="cs"/>
          <w:sz w:val="27"/>
          <w:rtl/>
        </w:rPr>
        <w:t>ه يزيد عليهم بمحاولاته لبناء حداثة</w:t>
      </w:r>
      <w:r w:rsidR="00312497" w:rsidRPr="00904FCB">
        <w:rPr>
          <w:rFonts w:hint="cs"/>
          <w:sz w:val="27"/>
          <w:rtl/>
        </w:rPr>
        <w:t>ٍ</w:t>
      </w:r>
      <w:r w:rsidRPr="00904FCB">
        <w:rPr>
          <w:rFonts w:hint="cs"/>
          <w:sz w:val="27"/>
          <w:rtl/>
        </w:rPr>
        <w:t xml:space="preserve"> إسلامية متخلّقة. </w:t>
      </w:r>
    </w:p>
    <w:p w:rsidR="00625F5D" w:rsidRPr="00904FCB" w:rsidRDefault="00625F5D" w:rsidP="007A21AA">
      <w:pPr>
        <w:spacing w:line="400" w:lineRule="exact"/>
        <w:rPr>
          <w:sz w:val="27"/>
          <w:rtl/>
        </w:rPr>
      </w:pPr>
      <w:r w:rsidRPr="00904FCB">
        <w:rPr>
          <w:rFonts w:hint="cs"/>
          <w:sz w:val="27"/>
          <w:rtl/>
        </w:rPr>
        <w:t>فالحداثة في رأيه إبداع</w:t>
      </w:r>
      <w:r w:rsidR="00312497" w:rsidRPr="00904FCB">
        <w:rPr>
          <w:rFonts w:hint="cs"/>
          <w:sz w:val="27"/>
          <w:rtl/>
        </w:rPr>
        <w:t>ٌ</w:t>
      </w:r>
      <w:r w:rsidRPr="00904FCB">
        <w:rPr>
          <w:rFonts w:hint="cs"/>
          <w:sz w:val="27"/>
          <w:rtl/>
        </w:rPr>
        <w:t>، والإبداع لا يمكن إلا</w:t>
      </w:r>
      <w:r w:rsidR="00312497" w:rsidRPr="00904FCB">
        <w:rPr>
          <w:rFonts w:hint="cs"/>
          <w:sz w:val="27"/>
          <w:rtl/>
        </w:rPr>
        <w:t>ّ</w:t>
      </w:r>
      <w:r w:rsidRPr="00904FCB">
        <w:rPr>
          <w:rFonts w:hint="cs"/>
          <w:sz w:val="27"/>
          <w:rtl/>
        </w:rPr>
        <w:t xml:space="preserve"> أن يكون عن اجتهاد</w:t>
      </w:r>
      <w:r w:rsidR="00312497" w:rsidRPr="00904FCB">
        <w:rPr>
          <w:rFonts w:hint="cs"/>
          <w:sz w:val="27"/>
          <w:rtl/>
        </w:rPr>
        <w:t>ٍ</w:t>
      </w:r>
      <w:r w:rsidRPr="00904FCB">
        <w:rPr>
          <w:rFonts w:hint="cs"/>
          <w:sz w:val="27"/>
          <w:rtl/>
        </w:rPr>
        <w:t xml:space="preserve"> ذاتي، فكل</w:t>
      </w:r>
      <w:r w:rsidR="00312497" w:rsidRPr="00904FCB">
        <w:rPr>
          <w:rFonts w:hint="cs"/>
          <w:sz w:val="27"/>
          <w:rtl/>
        </w:rPr>
        <w:t>ُّ</w:t>
      </w:r>
      <w:r w:rsidRPr="00904FCB">
        <w:rPr>
          <w:rFonts w:hint="cs"/>
          <w:sz w:val="27"/>
          <w:rtl/>
        </w:rPr>
        <w:t xml:space="preserve"> م</w:t>
      </w:r>
      <w:r w:rsidR="00CC2151">
        <w:rPr>
          <w:rFonts w:hint="cs"/>
          <w:sz w:val="27"/>
          <w:rtl/>
        </w:rPr>
        <w:t>ُ</w:t>
      </w:r>
      <w:r w:rsidRPr="00904FCB">
        <w:rPr>
          <w:rFonts w:hint="cs"/>
          <w:sz w:val="27"/>
          <w:rtl/>
        </w:rPr>
        <w:t>ب</w:t>
      </w:r>
      <w:r w:rsidR="00CC2151">
        <w:rPr>
          <w:rFonts w:hint="cs"/>
          <w:sz w:val="27"/>
          <w:rtl/>
        </w:rPr>
        <w:t>ْ</w:t>
      </w:r>
      <w:r w:rsidRPr="00904FCB">
        <w:rPr>
          <w:rFonts w:hint="cs"/>
          <w:sz w:val="27"/>
          <w:rtl/>
        </w:rPr>
        <w:t xml:space="preserve">دِع حداثي، </w:t>
      </w:r>
      <w:r w:rsidR="004F1F32" w:rsidRPr="00904FCB">
        <w:rPr>
          <w:rFonts w:hint="cs"/>
          <w:sz w:val="27"/>
          <w:rtl/>
        </w:rPr>
        <w:t>وكل مقلِّدٍ غير</w:t>
      </w:r>
      <w:r w:rsidRPr="00904FCB">
        <w:rPr>
          <w:rFonts w:hint="cs"/>
          <w:sz w:val="27"/>
          <w:rtl/>
        </w:rPr>
        <w:t xml:space="preserve"> حداثي، حت</w:t>
      </w:r>
      <w:r w:rsidR="004F1F32" w:rsidRPr="00904FCB">
        <w:rPr>
          <w:rFonts w:hint="cs"/>
          <w:sz w:val="27"/>
          <w:rtl/>
        </w:rPr>
        <w:t>ّ</w:t>
      </w:r>
      <w:r w:rsidRPr="00904FCB">
        <w:rPr>
          <w:rFonts w:hint="cs"/>
          <w:sz w:val="27"/>
          <w:rtl/>
        </w:rPr>
        <w:t>ى وإن</w:t>
      </w:r>
      <w:r w:rsidR="004F1F32" w:rsidRPr="00904FCB">
        <w:rPr>
          <w:rFonts w:hint="cs"/>
          <w:sz w:val="27"/>
          <w:rtl/>
        </w:rPr>
        <w:t>ْ</w:t>
      </w:r>
      <w:r w:rsidRPr="00904FCB">
        <w:rPr>
          <w:rFonts w:hint="cs"/>
          <w:sz w:val="27"/>
          <w:rtl/>
        </w:rPr>
        <w:t xml:space="preserve"> قلّد الحداثة نفسها</w:t>
      </w:r>
      <w:r w:rsidR="004F1F32" w:rsidRPr="00904FCB">
        <w:rPr>
          <w:rFonts w:hint="cs"/>
          <w:sz w:val="27"/>
          <w:rtl/>
        </w:rPr>
        <w:t>؛</w:t>
      </w:r>
      <w:r w:rsidRPr="00904FCB">
        <w:rPr>
          <w:rFonts w:hint="cs"/>
          <w:sz w:val="27"/>
          <w:rtl/>
        </w:rPr>
        <w:t xml:space="preserve"> لأن التقليد هو نقيض الحداثة</w:t>
      </w:r>
      <w:r w:rsidRPr="00904FCB">
        <w:rPr>
          <w:sz w:val="27"/>
          <w:vertAlign w:val="superscript"/>
          <w:rtl/>
        </w:rPr>
        <w:t>(</w:t>
      </w:r>
      <w:r w:rsidRPr="00904FCB">
        <w:rPr>
          <w:rStyle w:val="ac"/>
          <w:sz w:val="27"/>
          <w:rtl/>
        </w:rPr>
        <w:endnoteReference w:id="510"/>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lang w:bidi="ar-DZ"/>
        </w:rPr>
      </w:pPr>
      <w:r w:rsidRPr="00904FCB">
        <w:rPr>
          <w:rFonts w:hint="cs"/>
          <w:sz w:val="27"/>
          <w:rtl/>
        </w:rPr>
        <w:t xml:space="preserve">وتجديد التراث </w:t>
      </w:r>
      <w:r w:rsidRPr="00904FCB">
        <w:rPr>
          <w:sz w:val="27"/>
          <w:rtl/>
        </w:rPr>
        <w:t>ـ</w:t>
      </w:r>
      <w:r w:rsidR="009163C6" w:rsidRPr="00904FCB">
        <w:rPr>
          <w:rFonts w:hint="cs"/>
          <w:sz w:val="27"/>
          <w:rtl/>
        </w:rPr>
        <w:t xml:space="preserve"> </w:t>
      </w:r>
      <w:r w:rsidRPr="00904FCB">
        <w:rPr>
          <w:rFonts w:hint="cs"/>
          <w:sz w:val="27"/>
          <w:rtl/>
        </w:rPr>
        <w:t>ح</w:t>
      </w:r>
      <w:r w:rsidR="004F1F32" w:rsidRPr="00904FCB">
        <w:rPr>
          <w:rFonts w:hint="cs"/>
          <w:sz w:val="27"/>
          <w:rtl/>
        </w:rPr>
        <w:t>َ</w:t>
      </w:r>
      <w:r w:rsidRPr="00904FCB">
        <w:rPr>
          <w:rFonts w:hint="cs"/>
          <w:sz w:val="27"/>
          <w:rtl/>
        </w:rPr>
        <w:t>س</w:t>
      </w:r>
      <w:r w:rsidR="004F1F32" w:rsidRPr="00904FCB">
        <w:rPr>
          <w:rFonts w:hint="cs"/>
          <w:sz w:val="27"/>
          <w:rtl/>
        </w:rPr>
        <w:t>ْ</w:t>
      </w:r>
      <w:r w:rsidRPr="00904FCB">
        <w:rPr>
          <w:rFonts w:hint="cs"/>
          <w:sz w:val="27"/>
          <w:rtl/>
        </w:rPr>
        <w:t xml:space="preserve">ب رأيه ـ لا يعني الانشغال بالوافد </w:t>
      </w:r>
      <w:r w:rsidR="004F1F32" w:rsidRPr="00904FCB">
        <w:rPr>
          <w:rFonts w:hint="cs"/>
          <w:sz w:val="27"/>
          <w:rtl/>
        </w:rPr>
        <w:t>ال</w:t>
      </w:r>
      <w:r w:rsidRPr="00904FCB">
        <w:rPr>
          <w:rFonts w:hint="cs"/>
          <w:sz w:val="27"/>
          <w:rtl/>
        </w:rPr>
        <w:t>حاضر</w:t>
      </w:r>
      <w:r w:rsidR="004F1F32" w:rsidRPr="00904FCB">
        <w:rPr>
          <w:rFonts w:hint="cs"/>
          <w:sz w:val="27"/>
          <w:rtl/>
        </w:rPr>
        <w:t>،</w:t>
      </w:r>
      <w:r w:rsidRPr="00904FCB">
        <w:rPr>
          <w:rFonts w:hint="cs"/>
          <w:sz w:val="27"/>
          <w:rtl/>
        </w:rPr>
        <w:t xml:space="preserve"> وإهمال الأصيل</w:t>
      </w:r>
      <w:r w:rsidR="004F1F32" w:rsidRPr="00904FCB">
        <w:rPr>
          <w:rFonts w:hint="cs"/>
          <w:sz w:val="27"/>
          <w:rtl/>
        </w:rPr>
        <w:t xml:space="preserve">. </w:t>
      </w:r>
      <w:r w:rsidRPr="00904FCB">
        <w:rPr>
          <w:rFonts w:hint="cs"/>
          <w:sz w:val="27"/>
          <w:rtl/>
        </w:rPr>
        <w:t>فم</w:t>
      </w:r>
      <w:r w:rsidR="004F1F32" w:rsidRPr="00904FCB">
        <w:rPr>
          <w:rFonts w:hint="cs"/>
          <w:sz w:val="27"/>
          <w:rtl/>
        </w:rPr>
        <w:t>َ</w:t>
      </w:r>
      <w:r w:rsidRPr="00904FCB">
        <w:rPr>
          <w:rFonts w:hint="cs"/>
          <w:sz w:val="27"/>
          <w:rtl/>
        </w:rPr>
        <w:t>ن</w:t>
      </w:r>
      <w:r w:rsidR="004F1F32" w:rsidRPr="00904FCB">
        <w:rPr>
          <w:rFonts w:hint="cs"/>
          <w:sz w:val="27"/>
          <w:rtl/>
        </w:rPr>
        <w:t>ْ</w:t>
      </w:r>
      <w:r w:rsidRPr="00904FCB">
        <w:rPr>
          <w:rFonts w:hint="cs"/>
          <w:sz w:val="27"/>
          <w:rtl/>
        </w:rPr>
        <w:t xml:space="preserve"> يدعو باسم الحداثة </w:t>
      </w:r>
      <w:r w:rsidRPr="00904FCB">
        <w:rPr>
          <w:rFonts w:hint="eastAsia"/>
          <w:sz w:val="27"/>
          <w:rtl/>
        </w:rPr>
        <w:t>«</w:t>
      </w:r>
      <w:r w:rsidRPr="00904FCB">
        <w:rPr>
          <w:rFonts w:hint="cs"/>
          <w:sz w:val="27"/>
          <w:rtl/>
        </w:rPr>
        <w:t>إلى الكف</w:t>
      </w:r>
      <w:r w:rsidR="004F1F32" w:rsidRPr="00904FCB">
        <w:rPr>
          <w:rFonts w:hint="cs"/>
          <w:sz w:val="27"/>
          <w:rtl/>
        </w:rPr>
        <w:t>ّ</w:t>
      </w:r>
      <w:r w:rsidRPr="00904FCB">
        <w:rPr>
          <w:rFonts w:hint="cs"/>
          <w:sz w:val="27"/>
          <w:rtl/>
        </w:rPr>
        <w:t xml:space="preserve"> عن الرجوع إلى التراث، وإلى الأخذ بالمعرفة الحديثة كما جاء بها الغرب، فإن</w:t>
      </w:r>
      <w:r w:rsidR="004F1F32" w:rsidRPr="00904FCB">
        <w:rPr>
          <w:rFonts w:hint="cs"/>
          <w:sz w:val="27"/>
          <w:rtl/>
        </w:rPr>
        <w:t>ّ</w:t>
      </w:r>
      <w:r w:rsidRPr="00904FCB">
        <w:rPr>
          <w:rFonts w:hint="cs"/>
          <w:sz w:val="27"/>
          <w:rtl/>
        </w:rPr>
        <w:t xml:space="preserve"> دعوته لا تعدو كونها تستبدل مكان الانشغال بالتراث الأصلي الانشغال بتراث</w:t>
      </w:r>
      <w:r w:rsidR="004F1F32" w:rsidRPr="00904FCB">
        <w:rPr>
          <w:rFonts w:hint="cs"/>
          <w:sz w:val="27"/>
          <w:rtl/>
        </w:rPr>
        <w:t>ٍ</w:t>
      </w:r>
      <w:r w:rsidRPr="00904FCB">
        <w:rPr>
          <w:rFonts w:hint="cs"/>
          <w:sz w:val="27"/>
          <w:rtl/>
        </w:rPr>
        <w:t xml:space="preserve"> أجنبي</w:t>
      </w:r>
      <w:r w:rsidRPr="00904FCB">
        <w:rPr>
          <w:rFonts w:hint="eastAsia"/>
          <w:sz w:val="27"/>
          <w:rtl/>
        </w:rPr>
        <w:t>»</w:t>
      </w:r>
      <w:r w:rsidRPr="00904FCB">
        <w:rPr>
          <w:sz w:val="27"/>
          <w:vertAlign w:val="superscript"/>
          <w:rtl/>
        </w:rPr>
        <w:t>(</w:t>
      </w:r>
      <w:r w:rsidRPr="00904FCB">
        <w:rPr>
          <w:rStyle w:val="ac"/>
          <w:sz w:val="27"/>
          <w:rtl/>
        </w:rPr>
        <w:endnoteReference w:id="511"/>
      </w:r>
      <w:r w:rsidRPr="00904FCB">
        <w:rPr>
          <w:sz w:val="27"/>
          <w:vertAlign w:val="superscript"/>
          <w:rtl/>
        </w:rPr>
        <w:t>)</w:t>
      </w:r>
      <w:r w:rsidRPr="00904FCB">
        <w:rPr>
          <w:rFonts w:hint="cs"/>
          <w:sz w:val="27"/>
          <w:rtl/>
        </w:rPr>
        <w:t>. وبذلك فهو يؤك</w:t>
      </w:r>
      <w:r w:rsidR="004F1F32" w:rsidRPr="00904FCB">
        <w:rPr>
          <w:rFonts w:hint="cs"/>
          <w:sz w:val="27"/>
          <w:rtl/>
        </w:rPr>
        <w:t>ِّ</w:t>
      </w:r>
      <w:r w:rsidRPr="00904FCB">
        <w:rPr>
          <w:rFonts w:hint="cs"/>
          <w:sz w:val="27"/>
          <w:rtl/>
        </w:rPr>
        <w:t>د موقفه الرافض لتقليد الغرب في مرجعيته وفي واقعه الحداثي، ويدعو إلى حداثة تقوم على الاجتهاد والإبداع</w:t>
      </w:r>
      <w:r w:rsidR="004F1F32" w:rsidRPr="00904FCB">
        <w:rPr>
          <w:rFonts w:hint="cs"/>
          <w:sz w:val="27"/>
          <w:rtl/>
        </w:rPr>
        <w:t>،</w:t>
      </w:r>
      <w:r w:rsidRPr="00904FCB">
        <w:rPr>
          <w:rFonts w:hint="cs"/>
          <w:sz w:val="27"/>
          <w:rtl/>
        </w:rPr>
        <w:t xml:space="preserve"> انطلاقا</w:t>
      </w:r>
      <w:r w:rsidR="004F1F32" w:rsidRPr="00904FCB">
        <w:rPr>
          <w:rFonts w:hint="cs"/>
          <w:sz w:val="27"/>
          <w:rtl/>
        </w:rPr>
        <w:t>ً</w:t>
      </w:r>
      <w:r w:rsidRPr="00904FCB">
        <w:rPr>
          <w:rFonts w:hint="cs"/>
          <w:sz w:val="27"/>
          <w:rtl/>
        </w:rPr>
        <w:t xml:space="preserve"> من الجذور الثقافية للعالم العربي والإسلامي، دون الانغلاق داخل تلك الجذور. </w:t>
      </w:r>
    </w:p>
    <w:p w:rsidR="00625F5D" w:rsidRPr="00904FCB" w:rsidRDefault="00625F5D" w:rsidP="007A21AA">
      <w:pPr>
        <w:spacing w:line="400" w:lineRule="exact"/>
        <w:rPr>
          <w:rFonts w:ascii="Tahoma" w:hAnsi="Tahoma"/>
          <w:sz w:val="27"/>
          <w:rtl/>
        </w:rPr>
      </w:pPr>
      <w:r w:rsidRPr="00904FCB">
        <w:rPr>
          <w:rFonts w:ascii="Tahoma" w:hAnsi="Tahoma" w:hint="cs"/>
          <w:sz w:val="27"/>
          <w:rtl/>
        </w:rPr>
        <w:t>وتأتي مؤل</w:t>
      </w:r>
      <w:r w:rsidR="004F1F32" w:rsidRPr="00904FCB">
        <w:rPr>
          <w:rFonts w:ascii="Tahoma" w:hAnsi="Tahoma" w:hint="cs"/>
          <w:sz w:val="27"/>
          <w:rtl/>
        </w:rPr>
        <w:t>َّ</w:t>
      </w:r>
      <w:r w:rsidRPr="00904FCB">
        <w:rPr>
          <w:rFonts w:ascii="Tahoma" w:hAnsi="Tahoma" w:hint="cs"/>
          <w:sz w:val="27"/>
          <w:rtl/>
        </w:rPr>
        <w:t>فات الأستاذ طه عبد الرحمن الأخيرة ـ التي جاءت مع مطلع الألفية الجديدة ـ في سياق النقد الأخلاقي للحداثة</w:t>
      </w:r>
      <w:r w:rsidR="004F1F32" w:rsidRPr="00904FCB">
        <w:rPr>
          <w:rFonts w:ascii="Tahoma" w:hAnsi="Tahoma" w:hint="cs"/>
          <w:sz w:val="27"/>
          <w:rtl/>
        </w:rPr>
        <w:t>،</w:t>
      </w:r>
      <w:r w:rsidRPr="00904FCB">
        <w:rPr>
          <w:rFonts w:ascii="Tahoma" w:hAnsi="Tahoma" w:hint="cs"/>
          <w:sz w:val="27"/>
          <w:rtl/>
        </w:rPr>
        <w:t xml:space="preserve"> من خلال لفت الانتباه لأهم</w:t>
      </w:r>
      <w:r w:rsidR="004F1F32" w:rsidRPr="00904FCB">
        <w:rPr>
          <w:rFonts w:ascii="Tahoma" w:hAnsi="Tahoma" w:hint="cs"/>
          <w:sz w:val="27"/>
          <w:rtl/>
        </w:rPr>
        <w:t>ّ</w:t>
      </w:r>
      <w:r w:rsidRPr="00904FCB">
        <w:rPr>
          <w:rFonts w:ascii="Tahoma" w:hAnsi="Tahoma" w:hint="cs"/>
          <w:sz w:val="27"/>
          <w:rtl/>
        </w:rPr>
        <w:t>ية التجربة الأخلاقي</w:t>
      </w:r>
      <w:r w:rsidR="004F1F32" w:rsidRPr="00904FCB">
        <w:rPr>
          <w:rFonts w:ascii="Tahoma" w:hAnsi="Tahoma" w:hint="cs"/>
          <w:sz w:val="27"/>
          <w:rtl/>
        </w:rPr>
        <w:t>ة</w:t>
      </w:r>
      <w:r w:rsidRPr="00904FCB">
        <w:rPr>
          <w:rFonts w:ascii="Tahoma" w:hAnsi="Tahoma" w:hint="cs"/>
          <w:sz w:val="27"/>
          <w:rtl/>
        </w:rPr>
        <w:t xml:space="preserve"> في التصدي للنزعات الماد</w:t>
      </w:r>
      <w:r w:rsidR="004F1F32" w:rsidRPr="00904FCB">
        <w:rPr>
          <w:rFonts w:ascii="Tahoma" w:hAnsi="Tahoma" w:hint="cs"/>
          <w:sz w:val="27"/>
          <w:rtl/>
        </w:rPr>
        <w:t>ّ</w:t>
      </w:r>
      <w:r w:rsidRPr="00904FCB">
        <w:rPr>
          <w:rFonts w:ascii="Tahoma" w:hAnsi="Tahoma" w:hint="cs"/>
          <w:sz w:val="27"/>
          <w:rtl/>
        </w:rPr>
        <w:t xml:space="preserve">ية الجاهلة. ويعتبر كتابه </w:t>
      </w:r>
      <w:r w:rsidRPr="00904FCB">
        <w:rPr>
          <w:rFonts w:hint="eastAsia"/>
          <w:sz w:val="27"/>
          <w:rtl/>
        </w:rPr>
        <w:t>«</w:t>
      </w:r>
      <w:r w:rsidRPr="00904FCB">
        <w:rPr>
          <w:rFonts w:ascii="Tahoma" w:hAnsi="Tahoma" w:hint="cs"/>
          <w:sz w:val="27"/>
          <w:rtl/>
        </w:rPr>
        <w:t xml:space="preserve">سؤال الأخلاق، مساهمة </w:t>
      </w:r>
      <w:r w:rsidRPr="00904FCB">
        <w:rPr>
          <w:rFonts w:ascii="Tahoma" w:hAnsi="Tahoma" w:hint="cs"/>
          <w:sz w:val="27"/>
          <w:rtl/>
        </w:rPr>
        <w:lastRenderedPageBreak/>
        <w:t>في النقد الأخلاقي للحداثة</w:t>
      </w:r>
      <w:r w:rsidRPr="00904FCB">
        <w:rPr>
          <w:rFonts w:ascii="Tahoma" w:hAnsi="Tahoma"/>
          <w:sz w:val="27"/>
        </w:rPr>
        <w:t xml:space="preserve"> </w:t>
      </w:r>
      <w:r w:rsidRPr="00904FCB">
        <w:rPr>
          <w:rFonts w:ascii="Tahoma" w:hAnsi="Tahoma" w:hint="cs"/>
          <w:sz w:val="27"/>
          <w:rtl/>
        </w:rPr>
        <w:t>الغربية</w:t>
      </w:r>
      <w:r w:rsidRPr="00904FCB">
        <w:rPr>
          <w:rFonts w:hint="eastAsia"/>
          <w:sz w:val="27"/>
          <w:rtl/>
        </w:rPr>
        <w:t>»</w:t>
      </w:r>
      <w:r w:rsidRPr="00904FCB">
        <w:rPr>
          <w:rFonts w:ascii="Tahoma" w:hAnsi="Tahoma" w:hint="cs"/>
          <w:sz w:val="27"/>
          <w:rtl/>
        </w:rPr>
        <w:t xml:space="preserve"> أحد أهم</w:t>
      </w:r>
      <w:r w:rsidR="004F1F32" w:rsidRPr="00904FCB">
        <w:rPr>
          <w:rFonts w:ascii="Tahoma" w:hAnsi="Tahoma" w:hint="cs"/>
          <w:sz w:val="27"/>
          <w:rtl/>
        </w:rPr>
        <w:t>ّ</w:t>
      </w:r>
      <w:r w:rsidRPr="00904FCB">
        <w:rPr>
          <w:rFonts w:ascii="Tahoma" w:hAnsi="Tahoma" w:hint="cs"/>
          <w:sz w:val="27"/>
          <w:rtl/>
        </w:rPr>
        <w:t xml:space="preserve"> المفاتيح لقراءة مشروعه</w:t>
      </w:r>
      <w:r w:rsidRPr="00904FCB">
        <w:rPr>
          <w:rFonts w:ascii="Tahoma" w:hAnsi="Tahoma"/>
          <w:sz w:val="27"/>
        </w:rPr>
        <w:t xml:space="preserve"> </w:t>
      </w:r>
      <w:r w:rsidRPr="00904FCB">
        <w:rPr>
          <w:rFonts w:ascii="Tahoma" w:hAnsi="Tahoma" w:hint="cs"/>
          <w:sz w:val="27"/>
          <w:rtl/>
        </w:rPr>
        <w:t>الفكري. كما تعتبر مؤلفاته اللاحقة شروحا</w:t>
      </w:r>
      <w:r w:rsidR="004F1F32" w:rsidRPr="00904FCB">
        <w:rPr>
          <w:rFonts w:ascii="Tahoma" w:hAnsi="Tahoma" w:hint="cs"/>
          <w:sz w:val="27"/>
          <w:rtl/>
        </w:rPr>
        <w:t>ً</w:t>
      </w:r>
      <w:r w:rsidRPr="00904FCB">
        <w:rPr>
          <w:rFonts w:ascii="Tahoma" w:hAnsi="Tahoma" w:hint="cs"/>
          <w:sz w:val="27"/>
          <w:rtl/>
        </w:rPr>
        <w:t xml:space="preserve"> وتوسيعا</w:t>
      </w:r>
      <w:r w:rsidR="004F1F32" w:rsidRPr="00904FCB">
        <w:rPr>
          <w:rFonts w:ascii="Tahoma" w:hAnsi="Tahoma" w:hint="cs"/>
          <w:sz w:val="27"/>
          <w:rtl/>
        </w:rPr>
        <w:t>ً</w:t>
      </w:r>
      <w:r w:rsidRPr="00904FCB">
        <w:rPr>
          <w:rFonts w:ascii="Tahoma" w:hAnsi="Tahoma" w:hint="cs"/>
          <w:sz w:val="27"/>
          <w:rtl/>
        </w:rPr>
        <w:t xml:space="preserve"> لمجمل أطروحاته في </w:t>
      </w:r>
      <w:r w:rsidRPr="00904FCB">
        <w:rPr>
          <w:rFonts w:hint="eastAsia"/>
          <w:sz w:val="27"/>
          <w:rtl/>
        </w:rPr>
        <w:t>«</w:t>
      </w:r>
      <w:r w:rsidRPr="00904FCB">
        <w:rPr>
          <w:rFonts w:ascii="Tahoma" w:hAnsi="Tahoma" w:hint="cs"/>
          <w:sz w:val="27"/>
          <w:rtl/>
        </w:rPr>
        <w:t>سؤال الأخلاق</w:t>
      </w:r>
      <w:r w:rsidRPr="00904FCB">
        <w:rPr>
          <w:rFonts w:hint="eastAsia"/>
          <w:sz w:val="27"/>
          <w:rtl/>
        </w:rPr>
        <w:t>»</w:t>
      </w:r>
      <w:r w:rsidRPr="00904FCB">
        <w:rPr>
          <w:rFonts w:ascii="Tahoma" w:hAnsi="Tahoma" w:hint="cs"/>
          <w:sz w:val="27"/>
          <w:rtl/>
        </w:rPr>
        <w:t>. وهذه المؤل</w:t>
      </w:r>
      <w:r w:rsidR="004F1F32" w:rsidRPr="00904FCB">
        <w:rPr>
          <w:rFonts w:ascii="Tahoma" w:hAnsi="Tahoma" w:hint="cs"/>
          <w:sz w:val="27"/>
          <w:rtl/>
        </w:rPr>
        <w:t>َّ</w:t>
      </w:r>
      <w:r w:rsidRPr="00904FCB">
        <w:rPr>
          <w:rFonts w:ascii="Tahoma" w:hAnsi="Tahoma" w:hint="cs"/>
          <w:sz w:val="27"/>
          <w:rtl/>
        </w:rPr>
        <w:t>فات هي</w:t>
      </w:r>
      <w:r w:rsidRPr="00904FCB">
        <w:rPr>
          <w:rFonts w:ascii="Tahoma" w:hAnsi="Tahoma"/>
          <w:sz w:val="27"/>
          <w:rtl/>
        </w:rPr>
        <w:t xml:space="preserve"> </w:t>
      </w:r>
      <w:r w:rsidRPr="00904FCB">
        <w:rPr>
          <w:rFonts w:hint="eastAsia"/>
          <w:sz w:val="27"/>
          <w:rtl/>
        </w:rPr>
        <w:t>«</w:t>
      </w:r>
      <w:r w:rsidRPr="00904FCB">
        <w:rPr>
          <w:rFonts w:ascii="Tahoma" w:hAnsi="Tahoma" w:hint="cs"/>
          <w:sz w:val="27"/>
          <w:rtl/>
        </w:rPr>
        <w:t>الحق العربي في الاختلاف الفلسفي</w:t>
      </w:r>
      <w:r w:rsidRPr="00904FCB">
        <w:rPr>
          <w:rFonts w:hint="eastAsia"/>
          <w:sz w:val="27"/>
          <w:rtl/>
        </w:rPr>
        <w:t>»</w:t>
      </w:r>
      <w:r w:rsidR="004F1F32" w:rsidRPr="00904FCB">
        <w:rPr>
          <w:rFonts w:ascii="Tahoma" w:hAnsi="Tahoma" w:hint="cs"/>
          <w:sz w:val="27"/>
          <w:rtl/>
        </w:rPr>
        <w:t>، و</w:t>
      </w:r>
      <w:r w:rsidRPr="00904FCB">
        <w:rPr>
          <w:rFonts w:hint="eastAsia"/>
          <w:sz w:val="27"/>
          <w:rtl/>
        </w:rPr>
        <w:t>«</w:t>
      </w:r>
      <w:r w:rsidRPr="00904FCB">
        <w:rPr>
          <w:rFonts w:ascii="Tahoma" w:hAnsi="Tahoma" w:hint="cs"/>
          <w:sz w:val="27"/>
          <w:rtl/>
        </w:rPr>
        <w:t>الحق</w:t>
      </w:r>
      <w:r w:rsidR="004F1F32" w:rsidRPr="00904FCB">
        <w:rPr>
          <w:rFonts w:ascii="Tahoma" w:hAnsi="Tahoma" w:hint="cs"/>
          <w:sz w:val="27"/>
          <w:rtl/>
        </w:rPr>
        <w:t>ّ</w:t>
      </w:r>
      <w:r w:rsidRPr="00904FCB">
        <w:rPr>
          <w:rFonts w:ascii="Tahoma" w:hAnsi="Tahoma" w:hint="cs"/>
          <w:sz w:val="27"/>
          <w:rtl/>
        </w:rPr>
        <w:t xml:space="preserve"> الإسلامي في الاختلاف الفكري</w:t>
      </w:r>
      <w:r w:rsidRPr="00904FCB">
        <w:rPr>
          <w:rFonts w:hint="eastAsia"/>
          <w:sz w:val="27"/>
          <w:rtl/>
        </w:rPr>
        <w:t>»</w:t>
      </w:r>
      <w:r w:rsidR="004F1F32" w:rsidRPr="00904FCB">
        <w:rPr>
          <w:rFonts w:hint="cs"/>
          <w:sz w:val="27"/>
          <w:rtl/>
        </w:rPr>
        <w:t>،</w:t>
      </w:r>
      <w:r w:rsidR="004F1F32" w:rsidRPr="00904FCB">
        <w:rPr>
          <w:rFonts w:ascii="Tahoma" w:hAnsi="Tahoma" w:hint="cs"/>
          <w:sz w:val="27"/>
          <w:rtl/>
        </w:rPr>
        <w:t xml:space="preserve"> و</w:t>
      </w:r>
      <w:r w:rsidRPr="00904FCB">
        <w:rPr>
          <w:rFonts w:hint="eastAsia"/>
          <w:sz w:val="27"/>
          <w:rtl/>
        </w:rPr>
        <w:t>«</w:t>
      </w:r>
      <w:r w:rsidRPr="00904FCB">
        <w:rPr>
          <w:rFonts w:ascii="Tahoma" w:hAnsi="Tahoma" w:hint="cs"/>
          <w:sz w:val="27"/>
          <w:rtl/>
        </w:rPr>
        <w:t>روح الحداثة، المدخل إلى تأسيس الحداثة الإسلامية</w:t>
      </w:r>
      <w:r w:rsidRPr="00904FCB">
        <w:rPr>
          <w:rFonts w:hint="eastAsia"/>
          <w:sz w:val="27"/>
          <w:rtl/>
        </w:rPr>
        <w:t>»</w:t>
      </w:r>
      <w:r w:rsidRPr="00904FCB">
        <w:rPr>
          <w:rFonts w:ascii="Tahoma" w:hAnsi="Tahoma" w:hint="cs"/>
          <w:sz w:val="27"/>
          <w:rtl/>
        </w:rPr>
        <w:t xml:space="preserve">. </w:t>
      </w:r>
    </w:p>
    <w:p w:rsidR="00625F5D" w:rsidRPr="00904FCB" w:rsidRDefault="00625F5D" w:rsidP="007A21AA">
      <w:pPr>
        <w:spacing w:line="400" w:lineRule="exact"/>
        <w:rPr>
          <w:rFonts w:ascii="Tahoma" w:hAnsi="Tahoma"/>
          <w:sz w:val="27"/>
          <w:rtl/>
        </w:rPr>
      </w:pPr>
      <w:r w:rsidRPr="00904FCB">
        <w:rPr>
          <w:rFonts w:ascii="Tahoma" w:hAnsi="Tahoma" w:hint="cs"/>
          <w:sz w:val="27"/>
          <w:rtl/>
        </w:rPr>
        <w:t>ينطلق الأستاذ طه عبد الرحمن في مشروعه</w:t>
      </w:r>
      <w:r w:rsidRPr="00904FCB">
        <w:rPr>
          <w:rFonts w:ascii="Tahoma" w:hAnsi="Tahoma"/>
          <w:sz w:val="27"/>
        </w:rPr>
        <w:t xml:space="preserve"> </w:t>
      </w:r>
      <w:r w:rsidRPr="00904FCB">
        <w:rPr>
          <w:rFonts w:ascii="Tahoma" w:hAnsi="Tahoma" w:hint="cs"/>
          <w:sz w:val="27"/>
          <w:rtl/>
        </w:rPr>
        <w:t>النقدي للحداثة الغربية من فكرة جوهرية</w:t>
      </w:r>
      <w:r w:rsidR="00CC2151">
        <w:rPr>
          <w:rFonts w:ascii="Tahoma" w:hAnsi="Tahoma" w:hint="cs"/>
          <w:sz w:val="27"/>
          <w:rtl/>
        </w:rPr>
        <w:t>،</w:t>
      </w:r>
      <w:r w:rsidRPr="00904FCB">
        <w:rPr>
          <w:rFonts w:ascii="Tahoma" w:hAnsi="Tahoma" w:hint="cs"/>
          <w:sz w:val="27"/>
          <w:rtl/>
        </w:rPr>
        <w:t xml:space="preserve"> بلورها في مقد</w:t>
      </w:r>
      <w:r w:rsidR="004F1F32" w:rsidRPr="00904FCB">
        <w:rPr>
          <w:rFonts w:ascii="Tahoma" w:hAnsi="Tahoma" w:hint="cs"/>
          <w:sz w:val="27"/>
          <w:rtl/>
        </w:rPr>
        <w:t>ّ</w:t>
      </w:r>
      <w:r w:rsidRPr="00904FCB">
        <w:rPr>
          <w:rFonts w:ascii="Tahoma" w:hAnsi="Tahoma" w:hint="cs"/>
          <w:sz w:val="27"/>
          <w:rtl/>
        </w:rPr>
        <w:t xml:space="preserve">مة كتاب </w:t>
      </w:r>
      <w:r w:rsidRPr="00904FCB">
        <w:rPr>
          <w:rFonts w:hint="eastAsia"/>
          <w:sz w:val="27"/>
          <w:rtl/>
        </w:rPr>
        <w:t>«</w:t>
      </w:r>
      <w:r w:rsidRPr="00904FCB">
        <w:rPr>
          <w:rFonts w:ascii="Tahoma" w:hAnsi="Tahoma" w:hint="cs"/>
          <w:sz w:val="27"/>
          <w:rtl/>
        </w:rPr>
        <w:t>العمل الديني وتجديد العقل</w:t>
      </w:r>
      <w:r w:rsidRPr="00904FCB">
        <w:rPr>
          <w:rFonts w:hint="eastAsia"/>
          <w:sz w:val="27"/>
          <w:rtl/>
        </w:rPr>
        <w:t>»</w:t>
      </w:r>
      <w:r w:rsidR="004F1F32" w:rsidRPr="00904FCB">
        <w:rPr>
          <w:rFonts w:ascii="Tahoma" w:hAnsi="Tahoma" w:hint="cs"/>
          <w:sz w:val="27"/>
          <w:rtl/>
        </w:rPr>
        <w:t>،</w:t>
      </w:r>
      <w:r w:rsidRPr="00904FCB">
        <w:rPr>
          <w:rFonts w:ascii="Tahoma" w:hAnsi="Tahoma" w:hint="cs"/>
          <w:sz w:val="27"/>
          <w:rtl/>
        </w:rPr>
        <w:t xml:space="preserve"> قوامها</w:t>
      </w:r>
      <w:r w:rsidRPr="00904FCB">
        <w:rPr>
          <w:rFonts w:ascii="Tahoma" w:hAnsi="Tahoma"/>
          <w:sz w:val="27"/>
        </w:rPr>
        <w:t xml:space="preserve"> </w:t>
      </w:r>
      <w:r w:rsidRPr="00904FCB">
        <w:rPr>
          <w:rFonts w:ascii="Tahoma" w:hAnsi="Tahoma" w:hint="cs"/>
          <w:sz w:val="27"/>
          <w:rtl/>
        </w:rPr>
        <w:t>التأسيس النظري لليقظة الدينية</w:t>
      </w:r>
      <w:r w:rsidR="004F1F32" w:rsidRPr="00904FCB">
        <w:rPr>
          <w:rFonts w:ascii="Tahoma" w:hAnsi="Tahoma" w:hint="cs"/>
          <w:sz w:val="27"/>
          <w:rtl/>
        </w:rPr>
        <w:t>،</w:t>
      </w:r>
      <w:r w:rsidRPr="00904FCB">
        <w:rPr>
          <w:rFonts w:ascii="Tahoma" w:hAnsi="Tahoma" w:hint="cs"/>
          <w:sz w:val="27"/>
          <w:rtl/>
        </w:rPr>
        <w:t xml:space="preserve"> وتخليصها من</w:t>
      </w:r>
      <w:r w:rsidRPr="00904FCB">
        <w:rPr>
          <w:rFonts w:ascii="Tahoma" w:hAnsi="Tahoma"/>
          <w:sz w:val="27"/>
        </w:rPr>
        <w:t xml:space="preserve"> </w:t>
      </w:r>
      <w:r w:rsidRPr="00904FCB">
        <w:rPr>
          <w:rFonts w:ascii="Tahoma" w:hAnsi="Tahoma" w:hint="cs"/>
          <w:sz w:val="27"/>
          <w:rtl/>
        </w:rPr>
        <w:t>آفة الغلو</w:t>
      </w:r>
      <w:r w:rsidR="004F1F32" w:rsidRPr="00904FCB">
        <w:rPr>
          <w:rFonts w:ascii="Tahoma" w:hAnsi="Tahoma" w:hint="cs"/>
          <w:sz w:val="27"/>
          <w:rtl/>
        </w:rPr>
        <w:t>ّ</w:t>
      </w:r>
      <w:r w:rsidRPr="00904FCB">
        <w:rPr>
          <w:rFonts w:ascii="Tahoma" w:hAnsi="Tahoma" w:hint="cs"/>
          <w:sz w:val="27"/>
          <w:rtl/>
        </w:rPr>
        <w:t xml:space="preserve"> في الاختلاف المذهبي. حيث يرى أن الحركات الإسلامية المعاصرة تفتقد إلى إطار</w:t>
      </w:r>
      <w:r w:rsidR="004F1F32" w:rsidRPr="00904FCB">
        <w:rPr>
          <w:rFonts w:ascii="Tahoma" w:hAnsi="Tahoma" w:hint="cs"/>
          <w:sz w:val="27"/>
          <w:rtl/>
        </w:rPr>
        <w:t>ٍ</w:t>
      </w:r>
      <w:r w:rsidRPr="00904FCB">
        <w:rPr>
          <w:rFonts w:ascii="Tahoma" w:hAnsi="Tahoma" w:hint="cs"/>
          <w:sz w:val="27"/>
          <w:rtl/>
        </w:rPr>
        <w:t xml:space="preserve"> تنظيري ومنهجي محكم، كما تفتقد إلى التجربة الإيمانية التي تمك</w:t>
      </w:r>
      <w:r w:rsidR="004F1F32" w:rsidRPr="00904FCB">
        <w:rPr>
          <w:rFonts w:ascii="Tahoma" w:hAnsi="Tahoma" w:hint="cs"/>
          <w:sz w:val="27"/>
          <w:rtl/>
        </w:rPr>
        <w:t>ِّ</w:t>
      </w:r>
      <w:r w:rsidRPr="00904FCB">
        <w:rPr>
          <w:rFonts w:ascii="Tahoma" w:hAnsi="Tahoma" w:hint="cs"/>
          <w:sz w:val="27"/>
          <w:rtl/>
        </w:rPr>
        <w:t>نها من النفاذ إلى عمق الذات</w:t>
      </w:r>
      <w:r w:rsidR="004F1F32" w:rsidRPr="00904FCB">
        <w:rPr>
          <w:rFonts w:ascii="Tahoma" w:hAnsi="Tahoma" w:hint="cs"/>
          <w:sz w:val="27"/>
          <w:rtl/>
        </w:rPr>
        <w:t xml:space="preserve">؛ للوصول إلى عملية </w:t>
      </w:r>
      <w:r w:rsidRPr="00904FCB">
        <w:rPr>
          <w:rFonts w:ascii="Tahoma" w:hAnsi="Tahoma" w:hint="cs"/>
          <w:sz w:val="27"/>
          <w:rtl/>
        </w:rPr>
        <w:t>التخل</w:t>
      </w:r>
      <w:r w:rsidR="004F1F32" w:rsidRPr="00904FCB">
        <w:rPr>
          <w:rFonts w:ascii="Tahoma" w:hAnsi="Tahoma" w:hint="cs"/>
          <w:sz w:val="27"/>
          <w:rtl/>
        </w:rPr>
        <w:t>ُّ</w:t>
      </w:r>
      <w:r w:rsidRPr="00904FCB">
        <w:rPr>
          <w:rFonts w:ascii="Tahoma" w:hAnsi="Tahoma" w:hint="cs"/>
          <w:sz w:val="27"/>
          <w:rtl/>
        </w:rPr>
        <w:t>ق</w:t>
      </w:r>
      <w:r w:rsidRPr="00904FCB">
        <w:rPr>
          <w:rFonts w:ascii="Tahoma" w:hAnsi="Tahoma"/>
          <w:sz w:val="27"/>
          <w:vertAlign w:val="superscript"/>
          <w:rtl/>
        </w:rPr>
        <w:t>(</w:t>
      </w:r>
      <w:r w:rsidRPr="00904FCB">
        <w:rPr>
          <w:rStyle w:val="ac"/>
          <w:rFonts w:ascii="Tahoma" w:hAnsi="Tahoma"/>
          <w:sz w:val="27"/>
          <w:rtl/>
        </w:rPr>
        <w:endnoteReference w:id="512"/>
      </w:r>
      <w:r w:rsidRPr="00904FCB">
        <w:rPr>
          <w:rFonts w:ascii="Tahoma" w:hAnsi="Tahoma"/>
          <w:sz w:val="27"/>
          <w:vertAlign w:val="superscript"/>
          <w:rtl/>
        </w:rPr>
        <w:t>)</w:t>
      </w:r>
      <w:r w:rsidRPr="00904FCB">
        <w:rPr>
          <w:rFonts w:ascii="Tahoma" w:hAnsi="Tahoma" w:hint="cs"/>
          <w:sz w:val="27"/>
          <w:rtl/>
        </w:rPr>
        <w:t xml:space="preserve">. </w:t>
      </w:r>
    </w:p>
    <w:p w:rsidR="00625F5D" w:rsidRPr="00904FCB" w:rsidRDefault="004F1F32" w:rsidP="007A21AA">
      <w:pPr>
        <w:spacing w:line="400" w:lineRule="exact"/>
        <w:rPr>
          <w:rFonts w:ascii="Tahoma" w:hAnsi="Tahoma"/>
          <w:sz w:val="27"/>
          <w:rtl/>
        </w:rPr>
      </w:pPr>
      <w:r w:rsidRPr="00904FCB">
        <w:rPr>
          <w:rFonts w:ascii="Tahoma" w:hAnsi="Tahoma" w:hint="cs"/>
          <w:sz w:val="27"/>
          <w:rtl/>
        </w:rPr>
        <w:t>ويجتهد في صياغة نموذ</w:t>
      </w:r>
      <w:r w:rsidRPr="00904FCB">
        <w:rPr>
          <w:rFonts w:ascii="Tahoma" w:hAnsi="Tahoma" w:hint="cs"/>
          <w:sz w:val="27"/>
          <w:rtl/>
          <w:lang w:bidi="ar-LB"/>
        </w:rPr>
        <w:t xml:space="preserve">جٍ </w:t>
      </w:r>
      <w:r w:rsidR="00625F5D" w:rsidRPr="00904FCB">
        <w:rPr>
          <w:rFonts w:ascii="Tahoma" w:hAnsi="Tahoma" w:hint="cs"/>
          <w:sz w:val="27"/>
          <w:rtl/>
        </w:rPr>
        <w:t xml:space="preserve">غير مسبوق في فهم الفعالية العقلية يتعين في ثلاث مراتب: مرتبة </w:t>
      </w:r>
      <w:r w:rsidR="00625F5D" w:rsidRPr="00904FCB">
        <w:rPr>
          <w:rFonts w:hint="eastAsia"/>
          <w:sz w:val="27"/>
          <w:rtl/>
        </w:rPr>
        <w:t>«</w:t>
      </w:r>
      <w:r w:rsidR="00625F5D" w:rsidRPr="00904FCB">
        <w:rPr>
          <w:rFonts w:ascii="Tahoma" w:hAnsi="Tahoma" w:hint="cs"/>
          <w:sz w:val="27"/>
          <w:rtl/>
        </w:rPr>
        <w:t>العقل المجر</w:t>
      </w:r>
      <w:r w:rsidRPr="00904FCB">
        <w:rPr>
          <w:rFonts w:ascii="Tahoma" w:hAnsi="Tahoma" w:hint="cs"/>
          <w:sz w:val="27"/>
          <w:rtl/>
        </w:rPr>
        <w:t>ّ</w:t>
      </w:r>
      <w:r w:rsidR="00625F5D" w:rsidRPr="00904FCB">
        <w:rPr>
          <w:rFonts w:ascii="Tahoma" w:hAnsi="Tahoma" w:hint="cs"/>
          <w:sz w:val="27"/>
          <w:rtl/>
        </w:rPr>
        <w:t>د</w:t>
      </w:r>
      <w:r w:rsidR="00625F5D" w:rsidRPr="00904FCB">
        <w:rPr>
          <w:rFonts w:hint="eastAsia"/>
          <w:sz w:val="27"/>
          <w:rtl/>
        </w:rPr>
        <w:t>»</w:t>
      </w:r>
      <w:r w:rsidRPr="00904FCB">
        <w:rPr>
          <w:rFonts w:ascii="Tahoma" w:hAnsi="Tahoma" w:hint="cs"/>
          <w:sz w:val="27"/>
          <w:rtl/>
        </w:rPr>
        <w:t>،</w:t>
      </w:r>
      <w:r w:rsidR="00625F5D" w:rsidRPr="00904FCB">
        <w:rPr>
          <w:rFonts w:ascii="Tahoma" w:hAnsi="Tahoma" w:hint="cs"/>
          <w:sz w:val="27"/>
          <w:rtl/>
          <w:lang w:bidi="ar-LB"/>
        </w:rPr>
        <w:t xml:space="preserve"> </w:t>
      </w:r>
      <w:r w:rsidR="00625F5D" w:rsidRPr="00904FCB">
        <w:rPr>
          <w:rFonts w:ascii="Tahoma" w:hAnsi="Tahoma" w:hint="cs"/>
          <w:sz w:val="27"/>
          <w:rtl/>
        </w:rPr>
        <w:t xml:space="preserve">وينطبق على صاحبه وصف </w:t>
      </w:r>
      <w:r w:rsidR="00625F5D" w:rsidRPr="00904FCB">
        <w:rPr>
          <w:rFonts w:hint="eastAsia"/>
          <w:sz w:val="27"/>
          <w:rtl/>
        </w:rPr>
        <w:t>«</w:t>
      </w:r>
      <w:r w:rsidR="00625F5D" w:rsidRPr="00904FCB">
        <w:rPr>
          <w:rFonts w:ascii="Tahoma" w:hAnsi="Tahoma" w:hint="cs"/>
          <w:sz w:val="27"/>
          <w:rtl/>
        </w:rPr>
        <w:t>المقارب</w:t>
      </w:r>
      <w:r w:rsidR="00625F5D" w:rsidRPr="00904FCB">
        <w:rPr>
          <w:rFonts w:hint="eastAsia"/>
          <w:sz w:val="27"/>
          <w:rtl/>
        </w:rPr>
        <w:t>»</w:t>
      </w:r>
      <w:r w:rsidRPr="00904FCB">
        <w:rPr>
          <w:rFonts w:ascii="Tahoma" w:hAnsi="Tahoma" w:hint="cs"/>
          <w:sz w:val="27"/>
          <w:rtl/>
        </w:rPr>
        <w:t>؛</w:t>
      </w:r>
      <w:r w:rsidR="00625F5D" w:rsidRPr="00904FCB">
        <w:rPr>
          <w:rFonts w:ascii="Tahoma" w:hAnsi="Tahoma" w:hint="cs"/>
          <w:sz w:val="27"/>
          <w:rtl/>
        </w:rPr>
        <w:t xml:space="preserve"> ومرتبة </w:t>
      </w:r>
      <w:r w:rsidR="00625F5D" w:rsidRPr="00904FCB">
        <w:rPr>
          <w:rFonts w:hint="eastAsia"/>
          <w:sz w:val="27"/>
          <w:rtl/>
        </w:rPr>
        <w:t>«</w:t>
      </w:r>
      <w:r w:rsidR="00625F5D" w:rsidRPr="00904FCB">
        <w:rPr>
          <w:rFonts w:ascii="Tahoma" w:hAnsi="Tahoma" w:hint="cs"/>
          <w:sz w:val="27"/>
          <w:rtl/>
        </w:rPr>
        <w:t>العقل المسد</w:t>
      </w:r>
      <w:r w:rsidRPr="00904FCB">
        <w:rPr>
          <w:rFonts w:ascii="Tahoma" w:hAnsi="Tahoma" w:hint="cs"/>
          <w:sz w:val="27"/>
          <w:rtl/>
        </w:rPr>
        <w:t>َّ</w:t>
      </w:r>
      <w:r w:rsidR="00625F5D" w:rsidRPr="00904FCB">
        <w:rPr>
          <w:rFonts w:ascii="Tahoma" w:hAnsi="Tahoma" w:hint="cs"/>
          <w:sz w:val="27"/>
          <w:rtl/>
        </w:rPr>
        <w:t>د</w:t>
      </w:r>
      <w:r w:rsidR="00625F5D" w:rsidRPr="00904FCB">
        <w:rPr>
          <w:rFonts w:hint="eastAsia"/>
          <w:sz w:val="27"/>
          <w:rtl/>
        </w:rPr>
        <w:t>»</w:t>
      </w:r>
      <w:r w:rsidRPr="00904FCB">
        <w:rPr>
          <w:rFonts w:ascii="Tahoma" w:hAnsi="Tahoma" w:hint="cs"/>
          <w:sz w:val="27"/>
          <w:rtl/>
        </w:rPr>
        <w:t>،</w:t>
      </w:r>
      <w:r w:rsidR="00625F5D" w:rsidRPr="00904FCB">
        <w:rPr>
          <w:rFonts w:ascii="Tahoma" w:hAnsi="Tahoma" w:hint="cs"/>
          <w:sz w:val="27"/>
          <w:rtl/>
        </w:rPr>
        <w:t xml:space="preserve"> وينطبق على صاحبه وصف</w:t>
      </w:r>
      <w:r w:rsidR="00625F5D" w:rsidRPr="00904FCB">
        <w:rPr>
          <w:rFonts w:ascii="Tahoma" w:hAnsi="Tahoma"/>
          <w:sz w:val="27"/>
          <w:rtl/>
        </w:rPr>
        <w:t xml:space="preserve"> </w:t>
      </w:r>
      <w:r w:rsidR="00625F5D" w:rsidRPr="00904FCB">
        <w:rPr>
          <w:rFonts w:hint="eastAsia"/>
          <w:sz w:val="27"/>
          <w:rtl/>
        </w:rPr>
        <w:t>«</w:t>
      </w:r>
      <w:r w:rsidR="00625F5D" w:rsidRPr="00904FCB">
        <w:rPr>
          <w:rFonts w:ascii="Tahoma" w:hAnsi="Tahoma" w:hint="cs"/>
          <w:sz w:val="27"/>
          <w:rtl/>
        </w:rPr>
        <w:t>قرباني</w:t>
      </w:r>
      <w:r w:rsidR="00625F5D" w:rsidRPr="00904FCB">
        <w:rPr>
          <w:rFonts w:hint="eastAsia"/>
          <w:sz w:val="27"/>
          <w:rtl/>
        </w:rPr>
        <w:t>»</w:t>
      </w:r>
      <w:r w:rsidRPr="00904FCB">
        <w:rPr>
          <w:rFonts w:ascii="Tahoma" w:hAnsi="Tahoma" w:hint="cs"/>
          <w:sz w:val="27"/>
          <w:rtl/>
        </w:rPr>
        <w:t>؛</w:t>
      </w:r>
      <w:r w:rsidR="00625F5D" w:rsidRPr="00904FCB">
        <w:rPr>
          <w:rFonts w:ascii="Tahoma" w:hAnsi="Tahoma" w:hint="cs"/>
          <w:sz w:val="27"/>
          <w:rtl/>
        </w:rPr>
        <w:t xml:space="preserve"> ومرتبة </w:t>
      </w:r>
      <w:r w:rsidR="00625F5D" w:rsidRPr="00904FCB">
        <w:rPr>
          <w:rFonts w:hint="eastAsia"/>
          <w:sz w:val="27"/>
          <w:rtl/>
        </w:rPr>
        <w:t>«</w:t>
      </w:r>
      <w:r w:rsidR="00625F5D" w:rsidRPr="00904FCB">
        <w:rPr>
          <w:rFonts w:ascii="Tahoma" w:hAnsi="Tahoma" w:hint="cs"/>
          <w:sz w:val="27"/>
          <w:rtl/>
        </w:rPr>
        <w:t>العقل المؤي</w:t>
      </w:r>
      <w:r w:rsidRPr="00904FCB">
        <w:rPr>
          <w:rFonts w:ascii="Tahoma" w:hAnsi="Tahoma" w:hint="cs"/>
          <w:sz w:val="27"/>
          <w:rtl/>
        </w:rPr>
        <w:t>َّ</w:t>
      </w:r>
      <w:r w:rsidR="00625F5D" w:rsidRPr="00904FCB">
        <w:rPr>
          <w:rFonts w:ascii="Tahoma" w:hAnsi="Tahoma" w:hint="cs"/>
          <w:sz w:val="27"/>
          <w:rtl/>
        </w:rPr>
        <w:t>د</w:t>
      </w:r>
      <w:r w:rsidR="00625F5D" w:rsidRPr="00904FCB">
        <w:rPr>
          <w:rFonts w:hint="eastAsia"/>
          <w:sz w:val="27"/>
          <w:rtl/>
        </w:rPr>
        <w:t>»</w:t>
      </w:r>
      <w:r w:rsidRPr="00904FCB">
        <w:rPr>
          <w:rFonts w:ascii="Tahoma" w:hAnsi="Tahoma" w:hint="cs"/>
          <w:sz w:val="27"/>
          <w:rtl/>
        </w:rPr>
        <w:t>،</w:t>
      </w:r>
      <w:r w:rsidR="00625F5D" w:rsidRPr="00904FCB">
        <w:rPr>
          <w:rFonts w:ascii="Tahoma" w:hAnsi="Tahoma" w:hint="cs"/>
          <w:sz w:val="27"/>
          <w:rtl/>
        </w:rPr>
        <w:t xml:space="preserve"> ويطلق على صاحبه </w:t>
      </w:r>
      <w:r w:rsidR="00625F5D" w:rsidRPr="00904FCB">
        <w:rPr>
          <w:rFonts w:hint="eastAsia"/>
          <w:sz w:val="27"/>
          <w:rtl/>
        </w:rPr>
        <w:t>«</w:t>
      </w:r>
      <w:r w:rsidR="00625F5D" w:rsidRPr="00904FCB">
        <w:rPr>
          <w:rFonts w:ascii="Tahoma" w:hAnsi="Tahoma" w:hint="cs"/>
          <w:sz w:val="27"/>
          <w:rtl/>
        </w:rPr>
        <w:t>المقر</w:t>
      </w:r>
      <w:r w:rsidRPr="00904FCB">
        <w:rPr>
          <w:rFonts w:ascii="Tahoma" w:hAnsi="Tahoma" w:hint="cs"/>
          <w:sz w:val="27"/>
          <w:rtl/>
        </w:rPr>
        <w:t>َّ</w:t>
      </w:r>
      <w:r w:rsidR="00625F5D" w:rsidRPr="00904FCB">
        <w:rPr>
          <w:rFonts w:ascii="Tahoma" w:hAnsi="Tahoma" w:hint="cs"/>
          <w:sz w:val="27"/>
          <w:rtl/>
        </w:rPr>
        <w:t>ب</w:t>
      </w:r>
      <w:r w:rsidR="00625F5D" w:rsidRPr="00904FCB">
        <w:rPr>
          <w:rFonts w:hint="eastAsia"/>
          <w:sz w:val="27"/>
          <w:rtl/>
        </w:rPr>
        <w:t>»</w:t>
      </w:r>
      <w:r w:rsidR="00625F5D" w:rsidRPr="00904FCB">
        <w:rPr>
          <w:rFonts w:ascii="Tahoma" w:hAnsi="Tahoma"/>
          <w:sz w:val="27"/>
          <w:vertAlign w:val="superscript"/>
          <w:rtl/>
        </w:rPr>
        <w:t>(</w:t>
      </w:r>
      <w:r w:rsidR="00625F5D" w:rsidRPr="00904FCB">
        <w:rPr>
          <w:rStyle w:val="ac"/>
          <w:rFonts w:ascii="Tahoma" w:hAnsi="Tahoma"/>
          <w:sz w:val="27"/>
          <w:rtl/>
        </w:rPr>
        <w:endnoteReference w:id="513"/>
      </w:r>
      <w:r w:rsidR="00625F5D" w:rsidRPr="00904FCB">
        <w:rPr>
          <w:rFonts w:ascii="Tahoma" w:hAnsi="Tahoma"/>
          <w:sz w:val="27"/>
          <w:vertAlign w:val="superscript"/>
          <w:rtl/>
        </w:rPr>
        <w:t>)</w:t>
      </w:r>
      <w:r w:rsidR="00625F5D" w:rsidRPr="00904FCB">
        <w:rPr>
          <w:rFonts w:ascii="Tahoma" w:hAnsi="Tahoma" w:hint="cs"/>
          <w:sz w:val="27"/>
          <w:rtl/>
        </w:rPr>
        <w:t xml:space="preserve">. </w:t>
      </w:r>
    </w:p>
    <w:p w:rsidR="00625F5D" w:rsidRPr="00904FCB" w:rsidRDefault="00625F5D" w:rsidP="007A21AA">
      <w:pPr>
        <w:spacing w:line="400" w:lineRule="exact"/>
        <w:rPr>
          <w:rFonts w:ascii="Tahoma" w:hAnsi="Tahoma"/>
          <w:sz w:val="27"/>
          <w:rtl/>
        </w:rPr>
      </w:pPr>
      <w:r w:rsidRPr="00904FCB">
        <w:rPr>
          <w:rFonts w:ascii="Tahoma" w:hAnsi="Tahoma" w:hint="cs"/>
          <w:sz w:val="27"/>
          <w:rtl/>
        </w:rPr>
        <w:t>ثم ينتقد الأسس والأصول التي بُني</w:t>
      </w:r>
      <w:r w:rsidR="004F1F32" w:rsidRPr="00904FCB">
        <w:rPr>
          <w:rFonts w:ascii="Tahoma" w:hAnsi="Tahoma" w:hint="cs"/>
          <w:sz w:val="27"/>
          <w:rtl/>
        </w:rPr>
        <w:t>َ</w:t>
      </w:r>
      <w:r w:rsidRPr="00904FCB">
        <w:rPr>
          <w:rFonts w:ascii="Tahoma" w:hAnsi="Tahoma" w:hint="cs"/>
          <w:sz w:val="27"/>
          <w:rtl/>
        </w:rPr>
        <w:t>ت</w:t>
      </w:r>
      <w:r w:rsidR="004F1F32" w:rsidRPr="00904FCB">
        <w:rPr>
          <w:rFonts w:ascii="Tahoma" w:hAnsi="Tahoma" w:hint="cs"/>
          <w:sz w:val="27"/>
          <w:rtl/>
        </w:rPr>
        <w:t>ْ</w:t>
      </w:r>
      <w:r w:rsidRPr="00904FCB">
        <w:rPr>
          <w:rFonts w:ascii="Tahoma" w:hAnsi="Tahoma" w:hint="cs"/>
          <w:sz w:val="27"/>
          <w:rtl/>
        </w:rPr>
        <w:t xml:space="preserve"> عليها الحداثة</w:t>
      </w:r>
      <w:r w:rsidR="005D45F1" w:rsidRPr="00904FCB">
        <w:rPr>
          <w:rFonts w:ascii="Tahoma" w:hAnsi="Tahoma" w:hint="cs"/>
          <w:sz w:val="27"/>
          <w:rtl/>
        </w:rPr>
        <w:t>،</w:t>
      </w:r>
      <w:r w:rsidRPr="00904FCB">
        <w:rPr>
          <w:rFonts w:ascii="Tahoma" w:hAnsi="Tahoma" w:hint="cs"/>
          <w:sz w:val="27"/>
          <w:rtl/>
        </w:rPr>
        <w:t xml:space="preserve"> وكما تبلورت في الفكر المعاصر، حيث يعيد الاعتبار للمقو</w:t>
      </w:r>
      <w:r w:rsidR="005D45F1" w:rsidRPr="00904FCB">
        <w:rPr>
          <w:rFonts w:ascii="Tahoma" w:hAnsi="Tahoma" w:hint="cs"/>
          <w:sz w:val="27"/>
          <w:rtl/>
        </w:rPr>
        <w:t>ِّ</w:t>
      </w:r>
      <w:r w:rsidRPr="00904FCB">
        <w:rPr>
          <w:rFonts w:ascii="Tahoma" w:hAnsi="Tahoma" w:hint="cs"/>
          <w:sz w:val="27"/>
          <w:rtl/>
        </w:rPr>
        <w:t>م الأخلاقي</w:t>
      </w:r>
      <w:r w:rsidR="005D45F1" w:rsidRPr="00904FCB">
        <w:rPr>
          <w:rFonts w:ascii="Tahoma" w:hAnsi="Tahoma" w:hint="cs"/>
          <w:sz w:val="27"/>
          <w:rtl/>
        </w:rPr>
        <w:t>،</w:t>
      </w:r>
      <w:r w:rsidRPr="00904FCB">
        <w:rPr>
          <w:rFonts w:ascii="Tahoma" w:hAnsi="Tahoma" w:hint="cs"/>
          <w:sz w:val="27"/>
          <w:rtl/>
        </w:rPr>
        <w:t xml:space="preserve"> الذي يكافئ </w:t>
      </w:r>
      <w:r w:rsidRPr="00904FCB">
        <w:rPr>
          <w:rFonts w:hint="eastAsia"/>
          <w:sz w:val="27"/>
          <w:rtl/>
        </w:rPr>
        <w:t>«</w:t>
      </w:r>
      <w:r w:rsidRPr="00904FCB">
        <w:rPr>
          <w:rFonts w:ascii="Tahoma" w:hAnsi="Tahoma" w:hint="cs"/>
          <w:sz w:val="27"/>
          <w:rtl/>
        </w:rPr>
        <w:t>العقل المؤي</w:t>
      </w:r>
      <w:r w:rsidR="005D45F1" w:rsidRPr="00904FCB">
        <w:rPr>
          <w:rFonts w:ascii="Tahoma" w:hAnsi="Tahoma" w:hint="cs"/>
          <w:sz w:val="27"/>
          <w:rtl/>
        </w:rPr>
        <w:t>َّ</w:t>
      </w:r>
      <w:r w:rsidRPr="00904FCB">
        <w:rPr>
          <w:rFonts w:ascii="Tahoma" w:hAnsi="Tahoma" w:hint="cs"/>
          <w:sz w:val="27"/>
          <w:rtl/>
        </w:rPr>
        <w:t>د</w:t>
      </w:r>
      <w:r w:rsidRPr="00904FCB">
        <w:rPr>
          <w:rFonts w:hint="eastAsia"/>
          <w:sz w:val="27"/>
          <w:rtl/>
        </w:rPr>
        <w:t>»</w:t>
      </w:r>
      <w:r w:rsidR="005D45F1" w:rsidRPr="00904FCB">
        <w:rPr>
          <w:rFonts w:hint="cs"/>
          <w:sz w:val="27"/>
          <w:rtl/>
        </w:rPr>
        <w:t>.</w:t>
      </w:r>
      <w:r w:rsidRPr="00904FCB">
        <w:rPr>
          <w:rFonts w:ascii="Tahoma" w:hAnsi="Tahoma" w:hint="cs"/>
          <w:sz w:val="27"/>
          <w:rtl/>
        </w:rPr>
        <w:t xml:space="preserve"> أما العقلانية التي انتصر لها</w:t>
      </w:r>
      <w:r w:rsidRPr="00904FCB">
        <w:rPr>
          <w:rFonts w:ascii="Tahoma" w:hAnsi="Tahoma"/>
          <w:sz w:val="27"/>
        </w:rPr>
        <w:t xml:space="preserve"> </w:t>
      </w:r>
      <w:r w:rsidRPr="00904FCB">
        <w:rPr>
          <w:rFonts w:ascii="Tahoma" w:hAnsi="Tahoma" w:hint="cs"/>
          <w:sz w:val="27"/>
          <w:rtl/>
        </w:rPr>
        <w:t xml:space="preserve">دعاة الحداثة فهي تكافئ </w:t>
      </w:r>
      <w:r w:rsidRPr="00904FCB">
        <w:rPr>
          <w:rFonts w:hint="eastAsia"/>
          <w:sz w:val="27"/>
          <w:rtl/>
        </w:rPr>
        <w:t>«</w:t>
      </w:r>
      <w:r w:rsidRPr="00904FCB">
        <w:rPr>
          <w:rFonts w:ascii="Tahoma" w:hAnsi="Tahoma" w:hint="cs"/>
          <w:sz w:val="27"/>
          <w:rtl/>
        </w:rPr>
        <w:t>العقل المجر</w:t>
      </w:r>
      <w:r w:rsidR="005D45F1" w:rsidRPr="00904FCB">
        <w:rPr>
          <w:rFonts w:ascii="Tahoma" w:hAnsi="Tahoma" w:hint="cs"/>
          <w:sz w:val="27"/>
          <w:rtl/>
        </w:rPr>
        <w:t>َّ</w:t>
      </w:r>
      <w:r w:rsidRPr="00904FCB">
        <w:rPr>
          <w:rFonts w:ascii="Tahoma" w:hAnsi="Tahoma" w:hint="cs"/>
          <w:sz w:val="27"/>
          <w:rtl/>
        </w:rPr>
        <w:t>د</w:t>
      </w:r>
      <w:r w:rsidRPr="00904FCB">
        <w:rPr>
          <w:rFonts w:hint="eastAsia"/>
          <w:sz w:val="27"/>
          <w:rtl/>
        </w:rPr>
        <w:t>»</w:t>
      </w:r>
      <w:r w:rsidR="005D45F1" w:rsidRPr="00904FCB">
        <w:rPr>
          <w:rFonts w:ascii="Tahoma" w:hAnsi="Tahoma" w:hint="cs"/>
          <w:sz w:val="27"/>
          <w:rtl/>
        </w:rPr>
        <w:t>،</w:t>
      </w:r>
      <w:r w:rsidRPr="00904FCB">
        <w:rPr>
          <w:rFonts w:ascii="Tahoma" w:hAnsi="Tahoma" w:hint="cs"/>
          <w:sz w:val="27"/>
          <w:rtl/>
        </w:rPr>
        <w:t xml:space="preserve"> وهو العقل الوضعي والعقل التاريخي</w:t>
      </w:r>
      <w:r w:rsidRPr="00904FCB">
        <w:rPr>
          <w:rFonts w:ascii="Tahoma" w:hAnsi="Tahoma"/>
          <w:sz w:val="27"/>
          <w:vertAlign w:val="superscript"/>
          <w:rtl/>
        </w:rPr>
        <w:t>(</w:t>
      </w:r>
      <w:r w:rsidRPr="00904FCB">
        <w:rPr>
          <w:rStyle w:val="ac"/>
          <w:rFonts w:ascii="Tahoma" w:hAnsi="Tahoma"/>
          <w:sz w:val="27"/>
        </w:rPr>
        <w:endnoteReference w:id="514"/>
      </w:r>
      <w:r w:rsidRPr="00904FCB">
        <w:rPr>
          <w:rFonts w:ascii="Tahoma" w:hAnsi="Tahoma"/>
          <w:sz w:val="27"/>
          <w:vertAlign w:val="superscript"/>
          <w:rtl/>
        </w:rPr>
        <w:t>)</w:t>
      </w:r>
      <w:r w:rsidRPr="00904FCB">
        <w:rPr>
          <w:rFonts w:ascii="Tahoma" w:hAnsi="Tahoma" w:hint="cs"/>
          <w:sz w:val="27"/>
          <w:rtl/>
          <w:lang w:bidi="ar-DZ"/>
        </w:rPr>
        <w:t xml:space="preserve">. </w:t>
      </w:r>
    </w:p>
    <w:p w:rsidR="00625F5D" w:rsidRPr="00904FCB" w:rsidRDefault="00625F5D" w:rsidP="007A21AA">
      <w:pPr>
        <w:spacing w:line="400" w:lineRule="exact"/>
        <w:rPr>
          <w:rFonts w:ascii="Tahoma" w:hAnsi="Tahoma"/>
          <w:sz w:val="27"/>
          <w:rtl/>
          <w:lang w:bidi="ar-LB"/>
        </w:rPr>
      </w:pPr>
      <w:r w:rsidRPr="00904FCB">
        <w:rPr>
          <w:rFonts w:ascii="Tahoma" w:hAnsi="Tahoma" w:hint="cs"/>
          <w:sz w:val="27"/>
          <w:rtl/>
        </w:rPr>
        <w:t xml:space="preserve"> وفي حين يستبعد العقلانية</w:t>
      </w:r>
      <w:r w:rsidRPr="00904FCB">
        <w:rPr>
          <w:rFonts w:ascii="Tahoma" w:hAnsi="Tahoma"/>
          <w:sz w:val="27"/>
        </w:rPr>
        <w:t xml:space="preserve"> </w:t>
      </w:r>
      <w:r w:rsidRPr="00904FCB">
        <w:rPr>
          <w:rFonts w:ascii="Tahoma" w:hAnsi="Tahoma" w:hint="cs"/>
          <w:sz w:val="27"/>
          <w:rtl/>
        </w:rPr>
        <w:t>المجر</w:t>
      </w:r>
      <w:r w:rsidR="005D45F1" w:rsidRPr="00904FCB">
        <w:rPr>
          <w:rFonts w:ascii="Tahoma" w:hAnsi="Tahoma" w:hint="cs"/>
          <w:sz w:val="27"/>
          <w:rtl/>
        </w:rPr>
        <w:t>َّ</w:t>
      </w:r>
      <w:r w:rsidRPr="00904FCB">
        <w:rPr>
          <w:rFonts w:ascii="Tahoma" w:hAnsi="Tahoma" w:hint="cs"/>
          <w:sz w:val="27"/>
          <w:rtl/>
        </w:rPr>
        <w:t>دة</w:t>
      </w:r>
      <w:r w:rsidR="005D45F1" w:rsidRPr="00904FCB">
        <w:rPr>
          <w:rFonts w:ascii="Tahoma" w:hAnsi="Tahoma" w:hint="cs"/>
          <w:sz w:val="27"/>
          <w:rtl/>
        </w:rPr>
        <w:t>،</w:t>
      </w:r>
      <w:r w:rsidRPr="00904FCB">
        <w:rPr>
          <w:rFonts w:ascii="Tahoma" w:hAnsi="Tahoma" w:hint="cs"/>
          <w:sz w:val="27"/>
          <w:rtl/>
        </w:rPr>
        <w:t xml:space="preserve"> والعقلانية المسدّ</w:t>
      </w:r>
      <w:r w:rsidR="005D45F1" w:rsidRPr="00904FCB">
        <w:rPr>
          <w:rFonts w:ascii="Tahoma" w:hAnsi="Tahoma" w:hint="cs"/>
          <w:sz w:val="27"/>
          <w:rtl/>
        </w:rPr>
        <w:t>َ</w:t>
      </w:r>
      <w:r w:rsidRPr="00904FCB">
        <w:rPr>
          <w:rFonts w:ascii="Tahoma" w:hAnsi="Tahoma" w:hint="cs"/>
          <w:sz w:val="27"/>
          <w:rtl/>
        </w:rPr>
        <w:t>دة، نجده يدافع عن العقلانية المؤي</w:t>
      </w:r>
      <w:r w:rsidR="005D45F1" w:rsidRPr="00904FCB">
        <w:rPr>
          <w:rFonts w:ascii="Tahoma" w:hAnsi="Tahoma" w:hint="cs"/>
          <w:sz w:val="27"/>
          <w:rtl/>
        </w:rPr>
        <w:t>َّ</w:t>
      </w:r>
      <w:r w:rsidRPr="00904FCB">
        <w:rPr>
          <w:rFonts w:ascii="Tahoma" w:hAnsi="Tahoma" w:hint="cs"/>
          <w:sz w:val="27"/>
          <w:rtl/>
        </w:rPr>
        <w:t>دة</w:t>
      </w:r>
      <w:r w:rsidR="005D45F1" w:rsidRPr="00904FCB">
        <w:rPr>
          <w:rFonts w:ascii="Tahoma" w:hAnsi="Tahoma" w:hint="cs"/>
          <w:sz w:val="27"/>
          <w:rtl/>
        </w:rPr>
        <w:t>،</w:t>
      </w:r>
      <w:r w:rsidRPr="00904FCB">
        <w:rPr>
          <w:rFonts w:ascii="Tahoma" w:hAnsi="Tahoma" w:hint="cs"/>
          <w:sz w:val="27"/>
          <w:rtl/>
        </w:rPr>
        <w:t xml:space="preserve"> التي تسلّم بوصل القول والفعل وعدم</w:t>
      </w:r>
      <w:r w:rsidRPr="00904FCB">
        <w:rPr>
          <w:rFonts w:ascii="Tahoma" w:hAnsi="Tahoma"/>
          <w:sz w:val="27"/>
        </w:rPr>
        <w:t xml:space="preserve"> </w:t>
      </w:r>
      <w:r w:rsidRPr="00904FCB">
        <w:rPr>
          <w:rFonts w:ascii="Tahoma" w:hAnsi="Tahoma" w:hint="cs"/>
          <w:sz w:val="27"/>
          <w:rtl/>
        </w:rPr>
        <w:t>انفصال المعرفة بالله عن العلم بالأشياء</w:t>
      </w:r>
      <w:r w:rsidR="005D45F1" w:rsidRPr="00904FCB">
        <w:rPr>
          <w:rFonts w:ascii="Tahoma" w:hAnsi="Tahoma" w:hint="cs"/>
          <w:sz w:val="27"/>
          <w:rtl/>
        </w:rPr>
        <w:t>،</w:t>
      </w:r>
      <w:r w:rsidRPr="00904FCB">
        <w:rPr>
          <w:rFonts w:ascii="Tahoma" w:hAnsi="Tahoma" w:hint="cs"/>
          <w:sz w:val="27"/>
          <w:rtl/>
        </w:rPr>
        <w:t xml:space="preserve"> وتؤمن بعدم انفكاك الزيادة بالمعرفة عن</w:t>
      </w:r>
      <w:r w:rsidRPr="00904FCB">
        <w:rPr>
          <w:rFonts w:ascii="Tahoma" w:hAnsi="Tahoma"/>
          <w:sz w:val="27"/>
        </w:rPr>
        <w:t xml:space="preserve"> </w:t>
      </w:r>
      <w:r w:rsidRPr="00904FCB">
        <w:rPr>
          <w:rFonts w:ascii="Tahoma" w:hAnsi="Tahoma" w:hint="cs"/>
          <w:sz w:val="27"/>
          <w:rtl/>
        </w:rPr>
        <w:t>الفائدة، وهي المرتبة السامية</w:t>
      </w:r>
      <w:r w:rsidRPr="00904FCB">
        <w:rPr>
          <w:rFonts w:ascii="Tahoma" w:hAnsi="Tahoma" w:hint="cs"/>
          <w:sz w:val="27"/>
          <w:rtl/>
          <w:lang w:bidi="ar-EG"/>
        </w:rPr>
        <w:t xml:space="preserve"> التي</w:t>
      </w:r>
      <w:r w:rsidRPr="00904FCB">
        <w:rPr>
          <w:rFonts w:ascii="Tahoma" w:hAnsi="Tahoma" w:hint="cs"/>
          <w:sz w:val="27"/>
          <w:rtl/>
        </w:rPr>
        <w:t xml:space="preserve"> تمكّ</w:t>
      </w:r>
      <w:r w:rsidR="005D45F1" w:rsidRPr="00904FCB">
        <w:rPr>
          <w:rFonts w:ascii="Tahoma" w:hAnsi="Tahoma" w:hint="cs"/>
          <w:sz w:val="27"/>
          <w:rtl/>
        </w:rPr>
        <w:t>َ</w:t>
      </w:r>
      <w:r w:rsidRPr="00904FCB">
        <w:rPr>
          <w:rFonts w:ascii="Tahoma" w:hAnsi="Tahoma" w:hint="cs"/>
          <w:sz w:val="27"/>
          <w:rtl/>
        </w:rPr>
        <w:t>ن صاحبها من تلق</w:t>
      </w:r>
      <w:r w:rsidR="005D45F1" w:rsidRPr="00904FCB">
        <w:rPr>
          <w:rFonts w:ascii="Tahoma" w:hAnsi="Tahoma" w:hint="cs"/>
          <w:sz w:val="27"/>
          <w:rtl/>
        </w:rPr>
        <w:t>ّي الخطاب القرآن</w:t>
      </w:r>
      <w:r w:rsidR="005D45F1" w:rsidRPr="00904FCB">
        <w:rPr>
          <w:rFonts w:ascii="Tahoma" w:hAnsi="Tahoma" w:hint="cs"/>
          <w:sz w:val="27"/>
          <w:rtl/>
          <w:lang w:bidi="ar-LB"/>
        </w:rPr>
        <w:t xml:space="preserve">ي، </w:t>
      </w:r>
      <w:r w:rsidRPr="00904FCB">
        <w:rPr>
          <w:rFonts w:ascii="Tahoma" w:hAnsi="Tahoma" w:hint="cs"/>
          <w:sz w:val="27"/>
          <w:rtl/>
        </w:rPr>
        <w:t>باعتبار أن معانيه تتجاوز الرسوم</w:t>
      </w:r>
      <w:r w:rsidR="005D45F1" w:rsidRPr="00904FCB">
        <w:rPr>
          <w:rFonts w:ascii="Tahoma" w:hAnsi="Tahoma" w:hint="cs"/>
          <w:sz w:val="27"/>
          <w:rtl/>
        </w:rPr>
        <w:t>؛</w:t>
      </w:r>
      <w:r w:rsidRPr="00904FCB">
        <w:rPr>
          <w:rFonts w:ascii="Tahoma" w:hAnsi="Tahoma" w:hint="cs"/>
          <w:sz w:val="27"/>
          <w:rtl/>
        </w:rPr>
        <w:t xml:space="preserve"> لأنها مودعة في نفس المتخلّ</w:t>
      </w:r>
      <w:r w:rsidR="005D45F1" w:rsidRPr="00904FCB">
        <w:rPr>
          <w:rFonts w:ascii="Tahoma" w:hAnsi="Tahoma" w:hint="cs"/>
          <w:sz w:val="27"/>
          <w:rtl/>
        </w:rPr>
        <w:t>ِ</w:t>
      </w:r>
      <w:r w:rsidRPr="00904FCB">
        <w:rPr>
          <w:rFonts w:ascii="Tahoma" w:hAnsi="Tahoma" w:hint="cs"/>
          <w:sz w:val="27"/>
          <w:rtl/>
        </w:rPr>
        <w:t>ق وفي العالم من حوله</w:t>
      </w:r>
      <w:r w:rsidR="005D45F1" w:rsidRPr="00904FCB">
        <w:rPr>
          <w:rFonts w:ascii="Tahoma" w:hAnsi="Tahoma" w:hint="cs"/>
          <w:sz w:val="27"/>
          <w:rtl/>
        </w:rPr>
        <w:t>،</w:t>
      </w:r>
      <w:r w:rsidRPr="00904FCB">
        <w:rPr>
          <w:rFonts w:ascii="Tahoma" w:hAnsi="Tahoma" w:hint="cs"/>
          <w:sz w:val="27"/>
          <w:rtl/>
        </w:rPr>
        <w:t xml:space="preserve"> وتجعله قادرا</w:t>
      </w:r>
      <w:r w:rsidR="005D45F1" w:rsidRPr="00904FCB">
        <w:rPr>
          <w:rFonts w:ascii="Tahoma" w:hAnsi="Tahoma" w:hint="cs"/>
          <w:sz w:val="27"/>
          <w:rtl/>
        </w:rPr>
        <w:t>ً</w:t>
      </w:r>
      <w:r w:rsidRPr="00904FCB">
        <w:rPr>
          <w:rFonts w:ascii="Tahoma" w:hAnsi="Tahoma" w:hint="cs"/>
          <w:sz w:val="27"/>
          <w:rtl/>
        </w:rPr>
        <w:t xml:space="preserve"> على تحم</w:t>
      </w:r>
      <w:r w:rsidR="005D45F1" w:rsidRPr="00904FCB">
        <w:rPr>
          <w:rFonts w:ascii="Tahoma" w:hAnsi="Tahoma" w:hint="cs"/>
          <w:sz w:val="27"/>
          <w:rtl/>
        </w:rPr>
        <w:t>ُّ</w:t>
      </w:r>
      <w:r w:rsidRPr="00904FCB">
        <w:rPr>
          <w:rFonts w:ascii="Tahoma" w:hAnsi="Tahoma" w:hint="cs"/>
          <w:sz w:val="27"/>
          <w:rtl/>
        </w:rPr>
        <w:t>ل الرؤيا التي لا تنقطع</w:t>
      </w:r>
      <w:r w:rsidR="005D45F1" w:rsidRPr="00904FCB">
        <w:rPr>
          <w:rFonts w:ascii="Tahoma" w:hAnsi="Tahoma" w:hint="cs"/>
          <w:sz w:val="27"/>
          <w:rtl/>
        </w:rPr>
        <w:t>،</w:t>
      </w:r>
      <w:r w:rsidRPr="00904FCB">
        <w:rPr>
          <w:rFonts w:ascii="Tahoma" w:hAnsi="Tahoma" w:hint="cs"/>
          <w:sz w:val="27"/>
          <w:rtl/>
        </w:rPr>
        <w:t xml:space="preserve"> وذلك عن طريق الاشتغال بالله والتعامل</w:t>
      </w:r>
      <w:r w:rsidRPr="00904FCB">
        <w:rPr>
          <w:rFonts w:ascii="Tahoma" w:hAnsi="Tahoma"/>
          <w:sz w:val="27"/>
        </w:rPr>
        <w:t xml:space="preserve"> </w:t>
      </w:r>
      <w:r w:rsidRPr="00904FCB">
        <w:rPr>
          <w:rFonts w:ascii="Tahoma" w:hAnsi="Tahoma" w:hint="cs"/>
          <w:sz w:val="27"/>
          <w:rtl/>
        </w:rPr>
        <w:t>مع الله</w:t>
      </w:r>
      <w:r w:rsidR="005D45F1" w:rsidRPr="00904FCB">
        <w:rPr>
          <w:rFonts w:ascii="Tahoma" w:hAnsi="Tahoma" w:hint="cs"/>
          <w:sz w:val="27"/>
          <w:rtl/>
        </w:rPr>
        <w:t>،</w:t>
      </w:r>
      <w:r w:rsidRPr="00904FCB">
        <w:rPr>
          <w:rFonts w:ascii="Tahoma" w:hAnsi="Tahoma" w:hint="cs"/>
          <w:sz w:val="27"/>
          <w:rtl/>
        </w:rPr>
        <w:t xml:space="preserve"> وبهذا يصبح صاحبها مالكا</w:t>
      </w:r>
      <w:r w:rsidR="005D45F1" w:rsidRPr="00904FCB">
        <w:rPr>
          <w:rFonts w:ascii="Tahoma" w:hAnsi="Tahoma" w:hint="cs"/>
          <w:sz w:val="27"/>
          <w:rtl/>
        </w:rPr>
        <w:t>ً</w:t>
      </w:r>
      <w:r w:rsidRPr="00904FCB">
        <w:rPr>
          <w:rFonts w:ascii="Tahoma" w:hAnsi="Tahoma" w:hint="cs"/>
          <w:sz w:val="27"/>
          <w:rtl/>
        </w:rPr>
        <w:t xml:space="preserve"> </w:t>
      </w:r>
      <w:r w:rsidRPr="00904FCB">
        <w:rPr>
          <w:rFonts w:ascii="Tahoma" w:hAnsi="Tahoma" w:hint="cs"/>
          <w:sz w:val="27"/>
          <w:rtl/>
          <w:lang w:bidi="ar-DZ"/>
        </w:rPr>
        <w:t>للعقل الكامل</w:t>
      </w:r>
      <w:r w:rsidRPr="00904FCB">
        <w:rPr>
          <w:rFonts w:ascii="Tahoma" w:hAnsi="Tahoma"/>
          <w:sz w:val="27"/>
          <w:vertAlign w:val="superscript"/>
          <w:rtl/>
          <w:lang w:bidi="ar-DZ"/>
        </w:rPr>
        <w:t>(</w:t>
      </w:r>
      <w:r w:rsidRPr="00904FCB">
        <w:rPr>
          <w:rStyle w:val="ac"/>
          <w:rFonts w:ascii="Tahoma" w:hAnsi="Tahoma"/>
          <w:sz w:val="27"/>
        </w:rPr>
        <w:endnoteReference w:id="515"/>
      </w:r>
      <w:r w:rsidRPr="00904FCB">
        <w:rPr>
          <w:rFonts w:ascii="Tahoma" w:hAnsi="Tahoma"/>
          <w:sz w:val="27"/>
          <w:vertAlign w:val="superscript"/>
          <w:rtl/>
          <w:lang w:bidi="ar-DZ"/>
        </w:rPr>
        <w:t>)</w:t>
      </w:r>
      <w:r w:rsidRPr="00904FCB">
        <w:rPr>
          <w:rFonts w:ascii="Tahoma" w:hAnsi="Tahoma" w:hint="cs"/>
          <w:sz w:val="27"/>
          <w:rtl/>
          <w:lang w:bidi="ar-DZ"/>
        </w:rPr>
        <w:t xml:space="preserve">. </w:t>
      </w:r>
    </w:p>
    <w:p w:rsidR="00625F5D" w:rsidRPr="00904FCB" w:rsidRDefault="00625F5D" w:rsidP="007A21AA">
      <w:pPr>
        <w:spacing w:line="400" w:lineRule="exact"/>
        <w:rPr>
          <w:sz w:val="27"/>
          <w:rtl/>
          <w:lang w:bidi="ar-DZ"/>
        </w:rPr>
      </w:pPr>
      <w:r w:rsidRPr="00904FCB">
        <w:rPr>
          <w:rFonts w:ascii="Tahoma" w:hAnsi="Tahoma" w:hint="cs"/>
          <w:sz w:val="27"/>
          <w:rtl/>
        </w:rPr>
        <w:t>ويصف مفك</w:t>
      </w:r>
      <w:r w:rsidR="005D45F1" w:rsidRPr="00904FCB">
        <w:rPr>
          <w:rFonts w:ascii="Tahoma" w:hAnsi="Tahoma" w:hint="cs"/>
          <w:sz w:val="27"/>
          <w:rtl/>
        </w:rPr>
        <w:t>ِّ</w:t>
      </w:r>
      <w:r w:rsidRPr="00904FCB">
        <w:rPr>
          <w:rFonts w:ascii="Tahoma" w:hAnsi="Tahoma" w:hint="cs"/>
          <w:sz w:val="27"/>
          <w:rtl/>
        </w:rPr>
        <w:t xml:space="preserve">رنا الحضارة الغربية بأنها حضارة قول، </w:t>
      </w:r>
      <w:r w:rsidRPr="00904FCB">
        <w:rPr>
          <w:rFonts w:hint="cs"/>
          <w:sz w:val="27"/>
          <w:rtl/>
          <w:lang w:bidi="ar-DZ"/>
        </w:rPr>
        <w:t xml:space="preserve">ومن خصائصها أنها </w:t>
      </w:r>
      <w:r w:rsidRPr="00904FCB">
        <w:rPr>
          <w:rFonts w:hint="eastAsia"/>
          <w:sz w:val="27"/>
          <w:rtl/>
          <w:lang w:bidi="ar-DZ"/>
        </w:rPr>
        <w:lastRenderedPageBreak/>
        <w:t>«</w:t>
      </w:r>
      <w:r w:rsidRPr="00904FCB">
        <w:rPr>
          <w:rFonts w:hint="cs"/>
          <w:sz w:val="27"/>
          <w:rtl/>
          <w:lang w:bidi="ar-DZ"/>
        </w:rPr>
        <w:t>فتنت الناس بفتنتين: فتنة العقلانية</w:t>
      </w:r>
      <w:r w:rsidR="005D45F1" w:rsidRPr="00904FCB">
        <w:rPr>
          <w:rFonts w:hint="cs"/>
          <w:sz w:val="27"/>
          <w:rtl/>
          <w:lang w:bidi="ar-DZ"/>
        </w:rPr>
        <w:t>؛</w:t>
      </w:r>
      <w:r w:rsidRPr="00904FCB">
        <w:rPr>
          <w:rFonts w:hint="cs"/>
          <w:sz w:val="27"/>
          <w:rtl/>
          <w:lang w:bidi="ar-DZ"/>
        </w:rPr>
        <w:t xml:space="preserve"> وفتنة التقنية</w:t>
      </w:r>
      <w:r w:rsidRPr="00904FCB">
        <w:rPr>
          <w:rFonts w:hint="eastAsia"/>
          <w:sz w:val="27"/>
          <w:rtl/>
        </w:rPr>
        <w:t>»</w:t>
      </w:r>
      <w:r w:rsidR="005D45F1" w:rsidRPr="00904FCB">
        <w:rPr>
          <w:rFonts w:hint="cs"/>
          <w:sz w:val="27"/>
          <w:rtl/>
        </w:rPr>
        <w:t>،</w:t>
      </w:r>
      <w:r w:rsidRPr="00904FCB">
        <w:rPr>
          <w:rFonts w:hint="cs"/>
          <w:sz w:val="27"/>
          <w:rtl/>
          <w:lang w:bidi="ar-DZ"/>
        </w:rPr>
        <w:t xml:space="preserve"> وهي </w:t>
      </w:r>
      <w:r w:rsidRPr="00904FCB">
        <w:rPr>
          <w:rFonts w:hint="eastAsia"/>
          <w:sz w:val="27"/>
          <w:rtl/>
          <w:lang w:bidi="ar-DZ"/>
        </w:rPr>
        <w:t>«</w:t>
      </w:r>
      <w:r w:rsidRPr="00904FCB">
        <w:rPr>
          <w:rFonts w:hint="cs"/>
          <w:sz w:val="27"/>
          <w:rtl/>
          <w:lang w:bidi="ar-DZ"/>
        </w:rPr>
        <w:t>من حيث جانبها المعرفي هي حضارة متأز</w:t>
      </w:r>
      <w:r w:rsidR="005D45F1" w:rsidRPr="00904FCB">
        <w:rPr>
          <w:rFonts w:hint="cs"/>
          <w:sz w:val="27"/>
          <w:rtl/>
          <w:lang w:bidi="ar-DZ"/>
        </w:rPr>
        <w:t>ِّ</w:t>
      </w:r>
      <w:r w:rsidRPr="00904FCB">
        <w:rPr>
          <w:rFonts w:hint="cs"/>
          <w:sz w:val="27"/>
          <w:rtl/>
          <w:lang w:bidi="ar-DZ"/>
        </w:rPr>
        <w:t>مة، ومن حيث جانبها التقني هي حضارة متسل</w:t>
      </w:r>
      <w:r w:rsidR="005D45F1" w:rsidRPr="00904FCB">
        <w:rPr>
          <w:rFonts w:hint="cs"/>
          <w:sz w:val="27"/>
          <w:rtl/>
          <w:lang w:bidi="ar-DZ"/>
        </w:rPr>
        <w:t>ِّ</w:t>
      </w:r>
      <w:r w:rsidRPr="00904FCB">
        <w:rPr>
          <w:rFonts w:hint="cs"/>
          <w:sz w:val="27"/>
          <w:rtl/>
          <w:lang w:bidi="ar-DZ"/>
        </w:rPr>
        <w:t>طة</w:t>
      </w:r>
      <w:r w:rsidRPr="00904FCB">
        <w:rPr>
          <w:rFonts w:hint="eastAsia"/>
          <w:sz w:val="27"/>
          <w:rtl/>
        </w:rPr>
        <w:t>»</w:t>
      </w:r>
      <w:r w:rsidRPr="00904FCB">
        <w:rPr>
          <w:sz w:val="27"/>
          <w:vertAlign w:val="superscript"/>
          <w:rtl/>
          <w:lang w:bidi="ar-DZ"/>
        </w:rPr>
        <w:t>(</w:t>
      </w:r>
      <w:r w:rsidRPr="00904FCB">
        <w:rPr>
          <w:rStyle w:val="ac"/>
          <w:sz w:val="27"/>
          <w:rtl/>
          <w:lang w:bidi="ar-DZ"/>
        </w:rPr>
        <w:endnoteReference w:id="516"/>
      </w:r>
      <w:r w:rsidRPr="00904FCB">
        <w:rPr>
          <w:sz w:val="27"/>
          <w:vertAlign w:val="superscript"/>
          <w:rtl/>
          <w:lang w:bidi="ar-DZ"/>
        </w:rPr>
        <w:t>)</w:t>
      </w:r>
      <w:r w:rsidR="005D45F1" w:rsidRPr="00904FCB">
        <w:rPr>
          <w:rFonts w:hint="cs"/>
          <w:sz w:val="27"/>
          <w:rtl/>
          <w:lang w:bidi="ar-DZ"/>
        </w:rPr>
        <w:t>؛</w:t>
      </w:r>
      <w:r w:rsidRPr="00904FCB">
        <w:rPr>
          <w:rFonts w:hint="cs"/>
          <w:sz w:val="27"/>
          <w:rtl/>
          <w:lang w:bidi="ar-DZ"/>
        </w:rPr>
        <w:t xml:space="preserve"> لأنها </w:t>
      </w:r>
      <w:r w:rsidRPr="00904FCB">
        <w:rPr>
          <w:rFonts w:ascii="Tahoma" w:hAnsi="Tahoma" w:hint="cs"/>
          <w:sz w:val="27"/>
          <w:rtl/>
        </w:rPr>
        <w:t>قامت أساسا</w:t>
      </w:r>
      <w:r w:rsidR="005D45F1" w:rsidRPr="00904FCB">
        <w:rPr>
          <w:rFonts w:ascii="Tahoma" w:hAnsi="Tahoma" w:hint="cs"/>
          <w:sz w:val="27"/>
          <w:rtl/>
        </w:rPr>
        <w:t>ً</w:t>
      </w:r>
      <w:r w:rsidRPr="00904FCB">
        <w:rPr>
          <w:rFonts w:ascii="Tahoma" w:hAnsi="Tahoma" w:hint="cs"/>
          <w:sz w:val="27"/>
          <w:rtl/>
        </w:rPr>
        <w:t xml:space="preserve"> على </w:t>
      </w:r>
      <w:r w:rsidRPr="00904FCB">
        <w:rPr>
          <w:rFonts w:hint="cs"/>
          <w:sz w:val="27"/>
          <w:rtl/>
          <w:lang w:bidi="ar-DZ"/>
        </w:rPr>
        <w:t>أصلين</w:t>
      </w:r>
      <w:r w:rsidR="005D45F1" w:rsidRPr="00904FCB">
        <w:rPr>
          <w:rFonts w:hint="cs"/>
          <w:sz w:val="27"/>
          <w:rtl/>
          <w:lang w:bidi="ar-DZ"/>
        </w:rPr>
        <w:t>:</w:t>
      </w:r>
      <w:r w:rsidRPr="00904FCB">
        <w:rPr>
          <w:rFonts w:hint="cs"/>
          <w:sz w:val="27"/>
          <w:rtl/>
          <w:lang w:bidi="ar-DZ"/>
        </w:rPr>
        <w:t xml:space="preserve"> </w:t>
      </w:r>
      <w:r w:rsidRPr="00904FCB">
        <w:rPr>
          <w:rFonts w:hint="eastAsia"/>
          <w:sz w:val="27"/>
          <w:rtl/>
          <w:lang w:bidi="ar-DZ"/>
        </w:rPr>
        <w:t>«</w:t>
      </w:r>
      <w:r w:rsidRPr="00904FCB">
        <w:rPr>
          <w:rFonts w:hint="cs"/>
          <w:sz w:val="27"/>
          <w:rtl/>
          <w:lang w:bidi="ar-DZ"/>
        </w:rPr>
        <w:t>لا أخلاق في العلم</w:t>
      </w:r>
      <w:r w:rsidR="005D45F1" w:rsidRPr="00904FCB">
        <w:rPr>
          <w:rFonts w:hint="cs"/>
          <w:sz w:val="27"/>
          <w:rtl/>
          <w:lang w:bidi="ar-DZ"/>
        </w:rPr>
        <w:t>؛</w:t>
      </w:r>
      <w:r w:rsidRPr="00904FCB">
        <w:rPr>
          <w:rFonts w:hint="cs"/>
          <w:sz w:val="27"/>
          <w:rtl/>
          <w:lang w:bidi="ar-DZ"/>
        </w:rPr>
        <w:t xml:space="preserve"> ولا غيب في العقل</w:t>
      </w:r>
      <w:r w:rsidRPr="00904FCB">
        <w:rPr>
          <w:rFonts w:hint="eastAsia"/>
          <w:sz w:val="27"/>
          <w:rtl/>
        </w:rPr>
        <w:t>»</w:t>
      </w:r>
      <w:r w:rsidRPr="00904FCB">
        <w:rPr>
          <w:sz w:val="27"/>
          <w:vertAlign w:val="superscript"/>
          <w:rtl/>
          <w:lang w:bidi="ar-DZ"/>
        </w:rPr>
        <w:t>(</w:t>
      </w:r>
      <w:r w:rsidRPr="00904FCB">
        <w:rPr>
          <w:rStyle w:val="ac"/>
          <w:sz w:val="27"/>
          <w:rtl/>
          <w:lang w:bidi="ar-DZ"/>
        </w:rPr>
        <w:endnoteReference w:id="517"/>
      </w:r>
      <w:r w:rsidRPr="00904FCB">
        <w:rPr>
          <w:sz w:val="27"/>
          <w:vertAlign w:val="superscript"/>
          <w:rtl/>
          <w:lang w:bidi="ar-DZ"/>
        </w:rPr>
        <w:t>)</w:t>
      </w:r>
      <w:r w:rsidR="005D45F1" w:rsidRPr="00904FCB">
        <w:rPr>
          <w:rFonts w:hint="cs"/>
          <w:sz w:val="27"/>
          <w:rtl/>
          <w:lang w:bidi="ar-DZ"/>
        </w:rPr>
        <w:t>.</w:t>
      </w:r>
      <w:r w:rsidRPr="00904FCB">
        <w:rPr>
          <w:rFonts w:hint="cs"/>
          <w:sz w:val="27"/>
          <w:rtl/>
          <w:lang w:bidi="ar-DZ"/>
        </w:rPr>
        <w:t xml:space="preserve"> </w:t>
      </w:r>
      <w:r w:rsidRPr="00904FCB">
        <w:rPr>
          <w:rFonts w:ascii="Tahoma" w:hAnsi="Tahoma" w:hint="cs"/>
          <w:sz w:val="27"/>
          <w:rtl/>
        </w:rPr>
        <w:t>وهي ترمي إلى جملة من الآفات</w:t>
      </w:r>
      <w:r w:rsidR="005D45F1" w:rsidRPr="00904FCB">
        <w:rPr>
          <w:rFonts w:ascii="Tahoma" w:hAnsi="Tahoma" w:hint="cs"/>
          <w:sz w:val="27"/>
          <w:rtl/>
        </w:rPr>
        <w:t>،</w:t>
      </w:r>
      <w:r w:rsidRPr="00904FCB">
        <w:rPr>
          <w:rFonts w:ascii="Tahoma" w:hAnsi="Tahoma" w:hint="cs"/>
          <w:sz w:val="27"/>
          <w:rtl/>
        </w:rPr>
        <w:t xml:space="preserve"> هي: </w:t>
      </w:r>
      <w:r w:rsidRPr="00904FCB">
        <w:rPr>
          <w:rFonts w:hint="eastAsia"/>
          <w:sz w:val="27"/>
          <w:rtl/>
        </w:rPr>
        <w:t>«</w:t>
      </w:r>
      <w:r w:rsidRPr="00904FCB">
        <w:rPr>
          <w:rFonts w:ascii="Tahoma" w:hAnsi="Tahoma" w:hint="cs"/>
          <w:sz w:val="27"/>
          <w:rtl/>
        </w:rPr>
        <w:t>التضييق</w:t>
      </w:r>
      <w:r w:rsidRPr="00904FCB">
        <w:rPr>
          <w:rFonts w:hint="eastAsia"/>
          <w:sz w:val="27"/>
          <w:rtl/>
        </w:rPr>
        <w:t>»</w:t>
      </w:r>
      <w:r w:rsidRPr="00904FCB">
        <w:rPr>
          <w:rFonts w:ascii="Tahoma" w:hAnsi="Tahoma" w:hint="cs"/>
          <w:sz w:val="27"/>
          <w:rtl/>
          <w:lang w:bidi="ar-LB"/>
        </w:rPr>
        <w:t xml:space="preserve">، </w:t>
      </w:r>
      <w:r w:rsidRPr="00904FCB">
        <w:rPr>
          <w:rFonts w:ascii="Tahoma" w:hAnsi="Tahoma" w:hint="cs"/>
          <w:sz w:val="27"/>
          <w:rtl/>
        </w:rPr>
        <w:t>و</w:t>
      </w:r>
      <w:r w:rsidRPr="00904FCB">
        <w:rPr>
          <w:rFonts w:hint="eastAsia"/>
          <w:sz w:val="27"/>
          <w:rtl/>
        </w:rPr>
        <w:t>«</w:t>
      </w:r>
      <w:r w:rsidRPr="00904FCB">
        <w:rPr>
          <w:rFonts w:ascii="Tahoma" w:hAnsi="Tahoma" w:hint="cs"/>
          <w:sz w:val="27"/>
          <w:rtl/>
        </w:rPr>
        <w:t>التجميد</w:t>
      </w:r>
      <w:r w:rsidRPr="00904FCB">
        <w:rPr>
          <w:rFonts w:hint="eastAsia"/>
          <w:sz w:val="27"/>
          <w:rtl/>
        </w:rPr>
        <w:t>»</w:t>
      </w:r>
      <w:r w:rsidRPr="00904FCB">
        <w:rPr>
          <w:rFonts w:ascii="Tahoma" w:hAnsi="Tahoma" w:hint="cs"/>
          <w:sz w:val="27"/>
          <w:rtl/>
        </w:rPr>
        <w:t>، و</w:t>
      </w:r>
      <w:r w:rsidRPr="00904FCB">
        <w:rPr>
          <w:rFonts w:hint="eastAsia"/>
          <w:sz w:val="27"/>
          <w:rtl/>
        </w:rPr>
        <w:t>«</w:t>
      </w:r>
      <w:r w:rsidRPr="00904FCB">
        <w:rPr>
          <w:rFonts w:ascii="Tahoma" w:hAnsi="Tahoma" w:hint="cs"/>
          <w:sz w:val="27"/>
          <w:rtl/>
        </w:rPr>
        <w:t>التنقيص</w:t>
      </w:r>
      <w:r w:rsidRPr="00904FCB">
        <w:rPr>
          <w:rFonts w:hint="eastAsia"/>
          <w:sz w:val="27"/>
          <w:rtl/>
        </w:rPr>
        <w:t>»</w:t>
      </w:r>
      <w:r w:rsidRPr="00904FCB">
        <w:rPr>
          <w:rFonts w:ascii="Tahoma" w:hAnsi="Tahoma"/>
          <w:sz w:val="27"/>
          <w:vertAlign w:val="superscript"/>
          <w:rtl/>
        </w:rPr>
        <w:t>(</w:t>
      </w:r>
      <w:r w:rsidRPr="00904FCB">
        <w:rPr>
          <w:rStyle w:val="ac"/>
          <w:sz w:val="27"/>
          <w:rtl/>
          <w:lang w:bidi="ar-DZ"/>
        </w:rPr>
        <w:endnoteReference w:id="518"/>
      </w:r>
      <w:r w:rsidRPr="00904FCB">
        <w:rPr>
          <w:rFonts w:ascii="Tahoma" w:hAnsi="Tahoma"/>
          <w:sz w:val="27"/>
          <w:vertAlign w:val="superscript"/>
          <w:rtl/>
        </w:rPr>
        <w:t>)</w:t>
      </w:r>
      <w:r w:rsidRPr="00904FCB">
        <w:rPr>
          <w:rFonts w:hint="cs"/>
          <w:sz w:val="27"/>
          <w:rtl/>
          <w:lang w:bidi="ar-DZ"/>
        </w:rPr>
        <w:t xml:space="preserve">. </w:t>
      </w:r>
    </w:p>
    <w:p w:rsidR="00625F5D" w:rsidRPr="00904FCB" w:rsidRDefault="00625F5D" w:rsidP="007A21AA">
      <w:pPr>
        <w:spacing w:line="400" w:lineRule="exact"/>
        <w:rPr>
          <w:sz w:val="27"/>
          <w:rtl/>
          <w:lang w:bidi="ar-DZ"/>
        </w:rPr>
      </w:pPr>
      <w:r w:rsidRPr="00A80D94">
        <w:rPr>
          <w:rFonts w:hint="cs"/>
          <w:b/>
          <w:bCs/>
          <w:sz w:val="27"/>
          <w:rtl/>
          <w:lang w:bidi="ar-DZ"/>
        </w:rPr>
        <w:t>1ـ</w:t>
      </w:r>
      <w:r w:rsidRPr="00CC2151">
        <w:rPr>
          <w:rFonts w:hint="cs"/>
          <w:b/>
          <w:bCs/>
          <w:sz w:val="27"/>
          <w:rtl/>
          <w:lang w:bidi="ar-DZ"/>
        </w:rPr>
        <w:t xml:space="preserve"> آفة التضييق</w:t>
      </w:r>
      <w:r w:rsidRPr="00904FCB">
        <w:rPr>
          <w:rFonts w:hint="cs"/>
          <w:sz w:val="27"/>
          <w:rtl/>
          <w:lang w:bidi="ar-DZ"/>
        </w:rPr>
        <w:t>: ومفادها أن لا أخلاق في المنطق</w:t>
      </w:r>
      <w:r w:rsidR="005D45F1" w:rsidRPr="00904FCB">
        <w:rPr>
          <w:rFonts w:hint="cs"/>
          <w:sz w:val="27"/>
          <w:rtl/>
          <w:lang w:bidi="ar-DZ"/>
        </w:rPr>
        <w:t>،</w:t>
      </w:r>
      <w:r w:rsidRPr="00904FCB">
        <w:rPr>
          <w:rFonts w:hint="cs"/>
          <w:sz w:val="27"/>
          <w:rtl/>
          <w:lang w:bidi="ar-DZ"/>
        </w:rPr>
        <w:t xml:space="preserve"> ولا في المعرفة. </w:t>
      </w:r>
    </w:p>
    <w:p w:rsidR="00625F5D" w:rsidRPr="00904FCB" w:rsidRDefault="00625F5D" w:rsidP="007A21AA">
      <w:pPr>
        <w:spacing w:line="400" w:lineRule="exact"/>
        <w:rPr>
          <w:sz w:val="27"/>
          <w:rtl/>
          <w:lang w:bidi="ar-DZ"/>
        </w:rPr>
      </w:pPr>
      <w:r w:rsidRPr="00A80D94">
        <w:rPr>
          <w:rFonts w:hint="cs"/>
          <w:b/>
          <w:bCs/>
          <w:sz w:val="27"/>
          <w:rtl/>
          <w:lang w:bidi="ar-DZ"/>
        </w:rPr>
        <w:t>2</w:t>
      </w:r>
      <w:r w:rsidR="00CC2151" w:rsidRPr="00A80D94">
        <w:rPr>
          <w:rFonts w:hint="cs"/>
          <w:b/>
          <w:bCs/>
          <w:sz w:val="27"/>
          <w:rtl/>
          <w:lang w:bidi="ar-DZ"/>
        </w:rPr>
        <w:t>ـ</w:t>
      </w:r>
      <w:r w:rsidR="00CC2151">
        <w:rPr>
          <w:rFonts w:hint="cs"/>
          <w:b/>
          <w:bCs/>
          <w:sz w:val="27"/>
          <w:rtl/>
          <w:lang w:bidi="ar-DZ"/>
        </w:rPr>
        <w:t xml:space="preserve"> </w:t>
      </w:r>
      <w:r w:rsidRPr="00CC2151">
        <w:rPr>
          <w:rFonts w:hint="cs"/>
          <w:b/>
          <w:bCs/>
          <w:sz w:val="27"/>
          <w:rtl/>
          <w:lang w:bidi="ar-DZ"/>
        </w:rPr>
        <w:t>آفة الجمود</w:t>
      </w:r>
      <w:r w:rsidRPr="00904FCB">
        <w:rPr>
          <w:rFonts w:hint="cs"/>
          <w:sz w:val="27"/>
          <w:rtl/>
          <w:lang w:bidi="ar-DZ"/>
        </w:rPr>
        <w:t>: الاكتفاء بالقول القانوني والقول الاجتماعي عن القول الأخلاقي، وحصر هذا الأخير</w:t>
      </w:r>
      <w:r w:rsidR="005D45F1" w:rsidRPr="00904FCB">
        <w:rPr>
          <w:rFonts w:hint="cs"/>
          <w:sz w:val="27"/>
          <w:rtl/>
          <w:lang w:bidi="ar-DZ"/>
        </w:rPr>
        <w:t xml:space="preserve"> </w:t>
      </w:r>
      <w:r w:rsidRPr="00904FCB">
        <w:rPr>
          <w:rFonts w:hint="cs"/>
          <w:sz w:val="27"/>
          <w:rtl/>
          <w:lang w:bidi="ar-DZ"/>
        </w:rPr>
        <w:t>(</w:t>
      </w:r>
      <w:r w:rsidR="005D45F1" w:rsidRPr="00904FCB">
        <w:rPr>
          <w:rFonts w:hint="cs"/>
          <w:sz w:val="27"/>
          <w:rtl/>
          <w:lang w:bidi="ar-DZ"/>
        </w:rPr>
        <w:t xml:space="preserve">أي </w:t>
      </w:r>
      <w:r w:rsidRPr="00904FCB">
        <w:rPr>
          <w:rFonts w:hint="cs"/>
          <w:sz w:val="27"/>
          <w:rtl/>
          <w:lang w:bidi="ar-DZ"/>
        </w:rPr>
        <w:t xml:space="preserve">القول الأخلاقي) في الأعمال الفردية الخاصة. </w:t>
      </w:r>
    </w:p>
    <w:p w:rsidR="00625F5D" w:rsidRPr="00904FCB" w:rsidRDefault="00625F5D" w:rsidP="007A21AA">
      <w:pPr>
        <w:spacing w:line="400" w:lineRule="exact"/>
        <w:rPr>
          <w:sz w:val="27"/>
          <w:rtl/>
          <w:lang w:bidi="ar-DZ"/>
        </w:rPr>
      </w:pPr>
      <w:r w:rsidRPr="00A80D94">
        <w:rPr>
          <w:rFonts w:hint="cs"/>
          <w:b/>
          <w:bCs/>
          <w:sz w:val="27"/>
          <w:rtl/>
          <w:lang w:bidi="ar-DZ"/>
        </w:rPr>
        <w:t>3ـ</w:t>
      </w:r>
      <w:r w:rsidRPr="00CC2151">
        <w:rPr>
          <w:rFonts w:hint="cs"/>
          <w:b/>
          <w:bCs/>
          <w:sz w:val="27"/>
          <w:rtl/>
          <w:lang w:bidi="ar-DZ"/>
        </w:rPr>
        <w:t xml:space="preserve"> آفة التنقيص</w:t>
      </w:r>
      <w:r w:rsidRPr="00904FCB">
        <w:rPr>
          <w:rFonts w:hint="cs"/>
          <w:sz w:val="27"/>
          <w:rtl/>
          <w:lang w:bidi="ar-DZ"/>
        </w:rPr>
        <w:t xml:space="preserve">: حيث </w:t>
      </w:r>
      <w:r w:rsidR="005D45F1" w:rsidRPr="00904FCB">
        <w:rPr>
          <w:rFonts w:hint="cs"/>
          <w:sz w:val="27"/>
          <w:rtl/>
          <w:lang w:bidi="ar-DZ"/>
        </w:rPr>
        <w:t>إ</w:t>
      </w:r>
      <w:r w:rsidRPr="00904FCB">
        <w:rPr>
          <w:rFonts w:hint="cs"/>
          <w:sz w:val="27"/>
          <w:rtl/>
          <w:lang w:bidi="ar-DZ"/>
        </w:rPr>
        <w:t>ن حضارة القول أنقصت من شأن الأخلاق</w:t>
      </w:r>
      <w:r w:rsidR="005D45F1" w:rsidRPr="00904FCB">
        <w:rPr>
          <w:rFonts w:hint="cs"/>
          <w:sz w:val="27"/>
          <w:rtl/>
          <w:lang w:bidi="ar-DZ"/>
        </w:rPr>
        <w:t>،</w:t>
      </w:r>
      <w:r w:rsidRPr="00904FCB">
        <w:rPr>
          <w:rFonts w:hint="cs"/>
          <w:sz w:val="27"/>
          <w:rtl/>
          <w:lang w:bidi="ar-DZ"/>
        </w:rPr>
        <w:t xml:space="preserve"> وجعلتها خادمة للضعف</w:t>
      </w:r>
      <w:r w:rsidR="005D45F1" w:rsidRPr="00904FCB">
        <w:rPr>
          <w:rFonts w:hint="cs"/>
          <w:sz w:val="27"/>
          <w:rtl/>
          <w:lang w:bidi="ar-DZ"/>
        </w:rPr>
        <w:t>،</w:t>
      </w:r>
      <w:r w:rsidRPr="00904FCB">
        <w:rPr>
          <w:rFonts w:hint="cs"/>
          <w:sz w:val="27"/>
          <w:rtl/>
          <w:lang w:bidi="ar-DZ"/>
        </w:rPr>
        <w:t xml:space="preserve"> وأبدلتها بالقول السياسي</w:t>
      </w:r>
      <w:r w:rsidRPr="00904FCB">
        <w:rPr>
          <w:sz w:val="27"/>
          <w:vertAlign w:val="superscript"/>
          <w:rtl/>
          <w:lang w:bidi="ar-DZ"/>
        </w:rPr>
        <w:t>(</w:t>
      </w:r>
      <w:r w:rsidRPr="00904FCB">
        <w:rPr>
          <w:rStyle w:val="ac"/>
          <w:sz w:val="27"/>
          <w:rtl/>
          <w:lang w:bidi="ar-DZ"/>
        </w:rPr>
        <w:endnoteReference w:id="519"/>
      </w:r>
      <w:r w:rsidRPr="00904FCB">
        <w:rPr>
          <w:sz w:val="27"/>
          <w:vertAlign w:val="superscript"/>
          <w:rtl/>
          <w:lang w:bidi="ar-DZ"/>
        </w:rPr>
        <w:t>)</w:t>
      </w:r>
      <w:r w:rsidRPr="00904FCB">
        <w:rPr>
          <w:rFonts w:hint="cs"/>
          <w:sz w:val="27"/>
          <w:rtl/>
          <w:lang w:bidi="ar-DZ"/>
        </w:rPr>
        <w:t xml:space="preserve">. </w:t>
      </w:r>
    </w:p>
    <w:p w:rsidR="00625F5D" w:rsidRPr="00904FCB" w:rsidRDefault="00625F5D" w:rsidP="007A21AA">
      <w:pPr>
        <w:spacing w:line="400" w:lineRule="exact"/>
        <w:rPr>
          <w:rFonts w:ascii="Tahoma" w:hAnsi="Tahoma"/>
          <w:sz w:val="27"/>
          <w:rtl/>
          <w:lang w:bidi="ar-DZ"/>
        </w:rPr>
      </w:pPr>
      <w:r w:rsidRPr="00904FCB">
        <w:rPr>
          <w:rFonts w:ascii="Tahoma" w:hAnsi="Tahoma" w:hint="cs"/>
          <w:sz w:val="27"/>
          <w:rtl/>
        </w:rPr>
        <w:t>ولا يمكن در</w:t>
      </w:r>
      <w:r w:rsidR="005D45F1" w:rsidRPr="00904FCB">
        <w:rPr>
          <w:rFonts w:ascii="Tahoma" w:hAnsi="Tahoma" w:hint="cs"/>
          <w:sz w:val="27"/>
          <w:rtl/>
        </w:rPr>
        <w:t>ء</w:t>
      </w:r>
      <w:r w:rsidRPr="00904FCB">
        <w:rPr>
          <w:rFonts w:ascii="Tahoma" w:hAnsi="Tahoma" w:hint="cs"/>
          <w:sz w:val="27"/>
          <w:rtl/>
        </w:rPr>
        <w:t xml:space="preserve"> هذه المفاسد والآفات </w:t>
      </w:r>
      <w:r w:rsidRPr="00904FCB">
        <w:rPr>
          <w:rFonts w:hint="eastAsia"/>
          <w:sz w:val="27"/>
          <w:rtl/>
        </w:rPr>
        <w:t>«</w:t>
      </w:r>
      <w:r w:rsidRPr="00904FCB">
        <w:rPr>
          <w:rFonts w:hint="cs"/>
          <w:sz w:val="27"/>
          <w:rtl/>
          <w:lang w:bidi="ar-DZ"/>
        </w:rPr>
        <w:t>إلا</w:t>
      </w:r>
      <w:r w:rsidR="005D45F1" w:rsidRPr="00904FCB">
        <w:rPr>
          <w:rFonts w:hint="cs"/>
          <w:sz w:val="27"/>
          <w:rtl/>
          <w:lang w:bidi="ar-DZ"/>
        </w:rPr>
        <w:t>ّ</w:t>
      </w:r>
      <w:r w:rsidRPr="00904FCB">
        <w:rPr>
          <w:rFonts w:hint="cs"/>
          <w:sz w:val="27"/>
          <w:rtl/>
          <w:lang w:bidi="ar-DZ"/>
        </w:rPr>
        <w:t xml:space="preserve"> بالرجوع إلى التجربة الأخلاقية العميقة</w:t>
      </w:r>
      <w:r w:rsidR="005D45F1" w:rsidRPr="00904FCB">
        <w:rPr>
          <w:rFonts w:hint="cs"/>
          <w:sz w:val="27"/>
          <w:rtl/>
          <w:lang w:bidi="ar-DZ"/>
        </w:rPr>
        <w:t>،</w:t>
      </w:r>
      <w:r w:rsidRPr="00904FCB">
        <w:rPr>
          <w:rFonts w:hint="cs"/>
          <w:sz w:val="27"/>
          <w:rtl/>
          <w:lang w:bidi="ar-DZ"/>
        </w:rPr>
        <w:t xml:space="preserve"> التي تتحقق من خلال العقل المؤي</w:t>
      </w:r>
      <w:r w:rsidR="005D45F1" w:rsidRPr="00904FCB">
        <w:rPr>
          <w:rFonts w:hint="cs"/>
          <w:sz w:val="27"/>
          <w:rtl/>
          <w:lang w:bidi="ar-DZ"/>
        </w:rPr>
        <w:t>َّ</w:t>
      </w:r>
      <w:r w:rsidRPr="00904FCB">
        <w:rPr>
          <w:rFonts w:hint="cs"/>
          <w:sz w:val="27"/>
          <w:rtl/>
          <w:lang w:bidi="ar-DZ"/>
        </w:rPr>
        <w:t>د ال</w:t>
      </w:r>
      <w:r w:rsidR="005D45F1" w:rsidRPr="00904FCB">
        <w:rPr>
          <w:rFonts w:hint="cs"/>
          <w:sz w:val="27"/>
          <w:rtl/>
          <w:lang w:bidi="ar-DZ"/>
        </w:rPr>
        <w:t>ذ</w:t>
      </w:r>
      <w:r w:rsidRPr="00904FCB">
        <w:rPr>
          <w:rFonts w:hint="cs"/>
          <w:sz w:val="27"/>
          <w:rtl/>
          <w:lang w:bidi="ar-DZ"/>
        </w:rPr>
        <w:t>ي يعطي أخلاق الحكمة</w:t>
      </w:r>
      <w:r w:rsidRPr="00904FCB">
        <w:rPr>
          <w:rFonts w:hint="eastAsia"/>
          <w:sz w:val="27"/>
          <w:rtl/>
        </w:rPr>
        <w:t>»</w:t>
      </w:r>
      <w:r w:rsidRPr="00904FCB">
        <w:rPr>
          <w:sz w:val="27"/>
          <w:vertAlign w:val="superscript"/>
          <w:rtl/>
          <w:lang w:bidi="ar-DZ"/>
        </w:rPr>
        <w:t>(</w:t>
      </w:r>
      <w:r w:rsidRPr="00904FCB">
        <w:rPr>
          <w:rStyle w:val="ac"/>
          <w:sz w:val="27"/>
          <w:rtl/>
          <w:lang w:bidi="ar-DZ"/>
        </w:rPr>
        <w:endnoteReference w:id="520"/>
      </w:r>
      <w:r w:rsidRPr="00904FCB">
        <w:rPr>
          <w:sz w:val="27"/>
          <w:vertAlign w:val="superscript"/>
          <w:rtl/>
          <w:lang w:bidi="ar-DZ"/>
        </w:rPr>
        <w:t>)</w:t>
      </w:r>
      <w:r w:rsidRPr="00904FCB">
        <w:rPr>
          <w:rFonts w:hint="cs"/>
          <w:sz w:val="27"/>
          <w:rtl/>
          <w:lang w:bidi="ar-DZ"/>
        </w:rPr>
        <w:t xml:space="preserve">، </w:t>
      </w:r>
      <w:r w:rsidRPr="00904FCB">
        <w:rPr>
          <w:rFonts w:ascii="Tahoma" w:hAnsi="Tahoma" w:hint="cs"/>
          <w:sz w:val="27"/>
          <w:rtl/>
        </w:rPr>
        <w:t>وهي أخلاق</w:t>
      </w:r>
      <w:r w:rsidR="005D45F1" w:rsidRPr="00904FCB">
        <w:rPr>
          <w:rFonts w:ascii="Tahoma" w:hAnsi="Tahoma" w:hint="cs"/>
          <w:sz w:val="27"/>
          <w:rtl/>
        </w:rPr>
        <w:t>ٌ</w:t>
      </w:r>
      <w:r w:rsidRPr="00904FCB">
        <w:rPr>
          <w:rFonts w:ascii="Tahoma" w:hAnsi="Tahoma" w:hint="cs"/>
          <w:sz w:val="27"/>
          <w:rtl/>
        </w:rPr>
        <w:t xml:space="preserve"> تتيح لصاحبها التخل</w:t>
      </w:r>
      <w:r w:rsidR="005D45F1" w:rsidRPr="00904FCB">
        <w:rPr>
          <w:rFonts w:ascii="Tahoma" w:hAnsi="Tahoma" w:hint="cs"/>
          <w:sz w:val="27"/>
          <w:rtl/>
        </w:rPr>
        <w:t>ُّ</w:t>
      </w:r>
      <w:r w:rsidRPr="00904FCB">
        <w:rPr>
          <w:rFonts w:ascii="Tahoma" w:hAnsi="Tahoma" w:hint="cs"/>
          <w:sz w:val="27"/>
          <w:rtl/>
        </w:rPr>
        <w:t>ق بالصفات الحسنى</w:t>
      </w:r>
      <w:r w:rsidR="005D45F1" w:rsidRPr="00904FCB">
        <w:rPr>
          <w:rFonts w:ascii="Tahoma" w:hAnsi="Tahoma" w:hint="cs"/>
          <w:sz w:val="27"/>
          <w:rtl/>
        </w:rPr>
        <w:t>،</w:t>
      </w:r>
      <w:r w:rsidRPr="00904FCB">
        <w:rPr>
          <w:rFonts w:ascii="Tahoma" w:hAnsi="Tahoma" w:hint="cs"/>
          <w:sz w:val="27"/>
          <w:rtl/>
        </w:rPr>
        <w:t xml:space="preserve"> والاقتداء الحيّ بأخلاق الرسول</w:t>
      </w:r>
      <w:r w:rsidR="00635E51" w:rsidRPr="00904FCB">
        <w:rPr>
          <w:rFonts w:ascii="Tahoma" w:hAnsi="Tahoma" w:cs="Mosawi" w:hint="cs"/>
          <w:sz w:val="27"/>
          <w:szCs w:val="22"/>
          <w:rtl/>
        </w:rPr>
        <w:t>|</w:t>
      </w:r>
      <w:r w:rsidRPr="00904FCB">
        <w:rPr>
          <w:rFonts w:ascii="Tahoma" w:hAnsi="Tahoma"/>
          <w:sz w:val="27"/>
          <w:vertAlign w:val="superscript"/>
          <w:rtl/>
        </w:rPr>
        <w:t>(</w:t>
      </w:r>
      <w:r w:rsidRPr="00904FCB">
        <w:rPr>
          <w:rStyle w:val="ac"/>
          <w:sz w:val="27"/>
          <w:rtl/>
          <w:lang w:bidi="ar-DZ"/>
        </w:rPr>
        <w:endnoteReference w:id="521"/>
      </w:r>
      <w:r w:rsidRPr="00904FCB">
        <w:rPr>
          <w:rFonts w:ascii="Tahoma" w:hAnsi="Tahoma"/>
          <w:sz w:val="27"/>
          <w:vertAlign w:val="superscript"/>
          <w:rtl/>
        </w:rPr>
        <w:t>)</w:t>
      </w:r>
      <w:r w:rsidRPr="00904FCB">
        <w:rPr>
          <w:rFonts w:ascii="Tahoma" w:hAnsi="Tahoma" w:hint="cs"/>
          <w:sz w:val="27"/>
          <w:rtl/>
          <w:lang w:bidi="ar-DZ"/>
        </w:rPr>
        <w:t xml:space="preserve">. </w:t>
      </w:r>
    </w:p>
    <w:p w:rsidR="00625F5D" w:rsidRPr="00904FCB" w:rsidRDefault="00625F5D" w:rsidP="007A21AA">
      <w:pPr>
        <w:spacing w:line="400" w:lineRule="exact"/>
        <w:rPr>
          <w:sz w:val="27"/>
          <w:rtl/>
          <w:lang w:bidi="ar-DZ"/>
        </w:rPr>
      </w:pPr>
      <w:r w:rsidRPr="00904FCB">
        <w:rPr>
          <w:rFonts w:ascii="Tahoma" w:hAnsi="Tahoma" w:hint="cs"/>
          <w:sz w:val="27"/>
          <w:rtl/>
          <w:lang w:bidi="ar-DZ"/>
        </w:rPr>
        <w:t xml:space="preserve"> </w:t>
      </w:r>
      <w:r w:rsidRPr="00904FCB">
        <w:rPr>
          <w:rFonts w:ascii="Tahoma" w:hAnsi="Tahoma" w:hint="cs"/>
          <w:sz w:val="27"/>
          <w:rtl/>
        </w:rPr>
        <w:t>إن تجربة التغلغل الروحي ـ وهي مرتبة العقل المؤي</w:t>
      </w:r>
      <w:r w:rsidR="005D45F1" w:rsidRPr="00904FCB">
        <w:rPr>
          <w:rFonts w:ascii="Tahoma" w:hAnsi="Tahoma" w:hint="cs"/>
          <w:sz w:val="27"/>
          <w:rtl/>
        </w:rPr>
        <w:t>َّ</w:t>
      </w:r>
      <w:r w:rsidRPr="00904FCB">
        <w:rPr>
          <w:rFonts w:ascii="Tahoma" w:hAnsi="Tahoma" w:hint="cs"/>
          <w:sz w:val="27"/>
          <w:rtl/>
        </w:rPr>
        <w:t>د ـ تساهم في تخليص الإنسان من زيف</w:t>
      </w:r>
      <w:r w:rsidRPr="00904FCB">
        <w:rPr>
          <w:rFonts w:ascii="Tahoma" w:hAnsi="Tahoma"/>
          <w:sz w:val="27"/>
        </w:rPr>
        <w:t xml:space="preserve"> </w:t>
      </w:r>
      <w:r w:rsidRPr="00904FCB">
        <w:rPr>
          <w:rFonts w:ascii="Tahoma" w:hAnsi="Tahoma" w:hint="cs"/>
          <w:sz w:val="27"/>
          <w:rtl/>
        </w:rPr>
        <w:t>الحضارة الحديثة، وتخرجه من طلب حظوظ السيادة</w:t>
      </w:r>
      <w:r w:rsidRPr="00904FCB">
        <w:rPr>
          <w:rFonts w:ascii="Tahoma" w:hAnsi="Tahoma"/>
          <w:sz w:val="27"/>
        </w:rPr>
        <w:t xml:space="preserve"> </w:t>
      </w:r>
      <w:r w:rsidRPr="00904FCB">
        <w:rPr>
          <w:rFonts w:ascii="Tahoma" w:hAnsi="Tahoma" w:hint="cs"/>
          <w:sz w:val="27"/>
          <w:rtl/>
        </w:rPr>
        <w:t>على الكون إلى أداء حقوق العبودي</w:t>
      </w:r>
      <w:r w:rsidR="005D45F1" w:rsidRPr="00904FCB">
        <w:rPr>
          <w:rFonts w:ascii="Tahoma" w:hAnsi="Tahoma" w:hint="cs"/>
          <w:sz w:val="27"/>
          <w:rtl/>
        </w:rPr>
        <w:t>ّ</w:t>
      </w:r>
      <w:r w:rsidRPr="00904FCB">
        <w:rPr>
          <w:rFonts w:ascii="Tahoma" w:hAnsi="Tahoma" w:hint="cs"/>
          <w:sz w:val="27"/>
          <w:rtl/>
        </w:rPr>
        <w:t>ة لسيد الكون عزّ</w:t>
      </w:r>
      <w:r w:rsidR="005D45F1" w:rsidRPr="00904FCB">
        <w:rPr>
          <w:rFonts w:ascii="Tahoma" w:hAnsi="Tahoma" w:hint="cs"/>
          <w:sz w:val="27"/>
          <w:rtl/>
        </w:rPr>
        <w:t>َ</w:t>
      </w:r>
      <w:r w:rsidRPr="00904FCB">
        <w:rPr>
          <w:rFonts w:ascii="Tahoma" w:hAnsi="Tahoma" w:hint="cs"/>
          <w:sz w:val="27"/>
          <w:rtl/>
        </w:rPr>
        <w:t xml:space="preserve"> وجل</w:t>
      </w:r>
      <w:r w:rsidR="005D45F1" w:rsidRPr="00904FCB">
        <w:rPr>
          <w:rFonts w:ascii="Tahoma" w:hAnsi="Tahoma" w:hint="cs"/>
          <w:sz w:val="27"/>
          <w:rtl/>
        </w:rPr>
        <w:t>َّ</w:t>
      </w:r>
      <w:r w:rsidRPr="00904FCB">
        <w:rPr>
          <w:rFonts w:ascii="Tahoma" w:hAnsi="Tahoma"/>
          <w:sz w:val="27"/>
          <w:vertAlign w:val="superscript"/>
          <w:rtl/>
        </w:rPr>
        <w:t>(</w:t>
      </w:r>
      <w:r w:rsidRPr="00904FCB">
        <w:rPr>
          <w:rStyle w:val="ac"/>
          <w:sz w:val="27"/>
          <w:rtl/>
          <w:lang w:bidi="ar-DZ"/>
        </w:rPr>
        <w:endnoteReference w:id="522"/>
      </w:r>
      <w:r w:rsidRPr="00904FCB">
        <w:rPr>
          <w:rFonts w:ascii="Tahoma" w:hAnsi="Tahoma"/>
          <w:sz w:val="27"/>
          <w:vertAlign w:val="superscript"/>
          <w:rtl/>
        </w:rPr>
        <w:t>)</w:t>
      </w:r>
      <w:r w:rsidR="005D45F1" w:rsidRPr="00904FCB">
        <w:rPr>
          <w:rFonts w:ascii="Tahoma" w:hAnsi="Tahoma" w:hint="cs"/>
          <w:sz w:val="27"/>
          <w:rtl/>
        </w:rPr>
        <w:t>.</w:t>
      </w:r>
    </w:p>
    <w:p w:rsidR="00625F5D" w:rsidRPr="00904FCB" w:rsidRDefault="00625F5D" w:rsidP="007A21AA">
      <w:pPr>
        <w:spacing w:line="400" w:lineRule="exact"/>
        <w:rPr>
          <w:rFonts w:ascii="Arial" w:hAnsi="Arial"/>
          <w:sz w:val="27"/>
          <w:rtl/>
        </w:rPr>
      </w:pPr>
      <w:r w:rsidRPr="00904FCB">
        <w:rPr>
          <w:rFonts w:ascii="Tahoma" w:hAnsi="Tahoma" w:hint="cs"/>
          <w:sz w:val="27"/>
          <w:rtl/>
        </w:rPr>
        <w:t xml:space="preserve">أما في كتابه </w:t>
      </w:r>
      <w:r w:rsidRPr="00904FCB">
        <w:rPr>
          <w:rFonts w:hint="eastAsia"/>
          <w:sz w:val="27"/>
          <w:rtl/>
        </w:rPr>
        <w:t>«</w:t>
      </w:r>
      <w:r w:rsidRPr="00904FCB">
        <w:rPr>
          <w:rFonts w:ascii="Tahoma" w:hAnsi="Tahoma" w:hint="cs"/>
          <w:sz w:val="27"/>
          <w:rtl/>
        </w:rPr>
        <w:t>روح الحداثة</w:t>
      </w:r>
      <w:r w:rsidR="005D45F1" w:rsidRPr="00904FCB">
        <w:rPr>
          <w:rFonts w:ascii="Tahoma" w:hAnsi="Tahoma" w:hint="cs"/>
          <w:sz w:val="27"/>
          <w:rtl/>
        </w:rPr>
        <w:t>،</w:t>
      </w:r>
      <w:r w:rsidRPr="00904FCB">
        <w:rPr>
          <w:rFonts w:ascii="Tahoma" w:hAnsi="Tahoma" w:hint="cs"/>
          <w:sz w:val="27"/>
          <w:rtl/>
        </w:rPr>
        <w:t xml:space="preserve"> المدخل إلى تأسيس الحداثة الإسلامية</w:t>
      </w:r>
      <w:r w:rsidRPr="00904FCB">
        <w:rPr>
          <w:rFonts w:hint="eastAsia"/>
          <w:sz w:val="27"/>
          <w:rtl/>
        </w:rPr>
        <w:t>»</w:t>
      </w:r>
      <w:r w:rsidRPr="00904FCB">
        <w:rPr>
          <w:rFonts w:ascii="Tahoma" w:hAnsi="Tahoma" w:hint="cs"/>
          <w:sz w:val="27"/>
          <w:rtl/>
        </w:rPr>
        <w:t xml:space="preserve"> ف</w:t>
      </w:r>
      <w:r w:rsidRPr="00904FCB">
        <w:rPr>
          <w:rFonts w:ascii="Arial" w:hAnsi="Arial" w:hint="cs"/>
          <w:sz w:val="27"/>
          <w:rtl/>
        </w:rPr>
        <w:t>ينطلق أستاذنا من التفريق بين واقع الحداثة الغربية وروح الحداثة، التي يُفت</w:t>
      </w:r>
      <w:r w:rsidR="005D45F1" w:rsidRPr="00904FCB">
        <w:rPr>
          <w:rFonts w:ascii="Arial" w:hAnsi="Arial" w:hint="cs"/>
          <w:sz w:val="27"/>
          <w:rtl/>
        </w:rPr>
        <w:t>َ</w:t>
      </w:r>
      <w:r w:rsidRPr="00904FCB">
        <w:rPr>
          <w:rFonts w:ascii="Arial" w:hAnsi="Arial" w:hint="cs"/>
          <w:sz w:val="27"/>
          <w:rtl/>
        </w:rPr>
        <w:t>ر</w:t>
      </w:r>
      <w:r w:rsidR="005D45F1" w:rsidRPr="00904FCB">
        <w:rPr>
          <w:rFonts w:ascii="Arial" w:hAnsi="Arial" w:hint="cs"/>
          <w:sz w:val="27"/>
          <w:rtl/>
        </w:rPr>
        <w:t>َ</w:t>
      </w:r>
      <w:r w:rsidRPr="00904FCB">
        <w:rPr>
          <w:rFonts w:ascii="Arial" w:hAnsi="Arial" w:hint="cs"/>
          <w:sz w:val="27"/>
          <w:rtl/>
        </w:rPr>
        <w:t>ض أنَّ هذا الواقع الحداثي يسعى إلى تجسيد قيمها ومبادئها المتمث</w:t>
      </w:r>
      <w:r w:rsidR="00CC2151">
        <w:rPr>
          <w:rFonts w:ascii="Arial" w:hAnsi="Arial" w:hint="cs"/>
          <w:sz w:val="27"/>
          <w:rtl/>
        </w:rPr>
        <w:t>ِّ</w:t>
      </w:r>
      <w:r w:rsidRPr="00904FCB">
        <w:rPr>
          <w:rFonts w:ascii="Arial" w:hAnsi="Arial" w:hint="cs"/>
          <w:sz w:val="27"/>
          <w:rtl/>
        </w:rPr>
        <w:t>لة في النقد</w:t>
      </w:r>
      <w:r w:rsidR="005D45F1" w:rsidRPr="00904FCB">
        <w:rPr>
          <w:rFonts w:ascii="Arial" w:hAnsi="Arial" w:hint="cs"/>
          <w:sz w:val="27"/>
          <w:rtl/>
        </w:rPr>
        <w:t>،</w:t>
      </w:r>
      <w:r w:rsidRPr="00904FCB">
        <w:rPr>
          <w:rFonts w:ascii="Arial" w:hAnsi="Arial" w:hint="cs"/>
          <w:sz w:val="27"/>
          <w:rtl/>
        </w:rPr>
        <w:t xml:space="preserve"> والرشد</w:t>
      </w:r>
      <w:r w:rsidR="005D45F1" w:rsidRPr="00904FCB">
        <w:rPr>
          <w:rFonts w:ascii="Arial" w:hAnsi="Arial" w:hint="cs"/>
          <w:sz w:val="27"/>
          <w:rtl/>
        </w:rPr>
        <w:t>،</w:t>
      </w:r>
      <w:r w:rsidRPr="00904FCB">
        <w:rPr>
          <w:rFonts w:ascii="Arial" w:hAnsi="Arial" w:hint="cs"/>
          <w:sz w:val="27"/>
          <w:rtl/>
        </w:rPr>
        <w:t xml:space="preserve"> والشمول. </w:t>
      </w:r>
    </w:p>
    <w:p w:rsidR="00625F5D" w:rsidRPr="00904FCB" w:rsidRDefault="00625F5D" w:rsidP="007A21AA">
      <w:pPr>
        <w:spacing w:line="400" w:lineRule="exact"/>
        <w:rPr>
          <w:rFonts w:ascii="Arial" w:hAnsi="Arial"/>
          <w:sz w:val="27"/>
          <w:rtl/>
        </w:rPr>
      </w:pPr>
      <w:r w:rsidRPr="00904FCB">
        <w:rPr>
          <w:rFonts w:ascii="Arial" w:hAnsi="Arial" w:hint="cs"/>
          <w:sz w:val="27"/>
          <w:rtl/>
        </w:rPr>
        <w:t>ولكن</w:t>
      </w:r>
      <w:r w:rsidR="005D45F1" w:rsidRPr="00904FCB">
        <w:rPr>
          <w:rFonts w:ascii="Arial" w:hAnsi="Arial" w:hint="cs"/>
          <w:sz w:val="27"/>
          <w:rtl/>
        </w:rPr>
        <w:t>ّ</w:t>
      </w:r>
      <w:r w:rsidRPr="00904FCB">
        <w:rPr>
          <w:rFonts w:ascii="Arial" w:hAnsi="Arial" w:hint="cs"/>
          <w:sz w:val="27"/>
          <w:rtl/>
        </w:rPr>
        <w:t xml:space="preserve"> هذه الق</w:t>
      </w:r>
      <w:r w:rsidR="005D45F1" w:rsidRPr="00904FCB">
        <w:rPr>
          <w:rFonts w:ascii="Arial" w:hAnsi="Arial" w:hint="cs"/>
          <w:sz w:val="27"/>
          <w:rtl/>
        </w:rPr>
        <w:t>ِ</w:t>
      </w:r>
      <w:r w:rsidRPr="00904FCB">
        <w:rPr>
          <w:rFonts w:ascii="Arial" w:hAnsi="Arial" w:hint="cs"/>
          <w:sz w:val="27"/>
          <w:rtl/>
        </w:rPr>
        <w:t>ي</w:t>
      </w:r>
      <w:r w:rsidR="005D45F1" w:rsidRPr="00904FCB">
        <w:rPr>
          <w:rFonts w:ascii="Arial" w:hAnsi="Arial" w:hint="cs"/>
          <w:sz w:val="27"/>
          <w:rtl/>
        </w:rPr>
        <w:t>َ</w:t>
      </w:r>
      <w:r w:rsidRPr="00904FCB">
        <w:rPr>
          <w:rFonts w:ascii="Arial" w:hAnsi="Arial" w:hint="cs"/>
          <w:sz w:val="27"/>
          <w:rtl/>
        </w:rPr>
        <w:t>م والمبادئ أ</w:t>
      </w:r>
      <w:r w:rsidR="005D45F1" w:rsidRPr="00904FCB">
        <w:rPr>
          <w:rFonts w:ascii="Arial" w:hAnsi="Arial" w:hint="cs"/>
          <w:sz w:val="27"/>
          <w:rtl/>
        </w:rPr>
        <w:t>ُ</w:t>
      </w:r>
      <w:r w:rsidRPr="00904FCB">
        <w:rPr>
          <w:rFonts w:ascii="Arial" w:hAnsi="Arial" w:hint="cs"/>
          <w:sz w:val="27"/>
          <w:rtl/>
        </w:rPr>
        <w:t>س</w:t>
      </w:r>
      <w:r w:rsidR="005D45F1" w:rsidRPr="00904FCB">
        <w:rPr>
          <w:rFonts w:ascii="Arial" w:hAnsi="Arial" w:hint="cs"/>
          <w:sz w:val="27"/>
          <w:rtl/>
        </w:rPr>
        <w:t>يء</w:t>
      </w:r>
      <w:r w:rsidRPr="00904FCB">
        <w:rPr>
          <w:rFonts w:ascii="Arial" w:hAnsi="Arial" w:hint="cs"/>
          <w:sz w:val="27"/>
          <w:rtl/>
        </w:rPr>
        <w:t xml:space="preserve"> تمثّ</w:t>
      </w:r>
      <w:r w:rsidR="005D45F1" w:rsidRPr="00904FCB">
        <w:rPr>
          <w:rFonts w:ascii="Arial" w:hAnsi="Arial" w:hint="cs"/>
          <w:sz w:val="27"/>
          <w:rtl/>
        </w:rPr>
        <w:t>ُ</w:t>
      </w:r>
      <w:r w:rsidRPr="00904FCB">
        <w:rPr>
          <w:rFonts w:ascii="Arial" w:hAnsi="Arial" w:hint="cs"/>
          <w:sz w:val="27"/>
          <w:rtl/>
        </w:rPr>
        <w:t>لها وتجسيدها في سياق الواقع الحداثي الغربي، فأتت بنتائج تضاد</w:t>
      </w:r>
      <w:r w:rsidR="005D45F1" w:rsidRPr="00904FCB">
        <w:rPr>
          <w:rFonts w:ascii="Arial" w:hAnsi="Arial" w:hint="cs"/>
          <w:sz w:val="27"/>
          <w:rtl/>
        </w:rPr>
        <w:t>ّ</w:t>
      </w:r>
      <w:r w:rsidRPr="00904FCB">
        <w:rPr>
          <w:rFonts w:ascii="Arial" w:hAnsi="Arial" w:hint="cs"/>
          <w:sz w:val="27"/>
          <w:rtl/>
        </w:rPr>
        <w:t xml:space="preserve"> مقصود أصحابها المتفائل، وهذا هو سبب الأزمات المتلاحقة التي يعانيها البشر. </w:t>
      </w:r>
    </w:p>
    <w:p w:rsidR="00625F5D" w:rsidRPr="00904FCB" w:rsidRDefault="00625F5D" w:rsidP="007A21AA">
      <w:pPr>
        <w:spacing w:line="400" w:lineRule="exact"/>
        <w:rPr>
          <w:rFonts w:ascii="Arial" w:hAnsi="Arial"/>
          <w:sz w:val="27"/>
          <w:rtl/>
        </w:rPr>
      </w:pPr>
      <w:r w:rsidRPr="00904FCB">
        <w:rPr>
          <w:rFonts w:ascii="Arial" w:hAnsi="Arial" w:hint="cs"/>
          <w:sz w:val="27"/>
          <w:rtl/>
        </w:rPr>
        <w:t>إن منشأ هذه الأزمات والآفات التي برزت في واقع الحداثة الغربية هو الفقر الروحي والمعنوي، الذي طبع النسخة الغربية للحداثة، فضيَّ</w:t>
      </w:r>
      <w:r w:rsidR="002375C1" w:rsidRPr="00904FCB">
        <w:rPr>
          <w:rFonts w:ascii="Arial" w:hAnsi="Arial" w:hint="cs"/>
          <w:sz w:val="27"/>
          <w:rtl/>
        </w:rPr>
        <w:t>َ</w:t>
      </w:r>
      <w:r w:rsidRPr="00904FCB">
        <w:rPr>
          <w:rFonts w:ascii="Arial" w:hAnsi="Arial" w:hint="cs"/>
          <w:sz w:val="27"/>
          <w:rtl/>
        </w:rPr>
        <w:t xml:space="preserve">ق أفقها، وأفقد الإنسان الإحساس بالمعنى وبالأمان والاطمئنان، </w:t>
      </w:r>
      <w:r w:rsidR="002375C1" w:rsidRPr="00904FCB">
        <w:rPr>
          <w:rFonts w:ascii="Arial" w:hAnsi="Arial" w:hint="cs"/>
          <w:sz w:val="27"/>
          <w:rtl/>
        </w:rPr>
        <w:t>وولَّ</w:t>
      </w:r>
      <w:r w:rsidRPr="00904FCB">
        <w:rPr>
          <w:rFonts w:ascii="Arial" w:hAnsi="Arial" w:hint="cs"/>
          <w:sz w:val="27"/>
          <w:rtl/>
        </w:rPr>
        <w:t>د لديه الشعور بالخوف واليأس والتشر</w:t>
      </w:r>
      <w:r w:rsidR="002375C1" w:rsidRPr="00904FCB">
        <w:rPr>
          <w:rFonts w:ascii="Arial" w:hAnsi="Arial" w:hint="cs"/>
          <w:sz w:val="27"/>
          <w:rtl/>
        </w:rPr>
        <w:t>ُّ</w:t>
      </w:r>
      <w:r w:rsidRPr="00904FCB">
        <w:rPr>
          <w:rFonts w:ascii="Arial" w:hAnsi="Arial" w:hint="cs"/>
          <w:sz w:val="27"/>
          <w:rtl/>
        </w:rPr>
        <w:t xml:space="preserve">د واللاجدوى. </w:t>
      </w:r>
    </w:p>
    <w:p w:rsidR="00625F5D" w:rsidRPr="00904FCB" w:rsidRDefault="002375C1" w:rsidP="007A21AA">
      <w:pPr>
        <w:spacing w:line="400" w:lineRule="exact"/>
        <w:rPr>
          <w:rFonts w:ascii="Arial" w:hAnsi="Arial"/>
          <w:sz w:val="27"/>
          <w:rtl/>
        </w:rPr>
      </w:pPr>
      <w:r w:rsidRPr="00904FCB">
        <w:rPr>
          <w:rFonts w:ascii="Arial" w:hAnsi="Arial" w:hint="cs"/>
          <w:sz w:val="27"/>
          <w:rtl/>
        </w:rPr>
        <w:lastRenderedPageBreak/>
        <w:t>ومن أبر</w:t>
      </w:r>
      <w:r w:rsidR="00625F5D" w:rsidRPr="00904FCB">
        <w:rPr>
          <w:rFonts w:ascii="Arial" w:hAnsi="Arial" w:hint="cs"/>
          <w:sz w:val="27"/>
          <w:rtl/>
        </w:rPr>
        <w:t>ز مواضع ذلك الفقر أيضا</w:t>
      </w:r>
      <w:r w:rsidRPr="00904FCB">
        <w:rPr>
          <w:rFonts w:ascii="Arial" w:hAnsi="Arial" w:hint="cs"/>
          <w:sz w:val="27"/>
          <w:rtl/>
        </w:rPr>
        <w:t>ً</w:t>
      </w:r>
      <w:r w:rsidR="00625F5D" w:rsidRPr="00904FCB">
        <w:rPr>
          <w:rFonts w:ascii="Arial" w:hAnsi="Arial" w:hint="cs"/>
          <w:sz w:val="27"/>
          <w:rtl/>
        </w:rPr>
        <w:t xml:space="preserve"> تغليب الجانب الاقتصادي والمنفعة المادية على كل</w:t>
      </w:r>
      <w:r w:rsidRPr="00904FCB">
        <w:rPr>
          <w:rFonts w:ascii="Arial" w:hAnsi="Arial" w:hint="cs"/>
          <w:sz w:val="27"/>
          <w:rtl/>
        </w:rPr>
        <w:t>ّ</w:t>
      </w:r>
      <w:r w:rsidR="00625F5D" w:rsidRPr="00904FCB">
        <w:rPr>
          <w:rFonts w:ascii="Arial" w:hAnsi="Arial" w:hint="cs"/>
          <w:sz w:val="27"/>
          <w:rtl/>
        </w:rPr>
        <w:t xml:space="preserve"> اعتبار، وجعلهما مقياساً وحيداً لكل</w:t>
      </w:r>
      <w:r w:rsidRPr="00904FCB">
        <w:rPr>
          <w:rFonts w:ascii="Arial" w:hAnsi="Arial" w:hint="cs"/>
          <w:sz w:val="27"/>
          <w:rtl/>
        </w:rPr>
        <w:t>ّ</w:t>
      </w:r>
      <w:r w:rsidR="00625F5D" w:rsidRPr="00904FCB">
        <w:rPr>
          <w:rFonts w:ascii="Arial" w:hAnsi="Arial" w:hint="cs"/>
          <w:sz w:val="27"/>
          <w:rtl/>
        </w:rPr>
        <w:t xml:space="preserve"> تنمية</w:t>
      </w:r>
      <w:r w:rsidRPr="00904FCB">
        <w:rPr>
          <w:rFonts w:ascii="Arial" w:hAnsi="Arial" w:hint="cs"/>
          <w:sz w:val="27"/>
          <w:rtl/>
        </w:rPr>
        <w:t>ٍ</w:t>
      </w:r>
      <w:r w:rsidR="00625F5D" w:rsidRPr="00904FCB">
        <w:rPr>
          <w:rFonts w:ascii="Arial" w:hAnsi="Arial" w:hint="cs"/>
          <w:sz w:val="27"/>
          <w:rtl/>
        </w:rPr>
        <w:t xml:space="preserve"> وتطو</w:t>
      </w:r>
      <w:r w:rsidRPr="00904FCB">
        <w:rPr>
          <w:rFonts w:ascii="Arial" w:hAnsi="Arial" w:hint="cs"/>
          <w:sz w:val="27"/>
          <w:rtl/>
        </w:rPr>
        <w:t>ُّ</w:t>
      </w:r>
      <w:r w:rsidR="00625F5D" w:rsidRPr="00904FCB">
        <w:rPr>
          <w:rFonts w:ascii="Arial" w:hAnsi="Arial" w:hint="cs"/>
          <w:sz w:val="27"/>
          <w:rtl/>
        </w:rPr>
        <w:t>ر، فكان أن طغ</w:t>
      </w:r>
      <w:r w:rsidRPr="00904FCB">
        <w:rPr>
          <w:rFonts w:ascii="Arial" w:hAnsi="Arial" w:hint="cs"/>
          <w:sz w:val="27"/>
          <w:rtl/>
        </w:rPr>
        <w:t>َ</w:t>
      </w:r>
      <w:r w:rsidR="00625F5D" w:rsidRPr="00904FCB">
        <w:rPr>
          <w:rFonts w:ascii="Arial" w:hAnsi="Arial" w:hint="cs"/>
          <w:sz w:val="27"/>
          <w:rtl/>
        </w:rPr>
        <w:t>ت</w:t>
      </w:r>
      <w:r w:rsidRPr="00904FCB">
        <w:rPr>
          <w:rFonts w:ascii="Arial" w:hAnsi="Arial" w:hint="cs"/>
          <w:sz w:val="27"/>
          <w:rtl/>
        </w:rPr>
        <w:t>ْ</w:t>
      </w:r>
      <w:r w:rsidR="00625F5D" w:rsidRPr="00904FCB">
        <w:rPr>
          <w:rFonts w:ascii="Arial" w:hAnsi="Arial" w:hint="cs"/>
          <w:sz w:val="27"/>
          <w:rtl/>
        </w:rPr>
        <w:t xml:space="preserve"> التقنية والتجريب، وغابت الحكمة والمقصد عن كل</w:t>
      </w:r>
      <w:r w:rsidRPr="00904FCB">
        <w:rPr>
          <w:rFonts w:ascii="Arial" w:hAnsi="Arial" w:hint="cs"/>
          <w:sz w:val="27"/>
          <w:rtl/>
        </w:rPr>
        <w:t>ّ</w:t>
      </w:r>
      <w:r w:rsidR="00625F5D" w:rsidRPr="00904FCB">
        <w:rPr>
          <w:rFonts w:ascii="Arial" w:hAnsi="Arial" w:hint="cs"/>
          <w:sz w:val="27"/>
          <w:rtl/>
        </w:rPr>
        <w:t xml:space="preserve"> نشاط</w:t>
      </w:r>
      <w:r w:rsidRPr="00904FCB">
        <w:rPr>
          <w:rFonts w:ascii="Arial" w:hAnsi="Arial" w:hint="cs"/>
          <w:sz w:val="27"/>
          <w:rtl/>
        </w:rPr>
        <w:t>ٍ</w:t>
      </w:r>
      <w:r w:rsidR="00625F5D" w:rsidRPr="00904FCB">
        <w:rPr>
          <w:rFonts w:ascii="Arial" w:hAnsi="Arial" w:hint="cs"/>
          <w:sz w:val="27"/>
          <w:rtl/>
        </w:rPr>
        <w:t xml:space="preserve"> علمي</w:t>
      </w:r>
      <w:r w:rsidRPr="00904FCB">
        <w:rPr>
          <w:rFonts w:ascii="Arial" w:hAnsi="Arial" w:hint="cs"/>
          <w:sz w:val="27"/>
          <w:rtl/>
        </w:rPr>
        <w:t>ّ</w:t>
      </w:r>
      <w:r w:rsidR="00625F5D" w:rsidRPr="00904FCB">
        <w:rPr>
          <w:rFonts w:ascii="Arial" w:hAnsi="Arial" w:hint="cs"/>
          <w:sz w:val="27"/>
          <w:rtl/>
        </w:rPr>
        <w:t xml:space="preserve"> أو عملي</w:t>
      </w:r>
      <w:r w:rsidRPr="00904FCB">
        <w:rPr>
          <w:rFonts w:ascii="Arial" w:hAnsi="Arial" w:hint="cs"/>
          <w:sz w:val="27"/>
          <w:rtl/>
        </w:rPr>
        <w:t>ّ</w:t>
      </w:r>
      <w:r w:rsidR="00625F5D" w:rsidRPr="00904FCB">
        <w:rPr>
          <w:rFonts w:ascii="Arial" w:hAnsi="Arial" w:hint="cs"/>
          <w:sz w:val="27"/>
          <w:rtl/>
        </w:rPr>
        <w:t>، وغلبت الآلية والتراكمية والإعلانية على عملي</w:t>
      </w:r>
      <w:r w:rsidRPr="00904FCB">
        <w:rPr>
          <w:rFonts w:ascii="Arial" w:hAnsi="Arial" w:hint="cs"/>
          <w:sz w:val="27"/>
          <w:rtl/>
        </w:rPr>
        <w:t>ّ</w:t>
      </w:r>
      <w:r w:rsidR="00625F5D" w:rsidRPr="00904FCB">
        <w:rPr>
          <w:rFonts w:ascii="Arial" w:hAnsi="Arial" w:hint="cs"/>
          <w:sz w:val="27"/>
          <w:rtl/>
        </w:rPr>
        <w:t>ات الات</w:t>
      </w:r>
      <w:r w:rsidRPr="00904FCB">
        <w:rPr>
          <w:rFonts w:ascii="Arial" w:hAnsi="Arial" w:hint="cs"/>
          <w:sz w:val="27"/>
          <w:rtl/>
        </w:rPr>
        <w:t>ّ</w:t>
      </w:r>
      <w:r w:rsidR="00625F5D" w:rsidRPr="00904FCB">
        <w:rPr>
          <w:rFonts w:ascii="Arial" w:hAnsi="Arial" w:hint="cs"/>
          <w:sz w:val="27"/>
          <w:rtl/>
        </w:rPr>
        <w:t xml:space="preserve">صال التي جاءت بها العولمة. </w:t>
      </w:r>
    </w:p>
    <w:p w:rsidR="00625F5D" w:rsidRPr="00904FCB" w:rsidRDefault="00625F5D" w:rsidP="007A21AA">
      <w:pPr>
        <w:spacing w:line="400" w:lineRule="exact"/>
        <w:rPr>
          <w:rFonts w:ascii="Arial" w:hAnsi="Arial"/>
          <w:sz w:val="27"/>
          <w:rtl/>
        </w:rPr>
      </w:pPr>
      <w:r w:rsidRPr="00904FCB">
        <w:rPr>
          <w:rFonts w:ascii="Arial" w:hAnsi="Arial" w:hint="cs"/>
          <w:sz w:val="27"/>
          <w:rtl/>
        </w:rPr>
        <w:t xml:space="preserve">أما واقع المجتمعات الإسلامية فإنَّه ـ مع الأسف ـ يشهد </w:t>
      </w:r>
      <w:r w:rsidR="002375C1" w:rsidRPr="00904FCB">
        <w:rPr>
          <w:rFonts w:ascii="Arial" w:hAnsi="Arial" w:hint="cs"/>
          <w:sz w:val="27"/>
          <w:rtl/>
        </w:rPr>
        <w:t>بأنَّها أقرب إلى الحداثة المقلِّ</w:t>
      </w:r>
      <w:r w:rsidRPr="00904FCB">
        <w:rPr>
          <w:rFonts w:ascii="Arial" w:hAnsi="Arial" w:hint="cs"/>
          <w:sz w:val="27"/>
          <w:rtl/>
        </w:rPr>
        <w:t>دة منها إلى الحداثة الم</w:t>
      </w:r>
      <w:r w:rsidR="002375C1" w:rsidRPr="00904FCB">
        <w:rPr>
          <w:rFonts w:ascii="Arial" w:hAnsi="Arial" w:hint="cs"/>
          <w:sz w:val="27"/>
          <w:rtl/>
        </w:rPr>
        <w:t>ُ</w:t>
      </w:r>
      <w:r w:rsidRPr="00904FCB">
        <w:rPr>
          <w:rFonts w:ascii="Arial" w:hAnsi="Arial" w:hint="cs"/>
          <w:sz w:val="27"/>
          <w:rtl/>
        </w:rPr>
        <w:t>ب</w:t>
      </w:r>
      <w:r w:rsidR="002375C1" w:rsidRPr="00904FCB">
        <w:rPr>
          <w:rFonts w:ascii="Arial" w:hAnsi="Arial" w:hint="cs"/>
          <w:sz w:val="27"/>
          <w:rtl/>
        </w:rPr>
        <w:t>ْ</w:t>
      </w:r>
      <w:r w:rsidRPr="00904FCB">
        <w:rPr>
          <w:rFonts w:ascii="Arial" w:hAnsi="Arial" w:hint="cs"/>
          <w:sz w:val="27"/>
          <w:rtl/>
        </w:rPr>
        <w:t>د</w:t>
      </w:r>
      <w:r w:rsidR="002375C1" w:rsidRPr="00904FCB">
        <w:rPr>
          <w:rFonts w:ascii="Arial" w:hAnsi="Arial" w:hint="cs"/>
          <w:sz w:val="27"/>
          <w:rtl/>
        </w:rPr>
        <w:t>ِ</w:t>
      </w:r>
      <w:r w:rsidRPr="00904FCB">
        <w:rPr>
          <w:rFonts w:ascii="Arial" w:hAnsi="Arial" w:hint="cs"/>
          <w:sz w:val="27"/>
          <w:rtl/>
        </w:rPr>
        <w:t>عة</w:t>
      </w:r>
      <w:r w:rsidR="002375C1" w:rsidRPr="00904FCB">
        <w:rPr>
          <w:rFonts w:ascii="Arial" w:hAnsi="Arial" w:hint="cs"/>
          <w:sz w:val="27"/>
          <w:rtl/>
        </w:rPr>
        <w:t xml:space="preserve">، </w:t>
      </w:r>
      <w:r w:rsidRPr="00904FCB">
        <w:rPr>
          <w:rFonts w:ascii="Arial" w:hAnsi="Arial" w:hint="cs"/>
          <w:sz w:val="27"/>
          <w:rtl/>
        </w:rPr>
        <w:t>وكأن</w:t>
      </w:r>
      <w:r w:rsidR="002375C1" w:rsidRPr="00904FCB">
        <w:rPr>
          <w:rFonts w:ascii="Arial" w:hAnsi="Arial" w:hint="cs"/>
          <w:sz w:val="27"/>
          <w:rtl/>
        </w:rPr>
        <w:t>ّ</w:t>
      </w:r>
      <w:r w:rsidRPr="00904FCB">
        <w:rPr>
          <w:rFonts w:ascii="Arial" w:hAnsi="Arial" w:hint="cs"/>
          <w:sz w:val="27"/>
          <w:rtl/>
        </w:rPr>
        <w:t>ها اقتنع</w:t>
      </w:r>
      <w:r w:rsidR="002375C1" w:rsidRPr="00904FCB">
        <w:rPr>
          <w:rFonts w:ascii="Arial" w:hAnsi="Arial" w:hint="cs"/>
          <w:sz w:val="27"/>
          <w:rtl/>
        </w:rPr>
        <w:t>َ</w:t>
      </w:r>
      <w:r w:rsidRPr="00904FCB">
        <w:rPr>
          <w:rFonts w:ascii="Arial" w:hAnsi="Arial" w:hint="cs"/>
          <w:sz w:val="27"/>
          <w:rtl/>
        </w:rPr>
        <w:t>ت</w:t>
      </w:r>
      <w:r w:rsidR="002375C1" w:rsidRPr="00904FCB">
        <w:rPr>
          <w:rFonts w:ascii="Arial" w:hAnsi="Arial" w:hint="cs"/>
          <w:sz w:val="27"/>
          <w:rtl/>
        </w:rPr>
        <w:t>ْ</w:t>
      </w:r>
      <w:r w:rsidRPr="00904FCB">
        <w:rPr>
          <w:rFonts w:ascii="Arial" w:hAnsi="Arial" w:hint="cs"/>
          <w:sz w:val="27"/>
          <w:rtl/>
        </w:rPr>
        <w:t xml:space="preserve"> بأنَّ التطبيق الغربي للحداثة واقع حتمي</w:t>
      </w:r>
      <w:r w:rsidR="002375C1" w:rsidRPr="00904FCB">
        <w:rPr>
          <w:rFonts w:ascii="Arial" w:hAnsi="Arial" w:hint="cs"/>
          <w:sz w:val="27"/>
          <w:rtl/>
        </w:rPr>
        <w:t>ّ</w:t>
      </w:r>
      <w:r w:rsidRPr="00904FCB">
        <w:rPr>
          <w:rFonts w:ascii="Arial" w:hAnsi="Arial" w:hint="cs"/>
          <w:sz w:val="27"/>
          <w:rtl/>
        </w:rPr>
        <w:t xml:space="preserve"> لا فكاك منه، وانطل</w:t>
      </w:r>
      <w:r w:rsidR="002375C1" w:rsidRPr="00904FCB">
        <w:rPr>
          <w:rFonts w:ascii="Arial" w:hAnsi="Arial" w:hint="cs"/>
          <w:sz w:val="27"/>
          <w:rtl/>
        </w:rPr>
        <w:t>َ</w:t>
      </w:r>
      <w:r w:rsidRPr="00904FCB">
        <w:rPr>
          <w:rFonts w:ascii="Arial" w:hAnsi="Arial" w:hint="cs"/>
          <w:sz w:val="27"/>
          <w:rtl/>
        </w:rPr>
        <w:t>ت</w:t>
      </w:r>
      <w:r w:rsidR="002375C1" w:rsidRPr="00904FCB">
        <w:rPr>
          <w:rFonts w:ascii="Arial" w:hAnsi="Arial" w:hint="cs"/>
          <w:sz w:val="27"/>
          <w:rtl/>
        </w:rPr>
        <w:t>ْ</w:t>
      </w:r>
      <w:r w:rsidR="00CC2151">
        <w:rPr>
          <w:rFonts w:ascii="Arial" w:hAnsi="Arial" w:hint="cs"/>
          <w:sz w:val="27"/>
          <w:rtl/>
        </w:rPr>
        <w:t xml:space="preserve"> على كثيرٍ </w:t>
      </w:r>
      <w:r w:rsidRPr="00904FCB">
        <w:rPr>
          <w:rFonts w:ascii="Arial" w:hAnsi="Arial" w:hint="cs"/>
          <w:sz w:val="27"/>
          <w:rtl/>
        </w:rPr>
        <w:t>من مثق</w:t>
      </w:r>
      <w:r w:rsidR="002375C1" w:rsidRPr="00904FCB">
        <w:rPr>
          <w:rFonts w:ascii="Arial" w:hAnsi="Arial" w:hint="cs"/>
          <w:sz w:val="27"/>
          <w:rtl/>
        </w:rPr>
        <w:t>َّفيها تلك المسلَّ</w:t>
      </w:r>
      <w:r w:rsidRPr="00904FCB">
        <w:rPr>
          <w:rFonts w:ascii="Arial" w:hAnsi="Arial" w:hint="cs"/>
          <w:sz w:val="27"/>
          <w:rtl/>
        </w:rPr>
        <w:t xml:space="preserve">مات والمغالطات التي صاحبت تطبيق الغرب لروح الحداثة. </w:t>
      </w:r>
    </w:p>
    <w:p w:rsidR="00625F5D" w:rsidRPr="00904FCB" w:rsidRDefault="00625F5D" w:rsidP="007A21AA">
      <w:pPr>
        <w:spacing w:line="400" w:lineRule="exact"/>
        <w:rPr>
          <w:sz w:val="27"/>
          <w:rtl/>
          <w:lang w:bidi="ar-EG"/>
        </w:rPr>
      </w:pPr>
      <w:r w:rsidRPr="00904FCB">
        <w:rPr>
          <w:rFonts w:ascii="Arial" w:hAnsi="Arial" w:hint="cs"/>
          <w:sz w:val="27"/>
          <w:rtl/>
        </w:rPr>
        <w:t>إن روح الحداثة ـ بمفهومها الإبداعي ـ تختلف عن واقع الحداثة؛ لأنَّ روح الحداثة مبدأ لا يستنفده تطبيق</w:t>
      </w:r>
      <w:r w:rsidR="002375C1" w:rsidRPr="00904FCB">
        <w:rPr>
          <w:rFonts w:ascii="Arial" w:hAnsi="Arial" w:hint="cs"/>
          <w:sz w:val="27"/>
          <w:rtl/>
        </w:rPr>
        <w:t>ٌ</w:t>
      </w:r>
      <w:r w:rsidRPr="00904FCB">
        <w:rPr>
          <w:rFonts w:ascii="Arial" w:hAnsi="Arial" w:hint="cs"/>
          <w:sz w:val="27"/>
          <w:rtl/>
        </w:rPr>
        <w:t xml:space="preserve"> واحد، فلا ب</w:t>
      </w:r>
      <w:r w:rsidR="002375C1" w:rsidRPr="00904FCB">
        <w:rPr>
          <w:rFonts w:ascii="Arial" w:hAnsi="Arial" w:hint="cs"/>
          <w:sz w:val="27"/>
          <w:rtl/>
        </w:rPr>
        <w:t>ُ</w:t>
      </w:r>
      <w:r w:rsidRPr="00904FCB">
        <w:rPr>
          <w:rFonts w:ascii="Arial" w:hAnsi="Arial" w:hint="cs"/>
          <w:sz w:val="27"/>
          <w:rtl/>
        </w:rPr>
        <w:t>دّ</w:t>
      </w:r>
      <w:r w:rsidR="002375C1" w:rsidRPr="00904FCB">
        <w:rPr>
          <w:rFonts w:ascii="Arial" w:hAnsi="Arial" w:hint="cs"/>
          <w:sz w:val="27"/>
          <w:rtl/>
        </w:rPr>
        <w:t>َ</w:t>
      </w:r>
      <w:r w:rsidRPr="00904FCB">
        <w:rPr>
          <w:rFonts w:ascii="Arial" w:hAnsi="Arial" w:hint="cs"/>
          <w:sz w:val="27"/>
          <w:rtl/>
        </w:rPr>
        <w:t xml:space="preserve"> أن يكون له تطبيقات مختلفة مرتبطة بسياقات وافتراضات خاص</w:t>
      </w:r>
      <w:r w:rsidR="002375C1" w:rsidRPr="00904FCB">
        <w:rPr>
          <w:rFonts w:ascii="Arial" w:hAnsi="Arial" w:hint="cs"/>
          <w:sz w:val="27"/>
          <w:rtl/>
        </w:rPr>
        <w:t>ّ</w:t>
      </w:r>
      <w:r w:rsidRPr="00904FCB">
        <w:rPr>
          <w:rFonts w:ascii="Arial" w:hAnsi="Arial" w:hint="cs"/>
          <w:sz w:val="27"/>
          <w:rtl/>
        </w:rPr>
        <w:t>ة. وبناء</w:t>
      </w:r>
      <w:r w:rsidR="002375C1" w:rsidRPr="00904FCB">
        <w:rPr>
          <w:rFonts w:ascii="Arial" w:hAnsi="Arial" w:hint="cs"/>
          <w:sz w:val="27"/>
          <w:rtl/>
        </w:rPr>
        <w:t>ً</w:t>
      </w:r>
      <w:r w:rsidRPr="00904FCB">
        <w:rPr>
          <w:rFonts w:ascii="Arial" w:hAnsi="Arial" w:hint="cs"/>
          <w:sz w:val="27"/>
          <w:rtl/>
        </w:rPr>
        <w:t xml:space="preserve"> عليه فإنَّ واقع الحداثة الغربية هو واحد</w:t>
      </w:r>
      <w:r w:rsidR="002375C1" w:rsidRPr="00904FCB">
        <w:rPr>
          <w:rFonts w:ascii="Arial" w:hAnsi="Arial" w:hint="cs"/>
          <w:sz w:val="27"/>
          <w:rtl/>
        </w:rPr>
        <w:t>ٌ</w:t>
      </w:r>
      <w:r w:rsidRPr="00904FCB">
        <w:rPr>
          <w:rFonts w:ascii="Arial" w:hAnsi="Arial" w:hint="cs"/>
          <w:sz w:val="27"/>
          <w:rtl/>
        </w:rPr>
        <w:t xml:space="preserve"> من التطبيقات الممكنة لروح الحداثة. وإذا كانت روح الحداثة متأص</w:t>
      </w:r>
      <w:r w:rsidR="002375C1" w:rsidRPr="00904FCB">
        <w:rPr>
          <w:rFonts w:ascii="Arial" w:hAnsi="Arial" w:hint="cs"/>
          <w:sz w:val="27"/>
          <w:rtl/>
        </w:rPr>
        <w:t>ِّ</w:t>
      </w:r>
      <w:r w:rsidRPr="00904FCB">
        <w:rPr>
          <w:rFonts w:ascii="Arial" w:hAnsi="Arial" w:hint="cs"/>
          <w:sz w:val="27"/>
          <w:rtl/>
        </w:rPr>
        <w:t>لة إنسانياً وتاريخياً فإنَّ هذه الروح ليست من صنع المجتمع الغربي، وإنَّما هي من صنع المجتمع الإنساني في مختلف أطواره، وقابلة للتحق</w:t>
      </w:r>
      <w:r w:rsidR="002375C1" w:rsidRPr="00904FCB">
        <w:rPr>
          <w:rFonts w:ascii="Arial" w:hAnsi="Arial" w:hint="cs"/>
          <w:sz w:val="27"/>
          <w:rtl/>
        </w:rPr>
        <w:t>ُّ</w:t>
      </w:r>
      <w:r w:rsidRPr="00904FCB">
        <w:rPr>
          <w:rFonts w:ascii="Arial" w:hAnsi="Arial" w:hint="cs"/>
          <w:sz w:val="27"/>
          <w:rtl/>
        </w:rPr>
        <w:t>ق في مجتمعات</w:t>
      </w:r>
      <w:r w:rsidR="002375C1" w:rsidRPr="00904FCB">
        <w:rPr>
          <w:rFonts w:ascii="Arial" w:hAnsi="Arial" w:hint="cs"/>
          <w:sz w:val="27"/>
          <w:rtl/>
        </w:rPr>
        <w:t>ٍ</w:t>
      </w:r>
      <w:r w:rsidRPr="00904FCB">
        <w:rPr>
          <w:rFonts w:ascii="Arial" w:hAnsi="Arial" w:hint="cs"/>
          <w:sz w:val="27"/>
          <w:rtl/>
        </w:rPr>
        <w:t xml:space="preserve"> أخرى غير المجتمع الغربي الحاضر. وهكذا فإنَّ الأمم تستوي كل</w:t>
      </w:r>
      <w:r w:rsidR="002375C1" w:rsidRPr="00904FCB">
        <w:rPr>
          <w:rFonts w:ascii="Arial" w:hAnsi="Arial" w:hint="cs"/>
          <w:sz w:val="27"/>
          <w:rtl/>
        </w:rPr>
        <w:t>ُّ</w:t>
      </w:r>
      <w:r w:rsidRPr="00904FCB">
        <w:rPr>
          <w:rFonts w:ascii="Arial" w:hAnsi="Arial" w:hint="cs"/>
          <w:sz w:val="27"/>
          <w:rtl/>
        </w:rPr>
        <w:t xml:space="preserve">ها في الانتساب إلى روح الحداثة. </w:t>
      </w:r>
    </w:p>
    <w:p w:rsidR="00625F5D" w:rsidRPr="00904FCB" w:rsidRDefault="00625F5D" w:rsidP="007A21AA">
      <w:pPr>
        <w:spacing w:line="400" w:lineRule="exact"/>
        <w:rPr>
          <w:rFonts w:ascii="Arial" w:hAnsi="Arial"/>
          <w:sz w:val="27"/>
          <w:rtl/>
        </w:rPr>
      </w:pPr>
      <w:r w:rsidRPr="00904FCB">
        <w:rPr>
          <w:rFonts w:ascii="Arial" w:hAnsi="Arial" w:hint="cs"/>
          <w:sz w:val="27"/>
          <w:rtl/>
        </w:rPr>
        <w:t>ولا يدل</w:t>
      </w:r>
      <w:r w:rsidR="002375C1" w:rsidRPr="00904FCB">
        <w:rPr>
          <w:rFonts w:ascii="Arial" w:hAnsi="Arial" w:hint="cs"/>
          <w:sz w:val="27"/>
          <w:rtl/>
        </w:rPr>
        <w:t>ّ</w:t>
      </w:r>
      <w:r w:rsidRPr="00904FCB">
        <w:rPr>
          <w:rFonts w:ascii="Arial" w:hAnsi="Arial" w:hint="cs"/>
          <w:sz w:val="27"/>
          <w:rtl/>
        </w:rPr>
        <w:t xml:space="preserve"> تراكم المعارف وتجدّ</w:t>
      </w:r>
      <w:r w:rsidR="00CC2151">
        <w:rPr>
          <w:rFonts w:ascii="Arial" w:hAnsi="Arial" w:hint="cs"/>
          <w:sz w:val="27"/>
          <w:rtl/>
        </w:rPr>
        <w:t>ُ</w:t>
      </w:r>
      <w:r w:rsidRPr="00904FCB">
        <w:rPr>
          <w:rFonts w:ascii="Arial" w:hAnsi="Arial" w:hint="cs"/>
          <w:sz w:val="27"/>
          <w:rtl/>
        </w:rPr>
        <w:t>د الق</w:t>
      </w:r>
      <w:r w:rsidR="00CC2151">
        <w:rPr>
          <w:rFonts w:ascii="Arial" w:hAnsi="Arial" w:hint="cs"/>
          <w:sz w:val="27"/>
          <w:rtl/>
        </w:rPr>
        <w:t>ِ</w:t>
      </w:r>
      <w:r w:rsidRPr="00904FCB">
        <w:rPr>
          <w:rFonts w:ascii="Arial" w:hAnsi="Arial" w:hint="cs"/>
          <w:sz w:val="27"/>
          <w:rtl/>
        </w:rPr>
        <w:t>ي</w:t>
      </w:r>
      <w:r w:rsidR="00CC2151">
        <w:rPr>
          <w:rFonts w:ascii="Arial" w:hAnsi="Arial" w:hint="cs"/>
          <w:sz w:val="27"/>
          <w:rtl/>
        </w:rPr>
        <w:t>َ</w:t>
      </w:r>
      <w:r w:rsidRPr="00904FCB">
        <w:rPr>
          <w:rFonts w:ascii="Arial" w:hAnsi="Arial" w:hint="cs"/>
          <w:sz w:val="27"/>
          <w:rtl/>
        </w:rPr>
        <w:t>م، ولا حت</w:t>
      </w:r>
      <w:r w:rsidR="002375C1" w:rsidRPr="00904FCB">
        <w:rPr>
          <w:rFonts w:ascii="Arial" w:hAnsi="Arial" w:hint="cs"/>
          <w:sz w:val="27"/>
          <w:rtl/>
        </w:rPr>
        <w:t>ّ</w:t>
      </w:r>
      <w:r w:rsidRPr="00904FCB">
        <w:rPr>
          <w:rFonts w:ascii="Arial" w:hAnsi="Arial" w:hint="cs"/>
          <w:sz w:val="27"/>
          <w:rtl/>
        </w:rPr>
        <w:t>ى تأخ</w:t>
      </w:r>
      <w:r w:rsidR="002375C1" w:rsidRPr="00904FCB">
        <w:rPr>
          <w:rFonts w:ascii="Arial" w:hAnsi="Arial" w:hint="cs"/>
          <w:sz w:val="27"/>
          <w:rtl/>
        </w:rPr>
        <w:t>ُّ</w:t>
      </w:r>
      <w:r w:rsidRPr="00904FCB">
        <w:rPr>
          <w:rFonts w:ascii="Arial" w:hAnsi="Arial" w:hint="cs"/>
          <w:sz w:val="27"/>
          <w:rtl/>
        </w:rPr>
        <w:t>ر التطبيق</w:t>
      </w:r>
      <w:r w:rsidR="002375C1" w:rsidRPr="00904FCB">
        <w:rPr>
          <w:rFonts w:ascii="Arial" w:hAnsi="Arial" w:hint="cs"/>
          <w:sz w:val="27"/>
          <w:rtl/>
        </w:rPr>
        <w:t>،</w:t>
      </w:r>
      <w:r w:rsidRPr="00904FCB">
        <w:rPr>
          <w:rFonts w:ascii="Arial" w:hAnsi="Arial" w:hint="cs"/>
          <w:sz w:val="27"/>
          <w:rtl/>
        </w:rPr>
        <w:t xml:space="preserve"> بالضرورة على الأفضلية</w:t>
      </w:r>
      <w:r w:rsidR="002375C1" w:rsidRPr="00904FCB">
        <w:rPr>
          <w:rFonts w:ascii="Arial" w:hAnsi="Arial" w:hint="cs"/>
          <w:sz w:val="27"/>
          <w:rtl/>
        </w:rPr>
        <w:t>،</w:t>
      </w:r>
      <w:r w:rsidRPr="00904FCB">
        <w:rPr>
          <w:rFonts w:ascii="Arial" w:hAnsi="Arial" w:hint="cs"/>
          <w:sz w:val="27"/>
          <w:rtl/>
        </w:rPr>
        <w:t xml:space="preserve"> ومزيد التحق</w:t>
      </w:r>
      <w:r w:rsidR="002375C1" w:rsidRPr="00904FCB">
        <w:rPr>
          <w:rFonts w:ascii="Arial" w:hAnsi="Arial" w:hint="cs"/>
          <w:sz w:val="27"/>
          <w:rtl/>
        </w:rPr>
        <w:t>ُّ</w:t>
      </w:r>
      <w:r w:rsidRPr="00904FCB">
        <w:rPr>
          <w:rFonts w:ascii="Arial" w:hAnsi="Arial" w:hint="cs"/>
          <w:sz w:val="27"/>
          <w:rtl/>
        </w:rPr>
        <w:t>ق بروح الحداثة</w:t>
      </w:r>
      <w:r w:rsidR="0062087E" w:rsidRPr="00904FCB">
        <w:rPr>
          <w:rFonts w:ascii="Arial" w:hAnsi="Arial" w:hint="cs"/>
          <w:sz w:val="27"/>
          <w:rtl/>
        </w:rPr>
        <w:t>.</w:t>
      </w:r>
      <w:r w:rsidRPr="00904FCB">
        <w:rPr>
          <w:rFonts w:ascii="Arial" w:hAnsi="Arial" w:hint="cs"/>
          <w:sz w:val="27"/>
          <w:rtl/>
        </w:rPr>
        <w:t xml:space="preserve"> فها هو التطبيق الغربي دخلت عليه آفات مختلفة</w:t>
      </w:r>
      <w:r w:rsidR="0062087E" w:rsidRPr="00904FCB">
        <w:rPr>
          <w:rFonts w:ascii="Arial" w:hAnsi="Arial" w:hint="cs"/>
          <w:sz w:val="27"/>
          <w:rtl/>
        </w:rPr>
        <w:t>،</w:t>
      </w:r>
      <w:r w:rsidRPr="00904FCB">
        <w:rPr>
          <w:rFonts w:ascii="Arial" w:hAnsi="Arial" w:hint="cs"/>
          <w:sz w:val="27"/>
          <w:rtl/>
        </w:rPr>
        <w:t xml:space="preserve"> جعلت نتائجه في كثير من الحالات مضاد</w:t>
      </w:r>
      <w:r w:rsidR="0062087E" w:rsidRPr="00904FCB">
        <w:rPr>
          <w:rFonts w:ascii="Arial" w:hAnsi="Arial" w:hint="cs"/>
          <w:sz w:val="27"/>
          <w:rtl/>
        </w:rPr>
        <w:t>ّ</w:t>
      </w:r>
      <w:r w:rsidRPr="00904FCB">
        <w:rPr>
          <w:rFonts w:ascii="Arial" w:hAnsi="Arial" w:hint="cs"/>
          <w:sz w:val="27"/>
          <w:rtl/>
        </w:rPr>
        <w:t>ة لمقصود أصحاب الحداثة وتوق</w:t>
      </w:r>
      <w:r w:rsidR="0062087E" w:rsidRPr="00904FCB">
        <w:rPr>
          <w:rFonts w:ascii="Arial" w:hAnsi="Arial" w:hint="cs"/>
          <w:sz w:val="27"/>
          <w:rtl/>
        </w:rPr>
        <w:t>ُّ</w:t>
      </w:r>
      <w:r w:rsidRPr="00904FCB">
        <w:rPr>
          <w:rFonts w:ascii="Arial" w:hAnsi="Arial" w:hint="cs"/>
          <w:sz w:val="27"/>
          <w:rtl/>
        </w:rPr>
        <w:t>عاتهم ومراهناتهم، ولا أدلّ</w:t>
      </w:r>
      <w:r w:rsidR="0062087E" w:rsidRPr="00904FCB">
        <w:rPr>
          <w:rFonts w:ascii="Arial" w:hAnsi="Arial" w:hint="cs"/>
          <w:sz w:val="27"/>
          <w:rtl/>
        </w:rPr>
        <w:t>َ</w:t>
      </w:r>
      <w:r w:rsidRPr="00904FCB">
        <w:rPr>
          <w:rFonts w:ascii="Arial" w:hAnsi="Arial" w:hint="cs"/>
          <w:sz w:val="27"/>
          <w:rtl/>
        </w:rPr>
        <w:t xml:space="preserve"> على هذا من الآفات غير المسبوقة، والإشعاع النووي، وانتشار أسلحة الدمار الشامل، وتلو</w:t>
      </w:r>
      <w:r w:rsidR="0062087E" w:rsidRPr="00904FCB">
        <w:rPr>
          <w:rFonts w:ascii="Arial" w:hAnsi="Arial" w:hint="cs"/>
          <w:sz w:val="27"/>
          <w:rtl/>
        </w:rPr>
        <w:t>ُّ</w:t>
      </w:r>
      <w:r w:rsidRPr="00904FCB">
        <w:rPr>
          <w:rFonts w:ascii="Arial" w:hAnsi="Arial" w:hint="cs"/>
          <w:sz w:val="27"/>
          <w:rtl/>
        </w:rPr>
        <w:t xml:space="preserve">ث البيئة، والاحتباس الحراري، والأزمات المالية والاقتصادية المختلفة. </w:t>
      </w:r>
    </w:p>
    <w:p w:rsidR="00625F5D" w:rsidRPr="00904FCB" w:rsidRDefault="00625F5D" w:rsidP="007A21AA">
      <w:pPr>
        <w:spacing w:line="400" w:lineRule="exact"/>
        <w:rPr>
          <w:rFonts w:ascii="Arial" w:hAnsi="Arial"/>
          <w:sz w:val="27"/>
          <w:rtl/>
        </w:rPr>
      </w:pPr>
      <w:r w:rsidRPr="00904FCB">
        <w:rPr>
          <w:rFonts w:ascii="Arial" w:hAnsi="Arial" w:hint="cs"/>
          <w:sz w:val="27"/>
          <w:rtl/>
        </w:rPr>
        <w:t xml:space="preserve"> ويذهب طه عبد الرحمن إلى أن واقع المجتمعات الإسلامية يؤك</w:t>
      </w:r>
      <w:r w:rsidR="0062087E" w:rsidRPr="00904FCB">
        <w:rPr>
          <w:rFonts w:ascii="Arial" w:hAnsi="Arial" w:hint="cs"/>
          <w:sz w:val="27"/>
          <w:rtl/>
        </w:rPr>
        <w:t>ِّ</w:t>
      </w:r>
      <w:r w:rsidRPr="00904FCB">
        <w:rPr>
          <w:rFonts w:ascii="Arial" w:hAnsi="Arial" w:hint="cs"/>
          <w:sz w:val="27"/>
          <w:rtl/>
        </w:rPr>
        <w:t>د على</w:t>
      </w:r>
      <w:r w:rsidR="0062087E" w:rsidRPr="00904FCB">
        <w:rPr>
          <w:rFonts w:ascii="Arial" w:hAnsi="Arial" w:hint="cs"/>
          <w:sz w:val="27"/>
          <w:rtl/>
        </w:rPr>
        <w:t xml:space="preserve"> أنَّها أقرب إلى الحداثة المقلِّ</w:t>
      </w:r>
      <w:r w:rsidRPr="00904FCB">
        <w:rPr>
          <w:rFonts w:ascii="Arial" w:hAnsi="Arial" w:hint="cs"/>
          <w:sz w:val="27"/>
          <w:rtl/>
        </w:rPr>
        <w:t>دة منها إلى الحداثة الم</w:t>
      </w:r>
      <w:r w:rsidR="0062087E" w:rsidRPr="00904FCB">
        <w:rPr>
          <w:rFonts w:ascii="Arial" w:hAnsi="Arial" w:hint="cs"/>
          <w:sz w:val="27"/>
          <w:rtl/>
        </w:rPr>
        <w:t>ُ</w:t>
      </w:r>
      <w:r w:rsidRPr="00904FCB">
        <w:rPr>
          <w:rFonts w:ascii="Arial" w:hAnsi="Arial" w:hint="cs"/>
          <w:sz w:val="27"/>
          <w:rtl/>
        </w:rPr>
        <w:t>ب</w:t>
      </w:r>
      <w:r w:rsidR="0062087E" w:rsidRPr="00904FCB">
        <w:rPr>
          <w:rFonts w:ascii="Arial" w:hAnsi="Arial" w:hint="cs"/>
          <w:sz w:val="27"/>
          <w:rtl/>
        </w:rPr>
        <w:t>ْ</w:t>
      </w:r>
      <w:r w:rsidRPr="00904FCB">
        <w:rPr>
          <w:rFonts w:ascii="Arial" w:hAnsi="Arial" w:hint="cs"/>
          <w:sz w:val="27"/>
          <w:rtl/>
        </w:rPr>
        <w:t>دِعة</w:t>
      </w:r>
      <w:r w:rsidR="0062087E" w:rsidRPr="00904FCB">
        <w:rPr>
          <w:rFonts w:ascii="Arial" w:hAnsi="Arial" w:hint="cs"/>
          <w:sz w:val="27"/>
          <w:rtl/>
        </w:rPr>
        <w:t>.</w:t>
      </w:r>
      <w:r w:rsidRPr="00904FCB">
        <w:rPr>
          <w:rFonts w:ascii="Arial" w:hAnsi="Arial" w:hint="cs"/>
          <w:sz w:val="27"/>
          <w:rtl/>
        </w:rPr>
        <w:t xml:space="preserve"> فلا حداثة مع وجود التقليد</w:t>
      </w:r>
      <w:r w:rsidR="0062087E" w:rsidRPr="00904FCB">
        <w:rPr>
          <w:rFonts w:ascii="Arial" w:hAnsi="Arial" w:hint="cs"/>
          <w:sz w:val="27"/>
          <w:rtl/>
        </w:rPr>
        <w:t>،</w:t>
      </w:r>
      <w:r w:rsidRPr="00904FCB">
        <w:rPr>
          <w:rFonts w:ascii="Arial" w:hAnsi="Arial" w:hint="cs"/>
          <w:sz w:val="27"/>
          <w:rtl/>
        </w:rPr>
        <w:t xml:space="preserve"> والحداثة لا تنقل من الخارج، وإنَّما تبتكر من الداخل، ولا تُنال إلا</w:t>
      </w:r>
      <w:r w:rsidR="0062087E" w:rsidRPr="00904FCB">
        <w:rPr>
          <w:rFonts w:ascii="Arial" w:hAnsi="Arial" w:hint="cs"/>
          <w:sz w:val="27"/>
          <w:rtl/>
        </w:rPr>
        <w:t>ّ</w:t>
      </w:r>
      <w:r w:rsidRPr="00904FCB">
        <w:rPr>
          <w:rFonts w:ascii="Arial" w:hAnsi="Arial" w:hint="cs"/>
          <w:sz w:val="27"/>
          <w:rtl/>
        </w:rPr>
        <w:t xml:space="preserve"> بطريق الإبداع. ومن هنا صار ابتكار الحداثة الإسلامية الداخلية يستلزم إبطال المسل</w:t>
      </w:r>
      <w:r w:rsidR="0062087E" w:rsidRPr="00904FCB">
        <w:rPr>
          <w:rFonts w:ascii="Arial" w:hAnsi="Arial" w:hint="cs"/>
          <w:sz w:val="27"/>
          <w:rtl/>
        </w:rPr>
        <w:t>َّ</w:t>
      </w:r>
      <w:r w:rsidRPr="00904FCB">
        <w:rPr>
          <w:rFonts w:ascii="Arial" w:hAnsi="Arial" w:hint="cs"/>
          <w:sz w:val="27"/>
          <w:rtl/>
        </w:rPr>
        <w:t>مات التي صاحب</w:t>
      </w:r>
      <w:r w:rsidR="0062087E" w:rsidRPr="00904FCB">
        <w:rPr>
          <w:rFonts w:ascii="Arial" w:hAnsi="Arial" w:hint="cs"/>
          <w:sz w:val="27"/>
          <w:rtl/>
        </w:rPr>
        <w:t>َ</w:t>
      </w:r>
      <w:r w:rsidRPr="00904FCB">
        <w:rPr>
          <w:rFonts w:ascii="Arial" w:hAnsi="Arial" w:hint="cs"/>
          <w:sz w:val="27"/>
          <w:rtl/>
        </w:rPr>
        <w:t>ت</w:t>
      </w:r>
      <w:r w:rsidR="0062087E" w:rsidRPr="00904FCB">
        <w:rPr>
          <w:rFonts w:ascii="Arial" w:hAnsi="Arial" w:hint="cs"/>
          <w:sz w:val="27"/>
          <w:rtl/>
        </w:rPr>
        <w:t>ْ</w:t>
      </w:r>
      <w:r w:rsidRPr="00904FCB">
        <w:rPr>
          <w:rFonts w:ascii="Arial" w:hAnsi="Arial" w:hint="cs"/>
          <w:sz w:val="27"/>
          <w:rtl/>
        </w:rPr>
        <w:t xml:space="preserve"> تطبيق الغرب لروح الحداثة، وأدخلت عليه الآفات المذكورة</w:t>
      </w:r>
      <w:r w:rsidRPr="00904FCB">
        <w:rPr>
          <w:rFonts w:ascii="Arial" w:hAnsi="Arial"/>
          <w:sz w:val="27"/>
          <w:vertAlign w:val="superscript"/>
          <w:rtl/>
        </w:rPr>
        <w:t>(</w:t>
      </w:r>
      <w:r w:rsidRPr="00904FCB">
        <w:rPr>
          <w:rStyle w:val="ac"/>
          <w:rFonts w:ascii="Arial" w:hAnsi="Arial"/>
          <w:sz w:val="27"/>
          <w:rtl/>
        </w:rPr>
        <w:endnoteReference w:id="523"/>
      </w:r>
      <w:r w:rsidRPr="00904FCB">
        <w:rPr>
          <w:rFonts w:ascii="Arial" w:hAnsi="Arial"/>
          <w:sz w:val="27"/>
          <w:vertAlign w:val="superscript"/>
          <w:rtl/>
        </w:rPr>
        <w:t>)</w:t>
      </w:r>
      <w:r w:rsidRPr="00904FCB">
        <w:rPr>
          <w:rFonts w:ascii="Arial" w:hAnsi="Arial" w:hint="cs"/>
          <w:sz w:val="27"/>
          <w:rtl/>
        </w:rPr>
        <w:t xml:space="preserve">. </w:t>
      </w:r>
    </w:p>
    <w:p w:rsidR="00625F5D" w:rsidRPr="00904FCB" w:rsidRDefault="00625F5D" w:rsidP="007A21AA">
      <w:pPr>
        <w:spacing w:line="400" w:lineRule="exact"/>
        <w:rPr>
          <w:sz w:val="27"/>
          <w:rtl/>
        </w:rPr>
      </w:pPr>
      <w:r w:rsidRPr="00904FCB">
        <w:rPr>
          <w:rFonts w:ascii="Arial" w:hAnsi="Arial" w:hint="cs"/>
          <w:sz w:val="27"/>
          <w:rtl/>
        </w:rPr>
        <w:lastRenderedPageBreak/>
        <w:t xml:space="preserve">والخلاصة التي ينتهي إليها طه عبد الرحمن هي </w:t>
      </w:r>
      <w:r w:rsidRPr="00904FCB">
        <w:rPr>
          <w:rFonts w:hint="cs"/>
          <w:sz w:val="27"/>
          <w:rtl/>
        </w:rPr>
        <w:t xml:space="preserve">أن الحضارة الغربية </w:t>
      </w:r>
      <w:r w:rsidRPr="00904FCB">
        <w:rPr>
          <w:rFonts w:hint="eastAsia"/>
          <w:sz w:val="27"/>
          <w:rtl/>
        </w:rPr>
        <w:t>«</w:t>
      </w:r>
      <w:r w:rsidRPr="00904FCB">
        <w:rPr>
          <w:rFonts w:hint="cs"/>
          <w:sz w:val="27"/>
          <w:rtl/>
        </w:rPr>
        <w:t>حضارة ناقصة عقلا</w:t>
      </w:r>
      <w:r w:rsidR="0062087E" w:rsidRPr="00904FCB">
        <w:rPr>
          <w:rFonts w:hint="cs"/>
          <w:sz w:val="27"/>
          <w:rtl/>
        </w:rPr>
        <w:t>ً،</w:t>
      </w:r>
      <w:r w:rsidRPr="00904FCB">
        <w:rPr>
          <w:rFonts w:hint="cs"/>
          <w:sz w:val="27"/>
          <w:rtl/>
        </w:rPr>
        <w:t xml:space="preserve"> وظالمة قولا</w:t>
      </w:r>
      <w:r w:rsidR="0062087E" w:rsidRPr="00904FCB">
        <w:rPr>
          <w:rFonts w:hint="cs"/>
          <w:sz w:val="27"/>
          <w:rtl/>
        </w:rPr>
        <w:t>ً،</w:t>
      </w:r>
      <w:r w:rsidRPr="00904FCB">
        <w:rPr>
          <w:rFonts w:hint="cs"/>
          <w:sz w:val="27"/>
          <w:rtl/>
        </w:rPr>
        <w:t xml:space="preserve"> ومتأز</w:t>
      </w:r>
      <w:r w:rsidR="0062087E" w:rsidRPr="00904FCB">
        <w:rPr>
          <w:rFonts w:hint="cs"/>
          <w:sz w:val="27"/>
          <w:rtl/>
        </w:rPr>
        <w:t>ِّ</w:t>
      </w:r>
      <w:r w:rsidRPr="00904FCB">
        <w:rPr>
          <w:rFonts w:hint="cs"/>
          <w:sz w:val="27"/>
          <w:rtl/>
        </w:rPr>
        <w:t>مة معرفة، ومتسل</w:t>
      </w:r>
      <w:r w:rsidR="0062087E" w:rsidRPr="00904FCB">
        <w:rPr>
          <w:rFonts w:hint="cs"/>
          <w:sz w:val="27"/>
          <w:rtl/>
        </w:rPr>
        <w:t>ِّ</w:t>
      </w:r>
      <w:r w:rsidRPr="00904FCB">
        <w:rPr>
          <w:rFonts w:hint="cs"/>
          <w:sz w:val="27"/>
          <w:rtl/>
        </w:rPr>
        <w:t>طة تقنية</w:t>
      </w:r>
      <w:r w:rsidRPr="00904FCB">
        <w:rPr>
          <w:rFonts w:hint="eastAsia"/>
          <w:sz w:val="27"/>
          <w:rtl/>
        </w:rPr>
        <w:t>»</w:t>
      </w:r>
      <w:r w:rsidR="0062087E" w:rsidRPr="00904FCB">
        <w:rPr>
          <w:rFonts w:ascii="Arial" w:hAnsi="Arial"/>
          <w:sz w:val="27"/>
          <w:vertAlign w:val="superscript"/>
          <w:rtl/>
        </w:rPr>
        <w:t>(</w:t>
      </w:r>
      <w:r w:rsidR="0062087E" w:rsidRPr="00904FCB">
        <w:rPr>
          <w:rStyle w:val="ac"/>
          <w:rFonts w:ascii="Arial" w:hAnsi="Arial"/>
          <w:sz w:val="27"/>
          <w:rtl/>
        </w:rPr>
        <w:endnoteReference w:id="524"/>
      </w:r>
      <w:r w:rsidR="0062087E" w:rsidRPr="00904FCB">
        <w:rPr>
          <w:rFonts w:ascii="Arial" w:hAnsi="Arial"/>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rPr>
      </w:pPr>
      <w:r w:rsidRPr="00904FCB">
        <w:rPr>
          <w:rFonts w:hint="cs"/>
          <w:sz w:val="27"/>
          <w:rtl/>
        </w:rPr>
        <w:t xml:space="preserve"> وعليه فإن</w:t>
      </w:r>
      <w:r w:rsidR="0062087E" w:rsidRPr="00904FCB">
        <w:rPr>
          <w:rFonts w:hint="cs"/>
          <w:sz w:val="27"/>
          <w:rtl/>
        </w:rPr>
        <w:t>ّ</w:t>
      </w:r>
      <w:r w:rsidRPr="00904FCB">
        <w:rPr>
          <w:rFonts w:hint="cs"/>
          <w:sz w:val="27"/>
          <w:rtl/>
        </w:rPr>
        <w:t>ه</w:t>
      </w:r>
      <w:r w:rsidRPr="00904FCB">
        <w:rPr>
          <w:rFonts w:ascii="Arial" w:hAnsi="Arial" w:hint="cs"/>
          <w:sz w:val="27"/>
          <w:rtl/>
        </w:rPr>
        <w:t xml:space="preserve"> لا بديل عن التطبيق الإسلامي لحداثة</w:t>
      </w:r>
      <w:r w:rsidR="0062087E" w:rsidRPr="00904FCB">
        <w:rPr>
          <w:rFonts w:ascii="Arial" w:hAnsi="Arial" w:hint="cs"/>
          <w:sz w:val="27"/>
          <w:rtl/>
        </w:rPr>
        <w:t>ٍ</w:t>
      </w:r>
      <w:r w:rsidRPr="00904FCB">
        <w:rPr>
          <w:rFonts w:ascii="Arial" w:hAnsi="Arial" w:hint="cs"/>
          <w:sz w:val="27"/>
          <w:rtl/>
        </w:rPr>
        <w:t xml:space="preserve"> خاص</w:t>
      </w:r>
      <w:r w:rsidR="0062087E" w:rsidRPr="00904FCB">
        <w:rPr>
          <w:rFonts w:ascii="Arial" w:hAnsi="Arial" w:hint="cs"/>
          <w:sz w:val="27"/>
          <w:rtl/>
        </w:rPr>
        <w:t>ّ</w:t>
      </w:r>
      <w:r w:rsidRPr="00904FCB">
        <w:rPr>
          <w:rFonts w:ascii="Arial" w:hAnsi="Arial" w:hint="cs"/>
          <w:sz w:val="27"/>
          <w:rtl/>
        </w:rPr>
        <w:t>ة به. فهذا التطبيق هو القادر على تجنيب البشرية نكسة التطبيق الغربي للحداثة</w:t>
      </w:r>
      <w:r w:rsidR="0062087E" w:rsidRPr="00904FCB">
        <w:rPr>
          <w:rFonts w:ascii="Arial" w:hAnsi="Arial" w:hint="cs"/>
          <w:sz w:val="27"/>
          <w:rtl/>
        </w:rPr>
        <w:t>؛</w:t>
      </w:r>
      <w:r w:rsidRPr="00904FCB">
        <w:rPr>
          <w:rFonts w:ascii="Arial" w:hAnsi="Arial" w:hint="cs"/>
          <w:sz w:val="27"/>
          <w:rtl/>
        </w:rPr>
        <w:t xml:space="preserve"> لأنَّ الزمن الأخلاقي للإسلام غني</w:t>
      </w:r>
      <w:r w:rsidR="0062087E" w:rsidRPr="00904FCB">
        <w:rPr>
          <w:rFonts w:ascii="Arial" w:hAnsi="Arial" w:hint="cs"/>
          <w:sz w:val="27"/>
          <w:rtl/>
        </w:rPr>
        <w:t>ٌّ</w:t>
      </w:r>
      <w:r w:rsidRPr="00904FCB">
        <w:rPr>
          <w:rFonts w:ascii="Arial" w:hAnsi="Arial" w:hint="cs"/>
          <w:sz w:val="27"/>
          <w:rtl/>
        </w:rPr>
        <w:t xml:space="preserve"> بأبعاده الأخلاقية المعنوية على مستوى الفعل، وأبعاده الروحية على مستوى العقائد والتصو</w:t>
      </w:r>
      <w:r w:rsidR="0062087E" w:rsidRPr="00904FCB">
        <w:rPr>
          <w:rFonts w:ascii="Arial" w:hAnsi="Arial" w:hint="cs"/>
          <w:sz w:val="27"/>
          <w:rtl/>
        </w:rPr>
        <w:t>ّ</w:t>
      </w:r>
      <w:r w:rsidRPr="00904FCB">
        <w:rPr>
          <w:rFonts w:ascii="Arial" w:hAnsi="Arial" w:hint="cs"/>
          <w:sz w:val="27"/>
          <w:rtl/>
        </w:rPr>
        <w:t>رات، وأبعاده الإحسانية على مستوى المقاصد والنيَّات، وهو عين ما افتقدته وتفتقده حداثة الغرب</w:t>
      </w:r>
      <w:r w:rsidR="0062087E" w:rsidRPr="00904FCB">
        <w:rPr>
          <w:rFonts w:ascii="Arial" w:hAnsi="Arial"/>
          <w:sz w:val="27"/>
          <w:vertAlign w:val="superscript"/>
          <w:rtl/>
        </w:rPr>
        <w:t>(</w:t>
      </w:r>
      <w:r w:rsidR="0062087E" w:rsidRPr="00904FCB">
        <w:rPr>
          <w:rStyle w:val="ac"/>
          <w:rFonts w:ascii="Arial" w:hAnsi="Arial"/>
          <w:sz w:val="27"/>
          <w:rtl/>
        </w:rPr>
        <w:endnoteReference w:id="525"/>
      </w:r>
      <w:r w:rsidR="0062087E" w:rsidRPr="00904FCB">
        <w:rPr>
          <w:rFonts w:ascii="Arial" w:hAnsi="Arial"/>
          <w:sz w:val="27"/>
          <w:vertAlign w:val="superscript"/>
          <w:rtl/>
        </w:rPr>
        <w:t>)</w:t>
      </w:r>
      <w:r w:rsidRPr="00904FCB">
        <w:rPr>
          <w:rFonts w:ascii="Arial" w:hAnsi="Arial" w:hint="cs"/>
          <w:sz w:val="27"/>
          <w:rtl/>
        </w:rPr>
        <w:t xml:space="preserve">. </w:t>
      </w:r>
    </w:p>
    <w:p w:rsidR="00625F5D" w:rsidRPr="00904FCB" w:rsidRDefault="00625F5D" w:rsidP="007A21AA">
      <w:pPr>
        <w:spacing w:line="400" w:lineRule="exact"/>
        <w:rPr>
          <w:sz w:val="27"/>
          <w:rtl/>
          <w:lang w:bidi="ar-DZ"/>
        </w:rPr>
      </w:pPr>
    </w:p>
    <w:p w:rsidR="00625F5D" w:rsidRPr="00904FCB" w:rsidRDefault="00625F5D" w:rsidP="007A21AA">
      <w:pPr>
        <w:pStyle w:val="31"/>
        <w:spacing w:line="400" w:lineRule="exact"/>
        <w:rPr>
          <w:color w:val="auto"/>
          <w:rtl/>
          <w:lang w:bidi="ar-DZ"/>
        </w:rPr>
      </w:pPr>
      <w:r w:rsidRPr="00904FCB">
        <w:rPr>
          <w:rFonts w:hint="cs"/>
          <w:color w:val="auto"/>
          <w:rtl/>
          <w:lang w:bidi="ar-DZ"/>
        </w:rPr>
        <w:t>سادساً: الحداثة... العولمة... التدخ</w:t>
      </w:r>
      <w:r w:rsidR="0062087E" w:rsidRPr="00904FCB">
        <w:rPr>
          <w:rFonts w:hint="cs"/>
          <w:color w:val="auto"/>
          <w:rtl/>
          <w:lang w:bidi="ar-DZ"/>
        </w:rPr>
        <w:t>ُّ</w:t>
      </w:r>
      <w:r w:rsidRPr="00904FCB">
        <w:rPr>
          <w:rFonts w:hint="cs"/>
          <w:color w:val="auto"/>
          <w:rtl/>
          <w:lang w:bidi="ar-DZ"/>
        </w:rPr>
        <w:t xml:space="preserve">ل الأجنبي </w:t>
      </w:r>
    </w:p>
    <w:p w:rsidR="00625F5D" w:rsidRPr="00904FCB" w:rsidRDefault="00625F5D" w:rsidP="007A21AA">
      <w:pPr>
        <w:spacing w:line="400" w:lineRule="exact"/>
        <w:rPr>
          <w:sz w:val="27"/>
          <w:rtl/>
        </w:rPr>
      </w:pPr>
      <w:r w:rsidRPr="00904FCB">
        <w:rPr>
          <w:rFonts w:ascii="Arial" w:hAnsi="Arial" w:hint="cs"/>
          <w:sz w:val="27"/>
          <w:rtl/>
        </w:rPr>
        <w:t>لنتساءل</w:t>
      </w:r>
      <w:r w:rsidRPr="00904FCB">
        <w:rPr>
          <w:rFonts w:hint="cs"/>
          <w:sz w:val="27"/>
          <w:rtl/>
        </w:rPr>
        <w:t>: ما علاقة الحداثة بالعولمة؟ وهل العولمة شكل</w:t>
      </w:r>
      <w:r w:rsidR="0062087E" w:rsidRPr="00904FCB">
        <w:rPr>
          <w:rFonts w:hint="cs"/>
          <w:sz w:val="27"/>
          <w:rtl/>
        </w:rPr>
        <w:t>ٌ</w:t>
      </w:r>
      <w:r w:rsidRPr="00904FCB">
        <w:rPr>
          <w:rFonts w:hint="cs"/>
          <w:sz w:val="27"/>
          <w:rtl/>
        </w:rPr>
        <w:t xml:space="preserve"> من أشكال الاستعمار الغربي الجديد، ووسيلة لتعميق تبعية دول العالم الثالث لدول المركز الغربي؟ </w:t>
      </w:r>
    </w:p>
    <w:p w:rsidR="00625F5D" w:rsidRPr="00904FCB" w:rsidRDefault="00625F5D" w:rsidP="007A21AA">
      <w:pPr>
        <w:spacing w:line="400" w:lineRule="exact"/>
        <w:rPr>
          <w:rFonts w:ascii="Arial" w:hAnsi="Arial"/>
          <w:sz w:val="27"/>
          <w:rtl/>
        </w:rPr>
      </w:pPr>
      <w:r w:rsidRPr="00904FCB">
        <w:rPr>
          <w:rFonts w:ascii="Arial" w:hAnsi="Arial" w:hint="cs"/>
          <w:sz w:val="27"/>
          <w:rtl/>
        </w:rPr>
        <w:t xml:space="preserve"> إن كونية قيم الحداثة الغربية ليست كونيةً إطلاقية، وإنما كونية سياقية؛ لأن التطبيق الحداثي الغربي الذي نشهده ونحياه غير كوني، وإنما هو تطبيق محل</w:t>
      </w:r>
      <w:r w:rsidR="00567D6D" w:rsidRPr="00904FCB">
        <w:rPr>
          <w:rFonts w:ascii="Arial" w:hAnsi="Arial" w:hint="cs"/>
          <w:sz w:val="27"/>
          <w:rtl/>
        </w:rPr>
        <w:t>ّ</w:t>
      </w:r>
      <w:r w:rsidRPr="00904FCB">
        <w:rPr>
          <w:rFonts w:ascii="Arial" w:hAnsi="Arial" w:hint="cs"/>
          <w:sz w:val="27"/>
          <w:rtl/>
        </w:rPr>
        <w:t>ي تولّى أصحابه إلزام الشعوب به، وفرضه على واقعها، فهو محل</w:t>
      </w:r>
      <w:r w:rsidR="00567D6D" w:rsidRPr="00904FCB">
        <w:rPr>
          <w:rFonts w:ascii="Arial" w:hAnsi="Arial" w:hint="cs"/>
          <w:sz w:val="27"/>
          <w:rtl/>
        </w:rPr>
        <w:t>ّ</w:t>
      </w:r>
      <w:r w:rsidRPr="00904FCB">
        <w:rPr>
          <w:rFonts w:ascii="Arial" w:hAnsi="Arial" w:hint="cs"/>
          <w:sz w:val="27"/>
          <w:rtl/>
        </w:rPr>
        <w:t>ي رُفع عنوة</w:t>
      </w:r>
      <w:r w:rsidR="00567D6D" w:rsidRPr="00904FCB">
        <w:rPr>
          <w:rFonts w:ascii="Arial" w:hAnsi="Arial" w:hint="cs"/>
          <w:sz w:val="27"/>
          <w:rtl/>
        </w:rPr>
        <w:t>ً</w:t>
      </w:r>
      <w:r w:rsidRPr="00904FCB">
        <w:rPr>
          <w:rFonts w:ascii="Arial" w:hAnsi="Arial" w:hint="cs"/>
          <w:sz w:val="27"/>
          <w:rtl/>
        </w:rPr>
        <w:t xml:space="preserve"> إلى رتبة الكوني. </w:t>
      </w:r>
    </w:p>
    <w:p w:rsidR="00625F5D" w:rsidRPr="00904FCB" w:rsidRDefault="00625F5D" w:rsidP="007A21AA">
      <w:pPr>
        <w:spacing w:line="400" w:lineRule="exact"/>
        <w:rPr>
          <w:sz w:val="27"/>
          <w:rtl/>
        </w:rPr>
      </w:pPr>
      <w:r w:rsidRPr="00904FCB">
        <w:rPr>
          <w:rFonts w:ascii="Arial" w:hAnsi="Arial" w:hint="cs"/>
          <w:sz w:val="27"/>
          <w:rtl/>
        </w:rPr>
        <w:t>فال</w:t>
      </w:r>
      <w:r w:rsidRPr="00904FCB">
        <w:rPr>
          <w:rFonts w:hint="cs"/>
          <w:sz w:val="27"/>
          <w:rtl/>
        </w:rPr>
        <w:t>حداثة ظاهرة</w:t>
      </w:r>
      <w:r w:rsidR="00567D6D" w:rsidRPr="00904FCB">
        <w:rPr>
          <w:rFonts w:hint="cs"/>
          <w:sz w:val="27"/>
          <w:rtl/>
        </w:rPr>
        <w:t>ٌ</w:t>
      </w:r>
      <w:r w:rsidRPr="00904FCB">
        <w:rPr>
          <w:rFonts w:hint="cs"/>
          <w:sz w:val="27"/>
          <w:rtl/>
        </w:rPr>
        <w:t xml:space="preserve"> مرتبطة بالغرب</w:t>
      </w:r>
      <w:r w:rsidR="00567D6D" w:rsidRPr="00904FCB">
        <w:rPr>
          <w:rFonts w:hint="cs"/>
          <w:sz w:val="27"/>
          <w:rtl/>
        </w:rPr>
        <w:t>.</w:t>
      </w:r>
      <w:r w:rsidRPr="00904FCB">
        <w:rPr>
          <w:rFonts w:hint="cs"/>
          <w:sz w:val="27"/>
          <w:rtl/>
        </w:rPr>
        <w:t xml:space="preserve"> وفي هذا السياق يرى فرنسيس فوكوياما</w:t>
      </w:r>
      <w:r w:rsidRPr="00904FCB">
        <w:rPr>
          <w:sz w:val="27"/>
          <w:vertAlign w:val="superscript"/>
          <w:rtl/>
        </w:rPr>
        <w:t>(</w:t>
      </w:r>
      <w:r w:rsidRPr="00904FCB">
        <w:rPr>
          <w:rStyle w:val="ac"/>
          <w:sz w:val="27"/>
          <w:rtl/>
        </w:rPr>
        <w:endnoteReference w:id="526"/>
      </w:r>
      <w:r w:rsidRPr="00904FCB">
        <w:rPr>
          <w:sz w:val="27"/>
          <w:vertAlign w:val="superscript"/>
          <w:rtl/>
        </w:rPr>
        <w:t>)</w:t>
      </w:r>
      <w:r w:rsidRPr="00904FCB">
        <w:rPr>
          <w:rFonts w:hint="cs"/>
          <w:sz w:val="27"/>
          <w:rtl/>
        </w:rPr>
        <w:t xml:space="preserve"> أن الصراع الدولي الذي كان يتجس</w:t>
      </w:r>
      <w:r w:rsidR="00567D6D" w:rsidRPr="00904FCB">
        <w:rPr>
          <w:rFonts w:hint="cs"/>
          <w:sz w:val="27"/>
          <w:rtl/>
        </w:rPr>
        <w:t>َّ</w:t>
      </w:r>
      <w:r w:rsidRPr="00904FCB">
        <w:rPr>
          <w:rFonts w:hint="cs"/>
          <w:sz w:val="27"/>
          <w:rtl/>
        </w:rPr>
        <w:t>د في المرحلة السابقة بين قطبين</w:t>
      </w:r>
      <w:r w:rsidR="00567D6D" w:rsidRPr="00904FCB">
        <w:rPr>
          <w:rFonts w:hint="cs"/>
          <w:sz w:val="27"/>
          <w:rtl/>
        </w:rPr>
        <w:t xml:space="preserve"> </w:t>
      </w:r>
      <w:r w:rsidRPr="00904FCB">
        <w:rPr>
          <w:rFonts w:hint="cs"/>
          <w:sz w:val="27"/>
          <w:rtl/>
        </w:rPr>
        <w:t>قد حسم لصالح القطب الغربي، بعد حصول ما يشبه الإجماع حول الديمقراطية الليبرالية كأصلح نظام للحكم، وأن منطق العلوم الطبيعية الحديثة يفرض على العالم تطورا</w:t>
      </w:r>
      <w:r w:rsidR="00567D6D" w:rsidRPr="00904FCB">
        <w:rPr>
          <w:rFonts w:hint="cs"/>
          <w:sz w:val="27"/>
          <w:rtl/>
        </w:rPr>
        <w:t>ً</w:t>
      </w:r>
      <w:r w:rsidRPr="00904FCB">
        <w:rPr>
          <w:rFonts w:hint="cs"/>
          <w:sz w:val="27"/>
          <w:rtl/>
        </w:rPr>
        <w:t xml:space="preserve"> شاملا</w:t>
      </w:r>
      <w:r w:rsidR="00567D6D" w:rsidRPr="00904FCB">
        <w:rPr>
          <w:rFonts w:hint="cs"/>
          <w:sz w:val="27"/>
          <w:rtl/>
        </w:rPr>
        <w:t>ً</w:t>
      </w:r>
      <w:r w:rsidRPr="00904FCB">
        <w:rPr>
          <w:rFonts w:hint="cs"/>
          <w:sz w:val="27"/>
          <w:rtl/>
        </w:rPr>
        <w:t xml:space="preserve"> يت</w:t>
      </w:r>
      <w:r w:rsidR="00567D6D" w:rsidRPr="00904FCB">
        <w:rPr>
          <w:rFonts w:hint="cs"/>
          <w:sz w:val="27"/>
          <w:rtl/>
        </w:rPr>
        <w:t>َّ</w:t>
      </w:r>
      <w:r w:rsidRPr="00904FCB">
        <w:rPr>
          <w:rFonts w:hint="cs"/>
          <w:sz w:val="27"/>
          <w:rtl/>
        </w:rPr>
        <w:t>جه نحو الرأسمالية والسوق الحر</w:t>
      </w:r>
      <w:r w:rsidR="00567D6D" w:rsidRPr="00904FCB">
        <w:rPr>
          <w:rFonts w:hint="cs"/>
          <w:sz w:val="27"/>
          <w:rtl/>
        </w:rPr>
        <w:t>ّ</w:t>
      </w:r>
      <w:r w:rsidRPr="00904FCB">
        <w:rPr>
          <w:rFonts w:hint="cs"/>
          <w:sz w:val="27"/>
          <w:rtl/>
        </w:rPr>
        <w:t>ة، وهو الشكل الذي يحد</w:t>
      </w:r>
      <w:r w:rsidR="00567D6D" w:rsidRPr="00904FCB">
        <w:rPr>
          <w:rFonts w:hint="cs"/>
          <w:sz w:val="27"/>
          <w:rtl/>
        </w:rPr>
        <w:t>ّ</w:t>
      </w:r>
      <w:r w:rsidRPr="00904FCB">
        <w:rPr>
          <w:rFonts w:hint="cs"/>
          <w:sz w:val="27"/>
          <w:rtl/>
        </w:rPr>
        <w:t xml:space="preserve">د من خلاله (فوكوياما) نهاية التاريخ. </w:t>
      </w:r>
    </w:p>
    <w:p w:rsidR="00625F5D" w:rsidRPr="00904FCB" w:rsidRDefault="00625F5D" w:rsidP="00CC2151">
      <w:pPr>
        <w:spacing w:line="400" w:lineRule="exact"/>
        <w:rPr>
          <w:sz w:val="27"/>
          <w:rtl/>
        </w:rPr>
      </w:pPr>
      <w:r w:rsidRPr="00904FCB">
        <w:rPr>
          <w:rFonts w:hint="cs"/>
          <w:sz w:val="27"/>
          <w:rtl/>
        </w:rPr>
        <w:t>كما أن صموئيل هنتنجتون</w:t>
      </w:r>
      <w:r w:rsidRPr="00904FCB">
        <w:rPr>
          <w:sz w:val="27"/>
          <w:vertAlign w:val="superscript"/>
          <w:rtl/>
        </w:rPr>
        <w:t>(</w:t>
      </w:r>
      <w:r w:rsidRPr="00904FCB">
        <w:rPr>
          <w:rStyle w:val="ac"/>
          <w:sz w:val="27"/>
          <w:rtl/>
        </w:rPr>
        <w:endnoteReference w:id="527"/>
      </w:r>
      <w:r w:rsidRPr="00904FCB">
        <w:rPr>
          <w:sz w:val="27"/>
          <w:vertAlign w:val="superscript"/>
          <w:rtl/>
        </w:rPr>
        <w:t>)</w:t>
      </w:r>
      <w:r w:rsidRPr="00904FCB">
        <w:rPr>
          <w:rFonts w:hint="cs"/>
          <w:sz w:val="27"/>
          <w:rtl/>
        </w:rPr>
        <w:t xml:space="preserve"> يقسم العالم إلى قسمين: الغرب من جهة</w:t>
      </w:r>
      <w:r w:rsidR="00CC2151">
        <w:rPr>
          <w:rFonts w:hint="cs"/>
          <w:sz w:val="27"/>
          <w:rtl/>
        </w:rPr>
        <w:t>ٍ؛</w:t>
      </w:r>
      <w:r w:rsidRPr="00904FCB">
        <w:rPr>
          <w:rFonts w:hint="cs"/>
          <w:sz w:val="27"/>
          <w:rtl/>
        </w:rPr>
        <w:t xml:space="preserve"> وبقية العالم من جهة</w:t>
      </w:r>
      <w:r w:rsidR="00CC2151">
        <w:rPr>
          <w:rFonts w:hint="cs"/>
          <w:sz w:val="27"/>
          <w:rtl/>
        </w:rPr>
        <w:t>ٍ</w:t>
      </w:r>
      <w:r w:rsidRPr="00904FCB">
        <w:rPr>
          <w:rFonts w:hint="cs"/>
          <w:sz w:val="27"/>
          <w:rtl/>
        </w:rPr>
        <w:t xml:space="preserve"> أخرى</w:t>
      </w:r>
      <w:r w:rsidR="00567D6D" w:rsidRPr="00904FCB">
        <w:rPr>
          <w:rFonts w:hint="cs"/>
          <w:sz w:val="27"/>
          <w:rtl/>
        </w:rPr>
        <w:t>،</w:t>
      </w:r>
      <w:r w:rsidRPr="00904FCB">
        <w:rPr>
          <w:rFonts w:hint="cs"/>
          <w:sz w:val="27"/>
          <w:rtl/>
        </w:rPr>
        <w:t xml:space="preserve"> ويعتبر أن هناك نزوعا</w:t>
      </w:r>
      <w:r w:rsidR="00567D6D" w:rsidRPr="00904FCB">
        <w:rPr>
          <w:rFonts w:hint="cs"/>
          <w:sz w:val="27"/>
          <w:rtl/>
        </w:rPr>
        <w:t>ً</w:t>
      </w:r>
      <w:r w:rsidRPr="00904FCB">
        <w:rPr>
          <w:rFonts w:hint="cs"/>
          <w:sz w:val="27"/>
          <w:rtl/>
        </w:rPr>
        <w:t xml:space="preserve"> عالميا</w:t>
      </w:r>
      <w:r w:rsidR="00567D6D" w:rsidRPr="00904FCB">
        <w:rPr>
          <w:rFonts w:hint="cs"/>
          <w:sz w:val="27"/>
          <w:rtl/>
        </w:rPr>
        <w:t>ً</w:t>
      </w:r>
      <w:r w:rsidRPr="00904FCB">
        <w:rPr>
          <w:rFonts w:hint="cs"/>
          <w:sz w:val="27"/>
          <w:rtl/>
        </w:rPr>
        <w:t xml:space="preserve"> نحو الغرب، بل يقول</w:t>
      </w:r>
      <w:r w:rsidR="00567D6D" w:rsidRPr="00904FCB">
        <w:rPr>
          <w:rFonts w:hint="cs"/>
          <w:sz w:val="27"/>
          <w:rtl/>
        </w:rPr>
        <w:t>:</w:t>
      </w:r>
      <w:r w:rsidRPr="00904FCB">
        <w:rPr>
          <w:rFonts w:hint="cs"/>
          <w:sz w:val="27"/>
          <w:rtl/>
        </w:rPr>
        <w:t xml:space="preserve"> </w:t>
      </w:r>
      <w:r w:rsidR="00567D6D" w:rsidRPr="00904FCB">
        <w:rPr>
          <w:rFonts w:hint="cs"/>
          <w:sz w:val="27"/>
          <w:rtl/>
        </w:rPr>
        <w:t>إ</w:t>
      </w:r>
      <w:r w:rsidRPr="00904FCB">
        <w:rPr>
          <w:rFonts w:hint="cs"/>
          <w:sz w:val="27"/>
          <w:rtl/>
        </w:rPr>
        <w:t>ن الحداثة تعني في واقع الأمر الغرب، وكأن</w:t>
      </w:r>
      <w:r w:rsidR="00567D6D" w:rsidRPr="00904FCB">
        <w:rPr>
          <w:rFonts w:hint="cs"/>
          <w:sz w:val="27"/>
          <w:rtl/>
        </w:rPr>
        <w:t>ّ</w:t>
      </w:r>
      <w:r w:rsidRPr="00904FCB">
        <w:rPr>
          <w:rFonts w:hint="cs"/>
          <w:sz w:val="27"/>
          <w:rtl/>
        </w:rPr>
        <w:t>هما كلمتان مترادفتان، وبالتالي يكون التوج</w:t>
      </w:r>
      <w:r w:rsidR="00567D6D" w:rsidRPr="00904FCB">
        <w:rPr>
          <w:rFonts w:hint="cs"/>
          <w:sz w:val="27"/>
          <w:rtl/>
        </w:rPr>
        <w:t>ّ</w:t>
      </w:r>
      <w:r w:rsidRPr="00904FCB">
        <w:rPr>
          <w:rFonts w:hint="cs"/>
          <w:sz w:val="27"/>
          <w:rtl/>
        </w:rPr>
        <w:t xml:space="preserve">ه نحو الحداثة هو (التغريب). </w:t>
      </w:r>
    </w:p>
    <w:p w:rsidR="00625F5D" w:rsidRPr="00904FCB" w:rsidRDefault="00625F5D" w:rsidP="007A21AA">
      <w:pPr>
        <w:spacing w:line="400" w:lineRule="exact"/>
        <w:rPr>
          <w:sz w:val="27"/>
          <w:rtl/>
        </w:rPr>
      </w:pPr>
      <w:r w:rsidRPr="00904FCB">
        <w:rPr>
          <w:rFonts w:hint="cs"/>
          <w:sz w:val="27"/>
          <w:rtl/>
        </w:rPr>
        <w:t xml:space="preserve"> ويذهب الكاتب الجامايكي (نايبول</w:t>
      </w:r>
      <w:r w:rsidRPr="00904FCB">
        <w:rPr>
          <w:rFonts w:asciiTheme="majorBidi" w:hAnsiTheme="majorBidi"/>
          <w:sz w:val="27"/>
          <w:rtl/>
        </w:rPr>
        <w:t xml:space="preserve">) </w:t>
      </w:r>
      <w:r w:rsidRPr="00904FCB">
        <w:rPr>
          <w:rFonts w:asciiTheme="majorBidi" w:hAnsiTheme="majorBidi" w:cstheme="majorBidi"/>
          <w:sz w:val="22"/>
          <w:szCs w:val="22"/>
        </w:rPr>
        <w:t>Vidiadhar Surajprasad Naipau</w:t>
      </w:r>
      <w:r w:rsidRPr="00904FCB">
        <w:rPr>
          <w:rStyle w:val="ac"/>
          <w:sz w:val="27"/>
          <w:rtl/>
        </w:rPr>
        <w:t>(</w:t>
      </w:r>
      <w:r w:rsidRPr="00904FCB">
        <w:rPr>
          <w:rStyle w:val="ac"/>
          <w:sz w:val="27"/>
          <w:rtl/>
        </w:rPr>
        <w:endnoteReference w:id="528"/>
      </w:r>
      <w:r w:rsidRPr="00904FCB">
        <w:rPr>
          <w:rStyle w:val="ac"/>
          <w:sz w:val="27"/>
          <w:rtl/>
        </w:rPr>
        <w:t>)</w:t>
      </w:r>
      <w:r w:rsidRPr="00904FCB">
        <w:rPr>
          <w:rFonts w:hint="cs"/>
          <w:sz w:val="27"/>
          <w:rtl/>
        </w:rPr>
        <w:t xml:space="preserve"> إلى </w:t>
      </w:r>
      <w:r w:rsidRPr="00904FCB">
        <w:rPr>
          <w:rFonts w:hint="cs"/>
          <w:sz w:val="27"/>
          <w:rtl/>
        </w:rPr>
        <w:lastRenderedPageBreak/>
        <w:t xml:space="preserve">أبعد من ذلك، حيث يعتبر أن </w:t>
      </w:r>
      <w:r w:rsidRPr="00904FCB">
        <w:rPr>
          <w:rFonts w:hint="eastAsia"/>
          <w:sz w:val="27"/>
          <w:rtl/>
        </w:rPr>
        <w:t>«</w:t>
      </w:r>
      <w:r w:rsidRPr="00904FCB">
        <w:rPr>
          <w:rFonts w:hint="cs"/>
          <w:sz w:val="27"/>
          <w:rtl/>
        </w:rPr>
        <w:t>الحضارة الغربية هي الحضارة العالمية التي تناسب كل الناس</w:t>
      </w:r>
      <w:r w:rsidRPr="00904FCB">
        <w:rPr>
          <w:rFonts w:hint="eastAsia"/>
          <w:sz w:val="27"/>
          <w:rtl/>
        </w:rPr>
        <w:t>»</w:t>
      </w:r>
      <w:r w:rsidR="00567D6D" w:rsidRPr="00904FCB">
        <w:rPr>
          <w:rFonts w:hint="cs"/>
          <w:sz w:val="27"/>
          <w:rtl/>
        </w:rPr>
        <w:t>،</w:t>
      </w:r>
      <w:r w:rsidRPr="00904FCB">
        <w:rPr>
          <w:rFonts w:hint="cs"/>
          <w:sz w:val="27"/>
          <w:rtl/>
        </w:rPr>
        <w:t xml:space="preserve"> أي </w:t>
      </w:r>
      <w:r w:rsidR="00567D6D" w:rsidRPr="00904FCB">
        <w:rPr>
          <w:rFonts w:hint="cs"/>
          <w:sz w:val="27"/>
          <w:rtl/>
        </w:rPr>
        <w:t>إ</w:t>
      </w:r>
      <w:r w:rsidRPr="00904FCB">
        <w:rPr>
          <w:rFonts w:hint="cs"/>
          <w:sz w:val="27"/>
          <w:rtl/>
        </w:rPr>
        <w:t>نها الحالة الطبيعية بالنسبة لحياة الإنسان، والخروج عنها لا يكون إلا</w:t>
      </w:r>
      <w:r w:rsidR="00567D6D" w:rsidRPr="00904FCB">
        <w:rPr>
          <w:rFonts w:hint="cs"/>
          <w:sz w:val="27"/>
          <w:rtl/>
        </w:rPr>
        <w:t>ّ</w:t>
      </w:r>
      <w:r w:rsidRPr="00904FCB">
        <w:rPr>
          <w:rFonts w:hint="cs"/>
          <w:sz w:val="27"/>
          <w:rtl/>
        </w:rPr>
        <w:t xml:space="preserve"> من قبيل الشذوذ</w:t>
      </w:r>
      <w:r w:rsidRPr="00904FCB">
        <w:rPr>
          <w:sz w:val="27"/>
          <w:vertAlign w:val="superscript"/>
          <w:rtl/>
        </w:rPr>
        <w:t>(</w:t>
      </w:r>
      <w:r w:rsidRPr="00904FCB">
        <w:rPr>
          <w:rStyle w:val="ac"/>
          <w:sz w:val="27"/>
          <w:rtl/>
        </w:rPr>
        <w:endnoteReference w:id="529"/>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rPr>
      </w:pPr>
      <w:r w:rsidRPr="00904FCB">
        <w:rPr>
          <w:rFonts w:hint="cs"/>
          <w:sz w:val="27"/>
          <w:rtl/>
        </w:rPr>
        <w:t>إن مثل هذا المنطق هو المرتكز الفكري الذي تستند عليه نزعة الهيمنة السائدة لدى الغرب</w:t>
      </w:r>
      <w:r w:rsidR="00567D6D" w:rsidRPr="00904FCB">
        <w:rPr>
          <w:rFonts w:hint="cs"/>
          <w:sz w:val="27"/>
          <w:rtl/>
        </w:rPr>
        <w:t>،</w:t>
      </w:r>
      <w:r w:rsidRPr="00904FCB">
        <w:rPr>
          <w:rFonts w:hint="cs"/>
          <w:sz w:val="27"/>
          <w:rtl/>
        </w:rPr>
        <w:t xml:space="preserve"> والتي تكر</w:t>
      </w:r>
      <w:r w:rsidR="00567D6D" w:rsidRPr="00904FCB">
        <w:rPr>
          <w:rFonts w:hint="cs"/>
          <w:sz w:val="27"/>
          <w:rtl/>
        </w:rPr>
        <w:t>ِّ</w:t>
      </w:r>
      <w:r w:rsidRPr="00904FCB">
        <w:rPr>
          <w:rFonts w:hint="cs"/>
          <w:sz w:val="27"/>
          <w:rtl/>
        </w:rPr>
        <w:t>سه الولايات المتحدة الأمريكية، التي أصبحت تبيح لنفسها التدخ</w:t>
      </w:r>
      <w:r w:rsidR="00567D6D" w:rsidRPr="00904FCB">
        <w:rPr>
          <w:rFonts w:hint="cs"/>
          <w:sz w:val="27"/>
          <w:rtl/>
        </w:rPr>
        <w:t>ُّ</w:t>
      </w:r>
      <w:r w:rsidRPr="00904FCB">
        <w:rPr>
          <w:rFonts w:hint="cs"/>
          <w:sz w:val="27"/>
          <w:rtl/>
        </w:rPr>
        <w:t>ل العسكري ـ ولو خارج إطار الشرعية الدولية ـ لاحتلال الدول التي تعتبرها متمر</w:t>
      </w:r>
      <w:r w:rsidR="00567D6D" w:rsidRPr="00904FCB">
        <w:rPr>
          <w:rFonts w:hint="cs"/>
          <w:sz w:val="27"/>
          <w:rtl/>
        </w:rPr>
        <w:t>ِّ</w:t>
      </w:r>
      <w:r w:rsidRPr="00904FCB">
        <w:rPr>
          <w:rFonts w:hint="cs"/>
          <w:sz w:val="27"/>
          <w:rtl/>
        </w:rPr>
        <w:t>دة على الغرب</w:t>
      </w:r>
      <w:r w:rsidR="00567D6D" w:rsidRPr="00904FCB">
        <w:rPr>
          <w:rFonts w:hint="cs"/>
          <w:sz w:val="27"/>
          <w:rtl/>
        </w:rPr>
        <w:t>؛</w:t>
      </w:r>
      <w:r w:rsidRPr="00904FCB">
        <w:rPr>
          <w:rFonts w:hint="cs"/>
          <w:sz w:val="27"/>
          <w:rtl/>
        </w:rPr>
        <w:t xml:space="preserve"> لتجعل منها دولا</w:t>
      </w:r>
      <w:r w:rsidR="00567D6D" w:rsidRPr="00904FCB">
        <w:rPr>
          <w:rFonts w:hint="cs"/>
          <w:sz w:val="27"/>
          <w:rtl/>
        </w:rPr>
        <w:t>ً</w:t>
      </w:r>
      <w:r w:rsidRPr="00904FCB">
        <w:rPr>
          <w:rFonts w:hint="cs"/>
          <w:sz w:val="27"/>
          <w:rtl/>
        </w:rPr>
        <w:t xml:space="preserve"> ديمقراطية حديثة</w:t>
      </w:r>
      <w:r w:rsidR="00567D6D" w:rsidRPr="00904FCB">
        <w:rPr>
          <w:rFonts w:hint="cs"/>
          <w:sz w:val="27"/>
          <w:rtl/>
        </w:rPr>
        <w:t>،</w:t>
      </w:r>
      <w:r w:rsidRPr="00904FCB">
        <w:rPr>
          <w:rFonts w:hint="cs"/>
          <w:sz w:val="27"/>
          <w:rtl/>
        </w:rPr>
        <w:t xml:space="preserve"> وفق التصو</w:t>
      </w:r>
      <w:r w:rsidR="00567D6D" w:rsidRPr="00904FCB">
        <w:rPr>
          <w:rFonts w:hint="cs"/>
          <w:sz w:val="27"/>
          <w:rtl/>
        </w:rPr>
        <w:t>ُّ</w:t>
      </w:r>
      <w:r w:rsidRPr="00904FCB">
        <w:rPr>
          <w:rFonts w:hint="cs"/>
          <w:sz w:val="27"/>
          <w:rtl/>
        </w:rPr>
        <w:t xml:space="preserve">ر الغربي الأمريكي. </w:t>
      </w:r>
    </w:p>
    <w:p w:rsidR="00625F5D" w:rsidRPr="00904FCB" w:rsidRDefault="00625F5D" w:rsidP="007A21AA">
      <w:pPr>
        <w:spacing w:line="400" w:lineRule="exact"/>
        <w:rPr>
          <w:sz w:val="27"/>
          <w:rtl/>
        </w:rPr>
      </w:pPr>
      <w:r w:rsidRPr="00904FCB">
        <w:rPr>
          <w:rFonts w:hint="cs"/>
          <w:sz w:val="27"/>
          <w:rtl/>
        </w:rPr>
        <w:t>ولا يقتصر هدف هذه الذريعة على فرض التغريب أو (الأمركة)</w:t>
      </w:r>
      <w:r w:rsidR="00567D6D" w:rsidRPr="00904FCB">
        <w:rPr>
          <w:rFonts w:hint="cs"/>
          <w:sz w:val="27"/>
          <w:rtl/>
        </w:rPr>
        <w:t>،</w:t>
      </w:r>
      <w:r w:rsidRPr="00904FCB">
        <w:rPr>
          <w:rFonts w:hint="cs"/>
          <w:sz w:val="27"/>
          <w:rtl/>
        </w:rPr>
        <w:t xml:space="preserve"> وإنما هناك أهداف أخرى</w:t>
      </w:r>
      <w:r w:rsidR="00567D6D" w:rsidRPr="00904FCB">
        <w:rPr>
          <w:rFonts w:hint="cs"/>
          <w:sz w:val="27"/>
          <w:rtl/>
        </w:rPr>
        <w:t>،</w:t>
      </w:r>
      <w:r w:rsidRPr="00904FCB">
        <w:rPr>
          <w:rFonts w:hint="cs"/>
          <w:sz w:val="27"/>
          <w:rtl/>
        </w:rPr>
        <w:t xml:space="preserve"> من أهم</w:t>
      </w:r>
      <w:r w:rsidR="00567D6D" w:rsidRPr="00904FCB">
        <w:rPr>
          <w:rFonts w:hint="cs"/>
          <w:sz w:val="27"/>
          <w:rtl/>
        </w:rPr>
        <w:t>ّ</w:t>
      </w:r>
      <w:r w:rsidRPr="00904FCB">
        <w:rPr>
          <w:rFonts w:hint="cs"/>
          <w:sz w:val="27"/>
          <w:rtl/>
        </w:rPr>
        <w:t>ها</w:t>
      </w:r>
      <w:r w:rsidR="00567D6D" w:rsidRPr="00904FCB">
        <w:rPr>
          <w:rFonts w:hint="cs"/>
          <w:sz w:val="27"/>
          <w:rtl/>
        </w:rPr>
        <w:t>:</w:t>
      </w:r>
      <w:r w:rsidRPr="00904FCB">
        <w:rPr>
          <w:rFonts w:hint="cs"/>
          <w:sz w:val="27"/>
          <w:rtl/>
        </w:rPr>
        <w:t xml:space="preserve"> تأمين استمرار الرفاهية والقوة والتفو</w:t>
      </w:r>
      <w:r w:rsidR="00567D6D" w:rsidRPr="00904FCB">
        <w:rPr>
          <w:rFonts w:hint="cs"/>
          <w:sz w:val="27"/>
          <w:rtl/>
        </w:rPr>
        <w:t>ُّ</w:t>
      </w:r>
      <w:r w:rsidRPr="00904FCB">
        <w:rPr>
          <w:rFonts w:hint="cs"/>
          <w:sz w:val="27"/>
          <w:rtl/>
        </w:rPr>
        <w:t>ق لنفسها بوضع اليد على منابع الثروات الطبيعية الموجودة في العالم الثالث المغلوب على أمره، والذي ليس من حق</w:t>
      </w:r>
      <w:r w:rsidR="00567D6D" w:rsidRPr="00904FCB">
        <w:rPr>
          <w:rFonts w:hint="cs"/>
          <w:sz w:val="27"/>
          <w:rtl/>
        </w:rPr>
        <w:t>ِّ</w:t>
      </w:r>
      <w:r w:rsidRPr="00904FCB">
        <w:rPr>
          <w:rFonts w:hint="cs"/>
          <w:sz w:val="27"/>
          <w:rtl/>
        </w:rPr>
        <w:t>ه إلا</w:t>
      </w:r>
      <w:r w:rsidR="00567D6D" w:rsidRPr="00904FCB">
        <w:rPr>
          <w:rFonts w:hint="cs"/>
          <w:sz w:val="27"/>
          <w:rtl/>
        </w:rPr>
        <w:t>ّ</w:t>
      </w:r>
      <w:r w:rsidRPr="00904FCB">
        <w:rPr>
          <w:rFonts w:hint="cs"/>
          <w:sz w:val="27"/>
          <w:rtl/>
        </w:rPr>
        <w:t xml:space="preserve"> أن يكون تابعا</w:t>
      </w:r>
      <w:r w:rsidR="00567D6D" w:rsidRPr="00904FCB">
        <w:rPr>
          <w:rFonts w:hint="cs"/>
          <w:sz w:val="27"/>
          <w:rtl/>
        </w:rPr>
        <w:t>ً.</w:t>
      </w:r>
      <w:r w:rsidRPr="00904FCB">
        <w:rPr>
          <w:rFonts w:hint="cs"/>
          <w:sz w:val="27"/>
          <w:rtl/>
        </w:rPr>
        <w:t xml:space="preserve"> وبذلك نلاحظ كيف يتناقض هذا الاتجاه مع ق</w:t>
      </w:r>
      <w:r w:rsidR="00567D6D" w:rsidRPr="00904FCB">
        <w:rPr>
          <w:rFonts w:hint="cs"/>
          <w:sz w:val="27"/>
          <w:rtl/>
        </w:rPr>
        <w:t>ِ</w:t>
      </w:r>
      <w:r w:rsidRPr="00904FCB">
        <w:rPr>
          <w:rFonts w:hint="cs"/>
          <w:sz w:val="27"/>
          <w:rtl/>
        </w:rPr>
        <w:t>ي</w:t>
      </w:r>
      <w:r w:rsidR="00567D6D" w:rsidRPr="00904FCB">
        <w:rPr>
          <w:rFonts w:hint="cs"/>
          <w:sz w:val="27"/>
          <w:rtl/>
        </w:rPr>
        <w:t>َ</w:t>
      </w:r>
      <w:r w:rsidRPr="00904FCB">
        <w:rPr>
          <w:rFonts w:hint="cs"/>
          <w:sz w:val="27"/>
          <w:rtl/>
        </w:rPr>
        <w:t>م الحداثة التي تنادي بالديمقراطية، والحر</w:t>
      </w:r>
      <w:r w:rsidR="00567D6D" w:rsidRPr="00904FCB">
        <w:rPr>
          <w:rFonts w:hint="cs"/>
          <w:sz w:val="27"/>
          <w:rtl/>
        </w:rPr>
        <w:t>ّ</w:t>
      </w:r>
      <w:r w:rsidRPr="00904FCB">
        <w:rPr>
          <w:rFonts w:hint="cs"/>
          <w:sz w:val="27"/>
          <w:rtl/>
        </w:rPr>
        <w:t xml:space="preserve">ية، وحقوق الإنسان، وكرامة الشعوب، وسيادة الدول. </w:t>
      </w:r>
    </w:p>
    <w:p w:rsidR="00625F5D" w:rsidRPr="00904FCB" w:rsidRDefault="00625F5D" w:rsidP="007A21AA">
      <w:pPr>
        <w:spacing w:line="400" w:lineRule="exact"/>
        <w:rPr>
          <w:sz w:val="27"/>
          <w:rtl/>
        </w:rPr>
      </w:pPr>
      <w:r w:rsidRPr="00904FCB">
        <w:rPr>
          <w:rFonts w:hint="cs"/>
          <w:sz w:val="27"/>
          <w:rtl/>
        </w:rPr>
        <w:t>وعليه فإن محاولة الولايات المتحدة قيادة العالم الغربي في هذا الاتجاه لا تخدم إلا</w:t>
      </w:r>
      <w:r w:rsidR="007133F3" w:rsidRPr="00904FCB">
        <w:rPr>
          <w:rFonts w:hint="cs"/>
          <w:sz w:val="27"/>
          <w:rtl/>
        </w:rPr>
        <w:t>ّ</w:t>
      </w:r>
      <w:r w:rsidRPr="00904FCB">
        <w:rPr>
          <w:rFonts w:hint="cs"/>
          <w:sz w:val="27"/>
          <w:rtl/>
        </w:rPr>
        <w:t xml:space="preserve"> حداثة</w:t>
      </w:r>
      <w:r w:rsidR="007133F3" w:rsidRPr="00904FCB">
        <w:rPr>
          <w:rFonts w:hint="cs"/>
          <w:sz w:val="27"/>
          <w:rtl/>
        </w:rPr>
        <w:t>ً</w:t>
      </w:r>
      <w:r w:rsidRPr="00904FCB">
        <w:rPr>
          <w:rFonts w:hint="cs"/>
          <w:sz w:val="27"/>
          <w:rtl/>
        </w:rPr>
        <w:t xml:space="preserve"> مزيفة</w:t>
      </w:r>
      <w:r w:rsidR="007133F3" w:rsidRPr="00904FCB">
        <w:rPr>
          <w:rFonts w:hint="cs"/>
          <w:sz w:val="27"/>
          <w:rtl/>
        </w:rPr>
        <w:t>،</w:t>
      </w:r>
      <w:r w:rsidRPr="00904FCB">
        <w:rPr>
          <w:rFonts w:hint="cs"/>
          <w:sz w:val="27"/>
          <w:rtl/>
        </w:rPr>
        <w:t xml:space="preserve"> أو بالأحرى حداثة تخدم المصالح الغربية</w:t>
      </w:r>
      <w:r w:rsidR="007133F3" w:rsidRPr="00904FCB">
        <w:rPr>
          <w:rFonts w:hint="cs"/>
          <w:sz w:val="27"/>
          <w:rtl/>
        </w:rPr>
        <w:t>؛</w:t>
      </w:r>
      <w:r w:rsidRPr="00904FCB">
        <w:rPr>
          <w:rFonts w:hint="cs"/>
          <w:sz w:val="27"/>
          <w:rtl/>
        </w:rPr>
        <w:t xml:space="preserve"> لأن</w:t>
      </w:r>
      <w:r w:rsidR="007133F3" w:rsidRPr="00904FCB">
        <w:rPr>
          <w:rFonts w:hint="cs"/>
          <w:sz w:val="27"/>
          <w:rtl/>
        </w:rPr>
        <w:t>ّ</w:t>
      </w:r>
      <w:r w:rsidRPr="00904FCB">
        <w:rPr>
          <w:rFonts w:hint="cs"/>
          <w:sz w:val="27"/>
          <w:rtl/>
        </w:rPr>
        <w:t>ه من المستحيل تهيئة مناخ ملائم لقيام مجتمعات حداثية بمنطق القو</w:t>
      </w:r>
      <w:r w:rsidR="007133F3" w:rsidRPr="00904FCB">
        <w:rPr>
          <w:rFonts w:hint="cs"/>
          <w:sz w:val="27"/>
          <w:rtl/>
        </w:rPr>
        <w:t>ّ</w:t>
      </w:r>
      <w:r w:rsidRPr="00904FCB">
        <w:rPr>
          <w:rFonts w:hint="cs"/>
          <w:sz w:val="27"/>
          <w:rtl/>
        </w:rPr>
        <w:t>ة والسيطرة والإخضاع، ولا أدلّ على ذلك من الثورة العربية</w:t>
      </w:r>
      <w:r w:rsidR="007133F3" w:rsidRPr="00904FCB">
        <w:rPr>
          <w:rFonts w:hint="cs"/>
          <w:sz w:val="27"/>
          <w:rtl/>
        </w:rPr>
        <w:t>،</w:t>
      </w:r>
      <w:r w:rsidRPr="00904FCB">
        <w:rPr>
          <w:rFonts w:hint="cs"/>
          <w:sz w:val="27"/>
          <w:rtl/>
        </w:rPr>
        <w:t xml:space="preserve"> التي كانت فرصة</w:t>
      </w:r>
      <w:r w:rsidR="007133F3" w:rsidRPr="00904FCB">
        <w:rPr>
          <w:rFonts w:hint="cs"/>
          <w:sz w:val="27"/>
          <w:rtl/>
        </w:rPr>
        <w:t>ً</w:t>
      </w:r>
      <w:r w:rsidRPr="00904FCB">
        <w:rPr>
          <w:rFonts w:hint="cs"/>
          <w:sz w:val="27"/>
          <w:rtl/>
        </w:rPr>
        <w:t xml:space="preserve"> استفادت منها القوى الغربية</w:t>
      </w:r>
      <w:r w:rsidR="007133F3" w:rsidRPr="00904FCB">
        <w:rPr>
          <w:rFonts w:hint="cs"/>
          <w:sz w:val="27"/>
          <w:rtl/>
        </w:rPr>
        <w:t>؛</w:t>
      </w:r>
      <w:r w:rsidRPr="00904FCB">
        <w:rPr>
          <w:rFonts w:hint="cs"/>
          <w:sz w:val="27"/>
          <w:rtl/>
        </w:rPr>
        <w:t xml:space="preserve"> لاختراق بعض الدول العربية. </w:t>
      </w:r>
    </w:p>
    <w:p w:rsidR="00625F5D" w:rsidRPr="00904FCB" w:rsidRDefault="00625F5D" w:rsidP="007A21AA">
      <w:pPr>
        <w:spacing w:line="400" w:lineRule="exact"/>
        <w:rPr>
          <w:sz w:val="27"/>
          <w:rtl/>
        </w:rPr>
      </w:pPr>
      <w:r w:rsidRPr="00904FCB">
        <w:rPr>
          <w:rFonts w:hint="cs"/>
          <w:sz w:val="27"/>
          <w:rtl/>
        </w:rPr>
        <w:t>ففي ليبيا مثلا</w:t>
      </w:r>
      <w:r w:rsidR="007133F3" w:rsidRPr="00904FCB">
        <w:rPr>
          <w:rFonts w:hint="cs"/>
          <w:sz w:val="27"/>
          <w:rtl/>
        </w:rPr>
        <w:t>ً</w:t>
      </w:r>
      <w:r w:rsidRPr="00904FCB">
        <w:rPr>
          <w:rFonts w:hint="cs"/>
          <w:sz w:val="27"/>
          <w:rtl/>
        </w:rPr>
        <w:t xml:space="preserve"> مث</w:t>
      </w:r>
      <w:r w:rsidR="007133F3" w:rsidRPr="00904FCB">
        <w:rPr>
          <w:rFonts w:hint="cs"/>
          <w:sz w:val="27"/>
          <w:rtl/>
        </w:rPr>
        <w:t>َّ</w:t>
      </w:r>
      <w:r w:rsidRPr="00904FCB">
        <w:rPr>
          <w:rFonts w:hint="cs"/>
          <w:sz w:val="27"/>
          <w:rtl/>
        </w:rPr>
        <w:t>لت ثروة النفط الليبي عنصرا</w:t>
      </w:r>
      <w:r w:rsidR="007133F3" w:rsidRPr="00904FCB">
        <w:rPr>
          <w:rFonts w:hint="cs"/>
          <w:sz w:val="27"/>
          <w:rtl/>
        </w:rPr>
        <w:t>ً</w:t>
      </w:r>
      <w:r w:rsidRPr="00904FCB">
        <w:rPr>
          <w:rFonts w:hint="cs"/>
          <w:sz w:val="27"/>
          <w:rtl/>
        </w:rPr>
        <w:t xml:space="preserve"> جاذبا</w:t>
      </w:r>
      <w:r w:rsidR="007133F3" w:rsidRPr="00904FCB">
        <w:rPr>
          <w:rFonts w:hint="cs"/>
          <w:sz w:val="27"/>
          <w:rtl/>
        </w:rPr>
        <w:t>ً</w:t>
      </w:r>
      <w:r w:rsidRPr="00904FCB">
        <w:rPr>
          <w:rFonts w:hint="cs"/>
          <w:sz w:val="27"/>
          <w:rtl/>
        </w:rPr>
        <w:t xml:space="preserve"> ومشج</w:t>
      </w:r>
      <w:r w:rsidR="007133F3" w:rsidRPr="00904FCB">
        <w:rPr>
          <w:rFonts w:hint="cs"/>
          <w:sz w:val="27"/>
          <w:rtl/>
        </w:rPr>
        <w:t>ِّ</w:t>
      </w:r>
      <w:r w:rsidRPr="00904FCB">
        <w:rPr>
          <w:rFonts w:hint="cs"/>
          <w:sz w:val="27"/>
          <w:rtl/>
        </w:rPr>
        <w:t>عا</w:t>
      </w:r>
      <w:r w:rsidR="007133F3" w:rsidRPr="00904FCB">
        <w:rPr>
          <w:rFonts w:hint="cs"/>
          <w:sz w:val="27"/>
          <w:rtl/>
        </w:rPr>
        <w:t>ً</w:t>
      </w:r>
      <w:r w:rsidRPr="00904FCB">
        <w:rPr>
          <w:rFonts w:hint="cs"/>
          <w:sz w:val="27"/>
          <w:rtl/>
        </w:rPr>
        <w:t xml:space="preserve"> يستحق</w:t>
      </w:r>
      <w:r w:rsidR="007133F3" w:rsidRPr="00904FCB">
        <w:rPr>
          <w:rFonts w:hint="cs"/>
          <w:sz w:val="27"/>
          <w:rtl/>
        </w:rPr>
        <w:t>ّ</w:t>
      </w:r>
      <w:r w:rsidRPr="00904FCB">
        <w:rPr>
          <w:rFonts w:hint="cs"/>
          <w:sz w:val="27"/>
          <w:rtl/>
        </w:rPr>
        <w:t xml:space="preserve"> الهرولة، بما يعيد إنتاج تجربة العراق الذي فازت الإدارة الأمريكية بالنصيب الأوفر فيه، مع بعض الفوارق</w:t>
      </w:r>
      <w:r w:rsidR="007133F3" w:rsidRPr="00904FCB">
        <w:rPr>
          <w:rFonts w:hint="cs"/>
          <w:sz w:val="27"/>
          <w:rtl/>
        </w:rPr>
        <w:t>؛</w:t>
      </w:r>
      <w:r w:rsidRPr="00904FCB">
        <w:rPr>
          <w:rFonts w:hint="cs"/>
          <w:sz w:val="27"/>
          <w:rtl/>
        </w:rPr>
        <w:t xml:space="preserve"> لأن الولايات المتحدة كانت دولة احتلال وطرفا</w:t>
      </w:r>
      <w:r w:rsidR="007133F3" w:rsidRPr="00904FCB">
        <w:rPr>
          <w:rFonts w:hint="cs"/>
          <w:sz w:val="27"/>
          <w:rtl/>
        </w:rPr>
        <w:t>ً</w:t>
      </w:r>
      <w:r w:rsidRPr="00904FCB">
        <w:rPr>
          <w:rFonts w:hint="cs"/>
          <w:sz w:val="27"/>
          <w:rtl/>
        </w:rPr>
        <w:t xml:space="preserve"> غازيا</w:t>
      </w:r>
      <w:r w:rsidR="007133F3" w:rsidRPr="00904FCB">
        <w:rPr>
          <w:rFonts w:hint="cs"/>
          <w:sz w:val="27"/>
          <w:rtl/>
        </w:rPr>
        <w:t>ً</w:t>
      </w:r>
      <w:r w:rsidRPr="00904FCB">
        <w:rPr>
          <w:rFonts w:hint="cs"/>
          <w:sz w:val="27"/>
          <w:rtl/>
        </w:rPr>
        <w:t xml:space="preserve"> في العراق</w:t>
      </w:r>
      <w:r w:rsidR="007133F3" w:rsidRPr="00904FCB">
        <w:rPr>
          <w:rFonts w:hint="cs"/>
          <w:sz w:val="27"/>
          <w:rtl/>
        </w:rPr>
        <w:t>،</w:t>
      </w:r>
      <w:r w:rsidRPr="00904FCB">
        <w:rPr>
          <w:rFonts w:hint="cs"/>
          <w:sz w:val="27"/>
          <w:rtl/>
        </w:rPr>
        <w:t xml:space="preserve"> لكنها في ليبيا تحو</w:t>
      </w:r>
      <w:r w:rsidR="007133F3" w:rsidRPr="00904FCB">
        <w:rPr>
          <w:rFonts w:hint="cs"/>
          <w:sz w:val="27"/>
          <w:rtl/>
        </w:rPr>
        <w:t>َّ</w:t>
      </w:r>
      <w:r w:rsidRPr="00904FCB">
        <w:rPr>
          <w:rFonts w:hint="cs"/>
          <w:sz w:val="27"/>
          <w:rtl/>
        </w:rPr>
        <w:t>ل</w:t>
      </w:r>
      <w:r w:rsidR="007133F3" w:rsidRPr="00904FCB">
        <w:rPr>
          <w:rFonts w:hint="cs"/>
          <w:sz w:val="27"/>
          <w:rtl/>
        </w:rPr>
        <w:t>َ</w:t>
      </w:r>
      <w:r w:rsidRPr="00904FCB">
        <w:rPr>
          <w:rFonts w:hint="cs"/>
          <w:sz w:val="27"/>
          <w:rtl/>
        </w:rPr>
        <w:t>ت</w:t>
      </w:r>
      <w:r w:rsidR="007133F3" w:rsidRPr="00904FCB">
        <w:rPr>
          <w:rFonts w:hint="cs"/>
          <w:sz w:val="27"/>
          <w:rtl/>
        </w:rPr>
        <w:t>ْ</w:t>
      </w:r>
      <w:r w:rsidRPr="00904FCB">
        <w:rPr>
          <w:rFonts w:hint="cs"/>
          <w:sz w:val="27"/>
          <w:rtl/>
        </w:rPr>
        <w:t xml:space="preserve"> مع </w:t>
      </w:r>
      <w:r w:rsidRPr="00904FCB">
        <w:rPr>
          <w:rFonts w:hint="eastAsia"/>
          <w:sz w:val="27"/>
          <w:rtl/>
        </w:rPr>
        <w:t>«</w:t>
      </w:r>
      <w:r w:rsidRPr="00904FCB">
        <w:rPr>
          <w:rFonts w:hint="cs"/>
          <w:sz w:val="27"/>
          <w:rtl/>
        </w:rPr>
        <w:t>الحلفاء الغربيين</w:t>
      </w:r>
      <w:r w:rsidRPr="00904FCB">
        <w:rPr>
          <w:rFonts w:hint="eastAsia"/>
          <w:sz w:val="27"/>
          <w:rtl/>
        </w:rPr>
        <w:t>»</w:t>
      </w:r>
      <w:r w:rsidRPr="00904FCB">
        <w:rPr>
          <w:rFonts w:hint="cs"/>
          <w:sz w:val="27"/>
          <w:rtl/>
        </w:rPr>
        <w:t xml:space="preserve"> إلى فرقة إنقاذ</w:t>
      </w:r>
      <w:r w:rsidR="007133F3" w:rsidRPr="00904FCB">
        <w:rPr>
          <w:rFonts w:hint="cs"/>
          <w:sz w:val="27"/>
          <w:rtl/>
        </w:rPr>
        <w:t>،</w:t>
      </w:r>
      <w:r w:rsidRPr="00904FCB">
        <w:rPr>
          <w:rFonts w:hint="cs"/>
          <w:sz w:val="27"/>
          <w:rtl/>
        </w:rPr>
        <w:t xml:space="preserve"> استجابت لمطلب قيادة الثورة الليبية في حماية المدنيين من بطش النظام وقسوته. إضافة إلى هذا فإن عملية إعمار ليبيا وتنميتها تعد</w:t>
      </w:r>
      <w:r w:rsidR="007133F3" w:rsidRPr="00904FCB">
        <w:rPr>
          <w:rFonts w:hint="cs"/>
          <w:sz w:val="27"/>
          <w:rtl/>
        </w:rPr>
        <w:t>ّ</w:t>
      </w:r>
      <w:r w:rsidRPr="00904FCB">
        <w:rPr>
          <w:rFonts w:hint="cs"/>
          <w:sz w:val="27"/>
          <w:rtl/>
        </w:rPr>
        <w:t xml:space="preserve"> هدي</w:t>
      </w:r>
      <w:r w:rsidR="007133F3" w:rsidRPr="00904FCB">
        <w:rPr>
          <w:rFonts w:hint="cs"/>
          <w:sz w:val="27"/>
          <w:rtl/>
        </w:rPr>
        <w:t>ّ</w:t>
      </w:r>
      <w:r w:rsidRPr="00904FCB">
        <w:rPr>
          <w:rFonts w:hint="cs"/>
          <w:sz w:val="27"/>
          <w:rtl/>
        </w:rPr>
        <w:t>ة</w:t>
      </w:r>
      <w:r w:rsidR="007133F3" w:rsidRPr="00904FCB">
        <w:rPr>
          <w:rFonts w:hint="cs"/>
          <w:sz w:val="27"/>
          <w:rtl/>
        </w:rPr>
        <w:t>ً</w:t>
      </w:r>
      <w:r w:rsidRPr="00904FCB">
        <w:rPr>
          <w:rFonts w:hint="cs"/>
          <w:sz w:val="27"/>
          <w:rtl/>
        </w:rPr>
        <w:t xml:space="preserve"> كبرى لشركات الإعمار الغربية. </w:t>
      </w:r>
    </w:p>
    <w:p w:rsidR="00625F5D" w:rsidRPr="00904FCB" w:rsidRDefault="00625F5D" w:rsidP="007A21AA">
      <w:pPr>
        <w:spacing w:line="400" w:lineRule="exact"/>
        <w:rPr>
          <w:sz w:val="27"/>
          <w:rtl/>
        </w:rPr>
      </w:pPr>
      <w:r w:rsidRPr="00904FCB">
        <w:rPr>
          <w:rFonts w:hint="cs"/>
          <w:sz w:val="27"/>
          <w:rtl/>
        </w:rPr>
        <w:t>على أن المشروع الغربي لن يتوق</w:t>
      </w:r>
      <w:r w:rsidR="007133F3" w:rsidRPr="00904FCB">
        <w:rPr>
          <w:rFonts w:hint="cs"/>
          <w:sz w:val="27"/>
          <w:rtl/>
        </w:rPr>
        <w:t>َّ</w:t>
      </w:r>
      <w:r w:rsidRPr="00904FCB">
        <w:rPr>
          <w:rFonts w:hint="cs"/>
          <w:sz w:val="27"/>
          <w:rtl/>
        </w:rPr>
        <w:t>ف عند ليبيا</w:t>
      </w:r>
      <w:r w:rsidR="007133F3" w:rsidRPr="00904FCB">
        <w:rPr>
          <w:rFonts w:hint="cs"/>
          <w:sz w:val="27"/>
          <w:rtl/>
        </w:rPr>
        <w:t>،</w:t>
      </w:r>
      <w:r w:rsidRPr="00904FCB">
        <w:rPr>
          <w:rFonts w:hint="cs"/>
          <w:sz w:val="27"/>
          <w:rtl/>
        </w:rPr>
        <w:t xml:space="preserve"> ولا حت</w:t>
      </w:r>
      <w:r w:rsidR="007133F3" w:rsidRPr="00904FCB">
        <w:rPr>
          <w:rFonts w:hint="cs"/>
          <w:sz w:val="27"/>
          <w:rtl/>
        </w:rPr>
        <w:t>ّ</w:t>
      </w:r>
      <w:r w:rsidRPr="00904FCB">
        <w:rPr>
          <w:rFonts w:hint="cs"/>
          <w:sz w:val="27"/>
          <w:rtl/>
        </w:rPr>
        <w:t xml:space="preserve">ى عند سوريا، بل الباب لا </w:t>
      </w:r>
      <w:r w:rsidRPr="00904FCB">
        <w:rPr>
          <w:rFonts w:hint="cs"/>
          <w:sz w:val="27"/>
          <w:rtl/>
        </w:rPr>
        <w:lastRenderedPageBreak/>
        <w:t>يزال مفتوحا</w:t>
      </w:r>
      <w:r w:rsidR="007133F3" w:rsidRPr="00904FCB">
        <w:rPr>
          <w:rFonts w:hint="cs"/>
          <w:sz w:val="27"/>
          <w:rtl/>
        </w:rPr>
        <w:t>ً</w:t>
      </w:r>
      <w:r w:rsidRPr="00904FCB">
        <w:rPr>
          <w:rFonts w:hint="cs"/>
          <w:sz w:val="27"/>
          <w:rtl/>
        </w:rPr>
        <w:t xml:space="preserve"> لانطلاق انتفاضات</w:t>
      </w:r>
      <w:r w:rsidR="007133F3" w:rsidRPr="00904FCB">
        <w:rPr>
          <w:rFonts w:hint="cs"/>
          <w:sz w:val="27"/>
          <w:rtl/>
        </w:rPr>
        <w:t>ٍ</w:t>
      </w:r>
      <w:r w:rsidRPr="00904FCB">
        <w:rPr>
          <w:rFonts w:hint="cs"/>
          <w:sz w:val="27"/>
          <w:rtl/>
        </w:rPr>
        <w:t xml:space="preserve"> في ساحات أخرى مسكونة بعوامل التوت</w:t>
      </w:r>
      <w:r w:rsidR="007133F3" w:rsidRPr="00904FCB">
        <w:rPr>
          <w:rFonts w:hint="cs"/>
          <w:sz w:val="27"/>
          <w:rtl/>
        </w:rPr>
        <w:t>ُّ</w:t>
      </w:r>
      <w:r w:rsidRPr="00904FCB">
        <w:rPr>
          <w:rFonts w:hint="cs"/>
          <w:sz w:val="27"/>
          <w:rtl/>
        </w:rPr>
        <w:t xml:space="preserve">ر واحتمالات الانفجار. </w:t>
      </w:r>
    </w:p>
    <w:p w:rsidR="00625F5D" w:rsidRPr="00904FCB" w:rsidRDefault="00625F5D" w:rsidP="007A21AA">
      <w:pPr>
        <w:spacing w:line="400" w:lineRule="exact"/>
        <w:rPr>
          <w:sz w:val="27"/>
          <w:rtl/>
        </w:rPr>
      </w:pPr>
      <w:r w:rsidRPr="00904FCB">
        <w:rPr>
          <w:rFonts w:hint="cs"/>
          <w:sz w:val="27"/>
          <w:rtl/>
        </w:rPr>
        <w:t>وحين أدركت قوى الهيمنة الغربية أن عالما</w:t>
      </w:r>
      <w:r w:rsidR="007133F3" w:rsidRPr="00904FCB">
        <w:rPr>
          <w:rFonts w:hint="cs"/>
          <w:sz w:val="27"/>
          <w:rtl/>
        </w:rPr>
        <w:t>ً</w:t>
      </w:r>
      <w:r w:rsidRPr="00904FCB">
        <w:rPr>
          <w:rFonts w:hint="cs"/>
          <w:sz w:val="27"/>
          <w:rtl/>
        </w:rPr>
        <w:t xml:space="preserve"> عربيا</w:t>
      </w:r>
      <w:r w:rsidR="007133F3" w:rsidRPr="00904FCB">
        <w:rPr>
          <w:rFonts w:hint="cs"/>
          <w:sz w:val="27"/>
          <w:rtl/>
        </w:rPr>
        <w:t>ً</w:t>
      </w:r>
      <w:r w:rsidRPr="00904FCB">
        <w:rPr>
          <w:rFonts w:hint="cs"/>
          <w:sz w:val="27"/>
          <w:rtl/>
        </w:rPr>
        <w:t xml:space="preserve"> جديدا</w:t>
      </w:r>
      <w:r w:rsidR="007133F3" w:rsidRPr="00904FCB">
        <w:rPr>
          <w:rFonts w:hint="cs"/>
          <w:sz w:val="27"/>
          <w:rtl/>
        </w:rPr>
        <w:t>ً</w:t>
      </w:r>
      <w:r w:rsidRPr="00904FCB">
        <w:rPr>
          <w:rFonts w:hint="cs"/>
          <w:sz w:val="27"/>
          <w:rtl/>
        </w:rPr>
        <w:t xml:space="preserve"> يولد ويتشك</w:t>
      </w:r>
      <w:r w:rsidR="007133F3" w:rsidRPr="00904FCB">
        <w:rPr>
          <w:rFonts w:hint="cs"/>
          <w:sz w:val="27"/>
          <w:rtl/>
        </w:rPr>
        <w:t>َّ</w:t>
      </w:r>
      <w:r w:rsidRPr="00904FCB">
        <w:rPr>
          <w:rFonts w:hint="cs"/>
          <w:sz w:val="27"/>
          <w:rtl/>
        </w:rPr>
        <w:t xml:space="preserve">ل سارعت إلى الاحتشاد للتعامل مع الوضع الجديد، بالاختطاف أو الإجهاض أو الاختراق. </w:t>
      </w:r>
    </w:p>
    <w:p w:rsidR="00625F5D" w:rsidRPr="00904FCB" w:rsidRDefault="00625F5D" w:rsidP="007A21AA">
      <w:pPr>
        <w:spacing w:line="400" w:lineRule="exact"/>
        <w:rPr>
          <w:rFonts w:ascii="Arial" w:hAnsi="Arial"/>
          <w:sz w:val="27"/>
          <w:rtl/>
          <w:lang w:eastAsia="fr-FR"/>
        </w:rPr>
      </w:pPr>
      <w:r w:rsidRPr="00904FCB">
        <w:rPr>
          <w:rFonts w:hint="cs"/>
          <w:sz w:val="27"/>
          <w:rtl/>
        </w:rPr>
        <w:t>ومن ثم</w:t>
      </w:r>
      <w:r w:rsidR="007133F3" w:rsidRPr="00904FCB">
        <w:rPr>
          <w:rFonts w:hint="cs"/>
          <w:sz w:val="27"/>
          <w:rtl/>
        </w:rPr>
        <w:t>ّ</w:t>
      </w:r>
      <w:r w:rsidRPr="00904FCB">
        <w:rPr>
          <w:rFonts w:hint="cs"/>
          <w:sz w:val="27"/>
          <w:rtl/>
        </w:rPr>
        <w:t xml:space="preserve"> يمكننا أن نسج</w:t>
      </w:r>
      <w:r w:rsidR="007133F3" w:rsidRPr="00904FCB">
        <w:rPr>
          <w:rFonts w:hint="cs"/>
          <w:sz w:val="27"/>
          <w:rtl/>
        </w:rPr>
        <w:t>ِّ</w:t>
      </w:r>
      <w:r w:rsidRPr="00904FCB">
        <w:rPr>
          <w:rFonts w:hint="cs"/>
          <w:sz w:val="27"/>
          <w:rtl/>
        </w:rPr>
        <w:t>ل ما أشار إليه المفك</w:t>
      </w:r>
      <w:r w:rsidR="007133F3" w:rsidRPr="00904FCB">
        <w:rPr>
          <w:rFonts w:hint="cs"/>
          <w:sz w:val="27"/>
          <w:rtl/>
        </w:rPr>
        <w:t>ِّ</w:t>
      </w:r>
      <w:r w:rsidRPr="00904FCB">
        <w:rPr>
          <w:rFonts w:hint="cs"/>
          <w:sz w:val="27"/>
          <w:rtl/>
        </w:rPr>
        <w:t>ر المصري حسن حنفي من أن العولمة هي أحد أشكال الهيمنة الغربية الجديدة التي تعب</w:t>
      </w:r>
      <w:r w:rsidR="007133F3" w:rsidRPr="00904FCB">
        <w:rPr>
          <w:rFonts w:hint="cs"/>
          <w:sz w:val="27"/>
          <w:rtl/>
        </w:rPr>
        <w:t>ِّ</w:t>
      </w:r>
      <w:r w:rsidRPr="00904FCB">
        <w:rPr>
          <w:rFonts w:hint="cs"/>
          <w:sz w:val="27"/>
          <w:rtl/>
        </w:rPr>
        <w:t>ر عن المركزية الأوروبية، وأنها تكشف عن مركزية دفينة في الوعي الأوروبي</w:t>
      </w:r>
      <w:r w:rsidR="007133F3" w:rsidRPr="00904FCB">
        <w:rPr>
          <w:rFonts w:hint="cs"/>
          <w:sz w:val="27"/>
          <w:rtl/>
        </w:rPr>
        <w:t>،</w:t>
      </w:r>
      <w:r w:rsidRPr="00904FCB">
        <w:rPr>
          <w:rFonts w:hint="cs"/>
          <w:sz w:val="27"/>
          <w:rtl/>
        </w:rPr>
        <w:t xml:space="preserve"> تقوم على عنصرية عرقية</w:t>
      </w:r>
      <w:r w:rsidR="007133F3" w:rsidRPr="00904FCB">
        <w:rPr>
          <w:rFonts w:hint="cs"/>
          <w:sz w:val="27"/>
          <w:rtl/>
        </w:rPr>
        <w:t>،</w:t>
      </w:r>
      <w:r w:rsidRPr="00904FCB">
        <w:rPr>
          <w:rFonts w:hint="cs"/>
          <w:sz w:val="27"/>
          <w:rtl/>
        </w:rPr>
        <w:t xml:space="preserve"> وعلى الرغبة في الهيمنة والسيطرة</w:t>
      </w:r>
      <w:r w:rsidRPr="00904FCB">
        <w:rPr>
          <w:sz w:val="27"/>
          <w:vertAlign w:val="superscript"/>
          <w:rtl/>
        </w:rPr>
        <w:t>(</w:t>
      </w:r>
      <w:r w:rsidRPr="00904FCB">
        <w:rPr>
          <w:rStyle w:val="ac"/>
          <w:sz w:val="27"/>
          <w:rtl/>
        </w:rPr>
        <w:endnoteReference w:id="530"/>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rFonts w:ascii="Georgia" w:hAnsi="Georgia"/>
          <w:sz w:val="27"/>
          <w:rtl/>
          <w:lang w:eastAsia="fr-FR" w:bidi="ar-MA"/>
        </w:rPr>
      </w:pPr>
      <w:r w:rsidRPr="00904FCB">
        <w:rPr>
          <w:rFonts w:ascii="Arial" w:hAnsi="Arial" w:hint="cs"/>
          <w:sz w:val="27"/>
          <w:rtl/>
          <w:lang w:eastAsia="fr-FR" w:bidi="ar-EG"/>
        </w:rPr>
        <w:t>لقد</w:t>
      </w:r>
      <w:r w:rsidRPr="00904FCB">
        <w:rPr>
          <w:rFonts w:ascii="Georgia" w:hAnsi="Georgia" w:hint="cs"/>
          <w:sz w:val="27"/>
          <w:rtl/>
          <w:lang w:eastAsia="fr-FR" w:bidi="ar-MA"/>
        </w:rPr>
        <w:t xml:space="preserve"> انكشف القناع عن العولمة من الناحية المعرفية والفلسفية والسياسية والاقتصادية والثقافية، وظهر ارتباطها بالنموذج الأمريكي، وتبيّ</w:t>
      </w:r>
      <w:r w:rsidR="007133F3" w:rsidRPr="00904FCB">
        <w:rPr>
          <w:rFonts w:ascii="Georgia" w:hAnsi="Georgia" w:hint="cs"/>
          <w:sz w:val="27"/>
          <w:rtl/>
          <w:lang w:eastAsia="fr-FR" w:bidi="ar-MA"/>
        </w:rPr>
        <w:t>َ</w:t>
      </w:r>
      <w:r w:rsidRPr="00904FCB">
        <w:rPr>
          <w:rFonts w:ascii="Georgia" w:hAnsi="Georgia" w:hint="cs"/>
          <w:sz w:val="27"/>
          <w:rtl/>
          <w:lang w:eastAsia="fr-FR" w:bidi="ar-MA"/>
        </w:rPr>
        <w:t>ن للنخب الثقافية والفكرية الفاعلة في العالم دهاء الغرب في محاولة إكساب مدني</w:t>
      </w:r>
      <w:r w:rsidR="007133F3" w:rsidRPr="00904FCB">
        <w:rPr>
          <w:rFonts w:ascii="Georgia" w:hAnsi="Georgia" w:hint="cs"/>
          <w:sz w:val="27"/>
          <w:rtl/>
          <w:lang w:eastAsia="fr-FR" w:bidi="ar-MA"/>
        </w:rPr>
        <w:t>ّ</w:t>
      </w:r>
      <w:r w:rsidRPr="00904FCB">
        <w:rPr>
          <w:rFonts w:ascii="Georgia" w:hAnsi="Georgia" w:hint="cs"/>
          <w:sz w:val="27"/>
          <w:rtl/>
          <w:lang w:eastAsia="fr-FR" w:bidi="ar-MA"/>
        </w:rPr>
        <w:t>ته وثقافته وحضارته طابع العالمية، وتقديمها كبديل</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مرجعي وواقعي لتنظيم سائر شؤون الإنسانية. </w:t>
      </w:r>
    </w:p>
    <w:p w:rsidR="00625F5D" w:rsidRPr="00904FCB" w:rsidRDefault="00625F5D" w:rsidP="007A21AA">
      <w:pPr>
        <w:spacing w:line="400" w:lineRule="exact"/>
        <w:rPr>
          <w:rFonts w:ascii="Georgia" w:hAnsi="Georgia"/>
          <w:sz w:val="27"/>
          <w:rtl/>
          <w:lang w:eastAsia="fr-FR" w:bidi="ar-MA"/>
        </w:rPr>
      </w:pPr>
      <w:r w:rsidRPr="00904FCB">
        <w:rPr>
          <w:rFonts w:ascii="Georgia" w:hAnsi="Georgia" w:hint="cs"/>
          <w:sz w:val="27"/>
          <w:rtl/>
          <w:lang w:eastAsia="fr-FR" w:bidi="ar-MA"/>
        </w:rPr>
        <w:t>فالعولمة ما هي إلا</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نظام</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شمولي هيمني يهدف إلى السيطرة على العالم، وإلى توحيد أنماط عيشه وتعاملاته وعلاقاته وحضارته. وهو في أصله نظام وضع الكبار الأقوياء أسسه ومبادئه وأهدافه</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لكي يسير عليه الصغار الضعفاء</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ولا يحيدو</w:t>
      </w:r>
      <w:r w:rsidR="007133F3" w:rsidRPr="00904FCB">
        <w:rPr>
          <w:rFonts w:ascii="Georgia" w:hAnsi="Georgia" w:hint="cs"/>
          <w:sz w:val="27"/>
          <w:rtl/>
          <w:lang w:eastAsia="fr-FR" w:bidi="ar-MA"/>
        </w:rPr>
        <w:t>ا</w:t>
      </w:r>
      <w:r w:rsidRPr="00904FCB">
        <w:rPr>
          <w:rFonts w:ascii="Georgia" w:hAnsi="Georgia" w:hint="cs"/>
          <w:sz w:val="27"/>
          <w:rtl/>
          <w:lang w:eastAsia="fr-FR" w:bidi="ar-MA"/>
        </w:rPr>
        <w:t xml:space="preserve"> عنه، وكل</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م</w:t>
      </w:r>
      <w:r w:rsidR="007133F3" w:rsidRPr="00904FCB">
        <w:rPr>
          <w:rFonts w:ascii="Georgia" w:hAnsi="Georgia" w:hint="cs"/>
          <w:sz w:val="27"/>
          <w:rtl/>
          <w:lang w:eastAsia="fr-FR" w:bidi="ar-MA"/>
        </w:rPr>
        <w:t>َ</w:t>
      </w:r>
      <w:r w:rsidRPr="00904FCB">
        <w:rPr>
          <w:rFonts w:ascii="Georgia" w:hAnsi="Georgia" w:hint="cs"/>
          <w:sz w:val="27"/>
          <w:rtl/>
          <w:lang w:eastAsia="fr-FR" w:bidi="ar-MA"/>
        </w:rPr>
        <w:t>ن</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حاول الحياد عنه أو معارضته أو تجاهله ف</w:t>
      </w:r>
      <w:r w:rsidR="007133F3" w:rsidRPr="00904FCB">
        <w:rPr>
          <w:rFonts w:ascii="Georgia" w:hAnsi="Georgia" w:hint="cs"/>
          <w:sz w:val="27"/>
          <w:rtl/>
          <w:lang w:eastAsia="fr-FR" w:bidi="ar-MA"/>
        </w:rPr>
        <w:t>إ</w:t>
      </w:r>
      <w:r w:rsidRPr="00904FCB">
        <w:rPr>
          <w:rFonts w:ascii="Georgia" w:hAnsi="Georgia" w:hint="cs"/>
          <w:sz w:val="27"/>
          <w:rtl/>
          <w:lang w:eastAsia="fr-FR" w:bidi="ar-MA"/>
        </w:rPr>
        <w:t>ن</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عاقبته واضحة الملامح</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فإم</w:t>
      </w:r>
      <w:r w:rsidR="007133F3" w:rsidRPr="00904FCB">
        <w:rPr>
          <w:rFonts w:ascii="Georgia" w:hAnsi="Georgia" w:hint="cs"/>
          <w:sz w:val="27"/>
          <w:rtl/>
          <w:lang w:eastAsia="fr-FR" w:bidi="ar-MA"/>
        </w:rPr>
        <w:t>ّ</w:t>
      </w:r>
      <w:r w:rsidRPr="00904FCB">
        <w:rPr>
          <w:rFonts w:ascii="Georgia" w:hAnsi="Georgia" w:hint="cs"/>
          <w:sz w:val="27"/>
          <w:rtl/>
          <w:lang w:eastAsia="fr-FR" w:bidi="ar-MA"/>
        </w:rPr>
        <w:t>ا أن يُؤد</w:t>
      </w:r>
      <w:r w:rsidR="007133F3" w:rsidRPr="00904FCB">
        <w:rPr>
          <w:rFonts w:ascii="Georgia" w:hAnsi="Georgia" w:hint="cs"/>
          <w:sz w:val="27"/>
          <w:rtl/>
          <w:lang w:eastAsia="fr-FR" w:bidi="ar-MA"/>
        </w:rPr>
        <w:t>َّ</w:t>
      </w:r>
      <w:r w:rsidRPr="00904FCB">
        <w:rPr>
          <w:rFonts w:ascii="Georgia" w:hAnsi="Georgia" w:hint="cs"/>
          <w:sz w:val="27"/>
          <w:rtl/>
          <w:lang w:eastAsia="fr-FR" w:bidi="ar-MA"/>
        </w:rPr>
        <w:t>ب</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وإم</w:t>
      </w:r>
      <w:r w:rsidR="007133F3" w:rsidRPr="00904FCB">
        <w:rPr>
          <w:rFonts w:ascii="Georgia" w:hAnsi="Georgia" w:hint="cs"/>
          <w:sz w:val="27"/>
          <w:rtl/>
          <w:lang w:eastAsia="fr-FR" w:bidi="ar-MA"/>
        </w:rPr>
        <w:t>ّ</w:t>
      </w:r>
      <w:r w:rsidRPr="00904FCB">
        <w:rPr>
          <w:rFonts w:ascii="Georgia" w:hAnsi="Georgia" w:hint="cs"/>
          <w:sz w:val="27"/>
          <w:rtl/>
          <w:lang w:eastAsia="fr-FR" w:bidi="ar-MA"/>
        </w:rPr>
        <w:t>ا أن يُلغى وجوده من الخارطة العالمية المستقبلية، وكل</w:t>
      </w:r>
      <w:r w:rsidR="007133F3" w:rsidRPr="00904FCB">
        <w:rPr>
          <w:rFonts w:ascii="Georgia" w:hAnsi="Georgia" w:hint="cs"/>
          <w:sz w:val="27"/>
          <w:rtl/>
          <w:lang w:eastAsia="fr-FR" w:bidi="ar-MA"/>
        </w:rPr>
        <w:t>ّ</w:t>
      </w:r>
      <w:r w:rsidRPr="00904FCB">
        <w:rPr>
          <w:rFonts w:ascii="Georgia" w:hAnsi="Georgia" w:hint="cs"/>
          <w:sz w:val="27"/>
          <w:rtl/>
          <w:lang w:eastAsia="fr-FR" w:bidi="ar-MA"/>
        </w:rPr>
        <w:t xml:space="preserve"> ذلك تحت غطاء الشرعية الدولية الأحادية الغربية، وتحت سلطة قرارات هيئة الأمم المتحدة ومنظ</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ماتها الرسمية. </w:t>
      </w:r>
    </w:p>
    <w:p w:rsidR="00625F5D" w:rsidRPr="00904FCB" w:rsidRDefault="00625F5D" w:rsidP="007A21AA">
      <w:pPr>
        <w:spacing w:line="400" w:lineRule="exact"/>
        <w:rPr>
          <w:rFonts w:ascii="Georgia" w:hAnsi="Georgia"/>
          <w:sz w:val="27"/>
          <w:rtl/>
          <w:lang w:eastAsia="fr-FR" w:bidi="ar-MA"/>
        </w:rPr>
      </w:pPr>
      <w:r w:rsidRPr="00904FCB">
        <w:rPr>
          <w:rFonts w:ascii="Georgia" w:hAnsi="Georgia" w:hint="cs"/>
          <w:sz w:val="27"/>
          <w:rtl/>
          <w:lang w:eastAsia="fr-FR" w:bidi="ar-MA"/>
        </w:rPr>
        <w:t>لقد انتهى الصراع الدولي بين الغرب بزعامة الولايات المتحدة الأمريكية ودول الشرق بزعامة الاتحاد السوفي</w:t>
      </w:r>
      <w:r w:rsidR="00F90A46" w:rsidRPr="00904FCB">
        <w:rPr>
          <w:rFonts w:ascii="Georgia" w:hAnsi="Georgia" w:hint="cs"/>
          <w:sz w:val="27"/>
          <w:rtl/>
          <w:lang w:eastAsia="fr-FR" w:bidi="ar-MA"/>
        </w:rPr>
        <w:t>ا</w:t>
      </w:r>
      <w:r w:rsidRPr="00904FCB">
        <w:rPr>
          <w:rFonts w:ascii="Georgia" w:hAnsi="Georgia" w:hint="cs"/>
          <w:sz w:val="27"/>
          <w:rtl/>
          <w:lang w:eastAsia="fr-FR" w:bidi="ar-MA"/>
        </w:rPr>
        <w:t>تي بانهيار هذا الأخير نهائيا</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سنة </w:t>
      </w:r>
      <w:r w:rsidRPr="00A80D94">
        <w:rPr>
          <w:rFonts w:asciiTheme="majorBidi" w:hAnsiTheme="majorBidi"/>
          <w:sz w:val="27"/>
          <w:rtl/>
          <w:lang w:eastAsia="fr-FR" w:bidi="ar-MA"/>
        </w:rPr>
        <w:t>1991</w:t>
      </w:r>
      <w:r w:rsidRPr="00A80D94">
        <w:rPr>
          <w:rFonts w:ascii="Georgia" w:hAnsi="Georgia" w:hint="cs"/>
          <w:sz w:val="27"/>
          <w:rtl/>
          <w:lang w:eastAsia="fr-FR" w:bidi="ar-MA"/>
        </w:rPr>
        <w:t>م</w:t>
      </w:r>
      <w:r w:rsidRPr="00904FCB">
        <w:rPr>
          <w:rFonts w:ascii="Georgia" w:hAnsi="Georgia" w:hint="cs"/>
          <w:sz w:val="27"/>
          <w:rtl/>
          <w:lang w:eastAsia="fr-FR" w:bidi="ar-MA"/>
        </w:rPr>
        <w:t>، ومن ثم</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تحو</w:t>
      </w:r>
      <w:r w:rsidR="00F90A46" w:rsidRPr="00904FCB">
        <w:rPr>
          <w:rFonts w:ascii="Georgia" w:hAnsi="Georgia" w:hint="cs"/>
          <w:sz w:val="27"/>
          <w:rtl/>
          <w:lang w:eastAsia="fr-FR" w:bidi="ar-MA"/>
        </w:rPr>
        <w:t>ّ</w:t>
      </w:r>
      <w:r w:rsidRPr="00904FCB">
        <w:rPr>
          <w:rFonts w:ascii="Georgia" w:hAnsi="Georgia" w:hint="cs"/>
          <w:sz w:val="27"/>
          <w:rtl/>
          <w:lang w:eastAsia="fr-FR" w:bidi="ar-MA"/>
        </w:rPr>
        <w:t>له إلى دولة روسيا الاتحادية، وبذلك انتهى زمن الصراع والحرب الباردة بين الكتلة الاشتراكية والكتلة الرأسمالية</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وقد اعتبر الغرب ذلك كله انتصارا</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للرأسمالية كأيد</w:t>
      </w:r>
      <w:r w:rsidR="00F90A46" w:rsidRPr="00904FCB">
        <w:rPr>
          <w:rFonts w:ascii="Georgia" w:hAnsi="Georgia" w:hint="cs"/>
          <w:sz w:val="27"/>
          <w:rtl/>
          <w:lang w:eastAsia="fr-FR" w:bidi="ar-MA"/>
        </w:rPr>
        <w:t>ي</w:t>
      </w:r>
      <w:r w:rsidRPr="00904FCB">
        <w:rPr>
          <w:rFonts w:ascii="Georgia" w:hAnsi="Georgia" w:hint="cs"/>
          <w:sz w:val="27"/>
          <w:rtl/>
          <w:lang w:eastAsia="fr-FR" w:bidi="ar-MA"/>
        </w:rPr>
        <w:t>ولوجيا فلسفية، وكنظام للحياة، وكطريقة للتصو</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ر، وكسلوك للعيش، </w:t>
      </w:r>
      <w:r w:rsidR="00B47B45" w:rsidRPr="00904FCB">
        <w:rPr>
          <w:rFonts w:ascii="Georgia" w:hAnsi="Georgia" w:hint="cs"/>
          <w:sz w:val="27"/>
          <w:rtl/>
          <w:lang w:eastAsia="fr-FR" w:bidi="ar-MA"/>
        </w:rPr>
        <w:t>وكمنهج للتعامل</w:t>
      </w:r>
      <w:r w:rsidR="00F90A46" w:rsidRPr="00904FCB">
        <w:rPr>
          <w:rFonts w:ascii="Georgia" w:hAnsi="Georgia" w:hint="cs"/>
          <w:sz w:val="27"/>
          <w:rtl/>
          <w:lang w:eastAsia="fr-FR" w:bidi="ar-MA"/>
        </w:rPr>
        <w:t>.</w:t>
      </w:r>
      <w:r w:rsidR="00B47B45" w:rsidRPr="00904FCB">
        <w:rPr>
          <w:rFonts w:ascii="Georgia" w:hAnsi="Georgia" w:hint="cs"/>
          <w:sz w:val="27"/>
          <w:rtl/>
          <w:lang w:eastAsia="fr-FR" w:bidi="ar-MA"/>
        </w:rPr>
        <w:t xml:space="preserve"> </w:t>
      </w:r>
      <w:r w:rsidRPr="00904FCB">
        <w:rPr>
          <w:rFonts w:ascii="Georgia" w:hAnsi="Georgia" w:hint="cs"/>
          <w:sz w:val="27"/>
          <w:rtl/>
          <w:lang w:eastAsia="fr-FR" w:bidi="ar-MA"/>
        </w:rPr>
        <w:t>وكنتيجة حتمية وطبيعية لسقوط النظام الاشتراكي فلسفي</w:t>
      </w:r>
      <w:r w:rsidR="00F90A46" w:rsidRPr="00904FCB">
        <w:rPr>
          <w:rFonts w:ascii="Georgia" w:hAnsi="Georgia" w:hint="cs"/>
          <w:sz w:val="27"/>
          <w:rtl/>
          <w:lang w:eastAsia="fr-FR" w:bidi="ar-MA"/>
        </w:rPr>
        <w:t>ّ</w:t>
      </w:r>
      <w:r w:rsidRPr="00904FCB">
        <w:rPr>
          <w:rFonts w:ascii="Georgia" w:hAnsi="Georgia" w:hint="cs"/>
          <w:sz w:val="27"/>
          <w:rtl/>
          <w:lang w:eastAsia="fr-FR" w:bidi="ar-MA"/>
        </w:rPr>
        <w:t>ا</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وواقعي</w:t>
      </w:r>
      <w:r w:rsidR="00F90A46" w:rsidRPr="00904FCB">
        <w:rPr>
          <w:rFonts w:ascii="Georgia" w:hAnsi="Georgia" w:hint="cs"/>
          <w:sz w:val="27"/>
          <w:rtl/>
          <w:lang w:eastAsia="fr-FR" w:bidi="ar-MA"/>
        </w:rPr>
        <w:t>ّ</w:t>
      </w:r>
      <w:r w:rsidRPr="00904FCB">
        <w:rPr>
          <w:rFonts w:ascii="Georgia" w:hAnsi="Georgia" w:hint="cs"/>
          <w:sz w:val="27"/>
          <w:rtl/>
          <w:lang w:eastAsia="fr-FR" w:bidi="ar-MA"/>
        </w:rPr>
        <w:t>ا</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انفردت الكتلة الرأسمالية بزعامة الولايات المتحدة الأمريكية بالتصر</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ف </w:t>
      </w:r>
      <w:r w:rsidRPr="00904FCB">
        <w:rPr>
          <w:rFonts w:ascii="Georgia" w:hAnsi="Georgia" w:hint="cs"/>
          <w:sz w:val="27"/>
          <w:rtl/>
          <w:lang w:eastAsia="fr-FR" w:bidi="ar-MA"/>
        </w:rPr>
        <w:lastRenderedPageBreak/>
        <w:t>المطلق في سائر شؤون المجال الدولي</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لعدم وجود قوى أخرى تناوئها. </w:t>
      </w:r>
    </w:p>
    <w:p w:rsidR="00625F5D" w:rsidRPr="00904FCB" w:rsidRDefault="00625F5D" w:rsidP="007A21AA">
      <w:pPr>
        <w:spacing w:line="400" w:lineRule="exact"/>
        <w:rPr>
          <w:rFonts w:ascii="Georgia" w:hAnsi="Georgia"/>
          <w:sz w:val="27"/>
          <w:rtl/>
          <w:lang w:eastAsia="fr-FR" w:bidi="ar-MA"/>
        </w:rPr>
      </w:pPr>
      <w:r w:rsidRPr="00904FCB">
        <w:rPr>
          <w:rFonts w:ascii="Georgia" w:hAnsi="Georgia" w:hint="cs"/>
          <w:sz w:val="27"/>
          <w:rtl/>
          <w:lang w:eastAsia="fr-FR" w:bidi="ar-MA"/>
        </w:rPr>
        <w:t xml:space="preserve"> ولكن</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من الناحية الواقعية فإن العالم اليوم يسوده مبدآن ونظامان متباينان</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النظام الرأسمالي العالمي الحر، ومعه الصهيونية العالمية من جهة</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والنظام الإسلامي من جهة</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ثانية. ومن هنا فقد وجدت الرأسمالية الغربية والأمريكية نفسها في مواجهة مباشرة مع الإسلام كدين</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وكتصو</w:t>
      </w:r>
      <w:r w:rsidR="00F90A46" w:rsidRPr="00904FCB">
        <w:rPr>
          <w:rFonts w:ascii="Georgia" w:hAnsi="Georgia" w:hint="cs"/>
          <w:sz w:val="27"/>
          <w:rtl/>
          <w:lang w:eastAsia="fr-FR" w:bidi="ar-MA"/>
        </w:rPr>
        <w:t>ّ</w:t>
      </w:r>
      <w:r w:rsidRPr="00904FCB">
        <w:rPr>
          <w:rFonts w:ascii="Georgia" w:hAnsi="Georgia" w:hint="cs"/>
          <w:sz w:val="27"/>
          <w:rtl/>
          <w:lang w:eastAsia="fr-FR" w:bidi="ar-MA"/>
        </w:rPr>
        <w:t>ر شمولي لسائر شؤون الفرد والمجتمع والبشرية وكنظام حياة</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متكامل، وهو الذي يعارضها بقو</w:t>
      </w:r>
      <w:r w:rsidR="00F90A46" w:rsidRPr="00904FCB">
        <w:rPr>
          <w:rFonts w:ascii="Georgia" w:hAnsi="Georgia" w:hint="cs"/>
          <w:sz w:val="27"/>
          <w:rtl/>
          <w:lang w:eastAsia="fr-FR" w:bidi="ar-MA"/>
        </w:rPr>
        <w:t>ّ</w:t>
      </w:r>
      <w:r w:rsidRPr="00904FCB">
        <w:rPr>
          <w:rFonts w:ascii="Georgia" w:hAnsi="Georgia" w:hint="cs"/>
          <w:sz w:val="27"/>
          <w:rtl/>
          <w:lang w:eastAsia="fr-FR" w:bidi="ar-MA"/>
        </w:rPr>
        <w:t>ة</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على المدى القريب والبعيد، ويحد</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 من محاولاتها للتوس</w:t>
      </w:r>
      <w:r w:rsidR="00F90A46" w:rsidRPr="00904FCB">
        <w:rPr>
          <w:rFonts w:ascii="Georgia" w:hAnsi="Georgia" w:hint="cs"/>
          <w:sz w:val="27"/>
          <w:rtl/>
          <w:lang w:eastAsia="fr-FR" w:bidi="ar-MA"/>
        </w:rPr>
        <w:t>ُّ</w:t>
      </w:r>
      <w:r w:rsidRPr="00904FCB">
        <w:rPr>
          <w:rFonts w:ascii="Georgia" w:hAnsi="Georgia" w:hint="cs"/>
          <w:sz w:val="27"/>
          <w:rtl/>
          <w:lang w:eastAsia="fr-FR" w:bidi="ar-MA"/>
        </w:rPr>
        <w:t xml:space="preserve">ع والانفراد بفرض أنموذجها العالمي. </w:t>
      </w:r>
    </w:p>
    <w:p w:rsidR="00625F5D" w:rsidRPr="00904FCB" w:rsidRDefault="00625F5D" w:rsidP="007A21AA">
      <w:pPr>
        <w:spacing w:line="400" w:lineRule="exact"/>
        <w:rPr>
          <w:rtl/>
          <w:lang w:eastAsia="fr-FR" w:bidi="ar-MA"/>
        </w:rPr>
      </w:pPr>
      <w:r w:rsidRPr="00904FCB">
        <w:rPr>
          <w:rFonts w:hint="cs"/>
          <w:rtl/>
          <w:lang w:eastAsia="fr-FR" w:bidi="ar-MA"/>
        </w:rPr>
        <w:t>ونظرا</w:t>
      </w:r>
      <w:r w:rsidR="00F90A46" w:rsidRPr="00904FCB">
        <w:rPr>
          <w:rFonts w:hint="cs"/>
          <w:rtl/>
          <w:lang w:eastAsia="fr-FR" w:bidi="ar-MA"/>
        </w:rPr>
        <w:t>ً</w:t>
      </w:r>
      <w:r w:rsidRPr="00904FCB">
        <w:rPr>
          <w:rFonts w:hint="cs"/>
          <w:rtl/>
          <w:lang w:eastAsia="fr-FR" w:bidi="ar-MA"/>
        </w:rPr>
        <w:t xml:space="preserve"> لعدم وجود كيانات إسلامية قوي</w:t>
      </w:r>
      <w:r w:rsidR="00F90A46" w:rsidRPr="00904FCB">
        <w:rPr>
          <w:rFonts w:hint="cs"/>
          <w:rtl/>
          <w:lang w:eastAsia="fr-FR" w:bidi="ar-MA"/>
        </w:rPr>
        <w:t>ّ</w:t>
      </w:r>
      <w:r w:rsidRPr="00904FCB">
        <w:rPr>
          <w:rFonts w:hint="cs"/>
          <w:rtl/>
          <w:lang w:eastAsia="fr-FR" w:bidi="ar-MA"/>
        </w:rPr>
        <w:t>ة واقعيا</w:t>
      </w:r>
      <w:r w:rsidR="00F90A46" w:rsidRPr="00904FCB">
        <w:rPr>
          <w:rFonts w:hint="cs"/>
          <w:rtl/>
          <w:lang w:eastAsia="fr-FR" w:bidi="ar-MA"/>
        </w:rPr>
        <w:t>ً</w:t>
      </w:r>
      <w:r w:rsidRPr="00904FCB">
        <w:rPr>
          <w:rFonts w:hint="cs"/>
          <w:rtl/>
          <w:lang w:eastAsia="fr-FR" w:bidi="ar-MA"/>
        </w:rPr>
        <w:t xml:space="preserve"> فإن القوى الرأسمالية بقيادة الولايات المتحدة الأمريكية واللوبيات الصهيونية تنب</w:t>
      </w:r>
      <w:r w:rsidR="00F90A46" w:rsidRPr="00904FCB">
        <w:rPr>
          <w:rFonts w:hint="cs"/>
          <w:rtl/>
          <w:lang w:eastAsia="fr-FR" w:bidi="ar-MA"/>
        </w:rPr>
        <w:t>َّ</w:t>
      </w:r>
      <w:r w:rsidRPr="00904FCB">
        <w:rPr>
          <w:rFonts w:hint="cs"/>
          <w:rtl/>
          <w:lang w:eastAsia="fr-FR" w:bidi="ar-MA"/>
        </w:rPr>
        <w:t>هت إلى مثل هذه التطل</w:t>
      </w:r>
      <w:r w:rsidR="00F90A46" w:rsidRPr="00904FCB">
        <w:rPr>
          <w:rFonts w:hint="cs"/>
          <w:rtl/>
          <w:lang w:eastAsia="fr-FR" w:bidi="ar-MA"/>
        </w:rPr>
        <w:t>ُّ</w:t>
      </w:r>
      <w:r w:rsidRPr="00904FCB">
        <w:rPr>
          <w:rFonts w:hint="cs"/>
          <w:rtl/>
          <w:lang w:eastAsia="fr-FR" w:bidi="ar-MA"/>
        </w:rPr>
        <w:t>عات الخطيرة على وجودها وحاضرها ومستقبلها، فاستعد</w:t>
      </w:r>
      <w:r w:rsidR="00F90A46" w:rsidRPr="00904FCB">
        <w:rPr>
          <w:rFonts w:hint="cs"/>
          <w:rtl/>
          <w:lang w:eastAsia="fr-FR" w:bidi="ar-MA"/>
        </w:rPr>
        <w:t>َّ</w:t>
      </w:r>
      <w:r w:rsidRPr="00904FCB">
        <w:rPr>
          <w:rFonts w:hint="cs"/>
          <w:rtl/>
          <w:lang w:eastAsia="fr-FR" w:bidi="ar-MA"/>
        </w:rPr>
        <w:t>ت</w:t>
      </w:r>
      <w:r w:rsidR="00F90A46" w:rsidRPr="00904FCB">
        <w:rPr>
          <w:rFonts w:hint="cs"/>
          <w:rtl/>
          <w:lang w:eastAsia="fr-FR" w:bidi="ar-MA"/>
        </w:rPr>
        <w:t>ْ</w:t>
      </w:r>
      <w:r w:rsidRPr="00904FCB">
        <w:rPr>
          <w:rFonts w:hint="cs"/>
          <w:rtl/>
          <w:lang w:eastAsia="fr-FR" w:bidi="ar-MA"/>
        </w:rPr>
        <w:t xml:space="preserve"> بقو</w:t>
      </w:r>
      <w:r w:rsidR="00F90A46" w:rsidRPr="00904FCB">
        <w:rPr>
          <w:rFonts w:hint="cs"/>
          <w:rtl/>
          <w:lang w:eastAsia="fr-FR" w:bidi="ar-MA"/>
        </w:rPr>
        <w:t>ّ</w:t>
      </w:r>
      <w:r w:rsidRPr="00904FCB">
        <w:rPr>
          <w:rFonts w:hint="cs"/>
          <w:rtl/>
          <w:lang w:eastAsia="fr-FR" w:bidi="ar-MA"/>
        </w:rPr>
        <w:t>ة</w:t>
      </w:r>
      <w:r w:rsidR="00F90A46" w:rsidRPr="00904FCB">
        <w:rPr>
          <w:rFonts w:hint="cs"/>
          <w:rtl/>
          <w:lang w:eastAsia="fr-FR" w:bidi="ar-MA"/>
        </w:rPr>
        <w:t>ٍ</w:t>
      </w:r>
      <w:r w:rsidRPr="00904FCB">
        <w:rPr>
          <w:rFonts w:hint="cs"/>
          <w:rtl/>
          <w:lang w:eastAsia="fr-FR" w:bidi="ar-MA"/>
        </w:rPr>
        <w:t xml:space="preserve"> للمواجهة الأخيرة والحاسمة في مطالع الألفية الثالثة</w:t>
      </w:r>
      <w:r w:rsidR="00F90A46" w:rsidRPr="00904FCB">
        <w:rPr>
          <w:rFonts w:hint="cs"/>
          <w:rtl/>
          <w:lang w:eastAsia="fr-FR" w:bidi="ar-MA"/>
        </w:rPr>
        <w:t>،</w:t>
      </w:r>
      <w:r w:rsidRPr="00904FCB">
        <w:rPr>
          <w:rFonts w:hint="cs"/>
          <w:rtl/>
          <w:lang w:eastAsia="fr-FR" w:bidi="ar-MA"/>
        </w:rPr>
        <w:t xml:space="preserve"> متّخذة الأدوات </w:t>
      </w:r>
      <w:r w:rsidR="00F90A46" w:rsidRPr="00904FCB">
        <w:rPr>
          <w:rFonts w:hint="cs"/>
          <w:rtl/>
          <w:lang w:eastAsia="fr-FR" w:bidi="ar-MA"/>
        </w:rPr>
        <w:t>التالية</w:t>
      </w:r>
      <w:r w:rsidRPr="00904FCB">
        <w:rPr>
          <w:rFonts w:hint="cs"/>
          <w:rtl/>
          <w:lang w:eastAsia="fr-FR" w:bidi="ar-MA"/>
        </w:rPr>
        <w:t xml:space="preserve">: </w:t>
      </w:r>
    </w:p>
    <w:p w:rsidR="00625F5D" w:rsidRPr="00904FCB" w:rsidRDefault="00625F5D" w:rsidP="007A21AA">
      <w:pPr>
        <w:spacing w:line="400" w:lineRule="exact"/>
        <w:rPr>
          <w:rtl/>
          <w:lang w:eastAsia="fr-FR" w:bidi="ar-MA"/>
        </w:rPr>
      </w:pPr>
      <w:r w:rsidRPr="00904FCB">
        <w:rPr>
          <w:rFonts w:hint="cs"/>
          <w:rtl/>
          <w:lang w:eastAsia="fr-FR" w:bidi="ar-MA"/>
        </w:rPr>
        <w:t xml:space="preserve">ـ </w:t>
      </w:r>
      <w:r w:rsidR="00F90A46" w:rsidRPr="00904FCB">
        <w:rPr>
          <w:rFonts w:hint="cs"/>
          <w:rtl/>
          <w:lang w:eastAsia="fr-FR" w:bidi="ar-MA"/>
        </w:rPr>
        <w:t>استغلال</w:t>
      </w:r>
      <w:r w:rsidRPr="00904FCB">
        <w:rPr>
          <w:rFonts w:hint="cs"/>
          <w:rtl/>
          <w:lang w:eastAsia="fr-FR" w:bidi="ar-MA"/>
        </w:rPr>
        <w:t xml:space="preserve"> وزنها الدولي ونفوذها في الكيانات والأنظمة القائمة في العالمين العربي والإسلامي. </w:t>
      </w:r>
    </w:p>
    <w:p w:rsidR="00625F5D" w:rsidRPr="00904FCB" w:rsidRDefault="00625F5D" w:rsidP="007A21AA">
      <w:pPr>
        <w:spacing w:line="400" w:lineRule="exact"/>
        <w:rPr>
          <w:rtl/>
          <w:lang w:eastAsia="fr-FR" w:bidi="ar-MA"/>
        </w:rPr>
      </w:pPr>
      <w:r w:rsidRPr="00904FCB">
        <w:rPr>
          <w:rFonts w:hint="cs"/>
          <w:rtl/>
          <w:lang w:eastAsia="fr-FR" w:bidi="ar-MA"/>
        </w:rPr>
        <w:t>ـ التحك</w:t>
      </w:r>
      <w:r w:rsidR="00F90A46" w:rsidRPr="00904FCB">
        <w:rPr>
          <w:rFonts w:hint="cs"/>
          <w:rtl/>
          <w:lang w:eastAsia="fr-FR" w:bidi="ar-MA"/>
        </w:rPr>
        <w:t>ُّ</w:t>
      </w:r>
      <w:r w:rsidRPr="00904FCB">
        <w:rPr>
          <w:rFonts w:hint="cs"/>
          <w:rtl/>
          <w:lang w:eastAsia="fr-FR" w:bidi="ar-MA"/>
        </w:rPr>
        <w:t xml:space="preserve">م </w:t>
      </w:r>
      <w:r w:rsidR="00F90A46" w:rsidRPr="00904FCB">
        <w:rPr>
          <w:rFonts w:hint="cs"/>
          <w:rtl/>
          <w:lang w:eastAsia="fr-FR" w:bidi="ar-MA"/>
        </w:rPr>
        <w:t>ب</w:t>
      </w:r>
      <w:r w:rsidRPr="00904FCB">
        <w:rPr>
          <w:rFonts w:hint="cs"/>
          <w:rtl/>
          <w:lang w:eastAsia="fr-FR" w:bidi="ar-MA"/>
        </w:rPr>
        <w:t>المؤس</w:t>
      </w:r>
      <w:r w:rsidR="00F90A46" w:rsidRPr="00904FCB">
        <w:rPr>
          <w:rFonts w:hint="cs"/>
          <w:rtl/>
          <w:lang w:eastAsia="fr-FR" w:bidi="ar-MA"/>
        </w:rPr>
        <w:t>ّ</w:t>
      </w:r>
      <w:r w:rsidRPr="00904FCB">
        <w:rPr>
          <w:rFonts w:hint="cs"/>
          <w:rtl/>
          <w:lang w:eastAsia="fr-FR" w:bidi="ar-MA"/>
        </w:rPr>
        <w:t>سات والمحافل والمنظمات الدولية التابعة لها أساسا</w:t>
      </w:r>
      <w:r w:rsidR="00F90A46" w:rsidRPr="00904FCB">
        <w:rPr>
          <w:rFonts w:hint="cs"/>
          <w:rtl/>
          <w:lang w:eastAsia="fr-FR" w:bidi="ar-MA"/>
        </w:rPr>
        <w:t>ً</w:t>
      </w:r>
      <w:r w:rsidRPr="00904FCB">
        <w:rPr>
          <w:rFonts w:hint="cs"/>
          <w:rtl/>
          <w:lang w:eastAsia="fr-FR" w:bidi="ar-MA"/>
        </w:rPr>
        <w:t>، والتلاعب بمواثيقها وقوانينها وتفسيرها وتكييفها وفق مصالحها</w:t>
      </w:r>
      <w:r w:rsidRPr="00904FCB">
        <w:rPr>
          <w:vertAlign w:val="superscript"/>
          <w:rtl/>
          <w:lang w:eastAsia="fr-FR" w:bidi="ar-MA"/>
        </w:rPr>
        <w:t>(</w:t>
      </w:r>
      <w:r w:rsidRPr="00904FCB">
        <w:rPr>
          <w:rStyle w:val="ac"/>
          <w:rFonts w:ascii="Georgia" w:hAnsi="Georgia"/>
          <w:sz w:val="27"/>
          <w:rtl/>
          <w:lang w:eastAsia="fr-FR" w:bidi="ar-MA"/>
        </w:rPr>
        <w:endnoteReference w:id="531"/>
      </w:r>
      <w:r w:rsidRPr="00904FCB">
        <w:rPr>
          <w:vertAlign w:val="superscript"/>
          <w:rtl/>
          <w:lang w:eastAsia="fr-FR" w:bidi="ar-MA"/>
        </w:rPr>
        <w:t>)</w:t>
      </w:r>
      <w:r w:rsidRPr="00904FCB">
        <w:rPr>
          <w:rFonts w:hint="cs"/>
          <w:rtl/>
          <w:lang w:eastAsia="fr-FR" w:bidi="ar-MA"/>
        </w:rPr>
        <w:t xml:space="preserve">. </w:t>
      </w:r>
    </w:p>
    <w:p w:rsidR="00625F5D" w:rsidRPr="00904FCB" w:rsidRDefault="00625F5D" w:rsidP="007A21AA">
      <w:pPr>
        <w:spacing w:line="400" w:lineRule="exact"/>
        <w:rPr>
          <w:rtl/>
          <w:lang w:eastAsia="fr-FR" w:bidi="ar-MA"/>
        </w:rPr>
      </w:pPr>
      <w:r w:rsidRPr="00904FCB">
        <w:rPr>
          <w:rFonts w:hint="cs"/>
          <w:rtl/>
          <w:lang w:eastAsia="fr-FR" w:bidi="ar-MA"/>
        </w:rPr>
        <w:t>ـ السيطرة على وسائل الإعلام والات</w:t>
      </w:r>
      <w:r w:rsidR="00F90A46" w:rsidRPr="00904FCB">
        <w:rPr>
          <w:rFonts w:hint="cs"/>
          <w:rtl/>
          <w:lang w:eastAsia="fr-FR" w:bidi="ar-MA"/>
        </w:rPr>
        <w:t>ّ</w:t>
      </w:r>
      <w:r w:rsidRPr="00904FCB">
        <w:rPr>
          <w:rFonts w:hint="cs"/>
          <w:rtl/>
          <w:lang w:eastAsia="fr-FR" w:bidi="ar-MA"/>
        </w:rPr>
        <w:t>صال والدعاية والثقافة العالمية، وما يدور في فلكها من تكنولوجيات ات</w:t>
      </w:r>
      <w:r w:rsidR="00F90A46" w:rsidRPr="00904FCB">
        <w:rPr>
          <w:rFonts w:hint="cs"/>
          <w:rtl/>
          <w:lang w:eastAsia="fr-FR" w:bidi="ar-MA"/>
        </w:rPr>
        <w:t>ّ</w:t>
      </w:r>
      <w:r w:rsidRPr="00904FCB">
        <w:rPr>
          <w:rFonts w:hint="cs"/>
          <w:rtl/>
          <w:lang w:eastAsia="fr-FR" w:bidi="ar-MA"/>
        </w:rPr>
        <w:t xml:space="preserve">صالية ومعلوماتية. </w:t>
      </w:r>
    </w:p>
    <w:p w:rsidR="00625F5D" w:rsidRPr="00904FCB" w:rsidRDefault="00625F5D" w:rsidP="00CC2151">
      <w:pPr>
        <w:spacing w:line="400" w:lineRule="exact"/>
        <w:rPr>
          <w:rtl/>
          <w:lang w:eastAsia="fr-FR" w:bidi="ar-MA"/>
        </w:rPr>
      </w:pPr>
      <w:r w:rsidRPr="00904FCB">
        <w:rPr>
          <w:rFonts w:hint="cs"/>
          <w:rtl/>
          <w:lang w:eastAsia="fr-FR" w:bidi="ar-MA"/>
        </w:rPr>
        <w:t>ـ التحك</w:t>
      </w:r>
      <w:r w:rsidR="00F90A46" w:rsidRPr="00904FCB">
        <w:rPr>
          <w:rFonts w:hint="cs"/>
          <w:rtl/>
          <w:lang w:eastAsia="fr-FR" w:bidi="ar-MA"/>
        </w:rPr>
        <w:t>ّ</w:t>
      </w:r>
      <w:r w:rsidRPr="00904FCB">
        <w:rPr>
          <w:rFonts w:hint="cs"/>
          <w:rtl/>
          <w:lang w:eastAsia="fr-FR" w:bidi="ar-MA"/>
        </w:rPr>
        <w:t xml:space="preserve">م </w:t>
      </w:r>
      <w:r w:rsidR="00CC2151">
        <w:rPr>
          <w:rFonts w:hint="cs"/>
          <w:rtl/>
          <w:lang w:eastAsia="fr-FR" w:bidi="ar-MA"/>
        </w:rPr>
        <w:t>ب</w:t>
      </w:r>
      <w:r w:rsidRPr="00904FCB">
        <w:rPr>
          <w:rFonts w:hint="cs"/>
          <w:rtl/>
          <w:lang w:eastAsia="fr-FR" w:bidi="ar-MA"/>
        </w:rPr>
        <w:t>ل</w:t>
      </w:r>
      <w:r w:rsidR="00CC2151">
        <w:rPr>
          <w:rFonts w:hint="cs"/>
          <w:rtl/>
          <w:lang w:eastAsia="fr-FR" w:bidi="ar-MA"/>
        </w:rPr>
        <w:t>ُ</w:t>
      </w:r>
      <w:r w:rsidRPr="00904FCB">
        <w:rPr>
          <w:rFonts w:hint="cs"/>
          <w:rtl/>
          <w:lang w:eastAsia="fr-FR" w:bidi="ar-MA"/>
        </w:rPr>
        <w:t>وبيات دعاة العصرنة والحداثة والعلمنة من صغار الأحزاب والنخب المستغربة</w:t>
      </w:r>
      <w:r w:rsidR="00F90A46" w:rsidRPr="00904FCB">
        <w:rPr>
          <w:rFonts w:hint="cs"/>
          <w:rtl/>
          <w:lang w:eastAsia="fr-FR" w:bidi="ar-MA"/>
        </w:rPr>
        <w:t>،</w:t>
      </w:r>
      <w:r w:rsidRPr="00904FCB">
        <w:rPr>
          <w:rFonts w:hint="cs"/>
          <w:rtl/>
          <w:lang w:eastAsia="fr-FR" w:bidi="ar-MA"/>
        </w:rPr>
        <w:t xml:space="preserve"> وتوظيفها لهم في مشاريعها. </w:t>
      </w:r>
    </w:p>
    <w:p w:rsidR="00625F5D" w:rsidRPr="00904FCB" w:rsidRDefault="00625F5D" w:rsidP="007A21AA">
      <w:pPr>
        <w:spacing w:line="400" w:lineRule="exact"/>
        <w:rPr>
          <w:rtl/>
          <w:lang w:eastAsia="fr-FR" w:bidi="ar-MA"/>
        </w:rPr>
      </w:pPr>
      <w:r w:rsidRPr="00904FCB">
        <w:rPr>
          <w:rFonts w:hint="cs"/>
          <w:rtl/>
          <w:lang w:eastAsia="fr-FR" w:bidi="ar-MA"/>
        </w:rPr>
        <w:t>ـ ابتزاز الأنظمة العربية والإسلامية بدعاوى الديمقراطية، والتعد</w:t>
      </w:r>
      <w:r w:rsidR="00676A5A" w:rsidRPr="00904FCB">
        <w:rPr>
          <w:rFonts w:hint="cs"/>
          <w:rtl/>
          <w:lang w:eastAsia="fr-FR" w:bidi="ar-MA"/>
        </w:rPr>
        <w:t>ُّ</w:t>
      </w:r>
      <w:r w:rsidRPr="00904FCB">
        <w:rPr>
          <w:rFonts w:hint="cs"/>
          <w:rtl/>
          <w:lang w:eastAsia="fr-FR" w:bidi="ar-MA"/>
        </w:rPr>
        <w:t>دية السياسية، وحقوق الإنسان، وتحقيق الحر</w:t>
      </w:r>
      <w:r w:rsidR="00676A5A" w:rsidRPr="00904FCB">
        <w:rPr>
          <w:rFonts w:hint="cs"/>
          <w:rtl/>
          <w:lang w:eastAsia="fr-FR" w:bidi="ar-MA"/>
        </w:rPr>
        <w:t>ّ</w:t>
      </w:r>
      <w:r w:rsidRPr="00904FCB">
        <w:rPr>
          <w:rFonts w:hint="cs"/>
          <w:rtl/>
          <w:lang w:eastAsia="fr-FR" w:bidi="ar-MA"/>
        </w:rPr>
        <w:t>يات الفردية، والسعي لتطبيق سياسات اقتصاد السوق، وتحرير المبادرات والأسواق والمبادلات الحر</w:t>
      </w:r>
      <w:r w:rsidR="00676A5A" w:rsidRPr="00904FCB">
        <w:rPr>
          <w:rFonts w:hint="cs"/>
          <w:rtl/>
          <w:lang w:eastAsia="fr-FR" w:bidi="ar-MA"/>
        </w:rPr>
        <w:t>ّة</w:t>
      </w:r>
      <w:r w:rsidRPr="00904FCB">
        <w:rPr>
          <w:vertAlign w:val="superscript"/>
          <w:rtl/>
          <w:lang w:eastAsia="fr-FR" w:bidi="ar-MA"/>
        </w:rPr>
        <w:t>(</w:t>
      </w:r>
      <w:r w:rsidRPr="00904FCB">
        <w:rPr>
          <w:rStyle w:val="ac"/>
          <w:rFonts w:ascii="Georgia" w:hAnsi="Georgia"/>
          <w:sz w:val="27"/>
          <w:rtl/>
          <w:lang w:eastAsia="fr-FR" w:bidi="ar-EG"/>
        </w:rPr>
        <w:endnoteReference w:id="532"/>
      </w:r>
      <w:r w:rsidRPr="00904FCB">
        <w:rPr>
          <w:vertAlign w:val="superscript"/>
          <w:rtl/>
          <w:lang w:eastAsia="fr-FR" w:bidi="ar-MA"/>
        </w:rPr>
        <w:t>)</w:t>
      </w:r>
      <w:r w:rsidR="00676A5A" w:rsidRPr="00904FCB">
        <w:rPr>
          <w:rFonts w:hint="cs"/>
          <w:rtl/>
          <w:lang w:eastAsia="fr-FR" w:bidi="ar-MA"/>
        </w:rPr>
        <w:t>.</w:t>
      </w:r>
    </w:p>
    <w:p w:rsidR="00625F5D" w:rsidRPr="00904FCB" w:rsidRDefault="00625F5D" w:rsidP="007A21AA">
      <w:pPr>
        <w:spacing w:line="400" w:lineRule="exact"/>
        <w:rPr>
          <w:rtl/>
          <w:lang w:eastAsia="fr-FR" w:bidi="ar-MA"/>
        </w:rPr>
      </w:pPr>
      <w:r w:rsidRPr="00904FCB">
        <w:rPr>
          <w:rFonts w:hint="cs"/>
          <w:rtl/>
          <w:lang w:eastAsia="fr-FR" w:bidi="ar-MA"/>
        </w:rPr>
        <w:t>ـ إحكام السيطرة على اقتصادي</w:t>
      </w:r>
      <w:r w:rsidR="00676A5A" w:rsidRPr="00904FCB">
        <w:rPr>
          <w:rFonts w:hint="cs"/>
          <w:rtl/>
          <w:lang w:eastAsia="fr-FR" w:bidi="ar-MA"/>
        </w:rPr>
        <w:t>ّ</w:t>
      </w:r>
      <w:r w:rsidRPr="00904FCB">
        <w:rPr>
          <w:rFonts w:hint="cs"/>
          <w:rtl/>
          <w:lang w:eastAsia="fr-FR" w:bidi="ar-MA"/>
        </w:rPr>
        <w:t>ات العالم بشكل</w:t>
      </w:r>
      <w:r w:rsidR="00676A5A" w:rsidRPr="00904FCB">
        <w:rPr>
          <w:rFonts w:hint="cs"/>
          <w:rtl/>
          <w:lang w:eastAsia="fr-FR" w:bidi="ar-MA"/>
        </w:rPr>
        <w:t>ٍ</w:t>
      </w:r>
      <w:r w:rsidRPr="00904FCB">
        <w:rPr>
          <w:rFonts w:hint="cs"/>
          <w:rtl/>
          <w:lang w:eastAsia="fr-FR" w:bidi="ar-MA"/>
        </w:rPr>
        <w:t xml:space="preserve"> عام</w:t>
      </w:r>
      <w:r w:rsidR="00676A5A" w:rsidRPr="00904FCB">
        <w:rPr>
          <w:rFonts w:hint="cs"/>
          <w:rtl/>
          <w:lang w:eastAsia="fr-FR" w:bidi="ar-MA"/>
        </w:rPr>
        <w:t>،</w:t>
      </w:r>
      <w:r w:rsidRPr="00904FCB">
        <w:rPr>
          <w:rFonts w:hint="cs"/>
          <w:rtl/>
          <w:lang w:eastAsia="fr-FR" w:bidi="ar-MA"/>
        </w:rPr>
        <w:t xml:space="preserve"> وعلى اقتصاديات العالم الإسلامي بشكل</w:t>
      </w:r>
      <w:r w:rsidR="00676A5A" w:rsidRPr="00904FCB">
        <w:rPr>
          <w:rFonts w:hint="cs"/>
          <w:rtl/>
          <w:lang w:eastAsia="fr-FR" w:bidi="ar-MA"/>
        </w:rPr>
        <w:t>ٍ</w:t>
      </w:r>
      <w:r w:rsidRPr="00904FCB">
        <w:rPr>
          <w:rFonts w:hint="cs"/>
          <w:rtl/>
          <w:lang w:eastAsia="fr-FR" w:bidi="ar-MA"/>
        </w:rPr>
        <w:t xml:space="preserve"> خاص</w:t>
      </w:r>
      <w:r w:rsidR="00676A5A" w:rsidRPr="00904FCB">
        <w:rPr>
          <w:rFonts w:hint="cs"/>
          <w:rtl/>
          <w:lang w:eastAsia="fr-FR" w:bidi="ar-MA"/>
        </w:rPr>
        <w:t>ّ</w:t>
      </w:r>
      <w:r w:rsidRPr="00904FCB">
        <w:rPr>
          <w:rFonts w:hint="cs"/>
          <w:rtl/>
          <w:lang w:eastAsia="fr-FR" w:bidi="ar-MA"/>
        </w:rPr>
        <w:t>، وذلك بإيهام العالم أن لا سبيل للتقد</w:t>
      </w:r>
      <w:r w:rsidR="00676A5A" w:rsidRPr="00904FCB">
        <w:rPr>
          <w:rFonts w:hint="cs"/>
          <w:rtl/>
          <w:lang w:eastAsia="fr-FR" w:bidi="ar-MA"/>
        </w:rPr>
        <w:t>ُّ</w:t>
      </w:r>
      <w:r w:rsidRPr="00904FCB">
        <w:rPr>
          <w:rFonts w:hint="cs"/>
          <w:rtl/>
          <w:lang w:eastAsia="fr-FR" w:bidi="ar-MA"/>
        </w:rPr>
        <w:t>م الاقتصادي إلا</w:t>
      </w:r>
      <w:r w:rsidR="00676A5A" w:rsidRPr="00904FCB">
        <w:rPr>
          <w:rFonts w:hint="cs"/>
          <w:rtl/>
          <w:lang w:eastAsia="fr-FR" w:bidi="ar-MA"/>
        </w:rPr>
        <w:t>ّ</w:t>
      </w:r>
      <w:r w:rsidRPr="00904FCB">
        <w:rPr>
          <w:rFonts w:hint="cs"/>
          <w:rtl/>
          <w:lang w:eastAsia="fr-FR" w:bidi="ar-MA"/>
        </w:rPr>
        <w:t xml:space="preserve"> بنظام السوق الحر</w:t>
      </w:r>
      <w:r w:rsidR="00676A5A" w:rsidRPr="00904FCB">
        <w:rPr>
          <w:rFonts w:hint="cs"/>
          <w:rtl/>
          <w:lang w:eastAsia="fr-FR" w:bidi="ar-MA"/>
        </w:rPr>
        <w:t>ّ</w:t>
      </w:r>
      <w:r w:rsidRPr="00904FCB">
        <w:rPr>
          <w:rFonts w:hint="cs"/>
          <w:rtl/>
          <w:lang w:eastAsia="fr-FR" w:bidi="ar-MA"/>
        </w:rPr>
        <w:t xml:space="preserve"> والمفتوح</w:t>
      </w:r>
      <w:r w:rsidR="00676A5A" w:rsidRPr="00904FCB">
        <w:rPr>
          <w:rFonts w:hint="cs"/>
          <w:rtl/>
          <w:lang w:eastAsia="fr-FR" w:bidi="ar-MA"/>
        </w:rPr>
        <w:t>؛</w:t>
      </w:r>
      <w:r w:rsidRPr="00904FCB">
        <w:rPr>
          <w:rFonts w:hint="cs"/>
          <w:rtl/>
          <w:lang w:eastAsia="fr-FR" w:bidi="ar-MA"/>
        </w:rPr>
        <w:t xml:space="preserve"> لغرض فتح الأسواق العالمية أمام المنتجات الغربية بشكل</w:t>
      </w:r>
      <w:r w:rsidR="00676A5A" w:rsidRPr="00904FCB">
        <w:rPr>
          <w:rFonts w:hint="cs"/>
          <w:rtl/>
          <w:lang w:eastAsia="fr-FR" w:bidi="ar-MA"/>
        </w:rPr>
        <w:t>ٍ</w:t>
      </w:r>
      <w:r w:rsidRPr="00904FCB">
        <w:rPr>
          <w:rFonts w:hint="cs"/>
          <w:rtl/>
          <w:lang w:eastAsia="fr-FR" w:bidi="ar-MA"/>
        </w:rPr>
        <w:t xml:space="preserve"> عام</w:t>
      </w:r>
      <w:r w:rsidR="00676A5A" w:rsidRPr="00904FCB">
        <w:rPr>
          <w:rFonts w:hint="cs"/>
          <w:rtl/>
          <w:lang w:eastAsia="fr-FR" w:bidi="ar-MA"/>
        </w:rPr>
        <w:t>ّ</w:t>
      </w:r>
      <w:r w:rsidRPr="00904FCB">
        <w:rPr>
          <w:rFonts w:hint="cs"/>
          <w:rtl/>
          <w:lang w:eastAsia="fr-FR" w:bidi="ar-MA"/>
        </w:rPr>
        <w:t>، والمنتجات الأمريكية بشكل</w:t>
      </w:r>
      <w:r w:rsidR="00676A5A" w:rsidRPr="00904FCB">
        <w:rPr>
          <w:rFonts w:hint="cs"/>
          <w:rtl/>
          <w:lang w:eastAsia="fr-FR" w:bidi="ar-MA"/>
        </w:rPr>
        <w:t>ٍ</w:t>
      </w:r>
      <w:r w:rsidRPr="00904FCB">
        <w:rPr>
          <w:rFonts w:hint="cs"/>
          <w:rtl/>
          <w:lang w:eastAsia="fr-FR" w:bidi="ar-MA"/>
        </w:rPr>
        <w:t xml:space="preserve"> خاص</w:t>
      </w:r>
      <w:r w:rsidR="00676A5A" w:rsidRPr="00904FCB">
        <w:rPr>
          <w:rFonts w:hint="cs"/>
          <w:rtl/>
          <w:lang w:eastAsia="fr-FR" w:bidi="ar-MA"/>
        </w:rPr>
        <w:t>ّ</w:t>
      </w:r>
      <w:r w:rsidRPr="00904FCB">
        <w:rPr>
          <w:rFonts w:hint="cs"/>
          <w:rtl/>
          <w:lang w:eastAsia="fr-FR" w:bidi="ar-MA"/>
        </w:rPr>
        <w:t xml:space="preserve">. </w:t>
      </w:r>
    </w:p>
    <w:p w:rsidR="00625F5D" w:rsidRPr="00904FCB" w:rsidRDefault="00625F5D" w:rsidP="007A21AA">
      <w:pPr>
        <w:spacing w:line="400" w:lineRule="exact"/>
        <w:rPr>
          <w:rtl/>
          <w:lang w:eastAsia="fr-FR" w:bidi="ar-MA"/>
        </w:rPr>
      </w:pPr>
      <w:r w:rsidRPr="00904FCB">
        <w:rPr>
          <w:rFonts w:hint="cs"/>
          <w:rtl/>
          <w:lang w:eastAsia="fr-FR" w:bidi="ar-MA"/>
        </w:rPr>
        <w:lastRenderedPageBreak/>
        <w:t>ـ تغيير شكل وحدود الخارطة العالمية، ورسم معالم خارطة دولية استعمارية أمريكية جديدة، ولو بشن</w:t>
      </w:r>
      <w:r w:rsidR="00676A5A" w:rsidRPr="00904FCB">
        <w:rPr>
          <w:rFonts w:hint="cs"/>
          <w:rtl/>
          <w:lang w:eastAsia="fr-FR" w:bidi="ar-MA"/>
        </w:rPr>
        <w:t>ّ</w:t>
      </w:r>
      <w:r w:rsidRPr="00904FCB">
        <w:rPr>
          <w:rFonts w:hint="cs"/>
          <w:rtl/>
          <w:lang w:eastAsia="fr-FR" w:bidi="ar-MA"/>
        </w:rPr>
        <w:t xml:space="preserve"> الحروب مباشرة، كما حصل في حرب الخليج الثالثة</w:t>
      </w:r>
      <w:r w:rsidR="00821B77">
        <w:rPr>
          <w:rFonts w:hint="cs"/>
          <w:rtl/>
          <w:lang w:eastAsia="fr-FR" w:bidi="ar-MA"/>
        </w:rPr>
        <w:t>،</w:t>
      </w:r>
      <w:r w:rsidRPr="00904FCB">
        <w:rPr>
          <w:rFonts w:hint="cs"/>
          <w:rtl/>
          <w:lang w:eastAsia="fr-FR" w:bidi="ar-MA"/>
        </w:rPr>
        <w:t xml:space="preserve"> شهري مارس وأ</w:t>
      </w:r>
      <w:r w:rsidR="00676A5A" w:rsidRPr="00904FCB">
        <w:rPr>
          <w:rFonts w:hint="cs"/>
          <w:rtl/>
          <w:lang w:eastAsia="fr-FR" w:bidi="ar-MA"/>
        </w:rPr>
        <w:t>ب</w:t>
      </w:r>
      <w:r w:rsidRPr="00904FCB">
        <w:rPr>
          <w:rFonts w:hint="cs"/>
          <w:rtl/>
          <w:lang w:eastAsia="fr-FR" w:bidi="ar-MA"/>
        </w:rPr>
        <w:t xml:space="preserve">ريل سنة </w:t>
      </w:r>
      <w:r w:rsidRPr="00A80D94">
        <w:rPr>
          <w:rFonts w:asciiTheme="majorBidi" w:hAnsiTheme="majorBidi"/>
          <w:rtl/>
          <w:lang w:eastAsia="fr-FR" w:bidi="ar-MA"/>
        </w:rPr>
        <w:t>2003</w:t>
      </w:r>
      <w:r w:rsidRPr="00A80D94">
        <w:rPr>
          <w:rFonts w:hint="cs"/>
          <w:rtl/>
          <w:lang w:eastAsia="fr-FR" w:bidi="ar-MA"/>
        </w:rPr>
        <w:t>م</w:t>
      </w:r>
      <w:r w:rsidRPr="00904FCB">
        <w:rPr>
          <w:rFonts w:hint="cs"/>
          <w:rtl/>
          <w:lang w:eastAsia="fr-FR" w:bidi="ar-MA"/>
        </w:rPr>
        <w:t xml:space="preserve">. </w:t>
      </w:r>
    </w:p>
    <w:p w:rsidR="00625F5D" w:rsidRPr="00904FCB" w:rsidRDefault="00625F5D" w:rsidP="007A21AA">
      <w:pPr>
        <w:spacing w:line="400" w:lineRule="exact"/>
        <w:rPr>
          <w:sz w:val="27"/>
          <w:rtl/>
          <w:lang w:bidi="ar-EG"/>
        </w:rPr>
      </w:pPr>
      <w:bookmarkStart w:id="52" w:name="link64"/>
      <w:bookmarkEnd w:id="52"/>
      <w:r w:rsidRPr="00904FCB">
        <w:rPr>
          <w:rFonts w:ascii="Georgia" w:hAnsi="Georgia" w:hint="cs"/>
          <w:sz w:val="27"/>
          <w:rtl/>
          <w:lang w:eastAsia="fr-FR" w:bidi="ar-MA"/>
        </w:rPr>
        <w:t>وهكذا يتضح لنا جلي</w:t>
      </w:r>
      <w:r w:rsidR="00676A5A" w:rsidRPr="00904FCB">
        <w:rPr>
          <w:rFonts w:ascii="Georgia" w:hAnsi="Georgia" w:hint="cs"/>
          <w:sz w:val="27"/>
          <w:rtl/>
          <w:lang w:eastAsia="fr-FR" w:bidi="ar-MA"/>
        </w:rPr>
        <w:t>ّ</w:t>
      </w:r>
      <w:r w:rsidRPr="00904FCB">
        <w:rPr>
          <w:rFonts w:ascii="Georgia" w:hAnsi="Georgia" w:hint="cs"/>
          <w:sz w:val="27"/>
          <w:rtl/>
          <w:lang w:eastAsia="fr-FR" w:bidi="ar-MA"/>
        </w:rPr>
        <w:t>ا</w:t>
      </w:r>
      <w:r w:rsidR="00676A5A" w:rsidRPr="00904FCB">
        <w:rPr>
          <w:rFonts w:ascii="Georgia" w:hAnsi="Georgia" w:hint="cs"/>
          <w:sz w:val="27"/>
          <w:rtl/>
          <w:lang w:eastAsia="fr-FR" w:bidi="ar-MA"/>
        </w:rPr>
        <w:t>ً</w:t>
      </w:r>
      <w:r w:rsidRPr="00904FCB">
        <w:rPr>
          <w:rFonts w:ascii="Georgia" w:hAnsi="Georgia" w:hint="cs"/>
          <w:sz w:val="27"/>
          <w:rtl/>
          <w:lang w:eastAsia="fr-FR" w:bidi="ar-MA"/>
        </w:rPr>
        <w:t xml:space="preserve"> أن</w:t>
      </w:r>
      <w:r w:rsidRPr="00904FCB">
        <w:rPr>
          <w:rFonts w:hint="cs"/>
          <w:sz w:val="27"/>
          <w:rtl/>
          <w:lang w:bidi="ar-MA"/>
        </w:rPr>
        <w:t xml:space="preserve"> </w:t>
      </w:r>
      <w:r w:rsidRPr="00904FCB">
        <w:rPr>
          <w:rFonts w:hint="cs"/>
          <w:sz w:val="27"/>
          <w:rtl/>
        </w:rPr>
        <w:t>التطبيق الغربي الأمريكي للحداثة يُمارَس بشكل</w:t>
      </w:r>
      <w:r w:rsidR="00676A5A" w:rsidRPr="00904FCB">
        <w:rPr>
          <w:rFonts w:hint="cs"/>
          <w:sz w:val="27"/>
          <w:rtl/>
        </w:rPr>
        <w:t>ٍ</w:t>
      </w:r>
      <w:r w:rsidRPr="00904FCB">
        <w:rPr>
          <w:rFonts w:hint="cs"/>
          <w:sz w:val="27"/>
          <w:rtl/>
        </w:rPr>
        <w:t xml:space="preserve"> عنيف وخبيث على الشعوب المستضعفة ـ على حد</w:t>
      </w:r>
      <w:r w:rsidR="00676A5A" w:rsidRPr="00904FCB">
        <w:rPr>
          <w:rFonts w:hint="cs"/>
          <w:sz w:val="27"/>
          <w:rtl/>
        </w:rPr>
        <w:t>ّ</w:t>
      </w:r>
      <w:r w:rsidRPr="00904FCB">
        <w:rPr>
          <w:rFonts w:hint="cs"/>
          <w:sz w:val="27"/>
          <w:rtl/>
        </w:rPr>
        <w:t xml:space="preserve"> قول الدكتور عبد الإله بلقزيز </w:t>
      </w:r>
      <w:r w:rsidRPr="00904FCB">
        <w:rPr>
          <w:sz w:val="27"/>
          <w:rtl/>
        </w:rPr>
        <w:t>ـ</w:t>
      </w:r>
      <w:r w:rsidR="00676A5A" w:rsidRPr="00904FCB">
        <w:rPr>
          <w:rFonts w:hint="cs"/>
          <w:sz w:val="27"/>
          <w:rtl/>
        </w:rPr>
        <w:t>؛</w:t>
      </w:r>
      <w:r w:rsidRPr="00904FCB">
        <w:rPr>
          <w:rFonts w:hint="cs"/>
          <w:sz w:val="27"/>
          <w:rtl/>
        </w:rPr>
        <w:t xml:space="preserve"> لأن هذه الحداثة المزعومة لم تقترح نفسها بطريقة حضارية إقناعية على المجتمعات والثقافات، بل اقتحمت قلاعها المحروسة</w:t>
      </w:r>
      <w:r w:rsidR="00676A5A" w:rsidRPr="00904FCB">
        <w:rPr>
          <w:rFonts w:hint="cs"/>
          <w:sz w:val="27"/>
          <w:rtl/>
        </w:rPr>
        <w:t>،</w:t>
      </w:r>
      <w:r w:rsidRPr="00904FCB">
        <w:rPr>
          <w:rFonts w:hint="cs"/>
          <w:sz w:val="27"/>
          <w:rtl/>
        </w:rPr>
        <w:t xml:space="preserve"> وفرضت نفسها بالعنف الماد</w:t>
      </w:r>
      <w:r w:rsidR="00676A5A" w:rsidRPr="00904FCB">
        <w:rPr>
          <w:rFonts w:hint="cs"/>
          <w:sz w:val="27"/>
          <w:rtl/>
        </w:rPr>
        <w:t>ّ</w:t>
      </w:r>
      <w:r w:rsidRPr="00904FCB">
        <w:rPr>
          <w:rFonts w:hint="cs"/>
          <w:sz w:val="27"/>
          <w:rtl/>
        </w:rPr>
        <w:t>ي والرمزي</w:t>
      </w:r>
      <w:r w:rsidRPr="00904FCB">
        <w:rPr>
          <w:sz w:val="27"/>
          <w:vertAlign w:val="superscript"/>
          <w:rtl/>
        </w:rPr>
        <w:t>(</w:t>
      </w:r>
      <w:r w:rsidRPr="00904FCB">
        <w:rPr>
          <w:rStyle w:val="ac"/>
          <w:sz w:val="27"/>
          <w:rtl/>
        </w:rPr>
        <w:endnoteReference w:id="533"/>
      </w:r>
      <w:r w:rsidRPr="00904FCB">
        <w:rPr>
          <w:sz w:val="27"/>
          <w:vertAlign w:val="superscript"/>
          <w:rtl/>
        </w:rPr>
        <w:t>)</w:t>
      </w:r>
      <w:r w:rsidRPr="00904FCB">
        <w:rPr>
          <w:rFonts w:hint="cs"/>
          <w:sz w:val="27"/>
          <w:rtl/>
        </w:rPr>
        <w:t xml:space="preserve">. </w:t>
      </w:r>
    </w:p>
    <w:p w:rsidR="00625F5D" w:rsidRPr="00904FCB" w:rsidRDefault="00625F5D" w:rsidP="007A21AA">
      <w:pPr>
        <w:spacing w:line="400" w:lineRule="exact"/>
        <w:rPr>
          <w:sz w:val="27"/>
          <w:rtl/>
          <w:lang w:bidi="ar-DZ"/>
        </w:rPr>
      </w:pPr>
      <w:r w:rsidRPr="00904FCB">
        <w:rPr>
          <w:rFonts w:hint="cs"/>
          <w:sz w:val="27"/>
          <w:rtl/>
          <w:lang w:bidi="ar-EG"/>
        </w:rPr>
        <w:t>وعليه فإننا مطالبون جميعا</w:t>
      </w:r>
      <w:r w:rsidR="00676A5A" w:rsidRPr="00904FCB">
        <w:rPr>
          <w:rFonts w:hint="cs"/>
          <w:sz w:val="27"/>
          <w:rtl/>
          <w:lang w:bidi="ar-EG"/>
        </w:rPr>
        <w:t>ً</w:t>
      </w:r>
      <w:r w:rsidRPr="00904FCB">
        <w:rPr>
          <w:rFonts w:hint="cs"/>
          <w:sz w:val="27"/>
          <w:rtl/>
          <w:lang w:bidi="ar-EG"/>
        </w:rPr>
        <w:t xml:space="preserve"> ـ كنخب عربية وإسلامية ـ بتأسيس حداثة متخلّ</w:t>
      </w:r>
      <w:r w:rsidR="00676A5A" w:rsidRPr="00904FCB">
        <w:rPr>
          <w:rFonts w:hint="cs"/>
          <w:sz w:val="27"/>
          <w:rtl/>
          <w:lang w:bidi="ar-EG"/>
        </w:rPr>
        <w:t>ِ</w:t>
      </w:r>
      <w:r w:rsidRPr="00904FCB">
        <w:rPr>
          <w:rFonts w:hint="cs"/>
          <w:sz w:val="27"/>
          <w:rtl/>
          <w:lang w:bidi="ar-EG"/>
        </w:rPr>
        <w:t>قة</w:t>
      </w:r>
      <w:r w:rsidR="00676A5A" w:rsidRPr="00904FCB">
        <w:rPr>
          <w:rFonts w:hint="cs"/>
          <w:sz w:val="27"/>
          <w:rtl/>
          <w:lang w:bidi="ar-EG"/>
        </w:rPr>
        <w:t>،</w:t>
      </w:r>
      <w:r w:rsidRPr="00904FCB">
        <w:rPr>
          <w:rFonts w:hint="cs"/>
          <w:sz w:val="27"/>
          <w:rtl/>
          <w:lang w:bidi="ar-DZ"/>
        </w:rPr>
        <w:t xml:space="preserve"> ذات توج</w:t>
      </w:r>
      <w:r w:rsidR="00676A5A" w:rsidRPr="00904FCB">
        <w:rPr>
          <w:rFonts w:hint="cs"/>
          <w:sz w:val="27"/>
          <w:rtl/>
          <w:lang w:bidi="ar-DZ"/>
        </w:rPr>
        <w:t>ّ</w:t>
      </w:r>
      <w:r w:rsidRPr="00904FCB">
        <w:rPr>
          <w:rFonts w:hint="cs"/>
          <w:sz w:val="27"/>
          <w:rtl/>
          <w:lang w:bidi="ar-DZ"/>
        </w:rPr>
        <w:t>ه معنوي</w:t>
      </w:r>
      <w:r w:rsidR="00676A5A" w:rsidRPr="00904FCB">
        <w:rPr>
          <w:rFonts w:hint="cs"/>
          <w:sz w:val="27"/>
          <w:rtl/>
          <w:lang w:bidi="ar-DZ"/>
        </w:rPr>
        <w:t>،</w:t>
      </w:r>
      <w:r w:rsidRPr="00904FCB">
        <w:rPr>
          <w:rFonts w:hint="cs"/>
          <w:sz w:val="27"/>
          <w:rtl/>
          <w:lang w:bidi="ar-DZ"/>
        </w:rPr>
        <w:t xml:space="preserve"> بديلة عن هذه الحداثة الماد</w:t>
      </w:r>
      <w:r w:rsidR="00676A5A" w:rsidRPr="00904FCB">
        <w:rPr>
          <w:rFonts w:hint="cs"/>
          <w:sz w:val="27"/>
          <w:rtl/>
          <w:lang w:bidi="ar-DZ"/>
        </w:rPr>
        <w:t>ّ</w:t>
      </w:r>
      <w:r w:rsidRPr="00904FCB">
        <w:rPr>
          <w:rFonts w:hint="cs"/>
          <w:sz w:val="27"/>
          <w:rtl/>
          <w:lang w:bidi="ar-DZ"/>
        </w:rPr>
        <w:t>ية التي يعرفها المجتمع الغربي</w:t>
      </w:r>
      <w:r w:rsidRPr="00904FCB">
        <w:rPr>
          <w:sz w:val="27"/>
          <w:vertAlign w:val="superscript"/>
          <w:rtl/>
          <w:lang w:bidi="ar-DZ"/>
        </w:rPr>
        <w:t>(</w:t>
      </w:r>
      <w:r w:rsidRPr="00904FCB">
        <w:rPr>
          <w:rStyle w:val="ac"/>
          <w:sz w:val="27"/>
          <w:rtl/>
          <w:lang w:bidi="ar-DZ"/>
        </w:rPr>
        <w:endnoteReference w:id="534"/>
      </w:r>
      <w:r w:rsidRPr="00904FCB">
        <w:rPr>
          <w:sz w:val="27"/>
          <w:vertAlign w:val="superscript"/>
          <w:rtl/>
          <w:lang w:bidi="ar-DZ"/>
        </w:rPr>
        <w:t>)</w:t>
      </w:r>
      <w:r w:rsidRPr="00904FCB">
        <w:rPr>
          <w:rFonts w:hint="cs"/>
          <w:sz w:val="27"/>
          <w:rtl/>
          <w:lang w:bidi="ar-DZ"/>
        </w:rPr>
        <w:t xml:space="preserve">. </w:t>
      </w:r>
      <w:r w:rsidRPr="00904FCB">
        <w:rPr>
          <w:rFonts w:hint="cs"/>
          <w:sz w:val="27"/>
          <w:rtl/>
          <w:lang w:bidi="ar-EG"/>
        </w:rPr>
        <w:t>وهذا أمر</w:t>
      </w:r>
      <w:r w:rsidR="00676A5A" w:rsidRPr="00904FCB">
        <w:rPr>
          <w:rFonts w:hint="cs"/>
          <w:sz w:val="27"/>
          <w:rtl/>
          <w:lang w:bidi="ar-EG"/>
        </w:rPr>
        <w:t>ٌ</w:t>
      </w:r>
      <w:r w:rsidRPr="00904FCB">
        <w:rPr>
          <w:rFonts w:hint="cs"/>
          <w:sz w:val="27"/>
          <w:rtl/>
          <w:lang w:bidi="ar-EG"/>
        </w:rPr>
        <w:t xml:space="preserve"> مشروع ومنطقي</w:t>
      </w:r>
      <w:r w:rsidR="00676A5A" w:rsidRPr="00904FCB">
        <w:rPr>
          <w:rFonts w:hint="cs"/>
          <w:sz w:val="27"/>
          <w:rtl/>
          <w:lang w:bidi="ar-EG"/>
        </w:rPr>
        <w:t>؛</w:t>
      </w:r>
      <w:r w:rsidRPr="00904FCB">
        <w:rPr>
          <w:rFonts w:hint="cs"/>
          <w:sz w:val="27"/>
          <w:rtl/>
          <w:lang w:bidi="ar-EG"/>
        </w:rPr>
        <w:t xml:space="preserve"> لأنه حتى </w:t>
      </w:r>
      <w:r w:rsidRPr="00904FCB">
        <w:rPr>
          <w:rFonts w:hint="cs"/>
          <w:sz w:val="27"/>
          <w:rtl/>
          <w:lang w:bidi="ar-DZ"/>
        </w:rPr>
        <w:t>الحداثة الغربية ليست واحدة</w:t>
      </w:r>
      <w:r w:rsidR="00676A5A" w:rsidRPr="00904FCB">
        <w:rPr>
          <w:rFonts w:hint="cs"/>
          <w:sz w:val="27"/>
          <w:rtl/>
          <w:lang w:bidi="ar-DZ"/>
        </w:rPr>
        <w:t>.</w:t>
      </w:r>
      <w:r w:rsidRPr="00904FCB">
        <w:rPr>
          <w:rFonts w:hint="cs"/>
          <w:sz w:val="27"/>
          <w:rtl/>
          <w:lang w:bidi="ar-DZ"/>
        </w:rPr>
        <w:t xml:space="preserve"> والدليل على ذلك </w:t>
      </w:r>
      <w:r w:rsidRPr="00904FCB">
        <w:rPr>
          <w:rFonts w:hint="eastAsia"/>
          <w:sz w:val="27"/>
          <w:rtl/>
          <w:lang w:bidi="ar-DZ"/>
        </w:rPr>
        <w:t>«</w:t>
      </w:r>
      <w:r w:rsidRPr="00904FCB">
        <w:rPr>
          <w:rFonts w:hint="cs"/>
          <w:sz w:val="27"/>
          <w:rtl/>
          <w:lang w:bidi="ar-DZ"/>
        </w:rPr>
        <w:t>أن المشهد الغربي ليس بالتجانس المظنون</w:t>
      </w:r>
      <w:r w:rsidR="00676A5A" w:rsidRPr="00904FCB">
        <w:rPr>
          <w:rFonts w:hint="cs"/>
          <w:sz w:val="27"/>
          <w:rtl/>
          <w:lang w:bidi="ar-DZ"/>
        </w:rPr>
        <w:t xml:space="preserve">، </w:t>
      </w:r>
      <w:r w:rsidRPr="00904FCB">
        <w:rPr>
          <w:rFonts w:hint="cs"/>
          <w:sz w:val="27"/>
          <w:rtl/>
          <w:lang w:bidi="ar-DZ"/>
        </w:rPr>
        <w:t>بل إنه من التنو</w:t>
      </w:r>
      <w:r w:rsidR="00676A5A" w:rsidRPr="00904FCB">
        <w:rPr>
          <w:rFonts w:hint="cs"/>
          <w:sz w:val="27"/>
          <w:rtl/>
          <w:lang w:bidi="ar-DZ"/>
        </w:rPr>
        <w:t>ُّ</w:t>
      </w:r>
      <w:r w:rsidRPr="00904FCB">
        <w:rPr>
          <w:rFonts w:hint="cs"/>
          <w:sz w:val="27"/>
          <w:rtl/>
          <w:lang w:bidi="ar-DZ"/>
        </w:rPr>
        <w:t xml:space="preserve">ع </w:t>
      </w:r>
      <w:r w:rsidR="00676A5A" w:rsidRPr="00904FCB">
        <w:rPr>
          <w:rFonts w:hint="cs"/>
          <w:sz w:val="27"/>
          <w:rtl/>
          <w:lang w:bidi="ar-DZ"/>
        </w:rPr>
        <w:t>ب</w:t>
      </w:r>
      <w:r w:rsidRPr="00904FCB">
        <w:rPr>
          <w:rFonts w:hint="cs"/>
          <w:sz w:val="27"/>
          <w:rtl/>
          <w:lang w:bidi="ar-DZ"/>
        </w:rPr>
        <w:t>ما يجوز معه الكلام عن حداثات كثيرة، لا حداثة واحدة. فهناك باعتبار الأقطار حداثة فرنسية</w:t>
      </w:r>
      <w:r w:rsidR="00676A5A" w:rsidRPr="00904FCB">
        <w:rPr>
          <w:rFonts w:hint="cs"/>
          <w:sz w:val="27"/>
          <w:rtl/>
          <w:lang w:bidi="ar-DZ"/>
        </w:rPr>
        <w:t>؛</w:t>
      </w:r>
      <w:r w:rsidRPr="00904FCB">
        <w:rPr>
          <w:rFonts w:hint="cs"/>
          <w:sz w:val="27"/>
          <w:rtl/>
          <w:lang w:bidi="ar-DZ"/>
        </w:rPr>
        <w:t xml:space="preserve"> وحداثة ألمانية</w:t>
      </w:r>
      <w:r w:rsidR="00676A5A" w:rsidRPr="00904FCB">
        <w:rPr>
          <w:rFonts w:hint="cs"/>
          <w:sz w:val="27"/>
          <w:rtl/>
          <w:lang w:bidi="ar-DZ"/>
        </w:rPr>
        <w:t>؛</w:t>
      </w:r>
      <w:r w:rsidRPr="00904FCB">
        <w:rPr>
          <w:rFonts w:hint="cs"/>
          <w:sz w:val="27"/>
          <w:rtl/>
          <w:lang w:bidi="ar-DZ"/>
        </w:rPr>
        <w:t xml:space="preserve"> وحداثة </w:t>
      </w:r>
      <w:r w:rsidR="00676A5A" w:rsidRPr="00904FCB">
        <w:rPr>
          <w:rFonts w:hint="cs"/>
          <w:sz w:val="27"/>
          <w:rtl/>
          <w:lang w:bidi="ar-DZ"/>
        </w:rPr>
        <w:t>إ</w:t>
      </w:r>
      <w:r w:rsidRPr="00904FCB">
        <w:rPr>
          <w:rFonts w:hint="cs"/>
          <w:sz w:val="27"/>
          <w:rtl/>
          <w:lang w:bidi="ar-DZ"/>
        </w:rPr>
        <w:t>نجليزية</w:t>
      </w:r>
      <w:r w:rsidR="00676A5A" w:rsidRPr="00904FCB">
        <w:rPr>
          <w:rFonts w:hint="cs"/>
          <w:sz w:val="27"/>
          <w:rtl/>
          <w:lang w:bidi="ar-DZ"/>
        </w:rPr>
        <w:t>؛</w:t>
      </w:r>
      <w:r w:rsidRPr="00904FCB">
        <w:rPr>
          <w:rFonts w:hint="cs"/>
          <w:sz w:val="27"/>
          <w:rtl/>
          <w:lang w:bidi="ar-DZ"/>
        </w:rPr>
        <w:t xml:space="preserve"> وحداثة أمريكية</w:t>
      </w:r>
      <w:r w:rsidR="00676A5A" w:rsidRPr="00904FCB">
        <w:rPr>
          <w:rFonts w:hint="cs"/>
          <w:sz w:val="27"/>
          <w:rtl/>
          <w:lang w:bidi="ar-DZ"/>
        </w:rPr>
        <w:t>؛</w:t>
      </w:r>
      <w:r w:rsidRPr="00904FCB">
        <w:rPr>
          <w:rFonts w:hint="cs"/>
          <w:sz w:val="27"/>
          <w:rtl/>
          <w:lang w:bidi="ar-DZ"/>
        </w:rPr>
        <w:t xml:space="preserve"> وغيرها</w:t>
      </w:r>
      <w:r w:rsidR="00676A5A" w:rsidRPr="00904FCB">
        <w:rPr>
          <w:rFonts w:hint="cs"/>
          <w:sz w:val="27"/>
          <w:rtl/>
          <w:lang w:bidi="ar-DZ"/>
        </w:rPr>
        <w:t>.</w:t>
      </w:r>
      <w:r w:rsidRPr="00904FCB">
        <w:rPr>
          <w:rFonts w:hint="cs"/>
          <w:sz w:val="27"/>
          <w:rtl/>
          <w:lang w:bidi="ar-DZ"/>
        </w:rPr>
        <w:t xml:space="preserve"> وهناك باعتبار المجالات حداثة سياسية</w:t>
      </w:r>
      <w:r w:rsidR="00676A5A" w:rsidRPr="00904FCB">
        <w:rPr>
          <w:rFonts w:hint="cs"/>
          <w:sz w:val="27"/>
          <w:rtl/>
          <w:lang w:bidi="ar-DZ"/>
        </w:rPr>
        <w:t>؛</w:t>
      </w:r>
      <w:r w:rsidRPr="00904FCB">
        <w:rPr>
          <w:rFonts w:hint="cs"/>
          <w:sz w:val="27"/>
          <w:rtl/>
          <w:lang w:bidi="ar-DZ"/>
        </w:rPr>
        <w:t xml:space="preserve"> وحداثة اقتصادية</w:t>
      </w:r>
      <w:r w:rsidR="00676A5A" w:rsidRPr="00904FCB">
        <w:rPr>
          <w:rFonts w:hint="cs"/>
          <w:sz w:val="27"/>
          <w:rtl/>
          <w:lang w:bidi="ar-DZ"/>
        </w:rPr>
        <w:t>؛</w:t>
      </w:r>
      <w:r w:rsidRPr="00904FCB">
        <w:rPr>
          <w:rFonts w:hint="cs"/>
          <w:sz w:val="27"/>
          <w:rtl/>
          <w:lang w:bidi="ar-DZ"/>
        </w:rPr>
        <w:t xml:space="preserve"> وحداثة اجتماعية</w:t>
      </w:r>
      <w:r w:rsidR="00676A5A" w:rsidRPr="00904FCB">
        <w:rPr>
          <w:rFonts w:hint="cs"/>
          <w:sz w:val="27"/>
          <w:rtl/>
          <w:lang w:bidi="ar-DZ"/>
        </w:rPr>
        <w:t>؛</w:t>
      </w:r>
      <w:r w:rsidRPr="00904FCB">
        <w:rPr>
          <w:rFonts w:hint="cs"/>
          <w:sz w:val="27"/>
          <w:rtl/>
          <w:lang w:bidi="ar-DZ"/>
        </w:rPr>
        <w:t xml:space="preserve"> وسواها</w:t>
      </w:r>
      <w:r w:rsidRPr="00904FCB">
        <w:rPr>
          <w:rFonts w:hint="eastAsia"/>
          <w:sz w:val="27"/>
          <w:rtl/>
        </w:rPr>
        <w:t>»</w:t>
      </w:r>
      <w:r w:rsidRPr="00904FCB">
        <w:rPr>
          <w:sz w:val="27"/>
          <w:vertAlign w:val="superscript"/>
          <w:rtl/>
          <w:lang w:bidi="ar-DZ"/>
        </w:rPr>
        <w:t>(</w:t>
      </w:r>
      <w:r w:rsidRPr="00904FCB">
        <w:rPr>
          <w:rStyle w:val="ac"/>
          <w:sz w:val="27"/>
          <w:rtl/>
          <w:lang w:bidi="ar-DZ"/>
        </w:rPr>
        <w:endnoteReference w:id="535"/>
      </w:r>
      <w:r w:rsidRPr="00904FCB">
        <w:rPr>
          <w:sz w:val="27"/>
          <w:vertAlign w:val="superscript"/>
          <w:rtl/>
          <w:lang w:bidi="ar-DZ"/>
        </w:rPr>
        <w:t>)</w:t>
      </w:r>
      <w:r w:rsidRPr="00904FCB">
        <w:rPr>
          <w:rFonts w:hint="cs"/>
          <w:sz w:val="27"/>
          <w:rtl/>
          <w:lang w:bidi="ar-DZ"/>
        </w:rPr>
        <w:t>. فلماذا لا تكون لنا نحن حداثتنا المتمي</w:t>
      </w:r>
      <w:r w:rsidR="00676A5A" w:rsidRPr="00904FCB">
        <w:rPr>
          <w:rFonts w:hint="cs"/>
          <w:sz w:val="27"/>
          <w:rtl/>
          <w:lang w:bidi="ar-DZ"/>
        </w:rPr>
        <w:t>ِّ</w:t>
      </w:r>
      <w:r w:rsidRPr="00904FCB">
        <w:rPr>
          <w:rFonts w:hint="cs"/>
          <w:sz w:val="27"/>
          <w:rtl/>
          <w:lang w:bidi="ar-DZ"/>
        </w:rPr>
        <w:t>زة</w:t>
      </w:r>
      <w:r w:rsidR="00676A5A" w:rsidRPr="00904FCB">
        <w:rPr>
          <w:rFonts w:hint="cs"/>
          <w:sz w:val="27"/>
          <w:rtl/>
          <w:lang w:bidi="ar-DZ"/>
        </w:rPr>
        <w:t>،</w:t>
      </w:r>
      <w:r w:rsidRPr="00904FCB">
        <w:rPr>
          <w:rFonts w:hint="cs"/>
          <w:sz w:val="27"/>
          <w:rtl/>
          <w:lang w:bidi="ar-DZ"/>
        </w:rPr>
        <w:t xml:space="preserve"> الموصولة بمقو</w:t>
      </w:r>
      <w:r w:rsidR="00676A5A" w:rsidRPr="00904FCB">
        <w:rPr>
          <w:rFonts w:hint="cs"/>
          <w:sz w:val="27"/>
          <w:rtl/>
          <w:lang w:bidi="ar-DZ"/>
        </w:rPr>
        <w:t>ِّ</w:t>
      </w:r>
      <w:r w:rsidRPr="00904FCB">
        <w:rPr>
          <w:rFonts w:hint="cs"/>
          <w:sz w:val="27"/>
          <w:rtl/>
          <w:lang w:bidi="ar-DZ"/>
        </w:rPr>
        <w:t xml:space="preserve">ماتنا وهويتنا وطموحاتنا المستقبلية؟ </w:t>
      </w:r>
    </w:p>
    <w:p w:rsidR="00625F5D" w:rsidRPr="00904FCB" w:rsidRDefault="00625F5D" w:rsidP="007A21AA">
      <w:pPr>
        <w:spacing w:line="400" w:lineRule="exact"/>
        <w:rPr>
          <w:sz w:val="27"/>
          <w:rtl/>
          <w:lang w:bidi="ar-DZ"/>
        </w:rPr>
      </w:pPr>
    </w:p>
    <w:p w:rsidR="00625F5D" w:rsidRPr="00904FCB" w:rsidRDefault="00625F5D" w:rsidP="007A21AA">
      <w:pPr>
        <w:pStyle w:val="31"/>
        <w:spacing w:line="400" w:lineRule="exact"/>
        <w:rPr>
          <w:color w:val="auto"/>
          <w:rtl/>
          <w:lang w:bidi="ar-DZ"/>
        </w:rPr>
      </w:pPr>
      <w:r w:rsidRPr="00904FCB">
        <w:rPr>
          <w:rFonts w:hint="cs"/>
          <w:color w:val="auto"/>
          <w:rtl/>
          <w:lang w:bidi="ar-DZ"/>
        </w:rPr>
        <w:t xml:space="preserve">الخاتمة </w:t>
      </w:r>
    </w:p>
    <w:p w:rsidR="00625F5D" w:rsidRPr="00904FCB" w:rsidRDefault="00625F5D" w:rsidP="007A21AA">
      <w:pPr>
        <w:spacing w:line="400" w:lineRule="exact"/>
        <w:rPr>
          <w:sz w:val="27"/>
          <w:rtl/>
          <w:lang w:bidi="ar-DZ"/>
        </w:rPr>
      </w:pPr>
      <w:r w:rsidRPr="00904FCB">
        <w:rPr>
          <w:rFonts w:hint="cs"/>
          <w:sz w:val="27"/>
          <w:rtl/>
          <w:lang w:bidi="ar-DZ"/>
        </w:rPr>
        <w:t>نصل في ختام هذه الدراسة إلى أن ق</w:t>
      </w:r>
      <w:r w:rsidR="00676A5A" w:rsidRPr="00904FCB">
        <w:rPr>
          <w:rFonts w:hint="cs"/>
          <w:sz w:val="27"/>
          <w:rtl/>
          <w:lang w:bidi="ar-DZ"/>
        </w:rPr>
        <w:t>ِ</w:t>
      </w:r>
      <w:r w:rsidRPr="00904FCB">
        <w:rPr>
          <w:rFonts w:hint="cs"/>
          <w:sz w:val="27"/>
          <w:rtl/>
          <w:lang w:bidi="ar-DZ"/>
        </w:rPr>
        <w:t>ي</w:t>
      </w:r>
      <w:r w:rsidR="00676A5A" w:rsidRPr="00904FCB">
        <w:rPr>
          <w:rFonts w:hint="cs"/>
          <w:sz w:val="27"/>
          <w:rtl/>
          <w:lang w:bidi="ar-DZ"/>
        </w:rPr>
        <w:t>َ</w:t>
      </w:r>
      <w:r w:rsidRPr="00904FCB">
        <w:rPr>
          <w:rFonts w:hint="cs"/>
          <w:sz w:val="27"/>
          <w:rtl/>
          <w:lang w:bidi="ar-DZ"/>
        </w:rPr>
        <w:t>م الحداثة نشأ</w:t>
      </w:r>
      <w:r w:rsidR="00676A5A" w:rsidRPr="00904FCB">
        <w:rPr>
          <w:rFonts w:hint="cs"/>
          <w:sz w:val="27"/>
          <w:rtl/>
          <w:lang w:bidi="ar-DZ"/>
        </w:rPr>
        <w:t>َ</w:t>
      </w:r>
      <w:r w:rsidRPr="00904FCB">
        <w:rPr>
          <w:rFonts w:hint="cs"/>
          <w:sz w:val="27"/>
          <w:rtl/>
          <w:lang w:bidi="ar-DZ"/>
        </w:rPr>
        <w:t>ت</w:t>
      </w:r>
      <w:r w:rsidR="00676A5A" w:rsidRPr="00904FCB">
        <w:rPr>
          <w:rFonts w:hint="cs"/>
          <w:sz w:val="27"/>
          <w:rtl/>
          <w:lang w:bidi="ar-DZ"/>
        </w:rPr>
        <w:t>ْ</w:t>
      </w:r>
      <w:r w:rsidRPr="00904FCB">
        <w:rPr>
          <w:rFonts w:hint="cs"/>
          <w:sz w:val="27"/>
          <w:rtl/>
          <w:lang w:bidi="ar-DZ"/>
        </w:rPr>
        <w:t xml:space="preserve"> في بيئة غربية</w:t>
      </w:r>
      <w:r w:rsidR="00676A5A" w:rsidRPr="00904FCB">
        <w:rPr>
          <w:rFonts w:hint="cs"/>
          <w:sz w:val="27"/>
          <w:rtl/>
          <w:lang w:bidi="ar-DZ"/>
        </w:rPr>
        <w:t>،</w:t>
      </w:r>
      <w:r w:rsidRPr="00904FCB">
        <w:rPr>
          <w:rFonts w:hint="cs"/>
          <w:sz w:val="27"/>
          <w:rtl/>
          <w:lang w:bidi="ar-DZ"/>
        </w:rPr>
        <w:t xml:space="preserve"> وفي سياقات تاريخية غربية معروفة، لكن</w:t>
      </w:r>
      <w:r w:rsidR="00676A5A" w:rsidRPr="00904FCB">
        <w:rPr>
          <w:rFonts w:hint="cs"/>
          <w:sz w:val="27"/>
          <w:rtl/>
          <w:lang w:bidi="ar-DZ"/>
        </w:rPr>
        <w:t>ّ</w:t>
      </w:r>
      <w:r w:rsidRPr="00904FCB">
        <w:rPr>
          <w:rFonts w:hint="cs"/>
          <w:sz w:val="27"/>
          <w:rtl/>
          <w:lang w:bidi="ar-DZ"/>
        </w:rPr>
        <w:t>ها ليست حكرا</w:t>
      </w:r>
      <w:r w:rsidR="00676A5A" w:rsidRPr="00904FCB">
        <w:rPr>
          <w:rFonts w:hint="cs"/>
          <w:sz w:val="27"/>
          <w:rtl/>
          <w:lang w:bidi="ar-DZ"/>
        </w:rPr>
        <w:t>ً</w:t>
      </w:r>
      <w:r w:rsidRPr="00904FCB">
        <w:rPr>
          <w:rFonts w:hint="cs"/>
          <w:sz w:val="27"/>
          <w:rtl/>
          <w:lang w:bidi="ar-DZ"/>
        </w:rPr>
        <w:t xml:space="preserve"> على الغرب وحده</w:t>
      </w:r>
      <w:r w:rsidR="00676A5A" w:rsidRPr="00904FCB">
        <w:rPr>
          <w:rFonts w:hint="cs"/>
          <w:sz w:val="27"/>
          <w:rtl/>
          <w:lang w:bidi="ar-DZ"/>
        </w:rPr>
        <w:t>؛</w:t>
      </w:r>
      <w:r w:rsidRPr="00904FCB">
        <w:rPr>
          <w:rFonts w:hint="cs"/>
          <w:sz w:val="27"/>
          <w:rtl/>
          <w:lang w:bidi="ar-DZ"/>
        </w:rPr>
        <w:t xml:space="preserve"> لأن فيها من الإيجابي</w:t>
      </w:r>
      <w:r w:rsidR="00AD547B" w:rsidRPr="00904FCB">
        <w:rPr>
          <w:rFonts w:hint="cs"/>
          <w:sz w:val="27"/>
          <w:rtl/>
          <w:lang w:bidi="ar-DZ"/>
        </w:rPr>
        <w:t>ّ</w:t>
      </w:r>
      <w:r w:rsidRPr="00904FCB">
        <w:rPr>
          <w:rFonts w:hint="cs"/>
          <w:sz w:val="27"/>
          <w:rtl/>
          <w:lang w:bidi="ar-DZ"/>
        </w:rPr>
        <w:t>ات ما يمكن أن يكون مشتركا</w:t>
      </w:r>
      <w:r w:rsidR="00676A5A" w:rsidRPr="00904FCB">
        <w:rPr>
          <w:rFonts w:hint="cs"/>
          <w:sz w:val="27"/>
          <w:rtl/>
          <w:lang w:bidi="ar-DZ"/>
        </w:rPr>
        <w:t>ً</w:t>
      </w:r>
      <w:r w:rsidRPr="00904FCB">
        <w:rPr>
          <w:rFonts w:hint="cs"/>
          <w:sz w:val="27"/>
          <w:rtl/>
          <w:lang w:bidi="ar-DZ"/>
        </w:rPr>
        <w:t xml:space="preserve"> إنساني</w:t>
      </w:r>
      <w:r w:rsidR="00676A5A" w:rsidRPr="00904FCB">
        <w:rPr>
          <w:rFonts w:hint="cs"/>
          <w:sz w:val="27"/>
          <w:rtl/>
          <w:lang w:bidi="ar-DZ"/>
        </w:rPr>
        <w:t>ّ</w:t>
      </w:r>
      <w:r w:rsidRPr="00904FCB">
        <w:rPr>
          <w:rFonts w:hint="cs"/>
          <w:sz w:val="27"/>
          <w:rtl/>
          <w:lang w:bidi="ar-DZ"/>
        </w:rPr>
        <w:t>ا</w:t>
      </w:r>
      <w:r w:rsidR="00676A5A" w:rsidRPr="00904FCB">
        <w:rPr>
          <w:rFonts w:hint="cs"/>
          <w:sz w:val="27"/>
          <w:rtl/>
          <w:lang w:bidi="ar-DZ"/>
        </w:rPr>
        <w:t>ً</w:t>
      </w:r>
      <w:r w:rsidRPr="00904FCB">
        <w:rPr>
          <w:rFonts w:hint="cs"/>
          <w:sz w:val="27"/>
          <w:rtl/>
          <w:lang w:bidi="ar-DZ"/>
        </w:rPr>
        <w:t xml:space="preserve"> تنهل منها كل</w:t>
      </w:r>
      <w:r w:rsidR="00676A5A" w:rsidRPr="00904FCB">
        <w:rPr>
          <w:rFonts w:hint="cs"/>
          <w:sz w:val="27"/>
          <w:rtl/>
          <w:lang w:bidi="ar-DZ"/>
        </w:rPr>
        <w:t>ّ</w:t>
      </w:r>
      <w:r w:rsidRPr="00904FCB">
        <w:rPr>
          <w:rFonts w:hint="cs"/>
          <w:sz w:val="27"/>
          <w:rtl/>
          <w:lang w:bidi="ar-DZ"/>
        </w:rPr>
        <w:t xml:space="preserve"> البشرية. وهذا ما حلُم</w:t>
      </w:r>
      <w:r w:rsidR="00676A5A" w:rsidRPr="00904FCB">
        <w:rPr>
          <w:rFonts w:hint="cs"/>
          <w:sz w:val="27"/>
          <w:rtl/>
          <w:lang w:bidi="ar-DZ"/>
        </w:rPr>
        <w:t>َ</w:t>
      </w:r>
      <w:r w:rsidRPr="00904FCB">
        <w:rPr>
          <w:rFonts w:hint="cs"/>
          <w:sz w:val="27"/>
          <w:rtl/>
          <w:lang w:bidi="ar-DZ"/>
        </w:rPr>
        <w:t>ت</w:t>
      </w:r>
      <w:r w:rsidR="00676A5A" w:rsidRPr="00904FCB">
        <w:rPr>
          <w:rFonts w:hint="cs"/>
          <w:sz w:val="27"/>
          <w:rtl/>
          <w:lang w:bidi="ar-DZ"/>
        </w:rPr>
        <w:t>ْ</w:t>
      </w:r>
      <w:r w:rsidRPr="00904FCB">
        <w:rPr>
          <w:rFonts w:hint="cs"/>
          <w:sz w:val="27"/>
          <w:rtl/>
          <w:lang w:bidi="ar-DZ"/>
        </w:rPr>
        <w:t xml:space="preserve"> به النخب العربية الإسلامية، على اختلاف تي</w:t>
      </w:r>
      <w:r w:rsidR="00676A5A" w:rsidRPr="00904FCB">
        <w:rPr>
          <w:rFonts w:hint="cs"/>
          <w:sz w:val="27"/>
          <w:rtl/>
          <w:lang w:bidi="ar-DZ"/>
        </w:rPr>
        <w:t>ّ</w:t>
      </w:r>
      <w:r w:rsidRPr="00904FCB">
        <w:rPr>
          <w:rFonts w:hint="cs"/>
          <w:sz w:val="27"/>
          <w:rtl/>
          <w:lang w:bidi="ar-DZ"/>
        </w:rPr>
        <w:t>اراتها</w:t>
      </w:r>
      <w:r w:rsidR="00676A5A" w:rsidRPr="00904FCB">
        <w:rPr>
          <w:rFonts w:hint="cs"/>
          <w:sz w:val="27"/>
          <w:rtl/>
          <w:lang w:bidi="ar-DZ"/>
        </w:rPr>
        <w:t>،</w:t>
      </w:r>
      <w:r w:rsidRPr="00904FCB">
        <w:rPr>
          <w:rFonts w:hint="cs"/>
          <w:sz w:val="27"/>
          <w:rtl/>
          <w:lang w:bidi="ar-DZ"/>
        </w:rPr>
        <w:t xml:space="preserve"> منذ صدمة النهضة. </w:t>
      </w:r>
    </w:p>
    <w:p w:rsidR="00076469" w:rsidRPr="00904FCB" w:rsidRDefault="00625F5D" w:rsidP="007A21AA">
      <w:pPr>
        <w:spacing w:line="400" w:lineRule="exact"/>
        <w:rPr>
          <w:sz w:val="27"/>
          <w:rtl/>
          <w:lang w:bidi="ar-DZ"/>
        </w:rPr>
      </w:pPr>
      <w:r w:rsidRPr="00904FCB">
        <w:rPr>
          <w:rFonts w:hint="cs"/>
          <w:sz w:val="27"/>
          <w:rtl/>
          <w:lang w:bidi="ar-DZ"/>
        </w:rPr>
        <w:t>لكن</w:t>
      </w:r>
      <w:r w:rsidR="00676A5A" w:rsidRPr="00904FCB">
        <w:rPr>
          <w:rFonts w:hint="cs"/>
          <w:sz w:val="27"/>
          <w:rtl/>
          <w:lang w:bidi="ar-DZ"/>
        </w:rPr>
        <w:t>ّ</w:t>
      </w:r>
      <w:r w:rsidRPr="00904FCB">
        <w:rPr>
          <w:rFonts w:hint="cs"/>
          <w:sz w:val="27"/>
          <w:rtl/>
          <w:lang w:bidi="ar-DZ"/>
        </w:rPr>
        <w:t xml:space="preserve"> هذا الحلم لم يتحق</w:t>
      </w:r>
      <w:r w:rsidR="00676A5A" w:rsidRPr="00904FCB">
        <w:rPr>
          <w:rFonts w:hint="cs"/>
          <w:sz w:val="27"/>
          <w:rtl/>
          <w:lang w:bidi="ar-DZ"/>
        </w:rPr>
        <w:t>َّ</w:t>
      </w:r>
      <w:r w:rsidRPr="00904FCB">
        <w:rPr>
          <w:rFonts w:hint="cs"/>
          <w:sz w:val="27"/>
          <w:rtl/>
          <w:lang w:bidi="ar-DZ"/>
        </w:rPr>
        <w:t>ق بشكل</w:t>
      </w:r>
      <w:r w:rsidR="00676A5A" w:rsidRPr="00904FCB">
        <w:rPr>
          <w:rFonts w:hint="cs"/>
          <w:sz w:val="27"/>
          <w:rtl/>
          <w:lang w:bidi="ar-DZ"/>
        </w:rPr>
        <w:t>ٍ</w:t>
      </w:r>
      <w:r w:rsidRPr="00904FCB">
        <w:rPr>
          <w:rFonts w:hint="cs"/>
          <w:sz w:val="27"/>
          <w:rtl/>
          <w:lang w:bidi="ar-DZ"/>
        </w:rPr>
        <w:t xml:space="preserve"> يدعو إلى التفاؤل</w:t>
      </w:r>
      <w:r w:rsidR="00676A5A" w:rsidRPr="00904FCB">
        <w:rPr>
          <w:rFonts w:hint="cs"/>
          <w:sz w:val="27"/>
          <w:rtl/>
          <w:lang w:bidi="ar-DZ"/>
        </w:rPr>
        <w:t>؛</w:t>
      </w:r>
      <w:r w:rsidRPr="00904FCB">
        <w:rPr>
          <w:rFonts w:hint="cs"/>
          <w:sz w:val="27"/>
          <w:rtl/>
          <w:lang w:bidi="ar-DZ"/>
        </w:rPr>
        <w:t xml:space="preserve"> لعد</w:t>
      </w:r>
      <w:r w:rsidR="00676A5A" w:rsidRPr="00904FCB">
        <w:rPr>
          <w:rFonts w:hint="cs"/>
          <w:sz w:val="27"/>
          <w:rtl/>
          <w:lang w:bidi="ar-DZ"/>
        </w:rPr>
        <w:t>ّ</w:t>
      </w:r>
      <w:r w:rsidRPr="00904FCB">
        <w:rPr>
          <w:rFonts w:hint="cs"/>
          <w:sz w:val="27"/>
          <w:rtl/>
          <w:lang w:bidi="ar-DZ"/>
        </w:rPr>
        <w:t>ة اعتبارات</w:t>
      </w:r>
      <w:r w:rsidR="00676A5A" w:rsidRPr="00904FCB">
        <w:rPr>
          <w:rFonts w:hint="cs"/>
          <w:sz w:val="27"/>
          <w:rtl/>
          <w:lang w:bidi="ar-DZ"/>
        </w:rPr>
        <w:t>،</w:t>
      </w:r>
      <w:r w:rsidRPr="00904FCB">
        <w:rPr>
          <w:rFonts w:hint="cs"/>
          <w:sz w:val="27"/>
          <w:rtl/>
          <w:lang w:bidi="ar-DZ"/>
        </w:rPr>
        <w:t xml:space="preserve"> أهم</w:t>
      </w:r>
      <w:r w:rsidR="00676A5A" w:rsidRPr="00904FCB">
        <w:rPr>
          <w:rFonts w:hint="cs"/>
          <w:sz w:val="27"/>
          <w:rtl/>
          <w:lang w:bidi="ar-DZ"/>
        </w:rPr>
        <w:t>ُّ</w:t>
      </w:r>
      <w:r w:rsidRPr="00904FCB">
        <w:rPr>
          <w:rFonts w:hint="cs"/>
          <w:sz w:val="27"/>
          <w:rtl/>
          <w:lang w:bidi="ar-DZ"/>
        </w:rPr>
        <w:t>ها أن</w:t>
      </w:r>
      <w:r w:rsidR="00676A5A" w:rsidRPr="00904FCB">
        <w:rPr>
          <w:rFonts w:hint="cs"/>
          <w:sz w:val="27"/>
          <w:rtl/>
          <w:lang w:bidi="ar-DZ"/>
        </w:rPr>
        <w:t>ّ</w:t>
      </w:r>
      <w:r w:rsidRPr="00904FCB">
        <w:rPr>
          <w:rFonts w:hint="cs"/>
          <w:sz w:val="27"/>
          <w:rtl/>
          <w:lang w:bidi="ar-DZ"/>
        </w:rPr>
        <w:t xml:space="preserve"> قيم الحداثة كانت في كل</w:t>
      </w:r>
      <w:r w:rsidR="00676A5A" w:rsidRPr="00904FCB">
        <w:rPr>
          <w:rFonts w:hint="cs"/>
          <w:sz w:val="27"/>
          <w:rtl/>
          <w:lang w:bidi="ar-DZ"/>
        </w:rPr>
        <w:t>ّ</w:t>
      </w:r>
      <w:r w:rsidRPr="00904FCB">
        <w:rPr>
          <w:rFonts w:hint="cs"/>
          <w:sz w:val="27"/>
          <w:rtl/>
          <w:lang w:bidi="ar-DZ"/>
        </w:rPr>
        <w:t xml:space="preserve"> الأوقات تدخل إلى عالمنا العربي الإسلامي محمّ</w:t>
      </w:r>
      <w:r w:rsidR="00676A5A" w:rsidRPr="00904FCB">
        <w:rPr>
          <w:rFonts w:hint="cs"/>
          <w:sz w:val="27"/>
          <w:rtl/>
          <w:lang w:bidi="ar-DZ"/>
        </w:rPr>
        <w:t>َ</w:t>
      </w:r>
      <w:r w:rsidRPr="00904FCB">
        <w:rPr>
          <w:rFonts w:hint="cs"/>
          <w:sz w:val="27"/>
          <w:rtl/>
          <w:lang w:bidi="ar-DZ"/>
        </w:rPr>
        <w:t>لة بشحنات أيديولوجية وثقافية وسياسية غريبة عنا، وبذلك استعصت تبيئتها، إلا</w:t>
      </w:r>
      <w:r w:rsidR="00076469" w:rsidRPr="00904FCB">
        <w:rPr>
          <w:rFonts w:hint="cs"/>
          <w:sz w:val="27"/>
          <w:rtl/>
          <w:lang w:bidi="ar-DZ"/>
        </w:rPr>
        <w:t>ّ</w:t>
      </w:r>
      <w:r w:rsidRPr="00904FCB">
        <w:rPr>
          <w:rFonts w:hint="cs"/>
          <w:sz w:val="27"/>
          <w:rtl/>
          <w:lang w:bidi="ar-DZ"/>
        </w:rPr>
        <w:t xml:space="preserve"> في النادر</w:t>
      </w:r>
      <w:r w:rsidR="00076469" w:rsidRPr="00904FCB">
        <w:rPr>
          <w:rFonts w:hint="cs"/>
          <w:sz w:val="27"/>
          <w:rtl/>
          <w:lang w:bidi="ar-DZ"/>
        </w:rPr>
        <w:t>.</w:t>
      </w:r>
    </w:p>
    <w:p w:rsidR="00625F5D" w:rsidRPr="00904FCB" w:rsidRDefault="00625F5D" w:rsidP="007A21AA">
      <w:pPr>
        <w:spacing w:line="400" w:lineRule="exact"/>
        <w:rPr>
          <w:sz w:val="27"/>
          <w:rtl/>
          <w:lang w:bidi="ar-DZ"/>
        </w:rPr>
      </w:pPr>
      <w:r w:rsidRPr="00904FCB">
        <w:rPr>
          <w:rFonts w:hint="cs"/>
          <w:sz w:val="27"/>
          <w:rtl/>
          <w:lang w:bidi="ar-DZ"/>
        </w:rPr>
        <w:t>هذا بالإضافة إلى ارتباطها بخداع الغرب في صورته الاستعمارية العنيفة، حيث أن تلك القيم</w:t>
      </w:r>
      <w:r w:rsidR="00076469" w:rsidRPr="00904FCB">
        <w:rPr>
          <w:rFonts w:hint="cs"/>
          <w:sz w:val="27"/>
          <w:rtl/>
          <w:lang w:bidi="ar-DZ"/>
        </w:rPr>
        <w:t>،</w:t>
      </w:r>
      <w:r w:rsidRPr="00904FCB">
        <w:rPr>
          <w:rFonts w:hint="cs"/>
          <w:sz w:val="27"/>
          <w:rtl/>
          <w:lang w:bidi="ar-DZ"/>
        </w:rPr>
        <w:t xml:space="preserve"> من حرية وحقوق إنسان وديمقراطية وعدالة، لم يكن ولن يكون لها </w:t>
      </w:r>
      <w:r w:rsidRPr="00904FCB">
        <w:rPr>
          <w:rFonts w:hint="cs"/>
          <w:sz w:val="27"/>
          <w:rtl/>
          <w:lang w:bidi="ar-DZ"/>
        </w:rPr>
        <w:lastRenderedPageBreak/>
        <w:t>معنى إلا</w:t>
      </w:r>
      <w:r w:rsidR="00076469" w:rsidRPr="00904FCB">
        <w:rPr>
          <w:rFonts w:hint="cs"/>
          <w:sz w:val="27"/>
          <w:rtl/>
          <w:lang w:bidi="ar-DZ"/>
        </w:rPr>
        <w:t>ّ</w:t>
      </w:r>
      <w:r w:rsidRPr="00904FCB">
        <w:rPr>
          <w:rFonts w:hint="cs"/>
          <w:sz w:val="27"/>
          <w:rtl/>
          <w:lang w:bidi="ar-DZ"/>
        </w:rPr>
        <w:t xml:space="preserve"> داخل حدوده، فإذا خرجت من مجاله الجغرافي انقلبت إلى أضدادها تماما</w:t>
      </w:r>
      <w:r w:rsidR="00076469" w:rsidRPr="00904FCB">
        <w:rPr>
          <w:rFonts w:hint="cs"/>
          <w:sz w:val="27"/>
          <w:rtl/>
          <w:lang w:bidi="ar-DZ"/>
        </w:rPr>
        <w:t>ً</w:t>
      </w:r>
      <w:r w:rsidRPr="00904FCB">
        <w:rPr>
          <w:rFonts w:hint="cs"/>
          <w:sz w:val="27"/>
          <w:rtl/>
          <w:lang w:bidi="ar-DZ"/>
        </w:rPr>
        <w:t>، وحتى إذا أراد نشرها في المجتمعات الأخرى فإنه يضمّ</w:t>
      </w:r>
      <w:r w:rsidR="00076469" w:rsidRPr="00904FCB">
        <w:rPr>
          <w:rFonts w:hint="cs"/>
          <w:sz w:val="27"/>
          <w:rtl/>
          <w:lang w:bidi="ar-DZ"/>
        </w:rPr>
        <w:t>ِ</w:t>
      </w:r>
      <w:r w:rsidRPr="00904FCB">
        <w:rPr>
          <w:rFonts w:hint="cs"/>
          <w:sz w:val="27"/>
          <w:rtl/>
          <w:lang w:bidi="ar-DZ"/>
        </w:rPr>
        <w:t>نها م</w:t>
      </w:r>
      <w:r w:rsidR="00821B77">
        <w:rPr>
          <w:rFonts w:hint="cs"/>
          <w:sz w:val="27"/>
          <w:rtl/>
          <w:lang w:bidi="ar-DZ"/>
        </w:rPr>
        <w:t>َ</w:t>
      </w:r>
      <w:r w:rsidRPr="00904FCB">
        <w:rPr>
          <w:rFonts w:hint="cs"/>
          <w:sz w:val="27"/>
          <w:rtl/>
          <w:lang w:bidi="ar-DZ"/>
        </w:rPr>
        <w:t>ك</w:t>
      </w:r>
      <w:r w:rsidR="00821B77">
        <w:rPr>
          <w:rFonts w:hint="cs"/>
          <w:sz w:val="27"/>
          <w:rtl/>
          <w:lang w:bidi="ar-DZ"/>
        </w:rPr>
        <w:t>ْ</w:t>
      </w:r>
      <w:r w:rsidRPr="00904FCB">
        <w:rPr>
          <w:rFonts w:hint="cs"/>
          <w:sz w:val="27"/>
          <w:rtl/>
          <w:lang w:bidi="ar-DZ"/>
        </w:rPr>
        <w:t>ر</w:t>
      </w:r>
      <w:r w:rsidR="00821B77">
        <w:rPr>
          <w:rFonts w:hint="cs"/>
          <w:sz w:val="27"/>
          <w:rtl/>
          <w:lang w:bidi="ar-DZ"/>
        </w:rPr>
        <w:t>َ</w:t>
      </w:r>
      <w:r w:rsidRPr="00904FCB">
        <w:rPr>
          <w:rFonts w:hint="cs"/>
          <w:sz w:val="27"/>
          <w:rtl/>
          <w:lang w:bidi="ar-DZ"/>
        </w:rPr>
        <w:t>ه وجبروته وأطماعه في استغلال تلك المجتمعات</w:t>
      </w:r>
      <w:r w:rsidR="00076469" w:rsidRPr="00904FCB">
        <w:rPr>
          <w:rFonts w:hint="cs"/>
          <w:sz w:val="27"/>
          <w:rtl/>
          <w:lang w:bidi="ar-DZ"/>
        </w:rPr>
        <w:t>،</w:t>
      </w:r>
      <w:r w:rsidRPr="00904FCB">
        <w:rPr>
          <w:rFonts w:hint="cs"/>
          <w:sz w:val="27"/>
          <w:rtl/>
          <w:lang w:bidi="ar-DZ"/>
        </w:rPr>
        <w:t xml:space="preserve"> ون</w:t>
      </w:r>
      <w:r w:rsidR="00821B77">
        <w:rPr>
          <w:rFonts w:hint="cs"/>
          <w:sz w:val="27"/>
          <w:rtl/>
          <w:lang w:bidi="ar-DZ"/>
        </w:rPr>
        <w:t>َ</w:t>
      </w:r>
      <w:r w:rsidRPr="00904FCB">
        <w:rPr>
          <w:rFonts w:hint="cs"/>
          <w:sz w:val="27"/>
          <w:rtl/>
          <w:lang w:bidi="ar-DZ"/>
        </w:rPr>
        <w:t>ه</w:t>
      </w:r>
      <w:r w:rsidR="00821B77">
        <w:rPr>
          <w:rFonts w:hint="cs"/>
          <w:sz w:val="27"/>
          <w:rtl/>
          <w:lang w:bidi="ar-DZ"/>
        </w:rPr>
        <w:t>ْ</w:t>
      </w:r>
      <w:r w:rsidRPr="00904FCB">
        <w:rPr>
          <w:rFonts w:hint="cs"/>
          <w:sz w:val="27"/>
          <w:rtl/>
          <w:lang w:bidi="ar-DZ"/>
        </w:rPr>
        <w:t xml:space="preserve">ب خيراتها. </w:t>
      </w:r>
    </w:p>
    <w:p w:rsidR="00625F5D" w:rsidRPr="00904FCB" w:rsidRDefault="00625F5D" w:rsidP="007A21AA">
      <w:pPr>
        <w:spacing w:line="400" w:lineRule="exact"/>
        <w:rPr>
          <w:sz w:val="27"/>
          <w:rtl/>
          <w:lang w:bidi="ar-DZ"/>
        </w:rPr>
      </w:pPr>
      <w:r w:rsidRPr="00904FCB">
        <w:rPr>
          <w:rFonts w:hint="cs"/>
          <w:sz w:val="27"/>
          <w:rtl/>
          <w:lang w:bidi="ar-DZ"/>
        </w:rPr>
        <w:t>ومن هنا تفط</w:t>
      </w:r>
      <w:r w:rsidR="00076469" w:rsidRPr="00904FCB">
        <w:rPr>
          <w:rFonts w:hint="cs"/>
          <w:sz w:val="27"/>
          <w:rtl/>
          <w:lang w:bidi="ar-DZ"/>
        </w:rPr>
        <w:t>َّ</w:t>
      </w:r>
      <w:r w:rsidRPr="00904FCB">
        <w:rPr>
          <w:rFonts w:hint="cs"/>
          <w:sz w:val="27"/>
          <w:rtl/>
          <w:lang w:bidi="ar-DZ"/>
        </w:rPr>
        <w:t>ن</w:t>
      </w:r>
      <w:r w:rsidR="00076469" w:rsidRPr="00904FCB">
        <w:rPr>
          <w:rFonts w:hint="cs"/>
          <w:sz w:val="27"/>
          <w:rtl/>
          <w:lang w:bidi="ar-DZ"/>
        </w:rPr>
        <w:t>َ</w:t>
      </w:r>
      <w:r w:rsidRPr="00904FCB">
        <w:rPr>
          <w:rFonts w:hint="cs"/>
          <w:sz w:val="27"/>
          <w:rtl/>
          <w:lang w:bidi="ar-DZ"/>
        </w:rPr>
        <w:t>ت</w:t>
      </w:r>
      <w:r w:rsidR="00076469" w:rsidRPr="00904FCB">
        <w:rPr>
          <w:rFonts w:hint="cs"/>
          <w:sz w:val="27"/>
          <w:rtl/>
          <w:lang w:bidi="ar-DZ"/>
        </w:rPr>
        <w:t>ْ</w:t>
      </w:r>
      <w:r w:rsidRPr="00904FCB">
        <w:rPr>
          <w:rFonts w:hint="cs"/>
          <w:sz w:val="27"/>
          <w:rtl/>
          <w:lang w:bidi="ar-DZ"/>
        </w:rPr>
        <w:t xml:space="preserve"> الكثير من النخب المثق</w:t>
      </w:r>
      <w:r w:rsidR="00076469" w:rsidRPr="00904FCB">
        <w:rPr>
          <w:rFonts w:hint="cs"/>
          <w:sz w:val="27"/>
          <w:rtl/>
          <w:lang w:bidi="ar-DZ"/>
        </w:rPr>
        <w:t>َّ</w:t>
      </w:r>
      <w:r w:rsidRPr="00904FCB">
        <w:rPr>
          <w:rFonts w:hint="cs"/>
          <w:sz w:val="27"/>
          <w:rtl/>
          <w:lang w:bidi="ar-DZ"/>
        </w:rPr>
        <w:t>فة إلى أن الحداثة على النمط الغربي حداثة مزيفة</w:t>
      </w:r>
      <w:r w:rsidR="00076469" w:rsidRPr="00904FCB">
        <w:rPr>
          <w:rFonts w:hint="cs"/>
          <w:sz w:val="27"/>
          <w:rtl/>
          <w:lang w:bidi="ar-DZ"/>
        </w:rPr>
        <w:t>؛</w:t>
      </w:r>
      <w:r w:rsidRPr="00904FCB">
        <w:rPr>
          <w:rFonts w:hint="cs"/>
          <w:sz w:val="27"/>
          <w:rtl/>
          <w:lang w:bidi="ar-DZ"/>
        </w:rPr>
        <w:t xml:space="preserve"> لأنها </w:t>
      </w:r>
      <w:r w:rsidRPr="00904FCB">
        <w:rPr>
          <w:rFonts w:hint="cs"/>
          <w:b/>
          <w:bCs/>
          <w:sz w:val="27"/>
          <w:rtl/>
          <w:lang w:bidi="ar-DZ"/>
        </w:rPr>
        <w:t>أو</w:t>
      </w:r>
      <w:r w:rsidR="00076469" w:rsidRPr="00904FCB">
        <w:rPr>
          <w:rFonts w:hint="cs"/>
          <w:b/>
          <w:bCs/>
          <w:sz w:val="27"/>
          <w:rtl/>
          <w:lang w:bidi="ar-DZ"/>
        </w:rPr>
        <w:t>ّ</w:t>
      </w:r>
      <w:r w:rsidRPr="00904FCB">
        <w:rPr>
          <w:rFonts w:hint="cs"/>
          <w:b/>
          <w:bCs/>
          <w:sz w:val="27"/>
          <w:rtl/>
          <w:lang w:bidi="ar-DZ"/>
        </w:rPr>
        <w:t>لا</w:t>
      </w:r>
      <w:r w:rsidR="00076469" w:rsidRPr="00904FCB">
        <w:rPr>
          <w:rFonts w:hint="cs"/>
          <w:b/>
          <w:bCs/>
          <w:sz w:val="27"/>
          <w:rtl/>
          <w:lang w:bidi="ar-DZ"/>
        </w:rPr>
        <w:t>ً</w:t>
      </w:r>
      <w:r w:rsidR="00076469" w:rsidRPr="00904FCB">
        <w:rPr>
          <w:rFonts w:hint="cs"/>
          <w:sz w:val="27"/>
          <w:rtl/>
          <w:lang w:bidi="ar-DZ"/>
        </w:rPr>
        <w:t>:</w:t>
      </w:r>
      <w:r w:rsidRPr="00904FCB">
        <w:rPr>
          <w:rFonts w:hint="cs"/>
          <w:sz w:val="27"/>
          <w:rtl/>
          <w:lang w:bidi="ar-DZ"/>
        </w:rPr>
        <w:t xml:space="preserve"> ماد</w:t>
      </w:r>
      <w:r w:rsidR="00076469" w:rsidRPr="00904FCB">
        <w:rPr>
          <w:rFonts w:hint="cs"/>
          <w:sz w:val="27"/>
          <w:rtl/>
          <w:lang w:bidi="ar-DZ"/>
        </w:rPr>
        <w:t>ّ</w:t>
      </w:r>
      <w:r w:rsidRPr="00904FCB">
        <w:rPr>
          <w:rFonts w:hint="cs"/>
          <w:sz w:val="27"/>
          <w:rtl/>
          <w:lang w:bidi="ar-DZ"/>
        </w:rPr>
        <w:t>ية ظلمانية</w:t>
      </w:r>
      <w:r w:rsidRPr="00904FCB">
        <w:rPr>
          <w:sz w:val="27"/>
          <w:vertAlign w:val="superscript"/>
          <w:rtl/>
          <w:lang w:bidi="ar-DZ"/>
        </w:rPr>
        <w:t>(</w:t>
      </w:r>
      <w:r w:rsidRPr="00904FCB">
        <w:rPr>
          <w:rStyle w:val="ac"/>
          <w:sz w:val="27"/>
          <w:rtl/>
        </w:rPr>
        <w:endnoteReference w:id="536"/>
      </w:r>
      <w:r w:rsidRPr="00904FCB">
        <w:rPr>
          <w:sz w:val="27"/>
          <w:vertAlign w:val="superscript"/>
          <w:rtl/>
          <w:lang w:bidi="ar-DZ"/>
        </w:rPr>
        <w:t>)</w:t>
      </w:r>
      <w:r w:rsidRPr="00904FCB">
        <w:rPr>
          <w:rFonts w:hint="cs"/>
          <w:sz w:val="27"/>
          <w:rtl/>
          <w:lang w:bidi="ar-DZ"/>
        </w:rPr>
        <w:t xml:space="preserve">، ولأنها </w:t>
      </w:r>
      <w:r w:rsidRPr="00904FCB">
        <w:rPr>
          <w:rFonts w:hint="cs"/>
          <w:b/>
          <w:bCs/>
          <w:sz w:val="27"/>
          <w:rtl/>
          <w:lang w:bidi="ar-DZ"/>
        </w:rPr>
        <w:t>ثانيا</w:t>
      </w:r>
      <w:r w:rsidR="00076469" w:rsidRPr="00904FCB">
        <w:rPr>
          <w:rFonts w:hint="cs"/>
          <w:b/>
          <w:bCs/>
          <w:sz w:val="27"/>
          <w:rtl/>
          <w:lang w:bidi="ar-DZ"/>
        </w:rPr>
        <w:t>ً</w:t>
      </w:r>
      <w:r w:rsidR="00076469" w:rsidRPr="00904FCB">
        <w:rPr>
          <w:rFonts w:hint="cs"/>
          <w:sz w:val="27"/>
          <w:rtl/>
          <w:lang w:bidi="ar-DZ"/>
        </w:rPr>
        <w:t>:</w:t>
      </w:r>
      <w:r w:rsidRPr="00904FCB">
        <w:rPr>
          <w:rFonts w:hint="cs"/>
          <w:sz w:val="27"/>
          <w:rtl/>
          <w:lang w:bidi="ar-DZ"/>
        </w:rPr>
        <w:t xml:space="preserve"> وجه</w:t>
      </w:r>
      <w:r w:rsidR="00076469" w:rsidRPr="00904FCB">
        <w:rPr>
          <w:rFonts w:hint="cs"/>
          <w:sz w:val="27"/>
          <w:rtl/>
          <w:lang w:bidi="ar-DZ"/>
        </w:rPr>
        <w:t>ٌ</w:t>
      </w:r>
      <w:r w:rsidRPr="00904FCB">
        <w:rPr>
          <w:rFonts w:hint="cs"/>
          <w:sz w:val="27"/>
          <w:rtl/>
          <w:lang w:bidi="ar-DZ"/>
        </w:rPr>
        <w:t xml:space="preserve"> آخر من أوجه الهيمنة الغربية. </w:t>
      </w:r>
    </w:p>
    <w:p w:rsidR="00625F5D" w:rsidRPr="00904FCB" w:rsidRDefault="00625F5D" w:rsidP="007A21AA">
      <w:pPr>
        <w:spacing w:line="400" w:lineRule="exact"/>
        <w:rPr>
          <w:rtl/>
          <w:lang w:bidi="ar-DZ"/>
        </w:rPr>
      </w:pPr>
      <w:r w:rsidRPr="00904FCB">
        <w:rPr>
          <w:rFonts w:hint="cs"/>
          <w:rtl/>
          <w:lang w:bidi="ar-DZ"/>
        </w:rPr>
        <w:t>وعليه يصبح التفكير في حداثة</w:t>
      </w:r>
      <w:r w:rsidR="00076469" w:rsidRPr="00904FCB">
        <w:rPr>
          <w:rFonts w:hint="cs"/>
          <w:rtl/>
          <w:lang w:bidi="ar-DZ"/>
        </w:rPr>
        <w:t>ٍ</w:t>
      </w:r>
      <w:r w:rsidRPr="00904FCB">
        <w:rPr>
          <w:rFonts w:hint="cs"/>
          <w:rtl/>
          <w:lang w:bidi="ar-DZ"/>
        </w:rPr>
        <w:t xml:space="preserve"> عربية إسلامية أمرا</w:t>
      </w:r>
      <w:r w:rsidR="00076469" w:rsidRPr="00904FCB">
        <w:rPr>
          <w:rFonts w:hint="cs"/>
          <w:rtl/>
          <w:lang w:bidi="ar-DZ"/>
        </w:rPr>
        <w:t>ً</w:t>
      </w:r>
      <w:r w:rsidRPr="00904FCB">
        <w:rPr>
          <w:rFonts w:hint="cs"/>
          <w:rtl/>
          <w:lang w:bidi="ar-DZ"/>
        </w:rPr>
        <w:t xml:space="preserve"> ضروريا</w:t>
      </w:r>
      <w:r w:rsidR="00076469" w:rsidRPr="00904FCB">
        <w:rPr>
          <w:rFonts w:hint="cs"/>
          <w:rtl/>
          <w:lang w:bidi="ar-DZ"/>
        </w:rPr>
        <w:t>ً</w:t>
      </w:r>
      <w:r w:rsidRPr="00904FCB">
        <w:rPr>
          <w:rFonts w:hint="cs"/>
          <w:rtl/>
          <w:lang w:bidi="ar-DZ"/>
        </w:rPr>
        <w:t>، فالحداثة لا تستنسخ</w:t>
      </w:r>
      <w:r w:rsidR="00076469" w:rsidRPr="00904FCB">
        <w:rPr>
          <w:rFonts w:hint="cs"/>
          <w:rtl/>
          <w:lang w:bidi="ar-DZ"/>
        </w:rPr>
        <w:t>،</w:t>
      </w:r>
      <w:r w:rsidRPr="00904FCB">
        <w:rPr>
          <w:rFonts w:hint="cs"/>
          <w:rtl/>
          <w:lang w:bidi="ar-DZ"/>
        </w:rPr>
        <w:t xml:space="preserve"> ولا تستجلب</w:t>
      </w:r>
      <w:r w:rsidR="00076469" w:rsidRPr="00904FCB">
        <w:rPr>
          <w:rFonts w:hint="cs"/>
          <w:rtl/>
          <w:lang w:bidi="ar-DZ"/>
        </w:rPr>
        <w:t>،</w:t>
      </w:r>
      <w:r w:rsidRPr="00904FCB">
        <w:rPr>
          <w:rFonts w:hint="cs"/>
          <w:rtl/>
          <w:lang w:bidi="ar-DZ"/>
        </w:rPr>
        <w:t xml:space="preserve"> ولكنها تبدع وفق أيد</w:t>
      </w:r>
      <w:r w:rsidR="00076469" w:rsidRPr="00904FCB">
        <w:rPr>
          <w:rFonts w:hint="cs"/>
          <w:rtl/>
          <w:lang w:bidi="ar-DZ"/>
        </w:rPr>
        <w:t>يو</w:t>
      </w:r>
      <w:r w:rsidRPr="00904FCB">
        <w:rPr>
          <w:rFonts w:hint="cs"/>
          <w:rtl/>
          <w:lang w:bidi="ar-DZ"/>
        </w:rPr>
        <w:t>لوجي</w:t>
      </w:r>
      <w:r w:rsidR="00076469" w:rsidRPr="00904FCB">
        <w:rPr>
          <w:rFonts w:hint="cs"/>
          <w:rtl/>
          <w:lang w:bidi="ar-DZ"/>
        </w:rPr>
        <w:t>ا</w:t>
      </w:r>
      <w:r w:rsidRPr="00904FCB">
        <w:rPr>
          <w:rFonts w:hint="cs"/>
          <w:rtl/>
          <w:lang w:bidi="ar-DZ"/>
        </w:rPr>
        <w:t xml:space="preserve"> أهلها</w:t>
      </w:r>
      <w:r w:rsidR="00076469" w:rsidRPr="00904FCB">
        <w:rPr>
          <w:rFonts w:hint="cs"/>
          <w:rtl/>
          <w:lang w:bidi="ar-DZ"/>
        </w:rPr>
        <w:t>،</w:t>
      </w:r>
      <w:r w:rsidRPr="00904FCB">
        <w:rPr>
          <w:rFonts w:hint="cs"/>
          <w:rtl/>
          <w:lang w:bidi="ar-DZ"/>
        </w:rPr>
        <w:t xml:space="preserve"> ووفق أهدافهم ومصالحهم.</w:t>
      </w:r>
    </w:p>
    <w:p w:rsidR="00625F5D" w:rsidRPr="00904FCB" w:rsidRDefault="00625F5D" w:rsidP="007A21AA">
      <w:pPr>
        <w:spacing w:line="400" w:lineRule="exact"/>
        <w:rPr>
          <w:rtl/>
        </w:rPr>
      </w:pPr>
    </w:p>
    <w:p w:rsidR="00625F5D" w:rsidRPr="00904FCB" w:rsidRDefault="00625F5D" w:rsidP="007A21AA">
      <w:pPr>
        <w:spacing w:line="400" w:lineRule="exact"/>
        <w:rPr>
          <w:rtl/>
        </w:rPr>
      </w:pPr>
    </w:p>
    <w:p w:rsidR="00625F5D" w:rsidRPr="00904FCB" w:rsidRDefault="00625F5D"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t>الهوامش</w:t>
      </w:r>
    </w:p>
    <w:p w:rsidR="00625F5D" w:rsidRPr="00904FCB" w:rsidRDefault="00625F5D" w:rsidP="007A21AA">
      <w:pPr>
        <w:pStyle w:val="34"/>
        <w:autoSpaceDE w:val="0"/>
        <w:autoSpaceDN w:val="0"/>
        <w:adjustRightInd w:val="0"/>
        <w:spacing w:line="400" w:lineRule="exact"/>
        <w:ind w:firstLine="0"/>
        <w:rPr>
          <w:rFonts w:cs="K Sina"/>
          <w:sz w:val="26"/>
          <w:rtl/>
          <w:lang w:eastAsia="ar-SA"/>
        </w:rPr>
        <w:sectPr w:rsidR="00625F5D" w:rsidRPr="00904FCB" w:rsidSect="00E85587">
          <w:headerReference w:type="even" r:id="rId154"/>
          <w:headerReference w:type="default" r:id="rId155"/>
          <w:footerReference w:type="even" r:id="rId156"/>
          <w:footerReference w:type="default" r:id="rId157"/>
          <w:endnotePr>
            <w:numFmt w:val="decimal"/>
            <w:numRestart w:val="eachSect"/>
          </w:endnotePr>
          <w:type w:val="continuous"/>
          <w:pgSz w:w="11907" w:h="16840" w:code="9"/>
          <w:pgMar w:top="2637" w:right="2438" w:bottom="3686" w:left="2438" w:header="2268" w:footer="3119" w:gutter="0"/>
          <w:cols w:space="720"/>
          <w:titlePg/>
          <w:docGrid w:linePitch="360"/>
        </w:sectPr>
      </w:pPr>
    </w:p>
    <w:p w:rsidR="00625F5D" w:rsidRPr="00904FCB" w:rsidRDefault="00625F5D" w:rsidP="007A21AA">
      <w:pPr>
        <w:spacing w:line="400" w:lineRule="exact"/>
      </w:pPr>
      <w:r w:rsidRPr="00904FCB">
        <w:rPr>
          <w:rtl/>
        </w:rPr>
        <w:lastRenderedPageBreak/>
        <w:br w:type="page"/>
      </w:r>
    </w:p>
    <w:p w:rsidR="00625F5D" w:rsidRPr="00904FCB" w:rsidRDefault="00625F5D" w:rsidP="007A21AA">
      <w:pPr>
        <w:spacing w:line="400" w:lineRule="exact"/>
        <w:rPr>
          <w:rtl/>
        </w:rPr>
        <w:sectPr w:rsidR="00625F5D" w:rsidRPr="00904FCB" w:rsidSect="00E85587">
          <w:headerReference w:type="even" r:id="rId158"/>
          <w:headerReference w:type="default" r:id="rId159"/>
          <w:footerReference w:type="even" r:id="rId160"/>
          <w:footerReference w:type="default" r:id="rId161"/>
          <w:headerReference w:type="first" r:id="rId16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B518A0" w:rsidP="00826CE1">
      <w:pPr>
        <w:pStyle w:val="10"/>
        <w:spacing w:line="240" w:lineRule="auto"/>
        <w:rPr>
          <w:rtl/>
        </w:rPr>
      </w:pPr>
      <w:bookmarkStart w:id="53" w:name="_Toc435577212"/>
      <w:r w:rsidRPr="00904FCB">
        <w:rPr>
          <w:rtl/>
        </w:rPr>
        <w:t>دور الرؤيا والأحلام في الثقافة الإسلامي</w:t>
      </w:r>
      <w:r w:rsidRPr="00904FCB">
        <w:rPr>
          <w:rFonts w:hint="cs"/>
          <w:rtl/>
        </w:rPr>
        <w:t>ّ</w:t>
      </w:r>
      <w:r w:rsidRPr="00904FCB">
        <w:rPr>
          <w:rtl/>
        </w:rPr>
        <w:t>ة</w:t>
      </w:r>
      <w:bookmarkEnd w:id="53"/>
    </w:p>
    <w:p w:rsidR="00E83C22" w:rsidRPr="00904FCB" w:rsidRDefault="00E83C22" w:rsidP="007A21AA">
      <w:pPr>
        <w:spacing w:line="400" w:lineRule="exact"/>
        <w:rPr>
          <w:rtl/>
        </w:rPr>
      </w:pPr>
    </w:p>
    <w:p w:rsidR="00E83C22" w:rsidRPr="00904FCB" w:rsidRDefault="00B518A0" w:rsidP="007A21AA">
      <w:pPr>
        <w:pStyle w:val="Author"/>
        <w:spacing w:line="400" w:lineRule="exact"/>
        <w:rPr>
          <w:rtl/>
        </w:rPr>
      </w:pPr>
      <w:bookmarkStart w:id="54" w:name="_Toc435577213"/>
      <w:r w:rsidRPr="00904FCB">
        <w:rPr>
          <w:rFonts w:hint="cs"/>
          <w:rtl/>
        </w:rPr>
        <w:t xml:space="preserve">د. </w:t>
      </w:r>
      <w:r w:rsidRPr="00904FCB">
        <w:rPr>
          <w:rtl/>
        </w:rPr>
        <w:t>الشيخ حسين الخشن</w:t>
      </w:r>
      <w:r w:rsidR="00527634" w:rsidRPr="00904FCB">
        <w:rPr>
          <w:rFonts w:cs="Taher" w:hint="cs"/>
          <w:vertAlign w:val="superscript"/>
          <w:rtl/>
        </w:rPr>
        <w:t>(</w:t>
      </w:r>
      <w:r w:rsidR="00527634" w:rsidRPr="00904FCB">
        <w:rPr>
          <w:rFonts w:cs="Taher"/>
          <w:vertAlign w:val="superscript"/>
          <w:rtl/>
        </w:rPr>
        <w:footnoteReference w:customMarkFollows="1" w:id="17"/>
        <w:t>*)</w:t>
      </w:r>
      <w:bookmarkEnd w:id="54"/>
    </w:p>
    <w:p w:rsidR="00E83C22" w:rsidRPr="00904FCB" w:rsidRDefault="00E83C22" w:rsidP="007A21AA">
      <w:pPr>
        <w:spacing w:line="400" w:lineRule="exact"/>
        <w:rPr>
          <w:rtl/>
        </w:rPr>
      </w:pPr>
    </w:p>
    <w:p w:rsidR="00057E24" w:rsidRPr="00904FCB" w:rsidRDefault="00057E24" w:rsidP="00E66798">
      <w:pPr>
        <w:pStyle w:val="31"/>
        <w:spacing w:line="400" w:lineRule="exact"/>
        <w:rPr>
          <w:color w:val="auto"/>
        </w:rPr>
      </w:pPr>
      <w:r w:rsidRPr="006333E0">
        <w:rPr>
          <w:rFonts w:cs="Ya-Ali" w:hint="cs"/>
          <w:color w:val="auto"/>
          <w:rtl/>
        </w:rPr>
        <w:t>1</w:t>
      </w:r>
      <w:r w:rsidRPr="00904FCB">
        <w:rPr>
          <w:rFonts w:hint="cs"/>
          <w:color w:val="auto"/>
          <w:rtl/>
        </w:rPr>
        <w:t xml:space="preserve">ـ </w:t>
      </w:r>
      <w:r w:rsidRPr="00904FCB">
        <w:rPr>
          <w:color w:val="auto"/>
          <w:rtl/>
        </w:rPr>
        <w:t>ظاهرة الحلم</w:t>
      </w:r>
      <w:r w:rsidR="00E66798">
        <w:rPr>
          <w:color w:val="auto"/>
        </w:rPr>
        <w:t>:</w:t>
      </w:r>
      <w:r w:rsidRPr="00904FCB">
        <w:rPr>
          <w:color w:val="auto"/>
          <w:rtl/>
        </w:rPr>
        <w:t xml:space="preserve"> المفهوم، والأصناف</w:t>
      </w:r>
    </w:p>
    <w:p w:rsidR="00057E24" w:rsidRPr="00904FCB" w:rsidRDefault="00057E24" w:rsidP="00E66798">
      <w:pPr>
        <w:spacing w:line="410" w:lineRule="exact"/>
        <w:ind w:firstLine="561"/>
        <w:rPr>
          <w:rFonts w:ascii="Times New Roman" w:hAnsi="Times New Roman"/>
          <w:sz w:val="27"/>
        </w:rPr>
      </w:pPr>
      <w:r w:rsidRPr="00904FCB">
        <w:rPr>
          <w:rFonts w:ascii="Times New Roman" w:hAnsi="Times New Roman"/>
          <w:sz w:val="27"/>
          <w:rtl/>
        </w:rPr>
        <w:t xml:space="preserve"> الحلم ظاهرة إنسانية مميزة وملفتة</w:t>
      </w:r>
      <w:r w:rsidR="00286864" w:rsidRPr="00904FCB">
        <w:rPr>
          <w:rFonts w:ascii="Times New Roman" w:hAnsi="Times New Roman" w:hint="cs"/>
          <w:sz w:val="27"/>
          <w:rtl/>
        </w:rPr>
        <w:t>.</w:t>
      </w:r>
      <w:r w:rsidRPr="00904FCB">
        <w:rPr>
          <w:rFonts w:ascii="Times New Roman" w:hAnsi="Times New Roman"/>
          <w:sz w:val="27"/>
          <w:rtl/>
        </w:rPr>
        <w:t xml:space="preserve"> </w:t>
      </w:r>
      <w:r w:rsidR="00286864" w:rsidRPr="00904FCB">
        <w:rPr>
          <w:rFonts w:ascii="Times New Roman" w:hAnsi="Times New Roman"/>
          <w:sz w:val="27"/>
          <w:rtl/>
        </w:rPr>
        <w:t>وقد وقعت محلا</w:t>
      </w:r>
      <w:r w:rsidR="00286864" w:rsidRPr="00904FCB">
        <w:rPr>
          <w:rFonts w:ascii="Times New Roman" w:hAnsi="Times New Roman" w:hint="cs"/>
          <w:sz w:val="27"/>
          <w:rtl/>
        </w:rPr>
        <w:t>ًّ</w:t>
      </w:r>
      <w:r w:rsidRPr="00904FCB">
        <w:rPr>
          <w:rFonts w:ascii="Times New Roman" w:hAnsi="Times New Roman"/>
          <w:sz w:val="27"/>
          <w:rtl/>
        </w:rPr>
        <w:t xml:space="preserve"> للبحث والدرس من قبل الحكماء والفلاسفة وعلماء النفس وعلماء الدين وغيرهم</w:t>
      </w:r>
      <w:r w:rsidR="00286864" w:rsidRPr="00904FCB">
        <w:rPr>
          <w:rFonts w:ascii="Times New Roman" w:hAnsi="Times New Roman" w:hint="cs"/>
          <w:sz w:val="27"/>
          <w:rtl/>
        </w:rPr>
        <w:t>.</w:t>
      </w:r>
      <w:r w:rsidRPr="00904FCB">
        <w:rPr>
          <w:rFonts w:ascii="Times New Roman" w:hAnsi="Times New Roman"/>
          <w:sz w:val="27"/>
          <w:rtl/>
        </w:rPr>
        <w:t xml:space="preserve"> وقد كتب عنها كثيراً</w:t>
      </w:r>
      <w:r w:rsidR="00286864" w:rsidRPr="00904FCB">
        <w:rPr>
          <w:rFonts w:ascii="Times New Roman" w:hAnsi="Times New Roman" w:hint="cs"/>
          <w:sz w:val="27"/>
          <w:rtl/>
        </w:rPr>
        <w:t>،</w:t>
      </w:r>
      <w:r w:rsidRPr="00904FCB">
        <w:rPr>
          <w:rFonts w:ascii="Times New Roman" w:hAnsi="Times New Roman"/>
          <w:sz w:val="27"/>
          <w:rtl/>
        </w:rPr>
        <w:t xml:space="preserve"> وألّفت فيها العديد من المؤل</w:t>
      </w:r>
      <w:r w:rsidR="00286864" w:rsidRPr="00904FCB">
        <w:rPr>
          <w:rFonts w:ascii="Times New Roman" w:hAnsi="Times New Roman" w:hint="cs"/>
          <w:sz w:val="27"/>
          <w:rtl/>
        </w:rPr>
        <w:t>َّ</w:t>
      </w:r>
      <w:r w:rsidRPr="00904FCB">
        <w:rPr>
          <w:rFonts w:ascii="Times New Roman" w:hAnsi="Times New Roman"/>
          <w:sz w:val="27"/>
          <w:rtl/>
        </w:rPr>
        <w:t>فات التي تناولت هذه الظاهرة من أكثر من زاوية</w:t>
      </w:r>
      <w:r w:rsidR="00286864" w:rsidRPr="00904FCB">
        <w:rPr>
          <w:rFonts w:ascii="Times New Roman" w:hAnsi="Times New Roman" w:hint="cs"/>
          <w:sz w:val="27"/>
          <w:rtl/>
        </w:rPr>
        <w:t>ٍ؛</w:t>
      </w:r>
      <w:r w:rsidRPr="00904FCB">
        <w:rPr>
          <w:rFonts w:ascii="Times New Roman" w:hAnsi="Times New Roman"/>
          <w:sz w:val="27"/>
          <w:rtl/>
        </w:rPr>
        <w:t xml:space="preserve"> في محاولة لتفسير المنام</w:t>
      </w:r>
      <w:r w:rsidR="00286864" w:rsidRPr="00904FCB">
        <w:rPr>
          <w:rFonts w:ascii="Times New Roman" w:hAnsi="Times New Roman" w:hint="cs"/>
          <w:sz w:val="27"/>
          <w:rtl/>
        </w:rPr>
        <w:t>،</w:t>
      </w:r>
      <w:r w:rsidRPr="00904FCB">
        <w:rPr>
          <w:rFonts w:ascii="Times New Roman" w:hAnsi="Times New Roman"/>
          <w:sz w:val="27"/>
          <w:rtl/>
        </w:rPr>
        <w:t xml:space="preserve"> وبيان أبعاده ودلالاته</w:t>
      </w:r>
      <w:r w:rsidR="00286864" w:rsidRPr="00904FCB">
        <w:rPr>
          <w:rFonts w:ascii="Times New Roman" w:hAnsi="Times New Roman" w:hint="cs"/>
          <w:sz w:val="27"/>
          <w:rtl/>
        </w:rPr>
        <w:t>،</w:t>
      </w:r>
      <w:r w:rsidRPr="00904FCB">
        <w:rPr>
          <w:rFonts w:ascii="Times New Roman" w:hAnsi="Times New Roman"/>
          <w:sz w:val="27"/>
          <w:rtl/>
        </w:rPr>
        <w:t xml:space="preserve"> وفك</w:t>
      </w:r>
      <w:r w:rsidR="00286864" w:rsidRPr="00904FCB">
        <w:rPr>
          <w:rFonts w:ascii="Times New Roman" w:hAnsi="Times New Roman" w:hint="cs"/>
          <w:sz w:val="27"/>
          <w:rtl/>
        </w:rPr>
        <w:t>ّ</w:t>
      </w:r>
      <w:r w:rsidRPr="00904FCB">
        <w:rPr>
          <w:rFonts w:ascii="Times New Roman" w:hAnsi="Times New Roman"/>
          <w:sz w:val="27"/>
          <w:rtl/>
        </w:rPr>
        <w:t xml:space="preserve"> رموزه. </w:t>
      </w:r>
    </w:p>
    <w:p w:rsidR="00057E24" w:rsidRPr="00904FCB" w:rsidRDefault="00057E24" w:rsidP="00E66798">
      <w:pPr>
        <w:spacing w:line="410" w:lineRule="exact"/>
        <w:ind w:firstLine="561"/>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color w:val="auto"/>
          <w:rtl/>
        </w:rPr>
        <w:t>المنام وعلم النفس</w:t>
      </w:r>
    </w:p>
    <w:p w:rsidR="00057E24" w:rsidRPr="00904FCB" w:rsidRDefault="00057E24" w:rsidP="00E66798">
      <w:pPr>
        <w:spacing w:line="410" w:lineRule="exact"/>
        <w:ind w:firstLine="561"/>
        <w:rPr>
          <w:rFonts w:ascii="Times New Roman" w:hAnsi="Times New Roman"/>
          <w:sz w:val="27"/>
        </w:rPr>
      </w:pPr>
      <w:r w:rsidRPr="00904FCB">
        <w:rPr>
          <w:rFonts w:ascii="Times New Roman" w:hAnsi="Times New Roman"/>
          <w:sz w:val="27"/>
          <w:rtl/>
        </w:rPr>
        <w:t xml:space="preserve"> فعند علماء النفس </w:t>
      </w:r>
      <w:r w:rsidR="00286864" w:rsidRPr="00904FCB">
        <w:rPr>
          <w:rFonts w:ascii="Times New Roman" w:hAnsi="Times New Roman"/>
          <w:sz w:val="27"/>
          <w:rtl/>
        </w:rPr>
        <w:t>يعبّ</w:t>
      </w:r>
      <w:r w:rsidR="00286864" w:rsidRPr="00904FCB">
        <w:rPr>
          <w:rFonts w:ascii="Times New Roman" w:hAnsi="Times New Roman" w:hint="cs"/>
          <w:sz w:val="27"/>
          <w:rtl/>
        </w:rPr>
        <w:t>ِ</w:t>
      </w:r>
      <w:r w:rsidR="00286864" w:rsidRPr="00904FCB">
        <w:rPr>
          <w:rFonts w:ascii="Times New Roman" w:hAnsi="Times New Roman"/>
          <w:sz w:val="27"/>
          <w:rtl/>
        </w:rPr>
        <w:t xml:space="preserve">ر </w:t>
      </w:r>
      <w:r w:rsidRPr="00904FCB">
        <w:rPr>
          <w:rFonts w:ascii="Times New Roman" w:hAnsi="Times New Roman"/>
          <w:sz w:val="27"/>
          <w:rtl/>
        </w:rPr>
        <w:t xml:space="preserve">الحلم </w:t>
      </w:r>
      <w:r w:rsidRPr="00904FCB">
        <w:rPr>
          <w:rFonts w:hint="eastAsia"/>
          <w:sz w:val="27"/>
          <w:rtl/>
        </w:rPr>
        <w:t>«</w:t>
      </w:r>
      <w:r w:rsidRPr="00904FCB">
        <w:rPr>
          <w:rFonts w:ascii="Times New Roman" w:hAnsi="Times New Roman"/>
          <w:sz w:val="27"/>
          <w:rtl/>
        </w:rPr>
        <w:t>عن نشاط عقلي يحدث أثناء النوم</w:t>
      </w:r>
      <w:r w:rsidR="00286864" w:rsidRPr="00904FCB">
        <w:rPr>
          <w:rFonts w:ascii="Times New Roman" w:hAnsi="Times New Roman" w:hint="cs"/>
          <w:sz w:val="27"/>
          <w:rtl/>
        </w:rPr>
        <w:t>،</w:t>
      </w:r>
      <w:r w:rsidRPr="00904FCB">
        <w:rPr>
          <w:rFonts w:ascii="Times New Roman" w:hAnsi="Times New Roman"/>
          <w:sz w:val="27"/>
          <w:rtl/>
        </w:rPr>
        <w:t xml:space="preserve"> ويتمثل في سلسلة من الصور والأحداث التي تظهر في صورٍ من الخيال</w:t>
      </w:r>
      <w:r w:rsidR="00286864" w:rsidRPr="00904FCB">
        <w:rPr>
          <w:rFonts w:ascii="Times New Roman" w:hAnsi="Times New Roman" w:hint="cs"/>
          <w:sz w:val="27"/>
          <w:rtl/>
        </w:rPr>
        <w:t>،</w:t>
      </w:r>
      <w:r w:rsidRPr="00904FCB">
        <w:rPr>
          <w:rFonts w:ascii="Times New Roman" w:hAnsi="Times New Roman"/>
          <w:sz w:val="27"/>
          <w:rtl/>
        </w:rPr>
        <w:t xml:space="preserve"> والتي يمكن أن يكون لها معنى نفسي أو محتوى يمكن تفسيره وتأويله</w:t>
      </w:r>
      <w:r w:rsidRPr="00904FCB">
        <w:rPr>
          <w:rFonts w:hint="eastAsia"/>
          <w:sz w:val="27"/>
          <w:rtl/>
        </w:rPr>
        <w:t>»</w:t>
      </w:r>
      <w:r w:rsidR="00286864" w:rsidRPr="00904FCB">
        <w:rPr>
          <w:rFonts w:ascii="Times New Roman" w:hAnsi="Times New Roman" w:hint="cs"/>
          <w:sz w:val="27"/>
          <w:rtl/>
        </w:rPr>
        <w:t>.</w:t>
      </w:r>
      <w:r w:rsidRPr="00904FCB">
        <w:rPr>
          <w:rFonts w:ascii="Times New Roman" w:hAnsi="Times New Roman"/>
          <w:sz w:val="27"/>
          <w:rtl/>
        </w:rPr>
        <w:t xml:space="preserve"> ويرى المحل</w:t>
      </w:r>
      <w:r w:rsidR="00286864" w:rsidRPr="00904FCB">
        <w:rPr>
          <w:rFonts w:ascii="Times New Roman" w:hAnsi="Times New Roman" w:hint="cs"/>
          <w:sz w:val="27"/>
          <w:rtl/>
        </w:rPr>
        <w:t>ِّ</w:t>
      </w:r>
      <w:r w:rsidRPr="00904FCB">
        <w:rPr>
          <w:rFonts w:ascii="Times New Roman" w:hAnsi="Times New Roman"/>
          <w:sz w:val="27"/>
          <w:rtl/>
        </w:rPr>
        <w:t>لون النفسيون أنّ الحلم يحقق إشباعاً رمزي</w:t>
      </w:r>
      <w:r w:rsidR="00286864" w:rsidRPr="00904FCB">
        <w:rPr>
          <w:rFonts w:ascii="Times New Roman" w:hAnsi="Times New Roman" w:hint="cs"/>
          <w:sz w:val="27"/>
          <w:rtl/>
        </w:rPr>
        <w:t>ّ</w:t>
      </w:r>
      <w:r w:rsidRPr="00904FCB">
        <w:rPr>
          <w:rFonts w:ascii="Times New Roman" w:hAnsi="Times New Roman"/>
          <w:sz w:val="27"/>
          <w:rtl/>
        </w:rPr>
        <w:t>اً للر</w:t>
      </w:r>
      <w:r w:rsidR="00286864" w:rsidRPr="00904FCB">
        <w:rPr>
          <w:rFonts w:ascii="Times New Roman" w:hAnsi="Times New Roman" w:hint="cs"/>
          <w:sz w:val="27"/>
          <w:rtl/>
        </w:rPr>
        <w:t>َّ</w:t>
      </w:r>
      <w:r w:rsidRPr="00904FCB">
        <w:rPr>
          <w:rFonts w:ascii="Times New Roman" w:hAnsi="Times New Roman"/>
          <w:sz w:val="27"/>
          <w:rtl/>
        </w:rPr>
        <w:t>غ</w:t>
      </w:r>
      <w:r w:rsidR="00286864" w:rsidRPr="00904FCB">
        <w:rPr>
          <w:rFonts w:ascii="Times New Roman" w:hAnsi="Times New Roman" w:hint="cs"/>
          <w:sz w:val="27"/>
          <w:rtl/>
        </w:rPr>
        <w:t>َ</w:t>
      </w:r>
      <w:r w:rsidRPr="00904FCB">
        <w:rPr>
          <w:rFonts w:ascii="Times New Roman" w:hAnsi="Times New Roman"/>
          <w:sz w:val="27"/>
          <w:rtl/>
        </w:rPr>
        <w:t>بات، ومن ثمّ فهو طريق إلى التفريغ بما يؤد</w:t>
      </w:r>
      <w:r w:rsidR="00286864" w:rsidRPr="00904FCB">
        <w:rPr>
          <w:rFonts w:ascii="Times New Roman" w:hAnsi="Times New Roman" w:hint="cs"/>
          <w:sz w:val="27"/>
          <w:rtl/>
        </w:rPr>
        <w:t>ّ</w:t>
      </w:r>
      <w:r w:rsidRPr="00904FCB">
        <w:rPr>
          <w:rFonts w:ascii="Times New Roman" w:hAnsi="Times New Roman"/>
          <w:sz w:val="27"/>
          <w:rtl/>
        </w:rPr>
        <w:t>ي دوراً إيجابياً في التوازن النفسي</w:t>
      </w:r>
      <w:r w:rsidR="00286864" w:rsidRPr="00904FCB">
        <w:rPr>
          <w:rFonts w:ascii="Times New Roman" w:hAnsi="Times New Roman" w:hint="cs"/>
          <w:sz w:val="27"/>
          <w:rtl/>
        </w:rPr>
        <w:t>.</w:t>
      </w:r>
      <w:r w:rsidRPr="00904FCB">
        <w:rPr>
          <w:rFonts w:ascii="Times New Roman" w:hAnsi="Times New Roman"/>
          <w:sz w:val="27"/>
          <w:rtl/>
        </w:rPr>
        <w:t xml:space="preserve"> وللحلم محتوى ظاهر</w:t>
      </w:r>
      <w:r w:rsidR="00286864" w:rsidRPr="00904FCB">
        <w:rPr>
          <w:rFonts w:ascii="Times New Roman" w:hAnsi="Times New Roman" w:hint="cs"/>
          <w:sz w:val="27"/>
          <w:rtl/>
        </w:rPr>
        <w:t>ٌ</w:t>
      </w:r>
      <w:r w:rsidRPr="00904FCB">
        <w:rPr>
          <w:rFonts w:ascii="Times New Roman" w:hAnsi="Times New Roman"/>
          <w:sz w:val="27"/>
          <w:rtl/>
        </w:rPr>
        <w:t xml:space="preserve"> من الأفكار والخيالات والأحداث</w:t>
      </w:r>
      <w:r w:rsidR="00286864" w:rsidRPr="00904FCB">
        <w:rPr>
          <w:rFonts w:ascii="Times New Roman" w:hAnsi="Times New Roman" w:hint="cs"/>
          <w:sz w:val="27"/>
          <w:rtl/>
        </w:rPr>
        <w:t>،</w:t>
      </w:r>
      <w:r w:rsidRPr="00904FCB">
        <w:rPr>
          <w:rFonts w:ascii="Times New Roman" w:hAnsi="Times New Roman"/>
          <w:sz w:val="27"/>
          <w:rtl/>
        </w:rPr>
        <w:t xml:space="preserve"> كما يذكره الشخص الحالم، كما له محتوى كامن يتكو</w:t>
      </w:r>
      <w:r w:rsidR="00286864" w:rsidRPr="00904FCB">
        <w:rPr>
          <w:rFonts w:ascii="Times New Roman" w:hAnsi="Times New Roman" w:hint="cs"/>
          <w:sz w:val="27"/>
          <w:rtl/>
        </w:rPr>
        <w:t>ّ</w:t>
      </w:r>
      <w:r w:rsidRPr="00904FCB">
        <w:rPr>
          <w:rFonts w:ascii="Times New Roman" w:hAnsi="Times New Roman"/>
          <w:sz w:val="27"/>
          <w:rtl/>
        </w:rPr>
        <w:t>ن من الرغبات المكبوتة</w:t>
      </w:r>
      <w:r w:rsidR="00286864" w:rsidRPr="00904FCB">
        <w:rPr>
          <w:rFonts w:ascii="Times New Roman" w:hAnsi="Times New Roman" w:hint="cs"/>
          <w:sz w:val="27"/>
          <w:rtl/>
        </w:rPr>
        <w:t>،</w:t>
      </w:r>
      <w:r w:rsidRPr="00904FCB">
        <w:rPr>
          <w:rFonts w:ascii="Times New Roman" w:hAnsi="Times New Roman"/>
          <w:sz w:val="27"/>
          <w:rtl/>
        </w:rPr>
        <w:t xml:space="preserve"> التي يتم</w:t>
      </w:r>
      <w:r w:rsidR="00286864" w:rsidRPr="00904FCB">
        <w:rPr>
          <w:rFonts w:ascii="Times New Roman" w:hAnsi="Times New Roman" w:hint="cs"/>
          <w:sz w:val="27"/>
          <w:rtl/>
        </w:rPr>
        <w:t>ّ</w:t>
      </w:r>
      <w:r w:rsidRPr="00904FCB">
        <w:rPr>
          <w:rFonts w:ascii="Times New Roman" w:hAnsi="Times New Roman"/>
          <w:sz w:val="27"/>
          <w:rtl/>
        </w:rPr>
        <w:t xml:space="preserve"> التعبير عنها بطريقة</w:t>
      </w:r>
      <w:r w:rsidR="00286864" w:rsidRPr="00904FCB">
        <w:rPr>
          <w:rFonts w:ascii="Times New Roman" w:hAnsi="Times New Roman" w:hint="cs"/>
          <w:sz w:val="27"/>
          <w:rtl/>
        </w:rPr>
        <w:t>ٍ</w:t>
      </w:r>
      <w:r w:rsidRPr="00904FCB">
        <w:rPr>
          <w:rFonts w:ascii="Times New Roman" w:hAnsi="Times New Roman"/>
          <w:sz w:val="27"/>
          <w:rtl/>
        </w:rPr>
        <w:t xml:space="preserve"> غير مباشرة في المحتوى</w:t>
      </w:r>
      <w:r w:rsidRPr="00904FCB">
        <w:rPr>
          <w:rFonts w:hint="cs"/>
          <w:sz w:val="27"/>
          <w:vertAlign w:val="superscript"/>
          <w:rtl/>
        </w:rPr>
        <w:t>(</w:t>
      </w:r>
      <w:r w:rsidRPr="00904FCB">
        <w:rPr>
          <w:rStyle w:val="ac"/>
          <w:sz w:val="27"/>
          <w:rtl/>
        </w:rPr>
        <w:endnoteReference w:id="537"/>
      </w:r>
      <w:r w:rsidRPr="00904FCB">
        <w:rPr>
          <w:rFonts w:hint="cs"/>
          <w:sz w:val="27"/>
          <w:vertAlign w:val="superscript"/>
          <w:rtl/>
        </w:rPr>
        <w:t>)</w:t>
      </w:r>
      <w:r w:rsidRPr="00904FCB">
        <w:rPr>
          <w:rFonts w:hint="cs"/>
          <w:sz w:val="27"/>
          <w:rtl/>
        </w:rPr>
        <w:t>.</w:t>
      </w:r>
      <w:r w:rsidRPr="00904FCB">
        <w:rPr>
          <w:rFonts w:ascii="Times New Roman" w:hAnsi="Times New Roman"/>
          <w:sz w:val="27"/>
          <w:rtl/>
        </w:rPr>
        <w:t xml:space="preserve"> </w:t>
      </w:r>
    </w:p>
    <w:p w:rsidR="00057E24" w:rsidRPr="00904FCB" w:rsidRDefault="00057E24" w:rsidP="00E66798">
      <w:pPr>
        <w:spacing w:line="410" w:lineRule="exact"/>
        <w:ind w:firstLine="561"/>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color w:val="auto"/>
          <w:rtl/>
        </w:rPr>
        <w:t xml:space="preserve"> أنواع الحلم</w:t>
      </w:r>
      <w:r w:rsidRPr="00904FCB">
        <w:rPr>
          <w:color w:val="auto"/>
        </w:rPr>
        <w:t> </w:t>
      </w:r>
    </w:p>
    <w:p w:rsidR="00057E24" w:rsidRPr="00904FCB" w:rsidRDefault="00057E24" w:rsidP="00826CE1">
      <w:pPr>
        <w:spacing w:line="410" w:lineRule="exact"/>
        <w:rPr>
          <w:rFonts w:ascii="Times New Roman" w:hAnsi="Times New Roman"/>
          <w:sz w:val="27"/>
        </w:rPr>
      </w:pPr>
      <w:r w:rsidRPr="00904FCB">
        <w:rPr>
          <w:rFonts w:ascii="Times New Roman" w:hAnsi="Times New Roman"/>
          <w:sz w:val="27"/>
          <w:rtl/>
        </w:rPr>
        <w:t xml:space="preserve"> للحلم أنواعٌ أو مستويات متعد</w:t>
      </w:r>
      <w:r w:rsidR="00286864" w:rsidRPr="00904FCB">
        <w:rPr>
          <w:rFonts w:ascii="Times New Roman" w:hAnsi="Times New Roman" w:hint="cs"/>
          <w:sz w:val="27"/>
          <w:rtl/>
        </w:rPr>
        <w:t>ِّ</w:t>
      </w:r>
      <w:r w:rsidRPr="00904FCB">
        <w:rPr>
          <w:rFonts w:ascii="Times New Roman" w:hAnsi="Times New Roman"/>
          <w:sz w:val="27"/>
          <w:rtl/>
        </w:rPr>
        <w:t>دة</w:t>
      </w:r>
      <w:r w:rsidR="00286864" w:rsidRPr="00904FCB">
        <w:rPr>
          <w:rFonts w:ascii="Times New Roman" w:hAnsi="Times New Roman" w:hint="cs"/>
          <w:sz w:val="27"/>
          <w:rtl/>
        </w:rPr>
        <w:t>؛</w:t>
      </w:r>
      <w:r w:rsidRPr="00904FCB">
        <w:rPr>
          <w:rFonts w:ascii="Times New Roman" w:hAnsi="Times New Roman"/>
          <w:sz w:val="27"/>
          <w:rtl/>
        </w:rPr>
        <w:t xml:space="preserve"> فهو تارةً يكون حلماً محق</w:t>
      </w:r>
      <w:r w:rsidR="00286864" w:rsidRPr="00904FCB">
        <w:rPr>
          <w:rFonts w:ascii="Times New Roman" w:hAnsi="Times New Roman" w:hint="cs"/>
          <w:sz w:val="27"/>
          <w:rtl/>
        </w:rPr>
        <w:t>ِّ</w:t>
      </w:r>
      <w:r w:rsidRPr="00904FCB">
        <w:rPr>
          <w:rFonts w:ascii="Times New Roman" w:hAnsi="Times New Roman"/>
          <w:sz w:val="27"/>
          <w:rtl/>
        </w:rPr>
        <w:t xml:space="preserve">قاً لرغبة، ويقال: </w:t>
      </w:r>
      <w:r w:rsidRPr="00904FCB">
        <w:rPr>
          <w:rFonts w:ascii="Times New Roman" w:hAnsi="Times New Roman"/>
          <w:sz w:val="27"/>
          <w:rtl/>
        </w:rPr>
        <w:lastRenderedPageBreak/>
        <w:t>إنّ كثيراً من الأحلام لدى الأطفال تكون كذلك، فإذا وعده والده بشراء درّاجة</w:t>
      </w:r>
      <w:r w:rsidR="00286864" w:rsidRPr="00904FCB">
        <w:rPr>
          <w:rFonts w:ascii="Times New Roman" w:hAnsi="Times New Roman" w:hint="cs"/>
          <w:sz w:val="27"/>
          <w:rtl/>
        </w:rPr>
        <w:t>ٍ</w:t>
      </w:r>
      <w:r w:rsidRPr="00904FCB">
        <w:rPr>
          <w:rFonts w:ascii="Times New Roman" w:hAnsi="Times New Roman"/>
          <w:sz w:val="27"/>
          <w:rtl/>
        </w:rPr>
        <w:t xml:space="preserve"> له قد يرى في الحلم أنّه يركب دراجة</w:t>
      </w:r>
      <w:r w:rsidR="00286864" w:rsidRPr="00904FCB">
        <w:rPr>
          <w:rFonts w:ascii="Times New Roman" w:hAnsi="Times New Roman" w:hint="cs"/>
          <w:sz w:val="27"/>
          <w:rtl/>
        </w:rPr>
        <w:t>ً،</w:t>
      </w:r>
      <w:r w:rsidRPr="00904FCB">
        <w:rPr>
          <w:rFonts w:ascii="Times New Roman" w:hAnsi="Times New Roman"/>
          <w:sz w:val="27"/>
          <w:rtl/>
        </w:rPr>
        <w:t xml:space="preserve"> ويلعب عليها. </w:t>
      </w:r>
    </w:p>
    <w:p w:rsidR="00057E24" w:rsidRPr="00904FCB" w:rsidRDefault="00057E24" w:rsidP="00826CE1">
      <w:pPr>
        <w:spacing w:line="410" w:lineRule="exact"/>
        <w:rPr>
          <w:rFonts w:ascii="Times New Roman" w:hAnsi="Times New Roman"/>
          <w:sz w:val="27"/>
        </w:rPr>
      </w:pPr>
      <w:r w:rsidRPr="00904FCB">
        <w:rPr>
          <w:rFonts w:ascii="Times New Roman" w:hAnsi="Times New Roman"/>
          <w:sz w:val="27"/>
          <w:rtl/>
        </w:rPr>
        <w:t xml:space="preserve"> وتارةً أخرى يكون محق</w:t>
      </w:r>
      <w:r w:rsidR="00286864" w:rsidRPr="00904FCB">
        <w:rPr>
          <w:rFonts w:ascii="Times New Roman" w:hAnsi="Times New Roman" w:hint="cs"/>
          <w:sz w:val="27"/>
          <w:rtl/>
        </w:rPr>
        <w:t>ِّ</w:t>
      </w:r>
      <w:r w:rsidRPr="00904FCB">
        <w:rPr>
          <w:rFonts w:ascii="Times New Roman" w:hAnsi="Times New Roman"/>
          <w:sz w:val="27"/>
          <w:rtl/>
        </w:rPr>
        <w:t>قاً لحاجة</w:t>
      </w:r>
      <w:r w:rsidR="00286864" w:rsidRPr="00904FCB">
        <w:rPr>
          <w:rFonts w:ascii="Times New Roman" w:hAnsi="Times New Roman" w:hint="cs"/>
          <w:sz w:val="27"/>
          <w:rtl/>
        </w:rPr>
        <w:t>ٍ</w:t>
      </w:r>
      <w:r w:rsidRPr="00904FCB">
        <w:rPr>
          <w:rFonts w:ascii="Times New Roman" w:hAnsi="Times New Roman"/>
          <w:sz w:val="27"/>
          <w:rtl/>
        </w:rPr>
        <w:t xml:space="preserve"> بيولوجية، كحلم الشاب الذي تلحّ عليه الغريزة الجنسية، فتراه يحلم بما يشبع غريزته، وهذا ما عب</w:t>
      </w:r>
      <w:r w:rsidR="00286864" w:rsidRPr="00904FCB">
        <w:rPr>
          <w:rFonts w:ascii="Times New Roman" w:hAnsi="Times New Roman" w:hint="cs"/>
          <w:sz w:val="27"/>
          <w:rtl/>
        </w:rPr>
        <w:t>َّ</w:t>
      </w:r>
      <w:r w:rsidRPr="00904FCB">
        <w:rPr>
          <w:rFonts w:ascii="Times New Roman" w:hAnsi="Times New Roman"/>
          <w:sz w:val="27"/>
          <w:rtl/>
        </w:rPr>
        <w:t xml:space="preserve">ر عنه القرآن الكريم في قوله: </w:t>
      </w:r>
      <w:r w:rsidRPr="00904FCB">
        <w:rPr>
          <w:rFonts w:ascii="Mosawi" w:hAnsi="Mosawi" w:cs="Mosawi"/>
          <w:sz w:val="24"/>
          <w:szCs w:val="24"/>
          <w:rtl/>
        </w:rPr>
        <w:t>﴿</w:t>
      </w:r>
      <w:r w:rsidR="00286864" w:rsidRPr="00904FCB">
        <w:rPr>
          <w:b/>
          <w:bCs/>
          <w:sz w:val="27"/>
          <w:rtl/>
        </w:rPr>
        <w:t>وَإِذَا بَلَغَ الأَطْفَالُ مِنْكُمْ الْحُلُمَ</w:t>
      </w:r>
      <w:r w:rsidRPr="00904FCB">
        <w:rPr>
          <w:rFonts w:ascii="Mosawi" w:hAnsi="Mosawi" w:cs="Mosawi"/>
          <w:sz w:val="24"/>
          <w:szCs w:val="24"/>
          <w:rtl/>
        </w:rPr>
        <w:t>﴾</w:t>
      </w:r>
      <w:r w:rsidRPr="00904FCB">
        <w:rPr>
          <w:rFonts w:ascii="Times New Roman" w:hAnsi="Times New Roman" w:hint="cs"/>
          <w:sz w:val="27"/>
          <w:rtl/>
        </w:rPr>
        <w:t xml:space="preserve"> (</w:t>
      </w:r>
      <w:r w:rsidRPr="00904FCB">
        <w:rPr>
          <w:rFonts w:ascii="Times New Roman" w:hAnsi="Times New Roman"/>
          <w:sz w:val="27"/>
          <w:rtl/>
        </w:rPr>
        <w:t xml:space="preserve">النور: </w:t>
      </w:r>
      <w:r w:rsidRPr="006333E0">
        <w:rPr>
          <w:rFonts w:ascii="Times New Roman" w:hAnsi="Times New Roman" w:cs="Ya-Ali"/>
          <w:sz w:val="27"/>
          <w:rtl/>
        </w:rPr>
        <w:t>59</w:t>
      </w:r>
      <w:r w:rsidRPr="00904FCB">
        <w:rPr>
          <w:rFonts w:ascii="Times New Roman" w:hAnsi="Times New Roman"/>
          <w:sz w:val="27"/>
          <w:rtl/>
        </w:rPr>
        <w:t>)</w:t>
      </w:r>
      <w:r w:rsidR="004B3D84" w:rsidRPr="00904FCB">
        <w:rPr>
          <w:rFonts w:ascii="Times New Roman" w:hAnsi="Times New Roman" w:hint="cs"/>
          <w:sz w:val="27"/>
          <w:rtl/>
        </w:rPr>
        <w:t>.</w:t>
      </w:r>
      <w:r w:rsidRPr="00904FCB">
        <w:rPr>
          <w:rFonts w:ascii="Times New Roman" w:hAnsi="Times New Roman"/>
          <w:sz w:val="27"/>
          <w:rtl/>
        </w:rPr>
        <w:t xml:space="preserve"> وهكذا قد نرى النائم العطشان يحلم بالماء</w:t>
      </w:r>
      <w:r w:rsidR="004B3D84" w:rsidRPr="00904FCB">
        <w:rPr>
          <w:rFonts w:ascii="Times New Roman" w:hAnsi="Times New Roman" w:hint="cs"/>
          <w:sz w:val="27"/>
          <w:rtl/>
        </w:rPr>
        <w:t>،</w:t>
      </w:r>
      <w:r w:rsidRPr="00904FCB">
        <w:rPr>
          <w:rFonts w:ascii="Times New Roman" w:hAnsi="Times New Roman"/>
          <w:sz w:val="27"/>
          <w:rtl/>
        </w:rPr>
        <w:t xml:space="preserve"> أو بالبحث عن الماء. </w:t>
      </w:r>
    </w:p>
    <w:p w:rsidR="00057E24" w:rsidRPr="00904FCB" w:rsidRDefault="00057E24" w:rsidP="00E66798">
      <w:pPr>
        <w:spacing w:line="420" w:lineRule="exact"/>
        <w:ind w:firstLine="561"/>
        <w:rPr>
          <w:rFonts w:ascii="Times New Roman" w:hAnsi="Times New Roman"/>
          <w:sz w:val="27"/>
        </w:rPr>
      </w:pPr>
      <w:r w:rsidRPr="00904FCB">
        <w:rPr>
          <w:rFonts w:ascii="Times New Roman" w:hAnsi="Times New Roman"/>
          <w:sz w:val="27"/>
        </w:rPr>
        <w:t> </w:t>
      </w:r>
      <w:r w:rsidRPr="00904FCB">
        <w:rPr>
          <w:rFonts w:ascii="Times New Roman" w:hAnsi="Times New Roman"/>
          <w:sz w:val="27"/>
          <w:rtl/>
        </w:rPr>
        <w:t>وثالثة</w:t>
      </w:r>
      <w:r w:rsidR="004B3D84" w:rsidRPr="00904FCB">
        <w:rPr>
          <w:rFonts w:ascii="Times New Roman" w:hAnsi="Times New Roman" w:hint="cs"/>
          <w:sz w:val="27"/>
          <w:rtl/>
        </w:rPr>
        <w:t>ً</w:t>
      </w:r>
      <w:r w:rsidRPr="00904FCB">
        <w:rPr>
          <w:rFonts w:ascii="Times New Roman" w:hAnsi="Times New Roman"/>
          <w:sz w:val="27"/>
          <w:rtl/>
        </w:rPr>
        <w:t xml:space="preserve"> يكون الحلم محافظاً على النوم، حيث تتحو</w:t>
      </w:r>
      <w:r w:rsidR="004B3D84" w:rsidRPr="00904FCB">
        <w:rPr>
          <w:rFonts w:ascii="Times New Roman" w:hAnsi="Times New Roman" w:hint="cs"/>
          <w:sz w:val="27"/>
          <w:rtl/>
        </w:rPr>
        <w:t>ّ</w:t>
      </w:r>
      <w:r w:rsidRPr="00904FCB">
        <w:rPr>
          <w:rFonts w:ascii="Times New Roman" w:hAnsi="Times New Roman"/>
          <w:sz w:val="27"/>
          <w:rtl/>
        </w:rPr>
        <w:t>ل فيه المثيرات الخارجية إلى حلم، مثل</w:t>
      </w:r>
      <w:r w:rsidR="004B3D84" w:rsidRPr="00904FCB">
        <w:rPr>
          <w:rFonts w:ascii="Times New Roman" w:hAnsi="Times New Roman" w:hint="cs"/>
          <w:sz w:val="27"/>
          <w:rtl/>
        </w:rPr>
        <w:t>:</w:t>
      </w:r>
      <w:r w:rsidRPr="00904FCB">
        <w:rPr>
          <w:rFonts w:ascii="Times New Roman" w:hAnsi="Times New Roman"/>
          <w:sz w:val="27"/>
          <w:rtl/>
        </w:rPr>
        <w:t xml:space="preserve"> م</w:t>
      </w:r>
      <w:r w:rsidR="004B3D84" w:rsidRPr="00904FCB">
        <w:rPr>
          <w:rFonts w:ascii="Times New Roman" w:hAnsi="Times New Roman" w:hint="cs"/>
          <w:sz w:val="27"/>
          <w:rtl/>
        </w:rPr>
        <w:t>َ</w:t>
      </w:r>
      <w:r w:rsidRPr="00904FCB">
        <w:rPr>
          <w:rFonts w:ascii="Times New Roman" w:hAnsi="Times New Roman"/>
          <w:sz w:val="27"/>
          <w:rtl/>
        </w:rPr>
        <w:t>ن</w:t>
      </w:r>
      <w:r w:rsidR="004B3D84" w:rsidRPr="00904FCB">
        <w:rPr>
          <w:rFonts w:ascii="Times New Roman" w:hAnsi="Times New Roman" w:hint="cs"/>
          <w:sz w:val="27"/>
          <w:rtl/>
        </w:rPr>
        <w:t>ْ</w:t>
      </w:r>
      <w:r w:rsidRPr="00904FCB">
        <w:rPr>
          <w:rFonts w:ascii="Times New Roman" w:hAnsi="Times New Roman"/>
          <w:sz w:val="27"/>
          <w:rtl/>
        </w:rPr>
        <w:t xml:space="preserve"> ينام</w:t>
      </w:r>
      <w:r w:rsidR="004B3D84" w:rsidRPr="00904FCB">
        <w:rPr>
          <w:rFonts w:ascii="Times New Roman" w:hAnsi="Times New Roman" w:hint="cs"/>
          <w:sz w:val="27"/>
          <w:rtl/>
        </w:rPr>
        <w:t>،</w:t>
      </w:r>
      <w:r w:rsidRPr="00904FCB">
        <w:rPr>
          <w:rFonts w:ascii="Times New Roman" w:hAnsi="Times New Roman"/>
          <w:sz w:val="27"/>
          <w:rtl/>
        </w:rPr>
        <w:t xml:space="preserve"> ثم يجتمع أناسٌ حوله</w:t>
      </w:r>
      <w:r w:rsidR="004B3D84" w:rsidRPr="00904FCB">
        <w:rPr>
          <w:rFonts w:ascii="Times New Roman" w:hAnsi="Times New Roman" w:hint="cs"/>
          <w:sz w:val="27"/>
          <w:rtl/>
        </w:rPr>
        <w:t>،</w:t>
      </w:r>
      <w:r w:rsidRPr="00904FCB">
        <w:rPr>
          <w:rFonts w:ascii="Times New Roman" w:hAnsi="Times New Roman"/>
          <w:sz w:val="27"/>
          <w:rtl/>
        </w:rPr>
        <w:t xml:space="preserve"> ويخوضون في بعض الأحاديث، فلكي يستطيع النائم الاستمرار بالنوم يُدخل حديثهم في حلم</w:t>
      </w:r>
      <w:r w:rsidR="004B3D84" w:rsidRPr="00904FCB">
        <w:rPr>
          <w:rFonts w:ascii="Times New Roman" w:hAnsi="Times New Roman" w:hint="cs"/>
          <w:sz w:val="27"/>
          <w:rtl/>
        </w:rPr>
        <w:t>ٍ</w:t>
      </w:r>
      <w:r w:rsidRPr="00904FCB">
        <w:rPr>
          <w:rFonts w:ascii="Times New Roman" w:hAnsi="Times New Roman"/>
          <w:sz w:val="27"/>
          <w:rtl/>
        </w:rPr>
        <w:t xml:space="preserve"> يتماهى معه. </w:t>
      </w:r>
    </w:p>
    <w:p w:rsidR="00057E24" w:rsidRPr="00904FCB" w:rsidRDefault="00057E24" w:rsidP="00E66798">
      <w:pPr>
        <w:spacing w:line="420" w:lineRule="exact"/>
        <w:ind w:firstLine="561"/>
        <w:rPr>
          <w:rFonts w:ascii="Times New Roman" w:hAnsi="Times New Roman"/>
          <w:sz w:val="27"/>
          <w:lang w:bidi="ar-LB"/>
        </w:rPr>
      </w:pPr>
      <w:r w:rsidRPr="00904FCB">
        <w:rPr>
          <w:rFonts w:ascii="Times New Roman" w:hAnsi="Times New Roman"/>
          <w:sz w:val="27"/>
          <w:rtl/>
        </w:rPr>
        <w:t>ورابعة</w:t>
      </w:r>
      <w:r w:rsidR="004B3D84" w:rsidRPr="00904FCB">
        <w:rPr>
          <w:rFonts w:ascii="Times New Roman" w:hAnsi="Times New Roman" w:hint="cs"/>
          <w:sz w:val="27"/>
          <w:rtl/>
        </w:rPr>
        <w:t>ً</w:t>
      </w:r>
      <w:r w:rsidRPr="00904FCB">
        <w:rPr>
          <w:rFonts w:ascii="Times New Roman" w:hAnsi="Times New Roman"/>
          <w:sz w:val="27"/>
          <w:rtl/>
        </w:rPr>
        <w:t xml:space="preserve"> يكون الحلم استعادة ـ بطريقة</w:t>
      </w:r>
      <w:r w:rsidR="004B3D84" w:rsidRPr="00904FCB">
        <w:rPr>
          <w:rFonts w:ascii="Times New Roman" w:hAnsi="Times New Roman" w:hint="cs"/>
          <w:sz w:val="27"/>
          <w:rtl/>
        </w:rPr>
        <w:t>ٍ</w:t>
      </w:r>
      <w:r w:rsidRPr="00904FCB">
        <w:rPr>
          <w:rFonts w:ascii="Times New Roman" w:hAnsi="Times New Roman"/>
          <w:sz w:val="27"/>
          <w:rtl/>
        </w:rPr>
        <w:t xml:space="preserve"> أو بأخرى ـ لما يسيطر على المرء من هواجس أو أفكار، أو ما يشغل باله من هموم</w:t>
      </w:r>
      <w:r w:rsidR="004B3D84" w:rsidRPr="00904FCB">
        <w:rPr>
          <w:rFonts w:ascii="Times New Roman" w:hAnsi="Times New Roman" w:hint="cs"/>
          <w:sz w:val="27"/>
          <w:rtl/>
        </w:rPr>
        <w:t>.</w:t>
      </w:r>
      <w:r w:rsidRPr="00904FCB">
        <w:rPr>
          <w:rFonts w:ascii="Times New Roman" w:hAnsi="Times New Roman"/>
          <w:sz w:val="27"/>
          <w:rtl/>
        </w:rPr>
        <w:t xml:space="preserve"> فإذا كان المرء يخاف من عدو</w:t>
      </w:r>
      <w:r w:rsidR="004B3D84" w:rsidRPr="00904FCB">
        <w:rPr>
          <w:rFonts w:ascii="Times New Roman" w:hAnsi="Times New Roman" w:hint="cs"/>
          <w:sz w:val="27"/>
          <w:rtl/>
        </w:rPr>
        <w:t>ٍّ</w:t>
      </w:r>
      <w:r w:rsidRPr="00904FCB">
        <w:rPr>
          <w:rFonts w:ascii="Times New Roman" w:hAnsi="Times New Roman"/>
          <w:sz w:val="27"/>
          <w:rtl/>
        </w:rPr>
        <w:t xml:space="preserve"> أو سبع فإنه يراه في منامه، كما تؤك</w:t>
      </w:r>
      <w:r w:rsidR="004B3D84" w:rsidRPr="00904FCB">
        <w:rPr>
          <w:rFonts w:ascii="Times New Roman" w:hAnsi="Times New Roman" w:hint="cs"/>
          <w:sz w:val="27"/>
          <w:rtl/>
        </w:rPr>
        <w:t>ِّ</w:t>
      </w:r>
      <w:r w:rsidRPr="00904FCB">
        <w:rPr>
          <w:rFonts w:ascii="Times New Roman" w:hAnsi="Times New Roman"/>
          <w:sz w:val="27"/>
          <w:rtl/>
        </w:rPr>
        <w:t>د ذلك التجارب</w:t>
      </w:r>
      <w:r w:rsidR="004B3D84" w:rsidRPr="00904FCB">
        <w:rPr>
          <w:rFonts w:ascii="Times New Roman" w:hAnsi="Times New Roman" w:hint="cs"/>
          <w:sz w:val="27"/>
          <w:rtl/>
        </w:rPr>
        <w:t>.</w:t>
      </w:r>
      <w:r w:rsidRPr="00904FCB">
        <w:rPr>
          <w:rFonts w:ascii="Times New Roman" w:hAnsi="Times New Roman"/>
          <w:sz w:val="27"/>
          <w:rtl/>
        </w:rPr>
        <w:t xml:space="preserve"> وقد أشارت بعض الروايات إلى هذا الصنف من الأحلام، ففي الحديث عن موسى بن جعفر</w:t>
      </w:r>
      <w:r w:rsidR="004B3D84" w:rsidRPr="00904FCB">
        <w:rPr>
          <w:rFonts w:ascii="Times New Roman" w:hAnsi="Times New Roman" w:hint="cs"/>
          <w:sz w:val="27"/>
          <w:rtl/>
        </w:rPr>
        <w:t>،</w:t>
      </w:r>
      <w:r w:rsidRPr="00904FCB">
        <w:rPr>
          <w:rFonts w:ascii="Times New Roman" w:hAnsi="Times New Roman"/>
          <w:sz w:val="27"/>
          <w:rtl/>
        </w:rPr>
        <w:t xml:space="preserve"> عن أبيه</w:t>
      </w:r>
      <w:r w:rsidR="004B3D84" w:rsidRPr="00904FCB">
        <w:rPr>
          <w:rFonts w:ascii="Times New Roman" w:hAnsi="Times New Roman" w:hint="cs"/>
          <w:sz w:val="27"/>
          <w:rtl/>
        </w:rPr>
        <w:t>،</w:t>
      </w:r>
      <w:r w:rsidRPr="00904FCB">
        <w:rPr>
          <w:rFonts w:ascii="Times New Roman" w:hAnsi="Times New Roman"/>
          <w:sz w:val="27"/>
          <w:rtl/>
        </w:rPr>
        <w:t xml:space="preserve"> عن آبائه</w:t>
      </w:r>
      <w:r w:rsidR="004B3D84" w:rsidRPr="00904FCB">
        <w:rPr>
          <w:rFonts w:ascii="Times New Roman" w:hAnsi="Times New Roman" w:hint="cs"/>
          <w:sz w:val="27"/>
          <w:rtl/>
        </w:rPr>
        <w:t>،</w:t>
      </w:r>
      <w:r w:rsidRPr="00904FCB">
        <w:rPr>
          <w:rFonts w:ascii="Times New Roman" w:hAnsi="Times New Roman"/>
          <w:sz w:val="27"/>
          <w:rtl/>
        </w:rPr>
        <w:t xml:space="preserve"> عن رسول الله</w:t>
      </w:r>
      <w:r w:rsidR="00635E51" w:rsidRPr="00904FCB">
        <w:rPr>
          <w:rFonts w:ascii="Times New Roman" w:hAnsi="Times New Roman" w:cs="Mosawi"/>
          <w:sz w:val="27"/>
          <w:szCs w:val="22"/>
          <w:rtl/>
        </w:rPr>
        <w:t>|</w:t>
      </w:r>
      <w:r w:rsidRPr="00904FCB">
        <w:rPr>
          <w:rFonts w:ascii="Times New Roman" w:hAnsi="Times New Roman"/>
          <w:sz w:val="27"/>
          <w:rtl/>
        </w:rPr>
        <w:t xml:space="preserve">: </w:t>
      </w:r>
      <w:r w:rsidRPr="00904FCB">
        <w:rPr>
          <w:rFonts w:hint="eastAsia"/>
          <w:sz w:val="27"/>
          <w:rtl/>
        </w:rPr>
        <w:t>«</w:t>
      </w:r>
      <w:r w:rsidRPr="00904FCB">
        <w:rPr>
          <w:rFonts w:ascii="Times New Roman" w:hAnsi="Times New Roman"/>
          <w:sz w:val="27"/>
          <w:rtl/>
        </w:rPr>
        <w:t>الرؤيا ثلاثة: بشرى من الله</w:t>
      </w:r>
      <w:r w:rsidR="004B3D84" w:rsidRPr="00904FCB">
        <w:rPr>
          <w:rFonts w:ascii="Times New Roman" w:hAnsi="Times New Roman" w:hint="cs"/>
          <w:sz w:val="27"/>
          <w:rtl/>
        </w:rPr>
        <w:t>؛</w:t>
      </w:r>
      <w:r w:rsidRPr="00904FCB">
        <w:rPr>
          <w:rFonts w:ascii="Times New Roman" w:hAnsi="Times New Roman"/>
          <w:sz w:val="27"/>
          <w:rtl/>
        </w:rPr>
        <w:t xml:space="preserve"> وتحزين من الشيطان</w:t>
      </w:r>
      <w:r w:rsidR="004B3D84" w:rsidRPr="00904FCB">
        <w:rPr>
          <w:rFonts w:ascii="Times New Roman" w:hAnsi="Times New Roman" w:hint="cs"/>
          <w:sz w:val="27"/>
          <w:rtl/>
        </w:rPr>
        <w:t>؛</w:t>
      </w:r>
      <w:r w:rsidRPr="00904FCB">
        <w:rPr>
          <w:rFonts w:ascii="Times New Roman" w:hAnsi="Times New Roman"/>
          <w:sz w:val="27"/>
          <w:rtl/>
        </w:rPr>
        <w:t xml:space="preserve"> والذي يحدّث به الإنسان نفسه، فيراه في منامه</w:t>
      </w:r>
      <w:r w:rsidRPr="00904FCB">
        <w:rPr>
          <w:rFonts w:hint="eastAsia"/>
          <w:sz w:val="27"/>
          <w:rtl/>
        </w:rPr>
        <w:t>»</w:t>
      </w:r>
      <w:r w:rsidRPr="00904FCB">
        <w:rPr>
          <w:rFonts w:hint="cs"/>
          <w:sz w:val="27"/>
          <w:vertAlign w:val="superscript"/>
          <w:rtl/>
        </w:rPr>
        <w:t>(</w:t>
      </w:r>
      <w:r w:rsidRPr="00904FCB">
        <w:rPr>
          <w:rStyle w:val="ac"/>
          <w:sz w:val="27"/>
          <w:rtl/>
        </w:rPr>
        <w:endnoteReference w:id="538"/>
      </w:r>
      <w:r w:rsidRPr="00904FCB">
        <w:rPr>
          <w:rFonts w:hint="cs"/>
          <w:sz w:val="27"/>
          <w:vertAlign w:val="superscript"/>
          <w:rtl/>
        </w:rPr>
        <w:t>)</w:t>
      </w:r>
      <w:r w:rsidRPr="00904FCB">
        <w:rPr>
          <w:rFonts w:ascii="Times New Roman" w:hAnsi="Times New Roman" w:hint="cs"/>
          <w:sz w:val="27"/>
          <w:rtl/>
        </w:rPr>
        <w:t>.</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w:t>
      </w:r>
    </w:p>
    <w:p w:rsidR="00057E24" w:rsidRPr="00904FCB" w:rsidRDefault="00057E24" w:rsidP="007A21AA">
      <w:pPr>
        <w:pStyle w:val="31"/>
        <w:spacing w:line="400" w:lineRule="exact"/>
        <w:rPr>
          <w:color w:val="auto"/>
        </w:rPr>
      </w:pPr>
      <w:r w:rsidRPr="00904FCB">
        <w:rPr>
          <w:color w:val="auto"/>
        </w:rPr>
        <w:t> </w:t>
      </w:r>
      <w:r w:rsidRPr="00904FCB">
        <w:rPr>
          <w:color w:val="auto"/>
          <w:rtl/>
        </w:rPr>
        <w:t>الرؤيا</w:t>
      </w:r>
    </w:p>
    <w:p w:rsidR="00057E24" w:rsidRPr="00904FCB" w:rsidRDefault="00057E24" w:rsidP="00177089">
      <w:pPr>
        <w:spacing w:line="420" w:lineRule="exact"/>
        <w:rPr>
          <w:rFonts w:ascii="Times New Roman" w:hAnsi="Times New Roman"/>
          <w:sz w:val="27"/>
        </w:rPr>
      </w:pPr>
      <w:r w:rsidRPr="00904FCB">
        <w:rPr>
          <w:rFonts w:ascii="Times New Roman" w:hAnsi="Times New Roman"/>
          <w:sz w:val="27"/>
          <w:rtl/>
        </w:rPr>
        <w:t>ومن أنواع الحلم وأقسامه</w:t>
      </w:r>
      <w:r w:rsidR="004B3D84" w:rsidRPr="00904FCB">
        <w:rPr>
          <w:rFonts w:ascii="Times New Roman" w:hAnsi="Times New Roman" w:hint="cs"/>
          <w:sz w:val="27"/>
          <w:rtl/>
        </w:rPr>
        <w:t>:</w:t>
      </w:r>
      <w:r w:rsidRPr="00904FCB">
        <w:rPr>
          <w:rFonts w:ascii="Times New Roman" w:hAnsi="Times New Roman"/>
          <w:sz w:val="27"/>
          <w:rtl/>
        </w:rPr>
        <w:t xml:space="preserve"> الرؤيا</w:t>
      </w:r>
      <w:r w:rsidR="004B3D84" w:rsidRPr="00904FCB">
        <w:rPr>
          <w:rFonts w:ascii="Times New Roman" w:hAnsi="Times New Roman" w:hint="cs"/>
          <w:sz w:val="27"/>
          <w:rtl/>
        </w:rPr>
        <w:t>.</w:t>
      </w:r>
      <w:r w:rsidRPr="00904FCB">
        <w:rPr>
          <w:rFonts w:ascii="Times New Roman" w:hAnsi="Times New Roman"/>
          <w:sz w:val="27"/>
          <w:rtl/>
        </w:rPr>
        <w:t xml:space="preserve"> ولفظ الرؤيا وإن</w:t>
      </w:r>
      <w:r w:rsidR="004B3D84" w:rsidRPr="00904FCB">
        <w:rPr>
          <w:rFonts w:ascii="Times New Roman" w:hAnsi="Times New Roman" w:hint="cs"/>
          <w:sz w:val="27"/>
          <w:rtl/>
        </w:rPr>
        <w:t>ْ</w:t>
      </w:r>
      <w:r w:rsidRPr="00904FCB">
        <w:rPr>
          <w:rFonts w:ascii="Times New Roman" w:hAnsi="Times New Roman"/>
          <w:sz w:val="27"/>
          <w:rtl/>
        </w:rPr>
        <w:t xml:space="preserve"> كان قد يأتي</w:t>
      </w:r>
      <w:r w:rsidR="004B3D84" w:rsidRPr="00904FCB">
        <w:rPr>
          <w:rFonts w:ascii="Times New Roman" w:hAnsi="Times New Roman" w:hint="cs"/>
          <w:sz w:val="27"/>
          <w:rtl/>
        </w:rPr>
        <w:t>،</w:t>
      </w:r>
      <w:r w:rsidRPr="00904FCB">
        <w:rPr>
          <w:rFonts w:ascii="Times New Roman" w:hAnsi="Times New Roman"/>
          <w:sz w:val="27"/>
          <w:rtl/>
        </w:rPr>
        <w:t xml:space="preserve"> ولا سي</w:t>
      </w:r>
      <w:r w:rsidR="004B3D84" w:rsidRPr="00904FCB">
        <w:rPr>
          <w:rFonts w:ascii="Times New Roman" w:hAnsi="Times New Roman" w:hint="cs"/>
          <w:sz w:val="27"/>
          <w:rtl/>
        </w:rPr>
        <w:t>َّ</w:t>
      </w:r>
      <w:r w:rsidRPr="00904FCB">
        <w:rPr>
          <w:rFonts w:ascii="Times New Roman" w:hAnsi="Times New Roman"/>
          <w:sz w:val="27"/>
          <w:rtl/>
        </w:rPr>
        <w:t>ما في كلمات اللغويين</w:t>
      </w:r>
      <w:r w:rsidR="004B3D84" w:rsidRPr="00904FCB">
        <w:rPr>
          <w:rFonts w:ascii="Times New Roman" w:hAnsi="Times New Roman" w:hint="cs"/>
          <w:sz w:val="27"/>
          <w:rtl/>
        </w:rPr>
        <w:t>،</w:t>
      </w:r>
      <w:r w:rsidRPr="00904FCB">
        <w:rPr>
          <w:rFonts w:ascii="Times New Roman" w:hAnsi="Times New Roman"/>
          <w:sz w:val="27"/>
          <w:rtl/>
        </w:rPr>
        <w:t xml:space="preserve"> مرادفاً للحلم في المعنى، إلاّ أنّه قد شاع استخدامها في نوع</w:t>
      </w:r>
      <w:r w:rsidR="004B3D84" w:rsidRPr="00904FCB">
        <w:rPr>
          <w:rFonts w:ascii="Times New Roman" w:hAnsi="Times New Roman" w:hint="cs"/>
          <w:sz w:val="27"/>
          <w:rtl/>
        </w:rPr>
        <w:t>ٍ</w:t>
      </w:r>
      <w:r w:rsidRPr="00904FCB">
        <w:rPr>
          <w:rFonts w:ascii="Times New Roman" w:hAnsi="Times New Roman"/>
          <w:sz w:val="27"/>
          <w:rtl/>
        </w:rPr>
        <w:t xml:space="preserve"> خاص</w:t>
      </w:r>
      <w:r w:rsidR="004B3D84" w:rsidRPr="00904FCB">
        <w:rPr>
          <w:rFonts w:ascii="Times New Roman" w:hAnsi="Times New Roman" w:hint="cs"/>
          <w:sz w:val="27"/>
          <w:rtl/>
        </w:rPr>
        <w:t>ّ</w:t>
      </w:r>
      <w:r w:rsidRPr="00904FCB">
        <w:rPr>
          <w:rFonts w:ascii="Times New Roman" w:hAnsi="Times New Roman"/>
          <w:sz w:val="27"/>
          <w:rtl/>
        </w:rPr>
        <w:t xml:space="preserve"> من الأحلام، وهي الأحلام الصادقة</w:t>
      </w:r>
      <w:r w:rsidR="004B3D84" w:rsidRPr="00904FCB">
        <w:rPr>
          <w:rFonts w:ascii="Times New Roman" w:hAnsi="Times New Roman" w:hint="cs"/>
          <w:sz w:val="27"/>
          <w:rtl/>
        </w:rPr>
        <w:t>،</w:t>
      </w:r>
      <w:r w:rsidRPr="00904FCB">
        <w:rPr>
          <w:rFonts w:ascii="Times New Roman" w:hAnsi="Times New Roman"/>
          <w:sz w:val="27"/>
          <w:rtl/>
        </w:rPr>
        <w:t xml:space="preserve"> حت</w:t>
      </w:r>
      <w:r w:rsidR="004B3D84" w:rsidRPr="00904FCB">
        <w:rPr>
          <w:rFonts w:ascii="Times New Roman" w:hAnsi="Times New Roman" w:hint="cs"/>
          <w:sz w:val="27"/>
          <w:rtl/>
        </w:rPr>
        <w:t>ّ</w:t>
      </w:r>
      <w:r w:rsidRPr="00904FCB">
        <w:rPr>
          <w:rFonts w:ascii="Times New Roman" w:hAnsi="Times New Roman"/>
          <w:sz w:val="27"/>
          <w:rtl/>
        </w:rPr>
        <w:t>ى صارت اصطلاحا</w:t>
      </w:r>
      <w:r w:rsidR="004B3D84" w:rsidRPr="00904FCB">
        <w:rPr>
          <w:rFonts w:ascii="Times New Roman" w:hAnsi="Times New Roman" w:hint="cs"/>
          <w:sz w:val="27"/>
          <w:rtl/>
        </w:rPr>
        <w:t>ً</w:t>
      </w:r>
      <w:r w:rsidRPr="00904FCB">
        <w:rPr>
          <w:rFonts w:ascii="Times New Roman" w:hAnsi="Times New Roman"/>
          <w:sz w:val="27"/>
          <w:rtl/>
        </w:rPr>
        <w:t xml:space="preserve"> في ذلك</w:t>
      </w:r>
      <w:r w:rsidRPr="00904FCB">
        <w:rPr>
          <w:rFonts w:hint="cs"/>
          <w:sz w:val="27"/>
          <w:vertAlign w:val="superscript"/>
          <w:rtl/>
        </w:rPr>
        <w:t>(</w:t>
      </w:r>
      <w:r w:rsidRPr="00904FCB">
        <w:rPr>
          <w:rStyle w:val="ac"/>
          <w:sz w:val="27"/>
          <w:rtl/>
        </w:rPr>
        <w:endnoteReference w:id="539"/>
      </w:r>
      <w:r w:rsidRPr="00904FCB">
        <w:rPr>
          <w:rFonts w:hint="cs"/>
          <w:sz w:val="27"/>
          <w:vertAlign w:val="superscript"/>
          <w:rtl/>
        </w:rPr>
        <w:t>)</w:t>
      </w:r>
      <w:r w:rsidR="004B3D84" w:rsidRPr="00904FCB">
        <w:rPr>
          <w:rFonts w:ascii="Times New Roman" w:hAnsi="Times New Roman" w:hint="cs"/>
          <w:sz w:val="27"/>
          <w:rtl/>
        </w:rPr>
        <w:t>.</w:t>
      </w:r>
      <w:r w:rsidRPr="00904FCB">
        <w:rPr>
          <w:rFonts w:ascii="Times New Roman" w:hAnsi="Times New Roman"/>
          <w:sz w:val="27"/>
          <w:rtl/>
        </w:rPr>
        <w:t xml:space="preserve"> ويمكننا القول: إنّ الرؤيا الصادقة هي التي تتعط</w:t>
      </w:r>
      <w:r w:rsidR="004B3D84" w:rsidRPr="00904FCB">
        <w:rPr>
          <w:rFonts w:ascii="Times New Roman" w:hAnsi="Times New Roman" w:hint="cs"/>
          <w:sz w:val="27"/>
          <w:rtl/>
        </w:rPr>
        <w:t>ّ</w:t>
      </w:r>
      <w:r w:rsidRPr="00904FCB">
        <w:rPr>
          <w:rFonts w:ascii="Times New Roman" w:hAnsi="Times New Roman"/>
          <w:sz w:val="27"/>
          <w:rtl/>
        </w:rPr>
        <w:t>ل فيها قوانين المكان والزمان، حيث يجتاز فيها النائم حاجز الغيب الزماني</w:t>
      </w:r>
      <w:r w:rsidR="004B3D84" w:rsidRPr="00904FCB">
        <w:rPr>
          <w:rFonts w:ascii="Times New Roman" w:hAnsi="Times New Roman" w:hint="cs"/>
          <w:sz w:val="27"/>
          <w:rtl/>
        </w:rPr>
        <w:t>،</w:t>
      </w:r>
      <w:r w:rsidR="004B3D84" w:rsidRPr="00904FCB">
        <w:rPr>
          <w:rFonts w:ascii="Times New Roman" w:hAnsi="Times New Roman"/>
          <w:sz w:val="27"/>
          <w:rtl/>
        </w:rPr>
        <w:t xml:space="preserve"> ليرى أشياء</w:t>
      </w:r>
      <w:r w:rsidR="00CC60BD" w:rsidRPr="00904FCB">
        <w:rPr>
          <w:rFonts w:ascii="Times New Roman" w:hAnsi="Times New Roman" w:hint="cs"/>
          <w:sz w:val="27"/>
          <w:rtl/>
        </w:rPr>
        <w:t>ً</w:t>
      </w:r>
      <w:r w:rsidRPr="00904FCB">
        <w:rPr>
          <w:rFonts w:ascii="Times New Roman" w:hAnsi="Times New Roman"/>
          <w:sz w:val="27"/>
          <w:rtl/>
        </w:rPr>
        <w:t xml:space="preserve"> قبل حدوثها، أو يجتاز حاجز الغيب المكاني فيرى أشياءً قد وقعت في مكان</w:t>
      </w:r>
      <w:r w:rsidR="00CC60BD" w:rsidRPr="00904FCB">
        <w:rPr>
          <w:rFonts w:ascii="Times New Roman" w:hAnsi="Times New Roman" w:hint="cs"/>
          <w:sz w:val="27"/>
          <w:rtl/>
        </w:rPr>
        <w:t>ٍ</w:t>
      </w:r>
      <w:r w:rsidRPr="00904FCB">
        <w:rPr>
          <w:rFonts w:ascii="Times New Roman" w:hAnsi="Times New Roman"/>
          <w:sz w:val="27"/>
          <w:rtl/>
        </w:rPr>
        <w:t xml:space="preserve"> بعيد عنه، ثم يتبين أنّ ما رآه قد وقع فعلاً</w:t>
      </w:r>
      <w:r w:rsidR="00CC60BD" w:rsidRPr="00904FCB">
        <w:rPr>
          <w:rFonts w:ascii="Times New Roman" w:hAnsi="Times New Roman" w:hint="cs"/>
          <w:sz w:val="27"/>
          <w:rtl/>
        </w:rPr>
        <w:t>.</w:t>
      </w:r>
      <w:r w:rsidRPr="00904FCB">
        <w:rPr>
          <w:rFonts w:ascii="Times New Roman" w:hAnsi="Times New Roman"/>
          <w:sz w:val="27"/>
          <w:rtl/>
        </w:rPr>
        <w:t xml:space="preserve"> وهذا ما ربما يشير إليه الحديث النبوي الشريف: </w:t>
      </w:r>
      <w:r w:rsidRPr="00904FCB">
        <w:rPr>
          <w:rFonts w:hint="eastAsia"/>
          <w:sz w:val="27"/>
          <w:rtl/>
        </w:rPr>
        <w:t>«</w:t>
      </w:r>
      <w:r w:rsidRPr="00904FCB">
        <w:rPr>
          <w:rFonts w:ascii="Times New Roman" w:hAnsi="Times New Roman"/>
          <w:sz w:val="27"/>
          <w:rtl/>
        </w:rPr>
        <w:t>إنّ الرؤيا من الله</w:t>
      </w:r>
      <w:r w:rsidR="00CC60BD" w:rsidRPr="00904FCB">
        <w:rPr>
          <w:rFonts w:ascii="Times New Roman" w:hAnsi="Times New Roman" w:hint="cs"/>
          <w:sz w:val="27"/>
          <w:rtl/>
        </w:rPr>
        <w:t>؛</w:t>
      </w:r>
      <w:r w:rsidRPr="00904FCB">
        <w:rPr>
          <w:rFonts w:ascii="Times New Roman" w:hAnsi="Times New Roman"/>
          <w:sz w:val="27"/>
          <w:rtl/>
        </w:rPr>
        <w:t xml:space="preserve"> والحلم من الشيطان</w:t>
      </w:r>
      <w:r w:rsidRPr="00904FCB">
        <w:rPr>
          <w:rFonts w:hint="eastAsia"/>
          <w:sz w:val="27"/>
          <w:rtl/>
        </w:rPr>
        <w:t>»</w:t>
      </w:r>
      <w:r w:rsidRPr="00904FCB">
        <w:rPr>
          <w:rFonts w:hint="cs"/>
          <w:sz w:val="27"/>
          <w:vertAlign w:val="superscript"/>
          <w:rtl/>
        </w:rPr>
        <w:t>(</w:t>
      </w:r>
      <w:r w:rsidRPr="00904FCB">
        <w:rPr>
          <w:rStyle w:val="ac"/>
          <w:sz w:val="27"/>
          <w:rtl/>
        </w:rPr>
        <w:endnoteReference w:id="540"/>
      </w:r>
      <w:r w:rsidRPr="00904FCB">
        <w:rPr>
          <w:rFonts w:hint="cs"/>
          <w:sz w:val="27"/>
          <w:vertAlign w:val="superscript"/>
          <w:rtl/>
        </w:rPr>
        <w:t>)</w:t>
      </w:r>
      <w:r w:rsidRPr="00904FCB">
        <w:rPr>
          <w:rFonts w:ascii="Times New Roman" w:hAnsi="Times New Roman"/>
          <w:sz w:val="27"/>
          <w:rtl/>
        </w:rPr>
        <w:t>، وفي حديث آخر عنه</w:t>
      </w:r>
      <w:r w:rsidR="00635E51" w:rsidRPr="00904FCB">
        <w:rPr>
          <w:rFonts w:ascii="Times New Roman" w:hAnsi="Times New Roman" w:cs="Mosawi"/>
          <w:sz w:val="27"/>
          <w:szCs w:val="22"/>
          <w:rtl/>
        </w:rPr>
        <w:t>|</w:t>
      </w:r>
      <w:r w:rsidRPr="00904FCB">
        <w:rPr>
          <w:rFonts w:ascii="Times New Roman" w:hAnsi="Times New Roman"/>
          <w:sz w:val="27"/>
          <w:rtl/>
        </w:rPr>
        <w:t xml:space="preserve">: </w:t>
      </w:r>
      <w:r w:rsidRPr="00904FCB">
        <w:rPr>
          <w:rFonts w:hint="eastAsia"/>
          <w:sz w:val="27"/>
          <w:rtl/>
        </w:rPr>
        <w:t>«</w:t>
      </w:r>
      <w:r w:rsidR="00CC60BD" w:rsidRPr="00904FCB">
        <w:rPr>
          <w:rFonts w:ascii="Times New Roman" w:hAnsi="Times New Roman" w:hint="cs"/>
          <w:sz w:val="27"/>
          <w:rtl/>
        </w:rPr>
        <w:t xml:space="preserve">إن الرؤيا الصادقة </w:t>
      </w:r>
      <w:r w:rsidRPr="00904FCB">
        <w:rPr>
          <w:rFonts w:ascii="Times New Roman" w:hAnsi="Times New Roman"/>
          <w:sz w:val="27"/>
          <w:rtl/>
        </w:rPr>
        <w:t>جزءٌ من سبعين جزءاً من النبو</w:t>
      </w:r>
      <w:r w:rsidR="00CC60BD" w:rsidRPr="00904FCB">
        <w:rPr>
          <w:rFonts w:ascii="Times New Roman" w:hAnsi="Times New Roman" w:hint="cs"/>
          <w:sz w:val="27"/>
          <w:rtl/>
        </w:rPr>
        <w:t>ّ</w:t>
      </w:r>
      <w:r w:rsidRPr="00904FCB">
        <w:rPr>
          <w:rFonts w:ascii="Times New Roman" w:hAnsi="Times New Roman"/>
          <w:sz w:val="27"/>
          <w:rtl/>
        </w:rPr>
        <w:t>ة</w:t>
      </w:r>
      <w:r w:rsidRPr="00904FCB">
        <w:rPr>
          <w:rFonts w:hint="eastAsia"/>
          <w:sz w:val="27"/>
          <w:rtl/>
        </w:rPr>
        <w:t>»</w:t>
      </w:r>
      <w:r w:rsidRPr="00904FCB">
        <w:rPr>
          <w:rFonts w:hint="cs"/>
          <w:sz w:val="27"/>
          <w:vertAlign w:val="superscript"/>
          <w:rtl/>
        </w:rPr>
        <w:t>(</w:t>
      </w:r>
      <w:r w:rsidRPr="00904FCB">
        <w:rPr>
          <w:rStyle w:val="ac"/>
          <w:sz w:val="27"/>
          <w:rtl/>
        </w:rPr>
        <w:endnoteReference w:id="541"/>
      </w:r>
      <w:r w:rsidRPr="00904FCB">
        <w:rPr>
          <w:rFonts w:hint="cs"/>
          <w:sz w:val="27"/>
          <w:vertAlign w:val="superscript"/>
          <w:rtl/>
        </w:rPr>
        <w:t>)</w:t>
      </w:r>
      <w:r w:rsidRPr="00904FCB">
        <w:rPr>
          <w:rFonts w:ascii="Times New Roman" w:hAnsi="Times New Roman"/>
          <w:sz w:val="27"/>
          <w:rtl/>
        </w:rPr>
        <w:t xml:space="preserve">، وعن </w:t>
      </w:r>
      <w:r w:rsidRPr="00904FCB">
        <w:rPr>
          <w:rFonts w:ascii="Times New Roman" w:hAnsi="Times New Roman"/>
          <w:sz w:val="27"/>
          <w:rtl/>
        </w:rPr>
        <w:lastRenderedPageBreak/>
        <w:t>رسول الله</w:t>
      </w:r>
      <w:r w:rsidR="00635E51" w:rsidRPr="00904FCB">
        <w:rPr>
          <w:rFonts w:ascii="Times New Roman" w:hAnsi="Times New Roman" w:cs="Mosawi"/>
          <w:sz w:val="27"/>
          <w:szCs w:val="22"/>
          <w:rtl/>
        </w:rPr>
        <w:t>|</w:t>
      </w:r>
      <w:r w:rsidRPr="00904FCB">
        <w:rPr>
          <w:rFonts w:ascii="Times New Roman" w:hAnsi="Times New Roman"/>
          <w:sz w:val="27"/>
          <w:rtl/>
        </w:rPr>
        <w:t xml:space="preserve"> أيضاً: </w:t>
      </w:r>
      <w:r w:rsidRPr="00904FCB">
        <w:rPr>
          <w:rFonts w:hint="eastAsia"/>
          <w:sz w:val="27"/>
          <w:rtl/>
        </w:rPr>
        <w:t>«</w:t>
      </w:r>
      <w:r w:rsidRPr="00904FCB">
        <w:rPr>
          <w:rFonts w:ascii="Times New Roman" w:hAnsi="Times New Roman"/>
          <w:sz w:val="27"/>
          <w:rtl/>
        </w:rPr>
        <w:t>لم يب</w:t>
      </w:r>
      <w:r w:rsidR="00CC60BD" w:rsidRPr="00904FCB">
        <w:rPr>
          <w:rFonts w:ascii="Times New Roman" w:hAnsi="Times New Roman" w:hint="cs"/>
          <w:sz w:val="27"/>
          <w:rtl/>
        </w:rPr>
        <w:t>ْ</w:t>
      </w:r>
      <w:r w:rsidRPr="00904FCB">
        <w:rPr>
          <w:rFonts w:ascii="Times New Roman" w:hAnsi="Times New Roman"/>
          <w:sz w:val="27"/>
          <w:rtl/>
        </w:rPr>
        <w:t>ق</w:t>
      </w:r>
      <w:r w:rsidR="00CC60BD" w:rsidRPr="00904FCB">
        <w:rPr>
          <w:rFonts w:ascii="Times New Roman" w:hAnsi="Times New Roman" w:hint="cs"/>
          <w:sz w:val="27"/>
          <w:rtl/>
        </w:rPr>
        <w:t>َ</w:t>
      </w:r>
      <w:r w:rsidR="00CC60BD" w:rsidRPr="00904FCB">
        <w:rPr>
          <w:rFonts w:ascii="Times New Roman" w:hAnsi="Times New Roman"/>
          <w:sz w:val="27"/>
          <w:rtl/>
        </w:rPr>
        <w:t xml:space="preserve"> من النبوة إلا</w:t>
      </w:r>
      <w:r w:rsidR="00CC60BD" w:rsidRPr="00904FCB">
        <w:rPr>
          <w:rFonts w:ascii="Times New Roman" w:hAnsi="Times New Roman" w:hint="cs"/>
          <w:sz w:val="27"/>
          <w:rtl/>
        </w:rPr>
        <w:t>ّ</w:t>
      </w:r>
      <w:r w:rsidRPr="00904FCB">
        <w:rPr>
          <w:rFonts w:ascii="Times New Roman" w:hAnsi="Times New Roman"/>
          <w:sz w:val="27"/>
          <w:rtl/>
        </w:rPr>
        <w:t xml:space="preserve"> المبش</w:t>
      </w:r>
      <w:r w:rsidR="00CC60BD" w:rsidRPr="00904FCB">
        <w:rPr>
          <w:rFonts w:ascii="Times New Roman" w:hAnsi="Times New Roman" w:hint="cs"/>
          <w:sz w:val="27"/>
          <w:rtl/>
        </w:rPr>
        <w:t>ِّ</w:t>
      </w:r>
      <w:r w:rsidRPr="00904FCB">
        <w:rPr>
          <w:rFonts w:ascii="Times New Roman" w:hAnsi="Times New Roman"/>
          <w:sz w:val="27"/>
          <w:rtl/>
        </w:rPr>
        <w:t>رات، قالوا: وما المبش</w:t>
      </w:r>
      <w:r w:rsidR="00CC60BD" w:rsidRPr="00904FCB">
        <w:rPr>
          <w:rFonts w:ascii="Times New Roman" w:hAnsi="Times New Roman" w:hint="cs"/>
          <w:sz w:val="27"/>
          <w:rtl/>
        </w:rPr>
        <w:t>ِّ</w:t>
      </w:r>
      <w:r w:rsidRPr="00904FCB">
        <w:rPr>
          <w:rFonts w:ascii="Times New Roman" w:hAnsi="Times New Roman"/>
          <w:sz w:val="27"/>
          <w:rtl/>
        </w:rPr>
        <w:t>رات؟ قال: الرؤيا الصالحة</w:t>
      </w:r>
      <w:r w:rsidRPr="00904FCB">
        <w:rPr>
          <w:rFonts w:hint="eastAsia"/>
          <w:sz w:val="27"/>
          <w:rtl/>
        </w:rPr>
        <w:t>»</w:t>
      </w:r>
      <w:r w:rsidRPr="00904FCB">
        <w:rPr>
          <w:rFonts w:hint="cs"/>
          <w:sz w:val="27"/>
          <w:vertAlign w:val="superscript"/>
          <w:rtl/>
        </w:rPr>
        <w:t>(</w:t>
      </w:r>
      <w:r w:rsidRPr="00904FCB">
        <w:rPr>
          <w:rStyle w:val="ac"/>
          <w:sz w:val="27"/>
          <w:rtl/>
        </w:rPr>
        <w:endnoteReference w:id="542"/>
      </w:r>
      <w:r w:rsidRPr="00904FCB">
        <w:rPr>
          <w:rFonts w:hint="cs"/>
          <w:sz w:val="27"/>
          <w:vertAlign w:val="superscript"/>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E41E7D">
        <w:rPr>
          <w:rFonts w:hint="cs"/>
          <w:color w:val="auto"/>
          <w:rtl/>
        </w:rPr>
        <w:t>2ـ</w:t>
      </w:r>
      <w:r w:rsidRPr="00E41E7D">
        <w:rPr>
          <w:color w:val="auto"/>
          <w:rtl/>
        </w:rPr>
        <w:t xml:space="preserve"> دور</w:t>
      </w:r>
      <w:r w:rsidRPr="00904FCB">
        <w:rPr>
          <w:color w:val="auto"/>
          <w:rtl/>
        </w:rPr>
        <w:t xml:space="preserve"> المنام في المعرفة الإسلامية</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نقولها بكل</w:t>
      </w:r>
      <w:r w:rsidR="00CC60BD" w:rsidRPr="00904FCB">
        <w:rPr>
          <w:rFonts w:ascii="Times New Roman" w:hAnsi="Times New Roman" w:hint="cs"/>
          <w:sz w:val="27"/>
          <w:rtl/>
        </w:rPr>
        <w:t>ّ</w:t>
      </w:r>
      <w:r w:rsidRPr="00904FCB">
        <w:rPr>
          <w:rFonts w:ascii="Times New Roman" w:hAnsi="Times New Roman"/>
          <w:sz w:val="27"/>
          <w:rtl/>
        </w:rPr>
        <w:t xml:space="preserve"> حسم</w:t>
      </w:r>
      <w:r w:rsidR="00CC60BD" w:rsidRPr="00904FCB">
        <w:rPr>
          <w:rFonts w:ascii="Times New Roman" w:hAnsi="Times New Roman" w:hint="cs"/>
          <w:sz w:val="27"/>
          <w:rtl/>
        </w:rPr>
        <w:t>ٍ</w:t>
      </w:r>
      <w:r w:rsidRPr="00904FCB">
        <w:rPr>
          <w:rFonts w:ascii="Times New Roman" w:hAnsi="Times New Roman"/>
          <w:sz w:val="27"/>
          <w:rtl/>
        </w:rPr>
        <w:t xml:space="preserve"> ووضوح: ليس للمنام أي</w:t>
      </w:r>
      <w:r w:rsidR="00CC60BD" w:rsidRPr="00904FCB">
        <w:rPr>
          <w:rFonts w:ascii="Times New Roman" w:hAnsi="Times New Roman" w:hint="cs"/>
          <w:sz w:val="27"/>
          <w:rtl/>
        </w:rPr>
        <w:t>ّ</w:t>
      </w:r>
      <w:r w:rsidRPr="00904FCB">
        <w:rPr>
          <w:rFonts w:ascii="Times New Roman" w:hAnsi="Times New Roman"/>
          <w:sz w:val="27"/>
          <w:rtl/>
        </w:rPr>
        <w:t xml:space="preserve"> دور في بناء المعرفة الإسلامية في شت</w:t>
      </w:r>
      <w:r w:rsidR="00CC60BD" w:rsidRPr="00904FCB">
        <w:rPr>
          <w:rFonts w:ascii="Times New Roman" w:hAnsi="Times New Roman" w:hint="cs"/>
          <w:sz w:val="27"/>
          <w:rtl/>
        </w:rPr>
        <w:t>ّ</w:t>
      </w:r>
      <w:r w:rsidRPr="00904FCB">
        <w:rPr>
          <w:rFonts w:ascii="Times New Roman" w:hAnsi="Times New Roman"/>
          <w:sz w:val="27"/>
          <w:rtl/>
        </w:rPr>
        <w:t>ى حقولها ومجالاتها، تماماً كما لا دور له في أي</w:t>
      </w:r>
      <w:r w:rsidR="00CC60BD" w:rsidRPr="00904FCB">
        <w:rPr>
          <w:rFonts w:ascii="Times New Roman" w:hAnsi="Times New Roman" w:hint="cs"/>
          <w:sz w:val="27"/>
          <w:rtl/>
        </w:rPr>
        <w:t>ّ</w:t>
      </w:r>
      <w:r w:rsidRPr="00904FCB">
        <w:rPr>
          <w:rFonts w:ascii="Times New Roman" w:hAnsi="Times New Roman"/>
          <w:sz w:val="27"/>
          <w:rtl/>
        </w:rPr>
        <w:t xml:space="preserve"> حقل</w:t>
      </w:r>
      <w:r w:rsidR="00CC60BD" w:rsidRPr="00904FCB">
        <w:rPr>
          <w:rFonts w:ascii="Times New Roman" w:hAnsi="Times New Roman" w:hint="cs"/>
          <w:sz w:val="27"/>
          <w:rtl/>
        </w:rPr>
        <w:t>ٍ</w:t>
      </w:r>
      <w:r w:rsidRPr="00904FCB">
        <w:rPr>
          <w:rFonts w:ascii="Times New Roman" w:hAnsi="Times New Roman"/>
          <w:sz w:val="27"/>
          <w:rtl/>
        </w:rPr>
        <w:t xml:space="preserve"> معرفي آخر</w:t>
      </w:r>
      <w:r w:rsidR="00CC60BD" w:rsidRPr="00904FCB">
        <w:rPr>
          <w:rFonts w:ascii="Times New Roman" w:hAnsi="Times New Roman" w:hint="cs"/>
          <w:sz w:val="27"/>
          <w:rtl/>
        </w:rPr>
        <w:t>.</w:t>
      </w:r>
      <w:r w:rsidRPr="00904FCB">
        <w:rPr>
          <w:rFonts w:ascii="Times New Roman" w:hAnsi="Times New Roman"/>
          <w:sz w:val="27"/>
          <w:rtl/>
        </w:rPr>
        <w:t xml:space="preserve"> أترى أنّ علماء الطب</w:t>
      </w:r>
      <w:r w:rsidR="00CC60BD" w:rsidRPr="00904FCB">
        <w:rPr>
          <w:rFonts w:ascii="Times New Roman" w:hAnsi="Times New Roman" w:hint="cs"/>
          <w:sz w:val="27"/>
          <w:rtl/>
        </w:rPr>
        <w:t>ّ</w:t>
      </w:r>
      <w:r w:rsidRPr="00904FCB">
        <w:rPr>
          <w:rFonts w:ascii="Times New Roman" w:hAnsi="Times New Roman"/>
          <w:sz w:val="27"/>
          <w:rtl/>
        </w:rPr>
        <w:t xml:space="preserve"> أو الفلك يعتمدون الحلم أو المنامات في اكتشاف النظريات العلمية</w:t>
      </w:r>
      <w:r w:rsidR="00CC60BD" w:rsidRPr="00904FCB">
        <w:rPr>
          <w:rFonts w:ascii="Times New Roman" w:hAnsi="Times New Roman" w:hint="cs"/>
          <w:sz w:val="27"/>
          <w:rtl/>
        </w:rPr>
        <w:t>،</w:t>
      </w:r>
      <w:r w:rsidRPr="00904FCB">
        <w:rPr>
          <w:rFonts w:ascii="Times New Roman" w:hAnsi="Times New Roman"/>
          <w:sz w:val="27"/>
          <w:rtl/>
        </w:rPr>
        <w:t xml:space="preserve"> أو تشخيص الأمراض</w:t>
      </w:r>
      <w:r w:rsidR="00CC60BD" w:rsidRPr="00904FCB">
        <w:rPr>
          <w:rFonts w:ascii="Times New Roman" w:hAnsi="Times New Roman" w:hint="cs"/>
          <w:sz w:val="27"/>
          <w:rtl/>
        </w:rPr>
        <w:t>،</w:t>
      </w:r>
      <w:r w:rsidRPr="00904FCB">
        <w:rPr>
          <w:rFonts w:ascii="Times New Roman" w:hAnsi="Times New Roman"/>
          <w:sz w:val="27"/>
          <w:rtl/>
        </w:rPr>
        <w:t xml:space="preserve"> أو تحديد الموضوعات ذات الصلة؟! بالتأكيد لا يفعلون ذلك</w:t>
      </w:r>
      <w:r w:rsidRPr="00904FCB">
        <w:rPr>
          <w:rFonts w:hint="cs"/>
          <w:sz w:val="27"/>
          <w:vertAlign w:val="superscript"/>
          <w:rtl/>
        </w:rPr>
        <w:t>(</w:t>
      </w:r>
      <w:r w:rsidRPr="00904FCB">
        <w:rPr>
          <w:rStyle w:val="ac"/>
          <w:sz w:val="27"/>
          <w:rtl/>
        </w:rPr>
        <w:endnoteReference w:id="543"/>
      </w:r>
      <w:r w:rsidRPr="00904FCB">
        <w:rPr>
          <w:rFonts w:hint="cs"/>
          <w:sz w:val="27"/>
          <w:vertAlign w:val="superscript"/>
          <w:rtl/>
        </w:rPr>
        <w:t>)</w:t>
      </w:r>
      <w:r w:rsidR="00CC60BD" w:rsidRPr="00904FCB">
        <w:rPr>
          <w:rFonts w:ascii="Times New Roman" w:hAnsi="Times New Roman" w:hint="cs"/>
          <w:sz w:val="27"/>
          <w:rtl/>
        </w:rPr>
        <w:t>.</w:t>
      </w:r>
      <w:r w:rsidRPr="00904FCB">
        <w:rPr>
          <w:rFonts w:ascii="Times New Roman" w:hAnsi="Times New Roman"/>
          <w:sz w:val="27"/>
          <w:rtl/>
        </w:rPr>
        <w:t xml:space="preserve"> </w:t>
      </w:r>
      <w:r w:rsidR="00CC60BD" w:rsidRPr="00904FCB">
        <w:rPr>
          <w:rFonts w:ascii="Times New Roman" w:hAnsi="Times New Roman" w:hint="cs"/>
          <w:sz w:val="27"/>
          <w:rtl/>
        </w:rPr>
        <w:t>و</w:t>
      </w:r>
      <w:r w:rsidRPr="00904FCB">
        <w:rPr>
          <w:rFonts w:ascii="Times New Roman" w:hAnsi="Times New Roman"/>
          <w:sz w:val="27"/>
          <w:rtl/>
        </w:rPr>
        <w:t>كذلك هو الحال في المعارف الدينية</w:t>
      </w:r>
      <w:r w:rsidR="00CC60BD" w:rsidRPr="00904FCB">
        <w:rPr>
          <w:rFonts w:ascii="Times New Roman" w:hAnsi="Times New Roman" w:hint="cs"/>
          <w:sz w:val="27"/>
          <w:rtl/>
        </w:rPr>
        <w:t>؛</w:t>
      </w:r>
      <w:r w:rsidRPr="00904FCB">
        <w:rPr>
          <w:rFonts w:ascii="Times New Roman" w:hAnsi="Times New Roman"/>
          <w:sz w:val="27"/>
          <w:rtl/>
        </w:rPr>
        <w:t xml:space="preserve"> فإنّ المنامات لا تصلح ل</w:t>
      </w:r>
      <w:r w:rsidRPr="00904FCB">
        <w:rPr>
          <w:rFonts w:ascii="Times New Roman" w:hAnsi="Times New Roman" w:hint="cs"/>
          <w:sz w:val="27"/>
          <w:rtl/>
        </w:rPr>
        <w:t>إ</w:t>
      </w:r>
      <w:r w:rsidRPr="00904FCB">
        <w:rPr>
          <w:rFonts w:ascii="Times New Roman" w:hAnsi="Times New Roman"/>
          <w:sz w:val="27"/>
          <w:rtl/>
        </w:rPr>
        <w:t>ثبات شيء</w:t>
      </w:r>
      <w:r w:rsidR="00CC60BD" w:rsidRPr="00904FCB">
        <w:rPr>
          <w:rFonts w:ascii="Times New Roman" w:hAnsi="Times New Roman" w:hint="cs"/>
          <w:sz w:val="27"/>
          <w:rtl/>
        </w:rPr>
        <w:t>ٍ</w:t>
      </w:r>
      <w:r w:rsidRPr="00904FCB">
        <w:rPr>
          <w:rFonts w:ascii="Times New Roman" w:hAnsi="Times New Roman"/>
          <w:sz w:val="27"/>
          <w:rtl/>
        </w:rPr>
        <w:t xml:space="preserve"> أو نفيه</w:t>
      </w:r>
      <w:r w:rsidR="00CC60BD" w:rsidRPr="00904FCB">
        <w:rPr>
          <w:rFonts w:ascii="Times New Roman" w:hAnsi="Times New Roman" w:hint="cs"/>
          <w:sz w:val="27"/>
          <w:rtl/>
        </w:rPr>
        <w:t>.</w:t>
      </w:r>
      <w:r w:rsidRPr="00904FCB">
        <w:rPr>
          <w:rFonts w:ascii="Times New Roman" w:hAnsi="Times New Roman"/>
          <w:sz w:val="27"/>
          <w:rtl/>
        </w:rPr>
        <w:t xml:space="preserve"> وإليك التفصيل: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أـ</w:t>
      </w:r>
      <w:r w:rsidRPr="00904FCB">
        <w:rPr>
          <w:color w:val="auto"/>
          <w:rtl/>
        </w:rPr>
        <w:t xml:space="preserve"> علم العقيدة</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فالمعتقدات الدينية لا تُبنى إلاّ على أساس العقل والوحي، ولا يمكننا أن نبرهن على عقيدة</w:t>
      </w:r>
      <w:r w:rsidR="00DB4442" w:rsidRPr="00904FCB">
        <w:rPr>
          <w:rFonts w:ascii="Times New Roman" w:hAnsi="Times New Roman" w:hint="cs"/>
          <w:sz w:val="27"/>
          <w:rtl/>
        </w:rPr>
        <w:t>ٍ</w:t>
      </w:r>
      <w:r w:rsidRPr="00904FCB">
        <w:rPr>
          <w:rFonts w:ascii="Times New Roman" w:hAnsi="Times New Roman"/>
          <w:sz w:val="27"/>
          <w:rtl/>
        </w:rPr>
        <w:t xml:space="preserve"> معينة</w:t>
      </w:r>
      <w:r w:rsidR="00DB4442" w:rsidRPr="00904FCB">
        <w:rPr>
          <w:rFonts w:ascii="Times New Roman" w:hAnsi="Times New Roman" w:hint="cs"/>
          <w:sz w:val="27"/>
          <w:rtl/>
        </w:rPr>
        <w:t>،</w:t>
      </w:r>
      <w:r w:rsidRPr="00904FCB">
        <w:rPr>
          <w:rFonts w:ascii="Times New Roman" w:hAnsi="Times New Roman"/>
          <w:sz w:val="27"/>
          <w:rtl/>
        </w:rPr>
        <w:t xml:space="preserve"> أو نثبت مصداقية دين</w:t>
      </w:r>
      <w:r w:rsidR="00DB4442" w:rsidRPr="00904FCB">
        <w:rPr>
          <w:rFonts w:ascii="Times New Roman" w:hAnsi="Times New Roman" w:hint="cs"/>
          <w:sz w:val="27"/>
          <w:rtl/>
        </w:rPr>
        <w:t>ٍ</w:t>
      </w:r>
      <w:r w:rsidRPr="00904FCB">
        <w:rPr>
          <w:rFonts w:ascii="Times New Roman" w:hAnsi="Times New Roman"/>
          <w:sz w:val="27"/>
          <w:rtl/>
        </w:rPr>
        <w:t xml:space="preserve"> من الأديان أو مذهب من المذاهب</w:t>
      </w:r>
      <w:r w:rsidR="00DB4442" w:rsidRPr="00904FCB">
        <w:rPr>
          <w:rFonts w:ascii="Times New Roman" w:hAnsi="Times New Roman" w:hint="cs"/>
          <w:sz w:val="27"/>
          <w:rtl/>
        </w:rPr>
        <w:t>،</w:t>
      </w:r>
      <w:r w:rsidRPr="00904FCB">
        <w:rPr>
          <w:rFonts w:ascii="Times New Roman" w:hAnsi="Times New Roman"/>
          <w:sz w:val="27"/>
          <w:rtl/>
        </w:rPr>
        <w:t xml:space="preserve"> على أساس الرؤى والمنامات</w:t>
      </w:r>
      <w:r w:rsidR="00DB4442" w:rsidRPr="00904FCB">
        <w:rPr>
          <w:rFonts w:ascii="Times New Roman" w:hAnsi="Times New Roman" w:hint="cs"/>
          <w:sz w:val="27"/>
          <w:rtl/>
        </w:rPr>
        <w:t>.</w:t>
      </w:r>
      <w:r w:rsidRPr="00904FCB">
        <w:rPr>
          <w:rFonts w:ascii="Times New Roman" w:hAnsi="Times New Roman"/>
          <w:sz w:val="27"/>
          <w:rtl/>
        </w:rPr>
        <w:t xml:space="preserve"> أجل</w:t>
      </w:r>
      <w:r w:rsidR="00DB4442" w:rsidRPr="00904FCB">
        <w:rPr>
          <w:rFonts w:ascii="Times New Roman" w:hAnsi="Times New Roman" w:hint="cs"/>
          <w:sz w:val="27"/>
          <w:rtl/>
        </w:rPr>
        <w:t>،</w:t>
      </w:r>
      <w:r w:rsidRPr="00904FCB">
        <w:rPr>
          <w:rFonts w:ascii="Times New Roman" w:hAnsi="Times New Roman"/>
          <w:sz w:val="27"/>
          <w:rtl/>
        </w:rPr>
        <w:t xml:space="preserve"> لو أنّ شخصاً رأى مناماً</w:t>
      </w:r>
      <w:r w:rsidR="00DB4442" w:rsidRPr="00904FCB">
        <w:rPr>
          <w:rFonts w:ascii="Times New Roman" w:hAnsi="Times New Roman" w:hint="cs"/>
          <w:sz w:val="27"/>
          <w:rtl/>
        </w:rPr>
        <w:t>،</w:t>
      </w:r>
      <w:r w:rsidRPr="00904FCB">
        <w:rPr>
          <w:rFonts w:ascii="Times New Roman" w:hAnsi="Times New Roman"/>
          <w:sz w:val="27"/>
          <w:rtl/>
        </w:rPr>
        <w:t xml:space="preserve"> وحصل له بموجبه اليقين في أمر عقدي معيّن</w:t>
      </w:r>
      <w:r w:rsidR="00DB4442" w:rsidRPr="00904FCB">
        <w:rPr>
          <w:rFonts w:ascii="Times New Roman" w:hAnsi="Times New Roman" w:hint="cs"/>
          <w:sz w:val="27"/>
          <w:rtl/>
        </w:rPr>
        <w:t>،</w:t>
      </w:r>
      <w:r w:rsidRPr="00904FCB">
        <w:rPr>
          <w:rFonts w:ascii="Times New Roman" w:hAnsi="Times New Roman"/>
          <w:sz w:val="27"/>
          <w:rtl/>
        </w:rPr>
        <w:t xml:space="preserve"> فإنّ ذلك قد يصلح أن يكون معذ</w:t>
      </w:r>
      <w:r w:rsidR="00DB4442" w:rsidRPr="00904FCB">
        <w:rPr>
          <w:rFonts w:ascii="Times New Roman" w:hAnsi="Times New Roman" w:hint="cs"/>
          <w:sz w:val="27"/>
          <w:rtl/>
        </w:rPr>
        <w:t>ِّ</w:t>
      </w:r>
      <w:r w:rsidRPr="00904FCB">
        <w:rPr>
          <w:rFonts w:ascii="Times New Roman" w:hAnsi="Times New Roman"/>
          <w:sz w:val="27"/>
          <w:rtl/>
        </w:rPr>
        <w:t>راً له، لكنّ هذا لا يعني حج</w:t>
      </w:r>
      <w:r w:rsidR="00DB4442" w:rsidRPr="00904FCB">
        <w:rPr>
          <w:rFonts w:ascii="Times New Roman" w:hAnsi="Times New Roman" w:hint="cs"/>
          <w:sz w:val="27"/>
          <w:rtl/>
        </w:rPr>
        <w:t>ّ</w:t>
      </w:r>
      <w:r w:rsidRPr="00904FCB">
        <w:rPr>
          <w:rFonts w:ascii="Times New Roman" w:hAnsi="Times New Roman"/>
          <w:sz w:val="27"/>
          <w:rtl/>
        </w:rPr>
        <w:t xml:space="preserve">ية المنام، أو كونه مصدراً للمعرفة.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ب ـ</w:t>
      </w:r>
      <w:r w:rsidRPr="00904FCB">
        <w:rPr>
          <w:color w:val="auto"/>
          <w:rtl/>
        </w:rPr>
        <w:t xml:space="preserve"> علم الفقه</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r w:rsidRPr="00904FCB">
        <w:rPr>
          <w:rFonts w:ascii="Times New Roman" w:hAnsi="Times New Roman"/>
          <w:sz w:val="27"/>
          <w:rtl/>
        </w:rPr>
        <w:t>والأحكام الشرعي</w:t>
      </w:r>
      <w:r w:rsidR="00DB4442" w:rsidRPr="00904FCB">
        <w:rPr>
          <w:rFonts w:ascii="Times New Roman" w:hAnsi="Times New Roman" w:hint="cs"/>
          <w:sz w:val="27"/>
          <w:rtl/>
        </w:rPr>
        <w:t>ّ</w:t>
      </w:r>
      <w:r w:rsidRPr="00904FCB">
        <w:rPr>
          <w:rFonts w:ascii="Times New Roman" w:hAnsi="Times New Roman"/>
          <w:sz w:val="27"/>
          <w:rtl/>
        </w:rPr>
        <w:t>ة لا يمكن إثباتها أو الاستدلال عليها بالأحلام، وإنّما هناك مصادر معروفة للإثبات الفقهي</w:t>
      </w:r>
      <w:r w:rsidR="00DB4442" w:rsidRPr="00904FCB">
        <w:rPr>
          <w:rFonts w:ascii="Times New Roman" w:hAnsi="Times New Roman" w:hint="cs"/>
          <w:sz w:val="27"/>
          <w:rtl/>
        </w:rPr>
        <w:t>.</w:t>
      </w:r>
      <w:r w:rsidRPr="00904FCB">
        <w:rPr>
          <w:rFonts w:ascii="Times New Roman" w:hAnsi="Times New Roman"/>
          <w:sz w:val="27"/>
          <w:rtl/>
        </w:rPr>
        <w:t xml:space="preserve"> ورحم الله الشيخ جعفر كاشف الغطاء حيث نقل عن بعض الأخباري</w:t>
      </w:r>
      <w:r w:rsidR="00DB4442" w:rsidRPr="00904FCB">
        <w:rPr>
          <w:rFonts w:ascii="Times New Roman" w:hAnsi="Times New Roman" w:hint="cs"/>
          <w:sz w:val="27"/>
          <w:rtl/>
        </w:rPr>
        <w:t>ّ</w:t>
      </w:r>
      <w:r w:rsidRPr="00904FCB">
        <w:rPr>
          <w:rFonts w:ascii="Times New Roman" w:hAnsi="Times New Roman"/>
          <w:sz w:val="27"/>
          <w:rtl/>
        </w:rPr>
        <w:t>ين أنهم استدل</w:t>
      </w:r>
      <w:r w:rsidR="00DB4442" w:rsidRPr="00904FCB">
        <w:rPr>
          <w:rFonts w:ascii="Times New Roman" w:hAnsi="Times New Roman" w:hint="cs"/>
          <w:sz w:val="27"/>
          <w:rtl/>
        </w:rPr>
        <w:t>ّ</w:t>
      </w:r>
      <w:r w:rsidRPr="00904FCB">
        <w:rPr>
          <w:rFonts w:ascii="Times New Roman" w:hAnsi="Times New Roman"/>
          <w:sz w:val="27"/>
          <w:rtl/>
        </w:rPr>
        <w:t>وا على حرمة شرب التتن (التدخين) بأحلام بعض الصالحين</w:t>
      </w:r>
      <w:r w:rsidR="00DB4442" w:rsidRPr="00904FCB">
        <w:rPr>
          <w:rFonts w:ascii="Times New Roman" w:hAnsi="Times New Roman" w:hint="cs"/>
          <w:sz w:val="27"/>
          <w:rtl/>
        </w:rPr>
        <w:t>،</w:t>
      </w:r>
      <w:r w:rsidRPr="00904FCB">
        <w:rPr>
          <w:rFonts w:ascii="Times New Roman" w:hAnsi="Times New Roman"/>
          <w:sz w:val="27"/>
          <w:rtl/>
        </w:rPr>
        <w:t xml:space="preserve"> ثمّ رد</w:t>
      </w:r>
      <w:r w:rsidR="00E66798">
        <w:rPr>
          <w:rFonts w:ascii="Times New Roman" w:hAnsi="Times New Roman" w:hint="cs"/>
          <w:sz w:val="27"/>
          <w:rtl/>
        </w:rPr>
        <w:t>َّ</w:t>
      </w:r>
      <w:r w:rsidRPr="00904FCB">
        <w:rPr>
          <w:rFonts w:ascii="Times New Roman" w:hAnsi="Times New Roman"/>
          <w:sz w:val="27"/>
          <w:rtl/>
        </w:rPr>
        <w:t xml:space="preserve">هم بالقول: </w:t>
      </w:r>
      <w:r w:rsidRPr="00904FCB">
        <w:rPr>
          <w:rFonts w:hint="eastAsia"/>
          <w:sz w:val="27"/>
          <w:rtl/>
        </w:rPr>
        <w:t>«</w:t>
      </w:r>
      <w:r w:rsidRPr="00904FCB">
        <w:rPr>
          <w:rFonts w:ascii="Times New Roman" w:hAnsi="Times New Roman"/>
          <w:sz w:val="27"/>
          <w:rtl/>
        </w:rPr>
        <w:t>إنّ الأحلام لا تكون شواهد الأحكام</w:t>
      </w:r>
      <w:r w:rsidR="00DB4442" w:rsidRPr="00904FCB">
        <w:rPr>
          <w:rFonts w:ascii="Times New Roman" w:hAnsi="Times New Roman" w:hint="cs"/>
          <w:sz w:val="27"/>
          <w:rtl/>
        </w:rPr>
        <w:t>،</w:t>
      </w:r>
      <w:r w:rsidRPr="00904FCB">
        <w:rPr>
          <w:rFonts w:ascii="Times New Roman" w:hAnsi="Times New Roman"/>
          <w:sz w:val="27"/>
          <w:rtl/>
        </w:rPr>
        <w:t xml:space="preserve"> باتفاق علماء الإسلام</w:t>
      </w:r>
      <w:r w:rsidRPr="00904FCB">
        <w:rPr>
          <w:rFonts w:hint="eastAsia"/>
          <w:sz w:val="27"/>
          <w:rtl/>
        </w:rPr>
        <w:t>»</w:t>
      </w:r>
      <w:r w:rsidRPr="00904FCB">
        <w:rPr>
          <w:rFonts w:hint="cs"/>
          <w:sz w:val="27"/>
          <w:vertAlign w:val="superscript"/>
          <w:rtl/>
        </w:rPr>
        <w:t>(</w:t>
      </w:r>
      <w:r w:rsidRPr="00904FCB">
        <w:rPr>
          <w:rStyle w:val="ac"/>
          <w:sz w:val="27"/>
          <w:rtl/>
        </w:rPr>
        <w:endnoteReference w:id="544"/>
      </w:r>
      <w:r w:rsidRPr="00904FCB">
        <w:rPr>
          <w:rFonts w:hint="cs"/>
          <w:sz w:val="27"/>
          <w:vertAlign w:val="superscript"/>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وبالإضافة إلى كون المسألة ـ أعني عدم حج</w:t>
      </w:r>
      <w:r w:rsidR="00DB4442" w:rsidRPr="00904FCB">
        <w:rPr>
          <w:rFonts w:ascii="Times New Roman" w:hAnsi="Times New Roman" w:hint="cs"/>
          <w:sz w:val="27"/>
          <w:rtl/>
        </w:rPr>
        <w:t>ّ</w:t>
      </w:r>
      <w:r w:rsidRPr="00904FCB">
        <w:rPr>
          <w:rFonts w:ascii="Times New Roman" w:hAnsi="Times New Roman"/>
          <w:sz w:val="27"/>
          <w:rtl/>
        </w:rPr>
        <w:t>ية المنام ـ في المجالين الع</w:t>
      </w:r>
      <w:r w:rsidR="00DB4442" w:rsidRPr="00904FCB">
        <w:rPr>
          <w:rFonts w:ascii="Times New Roman" w:hAnsi="Times New Roman" w:hint="cs"/>
          <w:sz w:val="27"/>
          <w:rtl/>
        </w:rPr>
        <w:t>َ</w:t>
      </w:r>
      <w:r w:rsidRPr="00904FCB">
        <w:rPr>
          <w:rFonts w:ascii="Times New Roman" w:hAnsi="Times New Roman"/>
          <w:sz w:val="27"/>
          <w:rtl/>
        </w:rPr>
        <w:t>ق</w:t>
      </w:r>
      <w:r w:rsidR="00DB4442" w:rsidRPr="00904FCB">
        <w:rPr>
          <w:rFonts w:ascii="Times New Roman" w:hAnsi="Times New Roman" w:hint="cs"/>
          <w:sz w:val="27"/>
          <w:rtl/>
        </w:rPr>
        <w:t>ْ</w:t>
      </w:r>
      <w:r w:rsidRPr="00904FCB">
        <w:rPr>
          <w:rFonts w:ascii="Times New Roman" w:hAnsi="Times New Roman"/>
          <w:sz w:val="27"/>
          <w:rtl/>
        </w:rPr>
        <w:t>دي والفقهي موضع تسالم عند علماء المسلمين، فإنّه يكفينا دليلاً على عدم حج</w:t>
      </w:r>
      <w:r w:rsidR="00DB4442" w:rsidRPr="00904FCB">
        <w:rPr>
          <w:rFonts w:ascii="Times New Roman" w:hAnsi="Times New Roman" w:hint="cs"/>
          <w:sz w:val="27"/>
          <w:rtl/>
        </w:rPr>
        <w:t>ّ</w:t>
      </w:r>
      <w:r w:rsidRPr="00904FCB">
        <w:rPr>
          <w:rFonts w:ascii="Times New Roman" w:hAnsi="Times New Roman"/>
          <w:sz w:val="27"/>
          <w:rtl/>
        </w:rPr>
        <w:t>ية المنام فيهما</w:t>
      </w:r>
      <w:r w:rsidR="00DB4442" w:rsidRPr="00904FCB">
        <w:rPr>
          <w:rFonts w:ascii="Times New Roman" w:hAnsi="Times New Roman" w:hint="cs"/>
          <w:sz w:val="27"/>
          <w:rtl/>
        </w:rPr>
        <w:t>:</w:t>
      </w:r>
      <w:r w:rsidRPr="00904FCB">
        <w:rPr>
          <w:rFonts w:ascii="Times New Roman" w:hAnsi="Times New Roman"/>
          <w:sz w:val="27"/>
          <w:rtl/>
        </w:rPr>
        <w:t xml:space="preserve"> عدم</w:t>
      </w:r>
      <w:r w:rsidR="00DB4442" w:rsidRPr="00904FCB">
        <w:rPr>
          <w:rFonts w:ascii="Times New Roman" w:hAnsi="Times New Roman" w:hint="cs"/>
          <w:sz w:val="27"/>
          <w:rtl/>
        </w:rPr>
        <w:t>ُ</w:t>
      </w:r>
      <w:r w:rsidRPr="00904FCB">
        <w:rPr>
          <w:rFonts w:ascii="Times New Roman" w:hAnsi="Times New Roman"/>
          <w:sz w:val="27"/>
          <w:rtl/>
        </w:rPr>
        <w:t xml:space="preserve"> الدليل على الحج</w:t>
      </w:r>
      <w:r w:rsidR="00DB4442" w:rsidRPr="00904FCB">
        <w:rPr>
          <w:rFonts w:ascii="Times New Roman" w:hAnsi="Times New Roman" w:hint="cs"/>
          <w:sz w:val="27"/>
          <w:rtl/>
        </w:rPr>
        <w:t>ّ</w:t>
      </w:r>
      <w:r w:rsidRPr="00904FCB">
        <w:rPr>
          <w:rFonts w:ascii="Times New Roman" w:hAnsi="Times New Roman"/>
          <w:sz w:val="27"/>
          <w:rtl/>
        </w:rPr>
        <w:t>ية</w:t>
      </w:r>
      <w:r w:rsidR="00DB4442" w:rsidRPr="00904FCB">
        <w:rPr>
          <w:rFonts w:ascii="Times New Roman" w:hAnsi="Times New Roman" w:hint="cs"/>
          <w:sz w:val="27"/>
          <w:rtl/>
        </w:rPr>
        <w:t>.</w:t>
      </w:r>
      <w:r w:rsidRPr="00904FCB">
        <w:rPr>
          <w:rFonts w:ascii="Times New Roman" w:hAnsi="Times New Roman"/>
          <w:sz w:val="27"/>
          <w:rtl/>
        </w:rPr>
        <w:t xml:space="preserve"> ولو شك</w:t>
      </w:r>
      <w:r w:rsidR="00DB4442" w:rsidRPr="00904FCB">
        <w:rPr>
          <w:rFonts w:ascii="Times New Roman" w:hAnsi="Times New Roman" w:hint="cs"/>
          <w:sz w:val="27"/>
          <w:rtl/>
        </w:rPr>
        <w:t>ّ</w:t>
      </w:r>
      <w:r w:rsidRPr="00904FCB">
        <w:rPr>
          <w:rFonts w:ascii="Times New Roman" w:hAnsi="Times New Roman"/>
          <w:sz w:val="27"/>
          <w:rtl/>
        </w:rPr>
        <w:t xml:space="preserve"> في حج</w:t>
      </w:r>
      <w:r w:rsidR="00DB4442" w:rsidRPr="00904FCB">
        <w:rPr>
          <w:rFonts w:ascii="Times New Roman" w:hAnsi="Times New Roman" w:hint="cs"/>
          <w:sz w:val="27"/>
          <w:rtl/>
        </w:rPr>
        <w:t>ّ</w:t>
      </w:r>
      <w:r w:rsidRPr="00904FCB">
        <w:rPr>
          <w:rFonts w:ascii="Times New Roman" w:hAnsi="Times New Roman"/>
          <w:sz w:val="27"/>
          <w:rtl/>
        </w:rPr>
        <w:t>ية أمر</w:t>
      </w:r>
      <w:r w:rsidR="00DB4442" w:rsidRPr="00904FCB">
        <w:rPr>
          <w:rFonts w:ascii="Times New Roman" w:hAnsi="Times New Roman" w:hint="cs"/>
          <w:sz w:val="27"/>
          <w:rtl/>
        </w:rPr>
        <w:t>ٍ</w:t>
      </w:r>
      <w:r w:rsidRPr="00904FCB">
        <w:rPr>
          <w:rFonts w:ascii="Times New Roman" w:hAnsi="Times New Roman"/>
          <w:sz w:val="27"/>
          <w:rtl/>
        </w:rPr>
        <w:t xml:space="preserve"> فلا يعتنى بالشك</w:t>
      </w:r>
      <w:r w:rsidR="00DB4442" w:rsidRPr="00904FCB">
        <w:rPr>
          <w:rFonts w:ascii="Times New Roman" w:hAnsi="Times New Roman" w:hint="cs"/>
          <w:sz w:val="27"/>
          <w:rtl/>
        </w:rPr>
        <w:t>ّ.</w:t>
      </w:r>
      <w:r w:rsidRPr="00904FCB">
        <w:rPr>
          <w:rFonts w:ascii="Times New Roman" w:hAnsi="Times New Roman"/>
          <w:sz w:val="27"/>
          <w:rtl/>
        </w:rPr>
        <w:t xml:space="preserve"> وقد اشتهر </w:t>
      </w:r>
      <w:r w:rsidRPr="00904FCB">
        <w:rPr>
          <w:rFonts w:ascii="Times New Roman" w:hAnsi="Times New Roman"/>
          <w:sz w:val="27"/>
          <w:rtl/>
        </w:rPr>
        <w:lastRenderedPageBreak/>
        <w:t xml:space="preserve">في كلمات الأصوليين </w:t>
      </w:r>
      <w:r w:rsidRPr="00904FCB">
        <w:rPr>
          <w:rFonts w:hint="eastAsia"/>
          <w:sz w:val="27"/>
          <w:rtl/>
        </w:rPr>
        <w:t>«</w:t>
      </w:r>
      <w:r w:rsidRPr="00904FCB">
        <w:rPr>
          <w:rFonts w:ascii="Times New Roman" w:hAnsi="Times New Roman"/>
          <w:sz w:val="27"/>
          <w:rtl/>
        </w:rPr>
        <w:t>أنّ الشك</w:t>
      </w:r>
      <w:r w:rsidR="00DB4442" w:rsidRPr="00904FCB">
        <w:rPr>
          <w:rFonts w:ascii="Times New Roman" w:hAnsi="Times New Roman" w:hint="cs"/>
          <w:sz w:val="27"/>
          <w:rtl/>
        </w:rPr>
        <w:t>ّ</w:t>
      </w:r>
      <w:r w:rsidRPr="00904FCB">
        <w:rPr>
          <w:rFonts w:ascii="Times New Roman" w:hAnsi="Times New Roman"/>
          <w:sz w:val="27"/>
          <w:rtl/>
        </w:rPr>
        <w:t xml:space="preserve"> في الحجية يساوق عدمها</w:t>
      </w:r>
      <w:r w:rsidRPr="00904FCB">
        <w:rPr>
          <w:rFonts w:hint="eastAsia"/>
          <w:sz w:val="27"/>
          <w:rtl/>
        </w:rPr>
        <w:t>»</w:t>
      </w:r>
      <w:r w:rsidR="00DB4442" w:rsidRPr="00904FCB">
        <w:rPr>
          <w:rFonts w:ascii="Times New Roman" w:hAnsi="Times New Roman" w:hint="cs"/>
          <w:sz w:val="27"/>
          <w:rtl/>
        </w:rPr>
        <w:t>.</w:t>
      </w:r>
      <w:r w:rsidRPr="00904FCB">
        <w:rPr>
          <w:rFonts w:ascii="Times New Roman" w:hAnsi="Times New Roman"/>
          <w:sz w:val="27"/>
          <w:rtl/>
        </w:rPr>
        <w:t xml:space="preserve"> وأض</w:t>
      </w:r>
      <w:r w:rsidR="00DB4442" w:rsidRPr="00904FCB">
        <w:rPr>
          <w:rFonts w:ascii="Times New Roman" w:hAnsi="Times New Roman" w:hint="cs"/>
          <w:sz w:val="27"/>
          <w:rtl/>
        </w:rPr>
        <w:t>ِ</w:t>
      </w:r>
      <w:r w:rsidRPr="00904FCB">
        <w:rPr>
          <w:rFonts w:ascii="Times New Roman" w:hAnsi="Times New Roman"/>
          <w:sz w:val="27"/>
          <w:rtl/>
        </w:rPr>
        <w:t>ف</w:t>
      </w:r>
      <w:r w:rsidR="00DB4442" w:rsidRPr="00904FCB">
        <w:rPr>
          <w:rFonts w:ascii="Times New Roman" w:hAnsi="Times New Roman" w:hint="cs"/>
          <w:sz w:val="27"/>
          <w:rtl/>
        </w:rPr>
        <w:t>ْ</w:t>
      </w:r>
      <w:r w:rsidRPr="00904FCB">
        <w:rPr>
          <w:rFonts w:ascii="Times New Roman" w:hAnsi="Times New Roman"/>
          <w:sz w:val="27"/>
          <w:rtl/>
        </w:rPr>
        <w:t xml:space="preserve"> إلى ذلك أنّه قد ورد في الحديث الصحيح عن الإمام الصادق</w:t>
      </w:r>
      <w:r w:rsidR="001C1A2A" w:rsidRPr="00904FCB">
        <w:rPr>
          <w:rFonts w:ascii="Times New Roman" w:hAnsi="Times New Roman" w:cs="Mosawi"/>
          <w:sz w:val="27"/>
          <w:szCs w:val="22"/>
          <w:rtl/>
        </w:rPr>
        <w:t>×</w:t>
      </w:r>
      <w:r w:rsidR="00DB4442" w:rsidRPr="00904FCB">
        <w:rPr>
          <w:rFonts w:ascii="Times New Roman" w:hAnsi="Times New Roman" w:hint="cs"/>
          <w:sz w:val="27"/>
          <w:rtl/>
        </w:rPr>
        <w:t>،</w:t>
      </w:r>
      <w:r w:rsidRPr="00904FCB">
        <w:rPr>
          <w:rFonts w:ascii="Times New Roman" w:hAnsi="Times New Roman"/>
          <w:sz w:val="27"/>
          <w:rtl/>
        </w:rPr>
        <w:t xml:space="preserve"> تعليقاً على ما روي بشأن ال</w:t>
      </w:r>
      <w:r w:rsidR="00DB4442" w:rsidRPr="00904FCB">
        <w:rPr>
          <w:rFonts w:ascii="Times New Roman" w:hAnsi="Times New Roman" w:hint="cs"/>
          <w:sz w:val="27"/>
          <w:rtl/>
        </w:rPr>
        <w:t>أ</w:t>
      </w:r>
      <w:r w:rsidRPr="00904FCB">
        <w:rPr>
          <w:rFonts w:ascii="Times New Roman" w:hAnsi="Times New Roman"/>
          <w:sz w:val="27"/>
          <w:rtl/>
        </w:rPr>
        <w:t>ذان</w:t>
      </w:r>
      <w:r w:rsidR="00DB4442" w:rsidRPr="00904FCB">
        <w:rPr>
          <w:rFonts w:ascii="Times New Roman" w:hAnsi="Times New Roman" w:hint="cs"/>
          <w:sz w:val="27"/>
          <w:rtl/>
        </w:rPr>
        <w:t>،</w:t>
      </w:r>
      <w:r w:rsidRPr="00904FCB">
        <w:rPr>
          <w:rFonts w:ascii="Times New Roman" w:hAnsi="Times New Roman"/>
          <w:sz w:val="27"/>
          <w:rtl/>
        </w:rPr>
        <w:t xml:space="preserve"> وأنّه رؤي في النوم من قبل بعض الصحابة، فقال</w:t>
      </w:r>
      <w:r w:rsidR="001C1A2A" w:rsidRPr="00904FCB">
        <w:rPr>
          <w:rFonts w:ascii="Times New Roman" w:hAnsi="Times New Roman" w:cs="Mosawi"/>
          <w:sz w:val="27"/>
          <w:szCs w:val="22"/>
          <w:rtl/>
        </w:rPr>
        <w:t>×</w:t>
      </w:r>
      <w:r w:rsidRPr="00904FCB">
        <w:rPr>
          <w:rFonts w:ascii="Times New Roman" w:hAnsi="Times New Roman"/>
          <w:sz w:val="27"/>
          <w:rtl/>
        </w:rPr>
        <w:t xml:space="preserve">: </w:t>
      </w:r>
      <w:r w:rsidRPr="00904FCB">
        <w:rPr>
          <w:rFonts w:hint="eastAsia"/>
          <w:sz w:val="27"/>
          <w:rtl/>
        </w:rPr>
        <w:t>«</w:t>
      </w:r>
      <w:r w:rsidRPr="00904FCB">
        <w:rPr>
          <w:rFonts w:ascii="Times New Roman" w:hAnsi="Times New Roman"/>
          <w:sz w:val="27"/>
          <w:rtl/>
        </w:rPr>
        <w:t>كذبوا</w:t>
      </w:r>
      <w:r w:rsidR="00DB4442" w:rsidRPr="00904FCB">
        <w:rPr>
          <w:rFonts w:ascii="Times New Roman" w:hAnsi="Times New Roman" w:hint="cs"/>
          <w:sz w:val="27"/>
          <w:rtl/>
        </w:rPr>
        <w:t>؛</w:t>
      </w:r>
      <w:r w:rsidRPr="00904FCB">
        <w:rPr>
          <w:rFonts w:ascii="Times New Roman" w:hAnsi="Times New Roman"/>
          <w:sz w:val="27"/>
          <w:rtl/>
        </w:rPr>
        <w:t xml:space="preserve"> فإنّ دين الله عزّ</w:t>
      </w:r>
      <w:r w:rsidR="00DB4442" w:rsidRPr="00904FCB">
        <w:rPr>
          <w:rFonts w:ascii="Times New Roman" w:hAnsi="Times New Roman" w:hint="cs"/>
          <w:sz w:val="27"/>
          <w:rtl/>
        </w:rPr>
        <w:t>َ</w:t>
      </w:r>
      <w:r w:rsidRPr="00904FCB">
        <w:rPr>
          <w:rFonts w:ascii="Times New Roman" w:hAnsi="Times New Roman"/>
          <w:sz w:val="27"/>
          <w:rtl/>
        </w:rPr>
        <w:t xml:space="preserve"> وجل</w:t>
      </w:r>
      <w:r w:rsidR="00DB4442" w:rsidRPr="00904FCB">
        <w:rPr>
          <w:rFonts w:ascii="Times New Roman" w:hAnsi="Times New Roman" w:hint="cs"/>
          <w:sz w:val="27"/>
          <w:rtl/>
        </w:rPr>
        <w:t>َّ</w:t>
      </w:r>
      <w:r w:rsidRPr="00904FCB">
        <w:rPr>
          <w:rFonts w:ascii="Times New Roman" w:hAnsi="Times New Roman"/>
          <w:sz w:val="27"/>
          <w:rtl/>
        </w:rPr>
        <w:t xml:space="preserve"> أعز</w:t>
      </w:r>
      <w:r w:rsidR="00DB4442" w:rsidRPr="00904FCB">
        <w:rPr>
          <w:rFonts w:ascii="Times New Roman" w:hAnsi="Times New Roman" w:hint="cs"/>
          <w:sz w:val="27"/>
          <w:rtl/>
        </w:rPr>
        <w:t>ّ</w:t>
      </w:r>
      <w:r w:rsidRPr="00904FCB">
        <w:rPr>
          <w:rFonts w:ascii="Times New Roman" w:hAnsi="Times New Roman"/>
          <w:sz w:val="27"/>
          <w:rtl/>
        </w:rPr>
        <w:t xml:space="preserve"> من أن ي</w:t>
      </w:r>
      <w:r w:rsidR="00DB4442" w:rsidRPr="00904FCB">
        <w:rPr>
          <w:rFonts w:ascii="Times New Roman" w:hAnsi="Times New Roman" w:hint="cs"/>
          <w:sz w:val="27"/>
          <w:rtl/>
        </w:rPr>
        <w:t>ُ</w:t>
      </w:r>
      <w:r w:rsidRPr="00904FCB">
        <w:rPr>
          <w:rFonts w:ascii="Times New Roman" w:hAnsi="Times New Roman"/>
          <w:sz w:val="27"/>
          <w:rtl/>
        </w:rPr>
        <w:t>رى في النوم</w:t>
      </w:r>
      <w:r w:rsidRPr="00904FCB">
        <w:rPr>
          <w:rFonts w:hint="eastAsia"/>
          <w:sz w:val="27"/>
          <w:rtl/>
        </w:rPr>
        <w:t>»</w:t>
      </w:r>
      <w:r w:rsidRPr="00904FCB">
        <w:rPr>
          <w:rFonts w:hint="cs"/>
          <w:sz w:val="27"/>
          <w:vertAlign w:val="superscript"/>
          <w:rtl/>
        </w:rPr>
        <w:t>(</w:t>
      </w:r>
      <w:r w:rsidRPr="00904FCB">
        <w:rPr>
          <w:rStyle w:val="ac"/>
          <w:sz w:val="27"/>
          <w:rtl/>
        </w:rPr>
        <w:endnoteReference w:id="545"/>
      </w:r>
      <w:r w:rsidRPr="00904FCB">
        <w:rPr>
          <w:rFonts w:hint="cs"/>
          <w:sz w:val="27"/>
          <w:vertAlign w:val="superscript"/>
          <w:rtl/>
        </w:rPr>
        <w:t>)</w:t>
      </w:r>
      <w:r w:rsidRPr="00904FCB">
        <w:rPr>
          <w:rFonts w:ascii="Times New Roman" w:hAnsi="Times New Roman"/>
          <w:sz w:val="27"/>
          <w:rtl/>
        </w:rPr>
        <w:t>، و</w:t>
      </w:r>
      <w:r w:rsidR="00DB4442" w:rsidRPr="00904FCB">
        <w:rPr>
          <w:rFonts w:hint="eastAsia"/>
          <w:sz w:val="27"/>
          <w:rtl/>
        </w:rPr>
        <w:t>«</w:t>
      </w:r>
      <w:r w:rsidRPr="00904FCB">
        <w:rPr>
          <w:rFonts w:ascii="Times New Roman" w:hAnsi="Times New Roman"/>
          <w:sz w:val="27"/>
          <w:rtl/>
        </w:rPr>
        <w:t>دين الله</w:t>
      </w:r>
      <w:r w:rsidRPr="00904FCB">
        <w:rPr>
          <w:rFonts w:hint="eastAsia"/>
          <w:sz w:val="27"/>
          <w:rtl/>
        </w:rPr>
        <w:t>»</w:t>
      </w:r>
      <w:r w:rsidRPr="00904FCB">
        <w:rPr>
          <w:rFonts w:ascii="Times New Roman" w:hAnsi="Times New Roman"/>
          <w:sz w:val="27"/>
          <w:rtl/>
        </w:rPr>
        <w:t xml:space="preserve"> شامل</w:t>
      </w:r>
      <w:r w:rsidR="00DB4442" w:rsidRPr="00904FCB">
        <w:rPr>
          <w:rFonts w:ascii="Times New Roman" w:hAnsi="Times New Roman" w:hint="cs"/>
          <w:sz w:val="27"/>
          <w:rtl/>
        </w:rPr>
        <w:t>ٌ</w:t>
      </w:r>
      <w:r w:rsidRPr="00904FCB">
        <w:rPr>
          <w:rFonts w:ascii="Times New Roman" w:hAnsi="Times New Roman"/>
          <w:sz w:val="27"/>
          <w:rtl/>
        </w:rPr>
        <w:t xml:space="preserve"> لكاف</w:t>
      </w:r>
      <w:r w:rsidR="00DB4442" w:rsidRPr="00904FCB">
        <w:rPr>
          <w:rFonts w:ascii="Times New Roman" w:hAnsi="Times New Roman" w:hint="cs"/>
          <w:sz w:val="27"/>
          <w:rtl/>
        </w:rPr>
        <w:t>ّ</w:t>
      </w:r>
      <w:r w:rsidRPr="00904FCB">
        <w:rPr>
          <w:rFonts w:ascii="Times New Roman" w:hAnsi="Times New Roman"/>
          <w:sz w:val="27"/>
          <w:rtl/>
        </w:rPr>
        <w:t>ة المفاهيم الدينية والمعتقدات والأحكام الشرعية، فهذا الدين هو أعزّ وأكرم وأشرف من أن ي</w:t>
      </w:r>
      <w:r w:rsidR="00DB4442" w:rsidRPr="00904FCB">
        <w:rPr>
          <w:rFonts w:ascii="Times New Roman" w:hAnsi="Times New Roman" w:hint="cs"/>
          <w:sz w:val="27"/>
          <w:rtl/>
        </w:rPr>
        <w:t>ُ</w:t>
      </w:r>
      <w:r w:rsidRPr="00904FCB">
        <w:rPr>
          <w:rFonts w:ascii="Times New Roman" w:hAnsi="Times New Roman"/>
          <w:sz w:val="27"/>
          <w:rtl/>
        </w:rPr>
        <w:t>رى في النوم، وإنّما هو وحي</w:t>
      </w:r>
      <w:r w:rsidR="00DB4442" w:rsidRPr="00904FCB">
        <w:rPr>
          <w:rFonts w:ascii="Times New Roman" w:hAnsi="Times New Roman" w:hint="cs"/>
          <w:sz w:val="27"/>
          <w:rtl/>
        </w:rPr>
        <w:t>ٌ</w:t>
      </w:r>
      <w:r w:rsidRPr="00904FCB">
        <w:rPr>
          <w:rFonts w:ascii="Times New Roman" w:hAnsi="Times New Roman"/>
          <w:sz w:val="27"/>
          <w:rtl/>
        </w:rPr>
        <w:t xml:space="preserve"> من الله تعالى.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color w:val="auto"/>
        </w:rPr>
        <w:t> </w:t>
      </w:r>
      <w:r w:rsidRPr="00904FCB">
        <w:rPr>
          <w:color w:val="auto"/>
          <w:rtl/>
        </w:rPr>
        <w:t>موضوعات الأحكام</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وكما لا يصح</w:t>
      </w:r>
      <w:r w:rsidR="00DB4442" w:rsidRPr="00904FCB">
        <w:rPr>
          <w:rFonts w:ascii="Times New Roman" w:hAnsi="Times New Roman" w:hint="cs"/>
          <w:sz w:val="27"/>
          <w:rtl/>
        </w:rPr>
        <w:t>ّ</w:t>
      </w:r>
      <w:r w:rsidRPr="00904FCB">
        <w:rPr>
          <w:rFonts w:ascii="Times New Roman" w:hAnsi="Times New Roman"/>
          <w:sz w:val="27"/>
          <w:rtl/>
        </w:rPr>
        <w:t xml:space="preserve"> اعتماد المنام في إثبات الأحكام الشرعية لا يصح</w:t>
      </w:r>
      <w:r w:rsidR="00DB4442" w:rsidRPr="00904FCB">
        <w:rPr>
          <w:rFonts w:ascii="Times New Roman" w:hAnsi="Times New Roman" w:hint="cs"/>
          <w:sz w:val="27"/>
          <w:rtl/>
        </w:rPr>
        <w:t>ّ</w:t>
      </w:r>
      <w:r w:rsidRPr="00904FCB">
        <w:rPr>
          <w:rFonts w:ascii="Times New Roman" w:hAnsi="Times New Roman"/>
          <w:sz w:val="27"/>
          <w:rtl/>
        </w:rPr>
        <w:t xml:space="preserve"> اعتماده في إثبات موضوعات الأحكام، كإثبات النجاسة أو الطهارة، أو كر</w:t>
      </w:r>
      <w:r w:rsidR="00DB4442" w:rsidRPr="00904FCB">
        <w:rPr>
          <w:rFonts w:ascii="Times New Roman" w:hAnsi="Times New Roman" w:hint="cs"/>
          <w:sz w:val="27"/>
          <w:rtl/>
        </w:rPr>
        <w:t>ّ</w:t>
      </w:r>
      <w:r w:rsidRPr="00904FCB">
        <w:rPr>
          <w:rFonts w:ascii="Times New Roman" w:hAnsi="Times New Roman"/>
          <w:sz w:val="27"/>
          <w:rtl/>
        </w:rPr>
        <w:t>يّة الماء، أو إثبات بداية الشهور الهلالي</w:t>
      </w:r>
      <w:r w:rsidR="00DB4442" w:rsidRPr="00904FCB">
        <w:rPr>
          <w:rFonts w:ascii="Times New Roman" w:hAnsi="Times New Roman" w:hint="cs"/>
          <w:sz w:val="27"/>
          <w:rtl/>
        </w:rPr>
        <w:t>ّ</w:t>
      </w:r>
      <w:r w:rsidRPr="00904FCB">
        <w:rPr>
          <w:rFonts w:ascii="Times New Roman" w:hAnsi="Times New Roman"/>
          <w:sz w:val="27"/>
          <w:rtl/>
        </w:rPr>
        <w:t xml:space="preserve">ة، أو غيرها من موضوعات الأحكام.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ج ـ</w:t>
      </w:r>
      <w:r w:rsidRPr="00904FCB">
        <w:rPr>
          <w:color w:val="auto"/>
          <w:rtl/>
        </w:rPr>
        <w:t xml:space="preserve"> المنام والتثقيف العام</w:t>
      </w:r>
      <w:r w:rsidR="00DB4442" w:rsidRPr="00904FCB">
        <w:rPr>
          <w:rFonts w:hint="cs"/>
          <w:color w:val="auto"/>
          <w:rtl/>
        </w:rPr>
        <w:t>ّ</w:t>
      </w:r>
      <w:r w:rsidRPr="00904FCB">
        <w:rPr>
          <w:color w:val="auto"/>
        </w:rPr>
        <w:t>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ويستخدم الكثير من الوع</w:t>
      </w:r>
      <w:r w:rsidR="00DB4442" w:rsidRPr="00904FCB">
        <w:rPr>
          <w:rFonts w:ascii="Times New Roman" w:hAnsi="Times New Roman" w:hint="cs"/>
          <w:sz w:val="27"/>
          <w:rtl/>
        </w:rPr>
        <w:t>ّ</w:t>
      </w:r>
      <w:r w:rsidRPr="00904FCB">
        <w:rPr>
          <w:rFonts w:ascii="Times New Roman" w:hAnsi="Times New Roman"/>
          <w:sz w:val="27"/>
          <w:rtl/>
        </w:rPr>
        <w:t>اظ المنامات ماد</w:t>
      </w:r>
      <w:r w:rsidR="00DB4442" w:rsidRPr="00904FCB">
        <w:rPr>
          <w:rFonts w:ascii="Times New Roman" w:hAnsi="Times New Roman" w:hint="cs"/>
          <w:sz w:val="27"/>
          <w:rtl/>
        </w:rPr>
        <w:t>ّ</w:t>
      </w:r>
      <w:r w:rsidRPr="00904FCB">
        <w:rPr>
          <w:rFonts w:ascii="Times New Roman" w:hAnsi="Times New Roman"/>
          <w:sz w:val="27"/>
          <w:rtl/>
        </w:rPr>
        <w:t>ة</w:t>
      </w:r>
      <w:r w:rsidR="00DB4442" w:rsidRPr="00904FCB">
        <w:rPr>
          <w:rFonts w:ascii="Times New Roman" w:hAnsi="Times New Roman" w:hint="cs"/>
          <w:sz w:val="27"/>
          <w:rtl/>
        </w:rPr>
        <w:t>ً</w:t>
      </w:r>
      <w:r w:rsidRPr="00904FCB">
        <w:rPr>
          <w:rFonts w:ascii="Times New Roman" w:hAnsi="Times New Roman"/>
          <w:sz w:val="27"/>
          <w:rtl/>
        </w:rPr>
        <w:t xml:space="preserve"> للتثقيف العام، كمرغ</w:t>
      </w:r>
      <w:r w:rsidR="00DB4442" w:rsidRPr="00904FCB">
        <w:rPr>
          <w:rFonts w:ascii="Times New Roman" w:hAnsi="Times New Roman" w:hint="cs"/>
          <w:sz w:val="27"/>
          <w:rtl/>
        </w:rPr>
        <w:t>ِّ</w:t>
      </w:r>
      <w:r w:rsidRPr="00904FCB">
        <w:rPr>
          <w:rFonts w:ascii="Times New Roman" w:hAnsi="Times New Roman"/>
          <w:sz w:val="27"/>
          <w:rtl/>
        </w:rPr>
        <w:t>بات ومبش</w:t>
      </w:r>
      <w:r w:rsidR="00DB4442" w:rsidRPr="00904FCB">
        <w:rPr>
          <w:rFonts w:ascii="Times New Roman" w:hAnsi="Times New Roman" w:hint="cs"/>
          <w:sz w:val="27"/>
          <w:rtl/>
        </w:rPr>
        <w:t>ِّ</w:t>
      </w:r>
      <w:r w:rsidRPr="00904FCB">
        <w:rPr>
          <w:rFonts w:ascii="Times New Roman" w:hAnsi="Times New Roman"/>
          <w:sz w:val="27"/>
          <w:rtl/>
        </w:rPr>
        <w:t>رات، أو منذرات ومخوّ</w:t>
      </w:r>
      <w:r w:rsidR="00DB4442" w:rsidRPr="00904FCB">
        <w:rPr>
          <w:rFonts w:ascii="Times New Roman" w:hAnsi="Times New Roman" w:hint="cs"/>
          <w:sz w:val="27"/>
          <w:rtl/>
        </w:rPr>
        <w:t>ِ</w:t>
      </w:r>
      <w:r w:rsidRPr="00904FCB">
        <w:rPr>
          <w:rFonts w:ascii="Times New Roman" w:hAnsi="Times New Roman"/>
          <w:sz w:val="27"/>
          <w:rtl/>
        </w:rPr>
        <w:t>فات، أو لاستدرار الدمعة، كما يفعل الخطباء وقر</w:t>
      </w:r>
      <w:r w:rsidR="00DB4442" w:rsidRPr="00904FCB">
        <w:rPr>
          <w:rFonts w:ascii="Times New Roman" w:hAnsi="Times New Roman" w:hint="cs"/>
          <w:sz w:val="27"/>
          <w:rtl/>
        </w:rPr>
        <w:t>ّ</w:t>
      </w:r>
      <w:r w:rsidRPr="00904FCB">
        <w:rPr>
          <w:rFonts w:ascii="Times New Roman" w:hAnsi="Times New Roman"/>
          <w:sz w:val="27"/>
          <w:rtl/>
        </w:rPr>
        <w:t>اء العزاء</w:t>
      </w:r>
      <w:r w:rsidR="00DB4442" w:rsidRPr="00904FCB">
        <w:rPr>
          <w:rFonts w:ascii="Times New Roman" w:hAnsi="Times New Roman" w:hint="cs"/>
          <w:sz w:val="27"/>
          <w:rtl/>
        </w:rPr>
        <w:t>.</w:t>
      </w:r>
      <w:r w:rsidRPr="00904FCB">
        <w:rPr>
          <w:rFonts w:ascii="Times New Roman" w:hAnsi="Times New Roman"/>
          <w:sz w:val="27"/>
          <w:rtl/>
        </w:rPr>
        <w:t xml:space="preserve"> ومع أنّ ذلك ليس مرفوضاً رفضاً بات</w:t>
      </w:r>
      <w:r w:rsidR="00DB4442" w:rsidRPr="00904FCB">
        <w:rPr>
          <w:rFonts w:ascii="Times New Roman" w:hAnsi="Times New Roman" w:hint="cs"/>
          <w:sz w:val="27"/>
          <w:rtl/>
        </w:rPr>
        <w:t>ّ</w:t>
      </w:r>
      <w:r w:rsidRPr="00904FCB">
        <w:rPr>
          <w:rFonts w:ascii="Times New Roman" w:hAnsi="Times New Roman"/>
          <w:sz w:val="27"/>
          <w:rtl/>
        </w:rPr>
        <w:t>اً</w:t>
      </w:r>
      <w:r w:rsidR="00DB4442" w:rsidRPr="00904FCB">
        <w:rPr>
          <w:rFonts w:ascii="Times New Roman" w:hAnsi="Times New Roman" w:hint="cs"/>
          <w:sz w:val="27"/>
          <w:rtl/>
        </w:rPr>
        <w:t>،</w:t>
      </w:r>
      <w:r w:rsidRPr="00904FCB">
        <w:rPr>
          <w:rFonts w:ascii="Times New Roman" w:hAnsi="Times New Roman"/>
          <w:sz w:val="27"/>
          <w:rtl/>
        </w:rPr>
        <w:t xml:space="preserve"> ولا محر</w:t>
      </w:r>
      <w:r w:rsidR="00DB4442" w:rsidRPr="00904FCB">
        <w:rPr>
          <w:rFonts w:ascii="Times New Roman" w:hAnsi="Times New Roman" w:hint="cs"/>
          <w:sz w:val="27"/>
          <w:rtl/>
        </w:rPr>
        <w:t>َّ</w:t>
      </w:r>
      <w:r w:rsidRPr="00904FCB">
        <w:rPr>
          <w:rFonts w:ascii="Times New Roman" w:hAnsi="Times New Roman"/>
          <w:sz w:val="27"/>
          <w:rtl/>
        </w:rPr>
        <w:t>ماً في ذاته، لكنّ للمسألة بعداً سلبياً</w:t>
      </w:r>
      <w:r w:rsidR="00DB4442" w:rsidRPr="00904FCB">
        <w:rPr>
          <w:rFonts w:ascii="Times New Roman" w:hAnsi="Times New Roman" w:hint="cs"/>
          <w:sz w:val="27"/>
          <w:rtl/>
        </w:rPr>
        <w:t>،</w:t>
      </w:r>
      <w:r w:rsidRPr="00904FCB">
        <w:rPr>
          <w:rFonts w:ascii="Times New Roman" w:hAnsi="Times New Roman"/>
          <w:sz w:val="27"/>
          <w:rtl/>
        </w:rPr>
        <w:t xml:space="preserve"> وهو أنّ الاستشهاد بالمنامات غدا يلامس حد</w:t>
      </w:r>
      <w:r w:rsidR="00DB4442" w:rsidRPr="00904FCB">
        <w:rPr>
          <w:rFonts w:ascii="Times New Roman" w:hAnsi="Times New Roman" w:hint="cs"/>
          <w:sz w:val="27"/>
          <w:rtl/>
        </w:rPr>
        <w:t>ّ</w:t>
      </w:r>
      <w:r w:rsidRPr="00904FCB">
        <w:rPr>
          <w:rFonts w:ascii="Times New Roman" w:hAnsi="Times New Roman"/>
          <w:sz w:val="27"/>
          <w:rtl/>
        </w:rPr>
        <w:t xml:space="preserve"> الظاهرة المنتشرة، التي يلجأ إليها البعض</w:t>
      </w:r>
      <w:r w:rsidR="00DB4442" w:rsidRPr="00904FCB">
        <w:rPr>
          <w:rFonts w:ascii="Times New Roman" w:hAnsi="Times New Roman" w:hint="cs"/>
          <w:sz w:val="27"/>
          <w:rtl/>
        </w:rPr>
        <w:t>؛</w:t>
      </w:r>
      <w:r w:rsidRPr="00904FCB">
        <w:rPr>
          <w:rFonts w:ascii="Times New Roman" w:hAnsi="Times New Roman"/>
          <w:sz w:val="27"/>
          <w:rtl/>
        </w:rPr>
        <w:t xml:space="preserve"> ربما بسبب ضحالتهم الفكرية، أو في محاولة منهم للتهر</w:t>
      </w:r>
      <w:r w:rsidR="00DB4442" w:rsidRPr="00904FCB">
        <w:rPr>
          <w:rFonts w:ascii="Times New Roman" w:hAnsi="Times New Roman" w:hint="cs"/>
          <w:sz w:val="27"/>
          <w:rtl/>
        </w:rPr>
        <w:t>ُّ</w:t>
      </w:r>
      <w:r w:rsidRPr="00904FCB">
        <w:rPr>
          <w:rFonts w:ascii="Times New Roman" w:hAnsi="Times New Roman"/>
          <w:sz w:val="27"/>
          <w:rtl/>
        </w:rPr>
        <w:t>ب من إشكاليات السند ومسؤولية التوثيق، أو لأنّ المنامات يتمّ حبكها بطريقة</w:t>
      </w:r>
      <w:r w:rsidR="00DB4442" w:rsidRPr="00904FCB">
        <w:rPr>
          <w:rFonts w:ascii="Times New Roman" w:hAnsi="Times New Roman" w:hint="cs"/>
          <w:sz w:val="27"/>
          <w:rtl/>
        </w:rPr>
        <w:t>ٍ</w:t>
      </w:r>
      <w:r w:rsidRPr="00904FCB">
        <w:rPr>
          <w:rFonts w:ascii="Times New Roman" w:hAnsi="Times New Roman"/>
          <w:sz w:val="27"/>
          <w:rtl/>
        </w:rPr>
        <w:t xml:space="preserve"> مؤث</w:t>
      </w:r>
      <w:r w:rsidR="00DB4442" w:rsidRPr="00904FCB">
        <w:rPr>
          <w:rFonts w:ascii="Times New Roman" w:hAnsi="Times New Roman" w:hint="cs"/>
          <w:sz w:val="27"/>
          <w:rtl/>
        </w:rPr>
        <w:t>ِّ</w:t>
      </w:r>
      <w:r w:rsidRPr="00904FCB">
        <w:rPr>
          <w:rFonts w:ascii="Times New Roman" w:hAnsi="Times New Roman"/>
          <w:sz w:val="27"/>
          <w:rtl/>
        </w:rPr>
        <w:t>رة جد</w:t>
      </w:r>
      <w:r w:rsidR="00DB4442" w:rsidRPr="00904FCB">
        <w:rPr>
          <w:rFonts w:ascii="Times New Roman" w:hAnsi="Times New Roman" w:hint="cs"/>
          <w:sz w:val="27"/>
          <w:rtl/>
        </w:rPr>
        <w:t>ّ</w:t>
      </w:r>
      <w:r w:rsidRPr="00904FCB">
        <w:rPr>
          <w:rFonts w:ascii="Times New Roman" w:hAnsi="Times New Roman"/>
          <w:sz w:val="27"/>
          <w:rtl/>
        </w:rPr>
        <w:t>اً</w:t>
      </w:r>
      <w:r w:rsidR="00F42370" w:rsidRPr="00904FCB">
        <w:rPr>
          <w:rFonts w:ascii="Times New Roman" w:hAnsi="Times New Roman" w:hint="cs"/>
          <w:sz w:val="27"/>
          <w:rtl/>
        </w:rPr>
        <w:t>.</w:t>
      </w:r>
      <w:r w:rsidRPr="00904FCB">
        <w:rPr>
          <w:rFonts w:ascii="Times New Roman" w:hAnsi="Times New Roman"/>
          <w:sz w:val="27"/>
          <w:rtl/>
        </w:rPr>
        <w:t xml:space="preserve"> </w:t>
      </w:r>
      <w:r w:rsidR="00F42370" w:rsidRPr="00904FCB">
        <w:rPr>
          <w:rFonts w:ascii="Times New Roman" w:hAnsi="Times New Roman" w:hint="cs"/>
          <w:sz w:val="27"/>
          <w:rtl/>
        </w:rPr>
        <w:t>و</w:t>
      </w:r>
      <w:r w:rsidRPr="00904FCB">
        <w:rPr>
          <w:rFonts w:ascii="Times New Roman" w:hAnsi="Times New Roman"/>
          <w:sz w:val="27"/>
          <w:rtl/>
        </w:rPr>
        <w:t xml:space="preserve">الخطورة في ذلك: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أو</w:t>
      </w:r>
      <w:r w:rsidR="00DB4442" w:rsidRPr="00904FCB">
        <w:rPr>
          <w:rFonts w:ascii="Times New Roman" w:hAnsi="Times New Roman" w:hint="cs"/>
          <w:b/>
          <w:bCs/>
          <w:sz w:val="27"/>
          <w:rtl/>
        </w:rPr>
        <w:t>ّ</w:t>
      </w:r>
      <w:r w:rsidRPr="00904FCB">
        <w:rPr>
          <w:rFonts w:ascii="Times New Roman" w:hAnsi="Times New Roman"/>
          <w:b/>
          <w:bCs/>
          <w:sz w:val="27"/>
          <w:rtl/>
        </w:rPr>
        <w:t xml:space="preserve">لاً: </w:t>
      </w:r>
      <w:r w:rsidRPr="00904FCB">
        <w:rPr>
          <w:rFonts w:ascii="Times New Roman" w:hAnsi="Times New Roman"/>
          <w:sz w:val="27"/>
          <w:rtl/>
        </w:rPr>
        <w:t>إنّا نخشى من أنّ ذلك سيطبع ثقافتنا الإسلامية</w:t>
      </w:r>
      <w:r w:rsidR="00F42370" w:rsidRPr="00904FCB">
        <w:rPr>
          <w:rFonts w:ascii="Times New Roman" w:hAnsi="Times New Roman" w:hint="cs"/>
          <w:sz w:val="27"/>
          <w:rtl/>
        </w:rPr>
        <w:t>،</w:t>
      </w:r>
      <w:r w:rsidRPr="00904FCB">
        <w:rPr>
          <w:rFonts w:ascii="Times New Roman" w:hAnsi="Times New Roman"/>
          <w:sz w:val="27"/>
          <w:rtl/>
        </w:rPr>
        <w:t xml:space="preserve"> لتغدو ثقافة أحلام ومنامات، </w:t>
      </w:r>
      <w:r w:rsidR="00F42370" w:rsidRPr="00904FCB">
        <w:rPr>
          <w:rFonts w:ascii="Times New Roman" w:hAnsi="Times New Roman"/>
          <w:sz w:val="27"/>
          <w:rtl/>
        </w:rPr>
        <w:t>مع أ</w:t>
      </w:r>
      <w:r w:rsidRPr="00904FCB">
        <w:rPr>
          <w:rFonts w:ascii="Times New Roman" w:hAnsi="Times New Roman"/>
          <w:sz w:val="27"/>
          <w:rtl/>
        </w:rPr>
        <w:t>نّ الاستشهاد بالقرآن الكريم والسن</w:t>
      </w:r>
      <w:r w:rsidR="00F42370" w:rsidRPr="00904FCB">
        <w:rPr>
          <w:rFonts w:ascii="Times New Roman" w:hAnsi="Times New Roman" w:hint="cs"/>
          <w:sz w:val="27"/>
          <w:rtl/>
        </w:rPr>
        <w:t>ّ</w:t>
      </w:r>
      <w:r w:rsidRPr="00904FCB">
        <w:rPr>
          <w:rFonts w:ascii="Times New Roman" w:hAnsi="Times New Roman"/>
          <w:sz w:val="27"/>
          <w:rtl/>
        </w:rPr>
        <w:t>ة الشريفة وما تضم</w:t>
      </w:r>
      <w:r w:rsidR="00F42370" w:rsidRPr="00904FCB">
        <w:rPr>
          <w:rFonts w:ascii="Times New Roman" w:hAnsi="Times New Roman" w:hint="cs"/>
          <w:sz w:val="27"/>
          <w:rtl/>
        </w:rPr>
        <w:t>َّ</w:t>
      </w:r>
      <w:r w:rsidRPr="00904FCB">
        <w:rPr>
          <w:rFonts w:ascii="Times New Roman" w:hAnsi="Times New Roman"/>
          <w:sz w:val="27"/>
          <w:rtl/>
        </w:rPr>
        <w:t>نا من مواعظ وحكم يغني عن المنامات والأحلام، بل هو أبلغ تأثيراً وأوقع في النفوس من الأحلام</w:t>
      </w:r>
      <w:r w:rsidR="00F42370" w:rsidRPr="00904FCB">
        <w:rPr>
          <w:rFonts w:ascii="Times New Roman" w:hAnsi="Times New Roman" w:hint="cs"/>
          <w:sz w:val="27"/>
          <w:rtl/>
        </w:rPr>
        <w:t>.</w:t>
      </w:r>
      <w:r w:rsidRPr="00904FCB">
        <w:rPr>
          <w:rFonts w:ascii="Times New Roman" w:hAnsi="Times New Roman"/>
          <w:sz w:val="27"/>
          <w:rtl/>
        </w:rPr>
        <w:t xml:space="preserve"> هذا لو كانت صادقة</w:t>
      </w:r>
      <w:r w:rsidR="00F42370" w:rsidRPr="00904FCB">
        <w:rPr>
          <w:rFonts w:ascii="Times New Roman" w:hAnsi="Times New Roman" w:hint="cs"/>
          <w:sz w:val="27"/>
          <w:rtl/>
        </w:rPr>
        <w:t>ً</w:t>
      </w:r>
      <w:r w:rsidRPr="00904FCB">
        <w:rPr>
          <w:rFonts w:ascii="Times New Roman" w:hAnsi="Times New Roman"/>
          <w:sz w:val="27"/>
          <w:rtl/>
        </w:rPr>
        <w:t xml:space="preserve">، وإلاّ فسيقع الخطيب في محذور الكذب أيضاً.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 xml:space="preserve">ثانياً: </w:t>
      </w:r>
      <w:r w:rsidRPr="00904FCB">
        <w:rPr>
          <w:rFonts w:ascii="Times New Roman" w:hAnsi="Times New Roman"/>
          <w:sz w:val="27"/>
          <w:rtl/>
        </w:rPr>
        <w:t>إنّ الكثير من المنامات التي يتمّ تداولها على المنابر المختلفة تشتمل على بعض المفاهيم القلقة أو الق</w:t>
      </w:r>
      <w:r w:rsidR="00F42370" w:rsidRPr="00904FCB">
        <w:rPr>
          <w:rFonts w:ascii="Times New Roman" w:hAnsi="Times New Roman" w:hint="cs"/>
          <w:sz w:val="27"/>
          <w:rtl/>
        </w:rPr>
        <w:t>ِ</w:t>
      </w:r>
      <w:r w:rsidRPr="00904FCB">
        <w:rPr>
          <w:rFonts w:ascii="Times New Roman" w:hAnsi="Times New Roman"/>
          <w:sz w:val="27"/>
          <w:rtl/>
        </w:rPr>
        <w:t>ي</w:t>
      </w:r>
      <w:r w:rsidR="00F42370" w:rsidRPr="00904FCB">
        <w:rPr>
          <w:rFonts w:ascii="Times New Roman" w:hAnsi="Times New Roman" w:hint="cs"/>
          <w:sz w:val="27"/>
          <w:rtl/>
        </w:rPr>
        <w:t>َ</w:t>
      </w:r>
      <w:r w:rsidRPr="00904FCB">
        <w:rPr>
          <w:rFonts w:ascii="Times New Roman" w:hAnsi="Times New Roman"/>
          <w:sz w:val="27"/>
          <w:rtl/>
        </w:rPr>
        <w:t xml:space="preserve">م المنافية للمبادئ الإسلامية، أو المجانبة لبعض الأحكام </w:t>
      </w:r>
      <w:r w:rsidRPr="00904FCB">
        <w:rPr>
          <w:rFonts w:ascii="Times New Roman" w:hAnsi="Times New Roman"/>
          <w:sz w:val="27"/>
          <w:rtl/>
        </w:rPr>
        <w:lastRenderedPageBreak/>
        <w:t>الشرعية، كما في رؤيا ذاك اللص</w:t>
      </w:r>
      <w:r w:rsidR="00F42370" w:rsidRPr="00904FCB">
        <w:rPr>
          <w:rFonts w:ascii="Times New Roman" w:hAnsi="Times New Roman" w:hint="cs"/>
          <w:sz w:val="27"/>
          <w:rtl/>
        </w:rPr>
        <w:t>ّ</w:t>
      </w:r>
      <w:r w:rsidRPr="00904FCB">
        <w:rPr>
          <w:rFonts w:ascii="Times New Roman" w:hAnsi="Times New Roman"/>
          <w:sz w:val="27"/>
          <w:rtl/>
        </w:rPr>
        <w:t xml:space="preserve"> الذي أراد سرقة قافلة الزوار المتج</w:t>
      </w:r>
      <w:r w:rsidR="00F42370" w:rsidRPr="00904FCB">
        <w:rPr>
          <w:rFonts w:ascii="Times New Roman" w:hAnsi="Times New Roman" w:hint="cs"/>
          <w:sz w:val="27"/>
          <w:rtl/>
        </w:rPr>
        <w:t>ِّ</w:t>
      </w:r>
      <w:r w:rsidRPr="00904FCB">
        <w:rPr>
          <w:rFonts w:ascii="Times New Roman" w:hAnsi="Times New Roman"/>
          <w:sz w:val="27"/>
          <w:rtl/>
        </w:rPr>
        <w:t>هين لزيارة أبي عبد الله</w:t>
      </w:r>
      <w:r w:rsidR="001C1A2A" w:rsidRPr="00904FCB">
        <w:rPr>
          <w:rFonts w:ascii="Times New Roman" w:hAnsi="Times New Roman" w:cs="Mosawi"/>
          <w:sz w:val="27"/>
          <w:szCs w:val="22"/>
          <w:rtl/>
        </w:rPr>
        <w:t>×</w:t>
      </w:r>
      <w:r w:rsidR="00F42370" w:rsidRPr="00904FCB">
        <w:rPr>
          <w:rFonts w:ascii="Times New Roman" w:hAnsi="Times New Roman" w:hint="cs"/>
          <w:sz w:val="27"/>
          <w:rtl/>
        </w:rPr>
        <w:t>،</w:t>
      </w:r>
      <w:r w:rsidRPr="00904FCB">
        <w:rPr>
          <w:rFonts w:ascii="Times New Roman" w:hAnsi="Times New Roman"/>
          <w:sz w:val="27"/>
          <w:rtl/>
        </w:rPr>
        <w:t xml:space="preserve"> حيث غف</w:t>
      </w:r>
      <w:r w:rsidR="00F42370" w:rsidRPr="00904FCB">
        <w:rPr>
          <w:rFonts w:ascii="Times New Roman" w:hAnsi="Times New Roman" w:hint="cs"/>
          <w:sz w:val="27"/>
          <w:rtl/>
        </w:rPr>
        <w:t>َ</w:t>
      </w:r>
      <w:r w:rsidRPr="00904FCB">
        <w:rPr>
          <w:rFonts w:ascii="Times New Roman" w:hAnsi="Times New Roman"/>
          <w:sz w:val="27"/>
          <w:rtl/>
        </w:rPr>
        <w:t>ت</w:t>
      </w:r>
      <w:r w:rsidR="00F42370" w:rsidRPr="00904FCB">
        <w:rPr>
          <w:rFonts w:ascii="Times New Roman" w:hAnsi="Times New Roman" w:hint="cs"/>
          <w:sz w:val="27"/>
          <w:rtl/>
        </w:rPr>
        <w:t>ْ</w:t>
      </w:r>
      <w:r w:rsidRPr="00904FCB">
        <w:rPr>
          <w:rFonts w:ascii="Times New Roman" w:hAnsi="Times New Roman"/>
          <w:sz w:val="27"/>
          <w:rtl/>
        </w:rPr>
        <w:t xml:space="preserve"> عيناه أثناء مرور القافلة، فرأى في المنام أنّه واقف</w:t>
      </w:r>
      <w:r w:rsidR="00F42370" w:rsidRPr="00904FCB">
        <w:rPr>
          <w:rFonts w:ascii="Times New Roman" w:hAnsi="Times New Roman" w:hint="cs"/>
          <w:sz w:val="27"/>
          <w:rtl/>
        </w:rPr>
        <w:t>ٌ</w:t>
      </w:r>
      <w:r w:rsidRPr="00904FCB">
        <w:rPr>
          <w:rFonts w:ascii="Times New Roman" w:hAnsi="Times New Roman"/>
          <w:sz w:val="27"/>
          <w:rtl/>
        </w:rPr>
        <w:t xml:space="preserve"> للحساب بين يدي الله</w:t>
      </w:r>
      <w:r w:rsidR="00F42370" w:rsidRPr="00904FCB">
        <w:rPr>
          <w:rFonts w:ascii="Times New Roman" w:hAnsi="Times New Roman" w:hint="cs"/>
          <w:sz w:val="27"/>
          <w:rtl/>
        </w:rPr>
        <w:t>،</w:t>
      </w:r>
      <w:r w:rsidRPr="00904FCB">
        <w:rPr>
          <w:rFonts w:ascii="Times New Roman" w:hAnsi="Times New Roman"/>
          <w:sz w:val="27"/>
          <w:rtl/>
        </w:rPr>
        <w:t xml:space="preserve"> وإذا بالمنادي ينادي بإدخاله إلى الجن</w:t>
      </w:r>
      <w:r w:rsidR="00F42370" w:rsidRPr="00904FCB">
        <w:rPr>
          <w:rFonts w:ascii="Times New Roman" w:hAnsi="Times New Roman" w:hint="cs"/>
          <w:sz w:val="27"/>
          <w:rtl/>
        </w:rPr>
        <w:t>ّ</w:t>
      </w:r>
      <w:r w:rsidRPr="00904FCB">
        <w:rPr>
          <w:rFonts w:ascii="Times New Roman" w:hAnsi="Times New Roman"/>
          <w:sz w:val="27"/>
          <w:rtl/>
        </w:rPr>
        <w:t>ة، أ</w:t>
      </w:r>
      <w:r w:rsidR="00F42370" w:rsidRPr="00904FCB">
        <w:rPr>
          <w:rFonts w:ascii="Times New Roman" w:hAnsi="Times New Roman" w:hint="cs"/>
          <w:sz w:val="27"/>
          <w:rtl/>
        </w:rPr>
        <w:t>َ</w:t>
      </w:r>
      <w:r w:rsidRPr="00904FCB">
        <w:rPr>
          <w:rFonts w:ascii="Times New Roman" w:hAnsi="Times New Roman"/>
          <w:sz w:val="27"/>
          <w:rtl/>
        </w:rPr>
        <w:t>تد</w:t>
      </w:r>
      <w:r w:rsidR="00F42370" w:rsidRPr="00904FCB">
        <w:rPr>
          <w:rFonts w:ascii="Times New Roman" w:hAnsi="Times New Roman" w:hint="cs"/>
          <w:sz w:val="27"/>
          <w:rtl/>
        </w:rPr>
        <w:t>ْ</w:t>
      </w:r>
      <w:r w:rsidRPr="00904FCB">
        <w:rPr>
          <w:rFonts w:ascii="Times New Roman" w:hAnsi="Times New Roman"/>
          <w:sz w:val="27"/>
          <w:rtl/>
        </w:rPr>
        <w:t>ر</w:t>
      </w:r>
      <w:r w:rsidR="00F42370" w:rsidRPr="00904FCB">
        <w:rPr>
          <w:rFonts w:ascii="Times New Roman" w:hAnsi="Times New Roman" w:hint="cs"/>
          <w:sz w:val="27"/>
          <w:rtl/>
        </w:rPr>
        <w:t>ُ</w:t>
      </w:r>
      <w:r w:rsidRPr="00904FCB">
        <w:rPr>
          <w:rFonts w:ascii="Times New Roman" w:hAnsi="Times New Roman"/>
          <w:sz w:val="27"/>
          <w:rtl/>
        </w:rPr>
        <w:t>ون لماذا؟ لأنّه وأثناء مرور القافلة المذكورة وقع عليه شيء</w:t>
      </w:r>
      <w:r w:rsidR="00F42370" w:rsidRPr="00904FCB">
        <w:rPr>
          <w:rFonts w:ascii="Times New Roman" w:hAnsi="Times New Roman" w:hint="cs"/>
          <w:sz w:val="27"/>
          <w:rtl/>
        </w:rPr>
        <w:t>ٌ</w:t>
      </w:r>
      <w:r w:rsidRPr="00904FCB">
        <w:rPr>
          <w:rFonts w:ascii="Times New Roman" w:hAnsi="Times New Roman"/>
          <w:sz w:val="27"/>
          <w:rtl/>
        </w:rPr>
        <w:t xml:space="preserve"> من غبار زو</w:t>
      </w:r>
      <w:r w:rsidR="00F42370" w:rsidRPr="00904FCB">
        <w:rPr>
          <w:rFonts w:ascii="Times New Roman" w:hAnsi="Times New Roman" w:hint="cs"/>
          <w:sz w:val="27"/>
          <w:rtl/>
        </w:rPr>
        <w:t>ّ</w:t>
      </w:r>
      <w:r w:rsidRPr="00904FCB">
        <w:rPr>
          <w:rFonts w:ascii="Times New Roman" w:hAnsi="Times New Roman"/>
          <w:sz w:val="27"/>
          <w:rtl/>
        </w:rPr>
        <w:t>ار الحسين</w:t>
      </w:r>
      <w:r w:rsidR="001C1A2A" w:rsidRPr="00904FCB">
        <w:rPr>
          <w:rFonts w:ascii="Times New Roman" w:hAnsi="Times New Roman" w:cs="Mosawi"/>
          <w:sz w:val="27"/>
          <w:szCs w:val="22"/>
          <w:rtl/>
        </w:rPr>
        <w:t>×</w:t>
      </w:r>
      <w:r w:rsidR="00F42370" w:rsidRPr="00904FCB">
        <w:rPr>
          <w:rFonts w:ascii="Times New Roman" w:hAnsi="Times New Roman" w:hint="cs"/>
          <w:sz w:val="27"/>
          <w:rtl/>
        </w:rPr>
        <w:t>.</w:t>
      </w:r>
      <w:r w:rsidRPr="00904FCB">
        <w:rPr>
          <w:rFonts w:ascii="Times New Roman" w:hAnsi="Times New Roman"/>
          <w:sz w:val="27"/>
          <w:rtl/>
        </w:rPr>
        <w:t xml:space="preserve"> فهذا منام</w:t>
      </w:r>
      <w:r w:rsidR="00F42370" w:rsidRPr="00904FCB">
        <w:rPr>
          <w:rFonts w:ascii="Times New Roman" w:hAnsi="Times New Roman" w:hint="cs"/>
          <w:sz w:val="27"/>
          <w:rtl/>
        </w:rPr>
        <w:t>ٌ</w:t>
      </w:r>
      <w:r w:rsidRPr="00904FCB">
        <w:rPr>
          <w:rFonts w:ascii="Times New Roman" w:hAnsi="Times New Roman"/>
          <w:sz w:val="27"/>
          <w:rtl/>
        </w:rPr>
        <w:t xml:space="preserve"> قد يثير مشكلة عقدية تت</w:t>
      </w:r>
      <w:r w:rsidR="00F42370" w:rsidRPr="00904FCB">
        <w:rPr>
          <w:rFonts w:ascii="Times New Roman" w:hAnsi="Times New Roman" w:hint="cs"/>
          <w:sz w:val="27"/>
          <w:rtl/>
        </w:rPr>
        <w:t>ّ</w:t>
      </w:r>
      <w:r w:rsidRPr="00904FCB">
        <w:rPr>
          <w:rFonts w:ascii="Times New Roman" w:hAnsi="Times New Roman"/>
          <w:sz w:val="27"/>
          <w:rtl/>
        </w:rPr>
        <w:t>صل بمسألة الع</w:t>
      </w:r>
      <w:r w:rsidR="00F42370" w:rsidRPr="00904FCB">
        <w:rPr>
          <w:rFonts w:ascii="Times New Roman" w:hAnsi="Times New Roman" w:hint="cs"/>
          <w:sz w:val="27"/>
          <w:rtl/>
        </w:rPr>
        <w:t>َ</w:t>
      </w:r>
      <w:r w:rsidRPr="00904FCB">
        <w:rPr>
          <w:rFonts w:ascii="Times New Roman" w:hAnsi="Times New Roman"/>
          <w:sz w:val="27"/>
          <w:rtl/>
        </w:rPr>
        <w:t>د</w:t>
      </w:r>
      <w:r w:rsidR="00F42370" w:rsidRPr="00904FCB">
        <w:rPr>
          <w:rFonts w:ascii="Times New Roman" w:hAnsi="Times New Roman" w:hint="cs"/>
          <w:sz w:val="27"/>
          <w:rtl/>
        </w:rPr>
        <w:t>ْ</w:t>
      </w:r>
      <w:r w:rsidRPr="00904FCB">
        <w:rPr>
          <w:rFonts w:ascii="Times New Roman" w:hAnsi="Times New Roman"/>
          <w:sz w:val="27"/>
          <w:rtl/>
        </w:rPr>
        <w:t>ل الإلهي، كما أنّه قد يزه</w:t>
      </w:r>
      <w:r w:rsidR="00F42370" w:rsidRPr="00904FCB">
        <w:rPr>
          <w:rFonts w:ascii="Times New Roman" w:hAnsi="Times New Roman" w:hint="cs"/>
          <w:sz w:val="27"/>
          <w:rtl/>
        </w:rPr>
        <w:t>ِّ</w:t>
      </w:r>
      <w:r w:rsidRPr="00904FCB">
        <w:rPr>
          <w:rFonts w:ascii="Times New Roman" w:hAnsi="Times New Roman"/>
          <w:sz w:val="27"/>
          <w:rtl/>
        </w:rPr>
        <w:t>د الإنسان في العبادة وعمل الخير</w:t>
      </w:r>
      <w:r w:rsidR="00F42370" w:rsidRPr="00904FCB">
        <w:rPr>
          <w:rFonts w:ascii="Times New Roman" w:hAnsi="Times New Roman" w:hint="cs"/>
          <w:sz w:val="27"/>
          <w:rtl/>
        </w:rPr>
        <w:t>،</w:t>
      </w:r>
      <w:r w:rsidRPr="00904FCB">
        <w:rPr>
          <w:rFonts w:ascii="Times New Roman" w:hAnsi="Times New Roman"/>
          <w:sz w:val="27"/>
          <w:rtl/>
        </w:rPr>
        <w:t xml:space="preserve"> ويشج</w:t>
      </w:r>
      <w:r w:rsidR="00F42370" w:rsidRPr="00904FCB">
        <w:rPr>
          <w:rFonts w:ascii="Times New Roman" w:hAnsi="Times New Roman" w:hint="cs"/>
          <w:sz w:val="27"/>
          <w:rtl/>
        </w:rPr>
        <w:t>ِّ</w:t>
      </w:r>
      <w:r w:rsidRPr="00904FCB">
        <w:rPr>
          <w:rFonts w:ascii="Times New Roman" w:hAnsi="Times New Roman"/>
          <w:sz w:val="27"/>
          <w:rtl/>
        </w:rPr>
        <w:t>عه على ارتكاب المعاصي</w:t>
      </w:r>
      <w:r w:rsidR="00F42370" w:rsidRPr="00904FCB">
        <w:rPr>
          <w:rFonts w:ascii="Times New Roman" w:hAnsi="Times New Roman" w:hint="cs"/>
          <w:sz w:val="27"/>
          <w:rtl/>
        </w:rPr>
        <w:t>؛</w:t>
      </w:r>
      <w:r w:rsidRPr="00904FCB">
        <w:rPr>
          <w:rFonts w:ascii="Times New Roman" w:hAnsi="Times New Roman"/>
          <w:sz w:val="27"/>
          <w:rtl/>
        </w:rPr>
        <w:t xml:space="preserve"> إذ ما دام لغبار زوار الحسين</w:t>
      </w:r>
      <w:r w:rsidR="001C1A2A" w:rsidRPr="00904FCB">
        <w:rPr>
          <w:rFonts w:ascii="Times New Roman" w:hAnsi="Times New Roman" w:cs="Mosawi"/>
          <w:sz w:val="27"/>
          <w:szCs w:val="22"/>
          <w:rtl/>
        </w:rPr>
        <w:t>×</w:t>
      </w:r>
      <w:r w:rsidRPr="00904FCB">
        <w:rPr>
          <w:rFonts w:ascii="Times New Roman" w:hAnsi="Times New Roman"/>
          <w:sz w:val="27"/>
          <w:rtl/>
        </w:rPr>
        <w:t xml:space="preserve"> مثل</w:t>
      </w:r>
      <w:r w:rsidR="00F42370" w:rsidRPr="00904FCB">
        <w:rPr>
          <w:rFonts w:ascii="Times New Roman" w:hAnsi="Times New Roman" w:hint="cs"/>
          <w:sz w:val="27"/>
          <w:rtl/>
        </w:rPr>
        <w:t>َ</w:t>
      </w:r>
      <w:r w:rsidRPr="00904FCB">
        <w:rPr>
          <w:rFonts w:ascii="Times New Roman" w:hAnsi="Times New Roman"/>
          <w:sz w:val="27"/>
          <w:rtl/>
        </w:rPr>
        <w:t xml:space="preserve"> هذا التأثير العجيب يوم الحساب فلا حاجة بعدها لأي</w:t>
      </w:r>
      <w:r w:rsidR="00F42370" w:rsidRPr="00904FCB">
        <w:rPr>
          <w:rFonts w:ascii="Times New Roman" w:hAnsi="Times New Roman" w:hint="cs"/>
          <w:sz w:val="27"/>
          <w:rtl/>
        </w:rPr>
        <w:t>ّ</w:t>
      </w:r>
      <w:r w:rsidRPr="00904FCB">
        <w:rPr>
          <w:rFonts w:ascii="Times New Roman" w:hAnsi="Times New Roman"/>
          <w:sz w:val="27"/>
          <w:rtl/>
        </w:rPr>
        <w:t xml:space="preserve"> عمل</w:t>
      </w:r>
      <w:r w:rsidR="00F42370" w:rsidRPr="00904FCB">
        <w:rPr>
          <w:rFonts w:ascii="Times New Roman" w:hAnsi="Times New Roman" w:hint="cs"/>
          <w:sz w:val="27"/>
          <w:rtl/>
        </w:rPr>
        <w:t>.</w:t>
      </w:r>
      <w:r w:rsidRPr="00904FCB">
        <w:rPr>
          <w:rFonts w:ascii="Times New Roman" w:hAnsi="Times New Roman"/>
          <w:sz w:val="27"/>
          <w:rtl/>
        </w:rPr>
        <w:t xml:space="preserve"> ولذا نرى الشهيد مطه</w:t>
      </w:r>
      <w:r w:rsidR="00F42370" w:rsidRPr="00904FCB">
        <w:rPr>
          <w:rFonts w:ascii="Times New Roman" w:hAnsi="Times New Roman" w:hint="cs"/>
          <w:sz w:val="27"/>
          <w:rtl/>
        </w:rPr>
        <w:t>َّ</w:t>
      </w:r>
      <w:r w:rsidRPr="00904FCB">
        <w:rPr>
          <w:rFonts w:ascii="Times New Roman" w:hAnsi="Times New Roman"/>
          <w:sz w:val="27"/>
          <w:rtl/>
        </w:rPr>
        <w:t>ري يرد</w:t>
      </w:r>
      <w:r w:rsidR="00F42370" w:rsidRPr="00904FCB">
        <w:rPr>
          <w:rFonts w:ascii="Times New Roman" w:hAnsi="Times New Roman" w:hint="cs"/>
          <w:sz w:val="27"/>
          <w:rtl/>
        </w:rPr>
        <w:t>ّ</w:t>
      </w:r>
      <w:r w:rsidRPr="00904FCB">
        <w:rPr>
          <w:rFonts w:ascii="Times New Roman" w:hAnsi="Times New Roman"/>
          <w:sz w:val="27"/>
          <w:rtl/>
        </w:rPr>
        <w:t xml:space="preserve"> على هذا المنام وأمثاله</w:t>
      </w:r>
      <w:r w:rsidR="005C2177" w:rsidRPr="00904FCB">
        <w:rPr>
          <w:rFonts w:ascii="Times New Roman" w:hAnsi="Times New Roman" w:hint="cs"/>
          <w:sz w:val="27"/>
          <w:rtl/>
        </w:rPr>
        <w:t>،</w:t>
      </w:r>
      <w:r w:rsidRPr="00904FCB">
        <w:rPr>
          <w:rFonts w:ascii="Times New Roman" w:hAnsi="Times New Roman"/>
          <w:sz w:val="27"/>
          <w:rtl/>
        </w:rPr>
        <w:t xml:space="preserve"> ويعتبره من مصاديق التحريف المعنوي للثورة الحسينية</w:t>
      </w:r>
      <w:r w:rsidRPr="00904FCB">
        <w:rPr>
          <w:rFonts w:hint="cs"/>
          <w:sz w:val="27"/>
          <w:vertAlign w:val="superscript"/>
          <w:rtl/>
        </w:rPr>
        <w:t>(</w:t>
      </w:r>
      <w:r w:rsidRPr="00904FCB">
        <w:rPr>
          <w:rStyle w:val="ac"/>
          <w:sz w:val="27"/>
          <w:rtl/>
        </w:rPr>
        <w:endnoteReference w:id="546"/>
      </w:r>
      <w:r w:rsidRPr="00904FCB">
        <w:rPr>
          <w:rFonts w:hint="cs"/>
          <w:sz w:val="27"/>
          <w:vertAlign w:val="superscript"/>
          <w:rtl/>
        </w:rPr>
        <w:t>)</w:t>
      </w:r>
      <w:r w:rsidRPr="00904FCB">
        <w:rPr>
          <w:rFonts w:ascii="Times New Roman" w:hAnsi="Times New Roman" w:hint="cs"/>
          <w:sz w:val="27"/>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د ـ</w:t>
      </w:r>
      <w:r w:rsidRPr="00904FCB">
        <w:rPr>
          <w:color w:val="auto"/>
          <w:rtl/>
        </w:rPr>
        <w:t xml:space="preserve"> وسائل الإثبات القضائي</w:t>
      </w:r>
      <w:r w:rsidRPr="00904FCB">
        <w:rPr>
          <w:color w:val="auto"/>
        </w:rPr>
        <w:t>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ومن المجالات التي لا يجوز اعتماد المنام فيها: المجال القضائي، فلا يجوز إصدار الأحكام أو ات</w:t>
      </w:r>
      <w:r w:rsidR="005C2177" w:rsidRPr="00904FCB">
        <w:rPr>
          <w:rFonts w:ascii="Times New Roman" w:hAnsi="Times New Roman" w:hint="cs"/>
          <w:sz w:val="27"/>
          <w:rtl/>
        </w:rPr>
        <w:t>ّ</w:t>
      </w:r>
      <w:r w:rsidRPr="00904FCB">
        <w:rPr>
          <w:rFonts w:ascii="Times New Roman" w:hAnsi="Times New Roman"/>
          <w:sz w:val="27"/>
          <w:rtl/>
        </w:rPr>
        <w:t>هام الشهود أو تبرئة المت</w:t>
      </w:r>
      <w:r w:rsidR="005C2177" w:rsidRPr="00904FCB">
        <w:rPr>
          <w:rFonts w:ascii="Times New Roman" w:hAnsi="Times New Roman" w:hint="cs"/>
          <w:sz w:val="27"/>
          <w:rtl/>
        </w:rPr>
        <w:t>َّ</w:t>
      </w:r>
      <w:r w:rsidRPr="00904FCB">
        <w:rPr>
          <w:rFonts w:ascii="Times New Roman" w:hAnsi="Times New Roman"/>
          <w:sz w:val="27"/>
          <w:rtl/>
        </w:rPr>
        <w:t>همين على أساس الرؤى والأحلام</w:t>
      </w:r>
      <w:r w:rsidR="005C2177" w:rsidRPr="00904FCB">
        <w:rPr>
          <w:rFonts w:ascii="Times New Roman" w:hAnsi="Times New Roman" w:hint="cs"/>
          <w:sz w:val="27"/>
          <w:rtl/>
        </w:rPr>
        <w:t>.</w:t>
      </w:r>
      <w:r w:rsidRPr="00904FCB">
        <w:rPr>
          <w:rFonts w:ascii="Times New Roman" w:hAnsi="Times New Roman"/>
          <w:sz w:val="27"/>
          <w:rtl/>
        </w:rPr>
        <w:t xml:space="preserve"> فالقاضي ملزم</w:t>
      </w:r>
      <w:r w:rsidR="005C2177" w:rsidRPr="00904FCB">
        <w:rPr>
          <w:rFonts w:ascii="Times New Roman" w:hAnsi="Times New Roman" w:hint="cs"/>
          <w:sz w:val="27"/>
          <w:rtl/>
        </w:rPr>
        <w:t>ٌ</w:t>
      </w:r>
      <w:r w:rsidRPr="00904FCB">
        <w:rPr>
          <w:rFonts w:ascii="Times New Roman" w:hAnsi="Times New Roman"/>
          <w:sz w:val="27"/>
          <w:rtl/>
        </w:rPr>
        <w:t xml:space="preserve"> باعتماد المنهج النبوي الشريف في القضاء</w:t>
      </w:r>
      <w:r w:rsidR="005C2177" w:rsidRPr="00904FCB">
        <w:rPr>
          <w:rFonts w:ascii="Times New Roman" w:hAnsi="Times New Roman" w:hint="cs"/>
          <w:sz w:val="27"/>
          <w:rtl/>
        </w:rPr>
        <w:t>،</w:t>
      </w:r>
      <w:r w:rsidRPr="00904FCB">
        <w:rPr>
          <w:rFonts w:ascii="Times New Roman" w:hAnsi="Times New Roman"/>
          <w:sz w:val="27"/>
          <w:rtl/>
        </w:rPr>
        <w:t xml:space="preserve"> طبقاً لما ورد عنه</w:t>
      </w:r>
      <w:r w:rsidR="00635E51" w:rsidRPr="00904FCB">
        <w:rPr>
          <w:rFonts w:ascii="Times New Roman" w:hAnsi="Times New Roman" w:cs="Mosawi" w:hint="cs"/>
          <w:sz w:val="27"/>
          <w:szCs w:val="22"/>
          <w:rtl/>
        </w:rPr>
        <w:t>|</w:t>
      </w:r>
      <w:r w:rsidR="005C2177" w:rsidRPr="00904FCB">
        <w:rPr>
          <w:rFonts w:ascii="Times New Roman" w:hAnsi="Times New Roman" w:hint="cs"/>
          <w:sz w:val="27"/>
          <w:rtl/>
        </w:rPr>
        <w:t>:</w:t>
      </w:r>
      <w:r w:rsidRPr="00904FCB">
        <w:rPr>
          <w:rFonts w:ascii="Times New Roman" w:hAnsi="Times New Roman"/>
          <w:sz w:val="27"/>
          <w:rtl/>
        </w:rPr>
        <w:t xml:space="preserve"> </w:t>
      </w:r>
      <w:r w:rsidRPr="00904FCB">
        <w:rPr>
          <w:rFonts w:hint="eastAsia"/>
          <w:sz w:val="27"/>
          <w:rtl/>
        </w:rPr>
        <w:t>«</w:t>
      </w:r>
      <w:r w:rsidRPr="00904FCB">
        <w:rPr>
          <w:rFonts w:ascii="Times New Roman" w:hAnsi="Times New Roman"/>
          <w:sz w:val="27"/>
          <w:rtl/>
        </w:rPr>
        <w:t>إنما أحكم بينكم بالأي</w:t>
      </w:r>
      <w:r w:rsidR="005C2177" w:rsidRPr="00904FCB">
        <w:rPr>
          <w:rFonts w:ascii="Times New Roman" w:hAnsi="Times New Roman" w:hint="cs"/>
          <w:sz w:val="27"/>
          <w:rtl/>
        </w:rPr>
        <w:t>ْ</w:t>
      </w:r>
      <w:r w:rsidRPr="00904FCB">
        <w:rPr>
          <w:rFonts w:ascii="Times New Roman" w:hAnsi="Times New Roman"/>
          <w:sz w:val="27"/>
          <w:rtl/>
        </w:rPr>
        <w:t>مان والبي</w:t>
      </w:r>
      <w:r w:rsidR="005C2177" w:rsidRPr="00904FCB">
        <w:rPr>
          <w:rFonts w:ascii="Times New Roman" w:hAnsi="Times New Roman" w:hint="cs"/>
          <w:sz w:val="27"/>
          <w:rtl/>
        </w:rPr>
        <w:t>ِّ</w:t>
      </w:r>
      <w:r w:rsidRPr="00904FCB">
        <w:rPr>
          <w:rFonts w:ascii="Times New Roman" w:hAnsi="Times New Roman"/>
          <w:sz w:val="27"/>
          <w:rtl/>
        </w:rPr>
        <w:t>نات</w:t>
      </w:r>
      <w:r w:rsidRPr="00904FCB">
        <w:rPr>
          <w:rFonts w:hint="eastAsia"/>
          <w:sz w:val="27"/>
          <w:rtl/>
        </w:rPr>
        <w:t>»</w:t>
      </w:r>
      <w:r w:rsidRPr="00904FCB">
        <w:rPr>
          <w:rFonts w:hint="cs"/>
          <w:sz w:val="27"/>
          <w:vertAlign w:val="superscript"/>
          <w:rtl/>
        </w:rPr>
        <w:t>(</w:t>
      </w:r>
      <w:r w:rsidRPr="00904FCB">
        <w:rPr>
          <w:rStyle w:val="ac"/>
          <w:sz w:val="27"/>
          <w:rtl/>
        </w:rPr>
        <w:endnoteReference w:id="547"/>
      </w:r>
      <w:r w:rsidRPr="00904FCB">
        <w:rPr>
          <w:rFonts w:hint="cs"/>
          <w:sz w:val="27"/>
          <w:vertAlign w:val="superscript"/>
          <w:rtl/>
        </w:rPr>
        <w:t>)</w:t>
      </w:r>
      <w:r w:rsidR="005C2177" w:rsidRPr="00904FCB">
        <w:rPr>
          <w:rFonts w:ascii="Times New Roman" w:hAnsi="Times New Roman" w:hint="cs"/>
          <w:sz w:val="27"/>
          <w:rtl/>
        </w:rPr>
        <w:t>.</w:t>
      </w:r>
      <w:r w:rsidRPr="00904FCB">
        <w:rPr>
          <w:rFonts w:ascii="Times New Roman" w:hAnsi="Times New Roman"/>
          <w:sz w:val="27"/>
          <w:rtl/>
        </w:rPr>
        <w:t xml:space="preserve"> فإذا قُتل شخص</w:t>
      </w:r>
      <w:r w:rsidR="005C2177" w:rsidRPr="00904FCB">
        <w:rPr>
          <w:rFonts w:ascii="Times New Roman" w:hAnsi="Times New Roman" w:hint="cs"/>
          <w:sz w:val="27"/>
          <w:rtl/>
        </w:rPr>
        <w:t>ٌ،</w:t>
      </w:r>
      <w:r w:rsidRPr="00904FCB">
        <w:rPr>
          <w:rFonts w:ascii="Times New Roman" w:hAnsi="Times New Roman"/>
          <w:sz w:val="27"/>
          <w:rtl/>
        </w:rPr>
        <w:t xml:space="preserve"> ولم يُعر</w:t>
      </w:r>
      <w:r w:rsidR="005C2177" w:rsidRPr="00904FCB">
        <w:rPr>
          <w:rFonts w:ascii="Times New Roman" w:hAnsi="Times New Roman" w:hint="cs"/>
          <w:sz w:val="27"/>
          <w:rtl/>
        </w:rPr>
        <w:t>َ</w:t>
      </w:r>
      <w:r w:rsidRPr="00904FCB">
        <w:rPr>
          <w:rFonts w:ascii="Times New Roman" w:hAnsi="Times New Roman"/>
          <w:sz w:val="27"/>
          <w:rtl/>
        </w:rPr>
        <w:t>ف قاتله، إلاّ أنّ ابنه ـ مثلاً ـ رآه في المنام وهو يخبره بأنّ فلاناً هو الذي قتلني، فلا يجوز له</w:t>
      </w:r>
      <w:r w:rsidR="005C2177" w:rsidRPr="00904FCB">
        <w:rPr>
          <w:rFonts w:ascii="Times New Roman" w:hAnsi="Times New Roman" w:hint="cs"/>
          <w:sz w:val="27"/>
          <w:rtl/>
        </w:rPr>
        <w:t>،</w:t>
      </w:r>
      <w:r w:rsidRPr="00904FCB">
        <w:rPr>
          <w:rFonts w:ascii="Times New Roman" w:hAnsi="Times New Roman"/>
          <w:sz w:val="27"/>
          <w:rtl/>
        </w:rPr>
        <w:t xml:space="preserve"> ولا للقاضي</w:t>
      </w:r>
      <w:r w:rsidR="005C2177" w:rsidRPr="00904FCB">
        <w:rPr>
          <w:rFonts w:ascii="Times New Roman" w:hAnsi="Times New Roman" w:hint="cs"/>
          <w:sz w:val="27"/>
          <w:rtl/>
        </w:rPr>
        <w:t>،</w:t>
      </w:r>
      <w:r w:rsidRPr="00904FCB">
        <w:rPr>
          <w:rFonts w:ascii="Times New Roman" w:hAnsi="Times New Roman"/>
          <w:sz w:val="27"/>
          <w:rtl/>
        </w:rPr>
        <w:t xml:space="preserve"> التعويل على هذا المنام</w:t>
      </w:r>
      <w:r w:rsidR="005C2177" w:rsidRPr="00904FCB">
        <w:rPr>
          <w:rFonts w:ascii="Times New Roman" w:hAnsi="Times New Roman" w:hint="cs"/>
          <w:sz w:val="27"/>
          <w:rtl/>
        </w:rPr>
        <w:t>،</w:t>
      </w:r>
      <w:r w:rsidRPr="00904FCB">
        <w:rPr>
          <w:rFonts w:ascii="Times New Roman" w:hAnsi="Times New Roman"/>
          <w:sz w:val="27"/>
          <w:rtl/>
        </w:rPr>
        <w:t xml:space="preserve"> وترتيب الأثر عليه شرعاً، حت</w:t>
      </w:r>
      <w:r w:rsidR="005C2177" w:rsidRPr="00904FCB">
        <w:rPr>
          <w:rFonts w:ascii="Times New Roman" w:hAnsi="Times New Roman" w:hint="cs"/>
          <w:sz w:val="27"/>
          <w:rtl/>
        </w:rPr>
        <w:t>ّ</w:t>
      </w:r>
      <w:r w:rsidRPr="00904FCB">
        <w:rPr>
          <w:rFonts w:ascii="Times New Roman" w:hAnsi="Times New Roman"/>
          <w:sz w:val="27"/>
          <w:rtl/>
        </w:rPr>
        <w:t>ى لو كان الرائي هو القاضي نفسه</w:t>
      </w:r>
      <w:r w:rsidR="005C2177" w:rsidRPr="00904FCB">
        <w:rPr>
          <w:rFonts w:ascii="Times New Roman" w:hAnsi="Times New Roman" w:hint="cs"/>
          <w:sz w:val="27"/>
          <w:rtl/>
        </w:rPr>
        <w:t xml:space="preserve">، </w:t>
      </w:r>
      <w:r w:rsidRPr="00904FCB">
        <w:rPr>
          <w:rFonts w:ascii="Times New Roman" w:hAnsi="Times New Roman"/>
          <w:sz w:val="27"/>
          <w:rtl/>
        </w:rPr>
        <w:t>وحت</w:t>
      </w:r>
      <w:r w:rsidR="005C2177" w:rsidRPr="00904FCB">
        <w:rPr>
          <w:rFonts w:ascii="Times New Roman" w:hAnsi="Times New Roman" w:hint="cs"/>
          <w:sz w:val="27"/>
          <w:rtl/>
        </w:rPr>
        <w:t>ّ</w:t>
      </w:r>
      <w:r w:rsidRPr="00904FCB">
        <w:rPr>
          <w:rFonts w:ascii="Times New Roman" w:hAnsi="Times New Roman"/>
          <w:sz w:val="27"/>
          <w:rtl/>
        </w:rPr>
        <w:t>ى لو تكر</w:t>
      </w:r>
      <w:r w:rsidR="005C2177" w:rsidRPr="00904FCB">
        <w:rPr>
          <w:rFonts w:ascii="Times New Roman" w:hAnsi="Times New Roman" w:hint="cs"/>
          <w:sz w:val="27"/>
          <w:rtl/>
        </w:rPr>
        <w:t>َّ</w:t>
      </w:r>
      <w:r w:rsidRPr="00904FCB">
        <w:rPr>
          <w:rFonts w:ascii="Times New Roman" w:hAnsi="Times New Roman"/>
          <w:sz w:val="27"/>
          <w:rtl/>
        </w:rPr>
        <w:t>رت رؤية المنام لأكثر من مر</w:t>
      </w:r>
      <w:r w:rsidR="005C2177" w:rsidRPr="00904FCB">
        <w:rPr>
          <w:rFonts w:ascii="Times New Roman" w:hAnsi="Times New Roman" w:hint="cs"/>
          <w:sz w:val="27"/>
          <w:rtl/>
        </w:rPr>
        <w:t>ّ</w:t>
      </w:r>
      <w:r w:rsidRPr="00904FCB">
        <w:rPr>
          <w:rFonts w:ascii="Times New Roman" w:hAnsi="Times New Roman"/>
          <w:sz w:val="27"/>
          <w:rtl/>
        </w:rPr>
        <w:t>ة</w:t>
      </w:r>
      <w:r w:rsidR="005C2177" w:rsidRPr="00904FCB">
        <w:rPr>
          <w:rFonts w:ascii="Times New Roman" w:hAnsi="Times New Roman" w:hint="cs"/>
          <w:sz w:val="27"/>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وهكذا لا يجوز لك ات</w:t>
      </w:r>
      <w:r w:rsidR="005C2177" w:rsidRPr="00904FCB">
        <w:rPr>
          <w:rFonts w:ascii="Times New Roman" w:hAnsi="Times New Roman" w:hint="cs"/>
          <w:sz w:val="27"/>
          <w:rtl/>
        </w:rPr>
        <w:t>ّ</w:t>
      </w:r>
      <w:r w:rsidRPr="00904FCB">
        <w:rPr>
          <w:rFonts w:ascii="Times New Roman" w:hAnsi="Times New Roman"/>
          <w:sz w:val="27"/>
          <w:rtl/>
        </w:rPr>
        <w:t>هام الآخرين على أساس المنام</w:t>
      </w:r>
      <w:r w:rsidR="005C2177" w:rsidRPr="00904FCB">
        <w:rPr>
          <w:rFonts w:ascii="Times New Roman" w:hAnsi="Times New Roman" w:hint="cs"/>
          <w:sz w:val="27"/>
          <w:rtl/>
        </w:rPr>
        <w:t>.</w:t>
      </w:r>
      <w:r w:rsidRPr="00904FCB">
        <w:rPr>
          <w:rFonts w:ascii="Times New Roman" w:hAnsi="Times New Roman"/>
          <w:sz w:val="27"/>
          <w:rtl/>
        </w:rPr>
        <w:t xml:space="preserve"> فلو س</w:t>
      </w:r>
      <w:r w:rsidR="005C2177" w:rsidRPr="00904FCB">
        <w:rPr>
          <w:rFonts w:ascii="Times New Roman" w:hAnsi="Times New Roman" w:hint="cs"/>
          <w:sz w:val="27"/>
          <w:rtl/>
        </w:rPr>
        <w:t>ُ</w:t>
      </w:r>
      <w:r w:rsidRPr="00904FCB">
        <w:rPr>
          <w:rFonts w:ascii="Times New Roman" w:hAnsi="Times New Roman"/>
          <w:sz w:val="27"/>
          <w:rtl/>
        </w:rPr>
        <w:t>رق لك متاع، ورأيت في المنام م</w:t>
      </w:r>
      <w:r w:rsidR="005C2177" w:rsidRPr="00904FCB">
        <w:rPr>
          <w:rFonts w:ascii="Times New Roman" w:hAnsi="Times New Roman" w:hint="cs"/>
          <w:sz w:val="27"/>
          <w:rtl/>
        </w:rPr>
        <w:t>َ</w:t>
      </w:r>
      <w:r w:rsidRPr="00904FCB">
        <w:rPr>
          <w:rFonts w:ascii="Times New Roman" w:hAnsi="Times New Roman"/>
          <w:sz w:val="27"/>
          <w:rtl/>
        </w:rPr>
        <w:t>ن</w:t>
      </w:r>
      <w:r w:rsidR="005C2177" w:rsidRPr="00904FCB">
        <w:rPr>
          <w:rFonts w:ascii="Times New Roman" w:hAnsi="Times New Roman" w:hint="cs"/>
          <w:sz w:val="27"/>
          <w:rtl/>
        </w:rPr>
        <w:t>ْ</w:t>
      </w:r>
      <w:r w:rsidRPr="00904FCB">
        <w:rPr>
          <w:rFonts w:ascii="Times New Roman" w:hAnsi="Times New Roman"/>
          <w:sz w:val="27"/>
          <w:rtl/>
        </w:rPr>
        <w:t xml:space="preserve"> يخبرك أنّ فلاناً هو السارق</w:t>
      </w:r>
      <w:r w:rsidR="005C2177" w:rsidRPr="00904FCB">
        <w:rPr>
          <w:rFonts w:ascii="Times New Roman" w:hAnsi="Times New Roman" w:hint="cs"/>
          <w:sz w:val="27"/>
          <w:rtl/>
        </w:rPr>
        <w:t>،</w:t>
      </w:r>
      <w:r w:rsidRPr="00904FCB">
        <w:rPr>
          <w:rFonts w:ascii="Times New Roman" w:hAnsi="Times New Roman"/>
          <w:sz w:val="27"/>
          <w:rtl/>
        </w:rPr>
        <w:t xml:space="preserve"> فلا يجوز لك </w:t>
      </w:r>
      <w:r w:rsidRPr="00904FCB">
        <w:rPr>
          <w:rFonts w:ascii="Times New Roman" w:hAnsi="Times New Roman" w:hint="cs"/>
          <w:sz w:val="27"/>
          <w:rtl/>
        </w:rPr>
        <w:t>ا</w:t>
      </w:r>
      <w:r w:rsidRPr="00904FCB">
        <w:rPr>
          <w:rFonts w:ascii="Times New Roman" w:hAnsi="Times New Roman"/>
          <w:sz w:val="27"/>
          <w:rtl/>
        </w:rPr>
        <w:t>ت</w:t>
      </w:r>
      <w:r w:rsidR="005C2177" w:rsidRPr="00904FCB">
        <w:rPr>
          <w:rFonts w:ascii="Times New Roman" w:hAnsi="Times New Roman" w:hint="cs"/>
          <w:sz w:val="27"/>
          <w:rtl/>
        </w:rPr>
        <w:t>ّ</w:t>
      </w:r>
      <w:r w:rsidRPr="00904FCB">
        <w:rPr>
          <w:rFonts w:ascii="Times New Roman" w:hAnsi="Times New Roman"/>
          <w:sz w:val="27"/>
          <w:rtl/>
        </w:rPr>
        <w:t>هامه ورميه بالسرقة</w:t>
      </w:r>
      <w:r w:rsidR="005C2177" w:rsidRPr="00904FCB">
        <w:rPr>
          <w:rFonts w:ascii="Times New Roman" w:hAnsi="Times New Roman" w:hint="cs"/>
          <w:sz w:val="27"/>
          <w:rtl/>
        </w:rPr>
        <w:t>.</w:t>
      </w:r>
      <w:r w:rsidRPr="00904FCB">
        <w:rPr>
          <w:rFonts w:ascii="Times New Roman" w:hAnsi="Times New Roman"/>
          <w:sz w:val="27"/>
          <w:rtl/>
        </w:rPr>
        <w:t xml:space="preserve"> وهكذا لا يجوز للزوج رمي زوجته بالخيانة الزوجي</w:t>
      </w:r>
      <w:r w:rsidR="005C2177" w:rsidRPr="00904FCB">
        <w:rPr>
          <w:rFonts w:ascii="Times New Roman" w:hAnsi="Times New Roman" w:hint="cs"/>
          <w:sz w:val="27"/>
          <w:rtl/>
        </w:rPr>
        <w:t>ّ</w:t>
      </w:r>
      <w:r w:rsidRPr="00904FCB">
        <w:rPr>
          <w:rFonts w:ascii="Times New Roman" w:hAnsi="Times New Roman"/>
          <w:sz w:val="27"/>
          <w:rtl/>
        </w:rPr>
        <w:t xml:space="preserve">ة، استناداً إلى أنّه رآها هو أو غيره في المنام وهي تخونه.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هـ ـ</w:t>
      </w:r>
      <w:r w:rsidRPr="00904FCB">
        <w:rPr>
          <w:color w:val="auto"/>
          <w:rtl/>
        </w:rPr>
        <w:t xml:space="preserve"> إثبات الن</w:t>
      </w:r>
      <w:r w:rsidR="005C2177" w:rsidRPr="00904FCB">
        <w:rPr>
          <w:rFonts w:hint="cs"/>
          <w:color w:val="auto"/>
          <w:rtl/>
        </w:rPr>
        <w:t>َّ</w:t>
      </w:r>
      <w:r w:rsidRPr="00904FCB">
        <w:rPr>
          <w:color w:val="auto"/>
          <w:rtl/>
        </w:rPr>
        <w:t>س</w:t>
      </w:r>
      <w:r w:rsidR="005C2177" w:rsidRPr="00904FCB">
        <w:rPr>
          <w:rFonts w:hint="cs"/>
          <w:color w:val="auto"/>
          <w:rtl/>
        </w:rPr>
        <w:t>َ</w:t>
      </w:r>
      <w:r w:rsidRPr="00904FCB">
        <w:rPr>
          <w:color w:val="auto"/>
          <w:rtl/>
        </w:rPr>
        <w:t>ب</w:t>
      </w:r>
    </w:p>
    <w:p w:rsidR="00057E24" w:rsidRPr="00904FCB" w:rsidRDefault="00057E24" w:rsidP="00E66798">
      <w:pPr>
        <w:spacing w:line="400" w:lineRule="exact"/>
        <w:rPr>
          <w:rFonts w:ascii="Times New Roman" w:hAnsi="Times New Roman"/>
          <w:sz w:val="27"/>
        </w:rPr>
      </w:pPr>
      <w:r w:rsidRPr="00904FCB">
        <w:rPr>
          <w:rFonts w:ascii="Times New Roman" w:hAnsi="Times New Roman"/>
          <w:sz w:val="27"/>
          <w:rtl/>
        </w:rPr>
        <w:t xml:space="preserve"> ولا يمكن الاعتماد على الأحلام في إثبات النسب</w:t>
      </w:r>
      <w:r w:rsidR="00C13708" w:rsidRPr="00904FCB">
        <w:rPr>
          <w:rFonts w:ascii="Times New Roman" w:hAnsi="Times New Roman" w:hint="cs"/>
          <w:sz w:val="27"/>
          <w:rtl/>
        </w:rPr>
        <w:t>.</w:t>
      </w:r>
      <w:r w:rsidRPr="00904FCB">
        <w:rPr>
          <w:rFonts w:ascii="Times New Roman" w:hAnsi="Times New Roman"/>
          <w:sz w:val="27"/>
          <w:rtl/>
        </w:rPr>
        <w:t xml:space="preserve"> فإذا رأى رجل</w:t>
      </w:r>
      <w:r w:rsidR="00C13708" w:rsidRPr="00904FCB">
        <w:rPr>
          <w:rFonts w:ascii="Times New Roman" w:hAnsi="Times New Roman" w:hint="cs"/>
          <w:sz w:val="27"/>
          <w:rtl/>
        </w:rPr>
        <w:t>ٌ</w:t>
      </w:r>
      <w:r w:rsidRPr="00904FCB">
        <w:rPr>
          <w:rFonts w:ascii="Times New Roman" w:hAnsi="Times New Roman"/>
          <w:sz w:val="27"/>
          <w:rtl/>
        </w:rPr>
        <w:t xml:space="preserve"> في المنام أنّه يُسلّ</w:t>
      </w:r>
      <w:r w:rsidR="00C13708" w:rsidRPr="00904FCB">
        <w:rPr>
          <w:rFonts w:ascii="Times New Roman" w:hAnsi="Times New Roman" w:hint="cs"/>
          <w:sz w:val="27"/>
          <w:rtl/>
        </w:rPr>
        <w:t>ِ</w:t>
      </w:r>
      <w:r w:rsidRPr="00904FCB">
        <w:rPr>
          <w:rFonts w:ascii="Times New Roman" w:hAnsi="Times New Roman"/>
          <w:sz w:val="27"/>
          <w:rtl/>
        </w:rPr>
        <w:t>م على السيدة الزهراء</w:t>
      </w:r>
      <w:r w:rsidR="00E66798" w:rsidRPr="00E66798">
        <w:rPr>
          <w:rFonts w:ascii="Mosawi" w:hAnsi="Mosawi" w:cs="Mosawi"/>
          <w:sz w:val="22"/>
          <w:szCs w:val="22"/>
        </w:rPr>
        <w:t>÷</w:t>
      </w:r>
      <w:r w:rsidRPr="00904FCB">
        <w:rPr>
          <w:rFonts w:ascii="Times New Roman" w:hAnsi="Times New Roman"/>
          <w:sz w:val="27"/>
          <w:rtl/>
        </w:rPr>
        <w:t xml:space="preserve"> فلا يمكنه أن يستنتج من ذلك أنّه </w:t>
      </w:r>
      <w:r w:rsidRPr="00904FCB">
        <w:rPr>
          <w:rFonts w:hint="eastAsia"/>
          <w:sz w:val="27"/>
          <w:rtl/>
        </w:rPr>
        <w:t>«</w:t>
      </w:r>
      <w:r w:rsidRPr="00904FCB">
        <w:rPr>
          <w:rFonts w:ascii="Times New Roman" w:hAnsi="Times New Roman"/>
          <w:sz w:val="27"/>
          <w:rtl/>
        </w:rPr>
        <w:t>سي</w:t>
      </w:r>
      <w:r w:rsidR="00C13708" w:rsidRPr="00904FCB">
        <w:rPr>
          <w:rFonts w:ascii="Times New Roman" w:hAnsi="Times New Roman" w:hint="cs"/>
          <w:sz w:val="27"/>
          <w:rtl/>
        </w:rPr>
        <w:t>ِّ</w:t>
      </w:r>
      <w:r w:rsidRPr="00904FCB">
        <w:rPr>
          <w:rFonts w:ascii="Times New Roman" w:hAnsi="Times New Roman"/>
          <w:sz w:val="27"/>
          <w:rtl/>
        </w:rPr>
        <w:t>د</w:t>
      </w:r>
      <w:r w:rsidR="00C13708" w:rsidRPr="00904FCB">
        <w:rPr>
          <w:rFonts w:ascii="Times New Roman" w:hAnsi="Times New Roman" w:hint="cs"/>
          <w:sz w:val="27"/>
          <w:rtl/>
        </w:rPr>
        <w:t>ٌ</w:t>
      </w:r>
      <w:r w:rsidRPr="00904FCB">
        <w:rPr>
          <w:rFonts w:hint="eastAsia"/>
          <w:sz w:val="27"/>
          <w:rtl/>
        </w:rPr>
        <w:t>»</w:t>
      </w:r>
      <w:r w:rsidR="00C13708" w:rsidRPr="00904FCB">
        <w:rPr>
          <w:rFonts w:hint="cs"/>
          <w:sz w:val="27"/>
          <w:rtl/>
        </w:rPr>
        <w:t>،</w:t>
      </w:r>
      <w:r w:rsidRPr="00904FCB">
        <w:rPr>
          <w:rFonts w:ascii="Times New Roman" w:hAnsi="Times New Roman"/>
          <w:sz w:val="27"/>
          <w:rtl/>
        </w:rPr>
        <w:t xml:space="preserve"> ومن نسل رسول الله</w:t>
      </w:r>
      <w:r w:rsidR="00635E51" w:rsidRPr="00904FCB">
        <w:rPr>
          <w:rFonts w:ascii="Times New Roman" w:hAnsi="Times New Roman" w:cs="Mosawi"/>
          <w:sz w:val="27"/>
          <w:szCs w:val="22"/>
          <w:rtl/>
        </w:rPr>
        <w:t>|</w:t>
      </w:r>
      <w:r w:rsidR="00C13708" w:rsidRPr="00904FCB">
        <w:rPr>
          <w:rFonts w:ascii="Times New Roman" w:hAnsi="Times New Roman" w:hint="cs"/>
          <w:sz w:val="27"/>
          <w:rtl/>
        </w:rPr>
        <w:t>.</w:t>
      </w:r>
      <w:r w:rsidRPr="00904FCB">
        <w:rPr>
          <w:rFonts w:ascii="Times New Roman" w:hAnsi="Times New Roman"/>
          <w:sz w:val="27"/>
          <w:rtl/>
        </w:rPr>
        <w:t xml:space="preserve"> وهكذا لو رأ</w:t>
      </w:r>
      <w:r w:rsidR="00C13708" w:rsidRPr="00904FCB">
        <w:rPr>
          <w:rFonts w:ascii="Times New Roman" w:hAnsi="Times New Roman" w:hint="cs"/>
          <w:sz w:val="27"/>
          <w:rtl/>
        </w:rPr>
        <w:t>َ</w:t>
      </w:r>
      <w:r w:rsidRPr="00904FCB">
        <w:rPr>
          <w:rFonts w:ascii="Times New Roman" w:hAnsi="Times New Roman"/>
          <w:sz w:val="27"/>
          <w:rtl/>
        </w:rPr>
        <w:t>ت</w:t>
      </w:r>
      <w:r w:rsidR="00C13708" w:rsidRPr="00904FCB">
        <w:rPr>
          <w:rFonts w:ascii="Times New Roman" w:hAnsi="Times New Roman" w:hint="cs"/>
          <w:sz w:val="27"/>
          <w:rtl/>
        </w:rPr>
        <w:t>ْ</w:t>
      </w:r>
      <w:r w:rsidRPr="00904FCB">
        <w:rPr>
          <w:rFonts w:ascii="Times New Roman" w:hAnsi="Times New Roman"/>
          <w:sz w:val="27"/>
          <w:rtl/>
        </w:rPr>
        <w:t xml:space="preserve"> المرأة أنّها تسل</w:t>
      </w:r>
      <w:r w:rsidR="00C13708" w:rsidRPr="00904FCB">
        <w:rPr>
          <w:rFonts w:ascii="Times New Roman" w:hAnsi="Times New Roman" w:hint="cs"/>
          <w:sz w:val="27"/>
          <w:rtl/>
        </w:rPr>
        <w:t>ِّ</w:t>
      </w:r>
      <w:r w:rsidRPr="00904FCB">
        <w:rPr>
          <w:rFonts w:ascii="Times New Roman" w:hAnsi="Times New Roman"/>
          <w:sz w:val="27"/>
          <w:rtl/>
        </w:rPr>
        <w:t>م على رسول الله</w:t>
      </w:r>
      <w:r w:rsidR="00635E51" w:rsidRPr="00904FCB">
        <w:rPr>
          <w:rFonts w:ascii="Times New Roman" w:hAnsi="Times New Roman" w:cs="Mosawi"/>
          <w:sz w:val="27"/>
          <w:szCs w:val="22"/>
          <w:rtl/>
        </w:rPr>
        <w:t>|</w:t>
      </w:r>
      <w:r w:rsidRPr="00904FCB">
        <w:rPr>
          <w:rFonts w:ascii="Times New Roman" w:hAnsi="Times New Roman"/>
          <w:sz w:val="27"/>
          <w:rtl/>
        </w:rPr>
        <w:t xml:space="preserve">، فلا يجوز لها أن </w:t>
      </w:r>
      <w:r w:rsidRPr="00904FCB">
        <w:rPr>
          <w:rFonts w:ascii="Times New Roman" w:hAnsi="Times New Roman"/>
          <w:sz w:val="27"/>
          <w:rtl/>
        </w:rPr>
        <w:lastRenderedPageBreak/>
        <w:t>تستنج أنها من نسل النبي</w:t>
      </w:r>
      <w:r w:rsidR="00C13708" w:rsidRPr="00904FCB">
        <w:rPr>
          <w:rFonts w:ascii="Times New Roman" w:hAnsi="Times New Roman" w:hint="cs"/>
          <w:sz w:val="27"/>
          <w:rtl/>
        </w:rPr>
        <w:t>ّ</w:t>
      </w:r>
      <w:r w:rsidR="00635E51" w:rsidRPr="00904FCB">
        <w:rPr>
          <w:rFonts w:ascii="Times New Roman" w:hAnsi="Times New Roman" w:cs="Mosawi"/>
          <w:sz w:val="27"/>
          <w:szCs w:val="22"/>
          <w:rtl/>
        </w:rPr>
        <w:t>|</w:t>
      </w:r>
      <w:r w:rsidR="00C13708" w:rsidRPr="00904FCB">
        <w:rPr>
          <w:rFonts w:ascii="Times New Roman" w:hAnsi="Times New Roman" w:hint="cs"/>
          <w:sz w:val="27"/>
          <w:rtl/>
        </w:rPr>
        <w:t>؛</w:t>
      </w:r>
      <w:r w:rsidRPr="00904FCB">
        <w:rPr>
          <w:rFonts w:ascii="Times New Roman" w:hAnsi="Times New Roman"/>
          <w:sz w:val="27"/>
          <w:rtl/>
        </w:rPr>
        <w:t xml:space="preserve"> لأنّ وسائل إثبات الن</w:t>
      </w:r>
      <w:r w:rsidR="00C13708" w:rsidRPr="00904FCB">
        <w:rPr>
          <w:rFonts w:ascii="Times New Roman" w:hAnsi="Times New Roman" w:hint="cs"/>
          <w:sz w:val="27"/>
          <w:rtl/>
        </w:rPr>
        <w:t>َّ</w:t>
      </w:r>
      <w:r w:rsidRPr="00904FCB">
        <w:rPr>
          <w:rFonts w:ascii="Times New Roman" w:hAnsi="Times New Roman"/>
          <w:sz w:val="27"/>
          <w:rtl/>
        </w:rPr>
        <w:t>س</w:t>
      </w:r>
      <w:r w:rsidR="00C13708" w:rsidRPr="00904FCB">
        <w:rPr>
          <w:rFonts w:ascii="Times New Roman" w:hAnsi="Times New Roman" w:hint="cs"/>
          <w:sz w:val="27"/>
          <w:rtl/>
        </w:rPr>
        <w:t>َ</w:t>
      </w:r>
      <w:r w:rsidRPr="00904FCB">
        <w:rPr>
          <w:rFonts w:ascii="Times New Roman" w:hAnsi="Times New Roman"/>
          <w:sz w:val="27"/>
          <w:rtl/>
        </w:rPr>
        <w:t>ب معروفة، والمنام ليس منها</w:t>
      </w:r>
      <w:r w:rsidR="00C13708" w:rsidRPr="00904FCB">
        <w:rPr>
          <w:rFonts w:ascii="Times New Roman" w:hAnsi="Times New Roman" w:hint="cs"/>
          <w:sz w:val="27"/>
          <w:rtl/>
        </w:rPr>
        <w:t>،</w:t>
      </w:r>
      <w:r w:rsidRPr="00904FCB">
        <w:rPr>
          <w:rFonts w:ascii="Times New Roman" w:hAnsi="Times New Roman"/>
          <w:sz w:val="27"/>
          <w:rtl/>
        </w:rPr>
        <w:t xml:space="preserve"> حت</w:t>
      </w:r>
      <w:r w:rsidR="00C13708" w:rsidRPr="00904FCB">
        <w:rPr>
          <w:rFonts w:ascii="Times New Roman" w:hAnsi="Times New Roman" w:hint="cs"/>
          <w:sz w:val="27"/>
          <w:rtl/>
        </w:rPr>
        <w:t>ّ</w:t>
      </w:r>
      <w:r w:rsidRPr="00904FCB">
        <w:rPr>
          <w:rFonts w:ascii="Times New Roman" w:hAnsi="Times New Roman"/>
          <w:sz w:val="27"/>
          <w:rtl/>
        </w:rPr>
        <w:t>ى لو أفاد اليقين</w:t>
      </w:r>
      <w:r w:rsidR="00C13708" w:rsidRPr="00904FCB">
        <w:rPr>
          <w:rFonts w:ascii="Times New Roman" w:hAnsi="Times New Roman" w:hint="cs"/>
          <w:sz w:val="27"/>
          <w:rtl/>
        </w:rPr>
        <w:t>.</w:t>
      </w:r>
      <w:r w:rsidRPr="00904FCB">
        <w:rPr>
          <w:rFonts w:ascii="Times New Roman" w:hAnsi="Times New Roman"/>
          <w:sz w:val="27"/>
          <w:rtl/>
        </w:rPr>
        <w:t xml:space="preserve"> ويكفي دليلاً على عدم الحج</w:t>
      </w:r>
      <w:r w:rsidR="00C13708" w:rsidRPr="00904FCB">
        <w:rPr>
          <w:rFonts w:ascii="Times New Roman" w:hAnsi="Times New Roman" w:hint="cs"/>
          <w:sz w:val="27"/>
          <w:rtl/>
        </w:rPr>
        <w:t>ّ</w:t>
      </w:r>
      <w:r w:rsidRPr="00904FCB">
        <w:rPr>
          <w:rFonts w:ascii="Times New Roman" w:hAnsi="Times New Roman"/>
          <w:sz w:val="27"/>
          <w:rtl/>
        </w:rPr>
        <w:t>ية في المقام فقد الدليل على الحج</w:t>
      </w:r>
      <w:r w:rsidR="00C13708" w:rsidRPr="00904FCB">
        <w:rPr>
          <w:rFonts w:ascii="Times New Roman" w:hAnsi="Times New Roman" w:hint="cs"/>
          <w:sz w:val="27"/>
          <w:rtl/>
        </w:rPr>
        <w:t>ّ</w:t>
      </w:r>
      <w:r w:rsidRPr="00904FCB">
        <w:rPr>
          <w:rFonts w:ascii="Times New Roman" w:hAnsi="Times New Roman"/>
          <w:sz w:val="27"/>
          <w:rtl/>
        </w:rPr>
        <w:t>ية، تماماً كما أنّ علم الر</w:t>
      </w:r>
      <w:r w:rsidR="003F23CD">
        <w:rPr>
          <w:rFonts w:ascii="Times New Roman" w:hAnsi="Times New Roman" w:hint="cs"/>
          <w:sz w:val="27"/>
          <w:rtl/>
        </w:rPr>
        <w:t>َّ</w:t>
      </w:r>
      <w:r w:rsidRPr="00904FCB">
        <w:rPr>
          <w:rFonts w:ascii="Times New Roman" w:hAnsi="Times New Roman"/>
          <w:sz w:val="27"/>
          <w:rtl/>
        </w:rPr>
        <w:t>م</w:t>
      </w:r>
      <w:r w:rsidR="003F23CD">
        <w:rPr>
          <w:rFonts w:ascii="Times New Roman" w:hAnsi="Times New Roman" w:hint="cs"/>
          <w:sz w:val="27"/>
          <w:rtl/>
        </w:rPr>
        <w:t>ْ</w:t>
      </w:r>
      <w:r w:rsidRPr="00904FCB">
        <w:rPr>
          <w:rFonts w:ascii="Times New Roman" w:hAnsi="Times New Roman"/>
          <w:sz w:val="27"/>
          <w:rtl/>
        </w:rPr>
        <w:t>ل أو الج</w:t>
      </w:r>
      <w:r w:rsidR="00C13708" w:rsidRPr="00904FCB">
        <w:rPr>
          <w:rFonts w:ascii="Times New Roman" w:hAnsi="Times New Roman" w:hint="cs"/>
          <w:sz w:val="27"/>
          <w:rtl/>
        </w:rPr>
        <w:t>َ</w:t>
      </w:r>
      <w:r w:rsidRPr="00904FCB">
        <w:rPr>
          <w:rFonts w:ascii="Times New Roman" w:hAnsi="Times New Roman"/>
          <w:sz w:val="27"/>
          <w:rtl/>
        </w:rPr>
        <w:t>ف</w:t>
      </w:r>
      <w:r w:rsidR="00C13708" w:rsidRPr="00904FCB">
        <w:rPr>
          <w:rFonts w:ascii="Times New Roman" w:hAnsi="Times New Roman" w:hint="cs"/>
          <w:sz w:val="27"/>
          <w:rtl/>
        </w:rPr>
        <w:t>ْ</w:t>
      </w:r>
      <w:r w:rsidRPr="00904FCB">
        <w:rPr>
          <w:rFonts w:ascii="Times New Roman" w:hAnsi="Times New Roman"/>
          <w:sz w:val="27"/>
          <w:rtl/>
        </w:rPr>
        <w:t>ر أو نحوها من العلوم الغريبة ليست حج</w:t>
      </w:r>
      <w:r w:rsidR="00C13708" w:rsidRPr="00904FCB">
        <w:rPr>
          <w:rFonts w:ascii="Times New Roman" w:hAnsi="Times New Roman" w:hint="cs"/>
          <w:sz w:val="27"/>
          <w:rtl/>
        </w:rPr>
        <w:t>ّ</w:t>
      </w:r>
      <w:r w:rsidRPr="00904FCB">
        <w:rPr>
          <w:rFonts w:ascii="Times New Roman" w:hAnsi="Times New Roman"/>
          <w:sz w:val="27"/>
          <w:rtl/>
        </w:rPr>
        <w:t>ة</w:t>
      </w:r>
      <w:r w:rsidR="00C13708" w:rsidRPr="00904FCB">
        <w:rPr>
          <w:rFonts w:ascii="Times New Roman" w:hAnsi="Times New Roman" w:hint="cs"/>
          <w:sz w:val="27"/>
          <w:rtl/>
        </w:rPr>
        <w:t>ً</w:t>
      </w:r>
      <w:r w:rsidRPr="00904FCB">
        <w:rPr>
          <w:rFonts w:ascii="Times New Roman" w:hAnsi="Times New Roman"/>
          <w:sz w:val="27"/>
          <w:rtl/>
        </w:rPr>
        <w:t xml:space="preserve"> في هذه المجالات.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وـ</w:t>
      </w:r>
      <w:r w:rsidRPr="00904FCB">
        <w:rPr>
          <w:color w:val="auto"/>
          <w:rtl/>
        </w:rPr>
        <w:t xml:space="preserve"> بناء المقامات الديني</w:t>
      </w:r>
      <w:r w:rsidR="00C13708" w:rsidRPr="00904FCB">
        <w:rPr>
          <w:rFonts w:hint="cs"/>
          <w:color w:val="auto"/>
          <w:rtl/>
        </w:rPr>
        <w:t>ّ</w:t>
      </w:r>
      <w:r w:rsidRPr="00904FCB">
        <w:rPr>
          <w:color w:val="auto"/>
          <w:rtl/>
        </w:rPr>
        <w:t>ة</w:t>
      </w:r>
    </w:p>
    <w:p w:rsidR="00057E24" w:rsidRPr="00904FCB" w:rsidRDefault="00057E24" w:rsidP="00510A75">
      <w:pPr>
        <w:spacing w:line="400" w:lineRule="exact"/>
        <w:rPr>
          <w:rFonts w:ascii="Times New Roman" w:hAnsi="Times New Roman"/>
          <w:sz w:val="27"/>
        </w:rPr>
      </w:pPr>
      <w:r w:rsidRPr="00904FCB">
        <w:rPr>
          <w:rFonts w:ascii="Times New Roman" w:hAnsi="Times New Roman"/>
          <w:sz w:val="27"/>
          <w:rtl/>
        </w:rPr>
        <w:t xml:space="preserve"> وهكذا لا يمكن الاستناد إلى الأحلام والمنامات في بناء المقامات الديني</w:t>
      </w:r>
      <w:r w:rsidR="00C13708" w:rsidRPr="00904FCB">
        <w:rPr>
          <w:rFonts w:ascii="Times New Roman" w:hAnsi="Times New Roman" w:hint="cs"/>
          <w:sz w:val="27"/>
          <w:rtl/>
        </w:rPr>
        <w:t>ّ</w:t>
      </w:r>
      <w:r w:rsidRPr="00904FCB">
        <w:rPr>
          <w:rFonts w:ascii="Times New Roman" w:hAnsi="Times New Roman"/>
          <w:sz w:val="27"/>
          <w:rtl/>
        </w:rPr>
        <w:t>ة</w:t>
      </w:r>
      <w:r w:rsidR="00C13708" w:rsidRPr="00904FCB">
        <w:rPr>
          <w:rFonts w:ascii="Times New Roman" w:hAnsi="Times New Roman" w:hint="cs"/>
          <w:sz w:val="27"/>
          <w:rtl/>
        </w:rPr>
        <w:t>.</w:t>
      </w:r>
      <w:r w:rsidRPr="00904FCB">
        <w:rPr>
          <w:rFonts w:ascii="Times New Roman" w:hAnsi="Times New Roman"/>
          <w:sz w:val="27"/>
          <w:rtl/>
        </w:rPr>
        <w:t xml:space="preserve"> فإذا رأى أحد المسلمين في المنام أنّ ثم</w:t>
      </w:r>
      <w:r w:rsidR="00C13708" w:rsidRPr="00904FCB">
        <w:rPr>
          <w:rFonts w:ascii="Times New Roman" w:hAnsi="Times New Roman" w:hint="cs"/>
          <w:sz w:val="27"/>
          <w:rtl/>
        </w:rPr>
        <w:t>ّ</w:t>
      </w:r>
      <w:r w:rsidRPr="00904FCB">
        <w:rPr>
          <w:rFonts w:ascii="Times New Roman" w:hAnsi="Times New Roman"/>
          <w:sz w:val="27"/>
          <w:rtl/>
        </w:rPr>
        <w:t>ة نبياً من الأنبياء</w:t>
      </w:r>
      <w:r w:rsidR="00510A75" w:rsidRPr="00904FCB">
        <w:rPr>
          <w:rFonts w:ascii="Mosawi" w:hAnsi="Mosawi" w:cs="Mosawi"/>
          <w:sz w:val="27"/>
          <w:rtl/>
        </w:rPr>
        <w:t>^</w:t>
      </w:r>
      <w:r w:rsidRPr="00904FCB">
        <w:rPr>
          <w:rFonts w:ascii="Times New Roman" w:hAnsi="Times New Roman"/>
          <w:sz w:val="27"/>
          <w:rtl/>
        </w:rPr>
        <w:t xml:space="preserve"> مدفوناً في مكان</w:t>
      </w:r>
      <w:r w:rsidR="00C13708" w:rsidRPr="00904FCB">
        <w:rPr>
          <w:rFonts w:ascii="Times New Roman" w:hAnsi="Times New Roman" w:hint="cs"/>
          <w:sz w:val="27"/>
          <w:rtl/>
        </w:rPr>
        <w:t>ٍ</w:t>
      </w:r>
      <w:r w:rsidRPr="00904FCB">
        <w:rPr>
          <w:rFonts w:ascii="Times New Roman" w:hAnsi="Times New Roman"/>
          <w:sz w:val="27"/>
          <w:rtl/>
        </w:rPr>
        <w:t xml:space="preserve"> معين فلا حج</w:t>
      </w:r>
      <w:r w:rsidR="00C13708" w:rsidRPr="00904FCB">
        <w:rPr>
          <w:rFonts w:ascii="Times New Roman" w:hAnsi="Times New Roman" w:hint="cs"/>
          <w:sz w:val="27"/>
          <w:rtl/>
        </w:rPr>
        <w:t>ّ</w:t>
      </w:r>
      <w:r w:rsidRPr="00904FCB">
        <w:rPr>
          <w:rFonts w:ascii="Times New Roman" w:hAnsi="Times New Roman"/>
          <w:sz w:val="27"/>
          <w:rtl/>
        </w:rPr>
        <w:t>ية لهذا المنام شرعاً في تبرير زيارة هذا القبر</w:t>
      </w:r>
      <w:r w:rsidR="00C13708" w:rsidRPr="00904FCB">
        <w:rPr>
          <w:rFonts w:ascii="Times New Roman" w:hAnsi="Times New Roman" w:hint="cs"/>
          <w:sz w:val="27"/>
          <w:rtl/>
        </w:rPr>
        <w:t>،</w:t>
      </w:r>
      <w:r w:rsidRPr="00904FCB">
        <w:rPr>
          <w:rFonts w:ascii="Times New Roman" w:hAnsi="Times New Roman"/>
          <w:sz w:val="27"/>
          <w:rtl/>
        </w:rPr>
        <w:t xml:space="preserve"> أو عمارة مشهد</w:t>
      </w:r>
      <w:r w:rsidR="00C13708" w:rsidRPr="00904FCB">
        <w:rPr>
          <w:rFonts w:ascii="Times New Roman" w:hAnsi="Times New Roman" w:hint="cs"/>
          <w:sz w:val="27"/>
          <w:rtl/>
        </w:rPr>
        <w:t>ٍ</w:t>
      </w:r>
      <w:r w:rsidRPr="00904FCB">
        <w:rPr>
          <w:rFonts w:ascii="Times New Roman" w:hAnsi="Times New Roman"/>
          <w:sz w:val="27"/>
          <w:rtl/>
        </w:rPr>
        <w:t xml:space="preserve"> لصاحبه، باعتباره قبر نبي</w:t>
      </w:r>
      <w:r w:rsidR="00C13708" w:rsidRPr="00904FCB">
        <w:rPr>
          <w:rFonts w:ascii="Times New Roman" w:hAnsi="Times New Roman" w:hint="cs"/>
          <w:sz w:val="27"/>
          <w:rtl/>
        </w:rPr>
        <w:t>ّ.</w:t>
      </w:r>
      <w:r w:rsidRPr="00904FCB">
        <w:rPr>
          <w:rFonts w:ascii="Times New Roman" w:hAnsi="Times New Roman"/>
          <w:sz w:val="27"/>
          <w:rtl/>
        </w:rPr>
        <w:t xml:space="preserve"> وهكذا لو رأينا في المنام صحابي</w:t>
      </w:r>
      <w:r w:rsidR="00C13708" w:rsidRPr="00904FCB">
        <w:rPr>
          <w:rFonts w:ascii="Times New Roman" w:hAnsi="Times New Roman" w:hint="cs"/>
          <w:sz w:val="27"/>
          <w:rtl/>
        </w:rPr>
        <w:t>ّ</w:t>
      </w:r>
      <w:r w:rsidRPr="00904FCB">
        <w:rPr>
          <w:rFonts w:ascii="Times New Roman" w:hAnsi="Times New Roman"/>
          <w:sz w:val="27"/>
          <w:rtl/>
        </w:rPr>
        <w:t>اً أو ولي</w:t>
      </w:r>
      <w:r w:rsidR="00C13708" w:rsidRPr="00904FCB">
        <w:rPr>
          <w:rFonts w:ascii="Times New Roman" w:hAnsi="Times New Roman" w:hint="cs"/>
          <w:sz w:val="27"/>
          <w:rtl/>
        </w:rPr>
        <w:t>ّ</w:t>
      </w:r>
      <w:r w:rsidRPr="00904FCB">
        <w:rPr>
          <w:rFonts w:ascii="Times New Roman" w:hAnsi="Times New Roman"/>
          <w:sz w:val="27"/>
          <w:rtl/>
        </w:rPr>
        <w:t>اً مم</w:t>
      </w:r>
      <w:r w:rsidR="00C13708" w:rsidRPr="00904FCB">
        <w:rPr>
          <w:rFonts w:ascii="Times New Roman" w:hAnsi="Times New Roman" w:hint="cs"/>
          <w:sz w:val="27"/>
          <w:rtl/>
        </w:rPr>
        <w:t>َّ</w:t>
      </w:r>
      <w:r w:rsidRPr="00904FCB">
        <w:rPr>
          <w:rFonts w:ascii="Times New Roman" w:hAnsi="Times New Roman"/>
          <w:sz w:val="27"/>
          <w:rtl/>
        </w:rPr>
        <w:t>ن</w:t>
      </w:r>
      <w:r w:rsidR="00C13708" w:rsidRPr="00904FCB">
        <w:rPr>
          <w:rFonts w:ascii="Times New Roman" w:hAnsi="Times New Roman" w:hint="cs"/>
          <w:sz w:val="27"/>
          <w:rtl/>
        </w:rPr>
        <w:t>ْ</w:t>
      </w:r>
      <w:r w:rsidRPr="00904FCB">
        <w:rPr>
          <w:rFonts w:ascii="Times New Roman" w:hAnsi="Times New Roman"/>
          <w:sz w:val="27"/>
          <w:rtl/>
        </w:rPr>
        <w:t xml:space="preserve"> لم يعرف مكان دفنه فأخبرنا أنّه مدفون</w:t>
      </w:r>
      <w:r w:rsidR="00C13708" w:rsidRPr="00904FCB">
        <w:rPr>
          <w:rFonts w:ascii="Times New Roman" w:hAnsi="Times New Roman" w:hint="cs"/>
          <w:sz w:val="27"/>
          <w:rtl/>
        </w:rPr>
        <w:t>ٌ</w:t>
      </w:r>
      <w:r w:rsidRPr="00904FCB">
        <w:rPr>
          <w:rFonts w:ascii="Times New Roman" w:hAnsi="Times New Roman"/>
          <w:sz w:val="27"/>
          <w:rtl/>
        </w:rPr>
        <w:t xml:space="preserve"> في المكان الفلاني، فلا يجوز التعويل على المنام.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ز ـ</w:t>
      </w:r>
      <w:r w:rsidRPr="00904FCB">
        <w:rPr>
          <w:color w:val="auto"/>
          <w:rtl/>
        </w:rPr>
        <w:t xml:space="preserve"> إثبات الحقائق التاريخي</w:t>
      </w:r>
      <w:r w:rsidR="00C13708" w:rsidRPr="00904FCB">
        <w:rPr>
          <w:rFonts w:hint="cs"/>
          <w:color w:val="auto"/>
          <w:rtl/>
        </w:rPr>
        <w:t>ّ</w:t>
      </w:r>
      <w:r w:rsidRPr="00904FCB">
        <w:rPr>
          <w:color w:val="auto"/>
          <w:rtl/>
        </w:rPr>
        <w:t>ة</w:t>
      </w:r>
      <w:r w:rsidRPr="00904FCB">
        <w:rPr>
          <w:color w:val="auto"/>
        </w:rPr>
        <w:t> </w:t>
      </w:r>
    </w:p>
    <w:p w:rsidR="00057E24" w:rsidRPr="00904FCB" w:rsidRDefault="00057E24" w:rsidP="00384B20">
      <w:pPr>
        <w:spacing w:line="400" w:lineRule="exact"/>
        <w:rPr>
          <w:rFonts w:ascii="Times New Roman" w:hAnsi="Times New Roman"/>
          <w:sz w:val="27"/>
        </w:rPr>
      </w:pPr>
      <w:r w:rsidRPr="00904FCB">
        <w:rPr>
          <w:rFonts w:ascii="Times New Roman" w:hAnsi="Times New Roman"/>
          <w:sz w:val="27"/>
          <w:rtl/>
        </w:rPr>
        <w:t xml:space="preserve"> للأحداث التاريخية وسائل خاص</w:t>
      </w:r>
      <w:r w:rsidR="00C13708" w:rsidRPr="00904FCB">
        <w:rPr>
          <w:rFonts w:ascii="Times New Roman" w:hAnsi="Times New Roman" w:hint="cs"/>
          <w:sz w:val="27"/>
          <w:rtl/>
        </w:rPr>
        <w:t>ّ</w:t>
      </w:r>
      <w:r w:rsidRPr="00904FCB">
        <w:rPr>
          <w:rFonts w:ascii="Times New Roman" w:hAnsi="Times New Roman"/>
          <w:sz w:val="27"/>
          <w:rtl/>
        </w:rPr>
        <w:t>ة لإثباتها</w:t>
      </w:r>
      <w:r w:rsidR="00C13708" w:rsidRPr="00904FCB">
        <w:rPr>
          <w:rFonts w:ascii="Times New Roman" w:hAnsi="Times New Roman" w:hint="cs"/>
          <w:sz w:val="27"/>
          <w:rtl/>
        </w:rPr>
        <w:t>،</w:t>
      </w:r>
      <w:r w:rsidRPr="00904FCB">
        <w:rPr>
          <w:rFonts w:ascii="Times New Roman" w:hAnsi="Times New Roman"/>
          <w:sz w:val="27"/>
          <w:rtl/>
        </w:rPr>
        <w:t xml:space="preserve"> ومنهج</w:t>
      </w:r>
      <w:r w:rsidR="00C13708" w:rsidRPr="00904FCB">
        <w:rPr>
          <w:rFonts w:ascii="Times New Roman" w:hAnsi="Times New Roman" w:hint="cs"/>
          <w:sz w:val="27"/>
          <w:rtl/>
        </w:rPr>
        <w:t>ٌ</w:t>
      </w:r>
      <w:r w:rsidRPr="00904FCB">
        <w:rPr>
          <w:rFonts w:ascii="Times New Roman" w:hAnsi="Times New Roman"/>
          <w:sz w:val="27"/>
          <w:rtl/>
        </w:rPr>
        <w:t xml:space="preserve"> خاص</w:t>
      </w:r>
      <w:r w:rsidR="00C13708" w:rsidRPr="00904FCB">
        <w:rPr>
          <w:rFonts w:ascii="Times New Roman" w:hAnsi="Times New Roman" w:hint="cs"/>
          <w:sz w:val="27"/>
          <w:rtl/>
        </w:rPr>
        <w:t>ّ</w:t>
      </w:r>
      <w:r w:rsidRPr="00904FCB">
        <w:rPr>
          <w:rFonts w:ascii="Times New Roman" w:hAnsi="Times New Roman"/>
          <w:sz w:val="27"/>
          <w:rtl/>
        </w:rPr>
        <w:t xml:space="preserve"> للتعر</w:t>
      </w:r>
      <w:r w:rsidR="00C13708" w:rsidRPr="00904FCB">
        <w:rPr>
          <w:rFonts w:ascii="Times New Roman" w:hAnsi="Times New Roman" w:hint="cs"/>
          <w:sz w:val="27"/>
          <w:rtl/>
        </w:rPr>
        <w:t>ُّ</w:t>
      </w:r>
      <w:r w:rsidRPr="00904FCB">
        <w:rPr>
          <w:rFonts w:ascii="Times New Roman" w:hAnsi="Times New Roman"/>
          <w:sz w:val="27"/>
          <w:rtl/>
        </w:rPr>
        <w:t>ف عليها، و</w:t>
      </w:r>
      <w:r w:rsidR="003F23CD">
        <w:rPr>
          <w:rFonts w:ascii="Times New Roman" w:hAnsi="Times New Roman" w:hint="cs"/>
          <w:sz w:val="27"/>
          <w:rtl/>
        </w:rPr>
        <w:t xml:space="preserve">ليس </w:t>
      </w:r>
      <w:r w:rsidRPr="00904FCB">
        <w:rPr>
          <w:rFonts w:ascii="Times New Roman" w:hAnsi="Times New Roman"/>
          <w:sz w:val="27"/>
          <w:rtl/>
        </w:rPr>
        <w:t>المنام من هذه الوسائل</w:t>
      </w:r>
      <w:r w:rsidR="00C13708" w:rsidRPr="00904FCB">
        <w:rPr>
          <w:rFonts w:ascii="Times New Roman" w:hAnsi="Times New Roman" w:hint="cs"/>
          <w:sz w:val="27"/>
          <w:rtl/>
        </w:rPr>
        <w:t>.</w:t>
      </w:r>
      <w:r w:rsidRPr="00904FCB">
        <w:rPr>
          <w:rFonts w:ascii="Times New Roman" w:hAnsi="Times New Roman"/>
          <w:sz w:val="27"/>
          <w:rtl/>
        </w:rPr>
        <w:t xml:space="preserve"> فعندما يقع البحث عن أنّ هذا الأمر</w:t>
      </w:r>
      <w:r w:rsidRPr="00904FCB">
        <w:rPr>
          <w:rFonts w:ascii="Times New Roman" w:hAnsi="Times New Roman" w:hint="cs"/>
          <w:sz w:val="27"/>
          <w:rtl/>
        </w:rPr>
        <w:t xml:space="preserve"> </w:t>
      </w:r>
      <w:r w:rsidRPr="00904FCB">
        <w:rPr>
          <w:rFonts w:ascii="Times New Roman" w:hAnsi="Times New Roman"/>
          <w:sz w:val="27"/>
          <w:rtl/>
        </w:rPr>
        <w:t>التاريخي أو ذاك قد وقع على عهد الرسول</w:t>
      </w:r>
      <w:r w:rsidR="00635E51" w:rsidRPr="00904FCB">
        <w:rPr>
          <w:rFonts w:ascii="Times New Roman" w:hAnsi="Times New Roman" w:cs="Mosawi"/>
          <w:sz w:val="27"/>
          <w:szCs w:val="22"/>
          <w:rtl/>
        </w:rPr>
        <w:t>|</w:t>
      </w:r>
      <w:r w:rsidRPr="00904FCB">
        <w:rPr>
          <w:rFonts w:ascii="Times New Roman" w:hAnsi="Times New Roman"/>
          <w:sz w:val="27"/>
          <w:rtl/>
        </w:rPr>
        <w:t xml:space="preserve"> أو الإمام علي</w:t>
      </w:r>
      <w:r w:rsidR="00C13708" w:rsidRPr="00904FCB">
        <w:rPr>
          <w:rFonts w:ascii="Times New Roman" w:hAnsi="Times New Roman" w:hint="cs"/>
          <w:sz w:val="27"/>
          <w:rtl/>
        </w:rPr>
        <w:t>ّ</w:t>
      </w:r>
      <w:r w:rsidR="001C1A2A" w:rsidRPr="00904FCB">
        <w:rPr>
          <w:rFonts w:ascii="Times New Roman" w:hAnsi="Times New Roman" w:cs="Mosawi"/>
          <w:sz w:val="27"/>
          <w:szCs w:val="22"/>
          <w:rtl/>
        </w:rPr>
        <w:t>×</w:t>
      </w:r>
      <w:r w:rsidRPr="00904FCB">
        <w:rPr>
          <w:rFonts w:ascii="Times New Roman" w:hAnsi="Times New Roman"/>
          <w:sz w:val="27"/>
          <w:rtl/>
        </w:rPr>
        <w:t xml:space="preserve"> أو السيدة الزهراء</w:t>
      </w:r>
      <w:r w:rsidR="003F23CD" w:rsidRPr="003F23CD">
        <w:rPr>
          <w:rFonts w:ascii="Mosawi" w:hAnsi="Mosawi" w:cs="Mosawi"/>
          <w:sz w:val="22"/>
          <w:szCs w:val="22"/>
        </w:rPr>
        <w:t>÷</w:t>
      </w:r>
      <w:r w:rsidRPr="00904FCB">
        <w:rPr>
          <w:rFonts w:ascii="Times New Roman" w:hAnsi="Times New Roman"/>
          <w:sz w:val="27"/>
          <w:rtl/>
        </w:rPr>
        <w:t xml:space="preserve"> أو غيرهم</w:t>
      </w:r>
      <w:r w:rsidR="00C13708" w:rsidRPr="00904FCB">
        <w:rPr>
          <w:rFonts w:ascii="Times New Roman" w:hAnsi="Times New Roman" w:hint="cs"/>
          <w:sz w:val="27"/>
          <w:rtl/>
        </w:rPr>
        <w:t>،</w:t>
      </w:r>
      <w:r w:rsidRPr="00904FCB">
        <w:rPr>
          <w:rFonts w:ascii="Times New Roman" w:hAnsi="Times New Roman"/>
          <w:sz w:val="27"/>
          <w:rtl/>
        </w:rPr>
        <w:t xml:space="preserve"> أو أنّه لم يقع، فعلينا الرجوع إلى المصادر التاريخية</w:t>
      </w:r>
      <w:r w:rsidR="00C13708" w:rsidRPr="00904FCB">
        <w:rPr>
          <w:rFonts w:ascii="Times New Roman" w:hAnsi="Times New Roman" w:hint="cs"/>
          <w:sz w:val="27"/>
          <w:rtl/>
        </w:rPr>
        <w:t>.</w:t>
      </w:r>
      <w:r w:rsidRPr="00904FCB">
        <w:rPr>
          <w:rFonts w:ascii="Times New Roman" w:hAnsi="Times New Roman"/>
          <w:sz w:val="27"/>
          <w:rtl/>
        </w:rPr>
        <w:t xml:space="preserve"> أما إذا رأى أحدهم مناماً يخبره بوقوع هذه الحادثة فلا قيمة لهذا المنام في الإثبات أو النفي</w:t>
      </w:r>
      <w:r w:rsidR="00C13708" w:rsidRPr="00904FCB">
        <w:rPr>
          <w:rFonts w:ascii="Times New Roman" w:hAnsi="Times New Roman" w:hint="cs"/>
          <w:sz w:val="27"/>
          <w:rtl/>
        </w:rPr>
        <w:t>.</w:t>
      </w:r>
      <w:r w:rsidRPr="00904FCB">
        <w:rPr>
          <w:rFonts w:ascii="Times New Roman" w:hAnsi="Times New Roman"/>
          <w:sz w:val="27"/>
          <w:rtl/>
        </w:rPr>
        <w:t xml:space="preserve"> هذا فضلاً عن أن يستخدم البعض المنام بهدف ثني العزائم عن تحقيق تراثنا وتاريخنا، كما هو الحال في المنام الذي يرد</w:t>
      </w:r>
      <w:r w:rsidR="00711928" w:rsidRPr="00904FCB">
        <w:rPr>
          <w:rFonts w:ascii="Times New Roman" w:hAnsi="Times New Roman" w:hint="cs"/>
          <w:sz w:val="27"/>
          <w:rtl/>
        </w:rPr>
        <w:t>ِّ</w:t>
      </w:r>
      <w:r w:rsidRPr="00904FCB">
        <w:rPr>
          <w:rFonts w:ascii="Times New Roman" w:hAnsi="Times New Roman"/>
          <w:sz w:val="27"/>
          <w:rtl/>
        </w:rPr>
        <w:t>ده بعض قر</w:t>
      </w:r>
      <w:r w:rsidR="00711928" w:rsidRPr="00904FCB">
        <w:rPr>
          <w:rFonts w:ascii="Times New Roman" w:hAnsi="Times New Roman" w:hint="cs"/>
          <w:sz w:val="27"/>
          <w:rtl/>
        </w:rPr>
        <w:t>ّ</w:t>
      </w:r>
      <w:r w:rsidRPr="00904FCB">
        <w:rPr>
          <w:rFonts w:ascii="Times New Roman" w:hAnsi="Times New Roman"/>
          <w:sz w:val="27"/>
          <w:rtl/>
        </w:rPr>
        <w:t>اء العزاء عن أنّ عالماً من العلماء همّ</w:t>
      </w:r>
      <w:r w:rsidR="00711928" w:rsidRPr="00904FCB">
        <w:rPr>
          <w:rFonts w:ascii="Times New Roman" w:hAnsi="Times New Roman" w:hint="cs"/>
          <w:sz w:val="27"/>
          <w:rtl/>
        </w:rPr>
        <w:t>َ</w:t>
      </w:r>
      <w:r w:rsidRPr="00904FCB">
        <w:rPr>
          <w:rFonts w:ascii="Times New Roman" w:hAnsi="Times New Roman"/>
          <w:sz w:val="27"/>
          <w:rtl/>
        </w:rPr>
        <w:t xml:space="preserve"> بتحقيق يوم وفاة الزهراء</w:t>
      </w:r>
      <w:r w:rsidR="00384B20" w:rsidRPr="00384B20">
        <w:rPr>
          <w:rFonts w:ascii="Mosawi" w:hAnsi="Mosawi" w:cs="Mosawi"/>
          <w:sz w:val="22"/>
          <w:szCs w:val="22"/>
        </w:rPr>
        <w:t>÷</w:t>
      </w:r>
      <w:r w:rsidR="00711928" w:rsidRPr="00904FCB">
        <w:rPr>
          <w:rFonts w:ascii="Times New Roman" w:hAnsi="Times New Roman" w:hint="cs"/>
          <w:sz w:val="27"/>
          <w:rtl/>
        </w:rPr>
        <w:t>،</w:t>
      </w:r>
      <w:r w:rsidRPr="00904FCB">
        <w:rPr>
          <w:rFonts w:ascii="Times New Roman" w:hAnsi="Times New Roman"/>
          <w:sz w:val="27"/>
          <w:rtl/>
        </w:rPr>
        <w:t xml:space="preserve"> الذي اختلفت فيه الأقوال على ثلاثة، فجاء</w:t>
      </w:r>
      <w:r w:rsidR="00711928" w:rsidRPr="00904FCB">
        <w:rPr>
          <w:rFonts w:ascii="Times New Roman" w:hAnsi="Times New Roman" w:hint="cs"/>
          <w:sz w:val="27"/>
          <w:rtl/>
        </w:rPr>
        <w:t>َ</w:t>
      </w:r>
      <w:r w:rsidRPr="00904FCB">
        <w:rPr>
          <w:rFonts w:ascii="Times New Roman" w:hAnsi="Times New Roman"/>
          <w:sz w:val="27"/>
          <w:rtl/>
        </w:rPr>
        <w:t>ت</w:t>
      </w:r>
      <w:r w:rsidR="00711928" w:rsidRPr="00904FCB">
        <w:rPr>
          <w:rFonts w:ascii="Times New Roman" w:hAnsi="Times New Roman" w:hint="cs"/>
          <w:sz w:val="27"/>
          <w:rtl/>
        </w:rPr>
        <w:t>ْ</w:t>
      </w:r>
      <w:r w:rsidRPr="00904FCB">
        <w:rPr>
          <w:rFonts w:ascii="Times New Roman" w:hAnsi="Times New Roman"/>
          <w:sz w:val="27"/>
          <w:rtl/>
        </w:rPr>
        <w:t>ه</w:t>
      </w:r>
      <w:r w:rsidR="00384B20" w:rsidRPr="00384B20">
        <w:rPr>
          <w:rFonts w:ascii="Mosawi" w:hAnsi="Mosawi" w:cs="Mosawi"/>
          <w:sz w:val="22"/>
          <w:szCs w:val="22"/>
        </w:rPr>
        <w:t>÷</w:t>
      </w:r>
      <w:r w:rsidRPr="00904FCB">
        <w:rPr>
          <w:rFonts w:ascii="Times New Roman" w:hAnsi="Times New Roman"/>
          <w:sz w:val="27"/>
          <w:rtl/>
        </w:rPr>
        <w:t xml:space="preserve"> في المنام، وقالت له: </w:t>
      </w:r>
      <w:r w:rsidRPr="00904FCB">
        <w:rPr>
          <w:rFonts w:hint="eastAsia"/>
          <w:sz w:val="27"/>
          <w:rtl/>
        </w:rPr>
        <w:t>«</w:t>
      </w:r>
      <w:r w:rsidRPr="00904FCB">
        <w:rPr>
          <w:rFonts w:ascii="Times New Roman" w:hAnsi="Times New Roman"/>
          <w:sz w:val="27"/>
          <w:rtl/>
        </w:rPr>
        <w:t>يا فلان، هل استكث</w:t>
      </w:r>
      <w:r w:rsidR="00711928" w:rsidRPr="00904FCB">
        <w:rPr>
          <w:rFonts w:ascii="Times New Roman" w:hAnsi="Times New Roman" w:hint="cs"/>
          <w:sz w:val="27"/>
          <w:rtl/>
        </w:rPr>
        <w:t>َ</w:t>
      </w:r>
      <w:r w:rsidRPr="00904FCB">
        <w:rPr>
          <w:rFonts w:ascii="Times New Roman" w:hAnsi="Times New Roman"/>
          <w:sz w:val="27"/>
          <w:rtl/>
        </w:rPr>
        <w:t>ر</w:t>
      </w:r>
      <w:r w:rsidR="00711928" w:rsidRPr="00904FCB">
        <w:rPr>
          <w:rFonts w:ascii="Times New Roman" w:hAnsi="Times New Roman" w:hint="cs"/>
          <w:sz w:val="27"/>
          <w:rtl/>
        </w:rPr>
        <w:t>ْ</w:t>
      </w:r>
      <w:r w:rsidRPr="00904FCB">
        <w:rPr>
          <w:rFonts w:ascii="Times New Roman" w:hAnsi="Times New Roman"/>
          <w:sz w:val="27"/>
          <w:rtl/>
        </w:rPr>
        <w:t>ت</w:t>
      </w:r>
      <w:r w:rsidR="00711928" w:rsidRPr="00904FCB">
        <w:rPr>
          <w:rFonts w:ascii="Times New Roman" w:hAnsi="Times New Roman" w:hint="cs"/>
          <w:sz w:val="27"/>
          <w:rtl/>
        </w:rPr>
        <w:t>َ</w:t>
      </w:r>
      <w:r w:rsidRPr="00904FCB">
        <w:rPr>
          <w:rFonts w:ascii="Times New Roman" w:hAnsi="Times New Roman"/>
          <w:sz w:val="27"/>
          <w:rtl/>
        </w:rPr>
        <w:t xml:space="preserve"> أن يبكي المؤمنون على مصيبتي في ثلاثة أي</w:t>
      </w:r>
      <w:r w:rsidR="00711928" w:rsidRPr="00904FCB">
        <w:rPr>
          <w:rFonts w:ascii="Times New Roman" w:hAnsi="Times New Roman" w:hint="cs"/>
          <w:sz w:val="27"/>
          <w:rtl/>
        </w:rPr>
        <w:t>ّ</w:t>
      </w:r>
      <w:r w:rsidRPr="00904FCB">
        <w:rPr>
          <w:rFonts w:ascii="Times New Roman" w:hAnsi="Times New Roman"/>
          <w:sz w:val="27"/>
          <w:rtl/>
        </w:rPr>
        <w:t>ام أو مناسبات</w:t>
      </w:r>
      <w:r w:rsidR="00384B20">
        <w:rPr>
          <w:rFonts w:ascii="Times New Roman" w:hAnsi="Times New Roman" w:hint="cs"/>
          <w:sz w:val="27"/>
          <w:rtl/>
        </w:rPr>
        <w:t>؟</w:t>
      </w:r>
      <w:r w:rsidRPr="00904FCB">
        <w:rPr>
          <w:rFonts w:ascii="Times New Roman" w:hAnsi="Times New Roman"/>
          <w:sz w:val="27"/>
          <w:rtl/>
        </w:rPr>
        <w:t>! فانصرف عم</w:t>
      </w:r>
      <w:r w:rsidR="00711928" w:rsidRPr="00904FCB">
        <w:rPr>
          <w:rFonts w:ascii="Times New Roman" w:hAnsi="Times New Roman" w:hint="cs"/>
          <w:sz w:val="27"/>
          <w:rtl/>
        </w:rPr>
        <w:t>ّ</w:t>
      </w:r>
      <w:r w:rsidRPr="00904FCB">
        <w:rPr>
          <w:rFonts w:ascii="Times New Roman" w:hAnsi="Times New Roman"/>
          <w:sz w:val="27"/>
          <w:rtl/>
        </w:rPr>
        <w:t>ا عزم عليه</w:t>
      </w:r>
      <w:r w:rsidRPr="00904FCB">
        <w:rPr>
          <w:rFonts w:hint="eastAsia"/>
          <w:sz w:val="27"/>
          <w:rtl/>
        </w:rPr>
        <w:t>»</w:t>
      </w:r>
      <w:r w:rsidR="00711928" w:rsidRPr="00904FCB">
        <w:rPr>
          <w:rFonts w:ascii="Times New Roman" w:hAnsi="Times New Roman" w:hint="cs"/>
          <w:sz w:val="27"/>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ح ـ</w:t>
      </w:r>
      <w:r w:rsidRPr="00904FCB">
        <w:rPr>
          <w:color w:val="auto"/>
          <w:rtl/>
        </w:rPr>
        <w:t xml:space="preserve"> المنام والتنب</w:t>
      </w:r>
      <w:r w:rsidR="00B518A0" w:rsidRPr="00904FCB">
        <w:rPr>
          <w:rFonts w:hint="cs"/>
          <w:color w:val="auto"/>
          <w:rtl/>
        </w:rPr>
        <w:t>ُّ</w:t>
      </w:r>
      <w:r w:rsidRPr="00904FCB">
        <w:rPr>
          <w:color w:val="auto"/>
          <w:rtl/>
        </w:rPr>
        <w:t>ؤ بالمغي</w:t>
      </w:r>
      <w:r w:rsidR="00711928" w:rsidRPr="00904FCB">
        <w:rPr>
          <w:rFonts w:hint="cs"/>
          <w:color w:val="auto"/>
          <w:rtl/>
        </w:rPr>
        <w:t>َّ</w:t>
      </w:r>
      <w:r w:rsidRPr="00904FCB">
        <w:rPr>
          <w:color w:val="auto"/>
          <w:rtl/>
        </w:rPr>
        <w:t>بات</w:t>
      </w:r>
    </w:p>
    <w:p w:rsidR="00057E24" w:rsidRPr="00904FCB" w:rsidRDefault="00711928" w:rsidP="007A21AA">
      <w:pPr>
        <w:spacing w:line="400" w:lineRule="exact"/>
        <w:rPr>
          <w:rFonts w:ascii="Times New Roman" w:hAnsi="Times New Roman"/>
          <w:sz w:val="27"/>
        </w:rPr>
      </w:pPr>
      <w:r w:rsidRPr="00904FCB">
        <w:rPr>
          <w:rFonts w:ascii="Times New Roman" w:hAnsi="Times New Roman" w:hint="cs"/>
          <w:sz w:val="27"/>
          <w:rtl/>
        </w:rPr>
        <w:t>و</w:t>
      </w:r>
      <w:r w:rsidR="00057E24" w:rsidRPr="00904FCB">
        <w:rPr>
          <w:rFonts w:ascii="Times New Roman" w:hAnsi="Times New Roman"/>
          <w:sz w:val="27"/>
          <w:rtl/>
        </w:rPr>
        <w:t>هل يجوز اعتماد المنام في التنب</w:t>
      </w:r>
      <w:r w:rsidRPr="00904FCB">
        <w:rPr>
          <w:rFonts w:ascii="Times New Roman" w:hAnsi="Times New Roman" w:hint="cs"/>
          <w:sz w:val="27"/>
          <w:rtl/>
        </w:rPr>
        <w:t>ُّ</w:t>
      </w:r>
      <w:r w:rsidR="00057E24" w:rsidRPr="00904FCB">
        <w:rPr>
          <w:rFonts w:ascii="Times New Roman" w:hAnsi="Times New Roman"/>
          <w:sz w:val="27"/>
          <w:rtl/>
        </w:rPr>
        <w:t>ؤ بالمغي</w:t>
      </w:r>
      <w:r w:rsidRPr="00904FCB">
        <w:rPr>
          <w:rFonts w:ascii="Times New Roman" w:hAnsi="Times New Roman" w:hint="cs"/>
          <w:sz w:val="27"/>
          <w:rtl/>
        </w:rPr>
        <w:t>َّ</w:t>
      </w:r>
      <w:r w:rsidR="00057E24" w:rsidRPr="00904FCB">
        <w:rPr>
          <w:rFonts w:ascii="Times New Roman" w:hAnsi="Times New Roman"/>
          <w:sz w:val="27"/>
          <w:rtl/>
        </w:rPr>
        <w:t>بات</w:t>
      </w:r>
      <w:r w:rsidRPr="00904FCB">
        <w:rPr>
          <w:rFonts w:ascii="Times New Roman" w:hAnsi="Times New Roman" w:hint="cs"/>
          <w:sz w:val="27"/>
          <w:rtl/>
        </w:rPr>
        <w:t>،</w:t>
      </w:r>
      <w:r w:rsidR="00057E24" w:rsidRPr="00904FCB">
        <w:rPr>
          <w:rFonts w:ascii="Times New Roman" w:hAnsi="Times New Roman"/>
          <w:sz w:val="27"/>
          <w:rtl/>
        </w:rPr>
        <w:t xml:space="preserve"> والتعر</w:t>
      </w:r>
      <w:r w:rsidRPr="00904FCB">
        <w:rPr>
          <w:rFonts w:ascii="Times New Roman" w:hAnsi="Times New Roman" w:hint="cs"/>
          <w:sz w:val="27"/>
          <w:rtl/>
        </w:rPr>
        <w:t>ُّ</w:t>
      </w:r>
      <w:r w:rsidR="00057E24" w:rsidRPr="00904FCB">
        <w:rPr>
          <w:rFonts w:ascii="Times New Roman" w:hAnsi="Times New Roman"/>
          <w:sz w:val="27"/>
          <w:rtl/>
        </w:rPr>
        <w:t xml:space="preserve">ف على حوادث المستقبل؟ </w:t>
      </w:r>
    </w:p>
    <w:p w:rsidR="00057E24" w:rsidRPr="00904FCB" w:rsidRDefault="00057E24" w:rsidP="00384B20">
      <w:pPr>
        <w:spacing w:line="400" w:lineRule="exact"/>
        <w:rPr>
          <w:rFonts w:ascii="Times New Roman" w:hAnsi="Times New Roman"/>
          <w:sz w:val="27"/>
        </w:rPr>
      </w:pPr>
      <w:r w:rsidRPr="00904FCB">
        <w:rPr>
          <w:rFonts w:ascii="Times New Roman" w:hAnsi="Times New Roman"/>
          <w:sz w:val="27"/>
          <w:rtl/>
        </w:rPr>
        <w:lastRenderedPageBreak/>
        <w:t>الجواب هو بالنفي</w:t>
      </w:r>
      <w:r w:rsidR="00711928" w:rsidRPr="00904FCB">
        <w:rPr>
          <w:rFonts w:ascii="Times New Roman" w:hAnsi="Times New Roman" w:hint="cs"/>
          <w:sz w:val="27"/>
          <w:rtl/>
        </w:rPr>
        <w:t>،</w:t>
      </w:r>
      <w:r w:rsidRPr="00904FCB">
        <w:rPr>
          <w:rFonts w:ascii="Times New Roman" w:hAnsi="Times New Roman"/>
          <w:sz w:val="27"/>
          <w:rtl/>
        </w:rPr>
        <w:t xml:space="preserve"> حت</w:t>
      </w:r>
      <w:r w:rsidR="00711928" w:rsidRPr="00904FCB">
        <w:rPr>
          <w:rFonts w:ascii="Times New Roman" w:hAnsi="Times New Roman" w:hint="cs"/>
          <w:sz w:val="27"/>
          <w:rtl/>
        </w:rPr>
        <w:t>ّ</w:t>
      </w:r>
      <w:r w:rsidRPr="00904FCB">
        <w:rPr>
          <w:rFonts w:ascii="Times New Roman" w:hAnsi="Times New Roman"/>
          <w:sz w:val="27"/>
          <w:rtl/>
        </w:rPr>
        <w:t>ى لو كانت بعض المنامات صادقة ومصيبة</w:t>
      </w:r>
      <w:r w:rsidR="00711928" w:rsidRPr="00904FCB">
        <w:rPr>
          <w:rFonts w:ascii="Times New Roman" w:hAnsi="Times New Roman" w:hint="cs"/>
          <w:sz w:val="27"/>
          <w:rtl/>
        </w:rPr>
        <w:t>؛</w:t>
      </w:r>
      <w:r w:rsidRPr="00904FCB">
        <w:rPr>
          <w:rFonts w:ascii="Times New Roman" w:hAnsi="Times New Roman"/>
          <w:sz w:val="27"/>
          <w:rtl/>
        </w:rPr>
        <w:t xml:space="preserve"> لأنّ الإصابة ليست مط</w:t>
      </w:r>
      <w:r w:rsidR="00711928" w:rsidRPr="00904FCB">
        <w:rPr>
          <w:rFonts w:ascii="Times New Roman" w:hAnsi="Times New Roman" w:hint="cs"/>
          <w:sz w:val="27"/>
          <w:rtl/>
        </w:rPr>
        <w:t>ّ</w:t>
      </w:r>
      <w:r w:rsidRPr="00904FCB">
        <w:rPr>
          <w:rFonts w:ascii="Times New Roman" w:hAnsi="Times New Roman"/>
          <w:sz w:val="27"/>
          <w:rtl/>
        </w:rPr>
        <w:t>ردة، والإصابة مر</w:t>
      </w:r>
      <w:r w:rsidR="00711928" w:rsidRPr="00904FCB">
        <w:rPr>
          <w:rFonts w:ascii="Times New Roman" w:hAnsi="Times New Roman" w:hint="cs"/>
          <w:sz w:val="27"/>
          <w:rtl/>
        </w:rPr>
        <w:t>ّ</w:t>
      </w:r>
      <w:r w:rsidRPr="00904FCB">
        <w:rPr>
          <w:rFonts w:ascii="Times New Roman" w:hAnsi="Times New Roman"/>
          <w:sz w:val="27"/>
          <w:rtl/>
        </w:rPr>
        <w:t>ة</w:t>
      </w:r>
      <w:r w:rsidR="00711928" w:rsidRPr="00904FCB">
        <w:rPr>
          <w:rFonts w:ascii="Times New Roman" w:hAnsi="Times New Roman" w:hint="cs"/>
          <w:sz w:val="27"/>
          <w:rtl/>
        </w:rPr>
        <w:t>ً</w:t>
      </w:r>
      <w:r w:rsidRPr="00904FCB">
        <w:rPr>
          <w:rFonts w:ascii="Times New Roman" w:hAnsi="Times New Roman"/>
          <w:sz w:val="27"/>
          <w:rtl/>
        </w:rPr>
        <w:t xml:space="preserve"> لا تعني الإصابة مر</w:t>
      </w:r>
      <w:r w:rsidR="00711928" w:rsidRPr="00904FCB">
        <w:rPr>
          <w:rFonts w:ascii="Times New Roman" w:hAnsi="Times New Roman" w:hint="cs"/>
          <w:sz w:val="27"/>
          <w:rtl/>
        </w:rPr>
        <w:t>ّ</w:t>
      </w:r>
      <w:r w:rsidRPr="00904FCB">
        <w:rPr>
          <w:rFonts w:ascii="Times New Roman" w:hAnsi="Times New Roman"/>
          <w:sz w:val="27"/>
          <w:rtl/>
        </w:rPr>
        <w:t>ة</w:t>
      </w:r>
      <w:r w:rsidR="00711928" w:rsidRPr="00904FCB">
        <w:rPr>
          <w:rFonts w:ascii="Times New Roman" w:hAnsi="Times New Roman" w:hint="cs"/>
          <w:sz w:val="27"/>
          <w:rtl/>
        </w:rPr>
        <w:t>ً</w:t>
      </w:r>
      <w:r w:rsidRPr="00904FCB">
        <w:rPr>
          <w:rFonts w:ascii="Times New Roman" w:hAnsi="Times New Roman"/>
          <w:sz w:val="27"/>
          <w:rtl/>
        </w:rPr>
        <w:t xml:space="preserve"> أخرى، والغيب لا يعلمه إلاّ الله تعالى، أو م</w:t>
      </w:r>
      <w:r w:rsidR="00711928" w:rsidRPr="00904FCB">
        <w:rPr>
          <w:rFonts w:ascii="Times New Roman" w:hAnsi="Times New Roman" w:hint="cs"/>
          <w:sz w:val="27"/>
          <w:rtl/>
        </w:rPr>
        <w:t>َ</w:t>
      </w:r>
      <w:r w:rsidRPr="00904FCB">
        <w:rPr>
          <w:rFonts w:ascii="Times New Roman" w:hAnsi="Times New Roman"/>
          <w:sz w:val="27"/>
          <w:rtl/>
        </w:rPr>
        <w:t>ن</w:t>
      </w:r>
      <w:r w:rsidR="00711928" w:rsidRPr="00904FCB">
        <w:rPr>
          <w:rFonts w:ascii="Times New Roman" w:hAnsi="Times New Roman" w:hint="cs"/>
          <w:sz w:val="27"/>
          <w:rtl/>
        </w:rPr>
        <w:t>ْ</w:t>
      </w:r>
      <w:r w:rsidRPr="00904FCB">
        <w:rPr>
          <w:rFonts w:ascii="Times New Roman" w:hAnsi="Times New Roman"/>
          <w:sz w:val="27"/>
          <w:rtl/>
        </w:rPr>
        <w:t xml:space="preserve"> ارتضاه من رسول، قال الله تعالى: </w:t>
      </w:r>
      <w:r w:rsidRPr="00904FCB">
        <w:rPr>
          <w:rFonts w:ascii="Mosawi" w:hAnsi="Mosawi" w:cs="Mosawi"/>
          <w:sz w:val="24"/>
          <w:szCs w:val="24"/>
          <w:rtl/>
        </w:rPr>
        <w:t>﴿</w:t>
      </w:r>
      <w:r w:rsidR="00711928" w:rsidRPr="00904FCB">
        <w:rPr>
          <w:b/>
          <w:bCs/>
          <w:sz w:val="27"/>
          <w:rtl/>
        </w:rPr>
        <w:t>وَلَوْ كُنتُ أَعْلَمُ الْغَيْبَ لاَسْتَكْثَرْتُ مِنْ الْخَيْرِ وَمَا مَسَّنِي السُّوءُ</w:t>
      </w:r>
      <w:r w:rsidRPr="00904FCB">
        <w:rPr>
          <w:rFonts w:ascii="Mosawi" w:hAnsi="Mosawi" w:cs="Mosawi"/>
          <w:sz w:val="24"/>
          <w:szCs w:val="24"/>
          <w:rtl/>
        </w:rPr>
        <w:t>﴾</w:t>
      </w:r>
      <w:r w:rsidR="00711928" w:rsidRPr="00904FCB">
        <w:rPr>
          <w:rFonts w:ascii="Times New Roman" w:hAnsi="Times New Roman" w:hint="cs"/>
          <w:sz w:val="27"/>
          <w:rtl/>
        </w:rPr>
        <w:t xml:space="preserve"> </w:t>
      </w:r>
      <w:r w:rsidRPr="00904FCB">
        <w:rPr>
          <w:rFonts w:ascii="Times New Roman" w:hAnsi="Times New Roman"/>
          <w:sz w:val="27"/>
          <w:rtl/>
        </w:rPr>
        <w:t>(الأعراف</w:t>
      </w:r>
      <w:r w:rsidRPr="00904FCB">
        <w:rPr>
          <w:rFonts w:ascii="Times New Roman" w:hAnsi="Times New Roman" w:hint="cs"/>
          <w:sz w:val="27"/>
          <w:rtl/>
        </w:rPr>
        <w:t>:</w:t>
      </w:r>
      <w:r w:rsidRPr="00904FCB">
        <w:rPr>
          <w:rFonts w:ascii="Times New Roman" w:hAnsi="Times New Roman"/>
          <w:sz w:val="27"/>
          <w:rtl/>
        </w:rPr>
        <w:t xml:space="preserve"> </w:t>
      </w:r>
      <w:r w:rsidRPr="00E41E7D">
        <w:rPr>
          <w:rFonts w:ascii="Times New Roman" w:hAnsi="Times New Roman"/>
          <w:sz w:val="27"/>
          <w:rtl/>
        </w:rPr>
        <w:t>188</w:t>
      </w:r>
      <w:r w:rsidRPr="00904FCB">
        <w:rPr>
          <w:rFonts w:ascii="Times New Roman" w:hAnsi="Times New Roman"/>
          <w:sz w:val="27"/>
          <w:rtl/>
        </w:rPr>
        <w:t>)</w:t>
      </w:r>
      <w:r w:rsidR="00711928" w:rsidRPr="00904FCB">
        <w:rPr>
          <w:rFonts w:ascii="Times New Roman" w:hAnsi="Times New Roman" w:hint="cs"/>
          <w:sz w:val="27"/>
          <w:rtl/>
        </w:rPr>
        <w:t>.</w:t>
      </w:r>
      <w:r w:rsidRPr="00904FCB">
        <w:rPr>
          <w:rFonts w:ascii="Times New Roman" w:hAnsi="Times New Roman"/>
          <w:sz w:val="27"/>
          <w:rtl/>
        </w:rPr>
        <w:t xml:space="preserve"> ومن هنا فما يعتقده البعض من أنّ هذا العصر هو عصر ظهور الإمام المهدي</w:t>
      </w:r>
      <w:r w:rsidR="00711928" w:rsidRPr="00904FCB">
        <w:rPr>
          <w:rFonts w:ascii="Times New Roman" w:hAnsi="Times New Roman" w:hint="cs"/>
          <w:sz w:val="27"/>
          <w:rtl/>
        </w:rPr>
        <w:t>ّ</w:t>
      </w:r>
      <w:r w:rsidR="00384B20" w:rsidRPr="00384B20">
        <w:rPr>
          <w:rFonts w:ascii="Mosawi" w:hAnsi="Mosawi" w:cs="Mosawi" w:hint="cs"/>
          <w:sz w:val="22"/>
          <w:szCs w:val="22"/>
          <w:rtl/>
        </w:rPr>
        <w:t>#</w:t>
      </w:r>
      <w:r w:rsidRPr="00904FCB">
        <w:rPr>
          <w:rFonts w:ascii="Times New Roman" w:hAnsi="Times New Roman"/>
          <w:sz w:val="27"/>
          <w:rtl/>
        </w:rPr>
        <w:t>، استناداً إلى رؤيا عالم</w:t>
      </w:r>
      <w:r w:rsidR="00711928" w:rsidRPr="00904FCB">
        <w:rPr>
          <w:rFonts w:ascii="Times New Roman" w:hAnsi="Times New Roman" w:hint="cs"/>
          <w:sz w:val="27"/>
          <w:rtl/>
        </w:rPr>
        <w:t>ٍ</w:t>
      </w:r>
      <w:r w:rsidRPr="00904FCB">
        <w:rPr>
          <w:rFonts w:ascii="Times New Roman" w:hAnsi="Times New Roman"/>
          <w:sz w:val="27"/>
          <w:rtl/>
        </w:rPr>
        <w:t xml:space="preserve"> أو مؤمن رأى فيها الإمام</w:t>
      </w:r>
      <w:r w:rsidR="001C1A2A" w:rsidRPr="00904FCB">
        <w:rPr>
          <w:rFonts w:ascii="Times New Roman" w:hAnsi="Times New Roman" w:cs="Mosawi"/>
          <w:sz w:val="27"/>
          <w:szCs w:val="22"/>
          <w:rtl/>
        </w:rPr>
        <w:t>×</w:t>
      </w:r>
      <w:r w:rsidR="00711928" w:rsidRPr="00904FCB">
        <w:rPr>
          <w:rFonts w:ascii="Times New Roman" w:hAnsi="Times New Roman" w:hint="cs"/>
          <w:sz w:val="27"/>
          <w:rtl/>
        </w:rPr>
        <w:t>،</w:t>
      </w:r>
      <w:r w:rsidRPr="00904FCB">
        <w:rPr>
          <w:rFonts w:ascii="Times New Roman" w:hAnsi="Times New Roman"/>
          <w:sz w:val="27"/>
          <w:rtl/>
        </w:rPr>
        <w:t xml:space="preserve"> وأخبره بذلك</w:t>
      </w:r>
      <w:r w:rsidR="00711928" w:rsidRPr="00904FCB">
        <w:rPr>
          <w:rFonts w:ascii="Times New Roman" w:hAnsi="Times New Roman" w:hint="cs"/>
          <w:sz w:val="27"/>
          <w:rtl/>
        </w:rPr>
        <w:t>،</w:t>
      </w:r>
      <w:r w:rsidRPr="00904FCB">
        <w:rPr>
          <w:rFonts w:ascii="Times New Roman" w:hAnsi="Times New Roman"/>
          <w:sz w:val="27"/>
          <w:rtl/>
        </w:rPr>
        <w:t xml:space="preserve"> هو كلام</w:t>
      </w:r>
      <w:r w:rsidR="00711928" w:rsidRPr="00904FCB">
        <w:rPr>
          <w:rFonts w:ascii="Times New Roman" w:hAnsi="Times New Roman" w:hint="cs"/>
          <w:sz w:val="27"/>
          <w:rtl/>
        </w:rPr>
        <w:t>ٌ</w:t>
      </w:r>
      <w:r w:rsidRPr="00904FCB">
        <w:rPr>
          <w:rFonts w:ascii="Times New Roman" w:hAnsi="Times New Roman"/>
          <w:sz w:val="27"/>
          <w:rtl/>
        </w:rPr>
        <w:t xml:space="preserve"> لا يمكن التعويل عليه.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rFonts w:hint="cs"/>
          <w:color w:val="auto"/>
          <w:rtl/>
        </w:rPr>
        <w:t>ط ـ</w:t>
      </w:r>
      <w:r w:rsidRPr="00904FCB">
        <w:rPr>
          <w:color w:val="auto"/>
          <w:rtl/>
        </w:rPr>
        <w:t xml:space="preserve"> ترتيب الآثار العمليّة</w:t>
      </w:r>
      <w:r w:rsidRPr="00904FCB">
        <w:rPr>
          <w:color w:val="auto"/>
        </w:rPr>
        <w:t>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ليس هناك ما يلزم الإنسان شرعاً بأن يرتّ</w:t>
      </w:r>
      <w:r w:rsidR="00711928" w:rsidRPr="00904FCB">
        <w:rPr>
          <w:rFonts w:ascii="Times New Roman" w:hAnsi="Times New Roman" w:hint="cs"/>
          <w:sz w:val="27"/>
          <w:rtl/>
        </w:rPr>
        <w:t>ِ</w:t>
      </w:r>
      <w:r w:rsidRPr="00904FCB">
        <w:rPr>
          <w:rFonts w:ascii="Times New Roman" w:hAnsi="Times New Roman"/>
          <w:sz w:val="27"/>
          <w:rtl/>
        </w:rPr>
        <w:t>ب أثراً عملياً على المنام</w:t>
      </w:r>
      <w:r w:rsidR="00711928" w:rsidRPr="00904FCB">
        <w:rPr>
          <w:rFonts w:ascii="Times New Roman" w:hAnsi="Times New Roman" w:hint="cs"/>
          <w:sz w:val="27"/>
          <w:rtl/>
        </w:rPr>
        <w:t>.</w:t>
      </w:r>
      <w:r w:rsidRPr="00904FCB">
        <w:rPr>
          <w:rFonts w:ascii="Times New Roman" w:hAnsi="Times New Roman"/>
          <w:sz w:val="27"/>
          <w:rtl/>
        </w:rPr>
        <w:t xml:space="preserve"> فلو رأى في المنام أمراً مزعجاً</w:t>
      </w:r>
      <w:r w:rsidR="00711928" w:rsidRPr="00904FCB">
        <w:rPr>
          <w:rFonts w:ascii="Times New Roman" w:hAnsi="Times New Roman" w:hint="cs"/>
          <w:sz w:val="27"/>
          <w:rtl/>
        </w:rPr>
        <w:t xml:space="preserve">، </w:t>
      </w:r>
      <w:r w:rsidRPr="00904FCB">
        <w:rPr>
          <w:rFonts w:ascii="Times New Roman" w:hAnsi="Times New Roman"/>
          <w:sz w:val="27"/>
          <w:rtl/>
        </w:rPr>
        <w:t>وكان ناوياً للسفر ـ مثلاً ـ</w:t>
      </w:r>
      <w:r w:rsidR="00711928" w:rsidRPr="00904FCB">
        <w:rPr>
          <w:rFonts w:ascii="Times New Roman" w:hAnsi="Times New Roman" w:hint="cs"/>
          <w:sz w:val="27"/>
          <w:rtl/>
        </w:rPr>
        <w:t>،</w:t>
      </w:r>
      <w:r w:rsidRPr="00904FCB">
        <w:rPr>
          <w:rFonts w:ascii="Times New Roman" w:hAnsi="Times New Roman"/>
          <w:sz w:val="27"/>
          <w:rtl/>
        </w:rPr>
        <w:t xml:space="preserve"> فليس عليه الامتناع عن السفر، بل له أن يسافر دون أن يبالي بالمنام</w:t>
      </w:r>
      <w:r w:rsidR="00711928" w:rsidRPr="00904FCB">
        <w:rPr>
          <w:rFonts w:ascii="Times New Roman" w:hAnsi="Times New Roman" w:hint="cs"/>
          <w:sz w:val="27"/>
          <w:rtl/>
        </w:rPr>
        <w:t>.</w:t>
      </w:r>
      <w:r w:rsidRPr="00904FCB">
        <w:rPr>
          <w:rFonts w:ascii="Times New Roman" w:hAnsi="Times New Roman"/>
          <w:sz w:val="27"/>
          <w:rtl/>
        </w:rPr>
        <w:t xml:space="preserve"> ويمكنه أن يدفع الوحشة النفسي</w:t>
      </w:r>
      <w:r w:rsidR="00711928" w:rsidRPr="00904FCB">
        <w:rPr>
          <w:rFonts w:ascii="Times New Roman" w:hAnsi="Times New Roman" w:hint="cs"/>
          <w:sz w:val="27"/>
          <w:rtl/>
        </w:rPr>
        <w:t>ّ</w:t>
      </w:r>
      <w:r w:rsidRPr="00904FCB">
        <w:rPr>
          <w:rFonts w:ascii="Times New Roman" w:hAnsi="Times New Roman"/>
          <w:sz w:val="27"/>
          <w:rtl/>
        </w:rPr>
        <w:t>ة بالص</w:t>
      </w:r>
      <w:r w:rsidR="00711928" w:rsidRPr="00904FCB">
        <w:rPr>
          <w:rFonts w:ascii="Times New Roman" w:hAnsi="Times New Roman" w:hint="cs"/>
          <w:sz w:val="27"/>
          <w:rtl/>
        </w:rPr>
        <w:t>َّ</w:t>
      </w:r>
      <w:r w:rsidRPr="00904FCB">
        <w:rPr>
          <w:rFonts w:ascii="Times New Roman" w:hAnsi="Times New Roman"/>
          <w:sz w:val="27"/>
          <w:rtl/>
        </w:rPr>
        <w:t>د</w:t>
      </w:r>
      <w:r w:rsidR="00711928" w:rsidRPr="00904FCB">
        <w:rPr>
          <w:rFonts w:ascii="Times New Roman" w:hAnsi="Times New Roman" w:hint="cs"/>
          <w:sz w:val="27"/>
          <w:rtl/>
        </w:rPr>
        <w:t>َ</w:t>
      </w:r>
      <w:r w:rsidRPr="00904FCB">
        <w:rPr>
          <w:rFonts w:ascii="Times New Roman" w:hAnsi="Times New Roman"/>
          <w:sz w:val="27"/>
          <w:rtl/>
        </w:rPr>
        <w:t>قة، وله أيضاً أن يؤخّ</w:t>
      </w:r>
      <w:r w:rsidR="00711928" w:rsidRPr="00904FCB">
        <w:rPr>
          <w:rFonts w:ascii="Times New Roman" w:hAnsi="Times New Roman" w:hint="cs"/>
          <w:sz w:val="27"/>
          <w:rtl/>
        </w:rPr>
        <w:t>ِ</w:t>
      </w:r>
      <w:r w:rsidRPr="00904FCB">
        <w:rPr>
          <w:rFonts w:ascii="Times New Roman" w:hAnsi="Times New Roman"/>
          <w:sz w:val="27"/>
          <w:rtl/>
        </w:rPr>
        <w:t>ر السفر إلى وقت</w:t>
      </w:r>
      <w:r w:rsidR="00711928" w:rsidRPr="00904FCB">
        <w:rPr>
          <w:rFonts w:ascii="Times New Roman" w:hAnsi="Times New Roman" w:hint="cs"/>
          <w:sz w:val="27"/>
          <w:rtl/>
        </w:rPr>
        <w:t>ٍ</w:t>
      </w:r>
      <w:r w:rsidRPr="00904FCB">
        <w:rPr>
          <w:rFonts w:ascii="Times New Roman" w:hAnsi="Times New Roman"/>
          <w:sz w:val="27"/>
          <w:rtl/>
        </w:rPr>
        <w:t xml:space="preserve"> آخر، لكن</w:t>
      </w:r>
      <w:r w:rsidR="00711928" w:rsidRPr="00904FCB">
        <w:rPr>
          <w:rFonts w:ascii="Times New Roman" w:hAnsi="Times New Roman" w:hint="cs"/>
          <w:sz w:val="27"/>
          <w:rtl/>
        </w:rPr>
        <w:t>ْ</w:t>
      </w:r>
      <w:r w:rsidRPr="00904FCB">
        <w:rPr>
          <w:rFonts w:ascii="Times New Roman" w:hAnsi="Times New Roman"/>
          <w:sz w:val="27"/>
          <w:rtl/>
        </w:rPr>
        <w:t xml:space="preserve"> لا من منطلق حج</w:t>
      </w:r>
      <w:r w:rsidR="00711928" w:rsidRPr="00904FCB">
        <w:rPr>
          <w:rFonts w:ascii="Times New Roman" w:hAnsi="Times New Roman" w:hint="cs"/>
          <w:sz w:val="27"/>
          <w:rtl/>
        </w:rPr>
        <w:t>ّ</w:t>
      </w:r>
      <w:r w:rsidRPr="00904FCB">
        <w:rPr>
          <w:rFonts w:ascii="Times New Roman" w:hAnsi="Times New Roman"/>
          <w:sz w:val="27"/>
          <w:rtl/>
        </w:rPr>
        <w:t>ية المنام</w:t>
      </w:r>
      <w:r w:rsidR="00711928" w:rsidRPr="00904FCB">
        <w:rPr>
          <w:rFonts w:ascii="Times New Roman" w:hAnsi="Times New Roman" w:hint="cs"/>
          <w:sz w:val="27"/>
          <w:rtl/>
        </w:rPr>
        <w:t>،</w:t>
      </w:r>
      <w:r w:rsidRPr="00904FCB">
        <w:rPr>
          <w:rFonts w:ascii="Times New Roman" w:hAnsi="Times New Roman"/>
          <w:sz w:val="27"/>
          <w:rtl/>
        </w:rPr>
        <w:t xml:space="preserve"> وشريطة أن نحاذر من أن يتحوّ</w:t>
      </w:r>
      <w:r w:rsidR="00711928" w:rsidRPr="00904FCB">
        <w:rPr>
          <w:rFonts w:ascii="Times New Roman" w:hAnsi="Times New Roman" w:hint="cs"/>
          <w:sz w:val="27"/>
          <w:rtl/>
        </w:rPr>
        <w:t>َ</w:t>
      </w:r>
      <w:r w:rsidRPr="00904FCB">
        <w:rPr>
          <w:rFonts w:ascii="Times New Roman" w:hAnsi="Times New Roman"/>
          <w:sz w:val="27"/>
          <w:rtl/>
        </w:rPr>
        <w:t>ل هذا الأمر ـ وهو ترك السفر تعويلاً على المنام ـ إلى سلوك</w:t>
      </w:r>
      <w:r w:rsidR="00711928" w:rsidRPr="00904FCB">
        <w:rPr>
          <w:rFonts w:ascii="Times New Roman" w:hAnsi="Times New Roman" w:hint="cs"/>
          <w:sz w:val="27"/>
          <w:rtl/>
        </w:rPr>
        <w:t>ٍ</w:t>
      </w:r>
      <w:r w:rsidRPr="00904FCB">
        <w:rPr>
          <w:rFonts w:ascii="Times New Roman" w:hAnsi="Times New Roman"/>
          <w:sz w:val="27"/>
          <w:rtl/>
        </w:rPr>
        <w:t xml:space="preserve"> دائم، بما قد يربك حياة الإنسان.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وربما يأتيك بعض الأشخاص</w:t>
      </w:r>
      <w:r w:rsidR="004F634B" w:rsidRPr="00904FCB">
        <w:rPr>
          <w:rFonts w:ascii="Times New Roman" w:hAnsi="Times New Roman" w:hint="cs"/>
          <w:sz w:val="27"/>
          <w:rtl/>
        </w:rPr>
        <w:t>،</w:t>
      </w:r>
      <w:r w:rsidRPr="00904FCB">
        <w:rPr>
          <w:rFonts w:ascii="Times New Roman" w:hAnsi="Times New Roman"/>
          <w:sz w:val="27"/>
          <w:rtl/>
        </w:rPr>
        <w:t xml:space="preserve"> ويقصّ عليك مناماً مفاده أنّه رأى أباه أو أخاه يُعذ</w:t>
      </w:r>
      <w:r w:rsidR="004F634B" w:rsidRPr="00904FCB">
        <w:rPr>
          <w:rFonts w:ascii="Times New Roman" w:hAnsi="Times New Roman" w:hint="cs"/>
          <w:sz w:val="27"/>
          <w:rtl/>
        </w:rPr>
        <w:t>َّ</w:t>
      </w:r>
      <w:r w:rsidRPr="00904FCB">
        <w:rPr>
          <w:rFonts w:ascii="Times New Roman" w:hAnsi="Times New Roman"/>
          <w:sz w:val="27"/>
          <w:rtl/>
        </w:rPr>
        <w:t>ب في النار، أو أنّه غير مرتاح، ويسأله: لماذا أنت</w:t>
      </w:r>
      <w:r w:rsidR="004F634B" w:rsidRPr="00904FCB">
        <w:rPr>
          <w:rFonts w:ascii="Times New Roman" w:hAnsi="Times New Roman" w:hint="cs"/>
          <w:sz w:val="27"/>
          <w:rtl/>
        </w:rPr>
        <w:t>َ</w:t>
      </w:r>
      <w:r w:rsidRPr="00904FCB">
        <w:rPr>
          <w:rFonts w:ascii="Times New Roman" w:hAnsi="Times New Roman"/>
          <w:sz w:val="27"/>
          <w:rtl/>
        </w:rPr>
        <w:t xml:space="preserve"> كذلك؟ فيقول له مجيباً: إنني أُعذ</w:t>
      </w:r>
      <w:r w:rsidR="004F634B" w:rsidRPr="00904FCB">
        <w:rPr>
          <w:rFonts w:ascii="Times New Roman" w:hAnsi="Times New Roman" w:hint="cs"/>
          <w:sz w:val="27"/>
          <w:rtl/>
        </w:rPr>
        <w:t>َّ</w:t>
      </w:r>
      <w:r w:rsidRPr="00904FCB">
        <w:rPr>
          <w:rFonts w:ascii="Times New Roman" w:hAnsi="Times New Roman"/>
          <w:sz w:val="27"/>
          <w:rtl/>
        </w:rPr>
        <w:t>ب</w:t>
      </w:r>
      <w:r w:rsidR="004F634B" w:rsidRPr="00904FCB">
        <w:rPr>
          <w:rFonts w:ascii="Times New Roman" w:hAnsi="Times New Roman" w:hint="cs"/>
          <w:sz w:val="27"/>
          <w:rtl/>
        </w:rPr>
        <w:t>؛</w:t>
      </w:r>
      <w:r w:rsidRPr="00904FCB">
        <w:rPr>
          <w:rFonts w:ascii="Times New Roman" w:hAnsi="Times New Roman"/>
          <w:sz w:val="27"/>
          <w:rtl/>
        </w:rPr>
        <w:t xml:space="preserve"> لأن</w:t>
      </w:r>
      <w:r w:rsidR="004F634B" w:rsidRPr="00904FCB">
        <w:rPr>
          <w:rFonts w:ascii="Times New Roman" w:hAnsi="Times New Roman" w:hint="cs"/>
          <w:sz w:val="27"/>
          <w:rtl/>
        </w:rPr>
        <w:t>ّ</w:t>
      </w:r>
      <w:r w:rsidRPr="00904FCB">
        <w:rPr>
          <w:rFonts w:ascii="Times New Roman" w:hAnsi="Times New Roman"/>
          <w:sz w:val="27"/>
          <w:rtl/>
        </w:rPr>
        <w:t>ني مدين</w:t>
      </w:r>
      <w:r w:rsidR="004F634B" w:rsidRPr="00904FCB">
        <w:rPr>
          <w:rFonts w:ascii="Times New Roman" w:hAnsi="Times New Roman" w:hint="cs"/>
          <w:sz w:val="27"/>
          <w:rtl/>
        </w:rPr>
        <w:t>ٌ</w:t>
      </w:r>
      <w:r w:rsidRPr="00904FCB">
        <w:rPr>
          <w:rFonts w:ascii="Times New Roman" w:hAnsi="Times New Roman"/>
          <w:sz w:val="27"/>
          <w:rtl/>
        </w:rPr>
        <w:t xml:space="preserve"> لفلان، أو لأنّي لم أصلّ</w:t>
      </w:r>
      <w:r w:rsidR="004F634B" w:rsidRPr="00904FCB">
        <w:rPr>
          <w:rFonts w:ascii="Times New Roman" w:hAnsi="Times New Roman" w:hint="cs"/>
          <w:sz w:val="27"/>
          <w:rtl/>
        </w:rPr>
        <w:t>ِ</w:t>
      </w:r>
      <w:r w:rsidRPr="00904FCB">
        <w:rPr>
          <w:rFonts w:ascii="Times New Roman" w:hAnsi="Times New Roman"/>
          <w:sz w:val="27"/>
          <w:rtl/>
        </w:rPr>
        <w:t xml:space="preserve"> جيداً، أو لأن</w:t>
      </w:r>
      <w:r w:rsidR="004F634B" w:rsidRPr="00904FCB">
        <w:rPr>
          <w:rFonts w:ascii="Times New Roman" w:hAnsi="Times New Roman" w:hint="cs"/>
          <w:sz w:val="27"/>
          <w:rtl/>
        </w:rPr>
        <w:t>ّ</w:t>
      </w:r>
      <w:r w:rsidRPr="00904FCB">
        <w:rPr>
          <w:rFonts w:ascii="Times New Roman" w:hAnsi="Times New Roman"/>
          <w:sz w:val="27"/>
          <w:rtl/>
        </w:rPr>
        <w:t>ي لم أحج</w:t>
      </w:r>
      <w:r w:rsidR="004F634B" w:rsidRPr="00904FCB">
        <w:rPr>
          <w:rFonts w:ascii="Times New Roman" w:hAnsi="Times New Roman" w:hint="cs"/>
          <w:sz w:val="27"/>
          <w:rtl/>
        </w:rPr>
        <w:t>ّ</w:t>
      </w:r>
      <w:r w:rsidRPr="00904FCB">
        <w:rPr>
          <w:rFonts w:ascii="Times New Roman" w:hAnsi="Times New Roman"/>
          <w:sz w:val="27"/>
          <w:rtl/>
        </w:rPr>
        <w:t>، ففي مثل هذه الحالة ربما يَح</w:t>
      </w:r>
      <w:r w:rsidR="004F634B" w:rsidRPr="00904FCB">
        <w:rPr>
          <w:rFonts w:ascii="Times New Roman" w:hAnsi="Times New Roman" w:hint="cs"/>
          <w:sz w:val="27"/>
          <w:rtl/>
        </w:rPr>
        <w:t>ْ</w:t>
      </w:r>
      <w:r w:rsidRPr="00904FCB">
        <w:rPr>
          <w:rFonts w:ascii="Times New Roman" w:hAnsi="Times New Roman"/>
          <w:sz w:val="27"/>
          <w:rtl/>
        </w:rPr>
        <w:t>سُن بالإنسان أن يصل</w:t>
      </w:r>
      <w:r w:rsidR="004F634B" w:rsidRPr="00904FCB">
        <w:rPr>
          <w:rFonts w:ascii="Times New Roman" w:hAnsi="Times New Roman" w:hint="cs"/>
          <w:sz w:val="27"/>
          <w:rtl/>
        </w:rPr>
        <w:t>ّ</w:t>
      </w:r>
      <w:r w:rsidRPr="00904FCB">
        <w:rPr>
          <w:rFonts w:ascii="Times New Roman" w:hAnsi="Times New Roman"/>
          <w:sz w:val="27"/>
          <w:rtl/>
        </w:rPr>
        <w:t>ي عن والده الميت أو يحج</w:t>
      </w:r>
      <w:r w:rsidR="004F634B" w:rsidRPr="00904FCB">
        <w:rPr>
          <w:rFonts w:ascii="Times New Roman" w:hAnsi="Times New Roman" w:hint="cs"/>
          <w:sz w:val="27"/>
          <w:rtl/>
        </w:rPr>
        <w:t>ّ</w:t>
      </w:r>
      <w:r w:rsidRPr="00904FCB">
        <w:rPr>
          <w:rFonts w:ascii="Times New Roman" w:hAnsi="Times New Roman"/>
          <w:sz w:val="27"/>
          <w:rtl/>
        </w:rPr>
        <w:t xml:space="preserve"> عنه، وهذا من مصاديق صلة الأرحام المطلوبة حت</w:t>
      </w:r>
      <w:r w:rsidR="004F634B" w:rsidRPr="00904FCB">
        <w:rPr>
          <w:rFonts w:ascii="Times New Roman" w:hAnsi="Times New Roman" w:hint="cs"/>
          <w:sz w:val="27"/>
          <w:rtl/>
        </w:rPr>
        <w:t>ّ</w:t>
      </w:r>
      <w:r w:rsidRPr="00904FCB">
        <w:rPr>
          <w:rFonts w:ascii="Times New Roman" w:hAnsi="Times New Roman"/>
          <w:sz w:val="27"/>
          <w:rtl/>
        </w:rPr>
        <w:t>ى بعد الموت، ولكن</w:t>
      </w:r>
      <w:r w:rsidR="004F634B" w:rsidRPr="00904FCB">
        <w:rPr>
          <w:rFonts w:ascii="Times New Roman" w:hAnsi="Times New Roman" w:hint="cs"/>
          <w:sz w:val="27"/>
          <w:rtl/>
        </w:rPr>
        <w:t>ْ</w:t>
      </w:r>
      <w:r w:rsidRPr="00904FCB">
        <w:rPr>
          <w:rFonts w:ascii="Times New Roman" w:hAnsi="Times New Roman"/>
          <w:sz w:val="27"/>
          <w:rtl/>
        </w:rPr>
        <w:t xml:space="preserve"> هل يجب عليه شرعاً ذلك؟ الجواب: لا، فلا يجب عليك أن تدفع لفلان مالاً، ولا يجب عليك أن تصوم أو تحج</w:t>
      </w:r>
      <w:r w:rsidR="004F634B" w:rsidRPr="00904FCB">
        <w:rPr>
          <w:rFonts w:ascii="Times New Roman" w:hAnsi="Times New Roman" w:hint="cs"/>
          <w:sz w:val="27"/>
          <w:rtl/>
        </w:rPr>
        <w:t>ّ</w:t>
      </w:r>
      <w:r w:rsidRPr="00904FCB">
        <w:rPr>
          <w:rFonts w:ascii="Times New Roman" w:hAnsi="Times New Roman"/>
          <w:sz w:val="27"/>
          <w:rtl/>
        </w:rPr>
        <w:t xml:space="preserve"> عنه.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E41E7D">
        <w:rPr>
          <w:rFonts w:hint="cs"/>
          <w:color w:val="auto"/>
          <w:rtl/>
        </w:rPr>
        <w:t>3ـ</w:t>
      </w:r>
      <w:r w:rsidRPr="00E41E7D">
        <w:rPr>
          <w:color w:val="auto"/>
          <w:rtl/>
        </w:rPr>
        <w:t xml:space="preserve"> المنامات</w:t>
      </w:r>
      <w:r w:rsidRPr="00904FCB">
        <w:rPr>
          <w:color w:val="auto"/>
          <w:rtl/>
        </w:rPr>
        <w:t xml:space="preserve"> المبش</w:t>
      </w:r>
      <w:r w:rsidRPr="00904FCB">
        <w:rPr>
          <w:rFonts w:hint="cs"/>
          <w:color w:val="auto"/>
          <w:rtl/>
        </w:rPr>
        <w:t>ِّ</w:t>
      </w:r>
      <w:r w:rsidRPr="00904FCB">
        <w:rPr>
          <w:color w:val="auto"/>
          <w:rtl/>
        </w:rPr>
        <w:t>رات</w:t>
      </w:r>
      <w:r w:rsidRPr="00904FCB">
        <w:rPr>
          <w:color w:val="auto"/>
        </w:rPr>
        <w:t>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هل يعني ما تقد</w:t>
      </w:r>
      <w:r w:rsidR="004F634B" w:rsidRPr="00904FCB">
        <w:rPr>
          <w:rFonts w:ascii="Times New Roman" w:hAnsi="Times New Roman" w:hint="cs"/>
          <w:sz w:val="27"/>
          <w:rtl/>
        </w:rPr>
        <w:t>َّ</w:t>
      </w:r>
      <w:r w:rsidRPr="00904FCB">
        <w:rPr>
          <w:rFonts w:ascii="Times New Roman" w:hAnsi="Times New Roman"/>
          <w:sz w:val="27"/>
          <w:rtl/>
        </w:rPr>
        <w:t>م أنّ المنام لا قيمة له على الإطلاق في ميزان الش</w:t>
      </w:r>
      <w:r w:rsidR="004F634B" w:rsidRPr="00904FCB">
        <w:rPr>
          <w:rFonts w:ascii="Times New Roman" w:hAnsi="Times New Roman" w:hint="cs"/>
          <w:sz w:val="27"/>
          <w:rtl/>
        </w:rPr>
        <w:t>َّ</w:t>
      </w:r>
      <w:r w:rsidRPr="00904FCB">
        <w:rPr>
          <w:rFonts w:ascii="Times New Roman" w:hAnsi="Times New Roman"/>
          <w:sz w:val="27"/>
          <w:rtl/>
        </w:rPr>
        <w:t>ر</w:t>
      </w:r>
      <w:r w:rsidR="004F634B" w:rsidRPr="00904FCB">
        <w:rPr>
          <w:rFonts w:ascii="Times New Roman" w:hAnsi="Times New Roman" w:hint="cs"/>
          <w:sz w:val="27"/>
          <w:rtl/>
        </w:rPr>
        <w:t>ْ</w:t>
      </w:r>
      <w:r w:rsidRPr="00904FCB">
        <w:rPr>
          <w:rFonts w:ascii="Times New Roman" w:hAnsi="Times New Roman"/>
          <w:sz w:val="27"/>
          <w:rtl/>
        </w:rPr>
        <w:t>ع والد</w:t>
      </w:r>
      <w:r w:rsidR="004F634B" w:rsidRPr="00904FCB">
        <w:rPr>
          <w:rFonts w:ascii="Times New Roman" w:hAnsi="Times New Roman" w:hint="cs"/>
          <w:sz w:val="27"/>
          <w:rtl/>
        </w:rPr>
        <w:t>ِّ</w:t>
      </w:r>
      <w:r w:rsidRPr="00904FCB">
        <w:rPr>
          <w:rFonts w:ascii="Times New Roman" w:hAnsi="Times New Roman"/>
          <w:sz w:val="27"/>
          <w:rtl/>
        </w:rPr>
        <w:t xml:space="preserve">ين؟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الجواب: خارج المجالات المشار إليه</w:t>
      </w:r>
      <w:r w:rsidR="004F634B" w:rsidRPr="00904FCB">
        <w:rPr>
          <w:rFonts w:ascii="Times New Roman" w:hAnsi="Times New Roman" w:hint="cs"/>
          <w:sz w:val="27"/>
          <w:rtl/>
        </w:rPr>
        <w:t>،</w:t>
      </w:r>
      <w:r w:rsidRPr="00904FCB">
        <w:rPr>
          <w:rFonts w:ascii="Times New Roman" w:hAnsi="Times New Roman"/>
          <w:sz w:val="27"/>
          <w:rtl/>
        </w:rPr>
        <w:t xml:space="preserve"> والتي ذكرنا أنّه لا مجال للتعويل على المنام فيها، </w:t>
      </w:r>
      <w:r w:rsidR="004F634B" w:rsidRPr="00904FCB">
        <w:rPr>
          <w:rFonts w:ascii="Times New Roman" w:hAnsi="Times New Roman" w:hint="cs"/>
          <w:sz w:val="27"/>
          <w:rtl/>
        </w:rPr>
        <w:t>ف</w:t>
      </w:r>
      <w:r w:rsidR="004F634B" w:rsidRPr="00904FCB">
        <w:rPr>
          <w:rFonts w:ascii="Times New Roman" w:hAnsi="Times New Roman"/>
          <w:sz w:val="27"/>
          <w:rtl/>
        </w:rPr>
        <w:t>إنّ</w:t>
      </w:r>
      <w:r w:rsidR="004F634B" w:rsidRPr="00904FCB">
        <w:rPr>
          <w:rFonts w:ascii="Times New Roman" w:hAnsi="Times New Roman" w:hint="cs"/>
          <w:sz w:val="27"/>
          <w:rtl/>
        </w:rPr>
        <w:t xml:space="preserve"> للمنام</w:t>
      </w:r>
      <w:r w:rsidR="004F634B" w:rsidRPr="00904FCB">
        <w:rPr>
          <w:rFonts w:ascii="Times New Roman" w:hAnsi="Times New Roman"/>
          <w:sz w:val="27"/>
          <w:rtl/>
        </w:rPr>
        <w:t xml:space="preserve"> جملة</w:t>
      </w:r>
      <w:r w:rsidR="004F634B" w:rsidRPr="00904FCB">
        <w:rPr>
          <w:rFonts w:ascii="Times New Roman" w:hAnsi="Times New Roman" w:hint="cs"/>
          <w:sz w:val="27"/>
          <w:rtl/>
        </w:rPr>
        <w:t>ً</w:t>
      </w:r>
      <w:r w:rsidRPr="00904FCB">
        <w:rPr>
          <w:rFonts w:ascii="Times New Roman" w:hAnsi="Times New Roman"/>
          <w:sz w:val="27"/>
          <w:rtl/>
        </w:rPr>
        <w:t xml:space="preserve"> من الفوائد الدينية، ومن أهم</w:t>
      </w:r>
      <w:r w:rsidR="004F634B" w:rsidRPr="00904FCB">
        <w:rPr>
          <w:rFonts w:ascii="Times New Roman" w:hAnsi="Times New Roman" w:hint="cs"/>
          <w:sz w:val="27"/>
          <w:rtl/>
        </w:rPr>
        <w:t>ّ</w:t>
      </w:r>
      <w:r w:rsidRPr="00904FCB">
        <w:rPr>
          <w:rFonts w:ascii="Times New Roman" w:hAnsi="Times New Roman"/>
          <w:sz w:val="27"/>
          <w:rtl/>
        </w:rPr>
        <w:t xml:space="preserve">ها: </w:t>
      </w:r>
    </w:p>
    <w:p w:rsidR="00057E24" w:rsidRPr="00904FCB" w:rsidRDefault="00057E24" w:rsidP="007A21AA">
      <w:pPr>
        <w:spacing w:line="400" w:lineRule="exact"/>
        <w:rPr>
          <w:rFonts w:ascii="Times New Roman" w:hAnsi="Times New Roman"/>
          <w:sz w:val="27"/>
        </w:rPr>
      </w:pPr>
      <w:r w:rsidRPr="00E41E7D">
        <w:rPr>
          <w:rFonts w:ascii="Times New Roman" w:hAnsi="Times New Roman" w:hint="cs"/>
          <w:sz w:val="27"/>
          <w:rtl/>
        </w:rPr>
        <w:t>1ـ</w:t>
      </w:r>
      <w:r w:rsidRPr="00904FCB">
        <w:rPr>
          <w:rFonts w:ascii="Times New Roman" w:hAnsi="Times New Roman"/>
          <w:sz w:val="27"/>
          <w:rtl/>
        </w:rPr>
        <w:t xml:space="preserve"> </w:t>
      </w:r>
      <w:r w:rsidR="004F634B" w:rsidRPr="00904FCB">
        <w:rPr>
          <w:rFonts w:ascii="Times New Roman" w:hAnsi="Times New Roman" w:hint="cs"/>
          <w:sz w:val="27"/>
          <w:rtl/>
        </w:rPr>
        <w:t>إ</w:t>
      </w:r>
      <w:r w:rsidRPr="00904FCB">
        <w:rPr>
          <w:rFonts w:ascii="Times New Roman" w:hAnsi="Times New Roman"/>
          <w:sz w:val="27"/>
          <w:rtl/>
        </w:rPr>
        <w:t>نّه يمكن اعتباره آيةً على عظيم قدرة الخالق</w:t>
      </w:r>
      <w:r w:rsidR="004F634B" w:rsidRPr="00904FCB">
        <w:rPr>
          <w:rFonts w:ascii="Times New Roman" w:hAnsi="Times New Roman" w:hint="cs"/>
          <w:sz w:val="27"/>
          <w:rtl/>
        </w:rPr>
        <w:t>،</w:t>
      </w:r>
      <w:r w:rsidRPr="00904FCB">
        <w:rPr>
          <w:rFonts w:ascii="Times New Roman" w:hAnsi="Times New Roman"/>
          <w:sz w:val="27"/>
          <w:rtl/>
        </w:rPr>
        <w:t xml:space="preserve"> ومؤش</w:t>
      </w:r>
      <w:r w:rsidR="004F634B" w:rsidRPr="00904FCB">
        <w:rPr>
          <w:rFonts w:ascii="Times New Roman" w:hAnsi="Times New Roman" w:hint="cs"/>
          <w:sz w:val="27"/>
          <w:rtl/>
        </w:rPr>
        <w:t>ِّ</w:t>
      </w:r>
      <w:r w:rsidRPr="00904FCB">
        <w:rPr>
          <w:rFonts w:ascii="Times New Roman" w:hAnsi="Times New Roman"/>
          <w:sz w:val="27"/>
          <w:rtl/>
        </w:rPr>
        <w:t>راً قوي</w:t>
      </w:r>
      <w:r w:rsidR="004F634B" w:rsidRPr="00904FCB">
        <w:rPr>
          <w:rFonts w:ascii="Times New Roman" w:hAnsi="Times New Roman" w:hint="cs"/>
          <w:sz w:val="27"/>
          <w:rtl/>
        </w:rPr>
        <w:t>ّ</w:t>
      </w:r>
      <w:r w:rsidRPr="00904FCB">
        <w:rPr>
          <w:rFonts w:ascii="Times New Roman" w:hAnsi="Times New Roman"/>
          <w:sz w:val="27"/>
          <w:rtl/>
        </w:rPr>
        <w:t xml:space="preserve">اً على تأكيد </w:t>
      </w:r>
      <w:r w:rsidRPr="00904FCB">
        <w:rPr>
          <w:rFonts w:ascii="Times New Roman" w:hAnsi="Times New Roman"/>
          <w:sz w:val="27"/>
          <w:rtl/>
        </w:rPr>
        <w:lastRenderedPageBreak/>
        <w:t>مبدأ الغيب</w:t>
      </w:r>
      <w:r w:rsidR="004F634B" w:rsidRPr="00904FCB">
        <w:rPr>
          <w:rFonts w:ascii="Times New Roman" w:hAnsi="Times New Roman" w:hint="cs"/>
          <w:sz w:val="27"/>
          <w:rtl/>
        </w:rPr>
        <w:t>؛</w:t>
      </w:r>
      <w:r w:rsidRPr="00904FCB">
        <w:rPr>
          <w:rFonts w:ascii="Times New Roman" w:hAnsi="Times New Roman"/>
          <w:sz w:val="27"/>
          <w:rtl/>
        </w:rPr>
        <w:t xml:space="preserve"> </w:t>
      </w:r>
      <w:r w:rsidR="004F634B" w:rsidRPr="00904FCB">
        <w:rPr>
          <w:rFonts w:ascii="Times New Roman" w:hAnsi="Times New Roman"/>
          <w:sz w:val="27"/>
          <w:rtl/>
        </w:rPr>
        <w:t>إذ كيف لنا أن نفس</w:t>
      </w:r>
      <w:r w:rsidR="004F634B" w:rsidRPr="00904FCB">
        <w:rPr>
          <w:rFonts w:ascii="Times New Roman" w:hAnsi="Times New Roman" w:hint="cs"/>
          <w:sz w:val="27"/>
          <w:rtl/>
        </w:rPr>
        <w:t>ِّ</w:t>
      </w:r>
      <w:r w:rsidRPr="00904FCB">
        <w:rPr>
          <w:rFonts w:ascii="Times New Roman" w:hAnsi="Times New Roman"/>
          <w:sz w:val="27"/>
          <w:rtl/>
        </w:rPr>
        <w:t>ر ما يراه النائم من أحداث أو صور بعيدة عن ناظريه ولم يكن على معرفة</w:t>
      </w:r>
      <w:r w:rsidR="004F634B" w:rsidRPr="00904FCB">
        <w:rPr>
          <w:rFonts w:ascii="Times New Roman" w:hAnsi="Times New Roman" w:hint="cs"/>
          <w:sz w:val="27"/>
          <w:rtl/>
        </w:rPr>
        <w:t>ٍ</w:t>
      </w:r>
      <w:r w:rsidRPr="00904FCB">
        <w:rPr>
          <w:rFonts w:ascii="Times New Roman" w:hAnsi="Times New Roman"/>
          <w:sz w:val="27"/>
          <w:rtl/>
        </w:rPr>
        <w:t xml:space="preserve"> بها ومن ثم</w:t>
      </w:r>
      <w:r w:rsidR="004F634B" w:rsidRPr="00904FCB">
        <w:rPr>
          <w:rFonts w:ascii="Times New Roman" w:hAnsi="Times New Roman" w:hint="cs"/>
          <w:sz w:val="27"/>
          <w:rtl/>
        </w:rPr>
        <w:t>ّ</w:t>
      </w:r>
      <w:r w:rsidRPr="00904FCB">
        <w:rPr>
          <w:rFonts w:ascii="Times New Roman" w:hAnsi="Times New Roman"/>
          <w:sz w:val="27"/>
          <w:rtl/>
        </w:rPr>
        <w:t xml:space="preserve"> تأتي رؤياه مطابقة للواقع؟ أليس هذا مؤش</w:t>
      </w:r>
      <w:r w:rsidR="004F634B" w:rsidRPr="00904FCB">
        <w:rPr>
          <w:rFonts w:ascii="Times New Roman" w:hAnsi="Times New Roman" w:hint="cs"/>
          <w:sz w:val="27"/>
          <w:rtl/>
        </w:rPr>
        <w:t>ِّ</w:t>
      </w:r>
      <w:r w:rsidRPr="00904FCB">
        <w:rPr>
          <w:rFonts w:ascii="Times New Roman" w:hAnsi="Times New Roman"/>
          <w:sz w:val="27"/>
          <w:rtl/>
        </w:rPr>
        <w:t>راً على أنّ ثم</w:t>
      </w:r>
      <w:r w:rsidR="004F634B" w:rsidRPr="00904FCB">
        <w:rPr>
          <w:rFonts w:ascii="Times New Roman" w:hAnsi="Times New Roman" w:hint="cs"/>
          <w:sz w:val="27"/>
          <w:rtl/>
        </w:rPr>
        <w:t>ّ</w:t>
      </w:r>
      <w:r w:rsidRPr="00904FCB">
        <w:rPr>
          <w:rFonts w:ascii="Times New Roman" w:hAnsi="Times New Roman"/>
          <w:sz w:val="27"/>
          <w:rtl/>
        </w:rPr>
        <w:t>ة عالماً آخر يتجاوز عالم الحس</w:t>
      </w:r>
      <w:r w:rsidR="004F634B" w:rsidRPr="00904FCB">
        <w:rPr>
          <w:rFonts w:ascii="Times New Roman" w:hAnsi="Times New Roman" w:hint="cs"/>
          <w:sz w:val="27"/>
          <w:rtl/>
        </w:rPr>
        <w:t>ّ</w:t>
      </w:r>
      <w:r w:rsidRPr="00904FCB">
        <w:rPr>
          <w:rFonts w:ascii="Times New Roman" w:hAnsi="Times New Roman"/>
          <w:sz w:val="27"/>
          <w:rtl/>
        </w:rPr>
        <w:t xml:space="preserve"> والماد</w:t>
      </w:r>
      <w:r w:rsidR="004F634B" w:rsidRPr="00904FCB">
        <w:rPr>
          <w:rFonts w:ascii="Times New Roman" w:hAnsi="Times New Roman" w:hint="cs"/>
          <w:sz w:val="27"/>
          <w:rtl/>
        </w:rPr>
        <w:t>ّ</w:t>
      </w:r>
      <w:r w:rsidRPr="00904FCB">
        <w:rPr>
          <w:rFonts w:ascii="Times New Roman" w:hAnsi="Times New Roman"/>
          <w:sz w:val="27"/>
          <w:rtl/>
        </w:rPr>
        <w:t xml:space="preserve">ة المألوف لنا. </w:t>
      </w:r>
    </w:p>
    <w:p w:rsidR="00057E24" w:rsidRPr="00904FCB" w:rsidRDefault="00057E24" w:rsidP="007A21AA">
      <w:pPr>
        <w:spacing w:line="400" w:lineRule="exact"/>
        <w:rPr>
          <w:rFonts w:ascii="Times New Roman" w:hAnsi="Times New Roman"/>
          <w:sz w:val="27"/>
          <w:vertAlign w:val="superscript"/>
          <w:rtl/>
        </w:rPr>
      </w:pPr>
      <w:r w:rsidRPr="00E41E7D">
        <w:rPr>
          <w:rFonts w:ascii="Times New Roman" w:hAnsi="Times New Roman" w:hint="cs"/>
          <w:sz w:val="27"/>
          <w:rtl/>
        </w:rPr>
        <w:t>2ـ</w:t>
      </w:r>
      <w:r w:rsidRPr="00904FCB">
        <w:rPr>
          <w:rFonts w:ascii="Times New Roman" w:hAnsi="Times New Roman"/>
          <w:b/>
          <w:bCs/>
          <w:sz w:val="27"/>
          <w:rtl/>
        </w:rPr>
        <w:t xml:space="preserve"> </w:t>
      </w:r>
      <w:r w:rsidRPr="00904FCB">
        <w:rPr>
          <w:rFonts w:ascii="Times New Roman" w:hAnsi="Times New Roman"/>
          <w:sz w:val="27"/>
          <w:rtl/>
        </w:rPr>
        <w:t>وبالإضافة إلى ذلك، فإنّ المنام يمكن أن يكون بشارة للإنسان المؤمن</w:t>
      </w:r>
      <w:r w:rsidR="00080EF2" w:rsidRPr="00904FCB">
        <w:rPr>
          <w:rFonts w:ascii="Times New Roman" w:hAnsi="Times New Roman" w:hint="cs"/>
          <w:sz w:val="27"/>
          <w:rtl/>
        </w:rPr>
        <w:t>.</w:t>
      </w:r>
      <w:r w:rsidRPr="00904FCB">
        <w:rPr>
          <w:rFonts w:ascii="Times New Roman" w:hAnsi="Times New Roman"/>
          <w:sz w:val="27"/>
          <w:rtl/>
        </w:rPr>
        <w:t xml:space="preserve"> وهذا ما أشارت إليه الأحاديث</w:t>
      </w:r>
      <w:r w:rsidR="00080EF2" w:rsidRPr="00904FCB">
        <w:rPr>
          <w:rFonts w:ascii="Times New Roman" w:hAnsi="Times New Roman" w:hint="cs"/>
          <w:sz w:val="27"/>
          <w:rtl/>
        </w:rPr>
        <w:t>.</w:t>
      </w:r>
      <w:r w:rsidRPr="00904FCB">
        <w:rPr>
          <w:rFonts w:ascii="Times New Roman" w:hAnsi="Times New Roman"/>
          <w:sz w:val="27"/>
          <w:rtl/>
        </w:rPr>
        <w:t xml:space="preserve"> ففي الخبر الصحيح</w:t>
      </w:r>
      <w:r w:rsidR="00080EF2" w:rsidRPr="00904FCB">
        <w:rPr>
          <w:rFonts w:ascii="Times New Roman" w:hAnsi="Times New Roman" w:hint="cs"/>
          <w:sz w:val="27"/>
          <w:rtl/>
        </w:rPr>
        <w:t>،</w:t>
      </w:r>
      <w:r w:rsidRPr="00904FCB">
        <w:rPr>
          <w:rFonts w:ascii="Times New Roman" w:hAnsi="Times New Roman"/>
          <w:sz w:val="27"/>
          <w:rtl/>
        </w:rPr>
        <w:t xml:space="preserve"> عن أبي عبد الله</w:t>
      </w:r>
      <w:r w:rsidR="001C1A2A" w:rsidRPr="00904FCB">
        <w:rPr>
          <w:rFonts w:ascii="Times New Roman" w:hAnsi="Times New Roman" w:cs="Mosawi"/>
          <w:sz w:val="27"/>
          <w:szCs w:val="22"/>
          <w:rtl/>
        </w:rPr>
        <w:t>×</w:t>
      </w:r>
      <w:r w:rsidR="00080EF2" w:rsidRPr="00904FCB">
        <w:rPr>
          <w:rFonts w:ascii="Times New Roman" w:hAnsi="Times New Roman" w:hint="cs"/>
          <w:sz w:val="27"/>
          <w:rtl/>
        </w:rPr>
        <w:t>،</w:t>
      </w:r>
      <w:r w:rsidRPr="00904FCB">
        <w:rPr>
          <w:rFonts w:ascii="Times New Roman" w:hAnsi="Times New Roman"/>
          <w:sz w:val="27"/>
          <w:rtl/>
        </w:rPr>
        <w:t xml:space="preserve"> قال: </w:t>
      </w:r>
      <w:r w:rsidRPr="00904FCB">
        <w:rPr>
          <w:rFonts w:hint="eastAsia"/>
          <w:sz w:val="27"/>
          <w:rtl/>
        </w:rPr>
        <w:t>«</w:t>
      </w:r>
      <w:r w:rsidRPr="00904FCB">
        <w:rPr>
          <w:rFonts w:ascii="Times New Roman" w:hAnsi="Times New Roman"/>
          <w:sz w:val="27"/>
          <w:rtl/>
        </w:rPr>
        <w:t>الرؤيا على ثلاثة وجوه: بشارة من الله للمؤمن</w:t>
      </w:r>
      <w:r w:rsidR="00080EF2" w:rsidRPr="00904FCB">
        <w:rPr>
          <w:rFonts w:ascii="Times New Roman" w:hAnsi="Times New Roman" w:hint="cs"/>
          <w:sz w:val="27"/>
          <w:rtl/>
        </w:rPr>
        <w:t>؛</w:t>
      </w:r>
      <w:r w:rsidRPr="00904FCB">
        <w:rPr>
          <w:rFonts w:ascii="Times New Roman" w:hAnsi="Times New Roman"/>
          <w:sz w:val="27"/>
          <w:rtl/>
        </w:rPr>
        <w:t xml:space="preserve"> وتحذير من الشيطان</w:t>
      </w:r>
      <w:r w:rsidR="00080EF2" w:rsidRPr="00904FCB">
        <w:rPr>
          <w:rFonts w:ascii="Times New Roman" w:hAnsi="Times New Roman" w:hint="cs"/>
          <w:sz w:val="27"/>
          <w:rtl/>
        </w:rPr>
        <w:t>؛</w:t>
      </w:r>
      <w:r w:rsidRPr="00904FCB">
        <w:rPr>
          <w:rFonts w:ascii="Times New Roman" w:hAnsi="Times New Roman"/>
          <w:sz w:val="27"/>
          <w:rtl/>
        </w:rPr>
        <w:t xml:space="preserve"> وأضغاث أحلام</w:t>
      </w:r>
      <w:r w:rsidRPr="00904FCB">
        <w:rPr>
          <w:rFonts w:hint="eastAsia"/>
          <w:sz w:val="27"/>
          <w:rtl/>
        </w:rPr>
        <w:t>»</w:t>
      </w:r>
      <w:r w:rsidRPr="00904FCB">
        <w:rPr>
          <w:rFonts w:hint="cs"/>
          <w:sz w:val="27"/>
          <w:vertAlign w:val="superscript"/>
          <w:rtl/>
        </w:rPr>
        <w:t>(</w:t>
      </w:r>
      <w:r w:rsidRPr="00904FCB">
        <w:rPr>
          <w:rStyle w:val="ac"/>
          <w:sz w:val="27"/>
          <w:rtl/>
        </w:rPr>
        <w:endnoteReference w:id="548"/>
      </w:r>
      <w:r w:rsidRPr="00904FCB">
        <w:rPr>
          <w:rFonts w:hint="cs"/>
          <w:sz w:val="27"/>
          <w:vertAlign w:val="superscript"/>
          <w:rtl/>
        </w:rPr>
        <w:t>)</w:t>
      </w:r>
      <w:r w:rsidRPr="00904FCB">
        <w:rPr>
          <w:rFonts w:ascii="Times New Roman" w:hAnsi="Times New Roman" w:hint="cs"/>
          <w:sz w:val="27"/>
          <w:rtl/>
        </w:rPr>
        <w:t>.</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ور</w:t>
      </w:r>
      <w:r w:rsidR="00080EF2" w:rsidRPr="00904FCB">
        <w:rPr>
          <w:rFonts w:ascii="Times New Roman" w:hAnsi="Times New Roman" w:hint="cs"/>
          <w:sz w:val="27"/>
          <w:rtl/>
        </w:rPr>
        <w:t>ُ</w:t>
      </w:r>
      <w:r w:rsidRPr="00904FCB">
        <w:rPr>
          <w:rFonts w:ascii="Times New Roman" w:hAnsi="Times New Roman"/>
          <w:sz w:val="27"/>
          <w:rtl/>
        </w:rPr>
        <w:t>وي عن رسول الله</w:t>
      </w:r>
      <w:r w:rsidR="00635E51" w:rsidRPr="00904FCB">
        <w:rPr>
          <w:rFonts w:ascii="Times New Roman" w:hAnsi="Times New Roman" w:cs="Mosawi"/>
          <w:sz w:val="27"/>
          <w:szCs w:val="22"/>
          <w:rtl/>
        </w:rPr>
        <w:t>|</w:t>
      </w:r>
      <w:r w:rsidR="00080EF2" w:rsidRPr="00904FCB">
        <w:rPr>
          <w:rFonts w:ascii="Times New Roman" w:hAnsi="Times New Roman" w:hint="cs"/>
          <w:sz w:val="27"/>
          <w:rtl/>
        </w:rPr>
        <w:t>،</w:t>
      </w:r>
      <w:r w:rsidRPr="00904FCB">
        <w:rPr>
          <w:rFonts w:ascii="Times New Roman" w:hAnsi="Times New Roman"/>
          <w:sz w:val="27"/>
          <w:rtl/>
        </w:rPr>
        <w:t xml:space="preserve"> من طرق أهل السّنة</w:t>
      </w:r>
      <w:r w:rsidR="00080EF2" w:rsidRPr="00904FCB">
        <w:rPr>
          <w:rFonts w:ascii="Times New Roman" w:hAnsi="Times New Roman" w:hint="cs"/>
          <w:sz w:val="27"/>
          <w:rtl/>
        </w:rPr>
        <w:t>،</w:t>
      </w:r>
      <w:r w:rsidRPr="00904FCB">
        <w:rPr>
          <w:rFonts w:ascii="Times New Roman" w:hAnsi="Times New Roman"/>
          <w:sz w:val="27"/>
          <w:rtl/>
        </w:rPr>
        <w:t xml:space="preserve"> أنّه قال: </w:t>
      </w:r>
      <w:r w:rsidRPr="00904FCB">
        <w:rPr>
          <w:rFonts w:hint="eastAsia"/>
          <w:sz w:val="27"/>
          <w:rtl/>
        </w:rPr>
        <w:t>«</w:t>
      </w:r>
      <w:r w:rsidRPr="00904FCB">
        <w:rPr>
          <w:rFonts w:ascii="Times New Roman" w:hAnsi="Times New Roman"/>
          <w:sz w:val="27"/>
          <w:rtl/>
        </w:rPr>
        <w:t>الرؤيا ثلاث: فبشرى من الله</w:t>
      </w:r>
      <w:r w:rsidR="00080EF2" w:rsidRPr="00904FCB">
        <w:rPr>
          <w:rFonts w:ascii="Times New Roman" w:hAnsi="Times New Roman" w:hint="cs"/>
          <w:sz w:val="27"/>
          <w:rtl/>
        </w:rPr>
        <w:t>؛</w:t>
      </w:r>
      <w:r w:rsidRPr="00904FCB">
        <w:rPr>
          <w:rFonts w:ascii="Times New Roman" w:hAnsi="Times New Roman"/>
          <w:sz w:val="27"/>
          <w:rtl/>
        </w:rPr>
        <w:t xml:space="preserve"> وحديث النفس</w:t>
      </w:r>
      <w:r w:rsidR="00080EF2" w:rsidRPr="00904FCB">
        <w:rPr>
          <w:rFonts w:ascii="Times New Roman" w:hAnsi="Times New Roman" w:hint="cs"/>
          <w:sz w:val="27"/>
          <w:rtl/>
        </w:rPr>
        <w:t>؛</w:t>
      </w:r>
      <w:r w:rsidRPr="00904FCB">
        <w:rPr>
          <w:rFonts w:ascii="Times New Roman" w:hAnsi="Times New Roman"/>
          <w:sz w:val="27"/>
          <w:rtl/>
        </w:rPr>
        <w:t xml:space="preserve"> وتخويف من الشيطان</w:t>
      </w:r>
      <w:r w:rsidR="00080EF2" w:rsidRPr="00904FCB">
        <w:rPr>
          <w:rFonts w:ascii="Times New Roman" w:hAnsi="Times New Roman" w:hint="cs"/>
          <w:sz w:val="27"/>
          <w:rtl/>
        </w:rPr>
        <w:t>.</w:t>
      </w:r>
      <w:r w:rsidRPr="00904FCB">
        <w:rPr>
          <w:rFonts w:ascii="Times New Roman" w:hAnsi="Times New Roman"/>
          <w:sz w:val="27"/>
          <w:rtl/>
        </w:rPr>
        <w:t xml:space="preserve"> فإذا رأى أحدكم رؤيا تعجبه فليقصّها إن</w:t>
      </w:r>
      <w:r w:rsidR="00080EF2" w:rsidRPr="00904FCB">
        <w:rPr>
          <w:rFonts w:ascii="Times New Roman" w:hAnsi="Times New Roman" w:hint="cs"/>
          <w:sz w:val="27"/>
          <w:rtl/>
        </w:rPr>
        <w:t>ْ</w:t>
      </w:r>
      <w:r w:rsidRPr="00904FCB">
        <w:rPr>
          <w:rFonts w:ascii="Times New Roman" w:hAnsi="Times New Roman"/>
          <w:sz w:val="27"/>
          <w:rtl/>
        </w:rPr>
        <w:t xml:space="preserve"> شاء، وإن</w:t>
      </w:r>
      <w:r w:rsidR="00080EF2" w:rsidRPr="00904FCB">
        <w:rPr>
          <w:rFonts w:ascii="Times New Roman" w:hAnsi="Times New Roman" w:hint="cs"/>
          <w:sz w:val="27"/>
          <w:rtl/>
        </w:rPr>
        <w:t xml:space="preserve">ْ </w:t>
      </w:r>
      <w:r w:rsidRPr="00904FCB">
        <w:rPr>
          <w:rFonts w:ascii="Times New Roman" w:hAnsi="Times New Roman"/>
          <w:sz w:val="27"/>
          <w:rtl/>
        </w:rPr>
        <w:t>رأى شيئاً يكرهه فلا يقصّه على أحد</w:t>
      </w:r>
      <w:r w:rsidR="00080EF2" w:rsidRPr="00904FCB">
        <w:rPr>
          <w:rFonts w:ascii="Times New Roman" w:hAnsi="Times New Roman" w:hint="cs"/>
          <w:sz w:val="27"/>
          <w:rtl/>
        </w:rPr>
        <w:t>ٍ،</w:t>
      </w:r>
      <w:r w:rsidRPr="00904FCB">
        <w:rPr>
          <w:rFonts w:ascii="Times New Roman" w:hAnsi="Times New Roman"/>
          <w:sz w:val="27"/>
          <w:rtl/>
        </w:rPr>
        <w:t xml:space="preserve"> وليق</w:t>
      </w:r>
      <w:r w:rsidR="00080EF2" w:rsidRPr="00904FCB">
        <w:rPr>
          <w:rFonts w:ascii="Times New Roman" w:hAnsi="Times New Roman" w:hint="cs"/>
          <w:sz w:val="27"/>
          <w:rtl/>
        </w:rPr>
        <w:t>ُ</w:t>
      </w:r>
      <w:r w:rsidRPr="00904FCB">
        <w:rPr>
          <w:rFonts w:ascii="Times New Roman" w:hAnsi="Times New Roman"/>
          <w:sz w:val="27"/>
          <w:rtl/>
        </w:rPr>
        <w:t>م</w:t>
      </w:r>
      <w:r w:rsidR="00080EF2" w:rsidRPr="00904FCB">
        <w:rPr>
          <w:rFonts w:ascii="Times New Roman" w:hAnsi="Times New Roman" w:hint="cs"/>
          <w:sz w:val="27"/>
          <w:rtl/>
        </w:rPr>
        <w:t>ْ</w:t>
      </w:r>
      <w:r w:rsidRPr="00904FCB">
        <w:rPr>
          <w:rFonts w:ascii="Times New Roman" w:hAnsi="Times New Roman"/>
          <w:sz w:val="27"/>
          <w:rtl/>
        </w:rPr>
        <w:t xml:space="preserve"> ويصل</w:t>
      </w:r>
      <w:r w:rsidR="00080EF2" w:rsidRPr="00904FCB">
        <w:rPr>
          <w:rFonts w:ascii="Times New Roman" w:hAnsi="Times New Roman" w:hint="cs"/>
          <w:sz w:val="27"/>
          <w:rtl/>
        </w:rPr>
        <w:t>ّ</w:t>
      </w:r>
      <w:r w:rsidRPr="00904FCB">
        <w:rPr>
          <w:rFonts w:ascii="Times New Roman" w:hAnsi="Times New Roman"/>
          <w:sz w:val="27"/>
          <w:rtl/>
        </w:rPr>
        <w:t>ي</w:t>
      </w:r>
      <w:r w:rsidRPr="00904FCB">
        <w:rPr>
          <w:rFonts w:hint="eastAsia"/>
          <w:sz w:val="27"/>
          <w:rtl/>
        </w:rPr>
        <w:t>»</w:t>
      </w:r>
      <w:r w:rsidRPr="00904FCB">
        <w:rPr>
          <w:rFonts w:hint="cs"/>
          <w:sz w:val="27"/>
          <w:vertAlign w:val="superscript"/>
          <w:rtl/>
        </w:rPr>
        <w:t>(</w:t>
      </w:r>
      <w:r w:rsidRPr="00904FCB">
        <w:rPr>
          <w:rStyle w:val="ac"/>
          <w:sz w:val="27"/>
          <w:rtl/>
        </w:rPr>
        <w:endnoteReference w:id="549"/>
      </w:r>
      <w:r w:rsidRPr="00904FCB">
        <w:rPr>
          <w:rFonts w:hint="cs"/>
          <w:sz w:val="27"/>
          <w:vertAlign w:val="superscript"/>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r w:rsidRPr="00904FCB">
        <w:rPr>
          <w:rFonts w:ascii="Times New Roman" w:hAnsi="Times New Roman"/>
          <w:sz w:val="27"/>
          <w:rtl/>
        </w:rPr>
        <w:t>وفي حديث</w:t>
      </w:r>
      <w:r w:rsidR="00080EF2" w:rsidRPr="00904FCB">
        <w:rPr>
          <w:rFonts w:ascii="Times New Roman" w:hAnsi="Times New Roman" w:hint="cs"/>
          <w:sz w:val="27"/>
          <w:rtl/>
        </w:rPr>
        <w:t>ٍ</w:t>
      </w:r>
      <w:r w:rsidRPr="00904FCB">
        <w:rPr>
          <w:rFonts w:ascii="Times New Roman" w:hAnsi="Times New Roman"/>
          <w:sz w:val="27"/>
          <w:rtl/>
        </w:rPr>
        <w:t xml:space="preserve"> آخر عنه</w:t>
      </w:r>
      <w:r w:rsidR="00635E51" w:rsidRPr="00904FCB">
        <w:rPr>
          <w:rFonts w:ascii="Times New Roman" w:hAnsi="Times New Roman" w:cs="Mosawi"/>
          <w:sz w:val="27"/>
          <w:szCs w:val="22"/>
          <w:rtl/>
        </w:rPr>
        <w:t>|</w:t>
      </w:r>
      <w:r w:rsidRPr="00904FCB">
        <w:rPr>
          <w:rFonts w:ascii="Times New Roman" w:hAnsi="Times New Roman"/>
          <w:sz w:val="27"/>
          <w:rtl/>
        </w:rPr>
        <w:t xml:space="preserve"> قال: </w:t>
      </w:r>
      <w:r w:rsidRPr="00904FCB">
        <w:rPr>
          <w:rFonts w:hint="eastAsia"/>
          <w:sz w:val="27"/>
          <w:rtl/>
        </w:rPr>
        <w:t>«</w:t>
      </w:r>
      <w:r w:rsidRPr="00904FCB">
        <w:rPr>
          <w:rFonts w:ascii="Times New Roman" w:hAnsi="Times New Roman"/>
          <w:sz w:val="27"/>
          <w:rtl/>
        </w:rPr>
        <w:t>إنّ الرؤيا ثلاث: منها أهاويل من الشيطان</w:t>
      </w:r>
      <w:r w:rsidR="00080EF2" w:rsidRPr="00904FCB">
        <w:rPr>
          <w:rFonts w:ascii="Times New Roman" w:hAnsi="Times New Roman" w:hint="cs"/>
          <w:sz w:val="27"/>
          <w:rtl/>
        </w:rPr>
        <w:t>؛</w:t>
      </w:r>
      <w:r w:rsidRPr="00904FCB">
        <w:rPr>
          <w:rFonts w:ascii="Times New Roman" w:hAnsi="Times New Roman"/>
          <w:sz w:val="27"/>
          <w:rtl/>
        </w:rPr>
        <w:t xml:space="preserve"> ليحزن </w:t>
      </w:r>
      <w:r w:rsidR="00384B20">
        <w:rPr>
          <w:rFonts w:ascii="Times New Roman" w:hAnsi="Times New Roman" w:hint="cs"/>
          <w:sz w:val="27"/>
          <w:rtl/>
        </w:rPr>
        <w:t>ا</w:t>
      </w:r>
      <w:r w:rsidRPr="00904FCB">
        <w:rPr>
          <w:rFonts w:ascii="Times New Roman" w:hAnsi="Times New Roman"/>
          <w:sz w:val="27"/>
          <w:rtl/>
        </w:rPr>
        <w:t>بن آدم، ومنها ما يهمّ به الرجل في يقظته فيراه في منامه</w:t>
      </w:r>
      <w:r w:rsidR="00080EF2" w:rsidRPr="00904FCB">
        <w:rPr>
          <w:rFonts w:ascii="Times New Roman" w:hAnsi="Times New Roman" w:hint="cs"/>
          <w:sz w:val="27"/>
          <w:rtl/>
        </w:rPr>
        <w:t>،</w:t>
      </w:r>
      <w:r w:rsidRPr="00904FCB">
        <w:rPr>
          <w:rFonts w:ascii="Times New Roman" w:hAnsi="Times New Roman"/>
          <w:sz w:val="27"/>
          <w:rtl/>
        </w:rPr>
        <w:t xml:space="preserve"> ومنها جزء من س</w:t>
      </w:r>
      <w:r w:rsidR="00080EF2" w:rsidRPr="00904FCB">
        <w:rPr>
          <w:rFonts w:ascii="Times New Roman" w:hAnsi="Times New Roman" w:hint="cs"/>
          <w:sz w:val="27"/>
          <w:rtl/>
        </w:rPr>
        <w:t>ت</w:t>
      </w:r>
      <w:r w:rsidRPr="00904FCB">
        <w:rPr>
          <w:rFonts w:ascii="Times New Roman" w:hAnsi="Times New Roman"/>
          <w:sz w:val="27"/>
          <w:rtl/>
        </w:rPr>
        <w:t>ة وأربعين جزءاً من النبو</w:t>
      </w:r>
      <w:r w:rsidR="00080EF2" w:rsidRPr="00904FCB">
        <w:rPr>
          <w:rFonts w:ascii="Times New Roman" w:hAnsi="Times New Roman" w:hint="cs"/>
          <w:sz w:val="27"/>
          <w:rtl/>
        </w:rPr>
        <w:t>ّ</w:t>
      </w:r>
      <w:r w:rsidRPr="00904FCB">
        <w:rPr>
          <w:rFonts w:ascii="Times New Roman" w:hAnsi="Times New Roman"/>
          <w:sz w:val="27"/>
          <w:rtl/>
        </w:rPr>
        <w:t>ة</w:t>
      </w:r>
      <w:r w:rsidRPr="00904FCB">
        <w:rPr>
          <w:rFonts w:hint="eastAsia"/>
          <w:sz w:val="27"/>
          <w:rtl/>
        </w:rPr>
        <w:t>»</w:t>
      </w:r>
      <w:r w:rsidRPr="00904FCB">
        <w:rPr>
          <w:rFonts w:hint="cs"/>
          <w:sz w:val="27"/>
          <w:vertAlign w:val="superscript"/>
          <w:rtl/>
        </w:rPr>
        <w:t>(</w:t>
      </w:r>
      <w:r w:rsidRPr="00904FCB">
        <w:rPr>
          <w:rStyle w:val="ac"/>
          <w:sz w:val="27"/>
          <w:rtl/>
        </w:rPr>
        <w:endnoteReference w:id="550"/>
      </w:r>
      <w:r w:rsidRPr="00904FCB">
        <w:rPr>
          <w:rFonts w:hint="cs"/>
          <w:sz w:val="27"/>
          <w:vertAlign w:val="superscript"/>
          <w:rtl/>
        </w:rPr>
        <w:t>)</w:t>
      </w:r>
      <w:r w:rsidRPr="00904FCB">
        <w:rPr>
          <w:rFonts w:ascii="Times New Roman" w:hAnsi="Times New Roman" w:hint="cs"/>
          <w:sz w:val="27"/>
          <w:rtl/>
        </w:rPr>
        <w:t>.</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إذ</w:t>
      </w:r>
      <w:r w:rsidR="00080EF2" w:rsidRPr="00904FCB">
        <w:rPr>
          <w:rFonts w:ascii="Times New Roman" w:hAnsi="Times New Roman" w:hint="cs"/>
          <w:sz w:val="27"/>
          <w:rtl/>
        </w:rPr>
        <w:t>ن</w:t>
      </w:r>
      <w:r w:rsidRPr="00904FCB">
        <w:rPr>
          <w:rFonts w:ascii="Times New Roman" w:hAnsi="Times New Roman"/>
          <w:sz w:val="27"/>
          <w:rtl/>
        </w:rPr>
        <w:t xml:space="preserve"> إنّ أحد أنواع الرؤيا ـ وفقاً لهذه الأحاديث ـ هي البشرى من الله، وذلك بأن يبش</w:t>
      </w:r>
      <w:r w:rsidR="00080EF2" w:rsidRPr="00904FCB">
        <w:rPr>
          <w:rFonts w:ascii="Times New Roman" w:hAnsi="Times New Roman" w:hint="cs"/>
          <w:sz w:val="27"/>
          <w:rtl/>
        </w:rPr>
        <w:t>ِّ</w:t>
      </w:r>
      <w:r w:rsidRPr="00904FCB">
        <w:rPr>
          <w:rFonts w:ascii="Times New Roman" w:hAnsi="Times New Roman"/>
          <w:sz w:val="27"/>
          <w:rtl/>
        </w:rPr>
        <w:t>ره الله من خلالها بمستقبل</w:t>
      </w:r>
      <w:r w:rsidR="00080EF2" w:rsidRPr="00904FCB">
        <w:rPr>
          <w:rFonts w:ascii="Times New Roman" w:hAnsi="Times New Roman" w:hint="cs"/>
          <w:sz w:val="27"/>
          <w:rtl/>
        </w:rPr>
        <w:t>ٍ</w:t>
      </w:r>
      <w:r w:rsidRPr="00904FCB">
        <w:rPr>
          <w:rFonts w:ascii="Times New Roman" w:hAnsi="Times New Roman"/>
          <w:sz w:val="27"/>
          <w:rtl/>
        </w:rPr>
        <w:t xml:space="preserve"> أخروي طي</w:t>
      </w:r>
      <w:r w:rsidR="00080EF2" w:rsidRPr="00904FCB">
        <w:rPr>
          <w:rFonts w:ascii="Times New Roman" w:hAnsi="Times New Roman" w:hint="cs"/>
          <w:sz w:val="27"/>
          <w:rtl/>
        </w:rPr>
        <w:t>ِّ</w:t>
      </w:r>
      <w:r w:rsidRPr="00904FCB">
        <w:rPr>
          <w:rFonts w:ascii="Times New Roman" w:hAnsi="Times New Roman"/>
          <w:sz w:val="27"/>
          <w:rtl/>
        </w:rPr>
        <w:t>ب، أو مستقبل</w:t>
      </w:r>
      <w:r w:rsidR="00080EF2" w:rsidRPr="00904FCB">
        <w:rPr>
          <w:rFonts w:ascii="Times New Roman" w:hAnsi="Times New Roman" w:hint="cs"/>
          <w:sz w:val="27"/>
          <w:rtl/>
        </w:rPr>
        <w:t>ٍ</w:t>
      </w:r>
      <w:r w:rsidRPr="00904FCB">
        <w:rPr>
          <w:rFonts w:ascii="Times New Roman" w:hAnsi="Times New Roman"/>
          <w:sz w:val="27"/>
          <w:rtl/>
        </w:rPr>
        <w:t xml:space="preserve"> ديني</w:t>
      </w:r>
      <w:r w:rsidR="00080EF2" w:rsidRPr="00904FCB">
        <w:rPr>
          <w:rFonts w:ascii="Times New Roman" w:hAnsi="Times New Roman" w:hint="cs"/>
          <w:sz w:val="27"/>
          <w:rtl/>
        </w:rPr>
        <w:t>ّ</w:t>
      </w:r>
      <w:r w:rsidRPr="00904FCB">
        <w:rPr>
          <w:rFonts w:ascii="Times New Roman" w:hAnsi="Times New Roman"/>
          <w:sz w:val="27"/>
          <w:rtl/>
        </w:rPr>
        <w:t xml:space="preserve"> جي</w:t>
      </w:r>
      <w:r w:rsidR="00080EF2" w:rsidRPr="00904FCB">
        <w:rPr>
          <w:rFonts w:ascii="Times New Roman" w:hAnsi="Times New Roman" w:hint="cs"/>
          <w:sz w:val="27"/>
          <w:rtl/>
        </w:rPr>
        <w:t>ِّ</w:t>
      </w:r>
      <w:r w:rsidRPr="00904FCB">
        <w:rPr>
          <w:rFonts w:ascii="Times New Roman" w:hAnsi="Times New Roman"/>
          <w:sz w:val="27"/>
          <w:rtl/>
        </w:rPr>
        <w:t xml:space="preserve">د، بالنسبة إليه أو إلى أحد أبنائه.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إلاّ أنّه يواجهنا هنا غالباً مشكلة</w:t>
      </w:r>
      <w:r w:rsidR="00080EF2" w:rsidRPr="00904FCB">
        <w:rPr>
          <w:rFonts w:ascii="Times New Roman" w:hAnsi="Times New Roman" w:hint="cs"/>
          <w:sz w:val="27"/>
          <w:rtl/>
        </w:rPr>
        <w:t>ٌ</w:t>
      </w:r>
      <w:r w:rsidRPr="00904FCB">
        <w:rPr>
          <w:rFonts w:ascii="Times New Roman" w:hAnsi="Times New Roman"/>
          <w:sz w:val="27"/>
          <w:rtl/>
        </w:rPr>
        <w:t xml:space="preserve"> صعبة، وهي مشكلة التمييز بين هذه الأنواع</w:t>
      </w:r>
      <w:r w:rsidR="00080EF2" w:rsidRPr="00904FCB">
        <w:rPr>
          <w:rFonts w:ascii="Times New Roman" w:hAnsi="Times New Roman" w:hint="cs"/>
          <w:sz w:val="27"/>
          <w:rtl/>
        </w:rPr>
        <w:t>.</w:t>
      </w:r>
      <w:r w:rsidRPr="00904FCB">
        <w:rPr>
          <w:rFonts w:ascii="Times New Roman" w:hAnsi="Times New Roman"/>
          <w:sz w:val="27"/>
          <w:rtl/>
        </w:rPr>
        <w:t xml:space="preserve"> فإذا رأى المسلم أنّه مع الرسل والأولياء في جنات النعيم فقد يكون هذا بشرى حقيقية</w:t>
      </w:r>
      <w:r w:rsidR="00080EF2" w:rsidRPr="00904FCB">
        <w:rPr>
          <w:rFonts w:ascii="Times New Roman" w:hAnsi="Times New Roman" w:hint="cs"/>
          <w:sz w:val="27"/>
          <w:rtl/>
        </w:rPr>
        <w:t>،</w:t>
      </w:r>
      <w:r w:rsidRPr="00904FCB">
        <w:rPr>
          <w:rFonts w:ascii="Times New Roman" w:hAnsi="Times New Roman"/>
          <w:sz w:val="27"/>
          <w:rtl/>
        </w:rPr>
        <w:t xml:space="preserve"> إلاّ أنّ الجزم بذلك والاطمئنان إليه مشكل</w:t>
      </w:r>
      <w:r w:rsidR="00080EF2" w:rsidRPr="00904FCB">
        <w:rPr>
          <w:rFonts w:ascii="Times New Roman" w:hAnsi="Times New Roman" w:hint="cs"/>
          <w:sz w:val="27"/>
          <w:rtl/>
        </w:rPr>
        <w:t>ٌ؛</w:t>
      </w:r>
      <w:r w:rsidRPr="00904FCB">
        <w:rPr>
          <w:rFonts w:ascii="Times New Roman" w:hAnsi="Times New Roman"/>
          <w:sz w:val="27"/>
          <w:rtl/>
        </w:rPr>
        <w:t xml:space="preserve"> إذ ما الذي يمنع أن تكون هذه الرؤيا هي وسوسة شيطانية تهدف إلى إغراء الإنسان، وإيقاعه في الع</w:t>
      </w:r>
      <w:r w:rsidR="00080EF2" w:rsidRPr="00904FCB">
        <w:rPr>
          <w:rFonts w:ascii="Times New Roman" w:hAnsi="Times New Roman" w:hint="cs"/>
          <w:sz w:val="27"/>
          <w:rtl/>
        </w:rPr>
        <w:t>ُ</w:t>
      </w:r>
      <w:r w:rsidRPr="00904FCB">
        <w:rPr>
          <w:rFonts w:ascii="Times New Roman" w:hAnsi="Times New Roman"/>
          <w:sz w:val="27"/>
          <w:rtl/>
        </w:rPr>
        <w:t>ج</w:t>
      </w:r>
      <w:r w:rsidR="00080EF2" w:rsidRPr="00904FCB">
        <w:rPr>
          <w:rFonts w:ascii="Times New Roman" w:hAnsi="Times New Roman" w:hint="cs"/>
          <w:sz w:val="27"/>
          <w:rtl/>
        </w:rPr>
        <w:t>ْ</w:t>
      </w:r>
      <w:r w:rsidRPr="00904FCB">
        <w:rPr>
          <w:rFonts w:ascii="Times New Roman" w:hAnsi="Times New Roman"/>
          <w:sz w:val="27"/>
          <w:rtl/>
        </w:rPr>
        <w:t>ب أو الك</w:t>
      </w:r>
      <w:r w:rsidR="00080EF2" w:rsidRPr="00904FCB">
        <w:rPr>
          <w:rFonts w:ascii="Times New Roman" w:hAnsi="Times New Roman" w:hint="cs"/>
          <w:sz w:val="27"/>
          <w:rtl/>
        </w:rPr>
        <w:t>ِ</w:t>
      </w:r>
      <w:r w:rsidRPr="00904FCB">
        <w:rPr>
          <w:rFonts w:ascii="Times New Roman" w:hAnsi="Times New Roman"/>
          <w:sz w:val="27"/>
          <w:rtl/>
        </w:rPr>
        <w:t>ب</w:t>
      </w:r>
      <w:r w:rsidR="00080EF2" w:rsidRPr="00904FCB">
        <w:rPr>
          <w:rFonts w:ascii="Times New Roman" w:hAnsi="Times New Roman" w:hint="cs"/>
          <w:sz w:val="27"/>
          <w:rtl/>
        </w:rPr>
        <w:t>ْ</w:t>
      </w:r>
      <w:r w:rsidRPr="00904FCB">
        <w:rPr>
          <w:rFonts w:ascii="Times New Roman" w:hAnsi="Times New Roman"/>
          <w:sz w:val="27"/>
          <w:rtl/>
        </w:rPr>
        <w:t>ر، أو لإيهامه أنّه صاحب مكانة</w:t>
      </w:r>
      <w:r w:rsidR="00080EF2" w:rsidRPr="00904FCB">
        <w:rPr>
          <w:rFonts w:ascii="Times New Roman" w:hAnsi="Times New Roman" w:hint="cs"/>
          <w:sz w:val="27"/>
          <w:rtl/>
        </w:rPr>
        <w:t>ٍ</w:t>
      </w:r>
      <w:r w:rsidRPr="00904FCB">
        <w:rPr>
          <w:rFonts w:ascii="Times New Roman" w:hAnsi="Times New Roman"/>
          <w:sz w:val="27"/>
          <w:rtl/>
        </w:rPr>
        <w:t xml:space="preserve"> دينية متقد</w:t>
      </w:r>
      <w:r w:rsidR="00080EF2" w:rsidRPr="00904FCB">
        <w:rPr>
          <w:rFonts w:ascii="Times New Roman" w:hAnsi="Times New Roman" w:hint="cs"/>
          <w:sz w:val="27"/>
          <w:rtl/>
        </w:rPr>
        <w:t>ّ</w:t>
      </w:r>
      <w:r w:rsidRPr="00904FCB">
        <w:rPr>
          <w:rFonts w:ascii="Times New Roman" w:hAnsi="Times New Roman"/>
          <w:sz w:val="27"/>
          <w:rtl/>
        </w:rPr>
        <w:t>مة، فتضعف هم</w:t>
      </w:r>
      <w:r w:rsidR="00080EF2" w:rsidRPr="00904FCB">
        <w:rPr>
          <w:rFonts w:ascii="Times New Roman" w:hAnsi="Times New Roman" w:hint="cs"/>
          <w:sz w:val="27"/>
          <w:rtl/>
        </w:rPr>
        <w:t>َّ</w:t>
      </w:r>
      <w:r w:rsidRPr="00904FCB">
        <w:rPr>
          <w:rFonts w:ascii="Times New Roman" w:hAnsi="Times New Roman"/>
          <w:sz w:val="27"/>
          <w:rtl/>
        </w:rPr>
        <w:t>ته عن العمل الصالح؟ إنه لا يمنع مانع</w:t>
      </w:r>
      <w:r w:rsidR="00080EF2" w:rsidRPr="00904FCB">
        <w:rPr>
          <w:rFonts w:ascii="Times New Roman" w:hAnsi="Times New Roman" w:hint="cs"/>
          <w:sz w:val="27"/>
          <w:rtl/>
        </w:rPr>
        <w:t>ٌ</w:t>
      </w:r>
      <w:r w:rsidRPr="00904FCB">
        <w:rPr>
          <w:rFonts w:ascii="Times New Roman" w:hAnsi="Times New Roman"/>
          <w:sz w:val="27"/>
          <w:rtl/>
        </w:rPr>
        <w:t xml:space="preserve"> من ذلك، ما دام أنّ للشيطان نوعاً من السبيل على الإنسان</w:t>
      </w:r>
      <w:r w:rsidR="00080EF2" w:rsidRPr="00904FCB">
        <w:rPr>
          <w:rFonts w:ascii="Times New Roman" w:hAnsi="Times New Roman" w:hint="cs"/>
          <w:sz w:val="27"/>
          <w:rtl/>
        </w:rPr>
        <w:t>،</w:t>
      </w:r>
      <w:r w:rsidRPr="00904FCB">
        <w:rPr>
          <w:rFonts w:ascii="Times New Roman" w:hAnsi="Times New Roman"/>
          <w:sz w:val="27"/>
          <w:rtl/>
        </w:rPr>
        <w:t xml:space="preserve"> ويتمك</w:t>
      </w:r>
      <w:r w:rsidR="00080EF2" w:rsidRPr="00904FCB">
        <w:rPr>
          <w:rFonts w:ascii="Times New Roman" w:hAnsi="Times New Roman" w:hint="cs"/>
          <w:sz w:val="27"/>
          <w:rtl/>
        </w:rPr>
        <w:t>َّ</w:t>
      </w:r>
      <w:r w:rsidRPr="00904FCB">
        <w:rPr>
          <w:rFonts w:ascii="Times New Roman" w:hAnsi="Times New Roman"/>
          <w:sz w:val="27"/>
          <w:rtl/>
        </w:rPr>
        <w:t>ن من أن يوسوس له في اليقظة والنوم، كما يستفاد من الروايات المتقد</w:t>
      </w:r>
      <w:r w:rsidR="00080EF2" w:rsidRPr="00904FCB">
        <w:rPr>
          <w:rFonts w:ascii="Times New Roman" w:hAnsi="Times New Roman" w:hint="cs"/>
          <w:sz w:val="27"/>
          <w:rtl/>
        </w:rPr>
        <w:t>ّ</w:t>
      </w:r>
      <w:r w:rsidRPr="00904FCB">
        <w:rPr>
          <w:rFonts w:ascii="Times New Roman" w:hAnsi="Times New Roman"/>
          <w:sz w:val="27"/>
          <w:rtl/>
        </w:rPr>
        <w:t xml:space="preserve">مة.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color w:val="auto"/>
          <w:rtl/>
        </w:rPr>
        <w:t>الرؤيا الصادقة</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ولهذا ينبغي للإنسان أن يبقى على ح</w:t>
      </w:r>
      <w:r w:rsidR="00080EF2" w:rsidRPr="00904FCB">
        <w:rPr>
          <w:rFonts w:ascii="Times New Roman" w:hAnsi="Times New Roman" w:hint="cs"/>
          <w:sz w:val="27"/>
          <w:rtl/>
        </w:rPr>
        <w:t>َ</w:t>
      </w:r>
      <w:r w:rsidRPr="00904FCB">
        <w:rPr>
          <w:rFonts w:ascii="Times New Roman" w:hAnsi="Times New Roman"/>
          <w:sz w:val="27"/>
          <w:rtl/>
        </w:rPr>
        <w:t>ذ</w:t>
      </w:r>
      <w:r w:rsidR="00080EF2" w:rsidRPr="00904FCB">
        <w:rPr>
          <w:rFonts w:ascii="Times New Roman" w:hAnsi="Times New Roman" w:hint="cs"/>
          <w:sz w:val="27"/>
          <w:rtl/>
        </w:rPr>
        <w:t>َ</w:t>
      </w:r>
      <w:r w:rsidRPr="00904FCB">
        <w:rPr>
          <w:rFonts w:ascii="Times New Roman" w:hAnsi="Times New Roman"/>
          <w:sz w:val="27"/>
          <w:rtl/>
        </w:rPr>
        <w:t>ر</w:t>
      </w:r>
      <w:r w:rsidR="00080EF2" w:rsidRPr="00904FCB">
        <w:rPr>
          <w:rFonts w:ascii="Times New Roman" w:hAnsi="Times New Roman" w:hint="cs"/>
          <w:sz w:val="27"/>
          <w:rtl/>
        </w:rPr>
        <w:t>ٍ</w:t>
      </w:r>
      <w:r w:rsidRPr="00904FCB">
        <w:rPr>
          <w:rFonts w:ascii="Times New Roman" w:hAnsi="Times New Roman"/>
          <w:sz w:val="27"/>
          <w:rtl/>
        </w:rPr>
        <w:t xml:space="preserve"> في أمر الرؤيا</w:t>
      </w:r>
      <w:r w:rsidR="00080EF2" w:rsidRPr="00904FCB">
        <w:rPr>
          <w:rFonts w:ascii="Times New Roman" w:hAnsi="Times New Roman" w:hint="cs"/>
          <w:sz w:val="27"/>
          <w:rtl/>
        </w:rPr>
        <w:t>،</w:t>
      </w:r>
      <w:r w:rsidRPr="00904FCB">
        <w:rPr>
          <w:rFonts w:ascii="Times New Roman" w:hAnsi="Times New Roman"/>
          <w:sz w:val="27"/>
          <w:rtl/>
        </w:rPr>
        <w:t xml:space="preserve"> وأن لا يركن إليها، إلاّ إذا صد</w:t>
      </w:r>
      <w:r w:rsidR="00080EF2" w:rsidRPr="00904FCB">
        <w:rPr>
          <w:rFonts w:ascii="Times New Roman" w:hAnsi="Times New Roman" w:hint="cs"/>
          <w:sz w:val="27"/>
          <w:rtl/>
        </w:rPr>
        <w:t>َّ</w:t>
      </w:r>
      <w:r w:rsidRPr="00904FCB">
        <w:rPr>
          <w:rFonts w:ascii="Times New Roman" w:hAnsi="Times New Roman"/>
          <w:sz w:val="27"/>
          <w:rtl/>
        </w:rPr>
        <w:t>قها الواقع، كما لو رأى في المنام أنّ ثمة كنزاً مدفوناً في مكان</w:t>
      </w:r>
      <w:r w:rsidR="00080EF2" w:rsidRPr="00904FCB">
        <w:rPr>
          <w:rFonts w:ascii="Times New Roman" w:hAnsi="Times New Roman" w:hint="cs"/>
          <w:sz w:val="27"/>
          <w:rtl/>
        </w:rPr>
        <w:t>ٍ</w:t>
      </w:r>
      <w:r w:rsidRPr="00904FCB">
        <w:rPr>
          <w:rFonts w:ascii="Times New Roman" w:hAnsi="Times New Roman"/>
          <w:sz w:val="27"/>
          <w:rtl/>
        </w:rPr>
        <w:t xml:space="preserve"> ما، فذهب </w:t>
      </w:r>
      <w:r w:rsidRPr="00904FCB">
        <w:rPr>
          <w:rFonts w:ascii="Times New Roman" w:hAnsi="Times New Roman"/>
          <w:sz w:val="27"/>
          <w:rtl/>
        </w:rPr>
        <w:lastRenderedPageBreak/>
        <w:t>وحفر</w:t>
      </w:r>
      <w:r w:rsidR="00080EF2" w:rsidRPr="00904FCB">
        <w:rPr>
          <w:rFonts w:ascii="Times New Roman" w:hAnsi="Times New Roman" w:hint="cs"/>
          <w:sz w:val="27"/>
          <w:rtl/>
        </w:rPr>
        <w:t>،</w:t>
      </w:r>
      <w:r w:rsidRPr="00904FCB">
        <w:rPr>
          <w:rFonts w:ascii="Times New Roman" w:hAnsi="Times New Roman"/>
          <w:sz w:val="27"/>
          <w:rtl/>
        </w:rPr>
        <w:t xml:space="preserve"> وعثر على الكنز</w:t>
      </w:r>
      <w:r w:rsidRPr="00904FCB">
        <w:rPr>
          <w:rFonts w:ascii="Times New Roman" w:hAnsi="Times New Roman" w:hint="cs"/>
          <w:sz w:val="27"/>
          <w:rtl/>
        </w:rPr>
        <w:t xml:space="preserve"> </w:t>
      </w:r>
      <w:r w:rsidRPr="00904FCB">
        <w:rPr>
          <w:rFonts w:ascii="Times New Roman" w:hAnsi="Times New Roman"/>
          <w:sz w:val="27"/>
          <w:rtl/>
        </w:rPr>
        <w:t>فعلا</w:t>
      </w:r>
      <w:r w:rsidRPr="00904FCB">
        <w:rPr>
          <w:rFonts w:ascii="Times New Roman" w:hAnsi="Times New Roman" w:hint="cs"/>
          <w:sz w:val="27"/>
          <w:rtl/>
        </w:rPr>
        <w:t>ً</w:t>
      </w:r>
      <w:r w:rsidRPr="00904FCB">
        <w:rPr>
          <w:rFonts w:ascii="Times New Roman" w:hAnsi="Times New Roman"/>
          <w:sz w:val="27"/>
          <w:rtl/>
        </w:rPr>
        <w:t>، فهذا منام</w:t>
      </w:r>
      <w:r w:rsidR="00080EF2" w:rsidRPr="00904FCB">
        <w:rPr>
          <w:rFonts w:ascii="Times New Roman" w:hAnsi="Times New Roman" w:hint="cs"/>
          <w:sz w:val="27"/>
          <w:rtl/>
        </w:rPr>
        <w:t>ٌ</w:t>
      </w:r>
      <w:r w:rsidRPr="00904FCB">
        <w:rPr>
          <w:rFonts w:ascii="Times New Roman" w:hAnsi="Times New Roman"/>
          <w:sz w:val="27"/>
          <w:rtl/>
        </w:rPr>
        <w:t xml:space="preserve"> صادق، وهو توفيق</w:t>
      </w:r>
      <w:r w:rsidR="00080EF2" w:rsidRPr="00904FCB">
        <w:rPr>
          <w:rFonts w:ascii="Times New Roman" w:hAnsi="Times New Roman" w:hint="cs"/>
          <w:sz w:val="27"/>
          <w:rtl/>
        </w:rPr>
        <w:t>ٌ</w:t>
      </w:r>
      <w:r w:rsidRPr="00904FCB">
        <w:rPr>
          <w:rFonts w:ascii="Times New Roman" w:hAnsi="Times New Roman"/>
          <w:sz w:val="27"/>
          <w:rtl/>
        </w:rPr>
        <w:t xml:space="preserve"> من الله</w:t>
      </w:r>
      <w:r w:rsidR="00080EF2" w:rsidRPr="00904FCB">
        <w:rPr>
          <w:rFonts w:ascii="Times New Roman" w:hAnsi="Times New Roman" w:hint="cs"/>
          <w:sz w:val="27"/>
          <w:rtl/>
        </w:rPr>
        <w:t>،</w:t>
      </w:r>
      <w:r w:rsidRPr="00904FCB">
        <w:rPr>
          <w:rFonts w:ascii="Times New Roman" w:hAnsi="Times New Roman"/>
          <w:sz w:val="27"/>
          <w:rtl/>
        </w:rPr>
        <w:t xml:space="preserve"> ورزق</w:t>
      </w:r>
      <w:r w:rsidR="00080EF2" w:rsidRPr="00904FCB">
        <w:rPr>
          <w:rFonts w:ascii="Times New Roman" w:hAnsi="Times New Roman" w:hint="cs"/>
          <w:sz w:val="27"/>
          <w:rtl/>
        </w:rPr>
        <w:t>ٌ</w:t>
      </w:r>
      <w:r w:rsidRPr="00904FCB">
        <w:rPr>
          <w:rFonts w:ascii="Times New Roman" w:hAnsi="Times New Roman"/>
          <w:sz w:val="27"/>
          <w:rtl/>
        </w:rPr>
        <w:t xml:space="preserve"> ساقه إليه</w:t>
      </w:r>
      <w:r w:rsidR="00080EF2" w:rsidRPr="00904FCB">
        <w:rPr>
          <w:rFonts w:ascii="Times New Roman" w:hAnsi="Times New Roman" w:hint="cs"/>
          <w:sz w:val="27"/>
          <w:rtl/>
        </w:rPr>
        <w:t>.</w:t>
      </w:r>
      <w:r w:rsidRPr="00904FCB">
        <w:rPr>
          <w:rFonts w:ascii="Times New Roman" w:hAnsi="Times New Roman"/>
          <w:sz w:val="27"/>
          <w:rtl/>
        </w:rPr>
        <w:t xml:space="preserve"> ومثله</w:t>
      </w:r>
      <w:r w:rsidR="00080EF2" w:rsidRPr="00904FCB">
        <w:rPr>
          <w:rFonts w:ascii="Times New Roman" w:hAnsi="Times New Roman" w:hint="cs"/>
          <w:sz w:val="27"/>
          <w:rtl/>
        </w:rPr>
        <w:t>:</w:t>
      </w:r>
      <w:r w:rsidRPr="00904FCB">
        <w:rPr>
          <w:rFonts w:ascii="Times New Roman" w:hAnsi="Times New Roman"/>
          <w:sz w:val="27"/>
          <w:rtl/>
        </w:rPr>
        <w:t xml:space="preserve"> لو رأى الرجل العقيم (الذي لا ينجب في منامه) عبداً صالحاً يبش</w:t>
      </w:r>
      <w:r w:rsidR="00080EF2" w:rsidRPr="00904FCB">
        <w:rPr>
          <w:rFonts w:ascii="Times New Roman" w:hAnsi="Times New Roman" w:hint="cs"/>
          <w:sz w:val="27"/>
          <w:rtl/>
        </w:rPr>
        <w:t>ِّ</w:t>
      </w:r>
      <w:r w:rsidR="00080EF2" w:rsidRPr="00904FCB">
        <w:rPr>
          <w:rFonts w:ascii="Times New Roman" w:hAnsi="Times New Roman"/>
          <w:sz w:val="27"/>
          <w:rtl/>
        </w:rPr>
        <w:t>ر</w:t>
      </w:r>
      <w:r w:rsidRPr="00904FCB">
        <w:rPr>
          <w:rFonts w:ascii="Times New Roman" w:hAnsi="Times New Roman"/>
          <w:sz w:val="27"/>
          <w:rtl/>
        </w:rPr>
        <w:t>ه بأنّه سوف يولد له ولد</w:t>
      </w:r>
      <w:r w:rsidR="00080EF2" w:rsidRPr="00904FCB">
        <w:rPr>
          <w:rFonts w:ascii="Times New Roman" w:hAnsi="Times New Roman" w:hint="cs"/>
          <w:sz w:val="27"/>
          <w:rtl/>
        </w:rPr>
        <w:t>ٌ</w:t>
      </w:r>
      <w:r w:rsidRPr="00904FCB">
        <w:rPr>
          <w:rFonts w:ascii="Times New Roman" w:hAnsi="Times New Roman"/>
          <w:sz w:val="27"/>
          <w:rtl/>
        </w:rPr>
        <w:t xml:space="preserve"> ذكر أو أنثى، ومن ثمّ يجري الأمر على طبق ما أخبر في المنام</w:t>
      </w:r>
      <w:r w:rsidR="00080EF2" w:rsidRPr="00904FCB">
        <w:rPr>
          <w:rFonts w:ascii="Times New Roman" w:hAnsi="Times New Roman" w:hint="cs"/>
          <w:sz w:val="27"/>
          <w:rtl/>
        </w:rPr>
        <w:t>.</w:t>
      </w:r>
      <w:r w:rsidRPr="00904FCB">
        <w:rPr>
          <w:rFonts w:ascii="Times New Roman" w:hAnsi="Times New Roman"/>
          <w:sz w:val="27"/>
          <w:rtl/>
        </w:rPr>
        <w:t xml:space="preserve"> وهكذا لو رأت الأم أنّ ابنها المفقود منذ زمن</w:t>
      </w:r>
      <w:r w:rsidR="00080EF2" w:rsidRPr="00904FCB">
        <w:rPr>
          <w:rFonts w:ascii="Times New Roman" w:hAnsi="Times New Roman" w:hint="cs"/>
          <w:sz w:val="27"/>
          <w:rtl/>
        </w:rPr>
        <w:t>ٍ</w:t>
      </w:r>
      <w:r w:rsidRPr="00904FCB">
        <w:rPr>
          <w:rFonts w:ascii="Times New Roman" w:hAnsi="Times New Roman"/>
          <w:sz w:val="27"/>
          <w:rtl/>
        </w:rPr>
        <w:t xml:space="preserve"> آتٍ إليها بعد أي</w:t>
      </w:r>
      <w:r w:rsidR="00080EF2" w:rsidRPr="00904FCB">
        <w:rPr>
          <w:rFonts w:ascii="Times New Roman" w:hAnsi="Times New Roman" w:hint="cs"/>
          <w:sz w:val="27"/>
          <w:rtl/>
        </w:rPr>
        <w:t>ّ</w:t>
      </w:r>
      <w:r w:rsidRPr="00904FCB">
        <w:rPr>
          <w:rFonts w:ascii="Times New Roman" w:hAnsi="Times New Roman"/>
          <w:sz w:val="27"/>
          <w:rtl/>
        </w:rPr>
        <w:t>ام</w:t>
      </w:r>
      <w:r w:rsidR="00080EF2" w:rsidRPr="00904FCB">
        <w:rPr>
          <w:rFonts w:ascii="Times New Roman" w:hAnsi="Times New Roman" w:hint="cs"/>
          <w:sz w:val="27"/>
          <w:rtl/>
        </w:rPr>
        <w:t>،</w:t>
      </w:r>
      <w:r w:rsidR="00080EF2" w:rsidRPr="00904FCB">
        <w:rPr>
          <w:rFonts w:ascii="Times New Roman" w:hAnsi="Times New Roman"/>
          <w:sz w:val="27"/>
          <w:rtl/>
        </w:rPr>
        <w:t xml:space="preserve"> ومن ثمّ تَصْدُق</w:t>
      </w:r>
      <w:r w:rsidRPr="00904FCB">
        <w:rPr>
          <w:rFonts w:ascii="Times New Roman" w:hAnsi="Times New Roman"/>
          <w:sz w:val="27"/>
          <w:rtl/>
        </w:rPr>
        <w:t xml:space="preserve"> الرؤيا</w:t>
      </w:r>
      <w:r w:rsidR="00080EF2" w:rsidRPr="00904FCB">
        <w:rPr>
          <w:rFonts w:ascii="Times New Roman" w:hAnsi="Times New Roman" w:hint="cs"/>
          <w:sz w:val="27"/>
          <w:rtl/>
        </w:rPr>
        <w:t>.</w:t>
      </w:r>
      <w:r w:rsidRPr="00904FCB">
        <w:rPr>
          <w:rFonts w:ascii="Times New Roman" w:hAnsi="Times New Roman"/>
          <w:sz w:val="27"/>
          <w:rtl/>
        </w:rPr>
        <w:t xml:space="preserve"> أو يرى المريض الم</w:t>
      </w:r>
      <w:r w:rsidR="00080EF2" w:rsidRPr="00904FCB">
        <w:rPr>
          <w:rFonts w:ascii="Times New Roman" w:hAnsi="Times New Roman" w:hint="cs"/>
          <w:sz w:val="27"/>
          <w:rtl/>
        </w:rPr>
        <w:t>يئو</w:t>
      </w:r>
      <w:r w:rsidRPr="00904FCB">
        <w:rPr>
          <w:rFonts w:ascii="Times New Roman" w:hAnsi="Times New Roman"/>
          <w:sz w:val="27"/>
          <w:rtl/>
        </w:rPr>
        <w:t>س من شفائه ولي</w:t>
      </w:r>
      <w:r w:rsidR="00080EF2" w:rsidRPr="00904FCB">
        <w:rPr>
          <w:rFonts w:ascii="Times New Roman" w:hAnsi="Times New Roman" w:hint="cs"/>
          <w:sz w:val="27"/>
          <w:rtl/>
        </w:rPr>
        <w:t>ّ</w:t>
      </w:r>
      <w:r w:rsidRPr="00904FCB">
        <w:rPr>
          <w:rFonts w:ascii="Times New Roman" w:hAnsi="Times New Roman"/>
          <w:sz w:val="27"/>
          <w:rtl/>
        </w:rPr>
        <w:t>اً من الأولياء يخبره بأنّه سوف ي</w:t>
      </w:r>
      <w:r w:rsidR="00080EF2" w:rsidRPr="00904FCB">
        <w:rPr>
          <w:rFonts w:ascii="Times New Roman" w:hAnsi="Times New Roman" w:hint="cs"/>
          <w:sz w:val="27"/>
          <w:rtl/>
        </w:rPr>
        <w:t>ُ</w:t>
      </w:r>
      <w:r w:rsidRPr="00904FCB">
        <w:rPr>
          <w:rFonts w:ascii="Times New Roman" w:hAnsi="Times New Roman"/>
          <w:sz w:val="27"/>
          <w:rtl/>
        </w:rPr>
        <w:t>ش</w:t>
      </w:r>
      <w:r w:rsidR="00080EF2" w:rsidRPr="00904FCB">
        <w:rPr>
          <w:rFonts w:ascii="Times New Roman" w:hAnsi="Times New Roman" w:hint="cs"/>
          <w:sz w:val="27"/>
          <w:rtl/>
        </w:rPr>
        <w:t>ْ</w:t>
      </w:r>
      <w:r w:rsidRPr="00904FCB">
        <w:rPr>
          <w:rFonts w:ascii="Times New Roman" w:hAnsi="Times New Roman"/>
          <w:sz w:val="27"/>
          <w:rtl/>
        </w:rPr>
        <w:t>فى</w:t>
      </w:r>
      <w:r w:rsidR="00080EF2" w:rsidRPr="00904FCB">
        <w:rPr>
          <w:rFonts w:ascii="Times New Roman" w:hAnsi="Times New Roman" w:hint="cs"/>
          <w:sz w:val="27"/>
          <w:rtl/>
        </w:rPr>
        <w:t>،</w:t>
      </w:r>
      <w:r w:rsidRPr="00904FCB">
        <w:rPr>
          <w:rFonts w:ascii="Times New Roman" w:hAnsi="Times New Roman"/>
          <w:sz w:val="27"/>
          <w:rtl/>
        </w:rPr>
        <w:t xml:space="preserve"> ويعيش عمراً طويلاً، وبالفعل تجري الأمور على طبق الرؤيا</w:t>
      </w:r>
      <w:r w:rsidRPr="00904FCB">
        <w:rPr>
          <w:rFonts w:hint="cs"/>
          <w:sz w:val="27"/>
          <w:vertAlign w:val="superscript"/>
          <w:rtl/>
        </w:rPr>
        <w:t>(</w:t>
      </w:r>
      <w:r w:rsidRPr="00904FCB">
        <w:rPr>
          <w:rStyle w:val="ac"/>
          <w:sz w:val="27"/>
          <w:rtl/>
        </w:rPr>
        <w:endnoteReference w:id="551"/>
      </w:r>
      <w:r w:rsidRPr="00904FCB">
        <w:rPr>
          <w:rFonts w:hint="cs"/>
          <w:sz w:val="27"/>
          <w:vertAlign w:val="superscript"/>
          <w:rtl/>
        </w:rPr>
        <w:t>)</w:t>
      </w:r>
      <w:r w:rsidR="00080EF2" w:rsidRPr="00904FCB">
        <w:rPr>
          <w:rFonts w:ascii="Times New Roman" w:hAnsi="Times New Roman" w:hint="cs"/>
          <w:sz w:val="27"/>
          <w:rtl/>
        </w:rPr>
        <w:t>.</w:t>
      </w:r>
      <w:r w:rsidRPr="00904FCB">
        <w:rPr>
          <w:rFonts w:ascii="Times New Roman" w:hAnsi="Times New Roman"/>
          <w:sz w:val="27"/>
          <w:rtl/>
        </w:rPr>
        <w:t xml:space="preserve"> فهذه الرؤى الصادقة موجودة</w:t>
      </w:r>
      <w:r w:rsidR="00080EF2" w:rsidRPr="00904FCB">
        <w:rPr>
          <w:rFonts w:ascii="Times New Roman" w:hAnsi="Times New Roman" w:hint="cs"/>
          <w:sz w:val="27"/>
          <w:rtl/>
        </w:rPr>
        <w:t>ٌ،</w:t>
      </w:r>
      <w:r w:rsidRPr="00904FCB">
        <w:rPr>
          <w:rFonts w:ascii="Times New Roman" w:hAnsi="Times New Roman"/>
          <w:sz w:val="27"/>
          <w:rtl/>
        </w:rPr>
        <w:t xml:space="preserve"> ولا ينكرها أحد</w:t>
      </w:r>
      <w:r w:rsidR="00080EF2" w:rsidRPr="00904FCB">
        <w:rPr>
          <w:rFonts w:ascii="Times New Roman" w:hAnsi="Times New Roman" w:hint="cs"/>
          <w:sz w:val="27"/>
          <w:rtl/>
        </w:rPr>
        <w:t>ٌ.</w:t>
      </w:r>
      <w:r w:rsidRPr="00904FCB">
        <w:rPr>
          <w:rFonts w:ascii="Times New Roman" w:hAnsi="Times New Roman"/>
          <w:sz w:val="27"/>
          <w:rtl/>
        </w:rPr>
        <w:t xml:space="preserve"> ولع</w:t>
      </w:r>
      <w:r w:rsidR="00080EF2" w:rsidRPr="00904FCB">
        <w:rPr>
          <w:rFonts w:ascii="Times New Roman" w:hAnsi="Times New Roman" w:hint="cs"/>
          <w:sz w:val="27"/>
          <w:rtl/>
        </w:rPr>
        <w:t>لّ</w:t>
      </w:r>
      <w:r w:rsidR="00080EF2" w:rsidRPr="00904FCB">
        <w:rPr>
          <w:rFonts w:ascii="Times New Roman" w:hAnsi="Times New Roman"/>
          <w:sz w:val="27"/>
          <w:rtl/>
        </w:rPr>
        <w:t>ن</w:t>
      </w:r>
      <w:r w:rsidRPr="00904FCB">
        <w:rPr>
          <w:rFonts w:ascii="Times New Roman" w:hAnsi="Times New Roman"/>
          <w:sz w:val="27"/>
          <w:rtl/>
        </w:rPr>
        <w:t>ي لست</w:t>
      </w:r>
      <w:r w:rsidR="00080EF2" w:rsidRPr="00904FCB">
        <w:rPr>
          <w:rFonts w:ascii="Times New Roman" w:hAnsi="Times New Roman" w:hint="cs"/>
          <w:sz w:val="27"/>
          <w:rtl/>
        </w:rPr>
        <w:t>ُ</w:t>
      </w:r>
      <w:r w:rsidRPr="00904FCB">
        <w:rPr>
          <w:rFonts w:ascii="Times New Roman" w:hAnsi="Times New Roman"/>
          <w:sz w:val="27"/>
          <w:rtl/>
        </w:rPr>
        <w:t xml:space="preserve"> مبالغاً إذا صنّ</w:t>
      </w:r>
      <w:r w:rsidR="00080EF2" w:rsidRPr="00904FCB">
        <w:rPr>
          <w:rFonts w:ascii="Times New Roman" w:hAnsi="Times New Roman" w:hint="cs"/>
          <w:sz w:val="27"/>
          <w:rtl/>
        </w:rPr>
        <w:t>َ</w:t>
      </w:r>
      <w:r w:rsidRPr="00904FCB">
        <w:rPr>
          <w:rFonts w:ascii="Times New Roman" w:hAnsi="Times New Roman"/>
          <w:sz w:val="27"/>
          <w:rtl/>
        </w:rPr>
        <w:t>فتها في دائرة الألطاف الإلهية ببعض العباد</w:t>
      </w:r>
      <w:r w:rsidR="00080EF2" w:rsidRPr="00904FCB">
        <w:rPr>
          <w:rFonts w:ascii="Times New Roman" w:hAnsi="Times New Roman" w:hint="cs"/>
          <w:sz w:val="27"/>
          <w:rtl/>
        </w:rPr>
        <w:t>،</w:t>
      </w:r>
      <w:r w:rsidRPr="00904FCB">
        <w:rPr>
          <w:rFonts w:ascii="Times New Roman" w:hAnsi="Times New Roman"/>
          <w:sz w:val="27"/>
          <w:rtl/>
        </w:rPr>
        <w:t xml:space="preserve"> والتي يظهر الله فيها قدرته ولطفه، ويريهم أنّ ثم</w:t>
      </w:r>
      <w:r w:rsidR="00080EF2" w:rsidRPr="00904FCB">
        <w:rPr>
          <w:rFonts w:ascii="Times New Roman" w:hAnsi="Times New Roman" w:hint="cs"/>
          <w:sz w:val="27"/>
          <w:rtl/>
        </w:rPr>
        <w:t>ّ</w:t>
      </w:r>
      <w:r w:rsidRPr="00904FCB">
        <w:rPr>
          <w:rFonts w:ascii="Times New Roman" w:hAnsi="Times New Roman"/>
          <w:sz w:val="27"/>
          <w:rtl/>
        </w:rPr>
        <w:t>ة عالماً آخر</w:t>
      </w:r>
      <w:r w:rsidR="00080EF2" w:rsidRPr="00904FCB">
        <w:rPr>
          <w:rFonts w:ascii="Times New Roman" w:hAnsi="Times New Roman" w:hint="cs"/>
          <w:sz w:val="27"/>
          <w:rtl/>
        </w:rPr>
        <w:t>،</w:t>
      </w:r>
      <w:r w:rsidRPr="00904FCB">
        <w:rPr>
          <w:rFonts w:ascii="Times New Roman" w:hAnsi="Times New Roman"/>
          <w:sz w:val="27"/>
          <w:rtl/>
        </w:rPr>
        <w:t xml:space="preserve"> وقدرة أخرى هي فوق قدرتهم وطاقتهم، حت</w:t>
      </w:r>
      <w:r w:rsidR="00080EF2" w:rsidRPr="00904FCB">
        <w:rPr>
          <w:rFonts w:ascii="Times New Roman" w:hAnsi="Times New Roman" w:hint="cs"/>
          <w:sz w:val="27"/>
          <w:rtl/>
        </w:rPr>
        <w:t>ّ</w:t>
      </w:r>
      <w:r w:rsidRPr="00904FCB">
        <w:rPr>
          <w:rFonts w:ascii="Times New Roman" w:hAnsi="Times New Roman"/>
          <w:sz w:val="27"/>
          <w:rtl/>
        </w:rPr>
        <w:t>ى لا تجتاحهم الماد</w:t>
      </w:r>
      <w:r w:rsidR="00080EF2" w:rsidRPr="00904FCB">
        <w:rPr>
          <w:rFonts w:ascii="Times New Roman" w:hAnsi="Times New Roman" w:hint="cs"/>
          <w:sz w:val="27"/>
          <w:rtl/>
        </w:rPr>
        <w:t>ّ</w:t>
      </w:r>
      <w:r w:rsidRPr="00904FCB">
        <w:rPr>
          <w:rFonts w:ascii="Times New Roman" w:hAnsi="Times New Roman"/>
          <w:sz w:val="27"/>
          <w:rtl/>
        </w:rPr>
        <w:t>ة</w:t>
      </w:r>
      <w:r w:rsidR="00080EF2" w:rsidRPr="00904FCB">
        <w:rPr>
          <w:rFonts w:ascii="Times New Roman" w:hAnsi="Times New Roman" w:hint="cs"/>
          <w:sz w:val="27"/>
          <w:rtl/>
        </w:rPr>
        <w:t>،</w:t>
      </w:r>
      <w:r w:rsidRPr="00904FCB">
        <w:rPr>
          <w:rFonts w:ascii="Times New Roman" w:hAnsi="Times New Roman"/>
          <w:sz w:val="27"/>
          <w:rtl/>
        </w:rPr>
        <w:t xml:space="preserve"> فينكروا وجود هذا العالم الغيبي، ويغفلوا عن قدرته تعالى وألطافه.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E41E7D">
        <w:rPr>
          <w:rFonts w:hint="cs"/>
          <w:color w:val="auto"/>
          <w:rtl/>
        </w:rPr>
        <w:t>4ـ</w:t>
      </w:r>
      <w:r w:rsidRPr="00E41E7D">
        <w:rPr>
          <w:color w:val="auto"/>
          <w:rtl/>
        </w:rPr>
        <w:t xml:space="preserve"> رؤيا</w:t>
      </w:r>
      <w:r w:rsidRPr="00904FCB">
        <w:rPr>
          <w:color w:val="auto"/>
          <w:rtl/>
        </w:rPr>
        <w:t xml:space="preserve"> الأنبياء وحي</w:t>
      </w:r>
      <w:r w:rsidR="00B518A0" w:rsidRPr="00904FCB">
        <w:rPr>
          <w:rFonts w:hint="cs"/>
          <w:color w:val="auto"/>
          <w:rtl/>
        </w:rPr>
        <w:t>ٌ</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r w:rsidRPr="00904FCB">
        <w:rPr>
          <w:rFonts w:ascii="Times New Roman" w:hAnsi="Times New Roman"/>
          <w:sz w:val="27"/>
          <w:rtl/>
        </w:rPr>
        <w:t>ما تقد</w:t>
      </w:r>
      <w:r w:rsidR="00080EF2" w:rsidRPr="00904FCB">
        <w:rPr>
          <w:rFonts w:ascii="Times New Roman" w:hAnsi="Times New Roman" w:hint="cs"/>
          <w:sz w:val="27"/>
          <w:rtl/>
        </w:rPr>
        <w:t>َّ</w:t>
      </w:r>
      <w:r w:rsidRPr="00904FCB">
        <w:rPr>
          <w:rFonts w:ascii="Times New Roman" w:hAnsi="Times New Roman"/>
          <w:sz w:val="27"/>
          <w:rtl/>
        </w:rPr>
        <w:t>م من كلام عن نفي أي</w:t>
      </w:r>
      <w:r w:rsidR="00080EF2" w:rsidRPr="00904FCB">
        <w:rPr>
          <w:rFonts w:ascii="Times New Roman" w:hAnsi="Times New Roman" w:hint="cs"/>
          <w:sz w:val="27"/>
          <w:rtl/>
        </w:rPr>
        <w:t>ّ</w:t>
      </w:r>
      <w:r w:rsidRPr="00904FCB">
        <w:rPr>
          <w:rFonts w:ascii="Times New Roman" w:hAnsi="Times New Roman"/>
          <w:sz w:val="27"/>
          <w:rtl/>
        </w:rPr>
        <w:t xml:space="preserve"> دور</w:t>
      </w:r>
      <w:r w:rsidR="00080EF2" w:rsidRPr="00904FCB">
        <w:rPr>
          <w:rFonts w:ascii="Times New Roman" w:hAnsi="Times New Roman" w:hint="cs"/>
          <w:sz w:val="27"/>
          <w:rtl/>
        </w:rPr>
        <w:t>ٍ</w:t>
      </w:r>
      <w:r w:rsidRPr="00904FCB">
        <w:rPr>
          <w:rFonts w:ascii="Times New Roman" w:hAnsi="Times New Roman"/>
          <w:sz w:val="27"/>
          <w:rtl/>
        </w:rPr>
        <w:t xml:space="preserve"> للرؤيا في بناء الثقافة الإسلامية إنّما هو بالنسبة لرؤيا الأشخاص العاديين</w:t>
      </w:r>
      <w:r w:rsidR="00080EF2" w:rsidRPr="00904FCB">
        <w:rPr>
          <w:rFonts w:ascii="Times New Roman" w:hAnsi="Times New Roman" w:hint="cs"/>
          <w:sz w:val="27"/>
          <w:rtl/>
        </w:rPr>
        <w:t>.</w:t>
      </w:r>
      <w:r w:rsidRPr="00904FCB">
        <w:rPr>
          <w:rFonts w:ascii="Times New Roman" w:hAnsi="Times New Roman"/>
          <w:sz w:val="27"/>
          <w:rtl/>
        </w:rPr>
        <w:t xml:space="preserve"> لكن</w:t>
      </w:r>
      <w:r w:rsidR="00080EF2" w:rsidRPr="00904FCB">
        <w:rPr>
          <w:rFonts w:ascii="Times New Roman" w:hAnsi="Times New Roman" w:hint="cs"/>
          <w:sz w:val="27"/>
          <w:rtl/>
        </w:rPr>
        <w:t>ْ</w:t>
      </w:r>
      <w:r w:rsidRPr="00904FCB">
        <w:rPr>
          <w:rFonts w:ascii="Times New Roman" w:hAnsi="Times New Roman"/>
          <w:sz w:val="27"/>
          <w:rtl/>
        </w:rPr>
        <w:t xml:space="preserve"> ماذا عن رؤيا الأنبياء؟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من المهم</w:t>
      </w:r>
      <w:r w:rsidR="00080EF2" w:rsidRPr="00904FCB">
        <w:rPr>
          <w:rFonts w:ascii="Times New Roman" w:hAnsi="Times New Roman" w:hint="cs"/>
          <w:sz w:val="27"/>
          <w:rtl/>
        </w:rPr>
        <w:t>ّ</w:t>
      </w:r>
      <w:r w:rsidRPr="00904FCB">
        <w:rPr>
          <w:rFonts w:ascii="Times New Roman" w:hAnsi="Times New Roman"/>
          <w:sz w:val="27"/>
          <w:rtl/>
        </w:rPr>
        <w:t xml:space="preserve"> ـ في الب</w:t>
      </w:r>
      <w:r w:rsidR="00080EF2" w:rsidRPr="00904FCB">
        <w:rPr>
          <w:rFonts w:ascii="Times New Roman" w:hAnsi="Times New Roman" w:hint="cs"/>
          <w:sz w:val="27"/>
          <w:rtl/>
        </w:rPr>
        <w:t>َ</w:t>
      </w:r>
      <w:r w:rsidRPr="00904FCB">
        <w:rPr>
          <w:rFonts w:ascii="Times New Roman" w:hAnsi="Times New Roman"/>
          <w:sz w:val="27"/>
          <w:rtl/>
        </w:rPr>
        <w:t>د</w:t>
      </w:r>
      <w:r w:rsidR="00080EF2" w:rsidRPr="00904FCB">
        <w:rPr>
          <w:rFonts w:ascii="Times New Roman" w:hAnsi="Times New Roman" w:hint="cs"/>
          <w:sz w:val="27"/>
          <w:rtl/>
        </w:rPr>
        <w:t>ْ</w:t>
      </w:r>
      <w:r w:rsidRPr="00904FCB">
        <w:rPr>
          <w:rFonts w:ascii="Times New Roman" w:hAnsi="Times New Roman"/>
          <w:sz w:val="27"/>
          <w:rtl/>
        </w:rPr>
        <w:t xml:space="preserve">ء ـ أن نشير هنا إلى أنّ رؤيا الأنبياء هنا تنطبق على معنيين: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الأو</w:t>
      </w:r>
      <w:r w:rsidR="00080EF2" w:rsidRPr="00904FCB">
        <w:rPr>
          <w:rFonts w:ascii="Times New Roman" w:hAnsi="Times New Roman" w:hint="cs"/>
          <w:b/>
          <w:bCs/>
          <w:sz w:val="27"/>
          <w:rtl/>
        </w:rPr>
        <w:t>ّ</w:t>
      </w:r>
      <w:r w:rsidRPr="00904FCB">
        <w:rPr>
          <w:rFonts w:ascii="Times New Roman" w:hAnsi="Times New Roman"/>
          <w:b/>
          <w:bCs/>
          <w:sz w:val="27"/>
          <w:rtl/>
        </w:rPr>
        <w:t xml:space="preserve">ل: </w:t>
      </w:r>
      <w:r w:rsidRPr="00904FCB">
        <w:rPr>
          <w:rFonts w:ascii="Times New Roman" w:hAnsi="Times New Roman"/>
          <w:sz w:val="27"/>
          <w:rtl/>
        </w:rPr>
        <w:t>أن يرى النبي</w:t>
      </w:r>
      <w:r w:rsidR="00080EF2"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نفسه شيئاً في المنام، فهل يكون منامه حج</w:t>
      </w:r>
      <w:r w:rsidR="00080EF2" w:rsidRPr="00904FCB">
        <w:rPr>
          <w:rFonts w:ascii="Times New Roman" w:hAnsi="Times New Roman" w:hint="cs"/>
          <w:sz w:val="27"/>
          <w:rtl/>
        </w:rPr>
        <w:t>ّ</w:t>
      </w:r>
      <w:r w:rsidRPr="00904FCB">
        <w:rPr>
          <w:rFonts w:ascii="Times New Roman" w:hAnsi="Times New Roman"/>
          <w:sz w:val="27"/>
          <w:rtl/>
        </w:rPr>
        <w:t>ة ووحي</w:t>
      </w:r>
      <w:r w:rsidR="00080EF2" w:rsidRPr="00904FCB">
        <w:rPr>
          <w:rFonts w:ascii="Times New Roman" w:hAnsi="Times New Roman" w:hint="cs"/>
          <w:sz w:val="27"/>
          <w:rtl/>
        </w:rPr>
        <w:t>اً</w:t>
      </w:r>
      <w:r w:rsidRPr="00904FCB">
        <w:rPr>
          <w:rFonts w:ascii="Times New Roman" w:hAnsi="Times New Roman"/>
          <w:sz w:val="27"/>
          <w:rtl/>
        </w:rPr>
        <w:t>، أم انّه ك</w:t>
      </w:r>
      <w:r w:rsidR="00384B20">
        <w:rPr>
          <w:rFonts w:ascii="Times New Roman" w:hAnsi="Times New Roman" w:hint="cs"/>
          <w:sz w:val="27"/>
          <w:rtl/>
        </w:rPr>
        <w:t>َ</w:t>
      </w:r>
      <w:r w:rsidRPr="00904FCB">
        <w:rPr>
          <w:rFonts w:ascii="Times New Roman" w:hAnsi="Times New Roman"/>
          <w:sz w:val="27"/>
          <w:rtl/>
        </w:rPr>
        <w:t>م</w:t>
      </w:r>
      <w:r w:rsidR="00384B20">
        <w:rPr>
          <w:rFonts w:ascii="Times New Roman" w:hAnsi="Times New Roman" w:hint="cs"/>
          <w:sz w:val="27"/>
          <w:rtl/>
        </w:rPr>
        <w:t>َ</w:t>
      </w:r>
      <w:r w:rsidRPr="00904FCB">
        <w:rPr>
          <w:rFonts w:ascii="Times New Roman" w:hAnsi="Times New Roman"/>
          <w:sz w:val="27"/>
          <w:rtl/>
        </w:rPr>
        <w:t xml:space="preserve">نامنا نحن عندما نرى شيئاً؟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 xml:space="preserve">الثاني: </w:t>
      </w:r>
      <w:r w:rsidRPr="00904FCB">
        <w:rPr>
          <w:rFonts w:ascii="Times New Roman" w:hAnsi="Times New Roman"/>
          <w:sz w:val="27"/>
          <w:rtl/>
        </w:rPr>
        <w:t>أن نرى نحن النبي</w:t>
      </w:r>
      <w:r w:rsidR="00080EF2" w:rsidRPr="00904FCB">
        <w:rPr>
          <w:rFonts w:ascii="Times New Roman" w:hAnsi="Times New Roman" w:hint="cs"/>
          <w:sz w:val="27"/>
          <w:rtl/>
        </w:rPr>
        <w:t>ّ</w:t>
      </w:r>
      <w:r w:rsidR="001C1A2A" w:rsidRPr="00904FCB">
        <w:rPr>
          <w:rFonts w:ascii="Times New Roman" w:hAnsi="Times New Roman" w:cs="Mosawi"/>
          <w:sz w:val="27"/>
          <w:szCs w:val="22"/>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فاعلاً لشيء</w:t>
      </w:r>
      <w:r w:rsidR="00080EF2" w:rsidRPr="00904FCB">
        <w:rPr>
          <w:rFonts w:ascii="Times New Roman" w:hAnsi="Times New Roman" w:hint="cs"/>
          <w:sz w:val="27"/>
          <w:rtl/>
        </w:rPr>
        <w:t>ٍ،</w:t>
      </w:r>
      <w:r w:rsidRPr="00904FCB">
        <w:rPr>
          <w:rFonts w:ascii="Times New Roman" w:hAnsi="Times New Roman"/>
          <w:sz w:val="27"/>
          <w:rtl/>
        </w:rPr>
        <w:t xml:space="preserve"> أو آمر</w:t>
      </w:r>
      <w:r w:rsidR="00080EF2" w:rsidRPr="00904FCB">
        <w:rPr>
          <w:rFonts w:ascii="Times New Roman" w:hAnsi="Times New Roman" w:hint="cs"/>
          <w:sz w:val="27"/>
          <w:rtl/>
        </w:rPr>
        <w:t>اً</w:t>
      </w:r>
      <w:r w:rsidRPr="00904FCB">
        <w:rPr>
          <w:rFonts w:ascii="Times New Roman" w:hAnsi="Times New Roman"/>
          <w:sz w:val="27"/>
          <w:rtl/>
        </w:rPr>
        <w:t xml:space="preserve"> بشيء</w:t>
      </w:r>
      <w:r w:rsidR="00080EF2" w:rsidRPr="00904FCB">
        <w:rPr>
          <w:rFonts w:ascii="Times New Roman" w:hAnsi="Times New Roman" w:hint="cs"/>
          <w:sz w:val="27"/>
          <w:rtl/>
        </w:rPr>
        <w:t>،</w:t>
      </w:r>
      <w:r w:rsidRPr="00904FCB">
        <w:rPr>
          <w:rFonts w:ascii="Times New Roman" w:hAnsi="Times New Roman"/>
          <w:sz w:val="27"/>
          <w:rtl/>
        </w:rPr>
        <w:t xml:space="preserve"> أو ناهياً عن شيء.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r w:rsidRPr="00904FCB">
        <w:rPr>
          <w:rFonts w:ascii="Times New Roman" w:hAnsi="Times New Roman"/>
          <w:sz w:val="27"/>
          <w:rtl/>
        </w:rPr>
        <w:t xml:space="preserve">والمعنى الثاني سيأتي الحديث عنه في المحور الثاني من هذا البحث، أعني مبحث تعبير الرؤيا.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أما في</w:t>
      </w:r>
      <w:r w:rsidR="00080EF2" w:rsidRPr="00904FCB">
        <w:rPr>
          <w:rFonts w:ascii="Times New Roman" w:hAnsi="Times New Roman" w:hint="cs"/>
          <w:sz w:val="27"/>
          <w:rtl/>
        </w:rPr>
        <w:t xml:space="preserve"> </w:t>
      </w:r>
      <w:r w:rsidRPr="00904FCB">
        <w:rPr>
          <w:rFonts w:ascii="Times New Roman" w:hAnsi="Times New Roman"/>
          <w:sz w:val="27"/>
          <w:rtl/>
        </w:rPr>
        <w:t>ما يت</w:t>
      </w:r>
      <w:r w:rsidR="00080EF2" w:rsidRPr="00904FCB">
        <w:rPr>
          <w:rFonts w:ascii="Times New Roman" w:hAnsi="Times New Roman" w:hint="cs"/>
          <w:sz w:val="27"/>
          <w:rtl/>
        </w:rPr>
        <w:t>ّ</w:t>
      </w:r>
      <w:r w:rsidRPr="00904FCB">
        <w:rPr>
          <w:rFonts w:ascii="Times New Roman" w:hAnsi="Times New Roman"/>
          <w:sz w:val="27"/>
          <w:rtl/>
        </w:rPr>
        <w:t>صل بالمعنى الأول فنقول إزاءه: إذا كانت الرؤيا الصادقة للمؤمن العادي جزءاً من النبو</w:t>
      </w:r>
      <w:r w:rsidR="00080EF2" w:rsidRPr="00904FCB">
        <w:rPr>
          <w:rFonts w:ascii="Times New Roman" w:hAnsi="Times New Roman" w:hint="cs"/>
          <w:sz w:val="27"/>
          <w:rtl/>
        </w:rPr>
        <w:t>ّ</w:t>
      </w:r>
      <w:r w:rsidRPr="00904FCB">
        <w:rPr>
          <w:rFonts w:ascii="Times New Roman" w:hAnsi="Times New Roman"/>
          <w:sz w:val="27"/>
          <w:rtl/>
        </w:rPr>
        <w:t>ة فما بالك بما إذا كان الرائي نبي</w:t>
      </w:r>
      <w:r w:rsidR="00080EF2" w:rsidRPr="00904FCB">
        <w:rPr>
          <w:rFonts w:ascii="Times New Roman" w:hAnsi="Times New Roman" w:hint="cs"/>
          <w:sz w:val="27"/>
          <w:rtl/>
        </w:rPr>
        <w:t>ّ</w:t>
      </w:r>
      <w:r w:rsidRPr="00904FCB">
        <w:rPr>
          <w:rFonts w:ascii="Times New Roman" w:hAnsi="Times New Roman"/>
          <w:sz w:val="27"/>
          <w:rtl/>
        </w:rPr>
        <w:t>اً من الأنبياء</w:t>
      </w:r>
      <w:r w:rsidR="00396AB7" w:rsidRPr="00904FCB">
        <w:rPr>
          <w:rFonts w:ascii="Times New Roman" w:hAnsi="Times New Roman" w:hint="cs"/>
          <w:sz w:val="27"/>
          <w:rtl/>
        </w:rPr>
        <w:t>؟!</w:t>
      </w:r>
      <w:r w:rsidRPr="00904FCB">
        <w:rPr>
          <w:rFonts w:ascii="Times New Roman" w:hAnsi="Times New Roman"/>
          <w:sz w:val="27"/>
          <w:rtl/>
        </w:rPr>
        <w:t xml:space="preserve"> فرؤياه هذه تختلف عن رؤيانا تمام الاختلاف</w:t>
      </w:r>
      <w:r w:rsidR="00396AB7" w:rsidRPr="00904FCB">
        <w:rPr>
          <w:rFonts w:ascii="Times New Roman" w:hAnsi="Times New Roman" w:hint="cs"/>
          <w:sz w:val="27"/>
          <w:rtl/>
        </w:rPr>
        <w:t>.</w:t>
      </w:r>
      <w:r w:rsidRPr="00904FCB">
        <w:rPr>
          <w:rFonts w:ascii="Times New Roman" w:hAnsi="Times New Roman"/>
          <w:sz w:val="27"/>
          <w:rtl/>
        </w:rPr>
        <w:t xml:space="preserve"> والمعروف عند المسلمين أنّ رؤيا النبي</w:t>
      </w:r>
      <w:r w:rsidR="00396AB7" w:rsidRPr="00904FCB">
        <w:rPr>
          <w:rFonts w:ascii="Times New Roman" w:hAnsi="Times New Roman" w:hint="cs"/>
          <w:sz w:val="27"/>
          <w:rtl/>
        </w:rPr>
        <w:t>ّ</w:t>
      </w:r>
      <w:r w:rsidR="001C1A2A" w:rsidRPr="00904FCB">
        <w:rPr>
          <w:rFonts w:ascii="Times New Roman" w:hAnsi="Times New Roman" w:cs="Mosawi"/>
          <w:sz w:val="27"/>
          <w:szCs w:val="22"/>
          <w:rtl/>
        </w:rPr>
        <w:t>×</w:t>
      </w:r>
      <w:r w:rsidRPr="00904FCB">
        <w:rPr>
          <w:rFonts w:ascii="Times New Roman" w:hAnsi="Times New Roman"/>
          <w:sz w:val="27"/>
          <w:rtl/>
        </w:rPr>
        <w:t xml:space="preserve"> هي وحي</w:t>
      </w:r>
      <w:r w:rsidR="00396AB7" w:rsidRPr="00904FCB">
        <w:rPr>
          <w:rFonts w:ascii="Times New Roman" w:hAnsi="Times New Roman" w:hint="cs"/>
          <w:sz w:val="27"/>
          <w:rtl/>
        </w:rPr>
        <w:t>ٌ؛</w:t>
      </w:r>
      <w:r w:rsidRPr="00904FCB">
        <w:rPr>
          <w:rFonts w:ascii="Times New Roman" w:hAnsi="Times New Roman"/>
          <w:sz w:val="27"/>
          <w:rtl/>
        </w:rPr>
        <w:t xml:space="preserve"> لأنّ الله تعالى يوحي للنبي</w:t>
      </w:r>
      <w:r w:rsidR="00384B20">
        <w:rPr>
          <w:rFonts w:ascii="Times New Roman" w:hAnsi="Times New Roman" w:hint="cs"/>
          <w:sz w:val="27"/>
          <w:rtl/>
        </w:rPr>
        <w:t>ّ</w:t>
      </w:r>
      <w:r w:rsidR="001C1A2A" w:rsidRPr="00904FCB">
        <w:rPr>
          <w:rFonts w:ascii="Times New Roman" w:hAnsi="Times New Roman" w:cs="Mosawi"/>
          <w:sz w:val="27"/>
          <w:szCs w:val="22"/>
          <w:rtl/>
        </w:rPr>
        <w:t>×</w:t>
      </w:r>
      <w:r w:rsidRPr="00904FCB">
        <w:rPr>
          <w:rFonts w:ascii="Times New Roman" w:hAnsi="Times New Roman"/>
          <w:sz w:val="27"/>
          <w:rtl/>
        </w:rPr>
        <w:t xml:space="preserve"> من خلال عد</w:t>
      </w:r>
      <w:r w:rsidR="00396AB7" w:rsidRPr="00904FCB">
        <w:rPr>
          <w:rFonts w:ascii="Times New Roman" w:hAnsi="Times New Roman" w:hint="cs"/>
          <w:sz w:val="27"/>
          <w:rtl/>
        </w:rPr>
        <w:t>ّ</w:t>
      </w:r>
      <w:r w:rsidRPr="00904FCB">
        <w:rPr>
          <w:rFonts w:ascii="Times New Roman" w:hAnsi="Times New Roman"/>
          <w:sz w:val="27"/>
          <w:rtl/>
        </w:rPr>
        <w:t>ة طرق</w:t>
      </w:r>
      <w:r w:rsidR="00396AB7" w:rsidRPr="00904FCB">
        <w:rPr>
          <w:rFonts w:ascii="Times New Roman" w:hAnsi="Times New Roman" w:hint="cs"/>
          <w:sz w:val="27"/>
          <w:rtl/>
        </w:rPr>
        <w:t>؛</w:t>
      </w:r>
      <w:r w:rsidRPr="00904FCB">
        <w:rPr>
          <w:rFonts w:ascii="Times New Roman" w:hAnsi="Times New Roman"/>
          <w:sz w:val="27"/>
          <w:rtl/>
        </w:rPr>
        <w:t xml:space="preserve"> إما بالتكليم بالواسطة</w:t>
      </w:r>
      <w:r w:rsidR="00396AB7" w:rsidRPr="00904FCB">
        <w:rPr>
          <w:rFonts w:ascii="Times New Roman" w:hAnsi="Times New Roman" w:hint="cs"/>
          <w:sz w:val="27"/>
          <w:rtl/>
        </w:rPr>
        <w:t>؛</w:t>
      </w:r>
      <w:r w:rsidRPr="00904FCB">
        <w:rPr>
          <w:rFonts w:ascii="Times New Roman" w:hAnsi="Times New Roman"/>
          <w:sz w:val="27"/>
          <w:rtl/>
        </w:rPr>
        <w:t xml:space="preserve"> أو التكليم المباشر</w:t>
      </w:r>
      <w:r w:rsidR="00396AB7" w:rsidRPr="00904FCB">
        <w:rPr>
          <w:rFonts w:ascii="Times New Roman" w:hAnsi="Times New Roman" w:hint="cs"/>
          <w:sz w:val="27"/>
          <w:rtl/>
        </w:rPr>
        <w:t>؛</w:t>
      </w:r>
      <w:r w:rsidRPr="00904FCB">
        <w:rPr>
          <w:rFonts w:ascii="Times New Roman" w:hAnsi="Times New Roman"/>
          <w:sz w:val="27"/>
          <w:rtl/>
        </w:rPr>
        <w:t xml:space="preserve"> أو من خلال إرسال الرسول الخاص</w:t>
      </w:r>
      <w:r w:rsidR="00396AB7" w:rsidRPr="00904FCB">
        <w:rPr>
          <w:rFonts w:ascii="Times New Roman" w:hAnsi="Times New Roman" w:hint="cs"/>
          <w:sz w:val="27"/>
          <w:rtl/>
        </w:rPr>
        <w:t>ّ،</w:t>
      </w:r>
      <w:r w:rsidRPr="00904FCB">
        <w:rPr>
          <w:rFonts w:ascii="Times New Roman" w:hAnsi="Times New Roman"/>
          <w:sz w:val="27"/>
          <w:rtl/>
        </w:rPr>
        <w:t xml:space="preserve"> وهو الم</w:t>
      </w:r>
      <w:r w:rsidR="00396AB7" w:rsidRPr="00904FCB">
        <w:rPr>
          <w:rFonts w:ascii="Times New Roman" w:hAnsi="Times New Roman" w:hint="cs"/>
          <w:sz w:val="27"/>
          <w:rtl/>
        </w:rPr>
        <w:t>َ</w:t>
      </w:r>
      <w:r w:rsidRPr="00904FCB">
        <w:rPr>
          <w:rFonts w:ascii="Times New Roman" w:hAnsi="Times New Roman"/>
          <w:sz w:val="27"/>
          <w:rtl/>
        </w:rPr>
        <w:t>ل</w:t>
      </w:r>
      <w:r w:rsidR="00396AB7" w:rsidRPr="00904FCB">
        <w:rPr>
          <w:rFonts w:ascii="Times New Roman" w:hAnsi="Times New Roman" w:hint="cs"/>
          <w:sz w:val="27"/>
          <w:rtl/>
        </w:rPr>
        <w:t>َ</w:t>
      </w:r>
      <w:r w:rsidRPr="00904FCB">
        <w:rPr>
          <w:rFonts w:ascii="Times New Roman" w:hAnsi="Times New Roman"/>
          <w:sz w:val="27"/>
          <w:rtl/>
        </w:rPr>
        <w:t xml:space="preserve">ك، قال تعالى: </w:t>
      </w:r>
      <w:r w:rsidRPr="00904FCB">
        <w:rPr>
          <w:rFonts w:ascii="Mosawi" w:hAnsi="Mosawi" w:cs="Mosawi"/>
          <w:sz w:val="24"/>
          <w:szCs w:val="24"/>
          <w:rtl/>
        </w:rPr>
        <w:t>﴿</w:t>
      </w:r>
      <w:r w:rsidR="00396AB7" w:rsidRPr="00904FCB">
        <w:rPr>
          <w:b/>
          <w:bCs/>
          <w:sz w:val="27"/>
          <w:rtl/>
        </w:rPr>
        <w:t xml:space="preserve">وَمَا كَانَ لِبَشَرٍ </w:t>
      </w:r>
      <w:r w:rsidR="00396AB7" w:rsidRPr="00904FCB">
        <w:rPr>
          <w:b/>
          <w:bCs/>
          <w:sz w:val="27"/>
          <w:rtl/>
        </w:rPr>
        <w:lastRenderedPageBreak/>
        <w:t>أَنْ يُكَلِّمَهُ اللهُ إِلاَّ وَحْياً أَوْ مِنْ وَرَاءِ حِجَابٍ أَوْ يُرْسِلَ رَسُولاً فَيُوحِيَ بِإِذْنِهِ مَا يَشَاءُ إِنَّهُ عَلِيٌّ حَكِيمٌ</w:t>
      </w:r>
      <w:r w:rsidRPr="00904FCB">
        <w:rPr>
          <w:rFonts w:ascii="Mosawi" w:hAnsi="Mosawi" w:cs="Mosawi"/>
          <w:sz w:val="24"/>
          <w:szCs w:val="24"/>
          <w:rtl/>
        </w:rPr>
        <w:t>﴾</w:t>
      </w:r>
      <w:r w:rsidRPr="00904FCB">
        <w:rPr>
          <w:rFonts w:ascii="Times New Roman" w:hAnsi="Times New Roman" w:hint="cs"/>
          <w:sz w:val="27"/>
          <w:rtl/>
        </w:rPr>
        <w:t xml:space="preserve"> (</w:t>
      </w:r>
      <w:r w:rsidRPr="00904FCB">
        <w:rPr>
          <w:rFonts w:ascii="Times New Roman" w:hAnsi="Times New Roman"/>
          <w:sz w:val="27"/>
          <w:rtl/>
        </w:rPr>
        <w:t xml:space="preserve">الشورى: </w:t>
      </w:r>
      <w:r w:rsidRPr="00E41E7D">
        <w:rPr>
          <w:rFonts w:ascii="Times New Roman" w:hAnsi="Times New Roman"/>
          <w:sz w:val="27"/>
          <w:rtl/>
        </w:rPr>
        <w:t>51</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r w:rsidRPr="00904FCB">
        <w:rPr>
          <w:rFonts w:ascii="Times New Roman" w:hAnsi="Times New Roman"/>
          <w:sz w:val="27"/>
          <w:rtl/>
        </w:rPr>
        <w:t>ومن جملة طرق الوحي إلى النبي</w:t>
      </w:r>
      <w:r w:rsidR="00396AB7" w:rsidRPr="00904FCB">
        <w:rPr>
          <w:rFonts w:ascii="Times New Roman" w:hAnsi="Times New Roman" w:hint="cs"/>
          <w:sz w:val="27"/>
          <w:rtl/>
        </w:rPr>
        <w:t>ّ</w:t>
      </w:r>
      <w:r w:rsidR="001C1A2A" w:rsidRPr="00904FCB">
        <w:rPr>
          <w:rFonts w:ascii="Times New Roman" w:hAnsi="Times New Roman" w:cs="Mosawi"/>
          <w:sz w:val="27"/>
          <w:szCs w:val="22"/>
          <w:rtl/>
        </w:rPr>
        <w:t>×</w:t>
      </w:r>
      <w:r w:rsidRPr="00904FCB">
        <w:rPr>
          <w:rFonts w:ascii="Times New Roman" w:hAnsi="Times New Roman"/>
          <w:sz w:val="27"/>
          <w:rtl/>
        </w:rPr>
        <w:t xml:space="preserve"> أيضاً: الرؤيا</w:t>
      </w:r>
      <w:r w:rsidR="00396AB7" w:rsidRPr="00904FCB">
        <w:rPr>
          <w:rFonts w:ascii="Times New Roman" w:hAnsi="Times New Roman" w:hint="cs"/>
          <w:sz w:val="27"/>
          <w:rtl/>
        </w:rPr>
        <w:t>،</w:t>
      </w:r>
      <w:r w:rsidRPr="00904FCB">
        <w:rPr>
          <w:rFonts w:ascii="Times New Roman" w:hAnsi="Times New Roman"/>
          <w:sz w:val="27"/>
          <w:rtl/>
        </w:rPr>
        <w:t xml:space="preserve"> كما في رؤيا نبي</w:t>
      </w:r>
      <w:r w:rsidR="00396AB7" w:rsidRPr="00904FCB">
        <w:rPr>
          <w:rFonts w:ascii="Times New Roman" w:hAnsi="Times New Roman" w:hint="cs"/>
          <w:sz w:val="27"/>
          <w:rtl/>
        </w:rPr>
        <w:t>ّ</w:t>
      </w:r>
      <w:r w:rsidRPr="00904FCB">
        <w:rPr>
          <w:rFonts w:ascii="Times New Roman" w:hAnsi="Times New Roman"/>
          <w:sz w:val="27"/>
          <w:rtl/>
        </w:rPr>
        <w:t xml:space="preserve"> الله إبراهيم أن</w:t>
      </w:r>
      <w:r w:rsidR="00396AB7" w:rsidRPr="00904FCB">
        <w:rPr>
          <w:rFonts w:ascii="Times New Roman" w:hAnsi="Times New Roman" w:hint="cs"/>
          <w:sz w:val="27"/>
          <w:rtl/>
        </w:rPr>
        <w:t>ّ</w:t>
      </w:r>
      <w:r w:rsidRPr="00904FCB">
        <w:rPr>
          <w:rFonts w:ascii="Times New Roman" w:hAnsi="Times New Roman"/>
          <w:sz w:val="27"/>
          <w:rtl/>
        </w:rPr>
        <w:t>ه يذبح ولده إسماعيل، فإنّ ذلك كان وحياً إلهي</w:t>
      </w:r>
      <w:r w:rsidR="00396AB7" w:rsidRPr="00904FCB">
        <w:rPr>
          <w:rFonts w:ascii="Times New Roman" w:hAnsi="Times New Roman" w:hint="cs"/>
          <w:sz w:val="27"/>
          <w:rtl/>
        </w:rPr>
        <w:t>ّ</w:t>
      </w:r>
      <w:r w:rsidRPr="00904FCB">
        <w:rPr>
          <w:rFonts w:ascii="Times New Roman" w:hAnsi="Times New Roman"/>
          <w:sz w:val="27"/>
          <w:rtl/>
        </w:rPr>
        <w:t>اً، ولذا بادر إبراهيم الخليل</w:t>
      </w:r>
      <w:r w:rsidR="001C1A2A" w:rsidRPr="00904FCB">
        <w:rPr>
          <w:rFonts w:ascii="Times New Roman" w:hAnsi="Times New Roman" w:cs="Mosawi"/>
          <w:sz w:val="27"/>
          <w:szCs w:val="22"/>
          <w:rtl/>
        </w:rPr>
        <w:t>×</w:t>
      </w:r>
      <w:r w:rsidRPr="00904FCB">
        <w:rPr>
          <w:rFonts w:ascii="Times New Roman" w:hAnsi="Times New Roman"/>
          <w:sz w:val="27"/>
          <w:rtl/>
        </w:rPr>
        <w:t xml:space="preserve"> إلى امتثاله، وسلّ</w:t>
      </w:r>
      <w:r w:rsidR="00396AB7" w:rsidRPr="00904FCB">
        <w:rPr>
          <w:rFonts w:ascii="Times New Roman" w:hAnsi="Times New Roman" w:hint="cs"/>
          <w:sz w:val="27"/>
          <w:rtl/>
        </w:rPr>
        <w:t>َ</w:t>
      </w:r>
      <w:r w:rsidRPr="00904FCB">
        <w:rPr>
          <w:rFonts w:ascii="Times New Roman" w:hAnsi="Times New Roman"/>
          <w:sz w:val="27"/>
          <w:rtl/>
        </w:rPr>
        <w:t>م إسماعيل</w:t>
      </w:r>
      <w:r w:rsidR="001C1A2A" w:rsidRPr="00904FCB">
        <w:rPr>
          <w:rFonts w:ascii="Times New Roman" w:hAnsi="Times New Roman" w:cs="Mosawi"/>
          <w:sz w:val="27"/>
          <w:szCs w:val="22"/>
          <w:rtl/>
        </w:rPr>
        <w:t>×</w:t>
      </w:r>
      <w:r w:rsidRPr="00904FCB">
        <w:rPr>
          <w:rFonts w:ascii="Times New Roman" w:hAnsi="Times New Roman"/>
          <w:sz w:val="27"/>
          <w:rtl/>
        </w:rPr>
        <w:t xml:space="preserve"> لذلك، قال تعالى: </w:t>
      </w:r>
      <w:r w:rsidRPr="00904FCB">
        <w:rPr>
          <w:rFonts w:ascii="Mosawi" w:hAnsi="Mosawi" w:cs="Mosawi"/>
          <w:sz w:val="24"/>
          <w:szCs w:val="24"/>
          <w:rtl/>
        </w:rPr>
        <w:t>﴿</w:t>
      </w:r>
      <w:r w:rsidR="00396AB7" w:rsidRPr="00904FCB">
        <w:rPr>
          <w:b/>
          <w:bCs/>
          <w:sz w:val="27"/>
          <w:rtl/>
        </w:rPr>
        <w:t xml:space="preserve">فَلَمَّا بَلَغَ مَعَهُ السَّعْيَ قَالَ يَا بُنَيَّ إِنِّي أَرَى فِي الْمَنَامِ أَنِّي أَذْبَحُكَ فَانظُرْ مَاذَا تَرَى قَالَ يَا أَبَتِ افْعَلْ مَا تُؤْمَرُ سَتَجِدُنِي إِنْ شَاءَ اللهُ مِنْ الصَّابِرِينَ </w:t>
      </w:r>
      <w:r w:rsidR="00396AB7" w:rsidRPr="00904FCB">
        <w:rPr>
          <w:rFonts w:hint="cs"/>
          <w:b/>
          <w:bCs/>
          <w:sz w:val="27"/>
          <w:rtl/>
        </w:rPr>
        <w:t>*</w:t>
      </w:r>
      <w:r w:rsidR="00396AB7" w:rsidRPr="00904FCB">
        <w:rPr>
          <w:b/>
          <w:bCs/>
          <w:sz w:val="27"/>
          <w:rtl/>
        </w:rPr>
        <w:t xml:space="preserve"> فَلَمَّا أَسْلَمَا وَتَلَّهُ لِلْجَبِينِ </w:t>
      </w:r>
      <w:r w:rsidR="00396AB7" w:rsidRPr="00904FCB">
        <w:rPr>
          <w:rFonts w:hint="cs"/>
          <w:b/>
          <w:bCs/>
          <w:sz w:val="27"/>
          <w:rtl/>
        </w:rPr>
        <w:t>*</w:t>
      </w:r>
      <w:r w:rsidR="00396AB7" w:rsidRPr="00904FCB">
        <w:rPr>
          <w:b/>
          <w:bCs/>
          <w:sz w:val="27"/>
          <w:rtl/>
        </w:rPr>
        <w:t xml:space="preserve"> وَنَادَيْنَاهُ أَنْ يَا إِبْرَاهِيمُ </w:t>
      </w:r>
      <w:r w:rsidR="00396AB7" w:rsidRPr="00904FCB">
        <w:rPr>
          <w:rFonts w:hint="cs"/>
          <w:b/>
          <w:bCs/>
          <w:sz w:val="27"/>
          <w:rtl/>
        </w:rPr>
        <w:t>*</w:t>
      </w:r>
      <w:r w:rsidR="00396AB7" w:rsidRPr="00904FCB">
        <w:rPr>
          <w:b/>
          <w:bCs/>
          <w:sz w:val="27"/>
          <w:rtl/>
        </w:rPr>
        <w:t xml:space="preserve"> قَدْ صَدَّقْتَ الرُّؤْيَا إِنَّا كَذَلِكَ نَجْزِي الْمُحْسِنِينَ</w:t>
      </w:r>
      <w:r w:rsidRPr="00904FCB">
        <w:rPr>
          <w:rFonts w:ascii="Mosawi" w:hAnsi="Mosawi" w:cs="Mosawi"/>
          <w:sz w:val="24"/>
          <w:szCs w:val="24"/>
          <w:rtl/>
        </w:rPr>
        <w:t>﴾</w:t>
      </w:r>
      <w:r w:rsidRPr="00904FCB">
        <w:rPr>
          <w:rFonts w:ascii="Times New Roman" w:hAnsi="Times New Roman" w:hint="cs"/>
          <w:sz w:val="27"/>
          <w:rtl/>
        </w:rPr>
        <w:t xml:space="preserve"> (</w:t>
      </w:r>
      <w:r w:rsidRPr="00904FCB">
        <w:rPr>
          <w:rFonts w:ascii="Times New Roman" w:hAnsi="Times New Roman"/>
          <w:sz w:val="27"/>
          <w:rtl/>
        </w:rPr>
        <w:t>الصافات</w:t>
      </w:r>
      <w:r w:rsidRPr="00E41E7D">
        <w:rPr>
          <w:rFonts w:ascii="Times New Roman" w:hAnsi="Times New Roman"/>
          <w:sz w:val="27"/>
          <w:rtl/>
        </w:rPr>
        <w:t>: 102 ـ 105)</w:t>
      </w:r>
      <w:r w:rsidRPr="00904FCB">
        <w:rPr>
          <w:rFonts w:ascii="Times New Roman" w:hAnsi="Times New Roman"/>
          <w:sz w:val="27"/>
          <w:rtl/>
        </w:rPr>
        <w:t>، وفي الحديث عن أمير المؤمنين</w:t>
      </w:r>
      <w:r w:rsidR="001C1A2A" w:rsidRPr="00904FCB">
        <w:rPr>
          <w:rFonts w:ascii="Times New Roman" w:hAnsi="Times New Roman" w:cs="Mosawi"/>
          <w:sz w:val="27"/>
          <w:szCs w:val="22"/>
          <w:rtl/>
        </w:rPr>
        <w:t>×</w:t>
      </w:r>
      <w:r w:rsidRPr="00904FCB">
        <w:rPr>
          <w:rFonts w:ascii="Times New Roman" w:hAnsi="Times New Roman"/>
          <w:sz w:val="27"/>
          <w:rtl/>
        </w:rPr>
        <w:t xml:space="preserve">: </w:t>
      </w:r>
      <w:r w:rsidRPr="00904FCB">
        <w:rPr>
          <w:rFonts w:hint="eastAsia"/>
          <w:sz w:val="27"/>
          <w:rtl/>
        </w:rPr>
        <w:t>«</w:t>
      </w:r>
      <w:r w:rsidRPr="00904FCB">
        <w:rPr>
          <w:rFonts w:ascii="Times New Roman" w:hAnsi="Times New Roman"/>
          <w:sz w:val="27"/>
          <w:rtl/>
        </w:rPr>
        <w:t>رؤيا الأنبياء وحي</w:t>
      </w:r>
      <w:r w:rsidR="00396AB7" w:rsidRPr="00904FCB">
        <w:rPr>
          <w:rFonts w:hint="cs"/>
          <w:sz w:val="27"/>
          <w:rtl/>
        </w:rPr>
        <w:t>ٌ</w:t>
      </w:r>
      <w:r w:rsidRPr="00904FCB">
        <w:rPr>
          <w:rFonts w:hint="eastAsia"/>
          <w:sz w:val="27"/>
          <w:rtl/>
        </w:rPr>
        <w:t>»</w:t>
      </w:r>
      <w:r w:rsidRPr="00904FCB">
        <w:rPr>
          <w:rFonts w:hint="cs"/>
          <w:sz w:val="27"/>
          <w:vertAlign w:val="superscript"/>
          <w:rtl/>
        </w:rPr>
        <w:t>(</w:t>
      </w:r>
      <w:r w:rsidRPr="00904FCB">
        <w:rPr>
          <w:rStyle w:val="ac"/>
          <w:sz w:val="27"/>
          <w:rtl/>
        </w:rPr>
        <w:endnoteReference w:id="552"/>
      </w:r>
      <w:r w:rsidRPr="00904FCB">
        <w:rPr>
          <w:rFonts w:hint="cs"/>
          <w:sz w:val="27"/>
          <w:vertAlign w:val="superscript"/>
          <w:rtl/>
        </w:rPr>
        <w:t>)</w:t>
      </w:r>
      <w:r w:rsidR="00396AB7" w:rsidRPr="00904FCB">
        <w:rPr>
          <w:rFonts w:ascii="Times New Roman" w:hAnsi="Times New Roman" w:hint="cs"/>
          <w:sz w:val="27"/>
          <w:rtl/>
        </w:rPr>
        <w:t>.</w:t>
      </w:r>
      <w:r w:rsidRPr="00904FCB">
        <w:rPr>
          <w:rFonts w:ascii="Times New Roman" w:hAnsi="Times New Roman"/>
          <w:sz w:val="27"/>
          <w:rtl/>
        </w:rPr>
        <w:t xml:space="preserve"> وعليه فلا ت</w:t>
      </w:r>
      <w:r w:rsidR="00384B20">
        <w:rPr>
          <w:rFonts w:ascii="Times New Roman" w:hAnsi="Times New Roman" w:hint="cs"/>
          <w:sz w:val="27"/>
          <w:rtl/>
        </w:rPr>
        <w:t>ُ</w:t>
      </w:r>
      <w:r w:rsidRPr="00904FCB">
        <w:rPr>
          <w:rFonts w:ascii="Times New Roman" w:hAnsi="Times New Roman"/>
          <w:sz w:val="27"/>
          <w:rtl/>
        </w:rPr>
        <w:t>قاس رؤيا الأنبياء برؤيا سواهم</w:t>
      </w:r>
      <w:r w:rsidR="00396AB7" w:rsidRPr="00904FCB">
        <w:rPr>
          <w:rFonts w:ascii="Times New Roman" w:hAnsi="Times New Roman" w:hint="cs"/>
          <w:sz w:val="27"/>
          <w:rtl/>
        </w:rPr>
        <w:t>؛</w:t>
      </w:r>
      <w:r w:rsidRPr="00904FCB">
        <w:rPr>
          <w:rFonts w:ascii="Times New Roman" w:hAnsi="Times New Roman"/>
          <w:sz w:val="27"/>
          <w:rtl/>
        </w:rPr>
        <w:t xml:space="preserve"> لأنّ رؤيا النبي</w:t>
      </w:r>
      <w:r w:rsidR="00396AB7" w:rsidRPr="00904FCB">
        <w:rPr>
          <w:rFonts w:ascii="Times New Roman" w:hAnsi="Times New Roman" w:hint="cs"/>
          <w:sz w:val="27"/>
          <w:rtl/>
        </w:rPr>
        <w:t>ّ</w:t>
      </w:r>
      <w:r w:rsidR="001C1A2A" w:rsidRPr="00904FCB">
        <w:rPr>
          <w:rFonts w:ascii="Times New Roman" w:hAnsi="Times New Roman" w:cs="Mosawi"/>
          <w:sz w:val="27"/>
          <w:szCs w:val="22"/>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هي رؤيا صادقة، ولا مجال لدخول الشيطان فيها.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color w:val="auto"/>
          <w:rtl/>
        </w:rPr>
        <w:t>رؤيانا للنبي</w:t>
      </w:r>
      <w:r w:rsidRPr="00904FCB">
        <w:rPr>
          <w:rFonts w:hint="cs"/>
          <w:color w:val="auto"/>
          <w:rtl/>
        </w:rPr>
        <w:t>ّ</w:t>
      </w:r>
      <w:r w:rsidR="00635E51" w:rsidRPr="00904FCB">
        <w:rPr>
          <w:rFonts w:cs="Mosawi"/>
          <w:color w:val="auto"/>
          <w:szCs w:val="22"/>
          <w:rtl/>
        </w:rPr>
        <w:t>|</w:t>
      </w:r>
      <w:r w:rsidRPr="00904FCB">
        <w:rPr>
          <w:color w:val="auto"/>
          <w:rtl/>
        </w:rPr>
        <w:t xml:space="preserve"> أو الإمام</w:t>
      </w:r>
      <w:r w:rsidR="001C1A2A" w:rsidRPr="00904FCB">
        <w:rPr>
          <w:rFonts w:cs="Mosawi"/>
          <w:color w:val="auto"/>
          <w:szCs w:val="22"/>
          <w:rtl/>
        </w:rPr>
        <w:t>×</w:t>
      </w:r>
      <w:r w:rsidRPr="00904FCB">
        <w:rPr>
          <w:color w:val="auto"/>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أما المعنى الثاني</w:t>
      </w:r>
      <w:r w:rsidR="00396AB7" w:rsidRPr="00904FCB">
        <w:rPr>
          <w:rFonts w:ascii="Times New Roman" w:hAnsi="Times New Roman" w:hint="cs"/>
          <w:sz w:val="27"/>
          <w:rtl/>
        </w:rPr>
        <w:t>،</w:t>
      </w:r>
      <w:r w:rsidRPr="00904FCB">
        <w:rPr>
          <w:rFonts w:ascii="Times New Roman" w:hAnsi="Times New Roman"/>
          <w:sz w:val="27"/>
          <w:rtl/>
        </w:rPr>
        <w:t xml:space="preserve"> وهو رؤيانا للنبي</w:t>
      </w:r>
      <w:r w:rsidR="001C1A2A" w:rsidRPr="00904FCB">
        <w:rPr>
          <w:rFonts w:ascii="Times New Roman" w:hAnsi="Times New Roman" w:cs="Mosawi"/>
          <w:sz w:val="27"/>
          <w:szCs w:val="22"/>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وهو على حال</w:t>
      </w:r>
      <w:r w:rsidR="00396AB7" w:rsidRPr="00904FCB">
        <w:rPr>
          <w:rFonts w:ascii="Times New Roman" w:hAnsi="Times New Roman" w:hint="cs"/>
          <w:sz w:val="27"/>
          <w:rtl/>
        </w:rPr>
        <w:t>ٍ</w:t>
      </w:r>
      <w:r w:rsidRPr="00904FCB">
        <w:rPr>
          <w:rFonts w:ascii="Times New Roman" w:hAnsi="Times New Roman"/>
          <w:sz w:val="27"/>
          <w:rtl/>
        </w:rPr>
        <w:t xml:space="preserve"> معينة، فهل هذه الرؤيا تكون صادقة دائماً، وإذا أمرنا النبي</w:t>
      </w:r>
      <w:r w:rsidR="00396AB7" w:rsidRPr="00904FCB">
        <w:rPr>
          <w:rFonts w:ascii="Times New Roman" w:hAnsi="Times New Roman" w:hint="cs"/>
          <w:sz w:val="27"/>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فيها بشيء</w:t>
      </w:r>
      <w:r w:rsidR="00396AB7" w:rsidRPr="00904FCB">
        <w:rPr>
          <w:rFonts w:ascii="Times New Roman" w:hAnsi="Times New Roman" w:hint="cs"/>
          <w:sz w:val="27"/>
          <w:rtl/>
        </w:rPr>
        <w:t>ٍ</w:t>
      </w:r>
      <w:r w:rsidRPr="00904FCB">
        <w:rPr>
          <w:rFonts w:ascii="Times New Roman" w:hAnsi="Times New Roman"/>
          <w:sz w:val="27"/>
          <w:rtl/>
        </w:rPr>
        <w:t xml:space="preserve"> ف</w:t>
      </w:r>
      <w:r w:rsidR="00B85EF9" w:rsidRPr="00904FCB">
        <w:rPr>
          <w:rFonts w:ascii="Times New Roman" w:hAnsi="Times New Roman" w:hint="cs"/>
          <w:sz w:val="27"/>
          <w:rtl/>
        </w:rPr>
        <w:t xml:space="preserve">هل </w:t>
      </w:r>
      <w:r w:rsidRPr="00904FCB">
        <w:rPr>
          <w:rFonts w:ascii="Times New Roman" w:hAnsi="Times New Roman"/>
          <w:sz w:val="27"/>
          <w:rtl/>
        </w:rPr>
        <w:t>يكون أمرُه واجب</w:t>
      </w:r>
      <w:r w:rsidR="00B85EF9" w:rsidRPr="00904FCB">
        <w:rPr>
          <w:rFonts w:ascii="Times New Roman" w:hAnsi="Times New Roman" w:hint="cs"/>
          <w:sz w:val="27"/>
          <w:rtl/>
        </w:rPr>
        <w:t>َ</w:t>
      </w:r>
      <w:r w:rsidRPr="00904FCB">
        <w:rPr>
          <w:rFonts w:ascii="Times New Roman" w:hAnsi="Times New Roman"/>
          <w:sz w:val="27"/>
          <w:rtl/>
        </w:rPr>
        <w:t xml:space="preserve"> الات</w:t>
      </w:r>
      <w:r w:rsidR="00384B20">
        <w:rPr>
          <w:rFonts w:ascii="Times New Roman" w:hAnsi="Times New Roman" w:hint="cs"/>
          <w:sz w:val="27"/>
          <w:rtl/>
        </w:rPr>
        <w:t>ّ</w:t>
      </w:r>
      <w:r w:rsidRPr="00904FCB">
        <w:rPr>
          <w:rFonts w:ascii="Times New Roman" w:hAnsi="Times New Roman"/>
          <w:sz w:val="27"/>
          <w:rtl/>
        </w:rPr>
        <w:t>باع</w:t>
      </w:r>
      <w:r w:rsidR="00B85EF9" w:rsidRPr="00904FCB">
        <w:rPr>
          <w:rFonts w:ascii="Times New Roman" w:hAnsi="Times New Roman" w:hint="cs"/>
          <w:sz w:val="27"/>
          <w:rtl/>
        </w:rPr>
        <w:t>،</w:t>
      </w:r>
      <w:r w:rsidRPr="00904FCB">
        <w:rPr>
          <w:rFonts w:ascii="Times New Roman" w:hAnsi="Times New Roman"/>
          <w:sz w:val="27"/>
          <w:rtl/>
        </w:rPr>
        <w:t xml:space="preserve"> ولا تجوز مخالفته؟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ربما يقال: نعم</w:t>
      </w:r>
      <w:r w:rsidR="00B85EF9" w:rsidRPr="00904FCB">
        <w:rPr>
          <w:rFonts w:ascii="Times New Roman" w:hAnsi="Times New Roman" w:hint="cs"/>
          <w:sz w:val="27"/>
          <w:rtl/>
        </w:rPr>
        <w:t>،</w:t>
      </w:r>
      <w:r w:rsidRPr="00904FCB">
        <w:rPr>
          <w:rFonts w:ascii="Times New Roman" w:hAnsi="Times New Roman"/>
          <w:sz w:val="27"/>
          <w:rtl/>
        </w:rPr>
        <w:t xml:space="preserve"> هي رؤيا صادقة</w:t>
      </w:r>
      <w:r w:rsidR="00B85EF9" w:rsidRPr="00904FCB">
        <w:rPr>
          <w:rFonts w:ascii="Times New Roman" w:hAnsi="Times New Roman" w:hint="cs"/>
          <w:sz w:val="27"/>
          <w:rtl/>
        </w:rPr>
        <w:t>ٌ</w:t>
      </w:r>
      <w:r w:rsidRPr="00904FCB">
        <w:rPr>
          <w:rFonts w:ascii="Times New Roman" w:hAnsi="Times New Roman"/>
          <w:sz w:val="27"/>
          <w:rtl/>
        </w:rPr>
        <w:t>، وكذلك هي حج</w:t>
      </w:r>
      <w:r w:rsidR="00B85EF9" w:rsidRPr="00904FCB">
        <w:rPr>
          <w:rFonts w:ascii="Times New Roman" w:hAnsi="Times New Roman" w:hint="cs"/>
          <w:sz w:val="27"/>
          <w:rtl/>
        </w:rPr>
        <w:t>ّ</w:t>
      </w:r>
      <w:r w:rsidRPr="00904FCB">
        <w:rPr>
          <w:rFonts w:ascii="Times New Roman" w:hAnsi="Times New Roman"/>
          <w:sz w:val="27"/>
          <w:rtl/>
        </w:rPr>
        <w:t>ة</w:t>
      </w:r>
      <w:r w:rsidR="00B85EF9" w:rsidRPr="00904FCB">
        <w:rPr>
          <w:rFonts w:ascii="Times New Roman" w:hAnsi="Times New Roman" w:hint="cs"/>
          <w:sz w:val="27"/>
          <w:rtl/>
        </w:rPr>
        <w:t>؛</w:t>
      </w:r>
      <w:r w:rsidRPr="00904FCB">
        <w:rPr>
          <w:rFonts w:ascii="Times New Roman" w:hAnsi="Times New Roman"/>
          <w:sz w:val="27"/>
          <w:rtl/>
        </w:rPr>
        <w:t xml:space="preserve"> وذلك لما ورد في الحديث المروي</w:t>
      </w:r>
      <w:r w:rsidR="00B85EF9" w:rsidRPr="00904FCB">
        <w:rPr>
          <w:rFonts w:ascii="Times New Roman" w:hAnsi="Times New Roman" w:hint="cs"/>
          <w:sz w:val="27"/>
          <w:rtl/>
        </w:rPr>
        <w:t>ّ،</w:t>
      </w:r>
      <w:r w:rsidRPr="00904FCB">
        <w:rPr>
          <w:rFonts w:ascii="Times New Roman" w:hAnsi="Times New Roman"/>
          <w:sz w:val="27"/>
          <w:rtl/>
        </w:rPr>
        <w:t xml:space="preserve"> من طرق الفريقين</w:t>
      </w:r>
      <w:r w:rsidR="00B85EF9" w:rsidRPr="00904FCB">
        <w:rPr>
          <w:rFonts w:ascii="Times New Roman" w:hAnsi="Times New Roman" w:hint="cs"/>
          <w:sz w:val="27"/>
          <w:rtl/>
        </w:rPr>
        <w:t>،</w:t>
      </w:r>
      <w:r w:rsidRPr="00904FCB">
        <w:rPr>
          <w:rFonts w:ascii="Times New Roman" w:hAnsi="Times New Roman"/>
          <w:sz w:val="27"/>
          <w:rtl/>
        </w:rPr>
        <w:t xml:space="preserve"> عن رسول الله</w:t>
      </w:r>
      <w:r w:rsidR="00635E51" w:rsidRPr="00904FCB">
        <w:rPr>
          <w:rFonts w:ascii="Times New Roman" w:hAnsi="Times New Roman" w:cs="Mosawi"/>
          <w:sz w:val="27"/>
          <w:szCs w:val="22"/>
          <w:rtl/>
        </w:rPr>
        <w:t>|</w:t>
      </w:r>
      <w:r w:rsidRPr="00904FCB">
        <w:rPr>
          <w:rFonts w:ascii="Times New Roman" w:hAnsi="Times New Roman"/>
          <w:sz w:val="27"/>
          <w:rtl/>
        </w:rPr>
        <w:t xml:space="preserve">: </w:t>
      </w:r>
      <w:r w:rsidRPr="00904FCB">
        <w:rPr>
          <w:rFonts w:hint="eastAsia"/>
          <w:sz w:val="27"/>
          <w:rtl/>
        </w:rPr>
        <w:t>«</w:t>
      </w:r>
      <w:r w:rsidRPr="00904FCB">
        <w:rPr>
          <w:rFonts w:ascii="Times New Roman" w:hAnsi="Times New Roman"/>
          <w:sz w:val="27"/>
          <w:rtl/>
        </w:rPr>
        <w:t>م</w:t>
      </w:r>
      <w:r w:rsidR="00B85EF9" w:rsidRPr="00904FCB">
        <w:rPr>
          <w:rFonts w:ascii="Times New Roman" w:hAnsi="Times New Roman" w:hint="cs"/>
          <w:sz w:val="27"/>
          <w:rtl/>
        </w:rPr>
        <w:t>َ</w:t>
      </w:r>
      <w:r w:rsidRPr="00904FCB">
        <w:rPr>
          <w:rFonts w:ascii="Times New Roman" w:hAnsi="Times New Roman"/>
          <w:sz w:val="27"/>
          <w:rtl/>
        </w:rPr>
        <w:t>ن</w:t>
      </w:r>
      <w:r w:rsidR="00B85EF9" w:rsidRPr="00904FCB">
        <w:rPr>
          <w:rFonts w:ascii="Times New Roman" w:hAnsi="Times New Roman" w:hint="cs"/>
          <w:sz w:val="27"/>
          <w:rtl/>
        </w:rPr>
        <w:t>ْ</w:t>
      </w:r>
      <w:r w:rsidRPr="00904FCB">
        <w:rPr>
          <w:rFonts w:ascii="Times New Roman" w:hAnsi="Times New Roman"/>
          <w:sz w:val="27"/>
          <w:rtl/>
        </w:rPr>
        <w:t xml:space="preserve"> رآني فقد رآني</w:t>
      </w:r>
      <w:r w:rsidR="00B85EF9" w:rsidRPr="00904FCB">
        <w:rPr>
          <w:rFonts w:ascii="Times New Roman" w:hAnsi="Times New Roman" w:hint="cs"/>
          <w:sz w:val="27"/>
          <w:rtl/>
        </w:rPr>
        <w:t>؛</w:t>
      </w:r>
      <w:r w:rsidRPr="00904FCB">
        <w:rPr>
          <w:rFonts w:ascii="Times New Roman" w:hAnsi="Times New Roman"/>
          <w:sz w:val="27"/>
          <w:rtl/>
        </w:rPr>
        <w:t xml:space="preserve"> فإنّ الشيطان لا ينبغي له أن يتمث</w:t>
      </w:r>
      <w:r w:rsidR="00B85EF9" w:rsidRPr="00904FCB">
        <w:rPr>
          <w:rFonts w:ascii="Times New Roman" w:hAnsi="Times New Roman" w:hint="cs"/>
          <w:sz w:val="27"/>
          <w:rtl/>
        </w:rPr>
        <w:t>َّ</w:t>
      </w:r>
      <w:r w:rsidRPr="00904FCB">
        <w:rPr>
          <w:rFonts w:ascii="Times New Roman" w:hAnsi="Times New Roman"/>
          <w:sz w:val="27"/>
          <w:rtl/>
        </w:rPr>
        <w:t>ل بمثلي</w:t>
      </w:r>
      <w:r w:rsidRPr="00904FCB">
        <w:rPr>
          <w:rFonts w:hint="eastAsia"/>
          <w:sz w:val="27"/>
          <w:rtl/>
        </w:rPr>
        <w:t>»</w:t>
      </w:r>
      <w:r w:rsidRPr="00904FCB">
        <w:rPr>
          <w:rFonts w:hint="cs"/>
          <w:sz w:val="27"/>
          <w:vertAlign w:val="superscript"/>
          <w:rtl/>
        </w:rPr>
        <w:t>(</w:t>
      </w:r>
      <w:r w:rsidRPr="00904FCB">
        <w:rPr>
          <w:rStyle w:val="ac"/>
          <w:sz w:val="27"/>
          <w:rtl/>
        </w:rPr>
        <w:endnoteReference w:id="553"/>
      </w:r>
      <w:r w:rsidRPr="00904FCB">
        <w:rPr>
          <w:rFonts w:hint="cs"/>
          <w:sz w:val="27"/>
          <w:vertAlign w:val="superscript"/>
          <w:rtl/>
        </w:rPr>
        <w:t>)</w:t>
      </w:r>
      <w:r w:rsidR="00B85EF9" w:rsidRPr="00904FCB">
        <w:rPr>
          <w:rFonts w:ascii="Times New Roman" w:hAnsi="Times New Roman" w:hint="cs"/>
          <w:sz w:val="27"/>
          <w:rtl/>
        </w:rPr>
        <w:t>.</w:t>
      </w:r>
      <w:r w:rsidRPr="00904FCB">
        <w:rPr>
          <w:rFonts w:ascii="Times New Roman" w:hAnsi="Times New Roman"/>
          <w:sz w:val="27"/>
          <w:rtl/>
        </w:rPr>
        <w:t xml:space="preserve"> ورواه الشيخ الصدوق في العيون وم</w:t>
      </w:r>
      <w:r w:rsidR="00B85EF9" w:rsidRPr="00904FCB">
        <w:rPr>
          <w:rFonts w:ascii="Times New Roman" w:hAnsi="Times New Roman" w:hint="cs"/>
          <w:sz w:val="27"/>
          <w:rtl/>
        </w:rPr>
        <w:t>َ</w:t>
      </w:r>
      <w:r w:rsidRPr="00904FCB">
        <w:rPr>
          <w:rFonts w:ascii="Times New Roman" w:hAnsi="Times New Roman"/>
          <w:sz w:val="27"/>
          <w:rtl/>
        </w:rPr>
        <w:t>ن</w:t>
      </w:r>
      <w:r w:rsidR="00B85EF9" w:rsidRPr="00904FCB">
        <w:rPr>
          <w:rFonts w:ascii="Times New Roman" w:hAnsi="Times New Roman" w:hint="cs"/>
          <w:sz w:val="27"/>
          <w:rtl/>
        </w:rPr>
        <w:t>ْ</w:t>
      </w:r>
      <w:r w:rsidRPr="00904FCB">
        <w:rPr>
          <w:rFonts w:ascii="Times New Roman" w:hAnsi="Times New Roman"/>
          <w:sz w:val="27"/>
          <w:rtl/>
        </w:rPr>
        <w:t xml:space="preserve"> لا يحضره الفقيه</w:t>
      </w:r>
      <w:r w:rsidR="00B85EF9" w:rsidRPr="00904FCB">
        <w:rPr>
          <w:rFonts w:ascii="Times New Roman" w:hAnsi="Times New Roman" w:hint="cs"/>
          <w:sz w:val="27"/>
          <w:rtl/>
        </w:rPr>
        <w:t>،</w:t>
      </w:r>
      <w:r w:rsidRPr="00904FCB">
        <w:rPr>
          <w:rFonts w:ascii="Times New Roman" w:hAnsi="Times New Roman"/>
          <w:sz w:val="27"/>
          <w:rtl/>
        </w:rPr>
        <w:t xml:space="preserve"> وفيه: </w:t>
      </w:r>
      <w:r w:rsidRPr="00904FCB">
        <w:rPr>
          <w:rFonts w:hint="eastAsia"/>
          <w:sz w:val="27"/>
          <w:rtl/>
        </w:rPr>
        <w:t>«</w:t>
      </w:r>
      <w:r w:rsidRPr="00904FCB">
        <w:rPr>
          <w:rFonts w:ascii="Times New Roman" w:hAnsi="Times New Roman"/>
          <w:sz w:val="27"/>
          <w:rtl/>
        </w:rPr>
        <w:t>أن يتمث</w:t>
      </w:r>
      <w:r w:rsidR="00B85EF9" w:rsidRPr="00904FCB">
        <w:rPr>
          <w:rFonts w:ascii="Times New Roman" w:hAnsi="Times New Roman" w:hint="cs"/>
          <w:sz w:val="27"/>
          <w:rtl/>
        </w:rPr>
        <w:t>َّ</w:t>
      </w:r>
      <w:r w:rsidRPr="00904FCB">
        <w:rPr>
          <w:rFonts w:ascii="Times New Roman" w:hAnsi="Times New Roman"/>
          <w:sz w:val="27"/>
          <w:rtl/>
        </w:rPr>
        <w:t>ل بصورتي وصورة أحد</w:t>
      </w:r>
      <w:r w:rsidR="00B85EF9" w:rsidRPr="00904FCB">
        <w:rPr>
          <w:rFonts w:ascii="Times New Roman" w:hAnsi="Times New Roman" w:hint="cs"/>
          <w:sz w:val="27"/>
          <w:rtl/>
        </w:rPr>
        <w:t>ٍ</w:t>
      </w:r>
      <w:r w:rsidRPr="00904FCB">
        <w:rPr>
          <w:rFonts w:ascii="Times New Roman" w:hAnsi="Times New Roman"/>
          <w:sz w:val="27"/>
          <w:rtl/>
        </w:rPr>
        <w:t xml:space="preserve"> من أوصيائي</w:t>
      </w:r>
      <w:r w:rsidRPr="00904FCB">
        <w:rPr>
          <w:rFonts w:hint="eastAsia"/>
          <w:sz w:val="27"/>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ومع أنّ السيد المرتضى رمى هذا الحديث بالضعف</w:t>
      </w:r>
      <w:r w:rsidR="00B85EF9" w:rsidRPr="00904FCB">
        <w:rPr>
          <w:rFonts w:ascii="Times New Roman" w:hAnsi="Times New Roman" w:hint="cs"/>
          <w:sz w:val="27"/>
          <w:rtl/>
        </w:rPr>
        <w:t>،</w:t>
      </w:r>
      <w:r w:rsidRPr="00904FCB">
        <w:rPr>
          <w:rFonts w:ascii="Times New Roman" w:hAnsi="Times New Roman"/>
          <w:sz w:val="27"/>
          <w:rtl/>
        </w:rPr>
        <w:t xml:space="preserve"> قائلاً: </w:t>
      </w:r>
      <w:r w:rsidRPr="00904FCB">
        <w:rPr>
          <w:rFonts w:hint="eastAsia"/>
          <w:sz w:val="27"/>
          <w:rtl/>
        </w:rPr>
        <w:t>«</w:t>
      </w:r>
      <w:r w:rsidR="00384B20">
        <w:rPr>
          <w:rFonts w:ascii="Times New Roman" w:hAnsi="Times New Roman"/>
          <w:sz w:val="27"/>
          <w:rtl/>
        </w:rPr>
        <w:t>هذا خبر</w:t>
      </w:r>
      <w:r w:rsidR="00384B20">
        <w:rPr>
          <w:rFonts w:ascii="Times New Roman" w:hAnsi="Times New Roman" w:hint="cs"/>
          <w:sz w:val="27"/>
          <w:rtl/>
        </w:rPr>
        <w:t>ُ</w:t>
      </w:r>
      <w:r w:rsidR="00B85EF9" w:rsidRPr="00904FCB">
        <w:rPr>
          <w:rFonts w:ascii="Times New Roman" w:hAnsi="Times New Roman"/>
          <w:sz w:val="27"/>
          <w:rtl/>
        </w:rPr>
        <w:t xml:space="preserve"> واحد</w:t>
      </w:r>
      <w:r w:rsidR="00384B20">
        <w:rPr>
          <w:rFonts w:ascii="Times New Roman" w:hAnsi="Times New Roman" w:hint="cs"/>
          <w:sz w:val="27"/>
          <w:rtl/>
        </w:rPr>
        <w:t>ٍ</w:t>
      </w:r>
      <w:r w:rsidRPr="00904FCB">
        <w:rPr>
          <w:rFonts w:ascii="Times New Roman" w:hAnsi="Times New Roman"/>
          <w:sz w:val="27"/>
          <w:rtl/>
        </w:rPr>
        <w:t xml:space="preserve"> ضعيفٌ</w:t>
      </w:r>
      <w:r w:rsidR="00B85EF9" w:rsidRPr="00904FCB">
        <w:rPr>
          <w:rFonts w:ascii="Times New Roman" w:hAnsi="Times New Roman" w:hint="cs"/>
          <w:sz w:val="27"/>
          <w:rtl/>
        </w:rPr>
        <w:t>،</w:t>
      </w:r>
      <w:r w:rsidRPr="00904FCB">
        <w:rPr>
          <w:rFonts w:ascii="Times New Roman" w:hAnsi="Times New Roman"/>
          <w:sz w:val="27"/>
          <w:rtl/>
        </w:rPr>
        <w:t xml:space="preserve"> من أضعف أخبار الآحاد</w:t>
      </w:r>
      <w:r w:rsidR="00B85EF9" w:rsidRPr="00904FCB">
        <w:rPr>
          <w:rFonts w:ascii="Times New Roman" w:hAnsi="Times New Roman" w:hint="cs"/>
          <w:sz w:val="27"/>
          <w:rtl/>
        </w:rPr>
        <w:t>،</w:t>
      </w:r>
      <w:r w:rsidRPr="00904FCB">
        <w:rPr>
          <w:rFonts w:ascii="Times New Roman" w:hAnsi="Times New Roman"/>
          <w:sz w:val="27"/>
          <w:rtl/>
        </w:rPr>
        <w:t xml:space="preserve"> ولا معوّ</w:t>
      </w:r>
      <w:r w:rsidR="00B85EF9" w:rsidRPr="00904FCB">
        <w:rPr>
          <w:rFonts w:ascii="Times New Roman" w:hAnsi="Times New Roman" w:hint="cs"/>
          <w:sz w:val="27"/>
          <w:rtl/>
        </w:rPr>
        <w:t>َ</w:t>
      </w:r>
      <w:r w:rsidRPr="00904FCB">
        <w:rPr>
          <w:rFonts w:ascii="Times New Roman" w:hAnsi="Times New Roman"/>
          <w:sz w:val="27"/>
          <w:rtl/>
        </w:rPr>
        <w:t>ل على مثل ذلك</w:t>
      </w:r>
      <w:r w:rsidRPr="00904FCB">
        <w:rPr>
          <w:rFonts w:hint="eastAsia"/>
          <w:sz w:val="27"/>
          <w:rtl/>
        </w:rPr>
        <w:t>»</w:t>
      </w:r>
      <w:r w:rsidRPr="00904FCB">
        <w:rPr>
          <w:rFonts w:hint="cs"/>
          <w:sz w:val="27"/>
          <w:vertAlign w:val="superscript"/>
          <w:rtl/>
        </w:rPr>
        <w:t>(</w:t>
      </w:r>
      <w:r w:rsidRPr="00904FCB">
        <w:rPr>
          <w:rStyle w:val="ac"/>
          <w:sz w:val="27"/>
          <w:rtl/>
        </w:rPr>
        <w:endnoteReference w:id="554"/>
      </w:r>
      <w:r w:rsidRPr="00904FCB">
        <w:rPr>
          <w:rFonts w:hint="cs"/>
          <w:sz w:val="27"/>
          <w:vertAlign w:val="superscript"/>
          <w:rtl/>
        </w:rPr>
        <w:t>)</w:t>
      </w:r>
      <w:r w:rsidRPr="00904FCB">
        <w:rPr>
          <w:rFonts w:ascii="Times New Roman" w:hAnsi="Times New Roman" w:hint="cs"/>
          <w:sz w:val="27"/>
          <w:rtl/>
        </w:rPr>
        <w:t xml:space="preserve">، </w:t>
      </w:r>
      <w:r w:rsidRPr="00904FCB">
        <w:rPr>
          <w:rFonts w:ascii="Times New Roman" w:hAnsi="Times New Roman"/>
          <w:sz w:val="27"/>
          <w:rtl/>
        </w:rPr>
        <w:t>إلاّ أننا نلاحظ على كلامه بأنّ الخبر بعد كونه مروي</w:t>
      </w:r>
      <w:r w:rsidR="00B85EF9" w:rsidRPr="00904FCB">
        <w:rPr>
          <w:rFonts w:ascii="Times New Roman" w:hAnsi="Times New Roman" w:hint="cs"/>
          <w:sz w:val="27"/>
          <w:rtl/>
        </w:rPr>
        <w:t>ّ</w:t>
      </w:r>
      <w:r w:rsidRPr="00904FCB">
        <w:rPr>
          <w:rFonts w:ascii="Times New Roman" w:hAnsi="Times New Roman"/>
          <w:sz w:val="27"/>
          <w:rtl/>
        </w:rPr>
        <w:t>اً من طرق الفريقين، بأسانيد متضافرة</w:t>
      </w:r>
      <w:r w:rsidR="00B85EF9" w:rsidRPr="00904FCB">
        <w:rPr>
          <w:rFonts w:ascii="Times New Roman" w:hAnsi="Times New Roman" w:hint="cs"/>
          <w:sz w:val="27"/>
          <w:rtl/>
        </w:rPr>
        <w:t>،</w:t>
      </w:r>
      <w:r w:rsidRPr="00904FCB">
        <w:rPr>
          <w:rFonts w:ascii="Times New Roman" w:hAnsi="Times New Roman"/>
          <w:sz w:val="27"/>
          <w:rtl/>
        </w:rPr>
        <w:t xml:space="preserve"> يمكن حصول الوثوق به.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w:t>
      </w:r>
      <w:r w:rsidRPr="00904FCB">
        <w:rPr>
          <w:rFonts w:ascii="Times New Roman" w:hAnsi="Times New Roman" w:hint="cs"/>
          <w:sz w:val="27"/>
          <w:rtl/>
        </w:rPr>
        <w:t>و</w:t>
      </w:r>
      <w:r w:rsidRPr="00904FCB">
        <w:rPr>
          <w:rFonts w:ascii="Times New Roman" w:hAnsi="Times New Roman"/>
          <w:sz w:val="27"/>
          <w:rtl/>
        </w:rPr>
        <w:t>مع ذلك فإن هذا الحديث لا ينفع في المجال المعرفي</w:t>
      </w:r>
      <w:r w:rsidR="00B85EF9" w:rsidRPr="00904FCB">
        <w:rPr>
          <w:rFonts w:ascii="Times New Roman" w:hAnsi="Times New Roman" w:hint="cs"/>
          <w:sz w:val="27"/>
          <w:rtl/>
        </w:rPr>
        <w:t>؛</w:t>
      </w:r>
      <w:r w:rsidRPr="00904FCB">
        <w:rPr>
          <w:rFonts w:ascii="Times New Roman" w:hAnsi="Times New Roman"/>
          <w:sz w:val="27"/>
          <w:rtl/>
        </w:rPr>
        <w:t xml:space="preserve"> لعد</w:t>
      </w:r>
      <w:r w:rsidR="00B85EF9" w:rsidRPr="00904FCB">
        <w:rPr>
          <w:rFonts w:ascii="Times New Roman" w:hAnsi="Times New Roman" w:hint="cs"/>
          <w:sz w:val="27"/>
          <w:rtl/>
        </w:rPr>
        <w:t>ّ</w:t>
      </w:r>
      <w:r w:rsidRPr="00904FCB">
        <w:rPr>
          <w:rFonts w:ascii="Times New Roman" w:hAnsi="Times New Roman"/>
          <w:sz w:val="27"/>
          <w:rtl/>
        </w:rPr>
        <w:t xml:space="preserve">ة ملاحظات: </w:t>
      </w:r>
    </w:p>
    <w:p w:rsidR="00057E24" w:rsidRPr="00904FCB" w:rsidRDefault="00057E24" w:rsidP="00826CE1">
      <w:pPr>
        <w:spacing w:line="410" w:lineRule="exact"/>
        <w:rPr>
          <w:rFonts w:ascii="Times New Roman" w:hAnsi="Times New Roman"/>
          <w:sz w:val="27"/>
        </w:rPr>
      </w:pPr>
      <w:r w:rsidRPr="00904FCB">
        <w:rPr>
          <w:rFonts w:ascii="Times New Roman" w:hAnsi="Times New Roman"/>
          <w:b/>
          <w:bCs/>
          <w:sz w:val="27"/>
          <w:rtl/>
        </w:rPr>
        <w:t xml:space="preserve">الأولى: </w:t>
      </w:r>
      <w:r w:rsidRPr="00904FCB">
        <w:rPr>
          <w:rFonts w:ascii="Times New Roman" w:hAnsi="Times New Roman"/>
          <w:sz w:val="27"/>
          <w:rtl/>
        </w:rPr>
        <w:t>إنّ هذا الحديث لا ينفع شيئاً إلاّ أولئك الذين عايشوا المعصوم</w:t>
      </w:r>
      <w:r w:rsidR="00B85EF9" w:rsidRPr="00904FCB">
        <w:rPr>
          <w:rFonts w:ascii="Times New Roman" w:hAnsi="Times New Roman" w:hint="cs"/>
          <w:sz w:val="27"/>
          <w:rtl/>
        </w:rPr>
        <w:t>،</w:t>
      </w:r>
      <w:r w:rsidRPr="00904FCB">
        <w:rPr>
          <w:rFonts w:ascii="Times New Roman" w:hAnsi="Times New Roman"/>
          <w:sz w:val="27"/>
          <w:rtl/>
        </w:rPr>
        <w:t xml:space="preserve"> وعرفوه</w:t>
      </w:r>
      <w:r w:rsidR="00B85EF9" w:rsidRPr="00904FCB">
        <w:rPr>
          <w:rFonts w:ascii="Times New Roman" w:hAnsi="Times New Roman" w:hint="cs"/>
          <w:sz w:val="27"/>
          <w:rtl/>
        </w:rPr>
        <w:t>،</w:t>
      </w:r>
      <w:r w:rsidRPr="00904FCB">
        <w:rPr>
          <w:rFonts w:ascii="Times New Roman" w:hAnsi="Times New Roman"/>
          <w:sz w:val="27"/>
          <w:rtl/>
        </w:rPr>
        <w:t xml:space="preserve"> </w:t>
      </w:r>
      <w:r w:rsidRPr="00904FCB">
        <w:rPr>
          <w:rFonts w:ascii="Times New Roman" w:hAnsi="Times New Roman"/>
          <w:sz w:val="27"/>
          <w:rtl/>
        </w:rPr>
        <w:lastRenderedPageBreak/>
        <w:t>ورأ</w:t>
      </w:r>
      <w:r w:rsidR="00B85EF9" w:rsidRPr="00904FCB">
        <w:rPr>
          <w:rFonts w:ascii="Times New Roman" w:hAnsi="Times New Roman" w:hint="cs"/>
          <w:sz w:val="27"/>
          <w:rtl/>
        </w:rPr>
        <w:t>َ</w:t>
      </w:r>
      <w:r w:rsidRPr="00904FCB">
        <w:rPr>
          <w:rFonts w:ascii="Times New Roman" w:hAnsi="Times New Roman"/>
          <w:sz w:val="27"/>
          <w:rtl/>
        </w:rPr>
        <w:t>و</w:t>
      </w:r>
      <w:r w:rsidR="00B85EF9" w:rsidRPr="00904FCB">
        <w:rPr>
          <w:rFonts w:ascii="Times New Roman" w:hAnsi="Times New Roman" w:hint="cs"/>
          <w:sz w:val="27"/>
          <w:rtl/>
        </w:rPr>
        <w:t>ْ</w:t>
      </w:r>
      <w:r w:rsidRPr="00904FCB">
        <w:rPr>
          <w:rFonts w:ascii="Times New Roman" w:hAnsi="Times New Roman"/>
          <w:sz w:val="27"/>
          <w:rtl/>
        </w:rPr>
        <w:t>ه رأي العين، دون م</w:t>
      </w:r>
      <w:r w:rsidR="00B85EF9" w:rsidRPr="00904FCB">
        <w:rPr>
          <w:rFonts w:ascii="Times New Roman" w:hAnsi="Times New Roman" w:hint="cs"/>
          <w:sz w:val="27"/>
          <w:rtl/>
        </w:rPr>
        <w:t>َ</w:t>
      </w:r>
      <w:r w:rsidRPr="00904FCB">
        <w:rPr>
          <w:rFonts w:ascii="Times New Roman" w:hAnsi="Times New Roman"/>
          <w:sz w:val="27"/>
          <w:rtl/>
        </w:rPr>
        <w:t>ن</w:t>
      </w:r>
      <w:r w:rsidR="00B85EF9" w:rsidRPr="00904FCB">
        <w:rPr>
          <w:rFonts w:ascii="Times New Roman" w:hAnsi="Times New Roman" w:hint="cs"/>
          <w:sz w:val="27"/>
          <w:rtl/>
        </w:rPr>
        <w:t>ْ</w:t>
      </w:r>
      <w:r w:rsidRPr="00904FCB">
        <w:rPr>
          <w:rFonts w:ascii="Times New Roman" w:hAnsi="Times New Roman"/>
          <w:sz w:val="27"/>
          <w:rtl/>
        </w:rPr>
        <w:t xml:space="preserve"> لم ي</w:t>
      </w:r>
      <w:r w:rsidR="00B85EF9" w:rsidRPr="00904FCB">
        <w:rPr>
          <w:rFonts w:ascii="Times New Roman" w:hAnsi="Times New Roman" w:hint="cs"/>
          <w:sz w:val="27"/>
          <w:rtl/>
        </w:rPr>
        <w:t>َ</w:t>
      </w:r>
      <w:r w:rsidRPr="00904FCB">
        <w:rPr>
          <w:rFonts w:ascii="Times New Roman" w:hAnsi="Times New Roman"/>
          <w:sz w:val="27"/>
          <w:rtl/>
        </w:rPr>
        <w:t>ر</w:t>
      </w:r>
      <w:r w:rsidR="00B85EF9" w:rsidRPr="00904FCB">
        <w:rPr>
          <w:rFonts w:ascii="Times New Roman" w:hAnsi="Times New Roman" w:hint="cs"/>
          <w:sz w:val="27"/>
          <w:rtl/>
        </w:rPr>
        <w:t>َ</w:t>
      </w:r>
      <w:r w:rsidRPr="00904FCB">
        <w:rPr>
          <w:rFonts w:ascii="Times New Roman" w:hAnsi="Times New Roman"/>
          <w:sz w:val="27"/>
          <w:rtl/>
        </w:rPr>
        <w:t>ه</w:t>
      </w:r>
      <w:r w:rsidR="00B85EF9" w:rsidRPr="00904FCB">
        <w:rPr>
          <w:rFonts w:ascii="Times New Roman" w:hAnsi="Times New Roman" w:hint="cs"/>
          <w:sz w:val="27"/>
          <w:rtl/>
        </w:rPr>
        <w:t>ُ</w:t>
      </w:r>
      <w:r w:rsidRPr="00904FCB">
        <w:rPr>
          <w:rFonts w:ascii="Times New Roman" w:hAnsi="Times New Roman"/>
          <w:sz w:val="27"/>
          <w:rtl/>
        </w:rPr>
        <w:t xml:space="preserve"> ولم يعرف صورته</w:t>
      </w:r>
      <w:r w:rsidR="00B85EF9" w:rsidRPr="00904FCB">
        <w:rPr>
          <w:rFonts w:ascii="Times New Roman" w:hAnsi="Times New Roman" w:hint="cs"/>
          <w:sz w:val="27"/>
          <w:rtl/>
        </w:rPr>
        <w:t>؛</w:t>
      </w:r>
      <w:r w:rsidRPr="00904FCB">
        <w:rPr>
          <w:rFonts w:ascii="Times New Roman" w:hAnsi="Times New Roman"/>
          <w:sz w:val="27"/>
          <w:rtl/>
        </w:rPr>
        <w:t xml:space="preserve"> والوجه في ذلك أنّ قوله</w:t>
      </w:r>
      <w:r w:rsidR="00635E51" w:rsidRPr="00904FCB">
        <w:rPr>
          <w:rFonts w:ascii="Times New Roman" w:hAnsi="Times New Roman" w:cs="Mosawi"/>
          <w:sz w:val="27"/>
          <w:szCs w:val="22"/>
          <w:rtl/>
        </w:rPr>
        <w:t>|</w:t>
      </w:r>
      <w:r w:rsidRPr="00904FCB">
        <w:rPr>
          <w:rFonts w:ascii="Times New Roman" w:hAnsi="Times New Roman"/>
          <w:sz w:val="27"/>
          <w:rtl/>
        </w:rPr>
        <w:t xml:space="preserve">: </w:t>
      </w:r>
      <w:r w:rsidRPr="00904FCB">
        <w:rPr>
          <w:rFonts w:hint="eastAsia"/>
          <w:sz w:val="27"/>
          <w:rtl/>
        </w:rPr>
        <w:t>«</w:t>
      </w:r>
      <w:r w:rsidRPr="00904FCB">
        <w:rPr>
          <w:rFonts w:ascii="Times New Roman" w:hAnsi="Times New Roman"/>
          <w:sz w:val="27"/>
          <w:rtl/>
        </w:rPr>
        <w:t>م</w:t>
      </w:r>
      <w:r w:rsidR="00B85EF9" w:rsidRPr="00904FCB">
        <w:rPr>
          <w:rFonts w:ascii="Times New Roman" w:hAnsi="Times New Roman" w:hint="cs"/>
          <w:sz w:val="27"/>
          <w:rtl/>
        </w:rPr>
        <w:t>َ</w:t>
      </w:r>
      <w:r w:rsidRPr="00904FCB">
        <w:rPr>
          <w:rFonts w:ascii="Times New Roman" w:hAnsi="Times New Roman"/>
          <w:sz w:val="27"/>
          <w:rtl/>
        </w:rPr>
        <w:t>ن</w:t>
      </w:r>
      <w:r w:rsidR="00B85EF9" w:rsidRPr="00904FCB">
        <w:rPr>
          <w:rFonts w:ascii="Times New Roman" w:hAnsi="Times New Roman" w:hint="cs"/>
          <w:sz w:val="27"/>
          <w:rtl/>
        </w:rPr>
        <w:t>ْ</w:t>
      </w:r>
      <w:r w:rsidRPr="00904FCB">
        <w:rPr>
          <w:rFonts w:ascii="Times New Roman" w:hAnsi="Times New Roman"/>
          <w:sz w:val="27"/>
          <w:rtl/>
        </w:rPr>
        <w:t xml:space="preserve"> رآنا</w:t>
      </w:r>
      <w:r w:rsidRPr="00904FCB">
        <w:rPr>
          <w:rFonts w:hint="eastAsia"/>
          <w:sz w:val="27"/>
          <w:rtl/>
        </w:rPr>
        <w:t>»</w:t>
      </w:r>
      <w:r w:rsidRPr="00904FCB">
        <w:rPr>
          <w:rFonts w:ascii="Times New Roman" w:hAnsi="Times New Roman"/>
          <w:sz w:val="27"/>
          <w:rtl/>
        </w:rPr>
        <w:t xml:space="preserve"> لا ينطبق إلاّ على م</w:t>
      </w:r>
      <w:r w:rsidR="00B85EF9" w:rsidRPr="00904FCB">
        <w:rPr>
          <w:rFonts w:ascii="Times New Roman" w:hAnsi="Times New Roman" w:hint="cs"/>
          <w:sz w:val="27"/>
          <w:rtl/>
        </w:rPr>
        <w:t>َ</w:t>
      </w:r>
      <w:r w:rsidRPr="00904FCB">
        <w:rPr>
          <w:rFonts w:ascii="Times New Roman" w:hAnsi="Times New Roman"/>
          <w:sz w:val="27"/>
          <w:rtl/>
        </w:rPr>
        <w:t>ن</w:t>
      </w:r>
      <w:r w:rsidR="00B85EF9" w:rsidRPr="00904FCB">
        <w:rPr>
          <w:rFonts w:ascii="Times New Roman" w:hAnsi="Times New Roman" w:hint="cs"/>
          <w:sz w:val="27"/>
          <w:rtl/>
        </w:rPr>
        <w:t>ْ</w:t>
      </w:r>
      <w:r w:rsidRPr="00904FCB">
        <w:rPr>
          <w:rFonts w:ascii="Times New Roman" w:hAnsi="Times New Roman"/>
          <w:sz w:val="27"/>
          <w:rtl/>
        </w:rPr>
        <w:t xml:space="preserve"> عرف صورة النبي</w:t>
      </w:r>
      <w:r w:rsidR="00B85EF9" w:rsidRPr="00904FCB">
        <w:rPr>
          <w:rFonts w:ascii="Times New Roman" w:hAnsi="Times New Roman" w:hint="cs"/>
          <w:sz w:val="27"/>
          <w:rtl/>
        </w:rPr>
        <w:t>ّ</w:t>
      </w:r>
      <w:r w:rsidR="00635E51" w:rsidRPr="00904FCB">
        <w:rPr>
          <w:rFonts w:ascii="Times New Roman" w:hAnsi="Times New Roman" w:cs="Mosawi"/>
          <w:sz w:val="27"/>
          <w:szCs w:val="22"/>
          <w:rtl/>
        </w:rPr>
        <w:t>|</w:t>
      </w:r>
      <w:r w:rsidR="00B85EF9" w:rsidRPr="00904FCB">
        <w:rPr>
          <w:rFonts w:ascii="Times New Roman" w:hAnsi="Times New Roman" w:hint="cs"/>
          <w:sz w:val="27"/>
          <w:rtl/>
        </w:rPr>
        <w:t>،</w:t>
      </w:r>
      <w:r w:rsidRPr="00904FCB">
        <w:rPr>
          <w:rFonts w:ascii="Times New Roman" w:hAnsi="Times New Roman"/>
          <w:sz w:val="27"/>
          <w:rtl/>
        </w:rPr>
        <w:t xml:space="preserve"> ليستطيع أن يقول: </w:t>
      </w:r>
      <w:r w:rsidRPr="00904FCB">
        <w:rPr>
          <w:rFonts w:hint="eastAsia"/>
          <w:sz w:val="27"/>
          <w:rtl/>
        </w:rPr>
        <w:t>«</w:t>
      </w:r>
      <w:r w:rsidRPr="00904FCB">
        <w:rPr>
          <w:rFonts w:ascii="Times New Roman" w:hAnsi="Times New Roman"/>
          <w:sz w:val="27"/>
          <w:rtl/>
        </w:rPr>
        <w:t>أنا رأيت النبي</w:t>
      </w:r>
      <w:r w:rsidR="00B85EF9" w:rsidRPr="00904FCB">
        <w:rPr>
          <w:rFonts w:ascii="Times New Roman" w:hAnsi="Times New Roman" w:hint="cs"/>
          <w:sz w:val="27"/>
          <w:rtl/>
        </w:rPr>
        <w:t>ّ</w:t>
      </w:r>
      <w:r w:rsidRPr="00904FCB">
        <w:rPr>
          <w:rFonts w:ascii="Times New Roman" w:hAnsi="Times New Roman"/>
          <w:sz w:val="27"/>
          <w:rtl/>
        </w:rPr>
        <w:t xml:space="preserve"> في النوم</w:t>
      </w:r>
      <w:r w:rsidRPr="00904FCB">
        <w:rPr>
          <w:rFonts w:hint="eastAsia"/>
          <w:sz w:val="27"/>
          <w:rtl/>
        </w:rPr>
        <w:t>»</w:t>
      </w:r>
      <w:r w:rsidRPr="00904FCB">
        <w:rPr>
          <w:rFonts w:ascii="Times New Roman" w:hAnsi="Times New Roman"/>
          <w:sz w:val="27"/>
          <w:rtl/>
        </w:rPr>
        <w:t>، وأمّا الصور التي نراها نحن ممّ</w:t>
      </w:r>
      <w:r w:rsidR="00B85EF9" w:rsidRPr="00904FCB">
        <w:rPr>
          <w:rFonts w:ascii="Times New Roman" w:hAnsi="Times New Roman" w:hint="cs"/>
          <w:sz w:val="27"/>
          <w:rtl/>
        </w:rPr>
        <w:t>َ</w:t>
      </w:r>
      <w:r w:rsidRPr="00904FCB">
        <w:rPr>
          <w:rFonts w:ascii="Times New Roman" w:hAnsi="Times New Roman"/>
          <w:sz w:val="27"/>
          <w:rtl/>
        </w:rPr>
        <w:t>ن</w:t>
      </w:r>
      <w:r w:rsidR="00B85EF9" w:rsidRPr="00904FCB">
        <w:rPr>
          <w:rFonts w:ascii="Times New Roman" w:hAnsi="Times New Roman" w:hint="cs"/>
          <w:sz w:val="27"/>
          <w:rtl/>
        </w:rPr>
        <w:t>ْ</w:t>
      </w:r>
      <w:r w:rsidRPr="00904FCB">
        <w:rPr>
          <w:rFonts w:ascii="Times New Roman" w:hAnsi="Times New Roman"/>
          <w:sz w:val="27"/>
          <w:rtl/>
        </w:rPr>
        <w:t xml:space="preserve"> لم ن</w:t>
      </w:r>
      <w:r w:rsidR="00B85EF9" w:rsidRPr="00904FCB">
        <w:rPr>
          <w:rFonts w:ascii="Times New Roman" w:hAnsi="Times New Roman" w:hint="cs"/>
          <w:sz w:val="27"/>
          <w:rtl/>
        </w:rPr>
        <w:t>َ</w:t>
      </w:r>
      <w:r w:rsidRPr="00904FCB">
        <w:rPr>
          <w:rFonts w:ascii="Times New Roman" w:hAnsi="Times New Roman"/>
          <w:sz w:val="27"/>
          <w:rtl/>
        </w:rPr>
        <w:t>ر</w:t>
      </w:r>
      <w:r w:rsidR="00B85EF9" w:rsidRPr="00904FCB">
        <w:rPr>
          <w:rFonts w:ascii="Times New Roman" w:hAnsi="Times New Roman" w:hint="cs"/>
          <w:sz w:val="27"/>
          <w:rtl/>
        </w:rPr>
        <w:t>َ</w:t>
      </w:r>
      <w:r w:rsidRPr="00904FCB">
        <w:rPr>
          <w:rFonts w:ascii="Times New Roman" w:hAnsi="Times New Roman"/>
          <w:sz w:val="27"/>
          <w:rtl/>
        </w:rPr>
        <w:t xml:space="preserve"> المعصوم</w:t>
      </w:r>
      <w:r w:rsidR="00B85EF9" w:rsidRPr="00904FCB">
        <w:rPr>
          <w:rFonts w:ascii="Times New Roman" w:hAnsi="Times New Roman" w:hint="cs"/>
          <w:sz w:val="27"/>
          <w:rtl/>
        </w:rPr>
        <w:t>،</w:t>
      </w:r>
      <w:r w:rsidRPr="00904FCB">
        <w:rPr>
          <w:rFonts w:ascii="Times New Roman" w:hAnsi="Times New Roman"/>
          <w:sz w:val="27"/>
          <w:rtl/>
        </w:rPr>
        <w:t xml:space="preserve"> ولم نعرف ملامحه وصورته</w:t>
      </w:r>
      <w:r w:rsidR="00B85EF9" w:rsidRPr="00904FCB">
        <w:rPr>
          <w:rFonts w:ascii="Times New Roman" w:hAnsi="Times New Roman" w:hint="cs"/>
          <w:sz w:val="27"/>
          <w:rtl/>
        </w:rPr>
        <w:t>،</w:t>
      </w:r>
      <w:r w:rsidRPr="00904FCB">
        <w:rPr>
          <w:rFonts w:ascii="Times New Roman" w:hAnsi="Times New Roman"/>
          <w:sz w:val="27"/>
          <w:rtl/>
        </w:rPr>
        <w:t xml:space="preserve"> </w:t>
      </w:r>
      <w:r w:rsidR="00B85EF9" w:rsidRPr="00904FCB">
        <w:rPr>
          <w:rFonts w:ascii="Times New Roman" w:hAnsi="Times New Roman" w:hint="cs"/>
          <w:sz w:val="27"/>
          <w:rtl/>
        </w:rPr>
        <w:t>ويمث</w:t>
      </w:r>
      <w:r w:rsidR="00384B20">
        <w:rPr>
          <w:rFonts w:ascii="Times New Roman" w:hAnsi="Times New Roman" w:hint="cs"/>
          <w:sz w:val="27"/>
          <w:rtl/>
        </w:rPr>
        <w:t>َّ</w:t>
      </w:r>
      <w:r w:rsidR="00B85EF9" w:rsidRPr="00904FCB">
        <w:rPr>
          <w:rFonts w:ascii="Times New Roman" w:hAnsi="Times New Roman" w:hint="cs"/>
          <w:sz w:val="27"/>
          <w:rtl/>
        </w:rPr>
        <w:t>ل</w:t>
      </w:r>
      <w:r w:rsidRPr="00904FCB">
        <w:rPr>
          <w:rFonts w:ascii="Times New Roman" w:hAnsi="Times New Roman"/>
          <w:sz w:val="27"/>
          <w:rtl/>
        </w:rPr>
        <w:t xml:space="preserve"> إلينا أنّه المعصوم</w:t>
      </w:r>
      <w:r w:rsidR="00B85EF9" w:rsidRPr="00904FCB">
        <w:rPr>
          <w:rFonts w:ascii="Times New Roman" w:hAnsi="Times New Roman" w:hint="cs"/>
          <w:sz w:val="27"/>
          <w:rtl/>
        </w:rPr>
        <w:t>،</w:t>
      </w:r>
      <w:r w:rsidRPr="00904FCB">
        <w:rPr>
          <w:rFonts w:ascii="Times New Roman" w:hAnsi="Times New Roman"/>
          <w:sz w:val="27"/>
          <w:rtl/>
        </w:rPr>
        <w:t xml:space="preserve"> فما الذي يدرينا أنّ م</w:t>
      </w:r>
      <w:r w:rsidR="00B85EF9" w:rsidRPr="00904FCB">
        <w:rPr>
          <w:rFonts w:ascii="Times New Roman" w:hAnsi="Times New Roman" w:hint="cs"/>
          <w:sz w:val="27"/>
          <w:rtl/>
        </w:rPr>
        <w:t>َ</w:t>
      </w:r>
      <w:r w:rsidRPr="00904FCB">
        <w:rPr>
          <w:rFonts w:ascii="Times New Roman" w:hAnsi="Times New Roman"/>
          <w:sz w:val="27"/>
          <w:rtl/>
        </w:rPr>
        <w:t>ن</w:t>
      </w:r>
      <w:r w:rsidR="00B85EF9" w:rsidRPr="00904FCB">
        <w:rPr>
          <w:rFonts w:ascii="Times New Roman" w:hAnsi="Times New Roman" w:hint="cs"/>
          <w:sz w:val="27"/>
          <w:rtl/>
        </w:rPr>
        <w:t>ْ</w:t>
      </w:r>
      <w:r w:rsidRPr="00904FCB">
        <w:rPr>
          <w:rFonts w:ascii="Times New Roman" w:hAnsi="Times New Roman"/>
          <w:sz w:val="27"/>
          <w:rtl/>
        </w:rPr>
        <w:t xml:space="preserve"> رأيناه هو المعصوم حق</w:t>
      </w:r>
      <w:r w:rsidR="00B85EF9" w:rsidRPr="00904FCB">
        <w:rPr>
          <w:rFonts w:ascii="Times New Roman" w:hAnsi="Times New Roman" w:hint="cs"/>
          <w:sz w:val="27"/>
          <w:rtl/>
        </w:rPr>
        <w:t>ّ</w:t>
      </w:r>
      <w:r w:rsidRPr="00904FCB">
        <w:rPr>
          <w:rFonts w:ascii="Times New Roman" w:hAnsi="Times New Roman"/>
          <w:sz w:val="27"/>
          <w:rtl/>
        </w:rPr>
        <w:t>اً، وأنّه النبي</w:t>
      </w:r>
      <w:r w:rsidR="00B85EF9"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w:t>
      </w:r>
    </w:p>
    <w:p w:rsidR="00057E24" w:rsidRPr="00904FCB" w:rsidRDefault="00057E24" w:rsidP="00826CE1">
      <w:pPr>
        <w:spacing w:line="410" w:lineRule="exact"/>
        <w:rPr>
          <w:rFonts w:ascii="Times New Roman" w:hAnsi="Times New Roman"/>
          <w:sz w:val="27"/>
        </w:rPr>
      </w:pPr>
      <w:r w:rsidRPr="00904FCB">
        <w:rPr>
          <w:rFonts w:ascii="Times New Roman" w:hAnsi="Times New Roman"/>
          <w:b/>
          <w:bCs/>
          <w:sz w:val="27"/>
          <w:rtl/>
        </w:rPr>
        <w:t>ولا يقال</w:t>
      </w:r>
      <w:r w:rsidRPr="00904FCB">
        <w:rPr>
          <w:rFonts w:ascii="Times New Roman" w:hAnsi="Times New Roman"/>
          <w:sz w:val="27"/>
          <w:rtl/>
        </w:rPr>
        <w:t>: إنّ ثمة صوراً منتشرة للنبي</w:t>
      </w:r>
      <w:r w:rsidR="00B85EF9"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في بعض الأوساط، أو لأمير المؤمنين</w:t>
      </w:r>
      <w:r w:rsidR="001C1A2A" w:rsidRPr="00904FCB">
        <w:rPr>
          <w:rFonts w:ascii="Times New Roman" w:hAnsi="Times New Roman" w:cs="Mosawi"/>
          <w:sz w:val="27"/>
          <w:szCs w:val="22"/>
          <w:rtl/>
        </w:rPr>
        <w:t>×</w:t>
      </w:r>
      <w:r w:rsidR="00B85EF9" w:rsidRPr="00904FCB">
        <w:rPr>
          <w:rFonts w:ascii="Times New Roman" w:hAnsi="Times New Roman" w:hint="cs"/>
          <w:sz w:val="27"/>
          <w:rtl/>
        </w:rPr>
        <w:t>،</w:t>
      </w:r>
      <w:r w:rsidRPr="00904FCB">
        <w:rPr>
          <w:rFonts w:ascii="Times New Roman" w:hAnsi="Times New Roman"/>
          <w:sz w:val="27"/>
          <w:rtl/>
        </w:rPr>
        <w:t xml:space="preserve"> ويتداولها بعض المسلمين</w:t>
      </w:r>
      <w:r w:rsidR="00B85EF9" w:rsidRPr="00904FCB">
        <w:rPr>
          <w:rFonts w:ascii="Times New Roman" w:hAnsi="Times New Roman" w:hint="cs"/>
          <w:sz w:val="27"/>
          <w:rtl/>
        </w:rPr>
        <w:t xml:space="preserve">، </w:t>
      </w:r>
      <w:r w:rsidRPr="00904FCB">
        <w:rPr>
          <w:rFonts w:ascii="Times New Roman" w:hAnsi="Times New Roman"/>
          <w:sz w:val="27"/>
          <w:rtl/>
        </w:rPr>
        <w:t xml:space="preserve">فيمكن القياس عليها. </w:t>
      </w:r>
    </w:p>
    <w:p w:rsidR="00057E24" w:rsidRPr="00904FCB" w:rsidRDefault="00B85EF9" w:rsidP="00204BF2">
      <w:pPr>
        <w:spacing w:line="420" w:lineRule="exact"/>
        <w:ind w:firstLine="561"/>
        <w:rPr>
          <w:rFonts w:ascii="Times New Roman" w:hAnsi="Times New Roman"/>
          <w:sz w:val="27"/>
        </w:rPr>
      </w:pPr>
      <w:r w:rsidRPr="00904FCB">
        <w:rPr>
          <w:rFonts w:ascii="Times New Roman" w:hAnsi="Times New Roman" w:hint="cs"/>
          <w:b/>
          <w:bCs/>
          <w:sz w:val="27"/>
          <w:rtl/>
        </w:rPr>
        <w:t>إذ</w:t>
      </w:r>
      <w:r w:rsidR="00057E24" w:rsidRPr="00904FCB">
        <w:rPr>
          <w:rFonts w:ascii="Times New Roman" w:hAnsi="Times New Roman"/>
          <w:b/>
          <w:bCs/>
          <w:sz w:val="27"/>
          <w:rtl/>
        </w:rPr>
        <w:t xml:space="preserve"> نجيب</w:t>
      </w:r>
      <w:r w:rsidR="00057E24" w:rsidRPr="00904FCB">
        <w:rPr>
          <w:rFonts w:ascii="Times New Roman" w:hAnsi="Times New Roman"/>
          <w:sz w:val="27"/>
          <w:rtl/>
        </w:rPr>
        <w:t>: هذه صور لا أساس لها من الصح</w:t>
      </w:r>
      <w:r w:rsidRPr="00904FCB">
        <w:rPr>
          <w:rFonts w:ascii="Times New Roman" w:hAnsi="Times New Roman" w:hint="cs"/>
          <w:sz w:val="27"/>
          <w:rtl/>
        </w:rPr>
        <w:t>ّ</w:t>
      </w:r>
      <w:r w:rsidR="00057E24" w:rsidRPr="00904FCB">
        <w:rPr>
          <w:rFonts w:ascii="Times New Roman" w:hAnsi="Times New Roman"/>
          <w:sz w:val="27"/>
          <w:rtl/>
        </w:rPr>
        <w:t>ة، ولم تثبت صدقي</w:t>
      </w:r>
      <w:r w:rsidRPr="00904FCB">
        <w:rPr>
          <w:rFonts w:ascii="Times New Roman" w:hAnsi="Times New Roman" w:hint="cs"/>
          <w:sz w:val="27"/>
          <w:rtl/>
        </w:rPr>
        <w:t>َّ</w:t>
      </w:r>
      <w:r w:rsidR="00057E24" w:rsidRPr="00904FCB">
        <w:rPr>
          <w:rFonts w:ascii="Times New Roman" w:hAnsi="Times New Roman"/>
          <w:sz w:val="27"/>
          <w:rtl/>
        </w:rPr>
        <w:t xml:space="preserve">تها، ولا يبعد أن يكون العمل التجاري هو الذي يقف خلفها. </w:t>
      </w:r>
    </w:p>
    <w:p w:rsidR="00057E24" w:rsidRPr="00904FCB" w:rsidRDefault="00057E24" w:rsidP="00204BF2">
      <w:pPr>
        <w:spacing w:line="420" w:lineRule="exact"/>
        <w:ind w:firstLine="561"/>
        <w:rPr>
          <w:rFonts w:ascii="Times New Roman" w:hAnsi="Times New Roman"/>
          <w:sz w:val="27"/>
        </w:rPr>
      </w:pPr>
      <w:r w:rsidRPr="00904FCB">
        <w:rPr>
          <w:rFonts w:ascii="Times New Roman" w:hAnsi="Times New Roman"/>
          <w:b/>
          <w:bCs/>
          <w:sz w:val="27"/>
          <w:rtl/>
        </w:rPr>
        <w:t xml:space="preserve">الثانية: </w:t>
      </w:r>
      <w:r w:rsidRPr="00904FCB">
        <w:rPr>
          <w:rFonts w:ascii="Times New Roman" w:hAnsi="Times New Roman"/>
          <w:sz w:val="27"/>
          <w:rtl/>
        </w:rPr>
        <w:t>إنّ رؤيا النبي</w:t>
      </w:r>
      <w:r w:rsidR="00B85EF9"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حت</w:t>
      </w:r>
      <w:r w:rsidR="00B85EF9" w:rsidRPr="00904FCB">
        <w:rPr>
          <w:rFonts w:ascii="Times New Roman" w:hAnsi="Times New Roman" w:hint="cs"/>
          <w:sz w:val="27"/>
          <w:rtl/>
        </w:rPr>
        <w:t>ّ</w:t>
      </w:r>
      <w:r w:rsidRPr="00904FCB">
        <w:rPr>
          <w:rFonts w:ascii="Times New Roman" w:hAnsi="Times New Roman"/>
          <w:sz w:val="27"/>
          <w:rtl/>
        </w:rPr>
        <w:t>ى على فرض ثبوت أنّه النبي</w:t>
      </w:r>
      <w:r w:rsidR="00B85EF9"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إذا تضم</w:t>
      </w:r>
      <w:r w:rsidR="00B85EF9" w:rsidRPr="00904FCB">
        <w:rPr>
          <w:rFonts w:ascii="Times New Roman" w:hAnsi="Times New Roman" w:hint="cs"/>
          <w:sz w:val="27"/>
          <w:rtl/>
        </w:rPr>
        <w:t>َّ</w:t>
      </w:r>
      <w:r w:rsidRPr="00904FCB">
        <w:rPr>
          <w:rFonts w:ascii="Times New Roman" w:hAnsi="Times New Roman"/>
          <w:sz w:val="27"/>
          <w:rtl/>
        </w:rPr>
        <w:t>نت حكماً شرعياً أو عقدياً فلا يمكن التعويل عليها</w:t>
      </w:r>
      <w:r w:rsidR="00B85EF9" w:rsidRPr="00904FCB">
        <w:rPr>
          <w:rFonts w:ascii="Times New Roman" w:hAnsi="Times New Roman" w:hint="cs"/>
          <w:sz w:val="27"/>
          <w:rtl/>
        </w:rPr>
        <w:t>؛</w:t>
      </w:r>
      <w:r w:rsidRPr="00904FCB">
        <w:rPr>
          <w:rFonts w:ascii="Times New Roman" w:hAnsi="Times New Roman"/>
          <w:sz w:val="27"/>
          <w:rtl/>
        </w:rPr>
        <w:t xml:space="preserve"> لأنه قد ثبت بالدليل القاطع أنّ دين الله لا ي</w:t>
      </w:r>
      <w:r w:rsidR="00B85EF9" w:rsidRPr="00904FCB">
        <w:rPr>
          <w:rFonts w:ascii="Times New Roman" w:hAnsi="Times New Roman" w:hint="cs"/>
          <w:sz w:val="27"/>
          <w:rtl/>
        </w:rPr>
        <w:t>ُ</w:t>
      </w:r>
      <w:r w:rsidRPr="00904FCB">
        <w:rPr>
          <w:rFonts w:ascii="Times New Roman" w:hAnsi="Times New Roman"/>
          <w:sz w:val="27"/>
          <w:rtl/>
        </w:rPr>
        <w:t>رى في المنام، كما مرّ</w:t>
      </w:r>
      <w:r w:rsidR="00B85EF9" w:rsidRPr="00904FCB">
        <w:rPr>
          <w:rFonts w:ascii="Times New Roman" w:hAnsi="Times New Roman" w:hint="cs"/>
          <w:sz w:val="27"/>
          <w:rtl/>
        </w:rPr>
        <w:t>َ</w:t>
      </w:r>
      <w:r w:rsidRPr="00904FCB">
        <w:rPr>
          <w:rFonts w:ascii="Times New Roman" w:hAnsi="Times New Roman"/>
          <w:sz w:val="27"/>
          <w:rtl/>
        </w:rPr>
        <w:t xml:space="preserve"> في الخبر الصحيح</w:t>
      </w:r>
      <w:r w:rsidR="00B85EF9" w:rsidRPr="00904FCB">
        <w:rPr>
          <w:rFonts w:ascii="Times New Roman" w:hAnsi="Times New Roman" w:hint="cs"/>
          <w:sz w:val="27"/>
          <w:rtl/>
        </w:rPr>
        <w:t>،</w:t>
      </w:r>
      <w:r w:rsidRPr="00904FCB">
        <w:rPr>
          <w:rFonts w:ascii="Times New Roman" w:hAnsi="Times New Roman"/>
          <w:sz w:val="27"/>
          <w:rtl/>
        </w:rPr>
        <w:t xml:space="preserve"> عن الإمام الصادق</w:t>
      </w:r>
      <w:r w:rsidR="001C1A2A" w:rsidRPr="00904FCB">
        <w:rPr>
          <w:rFonts w:ascii="Times New Roman" w:hAnsi="Times New Roman" w:cs="Mosawi"/>
          <w:sz w:val="27"/>
          <w:szCs w:val="22"/>
          <w:rtl/>
        </w:rPr>
        <w:t>×</w:t>
      </w:r>
      <w:r w:rsidR="00B85EF9" w:rsidRPr="00904FCB">
        <w:rPr>
          <w:rFonts w:ascii="Times New Roman" w:hAnsi="Times New Roman" w:hint="cs"/>
          <w:sz w:val="27"/>
          <w:rtl/>
        </w:rPr>
        <w:t>،</w:t>
      </w:r>
      <w:r w:rsidRPr="00904FCB">
        <w:rPr>
          <w:rFonts w:ascii="Times New Roman" w:hAnsi="Times New Roman"/>
          <w:sz w:val="27"/>
          <w:rtl/>
        </w:rPr>
        <w:t xml:space="preserve"> حيث قال: </w:t>
      </w:r>
      <w:r w:rsidRPr="00904FCB">
        <w:rPr>
          <w:rFonts w:hint="eastAsia"/>
          <w:sz w:val="27"/>
          <w:rtl/>
        </w:rPr>
        <w:t>«</w:t>
      </w:r>
      <w:r w:rsidRPr="00904FCB">
        <w:rPr>
          <w:rFonts w:ascii="Times New Roman" w:hAnsi="Times New Roman"/>
          <w:sz w:val="27"/>
          <w:rtl/>
        </w:rPr>
        <w:t>إنّ دين الله عز</w:t>
      </w:r>
      <w:r w:rsidRPr="00904FCB">
        <w:rPr>
          <w:rFonts w:ascii="Times New Roman" w:hAnsi="Times New Roman" w:hint="cs"/>
          <w:sz w:val="27"/>
          <w:rtl/>
        </w:rPr>
        <w:t>َّ</w:t>
      </w:r>
      <w:r w:rsidRPr="00904FCB">
        <w:rPr>
          <w:rFonts w:ascii="Times New Roman" w:hAnsi="Times New Roman"/>
          <w:sz w:val="27"/>
          <w:rtl/>
        </w:rPr>
        <w:t xml:space="preserve"> وجل</w:t>
      </w:r>
      <w:r w:rsidRPr="00904FCB">
        <w:rPr>
          <w:rFonts w:ascii="Times New Roman" w:hAnsi="Times New Roman" w:hint="cs"/>
          <w:sz w:val="27"/>
          <w:rtl/>
        </w:rPr>
        <w:t>َّ</w:t>
      </w:r>
      <w:r w:rsidRPr="00904FCB">
        <w:rPr>
          <w:rFonts w:ascii="Times New Roman" w:hAnsi="Times New Roman"/>
          <w:sz w:val="27"/>
          <w:rtl/>
        </w:rPr>
        <w:t xml:space="preserve"> أعز</w:t>
      </w:r>
      <w:r w:rsidRPr="00904FCB">
        <w:rPr>
          <w:rFonts w:ascii="Times New Roman" w:hAnsi="Times New Roman" w:hint="cs"/>
          <w:sz w:val="27"/>
          <w:rtl/>
        </w:rPr>
        <w:t>ّ</w:t>
      </w:r>
      <w:r w:rsidR="00B85EF9" w:rsidRPr="00904FCB">
        <w:rPr>
          <w:rFonts w:ascii="Times New Roman" w:hAnsi="Times New Roman" w:hint="cs"/>
          <w:sz w:val="27"/>
          <w:rtl/>
        </w:rPr>
        <w:t>ُ</w:t>
      </w:r>
      <w:r w:rsidRPr="00904FCB">
        <w:rPr>
          <w:rFonts w:ascii="Times New Roman" w:hAnsi="Times New Roman"/>
          <w:sz w:val="27"/>
          <w:rtl/>
        </w:rPr>
        <w:t xml:space="preserve"> من أن يُرى في النوم</w:t>
      </w:r>
      <w:r w:rsidRPr="00904FCB">
        <w:rPr>
          <w:rFonts w:hint="eastAsia"/>
          <w:sz w:val="27"/>
          <w:rtl/>
        </w:rPr>
        <w:t>»</w:t>
      </w:r>
      <w:r w:rsidRPr="00904FCB">
        <w:rPr>
          <w:rFonts w:ascii="Times New Roman" w:hAnsi="Times New Roman"/>
          <w:sz w:val="27"/>
          <w:rtl/>
        </w:rPr>
        <w:t xml:space="preserve">. </w:t>
      </w:r>
    </w:p>
    <w:p w:rsidR="00057E24" w:rsidRPr="00904FCB" w:rsidRDefault="00057E24" w:rsidP="00204BF2">
      <w:pPr>
        <w:spacing w:line="420" w:lineRule="exact"/>
        <w:ind w:firstLine="561"/>
        <w:rPr>
          <w:rFonts w:ascii="Times New Roman" w:hAnsi="Times New Roman"/>
          <w:sz w:val="27"/>
        </w:rPr>
      </w:pPr>
      <w:r w:rsidRPr="00904FCB">
        <w:rPr>
          <w:rFonts w:ascii="Times New Roman" w:hAnsi="Times New Roman"/>
          <w:sz w:val="27"/>
          <w:rtl/>
        </w:rPr>
        <w:t>إلى غير ذلك من الملاحظات التي س</w:t>
      </w:r>
      <w:r w:rsidR="00B85EF9" w:rsidRPr="00904FCB">
        <w:rPr>
          <w:rFonts w:ascii="Times New Roman" w:hAnsi="Times New Roman" w:hint="cs"/>
          <w:sz w:val="27"/>
          <w:rtl/>
        </w:rPr>
        <w:t>ُ</w:t>
      </w:r>
      <w:r w:rsidRPr="00904FCB">
        <w:rPr>
          <w:rFonts w:ascii="Times New Roman" w:hAnsi="Times New Roman"/>
          <w:sz w:val="27"/>
          <w:rtl/>
        </w:rPr>
        <w:t>ج</w:t>
      </w:r>
      <w:r w:rsidR="00B85EF9" w:rsidRPr="00904FCB">
        <w:rPr>
          <w:rFonts w:ascii="Times New Roman" w:hAnsi="Times New Roman" w:hint="cs"/>
          <w:sz w:val="27"/>
          <w:rtl/>
        </w:rPr>
        <w:t>ِّ</w:t>
      </w:r>
      <w:r w:rsidRPr="00904FCB">
        <w:rPr>
          <w:rFonts w:ascii="Times New Roman" w:hAnsi="Times New Roman"/>
          <w:sz w:val="27"/>
          <w:rtl/>
        </w:rPr>
        <w:t>لت على هذا الحديث</w:t>
      </w:r>
      <w:r w:rsidR="00B85EF9" w:rsidRPr="00904FCB">
        <w:rPr>
          <w:rFonts w:ascii="Times New Roman" w:hAnsi="Times New Roman" w:hint="cs"/>
          <w:sz w:val="27"/>
          <w:rtl/>
        </w:rPr>
        <w:t>.</w:t>
      </w:r>
      <w:r w:rsidRPr="00904FCB">
        <w:rPr>
          <w:rFonts w:ascii="Times New Roman" w:hAnsi="Times New Roman"/>
          <w:sz w:val="27"/>
          <w:rtl/>
        </w:rPr>
        <w:t xml:space="preserve"> وقد تناولتها بالبحث في كتاب: </w:t>
      </w:r>
      <w:r w:rsidRPr="00904FCB">
        <w:rPr>
          <w:rFonts w:hint="eastAsia"/>
          <w:sz w:val="27"/>
          <w:rtl/>
        </w:rPr>
        <w:t>«</w:t>
      </w:r>
      <w:r w:rsidRPr="00904FCB">
        <w:rPr>
          <w:rFonts w:ascii="Times New Roman" w:hAnsi="Times New Roman"/>
          <w:sz w:val="27"/>
          <w:rtl/>
        </w:rPr>
        <w:t>في فقه السلامة الصحيّة</w:t>
      </w:r>
      <w:r w:rsidR="00B85EF9" w:rsidRPr="00904FCB">
        <w:rPr>
          <w:rFonts w:ascii="Times New Roman" w:hAnsi="Times New Roman" w:hint="cs"/>
          <w:sz w:val="27"/>
          <w:rtl/>
        </w:rPr>
        <w:t>،</w:t>
      </w:r>
      <w:r w:rsidRPr="00904FCB">
        <w:rPr>
          <w:rFonts w:ascii="Times New Roman" w:hAnsi="Times New Roman"/>
          <w:sz w:val="27"/>
          <w:rtl/>
        </w:rPr>
        <w:t xml:space="preserve"> التدخين نموذجاً</w:t>
      </w:r>
      <w:r w:rsidRPr="00904FCB">
        <w:rPr>
          <w:rFonts w:hint="eastAsia"/>
          <w:sz w:val="27"/>
          <w:rtl/>
        </w:rPr>
        <w:t>»</w:t>
      </w:r>
      <w:r w:rsidR="00B85EF9" w:rsidRPr="00904FCB">
        <w:rPr>
          <w:rFonts w:ascii="Times New Roman" w:hAnsi="Times New Roman" w:hint="cs"/>
          <w:sz w:val="27"/>
          <w:rtl/>
        </w:rPr>
        <w:t>.</w:t>
      </w:r>
      <w:r w:rsidRPr="00904FCB">
        <w:rPr>
          <w:rFonts w:ascii="Times New Roman" w:hAnsi="Times New Roman"/>
          <w:sz w:val="27"/>
          <w:rtl/>
        </w:rPr>
        <w:t xml:space="preserve"> وذكرنا هناك العديد من الوجوه التي تمنع من الاستدلال بهذا الحديث على حج</w:t>
      </w:r>
      <w:r w:rsidR="00B85EF9" w:rsidRPr="00904FCB">
        <w:rPr>
          <w:rFonts w:ascii="Times New Roman" w:hAnsi="Times New Roman" w:hint="cs"/>
          <w:sz w:val="27"/>
          <w:rtl/>
        </w:rPr>
        <w:t>ّ</w:t>
      </w:r>
      <w:r w:rsidRPr="00904FCB">
        <w:rPr>
          <w:rFonts w:ascii="Times New Roman" w:hAnsi="Times New Roman"/>
          <w:sz w:val="27"/>
          <w:rtl/>
        </w:rPr>
        <w:t>ية قول المعصوم إذا ر</w:t>
      </w:r>
      <w:r w:rsidR="00B85EF9" w:rsidRPr="00904FCB">
        <w:rPr>
          <w:rFonts w:ascii="Times New Roman" w:hAnsi="Times New Roman" w:hint="cs"/>
          <w:sz w:val="27"/>
          <w:rtl/>
        </w:rPr>
        <w:t>ُ</w:t>
      </w:r>
      <w:r w:rsidRPr="00904FCB">
        <w:rPr>
          <w:rFonts w:ascii="Times New Roman" w:hAnsi="Times New Roman"/>
          <w:sz w:val="27"/>
          <w:rtl/>
        </w:rPr>
        <w:t>ؤيَ في المنام آمراً بشيء</w:t>
      </w:r>
      <w:r w:rsidR="00B85EF9" w:rsidRPr="00904FCB">
        <w:rPr>
          <w:rFonts w:ascii="Times New Roman" w:hAnsi="Times New Roman" w:hint="cs"/>
          <w:sz w:val="27"/>
          <w:rtl/>
        </w:rPr>
        <w:t>ٍ</w:t>
      </w:r>
      <w:r w:rsidRPr="00904FCB">
        <w:rPr>
          <w:rFonts w:ascii="Times New Roman" w:hAnsi="Times New Roman"/>
          <w:sz w:val="27"/>
          <w:rtl/>
        </w:rPr>
        <w:t xml:space="preserve"> أو ناهياً عنه أو فاعلاً له أو تاركاً له.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E41E7D">
        <w:rPr>
          <w:rFonts w:hint="cs"/>
          <w:color w:val="auto"/>
          <w:rtl/>
        </w:rPr>
        <w:t>5ـ</w:t>
      </w:r>
      <w:r w:rsidRPr="00E41E7D">
        <w:rPr>
          <w:color w:val="auto"/>
          <w:rtl/>
        </w:rPr>
        <w:t xml:space="preserve"> تعبير</w:t>
      </w:r>
      <w:r w:rsidRPr="00904FCB">
        <w:rPr>
          <w:color w:val="auto"/>
          <w:rtl/>
        </w:rPr>
        <w:t xml:space="preserve"> الرؤيا</w:t>
      </w:r>
    </w:p>
    <w:p w:rsidR="00057E24" w:rsidRPr="00904FCB" w:rsidRDefault="00057E24" w:rsidP="00204BF2">
      <w:pPr>
        <w:spacing w:line="420" w:lineRule="exact"/>
        <w:ind w:firstLine="561"/>
        <w:rPr>
          <w:rFonts w:ascii="Times New Roman" w:hAnsi="Times New Roman"/>
          <w:sz w:val="27"/>
        </w:rPr>
      </w:pPr>
      <w:r w:rsidRPr="00904FCB">
        <w:rPr>
          <w:rFonts w:ascii="Times New Roman" w:hAnsi="Times New Roman"/>
          <w:sz w:val="27"/>
          <w:rtl/>
        </w:rPr>
        <w:t>ومن الأبحاث المهم</w:t>
      </w:r>
      <w:r w:rsidR="00B85EF9" w:rsidRPr="00904FCB">
        <w:rPr>
          <w:rFonts w:ascii="Times New Roman" w:hAnsi="Times New Roman" w:hint="cs"/>
          <w:sz w:val="27"/>
          <w:rtl/>
        </w:rPr>
        <w:t>ّ</w:t>
      </w:r>
      <w:r w:rsidRPr="00904FCB">
        <w:rPr>
          <w:rFonts w:ascii="Times New Roman" w:hAnsi="Times New Roman"/>
          <w:sz w:val="27"/>
          <w:rtl/>
        </w:rPr>
        <w:t>ة في المقام هي القدرة على تفسير المنام</w:t>
      </w:r>
      <w:r w:rsidR="00B85EF9" w:rsidRPr="00904FCB">
        <w:rPr>
          <w:rFonts w:ascii="Times New Roman" w:hAnsi="Times New Roman" w:hint="cs"/>
          <w:sz w:val="27"/>
          <w:rtl/>
        </w:rPr>
        <w:t>،</w:t>
      </w:r>
      <w:r w:rsidRPr="00904FCB">
        <w:rPr>
          <w:rFonts w:ascii="Times New Roman" w:hAnsi="Times New Roman"/>
          <w:sz w:val="27"/>
          <w:rtl/>
        </w:rPr>
        <w:t xml:space="preserve"> وفك</w:t>
      </w:r>
      <w:r w:rsidR="00B85EF9" w:rsidRPr="00904FCB">
        <w:rPr>
          <w:rFonts w:ascii="Times New Roman" w:hAnsi="Times New Roman" w:hint="cs"/>
          <w:sz w:val="27"/>
          <w:rtl/>
        </w:rPr>
        <w:t>ّ</w:t>
      </w:r>
      <w:r w:rsidRPr="00904FCB">
        <w:rPr>
          <w:rFonts w:ascii="Times New Roman" w:hAnsi="Times New Roman"/>
          <w:sz w:val="27"/>
          <w:rtl/>
        </w:rPr>
        <w:t xml:space="preserve"> رموزه</w:t>
      </w:r>
      <w:r w:rsidR="00B85EF9" w:rsidRPr="00904FCB">
        <w:rPr>
          <w:rFonts w:ascii="Times New Roman" w:hAnsi="Times New Roman" w:hint="cs"/>
          <w:sz w:val="27"/>
          <w:rtl/>
        </w:rPr>
        <w:t>؛</w:t>
      </w:r>
      <w:r w:rsidRPr="00904FCB">
        <w:rPr>
          <w:rFonts w:ascii="Times New Roman" w:hAnsi="Times New Roman"/>
          <w:sz w:val="27"/>
          <w:rtl/>
        </w:rPr>
        <w:t xml:space="preserve"> لأنّ المنامات والأحلام قد لا تكون واضحة</w:t>
      </w:r>
      <w:r w:rsidR="00B85EF9" w:rsidRPr="00904FCB">
        <w:rPr>
          <w:rFonts w:ascii="Times New Roman" w:hAnsi="Times New Roman" w:hint="cs"/>
          <w:sz w:val="27"/>
          <w:rtl/>
        </w:rPr>
        <w:t>ً</w:t>
      </w:r>
      <w:r w:rsidRPr="00904FCB">
        <w:rPr>
          <w:rFonts w:ascii="Times New Roman" w:hAnsi="Times New Roman"/>
          <w:sz w:val="27"/>
          <w:rtl/>
        </w:rPr>
        <w:t xml:space="preserve"> وجليّة، وإنّما تحتاج إلى تفسير</w:t>
      </w:r>
      <w:r w:rsidR="00B85EF9" w:rsidRPr="00904FCB">
        <w:rPr>
          <w:rFonts w:ascii="Times New Roman" w:hAnsi="Times New Roman" w:hint="cs"/>
          <w:sz w:val="27"/>
          <w:rtl/>
        </w:rPr>
        <w:t>ٍ</w:t>
      </w:r>
      <w:r w:rsidRPr="00904FCB">
        <w:rPr>
          <w:rFonts w:ascii="Times New Roman" w:hAnsi="Times New Roman"/>
          <w:sz w:val="27"/>
          <w:rtl/>
        </w:rPr>
        <w:t xml:space="preserve"> وتعبير</w:t>
      </w:r>
      <w:r w:rsidR="00B85EF9" w:rsidRPr="00904FCB">
        <w:rPr>
          <w:rFonts w:ascii="Times New Roman" w:hAnsi="Times New Roman" w:hint="cs"/>
          <w:sz w:val="27"/>
          <w:rtl/>
        </w:rPr>
        <w:t>.</w:t>
      </w:r>
      <w:r w:rsidRPr="00904FCB">
        <w:rPr>
          <w:rFonts w:ascii="Times New Roman" w:hAnsi="Times New Roman"/>
          <w:sz w:val="27"/>
          <w:rtl/>
        </w:rPr>
        <w:t xml:space="preserve"> فهل من طريق</w:t>
      </w:r>
      <w:r w:rsidR="00B85EF9" w:rsidRPr="00904FCB">
        <w:rPr>
          <w:rFonts w:ascii="Times New Roman" w:hAnsi="Times New Roman" w:hint="cs"/>
          <w:sz w:val="27"/>
          <w:rtl/>
        </w:rPr>
        <w:t>ٍ</w:t>
      </w:r>
      <w:r w:rsidRPr="00904FCB">
        <w:rPr>
          <w:rFonts w:ascii="Times New Roman" w:hAnsi="Times New Roman"/>
          <w:sz w:val="27"/>
          <w:rtl/>
        </w:rPr>
        <w:t xml:space="preserve"> إلى تعبير الرؤيا والمنام؟ </w:t>
      </w:r>
    </w:p>
    <w:p w:rsidR="00057E24" w:rsidRPr="00904FCB" w:rsidRDefault="00057E24" w:rsidP="00204BF2">
      <w:pPr>
        <w:spacing w:line="420" w:lineRule="exact"/>
        <w:ind w:firstLine="561"/>
        <w:rPr>
          <w:rFonts w:ascii="Times New Roman" w:hAnsi="Times New Roman"/>
          <w:sz w:val="27"/>
        </w:rPr>
      </w:pPr>
      <w:r w:rsidRPr="00904FCB">
        <w:rPr>
          <w:rFonts w:ascii="Times New Roman" w:hAnsi="Times New Roman"/>
          <w:sz w:val="27"/>
          <w:rtl/>
        </w:rPr>
        <w:t>والجواب: إنّ الإمكان أمر</w:t>
      </w:r>
      <w:r w:rsidR="00B85EF9" w:rsidRPr="00904FCB">
        <w:rPr>
          <w:rFonts w:ascii="Times New Roman" w:hAnsi="Times New Roman" w:hint="cs"/>
          <w:sz w:val="27"/>
          <w:rtl/>
        </w:rPr>
        <w:t>ٌ</w:t>
      </w:r>
      <w:r w:rsidRPr="00904FCB">
        <w:rPr>
          <w:rFonts w:ascii="Times New Roman" w:hAnsi="Times New Roman"/>
          <w:sz w:val="27"/>
          <w:rtl/>
        </w:rPr>
        <w:t xml:space="preserve"> لا ش</w:t>
      </w:r>
      <w:r w:rsidR="00384B20">
        <w:rPr>
          <w:rFonts w:ascii="Times New Roman" w:hAnsi="Times New Roman" w:hint="cs"/>
          <w:sz w:val="27"/>
          <w:rtl/>
        </w:rPr>
        <w:t>َ</w:t>
      </w:r>
      <w:r w:rsidRPr="00904FCB">
        <w:rPr>
          <w:rFonts w:ascii="Times New Roman" w:hAnsi="Times New Roman"/>
          <w:sz w:val="27"/>
          <w:rtl/>
        </w:rPr>
        <w:t>ك</w:t>
      </w:r>
      <w:r w:rsidR="00B85EF9" w:rsidRPr="00904FCB">
        <w:rPr>
          <w:rFonts w:ascii="Times New Roman" w:hAnsi="Times New Roman" w:hint="cs"/>
          <w:sz w:val="27"/>
          <w:rtl/>
        </w:rPr>
        <w:t>َّ</w:t>
      </w:r>
      <w:r w:rsidRPr="00904FCB">
        <w:rPr>
          <w:rFonts w:ascii="Times New Roman" w:hAnsi="Times New Roman"/>
          <w:sz w:val="27"/>
          <w:rtl/>
        </w:rPr>
        <w:t xml:space="preserve"> فيه، وإنّما الكلام هو في صدقيّة التعبير وإصابته، وفي تحديد شروط المعبّ</w:t>
      </w:r>
      <w:r w:rsidR="00B85EF9" w:rsidRPr="00904FCB">
        <w:rPr>
          <w:rFonts w:ascii="Times New Roman" w:hAnsi="Times New Roman" w:hint="cs"/>
          <w:sz w:val="27"/>
          <w:rtl/>
        </w:rPr>
        <w:t>ِ</w:t>
      </w:r>
      <w:r w:rsidRPr="00904FCB">
        <w:rPr>
          <w:rFonts w:ascii="Times New Roman" w:hAnsi="Times New Roman"/>
          <w:sz w:val="27"/>
          <w:rtl/>
        </w:rPr>
        <w:t>ر، وشروط وضوابط التعبير نفسه، وتحديد الرؤيا القابلة للتعبير والتأويل</w:t>
      </w:r>
      <w:r w:rsidR="00B85EF9" w:rsidRPr="00904FCB">
        <w:rPr>
          <w:rFonts w:ascii="Times New Roman" w:hAnsi="Times New Roman" w:hint="cs"/>
          <w:sz w:val="27"/>
          <w:rtl/>
        </w:rPr>
        <w:t>.</w:t>
      </w:r>
      <w:r w:rsidRPr="00904FCB">
        <w:rPr>
          <w:rFonts w:ascii="Times New Roman" w:hAnsi="Times New Roman"/>
          <w:sz w:val="27"/>
          <w:rtl/>
        </w:rPr>
        <w:t xml:space="preserve"> </w:t>
      </w:r>
      <w:r w:rsidR="00B85EF9" w:rsidRPr="00904FCB">
        <w:rPr>
          <w:rFonts w:ascii="Times New Roman" w:hAnsi="Times New Roman" w:hint="cs"/>
          <w:sz w:val="27"/>
          <w:rtl/>
        </w:rPr>
        <w:t>و</w:t>
      </w:r>
      <w:r w:rsidRPr="00904FCB">
        <w:rPr>
          <w:rFonts w:ascii="Times New Roman" w:hAnsi="Times New Roman"/>
          <w:sz w:val="27"/>
          <w:rtl/>
        </w:rPr>
        <w:t>هذا علم</w:t>
      </w:r>
      <w:r w:rsidR="00384B20">
        <w:rPr>
          <w:rFonts w:ascii="Times New Roman" w:hAnsi="Times New Roman" w:hint="cs"/>
          <w:sz w:val="27"/>
          <w:rtl/>
        </w:rPr>
        <w:t>ٌ</w:t>
      </w:r>
      <w:r w:rsidRPr="00904FCB">
        <w:rPr>
          <w:rFonts w:ascii="Times New Roman" w:hAnsi="Times New Roman"/>
          <w:sz w:val="27"/>
          <w:rtl/>
        </w:rPr>
        <w:t xml:space="preserve"> قد لا يمتلك معظم الناس مفاتيحه. </w:t>
      </w:r>
    </w:p>
    <w:p w:rsidR="00057E24" w:rsidRPr="00904FCB" w:rsidRDefault="00057E24" w:rsidP="007A21AA">
      <w:pPr>
        <w:pStyle w:val="31"/>
        <w:spacing w:line="400" w:lineRule="exact"/>
        <w:rPr>
          <w:color w:val="auto"/>
        </w:rPr>
      </w:pPr>
      <w:r w:rsidRPr="00904FCB">
        <w:rPr>
          <w:color w:val="auto"/>
          <w:rtl/>
        </w:rPr>
        <w:lastRenderedPageBreak/>
        <w:t xml:space="preserve">يوسف ومعجزة تأويل الأحاديث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أجل إنّ بعض الأنبياء</w:t>
      </w:r>
      <w:r w:rsidR="001C1A2A" w:rsidRPr="00904FCB">
        <w:rPr>
          <w:rFonts w:ascii="Times New Roman" w:hAnsi="Times New Roman" w:cs="Mosawi"/>
          <w:sz w:val="27"/>
          <w:szCs w:val="22"/>
          <w:rtl/>
        </w:rPr>
        <w:t>×</w:t>
      </w:r>
      <w:r w:rsidRPr="00904FCB">
        <w:rPr>
          <w:rFonts w:ascii="Times New Roman" w:hAnsi="Times New Roman"/>
          <w:sz w:val="27"/>
          <w:rtl/>
        </w:rPr>
        <w:t xml:space="preserve"> كان يمتلك مثل هذا العلم</w:t>
      </w:r>
      <w:r w:rsidR="00B85EF9" w:rsidRPr="00904FCB">
        <w:rPr>
          <w:rFonts w:ascii="Times New Roman" w:hAnsi="Times New Roman" w:hint="cs"/>
          <w:sz w:val="27"/>
          <w:rtl/>
        </w:rPr>
        <w:t>.</w:t>
      </w:r>
      <w:r w:rsidRPr="00904FCB">
        <w:rPr>
          <w:rFonts w:ascii="Times New Roman" w:hAnsi="Times New Roman"/>
          <w:sz w:val="27"/>
          <w:rtl/>
        </w:rPr>
        <w:t xml:space="preserve"> فهذا نبي</w:t>
      </w:r>
      <w:r w:rsidR="00B85EF9" w:rsidRPr="00904FCB">
        <w:rPr>
          <w:rFonts w:ascii="Times New Roman" w:hAnsi="Times New Roman" w:hint="cs"/>
          <w:sz w:val="27"/>
          <w:rtl/>
        </w:rPr>
        <w:t>ّ</w:t>
      </w:r>
      <w:r w:rsidRPr="00904FCB">
        <w:rPr>
          <w:rFonts w:ascii="Times New Roman" w:hAnsi="Times New Roman"/>
          <w:sz w:val="27"/>
          <w:rtl/>
        </w:rPr>
        <w:t xml:space="preserve"> الله يوسف</w:t>
      </w:r>
      <w:r w:rsidR="001C1A2A" w:rsidRPr="00904FCB">
        <w:rPr>
          <w:rFonts w:ascii="Times New Roman" w:hAnsi="Times New Roman" w:cs="Mosawi"/>
          <w:sz w:val="27"/>
          <w:szCs w:val="22"/>
          <w:rtl/>
        </w:rPr>
        <w:t>×</w:t>
      </w:r>
      <w:r w:rsidRPr="00904FCB">
        <w:rPr>
          <w:rFonts w:ascii="Times New Roman" w:hAnsi="Times New Roman"/>
          <w:sz w:val="27"/>
          <w:rtl/>
        </w:rPr>
        <w:t xml:space="preserve"> </w:t>
      </w:r>
      <w:r w:rsidR="00B85EF9" w:rsidRPr="00904FCB">
        <w:rPr>
          <w:rFonts w:ascii="Times New Roman" w:hAnsi="Times New Roman"/>
          <w:sz w:val="27"/>
          <w:rtl/>
        </w:rPr>
        <w:t>قد تم</w:t>
      </w:r>
      <w:r w:rsidR="00B85EF9" w:rsidRPr="00904FCB">
        <w:rPr>
          <w:rFonts w:ascii="Times New Roman" w:hAnsi="Times New Roman" w:hint="cs"/>
          <w:sz w:val="27"/>
          <w:rtl/>
        </w:rPr>
        <w:t>يَّ</w:t>
      </w:r>
      <w:r w:rsidRPr="00904FCB">
        <w:rPr>
          <w:rFonts w:ascii="Times New Roman" w:hAnsi="Times New Roman"/>
          <w:sz w:val="27"/>
          <w:rtl/>
        </w:rPr>
        <w:t>ز بقدرته الاستثنائية على تعبير الرؤيا، ولكن</w:t>
      </w:r>
      <w:r w:rsidR="00B85EF9" w:rsidRPr="00904FCB">
        <w:rPr>
          <w:rFonts w:ascii="Times New Roman" w:hAnsi="Times New Roman" w:hint="cs"/>
          <w:sz w:val="27"/>
          <w:rtl/>
        </w:rPr>
        <w:t>ّ</w:t>
      </w:r>
      <w:r w:rsidRPr="00904FCB">
        <w:rPr>
          <w:rFonts w:ascii="Times New Roman" w:hAnsi="Times New Roman"/>
          <w:sz w:val="27"/>
          <w:rtl/>
        </w:rPr>
        <w:t>ه لم يكتسب ذلك اكتساباً، وإن</w:t>
      </w:r>
      <w:r w:rsidR="00B85EF9" w:rsidRPr="00904FCB">
        <w:rPr>
          <w:rFonts w:ascii="Times New Roman" w:hAnsi="Times New Roman" w:hint="cs"/>
          <w:sz w:val="27"/>
          <w:rtl/>
        </w:rPr>
        <w:t>ّ</w:t>
      </w:r>
      <w:r w:rsidRPr="00904FCB">
        <w:rPr>
          <w:rFonts w:ascii="Times New Roman" w:hAnsi="Times New Roman"/>
          <w:sz w:val="27"/>
          <w:rtl/>
        </w:rPr>
        <w:t>ما كان ذلك إلهاماً من الله تعالى</w:t>
      </w:r>
      <w:r w:rsidR="00B85EF9" w:rsidRPr="00904FCB">
        <w:rPr>
          <w:rFonts w:ascii="Times New Roman" w:hAnsi="Times New Roman" w:hint="cs"/>
          <w:sz w:val="27"/>
          <w:rtl/>
        </w:rPr>
        <w:t>،</w:t>
      </w:r>
      <w:r w:rsidRPr="00904FCB">
        <w:rPr>
          <w:rFonts w:ascii="Times New Roman" w:hAnsi="Times New Roman"/>
          <w:sz w:val="27"/>
          <w:rtl/>
        </w:rPr>
        <w:t xml:space="preserve"> وتعليماً منه لنبي</w:t>
      </w:r>
      <w:r w:rsidR="00B85EF9" w:rsidRPr="00904FCB">
        <w:rPr>
          <w:rFonts w:ascii="Times New Roman" w:hAnsi="Times New Roman" w:hint="cs"/>
          <w:sz w:val="27"/>
          <w:rtl/>
        </w:rPr>
        <w:t>ِّ</w:t>
      </w:r>
      <w:r w:rsidRPr="00904FCB">
        <w:rPr>
          <w:rFonts w:ascii="Times New Roman" w:hAnsi="Times New Roman"/>
          <w:sz w:val="27"/>
          <w:rtl/>
        </w:rPr>
        <w:t>ه</w:t>
      </w:r>
      <w:r w:rsidR="00635E51" w:rsidRPr="00904FCB">
        <w:rPr>
          <w:rFonts w:ascii="Times New Roman" w:hAnsi="Times New Roman" w:cs="Mosawi"/>
          <w:sz w:val="27"/>
          <w:szCs w:val="22"/>
          <w:rtl/>
        </w:rPr>
        <w:t>|</w:t>
      </w:r>
      <w:r w:rsidR="00B85EF9" w:rsidRPr="00904FCB">
        <w:rPr>
          <w:rFonts w:ascii="Times New Roman" w:hAnsi="Times New Roman" w:hint="cs"/>
          <w:sz w:val="27"/>
          <w:rtl/>
        </w:rPr>
        <w:t>.</w:t>
      </w:r>
      <w:r w:rsidRPr="00904FCB">
        <w:rPr>
          <w:rFonts w:ascii="Times New Roman" w:hAnsi="Times New Roman"/>
          <w:sz w:val="27"/>
          <w:rtl/>
        </w:rPr>
        <w:t xml:space="preserve"> قال تعالى</w:t>
      </w:r>
      <w:r w:rsidR="00B85EF9" w:rsidRPr="00904FCB">
        <w:rPr>
          <w:rFonts w:ascii="Times New Roman" w:hAnsi="Times New Roman" w:hint="cs"/>
          <w:sz w:val="27"/>
          <w:rtl/>
        </w:rPr>
        <w:t>،</w:t>
      </w:r>
      <w:r w:rsidRPr="00904FCB">
        <w:rPr>
          <w:rFonts w:ascii="Times New Roman" w:hAnsi="Times New Roman"/>
          <w:sz w:val="27"/>
          <w:rtl/>
        </w:rPr>
        <w:t xml:space="preserve"> حاكياً عن لسان يعقوب</w:t>
      </w:r>
      <w:r w:rsidR="001C1A2A" w:rsidRPr="00904FCB">
        <w:rPr>
          <w:rFonts w:ascii="Times New Roman" w:hAnsi="Times New Roman" w:cs="Mosawi"/>
          <w:sz w:val="27"/>
          <w:szCs w:val="22"/>
          <w:rtl/>
        </w:rPr>
        <w:t>×</w:t>
      </w:r>
      <w:r w:rsidRPr="00904FCB">
        <w:rPr>
          <w:rFonts w:ascii="Times New Roman" w:hAnsi="Times New Roman"/>
          <w:sz w:val="27"/>
          <w:rtl/>
        </w:rPr>
        <w:t xml:space="preserve">: </w:t>
      </w:r>
      <w:r w:rsidRPr="00904FCB">
        <w:rPr>
          <w:rFonts w:ascii="Mosawi" w:hAnsi="Mosawi" w:cs="Mosawi"/>
          <w:sz w:val="24"/>
          <w:szCs w:val="24"/>
          <w:rtl/>
        </w:rPr>
        <w:t>﴿</w:t>
      </w:r>
      <w:r w:rsidR="00B85EF9" w:rsidRPr="00904FCB">
        <w:rPr>
          <w:b/>
          <w:bCs/>
          <w:sz w:val="27"/>
          <w:rtl/>
        </w:rPr>
        <w:t>وَكَذَلِكَ يَجْتَبِيكَ رَبُّكَ وَيُعَلِّمُكَ مِنْ تَأْوِيلِ الأَحَادِيثِ</w:t>
      </w:r>
      <w:r w:rsidRPr="00904FCB">
        <w:rPr>
          <w:rFonts w:ascii="Mosawi" w:hAnsi="Mosawi" w:cs="Mosawi"/>
          <w:sz w:val="24"/>
          <w:szCs w:val="24"/>
          <w:rtl/>
        </w:rPr>
        <w:t>﴾</w:t>
      </w:r>
      <w:r w:rsidRPr="00904FCB">
        <w:rPr>
          <w:rFonts w:ascii="Times New Roman" w:hAnsi="Times New Roman" w:hint="cs"/>
          <w:sz w:val="27"/>
          <w:rtl/>
        </w:rPr>
        <w:t xml:space="preserve"> (</w:t>
      </w:r>
      <w:r w:rsidRPr="00904FCB">
        <w:rPr>
          <w:rFonts w:ascii="Times New Roman" w:hAnsi="Times New Roman"/>
          <w:sz w:val="27"/>
          <w:rtl/>
        </w:rPr>
        <w:t xml:space="preserve">يوسف: </w:t>
      </w:r>
      <w:r w:rsidRPr="00554592">
        <w:rPr>
          <w:rFonts w:ascii="Times New Roman" w:hAnsi="Times New Roman" w:hint="cs"/>
          <w:sz w:val="27"/>
          <w:rtl/>
          <w:lang w:bidi="ar-LB"/>
        </w:rPr>
        <w:t>6</w:t>
      </w:r>
      <w:r w:rsidRPr="00904FCB">
        <w:rPr>
          <w:rFonts w:ascii="Times New Roman" w:hAnsi="Times New Roman"/>
          <w:sz w:val="27"/>
          <w:rtl/>
        </w:rPr>
        <w:t>)</w:t>
      </w:r>
      <w:r w:rsidR="00B85EF9" w:rsidRPr="00904FCB">
        <w:rPr>
          <w:rFonts w:ascii="Times New Roman" w:hAnsi="Times New Roman" w:hint="cs"/>
          <w:sz w:val="27"/>
          <w:rtl/>
        </w:rPr>
        <w:t>.</w:t>
      </w:r>
      <w:r w:rsidRPr="00904FCB">
        <w:rPr>
          <w:rFonts w:ascii="Times New Roman" w:hAnsi="Times New Roman"/>
          <w:sz w:val="27"/>
          <w:rtl/>
        </w:rPr>
        <w:t xml:space="preserve"> والملفت أنّ هذا المعنى ـ وهو إسناد علم تعبير الرؤيا الذي كان يمتلكه يوسف</w:t>
      </w:r>
      <w:r w:rsidR="001C1A2A" w:rsidRPr="00904FCB">
        <w:rPr>
          <w:rFonts w:ascii="Times New Roman" w:hAnsi="Times New Roman" w:cs="Mosawi"/>
          <w:sz w:val="27"/>
          <w:szCs w:val="22"/>
          <w:rtl/>
        </w:rPr>
        <w:t>×</w:t>
      </w:r>
      <w:r w:rsidRPr="00904FCB">
        <w:rPr>
          <w:rFonts w:ascii="Times New Roman" w:hAnsi="Times New Roman"/>
          <w:sz w:val="27"/>
          <w:rtl/>
        </w:rPr>
        <w:t xml:space="preserve"> إلى الله وإلهامه ـ قد جاء في ثلاثة موارد في سورة يوسف، منها: المورد السابق</w:t>
      </w:r>
      <w:r w:rsidR="00B85EF9" w:rsidRPr="00904FCB">
        <w:rPr>
          <w:rFonts w:ascii="Times New Roman" w:hAnsi="Times New Roman" w:hint="cs"/>
          <w:sz w:val="27"/>
          <w:rtl/>
        </w:rPr>
        <w:t>؛</w:t>
      </w:r>
      <w:r w:rsidRPr="00904FCB">
        <w:rPr>
          <w:rFonts w:ascii="Times New Roman" w:hAnsi="Times New Roman"/>
          <w:sz w:val="27"/>
          <w:rtl/>
        </w:rPr>
        <w:t xml:space="preserve"> والمورد الثاني قوله تعالى: </w:t>
      </w:r>
      <w:r w:rsidRPr="00904FCB">
        <w:rPr>
          <w:rFonts w:ascii="Mosawi" w:hAnsi="Mosawi" w:cs="Mosawi"/>
          <w:sz w:val="24"/>
          <w:szCs w:val="24"/>
          <w:rtl/>
        </w:rPr>
        <w:t>﴿</w:t>
      </w:r>
      <w:r w:rsidR="00B85EF9" w:rsidRPr="00904FCB">
        <w:rPr>
          <w:b/>
          <w:bCs/>
          <w:sz w:val="27"/>
          <w:rtl/>
        </w:rPr>
        <w:t>وَكَذَلِكَ مَكَّنَّا لِيُوسُفَ فِي الأَرْضِ وَلِنُعَلِّمَهُ مِنْ تَأْوِيلِ الأَحَادِيثِ</w:t>
      </w:r>
      <w:r w:rsidRPr="00904FCB">
        <w:rPr>
          <w:rFonts w:ascii="Mosawi" w:hAnsi="Mosawi" w:cs="Mosawi"/>
          <w:sz w:val="24"/>
          <w:szCs w:val="24"/>
          <w:rtl/>
        </w:rPr>
        <w:t>﴾</w:t>
      </w:r>
      <w:r w:rsidRPr="00904FCB">
        <w:rPr>
          <w:rFonts w:ascii="Times New Roman" w:hAnsi="Times New Roman" w:hint="cs"/>
          <w:sz w:val="27"/>
          <w:rtl/>
        </w:rPr>
        <w:t xml:space="preserve"> (</w:t>
      </w:r>
      <w:r w:rsidRPr="00904FCB">
        <w:rPr>
          <w:rFonts w:ascii="Times New Roman" w:hAnsi="Times New Roman"/>
          <w:sz w:val="27"/>
          <w:rtl/>
        </w:rPr>
        <w:t xml:space="preserve">يوسف: </w:t>
      </w:r>
      <w:r w:rsidRPr="00554592">
        <w:rPr>
          <w:rFonts w:ascii="Times New Roman" w:hAnsi="Times New Roman"/>
          <w:sz w:val="27"/>
          <w:rtl/>
        </w:rPr>
        <w:t>21</w:t>
      </w:r>
      <w:r w:rsidRPr="00904FCB">
        <w:rPr>
          <w:rFonts w:ascii="Times New Roman" w:hAnsi="Times New Roman"/>
          <w:sz w:val="27"/>
          <w:rtl/>
        </w:rPr>
        <w:t>)</w:t>
      </w:r>
      <w:r w:rsidR="00B85EF9" w:rsidRPr="00904FCB">
        <w:rPr>
          <w:rFonts w:ascii="Times New Roman" w:hAnsi="Times New Roman" w:hint="cs"/>
          <w:sz w:val="27"/>
          <w:rtl/>
        </w:rPr>
        <w:t>؛</w:t>
      </w:r>
      <w:r w:rsidRPr="00904FCB">
        <w:rPr>
          <w:rFonts w:ascii="Times New Roman" w:hAnsi="Times New Roman"/>
          <w:sz w:val="27"/>
          <w:rtl/>
        </w:rPr>
        <w:t xml:space="preserve"> والمورد الثالث ما جاء في ختام السورة</w:t>
      </w:r>
      <w:r w:rsidR="00B85EF9" w:rsidRPr="00904FCB">
        <w:rPr>
          <w:rFonts w:ascii="Times New Roman" w:hAnsi="Times New Roman" w:hint="cs"/>
          <w:sz w:val="27"/>
          <w:rtl/>
        </w:rPr>
        <w:t>:</w:t>
      </w:r>
      <w:r w:rsidRPr="00904FCB">
        <w:rPr>
          <w:rFonts w:ascii="Times New Roman" w:hAnsi="Times New Roman"/>
          <w:sz w:val="27"/>
          <w:rtl/>
        </w:rPr>
        <w:t xml:space="preserve"> </w:t>
      </w:r>
      <w:r w:rsidRPr="00904FCB">
        <w:rPr>
          <w:rFonts w:ascii="Mosawi" w:hAnsi="Mosawi" w:cs="Mosawi"/>
          <w:sz w:val="24"/>
          <w:szCs w:val="24"/>
          <w:rtl/>
        </w:rPr>
        <w:t>﴿</w:t>
      </w:r>
      <w:r w:rsidR="00B85EF9" w:rsidRPr="00904FCB">
        <w:rPr>
          <w:b/>
          <w:bCs/>
          <w:sz w:val="27"/>
          <w:rtl/>
        </w:rPr>
        <w:t>رَبِّ قَدْ آتَيْتَنِي مِنْ الْمُلْكِ وَعَلَّمْتَنِي مِنْ تَأْوِيلِ الأَحَادِيثِ</w:t>
      </w:r>
      <w:r w:rsidRPr="00904FCB">
        <w:rPr>
          <w:rFonts w:ascii="Mosawi" w:hAnsi="Mosawi" w:cs="Mosawi"/>
          <w:sz w:val="24"/>
          <w:szCs w:val="24"/>
          <w:rtl/>
        </w:rPr>
        <w:t>﴾</w:t>
      </w:r>
      <w:r w:rsidRPr="00904FCB">
        <w:rPr>
          <w:rFonts w:ascii="Times New Roman" w:hAnsi="Times New Roman" w:hint="cs"/>
          <w:sz w:val="27"/>
          <w:rtl/>
        </w:rPr>
        <w:t xml:space="preserve"> (</w:t>
      </w:r>
      <w:r w:rsidRPr="00904FCB">
        <w:rPr>
          <w:rFonts w:ascii="Times New Roman" w:hAnsi="Times New Roman"/>
          <w:sz w:val="27"/>
          <w:rtl/>
        </w:rPr>
        <w:t xml:space="preserve">يوسف: </w:t>
      </w:r>
      <w:r w:rsidRPr="00554592">
        <w:rPr>
          <w:rFonts w:ascii="Times New Roman" w:hAnsi="Times New Roman"/>
          <w:sz w:val="27"/>
          <w:rtl/>
        </w:rPr>
        <w:t>101</w:t>
      </w:r>
      <w:r w:rsidRPr="00904FCB">
        <w:rPr>
          <w:rFonts w:ascii="Times New Roman" w:hAnsi="Times New Roman"/>
          <w:sz w:val="27"/>
          <w:rtl/>
        </w:rPr>
        <w:t xml:space="preserve">). </w:t>
      </w:r>
    </w:p>
    <w:p w:rsidR="00057E24" w:rsidRPr="00904FCB" w:rsidRDefault="00B85EF9" w:rsidP="007A21AA">
      <w:pPr>
        <w:spacing w:line="400" w:lineRule="exact"/>
        <w:rPr>
          <w:rFonts w:ascii="Times New Roman" w:hAnsi="Times New Roman"/>
          <w:sz w:val="27"/>
        </w:rPr>
      </w:pPr>
      <w:r w:rsidRPr="00904FCB">
        <w:rPr>
          <w:rFonts w:ascii="Times New Roman" w:hAnsi="Times New Roman" w:hint="cs"/>
          <w:sz w:val="27"/>
          <w:rtl/>
          <w:lang w:bidi="ar-LB"/>
        </w:rPr>
        <w:t xml:space="preserve">إذن </w:t>
      </w:r>
      <w:r w:rsidR="00057E24" w:rsidRPr="00904FCB">
        <w:rPr>
          <w:rFonts w:ascii="Times New Roman" w:hAnsi="Times New Roman"/>
          <w:sz w:val="27"/>
        </w:rPr>
        <w:t> </w:t>
      </w:r>
      <w:r w:rsidR="00057E24" w:rsidRPr="00904FCB">
        <w:rPr>
          <w:rFonts w:ascii="Times New Roman" w:hAnsi="Times New Roman"/>
          <w:sz w:val="27"/>
          <w:rtl/>
        </w:rPr>
        <w:t>فيوسف الصدّ</w:t>
      </w:r>
      <w:r w:rsidRPr="00904FCB">
        <w:rPr>
          <w:rFonts w:ascii="Times New Roman" w:hAnsi="Times New Roman" w:hint="cs"/>
          <w:sz w:val="27"/>
          <w:rtl/>
        </w:rPr>
        <w:t>ِ</w:t>
      </w:r>
      <w:r w:rsidR="00057E24" w:rsidRPr="00904FCB">
        <w:rPr>
          <w:rFonts w:ascii="Times New Roman" w:hAnsi="Times New Roman"/>
          <w:sz w:val="27"/>
          <w:rtl/>
        </w:rPr>
        <w:t>يق</w:t>
      </w:r>
      <w:r w:rsidR="001C1A2A" w:rsidRPr="00904FCB">
        <w:rPr>
          <w:rFonts w:ascii="Times New Roman" w:hAnsi="Times New Roman" w:cs="Mosawi"/>
          <w:sz w:val="27"/>
          <w:szCs w:val="22"/>
          <w:rtl/>
        </w:rPr>
        <w:t>×</w:t>
      </w:r>
      <w:r w:rsidR="00057E24" w:rsidRPr="00904FCB">
        <w:rPr>
          <w:rFonts w:ascii="Times New Roman" w:hAnsi="Times New Roman"/>
          <w:sz w:val="27"/>
          <w:rtl/>
        </w:rPr>
        <w:t xml:space="preserve"> قد امتلك علم تعبير الرؤيا وتأويلها، ولكن</w:t>
      </w:r>
      <w:r w:rsidRPr="00904FCB">
        <w:rPr>
          <w:rFonts w:ascii="Times New Roman" w:hAnsi="Times New Roman" w:hint="cs"/>
          <w:sz w:val="27"/>
          <w:rtl/>
        </w:rPr>
        <w:t>ْ</w:t>
      </w:r>
      <w:r w:rsidR="00057E24" w:rsidRPr="00904FCB">
        <w:rPr>
          <w:rFonts w:ascii="Times New Roman" w:hAnsi="Times New Roman"/>
          <w:sz w:val="27"/>
          <w:rtl/>
        </w:rPr>
        <w:t xml:space="preserve"> من خلال تعليم الله له ذلك</w:t>
      </w:r>
      <w:r w:rsidRPr="00904FCB">
        <w:rPr>
          <w:rFonts w:ascii="Times New Roman" w:hAnsi="Times New Roman" w:hint="cs"/>
          <w:sz w:val="27"/>
          <w:rtl/>
        </w:rPr>
        <w:t>.</w:t>
      </w:r>
      <w:r w:rsidR="00057E24" w:rsidRPr="00904FCB">
        <w:rPr>
          <w:rFonts w:ascii="Times New Roman" w:hAnsi="Times New Roman"/>
          <w:sz w:val="27"/>
          <w:rtl/>
        </w:rPr>
        <w:t xml:space="preserve"> ولعلّ ذلك قد كان معجزة</w:t>
      </w:r>
      <w:r w:rsidRPr="00904FCB">
        <w:rPr>
          <w:rFonts w:ascii="Times New Roman" w:hAnsi="Times New Roman" w:hint="cs"/>
          <w:sz w:val="27"/>
          <w:rtl/>
        </w:rPr>
        <w:t>ً</w:t>
      </w:r>
      <w:r w:rsidR="00057E24" w:rsidRPr="00904FCB">
        <w:rPr>
          <w:rFonts w:ascii="Times New Roman" w:hAnsi="Times New Roman"/>
          <w:sz w:val="27"/>
          <w:rtl/>
        </w:rPr>
        <w:t xml:space="preserve"> ليوسف</w:t>
      </w:r>
      <w:r w:rsidRPr="00904FCB">
        <w:rPr>
          <w:rFonts w:ascii="Times New Roman" w:hAnsi="Times New Roman" w:hint="cs"/>
          <w:sz w:val="27"/>
          <w:rtl/>
        </w:rPr>
        <w:t>؛</w:t>
      </w:r>
      <w:r w:rsidR="00057E24" w:rsidRPr="00904FCB">
        <w:rPr>
          <w:rFonts w:ascii="Times New Roman" w:hAnsi="Times New Roman"/>
          <w:sz w:val="27"/>
          <w:rtl/>
        </w:rPr>
        <w:t xml:space="preserve"> إذ لم نج</w:t>
      </w:r>
      <w:r w:rsidRPr="00904FCB">
        <w:rPr>
          <w:rFonts w:ascii="Times New Roman" w:hAnsi="Times New Roman" w:hint="cs"/>
          <w:sz w:val="27"/>
          <w:rtl/>
        </w:rPr>
        <w:t>ِ</w:t>
      </w:r>
      <w:r w:rsidR="00057E24" w:rsidRPr="00904FCB">
        <w:rPr>
          <w:rFonts w:ascii="Times New Roman" w:hAnsi="Times New Roman"/>
          <w:sz w:val="27"/>
          <w:rtl/>
        </w:rPr>
        <w:t>د</w:t>
      </w:r>
      <w:r w:rsidRPr="00904FCB">
        <w:rPr>
          <w:rFonts w:ascii="Times New Roman" w:hAnsi="Times New Roman" w:hint="cs"/>
          <w:sz w:val="27"/>
          <w:rtl/>
        </w:rPr>
        <w:t>ْ</w:t>
      </w:r>
      <w:r w:rsidR="00057E24" w:rsidRPr="00904FCB">
        <w:rPr>
          <w:rFonts w:ascii="Times New Roman" w:hAnsi="Times New Roman"/>
          <w:sz w:val="27"/>
          <w:rtl/>
        </w:rPr>
        <w:t xml:space="preserve"> له معجزة</w:t>
      </w:r>
      <w:r w:rsidRPr="00904FCB">
        <w:rPr>
          <w:rFonts w:ascii="Times New Roman" w:hAnsi="Times New Roman" w:hint="cs"/>
          <w:sz w:val="27"/>
          <w:rtl/>
        </w:rPr>
        <w:t>ً</w:t>
      </w:r>
      <w:r w:rsidR="00057E24" w:rsidRPr="00904FCB">
        <w:rPr>
          <w:rFonts w:ascii="Times New Roman" w:hAnsi="Times New Roman"/>
          <w:sz w:val="27"/>
          <w:rtl/>
        </w:rPr>
        <w:t xml:space="preserve"> ظاهرة أخرى غير تعبير الرؤيا</w:t>
      </w:r>
      <w:r w:rsidRPr="00904FCB">
        <w:rPr>
          <w:rFonts w:ascii="Times New Roman" w:hAnsi="Times New Roman" w:hint="cs"/>
          <w:sz w:val="27"/>
          <w:rtl/>
        </w:rPr>
        <w:t>.</w:t>
      </w:r>
      <w:r w:rsidR="00057E24" w:rsidRPr="00904FCB">
        <w:rPr>
          <w:rFonts w:ascii="Times New Roman" w:hAnsi="Times New Roman"/>
          <w:sz w:val="27"/>
          <w:rtl/>
        </w:rPr>
        <w:t xml:space="preserve"> وربما نستوحي من قوله تعالى: </w:t>
      </w:r>
      <w:r w:rsidR="00057E24" w:rsidRPr="00904FCB">
        <w:rPr>
          <w:rFonts w:ascii="Mosawi" w:hAnsi="Mosawi" w:cs="Mosawi"/>
          <w:sz w:val="24"/>
          <w:szCs w:val="24"/>
          <w:rtl/>
        </w:rPr>
        <w:t>﴿</w:t>
      </w:r>
      <w:r w:rsidRPr="00904FCB">
        <w:rPr>
          <w:b/>
          <w:bCs/>
          <w:sz w:val="27"/>
          <w:rtl/>
        </w:rPr>
        <w:t>وَيُعَلِّمُكَ مِنْ تَأْوِيلِ الأَحَادِيثِ</w:t>
      </w:r>
      <w:r w:rsidR="00057E24" w:rsidRPr="00904FCB">
        <w:rPr>
          <w:rFonts w:ascii="Mosawi" w:hAnsi="Mosawi" w:cs="Mosawi"/>
          <w:sz w:val="24"/>
          <w:szCs w:val="24"/>
          <w:rtl/>
        </w:rPr>
        <w:t>﴾</w:t>
      </w:r>
      <w:r w:rsidR="00057E24" w:rsidRPr="00904FCB">
        <w:rPr>
          <w:rFonts w:ascii="Mosawi" w:hAnsi="Mosawi" w:cs="Mosawi" w:hint="cs"/>
          <w:sz w:val="24"/>
          <w:szCs w:val="24"/>
          <w:rtl/>
        </w:rPr>
        <w:t xml:space="preserve"> </w:t>
      </w:r>
      <w:r w:rsidR="00057E24" w:rsidRPr="00904FCB">
        <w:rPr>
          <w:rFonts w:ascii="Times New Roman" w:hAnsi="Times New Roman"/>
          <w:sz w:val="27"/>
          <w:rtl/>
        </w:rPr>
        <w:t>أنّ هذا الأمر يحتاج إلى تعليم</w:t>
      </w:r>
      <w:r w:rsidRPr="00904FCB">
        <w:rPr>
          <w:rFonts w:ascii="Times New Roman" w:hAnsi="Times New Roman" w:hint="cs"/>
          <w:sz w:val="27"/>
          <w:rtl/>
        </w:rPr>
        <w:t>ٍ</w:t>
      </w:r>
      <w:r w:rsidR="00057E24" w:rsidRPr="00904FCB">
        <w:rPr>
          <w:rFonts w:ascii="Times New Roman" w:hAnsi="Times New Roman"/>
          <w:sz w:val="27"/>
          <w:rtl/>
        </w:rPr>
        <w:t xml:space="preserve"> إلهي</w:t>
      </w:r>
      <w:r w:rsidRPr="00904FCB">
        <w:rPr>
          <w:rFonts w:ascii="Times New Roman" w:hAnsi="Times New Roman" w:hint="cs"/>
          <w:sz w:val="27"/>
          <w:rtl/>
        </w:rPr>
        <w:t>ّ</w:t>
      </w:r>
      <w:r w:rsidR="00057E24" w:rsidRPr="00904FCB">
        <w:rPr>
          <w:rFonts w:ascii="Times New Roman" w:hAnsi="Times New Roman"/>
          <w:sz w:val="27"/>
          <w:rtl/>
        </w:rPr>
        <w:t>، وأنّه لا يُكت</w:t>
      </w:r>
      <w:r w:rsidRPr="00904FCB">
        <w:rPr>
          <w:rFonts w:ascii="Times New Roman" w:hAnsi="Times New Roman" w:hint="cs"/>
          <w:sz w:val="27"/>
          <w:rtl/>
        </w:rPr>
        <w:t>َ</w:t>
      </w:r>
      <w:r w:rsidR="00057E24" w:rsidRPr="00904FCB">
        <w:rPr>
          <w:rFonts w:ascii="Times New Roman" w:hAnsi="Times New Roman"/>
          <w:sz w:val="27"/>
          <w:rtl/>
        </w:rPr>
        <w:t>س</w:t>
      </w:r>
      <w:r w:rsidRPr="00904FCB">
        <w:rPr>
          <w:rFonts w:ascii="Times New Roman" w:hAnsi="Times New Roman" w:hint="cs"/>
          <w:sz w:val="27"/>
          <w:rtl/>
        </w:rPr>
        <w:t>َ</w:t>
      </w:r>
      <w:r w:rsidR="00057E24" w:rsidRPr="00904FCB">
        <w:rPr>
          <w:rFonts w:ascii="Times New Roman" w:hAnsi="Times New Roman"/>
          <w:sz w:val="27"/>
          <w:rtl/>
        </w:rPr>
        <w:t>ب بغير ذلك، وإذا ناله أحد</w:t>
      </w:r>
      <w:r w:rsidR="00204BF2">
        <w:rPr>
          <w:rFonts w:ascii="Times New Roman" w:hAnsi="Times New Roman" w:hint="cs"/>
          <w:sz w:val="27"/>
          <w:rtl/>
        </w:rPr>
        <w:t>ٌ</w:t>
      </w:r>
      <w:r w:rsidR="00057E24" w:rsidRPr="00904FCB">
        <w:rPr>
          <w:rFonts w:ascii="Times New Roman" w:hAnsi="Times New Roman"/>
          <w:sz w:val="27"/>
          <w:rtl/>
        </w:rPr>
        <w:t xml:space="preserve"> بالاكتساب والتجربة فإنّه قد لا يكون مأموناً من الخطأ والاشتباه، كما سوف نبيّ</w:t>
      </w:r>
      <w:r w:rsidRPr="00904FCB">
        <w:rPr>
          <w:rFonts w:ascii="Times New Roman" w:hAnsi="Times New Roman" w:hint="cs"/>
          <w:sz w:val="27"/>
          <w:rtl/>
        </w:rPr>
        <w:t>ِ</w:t>
      </w:r>
      <w:r w:rsidR="00057E24" w:rsidRPr="00904FCB">
        <w:rPr>
          <w:rFonts w:ascii="Times New Roman" w:hAnsi="Times New Roman"/>
          <w:sz w:val="27"/>
          <w:rtl/>
        </w:rPr>
        <w:t xml:space="preserve">ن لاحقاً.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color w:val="auto"/>
          <w:rtl/>
        </w:rPr>
        <w:t>ثلاثة منامات ليوسف الصد</w:t>
      </w:r>
      <w:r w:rsidR="00B518A0" w:rsidRPr="00904FCB">
        <w:rPr>
          <w:rFonts w:hint="cs"/>
          <w:color w:val="auto"/>
          <w:rtl/>
        </w:rPr>
        <w:t>ِّ</w:t>
      </w:r>
      <w:r w:rsidRPr="00904FCB">
        <w:rPr>
          <w:color w:val="auto"/>
          <w:rtl/>
        </w:rPr>
        <w:t>يق</w:t>
      </w:r>
      <w:r w:rsidR="001C1A2A" w:rsidRPr="00904FCB">
        <w:rPr>
          <w:rFonts w:cs="Mosawi"/>
          <w:color w:val="auto"/>
          <w:szCs w:val="22"/>
          <w:rtl/>
        </w:rPr>
        <w:t>×</w:t>
      </w:r>
      <w:r w:rsidRPr="00904FCB">
        <w:rPr>
          <w:color w:val="auto"/>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وعند التأم</w:t>
      </w:r>
      <w:r w:rsidR="00B85EF9" w:rsidRPr="00904FCB">
        <w:rPr>
          <w:rFonts w:ascii="Times New Roman" w:hAnsi="Times New Roman" w:hint="cs"/>
          <w:sz w:val="27"/>
          <w:rtl/>
        </w:rPr>
        <w:t>ُّ</w:t>
      </w:r>
      <w:r w:rsidRPr="00904FCB">
        <w:rPr>
          <w:rFonts w:ascii="Times New Roman" w:hAnsi="Times New Roman"/>
          <w:sz w:val="27"/>
          <w:rtl/>
        </w:rPr>
        <w:t>ل في سورة يوسف نجد أنّ هناك ثلاثة منامات تت</w:t>
      </w:r>
      <w:r w:rsidR="00B85EF9" w:rsidRPr="00904FCB">
        <w:rPr>
          <w:rFonts w:ascii="Times New Roman" w:hAnsi="Times New Roman" w:hint="cs"/>
          <w:sz w:val="27"/>
          <w:rtl/>
        </w:rPr>
        <w:t>ّ</w:t>
      </w:r>
      <w:r w:rsidRPr="00904FCB">
        <w:rPr>
          <w:rFonts w:ascii="Times New Roman" w:hAnsi="Times New Roman"/>
          <w:sz w:val="27"/>
          <w:rtl/>
        </w:rPr>
        <w:t>صل بيوسف الصد</w:t>
      </w:r>
      <w:r w:rsidR="00B85EF9" w:rsidRPr="00904FCB">
        <w:rPr>
          <w:rFonts w:ascii="Times New Roman" w:hAnsi="Times New Roman" w:hint="cs"/>
          <w:sz w:val="27"/>
          <w:rtl/>
        </w:rPr>
        <w:t>ِّ</w:t>
      </w:r>
      <w:r w:rsidR="00B85EF9" w:rsidRPr="00904FCB">
        <w:rPr>
          <w:rFonts w:ascii="Times New Roman" w:hAnsi="Times New Roman"/>
          <w:sz w:val="27"/>
          <w:rtl/>
        </w:rPr>
        <w:t>ي</w:t>
      </w:r>
      <w:r w:rsidRPr="00904FCB">
        <w:rPr>
          <w:rFonts w:ascii="Times New Roman" w:hAnsi="Times New Roman"/>
          <w:sz w:val="27"/>
          <w:rtl/>
        </w:rPr>
        <w:t>ق شك</w:t>
      </w:r>
      <w:r w:rsidR="00B85EF9" w:rsidRPr="00904FCB">
        <w:rPr>
          <w:rFonts w:ascii="Times New Roman" w:hAnsi="Times New Roman" w:hint="cs"/>
          <w:sz w:val="27"/>
          <w:rtl/>
        </w:rPr>
        <w:t>َّ</w:t>
      </w:r>
      <w:r w:rsidRPr="00904FCB">
        <w:rPr>
          <w:rFonts w:ascii="Times New Roman" w:hAnsi="Times New Roman"/>
          <w:sz w:val="27"/>
          <w:rtl/>
        </w:rPr>
        <w:t>لت منعطفات</w:t>
      </w:r>
      <w:r w:rsidR="00B85EF9" w:rsidRPr="00904FCB">
        <w:rPr>
          <w:rFonts w:ascii="Times New Roman" w:hAnsi="Times New Roman" w:hint="cs"/>
          <w:sz w:val="27"/>
          <w:rtl/>
        </w:rPr>
        <w:t>ٍ</w:t>
      </w:r>
      <w:r w:rsidRPr="00904FCB">
        <w:rPr>
          <w:rFonts w:ascii="Times New Roman" w:hAnsi="Times New Roman"/>
          <w:sz w:val="27"/>
          <w:rtl/>
        </w:rPr>
        <w:t xml:space="preserve"> أساسية</w:t>
      </w:r>
      <w:r w:rsidR="00B85EF9" w:rsidRPr="00904FCB">
        <w:rPr>
          <w:rFonts w:ascii="Times New Roman" w:hAnsi="Times New Roman" w:hint="cs"/>
          <w:sz w:val="27"/>
          <w:rtl/>
        </w:rPr>
        <w:t>ً</w:t>
      </w:r>
      <w:r w:rsidRPr="00904FCB">
        <w:rPr>
          <w:rFonts w:ascii="Times New Roman" w:hAnsi="Times New Roman"/>
          <w:sz w:val="27"/>
          <w:rtl/>
        </w:rPr>
        <w:t xml:space="preserve"> في حياته</w:t>
      </w:r>
      <w:r w:rsidR="001C1A2A" w:rsidRPr="00904FCB">
        <w:rPr>
          <w:rFonts w:ascii="Times New Roman" w:hAnsi="Times New Roman" w:cs="Mosawi"/>
          <w:sz w:val="27"/>
          <w:szCs w:val="22"/>
          <w:rtl/>
        </w:rPr>
        <w:t>×</w:t>
      </w:r>
      <w:r w:rsidR="00B85EF9" w:rsidRPr="00904FCB">
        <w:rPr>
          <w:rFonts w:ascii="Times New Roman" w:hAnsi="Times New Roman" w:hint="cs"/>
          <w:sz w:val="27"/>
          <w:rtl/>
        </w:rPr>
        <w:t xml:space="preserve">، </w:t>
      </w:r>
      <w:r w:rsidRPr="00904FCB">
        <w:rPr>
          <w:rFonts w:ascii="Times New Roman" w:hAnsi="Times New Roman"/>
          <w:sz w:val="27"/>
          <w:rtl/>
        </w:rPr>
        <w:t xml:space="preserve">وهي: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 xml:space="preserve">الرؤيا الأولى: </w:t>
      </w:r>
      <w:r w:rsidRPr="00904FCB">
        <w:rPr>
          <w:rFonts w:ascii="Times New Roman" w:hAnsi="Times New Roman"/>
          <w:sz w:val="27"/>
          <w:rtl/>
        </w:rPr>
        <w:t>وهي رؤيا شخصي</w:t>
      </w:r>
      <w:r w:rsidR="00B85EF9" w:rsidRPr="00904FCB">
        <w:rPr>
          <w:rFonts w:ascii="Times New Roman" w:hAnsi="Times New Roman" w:hint="cs"/>
          <w:sz w:val="27"/>
          <w:rtl/>
        </w:rPr>
        <w:t>ّ</w:t>
      </w:r>
      <w:r w:rsidRPr="00904FCB">
        <w:rPr>
          <w:rFonts w:ascii="Times New Roman" w:hAnsi="Times New Roman"/>
          <w:sz w:val="27"/>
          <w:rtl/>
        </w:rPr>
        <w:t>ة ليوسف تت</w:t>
      </w:r>
      <w:r w:rsidR="00B85EF9" w:rsidRPr="00904FCB">
        <w:rPr>
          <w:rFonts w:ascii="Times New Roman" w:hAnsi="Times New Roman" w:hint="cs"/>
          <w:sz w:val="27"/>
          <w:rtl/>
        </w:rPr>
        <w:t>ّ</w:t>
      </w:r>
      <w:r w:rsidRPr="00904FCB">
        <w:rPr>
          <w:rFonts w:ascii="Times New Roman" w:hAnsi="Times New Roman"/>
          <w:sz w:val="27"/>
          <w:rtl/>
        </w:rPr>
        <w:t xml:space="preserve">صل به وبمستقبله، حيث رأى في صغره أحد عشر كوكباً والشمس والقمر ساجدين له، قال تعالى: </w:t>
      </w:r>
      <w:r w:rsidRPr="00904FCB">
        <w:rPr>
          <w:rFonts w:ascii="Mosawi" w:hAnsi="Mosawi" w:cs="Mosawi"/>
          <w:sz w:val="24"/>
          <w:szCs w:val="24"/>
          <w:rtl/>
        </w:rPr>
        <w:t>﴿</w:t>
      </w:r>
      <w:r w:rsidR="00B85EF9" w:rsidRPr="00904FCB">
        <w:rPr>
          <w:b/>
          <w:bCs/>
          <w:sz w:val="27"/>
          <w:rtl/>
        </w:rPr>
        <w:t>إِذْ قَالَ يُوسُفُ لأَبِيهِ يَا أَبَتِ إِنِّي رَأَيْتُ أَحَدَ عَشَرَ كَوْكَباً وَالشَّمْسَ وَالْقَمَرَ رَأَيْتُهُمْ لِي سَاجِدِينَ</w:t>
      </w:r>
      <w:r w:rsidRPr="00904FCB">
        <w:rPr>
          <w:rFonts w:ascii="Mosawi" w:hAnsi="Mosawi" w:cs="Mosawi"/>
          <w:sz w:val="24"/>
          <w:szCs w:val="24"/>
          <w:rtl/>
        </w:rPr>
        <w:t>﴾</w:t>
      </w:r>
      <w:r w:rsidR="00B85EF9" w:rsidRPr="00904FCB">
        <w:rPr>
          <w:rFonts w:ascii="Times New Roman" w:hAnsi="Times New Roman" w:hint="cs"/>
          <w:sz w:val="27"/>
          <w:rtl/>
        </w:rPr>
        <w:t>.</w:t>
      </w:r>
      <w:r w:rsidRPr="00904FCB">
        <w:rPr>
          <w:rFonts w:ascii="Times New Roman" w:hAnsi="Times New Roman"/>
          <w:sz w:val="27"/>
          <w:rtl/>
        </w:rPr>
        <w:t xml:space="preserve"> وقد أحسّ والده يعقوب</w:t>
      </w:r>
      <w:r w:rsidR="001C1A2A" w:rsidRPr="00904FCB">
        <w:rPr>
          <w:rFonts w:ascii="Times New Roman" w:hAnsi="Times New Roman" w:cs="Mosawi"/>
          <w:sz w:val="27"/>
          <w:szCs w:val="22"/>
          <w:rtl/>
        </w:rPr>
        <w:t>×</w:t>
      </w:r>
      <w:r w:rsidRPr="00904FCB">
        <w:rPr>
          <w:rFonts w:ascii="Times New Roman" w:hAnsi="Times New Roman"/>
          <w:sz w:val="27"/>
          <w:rtl/>
        </w:rPr>
        <w:t xml:space="preserve"> بأهم</w:t>
      </w:r>
      <w:r w:rsidR="00B85EF9" w:rsidRPr="00904FCB">
        <w:rPr>
          <w:rFonts w:ascii="Times New Roman" w:hAnsi="Times New Roman" w:hint="cs"/>
          <w:sz w:val="27"/>
          <w:rtl/>
        </w:rPr>
        <w:t>ّ</w:t>
      </w:r>
      <w:r w:rsidRPr="00904FCB">
        <w:rPr>
          <w:rFonts w:ascii="Times New Roman" w:hAnsi="Times New Roman"/>
          <w:sz w:val="27"/>
          <w:rtl/>
        </w:rPr>
        <w:t>يّة هذه الرؤيا</w:t>
      </w:r>
      <w:r w:rsidR="00B85EF9" w:rsidRPr="00904FCB">
        <w:rPr>
          <w:rFonts w:ascii="Times New Roman" w:hAnsi="Times New Roman" w:hint="cs"/>
          <w:sz w:val="27"/>
          <w:rtl/>
        </w:rPr>
        <w:t>،</w:t>
      </w:r>
      <w:r w:rsidRPr="00904FCB">
        <w:rPr>
          <w:rFonts w:ascii="Times New Roman" w:hAnsi="Times New Roman"/>
          <w:sz w:val="27"/>
          <w:rtl/>
        </w:rPr>
        <w:t xml:space="preserve"> ودلالتها على المكانة العالية التي سيتب</w:t>
      </w:r>
      <w:r w:rsidRPr="00904FCB">
        <w:rPr>
          <w:rFonts w:ascii="Times New Roman" w:hAnsi="Times New Roman" w:hint="cs"/>
          <w:sz w:val="27"/>
          <w:rtl/>
        </w:rPr>
        <w:t>وّ</w:t>
      </w:r>
      <w:r w:rsidR="00B85EF9" w:rsidRPr="00904FCB">
        <w:rPr>
          <w:rFonts w:ascii="Times New Roman" w:hAnsi="Times New Roman" w:hint="cs"/>
          <w:sz w:val="27"/>
          <w:rtl/>
        </w:rPr>
        <w:t>َ</w:t>
      </w:r>
      <w:r w:rsidRPr="00904FCB">
        <w:rPr>
          <w:rFonts w:ascii="Times New Roman" w:hAnsi="Times New Roman"/>
          <w:sz w:val="27"/>
          <w:rtl/>
        </w:rPr>
        <w:t>ؤها يوسف، فخاف عليه من ح</w:t>
      </w:r>
      <w:r w:rsidR="00B85EF9" w:rsidRPr="00904FCB">
        <w:rPr>
          <w:rFonts w:ascii="Times New Roman" w:hAnsi="Times New Roman" w:hint="cs"/>
          <w:sz w:val="27"/>
          <w:rtl/>
        </w:rPr>
        <w:t>َ</w:t>
      </w:r>
      <w:r w:rsidRPr="00904FCB">
        <w:rPr>
          <w:rFonts w:ascii="Times New Roman" w:hAnsi="Times New Roman"/>
          <w:sz w:val="27"/>
          <w:rtl/>
        </w:rPr>
        <w:t>س</w:t>
      </w:r>
      <w:r w:rsidR="00B85EF9" w:rsidRPr="00904FCB">
        <w:rPr>
          <w:rFonts w:ascii="Times New Roman" w:hAnsi="Times New Roman" w:hint="cs"/>
          <w:sz w:val="27"/>
          <w:rtl/>
        </w:rPr>
        <w:t>َ</w:t>
      </w:r>
      <w:r w:rsidRPr="00904FCB">
        <w:rPr>
          <w:rFonts w:ascii="Times New Roman" w:hAnsi="Times New Roman"/>
          <w:sz w:val="27"/>
          <w:rtl/>
        </w:rPr>
        <w:t>د إخوته وكيدهم، لذا نصح ابنه يوسف</w:t>
      </w:r>
      <w:r w:rsidR="001C1A2A" w:rsidRPr="00904FCB">
        <w:rPr>
          <w:rFonts w:ascii="Times New Roman" w:hAnsi="Times New Roman" w:cs="Mosawi"/>
          <w:sz w:val="27"/>
          <w:szCs w:val="22"/>
          <w:rtl/>
        </w:rPr>
        <w:t>×</w:t>
      </w:r>
      <w:r w:rsidRPr="00904FCB">
        <w:rPr>
          <w:rFonts w:ascii="Times New Roman" w:hAnsi="Times New Roman"/>
          <w:sz w:val="27"/>
          <w:rtl/>
        </w:rPr>
        <w:t xml:space="preserve"> قائلاً: </w:t>
      </w:r>
      <w:r w:rsidRPr="00904FCB">
        <w:rPr>
          <w:rFonts w:ascii="Mosawi" w:hAnsi="Mosawi" w:cs="Mosawi"/>
          <w:sz w:val="24"/>
          <w:szCs w:val="24"/>
          <w:rtl/>
        </w:rPr>
        <w:t>﴿</w:t>
      </w:r>
      <w:r w:rsidR="00935161" w:rsidRPr="00904FCB">
        <w:rPr>
          <w:b/>
          <w:bCs/>
          <w:sz w:val="27"/>
          <w:rtl/>
        </w:rPr>
        <w:t>لاَ تَقْصُصْ رُؤْيَاكَ عَلَى إِخْوَتِكَ فَيَكِيدُوا لَكَ كَيْداً إِنَّ الشَّيْطَانَ لِلإِنسَانِ عَدُوٌّ مُبِينٌ</w:t>
      </w:r>
      <w:r w:rsidRPr="00904FCB">
        <w:rPr>
          <w:rFonts w:ascii="Mosawi" w:hAnsi="Mosawi" w:cs="Mosawi"/>
          <w:sz w:val="24"/>
          <w:szCs w:val="24"/>
          <w:rtl/>
        </w:rPr>
        <w:t>﴾</w:t>
      </w:r>
      <w:r w:rsidR="00935161" w:rsidRPr="00904FCB">
        <w:rPr>
          <w:rFonts w:ascii="Times New Roman" w:hAnsi="Times New Roman" w:hint="cs"/>
          <w:sz w:val="27"/>
          <w:rtl/>
        </w:rPr>
        <w:t>.</w:t>
      </w:r>
      <w:r w:rsidRPr="00904FCB">
        <w:rPr>
          <w:rFonts w:ascii="Times New Roman" w:hAnsi="Times New Roman"/>
          <w:sz w:val="27"/>
          <w:rtl/>
        </w:rPr>
        <w:t xml:space="preserve"> </w:t>
      </w:r>
      <w:r w:rsidRPr="00904FCB">
        <w:rPr>
          <w:rFonts w:ascii="Times New Roman" w:hAnsi="Times New Roman"/>
          <w:sz w:val="27"/>
          <w:rtl/>
        </w:rPr>
        <w:lastRenderedPageBreak/>
        <w:t>وهذه الرؤيا قد صدق</w:t>
      </w:r>
      <w:r w:rsidR="00935161" w:rsidRPr="00904FCB">
        <w:rPr>
          <w:rFonts w:ascii="Times New Roman" w:hAnsi="Times New Roman" w:hint="cs"/>
          <w:sz w:val="27"/>
          <w:rtl/>
        </w:rPr>
        <w:t>َ</w:t>
      </w:r>
      <w:r w:rsidRPr="00904FCB">
        <w:rPr>
          <w:rFonts w:ascii="Times New Roman" w:hAnsi="Times New Roman"/>
          <w:sz w:val="27"/>
          <w:rtl/>
        </w:rPr>
        <w:t>ت</w:t>
      </w:r>
      <w:r w:rsidR="00935161" w:rsidRPr="00904FCB">
        <w:rPr>
          <w:rFonts w:ascii="Times New Roman" w:hAnsi="Times New Roman" w:hint="cs"/>
          <w:sz w:val="27"/>
          <w:rtl/>
        </w:rPr>
        <w:t>ْ</w:t>
      </w:r>
      <w:r w:rsidRPr="00904FCB">
        <w:rPr>
          <w:rFonts w:ascii="Times New Roman" w:hAnsi="Times New Roman"/>
          <w:sz w:val="27"/>
          <w:rtl/>
        </w:rPr>
        <w:t xml:space="preserve"> بعد عشرات السنين</w:t>
      </w:r>
      <w:r w:rsidR="00935161" w:rsidRPr="00904FCB">
        <w:rPr>
          <w:rFonts w:ascii="Times New Roman" w:hAnsi="Times New Roman" w:hint="cs"/>
          <w:sz w:val="27"/>
          <w:rtl/>
        </w:rPr>
        <w:t xml:space="preserve">، </w:t>
      </w:r>
      <w:r w:rsidRPr="00904FCB">
        <w:rPr>
          <w:rFonts w:ascii="Times New Roman" w:hAnsi="Times New Roman"/>
          <w:sz w:val="27"/>
          <w:rtl/>
        </w:rPr>
        <w:t>عندما جاء والد</w:t>
      </w:r>
      <w:r w:rsidR="00935161" w:rsidRPr="00904FCB">
        <w:rPr>
          <w:rFonts w:ascii="Times New Roman" w:hAnsi="Times New Roman" w:hint="cs"/>
          <w:sz w:val="27"/>
          <w:rtl/>
        </w:rPr>
        <w:t>ا</w:t>
      </w:r>
      <w:r w:rsidRPr="00904FCB">
        <w:rPr>
          <w:rFonts w:ascii="Times New Roman" w:hAnsi="Times New Roman"/>
          <w:sz w:val="27"/>
          <w:rtl/>
        </w:rPr>
        <w:t xml:space="preserve"> يوسف وإخوتُه إليه، </w:t>
      </w:r>
      <w:r w:rsidRPr="00904FCB">
        <w:rPr>
          <w:rFonts w:ascii="Mosawi" w:hAnsi="Mosawi" w:cs="Mosawi"/>
          <w:sz w:val="24"/>
          <w:szCs w:val="24"/>
          <w:rtl/>
        </w:rPr>
        <w:t>﴿</w:t>
      </w:r>
      <w:r w:rsidR="00935161" w:rsidRPr="00904FCB">
        <w:rPr>
          <w:b/>
          <w:bCs/>
          <w:sz w:val="27"/>
          <w:rtl/>
        </w:rPr>
        <w:t>وَرَفَعَ أَبَوَيْهِ عَلَى الْعَرْشِ وَخَرُّوا لَهُ سُجَّداً وَقَالَ يَا أَبَتِ هَذَا تَأْوِيلُ رُؤْيَاي مِنْ قَبْلُ قَدْ جَعَلَهَا رَبِّي حَقّاً</w:t>
      </w:r>
      <w:r w:rsidR="00935161" w:rsidRPr="00904FCB">
        <w:rPr>
          <w:rFonts w:ascii="Times New Roman" w:hAnsi="Times New Roman" w:hint="cs"/>
          <w:b/>
          <w:bCs/>
          <w:sz w:val="27"/>
          <w:rtl/>
        </w:rPr>
        <w:t>...</w:t>
      </w:r>
      <w:r w:rsidRPr="00904FCB">
        <w:rPr>
          <w:rFonts w:ascii="Mosawi" w:hAnsi="Mosawi" w:cs="Mosawi"/>
          <w:sz w:val="24"/>
          <w:szCs w:val="24"/>
          <w:rtl/>
        </w:rPr>
        <w:t>﴾</w:t>
      </w:r>
      <w:r w:rsidRPr="00904FCB">
        <w:rPr>
          <w:rFonts w:ascii="Times New Roman" w:hAnsi="Times New Roman"/>
          <w:sz w:val="27"/>
          <w:rtl/>
        </w:rPr>
        <w:t xml:space="preserve"> (يوسف</w:t>
      </w:r>
      <w:r w:rsidR="00554592">
        <w:rPr>
          <w:rFonts w:ascii="Times New Roman" w:hAnsi="Times New Roman" w:hint="cs"/>
          <w:sz w:val="27"/>
          <w:rtl/>
        </w:rPr>
        <w:t>:</w:t>
      </w:r>
      <w:r w:rsidRPr="00904FCB">
        <w:rPr>
          <w:rFonts w:ascii="Times New Roman" w:hAnsi="Times New Roman"/>
          <w:sz w:val="27"/>
          <w:rtl/>
        </w:rPr>
        <w:t xml:space="preserve"> </w:t>
      </w:r>
      <w:r w:rsidRPr="00554592">
        <w:rPr>
          <w:rFonts w:ascii="Times New Roman" w:hAnsi="Times New Roman"/>
          <w:sz w:val="27"/>
          <w:rtl/>
        </w:rPr>
        <w:t>100</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 xml:space="preserve">الرؤيا الثانية: </w:t>
      </w:r>
      <w:r w:rsidRPr="00904FCB">
        <w:rPr>
          <w:rFonts w:ascii="Times New Roman" w:hAnsi="Times New Roman"/>
          <w:sz w:val="27"/>
          <w:rtl/>
        </w:rPr>
        <w:t>رؤيا صاحب</w:t>
      </w:r>
      <w:r w:rsidR="00935161" w:rsidRPr="00904FCB">
        <w:rPr>
          <w:rFonts w:ascii="Times New Roman" w:hAnsi="Times New Roman" w:hint="cs"/>
          <w:sz w:val="27"/>
          <w:rtl/>
        </w:rPr>
        <w:t>َ</w:t>
      </w:r>
      <w:r w:rsidRPr="00904FCB">
        <w:rPr>
          <w:rFonts w:ascii="Times New Roman" w:hAnsi="Times New Roman"/>
          <w:sz w:val="27"/>
          <w:rtl/>
        </w:rPr>
        <w:t>ي</w:t>
      </w:r>
      <w:r w:rsidR="00935161" w:rsidRPr="00904FCB">
        <w:rPr>
          <w:rFonts w:ascii="Times New Roman" w:hAnsi="Times New Roman" w:hint="cs"/>
          <w:sz w:val="27"/>
          <w:rtl/>
        </w:rPr>
        <w:t>ْ</w:t>
      </w:r>
      <w:r w:rsidRPr="00904FCB">
        <w:rPr>
          <w:rFonts w:ascii="Times New Roman" w:hAnsi="Times New Roman"/>
          <w:sz w:val="27"/>
          <w:rtl/>
        </w:rPr>
        <w:t xml:space="preserve"> السجن، قال تعالى: </w:t>
      </w:r>
      <w:r w:rsidRPr="00904FCB">
        <w:rPr>
          <w:rFonts w:ascii="Mosawi" w:hAnsi="Mosawi" w:cs="Mosawi"/>
          <w:sz w:val="24"/>
          <w:szCs w:val="24"/>
          <w:rtl/>
        </w:rPr>
        <w:t>﴿</w:t>
      </w:r>
      <w:r w:rsidR="00935161" w:rsidRPr="00904FCB">
        <w:rPr>
          <w:b/>
          <w:bCs/>
          <w:sz w:val="27"/>
          <w:rtl/>
        </w:rPr>
        <w:t>وَدَخَلَ مَعَهُ السِّجْنَ فَتَيَانِ قَالَ أَحَدُهُمَا إِنِّي أَرَانِي أَعْصِرُ خَمْراً وَقَالَ الآخَرُ إِنِّي أَرَانِي أَحْمِلُ فَوْقَ رَأْسِي خُبْزاً تَأْكُلُ الطَّيْرُ مِنْهُ نَبِّئْنَا ب</w:t>
      </w:r>
      <w:r w:rsidR="00204BF2">
        <w:rPr>
          <w:b/>
          <w:bCs/>
          <w:sz w:val="27"/>
          <w:rtl/>
        </w:rPr>
        <w:t>ِتَأْوِيلِهِ إِنَّا نَرَاكَ مِن</w:t>
      </w:r>
      <w:r w:rsidR="00204BF2">
        <w:rPr>
          <w:rFonts w:hint="cs"/>
          <w:b/>
          <w:bCs/>
          <w:sz w:val="27"/>
          <w:rtl/>
        </w:rPr>
        <w:t>َ</w:t>
      </w:r>
      <w:r w:rsidR="00935161" w:rsidRPr="00904FCB">
        <w:rPr>
          <w:b/>
          <w:bCs/>
          <w:sz w:val="27"/>
          <w:rtl/>
        </w:rPr>
        <w:t xml:space="preserve"> الْمُحْسِنِينَ </w:t>
      </w:r>
      <w:r w:rsidR="00CB140B" w:rsidRPr="00904FCB">
        <w:rPr>
          <w:rFonts w:hint="cs"/>
          <w:b/>
          <w:bCs/>
          <w:sz w:val="27"/>
          <w:rtl/>
        </w:rPr>
        <w:t>*</w:t>
      </w:r>
      <w:r w:rsidR="00935161" w:rsidRPr="00904FCB">
        <w:rPr>
          <w:b/>
          <w:bCs/>
          <w:sz w:val="27"/>
          <w:rtl/>
        </w:rPr>
        <w:t xml:space="preserve"> قَالَ لاَ يَأْتِيكُمَا طَعَامٌ تُرْزَقَانِهِ إِلاَّ نَبَّأْتُكُمَا بِتَأْوِيلِهِ قَبْلَ أَنْ يَأْتِيَكُمَا ذَلِكُمَا مِمَّا عَلَّمَنِي رَبِّي إِنِّي تَرَكْتُ مِلَّةَ قَوْمٍ لاَ يُؤْمِنُونَ بِاللهِ وَهُمْ بِالآخِرَةِ هُمْ كَافِرُونَ</w:t>
      </w:r>
      <w:r w:rsidR="00CB140B" w:rsidRPr="00904FCB">
        <w:rPr>
          <w:rFonts w:ascii="Times New Roman" w:hAnsi="Times New Roman" w:hint="cs"/>
          <w:b/>
          <w:bCs/>
          <w:sz w:val="27"/>
          <w:rtl/>
        </w:rPr>
        <w:t>...</w:t>
      </w:r>
      <w:r w:rsidRPr="00904FCB">
        <w:rPr>
          <w:rFonts w:ascii="Times New Roman" w:hAnsi="Times New Roman"/>
          <w:b/>
          <w:bCs/>
          <w:sz w:val="27"/>
          <w:rtl/>
        </w:rPr>
        <w:t xml:space="preserve"> </w:t>
      </w:r>
      <w:r w:rsidR="00CB140B" w:rsidRPr="00904FCB">
        <w:rPr>
          <w:b/>
          <w:bCs/>
          <w:sz w:val="27"/>
          <w:rtl/>
        </w:rPr>
        <w:t>يَا صَاحِبَيِ السِّجْنِ أَمَّا أَحَدُكُمَا فَيَسْقِي رَبَّهُ خَمْراً وَأَمَّا الآخَرُ فَيُصْلَبُ فَتَأْكُلُ الطَّيْرُ مِنْ رَأْسِهِ قُضِيَ الأَمْرُ الَّذِي فِيهِ تَسْتَفْتِيَانِ</w:t>
      </w:r>
      <w:r w:rsidRPr="00904FCB">
        <w:rPr>
          <w:rFonts w:ascii="Mosawi" w:hAnsi="Mosawi" w:cs="Mosawi"/>
          <w:sz w:val="24"/>
          <w:szCs w:val="24"/>
          <w:rtl/>
        </w:rPr>
        <w:t>﴾</w:t>
      </w:r>
      <w:r w:rsidRPr="00904FCB">
        <w:rPr>
          <w:rFonts w:ascii="Times New Roman" w:hAnsi="Times New Roman"/>
          <w:sz w:val="27"/>
          <w:rtl/>
        </w:rPr>
        <w:t xml:space="preserve"> (يوس</w:t>
      </w:r>
      <w:r w:rsidRPr="00554592">
        <w:rPr>
          <w:rFonts w:ascii="Times New Roman" w:hAnsi="Times New Roman"/>
          <w:sz w:val="27"/>
          <w:rtl/>
        </w:rPr>
        <w:t>ف</w:t>
      </w:r>
      <w:r w:rsidR="00554592">
        <w:rPr>
          <w:rFonts w:ascii="Times New Roman" w:hAnsi="Times New Roman" w:hint="cs"/>
          <w:sz w:val="27"/>
          <w:rtl/>
        </w:rPr>
        <w:t>:</w:t>
      </w:r>
      <w:r w:rsidRPr="00554592">
        <w:rPr>
          <w:rFonts w:ascii="Times New Roman" w:hAnsi="Times New Roman"/>
          <w:sz w:val="27"/>
          <w:rtl/>
        </w:rPr>
        <w:t xml:space="preserve"> 36 ـ 41</w:t>
      </w:r>
      <w:r w:rsidRPr="00904FCB">
        <w:rPr>
          <w:rFonts w:ascii="Times New Roman" w:hAnsi="Times New Roman"/>
          <w:sz w:val="27"/>
          <w:rtl/>
        </w:rPr>
        <w:t>)</w:t>
      </w:r>
      <w:r w:rsidR="00CB140B" w:rsidRPr="00904FCB">
        <w:rPr>
          <w:rFonts w:ascii="Times New Roman" w:hAnsi="Times New Roman" w:hint="cs"/>
          <w:sz w:val="27"/>
          <w:rtl/>
        </w:rPr>
        <w:t>.</w:t>
      </w:r>
      <w:r w:rsidRPr="00904FCB">
        <w:rPr>
          <w:rFonts w:ascii="Times New Roman" w:hAnsi="Times New Roman"/>
          <w:sz w:val="27"/>
          <w:rtl/>
        </w:rPr>
        <w:t xml:space="preserve"> وتعبير رؤيا هذين الشخصين هو الذي مه</w:t>
      </w:r>
      <w:r w:rsidR="00CB140B" w:rsidRPr="00904FCB">
        <w:rPr>
          <w:rFonts w:ascii="Times New Roman" w:hAnsi="Times New Roman" w:hint="cs"/>
          <w:sz w:val="27"/>
          <w:rtl/>
        </w:rPr>
        <w:t>َّ</w:t>
      </w:r>
      <w:r w:rsidR="00CB140B" w:rsidRPr="00904FCB">
        <w:rPr>
          <w:rFonts w:ascii="Times New Roman" w:hAnsi="Times New Roman"/>
          <w:sz w:val="27"/>
          <w:rtl/>
        </w:rPr>
        <w:t>د</w:t>
      </w:r>
      <w:r w:rsidRPr="00904FCB">
        <w:rPr>
          <w:rFonts w:ascii="Times New Roman" w:hAnsi="Times New Roman"/>
          <w:sz w:val="27"/>
          <w:rtl/>
        </w:rPr>
        <w:t xml:space="preserve"> لخروج يوسف</w:t>
      </w:r>
      <w:r w:rsidR="001C1A2A" w:rsidRPr="00904FCB">
        <w:rPr>
          <w:rFonts w:ascii="Times New Roman" w:hAnsi="Times New Roman" w:cs="Mosawi"/>
          <w:sz w:val="27"/>
          <w:szCs w:val="22"/>
          <w:rtl/>
        </w:rPr>
        <w:t>×</w:t>
      </w:r>
      <w:r w:rsidRPr="00904FCB">
        <w:rPr>
          <w:rFonts w:ascii="Times New Roman" w:hAnsi="Times New Roman"/>
          <w:sz w:val="27"/>
          <w:rtl/>
        </w:rPr>
        <w:t xml:space="preserve"> من السجن</w:t>
      </w:r>
      <w:r w:rsidR="00CB140B" w:rsidRPr="00904FCB">
        <w:rPr>
          <w:rFonts w:ascii="Times New Roman" w:hAnsi="Times New Roman" w:hint="cs"/>
          <w:sz w:val="27"/>
          <w:rtl/>
        </w:rPr>
        <w:t>؛</w:t>
      </w:r>
      <w:r w:rsidRPr="00904FCB">
        <w:rPr>
          <w:rFonts w:ascii="Times New Roman" w:hAnsi="Times New Roman"/>
          <w:sz w:val="27"/>
          <w:rtl/>
        </w:rPr>
        <w:t xml:space="preserve"> وذلك لأنّه بعد أن رأى الملك منامه المعروف الآتي</w:t>
      </w:r>
      <w:r w:rsidR="00CB140B" w:rsidRPr="00904FCB">
        <w:rPr>
          <w:rFonts w:ascii="Times New Roman" w:hAnsi="Times New Roman" w:hint="cs"/>
          <w:sz w:val="27"/>
          <w:rtl/>
        </w:rPr>
        <w:t>،</w:t>
      </w:r>
      <w:r w:rsidRPr="00904FCB">
        <w:rPr>
          <w:rFonts w:ascii="Times New Roman" w:hAnsi="Times New Roman"/>
          <w:sz w:val="27"/>
          <w:rtl/>
        </w:rPr>
        <w:t xml:space="preserve"> وعجز المعب</w:t>
      </w:r>
      <w:r w:rsidR="00CB140B" w:rsidRPr="00904FCB">
        <w:rPr>
          <w:rFonts w:ascii="Times New Roman" w:hAnsi="Times New Roman" w:hint="cs"/>
          <w:sz w:val="27"/>
          <w:rtl/>
        </w:rPr>
        <w:t>ِّ</w:t>
      </w:r>
      <w:r w:rsidR="00CB140B" w:rsidRPr="00904FCB">
        <w:rPr>
          <w:rFonts w:ascii="Times New Roman" w:hAnsi="Times New Roman"/>
          <w:sz w:val="27"/>
          <w:rtl/>
        </w:rPr>
        <w:t>ر</w:t>
      </w:r>
      <w:r w:rsidRPr="00904FCB">
        <w:rPr>
          <w:rFonts w:ascii="Times New Roman" w:hAnsi="Times New Roman"/>
          <w:sz w:val="27"/>
          <w:rtl/>
        </w:rPr>
        <w:t>ون عن تأويله، هنا تذكّ</w:t>
      </w:r>
      <w:r w:rsidR="00CB140B" w:rsidRPr="00904FCB">
        <w:rPr>
          <w:rFonts w:ascii="Times New Roman" w:hAnsi="Times New Roman" w:hint="cs"/>
          <w:sz w:val="27"/>
          <w:rtl/>
        </w:rPr>
        <w:t>َ</w:t>
      </w:r>
      <w:r w:rsidRPr="00904FCB">
        <w:rPr>
          <w:rFonts w:ascii="Times New Roman" w:hAnsi="Times New Roman"/>
          <w:sz w:val="27"/>
          <w:rtl/>
        </w:rPr>
        <w:t>ر بعض أعوان الملك ـ وهو الذي كان سابقاً مع يوسف في السجن ـ يوسف</w:t>
      </w:r>
      <w:r w:rsidR="00CB140B" w:rsidRPr="00904FCB">
        <w:rPr>
          <w:rFonts w:ascii="Times New Roman" w:hAnsi="Times New Roman" w:hint="cs"/>
          <w:sz w:val="27"/>
          <w:rtl/>
        </w:rPr>
        <w:t>،</w:t>
      </w:r>
      <w:r w:rsidRPr="00904FCB">
        <w:rPr>
          <w:rFonts w:ascii="Times New Roman" w:hAnsi="Times New Roman"/>
          <w:sz w:val="27"/>
          <w:rtl/>
        </w:rPr>
        <w:t xml:space="preserve"> وأنّه كان قد أوّ</w:t>
      </w:r>
      <w:r w:rsidR="00CB140B" w:rsidRPr="00904FCB">
        <w:rPr>
          <w:rFonts w:ascii="Times New Roman" w:hAnsi="Times New Roman" w:hint="cs"/>
          <w:sz w:val="27"/>
          <w:rtl/>
        </w:rPr>
        <w:t>َ</w:t>
      </w:r>
      <w:r w:rsidRPr="00904FCB">
        <w:rPr>
          <w:rFonts w:ascii="Times New Roman" w:hAnsi="Times New Roman"/>
          <w:sz w:val="27"/>
          <w:rtl/>
        </w:rPr>
        <w:t xml:space="preserve">ل له رؤياه بـ </w:t>
      </w:r>
      <w:r w:rsidRPr="00904FCB">
        <w:rPr>
          <w:rFonts w:hint="eastAsia"/>
          <w:sz w:val="27"/>
          <w:rtl/>
        </w:rPr>
        <w:t>«</w:t>
      </w:r>
      <w:r w:rsidRPr="00904FCB">
        <w:rPr>
          <w:rFonts w:ascii="Times New Roman" w:hAnsi="Times New Roman"/>
          <w:sz w:val="27"/>
          <w:rtl/>
        </w:rPr>
        <w:t>أن</w:t>
      </w:r>
      <w:r w:rsidR="00CB140B" w:rsidRPr="00904FCB">
        <w:rPr>
          <w:rFonts w:ascii="Times New Roman" w:hAnsi="Times New Roman" w:hint="cs"/>
          <w:sz w:val="27"/>
          <w:rtl/>
        </w:rPr>
        <w:t>ّ</w:t>
      </w:r>
      <w:r w:rsidRPr="00904FCB">
        <w:rPr>
          <w:rFonts w:ascii="Times New Roman" w:hAnsi="Times New Roman"/>
          <w:sz w:val="27"/>
          <w:rtl/>
        </w:rPr>
        <w:t>ه يسقي رب</w:t>
      </w:r>
      <w:r w:rsidR="00CB140B" w:rsidRPr="00904FCB">
        <w:rPr>
          <w:rFonts w:ascii="Times New Roman" w:hAnsi="Times New Roman" w:hint="cs"/>
          <w:sz w:val="27"/>
          <w:rtl/>
        </w:rPr>
        <w:t>َّ</w:t>
      </w:r>
      <w:r w:rsidRPr="00904FCB">
        <w:rPr>
          <w:rFonts w:ascii="Times New Roman" w:hAnsi="Times New Roman"/>
          <w:sz w:val="27"/>
          <w:rtl/>
        </w:rPr>
        <w:t>ه خمراً</w:t>
      </w:r>
      <w:r w:rsidRPr="00904FCB">
        <w:rPr>
          <w:rFonts w:hint="eastAsia"/>
          <w:sz w:val="27"/>
          <w:rtl/>
        </w:rPr>
        <w:t>»</w:t>
      </w:r>
      <w:r w:rsidRPr="00904FCB">
        <w:rPr>
          <w:rFonts w:ascii="Times New Roman" w:hAnsi="Times New Roman"/>
          <w:sz w:val="27"/>
          <w:rtl/>
        </w:rPr>
        <w:t xml:space="preserve"> بالخروج من السجن والنجاة، فقال للملك: إن</w:t>
      </w:r>
      <w:r w:rsidR="00CB140B" w:rsidRPr="00904FCB">
        <w:rPr>
          <w:rFonts w:ascii="Times New Roman" w:hAnsi="Times New Roman" w:hint="cs"/>
          <w:sz w:val="27"/>
          <w:rtl/>
        </w:rPr>
        <w:t>ّ</w:t>
      </w:r>
      <w:r w:rsidRPr="00904FCB">
        <w:rPr>
          <w:rFonts w:ascii="Times New Roman" w:hAnsi="Times New Roman"/>
          <w:sz w:val="27"/>
          <w:rtl/>
        </w:rPr>
        <w:t>ي أعرف شخصاً يمتلك قدرة</w:t>
      </w:r>
      <w:r w:rsidR="00CB140B" w:rsidRPr="00904FCB">
        <w:rPr>
          <w:rFonts w:ascii="Times New Roman" w:hAnsi="Times New Roman" w:hint="cs"/>
          <w:sz w:val="27"/>
          <w:rtl/>
        </w:rPr>
        <w:t>ً</w:t>
      </w:r>
      <w:r w:rsidRPr="00904FCB">
        <w:rPr>
          <w:rFonts w:ascii="Times New Roman" w:hAnsi="Times New Roman"/>
          <w:sz w:val="27"/>
          <w:rtl/>
        </w:rPr>
        <w:t xml:space="preserve"> على تأويل رؤياك</w:t>
      </w:r>
      <w:r w:rsidR="00CB140B" w:rsidRPr="00904FCB">
        <w:rPr>
          <w:rFonts w:ascii="Times New Roman" w:hAnsi="Times New Roman" w:hint="cs"/>
          <w:sz w:val="27"/>
          <w:rtl/>
        </w:rPr>
        <w:t>،</w:t>
      </w:r>
      <w:r w:rsidRPr="00904FCB">
        <w:rPr>
          <w:rFonts w:ascii="Times New Roman" w:hAnsi="Times New Roman"/>
          <w:sz w:val="27"/>
          <w:rtl/>
        </w:rPr>
        <w:t xml:space="preserve"> وهو يوسف</w:t>
      </w:r>
      <w:r w:rsidR="00D941EF" w:rsidRPr="00904FCB">
        <w:rPr>
          <w:rFonts w:ascii="Times New Roman" w:hAnsi="Times New Roman" w:hint="cs"/>
          <w:sz w:val="27"/>
          <w:rtl/>
        </w:rPr>
        <w:t>:</w:t>
      </w:r>
      <w:r w:rsidRPr="00904FCB">
        <w:rPr>
          <w:rFonts w:ascii="Times New Roman" w:hAnsi="Times New Roman"/>
          <w:sz w:val="27"/>
          <w:rtl/>
        </w:rPr>
        <w:t xml:space="preserve"> </w:t>
      </w:r>
      <w:r w:rsidRPr="00904FCB">
        <w:rPr>
          <w:rFonts w:ascii="Mosawi" w:hAnsi="Mosawi" w:cs="Mosawi"/>
          <w:sz w:val="24"/>
          <w:szCs w:val="24"/>
          <w:rtl/>
        </w:rPr>
        <w:t>﴿</w:t>
      </w:r>
      <w:r w:rsidR="00D941EF" w:rsidRPr="00904FCB">
        <w:rPr>
          <w:b/>
          <w:bCs/>
          <w:sz w:val="27"/>
          <w:rtl/>
        </w:rPr>
        <w:t>وَقَالَ الَّذِي نَجَا مِنْهُمَا وَادَّكَرَ بَعْدَ أُمَّةٍ أَنَا أُنَبِّئُكُمْ بِتَأْوِيلِهِ فَأَرْسِلُونِ</w:t>
      </w:r>
      <w:r w:rsidRPr="00904FCB">
        <w:rPr>
          <w:rFonts w:ascii="Mosawi" w:hAnsi="Mosawi" w:cs="Mosawi"/>
          <w:sz w:val="24"/>
          <w:szCs w:val="24"/>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 xml:space="preserve">الرؤيا الثالثة: </w:t>
      </w:r>
      <w:r w:rsidRPr="00904FCB">
        <w:rPr>
          <w:rFonts w:ascii="Times New Roman" w:hAnsi="Times New Roman"/>
          <w:sz w:val="27"/>
          <w:rtl/>
        </w:rPr>
        <w:t xml:space="preserve">رؤيا الملك المشار إليها، قال تعالى: </w:t>
      </w:r>
      <w:r w:rsidRPr="00904FCB">
        <w:rPr>
          <w:rFonts w:ascii="Mosawi" w:hAnsi="Mosawi" w:cs="Mosawi"/>
          <w:sz w:val="24"/>
          <w:szCs w:val="24"/>
          <w:rtl/>
        </w:rPr>
        <w:t>﴿</w:t>
      </w:r>
      <w:r w:rsidR="00D941EF" w:rsidRPr="00904FCB">
        <w:rPr>
          <w:b/>
          <w:bCs/>
          <w:sz w:val="27"/>
          <w:rtl/>
        </w:rPr>
        <w:t>وَقَالَ الْمَلِكُ إِنِّي أَرَى سَبْعَ بَقَرَاتٍ سِمَانٍ يَأْكُلُهُنَّ سَبْعٌ عِجَافٌ وَسَبْعَ سُنْبُلاَتٍ خُضْرٍ وَأُخَرَ يَا بِسَاتٍ يَا أَيُّهَا الْمَلأُ أَفْتُونِي فِي رُؤْيَاي إِنْ كُنتُمْ لِلرُّؤْيَا تَعْبُرُونَ</w:t>
      </w:r>
      <w:r w:rsidRPr="00904FCB">
        <w:rPr>
          <w:rFonts w:ascii="Mosawi" w:hAnsi="Mosawi" w:cs="Mosawi"/>
          <w:sz w:val="24"/>
          <w:szCs w:val="24"/>
          <w:rtl/>
        </w:rPr>
        <w:t>﴾</w:t>
      </w:r>
      <w:r w:rsidR="00D941EF" w:rsidRPr="00904FCB">
        <w:rPr>
          <w:rFonts w:ascii="Times New Roman" w:hAnsi="Times New Roman" w:hint="cs"/>
          <w:sz w:val="27"/>
          <w:rtl/>
        </w:rPr>
        <w:t>.</w:t>
      </w:r>
      <w:r w:rsidRPr="00904FCB">
        <w:rPr>
          <w:rFonts w:ascii="Times New Roman" w:hAnsi="Times New Roman"/>
          <w:sz w:val="27"/>
          <w:rtl/>
        </w:rPr>
        <w:t xml:space="preserve"> وهذه الرؤيا هي التي حيّ</w:t>
      </w:r>
      <w:r w:rsidR="00D941EF" w:rsidRPr="00904FCB">
        <w:rPr>
          <w:rFonts w:ascii="Times New Roman" w:hAnsi="Times New Roman" w:hint="cs"/>
          <w:sz w:val="27"/>
          <w:rtl/>
        </w:rPr>
        <w:t>َ</w:t>
      </w:r>
      <w:r w:rsidRPr="00904FCB">
        <w:rPr>
          <w:rFonts w:ascii="Times New Roman" w:hAnsi="Times New Roman"/>
          <w:sz w:val="27"/>
          <w:rtl/>
        </w:rPr>
        <w:t>ر</w:t>
      </w:r>
      <w:r w:rsidR="00D941EF" w:rsidRPr="00904FCB">
        <w:rPr>
          <w:rFonts w:ascii="Times New Roman" w:hAnsi="Times New Roman" w:hint="cs"/>
          <w:sz w:val="27"/>
          <w:rtl/>
        </w:rPr>
        <w:t>َ</w:t>
      </w:r>
      <w:r w:rsidRPr="00904FCB">
        <w:rPr>
          <w:rFonts w:ascii="Times New Roman" w:hAnsi="Times New Roman"/>
          <w:sz w:val="27"/>
          <w:rtl/>
        </w:rPr>
        <w:t>ت</w:t>
      </w:r>
      <w:r w:rsidR="00D941EF" w:rsidRPr="00904FCB">
        <w:rPr>
          <w:rFonts w:ascii="Times New Roman" w:hAnsi="Times New Roman" w:hint="cs"/>
          <w:sz w:val="27"/>
          <w:rtl/>
        </w:rPr>
        <w:t>ْ</w:t>
      </w:r>
      <w:r w:rsidRPr="00904FCB">
        <w:rPr>
          <w:rFonts w:ascii="Times New Roman" w:hAnsi="Times New Roman"/>
          <w:sz w:val="27"/>
          <w:rtl/>
        </w:rPr>
        <w:t xml:space="preserve"> المعب</w:t>
      </w:r>
      <w:r w:rsidR="00D941EF" w:rsidRPr="00904FCB">
        <w:rPr>
          <w:rFonts w:ascii="Times New Roman" w:hAnsi="Times New Roman" w:hint="cs"/>
          <w:sz w:val="27"/>
          <w:rtl/>
        </w:rPr>
        <w:t>ِّ</w:t>
      </w:r>
      <w:r w:rsidRPr="00904FCB">
        <w:rPr>
          <w:rFonts w:ascii="Times New Roman" w:hAnsi="Times New Roman"/>
          <w:sz w:val="27"/>
          <w:rtl/>
        </w:rPr>
        <w:t>رين</w:t>
      </w:r>
      <w:r w:rsidR="00D941EF" w:rsidRPr="00904FCB">
        <w:rPr>
          <w:rFonts w:ascii="Times New Roman" w:hAnsi="Times New Roman" w:hint="cs"/>
          <w:sz w:val="27"/>
          <w:rtl/>
        </w:rPr>
        <w:t>،</w:t>
      </w:r>
      <w:r w:rsidRPr="00904FCB">
        <w:rPr>
          <w:rFonts w:ascii="Times New Roman" w:hAnsi="Times New Roman"/>
          <w:sz w:val="27"/>
          <w:rtl/>
        </w:rPr>
        <w:t xml:space="preserve"> وتاهوا في تفسيرها</w:t>
      </w:r>
      <w:r w:rsidR="00D941EF" w:rsidRPr="00904FCB">
        <w:rPr>
          <w:rFonts w:ascii="Times New Roman" w:hAnsi="Times New Roman" w:hint="cs"/>
          <w:sz w:val="27"/>
          <w:rtl/>
        </w:rPr>
        <w:t>،</w:t>
      </w:r>
      <w:r w:rsidRPr="00904FCB">
        <w:rPr>
          <w:rFonts w:ascii="Times New Roman" w:hAnsi="Times New Roman"/>
          <w:sz w:val="27"/>
          <w:rtl/>
        </w:rPr>
        <w:t xml:space="preserve"> ولم يهتدوا إلى تأويلها، فاس</w:t>
      </w:r>
      <w:r w:rsidR="00D941EF" w:rsidRPr="00904FCB">
        <w:rPr>
          <w:rFonts w:ascii="Times New Roman" w:hAnsi="Times New Roman" w:hint="cs"/>
          <w:sz w:val="27"/>
          <w:rtl/>
        </w:rPr>
        <w:t>ت</w:t>
      </w:r>
      <w:r w:rsidRPr="00904FCB">
        <w:rPr>
          <w:rFonts w:ascii="Times New Roman" w:hAnsi="Times New Roman"/>
          <w:sz w:val="27"/>
          <w:rtl/>
        </w:rPr>
        <w:t>قر</w:t>
      </w:r>
      <w:r w:rsidR="00D941EF" w:rsidRPr="00904FCB">
        <w:rPr>
          <w:rFonts w:ascii="Times New Roman" w:hAnsi="Times New Roman" w:hint="cs"/>
          <w:sz w:val="27"/>
          <w:rtl/>
        </w:rPr>
        <w:t>ّ</w:t>
      </w:r>
      <w:r w:rsidRPr="00904FCB">
        <w:rPr>
          <w:rFonts w:ascii="Times New Roman" w:hAnsi="Times New Roman"/>
          <w:sz w:val="27"/>
          <w:rtl/>
        </w:rPr>
        <w:t xml:space="preserve"> رأيهم على أنّها أضغاث</w:t>
      </w:r>
      <w:r w:rsidR="00D941EF" w:rsidRPr="00904FCB">
        <w:rPr>
          <w:rFonts w:ascii="Times New Roman" w:hAnsi="Times New Roman" w:hint="cs"/>
          <w:sz w:val="27"/>
          <w:rtl/>
        </w:rPr>
        <w:t>ُ</w:t>
      </w:r>
      <w:r w:rsidRPr="00904FCB">
        <w:rPr>
          <w:rFonts w:ascii="Times New Roman" w:hAnsi="Times New Roman"/>
          <w:sz w:val="27"/>
          <w:rtl/>
        </w:rPr>
        <w:t xml:space="preserve"> أحلام، قال تعالى: </w:t>
      </w:r>
      <w:r w:rsidRPr="00904FCB">
        <w:rPr>
          <w:rFonts w:ascii="Mosawi" w:hAnsi="Mosawi" w:cs="Mosawi"/>
          <w:sz w:val="24"/>
          <w:szCs w:val="24"/>
          <w:rtl/>
        </w:rPr>
        <w:t>﴿</w:t>
      </w:r>
      <w:r w:rsidR="00D941EF" w:rsidRPr="00904FCB">
        <w:rPr>
          <w:b/>
          <w:bCs/>
          <w:sz w:val="27"/>
          <w:rtl/>
        </w:rPr>
        <w:t>قَالُوا أَضْغَاثُ أَحْلاَمٍ وَمَا نَحْنُ بِتَأْوِيلِ الأَحْلاَمِ بِعَالِمِينَ</w:t>
      </w:r>
      <w:r w:rsidRPr="00904FCB">
        <w:rPr>
          <w:rFonts w:ascii="Mosawi" w:hAnsi="Mosawi" w:cs="Mosawi"/>
          <w:sz w:val="24"/>
          <w:szCs w:val="24"/>
          <w:rtl/>
        </w:rPr>
        <w:t>﴾</w:t>
      </w:r>
      <w:r w:rsidR="00D941EF" w:rsidRPr="00904FCB">
        <w:rPr>
          <w:rFonts w:ascii="Times New Roman" w:hAnsi="Times New Roman" w:hint="cs"/>
          <w:sz w:val="27"/>
          <w:rtl/>
        </w:rPr>
        <w:t>.</w:t>
      </w:r>
      <w:r w:rsidRPr="00904FCB">
        <w:rPr>
          <w:rFonts w:ascii="Times New Roman" w:hAnsi="Times New Roman"/>
          <w:sz w:val="27"/>
          <w:rtl/>
        </w:rPr>
        <w:t xml:space="preserve"> ولكن</w:t>
      </w:r>
      <w:r w:rsidR="00D941EF" w:rsidRPr="00904FCB">
        <w:rPr>
          <w:rFonts w:ascii="Times New Roman" w:hAnsi="Times New Roman" w:hint="cs"/>
          <w:sz w:val="27"/>
          <w:rtl/>
        </w:rPr>
        <w:t>ّ</w:t>
      </w:r>
      <w:r w:rsidRPr="00904FCB">
        <w:rPr>
          <w:rFonts w:ascii="Times New Roman" w:hAnsi="Times New Roman"/>
          <w:sz w:val="27"/>
          <w:rtl/>
        </w:rPr>
        <w:t xml:space="preserve"> يوسف</w:t>
      </w:r>
      <w:r w:rsidR="001C1A2A" w:rsidRPr="00904FCB">
        <w:rPr>
          <w:rFonts w:ascii="Times New Roman" w:hAnsi="Times New Roman" w:cs="Mosawi"/>
          <w:sz w:val="27"/>
          <w:szCs w:val="22"/>
          <w:rtl/>
        </w:rPr>
        <w:t>×</w:t>
      </w:r>
      <w:r w:rsidRPr="00904FCB">
        <w:rPr>
          <w:rFonts w:ascii="Times New Roman" w:hAnsi="Times New Roman"/>
          <w:sz w:val="27"/>
          <w:rtl/>
        </w:rPr>
        <w:t xml:space="preserve"> بما أتاه الله من علم</w:t>
      </w:r>
      <w:r w:rsidR="00D941EF" w:rsidRPr="00904FCB">
        <w:rPr>
          <w:rFonts w:ascii="Times New Roman" w:hAnsi="Times New Roman" w:hint="cs"/>
          <w:sz w:val="27"/>
          <w:rtl/>
        </w:rPr>
        <w:t>ٍ</w:t>
      </w:r>
      <w:r w:rsidRPr="00904FCB">
        <w:rPr>
          <w:rFonts w:ascii="Times New Roman" w:hAnsi="Times New Roman"/>
          <w:sz w:val="27"/>
          <w:rtl/>
        </w:rPr>
        <w:t xml:space="preserve"> استطاع تأويل رؤيا الملك على النحو التالي: </w:t>
      </w:r>
      <w:r w:rsidRPr="00904FCB">
        <w:rPr>
          <w:rFonts w:ascii="Mosawi" w:hAnsi="Mosawi" w:cs="Mosawi"/>
          <w:sz w:val="24"/>
          <w:szCs w:val="24"/>
          <w:rtl/>
        </w:rPr>
        <w:t>﴿</w:t>
      </w:r>
      <w:r w:rsidR="00D941EF" w:rsidRPr="00904FCB">
        <w:rPr>
          <w:b/>
          <w:bCs/>
          <w:sz w:val="27"/>
          <w:rtl/>
        </w:rPr>
        <w:t xml:space="preserve">قَالَ تَزْرَعُونَ سَبْعَ سِنِينَ دَأَباً فَمَا حَصَدْتُمْ فَذَرُوهُ فِي سُنْبُلِهِ إِلاَّ قَلِيلاً مِمَّا تَأْكُلُونَ </w:t>
      </w:r>
      <w:r w:rsidR="00D941EF" w:rsidRPr="00904FCB">
        <w:rPr>
          <w:rFonts w:hint="cs"/>
          <w:b/>
          <w:bCs/>
          <w:sz w:val="27"/>
          <w:rtl/>
        </w:rPr>
        <w:t>*</w:t>
      </w:r>
      <w:r w:rsidR="00D941EF" w:rsidRPr="00904FCB">
        <w:rPr>
          <w:b/>
          <w:bCs/>
          <w:sz w:val="27"/>
          <w:rtl/>
        </w:rPr>
        <w:t xml:space="preserve"> ثُمَّ يَأْتِي مِنْ بَعْدِ ذَلِكَ سَبْعٌ شِدَادٌ يَأْكُلْنَ مَا قَدَّمْتُمْ لَهُنَّ إِلاَّ قَلِيلاً مِمَّا تُحْصِنُونَ </w:t>
      </w:r>
      <w:r w:rsidR="00D941EF" w:rsidRPr="00904FCB">
        <w:rPr>
          <w:rFonts w:hint="cs"/>
          <w:b/>
          <w:bCs/>
          <w:sz w:val="27"/>
          <w:rtl/>
        </w:rPr>
        <w:t>*</w:t>
      </w:r>
      <w:r w:rsidR="00D941EF" w:rsidRPr="00904FCB">
        <w:rPr>
          <w:b/>
          <w:bCs/>
          <w:sz w:val="27"/>
          <w:rtl/>
        </w:rPr>
        <w:t xml:space="preserve"> ثُمَّ يَأْتِي مِنْ بَعْدِ ذَلِكَ عَامٌ فِيهِ يُغَاثُ النَّاسُ وَفِيهِ يَعْصِرُونَ</w:t>
      </w:r>
      <w:r w:rsidRPr="00904FCB">
        <w:rPr>
          <w:rFonts w:ascii="Mosawi" w:hAnsi="Mosawi" w:cs="Mosawi"/>
          <w:sz w:val="24"/>
          <w:szCs w:val="24"/>
          <w:rtl/>
        </w:rPr>
        <w:t>﴾</w:t>
      </w:r>
      <w:r w:rsidRPr="00904FCB">
        <w:rPr>
          <w:rFonts w:ascii="Times New Roman" w:hAnsi="Times New Roman"/>
          <w:sz w:val="27"/>
          <w:rtl/>
        </w:rPr>
        <w:t xml:space="preserve"> (</w:t>
      </w:r>
      <w:r w:rsidRPr="00554592">
        <w:rPr>
          <w:rFonts w:ascii="Times New Roman" w:hAnsi="Times New Roman"/>
          <w:sz w:val="27"/>
          <w:rtl/>
        </w:rPr>
        <w:t>يوسف</w:t>
      </w:r>
      <w:r w:rsidRPr="00554592">
        <w:rPr>
          <w:rFonts w:ascii="Times New Roman" w:hAnsi="Times New Roman" w:hint="cs"/>
          <w:sz w:val="27"/>
          <w:rtl/>
        </w:rPr>
        <w:t>:</w:t>
      </w:r>
      <w:r w:rsidRPr="00554592">
        <w:rPr>
          <w:rFonts w:ascii="Times New Roman" w:hAnsi="Times New Roman"/>
          <w:sz w:val="27"/>
          <w:rtl/>
        </w:rPr>
        <w:t xml:space="preserve"> 47 ـ 49</w:t>
      </w:r>
      <w:r w:rsidRPr="00904FCB">
        <w:rPr>
          <w:rFonts w:ascii="Times New Roman" w:hAnsi="Times New Roman"/>
          <w:sz w:val="27"/>
          <w:rtl/>
        </w:rPr>
        <w:t>)</w:t>
      </w:r>
      <w:r w:rsidR="00D941EF" w:rsidRPr="00904FCB">
        <w:rPr>
          <w:rFonts w:ascii="Times New Roman" w:hAnsi="Times New Roman" w:hint="cs"/>
          <w:sz w:val="27"/>
          <w:rtl/>
        </w:rPr>
        <w:t>.</w:t>
      </w:r>
      <w:r w:rsidRPr="00904FCB">
        <w:rPr>
          <w:rFonts w:ascii="Times New Roman" w:hAnsi="Times New Roman"/>
          <w:sz w:val="27"/>
          <w:rtl/>
        </w:rPr>
        <w:t xml:space="preserve"> وتعبيرهذه الرؤيا هو الذي أوصل يوسف الصديق إلى سد</w:t>
      </w:r>
      <w:r w:rsidR="00D941EF" w:rsidRPr="00904FCB">
        <w:rPr>
          <w:rFonts w:ascii="Times New Roman" w:hAnsi="Times New Roman" w:hint="cs"/>
          <w:sz w:val="27"/>
          <w:rtl/>
        </w:rPr>
        <w:t>ّ</w:t>
      </w:r>
      <w:r w:rsidRPr="00904FCB">
        <w:rPr>
          <w:rFonts w:ascii="Times New Roman" w:hAnsi="Times New Roman"/>
          <w:sz w:val="27"/>
          <w:rtl/>
        </w:rPr>
        <w:t>ة الحكم</w:t>
      </w:r>
      <w:r w:rsidR="00D941EF" w:rsidRPr="00904FCB">
        <w:rPr>
          <w:rFonts w:ascii="Times New Roman" w:hAnsi="Times New Roman" w:hint="cs"/>
          <w:sz w:val="27"/>
          <w:rtl/>
        </w:rPr>
        <w:t>،</w:t>
      </w:r>
      <w:r w:rsidRPr="00904FCB">
        <w:rPr>
          <w:rFonts w:ascii="Times New Roman" w:hAnsi="Times New Roman"/>
          <w:sz w:val="27"/>
          <w:rtl/>
        </w:rPr>
        <w:t xml:space="preserve"> وقر</w:t>
      </w:r>
      <w:r w:rsidR="00D941EF" w:rsidRPr="00904FCB">
        <w:rPr>
          <w:rFonts w:ascii="Times New Roman" w:hAnsi="Times New Roman" w:hint="cs"/>
          <w:sz w:val="27"/>
          <w:rtl/>
        </w:rPr>
        <w:t>َّ</w:t>
      </w:r>
      <w:r w:rsidR="00D941EF" w:rsidRPr="00904FCB">
        <w:rPr>
          <w:rFonts w:ascii="Times New Roman" w:hAnsi="Times New Roman"/>
          <w:sz w:val="27"/>
          <w:rtl/>
        </w:rPr>
        <w:t>ب</w:t>
      </w:r>
      <w:r w:rsidRPr="00904FCB">
        <w:rPr>
          <w:rFonts w:ascii="Times New Roman" w:hAnsi="Times New Roman"/>
          <w:sz w:val="27"/>
          <w:rtl/>
        </w:rPr>
        <w:t>ه من الملك</w:t>
      </w:r>
      <w:r w:rsidR="00D941EF" w:rsidRPr="00904FCB">
        <w:rPr>
          <w:rFonts w:ascii="Times New Roman" w:hAnsi="Times New Roman" w:hint="cs"/>
          <w:sz w:val="27"/>
          <w:rtl/>
        </w:rPr>
        <w:t>:</w:t>
      </w:r>
      <w:r w:rsidRPr="00904FCB">
        <w:rPr>
          <w:rFonts w:ascii="Times New Roman" w:hAnsi="Times New Roman"/>
          <w:sz w:val="27"/>
          <w:rtl/>
        </w:rPr>
        <w:t xml:space="preserve"> </w:t>
      </w:r>
      <w:r w:rsidRPr="00904FCB">
        <w:rPr>
          <w:rFonts w:ascii="Mosawi" w:hAnsi="Mosawi" w:cs="Mosawi"/>
          <w:sz w:val="24"/>
          <w:szCs w:val="24"/>
          <w:rtl/>
        </w:rPr>
        <w:t>﴿</w:t>
      </w:r>
      <w:r w:rsidR="00247F58" w:rsidRPr="00904FCB">
        <w:rPr>
          <w:b/>
          <w:bCs/>
          <w:sz w:val="27"/>
          <w:rtl/>
        </w:rPr>
        <w:t>وَقَالَ الْمَلِكُ ائْتُونِي بِهِ أَسْتَخْلِصْهُ لِنَفْسِي فَلَمَّا كَلَّمَهُ قَالَ إِنَّكَ الْيَوْمَ لَدَيْنَا مَكِينٌ أَمِينٌ</w:t>
      </w:r>
      <w:r w:rsidRPr="00904FCB">
        <w:rPr>
          <w:rFonts w:ascii="Mosawi" w:hAnsi="Mosawi" w:cs="Mosawi"/>
          <w:sz w:val="24"/>
          <w:szCs w:val="24"/>
          <w:rtl/>
        </w:rPr>
        <w:t>﴾</w:t>
      </w:r>
      <w:r w:rsidRPr="00904FCB">
        <w:rPr>
          <w:rFonts w:ascii="Mosawi" w:hAnsi="Mosawi" w:cs="Mosawi" w:hint="cs"/>
          <w:sz w:val="24"/>
          <w:szCs w:val="24"/>
          <w:rtl/>
        </w:rPr>
        <w:t xml:space="preserve"> </w:t>
      </w:r>
      <w:r w:rsidRPr="00904FCB">
        <w:rPr>
          <w:rFonts w:ascii="Times New Roman" w:hAnsi="Times New Roman"/>
          <w:sz w:val="27"/>
          <w:rtl/>
        </w:rPr>
        <w:t>(</w:t>
      </w:r>
      <w:r w:rsidRPr="00554592">
        <w:rPr>
          <w:rFonts w:ascii="Times New Roman" w:hAnsi="Times New Roman"/>
          <w:sz w:val="27"/>
          <w:rtl/>
        </w:rPr>
        <w:t>يوسف</w:t>
      </w:r>
      <w:r w:rsidRPr="00554592">
        <w:rPr>
          <w:rFonts w:ascii="Times New Roman" w:hAnsi="Times New Roman" w:hint="cs"/>
          <w:sz w:val="27"/>
          <w:rtl/>
        </w:rPr>
        <w:t>:</w:t>
      </w:r>
      <w:r w:rsidRPr="00554592">
        <w:rPr>
          <w:rFonts w:ascii="Times New Roman" w:hAnsi="Times New Roman"/>
          <w:sz w:val="27"/>
          <w:rtl/>
        </w:rPr>
        <w:t xml:space="preserve"> 54</w:t>
      </w:r>
      <w:r w:rsidRPr="00904FCB">
        <w:rPr>
          <w:rFonts w:ascii="Times New Roman" w:hAnsi="Times New Roman"/>
          <w:sz w:val="27"/>
          <w:rtl/>
        </w:rPr>
        <w:t>)</w:t>
      </w:r>
      <w:r w:rsidRPr="00904FCB">
        <w:rPr>
          <w:rFonts w:ascii="Times New Roman" w:hAnsi="Times New Roman" w:hint="cs"/>
          <w:sz w:val="27"/>
          <w:rtl/>
        </w:rPr>
        <w:t>.</w:t>
      </w:r>
      <w:r w:rsidRPr="00904FCB">
        <w:rPr>
          <w:rFonts w:ascii="Times New Roman" w:hAnsi="Times New Roman"/>
          <w:sz w:val="27"/>
          <w:rtl/>
        </w:rPr>
        <w:t xml:space="preserve"> </w:t>
      </w:r>
    </w:p>
    <w:p w:rsidR="00057E24" w:rsidRPr="00904FCB" w:rsidRDefault="00057E24" w:rsidP="007A21AA">
      <w:pPr>
        <w:pStyle w:val="31"/>
        <w:spacing w:line="400" w:lineRule="exact"/>
        <w:rPr>
          <w:color w:val="auto"/>
        </w:rPr>
      </w:pPr>
      <w:r w:rsidRPr="00904FCB">
        <w:rPr>
          <w:color w:val="auto"/>
        </w:rPr>
        <w:lastRenderedPageBreak/>
        <w:t> </w:t>
      </w:r>
      <w:r w:rsidRPr="00904FCB">
        <w:rPr>
          <w:color w:val="auto"/>
          <w:rtl/>
        </w:rPr>
        <w:t>حج</w:t>
      </w:r>
      <w:r w:rsidR="00B518A0" w:rsidRPr="00904FCB">
        <w:rPr>
          <w:rFonts w:hint="cs"/>
          <w:color w:val="auto"/>
          <w:rtl/>
        </w:rPr>
        <w:t>ّ</w:t>
      </w:r>
      <w:r w:rsidRPr="00904FCB">
        <w:rPr>
          <w:color w:val="auto"/>
          <w:rtl/>
        </w:rPr>
        <w:t>ية تعبير الرؤيا</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هذا في</w:t>
      </w:r>
      <w:r w:rsidRPr="00904FCB">
        <w:rPr>
          <w:rFonts w:ascii="Times New Roman" w:hAnsi="Times New Roman" w:hint="cs"/>
          <w:sz w:val="27"/>
          <w:rtl/>
        </w:rPr>
        <w:t xml:space="preserve"> </w:t>
      </w:r>
      <w:r w:rsidRPr="00904FCB">
        <w:rPr>
          <w:rFonts w:ascii="Times New Roman" w:hAnsi="Times New Roman"/>
          <w:sz w:val="27"/>
          <w:rtl/>
        </w:rPr>
        <w:t>ما يت</w:t>
      </w:r>
      <w:r w:rsidRPr="00904FCB">
        <w:rPr>
          <w:rFonts w:ascii="Times New Roman" w:hAnsi="Times New Roman" w:hint="cs"/>
          <w:sz w:val="27"/>
          <w:rtl/>
        </w:rPr>
        <w:t>ّ</w:t>
      </w:r>
      <w:r w:rsidRPr="00904FCB">
        <w:rPr>
          <w:rFonts w:ascii="Times New Roman" w:hAnsi="Times New Roman"/>
          <w:sz w:val="27"/>
          <w:rtl/>
        </w:rPr>
        <w:t>صل بالأنبياء وقدرتهم على تعبير الرؤيا</w:t>
      </w:r>
      <w:r w:rsidR="00247F58" w:rsidRPr="00904FCB">
        <w:rPr>
          <w:rFonts w:ascii="Times New Roman" w:hAnsi="Times New Roman" w:hint="cs"/>
          <w:sz w:val="27"/>
          <w:rtl/>
        </w:rPr>
        <w:t>.</w:t>
      </w:r>
      <w:r w:rsidRPr="00904FCB">
        <w:rPr>
          <w:rFonts w:ascii="Times New Roman" w:hAnsi="Times New Roman"/>
          <w:sz w:val="27"/>
          <w:rtl/>
        </w:rPr>
        <w:t xml:space="preserve"> أمّا غيرهم فهل يمتلك أحد</w:t>
      </w:r>
      <w:r w:rsidR="00247F58" w:rsidRPr="00904FCB">
        <w:rPr>
          <w:rFonts w:ascii="Times New Roman" w:hAnsi="Times New Roman" w:hint="cs"/>
          <w:sz w:val="27"/>
          <w:rtl/>
        </w:rPr>
        <w:t>ٌ</w:t>
      </w:r>
      <w:r w:rsidRPr="00904FCB">
        <w:rPr>
          <w:rFonts w:ascii="Times New Roman" w:hAnsi="Times New Roman"/>
          <w:sz w:val="27"/>
          <w:rtl/>
        </w:rPr>
        <w:t xml:space="preserve"> معرفة تعبير الرؤيا، فيكون تعبيره مصيباً؟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أقول: </w:t>
      </w:r>
      <w:r w:rsidR="00247F58" w:rsidRPr="00904FCB">
        <w:rPr>
          <w:rFonts w:ascii="Times New Roman" w:hAnsi="Times New Roman"/>
          <w:sz w:val="27"/>
          <w:rtl/>
        </w:rPr>
        <w:t>قد يمتلك بعض الناس بصير</w:t>
      </w:r>
      <w:r w:rsidR="00247F58" w:rsidRPr="00904FCB">
        <w:rPr>
          <w:rFonts w:ascii="Times New Roman" w:hAnsi="Times New Roman" w:hint="cs"/>
          <w:sz w:val="27"/>
          <w:rtl/>
        </w:rPr>
        <w:t>ةً</w:t>
      </w:r>
      <w:r w:rsidRPr="00904FCB">
        <w:rPr>
          <w:rFonts w:ascii="Times New Roman" w:hAnsi="Times New Roman"/>
          <w:sz w:val="27"/>
          <w:rtl/>
        </w:rPr>
        <w:t xml:space="preserve"> تؤه</w:t>
      </w:r>
      <w:r w:rsidR="00204BF2">
        <w:rPr>
          <w:rFonts w:ascii="Times New Roman" w:hAnsi="Times New Roman" w:hint="cs"/>
          <w:sz w:val="27"/>
          <w:rtl/>
        </w:rPr>
        <w:t>ِّ</w:t>
      </w:r>
      <w:r w:rsidRPr="00904FCB">
        <w:rPr>
          <w:rFonts w:ascii="Times New Roman" w:hAnsi="Times New Roman"/>
          <w:sz w:val="27"/>
          <w:rtl/>
        </w:rPr>
        <w:t>له لمعرفة الكثير من أسرار المنامات</w:t>
      </w:r>
      <w:r w:rsidR="00247F58" w:rsidRPr="00904FCB">
        <w:rPr>
          <w:rFonts w:ascii="Times New Roman" w:hAnsi="Times New Roman" w:hint="cs"/>
          <w:sz w:val="27"/>
          <w:rtl/>
        </w:rPr>
        <w:t>،</w:t>
      </w:r>
      <w:r w:rsidRPr="00904FCB">
        <w:rPr>
          <w:rFonts w:ascii="Times New Roman" w:hAnsi="Times New Roman"/>
          <w:sz w:val="27"/>
          <w:rtl/>
        </w:rPr>
        <w:t xml:space="preserve"> وتزيده التجربة قدرة على تأويله، ب</w:t>
      </w:r>
      <w:r w:rsidR="00247F58" w:rsidRPr="00904FCB">
        <w:rPr>
          <w:rFonts w:ascii="Times New Roman" w:hAnsi="Times New Roman" w:hint="cs"/>
          <w:sz w:val="27"/>
          <w:rtl/>
        </w:rPr>
        <w:t>َ</w:t>
      </w:r>
      <w:r w:rsidRPr="00904FCB">
        <w:rPr>
          <w:rFonts w:ascii="Times New Roman" w:hAnsi="Times New Roman"/>
          <w:sz w:val="27"/>
          <w:rtl/>
        </w:rPr>
        <w:t>ي</w:t>
      </w:r>
      <w:r w:rsidR="00247F58" w:rsidRPr="00904FCB">
        <w:rPr>
          <w:rFonts w:ascii="Times New Roman" w:hAnsi="Times New Roman" w:hint="cs"/>
          <w:sz w:val="27"/>
          <w:rtl/>
        </w:rPr>
        <w:t>ْ</w:t>
      </w:r>
      <w:r w:rsidRPr="00904FCB">
        <w:rPr>
          <w:rFonts w:ascii="Times New Roman" w:hAnsi="Times New Roman"/>
          <w:sz w:val="27"/>
          <w:rtl/>
        </w:rPr>
        <w:t>د</w:t>
      </w:r>
      <w:r w:rsidR="00247F58" w:rsidRPr="00904FCB">
        <w:rPr>
          <w:rFonts w:ascii="Times New Roman" w:hAnsi="Times New Roman" w:hint="cs"/>
          <w:sz w:val="27"/>
          <w:rtl/>
        </w:rPr>
        <w:t>َ</w:t>
      </w:r>
      <w:r w:rsidRPr="00904FCB">
        <w:rPr>
          <w:rFonts w:ascii="Times New Roman" w:hAnsi="Times New Roman"/>
          <w:sz w:val="27"/>
          <w:rtl/>
        </w:rPr>
        <w:t xml:space="preserve"> أنّ مشكلة التعبير عند غير المعصوم تكمن في أمرين: </w:t>
      </w:r>
    </w:p>
    <w:p w:rsidR="00057E24" w:rsidRPr="00904FCB" w:rsidRDefault="00057E24" w:rsidP="00510A75">
      <w:pPr>
        <w:spacing w:line="400" w:lineRule="exact"/>
        <w:rPr>
          <w:rFonts w:ascii="Times New Roman" w:hAnsi="Times New Roman"/>
          <w:sz w:val="27"/>
        </w:rPr>
      </w:pPr>
      <w:r w:rsidRPr="00904FCB">
        <w:rPr>
          <w:rFonts w:ascii="Times New Roman" w:hAnsi="Times New Roman"/>
          <w:sz w:val="27"/>
        </w:rPr>
        <w:t> </w:t>
      </w:r>
      <w:r w:rsidRPr="00904FCB">
        <w:rPr>
          <w:rFonts w:ascii="Times New Roman" w:hAnsi="Times New Roman"/>
          <w:b/>
          <w:bCs/>
          <w:sz w:val="27"/>
          <w:rtl/>
        </w:rPr>
        <w:t>أو</w:t>
      </w:r>
      <w:r w:rsidR="00247F58" w:rsidRPr="00904FCB">
        <w:rPr>
          <w:rFonts w:ascii="Times New Roman" w:hAnsi="Times New Roman" w:hint="cs"/>
          <w:b/>
          <w:bCs/>
          <w:sz w:val="27"/>
          <w:rtl/>
        </w:rPr>
        <w:t>ّ</w:t>
      </w:r>
      <w:r w:rsidRPr="00904FCB">
        <w:rPr>
          <w:rFonts w:ascii="Times New Roman" w:hAnsi="Times New Roman"/>
          <w:b/>
          <w:bCs/>
          <w:sz w:val="27"/>
          <w:rtl/>
        </w:rPr>
        <w:t xml:space="preserve">لاً: </w:t>
      </w:r>
      <w:r w:rsidRPr="00904FCB">
        <w:rPr>
          <w:rFonts w:ascii="Times New Roman" w:hAnsi="Times New Roman"/>
          <w:sz w:val="27"/>
          <w:rtl/>
        </w:rPr>
        <w:t>في أنّ تعبير الرؤيا يعتمد على الح</w:t>
      </w:r>
      <w:r w:rsidR="00247F58" w:rsidRPr="00904FCB">
        <w:rPr>
          <w:rFonts w:ascii="Times New Roman" w:hAnsi="Times New Roman" w:hint="cs"/>
          <w:sz w:val="27"/>
          <w:rtl/>
        </w:rPr>
        <w:t>َ</w:t>
      </w:r>
      <w:r w:rsidRPr="00904FCB">
        <w:rPr>
          <w:rFonts w:ascii="Times New Roman" w:hAnsi="Times New Roman"/>
          <w:sz w:val="27"/>
          <w:rtl/>
        </w:rPr>
        <w:t>د</w:t>
      </w:r>
      <w:r w:rsidR="00247F58" w:rsidRPr="00904FCB">
        <w:rPr>
          <w:rFonts w:ascii="Times New Roman" w:hAnsi="Times New Roman" w:hint="cs"/>
          <w:sz w:val="27"/>
          <w:rtl/>
        </w:rPr>
        <w:t>ْ</w:t>
      </w:r>
      <w:r w:rsidRPr="00904FCB">
        <w:rPr>
          <w:rFonts w:ascii="Times New Roman" w:hAnsi="Times New Roman"/>
          <w:sz w:val="27"/>
          <w:rtl/>
        </w:rPr>
        <w:t>س والتخمين</w:t>
      </w:r>
      <w:r w:rsidR="00247F58" w:rsidRPr="00904FCB">
        <w:rPr>
          <w:rFonts w:ascii="Times New Roman" w:hAnsi="Times New Roman" w:hint="cs"/>
          <w:sz w:val="27"/>
          <w:rtl/>
        </w:rPr>
        <w:t>.</w:t>
      </w:r>
      <w:r w:rsidRPr="00904FCB">
        <w:rPr>
          <w:rFonts w:ascii="Times New Roman" w:hAnsi="Times New Roman"/>
          <w:sz w:val="27"/>
          <w:rtl/>
        </w:rPr>
        <w:t xml:space="preserve"> صحيح</w:t>
      </w:r>
      <w:r w:rsidR="00247F58" w:rsidRPr="00904FCB">
        <w:rPr>
          <w:rFonts w:ascii="Times New Roman" w:hAnsi="Times New Roman" w:hint="cs"/>
          <w:sz w:val="27"/>
          <w:rtl/>
        </w:rPr>
        <w:t>ٌ</w:t>
      </w:r>
      <w:r w:rsidRPr="00904FCB">
        <w:rPr>
          <w:rFonts w:ascii="Times New Roman" w:hAnsi="Times New Roman"/>
          <w:sz w:val="27"/>
          <w:rtl/>
        </w:rPr>
        <w:t xml:space="preserve"> أنّ الخبرة تلعب دوراً في هذا المجال، ما يسمح بالتعرّ</w:t>
      </w:r>
      <w:r w:rsidR="00247F58" w:rsidRPr="00904FCB">
        <w:rPr>
          <w:rFonts w:ascii="Times New Roman" w:hAnsi="Times New Roman" w:hint="cs"/>
          <w:sz w:val="27"/>
          <w:rtl/>
        </w:rPr>
        <w:t>ُ</w:t>
      </w:r>
      <w:r w:rsidRPr="00904FCB">
        <w:rPr>
          <w:rFonts w:ascii="Times New Roman" w:hAnsi="Times New Roman"/>
          <w:sz w:val="27"/>
          <w:rtl/>
        </w:rPr>
        <w:t>ف على فك</w:t>
      </w:r>
      <w:r w:rsidR="00247F58" w:rsidRPr="00904FCB">
        <w:rPr>
          <w:rFonts w:ascii="Times New Roman" w:hAnsi="Times New Roman" w:hint="cs"/>
          <w:sz w:val="27"/>
          <w:rtl/>
        </w:rPr>
        <w:t>ّ</w:t>
      </w:r>
      <w:r w:rsidRPr="00904FCB">
        <w:rPr>
          <w:rFonts w:ascii="Times New Roman" w:hAnsi="Times New Roman"/>
          <w:sz w:val="27"/>
          <w:rtl/>
        </w:rPr>
        <w:t xml:space="preserve"> رموز المنام</w:t>
      </w:r>
      <w:r w:rsidR="00247F58" w:rsidRPr="00904FCB">
        <w:rPr>
          <w:rFonts w:ascii="Times New Roman" w:hAnsi="Times New Roman" w:hint="cs"/>
          <w:sz w:val="27"/>
          <w:rtl/>
        </w:rPr>
        <w:t>،</w:t>
      </w:r>
      <w:r w:rsidRPr="00904FCB">
        <w:rPr>
          <w:rFonts w:ascii="Times New Roman" w:hAnsi="Times New Roman"/>
          <w:sz w:val="27"/>
          <w:rtl/>
        </w:rPr>
        <w:t xml:space="preserve"> والتعر</w:t>
      </w:r>
      <w:r w:rsidR="00247F58" w:rsidRPr="00904FCB">
        <w:rPr>
          <w:rFonts w:ascii="Times New Roman" w:hAnsi="Times New Roman" w:hint="cs"/>
          <w:sz w:val="27"/>
          <w:rtl/>
        </w:rPr>
        <w:t>ُّ</w:t>
      </w:r>
      <w:r w:rsidRPr="00904FCB">
        <w:rPr>
          <w:rFonts w:ascii="Times New Roman" w:hAnsi="Times New Roman"/>
          <w:sz w:val="27"/>
          <w:rtl/>
        </w:rPr>
        <w:t>ف على دلالاته من خلال مقارنات معي</w:t>
      </w:r>
      <w:r w:rsidR="00247F58" w:rsidRPr="00904FCB">
        <w:rPr>
          <w:rFonts w:ascii="Times New Roman" w:hAnsi="Times New Roman" w:hint="cs"/>
          <w:sz w:val="27"/>
          <w:rtl/>
        </w:rPr>
        <w:t>َّ</w:t>
      </w:r>
      <w:r w:rsidRPr="00904FCB">
        <w:rPr>
          <w:rFonts w:ascii="Times New Roman" w:hAnsi="Times New Roman"/>
          <w:sz w:val="27"/>
          <w:rtl/>
        </w:rPr>
        <w:t>نة ومناسبات خفي</w:t>
      </w:r>
      <w:r w:rsidR="00247F58" w:rsidRPr="00904FCB">
        <w:rPr>
          <w:rFonts w:ascii="Times New Roman" w:hAnsi="Times New Roman" w:hint="cs"/>
          <w:sz w:val="27"/>
          <w:rtl/>
        </w:rPr>
        <w:t>ّ</w:t>
      </w:r>
      <w:r w:rsidRPr="00904FCB">
        <w:rPr>
          <w:rFonts w:ascii="Times New Roman" w:hAnsi="Times New Roman"/>
          <w:sz w:val="27"/>
          <w:rtl/>
        </w:rPr>
        <w:t>ة وإشارات رمزي</w:t>
      </w:r>
      <w:r w:rsidR="00247F58" w:rsidRPr="00904FCB">
        <w:rPr>
          <w:rFonts w:ascii="Times New Roman" w:hAnsi="Times New Roman" w:hint="cs"/>
          <w:sz w:val="27"/>
          <w:rtl/>
        </w:rPr>
        <w:t>ّ</w:t>
      </w:r>
      <w:r w:rsidRPr="00904FCB">
        <w:rPr>
          <w:rFonts w:ascii="Times New Roman" w:hAnsi="Times New Roman"/>
          <w:sz w:val="27"/>
          <w:rtl/>
        </w:rPr>
        <w:t>ة، ولكن</w:t>
      </w:r>
      <w:r w:rsidR="00247F58" w:rsidRPr="00904FCB">
        <w:rPr>
          <w:rFonts w:ascii="Times New Roman" w:hAnsi="Times New Roman" w:hint="cs"/>
          <w:sz w:val="27"/>
          <w:rtl/>
        </w:rPr>
        <w:t>ْ</w:t>
      </w:r>
      <w:r w:rsidRPr="00904FCB">
        <w:rPr>
          <w:rFonts w:ascii="Times New Roman" w:hAnsi="Times New Roman"/>
          <w:sz w:val="27"/>
          <w:rtl/>
        </w:rPr>
        <w:t xml:space="preserve"> مع ذلك فإنّ </w:t>
      </w:r>
      <w:r w:rsidRPr="00904FCB">
        <w:rPr>
          <w:rFonts w:hint="eastAsia"/>
          <w:sz w:val="27"/>
          <w:rtl/>
        </w:rPr>
        <w:t>«</w:t>
      </w:r>
      <w:r w:rsidRPr="00904FCB">
        <w:rPr>
          <w:rFonts w:ascii="Times New Roman" w:hAnsi="Times New Roman"/>
          <w:sz w:val="27"/>
          <w:rtl/>
        </w:rPr>
        <w:t>التعبير</w:t>
      </w:r>
      <w:r w:rsidRPr="00904FCB">
        <w:rPr>
          <w:rFonts w:hint="eastAsia"/>
          <w:sz w:val="27"/>
          <w:rtl/>
        </w:rPr>
        <w:t>»</w:t>
      </w:r>
      <w:r w:rsidRPr="00904FCB">
        <w:rPr>
          <w:rFonts w:ascii="Times New Roman" w:hAnsi="Times New Roman"/>
          <w:sz w:val="27"/>
          <w:rtl/>
        </w:rPr>
        <w:t xml:space="preserve"> لا يمتلك حج</w:t>
      </w:r>
      <w:r w:rsidR="00247F58" w:rsidRPr="00904FCB">
        <w:rPr>
          <w:rFonts w:ascii="Times New Roman" w:hAnsi="Times New Roman" w:hint="cs"/>
          <w:sz w:val="27"/>
          <w:rtl/>
        </w:rPr>
        <w:t>ّ</w:t>
      </w:r>
      <w:r w:rsidRPr="00904FCB">
        <w:rPr>
          <w:rFonts w:ascii="Times New Roman" w:hAnsi="Times New Roman"/>
          <w:sz w:val="27"/>
          <w:rtl/>
        </w:rPr>
        <w:t>ية شرعية، فيما لو كان المنام ذا صلة</w:t>
      </w:r>
      <w:r w:rsidR="00247F58" w:rsidRPr="00904FCB">
        <w:rPr>
          <w:rFonts w:ascii="Times New Roman" w:hAnsi="Times New Roman" w:hint="cs"/>
          <w:sz w:val="27"/>
          <w:rtl/>
        </w:rPr>
        <w:t>ٍ</w:t>
      </w:r>
      <w:r w:rsidRPr="00904FCB">
        <w:rPr>
          <w:rFonts w:ascii="Times New Roman" w:hAnsi="Times New Roman"/>
          <w:sz w:val="27"/>
          <w:rtl/>
        </w:rPr>
        <w:t xml:space="preserve"> بأمر شرعي</w:t>
      </w:r>
      <w:r w:rsidR="00247F58" w:rsidRPr="00904FCB">
        <w:rPr>
          <w:rFonts w:ascii="Times New Roman" w:hAnsi="Times New Roman" w:hint="cs"/>
          <w:sz w:val="27"/>
          <w:rtl/>
        </w:rPr>
        <w:t>؛</w:t>
      </w:r>
      <w:r w:rsidRPr="00904FCB">
        <w:rPr>
          <w:rFonts w:ascii="Times New Roman" w:hAnsi="Times New Roman"/>
          <w:sz w:val="27"/>
          <w:rtl/>
        </w:rPr>
        <w:t xml:space="preserve"> لما قلناه من أن التعبير لا يفيد اليقين والعلم، وإنما هو محفوف دائماً بالح</w:t>
      </w:r>
      <w:r w:rsidR="00247F58" w:rsidRPr="00904FCB">
        <w:rPr>
          <w:rFonts w:ascii="Times New Roman" w:hAnsi="Times New Roman" w:hint="cs"/>
          <w:sz w:val="27"/>
          <w:rtl/>
        </w:rPr>
        <w:t>َ</w:t>
      </w:r>
      <w:r w:rsidRPr="00904FCB">
        <w:rPr>
          <w:rFonts w:ascii="Times New Roman" w:hAnsi="Times New Roman"/>
          <w:sz w:val="27"/>
          <w:rtl/>
        </w:rPr>
        <w:t>د</w:t>
      </w:r>
      <w:r w:rsidR="00247F58" w:rsidRPr="00904FCB">
        <w:rPr>
          <w:rFonts w:ascii="Times New Roman" w:hAnsi="Times New Roman" w:hint="cs"/>
          <w:sz w:val="27"/>
          <w:rtl/>
        </w:rPr>
        <w:t>ْ</w:t>
      </w:r>
      <w:r w:rsidRPr="00904FCB">
        <w:rPr>
          <w:rFonts w:ascii="Times New Roman" w:hAnsi="Times New Roman"/>
          <w:sz w:val="27"/>
          <w:rtl/>
        </w:rPr>
        <w:t>س والتخمين</w:t>
      </w:r>
      <w:r w:rsidR="00247F58" w:rsidRPr="00904FCB">
        <w:rPr>
          <w:rFonts w:ascii="Times New Roman" w:hAnsi="Times New Roman" w:hint="cs"/>
          <w:sz w:val="27"/>
          <w:rtl/>
        </w:rPr>
        <w:t>؛</w:t>
      </w:r>
      <w:r w:rsidRPr="00904FCB">
        <w:rPr>
          <w:rFonts w:ascii="Times New Roman" w:hAnsi="Times New Roman"/>
          <w:sz w:val="27"/>
          <w:rtl/>
        </w:rPr>
        <w:t xml:space="preserve"> إم</w:t>
      </w:r>
      <w:r w:rsidR="00247F58" w:rsidRPr="00904FCB">
        <w:rPr>
          <w:rFonts w:ascii="Times New Roman" w:hAnsi="Times New Roman" w:hint="cs"/>
          <w:sz w:val="27"/>
          <w:rtl/>
        </w:rPr>
        <w:t>ّ</w:t>
      </w:r>
      <w:r w:rsidR="00247F58" w:rsidRPr="00904FCB">
        <w:rPr>
          <w:rFonts w:ascii="Times New Roman" w:hAnsi="Times New Roman"/>
          <w:sz w:val="27"/>
          <w:rtl/>
        </w:rPr>
        <w:t>ا لأنّ المُعب</w:t>
      </w:r>
      <w:r w:rsidR="00247F58" w:rsidRPr="00904FCB">
        <w:rPr>
          <w:rFonts w:ascii="Times New Roman" w:hAnsi="Times New Roman" w:hint="cs"/>
          <w:sz w:val="27"/>
          <w:rtl/>
        </w:rPr>
        <w:t>ِّ</w:t>
      </w:r>
      <w:r w:rsidRPr="00904FCB">
        <w:rPr>
          <w:rFonts w:ascii="Times New Roman" w:hAnsi="Times New Roman"/>
          <w:sz w:val="27"/>
          <w:rtl/>
        </w:rPr>
        <w:t>ر لم يستطع فك</w:t>
      </w:r>
      <w:r w:rsidR="00247F58" w:rsidRPr="00904FCB">
        <w:rPr>
          <w:rFonts w:ascii="Times New Roman" w:hAnsi="Times New Roman" w:hint="cs"/>
          <w:sz w:val="27"/>
          <w:rtl/>
        </w:rPr>
        <w:t>ّ</w:t>
      </w:r>
      <w:r w:rsidRPr="00904FCB">
        <w:rPr>
          <w:rFonts w:ascii="Times New Roman" w:hAnsi="Times New Roman"/>
          <w:sz w:val="27"/>
          <w:rtl/>
        </w:rPr>
        <w:t xml:space="preserve"> رموز الرؤيا</w:t>
      </w:r>
      <w:r w:rsidR="00247F58" w:rsidRPr="00904FCB">
        <w:rPr>
          <w:rFonts w:ascii="Times New Roman" w:hAnsi="Times New Roman" w:hint="cs"/>
          <w:sz w:val="27"/>
          <w:rtl/>
        </w:rPr>
        <w:t>؛</w:t>
      </w:r>
      <w:r w:rsidRPr="00904FCB">
        <w:rPr>
          <w:rFonts w:ascii="Times New Roman" w:hAnsi="Times New Roman"/>
          <w:sz w:val="27"/>
          <w:rtl/>
        </w:rPr>
        <w:t xml:space="preserve"> وإم</w:t>
      </w:r>
      <w:r w:rsidR="00247F58" w:rsidRPr="00904FCB">
        <w:rPr>
          <w:rFonts w:ascii="Times New Roman" w:hAnsi="Times New Roman" w:hint="cs"/>
          <w:sz w:val="27"/>
          <w:rtl/>
        </w:rPr>
        <w:t>ّ</w:t>
      </w:r>
      <w:r w:rsidRPr="00904FCB">
        <w:rPr>
          <w:rFonts w:ascii="Times New Roman" w:hAnsi="Times New Roman"/>
          <w:sz w:val="27"/>
          <w:rtl/>
        </w:rPr>
        <w:t>ا لأنّ صاحب الرؤيا لم ي</w:t>
      </w:r>
      <w:r w:rsidR="00247F58" w:rsidRPr="00904FCB">
        <w:rPr>
          <w:rFonts w:ascii="Times New Roman" w:hAnsi="Times New Roman" w:hint="cs"/>
          <w:sz w:val="27"/>
          <w:rtl/>
        </w:rPr>
        <w:t>َ</w:t>
      </w:r>
      <w:r w:rsidRPr="00904FCB">
        <w:rPr>
          <w:rFonts w:ascii="Times New Roman" w:hAnsi="Times New Roman"/>
          <w:sz w:val="27"/>
          <w:rtl/>
        </w:rPr>
        <w:t>ر</w:t>
      </w:r>
      <w:r w:rsidR="00247F58" w:rsidRPr="00904FCB">
        <w:rPr>
          <w:rFonts w:ascii="Times New Roman" w:hAnsi="Times New Roman" w:hint="cs"/>
          <w:sz w:val="27"/>
          <w:rtl/>
        </w:rPr>
        <w:t>ْ</w:t>
      </w:r>
      <w:r w:rsidRPr="00904FCB">
        <w:rPr>
          <w:rFonts w:ascii="Times New Roman" w:hAnsi="Times New Roman"/>
          <w:sz w:val="27"/>
          <w:rtl/>
        </w:rPr>
        <w:t>و</w:t>
      </w:r>
      <w:r w:rsidR="00247F58" w:rsidRPr="00904FCB">
        <w:rPr>
          <w:rFonts w:ascii="Times New Roman" w:hAnsi="Times New Roman" w:hint="cs"/>
          <w:sz w:val="27"/>
          <w:rtl/>
        </w:rPr>
        <w:t>ِ</w:t>
      </w:r>
      <w:r w:rsidRPr="00904FCB">
        <w:rPr>
          <w:rFonts w:ascii="Times New Roman" w:hAnsi="Times New Roman"/>
          <w:sz w:val="27"/>
          <w:rtl/>
        </w:rPr>
        <w:t>ها لنا بشكل</w:t>
      </w:r>
      <w:r w:rsidR="00247F58" w:rsidRPr="00904FCB">
        <w:rPr>
          <w:rFonts w:ascii="Times New Roman" w:hAnsi="Times New Roman" w:hint="cs"/>
          <w:sz w:val="27"/>
          <w:rtl/>
        </w:rPr>
        <w:t>ٍ</w:t>
      </w:r>
      <w:r w:rsidRPr="00904FCB">
        <w:rPr>
          <w:rFonts w:ascii="Times New Roman" w:hAnsi="Times New Roman"/>
          <w:sz w:val="27"/>
          <w:rtl/>
        </w:rPr>
        <w:t xml:space="preserve"> دقيق</w:t>
      </w:r>
      <w:r w:rsidR="00247F58" w:rsidRPr="00904FCB">
        <w:rPr>
          <w:rFonts w:ascii="Times New Roman" w:hAnsi="Times New Roman" w:hint="cs"/>
          <w:sz w:val="27"/>
          <w:rtl/>
        </w:rPr>
        <w:t>؛</w:t>
      </w:r>
      <w:r w:rsidRPr="00904FCB">
        <w:rPr>
          <w:rFonts w:ascii="Times New Roman" w:hAnsi="Times New Roman"/>
          <w:sz w:val="27"/>
          <w:rtl/>
        </w:rPr>
        <w:t xml:space="preserve"> إذ غالباً ما تغيب بعض تفاصيل المنام عن أذهاننا، ومع ظن</w:t>
      </w:r>
      <w:r w:rsidR="00247F58" w:rsidRPr="00904FCB">
        <w:rPr>
          <w:rFonts w:ascii="Times New Roman" w:hAnsi="Times New Roman" w:hint="cs"/>
          <w:sz w:val="27"/>
          <w:rtl/>
        </w:rPr>
        <w:t>ّ</w:t>
      </w:r>
      <w:r w:rsidRPr="00904FCB">
        <w:rPr>
          <w:rFonts w:ascii="Times New Roman" w:hAnsi="Times New Roman"/>
          <w:sz w:val="27"/>
          <w:rtl/>
        </w:rPr>
        <w:t>ية التعبير فمن الطبيعي أن لا يكون التعبير حج</w:t>
      </w:r>
      <w:r w:rsidR="008C0693" w:rsidRPr="00904FCB">
        <w:rPr>
          <w:rFonts w:ascii="Times New Roman" w:hAnsi="Times New Roman" w:hint="cs"/>
          <w:sz w:val="27"/>
          <w:rtl/>
        </w:rPr>
        <w:t>ّ</w:t>
      </w:r>
      <w:r w:rsidRPr="00904FCB">
        <w:rPr>
          <w:rFonts w:ascii="Times New Roman" w:hAnsi="Times New Roman"/>
          <w:sz w:val="27"/>
          <w:rtl/>
        </w:rPr>
        <w:t xml:space="preserve">ة، وقد قال تعالى: </w:t>
      </w:r>
      <w:r w:rsidRPr="00904FCB">
        <w:rPr>
          <w:rFonts w:ascii="Mosawi" w:hAnsi="Mosawi" w:cs="Mosawi"/>
          <w:sz w:val="24"/>
          <w:szCs w:val="24"/>
          <w:rtl/>
        </w:rPr>
        <w:t>﴿</w:t>
      </w:r>
      <w:r w:rsidR="008C0693" w:rsidRPr="00904FCB">
        <w:rPr>
          <w:b/>
          <w:bCs/>
          <w:sz w:val="27"/>
          <w:rtl/>
        </w:rPr>
        <w:t>وَلاَ تَقْفُ مَا لَيْسَ لَكَ بِهِ عِلْمٌ</w:t>
      </w:r>
      <w:r w:rsidRPr="00904FCB">
        <w:rPr>
          <w:rFonts w:ascii="Mosawi" w:hAnsi="Mosawi" w:cs="Mosawi"/>
          <w:sz w:val="24"/>
          <w:szCs w:val="24"/>
          <w:rtl/>
        </w:rPr>
        <w:t>﴾</w:t>
      </w:r>
      <w:r w:rsidR="008C0693" w:rsidRPr="00904FCB">
        <w:rPr>
          <w:rFonts w:ascii="Times New Roman" w:hAnsi="Times New Roman" w:hint="cs"/>
          <w:sz w:val="27"/>
          <w:rtl/>
        </w:rPr>
        <w:t>.</w:t>
      </w:r>
      <w:r w:rsidRPr="00904FCB">
        <w:rPr>
          <w:rFonts w:ascii="Times New Roman" w:hAnsi="Times New Roman"/>
          <w:sz w:val="27"/>
          <w:rtl/>
        </w:rPr>
        <w:t xml:space="preserve"> ولذا فكما أنّ المنام ليس حج</w:t>
      </w:r>
      <w:r w:rsidR="008C0693" w:rsidRPr="00904FCB">
        <w:rPr>
          <w:rFonts w:ascii="Times New Roman" w:hAnsi="Times New Roman" w:hint="cs"/>
          <w:sz w:val="27"/>
          <w:rtl/>
        </w:rPr>
        <w:t>ّ</w:t>
      </w:r>
      <w:r w:rsidRPr="00904FCB">
        <w:rPr>
          <w:rFonts w:ascii="Times New Roman" w:hAnsi="Times New Roman"/>
          <w:sz w:val="27"/>
          <w:rtl/>
        </w:rPr>
        <w:t>ة</w:t>
      </w:r>
      <w:r w:rsidR="008C0693" w:rsidRPr="00904FCB">
        <w:rPr>
          <w:rFonts w:ascii="Times New Roman" w:hAnsi="Times New Roman" w:hint="cs"/>
          <w:sz w:val="27"/>
          <w:rtl/>
        </w:rPr>
        <w:t>ً</w:t>
      </w:r>
      <w:r w:rsidRPr="00904FCB">
        <w:rPr>
          <w:rFonts w:ascii="Times New Roman" w:hAnsi="Times New Roman"/>
          <w:sz w:val="27"/>
          <w:rtl/>
        </w:rPr>
        <w:t xml:space="preserve"> شرعاً فكذلك تعبيره، ومن هنا يُفترض بالشخص المُعب</w:t>
      </w:r>
      <w:r w:rsidR="00BF0C8C" w:rsidRPr="00904FCB">
        <w:rPr>
          <w:rFonts w:ascii="Times New Roman" w:hAnsi="Times New Roman" w:hint="cs"/>
          <w:sz w:val="27"/>
          <w:rtl/>
        </w:rPr>
        <w:t>ِّ</w:t>
      </w:r>
      <w:r w:rsidRPr="00904FCB">
        <w:rPr>
          <w:rFonts w:ascii="Times New Roman" w:hAnsi="Times New Roman"/>
          <w:sz w:val="27"/>
          <w:rtl/>
        </w:rPr>
        <w:t>ر أن لا يجزم في تعبيره وتأويله للمنام</w:t>
      </w:r>
      <w:r w:rsidR="00BF0C8C" w:rsidRPr="00904FCB">
        <w:rPr>
          <w:rFonts w:ascii="Times New Roman" w:hAnsi="Times New Roman" w:hint="cs"/>
          <w:sz w:val="27"/>
          <w:rtl/>
        </w:rPr>
        <w:t>.</w:t>
      </w:r>
      <w:r w:rsidRPr="00904FCB">
        <w:rPr>
          <w:rFonts w:ascii="Times New Roman" w:hAnsi="Times New Roman"/>
          <w:sz w:val="27"/>
          <w:rtl/>
        </w:rPr>
        <w:t xml:space="preserve"> أما قضية يوسف فكانت قضية علم</w:t>
      </w:r>
      <w:r w:rsidR="00BF0C8C" w:rsidRPr="00904FCB">
        <w:rPr>
          <w:rFonts w:ascii="Times New Roman" w:hAnsi="Times New Roman" w:hint="cs"/>
          <w:sz w:val="27"/>
          <w:rtl/>
        </w:rPr>
        <w:t>ٍ</w:t>
      </w:r>
      <w:r w:rsidRPr="00904FCB">
        <w:rPr>
          <w:rFonts w:ascii="Times New Roman" w:hAnsi="Times New Roman"/>
          <w:sz w:val="27"/>
          <w:rtl/>
        </w:rPr>
        <w:t xml:space="preserve"> عل</w:t>
      </w:r>
      <w:r w:rsidR="00BF0C8C" w:rsidRPr="00904FCB">
        <w:rPr>
          <w:rFonts w:ascii="Times New Roman" w:hAnsi="Times New Roman" w:hint="cs"/>
          <w:sz w:val="27"/>
          <w:rtl/>
        </w:rPr>
        <w:t>َّ</w:t>
      </w:r>
      <w:r w:rsidRPr="00904FCB">
        <w:rPr>
          <w:rFonts w:ascii="Times New Roman" w:hAnsi="Times New Roman"/>
          <w:sz w:val="27"/>
          <w:rtl/>
        </w:rPr>
        <w:t>مه الله إي</w:t>
      </w:r>
      <w:r w:rsidR="00BF0C8C" w:rsidRPr="00904FCB">
        <w:rPr>
          <w:rFonts w:ascii="Times New Roman" w:hAnsi="Times New Roman" w:hint="cs"/>
          <w:sz w:val="27"/>
          <w:rtl/>
        </w:rPr>
        <w:t>ّ</w:t>
      </w:r>
      <w:r w:rsidRPr="00904FCB">
        <w:rPr>
          <w:rFonts w:ascii="Times New Roman" w:hAnsi="Times New Roman"/>
          <w:sz w:val="27"/>
          <w:rtl/>
        </w:rPr>
        <w:t>اه، وم</w:t>
      </w:r>
      <w:r w:rsidR="00BF0C8C" w:rsidRPr="00904FCB">
        <w:rPr>
          <w:rFonts w:ascii="Times New Roman" w:hAnsi="Times New Roman" w:hint="cs"/>
          <w:sz w:val="27"/>
          <w:rtl/>
        </w:rPr>
        <w:t>َ</w:t>
      </w:r>
      <w:r w:rsidRPr="00904FCB">
        <w:rPr>
          <w:rFonts w:ascii="Times New Roman" w:hAnsi="Times New Roman"/>
          <w:sz w:val="27"/>
          <w:rtl/>
        </w:rPr>
        <w:t>ن</w:t>
      </w:r>
      <w:r w:rsidR="00BF0C8C" w:rsidRPr="00904FCB">
        <w:rPr>
          <w:rFonts w:ascii="Times New Roman" w:hAnsi="Times New Roman" w:hint="cs"/>
          <w:sz w:val="27"/>
          <w:rtl/>
        </w:rPr>
        <w:t>ْ</w:t>
      </w:r>
      <w:r w:rsidRPr="00904FCB">
        <w:rPr>
          <w:rFonts w:ascii="Times New Roman" w:hAnsi="Times New Roman"/>
          <w:sz w:val="27"/>
          <w:rtl/>
        </w:rPr>
        <w:t xml:space="preserve"> يعلمه الله فلن يخطئ</w:t>
      </w:r>
      <w:r w:rsidR="00BF0C8C" w:rsidRPr="00904FCB">
        <w:rPr>
          <w:rFonts w:ascii="Times New Roman" w:hAnsi="Times New Roman" w:hint="cs"/>
          <w:sz w:val="27"/>
          <w:rtl/>
        </w:rPr>
        <w:t>،</w:t>
      </w:r>
      <w:r w:rsidRPr="00904FCB">
        <w:rPr>
          <w:rFonts w:ascii="Times New Roman" w:hAnsi="Times New Roman"/>
          <w:sz w:val="27"/>
          <w:rtl/>
        </w:rPr>
        <w:t xml:space="preserve"> بل سوف يصيب الواقع، فهل هناك أ</w:t>
      </w:r>
      <w:r w:rsidR="00BF0C8C" w:rsidRPr="00904FCB">
        <w:rPr>
          <w:rFonts w:ascii="Times New Roman" w:hAnsi="Times New Roman" w:hint="cs"/>
          <w:sz w:val="27"/>
          <w:rtl/>
        </w:rPr>
        <w:t>ش</w:t>
      </w:r>
      <w:r w:rsidRPr="00904FCB">
        <w:rPr>
          <w:rFonts w:ascii="Times New Roman" w:hAnsi="Times New Roman"/>
          <w:sz w:val="27"/>
          <w:rtl/>
        </w:rPr>
        <w:t>خاص كيوسف يستطيعون أن يزعموا أنهم يمتلكون علم تعبير الرؤيا</w:t>
      </w:r>
      <w:r w:rsidR="00BF0C8C" w:rsidRPr="00904FCB">
        <w:rPr>
          <w:rFonts w:ascii="Times New Roman" w:hAnsi="Times New Roman" w:hint="cs"/>
          <w:sz w:val="27"/>
          <w:rtl/>
        </w:rPr>
        <w:t>،</w:t>
      </w:r>
      <w:r w:rsidRPr="00904FCB">
        <w:rPr>
          <w:rFonts w:ascii="Times New Roman" w:hAnsi="Times New Roman"/>
          <w:sz w:val="27"/>
          <w:rtl/>
        </w:rPr>
        <w:t xml:space="preserve"> وتحديد الصادق من أضغاث الأحلام؟ ليس هناك سوى الأنبياء والمعصومين</w:t>
      </w:r>
      <w:r w:rsidR="00510A75" w:rsidRPr="00904FCB">
        <w:rPr>
          <w:rFonts w:ascii="Mosawi" w:hAnsi="Mosawi" w:cs="Mosawi"/>
          <w:sz w:val="27"/>
          <w:rtl/>
        </w:rPr>
        <w:t>^</w:t>
      </w:r>
      <w:r w:rsidRPr="00904FCB">
        <w:rPr>
          <w:rFonts w:ascii="Times New Roman" w:hAnsi="Times New Roman"/>
          <w:sz w:val="27"/>
          <w:rtl/>
        </w:rPr>
        <w:t xml:space="preserve"> يمكن أن يدّ</w:t>
      </w:r>
      <w:r w:rsidR="00BF0C8C" w:rsidRPr="00904FCB">
        <w:rPr>
          <w:rFonts w:ascii="Times New Roman" w:hAnsi="Times New Roman" w:hint="cs"/>
          <w:sz w:val="27"/>
          <w:rtl/>
        </w:rPr>
        <w:t>َ</w:t>
      </w:r>
      <w:r w:rsidRPr="00904FCB">
        <w:rPr>
          <w:rFonts w:ascii="Times New Roman" w:hAnsi="Times New Roman"/>
          <w:sz w:val="27"/>
          <w:rtl/>
        </w:rPr>
        <w:t>عوا ذلك، هذا مع العلم بأنّ هذا العلم ليس شرطاً في النبو</w:t>
      </w:r>
      <w:r w:rsidR="00BF0C8C" w:rsidRPr="00904FCB">
        <w:rPr>
          <w:rFonts w:ascii="Times New Roman" w:hAnsi="Times New Roman" w:hint="cs"/>
          <w:sz w:val="27"/>
          <w:rtl/>
        </w:rPr>
        <w:t>ّ</w:t>
      </w:r>
      <w:r w:rsidRPr="00904FCB">
        <w:rPr>
          <w:rFonts w:ascii="Times New Roman" w:hAnsi="Times New Roman"/>
          <w:sz w:val="27"/>
          <w:rtl/>
        </w:rPr>
        <w:t>ة</w:t>
      </w:r>
      <w:r w:rsidR="00BF0C8C" w:rsidRPr="00904FCB">
        <w:rPr>
          <w:rFonts w:ascii="Times New Roman" w:hAnsi="Times New Roman" w:hint="cs"/>
          <w:sz w:val="27"/>
          <w:rtl/>
        </w:rPr>
        <w:t>،</w:t>
      </w:r>
      <w:r w:rsidRPr="00904FCB">
        <w:rPr>
          <w:rFonts w:ascii="Times New Roman" w:hAnsi="Times New Roman"/>
          <w:sz w:val="27"/>
          <w:rtl/>
        </w:rPr>
        <w:t xml:space="preserve"> كما أنّ علم الفلك والكيمياء ليس شرطاً فيها.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 xml:space="preserve">ثانياً: </w:t>
      </w:r>
      <w:r w:rsidRPr="00904FCB">
        <w:rPr>
          <w:rFonts w:ascii="Times New Roman" w:hAnsi="Times New Roman"/>
          <w:sz w:val="27"/>
          <w:rtl/>
        </w:rPr>
        <w:t>والمشكلة الأخرى التي نواجهها في تعبير الرؤيا</w:t>
      </w:r>
      <w:r w:rsidR="00BF0C8C" w:rsidRPr="00904FCB">
        <w:rPr>
          <w:rFonts w:ascii="Times New Roman" w:hAnsi="Times New Roman" w:hint="cs"/>
          <w:sz w:val="27"/>
          <w:rtl/>
        </w:rPr>
        <w:t>،</w:t>
      </w:r>
      <w:r w:rsidRPr="00904FCB">
        <w:rPr>
          <w:rFonts w:ascii="Times New Roman" w:hAnsi="Times New Roman"/>
          <w:sz w:val="27"/>
          <w:rtl/>
        </w:rPr>
        <w:t xml:space="preserve"> والتي تحول دون أخذ التعبير أخذ المسل</w:t>
      </w:r>
      <w:r w:rsidR="00BF0C8C" w:rsidRPr="00904FCB">
        <w:rPr>
          <w:rFonts w:ascii="Times New Roman" w:hAnsi="Times New Roman" w:hint="cs"/>
          <w:sz w:val="27"/>
          <w:rtl/>
        </w:rPr>
        <w:t>َّ</w:t>
      </w:r>
      <w:r w:rsidRPr="00904FCB">
        <w:rPr>
          <w:rFonts w:ascii="Times New Roman" w:hAnsi="Times New Roman"/>
          <w:sz w:val="27"/>
          <w:rtl/>
        </w:rPr>
        <w:t>مات، هي ـ بالإضافة إلى ظن</w:t>
      </w:r>
      <w:r w:rsidR="00BF0C8C" w:rsidRPr="00904FCB">
        <w:rPr>
          <w:rFonts w:ascii="Times New Roman" w:hAnsi="Times New Roman" w:hint="cs"/>
          <w:sz w:val="27"/>
          <w:rtl/>
        </w:rPr>
        <w:t>ّ</w:t>
      </w:r>
      <w:r w:rsidRPr="00904FCB">
        <w:rPr>
          <w:rFonts w:ascii="Times New Roman" w:hAnsi="Times New Roman"/>
          <w:sz w:val="27"/>
          <w:rtl/>
        </w:rPr>
        <w:t>يّة التعبير والتأويل ـ عدم القدرة على الفصل بين ما هو من مصاديق الرؤيا الصادقة وبين ما كان من أضغاث الأحلام أو ما كان من وساوس الشيطان، فهذا أمر</w:t>
      </w:r>
      <w:r w:rsidR="007571E3" w:rsidRPr="00904FCB">
        <w:rPr>
          <w:rFonts w:ascii="Times New Roman" w:hAnsi="Times New Roman" w:hint="cs"/>
          <w:sz w:val="27"/>
          <w:rtl/>
        </w:rPr>
        <w:t>ٌ</w:t>
      </w:r>
      <w:r w:rsidR="007571E3" w:rsidRPr="00904FCB">
        <w:rPr>
          <w:rFonts w:ascii="Times New Roman" w:hAnsi="Times New Roman"/>
          <w:sz w:val="27"/>
          <w:rtl/>
        </w:rPr>
        <w:t xml:space="preserve"> قد لا يستطيع المُعب</w:t>
      </w:r>
      <w:r w:rsidR="007571E3" w:rsidRPr="00904FCB">
        <w:rPr>
          <w:rFonts w:ascii="Times New Roman" w:hAnsi="Times New Roman" w:hint="cs"/>
          <w:sz w:val="27"/>
          <w:rtl/>
        </w:rPr>
        <w:t>ِّ</w:t>
      </w:r>
      <w:r w:rsidRPr="00904FCB">
        <w:rPr>
          <w:rFonts w:ascii="Times New Roman" w:hAnsi="Times New Roman"/>
          <w:sz w:val="27"/>
          <w:rtl/>
        </w:rPr>
        <w:t>ر ـ إلاّ إذا كان معصوماً ـ أن يبتَّ فيه ويميّ</w:t>
      </w:r>
      <w:r w:rsidR="007571E3" w:rsidRPr="00904FCB">
        <w:rPr>
          <w:rFonts w:ascii="Times New Roman" w:hAnsi="Times New Roman" w:hint="cs"/>
          <w:sz w:val="27"/>
          <w:rtl/>
        </w:rPr>
        <w:t>ِ</w:t>
      </w:r>
      <w:r w:rsidRPr="00904FCB">
        <w:rPr>
          <w:rFonts w:ascii="Times New Roman" w:hAnsi="Times New Roman"/>
          <w:sz w:val="27"/>
          <w:rtl/>
        </w:rPr>
        <w:t>ز بين هذه الأصناف</w:t>
      </w:r>
      <w:r w:rsidR="007571E3" w:rsidRPr="00904FCB">
        <w:rPr>
          <w:rFonts w:ascii="Times New Roman" w:hAnsi="Times New Roman" w:hint="cs"/>
          <w:sz w:val="27"/>
          <w:rtl/>
        </w:rPr>
        <w:t>.</w:t>
      </w:r>
      <w:r w:rsidRPr="00904FCB">
        <w:rPr>
          <w:rFonts w:ascii="Times New Roman" w:hAnsi="Times New Roman"/>
          <w:sz w:val="27"/>
          <w:rtl/>
        </w:rPr>
        <w:t xml:space="preserve"> وفي بعض الروايات أنّ رجلاً قصّ رؤيا على الإمام الرضا</w:t>
      </w:r>
      <w:r w:rsidR="001C1A2A" w:rsidRPr="00904FCB">
        <w:rPr>
          <w:rFonts w:ascii="Times New Roman" w:hAnsi="Times New Roman" w:cs="Mosawi"/>
          <w:sz w:val="27"/>
          <w:szCs w:val="22"/>
          <w:rtl/>
        </w:rPr>
        <w:t>×</w:t>
      </w:r>
      <w:r w:rsidR="007571E3" w:rsidRPr="00904FCB">
        <w:rPr>
          <w:rFonts w:ascii="Times New Roman" w:hAnsi="Times New Roman" w:hint="cs"/>
          <w:sz w:val="27"/>
          <w:rtl/>
        </w:rPr>
        <w:t>،</w:t>
      </w:r>
      <w:r w:rsidRPr="00904FCB">
        <w:rPr>
          <w:rFonts w:ascii="Times New Roman" w:hAnsi="Times New Roman"/>
          <w:sz w:val="27"/>
          <w:rtl/>
        </w:rPr>
        <w:t xml:space="preserve"> فقال له</w:t>
      </w:r>
      <w:r w:rsidR="001C1A2A" w:rsidRPr="00904FCB">
        <w:rPr>
          <w:rFonts w:ascii="Times New Roman" w:hAnsi="Times New Roman" w:cs="Mosawi"/>
          <w:sz w:val="27"/>
          <w:szCs w:val="22"/>
          <w:rtl/>
        </w:rPr>
        <w:t>×</w:t>
      </w:r>
      <w:r w:rsidRPr="00904FCB">
        <w:rPr>
          <w:rFonts w:ascii="Times New Roman" w:hAnsi="Times New Roman"/>
          <w:sz w:val="27"/>
          <w:rtl/>
        </w:rPr>
        <w:t xml:space="preserve">: </w:t>
      </w:r>
      <w:r w:rsidRPr="00904FCB">
        <w:rPr>
          <w:rFonts w:hint="eastAsia"/>
          <w:sz w:val="27"/>
          <w:rtl/>
        </w:rPr>
        <w:t>«</w:t>
      </w:r>
      <w:r w:rsidRPr="00904FCB">
        <w:rPr>
          <w:rFonts w:ascii="Times New Roman" w:hAnsi="Times New Roman"/>
          <w:sz w:val="27"/>
          <w:rtl/>
        </w:rPr>
        <w:t>إن</w:t>
      </w:r>
      <w:r w:rsidR="007571E3" w:rsidRPr="00904FCB">
        <w:rPr>
          <w:rFonts w:ascii="Times New Roman" w:hAnsi="Times New Roman" w:hint="cs"/>
          <w:sz w:val="27"/>
          <w:rtl/>
        </w:rPr>
        <w:t>ْ</w:t>
      </w:r>
      <w:r w:rsidRPr="00904FCB">
        <w:rPr>
          <w:rFonts w:ascii="Times New Roman" w:hAnsi="Times New Roman"/>
          <w:sz w:val="27"/>
          <w:rtl/>
        </w:rPr>
        <w:t xml:space="preserve"> صد</w:t>
      </w:r>
      <w:r w:rsidR="007571E3" w:rsidRPr="00904FCB">
        <w:rPr>
          <w:rFonts w:ascii="Times New Roman" w:hAnsi="Times New Roman" w:hint="cs"/>
          <w:sz w:val="27"/>
          <w:rtl/>
        </w:rPr>
        <w:t>َ</w:t>
      </w:r>
      <w:r w:rsidRPr="00904FCB">
        <w:rPr>
          <w:rFonts w:ascii="Times New Roman" w:hAnsi="Times New Roman"/>
          <w:sz w:val="27"/>
          <w:rtl/>
        </w:rPr>
        <w:t>ق</w:t>
      </w:r>
      <w:r w:rsidR="007571E3" w:rsidRPr="00904FCB">
        <w:rPr>
          <w:rFonts w:ascii="Times New Roman" w:hAnsi="Times New Roman" w:hint="cs"/>
          <w:sz w:val="27"/>
          <w:rtl/>
        </w:rPr>
        <w:t>َ</w:t>
      </w:r>
      <w:r w:rsidRPr="00904FCB">
        <w:rPr>
          <w:rFonts w:ascii="Times New Roman" w:hAnsi="Times New Roman"/>
          <w:sz w:val="27"/>
          <w:rtl/>
        </w:rPr>
        <w:t>ت</w:t>
      </w:r>
      <w:r w:rsidR="007571E3" w:rsidRPr="00904FCB">
        <w:rPr>
          <w:rFonts w:ascii="Times New Roman" w:hAnsi="Times New Roman" w:hint="cs"/>
          <w:sz w:val="27"/>
          <w:rtl/>
        </w:rPr>
        <w:t>ْ</w:t>
      </w:r>
      <w:r w:rsidRPr="00904FCB">
        <w:rPr>
          <w:rFonts w:ascii="Times New Roman" w:hAnsi="Times New Roman"/>
          <w:sz w:val="27"/>
          <w:rtl/>
        </w:rPr>
        <w:t xml:space="preserve"> رؤياك يخرج رجل</w:t>
      </w:r>
      <w:r w:rsidR="007571E3" w:rsidRPr="00904FCB">
        <w:rPr>
          <w:rFonts w:ascii="Times New Roman" w:hAnsi="Times New Roman" w:hint="cs"/>
          <w:sz w:val="27"/>
          <w:rtl/>
        </w:rPr>
        <w:t>ٌ.</w:t>
      </w:r>
      <w:r w:rsidRPr="00904FCB">
        <w:rPr>
          <w:rFonts w:ascii="Times New Roman" w:hAnsi="Times New Roman"/>
          <w:sz w:val="27"/>
          <w:rtl/>
        </w:rPr>
        <w:t>..</w:t>
      </w:r>
      <w:r w:rsidRPr="00904FCB">
        <w:rPr>
          <w:rFonts w:hint="eastAsia"/>
          <w:sz w:val="27"/>
          <w:rtl/>
        </w:rPr>
        <w:t>»</w:t>
      </w:r>
      <w:r w:rsidRPr="00904FCB">
        <w:rPr>
          <w:rFonts w:hint="cs"/>
          <w:sz w:val="27"/>
          <w:vertAlign w:val="superscript"/>
          <w:rtl/>
        </w:rPr>
        <w:t>(</w:t>
      </w:r>
      <w:r w:rsidRPr="00904FCB">
        <w:rPr>
          <w:rStyle w:val="ac"/>
          <w:sz w:val="27"/>
          <w:rtl/>
        </w:rPr>
        <w:endnoteReference w:id="555"/>
      </w:r>
      <w:r w:rsidRPr="00904FCB">
        <w:rPr>
          <w:rFonts w:hint="cs"/>
          <w:sz w:val="27"/>
          <w:vertAlign w:val="superscript"/>
          <w:rtl/>
        </w:rPr>
        <w:t>)</w:t>
      </w:r>
      <w:r w:rsidRPr="00904FCB">
        <w:rPr>
          <w:rFonts w:ascii="Times New Roman" w:hAnsi="Times New Roman"/>
          <w:sz w:val="27"/>
          <w:rtl/>
        </w:rPr>
        <w:t xml:space="preserve">، وقوله: </w:t>
      </w:r>
      <w:r w:rsidRPr="00904FCB">
        <w:rPr>
          <w:rFonts w:hint="eastAsia"/>
          <w:sz w:val="27"/>
          <w:rtl/>
        </w:rPr>
        <w:t>«</w:t>
      </w:r>
      <w:r w:rsidRPr="00904FCB">
        <w:rPr>
          <w:rFonts w:ascii="Times New Roman" w:hAnsi="Times New Roman"/>
          <w:sz w:val="27"/>
          <w:rtl/>
        </w:rPr>
        <w:t>إن</w:t>
      </w:r>
      <w:r w:rsidR="007571E3" w:rsidRPr="00904FCB">
        <w:rPr>
          <w:rFonts w:ascii="Times New Roman" w:hAnsi="Times New Roman" w:hint="cs"/>
          <w:sz w:val="27"/>
          <w:rtl/>
        </w:rPr>
        <w:t>ْ</w:t>
      </w:r>
      <w:r w:rsidRPr="00904FCB">
        <w:rPr>
          <w:rFonts w:ascii="Times New Roman" w:hAnsi="Times New Roman"/>
          <w:sz w:val="27"/>
          <w:rtl/>
        </w:rPr>
        <w:t xml:space="preserve"> صد</w:t>
      </w:r>
      <w:r w:rsidR="007571E3" w:rsidRPr="00904FCB">
        <w:rPr>
          <w:rFonts w:ascii="Times New Roman" w:hAnsi="Times New Roman" w:hint="cs"/>
          <w:sz w:val="27"/>
          <w:rtl/>
        </w:rPr>
        <w:t>َ</w:t>
      </w:r>
      <w:r w:rsidRPr="00904FCB">
        <w:rPr>
          <w:rFonts w:ascii="Times New Roman" w:hAnsi="Times New Roman"/>
          <w:sz w:val="27"/>
          <w:rtl/>
        </w:rPr>
        <w:t>ق</w:t>
      </w:r>
      <w:r w:rsidR="007571E3" w:rsidRPr="00904FCB">
        <w:rPr>
          <w:rFonts w:ascii="Times New Roman" w:hAnsi="Times New Roman" w:hint="cs"/>
          <w:sz w:val="27"/>
          <w:rtl/>
        </w:rPr>
        <w:t>َ</w:t>
      </w:r>
      <w:r w:rsidRPr="00904FCB">
        <w:rPr>
          <w:rFonts w:ascii="Times New Roman" w:hAnsi="Times New Roman"/>
          <w:sz w:val="27"/>
          <w:rtl/>
        </w:rPr>
        <w:t>ت</w:t>
      </w:r>
      <w:r w:rsidR="007571E3" w:rsidRPr="00904FCB">
        <w:rPr>
          <w:rFonts w:ascii="Times New Roman" w:hAnsi="Times New Roman" w:hint="cs"/>
          <w:sz w:val="27"/>
          <w:rtl/>
        </w:rPr>
        <w:t>ْ</w:t>
      </w:r>
      <w:r w:rsidRPr="00904FCB">
        <w:rPr>
          <w:rFonts w:ascii="Times New Roman" w:hAnsi="Times New Roman"/>
          <w:sz w:val="27"/>
          <w:rtl/>
        </w:rPr>
        <w:t xml:space="preserve"> </w:t>
      </w:r>
      <w:r w:rsidRPr="00904FCB">
        <w:rPr>
          <w:rFonts w:ascii="Times New Roman" w:hAnsi="Times New Roman"/>
          <w:sz w:val="27"/>
          <w:rtl/>
        </w:rPr>
        <w:lastRenderedPageBreak/>
        <w:t>رؤياك</w:t>
      </w:r>
      <w:r w:rsidRPr="00904FCB">
        <w:rPr>
          <w:rFonts w:hint="eastAsia"/>
          <w:sz w:val="27"/>
          <w:rtl/>
        </w:rPr>
        <w:t>»</w:t>
      </w:r>
      <w:r w:rsidRPr="00904FCB">
        <w:rPr>
          <w:rFonts w:ascii="Times New Roman" w:hAnsi="Times New Roman"/>
          <w:sz w:val="27"/>
          <w:rtl/>
        </w:rPr>
        <w:t xml:space="preserve"> ي</w:t>
      </w:r>
      <w:r w:rsidR="007571E3" w:rsidRPr="00904FCB">
        <w:rPr>
          <w:rFonts w:ascii="Times New Roman" w:hAnsi="Times New Roman" w:hint="cs"/>
          <w:sz w:val="27"/>
          <w:rtl/>
        </w:rPr>
        <w:t>ُ</w:t>
      </w:r>
      <w:r w:rsidRPr="00904FCB">
        <w:rPr>
          <w:rFonts w:ascii="Times New Roman" w:hAnsi="Times New Roman"/>
          <w:sz w:val="27"/>
          <w:rtl/>
        </w:rPr>
        <w:t xml:space="preserve">راد به إذا لم تكن من أضغاث الأحلام.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ولأجل ما قلناه من ظن</w:t>
      </w:r>
      <w:r w:rsidR="007571E3" w:rsidRPr="00904FCB">
        <w:rPr>
          <w:rFonts w:ascii="Times New Roman" w:hAnsi="Times New Roman" w:hint="cs"/>
          <w:sz w:val="27"/>
          <w:rtl/>
        </w:rPr>
        <w:t>ّ</w:t>
      </w:r>
      <w:r w:rsidRPr="00904FCB">
        <w:rPr>
          <w:rFonts w:ascii="Times New Roman" w:hAnsi="Times New Roman"/>
          <w:sz w:val="27"/>
          <w:rtl/>
        </w:rPr>
        <w:t>يّة تفسير الأحلام</w:t>
      </w:r>
      <w:r w:rsidR="007571E3" w:rsidRPr="00904FCB">
        <w:rPr>
          <w:rFonts w:ascii="Times New Roman" w:hAnsi="Times New Roman" w:hint="cs"/>
          <w:sz w:val="27"/>
          <w:rtl/>
        </w:rPr>
        <w:t>،</w:t>
      </w:r>
      <w:r w:rsidRPr="00904FCB">
        <w:rPr>
          <w:rFonts w:ascii="Times New Roman" w:hAnsi="Times New Roman"/>
          <w:sz w:val="27"/>
          <w:rtl/>
        </w:rPr>
        <w:t xml:space="preserve"> وعدم قدرة أحد</w:t>
      </w:r>
      <w:r w:rsidR="007571E3" w:rsidRPr="00904FCB">
        <w:rPr>
          <w:rFonts w:ascii="Times New Roman" w:hAnsi="Times New Roman" w:hint="cs"/>
          <w:sz w:val="27"/>
          <w:rtl/>
        </w:rPr>
        <w:t>ٍ</w:t>
      </w:r>
      <w:r w:rsidRPr="00904FCB">
        <w:rPr>
          <w:rFonts w:ascii="Times New Roman" w:hAnsi="Times New Roman"/>
          <w:sz w:val="27"/>
          <w:rtl/>
        </w:rPr>
        <w:t xml:space="preserve"> ـ غالباً ـ على التمييز بين الصادق والكاذب، </w:t>
      </w:r>
      <w:r w:rsidR="007571E3" w:rsidRPr="00904FCB">
        <w:rPr>
          <w:rFonts w:ascii="Times New Roman" w:hAnsi="Times New Roman"/>
          <w:sz w:val="27"/>
          <w:rtl/>
        </w:rPr>
        <w:t>فلا يجوز للمعب</w:t>
      </w:r>
      <w:r w:rsidR="007571E3" w:rsidRPr="00904FCB">
        <w:rPr>
          <w:rFonts w:ascii="Times New Roman" w:hAnsi="Times New Roman" w:hint="cs"/>
          <w:sz w:val="27"/>
          <w:rtl/>
        </w:rPr>
        <w:t>ِّ</w:t>
      </w:r>
      <w:r w:rsidRPr="00904FCB">
        <w:rPr>
          <w:rFonts w:ascii="Times New Roman" w:hAnsi="Times New Roman"/>
          <w:sz w:val="27"/>
          <w:rtl/>
        </w:rPr>
        <w:t>ر أن يجزم في تأويله وتفسيره للمنامات</w:t>
      </w:r>
      <w:r w:rsidR="007571E3" w:rsidRPr="00904FCB">
        <w:rPr>
          <w:rFonts w:ascii="Times New Roman" w:hAnsi="Times New Roman" w:hint="cs"/>
          <w:sz w:val="27"/>
          <w:rtl/>
        </w:rPr>
        <w:t>.</w:t>
      </w:r>
      <w:r w:rsidRPr="00904FCB">
        <w:rPr>
          <w:rFonts w:ascii="Times New Roman" w:hAnsi="Times New Roman"/>
          <w:sz w:val="27"/>
          <w:rtl/>
        </w:rPr>
        <w:t xml:space="preserve"> وربما لأجل ذلك أيضاً لم نجد تخص</w:t>
      </w:r>
      <w:r w:rsidR="007571E3" w:rsidRPr="00904FCB">
        <w:rPr>
          <w:rFonts w:ascii="Times New Roman" w:hAnsi="Times New Roman" w:hint="cs"/>
          <w:sz w:val="27"/>
          <w:rtl/>
        </w:rPr>
        <w:t>ُّ</w:t>
      </w:r>
      <w:r w:rsidRPr="00904FCB">
        <w:rPr>
          <w:rFonts w:ascii="Times New Roman" w:hAnsi="Times New Roman"/>
          <w:sz w:val="27"/>
          <w:rtl/>
        </w:rPr>
        <w:t>صاً إسلامياً في المعاهد الدينية باسم تعبير الرؤيا، كما لدينا تخص</w:t>
      </w:r>
      <w:r w:rsidR="007571E3" w:rsidRPr="00904FCB">
        <w:rPr>
          <w:rFonts w:ascii="Times New Roman" w:hAnsi="Times New Roman" w:hint="cs"/>
          <w:sz w:val="27"/>
          <w:rtl/>
        </w:rPr>
        <w:t>ُّ</w:t>
      </w:r>
      <w:r w:rsidRPr="00904FCB">
        <w:rPr>
          <w:rFonts w:ascii="Times New Roman" w:hAnsi="Times New Roman"/>
          <w:sz w:val="27"/>
          <w:rtl/>
        </w:rPr>
        <w:t xml:space="preserve">ص في تفسير القرآن أو الفقه أو العقائد أو ما إلى ذلك.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color w:val="auto"/>
          <w:rtl/>
        </w:rPr>
        <w:t xml:space="preserve">تعبير الرؤيا في الروايات </w:t>
      </w:r>
    </w:p>
    <w:p w:rsidR="004566C3" w:rsidRPr="00904FCB" w:rsidRDefault="00057E24" w:rsidP="00510A75">
      <w:pPr>
        <w:spacing w:line="400" w:lineRule="exact"/>
        <w:rPr>
          <w:rFonts w:ascii="Times New Roman" w:hAnsi="Times New Roman"/>
          <w:sz w:val="27"/>
          <w:rtl/>
        </w:rPr>
      </w:pPr>
      <w:r w:rsidRPr="00904FCB">
        <w:rPr>
          <w:rFonts w:ascii="Times New Roman" w:hAnsi="Times New Roman"/>
          <w:sz w:val="27"/>
          <w:rtl/>
        </w:rPr>
        <w:t xml:space="preserve"> وقد يقال: إنّه يمكننا التعرّ</w:t>
      </w:r>
      <w:r w:rsidR="007571E3" w:rsidRPr="00904FCB">
        <w:rPr>
          <w:rFonts w:ascii="Times New Roman" w:hAnsi="Times New Roman" w:hint="cs"/>
          <w:sz w:val="27"/>
          <w:rtl/>
        </w:rPr>
        <w:t>ُ</w:t>
      </w:r>
      <w:r w:rsidRPr="00904FCB">
        <w:rPr>
          <w:rFonts w:ascii="Times New Roman" w:hAnsi="Times New Roman"/>
          <w:sz w:val="27"/>
          <w:rtl/>
        </w:rPr>
        <w:t>ف على قواعد تفسير الرؤيا وتعبيرها من خلال ما جاء في الروايات</w:t>
      </w:r>
      <w:r w:rsidR="004566C3" w:rsidRPr="00904FCB">
        <w:rPr>
          <w:rFonts w:ascii="Times New Roman" w:hAnsi="Times New Roman" w:hint="cs"/>
          <w:sz w:val="27"/>
          <w:rtl/>
        </w:rPr>
        <w:t>،</w:t>
      </w:r>
      <w:r w:rsidRPr="00904FCB">
        <w:rPr>
          <w:rFonts w:ascii="Times New Roman" w:hAnsi="Times New Roman"/>
          <w:sz w:val="27"/>
          <w:rtl/>
        </w:rPr>
        <w:t xml:space="preserve"> معطوفة</w:t>
      </w:r>
      <w:r w:rsidR="004566C3" w:rsidRPr="00904FCB">
        <w:rPr>
          <w:rFonts w:ascii="Times New Roman" w:hAnsi="Times New Roman" w:hint="cs"/>
          <w:sz w:val="27"/>
          <w:rtl/>
        </w:rPr>
        <w:t>ً</w:t>
      </w:r>
      <w:r w:rsidRPr="00904FCB">
        <w:rPr>
          <w:rFonts w:ascii="Times New Roman" w:hAnsi="Times New Roman"/>
          <w:sz w:val="27"/>
          <w:rtl/>
        </w:rPr>
        <w:t xml:space="preserve"> على ما ورد في القرآن الكريم في قصة يوسف</w:t>
      </w:r>
      <w:r w:rsidR="004566C3" w:rsidRPr="00904FCB">
        <w:rPr>
          <w:rFonts w:ascii="Times New Roman" w:hAnsi="Times New Roman" w:hint="cs"/>
          <w:sz w:val="27"/>
          <w:rtl/>
        </w:rPr>
        <w:t>.</w:t>
      </w:r>
      <w:r w:rsidRPr="00904FCB">
        <w:rPr>
          <w:rFonts w:ascii="Times New Roman" w:hAnsi="Times New Roman"/>
          <w:sz w:val="27"/>
          <w:rtl/>
        </w:rPr>
        <w:t xml:space="preserve"> فالروايات الواردة عن النبي</w:t>
      </w:r>
      <w:r w:rsidR="004566C3"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والأئم</w:t>
      </w:r>
      <w:r w:rsidR="004566C3" w:rsidRPr="00904FCB">
        <w:rPr>
          <w:rFonts w:ascii="Times New Roman" w:hAnsi="Times New Roman" w:hint="cs"/>
          <w:sz w:val="27"/>
          <w:rtl/>
        </w:rPr>
        <w:t>ّ</w:t>
      </w:r>
      <w:r w:rsidRPr="00904FCB">
        <w:rPr>
          <w:rFonts w:ascii="Times New Roman" w:hAnsi="Times New Roman"/>
          <w:sz w:val="27"/>
          <w:rtl/>
        </w:rPr>
        <w:t>ة</w:t>
      </w:r>
      <w:r w:rsidR="00510A75" w:rsidRPr="00904FCB">
        <w:rPr>
          <w:rFonts w:ascii="Mosawi" w:hAnsi="Mosawi" w:cs="Mosawi"/>
          <w:sz w:val="27"/>
          <w:rtl/>
        </w:rPr>
        <w:t>^</w:t>
      </w:r>
      <w:r w:rsidRPr="00904FCB">
        <w:rPr>
          <w:rFonts w:ascii="Times New Roman" w:hAnsi="Times New Roman"/>
          <w:sz w:val="27"/>
          <w:rtl/>
        </w:rPr>
        <w:t xml:space="preserve"> في تعبير الرؤيا تصلح لإثبات شرعية التعبير</w:t>
      </w:r>
      <w:r w:rsidR="004566C3" w:rsidRPr="00904FCB">
        <w:rPr>
          <w:rFonts w:ascii="Times New Roman" w:hAnsi="Times New Roman" w:hint="cs"/>
          <w:sz w:val="27"/>
          <w:rtl/>
        </w:rPr>
        <w:t>،</w:t>
      </w:r>
      <w:r w:rsidRPr="00904FCB">
        <w:rPr>
          <w:rFonts w:ascii="Times New Roman" w:hAnsi="Times New Roman"/>
          <w:sz w:val="27"/>
          <w:rtl/>
        </w:rPr>
        <w:t xml:space="preserve"> وتعطي منهجاً عام</w:t>
      </w:r>
      <w:r w:rsidR="004566C3" w:rsidRPr="00904FCB">
        <w:rPr>
          <w:rFonts w:ascii="Times New Roman" w:hAnsi="Times New Roman" w:hint="cs"/>
          <w:sz w:val="27"/>
          <w:rtl/>
        </w:rPr>
        <w:t>ّ</w:t>
      </w:r>
      <w:r w:rsidRPr="00904FCB">
        <w:rPr>
          <w:rFonts w:ascii="Times New Roman" w:hAnsi="Times New Roman"/>
          <w:sz w:val="27"/>
          <w:rtl/>
        </w:rPr>
        <w:t>اً</w:t>
      </w:r>
      <w:r w:rsidR="004566C3" w:rsidRPr="00904FCB">
        <w:rPr>
          <w:rFonts w:ascii="Times New Roman" w:hAnsi="Times New Roman" w:hint="cs"/>
          <w:sz w:val="27"/>
          <w:rtl/>
        </w:rPr>
        <w:t>،</w:t>
      </w:r>
      <w:r w:rsidRPr="00904FCB">
        <w:rPr>
          <w:rFonts w:ascii="Times New Roman" w:hAnsi="Times New Roman"/>
          <w:sz w:val="27"/>
          <w:rtl/>
        </w:rPr>
        <w:t xml:space="preserve"> وترسم خطاً لعملية التعبير</w:t>
      </w:r>
      <w:r w:rsidR="004566C3" w:rsidRPr="00904FCB">
        <w:rPr>
          <w:rFonts w:ascii="Times New Roman" w:hAnsi="Times New Roman" w:hint="cs"/>
          <w:sz w:val="27"/>
          <w:rtl/>
        </w:rPr>
        <w:t>،</w:t>
      </w:r>
      <w:r w:rsidRPr="00904FCB">
        <w:rPr>
          <w:rFonts w:ascii="Times New Roman" w:hAnsi="Times New Roman"/>
          <w:sz w:val="27"/>
          <w:rtl/>
        </w:rPr>
        <w:t xml:space="preserve"> وتحد</w:t>
      </w:r>
      <w:r w:rsidR="004566C3" w:rsidRPr="00904FCB">
        <w:rPr>
          <w:rFonts w:ascii="Times New Roman" w:hAnsi="Times New Roman" w:hint="cs"/>
          <w:sz w:val="27"/>
          <w:rtl/>
        </w:rPr>
        <w:t>ِّ</w:t>
      </w:r>
      <w:r w:rsidRPr="00904FCB">
        <w:rPr>
          <w:rFonts w:ascii="Times New Roman" w:hAnsi="Times New Roman"/>
          <w:sz w:val="27"/>
          <w:rtl/>
        </w:rPr>
        <w:t>د ضوابطه وشروطه</w:t>
      </w:r>
      <w:r w:rsidR="004566C3" w:rsidRPr="00904FCB">
        <w:rPr>
          <w:rFonts w:ascii="Times New Roman" w:hAnsi="Times New Roman" w:hint="cs"/>
          <w:sz w:val="27"/>
          <w:rtl/>
        </w:rPr>
        <w:t>.</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وتعليقاً على ذلك نقول: </w:t>
      </w:r>
      <w:r w:rsidRPr="00904FCB">
        <w:rPr>
          <w:rFonts w:ascii="Times New Roman" w:hAnsi="Times New Roman"/>
          <w:b/>
          <w:bCs/>
          <w:sz w:val="27"/>
          <w:rtl/>
        </w:rPr>
        <w:t>أو</w:t>
      </w:r>
      <w:r w:rsidR="004566C3" w:rsidRPr="00904FCB">
        <w:rPr>
          <w:rFonts w:ascii="Times New Roman" w:hAnsi="Times New Roman" w:hint="cs"/>
          <w:b/>
          <w:bCs/>
          <w:sz w:val="27"/>
          <w:rtl/>
        </w:rPr>
        <w:t>ّ</w:t>
      </w:r>
      <w:r w:rsidRPr="00904FCB">
        <w:rPr>
          <w:rFonts w:ascii="Times New Roman" w:hAnsi="Times New Roman"/>
          <w:b/>
          <w:bCs/>
          <w:sz w:val="27"/>
          <w:rtl/>
        </w:rPr>
        <w:t xml:space="preserve">لاً: </w:t>
      </w:r>
      <w:r w:rsidRPr="00904FCB">
        <w:rPr>
          <w:rFonts w:ascii="Times New Roman" w:hAnsi="Times New Roman"/>
          <w:sz w:val="27"/>
          <w:rtl/>
        </w:rPr>
        <w:t>إنّ هذه الروايات لا ب</w:t>
      </w:r>
      <w:r w:rsidR="004566C3" w:rsidRPr="00904FCB">
        <w:rPr>
          <w:rFonts w:ascii="Times New Roman" w:hAnsi="Times New Roman" w:hint="cs"/>
          <w:sz w:val="27"/>
          <w:rtl/>
        </w:rPr>
        <w:t>ُ</w:t>
      </w:r>
      <w:r w:rsidRPr="00904FCB">
        <w:rPr>
          <w:rFonts w:ascii="Times New Roman" w:hAnsi="Times New Roman"/>
          <w:sz w:val="27"/>
          <w:rtl/>
        </w:rPr>
        <w:t>دّ</w:t>
      </w:r>
      <w:r w:rsidR="004566C3" w:rsidRPr="00904FCB">
        <w:rPr>
          <w:rFonts w:ascii="Times New Roman" w:hAnsi="Times New Roman" w:hint="cs"/>
          <w:sz w:val="27"/>
          <w:rtl/>
        </w:rPr>
        <w:t>َ</w:t>
      </w:r>
      <w:r w:rsidRPr="00904FCB">
        <w:rPr>
          <w:rFonts w:ascii="Times New Roman" w:hAnsi="Times New Roman"/>
          <w:sz w:val="27"/>
          <w:rtl/>
        </w:rPr>
        <w:t xml:space="preserve"> أن تخضع للمنهج العلمي في قبول الخبر، أي لا ب</w:t>
      </w:r>
      <w:r w:rsidR="004566C3" w:rsidRPr="00904FCB">
        <w:rPr>
          <w:rFonts w:ascii="Times New Roman" w:hAnsi="Times New Roman" w:hint="cs"/>
          <w:sz w:val="27"/>
          <w:rtl/>
        </w:rPr>
        <w:t>ُ</w:t>
      </w:r>
      <w:r w:rsidRPr="00904FCB">
        <w:rPr>
          <w:rFonts w:ascii="Times New Roman" w:hAnsi="Times New Roman"/>
          <w:sz w:val="27"/>
          <w:rtl/>
        </w:rPr>
        <w:t>دّ</w:t>
      </w:r>
      <w:r w:rsidR="004566C3" w:rsidRPr="00904FCB">
        <w:rPr>
          <w:rFonts w:ascii="Times New Roman" w:hAnsi="Times New Roman" w:hint="cs"/>
          <w:sz w:val="27"/>
          <w:rtl/>
        </w:rPr>
        <w:t>َ</w:t>
      </w:r>
      <w:r w:rsidRPr="00904FCB">
        <w:rPr>
          <w:rFonts w:ascii="Times New Roman" w:hAnsi="Times New Roman"/>
          <w:sz w:val="27"/>
          <w:rtl/>
        </w:rPr>
        <w:t xml:space="preserve"> أن يتم</w:t>
      </w:r>
      <w:r w:rsidR="004566C3" w:rsidRPr="00904FCB">
        <w:rPr>
          <w:rFonts w:ascii="Times New Roman" w:hAnsi="Times New Roman" w:hint="cs"/>
          <w:sz w:val="27"/>
          <w:rtl/>
        </w:rPr>
        <w:t>ّ</w:t>
      </w:r>
      <w:r w:rsidRPr="00904FCB">
        <w:rPr>
          <w:rFonts w:ascii="Times New Roman" w:hAnsi="Times New Roman"/>
          <w:sz w:val="27"/>
          <w:rtl/>
        </w:rPr>
        <w:t xml:space="preserve"> بادئ ذي بدء التوث</w:t>
      </w:r>
      <w:r w:rsidR="004566C3" w:rsidRPr="00904FCB">
        <w:rPr>
          <w:rFonts w:ascii="Times New Roman" w:hAnsi="Times New Roman" w:hint="cs"/>
          <w:sz w:val="27"/>
          <w:rtl/>
        </w:rPr>
        <w:t>ُّ</w:t>
      </w:r>
      <w:r w:rsidRPr="00904FCB">
        <w:rPr>
          <w:rFonts w:ascii="Times New Roman" w:hAnsi="Times New Roman"/>
          <w:sz w:val="27"/>
          <w:rtl/>
        </w:rPr>
        <w:t>ق من أسانيدها، ولا مجال للتسامح في أدل</w:t>
      </w:r>
      <w:r w:rsidR="004566C3" w:rsidRPr="00904FCB">
        <w:rPr>
          <w:rFonts w:ascii="Times New Roman" w:hAnsi="Times New Roman" w:hint="cs"/>
          <w:sz w:val="27"/>
          <w:rtl/>
        </w:rPr>
        <w:t>ّ</w:t>
      </w:r>
      <w:r w:rsidRPr="00904FCB">
        <w:rPr>
          <w:rFonts w:ascii="Times New Roman" w:hAnsi="Times New Roman"/>
          <w:sz w:val="27"/>
          <w:rtl/>
        </w:rPr>
        <w:t>ة السنن</w:t>
      </w:r>
      <w:r w:rsidR="004566C3" w:rsidRPr="00904FCB">
        <w:rPr>
          <w:rFonts w:ascii="Times New Roman" w:hAnsi="Times New Roman" w:hint="cs"/>
          <w:sz w:val="27"/>
          <w:rtl/>
        </w:rPr>
        <w:t>؛</w:t>
      </w:r>
      <w:r w:rsidRPr="00904FCB">
        <w:rPr>
          <w:rFonts w:ascii="Times New Roman" w:hAnsi="Times New Roman"/>
          <w:sz w:val="27"/>
          <w:rtl/>
        </w:rPr>
        <w:t xml:space="preserve"> لعدم تمامية القاعدة في نفسها، فضلاً عن أنّ مضمون الرؤيا قد تت</w:t>
      </w:r>
      <w:r w:rsidR="004566C3" w:rsidRPr="00904FCB">
        <w:rPr>
          <w:rFonts w:ascii="Times New Roman" w:hAnsi="Times New Roman" w:hint="cs"/>
          <w:sz w:val="27"/>
          <w:rtl/>
        </w:rPr>
        <w:t>ّ</w:t>
      </w:r>
      <w:r w:rsidRPr="00904FCB">
        <w:rPr>
          <w:rFonts w:ascii="Times New Roman" w:hAnsi="Times New Roman"/>
          <w:sz w:val="27"/>
          <w:rtl/>
        </w:rPr>
        <w:t>صل ببعض القضايا العقدية والشرعية، مم</w:t>
      </w:r>
      <w:r w:rsidR="004566C3" w:rsidRPr="00904FCB">
        <w:rPr>
          <w:rFonts w:ascii="Times New Roman" w:hAnsi="Times New Roman" w:hint="cs"/>
          <w:sz w:val="27"/>
          <w:rtl/>
        </w:rPr>
        <w:t>ّ</w:t>
      </w:r>
      <w:r w:rsidRPr="00904FCB">
        <w:rPr>
          <w:rFonts w:ascii="Times New Roman" w:hAnsi="Times New Roman"/>
          <w:sz w:val="27"/>
          <w:rtl/>
        </w:rPr>
        <w:t>ا لا يمكن التساهل بشأنه</w:t>
      </w:r>
      <w:r w:rsidR="004566C3" w:rsidRPr="00904FCB">
        <w:rPr>
          <w:rFonts w:ascii="Times New Roman" w:hAnsi="Times New Roman" w:hint="cs"/>
          <w:sz w:val="27"/>
          <w:rtl/>
        </w:rPr>
        <w:t>،</w:t>
      </w:r>
      <w:r w:rsidRPr="00904FCB">
        <w:rPr>
          <w:rFonts w:ascii="Times New Roman" w:hAnsi="Times New Roman"/>
          <w:sz w:val="27"/>
          <w:rtl/>
        </w:rPr>
        <w:t xml:space="preserve"> حت</w:t>
      </w:r>
      <w:r w:rsidR="004566C3" w:rsidRPr="00904FCB">
        <w:rPr>
          <w:rFonts w:ascii="Times New Roman" w:hAnsi="Times New Roman" w:hint="cs"/>
          <w:sz w:val="27"/>
          <w:rtl/>
        </w:rPr>
        <w:t>ّ</w:t>
      </w:r>
      <w:r w:rsidRPr="00904FCB">
        <w:rPr>
          <w:rFonts w:ascii="Times New Roman" w:hAnsi="Times New Roman"/>
          <w:sz w:val="27"/>
          <w:rtl/>
        </w:rPr>
        <w:t xml:space="preserve">ى عند القائلين بقاعدة التسامح.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وإنّ واحداً من معايير تقييم صح</w:t>
      </w:r>
      <w:r w:rsidR="004566C3" w:rsidRPr="00904FCB">
        <w:rPr>
          <w:rFonts w:ascii="Times New Roman" w:hAnsi="Times New Roman" w:hint="cs"/>
          <w:sz w:val="27"/>
          <w:rtl/>
        </w:rPr>
        <w:t>ّ</w:t>
      </w:r>
      <w:r w:rsidRPr="00904FCB">
        <w:rPr>
          <w:rFonts w:ascii="Times New Roman" w:hAnsi="Times New Roman"/>
          <w:sz w:val="27"/>
          <w:rtl/>
        </w:rPr>
        <w:t>ة الروايات في هذا المقام هي ملاحظة انطباقها على الواقع، فإذا كانت الرواية مخالفة للواقع فهذا دليل</w:t>
      </w:r>
      <w:r w:rsidR="004566C3" w:rsidRPr="00904FCB">
        <w:rPr>
          <w:rFonts w:ascii="Times New Roman" w:hAnsi="Times New Roman" w:hint="cs"/>
          <w:sz w:val="27"/>
          <w:rtl/>
        </w:rPr>
        <w:t>ٌ</w:t>
      </w:r>
      <w:r w:rsidRPr="00904FCB">
        <w:rPr>
          <w:rFonts w:ascii="Times New Roman" w:hAnsi="Times New Roman"/>
          <w:sz w:val="27"/>
          <w:rtl/>
        </w:rPr>
        <w:t xml:space="preserve"> عدم صدقها</w:t>
      </w:r>
      <w:r w:rsidR="004566C3" w:rsidRPr="00904FCB">
        <w:rPr>
          <w:rFonts w:ascii="Times New Roman" w:hAnsi="Times New Roman" w:hint="cs"/>
          <w:sz w:val="27"/>
          <w:rtl/>
        </w:rPr>
        <w:t>.</w:t>
      </w:r>
      <w:r w:rsidRPr="00904FCB">
        <w:rPr>
          <w:rFonts w:ascii="Times New Roman" w:hAnsi="Times New Roman"/>
          <w:sz w:val="27"/>
          <w:rtl/>
        </w:rPr>
        <w:t xml:space="preserve"> </w:t>
      </w:r>
      <w:r w:rsidR="004566C3" w:rsidRPr="00904FCB">
        <w:rPr>
          <w:rFonts w:ascii="Times New Roman" w:hAnsi="Times New Roman"/>
          <w:sz w:val="27"/>
          <w:rtl/>
        </w:rPr>
        <w:t>فكما قلنا سابق</w:t>
      </w:r>
      <w:r w:rsidR="004566C3" w:rsidRPr="00904FCB">
        <w:rPr>
          <w:rFonts w:ascii="Times New Roman" w:hAnsi="Times New Roman" w:hint="cs"/>
          <w:sz w:val="27"/>
          <w:rtl/>
        </w:rPr>
        <w:t>اً:</w:t>
      </w:r>
      <w:r w:rsidRPr="00904FCB">
        <w:rPr>
          <w:rFonts w:ascii="Times New Roman" w:hAnsi="Times New Roman"/>
          <w:sz w:val="27"/>
          <w:rtl/>
        </w:rPr>
        <w:t xml:space="preserve"> إنّ الميزان في تمييز الرؤيا الصادقة من الكاذبة إن</w:t>
      </w:r>
      <w:r w:rsidR="004566C3" w:rsidRPr="00904FCB">
        <w:rPr>
          <w:rFonts w:ascii="Times New Roman" w:hAnsi="Times New Roman" w:hint="cs"/>
          <w:sz w:val="27"/>
          <w:rtl/>
        </w:rPr>
        <w:t>ّ</w:t>
      </w:r>
      <w:r w:rsidRPr="00904FCB">
        <w:rPr>
          <w:rFonts w:ascii="Times New Roman" w:hAnsi="Times New Roman"/>
          <w:sz w:val="27"/>
          <w:rtl/>
        </w:rPr>
        <w:t xml:space="preserve">ما هو انطباقها على الواقع كذلك نقول هنا إزاء الروايات الواردة في تعبير الرؤيا.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 xml:space="preserve">ثانياً: </w:t>
      </w:r>
      <w:r w:rsidRPr="00904FCB">
        <w:rPr>
          <w:rFonts w:ascii="Times New Roman" w:hAnsi="Times New Roman"/>
          <w:sz w:val="27"/>
          <w:rtl/>
        </w:rPr>
        <w:t>إنّ من الضروري أن ي</w:t>
      </w:r>
      <w:r w:rsidR="00204BF2">
        <w:rPr>
          <w:rFonts w:ascii="Times New Roman" w:hAnsi="Times New Roman" w:hint="cs"/>
          <w:sz w:val="27"/>
          <w:rtl/>
        </w:rPr>
        <w:t>ُ</w:t>
      </w:r>
      <w:r w:rsidRPr="00904FCB">
        <w:rPr>
          <w:rFonts w:ascii="Times New Roman" w:hAnsi="Times New Roman"/>
          <w:sz w:val="27"/>
          <w:rtl/>
        </w:rPr>
        <w:t>صار إلى فرز الروايات الواردة في تفسير الرؤيا وتعبيرها</w:t>
      </w:r>
      <w:r w:rsidR="004566C3" w:rsidRPr="00904FCB">
        <w:rPr>
          <w:rFonts w:ascii="Times New Roman" w:hAnsi="Times New Roman" w:hint="cs"/>
          <w:sz w:val="27"/>
          <w:rtl/>
        </w:rPr>
        <w:t>؛</w:t>
      </w:r>
      <w:r w:rsidRPr="00904FCB">
        <w:rPr>
          <w:rFonts w:ascii="Times New Roman" w:hAnsi="Times New Roman"/>
          <w:sz w:val="27"/>
          <w:rtl/>
        </w:rPr>
        <w:t xml:space="preserve"> لأنّها على أصناف: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الأو</w:t>
      </w:r>
      <w:r w:rsidR="004566C3" w:rsidRPr="00904FCB">
        <w:rPr>
          <w:rFonts w:ascii="Times New Roman" w:hAnsi="Times New Roman" w:hint="cs"/>
          <w:b/>
          <w:bCs/>
          <w:sz w:val="27"/>
          <w:rtl/>
        </w:rPr>
        <w:t>ّ</w:t>
      </w:r>
      <w:r w:rsidRPr="00904FCB">
        <w:rPr>
          <w:rFonts w:ascii="Times New Roman" w:hAnsi="Times New Roman"/>
          <w:b/>
          <w:bCs/>
          <w:sz w:val="27"/>
          <w:rtl/>
        </w:rPr>
        <w:t>ل</w:t>
      </w:r>
      <w:r w:rsidRPr="00904FCB">
        <w:rPr>
          <w:rFonts w:ascii="Times New Roman" w:hAnsi="Times New Roman"/>
          <w:sz w:val="27"/>
          <w:rtl/>
        </w:rPr>
        <w:t>: روايات تتحد</w:t>
      </w:r>
      <w:r w:rsidR="004566C3" w:rsidRPr="00904FCB">
        <w:rPr>
          <w:rFonts w:ascii="Times New Roman" w:hAnsi="Times New Roman" w:hint="cs"/>
          <w:sz w:val="27"/>
          <w:rtl/>
        </w:rPr>
        <w:t>ّ</w:t>
      </w:r>
      <w:r w:rsidRPr="00904FCB">
        <w:rPr>
          <w:rFonts w:ascii="Times New Roman" w:hAnsi="Times New Roman"/>
          <w:sz w:val="27"/>
          <w:rtl/>
        </w:rPr>
        <w:t>ث عن رؤيا النبي</w:t>
      </w:r>
      <w:r w:rsidR="00204BF2">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لأمر</w:t>
      </w:r>
      <w:r w:rsidR="004566C3" w:rsidRPr="00904FCB">
        <w:rPr>
          <w:rFonts w:ascii="Times New Roman" w:hAnsi="Times New Roman" w:hint="cs"/>
          <w:sz w:val="27"/>
          <w:rtl/>
        </w:rPr>
        <w:t>ٍ</w:t>
      </w:r>
      <w:r w:rsidRPr="00904FCB">
        <w:rPr>
          <w:rFonts w:ascii="Times New Roman" w:hAnsi="Times New Roman"/>
          <w:sz w:val="27"/>
          <w:rtl/>
        </w:rPr>
        <w:t xml:space="preserve"> من الأمور أو لشيء معين</w:t>
      </w:r>
      <w:r w:rsidR="004566C3" w:rsidRPr="00904FCB">
        <w:rPr>
          <w:rFonts w:ascii="Times New Roman" w:hAnsi="Times New Roman" w:hint="cs"/>
          <w:sz w:val="27"/>
          <w:rtl/>
        </w:rPr>
        <w:t>.</w:t>
      </w:r>
      <w:r w:rsidRPr="00904FCB">
        <w:rPr>
          <w:rFonts w:ascii="Times New Roman" w:hAnsi="Times New Roman"/>
          <w:sz w:val="27"/>
          <w:rtl/>
        </w:rPr>
        <w:t xml:space="preserve"> وهذا الصنف من الروايات لا يجدي نفعاً في مقام التعر</w:t>
      </w:r>
      <w:r w:rsidR="004566C3" w:rsidRPr="00904FCB">
        <w:rPr>
          <w:rFonts w:ascii="Times New Roman" w:hAnsi="Times New Roman" w:hint="cs"/>
          <w:sz w:val="27"/>
          <w:rtl/>
        </w:rPr>
        <w:t>ُّ</w:t>
      </w:r>
      <w:r w:rsidRPr="00904FCB">
        <w:rPr>
          <w:rFonts w:ascii="Times New Roman" w:hAnsi="Times New Roman"/>
          <w:sz w:val="27"/>
          <w:rtl/>
        </w:rPr>
        <w:t>ف على قواعد تعبير الرؤيا</w:t>
      </w:r>
      <w:r w:rsidR="004566C3" w:rsidRPr="00904FCB">
        <w:rPr>
          <w:rFonts w:ascii="Times New Roman" w:hAnsi="Times New Roman" w:hint="cs"/>
          <w:sz w:val="27"/>
          <w:rtl/>
        </w:rPr>
        <w:t>؛</w:t>
      </w:r>
      <w:r w:rsidRPr="00904FCB">
        <w:rPr>
          <w:rFonts w:ascii="Times New Roman" w:hAnsi="Times New Roman"/>
          <w:sz w:val="27"/>
          <w:rtl/>
        </w:rPr>
        <w:t xml:space="preserve"> والوجه في ذلك </w:t>
      </w:r>
      <w:r w:rsidR="004566C3" w:rsidRPr="00904FCB">
        <w:rPr>
          <w:rFonts w:ascii="Times New Roman" w:hAnsi="Times New Roman" w:hint="cs"/>
          <w:sz w:val="27"/>
          <w:rtl/>
        </w:rPr>
        <w:t>أ</w:t>
      </w:r>
      <w:r w:rsidRPr="00904FCB">
        <w:rPr>
          <w:rFonts w:ascii="Times New Roman" w:hAnsi="Times New Roman"/>
          <w:sz w:val="27"/>
          <w:rtl/>
        </w:rPr>
        <w:t>ننا قد عرفنا أنّ رؤيا النبي</w:t>
      </w:r>
      <w:r w:rsidR="004566C3" w:rsidRPr="00904FCB">
        <w:rPr>
          <w:rFonts w:ascii="Times New Roman" w:hAnsi="Times New Roman" w:hint="cs"/>
          <w:sz w:val="27"/>
          <w:rtl/>
        </w:rPr>
        <w:t>ّ</w:t>
      </w:r>
      <w:r w:rsidRPr="00904FCB">
        <w:rPr>
          <w:rFonts w:ascii="Times New Roman" w:hAnsi="Times New Roman"/>
          <w:sz w:val="27"/>
          <w:rtl/>
        </w:rPr>
        <w:t xml:space="preserve"> هي وحي</w:t>
      </w:r>
      <w:r w:rsidR="004566C3" w:rsidRPr="00904FCB">
        <w:rPr>
          <w:rFonts w:ascii="Times New Roman" w:hAnsi="Times New Roman" w:hint="cs"/>
          <w:sz w:val="27"/>
          <w:rtl/>
        </w:rPr>
        <w:t>ٌ</w:t>
      </w:r>
      <w:r w:rsidRPr="00904FCB">
        <w:rPr>
          <w:rFonts w:ascii="Times New Roman" w:hAnsi="Times New Roman"/>
          <w:sz w:val="27"/>
          <w:rtl/>
        </w:rPr>
        <w:t xml:space="preserve"> إلهي</w:t>
      </w:r>
      <w:r w:rsidR="004566C3" w:rsidRPr="00904FCB">
        <w:rPr>
          <w:rFonts w:ascii="Times New Roman" w:hAnsi="Times New Roman" w:hint="cs"/>
          <w:sz w:val="27"/>
          <w:rtl/>
        </w:rPr>
        <w:t>ّ</w:t>
      </w:r>
      <w:r w:rsidRPr="00904FCB">
        <w:rPr>
          <w:rFonts w:ascii="Times New Roman" w:hAnsi="Times New Roman"/>
          <w:sz w:val="27"/>
          <w:rtl/>
        </w:rPr>
        <w:t>، فلا تقاس برؤيا غيره، كما في رؤياه</w:t>
      </w:r>
      <w:r w:rsidR="00635E51" w:rsidRPr="00904FCB">
        <w:rPr>
          <w:rFonts w:ascii="Times New Roman" w:hAnsi="Times New Roman" w:cs="Mosawi"/>
          <w:sz w:val="27"/>
          <w:szCs w:val="22"/>
          <w:rtl/>
        </w:rPr>
        <w:t>|</w:t>
      </w:r>
      <w:r w:rsidRPr="00904FCB">
        <w:rPr>
          <w:rFonts w:ascii="Times New Roman" w:hAnsi="Times New Roman"/>
          <w:sz w:val="27"/>
          <w:rtl/>
        </w:rPr>
        <w:t xml:space="preserve"> أنّ بعض بني أمي</w:t>
      </w:r>
      <w:r w:rsidR="004566C3" w:rsidRPr="00904FCB">
        <w:rPr>
          <w:rFonts w:ascii="Times New Roman" w:hAnsi="Times New Roman" w:hint="cs"/>
          <w:sz w:val="27"/>
          <w:rtl/>
        </w:rPr>
        <w:t>ّ</w:t>
      </w:r>
      <w:r w:rsidRPr="00904FCB">
        <w:rPr>
          <w:rFonts w:ascii="Times New Roman" w:hAnsi="Times New Roman"/>
          <w:sz w:val="27"/>
          <w:rtl/>
        </w:rPr>
        <w:t>ة يصعدون على منبره</w:t>
      </w:r>
      <w:r w:rsidR="004566C3" w:rsidRPr="00904FCB">
        <w:rPr>
          <w:rFonts w:ascii="Times New Roman" w:hAnsi="Times New Roman" w:hint="cs"/>
          <w:sz w:val="27"/>
          <w:rtl/>
        </w:rPr>
        <w:t>،</w:t>
      </w:r>
      <w:r w:rsidRPr="00904FCB">
        <w:rPr>
          <w:rFonts w:ascii="Times New Roman" w:hAnsi="Times New Roman"/>
          <w:sz w:val="27"/>
          <w:rtl/>
        </w:rPr>
        <w:t xml:space="preserve"> ويُضل</w:t>
      </w:r>
      <w:r w:rsidR="004566C3" w:rsidRPr="00904FCB">
        <w:rPr>
          <w:rFonts w:ascii="Times New Roman" w:hAnsi="Times New Roman" w:hint="cs"/>
          <w:sz w:val="27"/>
          <w:rtl/>
        </w:rPr>
        <w:t>ّ</w:t>
      </w:r>
      <w:r w:rsidRPr="00904FCB">
        <w:rPr>
          <w:rFonts w:ascii="Times New Roman" w:hAnsi="Times New Roman"/>
          <w:sz w:val="27"/>
          <w:rtl/>
        </w:rPr>
        <w:t xml:space="preserve">ون الناس </w:t>
      </w:r>
      <w:r w:rsidRPr="00904FCB">
        <w:rPr>
          <w:rFonts w:ascii="Times New Roman" w:hAnsi="Times New Roman"/>
          <w:sz w:val="27"/>
          <w:rtl/>
        </w:rPr>
        <w:lastRenderedPageBreak/>
        <w:t>ويرد</w:t>
      </w:r>
      <w:r w:rsidR="004566C3" w:rsidRPr="00904FCB">
        <w:rPr>
          <w:rFonts w:ascii="Times New Roman" w:hAnsi="Times New Roman" w:hint="cs"/>
          <w:sz w:val="27"/>
          <w:rtl/>
        </w:rPr>
        <w:t>ّ</w:t>
      </w:r>
      <w:r w:rsidRPr="00904FCB">
        <w:rPr>
          <w:rFonts w:ascii="Times New Roman" w:hAnsi="Times New Roman"/>
          <w:sz w:val="27"/>
          <w:rtl/>
        </w:rPr>
        <w:t>ونهم القهقر</w:t>
      </w:r>
      <w:r w:rsidR="004566C3" w:rsidRPr="00904FCB">
        <w:rPr>
          <w:rFonts w:ascii="Times New Roman" w:hAnsi="Times New Roman" w:hint="cs"/>
          <w:sz w:val="27"/>
          <w:rtl/>
        </w:rPr>
        <w:t>ى.</w:t>
      </w:r>
      <w:r w:rsidRPr="00904FCB">
        <w:rPr>
          <w:rFonts w:ascii="Times New Roman" w:hAnsi="Times New Roman"/>
          <w:sz w:val="27"/>
          <w:rtl/>
        </w:rPr>
        <w:t xml:space="preserve"> وقد ر</w:t>
      </w:r>
      <w:r w:rsidR="004566C3" w:rsidRPr="00904FCB">
        <w:rPr>
          <w:rFonts w:ascii="Times New Roman" w:hAnsi="Times New Roman" w:hint="cs"/>
          <w:sz w:val="27"/>
          <w:rtl/>
        </w:rPr>
        <w:t>ُ</w:t>
      </w:r>
      <w:r w:rsidRPr="00904FCB">
        <w:rPr>
          <w:rFonts w:ascii="Times New Roman" w:hAnsi="Times New Roman"/>
          <w:sz w:val="27"/>
          <w:rtl/>
        </w:rPr>
        <w:t>ؤي النبي</w:t>
      </w:r>
      <w:r w:rsidR="00204BF2">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حزيناً</w:t>
      </w:r>
      <w:r w:rsidR="004566C3" w:rsidRPr="00904FCB">
        <w:rPr>
          <w:rFonts w:ascii="Times New Roman" w:hAnsi="Times New Roman" w:hint="cs"/>
          <w:sz w:val="27"/>
          <w:rtl/>
        </w:rPr>
        <w:t>،</w:t>
      </w:r>
      <w:r w:rsidRPr="00904FCB">
        <w:rPr>
          <w:rFonts w:ascii="Times New Roman" w:hAnsi="Times New Roman"/>
          <w:sz w:val="27"/>
          <w:rtl/>
        </w:rPr>
        <w:t xml:space="preserve"> فلم</w:t>
      </w:r>
      <w:r w:rsidR="004566C3" w:rsidRPr="00904FCB">
        <w:rPr>
          <w:rFonts w:ascii="Times New Roman" w:hAnsi="Times New Roman" w:hint="cs"/>
          <w:sz w:val="27"/>
          <w:rtl/>
        </w:rPr>
        <w:t>ّ</w:t>
      </w:r>
      <w:r w:rsidRPr="00904FCB">
        <w:rPr>
          <w:rFonts w:ascii="Times New Roman" w:hAnsi="Times New Roman"/>
          <w:sz w:val="27"/>
          <w:rtl/>
        </w:rPr>
        <w:t>ا س</w:t>
      </w:r>
      <w:r w:rsidR="004566C3" w:rsidRPr="00904FCB">
        <w:rPr>
          <w:rFonts w:ascii="Times New Roman" w:hAnsi="Times New Roman" w:hint="cs"/>
          <w:sz w:val="27"/>
          <w:rtl/>
        </w:rPr>
        <w:t>ُ</w:t>
      </w:r>
      <w:r w:rsidRPr="00904FCB">
        <w:rPr>
          <w:rFonts w:ascii="Times New Roman" w:hAnsi="Times New Roman"/>
          <w:sz w:val="27"/>
          <w:rtl/>
        </w:rPr>
        <w:t>ئل عن سبب حزنه حكى لهم قص</w:t>
      </w:r>
      <w:r w:rsidR="004566C3" w:rsidRPr="00904FCB">
        <w:rPr>
          <w:rFonts w:ascii="Times New Roman" w:hAnsi="Times New Roman" w:hint="cs"/>
          <w:sz w:val="27"/>
          <w:rtl/>
        </w:rPr>
        <w:t>ّ</w:t>
      </w:r>
      <w:r w:rsidRPr="00904FCB">
        <w:rPr>
          <w:rFonts w:ascii="Times New Roman" w:hAnsi="Times New Roman"/>
          <w:sz w:val="27"/>
          <w:rtl/>
        </w:rPr>
        <w:t>ة المنام، وقيل: إن</w:t>
      </w:r>
      <w:r w:rsidR="004566C3" w:rsidRPr="00904FCB">
        <w:rPr>
          <w:rFonts w:ascii="Times New Roman" w:hAnsi="Times New Roman" w:hint="cs"/>
          <w:sz w:val="27"/>
          <w:rtl/>
        </w:rPr>
        <w:t>ّ</w:t>
      </w:r>
      <w:r w:rsidRPr="00904FCB">
        <w:rPr>
          <w:rFonts w:ascii="Times New Roman" w:hAnsi="Times New Roman"/>
          <w:sz w:val="27"/>
          <w:rtl/>
        </w:rPr>
        <w:t xml:space="preserve">ه إثر ذلك نزل قوله تعالى: </w:t>
      </w:r>
      <w:r w:rsidRPr="00904FCB">
        <w:rPr>
          <w:rFonts w:ascii="Mosawi" w:hAnsi="Mosawi" w:cs="Mosawi"/>
          <w:sz w:val="24"/>
          <w:szCs w:val="24"/>
          <w:rtl/>
        </w:rPr>
        <w:t>﴿</w:t>
      </w:r>
      <w:r w:rsidR="004566C3" w:rsidRPr="00904FCB">
        <w:rPr>
          <w:b/>
          <w:bCs/>
          <w:sz w:val="27"/>
          <w:rtl/>
        </w:rPr>
        <w:t>وَمَا جَعَلْنَا الرُّؤْيَا الَّتِي أَرَيْنَاكَ إِلاَّ فِتْنَةً لِلنَّاسِ وَالشَّجَرَةَ الْمَلْعُونَةَ فِي الْقُرْآنِ</w:t>
      </w:r>
      <w:r w:rsidRPr="00904FCB">
        <w:rPr>
          <w:rFonts w:ascii="Mosawi" w:hAnsi="Mosawi" w:cs="Mosawi"/>
          <w:sz w:val="24"/>
          <w:szCs w:val="24"/>
          <w:rtl/>
        </w:rPr>
        <w:t>﴾</w:t>
      </w:r>
      <w:r w:rsidRPr="00904FCB">
        <w:rPr>
          <w:rFonts w:ascii="Times New Roman" w:hAnsi="Times New Roman" w:hint="cs"/>
          <w:sz w:val="27"/>
          <w:rtl/>
        </w:rPr>
        <w:t xml:space="preserve"> (</w:t>
      </w:r>
      <w:r w:rsidRPr="00904FCB">
        <w:rPr>
          <w:rFonts w:ascii="Times New Roman" w:hAnsi="Times New Roman"/>
          <w:sz w:val="27"/>
          <w:rtl/>
        </w:rPr>
        <w:t>الإسراء</w:t>
      </w:r>
      <w:r w:rsidRPr="00554592">
        <w:rPr>
          <w:rFonts w:ascii="Times New Roman" w:hAnsi="Times New Roman"/>
          <w:sz w:val="27"/>
          <w:rtl/>
        </w:rPr>
        <w:t>: 6</w:t>
      </w:r>
      <w:r w:rsidRPr="00904FCB">
        <w:rPr>
          <w:rFonts w:ascii="Times New Roman" w:hAnsi="Times New Roman"/>
          <w:sz w:val="27"/>
          <w:rtl/>
        </w:rPr>
        <w:t>)</w:t>
      </w:r>
      <w:r w:rsidRPr="00904FCB">
        <w:rPr>
          <w:rFonts w:hint="cs"/>
          <w:sz w:val="27"/>
          <w:vertAlign w:val="superscript"/>
          <w:rtl/>
        </w:rPr>
        <w:t>(</w:t>
      </w:r>
      <w:r w:rsidRPr="00904FCB">
        <w:rPr>
          <w:rStyle w:val="ac"/>
          <w:sz w:val="27"/>
          <w:rtl/>
        </w:rPr>
        <w:endnoteReference w:id="556"/>
      </w:r>
      <w:r w:rsidRPr="00904FCB">
        <w:rPr>
          <w:rFonts w:hint="cs"/>
          <w:sz w:val="27"/>
          <w:vertAlign w:val="superscript"/>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الثاني</w:t>
      </w:r>
      <w:r w:rsidRPr="00904FCB">
        <w:rPr>
          <w:rFonts w:ascii="Times New Roman" w:hAnsi="Times New Roman"/>
          <w:sz w:val="27"/>
          <w:rtl/>
        </w:rPr>
        <w:t>: هو روايات واردة في بيان حقيقة المنام</w:t>
      </w:r>
      <w:r w:rsidRPr="00904FCB">
        <w:rPr>
          <w:rFonts w:hint="cs"/>
          <w:sz w:val="27"/>
          <w:vertAlign w:val="superscript"/>
          <w:rtl/>
        </w:rPr>
        <w:t>(</w:t>
      </w:r>
      <w:r w:rsidRPr="00904FCB">
        <w:rPr>
          <w:rStyle w:val="ac"/>
          <w:sz w:val="27"/>
          <w:rtl/>
        </w:rPr>
        <w:endnoteReference w:id="557"/>
      </w:r>
      <w:r w:rsidRPr="00904FCB">
        <w:rPr>
          <w:rFonts w:hint="cs"/>
          <w:sz w:val="27"/>
          <w:vertAlign w:val="superscript"/>
          <w:rtl/>
        </w:rPr>
        <w:t>)</w:t>
      </w:r>
      <w:r w:rsidRPr="00904FCB">
        <w:rPr>
          <w:rFonts w:ascii="Times New Roman" w:hAnsi="Times New Roman"/>
          <w:sz w:val="27"/>
          <w:rtl/>
        </w:rPr>
        <w:t>، أو بيان أقسامه وأنواعه</w:t>
      </w:r>
      <w:r w:rsidRPr="00904FCB">
        <w:rPr>
          <w:rFonts w:hint="cs"/>
          <w:sz w:val="27"/>
          <w:vertAlign w:val="superscript"/>
          <w:rtl/>
        </w:rPr>
        <w:t>(</w:t>
      </w:r>
      <w:r w:rsidRPr="00904FCB">
        <w:rPr>
          <w:rStyle w:val="ac"/>
          <w:sz w:val="27"/>
          <w:rtl/>
        </w:rPr>
        <w:endnoteReference w:id="558"/>
      </w:r>
      <w:r w:rsidRPr="00904FCB">
        <w:rPr>
          <w:rFonts w:hint="cs"/>
          <w:sz w:val="27"/>
          <w:vertAlign w:val="superscript"/>
          <w:rtl/>
        </w:rPr>
        <w:t>)</w:t>
      </w:r>
      <w:r w:rsidR="004566C3" w:rsidRPr="00904FCB">
        <w:rPr>
          <w:rFonts w:ascii="Times New Roman" w:hAnsi="Times New Roman" w:hint="cs"/>
          <w:sz w:val="27"/>
          <w:rtl/>
        </w:rPr>
        <w:t>،</w:t>
      </w:r>
      <w:r w:rsidRPr="00904FCB">
        <w:rPr>
          <w:rFonts w:ascii="Times New Roman" w:hAnsi="Times New Roman" w:hint="cs"/>
          <w:sz w:val="27"/>
          <w:rtl/>
        </w:rPr>
        <w:t xml:space="preserve"> </w:t>
      </w:r>
      <w:r w:rsidR="004566C3" w:rsidRPr="00904FCB">
        <w:rPr>
          <w:rFonts w:ascii="Times New Roman" w:hAnsi="Times New Roman"/>
          <w:sz w:val="27"/>
          <w:rtl/>
        </w:rPr>
        <w:t>أو بيان صفات المُعب</w:t>
      </w:r>
      <w:r w:rsidR="004566C3" w:rsidRPr="00904FCB">
        <w:rPr>
          <w:rFonts w:ascii="Times New Roman" w:hAnsi="Times New Roman" w:hint="cs"/>
          <w:sz w:val="27"/>
          <w:rtl/>
        </w:rPr>
        <w:t>ِّ</w:t>
      </w:r>
      <w:r w:rsidRPr="00904FCB">
        <w:rPr>
          <w:rFonts w:ascii="Times New Roman" w:hAnsi="Times New Roman"/>
          <w:sz w:val="27"/>
          <w:rtl/>
        </w:rPr>
        <w:t>ر للرؤيا</w:t>
      </w:r>
      <w:r w:rsidRPr="00904FCB">
        <w:rPr>
          <w:rFonts w:hint="cs"/>
          <w:sz w:val="27"/>
          <w:vertAlign w:val="superscript"/>
          <w:rtl/>
        </w:rPr>
        <w:t>(</w:t>
      </w:r>
      <w:r w:rsidRPr="00904FCB">
        <w:rPr>
          <w:rStyle w:val="ac"/>
          <w:sz w:val="27"/>
          <w:rtl/>
        </w:rPr>
        <w:endnoteReference w:id="559"/>
      </w:r>
      <w:r w:rsidRPr="00904FCB">
        <w:rPr>
          <w:rFonts w:hint="cs"/>
          <w:sz w:val="27"/>
          <w:vertAlign w:val="superscript"/>
          <w:rtl/>
        </w:rPr>
        <w:t>)</w:t>
      </w:r>
      <w:r w:rsidR="004566C3" w:rsidRPr="00904FCB">
        <w:rPr>
          <w:rFonts w:hint="cs"/>
          <w:sz w:val="27"/>
          <w:rtl/>
        </w:rPr>
        <w:t>،</w:t>
      </w:r>
      <w:r w:rsidRPr="00904FCB">
        <w:rPr>
          <w:rFonts w:ascii="Times New Roman" w:hAnsi="Times New Roman" w:hint="cs"/>
          <w:sz w:val="27"/>
          <w:rtl/>
        </w:rPr>
        <w:t xml:space="preserve"> </w:t>
      </w:r>
      <w:r w:rsidRPr="00904FCB">
        <w:rPr>
          <w:rFonts w:ascii="Times New Roman" w:hAnsi="Times New Roman"/>
          <w:sz w:val="27"/>
          <w:rtl/>
        </w:rPr>
        <w:t>أو بيان علامات الرؤيا الصادقة</w:t>
      </w:r>
      <w:r w:rsidRPr="00904FCB">
        <w:rPr>
          <w:rFonts w:hint="cs"/>
          <w:sz w:val="27"/>
          <w:vertAlign w:val="superscript"/>
          <w:rtl/>
        </w:rPr>
        <w:t>(</w:t>
      </w:r>
      <w:r w:rsidRPr="00904FCB">
        <w:rPr>
          <w:rStyle w:val="ac"/>
          <w:sz w:val="27"/>
          <w:rtl/>
        </w:rPr>
        <w:endnoteReference w:id="560"/>
      </w:r>
      <w:r w:rsidRPr="00904FCB">
        <w:rPr>
          <w:rFonts w:hint="cs"/>
          <w:sz w:val="27"/>
          <w:vertAlign w:val="superscript"/>
          <w:rtl/>
        </w:rPr>
        <w:t>)</w:t>
      </w:r>
      <w:r w:rsidRPr="00904FCB">
        <w:rPr>
          <w:rFonts w:ascii="Times New Roman" w:hAnsi="Times New Roman" w:hint="cs"/>
          <w:sz w:val="27"/>
          <w:rtl/>
        </w:rPr>
        <w:t xml:space="preserve"> </w:t>
      </w:r>
      <w:r w:rsidRPr="00904FCB">
        <w:rPr>
          <w:rFonts w:ascii="Times New Roman" w:hAnsi="Times New Roman"/>
          <w:sz w:val="27"/>
          <w:rtl/>
        </w:rPr>
        <w:t>وفرقها عن الكاذبة</w:t>
      </w:r>
      <w:r w:rsidR="004566C3" w:rsidRPr="00904FCB">
        <w:rPr>
          <w:rFonts w:ascii="Times New Roman" w:hAnsi="Times New Roman" w:hint="cs"/>
          <w:sz w:val="27"/>
          <w:rtl/>
        </w:rPr>
        <w:t>.</w:t>
      </w:r>
      <w:r w:rsidRPr="00904FCB">
        <w:rPr>
          <w:rFonts w:ascii="Times New Roman" w:hAnsi="Times New Roman"/>
          <w:sz w:val="27"/>
          <w:rtl/>
        </w:rPr>
        <w:t xml:space="preserve"> وهذا الصنف من الروايات مهم</w:t>
      </w:r>
      <w:r w:rsidR="004566C3" w:rsidRPr="00904FCB">
        <w:rPr>
          <w:rFonts w:ascii="Times New Roman" w:hAnsi="Times New Roman" w:hint="cs"/>
          <w:sz w:val="27"/>
          <w:rtl/>
        </w:rPr>
        <w:t>ٌّ</w:t>
      </w:r>
      <w:r w:rsidRPr="00904FCB">
        <w:rPr>
          <w:rFonts w:ascii="Times New Roman" w:hAnsi="Times New Roman"/>
          <w:sz w:val="27"/>
          <w:rtl/>
        </w:rPr>
        <w:t>، ويمكن أن يُست</w:t>
      </w:r>
      <w:r w:rsidR="004566C3" w:rsidRPr="00904FCB">
        <w:rPr>
          <w:rFonts w:ascii="Times New Roman" w:hAnsi="Times New Roman" w:hint="cs"/>
          <w:sz w:val="27"/>
          <w:rtl/>
        </w:rPr>
        <w:t>َ</w:t>
      </w:r>
      <w:r w:rsidRPr="00904FCB">
        <w:rPr>
          <w:rFonts w:ascii="Times New Roman" w:hAnsi="Times New Roman"/>
          <w:sz w:val="27"/>
          <w:rtl/>
        </w:rPr>
        <w:t>ل</w:t>
      </w:r>
      <w:r w:rsidR="004566C3" w:rsidRPr="00904FCB">
        <w:rPr>
          <w:rFonts w:ascii="Times New Roman" w:hAnsi="Times New Roman" w:hint="cs"/>
          <w:sz w:val="27"/>
          <w:rtl/>
        </w:rPr>
        <w:t>ْ</w:t>
      </w:r>
      <w:r w:rsidRPr="00904FCB">
        <w:rPr>
          <w:rFonts w:ascii="Times New Roman" w:hAnsi="Times New Roman"/>
          <w:sz w:val="27"/>
          <w:rtl/>
        </w:rPr>
        <w:t>ه</w:t>
      </w:r>
      <w:r w:rsidR="004566C3" w:rsidRPr="00904FCB">
        <w:rPr>
          <w:rFonts w:ascii="Times New Roman" w:hAnsi="Times New Roman" w:hint="cs"/>
          <w:sz w:val="27"/>
          <w:rtl/>
        </w:rPr>
        <w:t>َ</w:t>
      </w:r>
      <w:r w:rsidRPr="00904FCB">
        <w:rPr>
          <w:rFonts w:ascii="Times New Roman" w:hAnsi="Times New Roman"/>
          <w:sz w:val="27"/>
          <w:rtl/>
        </w:rPr>
        <w:t>م منه بعض ضوابط تعبير الرؤيا، إلاّ أنّ الأخذ بهذه الروايات منوط</w:t>
      </w:r>
      <w:r w:rsidR="004566C3" w:rsidRPr="00904FCB">
        <w:rPr>
          <w:rFonts w:ascii="Times New Roman" w:hAnsi="Times New Roman" w:hint="cs"/>
          <w:sz w:val="27"/>
          <w:rtl/>
        </w:rPr>
        <w:t>ٌ</w:t>
      </w:r>
      <w:r w:rsidRPr="00904FCB">
        <w:rPr>
          <w:rFonts w:ascii="Times New Roman" w:hAnsi="Times New Roman"/>
          <w:sz w:val="27"/>
          <w:rtl/>
        </w:rPr>
        <w:t xml:space="preserve"> بصحتها سنداً أيضاً. </w:t>
      </w:r>
    </w:p>
    <w:p w:rsidR="00057E24" w:rsidRPr="00904FCB" w:rsidRDefault="00057E24" w:rsidP="007A21AA">
      <w:pPr>
        <w:spacing w:line="400" w:lineRule="exact"/>
        <w:rPr>
          <w:rFonts w:ascii="Times New Roman" w:hAnsi="Times New Roman"/>
          <w:sz w:val="27"/>
        </w:rPr>
      </w:pPr>
      <w:r w:rsidRPr="00904FCB">
        <w:rPr>
          <w:rFonts w:ascii="Times New Roman" w:hAnsi="Times New Roman"/>
          <w:b/>
          <w:bCs/>
          <w:sz w:val="27"/>
          <w:rtl/>
        </w:rPr>
        <w:t>الثالث</w:t>
      </w:r>
      <w:r w:rsidRPr="00904FCB">
        <w:rPr>
          <w:rFonts w:ascii="Times New Roman" w:hAnsi="Times New Roman"/>
          <w:sz w:val="27"/>
          <w:rtl/>
        </w:rPr>
        <w:t>: هو الروايات الواردة في تعبير بعض الرؤى من ق</w:t>
      </w:r>
      <w:r w:rsidR="00F74FE9" w:rsidRPr="00904FCB">
        <w:rPr>
          <w:rFonts w:ascii="Times New Roman" w:hAnsi="Times New Roman" w:hint="cs"/>
          <w:sz w:val="27"/>
          <w:rtl/>
        </w:rPr>
        <w:t>ِ</w:t>
      </w:r>
      <w:r w:rsidRPr="00904FCB">
        <w:rPr>
          <w:rFonts w:ascii="Times New Roman" w:hAnsi="Times New Roman"/>
          <w:sz w:val="27"/>
          <w:rtl/>
        </w:rPr>
        <w:t>ب</w:t>
      </w:r>
      <w:r w:rsidR="00F74FE9" w:rsidRPr="00904FCB">
        <w:rPr>
          <w:rFonts w:ascii="Times New Roman" w:hAnsi="Times New Roman" w:hint="cs"/>
          <w:sz w:val="27"/>
          <w:rtl/>
        </w:rPr>
        <w:t>َ</w:t>
      </w:r>
      <w:r w:rsidRPr="00904FCB">
        <w:rPr>
          <w:rFonts w:ascii="Times New Roman" w:hAnsi="Times New Roman"/>
          <w:sz w:val="27"/>
          <w:rtl/>
        </w:rPr>
        <w:t>ل النبي</w:t>
      </w:r>
      <w:r w:rsidR="00F74FE9"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أو الإمام</w:t>
      </w:r>
      <w:r w:rsidR="001C1A2A" w:rsidRPr="00904FCB">
        <w:rPr>
          <w:rFonts w:ascii="Times New Roman" w:hAnsi="Times New Roman" w:cs="Mosawi"/>
          <w:sz w:val="27"/>
          <w:szCs w:val="22"/>
          <w:rtl/>
        </w:rPr>
        <w:t>×</w:t>
      </w:r>
      <w:r w:rsidRPr="00904FCB">
        <w:rPr>
          <w:rFonts w:ascii="Times New Roman" w:hAnsi="Times New Roman"/>
          <w:sz w:val="27"/>
          <w:rtl/>
        </w:rPr>
        <w:t>، من قبيل</w:t>
      </w:r>
      <w:r w:rsidR="00F74FE9" w:rsidRPr="00904FCB">
        <w:rPr>
          <w:rFonts w:ascii="Times New Roman" w:hAnsi="Times New Roman" w:hint="cs"/>
          <w:sz w:val="27"/>
          <w:rtl/>
        </w:rPr>
        <w:t>:</w:t>
      </w:r>
      <w:r w:rsidRPr="00904FCB">
        <w:rPr>
          <w:rFonts w:ascii="Times New Roman" w:hAnsi="Times New Roman"/>
          <w:sz w:val="27"/>
          <w:rtl/>
        </w:rPr>
        <w:t xml:space="preserve"> ما ر</w:t>
      </w:r>
      <w:r w:rsidR="00F74FE9" w:rsidRPr="00904FCB">
        <w:rPr>
          <w:rFonts w:ascii="Times New Roman" w:hAnsi="Times New Roman" w:hint="cs"/>
          <w:sz w:val="27"/>
          <w:rtl/>
        </w:rPr>
        <w:t>ُ</w:t>
      </w:r>
      <w:r w:rsidRPr="00904FCB">
        <w:rPr>
          <w:rFonts w:ascii="Times New Roman" w:hAnsi="Times New Roman"/>
          <w:sz w:val="27"/>
          <w:rtl/>
        </w:rPr>
        <w:t>وي عن الإمام الصادق</w:t>
      </w:r>
      <w:r w:rsidR="001C1A2A" w:rsidRPr="00904FCB">
        <w:rPr>
          <w:rFonts w:ascii="Times New Roman" w:hAnsi="Times New Roman" w:cs="Mosawi"/>
          <w:sz w:val="27"/>
          <w:szCs w:val="22"/>
          <w:rtl/>
        </w:rPr>
        <w:t>×</w:t>
      </w:r>
      <w:r w:rsidRPr="00904FCB">
        <w:rPr>
          <w:rFonts w:ascii="Times New Roman" w:hAnsi="Times New Roman"/>
          <w:sz w:val="27"/>
          <w:rtl/>
        </w:rPr>
        <w:t xml:space="preserve"> بسندٍ لا</w:t>
      </w:r>
      <w:r w:rsidR="00F74FE9" w:rsidRPr="00904FCB">
        <w:rPr>
          <w:rFonts w:ascii="Times New Roman" w:hAnsi="Times New Roman" w:hint="cs"/>
          <w:sz w:val="27"/>
          <w:rtl/>
        </w:rPr>
        <w:t xml:space="preserve"> </w:t>
      </w:r>
      <w:r w:rsidRPr="00904FCB">
        <w:rPr>
          <w:rFonts w:ascii="Times New Roman" w:hAnsi="Times New Roman"/>
          <w:sz w:val="27"/>
          <w:rtl/>
        </w:rPr>
        <w:t xml:space="preserve">بأس به: </w:t>
      </w:r>
      <w:r w:rsidRPr="00904FCB">
        <w:rPr>
          <w:rFonts w:hint="eastAsia"/>
          <w:sz w:val="27"/>
          <w:rtl/>
        </w:rPr>
        <w:t>«</w:t>
      </w:r>
      <w:r w:rsidRPr="00904FCB">
        <w:rPr>
          <w:rFonts w:ascii="Times New Roman" w:hAnsi="Times New Roman"/>
          <w:sz w:val="27"/>
          <w:rtl/>
        </w:rPr>
        <w:t>م</w:t>
      </w:r>
      <w:r w:rsidR="00F74FE9" w:rsidRPr="00904FCB">
        <w:rPr>
          <w:rFonts w:ascii="Times New Roman" w:hAnsi="Times New Roman" w:hint="cs"/>
          <w:sz w:val="27"/>
          <w:rtl/>
        </w:rPr>
        <w:t>َ</w:t>
      </w:r>
      <w:r w:rsidRPr="00904FCB">
        <w:rPr>
          <w:rFonts w:ascii="Times New Roman" w:hAnsi="Times New Roman"/>
          <w:sz w:val="27"/>
          <w:rtl/>
        </w:rPr>
        <w:t>ن</w:t>
      </w:r>
      <w:r w:rsidR="00F74FE9" w:rsidRPr="00904FCB">
        <w:rPr>
          <w:rFonts w:ascii="Times New Roman" w:hAnsi="Times New Roman" w:hint="cs"/>
          <w:sz w:val="27"/>
          <w:rtl/>
        </w:rPr>
        <w:t>ْ</w:t>
      </w:r>
      <w:r w:rsidRPr="00904FCB">
        <w:rPr>
          <w:rFonts w:ascii="Times New Roman" w:hAnsi="Times New Roman"/>
          <w:sz w:val="27"/>
          <w:rtl/>
        </w:rPr>
        <w:t xml:space="preserve"> رأى أنه في الح</w:t>
      </w:r>
      <w:r w:rsidR="00F74FE9" w:rsidRPr="00904FCB">
        <w:rPr>
          <w:rFonts w:ascii="Times New Roman" w:hAnsi="Times New Roman" w:hint="cs"/>
          <w:sz w:val="27"/>
          <w:rtl/>
        </w:rPr>
        <w:t>َ</w:t>
      </w:r>
      <w:r w:rsidRPr="00904FCB">
        <w:rPr>
          <w:rFonts w:ascii="Times New Roman" w:hAnsi="Times New Roman"/>
          <w:sz w:val="27"/>
          <w:rtl/>
        </w:rPr>
        <w:t>ر</w:t>
      </w:r>
      <w:r w:rsidR="00F74FE9" w:rsidRPr="00904FCB">
        <w:rPr>
          <w:rFonts w:ascii="Times New Roman" w:hAnsi="Times New Roman" w:hint="cs"/>
          <w:sz w:val="27"/>
          <w:rtl/>
        </w:rPr>
        <w:t>َ</w:t>
      </w:r>
      <w:r w:rsidRPr="00904FCB">
        <w:rPr>
          <w:rFonts w:ascii="Times New Roman" w:hAnsi="Times New Roman"/>
          <w:sz w:val="27"/>
          <w:rtl/>
        </w:rPr>
        <w:t>م وكان خائفاً أ</w:t>
      </w:r>
      <w:r w:rsidR="00F74FE9" w:rsidRPr="00904FCB">
        <w:rPr>
          <w:rFonts w:ascii="Times New Roman" w:hAnsi="Times New Roman" w:hint="cs"/>
          <w:sz w:val="27"/>
          <w:rtl/>
        </w:rPr>
        <w:t>َ</w:t>
      </w:r>
      <w:r w:rsidRPr="00904FCB">
        <w:rPr>
          <w:rFonts w:ascii="Times New Roman" w:hAnsi="Times New Roman"/>
          <w:sz w:val="27"/>
          <w:rtl/>
        </w:rPr>
        <w:t>م</w:t>
      </w:r>
      <w:r w:rsidR="00F74FE9" w:rsidRPr="00904FCB">
        <w:rPr>
          <w:rFonts w:ascii="Times New Roman" w:hAnsi="Times New Roman" w:hint="cs"/>
          <w:sz w:val="27"/>
          <w:rtl/>
        </w:rPr>
        <w:t>ِ</w:t>
      </w:r>
      <w:r w:rsidRPr="00904FCB">
        <w:rPr>
          <w:rFonts w:ascii="Times New Roman" w:hAnsi="Times New Roman"/>
          <w:sz w:val="27"/>
          <w:rtl/>
        </w:rPr>
        <w:t>ن</w:t>
      </w:r>
      <w:r w:rsidRPr="00904FCB">
        <w:rPr>
          <w:rFonts w:hint="eastAsia"/>
          <w:sz w:val="27"/>
          <w:rtl/>
        </w:rPr>
        <w:t>»</w:t>
      </w:r>
      <w:r w:rsidRPr="00904FCB">
        <w:rPr>
          <w:rFonts w:hint="cs"/>
          <w:sz w:val="27"/>
          <w:vertAlign w:val="superscript"/>
          <w:rtl/>
        </w:rPr>
        <w:t>(</w:t>
      </w:r>
      <w:r w:rsidRPr="00904FCB">
        <w:rPr>
          <w:rStyle w:val="ac"/>
          <w:sz w:val="27"/>
          <w:rtl/>
        </w:rPr>
        <w:endnoteReference w:id="561"/>
      </w:r>
      <w:r w:rsidRPr="00904FCB">
        <w:rPr>
          <w:rFonts w:hint="cs"/>
          <w:sz w:val="27"/>
          <w:vertAlign w:val="superscript"/>
          <w:rtl/>
        </w:rPr>
        <w:t>)</w:t>
      </w:r>
      <w:r w:rsidR="00F74FE9" w:rsidRPr="00904FCB">
        <w:rPr>
          <w:rFonts w:ascii="Times New Roman" w:hAnsi="Times New Roman" w:hint="cs"/>
          <w:sz w:val="27"/>
          <w:rtl/>
        </w:rPr>
        <w:t>.</w:t>
      </w:r>
      <w:r w:rsidRPr="00904FCB">
        <w:rPr>
          <w:rFonts w:ascii="Times New Roman" w:hAnsi="Times New Roman"/>
          <w:sz w:val="27"/>
          <w:rtl/>
        </w:rPr>
        <w:t xml:space="preserve"> ونحو ذلك ما ورد في أنّ أم</w:t>
      </w:r>
      <w:r w:rsidR="00F74FE9" w:rsidRPr="00904FCB">
        <w:rPr>
          <w:rFonts w:ascii="Times New Roman" w:hAnsi="Times New Roman" w:hint="cs"/>
          <w:sz w:val="27"/>
          <w:rtl/>
        </w:rPr>
        <w:t>ّ</w:t>
      </w:r>
      <w:r w:rsidRPr="00904FCB">
        <w:rPr>
          <w:rFonts w:ascii="Times New Roman" w:hAnsi="Times New Roman"/>
          <w:sz w:val="27"/>
          <w:rtl/>
        </w:rPr>
        <w:t xml:space="preserve"> الفضل رأ</w:t>
      </w:r>
      <w:r w:rsidR="00F74FE9" w:rsidRPr="00904FCB">
        <w:rPr>
          <w:rFonts w:ascii="Times New Roman" w:hAnsi="Times New Roman" w:hint="cs"/>
          <w:sz w:val="27"/>
          <w:rtl/>
        </w:rPr>
        <w:t>َ</w:t>
      </w:r>
      <w:r w:rsidRPr="00904FCB">
        <w:rPr>
          <w:rFonts w:ascii="Times New Roman" w:hAnsi="Times New Roman"/>
          <w:sz w:val="27"/>
          <w:rtl/>
        </w:rPr>
        <w:t>ت</w:t>
      </w:r>
      <w:r w:rsidR="00F74FE9" w:rsidRPr="00904FCB">
        <w:rPr>
          <w:rFonts w:ascii="Times New Roman" w:hAnsi="Times New Roman" w:hint="cs"/>
          <w:sz w:val="27"/>
          <w:rtl/>
        </w:rPr>
        <w:t>ْ</w:t>
      </w:r>
      <w:r w:rsidRPr="00904FCB">
        <w:rPr>
          <w:rFonts w:ascii="Times New Roman" w:hAnsi="Times New Roman"/>
          <w:sz w:val="27"/>
          <w:rtl/>
        </w:rPr>
        <w:t xml:space="preserve"> أنّ قطعة</w:t>
      </w:r>
      <w:r w:rsidR="00204BF2">
        <w:rPr>
          <w:rFonts w:ascii="Times New Roman" w:hAnsi="Times New Roman" w:hint="cs"/>
          <w:sz w:val="27"/>
          <w:rtl/>
        </w:rPr>
        <w:t>ً</w:t>
      </w:r>
      <w:r w:rsidRPr="00904FCB">
        <w:rPr>
          <w:rFonts w:ascii="Times New Roman" w:hAnsi="Times New Roman"/>
          <w:sz w:val="27"/>
          <w:rtl/>
        </w:rPr>
        <w:t xml:space="preserve"> من جسد رسول الله</w:t>
      </w:r>
      <w:r w:rsidR="00635E51" w:rsidRPr="00904FCB">
        <w:rPr>
          <w:rFonts w:ascii="Times New Roman" w:hAnsi="Times New Roman" w:cs="Mosawi"/>
          <w:sz w:val="27"/>
          <w:szCs w:val="22"/>
          <w:rtl/>
        </w:rPr>
        <w:t>|</w:t>
      </w:r>
      <w:r w:rsidRPr="00904FCB">
        <w:rPr>
          <w:rFonts w:ascii="Times New Roman" w:hAnsi="Times New Roman"/>
          <w:sz w:val="27"/>
          <w:rtl/>
        </w:rPr>
        <w:t xml:space="preserve"> في حجرها</w:t>
      </w:r>
      <w:r w:rsidR="00F74FE9" w:rsidRPr="00904FCB">
        <w:rPr>
          <w:rFonts w:ascii="Times New Roman" w:hAnsi="Times New Roman" w:hint="cs"/>
          <w:sz w:val="27"/>
          <w:rtl/>
        </w:rPr>
        <w:t>،</w:t>
      </w:r>
      <w:r w:rsidRPr="00904FCB">
        <w:rPr>
          <w:rFonts w:ascii="Times New Roman" w:hAnsi="Times New Roman"/>
          <w:sz w:val="27"/>
          <w:rtl/>
        </w:rPr>
        <w:t xml:space="preserve"> فجاءت إليه</w:t>
      </w:r>
      <w:r w:rsidR="00635E51" w:rsidRPr="00904FCB">
        <w:rPr>
          <w:rFonts w:ascii="Times New Roman" w:hAnsi="Times New Roman" w:cs="Mosawi"/>
          <w:sz w:val="27"/>
          <w:szCs w:val="22"/>
          <w:rtl/>
        </w:rPr>
        <w:t>|</w:t>
      </w:r>
      <w:r w:rsidRPr="00904FCB">
        <w:rPr>
          <w:rFonts w:ascii="Times New Roman" w:hAnsi="Times New Roman"/>
          <w:sz w:val="27"/>
          <w:rtl/>
        </w:rPr>
        <w:t xml:space="preserve"> ف</w:t>
      </w:r>
      <w:r w:rsidR="00F74FE9" w:rsidRPr="00904FCB">
        <w:rPr>
          <w:rFonts w:ascii="Times New Roman" w:hAnsi="Times New Roman" w:hint="cs"/>
          <w:sz w:val="27"/>
          <w:rtl/>
        </w:rPr>
        <w:t>َ</w:t>
      </w:r>
      <w:r w:rsidRPr="00904FCB">
        <w:rPr>
          <w:rFonts w:ascii="Times New Roman" w:hAnsi="Times New Roman"/>
          <w:sz w:val="27"/>
          <w:rtl/>
        </w:rPr>
        <w:t>ز</w:t>
      </w:r>
      <w:r w:rsidR="00F74FE9" w:rsidRPr="00904FCB">
        <w:rPr>
          <w:rFonts w:ascii="Times New Roman" w:hAnsi="Times New Roman" w:hint="cs"/>
          <w:sz w:val="27"/>
          <w:rtl/>
        </w:rPr>
        <w:t>ِ</w:t>
      </w:r>
      <w:r w:rsidRPr="00904FCB">
        <w:rPr>
          <w:rFonts w:ascii="Times New Roman" w:hAnsi="Times New Roman"/>
          <w:sz w:val="27"/>
          <w:rtl/>
        </w:rPr>
        <w:t>عة</w:t>
      </w:r>
      <w:r w:rsidR="00F74FE9" w:rsidRPr="00904FCB">
        <w:rPr>
          <w:rFonts w:ascii="Times New Roman" w:hAnsi="Times New Roman" w:hint="cs"/>
          <w:sz w:val="27"/>
          <w:rtl/>
        </w:rPr>
        <w:t>ً،</w:t>
      </w:r>
      <w:r w:rsidRPr="00904FCB">
        <w:rPr>
          <w:rFonts w:ascii="Times New Roman" w:hAnsi="Times New Roman"/>
          <w:sz w:val="27"/>
          <w:rtl/>
        </w:rPr>
        <w:t xml:space="preserve"> وقصّ</w:t>
      </w:r>
      <w:r w:rsidR="00F74FE9" w:rsidRPr="00904FCB">
        <w:rPr>
          <w:rFonts w:ascii="Times New Roman" w:hAnsi="Times New Roman" w:hint="cs"/>
          <w:sz w:val="27"/>
          <w:rtl/>
        </w:rPr>
        <w:t>َ</w:t>
      </w:r>
      <w:r w:rsidRPr="00904FCB">
        <w:rPr>
          <w:rFonts w:ascii="Times New Roman" w:hAnsi="Times New Roman"/>
          <w:sz w:val="27"/>
          <w:rtl/>
        </w:rPr>
        <w:t>ت</w:t>
      </w:r>
      <w:r w:rsidR="00F74FE9" w:rsidRPr="00904FCB">
        <w:rPr>
          <w:rFonts w:ascii="Times New Roman" w:hAnsi="Times New Roman" w:hint="cs"/>
          <w:sz w:val="27"/>
          <w:rtl/>
        </w:rPr>
        <w:t>ْ</w:t>
      </w:r>
      <w:r w:rsidRPr="00904FCB">
        <w:rPr>
          <w:rFonts w:ascii="Times New Roman" w:hAnsi="Times New Roman"/>
          <w:sz w:val="27"/>
          <w:rtl/>
        </w:rPr>
        <w:t xml:space="preserve"> عليه الرؤيا، فقال: لا تجزعي</w:t>
      </w:r>
      <w:r w:rsidR="00F74FE9" w:rsidRPr="00904FCB">
        <w:rPr>
          <w:rFonts w:ascii="Times New Roman" w:hAnsi="Times New Roman" w:hint="cs"/>
          <w:sz w:val="27"/>
          <w:rtl/>
        </w:rPr>
        <w:t>،</w:t>
      </w:r>
      <w:r w:rsidRPr="00904FCB">
        <w:rPr>
          <w:rFonts w:ascii="Times New Roman" w:hAnsi="Times New Roman"/>
          <w:sz w:val="27"/>
          <w:rtl/>
        </w:rPr>
        <w:t xml:space="preserve"> </w:t>
      </w:r>
      <w:r w:rsidRPr="00904FCB">
        <w:rPr>
          <w:rFonts w:hint="eastAsia"/>
          <w:sz w:val="27"/>
          <w:rtl/>
        </w:rPr>
        <w:t>«</w:t>
      </w:r>
      <w:r w:rsidRPr="00904FCB">
        <w:rPr>
          <w:rFonts w:ascii="Times New Roman" w:hAnsi="Times New Roman"/>
          <w:sz w:val="27"/>
          <w:rtl/>
        </w:rPr>
        <w:t>تلد فاطمة غلاماً يكون في حجرك</w:t>
      </w:r>
      <w:r w:rsidRPr="00904FCB">
        <w:rPr>
          <w:rFonts w:hint="eastAsia"/>
          <w:sz w:val="27"/>
          <w:rtl/>
        </w:rPr>
        <w:t>»</w:t>
      </w:r>
      <w:r w:rsidRPr="00904FCB">
        <w:rPr>
          <w:rFonts w:hint="cs"/>
          <w:sz w:val="27"/>
          <w:vertAlign w:val="superscript"/>
          <w:rtl/>
        </w:rPr>
        <w:t>(</w:t>
      </w:r>
      <w:r w:rsidRPr="00904FCB">
        <w:rPr>
          <w:rStyle w:val="ac"/>
          <w:sz w:val="27"/>
          <w:rtl/>
        </w:rPr>
        <w:endnoteReference w:id="562"/>
      </w:r>
      <w:r w:rsidRPr="00904FCB">
        <w:rPr>
          <w:rFonts w:hint="cs"/>
          <w:sz w:val="27"/>
          <w:vertAlign w:val="superscript"/>
          <w:rtl/>
        </w:rPr>
        <w:t>)</w:t>
      </w:r>
      <w:r w:rsidRPr="00904FCB">
        <w:rPr>
          <w:rFonts w:ascii="Times New Roman" w:hAnsi="Times New Roman"/>
          <w:sz w:val="27"/>
          <w:rtl/>
        </w:rPr>
        <w:t>، على اعتبار أنّ الولد بضعة من أبيه، وأولاد فاطمة هم أولاده</w:t>
      </w:r>
      <w:r w:rsidR="00635E51" w:rsidRPr="00904FCB">
        <w:rPr>
          <w:rFonts w:ascii="Times New Roman" w:hAnsi="Times New Roman" w:cs="Mosawi"/>
          <w:sz w:val="27"/>
          <w:szCs w:val="22"/>
          <w:rtl/>
        </w:rPr>
        <w:t>|</w:t>
      </w:r>
      <w:r w:rsidRPr="00904FCB">
        <w:rPr>
          <w:rFonts w:ascii="Times New Roman" w:hAnsi="Times New Roman"/>
          <w:sz w:val="27"/>
          <w:rtl/>
        </w:rPr>
        <w:t>. وهذا الصنف من الروايات علينا التثب</w:t>
      </w:r>
      <w:r w:rsidR="00F74FE9" w:rsidRPr="00904FCB">
        <w:rPr>
          <w:rFonts w:ascii="Times New Roman" w:hAnsi="Times New Roman" w:hint="cs"/>
          <w:sz w:val="27"/>
          <w:rtl/>
        </w:rPr>
        <w:t>ُّ</w:t>
      </w:r>
      <w:r w:rsidRPr="00904FCB">
        <w:rPr>
          <w:rFonts w:ascii="Times New Roman" w:hAnsi="Times New Roman"/>
          <w:sz w:val="27"/>
          <w:rtl/>
        </w:rPr>
        <w:t>ت من صحة أسانيده أيضاً</w:t>
      </w:r>
      <w:r w:rsidR="00F74FE9" w:rsidRPr="00904FCB">
        <w:rPr>
          <w:rFonts w:ascii="Times New Roman" w:hAnsi="Times New Roman" w:hint="cs"/>
          <w:sz w:val="27"/>
          <w:rtl/>
        </w:rPr>
        <w:t>،</w:t>
      </w:r>
      <w:r w:rsidRPr="00904FCB">
        <w:rPr>
          <w:rFonts w:ascii="Times New Roman" w:hAnsi="Times New Roman"/>
          <w:sz w:val="27"/>
          <w:rtl/>
        </w:rPr>
        <w:t xml:space="preserve"> كما أنّ علينا أن نأخذ بعين الاعتبار أنّ هذه الأخبار قد تكون خاص</w:t>
      </w:r>
      <w:r w:rsidR="00F74FE9" w:rsidRPr="00904FCB">
        <w:rPr>
          <w:rFonts w:ascii="Times New Roman" w:hAnsi="Times New Roman" w:hint="cs"/>
          <w:sz w:val="27"/>
          <w:rtl/>
        </w:rPr>
        <w:t>ّ</w:t>
      </w:r>
      <w:r w:rsidRPr="00904FCB">
        <w:rPr>
          <w:rFonts w:ascii="Times New Roman" w:hAnsi="Times New Roman"/>
          <w:sz w:val="27"/>
          <w:rtl/>
        </w:rPr>
        <w:t>ة</w:t>
      </w:r>
      <w:r w:rsidR="00F74FE9" w:rsidRPr="00904FCB">
        <w:rPr>
          <w:rFonts w:ascii="Times New Roman" w:hAnsi="Times New Roman" w:hint="cs"/>
          <w:sz w:val="27"/>
          <w:rtl/>
        </w:rPr>
        <w:t>ً</w:t>
      </w:r>
      <w:r w:rsidRPr="00904FCB">
        <w:rPr>
          <w:rFonts w:ascii="Times New Roman" w:hAnsi="Times New Roman"/>
          <w:sz w:val="27"/>
          <w:rtl/>
        </w:rPr>
        <w:t xml:space="preserve"> في موردها</w:t>
      </w:r>
      <w:r w:rsidR="00F74FE9" w:rsidRPr="00904FCB">
        <w:rPr>
          <w:rFonts w:ascii="Times New Roman" w:hAnsi="Times New Roman" w:hint="cs"/>
          <w:sz w:val="27"/>
          <w:rtl/>
        </w:rPr>
        <w:t>؛</w:t>
      </w:r>
      <w:r w:rsidRPr="00904FCB">
        <w:rPr>
          <w:rFonts w:ascii="Times New Roman" w:hAnsi="Times New Roman"/>
          <w:sz w:val="27"/>
          <w:rtl/>
        </w:rPr>
        <w:t xml:space="preserve"> لخصوصية الرائي والمرئي وزمان الرؤية</w:t>
      </w:r>
      <w:r w:rsidR="00F74FE9" w:rsidRPr="00904FCB">
        <w:rPr>
          <w:rFonts w:ascii="Times New Roman" w:hAnsi="Times New Roman" w:hint="cs"/>
          <w:sz w:val="27"/>
          <w:rtl/>
        </w:rPr>
        <w:t>،</w:t>
      </w:r>
      <w:r w:rsidRPr="00904FCB">
        <w:rPr>
          <w:rFonts w:ascii="Times New Roman" w:hAnsi="Times New Roman"/>
          <w:sz w:val="27"/>
          <w:rtl/>
        </w:rPr>
        <w:t xml:space="preserve"> مم</w:t>
      </w:r>
      <w:r w:rsidR="00F74FE9" w:rsidRPr="00904FCB">
        <w:rPr>
          <w:rFonts w:ascii="Times New Roman" w:hAnsi="Times New Roman" w:hint="cs"/>
          <w:sz w:val="27"/>
          <w:rtl/>
        </w:rPr>
        <w:t>ّ</w:t>
      </w:r>
      <w:r w:rsidRPr="00904FCB">
        <w:rPr>
          <w:rFonts w:ascii="Times New Roman" w:hAnsi="Times New Roman"/>
          <w:sz w:val="27"/>
          <w:rtl/>
        </w:rPr>
        <w:t>ا لا يتوفر في رؤيا أخرى، الأمر الذي يمنع من الاط</w:t>
      </w:r>
      <w:r w:rsidR="00F74FE9" w:rsidRPr="00904FCB">
        <w:rPr>
          <w:rFonts w:ascii="Times New Roman" w:hAnsi="Times New Roman" w:hint="cs"/>
          <w:sz w:val="27"/>
          <w:rtl/>
        </w:rPr>
        <w:t>ّ</w:t>
      </w:r>
      <w:r w:rsidRPr="00904FCB">
        <w:rPr>
          <w:rFonts w:ascii="Times New Roman" w:hAnsi="Times New Roman"/>
          <w:sz w:val="27"/>
          <w:rtl/>
        </w:rPr>
        <w:t xml:space="preserve">راد دائماً.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 على أنّ ثمة أمراً </w:t>
      </w:r>
      <w:r w:rsidR="00F74FE9" w:rsidRPr="00904FCB">
        <w:rPr>
          <w:rFonts w:ascii="Times New Roman" w:hAnsi="Times New Roman" w:hint="cs"/>
          <w:sz w:val="27"/>
          <w:rtl/>
        </w:rPr>
        <w:t>آ</w:t>
      </w:r>
      <w:r w:rsidRPr="00904FCB">
        <w:rPr>
          <w:rFonts w:ascii="Times New Roman" w:hAnsi="Times New Roman"/>
          <w:sz w:val="27"/>
          <w:rtl/>
        </w:rPr>
        <w:t>خر لا ب</w:t>
      </w:r>
      <w:r w:rsidR="00F74FE9" w:rsidRPr="00904FCB">
        <w:rPr>
          <w:rFonts w:ascii="Times New Roman" w:hAnsi="Times New Roman" w:hint="cs"/>
          <w:sz w:val="27"/>
          <w:rtl/>
        </w:rPr>
        <w:t>ُ</w:t>
      </w:r>
      <w:r w:rsidRPr="00904FCB">
        <w:rPr>
          <w:rFonts w:ascii="Times New Roman" w:hAnsi="Times New Roman"/>
          <w:sz w:val="27"/>
          <w:rtl/>
        </w:rPr>
        <w:t>دّ</w:t>
      </w:r>
      <w:r w:rsidR="00F74FE9" w:rsidRPr="00904FCB">
        <w:rPr>
          <w:rFonts w:ascii="Times New Roman" w:hAnsi="Times New Roman" w:hint="cs"/>
          <w:sz w:val="27"/>
          <w:rtl/>
        </w:rPr>
        <w:t>َ</w:t>
      </w:r>
      <w:r w:rsidRPr="00904FCB">
        <w:rPr>
          <w:rFonts w:ascii="Times New Roman" w:hAnsi="Times New Roman"/>
          <w:sz w:val="27"/>
          <w:rtl/>
        </w:rPr>
        <w:t xml:space="preserve"> أن يؤخذ بعين الاعتبار، وهو أنّ الإمام</w:t>
      </w:r>
      <w:r w:rsidR="001C1A2A" w:rsidRPr="00904FCB">
        <w:rPr>
          <w:rFonts w:ascii="Times New Roman" w:hAnsi="Times New Roman" w:cs="Mosawi"/>
          <w:sz w:val="27"/>
          <w:szCs w:val="22"/>
          <w:rtl/>
        </w:rPr>
        <w:t>×</w:t>
      </w:r>
      <w:r w:rsidRPr="00904FCB">
        <w:rPr>
          <w:rFonts w:ascii="Times New Roman" w:hAnsi="Times New Roman"/>
          <w:sz w:val="27"/>
          <w:rtl/>
        </w:rPr>
        <w:t xml:space="preserve"> قد يفس</w:t>
      </w:r>
      <w:r w:rsidR="00F74FE9" w:rsidRPr="00904FCB">
        <w:rPr>
          <w:rFonts w:ascii="Times New Roman" w:hAnsi="Times New Roman" w:hint="cs"/>
          <w:sz w:val="27"/>
          <w:rtl/>
        </w:rPr>
        <w:t>ِّ</w:t>
      </w:r>
      <w:r w:rsidRPr="00904FCB">
        <w:rPr>
          <w:rFonts w:ascii="Times New Roman" w:hAnsi="Times New Roman"/>
          <w:sz w:val="27"/>
          <w:rtl/>
        </w:rPr>
        <w:t>ر الرؤيا بنحوٍ تفا</w:t>
      </w:r>
      <w:r w:rsidR="00F74FE9" w:rsidRPr="00904FCB">
        <w:rPr>
          <w:rFonts w:ascii="Times New Roman" w:hAnsi="Times New Roman" w:hint="cs"/>
          <w:sz w:val="27"/>
          <w:rtl/>
        </w:rPr>
        <w:t>ؤ</w:t>
      </w:r>
      <w:r w:rsidRPr="00904FCB">
        <w:rPr>
          <w:rFonts w:ascii="Times New Roman" w:hAnsi="Times New Roman"/>
          <w:sz w:val="27"/>
          <w:rtl/>
        </w:rPr>
        <w:t>لي</w:t>
      </w:r>
      <w:r w:rsidR="00F74FE9" w:rsidRPr="00904FCB">
        <w:rPr>
          <w:rFonts w:ascii="Times New Roman" w:hAnsi="Times New Roman" w:hint="cs"/>
          <w:sz w:val="27"/>
          <w:rtl/>
        </w:rPr>
        <w:t>؛</w:t>
      </w:r>
      <w:r w:rsidRPr="00904FCB">
        <w:rPr>
          <w:rFonts w:ascii="Times New Roman" w:hAnsi="Times New Roman"/>
          <w:sz w:val="27"/>
          <w:rtl/>
        </w:rPr>
        <w:t xml:space="preserve"> لأنّه لا يريد إقلاق الرائي وإرباك حياته، كما ورد في الخبر عن أبي الحسن</w:t>
      </w:r>
      <w:r w:rsidR="001C1A2A" w:rsidRPr="00904FCB">
        <w:rPr>
          <w:rFonts w:ascii="Times New Roman" w:hAnsi="Times New Roman" w:cs="Mosawi"/>
          <w:sz w:val="27"/>
          <w:szCs w:val="22"/>
          <w:rtl/>
        </w:rPr>
        <w:t>×</w:t>
      </w:r>
      <w:r w:rsidRPr="00904FCB">
        <w:rPr>
          <w:rFonts w:ascii="Times New Roman" w:hAnsi="Times New Roman"/>
          <w:sz w:val="27"/>
          <w:rtl/>
        </w:rPr>
        <w:t xml:space="preserve"> يقول: </w:t>
      </w:r>
      <w:r w:rsidRPr="00904FCB">
        <w:rPr>
          <w:rFonts w:hint="eastAsia"/>
          <w:sz w:val="27"/>
          <w:rtl/>
        </w:rPr>
        <w:t>«</w:t>
      </w:r>
      <w:r w:rsidRPr="00904FCB">
        <w:rPr>
          <w:rFonts w:ascii="Times New Roman" w:hAnsi="Times New Roman"/>
          <w:sz w:val="27"/>
          <w:rtl/>
        </w:rPr>
        <w:t>الرؤيا على ما تعبّ</w:t>
      </w:r>
      <w:r w:rsidR="00F74FE9" w:rsidRPr="00904FCB">
        <w:rPr>
          <w:rFonts w:ascii="Times New Roman" w:hAnsi="Times New Roman" w:hint="cs"/>
          <w:sz w:val="27"/>
          <w:rtl/>
        </w:rPr>
        <w:t>َ</w:t>
      </w:r>
      <w:r w:rsidRPr="00904FCB">
        <w:rPr>
          <w:rFonts w:ascii="Times New Roman" w:hAnsi="Times New Roman"/>
          <w:sz w:val="27"/>
          <w:rtl/>
        </w:rPr>
        <w:t>ر</w:t>
      </w:r>
      <w:r w:rsidR="00F74FE9" w:rsidRPr="00904FCB">
        <w:rPr>
          <w:rFonts w:ascii="Times New Roman" w:hAnsi="Times New Roman" w:hint="cs"/>
          <w:sz w:val="27"/>
          <w:rtl/>
        </w:rPr>
        <w:t>،</w:t>
      </w:r>
      <w:r w:rsidRPr="00904FCB">
        <w:rPr>
          <w:rFonts w:ascii="Times New Roman" w:hAnsi="Times New Roman"/>
          <w:sz w:val="27"/>
          <w:rtl/>
        </w:rPr>
        <w:t xml:space="preserve"> فقلت</w:t>
      </w:r>
      <w:r w:rsidR="00F74FE9" w:rsidRPr="00904FCB">
        <w:rPr>
          <w:rFonts w:ascii="Times New Roman" w:hAnsi="Times New Roman" w:hint="cs"/>
          <w:sz w:val="27"/>
          <w:rtl/>
        </w:rPr>
        <w:t>ُ</w:t>
      </w:r>
      <w:r w:rsidRPr="00904FCB">
        <w:rPr>
          <w:rFonts w:ascii="Times New Roman" w:hAnsi="Times New Roman"/>
          <w:sz w:val="27"/>
          <w:rtl/>
        </w:rPr>
        <w:t xml:space="preserve"> له: إنّ بعض أصحابنا روى أنّ رؤيا الملك كانت أضغاث أحلام، فقال أبو الحسن</w:t>
      </w:r>
      <w:r w:rsidR="001C1A2A" w:rsidRPr="00904FCB">
        <w:rPr>
          <w:rFonts w:ascii="Times New Roman" w:hAnsi="Times New Roman" w:cs="Mosawi"/>
          <w:sz w:val="27"/>
          <w:szCs w:val="22"/>
          <w:rtl/>
        </w:rPr>
        <w:t>×</w:t>
      </w:r>
      <w:r w:rsidRPr="00904FCB">
        <w:rPr>
          <w:rFonts w:ascii="Times New Roman" w:hAnsi="Times New Roman"/>
          <w:sz w:val="27"/>
          <w:rtl/>
        </w:rPr>
        <w:t>: إنّ امرأة</w:t>
      </w:r>
      <w:r w:rsidR="00F74FE9" w:rsidRPr="00904FCB">
        <w:rPr>
          <w:rFonts w:ascii="Times New Roman" w:hAnsi="Times New Roman" w:hint="cs"/>
          <w:sz w:val="27"/>
          <w:rtl/>
        </w:rPr>
        <w:t>ً</w:t>
      </w:r>
      <w:r w:rsidRPr="00904FCB">
        <w:rPr>
          <w:rFonts w:ascii="Times New Roman" w:hAnsi="Times New Roman"/>
          <w:sz w:val="27"/>
          <w:rtl/>
        </w:rPr>
        <w:t xml:space="preserve"> رأ</w:t>
      </w:r>
      <w:r w:rsidR="00F74FE9" w:rsidRPr="00904FCB">
        <w:rPr>
          <w:rFonts w:ascii="Times New Roman" w:hAnsi="Times New Roman" w:hint="cs"/>
          <w:sz w:val="27"/>
          <w:rtl/>
        </w:rPr>
        <w:t>َ</w:t>
      </w:r>
      <w:r w:rsidRPr="00904FCB">
        <w:rPr>
          <w:rFonts w:ascii="Times New Roman" w:hAnsi="Times New Roman"/>
          <w:sz w:val="27"/>
          <w:rtl/>
        </w:rPr>
        <w:t>ت</w:t>
      </w:r>
      <w:r w:rsidR="00F74FE9" w:rsidRPr="00904FCB">
        <w:rPr>
          <w:rFonts w:ascii="Times New Roman" w:hAnsi="Times New Roman" w:hint="cs"/>
          <w:sz w:val="27"/>
          <w:rtl/>
        </w:rPr>
        <w:t>ْ</w:t>
      </w:r>
      <w:r w:rsidRPr="00904FCB">
        <w:rPr>
          <w:rFonts w:ascii="Times New Roman" w:hAnsi="Times New Roman"/>
          <w:sz w:val="27"/>
          <w:rtl/>
        </w:rPr>
        <w:t xml:space="preserve"> على عهد رسول الله</w:t>
      </w:r>
      <w:r w:rsidR="00635E51" w:rsidRPr="00904FCB">
        <w:rPr>
          <w:rFonts w:ascii="Times New Roman" w:hAnsi="Times New Roman" w:cs="Mosawi"/>
          <w:sz w:val="27"/>
          <w:szCs w:val="22"/>
          <w:rtl/>
        </w:rPr>
        <w:t>|</w:t>
      </w:r>
      <w:r w:rsidRPr="00904FCB">
        <w:rPr>
          <w:rFonts w:ascii="Times New Roman" w:hAnsi="Times New Roman"/>
          <w:sz w:val="27"/>
          <w:rtl/>
        </w:rPr>
        <w:t xml:space="preserve"> أنّ جذع بيتها قد انكسر، فأت</w:t>
      </w:r>
      <w:r w:rsidR="00F74FE9" w:rsidRPr="00904FCB">
        <w:rPr>
          <w:rFonts w:ascii="Times New Roman" w:hAnsi="Times New Roman" w:hint="cs"/>
          <w:sz w:val="27"/>
          <w:rtl/>
        </w:rPr>
        <w:t>َ</w:t>
      </w:r>
      <w:r w:rsidRPr="00904FCB">
        <w:rPr>
          <w:rFonts w:ascii="Times New Roman" w:hAnsi="Times New Roman"/>
          <w:sz w:val="27"/>
          <w:rtl/>
        </w:rPr>
        <w:t>ت</w:t>
      </w:r>
      <w:r w:rsidR="00F74FE9" w:rsidRPr="00904FCB">
        <w:rPr>
          <w:rFonts w:ascii="Times New Roman" w:hAnsi="Times New Roman" w:hint="cs"/>
          <w:sz w:val="27"/>
          <w:rtl/>
        </w:rPr>
        <w:t>ْ</w:t>
      </w:r>
      <w:r w:rsidRPr="00904FCB">
        <w:rPr>
          <w:rFonts w:ascii="Times New Roman" w:hAnsi="Times New Roman"/>
          <w:sz w:val="27"/>
          <w:rtl/>
        </w:rPr>
        <w:t xml:space="preserve"> رسول الله</w:t>
      </w:r>
      <w:r w:rsidR="00635E51" w:rsidRPr="00904FCB">
        <w:rPr>
          <w:rFonts w:ascii="Times New Roman" w:hAnsi="Times New Roman" w:cs="Mosawi"/>
          <w:sz w:val="27"/>
          <w:szCs w:val="22"/>
          <w:rtl/>
        </w:rPr>
        <w:t>|</w:t>
      </w:r>
      <w:r w:rsidRPr="00904FCB">
        <w:rPr>
          <w:rFonts w:ascii="Times New Roman" w:hAnsi="Times New Roman"/>
          <w:sz w:val="27"/>
          <w:rtl/>
        </w:rPr>
        <w:t xml:space="preserve"> فقصّ</w:t>
      </w:r>
      <w:r w:rsidR="00F74FE9" w:rsidRPr="00904FCB">
        <w:rPr>
          <w:rFonts w:ascii="Times New Roman" w:hAnsi="Times New Roman" w:hint="cs"/>
          <w:sz w:val="27"/>
          <w:rtl/>
        </w:rPr>
        <w:t>َ</w:t>
      </w:r>
      <w:r w:rsidRPr="00904FCB">
        <w:rPr>
          <w:rFonts w:ascii="Times New Roman" w:hAnsi="Times New Roman"/>
          <w:sz w:val="27"/>
          <w:rtl/>
        </w:rPr>
        <w:t>ت</w:t>
      </w:r>
      <w:r w:rsidR="00F74FE9" w:rsidRPr="00904FCB">
        <w:rPr>
          <w:rFonts w:ascii="Times New Roman" w:hAnsi="Times New Roman" w:hint="cs"/>
          <w:sz w:val="27"/>
          <w:rtl/>
        </w:rPr>
        <w:t>ْ</w:t>
      </w:r>
      <w:r w:rsidRPr="00904FCB">
        <w:rPr>
          <w:rFonts w:ascii="Times New Roman" w:hAnsi="Times New Roman"/>
          <w:sz w:val="27"/>
          <w:rtl/>
        </w:rPr>
        <w:t xml:space="preserve"> عيه الرؤيا</w:t>
      </w:r>
      <w:r w:rsidR="00F74FE9" w:rsidRPr="00904FCB">
        <w:rPr>
          <w:rFonts w:ascii="Times New Roman" w:hAnsi="Times New Roman" w:hint="cs"/>
          <w:sz w:val="27"/>
          <w:rtl/>
        </w:rPr>
        <w:t>،</w:t>
      </w:r>
      <w:r w:rsidRPr="00904FCB">
        <w:rPr>
          <w:rFonts w:ascii="Times New Roman" w:hAnsi="Times New Roman"/>
          <w:sz w:val="27"/>
          <w:rtl/>
        </w:rPr>
        <w:t xml:space="preserve"> فقال لها النبي</w:t>
      </w:r>
      <w:r w:rsidR="00F74FE9" w:rsidRPr="00904FCB">
        <w:rPr>
          <w:rFonts w:ascii="Times New Roman" w:hAnsi="Times New Roman" w:hint="cs"/>
          <w:sz w:val="27"/>
          <w:rtl/>
        </w:rPr>
        <w:t>ّ</w:t>
      </w:r>
      <w:r w:rsidR="00635E51" w:rsidRPr="00904FCB">
        <w:rPr>
          <w:rFonts w:ascii="Times New Roman" w:hAnsi="Times New Roman" w:cs="Mosawi"/>
          <w:sz w:val="27"/>
          <w:szCs w:val="22"/>
          <w:rtl/>
        </w:rPr>
        <w:t>|</w:t>
      </w:r>
      <w:r w:rsidR="00F74FE9" w:rsidRPr="00904FCB">
        <w:rPr>
          <w:rFonts w:ascii="Times New Roman" w:hAnsi="Times New Roman" w:hint="cs"/>
          <w:sz w:val="27"/>
          <w:rtl/>
        </w:rPr>
        <w:t>:</w:t>
      </w:r>
      <w:r w:rsidRPr="00904FCB">
        <w:rPr>
          <w:rFonts w:ascii="Times New Roman" w:hAnsi="Times New Roman"/>
          <w:sz w:val="27"/>
          <w:rtl/>
        </w:rPr>
        <w:t xml:space="preserve"> يقدم زوجك</w:t>
      </w:r>
      <w:r w:rsidR="00F74FE9" w:rsidRPr="00904FCB">
        <w:rPr>
          <w:rFonts w:ascii="Times New Roman" w:hAnsi="Times New Roman" w:hint="cs"/>
          <w:sz w:val="27"/>
          <w:rtl/>
        </w:rPr>
        <w:t xml:space="preserve">، </w:t>
      </w:r>
      <w:r w:rsidRPr="00904FCB">
        <w:rPr>
          <w:rFonts w:ascii="Times New Roman" w:hAnsi="Times New Roman"/>
          <w:sz w:val="27"/>
          <w:rtl/>
        </w:rPr>
        <w:t>ويأتي وهو صالح ـ وقد كان زوجها غائباً ـ</w:t>
      </w:r>
      <w:r w:rsidR="00F74FE9" w:rsidRPr="00904FCB">
        <w:rPr>
          <w:rFonts w:ascii="Times New Roman" w:hAnsi="Times New Roman" w:hint="cs"/>
          <w:sz w:val="27"/>
          <w:rtl/>
        </w:rPr>
        <w:t>،</w:t>
      </w:r>
      <w:r w:rsidRPr="00904FCB">
        <w:rPr>
          <w:rFonts w:ascii="Times New Roman" w:hAnsi="Times New Roman"/>
          <w:sz w:val="27"/>
          <w:rtl/>
        </w:rPr>
        <w:t xml:space="preserve"> فقدم كما قال النبي</w:t>
      </w:r>
      <w:r w:rsidR="00F74FE9"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ثم</w:t>
      </w:r>
      <w:r w:rsidR="00F74FE9" w:rsidRPr="00904FCB">
        <w:rPr>
          <w:rFonts w:ascii="Times New Roman" w:hAnsi="Times New Roman" w:hint="cs"/>
          <w:sz w:val="27"/>
          <w:rtl/>
        </w:rPr>
        <w:t>ّ</w:t>
      </w:r>
      <w:r w:rsidRPr="00904FCB">
        <w:rPr>
          <w:rFonts w:ascii="Times New Roman" w:hAnsi="Times New Roman"/>
          <w:sz w:val="27"/>
          <w:rtl/>
        </w:rPr>
        <w:t xml:space="preserve"> غاب عنها زوجها ثانية</w:t>
      </w:r>
      <w:r w:rsidR="00F74FE9" w:rsidRPr="00904FCB">
        <w:rPr>
          <w:rFonts w:ascii="Times New Roman" w:hAnsi="Times New Roman" w:hint="cs"/>
          <w:sz w:val="27"/>
          <w:rtl/>
        </w:rPr>
        <w:t>ً</w:t>
      </w:r>
      <w:r w:rsidRPr="00904FCB">
        <w:rPr>
          <w:rFonts w:ascii="Times New Roman" w:hAnsi="Times New Roman"/>
          <w:sz w:val="27"/>
          <w:rtl/>
        </w:rPr>
        <w:t xml:space="preserve"> غيبة أخرى، فرأ</w:t>
      </w:r>
      <w:r w:rsidR="00F74FE9" w:rsidRPr="00904FCB">
        <w:rPr>
          <w:rFonts w:ascii="Times New Roman" w:hAnsi="Times New Roman" w:hint="cs"/>
          <w:sz w:val="27"/>
          <w:rtl/>
        </w:rPr>
        <w:t>َ</w:t>
      </w:r>
      <w:r w:rsidRPr="00904FCB">
        <w:rPr>
          <w:rFonts w:ascii="Times New Roman" w:hAnsi="Times New Roman"/>
          <w:sz w:val="27"/>
          <w:rtl/>
        </w:rPr>
        <w:t>ت</w:t>
      </w:r>
      <w:r w:rsidR="00F74FE9" w:rsidRPr="00904FCB">
        <w:rPr>
          <w:rFonts w:ascii="Times New Roman" w:hAnsi="Times New Roman" w:hint="cs"/>
          <w:sz w:val="27"/>
          <w:rtl/>
        </w:rPr>
        <w:t>ْ</w:t>
      </w:r>
      <w:r w:rsidRPr="00904FCB">
        <w:rPr>
          <w:rFonts w:ascii="Times New Roman" w:hAnsi="Times New Roman"/>
          <w:sz w:val="27"/>
          <w:rtl/>
        </w:rPr>
        <w:t xml:space="preserve"> في المنام كأنّ</w:t>
      </w:r>
      <w:r w:rsidR="00F74FE9" w:rsidRPr="00904FCB">
        <w:rPr>
          <w:rFonts w:ascii="Times New Roman" w:hAnsi="Times New Roman" w:hint="cs"/>
          <w:sz w:val="27"/>
          <w:rtl/>
        </w:rPr>
        <w:t>َ</w:t>
      </w:r>
      <w:r w:rsidRPr="00904FCB">
        <w:rPr>
          <w:rFonts w:ascii="Times New Roman" w:hAnsi="Times New Roman"/>
          <w:sz w:val="27"/>
          <w:rtl/>
        </w:rPr>
        <w:t xml:space="preserve"> جذع بيتها انكسر</w:t>
      </w:r>
      <w:r w:rsidR="00F74FE9" w:rsidRPr="00904FCB">
        <w:rPr>
          <w:rFonts w:ascii="Times New Roman" w:hAnsi="Times New Roman" w:hint="cs"/>
          <w:sz w:val="27"/>
          <w:rtl/>
        </w:rPr>
        <w:t>،</w:t>
      </w:r>
      <w:r w:rsidRPr="00904FCB">
        <w:rPr>
          <w:rFonts w:ascii="Times New Roman" w:hAnsi="Times New Roman"/>
          <w:sz w:val="27"/>
          <w:rtl/>
        </w:rPr>
        <w:t xml:space="preserve"> فأت</w:t>
      </w:r>
      <w:r w:rsidR="00F74FE9" w:rsidRPr="00904FCB">
        <w:rPr>
          <w:rFonts w:ascii="Times New Roman" w:hAnsi="Times New Roman" w:hint="cs"/>
          <w:sz w:val="27"/>
          <w:rtl/>
        </w:rPr>
        <w:t>َ</w:t>
      </w:r>
      <w:r w:rsidRPr="00904FCB">
        <w:rPr>
          <w:rFonts w:ascii="Times New Roman" w:hAnsi="Times New Roman"/>
          <w:sz w:val="27"/>
          <w:rtl/>
        </w:rPr>
        <w:t>ت</w:t>
      </w:r>
      <w:r w:rsidR="00F74FE9" w:rsidRPr="00904FCB">
        <w:rPr>
          <w:rFonts w:ascii="Times New Roman" w:hAnsi="Times New Roman" w:hint="cs"/>
          <w:sz w:val="27"/>
          <w:rtl/>
        </w:rPr>
        <w:t>ْ</w:t>
      </w:r>
      <w:r w:rsidRPr="00904FCB">
        <w:rPr>
          <w:rFonts w:ascii="Times New Roman" w:hAnsi="Times New Roman"/>
          <w:sz w:val="27"/>
          <w:rtl/>
        </w:rPr>
        <w:t xml:space="preserve"> النبي</w:t>
      </w:r>
      <w:r w:rsidR="00F74FE9" w:rsidRPr="00904FCB">
        <w:rPr>
          <w:rFonts w:ascii="Times New Roman" w:hAnsi="Times New Roman" w:hint="cs"/>
          <w:sz w:val="27"/>
          <w:rtl/>
        </w:rPr>
        <w:t>ّ</w:t>
      </w:r>
      <w:r w:rsidR="00635E51" w:rsidRPr="00904FCB">
        <w:rPr>
          <w:rFonts w:ascii="Times New Roman" w:hAnsi="Times New Roman" w:cs="Mosawi"/>
          <w:sz w:val="27"/>
          <w:szCs w:val="22"/>
          <w:rtl/>
        </w:rPr>
        <w:t>|</w:t>
      </w:r>
      <w:r w:rsidR="00F74FE9" w:rsidRPr="00904FCB">
        <w:rPr>
          <w:rFonts w:ascii="Times New Roman" w:hAnsi="Times New Roman" w:hint="cs"/>
          <w:sz w:val="27"/>
          <w:rtl/>
        </w:rPr>
        <w:t>،</w:t>
      </w:r>
      <w:r w:rsidRPr="00904FCB">
        <w:rPr>
          <w:rFonts w:ascii="Times New Roman" w:hAnsi="Times New Roman"/>
          <w:sz w:val="27"/>
          <w:rtl/>
        </w:rPr>
        <w:t xml:space="preserve"> فقص</w:t>
      </w:r>
      <w:r w:rsidR="00F74FE9" w:rsidRPr="00904FCB">
        <w:rPr>
          <w:rFonts w:ascii="Times New Roman" w:hAnsi="Times New Roman" w:hint="cs"/>
          <w:sz w:val="27"/>
          <w:rtl/>
        </w:rPr>
        <w:t>َّ</w:t>
      </w:r>
      <w:r w:rsidRPr="00904FCB">
        <w:rPr>
          <w:rFonts w:ascii="Times New Roman" w:hAnsi="Times New Roman"/>
          <w:sz w:val="27"/>
          <w:rtl/>
        </w:rPr>
        <w:t>ت عليه الرؤيا، فقال لها: يقدم زوجك ويأتي صالحاً، فقدم على ما قال، ثم</w:t>
      </w:r>
      <w:r w:rsidR="00F74FE9" w:rsidRPr="00904FCB">
        <w:rPr>
          <w:rFonts w:ascii="Times New Roman" w:hAnsi="Times New Roman" w:hint="cs"/>
          <w:sz w:val="27"/>
          <w:rtl/>
        </w:rPr>
        <w:t>ّ</w:t>
      </w:r>
      <w:r w:rsidRPr="00904FCB">
        <w:rPr>
          <w:rFonts w:ascii="Times New Roman" w:hAnsi="Times New Roman"/>
          <w:sz w:val="27"/>
          <w:rtl/>
        </w:rPr>
        <w:t xml:space="preserve"> غاب زوجها ثالثة</w:t>
      </w:r>
      <w:r w:rsidR="00F74FE9" w:rsidRPr="00904FCB">
        <w:rPr>
          <w:rFonts w:ascii="Times New Roman" w:hAnsi="Times New Roman" w:hint="cs"/>
          <w:sz w:val="27"/>
          <w:rtl/>
        </w:rPr>
        <w:t>ً،</w:t>
      </w:r>
      <w:r w:rsidRPr="00904FCB">
        <w:rPr>
          <w:rFonts w:ascii="Times New Roman" w:hAnsi="Times New Roman"/>
          <w:sz w:val="27"/>
          <w:rtl/>
        </w:rPr>
        <w:t xml:space="preserve"> فرأت في منامها أنّ جذع بيتها قد انكسر</w:t>
      </w:r>
      <w:r w:rsidR="00F74FE9" w:rsidRPr="00904FCB">
        <w:rPr>
          <w:rFonts w:ascii="Times New Roman" w:hAnsi="Times New Roman" w:hint="cs"/>
          <w:sz w:val="27"/>
          <w:rtl/>
        </w:rPr>
        <w:t>،</w:t>
      </w:r>
      <w:r w:rsidRPr="00904FCB">
        <w:rPr>
          <w:rFonts w:ascii="Times New Roman" w:hAnsi="Times New Roman"/>
          <w:sz w:val="27"/>
          <w:rtl/>
        </w:rPr>
        <w:t xml:space="preserve"> فلقيت رجلاً أعسر</w:t>
      </w:r>
      <w:r w:rsidR="00F74FE9" w:rsidRPr="00904FCB">
        <w:rPr>
          <w:rFonts w:ascii="Times New Roman" w:hAnsi="Times New Roman" w:hint="cs"/>
          <w:sz w:val="27"/>
          <w:rtl/>
        </w:rPr>
        <w:t xml:space="preserve">، </w:t>
      </w:r>
      <w:r w:rsidRPr="00904FCB">
        <w:rPr>
          <w:rFonts w:ascii="Times New Roman" w:hAnsi="Times New Roman"/>
          <w:sz w:val="27"/>
          <w:rtl/>
        </w:rPr>
        <w:t>فقصّ</w:t>
      </w:r>
      <w:r w:rsidR="00F74FE9" w:rsidRPr="00904FCB">
        <w:rPr>
          <w:rFonts w:ascii="Times New Roman" w:hAnsi="Times New Roman" w:hint="cs"/>
          <w:sz w:val="27"/>
          <w:rtl/>
        </w:rPr>
        <w:t>َ</w:t>
      </w:r>
      <w:r w:rsidRPr="00904FCB">
        <w:rPr>
          <w:rFonts w:ascii="Times New Roman" w:hAnsi="Times New Roman"/>
          <w:sz w:val="27"/>
          <w:rtl/>
        </w:rPr>
        <w:t xml:space="preserve">ت عليه الرؤيا، فقال لها الرجل السوء: يموت زوجك، فبلغ </w:t>
      </w:r>
      <w:r w:rsidRPr="00904FCB">
        <w:rPr>
          <w:rFonts w:ascii="Times New Roman" w:hAnsi="Times New Roman"/>
          <w:sz w:val="27"/>
          <w:rtl/>
        </w:rPr>
        <w:lastRenderedPageBreak/>
        <w:t>النبي</w:t>
      </w:r>
      <w:r w:rsidR="00F74FE9" w:rsidRPr="00904FCB">
        <w:rPr>
          <w:rFonts w:ascii="Times New Roman" w:hAnsi="Times New Roman" w:hint="cs"/>
          <w:sz w:val="27"/>
          <w:rtl/>
        </w:rPr>
        <w:t>ّ</w:t>
      </w:r>
      <w:r w:rsidR="00635E51" w:rsidRPr="00904FCB">
        <w:rPr>
          <w:rFonts w:ascii="Times New Roman" w:hAnsi="Times New Roman" w:cs="Mosawi"/>
          <w:sz w:val="27"/>
          <w:szCs w:val="22"/>
          <w:rtl/>
        </w:rPr>
        <w:t>|</w:t>
      </w:r>
      <w:r w:rsidRPr="00904FCB">
        <w:rPr>
          <w:rFonts w:ascii="Times New Roman" w:hAnsi="Times New Roman"/>
          <w:sz w:val="27"/>
          <w:rtl/>
        </w:rPr>
        <w:t xml:space="preserve"> فقال: ألا كان عبّ</w:t>
      </w:r>
      <w:r w:rsidR="00F74FE9" w:rsidRPr="00904FCB">
        <w:rPr>
          <w:rFonts w:ascii="Times New Roman" w:hAnsi="Times New Roman" w:hint="cs"/>
          <w:sz w:val="27"/>
          <w:rtl/>
        </w:rPr>
        <w:t>َ</w:t>
      </w:r>
      <w:r w:rsidRPr="00904FCB">
        <w:rPr>
          <w:rFonts w:ascii="Times New Roman" w:hAnsi="Times New Roman"/>
          <w:sz w:val="27"/>
          <w:rtl/>
        </w:rPr>
        <w:t>ر لها خيراً</w:t>
      </w:r>
      <w:r w:rsidRPr="00904FCB">
        <w:rPr>
          <w:rFonts w:hint="eastAsia"/>
          <w:sz w:val="27"/>
          <w:rtl/>
        </w:rPr>
        <w:t>»</w:t>
      </w:r>
      <w:r w:rsidRPr="00904FCB">
        <w:rPr>
          <w:rFonts w:hint="cs"/>
          <w:sz w:val="27"/>
          <w:vertAlign w:val="superscript"/>
          <w:rtl/>
        </w:rPr>
        <w:t>(</w:t>
      </w:r>
      <w:r w:rsidRPr="00904FCB">
        <w:rPr>
          <w:rStyle w:val="ac"/>
          <w:sz w:val="27"/>
          <w:rtl/>
        </w:rPr>
        <w:endnoteReference w:id="563"/>
      </w:r>
      <w:r w:rsidRPr="00904FCB">
        <w:rPr>
          <w:rFonts w:hint="cs"/>
          <w:sz w:val="27"/>
          <w:vertAlign w:val="superscript"/>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tl/>
        </w:rPr>
        <w:t xml:space="preserve">وهل </w:t>
      </w:r>
      <w:r w:rsidR="00F74FE9" w:rsidRPr="00904FCB">
        <w:rPr>
          <w:rFonts w:ascii="Times New Roman" w:hAnsi="Times New Roman" w:hint="cs"/>
          <w:sz w:val="27"/>
          <w:rtl/>
        </w:rPr>
        <w:t>أ</w:t>
      </w:r>
      <w:r w:rsidRPr="00904FCB">
        <w:rPr>
          <w:rFonts w:ascii="Times New Roman" w:hAnsi="Times New Roman"/>
          <w:sz w:val="27"/>
          <w:rtl/>
        </w:rPr>
        <w:t>نّ هذا المنحى التفا</w:t>
      </w:r>
      <w:r w:rsidRPr="00904FCB">
        <w:rPr>
          <w:rFonts w:ascii="Times New Roman" w:hAnsi="Times New Roman" w:hint="cs"/>
          <w:sz w:val="27"/>
          <w:rtl/>
        </w:rPr>
        <w:t>ؤ</w:t>
      </w:r>
      <w:r w:rsidRPr="00904FCB">
        <w:rPr>
          <w:rFonts w:ascii="Times New Roman" w:hAnsi="Times New Roman"/>
          <w:sz w:val="27"/>
          <w:rtl/>
        </w:rPr>
        <w:t>لي في تفسير الرؤى منطلق</w:t>
      </w:r>
      <w:r w:rsidR="00F74FE9" w:rsidRPr="00904FCB">
        <w:rPr>
          <w:rFonts w:ascii="Times New Roman" w:hAnsi="Times New Roman" w:hint="cs"/>
          <w:sz w:val="27"/>
          <w:rtl/>
        </w:rPr>
        <w:t>ٌ</w:t>
      </w:r>
      <w:r w:rsidRPr="00904FCB">
        <w:rPr>
          <w:rFonts w:ascii="Times New Roman" w:hAnsi="Times New Roman"/>
          <w:sz w:val="27"/>
          <w:rtl/>
        </w:rPr>
        <w:t xml:space="preserve"> من أن ّالرؤيا هي على ما تفس</w:t>
      </w:r>
      <w:r w:rsidR="00F74FE9" w:rsidRPr="00904FCB">
        <w:rPr>
          <w:rFonts w:ascii="Times New Roman" w:hAnsi="Times New Roman" w:hint="cs"/>
          <w:sz w:val="27"/>
          <w:rtl/>
        </w:rPr>
        <w:t>َّ</w:t>
      </w:r>
      <w:r w:rsidRPr="00904FCB">
        <w:rPr>
          <w:rFonts w:ascii="Times New Roman" w:hAnsi="Times New Roman"/>
          <w:sz w:val="27"/>
          <w:rtl/>
        </w:rPr>
        <w:t>ر</w:t>
      </w:r>
      <w:r w:rsidR="00F74FE9" w:rsidRPr="00904FCB">
        <w:rPr>
          <w:rFonts w:ascii="Times New Roman" w:hAnsi="Times New Roman" w:hint="cs"/>
          <w:sz w:val="27"/>
          <w:rtl/>
        </w:rPr>
        <w:t>،</w:t>
      </w:r>
      <w:r w:rsidRPr="00904FCB">
        <w:rPr>
          <w:rFonts w:ascii="Times New Roman" w:hAnsi="Times New Roman"/>
          <w:sz w:val="27"/>
          <w:rtl/>
        </w:rPr>
        <w:t xml:space="preserve"> كما جاء في صدر الرواية</w:t>
      </w:r>
      <w:r w:rsidRPr="00904FCB">
        <w:rPr>
          <w:rFonts w:hint="cs"/>
          <w:sz w:val="27"/>
          <w:vertAlign w:val="superscript"/>
          <w:rtl/>
        </w:rPr>
        <w:t>(</w:t>
      </w:r>
      <w:r w:rsidRPr="00904FCB">
        <w:rPr>
          <w:rStyle w:val="ac"/>
          <w:sz w:val="27"/>
          <w:rtl/>
        </w:rPr>
        <w:endnoteReference w:id="564"/>
      </w:r>
      <w:r w:rsidRPr="00904FCB">
        <w:rPr>
          <w:rFonts w:hint="cs"/>
          <w:sz w:val="27"/>
          <w:vertAlign w:val="superscript"/>
          <w:rtl/>
        </w:rPr>
        <w:t>)</w:t>
      </w:r>
      <w:r w:rsidRPr="00904FCB">
        <w:rPr>
          <w:rFonts w:ascii="Times New Roman" w:hAnsi="Times New Roman"/>
          <w:sz w:val="27"/>
          <w:rtl/>
        </w:rPr>
        <w:t>، أو لأنّ تفسيرها يقلق الإنسان ويُدخل عليه الغمّ</w:t>
      </w:r>
      <w:r w:rsidR="00F74FE9" w:rsidRPr="00904FCB">
        <w:rPr>
          <w:rFonts w:ascii="Times New Roman" w:hAnsi="Times New Roman" w:hint="cs"/>
          <w:sz w:val="27"/>
          <w:rtl/>
        </w:rPr>
        <w:t>؟</w:t>
      </w:r>
      <w:r w:rsidRPr="00904FCB">
        <w:rPr>
          <w:rFonts w:ascii="Times New Roman" w:hAnsi="Times New Roman"/>
          <w:sz w:val="27"/>
          <w:rtl/>
        </w:rPr>
        <w:t xml:space="preserve"> </w:t>
      </w:r>
    </w:p>
    <w:p w:rsidR="00057E24" w:rsidRPr="00904FCB" w:rsidRDefault="00057E24" w:rsidP="007A21AA">
      <w:pPr>
        <w:spacing w:line="400" w:lineRule="exact"/>
        <w:rPr>
          <w:rFonts w:ascii="Times New Roman" w:hAnsi="Times New Roman"/>
          <w:sz w:val="27"/>
        </w:rPr>
      </w:pPr>
      <w:r w:rsidRPr="00904FCB">
        <w:rPr>
          <w:rFonts w:ascii="Times New Roman" w:hAnsi="Times New Roman"/>
          <w:sz w:val="27"/>
        </w:rPr>
        <w:t> </w:t>
      </w:r>
    </w:p>
    <w:p w:rsidR="00057E24" w:rsidRPr="00904FCB" w:rsidRDefault="00057E24" w:rsidP="007A21AA">
      <w:pPr>
        <w:pStyle w:val="31"/>
        <w:spacing w:line="400" w:lineRule="exact"/>
        <w:rPr>
          <w:color w:val="auto"/>
        </w:rPr>
      </w:pPr>
      <w:r w:rsidRPr="00904FCB">
        <w:rPr>
          <w:color w:val="auto"/>
          <w:rtl/>
        </w:rPr>
        <w:t>كتب تفسير الأحلام</w:t>
      </w:r>
      <w:r w:rsidRPr="00904FCB">
        <w:rPr>
          <w:color w:val="auto"/>
        </w:rPr>
        <w:t> </w:t>
      </w:r>
    </w:p>
    <w:p w:rsidR="00E83C22" w:rsidRPr="00904FCB" w:rsidRDefault="00057E24" w:rsidP="007A21AA">
      <w:pPr>
        <w:spacing w:line="400" w:lineRule="exact"/>
        <w:rPr>
          <w:rtl/>
        </w:rPr>
      </w:pPr>
      <w:r w:rsidRPr="00904FCB">
        <w:rPr>
          <w:rtl/>
        </w:rPr>
        <w:t>وأمّا الكتب المتداولة في تفسير الأحلام</w:t>
      </w:r>
      <w:r w:rsidR="00F74FE9" w:rsidRPr="00904FCB">
        <w:rPr>
          <w:rFonts w:hint="cs"/>
          <w:rtl/>
        </w:rPr>
        <w:t>،</w:t>
      </w:r>
      <w:r w:rsidRPr="00904FCB">
        <w:rPr>
          <w:rtl/>
        </w:rPr>
        <w:t xml:space="preserve"> كتفسير ابن سيرين أو غيره من الكتب الرائجة</w:t>
      </w:r>
      <w:r w:rsidR="00F74FE9" w:rsidRPr="00904FCB">
        <w:rPr>
          <w:rFonts w:hint="cs"/>
          <w:rtl/>
        </w:rPr>
        <w:t>،</w:t>
      </w:r>
      <w:r w:rsidRPr="00904FCB">
        <w:rPr>
          <w:rtl/>
        </w:rPr>
        <w:t xml:space="preserve"> فهي كتب</w:t>
      </w:r>
      <w:r w:rsidR="00F74FE9" w:rsidRPr="00904FCB">
        <w:rPr>
          <w:rFonts w:hint="cs"/>
          <w:rtl/>
        </w:rPr>
        <w:t>ٌ</w:t>
      </w:r>
      <w:r w:rsidRPr="00904FCB">
        <w:rPr>
          <w:rtl/>
        </w:rPr>
        <w:t xml:space="preserve"> تعتمد ـ كما قلنا ـ على الح</w:t>
      </w:r>
      <w:r w:rsidR="00F74FE9" w:rsidRPr="00904FCB">
        <w:rPr>
          <w:rFonts w:hint="cs"/>
          <w:rtl/>
        </w:rPr>
        <w:t>َ</w:t>
      </w:r>
      <w:r w:rsidRPr="00904FCB">
        <w:rPr>
          <w:rtl/>
        </w:rPr>
        <w:t>د</w:t>
      </w:r>
      <w:r w:rsidR="00F74FE9" w:rsidRPr="00904FCB">
        <w:rPr>
          <w:rFonts w:hint="cs"/>
          <w:rtl/>
        </w:rPr>
        <w:t>ْ</w:t>
      </w:r>
      <w:r w:rsidRPr="00904FCB">
        <w:rPr>
          <w:rtl/>
        </w:rPr>
        <w:t>س والتخمين، ولذا فهي لا تمثل حج</w:t>
      </w:r>
      <w:r w:rsidR="00F74FE9" w:rsidRPr="00904FCB">
        <w:rPr>
          <w:rFonts w:hint="cs"/>
          <w:rtl/>
        </w:rPr>
        <w:t>ّ</w:t>
      </w:r>
      <w:r w:rsidRPr="00904FCB">
        <w:rPr>
          <w:rtl/>
        </w:rPr>
        <w:t>ة</w:t>
      </w:r>
      <w:r w:rsidR="00F74FE9" w:rsidRPr="00904FCB">
        <w:rPr>
          <w:rFonts w:hint="cs"/>
          <w:rtl/>
        </w:rPr>
        <w:t>ً</w:t>
      </w:r>
      <w:r w:rsidRPr="00904FCB">
        <w:rPr>
          <w:rtl/>
        </w:rPr>
        <w:t xml:space="preserve"> شرعية، ولا يمكننا الركون إليها في ذلك</w:t>
      </w:r>
      <w:r w:rsidR="00F74FE9" w:rsidRPr="00904FCB">
        <w:rPr>
          <w:rFonts w:hint="cs"/>
          <w:rtl/>
        </w:rPr>
        <w:t>.</w:t>
      </w:r>
      <w:r w:rsidRPr="00904FCB">
        <w:rPr>
          <w:rtl/>
        </w:rPr>
        <w:t xml:space="preserve"> يقول العلامة المجلسي</w:t>
      </w:r>
      <w:r w:rsidR="00F74FE9" w:rsidRPr="00904FCB">
        <w:rPr>
          <w:rFonts w:hint="cs"/>
          <w:rtl/>
        </w:rPr>
        <w:t>،</w:t>
      </w:r>
      <w:r w:rsidRPr="00904FCB">
        <w:rPr>
          <w:rtl/>
        </w:rPr>
        <w:t xml:space="preserve"> بعد أن ينقل نماذج متعد</w:t>
      </w:r>
      <w:r w:rsidR="00F74FE9" w:rsidRPr="00904FCB">
        <w:rPr>
          <w:rFonts w:hint="cs"/>
          <w:rtl/>
        </w:rPr>
        <w:t>ِّ</w:t>
      </w:r>
      <w:r w:rsidRPr="00904FCB">
        <w:rPr>
          <w:rtl/>
        </w:rPr>
        <w:t xml:space="preserve">دة من تعبير الرؤى وتأويل المنامات: </w:t>
      </w:r>
      <w:r w:rsidRPr="00904FCB">
        <w:rPr>
          <w:rFonts w:hint="eastAsia"/>
          <w:rtl/>
        </w:rPr>
        <w:t>«</w:t>
      </w:r>
      <w:r w:rsidRPr="00904FCB">
        <w:rPr>
          <w:rtl/>
        </w:rPr>
        <w:t>انتهى ما أخرجناه من كتبهم المعتبرة عندهم، ولا يعتمد على أكثرها</w:t>
      </w:r>
      <w:r w:rsidR="00F74FE9" w:rsidRPr="00904FCB">
        <w:rPr>
          <w:rFonts w:hint="cs"/>
          <w:rtl/>
        </w:rPr>
        <w:t>؛</w:t>
      </w:r>
      <w:r w:rsidRPr="00904FCB">
        <w:rPr>
          <w:rtl/>
        </w:rPr>
        <w:t xml:space="preserve"> لابتنائها على مناسبات</w:t>
      </w:r>
      <w:r w:rsidR="00F74FE9" w:rsidRPr="00904FCB">
        <w:rPr>
          <w:rFonts w:hint="cs"/>
          <w:rtl/>
        </w:rPr>
        <w:t>ٍ</w:t>
      </w:r>
      <w:r w:rsidRPr="00904FCB">
        <w:rPr>
          <w:rtl/>
        </w:rPr>
        <w:t xml:space="preserve"> خفي</w:t>
      </w:r>
      <w:r w:rsidR="00F74FE9" w:rsidRPr="00904FCB">
        <w:rPr>
          <w:rFonts w:hint="cs"/>
          <w:rtl/>
        </w:rPr>
        <w:t>ّ</w:t>
      </w:r>
      <w:r w:rsidRPr="00904FCB">
        <w:rPr>
          <w:rtl/>
        </w:rPr>
        <w:t>ة وأوهام ردي</w:t>
      </w:r>
      <w:r w:rsidR="00F74FE9" w:rsidRPr="00904FCB">
        <w:rPr>
          <w:rFonts w:hint="cs"/>
          <w:rtl/>
        </w:rPr>
        <w:t>ّ</w:t>
      </w:r>
      <w:r w:rsidRPr="00904FCB">
        <w:rPr>
          <w:rtl/>
        </w:rPr>
        <w:t>ة</w:t>
      </w:r>
      <w:r w:rsidR="00F74FE9" w:rsidRPr="00904FCB">
        <w:rPr>
          <w:rFonts w:hint="cs"/>
          <w:rtl/>
        </w:rPr>
        <w:t>.</w:t>
      </w:r>
      <w:r w:rsidRPr="00904FCB">
        <w:rPr>
          <w:rtl/>
        </w:rPr>
        <w:t xml:space="preserve"> والأخبار التي رو</w:t>
      </w:r>
      <w:r w:rsidR="00204BF2">
        <w:rPr>
          <w:rFonts w:hint="cs"/>
          <w:rtl/>
        </w:rPr>
        <w:t>َ</w:t>
      </w:r>
      <w:r w:rsidRPr="00904FCB">
        <w:rPr>
          <w:rtl/>
        </w:rPr>
        <w:t>و</w:t>
      </w:r>
      <w:r w:rsidR="00204BF2">
        <w:rPr>
          <w:rFonts w:hint="cs"/>
          <w:rtl/>
        </w:rPr>
        <w:t>ْ</w:t>
      </w:r>
      <w:r w:rsidRPr="00904FCB">
        <w:rPr>
          <w:rtl/>
        </w:rPr>
        <w:t>ها أكثرها غير ثابتة، وقد ج</w:t>
      </w:r>
      <w:r w:rsidR="00F74FE9" w:rsidRPr="00904FCB">
        <w:rPr>
          <w:rFonts w:hint="cs"/>
          <w:rtl/>
        </w:rPr>
        <w:t>َ</w:t>
      </w:r>
      <w:r w:rsidRPr="00904FCB">
        <w:rPr>
          <w:rtl/>
        </w:rPr>
        <w:t>ر</w:t>
      </w:r>
      <w:r w:rsidR="00F74FE9" w:rsidRPr="00904FCB">
        <w:rPr>
          <w:rFonts w:hint="cs"/>
          <w:rtl/>
        </w:rPr>
        <w:t>َ</w:t>
      </w:r>
      <w:r w:rsidRPr="00904FCB">
        <w:rPr>
          <w:rtl/>
        </w:rPr>
        <w:t>ت</w:t>
      </w:r>
      <w:r w:rsidR="00F74FE9" w:rsidRPr="00904FCB">
        <w:rPr>
          <w:rFonts w:hint="cs"/>
          <w:rtl/>
        </w:rPr>
        <w:t>ْ</w:t>
      </w:r>
      <w:r w:rsidRPr="00904FCB">
        <w:rPr>
          <w:rtl/>
        </w:rPr>
        <w:t xml:space="preserve"> التجربة في كثير منها على خلاف ما ذكروه... ثم</w:t>
      </w:r>
      <w:r w:rsidR="00F74FE9" w:rsidRPr="00904FCB">
        <w:rPr>
          <w:rFonts w:hint="cs"/>
          <w:rtl/>
        </w:rPr>
        <w:t>ّ</w:t>
      </w:r>
      <w:r w:rsidRPr="00904FCB">
        <w:rPr>
          <w:rtl/>
        </w:rPr>
        <w:t xml:space="preserve"> إنها تختلف كثيراً باختلاف الأشخاص والأحوال والأزمان</w:t>
      </w:r>
      <w:r w:rsidR="00F74FE9" w:rsidRPr="00904FCB">
        <w:rPr>
          <w:rFonts w:hint="cs"/>
          <w:rtl/>
        </w:rPr>
        <w:t>.</w:t>
      </w:r>
      <w:r w:rsidRPr="00904FCB">
        <w:rPr>
          <w:rtl/>
        </w:rPr>
        <w:t xml:space="preserve"> ولذا كان هذا العلم من معجزات الأنبياء والأولياء</w:t>
      </w:r>
      <w:r w:rsidR="001C1A2A" w:rsidRPr="00904FCB">
        <w:rPr>
          <w:rFonts w:cs="Mosawi"/>
          <w:szCs w:val="22"/>
          <w:rtl/>
        </w:rPr>
        <w:t>×</w:t>
      </w:r>
      <w:r w:rsidR="00F74FE9" w:rsidRPr="00904FCB">
        <w:rPr>
          <w:rFonts w:hint="cs"/>
          <w:rtl/>
        </w:rPr>
        <w:t>،</w:t>
      </w:r>
      <w:r w:rsidRPr="00904FCB">
        <w:rPr>
          <w:rtl/>
        </w:rPr>
        <w:t xml:space="preserve"> وليس لغيرهم من ذلك إلا</w:t>
      </w:r>
      <w:r w:rsidR="00F74FE9" w:rsidRPr="00904FCB">
        <w:rPr>
          <w:rFonts w:hint="cs"/>
          <w:rtl/>
        </w:rPr>
        <w:t>ّ</w:t>
      </w:r>
      <w:r w:rsidRPr="00904FCB">
        <w:rPr>
          <w:rtl/>
        </w:rPr>
        <w:t xml:space="preserve"> حظ</w:t>
      </w:r>
      <w:r w:rsidR="00F74FE9" w:rsidRPr="00904FCB">
        <w:rPr>
          <w:rFonts w:hint="cs"/>
          <w:rtl/>
        </w:rPr>
        <w:t>ٌّ</w:t>
      </w:r>
      <w:r w:rsidRPr="00904FCB">
        <w:rPr>
          <w:rtl/>
        </w:rPr>
        <w:t xml:space="preserve"> يسير</w:t>
      </w:r>
      <w:r w:rsidR="00F74FE9" w:rsidRPr="00904FCB">
        <w:rPr>
          <w:rFonts w:hint="cs"/>
          <w:rtl/>
        </w:rPr>
        <w:t>،</w:t>
      </w:r>
      <w:r w:rsidRPr="00904FCB">
        <w:rPr>
          <w:rtl/>
        </w:rPr>
        <w:t xml:space="preserve"> لا يسمن ولا يغني من جوع</w:t>
      </w:r>
      <w:r w:rsidRPr="00904FCB">
        <w:rPr>
          <w:rFonts w:hint="eastAsia"/>
          <w:rtl/>
        </w:rPr>
        <w:t>»</w:t>
      </w:r>
      <w:r w:rsidRPr="00904FCB">
        <w:rPr>
          <w:rFonts w:hint="cs"/>
          <w:vertAlign w:val="superscript"/>
          <w:rtl/>
        </w:rPr>
        <w:t>(</w:t>
      </w:r>
      <w:r w:rsidRPr="00904FCB">
        <w:rPr>
          <w:rStyle w:val="ac"/>
          <w:sz w:val="27"/>
          <w:rtl/>
        </w:rPr>
        <w:endnoteReference w:id="565"/>
      </w:r>
      <w:r w:rsidRPr="00904FCB">
        <w:rPr>
          <w:rFonts w:hint="cs"/>
          <w:vertAlign w:val="superscript"/>
          <w:rtl/>
        </w:rPr>
        <w:t>)</w:t>
      </w:r>
      <w:r w:rsidRPr="00904FCB">
        <w:rPr>
          <w:rtl/>
        </w:rPr>
        <w:t>.</w:t>
      </w:r>
    </w:p>
    <w:p w:rsidR="00E83C22" w:rsidRPr="00904FCB" w:rsidRDefault="00E83C22" w:rsidP="007A21AA">
      <w:pPr>
        <w:spacing w:line="400" w:lineRule="exact"/>
        <w:rPr>
          <w:rtl/>
        </w:rPr>
      </w:pPr>
    </w:p>
    <w:p w:rsidR="00E83C22" w:rsidRDefault="00E83C22" w:rsidP="007A21AA">
      <w:pPr>
        <w:spacing w:line="400" w:lineRule="exact"/>
        <w:rPr>
          <w:rtl/>
        </w:rPr>
      </w:pPr>
    </w:p>
    <w:p w:rsidR="00204BF2" w:rsidRDefault="00204BF2" w:rsidP="007A21AA">
      <w:pPr>
        <w:spacing w:line="400" w:lineRule="exact"/>
        <w:rPr>
          <w:rtl/>
        </w:rPr>
      </w:pPr>
    </w:p>
    <w:p w:rsidR="00204BF2" w:rsidRDefault="00204BF2" w:rsidP="007A21AA">
      <w:pPr>
        <w:spacing w:line="400" w:lineRule="exact"/>
        <w:rPr>
          <w:rtl/>
        </w:rPr>
      </w:pPr>
    </w:p>
    <w:p w:rsidR="00204BF2" w:rsidRDefault="00204BF2" w:rsidP="007A21AA">
      <w:pPr>
        <w:spacing w:line="400" w:lineRule="exact"/>
        <w:rPr>
          <w:rtl/>
        </w:rPr>
      </w:pPr>
    </w:p>
    <w:p w:rsidR="00204BF2" w:rsidRDefault="00204BF2" w:rsidP="007A21AA">
      <w:pPr>
        <w:spacing w:line="400" w:lineRule="exact"/>
        <w:rPr>
          <w:rtl/>
        </w:rPr>
      </w:pPr>
    </w:p>
    <w:p w:rsidR="00204BF2" w:rsidRDefault="00204BF2" w:rsidP="007A21AA">
      <w:pPr>
        <w:spacing w:line="400" w:lineRule="exact"/>
        <w:rPr>
          <w:rtl/>
        </w:rPr>
      </w:pPr>
    </w:p>
    <w:p w:rsidR="00204BF2" w:rsidRDefault="00204BF2" w:rsidP="007A21AA">
      <w:pPr>
        <w:spacing w:line="400" w:lineRule="exact"/>
        <w:rPr>
          <w:rtl/>
        </w:rPr>
      </w:pPr>
    </w:p>
    <w:p w:rsidR="00204BF2" w:rsidRDefault="00204BF2" w:rsidP="007A21AA">
      <w:pPr>
        <w:spacing w:line="400" w:lineRule="exact"/>
        <w:rPr>
          <w:rtl/>
        </w:rPr>
      </w:pPr>
    </w:p>
    <w:p w:rsidR="00204BF2" w:rsidRDefault="00204BF2" w:rsidP="007A21AA">
      <w:pPr>
        <w:spacing w:line="400" w:lineRule="exact"/>
        <w:rPr>
          <w:rtl/>
        </w:rPr>
      </w:pPr>
    </w:p>
    <w:p w:rsidR="00204BF2" w:rsidRDefault="00204BF2" w:rsidP="007A21AA">
      <w:pPr>
        <w:spacing w:line="400" w:lineRule="exact"/>
        <w:rPr>
          <w:rtl/>
        </w:rPr>
      </w:pPr>
    </w:p>
    <w:p w:rsidR="00204BF2" w:rsidRPr="00904FCB" w:rsidRDefault="00204BF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163"/>
          <w:headerReference w:type="default" r:id="rId164"/>
          <w:footerReference w:type="even" r:id="rId165"/>
          <w:footerReference w:type="default" r:id="rId16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167"/>
          <w:headerReference w:type="default" r:id="rId168"/>
          <w:footerReference w:type="even" r:id="rId169"/>
          <w:footerReference w:type="default" r:id="rId170"/>
          <w:headerReference w:type="first" r:id="rId171"/>
          <w:endnotePr>
            <w:numFmt w:val="decimal"/>
            <w:numRestart w:val="eachSect"/>
          </w:endnotePr>
          <w:type w:val="continuous"/>
          <w:pgSz w:w="11907" w:h="16840" w:code="9"/>
          <w:pgMar w:top="2637" w:right="2438" w:bottom="3686" w:left="2438" w:header="2268" w:footer="3119" w:gutter="0"/>
          <w:cols w:space="720"/>
          <w:titlePg/>
          <w:docGrid w:linePitch="360"/>
        </w:sectPr>
      </w:pPr>
    </w:p>
    <w:p w:rsidR="00625F5D" w:rsidRPr="00904FCB" w:rsidRDefault="00625F5D" w:rsidP="007A21AA">
      <w:pPr>
        <w:spacing w:line="400" w:lineRule="exact"/>
        <w:rPr>
          <w:rtl/>
        </w:rPr>
      </w:pPr>
    </w:p>
    <w:p w:rsidR="00625F5D" w:rsidRPr="00904FCB" w:rsidRDefault="00625F5D" w:rsidP="007A21AA">
      <w:pPr>
        <w:spacing w:line="400" w:lineRule="exact"/>
        <w:rPr>
          <w:rtl/>
        </w:rPr>
      </w:pPr>
    </w:p>
    <w:p w:rsidR="00625F5D" w:rsidRPr="00904FCB" w:rsidRDefault="00EF655F" w:rsidP="00826CE1">
      <w:pPr>
        <w:pStyle w:val="10"/>
        <w:spacing w:line="240" w:lineRule="auto"/>
        <w:rPr>
          <w:rtl/>
          <w:lang w:bidi="ar-LB"/>
        </w:rPr>
      </w:pPr>
      <w:bookmarkStart w:id="55" w:name="_Toc435577214"/>
      <w:r w:rsidRPr="00904FCB">
        <w:rPr>
          <w:rtl/>
          <w:lang w:bidi="ar-LB"/>
        </w:rPr>
        <w:t>مقد</w:t>
      </w:r>
      <w:r w:rsidRPr="00904FCB">
        <w:rPr>
          <w:rFonts w:hint="cs"/>
          <w:rtl/>
          <w:lang w:bidi="ar-LB"/>
        </w:rPr>
        <w:t>ّ</w:t>
      </w:r>
      <w:r w:rsidRPr="00904FCB">
        <w:rPr>
          <w:rtl/>
          <w:lang w:bidi="ar-LB"/>
        </w:rPr>
        <w:t>مة في فقه البيئة</w:t>
      </w:r>
      <w:r w:rsidRPr="00904FCB">
        <w:rPr>
          <w:rFonts w:hint="cs"/>
          <w:rtl/>
          <w:lang w:bidi="ar-LB"/>
        </w:rPr>
        <w:t xml:space="preserve"> والمحيط</w:t>
      </w:r>
      <w:bookmarkEnd w:id="55"/>
    </w:p>
    <w:p w:rsidR="00625F5D" w:rsidRPr="00904FCB" w:rsidRDefault="00625F5D" w:rsidP="007A21AA">
      <w:pPr>
        <w:spacing w:line="400" w:lineRule="exact"/>
        <w:rPr>
          <w:rtl/>
        </w:rPr>
      </w:pPr>
    </w:p>
    <w:p w:rsidR="00625F5D" w:rsidRPr="00904FCB" w:rsidRDefault="004722A1" w:rsidP="007A21AA">
      <w:pPr>
        <w:pStyle w:val="Author"/>
        <w:spacing w:line="400" w:lineRule="exact"/>
        <w:rPr>
          <w:rtl/>
        </w:rPr>
      </w:pPr>
      <w:bookmarkStart w:id="56" w:name="_Toc435577215"/>
      <w:r w:rsidRPr="00904FCB">
        <w:rPr>
          <w:rFonts w:hint="cs"/>
          <w:rtl/>
          <w:lang w:bidi="ar-LB"/>
        </w:rPr>
        <w:t xml:space="preserve">د. </w:t>
      </w:r>
      <w:r w:rsidR="00EF655F" w:rsidRPr="00904FCB">
        <w:rPr>
          <w:rFonts w:hint="cs"/>
          <w:rtl/>
          <w:lang w:bidi="ar-LB"/>
        </w:rPr>
        <w:t>محسن عميق</w:t>
      </w:r>
      <w:r w:rsidR="00625F5D" w:rsidRPr="00904FCB">
        <w:rPr>
          <w:rFonts w:cs="Taher" w:hint="cs"/>
          <w:vertAlign w:val="superscript"/>
          <w:rtl/>
        </w:rPr>
        <w:t>(</w:t>
      </w:r>
      <w:r w:rsidR="00625F5D" w:rsidRPr="00904FCB">
        <w:rPr>
          <w:rFonts w:cs="Taher"/>
          <w:vertAlign w:val="superscript"/>
          <w:rtl/>
        </w:rPr>
        <w:footnoteReference w:customMarkFollows="1" w:id="18"/>
        <w:t>*)</w:t>
      </w:r>
      <w:bookmarkEnd w:id="56"/>
    </w:p>
    <w:p w:rsidR="00625F5D" w:rsidRPr="00904FCB" w:rsidRDefault="00625F5D" w:rsidP="007A21AA">
      <w:pPr>
        <w:pStyle w:val="Author"/>
        <w:spacing w:line="400" w:lineRule="exact"/>
        <w:rPr>
          <w:rtl/>
        </w:rPr>
      </w:pPr>
      <w:bookmarkStart w:id="57" w:name="_Toc435577216"/>
      <w:r w:rsidRPr="00904FCB">
        <w:rPr>
          <w:rFonts w:hint="cs"/>
          <w:rtl/>
        </w:rPr>
        <w:t xml:space="preserve">ترجمة: </w:t>
      </w:r>
      <w:r w:rsidR="00EF655F" w:rsidRPr="00904FCB">
        <w:rPr>
          <w:rFonts w:hint="cs"/>
          <w:rtl/>
          <w:lang w:bidi="ar-LB"/>
        </w:rPr>
        <w:t>د. نظيرة غلاب</w:t>
      </w:r>
      <w:bookmarkEnd w:id="57"/>
    </w:p>
    <w:p w:rsidR="00625F5D" w:rsidRPr="00904FCB" w:rsidRDefault="00625F5D" w:rsidP="007A21AA">
      <w:pPr>
        <w:spacing w:line="400" w:lineRule="exact"/>
        <w:rPr>
          <w:rtl/>
        </w:rPr>
      </w:pPr>
    </w:p>
    <w:p w:rsidR="00EF655F" w:rsidRPr="00904FCB" w:rsidRDefault="00EF655F" w:rsidP="007A21AA">
      <w:pPr>
        <w:pStyle w:val="31"/>
        <w:spacing w:line="400" w:lineRule="exact"/>
        <w:rPr>
          <w:color w:val="auto"/>
          <w:rtl/>
          <w:lang w:bidi="ar-LB"/>
        </w:rPr>
      </w:pPr>
      <w:r w:rsidRPr="00904FCB">
        <w:rPr>
          <w:rFonts w:hint="cs"/>
          <w:color w:val="auto"/>
          <w:rtl/>
          <w:lang w:bidi="ar-LB"/>
        </w:rPr>
        <w:t xml:space="preserve">خلاصة </w:t>
      </w:r>
    </w:p>
    <w:p w:rsidR="00EF655F" w:rsidRPr="00904FCB" w:rsidRDefault="00EF655F" w:rsidP="00826CE1">
      <w:pPr>
        <w:spacing w:line="410" w:lineRule="exact"/>
        <w:rPr>
          <w:sz w:val="27"/>
          <w:rtl/>
        </w:rPr>
      </w:pPr>
      <w:r w:rsidRPr="00904FCB">
        <w:rPr>
          <w:rFonts w:hint="cs"/>
          <w:sz w:val="27"/>
          <w:rtl/>
          <w:lang w:bidi="ar-LB"/>
        </w:rPr>
        <w:t>بات موضوع البيئة والحفاظ على المحيط هاجسا</w:t>
      </w:r>
      <w:r w:rsidR="005A66E3" w:rsidRPr="00904FCB">
        <w:rPr>
          <w:rFonts w:hint="cs"/>
          <w:sz w:val="27"/>
          <w:rtl/>
          <w:lang w:bidi="ar-LB"/>
        </w:rPr>
        <w:t>ً</w:t>
      </w:r>
      <w:r w:rsidRPr="00904FCB">
        <w:rPr>
          <w:rFonts w:hint="cs"/>
          <w:sz w:val="27"/>
          <w:rtl/>
          <w:lang w:bidi="ar-LB"/>
        </w:rPr>
        <w:t xml:space="preserve"> ملح</w:t>
      </w:r>
      <w:r w:rsidR="005A66E3" w:rsidRPr="00904FCB">
        <w:rPr>
          <w:rFonts w:hint="cs"/>
          <w:sz w:val="27"/>
          <w:rtl/>
          <w:lang w:bidi="ar-LB"/>
        </w:rPr>
        <w:t>ً</w:t>
      </w:r>
      <w:r w:rsidRPr="00904FCB">
        <w:rPr>
          <w:rFonts w:hint="cs"/>
          <w:sz w:val="27"/>
          <w:rtl/>
          <w:lang w:bidi="ar-LB"/>
        </w:rPr>
        <w:t>ا</w:t>
      </w:r>
      <w:r w:rsidR="005A66E3" w:rsidRPr="00904FCB">
        <w:rPr>
          <w:rFonts w:hint="cs"/>
          <w:sz w:val="27"/>
          <w:rtl/>
          <w:lang w:bidi="ar-LB"/>
        </w:rPr>
        <w:t>ً</w:t>
      </w:r>
      <w:r w:rsidRPr="00904FCB">
        <w:rPr>
          <w:rFonts w:hint="cs"/>
          <w:sz w:val="27"/>
          <w:rtl/>
          <w:lang w:bidi="ar-LB"/>
        </w:rPr>
        <w:t xml:space="preserve"> وتحد</w:t>
      </w:r>
      <w:r w:rsidR="005A66E3" w:rsidRPr="00904FCB">
        <w:rPr>
          <w:rFonts w:hint="cs"/>
          <w:sz w:val="27"/>
          <w:rtl/>
          <w:lang w:bidi="ar-LB"/>
        </w:rPr>
        <w:t>ّ</w:t>
      </w:r>
      <w:r w:rsidRPr="00904FCB">
        <w:rPr>
          <w:rFonts w:hint="cs"/>
          <w:sz w:val="27"/>
          <w:rtl/>
          <w:lang w:bidi="ar-LB"/>
        </w:rPr>
        <w:t>يا</w:t>
      </w:r>
      <w:r w:rsidR="005A66E3" w:rsidRPr="00904FCB">
        <w:rPr>
          <w:rFonts w:hint="cs"/>
          <w:sz w:val="27"/>
          <w:rtl/>
          <w:lang w:bidi="ar-LB"/>
        </w:rPr>
        <w:t>ً</w:t>
      </w:r>
      <w:r w:rsidRPr="00904FCB">
        <w:rPr>
          <w:rFonts w:hint="cs"/>
          <w:sz w:val="27"/>
          <w:rtl/>
          <w:lang w:bidi="ar-LB"/>
        </w:rPr>
        <w:t xml:space="preserve"> خطيرا</w:t>
      </w:r>
      <w:r w:rsidR="005A66E3" w:rsidRPr="00904FCB">
        <w:rPr>
          <w:rFonts w:hint="cs"/>
          <w:sz w:val="27"/>
          <w:rtl/>
          <w:lang w:bidi="ar-LB"/>
        </w:rPr>
        <w:t>ً</w:t>
      </w:r>
      <w:r w:rsidRPr="00904FCB">
        <w:rPr>
          <w:rFonts w:hint="cs"/>
          <w:sz w:val="27"/>
          <w:rtl/>
          <w:lang w:bidi="ar-LB"/>
        </w:rPr>
        <w:t xml:space="preserve"> أمام البشرية</w:t>
      </w:r>
      <w:r w:rsidR="005A66E3" w:rsidRPr="00904FCB">
        <w:rPr>
          <w:rFonts w:hint="cs"/>
          <w:sz w:val="27"/>
          <w:rtl/>
          <w:lang w:bidi="ar-LB"/>
        </w:rPr>
        <w:t>،</w:t>
      </w:r>
      <w:r w:rsidRPr="00904FCB">
        <w:rPr>
          <w:rFonts w:hint="cs"/>
          <w:sz w:val="27"/>
          <w:rtl/>
          <w:lang w:bidi="ar-LB"/>
        </w:rPr>
        <w:t xml:space="preserve"> ومن مواضيع الساعة التي تفرض البحث والتحقيق حولها ضمن عد</w:t>
      </w:r>
      <w:r w:rsidR="005A66E3" w:rsidRPr="00904FCB">
        <w:rPr>
          <w:rFonts w:hint="cs"/>
          <w:sz w:val="27"/>
          <w:rtl/>
          <w:lang w:bidi="ar-LB"/>
        </w:rPr>
        <w:t>ّ</w:t>
      </w:r>
      <w:r w:rsidRPr="00904FCB">
        <w:rPr>
          <w:rFonts w:hint="cs"/>
          <w:sz w:val="27"/>
          <w:rtl/>
          <w:lang w:bidi="ar-LB"/>
        </w:rPr>
        <w:t>ة مجالات</w:t>
      </w:r>
      <w:r w:rsidR="005A66E3" w:rsidRPr="00904FCB">
        <w:rPr>
          <w:rFonts w:hint="cs"/>
          <w:sz w:val="27"/>
          <w:rtl/>
          <w:lang w:bidi="ar-LB"/>
        </w:rPr>
        <w:t>،</w:t>
      </w:r>
      <w:r w:rsidRPr="00904FCB">
        <w:rPr>
          <w:rFonts w:hint="cs"/>
          <w:sz w:val="27"/>
          <w:rtl/>
          <w:lang w:bidi="ar-LB"/>
        </w:rPr>
        <w:t xml:space="preserve"> يعد</w:t>
      </w:r>
      <w:r w:rsidR="005A66E3" w:rsidRPr="00904FCB">
        <w:rPr>
          <w:rFonts w:hint="cs"/>
          <w:sz w:val="27"/>
          <w:rtl/>
          <w:lang w:bidi="ar-LB"/>
        </w:rPr>
        <w:t>ّ</w:t>
      </w:r>
      <w:r w:rsidRPr="00904FCB">
        <w:rPr>
          <w:rFonts w:hint="cs"/>
          <w:sz w:val="27"/>
          <w:rtl/>
          <w:lang w:bidi="ar-LB"/>
        </w:rPr>
        <w:t xml:space="preserve"> البحث الفقهي مجالا</w:t>
      </w:r>
      <w:r w:rsidR="005A66E3" w:rsidRPr="00904FCB">
        <w:rPr>
          <w:rFonts w:hint="cs"/>
          <w:sz w:val="27"/>
          <w:rtl/>
          <w:lang w:bidi="ar-LB"/>
        </w:rPr>
        <w:t>ً</w:t>
      </w:r>
      <w:r w:rsidRPr="00904FCB">
        <w:rPr>
          <w:rFonts w:hint="cs"/>
          <w:sz w:val="27"/>
          <w:rtl/>
          <w:lang w:bidi="ar-LB"/>
        </w:rPr>
        <w:t xml:space="preserve"> مهم</w:t>
      </w:r>
      <w:r w:rsidR="005A66E3" w:rsidRPr="00904FCB">
        <w:rPr>
          <w:rFonts w:hint="cs"/>
          <w:sz w:val="27"/>
          <w:rtl/>
          <w:lang w:bidi="ar-LB"/>
        </w:rPr>
        <w:t>اً</w:t>
      </w:r>
      <w:r w:rsidRPr="00904FCB">
        <w:rPr>
          <w:rFonts w:hint="cs"/>
          <w:sz w:val="27"/>
          <w:rtl/>
          <w:lang w:bidi="ar-LB"/>
        </w:rPr>
        <w:t xml:space="preserve"> فيها بامتياز. فالفقه </w:t>
      </w:r>
      <w:r w:rsidRPr="00904FCB">
        <w:rPr>
          <w:rFonts w:hint="cs"/>
          <w:sz w:val="27"/>
          <w:rtl/>
        </w:rPr>
        <w:t>موضع</w:t>
      </w:r>
      <w:r w:rsidRPr="00904FCB">
        <w:rPr>
          <w:sz w:val="27"/>
          <w:rtl/>
        </w:rPr>
        <w:t xml:space="preserve"> </w:t>
      </w:r>
      <w:r w:rsidRPr="00904FCB">
        <w:rPr>
          <w:rFonts w:hint="cs"/>
          <w:sz w:val="27"/>
          <w:rtl/>
        </w:rPr>
        <w:t xml:space="preserve">التشريعات والقوانين </w:t>
      </w:r>
      <w:r w:rsidRPr="00904FCB">
        <w:rPr>
          <w:sz w:val="27"/>
          <w:rtl/>
        </w:rPr>
        <w:t>الت</w:t>
      </w:r>
      <w:r w:rsidRPr="00904FCB">
        <w:rPr>
          <w:rFonts w:ascii="Times New Roman" w:hAnsi="Times New Roman" w:hint="cs"/>
          <w:sz w:val="27"/>
          <w:rtl/>
        </w:rPr>
        <w:t>ي</w:t>
      </w:r>
      <w:r w:rsidRPr="00904FCB">
        <w:rPr>
          <w:sz w:val="27"/>
          <w:rtl/>
        </w:rPr>
        <w:t xml:space="preserve"> </w:t>
      </w:r>
      <w:r w:rsidRPr="00904FCB">
        <w:rPr>
          <w:rFonts w:hint="cs"/>
          <w:sz w:val="27"/>
          <w:rtl/>
        </w:rPr>
        <w:t>تحتاجها</w:t>
      </w:r>
      <w:r w:rsidRPr="00904FCB">
        <w:rPr>
          <w:sz w:val="27"/>
          <w:rtl/>
        </w:rPr>
        <w:t xml:space="preserve"> </w:t>
      </w:r>
      <w:r w:rsidRPr="00904FCB">
        <w:rPr>
          <w:rFonts w:hint="cs"/>
          <w:sz w:val="27"/>
          <w:rtl/>
        </w:rPr>
        <w:t>الح</w:t>
      </w:r>
      <w:r w:rsidRPr="00904FCB">
        <w:rPr>
          <w:rFonts w:ascii="Times New Roman" w:hAnsi="Times New Roman" w:hint="cs"/>
          <w:sz w:val="27"/>
          <w:rtl/>
        </w:rPr>
        <w:t>ي</w:t>
      </w:r>
      <w:r w:rsidRPr="00904FCB">
        <w:rPr>
          <w:rFonts w:hint="cs"/>
          <w:sz w:val="27"/>
          <w:rtl/>
        </w:rPr>
        <w:t>اة</w:t>
      </w:r>
      <w:r w:rsidRPr="00904FCB">
        <w:rPr>
          <w:sz w:val="27"/>
          <w:rtl/>
        </w:rPr>
        <w:t xml:space="preserve"> </w:t>
      </w:r>
      <w:r w:rsidRPr="00904FCB">
        <w:rPr>
          <w:rFonts w:hint="cs"/>
          <w:sz w:val="27"/>
          <w:rtl/>
        </w:rPr>
        <w:t>الفرد</w:t>
      </w:r>
      <w:r w:rsidRPr="00904FCB">
        <w:rPr>
          <w:rFonts w:ascii="Times New Roman" w:hAnsi="Times New Roman" w:hint="cs"/>
          <w:sz w:val="27"/>
          <w:rtl/>
        </w:rPr>
        <w:t>ي</w:t>
      </w:r>
      <w:r w:rsidRPr="00904FCB">
        <w:rPr>
          <w:rFonts w:hint="cs"/>
          <w:sz w:val="27"/>
          <w:rtl/>
        </w:rPr>
        <w:t>ة</w:t>
      </w:r>
      <w:r w:rsidRPr="00904FCB">
        <w:rPr>
          <w:sz w:val="27"/>
          <w:rtl/>
        </w:rPr>
        <w:t xml:space="preserve"> و</w:t>
      </w:r>
      <w:r w:rsidRPr="00904FCB">
        <w:rPr>
          <w:rFonts w:hint="cs"/>
          <w:sz w:val="27"/>
          <w:rtl/>
        </w:rPr>
        <w:t>الا</w:t>
      </w:r>
      <w:r w:rsidRPr="00904FCB">
        <w:rPr>
          <w:sz w:val="27"/>
          <w:rtl/>
        </w:rPr>
        <w:t>جتماع</w:t>
      </w:r>
      <w:r w:rsidRPr="00904FCB">
        <w:rPr>
          <w:rFonts w:ascii="Times New Roman" w:hAnsi="Times New Roman" w:hint="cs"/>
          <w:sz w:val="27"/>
          <w:rtl/>
        </w:rPr>
        <w:t>ي</w:t>
      </w:r>
      <w:r w:rsidRPr="00904FCB">
        <w:rPr>
          <w:rFonts w:hint="cs"/>
          <w:sz w:val="27"/>
          <w:rtl/>
        </w:rPr>
        <w:t>ة</w:t>
      </w:r>
      <w:r w:rsidR="005A66E3" w:rsidRPr="00904FCB">
        <w:rPr>
          <w:rFonts w:hint="cs"/>
          <w:sz w:val="27"/>
          <w:rtl/>
        </w:rPr>
        <w:t>،</w:t>
      </w:r>
      <w:r w:rsidRPr="00904FCB">
        <w:rPr>
          <w:rFonts w:hint="cs"/>
          <w:sz w:val="27"/>
          <w:rtl/>
        </w:rPr>
        <w:t xml:space="preserve"> ل</w:t>
      </w:r>
      <w:r w:rsidR="005A66E3" w:rsidRPr="00904FCB">
        <w:rPr>
          <w:rFonts w:hint="cs"/>
          <w:sz w:val="27"/>
          <w:rtl/>
        </w:rPr>
        <w:t>ذا</w:t>
      </w:r>
      <w:r w:rsidRPr="00904FCB">
        <w:rPr>
          <w:rFonts w:hint="cs"/>
          <w:sz w:val="27"/>
          <w:rtl/>
        </w:rPr>
        <w:t xml:space="preserve"> فالكشف عن المساحة الفقهية المتاحة للموضوع في مصادر استنباط الفقه</w:t>
      </w:r>
      <w:r w:rsidR="005A66E3" w:rsidRPr="00904FCB">
        <w:rPr>
          <w:rFonts w:hint="cs"/>
          <w:sz w:val="27"/>
          <w:rtl/>
        </w:rPr>
        <w:t>،</w:t>
      </w:r>
      <w:r w:rsidRPr="00904FCB">
        <w:rPr>
          <w:rFonts w:hint="cs"/>
          <w:sz w:val="27"/>
          <w:rtl/>
        </w:rPr>
        <w:t xml:space="preserve"> أعم</w:t>
      </w:r>
      <w:r w:rsidR="005A66E3" w:rsidRPr="00904FCB">
        <w:rPr>
          <w:rFonts w:hint="cs"/>
          <w:sz w:val="27"/>
          <w:rtl/>
        </w:rPr>
        <w:t>ّ</w:t>
      </w:r>
      <w:r w:rsidRPr="00904FCB">
        <w:rPr>
          <w:rFonts w:hint="cs"/>
          <w:sz w:val="27"/>
          <w:rtl/>
        </w:rPr>
        <w:t xml:space="preserve"> من القرآن والسن</w:t>
      </w:r>
      <w:r w:rsidR="005A66E3" w:rsidRPr="00904FCB">
        <w:rPr>
          <w:rFonts w:hint="cs"/>
          <w:sz w:val="27"/>
          <w:rtl/>
        </w:rPr>
        <w:t>ّ</w:t>
      </w:r>
      <w:r w:rsidRPr="00904FCB">
        <w:rPr>
          <w:rFonts w:hint="cs"/>
          <w:sz w:val="27"/>
          <w:rtl/>
        </w:rPr>
        <w:t>ة والعقل والإجماع</w:t>
      </w:r>
      <w:r w:rsidR="005A66E3" w:rsidRPr="00904FCB">
        <w:rPr>
          <w:rFonts w:hint="cs"/>
          <w:sz w:val="27"/>
          <w:rtl/>
        </w:rPr>
        <w:t>،</w:t>
      </w:r>
      <w:r w:rsidRPr="00904FCB">
        <w:rPr>
          <w:rFonts w:hint="cs"/>
          <w:sz w:val="27"/>
          <w:rtl/>
        </w:rPr>
        <w:t xml:space="preserve"> بالإضافة </w:t>
      </w:r>
      <w:r w:rsidR="005A66E3" w:rsidRPr="00904FCB">
        <w:rPr>
          <w:rFonts w:hint="cs"/>
          <w:sz w:val="27"/>
          <w:rtl/>
        </w:rPr>
        <w:t xml:space="preserve">إلى </w:t>
      </w:r>
      <w:r w:rsidRPr="00904FCB">
        <w:rPr>
          <w:rFonts w:hint="cs"/>
          <w:sz w:val="27"/>
          <w:rtl/>
        </w:rPr>
        <w:t>كونه قضية معيارية</w:t>
      </w:r>
      <w:r w:rsidR="005A66E3" w:rsidRPr="00904FCB">
        <w:rPr>
          <w:rFonts w:hint="cs"/>
          <w:sz w:val="27"/>
          <w:rtl/>
        </w:rPr>
        <w:t xml:space="preserve">، </w:t>
      </w:r>
      <w:r w:rsidRPr="00904FCB">
        <w:rPr>
          <w:rFonts w:hint="cs"/>
          <w:sz w:val="27"/>
          <w:rtl/>
        </w:rPr>
        <w:t>يستوعب قسما</w:t>
      </w:r>
      <w:r w:rsidR="005A66E3" w:rsidRPr="00904FCB">
        <w:rPr>
          <w:rFonts w:hint="cs"/>
          <w:sz w:val="27"/>
          <w:rtl/>
        </w:rPr>
        <w:t>ً</w:t>
      </w:r>
      <w:r w:rsidRPr="00904FCB">
        <w:rPr>
          <w:rFonts w:hint="cs"/>
          <w:sz w:val="27"/>
          <w:rtl/>
        </w:rPr>
        <w:t xml:space="preserve"> كبيرا</w:t>
      </w:r>
      <w:r w:rsidR="005A66E3" w:rsidRPr="00904FCB">
        <w:rPr>
          <w:rFonts w:hint="cs"/>
          <w:sz w:val="27"/>
          <w:rtl/>
        </w:rPr>
        <w:t>ً</w:t>
      </w:r>
      <w:r w:rsidRPr="00904FCB">
        <w:rPr>
          <w:rFonts w:hint="cs"/>
          <w:sz w:val="27"/>
          <w:rtl/>
        </w:rPr>
        <w:t xml:space="preserve"> من النواهي والأوامر التي من شأنها الحد</w:t>
      </w:r>
      <w:r w:rsidR="005A66E3" w:rsidRPr="00904FCB">
        <w:rPr>
          <w:rFonts w:hint="cs"/>
          <w:sz w:val="27"/>
          <w:rtl/>
        </w:rPr>
        <w:t>ّ</w:t>
      </w:r>
      <w:r w:rsidRPr="00904FCB">
        <w:rPr>
          <w:rFonts w:hint="cs"/>
          <w:sz w:val="27"/>
          <w:rtl/>
        </w:rPr>
        <w:t xml:space="preserve"> من استنزاف البيئة</w:t>
      </w:r>
      <w:r w:rsidR="005A66E3" w:rsidRPr="00904FCB">
        <w:rPr>
          <w:rFonts w:hint="cs"/>
          <w:sz w:val="27"/>
          <w:rtl/>
        </w:rPr>
        <w:t>،</w:t>
      </w:r>
      <w:r w:rsidRPr="00904FCB">
        <w:rPr>
          <w:rFonts w:hint="cs"/>
          <w:sz w:val="27"/>
          <w:rtl/>
        </w:rPr>
        <w:t xml:space="preserve"> وتدمير المحيط البشري. </w:t>
      </w:r>
    </w:p>
    <w:p w:rsidR="002E76C6" w:rsidRPr="00904FCB" w:rsidRDefault="00EF655F" w:rsidP="00DC1CCE">
      <w:pPr>
        <w:spacing w:line="420" w:lineRule="exact"/>
        <w:ind w:firstLine="561"/>
        <w:rPr>
          <w:sz w:val="27"/>
          <w:rtl/>
        </w:rPr>
      </w:pPr>
      <w:r w:rsidRPr="00904FCB">
        <w:rPr>
          <w:rFonts w:hint="cs"/>
          <w:sz w:val="27"/>
          <w:rtl/>
        </w:rPr>
        <w:t>للتعر</w:t>
      </w:r>
      <w:r w:rsidR="005A66E3" w:rsidRPr="00904FCB">
        <w:rPr>
          <w:rFonts w:hint="cs"/>
          <w:sz w:val="27"/>
          <w:rtl/>
        </w:rPr>
        <w:t>ُّ</w:t>
      </w:r>
      <w:r w:rsidRPr="00904FCB">
        <w:rPr>
          <w:rFonts w:hint="cs"/>
          <w:sz w:val="27"/>
          <w:rtl/>
        </w:rPr>
        <w:t>ف على ما يتيحه الفقه ال</w:t>
      </w:r>
      <w:r w:rsidR="005A66E3" w:rsidRPr="00904FCB">
        <w:rPr>
          <w:rFonts w:hint="cs"/>
          <w:sz w:val="27"/>
          <w:rtl/>
        </w:rPr>
        <w:t>إ</w:t>
      </w:r>
      <w:r w:rsidRPr="00904FCB">
        <w:rPr>
          <w:rFonts w:hint="cs"/>
          <w:sz w:val="27"/>
          <w:rtl/>
        </w:rPr>
        <w:t>سلامي من ظرفي</w:t>
      </w:r>
      <w:r w:rsidR="005A66E3" w:rsidRPr="00904FCB">
        <w:rPr>
          <w:rFonts w:hint="cs"/>
          <w:sz w:val="27"/>
          <w:rtl/>
        </w:rPr>
        <w:t>ّ</w:t>
      </w:r>
      <w:r w:rsidRPr="00904FCB">
        <w:rPr>
          <w:rFonts w:hint="cs"/>
          <w:sz w:val="27"/>
          <w:rtl/>
        </w:rPr>
        <w:t>ة</w:t>
      </w:r>
      <w:r w:rsidR="005A66E3" w:rsidRPr="00904FCB">
        <w:rPr>
          <w:rFonts w:hint="cs"/>
          <w:sz w:val="27"/>
          <w:rtl/>
        </w:rPr>
        <w:t>ٍ</w:t>
      </w:r>
      <w:r w:rsidRPr="00904FCB">
        <w:rPr>
          <w:rFonts w:hint="cs"/>
          <w:sz w:val="27"/>
          <w:rtl/>
        </w:rPr>
        <w:t xml:space="preserve"> تشريعي</w:t>
      </w:r>
      <w:r w:rsidR="009C43F4" w:rsidRPr="00904FCB">
        <w:rPr>
          <w:rFonts w:hint="cs"/>
          <w:sz w:val="27"/>
          <w:rtl/>
        </w:rPr>
        <w:t>ّ</w:t>
      </w:r>
      <w:r w:rsidRPr="00904FCB">
        <w:rPr>
          <w:rFonts w:hint="cs"/>
          <w:sz w:val="27"/>
          <w:rtl/>
        </w:rPr>
        <w:t>ة للحفاظ على البيئة والمحيط ضمن ما يجب وما يصح</w:t>
      </w:r>
      <w:r w:rsidR="009C43F4" w:rsidRPr="00904FCB">
        <w:rPr>
          <w:rFonts w:hint="cs"/>
          <w:sz w:val="27"/>
          <w:rtl/>
        </w:rPr>
        <w:t>ّ،</w:t>
      </w:r>
      <w:r w:rsidRPr="00904FCB">
        <w:rPr>
          <w:rFonts w:hint="cs"/>
          <w:sz w:val="27"/>
          <w:rtl/>
        </w:rPr>
        <w:t xml:space="preserve"> وما لا</w:t>
      </w:r>
      <w:r w:rsidR="009C43F4" w:rsidRPr="00904FCB">
        <w:rPr>
          <w:rFonts w:hint="cs"/>
          <w:sz w:val="27"/>
          <w:rtl/>
        </w:rPr>
        <w:t xml:space="preserve"> </w:t>
      </w:r>
      <w:r w:rsidRPr="00904FCB">
        <w:rPr>
          <w:rFonts w:hint="cs"/>
          <w:sz w:val="27"/>
          <w:rtl/>
        </w:rPr>
        <w:t>يجب وما لا يصح</w:t>
      </w:r>
      <w:r w:rsidR="009C43F4" w:rsidRPr="00904FCB">
        <w:rPr>
          <w:rFonts w:hint="cs"/>
          <w:sz w:val="27"/>
          <w:rtl/>
        </w:rPr>
        <w:t>ّ،</w:t>
      </w:r>
      <w:r w:rsidRPr="00904FCB">
        <w:rPr>
          <w:rFonts w:hint="cs"/>
          <w:sz w:val="27"/>
          <w:rtl/>
        </w:rPr>
        <w:t xml:space="preserve"> لا</w:t>
      </w:r>
      <w:r w:rsidR="009C43F4" w:rsidRPr="00904FCB">
        <w:rPr>
          <w:rFonts w:hint="cs"/>
          <w:sz w:val="27"/>
          <w:rtl/>
        </w:rPr>
        <w:t xml:space="preserve"> </w:t>
      </w:r>
      <w:r w:rsidRPr="00904FCB">
        <w:rPr>
          <w:rFonts w:hint="cs"/>
          <w:sz w:val="27"/>
          <w:rtl/>
        </w:rPr>
        <w:t>ب</w:t>
      </w:r>
      <w:r w:rsidR="009C43F4" w:rsidRPr="00904FCB">
        <w:rPr>
          <w:rFonts w:hint="cs"/>
          <w:sz w:val="27"/>
          <w:rtl/>
        </w:rPr>
        <w:t>ُ</w:t>
      </w:r>
      <w:r w:rsidRPr="00904FCB">
        <w:rPr>
          <w:rFonts w:hint="cs"/>
          <w:sz w:val="27"/>
          <w:rtl/>
        </w:rPr>
        <w:t>د</w:t>
      </w:r>
      <w:r w:rsidR="009C43F4" w:rsidRPr="00904FCB">
        <w:rPr>
          <w:rFonts w:hint="cs"/>
          <w:sz w:val="27"/>
          <w:rtl/>
        </w:rPr>
        <w:t>ّ</w:t>
      </w:r>
      <w:r w:rsidR="002E76C6" w:rsidRPr="00904FCB">
        <w:rPr>
          <w:rFonts w:hint="cs"/>
          <w:sz w:val="27"/>
          <w:rtl/>
        </w:rPr>
        <w:t>َ</w:t>
      </w:r>
      <w:r w:rsidRPr="00904FCB">
        <w:rPr>
          <w:rFonts w:hint="cs"/>
          <w:sz w:val="27"/>
          <w:rtl/>
        </w:rPr>
        <w:t xml:space="preserve"> من تتب</w:t>
      </w:r>
      <w:r w:rsidR="002E76C6" w:rsidRPr="00904FCB">
        <w:rPr>
          <w:rFonts w:hint="cs"/>
          <w:sz w:val="27"/>
          <w:rtl/>
        </w:rPr>
        <w:t>ُّ</w:t>
      </w:r>
      <w:r w:rsidRPr="00904FCB">
        <w:rPr>
          <w:rFonts w:hint="cs"/>
          <w:sz w:val="27"/>
          <w:rtl/>
        </w:rPr>
        <w:t>عه ضمن مجالات ثلاث</w:t>
      </w:r>
      <w:r w:rsidR="002E76C6" w:rsidRPr="00904FCB">
        <w:rPr>
          <w:rFonts w:hint="cs"/>
          <w:sz w:val="27"/>
          <w:rtl/>
        </w:rPr>
        <w:t>ة:</w:t>
      </w:r>
    </w:p>
    <w:p w:rsidR="002E76C6" w:rsidRPr="00904FCB" w:rsidRDefault="00EF655F" w:rsidP="00826CE1">
      <w:pPr>
        <w:spacing w:line="410" w:lineRule="exact"/>
        <w:rPr>
          <w:sz w:val="27"/>
          <w:rtl/>
        </w:rPr>
      </w:pPr>
      <w:r w:rsidRPr="00904FCB">
        <w:rPr>
          <w:rFonts w:hint="cs"/>
          <w:b/>
          <w:bCs/>
          <w:sz w:val="27"/>
          <w:rtl/>
        </w:rPr>
        <w:t>الأولى</w:t>
      </w:r>
      <w:r w:rsidRPr="00904FCB">
        <w:rPr>
          <w:rFonts w:hint="cs"/>
          <w:sz w:val="27"/>
          <w:rtl/>
        </w:rPr>
        <w:t>: مسؤولية المجتمع</w:t>
      </w:r>
      <w:r w:rsidR="002E76C6" w:rsidRPr="00904FCB">
        <w:rPr>
          <w:rFonts w:hint="cs"/>
          <w:sz w:val="27"/>
          <w:rtl/>
        </w:rPr>
        <w:t>.</w:t>
      </w:r>
    </w:p>
    <w:p w:rsidR="002E76C6" w:rsidRPr="00904FCB" w:rsidRDefault="00EF655F" w:rsidP="007A21AA">
      <w:pPr>
        <w:spacing w:line="400" w:lineRule="exact"/>
        <w:rPr>
          <w:sz w:val="27"/>
          <w:rtl/>
        </w:rPr>
      </w:pPr>
      <w:r w:rsidRPr="00904FCB">
        <w:rPr>
          <w:rFonts w:hint="cs"/>
          <w:b/>
          <w:bCs/>
          <w:sz w:val="27"/>
          <w:rtl/>
        </w:rPr>
        <w:t>الثانية</w:t>
      </w:r>
      <w:r w:rsidRPr="00904FCB">
        <w:rPr>
          <w:rFonts w:hint="cs"/>
          <w:sz w:val="27"/>
          <w:rtl/>
        </w:rPr>
        <w:t>: مسؤولية الحاكم الشرعي</w:t>
      </w:r>
      <w:r w:rsidR="002E76C6" w:rsidRPr="00904FCB">
        <w:rPr>
          <w:rFonts w:hint="cs"/>
          <w:sz w:val="27"/>
          <w:rtl/>
        </w:rPr>
        <w:t>.</w:t>
      </w:r>
    </w:p>
    <w:p w:rsidR="00EF655F" w:rsidRPr="00904FCB" w:rsidRDefault="00EF655F" w:rsidP="007A21AA">
      <w:pPr>
        <w:spacing w:line="400" w:lineRule="exact"/>
        <w:rPr>
          <w:sz w:val="27"/>
          <w:rtl/>
        </w:rPr>
      </w:pPr>
      <w:r w:rsidRPr="00904FCB">
        <w:rPr>
          <w:rFonts w:hint="cs"/>
          <w:b/>
          <w:bCs/>
          <w:sz w:val="27"/>
          <w:rtl/>
        </w:rPr>
        <w:t>الثالثة</w:t>
      </w:r>
      <w:r w:rsidRPr="00904FCB">
        <w:rPr>
          <w:rFonts w:hint="cs"/>
          <w:sz w:val="27"/>
          <w:rtl/>
        </w:rPr>
        <w:t>: الأحكام الفقهية العام</w:t>
      </w:r>
      <w:r w:rsidR="002E76C6" w:rsidRPr="00904FCB">
        <w:rPr>
          <w:rFonts w:hint="cs"/>
          <w:sz w:val="27"/>
          <w:rtl/>
        </w:rPr>
        <w:t>ّ</w:t>
      </w:r>
      <w:r w:rsidRPr="00904FCB">
        <w:rPr>
          <w:rFonts w:hint="cs"/>
          <w:sz w:val="27"/>
          <w:rtl/>
        </w:rPr>
        <w:t xml:space="preserve">ة والخاصة. </w:t>
      </w:r>
    </w:p>
    <w:p w:rsidR="00EF655F" w:rsidRPr="00904FCB" w:rsidRDefault="00EF655F" w:rsidP="007A21AA">
      <w:pPr>
        <w:spacing w:line="400" w:lineRule="exact"/>
        <w:rPr>
          <w:sz w:val="27"/>
          <w:rtl/>
        </w:rPr>
      </w:pPr>
      <w:r w:rsidRPr="00904FCB">
        <w:rPr>
          <w:rFonts w:hint="cs"/>
          <w:sz w:val="27"/>
          <w:rtl/>
        </w:rPr>
        <w:t>و تكمن أهم</w:t>
      </w:r>
      <w:r w:rsidR="002E76C6" w:rsidRPr="00904FCB">
        <w:rPr>
          <w:rFonts w:hint="cs"/>
          <w:sz w:val="27"/>
          <w:rtl/>
        </w:rPr>
        <w:t>ّ</w:t>
      </w:r>
      <w:r w:rsidRPr="00904FCB">
        <w:rPr>
          <w:rFonts w:hint="cs"/>
          <w:sz w:val="27"/>
          <w:rtl/>
        </w:rPr>
        <w:t>ية كل</w:t>
      </w:r>
      <w:r w:rsidR="002E76C6" w:rsidRPr="00904FCB">
        <w:rPr>
          <w:rFonts w:hint="cs"/>
          <w:sz w:val="27"/>
          <w:rtl/>
        </w:rPr>
        <w:t>ّ</w:t>
      </w:r>
      <w:r w:rsidRPr="00904FCB">
        <w:rPr>
          <w:rFonts w:hint="cs"/>
          <w:sz w:val="27"/>
          <w:rtl/>
        </w:rPr>
        <w:t xml:space="preserve"> واحد من هذه المجالات في كونه أداة ووسيلة للحفاظ على البيئة</w:t>
      </w:r>
      <w:r w:rsidR="002E76C6" w:rsidRPr="00904FCB">
        <w:rPr>
          <w:rFonts w:hint="cs"/>
          <w:sz w:val="27"/>
          <w:rtl/>
        </w:rPr>
        <w:t>،</w:t>
      </w:r>
      <w:r w:rsidRPr="00904FCB">
        <w:rPr>
          <w:rFonts w:hint="cs"/>
          <w:sz w:val="27"/>
          <w:rtl/>
        </w:rPr>
        <w:t xml:space="preserve"> والابتعاد عن إفسادها وإتلافها. </w:t>
      </w:r>
    </w:p>
    <w:p w:rsidR="00EF655F" w:rsidRPr="00904FCB" w:rsidRDefault="00EF655F" w:rsidP="007A21AA">
      <w:pPr>
        <w:pStyle w:val="31"/>
        <w:spacing w:line="400" w:lineRule="exact"/>
        <w:rPr>
          <w:color w:val="auto"/>
          <w:rtl/>
        </w:rPr>
      </w:pPr>
      <w:r w:rsidRPr="00904FCB">
        <w:rPr>
          <w:rFonts w:hint="cs"/>
          <w:color w:val="auto"/>
          <w:rtl/>
        </w:rPr>
        <w:lastRenderedPageBreak/>
        <w:t xml:space="preserve">مقدّمة </w:t>
      </w:r>
    </w:p>
    <w:p w:rsidR="00EF655F" w:rsidRPr="00904FCB" w:rsidRDefault="00EF655F" w:rsidP="007A21AA">
      <w:pPr>
        <w:spacing w:line="400" w:lineRule="exact"/>
        <w:rPr>
          <w:sz w:val="27"/>
          <w:rtl/>
        </w:rPr>
      </w:pPr>
      <w:r w:rsidRPr="00904FCB">
        <w:rPr>
          <w:rFonts w:hint="cs"/>
          <w:sz w:val="27"/>
          <w:rtl/>
        </w:rPr>
        <w:t>لا ش</w:t>
      </w:r>
      <w:r w:rsidR="002E76C6" w:rsidRPr="00904FCB">
        <w:rPr>
          <w:rFonts w:hint="cs"/>
          <w:sz w:val="27"/>
          <w:rtl/>
        </w:rPr>
        <w:t>َ</w:t>
      </w:r>
      <w:r w:rsidRPr="00904FCB">
        <w:rPr>
          <w:rFonts w:hint="cs"/>
          <w:sz w:val="27"/>
          <w:rtl/>
        </w:rPr>
        <w:t>ك</w:t>
      </w:r>
      <w:r w:rsidR="002E76C6" w:rsidRPr="00904FCB">
        <w:rPr>
          <w:rFonts w:hint="cs"/>
          <w:sz w:val="27"/>
          <w:rtl/>
        </w:rPr>
        <w:t>َّ</w:t>
      </w:r>
      <w:r w:rsidRPr="00904FCB">
        <w:rPr>
          <w:rFonts w:hint="cs"/>
          <w:sz w:val="27"/>
          <w:rtl/>
        </w:rPr>
        <w:t xml:space="preserve"> في أن بقاء النوع يستدعي الحفاظ على البيئة والمحيط الطبيعي</w:t>
      </w:r>
      <w:r w:rsidR="002E76C6" w:rsidRPr="00904FCB">
        <w:rPr>
          <w:rFonts w:hint="cs"/>
          <w:sz w:val="27"/>
          <w:rtl/>
        </w:rPr>
        <w:t xml:space="preserve"> وسلامة مقوماتها </w:t>
      </w:r>
      <w:r w:rsidRPr="00904FCB">
        <w:rPr>
          <w:rFonts w:hint="cs"/>
          <w:sz w:val="27"/>
          <w:rtl/>
        </w:rPr>
        <w:t>ومصادرها</w:t>
      </w:r>
      <w:r w:rsidR="002E76C6" w:rsidRPr="00904FCB">
        <w:rPr>
          <w:rFonts w:hint="cs"/>
          <w:sz w:val="27"/>
          <w:rtl/>
        </w:rPr>
        <w:t>؛</w:t>
      </w:r>
      <w:r w:rsidRPr="00904FCB">
        <w:rPr>
          <w:rFonts w:hint="cs"/>
          <w:sz w:val="27"/>
          <w:rtl/>
        </w:rPr>
        <w:t xml:space="preserve"> باعتبارها ظرف بقا</w:t>
      </w:r>
      <w:r w:rsidR="002E76C6" w:rsidRPr="00904FCB">
        <w:rPr>
          <w:rFonts w:hint="cs"/>
          <w:sz w:val="27"/>
          <w:rtl/>
        </w:rPr>
        <w:t>ئ</w:t>
      </w:r>
      <w:r w:rsidRPr="00904FCB">
        <w:rPr>
          <w:rFonts w:hint="cs"/>
          <w:sz w:val="27"/>
          <w:rtl/>
        </w:rPr>
        <w:t>ه واستمراره العضوي</w:t>
      </w:r>
      <w:r w:rsidR="002E76C6" w:rsidRPr="00904FCB">
        <w:rPr>
          <w:rFonts w:hint="cs"/>
          <w:sz w:val="27"/>
          <w:rtl/>
        </w:rPr>
        <w:t>،</w:t>
      </w:r>
      <w:r w:rsidRPr="00904FCB">
        <w:rPr>
          <w:rFonts w:hint="cs"/>
          <w:sz w:val="27"/>
          <w:rtl/>
        </w:rPr>
        <w:t xml:space="preserve"> و</w:t>
      </w:r>
      <w:r w:rsidRPr="00904FCB">
        <w:rPr>
          <w:sz w:val="27"/>
          <w:rtl/>
        </w:rPr>
        <w:t>أساس</w:t>
      </w:r>
      <w:r w:rsidR="002E76C6" w:rsidRPr="00904FCB">
        <w:rPr>
          <w:rFonts w:hint="cs"/>
          <w:sz w:val="27"/>
          <w:rtl/>
        </w:rPr>
        <w:t>اً</w:t>
      </w:r>
      <w:r w:rsidRPr="00904FCB">
        <w:rPr>
          <w:sz w:val="27"/>
          <w:rtl/>
        </w:rPr>
        <w:t xml:space="preserve"> إلزامي</w:t>
      </w:r>
      <w:r w:rsidR="002E76C6" w:rsidRPr="00904FCB">
        <w:rPr>
          <w:rFonts w:hint="cs"/>
          <w:sz w:val="27"/>
          <w:rtl/>
        </w:rPr>
        <w:t>اً</w:t>
      </w:r>
      <w:r w:rsidRPr="00904FCB">
        <w:rPr>
          <w:sz w:val="27"/>
          <w:rtl/>
        </w:rPr>
        <w:t xml:space="preserve"> ل</w:t>
      </w:r>
      <w:r w:rsidR="002E76C6" w:rsidRPr="00904FCB">
        <w:rPr>
          <w:rFonts w:hint="cs"/>
          <w:sz w:val="27"/>
          <w:rtl/>
        </w:rPr>
        <w:t>ا</w:t>
      </w:r>
      <w:r w:rsidRPr="00904FCB">
        <w:rPr>
          <w:sz w:val="27"/>
          <w:rtl/>
        </w:rPr>
        <w:t xml:space="preserve">ستمرار حياة بشرية </w:t>
      </w:r>
      <w:r w:rsidRPr="00904FCB">
        <w:rPr>
          <w:rFonts w:hint="cs"/>
          <w:sz w:val="27"/>
          <w:rtl/>
        </w:rPr>
        <w:t xml:space="preserve">سليمة آمنة. </w:t>
      </w:r>
    </w:p>
    <w:p w:rsidR="00EF655F" w:rsidRPr="00904FCB" w:rsidRDefault="00EF655F" w:rsidP="007A21AA">
      <w:pPr>
        <w:spacing w:line="400" w:lineRule="exact"/>
        <w:rPr>
          <w:sz w:val="27"/>
          <w:rtl/>
        </w:rPr>
      </w:pPr>
      <w:r w:rsidRPr="00904FCB">
        <w:rPr>
          <w:rFonts w:hint="cs"/>
          <w:sz w:val="27"/>
          <w:rtl/>
        </w:rPr>
        <w:t xml:space="preserve"> قد يلاحظ عدم وجود تعريف خاص</w:t>
      </w:r>
      <w:r w:rsidR="002E76C6" w:rsidRPr="00904FCB">
        <w:rPr>
          <w:rFonts w:hint="cs"/>
          <w:sz w:val="27"/>
          <w:rtl/>
        </w:rPr>
        <w:t>ّ</w:t>
      </w:r>
      <w:r w:rsidRPr="00904FCB">
        <w:rPr>
          <w:rFonts w:hint="cs"/>
          <w:sz w:val="27"/>
          <w:rtl/>
        </w:rPr>
        <w:t xml:space="preserve"> للبيئة ضمن المؤتمرات والاتفاقيات والمعاهدات الدولية، لكن</w:t>
      </w:r>
      <w:r w:rsidR="002E76C6" w:rsidRPr="00904FCB">
        <w:rPr>
          <w:rFonts w:hint="cs"/>
          <w:sz w:val="27"/>
          <w:rtl/>
        </w:rPr>
        <w:t>ْ</w:t>
      </w:r>
      <w:r w:rsidRPr="00904FCB">
        <w:rPr>
          <w:rFonts w:hint="cs"/>
          <w:sz w:val="27"/>
          <w:rtl/>
        </w:rPr>
        <w:t xml:space="preserve"> إجمالا</w:t>
      </w:r>
      <w:r w:rsidR="002E76C6" w:rsidRPr="00904FCB">
        <w:rPr>
          <w:rFonts w:hint="cs"/>
          <w:sz w:val="27"/>
          <w:rtl/>
        </w:rPr>
        <w:t>ً</w:t>
      </w:r>
      <w:r w:rsidRPr="00904FCB">
        <w:rPr>
          <w:rFonts w:hint="cs"/>
          <w:sz w:val="27"/>
          <w:rtl/>
        </w:rPr>
        <w:t xml:space="preserve"> يمكن القول</w:t>
      </w:r>
      <w:r w:rsidR="002E76C6" w:rsidRPr="00904FCB">
        <w:rPr>
          <w:rFonts w:hint="cs"/>
          <w:sz w:val="27"/>
          <w:rtl/>
        </w:rPr>
        <w:t>:</w:t>
      </w:r>
      <w:r w:rsidRPr="00904FCB">
        <w:rPr>
          <w:rFonts w:hint="cs"/>
          <w:sz w:val="27"/>
          <w:rtl/>
        </w:rPr>
        <w:t xml:space="preserve"> </w:t>
      </w:r>
      <w:r w:rsidR="002E76C6" w:rsidRPr="00904FCB">
        <w:rPr>
          <w:rFonts w:hint="cs"/>
          <w:sz w:val="27"/>
          <w:rtl/>
        </w:rPr>
        <w:t>إ</w:t>
      </w:r>
      <w:r w:rsidRPr="00904FCB">
        <w:rPr>
          <w:rFonts w:hint="cs"/>
          <w:sz w:val="27"/>
          <w:rtl/>
        </w:rPr>
        <w:t>ن البيئة تطلق لتشمل جميع الجوانب والعوامل المادية، الاقتصادية، الثقافية، الاجتماعية</w:t>
      </w:r>
      <w:r w:rsidR="002E76C6" w:rsidRPr="00904FCB">
        <w:rPr>
          <w:rFonts w:hint="cs"/>
          <w:sz w:val="27"/>
          <w:rtl/>
        </w:rPr>
        <w:t>،</w:t>
      </w:r>
      <w:r w:rsidRPr="00904FCB">
        <w:rPr>
          <w:rFonts w:hint="cs"/>
          <w:sz w:val="27"/>
          <w:rtl/>
        </w:rPr>
        <w:t xml:space="preserve"> والجمالية</w:t>
      </w:r>
      <w:r w:rsidR="002E76C6" w:rsidRPr="00904FCB">
        <w:rPr>
          <w:rFonts w:hint="cs"/>
          <w:sz w:val="27"/>
          <w:rtl/>
        </w:rPr>
        <w:t>،</w:t>
      </w:r>
      <w:r w:rsidRPr="00904FCB">
        <w:rPr>
          <w:rFonts w:hint="cs"/>
          <w:sz w:val="27"/>
          <w:rtl/>
        </w:rPr>
        <w:t xml:space="preserve"> ويدخل ضمنها كل المصادر والممتلكات</w:t>
      </w:r>
      <w:r w:rsidR="002E76C6" w:rsidRPr="00904FCB">
        <w:rPr>
          <w:rFonts w:hint="cs"/>
          <w:sz w:val="27"/>
          <w:rtl/>
        </w:rPr>
        <w:t>،</w:t>
      </w:r>
      <w:r w:rsidRPr="00904FCB">
        <w:rPr>
          <w:rFonts w:hint="cs"/>
          <w:sz w:val="27"/>
          <w:rtl/>
        </w:rPr>
        <w:t xml:space="preserve"> بحيث </w:t>
      </w:r>
      <w:r w:rsidR="002E76C6" w:rsidRPr="00904FCB">
        <w:rPr>
          <w:rFonts w:hint="cs"/>
          <w:sz w:val="27"/>
          <w:rtl/>
        </w:rPr>
        <w:t>إ</w:t>
      </w:r>
      <w:r w:rsidRPr="00904FCB">
        <w:rPr>
          <w:rFonts w:hint="cs"/>
          <w:sz w:val="27"/>
          <w:rtl/>
        </w:rPr>
        <w:t>ن الرغبة الدائمة في إنما</w:t>
      </w:r>
      <w:r w:rsidR="002E76C6" w:rsidRPr="00904FCB">
        <w:rPr>
          <w:rFonts w:hint="cs"/>
          <w:sz w:val="27"/>
          <w:rtl/>
        </w:rPr>
        <w:t>ئ</w:t>
      </w:r>
      <w:r w:rsidRPr="00904FCB">
        <w:rPr>
          <w:rFonts w:hint="cs"/>
          <w:sz w:val="27"/>
          <w:rtl/>
        </w:rPr>
        <w:t>ها وزيادة ر</w:t>
      </w:r>
      <w:r w:rsidR="002E76C6" w:rsidRPr="00904FCB">
        <w:rPr>
          <w:rFonts w:hint="cs"/>
          <w:sz w:val="27"/>
          <w:rtl/>
        </w:rPr>
        <w:t>َ</w:t>
      </w:r>
      <w:r w:rsidRPr="00904FCB">
        <w:rPr>
          <w:rFonts w:hint="cs"/>
          <w:sz w:val="27"/>
          <w:rtl/>
        </w:rPr>
        <w:t>ي</w:t>
      </w:r>
      <w:r w:rsidR="002E76C6" w:rsidRPr="00904FCB">
        <w:rPr>
          <w:rFonts w:hint="cs"/>
          <w:sz w:val="27"/>
          <w:rtl/>
        </w:rPr>
        <w:t>ْ</w:t>
      </w:r>
      <w:r w:rsidRPr="00904FCB">
        <w:rPr>
          <w:rFonts w:hint="cs"/>
          <w:sz w:val="27"/>
          <w:rtl/>
        </w:rPr>
        <w:t>عها وأرباحها يترك أثرا</w:t>
      </w:r>
      <w:r w:rsidR="002E76C6" w:rsidRPr="00904FCB">
        <w:rPr>
          <w:rFonts w:hint="cs"/>
          <w:sz w:val="27"/>
          <w:rtl/>
        </w:rPr>
        <w:t>ً</w:t>
      </w:r>
      <w:r w:rsidRPr="00904FCB">
        <w:rPr>
          <w:rFonts w:hint="cs"/>
          <w:sz w:val="27"/>
          <w:rtl/>
        </w:rPr>
        <w:t xml:space="preserve"> كبيرا</w:t>
      </w:r>
      <w:r w:rsidR="002E76C6" w:rsidRPr="00904FCB">
        <w:rPr>
          <w:rFonts w:hint="cs"/>
          <w:sz w:val="27"/>
          <w:rtl/>
        </w:rPr>
        <w:t>ً</w:t>
      </w:r>
      <w:r w:rsidRPr="00904FCB">
        <w:rPr>
          <w:rFonts w:hint="cs"/>
          <w:sz w:val="27"/>
          <w:rtl/>
        </w:rPr>
        <w:t xml:space="preserve"> على حياة البشر. </w:t>
      </w:r>
    </w:p>
    <w:p w:rsidR="00EF655F" w:rsidRPr="00904FCB" w:rsidRDefault="00EF655F" w:rsidP="007A21AA">
      <w:pPr>
        <w:spacing w:line="400" w:lineRule="exact"/>
        <w:rPr>
          <w:sz w:val="27"/>
          <w:rtl/>
        </w:rPr>
      </w:pPr>
      <w:r w:rsidRPr="00904FCB">
        <w:rPr>
          <w:rFonts w:hint="cs"/>
          <w:sz w:val="27"/>
          <w:rtl/>
        </w:rPr>
        <w:t>وغير خفي</w:t>
      </w:r>
      <w:r w:rsidR="002E76C6" w:rsidRPr="00904FCB">
        <w:rPr>
          <w:rFonts w:hint="cs"/>
          <w:sz w:val="27"/>
          <w:rtl/>
        </w:rPr>
        <w:t>ّ</w:t>
      </w:r>
      <w:r w:rsidRPr="00904FCB">
        <w:rPr>
          <w:rFonts w:hint="cs"/>
          <w:sz w:val="27"/>
          <w:rtl/>
        </w:rPr>
        <w:t xml:space="preserve"> أن أعظم انتكاسة عرفتها البيئة والمحيط كانت في المئة الأخيرة</w:t>
      </w:r>
      <w:r w:rsidR="002E76C6" w:rsidRPr="00904FCB">
        <w:rPr>
          <w:rFonts w:hint="cs"/>
          <w:sz w:val="27"/>
          <w:rtl/>
        </w:rPr>
        <w:t>،</w:t>
      </w:r>
      <w:r w:rsidRPr="00904FCB">
        <w:rPr>
          <w:rFonts w:hint="cs"/>
          <w:sz w:val="27"/>
          <w:rtl/>
        </w:rPr>
        <w:t xml:space="preserve"> حيث شهدت تساب</w:t>
      </w:r>
      <w:r w:rsidR="00967105">
        <w:rPr>
          <w:rFonts w:hint="cs"/>
          <w:sz w:val="27"/>
          <w:rtl/>
        </w:rPr>
        <w:t>ُ</w:t>
      </w:r>
      <w:r w:rsidRPr="00904FCB">
        <w:rPr>
          <w:rFonts w:hint="cs"/>
          <w:sz w:val="27"/>
          <w:rtl/>
        </w:rPr>
        <w:t>ق</w:t>
      </w:r>
      <w:r w:rsidR="00967105">
        <w:rPr>
          <w:rFonts w:hint="cs"/>
          <w:sz w:val="27"/>
          <w:rtl/>
        </w:rPr>
        <w:t>َ</w:t>
      </w:r>
      <w:r w:rsidRPr="00904FCB">
        <w:rPr>
          <w:rFonts w:hint="cs"/>
          <w:sz w:val="27"/>
          <w:rtl/>
        </w:rPr>
        <w:t xml:space="preserve"> وتناف</w:t>
      </w:r>
      <w:r w:rsidR="00967105">
        <w:rPr>
          <w:rFonts w:hint="cs"/>
          <w:sz w:val="27"/>
          <w:rtl/>
        </w:rPr>
        <w:t>ُ</w:t>
      </w:r>
      <w:r w:rsidRPr="00904FCB">
        <w:rPr>
          <w:rFonts w:hint="cs"/>
          <w:sz w:val="27"/>
          <w:rtl/>
        </w:rPr>
        <w:t>س</w:t>
      </w:r>
      <w:r w:rsidR="00967105">
        <w:rPr>
          <w:rFonts w:hint="cs"/>
          <w:sz w:val="27"/>
          <w:rtl/>
        </w:rPr>
        <w:t>َ</w:t>
      </w:r>
      <w:r w:rsidRPr="00904FCB">
        <w:rPr>
          <w:rFonts w:hint="cs"/>
          <w:sz w:val="27"/>
          <w:rtl/>
        </w:rPr>
        <w:t xml:space="preserve"> البشر نحو الرفاه المادي والتوس</w:t>
      </w:r>
      <w:r w:rsidR="002E76C6" w:rsidRPr="00904FCB">
        <w:rPr>
          <w:rFonts w:hint="cs"/>
          <w:sz w:val="27"/>
          <w:rtl/>
        </w:rPr>
        <w:t>ُّ</w:t>
      </w:r>
      <w:r w:rsidRPr="00904FCB">
        <w:rPr>
          <w:rFonts w:hint="cs"/>
          <w:sz w:val="27"/>
          <w:rtl/>
        </w:rPr>
        <w:t>ع الاقتصادي</w:t>
      </w:r>
      <w:r w:rsidR="002E76C6" w:rsidRPr="00904FCB">
        <w:rPr>
          <w:rFonts w:hint="cs"/>
          <w:sz w:val="27"/>
          <w:rtl/>
        </w:rPr>
        <w:t>،</w:t>
      </w:r>
      <w:r w:rsidRPr="00904FCB">
        <w:rPr>
          <w:rFonts w:hint="cs"/>
          <w:sz w:val="27"/>
          <w:rtl/>
        </w:rPr>
        <w:t xml:space="preserve"> الذي فرضه التطور الصناعي، مما أ</w:t>
      </w:r>
      <w:r w:rsidR="002E76C6" w:rsidRPr="00904FCB">
        <w:rPr>
          <w:rFonts w:hint="cs"/>
          <w:sz w:val="27"/>
          <w:rtl/>
        </w:rPr>
        <w:t>دّ</w:t>
      </w:r>
      <w:r w:rsidRPr="00904FCB">
        <w:rPr>
          <w:rFonts w:hint="cs"/>
          <w:sz w:val="27"/>
          <w:rtl/>
        </w:rPr>
        <w:t>ى إلى إتلاف و</w:t>
      </w:r>
      <w:r w:rsidRPr="00904FCB">
        <w:rPr>
          <w:sz w:val="27"/>
          <w:rtl/>
        </w:rPr>
        <w:t>استنزاف مقو</w:t>
      </w:r>
      <w:r w:rsidR="002E76C6" w:rsidRPr="00904FCB">
        <w:rPr>
          <w:rFonts w:hint="cs"/>
          <w:sz w:val="27"/>
          <w:rtl/>
        </w:rPr>
        <w:t>ّ</w:t>
      </w:r>
      <w:r w:rsidRPr="00904FCB">
        <w:rPr>
          <w:sz w:val="27"/>
          <w:rtl/>
        </w:rPr>
        <w:t>مات البيئة</w:t>
      </w:r>
      <w:r w:rsidR="002E76C6" w:rsidRPr="00904FCB">
        <w:rPr>
          <w:rFonts w:hint="cs"/>
          <w:sz w:val="27"/>
          <w:rtl/>
        </w:rPr>
        <w:t>،</w:t>
      </w:r>
      <w:r w:rsidRPr="00904FCB">
        <w:rPr>
          <w:sz w:val="27"/>
          <w:rtl/>
        </w:rPr>
        <w:t xml:space="preserve"> و</w:t>
      </w:r>
      <w:r w:rsidRPr="00904FCB">
        <w:rPr>
          <w:rFonts w:hint="cs"/>
          <w:sz w:val="27"/>
          <w:rtl/>
        </w:rPr>
        <w:t>تدمير مساحة كبيرة من المجال الطبيعي</w:t>
      </w:r>
      <w:r w:rsidR="002E76C6" w:rsidRPr="00904FCB">
        <w:rPr>
          <w:rFonts w:hint="cs"/>
          <w:sz w:val="27"/>
          <w:rtl/>
        </w:rPr>
        <w:t>،</w:t>
      </w:r>
      <w:r w:rsidRPr="00904FCB">
        <w:rPr>
          <w:rFonts w:hint="cs"/>
          <w:sz w:val="27"/>
          <w:rtl/>
        </w:rPr>
        <w:t xml:space="preserve"> وما نجم</w:t>
      </w:r>
      <w:r w:rsidRPr="00904FCB">
        <w:rPr>
          <w:sz w:val="27"/>
          <w:rtl/>
        </w:rPr>
        <w:t xml:space="preserve"> عنه من أضرار جسيمة</w:t>
      </w:r>
      <w:r w:rsidR="00DE683B" w:rsidRPr="00904FCB">
        <w:rPr>
          <w:rFonts w:hint="cs"/>
          <w:sz w:val="27"/>
          <w:rtl/>
        </w:rPr>
        <w:t>،</w:t>
      </w:r>
      <w:r w:rsidRPr="00904FCB">
        <w:rPr>
          <w:sz w:val="27"/>
          <w:rtl/>
        </w:rPr>
        <w:t xml:space="preserve"> </w:t>
      </w:r>
      <w:r w:rsidRPr="00904FCB">
        <w:rPr>
          <w:rFonts w:hint="cs"/>
          <w:sz w:val="27"/>
          <w:rtl/>
        </w:rPr>
        <w:t>أفاق معها البشر ليجدوا أنفسهم مهد</w:t>
      </w:r>
      <w:r w:rsidR="00DE683B" w:rsidRPr="00904FCB">
        <w:rPr>
          <w:rFonts w:hint="cs"/>
          <w:sz w:val="27"/>
          <w:rtl/>
        </w:rPr>
        <w:t>َّ</w:t>
      </w:r>
      <w:r w:rsidRPr="00904FCB">
        <w:rPr>
          <w:rFonts w:hint="cs"/>
          <w:sz w:val="27"/>
          <w:rtl/>
        </w:rPr>
        <w:t>دين بالعديد من الأمراض والآفات</w:t>
      </w:r>
      <w:r w:rsidR="00DE683B" w:rsidRPr="00904FCB">
        <w:rPr>
          <w:rFonts w:hint="cs"/>
          <w:sz w:val="27"/>
          <w:rtl/>
        </w:rPr>
        <w:t>،</w:t>
      </w:r>
      <w:r w:rsidRPr="00904FCB">
        <w:rPr>
          <w:rFonts w:hint="cs"/>
          <w:sz w:val="27"/>
          <w:rtl/>
        </w:rPr>
        <w:t xml:space="preserve"> التي تهد</w:t>
      </w:r>
      <w:r w:rsidR="00DE683B" w:rsidRPr="00904FCB">
        <w:rPr>
          <w:rFonts w:hint="cs"/>
          <w:sz w:val="27"/>
          <w:rtl/>
        </w:rPr>
        <w:t>ِّ</w:t>
      </w:r>
      <w:r w:rsidRPr="00904FCB">
        <w:rPr>
          <w:rFonts w:hint="cs"/>
          <w:sz w:val="27"/>
          <w:rtl/>
        </w:rPr>
        <w:t>د بقاء النوع</w:t>
      </w:r>
      <w:r w:rsidR="00DE683B" w:rsidRPr="00904FCB">
        <w:rPr>
          <w:rFonts w:hint="cs"/>
          <w:sz w:val="27"/>
          <w:rtl/>
        </w:rPr>
        <w:t>،</w:t>
      </w:r>
      <w:r w:rsidRPr="00904FCB">
        <w:rPr>
          <w:rFonts w:hint="cs"/>
          <w:sz w:val="27"/>
          <w:rtl/>
        </w:rPr>
        <w:t xml:space="preserve"> وتنذر بقرب وقوع كارثة طبيعية، وهو الأمر الذي </w:t>
      </w:r>
      <w:r w:rsidR="00DE683B" w:rsidRPr="00904FCB">
        <w:rPr>
          <w:rFonts w:hint="cs"/>
          <w:sz w:val="27"/>
          <w:rtl/>
        </w:rPr>
        <w:t>ي</w:t>
      </w:r>
      <w:r w:rsidRPr="00904FCB">
        <w:rPr>
          <w:rFonts w:hint="cs"/>
          <w:sz w:val="27"/>
          <w:rtl/>
        </w:rPr>
        <w:t>ستدعي هبّة</w:t>
      </w:r>
      <w:r w:rsidR="00DE683B" w:rsidRPr="00904FCB">
        <w:rPr>
          <w:rFonts w:hint="cs"/>
          <w:sz w:val="27"/>
          <w:rtl/>
        </w:rPr>
        <w:t>ً</w:t>
      </w:r>
      <w:r w:rsidRPr="00904FCB">
        <w:rPr>
          <w:rFonts w:hint="cs"/>
          <w:sz w:val="27"/>
          <w:rtl/>
        </w:rPr>
        <w:t xml:space="preserve"> فاعلة وتحركا</w:t>
      </w:r>
      <w:r w:rsidR="00DE683B" w:rsidRPr="00904FCB">
        <w:rPr>
          <w:rFonts w:hint="cs"/>
          <w:sz w:val="27"/>
          <w:rtl/>
        </w:rPr>
        <w:t>ً</w:t>
      </w:r>
      <w:r w:rsidRPr="00904FCB">
        <w:rPr>
          <w:rFonts w:hint="cs"/>
          <w:sz w:val="27"/>
          <w:rtl/>
        </w:rPr>
        <w:t xml:space="preserve"> سريعا</w:t>
      </w:r>
      <w:r w:rsidR="00DE683B" w:rsidRPr="00904FCB">
        <w:rPr>
          <w:rFonts w:hint="cs"/>
          <w:sz w:val="27"/>
          <w:rtl/>
        </w:rPr>
        <w:t>ً</w:t>
      </w:r>
      <w:r w:rsidRPr="00904FCB">
        <w:rPr>
          <w:rFonts w:hint="cs"/>
          <w:sz w:val="27"/>
          <w:rtl/>
        </w:rPr>
        <w:t xml:space="preserve"> لمعالجتها</w:t>
      </w:r>
      <w:r w:rsidR="00DE683B" w:rsidRPr="00904FCB">
        <w:rPr>
          <w:rFonts w:hint="cs"/>
          <w:sz w:val="27"/>
          <w:rtl/>
        </w:rPr>
        <w:t>،</w:t>
      </w:r>
      <w:r w:rsidRPr="00904FCB">
        <w:rPr>
          <w:rFonts w:hint="cs"/>
          <w:sz w:val="27"/>
          <w:rtl/>
        </w:rPr>
        <w:t xml:space="preserve"> وتدارك ما يمكن تداركه منها</w:t>
      </w:r>
      <w:r w:rsidR="00DE683B" w:rsidRPr="00904FCB">
        <w:rPr>
          <w:rFonts w:hint="cs"/>
          <w:sz w:val="27"/>
          <w:rtl/>
        </w:rPr>
        <w:t>.</w:t>
      </w:r>
      <w:r w:rsidRPr="00904FCB">
        <w:rPr>
          <w:rFonts w:hint="cs"/>
          <w:sz w:val="27"/>
          <w:rtl/>
        </w:rPr>
        <w:t xml:space="preserve"> </w:t>
      </w:r>
      <w:r w:rsidR="00DE683B" w:rsidRPr="00904FCB">
        <w:rPr>
          <w:rFonts w:hint="cs"/>
          <w:sz w:val="27"/>
          <w:rtl/>
        </w:rPr>
        <w:t>و</w:t>
      </w:r>
      <w:r w:rsidRPr="00904FCB">
        <w:rPr>
          <w:rFonts w:hint="cs"/>
          <w:sz w:val="27"/>
          <w:rtl/>
        </w:rPr>
        <w:t>هذا كان داعيا</w:t>
      </w:r>
      <w:r w:rsidR="00DE683B" w:rsidRPr="00904FCB">
        <w:rPr>
          <w:rFonts w:hint="cs"/>
          <w:sz w:val="27"/>
          <w:rtl/>
        </w:rPr>
        <w:t>ً</w:t>
      </w:r>
      <w:r w:rsidRPr="00904FCB">
        <w:rPr>
          <w:rFonts w:hint="cs"/>
          <w:sz w:val="27"/>
          <w:rtl/>
        </w:rPr>
        <w:t xml:space="preserve"> ل</w:t>
      </w:r>
      <w:r w:rsidR="00DE683B" w:rsidRPr="00904FCB">
        <w:rPr>
          <w:rFonts w:hint="cs"/>
          <w:sz w:val="27"/>
          <w:rtl/>
        </w:rPr>
        <w:t>ا</w:t>
      </w:r>
      <w:r w:rsidRPr="00904FCB">
        <w:rPr>
          <w:rFonts w:hint="cs"/>
          <w:sz w:val="27"/>
          <w:rtl/>
        </w:rPr>
        <w:t>نعقاد العديد من اللقاءات والمؤتمرات الدولية الخاص</w:t>
      </w:r>
      <w:r w:rsidR="00DE683B" w:rsidRPr="00904FCB">
        <w:rPr>
          <w:rFonts w:hint="cs"/>
          <w:sz w:val="27"/>
          <w:rtl/>
        </w:rPr>
        <w:t>ّ</w:t>
      </w:r>
      <w:r w:rsidRPr="00904FCB">
        <w:rPr>
          <w:rFonts w:hint="cs"/>
          <w:sz w:val="27"/>
          <w:rtl/>
        </w:rPr>
        <w:t xml:space="preserve">ة بالبيئة والمحيط. </w:t>
      </w:r>
    </w:p>
    <w:p w:rsidR="00EF655F" w:rsidRPr="00904FCB" w:rsidRDefault="00EF655F" w:rsidP="007A21AA">
      <w:pPr>
        <w:spacing w:line="400" w:lineRule="exact"/>
        <w:rPr>
          <w:sz w:val="27"/>
          <w:rtl/>
        </w:rPr>
      </w:pPr>
      <w:r w:rsidRPr="00904FCB">
        <w:rPr>
          <w:rFonts w:hint="cs"/>
          <w:sz w:val="27"/>
          <w:rtl/>
        </w:rPr>
        <w:t>اليوم تعمل العديد من الدول على حصول التنمية والتوسعة الاقتصادية المستدامة ضمن الحاجات الكفائية للجيل الحالي</w:t>
      </w:r>
      <w:r w:rsidR="00DE683B" w:rsidRPr="00904FCB">
        <w:rPr>
          <w:rFonts w:hint="cs"/>
          <w:sz w:val="27"/>
          <w:rtl/>
        </w:rPr>
        <w:t>،</w:t>
      </w:r>
      <w:r w:rsidRPr="00904FCB">
        <w:rPr>
          <w:rFonts w:hint="cs"/>
          <w:sz w:val="27"/>
          <w:rtl/>
        </w:rPr>
        <w:t xml:space="preserve"> ومن دون المساس والإضرار باحتياجات الأجيال القادمة</w:t>
      </w:r>
      <w:r w:rsidR="00DE683B" w:rsidRPr="00904FCB">
        <w:rPr>
          <w:rFonts w:hint="cs"/>
          <w:sz w:val="27"/>
          <w:rtl/>
        </w:rPr>
        <w:t>،</w:t>
      </w:r>
      <w:r w:rsidRPr="00904FCB">
        <w:rPr>
          <w:rFonts w:hint="cs"/>
          <w:sz w:val="27"/>
          <w:rtl/>
        </w:rPr>
        <w:t xml:space="preserve"> والتعد</w:t>
      </w:r>
      <w:r w:rsidR="00DE683B" w:rsidRPr="00904FCB">
        <w:rPr>
          <w:rFonts w:hint="cs"/>
          <w:sz w:val="27"/>
          <w:rtl/>
        </w:rPr>
        <w:t>ّ</w:t>
      </w:r>
      <w:r w:rsidRPr="00904FCB">
        <w:rPr>
          <w:rFonts w:hint="cs"/>
          <w:sz w:val="27"/>
          <w:rtl/>
        </w:rPr>
        <w:t xml:space="preserve">ي على حقوقها في البقاء والاستمرار. </w:t>
      </w:r>
    </w:p>
    <w:p w:rsidR="00EF655F" w:rsidRPr="00904FCB" w:rsidRDefault="00EF655F" w:rsidP="00510A75">
      <w:pPr>
        <w:spacing w:line="400" w:lineRule="exact"/>
        <w:rPr>
          <w:sz w:val="27"/>
          <w:rtl/>
        </w:rPr>
      </w:pPr>
      <w:r w:rsidRPr="00904FCB">
        <w:rPr>
          <w:rFonts w:hint="cs"/>
          <w:sz w:val="27"/>
          <w:rtl/>
        </w:rPr>
        <w:t>إن الاستمرار في التوسعة الشاملة والمستديمة يستلزم إجراء تعديلات على صعيد السياسات الكلية</w:t>
      </w:r>
      <w:r w:rsidR="00DE683B" w:rsidRPr="00904FCB">
        <w:rPr>
          <w:rFonts w:hint="cs"/>
          <w:sz w:val="27"/>
          <w:rtl/>
        </w:rPr>
        <w:t>،</w:t>
      </w:r>
      <w:r w:rsidRPr="00904FCB">
        <w:rPr>
          <w:rFonts w:hint="cs"/>
          <w:sz w:val="27"/>
          <w:rtl/>
        </w:rPr>
        <w:t xml:space="preserve"> وفي الس</w:t>
      </w:r>
      <w:r w:rsidR="00DE683B" w:rsidRPr="00904FCB">
        <w:rPr>
          <w:rFonts w:hint="cs"/>
          <w:sz w:val="27"/>
          <w:rtl/>
        </w:rPr>
        <w:t>ي</w:t>
      </w:r>
      <w:r w:rsidRPr="00904FCB">
        <w:rPr>
          <w:rFonts w:hint="cs"/>
          <w:sz w:val="27"/>
          <w:rtl/>
        </w:rPr>
        <w:t>اسة الاقتصادية</w:t>
      </w:r>
      <w:r w:rsidR="00DE683B" w:rsidRPr="00904FCB">
        <w:rPr>
          <w:rFonts w:hint="cs"/>
          <w:sz w:val="27"/>
          <w:rtl/>
        </w:rPr>
        <w:t>،</w:t>
      </w:r>
      <w:r w:rsidRPr="00904FCB">
        <w:rPr>
          <w:rFonts w:hint="cs"/>
          <w:sz w:val="27"/>
          <w:rtl/>
        </w:rPr>
        <w:t xml:space="preserve"> وعلى مستوى الجانب العلمي والفكري، من خلال سن</w:t>
      </w:r>
      <w:r w:rsidR="00DE683B" w:rsidRPr="00904FCB">
        <w:rPr>
          <w:rFonts w:hint="cs"/>
          <w:sz w:val="27"/>
          <w:rtl/>
        </w:rPr>
        <w:t>ّ</w:t>
      </w:r>
      <w:r w:rsidRPr="00904FCB">
        <w:rPr>
          <w:rFonts w:hint="cs"/>
          <w:sz w:val="27"/>
          <w:rtl/>
        </w:rPr>
        <w:t xml:space="preserve"> تشريعات وقوانين تضمن الحفاظ على البيئة والمحيط</w:t>
      </w:r>
      <w:r w:rsidR="00DE683B" w:rsidRPr="00904FCB">
        <w:rPr>
          <w:rFonts w:hint="cs"/>
          <w:sz w:val="27"/>
          <w:rtl/>
        </w:rPr>
        <w:t>،</w:t>
      </w:r>
      <w:r w:rsidRPr="00904FCB">
        <w:rPr>
          <w:rFonts w:hint="cs"/>
          <w:sz w:val="27"/>
          <w:rtl/>
        </w:rPr>
        <w:t xml:space="preserve"> والرفع من مستوى الوعي البيئي</w:t>
      </w:r>
      <w:r w:rsidR="00DE683B" w:rsidRPr="00904FCB">
        <w:rPr>
          <w:rFonts w:hint="cs"/>
          <w:sz w:val="27"/>
          <w:rtl/>
        </w:rPr>
        <w:t>،</w:t>
      </w:r>
      <w:r w:rsidRPr="00904FCB">
        <w:rPr>
          <w:rFonts w:hint="cs"/>
          <w:sz w:val="27"/>
          <w:rtl/>
        </w:rPr>
        <w:t xml:space="preserve"> من خلال دمجها ضمن البرامج التعليمية والتربوية. ولا يخفى ما للأوامر والنواهي الدينية والفقهية من مكانة</w:t>
      </w:r>
      <w:r w:rsidR="00DE683B" w:rsidRPr="00904FCB">
        <w:rPr>
          <w:rFonts w:hint="cs"/>
          <w:sz w:val="27"/>
          <w:rtl/>
        </w:rPr>
        <w:t>ٍ</w:t>
      </w:r>
      <w:r w:rsidRPr="00904FCB">
        <w:rPr>
          <w:rFonts w:hint="cs"/>
          <w:sz w:val="27"/>
          <w:rtl/>
        </w:rPr>
        <w:t xml:space="preserve"> في تغيير سلوك ووعي ال</w:t>
      </w:r>
      <w:r w:rsidR="00DE683B" w:rsidRPr="00904FCB">
        <w:rPr>
          <w:rFonts w:hint="cs"/>
          <w:sz w:val="27"/>
          <w:rtl/>
        </w:rPr>
        <w:t>إ</w:t>
      </w:r>
      <w:r w:rsidRPr="00904FCB">
        <w:rPr>
          <w:rFonts w:hint="cs"/>
          <w:sz w:val="27"/>
          <w:rtl/>
        </w:rPr>
        <w:t>نسان المسلم</w:t>
      </w:r>
      <w:r w:rsidR="00DE683B" w:rsidRPr="00904FCB">
        <w:rPr>
          <w:rFonts w:hint="cs"/>
          <w:sz w:val="27"/>
          <w:rtl/>
        </w:rPr>
        <w:t>؛</w:t>
      </w:r>
      <w:r w:rsidRPr="00904FCB">
        <w:rPr>
          <w:rFonts w:hint="cs"/>
          <w:sz w:val="27"/>
          <w:rtl/>
        </w:rPr>
        <w:t xml:space="preserve"> لارتباطها بكينونته العقائدية وهويته الدينية، </w:t>
      </w:r>
      <w:r w:rsidR="00DE683B" w:rsidRPr="00904FCB">
        <w:rPr>
          <w:rFonts w:hint="cs"/>
          <w:sz w:val="27"/>
          <w:rtl/>
        </w:rPr>
        <w:t>لذا</w:t>
      </w:r>
      <w:r w:rsidRPr="00904FCB">
        <w:rPr>
          <w:rFonts w:hint="cs"/>
          <w:sz w:val="27"/>
          <w:rtl/>
        </w:rPr>
        <w:t xml:space="preserve"> لا</w:t>
      </w:r>
      <w:r w:rsidR="00DE683B" w:rsidRPr="00904FCB">
        <w:rPr>
          <w:rFonts w:hint="cs"/>
          <w:sz w:val="27"/>
          <w:rtl/>
        </w:rPr>
        <w:t xml:space="preserve"> </w:t>
      </w:r>
      <w:r w:rsidRPr="00904FCB">
        <w:rPr>
          <w:rFonts w:hint="cs"/>
          <w:sz w:val="27"/>
          <w:rtl/>
        </w:rPr>
        <w:t>ب</w:t>
      </w:r>
      <w:r w:rsidR="00DE683B" w:rsidRPr="00904FCB">
        <w:rPr>
          <w:rFonts w:hint="cs"/>
          <w:sz w:val="27"/>
          <w:rtl/>
        </w:rPr>
        <w:t>ُ</w:t>
      </w:r>
      <w:r w:rsidRPr="00904FCB">
        <w:rPr>
          <w:rFonts w:hint="cs"/>
          <w:sz w:val="27"/>
          <w:rtl/>
        </w:rPr>
        <w:t>د</w:t>
      </w:r>
      <w:r w:rsidR="00DE683B" w:rsidRPr="00904FCB">
        <w:rPr>
          <w:rFonts w:hint="cs"/>
          <w:sz w:val="27"/>
          <w:rtl/>
        </w:rPr>
        <w:t>َّ</w:t>
      </w:r>
      <w:r w:rsidRPr="00904FCB">
        <w:rPr>
          <w:rFonts w:hint="cs"/>
          <w:sz w:val="27"/>
          <w:rtl/>
        </w:rPr>
        <w:t xml:space="preserve"> من إيجاد </w:t>
      </w:r>
      <w:r w:rsidRPr="00904FCB">
        <w:rPr>
          <w:rFonts w:hint="cs"/>
          <w:sz w:val="27"/>
          <w:rtl/>
        </w:rPr>
        <w:lastRenderedPageBreak/>
        <w:t>تفاعل</w:t>
      </w:r>
      <w:r w:rsidR="00DE683B" w:rsidRPr="00904FCB">
        <w:rPr>
          <w:rFonts w:hint="cs"/>
          <w:sz w:val="27"/>
          <w:rtl/>
        </w:rPr>
        <w:t>ٍ</w:t>
      </w:r>
      <w:r w:rsidRPr="00904FCB">
        <w:rPr>
          <w:rFonts w:hint="cs"/>
          <w:sz w:val="27"/>
          <w:rtl/>
        </w:rPr>
        <w:t xml:space="preserve"> موضوعي بين موضوع البيئة والمحيط وبين التشريعات الفقهية</w:t>
      </w:r>
      <w:r w:rsidR="00DE683B" w:rsidRPr="00904FCB">
        <w:rPr>
          <w:rFonts w:hint="cs"/>
          <w:sz w:val="27"/>
          <w:rtl/>
        </w:rPr>
        <w:t>،</w:t>
      </w:r>
      <w:r w:rsidRPr="00904FCB">
        <w:rPr>
          <w:rFonts w:hint="cs"/>
          <w:sz w:val="27"/>
          <w:rtl/>
        </w:rPr>
        <w:t xml:space="preserve"> وذلك بالاستفادة من مجموعة</w:t>
      </w:r>
      <w:r w:rsidR="00DE683B" w:rsidRPr="00904FCB">
        <w:rPr>
          <w:rFonts w:hint="cs"/>
          <w:sz w:val="27"/>
          <w:rtl/>
        </w:rPr>
        <w:t>ٍ</w:t>
      </w:r>
      <w:r w:rsidRPr="00904FCB">
        <w:rPr>
          <w:rFonts w:hint="cs"/>
          <w:sz w:val="27"/>
          <w:rtl/>
        </w:rPr>
        <w:t xml:space="preserve"> من الآيات القرآنية وروايات المعصومين</w:t>
      </w:r>
      <w:r w:rsidR="00510A75" w:rsidRPr="00904FCB">
        <w:rPr>
          <w:rFonts w:ascii="Mosawi" w:hAnsi="Mosawi" w:cs="Mosawi"/>
          <w:sz w:val="27"/>
          <w:rtl/>
        </w:rPr>
        <w:t>^</w:t>
      </w:r>
      <w:r w:rsidRPr="00904FCB">
        <w:rPr>
          <w:rFonts w:hint="cs"/>
          <w:sz w:val="27"/>
          <w:rtl/>
        </w:rPr>
        <w:t xml:space="preserve">. </w:t>
      </w:r>
    </w:p>
    <w:p w:rsidR="00EF655F" w:rsidRPr="00904FCB" w:rsidRDefault="00EF655F" w:rsidP="007A21AA">
      <w:pPr>
        <w:spacing w:line="400" w:lineRule="exact"/>
        <w:rPr>
          <w:sz w:val="27"/>
          <w:rtl/>
        </w:rPr>
      </w:pPr>
      <w:r w:rsidRPr="00904FCB">
        <w:rPr>
          <w:rFonts w:hint="cs"/>
          <w:sz w:val="27"/>
          <w:rtl/>
        </w:rPr>
        <w:t>لكشف المساحة التي يتيحها الفقه ال</w:t>
      </w:r>
      <w:r w:rsidR="00DE683B" w:rsidRPr="00904FCB">
        <w:rPr>
          <w:rFonts w:hint="cs"/>
          <w:sz w:val="27"/>
          <w:rtl/>
        </w:rPr>
        <w:t>إ</w:t>
      </w:r>
      <w:r w:rsidRPr="00904FCB">
        <w:rPr>
          <w:rFonts w:hint="cs"/>
          <w:sz w:val="27"/>
          <w:rtl/>
        </w:rPr>
        <w:t>سلامي لمسألة الحفاظ على البيئة والمحيط هناك ثلاث</w:t>
      </w:r>
      <w:r w:rsidR="00DE683B" w:rsidRPr="00904FCB">
        <w:rPr>
          <w:rFonts w:hint="cs"/>
          <w:sz w:val="27"/>
          <w:rtl/>
        </w:rPr>
        <w:t>ة</w:t>
      </w:r>
      <w:r w:rsidRPr="00904FCB">
        <w:rPr>
          <w:rFonts w:hint="cs"/>
          <w:sz w:val="27"/>
          <w:rtl/>
        </w:rPr>
        <w:t xml:space="preserve"> مجالات مختلفة يمكن الاستناد </w:t>
      </w:r>
      <w:r w:rsidR="003F3180" w:rsidRPr="00904FCB">
        <w:rPr>
          <w:rFonts w:hint="cs"/>
          <w:sz w:val="27"/>
          <w:rtl/>
        </w:rPr>
        <w:t>إ</w:t>
      </w:r>
      <w:r w:rsidRPr="00904FCB">
        <w:rPr>
          <w:rFonts w:hint="cs"/>
          <w:sz w:val="27"/>
          <w:rtl/>
        </w:rPr>
        <w:t xml:space="preserve">ليها: </w:t>
      </w:r>
      <w:r w:rsidRPr="00904FCB">
        <w:rPr>
          <w:rFonts w:hint="cs"/>
          <w:b/>
          <w:bCs/>
          <w:sz w:val="27"/>
          <w:rtl/>
        </w:rPr>
        <w:t>الأو</w:t>
      </w:r>
      <w:r w:rsidR="00DE683B" w:rsidRPr="00904FCB">
        <w:rPr>
          <w:rFonts w:hint="cs"/>
          <w:b/>
          <w:bCs/>
          <w:sz w:val="27"/>
          <w:rtl/>
        </w:rPr>
        <w:t>ّ</w:t>
      </w:r>
      <w:r w:rsidRPr="00904FCB">
        <w:rPr>
          <w:rFonts w:hint="cs"/>
          <w:b/>
          <w:bCs/>
          <w:sz w:val="27"/>
          <w:rtl/>
        </w:rPr>
        <w:t>ل</w:t>
      </w:r>
      <w:r w:rsidRPr="00904FCB">
        <w:rPr>
          <w:rFonts w:hint="cs"/>
          <w:sz w:val="27"/>
          <w:rtl/>
        </w:rPr>
        <w:t xml:space="preserve">: مسؤولية المجتمع، </w:t>
      </w:r>
      <w:r w:rsidRPr="00904FCB">
        <w:rPr>
          <w:rFonts w:hint="cs"/>
          <w:b/>
          <w:bCs/>
          <w:sz w:val="27"/>
          <w:rtl/>
        </w:rPr>
        <w:t>الثاني</w:t>
      </w:r>
      <w:r w:rsidR="00DE683B" w:rsidRPr="00904FCB">
        <w:rPr>
          <w:rFonts w:hint="cs"/>
          <w:sz w:val="27"/>
          <w:rtl/>
        </w:rPr>
        <w:t>:</w:t>
      </w:r>
      <w:r w:rsidRPr="00904FCB">
        <w:rPr>
          <w:rFonts w:hint="cs"/>
          <w:sz w:val="27"/>
          <w:rtl/>
        </w:rPr>
        <w:t xml:space="preserve"> مسؤولية الحاكم، </w:t>
      </w:r>
      <w:r w:rsidRPr="00904FCB">
        <w:rPr>
          <w:rFonts w:hint="cs"/>
          <w:b/>
          <w:bCs/>
          <w:sz w:val="27"/>
          <w:rtl/>
        </w:rPr>
        <w:t>الثالث</w:t>
      </w:r>
      <w:r w:rsidRPr="00904FCB">
        <w:rPr>
          <w:rFonts w:hint="cs"/>
          <w:sz w:val="27"/>
          <w:rtl/>
        </w:rPr>
        <w:t xml:space="preserve">: القواعد والأصول العامة والخاصة، </w:t>
      </w:r>
      <w:r w:rsidR="003F3180" w:rsidRPr="00904FCB">
        <w:rPr>
          <w:rFonts w:hint="cs"/>
          <w:sz w:val="27"/>
          <w:rtl/>
        </w:rPr>
        <w:t>و</w:t>
      </w:r>
      <w:r w:rsidRPr="00904FCB">
        <w:rPr>
          <w:rFonts w:hint="cs"/>
          <w:sz w:val="27"/>
          <w:rtl/>
        </w:rPr>
        <w:t>من خلالها سوف يتبي</w:t>
      </w:r>
      <w:r w:rsidR="003F3180" w:rsidRPr="00904FCB">
        <w:rPr>
          <w:rFonts w:hint="cs"/>
          <w:sz w:val="27"/>
          <w:rtl/>
        </w:rPr>
        <w:t>َّ</w:t>
      </w:r>
      <w:r w:rsidRPr="00904FCB">
        <w:rPr>
          <w:rFonts w:hint="cs"/>
          <w:sz w:val="27"/>
          <w:rtl/>
        </w:rPr>
        <w:t xml:space="preserve">ن المنهج والأسلوب الفقهي في تعامله مع البيئة والمحيط. </w:t>
      </w:r>
    </w:p>
    <w:p w:rsidR="00EF655F" w:rsidRPr="00904FCB" w:rsidRDefault="00EF655F" w:rsidP="007A21AA">
      <w:pPr>
        <w:spacing w:line="400" w:lineRule="exact"/>
        <w:rPr>
          <w:sz w:val="27"/>
          <w:rtl/>
        </w:rPr>
      </w:pPr>
    </w:p>
    <w:p w:rsidR="00EF655F" w:rsidRPr="00904FCB" w:rsidRDefault="00EF655F" w:rsidP="007A21AA">
      <w:pPr>
        <w:pStyle w:val="31"/>
        <w:spacing w:line="400" w:lineRule="exact"/>
        <w:rPr>
          <w:color w:val="auto"/>
          <w:rtl/>
        </w:rPr>
      </w:pPr>
      <w:r w:rsidRPr="00904FCB">
        <w:rPr>
          <w:rFonts w:hint="cs"/>
          <w:color w:val="auto"/>
          <w:rtl/>
        </w:rPr>
        <w:t xml:space="preserve">أـ مسؤولية المجتمع في الحفاظ على البيئة </w:t>
      </w:r>
    </w:p>
    <w:p w:rsidR="00EF655F" w:rsidRPr="00904FCB" w:rsidRDefault="00EF655F" w:rsidP="007A21AA">
      <w:pPr>
        <w:spacing w:line="400" w:lineRule="exact"/>
        <w:rPr>
          <w:sz w:val="27"/>
          <w:rtl/>
        </w:rPr>
      </w:pPr>
      <w:r w:rsidRPr="00904FCB">
        <w:rPr>
          <w:rFonts w:hint="cs"/>
          <w:sz w:val="27"/>
          <w:rtl/>
        </w:rPr>
        <w:t>نستطيع القول</w:t>
      </w:r>
      <w:r w:rsidR="003F3180" w:rsidRPr="00904FCB">
        <w:rPr>
          <w:rFonts w:hint="cs"/>
          <w:sz w:val="27"/>
          <w:rtl/>
        </w:rPr>
        <w:t>:</w:t>
      </w:r>
      <w:r w:rsidRPr="00904FCB">
        <w:rPr>
          <w:rFonts w:hint="cs"/>
          <w:sz w:val="27"/>
          <w:rtl/>
        </w:rPr>
        <w:t xml:space="preserve"> </w:t>
      </w:r>
      <w:r w:rsidR="003F3180" w:rsidRPr="00904FCB">
        <w:rPr>
          <w:rFonts w:hint="cs"/>
          <w:sz w:val="27"/>
          <w:rtl/>
        </w:rPr>
        <w:t>إ</w:t>
      </w:r>
      <w:r w:rsidRPr="00904FCB">
        <w:rPr>
          <w:rFonts w:hint="cs"/>
          <w:sz w:val="27"/>
          <w:rtl/>
        </w:rPr>
        <w:t>ن النظام ال</w:t>
      </w:r>
      <w:r w:rsidR="003F3180" w:rsidRPr="00904FCB">
        <w:rPr>
          <w:rFonts w:hint="cs"/>
          <w:sz w:val="27"/>
          <w:rtl/>
        </w:rPr>
        <w:t>إ</w:t>
      </w:r>
      <w:r w:rsidRPr="00904FCB">
        <w:rPr>
          <w:rFonts w:hint="cs"/>
          <w:sz w:val="27"/>
          <w:rtl/>
        </w:rPr>
        <w:t>سلامي يقوم على أسلوب المراقبة والرعاية بين الأفراد بعضهم بعضا</w:t>
      </w:r>
      <w:r w:rsidR="003F3180" w:rsidRPr="00904FCB">
        <w:rPr>
          <w:rFonts w:hint="cs"/>
          <w:sz w:val="27"/>
          <w:rtl/>
        </w:rPr>
        <w:t>ً،</w:t>
      </w:r>
      <w:r w:rsidRPr="00904FCB">
        <w:rPr>
          <w:rFonts w:hint="cs"/>
          <w:sz w:val="27"/>
          <w:rtl/>
        </w:rPr>
        <w:t xml:space="preserve"> وهو ما يصطلح عليه بمسألة الأمر بالمعروف والنهي عن المنكر</w:t>
      </w:r>
      <w:r w:rsidR="003F3180" w:rsidRPr="00904FCB">
        <w:rPr>
          <w:rFonts w:hint="cs"/>
          <w:sz w:val="27"/>
          <w:rtl/>
        </w:rPr>
        <w:t>.</w:t>
      </w:r>
      <w:r w:rsidRPr="00904FCB">
        <w:rPr>
          <w:rFonts w:hint="cs"/>
          <w:sz w:val="27"/>
          <w:rtl/>
        </w:rPr>
        <w:t xml:space="preserve"> وبدون ش</w:t>
      </w:r>
      <w:r w:rsidR="003F3180" w:rsidRPr="00904FCB">
        <w:rPr>
          <w:rFonts w:hint="cs"/>
          <w:sz w:val="27"/>
          <w:rtl/>
        </w:rPr>
        <w:t>َ</w:t>
      </w:r>
      <w:r w:rsidRPr="00904FCB">
        <w:rPr>
          <w:rFonts w:hint="cs"/>
          <w:sz w:val="27"/>
          <w:rtl/>
        </w:rPr>
        <w:t>ك</w:t>
      </w:r>
      <w:r w:rsidR="003F3180" w:rsidRPr="00904FCB">
        <w:rPr>
          <w:rFonts w:hint="cs"/>
          <w:sz w:val="27"/>
          <w:rtl/>
        </w:rPr>
        <w:t>ٍّ</w:t>
      </w:r>
      <w:r w:rsidRPr="00904FCB">
        <w:rPr>
          <w:rFonts w:hint="cs"/>
          <w:sz w:val="27"/>
          <w:rtl/>
        </w:rPr>
        <w:t xml:space="preserve"> فإن المحافظة على البيئة وحراستها تدخل ضمن شؤون الحياة الاجتماعية</w:t>
      </w:r>
      <w:r w:rsidR="003F3180" w:rsidRPr="00904FCB">
        <w:rPr>
          <w:rFonts w:hint="cs"/>
          <w:sz w:val="27"/>
          <w:rtl/>
        </w:rPr>
        <w:t>،</w:t>
      </w:r>
      <w:r w:rsidRPr="00904FCB">
        <w:rPr>
          <w:rFonts w:hint="cs"/>
          <w:sz w:val="27"/>
          <w:rtl/>
        </w:rPr>
        <w:t xml:space="preserve"> وبذلك تكون مشمولة بأدلة الأمر بالمعروف والنهي عن المنكر</w:t>
      </w:r>
      <w:r w:rsidR="003F3180" w:rsidRPr="00904FCB">
        <w:rPr>
          <w:rFonts w:hint="cs"/>
          <w:sz w:val="27"/>
          <w:rtl/>
        </w:rPr>
        <w:t>،</w:t>
      </w:r>
      <w:r w:rsidRPr="00904FCB">
        <w:rPr>
          <w:rFonts w:hint="cs"/>
          <w:sz w:val="27"/>
          <w:rtl/>
        </w:rPr>
        <w:t xml:space="preserve"> ويستدل عليها بنفس أدلته: </w:t>
      </w:r>
    </w:p>
    <w:p w:rsidR="00EF655F" w:rsidRPr="00904FCB" w:rsidRDefault="00EF655F" w:rsidP="007A21AA">
      <w:pPr>
        <w:spacing w:line="400" w:lineRule="exact"/>
        <w:rPr>
          <w:sz w:val="27"/>
          <w:rtl/>
        </w:rPr>
      </w:pPr>
      <w:r w:rsidRPr="00904FCB">
        <w:rPr>
          <w:rFonts w:ascii="Mosawi" w:hAnsi="Mosawi" w:cs="Mosawi"/>
          <w:sz w:val="24"/>
          <w:szCs w:val="24"/>
          <w:rtl/>
        </w:rPr>
        <w:t>﴿</w:t>
      </w:r>
      <w:r w:rsidRPr="00904FCB">
        <w:rPr>
          <w:b/>
          <w:bCs/>
          <w:sz w:val="27"/>
          <w:rtl/>
        </w:rPr>
        <w:t>وَلْتَكُن مِّنكُمْ أُمَّةٌ يَدْعُونَ إِلَى الْخَيْرِ وَيَأْمُرُونَ بِالْمَعْرُوفِ وَيَنْهَوْنَ عَنِ الْمُنكَرِ وَأُوْلَـئِكَ هُمُ الْمُفْلِحُونَ</w:t>
      </w:r>
      <w:r w:rsidRPr="00904FCB">
        <w:rPr>
          <w:rFonts w:ascii="Mosawi" w:hAnsi="Mosawi" w:cs="Mosawi"/>
          <w:sz w:val="24"/>
          <w:szCs w:val="24"/>
          <w:rtl/>
        </w:rPr>
        <w:t>﴾</w:t>
      </w:r>
      <w:r w:rsidRPr="00904FCB">
        <w:rPr>
          <w:rFonts w:hint="cs"/>
          <w:sz w:val="27"/>
          <w:rtl/>
        </w:rPr>
        <w:t xml:space="preserve"> (آل عمران: </w:t>
      </w:r>
      <w:r w:rsidRPr="00554592">
        <w:rPr>
          <w:rFonts w:hint="cs"/>
          <w:sz w:val="27"/>
          <w:rtl/>
        </w:rPr>
        <w:t>104</w:t>
      </w:r>
      <w:r w:rsidRPr="00904FCB">
        <w:rPr>
          <w:rFonts w:hint="cs"/>
          <w:sz w:val="27"/>
          <w:rtl/>
        </w:rPr>
        <w:t xml:space="preserve">). </w:t>
      </w:r>
    </w:p>
    <w:p w:rsidR="00EF655F" w:rsidRPr="00904FCB" w:rsidRDefault="00EF655F" w:rsidP="007A21AA">
      <w:pPr>
        <w:spacing w:line="400" w:lineRule="exact"/>
        <w:rPr>
          <w:sz w:val="27"/>
          <w:rtl/>
        </w:rPr>
      </w:pPr>
      <w:r w:rsidRPr="00904FCB">
        <w:rPr>
          <w:rFonts w:ascii="Mosawi" w:hAnsi="Mosawi" w:cs="Mosawi"/>
          <w:sz w:val="24"/>
          <w:szCs w:val="24"/>
          <w:rtl/>
        </w:rPr>
        <w:t>﴿</w:t>
      </w:r>
      <w:r w:rsidRPr="00904FCB">
        <w:rPr>
          <w:b/>
          <w:bCs/>
          <w:sz w:val="27"/>
          <w:rtl/>
        </w:rPr>
        <w:t>خُذِ الْعَفْوَ وَأْمُرْ بِالْعُرْفِ وَأَعْرِضْ عَنِ الْجَاهِلِينَ</w:t>
      </w:r>
      <w:r w:rsidRPr="00904FCB">
        <w:rPr>
          <w:rFonts w:ascii="Mosawi" w:hAnsi="Mosawi" w:cs="Mosawi"/>
          <w:sz w:val="24"/>
          <w:szCs w:val="24"/>
          <w:rtl/>
        </w:rPr>
        <w:t>﴾</w:t>
      </w:r>
      <w:r w:rsidRPr="00904FCB">
        <w:rPr>
          <w:rFonts w:hint="cs"/>
          <w:sz w:val="27"/>
          <w:rtl/>
        </w:rPr>
        <w:t xml:space="preserve"> (الأعراف: </w:t>
      </w:r>
      <w:r w:rsidRPr="00554592">
        <w:rPr>
          <w:rFonts w:hint="cs"/>
          <w:sz w:val="27"/>
          <w:rtl/>
        </w:rPr>
        <w:t>199</w:t>
      </w:r>
      <w:r w:rsidRPr="00904FCB">
        <w:rPr>
          <w:rFonts w:hint="cs"/>
          <w:sz w:val="27"/>
          <w:rtl/>
        </w:rPr>
        <w:t>).</w:t>
      </w:r>
      <w:r w:rsidRPr="00904FCB">
        <w:rPr>
          <w:rFonts w:hint="cs"/>
          <w:rtl/>
        </w:rPr>
        <w:t xml:space="preserve"> </w:t>
      </w:r>
    </w:p>
    <w:p w:rsidR="00EF655F" w:rsidRPr="00904FCB" w:rsidRDefault="00EF655F" w:rsidP="007A21AA">
      <w:pPr>
        <w:spacing w:line="400" w:lineRule="exact"/>
        <w:rPr>
          <w:sz w:val="27"/>
          <w:rtl/>
        </w:rPr>
      </w:pPr>
      <w:r w:rsidRPr="00904FCB">
        <w:rPr>
          <w:rFonts w:hint="cs"/>
          <w:sz w:val="27"/>
          <w:rtl/>
        </w:rPr>
        <w:t xml:space="preserve">ذهب العلامة الطباطبائي في الميزان إلى أن </w:t>
      </w:r>
      <w:r w:rsidRPr="00904FCB">
        <w:rPr>
          <w:rFonts w:hint="eastAsia"/>
          <w:sz w:val="27"/>
          <w:rtl/>
        </w:rPr>
        <w:t>«</w:t>
      </w:r>
      <w:r w:rsidRPr="00904FCB">
        <w:rPr>
          <w:rFonts w:hint="cs"/>
          <w:sz w:val="27"/>
          <w:rtl/>
        </w:rPr>
        <w:t>العرف</w:t>
      </w:r>
      <w:r w:rsidRPr="00904FCB">
        <w:rPr>
          <w:rFonts w:hint="eastAsia"/>
          <w:sz w:val="27"/>
          <w:rtl/>
        </w:rPr>
        <w:t>»</w:t>
      </w:r>
      <w:r w:rsidRPr="00904FCB">
        <w:rPr>
          <w:rFonts w:hint="cs"/>
          <w:sz w:val="27"/>
          <w:rtl/>
        </w:rPr>
        <w:t xml:space="preserve"> المراد في الآية بمعنى السن</w:t>
      </w:r>
      <w:r w:rsidR="003F3180" w:rsidRPr="00904FCB">
        <w:rPr>
          <w:rFonts w:hint="cs"/>
          <w:sz w:val="27"/>
          <w:rtl/>
        </w:rPr>
        <w:t>ّ</w:t>
      </w:r>
      <w:r w:rsidRPr="00904FCB">
        <w:rPr>
          <w:rFonts w:hint="cs"/>
          <w:sz w:val="27"/>
          <w:rtl/>
        </w:rPr>
        <w:t>ة الحسنة والسلوك المرغوب الذي يت</w:t>
      </w:r>
      <w:r w:rsidR="003F3180" w:rsidRPr="00904FCB">
        <w:rPr>
          <w:rFonts w:hint="cs"/>
          <w:sz w:val="27"/>
          <w:rtl/>
        </w:rPr>
        <w:t>َّ</w:t>
      </w:r>
      <w:r w:rsidRPr="00904FCB">
        <w:rPr>
          <w:rFonts w:hint="cs"/>
          <w:sz w:val="27"/>
          <w:rtl/>
        </w:rPr>
        <w:t xml:space="preserve">فق عليه عقلاء المجتمع. وقد وضعت الآيتان لفظ </w:t>
      </w:r>
      <w:r w:rsidRPr="00904FCB">
        <w:rPr>
          <w:rFonts w:hint="eastAsia"/>
          <w:sz w:val="27"/>
          <w:rtl/>
        </w:rPr>
        <w:t>«</w:t>
      </w:r>
      <w:r w:rsidRPr="00904FCB">
        <w:rPr>
          <w:rFonts w:hint="cs"/>
          <w:sz w:val="27"/>
          <w:rtl/>
        </w:rPr>
        <w:t>العرف</w:t>
      </w:r>
      <w:r w:rsidRPr="00904FCB">
        <w:rPr>
          <w:rFonts w:hint="eastAsia"/>
          <w:sz w:val="27"/>
          <w:rtl/>
        </w:rPr>
        <w:t>»</w:t>
      </w:r>
      <w:r w:rsidRPr="00904FCB">
        <w:rPr>
          <w:rFonts w:hint="cs"/>
          <w:sz w:val="27"/>
          <w:rtl/>
        </w:rPr>
        <w:t xml:space="preserve"> (المعروف) في مقابل السلوك الم</w:t>
      </w:r>
      <w:r w:rsidR="003F3180" w:rsidRPr="00904FCB">
        <w:rPr>
          <w:rFonts w:hint="cs"/>
          <w:sz w:val="27"/>
          <w:rtl/>
        </w:rPr>
        <w:t>ُ</w:t>
      </w:r>
      <w:r w:rsidRPr="00904FCB">
        <w:rPr>
          <w:rFonts w:hint="cs"/>
          <w:sz w:val="27"/>
          <w:rtl/>
        </w:rPr>
        <w:t>ن</w:t>
      </w:r>
      <w:r w:rsidR="003F3180" w:rsidRPr="00904FCB">
        <w:rPr>
          <w:rFonts w:hint="cs"/>
          <w:sz w:val="27"/>
          <w:rtl/>
        </w:rPr>
        <w:t>ْ</w:t>
      </w:r>
      <w:r w:rsidRPr="00904FCB">
        <w:rPr>
          <w:rFonts w:hint="cs"/>
          <w:sz w:val="27"/>
          <w:rtl/>
        </w:rPr>
        <w:t>ك</w:t>
      </w:r>
      <w:r w:rsidR="003F3180" w:rsidRPr="00904FCB">
        <w:rPr>
          <w:rFonts w:hint="cs"/>
          <w:sz w:val="27"/>
          <w:rtl/>
        </w:rPr>
        <w:t>َ</w:t>
      </w:r>
      <w:r w:rsidRPr="00904FCB">
        <w:rPr>
          <w:rFonts w:hint="cs"/>
          <w:sz w:val="27"/>
          <w:rtl/>
        </w:rPr>
        <w:t>ر والعمل الذي يستهجنه العقلاء</w:t>
      </w:r>
      <w:r w:rsidR="003F3180" w:rsidRPr="00904FCB">
        <w:rPr>
          <w:rFonts w:hint="cs"/>
          <w:sz w:val="27"/>
          <w:rtl/>
        </w:rPr>
        <w:t>،</w:t>
      </w:r>
      <w:r w:rsidRPr="00904FCB">
        <w:rPr>
          <w:rFonts w:hint="cs"/>
          <w:sz w:val="27"/>
          <w:rtl/>
        </w:rPr>
        <w:t xml:space="preserve"> وهو ما يصطلح عليه </w:t>
      </w:r>
      <w:r w:rsidR="003F3180" w:rsidRPr="00904FCB">
        <w:rPr>
          <w:rFonts w:hint="cs"/>
          <w:sz w:val="27"/>
          <w:rtl/>
        </w:rPr>
        <w:t xml:space="preserve">بـ </w:t>
      </w:r>
      <w:r w:rsidRPr="00904FCB">
        <w:rPr>
          <w:rFonts w:hint="eastAsia"/>
          <w:sz w:val="27"/>
          <w:rtl/>
        </w:rPr>
        <w:t>«</w:t>
      </w:r>
      <w:r w:rsidRPr="00904FCB">
        <w:rPr>
          <w:rFonts w:hint="cs"/>
          <w:sz w:val="27"/>
          <w:rtl/>
        </w:rPr>
        <w:t>الم</w:t>
      </w:r>
      <w:r w:rsidR="003F3180" w:rsidRPr="00904FCB">
        <w:rPr>
          <w:rFonts w:hint="cs"/>
          <w:sz w:val="27"/>
          <w:rtl/>
        </w:rPr>
        <w:t>ُ</w:t>
      </w:r>
      <w:r w:rsidRPr="00904FCB">
        <w:rPr>
          <w:rFonts w:hint="cs"/>
          <w:sz w:val="27"/>
          <w:rtl/>
        </w:rPr>
        <w:t>ن</w:t>
      </w:r>
      <w:r w:rsidR="003F3180" w:rsidRPr="00904FCB">
        <w:rPr>
          <w:rFonts w:hint="cs"/>
          <w:sz w:val="27"/>
          <w:rtl/>
        </w:rPr>
        <w:t>ْ</w:t>
      </w:r>
      <w:r w:rsidRPr="00904FCB">
        <w:rPr>
          <w:rFonts w:hint="cs"/>
          <w:sz w:val="27"/>
          <w:rtl/>
        </w:rPr>
        <w:t>ك</w:t>
      </w:r>
      <w:r w:rsidR="003F3180" w:rsidRPr="00904FCB">
        <w:rPr>
          <w:rFonts w:hint="cs"/>
          <w:sz w:val="27"/>
          <w:rtl/>
        </w:rPr>
        <w:t>َ</w:t>
      </w:r>
      <w:r w:rsidRPr="00904FCB">
        <w:rPr>
          <w:rFonts w:hint="cs"/>
          <w:sz w:val="27"/>
          <w:rtl/>
        </w:rPr>
        <w:t>ر</w:t>
      </w:r>
      <w:r w:rsidRPr="00904FCB">
        <w:rPr>
          <w:rFonts w:hint="eastAsia"/>
          <w:sz w:val="27"/>
          <w:rtl/>
        </w:rPr>
        <w:t>»</w:t>
      </w:r>
      <w:r w:rsidRPr="00904FCB">
        <w:rPr>
          <w:sz w:val="27"/>
          <w:vertAlign w:val="superscript"/>
          <w:rtl/>
        </w:rPr>
        <w:t>(</w:t>
      </w:r>
      <w:r w:rsidRPr="00904FCB">
        <w:rPr>
          <w:rStyle w:val="ac"/>
          <w:sz w:val="27"/>
          <w:rtl/>
        </w:rPr>
        <w:endnoteReference w:id="566"/>
      </w:r>
      <w:r w:rsidRPr="00904FCB">
        <w:rPr>
          <w:sz w:val="27"/>
          <w:vertAlign w:val="superscript"/>
          <w:rtl/>
        </w:rPr>
        <w:t>)</w:t>
      </w:r>
      <w:r w:rsidRPr="00904FCB">
        <w:rPr>
          <w:rFonts w:hint="cs"/>
          <w:sz w:val="27"/>
          <w:rtl/>
        </w:rPr>
        <w:t xml:space="preserve">. </w:t>
      </w:r>
    </w:p>
    <w:p w:rsidR="00EF655F" w:rsidRPr="00904FCB" w:rsidRDefault="00EF655F" w:rsidP="007A21AA">
      <w:pPr>
        <w:spacing w:line="400" w:lineRule="exact"/>
        <w:rPr>
          <w:sz w:val="27"/>
          <w:rtl/>
        </w:rPr>
      </w:pPr>
      <w:r w:rsidRPr="00904FCB">
        <w:rPr>
          <w:rFonts w:hint="cs"/>
          <w:sz w:val="27"/>
          <w:rtl/>
        </w:rPr>
        <w:t>وبالجملة فكل</w:t>
      </w:r>
      <w:r w:rsidR="003F3180" w:rsidRPr="00904FCB">
        <w:rPr>
          <w:rFonts w:hint="cs"/>
          <w:sz w:val="27"/>
          <w:rtl/>
        </w:rPr>
        <w:t>ُّ</w:t>
      </w:r>
      <w:r w:rsidRPr="00904FCB">
        <w:rPr>
          <w:rFonts w:hint="cs"/>
          <w:sz w:val="27"/>
          <w:rtl/>
        </w:rPr>
        <w:t xml:space="preserve"> ما هو مرغوب</w:t>
      </w:r>
      <w:r w:rsidR="003F3180" w:rsidRPr="00904FCB">
        <w:rPr>
          <w:rFonts w:hint="cs"/>
          <w:sz w:val="27"/>
          <w:rtl/>
        </w:rPr>
        <w:t>ٌ</w:t>
      </w:r>
      <w:r w:rsidRPr="00904FCB">
        <w:rPr>
          <w:rFonts w:hint="cs"/>
          <w:sz w:val="27"/>
          <w:rtl/>
        </w:rPr>
        <w:t xml:space="preserve"> ومستحسن عند العقل والشرع يصطلح عليه </w:t>
      </w:r>
      <w:r w:rsidR="003F3180" w:rsidRPr="00904FCB">
        <w:rPr>
          <w:rFonts w:hint="cs"/>
          <w:sz w:val="27"/>
          <w:rtl/>
        </w:rPr>
        <w:t xml:space="preserve">بـ </w:t>
      </w:r>
      <w:r w:rsidRPr="00904FCB">
        <w:rPr>
          <w:rFonts w:hint="eastAsia"/>
          <w:sz w:val="27"/>
          <w:rtl/>
        </w:rPr>
        <w:t>«</w:t>
      </w:r>
      <w:r w:rsidRPr="00904FCB">
        <w:rPr>
          <w:rFonts w:hint="cs"/>
          <w:sz w:val="27"/>
          <w:rtl/>
        </w:rPr>
        <w:t>العرف</w:t>
      </w:r>
      <w:r w:rsidRPr="00904FCB">
        <w:rPr>
          <w:rFonts w:hint="eastAsia"/>
          <w:sz w:val="27"/>
          <w:rtl/>
        </w:rPr>
        <w:t>»</w:t>
      </w:r>
      <w:r w:rsidR="003F3180" w:rsidRPr="00904FCB">
        <w:rPr>
          <w:rFonts w:hint="cs"/>
          <w:sz w:val="27"/>
          <w:rtl/>
        </w:rPr>
        <w:t>،</w:t>
      </w:r>
      <w:r w:rsidRPr="00904FCB">
        <w:rPr>
          <w:rFonts w:hint="cs"/>
          <w:sz w:val="27"/>
          <w:rtl/>
        </w:rPr>
        <w:t xml:space="preserve"> حيث يصبح على أفراد المجتمع التمس</w:t>
      </w:r>
      <w:r w:rsidR="003F3180" w:rsidRPr="00904FCB">
        <w:rPr>
          <w:rFonts w:hint="cs"/>
          <w:sz w:val="27"/>
          <w:rtl/>
        </w:rPr>
        <w:t>ُّ</w:t>
      </w:r>
      <w:r w:rsidRPr="00904FCB">
        <w:rPr>
          <w:rFonts w:hint="cs"/>
          <w:sz w:val="27"/>
          <w:rtl/>
        </w:rPr>
        <w:t>ك والعمل بما هو مستحسن ومرغوب</w:t>
      </w:r>
      <w:r w:rsidR="003F3180" w:rsidRPr="00904FCB">
        <w:rPr>
          <w:rFonts w:hint="cs"/>
          <w:sz w:val="27"/>
          <w:rtl/>
        </w:rPr>
        <w:t>،</w:t>
      </w:r>
      <w:r w:rsidRPr="00904FCB">
        <w:rPr>
          <w:rFonts w:hint="cs"/>
          <w:sz w:val="27"/>
          <w:rtl/>
        </w:rPr>
        <w:t xml:space="preserve"> ودعوة الآخرين للابتعاد عن</w:t>
      </w:r>
      <w:r w:rsidR="002B19FA" w:rsidRPr="00904FCB">
        <w:rPr>
          <w:rFonts w:hint="cs"/>
          <w:sz w:val="27"/>
          <w:rtl/>
        </w:rPr>
        <w:t xml:space="preserve"> المنكر</w:t>
      </w:r>
      <w:r w:rsidRPr="00904FCB">
        <w:rPr>
          <w:rFonts w:hint="cs"/>
          <w:sz w:val="27"/>
          <w:rtl/>
        </w:rPr>
        <w:t xml:space="preserve"> وتجن</w:t>
      </w:r>
      <w:r w:rsidR="003F3180" w:rsidRPr="00904FCB">
        <w:rPr>
          <w:rFonts w:hint="cs"/>
          <w:sz w:val="27"/>
          <w:rtl/>
        </w:rPr>
        <w:t>ُّ</w:t>
      </w:r>
      <w:r w:rsidRPr="00904FCB">
        <w:rPr>
          <w:rFonts w:hint="cs"/>
          <w:sz w:val="27"/>
          <w:rtl/>
        </w:rPr>
        <w:t xml:space="preserve">به. </w:t>
      </w:r>
    </w:p>
    <w:p w:rsidR="00EF655F" w:rsidRPr="00904FCB" w:rsidRDefault="00EF655F" w:rsidP="007A21AA">
      <w:pPr>
        <w:spacing w:line="400" w:lineRule="exact"/>
        <w:rPr>
          <w:sz w:val="27"/>
          <w:rtl/>
        </w:rPr>
      </w:pPr>
      <w:r w:rsidRPr="00904FCB">
        <w:rPr>
          <w:rFonts w:hint="cs"/>
          <w:sz w:val="27"/>
          <w:rtl/>
        </w:rPr>
        <w:t>والملاحظ أن الأمر القرآني في قوله تعالى</w:t>
      </w:r>
      <w:r w:rsidR="002B19FA" w:rsidRPr="00904FCB">
        <w:rPr>
          <w:rFonts w:hint="cs"/>
          <w:sz w:val="27"/>
          <w:rtl/>
        </w:rPr>
        <w:t>:</w:t>
      </w:r>
      <w:r w:rsidRPr="00904FCB">
        <w:rPr>
          <w:rFonts w:hint="cs"/>
          <w:sz w:val="27"/>
          <w:rtl/>
        </w:rPr>
        <w:t xml:space="preserve"> </w:t>
      </w:r>
      <w:r w:rsidRPr="00904FCB">
        <w:rPr>
          <w:rFonts w:ascii="Mosawi" w:hAnsi="Mosawi" w:cs="Mosawi"/>
          <w:sz w:val="24"/>
          <w:szCs w:val="24"/>
          <w:rtl/>
        </w:rPr>
        <w:t>﴿</w:t>
      </w:r>
      <w:r w:rsidRPr="00904FCB">
        <w:rPr>
          <w:rFonts w:hint="cs"/>
          <w:b/>
          <w:bCs/>
          <w:sz w:val="27"/>
          <w:rtl/>
        </w:rPr>
        <w:t>و</w:t>
      </w:r>
      <w:r w:rsidR="002B19FA" w:rsidRPr="00904FCB">
        <w:rPr>
          <w:rFonts w:hint="cs"/>
          <w:b/>
          <w:bCs/>
          <w:sz w:val="27"/>
          <w:rtl/>
        </w:rPr>
        <w:t>أْ</w:t>
      </w:r>
      <w:r w:rsidRPr="00904FCB">
        <w:rPr>
          <w:rFonts w:hint="cs"/>
          <w:b/>
          <w:bCs/>
          <w:sz w:val="27"/>
          <w:rtl/>
        </w:rPr>
        <w:t>مُرْ بالعُرْف</w:t>
      </w:r>
      <w:r w:rsidRPr="00904FCB">
        <w:rPr>
          <w:rFonts w:ascii="Mosawi" w:hAnsi="Mosawi" w:cs="Mosawi"/>
          <w:sz w:val="24"/>
          <w:szCs w:val="24"/>
          <w:rtl/>
        </w:rPr>
        <w:t>﴾</w:t>
      </w:r>
      <w:r w:rsidRPr="00904FCB">
        <w:rPr>
          <w:rFonts w:hint="cs"/>
          <w:sz w:val="27"/>
          <w:rtl/>
        </w:rPr>
        <w:t xml:space="preserve"> (الأعراف: </w:t>
      </w:r>
      <w:r w:rsidRPr="00554592">
        <w:rPr>
          <w:rFonts w:hint="cs"/>
          <w:sz w:val="27"/>
          <w:rtl/>
        </w:rPr>
        <w:t>199</w:t>
      </w:r>
      <w:r w:rsidRPr="00904FCB">
        <w:rPr>
          <w:rFonts w:hint="cs"/>
          <w:sz w:val="27"/>
          <w:rtl/>
        </w:rPr>
        <w:t>)</w:t>
      </w:r>
      <w:r w:rsidR="002B19FA" w:rsidRPr="00904FCB">
        <w:rPr>
          <w:rFonts w:hint="cs"/>
          <w:sz w:val="27"/>
          <w:rtl/>
        </w:rPr>
        <w:t>،</w:t>
      </w:r>
      <w:r w:rsidRPr="00904FCB">
        <w:rPr>
          <w:rFonts w:hint="cs"/>
          <w:sz w:val="27"/>
          <w:rtl/>
        </w:rPr>
        <w:t xml:space="preserve"> وفي سائر الآيات والأحاديث التي تنطوي تحت هذا العنوان</w:t>
      </w:r>
      <w:r w:rsidR="002B19FA" w:rsidRPr="00904FCB">
        <w:rPr>
          <w:rFonts w:hint="cs"/>
          <w:sz w:val="27"/>
          <w:rtl/>
        </w:rPr>
        <w:t>،</w:t>
      </w:r>
      <w:r w:rsidRPr="00904FCB">
        <w:rPr>
          <w:rFonts w:hint="cs"/>
          <w:sz w:val="27"/>
          <w:rtl/>
        </w:rPr>
        <w:t xml:space="preserve"> </w:t>
      </w:r>
      <w:r w:rsidR="002B19FA" w:rsidRPr="00904FCB">
        <w:rPr>
          <w:rFonts w:hint="cs"/>
          <w:sz w:val="27"/>
          <w:rtl/>
        </w:rPr>
        <w:t>ي</w:t>
      </w:r>
      <w:r w:rsidRPr="00904FCB">
        <w:rPr>
          <w:rFonts w:hint="cs"/>
          <w:sz w:val="27"/>
          <w:rtl/>
        </w:rPr>
        <w:t>ؤك</w:t>
      </w:r>
      <w:r w:rsidR="002B19FA" w:rsidRPr="00904FCB">
        <w:rPr>
          <w:rFonts w:hint="cs"/>
          <w:sz w:val="27"/>
          <w:rtl/>
        </w:rPr>
        <w:t>ِّ</w:t>
      </w:r>
      <w:r w:rsidRPr="00904FCB">
        <w:rPr>
          <w:rFonts w:hint="cs"/>
          <w:sz w:val="27"/>
          <w:rtl/>
        </w:rPr>
        <w:t xml:space="preserve">د على </w:t>
      </w:r>
      <w:r w:rsidR="002B19FA" w:rsidRPr="00904FCB">
        <w:rPr>
          <w:rFonts w:hint="cs"/>
          <w:sz w:val="27"/>
          <w:rtl/>
        </w:rPr>
        <w:t>أنّ</w:t>
      </w:r>
      <w:r w:rsidRPr="00904FCB">
        <w:rPr>
          <w:rFonts w:hint="cs"/>
          <w:sz w:val="27"/>
          <w:rtl/>
        </w:rPr>
        <w:t xml:space="preserve"> القيام بالعمل الصالح والحسن لا يجزي</w:t>
      </w:r>
      <w:r w:rsidR="002B19FA" w:rsidRPr="00904FCB">
        <w:rPr>
          <w:rFonts w:hint="cs"/>
          <w:sz w:val="27"/>
          <w:rtl/>
        </w:rPr>
        <w:t>،</w:t>
      </w:r>
      <w:r w:rsidRPr="00904FCB">
        <w:rPr>
          <w:rFonts w:hint="cs"/>
          <w:sz w:val="27"/>
          <w:rtl/>
        </w:rPr>
        <w:t xml:space="preserve"> بل لا</w:t>
      </w:r>
      <w:r w:rsidR="002B19FA" w:rsidRPr="00904FCB">
        <w:rPr>
          <w:rFonts w:hint="cs"/>
          <w:sz w:val="27"/>
          <w:rtl/>
        </w:rPr>
        <w:t xml:space="preserve"> </w:t>
      </w:r>
      <w:r w:rsidRPr="00904FCB">
        <w:rPr>
          <w:rFonts w:hint="cs"/>
          <w:sz w:val="27"/>
          <w:rtl/>
        </w:rPr>
        <w:t>ب</w:t>
      </w:r>
      <w:r w:rsidR="002B19FA" w:rsidRPr="00904FCB">
        <w:rPr>
          <w:rFonts w:hint="cs"/>
          <w:sz w:val="27"/>
          <w:rtl/>
        </w:rPr>
        <w:t>ُ</w:t>
      </w:r>
      <w:r w:rsidRPr="00904FCB">
        <w:rPr>
          <w:rFonts w:hint="cs"/>
          <w:sz w:val="27"/>
          <w:rtl/>
        </w:rPr>
        <w:t>د</w:t>
      </w:r>
      <w:r w:rsidR="002B19FA" w:rsidRPr="00904FCB">
        <w:rPr>
          <w:rFonts w:hint="cs"/>
          <w:sz w:val="27"/>
          <w:rtl/>
        </w:rPr>
        <w:t>َّ</w:t>
      </w:r>
      <w:r w:rsidRPr="00904FCB">
        <w:rPr>
          <w:rFonts w:hint="cs"/>
          <w:sz w:val="27"/>
          <w:rtl/>
        </w:rPr>
        <w:t xml:space="preserve"> من دعوة الآخرين إليه</w:t>
      </w:r>
      <w:r w:rsidR="002B19FA" w:rsidRPr="00904FCB">
        <w:rPr>
          <w:rFonts w:hint="cs"/>
          <w:sz w:val="27"/>
          <w:rtl/>
        </w:rPr>
        <w:t>،</w:t>
      </w:r>
      <w:r w:rsidRPr="00904FCB">
        <w:rPr>
          <w:rFonts w:hint="cs"/>
          <w:sz w:val="27"/>
          <w:rtl/>
        </w:rPr>
        <w:t xml:space="preserve"> وحث</w:t>
      </w:r>
      <w:r w:rsidR="002B19FA" w:rsidRPr="00904FCB">
        <w:rPr>
          <w:rFonts w:hint="cs"/>
          <w:sz w:val="27"/>
          <w:rtl/>
        </w:rPr>
        <w:t>ِّ</w:t>
      </w:r>
      <w:r w:rsidRPr="00904FCB">
        <w:rPr>
          <w:rFonts w:hint="cs"/>
          <w:sz w:val="27"/>
          <w:rtl/>
        </w:rPr>
        <w:t xml:space="preserve">هم على العمل </w:t>
      </w:r>
      <w:r w:rsidRPr="00904FCB">
        <w:rPr>
          <w:rFonts w:hint="cs"/>
          <w:sz w:val="27"/>
          <w:rtl/>
        </w:rPr>
        <w:lastRenderedPageBreak/>
        <w:t>به</w:t>
      </w:r>
      <w:r w:rsidR="002B19FA" w:rsidRPr="00904FCB">
        <w:rPr>
          <w:rFonts w:hint="cs"/>
          <w:sz w:val="27"/>
          <w:rtl/>
        </w:rPr>
        <w:t>،</w:t>
      </w:r>
      <w:r w:rsidRPr="00904FCB">
        <w:rPr>
          <w:rFonts w:hint="cs"/>
          <w:sz w:val="27"/>
          <w:rtl/>
        </w:rPr>
        <w:t xml:space="preserve"> وبهذا تت</w:t>
      </w:r>
      <w:r w:rsidR="002B19FA" w:rsidRPr="00904FCB">
        <w:rPr>
          <w:rFonts w:hint="cs"/>
          <w:sz w:val="27"/>
          <w:rtl/>
        </w:rPr>
        <w:t>ّ</w:t>
      </w:r>
      <w:r w:rsidRPr="00904FCB">
        <w:rPr>
          <w:rFonts w:hint="cs"/>
          <w:sz w:val="27"/>
          <w:rtl/>
        </w:rPr>
        <w:t>سع دائرة العمل الصالح والمرغوب</w:t>
      </w:r>
      <w:r w:rsidR="002B19FA" w:rsidRPr="00904FCB">
        <w:rPr>
          <w:rFonts w:hint="cs"/>
          <w:sz w:val="27"/>
          <w:rtl/>
        </w:rPr>
        <w:t>،</w:t>
      </w:r>
      <w:r w:rsidRPr="00904FCB">
        <w:rPr>
          <w:rFonts w:hint="cs"/>
          <w:sz w:val="27"/>
          <w:rtl/>
        </w:rPr>
        <w:t xml:space="preserve"> ليصبح عام</w:t>
      </w:r>
      <w:r w:rsidR="002B19FA" w:rsidRPr="00904FCB">
        <w:rPr>
          <w:rFonts w:hint="cs"/>
          <w:sz w:val="27"/>
          <w:rtl/>
        </w:rPr>
        <w:t>ّ</w:t>
      </w:r>
      <w:r w:rsidRPr="00904FCB">
        <w:rPr>
          <w:rFonts w:hint="cs"/>
          <w:sz w:val="27"/>
          <w:rtl/>
        </w:rPr>
        <w:t>ا</w:t>
      </w:r>
      <w:r w:rsidR="002B19FA" w:rsidRPr="00904FCB">
        <w:rPr>
          <w:rFonts w:hint="cs"/>
          <w:sz w:val="27"/>
          <w:rtl/>
        </w:rPr>
        <w:t>ً</w:t>
      </w:r>
      <w:r w:rsidRPr="00904FCB">
        <w:rPr>
          <w:rFonts w:hint="cs"/>
          <w:sz w:val="27"/>
          <w:rtl/>
        </w:rPr>
        <w:t xml:space="preserve"> يشمل جميع أفراد المجتمع. </w:t>
      </w:r>
    </w:p>
    <w:p w:rsidR="00EF655F" w:rsidRPr="00904FCB" w:rsidRDefault="00EF655F" w:rsidP="007A21AA">
      <w:pPr>
        <w:spacing w:line="400" w:lineRule="exact"/>
        <w:rPr>
          <w:sz w:val="27"/>
          <w:rtl/>
        </w:rPr>
      </w:pPr>
      <w:r w:rsidRPr="00904FCB">
        <w:rPr>
          <w:rFonts w:hint="cs"/>
          <w:sz w:val="27"/>
          <w:rtl/>
        </w:rPr>
        <w:t>وإذا كان الفرد يمارس فعّاليته وسلوكياته من دون أن يكون مسل</w:t>
      </w:r>
      <w:r w:rsidR="002B19FA" w:rsidRPr="00904FCB">
        <w:rPr>
          <w:rFonts w:hint="cs"/>
          <w:sz w:val="27"/>
          <w:rtl/>
        </w:rPr>
        <w:t>ّ</w:t>
      </w:r>
      <w:r w:rsidR="00713650" w:rsidRPr="00904FCB">
        <w:rPr>
          <w:rFonts w:hint="cs"/>
          <w:sz w:val="27"/>
          <w:rtl/>
        </w:rPr>
        <w:t>َ</w:t>
      </w:r>
      <w:r w:rsidRPr="00904FCB">
        <w:rPr>
          <w:rFonts w:hint="cs"/>
          <w:sz w:val="27"/>
          <w:rtl/>
        </w:rPr>
        <w:t>حا</w:t>
      </w:r>
      <w:r w:rsidR="002B19FA" w:rsidRPr="00904FCB">
        <w:rPr>
          <w:rFonts w:hint="cs"/>
          <w:sz w:val="27"/>
          <w:rtl/>
        </w:rPr>
        <w:t>ً</w:t>
      </w:r>
      <w:r w:rsidRPr="00904FCB">
        <w:rPr>
          <w:rFonts w:hint="cs"/>
          <w:sz w:val="27"/>
          <w:rtl/>
        </w:rPr>
        <w:t xml:space="preserve"> بال</w:t>
      </w:r>
      <w:r w:rsidR="002B19FA" w:rsidRPr="00904FCB">
        <w:rPr>
          <w:rFonts w:hint="cs"/>
          <w:sz w:val="27"/>
          <w:rtl/>
        </w:rPr>
        <w:t>إ</w:t>
      </w:r>
      <w:r w:rsidRPr="00904FCB">
        <w:rPr>
          <w:rFonts w:hint="cs"/>
          <w:sz w:val="27"/>
          <w:rtl/>
        </w:rPr>
        <w:t>يمان والعلم</w:t>
      </w:r>
      <w:r w:rsidR="002B19FA" w:rsidRPr="00904FCB">
        <w:rPr>
          <w:rFonts w:hint="cs"/>
          <w:sz w:val="27"/>
          <w:rtl/>
        </w:rPr>
        <w:t>،</w:t>
      </w:r>
      <w:r w:rsidRPr="00904FCB">
        <w:rPr>
          <w:rFonts w:hint="cs"/>
          <w:sz w:val="27"/>
          <w:rtl/>
        </w:rPr>
        <w:t xml:space="preserve"> ولا يملك مزاجا</w:t>
      </w:r>
      <w:r w:rsidR="002B19FA" w:rsidRPr="00904FCB">
        <w:rPr>
          <w:rFonts w:hint="cs"/>
          <w:sz w:val="27"/>
          <w:rtl/>
        </w:rPr>
        <w:t>ً</w:t>
      </w:r>
      <w:r w:rsidRPr="00904FCB">
        <w:rPr>
          <w:rFonts w:hint="cs"/>
          <w:sz w:val="27"/>
          <w:rtl/>
        </w:rPr>
        <w:t xml:space="preserve"> يتأث</w:t>
      </w:r>
      <w:r w:rsidR="002B19FA" w:rsidRPr="00904FCB">
        <w:rPr>
          <w:rFonts w:hint="cs"/>
          <w:sz w:val="27"/>
          <w:rtl/>
        </w:rPr>
        <w:t>ّ</w:t>
      </w:r>
      <w:r w:rsidRPr="00904FCB">
        <w:rPr>
          <w:rFonts w:hint="cs"/>
          <w:sz w:val="27"/>
          <w:rtl/>
        </w:rPr>
        <w:t>ر بإرشادات وتعاليم ذو</w:t>
      </w:r>
      <w:r w:rsidR="002B19FA" w:rsidRPr="00904FCB">
        <w:rPr>
          <w:rFonts w:hint="cs"/>
          <w:sz w:val="27"/>
          <w:rtl/>
        </w:rPr>
        <w:t>ي</w:t>
      </w:r>
      <w:r w:rsidRPr="00904FCB">
        <w:rPr>
          <w:rFonts w:hint="cs"/>
          <w:sz w:val="27"/>
          <w:rtl/>
        </w:rPr>
        <w:t xml:space="preserve"> المسؤوليات</w:t>
      </w:r>
      <w:r w:rsidR="002B19FA" w:rsidRPr="00904FCB">
        <w:rPr>
          <w:rFonts w:hint="cs"/>
          <w:sz w:val="27"/>
          <w:rtl/>
        </w:rPr>
        <w:t>،</w:t>
      </w:r>
      <w:r w:rsidRPr="00904FCB">
        <w:rPr>
          <w:rFonts w:hint="cs"/>
          <w:sz w:val="27"/>
          <w:rtl/>
        </w:rPr>
        <w:t xml:space="preserve"> فإنه يكون </w:t>
      </w:r>
      <w:r w:rsidR="00713650" w:rsidRPr="00904FCB">
        <w:rPr>
          <w:rFonts w:hint="cs"/>
          <w:sz w:val="27"/>
          <w:rtl/>
        </w:rPr>
        <w:t xml:space="preserve">فريسةً </w:t>
      </w:r>
      <w:r w:rsidRPr="00904FCB">
        <w:rPr>
          <w:rFonts w:hint="cs"/>
          <w:sz w:val="27"/>
          <w:rtl/>
        </w:rPr>
        <w:t>سهل</w:t>
      </w:r>
      <w:r w:rsidR="00713650" w:rsidRPr="00904FCB">
        <w:rPr>
          <w:rFonts w:hint="cs"/>
          <w:sz w:val="27"/>
          <w:rtl/>
        </w:rPr>
        <w:t>ة</w:t>
      </w:r>
      <w:r w:rsidRPr="00904FCB">
        <w:rPr>
          <w:rFonts w:hint="cs"/>
          <w:sz w:val="27"/>
          <w:rtl/>
        </w:rPr>
        <w:t xml:space="preserve"> </w:t>
      </w:r>
      <w:r w:rsidR="00713650" w:rsidRPr="00904FCB">
        <w:rPr>
          <w:rFonts w:hint="cs"/>
          <w:sz w:val="27"/>
          <w:rtl/>
        </w:rPr>
        <w:t>ل</w:t>
      </w:r>
      <w:r w:rsidRPr="00904FCB">
        <w:rPr>
          <w:rFonts w:hint="cs"/>
          <w:sz w:val="27"/>
          <w:rtl/>
        </w:rPr>
        <w:t>لانحراف والانجرار نحو الفساد والإفساد</w:t>
      </w:r>
      <w:r w:rsidR="00713650" w:rsidRPr="00904FCB">
        <w:rPr>
          <w:rFonts w:hint="cs"/>
          <w:sz w:val="27"/>
          <w:rtl/>
        </w:rPr>
        <w:t>.</w:t>
      </w:r>
      <w:r w:rsidRPr="00904FCB">
        <w:rPr>
          <w:rFonts w:hint="cs"/>
          <w:sz w:val="27"/>
          <w:rtl/>
        </w:rPr>
        <w:t xml:space="preserve"> و هذا الإفساد تتوس</w:t>
      </w:r>
      <w:r w:rsidR="00713650" w:rsidRPr="00904FCB">
        <w:rPr>
          <w:rFonts w:hint="cs"/>
          <w:sz w:val="27"/>
          <w:rtl/>
        </w:rPr>
        <w:t>ّ</w:t>
      </w:r>
      <w:r w:rsidRPr="00904FCB">
        <w:rPr>
          <w:rFonts w:hint="cs"/>
          <w:sz w:val="27"/>
          <w:rtl/>
        </w:rPr>
        <w:t>ع دائرته ليشمل المحيط العام والبيئة</w:t>
      </w:r>
      <w:r w:rsidR="00713650" w:rsidRPr="00904FCB">
        <w:rPr>
          <w:rFonts w:hint="cs"/>
          <w:sz w:val="27"/>
          <w:rtl/>
        </w:rPr>
        <w:t>،</w:t>
      </w:r>
      <w:r w:rsidRPr="00904FCB">
        <w:rPr>
          <w:rFonts w:hint="cs"/>
          <w:sz w:val="27"/>
          <w:rtl/>
        </w:rPr>
        <w:t xml:space="preserve"> وبالتالي يجعل مجال الحياة البشري أمام العديد من المعضلات والأزمات التي تستنزف الكثير من مقو</w:t>
      </w:r>
      <w:r w:rsidR="00713650" w:rsidRPr="00904FCB">
        <w:rPr>
          <w:rFonts w:hint="cs"/>
          <w:sz w:val="27"/>
          <w:rtl/>
        </w:rPr>
        <w:t>ّ</w:t>
      </w:r>
      <w:r w:rsidRPr="00904FCB">
        <w:rPr>
          <w:rFonts w:hint="cs"/>
          <w:sz w:val="27"/>
          <w:rtl/>
        </w:rPr>
        <w:t xml:space="preserve">ماته الوجودية. من هنا فدعوة الناس إلى ممارسة السلوك الصحيح والمنصف تجاه المحيط والبيئة تحت </w:t>
      </w:r>
      <w:r w:rsidRPr="00904FCB">
        <w:rPr>
          <w:rFonts w:hint="eastAsia"/>
          <w:sz w:val="27"/>
          <w:rtl/>
        </w:rPr>
        <w:t>«</w:t>
      </w:r>
      <w:r w:rsidRPr="00904FCB">
        <w:rPr>
          <w:rFonts w:hint="cs"/>
          <w:sz w:val="27"/>
          <w:rtl/>
        </w:rPr>
        <w:t>عنوان الأمر بالمعروف والنهي عن المنكر</w:t>
      </w:r>
      <w:r w:rsidR="00713650" w:rsidRPr="00904FCB">
        <w:rPr>
          <w:rFonts w:hint="eastAsia"/>
          <w:sz w:val="27"/>
          <w:rtl/>
        </w:rPr>
        <w:t>»</w:t>
      </w:r>
      <w:r w:rsidR="00713650" w:rsidRPr="00904FCB">
        <w:rPr>
          <w:rFonts w:hint="cs"/>
          <w:sz w:val="27"/>
          <w:rtl/>
        </w:rPr>
        <w:t xml:space="preserve"> في حقيقة الأمر </w:t>
      </w:r>
      <w:r w:rsidRPr="00904FCB">
        <w:rPr>
          <w:rFonts w:hint="cs"/>
          <w:sz w:val="27"/>
          <w:rtl/>
        </w:rPr>
        <w:t>دعوة</w:t>
      </w:r>
      <w:r w:rsidR="00713650" w:rsidRPr="00904FCB">
        <w:rPr>
          <w:rFonts w:hint="cs"/>
          <w:sz w:val="27"/>
          <w:rtl/>
        </w:rPr>
        <w:t>ٌ</w:t>
      </w:r>
      <w:r w:rsidRPr="00904FCB">
        <w:rPr>
          <w:rFonts w:hint="cs"/>
          <w:sz w:val="27"/>
          <w:rtl/>
        </w:rPr>
        <w:t xml:space="preserve"> ذات طابع وماهية بيئوية</w:t>
      </w:r>
      <w:r w:rsidR="00713650" w:rsidRPr="00904FCB">
        <w:rPr>
          <w:rFonts w:hint="cs"/>
          <w:sz w:val="27"/>
          <w:rtl/>
        </w:rPr>
        <w:t>،</w:t>
      </w:r>
      <w:r w:rsidRPr="00904FCB">
        <w:rPr>
          <w:rFonts w:hint="cs"/>
          <w:sz w:val="27"/>
          <w:rtl/>
        </w:rPr>
        <w:t xml:space="preserve"> وهو ما يعني جعل مسألة البيئة ضمن الوظائف والتكاليف الشرعية للفرد والمجتمع</w:t>
      </w:r>
      <w:r w:rsidR="00713650" w:rsidRPr="00904FCB">
        <w:rPr>
          <w:rFonts w:hint="cs"/>
          <w:sz w:val="27"/>
          <w:rtl/>
        </w:rPr>
        <w:t>،</w:t>
      </w:r>
      <w:r w:rsidRPr="00904FCB">
        <w:rPr>
          <w:rFonts w:hint="cs"/>
          <w:sz w:val="27"/>
          <w:rtl/>
        </w:rPr>
        <w:t xml:space="preserve"> </w:t>
      </w:r>
      <w:r w:rsidR="00713650" w:rsidRPr="00904FCB">
        <w:rPr>
          <w:rFonts w:hint="cs"/>
          <w:sz w:val="27"/>
          <w:rtl/>
        </w:rPr>
        <w:t>و</w:t>
      </w:r>
      <w:r w:rsidRPr="00904FCB">
        <w:rPr>
          <w:rFonts w:hint="cs"/>
          <w:sz w:val="27"/>
          <w:rtl/>
        </w:rPr>
        <w:t xml:space="preserve">في نفس مستوى تكاليفه تجاه نفسه وجسمه. </w:t>
      </w:r>
    </w:p>
    <w:p w:rsidR="00EF655F" w:rsidRPr="00904FCB" w:rsidRDefault="00EF655F" w:rsidP="007A21AA">
      <w:pPr>
        <w:spacing w:line="400" w:lineRule="exact"/>
        <w:rPr>
          <w:sz w:val="27"/>
          <w:rtl/>
        </w:rPr>
      </w:pPr>
      <w:r w:rsidRPr="00904FCB">
        <w:rPr>
          <w:rFonts w:hint="cs"/>
          <w:sz w:val="27"/>
          <w:rtl/>
        </w:rPr>
        <w:t xml:space="preserve">إن </w:t>
      </w:r>
      <w:r w:rsidR="00713650" w:rsidRPr="00904FCB">
        <w:rPr>
          <w:rFonts w:hint="cs"/>
          <w:sz w:val="27"/>
          <w:rtl/>
        </w:rPr>
        <w:t>ال</w:t>
      </w:r>
      <w:r w:rsidRPr="00904FCB">
        <w:rPr>
          <w:rFonts w:hint="cs"/>
          <w:sz w:val="27"/>
          <w:rtl/>
        </w:rPr>
        <w:t>تعاليم الدينية في الإسلام تعتبر الوقوف في وجه الفساد عنصرا</w:t>
      </w:r>
      <w:r w:rsidR="00713650" w:rsidRPr="00904FCB">
        <w:rPr>
          <w:rFonts w:hint="cs"/>
          <w:sz w:val="27"/>
          <w:rtl/>
        </w:rPr>
        <w:t>ً</w:t>
      </w:r>
      <w:r w:rsidRPr="00904FCB">
        <w:rPr>
          <w:rFonts w:hint="cs"/>
          <w:sz w:val="27"/>
          <w:rtl/>
        </w:rPr>
        <w:t xml:space="preserve"> مقوما</w:t>
      </w:r>
      <w:r w:rsidR="00713650" w:rsidRPr="00904FCB">
        <w:rPr>
          <w:rFonts w:hint="cs"/>
          <w:sz w:val="27"/>
          <w:rtl/>
        </w:rPr>
        <w:t>ً</w:t>
      </w:r>
      <w:r w:rsidRPr="00904FCB">
        <w:rPr>
          <w:rFonts w:hint="cs"/>
          <w:sz w:val="27"/>
          <w:rtl/>
        </w:rPr>
        <w:t xml:space="preserve"> لبقاء الدين وحفظ النوع، </w:t>
      </w:r>
      <w:r w:rsidR="00713650" w:rsidRPr="00904FCB">
        <w:rPr>
          <w:rFonts w:hint="cs"/>
          <w:sz w:val="27"/>
          <w:rtl/>
        </w:rPr>
        <w:t>لذا</w:t>
      </w:r>
      <w:r w:rsidRPr="00904FCB">
        <w:rPr>
          <w:rFonts w:hint="cs"/>
          <w:sz w:val="27"/>
          <w:rtl/>
        </w:rPr>
        <w:t xml:space="preserve"> فالقرآن يحم</w:t>
      </w:r>
      <w:r w:rsidR="00713650" w:rsidRPr="00904FCB">
        <w:rPr>
          <w:rFonts w:hint="cs"/>
          <w:sz w:val="27"/>
          <w:rtl/>
        </w:rPr>
        <w:t>ِّ</w:t>
      </w:r>
      <w:r w:rsidRPr="00904FCB">
        <w:rPr>
          <w:rFonts w:hint="cs"/>
          <w:sz w:val="27"/>
          <w:rtl/>
        </w:rPr>
        <w:t xml:space="preserve">ل عقلاء الأقوام السابقة مسؤولية </w:t>
      </w:r>
      <w:r w:rsidR="00713650" w:rsidRPr="00904FCB">
        <w:rPr>
          <w:rFonts w:hint="cs"/>
          <w:sz w:val="27"/>
          <w:rtl/>
        </w:rPr>
        <w:t>ا</w:t>
      </w:r>
      <w:r w:rsidRPr="00904FCB">
        <w:rPr>
          <w:rFonts w:hint="cs"/>
          <w:sz w:val="27"/>
          <w:rtl/>
        </w:rPr>
        <w:t>نهيار ودمار أقوامهم</w:t>
      </w:r>
      <w:r w:rsidR="00713650" w:rsidRPr="00904FCB">
        <w:rPr>
          <w:rFonts w:hint="cs"/>
          <w:sz w:val="27"/>
          <w:rtl/>
        </w:rPr>
        <w:t>؛</w:t>
      </w:r>
      <w:r w:rsidRPr="00904FCB">
        <w:rPr>
          <w:rFonts w:hint="cs"/>
          <w:sz w:val="27"/>
          <w:rtl/>
        </w:rPr>
        <w:t xml:space="preserve"> لعدم تصد</w:t>
      </w:r>
      <w:r w:rsidR="00713650" w:rsidRPr="00904FCB">
        <w:rPr>
          <w:rFonts w:hint="cs"/>
          <w:sz w:val="27"/>
          <w:rtl/>
        </w:rPr>
        <w:t>ّ</w:t>
      </w:r>
      <w:r w:rsidRPr="00904FCB">
        <w:rPr>
          <w:rFonts w:hint="cs"/>
          <w:sz w:val="27"/>
          <w:rtl/>
        </w:rPr>
        <w:t xml:space="preserve">يهم ومحاربتهم لفساد مجتمعاتهم: </w:t>
      </w:r>
      <w:r w:rsidRPr="00904FCB">
        <w:rPr>
          <w:rFonts w:ascii="Mosawi" w:hAnsi="Mosawi" w:cs="Mosawi"/>
          <w:sz w:val="24"/>
          <w:szCs w:val="24"/>
          <w:rtl/>
        </w:rPr>
        <w:t>﴿</w:t>
      </w:r>
      <w:r w:rsidRPr="00904FCB">
        <w:rPr>
          <w:b/>
          <w:bCs/>
          <w:sz w:val="27"/>
          <w:rtl/>
        </w:rPr>
        <w:t>فَلَوْلاَ كَانَ مِنَ الْقُرُونِ مِن</w:t>
      </w:r>
      <w:r w:rsidR="00713650" w:rsidRPr="00904FCB">
        <w:rPr>
          <w:rFonts w:hint="cs"/>
          <w:b/>
          <w:bCs/>
          <w:sz w:val="27"/>
          <w:rtl/>
        </w:rPr>
        <w:t>ْ</w:t>
      </w:r>
      <w:r w:rsidRPr="00904FCB">
        <w:rPr>
          <w:b/>
          <w:bCs/>
          <w:sz w:val="27"/>
          <w:rtl/>
        </w:rPr>
        <w:t xml:space="preserve"> قَبْلِكُمْ أُوْلُو بَقِيَّةٍ يَنْهَوْنَ عَنِ الْفَسَادِ فِي الأَرْضِ إِلاَّ قَلِيلاً</w:t>
      </w:r>
      <w:r w:rsidR="00713650" w:rsidRPr="00904FCB">
        <w:rPr>
          <w:b/>
          <w:bCs/>
          <w:sz w:val="27"/>
          <w:rtl/>
        </w:rPr>
        <w:t xml:space="preserve"> م</w:t>
      </w:r>
      <w:r w:rsidR="00713650" w:rsidRPr="00904FCB">
        <w:rPr>
          <w:rFonts w:hint="cs"/>
          <w:b/>
          <w:bCs/>
          <w:sz w:val="27"/>
          <w:rtl/>
        </w:rPr>
        <w:t>ِ</w:t>
      </w:r>
      <w:r w:rsidRPr="00904FCB">
        <w:rPr>
          <w:b/>
          <w:bCs/>
          <w:sz w:val="27"/>
          <w:rtl/>
        </w:rPr>
        <w:t>مَّنْ أَنجَيْنَا مِنْهُمْ وَاتَّبَعَ الَّذِينَ ظَلَمُواْ مَا أُتْرِفُواْ فِيهِ وَكَانُواْ مُجْرِمِينَ</w:t>
      </w:r>
      <w:r w:rsidRPr="00904FCB">
        <w:rPr>
          <w:rFonts w:ascii="Mosawi" w:hAnsi="Mosawi" w:cs="Mosawi"/>
          <w:sz w:val="24"/>
          <w:szCs w:val="24"/>
          <w:rtl/>
        </w:rPr>
        <w:t>﴾</w:t>
      </w:r>
      <w:r w:rsidRPr="00904FCB">
        <w:rPr>
          <w:rFonts w:hint="cs"/>
          <w:sz w:val="27"/>
          <w:rtl/>
        </w:rPr>
        <w:t xml:space="preserve"> (هود: </w:t>
      </w:r>
      <w:r w:rsidRPr="00554592">
        <w:rPr>
          <w:rFonts w:hint="cs"/>
          <w:sz w:val="27"/>
          <w:rtl/>
        </w:rPr>
        <w:t>116</w:t>
      </w:r>
      <w:r w:rsidRPr="00904FCB">
        <w:rPr>
          <w:rFonts w:hint="cs"/>
          <w:sz w:val="27"/>
          <w:rtl/>
        </w:rPr>
        <w:t xml:space="preserve">). </w:t>
      </w:r>
    </w:p>
    <w:p w:rsidR="00EF655F" w:rsidRPr="00904FCB" w:rsidRDefault="00EF655F" w:rsidP="007A21AA">
      <w:pPr>
        <w:spacing w:line="400" w:lineRule="exact"/>
        <w:rPr>
          <w:rtl/>
        </w:rPr>
      </w:pPr>
      <w:r w:rsidRPr="00904FCB">
        <w:rPr>
          <w:rFonts w:hint="cs"/>
          <w:rtl/>
        </w:rPr>
        <w:t>ولا</w:t>
      </w:r>
      <w:r w:rsidR="00713650" w:rsidRPr="00904FCB">
        <w:rPr>
          <w:rFonts w:hint="cs"/>
          <w:rtl/>
        </w:rPr>
        <w:t xml:space="preserve"> </w:t>
      </w:r>
      <w:r w:rsidRPr="00904FCB">
        <w:rPr>
          <w:rFonts w:hint="cs"/>
          <w:rtl/>
        </w:rPr>
        <w:t>ب</w:t>
      </w:r>
      <w:r w:rsidR="00713650" w:rsidRPr="00904FCB">
        <w:rPr>
          <w:rFonts w:hint="cs"/>
          <w:rtl/>
        </w:rPr>
        <w:t>ُ</w:t>
      </w:r>
      <w:r w:rsidRPr="00904FCB">
        <w:rPr>
          <w:rFonts w:hint="cs"/>
          <w:rtl/>
        </w:rPr>
        <w:t>د</w:t>
      </w:r>
      <w:r w:rsidR="00713650" w:rsidRPr="00904FCB">
        <w:rPr>
          <w:rFonts w:hint="cs"/>
          <w:rtl/>
        </w:rPr>
        <w:t>َّ</w:t>
      </w:r>
      <w:r w:rsidRPr="00904FCB">
        <w:rPr>
          <w:rFonts w:hint="cs"/>
          <w:rtl/>
        </w:rPr>
        <w:t xml:space="preserve"> من التذكير أن الفساد المراد هنا ليس هو الفساد التكويني</w:t>
      </w:r>
      <w:r w:rsidR="00713650" w:rsidRPr="00904FCB">
        <w:rPr>
          <w:rFonts w:hint="cs"/>
          <w:rtl/>
        </w:rPr>
        <w:t>،</w:t>
      </w:r>
      <w:r w:rsidRPr="00904FCB">
        <w:rPr>
          <w:rFonts w:hint="cs"/>
          <w:rtl/>
        </w:rPr>
        <w:t xml:space="preserve"> والأمور التكوينية التي قد تتعر</w:t>
      </w:r>
      <w:r w:rsidR="00713650" w:rsidRPr="00904FCB">
        <w:rPr>
          <w:rFonts w:hint="cs"/>
          <w:rtl/>
        </w:rPr>
        <w:t>ّ</w:t>
      </w:r>
      <w:r w:rsidRPr="00904FCB">
        <w:rPr>
          <w:rFonts w:hint="cs"/>
          <w:rtl/>
        </w:rPr>
        <w:t>ض للفساد مع انسياب الزمان، فال</w:t>
      </w:r>
      <w:r w:rsidR="00713650" w:rsidRPr="00904FCB">
        <w:rPr>
          <w:rFonts w:hint="cs"/>
          <w:rtl/>
        </w:rPr>
        <w:t>إ</w:t>
      </w:r>
      <w:r w:rsidRPr="00904FCB">
        <w:rPr>
          <w:rFonts w:hint="cs"/>
          <w:rtl/>
        </w:rPr>
        <w:t>نسان غير معني</w:t>
      </w:r>
      <w:r w:rsidR="00713650" w:rsidRPr="00904FCB">
        <w:rPr>
          <w:rFonts w:hint="cs"/>
          <w:rtl/>
        </w:rPr>
        <w:t>ٍّ</w:t>
      </w:r>
      <w:r w:rsidRPr="00904FCB">
        <w:rPr>
          <w:rFonts w:hint="cs"/>
          <w:rtl/>
        </w:rPr>
        <w:t xml:space="preserve"> بهذا النوع من الفساد</w:t>
      </w:r>
      <w:r w:rsidR="00713650" w:rsidRPr="00904FCB">
        <w:rPr>
          <w:rFonts w:hint="cs"/>
          <w:rtl/>
        </w:rPr>
        <w:t>،</w:t>
      </w:r>
      <w:r w:rsidRPr="00904FCB">
        <w:rPr>
          <w:rFonts w:hint="cs"/>
          <w:rtl/>
        </w:rPr>
        <w:t xml:space="preserve"> وإنما المراد الفساد التشريعي، </w:t>
      </w:r>
      <w:r w:rsidR="00713650" w:rsidRPr="00904FCB">
        <w:rPr>
          <w:rFonts w:hint="cs"/>
          <w:rtl/>
        </w:rPr>
        <w:t>أي</w:t>
      </w:r>
      <w:r w:rsidRPr="00904FCB">
        <w:rPr>
          <w:rFonts w:hint="cs"/>
          <w:rtl/>
        </w:rPr>
        <w:t xml:space="preserve"> الفساد الذي ينتج عن فعل البشر</w:t>
      </w:r>
      <w:r w:rsidR="00713650" w:rsidRPr="00904FCB">
        <w:rPr>
          <w:rFonts w:hint="cs"/>
          <w:rtl/>
        </w:rPr>
        <w:t>،</w:t>
      </w:r>
      <w:r w:rsidRPr="00904FCB">
        <w:rPr>
          <w:rFonts w:hint="cs"/>
          <w:rtl/>
        </w:rPr>
        <w:t xml:space="preserve"> و</w:t>
      </w:r>
      <w:r w:rsidR="00713650" w:rsidRPr="00904FCB">
        <w:rPr>
          <w:rFonts w:hint="cs"/>
          <w:rtl/>
        </w:rPr>
        <w:t xml:space="preserve">يكون </w:t>
      </w:r>
      <w:r w:rsidRPr="00904FCB">
        <w:rPr>
          <w:rFonts w:hint="cs"/>
          <w:rtl/>
        </w:rPr>
        <w:t>نتيجة لأعماله وسلوكه</w:t>
      </w:r>
      <w:r w:rsidR="00713650" w:rsidRPr="00904FCB">
        <w:rPr>
          <w:rFonts w:hint="cs"/>
          <w:rtl/>
        </w:rPr>
        <w:t>.</w:t>
      </w:r>
      <w:r w:rsidRPr="00904FCB">
        <w:rPr>
          <w:rFonts w:hint="cs"/>
          <w:rtl/>
        </w:rPr>
        <w:t xml:space="preserve"> ولعل أبرز مصداق لهذا الفساد تعامل الأفراد مع الطبيعة</w:t>
      </w:r>
      <w:r w:rsidR="00713650" w:rsidRPr="00904FCB">
        <w:rPr>
          <w:rFonts w:hint="cs"/>
          <w:rtl/>
        </w:rPr>
        <w:t>،</w:t>
      </w:r>
      <w:r w:rsidRPr="00904FCB">
        <w:rPr>
          <w:rFonts w:hint="cs"/>
          <w:rtl/>
        </w:rPr>
        <w:t xml:space="preserve"> حين يصي</w:t>
      </w:r>
      <w:r w:rsidR="00713650" w:rsidRPr="00904FCB">
        <w:rPr>
          <w:rFonts w:hint="cs"/>
          <w:rtl/>
        </w:rPr>
        <w:t>ِّ</w:t>
      </w:r>
      <w:r w:rsidRPr="00904FCB">
        <w:rPr>
          <w:rFonts w:hint="cs"/>
          <w:rtl/>
        </w:rPr>
        <w:t>رونها ملكا</w:t>
      </w:r>
      <w:r w:rsidR="00713650" w:rsidRPr="00904FCB">
        <w:rPr>
          <w:rFonts w:hint="cs"/>
          <w:rtl/>
        </w:rPr>
        <w:t>ً</w:t>
      </w:r>
      <w:r w:rsidRPr="00904FCB">
        <w:rPr>
          <w:rFonts w:hint="cs"/>
          <w:rtl/>
        </w:rPr>
        <w:t xml:space="preserve"> خاص</w:t>
      </w:r>
      <w:r w:rsidR="00713650" w:rsidRPr="00904FCB">
        <w:rPr>
          <w:rFonts w:hint="cs"/>
          <w:rtl/>
        </w:rPr>
        <w:t>ّ</w:t>
      </w:r>
      <w:r w:rsidRPr="00904FCB">
        <w:rPr>
          <w:rFonts w:hint="cs"/>
          <w:rtl/>
        </w:rPr>
        <w:t>ا</w:t>
      </w:r>
      <w:r w:rsidR="00713650" w:rsidRPr="00904FCB">
        <w:rPr>
          <w:rFonts w:hint="cs"/>
          <w:rtl/>
        </w:rPr>
        <w:t>ً</w:t>
      </w:r>
      <w:r w:rsidRPr="00904FCB">
        <w:rPr>
          <w:rFonts w:hint="cs"/>
          <w:rtl/>
        </w:rPr>
        <w:t xml:space="preserve"> يتصر</w:t>
      </w:r>
      <w:r w:rsidR="00713650" w:rsidRPr="00904FCB">
        <w:rPr>
          <w:rFonts w:hint="cs"/>
          <w:rtl/>
        </w:rPr>
        <w:t>َّ</w:t>
      </w:r>
      <w:r w:rsidRPr="00904FCB">
        <w:rPr>
          <w:rFonts w:hint="cs"/>
          <w:rtl/>
        </w:rPr>
        <w:t>فون فيها وفق ما تتطل</w:t>
      </w:r>
      <w:r w:rsidR="00713650" w:rsidRPr="00904FCB">
        <w:rPr>
          <w:rFonts w:hint="cs"/>
          <w:rtl/>
        </w:rPr>
        <w:t>ّ</w:t>
      </w:r>
      <w:r w:rsidRPr="00904FCB">
        <w:rPr>
          <w:rFonts w:hint="cs"/>
          <w:rtl/>
        </w:rPr>
        <w:t>به رغباتهم في الربح والخسارة، وهو تصر</w:t>
      </w:r>
      <w:r w:rsidR="00713650" w:rsidRPr="00904FCB">
        <w:rPr>
          <w:rFonts w:hint="cs"/>
          <w:rtl/>
        </w:rPr>
        <w:t>ّ</w:t>
      </w:r>
      <w:r w:rsidRPr="00904FCB">
        <w:rPr>
          <w:rFonts w:hint="cs"/>
          <w:rtl/>
        </w:rPr>
        <w:t>ف هد</w:t>
      </w:r>
      <w:r w:rsidR="00713650" w:rsidRPr="00904FCB">
        <w:rPr>
          <w:rFonts w:hint="cs"/>
          <w:rtl/>
        </w:rPr>
        <w:t>ّ</w:t>
      </w:r>
      <w:r w:rsidRPr="00904FCB">
        <w:rPr>
          <w:rFonts w:hint="cs"/>
          <w:rtl/>
        </w:rPr>
        <w:t>ام ومبي</w:t>
      </w:r>
      <w:r w:rsidR="00713650" w:rsidRPr="00904FCB">
        <w:rPr>
          <w:rFonts w:hint="cs"/>
          <w:rtl/>
        </w:rPr>
        <w:t>د</w:t>
      </w:r>
      <w:r w:rsidRPr="00904FCB">
        <w:rPr>
          <w:rFonts w:hint="cs"/>
          <w:rtl/>
        </w:rPr>
        <w:t xml:space="preserve"> للطبيعة</w:t>
      </w:r>
      <w:r w:rsidR="00713650" w:rsidRPr="00904FCB">
        <w:rPr>
          <w:rFonts w:hint="cs"/>
          <w:rtl/>
        </w:rPr>
        <w:t>،</w:t>
      </w:r>
      <w:r w:rsidRPr="00904FCB">
        <w:rPr>
          <w:rFonts w:hint="cs"/>
          <w:rtl/>
        </w:rPr>
        <w:t xml:space="preserve"> ومتجاوز لكل</w:t>
      </w:r>
      <w:r w:rsidR="00713650" w:rsidRPr="00904FCB">
        <w:rPr>
          <w:rFonts w:hint="cs"/>
          <w:rtl/>
        </w:rPr>
        <w:t>ّ</w:t>
      </w:r>
      <w:r w:rsidRPr="00904FCB">
        <w:rPr>
          <w:rFonts w:hint="cs"/>
          <w:rtl/>
        </w:rPr>
        <w:t xml:space="preserve"> القوانين التي تحكم الطبيعة. وبطبيعة الحال فالحديث عن محاربة الفساد يعني ضمنا</w:t>
      </w:r>
      <w:r w:rsidR="00713650" w:rsidRPr="00904FCB">
        <w:rPr>
          <w:rFonts w:hint="cs"/>
          <w:rtl/>
        </w:rPr>
        <w:t>ً</w:t>
      </w:r>
      <w:r w:rsidRPr="00904FCB">
        <w:rPr>
          <w:rFonts w:hint="cs"/>
          <w:rtl/>
        </w:rPr>
        <w:t xml:space="preserve"> الحديث عن الآليات المناسبة</w:t>
      </w:r>
      <w:r w:rsidR="00713650" w:rsidRPr="00904FCB">
        <w:rPr>
          <w:rFonts w:hint="cs"/>
          <w:rtl/>
        </w:rPr>
        <w:t>،</w:t>
      </w:r>
      <w:r w:rsidRPr="00904FCB">
        <w:rPr>
          <w:rFonts w:hint="cs"/>
          <w:rtl/>
        </w:rPr>
        <w:t xml:space="preserve"> والتي </w:t>
      </w:r>
      <w:r w:rsidR="00713650" w:rsidRPr="00904FCB">
        <w:rPr>
          <w:rFonts w:hint="cs"/>
          <w:rtl/>
        </w:rPr>
        <w:t>تتلاءم</w:t>
      </w:r>
      <w:r w:rsidRPr="00904FCB">
        <w:rPr>
          <w:rFonts w:hint="cs"/>
          <w:rtl/>
        </w:rPr>
        <w:t xml:space="preserve"> والسطح البنيوي للفساد. </w:t>
      </w:r>
    </w:p>
    <w:p w:rsidR="00EF655F" w:rsidRPr="00904FCB" w:rsidRDefault="00EF655F" w:rsidP="007A21AA">
      <w:pPr>
        <w:spacing w:line="400" w:lineRule="exact"/>
        <w:rPr>
          <w:rtl/>
        </w:rPr>
      </w:pPr>
      <w:r w:rsidRPr="00904FCB">
        <w:rPr>
          <w:rFonts w:hint="cs"/>
          <w:rtl/>
        </w:rPr>
        <w:t>إذن ل</w:t>
      </w:r>
      <w:r w:rsidR="00713650" w:rsidRPr="00904FCB">
        <w:rPr>
          <w:rFonts w:hint="cs"/>
          <w:rtl/>
        </w:rPr>
        <w:t xml:space="preserve">ا </w:t>
      </w:r>
      <w:r w:rsidRPr="00904FCB">
        <w:rPr>
          <w:rFonts w:hint="cs"/>
          <w:rtl/>
        </w:rPr>
        <w:t>ب</w:t>
      </w:r>
      <w:r w:rsidR="00713650" w:rsidRPr="00904FCB">
        <w:rPr>
          <w:rFonts w:hint="cs"/>
          <w:rtl/>
        </w:rPr>
        <w:t>ُ</w:t>
      </w:r>
      <w:r w:rsidRPr="00904FCB">
        <w:rPr>
          <w:rFonts w:hint="cs"/>
          <w:rtl/>
        </w:rPr>
        <w:t>د</w:t>
      </w:r>
      <w:r w:rsidR="00713650" w:rsidRPr="00904FCB">
        <w:rPr>
          <w:rFonts w:hint="cs"/>
          <w:rtl/>
        </w:rPr>
        <w:t>َّ</w:t>
      </w:r>
      <w:r w:rsidRPr="00904FCB">
        <w:rPr>
          <w:rFonts w:hint="cs"/>
          <w:rtl/>
        </w:rPr>
        <w:t xml:space="preserve"> من ربط قضية الحفاظ على البيئة وحماية المحيط الطبيعي بالأصل الشرعي </w:t>
      </w:r>
      <w:r w:rsidRPr="00904FCB">
        <w:rPr>
          <w:rFonts w:hint="eastAsia"/>
          <w:rtl/>
        </w:rPr>
        <w:t>«</w:t>
      </w:r>
      <w:r w:rsidRPr="00904FCB">
        <w:rPr>
          <w:rFonts w:hint="cs"/>
          <w:rtl/>
        </w:rPr>
        <w:t>الأمر بالمعروف والنهي عن المنكر</w:t>
      </w:r>
      <w:r w:rsidRPr="00904FCB">
        <w:rPr>
          <w:rFonts w:hint="eastAsia"/>
          <w:rtl/>
        </w:rPr>
        <w:t>»</w:t>
      </w:r>
      <w:r w:rsidR="00713650" w:rsidRPr="00904FCB">
        <w:rPr>
          <w:rFonts w:hint="cs"/>
          <w:rtl/>
        </w:rPr>
        <w:t>؛</w:t>
      </w:r>
      <w:r w:rsidRPr="00904FCB">
        <w:rPr>
          <w:rFonts w:hint="cs"/>
          <w:rtl/>
        </w:rPr>
        <w:t xml:space="preserve"> لحمايتها من الاستنزاف والانقراض</w:t>
      </w:r>
      <w:r w:rsidR="00713650" w:rsidRPr="00904FCB">
        <w:rPr>
          <w:rFonts w:hint="cs"/>
          <w:rtl/>
        </w:rPr>
        <w:t>،</w:t>
      </w:r>
      <w:r w:rsidRPr="00904FCB">
        <w:rPr>
          <w:rFonts w:hint="cs"/>
          <w:rtl/>
        </w:rPr>
        <w:t xml:space="preserve"> </w:t>
      </w:r>
      <w:r w:rsidRPr="00904FCB">
        <w:rPr>
          <w:rFonts w:hint="cs"/>
          <w:rtl/>
        </w:rPr>
        <w:lastRenderedPageBreak/>
        <w:t>وتعزيز الوعي البيئي الفردي والعام</w:t>
      </w:r>
      <w:r w:rsidR="00713650" w:rsidRPr="00904FCB">
        <w:rPr>
          <w:rFonts w:hint="cs"/>
          <w:rtl/>
        </w:rPr>
        <w:t>ّ</w:t>
      </w:r>
      <w:r w:rsidRPr="00904FCB">
        <w:rPr>
          <w:rFonts w:hint="cs"/>
          <w:rtl/>
        </w:rPr>
        <w:t xml:space="preserve"> في أن الحفاظ على البيئة حفاظ</w:t>
      </w:r>
      <w:r w:rsidR="00713650" w:rsidRPr="00904FCB">
        <w:rPr>
          <w:rFonts w:hint="cs"/>
          <w:rtl/>
        </w:rPr>
        <w:t>ٌ</w:t>
      </w:r>
      <w:r w:rsidRPr="00904FCB">
        <w:rPr>
          <w:rFonts w:hint="cs"/>
          <w:rtl/>
        </w:rPr>
        <w:t xml:space="preserve"> على السلامة الفردية والعامة</w:t>
      </w:r>
      <w:r w:rsidR="00713650" w:rsidRPr="00904FCB">
        <w:rPr>
          <w:rFonts w:hint="cs"/>
          <w:rtl/>
        </w:rPr>
        <w:t>،</w:t>
      </w:r>
      <w:r w:rsidRPr="00904FCB">
        <w:rPr>
          <w:rFonts w:hint="cs"/>
          <w:rtl/>
        </w:rPr>
        <w:t xml:space="preserve"> وتلق</w:t>
      </w:r>
      <w:r w:rsidR="00713650" w:rsidRPr="00904FCB">
        <w:rPr>
          <w:rFonts w:hint="cs"/>
          <w:rtl/>
        </w:rPr>
        <w:t>ّ</w:t>
      </w:r>
      <w:r w:rsidRPr="00904FCB">
        <w:rPr>
          <w:rFonts w:hint="cs"/>
          <w:rtl/>
        </w:rPr>
        <w:t>يه كواحد</w:t>
      </w:r>
      <w:r w:rsidR="00713650" w:rsidRPr="00904FCB">
        <w:rPr>
          <w:rFonts w:hint="cs"/>
          <w:rtl/>
        </w:rPr>
        <w:t>ٍ</w:t>
      </w:r>
      <w:r w:rsidRPr="00904FCB">
        <w:rPr>
          <w:rFonts w:hint="cs"/>
          <w:rtl/>
        </w:rPr>
        <w:t xml:space="preserve"> من أهم</w:t>
      </w:r>
      <w:r w:rsidR="00713650" w:rsidRPr="00904FCB">
        <w:rPr>
          <w:rFonts w:hint="cs"/>
          <w:rtl/>
        </w:rPr>
        <w:t>ّ</w:t>
      </w:r>
      <w:r w:rsidRPr="00904FCB">
        <w:rPr>
          <w:rFonts w:hint="cs"/>
          <w:rtl/>
        </w:rPr>
        <w:t xml:space="preserve"> مصاديق الأمر بالمعروف والنهي عن المنكر. </w:t>
      </w:r>
    </w:p>
    <w:p w:rsidR="00EF655F" w:rsidRPr="00904FCB" w:rsidRDefault="00EF655F" w:rsidP="007A21AA">
      <w:pPr>
        <w:spacing w:line="400" w:lineRule="exact"/>
        <w:rPr>
          <w:rtl/>
        </w:rPr>
      </w:pPr>
      <w:r w:rsidRPr="00904FCB">
        <w:rPr>
          <w:rFonts w:hint="cs"/>
          <w:rtl/>
        </w:rPr>
        <w:t>لذ</w:t>
      </w:r>
      <w:r w:rsidR="00E771B7" w:rsidRPr="00904FCB">
        <w:rPr>
          <w:rFonts w:hint="cs"/>
          <w:rtl/>
        </w:rPr>
        <w:t>ا</w:t>
      </w:r>
      <w:r w:rsidRPr="00904FCB">
        <w:rPr>
          <w:rFonts w:hint="cs"/>
          <w:rtl/>
        </w:rPr>
        <w:t xml:space="preserve"> لا</w:t>
      </w:r>
      <w:r w:rsidR="00713650" w:rsidRPr="00904FCB">
        <w:rPr>
          <w:rFonts w:hint="cs"/>
          <w:rtl/>
        </w:rPr>
        <w:t xml:space="preserve"> </w:t>
      </w:r>
      <w:r w:rsidRPr="00904FCB">
        <w:rPr>
          <w:rFonts w:hint="cs"/>
          <w:rtl/>
        </w:rPr>
        <w:t>ب</w:t>
      </w:r>
      <w:r w:rsidR="00713650" w:rsidRPr="00904FCB">
        <w:rPr>
          <w:rFonts w:hint="cs"/>
          <w:rtl/>
        </w:rPr>
        <w:t>ُ</w:t>
      </w:r>
      <w:r w:rsidRPr="00904FCB">
        <w:rPr>
          <w:rFonts w:hint="cs"/>
          <w:rtl/>
        </w:rPr>
        <w:t>د</w:t>
      </w:r>
      <w:r w:rsidR="00713650" w:rsidRPr="00904FCB">
        <w:rPr>
          <w:rFonts w:hint="cs"/>
          <w:rtl/>
        </w:rPr>
        <w:t>َّ</w:t>
      </w:r>
      <w:r w:rsidRPr="00904FCB">
        <w:rPr>
          <w:rFonts w:hint="cs"/>
          <w:rtl/>
        </w:rPr>
        <w:t xml:space="preserve"> </w:t>
      </w:r>
      <w:r w:rsidR="00967105">
        <w:rPr>
          <w:rFonts w:hint="cs"/>
          <w:rtl/>
        </w:rPr>
        <w:t xml:space="preserve">من </w:t>
      </w:r>
      <w:r w:rsidRPr="00904FCB">
        <w:rPr>
          <w:rFonts w:hint="cs"/>
          <w:rtl/>
        </w:rPr>
        <w:t>دراسة موضوع البيئة وال</w:t>
      </w:r>
      <w:r w:rsidR="00713650" w:rsidRPr="00904FCB">
        <w:rPr>
          <w:rFonts w:hint="cs"/>
          <w:rtl/>
        </w:rPr>
        <w:t>إ</w:t>
      </w:r>
      <w:r w:rsidRPr="00904FCB">
        <w:rPr>
          <w:rFonts w:hint="cs"/>
          <w:rtl/>
        </w:rPr>
        <w:t>حاطة بجوانبه</w:t>
      </w:r>
      <w:r w:rsidR="008A6097" w:rsidRPr="00904FCB">
        <w:rPr>
          <w:rFonts w:hint="cs"/>
          <w:rtl/>
        </w:rPr>
        <w:t>.</w:t>
      </w:r>
      <w:r w:rsidRPr="00904FCB">
        <w:rPr>
          <w:rFonts w:hint="cs"/>
          <w:rtl/>
        </w:rPr>
        <w:t xml:space="preserve"> ودور الفقهاء تجاه هذا يكمن في تفقيه الناس ضمن خصوصيات كل</w:t>
      </w:r>
      <w:r w:rsidR="008A6097" w:rsidRPr="00904FCB">
        <w:rPr>
          <w:rFonts w:hint="cs"/>
          <w:rtl/>
        </w:rPr>
        <w:t>ّ</w:t>
      </w:r>
      <w:r w:rsidRPr="00904FCB">
        <w:rPr>
          <w:rFonts w:hint="cs"/>
          <w:rtl/>
        </w:rPr>
        <w:t xml:space="preserve"> جوانبه. </w:t>
      </w:r>
    </w:p>
    <w:p w:rsidR="00EF655F" w:rsidRPr="00904FCB" w:rsidRDefault="00E771B7" w:rsidP="00967105">
      <w:pPr>
        <w:spacing w:line="400" w:lineRule="exact"/>
        <w:rPr>
          <w:rtl/>
        </w:rPr>
      </w:pPr>
      <w:r w:rsidRPr="00904FCB">
        <w:rPr>
          <w:rFonts w:hint="cs"/>
          <w:rtl/>
        </w:rPr>
        <w:t>و</w:t>
      </w:r>
      <w:r w:rsidR="00EF655F" w:rsidRPr="00904FCB">
        <w:rPr>
          <w:rFonts w:hint="cs"/>
          <w:rtl/>
        </w:rPr>
        <w:t>يعد</w:t>
      </w:r>
      <w:r w:rsidR="008A6097" w:rsidRPr="00904FCB">
        <w:rPr>
          <w:rFonts w:hint="cs"/>
          <w:rtl/>
        </w:rPr>
        <w:t>ّ</w:t>
      </w:r>
      <w:r w:rsidR="00EF655F" w:rsidRPr="00904FCB">
        <w:rPr>
          <w:rFonts w:hint="cs"/>
          <w:rtl/>
        </w:rPr>
        <w:t xml:space="preserve"> الأصل الخامس من القانون الأساسي في قانون الجمهورية الإسلامية الإيرانية أكثر المر</w:t>
      </w:r>
      <w:r w:rsidR="00967105">
        <w:rPr>
          <w:rFonts w:hint="cs"/>
          <w:rtl/>
        </w:rPr>
        <w:t>اسيم</w:t>
      </w:r>
      <w:r w:rsidR="00EF655F" w:rsidRPr="00904FCB">
        <w:rPr>
          <w:rFonts w:hint="cs"/>
          <w:rtl/>
        </w:rPr>
        <w:t xml:space="preserve"> القانونية في هذا المجال</w:t>
      </w:r>
      <w:r w:rsidR="008A6097" w:rsidRPr="00904FCB">
        <w:rPr>
          <w:rFonts w:hint="cs"/>
          <w:rtl/>
        </w:rPr>
        <w:t>،</w:t>
      </w:r>
      <w:r w:rsidR="00EF655F" w:rsidRPr="00904FCB">
        <w:rPr>
          <w:rFonts w:hint="cs"/>
          <w:rtl/>
        </w:rPr>
        <w:t xml:space="preserve"> حيث جاء فيه: </w:t>
      </w:r>
      <w:r w:rsidR="008A6097" w:rsidRPr="00904FCB">
        <w:rPr>
          <w:rFonts w:hint="cs"/>
          <w:rtl/>
        </w:rPr>
        <w:t>إ</w:t>
      </w:r>
      <w:r w:rsidR="00EF655F" w:rsidRPr="00904FCB">
        <w:rPr>
          <w:rFonts w:hint="cs"/>
          <w:rtl/>
        </w:rPr>
        <w:t>ن حفظ</w:t>
      </w:r>
      <w:r w:rsidR="008A6097" w:rsidRPr="00904FCB">
        <w:rPr>
          <w:rFonts w:hint="cs"/>
          <w:rtl/>
        </w:rPr>
        <w:t>َ</w:t>
      </w:r>
      <w:r w:rsidR="00EF655F" w:rsidRPr="00904FCB">
        <w:rPr>
          <w:rFonts w:hint="cs"/>
          <w:rtl/>
        </w:rPr>
        <w:t xml:space="preserve"> المحيط والبيئة</w:t>
      </w:r>
      <w:r w:rsidR="008A6097" w:rsidRPr="00904FCB">
        <w:rPr>
          <w:rFonts w:hint="cs"/>
          <w:rtl/>
        </w:rPr>
        <w:t>،</w:t>
      </w:r>
      <w:r w:rsidR="00EF655F" w:rsidRPr="00904FCB">
        <w:rPr>
          <w:rFonts w:hint="cs"/>
          <w:rtl/>
        </w:rPr>
        <w:t xml:space="preserve"> التي تعد</w:t>
      </w:r>
      <w:r w:rsidR="008A6097" w:rsidRPr="00904FCB">
        <w:rPr>
          <w:rFonts w:hint="cs"/>
          <w:rtl/>
        </w:rPr>
        <w:t>ّ</w:t>
      </w:r>
      <w:r w:rsidR="00EF655F" w:rsidRPr="00904FCB">
        <w:rPr>
          <w:rFonts w:hint="cs"/>
          <w:rtl/>
        </w:rPr>
        <w:t xml:space="preserve"> ظرف حياة هذا الجيل والأجيال القادمة</w:t>
      </w:r>
      <w:r w:rsidR="008A6097" w:rsidRPr="00904FCB">
        <w:rPr>
          <w:rFonts w:hint="cs"/>
          <w:rtl/>
        </w:rPr>
        <w:t>،</w:t>
      </w:r>
      <w:r w:rsidR="00EF655F" w:rsidRPr="00904FCB">
        <w:rPr>
          <w:rFonts w:hint="cs"/>
          <w:rtl/>
        </w:rPr>
        <w:t xml:space="preserve"> ومحل</w:t>
      </w:r>
      <w:r w:rsidR="008A6097" w:rsidRPr="00904FCB">
        <w:rPr>
          <w:rFonts w:hint="cs"/>
          <w:rtl/>
        </w:rPr>
        <w:t>ّ</w:t>
      </w:r>
      <w:r w:rsidR="00EF655F" w:rsidRPr="00904FCB">
        <w:rPr>
          <w:rFonts w:hint="cs"/>
          <w:rtl/>
        </w:rPr>
        <w:t xml:space="preserve"> نموه واستمراره</w:t>
      </w:r>
      <w:r w:rsidR="008A6097" w:rsidRPr="00904FCB">
        <w:rPr>
          <w:rFonts w:hint="cs"/>
          <w:rtl/>
        </w:rPr>
        <w:t>،</w:t>
      </w:r>
      <w:r w:rsidR="00EF655F" w:rsidRPr="00904FCB">
        <w:rPr>
          <w:rFonts w:hint="cs"/>
          <w:rtl/>
        </w:rPr>
        <w:t xml:space="preserve"> مسؤولية</w:t>
      </w:r>
      <w:r w:rsidR="008A6097" w:rsidRPr="00904FCB">
        <w:rPr>
          <w:rFonts w:hint="cs"/>
          <w:rtl/>
        </w:rPr>
        <w:t>ٌ</w:t>
      </w:r>
      <w:r w:rsidR="00EF655F" w:rsidRPr="00904FCB">
        <w:rPr>
          <w:rFonts w:hint="cs"/>
          <w:rtl/>
        </w:rPr>
        <w:t xml:space="preserve"> عامة، لذ</w:t>
      </w:r>
      <w:r w:rsidR="008A6097" w:rsidRPr="00904FCB">
        <w:rPr>
          <w:rFonts w:hint="cs"/>
          <w:rtl/>
        </w:rPr>
        <w:t>ا</w:t>
      </w:r>
      <w:r w:rsidR="00EF655F" w:rsidRPr="00904FCB">
        <w:rPr>
          <w:rFonts w:hint="cs"/>
          <w:rtl/>
        </w:rPr>
        <w:t xml:space="preserve"> فإن الفعاليات ال</w:t>
      </w:r>
      <w:r w:rsidR="008A6097" w:rsidRPr="00904FCB">
        <w:rPr>
          <w:rFonts w:hint="cs"/>
          <w:rtl/>
        </w:rPr>
        <w:t>اق</w:t>
      </w:r>
      <w:r w:rsidR="00EF655F" w:rsidRPr="00904FCB">
        <w:rPr>
          <w:rFonts w:hint="cs"/>
          <w:rtl/>
        </w:rPr>
        <w:t>تصادية وما شاكلها</w:t>
      </w:r>
      <w:r w:rsidR="008A6097" w:rsidRPr="00904FCB">
        <w:rPr>
          <w:rFonts w:hint="cs"/>
          <w:rtl/>
        </w:rPr>
        <w:t>،</w:t>
      </w:r>
      <w:r w:rsidR="00EF655F" w:rsidRPr="00904FCB">
        <w:rPr>
          <w:rFonts w:hint="cs"/>
          <w:rtl/>
        </w:rPr>
        <w:t xml:space="preserve"> والتي من شأنها أن تؤدي إلى إحداث فساد</w:t>
      </w:r>
      <w:r w:rsidR="008A6097" w:rsidRPr="00904FCB">
        <w:rPr>
          <w:rFonts w:hint="cs"/>
          <w:rtl/>
        </w:rPr>
        <w:t>ٍ</w:t>
      </w:r>
      <w:r w:rsidR="00EF655F" w:rsidRPr="00904FCB">
        <w:rPr>
          <w:rFonts w:hint="cs"/>
          <w:rtl/>
        </w:rPr>
        <w:t xml:space="preserve"> غير قابل للاستدارك في البيئة والمحيط الاجتماعي</w:t>
      </w:r>
      <w:r w:rsidR="008A6097" w:rsidRPr="00904FCB">
        <w:rPr>
          <w:rFonts w:hint="cs"/>
          <w:rtl/>
        </w:rPr>
        <w:t>،</w:t>
      </w:r>
      <w:r w:rsidR="00EF655F" w:rsidRPr="00904FCB">
        <w:rPr>
          <w:rFonts w:hint="cs"/>
          <w:rtl/>
        </w:rPr>
        <w:t xml:space="preserve"> ممنوعة</w:t>
      </w:r>
      <w:r w:rsidR="008A6097" w:rsidRPr="00904FCB">
        <w:rPr>
          <w:rFonts w:hint="cs"/>
          <w:rtl/>
        </w:rPr>
        <w:t>ٌ</w:t>
      </w:r>
      <w:r w:rsidR="00EF655F" w:rsidRPr="00904FCB">
        <w:rPr>
          <w:rFonts w:hint="cs"/>
          <w:rtl/>
        </w:rPr>
        <w:t xml:space="preserve"> ومحظورة. </w:t>
      </w:r>
    </w:p>
    <w:p w:rsidR="00E771B7" w:rsidRPr="00904FCB" w:rsidRDefault="00E771B7" w:rsidP="007A21AA">
      <w:pPr>
        <w:spacing w:line="400" w:lineRule="exact"/>
        <w:rPr>
          <w:rtl/>
        </w:rPr>
      </w:pPr>
    </w:p>
    <w:p w:rsidR="00EF655F" w:rsidRPr="00904FCB" w:rsidRDefault="00EF655F" w:rsidP="007A21AA">
      <w:pPr>
        <w:pStyle w:val="31"/>
        <w:spacing w:line="400" w:lineRule="exact"/>
        <w:rPr>
          <w:color w:val="auto"/>
          <w:rtl/>
        </w:rPr>
      </w:pPr>
      <w:r w:rsidRPr="00904FCB">
        <w:rPr>
          <w:rFonts w:hint="cs"/>
          <w:color w:val="auto"/>
          <w:rtl/>
        </w:rPr>
        <w:t xml:space="preserve">ب ـ مسؤولية الحكومة الإسلامية في حفظ البيئة وسلامة المحيط </w:t>
      </w:r>
    </w:p>
    <w:p w:rsidR="00EF655F" w:rsidRPr="00904FCB" w:rsidRDefault="00EF655F" w:rsidP="007A21AA">
      <w:pPr>
        <w:spacing w:line="400" w:lineRule="exact"/>
        <w:rPr>
          <w:rStyle w:val="a6"/>
          <w:rFonts w:cs="AL-Mohanad"/>
          <w:b w:val="0"/>
          <w:bCs/>
          <w:sz w:val="27"/>
          <w:rtl/>
        </w:rPr>
      </w:pPr>
      <w:r w:rsidRPr="00904FCB">
        <w:rPr>
          <w:rFonts w:hint="cs"/>
          <w:sz w:val="27"/>
          <w:rtl/>
        </w:rPr>
        <w:t>لقد سخ</w:t>
      </w:r>
      <w:r w:rsidR="008A6097" w:rsidRPr="00904FCB">
        <w:rPr>
          <w:rFonts w:hint="cs"/>
          <w:sz w:val="27"/>
          <w:rtl/>
        </w:rPr>
        <w:t>َّ</w:t>
      </w:r>
      <w:r w:rsidRPr="00904FCB">
        <w:rPr>
          <w:rFonts w:hint="cs"/>
          <w:sz w:val="27"/>
          <w:rtl/>
        </w:rPr>
        <w:t>ر الله الطبيعة للإنسان</w:t>
      </w:r>
      <w:r w:rsidR="008A6097" w:rsidRPr="00904FCB">
        <w:rPr>
          <w:rFonts w:hint="cs"/>
          <w:sz w:val="27"/>
          <w:rtl/>
        </w:rPr>
        <w:t>،</w:t>
      </w:r>
      <w:r w:rsidRPr="00904FCB">
        <w:rPr>
          <w:rFonts w:hint="cs"/>
          <w:sz w:val="27"/>
          <w:rtl/>
        </w:rPr>
        <w:t xml:space="preserve"> ومك</w:t>
      </w:r>
      <w:r w:rsidR="008A6097" w:rsidRPr="00904FCB">
        <w:rPr>
          <w:rFonts w:hint="cs"/>
          <w:sz w:val="27"/>
          <w:rtl/>
        </w:rPr>
        <w:t>َّ</w:t>
      </w:r>
      <w:r w:rsidRPr="00904FCB">
        <w:rPr>
          <w:rFonts w:hint="cs"/>
          <w:sz w:val="27"/>
          <w:rtl/>
        </w:rPr>
        <w:t>نه من الاستفادة منها والتمت</w:t>
      </w:r>
      <w:r w:rsidR="008A6097" w:rsidRPr="00904FCB">
        <w:rPr>
          <w:rFonts w:hint="cs"/>
          <w:sz w:val="27"/>
          <w:rtl/>
        </w:rPr>
        <w:t>ُّ</w:t>
      </w:r>
      <w:r w:rsidRPr="00904FCB">
        <w:rPr>
          <w:rFonts w:hint="cs"/>
          <w:sz w:val="27"/>
          <w:rtl/>
        </w:rPr>
        <w:t>ع بها</w:t>
      </w:r>
      <w:r w:rsidR="008A6097" w:rsidRPr="00904FCB">
        <w:rPr>
          <w:rFonts w:hint="cs"/>
          <w:sz w:val="27"/>
          <w:rtl/>
        </w:rPr>
        <w:t>.</w:t>
      </w:r>
      <w:r w:rsidRPr="00904FCB">
        <w:rPr>
          <w:rFonts w:hint="cs"/>
          <w:sz w:val="27"/>
          <w:rtl/>
        </w:rPr>
        <w:t xml:space="preserve"> وقد جاءت الآيات في هذا المضمون صريحة</w:t>
      </w:r>
      <w:r w:rsidR="008A6097" w:rsidRPr="00904FCB">
        <w:rPr>
          <w:rFonts w:hint="cs"/>
          <w:sz w:val="27"/>
          <w:rtl/>
        </w:rPr>
        <w:t>ً</w:t>
      </w:r>
      <w:r w:rsidRPr="00904FCB">
        <w:rPr>
          <w:rFonts w:hint="cs"/>
          <w:sz w:val="27"/>
          <w:rtl/>
        </w:rPr>
        <w:t xml:space="preserve"> وواضحة: </w:t>
      </w:r>
      <w:r w:rsidRPr="00904FCB">
        <w:rPr>
          <w:rFonts w:ascii="Mosawi" w:hAnsi="Mosawi" w:cs="Mosawi"/>
          <w:sz w:val="24"/>
          <w:szCs w:val="24"/>
          <w:rtl/>
        </w:rPr>
        <w:t>﴿</w:t>
      </w:r>
      <w:r w:rsidRPr="00904FCB">
        <w:rPr>
          <w:rFonts w:hint="cs"/>
          <w:b/>
          <w:bCs/>
          <w:sz w:val="27"/>
          <w:rtl/>
        </w:rPr>
        <w:t>و</w:t>
      </w:r>
      <w:r w:rsidR="008A6097" w:rsidRPr="00904FCB">
        <w:rPr>
          <w:rFonts w:hint="cs"/>
          <w:b/>
          <w:bCs/>
          <w:sz w:val="27"/>
          <w:rtl/>
        </w:rPr>
        <w:t>َ</w:t>
      </w:r>
      <w:r w:rsidRPr="00904FCB">
        <w:rPr>
          <w:rStyle w:val="a6"/>
          <w:rFonts w:asciiTheme="minorBidi" w:hAnsiTheme="minorBidi" w:cs="AL-Mohanad"/>
          <w:b w:val="0"/>
          <w:bCs/>
          <w:sz w:val="27"/>
          <w:rtl/>
        </w:rPr>
        <w:t>لَقَدْ كَرَّمْنا بَني‏ آدَمَ وحَمَلْناهُمْ فِي الْبَرِّ والْبَحْرِ ورَزَقْناهُمْ مِنَ الطَّيِّباتِ وفَضَّلْناهُمْ عَل</w:t>
      </w:r>
      <w:r w:rsidR="008A6097" w:rsidRPr="00904FCB">
        <w:rPr>
          <w:rStyle w:val="a6"/>
          <w:rFonts w:asciiTheme="minorBidi" w:hAnsiTheme="minorBidi" w:cs="AL-Mohanad" w:hint="cs"/>
          <w:b w:val="0"/>
          <w:bCs/>
          <w:sz w:val="27"/>
          <w:rtl/>
        </w:rPr>
        <w:t>َ</w:t>
      </w:r>
      <w:r w:rsidRPr="00904FCB">
        <w:rPr>
          <w:rStyle w:val="a6"/>
          <w:rFonts w:asciiTheme="minorBidi" w:hAnsiTheme="minorBidi" w:cs="AL-Mohanad"/>
          <w:b w:val="0"/>
          <w:bCs/>
          <w:sz w:val="27"/>
          <w:rtl/>
        </w:rPr>
        <w:t>ى‏ كَث</w:t>
      </w:r>
      <w:r w:rsidR="008A6097" w:rsidRPr="00904FCB">
        <w:rPr>
          <w:rStyle w:val="a6"/>
          <w:rFonts w:asciiTheme="minorBidi" w:hAnsiTheme="minorBidi" w:cs="AL-Mohanad" w:hint="cs"/>
          <w:b w:val="0"/>
          <w:bCs/>
          <w:sz w:val="27"/>
          <w:rtl/>
        </w:rPr>
        <w:t>ِ</w:t>
      </w:r>
      <w:r w:rsidRPr="00904FCB">
        <w:rPr>
          <w:rStyle w:val="a6"/>
          <w:rFonts w:asciiTheme="minorBidi" w:hAnsiTheme="minorBidi" w:cs="AL-Mohanad"/>
          <w:b w:val="0"/>
          <w:bCs/>
          <w:sz w:val="27"/>
          <w:rtl/>
        </w:rPr>
        <w:t>يرٍ مِمَّنْ خَلَقْن</w:t>
      </w:r>
      <w:r w:rsidR="008A6097" w:rsidRPr="00904FCB">
        <w:rPr>
          <w:rStyle w:val="a6"/>
          <w:rFonts w:asciiTheme="minorBidi" w:hAnsiTheme="minorBidi" w:cs="AL-Mohanad" w:hint="cs"/>
          <w:b w:val="0"/>
          <w:bCs/>
          <w:sz w:val="27"/>
          <w:rtl/>
        </w:rPr>
        <w:t>َ</w:t>
      </w:r>
      <w:r w:rsidRPr="00904FCB">
        <w:rPr>
          <w:rStyle w:val="a6"/>
          <w:rFonts w:asciiTheme="minorBidi" w:hAnsiTheme="minorBidi" w:cs="AL-Mohanad"/>
          <w:b w:val="0"/>
          <w:bCs/>
          <w:sz w:val="27"/>
          <w:rtl/>
        </w:rPr>
        <w:t>ا تَفْض</w:t>
      </w:r>
      <w:r w:rsidR="008A6097" w:rsidRPr="00904FCB">
        <w:rPr>
          <w:rStyle w:val="a6"/>
          <w:rFonts w:asciiTheme="minorBidi" w:hAnsiTheme="minorBidi" w:cs="AL-Mohanad" w:hint="cs"/>
          <w:b w:val="0"/>
          <w:bCs/>
          <w:sz w:val="27"/>
          <w:rtl/>
        </w:rPr>
        <w:t>ِ</w:t>
      </w:r>
      <w:r w:rsidRPr="00904FCB">
        <w:rPr>
          <w:rStyle w:val="a6"/>
          <w:rFonts w:asciiTheme="minorBidi" w:hAnsiTheme="minorBidi" w:cs="AL-Mohanad"/>
          <w:b w:val="0"/>
          <w:bCs/>
          <w:sz w:val="27"/>
          <w:rtl/>
        </w:rPr>
        <w:t>يلاً</w:t>
      </w:r>
      <w:r w:rsidRPr="00904FCB">
        <w:rPr>
          <w:rFonts w:ascii="Mosawi" w:hAnsi="Mosawi" w:cs="Mosawi"/>
          <w:sz w:val="24"/>
          <w:szCs w:val="24"/>
          <w:rtl/>
        </w:rPr>
        <w:t>﴾</w:t>
      </w:r>
      <w:r w:rsidRPr="00904FCB">
        <w:rPr>
          <w:rStyle w:val="a6"/>
          <w:rFonts w:asciiTheme="minorBidi" w:hAnsiTheme="minorBidi" w:cs="AL-Mohanad" w:hint="cs"/>
          <w:b w:val="0"/>
          <w:sz w:val="27"/>
          <w:rtl/>
        </w:rPr>
        <w:t xml:space="preserve"> (الإسراء: </w:t>
      </w:r>
      <w:r w:rsidRPr="00554592">
        <w:rPr>
          <w:rStyle w:val="a6"/>
          <w:rFonts w:asciiTheme="minorBidi" w:hAnsiTheme="minorBidi" w:cs="AL-Mohanad" w:hint="cs"/>
          <w:b w:val="0"/>
          <w:sz w:val="27"/>
          <w:rtl/>
        </w:rPr>
        <w:t>70</w:t>
      </w:r>
      <w:r w:rsidRPr="00904FCB">
        <w:rPr>
          <w:rStyle w:val="a6"/>
          <w:rFonts w:asciiTheme="minorBidi" w:hAnsiTheme="minorBidi" w:cs="AL-Mohanad" w:hint="cs"/>
          <w:b w:val="0"/>
          <w:sz w:val="27"/>
          <w:rtl/>
        </w:rPr>
        <w:t xml:space="preserve">). </w:t>
      </w:r>
    </w:p>
    <w:p w:rsidR="00EF655F" w:rsidRPr="00904FCB" w:rsidRDefault="00EF655F" w:rsidP="00967105">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 xml:space="preserve">وحيث </w:t>
      </w:r>
      <w:r w:rsidR="008A6097"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ن الأرض وما يوجد عليها يشك</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ل المحيط والبيئة التي يعيش فيها الإنسان</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ويحي</w:t>
      </w:r>
      <w:r w:rsidR="008A6097" w:rsidRPr="00904FCB">
        <w:rPr>
          <w:rStyle w:val="a6"/>
          <w:rFonts w:asciiTheme="minorBidi" w:hAnsiTheme="minorBidi" w:cs="AL-Mohanad" w:hint="cs"/>
          <w:b w:val="0"/>
          <w:sz w:val="27"/>
          <w:rtl/>
        </w:rPr>
        <w:t>ا</w:t>
      </w:r>
      <w:r w:rsidRPr="00904FCB">
        <w:rPr>
          <w:rStyle w:val="a6"/>
          <w:rFonts w:asciiTheme="minorBidi" w:hAnsiTheme="minorBidi" w:cs="AL-Mohanad" w:hint="cs"/>
          <w:b w:val="0"/>
          <w:sz w:val="27"/>
          <w:rtl/>
        </w:rPr>
        <w:t xml:space="preserve"> عليها</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وهي قسم من الن</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ع</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م التي تهم</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النوع</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من دون استثناء</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فإن أي</w:t>
      </w:r>
      <w:r w:rsidR="00967105">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مس</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سلبي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بها يعني تعريض الحياة للخطر، وعلى الحاكم إيجاد القوانين اللازمة لحفظ البيئة وضمان إجرا</w:t>
      </w:r>
      <w:r w:rsidR="008A6097" w:rsidRPr="00904FCB">
        <w:rPr>
          <w:rStyle w:val="a6"/>
          <w:rFonts w:asciiTheme="minorBidi" w:hAnsiTheme="minorBidi" w:cs="AL-Mohanad" w:hint="cs"/>
          <w:b w:val="0"/>
          <w:sz w:val="27"/>
          <w:rtl/>
        </w:rPr>
        <w:t>ئ</w:t>
      </w:r>
      <w:r w:rsidRPr="00904FCB">
        <w:rPr>
          <w:rStyle w:val="a6"/>
          <w:rFonts w:asciiTheme="minorBidi" w:hAnsiTheme="minorBidi" w:cs="AL-Mohanad" w:hint="cs"/>
          <w:b w:val="0"/>
          <w:sz w:val="27"/>
          <w:rtl/>
        </w:rPr>
        <w:t>ها</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وهذا الفعل من الأحكام في حفظ البيئة وضمان سلامتها إنّما هو تقليد</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للأسلوب الحكومي للنبي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الأكرم</w:t>
      </w:r>
      <w:r w:rsidR="00635E51" w:rsidRPr="00904FCB">
        <w:rPr>
          <w:rStyle w:val="a6"/>
          <w:rFonts w:asciiTheme="minorBidi" w:hAnsiTheme="minorBidi" w:hint="cs"/>
          <w:b w:val="0"/>
          <w:sz w:val="27"/>
          <w:szCs w:val="22"/>
          <w:rtl/>
        </w:rPr>
        <w:t>|</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وكذا الإمام علي</w:t>
      </w:r>
      <w:r w:rsidR="008A6097" w:rsidRPr="00904FCB">
        <w:rPr>
          <w:rStyle w:val="a6"/>
          <w:rFonts w:asciiTheme="minorBidi" w:hAnsiTheme="minorBidi" w:cs="AL-Mohanad" w:hint="cs"/>
          <w:b w:val="0"/>
          <w:sz w:val="27"/>
          <w:rtl/>
        </w:rPr>
        <w:t>ّ</w:t>
      </w:r>
      <w:r w:rsidR="001C1A2A" w:rsidRPr="00904FCB">
        <w:rPr>
          <w:rStyle w:val="a6"/>
          <w:rFonts w:asciiTheme="minorBidi" w:hAnsiTheme="minorBidi" w:hint="cs"/>
          <w:b w:val="0"/>
          <w:sz w:val="27"/>
          <w:szCs w:val="22"/>
          <w:rtl/>
        </w:rPr>
        <w:t>×</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وهو في واقع الأمر العهد ال</w:t>
      </w:r>
      <w:r w:rsidR="008A6097"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لهي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الذي كل</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ف فيه الحك</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ام </w:t>
      </w:r>
      <w:r w:rsidR="008A6097" w:rsidRPr="00904FCB">
        <w:rPr>
          <w:rStyle w:val="a6"/>
          <w:rFonts w:asciiTheme="minorBidi" w:hAnsiTheme="minorBidi" w:cs="AL-Mohanad" w:hint="cs"/>
          <w:b w:val="0"/>
          <w:sz w:val="27"/>
          <w:rtl/>
        </w:rPr>
        <w:t>ب</w:t>
      </w:r>
      <w:r w:rsidRPr="00904FCB">
        <w:rPr>
          <w:rStyle w:val="a6"/>
          <w:rFonts w:asciiTheme="minorBidi" w:hAnsiTheme="minorBidi" w:cs="AL-Mohanad" w:hint="cs"/>
          <w:b w:val="0"/>
          <w:sz w:val="27"/>
          <w:rtl/>
        </w:rPr>
        <w:t xml:space="preserve">الابتعاد عن الفساد في الأرض. </w:t>
      </w:r>
    </w:p>
    <w:p w:rsidR="00EF655F" w:rsidRPr="00904FCB" w:rsidRDefault="00EF655F" w:rsidP="00967105">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في تتب</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ع سيرة النبي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w:t>
      </w:r>
      <w:r w:rsidR="008A6097" w:rsidRPr="00904FCB">
        <w:rPr>
          <w:rStyle w:val="a6"/>
          <w:rFonts w:asciiTheme="minorBidi" w:hAnsiTheme="minorBidi" w:cs="AL-Mohanad" w:hint="cs"/>
          <w:b w:val="0"/>
          <w:sz w:val="27"/>
          <w:rtl/>
        </w:rPr>
        <w:t>أ</w:t>
      </w:r>
      <w:r w:rsidRPr="00904FCB">
        <w:rPr>
          <w:rStyle w:val="a6"/>
          <w:rFonts w:asciiTheme="minorBidi" w:hAnsiTheme="minorBidi" w:cs="AL-Mohanad" w:hint="cs"/>
          <w:b w:val="0"/>
          <w:sz w:val="27"/>
          <w:rtl/>
        </w:rPr>
        <w:t>كرم</w:t>
      </w:r>
      <w:r w:rsidR="00635E51" w:rsidRPr="00904FCB">
        <w:rPr>
          <w:rStyle w:val="a6"/>
          <w:rFonts w:asciiTheme="minorBidi" w:hAnsiTheme="minorBidi" w:hint="cs"/>
          <w:b w:val="0"/>
          <w:sz w:val="27"/>
          <w:szCs w:val="22"/>
          <w:rtl/>
        </w:rPr>
        <w:t>|</w:t>
      </w:r>
      <w:r w:rsidRPr="00904FCB">
        <w:rPr>
          <w:rStyle w:val="a6"/>
          <w:rFonts w:asciiTheme="minorBidi" w:hAnsiTheme="minorBidi" w:cs="AL-Mohanad" w:hint="cs"/>
          <w:b w:val="0"/>
          <w:sz w:val="27"/>
          <w:rtl/>
        </w:rPr>
        <w:t xml:space="preserve"> القولية والفعلية في كيفية حث</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ه الأم</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ة على الحفاظ على الطبيعة</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والابتعاد عن إفسادها</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وفي إجرا</w:t>
      </w:r>
      <w:r w:rsidR="008A6097" w:rsidRPr="00904FCB">
        <w:rPr>
          <w:rStyle w:val="a6"/>
          <w:rFonts w:asciiTheme="minorBidi" w:hAnsiTheme="minorBidi" w:cs="AL-Mohanad" w:hint="cs"/>
          <w:b w:val="0"/>
          <w:sz w:val="27"/>
          <w:rtl/>
        </w:rPr>
        <w:t>ئ</w:t>
      </w:r>
      <w:r w:rsidRPr="00904FCB">
        <w:rPr>
          <w:rStyle w:val="a6"/>
          <w:rFonts w:asciiTheme="minorBidi" w:hAnsiTheme="minorBidi" w:cs="AL-Mohanad" w:hint="cs"/>
          <w:b w:val="0"/>
          <w:sz w:val="27"/>
          <w:rtl/>
        </w:rPr>
        <w:t>ه لبعض العقوبات عند التخل</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ف عن هذه الأحكام والتوصيات</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دلالات</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عميقة على أن الحفاظ على البيئة </w:t>
      </w:r>
      <w:r w:rsidRPr="00904FCB">
        <w:rPr>
          <w:rStyle w:val="a6"/>
          <w:rFonts w:asciiTheme="minorBidi" w:hAnsiTheme="minorBidi" w:cs="AL-Mohanad" w:hint="cs"/>
          <w:b w:val="0"/>
          <w:sz w:val="27"/>
          <w:rtl/>
        </w:rPr>
        <w:lastRenderedPageBreak/>
        <w:t>والمحيط الاجتماعي تكليف</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إلهي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وعهد</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رب</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اني</w:t>
      </w:r>
      <w:r w:rsidRPr="00904FCB">
        <w:rPr>
          <w:rStyle w:val="a6"/>
          <w:rFonts w:asciiTheme="minorBidi" w:hAnsiTheme="minorBidi" w:cs="AL-Mohanad"/>
          <w:b w:val="0"/>
          <w:sz w:val="27"/>
          <w:vertAlign w:val="superscript"/>
          <w:rtl/>
        </w:rPr>
        <w:t>(</w:t>
      </w:r>
      <w:r w:rsidRPr="00904FCB">
        <w:rPr>
          <w:rStyle w:val="ac"/>
          <w:rFonts w:asciiTheme="minorBidi" w:hAnsiTheme="minorBidi"/>
          <w:sz w:val="27"/>
          <w:rtl/>
        </w:rPr>
        <w:endnoteReference w:id="567"/>
      </w:r>
      <w:r w:rsidRPr="00904FCB">
        <w:rPr>
          <w:rStyle w:val="a6"/>
          <w:rFonts w:asciiTheme="minorBidi" w:hAnsiTheme="minorBidi" w:cs="AL-Mohanad"/>
          <w:b w:val="0"/>
          <w:sz w:val="27"/>
          <w:vertAlign w:val="superscript"/>
          <w:rtl/>
        </w:rPr>
        <w:t>)</w:t>
      </w:r>
      <w:r w:rsidRPr="00904FCB">
        <w:rPr>
          <w:rStyle w:val="a6"/>
          <w:rFonts w:asciiTheme="minorBidi" w:hAnsiTheme="minorBidi" w:cs="AL-Mohanad" w:hint="cs"/>
          <w:b w:val="0"/>
          <w:sz w:val="27"/>
          <w:rtl/>
        </w:rPr>
        <w:t>. ر</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وي عن النبي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w:t>
      </w:r>
      <w:r w:rsidR="008A6097" w:rsidRPr="00904FCB">
        <w:rPr>
          <w:rStyle w:val="a6"/>
          <w:rFonts w:asciiTheme="minorBidi" w:hAnsiTheme="minorBidi" w:cs="AL-Mohanad" w:hint="cs"/>
          <w:b w:val="0"/>
          <w:sz w:val="27"/>
          <w:rtl/>
        </w:rPr>
        <w:t>أ</w:t>
      </w:r>
      <w:r w:rsidRPr="00904FCB">
        <w:rPr>
          <w:rStyle w:val="a6"/>
          <w:rFonts w:asciiTheme="minorBidi" w:hAnsiTheme="minorBidi" w:cs="AL-Mohanad" w:hint="cs"/>
          <w:b w:val="0"/>
          <w:sz w:val="27"/>
          <w:rtl/>
        </w:rPr>
        <w:t>كرم</w:t>
      </w:r>
      <w:r w:rsidR="00635E51" w:rsidRPr="00904FCB">
        <w:rPr>
          <w:rStyle w:val="a6"/>
          <w:rFonts w:asciiTheme="minorBidi" w:hAnsiTheme="minorBidi" w:hint="cs"/>
          <w:b w:val="0"/>
          <w:sz w:val="27"/>
          <w:szCs w:val="22"/>
          <w:rtl/>
        </w:rPr>
        <w:t>|</w:t>
      </w:r>
      <w:r w:rsidRPr="00904FCB">
        <w:rPr>
          <w:rStyle w:val="a6"/>
          <w:rFonts w:asciiTheme="minorBidi" w:hAnsiTheme="minorBidi" w:cs="AL-Mohanad" w:hint="cs"/>
          <w:b w:val="0"/>
          <w:sz w:val="27"/>
          <w:rtl/>
        </w:rPr>
        <w:t xml:space="preserve"> أنه قال: </w:t>
      </w:r>
      <w:r w:rsidRPr="00904FCB">
        <w:rPr>
          <w:rFonts w:hint="eastAsia"/>
          <w:sz w:val="27"/>
          <w:rtl/>
        </w:rPr>
        <w:t>«</w:t>
      </w:r>
      <w:r w:rsidRPr="00904FCB">
        <w:rPr>
          <w:rStyle w:val="a6"/>
          <w:rFonts w:asciiTheme="minorBidi" w:hAnsiTheme="minorBidi" w:cs="AL-Mohanad" w:hint="cs"/>
          <w:b w:val="0"/>
          <w:sz w:val="27"/>
          <w:rtl/>
        </w:rPr>
        <w:t>لا تقطعوا الثمار</w:t>
      </w:r>
      <w:r w:rsidRPr="00904FCB">
        <w:rPr>
          <w:rStyle w:val="a6"/>
          <w:rFonts w:asciiTheme="minorBidi" w:hAnsiTheme="minorBidi" w:cs="AL-Mohanad"/>
          <w:b w:val="0"/>
          <w:sz w:val="27"/>
          <w:vertAlign w:val="superscript"/>
          <w:rtl/>
        </w:rPr>
        <w:t>(</w:t>
      </w:r>
      <w:r w:rsidRPr="00904FCB">
        <w:rPr>
          <w:rStyle w:val="ac"/>
          <w:rFonts w:asciiTheme="minorBidi" w:hAnsiTheme="minorBidi"/>
          <w:sz w:val="27"/>
          <w:rtl/>
        </w:rPr>
        <w:endnoteReference w:id="568"/>
      </w:r>
      <w:r w:rsidRPr="00904FCB">
        <w:rPr>
          <w:rStyle w:val="a6"/>
          <w:rFonts w:asciiTheme="minorBidi" w:hAnsiTheme="minorBidi" w:cs="AL-Mohanad"/>
          <w:b w:val="0"/>
          <w:sz w:val="27"/>
          <w:vertAlign w:val="superscript"/>
          <w:rtl/>
        </w:rPr>
        <w:t>)</w:t>
      </w:r>
      <w:r w:rsidRPr="00904FCB">
        <w:rPr>
          <w:rStyle w:val="a6"/>
          <w:rFonts w:asciiTheme="minorBidi" w:hAnsiTheme="minorBidi" w:cs="AL-Mohanad" w:hint="cs"/>
          <w:b w:val="0"/>
          <w:sz w:val="27"/>
          <w:rtl/>
        </w:rPr>
        <w:t xml:space="preserve"> فيصب</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الله عليكم العذاب صبّا</w:t>
      </w:r>
      <w:r w:rsidR="008A6097" w:rsidRPr="00904FCB">
        <w:rPr>
          <w:rFonts w:hint="cs"/>
          <w:sz w:val="27"/>
          <w:rtl/>
        </w:rPr>
        <w:t>ً</w:t>
      </w:r>
      <w:r w:rsidRPr="00904FCB">
        <w:rPr>
          <w:rFonts w:hint="eastAsia"/>
          <w:sz w:val="27"/>
          <w:rtl/>
        </w:rPr>
        <w:t>»</w:t>
      </w:r>
      <w:r w:rsidRPr="00904FCB">
        <w:rPr>
          <w:rStyle w:val="a6"/>
          <w:rFonts w:asciiTheme="minorBidi" w:hAnsiTheme="minorBidi" w:cs="AL-Mohanad"/>
          <w:b w:val="0"/>
          <w:sz w:val="27"/>
          <w:vertAlign w:val="superscript"/>
          <w:rtl/>
        </w:rPr>
        <w:t>(</w:t>
      </w:r>
      <w:r w:rsidRPr="00904FCB">
        <w:rPr>
          <w:rStyle w:val="ac"/>
          <w:rFonts w:asciiTheme="minorBidi" w:hAnsiTheme="minorBidi"/>
          <w:sz w:val="27"/>
          <w:rtl/>
        </w:rPr>
        <w:endnoteReference w:id="569"/>
      </w:r>
      <w:r w:rsidRPr="00904FCB">
        <w:rPr>
          <w:rStyle w:val="a6"/>
          <w:rFonts w:asciiTheme="minorBidi" w:hAnsiTheme="minorBidi" w:cs="AL-Mohanad"/>
          <w:b w:val="0"/>
          <w:sz w:val="27"/>
          <w:vertAlign w:val="superscript"/>
          <w:rtl/>
        </w:rPr>
        <w:t>)</w:t>
      </w:r>
      <w:r w:rsidRPr="00904FCB">
        <w:rPr>
          <w:rStyle w:val="a6"/>
          <w:rFonts w:asciiTheme="minorBidi" w:hAnsiTheme="minorBidi" w:cs="AL-Mohanad" w:hint="cs"/>
          <w:b w:val="0"/>
          <w:sz w:val="27"/>
          <w:rtl/>
        </w:rPr>
        <w:t>. والظاهر أن النهي في هذا الحديث نهي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حكومي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حيث </w:t>
      </w:r>
      <w:r w:rsidR="008A6097"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ن التخل</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ف عنه يستوجب العذاب ال</w:t>
      </w:r>
      <w:r w:rsidR="008A6097"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 xml:space="preserve">لهي. </w:t>
      </w:r>
    </w:p>
    <w:p w:rsidR="00EF655F" w:rsidRPr="00904FCB" w:rsidRDefault="00EF655F" w:rsidP="007A21AA">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وكذلك هناك روايات متعد</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دة عن الإمام الصادق</w:t>
      </w:r>
      <w:r w:rsidR="001C1A2A" w:rsidRPr="00904FCB">
        <w:rPr>
          <w:rStyle w:val="a6"/>
          <w:rFonts w:asciiTheme="minorBidi" w:hAnsiTheme="minorBidi" w:hint="cs"/>
          <w:b w:val="0"/>
          <w:sz w:val="27"/>
          <w:szCs w:val="22"/>
          <w:rtl/>
        </w:rPr>
        <w:t>×</w:t>
      </w:r>
      <w:r w:rsidRPr="00904FCB">
        <w:rPr>
          <w:rStyle w:val="a6"/>
          <w:rFonts w:asciiTheme="minorBidi" w:hAnsiTheme="minorBidi" w:cs="AL-Mohanad" w:hint="cs"/>
          <w:b w:val="0"/>
          <w:sz w:val="27"/>
          <w:rtl/>
        </w:rPr>
        <w:t xml:space="preserve"> يبي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ن فيها سيرة النبي</w:t>
      </w:r>
      <w:r w:rsidR="00967105">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الأكرم</w:t>
      </w:r>
      <w:r w:rsidR="00635E51" w:rsidRPr="00904FCB">
        <w:rPr>
          <w:rStyle w:val="a6"/>
          <w:rFonts w:asciiTheme="minorBidi" w:hAnsiTheme="minorBidi" w:hint="cs"/>
          <w:b w:val="0"/>
          <w:sz w:val="27"/>
          <w:szCs w:val="22"/>
          <w:rtl/>
        </w:rPr>
        <w:t>|</w:t>
      </w:r>
      <w:r w:rsidRPr="00904FCB">
        <w:rPr>
          <w:rStyle w:val="a6"/>
          <w:rFonts w:asciiTheme="minorBidi" w:hAnsiTheme="minorBidi" w:cs="AL-Mohanad" w:hint="cs"/>
          <w:b w:val="0"/>
          <w:sz w:val="27"/>
          <w:rtl/>
        </w:rPr>
        <w:t xml:space="preserve"> والإمام علي</w:t>
      </w:r>
      <w:r w:rsidR="008A6097" w:rsidRPr="00904FCB">
        <w:rPr>
          <w:rStyle w:val="a6"/>
          <w:rFonts w:asciiTheme="minorBidi" w:hAnsiTheme="minorBidi" w:cs="AL-Mohanad" w:hint="cs"/>
          <w:b w:val="0"/>
          <w:sz w:val="27"/>
          <w:rtl/>
        </w:rPr>
        <w:t>ّ</w:t>
      </w:r>
      <w:r w:rsidR="001C1A2A" w:rsidRPr="00904FCB">
        <w:rPr>
          <w:rStyle w:val="a6"/>
          <w:rFonts w:asciiTheme="minorBidi" w:hAnsiTheme="minorBidi" w:hint="cs"/>
          <w:b w:val="0"/>
          <w:sz w:val="27"/>
          <w:szCs w:val="22"/>
          <w:rtl/>
        </w:rPr>
        <w:t>×</w:t>
      </w:r>
      <w:r w:rsidRPr="00904FCB">
        <w:rPr>
          <w:rStyle w:val="a6"/>
          <w:rFonts w:asciiTheme="minorBidi" w:hAnsiTheme="minorBidi" w:cs="AL-Mohanad" w:hint="cs"/>
          <w:b w:val="0"/>
          <w:sz w:val="27"/>
          <w:rtl/>
        </w:rPr>
        <w:t xml:space="preserve"> في تعاملهم مع الطبيعة</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حيث كان ال</w:t>
      </w:r>
      <w:r w:rsidR="008A6097"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مام علي</w:t>
      </w:r>
      <w:r w:rsidR="001C1A2A" w:rsidRPr="00904FCB">
        <w:rPr>
          <w:rStyle w:val="a6"/>
          <w:rFonts w:asciiTheme="minorBidi" w:hAnsiTheme="minorBidi" w:hint="cs"/>
          <w:b w:val="0"/>
          <w:sz w:val="27"/>
          <w:szCs w:val="22"/>
          <w:rtl/>
        </w:rPr>
        <w:t>×</w:t>
      </w:r>
      <w:r w:rsidRPr="00904FCB">
        <w:rPr>
          <w:rStyle w:val="a6"/>
          <w:rFonts w:asciiTheme="minorBidi" w:hAnsiTheme="minorBidi" w:cs="AL-Mohanad" w:hint="cs"/>
          <w:b w:val="0"/>
          <w:sz w:val="27"/>
          <w:rtl/>
        </w:rPr>
        <w:t xml:space="preserve"> يقلب الأرض بالمجرفة</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لتخرج نباتها</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وكان النبي</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الأكرم</w:t>
      </w:r>
      <w:r w:rsidR="00635E51" w:rsidRPr="00904FCB">
        <w:rPr>
          <w:rStyle w:val="a6"/>
          <w:rFonts w:asciiTheme="minorBidi" w:hAnsiTheme="minorBidi" w:hint="cs"/>
          <w:b w:val="0"/>
          <w:sz w:val="27"/>
          <w:szCs w:val="22"/>
          <w:rtl/>
        </w:rPr>
        <w:t>|</w:t>
      </w:r>
      <w:r w:rsidRPr="00904FCB">
        <w:rPr>
          <w:rStyle w:val="a6"/>
          <w:rFonts w:asciiTheme="minorBidi" w:hAnsiTheme="minorBidi" w:cs="AL-Mohanad" w:hint="cs"/>
          <w:b w:val="0"/>
          <w:sz w:val="27"/>
          <w:rtl/>
        </w:rPr>
        <w:t xml:space="preserve"> يرط</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ب علف التمر بماء فمه الشريف ثم</w:t>
      </w:r>
      <w:r w:rsidR="008A6097"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يغرسها في ال</w:t>
      </w:r>
      <w:r w:rsidR="008A6097" w:rsidRPr="00904FCB">
        <w:rPr>
          <w:rStyle w:val="a6"/>
          <w:rFonts w:asciiTheme="minorBidi" w:hAnsiTheme="minorBidi" w:cs="AL-Mohanad" w:hint="cs"/>
          <w:b w:val="0"/>
          <w:sz w:val="27"/>
          <w:rtl/>
        </w:rPr>
        <w:t>أ</w:t>
      </w:r>
      <w:r w:rsidRPr="00904FCB">
        <w:rPr>
          <w:rStyle w:val="a6"/>
          <w:rFonts w:asciiTheme="minorBidi" w:hAnsiTheme="minorBidi" w:cs="AL-Mohanad" w:hint="cs"/>
          <w:b w:val="0"/>
          <w:sz w:val="27"/>
          <w:rtl/>
        </w:rPr>
        <w:t>رض</w:t>
      </w:r>
      <w:r w:rsidRPr="00904FCB">
        <w:rPr>
          <w:rStyle w:val="a6"/>
          <w:rFonts w:asciiTheme="minorBidi" w:hAnsiTheme="minorBidi" w:cs="AL-Mohanad"/>
          <w:b w:val="0"/>
          <w:sz w:val="27"/>
          <w:vertAlign w:val="superscript"/>
          <w:rtl/>
        </w:rPr>
        <w:t>(</w:t>
      </w:r>
      <w:r w:rsidRPr="00904FCB">
        <w:rPr>
          <w:rStyle w:val="ac"/>
          <w:rFonts w:asciiTheme="minorBidi" w:hAnsiTheme="minorBidi"/>
          <w:sz w:val="27"/>
          <w:rtl/>
        </w:rPr>
        <w:endnoteReference w:id="570"/>
      </w:r>
      <w:r w:rsidRPr="00904FCB">
        <w:rPr>
          <w:rStyle w:val="a6"/>
          <w:rFonts w:asciiTheme="minorBidi" w:hAnsiTheme="minorBidi" w:cs="AL-Mohanad"/>
          <w:b w:val="0"/>
          <w:sz w:val="27"/>
          <w:vertAlign w:val="superscript"/>
          <w:rtl/>
        </w:rPr>
        <w:t>)</w:t>
      </w:r>
      <w:r w:rsidRPr="00904FCB">
        <w:rPr>
          <w:rStyle w:val="a6"/>
          <w:rFonts w:asciiTheme="minorBidi" w:hAnsiTheme="minorBidi" w:cs="AL-Mohanad" w:hint="cs"/>
          <w:b w:val="0"/>
          <w:sz w:val="27"/>
          <w:rtl/>
        </w:rPr>
        <w:t xml:space="preserve">. </w:t>
      </w:r>
    </w:p>
    <w:p w:rsidR="00EF655F" w:rsidRPr="00904FCB" w:rsidRDefault="00EF655F" w:rsidP="007A21AA">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ومما ضم</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نه ال</w:t>
      </w:r>
      <w:r w:rsidR="00AA4115"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مام علي</w:t>
      </w:r>
      <w:r w:rsidR="00AA4115" w:rsidRPr="00904FCB">
        <w:rPr>
          <w:rStyle w:val="a6"/>
          <w:rFonts w:asciiTheme="minorBidi" w:hAnsiTheme="minorBidi" w:cs="AL-Mohanad" w:hint="cs"/>
          <w:b w:val="0"/>
          <w:sz w:val="27"/>
          <w:rtl/>
        </w:rPr>
        <w:t>ّ</w:t>
      </w:r>
      <w:r w:rsidR="001C1A2A" w:rsidRPr="00904FCB">
        <w:rPr>
          <w:rStyle w:val="a6"/>
          <w:rFonts w:asciiTheme="minorBidi" w:hAnsiTheme="minorBidi" w:hint="cs"/>
          <w:b w:val="0"/>
          <w:sz w:val="27"/>
          <w:szCs w:val="22"/>
          <w:rtl/>
        </w:rPr>
        <w:t>×</w:t>
      </w:r>
      <w:r w:rsidRPr="00904FCB">
        <w:rPr>
          <w:rStyle w:val="a6"/>
          <w:rFonts w:asciiTheme="minorBidi" w:hAnsiTheme="minorBidi" w:cs="AL-Mohanad" w:hint="cs"/>
          <w:b w:val="0"/>
          <w:sz w:val="27"/>
          <w:rtl/>
        </w:rPr>
        <w:t xml:space="preserve"> في رسالته لمالك الأشتر حين ولا</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ه مصرا</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w:t>
      </w:r>
      <w:r w:rsidR="00AA4115" w:rsidRPr="00904FCB">
        <w:rPr>
          <w:rFonts w:hint="eastAsia"/>
          <w:sz w:val="27"/>
          <w:rtl/>
        </w:rPr>
        <w:t>«</w:t>
      </w:r>
      <w:r w:rsidRPr="00904FCB">
        <w:rPr>
          <w:rStyle w:val="a6"/>
          <w:rFonts w:asciiTheme="minorBidi" w:hAnsiTheme="minorBidi" w:cs="AL-Mohanad" w:hint="cs"/>
          <w:b w:val="0"/>
          <w:sz w:val="27"/>
          <w:rtl/>
        </w:rPr>
        <w:t>وليكن نظرك في عمارة الأرض أبلغ من نظرك في استجلاب الخراج</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لأن ذلك لا يُد</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ر</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ك إلا</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بالعمارة...</w:t>
      </w:r>
      <w:r w:rsidR="00AA4115" w:rsidRPr="00904FCB">
        <w:rPr>
          <w:rFonts w:hint="eastAsia"/>
          <w:sz w:val="27"/>
          <w:rtl/>
        </w:rPr>
        <w:t>»</w:t>
      </w:r>
      <w:r w:rsidRPr="00904FCB">
        <w:rPr>
          <w:rStyle w:val="a6"/>
          <w:rFonts w:asciiTheme="minorBidi" w:hAnsiTheme="minorBidi" w:cs="AL-Mohanad"/>
          <w:b w:val="0"/>
          <w:sz w:val="27"/>
          <w:vertAlign w:val="superscript"/>
          <w:rtl/>
        </w:rPr>
        <w:t>(</w:t>
      </w:r>
      <w:r w:rsidRPr="00904FCB">
        <w:rPr>
          <w:rStyle w:val="ac"/>
          <w:rFonts w:asciiTheme="minorBidi" w:hAnsiTheme="minorBidi"/>
          <w:sz w:val="27"/>
          <w:rtl/>
        </w:rPr>
        <w:endnoteReference w:id="571"/>
      </w:r>
      <w:r w:rsidRPr="00904FCB">
        <w:rPr>
          <w:rStyle w:val="a6"/>
          <w:rFonts w:asciiTheme="minorBidi" w:hAnsiTheme="minorBidi" w:cs="AL-Mohanad"/>
          <w:b w:val="0"/>
          <w:sz w:val="27"/>
          <w:vertAlign w:val="superscript"/>
          <w:rtl/>
        </w:rPr>
        <w:t>)</w:t>
      </w:r>
      <w:r w:rsidRPr="00904FCB">
        <w:rPr>
          <w:rStyle w:val="a6"/>
          <w:rFonts w:asciiTheme="minorBidi" w:hAnsiTheme="minorBidi" w:cs="AL-Mohanad" w:hint="cs"/>
          <w:b w:val="0"/>
          <w:sz w:val="27"/>
          <w:rtl/>
        </w:rPr>
        <w:t xml:space="preserve">. </w:t>
      </w:r>
    </w:p>
    <w:p w:rsidR="00EF655F" w:rsidRPr="00904FCB" w:rsidRDefault="00EF655F" w:rsidP="007A21AA">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فال</w:t>
      </w:r>
      <w:r w:rsidR="00AA4115"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مام علي كان يرى أن وظيفة الحاكم الشرعي الأولى هي بناء وعمارة الأرض</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ولا تقتصر مهمته </w:t>
      </w:r>
      <w:r w:rsidR="00AA4115" w:rsidRPr="00904FCB">
        <w:rPr>
          <w:rStyle w:val="a6"/>
          <w:rFonts w:asciiTheme="minorBidi" w:hAnsiTheme="minorBidi" w:cs="AL-Mohanad" w:hint="cs"/>
          <w:b w:val="0"/>
          <w:sz w:val="27"/>
          <w:rtl/>
        </w:rPr>
        <w:t>على</w:t>
      </w:r>
      <w:r w:rsidRPr="00904FCB">
        <w:rPr>
          <w:rStyle w:val="a6"/>
          <w:rFonts w:asciiTheme="minorBidi" w:hAnsiTheme="minorBidi" w:cs="AL-Mohanad" w:hint="cs"/>
          <w:b w:val="0"/>
          <w:sz w:val="27"/>
          <w:rtl/>
        </w:rPr>
        <w:t xml:space="preserve"> مل</w:t>
      </w:r>
      <w:r w:rsidR="00AA4115" w:rsidRPr="00904FCB">
        <w:rPr>
          <w:rStyle w:val="a6"/>
          <w:rFonts w:asciiTheme="minorBidi" w:hAnsiTheme="minorBidi" w:cs="AL-Mohanad" w:hint="cs"/>
          <w:b w:val="0"/>
          <w:sz w:val="27"/>
          <w:rtl/>
        </w:rPr>
        <w:t>ء</w:t>
      </w:r>
      <w:r w:rsidRPr="00904FCB">
        <w:rPr>
          <w:rStyle w:val="a6"/>
          <w:rFonts w:asciiTheme="minorBidi" w:hAnsiTheme="minorBidi" w:cs="AL-Mohanad" w:hint="cs"/>
          <w:b w:val="0"/>
          <w:sz w:val="27"/>
          <w:rtl/>
        </w:rPr>
        <w:t xml:space="preserve"> خزانة الدولة فقط. وبما أن نظام الحكم في إيران هو حاكمية الولي الفقيه أصبح ضروريا</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أخذ التدابير اللازمة لمنع ووقف </w:t>
      </w:r>
      <w:r w:rsidRPr="00904FCB">
        <w:rPr>
          <w:rFonts w:hint="eastAsia"/>
          <w:sz w:val="27"/>
          <w:rtl/>
        </w:rPr>
        <w:t>«</w:t>
      </w:r>
      <w:r w:rsidRPr="00904FCB">
        <w:rPr>
          <w:rStyle w:val="a6"/>
          <w:rFonts w:asciiTheme="minorBidi" w:hAnsiTheme="minorBidi" w:cs="AL-Mohanad" w:hint="cs"/>
          <w:b w:val="0"/>
          <w:sz w:val="27"/>
          <w:rtl/>
        </w:rPr>
        <w:t>الفساد في الأرض</w:t>
      </w:r>
      <w:r w:rsidRPr="00904FCB">
        <w:rPr>
          <w:rFonts w:hint="eastAsia"/>
          <w:sz w:val="27"/>
          <w:rtl/>
        </w:rPr>
        <w:t>»</w:t>
      </w:r>
      <w:r w:rsidRPr="00904FCB">
        <w:rPr>
          <w:rStyle w:val="a6"/>
          <w:rFonts w:asciiTheme="minorBidi" w:hAnsiTheme="minorBidi" w:cs="AL-Mohanad" w:hint="cs"/>
          <w:b w:val="0"/>
          <w:sz w:val="27"/>
          <w:rtl/>
        </w:rPr>
        <w:t xml:space="preserve">. </w:t>
      </w:r>
    </w:p>
    <w:p w:rsidR="00EF655F" w:rsidRPr="00904FCB" w:rsidRDefault="00EF655F" w:rsidP="00FA61F4">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إن الهدف ال</w:t>
      </w:r>
      <w:r w:rsidR="00AA4115" w:rsidRPr="00904FCB">
        <w:rPr>
          <w:rStyle w:val="a6"/>
          <w:rFonts w:asciiTheme="minorBidi" w:hAnsiTheme="minorBidi" w:cs="AL-Mohanad" w:hint="cs"/>
          <w:b w:val="0"/>
          <w:sz w:val="27"/>
          <w:rtl/>
        </w:rPr>
        <w:t>أ</w:t>
      </w:r>
      <w:r w:rsidRPr="00904FCB">
        <w:rPr>
          <w:rStyle w:val="a6"/>
          <w:rFonts w:asciiTheme="minorBidi" w:hAnsiTheme="minorBidi" w:cs="AL-Mohanad" w:hint="cs"/>
          <w:b w:val="0"/>
          <w:sz w:val="27"/>
          <w:rtl/>
        </w:rPr>
        <w:t>ساس للدولة ال</w:t>
      </w:r>
      <w:r w:rsidR="00AA4115"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سلامية في قطاع المحيط والبيئة</w:t>
      </w:r>
      <w:r w:rsidR="00AA4115" w:rsidRPr="00904FCB">
        <w:rPr>
          <w:rStyle w:val="a6"/>
          <w:rFonts w:asciiTheme="minorBidi" w:hAnsiTheme="minorBidi" w:cs="AL-Mohanad" w:hint="cs"/>
          <w:b w:val="0"/>
          <w:sz w:val="27"/>
          <w:rtl/>
        </w:rPr>
        <w:t xml:space="preserve"> هو</w:t>
      </w:r>
      <w:r w:rsidRPr="00904FCB">
        <w:rPr>
          <w:rStyle w:val="a6"/>
          <w:rFonts w:asciiTheme="minorBidi" w:hAnsiTheme="minorBidi" w:cs="AL-Mohanad" w:hint="cs"/>
          <w:b w:val="0"/>
          <w:sz w:val="27"/>
          <w:rtl/>
        </w:rPr>
        <w:t xml:space="preserve"> ضمان الاستمرار والاستفادة العادلة والفاعلة من ا</w:t>
      </w:r>
      <w:r w:rsidR="00AA4115" w:rsidRPr="00904FCB">
        <w:rPr>
          <w:rStyle w:val="a6"/>
          <w:rFonts w:asciiTheme="minorBidi" w:hAnsiTheme="minorBidi" w:cs="AL-Mohanad" w:hint="cs"/>
          <w:b w:val="0"/>
          <w:sz w:val="27"/>
          <w:rtl/>
        </w:rPr>
        <w:t>ل</w:t>
      </w:r>
      <w:r w:rsidRPr="00904FCB">
        <w:rPr>
          <w:rStyle w:val="a6"/>
          <w:rFonts w:asciiTheme="minorBidi" w:hAnsiTheme="minorBidi" w:cs="AL-Mohanad" w:hint="cs"/>
          <w:b w:val="0"/>
          <w:sz w:val="27"/>
          <w:rtl/>
        </w:rPr>
        <w:t>مصادر الطبيع</w:t>
      </w:r>
      <w:r w:rsidR="00AA4115" w:rsidRPr="00904FCB">
        <w:rPr>
          <w:rStyle w:val="a6"/>
          <w:rFonts w:asciiTheme="minorBidi" w:hAnsiTheme="minorBidi" w:cs="AL-Mohanad" w:hint="cs"/>
          <w:b w:val="0"/>
          <w:sz w:val="27"/>
          <w:rtl/>
        </w:rPr>
        <w:t>ي</w:t>
      </w:r>
      <w:r w:rsidRPr="00904FCB">
        <w:rPr>
          <w:rStyle w:val="a6"/>
          <w:rFonts w:asciiTheme="minorBidi" w:hAnsiTheme="minorBidi" w:cs="AL-Mohanad" w:hint="cs"/>
          <w:b w:val="0"/>
          <w:sz w:val="27"/>
          <w:rtl/>
        </w:rPr>
        <w:t xml:space="preserve">ة. </w:t>
      </w:r>
      <w:r w:rsidR="00AA4115" w:rsidRPr="00904FCB">
        <w:rPr>
          <w:rStyle w:val="a6"/>
          <w:rFonts w:asciiTheme="minorBidi" w:hAnsiTheme="minorBidi" w:cs="AL-Mohanad" w:hint="cs"/>
          <w:b w:val="0"/>
          <w:sz w:val="27"/>
          <w:rtl/>
        </w:rPr>
        <w:t>و</w:t>
      </w:r>
      <w:r w:rsidRPr="00904FCB">
        <w:rPr>
          <w:rStyle w:val="a6"/>
          <w:rFonts w:asciiTheme="minorBidi" w:hAnsiTheme="minorBidi" w:cs="AL-Mohanad" w:hint="cs"/>
          <w:b w:val="0"/>
          <w:sz w:val="27"/>
          <w:rtl/>
        </w:rPr>
        <w:t>لهذا كانت فعاليات الدولة والحكومة ال</w:t>
      </w:r>
      <w:r w:rsidR="00AA4115"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سلامية ضمن أربعة محاور أساسية</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التخطيط والبرمجة</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التشريع</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الإشراف والمراقبة</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والملكية العام</w:t>
      </w:r>
      <w:r w:rsidR="00AA4115"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ة. وفق هذا الرباعي ال</w:t>
      </w:r>
      <w:r w:rsidR="00AA4115"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 xml:space="preserve">جرائي جاءت وظائف الحكومة بالشكل التالي: </w:t>
      </w:r>
    </w:p>
    <w:p w:rsidR="00EF655F" w:rsidRPr="00554592" w:rsidRDefault="00EF655F" w:rsidP="007A21AA">
      <w:pPr>
        <w:spacing w:line="400" w:lineRule="exact"/>
        <w:rPr>
          <w:rStyle w:val="a6"/>
          <w:rFonts w:asciiTheme="minorBidi" w:hAnsiTheme="minorBidi" w:cs="AL-Mohanad"/>
          <w:b w:val="0"/>
          <w:bCs/>
          <w:sz w:val="27"/>
          <w:rtl/>
        </w:rPr>
      </w:pPr>
      <w:r w:rsidRPr="00554592">
        <w:rPr>
          <w:rStyle w:val="a6"/>
          <w:rFonts w:asciiTheme="minorBidi" w:hAnsiTheme="minorBidi" w:cs="AL-Mohanad" w:hint="cs"/>
          <w:b w:val="0"/>
          <w:sz w:val="27"/>
          <w:rtl/>
        </w:rPr>
        <w:t>1ـ سن</w:t>
      </w:r>
      <w:r w:rsidR="00AA4115"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 xml:space="preserve"> قوانين المحيط والبيئة وفق الأصول والمقر</w:t>
      </w:r>
      <w:r w:rsidR="00AA4115"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 xml:space="preserve">رات الشرعية. </w:t>
      </w:r>
    </w:p>
    <w:p w:rsidR="00EF655F" w:rsidRPr="00554592" w:rsidRDefault="00EF655F" w:rsidP="007A21AA">
      <w:pPr>
        <w:spacing w:line="400" w:lineRule="exact"/>
        <w:rPr>
          <w:rStyle w:val="a6"/>
          <w:rFonts w:asciiTheme="minorBidi" w:hAnsiTheme="minorBidi" w:cs="AL-Mohanad"/>
          <w:b w:val="0"/>
          <w:bCs/>
          <w:sz w:val="27"/>
          <w:rtl/>
        </w:rPr>
      </w:pPr>
      <w:r w:rsidRPr="00554592">
        <w:rPr>
          <w:rStyle w:val="a6"/>
          <w:rFonts w:asciiTheme="minorBidi" w:hAnsiTheme="minorBidi" w:cs="AL-Mohanad" w:hint="cs"/>
          <w:b w:val="0"/>
          <w:sz w:val="27"/>
          <w:rtl/>
        </w:rPr>
        <w:t>2ـ تنفيذ القوانين الخاصة بمتابعة المفسدين للمجال الطبيعي</w:t>
      </w:r>
      <w:r w:rsidR="00AA4115"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 xml:space="preserve"> لأجل حفظ المصلحة العامة. </w:t>
      </w:r>
    </w:p>
    <w:p w:rsidR="00EF655F" w:rsidRPr="00554592" w:rsidRDefault="00EF655F" w:rsidP="007A21AA">
      <w:pPr>
        <w:spacing w:line="400" w:lineRule="exact"/>
        <w:rPr>
          <w:rStyle w:val="a6"/>
          <w:rFonts w:asciiTheme="minorBidi" w:hAnsiTheme="minorBidi" w:cs="AL-Mohanad"/>
          <w:b w:val="0"/>
          <w:bCs/>
          <w:sz w:val="27"/>
          <w:rtl/>
        </w:rPr>
      </w:pPr>
      <w:r w:rsidRPr="00554592">
        <w:rPr>
          <w:rStyle w:val="a6"/>
          <w:rFonts w:asciiTheme="minorBidi" w:hAnsiTheme="minorBidi" w:cs="AL-Mohanad" w:hint="cs"/>
          <w:b w:val="0"/>
          <w:sz w:val="27"/>
          <w:rtl/>
        </w:rPr>
        <w:t>3ـ إدراج مواضيع البيئة وأخلاقيات البيئة ضمن البرامج التعليمية والتربوية</w:t>
      </w:r>
      <w:r w:rsidR="000A376C"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 xml:space="preserve"> ونشر الوعي البيئي وفق أسس التعاليم ال</w:t>
      </w:r>
      <w:r w:rsidR="000A376C" w:rsidRPr="00554592">
        <w:rPr>
          <w:rStyle w:val="a6"/>
          <w:rFonts w:asciiTheme="minorBidi" w:hAnsiTheme="minorBidi" w:cs="AL-Mohanad" w:hint="cs"/>
          <w:b w:val="0"/>
          <w:sz w:val="27"/>
          <w:rtl/>
        </w:rPr>
        <w:t>إ</w:t>
      </w:r>
      <w:r w:rsidRPr="00554592">
        <w:rPr>
          <w:rStyle w:val="a6"/>
          <w:rFonts w:asciiTheme="minorBidi" w:hAnsiTheme="minorBidi" w:cs="AL-Mohanad" w:hint="cs"/>
          <w:b w:val="0"/>
          <w:sz w:val="27"/>
          <w:rtl/>
        </w:rPr>
        <w:t xml:space="preserve">سلامية. </w:t>
      </w:r>
    </w:p>
    <w:p w:rsidR="00EF655F" w:rsidRPr="00904FCB" w:rsidRDefault="00EF655F" w:rsidP="00FA61F4">
      <w:pPr>
        <w:spacing w:line="400" w:lineRule="exact"/>
        <w:rPr>
          <w:rStyle w:val="a6"/>
          <w:rFonts w:asciiTheme="minorBidi" w:hAnsiTheme="minorBidi" w:cs="AL-Mohanad"/>
          <w:b w:val="0"/>
          <w:bCs/>
          <w:sz w:val="27"/>
          <w:rtl/>
        </w:rPr>
      </w:pPr>
      <w:r w:rsidRPr="00554592">
        <w:rPr>
          <w:rStyle w:val="a6"/>
          <w:rFonts w:asciiTheme="minorBidi" w:hAnsiTheme="minorBidi" w:cs="AL-Mohanad" w:hint="cs"/>
          <w:b w:val="0"/>
          <w:sz w:val="27"/>
          <w:rtl/>
        </w:rPr>
        <w:t xml:space="preserve">4ـ استخدام ذوي الكفاءات </w:t>
      </w:r>
      <w:r w:rsidR="00FA61F4" w:rsidRPr="00554592">
        <w:rPr>
          <w:rStyle w:val="a6"/>
          <w:rFonts w:asciiTheme="minorBidi" w:hAnsiTheme="minorBidi" w:cs="AL-Mohanad" w:hint="cs"/>
          <w:b w:val="0"/>
          <w:sz w:val="27"/>
          <w:rtl/>
        </w:rPr>
        <w:t>في</w:t>
      </w:r>
      <w:r w:rsidRPr="00554592">
        <w:rPr>
          <w:rStyle w:val="a6"/>
          <w:rFonts w:asciiTheme="minorBidi" w:hAnsiTheme="minorBidi" w:cs="AL-Mohanad" w:hint="cs"/>
          <w:b w:val="0"/>
          <w:sz w:val="27"/>
          <w:rtl/>
        </w:rPr>
        <w:t xml:space="preserve"> الهرم ال</w:t>
      </w:r>
      <w:r w:rsidR="000A376C" w:rsidRPr="00554592">
        <w:rPr>
          <w:rStyle w:val="a6"/>
          <w:rFonts w:asciiTheme="minorBidi" w:hAnsiTheme="minorBidi" w:cs="AL-Mohanad" w:hint="cs"/>
          <w:b w:val="0"/>
          <w:sz w:val="27"/>
          <w:rtl/>
        </w:rPr>
        <w:t>إ</w:t>
      </w:r>
      <w:r w:rsidRPr="00554592">
        <w:rPr>
          <w:rStyle w:val="a6"/>
          <w:rFonts w:asciiTheme="minorBidi" w:hAnsiTheme="minorBidi" w:cs="AL-Mohanad" w:hint="cs"/>
          <w:b w:val="0"/>
          <w:sz w:val="27"/>
          <w:rtl/>
        </w:rPr>
        <w:t>داري</w:t>
      </w:r>
      <w:r w:rsidR="000A376C"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 xml:space="preserve"> لقدرتهم على التصد</w:t>
      </w:r>
      <w:r w:rsidR="000A376C"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ي للمفسدين</w:t>
      </w:r>
      <w:r w:rsidRPr="00904FCB">
        <w:rPr>
          <w:rStyle w:val="a6"/>
          <w:rFonts w:asciiTheme="minorBidi" w:hAnsiTheme="minorBidi" w:cs="AL-Mohanad" w:hint="cs"/>
          <w:b w:val="0"/>
          <w:sz w:val="27"/>
          <w:rtl/>
        </w:rPr>
        <w:t xml:space="preserve"> والمستنزفين للثروات الطبيعية. </w:t>
      </w:r>
    </w:p>
    <w:p w:rsidR="00EF655F" w:rsidRPr="00904FCB" w:rsidRDefault="00EF655F" w:rsidP="007A21AA">
      <w:pPr>
        <w:spacing w:line="400" w:lineRule="exact"/>
        <w:rPr>
          <w:rStyle w:val="a6"/>
          <w:rFonts w:asciiTheme="minorBidi" w:hAnsiTheme="minorBidi" w:cs="AL-Mohanad"/>
          <w:b w:val="0"/>
          <w:bCs/>
          <w:sz w:val="27"/>
          <w:rtl/>
        </w:rPr>
      </w:pPr>
      <w:r w:rsidRPr="00554592">
        <w:rPr>
          <w:rStyle w:val="a6"/>
          <w:rFonts w:asciiTheme="minorBidi" w:hAnsiTheme="minorBidi" w:cs="AL-Mohanad" w:hint="cs"/>
          <w:b w:val="0"/>
          <w:sz w:val="27"/>
          <w:rtl/>
        </w:rPr>
        <w:lastRenderedPageBreak/>
        <w:t>5ـ الاستفادة من كل</w:t>
      </w:r>
      <w:r w:rsidR="000A376C"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 xml:space="preserve"> التقنيات الحديثة في الحفاظ على البيئة</w:t>
      </w:r>
      <w:r w:rsidR="000A376C"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 xml:space="preserve"> والتي تتوافق</w:t>
      </w:r>
      <w:r w:rsidRPr="00904FCB">
        <w:rPr>
          <w:rStyle w:val="a6"/>
          <w:rFonts w:asciiTheme="minorBidi" w:hAnsiTheme="minorBidi" w:cs="AL-Mohanad" w:hint="cs"/>
          <w:b w:val="0"/>
          <w:sz w:val="27"/>
          <w:rtl/>
        </w:rPr>
        <w:t xml:space="preserve"> والنظام ال</w:t>
      </w:r>
      <w:r w:rsidR="000A376C"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 xml:space="preserve">سلامي. </w:t>
      </w:r>
    </w:p>
    <w:p w:rsidR="00EF655F" w:rsidRPr="00904FCB" w:rsidRDefault="00EF655F" w:rsidP="007A21AA">
      <w:pPr>
        <w:spacing w:line="400" w:lineRule="exact"/>
        <w:rPr>
          <w:rStyle w:val="a6"/>
          <w:rFonts w:asciiTheme="minorBidi" w:hAnsiTheme="minorBidi" w:cs="AL-Mohanad"/>
          <w:b w:val="0"/>
          <w:bCs/>
          <w:sz w:val="27"/>
          <w:rtl/>
        </w:rPr>
      </w:pPr>
      <w:r w:rsidRPr="00554592">
        <w:rPr>
          <w:rStyle w:val="a6"/>
          <w:rFonts w:asciiTheme="minorBidi" w:hAnsiTheme="minorBidi" w:cs="AL-Mohanad" w:hint="cs"/>
          <w:b w:val="0"/>
          <w:sz w:val="27"/>
          <w:rtl/>
        </w:rPr>
        <w:t>6ـ الاستفادة من السياسات العامة في الاقتصاد والثقافة</w:t>
      </w:r>
      <w:r w:rsidR="000A376C"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 xml:space="preserve"> لغرض </w:t>
      </w:r>
      <w:r w:rsidR="000A376C" w:rsidRPr="00554592">
        <w:rPr>
          <w:rStyle w:val="a6"/>
          <w:rFonts w:asciiTheme="minorBidi" w:hAnsiTheme="minorBidi" w:cs="AL-Mohanad" w:hint="cs"/>
          <w:b w:val="0"/>
          <w:sz w:val="27"/>
          <w:rtl/>
        </w:rPr>
        <w:t>إ</w:t>
      </w:r>
      <w:r w:rsidRPr="00554592">
        <w:rPr>
          <w:rStyle w:val="a6"/>
          <w:rFonts w:asciiTheme="minorBidi" w:hAnsiTheme="minorBidi" w:cs="AL-Mohanad" w:hint="cs"/>
          <w:b w:val="0"/>
          <w:sz w:val="27"/>
          <w:rtl/>
        </w:rPr>
        <w:t>يجاد تطو</w:t>
      </w:r>
      <w:r w:rsidR="000A376C"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ر</w:t>
      </w:r>
      <w:r w:rsidRPr="00904FCB">
        <w:rPr>
          <w:rStyle w:val="a6"/>
          <w:rFonts w:asciiTheme="minorBidi" w:hAnsiTheme="minorBidi" w:cs="AL-Mohanad" w:hint="cs"/>
          <w:b w:val="0"/>
          <w:sz w:val="27"/>
          <w:rtl/>
        </w:rPr>
        <w:t xml:space="preserve"> وتنمية تتناسب والحفاظ على مصادر الطبيعة والمحيط البيئي. </w:t>
      </w:r>
    </w:p>
    <w:p w:rsidR="00EF655F" w:rsidRPr="00904FCB" w:rsidRDefault="00EF655F" w:rsidP="007A21AA">
      <w:pPr>
        <w:spacing w:line="400" w:lineRule="exact"/>
        <w:rPr>
          <w:rStyle w:val="a6"/>
          <w:rFonts w:asciiTheme="minorBidi" w:hAnsiTheme="minorBidi" w:cs="AL-Mohanad"/>
          <w:b w:val="0"/>
          <w:bCs/>
          <w:sz w:val="27"/>
          <w:rtl/>
        </w:rPr>
      </w:pPr>
      <w:r w:rsidRPr="00554592">
        <w:rPr>
          <w:rStyle w:val="a6"/>
          <w:rFonts w:asciiTheme="minorBidi" w:hAnsiTheme="minorBidi" w:cs="AL-Mohanad" w:hint="cs"/>
          <w:b w:val="0"/>
          <w:sz w:val="27"/>
          <w:rtl/>
        </w:rPr>
        <w:t>7ـ وضع استراتيجية وحلول للانتقال من الوضع الحال</w:t>
      </w:r>
      <w:r w:rsidR="00FA61F4" w:rsidRPr="00554592">
        <w:rPr>
          <w:rStyle w:val="a6"/>
          <w:rFonts w:asciiTheme="minorBidi" w:hAnsiTheme="minorBidi" w:cs="AL-Mohanad" w:hint="cs"/>
          <w:b w:val="0"/>
          <w:sz w:val="27"/>
          <w:rtl/>
        </w:rPr>
        <w:t>ي</w:t>
      </w:r>
      <w:r w:rsidRPr="00554592">
        <w:rPr>
          <w:rStyle w:val="a6"/>
          <w:rFonts w:asciiTheme="minorBidi" w:hAnsiTheme="minorBidi" w:cs="AL-Mohanad" w:hint="cs"/>
          <w:b w:val="0"/>
          <w:sz w:val="27"/>
          <w:rtl/>
        </w:rPr>
        <w:t xml:space="preserve"> الذي عليه المحيط البيئي</w:t>
      </w:r>
      <w:r w:rsidRPr="00904FCB">
        <w:rPr>
          <w:rStyle w:val="a6"/>
          <w:rFonts w:asciiTheme="minorBidi" w:hAnsiTheme="minorBidi" w:cs="AL-Mohanad" w:hint="cs"/>
          <w:b w:val="0"/>
          <w:sz w:val="27"/>
          <w:rtl/>
        </w:rPr>
        <w:t xml:space="preserve"> إلى الوضع المطلوب. </w:t>
      </w:r>
    </w:p>
    <w:p w:rsidR="00EF655F" w:rsidRPr="00904FCB" w:rsidRDefault="00EF655F" w:rsidP="007A21AA">
      <w:pPr>
        <w:spacing w:line="400" w:lineRule="exact"/>
        <w:rPr>
          <w:rStyle w:val="a6"/>
          <w:rFonts w:asciiTheme="minorBidi" w:hAnsiTheme="minorBidi" w:cs="AL-Mohanad"/>
          <w:b w:val="0"/>
          <w:bCs/>
          <w:sz w:val="27"/>
          <w:rtl/>
        </w:rPr>
      </w:pPr>
      <w:r w:rsidRPr="00554592">
        <w:rPr>
          <w:rStyle w:val="a6"/>
          <w:rFonts w:asciiTheme="minorBidi" w:hAnsiTheme="minorBidi" w:cs="AL-Mohanad" w:hint="cs"/>
          <w:b w:val="0"/>
          <w:sz w:val="27"/>
          <w:rtl/>
        </w:rPr>
        <w:t>8ـ بذل الجهود لفتح المجال أمام المحق</w:t>
      </w:r>
      <w:r w:rsidR="000A376C" w:rsidRPr="00554592">
        <w:rPr>
          <w:rStyle w:val="a6"/>
          <w:rFonts w:asciiTheme="minorBidi" w:hAnsiTheme="minorBidi" w:cs="AL-Mohanad" w:hint="cs"/>
          <w:b w:val="0"/>
          <w:sz w:val="27"/>
          <w:rtl/>
        </w:rPr>
        <w:t>ِّ</w:t>
      </w:r>
      <w:r w:rsidRPr="00554592">
        <w:rPr>
          <w:rStyle w:val="a6"/>
          <w:rFonts w:asciiTheme="minorBidi" w:hAnsiTheme="minorBidi" w:cs="AL-Mohanad" w:hint="cs"/>
          <w:b w:val="0"/>
          <w:sz w:val="27"/>
          <w:rtl/>
        </w:rPr>
        <w:t>قين والباحثين وتطوير ش</w:t>
      </w:r>
      <w:r w:rsidR="000A376C" w:rsidRPr="00554592">
        <w:rPr>
          <w:rStyle w:val="a6"/>
          <w:rFonts w:asciiTheme="minorBidi" w:hAnsiTheme="minorBidi" w:cs="AL-Mohanad" w:hint="cs"/>
          <w:b w:val="0"/>
          <w:sz w:val="27"/>
          <w:rtl/>
        </w:rPr>
        <w:t>ب</w:t>
      </w:r>
      <w:r w:rsidRPr="00554592">
        <w:rPr>
          <w:rStyle w:val="a6"/>
          <w:rFonts w:asciiTheme="minorBidi" w:hAnsiTheme="minorBidi" w:cs="AL-Mohanad" w:hint="cs"/>
          <w:b w:val="0"/>
          <w:sz w:val="27"/>
          <w:rtl/>
        </w:rPr>
        <w:t>كة المعلومات</w:t>
      </w:r>
      <w:r w:rsidR="000A376C" w:rsidRPr="00554592">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لغرض الارتقاء الكم</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ي والنوعي في العلوم ال</w:t>
      </w:r>
      <w:r w:rsidR="000A376C"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نسانية</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وفي الصناعة</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والخدمات الطب</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ية</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وتطوير القطاع التكنولوجي</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بحيث يخدم المجال البيئي وتنميته. </w:t>
      </w:r>
    </w:p>
    <w:p w:rsidR="00EF655F" w:rsidRPr="00904FCB" w:rsidRDefault="00EF655F" w:rsidP="007A21AA">
      <w:pPr>
        <w:spacing w:line="400" w:lineRule="exact"/>
        <w:rPr>
          <w:rStyle w:val="a6"/>
          <w:rFonts w:asciiTheme="minorBidi" w:hAnsiTheme="minorBidi" w:cs="AL-Mohanad"/>
          <w:b w:val="0"/>
          <w:bCs/>
          <w:sz w:val="27"/>
          <w:rtl/>
        </w:rPr>
      </w:pPr>
    </w:p>
    <w:p w:rsidR="00EF655F" w:rsidRPr="00904FCB" w:rsidRDefault="00EF655F" w:rsidP="007A21AA">
      <w:pPr>
        <w:pStyle w:val="31"/>
        <w:spacing w:line="400" w:lineRule="exact"/>
        <w:rPr>
          <w:rStyle w:val="a6"/>
          <w:rFonts w:cs="Abz-3 (Yagut)"/>
          <w:b w:val="0"/>
          <w:color w:val="auto"/>
          <w:sz w:val="26"/>
          <w:szCs w:val="26"/>
          <w:rtl/>
        </w:rPr>
      </w:pPr>
      <w:r w:rsidRPr="00904FCB">
        <w:rPr>
          <w:rStyle w:val="a6"/>
          <w:rFonts w:cs="Abz-3 (Yagut)" w:hint="cs"/>
          <w:b w:val="0"/>
          <w:color w:val="auto"/>
          <w:sz w:val="26"/>
          <w:szCs w:val="26"/>
          <w:rtl/>
        </w:rPr>
        <w:t xml:space="preserve">ج ـ الأحكام والقواعد الفقهية </w:t>
      </w:r>
    </w:p>
    <w:p w:rsidR="00EF655F" w:rsidRPr="00904FCB" w:rsidRDefault="00EF655F" w:rsidP="007A21AA">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في الجملة تكمن مصادر الفقه في: القرآن، السن</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ة، العقل</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وال</w:t>
      </w:r>
      <w:r w:rsidR="000A376C" w:rsidRPr="00904FCB">
        <w:rPr>
          <w:rStyle w:val="a6"/>
          <w:rFonts w:asciiTheme="minorBidi" w:hAnsiTheme="minorBidi" w:cs="AL-Mohanad" w:hint="cs"/>
          <w:b w:val="0"/>
          <w:sz w:val="27"/>
          <w:rtl/>
        </w:rPr>
        <w:t>إ</w:t>
      </w:r>
      <w:r w:rsidRPr="00904FCB">
        <w:rPr>
          <w:rStyle w:val="a6"/>
          <w:rFonts w:asciiTheme="minorBidi" w:hAnsiTheme="minorBidi" w:cs="AL-Mohanad" w:hint="cs"/>
          <w:b w:val="0"/>
          <w:sz w:val="27"/>
          <w:rtl/>
        </w:rPr>
        <w:t>جماع</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وهذه المصادر على اتساع دائرة الاستنباط التي تتيحها للفقهاء فإنها تتيح مجالا</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كبيرا</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w:t>
      </w:r>
      <w:r w:rsidR="000A376C" w:rsidRPr="00904FCB">
        <w:rPr>
          <w:rStyle w:val="a6"/>
          <w:rFonts w:asciiTheme="minorBidi" w:hAnsiTheme="minorBidi" w:cs="AL-Mohanad" w:hint="cs"/>
          <w:b w:val="0"/>
          <w:sz w:val="27"/>
          <w:rtl/>
        </w:rPr>
        <w:t>ل</w:t>
      </w:r>
      <w:r w:rsidRPr="00904FCB">
        <w:rPr>
          <w:rStyle w:val="a6"/>
          <w:rFonts w:asciiTheme="minorBidi" w:hAnsiTheme="minorBidi" w:cs="AL-Mohanad" w:hint="cs"/>
          <w:b w:val="0"/>
          <w:sz w:val="27"/>
          <w:rtl/>
        </w:rPr>
        <w:t>لتعامل مع البيئة والحفاظ عليها ضمن الش</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ر</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ع وال</w:t>
      </w:r>
      <w:r w:rsidR="000A376C" w:rsidRPr="00904FCB">
        <w:rPr>
          <w:rStyle w:val="a6"/>
          <w:rFonts w:asciiTheme="minorBidi" w:hAnsiTheme="minorBidi" w:cs="AL-Mohanad" w:hint="cs"/>
          <w:b w:val="0"/>
          <w:sz w:val="27"/>
          <w:rtl/>
        </w:rPr>
        <w:t>أ</w:t>
      </w:r>
      <w:r w:rsidRPr="00904FCB">
        <w:rPr>
          <w:rStyle w:val="a6"/>
          <w:rFonts w:asciiTheme="minorBidi" w:hAnsiTheme="minorBidi" w:cs="AL-Mohanad" w:hint="cs"/>
          <w:b w:val="0"/>
          <w:sz w:val="27"/>
          <w:rtl/>
        </w:rPr>
        <w:t xml:space="preserve">حكام الدينية. </w:t>
      </w:r>
    </w:p>
    <w:p w:rsidR="00EF655F" w:rsidRPr="00904FCB" w:rsidRDefault="000A376C" w:rsidP="00FA61F4">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و</w:t>
      </w:r>
      <w:r w:rsidR="00EF655F" w:rsidRPr="00904FCB">
        <w:rPr>
          <w:rStyle w:val="a6"/>
          <w:rFonts w:asciiTheme="minorBidi" w:hAnsiTheme="minorBidi" w:cs="AL-Mohanad" w:hint="cs"/>
          <w:b w:val="0"/>
          <w:sz w:val="27"/>
          <w:rtl/>
        </w:rPr>
        <w:t>بشكل</w:t>
      </w:r>
      <w:r w:rsidRPr="00904FCB">
        <w:rPr>
          <w:rStyle w:val="a6"/>
          <w:rFonts w:asciiTheme="minorBidi" w:hAnsiTheme="minorBidi" w:cs="AL-Mohanad" w:hint="cs"/>
          <w:b w:val="0"/>
          <w:sz w:val="27"/>
          <w:rtl/>
        </w:rPr>
        <w:t>ٍ</w:t>
      </w:r>
      <w:r w:rsidR="00EF655F" w:rsidRPr="00904FCB">
        <w:rPr>
          <w:rStyle w:val="a6"/>
          <w:rFonts w:asciiTheme="minorBidi" w:hAnsiTheme="minorBidi" w:cs="AL-Mohanad" w:hint="cs"/>
          <w:b w:val="0"/>
          <w:sz w:val="27"/>
          <w:rtl/>
        </w:rPr>
        <w:t xml:space="preserve"> عام</w:t>
      </w:r>
      <w:r w:rsidRPr="00904FCB">
        <w:rPr>
          <w:rStyle w:val="a6"/>
          <w:rFonts w:asciiTheme="minorBidi" w:hAnsiTheme="minorBidi" w:cs="AL-Mohanad" w:hint="cs"/>
          <w:b w:val="0"/>
          <w:sz w:val="27"/>
          <w:rtl/>
        </w:rPr>
        <w:t>ّ</w:t>
      </w:r>
      <w:r w:rsidR="00EF655F" w:rsidRPr="00904FCB">
        <w:rPr>
          <w:rStyle w:val="a6"/>
          <w:rFonts w:asciiTheme="minorBidi" w:hAnsiTheme="minorBidi" w:cs="AL-Mohanad" w:hint="cs"/>
          <w:b w:val="0"/>
          <w:sz w:val="27"/>
          <w:rtl/>
        </w:rPr>
        <w:t xml:space="preserve"> فإن الاستفادة من الفقه في الحفاظ على البيئة والمحيط تكون ضمن قسمين</w:t>
      </w:r>
      <w:r w:rsidRPr="00904FCB">
        <w:rPr>
          <w:rStyle w:val="a6"/>
          <w:rFonts w:asciiTheme="minorBidi" w:hAnsiTheme="minorBidi" w:cs="AL-Mohanad" w:hint="cs"/>
          <w:b w:val="0"/>
          <w:sz w:val="27"/>
          <w:rtl/>
        </w:rPr>
        <w:t>:</w:t>
      </w:r>
      <w:r w:rsidR="00EF655F" w:rsidRPr="00904FCB">
        <w:rPr>
          <w:rStyle w:val="a6"/>
          <w:rFonts w:asciiTheme="minorBidi" w:hAnsiTheme="minorBidi" w:cs="AL-Mohanad" w:hint="cs"/>
          <w:b w:val="0"/>
          <w:sz w:val="27"/>
          <w:rtl/>
        </w:rPr>
        <w:t xml:space="preserve"> عام</w:t>
      </w:r>
      <w:r w:rsidRPr="00904FCB">
        <w:rPr>
          <w:rStyle w:val="a6"/>
          <w:rFonts w:asciiTheme="minorBidi" w:hAnsiTheme="minorBidi" w:cs="AL-Mohanad" w:hint="cs"/>
          <w:b w:val="0"/>
          <w:sz w:val="27"/>
          <w:rtl/>
        </w:rPr>
        <w:t>ّ؛</w:t>
      </w:r>
      <w:r w:rsidR="00EF655F" w:rsidRPr="00904FCB">
        <w:rPr>
          <w:rStyle w:val="a6"/>
          <w:rFonts w:asciiTheme="minorBidi" w:hAnsiTheme="minorBidi" w:cs="AL-Mohanad" w:hint="cs"/>
          <w:b w:val="0"/>
          <w:sz w:val="27"/>
          <w:rtl/>
        </w:rPr>
        <w:t xml:space="preserve"> </w:t>
      </w:r>
      <w:r w:rsidR="00FA61F4">
        <w:rPr>
          <w:rStyle w:val="a6"/>
          <w:rFonts w:asciiTheme="minorBidi" w:hAnsiTheme="minorBidi" w:cs="AL-Mohanad" w:hint="cs"/>
          <w:b w:val="0"/>
          <w:sz w:val="27"/>
          <w:rtl/>
        </w:rPr>
        <w:t>و</w:t>
      </w:r>
      <w:r w:rsidR="00EF655F" w:rsidRPr="00904FCB">
        <w:rPr>
          <w:rStyle w:val="a6"/>
          <w:rFonts w:asciiTheme="minorBidi" w:hAnsiTheme="minorBidi" w:cs="AL-Mohanad" w:hint="cs"/>
          <w:b w:val="0"/>
          <w:sz w:val="27"/>
          <w:rtl/>
        </w:rPr>
        <w:t>خاص</w:t>
      </w:r>
      <w:r w:rsidRPr="00904FCB">
        <w:rPr>
          <w:rStyle w:val="a6"/>
          <w:rFonts w:asciiTheme="minorBidi" w:hAnsiTheme="minorBidi" w:cs="AL-Mohanad" w:hint="cs"/>
          <w:b w:val="0"/>
          <w:sz w:val="27"/>
          <w:rtl/>
        </w:rPr>
        <w:t>ّ</w:t>
      </w:r>
      <w:r w:rsidR="00EF655F" w:rsidRPr="00904FCB">
        <w:rPr>
          <w:rStyle w:val="a6"/>
          <w:rFonts w:asciiTheme="minorBidi" w:hAnsiTheme="minorBidi" w:cs="AL-Mohanad" w:hint="cs"/>
          <w:b w:val="0"/>
          <w:sz w:val="27"/>
          <w:rtl/>
        </w:rPr>
        <w:t xml:space="preserve">. </w:t>
      </w:r>
    </w:p>
    <w:p w:rsidR="00EF655F" w:rsidRPr="00904FCB" w:rsidRDefault="00EF655F" w:rsidP="007A21AA">
      <w:pPr>
        <w:spacing w:line="400" w:lineRule="exact"/>
        <w:rPr>
          <w:rStyle w:val="a6"/>
          <w:rFonts w:asciiTheme="minorBidi" w:hAnsiTheme="minorBidi" w:cs="AL-Mohanad"/>
          <w:b w:val="0"/>
          <w:bCs/>
          <w:sz w:val="27"/>
          <w:rtl/>
        </w:rPr>
      </w:pPr>
    </w:p>
    <w:p w:rsidR="00EF655F" w:rsidRPr="00904FCB" w:rsidRDefault="00EF655F" w:rsidP="007A21AA">
      <w:pPr>
        <w:pStyle w:val="31"/>
        <w:spacing w:line="400" w:lineRule="exact"/>
        <w:rPr>
          <w:rStyle w:val="a6"/>
          <w:rFonts w:cs="Abz-3 (Yagut)"/>
          <w:b w:val="0"/>
          <w:color w:val="auto"/>
          <w:sz w:val="26"/>
          <w:szCs w:val="26"/>
          <w:rtl/>
        </w:rPr>
      </w:pPr>
      <w:r w:rsidRPr="00554592">
        <w:rPr>
          <w:rStyle w:val="a6"/>
          <w:rFonts w:cs="Abz-3 (Yagut)" w:hint="cs"/>
          <w:b w:val="0"/>
          <w:color w:val="auto"/>
          <w:sz w:val="26"/>
          <w:szCs w:val="26"/>
          <w:rtl/>
        </w:rPr>
        <w:t>1ـ المقرَّرات</w:t>
      </w:r>
      <w:r w:rsidRPr="00904FCB">
        <w:rPr>
          <w:rStyle w:val="a6"/>
          <w:rFonts w:cs="Abz-3 (Yagut)" w:hint="cs"/>
          <w:b w:val="0"/>
          <w:color w:val="auto"/>
          <w:sz w:val="26"/>
          <w:szCs w:val="26"/>
          <w:rtl/>
        </w:rPr>
        <w:t xml:space="preserve"> العامة </w:t>
      </w:r>
    </w:p>
    <w:p w:rsidR="00EF655F" w:rsidRPr="00904FCB" w:rsidRDefault="00EF655F" w:rsidP="007A21AA">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يلاحظ وجود مجموعة من الآيات والروايات التي ي</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ستفاد منها في الدعوة للحفاظ على البيئة بشكل عام</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ضمن دائرة الأحكام الخمسة</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إما وفق الأحكام التكليفية</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أو الوضعية: </w:t>
      </w:r>
    </w:p>
    <w:p w:rsidR="00E771B7" w:rsidRPr="00904FCB" w:rsidRDefault="00E771B7" w:rsidP="007A21AA">
      <w:pPr>
        <w:spacing w:line="400" w:lineRule="exact"/>
        <w:rPr>
          <w:rStyle w:val="a6"/>
          <w:rFonts w:asciiTheme="minorBidi" w:hAnsiTheme="minorBidi" w:cs="AL-Mohanad"/>
          <w:b w:val="0"/>
          <w:bCs/>
          <w:sz w:val="27"/>
          <w:rtl/>
        </w:rPr>
      </w:pPr>
    </w:p>
    <w:p w:rsidR="00EF655F" w:rsidRPr="00904FCB" w:rsidRDefault="00EF655F" w:rsidP="007A21AA">
      <w:pPr>
        <w:pStyle w:val="31"/>
        <w:spacing w:line="400" w:lineRule="exact"/>
        <w:rPr>
          <w:rStyle w:val="a6"/>
          <w:rFonts w:cs="Abz-3 (Yagut)"/>
          <w:b w:val="0"/>
          <w:color w:val="auto"/>
          <w:sz w:val="26"/>
          <w:szCs w:val="26"/>
          <w:rtl/>
        </w:rPr>
      </w:pPr>
      <w:r w:rsidRPr="00904FCB">
        <w:rPr>
          <w:rStyle w:val="a6"/>
          <w:rFonts w:cs="Abz-3 (Yagut)" w:hint="cs"/>
          <w:b w:val="0"/>
          <w:color w:val="auto"/>
          <w:sz w:val="26"/>
          <w:szCs w:val="26"/>
          <w:rtl/>
        </w:rPr>
        <w:t>الأو</w:t>
      </w:r>
      <w:r w:rsidR="000A376C" w:rsidRPr="00904FCB">
        <w:rPr>
          <w:rStyle w:val="a6"/>
          <w:rFonts w:cs="Abz-3 (Yagut)" w:hint="cs"/>
          <w:b w:val="0"/>
          <w:color w:val="auto"/>
          <w:sz w:val="26"/>
          <w:szCs w:val="26"/>
          <w:rtl/>
        </w:rPr>
        <w:t>ّ</w:t>
      </w:r>
      <w:r w:rsidRPr="00904FCB">
        <w:rPr>
          <w:rStyle w:val="a6"/>
          <w:rFonts w:cs="Abz-3 (Yagut)" w:hint="cs"/>
          <w:b w:val="0"/>
          <w:color w:val="auto"/>
          <w:sz w:val="26"/>
          <w:szCs w:val="26"/>
          <w:rtl/>
        </w:rPr>
        <w:t xml:space="preserve">ل: حرمة الفساد في الأرض </w:t>
      </w:r>
    </w:p>
    <w:p w:rsidR="00EF655F" w:rsidRPr="00904FCB" w:rsidRDefault="00EF655F" w:rsidP="007A21AA">
      <w:pPr>
        <w:spacing w:line="400" w:lineRule="exact"/>
        <w:rPr>
          <w:rStyle w:val="a6"/>
          <w:rFonts w:asciiTheme="minorBidi" w:hAnsiTheme="minorBidi" w:cs="AL-Mohanad"/>
          <w:b w:val="0"/>
          <w:bCs/>
          <w:sz w:val="27"/>
          <w:rtl/>
        </w:rPr>
      </w:pPr>
      <w:r w:rsidRPr="00904FCB">
        <w:rPr>
          <w:rStyle w:val="a6"/>
          <w:rFonts w:asciiTheme="minorBidi" w:hAnsiTheme="minorBidi" w:cs="AL-Mohanad" w:hint="cs"/>
          <w:b w:val="0"/>
          <w:sz w:val="27"/>
          <w:rtl/>
        </w:rPr>
        <w:t>نهى القرآن في أكثر من آية</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عن الفساد في الأرض</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 ومن جملة ال</w:t>
      </w:r>
      <w:r w:rsidR="000A376C" w:rsidRPr="00904FCB">
        <w:rPr>
          <w:rStyle w:val="a6"/>
          <w:rFonts w:asciiTheme="minorBidi" w:hAnsiTheme="minorBidi" w:cs="AL-Mohanad" w:hint="cs"/>
          <w:b w:val="0"/>
          <w:sz w:val="27"/>
          <w:rtl/>
        </w:rPr>
        <w:t>آ</w:t>
      </w:r>
      <w:r w:rsidRPr="00904FCB">
        <w:rPr>
          <w:rStyle w:val="a6"/>
          <w:rFonts w:asciiTheme="minorBidi" w:hAnsiTheme="minorBidi" w:cs="AL-Mohanad" w:hint="cs"/>
          <w:b w:val="0"/>
          <w:sz w:val="27"/>
          <w:rtl/>
        </w:rPr>
        <w:t>يات التي تناولت هذه الدعوة العام</w:t>
      </w:r>
      <w:r w:rsidR="000A376C" w:rsidRPr="00904FCB">
        <w:rPr>
          <w:rStyle w:val="a6"/>
          <w:rFonts w:asciiTheme="minorBidi" w:hAnsiTheme="minorBidi" w:cs="AL-Mohanad" w:hint="cs"/>
          <w:b w:val="0"/>
          <w:sz w:val="27"/>
          <w:rtl/>
        </w:rPr>
        <w:t>ّ</w:t>
      </w:r>
      <w:r w:rsidRPr="00904FCB">
        <w:rPr>
          <w:rStyle w:val="a6"/>
          <w:rFonts w:asciiTheme="minorBidi" w:hAnsiTheme="minorBidi" w:cs="AL-Mohanad" w:hint="cs"/>
          <w:b w:val="0"/>
          <w:sz w:val="27"/>
          <w:rtl/>
        </w:rPr>
        <w:t xml:space="preserve">ة: </w:t>
      </w:r>
    </w:p>
    <w:p w:rsidR="00EF655F" w:rsidRPr="00904FCB" w:rsidRDefault="00FA61F4" w:rsidP="007A21AA">
      <w:pPr>
        <w:spacing w:line="400" w:lineRule="exact"/>
        <w:rPr>
          <w:rFonts w:asciiTheme="minorBidi" w:hAnsiTheme="minorBidi"/>
          <w:sz w:val="27"/>
          <w:rtl/>
        </w:rPr>
      </w:pPr>
      <w:r>
        <w:rPr>
          <w:rFonts w:ascii="Mosawi" w:hAnsi="Mosawi" w:cs="Mosawi" w:hint="cs"/>
          <w:sz w:val="24"/>
          <w:szCs w:val="24"/>
          <w:rtl/>
        </w:rPr>
        <w:t xml:space="preserve">ـ </w:t>
      </w:r>
      <w:r w:rsidR="00EF655F" w:rsidRPr="00904FCB">
        <w:rPr>
          <w:rFonts w:ascii="Mosawi" w:hAnsi="Mosawi" w:cs="Mosawi"/>
          <w:sz w:val="24"/>
          <w:szCs w:val="24"/>
          <w:rtl/>
        </w:rPr>
        <w:t>﴿</w:t>
      </w:r>
      <w:r w:rsidR="000A376C" w:rsidRPr="00904FCB">
        <w:rPr>
          <w:rFonts w:asciiTheme="minorBidi" w:hAnsiTheme="minorBidi"/>
          <w:b/>
          <w:bCs/>
          <w:sz w:val="27"/>
          <w:rtl/>
        </w:rPr>
        <w:t>وَلا تُفْسِدُوا فِي الأَرْضِ بَعْدَ إِصْل</w:t>
      </w:r>
      <w:r w:rsidR="00EF655F" w:rsidRPr="00904FCB">
        <w:rPr>
          <w:rFonts w:asciiTheme="minorBidi" w:hAnsiTheme="minorBidi"/>
          <w:b/>
          <w:bCs/>
          <w:sz w:val="27"/>
          <w:rtl/>
        </w:rPr>
        <w:t>احِهَا</w:t>
      </w:r>
      <w:r w:rsidR="000A376C" w:rsidRPr="00904FCB">
        <w:rPr>
          <w:rFonts w:asciiTheme="minorBidi" w:hAnsiTheme="minorBidi" w:hint="cs"/>
          <w:b/>
          <w:bCs/>
          <w:sz w:val="27"/>
          <w:rtl/>
        </w:rPr>
        <w:t xml:space="preserve"> ذَلِ</w:t>
      </w:r>
      <w:r w:rsidR="00EF655F" w:rsidRPr="00904FCB">
        <w:rPr>
          <w:rFonts w:asciiTheme="minorBidi" w:hAnsiTheme="minorBidi" w:hint="cs"/>
          <w:b/>
          <w:bCs/>
          <w:sz w:val="27"/>
          <w:rtl/>
        </w:rPr>
        <w:t>كُمْ</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خَيْرٌ</w:t>
      </w:r>
      <w:r w:rsidR="00EF655F" w:rsidRPr="00904FCB">
        <w:rPr>
          <w:rFonts w:asciiTheme="minorBidi" w:hAnsiTheme="minorBidi"/>
          <w:b/>
          <w:bCs/>
          <w:sz w:val="27"/>
          <w:rtl/>
        </w:rPr>
        <w:t xml:space="preserve"> لَكُمْ إِنْ كُنْتُمْ </w:t>
      </w:r>
      <w:r w:rsidR="00EF655F" w:rsidRPr="00904FCB">
        <w:rPr>
          <w:rFonts w:asciiTheme="minorBidi" w:hAnsiTheme="minorBidi"/>
          <w:b/>
          <w:bCs/>
          <w:sz w:val="27"/>
          <w:rtl/>
        </w:rPr>
        <w:lastRenderedPageBreak/>
        <w:t>مُؤْمِنِينَ</w:t>
      </w:r>
      <w:r w:rsidR="00EF655F" w:rsidRPr="00904FCB">
        <w:rPr>
          <w:rFonts w:ascii="Mosawi" w:hAnsi="Mosawi" w:cs="Mosawi"/>
          <w:sz w:val="24"/>
          <w:szCs w:val="24"/>
          <w:rtl/>
        </w:rPr>
        <w:t>﴾</w:t>
      </w:r>
      <w:r w:rsidR="00EF655F" w:rsidRPr="00904FCB">
        <w:rPr>
          <w:rFonts w:asciiTheme="minorBidi" w:hAnsiTheme="minorBidi" w:hint="cs"/>
          <w:sz w:val="27"/>
          <w:rtl/>
        </w:rPr>
        <w:t xml:space="preserve">(الأعراف: </w:t>
      </w:r>
      <w:r w:rsidR="00EF655F" w:rsidRPr="00DF4775">
        <w:rPr>
          <w:rFonts w:asciiTheme="minorBidi" w:hAnsiTheme="minorBidi" w:hint="cs"/>
          <w:sz w:val="27"/>
          <w:rtl/>
        </w:rPr>
        <w:t>85</w:t>
      </w:r>
      <w:r w:rsidR="00EF655F" w:rsidRPr="00904FCB">
        <w:rPr>
          <w:rFonts w:asciiTheme="minorBidi" w:hAnsiTheme="minorBidi" w:hint="cs"/>
          <w:sz w:val="27"/>
          <w:rtl/>
        </w:rPr>
        <w:t xml:space="preserve">). </w:t>
      </w:r>
    </w:p>
    <w:p w:rsidR="00EF655F" w:rsidRPr="00904FCB" w:rsidRDefault="00FA61F4" w:rsidP="007A21AA">
      <w:pPr>
        <w:spacing w:line="400" w:lineRule="exact"/>
        <w:rPr>
          <w:rFonts w:asciiTheme="minorBidi" w:hAnsiTheme="minorBidi"/>
          <w:sz w:val="27"/>
          <w:rtl/>
        </w:rPr>
      </w:pPr>
      <w:r>
        <w:rPr>
          <w:rFonts w:ascii="Mosawi" w:hAnsi="Mosawi" w:cs="Mosawi" w:hint="cs"/>
          <w:sz w:val="24"/>
          <w:szCs w:val="24"/>
          <w:rtl/>
        </w:rPr>
        <w:t xml:space="preserve">ـ </w:t>
      </w:r>
      <w:r w:rsidR="00EF655F" w:rsidRPr="00904FCB">
        <w:rPr>
          <w:rFonts w:ascii="Mosawi" w:hAnsi="Mosawi" w:cs="Mosawi"/>
          <w:sz w:val="24"/>
          <w:szCs w:val="24"/>
          <w:rtl/>
        </w:rPr>
        <w:t>﴿</w:t>
      </w:r>
      <w:r w:rsidR="00EF655F" w:rsidRPr="00904FCB">
        <w:rPr>
          <w:rFonts w:asciiTheme="minorBidi" w:hAnsiTheme="minorBidi"/>
          <w:b/>
          <w:bCs/>
          <w:sz w:val="27"/>
          <w:rtl/>
        </w:rPr>
        <w:t xml:space="preserve">وَإِذَا تَوَلَّى </w:t>
      </w:r>
      <w:r w:rsidR="00EF655F" w:rsidRPr="00904FCB">
        <w:rPr>
          <w:rFonts w:asciiTheme="minorBidi" w:hAnsiTheme="minorBidi" w:hint="cs"/>
          <w:b/>
          <w:bCs/>
          <w:sz w:val="27"/>
          <w:rtl/>
        </w:rPr>
        <w:t>سَعَى</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فِي</w:t>
      </w:r>
      <w:r w:rsidR="00EF655F" w:rsidRPr="00904FCB">
        <w:rPr>
          <w:rFonts w:asciiTheme="minorBidi" w:hAnsiTheme="minorBidi"/>
          <w:b/>
          <w:bCs/>
          <w:sz w:val="27"/>
          <w:rtl/>
        </w:rPr>
        <w:t xml:space="preserve"> </w:t>
      </w:r>
      <w:r w:rsidR="002355B4" w:rsidRPr="00904FCB">
        <w:rPr>
          <w:rFonts w:asciiTheme="minorBidi" w:hAnsiTheme="minorBidi" w:hint="cs"/>
          <w:b/>
          <w:bCs/>
          <w:sz w:val="27"/>
          <w:rtl/>
        </w:rPr>
        <w:t>ال</w:t>
      </w:r>
      <w:r w:rsidR="00EF655F" w:rsidRPr="00904FCB">
        <w:rPr>
          <w:rFonts w:asciiTheme="minorBidi" w:hAnsiTheme="minorBidi" w:hint="cs"/>
          <w:b/>
          <w:bCs/>
          <w:sz w:val="27"/>
          <w:rtl/>
        </w:rPr>
        <w:t>أَرْضِ</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لِيُفْسِدَ</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فِيهَا</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وَيُهْلِكَ</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الْحَرْثَ</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وَالنَّسْلَ</w:t>
      </w:r>
      <w:r w:rsidR="002355B4" w:rsidRPr="00904FCB">
        <w:rPr>
          <w:rFonts w:asciiTheme="minorBidi" w:hAnsiTheme="minorBidi" w:hint="cs"/>
          <w:b/>
          <w:bCs/>
          <w:sz w:val="27"/>
          <w:rtl/>
        </w:rPr>
        <w:t xml:space="preserve"> وَالل</w:t>
      </w:r>
      <w:r w:rsidR="00EF655F" w:rsidRPr="00904FCB">
        <w:rPr>
          <w:rFonts w:asciiTheme="minorBidi" w:hAnsiTheme="minorBidi" w:hint="cs"/>
          <w:b/>
          <w:bCs/>
          <w:sz w:val="27"/>
          <w:rtl/>
        </w:rPr>
        <w:t>هُ</w:t>
      </w:r>
      <w:r w:rsidR="00EF655F" w:rsidRPr="00904FCB">
        <w:rPr>
          <w:rFonts w:asciiTheme="minorBidi" w:hAnsiTheme="minorBidi"/>
          <w:b/>
          <w:bCs/>
          <w:sz w:val="27"/>
          <w:rtl/>
        </w:rPr>
        <w:t xml:space="preserve"> </w:t>
      </w:r>
      <w:r w:rsidR="002355B4" w:rsidRPr="00904FCB">
        <w:rPr>
          <w:rFonts w:asciiTheme="minorBidi" w:hAnsiTheme="minorBidi" w:hint="cs"/>
          <w:b/>
          <w:bCs/>
          <w:sz w:val="27"/>
          <w:rtl/>
        </w:rPr>
        <w:t>ل</w:t>
      </w:r>
      <w:r w:rsidR="00EF655F" w:rsidRPr="00904FCB">
        <w:rPr>
          <w:rFonts w:asciiTheme="minorBidi" w:hAnsiTheme="minorBidi" w:hint="cs"/>
          <w:b/>
          <w:bCs/>
          <w:sz w:val="27"/>
          <w:rtl/>
        </w:rPr>
        <w:t>ا</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يُحِبُّ</w:t>
      </w:r>
      <w:r w:rsidR="00EF655F" w:rsidRPr="00904FCB">
        <w:rPr>
          <w:rFonts w:asciiTheme="minorBidi" w:hAnsiTheme="minorBidi"/>
          <w:b/>
          <w:bCs/>
          <w:sz w:val="27"/>
          <w:rtl/>
        </w:rPr>
        <w:t xml:space="preserve"> </w:t>
      </w:r>
      <w:r w:rsidR="00EF655F" w:rsidRPr="00904FCB">
        <w:rPr>
          <w:rFonts w:asciiTheme="minorBidi" w:hAnsiTheme="minorBidi" w:hint="cs"/>
          <w:b/>
          <w:bCs/>
          <w:sz w:val="27"/>
          <w:rtl/>
        </w:rPr>
        <w:t>الْفَسَادَ</w:t>
      </w:r>
      <w:r w:rsidR="00EF655F" w:rsidRPr="00904FCB">
        <w:rPr>
          <w:rFonts w:ascii="Mosawi" w:hAnsi="Mosawi" w:cs="Mosawi"/>
          <w:sz w:val="24"/>
          <w:szCs w:val="24"/>
          <w:rtl/>
        </w:rPr>
        <w:t>﴾</w:t>
      </w:r>
      <w:r w:rsidR="00EF655F" w:rsidRPr="00904FCB">
        <w:rPr>
          <w:rFonts w:asciiTheme="minorBidi" w:hAnsiTheme="minorBidi" w:hint="cs"/>
          <w:sz w:val="27"/>
          <w:rtl/>
        </w:rPr>
        <w:t xml:space="preserve">(البقرة: </w:t>
      </w:r>
      <w:r w:rsidR="00EF655F" w:rsidRPr="00DF4775">
        <w:rPr>
          <w:rFonts w:asciiTheme="minorBidi" w:hAnsiTheme="minorBidi" w:hint="cs"/>
          <w:sz w:val="27"/>
          <w:rtl/>
        </w:rPr>
        <w:t>205</w:t>
      </w:r>
      <w:r w:rsidR="00EF655F"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والظاهر من هذه ال</w:t>
      </w:r>
      <w:r w:rsidR="002355B4" w:rsidRPr="00904FCB">
        <w:rPr>
          <w:rFonts w:asciiTheme="minorBidi" w:hAnsiTheme="minorBidi" w:hint="cs"/>
          <w:sz w:val="27"/>
          <w:rtl/>
        </w:rPr>
        <w:t>آ</w:t>
      </w:r>
      <w:r w:rsidRPr="00904FCB">
        <w:rPr>
          <w:rFonts w:asciiTheme="minorBidi" w:hAnsiTheme="minorBidi" w:hint="cs"/>
          <w:sz w:val="27"/>
          <w:rtl/>
        </w:rPr>
        <w:t>يات أن المراد من الفساد والإفساد ليس الفساد التكويني</w:t>
      </w:r>
      <w:r w:rsidR="002355B4" w:rsidRPr="00904FCB">
        <w:rPr>
          <w:rFonts w:asciiTheme="minorBidi" w:hAnsiTheme="minorBidi" w:hint="cs"/>
          <w:sz w:val="27"/>
          <w:rtl/>
        </w:rPr>
        <w:t>؛</w:t>
      </w:r>
      <w:r w:rsidRPr="00904FCB">
        <w:rPr>
          <w:rFonts w:asciiTheme="minorBidi" w:hAnsiTheme="minorBidi" w:hint="cs"/>
          <w:sz w:val="27"/>
          <w:rtl/>
        </w:rPr>
        <w:t xml:space="preserve"> لأن بعض</w:t>
      </w:r>
      <w:r w:rsidR="00FA61F4">
        <w:rPr>
          <w:rFonts w:asciiTheme="minorBidi" w:hAnsiTheme="minorBidi" w:hint="cs"/>
          <w:sz w:val="27"/>
          <w:rtl/>
        </w:rPr>
        <w:t>اً</w:t>
      </w:r>
      <w:r w:rsidRPr="00904FCB">
        <w:rPr>
          <w:rFonts w:asciiTheme="minorBidi" w:hAnsiTheme="minorBidi" w:hint="cs"/>
          <w:sz w:val="27"/>
          <w:rtl/>
        </w:rPr>
        <w:t xml:space="preserve"> من هذا الفساد لا يكون للإنسان فيه مدخلي</w:t>
      </w:r>
      <w:r w:rsidR="002355B4" w:rsidRPr="00904FCB">
        <w:rPr>
          <w:rFonts w:asciiTheme="minorBidi" w:hAnsiTheme="minorBidi" w:hint="cs"/>
          <w:sz w:val="27"/>
          <w:rtl/>
        </w:rPr>
        <w:t>ّ</w:t>
      </w:r>
      <w:r w:rsidRPr="00904FCB">
        <w:rPr>
          <w:rFonts w:asciiTheme="minorBidi" w:hAnsiTheme="minorBidi" w:hint="cs"/>
          <w:sz w:val="27"/>
          <w:rtl/>
        </w:rPr>
        <w:t>ة</w:t>
      </w:r>
      <w:r w:rsidR="002355B4" w:rsidRPr="00904FCB">
        <w:rPr>
          <w:rFonts w:asciiTheme="minorBidi" w:hAnsiTheme="minorBidi" w:hint="cs"/>
          <w:sz w:val="27"/>
          <w:rtl/>
        </w:rPr>
        <w:t>.</w:t>
      </w:r>
      <w:r w:rsidRPr="00904FCB">
        <w:rPr>
          <w:rFonts w:asciiTheme="minorBidi" w:hAnsiTheme="minorBidi" w:hint="cs"/>
          <w:sz w:val="27"/>
          <w:rtl/>
        </w:rPr>
        <w:t xml:space="preserve"> كذلك ليس المراد من الفساد</w:t>
      </w:r>
      <w:r w:rsidR="002355B4" w:rsidRPr="00904FCB">
        <w:rPr>
          <w:rFonts w:asciiTheme="minorBidi" w:hAnsiTheme="minorBidi" w:hint="cs"/>
          <w:sz w:val="27"/>
          <w:rtl/>
        </w:rPr>
        <w:t xml:space="preserve"> </w:t>
      </w:r>
      <w:r w:rsidRPr="00904FCB">
        <w:rPr>
          <w:rFonts w:asciiTheme="minorBidi" w:hAnsiTheme="minorBidi" w:hint="cs"/>
          <w:sz w:val="27"/>
          <w:rtl/>
        </w:rPr>
        <w:t>هنا الكون والفساد وعالم النشأة</w:t>
      </w:r>
      <w:r w:rsidR="002355B4" w:rsidRPr="00904FCB">
        <w:rPr>
          <w:rFonts w:asciiTheme="minorBidi" w:hAnsiTheme="minorBidi" w:hint="cs"/>
          <w:sz w:val="27"/>
          <w:rtl/>
        </w:rPr>
        <w:t>،</w:t>
      </w:r>
      <w:r w:rsidRPr="00904FCB">
        <w:rPr>
          <w:rFonts w:asciiTheme="minorBidi" w:hAnsiTheme="minorBidi" w:hint="cs"/>
          <w:sz w:val="27"/>
          <w:rtl/>
        </w:rPr>
        <w:t xml:space="preserve"> حيث التنازع من أجل البقاء</w:t>
      </w:r>
      <w:r w:rsidR="002355B4" w:rsidRPr="00904FCB">
        <w:rPr>
          <w:rFonts w:asciiTheme="minorBidi" w:hAnsiTheme="minorBidi" w:hint="cs"/>
          <w:sz w:val="27"/>
          <w:rtl/>
        </w:rPr>
        <w:t>،</w:t>
      </w:r>
      <w:r w:rsidRPr="00904FCB">
        <w:rPr>
          <w:rFonts w:asciiTheme="minorBidi" w:hAnsiTheme="minorBidi" w:hint="cs"/>
          <w:sz w:val="27"/>
          <w:rtl/>
        </w:rPr>
        <w:t xml:space="preserve"> فهو تنازع</w:t>
      </w:r>
      <w:r w:rsidR="002355B4" w:rsidRPr="00904FCB">
        <w:rPr>
          <w:rFonts w:asciiTheme="minorBidi" w:hAnsiTheme="minorBidi" w:hint="cs"/>
          <w:sz w:val="27"/>
          <w:rtl/>
        </w:rPr>
        <w:t>ٌ</w:t>
      </w:r>
      <w:r w:rsidRPr="00904FCB">
        <w:rPr>
          <w:rFonts w:asciiTheme="minorBidi" w:hAnsiTheme="minorBidi" w:hint="cs"/>
          <w:sz w:val="27"/>
          <w:rtl/>
        </w:rPr>
        <w:t xml:space="preserve"> تكويني</w:t>
      </w:r>
      <w:r w:rsidR="002355B4" w:rsidRPr="00904FCB">
        <w:rPr>
          <w:rFonts w:asciiTheme="minorBidi" w:hAnsiTheme="minorBidi" w:hint="cs"/>
          <w:sz w:val="27"/>
          <w:rtl/>
        </w:rPr>
        <w:t>،</w:t>
      </w:r>
      <w:r w:rsidRPr="00904FCB">
        <w:rPr>
          <w:rFonts w:asciiTheme="minorBidi" w:hAnsiTheme="minorBidi" w:hint="cs"/>
          <w:sz w:val="27"/>
          <w:rtl/>
        </w:rPr>
        <w:t xml:space="preserve"> ومن مقتضيات الماد</w:t>
      </w:r>
      <w:r w:rsidR="002355B4" w:rsidRPr="00904FCB">
        <w:rPr>
          <w:rFonts w:asciiTheme="minorBidi" w:hAnsiTheme="minorBidi" w:hint="cs"/>
          <w:sz w:val="27"/>
          <w:rtl/>
        </w:rPr>
        <w:t>ّ</w:t>
      </w:r>
      <w:r w:rsidRPr="00904FCB">
        <w:rPr>
          <w:rFonts w:asciiTheme="minorBidi" w:hAnsiTheme="minorBidi" w:hint="cs"/>
          <w:sz w:val="27"/>
          <w:rtl/>
        </w:rPr>
        <w:t>ة</w:t>
      </w:r>
      <w:r w:rsidR="002355B4" w:rsidRPr="00904FCB">
        <w:rPr>
          <w:rFonts w:asciiTheme="minorBidi" w:hAnsiTheme="minorBidi" w:hint="cs"/>
          <w:sz w:val="27"/>
          <w:rtl/>
        </w:rPr>
        <w:t>،</w:t>
      </w:r>
      <w:r w:rsidRPr="00904FCB">
        <w:rPr>
          <w:rFonts w:asciiTheme="minorBidi" w:hAnsiTheme="minorBidi" w:hint="cs"/>
          <w:sz w:val="27"/>
          <w:rtl/>
        </w:rPr>
        <w:t xml:space="preserve"> حيث يكون الخروج من القو</w:t>
      </w:r>
      <w:r w:rsidR="002355B4" w:rsidRPr="00904FCB">
        <w:rPr>
          <w:rFonts w:asciiTheme="minorBidi" w:hAnsiTheme="minorBidi" w:hint="cs"/>
          <w:sz w:val="27"/>
          <w:rtl/>
        </w:rPr>
        <w:t>ّ</w:t>
      </w:r>
      <w:r w:rsidRPr="00904FCB">
        <w:rPr>
          <w:rFonts w:asciiTheme="minorBidi" w:hAnsiTheme="minorBidi" w:hint="cs"/>
          <w:sz w:val="27"/>
          <w:rtl/>
        </w:rPr>
        <w:t>ة إلى الفعل مستلزما</w:t>
      </w:r>
      <w:r w:rsidR="002355B4" w:rsidRPr="00904FCB">
        <w:rPr>
          <w:rFonts w:asciiTheme="minorBidi" w:hAnsiTheme="minorBidi" w:hint="cs"/>
          <w:sz w:val="27"/>
          <w:rtl/>
        </w:rPr>
        <w:t>ً</w:t>
      </w:r>
      <w:r w:rsidRPr="00904FCB">
        <w:rPr>
          <w:rFonts w:asciiTheme="minorBidi" w:hAnsiTheme="minorBidi" w:hint="cs"/>
          <w:sz w:val="27"/>
          <w:rtl/>
        </w:rPr>
        <w:t xml:space="preserve"> للفقدان</w:t>
      </w:r>
      <w:r w:rsidR="002355B4" w:rsidRPr="00904FCB">
        <w:rPr>
          <w:rFonts w:asciiTheme="minorBidi" w:hAnsiTheme="minorBidi" w:hint="cs"/>
          <w:sz w:val="27"/>
          <w:rtl/>
        </w:rPr>
        <w:t>.</w:t>
      </w:r>
      <w:r w:rsidRPr="00904FCB">
        <w:rPr>
          <w:rFonts w:asciiTheme="minorBidi" w:hAnsiTheme="minorBidi" w:hint="cs"/>
          <w:sz w:val="27"/>
          <w:rtl/>
        </w:rPr>
        <w:t xml:space="preserve"> بل المراد هو الفساد التشريعي الذي يكون ناتجا</w:t>
      </w:r>
      <w:r w:rsidR="002355B4" w:rsidRPr="00904FCB">
        <w:rPr>
          <w:rFonts w:asciiTheme="minorBidi" w:hAnsiTheme="minorBidi" w:hint="cs"/>
          <w:sz w:val="27"/>
          <w:rtl/>
        </w:rPr>
        <w:t>ً</w:t>
      </w:r>
      <w:r w:rsidRPr="00904FCB">
        <w:rPr>
          <w:rFonts w:asciiTheme="minorBidi" w:hAnsiTheme="minorBidi" w:hint="cs"/>
          <w:sz w:val="27"/>
          <w:rtl/>
        </w:rPr>
        <w:t xml:space="preserve"> عن فعل البشر</w:t>
      </w:r>
      <w:r w:rsidR="002355B4" w:rsidRPr="00904FCB">
        <w:rPr>
          <w:rFonts w:asciiTheme="minorBidi" w:hAnsiTheme="minorBidi" w:hint="cs"/>
          <w:sz w:val="27"/>
          <w:rtl/>
        </w:rPr>
        <w:t>،</w:t>
      </w:r>
      <w:r w:rsidRPr="00904FCB">
        <w:rPr>
          <w:rFonts w:asciiTheme="minorBidi" w:hAnsiTheme="minorBidi" w:hint="cs"/>
          <w:sz w:val="27"/>
          <w:rtl/>
        </w:rPr>
        <w:t xml:space="preserve"> ونتيجة لأفعاله</w:t>
      </w:r>
      <w:r w:rsidRPr="00904FCB">
        <w:rPr>
          <w:rFonts w:asciiTheme="minorBidi" w:hAnsiTheme="minorBidi"/>
          <w:sz w:val="27"/>
          <w:vertAlign w:val="superscript"/>
          <w:rtl/>
        </w:rPr>
        <w:t>(</w:t>
      </w:r>
      <w:r w:rsidRPr="00904FCB">
        <w:rPr>
          <w:rStyle w:val="ac"/>
          <w:rFonts w:asciiTheme="minorBidi" w:hAnsiTheme="minorBidi"/>
          <w:sz w:val="27"/>
          <w:rtl/>
        </w:rPr>
        <w:endnoteReference w:id="572"/>
      </w:r>
      <w:r w:rsidRPr="00904FCB">
        <w:rPr>
          <w:rFonts w:asciiTheme="minorBidi" w:hAnsiTheme="minorBidi"/>
          <w:sz w:val="27"/>
          <w:vertAlign w:val="superscript"/>
          <w:rtl/>
        </w:rPr>
        <w:t>)</w:t>
      </w:r>
      <w:r w:rsidRPr="00904FCB">
        <w:rPr>
          <w:rFonts w:asciiTheme="minorBidi" w:hAnsiTheme="minorBidi" w:hint="cs"/>
          <w:sz w:val="27"/>
          <w:rtl/>
        </w:rPr>
        <w:t xml:space="preserve">. </w:t>
      </w:r>
    </w:p>
    <w:p w:rsidR="00EF655F" w:rsidRPr="00904FCB" w:rsidRDefault="00EF655F" w:rsidP="00FA61F4">
      <w:pPr>
        <w:spacing w:line="400" w:lineRule="exact"/>
        <w:rPr>
          <w:rFonts w:asciiTheme="minorBidi" w:hAnsiTheme="minorBidi"/>
          <w:sz w:val="27"/>
          <w:rtl/>
        </w:rPr>
      </w:pPr>
      <w:r w:rsidRPr="00904FCB">
        <w:rPr>
          <w:rFonts w:asciiTheme="minorBidi" w:hAnsiTheme="minorBidi" w:hint="cs"/>
          <w:sz w:val="27"/>
          <w:rtl/>
        </w:rPr>
        <w:t xml:space="preserve">كذلك فإن عبارة </w:t>
      </w:r>
      <w:r w:rsidRPr="00904FCB">
        <w:rPr>
          <w:rFonts w:ascii="Mosawi" w:hAnsi="Mosawi" w:cs="Mosawi"/>
          <w:sz w:val="24"/>
          <w:szCs w:val="24"/>
          <w:rtl/>
        </w:rPr>
        <w:t>﴿</w:t>
      </w:r>
      <w:r w:rsidR="002355B4" w:rsidRPr="00904FCB">
        <w:rPr>
          <w:rFonts w:asciiTheme="minorBidi" w:hAnsiTheme="minorBidi" w:hint="cs"/>
          <w:b/>
          <w:bCs/>
          <w:sz w:val="27"/>
          <w:rtl/>
        </w:rPr>
        <w:t>وَيُهْلِكَ</w:t>
      </w:r>
      <w:r w:rsidR="002355B4" w:rsidRPr="00904FCB">
        <w:rPr>
          <w:rFonts w:asciiTheme="minorBidi" w:hAnsiTheme="minorBidi"/>
          <w:b/>
          <w:bCs/>
          <w:sz w:val="27"/>
          <w:rtl/>
        </w:rPr>
        <w:t xml:space="preserve"> </w:t>
      </w:r>
      <w:r w:rsidR="002355B4" w:rsidRPr="00904FCB">
        <w:rPr>
          <w:rFonts w:asciiTheme="minorBidi" w:hAnsiTheme="minorBidi" w:hint="cs"/>
          <w:b/>
          <w:bCs/>
          <w:sz w:val="27"/>
          <w:rtl/>
        </w:rPr>
        <w:t>الْحَرْثَ</w:t>
      </w:r>
      <w:r w:rsidR="002355B4" w:rsidRPr="00904FCB">
        <w:rPr>
          <w:rFonts w:asciiTheme="minorBidi" w:hAnsiTheme="minorBidi"/>
          <w:b/>
          <w:bCs/>
          <w:sz w:val="27"/>
          <w:rtl/>
        </w:rPr>
        <w:t xml:space="preserve"> </w:t>
      </w:r>
      <w:r w:rsidR="002355B4" w:rsidRPr="00904FCB">
        <w:rPr>
          <w:rFonts w:asciiTheme="minorBidi" w:hAnsiTheme="minorBidi" w:hint="cs"/>
          <w:b/>
          <w:bCs/>
          <w:sz w:val="27"/>
          <w:rtl/>
        </w:rPr>
        <w:t>وَالنَّسْلَ</w:t>
      </w:r>
      <w:r w:rsidRPr="00904FCB">
        <w:rPr>
          <w:rFonts w:ascii="Mosawi" w:hAnsi="Mosawi" w:cs="Mosawi"/>
          <w:sz w:val="24"/>
          <w:szCs w:val="24"/>
          <w:rtl/>
        </w:rPr>
        <w:t>﴾</w:t>
      </w:r>
      <w:r w:rsidRPr="00904FCB">
        <w:rPr>
          <w:rFonts w:asciiTheme="minorBidi" w:hAnsiTheme="minorBidi" w:hint="cs"/>
          <w:sz w:val="27"/>
          <w:rtl/>
        </w:rPr>
        <w:t xml:space="preserve"> في الآيات في مقام بيان بعض مصاديق الفساد</w:t>
      </w:r>
      <w:r w:rsidR="002355B4" w:rsidRPr="00904FCB">
        <w:rPr>
          <w:rFonts w:asciiTheme="minorBidi" w:hAnsiTheme="minorBidi" w:hint="cs"/>
          <w:sz w:val="27"/>
          <w:rtl/>
        </w:rPr>
        <w:t>،</w:t>
      </w:r>
      <w:r w:rsidRPr="00904FCB">
        <w:rPr>
          <w:rFonts w:asciiTheme="minorBidi" w:hAnsiTheme="minorBidi" w:hint="cs"/>
          <w:sz w:val="27"/>
          <w:rtl/>
        </w:rPr>
        <w:t xml:space="preserve"> والتي هي عبارة عن استنزاف وإتلاف نوع النبات ونسل الموجودات المختلفة</w:t>
      </w:r>
      <w:r w:rsidR="002355B4" w:rsidRPr="00904FCB">
        <w:rPr>
          <w:rFonts w:asciiTheme="minorBidi" w:hAnsiTheme="minorBidi" w:hint="cs"/>
          <w:sz w:val="27"/>
          <w:rtl/>
        </w:rPr>
        <w:t>،</w:t>
      </w:r>
      <w:r w:rsidRPr="00904FCB">
        <w:rPr>
          <w:rFonts w:asciiTheme="minorBidi" w:hAnsiTheme="minorBidi" w:hint="cs"/>
          <w:sz w:val="27"/>
          <w:rtl/>
        </w:rPr>
        <w:t xml:space="preserve"> من حيوان</w:t>
      </w:r>
      <w:r w:rsidR="002355B4" w:rsidRPr="00904FCB">
        <w:rPr>
          <w:rFonts w:asciiTheme="minorBidi" w:hAnsiTheme="minorBidi" w:hint="cs"/>
          <w:sz w:val="27"/>
          <w:rtl/>
        </w:rPr>
        <w:t>ٍ</w:t>
      </w:r>
      <w:r w:rsidRPr="00904FCB">
        <w:rPr>
          <w:rFonts w:asciiTheme="minorBidi" w:hAnsiTheme="minorBidi" w:hint="cs"/>
          <w:sz w:val="27"/>
          <w:rtl/>
        </w:rPr>
        <w:t xml:space="preserve"> ونبات وغابات ومزارع</w:t>
      </w:r>
      <w:r w:rsidR="002355B4" w:rsidRPr="00904FCB">
        <w:rPr>
          <w:rFonts w:asciiTheme="minorBidi" w:hAnsiTheme="minorBidi" w:hint="cs"/>
          <w:sz w:val="27"/>
          <w:rtl/>
        </w:rPr>
        <w:t>،</w:t>
      </w:r>
      <w:r w:rsidRPr="00904FCB">
        <w:rPr>
          <w:rFonts w:asciiTheme="minorBidi" w:hAnsiTheme="minorBidi" w:hint="cs"/>
          <w:sz w:val="27"/>
          <w:rtl/>
        </w:rPr>
        <w:t xml:space="preserve"> في مقابل عدم إطلاق نوع البشر. من هنا نستطيع الوصول إلى النتيجة التالية</w:t>
      </w:r>
      <w:r w:rsidR="002355B4" w:rsidRPr="00904FCB">
        <w:rPr>
          <w:rFonts w:asciiTheme="minorBidi" w:hAnsiTheme="minorBidi" w:hint="cs"/>
          <w:sz w:val="27"/>
          <w:rtl/>
        </w:rPr>
        <w:t>:</w:t>
      </w:r>
      <w:r w:rsidRPr="00904FCB">
        <w:rPr>
          <w:rFonts w:asciiTheme="minorBidi" w:hAnsiTheme="minorBidi" w:hint="cs"/>
          <w:sz w:val="27"/>
          <w:rtl/>
        </w:rPr>
        <w:t xml:space="preserve"> </w:t>
      </w:r>
      <w:r w:rsidR="002355B4" w:rsidRPr="00904FCB">
        <w:rPr>
          <w:rFonts w:asciiTheme="minorBidi" w:hAnsiTheme="minorBidi" w:hint="cs"/>
          <w:sz w:val="27"/>
          <w:rtl/>
        </w:rPr>
        <w:t>إ</w:t>
      </w:r>
      <w:r w:rsidRPr="00904FCB">
        <w:rPr>
          <w:rFonts w:asciiTheme="minorBidi" w:hAnsiTheme="minorBidi" w:hint="cs"/>
          <w:sz w:val="27"/>
          <w:rtl/>
        </w:rPr>
        <w:t>ن</w:t>
      </w:r>
      <w:r w:rsidR="002355B4" w:rsidRPr="00904FCB">
        <w:rPr>
          <w:rFonts w:asciiTheme="minorBidi" w:hAnsiTheme="minorBidi" w:hint="cs"/>
          <w:sz w:val="27"/>
          <w:rtl/>
        </w:rPr>
        <w:t>ّ</w:t>
      </w:r>
      <w:r w:rsidRPr="00904FCB">
        <w:rPr>
          <w:rFonts w:asciiTheme="minorBidi" w:hAnsiTheme="minorBidi" w:hint="cs"/>
          <w:sz w:val="27"/>
          <w:rtl/>
        </w:rPr>
        <w:t xml:space="preserve"> إهلاك أي</w:t>
      </w:r>
      <w:r w:rsidR="002355B4" w:rsidRPr="00904FCB">
        <w:rPr>
          <w:rFonts w:asciiTheme="minorBidi" w:hAnsiTheme="minorBidi" w:hint="cs"/>
          <w:sz w:val="27"/>
          <w:rtl/>
        </w:rPr>
        <w:t>ّ</w:t>
      </w:r>
      <w:r w:rsidRPr="00904FCB">
        <w:rPr>
          <w:rFonts w:asciiTheme="minorBidi" w:hAnsiTheme="minorBidi" w:hint="cs"/>
          <w:sz w:val="27"/>
          <w:rtl/>
        </w:rPr>
        <w:t xml:space="preserve"> نوع من الحرث والنسل</w:t>
      </w:r>
      <w:r w:rsidR="002355B4" w:rsidRPr="00904FCB">
        <w:rPr>
          <w:rFonts w:asciiTheme="minorBidi" w:hAnsiTheme="minorBidi" w:hint="cs"/>
          <w:sz w:val="27"/>
          <w:rtl/>
        </w:rPr>
        <w:t>،</w:t>
      </w:r>
      <w:r w:rsidRPr="00904FCB">
        <w:rPr>
          <w:rFonts w:asciiTheme="minorBidi" w:hAnsiTheme="minorBidi" w:hint="cs"/>
          <w:sz w:val="27"/>
          <w:rtl/>
        </w:rPr>
        <w:t xml:space="preserve"> أعم</w:t>
      </w:r>
      <w:r w:rsidR="002355B4" w:rsidRPr="00904FCB">
        <w:rPr>
          <w:rFonts w:asciiTheme="minorBidi" w:hAnsiTheme="minorBidi" w:hint="cs"/>
          <w:sz w:val="27"/>
          <w:rtl/>
        </w:rPr>
        <w:t>ّ</w:t>
      </w:r>
      <w:r w:rsidRPr="00904FCB">
        <w:rPr>
          <w:rFonts w:asciiTheme="minorBidi" w:hAnsiTheme="minorBidi" w:hint="cs"/>
          <w:sz w:val="27"/>
          <w:rtl/>
        </w:rPr>
        <w:t xml:space="preserve"> من الحيوان والنبات</w:t>
      </w:r>
      <w:r w:rsidR="002355B4" w:rsidRPr="00904FCB">
        <w:rPr>
          <w:rFonts w:asciiTheme="minorBidi" w:hAnsiTheme="minorBidi" w:hint="cs"/>
          <w:sz w:val="27"/>
          <w:rtl/>
        </w:rPr>
        <w:t>،</w:t>
      </w:r>
      <w:r w:rsidRPr="00904FCB">
        <w:rPr>
          <w:rFonts w:asciiTheme="minorBidi" w:hAnsiTheme="minorBidi" w:hint="cs"/>
          <w:sz w:val="27"/>
          <w:rtl/>
        </w:rPr>
        <w:t xml:space="preserve"> قسم من مصاديق الفساد في هذه الآيات</w:t>
      </w:r>
      <w:r w:rsidR="002355B4" w:rsidRPr="00904FCB">
        <w:rPr>
          <w:rFonts w:asciiTheme="minorBidi" w:hAnsiTheme="minorBidi" w:hint="cs"/>
          <w:sz w:val="27"/>
          <w:rtl/>
        </w:rPr>
        <w:t>،</w:t>
      </w:r>
      <w:r w:rsidRPr="00904FCB">
        <w:rPr>
          <w:rFonts w:asciiTheme="minorBidi" w:hAnsiTheme="minorBidi" w:hint="cs"/>
          <w:sz w:val="27"/>
          <w:rtl/>
        </w:rPr>
        <w:t xml:space="preserve"> وبالتالي يجري عليها الحكم بالحرمة الفقهية</w:t>
      </w:r>
      <w:r w:rsidR="002355B4" w:rsidRPr="00904FCB">
        <w:rPr>
          <w:rFonts w:asciiTheme="minorBidi" w:hAnsiTheme="minorBidi" w:hint="cs"/>
          <w:sz w:val="27"/>
          <w:rtl/>
        </w:rPr>
        <w:t>؛</w:t>
      </w:r>
      <w:r w:rsidRPr="00904FCB">
        <w:rPr>
          <w:rFonts w:asciiTheme="minorBidi" w:hAnsiTheme="minorBidi" w:hint="cs"/>
          <w:sz w:val="27"/>
          <w:rtl/>
        </w:rPr>
        <w:t xml:space="preserve"> لأن فصل الآية بين أن الله لا يحب</w:t>
      </w:r>
      <w:r w:rsidR="002355B4" w:rsidRPr="00904FCB">
        <w:rPr>
          <w:rFonts w:asciiTheme="minorBidi" w:hAnsiTheme="minorBidi" w:hint="cs"/>
          <w:sz w:val="27"/>
          <w:rtl/>
        </w:rPr>
        <w:t>ّ</w:t>
      </w:r>
      <w:r w:rsidRPr="00904FCB">
        <w:rPr>
          <w:rFonts w:asciiTheme="minorBidi" w:hAnsiTheme="minorBidi" w:hint="cs"/>
          <w:sz w:val="27"/>
          <w:rtl/>
        </w:rPr>
        <w:t xml:space="preserve"> هذا الفساد </w:t>
      </w:r>
      <w:r w:rsidRPr="00904FCB">
        <w:rPr>
          <w:rFonts w:ascii="Mosawi" w:hAnsi="Mosawi" w:cs="Mosawi"/>
          <w:sz w:val="24"/>
          <w:szCs w:val="24"/>
          <w:rtl/>
        </w:rPr>
        <w:t>﴿</w:t>
      </w:r>
      <w:r w:rsidR="002355B4" w:rsidRPr="00904FCB">
        <w:rPr>
          <w:rFonts w:asciiTheme="minorBidi" w:hAnsiTheme="minorBidi" w:hint="cs"/>
          <w:b/>
          <w:bCs/>
          <w:sz w:val="27"/>
          <w:rtl/>
        </w:rPr>
        <w:t>وَاللهُ</w:t>
      </w:r>
      <w:r w:rsidR="002355B4" w:rsidRPr="00904FCB">
        <w:rPr>
          <w:rFonts w:asciiTheme="minorBidi" w:hAnsiTheme="minorBidi"/>
          <w:b/>
          <w:bCs/>
          <w:sz w:val="27"/>
          <w:rtl/>
        </w:rPr>
        <w:t xml:space="preserve"> </w:t>
      </w:r>
      <w:r w:rsidR="002355B4" w:rsidRPr="00904FCB">
        <w:rPr>
          <w:rFonts w:asciiTheme="minorBidi" w:hAnsiTheme="minorBidi" w:hint="cs"/>
          <w:b/>
          <w:bCs/>
          <w:sz w:val="27"/>
          <w:rtl/>
        </w:rPr>
        <w:t>لا</w:t>
      </w:r>
      <w:r w:rsidR="002355B4" w:rsidRPr="00904FCB">
        <w:rPr>
          <w:rFonts w:asciiTheme="minorBidi" w:hAnsiTheme="minorBidi"/>
          <w:b/>
          <w:bCs/>
          <w:sz w:val="27"/>
          <w:rtl/>
        </w:rPr>
        <w:t xml:space="preserve"> </w:t>
      </w:r>
      <w:r w:rsidR="002355B4" w:rsidRPr="00904FCB">
        <w:rPr>
          <w:rFonts w:asciiTheme="minorBidi" w:hAnsiTheme="minorBidi" w:hint="cs"/>
          <w:b/>
          <w:bCs/>
          <w:sz w:val="27"/>
          <w:rtl/>
        </w:rPr>
        <w:t>يُحِبُّ</w:t>
      </w:r>
      <w:r w:rsidR="002355B4" w:rsidRPr="00904FCB">
        <w:rPr>
          <w:rFonts w:asciiTheme="minorBidi" w:hAnsiTheme="minorBidi"/>
          <w:b/>
          <w:bCs/>
          <w:sz w:val="27"/>
          <w:rtl/>
        </w:rPr>
        <w:t xml:space="preserve"> </w:t>
      </w:r>
      <w:r w:rsidR="002355B4" w:rsidRPr="00904FCB">
        <w:rPr>
          <w:rFonts w:asciiTheme="minorBidi" w:hAnsiTheme="minorBidi" w:hint="cs"/>
          <w:b/>
          <w:bCs/>
          <w:sz w:val="27"/>
          <w:rtl/>
        </w:rPr>
        <w:t>الْفَسَادَ</w:t>
      </w:r>
      <w:r w:rsidRPr="00904FCB">
        <w:rPr>
          <w:rFonts w:ascii="Mosawi" w:hAnsi="Mosawi" w:cs="Mosawi"/>
          <w:sz w:val="24"/>
          <w:szCs w:val="24"/>
          <w:rtl/>
        </w:rPr>
        <w:t>﴾</w:t>
      </w:r>
      <w:r w:rsidRPr="00904FCB">
        <w:rPr>
          <w:rFonts w:asciiTheme="minorBidi" w:hAnsiTheme="minorBidi" w:hint="cs"/>
          <w:sz w:val="27"/>
          <w:rtl/>
        </w:rPr>
        <w:t xml:space="preserve"> والحكم هنا واضح</w:t>
      </w:r>
      <w:r w:rsidR="002355B4" w:rsidRPr="00904FCB">
        <w:rPr>
          <w:rFonts w:asciiTheme="minorBidi" w:hAnsiTheme="minorBidi" w:hint="cs"/>
          <w:sz w:val="27"/>
          <w:rtl/>
        </w:rPr>
        <w:t>ٌ</w:t>
      </w:r>
      <w:r w:rsidRPr="00904FCB">
        <w:rPr>
          <w:rFonts w:asciiTheme="minorBidi" w:hAnsiTheme="minorBidi" w:hint="cs"/>
          <w:sz w:val="27"/>
          <w:rtl/>
        </w:rPr>
        <w:t xml:space="preserve"> وسهل البيان</w:t>
      </w:r>
      <w:r w:rsidR="002355B4" w:rsidRPr="00904FCB">
        <w:rPr>
          <w:rFonts w:asciiTheme="minorBidi" w:hAnsiTheme="minorBidi" w:hint="cs"/>
          <w:sz w:val="27"/>
          <w:rtl/>
        </w:rPr>
        <w:t>.</w:t>
      </w:r>
      <w:r w:rsidRPr="00904FCB">
        <w:rPr>
          <w:rFonts w:asciiTheme="minorBidi" w:hAnsiTheme="minorBidi" w:hint="cs"/>
          <w:sz w:val="27"/>
          <w:rtl/>
        </w:rPr>
        <w:t xml:space="preserve"> والنتيجة التي نصل إليها أن الفساد في الأرض مطلقا</w:t>
      </w:r>
      <w:r w:rsidR="002355B4" w:rsidRPr="00904FCB">
        <w:rPr>
          <w:rFonts w:asciiTheme="minorBidi" w:hAnsiTheme="minorBidi" w:hint="cs"/>
          <w:sz w:val="27"/>
          <w:rtl/>
        </w:rPr>
        <w:t>ً</w:t>
      </w:r>
      <w:r w:rsidRPr="00904FCB">
        <w:rPr>
          <w:rFonts w:asciiTheme="minorBidi" w:hAnsiTheme="minorBidi" w:hint="cs"/>
          <w:sz w:val="27"/>
          <w:rtl/>
        </w:rPr>
        <w:t xml:space="preserve"> حرام. </w:t>
      </w:r>
    </w:p>
    <w:p w:rsidR="00EF655F" w:rsidRPr="00904FCB" w:rsidRDefault="00EF655F" w:rsidP="00FA61F4">
      <w:pPr>
        <w:spacing w:line="400" w:lineRule="exact"/>
        <w:rPr>
          <w:rFonts w:asciiTheme="minorBidi" w:hAnsiTheme="minorBidi"/>
          <w:sz w:val="27"/>
          <w:rtl/>
        </w:rPr>
      </w:pPr>
      <w:r w:rsidRPr="00904FCB">
        <w:rPr>
          <w:rFonts w:asciiTheme="minorBidi" w:hAnsiTheme="minorBidi" w:hint="cs"/>
          <w:sz w:val="27"/>
          <w:rtl/>
        </w:rPr>
        <w:t>وبالجملة بما أن ال</w:t>
      </w:r>
      <w:r w:rsidR="002355B4" w:rsidRPr="00904FCB">
        <w:rPr>
          <w:rFonts w:asciiTheme="minorBidi" w:hAnsiTheme="minorBidi" w:hint="cs"/>
          <w:sz w:val="27"/>
          <w:rtl/>
        </w:rPr>
        <w:t>أ</w:t>
      </w:r>
      <w:r w:rsidRPr="00904FCB">
        <w:rPr>
          <w:rFonts w:asciiTheme="minorBidi" w:hAnsiTheme="minorBidi" w:hint="cs"/>
          <w:sz w:val="27"/>
          <w:rtl/>
        </w:rPr>
        <w:t>رض وما فيها تشك</w:t>
      </w:r>
      <w:r w:rsidR="002355B4" w:rsidRPr="00904FCB">
        <w:rPr>
          <w:rFonts w:asciiTheme="minorBidi" w:hAnsiTheme="minorBidi" w:hint="cs"/>
          <w:sz w:val="27"/>
          <w:rtl/>
        </w:rPr>
        <w:t>ِّ</w:t>
      </w:r>
      <w:r w:rsidRPr="00904FCB">
        <w:rPr>
          <w:rFonts w:asciiTheme="minorBidi" w:hAnsiTheme="minorBidi" w:hint="cs"/>
          <w:sz w:val="27"/>
          <w:rtl/>
        </w:rPr>
        <w:t>ل المحيط والبيئة العامة التي يعيش فيها الإنسان</w:t>
      </w:r>
      <w:r w:rsidR="002355B4" w:rsidRPr="00904FCB">
        <w:rPr>
          <w:rFonts w:asciiTheme="minorBidi" w:hAnsiTheme="minorBidi" w:hint="cs"/>
          <w:sz w:val="27"/>
          <w:rtl/>
        </w:rPr>
        <w:t>،</w:t>
      </w:r>
      <w:r w:rsidRPr="00904FCB">
        <w:rPr>
          <w:rFonts w:asciiTheme="minorBidi" w:hAnsiTheme="minorBidi" w:hint="cs"/>
          <w:sz w:val="27"/>
          <w:rtl/>
        </w:rPr>
        <w:t xml:space="preserve"> ومن ضمن الن</w:t>
      </w:r>
      <w:r w:rsidR="002355B4" w:rsidRPr="00904FCB">
        <w:rPr>
          <w:rFonts w:asciiTheme="minorBidi" w:hAnsiTheme="minorBidi" w:hint="cs"/>
          <w:sz w:val="27"/>
          <w:rtl/>
        </w:rPr>
        <w:t>ِّ</w:t>
      </w:r>
      <w:r w:rsidRPr="00904FCB">
        <w:rPr>
          <w:rFonts w:asciiTheme="minorBidi" w:hAnsiTheme="minorBidi" w:hint="cs"/>
          <w:sz w:val="27"/>
          <w:rtl/>
        </w:rPr>
        <w:t>ع</w:t>
      </w:r>
      <w:r w:rsidR="002355B4" w:rsidRPr="00904FCB">
        <w:rPr>
          <w:rFonts w:asciiTheme="minorBidi" w:hAnsiTheme="minorBidi" w:hint="cs"/>
          <w:sz w:val="27"/>
          <w:rtl/>
        </w:rPr>
        <w:t>َ</w:t>
      </w:r>
      <w:r w:rsidRPr="00904FCB">
        <w:rPr>
          <w:rFonts w:asciiTheme="minorBidi" w:hAnsiTheme="minorBidi" w:hint="cs"/>
          <w:sz w:val="27"/>
          <w:rtl/>
        </w:rPr>
        <w:t>م المسخ</w:t>
      </w:r>
      <w:r w:rsidR="002355B4" w:rsidRPr="00904FCB">
        <w:rPr>
          <w:rFonts w:asciiTheme="minorBidi" w:hAnsiTheme="minorBidi" w:hint="cs"/>
          <w:sz w:val="27"/>
          <w:rtl/>
        </w:rPr>
        <w:t>َّ</w:t>
      </w:r>
      <w:r w:rsidRPr="00904FCB">
        <w:rPr>
          <w:rFonts w:asciiTheme="minorBidi" w:hAnsiTheme="minorBidi" w:hint="cs"/>
          <w:sz w:val="27"/>
          <w:rtl/>
        </w:rPr>
        <w:t>رة لكاف</w:t>
      </w:r>
      <w:r w:rsidR="002355B4" w:rsidRPr="00904FCB">
        <w:rPr>
          <w:rFonts w:asciiTheme="minorBidi" w:hAnsiTheme="minorBidi" w:hint="cs"/>
          <w:sz w:val="27"/>
          <w:rtl/>
        </w:rPr>
        <w:t>ّ</w:t>
      </w:r>
      <w:r w:rsidRPr="00904FCB">
        <w:rPr>
          <w:rFonts w:asciiTheme="minorBidi" w:hAnsiTheme="minorBidi" w:hint="cs"/>
          <w:sz w:val="27"/>
          <w:rtl/>
        </w:rPr>
        <w:t>ة البشر</w:t>
      </w:r>
      <w:r w:rsidR="002355B4" w:rsidRPr="00904FCB">
        <w:rPr>
          <w:rFonts w:asciiTheme="minorBidi" w:hAnsiTheme="minorBidi" w:hint="cs"/>
          <w:sz w:val="27"/>
          <w:rtl/>
        </w:rPr>
        <w:t>،</w:t>
      </w:r>
      <w:r w:rsidRPr="00904FCB">
        <w:rPr>
          <w:rFonts w:asciiTheme="minorBidi" w:hAnsiTheme="minorBidi" w:hint="cs"/>
          <w:sz w:val="27"/>
          <w:rtl/>
        </w:rPr>
        <w:t xml:space="preserve"> والعمل على فقدانها وتدميرها يجعل كل</w:t>
      </w:r>
      <w:r w:rsidR="002355B4" w:rsidRPr="00904FCB">
        <w:rPr>
          <w:rFonts w:asciiTheme="minorBidi" w:hAnsiTheme="minorBidi" w:hint="cs"/>
          <w:sz w:val="27"/>
          <w:rtl/>
        </w:rPr>
        <w:t>ّ</w:t>
      </w:r>
      <w:r w:rsidRPr="00904FCB">
        <w:rPr>
          <w:rFonts w:asciiTheme="minorBidi" w:hAnsiTheme="minorBidi" w:hint="cs"/>
          <w:sz w:val="27"/>
          <w:rtl/>
        </w:rPr>
        <w:t xml:space="preserve"> المجتمع في معرضية الخطر والفناء</w:t>
      </w:r>
      <w:r w:rsidR="002355B4" w:rsidRPr="00904FCB">
        <w:rPr>
          <w:rFonts w:asciiTheme="minorBidi" w:hAnsiTheme="minorBidi" w:hint="cs"/>
          <w:sz w:val="27"/>
          <w:rtl/>
        </w:rPr>
        <w:t>،</w:t>
      </w:r>
      <w:r w:rsidRPr="00904FCB">
        <w:rPr>
          <w:rFonts w:asciiTheme="minorBidi" w:hAnsiTheme="minorBidi" w:hint="cs"/>
          <w:sz w:val="27"/>
          <w:rtl/>
        </w:rPr>
        <w:t xml:space="preserve"> فإن الحاكم من موقع مسؤوليته الحكومية مكل</w:t>
      </w:r>
      <w:r w:rsidR="002355B4" w:rsidRPr="00904FCB">
        <w:rPr>
          <w:rFonts w:asciiTheme="minorBidi" w:hAnsiTheme="minorBidi" w:hint="cs"/>
          <w:sz w:val="27"/>
          <w:rtl/>
        </w:rPr>
        <w:t>َّ</w:t>
      </w:r>
      <w:r w:rsidRPr="00904FCB">
        <w:rPr>
          <w:rFonts w:asciiTheme="minorBidi" w:hAnsiTheme="minorBidi" w:hint="cs"/>
          <w:sz w:val="27"/>
          <w:rtl/>
        </w:rPr>
        <w:t>ف</w:t>
      </w:r>
      <w:r w:rsidR="002355B4" w:rsidRPr="00904FCB">
        <w:rPr>
          <w:rFonts w:asciiTheme="minorBidi" w:hAnsiTheme="minorBidi" w:hint="cs"/>
          <w:sz w:val="27"/>
          <w:rtl/>
        </w:rPr>
        <w:t>ٌ</w:t>
      </w:r>
      <w:r w:rsidRPr="00904FCB">
        <w:rPr>
          <w:rFonts w:asciiTheme="minorBidi" w:hAnsiTheme="minorBidi" w:hint="cs"/>
          <w:sz w:val="27"/>
          <w:rtl/>
        </w:rPr>
        <w:t xml:space="preserve"> بحفظ البيئة والمحيط الاجتماعي العام</w:t>
      </w:r>
      <w:r w:rsidR="002355B4" w:rsidRPr="00904FCB">
        <w:rPr>
          <w:rFonts w:asciiTheme="minorBidi" w:hAnsiTheme="minorBidi" w:hint="cs"/>
          <w:sz w:val="27"/>
          <w:rtl/>
        </w:rPr>
        <w:t>ّ،</w:t>
      </w:r>
      <w:r w:rsidRPr="00904FCB">
        <w:rPr>
          <w:rFonts w:asciiTheme="minorBidi" w:hAnsiTheme="minorBidi" w:hint="cs"/>
          <w:sz w:val="27"/>
          <w:rtl/>
        </w:rPr>
        <w:t xml:space="preserve"> من خلال التمهيد للقوانين اللازمة</w:t>
      </w:r>
      <w:r w:rsidR="002355B4" w:rsidRPr="00904FCB">
        <w:rPr>
          <w:rFonts w:asciiTheme="minorBidi" w:hAnsiTheme="minorBidi" w:hint="cs"/>
          <w:sz w:val="27"/>
          <w:rtl/>
        </w:rPr>
        <w:t>،</w:t>
      </w:r>
      <w:r w:rsidRPr="00904FCB">
        <w:rPr>
          <w:rFonts w:asciiTheme="minorBidi" w:hAnsiTheme="minorBidi" w:hint="cs"/>
          <w:sz w:val="27"/>
          <w:rtl/>
        </w:rPr>
        <w:t xml:space="preserve"> وال</w:t>
      </w:r>
      <w:r w:rsidR="002355B4" w:rsidRPr="00904FCB">
        <w:rPr>
          <w:rFonts w:asciiTheme="minorBidi" w:hAnsiTheme="minorBidi" w:hint="cs"/>
          <w:sz w:val="27"/>
          <w:rtl/>
        </w:rPr>
        <w:t>سهر</w:t>
      </w:r>
      <w:r w:rsidRPr="00904FCB">
        <w:rPr>
          <w:rFonts w:asciiTheme="minorBidi" w:hAnsiTheme="minorBidi" w:hint="cs"/>
          <w:sz w:val="27"/>
          <w:rtl/>
        </w:rPr>
        <w:t xml:space="preserve"> على إجرائها وفق المعايير الصحيحة. </w:t>
      </w:r>
    </w:p>
    <w:p w:rsidR="00EF655F" w:rsidRPr="00904FCB" w:rsidRDefault="00EF655F" w:rsidP="007A21AA">
      <w:pPr>
        <w:spacing w:line="400" w:lineRule="exact"/>
        <w:rPr>
          <w:rFonts w:asciiTheme="minorBidi" w:hAnsiTheme="minorBidi"/>
          <w:sz w:val="27"/>
          <w:rtl/>
        </w:rPr>
      </w:pPr>
    </w:p>
    <w:p w:rsidR="00EF655F" w:rsidRPr="00904FCB" w:rsidRDefault="00EF655F" w:rsidP="00FA61F4">
      <w:pPr>
        <w:pStyle w:val="31"/>
        <w:spacing w:line="400" w:lineRule="exact"/>
        <w:rPr>
          <w:color w:val="auto"/>
          <w:rtl/>
        </w:rPr>
      </w:pPr>
      <w:r w:rsidRPr="00904FCB">
        <w:rPr>
          <w:rFonts w:hint="cs"/>
          <w:color w:val="auto"/>
          <w:rtl/>
        </w:rPr>
        <w:t xml:space="preserve">الثاني: لزوم حفظ التوازن والتعادل في الطبيعة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يستنتج هذا من خلال بعض الآيات</w:t>
      </w:r>
      <w:r w:rsidR="002355B4" w:rsidRPr="00904FCB">
        <w:rPr>
          <w:rFonts w:asciiTheme="minorBidi" w:hAnsiTheme="minorBidi" w:hint="cs"/>
          <w:sz w:val="27"/>
          <w:rtl/>
        </w:rPr>
        <w:t>،</w:t>
      </w:r>
      <w:r w:rsidRPr="00904FCB">
        <w:rPr>
          <w:rFonts w:asciiTheme="minorBidi" w:hAnsiTheme="minorBidi" w:hint="cs"/>
          <w:sz w:val="27"/>
          <w:rtl/>
        </w:rPr>
        <w:t xml:space="preserve"> نظير</w:t>
      </w:r>
      <w:r w:rsidR="002355B4" w:rsidRPr="00904FCB">
        <w:rPr>
          <w:rFonts w:asciiTheme="minorBidi" w:hAnsiTheme="minorBidi" w:hint="cs"/>
          <w:sz w:val="27"/>
          <w:rtl/>
        </w:rPr>
        <w:t>:</w:t>
      </w:r>
      <w:r w:rsidRPr="00904FCB">
        <w:rPr>
          <w:rFonts w:asciiTheme="minorBidi" w:hAnsiTheme="minorBidi" w:hint="cs"/>
          <w:sz w:val="27"/>
          <w:rtl/>
        </w:rPr>
        <w:t xml:space="preserve"> قوله تعالى: </w:t>
      </w:r>
      <w:r w:rsidRPr="00904FCB">
        <w:rPr>
          <w:rFonts w:ascii="Mosawi" w:hAnsi="Mosawi" w:cs="Mosawi"/>
          <w:sz w:val="24"/>
          <w:szCs w:val="24"/>
          <w:rtl/>
        </w:rPr>
        <w:t>﴿</w:t>
      </w:r>
      <w:r w:rsidR="002355B4" w:rsidRPr="00904FCB">
        <w:rPr>
          <w:rFonts w:asciiTheme="minorBidi" w:hAnsiTheme="minorBidi"/>
          <w:b/>
          <w:bCs/>
          <w:sz w:val="27"/>
          <w:rtl/>
        </w:rPr>
        <w:t>قَدْ جَعَلَ الل</w:t>
      </w:r>
      <w:r w:rsidRPr="00904FCB">
        <w:rPr>
          <w:rFonts w:asciiTheme="minorBidi" w:hAnsiTheme="minorBidi"/>
          <w:b/>
          <w:bCs/>
          <w:sz w:val="27"/>
          <w:rtl/>
        </w:rPr>
        <w:t>هُ لِكُلِّ شَيْءٍ قَدْراً</w:t>
      </w:r>
      <w:r w:rsidRPr="00904FCB">
        <w:rPr>
          <w:rFonts w:ascii="Mosawi" w:hAnsi="Mosawi" w:cs="Mosawi"/>
          <w:sz w:val="24"/>
          <w:szCs w:val="24"/>
          <w:rtl/>
        </w:rPr>
        <w:t>﴾</w:t>
      </w:r>
      <w:r w:rsidRPr="00904FCB">
        <w:rPr>
          <w:rFonts w:hint="cs"/>
          <w:sz w:val="27"/>
          <w:rtl/>
        </w:rPr>
        <w:t xml:space="preserve"> (الطلاق: </w:t>
      </w:r>
      <w:r w:rsidRPr="00DF4775">
        <w:rPr>
          <w:rFonts w:hint="cs"/>
          <w:sz w:val="27"/>
          <w:rtl/>
        </w:rPr>
        <w:t>3).</w:t>
      </w:r>
      <w:r w:rsidRPr="00904FCB">
        <w:rPr>
          <w:rFonts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Mosawi" w:hAnsi="Mosawi" w:cs="Mosawi"/>
          <w:sz w:val="24"/>
          <w:szCs w:val="24"/>
          <w:rtl/>
        </w:rPr>
        <w:lastRenderedPageBreak/>
        <w:t>﴿</w:t>
      </w:r>
      <w:r w:rsidR="002355B4" w:rsidRPr="00904FCB">
        <w:rPr>
          <w:rFonts w:asciiTheme="minorBidi" w:hAnsiTheme="minorBidi"/>
          <w:b/>
          <w:bCs/>
          <w:sz w:val="27"/>
          <w:rtl/>
        </w:rPr>
        <w:t>وَال</w:t>
      </w:r>
      <w:r w:rsidRPr="00904FCB">
        <w:rPr>
          <w:rFonts w:asciiTheme="minorBidi" w:hAnsiTheme="minorBidi"/>
          <w:b/>
          <w:bCs/>
          <w:sz w:val="27"/>
          <w:rtl/>
        </w:rPr>
        <w:t>أَرْضَ مَدَدْنَاهَا وَأَلْقَيْنَا فِيهَا رَوَاسِيَ وَأَنْبَتْنَا فِيهَا مِنْ كُلِّ شَيْءٍ مَوْزُونٍ</w:t>
      </w:r>
      <w:r w:rsidR="000748D3" w:rsidRPr="00904FCB">
        <w:rPr>
          <w:rFonts w:asciiTheme="minorBidi" w:hAnsiTheme="minorBidi" w:hint="cs"/>
          <w:b/>
          <w:bCs/>
          <w:sz w:val="27"/>
          <w:rtl/>
        </w:rPr>
        <w:t xml:space="preserve"> *</w:t>
      </w:r>
      <w:r w:rsidRPr="00904FCB">
        <w:rPr>
          <w:rFonts w:asciiTheme="minorBidi" w:hAnsiTheme="minorBidi" w:hint="cs"/>
          <w:b/>
          <w:bCs/>
          <w:sz w:val="27"/>
          <w:rtl/>
        </w:rPr>
        <w:t xml:space="preserve"> </w:t>
      </w:r>
      <w:r w:rsidRPr="00904FCB">
        <w:rPr>
          <w:rFonts w:asciiTheme="minorBidi" w:hAnsiTheme="minorBidi"/>
          <w:b/>
          <w:bCs/>
          <w:sz w:val="27"/>
          <w:rtl/>
        </w:rPr>
        <w:t>وَجَعَلْنَا لَكُمْ فِيهَا مَعَايِشَ وَمَنْ لَسْتُمْ لَهُ بِرَازِقِينَ</w:t>
      </w:r>
      <w:r w:rsidR="000748D3" w:rsidRPr="00904FCB">
        <w:rPr>
          <w:rFonts w:asciiTheme="minorBidi" w:hAnsiTheme="minorBidi" w:hint="cs"/>
          <w:b/>
          <w:bCs/>
          <w:sz w:val="27"/>
          <w:rtl/>
        </w:rPr>
        <w:t xml:space="preserve"> *</w:t>
      </w:r>
      <w:r w:rsidRPr="00904FCB">
        <w:rPr>
          <w:rFonts w:asciiTheme="minorBidi" w:hAnsiTheme="minorBidi" w:hint="cs"/>
          <w:b/>
          <w:bCs/>
          <w:sz w:val="27"/>
          <w:rtl/>
        </w:rPr>
        <w:t xml:space="preserve"> </w:t>
      </w:r>
      <w:r w:rsidR="000748D3" w:rsidRPr="00904FCB">
        <w:rPr>
          <w:rFonts w:asciiTheme="minorBidi" w:hAnsiTheme="minorBidi"/>
          <w:b/>
          <w:bCs/>
          <w:sz w:val="27"/>
          <w:rtl/>
        </w:rPr>
        <w:t>وَإِنْ مِنْ شَيْءٍ إِل</w:t>
      </w:r>
      <w:r w:rsidRPr="00904FCB">
        <w:rPr>
          <w:rFonts w:asciiTheme="minorBidi" w:hAnsiTheme="minorBidi"/>
          <w:b/>
          <w:bCs/>
          <w:sz w:val="27"/>
          <w:rtl/>
        </w:rPr>
        <w:t>ا</w:t>
      </w:r>
      <w:r w:rsidR="000748D3" w:rsidRPr="00904FCB">
        <w:rPr>
          <w:rFonts w:asciiTheme="minorBidi" w:hAnsiTheme="minorBidi" w:hint="cs"/>
          <w:b/>
          <w:bCs/>
          <w:sz w:val="27"/>
          <w:rtl/>
        </w:rPr>
        <w:t>َّ</w:t>
      </w:r>
      <w:r w:rsidRPr="00904FCB">
        <w:rPr>
          <w:rFonts w:asciiTheme="minorBidi" w:hAnsiTheme="minorBidi"/>
          <w:b/>
          <w:bCs/>
          <w:sz w:val="27"/>
          <w:rtl/>
        </w:rPr>
        <w:t xml:space="preserve"> عِنْدَنَا خَز</w:t>
      </w:r>
      <w:r w:rsidR="000748D3" w:rsidRPr="00904FCB">
        <w:rPr>
          <w:rFonts w:asciiTheme="minorBidi" w:hAnsiTheme="minorBidi"/>
          <w:b/>
          <w:bCs/>
          <w:sz w:val="27"/>
          <w:rtl/>
        </w:rPr>
        <w:t>َائِنُهُ وَمَا نُنَزِّلُهُ إِل</w:t>
      </w:r>
      <w:r w:rsidRPr="00904FCB">
        <w:rPr>
          <w:rFonts w:asciiTheme="minorBidi" w:hAnsiTheme="minorBidi"/>
          <w:b/>
          <w:bCs/>
          <w:sz w:val="27"/>
          <w:rtl/>
        </w:rPr>
        <w:t>ا</w:t>
      </w:r>
      <w:r w:rsidR="000748D3" w:rsidRPr="00904FCB">
        <w:rPr>
          <w:rFonts w:asciiTheme="minorBidi" w:hAnsiTheme="minorBidi" w:hint="cs"/>
          <w:b/>
          <w:bCs/>
          <w:sz w:val="27"/>
          <w:rtl/>
        </w:rPr>
        <w:t>َّ</w:t>
      </w:r>
      <w:r w:rsidRPr="00904FCB">
        <w:rPr>
          <w:rFonts w:asciiTheme="minorBidi" w:hAnsiTheme="minorBidi"/>
          <w:b/>
          <w:bCs/>
          <w:sz w:val="27"/>
          <w:rtl/>
        </w:rPr>
        <w:t xml:space="preserve"> بِقَدَرٍ مَعْلُومٍ</w:t>
      </w:r>
      <w:r w:rsidRPr="00904FCB">
        <w:rPr>
          <w:rFonts w:ascii="Mosawi" w:hAnsi="Mosawi" w:cs="Mosawi"/>
          <w:sz w:val="24"/>
          <w:szCs w:val="24"/>
          <w:rtl/>
        </w:rPr>
        <w:t>﴾</w:t>
      </w:r>
      <w:r w:rsidRPr="00904FCB">
        <w:rPr>
          <w:rFonts w:hint="cs"/>
          <w:sz w:val="27"/>
          <w:rtl/>
        </w:rPr>
        <w:t xml:space="preserve"> (</w:t>
      </w:r>
      <w:r w:rsidRPr="00DF4775">
        <w:rPr>
          <w:rFonts w:hint="cs"/>
          <w:sz w:val="27"/>
          <w:rtl/>
        </w:rPr>
        <w:t>الحجر: 19 ـ 21</w:t>
      </w:r>
      <w:r w:rsidRPr="00904FCB">
        <w:rPr>
          <w:rFonts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من خلال الآيتين يتبين أن إرادة الله سبحانه وتعالى في حفظ التوازن والتناسق في نظام عالم الخلقة</w:t>
      </w:r>
      <w:r w:rsidR="000748D3" w:rsidRPr="00904FCB">
        <w:rPr>
          <w:rFonts w:asciiTheme="minorBidi" w:hAnsiTheme="minorBidi" w:hint="cs"/>
          <w:sz w:val="27"/>
          <w:rtl/>
        </w:rPr>
        <w:t>،</w:t>
      </w:r>
      <w:r w:rsidRPr="00904FCB">
        <w:rPr>
          <w:rFonts w:asciiTheme="minorBidi" w:hAnsiTheme="minorBidi" w:hint="cs"/>
          <w:sz w:val="27"/>
          <w:rtl/>
        </w:rPr>
        <w:t xml:space="preserve"> وإرادته من البشر أن يحترموا التوازن في الطبيعة</w:t>
      </w:r>
      <w:r w:rsidR="000748D3" w:rsidRPr="00904FCB">
        <w:rPr>
          <w:rFonts w:asciiTheme="minorBidi" w:hAnsiTheme="minorBidi" w:hint="cs"/>
          <w:sz w:val="27"/>
          <w:rtl/>
        </w:rPr>
        <w:t>،</w:t>
      </w:r>
      <w:r w:rsidRPr="00904FCB">
        <w:rPr>
          <w:rFonts w:asciiTheme="minorBidi" w:hAnsiTheme="minorBidi" w:hint="cs"/>
          <w:sz w:val="27"/>
          <w:rtl/>
        </w:rPr>
        <w:t xml:space="preserve"> وأن يجتنبوا أي</w:t>
      </w:r>
      <w:r w:rsidR="000748D3" w:rsidRPr="00904FCB">
        <w:rPr>
          <w:rFonts w:asciiTheme="minorBidi" w:hAnsiTheme="minorBidi" w:hint="cs"/>
          <w:sz w:val="27"/>
          <w:rtl/>
        </w:rPr>
        <w:t>َّ</w:t>
      </w:r>
      <w:r w:rsidRPr="00904FCB">
        <w:rPr>
          <w:rFonts w:asciiTheme="minorBidi" w:hAnsiTheme="minorBidi" w:hint="cs"/>
          <w:sz w:val="27"/>
          <w:rtl/>
        </w:rPr>
        <w:t xml:space="preserve"> ممارسة من شأنها أن تفقد الطبيعة توازنها وتناسقها</w:t>
      </w:r>
      <w:r w:rsidR="00FA61F4">
        <w:rPr>
          <w:rFonts w:asciiTheme="minorBidi" w:hAnsiTheme="minorBidi" w:hint="cs"/>
          <w:sz w:val="27"/>
          <w:rtl/>
        </w:rPr>
        <w:t>،</w:t>
      </w:r>
      <w:r w:rsidRPr="00904FCB">
        <w:rPr>
          <w:rFonts w:asciiTheme="minorBidi" w:hAnsiTheme="minorBidi" w:hint="cs"/>
          <w:sz w:val="27"/>
          <w:rtl/>
        </w:rPr>
        <w:t xml:space="preserve"> وعالم الخلقة ترتيبه ونظمه.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 xml:space="preserve">وحيث </w:t>
      </w:r>
      <w:r w:rsidR="000748D3" w:rsidRPr="00904FCB">
        <w:rPr>
          <w:rFonts w:asciiTheme="minorBidi" w:hAnsiTheme="minorBidi" w:hint="cs"/>
          <w:sz w:val="27"/>
          <w:rtl/>
        </w:rPr>
        <w:t>إن</w:t>
      </w:r>
      <w:r w:rsidRPr="00904FCB">
        <w:rPr>
          <w:rFonts w:asciiTheme="minorBidi" w:hAnsiTheme="minorBidi" w:hint="cs"/>
          <w:sz w:val="27"/>
          <w:rtl/>
        </w:rPr>
        <w:t xml:space="preserve"> إرادة الله التكوينية تتناسق وتنسجم وإرادته التشريعية نستنبط أن أي</w:t>
      </w:r>
      <w:r w:rsidR="000748D3" w:rsidRPr="00904FCB">
        <w:rPr>
          <w:rFonts w:asciiTheme="minorBidi" w:hAnsiTheme="minorBidi" w:hint="cs"/>
          <w:sz w:val="27"/>
          <w:rtl/>
        </w:rPr>
        <w:t>َّ</w:t>
      </w:r>
      <w:r w:rsidRPr="00904FCB">
        <w:rPr>
          <w:rFonts w:asciiTheme="minorBidi" w:hAnsiTheme="minorBidi" w:hint="cs"/>
          <w:sz w:val="27"/>
          <w:rtl/>
        </w:rPr>
        <w:t xml:space="preserve"> سلوك يؤد</w:t>
      </w:r>
      <w:r w:rsidR="000748D3" w:rsidRPr="00904FCB">
        <w:rPr>
          <w:rFonts w:asciiTheme="minorBidi" w:hAnsiTheme="minorBidi" w:hint="cs"/>
          <w:sz w:val="27"/>
          <w:rtl/>
        </w:rPr>
        <w:t>ّ</w:t>
      </w:r>
      <w:r w:rsidRPr="00904FCB">
        <w:rPr>
          <w:rFonts w:asciiTheme="minorBidi" w:hAnsiTheme="minorBidi" w:hint="cs"/>
          <w:sz w:val="27"/>
          <w:rtl/>
        </w:rPr>
        <w:t>ي إلى خلل</w:t>
      </w:r>
      <w:r w:rsidR="000748D3" w:rsidRPr="00904FCB">
        <w:rPr>
          <w:rFonts w:asciiTheme="minorBidi" w:hAnsiTheme="minorBidi" w:hint="cs"/>
          <w:sz w:val="27"/>
          <w:rtl/>
        </w:rPr>
        <w:t>ٍ</w:t>
      </w:r>
      <w:r w:rsidRPr="00904FCB">
        <w:rPr>
          <w:rFonts w:asciiTheme="minorBidi" w:hAnsiTheme="minorBidi" w:hint="cs"/>
          <w:sz w:val="27"/>
          <w:rtl/>
        </w:rPr>
        <w:t xml:space="preserve"> في الطبيعة يعني في حقيقة ال</w:t>
      </w:r>
      <w:r w:rsidR="000748D3" w:rsidRPr="00904FCB">
        <w:rPr>
          <w:rFonts w:asciiTheme="minorBidi" w:hAnsiTheme="minorBidi" w:hint="cs"/>
          <w:sz w:val="27"/>
          <w:rtl/>
        </w:rPr>
        <w:t>أ</w:t>
      </w:r>
      <w:r w:rsidRPr="00904FCB">
        <w:rPr>
          <w:rFonts w:asciiTheme="minorBidi" w:hAnsiTheme="minorBidi" w:hint="cs"/>
          <w:sz w:val="27"/>
          <w:rtl/>
        </w:rPr>
        <w:t xml:space="preserve">مر </w:t>
      </w:r>
      <w:r w:rsidR="000748D3" w:rsidRPr="00904FCB">
        <w:rPr>
          <w:rFonts w:asciiTheme="minorBidi" w:hAnsiTheme="minorBidi" w:hint="cs"/>
          <w:sz w:val="27"/>
          <w:rtl/>
        </w:rPr>
        <w:t>إ</w:t>
      </w:r>
      <w:r w:rsidRPr="00904FCB">
        <w:rPr>
          <w:rFonts w:asciiTheme="minorBidi" w:hAnsiTheme="minorBidi" w:hint="cs"/>
          <w:sz w:val="27"/>
          <w:rtl/>
        </w:rPr>
        <w:t>حداث عدم ال</w:t>
      </w:r>
      <w:r w:rsidR="000748D3" w:rsidRPr="00904FCB">
        <w:rPr>
          <w:rFonts w:asciiTheme="minorBidi" w:hAnsiTheme="minorBidi" w:hint="cs"/>
          <w:sz w:val="27"/>
          <w:rtl/>
        </w:rPr>
        <w:t>ا</w:t>
      </w:r>
      <w:r w:rsidRPr="00904FCB">
        <w:rPr>
          <w:rFonts w:asciiTheme="minorBidi" w:hAnsiTheme="minorBidi" w:hint="cs"/>
          <w:sz w:val="27"/>
          <w:rtl/>
        </w:rPr>
        <w:t>نسجام والتوافق بين الإرادة التكوينية والإرادة التشريعية، وبالت</w:t>
      </w:r>
      <w:r w:rsidR="000748D3" w:rsidRPr="00904FCB">
        <w:rPr>
          <w:rFonts w:asciiTheme="minorBidi" w:hAnsiTheme="minorBidi" w:hint="cs"/>
          <w:sz w:val="27"/>
          <w:rtl/>
        </w:rPr>
        <w:t>َّ</w:t>
      </w:r>
      <w:r w:rsidRPr="00904FCB">
        <w:rPr>
          <w:rFonts w:asciiTheme="minorBidi" w:hAnsiTheme="minorBidi" w:hint="cs"/>
          <w:sz w:val="27"/>
          <w:rtl/>
        </w:rPr>
        <w:t>ب</w:t>
      </w:r>
      <w:r w:rsidR="000748D3" w:rsidRPr="00904FCB">
        <w:rPr>
          <w:rFonts w:asciiTheme="minorBidi" w:hAnsiTheme="minorBidi" w:hint="cs"/>
          <w:sz w:val="27"/>
          <w:rtl/>
        </w:rPr>
        <w:t>َ</w:t>
      </w:r>
      <w:r w:rsidRPr="00904FCB">
        <w:rPr>
          <w:rFonts w:asciiTheme="minorBidi" w:hAnsiTheme="minorBidi" w:hint="cs"/>
          <w:sz w:val="27"/>
          <w:rtl/>
        </w:rPr>
        <w:t>ع يدخل كل</w:t>
      </w:r>
      <w:r w:rsidR="000748D3" w:rsidRPr="00904FCB">
        <w:rPr>
          <w:rFonts w:asciiTheme="minorBidi" w:hAnsiTheme="minorBidi" w:hint="cs"/>
          <w:sz w:val="27"/>
          <w:rtl/>
        </w:rPr>
        <w:t>ّ</w:t>
      </w:r>
      <w:r w:rsidRPr="00904FCB">
        <w:rPr>
          <w:rFonts w:asciiTheme="minorBidi" w:hAnsiTheme="minorBidi" w:hint="cs"/>
          <w:sz w:val="27"/>
          <w:rtl/>
        </w:rPr>
        <w:t xml:space="preserve"> مصاديق عدم التناسق وعدم التوازن ضمن مساحة الحكم بالكراهة والحرمة. </w:t>
      </w:r>
    </w:p>
    <w:p w:rsidR="00EF655F" w:rsidRPr="00904FCB" w:rsidRDefault="00EF655F" w:rsidP="007A21AA">
      <w:pPr>
        <w:spacing w:line="400" w:lineRule="exact"/>
        <w:rPr>
          <w:rFonts w:asciiTheme="minorBidi" w:hAnsiTheme="minorBidi"/>
          <w:sz w:val="27"/>
          <w:rtl/>
        </w:rPr>
      </w:pPr>
    </w:p>
    <w:p w:rsidR="00EF655F" w:rsidRPr="00904FCB" w:rsidRDefault="00EF655F" w:rsidP="007A21AA">
      <w:pPr>
        <w:pStyle w:val="31"/>
        <w:spacing w:line="400" w:lineRule="exact"/>
        <w:rPr>
          <w:color w:val="auto"/>
          <w:rtl/>
        </w:rPr>
      </w:pPr>
      <w:r w:rsidRPr="00904FCB">
        <w:rPr>
          <w:rFonts w:hint="cs"/>
          <w:color w:val="auto"/>
          <w:rtl/>
        </w:rPr>
        <w:t xml:space="preserve">الثالث: قاعدة لا ضرر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رغم تعد</w:t>
      </w:r>
      <w:r w:rsidR="000748D3" w:rsidRPr="00904FCB">
        <w:rPr>
          <w:rFonts w:asciiTheme="minorBidi" w:hAnsiTheme="minorBidi" w:hint="cs"/>
          <w:sz w:val="27"/>
          <w:rtl/>
        </w:rPr>
        <w:t>ُّ</w:t>
      </w:r>
      <w:r w:rsidRPr="00904FCB">
        <w:rPr>
          <w:rFonts w:asciiTheme="minorBidi" w:hAnsiTheme="minorBidi" w:hint="cs"/>
          <w:sz w:val="27"/>
          <w:rtl/>
        </w:rPr>
        <w:t xml:space="preserve">د الأبحاث حول قاعدة </w:t>
      </w:r>
      <w:r w:rsidRPr="00904FCB">
        <w:rPr>
          <w:rFonts w:hint="eastAsia"/>
          <w:sz w:val="27"/>
          <w:rtl/>
        </w:rPr>
        <w:t>«</w:t>
      </w:r>
      <w:r w:rsidRPr="00904FCB">
        <w:rPr>
          <w:rFonts w:asciiTheme="minorBidi" w:hAnsiTheme="minorBidi" w:hint="cs"/>
          <w:sz w:val="27"/>
          <w:rtl/>
        </w:rPr>
        <w:t>لا ضرر</w:t>
      </w:r>
      <w:r w:rsidRPr="00904FCB">
        <w:rPr>
          <w:rFonts w:hint="eastAsia"/>
          <w:sz w:val="27"/>
          <w:rtl/>
        </w:rPr>
        <w:t>»</w:t>
      </w:r>
      <w:r w:rsidR="000748D3" w:rsidRPr="00904FCB">
        <w:rPr>
          <w:rFonts w:asciiTheme="minorBidi" w:hAnsiTheme="minorBidi" w:hint="cs"/>
          <w:sz w:val="27"/>
          <w:rtl/>
        </w:rPr>
        <w:t>،</w:t>
      </w:r>
      <w:r w:rsidRPr="00904FCB">
        <w:rPr>
          <w:rFonts w:asciiTheme="minorBidi" w:hAnsiTheme="minorBidi" w:hint="cs"/>
          <w:sz w:val="27"/>
          <w:rtl/>
        </w:rPr>
        <w:t xml:space="preserve"> وات</w:t>
      </w:r>
      <w:r w:rsidR="000748D3" w:rsidRPr="00904FCB">
        <w:rPr>
          <w:rFonts w:asciiTheme="minorBidi" w:hAnsiTheme="minorBidi" w:hint="cs"/>
          <w:sz w:val="27"/>
          <w:rtl/>
        </w:rPr>
        <w:t>ّ</w:t>
      </w:r>
      <w:r w:rsidRPr="00904FCB">
        <w:rPr>
          <w:rFonts w:asciiTheme="minorBidi" w:hAnsiTheme="minorBidi" w:hint="cs"/>
          <w:sz w:val="27"/>
          <w:rtl/>
        </w:rPr>
        <w:t>ساع رقعة احتمالات استعمالها</w:t>
      </w:r>
      <w:r w:rsidR="000748D3" w:rsidRPr="00904FCB">
        <w:rPr>
          <w:rFonts w:asciiTheme="minorBidi" w:hAnsiTheme="minorBidi" w:hint="cs"/>
          <w:sz w:val="27"/>
          <w:rtl/>
        </w:rPr>
        <w:t>،</w:t>
      </w:r>
      <w:r w:rsidRPr="00904FCB">
        <w:rPr>
          <w:rFonts w:asciiTheme="minorBidi" w:hAnsiTheme="minorBidi" w:hint="cs"/>
          <w:sz w:val="27"/>
          <w:rtl/>
        </w:rPr>
        <w:t xml:space="preserve"> </w:t>
      </w:r>
      <w:r w:rsidR="000748D3" w:rsidRPr="00904FCB">
        <w:rPr>
          <w:rFonts w:asciiTheme="minorBidi" w:hAnsiTheme="minorBidi" w:hint="cs"/>
          <w:sz w:val="27"/>
          <w:rtl/>
        </w:rPr>
        <w:t>فإ</w:t>
      </w:r>
      <w:r w:rsidRPr="00904FCB">
        <w:rPr>
          <w:rFonts w:asciiTheme="minorBidi" w:hAnsiTheme="minorBidi" w:hint="cs"/>
          <w:sz w:val="27"/>
          <w:rtl/>
        </w:rPr>
        <w:t>ن</w:t>
      </w:r>
      <w:r w:rsidR="000748D3" w:rsidRPr="00904FCB">
        <w:rPr>
          <w:rFonts w:asciiTheme="minorBidi" w:hAnsiTheme="minorBidi" w:hint="cs"/>
          <w:sz w:val="27"/>
          <w:rtl/>
        </w:rPr>
        <w:t>ّ</w:t>
      </w:r>
      <w:r w:rsidRPr="00904FCB">
        <w:rPr>
          <w:rFonts w:asciiTheme="minorBidi" w:hAnsiTheme="minorBidi" w:hint="cs"/>
          <w:sz w:val="27"/>
          <w:rtl/>
        </w:rPr>
        <w:t>ها تتفق جميعا</w:t>
      </w:r>
      <w:r w:rsidR="000748D3" w:rsidRPr="00904FCB">
        <w:rPr>
          <w:rFonts w:asciiTheme="minorBidi" w:hAnsiTheme="minorBidi" w:hint="cs"/>
          <w:sz w:val="27"/>
          <w:rtl/>
        </w:rPr>
        <w:t>ً</w:t>
      </w:r>
      <w:r w:rsidRPr="00904FCB">
        <w:rPr>
          <w:rFonts w:asciiTheme="minorBidi" w:hAnsiTheme="minorBidi" w:hint="cs"/>
          <w:sz w:val="27"/>
          <w:rtl/>
        </w:rPr>
        <w:t xml:space="preserve"> على عدم مشروعية الضرر والإضرار في الإسلام. وبما أن القاعدة تت</w:t>
      </w:r>
      <w:r w:rsidR="000748D3" w:rsidRPr="00904FCB">
        <w:rPr>
          <w:rFonts w:asciiTheme="minorBidi" w:hAnsiTheme="minorBidi" w:hint="cs"/>
          <w:sz w:val="27"/>
          <w:rtl/>
        </w:rPr>
        <w:t>ّ</w:t>
      </w:r>
      <w:r w:rsidRPr="00904FCB">
        <w:rPr>
          <w:rFonts w:asciiTheme="minorBidi" w:hAnsiTheme="minorBidi" w:hint="cs"/>
          <w:sz w:val="27"/>
          <w:rtl/>
        </w:rPr>
        <w:t>سع لتشمل مجال الحفاظ على البيئة</w:t>
      </w:r>
      <w:r w:rsidR="000748D3" w:rsidRPr="00904FCB">
        <w:rPr>
          <w:rFonts w:asciiTheme="minorBidi" w:hAnsiTheme="minorBidi" w:hint="cs"/>
          <w:sz w:val="27"/>
          <w:rtl/>
        </w:rPr>
        <w:t>،</w:t>
      </w:r>
      <w:r w:rsidRPr="00904FCB">
        <w:rPr>
          <w:rFonts w:asciiTheme="minorBidi" w:hAnsiTheme="minorBidi" w:hint="cs"/>
          <w:sz w:val="27"/>
          <w:rtl/>
        </w:rPr>
        <w:t xml:space="preserve"> والامتناع عن إفسادها وإهلاكها، فإن</w:t>
      </w:r>
      <w:r w:rsidR="000748D3" w:rsidRPr="00904FCB">
        <w:rPr>
          <w:rFonts w:asciiTheme="minorBidi" w:hAnsiTheme="minorBidi" w:hint="cs"/>
          <w:sz w:val="27"/>
          <w:rtl/>
        </w:rPr>
        <w:t>ّ</w:t>
      </w:r>
      <w:r w:rsidRPr="00904FCB">
        <w:rPr>
          <w:rFonts w:asciiTheme="minorBidi" w:hAnsiTheme="minorBidi" w:hint="cs"/>
          <w:sz w:val="27"/>
          <w:rtl/>
        </w:rPr>
        <w:t xml:space="preserve"> هذا يفتح المجال لإيجاد مبان</w:t>
      </w:r>
      <w:r w:rsidR="000748D3" w:rsidRPr="00904FCB">
        <w:rPr>
          <w:rFonts w:asciiTheme="minorBidi" w:hAnsiTheme="minorBidi" w:hint="cs"/>
          <w:sz w:val="27"/>
          <w:rtl/>
        </w:rPr>
        <w:t>ٍ</w:t>
      </w:r>
      <w:r w:rsidRPr="00904FCB">
        <w:rPr>
          <w:rFonts w:asciiTheme="minorBidi" w:hAnsiTheme="minorBidi" w:hint="cs"/>
          <w:sz w:val="27"/>
          <w:rtl/>
        </w:rPr>
        <w:t xml:space="preserve"> وأسس فقهية لتشريع مجموعة من الأحكام تخص</w:t>
      </w:r>
      <w:r w:rsidR="000748D3" w:rsidRPr="00904FCB">
        <w:rPr>
          <w:rFonts w:asciiTheme="minorBidi" w:hAnsiTheme="minorBidi" w:hint="cs"/>
          <w:sz w:val="27"/>
          <w:rtl/>
        </w:rPr>
        <w:t>ّ</w:t>
      </w:r>
      <w:r w:rsidRPr="00904FCB">
        <w:rPr>
          <w:rFonts w:asciiTheme="minorBidi" w:hAnsiTheme="minorBidi" w:hint="cs"/>
          <w:sz w:val="27"/>
          <w:rtl/>
        </w:rPr>
        <w:t xml:space="preserve"> البيئة</w:t>
      </w:r>
      <w:r w:rsidR="000748D3" w:rsidRPr="00904FCB">
        <w:rPr>
          <w:rFonts w:asciiTheme="minorBidi" w:hAnsiTheme="minorBidi" w:hint="cs"/>
          <w:sz w:val="27"/>
          <w:rtl/>
        </w:rPr>
        <w:t>،</w:t>
      </w:r>
      <w:r w:rsidRPr="00904FCB">
        <w:rPr>
          <w:rFonts w:asciiTheme="minorBidi" w:hAnsiTheme="minorBidi" w:hint="cs"/>
          <w:sz w:val="27"/>
          <w:rtl/>
        </w:rPr>
        <w:t xml:space="preserve"> وتنفيذها ضمن المجال التشريعي. ولهذا فإن أي</w:t>
      </w:r>
      <w:r w:rsidR="000748D3" w:rsidRPr="00904FCB">
        <w:rPr>
          <w:rFonts w:asciiTheme="minorBidi" w:hAnsiTheme="minorBidi" w:hint="cs"/>
          <w:sz w:val="27"/>
          <w:rtl/>
        </w:rPr>
        <w:t>َّ</w:t>
      </w:r>
      <w:r w:rsidRPr="00904FCB">
        <w:rPr>
          <w:rFonts w:asciiTheme="minorBidi" w:hAnsiTheme="minorBidi" w:hint="cs"/>
          <w:sz w:val="27"/>
          <w:rtl/>
        </w:rPr>
        <w:t xml:space="preserve"> عمل يسب</w:t>
      </w:r>
      <w:r w:rsidR="000748D3" w:rsidRPr="00904FCB">
        <w:rPr>
          <w:rFonts w:asciiTheme="minorBidi" w:hAnsiTheme="minorBidi" w:hint="cs"/>
          <w:sz w:val="27"/>
          <w:rtl/>
        </w:rPr>
        <w:t>ِّ</w:t>
      </w:r>
      <w:r w:rsidRPr="00904FCB">
        <w:rPr>
          <w:rFonts w:asciiTheme="minorBidi" w:hAnsiTheme="minorBidi" w:hint="cs"/>
          <w:sz w:val="27"/>
          <w:rtl/>
        </w:rPr>
        <w:t>ب تغييرا</w:t>
      </w:r>
      <w:r w:rsidR="000748D3" w:rsidRPr="00904FCB">
        <w:rPr>
          <w:rFonts w:asciiTheme="minorBidi" w:hAnsiTheme="minorBidi" w:hint="cs"/>
          <w:sz w:val="27"/>
          <w:rtl/>
        </w:rPr>
        <w:t>ً</w:t>
      </w:r>
      <w:r w:rsidRPr="00904FCB">
        <w:rPr>
          <w:rFonts w:asciiTheme="minorBidi" w:hAnsiTheme="minorBidi" w:hint="cs"/>
          <w:sz w:val="27"/>
          <w:rtl/>
        </w:rPr>
        <w:t xml:space="preserve"> في المحيط البشري وفي الطبيعة</w:t>
      </w:r>
      <w:r w:rsidR="000748D3" w:rsidRPr="00904FCB">
        <w:rPr>
          <w:rFonts w:asciiTheme="minorBidi" w:hAnsiTheme="minorBidi" w:hint="cs"/>
          <w:sz w:val="27"/>
          <w:rtl/>
        </w:rPr>
        <w:t>،</w:t>
      </w:r>
      <w:r w:rsidRPr="00904FCB">
        <w:rPr>
          <w:rFonts w:asciiTheme="minorBidi" w:hAnsiTheme="minorBidi" w:hint="cs"/>
          <w:sz w:val="27"/>
          <w:rtl/>
        </w:rPr>
        <w:t xml:space="preserve"> يكون موجبا</w:t>
      </w:r>
      <w:r w:rsidR="000748D3" w:rsidRPr="00904FCB">
        <w:rPr>
          <w:rFonts w:asciiTheme="minorBidi" w:hAnsiTheme="minorBidi" w:hint="cs"/>
          <w:sz w:val="27"/>
          <w:rtl/>
        </w:rPr>
        <w:t>ً</w:t>
      </w:r>
      <w:r w:rsidRPr="00904FCB">
        <w:rPr>
          <w:rFonts w:asciiTheme="minorBidi" w:hAnsiTheme="minorBidi" w:hint="cs"/>
          <w:sz w:val="27"/>
          <w:rtl/>
        </w:rPr>
        <w:t xml:space="preserve"> للمساس بحقوق الآخرين</w:t>
      </w:r>
      <w:r w:rsidR="000748D3" w:rsidRPr="00904FCB">
        <w:rPr>
          <w:rFonts w:asciiTheme="minorBidi" w:hAnsiTheme="minorBidi" w:hint="cs"/>
          <w:sz w:val="27"/>
          <w:rtl/>
        </w:rPr>
        <w:t>،</w:t>
      </w:r>
      <w:r w:rsidRPr="00904FCB">
        <w:rPr>
          <w:rFonts w:asciiTheme="minorBidi" w:hAnsiTheme="minorBidi" w:hint="cs"/>
          <w:sz w:val="27"/>
          <w:rtl/>
        </w:rPr>
        <w:t xml:space="preserve"> والإضرار بهم</w:t>
      </w:r>
      <w:r w:rsidR="000748D3" w:rsidRPr="00904FCB">
        <w:rPr>
          <w:rFonts w:asciiTheme="minorBidi" w:hAnsiTheme="minorBidi" w:hint="cs"/>
          <w:sz w:val="27"/>
          <w:rtl/>
        </w:rPr>
        <w:t>،</w:t>
      </w:r>
      <w:r w:rsidRPr="00904FCB">
        <w:rPr>
          <w:rFonts w:asciiTheme="minorBidi" w:hAnsiTheme="minorBidi" w:hint="cs"/>
          <w:sz w:val="27"/>
          <w:rtl/>
        </w:rPr>
        <w:t xml:space="preserve"> ممنوع</w:t>
      </w:r>
      <w:r w:rsidR="000748D3" w:rsidRPr="00904FCB">
        <w:rPr>
          <w:rFonts w:asciiTheme="minorBidi" w:hAnsiTheme="minorBidi" w:hint="cs"/>
          <w:sz w:val="27"/>
          <w:rtl/>
        </w:rPr>
        <w:t>ٌ</w:t>
      </w:r>
      <w:r w:rsidRPr="00904FCB">
        <w:rPr>
          <w:rFonts w:asciiTheme="minorBidi" w:hAnsiTheme="minorBidi" w:hint="cs"/>
          <w:sz w:val="27"/>
          <w:rtl/>
        </w:rPr>
        <w:t xml:space="preserve"> شرعا</w:t>
      </w:r>
      <w:r w:rsidR="000748D3" w:rsidRPr="00904FCB">
        <w:rPr>
          <w:rFonts w:asciiTheme="minorBidi" w:hAnsiTheme="minorBidi" w:hint="cs"/>
          <w:sz w:val="27"/>
          <w:rtl/>
        </w:rPr>
        <w:t>ً</w:t>
      </w:r>
      <w:r w:rsidRPr="00904FCB">
        <w:rPr>
          <w:rFonts w:asciiTheme="minorBidi" w:hAnsiTheme="minorBidi" w:hint="cs"/>
          <w:sz w:val="27"/>
          <w:rtl/>
        </w:rPr>
        <w:t xml:space="preserve"> وغير جائز. وهناك العديد من أمور البيئة والمحيط نستطيع معالجتها ضمن قاعدة </w:t>
      </w:r>
      <w:r w:rsidRPr="00904FCB">
        <w:rPr>
          <w:rFonts w:hint="eastAsia"/>
          <w:sz w:val="27"/>
          <w:rtl/>
        </w:rPr>
        <w:t>«</w:t>
      </w:r>
      <w:r w:rsidRPr="00904FCB">
        <w:rPr>
          <w:rFonts w:asciiTheme="minorBidi" w:hAnsiTheme="minorBidi" w:hint="cs"/>
          <w:sz w:val="27"/>
          <w:rtl/>
        </w:rPr>
        <w:t>لا ضرر</w:t>
      </w:r>
      <w:r w:rsidRPr="00904FCB">
        <w:rPr>
          <w:rFonts w:hint="eastAsia"/>
          <w:sz w:val="27"/>
          <w:rtl/>
        </w:rPr>
        <w:t>»</w:t>
      </w:r>
      <w:r w:rsidR="000748D3" w:rsidRPr="00904FCB">
        <w:rPr>
          <w:rFonts w:asciiTheme="minorBidi" w:hAnsiTheme="minorBidi" w:hint="cs"/>
          <w:sz w:val="27"/>
          <w:rtl/>
        </w:rPr>
        <w:t>،</w:t>
      </w:r>
      <w:r w:rsidRPr="00904FCB">
        <w:rPr>
          <w:rFonts w:asciiTheme="minorBidi" w:hAnsiTheme="minorBidi" w:hint="cs"/>
          <w:sz w:val="27"/>
          <w:rtl/>
        </w:rPr>
        <w:t xml:space="preserve"> مثل: </w:t>
      </w:r>
    </w:p>
    <w:p w:rsidR="00EF655F" w:rsidRPr="00904FCB" w:rsidRDefault="00EF655F" w:rsidP="007A21AA">
      <w:pPr>
        <w:spacing w:line="400" w:lineRule="exact"/>
        <w:rPr>
          <w:rFonts w:asciiTheme="minorBidi" w:hAnsiTheme="minorBidi"/>
          <w:sz w:val="27"/>
        </w:rPr>
      </w:pPr>
      <w:r w:rsidRPr="00904FCB">
        <w:rPr>
          <w:rFonts w:asciiTheme="minorBidi" w:hAnsiTheme="minorBidi" w:hint="cs"/>
          <w:sz w:val="27"/>
          <w:rtl/>
        </w:rPr>
        <w:t>ـ رمي النفايات</w:t>
      </w:r>
      <w:r w:rsidR="000748D3" w:rsidRPr="00904FCB">
        <w:rPr>
          <w:rFonts w:asciiTheme="minorBidi" w:hAnsiTheme="minorBidi" w:hint="cs"/>
          <w:sz w:val="27"/>
          <w:rtl/>
        </w:rPr>
        <w:t>،</w:t>
      </w:r>
      <w:r w:rsidRPr="00904FCB">
        <w:rPr>
          <w:rFonts w:asciiTheme="minorBidi" w:hAnsiTheme="minorBidi" w:hint="cs"/>
          <w:sz w:val="27"/>
          <w:rtl/>
        </w:rPr>
        <w:t xml:space="preserve"> وبالأخص تلك التي لا تتحل</w:t>
      </w:r>
      <w:r w:rsidR="000748D3" w:rsidRPr="00904FCB">
        <w:rPr>
          <w:rFonts w:asciiTheme="minorBidi" w:hAnsiTheme="minorBidi" w:hint="cs"/>
          <w:sz w:val="27"/>
          <w:rtl/>
        </w:rPr>
        <w:t>َّ</w:t>
      </w:r>
      <w:r w:rsidRPr="00904FCB">
        <w:rPr>
          <w:rFonts w:asciiTheme="minorBidi" w:hAnsiTheme="minorBidi" w:hint="cs"/>
          <w:sz w:val="27"/>
          <w:rtl/>
        </w:rPr>
        <w:t xml:space="preserve">ل مع مرور الوقت. </w:t>
      </w:r>
    </w:p>
    <w:p w:rsidR="00EF655F" w:rsidRPr="00904FCB" w:rsidRDefault="00EF655F" w:rsidP="00FA61F4">
      <w:pPr>
        <w:spacing w:line="400" w:lineRule="exact"/>
        <w:rPr>
          <w:rFonts w:asciiTheme="minorBidi" w:hAnsiTheme="minorBidi"/>
          <w:sz w:val="27"/>
        </w:rPr>
      </w:pPr>
      <w:r w:rsidRPr="00904FCB">
        <w:rPr>
          <w:rFonts w:asciiTheme="minorBidi" w:hAnsiTheme="minorBidi" w:hint="cs"/>
          <w:sz w:val="27"/>
          <w:rtl/>
        </w:rPr>
        <w:t xml:space="preserve">ـ الاستغلال غير المشروع </w:t>
      </w:r>
      <w:r w:rsidR="00FA61F4">
        <w:rPr>
          <w:rFonts w:asciiTheme="minorBidi" w:hAnsiTheme="minorBidi" w:hint="cs"/>
          <w:sz w:val="27"/>
          <w:rtl/>
        </w:rPr>
        <w:t>ل</w:t>
      </w:r>
      <w:r w:rsidRPr="00904FCB">
        <w:rPr>
          <w:rFonts w:asciiTheme="minorBidi" w:hAnsiTheme="minorBidi" w:hint="cs"/>
          <w:sz w:val="27"/>
          <w:rtl/>
        </w:rPr>
        <w:t>لغابات والمياه وما شاكلها من الأمور</w:t>
      </w:r>
      <w:r w:rsidR="009E2889" w:rsidRPr="00904FCB">
        <w:rPr>
          <w:rFonts w:asciiTheme="minorBidi" w:hAnsiTheme="minorBidi" w:hint="cs"/>
          <w:sz w:val="27"/>
          <w:rtl/>
        </w:rPr>
        <w:t>،</w:t>
      </w:r>
      <w:r w:rsidRPr="00904FCB">
        <w:rPr>
          <w:rFonts w:asciiTheme="minorBidi" w:hAnsiTheme="minorBidi" w:hint="cs"/>
          <w:sz w:val="27"/>
          <w:rtl/>
        </w:rPr>
        <w:t xml:space="preserve"> التي تسب</w:t>
      </w:r>
      <w:r w:rsidR="009E2889" w:rsidRPr="00904FCB">
        <w:rPr>
          <w:rFonts w:asciiTheme="minorBidi" w:hAnsiTheme="minorBidi" w:hint="cs"/>
          <w:sz w:val="27"/>
          <w:rtl/>
        </w:rPr>
        <w:t>ِّ</w:t>
      </w:r>
      <w:r w:rsidRPr="00904FCB">
        <w:rPr>
          <w:rFonts w:asciiTheme="minorBidi" w:hAnsiTheme="minorBidi" w:hint="cs"/>
          <w:sz w:val="27"/>
          <w:rtl/>
        </w:rPr>
        <w:t>ب مشكلات كبيرة في المحيط الطبيعي والبيئي</w:t>
      </w:r>
      <w:r w:rsidR="009E2889" w:rsidRPr="00904FCB">
        <w:rPr>
          <w:rFonts w:asciiTheme="minorBidi" w:hAnsiTheme="minorBidi" w:hint="cs"/>
          <w:sz w:val="27"/>
          <w:rtl/>
        </w:rPr>
        <w:t>،</w:t>
      </w:r>
      <w:r w:rsidRPr="00904FCB">
        <w:rPr>
          <w:rFonts w:asciiTheme="minorBidi" w:hAnsiTheme="minorBidi" w:hint="cs"/>
          <w:sz w:val="27"/>
          <w:rtl/>
        </w:rPr>
        <w:t xml:space="preserve"> وتؤثر عليه </w:t>
      </w:r>
      <w:r w:rsidR="009E2889" w:rsidRPr="00904FCB">
        <w:rPr>
          <w:rFonts w:asciiTheme="minorBidi" w:hAnsiTheme="minorBidi" w:hint="cs"/>
          <w:sz w:val="27"/>
          <w:rtl/>
        </w:rPr>
        <w:t>سلباً</w:t>
      </w:r>
      <w:r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Pr>
      </w:pPr>
      <w:r w:rsidRPr="00904FCB">
        <w:rPr>
          <w:rFonts w:asciiTheme="minorBidi" w:hAnsiTheme="minorBidi" w:hint="cs"/>
          <w:sz w:val="27"/>
          <w:rtl/>
        </w:rPr>
        <w:t>ـ استغلال الشوارع وأماكن المار</w:t>
      </w:r>
      <w:r w:rsidR="009E2889" w:rsidRPr="00904FCB">
        <w:rPr>
          <w:rFonts w:asciiTheme="minorBidi" w:hAnsiTheme="minorBidi" w:hint="cs"/>
          <w:sz w:val="27"/>
          <w:rtl/>
        </w:rPr>
        <w:t>ّ</w:t>
      </w:r>
      <w:r w:rsidRPr="00904FCB">
        <w:rPr>
          <w:rFonts w:asciiTheme="minorBidi" w:hAnsiTheme="minorBidi" w:hint="cs"/>
          <w:sz w:val="27"/>
          <w:rtl/>
        </w:rPr>
        <w:t xml:space="preserve">ة من </w:t>
      </w:r>
      <w:r w:rsidR="009E2889" w:rsidRPr="00904FCB">
        <w:rPr>
          <w:rFonts w:asciiTheme="minorBidi" w:hAnsiTheme="minorBidi" w:hint="cs"/>
          <w:sz w:val="27"/>
          <w:rtl/>
        </w:rPr>
        <w:t>قِبَل</w:t>
      </w:r>
      <w:r w:rsidRPr="00904FCB">
        <w:rPr>
          <w:rFonts w:asciiTheme="minorBidi" w:hAnsiTheme="minorBidi" w:hint="cs"/>
          <w:sz w:val="27"/>
          <w:rtl/>
        </w:rPr>
        <w:t xml:space="preserve"> الباعة المتجو</w:t>
      </w:r>
      <w:r w:rsidR="009E2889" w:rsidRPr="00904FCB">
        <w:rPr>
          <w:rFonts w:asciiTheme="minorBidi" w:hAnsiTheme="minorBidi" w:hint="cs"/>
          <w:sz w:val="27"/>
          <w:rtl/>
        </w:rPr>
        <w:t>ِّ</w:t>
      </w:r>
      <w:r w:rsidRPr="00904FCB">
        <w:rPr>
          <w:rFonts w:asciiTheme="minorBidi" w:hAnsiTheme="minorBidi" w:hint="cs"/>
          <w:sz w:val="27"/>
          <w:rtl/>
        </w:rPr>
        <w:t>لين وأصحاب محلات البيع والشراء</w:t>
      </w:r>
      <w:r w:rsidR="009E2889" w:rsidRPr="00904FCB">
        <w:rPr>
          <w:rFonts w:asciiTheme="minorBidi" w:hAnsiTheme="minorBidi" w:hint="cs"/>
          <w:sz w:val="27"/>
          <w:rtl/>
        </w:rPr>
        <w:t>،</w:t>
      </w:r>
      <w:r w:rsidRPr="00904FCB">
        <w:rPr>
          <w:rFonts w:asciiTheme="minorBidi" w:hAnsiTheme="minorBidi" w:hint="cs"/>
          <w:sz w:val="27"/>
          <w:rtl/>
        </w:rPr>
        <w:t xml:space="preserve"> مم</w:t>
      </w:r>
      <w:r w:rsidR="009E2889" w:rsidRPr="00904FCB">
        <w:rPr>
          <w:rFonts w:asciiTheme="minorBidi" w:hAnsiTheme="minorBidi" w:hint="cs"/>
          <w:sz w:val="27"/>
          <w:rtl/>
        </w:rPr>
        <w:t>ّ</w:t>
      </w:r>
      <w:r w:rsidRPr="00904FCB">
        <w:rPr>
          <w:rFonts w:asciiTheme="minorBidi" w:hAnsiTheme="minorBidi" w:hint="cs"/>
          <w:sz w:val="27"/>
          <w:rtl/>
        </w:rPr>
        <w:t>ا يضي</w:t>
      </w:r>
      <w:r w:rsidR="009E2889" w:rsidRPr="00904FCB">
        <w:rPr>
          <w:rFonts w:asciiTheme="minorBidi" w:hAnsiTheme="minorBidi" w:hint="cs"/>
          <w:sz w:val="27"/>
          <w:rtl/>
        </w:rPr>
        <w:t>ِّ</w:t>
      </w:r>
      <w:r w:rsidRPr="00904FCB">
        <w:rPr>
          <w:rFonts w:asciiTheme="minorBidi" w:hAnsiTheme="minorBidi" w:hint="cs"/>
          <w:sz w:val="27"/>
          <w:rtl/>
        </w:rPr>
        <w:t>ق على المار</w:t>
      </w:r>
      <w:r w:rsidR="009E2889" w:rsidRPr="00904FCB">
        <w:rPr>
          <w:rFonts w:asciiTheme="minorBidi" w:hAnsiTheme="minorBidi" w:hint="cs"/>
          <w:sz w:val="27"/>
          <w:rtl/>
        </w:rPr>
        <w:t>ّ</w:t>
      </w:r>
      <w:r w:rsidRPr="00904FCB">
        <w:rPr>
          <w:rFonts w:asciiTheme="minorBidi" w:hAnsiTheme="minorBidi" w:hint="cs"/>
          <w:sz w:val="27"/>
          <w:rtl/>
        </w:rPr>
        <w:t>ة</w:t>
      </w:r>
      <w:r w:rsidR="00FA61F4">
        <w:rPr>
          <w:rFonts w:asciiTheme="minorBidi" w:hAnsiTheme="minorBidi" w:hint="cs"/>
          <w:sz w:val="27"/>
          <w:rtl/>
        </w:rPr>
        <w:t>،</w:t>
      </w:r>
      <w:r w:rsidRPr="00904FCB">
        <w:rPr>
          <w:rFonts w:asciiTheme="minorBidi" w:hAnsiTheme="minorBidi" w:hint="cs"/>
          <w:sz w:val="27"/>
          <w:rtl/>
        </w:rPr>
        <w:t xml:space="preserve"> ويسلبهم الأمن. </w:t>
      </w:r>
    </w:p>
    <w:p w:rsidR="004722A1" w:rsidRPr="00904FCB" w:rsidRDefault="00EF655F" w:rsidP="004722A1">
      <w:pPr>
        <w:spacing w:line="400" w:lineRule="exact"/>
        <w:rPr>
          <w:rFonts w:asciiTheme="minorBidi" w:hAnsiTheme="minorBidi"/>
          <w:sz w:val="27"/>
          <w:rtl/>
        </w:rPr>
      </w:pPr>
      <w:r w:rsidRPr="00904FCB">
        <w:rPr>
          <w:rFonts w:asciiTheme="minorBidi" w:hAnsiTheme="minorBidi" w:hint="cs"/>
          <w:sz w:val="27"/>
          <w:rtl/>
        </w:rPr>
        <w:t>ـ استعمال وسائل النقل المختلفة غير مجه</w:t>
      </w:r>
      <w:r w:rsidR="009E2889" w:rsidRPr="00904FCB">
        <w:rPr>
          <w:rFonts w:asciiTheme="minorBidi" w:hAnsiTheme="minorBidi" w:hint="cs"/>
          <w:sz w:val="27"/>
          <w:rtl/>
        </w:rPr>
        <w:t>ّ</w:t>
      </w:r>
      <w:r w:rsidRPr="00904FCB">
        <w:rPr>
          <w:rFonts w:asciiTheme="minorBidi" w:hAnsiTheme="minorBidi" w:hint="cs"/>
          <w:sz w:val="27"/>
          <w:rtl/>
        </w:rPr>
        <w:t>زة بالمصا</w:t>
      </w:r>
      <w:r w:rsidR="009E2889" w:rsidRPr="00904FCB">
        <w:rPr>
          <w:rFonts w:asciiTheme="minorBidi" w:hAnsiTheme="minorBidi" w:hint="cs"/>
          <w:sz w:val="27"/>
          <w:rtl/>
        </w:rPr>
        <w:t>في،</w:t>
      </w:r>
      <w:r w:rsidRPr="00904FCB">
        <w:rPr>
          <w:rFonts w:asciiTheme="minorBidi" w:hAnsiTheme="minorBidi" w:hint="cs"/>
          <w:sz w:val="27"/>
          <w:rtl/>
        </w:rPr>
        <w:t xml:space="preserve"> </w:t>
      </w:r>
      <w:r w:rsidR="009E2889" w:rsidRPr="00904FCB">
        <w:rPr>
          <w:rFonts w:asciiTheme="minorBidi" w:hAnsiTheme="minorBidi" w:hint="cs"/>
          <w:sz w:val="27"/>
          <w:rtl/>
        </w:rPr>
        <w:t>وت</w:t>
      </w:r>
      <w:r w:rsidRPr="00904FCB">
        <w:rPr>
          <w:rFonts w:asciiTheme="minorBidi" w:hAnsiTheme="minorBidi" w:hint="cs"/>
          <w:sz w:val="27"/>
          <w:rtl/>
        </w:rPr>
        <w:t xml:space="preserve">نبعث منها الغازات </w:t>
      </w:r>
      <w:r w:rsidRPr="00904FCB">
        <w:rPr>
          <w:rFonts w:asciiTheme="minorBidi" w:hAnsiTheme="minorBidi" w:hint="cs"/>
          <w:sz w:val="27"/>
          <w:rtl/>
        </w:rPr>
        <w:lastRenderedPageBreak/>
        <w:t>والدخان</w:t>
      </w:r>
      <w:r w:rsidR="009E2889" w:rsidRPr="00904FCB">
        <w:rPr>
          <w:rFonts w:asciiTheme="minorBidi" w:hAnsiTheme="minorBidi" w:hint="cs"/>
          <w:sz w:val="27"/>
          <w:rtl/>
        </w:rPr>
        <w:t>،</w:t>
      </w:r>
      <w:r w:rsidRPr="00904FCB">
        <w:rPr>
          <w:rFonts w:asciiTheme="minorBidi" w:hAnsiTheme="minorBidi" w:hint="cs"/>
          <w:sz w:val="27"/>
          <w:rtl/>
        </w:rPr>
        <w:t xml:space="preserve"> والاستفادة من المصانع والمعامل الفاقدة لمعايير الصح</w:t>
      </w:r>
      <w:r w:rsidR="009E2889" w:rsidRPr="00904FCB">
        <w:rPr>
          <w:rFonts w:asciiTheme="minorBidi" w:hAnsiTheme="minorBidi" w:hint="cs"/>
          <w:sz w:val="27"/>
          <w:rtl/>
        </w:rPr>
        <w:t>ّ</w:t>
      </w:r>
      <w:r w:rsidRPr="00904FCB">
        <w:rPr>
          <w:rFonts w:asciiTheme="minorBidi" w:hAnsiTheme="minorBidi" w:hint="cs"/>
          <w:sz w:val="27"/>
          <w:rtl/>
        </w:rPr>
        <w:t>ة</w:t>
      </w:r>
      <w:r w:rsidR="004722A1" w:rsidRPr="00904FCB">
        <w:rPr>
          <w:rFonts w:asciiTheme="minorBidi" w:hAnsiTheme="minorBidi" w:hint="cs"/>
          <w:sz w:val="27"/>
          <w:rtl/>
        </w:rPr>
        <w:t>.</w:t>
      </w:r>
    </w:p>
    <w:p w:rsidR="00EF655F" w:rsidRPr="00904FCB" w:rsidRDefault="009E2889" w:rsidP="004722A1">
      <w:pPr>
        <w:spacing w:line="400" w:lineRule="exact"/>
        <w:rPr>
          <w:rFonts w:asciiTheme="minorBidi" w:hAnsiTheme="minorBidi"/>
          <w:sz w:val="27"/>
          <w:rtl/>
        </w:rPr>
      </w:pPr>
      <w:r w:rsidRPr="00904FCB">
        <w:rPr>
          <w:rFonts w:asciiTheme="minorBidi" w:hAnsiTheme="minorBidi" w:hint="cs"/>
          <w:sz w:val="27"/>
          <w:rtl/>
        </w:rPr>
        <w:t>إ</w:t>
      </w:r>
      <w:r w:rsidR="00EF655F" w:rsidRPr="00904FCB">
        <w:rPr>
          <w:rFonts w:asciiTheme="minorBidi" w:hAnsiTheme="minorBidi" w:hint="cs"/>
          <w:sz w:val="27"/>
          <w:rtl/>
        </w:rPr>
        <w:t>حداث الضج</w:t>
      </w:r>
      <w:r w:rsidRPr="00904FCB">
        <w:rPr>
          <w:rFonts w:asciiTheme="minorBidi" w:hAnsiTheme="minorBidi" w:hint="cs"/>
          <w:sz w:val="27"/>
          <w:rtl/>
        </w:rPr>
        <w:t>ّ</w:t>
      </w:r>
      <w:r w:rsidR="00EF655F" w:rsidRPr="00904FCB">
        <w:rPr>
          <w:rFonts w:asciiTheme="minorBidi" w:hAnsiTheme="minorBidi" w:hint="cs"/>
          <w:sz w:val="27"/>
          <w:rtl/>
        </w:rPr>
        <w:t>ة والضوضاء نتيجة استعمال مكب</w:t>
      </w:r>
      <w:r w:rsidRPr="00904FCB">
        <w:rPr>
          <w:rFonts w:asciiTheme="minorBidi" w:hAnsiTheme="minorBidi" w:hint="cs"/>
          <w:sz w:val="27"/>
          <w:rtl/>
        </w:rPr>
        <w:t>ِّ</w:t>
      </w:r>
      <w:r w:rsidR="00EF655F" w:rsidRPr="00904FCB">
        <w:rPr>
          <w:rFonts w:asciiTheme="minorBidi" w:hAnsiTheme="minorBidi" w:hint="cs"/>
          <w:sz w:val="27"/>
          <w:rtl/>
        </w:rPr>
        <w:t>رات الصوت في مجالس الأفراح والأعراس</w:t>
      </w:r>
      <w:r w:rsidRPr="00904FCB">
        <w:rPr>
          <w:rFonts w:asciiTheme="minorBidi" w:hAnsiTheme="minorBidi" w:hint="cs"/>
          <w:sz w:val="27"/>
          <w:rtl/>
        </w:rPr>
        <w:t>،</w:t>
      </w:r>
      <w:r w:rsidR="00EF655F" w:rsidRPr="00904FCB">
        <w:rPr>
          <w:rFonts w:asciiTheme="minorBidi" w:hAnsiTheme="minorBidi" w:hint="cs"/>
          <w:sz w:val="27"/>
          <w:rtl/>
        </w:rPr>
        <w:t xml:space="preserve"> ومختلف المناسبات الاجتماعية والدينية، واستفادة وسائل النقل من الزمارات والصف</w:t>
      </w:r>
      <w:r w:rsidRPr="00904FCB">
        <w:rPr>
          <w:rFonts w:asciiTheme="minorBidi" w:hAnsiTheme="minorBidi" w:hint="cs"/>
          <w:sz w:val="27"/>
          <w:rtl/>
        </w:rPr>
        <w:t>ّ</w:t>
      </w:r>
      <w:r w:rsidR="00EF655F" w:rsidRPr="00904FCB">
        <w:rPr>
          <w:rFonts w:asciiTheme="minorBidi" w:hAnsiTheme="minorBidi" w:hint="cs"/>
          <w:sz w:val="27"/>
          <w:rtl/>
        </w:rPr>
        <w:t>ارات وغيرها</w:t>
      </w:r>
      <w:r w:rsidRPr="00904FCB">
        <w:rPr>
          <w:rFonts w:asciiTheme="minorBidi" w:hAnsiTheme="minorBidi" w:hint="cs"/>
          <w:sz w:val="27"/>
          <w:rtl/>
        </w:rPr>
        <w:t>،</w:t>
      </w:r>
      <w:r w:rsidR="00EF655F" w:rsidRPr="00904FCB">
        <w:rPr>
          <w:rFonts w:asciiTheme="minorBidi" w:hAnsiTheme="minorBidi" w:hint="cs"/>
          <w:sz w:val="27"/>
          <w:rtl/>
        </w:rPr>
        <w:t xml:space="preserve"> مم</w:t>
      </w:r>
      <w:r w:rsidRPr="00904FCB">
        <w:rPr>
          <w:rFonts w:asciiTheme="minorBidi" w:hAnsiTheme="minorBidi" w:hint="cs"/>
          <w:sz w:val="27"/>
          <w:rtl/>
        </w:rPr>
        <w:t>ّ</w:t>
      </w:r>
      <w:r w:rsidR="00EF655F" w:rsidRPr="00904FCB">
        <w:rPr>
          <w:rFonts w:asciiTheme="minorBidi" w:hAnsiTheme="minorBidi" w:hint="cs"/>
          <w:sz w:val="27"/>
          <w:rtl/>
        </w:rPr>
        <w:t>ا يوجد تلو</w:t>
      </w:r>
      <w:r w:rsidRPr="00904FCB">
        <w:rPr>
          <w:rFonts w:asciiTheme="minorBidi" w:hAnsiTheme="minorBidi" w:hint="cs"/>
          <w:sz w:val="27"/>
          <w:rtl/>
        </w:rPr>
        <w:t>ُّ</w:t>
      </w:r>
      <w:r w:rsidR="00EF655F" w:rsidRPr="00904FCB">
        <w:rPr>
          <w:rFonts w:asciiTheme="minorBidi" w:hAnsiTheme="minorBidi" w:hint="cs"/>
          <w:sz w:val="27"/>
          <w:rtl/>
        </w:rPr>
        <w:t>ثا</w:t>
      </w:r>
      <w:r w:rsidRPr="00904FCB">
        <w:rPr>
          <w:rFonts w:asciiTheme="minorBidi" w:hAnsiTheme="minorBidi" w:hint="cs"/>
          <w:sz w:val="27"/>
          <w:rtl/>
        </w:rPr>
        <w:t>ً</w:t>
      </w:r>
      <w:r w:rsidR="00EF655F" w:rsidRPr="00904FCB">
        <w:rPr>
          <w:rFonts w:asciiTheme="minorBidi" w:hAnsiTheme="minorBidi" w:hint="cs"/>
          <w:sz w:val="27"/>
          <w:rtl/>
        </w:rPr>
        <w:t xml:space="preserve"> صوتيا</w:t>
      </w:r>
      <w:r w:rsidRPr="00904FCB">
        <w:rPr>
          <w:rFonts w:asciiTheme="minorBidi" w:hAnsiTheme="minorBidi" w:hint="cs"/>
          <w:sz w:val="27"/>
          <w:rtl/>
        </w:rPr>
        <w:t>ً،</w:t>
      </w:r>
      <w:r w:rsidR="00EF655F" w:rsidRPr="00904FCB">
        <w:rPr>
          <w:rFonts w:asciiTheme="minorBidi" w:hAnsiTheme="minorBidi" w:hint="cs"/>
          <w:sz w:val="27"/>
          <w:rtl/>
        </w:rPr>
        <w:t xml:space="preserve"> ويفقد الحواس توازنها</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73"/>
      </w:r>
      <w:r w:rsidR="00EF655F" w:rsidRPr="00904FCB">
        <w:rPr>
          <w:rFonts w:asciiTheme="minorBidi" w:hAnsiTheme="minorBidi"/>
          <w:sz w:val="27"/>
          <w:vertAlign w:val="superscript"/>
          <w:rtl/>
        </w:rPr>
        <w:t>)</w:t>
      </w:r>
      <w:r w:rsidR="00EF655F"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Pr>
      </w:pPr>
    </w:p>
    <w:p w:rsidR="00EF655F" w:rsidRPr="00904FCB" w:rsidRDefault="00EF655F" w:rsidP="007A21AA">
      <w:pPr>
        <w:pStyle w:val="31"/>
        <w:spacing w:line="400" w:lineRule="exact"/>
        <w:rPr>
          <w:color w:val="auto"/>
          <w:rtl/>
        </w:rPr>
      </w:pPr>
      <w:r w:rsidRPr="00904FCB">
        <w:rPr>
          <w:rFonts w:hint="cs"/>
          <w:color w:val="auto"/>
          <w:rtl/>
        </w:rPr>
        <w:t xml:space="preserve">الرابع: قاعدة العدالة </w:t>
      </w:r>
    </w:p>
    <w:p w:rsidR="009E2889" w:rsidRPr="00904FCB" w:rsidRDefault="00EF655F" w:rsidP="007A21AA">
      <w:pPr>
        <w:spacing w:line="400" w:lineRule="exact"/>
        <w:rPr>
          <w:rtl/>
        </w:rPr>
      </w:pPr>
      <w:r w:rsidRPr="00904FCB">
        <w:rPr>
          <w:rFonts w:hint="cs"/>
          <w:rtl/>
        </w:rPr>
        <w:t>العدالة ناموس</w:t>
      </w:r>
      <w:r w:rsidR="009E2889" w:rsidRPr="00904FCB">
        <w:rPr>
          <w:rFonts w:hint="cs"/>
          <w:rtl/>
        </w:rPr>
        <w:t>ٌ</w:t>
      </w:r>
      <w:r w:rsidRPr="00904FCB">
        <w:rPr>
          <w:rFonts w:hint="cs"/>
          <w:rtl/>
        </w:rPr>
        <w:t xml:space="preserve"> إلهي ومحور نظام الخلق في عالم</w:t>
      </w:r>
      <w:r w:rsidR="009E2889" w:rsidRPr="00904FCB">
        <w:rPr>
          <w:rFonts w:hint="cs"/>
          <w:rtl/>
        </w:rPr>
        <w:t>َ</w:t>
      </w:r>
      <w:r w:rsidRPr="00904FCB">
        <w:rPr>
          <w:rFonts w:hint="cs"/>
          <w:rtl/>
        </w:rPr>
        <w:t>ي</w:t>
      </w:r>
      <w:r w:rsidR="009E2889" w:rsidRPr="00904FCB">
        <w:rPr>
          <w:rFonts w:hint="cs"/>
          <w:rtl/>
        </w:rPr>
        <w:t>ْ التكوين والتشريع. و</w:t>
      </w:r>
      <w:r w:rsidRPr="00904FCB">
        <w:rPr>
          <w:rFonts w:hint="cs"/>
          <w:rtl/>
        </w:rPr>
        <w:t>هناك عد</w:t>
      </w:r>
      <w:r w:rsidR="009E2889" w:rsidRPr="00904FCB">
        <w:rPr>
          <w:rFonts w:hint="cs"/>
          <w:rtl/>
        </w:rPr>
        <w:t>ّ</w:t>
      </w:r>
      <w:r w:rsidRPr="00904FCB">
        <w:rPr>
          <w:rFonts w:hint="cs"/>
          <w:rtl/>
        </w:rPr>
        <w:t>ة آيات</w:t>
      </w:r>
      <w:r w:rsidR="009E2889" w:rsidRPr="00904FCB">
        <w:rPr>
          <w:rFonts w:hint="cs"/>
          <w:rtl/>
        </w:rPr>
        <w:t>ٍ</w:t>
      </w:r>
      <w:r w:rsidRPr="00904FCB">
        <w:rPr>
          <w:rFonts w:hint="cs"/>
          <w:rtl/>
        </w:rPr>
        <w:t xml:space="preserve"> قرآنية توض</w:t>
      </w:r>
      <w:r w:rsidR="009E2889" w:rsidRPr="00904FCB">
        <w:rPr>
          <w:rFonts w:hint="cs"/>
          <w:rtl/>
        </w:rPr>
        <w:t>ِّ</w:t>
      </w:r>
      <w:r w:rsidRPr="00904FCB">
        <w:rPr>
          <w:rFonts w:hint="cs"/>
          <w:rtl/>
        </w:rPr>
        <w:t>ح هذا المعنى</w:t>
      </w:r>
      <w:r w:rsidR="009E2889" w:rsidRPr="00904FCB">
        <w:rPr>
          <w:rFonts w:hint="cs"/>
          <w:rtl/>
        </w:rPr>
        <w:t>،</w:t>
      </w:r>
      <w:r w:rsidRPr="00904FCB">
        <w:rPr>
          <w:rFonts w:hint="cs"/>
          <w:rtl/>
        </w:rPr>
        <w:t xml:space="preserve"> وتكشف حقيقته</w:t>
      </w:r>
      <w:r w:rsidR="009E2889" w:rsidRPr="00904FCB">
        <w:rPr>
          <w:rFonts w:hint="cs"/>
          <w:rtl/>
        </w:rPr>
        <w:t>.</w:t>
      </w:r>
    </w:p>
    <w:p w:rsidR="00EF655F" w:rsidRPr="00904FCB" w:rsidRDefault="00EF655F" w:rsidP="007A21AA">
      <w:pPr>
        <w:spacing w:line="400" w:lineRule="exact"/>
        <w:rPr>
          <w:rtl/>
        </w:rPr>
      </w:pPr>
      <w:r w:rsidRPr="00904FCB">
        <w:rPr>
          <w:rFonts w:hint="cs"/>
          <w:rtl/>
        </w:rPr>
        <w:t xml:space="preserve">قال تعالى: </w:t>
      </w:r>
      <w:r w:rsidRPr="00904FCB">
        <w:rPr>
          <w:rFonts w:ascii="Mosawi" w:hAnsi="Mosawi" w:cs="Mosawi"/>
          <w:sz w:val="24"/>
          <w:szCs w:val="24"/>
          <w:rtl/>
        </w:rPr>
        <w:t>﴿</w:t>
      </w:r>
      <w:hyperlink r:id="rId172" w:tgtFrame="_blank" w:history="1">
        <w:r w:rsidRPr="00904FCB">
          <w:rPr>
            <w:b/>
            <w:bCs/>
            <w:rtl/>
          </w:rPr>
          <w:t>وَالسَّمَاءَ رَفَعَهَا وَوَضَعَ الْمِيزَانَ</w:t>
        </w:r>
        <w:r w:rsidR="009E2889" w:rsidRPr="00904FCB">
          <w:rPr>
            <w:rFonts w:hint="cs"/>
            <w:b/>
            <w:bCs/>
            <w:rtl/>
          </w:rPr>
          <w:t xml:space="preserve"> *</w:t>
        </w:r>
        <w:r w:rsidRPr="00904FCB">
          <w:rPr>
            <w:b/>
            <w:bCs/>
            <w:rtl/>
          </w:rPr>
          <w:t xml:space="preserve"> </w:t>
        </w:r>
      </w:hyperlink>
      <w:bookmarkStart w:id="58" w:name="top8"/>
      <w:bookmarkEnd w:id="58"/>
      <w:r w:rsidRPr="00904FCB">
        <w:rPr>
          <w:b/>
          <w:bCs/>
        </w:rPr>
        <w:fldChar w:fldCharType="begin"/>
      </w:r>
      <w:r w:rsidRPr="00904FCB">
        <w:rPr>
          <w:b/>
          <w:bCs/>
        </w:rPr>
        <w:instrText xml:space="preserve"> HYPERLINK "http://www.alro7.net/ayaq.php?langg=arabic&amp;aya=8&amp;sourid=55" \t "_blank" </w:instrText>
      </w:r>
      <w:r w:rsidRPr="00904FCB">
        <w:rPr>
          <w:b/>
          <w:bCs/>
        </w:rPr>
        <w:fldChar w:fldCharType="separate"/>
      </w:r>
      <w:r w:rsidRPr="00904FCB">
        <w:rPr>
          <w:b/>
          <w:bCs/>
          <w:rtl/>
        </w:rPr>
        <w:t>أَ</w:t>
      </w:r>
      <w:r w:rsidR="009E2889" w:rsidRPr="00904FCB">
        <w:rPr>
          <w:rFonts w:hint="cs"/>
          <w:b/>
          <w:bCs/>
          <w:rtl/>
        </w:rPr>
        <w:t xml:space="preserve">نْ </w:t>
      </w:r>
      <w:r w:rsidR="009E2889" w:rsidRPr="00904FCB">
        <w:rPr>
          <w:b/>
          <w:bCs/>
          <w:rtl/>
        </w:rPr>
        <w:t>ل</w:t>
      </w:r>
      <w:r w:rsidRPr="00904FCB">
        <w:rPr>
          <w:b/>
          <w:bCs/>
          <w:rtl/>
        </w:rPr>
        <w:t>ا تَطْغَوْا فِي الْمِيزَانِ</w:t>
      </w:r>
      <w:r w:rsidR="009E2889" w:rsidRPr="00904FCB">
        <w:rPr>
          <w:rFonts w:hint="cs"/>
          <w:b/>
          <w:bCs/>
          <w:rtl/>
        </w:rPr>
        <w:t xml:space="preserve"> *</w:t>
      </w:r>
      <w:r w:rsidRPr="00904FCB">
        <w:rPr>
          <w:b/>
          <w:bCs/>
          <w:rtl/>
        </w:rPr>
        <w:t xml:space="preserve"> </w:t>
      </w:r>
      <w:r w:rsidRPr="00904FCB">
        <w:rPr>
          <w:b/>
          <w:bCs/>
        </w:rPr>
        <w:fldChar w:fldCharType="end"/>
      </w:r>
      <w:bookmarkStart w:id="59" w:name="top9"/>
      <w:bookmarkEnd w:id="59"/>
      <w:r w:rsidRPr="00904FCB">
        <w:rPr>
          <w:b/>
          <w:bCs/>
        </w:rPr>
        <w:fldChar w:fldCharType="begin"/>
      </w:r>
      <w:r w:rsidRPr="00904FCB">
        <w:rPr>
          <w:b/>
          <w:bCs/>
        </w:rPr>
        <w:instrText xml:space="preserve"> HYPERLINK "http://www.alro7.net/ayaq.php?langg=arabic&amp;aya=9&amp;sourid=55" \t "_blank" </w:instrText>
      </w:r>
      <w:r w:rsidRPr="00904FCB">
        <w:rPr>
          <w:b/>
          <w:bCs/>
        </w:rPr>
        <w:fldChar w:fldCharType="separate"/>
      </w:r>
      <w:r w:rsidRPr="00904FCB">
        <w:rPr>
          <w:b/>
          <w:bCs/>
          <w:rtl/>
        </w:rPr>
        <w:t>وَأَقِ</w:t>
      </w:r>
      <w:r w:rsidR="009E2889" w:rsidRPr="00904FCB">
        <w:rPr>
          <w:b/>
          <w:bCs/>
          <w:rtl/>
        </w:rPr>
        <w:t>يمُوا الْوَزْنَ بِالْقِسْطِ وَل</w:t>
      </w:r>
      <w:r w:rsidRPr="00904FCB">
        <w:rPr>
          <w:b/>
          <w:bCs/>
          <w:rtl/>
        </w:rPr>
        <w:t>ا تُخْسِرُوا الْمِيزَانَ</w:t>
      </w:r>
      <w:r w:rsidRPr="00904FCB">
        <w:rPr>
          <w:b/>
          <w:bCs/>
        </w:rPr>
        <w:fldChar w:fldCharType="end"/>
      </w:r>
      <w:r w:rsidRPr="00904FCB">
        <w:rPr>
          <w:rFonts w:ascii="Mosawi" w:hAnsi="Mosawi" w:cs="Mosawi"/>
          <w:sz w:val="24"/>
          <w:szCs w:val="24"/>
          <w:rtl/>
        </w:rPr>
        <w:t>﴾</w:t>
      </w:r>
      <w:r w:rsidR="009E2889" w:rsidRPr="00904FCB">
        <w:rPr>
          <w:rFonts w:hint="cs"/>
          <w:rtl/>
        </w:rPr>
        <w:t xml:space="preserve"> (</w:t>
      </w:r>
      <w:r w:rsidR="009E2889" w:rsidRPr="00DF4775">
        <w:rPr>
          <w:rFonts w:hint="cs"/>
          <w:rtl/>
        </w:rPr>
        <w:t>الرحمن: 7 ـ 9</w:t>
      </w:r>
      <w:r w:rsidR="009E2889" w:rsidRPr="00904FCB">
        <w:rPr>
          <w:rFonts w:hint="cs"/>
          <w:rtl/>
        </w:rPr>
        <w:t>)، وق</w:t>
      </w:r>
      <w:r w:rsidRPr="00904FCB">
        <w:rPr>
          <w:rFonts w:hint="cs"/>
          <w:rtl/>
        </w:rPr>
        <w:t>ال النبي</w:t>
      </w:r>
      <w:r w:rsidR="009E2889" w:rsidRPr="00904FCB">
        <w:rPr>
          <w:rFonts w:hint="cs"/>
          <w:rtl/>
        </w:rPr>
        <w:t>ّ</w:t>
      </w:r>
      <w:r w:rsidRPr="00904FCB">
        <w:rPr>
          <w:rFonts w:hint="cs"/>
          <w:rtl/>
        </w:rPr>
        <w:t xml:space="preserve"> الأكرم</w:t>
      </w:r>
      <w:r w:rsidR="00635E51" w:rsidRPr="00904FCB">
        <w:rPr>
          <w:rFonts w:cs="Mosawi" w:hint="cs"/>
          <w:szCs w:val="22"/>
          <w:rtl/>
        </w:rPr>
        <w:t>|</w:t>
      </w:r>
      <w:r w:rsidRPr="00904FCB">
        <w:rPr>
          <w:rFonts w:hint="cs"/>
          <w:rtl/>
        </w:rPr>
        <w:t xml:space="preserve"> في ذيل هذه الآية: </w:t>
      </w:r>
      <w:r w:rsidRPr="00904FCB">
        <w:rPr>
          <w:rFonts w:hint="eastAsia"/>
          <w:rtl/>
        </w:rPr>
        <w:t>«</w:t>
      </w:r>
      <w:r w:rsidRPr="00904FCB">
        <w:rPr>
          <w:rFonts w:hint="cs"/>
          <w:rtl/>
        </w:rPr>
        <w:t>بِالعَد</w:t>
      </w:r>
      <w:r w:rsidR="009E2889" w:rsidRPr="00904FCB">
        <w:rPr>
          <w:rFonts w:hint="cs"/>
          <w:rtl/>
        </w:rPr>
        <w:t>ْ</w:t>
      </w:r>
      <w:r w:rsidRPr="00904FCB">
        <w:rPr>
          <w:rFonts w:hint="cs"/>
          <w:rtl/>
        </w:rPr>
        <w:t>ل قامت السم</w:t>
      </w:r>
      <w:r w:rsidR="009E2889" w:rsidRPr="00904FCB">
        <w:rPr>
          <w:rFonts w:hint="cs"/>
          <w:rtl/>
        </w:rPr>
        <w:t>ا</w:t>
      </w:r>
      <w:r w:rsidRPr="00904FCB">
        <w:rPr>
          <w:rFonts w:hint="cs"/>
          <w:rtl/>
        </w:rPr>
        <w:t>وات والأرض</w:t>
      </w:r>
      <w:r w:rsidRPr="00904FCB">
        <w:rPr>
          <w:rFonts w:hint="eastAsia"/>
          <w:rtl/>
        </w:rPr>
        <w:t>»</w:t>
      </w:r>
      <w:r w:rsidRPr="00904FCB">
        <w:rPr>
          <w:vertAlign w:val="superscript"/>
          <w:rtl/>
        </w:rPr>
        <w:t>(</w:t>
      </w:r>
      <w:r w:rsidRPr="00904FCB">
        <w:rPr>
          <w:rStyle w:val="ac"/>
          <w:rFonts w:asciiTheme="minorBidi" w:hAnsiTheme="minorBidi"/>
          <w:sz w:val="27"/>
          <w:rtl/>
        </w:rPr>
        <w:endnoteReference w:id="574"/>
      </w:r>
      <w:r w:rsidRPr="00904FCB">
        <w:rPr>
          <w:vertAlign w:val="superscript"/>
          <w:rtl/>
        </w:rPr>
        <w:t>)</w:t>
      </w:r>
      <w:r w:rsidR="009E2889" w:rsidRPr="00904FCB">
        <w:rPr>
          <w:rFonts w:hint="cs"/>
          <w:rtl/>
        </w:rPr>
        <w:t>.</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والعدل في عالم الوجود بمعنى وضع الشي</w:t>
      </w:r>
      <w:r w:rsidR="009E2889" w:rsidRPr="00904FCB">
        <w:rPr>
          <w:rFonts w:asciiTheme="minorBidi" w:hAnsiTheme="minorBidi" w:hint="cs"/>
          <w:sz w:val="27"/>
          <w:rtl/>
        </w:rPr>
        <w:t>ء</w:t>
      </w:r>
      <w:r w:rsidRPr="00904FCB">
        <w:rPr>
          <w:rFonts w:asciiTheme="minorBidi" w:hAnsiTheme="minorBidi" w:hint="cs"/>
          <w:sz w:val="27"/>
          <w:rtl/>
        </w:rPr>
        <w:t xml:space="preserve"> في مكانه المناسب له</w:t>
      </w:r>
      <w:r w:rsidR="009E2889" w:rsidRPr="00904FCB">
        <w:rPr>
          <w:rFonts w:asciiTheme="minorBidi" w:hAnsiTheme="minorBidi" w:hint="cs"/>
          <w:sz w:val="27"/>
          <w:rtl/>
        </w:rPr>
        <w:t>،</w:t>
      </w:r>
      <w:r w:rsidRPr="00904FCB">
        <w:rPr>
          <w:rFonts w:asciiTheme="minorBidi" w:hAnsiTheme="minorBidi" w:hint="cs"/>
          <w:sz w:val="27"/>
          <w:rtl/>
        </w:rPr>
        <w:t xml:space="preserve"> أما العدالة فتعني أن يعطى كل</w:t>
      </w:r>
      <w:r w:rsidR="009E2889" w:rsidRPr="00904FCB">
        <w:rPr>
          <w:rFonts w:asciiTheme="minorBidi" w:hAnsiTheme="minorBidi" w:hint="cs"/>
          <w:sz w:val="27"/>
          <w:rtl/>
        </w:rPr>
        <w:t>ّ</w:t>
      </w:r>
      <w:r w:rsidRPr="00904FCB">
        <w:rPr>
          <w:rFonts w:asciiTheme="minorBidi" w:hAnsiTheme="minorBidi" w:hint="cs"/>
          <w:sz w:val="27"/>
          <w:rtl/>
        </w:rPr>
        <w:t xml:space="preserve"> موجود</w:t>
      </w:r>
      <w:r w:rsidR="009E2889" w:rsidRPr="00904FCB">
        <w:rPr>
          <w:rFonts w:asciiTheme="minorBidi" w:hAnsiTheme="minorBidi" w:hint="cs"/>
          <w:sz w:val="27"/>
          <w:rtl/>
        </w:rPr>
        <w:t>ٍ</w:t>
      </w:r>
      <w:r w:rsidRPr="00904FCB">
        <w:rPr>
          <w:rFonts w:asciiTheme="minorBidi" w:hAnsiTheme="minorBidi" w:hint="cs"/>
          <w:sz w:val="27"/>
          <w:rtl/>
        </w:rPr>
        <w:t xml:space="preserve"> ما يستحق</w:t>
      </w:r>
      <w:r w:rsidR="009E2889" w:rsidRPr="00904FCB">
        <w:rPr>
          <w:rFonts w:asciiTheme="minorBidi" w:hAnsiTheme="minorBidi" w:hint="cs"/>
          <w:sz w:val="27"/>
          <w:rtl/>
        </w:rPr>
        <w:t>ّ</w:t>
      </w:r>
      <w:r w:rsidRPr="00904FCB">
        <w:rPr>
          <w:rFonts w:asciiTheme="minorBidi" w:hAnsiTheme="minorBidi" w:hint="cs"/>
          <w:sz w:val="27"/>
          <w:rtl/>
        </w:rPr>
        <w:t xml:space="preserve"> من الحق</w:t>
      </w:r>
      <w:r w:rsidR="009E2889" w:rsidRPr="00904FCB">
        <w:rPr>
          <w:rFonts w:asciiTheme="minorBidi" w:hAnsiTheme="minorBidi" w:hint="cs"/>
          <w:sz w:val="27"/>
          <w:rtl/>
        </w:rPr>
        <w:t>ّ</w:t>
      </w:r>
      <w:r w:rsidRPr="00904FCB">
        <w:rPr>
          <w:rFonts w:asciiTheme="minorBidi" w:hAnsiTheme="minorBidi" w:hint="cs"/>
          <w:sz w:val="27"/>
          <w:rtl/>
        </w:rPr>
        <w:t xml:space="preserve"> </w:t>
      </w:r>
      <w:r w:rsidRPr="00904FCB">
        <w:rPr>
          <w:rFonts w:hint="eastAsia"/>
          <w:sz w:val="27"/>
          <w:rtl/>
        </w:rPr>
        <w:t>«</w:t>
      </w:r>
      <w:r w:rsidRPr="00904FCB">
        <w:rPr>
          <w:rFonts w:asciiTheme="minorBidi" w:hAnsiTheme="minorBidi" w:hint="cs"/>
          <w:sz w:val="27"/>
          <w:rtl/>
        </w:rPr>
        <w:t>إعطاء كل</w:t>
      </w:r>
      <w:r w:rsidR="00960CC7" w:rsidRPr="00904FCB">
        <w:rPr>
          <w:rFonts w:asciiTheme="minorBidi" w:hAnsiTheme="minorBidi" w:hint="cs"/>
          <w:sz w:val="27"/>
          <w:rtl/>
        </w:rPr>
        <w:t>ّ</w:t>
      </w:r>
      <w:r w:rsidRPr="00904FCB">
        <w:rPr>
          <w:rFonts w:asciiTheme="minorBidi" w:hAnsiTheme="minorBidi" w:hint="cs"/>
          <w:sz w:val="27"/>
          <w:rtl/>
        </w:rPr>
        <w:t xml:space="preserve"> ذي حق</w:t>
      </w:r>
      <w:r w:rsidR="00960CC7" w:rsidRPr="00904FCB">
        <w:rPr>
          <w:rFonts w:asciiTheme="minorBidi" w:hAnsiTheme="minorBidi" w:hint="cs"/>
          <w:sz w:val="27"/>
          <w:rtl/>
        </w:rPr>
        <w:t>ٍّ</w:t>
      </w:r>
      <w:r w:rsidRPr="00904FCB">
        <w:rPr>
          <w:rFonts w:asciiTheme="minorBidi" w:hAnsiTheme="minorBidi" w:hint="cs"/>
          <w:sz w:val="27"/>
          <w:rtl/>
        </w:rPr>
        <w:t xml:space="preserve"> حق</w:t>
      </w:r>
      <w:r w:rsidR="00960CC7" w:rsidRPr="00904FCB">
        <w:rPr>
          <w:rFonts w:asciiTheme="minorBidi" w:hAnsiTheme="minorBidi" w:hint="cs"/>
          <w:sz w:val="27"/>
          <w:rtl/>
        </w:rPr>
        <w:t>َّ</w:t>
      </w:r>
      <w:r w:rsidRPr="00904FCB">
        <w:rPr>
          <w:rFonts w:asciiTheme="minorBidi" w:hAnsiTheme="minorBidi" w:hint="cs"/>
          <w:sz w:val="27"/>
          <w:rtl/>
        </w:rPr>
        <w:t>ه</w:t>
      </w:r>
      <w:r w:rsidRPr="00904FCB">
        <w:rPr>
          <w:rFonts w:hint="eastAsia"/>
          <w:sz w:val="27"/>
          <w:rtl/>
        </w:rPr>
        <w:t>»</w:t>
      </w:r>
      <w:r w:rsidR="00960CC7" w:rsidRPr="00904FCB">
        <w:rPr>
          <w:rFonts w:hint="cs"/>
          <w:sz w:val="27"/>
          <w:rtl/>
        </w:rPr>
        <w:t>.</w:t>
      </w:r>
      <w:r w:rsidRPr="00904FCB">
        <w:rPr>
          <w:rFonts w:asciiTheme="minorBidi" w:hAnsiTheme="minorBidi" w:hint="cs"/>
          <w:sz w:val="27"/>
          <w:rtl/>
        </w:rPr>
        <w:t xml:space="preserve"> وهذا ركن</w:t>
      </w:r>
      <w:r w:rsidR="00960CC7" w:rsidRPr="00904FCB">
        <w:rPr>
          <w:rFonts w:asciiTheme="minorBidi" w:hAnsiTheme="minorBidi" w:hint="cs"/>
          <w:sz w:val="27"/>
          <w:rtl/>
        </w:rPr>
        <w:t>ٌ</w:t>
      </w:r>
      <w:r w:rsidRPr="00904FCB">
        <w:rPr>
          <w:rFonts w:asciiTheme="minorBidi" w:hAnsiTheme="minorBidi" w:hint="cs"/>
          <w:sz w:val="27"/>
          <w:rtl/>
        </w:rPr>
        <w:t xml:space="preserve"> ركين في عالم الوجود</w:t>
      </w:r>
      <w:r w:rsidR="00960CC7" w:rsidRPr="00904FCB">
        <w:rPr>
          <w:rFonts w:asciiTheme="minorBidi" w:hAnsiTheme="minorBidi" w:hint="cs"/>
          <w:sz w:val="27"/>
          <w:rtl/>
        </w:rPr>
        <w:t>.</w:t>
      </w:r>
      <w:r w:rsidRPr="00904FCB">
        <w:rPr>
          <w:rFonts w:asciiTheme="minorBidi" w:hAnsiTheme="minorBidi" w:hint="cs"/>
          <w:sz w:val="27"/>
          <w:rtl/>
        </w:rPr>
        <w:t xml:space="preserve"> ولحفظ هذا الركن أمر الله سبحانه وتعالى عباده بممارسة العدالة وإقامة العدل في الأرض. </w:t>
      </w:r>
    </w:p>
    <w:p w:rsidR="00EF655F" w:rsidRPr="00904FCB" w:rsidRDefault="00EF655F" w:rsidP="00BC02C4">
      <w:pPr>
        <w:spacing w:line="400" w:lineRule="exact"/>
        <w:rPr>
          <w:rFonts w:asciiTheme="minorBidi" w:hAnsiTheme="minorBidi"/>
          <w:sz w:val="27"/>
          <w:rtl/>
        </w:rPr>
      </w:pPr>
      <w:r w:rsidRPr="00904FCB">
        <w:rPr>
          <w:rFonts w:asciiTheme="minorBidi" w:hAnsiTheme="minorBidi" w:hint="cs"/>
          <w:sz w:val="27"/>
          <w:rtl/>
        </w:rPr>
        <w:t>ومن عدالته سبحانه أرسل الر</w:t>
      </w:r>
      <w:r w:rsidR="00FA61F4">
        <w:rPr>
          <w:rFonts w:asciiTheme="minorBidi" w:hAnsiTheme="minorBidi" w:hint="cs"/>
          <w:sz w:val="27"/>
          <w:rtl/>
        </w:rPr>
        <w:t>ُّ</w:t>
      </w:r>
      <w:r w:rsidRPr="00904FCB">
        <w:rPr>
          <w:rFonts w:asciiTheme="minorBidi" w:hAnsiTheme="minorBidi" w:hint="cs"/>
          <w:sz w:val="27"/>
          <w:rtl/>
        </w:rPr>
        <w:t>س</w:t>
      </w:r>
      <w:r w:rsidR="00FA61F4">
        <w:rPr>
          <w:rFonts w:asciiTheme="minorBidi" w:hAnsiTheme="minorBidi" w:hint="cs"/>
          <w:sz w:val="27"/>
          <w:rtl/>
        </w:rPr>
        <w:t>ُ</w:t>
      </w:r>
      <w:r w:rsidRPr="00904FCB">
        <w:rPr>
          <w:rFonts w:asciiTheme="minorBidi" w:hAnsiTheme="minorBidi" w:hint="cs"/>
          <w:sz w:val="27"/>
          <w:rtl/>
        </w:rPr>
        <w:t>ل والأنبياء ليبي</w:t>
      </w:r>
      <w:r w:rsidR="00960CC7" w:rsidRPr="00904FCB">
        <w:rPr>
          <w:rFonts w:asciiTheme="minorBidi" w:hAnsiTheme="minorBidi" w:hint="cs"/>
          <w:sz w:val="27"/>
          <w:rtl/>
        </w:rPr>
        <w:t>ِّ</w:t>
      </w:r>
      <w:r w:rsidRPr="00904FCB">
        <w:rPr>
          <w:rFonts w:asciiTheme="minorBidi" w:hAnsiTheme="minorBidi" w:hint="cs"/>
          <w:sz w:val="27"/>
          <w:rtl/>
        </w:rPr>
        <w:t>نوا للنّاس كيفية ممارسة العدالة</w:t>
      </w:r>
      <w:r w:rsidR="00960CC7" w:rsidRPr="00904FCB">
        <w:rPr>
          <w:rFonts w:asciiTheme="minorBidi" w:hAnsiTheme="minorBidi" w:hint="cs"/>
          <w:sz w:val="27"/>
          <w:rtl/>
        </w:rPr>
        <w:t>.</w:t>
      </w:r>
      <w:r w:rsidRPr="00904FCB">
        <w:rPr>
          <w:rFonts w:asciiTheme="minorBidi" w:hAnsiTheme="minorBidi" w:hint="cs"/>
          <w:sz w:val="27"/>
          <w:rtl/>
        </w:rPr>
        <w:t xml:space="preserve"> </w:t>
      </w:r>
      <w:r w:rsidR="00960CC7" w:rsidRPr="00904FCB">
        <w:rPr>
          <w:rFonts w:asciiTheme="minorBidi" w:hAnsiTheme="minorBidi" w:hint="cs"/>
          <w:sz w:val="27"/>
          <w:rtl/>
        </w:rPr>
        <w:t>و</w:t>
      </w:r>
      <w:r w:rsidRPr="00904FCB">
        <w:rPr>
          <w:rFonts w:asciiTheme="minorBidi" w:hAnsiTheme="minorBidi" w:hint="cs"/>
          <w:sz w:val="27"/>
          <w:rtl/>
        </w:rPr>
        <w:t>مقتضى العدالة أن لا يتصر</w:t>
      </w:r>
      <w:r w:rsidR="00960CC7" w:rsidRPr="00904FCB">
        <w:rPr>
          <w:rFonts w:asciiTheme="minorBidi" w:hAnsiTheme="minorBidi" w:hint="cs"/>
          <w:sz w:val="27"/>
          <w:rtl/>
        </w:rPr>
        <w:t>َّ</w:t>
      </w:r>
      <w:r w:rsidRPr="00904FCB">
        <w:rPr>
          <w:rFonts w:asciiTheme="minorBidi" w:hAnsiTheme="minorBidi" w:hint="cs"/>
          <w:sz w:val="27"/>
          <w:rtl/>
        </w:rPr>
        <w:t>ف الإنسان في محيطه وكأن</w:t>
      </w:r>
      <w:r w:rsidR="00960CC7" w:rsidRPr="00904FCB">
        <w:rPr>
          <w:rFonts w:asciiTheme="minorBidi" w:hAnsiTheme="minorBidi" w:hint="cs"/>
          <w:sz w:val="27"/>
          <w:rtl/>
        </w:rPr>
        <w:t>ّ</w:t>
      </w:r>
      <w:r w:rsidRPr="00904FCB">
        <w:rPr>
          <w:rFonts w:asciiTheme="minorBidi" w:hAnsiTheme="minorBidi" w:hint="cs"/>
          <w:sz w:val="27"/>
          <w:rtl/>
        </w:rPr>
        <w:t>ه ملك</w:t>
      </w:r>
      <w:r w:rsidR="00BC02C4">
        <w:rPr>
          <w:rFonts w:asciiTheme="minorBidi" w:hAnsiTheme="minorBidi" w:hint="cs"/>
          <w:sz w:val="27"/>
          <w:rtl/>
        </w:rPr>
        <w:t>ٌ</w:t>
      </w:r>
      <w:r w:rsidRPr="00904FCB">
        <w:rPr>
          <w:rFonts w:asciiTheme="minorBidi" w:hAnsiTheme="minorBidi" w:hint="cs"/>
          <w:sz w:val="27"/>
          <w:rtl/>
        </w:rPr>
        <w:t xml:space="preserve"> له وحده</w:t>
      </w:r>
      <w:r w:rsidR="00960CC7" w:rsidRPr="00904FCB">
        <w:rPr>
          <w:rFonts w:asciiTheme="minorBidi" w:hAnsiTheme="minorBidi" w:hint="cs"/>
          <w:sz w:val="27"/>
          <w:rtl/>
        </w:rPr>
        <w:t>،</w:t>
      </w:r>
      <w:r w:rsidRPr="00904FCB">
        <w:rPr>
          <w:rFonts w:asciiTheme="minorBidi" w:hAnsiTheme="minorBidi" w:hint="cs"/>
          <w:sz w:val="27"/>
          <w:rtl/>
        </w:rPr>
        <w:t xml:space="preserve"> بل يضع نصب عينيه أن المحيط هبة</w:t>
      </w:r>
      <w:r w:rsidR="00960CC7" w:rsidRPr="00904FCB">
        <w:rPr>
          <w:rFonts w:asciiTheme="minorBidi" w:hAnsiTheme="minorBidi" w:hint="cs"/>
          <w:sz w:val="27"/>
          <w:rtl/>
        </w:rPr>
        <w:t>ٌ</w:t>
      </w:r>
      <w:r w:rsidRPr="00904FCB">
        <w:rPr>
          <w:rFonts w:asciiTheme="minorBidi" w:hAnsiTheme="minorBidi" w:hint="cs"/>
          <w:sz w:val="27"/>
          <w:rtl/>
        </w:rPr>
        <w:t xml:space="preserve"> رب</w:t>
      </w:r>
      <w:r w:rsidR="00960CC7" w:rsidRPr="00904FCB">
        <w:rPr>
          <w:rFonts w:asciiTheme="minorBidi" w:hAnsiTheme="minorBidi" w:hint="cs"/>
          <w:sz w:val="27"/>
          <w:rtl/>
        </w:rPr>
        <w:t>ّ</w:t>
      </w:r>
      <w:r w:rsidRPr="00904FCB">
        <w:rPr>
          <w:rFonts w:asciiTheme="minorBidi" w:hAnsiTheme="minorBidi" w:hint="cs"/>
          <w:sz w:val="27"/>
          <w:rtl/>
        </w:rPr>
        <w:t>انية مشترك</w:t>
      </w:r>
      <w:r w:rsidR="00960CC7" w:rsidRPr="00904FCB">
        <w:rPr>
          <w:rFonts w:asciiTheme="minorBidi" w:hAnsiTheme="minorBidi" w:hint="cs"/>
          <w:sz w:val="27"/>
          <w:rtl/>
        </w:rPr>
        <w:t>ة</w:t>
      </w:r>
      <w:r w:rsidRPr="00904FCB">
        <w:rPr>
          <w:rFonts w:asciiTheme="minorBidi" w:hAnsiTheme="minorBidi" w:hint="cs"/>
          <w:sz w:val="27"/>
          <w:rtl/>
        </w:rPr>
        <w:t xml:space="preserve"> بين جميع أفراد النوع</w:t>
      </w:r>
      <w:r w:rsidR="00960CC7" w:rsidRPr="00904FCB">
        <w:rPr>
          <w:rFonts w:asciiTheme="minorBidi" w:hAnsiTheme="minorBidi" w:hint="cs"/>
          <w:sz w:val="27"/>
          <w:rtl/>
        </w:rPr>
        <w:t>،</w:t>
      </w:r>
      <w:r w:rsidRPr="00904FCB">
        <w:rPr>
          <w:rFonts w:asciiTheme="minorBidi" w:hAnsiTheme="minorBidi" w:hint="cs"/>
          <w:sz w:val="27"/>
          <w:rtl/>
        </w:rPr>
        <w:t xml:space="preserve"> فيأخذ حق</w:t>
      </w:r>
      <w:r w:rsidR="00960CC7" w:rsidRPr="00904FCB">
        <w:rPr>
          <w:rFonts w:asciiTheme="minorBidi" w:hAnsiTheme="minorBidi" w:hint="cs"/>
          <w:sz w:val="27"/>
          <w:rtl/>
        </w:rPr>
        <w:t>َّ</w:t>
      </w:r>
      <w:r w:rsidRPr="00904FCB">
        <w:rPr>
          <w:rFonts w:asciiTheme="minorBidi" w:hAnsiTheme="minorBidi" w:hint="cs"/>
          <w:sz w:val="27"/>
          <w:rtl/>
        </w:rPr>
        <w:t xml:space="preserve">ه منه وفق ضوابط ومعايير تضمن حقوق الآخرين وتحفظها. </w:t>
      </w:r>
      <w:r w:rsidR="00960CC7" w:rsidRPr="00904FCB">
        <w:rPr>
          <w:rFonts w:asciiTheme="minorBidi" w:hAnsiTheme="minorBidi" w:hint="cs"/>
          <w:sz w:val="27"/>
          <w:rtl/>
        </w:rPr>
        <w:t>و</w:t>
      </w:r>
      <w:r w:rsidRPr="00904FCB">
        <w:rPr>
          <w:rFonts w:asciiTheme="minorBidi" w:hAnsiTheme="minorBidi" w:hint="cs"/>
          <w:sz w:val="27"/>
          <w:rtl/>
        </w:rPr>
        <w:t xml:space="preserve">هنا نذكر مجموعة من النقاط: </w:t>
      </w:r>
    </w:p>
    <w:p w:rsidR="00EF655F" w:rsidRPr="00904FCB" w:rsidRDefault="00EF655F" w:rsidP="007A21AA">
      <w:pPr>
        <w:spacing w:line="400" w:lineRule="exact"/>
        <w:rPr>
          <w:rFonts w:asciiTheme="minorBidi" w:hAnsiTheme="minorBidi"/>
          <w:sz w:val="27"/>
          <w:rtl/>
        </w:rPr>
      </w:pPr>
      <w:r w:rsidRPr="00DF4775">
        <w:rPr>
          <w:rFonts w:asciiTheme="minorBidi" w:hAnsiTheme="minorBidi" w:hint="cs"/>
          <w:sz w:val="27"/>
          <w:rtl/>
        </w:rPr>
        <w:t>1ـ</w:t>
      </w:r>
      <w:r w:rsidRPr="00904FCB">
        <w:rPr>
          <w:rFonts w:asciiTheme="minorBidi" w:hAnsiTheme="minorBidi" w:hint="cs"/>
          <w:sz w:val="27"/>
          <w:rtl/>
        </w:rPr>
        <w:t xml:space="preserve"> </w:t>
      </w:r>
      <w:r w:rsidRPr="00DF4775">
        <w:rPr>
          <w:rFonts w:asciiTheme="minorBidi" w:hAnsiTheme="minorBidi" w:hint="cs"/>
          <w:sz w:val="27"/>
          <w:rtl/>
        </w:rPr>
        <w:t>وفق</w:t>
      </w:r>
      <w:r w:rsidRPr="00904FCB">
        <w:rPr>
          <w:rFonts w:asciiTheme="minorBidi" w:hAnsiTheme="minorBidi" w:hint="cs"/>
          <w:sz w:val="27"/>
          <w:rtl/>
        </w:rPr>
        <w:t xml:space="preserve"> الآيات والروايات على الفرد أن يراعي العدالة والإنصاف في تصر</w:t>
      </w:r>
      <w:r w:rsidR="00960CC7" w:rsidRPr="00904FCB">
        <w:rPr>
          <w:rFonts w:asciiTheme="minorBidi" w:hAnsiTheme="minorBidi" w:hint="cs"/>
          <w:sz w:val="27"/>
          <w:rtl/>
        </w:rPr>
        <w:t>ُّ</w:t>
      </w:r>
      <w:r w:rsidRPr="00904FCB">
        <w:rPr>
          <w:rFonts w:asciiTheme="minorBidi" w:hAnsiTheme="minorBidi" w:hint="cs"/>
          <w:sz w:val="27"/>
          <w:rtl/>
        </w:rPr>
        <w:t>فاته وسلوكياته</w:t>
      </w:r>
      <w:r w:rsidR="00960CC7" w:rsidRPr="00904FCB">
        <w:rPr>
          <w:rFonts w:asciiTheme="minorBidi" w:hAnsiTheme="minorBidi" w:hint="cs"/>
          <w:sz w:val="27"/>
          <w:rtl/>
        </w:rPr>
        <w:t>.</w:t>
      </w:r>
      <w:r w:rsidRPr="00904FCB">
        <w:rPr>
          <w:rFonts w:asciiTheme="minorBidi" w:hAnsiTheme="minorBidi" w:hint="cs"/>
          <w:sz w:val="27"/>
          <w:rtl/>
        </w:rPr>
        <w:t xml:space="preserve"> وللوصول إلى قم</w:t>
      </w:r>
      <w:r w:rsidR="00960CC7" w:rsidRPr="00904FCB">
        <w:rPr>
          <w:rFonts w:asciiTheme="minorBidi" w:hAnsiTheme="minorBidi" w:hint="cs"/>
          <w:sz w:val="27"/>
          <w:rtl/>
        </w:rPr>
        <w:t>ّ</w:t>
      </w:r>
      <w:r w:rsidRPr="00904FCB">
        <w:rPr>
          <w:rFonts w:asciiTheme="minorBidi" w:hAnsiTheme="minorBidi" w:hint="cs"/>
          <w:sz w:val="27"/>
          <w:rtl/>
        </w:rPr>
        <w:t>ة العدالة والإنصاف في استفادته من الطبيعة التي وهبها الله للبشر</w:t>
      </w:r>
      <w:r w:rsidR="00960CC7" w:rsidRPr="00904FCB">
        <w:rPr>
          <w:rFonts w:asciiTheme="minorBidi" w:hAnsiTheme="minorBidi" w:hint="cs"/>
          <w:sz w:val="27"/>
          <w:rtl/>
        </w:rPr>
        <w:t>،</w:t>
      </w:r>
      <w:r w:rsidRPr="00904FCB">
        <w:rPr>
          <w:rFonts w:asciiTheme="minorBidi" w:hAnsiTheme="minorBidi" w:hint="cs"/>
          <w:sz w:val="27"/>
          <w:rtl/>
        </w:rPr>
        <w:t xml:space="preserve"> وسخ</w:t>
      </w:r>
      <w:r w:rsidR="00960CC7" w:rsidRPr="00904FCB">
        <w:rPr>
          <w:rFonts w:asciiTheme="minorBidi" w:hAnsiTheme="minorBidi" w:hint="cs"/>
          <w:sz w:val="27"/>
          <w:rtl/>
        </w:rPr>
        <w:t>َّ</w:t>
      </w:r>
      <w:r w:rsidRPr="00904FCB">
        <w:rPr>
          <w:rFonts w:asciiTheme="minorBidi" w:hAnsiTheme="minorBidi" w:hint="cs"/>
          <w:sz w:val="27"/>
          <w:rtl/>
        </w:rPr>
        <w:t>رها له</w:t>
      </w:r>
      <w:r w:rsidR="00960CC7" w:rsidRPr="00904FCB">
        <w:rPr>
          <w:rFonts w:asciiTheme="minorBidi" w:hAnsiTheme="minorBidi" w:hint="cs"/>
          <w:sz w:val="27"/>
          <w:rtl/>
        </w:rPr>
        <w:t>،</w:t>
      </w:r>
      <w:r w:rsidRPr="00904FCB">
        <w:rPr>
          <w:rFonts w:asciiTheme="minorBidi" w:hAnsiTheme="minorBidi" w:hint="cs"/>
          <w:sz w:val="27"/>
          <w:rtl/>
        </w:rPr>
        <w:t xml:space="preserve"> يكون معياره في ذلك أن يكون كما يريد من الآخرين أن يكونوا معه</w:t>
      </w:r>
      <w:r w:rsidR="00960CC7" w:rsidRPr="00904FCB">
        <w:rPr>
          <w:rFonts w:asciiTheme="minorBidi" w:hAnsiTheme="minorBidi" w:hint="cs"/>
          <w:sz w:val="27"/>
          <w:rtl/>
        </w:rPr>
        <w:t>،</w:t>
      </w:r>
      <w:r w:rsidRPr="00904FCB">
        <w:rPr>
          <w:rFonts w:asciiTheme="minorBidi" w:hAnsiTheme="minorBidi" w:hint="cs"/>
          <w:sz w:val="27"/>
          <w:rtl/>
        </w:rPr>
        <w:t xml:space="preserve"> </w:t>
      </w:r>
      <w:r w:rsidR="00960CC7" w:rsidRPr="00904FCB">
        <w:rPr>
          <w:rFonts w:asciiTheme="minorBidi" w:hAnsiTheme="minorBidi" w:hint="cs"/>
          <w:sz w:val="27"/>
          <w:rtl/>
        </w:rPr>
        <w:t>أ</w:t>
      </w:r>
      <w:r w:rsidRPr="00904FCB">
        <w:rPr>
          <w:rFonts w:asciiTheme="minorBidi" w:hAnsiTheme="minorBidi" w:hint="cs"/>
          <w:sz w:val="27"/>
          <w:rtl/>
        </w:rPr>
        <w:t>و بلغة الحديث الشريف</w:t>
      </w:r>
      <w:r w:rsidR="00960CC7" w:rsidRPr="00904FCB">
        <w:rPr>
          <w:rFonts w:asciiTheme="minorBidi" w:hAnsiTheme="minorBidi" w:hint="cs"/>
          <w:sz w:val="27"/>
          <w:rtl/>
        </w:rPr>
        <w:t>:</w:t>
      </w:r>
      <w:r w:rsidRPr="00904FCB">
        <w:rPr>
          <w:rFonts w:asciiTheme="minorBidi" w:hAnsiTheme="minorBidi" w:hint="cs"/>
          <w:sz w:val="27"/>
          <w:rtl/>
        </w:rPr>
        <w:t xml:space="preserve"> </w:t>
      </w:r>
      <w:r w:rsidR="00960CC7" w:rsidRPr="00904FCB">
        <w:rPr>
          <w:rFonts w:asciiTheme="minorBidi" w:hAnsiTheme="minorBidi" w:hint="cs"/>
          <w:sz w:val="27"/>
          <w:rtl/>
        </w:rPr>
        <w:t>أ</w:t>
      </w:r>
      <w:r w:rsidRPr="00904FCB">
        <w:rPr>
          <w:rFonts w:asciiTheme="minorBidi" w:hAnsiTheme="minorBidi" w:hint="cs"/>
          <w:sz w:val="27"/>
          <w:rtl/>
        </w:rPr>
        <w:t>ن يحب</w:t>
      </w:r>
      <w:r w:rsidR="00960CC7" w:rsidRPr="00904FCB">
        <w:rPr>
          <w:rFonts w:asciiTheme="minorBidi" w:hAnsiTheme="minorBidi" w:hint="cs"/>
          <w:sz w:val="27"/>
          <w:rtl/>
        </w:rPr>
        <w:t>ّ</w:t>
      </w:r>
      <w:r w:rsidRPr="00904FCB">
        <w:rPr>
          <w:rFonts w:asciiTheme="minorBidi" w:hAnsiTheme="minorBidi" w:hint="cs"/>
          <w:sz w:val="27"/>
          <w:rtl/>
        </w:rPr>
        <w:t xml:space="preserve"> للآخرين ما يحب</w:t>
      </w:r>
      <w:r w:rsidR="00960CC7" w:rsidRPr="00904FCB">
        <w:rPr>
          <w:rFonts w:asciiTheme="minorBidi" w:hAnsiTheme="minorBidi" w:hint="cs"/>
          <w:sz w:val="27"/>
          <w:rtl/>
        </w:rPr>
        <w:t>ّ</w:t>
      </w:r>
      <w:r w:rsidRPr="00904FCB">
        <w:rPr>
          <w:rFonts w:asciiTheme="minorBidi" w:hAnsiTheme="minorBidi" w:hint="cs"/>
          <w:sz w:val="27"/>
          <w:rtl/>
        </w:rPr>
        <w:t xml:space="preserve"> لنفسه. </w:t>
      </w:r>
    </w:p>
    <w:p w:rsidR="00EF655F" w:rsidRPr="00904FCB" w:rsidRDefault="00EF655F" w:rsidP="007A21AA">
      <w:pPr>
        <w:spacing w:line="400" w:lineRule="exact"/>
        <w:rPr>
          <w:rFonts w:asciiTheme="minorBidi" w:hAnsiTheme="minorBidi"/>
          <w:sz w:val="27"/>
          <w:rtl/>
        </w:rPr>
      </w:pPr>
      <w:r w:rsidRPr="00DF4775">
        <w:rPr>
          <w:rFonts w:asciiTheme="minorBidi" w:hAnsiTheme="minorBidi" w:hint="cs"/>
          <w:sz w:val="27"/>
          <w:rtl/>
        </w:rPr>
        <w:t>2ـ</w:t>
      </w:r>
      <w:r w:rsidRPr="00904FCB">
        <w:rPr>
          <w:rFonts w:asciiTheme="minorBidi" w:hAnsiTheme="minorBidi" w:hint="cs"/>
          <w:sz w:val="27"/>
          <w:rtl/>
        </w:rPr>
        <w:t xml:space="preserve"> كما أن أحكام الدين لا تنحصر في الجيل الحاضر</w:t>
      </w:r>
      <w:r w:rsidR="00960CC7" w:rsidRPr="00904FCB">
        <w:rPr>
          <w:rFonts w:asciiTheme="minorBidi" w:hAnsiTheme="minorBidi" w:hint="cs"/>
          <w:sz w:val="27"/>
          <w:rtl/>
        </w:rPr>
        <w:t>،</w:t>
      </w:r>
      <w:r w:rsidRPr="00904FCB">
        <w:rPr>
          <w:rFonts w:asciiTheme="minorBidi" w:hAnsiTheme="minorBidi" w:hint="cs"/>
          <w:sz w:val="27"/>
          <w:rtl/>
        </w:rPr>
        <w:t xml:space="preserve"> بل تشمل حت</w:t>
      </w:r>
      <w:r w:rsidR="00960CC7" w:rsidRPr="00904FCB">
        <w:rPr>
          <w:rFonts w:asciiTheme="minorBidi" w:hAnsiTheme="minorBidi" w:hint="cs"/>
          <w:sz w:val="27"/>
          <w:rtl/>
        </w:rPr>
        <w:t>ّ</w:t>
      </w:r>
      <w:r w:rsidRPr="00904FCB">
        <w:rPr>
          <w:rFonts w:asciiTheme="minorBidi" w:hAnsiTheme="minorBidi" w:hint="cs"/>
          <w:sz w:val="27"/>
          <w:rtl/>
        </w:rPr>
        <w:t>ى الأجيال التي لم تخرج بالفعل إلى عرصة الوجود</w:t>
      </w:r>
      <w:r w:rsidR="00960CC7" w:rsidRPr="00904FCB">
        <w:rPr>
          <w:rFonts w:asciiTheme="minorBidi" w:hAnsiTheme="minorBidi" w:hint="cs"/>
          <w:sz w:val="27"/>
          <w:rtl/>
        </w:rPr>
        <w:t>.</w:t>
      </w:r>
      <w:r w:rsidRPr="00904FCB">
        <w:rPr>
          <w:rFonts w:asciiTheme="minorBidi" w:hAnsiTheme="minorBidi" w:hint="cs"/>
          <w:sz w:val="27"/>
          <w:rtl/>
        </w:rPr>
        <w:t xml:space="preserve"> كذلك يجب أن يكون سلوك البشر </w:t>
      </w:r>
      <w:r w:rsidRPr="00904FCB">
        <w:rPr>
          <w:rFonts w:asciiTheme="minorBidi" w:hAnsiTheme="minorBidi" w:hint="cs"/>
          <w:sz w:val="27"/>
          <w:rtl/>
        </w:rPr>
        <w:lastRenderedPageBreak/>
        <w:t>وتصر</w:t>
      </w:r>
      <w:r w:rsidR="00960CC7" w:rsidRPr="00904FCB">
        <w:rPr>
          <w:rFonts w:asciiTheme="minorBidi" w:hAnsiTheme="minorBidi" w:hint="cs"/>
          <w:sz w:val="27"/>
          <w:rtl/>
        </w:rPr>
        <w:t>ُّ</w:t>
      </w:r>
      <w:r w:rsidRPr="00904FCB">
        <w:rPr>
          <w:rFonts w:asciiTheme="minorBidi" w:hAnsiTheme="minorBidi" w:hint="cs"/>
          <w:sz w:val="27"/>
          <w:rtl/>
        </w:rPr>
        <w:t xml:space="preserve">فاته مع الطبيعة، يعني بالإضافة إلى ممارسة الإنصاف والعدالة </w:t>
      </w:r>
      <w:r w:rsidR="00960CC7" w:rsidRPr="00904FCB">
        <w:rPr>
          <w:rFonts w:asciiTheme="minorBidi" w:hAnsiTheme="minorBidi" w:hint="cs"/>
          <w:sz w:val="27"/>
          <w:rtl/>
        </w:rPr>
        <w:t>مع</w:t>
      </w:r>
      <w:r w:rsidRPr="00904FCB">
        <w:rPr>
          <w:rFonts w:asciiTheme="minorBidi" w:hAnsiTheme="minorBidi" w:hint="cs"/>
          <w:sz w:val="27"/>
          <w:rtl/>
        </w:rPr>
        <w:t xml:space="preserve"> جيله لا</w:t>
      </w:r>
      <w:r w:rsidR="00960CC7" w:rsidRPr="00904FCB">
        <w:rPr>
          <w:rFonts w:asciiTheme="minorBidi" w:hAnsiTheme="minorBidi" w:hint="cs"/>
          <w:sz w:val="27"/>
          <w:rtl/>
        </w:rPr>
        <w:t xml:space="preserve"> </w:t>
      </w:r>
      <w:r w:rsidRPr="00904FCB">
        <w:rPr>
          <w:rFonts w:asciiTheme="minorBidi" w:hAnsiTheme="minorBidi" w:hint="cs"/>
          <w:sz w:val="27"/>
          <w:rtl/>
        </w:rPr>
        <w:t>ب</w:t>
      </w:r>
      <w:r w:rsidR="00960CC7" w:rsidRPr="00904FCB">
        <w:rPr>
          <w:rFonts w:asciiTheme="minorBidi" w:hAnsiTheme="minorBidi" w:hint="cs"/>
          <w:sz w:val="27"/>
          <w:rtl/>
        </w:rPr>
        <w:t>ُ</w:t>
      </w:r>
      <w:r w:rsidRPr="00904FCB">
        <w:rPr>
          <w:rFonts w:asciiTheme="minorBidi" w:hAnsiTheme="minorBidi" w:hint="cs"/>
          <w:sz w:val="27"/>
          <w:rtl/>
        </w:rPr>
        <w:t>د</w:t>
      </w:r>
      <w:r w:rsidR="00960CC7" w:rsidRPr="00904FCB">
        <w:rPr>
          <w:rFonts w:asciiTheme="minorBidi" w:hAnsiTheme="minorBidi" w:hint="cs"/>
          <w:sz w:val="27"/>
          <w:rtl/>
        </w:rPr>
        <w:t>َّ</w:t>
      </w:r>
      <w:r w:rsidRPr="00904FCB">
        <w:rPr>
          <w:rFonts w:asciiTheme="minorBidi" w:hAnsiTheme="minorBidi" w:hint="cs"/>
          <w:sz w:val="27"/>
          <w:rtl/>
        </w:rPr>
        <w:t xml:space="preserve"> أن يكون سلوكه مع الأجيال القادمة</w:t>
      </w:r>
      <w:r w:rsidR="00960CC7" w:rsidRPr="00904FCB">
        <w:rPr>
          <w:rFonts w:asciiTheme="minorBidi" w:hAnsiTheme="minorBidi" w:hint="cs"/>
          <w:sz w:val="27"/>
          <w:rtl/>
        </w:rPr>
        <w:t xml:space="preserve"> كذلك.</w:t>
      </w:r>
      <w:r w:rsidRPr="00904FCB">
        <w:rPr>
          <w:rFonts w:asciiTheme="minorBidi" w:hAnsiTheme="minorBidi" w:hint="cs"/>
          <w:sz w:val="27"/>
          <w:rtl/>
        </w:rPr>
        <w:t xml:space="preserve"> </w:t>
      </w:r>
      <w:r w:rsidR="00960CC7" w:rsidRPr="00904FCB">
        <w:rPr>
          <w:rFonts w:asciiTheme="minorBidi" w:hAnsiTheme="minorBidi" w:hint="cs"/>
          <w:sz w:val="27"/>
          <w:rtl/>
        </w:rPr>
        <w:t>لذا</w:t>
      </w:r>
      <w:r w:rsidRPr="00904FCB">
        <w:rPr>
          <w:rFonts w:asciiTheme="minorBidi" w:hAnsiTheme="minorBidi" w:hint="cs"/>
          <w:sz w:val="27"/>
          <w:rtl/>
        </w:rPr>
        <w:t xml:space="preserve"> فإن أي</w:t>
      </w:r>
      <w:r w:rsidR="00960CC7" w:rsidRPr="00904FCB">
        <w:rPr>
          <w:rFonts w:asciiTheme="minorBidi" w:hAnsiTheme="minorBidi" w:hint="cs"/>
          <w:sz w:val="27"/>
          <w:rtl/>
        </w:rPr>
        <w:t>ّ</w:t>
      </w:r>
      <w:r w:rsidRPr="00904FCB">
        <w:rPr>
          <w:rFonts w:asciiTheme="minorBidi" w:hAnsiTheme="minorBidi" w:hint="cs"/>
          <w:sz w:val="27"/>
          <w:rtl/>
        </w:rPr>
        <w:t xml:space="preserve"> استعمال لمواهب الطبيعة بما يكون سببا</w:t>
      </w:r>
      <w:r w:rsidR="00960CC7" w:rsidRPr="00904FCB">
        <w:rPr>
          <w:rFonts w:asciiTheme="minorBidi" w:hAnsiTheme="minorBidi" w:hint="cs"/>
          <w:sz w:val="27"/>
          <w:rtl/>
        </w:rPr>
        <w:t>ً</w:t>
      </w:r>
      <w:r w:rsidRPr="00904FCB">
        <w:rPr>
          <w:rFonts w:asciiTheme="minorBidi" w:hAnsiTheme="minorBidi" w:hint="cs"/>
          <w:sz w:val="27"/>
          <w:rtl/>
        </w:rPr>
        <w:t xml:space="preserve"> في تدميرها وهدرها</w:t>
      </w:r>
      <w:r w:rsidR="00960CC7" w:rsidRPr="00904FCB">
        <w:rPr>
          <w:rFonts w:asciiTheme="minorBidi" w:hAnsiTheme="minorBidi" w:hint="cs"/>
          <w:sz w:val="27"/>
          <w:rtl/>
        </w:rPr>
        <w:t>،</w:t>
      </w:r>
      <w:r w:rsidRPr="00904FCB">
        <w:rPr>
          <w:rFonts w:asciiTheme="minorBidi" w:hAnsiTheme="minorBidi" w:hint="cs"/>
          <w:sz w:val="27"/>
          <w:rtl/>
        </w:rPr>
        <w:t xml:space="preserve"> أو تلويث البيئة بما يكون عائقا</w:t>
      </w:r>
      <w:r w:rsidR="00960CC7" w:rsidRPr="00904FCB">
        <w:rPr>
          <w:rFonts w:asciiTheme="minorBidi" w:hAnsiTheme="minorBidi" w:hint="cs"/>
          <w:sz w:val="27"/>
          <w:rtl/>
        </w:rPr>
        <w:t>ً</w:t>
      </w:r>
      <w:r w:rsidRPr="00904FCB">
        <w:rPr>
          <w:rFonts w:asciiTheme="minorBidi" w:hAnsiTheme="minorBidi" w:hint="cs"/>
          <w:sz w:val="27"/>
          <w:rtl/>
        </w:rPr>
        <w:t xml:space="preserve"> أمام العيش الصحي والسليم للأجيال القادمة</w:t>
      </w:r>
      <w:r w:rsidR="00960CC7" w:rsidRPr="00904FCB">
        <w:rPr>
          <w:rFonts w:asciiTheme="minorBidi" w:hAnsiTheme="minorBidi" w:hint="cs"/>
          <w:sz w:val="27"/>
          <w:rtl/>
        </w:rPr>
        <w:t>،</w:t>
      </w:r>
      <w:r w:rsidRPr="00904FCB">
        <w:rPr>
          <w:rFonts w:asciiTheme="minorBidi" w:hAnsiTheme="minorBidi" w:hint="cs"/>
          <w:sz w:val="27"/>
          <w:rtl/>
        </w:rPr>
        <w:t xml:space="preserve"> يكون فعلا</w:t>
      </w:r>
      <w:r w:rsidR="00960CC7" w:rsidRPr="00904FCB">
        <w:rPr>
          <w:rFonts w:asciiTheme="minorBidi" w:hAnsiTheme="minorBidi" w:hint="cs"/>
          <w:sz w:val="27"/>
          <w:rtl/>
        </w:rPr>
        <w:t>ً</w:t>
      </w:r>
      <w:r w:rsidRPr="00904FCB">
        <w:rPr>
          <w:rFonts w:asciiTheme="minorBidi" w:hAnsiTheme="minorBidi" w:hint="cs"/>
          <w:sz w:val="27"/>
          <w:rtl/>
        </w:rPr>
        <w:t xml:space="preserve"> وسلوكا</w:t>
      </w:r>
      <w:r w:rsidR="00960CC7" w:rsidRPr="00904FCB">
        <w:rPr>
          <w:rFonts w:asciiTheme="minorBidi" w:hAnsiTheme="minorBidi" w:hint="cs"/>
          <w:sz w:val="27"/>
          <w:rtl/>
        </w:rPr>
        <w:t>ً</w:t>
      </w:r>
      <w:r w:rsidRPr="00904FCB">
        <w:rPr>
          <w:rFonts w:asciiTheme="minorBidi" w:hAnsiTheme="minorBidi" w:hint="cs"/>
          <w:sz w:val="27"/>
          <w:rtl/>
        </w:rPr>
        <w:t xml:space="preserve"> بعيد</w:t>
      </w:r>
      <w:r w:rsidR="00960CC7" w:rsidRPr="00904FCB">
        <w:rPr>
          <w:rFonts w:asciiTheme="minorBidi" w:hAnsiTheme="minorBidi" w:hint="cs"/>
          <w:sz w:val="27"/>
          <w:rtl/>
        </w:rPr>
        <w:t>اً</w:t>
      </w:r>
      <w:r w:rsidRPr="00904FCB">
        <w:rPr>
          <w:rFonts w:asciiTheme="minorBidi" w:hAnsiTheme="minorBidi" w:hint="cs"/>
          <w:sz w:val="27"/>
          <w:rtl/>
        </w:rPr>
        <w:t xml:space="preserve"> عن العدالة وال</w:t>
      </w:r>
      <w:r w:rsidR="00960CC7" w:rsidRPr="00904FCB">
        <w:rPr>
          <w:rFonts w:asciiTheme="minorBidi" w:hAnsiTheme="minorBidi" w:hint="cs"/>
          <w:sz w:val="27"/>
          <w:rtl/>
        </w:rPr>
        <w:t>إ</w:t>
      </w:r>
      <w:r w:rsidRPr="00904FCB">
        <w:rPr>
          <w:rFonts w:asciiTheme="minorBidi" w:hAnsiTheme="minorBidi" w:hint="cs"/>
          <w:sz w:val="27"/>
          <w:rtl/>
        </w:rPr>
        <w:t>نصاف</w:t>
      </w:r>
      <w:r w:rsidR="00960CC7" w:rsidRPr="00904FCB">
        <w:rPr>
          <w:rFonts w:asciiTheme="minorBidi" w:hAnsiTheme="minorBidi" w:hint="cs"/>
          <w:sz w:val="27"/>
          <w:rtl/>
        </w:rPr>
        <w:t>،</w:t>
      </w:r>
      <w:r w:rsidRPr="00904FCB">
        <w:rPr>
          <w:rFonts w:asciiTheme="minorBidi" w:hAnsiTheme="minorBidi" w:hint="cs"/>
          <w:sz w:val="27"/>
          <w:rtl/>
        </w:rPr>
        <w:t xml:space="preserve"> ويكون من وجهة الدين غير جائز</w:t>
      </w:r>
      <w:r w:rsidR="00960CC7" w:rsidRPr="00904FCB">
        <w:rPr>
          <w:rFonts w:asciiTheme="minorBidi" w:hAnsiTheme="minorBidi" w:hint="cs"/>
          <w:sz w:val="27"/>
          <w:rtl/>
        </w:rPr>
        <w:t>،</w:t>
      </w:r>
      <w:r w:rsidRPr="00904FCB">
        <w:rPr>
          <w:rFonts w:asciiTheme="minorBidi" w:hAnsiTheme="minorBidi" w:hint="cs"/>
          <w:sz w:val="27"/>
          <w:rtl/>
        </w:rPr>
        <w:t xml:space="preserve"> ويلزم صاحبه بالغرم والضمان. </w:t>
      </w:r>
    </w:p>
    <w:p w:rsidR="00EF655F" w:rsidRPr="00904FCB" w:rsidRDefault="00EF655F" w:rsidP="007A21AA">
      <w:pPr>
        <w:spacing w:line="400" w:lineRule="exact"/>
        <w:rPr>
          <w:rFonts w:asciiTheme="minorBidi" w:hAnsiTheme="minorBidi"/>
          <w:sz w:val="27"/>
          <w:rtl/>
        </w:rPr>
      </w:pPr>
    </w:p>
    <w:p w:rsidR="00EF655F" w:rsidRPr="00904FCB" w:rsidRDefault="00EF655F" w:rsidP="007A21AA">
      <w:pPr>
        <w:pStyle w:val="31"/>
        <w:spacing w:line="400" w:lineRule="exact"/>
        <w:rPr>
          <w:color w:val="auto"/>
          <w:rtl/>
        </w:rPr>
      </w:pPr>
      <w:r w:rsidRPr="00904FCB">
        <w:rPr>
          <w:rFonts w:hint="cs"/>
          <w:color w:val="auto"/>
          <w:rtl/>
        </w:rPr>
        <w:t xml:space="preserve">الخامس: قاعدة </w:t>
      </w:r>
      <w:r w:rsidRPr="00904FCB">
        <w:rPr>
          <w:rFonts w:hint="eastAsia"/>
          <w:color w:val="auto"/>
          <w:rtl/>
        </w:rPr>
        <w:t>«</w:t>
      </w:r>
      <w:r w:rsidRPr="00904FCB">
        <w:rPr>
          <w:rFonts w:hint="cs"/>
          <w:color w:val="auto"/>
          <w:rtl/>
        </w:rPr>
        <w:t>مَنْ له الغُن</w:t>
      </w:r>
      <w:r w:rsidR="00960CC7" w:rsidRPr="00904FCB">
        <w:rPr>
          <w:rFonts w:hint="cs"/>
          <w:color w:val="auto"/>
          <w:rtl/>
        </w:rPr>
        <w:t>ْ</w:t>
      </w:r>
      <w:r w:rsidRPr="00904FCB">
        <w:rPr>
          <w:rFonts w:hint="cs"/>
          <w:color w:val="auto"/>
          <w:rtl/>
        </w:rPr>
        <w:t>م</w:t>
      </w:r>
      <w:r w:rsidRPr="00904FCB">
        <w:rPr>
          <w:rFonts w:hint="eastAsia"/>
          <w:color w:val="auto"/>
          <w:rtl/>
        </w:rPr>
        <w:t>»</w:t>
      </w:r>
      <w:r w:rsidRPr="00904FCB">
        <w:rPr>
          <w:rFonts w:hint="cs"/>
          <w:color w:val="auto"/>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من القواعد التي ي</w:t>
      </w:r>
      <w:r w:rsidR="00960CC7" w:rsidRPr="00904FCB">
        <w:rPr>
          <w:rFonts w:asciiTheme="minorBidi" w:hAnsiTheme="minorBidi" w:hint="cs"/>
          <w:sz w:val="27"/>
          <w:rtl/>
        </w:rPr>
        <w:t>ُ</w:t>
      </w:r>
      <w:r w:rsidRPr="00904FCB">
        <w:rPr>
          <w:rFonts w:asciiTheme="minorBidi" w:hAnsiTheme="minorBidi" w:hint="cs"/>
          <w:sz w:val="27"/>
          <w:rtl/>
        </w:rPr>
        <w:t>ستفاد منها في باب الر</w:t>
      </w:r>
      <w:r w:rsidR="00960CC7" w:rsidRPr="00904FCB">
        <w:rPr>
          <w:rFonts w:asciiTheme="minorBidi" w:hAnsiTheme="minorBidi" w:hint="cs"/>
          <w:sz w:val="27"/>
          <w:rtl/>
        </w:rPr>
        <w:t>َّ</w:t>
      </w:r>
      <w:r w:rsidRPr="00904FCB">
        <w:rPr>
          <w:rFonts w:asciiTheme="minorBidi" w:hAnsiTheme="minorBidi" w:hint="cs"/>
          <w:sz w:val="27"/>
          <w:rtl/>
        </w:rPr>
        <w:t>ه</w:t>
      </w:r>
      <w:r w:rsidR="00960CC7" w:rsidRPr="00904FCB">
        <w:rPr>
          <w:rFonts w:asciiTheme="minorBidi" w:hAnsiTheme="minorBidi" w:hint="cs"/>
          <w:sz w:val="27"/>
          <w:rtl/>
        </w:rPr>
        <w:t>ْ</w:t>
      </w:r>
      <w:r w:rsidRPr="00904FCB">
        <w:rPr>
          <w:rFonts w:asciiTheme="minorBidi" w:hAnsiTheme="minorBidi" w:hint="cs"/>
          <w:sz w:val="27"/>
          <w:rtl/>
        </w:rPr>
        <w:t xml:space="preserve">ن قاعدة </w:t>
      </w:r>
      <w:r w:rsidRPr="00904FCB">
        <w:rPr>
          <w:rFonts w:hint="eastAsia"/>
          <w:sz w:val="27"/>
          <w:rtl/>
        </w:rPr>
        <w:t>«</w:t>
      </w:r>
      <w:r w:rsidRPr="00904FCB">
        <w:rPr>
          <w:rFonts w:asciiTheme="minorBidi" w:hAnsiTheme="minorBidi" w:hint="cs"/>
          <w:sz w:val="27"/>
          <w:rtl/>
        </w:rPr>
        <w:t>م</w:t>
      </w:r>
      <w:r w:rsidR="00960CC7" w:rsidRPr="00904FCB">
        <w:rPr>
          <w:rFonts w:asciiTheme="minorBidi" w:hAnsiTheme="minorBidi" w:hint="cs"/>
          <w:sz w:val="27"/>
          <w:rtl/>
        </w:rPr>
        <w:t>َ</w:t>
      </w:r>
      <w:r w:rsidRPr="00904FCB">
        <w:rPr>
          <w:rFonts w:asciiTheme="minorBidi" w:hAnsiTheme="minorBidi" w:hint="cs"/>
          <w:sz w:val="27"/>
          <w:rtl/>
        </w:rPr>
        <w:t>ن</w:t>
      </w:r>
      <w:r w:rsidR="00960CC7" w:rsidRPr="00904FCB">
        <w:rPr>
          <w:rFonts w:asciiTheme="minorBidi" w:hAnsiTheme="minorBidi" w:hint="cs"/>
          <w:sz w:val="27"/>
          <w:rtl/>
        </w:rPr>
        <w:t>ْ</w:t>
      </w:r>
      <w:r w:rsidRPr="00904FCB">
        <w:rPr>
          <w:rFonts w:asciiTheme="minorBidi" w:hAnsiTheme="minorBidi" w:hint="cs"/>
          <w:sz w:val="27"/>
          <w:rtl/>
        </w:rPr>
        <w:t xml:space="preserve"> له الغُن</w:t>
      </w:r>
      <w:r w:rsidR="00960CC7" w:rsidRPr="00904FCB">
        <w:rPr>
          <w:rFonts w:asciiTheme="minorBidi" w:hAnsiTheme="minorBidi" w:hint="cs"/>
          <w:sz w:val="27"/>
          <w:rtl/>
        </w:rPr>
        <w:t>ْ</w:t>
      </w:r>
      <w:r w:rsidRPr="00904FCB">
        <w:rPr>
          <w:rFonts w:asciiTheme="minorBidi" w:hAnsiTheme="minorBidi" w:hint="cs"/>
          <w:sz w:val="27"/>
          <w:rtl/>
        </w:rPr>
        <w:t>م فله الغُر</w:t>
      </w:r>
      <w:r w:rsidR="00960CC7" w:rsidRPr="00904FCB">
        <w:rPr>
          <w:rFonts w:asciiTheme="minorBidi" w:hAnsiTheme="minorBidi" w:hint="cs"/>
          <w:sz w:val="27"/>
          <w:rtl/>
        </w:rPr>
        <w:t>ْ</w:t>
      </w:r>
      <w:r w:rsidRPr="00904FCB">
        <w:rPr>
          <w:rFonts w:asciiTheme="minorBidi" w:hAnsiTheme="minorBidi" w:hint="cs"/>
          <w:sz w:val="27"/>
          <w:rtl/>
        </w:rPr>
        <w:t>م</w:t>
      </w:r>
      <w:r w:rsidR="00960CC7" w:rsidRPr="00904FCB">
        <w:rPr>
          <w:rFonts w:hint="eastAsia"/>
          <w:sz w:val="27"/>
          <w:rtl/>
        </w:rPr>
        <w:t>»</w:t>
      </w:r>
      <w:r w:rsidR="00960CC7" w:rsidRPr="00904FCB">
        <w:rPr>
          <w:rFonts w:asciiTheme="minorBidi" w:hAnsiTheme="minorBidi" w:hint="cs"/>
          <w:sz w:val="27"/>
          <w:rtl/>
        </w:rPr>
        <w:t xml:space="preserve">. </w:t>
      </w:r>
      <w:r w:rsidRPr="00904FCB">
        <w:rPr>
          <w:rFonts w:asciiTheme="minorBidi" w:hAnsiTheme="minorBidi" w:hint="cs"/>
          <w:sz w:val="27"/>
          <w:rtl/>
        </w:rPr>
        <w:t>كما يدل</w:t>
      </w:r>
      <w:r w:rsidR="00960CC7" w:rsidRPr="00904FCB">
        <w:rPr>
          <w:rFonts w:asciiTheme="minorBidi" w:hAnsiTheme="minorBidi" w:hint="cs"/>
          <w:sz w:val="27"/>
          <w:rtl/>
        </w:rPr>
        <w:t>ّ</w:t>
      </w:r>
      <w:r w:rsidRPr="00904FCB">
        <w:rPr>
          <w:rFonts w:asciiTheme="minorBidi" w:hAnsiTheme="minorBidi"/>
          <w:sz w:val="27"/>
          <w:vertAlign w:val="superscript"/>
          <w:rtl/>
        </w:rPr>
        <w:t>(</w:t>
      </w:r>
      <w:r w:rsidRPr="00904FCB">
        <w:rPr>
          <w:rStyle w:val="ac"/>
          <w:rFonts w:asciiTheme="minorBidi" w:hAnsiTheme="minorBidi"/>
          <w:sz w:val="27"/>
          <w:rtl/>
        </w:rPr>
        <w:endnoteReference w:id="575"/>
      </w:r>
      <w:r w:rsidRPr="00904FCB">
        <w:rPr>
          <w:rFonts w:asciiTheme="minorBidi" w:hAnsiTheme="minorBidi"/>
          <w:sz w:val="27"/>
          <w:vertAlign w:val="superscript"/>
          <w:rtl/>
        </w:rPr>
        <w:t>)</w:t>
      </w:r>
      <w:r w:rsidRPr="00904FCB">
        <w:rPr>
          <w:rFonts w:asciiTheme="minorBidi" w:hAnsiTheme="minorBidi" w:hint="cs"/>
          <w:sz w:val="27"/>
          <w:rtl/>
        </w:rPr>
        <w:t xml:space="preserve"> عليها الحديث النبوي الشريف</w:t>
      </w:r>
      <w:r w:rsidR="006B698E" w:rsidRPr="00904FCB">
        <w:rPr>
          <w:rFonts w:asciiTheme="minorBidi" w:hAnsiTheme="minorBidi" w:hint="cs"/>
          <w:sz w:val="27"/>
          <w:rtl/>
        </w:rPr>
        <w:t>:</w:t>
      </w:r>
      <w:r w:rsidRPr="00904FCB">
        <w:rPr>
          <w:rFonts w:asciiTheme="minorBidi" w:hAnsiTheme="minorBidi" w:hint="cs"/>
          <w:sz w:val="27"/>
          <w:rtl/>
        </w:rPr>
        <w:t xml:space="preserve"> </w:t>
      </w:r>
      <w:r w:rsidRPr="00904FCB">
        <w:rPr>
          <w:rFonts w:hint="eastAsia"/>
          <w:sz w:val="27"/>
          <w:rtl/>
        </w:rPr>
        <w:t>«</w:t>
      </w:r>
      <w:r w:rsidRPr="00904FCB">
        <w:rPr>
          <w:rFonts w:asciiTheme="minorBidi" w:hAnsiTheme="minorBidi" w:hint="cs"/>
          <w:sz w:val="27"/>
          <w:rtl/>
        </w:rPr>
        <w:t>الخراجُ بالضّمان</w:t>
      </w:r>
      <w:r w:rsidRPr="00904FCB">
        <w:rPr>
          <w:rFonts w:hint="eastAsia"/>
          <w:sz w:val="27"/>
          <w:rtl/>
        </w:rPr>
        <w:t>»</w:t>
      </w:r>
      <w:r w:rsidRPr="00904FCB">
        <w:rPr>
          <w:rFonts w:asciiTheme="minorBidi" w:hAnsiTheme="minorBidi"/>
          <w:sz w:val="27"/>
          <w:vertAlign w:val="superscript"/>
          <w:rtl/>
        </w:rPr>
        <w:t>(</w:t>
      </w:r>
      <w:r w:rsidRPr="00904FCB">
        <w:rPr>
          <w:rStyle w:val="ac"/>
          <w:rFonts w:asciiTheme="minorBidi" w:hAnsiTheme="minorBidi"/>
          <w:sz w:val="27"/>
          <w:rtl/>
        </w:rPr>
        <w:endnoteReference w:id="576"/>
      </w:r>
      <w:r w:rsidRPr="00904FCB">
        <w:rPr>
          <w:rFonts w:asciiTheme="minorBidi" w:hAnsiTheme="minorBidi"/>
          <w:sz w:val="27"/>
          <w:vertAlign w:val="superscript"/>
          <w:rtl/>
        </w:rPr>
        <w:t>)</w:t>
      </w:r>
      <w:r w:rsidR="006B698E" w:rsidRPr="00904FCB">
        <w:rPr>
          <w:rFonts w:asciiTheme="minorBidi" w:hAnsiTheme="minorBidi" w:hint="cs"/>
          <w:sz w:val="27"/>
          <w:rtl/>
        </w:rPr>
        <w:t>،</w:t>
      </w:r>
      <w:r w:rsidRPr="00904FCB">
        <w:rPr>
          <w:rFonts w:asciiTheme="minorBidi" w:hAnsiTheme="minorBidi" w:hint="cs"/>
          <w:sz w:val="27"/>
          <w:rtl/>
        </w:rPr>
        <w:t xml:space="preserve"> ومفاد القاعدة أن م</w:t>
      </w:r>
      <w:r w:rsidR="006B698E" w:rsidRPr="00904FCB">
        <w:rPr>
          <w:rFonts w:asciiTheme="minorBidi" w:hAnsiTheme="minorBidi" w:hint="cs"/>
          <w:sz w:val="27"/>
          <w:rtl/>
        </w:rPr>
        <w:t>َنْ</w:t>
      </w:r>
      <w:r w:rsidRPr="00904FCB">
        <w:rPr>
          <w:rFonts w:asciiTheme="minorBidi" w:hAnsiTheme="minorBidi" w:hint="cs"/>
          <w:sz w:val="27"/>
          <w:rtl/>
        </w:rPr>
        <w:t xml:space="preserve"> ينال فائدته يتحم</w:t>
      </w:r>
      <w:r w:rsidR="006B698E" w:rsidRPr="00904FCB">
        <w:rPr>
          <w:rFonts w:asciiTheme="minorBidi" w:hAnsiTheme="minorBidi" w:hint="cs"/>
          <w:sz w:val="27"/>
          <w:rtl/>
        </w:rPr>
        <w:t>ّ</w:t>
      </w:r>
      <w:r w:rsidRPr="00904FCB">
        <w:rPr>
          <w:rFonts w:asciiTheme="minorBidi" w:hAnsiTheme="minorBidi" w:hint="cs"/>
          <w:sz w:val="27"/>
          <w:rtl/>
        </w:rPr>
        <w:t xml:space="preserve">ل ضرره وخسارته. </w:t>
      </w:r>
    </w:p>
    <w:p w:rsidR="00EF655F" w:rsidRPr="00904FCB" w:rsidRDefault="00EF655F" w:rsidP="004722A1">
      <w:pPr>
        <w:spacing w:line="400" w:lineRule="exact"/>
        <w:rPr>
          <w:rFonts w:asciiTheme="minorBidi" w:hAnsiTheme="minorBidi"/>
          <w:sz w:val="27"/>
          <w:rtl/>
        </w:rPr>
      </w:pPr>
      <w:r w:rsidRPr="00904FCB">
        <w:rPr>
          <w:rFonts w:asciiTheme="minorBidi" w:hAnsiTheme="minorBidi" w:hint="cs"/>
          <w:sz w:val="27"/>
          <w:rtl/>
        </w:rPr>
        <w:t>ووفقاً لهذا الأصل فإن</w:t>
      </w:r>
      <w:r w:rsidR="006B698E" w:rsidRPr="00904FCB">
        <w:rPr>
          <w:rFonts w:asciiTheme="minorBidi" w:hAnsiTheme="minorBidi" w:hint="cs"/>
          <w:sz w:val="27"/>
          <w:rtl/>
        </w:rPr>
        <w:t>ْ</w:t>
      </w:r>
      <w:r w:rsidRPr="00904FCB">
        <w:rPr>
          <w:rFonts w:asciiTheme="minorBidi" w:hAnsiTheme="minorBidi" w:hint="cs"/>
          <w:sz w:val="27"/>
          <w:rtl/>
        </w:rPr>
        <w:t xml:space="preserve"> كل</w:t>
      </w:r>
      <w:r w:rsidR="006B698E" w:rsidRPr="00904FCB">
        <w:rPr>
          <w:rFonts w:asciiTheme="minorBidi" w:hAnsiTheme="minorBidi" w:hint="cs"/>
          <w:sz w:val="27"/>
          <w:rtl/>
        </w:rPr>
        <w:t>ّ</w:t>
      </w:r>
      <w:r w:rsidRPr="00904FCB">
        <w:rPr>
          <w:rFonts w:asciiTheme="minorBidi" w:hAnsiTheme="minorBidi" w:hint="cs"/>
          <w:sz w:val="27"/>
          <w:rtl/>
        </w:rPr>
        <w:t xml:space="preserve"> فرد</w:t>
      </w:r>
      <w:r w:rsidR="006B698E" w:rsidRPr="00904FCB">
        <w:rPr>
          <w:rFonts w:asciiTheme="minorBidi" w:hAnsiTheme="minorBidi" w:hint="cs"/>
          <w:sz w:val="27"/>
          <w:rtl/>
        </w:rPr>
        <w:t>ٍ</w:t>
      </w:r>
      <w:r w:rsidRPr="00904FCB">
        <w:rPr>
          <w:rFonts w:asciiTheme="minorBidi" w:hAnsiTheme="minorBidi" w:hint="cs"/>
          <w:sz w:val="27"/>
          <w:rtl/>
        </w:rPr>
        <w:t xml:space="preserve"> مارس فعالية يستفيد منها عليه أن يتحم</w:t>
      </w:r>
      <w:r w:rsidR="006B698E" w:rsidRPr="00904FCB">
        <w:rPr>
          <w:rFonts w:asciiTheme="minorBidi" w:hAnsiTheme="minorBidi" w:hint="cs"/>
          <w:sz w:val="27"/>
          <w:rtl/>
        </w:rPr>
        <w:t>َّ</w:t>
      </w:r>
      <w:r w:rsidRPr="00904FCB">
        <w:rPr>
          <w:rFonts w:asciiTheme="minorBidi" w:hAnsiTheme="minorBidi" w:hint="cs"/>
          <w:sz w:val="27"/>
          <w:rtl/>
        </w:rPr>
        <w:t>ل خساراتها وال</w:t>
      </w:r>
      <w:r w:rsidR="006B698E" w:rsidRPr="00904FCB">
        <w:rPr>
          <w:rFonts w:asciiTheme="minorBidi" w:hAnsiTheme="minorBidi" w:hint="cs"/>
          <w:sz w:val="27"/>
          <w:rtl/>
        </w:rPr>
        <w:t>أ</w:t>
      </w:r>
      <w:r w:rsidRPr="00904FCB">
        <w:rPr>
          <w:rFonts w:asciiTheme="minorBidi" w:hAnsiTheme="minorBidi" w:hint="cs"/>
          <w:sz w:val="27"/>
          <w:rtl/>
        </w:rPr>
        <w:t>ضرار الناتجة عنها. لذا فإن أصحاب المنشآت الصناعية والمعامل</w:t>
      </w:r>
      <w:r w:rsidR="006B698E" w:rsidRPr="00904FCB">
        <w:rPr>
          <w:rFonts w:asciiTheme="minorBidi" w:hAnsiTheme="minorBidi" w:hint="cs"/>
          <w:sz w:val="27"/>
          <w:rtl/>
        </w:rPr>
        <w:t>،</w:t>
      </w:r>
      <w:r w:rsidRPr="00904FCB">
        <w:rPr>
          <w:rFonts w:asciiTheme="minorBidi" w:hAnsiTheme="minorBidi" w:hint="cs"/>
          <w:sz w:val="27"/>
          <w:rtl/>
        </w:rPr>
        <w:t xml:space="preserve"> والذين يستفيدون من المصادر الطبيعية لمنتجاتهم ومحصولاتهم</w:t>
      </w:r>
      <w:r w:rsidR="006B698E" w:rsidRPr="00904FCB">
        <w:rPr>
          <w:rFonts w:asciiTheme="minorBidi" w:hAnsiTheme="minorBidi" w:hint="cs"/>
          <w:sz w:val="27"/>
          <w:rtl/>
        </w:rPr>
        <w:t>،</w:t>
      </w:r>
      <w:r w:rsidRPr="00904FCB">
        <w:rPr>
          <w:rFonts w:asciiTheme="minorBidi" w:hAnsiTheme="minorBidi" w:hint="cs"/>
          <w:sz w:val="27"/>
          <w:rtl/>
        </w:rPr>
        <w:t xml:space="preserve"> يشملهم الحكم بالضمان والغرم الشرعي</w:t>
      </w:r>
      <w:r w:rsidR="006B698E" w:rsidRPr="00904FCB">
        <w:rPr>
          <w:rFonts w:asciiTheme="minorBidi" w:hAnsiTheme="minorBidi" w:hint="cs"/>
          <w:sz w:val="27"/>
          <w:rtl/>
        </w:rPr>
        <w:t>.</w:t>
      </w:r>
      <w:r w:rsidRPr="00904FCB">
        <w:rPr>
          <w:rFonts w:asciiTheme="minorBidi" w:hAnsiTheme="minorBidi" w:hint="cs"/>
          <w:sz w:val="27"/>
          <w:rtl/>
        </w:rPr>
        <w:t xml:space="preserve"> فهم كما يستفيدون ويجنون أرباحا</w:t>
      </w:r>
      <w:r w:rsidR="006B698E" w:rsidRPr="00904FCB">
        <w:rPr>
          <w:rFonts w:asciiTheme="minorBidi" w:hAnsiTheme="minorBidi" w:hint="cs"/>
          <w:sz w:val="27"/>
          <w:rtl/>
        </w:rPr>
        <w:t>ً</w:t>
      </w:r>
      <w:r w:rsidRPr="00904FCB">
        <w:rPr>
          <w:rFonts w:asciiTheme="minorBidi" w:hAnsiTheme="minorBidi" w:hint="cs"/>
          <w:sz w:val="27"/>
          <w:rtl/>
        </w:rPr>
        <w:t xml:space="preserve"> من استعمالهم للطبيعة مكل</w:t>
      </w:r>
      <w:r w:rsidR="006B698E" w:rsidRPr="00904FCB">
        <w:rPr>
          <w:rFonts w:asciiTheme="minorBidi" w:hAnsiTheme="minorBidi" w:hint="cs"/>
          <w:sz w:val="27"/>
          <w:rtl/>
        </w:rPr>
        <w:t>َّ</w:t>
      </w:r>
      <w:r w:rsidRPr="00904FCB">
        <w:rPr>
          <w:rFonts w:asciiTheme="minorBidi" w:hAnsiTheme="minorBidi" w:hint="cs"/>
          <w:sz w:val="27"/>
          <w:rtl/>
        </w:rPr>
        <w:t>فون بتحم</w:t>
      </w:r>
      <w:r w:rsidR="006B698E" w:rsidRPr="00904FCB">
        <w:rPr>
          <w:rFonts w:asciiTheme="minorBidi" w:hAnsiTheme="minorBidi" w:hint="cs"/>
          <w:sz w:val="27"/>
          <w:rtl/>
        </w:rPr>
        <w:t>ُّ</w:t>
      </w:r>
      <w:r w:rsidRPr="00904FCB">
        <w:rPr>
          <w:rFonts w:asciiTheme="minorBidi" w:hAnsiTheme="minorBidi" w:hint="cs"/>
          <w:sz w:val="27"/>
          <w:rtl/>
        </w:rPr>
        <w:t>ل ال</w:t>
      </w:r>
      <w:r w:rsidR="006B698E" w:rsidRPr="00904FCB">
        <w:rPr>
          <w:rFonts w:asciiTheme="minorBidi" w:hAnsiTheme="minorBidi" w:hint="cs"/>
          <w:sz w:val="27"/>
          <w:rtl/>
        </w:rPr>
        <w:t>أ</w:t>
      </w:r>
      <w:r w:rsidRPr="00904FCB">
        <w:rPr>
          <w:rFonts w:asciiTheme="minorBidi" w:hAnsiTheme="minorBidi" w:hint="cs"/>
          <w:sz w:val="27"/>
          <w:rtl/>
        </w:rPr>
        <w:t>ضرار وضمان الخسارات</w:t>
      </w:r>
      <w:r w:rsidR="006B698E" w:rsidRPr="00904FCB">
        <w:rPr>
          <w:rFonts w:asciiTheme="minorBidi" w:hAnsiTheme="minorBidi" w:hint="cs"/>
          <w:sz w:val="27"/>
          <w:rtl/>
        </w:rPr>
        <w:t>.</w:t>
      </w:r>
      <w:r w:rsidRPr="00904FCB">
        <w:rPr>
          <w:rFonts w:asciiTheme="minorBidi" w:hAnsiTheme="minorBidi" w:hint="cs"/>
          <w:sz w:val="27"/>
          <w:rtl/>
        </w:rPr>
        <w:t xml:space="preserve"> ولضمان الخسارات </w:t>
      </w:r>
      <w:r w:rsidR="004722A1" w:rsidRPr="00904FCB">
        <w:rPr>
          <w:rFonts w:asciiTheme="minorBidi" w:hAnsiTheme="minorBidi" w:hint="cs"/>
          <w:sz w:val="27"/>
          <w:rtl/>
        </w:rPr>
        <w:t xml:space="preserve">يجب </w:t>
      </w:r>
      <w:r w:rsidRPr="00904FCB">
        <w:rPr>
          <w:rFonts w:asciiTheme="minorBidi" w:hAnsiTheme="minorBidi" w:hint="cs"/>
          <w:sz w:val="27"/>
          <w:rtl/>
        </w:rPr>
        <w:t xml:space="preserve">على الحكومات وضع </w:t>
      </w:r>
      <w:r w:rsidR="00D67215">
        <w:rPr>
          <w:rFonts w:asciiTheme="minorBidi" w:hAnsiTheme="minorBidi" w:hint="cs"/>
          <w:sz w:val="27"/>
          <w:rtl/>
        </w:rPr>
        <w:t xml:space="preserve">قوانين </w:t>
      </w:r>
      <w:r w:rsidR="004722A1" w:rsidRPr="00904FCB">
        <w:rPr>
          <w:rFonts w:asciiTheme="minorBidi" w:hAnsiTheme="minorBidi" w:hint="cs"/>
          <w:sz w:val="27"/>
          <w:rtl/>
        </w:rPr>
        <w:t>لذلك</w:t>
      </w:r>
      <w:r w:rsidR="006B698E" w:rsidRPr="00904FCB">
        <w:rPr>
          <w:rFonts w:asciiTheme="minorBidi" w:hAnsiTheme="minorBidi" w:hint="cs"/>
          <w:sz w:val="27"/>
          <w:rtl/>
        </w:rPr>
        <w:t>،</w:t>
      </w:r>
      <w:r w:rsidR="004722A1" w:rsidRPr="00904FCB">
        <w:rPr>
          <w:rFonts w:asciiTheme="minorBidi" w:hAnsiTheme="minorBidi" w:hint="cs"/>
          <w:sz w:val="27"/>
          <w:rtl/>
        </w:rPr>
        <w:t xml:space="preserve"> وأحكاماً </w:t>
      </w:r>
      <w:r w:rsidRPr="00904FCB">
        <w:rPr>
          <w:rFonts w:asciiTheme="minorBidi" w:hAnsiTheme="minorBidi" w:hint="cs"/>
          <w:sz w:val="27"/>
          <w:rtl/>
        </w:rPr>
        <w:t>جنائية تجرم الخسارات والأضرار المسب</w:t>
      </w:r>
      <w:r w:rsidR="006B698E" w:rsidRPr="00904FCB">
        <w:rPr>
          <w:rFonts w:asciiTheme="minorBidi" w:hAnsiTheme="minorBidi" w:hint="cs"/>
          <w:sz w:val="27"/>
          <w:rtl/>
        </w:rPr>
        <w:t>ّ</w:t>
      </w:r>
      <w:r w:rsidRPr="00904FCB">
        <w:rPr>
          <w:rFonts w:asciiTheme="minorBidi" w:hAnsiTheme="minorBidi" w:hint="cs"/>
          <w:sz w:val="27"/>
          <w:rtl/>
        </w:rPr>
        <w:t>بة. كذلك تتحد</w:t>
      </w:r>
      <w:r w:rsidR="006B698E" w:rsidRPr="00904FCB">
        <w:rPr>
          <w:rFonts w:asciiTheme="minorBidi" w:hAnsiTheme="minorBidi" w:hint="cs"/>
          <w:sz w:val="27"/>
          <w:rtl/>
        </w:rPr>
        <w:t>ّ</w:t>
      </w:r>
      <w:r w:rsidRPr="00904FCB">
        <w:rPr>
          <w:rFonts w:asciiTheme="minorBidi" w:hAnsiTheme="minorBidi" w:hint="cs"/>
          <w:sz w:val="27"/>
          <w:rtl/>
        </w:rPr>
        <w:t>د مسؤولية الفقهاء في بيان حكم الضمان لهؤلاء الأفراد</w:t>
      </w:r>
      <w:r w:rsidR="006B698E" w:rsidRPr="00904FCB">
        <w:rPr>
          <w:rFonts w:asciiTheme="minorBidi" w:hAnsiTheme="minorBidi" w:hint="cs"/>
          <w:sz w:val="27"/>
          <w:rtl/>
        </w:rPr>
        <w:t>،</w:t>
      </w:r>
      <w:r w:rsidRPr="00904FCB">
        <w:rPr>
          <w:rFonts w:asciiTheme="minorBidi" w:hAnsiTheme="minorBidi" w:hint="cs"/>
          <w:sz w:val="27"/>
          <w:rtl/>
        </w:rPr>
        <w:t xml:space="preserve"> وتفسيره لهم. </w:t>
      </w:r>
    </w:p>
    <w:p w:rsidR="00EF655F" w:rsidRPr="00904FCB" w:rsidRDefault="00EF655F" w:rsidP="007A21AA">
      <w:pPr>
        <w:spacing w:line="400" w:lineRule="exact"/>
        <w:rPr>
          <w:rFonts w:asciiTheme="minorBidi" w:hAnsiTheme="minorBidi"/>
          <w:sz w:val="27"/>
          <w:rtl/>
        </w:rPr>
      </w:pPr>
    </w:p>
    <w:p w:rsidR="00EF655F" w:rsidRPr="00904FCB" w:rsidRDefault="00EF655F" w:rsidP="007A21AA">
      <w:pPr>
        <w:pStyle w:val="31"/>
        <w:spacing w:line="400" w:lineRule="exact"/>
        <w:rPr>
          <w:color w:val="auto"/>
          <w:rtl/>
        </w:rPr>
      </w:pPr>
      <w:r w:rsidRPr="00904FCB">
        <w:rPr>
          <w:rFonts w:hint="cs"/>
          <w:color w:val="auto"/>
          <w:rtl/>
        </w:rPr>
        <w:t>السادس: تضايف الحق</w:t>
      </w:r>
      <w:r w:rsidR="006B698E" w:rsidRPr="00904FCB">
        <w:rPr>
          <w:rFonts w:hint="cs"/>
          <w:color w:val="auto"/>
          <w:rtl/>
        </w:rPr>
        <w:t>ّ</w:t>
      </w:r>
      <w:r w:rsidRPr="00904FCB">
        <w:rPr>
          <w:rFonts w:hint="cs"/>
          <w:color w:val="auto"/>
          <w:rtl/>
        </w:rPr>
        <w:t xml:space="preserve"> والواجب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المراد بالحق</w:t>
      </w:r>
      <w:r w:rsidR="006B698E" w:rsidRPr="00904FCB">
        <w:rPr>
          <w:rFonts w:asciiTheme="minorBidi" w:hAnsiTheme="minorBidi" w:hint="cs"/>
          <w:sz w:val="27"/>
          <w:rtl/>
        </w:rPr>
        <w:t>ّ</w:t>
      </w:r>
      <w:r w:rsidRPr="00904FCB">
        <w:rPr>
          <w:rFonts w:asciiTheme="minorBidi" w:hAnsiTheme="minorBidi" w:hint="cs"/>
          <w:sz w:val="27"/>
          <w:rtl/>
        </w:rPr>
        <w:t xml:space="preserve"> هنا الحق</w:t>
      </w:r>
      <w:r w:rsidR="006B698E" w:rsidRPr="00904FCB">
        <w:rPr>
          <w:rFonts w:asciiTheme="minorBidi" w:hAnsiTheme="minorBidi" w:hint="cs"/>
          <w:sz w:val="27"/>
          <w:rtl/>
        </w:rPr>
        <w:t>ّ</w:t>
      </w:r>
      <w:r w:rsidRPr="00904FCB">
        <w:rPr>
          <w:rFonts w:asciiTheme="minorBidi" w:hAnsiTheme="minorBidi" w:hint="cs"/>
          <w:sz w:val="27"/>
          <w:rtl/>
        </w:rPr>
        <w:t xml:space="preserve"> الواقع مقابل الواجب</w:t>
      </w:r>
      <w:r w:rsidR="00B34E72" w:rsidRPr="00904FCB">
        <w:rPr>
          <w:rFonts w:asciiTheme="minorBidi" w:hAnsiTheme="minorBidi" w:hint="cs"/>
          <w:sz w:val="27"/>
          <w:rtl/>
        </w:rPr>
        <w:t>.</w:t>
      </w:r>
      <w:r w:rsidRPr="00904FCB">
        <w:rPr>
          <w:rFonts w:asciiTheme="minorBidi" w:hAnsiTheme="minorBidi" w:hint="cs"/>
          <w:sz w:val="27"/>
          <w:rtl/>
        </w:rPr>
        <w:t xml:space="preserve"> الحق</w:t>
      </w:r>
      <w:r w:rsidR="006B698E" w:rsidRPr="00904FCB">
        <w:rPr>
          <w:rFonts w:asciiTheme="minorBidi" w:hAnsiTheme="minorBidi" w:hint="cs"/>
          <w:sz w:val="27"/>
          <w:rtl/>
        </w:rPr>
        <w:t>ّ</w:t>
      </w:r>
      <w:r w:rsidRPr="00904FCB">
        <w:rPr>
          <w:rFonts w:asciiTheme="minorBidi" w:hAnsiTheme="minorBidi" w:hint="cs"/>
          <w:sz w:val="27"/>
          <w:rtl/>
        </w:rPr>
        <w:t xml:space="preserve"> ما يكون في صالح الفرد</w:t>
      </w:r>
      <w:r w:rsidR="00B34E72" w:rsidRPr="00904FCB">
        <w:rPr>
          <w:rFonts w:asciiTheme="minorBidi" w:hAnsiTheme="minorBidi" w:hint="cs"/>
          <w:sz w:val="27"/>
          <w:rtl/>
        </w:rPr>
        <w:t>،</w:t>
      </w:r>
      <w:r w:rsidRPr="00904FCB">
        <w:rPr>
          <w:rFonts w:asciiTheme="minorBidi" w:hAnsiTheme="minorBidi" w:hint="cs"/>
          <w:sz w:val="27"/>
          <w:rtl/>
        </w:rPr>
        <w:t xml:space="preserve"> ويتوج</w:t>
      </w:r>
      <w:r w:rsidR="00B34E72" w:rsidRPr="00904FCB">
        <w:rPr>
          <w:rFonts w:asciiTheme="minorBidi" w:hAnsiTheme="minorBidi" w:hint="cs"/>
          <w:sz w:val="27"/>
          <w:rtl/>
        </w:rPr>
        <w:t>ّ</w:t>
      </w:r>
      <w:r w:rsidRPr="00904FCB">
        <w:rPr>
          <w:rFonts w:asciiTheme="minorBidi" w:hAnsiTheme="minorBidi" w:hint="cs"/>
          <w:sz w:val="27"/>
          <w:rtl/>
        </w:rPr>
        <w:t>ب على الآخرين</w:t>
      </w:r>
      <w:r w:rsidR="00B34E72" w:rsidRPr="00904FCB">
        <w:rPr>
          <w:rFonts w:asciiTheme="minorBidi" w:hAnsiTheme="minorBidi" w:hint="cs"/>
          <w:sz w:val="27"/>
          <w:rtl/>
        </w:rPr>
        <w:t>؛</w:t>
      </w:r>
      <w:r w:rsidRPr="00904FCB">
        <w:rPr>
          <w:rFonts w:asciiTheme="minorBidi" w:hAnsiTheme="minorBidi" w:hint="cs"/>
          <w:sz w:val="27"/>
          <w:rtl/>
        </w:rPr>
        <w:t xml:space="preserve"> والواجب ما في عهدة الفرد</w:t>
      </w:r>
      <w:r w:rsidR="00B34E72" w:rsidRPr="00904FCB">
        <w:rPr>
          <w:rFonts w:asciiTheme="minorBidi" w:hAnsiTheme="minorBidi" w:hint="cs"/>
          <w:sz w:val="27"/>
          <w:rtl/>
        </w:rPr>
        <w:t>،</w:t>
      </w:r>
      <w:r w:rsidRPr="00904FCB">
        <w:rPr>
          <w:rFonts w:asciiTheme="minorBidi" w:hAnsiTheme="minorBidi" w:hint="cs"/>
          <w:sz w:val="27"/>
          <w:rtl/>
        </w:rPr>
        <w:t xml:space="preserve"> ويتوج</w:t>
      </w:r>
      <w:r w:rsidR="00B34E72" w:rsidRPr="00904FCB">
        <w:rPr>
          <w:rFonts w:asciiTheme="minorBidi" w:hAnsiTheme="minorBidi" w:hint="cs"/>
          <w:sz w:val="27"/>
          <w:rtl/>
        </w:rPr>
        <w:t>ّ</w:t>
      </w:r>
      <w:r w:rsidRPr="00904FCB">
        <w:rPr>
          <w:rFonts w:asciiTheme="minorBidi" w:hAnsiTheme="minorBidi" w:hint="cs"/>
          <w:sz w:val="27"/>
          <w:rtl/>
        </w:rPr>
        <w:t>ب عليه تجاه الآخرين. الحق</w:t>
      </w:r>
      <w:r w:rsidR="00B34E72" w:rsidRPr="00904FCB">
        <w:rPr>
          <w:rFonts w:asciiTheme="minorBidi" w:hAnsiTheme="minorBidi" w:hint="cs"/>
          <w:sz w:val="27"/>
          <w:rtl/>
        </w:rPr>
        <w:t>ّ</w:t>
      </w:r>
      <w:r w:rsidRPr="00904FCB">
        <w:rPr>
          <w:rFonts w:asciiTheme="minorBidi" w:hAnsiTheme="minorBidi" w:hint="cs"/>
          <w:sz w:val="27"/>
          <w:rtl/>
        </w:rPr>
        <w:t xml:space="preserve"> مطلوب للمستحق</w:t>
      </w:r>
      <w:r w:rsidR="00B34E72" w:rsidRPr="00904FCB">
        <w:rPr>
          <w:rFonts w:asciiTheme="minorBidi" w:hAnsiTheme="minorBidi" w:hint="cs"/>
          <w:sz w:val="27"/>
          <w:rtl/>
        </w:rPr>
        <w:t>ّ،</w:t>
      </w:r>
      <w:r w:rsidRPr="00904FCB">
        <w:rPr>
          <w:rFonts w:asciiTheme="minorBidi" w:hAnsiTheme="minorBidi" w:hint="cs"/>
          <w:sz w:val="27"/>
          <w:rtl/>
        </w:rPr>
        <w:t xml:space="preserve"> والواجب تكليف</w:t>
      </w:r>
      <w:r w:rsidR="00B34E72" w:rsidRPr="00904FCB">
        <w:rPr>
          <w:rFonts w:asciiTheme="minorBidi" w:hAnsiTheme="minorBidi" w:hint="cs"/>
          <w:sz w:val="27"/>
          <w:rtl/>
        </w:rPr>
        <w:t>ٌ</w:t>
      </w:r>
      <w:r w:rsidRPr="00904FCB">
        <w:rPr>
          <w:rFonts w:asciiTheme="minorBidi" w:hAnsiTheme="minorBidi" w:hint="cs"/>
          <w:sz w:val="27"/>
          <w:rtl/>
        </w:rPr>
        <w:t xml:space="preserve"> على المكل</w:t>
      </w:r>
      <w:r w:rsidR="00B34E72" w:rsidRPr="00904FCB">
        <w:rPr>
          <w:rFonts w:asciiTheme="minorBidi" w:hAnsiTheme="minorBidi" w:hint="cs"/>
          <w:sz w:val="27"/>
          <w:rtl/>
        </w:rPr>
        <w:t>َّ</w:t>
      </w:r>
      <w:r w:rsidRPr="00904FCB">
        <w:rPr>
          <w:rFonts w:asciiTheme="minorBidi" w:hAnsiTheme="minorBidi" w:hint="cs"/>
          <w:sz w:val="27"/>
          <w:rtl/>
        </w:rPr>
        <w:t xml:space="preserve">ف.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لقد تنو</w:t>
      </w:r>
      <w:r w:rsidR="00B34E72" w:rsidRPr="00904FCB">
        <w:rPr>
          <w:rFonts w:asciiTheme="minorBidi" w:hAnsiTheme="minorBidi" w:hint="cs"/>
          <w:sz w:val="27"/>
          <w:rtl/>
        </w:rPr>
        <w:t>َّ</w:t>
      </w:r>
      <w:r w:rsidRPr="00904FCB">
        <w:rPr>
          <w:rFonts w:asciiTheme="minorBidi" w:hAnsiTheme="minorBidi" w:hint="cs"/>
          <w:sz w:val="27"/>
          <w:rtl/>
        </w:rPr>
        <w:t>عت تحقيقات العلماء المسلمين في موضوع الحق</w:t>
      </w:r>
      <w:r w:rsidR="00B34E72" w:rsidRPr="00904FCB">
        <w:rPr>
          <w:rFonts w:asciiTheme="minorBidi" w:hAnsiTheme="minorBidi" w:hint="cs"/>
          <w:sz w:val="27"/>
          <w:rtl/>
        </w:rPr>
        <w:t>ّ</w:t>
      </w:r>
      <w:r w:rsidRPr="00904FCB">
        <w:rPr>
          <w:rFonts w:asciiTheme="minorBidi" w:hAnsiTheme="minorBidi" w:hint="cs"/>
          <w:sz w:val="27"/>
          <w:rtl/>
        </w:rPr>
        <w:t xml:space="preserve"> والواجب</w:t>
      </w:r>
      <w:r w:rsidR="00B34E72" w:rsidRPr="00904FCB">
        <w:rPr>
          <w:rFonts w:asciiTheme="minorBidi" w:hAnsiTheme="minorBidi" w:hint="cs"/>
          <w:sz w:val="27"/>
          <w:rtl/>
        </w:rPr>
        <w:t xml:space="preserve">، </w:t>
      </w:r>
      <w:r w:rsidRPr="00904FCB">
        <w:rPr>
          <w:rFonts w:asciiTheme="minorBidi" w:hAnsiTheme="minorBidi" w:hint="cs"/>
          <w:sz w:val="27"/>
          <w:rtl/>
        </w:rPr>
        <w:t>حت</w:t>
      </w:r>
      <w:r w:rsidR="00B34E72" w:rsidRPr="00904FCB">
        <w:rPr>
          <w:rFonts w:asciiTheme="minorBidi" w:hAnsiTheme="minorBidi" w:hint="cs"/>
          <w:sz w:val="27"/>
          <w:rtl/>
        </w:rPr>
        <w:t>ّ</w:t>
      </w:r>
      <w:r w:rsidRPr="00904FCB">
        <w:rPr>
          <w:rFonts w:asciiTheme="minorBidi" w:hAnsiTheme="minorBidi" w:hint="cs"/>
          <w:sz w:val="27"/>
          <w:rtl/>
        </w:rPr>
        <w:t>ى خص</w:t>
      </w:r>
      <w:r w:rsidR="00B34E72" w:rsidRPr="00904FCB">
        <w:rPr>
          <w:rFonts w:asciiTheme="minorBidi" w:hAnsiTheme="minorBidi" w:hint="cs"/>
          <w:sz w:val="27"/>
          <w:rtl/>
        </w:rPr>
        <w:t>ّ</w:t>
      </w:r>
      <w:r w:rsidRPr="00904FCB">
        <w:rPr>
          <w:rFonts w:asciiTheme="minorBidi" w:hAnsiTheme="minorBidi" w:hint="cs"/>
          <w:sz w:val="27"/>
          <w:rtl/>
        </w:rPr>
        <w:t>صوا له أبحاثا</w:t>
      </w:r>
      <w:r w:rsidR="00B34E72" w:rsidRPr="00904FCB">
        <w:rPr>
          <w:rFonts w:asciiTheme="minorBidi" w:hAnsiTheme="minorBidi" w:hint="cs"/>
          <w:sz w:val="27"/>
          <w:rtl/>
        </w:rPr>
        <w:t>ً</w:t>
      </w:r>
      <w:r w:rsidRPr="00904FCB">
        <w:rPr>
          <w:rFonts w:asciiTheme="minorBidi" w:hAnsiTheme="minorBidi" w:hint="cs"/>
          <w:sz w:val="27"/>
          <w:rtl/>
        </w:rPr>
        <w:t xml:space="preserve"> مستقلة. فقد كتب فيه العلا</w:t>
      </w:r>
      <w:r w:rsidR="00B34E72" w:rsidRPr="00904FCB">
        <w:rPr>
          <w:rFonts w:asciiTheme="minorBidi" w:hAnsiTheme="minorBidi" w:hint="cs"/>
          <w:sz w:val="27"/>
          <w:rtl/>
        </w:rPr>
        <w:t>ّ</w:t>
      </w:r>
      <w:r w:rsidRPr="00904FCB">
        <w:rPr>
          <w:rFonts w:asciiTheme="minorBidi" w:hAnsiTheme="minorBidi" w:hint="cs"/>
          <w:sz w:val="27"/>
          <w:rtl/>
        </w:rPr>
        <w:t xml:space="preserve">مة في قواعد (كتاب النكاح)، </w:t>
      </w:r>
      <w:r w:rsidR="00157F9F" w:rsidRPr="00904FCB">
        <w:rPr>
          <w:rFonts w:asciiTheme="minorBidi" w:hAnsiTheme="minorBidi" w:hint="cs"/>
          <w:sz w:val="27"/>
          <w:rtl/>
        </w:rPr>
        <w:t>و</w:t>
      </w:r>
      <w:r w:rsidRPr="00904FCB">
        <w:rPr>
          <w:rFonts w:asciiTheme="minorBidi" w:hAnsiTheme="minorBidi" w:hint="cs"/>
          <w:sz w:val="27"/>
          <w:rtl/>
        </w:rPr>
        <w:t>المحق</w:t>
      </w:r>
      <w:r w:rsidR="00B34E72" w:rsidRPr="00904FCB">
        <w:rPr>
          <w:rFonts w:asciiTheme="minorBidi" w:hAnsiTheme="minorBidi" w:hint="cs"/>
          <w:sz w:val="27"/>
          <w:rtl/>
        </w:rPr>
        <w:t>ّ</w:t>
      </w:r>
      <w:r w:rsidRPr="00904FCB">
        <w:rPr>
          <w:rFonts w:asciiTheme="minorBidi" w:hAnsiTheme="minorBidi" w:hint="cs"/>
          <w:sz w:val="27"/>
          <w:rtl/>
        </w:rPr>
        <w:t>ق القم</w:t>
      </w:r>
      <w:r w:rsidR="00157F9F" w:rsidRPr="00904FCB">
        <w:rPr>
          <w:rFonts w:asciiTheme="minorBidi" w:hAnsiTheme="minorBidi" w:hint="cs"/>
          <w:sz w:val="27"/>
          <w:rtl/>
        </w:rPr>
        <w:t>ّ</w:t>
      </w:r>
      <w:r w:rsidRPr="00904FCB">
        <w:rPr>
          <w:rFonts w:asciiTheme="minorBidi" w:hAnsiTheme="minorBidi" w:hint="cs"/>
          <w:sz w:val="27"/>
          <w:rtl/>
        </w:rPr>
        <w:t>ي في جامع الشتات</w:t>
      </w:r>
      <w:r w:rsidR="00B34E72" w:rsidRPr="00904FCB">
        <w:rPr>
          <w:rFonts w:asciiTheme="minorBidi" w:hAnsiTheme="minorBidi" w:hint="cs"/>
          <w:sz w:val="27"/>
          <w:rtl/>
        </w:rPr>
        <w:t xml:space="preserve"> </w:t>
      </w:r>
      <w:r w:rsidRPr="00904FCB">
        <w:rPr>
          <w:rFonts w:asciiTheme="minorBidi" w:hAnsiTheme="minorBidi" w:hint="cs"/>
          <w:sz w:val="27"/>
          <w:rtl/>
        </w:rPr>
        <w:t xml:space="preserve">(كتاب الطلاق)، </w:t>
      </w:r>
      <w:r w:rsidR="00157F9F" w:rsidRPr="00904FCB">
        <w:rPr>
          <w:rFonts w:asciiTheme="minorBidi" w:hAnsiTheme="minorBidi" w:hint="cs"/>
          <w:sz w:val="27"/>
          <w:rtl/>
        </w:rPr>
        <w:t>و</w:t>
      </w:r>
      <w:r w:rsidRPr="00904FCB">
        <w:rPr>
          <w:rFonts w:asciiTheme="minorBidi" w:hAnsiTheme="minorBidi" w:hint="cs"/>
          <w:sz w:val="27"/>
          <w:rtl/>
        </w:rPr>
        <w:t xml:space="preserve">صاحب الجواهر ضمن كتاب النكاح، </w:t>
      </w:r>
      <w:r w:rsidR="00157F9F" w:rsidRPr="00904FCB">
        <w:rPr>
          <w:rFonts w:asciiTheme="minorBidi" w:hAnsiTheme="minorBidi" w:hint="cs"/>
          <w:sz w:val="27"/>
          <w:rtl/>
        </w:rPr>
        <w:t>و</w:t>
      </w:r>
      <w:r w:rsidRPr="00904FCB">
        <w:rPr>
          <w:rFonts w:asciiTheme="minorBidi" w:hAnsiTheme="minorBidi" w:hint="cs"/>
          <w:sz w:val="27"/>
          <w:rtl/>
        </w:rPr>
        <w:t>الشيخ ال</w:t>
      </w:r>
      <w:r w:rsidR="00157F9F" w:rsidRPr="00904FCB">
        <w:rPr>
          <w:rFonts w:asciiTheme="minorBidi" w:hAnsiTheme="minorBidi" w:hint="cs"/>
          <w:sz w:val="27"/>
          <w:rtl/>
        </w:rPr>
        <w:t>أ</w:t>
      </w:r>
      <w:r w:rsidRPr="00904FCB">
        <w:rPr>
          <w:rFonts w:asciiTheme="minorBidi" w:hAnsiTheme="minorBidi" w:hint="cs"/>
          <w:sz w:val="27"/>
          <w:rtl/>
        </w:rPr>
        <w:t>نصاري في كتاب البيع</w:t>
      </w:r>
      <w:r w:rsidR="00157F9F" w:rsidRPr="00904FCB">
        <w:rPr>
          <w:rFonts w:asciiTheme="minorBidi" w:hAnsiTheme="minorBidi" w:hint="cs"/>
          <w:sz w:val="27"/>
          <w:rtl/>
        </w:rPr>
        <w:t>، وكذلك الشيخ هادي الطهراني</w:t>
      </w:r>
      <w:r w:rsidRPr="00904FCB">
        <w:rPr>
          <w:rFonts w:asciiTheme="minorBidi" w:hAnsiTheme="minorBidi" w:hint="cs"/>
          <w:sz w:val="27"/>
          <w:rtl/>
        </w:rPr>
        <w:t>(</w:t>
      </w:r>
      <w:r w:rsidRPr="00DF4775">
        <w:rPr>
          <w:rFonts w:asciiTheme="minorBidi" w:hAnsiTheme="minorBidi" w:hint="cs"/>
          <w:sz w:val="27"/>
          <w:rtl/>
        </w:rPr>
        <w:t>1253</w:t>
      </w:r>
      <w:r w:rsidRPr="00904FCB">
        <w:rPr>
          <w:rFonts w:asciiTheme="minorBidi" w:hAnsiTheme="minorBidi" w:hint="cs"/>
          <w:sz w:val="27"/>
          <w:rtl/>
        </w:rPr>
        <w:t xml:space="preserve"> ـ </w:t>
      </w:r>
      <w:r w:rsidRPr="00DF4775">
        <w:rPr>
          <w:rFonts w:asciiTheme="minorBidi" w:hAnsiTheme="minorBidi" w:hint="cs"/>
          <w:sz w:val="27"/>
          <w:rtl/>
        </w:rPr>
        <w:lastRenderedPageBreak/>
        <w:t>1321هـ</w:t>
      </w:r>
      <w:r w:rsidRPr="00904FCB">
        <w:rPr>
          <w:rFonts w:asciiTheme="minorBidi" w:hAnsiTheme="minorBidi" w:hint="cs"/>
          <w:sz w:val="27"/>
          <w:rtl/>
        </w:rPr>
        <w:t xml:space="preserve">)، </w:t>
      </w:r>
      <w:r w:rsidR="00157F9F" w:rsidRPr="00904FCB">
        <w:rPr>
          <w:rFonts w:asciiTheme="minorBidi" w:hAnsiTheme="minorBidi" w:hint="cs"/>
          <w:sz w:val="27"/>
          <w:rtl/>
        </w:rPr>
        <w:t>السيد محمد آل بحر العلوم</w:t>
      </w:r>
      <w:r w:rsidRPr="00904FCB">
        <w:rPr>
          <w:rFonts w:asciiTheme="minorBidi" w:hAnsiTheme="minorBidi" w:hint="cs"/>
          <w:sz w:val="27"/>
          <w:rtl/>
        </w:rPr>
        <w:t>(</w:t>
      </w:r>
      <w:r w:rsidRPr="00DF4775">
        <w:rPr>
          <w:rFonts w:asciiTheme="minorBidi" w:hAnsiTheme="minorBidi" w:hint="cs"/>
          <w:sz w:val="27"/>
          <w:rtl/>
        </w:rPr>
        <w:t>1261</w:t>
      </w:r>
      <w:r w:rsidRPr="00904FCB">
        <w:rPr>
          <w:rFonts w:asciiTheme="minorBidi" w:hAnsiTheme="minorBidi" w:hint="cs"/>
          <w:sz w:val="27"/>
          <w:rtl/>
        </w:rPr>
        <w:t xml:space="preserve"> ـ </w:t>
      </w:r>
      <w:r w:rsidRPr="00DF4775">
        <w:rPr>
          <w:rFonts w:asciiTheme="minorBidi" w:hAnsiTheme="minorBidi" w:hint="cs"/>
          <w:sz w:val="27"/>
          <w:rtl/>
        </w:rPr>
        <w:t>1326هـ</w:t>
      </w:r>
      <w:r w:rsidRPr="00904FCB">
        <w:rPr>
          <w:rFonts w:asciiTheme="minorBidi" w:hAnsiTheme="minorBidi" w:hint="cs"/>
          <w:sz w:val="27"/>
          <w:rtl/>
        </w:rPr>
        <w:t>)، مير محمد تقي مدرس الاصفهاني(</w:t>
      </w:r>
      <w:r w:rsidRPr="00DF4775">
        <w:rPr>
          <w:rFonts w:asciiTheme="minorBidi" w:hAnsiTheme="minorBidi" w:hint="cs"/>
          <w:sz w:val="27"/>
          <w:rtl/>
        </w:rPr>
        <w:t>1276</w:t>
      </w:r>
      <w:r w:rsidRPr="00904FCB">
        <w:rPr>
          <w:rFonts w:asciiTheme="minorBidi" w:hAnsiTheme="minorBidi" w:hint="cs"/>
          <w:sz w:val="27"/>
          <w:rtl/>
        </w:rPr>
        <w:t xml:space="preserve"> ـ </w:t>
      </w:r>
      <w:r w:rsidRPr="00DF4775">
        <w:rPr>
          <w:rFonts w:asciiTheme="minorBidi" w:hAnsiTheme="minorBidi" w:hint="cs"/>
          <w:sz w:val="27"/>
          <w:rtl/>
        </w:rPr>
        <w:t>1333هـ</w:t>
      </w:r>
      <w:r w:rsidRPr="00904FCB">
        <w:rPr>
          <w:rFonts w:asciiTheme="minorBidi" w:hAnsiTheme="minorBidi" w:hint="cs"/>
          <w:sz w:val="27"/>
          <w:rtl/>
        </w:rPr>
        <w:t>)</w:t>
      </w:r>
      <w:r w:rsidR="00157F9F" w:rsidRPr="00904FCB">
        <w:rPr>
          <w:rFonts w:asciiTheme="minorBidi" w:hAnsiTheme="minorBidi" w:hint="cs"/>
          <w:sz w:val="27"/>
          <w:rtl/>
        </w:rPr>
        <w:t>،</w:t>
      </w:r>
      <w:r w:rsidRPr="00904FCB">
        <w:rPr>
          <w:rFonts w:asciiTheme="minorBidi" w:hAnsiTheme="minorBidi" w:hint="cs"/>
          <w:sz w:val="27"/>
          <w:rtl/>
        </w:rPr>
        <w:t xml:space="preserve"> وخص</w:t>
      </w:r>
      <w:r w:rsidR="00157F9F" w:rsidRPr="00904FCB">
        <w:rPr>
          <w:rFonts w:asciiTheme="minorBidi" w:hAnsiTheme="minorBidi" w:hint="cs"/>
          <w:sz w:val="27"/>
          <w:rtl/>
        </w:rPr>
        <w:t>ّص</w:t>
      </w:r>
      <w:r w:rsidRPr="00904FCB">
        <w:rPr>
          <w:rFonts w:asciiTheme="minorBidi" w:hAnsiTheme="minorBidi" w:hint="cs"/>
          <w:sz w:val="27"/>
          <w:rtl/>
        </w:rPr>
        <w:t xml:space="preserve"> له الشيخ محمد</w:t>
      </w:r>
      <w:r w:rsidR="00157F9F" w:rsidRPr="00904FCB">
        <w:rPr>
          <w:rFonts w:asciiTheme="minorBidi" w:hAnsiTheme="minorBidi" w:hint="cs"/>
          <w:sz w:val="27"/>
          <w:rtl/>
        </w:rPr>
        <w:t xml:space="preserve"> </w:t>
      </w:r>
      <w:r w:rsidRPr="00904FCB">
        <w:rPr>
          <w:rFonts w:asciiTheme="minorBidi" w:hAnsiTheme="minorBidi" w:hint="cs"/>
          <w:sz w:val="27"/>
          <w:rtl/>
        </w:rPr>
        <w:t>حسين الغروي ال</w:t>
      </w:r>
      <w:r w:rsidR="00157F9F" w:rsidRPr="00904FCB">
        <w:rPr>
          <w:rFonts w:asciiTheme="minorBidi" w:hAnsiTheme="minorBidi" w:hint="cs"/>
          <w:sz w:val="27"/>
          <w:rtl/>
        </w:rPr>
        <w:t>إ</w:t>
      </w:r>
      <w:r w:rsidRPr="00904FCB">
        <w:rPr>
          <w:rFonts w:asciiTheme="minorBidi" w:hAnsiTheme="minorBidi" w:hint="cs"/>
          <w:sz w:val="27"/>
          <w:rtl/>
        </w:rPr>
        <w:t>صفهاني(</w:t>
      </w:r>
      <w:r w:rsidRPr="00DF4775">
        <w:rPr>
          <w:rFonts w:asciiTheme="minorBidi" w:hAnsiTheme="minorBidi" w:hint="cs"/>
          <w:sz w:val="27"/>
          <w:rtl/>
        </w:rPr>
        <w:t>1361هـ</w:t>
      </w:r>
      <w:r w:rsidRPr="00904FCB">
        <w:rPr>
          <w:rFonts w:asciiTheme="minorBidi" w:hAnsiTheme="minorBidi" w:hint="cs"/>
          <w:sz w:val="27"/>
          <w:rtl/>
        </w:rPr>
        <w:t>) رسالة</w:t>
      </w:r>
      <w:r w:rsidR="00157F9F" w:rsidRPr="00904FCB">
        <w:rPr>
          <w:rFonts w:asciiTheme="minorBidi" w:hAnsiTheme="minorBidi" w:hint="cs"/>
          <w:sz w:val="27"/>
          <w:rtl/>
        </w:rPr>
        <w:t>ً مستقلة</w:t>
      </w:r>
      <w:r w:rsidRPr="00904FCB">
        <w:rPr>
          <w:rFonts w:asciiTheme="minorBidi" w:hAnsiTheme="minorBidi"/>
          <w:sz w:val="27"/>
          <w:vertAlign w:val="superscript"/>
          <w:rtl/>
        </w:rPr>
        <w:t>(</w:t>
      </w:r>
      <w:r w:rsidRPr="00904FCB">
        <w:rPr>
          <w:rStyle w:val="ac"/>
          <w:rFonts w:asciiTheme="minorBidi" w:hAnsiTheme="minorBidi"/>
          <w:sz w:val="27"/>
          <w:rtl/>
        </w:rPr>
        <w:endnoteReference w:id="577"/>
      </w:r>
      <w:r w:rsidRPr="00904FCB">
        <w:rPr>
          <w:rFonts w:asciiTheme="minorBidi" w:hAnsiTheme="minorBidi"/>
          <w:sz w:val="27"/>
          <w:vertAlign w:val="superscript"/>
          <w:rtl/>
        </w:rPr>
        <w:t>)</w:t>
      </w:r>
      <w:r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ويكاد يشبه الحق</w:t>
      </w:r>
      <w:r w:rsidR="00157F9F" w:rsidRPr="00904FCB">
        <w:rPr>
          <w:rFonts w:asciiTheme="minorBidi" w:hAnsiTheme="minorBidi" w:hint="cs"/>
          <w:sz w:val="27"/>
          <w:rtl/>
        </w:rPr>
        <w:t>ّ</w:t>
      </w:r>
      <w:r w:rsidRPr="00904FCB">
        <w:rPr>
          <w:rFonts w:asciiTheme="minorBidi" w:hAnsiTheme="minorBidi" w:hint="cs"/>
          <w:sz w:val="27"/>
          <w:rtl/>
        </w:rPr>
        <w:t xml:space="preserve"> والواجب وجه</w:t>
      </w:r>
      <w:r w:rsidR="00157F9F" w:rsidRPr="00904FCB">
        <w:rPr>
          <w:rFonts w:asciiTheme="minorBidi" w:hAnsiTheme="minorBidi" w:hint="cs"/>
          <w:sz w:val="27"/>
          <w:rtl/>
        </w:rPr>
        <w:t>َ</w:t>
      </w:r>
      <w:r w:rsidRPr="00904FCB">
        <w:rPr>
          <w:rFonts w:asciiTheme="minorBidi" w:hAnsiTheme="minorBidi" w:hint="cs"/>
          <w:sz w:val="27"/>
          <w:rtl/>
        </w:rPr>
        <w:t>ي</w:t>
      </w:r>
      <w:r w:rsidR="00157F9F" w:rsidRPr="00904FCB">
        <w:rPr>
          <w:rFonts w:asciiTheme="minorBidi" w:hAnsiTheme="minorBidi" w:hint="cs"/>
          <w:sz w:val="27"/>
          <w:rtl/>
        </w:rPr>
        <w:t>ْ</w:t>
      </w:r>
      <w:r w:rsidRPr="00904FCB">
        <w:rPr>
          <w:rFonts w:asciiTheme="minorBidi" w:hAnsiTheme="minorBidi" w:hint="cs"/>
          <w:sz w:val="27"/>
          <w:rtl/>
        </w:rPr>
        <w:t xml:space="preserve"> القطعة النقدية</w:t>
      </w:r>
      <w:r w:rsidR="00157F9F" w:rsidRPr="00904FCB">
        <w:rPr>
          <w:rFonts w:asciiTheme="minorBidi" w:hAnsiTheme="minorBidi" w:hint="cs"/>
          <w:sz w:val="27"/>
          <w:rtl/>
        </w:rPr>
        <w:t>،</w:t>
      </w:r>
      <w:r w:rsidRPr="00904FCB">
        <w:rPr>
          <w:rFonts w:asciiTheme="minorBidi" w:hAnsiTheme="minorBidi" w:hint="cs"/>
          <w:sz w:val="27"/>
          <w:rtl/>
        </w:rPr>
        <w:t xml:space="preserve"> كلما رأيت منها وجها</w:t>
      </w:r>
      <w:r w:rsidR="00157F9F" w:rsidRPr="00904FCB">
        <w:rPr>
          <w:rFonts w:asciiTheme="minorBidi" w:hAnsiTheme="minorBidi" w:hint="cs"/>
          <w:sz w:val="27"/>
          <w:rtl/>
        </w:rPr>
        <w:t>ً</w:t>
      </w:r>
      <w:r w:rsidRPr="00904FCB">
        <w:rPr>
          <w:rFonts w:asciiTheme="minorBidi" w:hAnsiTheme="minorBidi" w:hint="cs"/>
          <w:sz w:val="27"/>
          <w:rtl/>
        </w:rPr>
        <w:t xml:space="preserve"> استحضر</w:t>
      </w:r>
      <w:r w:rsidR="00157F9F" w:rsidRPr="00904FCB">
        <w:rPr>
          <w:rFonts w:asciiTheme="minorBidi" w:hAnsiTheme="minorBidi" w:hint="cs"/>
          <w:sz w:val="27"/>
          <w:rtl/>
        </w:rPr>
        <w:t>ْ</w:t>
      </w:r>
      <w:r w:rsidRPr="00904FCB">
        <w:rPr>
          <w:rFonts w:asciiTheme="minorBidi" w:hAnsiTheme="minorBidi" w:hint="cs"/>
          <w:sz w:val="27"/>
          <w:rtl/>
        </w:rPr>
        <w:t>ت</w:t>
      </w:r>
      <w:r w:rsidR="00157F9F" w:rsidRPr="00904FCB">
        <w:rPr>
          <w:rFonts w:asciiTheme="minorBidi" w:hAnsiTheme="minorBidi" w:hint="cs"/>
          <w:sz w:val="27"/>
          <w:rtl/>
        </w:rPr>
        <w:t>َ</w:t>
      </w:r>
      <w:r w:rsidRPr="00904FCB">
        <w:rPr>
          <w:rFonts w:asciiTheme="minorBidi" w:hAnsiTheme="minorBidi" w:hint="cs"/>
          <w:sz w:val="27"/>
          <w:rtl/>
        </w:rPr>
        <w:t xml:space="preserve"> الوجه الآخر، حيث كل</w:t>
      </w:r>
      <w:r w:rsidR="00157F9F" w:rsidRPr="00904FCB">
        <w:rPr>
          <w:rFonts w:asciiTheme="minorBidi" w:hAnsiTheme="minorBidi" w:hint="cs"/>
          <w:sz w:val="27"/>
          <w:rtl/>
        </w:rPr>
        <w:t>ّ</w:t>
      </w:r>
      <w:r w:rsidRPr="00904FCB">
        <w:rPr>
          <w:rFonts w:asciiTheme="minorBidi" w:hAnsiTheme="minorBidi" w:hint="cs"/>
          <w:sz w:val="27"/>
          <w:rtl/>
        </w:rPr>
        <w:t>ما أردت تعريف الحقوق الفقهية ألزمت بتبين الواجب إلى جانبها</w:t>
      </w:r>
      <w:r w:rsidR="00157F9F" w:rsidRPr="00904FCB">
        <w:rPr>
          <w:rFonts w:asciiTheme="minorBidi" w:hAnsiTheme="minorBidi" w:hint="cs"/>
          <w:sz w:val="27"/>
          <w:rtl/>
        </w:rPr>
        <w:t>.</w:t>
      </w:r>
      <w:r w:rsidRPr="00904FCB">
        <w:rPr>
          <w:rFonts w:asciiTheme="minorBidi" w:hAnsiTheme="minorBidi" w:hint="cs"/>
          <w:sz w:val="27"/>
          <w:rtl/>
        </w:rPr>
        <w:t xml:space="preserve"> وبعبارة</w:t>
      </w:r>
      <w:r w:rsidR="00157F9F" w:rsidRPr="00904FCB">
        <w:rPr>
          <w:rFonts w:asciiTheme="minorBidi" w:hAnsiTheme="minorBidi" w:hint="cs"/>
          <w:sz w:val="27"/>
          <w:rtl/>
        </w:rPr>
        <w:t>ٍ</w:t>
      </w:r>
      <w:r w:rsidRPr="00904FCB">
        <w:rPr>
          <w:rFonts w:asciiTheme="minorBidi" w:hAnsiTheme="minorBidi" w:hint="cs"/>
          <w:sz w:val="27"/>
          <w:rtl/>
        </w:rPr>
        <w:t xml:space="preserve"> أكثر دق</w:t>
      </w:r>
      <w:r w:rsidR="00157F9F" w:rsidRPr="00904FCB">
        <w:rPr>
          <w:rFonts w:asciiTheme="minorBidi" w:hAnsiTheme="minorBidi" w:hint="cs"/>
          <w:sz w:val="27"/>
          <w:rtl/>
        </w:rPr>
        <w:t>ّ</w:t>
      </w:r>
      <w:r w:rsidRPr="00904FCB">
        <w:rPr>
          <w:rFonts w:asciiTheme="minorBidi" w:hAnsiTheme="minorBidi" w:hint="cs"/>
          <w:sz w:val="27"/>
          <w:rtl/>
        </w:rPr>
        <w:t>ة</w:t>
      </w:r>
      <w:r w:rsidR="00157F9F" w:rsidRPr="00904FCB">
        <w:rPr>
          <w:rFonts w:asciiTheme="minorBidi" w:hAnsiTheme="minorBidi" w:hint="cs"/>
          <w:sz w:val="27"/>
          <w:rtl/>
        </w:rPr>
        <w:t>:</w:t>
      </w:r>
      <w:r w:rsidRPr="00904FCB">
        <w:rPr>
          <w:rFonts w:asciiTheme="minorBidi" w:hAnsiTheme="minorBidi" w:hint="cs"/>
          <w:sz w:val="27"/>
          <w:rtl/>
        </w:rPr>
        <w:t xml:space="preserve"> ذكر الحق</w:t>
      </w:r>
      <w:r w:rsidR="00157F9F" w:rsidRPr="00904FCB">
        <w:rPr>
          <w:rFonts w:asciiTheme="minorBidi" w:hAnsiTheme="minorBidi" w:hint="cs"/>
          <w:sz w:val="27"/>
          <w:rtl/>
        </w:rPr>
        <w:t>ّ</w:t>
      </w:r>
      <w:r w:rsidRPr="00904FCB">
        <w:rPr>
          <w:rFonts w:asciiTheme="minorBidi" w:hAnsiTheme="minorBidi" w:hint="cs"/>
          <w:sz w:val="27"/>
          <w:rtl/>
        </w:rPr>
        <w:t xml:space="preserve"> بدون فرض الواجب مردود</w:t>
      </w:r>
      <w:r w:rsidR="00157F9F" w:rsidRPr="00904FCB">
        <w:rPr>
          <w:rFonts w:asciiTheme="minorBidi" w:hAnsiTheme="minorBidi" w:hint="cs"/>
          <w:sz w:val="27"/>
          <w:rtl/>
        </w:rPr>
        <w:t>ٌ،</w:t>
      </w:r>
      <w:r w:rsidRPr="00904FCB">
        <w:rPr>
          <w:rFonts w:asciiTheme="minorBidi" w:hAnsiTheme="minorBidi" w:hint="cs"/>
          <w:sz w:val="27"/>
          <w:rtl/>
        </w:rPr>
        <w:t xml:space="preserve"> ووجود الواجب بدون استحضار الحق</w:t>
      </w:r>
      <w:r w:rsidR="00157F9F" w:rsidRPr="00904FCB">
        <w:rPr>
          <w:rFonts w:asciiTheme="minorBidi" w:hAnsiTheme="minorBidi" w:hint="cs"/>
          <w:sz w:val="27"/>
          <w:rtl/>
        </w:rPr>
        <w:t>ّ</w:t>
      </w:r>
      <w:r w:rsidRPr="00904FCB">
        <w:rPr>
          <w:rFonts w:asciiTheme="minorBidi" w:hAnsiTheme="minorBidi" w:hint="cs"/>
          <w:sz w:val="27"/>
          <w:rtl/>
        </w:rPr>
        <w:t xml:space="preserve"> غير قابل للتصو</w:t>
      </w:r>
      <w:r w:rsidR="00157F9F" w:rsidRPr="00904FCB">
        <w:rPr>
          <w:rFonts w:asciiTheme="minorBidi" w:hAnsiTheme="minorBidi" w:hint="cs"/>
          <w:sz w:val="27"/>
          <w:rtl/>
        </w:rPr>
        <w:t>ُّ</w:t>
      </w:r>
      <w:r w:rsidRPr="00904FCB">
        <w:rPr>
          <w:rFonts w:asciiTheme="minorBidi" w:hAnsiTheme="minorBidi" w:hint="cs"/>
          <w:sz w:val="27"/>
          <w:rtl/>
        </w:rPr>
        <w:t xml:space="preserve">ر.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 xml:space="preserve">بالاستناد إلى هذا الأصل الديني </w:t>
      </w:r>
      <w:r w:rsidR="00157F9F" w:rsidRPr="00904FCB">
        <w:rPr>
          <w:rFonts w:asciiTheme="minorBidi" w:hAnsiTheme="minorBidi" w:hint="cs"/>
          <w:sz w:val="27"/>
          <w:rtl/>
        </w:rPr>
        <w:t>فإ</w:t>
      </w:r>
      <w:r w:rsidRPr="00904FCB">
        <w:rPr>
          <w:rFonts w:asciiTheme="minorBidi" w:hAnsiTheme="minorBidi" w:hint="cs"/>
          <w:sz w:val="27"/>
          <w:rtl/>
        </w:rPr>
        <w:t>ن الله سبحانه وتعالى قد سخ</w:t>
      </w:r>
      <w:r w:rsidR="00157F9F" w:rsidRPr="00904FCB">
        <w:rPr>
          <w:rFonts w:asciiTheme="minorBidi" w:hAnsiTheme="minorBidi" w:hint="cs"/>
          <w:sz w:val="27"/>
          <w:rtl/>
        </w:rPr>
        <w:t>َّ</w:t>
      </w:r>
      <w:r w:rsidRPr="00904FCB">
        <w:rPr>
          <w:rFonts w:asciiTheme="minorBidi" w:hAnsiTheme="minorBidi" w:hint="cs"/>
          <w:sz w:val="27"/>
          <w:rtl/>
        </w:rPr>
        <w:t>ر الطبيعة والمحيط والبيئة للإنسان</w:t>
      </w:r>
      <w:r w:rsidR="00157F9F" w:rsidRPr="00904FCB">
        <w:rPr>
          <w:rFonts w:asciiTheme="minorBidi" w:hAnsiTheme="minorBidi" w:hint="cs"/>
          <w:sz w:val="27"/>
          <w:rtl/>
        </w:rPr>
        <w:t>،</w:t>
      </w:r>
      <w:r w:rsidRPr="00904FCB">
        <w:rPr>
          <w:rFonts w:asciiTheme="minorBidi" w:hAnsiTheme="minorBidi" w:hint="cs"/>
          <w:sz w:val="27"/>
          <w:rtl/>
        </w:rPr>
        <w:t xml:space="preserve"> ووهبها له يتصر</w:t>
      </w:r>
      <w:r w:rsidR="00157F9F" w:rsidRPr="00904FCB">
        <w:rPr>
          <w:rFonts w:asciiTheme="minorBidi" w:hAnsiTheme="minorBidi" w:hint="cs"/>
          <w:sz w:val="27"/>
          <w:rtl/>
        </w:rPr>
        <w:t>َّ</w:t>
      </w:r>
      <w:r w:rsidRPr="00904FCB">
        <w:rPr>
          <w:rFonts w:asciiTheme="minorBidi" w:hAnsiTheme="minorBidi" w:hint="cs"/>
          <w:sz w:val="27"/>
          <w:rtl/>
        </w:rPr>
        <w:t>ف فيها ويستفيد منها، وهذا العطاء الرباني هبة</w:t>
      </w:r>
      <w:r w:rsidR="00157F9F" w:rsidRPr="00904FCB">
        <w:rPr>
          <w:rFonts w:asciiTheme="minorBidi" w:hAnsiTheme="minorBidi" w:hint="cs"/>
          <w:sz w:val="27"/>
          <w:rtl/>
        </w:rPr>
        <w:t>ٌ</w:t>
      </w:r>
      <w:r w:rsidRPr="00904FCB">
        <w:rPr>
          <w:rFonts w:asciiTheme="minorBidi" w:hAnsiTheme="minorBidi" w:hint="cs"/>
          <w:sz w:val="27"/>
          <w:rtl/>
        </w:rPr>
        <w:t xml:space="preserve"> لجميع الإنسانية </w:t>
      </w:r>
      <w:r w:rsidR="00157F9F" w:rsidRPr="00904FCB">
        <w:rPr>
          <w:rFonts w:asciiTheme="minorBidi" w:hAnsiTheme="minorBidi" w:hint="cs"/>
          <w:sz w:val="27"/>
          <w:rtl/>
        </w:rPr>
        <w:t>في</w:t>
      </w:r>
      <w:r w:rsidRPr="00904FCB">
        <w:rPr>
          <w:rFonts w:asciiTheme="minorBidi" w:hAnsiTheme="minorBidi" w:hint="cs"/>
          <w:sz w:val="27"/>
          <w:rtl/>
        </w:rPr>
        <w:t xml:space="preserve"> كل</w:t>
      </w:r>
      <w:r w:rsidR="00157F9F" w:rsidRPr="00904FCB">
        <w:rPr>
          <w:rFonts w:asciiTheme="minorBidi" w:hAnsiTheme="minorBidi" w:hint="cs"/>
          <w:sz w:val="27"/>
          <w:rtl/>
        </w:rPr>
        <w:t>ّ</w:t>
      </w:r>
      <w:r w:rsidRPr="00904FCB">
        <w:rPr>
          <w:rFonts w:asciiTheme="minorBidi" w:hAnsiTheme="minorBidi" w:hint="cs"/>
          <w:sz w:val="27"/>
          <w:rtl/>
        </w:rPr>
        <w:t xml:space="preserve"> الأمكنة والأزمنة</w:t>
      </w:r>
      <w:r w:rsidR="00157F9F" w:rsidRPr="00904FCB">
        <w:rPr>
          <w:rFonts w:asciiTheme="minorBidi" w:hAnsiTheme="minorBidi" w:hint="cs"/>
          <w:sz w:val="27"/>
          <w:rtl/>
        </w:rPr>
        <w:t>.</w:t>
      </w:r>
      <w:r w:rsidRPr="00904FCB">
        <w:rPr>
          <w:rFonts w:asciiTheme="minorBidi" w:hAnsiTheme="minorBidi" w:hint="cs"/>
          <w:sz w:val="27"/>
          <w:rtl/>
        </w:rPr>
        <w:t xml:space="preserve"> وقد ذكر الله تعالى هذا الأصل ضمن المسل</w:t>
      </w:r>
      <w:r w:rsidR="00157F9F" w:rsidRPr="00904FCB">
        <w:rPr>
          <w:rFonts w:asciiTheme="minorBidi" w:hAnsiTheme="minorBidi" w:hint="cs"/>
          <w:sz w:val="27"/>
          <w:rtl/>
        </w:rPr>
        <w:t>َّ</w:t>
      </w:r>
      <w:r w:rsidRPr="00904FCB">
        <w:rPr>
          <w:rFonts w:asciiTheme="minorBidi" w:hAnsiTheme="minorBidi" w:hint="cs"/>
          <w:sz w:val="27"/>
          <w:rtl/>
        </w:rPr>
        <w:t xml:space="preserve">مات القرآنية: </w:t>
      </w:r>
    </w:p>
    <w:p w:rsidR="00EF655F" w:rsidRPr="00904FCB" w:rsidRDefault="00EF655F" w:rsidP="007A21AA">
      <w:pPr>
        <w:spacing w:line="400" w:lineRule="exact"/>
        <w:rPr>
          <w:rFonts w:asciiTheme="minorBidi" w:hAnsiTheme="minorBidi"/>
          <w:sz w:val="27"/>
        </w:rPr>
      </w:pPr>
      <w:r w:rsidRPr="00904FCB">
        <w:rPr>
          <w:rFonts w:asciiTheme="minorBidi" w:hAnsiTheme="minorBidi" w:hint="cs"/>
          <w:sz w:val="27"/>
          <w:rtl/>
        </w:rPr>
        <w:t xml:space="preserve"> </w:t>
      </w:r>
      <w:r w:rsidRPr="00904FCB">
        <w:rPr>
          <w:rFonts w:ascii="Mosawi" w:hAnsi="Mosawi" w:cs="Mosawi"/>
          <w:sz w:val="24"/>
          <w:szCs w:val="24"/>
          <w:rtl/>
        </w:rPr>
        <w:t>﴿</w:t>
      </w:r>
      <w:r w:rsidRPr="00904FCB">
        <w:rPr>
          <w:rFonts w:asciiTheme="minorBidi" w:hAnsiTheme="minorBidi"/>
          <w:b/>
          <w:bCs/>
          <w:sz w:val="27"/>
          <w:rtl/>
        </w:rPr>
        <w:t>هُوَ ا</w:t>
      </w:r>
      <w:r w:rsidR="00157F9F" w:rsidRPr="00904FCB">
        <w:rPr>
          <w:rFonts w:asciiTheme="minorBidi" w:hAnsiTheme="minorBidi"/>
          <w:b/>
          <w:bCs/>
          <w:sz w:val="27"/>
          <w:rtl/>
        </w:rPr>
        <w:t>لَّذِي خَلَقَ لَكُمْ مَا فِي ال</w:t>
      </w:r>
      <w:r w:rsidRPr="00904FCB">
        <w:rPr>
          <w:rFonts w:asciiTheme="minorBidi" w:hAnsiTheme="minorBidi"/>
          <w:b/>
          <w:bCs/>
          <w:sz w:val="27"/>
          <w:rtl/>
        </w:rPr>
        <w:t>أَرْضِ جَمِيعاً</w:t>
      </w:r>
      <w:r w:rsidRPr="00904FCB">
        <w:rPr>
          <w:rFonts w:ascii="Mosawi" w:hAnsi="Mosawi" w:cs="Mosawi"/>
          <w:sz w:val="24"/>
          <w:szCs w:val="24"/>
          <w:rtl/>
        </w:rPr>
        <w:t>﴾</w:t>
      </w:r>
      <w:r w:rsidRPr="00904FCB">
        <w:rPr>
          <w:rFonts w:asciiTheme="minorBidi" w:hAnsiTheme="minorBidi" w:hint="cs"/>
          <w:sz w:val="27"/>
          <w:rtl/>
        </w:rPr>
        <w:t xml:space="preserve"> (البقرة: </w:t>
      </w:r>
      <w:r w:rsidRPr="00DF4775">
        <w:rPr>
          <w:rFonts w:asciiTheme="minorBidi" w:hAnsiTheme="minorBidi" w:hint="cs"/>
          <w:sz w:val="27"/>
          <w:rtl/>
        </w:rPr>
        <w:t>29</w:t>
      </w:r>
      <w:r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 xml:space="preserve"> </w:t>
      </w:r>
      <w:r w:rsidRPr="00904FCB">
        <w:rPr>
          <w:rFonts w:ascii="Mosawi" w:hAnsi="Mosawi" w:cs="Mosawi"/>
          <w:sz w:val="24"/>
          <w:szCs w:val="24"/>
          <w:rtl/>
        </w:rPr>
        <w:t>﴿</w:t>
      </w:r>
      <w:r w:rsidR="00157F9F" w:rsidRPr="00904FCB">
        <w:rPr>
          <w:rFonts w:asciiTheme="minorBidi" w:hAnsiTheme="minorBidi"/>
          <w:b/>
          <w:bCs/>
          <w:sz w:val="27"/>
          <w:rtl/>
        </w:rPr>
        <w:t>وَالأَرْضَ وَضَعَهَا لِل</w:t>
      </w:r>
      <w:r w:rsidRPr="00904FCB">
        <w:rPr>
          <w:rFonts w:asciiTheme="minorBidi" w:hAnsiTheme="minorBidi"/>
          <w:b/>
          <w:bCs/>
          <w:sz w:val="27"/>
          <w:rtl/>
        </w:rPr>
        <w:t>أَنَامِ</w:t>
      </w:r>
      <w:r w:rsidRPr="00904FCB">
        <w:rPr>
          <w:rFonts w:ascii="Mosawi" w:hAnsi="Mosawi" w:cs="Mosawi"/>
          <w:sz w:val="24"/>
          <w:szCs w:val="24"/>
          <w:rtl/>
        </w:rPr>
        <w:t>﴾</w:t>
      </w:r>
      <w:r w:rsidRPr="00904FCB">
        <w:rPr>
          <w:rFonts w:asciiTheme="minorBidi" w:hAnsiTheme="minorBidi"/>
          <w:sz w:val="27"/>
          <w:rtl/>
        </w:rPr>
        <w:t xml:space="preserve"> </w:t>
      </w:r>
      <w:r w:rsidRPr="00904FCB">
        <w:rPr>
          <w:rFonts w:asciiTheme="minorBidi" w:hAnsiTheme="minorBidi" w:hint="cs"/>
          <w:sz w:val="27"/>
          <w:rtl/>
        </w:rPr>
        <w:t xml:space="preserve">(الرحمن: </w:t>
      </w:r>
      <w:r w:rsidRPr="00DF4775">
        <w:rPr>
          <w:rFonts w:asciiTheme="minorBidi" w:hAnsiTheme="minorBidi" w:hint="cs"/>
          <w:sz w:val="27"/>
          <w:rtl/>
        </w:rPr>
        <w:t>10</w:t>
      </w:r>
      <w:r w:rsidRPr="00904FCB">
        <w:rPr>
          <w:rFonts w:asciiTheme="minorBidi" w:hAnsiTheme="minorBidi" w:hint="cs"/>
          <w:sz w:val="27"/>
          <w:rtl/>
        </w:rPr>
        <w:t>).</w:t>
      </w:r>
      <w:r w:rsidRPr="00904FCB">
        <w:rPr>
          <w:rStyle w:val="ac"/>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طبق هذه الآية فإن الأرض والمحيط البيئي حق</w:t>
      </w:r>
      <w:r w:rsidR="00157F9F" w:rsidRPr="00904FCB">
        <w:rPr>
          <w:rFonts w:asciiTheme="minorBidi" w:hAnsiTheme="minorBidi" w:hint="cs"/>
          <w:sz w:val="27"/>
          <w:rtl/>
        </w:rPr>
        <w:t>ٌّ</w:t>
      </w:r>
      <w:r w:rsidRPr="00904FCB">
        <w:rPr>
          <w:rFonts w:asciiTheme="minorBidi" w:hAnsiTheme="minorBidi" w:hint="cs"/>
          <w:sz w:val="27"/>
          <w:rtl/>
        </w:rPr>
        <w:t xml:space="preserve"> مشترك لجميع النوع البشري، والكل</w:t>
      </w:r>
      <w:r w:rsidR="00BC02C4">
        <w:rPr>
          <w:rFonts w:asciiTheme="minorBidi" w:hAnsiTheme="minorBidi" w:hint="cs"/>
          <w:sz w:val="27"/>
          <w:rtl/>
        </w:rPr>
        <w:t>ُّ</w:t>
      </w:r>
      <w:r w:rsidRPr="00904FCB">
        <w:rPr>
          <w:rFonts w:asciiTheme="minorBidi" w:hAnsiTheme="minorBidi" w:hint="cs"/>
          <w:sz w:val="27"/>
          <w:rtl/>
        </w:rPr>
        <w:t xml:space="preserve"> يملك </w:t>
      </w:r>
      <w:r w:rsidR="00157F9F" w:rsidRPr="00904FCB">
        <w:rPr>
          <w:rFonts w:asciiTheme="minorBidi" w:hAnsiTheme="minorBidi" w:hint="cs"/>
          <w:sz w:val="27"/>
          <w:rtl/>
        </w:rPr>
        <w:t xml:space="preserve">ـ </w:t>
      </w:r>
      <w:r w:rsidRPr="00904FCB">
        <w:rPr>
          <w:rFonts w:asciiTheme="minorBidi" w:hAnsiTheme="minorBidi" w:hint="cs"/>
          <w:sz w:val="27"/>
          <w:rtl/>
        </w:rPr>
        <w:t>تكوينا</w:t>
      </w:r>
      <w:r w:rsidR="00157F9F" w:rsidRPr="00904FCB">
        <w:rPr>
          <w:rFonts w:asciiTheme="minorBidi" w:hAnsiTheme="minorBidi" w:hint="cs"/>
          <w:sz w:val="27"/>
          <w:rtl/>
        </w:rPr>
        <w:t>ً</w:t>
      </w:r>
      <w:r w:rsidRPr="00904FCB">
        <w:rPr>
          <w:rFonts w:asciiTheme="minorBidi" w:hAnsiTheme="minorBidi" w:hint="cs"/>
          <w:sz w:val="27"/>
          <w:rtl/>
        </w:rPr>
        <w:t xml:space="preserve"> وتشريعا</w:t>
      </w:r>
      <w:r w:rsidR="00157F9F" w:rsidRPr="00904FCB">
        <w:rPr>
          <w:rFonts w:asciiTheme="minorBidi" w:hAnsiTheme="minorBidi" w:hint="cs"/>
          <w:sz w:val="27"/>
          <w:rtl/>
        </w:rPr>
        <w:t>ً ـ</w:t>
      </w:r>
      <w:r w:rsidRPr="00904FCB">
        <w:rPr>
          <w:rFonts w:asciiTheme="minorBidi" w:hAnsiTheme="minorBidi" w:hint="cs"/>
          <w:sz w:val="27"/>
          <w:rtl/>
        </w:rPr>
        <w:t xml:space="preserve"> حق</w:t>
      </w:r>
      <w:r w:rsidR="00157F9F" w:rsidRPr="00904FCB">
        <w:rPr>
          <w:rFonts w:asciiTheme="minorBidi" w:hAnsiTheme="minorBidi" w:hint="cs"/>
          <w:sz w:val="27"/>
          <w:rtl/>
        </w:rPr>
        <w:t>َّ</w:t>
      </w:r>
      <w:r w:rsidRPr="00904FCB">
        <w:rPr>
          <w:rFonts w:asciiTheme="minorBidi" w:hAnsiTheme="minorBidi" w:hint="cs"/>
          <w:sz w:val="27"/>
          <w:rtl/>
        </w:rPr>
        <w:t xml:space="preserve"> الاستفادة منه، لكن</w:t>
      </w:r>
      <w:r w:rsidR="00157F9F" w:rsidRPr="00904FCB">
        <w:rPr>
          <w:rFonts w:asciiTheme="minorBidi" w:hAnsiTheme="minorBidi" w:hint="cs"/>
          <w:sz w:val="27"/>
          <w:rtl/>
        </w:rPr>
        <w:t>ّ</w:t>
      </w:r>
      <w:r w:rsidRPr="00904FCB">
        <w:rPr>
          <w:rFonts w:asciiTheme="minorBidi" w:hAnsiTheme="minorBidi" w:hint="cs"/>
          <w:sz w:val="27"/>
          <w:rtl/>
        </w:rPr>
        <w:t xml:space="preserve"> الاستفادة من الطبيعة والمحيط البيئي</w:t>
      </w:r>
      <w:r w:rsidR="00157F9F" w:rsidRPr="00904FCB">
        <w:rPr>
          <w:rFonts w:asciiTheme="minorBidi" w:hAnsiTheme="minorBidi" w:hint="cs"/>
          <w:sz w:val="27"/>
          <w:rtl/>
        </w:rPr>
        <w:t>؛</w:t>
      </w:r>
      <w:r w:rsidRPr="00904FCB">
        <w:rPr>
          <w:rFonts w:asciiTheme="minorBidi" w:hAnsiTheme="minorBidi" w:hint="cs"/>
          <w:sz w:val="27"/>
          <w:rtl/>
        </w:rPr>
        <w:t xml:space="preserve"> باعتبارها حق</w:t>
      </w:r>
      <w:r w:rsidR="00157F9F" w:rsidRPr="00904FCB">
        <w:rPr>
          <w:rFonts w:asciiTheme="minorBidi" w:hAnsiTheme="minorBidi" w:hint="cs"/>
          <w:sz w:val="27"/>
          <w:rtl/>
        </w:rPr>
        <w:t>ّاً</w:t>
      </w:r>
      <w:r w:rsidRPr="00904FCB">
        <w:rPr>
          <w:rFonts w:asciiTheme="minorBidi" w:hAnsiTheme="minorBidi" w:hint="cs"/>
          <w:sz w:val="27"/>
          <w:rtl/>
        </w:rPr>
        <w:t xml:space="preserve"> مشترك</w:t>
      </w:r>
      <w:r w:rsidR="00157F9F" w:rsidRPr="00904FCB">
        <w:rPr>
          <w:rFonts w:asciiTheme="minorBidi" w:hAnsiTheme="minorBidi" w:hint="cs"/>
          <w:sz w:val="27"/>
          <w:rtl/>
        </w:rPr>
        <w:t>اً</w:t>
      </w:r>
      <w:r w:rsidRPr="00904FCB">
        <w:rPr>
          <w:rFonts w:asciiTheme="minorBidi" w:hAnsiTheme="minorBidi" w:hint="cs"/>
          <w:sz w:val="27"/>
          <w:rtl/>
        </w:rPr>
        <w:t xml:space="preserve"> بين جميع البشر</w:t>
      </w:r>
      <w:r w:rsidR="00157F9F" w:rsidRPr="00904FCB">
        <w:rPr>
          <w:rFonts w:asciiTheme="minorBidi" w:hAnsiTheme="minorBidi" w:hint="cs"/>
          <w:sz w:val="27"/>
          <w:rtl/>
        </w:rPr>
        <w:t>،</w:t>
      </w:r>
      <w:r w:rsidRPr="00904FCB">
        <w:rPr>
          <w:rFonts w:asciiTheme="minorBidi" w:hAnsiTheme="minorBidi" w:hint="cs"/>
          <w:sz w:val="27"/>
          <w:rtl/>
        </w:rPr>
        <w:t xml:space="preserve"> يجب أن يتم</w:t>
      </w:r>
      <w:r w:rsidR="00157F9F" w:rsidRPr="00904FCB">
        <w:rPr>
          <w:rFonts w:asciiTheme="minorBidi" w:hAnsiTheme="minorBidi" w:hint="cs"/>
          <w:sz w:val="27"/>
          <w:rtl/>
        </w:rPr>
        <w:t>ّ</w:t>
      </w:r>
      <w:r w:rsidRPr="00904FCB">
        <w:rPr>
          <w:rFonts w:asciiTheme="minorBidi" w:hAnsiTheme="minorBidi" w:hint="cs"/>
          <w:sz w:val="27"/>
          <w:rtl/>
        </w:rPr>
        <w:t xml:space="preserve"> بحيث يحفظ حق</w:t>
      </w:r>
      <w:r w:rsidR="00157F9F" w:rsidRPr="00904FCB">
        <w:rPr>
          <w:rFonts w:asciiTheme="minorBidi" w:hAnsiTheme="minorBidi" w:hint="cs"/>
          <w:sz w:val="27"/>
          <w:rtl/>
        </w:rPr>
        <w:t>ّ</w:t>
      </w:r>
      <w:r w:rsidRPr="00904FCB">
        <w:rPr>
          <w:rFonts w:asciiTheme="minorBidi" w:hAnsiTheme="minorBidi" w:hint="cs"/>
          <w:sz w:val="27"/>
          <w:rtl/>
        </w:rPr>
        <w:t xml:space="preserve"> الأجيال الحاضرة والقادمة. </w:t>
      </w:r>
    </w:p>
    <w:p w:rsidR="00EF655F" w:rsidRPr="00904FCB" w:rsidRDefault="00157F9F" w:rsidP="007A21AA">
      <w:pPr>
        <w:spacing w:line="400" w:lineRule="exact"/>
        <w:rPr>
          <w:rFonts w:asciiTheme="minorBidi" w:hAnsiTheme="minorBidi"/>
          <w:sz w:val="27"/>
          <w:rtl/>
        </w:rPr>
      </w:pPr>
      <w:r w:rsidRPr="00904FCB">
        <w:rPr>
          <w:rFonts w:asciiTheme="minorBidi" w:hAnsiTheme="minorBidi" w:hint="cs"/>
          <w:sz w:val="27"/>
          <w:rtl/>
        </w:rPr>
        <w:t>و</w:t>
      </w:r>
      <w:r w:rsidR="00EF655F" w:rsidRPr="00904FCB">
        <w:rPr>
          <w:rFonts w:asciiTheme="minorBidi" w:hAnsiTheme="minorBidi" w:hint="cs"/>
          <w:sz w:val="27"/>
          <w:rtl/>
        </w:rPr>
        <w:t xml:space="preserve">كما </w:t>
      </w:r>
      <w:r w:rsidRPr="00904FCB">
        <w:rPr>
          <w:rFonts w:asciiTheme="minorBidi" w:hAnsiTheme="minorBidi" w:hint="cs"/>
          <w:sz w:val="27"/>
          <w:rtl/>
        </w:rPr>
        <w:t>ذكر</w:t>
      </w:r>
      <w:r w:rsidR="00EF655F" w:rsidRPr="00904FCB">
        <w:rPr>
          <w:rFonts w:asciiTheme="minorBidi" w:hAnsiTheme="minorBidi" w:hint="cs"/>
          <w:sz w:val="27"/>
          <w:rtl/>
        </w:rPr>
        <w:t xml:space="preserve"> القرآن الكريم حق</w:t>
      </w:r>
      <w:r w:rsidRPr="00904FCB">
        <w:rPr>
          <w:rFonts w:asciiTheme="minorBidi" w:hAnsiTheme="minorBidi" w:hint="cs"/>
          <w:sz w:val="27"/>
          <w:rtl/>
        </w:rPr>
        <w:t>َّ</w:t>
      </w:r>
      <w:r w:rsidR="00EF655F" w:rsidRPr="00904FCB">
        <w:rPr>
          <w:rFonts w:asciiTheme="minorBidi" w:hAnsiTheme="minorBidi" w:hint="cs"/>
          <w:sz w:val="27"/>
          <w:rtl/>
        </w:rPr>
        <w:t xml:space="preserve"> البشر في الطبيعة والمحيط البيئي</w:t>
      </w:r>
      <w:r w:rsidRPr="00904FCB">
        <w:rPr>
          <w:rFonts w:asciiTheme="minorBidi" w:hAnsiTheme="minorBidi" w:hint="cs"/>
          <w:sz w:val="27"/>
          <w:rtl/>
        </w:rPr>
        <w:t>،</w:t>
      </w:r>
      <w:r w:rsidR="00EF655F" w:rsidRPr="00904FCB">
        <w:rPr>
          <w:rFonts w:asciiTheme="minorBidi" w:hAnsiTheme="minorBidi" w:hint="cs"/>
          <w:sz w:val="27"/>
          <w:rtl/>
        </w:rPr>
        <w:t xml:space="preserve"> ونص</w:t>
      </w:r>
      <w:r w:rsidRPr="00904FCB">
        <w:rPr>
          <w:rFonts w:asciiTheme="minorBidi" w:hAnsiTheme="minorBidi" w:hint="cs"/>
          <w:sz w:val="27"/>
          <w:rtl/>
        </w:rPr>
        <w:t>ّ</w:t>
      </w:r>
      <w:r w:rsidR="00EF655F" w:rsidRPr="00904FCB">
        <w:rPr>
          <w:rFonts w:asciiTheme="minorBidi" w:hAnsiTheme="minorBidi" w:hint="cs"/>
          <w:sz w:val="27"/>
          <w:rtl/>
        </w:rPr>
        <w:t xml:space="preserve"> عليه في العديد من الآيات</w:t>
      </w:r>
      <w:r w:rsidRPr="00904FCB">
        <w:rPr>
          <w:rFonts w:asciiTheme="minorBidi" w:hAnsiTheme="minorBidi" w:hint="cs"/>
          <w:sz w:val="27"/>
          <w:rtl/>
        </w:rPr>
        <w:t>،</w:t>
      </w:r>
      <w:r w:rsidR="00EF655F" w:rsidRPr="00904FCB">
        <w:rPr>
          <w:rFonts w:asciiTheme="minorBidi" w:hAnsiTheme="minorBidi" w:hint="cs"/>
          <w:sz w:val="27"/>
          <w:rtl/>
        </w:rPr>
        <w:t xml:space="preserve"> كذلك نص</w:t>
      </w:r>
      <w:r w:rsidRPr="00904FCB">
        <w:rPr>
          <w:rFonts w:asciiTheme="minorBidi" w:hAnsiTheme="minorBidi" w:hint="cs"/>
          <w:sz w:val="27"/>
          <w:rtl/>
        </w:rPr>
        <w:t>َّ</w:t>
      </w:r>
      <w:r w:rsidR="00EF655F" w:rsidRPr="00904FCB">
        <w:rPr>
          <w:rFonts w:asciiTheme="minorBidi" w:hAnsiTheme="minorBidi" w:hint="cs"/>
          <w:sz w:val="27"/>
          <w:rtl/>
        </w:rPr>
        <w:t xml:space="preserve"> إلى جانبها على واجباته تجاه هذه الطبيعة والمحيط البيئي</w:t>
      </w:r>
      <w:r w:rsidRPr="00904FCB">
        <w:rPr>
          <w:rFonts w:asciiTheme="minorBidi" w:hAnsiTheme="minorBidi" w:hint="cs"/>
          <w:sz w:val="27"/>
          <w:rtl/>
        </w:rPr>
        <w:t>،</w:t>
      </w:r>
      <w:r w:rsidR="00EF655F" w:rsidRPr="00904FCB">
        <w:rPr>
          <w:rFonts w:asciiTheme="minorBidi" w:hAnsiTheme="minorBidi" w:hint="cs"/>
          <w:sz w:val="27"/>
          <w:rtl/>
        </w:rPr>
        <w:t xml:space="preserve"> وحمّله مسؤولية تعمير الأرض وتنميتها، قال تعالى: </w:t>
      </w:r>
      <w:r w:rsidR="00EF655F" w:rsidRPr="00904FCB">
        <w:rPr>
          <w:rFonts w:ascii="Mosawi" w:hAnsi="Mosawi" w:cs="Mosawi"/>
          <w:sz w:val="24"/>
          <w:szCs w:val="24"/>
          <w:rtl/>
        </w:rPr>
        <w:t>﴿</w:t>
      </w:r>
      <w:r w:rsidRPr="00904FCB">
        <w:rPr>
          <w:rFonts w:asciiTheme="minorBidi" w:hAnsiTheme="minorBidi"/>
          <w:b/>
          <w:bCs/>
          <w:sz w:val="27"/>
          <w:rtl/>
        </w:rPr>
        <w:t>هُوَ أَنْشَأَكُمْ مِنَ ال</w:t>
      </w:r>
      <w:r w:rsidR="00EF655F" w:rsidRPr="00904FCB">
        <w:rPr>
          <w:rFonts w:asciiTheme="minorBidi" w:hAnsiTheme="minorBidi"/>
          <w:b/>
          <w:bCs/>
          <w:sz w:val="27"/>
          <w:rtl/>
        </w:rPr>
        <w:t>أَرْضِ وَاسْتَعْمَرَكُمْ فِيهَا</w:t>
      </w:r>
      <w:r w:rsidR="00EF655F" w:rsidRPr="00904FCB">
        <w:rPr>
          <w:rFonts w:ascii="Mosawi" w:hAnsi="Mosawi" w:cs="Mosawi"/>
          <w:sz w:val="24"/>
          <w:szCs w:val="24"/>
          <w:rtl/>
        </w:rPr>
        <w:t>﴾</w:t>
      </w:r>
      <w:r w:rsidR="00EF655F" w:rsidRPr="00904FCB">
        <w:rPr>
          <w:rFonts w:asciiTheme="minorBidi" w:hAnsiTheme="minorBidi" w:hint="cs"/>
          <w:sz w:val="27"/>
          <w:rtl/>
        </w:rPr>
        <w:t xml:space="preserve"> (هود: </w:t>
      </w:r>
      <w:r w:rsidR="00EF655F" w:rsidRPr="00DF4775">
        <w:rPr>
          <w:rFonts w:asciiTheme="minorBidi" w:hAnsiTheme="minorBidi" w:hint="cs"/>
          <w:sz w:val="27"/>
          <w:rtl/>
        </w:rPr>
        <w:t>61</w:t>
      </w:r>
      <w:r w:rsidR="00EF655F" w:rsidRPr="00904FCB">
        <w:rPr>
          <w:rFonts w:asciiTheme="minorBidi" w:hAnsiTheme="minorBidi" w:hint="cs"/>
          <w:sz w:val="27"/>
          <w:rtl/>
        </w:rPr>
        <w:t>).</w:t>
      </w:r>
      <w:r w:rsidR="00EF655F" w:rsidRPr="00904FCB">
        <w:rPr>
          <w:rStyle w:val="ac"/>
          <w:rFonts w:asciiTheme="minorBidi" w:hAnsiTheme="minorBidi" w:hint="cs"/>
          <w:sz w:val="27"/>
          <w:rtl/>
        </w:rPr>
        <w:t xml:space="preserve"> </w:t>
      </w:r>
    </w:p>
    <w:p w:rsidR="00D32D85"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 xml:space="preserve"> </w:t>
      </w:r>
      <w:r w:rsidR="00157F9F" w:rsidRPr="00904FCB">
        <w:rPr>
          <w:rFonts w:asciiTheme="minorBidi" w:hAnsiTheme="minorBidi" w:hint="cs"/>
          <w:sz w:val="27"/>
          <w:rtl/>
        </w:rPr>
        <w:t>و</w:t>
      </w:r>
      <w:r w:rsidRPr="00904FCB">
        <w:rPr>
          <w:rFonts w:asciiTheme="minorBidi" w:hAnsiTheme="minorBidi" w:hint="cs"/>
          <w:sz w:val="27"/>
          <w:rtl/>
        </w:rPr>
        <w:t xml:space="preserve">وفق هذه الآية الشريفة </w:t>
      </w:r>
      <w:r w:rsidR="00157F9F" w:rsidRPr="00904FCB">
        <w:rPr>
          <w:rFonts w:asciiTheme="minorBidi" w:hAnsiTheme="minorBidi" w:hint="cs"/>
          <w:sz w:val="27"/>
          <w:rtl/>
        </w:rPr>
        <w:t xml:space="preserve">فإنّ </w:t>
      </w:r>
      <w:r w:rsidRPr="00904FCB">
        <w:rPr>
          <w:rFonts w:asciiTheme="minorBidi" w:hAnsiTheme="minorBidi" w:hint="cs"/>
          <w:sz w:val="27"/>
          <w:rtl/>
        </w:rPr>
        <w:t>تعمير الأرض وتنميتها جزء</w:t>
      </w:r>
      <w:r w:rsidR="00157F9F" w:rsidRPr="00904FCB">
        <w:rPr>
          <w:rFonts w:asciiTheme="minorBidi" w:hAnsiTheme="minorBidi" w:hint="cs"/>
          <w:sz w:val="27"/>
          <w:rtl/>
        </w:rPr>
        <w:t>ٌ</w:t>
      </w:r>
      <w:r w:rsidRPr="00904FCB">
        <w:rPr>
          <w:rFonts w:asciiTheme="minorBidi" w:hAnsiTheme="minorBidi" w:hint="cs"/>
          <w:sz w:val="27"/>
          <w:rtl/>
        </w:rPr>
        <w:t xml:space="preserve"> من الواجبات الملقاة على عاتق البشر</w:t>
      </w:r>
      <w:r w:rsidR="00157F9F" w:rsidRPr="00904FCB">
        <w:rPr>
          <w:rFonts w:asciiTheme="minorBidi" w:hAnsiTheme="minorBidi" w:hint="cs"/>
          <w:sz w:val="27"/>
          <w:rtl/>
        </w:rPr>
        <w:t>،</w:t>
      </w:r>
      <w:r w:rsidRPr="00904FCB">
        <w:rPr>
          <w:rFonts w:asciiTheme="minorBidi" w:hAnsiTheme="minorBidi" w:hint="cs"/>
          <w:sz w:val="27"/>
          <w:rtl/>
        </w:rPr>
        <w:t xml:space="preserve"> وكل سلوك أو عمل يتناف</w:t>
      </w:r>
      <w:r w:rsidR="00157F9F" w:rsidRPr="00904FCB">
        <w:rPr>
          <w:rFonts w:asciiTheme="minorBidi" w:hAnsiTheme="minorBidi" w:hint="cs"/>
          <w:sz w:val="27"/>
          <w:rtl/>
        </w:rPr>
        <w:t>ى</w:t>
      </w:r>
      <w:r w:rsidRPr="00904FCB">
        <w:rPr>
          <w:rFonts w:asciiTheme="minorBidi" w:hAnsiTheme="minorBidi" w:hint="cs"/>
          <w:sz w:val="27"/>
          <w:rtl/>
        </w:rPr>
        <w:t xml:space="preserve"> والعمران والتنمية يعد</w:t>
      </w:r>
      <w:r w:rsidR="00157F9F" w:rsidRPr="00904FCB">
        <w:rPr>
          <w:rFonts w:asciiTheme="minorBidi" w:hAnsiTheme="minorBidi" w:hint="cs"/>
          <w:sz w:val="27"/>
          <w:rtl/>
        </w:rPr>
        <w:t>ّ</w:t>
      </w:r>
      <w:r w:rsidRPr="00904FCB">
        <w:rPr>
          <w:rFonts w:asciiTheme="minorBidi" w:hAnsiTheme="minorBidi" w:hint="cs"/>
          <w:sz w:val="27"/>
          <w:rtl/>
        </w:rPr>
        <w:t xml:space="preserve"> ممنوعا</w:t>
      </w:r>
      <w:r w:rsidR="00157F9F" w:rsidRPr="00904FCB">
        <w:rPr>
          <w:rFonts w:asciiTheme="minorBidi" w:hAnsiTheme="minorBidi" w:hint="cs"/>
          <w:sz w:val="27"/>
          <w:rtl/>
        </w:rPr>
        <w:t>ً</w:t>
      </w:r>
      <w:r w:rsidRPr="00904FCB">
        <w:rPr>
          <w:rFonts w:asciiTheme="minorBidi" w:hAnsiTheme="minorBidi" w:hint="cs"/>
          <w:sz w:val="27"/>
          <w:rtl/>
        </w:rPr>
        <w:t xml:space="preserve"> شرعا</w:t>
      </w:r>
      <w:r w:rsidR="00157F9F" w:rsidRPr="00904FCB">
        <w:rPr>
          <w:rFonts w:asciiTheme="minorBidi" w:hAnsiTheme="minorBidi" w:hint="cs"/>
          <w:sz w:val="27"/>
          <w:rtl/>
        </w:rPr>
        <w:t>ً</w:t>
      </w:r>
      <w:r w:rsidRPr="00904FCB">
        <w:rPr>
          <w:rFonts w:asciiTheme="minorBidi" w:hAnsiTheme="minorBidi" w:hint="cs"/>
          <w:sz w:val="27"/>
          <w:rtl/>
        </w:rPr>
        <w:t xml:space="preserve">. </w:t>
      </w:r>
      <w:r w:rsidR="00157F9F" w:rsidRPr="00904FCB">
        <w:rPr>
          <w:rFonts w:asciiTheme="minorBidi" w:hAnsiTheme="minorBidi" w:hint="cs"/>
          <w:sz w:val="27"/>
          <w:rtl/>
        </w:rPr>
        <w:t>و</w:t>
      </w:r>
      <w:r w:rsidRPr="00904FCB">
        <w:rPr>
          <w:rFonts w:asciiTheme="minorBidi" w:hAnsiTheme="minorBidi" w:hint="cs"/>
          <w:sz w:val="27"/>
          <w:rtl/>
        </w:rPr>
        <w:t>بحق</w:t>
      </w:r>
      <w:r w:rsidR="00157F9F" w:rsidRPr="00904FCB">
        <w:rPr>
          <w:rFonts w:asciiTheme="minorBidi" w:hAnsiTheme="minorBidi" w:hint="cs"/>
          <w:sz w:val="27"/>
          <w:rtl/>
        </w:rPr>
        <w:t>ٍّ</w:t>
      </w:r>
      <w:r w:rsidRPr="00904FCB">
        <w:rPr>
          <w:rFonts w:asciiTheme="minorBidi" w:hAnsiTheme="minorBidi" w:hint="cs"/>
          <w:sz w:val="27"/>
          <w:rtl/>
        </w:rPr>
        <w:t xml:space="preserve"> فإن الآية تستدعي الانتباه بشكل</w:t>
      </w:r>
      <w:r w:rsidR="00157F9F" w:rsidRPr="00904FCB">
        <w:rPr>
          <w:rFonts w:asciiTheme="minorBidi" w:hAnsiTheme="minorBidi" w:hint="cs"/>
          <w:sz w:val="27"/>
          <w:rtl/>
        </w:rPr>
        <w:t>ٍ</w:t>
      </w:r>
      <w:r w:rsidRPr="00904FCB">
        <w:rPr>
          <w:rFonts w:asciiTheme="minorBidi" w:hAnsiTheme="minorBidi" w:hint="cs"/>
          <w:sz w:val="27"/>
          <w:rtl/>
        </w:rPr>
        <w:t xml:space="preserve"> جاد</w:t>
      </w:r>
      <w:r w:rsidR="00157F9F" w:rsidRPr="00904FCB">
        <w:rPr>
          <w:rFonts w:asciiTheme="minorBidi" w:hAnsiTheme="minorBidi" w:hint="cs"/>
          <w:sz w:val="27"/>
          <w:rtl/>
        </w:rPr>
        <w:t>ّ</w:t>
      </w:r>
      <w:r w:rsidRPr="00904FCB">
        <w:rPr>
          <w:rFonts w:asciiTheme="minorBidi" w:hAnsiTheme="minorBidi" w:hint="cs"/>
          <w:sz w:val="27"/>
          <w:rtl/>
        </w:rPr>
        <w:t xml:space="preserve"> لحجم هذه المسؤولية الملقاة على عاتق الإنسان. فالإنسان بالنتيجة هو المسؤول عن الطبيعة في تنميتها وحفظها وعمران ال</w:t>
      </w:r>
      <w:r w:rsidR="00D32D85" w:rsidRPr="00904FCB">
        <w:rPr>
          <w:rFonts w:asciiTheme="minorBidi" w:hAnsiTheme="minorBidi" w:hint="cs"/>
          <w:sz w:val="27"/>
          <w:rtl/>
        </w:rPr>
        <w:t>أ</w:t>
      </w:r>
      <w:r w:rsidRPr="00904FCB">
        <w:rPr>
          <w:rFonts w:asciiTheme="minorBidi" w:hAnsiTheme="minorBidi" w:hint="cs"/>
          <w:sz w:val="27"/>
          <w:rtl/>
        </w:rPr>
        <w:t>رض وبنا</w:t>
      </w:r>
      <w:r w:rsidR="00D32D85" w:rsidRPr="00904FCB">
        <w:rPr>
          <w:rFonts w:asciiTheme="minorBidi" w:hAnsiTheme="minorBidi" w:hint="cs"/>
          <w:sz w:val="27"/>
          <w:rtl/>
        </w:rPr>
        <w:t>ئ</w:t>
      </w:r>
      <w:r w:rsidRPr="00904FCB">
        <w:rPr>
          <w:rFonts w:asciiTheme="minorBidi" w:hAnsiTheme="minorBidi" w:hint="cs"/>
          <w:sz w:val="27"/>
          <w:rtl/>
        </w:rPr>
        <w:t>ها</w:t>
      </w:r>
      <w:r w:rsidRPr="00904FCB">
        <w:rPr>
          <w:rFonts w:asciiTheme="minorBidi" w:hAnsiTheme="minorBidi"/>
          <w:sz w:val="27"/>
          <w:vertAlign w:val="superscript"/>
          <w:rtl/>
        </w:rPr>
        <w:t>(</w:t>
      </w:r>
      <w:r w:rsidRPr="00904FCB">
        <w:rPr>
          <w:rStyle w:val="ac"/>
          <w:rFonts w:asciiTheme="minorBidi" w:hAnsiTheme="minorBidi"/>
          <w:sz w:val="27"/>
          <w:rtl/>
        </w:rPr>
        <w:endnoteReference w:id="578"/>
      </w:r>
      <w:r w:rsidRPr="00904FCB">
        <w:rPr>
          <w:rFonts w:asciiTheme="minorBidi" w:hAnsiTheme="minorBidi"/>
          <w:sz w:val="27"/>
          <w:vertAlign w:val="superscript"/>
          <w:rtl/>
        </w:rPr>
        <w:t>)</w:t>
      </w:r>
      <w:r w:rsidR="00D32D85" w:rsidRPr="00904FCB">
        <w:rPr>
          <w:rFonts w:asciiTheme="minorBidi" w:hAnsiTheme="minorBidi" w:hint="cs"/>
          <w:sz w:val="27"/>
          <w:rtl/>
        </w:rPr>
        <w:t>.</w:t>
      </w:r>
    </w:p>
    <w:p w:rsidR="00EF655F" w:rsidRPr="00904FCB" w:rsidRDefault="00EF655F" w:rsidP="00826CE1">
      <w:pPr>
        <w:spacing w:line="420" w:lineRule="exact"/>
        <w:rPr>
          <w:rFonts w:asciiTheme="minorBidi" w:hAnsiTheme="minorBidi"/>
          <w:sz w:val="27"/>
          <w:rtl/>
        </w:rPr>
      </w:pPr>
      <w:r w:rsidRPr="00904FCB">
        <w:rPr>
          <w:rFonts w:asciiTheme="minorBidi" w:hAnsiTheme="minorBidi" w:hint="cs"/>
          <w:sz w:val="27"/>
          <w:rtl/>
        </w:rPr>
        <w:lastRenderedPageBreak/>
        <w:t>هذا عن منطوق ا</w:t>
      </w:r>
      <w:r w:rsidR="00D32D85" w:rsidRPr="00904FCB">
        <w:rPr>
          <w:rFonts w:asciiTheme="minorBidi" w:hAnsiTheme="minorBidi" w:hint="cs"/>
          <w:sz w:val="27"/>
          <w:rtl/>
        </w:rPr>
        <w:t>لآ</w:t>
      </w:r>
      <w:r w:rsidRPr="00904FCB">
        <w:rPr>
          <w:rFonts w:asciiTheme="minorBidi" w:hAnsiTheme="minorBidi" w:hint="cs"/>
          <w:sz w:val="27"/>
          <w:rtl/>
        </w:rPr>
        <w:t>ية</w:t>
      </w:r>
      <w:r w:rsidR="00D32D85" w:rsidRPr="00904FCB">
        <w:rPr>
          <w:rFonts w:asciiTheme="minorBidi" w:hAnsiTheme="minorBidi" w:hint="cs"/>
          <w:sz w:val="27"/>
          <w:rtl/>
        </w:rPr>
        <w:t>.</w:t>
      </w:r>
      <w:r w:rsidRPr="00904FCB">
        <w:rPr>
          <w:rFonts w:asciiTheme="minorBidi" w:hAnsiTheme="minorBidi" w:hint="cs"/>
          <w:sz w:val="27"/>
          <w:rtl/>
        </w:rPr>
        <w:t xml:space="preserve"> أما مفهومها فهو كامن</w:t>
      </w:r>
      <w:r w:rsidR="00D32D85" w:rsidRPr="00904FCB">
        <w:rPr>
          <w:rFonts w:asciiTheme="minorBidi" w:hAnsiTheme="minorBidi" w:hint="cs"/>
          <w:sz w:val="27"/>
          <w:rtl/>
        </w:rPr>
        <w:t>ٌ</w:t>
      </w:r>
      <w:r w:rsidRPr="00904FCB">
        <w:rPr>
          <w:rFonts w:asciiTheme="minorBidi" w:hAnsiTheme="minorBidi" w:hint="cs"/>
          <w:sz w:val="27"/>
          <w:rtl/>
        </w:rPr>
        <w:t xml:space="preserve"> في أن إفساد البيئة وهدرها مخالف للعمران والبناء والتنمية</w:t>
      </w:r>
      <w:r w:rsidR="00D32D85" w:rsidRPr="00904FCB">
        <w:rPr>
          <w:rFonts w:asciiTheme="minorBidi" w:hAnsiTheme="minorBidi" w:hint="cs"/>
          <w:sz w:val="27"/>
          <w:rtl/>
        </w:rPr>
        <w:t xml:space="preserve">، </w:t>
      </w:r>
      <w:r w:rsidRPr="00904FCB">
        <w:rPr>
          <w:rFonts w:asciiTheme="minorBidi" w:hAnsiTheme="minorBidi" w:hint="cs"/>
          <w:sz w:val="27"/>
          <w:rtl/>
        </w:rPr>
        <w:t xml:space="preserve">وعليه </w:t>
      </w:r>
      <w:r w:rsidR="00D32D85" w:rsidRPr="00904FCB">
        <w:rPr>
          <w:rFonts w:asciiTheme="minorBidi" w:hAnsiTheme="minorBidi" w:hint="cs"/>
          <w:sz w:val="27"/>
          <w:rtl/>
        </w:rPr>
        <w:t>من الضروريّ</w:t>
      </w:r>
      <w:r w:rsidRPr="00904FCB">
        <w:rPr>
          <w:rFonts w:asciiTheme="minorBidi" w:hAnsiTheme="minorBidi" w:hint="cs"/>
          <w:sz w:val="27"/>
          <w:rtl/>
        </w:rPr>
        <w:t xml:space="preserve"> تجن</w:t>
      </w:r>
      <w:r w:rsidR="00D32D85" w:rsidRPr="00904FCB">
        <w:rPr>
          <w:rFonts w:asciiTheme="minorBidi" w:hAnsiTheme="minorBidi" w:hint="cs"/>
          <w:sz w:val="27"/>
          <w:rtl/>
        </w:rPr>
        <w:t>ُّ</w:t>
      </w:r>
      <w:r w:rsidRPr="00904FCB">
        <w:rPr>
          <w:rFonts w:asciiTheme="minorBidi" w:hAnsiTheme="minorBidi" w:hint="cs"/>
          <w:sz w:val="27"/>
          <w:rtl/>
        </w:rPr>
        <w:t xml:space="preserve">به والابتعاد عنه </w:t>
      </w:r>
      <w:r w:rsidR="00D32D85" w:rsidRPr="00904FCB">
        <w:rPr>
          <w:rFonts w:asciiTheme="minorBidi" w:hAnsiTheme="minorBidi" w:hint="cs"/>
          <w:sz w:val="27"/>
          <w:rtl/>
        </w:rPr>
        <w:t>تماماً</w:t>
      </w:r>
      <w:r w:rsidRPr="00904FCB">
        <w:rPr>
          <w:rFonts w:asciiTheme="minorBidi" w:hAnsiTheme="minorBidi" w:hint="cs"/>
          <w:sz w:val="27"/>
          <w:rtl/>
        </w:rPr>
        <w:t xml:space="preserve"> كما أتى النهي عن الفساد والإفساد صريحا</w:t>
      </w:r>
      <w:r w:rsidR="00D32D85" w:rsidRPr="00904FCB">
        <w:rPr>
          <w:rFonts w:asciiTheme="minorBidi" w:hAnsiTheme="minorBidi" w:hint="cs"/>
          <w:sz w:val="27"/>
          <w:rtl/>
        </w:rPr>
        <w:t>ً</w:t>
      </w:r>
      <w:r w:rsidRPr="00904FCB">
        <w:rPr>
          <w:rFonts w:asciiTheme="minorBidi" w:hAnsiTheme="minorBidi" w:hint="cs"/>
          <w:sz w:val="27"/>
          <w:rtl/>
        </w:rPr>
        <w:t xml:space="preserve"> في قوله تعالى: </w:t>
      </w:r>
      <w:r w:rsidRPr="00904FCB">
        <w:rPr>
          <w:rFonts w:ascii="Mosawi" w:hAnsi="Mosawi" w:cs="Mosawi"/>
          <w:sz w:val="24"/>
          <w:szCs w:val="24"/>
          <w:rtl/>
        </w:rPr>
        <w:t>﴿</w:t>
      </w:r>
      <w:r w:rsidR="00D32D85" w:rsidRPr="00904FCB">
        <w:rPr>
          <w:rFonts w:asciiTheme="minorBidi" w:hAnsiTheme="minorBidi"/>
          <w:b/>
          <w:bCs/>
          <w:sz w:val="27"/>
          <w:rtl/>
        </w:rPr>
        <w:t>وَلا تُفْسِدُوا فِي الأَرْضِ بَعْدَ إِصْل</w:t>
      </w:r>
      <w:r w:rsidRPr="00904FCB">
        <w:rPr>
          <w:rFonts w:asciiTheme="minorBidi" w:hAnsiTheme="minorBidi"/>
          <w:b/>
          <w:bCs/>
          <w:sz w:val="27"/>
          <w:rtl/>
        </w:rPr>
        <w:t>احِهَا</w:t>
      </w:r>
      <w:r w:rsidR="00D32D85" w:rsidRPr="00904FCB">
        <w:rPr>
          <w:rFonts w:asciiTheme="minorBidi" w:hAnsiTheme="minorBidi" w:hint="cs"/>
          <w:b/>
          <w:bCs/>
          <w:sz w:val="27"/>
          <w:rtl/>
        </w:rPr>
        <w:t xml:space="preserve"> </w:t>
      </w:r>
      <w:r w:rsidRPr="00904FCB">
        <w:rPr>
          <w:rFonts w:asciiTheme="minorBidi" w:hAnsiTheme="minorBidi" w:hint="cs"/>
          <w:b/>
          <w:bCs/>
          <w:sz w:val="27"/>
          <w:rtl/>
        </w:rPr>
        <w:t>ذَلِكُمْ</w:t>
      </w:r>
      <w:r w:rsidRPr="00904FCB">
        <w:rPr>
          <w:rFonts w:asciiTheme="minorBidi" w:hAnsiTheme="minorBidi"/>
          <w:b/>
          <w:bCs/>
          <w:sz w:val="27"/>
          <w:rtl/>
        </w:rPr>
        <w:t xml:space="preserve"> </w:t>
      </w:r>
      <w:r w:rsidRPr="00904FCB">
        <w:rPr>
          <w:rFonts w:asciiTheme="minorBidi" w:hAnsiTheme="minorBidi" w:hint="cs"/>
          <w:b/>
          <w:bCs/>
          <w:sz w:val="27"/>
          <w:rtl/>
        </w:rPr>
        <w:t>خَيْرٌ</w:t>
      </w:r>
      <w:r w:rsidRPr="00904FCB">
        <w:rPr>
          <w:rFonts w:asciiTheme="minorBidi" w:hAnsiTheme="minorBidi"/>
          <w:b/>
          <w:bCs/>
          <w:sz w:val="27"/>
          <w:rtl/>
        </w:rPr>
        <w:t xml:space="preserve"> </w:t>
      </w:r>
      <w:r w:rsidRPr="00904FCB">
        <w:rPr>
          <w:rFonts w:asciiTheme="minorBidi" w:hAnsiTheme="minorBidi" w:hint="cs"/>
          <w:b/>
          <w:bCs/>
          <w:sz w:val="27"/>
          <w:rtl/>
        </w:rPr>
        <w:t>لَكُمْ</w:t>
      </w:r>
      <w:r w:rsidRPr="00904FCB">
        <w:rPr>
          <w:rFonts w:asciiTheme="minorBidi" w:hAnsiTheme="minorBidi"/>
          <w:b/>
          <w:bCs/>
          <w:sz w:val="27"/>
          <w:rtl/>
        </w:rPr>
        <w:t xml:space="preserve"> </w:t>
      </w:r>
      <w:r w:rsidRPr="00904FCB">
        <w:rPr>
          <w:rFonts w:asciiTheme="minorBidi" w:hAnsiTheme="minorBidi" w:hint="cs"/>
          <w:b/>
          <w:bCs/>
          <w:sz w:val="27"/>
          <w:rtl/>
        </w:rPr>
        <w:t>إِنْ</w:t>
      </w:r>
      <w:r w:rsidRPr="00904FCB">
        <w:rPr>
          <w:rFonts w:asciiTheme="minorBidi" w:hAnsiTheme="minorBidi"/>
          <w:b/>
          <w:bCs/>
          <w:sz w:val="27"/>
          <w:rtl/>
        </w:rPr>
        <w:t xml:space="preserve"> </w:t>
      </w:r>
      <w:r w:rsidRPr="00904FCB">
        <w:rPr>
          <w:rFonts w:asciiTheme="minorBidi" w:hAnsiTheme="minorBidi" w:hint="cs"/>
          <w:b/>
          <w:bCs/>
          <w:sz w:val="27"/>
          <w:rtl/>
        </w:rPr>
        <w:t>كُنْتُمْ</w:t>
      </w:r>
      <w:r w:rsidRPr="00904FCB">
        <w:rPr>
          <w:rFonts w:asciiTheme="minorBidi" w:hAnsiTheme="minorBidi"/>
          <w:b/>
          <w:bCs/>
          <w:sz w:val="27"/>
          <w:rtl/>
        </w:rPr>
        <w:t xml:space="preserve"> </w:t>
      </w:r>
      <w:r w:rsidRPr="00904FCB">
        <w:rPr>
          <w:rFonts w:asciiTheme="minorBidi" w:hAnsiTheme="minorBidi" w:hint="cs"/>
          <w:b/>
          <w:bCs/>
          <w:sz w:val="27"/>
          <w:rtl/>
        </w:rPr>
        <w:t>مُؤْمِنِينَ</w:t>
      </w:r>
      <w:r w:rsidRPr="00904FCB">
        <w:rPr>
          <w:rFonts w:ascii="Mosawi" w:hAnsi="Mosawi" w:cs="Mosawi"/>
          <w:sz w:val="24"/>
          <w:szCs w:val="24"/>
          <w:rtl/>
        </w:rPr>
        <w:t>﴾</w:t>
      </w:r>
      <w:r w:rsidRPr="00904FCB">
        <w:rPr>
          <w:rFonts w:asciiTheme="minorBidi" w:hAnsiTheme="minorBidi" w:hint="cs"/>
          <w:sz w:val="27"/>
          <w:rtl/>
        </w:rPr>
        <w:t xml:space="preserve"> (الأعراف: </w:t>
      </w:r>
      <w:r w:rsidRPr="00DF4775">
        <w:rPr>
          <w:rFonts w:asciiTheme="minorBidi" w:hAnsiTheme="minorBidi" w:hint="cs"/>
          <w:sz w:val="27"/>
          <w:rtl/>
        </w:rPr>
        <w:t>85</w:t>
      </w:r>
      <w:r w:rsidRPr="00904FCB">
        <w:rPr>
          <w:rFonts w:asciiTheme="minorBidi" w:hAnsiTheme="minorBidi" w:hint="cs"/>
          <w:sz w:val="27"/>
          <w:rtl/>
        </w:rPr>
        <w:t>).</w:t>
      </w:r>
      <w:r w:rsidRPr="00904FCB">
        <w:rPr>
          <w:rStyle w:val="ac"/>
          <w:rFonts w:asciiTheme="minorBidi" w:hAnsiTheme="minorBidi" w:hint="cs"/>
          <w:sz w:val="27"/>
          <w:rtl/>
        </w:rPr>
        <w:t xml:space="preserve"> </w:t>
      </w:r>
    </w:p>
    <w:p w:rsidR="00EF655F" w:rsidRPr="00904FCB" w:rsidRDefault="00E771B7" w:rsidP="00826CE1">
      <w:pPr>
        <w:spacing w:line="420" w:lineRule="exact"/>
        <w:rPr>
          <w:rFonts w:asciiTheme="minorBidi" w:hAnsiTheme="minorBidi"/>
          <w:sz w:val="27"/>
          <w:rtl/>
        </w:rPr>
      </w:pPr>
      <w:r w:rsidRPr="00904FCB">
        <w:rPr>
          <w:rFonts w:asciiTheme="minorBidi" w:hAnsiTheme="minorBidi" w:hint="cs"/>
          <w:sz w:val="27"/>
          <w:rtl/>
        </w:rPr>
        <w:t>و</w:t>
      </w:r>
      <w:r w:rsidR="00EF655F" w:rsidRPr="00904FCB">
        <w:rPr>
          <w:rFonts w:asciiTheme="minorBidi" w:hAnsiTheme="minorBidi" w:hint="cs"/>
          <w:sz w:val="27"/>
          <w:rtl/>
        </w:rPr>
        <w:t>بناء</w:t>
      </w:r>
      <w:r w:rsidR="00D32D85" w:rsidRPr="00904FCB">
        <w:rPr>
          <w:rFonts w:asciiTheme="minorBidi" w:hAnsiTheme="minorBidi" w:hint="cs"/>
          <w:sz w:val="27"/>
          <w:rtl/>
        </w:rPr>
        <w:t>ً</w:t>
      </w:r>
      <w:r w:rsidR="00EF655F" w:rsidRPr="00904FCB">
        <w:rPr>
          <w:rFonts w:asciiTheme="minorBidi" w:hAnsiTheme="minorBidi" w:hint="cs"/>
          <w:sz w:val="27"/>
          <w:rtl/>
        </w:rPr>
        <w:t xml:space="preserve"> على ذلك مع وجود حق</w:t>
      </w:r>
      <w:r w:rsidR="00D32D85" w:rsidRPr="00904FCB">
        <w:rPr>
          <w:rFonts w:asciiTheme="minorBidi" w:hAnsiTheme="minorBidi" w:hint="cs"/>
          <w:sz w:val="27"/>
          <w:rtl/>
        </w:rPr>
        <w:t>ّ</w:t>
      </w:r>
      <w:r w:rsidR="00EF655F" w:rsidRPr="00904FCB">
        <w:rPr>
          <w:rFonts w:asciiTheme="minorBidi" w:hAnsiTheme="minorBidi" w:hint="cs"/>
          <w:sz w:val="27"/>
          <w:rtl/>
        </w:rPr>
        <w:t xml:space="preserve"> الإنسان في ال</w:t>
      </w:r>
      <w:r w:rsidR="00D32D85" w:rsidRPr="00904FCB">
        <w:rPr>
          <w:rFonts w:asciiTheme="minorBidi" w:hAnsiTheme="minorBidi" w:hint="cs"/>
          <w:sz w:val="27"/>
          <w:rtl/>
        </w:rPr>
        <w:t>ا</w:t>
      </w:r>
      <w:r w:rsidR="00EF655F" w:rsidRPr="00904FCB">
        <w:rPr>
          <w:rFonts w:asciiTheme="minorBidi" w:hAnsiTheme="minorBidi" w:hint="cs"/>
          <w:sz w:val="27"/>
          <w:rtl/>
        </w:rPr>
        <w:t>ستفادة من المحيط البيئي لا</w:t>
      </w:r>
      <w:r w:rsidR="00D32D85" w:rsidRPr="00904FCB">
        <w:rPr>
          <w:rFonts w:asciiTheme="minorBidi" w:hAnsiTheme="minorBidi" w:hint="cs"/>
          <w:sz w:val="27"/>
          <w:rtl/>
        </w:rPr>
        <w:t xml:space="preserve"> </w:t>
      </w:r>
      <w:r w:rsidR="00EF655F" w:rsidRPr="00904FCB">
        <w:rPr>
          <w:rFonts w:asciiTheme="minorBidi" w:hAnsiTheme="minorBidi" w:hint="cs"/>
          <w:sz w:val="27"/>
          <w:rtl/>
        </w:rPr>
        <w:t>ب</w:t>
      </w:r>
      <w:r w:rsidR="00D32D85" w:rsidRPr="00904FCB">
        <w:rPr>
          <w:rFonts w:asciiTheme="minorBidi" w:hAnsiTheme="minorBidi" w:hint="cs"/>
          <w:sz w:val="27"/>
          <w:rtl/>
        </w:rPr>
        <w:t>ُ</w:t>
      </w:r>
      <w:r w:rsidR="00EF655F" w:rsidRPr="00904FCB">
        <w:rPr>
          <w:rFonts w:asciiTheme="minorBidi" w:hAnsiTheme="minorBidi" w:hint="cs"/>
          <w:sz w:val="27"/>
          <w:rtl/>
        </w:rPr>
        <w:t>د</w:t>
      </w:r>
      <w:r w:rsidR="00D32D85" w:rsidRPr="00904FCB">
        <w:rPr>
          <w:rFonts w:asciiTheme="minorBidi" w:hAnsiTheme="minorBidi" w:hint="cs"/>
          <w:sz w:val="27"/>
          <w:rtl/>
        </w:rPr>
        <w:t>َّ</w:t>
      </w:r>
      <w:r w:rsidR="00EF655F" w:rsidRPr="00904FCB">
        <w:rPr>
          <w:rFonts w:asciiTheme="minorBidi" w:hAnsiTheme="minorBidi" w:hint="cs"/>
          <w:sz w:val="27"/>
          <w:rtl/>
        </w:rPr>
        <w:t xml:space="preserve"> أن يحترم حق</w:t>
      </w:r>
      <w:r w:rsidR="00D32D85" w:rsidRPr="00904FCB">
        <w:rPr>
          <w:rFonts w:asciiTheme="minorBidi" w:hAnsiTheme="minorBidi" w:hint="cs"/>
          <w:sz w:val="27"/>
          <w:rtl/>
        </w:rPr>
        <w:t>َّ</w:t>
      </w:r>
      <w:r w:rsidR="00EF655F" w:rsidRPr="00904FCB">
        <w:rPr>
          <w:rFonts w:asciiTheme="minorBidi" w:hAnsiTheme="minorBidi" w:hint="cs"/>
          <w:sz w:val="27"/>
          <w:rtl/>
        </w:rPr>
        <w:t xml:space="preserve"> الآخرين فيه</w:t>
      </w:r>
      <w:r w:rsidR="00D32D85" w:rsidRPr="00904FCB">
        <w:rPr>
          <w:rFonts w:asciiTheme="minorBidi" w:hAnsiTheme="minorBidi" w:hint="cs"/>
          <w:sz w:val="27"/>
          <w:rtl/>
        </w:rPr>
        <w:t>،</w:t>
      </w:r>
      <w:r w:rsidR="00EF655F" w:rsidRPr="00904FCB">
        <w:rPr>
          <w:rFonts w:asciiTheme="minorBidi" w:hAnsiTheme="minorBidi" w:hint="cs"/>
          <w:sz w:val="27"/>
          <w:rtl/>
        </w:rPr>
        <w:t xml:space="preserve"> حت</w:t>
      </w:r>
      <w:r w:rsidR="00D32D85" w:rsidRPr="00904FCB">
        <w:rPr>
          <w:rFonts w:asciiTheme="minorBidi" w:hAnsiTheme="minorBidi" w:hint="cs"/>
          <w:sz w:val="27"/>
          <w:rtl/>
        </w:rPr>
        <w:t>ّ</w:t>
      </w:r>
      <w:r w:rsidR="00EF655F" w:rsidRPr="00904FCB">
        <w:rPr>
          <w:rFonts w:asciiTheme="minorBidi" w:hAnsiTheme="minorBidi" w:hint="cs"/>
          <w:sz w:val="27"/>
          <w:rtl/>
        </w:rPr>
        <w:t>ى لا</w:t>
      </w:r>
      <w:r w:rsidR="00D32D85" w:rsidRPr="00904FCB">
        <w:rPr>
          <w:rFonts w:asciiTheme="minorBidi" w:hAnsiTheme="minorBidi" w:hint="cs"/>
          <w:sz w:val="27"/>
          <w:rtl/>
        </w:rPr>
        <w:t xml:space="preserve"> </w:t>
      </w:r>
      <w:r w:rsidR="00EF655F" w:rsidRPr="00904FCB">
        <w:rPr>
          <w:rFonts w:asciiTheme="minorBidi" w:hAnsiTheme="minorBidi" w:hint="cs"/>
          <w:sz w:val="27"/>
          <w:rtl/>
        </w:rPr>
        <w:t>يكون قد استعمل حق</w:t>
      </w:r>
      <w:r w:rsidR="00D32D85" w:rsidRPr="00904FCB">
        <w:rPr>
          <w:rFonts w:asciiTheme="minorBidi" w:hAnsiTheme="minorBidi" w:hint="cs"/>
          <w:sz w:val="27"/>
          <w:rtl/>
        </w:rPr>
        <w:t>َّ</w:t>
      </w:r>
      <w:r w:rsidR="00EF655F" w:rsidRPr="00904FCB">
        <w:rPr>
          <w:rFonts w:asciiTheme="minorBidi" w:hAnsiTheme="minorBidi" w:hint="cs"/>
          <w:sz w:val="27"/>
          <w:rtl/>
        </w:rPr>
        <w:t>ه في التعد</w:t>
      </w:r>
      <w:r w:rsidR="00D32D85" w:rsidRPr="00904FCB">
        <w:rPr>
          <w:rFonts w:asciiTheme="minorBidi" w:hAnsiTheme="minorBidi" w:hint="cs"/>
          <w:sz w:val="27"/>
          <w:rtl/>
        </w:rPr>
        <w:t>ّ</w:t>
      </w:r>
      <w:r w:rsidR="00EF655F" w:rsidRPr="00904FCB">
        <w:rPr>
          <w:rFonts w:asciiTheme="minorBidi" w:hAnsiTheme="minorBidi" w:hint="cs"/>
          <w:sz w:val="27"/>
          <w:rtl/>
        </w:rPr>
        <w:t>ي على حقوق الآخرين في البيئة السليمة والمحيط الصحي. وهو ما بي</w:t>
      </w:r>
      <w:r w:rsidR="00D32D85" w:rsidRPr="00904FCB">
        <w:rPr>
          <w:rFonts w:asciiTheme="minorBidi" w:hAnsiTheme="minorBidi" w:hint="cs"/>
          <w:sz w:val="27"/>
          <w:rtl/>
        </w:rPr>
        <w:t>َّ</w:t>
      </w:r>
      <w:r w:rsidR="00EF655F" w:rsidRPr="00904FCB">
        <w:rPr>
          <w:rFonts w:asciiTheme="minorBidi" w:hAnsiTheme="minorBidi" w:hint="cs"/>
          <w:sz w:val="27"/>
          <w:rtl/>
        </w:rPr>
        <w:t xml:space="preserve">نه المرشد الأعلى للجمهورية الايرانية حيث قال: </w:t>
      </w:r>
      <w:r w:rsidR="00D32D85" w:rsidRPr="00904FCB">
        <w:rPr>
          <w:rFonts w:hint="eastAsia"/>
          <w:sz w:val="27"/>
          <w:rtl/>
        </w:rPr>
        <w:t>«</w:t>
      </w:r>
      <w:r w:rsidR="00EF655F" w:rsidRPr="00904FCB">
        <w:rPr>
          <w:rFonts w:asciiTheme="minorBidi" w:hAnsiTheme="minorBidi" w:hint="cs"/>
          <w:sz w:val="27"/>
          <w:rtl/>
        </w:rPr>
        <w:t>إن تخريب وإفساد المحيط البيئي دليل</w:t>
      </w:r>
      <w:r w:rsidR="00D32D85" w:rsidRPr="00904FCB">
        <w:rPr>
          <w:rFonts w:asciiTheme="minorBidi" w:hAnsiTheme="minorBidi" w:hint="cs"/>
          <w:sz w:val="27"/>
          <w:rtl/>
        </w:rPr>
        <w:t>ٌ</w:t>
      </w:r>
      <w:r w:rsidR="00EF655F" w:rsidRPr="00904FCB">
        <w:rPr>
          <w:rFonts w:asciiTheme="minorBidi" w:hAnsiTheme="minorBidi" w:hint="cs"/>
          <w:sz w:val="27"/>
          <w:rtl/>
        </w:rPr>
        <w:t xml:space="preserve"> على عدم المساواة الاجتماعية</w:t>
      </w:r>
      <w:r w:rsidR="00D32D85" w:rsidRPr="00904FCB">
        <w:rPr>
          <w:rFonts w:asciiTheme="minorBidi" w:hAnsiTheme="minorBidi" w:hint="cs"/>
          <w:sz w:val="27"/>
          <w:rtl/>
        </w:rPr>
        <w:t>،</w:t>
      </w:r>
      <w:r w:rsidR="00EF655F" w:rsidRPr="00904FCB">
        <w:rPr>
          <w:rFonts w:asciiTheme="minorBidi" w:hAnsiTheme="minorBidi" w:hint="cs"/>
          <w:sz w:val="27"/>
          <w:rtl/>
        </w:rPr>
        <w:t xml:space="preserve"> والاستعمال الخاطئ للموارد الطبيعية</w:t>
      </w:r>
      <w:r w:rsidR="00D32D85" w:rsidRPr="00904FCB">
        <w:rPr>
          <w:rFonts w:asciiTheme="minorBidi" w:hAnsiTheme="minorBidi" w:hint="cs"/>
          <w:sz w:val="27"/>
          <w:rtl/>
        </w:rPr>
        <w:t>،</w:t>
      </w:r>
      <w:r w:rsidR="00EF655F" w:rsidRPr="00904FCB">
        <w:rPr>
          <w:rFonts w:asciiTheme="minorBidi" w:hAnsiTheme="minorBidi" w:hint="cs"/>
          <w:sz w:val="27"/>
          <w:rtl/>
        </w:rPr>
        <w:t xml:space="preserve"> و</w:t>
      </w:r>
      <w:r w:rsidR="00D32D85" w:rsidRPr="00904FCB">
        <w:rPr>
          <w:rFonts w:asciiTheme="minorBidi" w:hAnsiTheme="minorBidi" w:hint="cs"/>
          <w:sz w:val="27"/>
          <w:rtl/>
        </w:rPr>
        <w:t>أ</w:t>
      </w:r>
      <w:r w:rsidR="00EF655F" w:rsidRPr="00904FCB">
        <w:rPr>
          <w:rFonts w:asciiTheme="minorBidi" w:hAnsiTheme="minorBidi" w:hint="cs"/>
          <w:sz w:val="27"/>
          <w:rtl/>
        </w:rPr>
        <w:t xml:space="preserve">حد عوامل سحق وتضييع حقوق الناس... </w:t>
      </w:r>
    </w:p>
    <w:p w:rsidR="00EF655F" w:rsidRPr="00904FCB" w:rsidRDefault="00EF655F" w:rsidP="00BC02C4">
      <w:pPr>
        <w:spacing w:line="420" w:lineRule="exact"/>
        <w:rPr>
          <w:rFonts w:asciiTheme="minorBidi" w:hAnsiTheme="minorBidi"/>
          <w:sz w:val="27"/>
          <w:rtl/>
        </w:rPr>
      </w:pPr>
      <w:r w:rsidRPr="00904FCB">
        <w:rPr>
          <w:rFonts w:asciiTheme="minorBidi" w:hAnsiTheme="minorBidi" w:hint="cs"/>
          <w:sz w:val="27"/>
          <w:rtl/>
        </w:rPr>
        <w:t>إن نظرة ال</w:t>
      </w:r>
      <w:r w:rsidR="00BC02C4">
        <w:rPr>
          <w:rFonts w:asciiTheme="minorBidi" w:hAnsiTheme="minorBidi" w:hint="cs"/>
          <w:sz w:val="27"/>
          <w:rtl/>
        </w:rPr>
        <w:t>إ</w:t>
      </w:r>
      <w:r w:rsidRPr="00904FCB">
        <w:rPr>
          <w:rFonts w:asciiTheme="minorBidi" w:hAnsiTheme="minorBidi" w:hint="cs"/>
          <w:sz w:val="27"/>
          <w:rtl/>
        </w:rPr>
        <w:t>سلام للطبيعة وللبيئة</w:t>
      </w:r>
      <w:r w:rsidR="00D32D85" w:rsidRPr="00904FCB">
        <w:rPr>
          <w:rFonts w:asciiTheme="minorBidi" w:hAnsiTheme="minorBidi" w:hint="cs"/>
          <w:sz w:val="27"/>
          <w:rtl/>
        </w:rPr>
        <w:t>،</w:t>
      </w:r>
      <w:r w:rsidRPr="00904FCB">
        <w:rPr>
          <w:rFonts w:asciiTheme="minorBidi" w:hAnsiTheme="minorBidi" w:hint="cs"/>
          <w:sz w:val="27"/>
          <w:rtl/>
        </w:rPr>
        <w:t xml:space="preserve"> سواء الحية منها أو الجامدة</w:t>
      </w:r>
      <w:r w:rsidR="00D32D85" w:rsidRPr="00904FCB">
        <w:rPr>
          <w:rFonts w:asciiTheme="minorBidi" w:hAnsiTheme="minorBidi" w:hint="cs"/>
          <w:sz w:val="27"/>
          <w:rtl/>
        </w:rPr>
        <w:t>،</w:t>
      </w:r>
      <w:r w:rsidRPr="00904FCB">
        <w:rPr>
          <w:rFonts w:asciiTheme="minorBidi" w:hAnsiTheme="minorBidi" w:hint="cs"/>
          <w:sz w:val="27"/>
          <w:rtl/>
        </w:rPr>
        <w:t xml:space="preserve"> نظرة كلها عطف ورحمة وأخلاق معنوية هادية</w:t>
      </w:r>
      <w:r w:rsidR="00D32D85" w:rsidRPr="00904FCB">
        <w:rPr>
          <w:rFonts w:asciiTheme="minorBidi" w:hAnsiTheme="minorBidi" w:hint="cs"/>
          <w:sz w:val="27"/>
          <w:rtl/>
        </w:rPr>
        <w:t>.</w:t>
      </w:r>
      <w:r w:rsidRPr="00904FCB">
        <w:rPr>
          <w:rFonts w:asciiTheme="minorBidi" w:hAnsiTheme="minorBidi" w:hint="cs"/>
          <w:sz w:val="27"/>
          <w:rtl/>
        </w:rPr>
        <w:t xml:space="preserve"> وإن التعامل مع موارد الطبيعة وعطاءاتها يقوم على أساس مبادئ متينة، عادلة، حكيمة متزنة وثابتة. إن هدف ال</w:t>
      </w:r>
      <w:r w:rsidR="00BC02C4">
        <w:rPr>
          <w:rFonts w:asciiTheme="minorBidi" w:hAnsiTheme="minorBidi" w:hint="cs"/>
          <w:sz w:val="27"/>
          <w:rtl/>
        </w:rPr>
        <w:t>إ</w:t>
      </w:r>
      <w:r w:rsidRPr="00904FCB">
        <w:rPr>
          <w:rFonts w:asciiTheme="minorBidi" w:hAnsiTheme="minorBidi" w:hint="cs"/>
          <w:sz w:val="27"/>
          <w:rtl/>
        </w:rPr>
        <w:t>سلام السامي أن تستفيد كل</w:t>
      </w:r>
      <w:r w:rsidR="00D32D85" w:rsidRPr="00904FCB">
        <w:rPr>
          <w:rFonts w:asciiTheme="minorBidi" w:hAnsiTheme="minorBidi" w:hint="cs"/>
          <w:sz w:val="27"/>
          <w:rtl/>
        </w:rPr>
        <w:t>ّ</w:t>
      </w:r>
      <w:r w:rsidRPr="00904FCB">
        <w:rPr>
          <w:rFonts w:asciiTheme="minorBidi" w:hAnsiTheme="minorBidi" w:hint="cs"/>
          <w:sz w:val="27"/>
          <w:rtl/>
        </w:rPr>
        <w:t xml:space="preserve"> ال</w:t>
      </w:r>
      <w:r w:rsidR="00D32D85" w:rsidRPr="00904FCB">
        <w:rPr>
          <w:rFonts w:asciiTheme="minorBidi" w:hAnsiTheme="minorBidi" w:hint="cs"/>
          <w:sz w:val="27"/>
          <w:rtl/>
        </w:rPr>
        <w:t>أ</w:t>
      </w:r>
      <w:r w:rsidRPr="00904FCB">
        <w:rPr>
          <w:rFonts w:asciiTheme="minorBidi" w:hAnsiTheme="minorBidi" w:hint="cs"/>
          <w:sz w:val="27"/>
          <w:rtl/>
        </w:rPr>
        <w:t xml:space="preserve">جيال </w:t>
      </w:r>
      <w:r w:rsidR="00D32D85" w:rsidRPr="00904FCB">
        <w:rPr>
          <w:rFonts w:asciiTheme="minorBidi" w:hAnsiTheme="minorBidi" w:hint="cs"/>
          <w:sz w:val="27"/>
          <w:rtl/>
        </w:rPr>
        <w:t xml:space="preserve">من </w:t>
      </w:r>
      <w:r w:rsidRPr="00904FCB">
        <w:rPr>
          <w:rFonts w:asciiTheme="minorBidi" w:hAnsiTheme="minorBidi" w:hint="cs"/>
          <w:sz w:val="27"/>
          <w:rtl/>
        </w:rPr>
        <w:t>الن</w:t>
      </w:r>
      <w:r w:rsidR="00D32D85" w:rsidRPr="00904FCB">
        <w:rPr>
          <w:rFonts w:asciiTheme="minorBidi" w:hAnsiTheme="minorBidi" w:hint="cs"/>
          <w:sz w:val="27"/>
          <w:rtl/>
        </w:rPr>
        <w:t>ِّ</w:t>
      </w:r>
      <w:r w:rsidRPr="00904FCB">
        <w:rPr>
          <w:rFonts w:asciiTheme="minorBidi" w:hAnsiTheme="minorBidi" w:hint="cs"/>
          <w:sz w:val="27"/>
          <w:rtl/>
        </w:rPr>
        <w:t>عم الإلهية</w:t>
      </w:r>
      <w:r w:rsidR="00D32D85" w:rsidRPr="00904FCB">
        <w:rPr>
          <w:rFonts w:asciiTheme="minorBidi" w:hAnsiTheme="minorBidi" w:hint="cs"/>
          <w:sz w:val="27"/>
          <w:rtl/>
        </w:rPr>
        <w:t>،</w:t>
      </w:r>
      <w:r w:rsidRPr="00904FCB">
        <w:rPr>
          <w:rFonts w:asciiTheme="minorBidi" w:hAnsiTheme="minorBidi" w:hint="cs"/>
          <w:sz w:val="27"/>
          <w:rtl/>
        </w:rPr>
        <w:t xml:space="preserve"> وأن تكون المجتمعات سالمة</w:t>
      </w:r>
      <w:r w:rsidR="00D32D85" w:rsidRPr="00904FCB">
        <w:rPr>
          <w:rFonts w:asciiTheme="minorBidi" w:hAnsiTheme="minorBidi" w:hint="cs"/>
          <w:sz w:val="27"/>
          <w:rtl/>
        </w:rPr>
        <w:t>ً،</w:t>
      </w:r>
      <w:r w:rsidRPr="00904FCB">
        <w:rPr>
          <w:rFonts w:asciiTheme="minorBidi" w:hAnsiTheme="minorBidi" w:hint="cs"/>
          <w:sz w:val="27"/>
          <w:rtl/>
        </w:rPr>
        <w:t xml:space="preserve"> من دون أي</w:t>
      </w:r>
      <w:r w:rsidR="00D32D85" w:rsidRPr="00904FCB">
        <w:rPr>
          <w:rFonts w:asciiTheme="minorBidi" w:hAnsiTheme="minorBidi" w:hint="cs"/>
          <w:sz w:val="27"/>
          <w:rtl/>
        </w:rPr>
        <w:t>ّ</w:t>
      </w:r>
      <w:r w:rsidRPr="00904FCB">
        <w:rPr>
          <w:rFonts w:asciiTheme="minorBidi" w:hAnsiTheme="minorBidi" w:hint="cs"/>
          <w:sz w:val="27"/>
          <w:rtl/>
        </w:rPr>
        <w:t xml:space="preserve"> فجوات أو فواصل، تملك كل</w:t>
      </w:r>
      <w:r w:rsidR="00D32D85" w:rsidRPr="00904FCB">
        <w:rPr>
          <w:rFonts w:asciiTheme="minorBidi" w:hAnsiTheme="minorBidi" w:hint="cs"/>
          <w:sz w:val="27"/>
          <w:rtl/>
        </w:rPr>
        <w:t>ّ</w:t>
      </w:r>
      <w:r w:rsidRPr="00904FCB">
        <w:rPr>
          <w:rFonts w:asciiTheme="minorBidi" w:hAnsiTheme="minorBidi" w:hint="cs"/>
          <w:sz w:val="27"/>
          <w:rtl/>
        </w:rPr>
        <w:t xml:space="preserve"> مقو</w:t>
      </w:r>
      <w:r w:rsidR="00D32D85" w:rsidRPr="00904FCB">
        <w:rPr>
          <w:rFonts w:asciiTheme="minorBidi" w:hAnsiTheme="minorBidi" w:hint="cs"/>
          <w:sz w:val="27"/>
          <w:rtl/>
        </w:rPr>
        <w:t>ّ</w:t>
      </w:r>
      <w:r w:rsidRPr="00904FCB">
        <w:rPr>
          <w:rFonts w:asciiTheme="minorBidi" w:hAnsiTheme="minorBidi" w:hint="cs"/>
          <w:sz w:val="27"/>
          <w:rtl/>
        </w:rPr>
        <w:t>مات الرشد والتنمية</w:t>
      </w:r>
      <w:r w:rsidR="00D32D85" w:rsidRPr="00904FCB">
        <w:rPr>
          <w:rFonts w:asciiTheme="minorBidi" w:hAnsiTheme="minorBidi" w:hint="cs"/>
          <w:sz w:val="27"/>
          <w:rtl/>
        </w:rPr>
        <w:t>.</w:t>
      </w:r>
      <w:r w:rsidRPr="00904FCB">
        <w:rPr>
          <w:rFonts w:asciiTheme="minorBidi" w:hAnsiTheme="minorBidi" w:hint="cs"/>
          <w:sz w:val="27"/>
          <w:rtl/>
        </w:rPr>
        <w:t xml:space="preserve"> و</w:t>
      </w:r>
      <w:r w:rsidR="00D32D85" w:rsidRPr="00904FCB">
        <w:rPr>
          <w:rFonts w:asciiTheme="minorBidi" w:hAnsiTheme="minorBidi" w:hint="cs"/>
          <w:sz w:val="27"/>
          <w:rtl/>
        </w:rPr>
        <w:t xml:space="preserve">قد </w:t>
      </w:r>
      <w:r w:rsidRPr="00904FCB">
        <w:rPr>
          <w:rFonts w:asciiTheme="minorBidi" w:hAnsiTheme="minorBidi" w:hint="cs"/>
          <w:sz w:val="27"/>
          <w:rtl/>
        </w:rPr>
        <w:t>سن</w:t>
      </w:r>
      <w:r w:rsidR="00D32D85" w:rsidRPr="00904FCB">
        <w:rPr>
          <w:rFonts w:asciiTheme="minorBidi" w:hAnsiTheme="minorBidi" w:hint="cs"/>
          <w:sz w:val="27"/>
          <w:rtl/>
        </w:rPr>
        <w:t>ّ</w:t>
      </w:r>
      <w:r w:rsidRPr="00904FCB">
        <w:rPr>
          <w:rFonts w:asciiTheme="minorBidi" w:hAnsiTheme="minorBidi" w:hint="cs"/>
          <w:sz w:val="27"/>
          <w:rtl/>
        </w:rPr>
        <w:t xml:space="preserve"> مجموعة التشريعات لحفظ التعادل والتوازن في الاستفادة من مواهب الطبيعة</w:t>
      </w:r>
      <w:r w:rsidR="00D32D85" w:rsidRPr="00904FCB">
        <w:rPr>
          <w:rFonts w:asciiTheme="minorBidi" w:hAnsiTheme="minorBidi" w:hint="cs"/>
          <w:sz w:val="27"/>
          <w:rtl/>
        </w:rPr>
        <w:t>،</w:t>
      </w:r>
      <w:r w:rsidRPr="00904FCB">
        <w:rPr>
          <w:rFonts w:asciiTheme="minorBidi" w:hAnsiTheme="minorBidi" w:hint="cs"/>
          <w:sz w:val="27"/>
          <w:rtl/>
        </w:rPr>
        <w:t xml:space="preserve"> بدون إفراط</w:t>
      </w:r>
      <w:r w:rsidR="00D32D85" w:rsidRPr="00904FCB">
        <w:rPr>
          <w:rFonts w:asciiTheme="minorBidi" w:hAnsiTheme="minorBidi" w:hint="cs"/>
          <w:sz w:val="27"/>
          <w:rtl/>
        </w:rPr>
        <w:t>ٍ،</w:t>
      </w:r>
      <w:r w:rsidRPr="00904FCB">
        <w:rPr>
          <w:rFonts w:asciiTheme="minorBidi" w:hAnsiTheme="minorBidi" w:hint="cs"/>
          <w:sz w:val="27"/>
          <w:rtl/>
        </w:rPr>
        <w:t xml:space="preserve"> والتقيد بعدم إلحاق الضرر بالغير</w:t>
      </w:r>
      <w:r w:rsidRPr="00904FCB">
        <w:rPr>
          <w:rFonts w:hint="eastAsia"/>
          <w:sz w:val="27"/>
          <w:rtl/>
        </w:rPr>
        <w:t>»</w:t>
      </w:r>
      <w:r w:rsidRPr="00904FCB">
        <w:rPr>
          <w:rFonts w:asciiTheme="minorBidi" w:hAnsiTheme="minorBidi"/>
          <w:sz w:val="27"/>
          <w:vertAlign w:val="superscript"/>
          <w:rtl/>
        </w:rPr>
        <w:t>(</w:t>
      </w:r>
      <w:r w:rsidRPr="00904FCB">
        <w:rPr>
          <w:rStyle w:val="ac"/>
          <w:rFonts w:asciiTheme="minorBidi" w:hAnsiTheme="minorBidi"/>
          <w:sz w:val="27"/>
          <w:rtl/>
        </w:rPr>
        <w:endnoteReference w:id="579"/>
      </w:r>
      <w:r w:rsidRPr="00904FCB">
        <w:rPr>
          <w:rFonts w:asciiTheme="minorBidi" w:hAnsiTheme="minorBidi"/>
          <w:sz w:val="27"/>
          <w:vertAlign w:val="superscript"/>
          <w:rtl/>
        </w:rPr>
        <w:t>)</w:t>
      </w:r>
      <w:r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p>
    <w:p w:rsidR="00EF655F" w:rsidRPr="00904FCB" w:rsidRDefault="00EF655F" w:rsidP="007A21AA">
      <w:pPr>
        <w:pStyle w:val="31"/>
        <w:spacing w:line="400" w:lineRule="exact"/>
        <w:rPr>
          <w:color w:val="auto"/>
          <w:rtl/>
        </w:rPr>
      </w:pPr>
      <w:r w:rsidRPr="00DF4775">
        <w:rPr>
          <w:rFonts w:hint="cs"/>
          <w:color w:val="auto"/>
          <w:rtl/>
        </w:rPr>
        <w:t>2ـ</w:t>
      </w:r>
      <w:r w:rsidRPr="00904FCB">
        <w:rPr>
          <w:rFonts w:hint="cs"/>
          <w:color w:val="auto"/>
          <w:rtl/>
        </w:rPr>
        <w:t xml:space="preserve"> الأحكام الخاصة </w:t>
      </w:r>
    </w:p>
    <w:p w:rsidR="00EF655F" w:rsidRPr="00904FCB" w:rsidRDefault="00EF655F" w:rsidP="00BC02C4">
      <w:pPr>
        <w:spacing w:line="420" w:lineRule="exact"/>
        <w:ind w:firstLine="561"/>
        <w:rPr>
          <w:rFonts w:asciiTheme="minorBidi" w:hAnsiTheme="minorBidi"/>
          <w:sz w:val="27"/>
          <w:rtl/>
        </w:rPr>
      </w:pPr>
      <w:r w:rsidRPr="00904FCB">
        <w:rPr>
          <w:rFonts w:asciiTheme="minorBidi" w:hAnsiTheme="minorBidi" w:hint="cs"/>
          <w:sz w:val="27"/>
          <w:rtl/>
        </w:rPr>
        <w:t>هناك مساحة</w:t>
      </w:r>
      <w:r w:rsidR="00D32D85" w:rsidRPr="00904FCB">
        <w:rPr>
          <w:rFonts w:asciiTheme="minorBidi" w:hAnsiTheme="minorBidi" w:hint="cs"/>
          <w:sz w:val="27"/>
          <w:rtl/>
        </w:rPr>
        <w:t>ٌ</w:t>
      </w:r>
      <w:r w:rsidRPr="00904FCB">
        <w:rPr>
          <w:rFonts w:asciiTheme="minorBidi" w:hAnsiTheme="minorBidi" w:hint="cs"/>
          <w:sz w:val="27"/>
          <w:rtl/>
        </w:rPr>
        <w:t xml:space="preserve"> واسعة من الأحكام الخاص</w:t>
      </w:r>
      <w:r w:rsidR="00D32D85" w:rsidRPr="00904FCB">
        <w:rPr>
          <w:rFonts w:asciiTheme="minorBidi" w:hAnsiTheme="minorBidi" w:hint="cs"/>
          <w:sz w:val="27"/>
          <w:rtl/>
        </w:rPr>
        <w:t>ّ</w:t>
      </w:r>
      <w:r w:rsidRPr="00904FCB">
        <w:rPr>
          <w:rFonts w:asciiTheme="minorBidi" w:hAnsiTheme="minorBidi" w:hint="cs"/>
          <w:sz w:val="27"/>
          <w:rtl/>
        </w:rPr>
        <w:t>ة بين عبارات الآيات والروايات يمكننا الاستفادة منها في</w:t>
      </w:r>
      <w:r w:rsidR="00443AEA" w:rsidRPr="00904FCB">
        <w:rPr>
          <w:rFonts w:asciiTheme="minorBidi" w:hAnsiTheme="minorBidi" w:hint="cs"/>
          <w:sz w:val="27"/>
          <w:rtl/>
        </w:rPr>
        <w:t xml:space="preserve"> </w:t>
      </w:r>
      <w:r w:rsidRPr="00904FCB">
        <w:rPr>
          <w:rFonts w:asciiTheme="minorBidi" w:hAnsiTheme="minorBidi" w:hint="cs"/>
          <w:sz w:val="27"/>
          <w:rtl/>
        </w:rPr>
        <w:t>ما يخص</w:t>
      </w:r>
      <w:r w:rsidR="00443AEA" w:rsidRPr="00904FCB">
        <w:rPr>
          <w:rFonts w:asciiTheme="minorBidi" w:hAnsiTheme="minorBidi" w:hint="cs"/>
          <w:sz w:val="27"/>
          <w:rtl/>
        </w:rPr>
        <w:t>ّ</w:t>
      </w:r>
      <w:r w:rsidRPr="00904FCB">
        <w:rPr>
          <w:rFonts w:asciiTheme="minorBidi" w:hAnsiTheme="minorBidi" w:hint="cs"/>
          <w:sz w:val="27"/>
          <w:rtl/>
        </w:rPr>
        <w:t xml:space="preserve"> الماء والهواء والطبيعة</w:t>
      </w:r>
      <w:r w:rsidR="00443AEA" w:rsidRPr="00904FCB">
        <w:rPr>
          <w:rFonts w:asciiTheme="minorBidi" w:hAnsiTheme="minorBidi" w:hint="cs"/>
          <w:sz w:val="27"/>
          <w:rtl/>
        </w:rPr>
        <w:t>،</w:t>
      </w:r>
      <w:r w:rsidRPr="00904FCB">
        <w:rPr>
          <w:rFonts w:asciiTheme="minorBidi" w:hAnsiTheme="minorBidi" w:hint="cs"/>
          <w:sz w:val="27"/>
          <w:rtl/>
        </w:rPr>
        <w:t xml:space="preserve"> وتنمية الثروة الحيوانية والنباتية</w:t>
      </w:r>
      <w:r w:rsidR="00443AEA" w:rsidRPr="00904FCB">
        <w:rPr>
          <w:rFonts w:asciiTheme="minorBidi" w:hAnsiTheme="minorBidi" w:hint="cs"/>
          <w:sz w:val="27"/>
          <w:rtl/>
        </w:rPr>
        <w:t>،</w:t>
      </w:r>
      <w:r w:rsidRPr="00904FCB">
        <w:rPr>
          <w:rFonts w:asciiTheme="minorBidi" w:hAnsiTheme="minorBidi" w:hint="cs"/>
          <w:sz w:val="27"/>
          <w:rtl/>
        </w:rPr>
        <w:t xml:space="preserve"> واستمرارها للأجيال المتعاقبة</w:t>
      </w:r>
      <w:r w:rsidR="00443AEA" w:rsidRPr="00904FCB">
        <w:rPr>
          <w:rFonts w:asciiTheme="minorBidi" w:hAnsiTheme="minorBidi" w:hint="cs"/>
          <w:sz w:val="27"/>
          <w:rtl/>
        </w:rPr>
        <w:t>.</w:t>
      </w:r>
      <w:r w:rsidRPr="00904FCB">
        <w:rPr>
          <w:rFonts w:asciiTheme="minorBidi" w:hAnsiTheme="minorBidi" w:hint="cs"/>
          <w:sz w:val="27"/>
          <w:rtl/>
        </w:rPr>
        <w:t xml:space="preserve"> </w:t>
      </w:r>
      <w:r w:rsidR="00443AEA" w:rsidRPr="00904FCB">
        <w:rPr>
          <w:rFonts w:asciiTheme="minorBidi" w:hAnsiTheme="minorBidi" w:hint="cs"/>
          <w:sz w:val="27"/>
          <w:rtl/>
        </w:rPr>
        <w:t>و</w:t>
      </w:r>
      <w:r w:rsidRPr="00904FCB">
        <w:rPr>
          <w:rFonts w:asciiTheme="minorBidi" w:hAnsiTheme="minorBidi" w:hint="cs"/>
          <w:sz w:val="27"/>
          <w:rtl/>
        </w:rPr>
        <w:t xml:space="preserve">نذكر منها: </w:t>
      </w:r>
    </w:p>
    <w:p w:rsidR="00EF655F" w:rsidRPr="00904FCB" w:rsidRDefault="00EF655F" w:rsidP="007A21AA">
      <w:pPr>
        <w:spacing w:line="400" w:lineRule="exact"/>
        <w:rPr>
          <w:rFonts w:asciiTheme="minorBidi" w:hAnsiTheme="minorBidi"/>
          <w:sz w:val="27"/>
          <w:rtl/>
        </w:rPr>
      </w:pPr>
    </w:p>
    <w:p w:rsidR="00EF655F" w:rsidRPr="00904FCB" w:rsidRDefault="00443AEA" w:rsidP="007A21AA">
      <w:pPr>
        <w:pStyle w:val="31"/>
        <w:spacing w:line="400" w:lineRule="exact"/>
        <w:rPr>
          <w:color w:val="auto"/>
        </w:rPr>
      </w:pPr>
      <w:r w:rsidRPr="00904FCB">
        <w:rPr>
          <w:rFonts w:hint="cs"/>
          <w:color w:val="auto"/>
          <w:rtl/>
        </w:rPr>
        <w:t>أ</w:t>
      </w:r>
      <w:r w:rsidR="00EF655F" w:rsidRPr="00904FCB">
        <w:rPr>
          <w:rFonts w:hint="cs"/>
          <w:color w:val="auto"/>
          <w:rtl/>
        </w:rPr>
        <w:t xml:space="preserve">ـ تلويث المحيط البيئي </w:t>
      </w:r>
    </w:p>
    <w:p w:rsidR="00EF655F" w:rsidRPr="00904FCB" w:rsidRDefault="00443AEA" w:rsidP="007A21AA">
      <w:pPr>
        <w:spacing w:line="400" w:lineRule="exact"/>
        <w:rPr>
          <w:rFonts w:asciiTheme="minorBidi" w:hAnsiTheme="minorBidi"/>
          <w:sz w:val="27"/>
          <w:rtl/>
        </w:rPr>
      </w:pPr>
      <w:r w:rsidRPr="00904FCB">
        <w:rPr>
          <w:rFonts w:asciiTheme="minorBidi" w:hAnsiTheme="minorBidi" w:hint="cs"/>
          <w:sz w:val="27"/>
          <w:rtl/>
        </w:rPr>
        <w:t xml:space="preserve">يكلِّف </w:t>
      </w:r>
      <w:r w:rsidR="00EF655F" w:rsidRPr="00904FCB">
        <w:rPr>
          <w:rFonts w:asciiTheme="minorBidi" w:hAnsiTheme="minorBidi" w:hint="cs"/>
          <w:sz w:val="27"/>
          <w:rtl/>
        </w:rPr>
        <w:t>الإسلام المجتمع مسؤولية حفظ المحيط والبيئة</w:t>
      </w:r>
      <w:r w:rsidRPr="00904FCB">
        <w:rPr>
          <w:rFonts w:asciiTheme="minorBidi" w:hAnsiTheme="minorBidi" w:hint="cs"/>
          <w:sz w:val="27"/>
          <w:rtl/>
        </w:rPr>
        <w:t>.</w:t>
      </w:r>
      <w:r w:rsidR="00EF655F" w:rsidRPr="00904FCB">
        <w:rPr>
          <w:rFonts w:asciiTheme="minorBidi" w:hAnsiTheme="minorBidi" w:hint="cs"/>
          <w:sz w:val="27"/>
          <w:rtl/>
        </w:rPr>
        <w:t xml:space="preserve"> نستشف</w:t>
      </w:r>
      <w:r w:rsidRPr="00904FCB">
        <w:rPr>
          <w:rFonts w:asciiTheme="minorBidi" w:hAnsiTheme="minorBidi" w:hint="cs"/>
          <w:sz w:val="27"/>
          <w:rtl/>
        </w:rPr>
        <w:t>ّ</w:t>
      </w:r>
      <w:r w:rsidR="00EF655F" w:rsidRPr="00904FCB">
        <w:rPr>
          <w:rFonts w:asciiTheme="minorBidi" w:hAnsiTheme="minorBidi" w:hint="cs"/>
          <w:sz w:val="27"/>
          <w:rtl/>
        </w:rPr>
        <w:t xml:space="preserve"> هذا من قول </w:t>
      </w:r>
      <w:r w:rsidR="00EF655F" w:rsidRPr="00904FCB">
        <w:rPr>
          <w:rFonts w:asciiTheme="minorBidi" w:hAnsiTheme="minorBidi" w:hint="cs"/>
          <w:sz w:val="27"/>
          <w:rtl/>
        </w:rPr>
        <w:lastRenderedPageBreak/>
        <w:t>الإمام علي</w:t>
      </w:r>
      <w:r w:rsidRPr="00904FCB">
        <w:rPr>
          <w:rFonts w:asciiTheme="minorBidi" w:hAnsiTheme="minorBidi" w:hint="cs"/>
          <w:sz w:val="27"/>
          <w:rtl/>
        </w:rPr>
        <w:t>ّ</w:t>
      </w:r>
      <w:r w:rsidR="001C1A2A" w:rsidRPr="00904FCB">
        <w:rPr>
          <w:rFonts w:asciiTheme="minorBidi" w:hAnsiTheme="minorBidi" w:cs="Mosawi" w:hint="cs"/>
          <w:sz w:val="27"/>
          <w:szCs w:val="22"/>
          <w:rtl/>
        </w:rPr>
        <w:t>×</w:t>
      </w:r>
      <w:r w:rsidR="00EF655F" w:rsidRPr="00904FCB">
        <w:rPr>
          <w:rFonts w:asciiTheme="minorBidi" w:hAnsiTheme="minorBidi" w:hint="cs"/>
          <w:sz w:val="27"/>
          <w:rtl/>
        </w:rPr>
        <w:t xml:space="preserve">: </w:t>
      </w:r>
      <w:r w:rsidR="00EF655F" w:rsidRPr="00904FCB">
        <w:rPr>
          <w:rFonts w:hint="eastAsia"/>
          <w:sz w:val="27"/>
          <w:rtl/>
        </w:rPr>
        <w:t>«</w:t>
      </w:r>
      <w:r w:rsidR="00EF655F" w:rsidRPr="00904FCB">
        <w:rPr>
          <w:rFonts w:asciiTheme="minorBidi" w:hAnsiTheme="minorBidi" w:hint="cs"/>
          <w:sz w:val="27"/>
          <w:rtl/>
        </w:rPr>
        <w:t>ات</w:t>
      </w:r>
      <w:r w:rsidRPr="00904FCB">
        <w:rPr>
          <w:rFonts w:asciiTheme="minorBidi" w:hAnsiTheme="minorBidi" w:hint="cs"/>
          <w:sz w:val="27"/>
          <w:rtl/>
        </w:rPr>
        <w:t>َّ</w:t>
      </w:r>
      <w:r w:rsidR="00EF655F" w:rsidRPr="00904FCB">
        <w:rPr>
          <w:rFonts w:asciiTheme="minorBidi" w:hAnsiTheme="minorBidi" w:hint="cs"/>
          <w:sz w:val="27"/>
          <w:rtl/>
        </w:rPr>
        <w:t>قوا الله في عباده وبلاده</w:t>
      </w:r>
      <w:r w:rsidRPr="00904FCB">
        <w:rPr>
          <w:rFonts w:asciiTheme="minorBidi" w:hAnsiTheme="minorBidi" w:hint="cs"/>
          <w:sz w:val="27"/>
          <w:rtl/>
        </w:rPr>
        <w:t>؛</w:t>
      </w:r>
      <w:r w:rsidR="00EF655F" w:rsidRPr="00904FCB">
        <w:rPr>
          <w:rFonts w:asciiTheme="minorBidi" w:hAnsiTheme="minorBidi" w:hint="cs"/>
          <w:sz w:val="27"/>
          <w:rtl/>
        </w:rPr>
        <w:t xml:space="preserve"> فإنكم مسؤولون حت</w:t>
      </w:r>
      <w:r w:rsidRPr="00904FCB">
        <w:rPr>
          <w:rFonts w:asciiTheme="minorBidi" w:hAnsiTheme="minorBidi" w:hint="cs"/>
          <w:sz w:val="27"/>
          <w:rtl/>
        </w:rPr>
        <w:t>ّ</w:t>
      </w:r>
      <w:r w:rsidR="00EF655F" w:rsidRPr="00904FCB">
        <w:rPr>
          <w:rFonts w:asciiTheme="minorBidi" w:hAnsiTheme="minorBidi" w:hint="cs"/>
          <w:sz w:val="27"/>
          <w:rtl/>
        </w:rPr>
        <w:t>ى عن البقاع والبهائم</w:t>
      </w:r>
      <w:r w:rsidR="00EF655F" w:rsidRPr="00904FCB">
        <w:rPr>
          <w:rFonts w:hint="eastAsia"/>
          <w:sz w:val="27"/>
          <w:rtl/>
        </w:rPr>
        <w:t>»</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80"/>
      </w:r>
      <w:r w:rsidR="00EF655F" w:rsidRPr="00904FCB">
        <w:rPr>
          <w:rFonts w:asciiTheme="minorBidi" w:hAnsiTheme="minorBidi"/>
          <w:sz w:val="27"/>
          <w:vertAlign w:val="superscript"/>
          <w:rtl/>
        </w:rPr>
        <w:t>)</w:t>
      </w:r>
      <w:r w:rsidR="00EF655F"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بل إن</w:t>
      </w:r>
      <w:r w:rsidR="00443AEA" w:rsidRPr="00904FCB">
        <w:rPr>
          <w:rFonts w:asciiTheme="minorBidi" w:hAnsiTheme="minorBidi" w:hint="cs"/>
          <w:sz w:val="27"/>
          <w:rtl/>
        </w:rPr>
        <w:t>ّ</w:t>
      </w:r>
      <w:r w:rsidRPr="00904FCB">
        <w:rPr>
          <w:rFonts w:asciiTheme="minorBidi" w:hAnsiTheme="minorBidi" w:hint="cs"/>
          <w:sz w:val="27"/>
          <w:rtl/>
        </w:rPr>
        <w:t xml:space="preserve"> رسول الله</w:t>
      </w:r>
      <w:r w:rsidR="00635E51" w:rsidRPr="00904FCB">
        <w:rPr>
          <w:rFonts w:asciiTheme="minorBidi" w:hAnsiTheme="minorBidi" w:cs="Mosawi" w:hint="cs"/>
          <w:sz w:val="27"/>
          <w:szCs w:val="22"/>
          <w:rtl/>
        </w:rPr>
        <w:t>|</w:t>
      </w:r>
      <w:r w:rsidRPr="00904FCB">
        <w:rPr>
          <w:rFonts w:asciiTheme="minorBidi" w:hAnsiTheme="minorBidi" w:hint="cs"/>
          <w:sz w:val="27"/>
          <w:rtl/>
        </w:rPr>
        <w:t xml:space="preserve"> نهى عن تلويث كل</w:t>
      </w:r>
      <w:r w:rsidR="00443AEA" w:rsidRPr="00904FCB">
        <w:rPr>
          <w:rFonts w:asciiTheme="minorBidi" w:hAnsiTheme="minorBidi" w:hint="cs"/>
          <w:sz w:val="27"/>
          <w:rtl/>
        </w:rPr>
        <w:t>ّ</w:t>
      </w:r>
      <w:r w:rsidRPr="00904FCB">
        <w:rPr>
          <w:rFonts w:asciiTheme="minorBidi" w:hAnsiTheme="minorBidi" w:hint="cs"/>
          <w:sz w:val="27"/>
          <w:rtl/>
        </w:rPr>
        <w:t xml:space="preserve"> البيئة</w:t>
      </w:r>
      <w:r w:rsidR="00443AEA" w:rsidRPr="00904FCB">
        <w:rPr>
          <w:rFonts w:asciiTheme="minorBidi" w:hAnsiTheme="minorBidi" w:hint="cs"/>
          <w:sz w:val="27"/>
          <w:rtl/>
        </w:rPr>
        <w:t>،</w:t>
      </w:r>
      <w:r w:rsidRPr="00904FCB">
        <w:rPr>
          <w:rFonts w:asciiTheme="minorBidi" w:hAnsiTheme="minorBidi" w:hint="cs"/>
          <w:sz w:val="27"/>
          <w:rtl/>
        </w:rPr>
        <w:t xml:space="preserve"> حت</w:t>
      </w:r>
      <w:r w:rsidR="00443AEA" w:rsidRPr="00904FCB">
        <w:rPr>
          <w:rFonts w:asciiTheme="minorBidi" w:hAnsiTheme="minorBidi" w:hint="cs"/>
          <w:sz w:val="27"/>
          <w:rtl/>
        </w:rPr>
        <w:t>ّ</w:t>
      </w:r>
      <w:r w:rsidRPr="00904FCB">
        <w:rPr>
          <w:rFonts w:asciiTheme="minorBidi" w:hAnsiTheme="minorBidi" w:hint="cs"/>
          <w:sz w:val="27"/>
          <w:rtl/>
        </w:rPr>
        <w:t>ى بيئة الكف</w:t>
      </w:r>
      <w:r w:rsidR="00443AEA" w:rsidRPr="00904FCB">
        <w:rPr>
          <w:rFonts w:asciiTheme="minorBidi" w:hAnsiTheme="minorBidi" w:hint="cs"/>
          <w:sz w:val="27"/>
          <w:rtl/>
        </w:rPr>
        <w:t>ّ</w:t>
      </w:r>
      <w:r w:rsidRPr="00904FCB">
        <w:rPr>
          <w:rFonts w:asciiTheme="minorBidi" w:hAnsiTheme="minorBidi" w:hint="cs"/>
          <w:sz w:val="27"/>
          <w:rtl/>
        </w:rPr>
        <w:t xml:space="preserve">ار والمشركين: </w:t>
      </w:r>
      <w:r w:rsidR="00443AEA" w:rsidRPr="00904FCB">
        <w:rPr>
          <w:rFonts w:hint="eastAsia"/>
          <w:sz w:val="27"/>
          <w:rtl/>
        </w:rPr>
        <w:t>«</w:t>
      </w:r>
      <w:r w:rsidRPr="00904FCB">
        <w:rPr>
          <w:rFonts w:asciiTheme="minorBidi" w:hAnsiTheme="minorBidi" w:hint="cs"/>
          <w:sz w:val="27"/>
          <w:rtl/>
        </w:rPr>
        <w:t>نهى رسول الله</w:t>
      </w:r>
      <w:r w:rsidR="00635E51" w:rsidRPr="00904FCB">
        <w:rPr>
          <w:rFonts w:asciiTheme="minorBidi" w:hAnsiTheme="minorBidi" w:cs="Mosawi" w:hint="cs"/>
          <w:sz w:val="27"/>
          <w:szCs w:val="22"/>
          <w:rtl/>
        </w:rPr>
        <w:t>|</w:t>
      </w:r>
      <w:r w:rsidRPr="00904FCB">
        <w:rPr>
          <w:rFonts w:asciiTheme="minorBidi" w:hAnsiTheme="minorBidi" w:hint="cs"/>
          <w:sz w:val="27"/>
          <w:rtl/>
        </w:rPr>
        <w:t xml:space="preserve"> أن يلقى السُّم في بلاد المشركين</w:t>
      </w:r>
      <w:r w:rsidR="00443AEA" w:rsidRPr="00904FCB">
        <w:rPr>
          <w:rFonts w:hint="eastAsia"/>
          <w:sz w:val="27"/>
          <w:rtl/>
        </w:rPr>
        <w:t>»</w:t>
      </w:r>
      <w:r w:rsidRPr="00904FCB">
        <w:rPr>
          <w:rFonts w:asciiTheme="minorBidi" w:hAnsiTheme="minorBidi"/>
          <w:sz w:val="27"/>
          <w:vertAlign w:val="superscript"/>
          <w:rtl/>
        </w:rPr>
        <w:t>(</w:t>
      </w:r>
      <w:r w:rsidRPr="00904FCB">
        <w:rPr>
          <w:rStyle w:val="ac"/>
          <w:rFonts w:asciiTheme="minorBidi" w:hAnsiTheme="minorBidi"/>
          <w:sz w:val="27"/>
          <w:rtl/>
        </w:rPr>
        <w:endnoteReference w:id="581"/>
      </w:r>
      <w:r w:rsidRPr="00904FCB">
        <w:rPr>
          <w:rFonts w:asciiTheme="minorBidi" w:hAnsiTheme="minorBidi"/>
          <w:sz w:val="27"/>
          <w:vertAlign w:val="superscript"/>
          <w:rtl/>
        </w:rPr>
        <w:t>)</w:t>
      </w:r>
      <w:r w:rsidR="00443AEA" w:rsidRPr="00904FCB">
        <w:rPr>
          <w:rFonts w:asciiTheme="minorBidi" w:hAnsiTheme="minorBidi" w:hint="cs"/>
          <w:sz w:val="27"/>
          <w:rtl/>
        </w:rPr>
        <w:t>.</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وفق هذه المتون الشريفة فإن إفساد وهدر المحيط البيئي الذي يعيش فيه الإنسان وباقي البلاد</w:t>
      </w:r>
      <w:r w:rsidR="00443AEA" w:rsidRPr="00904FCB">
        <w:rPr>
          <w:rFonts w:asciiTheme="minorBidi" w:hAnsiTheme="minorBidi" w:hint="cs"/>
          <w:sz w:val="27"/>
          <w:rtl/>
        </w:rPr>
        <w:t>،</w:t>
      </w:r>
      <w:r w:rsidRPr="00904FCB">
        <w:rPr>
          <w:rFonts w:asciiTheme="minorBidi" w:hAnsiTheme="minorBidi" w:hint="cs"/>
          <w:sz w:val="27"/>
          <w:rtl/>
        </w:rPr>
        <w:t xml:space="preserve"> أعم</w:t>
      </w:r>
      <w:r w:rsidR="00443AEA" w:rsidRPr="00904FCB">
        <w:rPr>
          <w:rFonts w:asciiTheme="minorBidi" w:hAnsiTheme="minorBidi" w:hint="cs"/>
          <w:sz w:val="27"/>
          <w:rtl/>
        </w:rPr>
        <w:t>ّ</w:t>
      </w:r>
      <w:r w:rsidRPr="00904FCB">
        <w:rPr>
          <w:rFonts w:asciiTheme="minorBidi" w:hAnsiTheme="minorBidi" w:hint="cs"/>
          <w:sz w:val="27"/>
          <w:rtl/>
        </w:rPr>
        <w:t xml:space="preserve"> من أن تكون أراض</w:t>
      </w:r>
      <w:r w:rsidR="00443AEA" w:rsidRPr="00904FCB">
        <w:rPr>
          <w:rFonts w:asciiTheme="minorBidi" w:hAnsiTheme="minorBidi" w:hint="cs"/>
          <w:sz w:val="27"/>
          <w:rtl/>
        </w:rPr>
        <w:t>ٍ</w:t>
      </w:r>
      <w:r w:rsidRPr="00904FCB">
        <w:rPr>
          <w:rFonts w:asciiTheme="minorBidi" w:hAnsiTheme="minorBidi" w:hint="cs"/>
          <w:sz w:val="27"/>
          <w:rtl/>
        </w:rPr>
        <w:t xml:space="preserve"> أو بنايات ومنشأت وثروات حيوانية ونباتية</w:t>
      </w:r>
      <w:r w:rsidR="00443AEA" w:rsidRPr="00904FCB">
        <w:rPr>
          <w:rFonts w:asciiTheme="minorBidi" w:hAnsiTheme="minorBidi" w:hint="cs"/>
          <w:sz w:val="27"/>
          <w:rtl/>
        </w:rPr>
        <w:t>،</w:t>
      </w:r>
      <w:r w:rsidRPr="00904FCB">
        <w:rPr>
          <w:rFonts w:asciiTheme="minorBidi" w:hAnsiTheme="minorBidi" w:hint="cs"/>
          <w:sz w:val="27"/>
          <w:rtl/>
        </w:rPr>
        <w:t xml:space="preserve"> منهي</w:t>
      </w:r>
      <w:r w:rsidR="00443AEA" w:rsidRPr="00904FCB">
        <w:rPr>
          <w:rFonts w:asciiTheme="minorBidi" w:hAnsiTheme="minorBidi" w:hint="cs"/>
          <w:sz w:val="27"/>
          <w:rtl/>
        </w:rPr>
        <w:t>ّ</w:t>
      </w:r>
      <w:r w:rsidRPr="00904FCB">
        <w:rPr>
          <w:rFonts w:asciiTheme="minorBidi" w:hAnsiTheme="minorBidi" w:hint="cs"/>
          <w:sz w:val="27"/>
          <w:rtl/>
        </w:rPr>
        <w:t xml:space="preserve"> عنه بشكل</w:t>
      </w:r>
      <w:r w:rsidR="00443AEA" w:rsidRPr="00904FCB">
        <w:rPr>
          <w:rFonts w:asciiTheme="minorBidi" w:hAnsiTheme="minorBidi" w:hint="cs"/>
          <w:sz w:val="27"/>
          <w:rtl/>
        </w:rPr>
        <w:t>ٍ</w:t>
      </w:r>
      <w:r w:rsidRPr="00904FCB">
        <w:rPr>
          <w:rFonts w:asciiTheme="minorBidi" w:hAnsiTheme="minorBidi" w:hint="cs"/>
          <w:sz w:val="27"/>
          <w:rtl/>
        </w:rPr>
        <w:t xml:space="preserve"> تام</w:t>
      </w:r>
      <w:r w:rsidR="00443AEA" w:rsidRPr="00904FCB">
        <w:rPr>
          <w:rFonts w:asciiTheme="minorBidi" w:hAnsiTheme="minorBidi" w:hint="cs"/>
          <w:sz w:val="27"/>
          <w:rtl/>
        </w:rPr>
        <w:t>ّ.</w:t>
      </w:r>
      <w:r w:rsidRPr="00904FCB">
        <w:rPr>
          <w:rFonts w:asciiTheme="minorBidi" w:hAnsiTheme="minorBidi" w:hint="cs"/>
          <w:sz w:val="27"/>
          <w:rtl/>
        </w:rPr>
        <w:t xml:space="preserve"> وهذا النهي مطلق</w:t>
      </w:r>
      <w:r w:rsidR="00443AEA" w:rsidRPr="00904FCB">
        <w:rPr>
          <w:rFonts w:asciiTheme="minorBidi" w:hAnsiTheme="minorBidi" w:hint="cs"/>
          <w:sz w:val="27"/>
          <w:rtl/>
        </w:rPr>
        <w:t>ٌ،</w:t>
      </w:r>
      <w:r w:rsidRPr="00904FCB">
        <w:rPr>
          <w:rFonts w:asciiTheme="minorBidi" w:hAnsiTheme="minorBidi" w:hint="cs"/>
          <w:sz w:val="27"/>
          <w:rtl/>
        </w:rPr>
        <w:t xml:space="preserve"> الله</w:t>
      </w:r>
      <w:r w:rsidR="00443AEA" w:rsidRPr="00904FCB">
        <w:rPr>
          <w:rFonts w:asciiTheme="minorBidi" w:hAnsiTheme="minorBidi" w:hint="cs"/>
          <w:sz w:val="27"/>
          <w:rtl/>
        </w:rPr>
        <w:t>ُ</w:t>
      </w:r>
      <w:r w:rsidRPr="00904FCB">
        <w:rPr>
          <w:rFonts w:asciiTheme="minorBidi" w:hAnsiTheme="minorBidi" w:hint="cs"/>
          <w:sz w:val="27"/>
          <w:rtl/>
        </w:rPr>
        <w:t>م</w:t>
      </w:r>
      <w:r w:rsidR="00443AEA" w:rsidRPr="00904FCB">
        <w:rPr>
          <w:rFonts w:asciiTheme="minorBidi" w:hAnsiTheme="minorBidi" w:hint="cs"/>
          <w:sz w:val="27"/>
          <w:rtl/>
        </w:rPr>
        <w:t>َّ</w:t>
      </w:r>
      <w:r w:rsidRPr="00904FCB">
        <w:rPr>
          <w:rFonts w:asciiTheme="minorBidi" w:hAnsiTheme="minorBidi" w:hint="cs"/>
          <w:sz w:val="27"/>
          <w:rtl/>
        </w:rPr>
        <w:t xml:space="preserve"> إلا</w:t>
      </w:r>
      <w:r w:rsidR="00443AEA" w:rsidRPr="00904FCB">
        <w:rPr>
          <w:rFonts w:asciiTheme="minorBidi" w:hAnsiTheme="minorBidi" w:hint="cs"/>
          <w:sz w:val="27"/>
          <w:rtl/>
        </w:rPr>
        <w:t>ّ</w:t>
      </w:r>
      <w:r w:rsidRPr="00904FCB">
        <w:rPr>
          <w:rFonts w:asciiTheme="minorBidi" w:hAnsiTheme="minorBidi" w:hint="cs"/>
          <w:sz w:val="27"/>
          <w:rtl/>
        </w:rPr>
        <w:t xml:space="preserve"> إذا ورد ما ينقله إلى الكراهة. </w:t>
      </w:r>
    </w:p>
    <w:p w:rsidR="00EF655F" w:rsidRPr="00904FCB" w:rsidRDefault="00E771B7" w:rsidP="007A21AA">
      <w:pPr>
        <w:spacing w:line="400" w:lineRule="exact"/>
        <w:rPr>
          <w:rFonts w:asciiTheme="minorBidi" w:hAnsiTheme="minorBidi"/>
          <w:sz w:val="27"/>
          <w:rtl/>
        </w:rPr>
      </w:pPr>
      <w:r w:rsidRPr="00904FCB">
        <w:rPr>
          <w:rFonts w:asciiTheme="minorBidi" w:hAnsiTheme="minorBidi" w:hint="cs"/>
          <w:sz w:val="27"/>
          <w:rtl/>
        </w:rPr>
        <w:t>و</w:t>
      </w:r>
      <w:r w:rsidR="00EF655F" w:rsidRPr="00904FCB">
        <w:rPr>
          <w:rFonts w:asciiTheme="minorBidi" w:hAnsiTheme="minorBidi" w:hint="cs"/>
          <w:sz w:val="27"/>
          <w:rtl/>
        </w:rPr>
        <w:t>قد نهى ال</w:t>
      </w:r>
      <w:r w:rsidR="00443AEA" w:rsidRPr="00904FCB">
        <w:rPr>
          <w:rFonts w:asciiTheme="minorBidi" w:hAnsiTheme="minorBidi" w:hint="cs"/>
          <w:sz w:val="27"/>
          <w:rtl/>
        </w:rPr>
        <w:t>إ</w:t>
      </w:r>
      <w:r w:rsidR="00EF655F" w:rsidRPr="00904FCB">
        <w:rPr>
          <w:rFonts w:asciiTheme="minorBidi" w:hAnsiTheme="minorBidi" w:hint="cs"/>
          <w:sz w:val="27"/>
          <w:rtl/>
        </w:rPr>
        <w:t>سلام بشد</w:t>
      </w:r>
      <w:r w:rsidR="00443AEA" w:rsidRPr="00904FCB">
        <w:rPr>
          <w:rFonts w:asciiTheme="minorBidi" w:hAnsiTheme="minorBidi" w:hint="cs"/>
          <w:sz w:val="27"/>
          <w:rtl/>
        </w:rPr>
        <w:t>ّ</w:t>
      </w:r>
      <w:r w:rsidR="00EF655F" w:rsidRPr="00904FCB">
        <w:rPr>
          <w:rFonts w:asciiTheme="minorBidi" w:hAnsiTheme="minorBidi" w:hint="cs"/>
          <w:sz w:val="27"/>
          <w:rtl/>
        </w:rPr>
        <w:t>ة</w:t>
      </w:r>
      <w:r w:rsidR="00443AEA" w:rsidRPr="00904FCB">
        <w:rPr>
          <w:rFonts w:asciiTheme="minorBidi" w:hAnsiTheme="minorBidi" w:hint="cs"/>
          <w:sz w:val="27"/>
          <w:rtl/>
        </w:rPr>
        <w:t>ٍ</w:t>
      </w:r>
      <w:r w:rsidR="00EF655F" w:rsidRPr="00904FCB">
        <w:rPr>
          <w:rFonts w:asciiTheme="minorBidi" w:hAnsiTheme="minorBidi" w:hint="cs"/>
          <w:sz w:val="27"/>
          <w:rtl/>
        </w:rPr>
        <w:t xml:space="preserve"> عن تلويث البيئة</w:t>
      </w:r>
      <w:r w:rsidR="00443AEA" w:rsidRPr="00904FCB">
        <w:rPr>
          <w:rFonts w:asciiTheme="minorBidi" w:hAnsiTheme="minorBidi" w:hint="cs"/>
          <w:sz w:val="27"/>
          <w:rtl/>
        </w:rPr>
        <w:t>،</w:t>
      </w:r>
      <w:r w:rsidR="00EF655F" w:rsidRPr="00904FCB">
        <w:rPr>
          <w:rFonts w:asciiTheme="minorBidi" w:hAnsiTheme="minorBidi" w:hint="cs"/>
          <w:sz w:val="27"/>
          <w:rtl/>
        </w:rPr>
        <w:t xml:space="preserve"> حت</w:t>
      </w:r>
      <w:r w:rsidR="00443AEA" w:rsidRPr="00904FCB">
        <w:rPr>
          <w:rFonts w:asciiTheme="minorBidi" w:hAnsiTheme="minorBidi" w:hint="cs"/>
          <w:sz w:val="27"/>
          <w:rtl/>
        </w:rPr>
        <w:t>ّ</w:t>
      </w:r>
      <w:r w:rsidR="00EF655F" w:rsidRPr="00904FCB">
        <w:rPr>
          <w:rFonts w:asciiTheme="minorBidi" w:hAnsiTheme="minorBidi" w:hint="cs"/>
          <w:sz w:val="27"/>
          <w:rtl/>
        </w:rPr>
        <w:t>ى أنه ع</w:t>
      </w:r>
      <w:r w:rsidR="00443AEA" w:rsidRPr="00904FCB">
        <w:rPr>
          <w:rFonts w:asciiTheme="minorBidi" w:hAnsiTheme="minorBidi" w:hint="cs"/>
          <w:sz w:val="27"/>
          <w:rtl/>
        </w:rPr>
        <w:t>َ</w:t>
      </w:r>
      <w:r w:rsidR="00EF655F" w:rsidRPr="00904FCB">
        <w:rPr>
          <w:rFonts w:asciiTheme="minorBidi" w:hAnsiTheme="minorBidi" w:hint="cs"/>
          <w:sz w:val="27"/>
          <w:rtl/>
        </w:rPr>
        <w:t>د</w:t>
      </w:r>
      <w:r w:rsidR="00443AEA" w:rsidRPr="00904FCB">
        <w:rPr>
          <w:rFonts w:asciiTheme="minorBidi" w:hAnsiTheme="minorBidi" w:hint="cs"/>
          <w:sz w:val="27"/>
          <w:rtl/>
        </w:rPr>
        <w:t>ّ</w:t>
      </w:r>
      <w:r w:rsidR="00EF655F" w:rsidRPr="00904FCB">
        <w:rPr>
          <w:rFonts w:asciiTheme="minorBidi" w:hAnsiTheme="minorBidi" w:hint="cs"/>
          <w:sz w:val="27"/>
          <w:rtl/>
        </w:rPr>
        <w:t xml:space="preserve"> تنجيس البيئة أحد أسباب التلو</w:t>
      </w:r>
      <w:r w:rsidR="00443AEA" w:rsidRPr="00904FCB">
        <w:rPr>
          <w:rFonts w:asciiTheme="minorBidi" w:hAnsiTheme="minorBidi" w:hint="cs"/>
          <w:sz w:val="27"/>
          <w:rtl/>
        </w:rPr>
        <w:t>ُّ</w:t>
      </w:r>
      <w:r w:rsidR="00EF655F" w:rsidRPr="00904FCB">
        <w:rPr>
          <w:rFonts w:asciiTheme="minorBidi" w:hAnsiTheme="minorBidi" w:hint="cs"/>
          <w:sz w:val="27"/>
          <w:rtl/>
        </w:rPr>
        <w:t>ث التي يجب على المسلم أن يت</w:t>
      </w:r>
      <w:r w:rsidR="00443AEA" w:rsidRPr="00904FCB">
        <w:rPr>
          <w:rFonts w:asciiTheme="minorBidi" w:hAnsiTheme="minorBidi" w:hint="cs"/>
          <w:sz w:val="27"/>
          <w:rtl/>
        </w:rPr>
        <w:t>َّ</w:t>
      </w:r>
      <w:r w:rsidR="00EF655F" w:rsidRPr="00904FCB">
        <w:rPr>
          <w:rFonts w:asciiTheme="minorBidi" w:hAnsiTheme="minorBidi" w:hint="cs"/>
          <w:sz w:val="27"/>
          <w:rtl/>
        </w:rPr>
        <w:t>قيها ويتجن</w:t>
      </w:r>
      <w:r w:rsidR="00443AEA" w:rsidRPr="00904FCB">
        <w:rPr>
          <w:rFonts w:asciiTheme="minorBidi" w:hAnsiTheme="minorBidi" w:hint="cs"/>
          <w:sz w:val="27"/>
          <w:rtl/>
        </w:rPr>
        <w:t>َّ</w:t>
      </w:r>
      <w:r w:rsidR="00EF655F" w:rsidRPr="00904FCB">
        <w:rPr>
          <w:rFonts w:asciiTheme="minorBidi" w:hAnsiTheme="minorBidi" w:hint="cs"/>
          <w:sz w:val="27"/>
          <w:rtl/>
        </w:rPr>
        <w:t>بها تجن</w:t>
      </w:r>
      <w:r w:rsidR="00443AEA" w:rsidRPr="00904FCB">
        <w:rPr>
          <w:rFonts w:asciiTheme="minorBidi" w:hAnsiTheme="minorBidi" w:hint="cs"/>
          <w:sz w:val="27"/>
          <w:rtl/>
        </w:rPr>
        <w:t>ّ</w:t>
      </w:r>
      <w:r w:rsidR="00EF655F" w:rsidRPr="00904FCB">
        <w:rPr>
          <w:rFonts w:asciiTheme="minorBidi" w:hAnsiTheme="minorBidi" w:hint="cs"/>
          <w:sz w:val="27"/>
          <w:rtl/>
        </w:rPr>
        <w:t xml:space="preserve">به للمحارم. </w:t>
      </w:r>
    </w:p>
    <w:p w:rsidR="00EF655F" w:rsidRPr="00904FCB" w:rsidRDefault="00E771B7" w:rsidP="007A21AA">
      <w:pPr>
        <w:spacing w:line="400" w:lineRule="exact"/>
        <w:rPr>
          <w:rFonts w:asciiTheme="minorBidi" w:hAnsiTheme="minorBidi"/>
          <w:sz w:val="27"/>
          <w:rtl/>
        </w:rPr>
      </w:pPr>
      <w:r w:rsidRPr="00904FCB">
        <w:rPr>
          <w:rFonts w:asciiTheme="minorBidi" w:hAnsiTheme="minorBidi" w:hint="cs"/>
          <w:sz w:val="27"/>
          <w:rtl/>
        </w:rPr>
        <w:t>و</w:t>
      </w:r>
      <w:r w:rsidR="00EF655F" w:rsidRPr="00904FCB">
        <w:rPr>
          <w:rFonts w:asciiTheme="minorBidi" w:hAnsiTheme="minorBidi" w:hint="cs"/>
          <w:sz w:val="27"/>
          <w:rtl/>
        </w:rPr>
        <w:t>هناك مجموعة من الروايات التي تنهى عن تلويث المحيط العام</w:t>
      </w:r>
      <w:r w:rsidR="00443AEA" w:rsidRPr="00904FCB">
        <w:rPr>
          <w:rFonts w:asciiTheme="minorBidi" w:hAnsiTheme="minorBidi" w:hint="cs"/>
          <w:sz w:val="27"/>
          <w:rtl/>
        </w:rPr>
        <w:t>ّ</w:t>
      </w:r>
      <w:r w:rsidR="00EF655F" w:rsidRPr="00904FCB">
        <w:rPr>
          <w:rFonts w:asciiTheme="minorBidi" w:hAnsiTheme="minorBidi" w:hint="cs"/>
          <w:sz w:val="27"/>
          <w:rtl/>
        </w:rPr>
        <w:t xml:space="preserve"> والأماكن العام</w:t>
      </w:r>
      <w:r w:rsidR="00443AEA" w:rsidRPr="00904FCB">
        <w:rPr>
          <w:rFonts w:asciiTheme="minorBidi" w:hAnsiTheme="minorBidi" w:hint="cs"/>
          <w:sz w:val="27"/>
          <w:rtl/>
        </w:rPr>
        <w:t>ّ</w:t>
      </w:r>
      <w:r w:rsidR="00EF655F" w:rsidRPr="00904FCB">
        <w:rPr>
          <w:rFonts w:asciiTheme="minorBidi" w:hAnsiTheme="minorBidi" w:hint="cs"/>
          <w:sz w:val="27"/>
          <w:rtl/>
        </w:rPr>
        <w:t>ة</w:t>
      </w:r>
      <w:r w:rsidR="00443AEA" w:rsidRPr="00904FCB">
        <w:rPr>
          <w:rFonts w:asciiTheme="minorBidi" w:hAnsiTheme="minorBidi" w:hint="cs"/>
          <w:sz w:val="27"/>
          <w:rtl/>
        </w:rPr>
        <w:t>،</w:t>
      </w:r>
      <w:r w:rsidR="00EF655F" w:rsidRPr="00904FCB">
        <w:rPr>
          <w:rFonts w:asciiTheme="minorBidi" w:hAnsiTheme="minorBidi" w:hint="cs"/>
          <w:sz w:val="27"/>
          <w:rtl/>
        </w:rPr>
        <w:t xml:space="preserve"> نظير</w:t>
      </w:r>
      <w:r w:rsidR="00443AEA" w:rsidRPr="00904FCB">
        <w:rPr>
          <w:rFonts w:asciiTheme="minorBidi" w:hAnsiTheme="minorBidi" w:hint="cs"/>
          <w:sz w:val="27"/>
          <w:rtl/>
        </w:rPr>
        <w:t>:</w:t>
      </w:r>
      <w:r w:rsidR="00EF655F" w:rsidRPr="00904FCB">
        <w:rPr>
          <w:rFonts w:asciiTheme="minorBidi" w:hAnsiTheme="minorBidi" w:hint="cs"/>
          <w:sz w:val="27"/>
          <w:rtl/>
        </w:rPr>
        <w:t xml:space="preserve"> حوالي المساجد وأماكن العبادة، جوانب قنوات المياه والأودية والأنهار وما شاكلها، البساتين وأماكن الخضرة، أطراف المنازل والمساكن، الطرقات</w:t>
      </w:r>
      <w:r w:rsidR="00530913" w:rsidRPr="00904FCB">
        <w:rPr>
          <w:rFonts w:asciiTheme="minorBidi" w:hAnsiTheme="minorBidi" w:hint="cs"/>
          <w:sz w:val="27"/>
          <w:rtl/>
        </w:rPr>
        <w:t>،</w:t>
      </w:r>
      <w:r w:rsidR="00EF655F" w:rsidRPr="00904FCB">
        <w:rPr>
          <w:rFonts w:asciiTheme="minorBidi" w:hAnsiTheme="minorBidi" w:hint="cs"/>
          <w:sz w:val="27"/>
          <w:rtl/>
        </w:rPr>
        <w:t xml:space="preserve"> ونهى عن التبو</w:t>
      </w:r>
      <w:r w:rsidR="00530913" w:rsidRPr="00904FCB">
        <w:rPr>
          <w:rFonts w:asciiTheme="minorBidi" w:hAnsiTheme="minorBidi" w:hint="cs"/>
          <w:sz w:val="27"/>
          <w:rtl/>
        </w:rPr>
        <w:t>ُّ</w:t>
      </w:r>
      <w:r w:rsidR="00EF655F" w:rsidRPr="00904FCB">
        <w:rPr>
          <w:rFonts w:asciiTheme="minorBidi" w:hAnsiTheme="minorBidi" w:hint="cs"/>
          <w:sz w:val="27"/>
          <w:rtl/>
        </w:rPr>
        <w:t>ل والتغوط في المياه الجارية والراكدة</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82"/>
      </w:r>
      <w:r w:rsidR="00EF655F" w:rsidRPr="00904FCB">
        <w:rPr>
          <w:rFonts w:asciiTheme="minorBidi" w:hAnsiTheme="minorBidi"/>
          <w:sz w:val="27"/>
          <w:vertAlign w:val="superscript"/>
          <w:rtl/>
        </w:rPr>
        <w:t>)</w:t>
      </w:r>
      <w:r w:rsidR="00EF655F"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p>
    <w:p w:rsidR="00EF655F" w:rsidRPr="00904FCB" w:rsidRDefault="00443AEA" w:rsidP="007A21AA">
      <w:pPr>
        <w:pStyle w:val="31"/>
        <w:spacing w:line="400" w:lineRule="exact"/>
        <w:rPr>
          <w:color w:val="auto"/>
          <w:rtl/>
        </w:rPr>
      </w:pPr>
      <w:r w:rsidRPr="00904FCB">
        <w:rPr>
          <w:rFonts w:hint="cs"/>
          <w:color w:val="auto"/>
          <w:rtl/>
        </w:rPr>
        <w:t xml:space="preserve">ب </w:t>
      </w:r>
      <w:r w:rsidR="00EF655F" w:rsidRPr="00904FCB">
        <w:rPr>
          <w:rFonts w:hint="cs"/>
          <w:color w:val="auto"/>
          <w:rtl/>
        </w:rPr>
        <w:t>ـ الإسراف وا</w:t>
      </w:r>
      <w:r w:rsidR="004722A1" w:rsidRPr="00904FCB">
        <w:rPr>
          <w:rFonts w:hint="cs"/>
          <w:color w:val="auto"/>
          <w:rtl/>
        </w:rPr>
        <w:t>لتبذ</w:t>
      </w:r>
      <w:r w:rsidR="00EF655F" w:rsidRPr="00904FCB">
        <w:rPr>
          <w:rFonts w:hint="cs"/>
          <w:color w:val="auto"/>
          <w:rtl/>
        </w:rPr>
        <w:t xml:space="preserve">ير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بشكل</w:t>
      </w:r>
      <w:r w:rsidR="00530913" w:rsidRPr="00904FCB">
        <w:rPr>
          <w:rFonts w:asciiTheme="minorBidi" w:hAnsiTheme="minorBidi" w:hint="cs"/>
          <w:sz w:val="27"/>
          <w:rtl/>
        </w:rPr>
        <w:t>ٍ</w:t>
      </w:r>
      <w:r w:rsidRPr="00904FCB">
        <w:rPr>
          <w:rFonts w:asciiTheme="minorBidi" w:hAnsiTheme="minorBidi" w:hint="cs"/>
          <w:sz w:val="27"/>
          <w:rtl/>
        </w:rPr>
        <w:t xml:space="preserve"> عام</w:t>
      </w:r>
      <w:r w:rsidR="00530913" w:rsidRPr="00904FCB">
        <w:rPr>
          <w:rFonts w:asciiTheme="minorBidi" w:hAnsiTheme="minorBidi" w:hint="cs"/>
          <w:sz w:val="27"/>
          <w:rtl/>
        </w:rPr>
        <w:t>ّ</w:t>
      </w:r>
      <w:r w:rsidRPr="00904FCB">
        <w:rPr>
          <w:rFonts w:asciiTheme="minorBidi" w:hAnsiTheme="minorBidi" w:hint="cs"/>
          <w:sz w:val="27"/>
          <w:rtl/>
        </w:rPr>
        <w:t xml:space="preserve"> يطلق </w:t>
      </w:r>
      <w:r w:rsidRPr="00904FCB">
        <w:rPr>
          <w:rFonts w:hint="eastAsia"/>
          <w:sz w:val="27"/>
          <w:rtl/>
        </w:rPr>
        <w:t>«</w:t>
      </w:r>
      <w:r w:rsidRPr="00904FCB">
        <w:rPr>
          <w:rFonts w:asciiTheme="minorBidi" w:hAnsiTheme="minorBidi" w:hint="cs"/>
          <w:sz w:val="27"/>
          <w:rtl/>
        </w:rPr>
        <w:t>الإسراف</w:t>
      </w:r>
      <w:r w:rsidRPr="00904FCB">
        <w:rPr>
          <w:rFonts w:hint="eastAsia"/>
          <w:sz w:val="27"/>
          <w:rtl/>
        </w:rPr>
        <w:t>»</w:t>
      </w:r>
      <w:r w:rsidRPr="00904FCB">
        <w:rPr>
          <w:rFonts w:asciiTheme="minorBidi" w:hAnsiTheme="minorBidi" w:hint="cs"/>
          <w:sz w:val="27"/>
          <w:rtl/>
        </w:rPr>
        <w:t xml:space="preserve"> ليشمل كل شي</w:t>
      </w:r>
      <w:r w:rsidR="00530913" w:rsidRPr="00904FCB">
        <w:rPr>
          <w:rFonts w:asciiTheme="minorBidi" w:hAnsiTheme="minorBidi" w:hint="cs"/>
          <w:sz w:val="27"/>
          <w:rtl/>
        </w:rPr>
        <w:t>ء</w:t>
      </w:r>
      <w:r w:rsidRPr="00904FCB">
        <w:rPr>
          <w:rFonts w:asciiTheme="minorBidi" w:hAnsiTheme="minorBidi" w:hint="cs"/>
          <w:sz w:val="27"/>
          <w:rtl/>
        </w:rPr>
        <w:t xml:space="preserve"> تجاوز حد</w:t>
      </w:r>
      <w:r w:rsidR="00530913" w:rsidRPr="00904FCB">
        <w:rPr>
          <w:rFonts w:asciiTheme="minorBidi" w:hAnsiTheme="minorBidi" w:hint="cs"/>
          <w:sz w:val="27"/>
          <w:rtl/>
        </w:rPr>
        <w:t>َّ</w:t>
      </w:r>
      <w:r w:rsidRPr="00904FCB">
        <w:rPr>
          <w:rFonts w:asciiTheme="minorBidi" w:hAnsiTheme="minorBidi" w:hint="cs"/>
          <w:sz w:val="27"/>
          <w:rtl/>
        </w:rPr>
        <w:t>ه ومقداره</w:t>
      </w:r>
      <w:r w:rsidR="00530913" w:rsidRPr="00904FCB">
        <w:rPr>
          <w:rFonts w:asciiTheme="minorBidi" w:hAnsiTheme="minorBidi" w:hint="cs"/>
          <w:sz w:val="27"/>
          <w:rtl/>
        </w:rPr>
        <w:t>،</w:t>
      </w:r>
      <w:r w:rsidRPr="00904FCB">
        <w:rPr>
          <w:rFonts w:asciiTheme="minorBidi" w:hAnsiTheme="minorBidi" w:hint="cs"/>
          <w:sz w:val="27"/>
          <w:rtl/>
        </w:rPr>
        <w:t xml:space="preserve"> لكن غلب استعماله في خصوص تكاليف ومصاريف الحياة اليومية. والتب</w:t>
      </w:r>
      <w:r w:rsidR="00530913" w:rsidRPr="00904FCB">
        <w:rPr>
          <w:rFonts w:asciiTheme="minorBidi" w:hAnsiTheme="minorBidi" w:hint="cs"/>
          <w:sz w:val="27"/>
          <w:rtl/>
        </w:rPr>
        <w:t>ذ</w:t>
      </w:r>
      <w:r w:rsidRPr="00904FCB">
        <w:rPr>
          <w:rFonts w:asciiTheme="minorBidi" w:hAnsiTheme="minorBidi" w:hint="cs"/>
          <w:sz w:val="27"/>
          <w:rtl/>
        </w:rPr>
        <w:t xml:space="preserve">ير بمعنى البعثرة والإتلاف بدون وجه الحاجة.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وقد تعد</w:t>
      </w:r>
      <w:r w:rsidR="00530913" w:rsidRPr="00904FCB">
        <w:rPr>
          <w:rFonts w:asciiTheme="minorBidi" w:hAnsiTheme="minorBidi" w:hint="cs"/>
          <w:sz w:val="27"/>
          <w:rtl/>
        </w:rPr>
        <w:t>َّ</w:t>
      </w:r>
      <w:r w:rsidRPr="00904FCB">
        <w:rPr>
          <w:rFonts w:asciiTheme="minorBidi" w:hAnsiTheme="minorBidi" w:hint="cs"/>
          <w:sz w:val="27"/>
          <w:rtl/>
        </w:rPr>
        <w:t>دت ال</w:t>
      </w:r>
      <w:r w:rsidR="00530913" w:rsidRPr="00904FCB">
        <w:rPr>
          <w:rFonts w:asciiTheme="minorBidi" w:hAnsiTheme="minorBidi" w:hint="cs"/>
          <w:sz w:val="27"/>
          <w:rtl/>
        </w:rPr>
        <w:t>آ</w:t>
      </w:r>
      <w:r w:rsidRPr="00904FCB">
        <w:rPr>
          <w:rFonts w:asciiTheme="minorBidi" w:hAnsiTheme="minorBidi" w:hint="cs"/>
          <w:sz w:val="27"/>
          <w:rtl/>
        </w:rPr>
        <w:t>يات التي جاء فيها النهي عن ال</w:t>
      </w:r>
      <w:r w:rsidR="00530913" w:rsidRPr="00904FCB">
        <w:rPr>
          <w:rFonts w:asciiTheme="minorBidi" w:hAnsiTheme="minorBidi" w:hint="cs"/>
          <w:sz w:val="27"/>
          <w:rtl/>
        </w:rPr>
        <w:t>إ</w:t>
      </w:r>
      <w:r w:rsidRPr="00904FCB">
        <w:rPr>
          <w:rFonts w:asciiTheme="minorBidi" w:hAnsiTheme="minorBidi" w:hint="cs"/>
          <w:sz w:val="27"/>
          <w:rtl/>
        </w:rPr>
        <w:t>سراف</w:t>
      </w:r>
      <w:r w:rsidR="00530913" w:rsidRPr="00904FCB">
        <w:rPr>
          <w:rFonts w:asciiTheme="minorBidi" w:hAnsiTheme="minorBidi" w:hint="cs"/>
          <w:sz w:val="27"/>
          <w:rtl/>
        </w:rPr>
        <w:t>،</w:t>
      </w:r>
      <w:r w:rsidRPr="00904FCB">
        <w:rPr>
          <w:rFonts w:asciiTheme="minorBidi" w:hAnsiTheme="minorBidi" w:hint="cs"/>
          <w:sz w:val="27"/>
          <w:rtl/>
        </w:rPr>
        <w:t xml:space="preserve"> والتحذير منه</w:t>
      </w:r>
      <w:r w:rsidR="00530913" w:rsidRPr="00904FCB">
        <w:rPr>
          <w:rFonts w:asciiTheme="minorBidi" w:hAnsiTheme="minorBidi" w:hint="cs"/>
          <w:sz w:val="27"/>
          <w:rtl/>
        </w:rPr>
        <w:t xml:space="preserve">: </w:t>
      </w:r>
      <w:r w:rsidRPr="00904FCB">
        <w:rPr>
          <w:rFonts w:ascii="Mosawi" w:hAnsi="Mosawi" w:cs="Mosawi"/>
          <w:sz w:val="24"/>
          <w:szCs w:val="24"/>
          <w:rtl/>
        </w:rPr>
        <w:t>﴿</w:t>
      </w:r>
      <w:r w:rsidR="00530913" w:rsidRPr="00904FCB">
        <w:rPr>
          <w:rFonts w:asciiTheme="minorBidi" w:hAnsiTheme="minorBidi"/>
          <w:b/>
          <w:bCs/>
          <w:sz w:val="27"/>
          <w:rtl/>
        </w:rPr>
        <w:t>وَل</w:t>
      </w:r>
      <w:r w:rsidRPr="00904FCB">
        <w:rPr>
          <w:rFonts w:asciiTheme="minorBidi" w:hAnsiTheme="minorBidi"/>
          <w:b/>
          <w:bCs/>
          <w:sz w:val="27"/>
          <w:rtl/>
        </w:rPr>
        <w:t>ا تُسْرِفُوا</w:t>
      </w:r>
      <w:r w:rsidR="00530913" w:rsidRPr="00904FCB">
        <w:rPr>
          <w:rFonts w:asciiTheme="minorBidi" w:hAnsiTheme="minorBidi" w:hint="cs"/>
          <w:b/>
          <w:bCs/>
          <w:sz w:val="27"/>
          <w:rtl/>
        </w:rPr>
        <w:t xml:space="preserve"> </w:t>
      </w:r>
      <w:r w:rsidRPr="00904FCB">
        <w:rPr>
          <w:rFonts w:asciiTheme="minorBidi" w:hAnsiTheme="minorBidi" w:hint="cs"/>
          <w:b/>
          <w:bCs/>
          <w:sz w:val="27"/>
          <w:rtl/>
        </w:rPr>
        <w:t>إِنَّهُ</w:t>
      </w:r>
      <w:r w:rsidRPr="00904FCB">
        <w:rPr>
          <w:rFonts w:asciiTheme="minorBidi" w:hAnsiTheme="minorBidi"/>
          <w:b/>
          <w:bCs/>
          <w:sz w:val="27"/>
          <w:rtl/>
        </w:rPr>
        <w:t xml:space="preserve"> </w:t>
      </w:r>
      <w:r w:rsidR="00530913" w:rsidRPr="00904FCB">
        <w:rPr>
          <w:rFonts w:asciiTheme="minorBidi" w:hAnsiTheme="minorBidi" w:hint="cs"/>
          <w:b/>
          <w:bCs/>
          <w:sz w:val="27"/>
          <w:rtl/>
        </w:rPr>
        <w:t>ل</w:t>
      </w:r>
      <w:r w:rsidRPr="00904FCB">
        <w:rPr>
          <w:rFonts w:asciiTheme="minorBidi" w:hAnsiTheme="minorBidi" w:hint="cs"/>
          <w:b/>
          <w:bCs/>
          <w:sz w:val="27"/>
          <w:rtl/>
        </w:rPr>
        <w:t>ا</w:t>
      </w:r>
      <w:r w:rsidRPr="00904FCB">
        <w:rPr>
          <w:rFonts w:asciiTheme="minorBidi" w:hAnsiTheme="minorBidi"/>
          <w:b/>
          <w:bCs/>
          <w:sz w:val="27"/>
          <w:rtl/>
        </w:rPr>
        <w:t xml:space="preserve"> </w:t>
      </w:r>
      <w:r w:rsidRPr="00904FCB">
        <w:rPr>
          <w:rFonts w:asciiTheme="minorBidi" w:hAnsiTheme="minorBidi" w:hint="cs"/>
          <w:b/>
          <w:bCs/>
          <w:sz w:val="27"/>
          <w:rtl/>
        </w:rPr>
        <w:t>يُحِبُّ</w:t>
      </w:r>
      <w:r w:rsidRPr="00904FCB">
        <w:rPr>
          <w:rFonts w:asciiTheme="minorBidi" w:hAnsiTheme="minorBidi"/>
          <w:b/>
          <w:bCs/>
          <w:sz w:val="27"/>
          <w:rtl/>
        </w:rPr>
        <w:t xml:space="preserve"> </w:t>
      </w:r>
      <w:r w:rsidRPr="00904FCB">
        <w:rPr>
          <w:rFonts w:asciiTheme="minorBidi" w:hAnsiTheme="minorBidi" w:hint="cs"/>
          <w:b/>
          <w:bCs/>
          <w:sz w:val="27"/>
          <w:rtl/>
        </w:rPr>
        <w:t>الْمُسْرِفِينَ</w:t>
      </w:r>
      <w:r w:rsidRPr="00904FCB">
        <w:rPr>
          <w:rFonts w:ascii="Mosawi" w:hAnsi="Mosawi" w:cs="Mosawi"/>
          <w:sz w:val="24"/>
          <w:szCs w:val="24"/>
          <w:rtl/>
        </w:rPr>
        <w:t>﴾</w:t>
      </w:r>
      <w:r w:rsidRPr="00904FCB">
        <w:rPr>
          <w:rFonts w:asciiTheme="minorBidi" w:hAnsiTheme="minorBidi" w:hint="cs"/>
          <w:sz w:val="27"/>
          <w:rtl/>
        </w:rPr>
        <w:t xml:space="preserve"> (الأنعام: </w:t>
      </w:r>
      <w:r w:rsidRPr="00DF4775">
        <w:rPr>
          <w:rFonts w:asciiTheme="minorBidi" w:hAnsiTheme="minorBidi" w:hint="cs"/>
          <w:sz w:val="27"/>
          <w:rtl/>
        </w:rPr>
        <w:t>141</w:t>
      </w:r>
      <w:r w:rsidRPr="00904FCB">
        <w:rPr>
          <w:rFonts w:asciiTheme="minorBidi" w:hAnsiTheme="minorBidi" w:hint="cs"/>
          <w:sz w:val="27"/>
          <w:rtl/>
        </w:rPr>
        <w:t xml:space="preserve">). </w:t>
      </w:r>
    </w:p>
    <w:p w:rsidR="00EF655F" w:rsidRPr="00904FCB" w:rsidRDefault="00530913" w:rsidP="00BC02C4">
      <w:pPr>
        <w:spacing w:line="400" w:lineRule="exact"/>
        <w:rPr>
          <w:rFonts w:asciiTheme="minorBidi" w:hAnsiTheme="minorBidi"/>
          <w:sz w:val="27"/>
          <w:rtl/>
        </w:rPr>
      </w:pPr>
      <w:r w:rsidRPr="00904FCB">
        <w:rPr>
          <w:rFonts w:asciiTheme="minorBidi" w:hAnsiTheme="minorBidi" w:hint="cs"/>
          <w:sz w:val="27"/>
          <w:rtl/>
        </w:rPr>
        <w:t>و</w:t>
      </w:r>
      <w:r w:rsidR="00EF655F" w:rsidRPr="00904FCB">
        <w:rPr>
          <w:rFonts w:asciiTheme="minorBidi" w:hAnsiTheme="minorBidi" w:hint="cs"/>
          <w:sz w:val="27"/>
          <w:rtl/>
        </w:rPr>
        <w:t>بال</w:t>
      </w:r>
      <w:r w:rsidR="00BC02C4">
        <w:rPr>
          <w:rFonts w:asciiTheme="minorBidi" w:hAnsiTheme="minorBidi" w:hint="cs"/>
          <w:sz w:val="27"/>
          <w:rtl/>
        </w:rPr>
        <w:t>إ</w:t>
      </w:r>
      <w:r w:rsidR="00EF655F" w:rsidRPr="00904FCB">
        <w:rPr>
          <w:rFonts w:asciiTheme="minorBidi" w:hAnsiTheme="minorBidi" w:hint="cs"/>
          <w:sz w:val="27"/>
          <w:rtl/>
        </w:rPr>
        <w:t xml:space="preserve">ضافة </w:t>
      </w:r>
      <w:r w:rsidRPr="00904FCB">
        <w:rPr>
          <w:rFonts w:asciiTheme="minorBidi" w:hAnsiTheme="minorBidi" w:hint="cs"/>
          <w:sz w:val="27"/>
          <w:rtl/>
        </w:rPr>
        <w:t>إلى ا</w:t>
      </w:r>
      <w:r w:rsidR="00EF655F" w:rsidRPr="00904FCB">
        <w:rPr>
          <w:rFonts w:asciiTheme="minorBidi" w:hAnsiTheme="minorBidi" w:hint="cs"/>
          <w:sz w:val="27"/>
          <w:rtl/>
        </w:rPr>
        <w:t>لآيات القرآنية هناك الكثير من الروايات التي تذم</w:t>
      </w:r>
      <w:r w:rsidRPr="00904FCB">
        <w:rPr>
          <w:rFonts w:asciiTheme="minorBidi" w:hAnsiTheme="minorBidi" w:hint="cs"/>
          <w:sz w:val="27"/>
          <w:rtl/>
        </w:rPr>
        <w:t>ّ</w:t>
      </w:r>
      <w:r w:rsidR="00EF655F" w:rsidRPr="00904FCB">
        <w:rPr>
          <w:rFonts w:asciiTheme="minorBidi" w:hAnsiTheme="minorBidi" w:hint="cs"/>
          <w:sz w:val="27"/>
          <w:rtl/>
        </w:rPr>
        <w:t xml:space="preserve"> الإسراف وتحذ</w:t>
      </w:r>
      <w:r w:rsidRPr="00904FCB">
        <w:rPr>
          <w:rFonts w:asciiTheme="minorBidi" w:hAnsiTheme="minorBidi" w:hint="cs"/>
          <w:sz w:val="27"/>
          <w:rtl/>
        </w:rPr>
        <w:t>ِّ</w:t>
      </w:r>
      <w:r w:rsidR="00EF655F" w:rsidRPr="00904FCB">
        <w:rPr>
          <w:rFonts w:asciiTheme="minorBidi" w:hAnsiTheme="minorBidi" w:hint="cs"/>
          <w:sz w:val="27"/>
          <w:rtl/>
        </w:rPr>
        <w:t xml:space="preserve">ر منه: </w:t>
      </w:r>
    </w:p>
    <w:p w:rsidR="00EF655F" w:rsidRPr="00904FCB" w:rsidRDefault="00530913" w:rsidP="007A21AA">
      <w:pPr>
        <w:spacing w:line="400" w:lineRule="exact"/>
        <w:rPr>
          <w:rFonts w:asciiTheme="minorBidi" w:hAnsiTheme="minorBidi"/>
          <w:sz w:val="27"/>
          <w:rtl/>
        </w:rPr>
      </w:pPr>
      <w:r w:rsidRPr="006333E0">
        <w:rPr>
          <w:rFonts w:asciiTheme="minorBidi" w:hAnsiTheme="minorBidi" w:cs="Ya-Ali" w:hint="cs"/>
          <w:sz w:val="27"/>
          <w:rtl/>
        </w:rPr>
        <w:t>1</w:t>
      </w:r>
      <w:r w:rsidRPr="00904FCB">
        <w:rPr>
          <w:rFonts w:asciiTheme="minorBidi" w:hAnsiTheme="minorBidi" w:hint="cs"/>
          <w:sz w:val="27"/>
          <w:rtl/>
        </w:rPr>
        <w:t>ـ أ</w:t>
      </w:r>
      <w:r w:rsidR="00EF655F" w:rsidRPr="00904FCB">
        <w:rPr>
          <w:rFonts w:asciiTheme="minorBidi" w:hAnsiTheme="minorBidi" w:hint="cs"/>
          <w:sz w:val="27"/>
          <w:rtl/>
        </w:rPr>
        <w:t>بان بن تغلب قال</w:t>
      </w:r>
      <w:r w:rsidRPr="00904FCB">
        <w:rPr>
          <w:rFonts w:asciiTheme="minorBidi" w:hAnsiTheme="minorBidi" w:hint="cs"/>
          <w:sz w:val="27"/>
          <w:rtl/>
        </w:rPr>
        <w:t>:</w:t>
      </w:r>
      <w:r w:rsidR="00EF655F" w:rsidRPr="00904FCB">
        <w:rPr>
          <w:rFonts w:asciiTheme="minorBidi" w:hAnsiTheme="minorBidi" w:hint="cs"/>
          <w:sz w:val="27"/>
          <w:rtl/>
        </w:rPr>
        <w:t xml:space="preserve"> قال </w:t>
      </w:r>
      <w:r w:rsidRPr="00904FCB">
        <w:rPr>
          <w:rFonts w:asciiTheme="minorBidi" w:hAnsiTheme="minorBidi" w:hint="cs"/>
          <w:sz w:val="27"/>
          <w:rtl/>
        </w:rPr>
        <w:t>أ</w:t>
      </w:r>
      <w:r w:rsidR="00EF655F" w:rsidRPr="00904FCB">
        <w:rPr>
          <w:rFonts w:asciiTheme="minorBidi" w:hAnsiTheme="minorBidi" w:hint="cs"/>
          <w:sz w:val="27"/>
          <w:rtl/>
        </w:rPr>
        <w:t>بو عبد الله</w:t>
      </w:r>
      <w:r w:rsidR="001C1A2A" w:rsidRPr="00904FCB">
        <w:rPr>
          <w:rFonts w:asciiTheme="minorBidi" w:hAnsiTheme="minorBidi" w:cs="Mosawi" w:hint="cs"/>
          <w:sz w:val="27"/>
          <w:szCs w:val="22"/>
          <w:rtl/>
        </w:rPr>
        <w:t>×</w:t>
      </w:r>
      <w:r w:rsidRPr="00904FCB">
        <w:rPr>
          <w:rFonts w:asciiTheme="minorBidi" w:hAnsiTheme="minorBidi" w:hint="cs"/>
          <w:sz w:val="27"/>
          <w:rtl/>
        </w:rPr>
        <w:t>: ...</w:t>
      </w:r>
      <w:r w:rsidR="00EF655F" w:rsidRPr="00904FCB">
        <w:rPr>
          <w:rFonts w:asciiTheme="minorBidi" w:hAnsiTheme="minorBidi" w:hint="cs"/>
          <w:sz w:val="27"/>
          <w:rtl/>
        </w:rPr>
        <w:t>ولكن المال مال الله</w:t>
      </w:r>
      <w:r w:rsidRPr="00904FCB">
        <w:rPr>
          <w:rFonts w:asciiTheme="minorBidi" w:hAnsiTheme="minorBidi" w:hint="cs"/>
          <w:sz w:val="27"/>
          <w:rtl/>
        </w:rPr>
        <w:t>،</w:t>
      </w:r>
      <w:r w:rsidR="00EF655F" w:rsidRPr="00904FCB">
        <w:rPr>
          <w:rFonts w:asciiTheme="minorBidi" w:hAnsiTheme="minorBidi" w:hint="cs"/>
          <w:sz w:val="27"/>
          <w:rtl/>
        </w:rPr>
        <w:t xml:space="preserve"> يضعه عند الرجل ودائع</w:t>
      </w:r>
      <w:r w:rsidRPr="00904FCB">
        <w:rPr>
          <w:rFonts w:asciiTheme="minorBidi" w:hAnsiTheme="minorBidi" w:hint="cs"/>
          <w:sz w:val="27"/>
          <w:rtl/>
        </w:rPr>
        <w:t>،</w:t>
      </w:r>
      <w:r w:rsidR="00EF655F" w:rsidRPr="00904FCB">
        <w:rPr>
          <w:rFonts w:asciiTheme="minorBidi" w:hAnsiTheme="minorBidi" w:hint="cs"/>
          <w:sz w:val="27"/>
          <w:rtl/>
        </w:rPr>
        <w:t xml:space="preserve"> وجو</w:t>
      </w:r>
      <w:r w:rsidRPr="00904FCB">
        <w:rPr>
          <w:rFonts w:asciiTheme="minorBidi" w:hAnsiTheme="minorBidi" w:hint="cs"/>
          <w:sz w:val="27"/>
          <w:rtl/>
        </w:rPr>
        <w:t>َّ</w:t>
      </w:r>
      <w:r w:rsidR="00EF655F" w:rsidRPr="00904FCB">
        <w:rPr>
          <w:rFonts w:asciiTheme="minorBidi" w:hAnsiTheme="minorBidi" w:hint="cs"/>
          <w:sz w:val="27"/>
          <w:rtl/>
        </w:rPr>
        <w:t>ز لهم أن يأكلوا قصدا</w:t>
      </w:r>
      <w:r w:rsidRPr="00904FCB">
        <w:rPr>
          <w:rFonts w:asciiTheme="minorBidi" w:hAnsiTheme="minorBidi" w:hint="cs"/>
          <w:sz w:val="27"/>
          <w:rtl/>
        </w:rPr>
        <w:t>ً،</w:t>
      </w:r>
      <w:r w:rsidR="00EF655F" w:rsidRPr="00904FCB">
        <w:rPr>
          <w:rFonts w:asciiTheme="minorBidi" w:hAnsiTheme="minorBidi" w:hint="cs"/>
          <w:sz w:val="27"/>
          <w:rtl/>
        </w:rPr>
        <w:t xml:space="preserve"> ويشربوا قصدا</w:t>
      </w:r>
      <w:r w:rsidRPr="00904FCB">
        <w:rPr>
          <w:rFonts w:asciiTheme="minorBidi" w:hAnsiTheme="minorBidi" w:hint="cs"/>
          <w:sz w:val="27"/>
          <w:rtl/>
        </w:rPr>
        <w:t>ً،</w:t>
      </w:r>
      <w:r w:rsidR="00EF655F" w:rsidRPr="00904FCB">
        <w:rPr>
          <w:rFonts w:asciiTheme="minorBidi" w:hAnsiTheme="minorBidi" w:hint="cs"/>
          <w:sz w:val="27"/>
          <w:rtl/>
        </w:rPr>
        <w:t xml:space="preserve"> ويلبسوا قصدا</w:t>
      </w:r>
      <w:r w:rsidRPr="00904FCB">
        <w:rPr>
          <w:rFonts w:asciiTheme="minorBidi" w:hAnsiTheme="minorBidi" w:hint="cs"/>
          <w:sz w:val="27"/>
          <w:rtl/>
        </w:rPr>
        <w:t>ً،</w:t>
      </w:r>
      <w:r w:rsidR="00EF655F" w:rsidRPr="00904FCB">
        <w:rPr>
          <w:rFonts w:asciiTheme="minorBidi" w:hAnsiTheme="minorBidi" w:hint="cs"/>
          <w:sz w:val="27"/>
          <w:rtl/>
        </w:rPr>
        <w:t xml:space="preserve"> وينكحوا قصدا</w:t>
      </w:r>
      <w:r w:rsidRPr="00904FCB">
        <w:rPr>
          <w:rFonts w:asciiTheme="minorBidi" w:hAnsiTheme="minorBidi" w:hint="cs"/>
          <w:sz w:val="27"/>
          <w:rtl/>
        </w:rPr>
        <w:t>ً،</w:t>
      </w:r>
      <w:r w:rsidR="00EF655F" w:rsidRPr="00904FCB">
        <w:rPr>
          <w:rFonts w:asciiTheme="minorBidi" w:hAnsiTheme="minorBidi" w:hint="cs"/>
          <w:sz w:val="27"/>
          <w:rtl/>
        </w:rPr>
        <w:t xml:space="preserve"> ويركبوا قصدا</w:t>
      </w:r>
      <w:r w:rsidRPr="00904FCB">
        <w:rPr>
          <w:rFonts w:asciiTheme="minorBidi" w:hAnsiTheme="minorBidi" w:hint="cs"/>
          <w:sz w:val="27"/>
          <w:rtl/>
        </w:rPr>
        <w:t>ً،</w:t>
      </w:r>
      <w:r w:rsidR="00EF655F" w:rsidRPr="00904FCB">
        <w:rPr>
          <w:rFonts w:asciiTheme="minorBidi" w:hAnsiTheme="minorBidi" w:hint="cs"/>
          <w:sz w:val="27"/>
          <w:rtl/>
        </w:rPr>
        <w:t xml:space="preserve"> ويعود</w:t>
      </w:r>
      <w:r w:rsidRPr="00904FCB">
        <w:rPr>
          <w:rFonts w:asciiTheme="minorBidi" w:hAnsiTheme="minorBidi" w:hint="cs"/>
          <w:sz w:val="27"/>
          <w:rtl/>
        </w:rPr>
        <w:t>و</w:t>
      </w:r>
      <w:r w:rsidR="00EF655F" w:rsidRPr="00904FCB">
        <w:rPr>
          <w:rFonts w:asciiTheme="minorBidi" w:hAnsiTheme="minorBidi" w:hint="cs"/>
          <w:sz w:val="27"/>
          <w:rtl/>
        </w:rPr>
        <w:t>ا بما سوى ذلك على فقراء المؤمنين</w:t>
      </w:r>
      <w:r w:rsidRPr="00904FCB">
        <w:rPr>
          <w:rFonts w:asciiTheme="minorBidi" w:hAnsiTheme="minorBidi" w:hint="cs"/>
          <w:sz w:val="27"/>
          <w:rtl/>
        </w:rPr>
        <w:t>،</w:t>
      </w:r>
      <w:r w:rsidR="00EF655F" w:rsidRPr="00904FCB">
        <w:rPr>
          <w:rFonts w:asciiTheme="minorBidi" w:hAnsiTheme="minorBidi" w:hint="cs"/>
          <w:sz w:val="27"/>
          <w:rtl/>
        </w:rPr>
        <w:t xml:space="preserve"> ويلم</w:t>
      </w:r>
      <w:r w:rsidRPr="00904FCB">
        <w:rPr>
          <w:rFonts w:asciiTheme="minorBidi" w:hAnsiTheme="minorBidi" w:hint="cs"/>
          <w:sz w:val="27"/>
          <w:rtl/>
        </w:rPr>
        <w:t>ّ</w:t>
      </w:r>
      <w:r w:rsidR="00EF655F" w:rsidRPr="00904FCB">
        <w:rPr>
          <w:rFonts w:asciiTheme="minorBidi" w:hAnsiTheme="minorBidi" w:hint="cs"/>
          <w:sz w:val="27"/>
          <w:rtl/>
        </w:rPr>
        <w:t>وا به شع</w:t>
      </w:r>
      <w:r w:rsidRPr="00904FCB">
        <w:rPr>
          <w:rFonts w:asciiTheme="minorBidi" w:hAnsiTheme="minorBidi" w:hint="cs"/>
          <w:sz w:val="27"/>
          <w:rtl/>
        </w:rPr>
        <w:t>ث</w:t>
      </w:r>
      <w:r w:rsidR="00EF655F" w:rsidRPr="00904FCB">
        <w:rPr>
          <w:rFonts w:asciiTheme="minorBidi" w:hAnsiTheme="minorBidi" w:hint="cs"/>
          <w:sz w:val="27"/>
          <w:rtl/>
        </w:rPr>
        <w:t>هم</w:t>
      </w:r>
      <w:r w:rsidRPr="00904FCB">
        <w:rPr>
          <w:rFonts w:asciiTheme="minorBidi" w:hAnsiTheme="minorBidi" w:hint="cs"/>
          <w:sz w:val="27"/>
          <w:rtl/>
        </w:rPr>
        <w:t>.</w:t>
      </w:r>
      <w:r w:rsidR="00EF655F" w:rsidRPr="00904FCB">
        <w:rPr>
          <w:rFonts w:asciiTheme="minorBidi" w:hAnsiTheme="minorBidi" w:hint="cs"/>
          <w:sz w:val="27"/>
          <w:rtl/>
        </w:rPr>
        <w:t xml:space="preserve"> فم</w:t>
      </w:r>
      <w:r w:rsidRPr="00904FCB">
        <w:rPr>
          <w:rFonts w:asciiTheme="minorBidi" w:hAnsiTheme="minorBidi" w:hint="cs"/>
          <w:sz w:val="27"/>
          <w:rtl/>
        </w:rPr>
        <w:t>َ</w:t>
      </w:r>
      <w:r w:rsidR="00EF655F" w:rsidRPr="00904FCB">
        <w:rPr>
          <w:rFonts w:asciiTheme="minorBidi" w:hAnsiTheme="minorBidi" w:hint="cs"/>
          <w:sz w:val="27"/>
          <w:rtl/>
        </w:rPr>
        <w:t>ن</w:t>
      </w:r>
      <w:r w:rsidRPr="00904FCB">
        <w:rPr>
          <w:rFonts w:asciiTheme="minorBidi" w:hAnsiTheme="minorBidi" w:hint="cs"/>
          <w:sz w:val="27"/>
          <w:rtl/>
        </w:rPr>
        <w:t>ْ</w:t>
      </w:r>
      <w:r w:rsidR="00EF655F" w:rsidRPr="00904FCB">
        <w:rPr>
          <w:rFonts w:asciiTheme="minorBidi" w:hAnsiTheme="minorBidi" w:hint="cs"/>
          <w:sz w:val="27"/>
          <w:rtl/>
        </w:rPr>
        <w:t xml:space="preserve"> فعل ذلك كان ما يأكل حلالا</w:t>
      </w:r>
      <w:r w:rsidRPr="00904FCB">
        <w:rPr>
          <w:rFonts w:asciiTheme="minorBidi" w:hAnsiTheme="minorBidi" w:hint="cs"/>
          <w:sz w:val="27"/>
          <w:rtl/>
        </w:rPr>
        <w:t>ً</w:t>
      </w:r>
      <w:r w:rsidR="00BC02C4">
        <w:rPr>
          <w:rFonts w:asciiTheme="minorBidi" w:hAnsiTheme="minorBidi" w:hint="cs"/>
          <w:sz w:val="27"/>
          <w:rtl/>
        </w:rPr>
        <w:t>،</w:t>
      </w:r>
      <w:r w:rsidR="00EF655F" w:rsidRPr="00904FCB">
        <w:rPr>
          <w:rFonts w:asciiTheme="minorBidi" w:hAnsiTheme="minorBidi" w:hint="cs"/>
          <w:sz w:val="27"/>
          <w:rtl/>
        </w:rPr>
        <w:t xml:space="preserve"> ويشرب حلالا</w:t>
      </w:r>
      <w:r w:rsidRPr="00904FCB">
        <w:rPr>
          <w:rFonts w:asciiTheme="minorBidi" w:hAnsiTheme="minorBidi" w:hint="cs"/>
          <w:sz w:val="27"/>
          <w:rtl/>
        </w:rPr>
        <w:t>ً</w:t>
      </w:r>
      <w:r w:rsidR="00BC02C4">
        <w:rPr>
          <w:rFonts w:asciiTheme="minorBidi" w:hAnsiTheme="minorBidi" w:hint="cs"/>
          <w:sz w:val="27"/>
          <w:rtl/>
        </w:rPr>
        <w:t>،</w:t>
      </w:r>
      <w:r w:rsidR="00EF655F" w:rsidRPr="00904FCB">
        <w:rPr>
          <w:rFonts w:asciiTheme="minorBidi" w:hAnsiTheme="minorBidi" w:hint="cs"/>
          <w:sz w:val="27"/>
          <w:rtl/>
        </w:rPr>
        <w:t xml:space="preserve"> ويركب وينكح </w:t>
      </w:r>
      <w:r w:rsidR="00EF655F" w:rsidRPr="00904FCB">
        <w:rPr>
          <w:rFonts w:asciiTheme="minorBidi" w:hAnsiTheme="minorBidi" w:hint="cs"/>
          <w:sz w:val="27"/>
          <w:rtl/>
        </w:rPr>
        <w:lastRenderedPageBreak/>
        <w:t>حلالا</w:t>
      </w:r>
      <w:r w:rsidRPr="00904FCB">
        <w:rPr>
          <w:rFonts w:asciiTheme="minorBidi" w:hAnsiTheme="minorBidi" w:hint="cs"/>
          <w:sz w:val="27"/>
          <w:rtl/>
        </w:rPr>
        <w:t>ً،</w:t>
      </w:r>
      <w:r w:rsidR="00EF655F" w:rsidRPr="00904FCB">
        <w:rPr>
          <w:rFonts w:asciiTheme="minorBidi" w:hAnsiTheme="minorBidi" w:hint="cs"/>
          <w:sz w:val="27"/>
          <w:rtl/>
        </w:rPr>
        <w:t xml:space="preserve"> وم</w:t>
      </w:r>
      <w:r w:rsidRPr="00904FCB">
        <w:rPr>
          <w:rFonts w:asciiTheme="minorBidi" w:hAnsiTheme="minorBidi" w:hint="cs"/>
          <w:sz w:val="27"/>
          <w:rtl/>
        </w:rPr>
        <w:t>َ</w:t>
      </w:r>
      <w:r w:rsidR="00EF655F" w:rsidRPr="00904FCB">
        <w:rPr>
          <w:rFonts w:asciiTheme="minorBidi" w:hAnsiTheme="minorBidi" w:hint="cs"/>
          <w:sz w:val="27"/>
          <w:rtl/>
        </w:rPr>
        <w:t>ن</w:t>
      </w:r>
      <w:r w:rsidRPr="00904FCB">
        <w:rPr>
          <w:rFonts w:asciiTheme="minorBidi" w:hAnsiTheme="minorBidi" w:hint="cs"/>
          <w:sz w:val="27"/>
          <w:rtl/>
        </w:rPr>
        <w:t>ْ</w:t>
      </w:r>
      <w:r w:rsidR="00EF655F" w:rsidRPr="00904FCB">
        <w:rPr>
          <w:rFonts w:asciiTheme="minorBidi" w:hAnsiTheme="minorBidi" w:hint="cs"/>
          <w:sz w:val="27"/>
          <w:rtl/>
        </w:rPr>
        <w:t xml:space="preserve"> عدا ذلك كان عليه حراما</w:t>
      </w:r>
      <w:r w:rsidRPr="00904FCB">
        <w:rPr>
          <w:rFonts w:hint="cs"/>
          <w:sz w:val="27"/>
          <w:rtl/>
        </w:rPr>
        <w:t>ً</w:t>
      </w:r>
      <w:r w:rsidR="00EF655F" w:rsidRPr="00904FCB">
        <w:rPr>
          <w:rFonts w:hint="eastAsia"/>
          <w:sz w:val="27"/>
          <w:rtl/>
        </w:rPr>
        <w:t>»</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83"/>
      </w:r>
      <w:r w:rsidR="00EF655F" w:rsidRPr="00904FCB">
        <w:rPr>
          <w:rFonts w:asciiTheme="minorBidi" w:hAnsiTheme="minorBidi"/>
          <w:sz w:val="27"/>
          <w:vertAlign w:val="superscript"/>
          <w:rtl/>
        </w:rPr>
        <w:t>)</w:t>
      </w:r>
      <w:r w:rsidR="00EF655F"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وفي حديث</w:t>
      </w:r>
      <w:r w:rsidR="00530913" w:rsidRPr="00904FCB">
        <w:rPr>
          <w:rFonts w:asciiTheme="minorBidi" w:hAnsiTheme="minorBidi" w:hint="cs"/>
          <w:sz w:val="27"/>
          <w:rtl/>
        </w:rPr>
        <w:t>ٍ</w:t>
      </w:r>
      <w:r w:rsidRPr="00904FCB">
        <w:rPr>
          <w:rFonts w:asciiTheme="minorBidi" w:hAnsiTheme="minorBidi" w:hint="cs"/>
          <w:sz w:val="27"/>
          <w:rtl/>
        </w:rPr>
        <w:t xml:space="preserve"> أن النبي</w:t>
      </w:r>
      <w:r w:rsidR="00530913" w:rsidRPr="00904FCB">
        <w:rPr>
          <w:rFonts w:asciiTheme="minorBidi" w:hAnsiTheme="minorBidi" w:hint="cs"/>
          <w:sz w:val="27"/>
          <w:rtl/>
        </w:rPr>
        <w:t>ّ</w:t>
      </w:r>
      <w:r w:rsidRPr="00904FCB">
        <w:rPr>
          <w:rFonts w:asciiTheme="minorBidi" w:hAnsiTheme="minorBidi" w:hint="cs"/>
          <w:sz w:val="27"/>
          <w:rtl/>
        </w:rPr>
        <w:t xml:space="preserve"> ال</w:t>
      </w:r>
      <w:r w:rsidR="00530913" w:rsidRPr="00904FCB">
        <w:rPr>
          <w:rFonts w:asciiTheme="minorBidi" w:hAnsiTheme="minorBidi" w:hint="cs"/>
          <w:sz w:val="27"/>
          <w:rtl/>
        </w:rPr>
        <w:t>أ</w:t>
      </w:r>
      <w:r w:rsidRPr="00904FCB">
        <w:rPr>
          <w:rFonts w:asciiTheme="minorBidi" w:hAnsiTheme="minorBidi" w:hint="cs"/>
          <w:sz w:val="27"/>
          <w:rtl/>
        </w:rPr>
        <w:t>كرم</w:t>
      </w:r>
      <w:r w:rsidR="00635E51" w:rsidRPr="00904FCB">
        <w:rPr>
          <w:rFonts w:asciiTheme="minorBidi" w:hAnsiTheme="minorBidi" w:cs="Mosawi" w:hint="cs"/>
          <w:sz w:val="27"/>
          <w:szCs w:val="22"/>
          <w:rtl/>
        </w:rPr>
        <w:t>|</w:t>
      </w:r>
      <w:r w:rsidRPr="00904FCB">
        <w:rPr>
          <w:rFonts w:asciiTheme="minorBidi" w:hAnsiTheme="minorBidi" w:hint="cs"/>
          <w:sz w:val="27"/>
          <w:rtl/>
        </w:rPr>
        <w:t xml:space="preserve"> بينما هو في طريق</w:t>
      </w:r>
      <w:r w:rsidR="000448F1" w:rsidRPr="00904FCB">
        <w:rPr>
          <w:rFonts w:asciiTheme="minorBidi" w:hAnsiTheme="minorBidi" w:hint="cs"/>
          <w:sz w:val="27"/>
          <w:rtl/>
        </w:rPr>
        <w:t>ٍ</w:t>
      </w:r>
      <w:r w:rsidRPr="00904FCB">
        <w:rPr>
          <w:rFonts w:asciiTheme="minorBidi" w:hAnsiTheme="minorBidi" w:hint="cs"/>
          <w:sz w:val="27"/>
          <w:rtl/>
        </w:rPr>
        <w:t xml:space="preserve"> له إذ</w:t>
      </w:r>
      <w:r w:rsidR="000448F1" w:rsidRPr="00904FCB">
        <w:rPr>
          <w:rFonts w:asciiTheme="minorBidi" w:hAnsiTheme="minorBidi" w:hint="cs"/>
          <w:sz w:val="27"/>
          <w:rtl/>
        </w:rPr>
        <w:t>ا</w:t>
      </w:r>
      <w:r w:rsidRPr="00904FCB">
        <w:rPr>
          <w:rFonts w:asciiTheme="minorBidi" w:hAnsiTheme="minorBidi" w:hint="cs"/>
          <w:sz w:val="27"/>
          <w:rtl/>
        </w:rPr>
        <w:t xml:space="preserve"> به يرى أحد أصحابه</w:t>
      </w:r>
      <w:r w:rsidR="000448F1" w:rsidRPr="00904FCB">
        <w:rPr>
          <w:rFonts w:asciiTheme="minorBidi" w:hAnsiTheme="minorBidi" w:hint="cs"/>
          <w:sz w:val="27"/>
          <w:rtl/>
        </w:rPr>
        <w:t>،</w:t>
      </w:r>
      <w:r w:rsidRPr="00904FCB">
        <w:rPr>
          <w:rFonts w:asciiTheme="minorBidi" w:hAnsiTheme="minorBidi" w:hint="cs"/>
          <w:sz w:val="27"/>
          <w:rtl/>
        </w:rPr>
        <w:t xml:space="preserve"> وي</w:t>
      </w:r>
      <w:r w:rsidR="000448F1" w:rsidRPr="00904FCB">
        <w:rPr>
          <w:rFonts w:asciiTheme="minorBidi" w:hAnsiTheme="minorBidi" w:hint="cs"/>
          <w:sz w:val="27"/>
          <w:rtl/>
        </w:rPr>
        <w:t>ُ</w:t>
      </w:r>
      <w:r w:rsidRPr="00904FCB">
        <w:rPr>
          <w:rFonts w:asciiTheme="minorBidi" w:hAnsiTheme="minorBidi" w:hint="cs"/>
          <w:sz w:val="27"/>
          <w:rtl/>
        </w:rPr>
        <w:t>دعى سعد</w:t>
      </w:r>
      <w:r w:rsidR="000448F1" w:rsidRPr="00904FCB">
        <w:rPr>
          <w:rFonts w:asciiTheme="minorBidi" w:hAnsiTheme="minorBidi" w:hint="cs"/>
          <w:sz w:val="27"/>
          <w:rtl/>
        </w:rPr>
        <w:t>،</w:t>
      </w:r>
      <w:r w:rsidRPr="00904FCB">
        <w:rPr>
          <w:rFonts w:asciiTheme="minorBidi" w:hAnsiTheme="minorBidi" w:hint="cs"/>
          <w:sz w:val="27"/>
          <w:rtl/>
        </w:rPr>
        <w:t xml:space="preserve"> يتوض</w:t>
      </w:r>
      <w:r w:rsidR="000448F1" w:rsidRPr="00904FCB">
        <w:rPr>
          <w:rFonts w:asciiTheme="minorBidi" w:hAnsiTheme="minorBidi" w:hint="cs"/>
          <w:sz w:val="27"/>
          <w:rtl/>
        </w:rPr>
        <w:t>ّأ</w:t>
      </w:r>
      <w:r w:rsidRPr="00904FCB">
        <w:rPr>
          <w:rFonts w:asciiTheme="minorBidi" w:hAnsiTheme="minorBidi" w:hint="cs"/>
          <w:sz w:val="27"/>
          <w:rtl/>
        </w:rPr>
        <w:t xml:space="preserve"> بالكثير من الماء، فقال له النبي</w:t>
      </w:r>
      <w:r w:rsidR="000448F1" w:rsidRPr="00904FCB">
        <w:rPr>
          <w:rFonts w:asciiTheme="minorBidi" w:hAnsiTheme="minorBidi" w:hint="cs"/>
          <w:sz w:val="27"/>
          <w:rtl/>
        </w:rPr>
        <w:t>ّ</w:t>
      </w:r>
      <w:r w:rsidR="00635E51" w:rsidRPr="00904FCB">
        <w:rPr>
          <w:rFonts w:asciiTheme="minorBidi" w:hAnsiTheme="minorBidi" w:cs="Mosawi" w:hint="cs"/>
          <w:sz w:val="27"/>
          <w:szCs w:val="22"/>
          <w:rtl/>
        </w:rPr>
        <w:t>|</w:t>
      </w:r>
      <w:r w:rsidR="000448F1" w:rsidRPr="00904FCB">
        <w:rPr>
          <w:rFonts w:asciiTheme="minorBidi" w:hAnsiTheme="minorBidi" w:hint="cs"/>
          <w:sz w:val="27"/>
          <w:rtl/>
        </w:rPr>
        <w:t>:</w:t>
      </w:r>
      <w:r w:rsidRPr="00904FCB">
        <w:rPr>
          <w:rFonts w:asciiTheme="minorBidi" w:hAnsiTheme="minorBidi" w:hint="cs"/>
          <w:sz w:val="27"/>
          <w:rtl/>
        </w:rPr>
        <w:t xml:space="preserve"> لماذا تسرف يا</w:t>
      </w:r>
      <w:r w:rsidR="000448F1" w:rsidRPr="00904FCB">
        <w:rPr>
          <w:rFonts w:asciiTheme="minorBidi" w:hAnsiTheme="minorBidi" w:hint="cs"/>
          <w:sz w:val="27"/>
          <w:rtl/>
        </w:rPr>
        <w:t xml:space="preserve"> </w:t>
      </w:r>
      <w:r w:rsidRPr="00904FCB">
        <w:rPr>
          <w:rFonts w:asciiTheme="minorBidi" w:hAnsiTheme="minorBidi" w:hint="cs"/>
          <w:sz w:val="27"/>
          <w:rtl/>
        </w:rPr>
        <w:t>سعد في الماء؟ فتعج</w:t>
      </w:r>
      <w:r w:rsidR="000448F1" w:rsidRPr="00904FCB">
        <w:rPr>
          <w:rFonts w:asciiTheme="minorBidi" w:hAnsiTheme="minorBidi" w:hint="cs"/>
          <w:sz w:val="27"/>
          <w:rtl/>
        </w:rPr>
        <w:t>ّ</w:t>
      </w:r>
      <w:r w:rsidRPr="00904FCB">
        <w:rPr>
          <w:rFonts w:asciiTheme="minorBidi" w:hAnsiTheme="minorBidi" w:hint="cs"/>
          <w:sz w:val="27"/>
          <w:rtl/>
        </w:rPr>
        <w:t>ب سعد</w:t>
      </w:r>
      <w:r w:rsidR="000448F1" w:rsidRPr="00904FCB">
        <w:rPr>
          <w:rFonts w:asciiTheme="minorBidi" w:hAnsiTheme="minorBidi" w:hint="cs"/>
          <w:sz w:val="27"/>
          <w:rtl/>
        </w:rPr>
        <w:t>،</w:t>
      </w:r>
      <w:r w:rsidRPr="00904FCB">
        <w:rPr>
          <w:rFonts w:asciiTheme="minorBidi" w:hAnsiTheme="minorBidi" w:hint="cs"/>
          <w:sz w:val="27"/>
          <w:rtl/>
        </w:rPr>
        <w:t xml:space="preserve"> وقال</w:t>
      </w:r>
      <w:r w:rsidR="000448F1" w:rsidRPr="00904FCB">
        <w:rPr>
          <w:rFonts w:asciiTheme="minorBidi" w:hAnsiTheme="minorBidi" w:hint="cs"/>
          <w:sz w:val="27"/>
          <w:rtl/>
        </w:rPr>
        <w:t>:</w:t>
      </w:r>
      <w:r w:rsidRPr="00904FCB">
        <w:rPr>
          <w:rFonts w:asciiTheme="minorBidi" w:hAnsiTheme="minorBidi" w:hint="cs"/>
          <w:sz w:val="27"/>
          <w:rtl/>
        </w:rPr>
        <w:t xml:space="preserve"> وهل في الماء إسراف</w:t>
      </w:r>
      <w:r w:rsidR="000448F1" w:rsidRPr="00904FCB">
        <w:rPr>
          <w:rFonts w:asciiTheme="minorBidi" w:hAnsiTheme="minorBidi" w:hint="cs"/>
          <w:sz w:val="27"/>
          <w:rtl/>
        </w:rPr>
        <w:t>؟!</w:t>
      </w:r>
      <w:r w:rsidRPr="00904FCB">
        <w:rPr>
          <w:rFonts w:asciiTheme="minorBidi" w:hAnsiTheme="minorBidi" w:hint="cs"/>
          <w:sz w:val="27"/>
          <w:rtl/>
        </w:rPr>
        <w:t xml:space="preserve"> فأجابه النبي</w:t>
      </w:r>
      <w:r w:rsidR="00635E51" w:rsidRPr="00904FCB">
        <w:rPr>
          <w:rFonts w:asciiTheme="minorBidi" w:hAnsiTheme="minorBidi" w:cs="Mosawi" w:hint="cs"/>
          <w:sz w:val="27"/>
          <w:szCs w:val="22"/>
          <w:rtl/>
        </w:rPr>
        <w:t>|</w:t>
      </w:r>
      <w:r w:rsidRPr="00904FCB">
        <w:rPr>
          <w:rFonts w:asciiTheme="minorBidi" w:hAnsiTheme="minorBidi" w:hint="cs"/>
          <w:sz w:val="27"/>
          <w:rtl/>
        </w:rPr>
        <w:t xml:space="preserve">: </w:t>
      </w:r>
      <w:r w:rsidRPr="00904FCB">
        <w:rPr>
          <w:rFonts w:hint="eastAsia"/>
          <w:sz w:val="27"/>
          <w:rtl/>
        </w:rPr>
        <w:t>«</w:t>
      </w:r>
      <w:r w:rsidR="000448F1" w:rsidRPr="00904FCB">
        <w:rPr>
          <w:rFonts w:asciiTheme="minorBidi" w:hAnsiTheme="minorBidi" w:hint="cs"/>
          <w:sz w:val="27"/>
          <w:rtl/>
        </w:rPr>
        <w:t>ن</w:t>
      </w:r>
      <w:r w:rsidRPr="00904FCB">
        <w:rPr>
          <w:rFonts w:asciiTheme="minorBidi" w:hAnsiTheme="minorBidi" w:hint="cs"/>
          <w:sz w:val="27"/>
          <w:rtl/>
        </w:rPr>
        <w:t>عم</w:t>
      </w:r>
      <w:r w:rsidR="000448F1" w:rsidRPr="00904FCB">
        <w:rPr>
          <w:rFonts w:asciiTheme="minorBidi" w:hAnsiTheme="minorBidi" w:hint="cs"/>
          <w:sz w:val="27"/>
          <w:rtl/>
        </w:rPr>
        <w:t>،</w:t>
      </w:r>
      <w:r w:rsidRPr="00904FCB">
        <w:rPr>
          <w:rFonts w:asciiTheme="minorBidi" w:hAnsiTheme="minorBidi" w:hint="cs"/>
          <w:sz w:val="27"/>
          <w:rtl/>
        </w:rPr>
        <w:t xml:space="preserve"> وإن</w:t>
      </w:r>
      <w:r w:rsidR="000448F1" w:rsidRPr="00904FCB">
        <w:rPr>
          <w:rFonts w:asciiTheme="minorBidi" w:hAnsiTheme="minorBidi" w:hint="cs"/>
          <w:sz w:val="27"/>
          <w:rtl/>
        </w:rPr>
        <w:t>ْ</w:t>
      </w:r>
      <w:r w:rsidRPr="00904FCB">
        <w:rPr>
          <w:rFonts w:asciiTheme="minorBidi" w:hAnsiTheme="minorBidi" w:hint="cs"/>
          <w:sz w:val="27"/>
          <w:rtl/>
        </w:rPr>
        <w:t xml:space="preserve"> كن</w:t>
      </w:r>
      <w:r w:rsidR="000448F1" w:rsidRPr="00904FCB">
        <w:rPr>
          <w:rFonts w:asciiTheme="minorBidi" w:hAnsiTheme="minorBidi" w:hint="cs"/>
          <w:sz w:val="27"/>
          <w:rtl/>
        </w:rPr>
        <w:t>ْ</w:t>
      </w:r>
      <w:r w:rsidRPr="00904FCB">
        <w:rPr>
          <w:rFonts w:asciiTheme="minorBidi" w:hAnsiTheme="minorBidi" w:hint="cs"/>
          <w:sz w:val="27"/>
          <w:rtl/>
        </w:rPr>
        <w:t>ت</w:t>
      </w:r>
      <w:r w:rsidR="000448F1" w:rsidRPr="00904FCB">
        <w:rPr>
          <w:rFonts w:asciiTheme="minorBidi" w:hAnsiTheme="minorBidi" w:hint="cs"/>
          <w:sz w:val="27"/>
          <w:rtl/>
        </w:rPr>
        <w:t>َ</w:t>
      </w:r>
      <w:r w:rsidRPr="00904FCB">
        <w:rPr>
          <w:rFonts w:asciiTheme="minorBidi" w:hAnsiTheme="minorBidi" w:hint="cs"/>
          <w:sz w:val="27"/>
          <w:rtl/>
        </w:rPr>
        <w:t xml:space="preserve"> على نهرٍ</w:t>
      </w:r>
      <w:r w:rsidR="000448F1" w:rsidRPr="00904FCB">
        <w:rPr>
          <w:rFonts w:asciiTheme="minorBidi" w:hAnsiTheme="minorBidi" w:hint="cs"/>
          <w:sz w:val="27"/>
          <w:rtl/>
        </w:rPr>
        <w:t xml:space="preserve"> </w:t>
      </w:r>
      <w:r w:rsidRPr="00904FCB">
        <w:rPr>
          <w:rFonts w:asciiTheme="minorBidi" w:hAnsiTheme="minorBidi" w:hint="cs"/>
          <w:sz w:val="27"/>
          <w:rtl/>
        </w:rPr>
        <w:t>جارٍ</w:t>
      </w:r>
      <w:r w:rsidRPr="00904FCB">
        <w:rPr>
          <w:rFonts w:hint="eastAsia"/>
          <w:sz w:val="27"/>
          <w:rtl/>
        </w:rPr>
        <w:t>»</w:t>
      </w:r>
      <w:r w:rsidRPr="00904FCB">
        <w:rPr>
          <w:rFonts w:asciiTheme="minorBidi" w:hAnsiTheme="minorBidi"/>
          <w:sz w:val="27"/>
          <w:vertAlign w:val="superscript"/>
          <w:rtl/>
        </w:rPr>
        <w:t>(</w:t>
      </w:r>
      <w:r w:rsidRPr="00904FCB">
        <w:rPr>
          <w:rStyle w:val="ac"/>
          <w:rFonts w:asciiTheme="minorBidi" w:hAnsiTheme="minorBidi"/>
          <w:sz w:val="27"/>
          <w:rtl/>
        </w:rPr>
        <w:endnoteReference w:id="584"/>
      </w:r>
      <w:r w:rsidRPr="00904FCB">
        <w:rPr>
          <w:rFonts w:asciiTheme="minorBidi" w:hAnsiTheme="minorBidi"/>
          <w:sz w:val="27"/>
          <w:vertAlign w:val="superscript"/>
          <w:rtl/>
        </w:rPr>
        <w:t>)</w:t>
      </w:r>
      <w:r w:rsidRPr="00904FCB">
        <w:rPr>
          <w:rFonts w:asciiTheme="minorBidi" w:hAnsiTheme="minorBidi" w:hint="cs"/>
          <w:sz w:val="27"/>
          <w:rtl/>
        </w:rPr>
        <w:t xml:space="preserve">. </w:t>
      </w:r>
    </w:p>
    <w:p w:rsidR="00EF655F" w:rsidRPr="00904FCB" w:rsidRDefault="000448F1" w:rsidP="007A21AA">
      <w:pPr>
        <w:spacing w:line="400" w:lineRule="exact"/>
        <w:rPr>
          <w:rFonts w:asciiTheme="minorBidi" w:hAnsiTheme="minorBidi"/>
          <w:sz w:val="27"/>
          <w:rtl/>
        </w:rPr>
      </w:pPr>
      <w:r w:rsidRPr="00904FCB">
        <w:rPr>
          <w:rFonts w:asciiTheme="minorBidi" w:hAnsiTheme="minorBidi" w:hint="cs"/>
          <w:sz w:val="27"/>
          <w:rtl/>
        </w:rPr>
        <w:t>و</w:t>
      </w:r>
      <w:r w:rsidR="00EF655F" w:rsidRPr="00904FCB">
        <w:rPr>
          <w:rFonts w:asciiTheme="minorBidi" w:hAnsiTheme="minorBidi" w:hint="cs"/>
          <w:sz w:val="27"/>
          <w:rtl/>
        </w:rPr>
        <w:t>في حديث</w:t>
      </w:r>
      <w:r w:rsidRPr="00904FCB">
        <w:rPr>
          <w:rFonts w:asciiTheme="minorBidi" w:hAnsiTheme="minorBidi" w:hint="cs"/>
          <w:sz w:val="27"/>
          <w:rtl/>
        </w:rPr>
        <w:t>ٍ</w:t>
      </w:r>
      <w:r w:rsidR="00EF655F" w:rsidRPr="00904FCB">
        <w:rPr>
          <w:rFonts w:asciiTheme="minorBidi" w:hAnsiTheme="minorBidi" w:hint="cs"/>
          <w:sz w:val="27"/>
          <w:rtl/>
        </w:rPr>
        <w:t xml:space="preserve"> آخر أن</w:t>
      </w:r>
      <w:r w:rsidRPr="00904FCB">
        <w:rPr>
          <w:rFonts w:asciiTheme="minorBidi" w:hAnsiTheme="minorBidi" w:hint="cs"/>
          <w:sz w:val="27"/>
          <w:rtl/>
        </w:rPr>
        <w:t>ّ</w:t>
      </w:r>
      <w:r w:rsidR="00EF655F" w:rsidRPr="00904FCB">
        <w:rPr>
          <w:rFonts w:asciiTheme="minorBidi" w:hAnsiTheme="minorBidi" w:hint="cs"/>
          <w:sz w:val="27"/>
          <w:rtl/>
        </w:rPr>
        <w:t>ه</w:t>
      </w:r>
      <w:r w:rsidR="00635E51" w:rsidRPr="00904FCB">
        <w:rPr>
          <w:rFonts w:asciiTheme="minorBidi" w:hAnsiTheme="minorBidi" w:cs="Mosawi" w:hint="cs"/>
          <w:sz w:val="27"/>
          <w:szCs w:val="22"/>
          <w:rtl/>
        </w:rPr>
        <w:t>|</w:t>
      </w:r>
      <w:r w:rsidR="00EF655F" w:rsidRPr="00904FCB">
        <w:rPr>
          <w:rFonts w:asciiTheme="minorBidi" w:hAnsiTheme="minorBidi" w:hint="cs"/>
          <w:sz w:val="27"/>
          <w:rtl/>
        </w:rPr>
        <w:t xml:space="preserve"> ر</w:t>
      </w:r>
      <w:r w:rsidRPr="00904FCB">
        <w:rPr>
          <w:rFonts w:asciiTheme="minorBidi" w:hAnsiTheme="minorBidi" w:hint="cs"/>
          <w:sz w:val="27"/>
          <w:rtl/>
        </w:rPr>
        <w:t>أ</w:t>
      </w:r>
      <w:r w:rsidR="00EF655F" w:rsidRPr="00904FCB">
        <w:rPr>
          <w:rFonts w:asciiTheme="minorBidi" w:hAnsiTheme="minorBidi" w:hint="cs"/>
          <w:sz w:val="27"/>
          <w:rtl/>
        </w:rPr>
        <w:t>ى صبية</w:t>
      </w:r>
      <w:r w:rsidRPr="00904FCB">
        <w:rPr>
          <w:rFonts w:asciiTheme="minorBidi" w:hAnsiTheme="minorBidi" w:hint="cs"/>
          <w:sz w:val="27"/>
          <w:rtl/>
        </w:rPr>
        <w:t>ً</w:t>
      </w:r>
      <w:r w:rsidR="00EF655F" w:rsidRPr="00904FCB">
        <w:rPr>
          <w:rFonts w:asciiTheme="minorBidi" w:hAnsiTheme="minorBidi" w:hint="cs"/>
          <w:sz w:val="27"/>
          <w:rtl/>
        </w:rPr>
        <w:t xml:space="preserve"> يأكلون نصف الثمرة</w:t>
      </w:r>
      <w:r w:rsidRPr="00904FCB">
        <w:rPr>
          <w:rFonts w:asciiTheme="minorBidi" w:hAnsiTheme="minorBidi" w:hint="cs"/>
          <w:sz w:val="27"/>
          <w:rtl/>
        </w:rPr>
        <w:t>،</w:t>
      </w:r>
      <w:r w:rsidR="00EF655F" w:rsidRPr="00904FCB">
        <w:rPr>
          <w:rFonts w:asciiTheme="minorBidi" w:hAnsiTheme="minorBidi" w:hint="cs"/>
          <w:sz w:val="27"/>
          <w:rtl/>
        </w:rPr>
        <w:t xml:space="preserve"> ويرمون بالباقي</w:t>
      </w:r>
      <w:r w:rsidRPr="00904FCB">
        <w:rPr>
          <w:rFonts w:asciiTheme="minorBidi" w:hAnsiTheme="minorBidi" w:hint="cs"/>
          <w:sz w:val="27"/>
          <w:rtl/>
        </w:rPr>
        <w:t>،</w:t>
      </w:r>
      <w:r w:rsidR="00EF655F" w:rsidRPr="00904FCB">
        <w:rPr>
          <w:rFonts w:asciiTheme="minorBidi" w:hAnsiTheme="minorBidi" w:hint="cs"/>
          <w:sz w:val="27"/>
          <w:rtl/>
        </w:rPr>
        <w:t xml:space="preserve"> فقال لهم</w:t>
      </w:r>
      <w:r w:rsidR="00635E51" w:rsidRPr="00904FCB">
        <w:rPr>
          <w:rFonts w:asciiTheme="minorBidi" w:hAnsiTheme="minorBidi" w:cs="Mosawi" w:hint="cs"/>
          <w:sz w:val="27"/>
          <w:szCs w:val="22"/>
          <w:rtl/>
        </w:rPr>
        <w:t>|</w:t>
      </w:r>
      <w:r w:rsidR="00EF655F" w:rsidRPr="00904FCB">
        <w:rPr>
          <w:rFonts w:asciiTheme="minorBidi" w:hAnsiTheme="minorBidi" w:hint="cs"/>
          <w:sz w:val="27"/>
          <w:rtl/>
        </w:rPr>
        <w:t xml:space="preserve">: </w:t>
      </w:r>
      <w:r w:rsidR="00EF655F" w:rsidRPr="00904FCB">
        <w:rPr>
          <w:rFonts w:hint="eastAsia"/>
          <w:sz w:val="27"/>
          <w:rtl/>
        </w:rPr>
        <w:t>«</w:t>
      </w:r>
      <w:r w:rsidR="00EF655F" w:rsidRPr="00904FCB">
        <w:rPr>
          <w:rFonts w:asciiTheme="minorBidi" w:hAnsiTheme="minorBidi" w:hint="cs"/>
          <w:sz w:val="27"/>
          <w:rtl/>
        </w:rPr>
        <w:t>سبحان الله إن</w:t>
      </w:r>
      <w:r w:rsidRPr="00904FCB">
        <w:rPr>
          <w:rFonts w:asciiTheme="minorBidi" w:hAnsiTheme="minorBidi" w:hint="cs"/>
          <w:sz w:val="27"/>
          <w:rtl/>
        </w:rPr>
        <w:t>ْ</w:t>
      </w:r>
      <w:r w:rsidR="00EF655F" w:rsidRPr="00904FCB">
        <w:rPr>
          <w:rFonts w:asciiTheme="minorBidi" w:hAnsiTheme="minorBidi" w:hint="cs"/>
          <w:sz w:val="27"/>
          <w:rtl/>
        </w:rPr>
        <w:t xml:space="preserve"> كنتم استغنيتم فإن</w:t>
      </w:r>
      <w:r w:rsidRPr="00904FCB">
        <w:rPr>
          <w:rFonts w:asciiTheme="minorBidi" w:hAnsiTheme="minorBidi" w:hint="cs"/>
          <w:sz w:val="27"/>
          <w:rtl/>
        </w:rPr>
        <w:t>ّ</w:t>
      </w:r>
      <w:r w:rsidR="00EF655F" w:rsidRPr="00904FCB">
        <w:rPr>
          <w:rFonts w:asciiTheme="minorBidi" w:hAnsiTheme="minorBidi" w:hint="cs"/>
          <w:sz w:val="27"/>
          <w:rtl/>
        </w:rPr>
        <w:t xml:space="preserve"> الناس لم يستغنوا</w:t>
      </w:r>
      <w:r w:rsidRPr="00904FCB">
        <w:rPr>
          <w:rFonts w:asciiTheme="minorBidi" w:hAnsiTheme="minorBidi" w:hint="cs"/>
          <w:sz w:val="27"/>
          <w:rtl/>
        </w:rPr>
        <w:t>،</w:t>
      </w:r>
      <w:r w:rsidR="00EF655F" w:rsidRPr="00904FCB">
        <w:rPr>
          <w:rFonts w:asciiTheme="minorBidi" w:hAnsiTheme="minorBidi" w:hint="cs"/>
          <w:sz w:val="27"/>
          <w:rtl/>
        </w:rPr>
        <w:t xml:space="preserve"> أ</w:t>
      </w:r>
      <w:r w:rsidRPr="00904FCB">
        <w:rPr>
          <w:rFonts w:asciiTheme="minorBidi" w:hAnsiTheme="minorBidi" w:hint="cs"/>
          <w:sz w:val="27"/>
          <w:rtl/>
        </w:rPr>
        <w:t>َ</w:t>
      </w:r>
      <w:r w:rsidR="00EF655F" w:rsidRPr="00904FCB">
        <w:rPr>
          <w:rFonts w:asciiTheme="minorBidi" w:hAnsiTheme="minorBidi" w:hint="cs"/>
          <w:sz w:val="27"/>
          <w:rtl/>
        </w:rPr>
        <w:t>ط</w:t>
      </w:r>
      <w:r w:rsidRPr="00904FCB">
        <w:rPr>
          <w:rFonts w:asciiTheme="minorBidi" w:hAnsiTheme="minorBidi" w:hint="cs"/>
          <w:sz w:val="27"/>
          <w:rtl/>
        </w:rPr>
        <w:t>ْعِ</w:t>
      </w:r>
      <w:r w:rsidR="00EF655F" w:rsidRPr="00904FCB">
        <w:rPr>
          <w:rFonts w:asciiTheme="minorBidi" w:hAnsiTheme="minorBidi" w:hint="cs"/>
          <w:sz w:val="27"/>
          <w:rtl/>
        </w:rPr>
        <w:t>موه م</w:t>
      </w:r>
      <w:r w:rsidRPr="00904FCB">
        <w:rPr>
          <w:rFonts w:asciiTheme="minorBidi" w:hAnsiTheme="minorBidi" w:hint="cs"/>
          <w:sz w:val="27"/>
          <w:rtl/>
        </w:rPr>
        <w:t>َ</w:t>
      </w:r>
      <w:r w:rsidR="00EF655F" w:rsidRPr="00904FCB">
        <w:rPr>
          <w:rFonts w:asciiTheme="minorBidi" w:hAnsiTheme="minorBidi" w:hint="cs"/>
          <w:sz w:val="27"/>
          <w:rtl/>
        </w:rPr>
        <w:t>ن</w:t>
      </w:r>
      <w:r w:rsidRPr="00904FCB">
        <w:rPr>
          <w:rFonts w:asciiTheme="minorBidi" w:hAnsiTheme="minorBidi" w:hint="cs"/>
          <w:sz w:val="27"/>
          <w:rtl/>
        </w:rPr>
        <w:t>ْ</w:t>
      </w:r>
      <w:r w:rsidR="00EF655F" w:rsidRPr="00904FCB">
        <w:rPr>
          <w:rFonts w:asciiTheme="minorBidi" w:hAnsiTheme="minorBidi" w:hint="cs"/>
          <w:sz w:val="27"/>
          <w:rtl/>
        </w:rPr>
        <w:t xml:space="preserve"> يحتاج إليه</w:t>
      </w:r>
      <w:r w:rsidR="00EF655F" w:rsidRPr="00904FCB">
        <w:rPr>
          <w:rFonts w:hint="eastAsia"/>
          <w:sz w:val="27"/>
          <w:rtl/>
        </w:rPr>
        <w:t>»</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85"/>
      </w:r>
      <w:r w:rsidR="00EF655F" w:rsidRPr="00904FCB">
        <w:rPr>
          <w:rFonts w:asciiTheme="minorBidi" w:hAnsiTheme="minorBidi"/>
          <w:sz w:val="27"/>
          <w:vertAlign w:val="superscript"/>
          <w:rtl/>
        </w:rPr>
        <w:t>)</w:t>
      </w:r>
      <w:r w:rsidR="00EF655F"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وعن الإمام الصادق</w:t>
      </w:r>
      <w:r w:rsidR="001C1A2A" w:rsidRPr="00904FCB">
        <w:rPr>
          <w:rFonts w:asciiTheme="minorBidi" w:hAnsiTheme="minorBidi" w:cs="Mosawi" w:hint="cs"/>
          <w:sz w:val="27"/>
          <w:szCs w:val="22"/>
          <w:rtl/>
        </w:rPr>
        <w:t>×</w:t>
      </w:r>
      <w:r w:rsidRPr="00904FCB">
        <w:rPr>
          <w:rFonts w:asciiTheme="minorBidi" w:hAnsiTheme="minorBidi" w:hint="cs"/>
          <w:sz w:val="27"/>
          <w:rtl/>
        </w:rPr>
        <w:t xml:space="preserve">: </w:t>
      </w:r>
      <w:r w:rsidRPr="00904FCB">
        <w:rPr>
          <w:rFonts w:hint="eastAsia"/>
          <w:sz w:val="27"/>
          <w:rtl/>
        </w:rPr>
        <w:t>«</w:t>
      </w:r>
      <w:r w:rsidRPr="00904FCB">
        <w:rPr>
          <w:rFonts w:asciiTheme="minorBidi" w:hAnsiTheme="minorBidi" w:hint="cs"/>
          <w:sz w:val="27"/>
          <w:rtl/>
        </w:rPr>
        <w:t>أدنى الإسراف هِراقة فَض</w:t>
      </w:r>
      <w:r w:rsidR="000448F1" w:rsidRPr="00904FCB">
        <w:rPr>
          <w:rFonts w:asciiTheme="minorBidi" w:hAnsiTheme="minorBidi" w:hint="cs"/>
          <w:sz w:val="27"/>
          <w:rtl/>
        </w:rPr>
        <w:t>ْ</w:t>
      </w:r>
      <w:r w:rsidRPr="00904FCB">
        <w:rPr>
          <w:rFonts w:asciiTheme="minorBidi" w:hAnsiTheme="minorBidi" w:hint="cs"/>
          <w:sz w:val="27"/>
          <w:rtl/>
        </w:rPr>
        <w:t>ل الإناء</w:t>
      </w:r>
      <w:r w:rsidR="000448F1" w:rsidRPr="00904FCB">
        <w:rPr>
          <w:rFonts w:asciiTheme="minorBidi" w:hAnsiTheme="minorBidi" w:hint="cs"/>
          <w:sz w:val="27"/>
          <w:rtl/>
        </w:rPr>
        <w:t xml:space="preserve">، </w:t>
      </w:r>
      <w:r w:rsidRPr="00904FCB">
        <w:rPr>
          <w:rFonts w:asciiTheme="minorBidi" w:hAnsiTheme="minorBidi" w:hint="cs"/>
          <w:sz w:val="27"/>
          <w:rtl/>
        </w:rPr>
        <w:t>وابتذال ثوب الصَّو</w:t>
      </w:r>
      <w:r w:rsidR="000448F1" w:rsidRPr="00904FCB">
        <w:rPr>
          <w:rFonts w:asciiTheme="minorBidi" w:hAnsiTheme="minorBidi" w:hint="cs"/>
          <w:sz w:val="27"/>
          <w:rtl/>
        </w:rPr>
        <w:t>ْ</w:t>
      </w:r>
      <w:r w:rsidRPr="00904FCB">
        <w:rPr>
          <w:rFonts w:asciiTheme="minorBidi" w:hAnsiTheme="minorBidi" w:hint="cs"/>
          <w:sz w:val="27"/>
          <w:rtl/>
        </w:rPr>
        <w:t>ن</w:t>
      </w:r>
      <w:r w:rsidR="000448F1" w:rsidRPr="00904FCB">
        <w:rPr>
          <w:rFonts w:asciiTheme="minorBidi" w:hAnsiTheme="minorBidi" w:hint="cs"/>
          <w:sz w:val="27"/>
          <w:rtl/>
        </w:rPr>
        <w:t>،</w:t>
      </w:r>
      <w:r w:rsidRPr="00904FCB">
        <w:rPr>
          <w:rFonts w:asciiTheme="minorBidi" w:hAnsiTheme="minorBidi" w:hint="cs"/>
          <w:sz w:val="27"/>
          <w:rtl/>
        </w:rPr>
        <w:t xml:space="preserve"> وإلقاء النَّوى</w:t>
      </w:r>
      <w:r w:rsidRPr="00904FCB">
        <w:rPr>
          <w:rFonts w:hint="eastAsia"/>
          <w:sz w:val="27"/>
          <w:rtl/>
        </w:rPr>
        <w:t>»</w:t>
      </w:r>
      <w:r w:rsidRPr="00904FCB">
        <w:rPr>
          <w:rFonts w:asciiTheme="minorBidi" w:hAnsiTheme="minorBidi"/>
          <w:sz w:val="27"/>
          <w:vertAlign w:val="superscript"/>
          <w:rtl/>
        </w:rPr>
        <w:t>(</w:t>
      </w:r>
      <w:r w:rsidRPr="00904FCB">
        <w:rPr>
          <w:rStyle w:val="ac"/>
          <w:rFonts w:asciiTheme="minorBidi" w:hAnsiTheme="minorBidi"/>
          <w:sz w:val="27"/>
          <w:rtl/>
        </w:rPr>
        <w:endnoteReference w:id="586"/>
      </w:r>
      <w:r w:rsidRPr="00904FCB">
        <w:rPr>
          <w:rFonts w:asciiTheme="minorBidi" w:hAnsiTheme="minorBidi"/>
          <w:sz w:val="27"/>
          <w:vertAlign w:val="superscript"/>
          <w:rtl/>
        </w:rPr>
        <w:t>)</w:t>
      </w:r>
      <w:r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p>
    <w:p w:rsidR="00EF655F" w:rsidRPr="00904FCB" w:rsidRDefault="00443AEA" w:rsidP="007A21AA">
      <w:pPr>
        <w:pStyle w:val="31"/>
        <w:spacing w:line="400" w:lineRule="exact"/>
        <w:rPr>
          <w:color w:val="auto"/>
          <w:rtl/>
        </w:rPr>
      </w:pPr>
      <w:r w:rsidRPr="00904FCB">
        <w:rPr>
          <w:rFonts w:hint="cs"/>
          <w:color w:val="auto"/>
          <w:rtl/>
        </w:rPr>
        <w:t xml:space="preserve">ج </w:t>
      </w:r>
      <w:r w:rsidR="00EF655F" w:rsidRPr="00904FCB">
        <w:rPr>
          <w:rFonts w:hint="cs"/>
          <w:color w:val="auto"/>
          <w:rtl/>
        </w:rPr>
        <w:t xml:space="preserve">ـ إلحاق الأذى بالنفس </w:t>
      </w:r>
    </w:p>
    <w:p w:rsidR="00EF655F" w:rsidRPr="00904FCB" w:rsidRDefault="00EF655F" w:rsidP="007A21AA">
      <w:pPr>
        <w:spacing w:line="400" w:lineRule="exact"/>
        <w:rPr>
          <w:rFonts w:asciiTheme="minorBidi" w:hAnsiTheme="minorBidi"/>
          <w:sz w:val="27"/>
        </w:rPr>
      </w:pPr>
      <w:r w:rsidRPr="00904FCB">
        <w:rPr>
          <w:rFonts w:asciiTheme="minorBidi" w:hAnsiTheme="minorBidi" w:hint="cs"/>
          <w:sz w:val="27"/>
          <w:rtl/>
        </w:rPr>
        <w:t>نهى القرآن عن إلحاق الضرر بالنفس</w:t>
      </w:r>
      <w:r w:rsidR="000448F1" w:rsidRPr="00904FCB">
        <w:rPr>
          <w:rFonts w:asciiTheme="minorBidi" w:hAnsiTheme="minorBidi" w:hint="cs"/>
          <w:sz w:val="27"/>
          <w:rtl/>
        </w:rPr>
        <w:t>،</w:t>
      </w:r>
      <w:r w:rsidRPr="00904FCB">
        <w:rPr>
          <w:rFonts w:asciiTheme="minorBidi" w:hAnsiTheme="minorBidi" w:hint="cs"/>
          <w:sz w:val="27"/>
          <w:rtl/>
        </w:rPr>
        <w:t xml:space="preserve"> وتعريضها للأذى: </w:t>
      </w:r>
      <w:r w:rsidRPr="00904FCB">
        <w:rPr>
          <w:rFonts w:ascii="Mosawi" w:hAnsi="Mosawi" w:cs="Mosawi"/>
          <w:sz w:val="24"/>
          <w:szCs w:val="24"/>
          <w:rtl/>
        </w:rPr>
        <w:t>﴿</w:t>
      </w:r>
      <w:r w:rsidR="000448F1" w:rsidRPr="00BC02C4">
        <w:rPr>
          <w:rFonts w:asciiTheme="minorBidi" w:hAnsiTheme="minorBidi"/>
          <w:b/>
          <w:bCs/>
          <w:sz w:val="27"/>
          <w:rtl/>
        </w:rPr>
        <w:t>وَل</w:t>
      </w:r>
      <w:r w:rsidRPr="00BC02C4">
        <w:rPr>
          <w:rFonts w:asciiTheme="minorBidi" w:hAnsiTheme="minorBidi"/>
          <w:b/>
          <w:bCs/>
          <w:sz w:val="27"/>
          <w:rtl/>
        </w:rPr>
        <w:t>ا تُلْقُوا بِأَيْدِيكُمْ إِلَى التَّهْلُكَةِ</w:t>
      </w:r>
      <w:r w:rsidRPr="00904FCB">
        <w:rPr>
          <w:rFonts w:ascii="Mosawi" w:hAnsi="Mosawi" w:cs="Mosawi"/>
          <w:sz w:val="24"/>
          <w:szCs w:val="24"/>
          <w:rtl/>
        </w:rPr>
        <w:t>﴾</w:t>
      </w:r>
      <w:r w:rsidRPr="00904FCB">
        <w:rPr>
          <w:rFonts w:asciiTheme="minorBidi" w:hAnsiTheme="minorBidi" w:hint="cs"/>
          <w:sz w:val="27"/>
          <w:rtl/>
        </w:rPr>
        <w:t xml:space="preserve"> (البقرة: </w:t>
      </w:r>
      <w:r w:rsidRPr="00DF4775">
        <w:rPr>
          <w:rFonts w:asciiTheme="minorBidi" w:hAnsiTheme="minorBidi" w:hint="cs"/>
          <w:sz w:val="27"/>
          <w:rtl/>
        </w:rPr>
        <w:t>195</w:t>
      </w:r>
      <w:r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من الأحكام المهم</w:t>
      </w:r>
      <w:r w:rsidR="000448F1" w:rsidRPr="00904FCB">
        <w:rPr>
          <w:rFonts w:asciiTheme="minorBidi" w:hAnsiTheme="minorBidi" w:hint="cs"/>
          <w:sz w:val="27"/>
          <w:rtl/>
        </w:rPr>
        <w:t>ّ</w:t>
      </w:r>
      <w:r w:rsidRPr="00904FCB">
        <w:rPr>
          <w:rFonts w:asciiTheme="minorBidi" w:hAnsiTheme="minorBidi" w:hint="cs"/>
          <w:sz w:val="27"/>
          <w:rtl/>
        </w:rPr>
        <w:t>ة في ال</w:t>
      </w:r>
      <w:r w:rsidR="000448F1" w:rsidRPr="00904FCB">
        <w:rPr>
          <w:rFonts w:asciiTheme="minorBidi" w:hAnsiTheme="minorBidi" w:hint="cs"/>
          <w:sz w:val="27"/>
          <w:rtl/>
        </w:rPr>
        <w:t>إ</w:t>
      </w:r>
      <w:r w:rsidRPr="00904FCB">
        <w:rPr>
          <w:rFonts w:asciiTheme="minorBidi" w:hAnsiTheme="minorBidi" w:hint="cs"/>
          <w:sz w:val="27"/>
          <w:rtl/>
        </w:rPr>
        <w:t>سلام حفظ سلامة النفس</w:t>
      </w:r>
      <w:r w:rsidR="000448F1" w:rsidRPr="00904FCB">
        <w:rPr>
          <w:rFonts w:asciiTheme="minorBidi" w:hAnsiTheme="minorBidi" w:hint="cs"/>
          <w:sz w:val="27"/>
          <w:rtl/>
        </w:rPr>
        <w:t>،</w:t>
      </w:r>
      <w:r w:rsidRPr="00904FCB">
        <w:rPr>
          <w:rFonts w:asciiTheme="minorBidi" w:hAnsiTheme="minorBidi" w:hint="cs"/>
          <w:sz w:val="27"/>
          <w:rtl/>
        </w:rPr>
        <w:t xml:space="preserve"> والحر</w:t>
      </w:r>
      <w:r w:rsidR="000448F1" w:rsidRPr="00904FCB">
        <w:rPr>
          <w:rFonts w:asciiTheme="minorBidi" w:hAnsiTheme="minorBidi" w:hint="cs"/>
          <w:sz w:val="27"/>
          <w:rtl/>
        </w:rPr>
        <w:t>ص</w:t>
      </w:r>
      <w:r w:rsidRPr="00904FCB">
        <w:rPr>
          <w:rFonts w:asciiTheme="minorBidi" w:hAnsiTheme="minorBidi" w:hint="cs"/>
          <w:sz w:val="27"/>
          <w:rtl/>
        </w:rPr>
        <w:t xml:space="preserve"> على الب</w:t>
      </w:r>
      <w:r w:rsidR="000448F1" w:rsidRPr="00904FCB">
        <w:rPr>
          <w:rFonts w:asciiTheme="minorBidi" w:hAnsiTheme="minorBidi" w:hint="cs"/>
          <w:sz w:val="27"/>
          <w:rtl/>
        </w:rPr>
        <w:t>َ</w:t>
      </w:r>
      <w:r w:rsidRPr="00904FCB">
        <w:rPr>
          <w:rFonts w:asciiTheme="minorBidi" w:hAnsiTheme="minorBidi" w:hint="cs"/>
          <w:sz w:val="27"/>
          <w:rtl/>
        </w:rPr>
        <w:t>د</w:t>
      </w:r>
      <w:r w:rsidR="000448F1" w:rsidRPr="00904FCB">
        <w:rPr>
          <w:rFonts w:asciiTheme="minorBidi" w:hAnsiTheme="minorBidi" w:hint="cs"/>
          <w:sz w:val="27"/>
          <w:rtl/>
        </w:rPr>
        <w:t>َ</w:t>
      </w:r>
      <w:r w:rsidRPr="00904FCB">
        <w:rPr>
          <w:rFonts w:asciiTheme="minorBidi" w:hAnsiTheme="minorBidi" w:hint="cs"/>
          <w:sz w:val="27"/>
          <w:rtl/>
        </w:rPr>
        <w:t>ن من أن يتعر</w:t>
      </w:r>
      <w:r w:rsidR="000448F1" w:rsidRPr="00904FCB">
        <w:rPr>
          <w:rFonts w:asciiTheme="minorBidi" w:hAnsiTheme="minorBidi" w:hint="cs"/>
          <w:sz w:val="27"/>
          <w:rtl/>
        </w:rPr>
        <w:t>َّ</w:t>
      </w:r>
      <w:r w:rsidRPr="00904FCB">
        <w:rPr>
          <w:rFonts w:asciiTheme="minorBidi" w:hAnsiTheme="minorBidi" w:hint="cs"/>
          <w:sz w:val="27"/>
          <w:rtl/>
        </w:rPr>
        <w:t>ض للهلكة والأذى. ويلاحظ أن الإسلام اعتنى بالنفس والبدن في مختلف المناسبات والحالات</w:t>
      </w:r>
      <w:r w:rsidR="000448F1" w:rsidRPr="00904FCB">
        <w:rPr>
          <w:rFonts w:asciiTheme="minorBidi" w:hAnsiTheme="minorBidi" w:hint="cs"/>
          <w:sz w:val="27"/>
          <w:rtl/>
        </w:rPr>
        <w:t>،</w:t>
      </w:r>
      <w:r w:rsidRPr="00904FCB">
        <w:rPr>
          <w:rFonts w:asciiTheme="minorBidi" w:hAnsiTheme="minorBidi" w:hint="cs"/>
          <w:sz w:val="27"/>
          <w:rtl/>
        </w:rPr>
        <w:t xml:space="preserve"> بد</w:t>
      </w:r>
      <w:r w:rsidR="000448F1" w:rsidRPr="00904FCB">
        <w:rPr>
          <w:rFonts w:asciiTheme="minorBidi" w:hAnsiTheme="minorBidi" w:hint="cs"/>
          <w:sz w:val="27"/>
          <w:rtl/>
        </w:rPr>
        <w:t>ءاً</w:t>
      </w:r>
      <w:r w:rsidRPr="00904FCB">
        <w:rPr>
          <w:rFonts w:asciiTheme="minorBidi" w:hAnsiTheme="minorBidi" w:hint="cs"/>
          <w:sz w:val="27"/>
          <w:rtl/>
        </w:rPr>
        <w:t xml:space="preserve"> من الأكل والنوم واللباس إلى التحر</w:t>
      </w:r>
      <w:r w:rsidR="00BC02C4">
        <w:rPr>
          <w:rFonts w:asciiTheme="minorBidi" w:hAnsiTheme="minorBidi" w:hint="cs"/>
          <w:sz w:val="27"/>
          <w:rtl/>
        </w:rPr>
        <w:t>ُّ</w:t>
      </w:r>
      <w:r w:rsidRPr="00904FCB">
        <w:rPr>
          <w:rFonts w:asciiTheme="minorBidi" w:hAnsiTheme="minorBidi" w:hint="cs"/>
          <w:sz w:val="27"/>
          <w:rtl/>
        </w:rPr>
        <w:t xml:space="preserve">كات </w:t>
      </w:r>
      <w:r w:rsidR="000448F1" w:rsidRPr="00904FCB">
        <w:rPr>
          <w:rFonts w:asciiTheme="minorBidi" w:hAnsiTheme="minorBidi" w:hint="cs"/>
          <w:sz w:val="27"/>
          <w:rtl/>
        </w:rPr>
        <w:t>والانفعالات،</w:t>
      </w:r>
      <w:r w:rsidRPr="00904FCB">
        <w:rPr>
          <w:rFonts w:asciiTheme="minorBidi" w:hAnsiTheme="minorBidi" w:hint="cs"/>
          <w:sz w:val="27"/>
          <w:rtl/>
        </w:rPr>
        <w:t xml:space="preserve"> وذلك من خلال وضعه لمجموعة من الآداب والعادات التي تضمن سلامة جسمه </w:t>
      </w:r>
      <w:r w:rsidR="000448F1" w:rsidRPr="00904FCB">
        <w:rPr>
          <w:rFonts w:asciiTheme="minorBidi" w:hAnsiTheme="minorBidi" w:hint="cs"/>
          <w:sz w:val="27"/>
          <w:rtl/>
        </w:rPr>
        <w:t>ونموّه</w:t>
      </w:r>
      <w:r w:rsidRPr="00904FCB">
        <w:rPr>
          <w:rFonts w:asciiTheme="minorBidi" w:hAnsiTheme="minorBidi" w:hint="cs"/>
          <w:sz w:val="27"/>
          <w:rtl/>
        </w:rPr>
        <w:t xml:space="preserve"> ورشده</w:t>
      </w:r>
      <w:r w:rsidR="000448F1" w:rsidRPr="00904FCB">
        <w:rPr>
          <w:rFonts w:asciiTheme="minorBidi" w:hAnsiTheme="minorBidi" w:hint="cs"/>
          <w:sz w:val="27"/>
          <w:rtl/>
        </w:rPr>
        <w:t>،</w:t>
      </w:r>
      <w:r w:rsidRPr="00904FCB">
        <w:rPr>
          <w:rFonts w:asciiTheme="minorBidi" w:hAnsiTheme="minorBidi" w:hint="cs"/>
          <w:sz w:val="27"/>
          <w:rtl/>
        </w:rPr>
        <w:t xml:space="preserve"> وتمك</w:t>
      </w:r>
      <w:r w:rsidR="000448F1" w:rsidRPr="00904FCB">
        <w:rPr>
          <w:rFonts w:asciiTheme="minorBidi" w:hAnsiTheme="minorBidi" w:hint="cs"/>
          <w:sz w:val="27"/>
          <w:rtl/>
        </w:rPr>
        <w:t>ِّ</w:t>
      </w:r>
      <w:r w:rsidRPr="00904FCB">
        <w:rPr>
          <w:rFonts w:asciiTheme="minorBidi" w:hAnsiTheme="minorBidi" w:hint="cs"/>
          <w:sz w:val="27"/>
          <w:rtl/>
        </w:rPr>
        <w:t>نه طيلة عمره الاستفادة من مختلف الن</w:t>
      </w:r>
      <w:r w:rsidR="000448F1" w:rsidRPr="00904FCB">
        <w:rPr>
          <w:rFonts w:asciiTheme="minorBidi" w:hAnsiTheme="minorBidi" w:hint="cs"/>
          <w:sz w:val="27"/>
          <w:rtl/>
        </w:rPr>
        <w:t>ِّ</w:t>
      </w:r>
      <w:r w:rsidRPr="00904FCB">
        <w:rPr>
          <w:rFonts w:asciiTheme="minorBidi" w:hAnsiTheme="minorBidi" w:hint="cs"/>
          <w:sz w:val="27"/>
          <w:rtl/>
        </w:rPr>
        <w:t>ع</w:t>
      </w:r>
      <w:r w:rsidR="000448F1" w:rsidRPr="00904FCB">
        <w:rPr>
          <w:rFonts w:asciiTheme="minorBidi" w:hAnsiTheme="minorBidi" w:hint="cs"/>
          <w:sz w:val="27"/>
          <w:rtl/>
        </w:rPr>
        <w:t>َ</w:t>
      </w:r>
      <w:r w:rsidRPr="00904FCB">
        <w:rPr>
          <w:rFonts w:asciiTheme="minorBidi" w:hAnsiTheme="minorBidi" w:hint="cs"/>
          <w:sz w:val="27"/>
          <w:rtl/>
        </w:rPr>
        <w:t>م الإلهية</w:t>
      </w:r>
      <w:r w:rsidR="000448F1" w:rsidRPr="00904FCB">
        <w:rPr>
          <w:rFonts w:asciiTheme="minorBidi" w:hAnsiTheme="minorBidi" w:hint="cs"/>
          <w:sz w:val="27"/>
          <w:rtl/>
        </w:rPr>
        <w:t>،</w:t>
      </w:r>
      <w:r w:rsidRPr="00904FCB">
        <w:rPr>
          <w:rFonts w:asciiTheme="minorBidi" w:hAnsiTheme="minorBidi" w:hint="cs"/>
          <w:sz w:val="27"/>
          <w:rtl/>
        </w:rPr>
        <w:t xml:space="preserve"> التي لها تأثير</w:t>
      </w:r>
      <w:r w:rsidR="000448F1" w:rsidRPr="00904FCB">
        <w:rPr>
          <w:rFonts w:asciiTheme="minorBidi" w:hAnsiTheme="minorBidi" w:hint="cs"/>
          <w:sz w:val="27"/>
          <w:rtl/>
        </w:rPr>
        <w:t>ٌ</w:t>
      </w:r>
      <w:r w:rsidRPr="00904FCB">
        <w:rPr>
          <w:rFonts w:asciiTheme="minorBidi" w:hAnsiTheme="minorBidi" w:hint="cs"/>
          <w:sz w:val="27"/>
          <w:rtl/>
        </w:rPr>
        <w:t xml:space="preserve"> على حياته</w:t>
      </w:r>
      <w:r w:rsidR="000448F1" w:rsidRPr="00904FCB">
        <w:rPr>
          <w:rFonts w:asciiTheme="minorBidi" w:hAnsiTheme="minorBidi" w:hint="cs"/>
          <w:sz w:val="27"/>
          <w:rtl/>
        </w:rPr>
        <w:t>،</w:t>
      </w:r>
      <w:r w:rsidRPr="00904FCB">
        <w:rPr>
          <w:rFonts w:asciiTheme="minorBidi" w:hAnsiTheme="minorBidi" w:hint="cs"/>
          <w:sz w:val="27"/>
          <w:rtl/>
        </w:rPr>
        <w:t xml:space="preserve"> وكل</w:t>
      </w:r>
      <w:r w:rsidR="000448F1" w:rsidRPr="00904FCB">
        <w:rPr>
          <w:rFonts w:asciiTheme="minorBidi" w:hAnsiTheme="minorBidi" w:hint="cs"/>
          <w:sz w:val="27"/>
          <w:rtl/>
        </w:rPr>
        <w:t>ّ</w:t>
      </w:r>
      <w:r w:rsidRPr="00904FCB">
        <w:rPr>
          <w:rFonts w:asciiTheme="minorBidi" w:hAnsiTheme="minorBidi" w:hint="cs"/>
          <w:sz w:val="27"/>
          <w:rtl/>
        </w:rPr>
        <w:t>ها مرتبطة بالمحيط السليم والمعافى من كل</w:t>
      </w:r>
      <w:r w:rsidR="000448F1" w:rsidRPr="00904FCB">
        <w:rPr>
          <w:rFonts w:asciiTheme="minorBidi" w:hAnsiTheme="minorBidi" w:hint="cs"/>
          <w:sz w:val="27"/>
          <w:rtl/>
        </w:rPr>
        <w:t>ّ</w:t>
      </w:r>
      <w:r w:rsidRPr="00904FCB">
        <w:rPr>
          <w:rFonts w:asciiTheme="minorBidi" w:hAnsiTheme="minorBidi" w:hint="cs"/>
          <w:sz w:val="27"/>
          <w:rtl/>
        </w:rPr>
        <w:t xml:space="preserve"> أنواع التلو</w:t>
      </w:r>
      <w:r w:rsidR="000448F1" w:rsidRPr="00904FCB">
        <w:rPr>
          <w:rFonts w:asciiTheme="minorBidi" w:hAnsiTheme="minorBidi" w:hint="cs"/>
          <w:sz w:val="27"/>
          <w:rtl/>
        </w:rPr>
        <w:t>ُّ</w:t>
      </w:r>
      <w:r w:rsidRPr="00904FCB">
        <w:rPr>
          <w:rFonts w:asciiTheme="minorBidi" w:hAnsiTheme="minorBidi" w:hint="cs"/>
          <w:sz w:val="27"/>
          <w:rtl/>
        </w:rPr>
        <w:t xml:space="preserve">ث والقذارات. </w:t>
      </w:r>
    </w:p>
    <w:p w:rsidR="00EF655F" w:rsidRPr="00904FCB" w:rsidRDefault="00EF655F" w:rsidP="007A21AA">
      <w:pPr>
        <w:spacing w:line="400" w:lineRule="exact"/>
        <w:rPr>
          <w:rFonts w:asciiTheme="minorBidi" w:hAnsiTheme="minorBidi"/>
          <w:sz w:val="27"/>
          <w:rtl/>
        </w:rPr>
      </w:pPr>
    </w:p>
    <w:p w:rsidR="00EF655F" w:rsidRPr="00904FCB" w:rsidRDefault="00443AEA" w:rsidP="007A21AA">
      <w:pPr>
        <w:pStyle w:val="31"/>
        <w:spacing w:line="400" w:lineRule="exact"/>
        <w:rPr>
          <w:color w:val="auto"/>
          <w:rtl/>
        </w:rPr>
      </w:pPr>
      <w:r w:rsidRPr="00904FCB">
        <w:rPr>
          <w:rFonts w:hint="cs"/>
          <w:color w:val="auto"/>
          <w:rtl/>
        </w:rPr>
        <w:t xml:space="preserve">د </w:t>
      </w:r>
      <w:r w:rsidR="00EF655F" w:rsidRPr="00904FCB">
        <w:rPr>
          <w:rFonts w:hint="cs"/>
          <w:color w:val="auto"/>
          <w:rtl/>
        </w:rPr>
        <w:t xml:space="preserve">ـ الحيوانات </w:t>
      </w:r>
    </w:p>
    <w:p w:rsidR="00EF655F" w:rsidRPr="00904FCB" w:rsidRDefault="00EF655F" w:rsidP="00BC02C4">
      <w:pPr>
        <w:spacing w:line="400" w:lineRule="exact"/>
        <w:rPr>
          <w:rFonts w:asciiTheme="minorBidi" w:hAnsiTheme="minorBidi"/>
          <w:sz w:val="27"/>
          <w:rtl/>
        </w:rPr>
      </w:pPr>
      <w:r w:rsidRPr="00904FCB">
        <w:rPr>
          <w:rFonts w:asciiTheme="minorBidi" w:hAnsiTheme="minorBidi" w:hint="cs"/>
          <w:sz w:val="27"/>
          <w:rtl/>
        </w:rPr>
        <w:t>ح</w:t>
      </w:r>
      <w:r w:rsidR="00AC154C" w:rsidRPr="00904FCB">
        <w:rPr>
          <w:rFonts w:asciiTheme="minorBidi" w:hAnsiTheme="minorBidi" w:hint="cs"/>
          <w:sz w:val="27"/>
          <w:rtl/>
        </w:rPr>
        <w:t>َ</w:t>
      </w:r>
      <w:r w:rsidRPr="00904FCB">
        <w:rPr>
          <w:rFonts w:asciiTheme="minorBidi" w:hAnsiTheme="minorBidi" w:hint="cs"/>
          <w:sz w:val="27"/>
          <w:rtl/>
        </w:rPr>
        <w:t>ش</w:t>
      </w:r>
      <w:r w:rsidR="00AC154C" w:rsidRPr="00904FCB">
        <w:rPr>
          <w:rFonts w:asciiTheme="minorBidi" w:hAnsiTheme="minorBidi" w:hint="cs"/>
          <w:sz w:val="27"/>
          <w:rtl/>
        </w:rPr>
        <w:t>ْ</w:t>
      </w:r>
      <w:r w:rsidRPr="00904FCB">
        <w:rPr>
          <w:rFonts w:asciiTheme="minorBidi" w:hAnsiTheme="minorBidi" w:hint="cs"/>
          <w:sz w:val="27"/>
          <w:rtl/>
        </w:rPr>
        <w:t>ر</w:t>
      </w:r>
      <w:r w:rsidR="00AC154C" w:rsidRPr="00904FCB">
        <w:rPr>
          <w:rFonts w:asciiTheme="minorBidi" w:hAnsiTheme="minorBidi" w:hint="cs"/>
          <w:sz w:val="27"/>
          <w:rtl/>
        </w:rPr>
        <w:t>ُ</w:t>
      </w:r>
      <w:r w:rsidRPr="00904FCB">
        <w:rPr>
          <w:rFonts w:asciiTheme="minorBidi" w:hAnsiTheme="minorBidi" w:hint="cs"/>
          <w:sz w:val="27"/>
          <w:rtl/>
        </w:rPr>
        <w:t xml:space="preserve"> الحيوانات يوم القيامة من الأمور التي أشار إليها القرآن: </w:t>
      </w:r>
      <w:r w:rsidRPr="00904FCB">
        <w:rPr>
          <w:rFonts w:ascii="Mosawi" w:hAnsi="Mosawi" w:cs="Mosawi"/>
          <w:sz w:val="24"/>
          <w:szCs w:val="24"/>
          <w:rtl/>
        </w:rPr>
        <w:t>﴿</w:t>
      </w:r>
      <w:r w:rsidR="00AC154C" w:rsidRPr="00904FCB">
        <w:rPr>
          <w:rFonts w:asciiTheme="minorBidi" w:hAnsiTheme="minorBidi"/>
          <w:b/>
          <w:bCs/>
          <w:sz w:val="27"/>
          <w:rtl/>
        </w:rPr>
        <w:t>وَمَا مِنْ دَابَّةٍ فِي ال</w:t>
      </w:r>
      <w:r w:rsidRPr="00904FCB">
        <w:rPr>
          <w:rFonts w:asciiTheme="minorBidi" w:hAnsiTheme="minorBidi"/>
          <w:b/>
          <w:bCs/>
          <w:sz w:val="27"/>
          <w:rtl/>
        </w:rPr>
        <w:t>أَرْض</w:t>
      </w:r>
      <w:r w:rsidR="00AC154C" w:rsidRPr="00904FCB">
        <w:rPr>
          <w:rFonts w:asciiTheme="minorBidi" w:hAnsiTheme="minorBidi"/>
          <w:b/>
          <w:bCs/>
          <w:sz w:val="27"/>
          <w:rtl/>
        </w:rPr>
        <w:t>ِ وَل</w:t>
      </w:r>
      <w:r w:rsidRPr="00904FCB">
        <w:rPr>
          <w:rFonts w:asciiTheme="minorBidi" w:hAnsiTheme="minorBidi"/>
          <w:b/>
          <w:bCs/>
          <w:sz w:val="27"/>
          <w:rtl/>
        </w:rPr>
        <w:t>ا طَا</w:t>
      </w:r>
      <w:r w:rsidR="00AC154C" w:rsidRPr="00904FCB">
        <w:rPr>
          <w:rFonts w:asciiTheme="minorBidi" w:hAnsiTheme="minorBidi"/>
          <w:b/>
          <w:bCs/>
          <w:sz w:val="27"/>
          <w:rtl/>
        </w:rPr>
        <w:t>ئِرٍ يَطِيرُ بِجَنَاحَيْهِ إِل</w:t>
      </w:r>
      <w:r w:rsidRPr="00904FCB">
        <w:rPr>
          <w:rFonts w:asciiTheme="minorBidi" w:hAnsiTheme="minorBidi"/>
          <w:b/>
          <w:bCs/>
          <w:sz w:val="27"/>
          <w:rtl/>
        </w:rPr>
        <w:t>ا</w:t>
      </w:r>
      <w:r w:rsidR="00AC154C" w:rsidRPr="00904FCB">
        <w:rPr>
          <w:rFonts w:asciiTheme="minorBidi" w:hAnsiTheme="minorBidi" w:hint="cs"/>
          <w:b/>
          <w:bCs/>
          <w:sz w:val="27"/>
          <w:rtl/>
        </w:rPr>
        <w:t>َّ</w:t>
      </w:r>
      <w:r w:rsidRPr="00904FCB">
        <w:rPr>
          <w:rFonts w:asciiTheme="minorBidi" w:hAnsiTheme="minorBidi"/>
          <w:b/>
          <w:bCs/>
          <w:sz w:val="27"/>
          <w:rtl/>
        </w:rPr>
        <w:t xml:space="preserve"> أُمَمٌ أَمْثَالُكُمْ</w:t>
      </w:r>
      <w:r w:rsidR="00AC154C" w:rsidRPr="00904FCB">
        <w:rPr>
          <w:rFonts w:asciiTheme="minorBidi" w:hAnsiTheme="minorBidi" w:hint="cs"/>
          <w:b/>
          <w:bCs/>
          <w:sz w:val="27"/>
          <w:rtl/>
        </w:rPr>
        <w:t xml:space="preserve"> </w:t>
      </w:r>
      <w:r w:rsidRPr="00904FCB">
        <w:rPr>
          <w:rFonts w:asciiTheme="minorBidi" w:hAnsiTheme="minorBidi" w:hint="cs"/>
          <w:b/>
          <w:bCs/>
          <w:sz w:val="27"/>
          <w:rtl/>
        </w:rPr>
        <w:t>مَا</w:t>
      </w:r>
      <w:r w:rsidRPr="00904FCB">
        <w:rPr>
          <w:rFonts w:asciiTheme="minorBidi" w:hAnsiTheme="minorBidi"/>
          <w:b/>
          <w:bCs/>
          <w:sz w:val="27"/>
          <w:rtl/>
        </w:rPr>
        <w:t xml:space="preserve"> </w:t>
      </w:r>
      <w:r w:rsidRPr="00904FCB">
        <w:rPr>
          <w:rFonts w:asciiTheme="minorBidi" w:hAnsiTheme="minorBidi" w:hint="cs"/>
          <w:b/>
          <w:bCs/>
          <w:sz w:val="27"/>
          <w:rtl/>
        </w:rPr>
        <w:t>فَرَّطْنَا</w:t>
      </w:r>
      <w:r w:rsidRPr="00904FCB">
        <w:rPr>
          <w:rFonts w:asciiTheme="minorBidi" w:hAnsiTheme="minorBidi"/>
          <w:b/>
          <w:bCs/>
          <w:sz w:val="27"/>
          <w:rtl/>
        </w:rPr>
        <w:t xml:space="preserve"> </w:t>
      </w:r>
      <w:r w:rsidRPr="00904FCB">
        <w:rPr>
          <w:rFonts w:asciiTheme="minorBidi" w:hAnsiTheme="minorBidi" w:hint="cs"/>
          <w:b/>
          <w:bCs/>
          <w:sz w:val="27"/>
          <w:rtl/>
        </w:rPr>
        <w:t>فِي</w:t>
      </w:r>
      <w:r w:rsidRPr="00904FCB">
        <w:rPr>
          <w:rFonts w:asciiTheme="minorBidi" w:hAnsiTheme="minorBidi"/>
          <w:b/>
          <w:bCs/>
          <w:sz w:val="27"/>
          <w:rtl/>
        </w:rPr>
        <w:t xml:space="preserve"> </w:t>
      </w:r>
      <w:r w:rsidRPr="00904FCB">
        <w:rPr>
          <w:rFonts w:asciiTheme="minorBidi" w:hAnsiTheme="minorBidi" w:hint="cs"/>
          <w:b/>
          <w:bCs/>
          <w:sz w:val="27"/>
          <w:rtl/>
        </w:rPr>
        <w:t>الْكِتَابِ</w:t>
      </w:r>
      <w:r w:rsidRPr="00904FCB">
        <w:rPr>
          <w:rFonts w:asciiTheme="minorBidi" w:hAnsiTheme="minorBidi"/>
          <w:b/>
          <w:bCs/>
          <w:sz w:val="27"/>
          <w:rtl/>
        </w:rPr>
        <w:t xml:space="preserve"> </w:t>
      </w:r>
      <w:r w:rsidRPr="00904FCB">
        <w:rPr>
          <w:rFonts w:asciiTheme="minorBidi" w:hAnsiTheme="minorBidi" w:hint="cs"/>
          <w:b/>
          <w:bCs/>
          <w:sz w:val="27"/>
          <w:rtl/>
        </w:rPr>
        <w:t>مِنْ</w:t>
      </w:r>
      <w:r w:rsidRPr="00904FCB">
        <w:rPr>
          <w:rFonts w:asciiTheme="minorBidi" w:hAnsiTheme="minorBidi"/>
          <w:b/>
          <w:bCs/>
          <w:sz w:val="27"/>
          <w:rtl/>
        </w:rPr>
        <w:t xml:space="preserve"> </w:t>
      </w:r>
      <w:r w:rsidRPr="00904FCB">
        <w:rPr>
          <w:rFonts w:asciiTheme="minorBidi" w:hAnsiTheme="minorBidi" w:hint="cs"/>
          <w:b/>
          <w:bCs/>
          <w:sz w:val="27"/>
          <w:rtl/>
        </w:rPr>
        <w:t>شَيْءٍ</w:t>
      </w:r>
      <w:r w:rsidR="00AC154C" w:rsidRPr="00904FCB">
        <w:rPr>
          <w:rFonts w:asciiTheme="minorBidi" w:hAnsiTheme="minorBidi" w:hint="cs"/>
          <w:b/>
          <w:bCs/>
          <w:sz w:val="27"/>
          <w:rtl/>
        </w:rPr>
        <w:t xml:space="preserve"> </w:t>
      </w:r>
      <w:r w:rsidRPr="00904FCB">
        <w:rPr>
          <w:rFonts w:asciiTheme="minorBidi" w:hAnsiTheme="minorBidi" w:hint="cs"/>
          <w:b/>
          <w:bCs/>
          <w:sz w:val="27"/>
          <w:rtl/>
        </w:rPr>
        <w:t>ثُمَّ</w:t>
      </w:r>
      <w:r w:rsidRPr="00904FCB">
        <w:rPr>
          <w:rFonts w:asciiTheme="minorBidi" w:hAnsiTheme="minorBidi"/>
          <w:b/>
          <w:bCs/>
          <w:sz w:val="27"/>
          <w:rtl/>
        </w:rPr>
        <w:t xml:space="preserve"> </w:t>
      </w:r>
      <w:r w:rsidR="00BC02C4">
        <w:rPr>
          <w:rFonts w:asciiTheme="minorBidi" w:hAnsiTheme="minorBidi" w:hint="cs"/>
          <w:b/>
          <w:bCs/>
          <w:sz w:val="27"/>
          <w:rtl/>
        </w:rPr>
        <w:t xml:space="preserve">إِلّى </w:t>
      </w:r>
      <w:r w:rsidRPr="00904FCB">
        <w:rPr>
          <w:rFonts w:asciiTheme="minorBidi" w:hAnsiTheme="minorBidi" w:hint="cs"/>
          <w:b/>
          <w:bCs/>
          <w:sz w:val="27"/>
          <w:rtl/>
        </w:rPr>
        <w:t>رَبِّهِمْ</w:t>
      </w:r>
      <w:r w:rsidRPr="00904FCB">
        <w:rPr>
          <w:rFonts w:asciiTheme="minorBidi" w:hAnsiTheme="minorBidi"/>
          <w:b/>
          <w:bCs/>
          <w:sz w:val="27"/>
          <w:rtl/>
        </w:rPr>
        <w:t xml:space="preserve"> </w:t>
      </w:r>
      <w:r w:rsidRPr="00904FCB">
        <w:rPr>
          <w:rFonts w:asciiTheme="minorBidi" w:hAnsiTheme="minorBidi" w:hint="cs"/>
          <w:b/>
          <w:bCs/>
          <w:sz w:val="27"/>
          <w:rtl/>
        </w:rPr>
        <w:t>يُحْشَرُونَ</w:t>
      </w:r>
      <w:r w:rsidRPr="00904FCB">
        <w:rPr>
          <w:rFonts w:ascii="Mosawi" w:hAnsi="Mosawi" w:cs="Mosawi"/>
          <w:sz w:val="24"/>
          <w:szCs w:val="24"/>
          <w:rtl/>
        </w:rPr>
        <w:t>﴾</w:t>
      </w:r>
      <w:r w:rsidRPr="00904FCB">
        <w:rPr>
          <w:rFonts w:hint="cs"/>
          <w:sz w:val="27"/>
          <w:rtl/>
        </w:rPr>
        <w:t xml:space="preserve"> (الأنعام: </w:t>
      </w:r>
      <w:r w:rsidRPr="00DF4775">
        <w:rPr>
          <w:rFonts w:hint="cs"/>
          <w:sz w:val="27"/>
          <w:rtl/>
        </w:rPr>
        <w:t>38</w:t>
      </w:r>
      <w:r w:rsidRPr="00904FCB">
        <w:rPr>
          <w:rFonts w:hint="cs"/>
          <w:sz w:val="27"/>
          <w:rtl/>
        </w:rPr>
        <w:t>).</w:t>
      </w:r>
      <w:r w:rsidRPr="00904FCB">
        <w:rPr>
          <w:rFonts w:asciiTheme="minorBidi" w:hAnsiTheme="minorBidi" w:hint="cs"/>
          <w:sz w:val="27"/>
          <w:rtl/>
        </w:rPr>
        <w:t xml:space="preserve"> </w:t>
      </w:r>
    </w:p>
    <w:p w:rsidR="00EF655F" w:rsidRPr="00904FCB" w:rsidRDefault="00AC154C" w:rsidP="007A21AA">
      <w:pPr>
        <w:spacing w:line="400" w:lineRule="exact"/>
        <w:rPr>
          <w:rFonts w:asciiTheme="minorBidi" w:hAnsiTheme="minorBidi"/>
          <w:sz w:val="27"/>
          <w:rtl/>
        </w:rPr>
      </w:pPr>
      <w:r w:rsidRPr="00904FCB">
        <w:rPr>
          <w:rFonts w:asciiTheme="minorBidi" w:hAnsiTheme="minorBidi" w:hint="cs"/>
          <w:sz w:val="27"/>
          <w:rtl/>
        </w:rPr>
        <w:t>و</w:t>
      </w:r>
      <w:r w:rsidR="00EF655F" w:rsidRPr="00904FCB">
        <w:rPr>
          <w:rFonts w:asciiTheme="minorBidi" w:hAnsiTheme="minorBidi" w:hint="cs"/>
          <w:sz w:val="27"/>
          <w:rtl/>
        </w:rPr>
        <w:t>قد كتب الشيخ الطبرسي حول هذه الآية: مراد الآية</w:t>
      </w:r>
      <w:r w:rsidRPr="00904FCB">
        <w:rPr>
          <w:rFonts w:asciiTheme="minorBidi" w:hAnsiTheme="minorBidi" w:hint="cs"/>
          <w:sz w:val="27"/>
          <w:rtl/>
        </w:rPr>
        <w:t xml:space="preserve"> أن الحيوانات ستحشر </w:t>
      </w:r>
      <w:r w:rsidRPr="00904FCB">
        <w:rPr>
          <w:rFonts w:asciiTheme="minorBidi" w:hAnsiTheme="minorBidi" w:hint="cs"/>
          <w:sz w:val="27"/>
          <w:rtl/>
        </w:rPr>
        <w:lastRenderedPageBreak/>
        <w:t>يوم القيامة</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87"/>
      </w:r>
      <w:r w:rsidR="00EF655F" w:rsidRPr="00904FCB">
        <w:rPr>
          <w:rFonts w:asciiTheme="minorBidi" w:hAnsiTheme="minorBidi"/>
          <w:sz w:val="27"/>
          <w:vertAlign w:val="superscript"/>
          <w:rtl/>
        </w:rPr>
        <w:t>)</w:t>
      </w:r>
      <w:r w:rsidRPr="00904FCB">
        <w:rPr>
          <w:rFonts w:asciiTheme="minorBidi" w:hAnsiTheme="minorBidi" w:hint="cs"/>
          <w:sz w:val="27"/>
          <w:rtl/>
        </w:rPr>
        <w:t>،</w:t>
      </w:r>
      <w:r w:rsidR="00EF655F" w:rsidRPr="00904FCB">
        <w:rPr>
          <w:rFonts w:asciiTheme="minorBidi" w:hAnsiTheme="minorBidi" w:hint="cs"/>
          <w:sz w:val="27"/>
          <w:rtl/>
        </w:rPr>
        <w:t xml:space="preserve"> حت</w:t>
      </w:r>
      <w:r w:rsidRPr="00904FCB">
        <w:rPr>
          <w:rFonts w:asciiTheme="minorBidi" w:hAnsiTheme="minorBidi" w:hint="cs"/>
          <w:sz w:val="27"/>
          <w:rtl/>
        </w:rPr>
        <w:t>ّ</w:t>
      </w:r>
      <w:r w:rsidR="00EF655F" w:rsidRPr="00904FCB">
        <w:rPr>
          <w:rFonts w:asciiTheme="minorBidi" w:hAnsiTheme="minorBidi" w:hint="cs"/>
          <w:sz w:val="27"/>
          <w:rtl/>
        </w:rPr>
        <w:t>ى يتم</w:t>
      </w:r>
      <w:r w:rsidRPr="00904FCB">
        <w:rPr>
          <w:rFonts w:asciiTheme="minorBidi" w:hAnsiTheme="minorBidi" w:hint="cs"/>
          <w:sz w:val="27"/>
          <w:rtl/>
        </w:rPr>
        <w:t>ّ</w:t>
      </w:r>
      <w:r w:rsidR="00EF655F" w:rsidRPr="00904FCB">
        <w:rPr>
          <w:rFonts w:asciiTheme="minorBidi" w:hAnsiTheme="minorBidi" w:hint="cs"/>
          <w:sz w:val="27"/>
          <w:rtl/>
        </w:rPr>
        <w:t xml:space="preserve"> إحقاق الحق</w:t>
      </w:r>
      <w:r w:rsidRPr="00904FCB">
        <w:rPr>
          <w:rFonts w:asciiTheme="minorBidi" w:hAnsiTheme="minorBidi" w:hint="cs"/>
          <w:sz w:val="27"/>
          <w:rtl/>
        </w:rPr>
        <w:t>ّ</w:t>
      </w:r>
      <w:r w:rsidR="00EF655F" w:rsidRPr="00904FCB">
        <w:rPr>
          <w:rFonts w:asciiTheme="minorBidi" w:hAnsiTheme="minorBidi" w:hint="cs"/>
          <w:sz w:val="27"/>
          <w:rtl/>
        </w:rPr>
        <w:t xml:space="preserve"> لها</w:t>
      </w:r>
      <w:r w:rsidRPr="00904FCB">
        <w:rPr>
          <w:rFonts w:asciiTheme="minorBidi" w:hAnsiTheme="minorBidi" w:hint="cs"/>
          <w:sz w:val="27"/>
          <w:rtl/>
        </w:rPr>
        <w:t>،</w:t>
      </w:r>
      <w:r w:rsidR="00EF655F" w:rsidRPr="00904FCB">
        <w:rPr>
          <w:rFonts w:asciiTheme="minorBidi" w:hAnsiTheme="minorBidi" w:hint="cs"/>
          <w:sz w:val="27"/>
          <w:rtl/>
        </w:rPr>
        <w:t xml:space="preserve"> وأخذه لها مم</w:t>
      </w:r>
      <w:r w:rsidRPr="00904FCB">
        <w:rPr>
          <w:rFonts w:asciiTheme="minorBidi" w:hAnsiTheme="minorBidi" w:hint="cs"/>
          <w:sz w:val="27"/>
          <w:rtl/>
        </w:rPr>
        <w:t>َّ</w:t>
      </w:r>
      <w:r w:rsidR="00EF655F" w:rsidRPr="00904FCB">
        <w:rPr>
          <w:rFonts w:asciiTheme="minorBidi" w:hAnsiTheme="minorBidi" w:hint="cs"/>
          <w:sz w:val="27"/>
          <w:rtl/>
        </w:rPr>
        <w:t>ن</w:t>
      </w:r>
      <w:r w:rsidRPr="00904FCB">
        <w:rPr>
          <w:rFonts w:asciiTheme="minorBidi" w:hAnsiTheme="minorBidi" w:hint="cs"/>
          <w:sz w:val="27"/>
          <w:rtl/>
        </w:rPr>
        <w:t>ْ</w:t>
      </w:r>
      <w:r w:rsidR="00EF655F" w:rsidRPr="00904FCB">
        <w:rPr>
          <w:rFonts w:asciiTheme="minorBidi" w:hAnsiTheme="minorBidi" w:hint="cs"/>
          <w:sz w:val="27"/>
          <w:rtl/>
        </w:rPr>
        <w:t xml:space="preserve"> ظلمها، تماما</w:t>
      </w:r>
      <w:r w:rsidRPr="00904FCB">
        <w:rPr>
          <w:rFonts w:asciiTheme="minorBidi" w:hAnsiTheme="minorBidi" w:hint="cs"/>
          <w:sz w:val="27"/>
          <w:rtl/>
        </w:rPr>
        <w:t>ً</w:t>
      </w:r>
      <w:r w:rsidR="00EF655F" w:rsidRPr="00904FCB">
        <w:rPr>
          <w:rFonts w:asciiTheme="minorBidi" w:hAnsiTheme="minorBidi" w:hint="cs"/>
          <w:sz w:val="27"/>
          <w:rtl/>
        </w:rPr>
        <w:t xml:space="preserve"> كما روي عن النبي الأكرم</w:t>
      </w:r>
      <w:r w:rsidR="00635E51" w:rsidRPr="00904FCB">
        <w:rPr>
          <w:rFonts w:asciiTheme="minorBidi" w:hAnsiTheme="minorBidi" w:cs="Mosawi" w:hint="cs"/>
          <w:sz w:val="27"/>
          <w:szCs w:val="22"/>
          <w:rtl/>
        </w:rPr>
        <w:t>|</w:t>
      </w:r>
      <w:r w:rsidR="00EF655F" w:rsidRPr="00904FCB">
        <w:rPr>
          <w:rFonts w:asciiTheme="minorBidi" w:hAnsiTheme="minorBidi" w:hint="cs"/>
          <w:sz w:val="27"/>
          <w:rtl/>
        </w:rPr>
        <w:t>: يقص</w:t>
      </w:r>
      <w:r w:rsidRPr="00904FCB">
        <w:rPr>
          <w:rFonts w:asciiTheme="minorBidi" w:hAnsiTheme="minorBidi" w:hint="cs"/>
          <w:sz w:val="27"/>
          <w:rtl/>
        </w:rPr>
        <w:t>ّ</w:t>
      </w:r>
      <w:r w:rsidR="00EF655F" w:rsidRPr="00904FCB">
        <w:rPr>
          <w:rFonts w:asciiTheme="minorBidi" w:hAnsiTheme="minorBidi" w:hint="cs"/>
          <w:sz w:val="27"/>
          <w:rtl/>
        </w:rPr>
        <w:t xml:space="preserve"> للجمَّاء من القَر</w:t>
      </w:r>
      <w:r w:rsidRPr="00904FCB">
        <w:rPr>
          <w:rFonts w:asciiTheme="minorBidi" w:hAnsiTheme="minorBidi" w:hint="cs"/>
          <w:sz w:val="27"/>
          <w:rtl/>
        </w:rPr>
        <w:t>ْ</w:t>
      </w:r>
      <w:r w:rsidR="00EF655F" w:rsidRPr="00904FCB">
        <w:rPr>
          <w:rFonts w:asciiTheme="minorBidi" w:hAnsiTheme="minorBidi" w:hint="cs"/>
          <w:sz w:val="27"/>
          <w:rtl/>
        </w:rPr>
        <w:t>ناء</w:t>
      </w:r>
      <w:r w:rsidR="00EF655F" w:rsidRPr="00904FCB">
        <w:rPr>
          <w:rFonts w:hint="eastAsia"/>
          <w:sz w:val="27"/>
          <w:rtl/>
        </w:rPr>
        <w:t>»</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88"/>
      </w:r>
      <w:r w:rsidR="00EF655F" w:rsidRPr="00904FCB">
        <w:rPr>
          <w:rFonts w:asciiTheme="minorBidi" w:hAnsiTheme="minorBidi"/>
          <w:sz w:val="27"/>
          <w:vertAlign w:val="superscript"/>
          <w:rtl/>
        </w:rPr>
        <w:t>)</w:t>
      </w:r>
      <w:r w:rsidR="00EF655F"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وتطلع علينا في ال</w:t>
      </w:r>
      <w:r w:rsidR="00AC154C" w:rsidRPr="00904FCB">
        <w:rPr>
          <w:rFonts w:asciiTheme="minorBidi" w:hAnsiTheme="minorBidi" w:hint="cs"/>
          <w:sz w:val="27"/>
          <w:rtl/>
        </w:rPr>
        <w:t>إ</w:t>
      </w:r>
      <w:r w:rsidRPr="00904FCB">
        <w:rPr>
          <w:rFonts w:asciiTheme="minorBidi" w:hAnsiTheme="minorBidi" w:hint="cs"/>
          <w:sz w:val="27"/>
          <w:rtl/>
        </w:rPr>
        <w:t>سلام مجموعة من ال</w:t>
      </w:r>
      <w:r w:rsidR="00AC154C" w:rsidRPr="00904FCB">
        <w:rPr>
          <w:rFonts w:asciiTheme="minorBidi" w:hAnsiTheme="minorBidi" w:hint="cs"/>
          <w:sz w:val="27"/>
          <w:rtl/>
        </w:rPr>
        <w:t>أ</w:t>
      </w:r>
      <w:r w:rsidRPr="00904FCB">
        <w:rPr>
          <w:rFonts w:asciiTheme="minorBidi" w:hAnsiTheme="minorBidi" w:hint="cs"/>
          <w:sz w:val="27"/>
          <w:rtl/>
        </w:rPr>
        <w:t>حكام الخاص</w:t>
      </w:r>
      <w:r w:rsidR="00AC154C" w:rsidRPr="00904FCB">
        <w:rPr>
          <w:rFonts w:asciiTheme="minorBidi" w:hAnsiTheme="minorBidi" w:hint="cs"/>
          <w:sz w:val="27"/>
          <w:rtl/>
        </w:rPr>
        <w:t>ّ</w:t>
      </w:r>
      <w:r w:rsidRPr="00904FCB">
        <w:rPr>
          <w:rFonts w:asciiTheme="minorBidi" w:hAnsiTheme="minorBidi" w:hint="cs"/>
          <w:sz w:val="27"/>
          <w:rtl/>
        </w:rPr>
        <w:t>ة بحقوق الحيوانات</w:t>
      </w:r>
      <w:r w:rsidR="00AC154C" w:rsidRPr="00904FCB">
        <w:rPr>
          <w:rFonts w:asciiTheme="minorBidi" w:hAnsiTheme="minorBidi" w:hint="cs"/>
          <w:sz w:val="27"/>
          <w:rtl/>
        </w:rPr>
        <w:t>.</w:t>
      </w:r>
      <w:r w:rsidRPr="00904FCB">
        <w:rPr>
          <w:rFonts w:asciiTheme="minorBidi" w:hAnsiTheme="minorBidi" w:hint="cs"/>
          <w:sz w:val="27"/>
          <w:rtl/>
        </w:rPr>
        <w:t xml:space="preserve"> </w:t>
      </w:r>
      <w:r w:rsidR="00AC154C" w:rsidRPr="00904FCB">
        <w:rPr>
          <w:rFonts w:asciiTheme="minorBidi" w:hAnsiTheme="minorBidi" w:hint="cs"/>
          <w:sz w:val="27"/>
          <w:rtl/>
        </w:rPr>
        <w:t>فمثلاً</w:t>
      </w:r>
      <w:r w:rsidRPr="00904FCB">
        <w:rPr>
          <w:rFonts w:asciiTheme="minorBidi" w:hAnsiTheme="minorBidi" w:hint="cs"/>
          <w:sz w:val="27"/>
          <w:rtl/>
        </w:rPr>
        <w:t>:</w:t>
      </w:r>
      <w:r w:rsidR="00BC02C4">
        <w:rPr>
          <w:rFonts w:asciiTheme="minorBidi" w:hAnsiTheme="minorBidi" w:hint="cs"/>
          <w:sz w:val="27"/>
          <w:rtl/>
        </w:rPr>
        <w:t xml:space="preserve"> إذا كان استعمال الماء للوضوء أ</w:t>
      </w:r>
      <w:r w:rsidRPr="00904FCB">
        <w:rPr>
          <w:rFonts w:asciiTheme="minorBidi" w:hAnsiTheme="minorBidi" w:hint="cs"/>
          <w:sz w:val="27"/>
          <w:rtl/>
        </w:rPr>
        <w:t>و</w:t>
      </w:r>
      <w:r w:rsidR="00BC02C4">
        <w:rPr>
          <w:rFonts w:asciiTheme="minorBidi" w:hAnsiTheme="minorBidi" w:hint="cs"/>
          <w:sz w:val="27"/>
          <w:rtl/>
        </w:rPr>
        <w:t xml:space="preserve"> </w:t>
      </w:r>
      <w:r w:rsidRPr="00904FCB">
        <w:rPr>
          <w:rFonts w:asciiTheme="minorBidi" w:hAnsiTheme="minorBidi" w:hint="cs"/>
          <w:sz w:val="27"/>
          <w:rtl/>
        </w:rPr>
        <w:t>الغسل سيعرض حيوانا</w:t>
      </w:r>
      <w:r w:rsidR="00AC154C" w:rsidRPr="00904FCB">
        <w:rPr>
          <w:rFonts w:asciiTheme="minorBidi" w:hAnsiTheme="minorBidi" w:hint="cs"/>
          <w:sz w:val="27"/>
          <w:rtl/>
        </w:rPr>
        <w:t>ً</w:t>
      </w:r>
      <w:r w:rsidRPr="00904FCB">
        <w:rPr>
          <w:rFonts w:asciiTheme="minorBidi" w:hAnsiTheme="minorBidi" w:hint="cs"/>
          <w:sz w:val="27"/>
          <w:rtl/>
        </w:rPr>
        <w:t xml:space="preserve"> </w:t>
      </w:r>
      <w:r w:rsidR="00AC154C" w:rsidRPr="00904FCB">
        <w:rPr>
          <w:rFonts w:asciiTheme="minorBidi" w:hAnsiTheme="minorBidi" w:hint="cs"/>
          <w:sz w:val="27"/>
          <w:rtl/>
        </w:rPr>
        <w:t>ل</w:t>
      </w:r>
      <w:r w:rsidRPr="00904FCB">
        <w:rPr>
          <w:rFonts w:asciiTheme="minorBidi" w:hAnsiTheme="minorBidi" w:hint="cs"/>
          <w:sz w:val="27"/>
          <w:rtl/>
        </w:rPr>
        <w:t xml:space="preserve">لموت </w:t>
      </w:r>
      <w:r w:rsidR="00AC154C" w:rsidRPr="00904FCB">
        <w:rPr>
          <w:rFonts w:asciiTheme="minorBidi" w:hAnsiTheme="minorBidi" w:hint="cs"/>
          <w:sz w:val="27"/>
          <w:rtl/>
        </w:rPr>
        <w:t>عطشاً</w:t>
      </w:r>
      <w:r w:rsidRPr="00904FCB">
        <w:rPr>
          <w:rFonts w:asciiTheme="minorBidi" w:hAnsiTheme="minorBidi" w:hint="cs"/>
          <w:sz w:val="27"/>
          <w:rtl/>
        </w:rPr>
        <w:t xml:space="preserve"> يعط</w:t>
      </w:r>
      <w:r w:rsidR="00AC154C" w:rsidRPr="00904FCB">
        <w:rPr>
          <w:rFonts w:asciiTheme="minorBidi" w:hAnsiTheme="minorBidi" w:hint="cs"/>
          <w:sz w:val="27"/>
          <w:rtl/>
        </w:rPr>
        <w:t>ى</w:t>
      </w:r>
      <w:r w:rsidRPr="00904FCB">
        <w:rPr>
          <w:rFonts w:asciiTheme="minorBidi" w:hAnsiTheme="minorBidi" w:hint="cs"/>
          <w:sz w:val="27"/>
          <w:rtl/>
        </w:rPr>
        <w:t xml:space="preserve"> الماء للحيوان </w:t>
      </w:r>
      <w:r w:rsidR="00AC154C" w:rsidRPr="00904FCB">
        <w:rPr>
          <w:rFonts w:asciiTheme="minorBidi" w:hAnsiTheme="minorBidi" w:hint="cs"/>
          <w:sz w:val="27"/>
          <w:rtl/>
        </w:rPr>
        <w:t>ب</w:t>
      </w:r>
      <w:r w:rsidRPr="00904FCB">
        <w:rPr>
          <w:rFonts w:asciiTheme="minorBidi" w:hAnsiTheme="minorBidi" w:hint="cs"/>
          <w:sz w:val="27"/>
          <w:rtl/>
        </w:rPr>
        <w:t>الأولوية</w:t>
      </w:r>
      <w:r w:rsidR="00AC154C" w:rsidRPr="00904FCB">
        <w:rPr>
          <w:rFonts w:asciiTheme="minorBidi" w:hAnsiTheme="minorBidi" w:hint="cs"/>
          <w:sz w:val="27"/>
          <w:rtl/>
        </w:rPr>
        <w:t>،</w:t>
      </w:r>
      <w:r w:rsidRPr="00904FCB">
        <w:rPr>
          <w:rFonts w:asciiTheme="minorBidi" w:hAnsiTheme="minorBidi" w:hint="cs"/>
          <w:sz w:val="27"/>
          <w:rtl/>
        </w:rPr>
        <w:t xml:space="preserve"> وينتقل المكل</w:t>
      </w:r>
      <w:r w:rsidR="00AC154C" w:rsidRPr="00904FCB">
        <w:rPr>
          <w:rFonts w:asciiTheme="minorBidi" w:hAnsiTheme="minorBidi" w:hint="cs"/>
          <w:sz w:val="27"/>
          <w:rtl/>
        </w:rPr>
        <w:t>َّ</w:t>
      </w:r>
      <w:r w:rsidRPr="00904FCB">
        <w:rPr>
          <w:rFonts w:asciiTheme="minorBidi" w:hAnsiTheme="minorBidi" w:hint="cs"/>
          <w:sz w:val="27"/>
          <w:rtl/>
        </w:rPr>
        <w:t>ف من الوضوء أو الغسل إلى التيم</w:t>
      </w:r>
      <w:r w:rsidR="00AC154C" w:rsidRPr="00904FCB">
        <w:rPr>
          <w:rFonts w:asciiTheme="minorBidi" w:hAnsiTheme="minorBidi" w:hint="cs"/>
          <w:sz w:val="27"/>
          <w:rtl/>
        </w:rPr>
        <w:t>ُّ</w:t>
      </w:r>
      <w:r w:rsidRPr="00904FCB">
        <w:rPr>
          <w:rFonts w:asciiTheme="minorBidi" w:hAnsiTheme="minorBidi" w:hint="cs"/>
          <w:sz w:val="27"/>
          <w:rtl/>
        </w:rPr>
        <w:t>م</w:t>
      </w:r>
      <w:r w:rsidR="00AC154C" w:rsidRPr="00904FCB">
        <w:rPr>
          <w:rFonts w:asciiTheme="minorBidi" w:hAnsiTheme="minorBidi" w:hint="cs"/>
          <w:sz w:val="27"/>
          <w:rtl/>
        </w:rPr>
        <w:t>،</w:t>
      </w:r>
      <w:r w:rsidRPr="00904FCB">
        <w:rPr>
          <w:rFonts w:asciiTheme="minorBidi" w:hAnsiTheme="minorBidi" w:hint="cs"/>
          <w:sz w:val="27"/>
          <w:rtl/>
        </w:rPr>
        <w:t xml:space="preserve"> فهو م</w:t>
      </w:r>
      <w:r w:rsidR="00AC154C" w:rsidRPr="00904FCB">
        <w:rPr>
          <w:rFonts w:asciiTheme="minorBidi" w:hAnsiTheme="minorBidi" w:hint="cs"/>
          <w:sz w:val="27"/>
          <w:rtl/>
        </w:rPr>
        <w:t>ُ</w:t>
      </w:r>
      <w:r w:rsidRPr="00904FCB">
        <w:rPr>
          <w:rFonts w:asciiTheme="minorBidi" w:hAnsiTheme="minorBidi" w:hint="cs"/>
          <w:sz w:val="27"/>
          <w:rtl/>
        </w:rPr>
        <w:t>ج</w:t>
      </w:r>
      <w:r w:rsidR="00AC154C" w:rsidRPr="00904FCB">
        <w:rPr>
          <w:rFonts w:asciiTheme="minorBidi" w:hAnsiTheme="minorBidi" w:hint="cs"/>
          <w:sz w:val="27"/>
          <w:rtl/>
        </w:rPr>
        <w:t>ْ</w:t>
      </w:r>
      <w:r w:rsidRPr="00904FCB">
        <w:rPr>
          <w:rFonts w:asciiTheme="minorBidi" w:hAnsiTheme="minorBidi" w:hint="cs"/>
          <w:sz w:val="27"/>
          <w:rtl/>
        </w:rPr>
        <w:t xml:space="preserve">زٍ له في هذه الحالة. </w:t>
      </w:r>
    </w:p>
    <w:p w:rsidR="00EF655F" w:rsidRPr="00904FCB" w:rsidRDefault="00AC154C" w:rsidP="00BC02C4">
      <w:pPr>
        <w:spacing w:line="400" w:lineRule="exact"/>
        <w:rPr>
          <w:rFonts w:asciiTheme="minorBidi" w:hAnsiTheme="minorBidi"/>
          <w:sz w:val="27"/>
          <w:rtl/>
        </w:rPr>
      </w:pPr>
      <w:r w:rsidRPr="00904FCB">
        <w:rPr>
          <w:rFonts w:asciiTheme="minorBidi" w:hAnsiTheme="minorBidi" w:hint="cs"/>
          <w:sz w:val="27"/>
          <w:rtl/>
        </w:rPr>
        <w:t>و</w:t>
      </w:r>
      <w:r w:rsidR="00EF655F" w:rsidRPr="00904FCB">
        <w:rPr>
          <w:rFonts w:asciiTheme="minorBidi" w:hAnsiTheme="minorBidi" w:hint="cs"/>
          <w:sz w:val="27"/>
          <w:rtl/>
        </w:rPr>
        <w:t>بطبيعة الحال حقوق الحيوانات في ال</w:t>
      </w:r>
      <w:r w:rsidRPr="00904FCB">
        <w:rPr>
          <w:rFonts w:asciiTheme="minorBidi" w:hAnsiTheme="minorBidi" w:hint="cs"/>
          <w:sz w:val="27"/>
          <w:rtl/>
        </w:rPr>
        <w:t>إ</w:t>
      </w:r>
      <w:r w:rsidR="00EF655F" w:rsidRPr="00904FCB">
        <w:rPr>
          <w:rFonts w:asciiTheme="minorBidi" w:hAnsiTheme="minorBidi" w:hint="cs"/>
          <w:sz w:val="27"/>
          <w:rtl/>
        </w:rPr>
        <w:t>سلام لا تقف عند هذا الحد</w:t>
      </w:r>
      <w:r w:rsidRPr="00904FCB">
        <w:rPr>
          <w:rFonts w:asciiTheme="minorBidi" w:hAnsiTheme="minorBidi" w:hint="cs"/>
          <w:sz w:val="27"/>
          <w:rtl/>
        </w:rPr>
        <w:t>ّ</w:t>
      </w:r>
      <w:r w:rsidR="00EF655F" w:rsidRPr="00904FCB">
        <w:rPr>
          <w:rFonts w:asciiTheme="minorBidi" w:hAnsiTheme="minorBidi" w:hint="cs"/>
          <w:sz w:val="27"/>
          <w:rtl/>
        </w:rPr>
        <w:t xml:space="preserve"> من الرأفة والرحمة</w:t>
      </w:r>
      <w:r w:rsidRPr="00904FCB">
        <w:rPr>
          <w:rFonts w:asciiTheme="minorBidi" w:hAnsiTheme="minorBidi" w:hint="cs"/>
          <w:sz w:val="27"/>
          <w:rtl/>
        </w:rPr>
        <w:t>،</w:t>
      </w:r>
      <w:r w:rsidR="00EF655F" w:rsidRPr="00904FCB">
        <w:rPr>
          <w:rFonts w:asciiTheme="minorBidi" w:hAnsiTheme="minorBidi" w:hint="cs"/>
          <w:sz w:val="27"/>
          <w:rtl/>
        </w:rPr>
        <w:t xml:space="preserve"> بل تتعداها إلى تعاليم كثيرة</w:t>
      </w:r>
      <w:r w:rsidRPr="00904FCB">
        <w:rPr>
          <w:rFonts w:asciiTheme="minorBidi" w:hAnsiTheme="minorBidi" w:hint="cs"/>
          <w:sz w:val="27"/>
          <w:rtl/>
        </w:rPr>
        <w:t>،</w:t>
      </w:r>
      <w:r w:rsidR="00EF655F" w:rsidRPr="00904FCB">
        <w:rPr>
          <w:rFonts w:asciiTheme="minorBidi" w:hAnsiTheme="minorBidi" w:hint="cs"/>
          <w:sz w:val="27"/>
          <w:rtl/>
        </w:rPr>
        <w:t xml:space="preserve"> وبالأخص</w:t>
      </w:r>
      <w:r w:rsidRPr="00904FCB">
        <w:rPr>
          <w:rFonts w:asciiTheme="minorBidi" w:hAnsiTheme="minorBidi" w:hint="cs"/>
          <w:sz w:val="27"/>
          <w:rtl/>
        </w:rPr>
        <w:t>ّ</w:t>
      </w:r>
      <w:r w:rsidR="00EF655F" w:rsidRPr="00904FCB">
        <w:rPr>
          <w:rFonts w:asciiTheme="minorBidi" w:hAnsiTheme="minorBidi" w:hint="cs"/>
          <w:sz w:val="27"/>
          <w:rtl/>
        </w:rPr>
        <w:t xml:space="preserve"> في</w:t>
      </w:r>
      <w:r w:rsidRPr="00904FCB">
        <w:rPr>
          <w:rFonts w:asciiTheme="minorBidi" w:hAnsiTheme="minorBidi" w:hint="cs"/>
          <w:sz w:val="27"/>
          <w:rtl/>
        </w:rPr>
        <w:t xml:space="preserve"> </w:t>
      </w:r>
      <w:r w:rsidR="00EF655F" w:rsidRPr="00904FCB">
        <w:rPr>
          <w:rFonts w:asciiTheme="minorBidi" w:hAnsiTheme="minorBidi" w:hint="cs"/>
          <w:sz w:val="27"/>
          <w:rtl/>
        </w:rPr>
        <w:t>ما يتعل</w:t>
      </w:r>
      <w:r w:rsidRPr="00904FCB">
        <w:rPr>
          <w:rFonts w:asciiTheme="minorBidi" w:hAnsiTheme="minorBidi" w:hint="cs"/>
          <w:sz w:val="27"/>
          <w:rtl/>
        </w:rPr>
        <w:t>َّ</w:t>
      </w:r>
      <w:r w:rsidR="00EF655F" w:rsidRPr="00904FCB">
        <w:rPr>
          <w:rFonts w:asciiTheme="minorBidi" w:hAnsiTheme="minorBidi" w:hint="cs"/>
          <w:sz w:val="27"/>
          <w:rtl/>
        </w:rPr>
        <w:t>ق بالحيوانات التي ترتبط بالإنسان بشكل</w:t>
      </w:r>
      <w:r w:rsidRPr="00904FCB">
        <w:rPr>
          <w:rFonts w:asciiTheme="minorBidi" w:hAnsiTheme="minorBidi" w:hint="cs"/>
          <w:sz w:val="27"/>
          <w:rtl/>
        </w:rPr>
        <w:t>ٍ</w:t>
      </w:r>
      <w:r w:rsidR="00EF655F" w:rsidRPr="00904FCB">
        <w:rPr>
          <w:rFonts w:asciiTheme="minorBidi" w:hAnsiTheme="minorBidi" w:hint="cs"/>
          <w:sz w:val="27"/>
          <w:rtl/>
        </w:rPr>
        <w:t xml:space="preserve"> مباشر</w:t>
      </w:r>
      <w:r w:rsidRPr="00904FCB">
        <w:rPr>
          <w:rFonts w:asciiTheme="minorBidi" w:hAnsiTheme="minorBidi" w:hint="cs"/>
          <w:sz w:val="27"/>
          <w:rtl/>
        </w:rPr>
        <w:t>،</w:t>
      </w:r>
      <w:r w:rsidR="00EF655F" w:rsidRPr="00904FCB">
        <w:rPr>
          <w:rFonts w:asciiTheme="minorBidi" w:hAnsiTheme="minorBidi" w:hint="cs"/>
          <w:sz w:val="27"/>
          <w:rtl/>
        </w:rPr>
        <w:t xml:space="preserve"> وتقتضي مصلحته الاستفادة منها. ورد في حديث عن النبي</w:t>
      </w:r>
      <w:r w:rsidRPr="00904FCB">
        <w:rPr>
          <w:rFonts w:asciiTheme="minorBidi" w:hAnsiTheme="minorBidi" w:hint="cs"/>
          <w:sz w:val="27"/>
          <w:rtl/>
        </w:rPr>
        <w:t>ّ</w:t>
      </w:r>
      <w:r w:rsidR="00635E51" w:rsidRPr="00904FCB">
        <w:rPr>
          <w:rFonts w:asciiTheme="minorBidi" w:hAnsiTheme="minorBidi" w:cs="Mosawi" w:hint="cs"/>
          <w:sz w:val="27"/>
          <w:szCs w:val="22"/>
          <w:rtl/>
        </w:rPr>
        <w:t>|</w:t>
      </w:r>
      <w:r w:rsidR="00EF655F" w:rsidRPr="00904FCB">
        <w:rPr>
          <w:rFonts w:asciiTheme="minorBidi" w:hAnsiTheme="minorBidi" w:hint="cs"/>
          <w:sz w:val="27"/>
          <w:rtl/>
        </w:rPr>
        <w:t xml:space="preserve"> </w:t>
      </w:r>
      <w:r w:rsidRPr="00904FCB">
        <w:rPr>
          <w:rFonts w:asciiTheme="minorBidi" w:hAnsiTheme="minorBidi" w:hint="cs"/>
          <w:sz w:val="27"/>
          <w:rtl/>
        </w:rPr>
        <w:t xml:space="preserve">أنّ </w:t>
      </w:r>
      <w:r w:rsidR="00EF655F" w:rsidRPr="00904FCB">
        <w:rPr>
          <w:rFonts w:asciiTheme="minorBidi" w:hAnsiTheme="minorBidi" w:hint="cs"/>
          <w:sz w:val="27"/>
          <w:rtl/>
        </w:rPr>
        <w:t>للدواب ست</w:t>
      </w:r>
      <w:r w:rsidRPr="00904FCB">
        <w:rPr>
          <w:rFonts w:asciiTheme="minorBidi" w:hAnsiTheme="minorBidi" w:hint="cs"/>
          <w:sz w:val="27"/>
          <w:rtl/>
        </w:rPr>
        <w:t>ّ</w:t>
      </w:r>
      <w:r w:rsidR="00EF655F" w:rsidRPr="00904FCB">
        <w:rPr>
          <w:rFonts w:asciiTheme="minorBidi" w:hAnsiTheme="minorBidi" w:hint="cs"/>
          <w:sz w:val="27"/>
          <w:rtl/>
        </w:rPr>
        <w:t xml:space="preserve">ة حقوق: </w:t>
      </w:r>
      <w:r w:rsidR="00EF655F" w:rsidRPr="00904FCB">
        <w:rPr>
          <w:rFonts w:hint="eastAsia"/>
          <w:sz w:val="27"/>
          <w:rtl/>
        </w:rPr>
        <w:t>«</w:t>
      </w:r>
      <w:r w:rsidR="00EF655F" w:rsidRPr="00904FCB">
        <w:rPr>
          <w:rFonts w:asciiTheme="minorBidi" w:hAnsiTheme="minorBidi" w:hint="cs"/>
          <w:sz w:val="27"/>
          <w:rtl/>
        </w:rPr>
        <w:t xml:space="preserve"> للداب</w:t>
      </w:r>
      <w:r w:rsidRPr="00904FCB">
        <w:rPr>
          <w:rFonts w:asciiTheme="minorBidi" w:hAnsiTheme="minorBidi" w:hint="cs"/>
          <w:sz w:val="27"/>
          <w:rtl/>
        </w:rPr>
        <w:t>ّ</w:t>
      </w:r>
      <w:r w:rsidR="00EF655F" w:rsidRPr="00904FCB">
        <w:rPr>
          <w:rFonts w:asciiTheme="minorBidi" w:hAnsiTheme="minorBidi" w:hint="cs"/>
          <w:sz w:val="27"/>
          <w:rtl/>
        </w:rPr>
        <w:t>ة على صاحبها خصال ست</w:t>
      </w:r>
      <w:r w:rsidRPr="00904FCB">
        <w:rPr>
          <w:rFonts w:asciiTheme="minorBidi" w:hAnsiTheme="minorBidi" w:hint="cs"/>
          <w:sz w:val="27"/>
          <w:rtl/>
        </w:rPr>
        <w:t>ّ</w:t>
      </w:r>
      <w:r w:rsidR="00BC02C4">
        <w:rPr>
          <w:rFonts w:asciiTheme="minorBidi" w:hAnsiTheme="minorBidi" w:hint="cs"/>
          <w:sz w:val="27"/>
          <w:rtl/>
        </w:rPr>
        <w:t>:</w:t>
      </w:r>
      <w:r w:rsidR="00EF655F" w:rsidRPr="00904FCB">
        <w:rPr>
          <w:rFonts w:asciiTheme="minorBidi" w:hAnsiTheme="minorBidi" w:hint="cs"/>
          <w:sz w:val="27"/>
          <w:rtl/>
        </w:rPr>
        <w:t xml:space="preserve"> يبدأ بعلفها إذا نزل</w:t>
      </w:r>
      <w:r w:rsidRPr="00904FCB">
        <w:rPr>
          <w:rFonts w:asciiTheme="minorBidi" w:hAnsiTheme="minorBidi" w:hint="cs"/>
          <w:sz w:val="27"/>
          <w:rtl/>
        </w:rPr>
        <w:t>؛</w:t>
      </w:r>
      <w:r w:rsidR="00EF655F" w:rsidRPr="00904FCB">
        <w:rPr>
          <w:rFonts w:asciiTheme="minorBidi" w:hAnsiTheme="minorBidi" w:hint="cs"/>
          <w:sz w:val="27"/>
          <w:rtl/>
        </w:rPr>
        <w:t xml:space="preserve"> ويعرض عليها الماء إذا مرَّ به</w:t>
      </w:r>
      <w:r w:rsidRPr="00904FCB">
        <w:rPr>
          <w:rFonts w:asciiTheme="minorBidi" w:hAnsiTheme="minorBidi" w:hint="cs"/>
          <w:sz w:val="27"/>
          <w:rtl/>
        </w:rPr>
        <w:t>؛</w:t>
      </w:r>
      <w:r w:rsidR="00EF655F" w:rsidRPr="00904FCB">
        <w:rPr>
          <w:rFonts w:asciiTheme="minorBidi" w:hAnsiTheme="minorBidi" w:hint="cs"/>
          <w:sz w:val="27"/>
          <w:rtl/>
        </w:rPr>
        <w:t xml:space="preserve"> ولا يضرب وجهها</w:t>
      </w:r>
      <w:r w:rsidRPr="00904FCB">
        <w:rPr>
          <w:rFonts w:asciiTheme="minorBidi" w:hAnsiTheme="minorBidi" w:hint="cs"/>
          <w:sz w:val="27"/>
          <w:rtl/>
        </w:rPr>
        <w:t>؛</w:t>
      </w:r>
      <w:r w:rsidR="00EF655F" w:rsidRPr="00904FCB">
        <w:rPr>
          <w:rFonts w:asciiTheme="minorBidi" w:hAnsiTheme="minorBidi" w:hint="cs"/>
          <w:sz w:val="27"/>
          <w:rtl/>
        </w:rPr>
        <w:t xml:space="preserve"> فإنها تسب</w:t>
      </w:r>
      <w:r w:rsidRPr="00904FCB">
        <w:rPr>
          <w:rFonts w:asciiTheme="minorBidi" w:hAnsiTheme="minorBidi" w:hint="cs"/>
          <w:sz w:val="27"/>
          <w:rtl/>
        </w:rPr>
        <w:t>ِّ</w:t>
      </w:r>
      <w:r w:rsidR="00EF655F" w:rsidRPr="00904FCB">
        <w:rPr>
          <w:rFonts w:asciiTheme="minorBidi" w:hAnsiTheme="minorBidi" w:hint="cs"/>
          <w:sz w:val="27"/>
          <w:rtl/>
        </w:rPr>
        <w:t>ح بحمد رب</w:t>
      </w:r>
      <w:r w:rsidRPr="00904FCB">
        <w:rPr>
          <w:rFonts w:asciiTheme="minorBidi" w:hAnsiTheme="minorBidi" w:hint="cs"/>
          <w:sz w:val="27"/>
          <w:rtl/>
        </w:rPr>
        <w:t>ِّ</w:t>
      </w:r>
      <w:r w:rsidR="00EF655F" w:rsidRPr="00904FCB">
        <w:rPr>
          <w:rFonts w:asciiTheme="minorBidi" w:hAnsiTheme="minorBidi" w:hint="cs"/>
          <w:sz w:val="27"/>
          <w:rtl/>
        </w:rPr>
        <w:t>ها</w:t>
      </w:r>
      <w:r w:rsidRPr="00904FCB">
        <w:rPr>
          <w:rFonts w:asciiTheme="minorBidi" w:hAnsiTheme="minorBidi" w:hint="cs"/>
          <w:sz w:val="27"/>
          <w:rtl/>
        </w:rPr>
        <w:t>؛</w:t>
      </w:r>
      <w:r w:rsidR="00EF655F" w:rsidRPr="00904FCB">
        <w:rPr>
          <w:rFonts w:asciiTheme="minorBidi" w:hAnsiTheme="minorBidi" w:hint="cs"/>
          <w:sz w:val="27"/>
          <w:rtl/>
        </w:rPr>
        <w:t xml:space="preserve"> ولا يقف على ظهرها إلا</w:t>
      </w:r>
      <w:r w:rsidRPr="00904FCB">
        <w:rPr>
          <w:rFonts w:asciiTheme="minorBidi" w:hAnsiTheme="minorBidi" w:hint="cs"/>
          <w:sz w:val="27"/>
          <w:rtl/>
        </w:rPr>
        <w:t>ّ</w:t>
      </w:r>
      <w:r w:rsidR="00EF655F" w:rsidRPr="00904FCB">
        <w:rPr>
          <w:rFonts w:asciiTheme="minorBidi" w:hAnsiTheme="minorBidi" w:hint="cs"/>
          <w:sz w:val="27"/>
          <w:rtl/>
        </w:rPr>
        <w:t xml:space="preserve"> في سبيل الله عز</w:t>
      </w:r>
      <w:r w:rsidRPr="00904FCB">
        <w:rPr>
          <w:rFonts w:asciiTheme="minorBidi" w:hAnsiTheme="minorBidi" w:hint="cs"/>
          <w:sz w:val="27"/>
          <w:rtl/>
        </w:rPr>
        <w:t>َّ</w:t>
      </w:r>
      <w:r w:rsidR="00EF655F" w:rsidRPr="00904FCB">
        <w:rPr>
          <w:rFonts w:asciiTheme="minorBidi" w:hAnsiTheme="minorBidi" w:hint="cs"/>
          <w:sz w:val="27"/>
          <w:rtl/>
        </w:rPr>
        <w:t xml:space="preserve"> وجل</w:t>
      </w:r>
      <w:r w:rsidRPr="00904FCB">
        <w:rPr>
          <w:rFonts w:asciiTheme="minorBidi" w:hAnsiTheme="minorBidi" w:hint="cs"/>
          <w:sz w:val="27"/>
          <w:rtl/>
        </w:rPr>
        <w:t>َّ؛</w:t>
      </w:r>
      <w:r w:rsidR="00EF655F" w:rsidRPr="00904FCB">
        <w:rPr>
          <w:rFonts w:asciiTheme="minorBidi" w:hAnsiTheme="minorBidi" w:hint="cs"/>
          <w:sz w:val="27"/>
          <w:rtl/>
        </w:rPr>
        <w:t xml:space="preserve"> ولا يحم</w:t>
      </w:r>
      <w:r w:rsidRPr="00904FCB">
        <w:rPr>
          <w:rFonts w:asciiTheme="minorBidi" w:hAnsiTheme="minorBidi" w:hint="cs"/>
          <w:sz w:val="27"/>
          <w:rtl/>
        </w:rPr>
        <w:t>ِّ</w:t>
      </w:r>
      <w:r w:rsidR="00EF655F" w:rsidRPr="00904FCB">
        <w:rPr>
          <w:rFonts w:asciiTheme="minorBidi" w:hAnsiTheme="minorBidi" w:hint="cs"/>
          <w:sz w:val="27"/>
          <w:rtl/>
        </w:rPr>
        <w:t>لها فوق طاقتها</w:t>
      </w:r>
      <w:r w:rsidRPr="00904FCB">
        <w:rPr>
          <w:rFonts w:asciiTheme="minorBidi" w:hAnsiTheme="minorBidi" w:hint="cs"/>
          <w:sz w:val="27"/>
          <w:rtl/>
        </w:rPr>
        <w:t>؛</w:t>
      </w:r>
      <w:r w:rsidR="00EF655F" w:rsidRPr="00904FCB">
        <w:rPr>
          <w:rFonts w:asciiTheme="minorBidi" w:hAnsiTheme="minorBidi" w:hint="cs"/>
          <w:sz w:val="27"/>
          <w:rtl/>
        </w:rPr>
        <w:t xml:space="preserve"> ولا يكل</w:t>
      </w:r>
      <w:r w:rsidRPr="00904FCB">
        <w:rPr>
          <w:rFonts w:asciiTheme="minorBidi" w:hAnsiTheme="minorBidi" w:hint="cs"/>
          <w:sz w:val="27"/>
          <w:rtl/>
        </w:rPr>
        <w:t>ِّ</w:t>
      </w:r>
      <w:r w:rsidR="00EF655F" w:rsidRPr="00904FCB">
        <w:rPr>
          <w:rFonts w:asciiTheme="minorBidi" w:hAnsiTheme="minorBidi" w:hint="cs"/>
          <w:sz w:val="27"/>
          <w:rtl/>
        </w:rPr>
        <w:t>فها من المشي إلا</w:t>
      </w:r>
      <w:r w:rsidRPr="00904FCB">
        <w:rPr>
          <w:rFonts w:asciiTheme="minorBidi" w:hAnsiTheme="minorBidi" w:hint="cs"/>
          <w:sz w:val="27"/>
          <w:rtl/>
        </w:rPr>
        <w:t>ّ</w:t>
      </w:r>
      <w:r w:rsidR="00EF655F" w:rsidRPr="00904FCB">
        <w:rPr>
          <w:rFonts w:asciiTheme="minorBidi" w:hAnsiTheme="minorBidi" w:hint="cs"/>
          <w:sz w:val="27"/>
          <w:rtl/>
        </w:rPr>
        <w:t xml:space="preserve"> ما تطيق</w:t>
      </w:r>
      <w:r w:rsidR="00EF655F" w:rsidRPr="00904FCB">
        <w:rPr>
          <w:rFonts w:hint="eastAsia"/>
          <w:sz w:val="27"/>
          <w:rtl/>
        </w:rPr>
        <w:t>»</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89"/>
      </w:r>
      <w:r w:rsidR="00EF655F" w:rsidRPr="00904FCB">
        <w:rPr>
          <w:rFonts w:asciiTheme="minorBidi" w:hAnsiTheme="minorBidi"/>
          <w:sz w:val="27"/>
          <w:vertAlign w:val="superscript"/>
          <w:rtl/>
        </w:rPr>
        <w:t>)</w:t>
      </w:r>
      <w:r w:rsidR="00EF655F" w:rsidRPr="00904FCB">
        <w:rPr>
          <w:rFonts w:asciiTheme="minorBidi" w:hAnsiTheme="minorBidi" w:hint="cs"/>
          <w:sz w:val="27"/>
          <w:rtl/>
        </w:rPr>
        <w:t xml:space="preserve">. </w:t>
      </w:r>
    </w:p>
    <w:p w:rsidR="00EF655F" w:rsidRPr="00904FCB" w:rsidRDefault="00EF655F" w:rsidP="00510A75">
      <w:pPr>
        <w:spacing w:line="400" w:lineRule="exact"/>
        <w:rPr>
          <w:rFonts w:asciiTheme="minorBidi" w:hAnsiTheme="minorBidi"/>
          <w:sz w:val="27"/>
          <w:rtl/>
        </w:rPr>
      </w:pPr>
      <w:r w:rsidRPr="00904FCB">
        <w:rPr>
          <w:rFonts w:asciiTheme="minorBidi" w:hAnsiTheme="minorBidi" w:hint="cs"/>
          <w:sz w:val="27"/>
          <w:rtl/>
        </w:rPr>
        <w:t>نعم</w:t>
      </w:r>
      <w:r w:rsidR="00AC154C" w:rsidRPr="00904FCB">
        <w:rPr>
          <w:rFonts w:asciiTheme="minorBidi" w:hAnsiTheme="minorBidi" w:hint="cs"/>
          <w:sz w:val="27"/>
          <w:rtl/>
        </w:rPr>
        <w:t>،</w:t>
      </w:r>
      <w:r w:rsidRPr="00904FCB">
        <w:rPr>
          <w:rFonts w:asciiTheme="minorBidi" w:hAnsiTheme="minorBidi" w:hint="cs"/>
          <w:sz w:val="27"/>
          <w:rtl/>
        </w:rPr>
        <w:t xml:space="preserve"> هذه الحقوق الست</w:t>
      </w:r>
      <w:r w:rsidR="00AC154C" w:rsidRPr="00904FCB">
        <w:rPr>
          <w:rFonts w:asciiTheme="minorBidi" w:hAnsiTheme="minorBidi" w:hint="cs"/>
          <w:sz w:val="27"/>
          <w:rtl/>
        </w:rPr>
        <w:t>ّ</w:t>
      </w:r>
      <w:r w:rsidRPr="00904FCB">
        <w:rPr>
          <w:rFonts w:asciiTheme="minorBidi" w:hAnsiTheme="minorBidi" w:hint="cs"/>
          <w:sz w:val="27"/>
          <w:rtl/>
        </w:rPr>
        <w:t xml:space="preserve">ة هي </w:t>
      </w:r>
      <w:r w:rsidR="008C3368" w:rsidRPr="00904FCB">
        <w:rPr>
          <w:rFonts w:asciiTheme="minorBidi" w:hAnsiTheme="minorBidi" w:hint="cs"/>
          <w:sz w:val="27"/>
          <w:rtl/>
        </w:rPr>
        <w:t>لحيوانات الركوب</w:t>
      </w:r>
      <w:r w:rsidRPr="00904FCB">
        <w:rPr>
          <w:rFonts w:asciiTheme="minorBidi" w:hAnsiTheme="minorBidi" w:hint="cs"/>
          <w:sz w:val="27"/>
          <w:rtl/>
        </w:rPr>
        <w:t>، لكن</w:t>
      </w:r>
      <w:r w:rsidR="008C3368" w:rsidRPr="00904FCB">
        <w:rPr>
          <w:rFonts w:asciiTheme="minorBidi" w:hAnsiTheme="minorBidi" w:hint="cs"/>
          <w:sz w:val="27"/>
          <w:rtl/>
        </w:rPr>
        <w:t>ْ</w:t>
      </w:r>
      <w:r w:rsidRPr="00904FCB">
        <w:rPr>
          <w:rFonts w:asciiTheme="minorBidi" w:hAnsiTheme="minorBidi" w:hint="cs"/>
          <w:sz w:val="27"/>
          <w:rtl/>
        </w:rPr>
        <w:t xml:space="preserve"> بالنسبة </w:t>
      </w:r>
      <w:r w:rsidR="008C3368" w:rsidRPr="00904FCB">
        <w:rPr>
          <w:rFonts w:asciiTheme="minorBidi" w:hAnsiTheme="minorBidi" w:hint="cs"/>
          <w:sz w:val="27"/>
          <w:rtl/>
        </w:rPr>
        <w:t>إلى ا</w:t>
      </w:r>
      <w:r w:rsidRPr="00904FCB">
        <w:rPr>
          <w:rFonts w:asciiTheme="minorBidi" w:hAnsiTheme="minorBidi" w:hint="cs"/>
          <w:sz w:val="27"/>
          <w:rtl/>
        </w:rPr>
        <w:t xml:space="preserve">لحيوانات الأهلية والوحشية فقد ذكرت روايات </w:t>
      </w:r>
      <w:r w:rsidR="008C3368" w:rsidRPr="00904FCB">
        <w:rPr>
          <w:rFonts w:asciiTheme="minorBidi" w:hAnsiTheme="minorBidi" w:hint="cs"/>
          <w:sz w:val="27"/>
          <w:rtl/>
        </w:rPr>
        <w:t>أ</w:t>
      </w:r>
      <w:r w:rsidRPr="00904FCB">
        <w:rPr>
          <w:rFonts w:asciiTheme="minorBidi" w:hAnsiTheme="minorBidi" w:hint="cs"/>
          <w:sz w:val="27"/>
          <w:rtl/>
        </w:rPr>
        <w:t>ئمة أهل البيت</w:t>
      </w:r>
      <w:r w:rsidR="00510A75" w:rsidRPr="00904FCB">
        <w:rPr>
          <w:rFonts w:ascii="Mosawi" w:hAnsi="Mosawi" w:cs="Mosawi"/>
          <w:sz w:val="27"/>
          <w:rtl/>
        </w:rPr>
        <w:t>^</w:t>
      </w:r>
      <w:r w:rsidRPr="00904FCB">
        <w:rPr>
          <w:rFonts w:asciiTheme="minorBidi" w:hAnsiTheme="minorBidi" w:hint="cs"/>
          <w:sz w:val="27"/>
          <w:rtl/>
        </w:rPr>
        <w:t xml:space="preserve"> عد</w:t>
      </w:r>
      <w:r w:rsidR="008C3368" w:rsidRPr="00904FCB">
        <w:rPr>
          <w:rFonts w:asciiTheme="minorBidi" w:hAnsiTheme="minorBidi" w:hint="cs"/>
          <w:sz w:val="27"/>
          <w:rtl/>
        </w:rPr>
        <w:t>ّ</w:t>
      </w:r>
      <w:r w:rsidRPr="00904FCB">
        <w:rPr>
          <w:rFonts w:asciiTheme="minorBidi" w:hAnsiTheme="minorBidi" w:hint="cs"/>
          <w:sz w:val="27"/>
          <w:rtl/>
        </w:rPr>
        <w:t xml:space="preserve">ة حقوق وأساليب للمعاملة الصحيحة.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فقد نهى الإسلام بشد</w:t>
      </w:r>
      <w:r w:rsidR="008C3368" w:rsidRPr="00904FCB">
        <w:rPr>
          <w:rFonts w:asciiTheme="minorBidi" w:hAnsiTheme="minorBidi" w:hint="cs"/>
          <w:sz w:val="27"/>
          <w:rtl/>
        </w:rPr>
        <w:t>ّ</w:t>
      </w:r>
      <w:r w:rsidRPr="00904FCB">
        <w:rPr>
          <w:rFonts w:asciiTheme="minorBidi" w:hAnsiTheme="minorBidi" w:hint="cs"/>
          <w:sz w:val="27"/>
          <w:rtl/>
        </w:rPr>
        <w:t>ة</w:t>
      </w:r>
      <w:r w:rsidR="008C3368" w:rsidRPr="00904FCB">
        <w:rPr>
          <w:rFonts w:asciiTheme="minorBidi" w:hAnsiTheme="minorBidi" w:hint="cs"/>
          <w:sz w:val="27"/>
          <w:rtl/>
        </w:rPr>
        <w:t>ٍ</w:t>
      </w:r>
      <w:r w:rsidRPr="00904FCB">
        <w:rPr>
          <w:rFonts w:asciiTheme="minorBidi" w:hAnsiTheme="minorBidi" w:hint="cs"/>
          <w:sz w:val="27"/>
          <w:rtl/>
        </w:rPr>
        <w:t xml:space="preserve"> عن الإساءة </w:t>
      </w:r>
      <w:r w:rsidR="008C3368" w:rsidRPr="00904FCB">
        <w:rPr>
          <w:rFonts w:asciiTheme="minorBidi" w:hAnsiTheme="minorBidi" w:hint="cs"/>
          <w:sz w:val="27"/>
          <w:rtl/>
        </w:rPr>
        <w:t>إلى ا</w:t>
      </w:r>
      <w:r w:rsidRPr="00904FCB">
        <w:rPr>
          <w:rFonts w:asciiTheme="minorBidi" w:hAnsiTheme="minorBidi" w:hint="cs"/>
          <w:sz w:val="27"/>
          <w:rtl/>
        </w:rPr>
        <w:t>لحيوانات</w:t>
      </w:r>
      <w:r w:rsidR="008C3368" w:rsidRPr="00904FCB">
        <w:rPr>
          <w:rFonts w:asciiTheme="minorBidi" w:hAnsiTheme="minorBidi" w:hint="cs"/>
          <w:sz w:val="27"/>
          <w:rtl/>
        </w:rPr>
        <w:t>، حتّى أنّه</w:t>
      </w:r>
      <w:r w:rsidRPr="00904FCB">
        <w:rPr>
          <w:rFonts w:asciiTheme="minorBidi" w:hAnsiTheme="minorBidi" w:hint="cs"/>
          <w:sz w:val="27"/>
          <w:rtl/>
        </w:rPr>
        <w:t xml:space="preserve"> رت</w:t>
      </w:r>
      <w:r w:rsidR="008C3368" w:rsidRPr="00904FCB">
        <w:rPr>
          <w:rFonts w:asciiTheme="minorBidi" w:hAnsiTheme="minorBidi" w:hint="cs"/>
          <w:sz w:val="27"/>
          <w:rtl/>
        </w:rPr>
        <w:t>َّ</w:t>
      </w:r>
      <w:r w:rsidRPr="00904FCB">
        <w:rPr>
          <w:rFonts w:asciiTheme="minorBidi" w:hAnsiTheme="minorBidi" w:hint="cs"/>
          <w:sz w:val="27"/>
          <w:rtl/>
        </w:rPr>
        <w:t>ب عليها العقوبة في الآخرة، ووص</w:t>
      </w:r>
      <w:r w:rsidR="008C3368" w:rsidRPr="00904FCB">
        <w:rPr>
          <w:rFonts w:asciiTheme="minorBidi" w:hAnsiTheme="minorBidi" w:hint="cs"/>
          <w:sz w:val="27"/>
          <w:rtl/>
        </w:rPr>
        <w:t>ّ</w:t>
      </w:r>
      <w:r w:rsidRPr="00904FCB">
        <w:rPr>
          <w:rFonts w:asciiTheme="minorBidi" w:hAnsiTheme="minorBidi" w:hint="cs"/>
          <w:sz w:val="27"/>
          <w:rtl/>
        </w:rPr>
        <w:t>ى بالعفو عنها حين عصيانها للأوامر</w:t>
      </w:r>
      <w:r w:rsidR="008C3368" w:rsidRPr="00904FCB">
        <w:rPr>
          <w:rFonts w:asciiTheme="minorBidi" w:hAnsiTheme="minorBidi" w:hint="cs"/>
          <w:sz w:val="27"/>
          <w:rtl/>
        </w:rPr>
        <w:t>،</w:t>
      </w:r>
      <w:r w:rsidRPr="00904FCB">
        <w:rPr>
          <w:rFonts w:asciiTheme="minorBidi" w:hAnsiTheme="minorBidi" w:hint="cs"/>
          <w:sz w:val="27"/>
          <w:rtl/>
        </w:rPr>
        <w:t xml:space="preserve"> والسماح لها حين يصدر منها </w:t>
      </w:r>
      <w:r w:rsidR="008C3368" w:rsidRPr="00904FCB">
        <w:rPr>
          <w:rFonts w:asciiTheme="minorBidi" w:hAnsiTheme="minorBidi" w:hint="cs"/>
          <w:sz w:val="27"/>
          <w:rtl/>
        </w:rPr>
        <w:t>ا</w:t>
      </w:r>
      <w:r w:rsidRPr="00904FCB">
        <w:rPr>
          <w:rFonts w:asciiTheme="minorBidi" w:hAnsiTheme="minorBidi" w:hint="cs"/>
          <w:sz w:val="27"/>
          <w:rtl/>
        </w:rPr>
        <w:t>عتداء</w:t>
      </w:r>
      <w:r w:rsidR="00BC02C4">
        <w:rPr>
          <w:rFonts w:asciiTheme="minorBidi" w:hAnsiTheme="minorBidi" w:hint="cs"/>
          <w:sz w:val="27"/>
          <w:rtl/>
        </w:rPr>
        <w:t>ٌ</w:t>
      </w:r>
      <w:r w:rsidRPr="00904FCB">
        <w:rPr>
          <w:rFonts w:asciiTheme="minorBidi" w:hAnsiTheme="minorBidi" w:hint="cs"/>
          <w:sz w:val="27"/>
          <w:rtl/>
        </w:rPr>
        <w:t xml:space="preserve"> وأذى</w:t>
      </w:r>
      <w:r w:rsidR="008C3368" w:rsidRPr="00904FCB">
        <w:rPr>
          <w:rFonts w:asciiTheme="minorBidi" w:hAnsiTheme="minorBidi" w:hint="cs"/>
          <w:sz w:val="27"/>
          <w:rtl/>
        </w:rPr>
        <w:t xml:space="preserve">، </w:t>
      </w:r>
      <w:r w:rsidRPr="00904FCB">
        <w:rPr>
          <w:rFonts w:asciiTheme="minorBidi" w:hAnsiTheme="minorBidi" w:hint="cs"/>
          <w:sz w:val="27"/>
          <w:rtl/>
        </w:rPr>
        <w:t xml:space="preserve">ووعد بالجزاء الجزيل مقابل ذلك لصاحبها في الآخرة. </w:t>
      </w:r>
    </w:p>
    <w:p w:rsidR="00EF655F" w:rsidRPr="00904FCB" w:rsidRDefault="008C3368" w:rsidP="007A21AA">
      <w:pPr>
        <w:spacing w:line="400" w:lineRule="exact"/>
        <w:rPr>
          <w:rFonts w:asciiTheme="minorBidi" w:hAnsiTheme="minorBidi"/>
          <w:sz w:val="27"/>
          <w:rtl/>
        </w:rPr>
      </w:pPr>
      <w:r w:rsidRPr="00904FCB">
        <w:rPr>
          <w:rFonts w:asciiTheme="minorBidi" w:hAnsiTheme="minorBidi" w:hint="cs"/>
          <w:sz w:val="27"/>
          <w:rtl/>
        </w:rPr>
        <w:t>كما نهى النبيّ</w:t>
      </w:r>
      <w:r w:rsidR="00635E51" w:rsidRPr="00904FCB">
        <w:rPr>
          <w:rFonts w:asciiTheme="minorBidi" w:hAnsiTheme="minorBidi" w:cs="Mosawi" w:hint="cs"/>
          <w:sz w:val="27"/>
          <w:szCs w:val="22"/>
          <w:rtl/>
        </w:rPr>
        <w:t>|</w:t>
      </w:r>
      <w:r w:rsidRPr="00904FCB">
        <w:rPr>
          <w:rFonts w:asciiTheme="minorBidi" w:hAnsiTheme="minorBidi" w:hint="cs"/>
          <w:sz w:val="27"/>
          <w:rtl/>
        </w:rPr>
        <w:t xml:space="preserve"> </w:t>
      </w:r>
      <w:r w:rsidR="00EF655F" w:rsidRPr="00904FCB">
        <w:rPr>
          <w:rFonts w:asciiTheme="minorBidi" w:hAnsiTheme="minorBidi" w:hint="cs"/>
          <w:sz w:val="27"/>
          <w:rtl/>
        </w:rPr>
        <w:t>عن تأليب الحيوانات</w:t>
      </w:r>
      <w:r w:rsidRPr="00904FCB">
        <w:rPr>
          <w:rFonts w:asciiTheme="minorBidi" w:hAnsiTheme="minorBidi" w:hint="cs"/>
          <w:sz w:val="27"/>
          <w:rtl/>
        </w:rPr>
        <w:t>،</w:t>
      </w:r>
      <w:r w:rsidR="00EF655F" w:rsidRPr="00904FCB">
        <w:rPr>
          <w:rFonts w:asciiTheme="minorBidi" w:hAnsiTheme="minorBidi" w:hint="cs"/>
          <w:sz w:val="27"/>
          <w:rtl/>
        </w:rPr>
        <w:t xml:space="preserve"> وتحر</w:t>
      </w:r>
      <w:r w:rsidRPr="00904FCB">
        <w:rPr>
          <w:rFonts w:asciiTheme="minorBidi" w:hAnsiTheme="minorBidi" w:hint="cs"/>
          <w:sz w:val="27"/>
          <w:rtl/>
        </w:rPr>
        <w:t>ي</w:t>
      </w:r>
      <w:r w:rsidR="00EF655F" w:rsidRPr="00904FCB">
        <w:rPr>
          <w:rFonts w:asciiTheme="minorBidi" w:hAnsiTheme="minorBidi" w:hint="cs"/>
          <w:sz w:val="27"/>
          <w:rtl/>
        </w:rPr>
        <w:t xml:space="preserve">شها بعضها على بعض: </w:t>
      </w:r>
      <w:r w:rsidR="00EF655F" w:rsidRPr="00904FCB">
        <w:rPr>
          <w:rFonts w:hint="eastAsia"/>
          <w:sz w:val="27"/>
          <w:rtl/>
        </w:rPr>
        <w:t>«</w:t>
      </w:r>
      <w:r w:rsidR="00EF655F" w:rsidRPr="00904FCB">
        <w:rPr>
          <w:rFonts w:asciiTheme="minorBidi" w:hAnsiTheme="minorBidi" w:hint="cs"/>
          <w:sz w:val="27"/>
          <w:rtl/>
        </w:rPr>
        <w:t>نهى رسول الله</w:t>
      </w:r>
      <w:r w:rsidR="00635E51" w:rsidRPr="00904FCB">
        <w:rPr>
          <w:rFonts w:asciiTheme="minorBidi" w:hAnsiTheme="minorBidi" w:cs="Mosawi" w:hint="cs"/>
          <w:sz w:val="27"/>
          <w:szCs w:val="22"/>
          <w:rtl/>
        </w:rPr>
        <w:t>|</w:t>
      </w:r>
      <w:r w:rsidR="00EF655F" w:rsidRPr="00904FCB">
        <w:rPr>
          <w:rFonts w:asciiTheme="minorBidi" w:hAnsiTheme="minorBidi" w:hint="cs"/>
          <w:sz w:val="27"/>
          <w:rtl/>
        </w:rPr>
        <w:t xml:space="preserve"> عن تحريش البهائم</w:t>
      </w:r>
      <w:r w:rsidRPr="00904FCB">
        <w:rPr>
          <w:rFonts w:hint="eastAsia"/>
          <w:sz w:val="27"/>
          <w:rtl/>
        </w:rPr>
        <w:t>»</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90"/>
      </w:r>
      <w:r w:rsidR="00EF655F" w:rsidRPr="00904FCB">
        <w:rPr>
          <w:rFonts w:asciiTheme="minorBidi" w:hAnsiTheme="minorBidi"/>
          <w:sz w:val="27"/>
          <w:vertAlign w:val="superscript"/>
          <w:rtl/>
        </w:rPr>
        <w:t>)</w:t>
      </w:r>
      <w:r w:rsidRPr="00904FCB">
        <w:rPr>
          <w:rFonts w:asciiTheme="minorBidi" w:hAnsiTheme="minorBidi" w:hint="cs"/>
          <w:sz w:val="27"/>
          <w:rtl/>
        </w:rPr>
        <w:t>.</w:t>
      </w:r>
      <w:r w:rsidR="00EF655F" w:rsidRPr="00904FCB">
        <w:rPr>
          <w:rFonts w:asciiTheme="minorBidi" w:hAnsiTheme="minorBidi" w:hint="cs"/>
          <w:sz w:val="27"/>
          <w:rtl/>
        </w:rPr>
        <w:t xml:space="preserve"> </w:t>
      </w:r>
    </w:p>
    <w:p w:rsidR="00EF655F" w:rsidRPr="00904FCB" w:rsidRDefault="00EF655F" w:rsidP="00510A75">
      <w:pPr>
        <w:spacing w:line="400" w:lineRule="exact"/>
        <w:rPr>
          <w:rFonts w:asciiTheme="minorBidi" w:hAnsiTheme="minorBidi"/>
          <w:sz w:val="27"/>
          <w:rtl/>
        </w:rPr>
      </w:pPr>
      <w:r w:rsidRPr="00904FCB">
        <w:rPr>
          <w:rFonts w:asciiTheme="minorBidi" w:hAnsiTheme="minorBidi" w:hint="cs"/>
          <w:sz w:val="27"/>
          <w:rtl/>
        </w:rPr>
        <w:t>ذكر كتاب (ثواب الأعمال) روايات متعد</w:t>
      </w:r>
      <w:r w:rsidR="008C3368" w:rsidRPr="00904FCB">
        <w:rPr>
          <w:rFonts w:asciiTheme="minorBidi" w:hAnsiTheme="minorBidi" w:hint="cs"/>
          <w:sz w:val="27"/>
          <w:rtl/>
        </w:rPr>
        <w:t>ِّ</w:t>
      </w:r>
      <w:r w:rsidRPr="00904FCB">
        <w:rPr>
          <w:rFonts w:asciiTheme="minorBidi" w:hAnsiTheme="minorBidi" w:hint="cs"/>
          <w:sz w:val="27"/>
          <w:rtl/>
        </w:rPr>
        <w:t>دة ل</w:t>
      </w:r>
      <w:r w:rsidR="008C3368" w:rsidRPr="00904FCB">
        <w:rPr>
          <w:rFonts w:asciiTheme="minorBidi" w:hAnsiTheme="minorBidi" w:hint="cs"/>
          <w:sz w:val="27"/>
          <w:rtl/>
        </w:rPr>
        <w:t>أ</w:t>
      </w:r>
      <w:r w:rsidRPr="00904FCB">
        <w:rPr>
          <w:rFonts w:asciiTheme="minorBidi" w:hAnsiTheme="minorBidi" w:hint="cs"/>
          <w:sz w:val="27"/>
          <w:rtl/>
        </w:rPr>
        <w:t>ئم</w:t>
      </w:r>
      <w:r w:rsidR="008C3368" w:rsidRPr="00904FCB">
        <w:rPr>
          <w:rFonts w:asciiTheme="minorBidi" w:hAnsiTheme="minorBidi" w:hint="cs"/>
          <w:sz w:val="27"/>
          <w:rtl/>
        </w:rPr>
        <w:t>ّ</w:t>
      </w:r>
      <w:r w:rsidRPr="00904FCB">
        <w:rPr>
          <w:rFonts w:asciiTheme="minorBidi" w:hAnsiTheme="minorBidi" w:hint="cs"/>
          <w:sz w:val="27"/>
          <w:rtl/>
        </w:rPr>
        <w:t>ة أهل البيت</w:t>
      </w:r>
      <w:r w:rsidR="00510A75" w:rsidRPr="00904FCB">
        <w:rPr>
          <w:rFonts w:ascii="Mosawi" w:hAnsi="Mosawi" w:cs="Mosawi"/>
          <w:sz w:val="27"/>
          <w:rtl/>
        </w:rPr>
        <w:t>^</w:t>
      </w:r>
      <w:r w:rsidRPr="00904FCB">
        <w:rPr>
          <w:rFonts w:asciiTheme="minorBidi" w:hAnsiTheme="minorBidi" w:hint="cs"/>
          <w:sz w:val="27"/>
          <w:rtl/>
        </w:rPr>
        <w:t xml:space="preserve"> حول حفظ الحيوانات</w:t>
      </w:r>
      <w:r w:rsidR="008C3368" w:rsidRPr="00904FCB">
        <w:rPr>
          <w:rFonts w:asciiTheme="minorBidi" w:hAnsiTheme="minorBidi" w:hint="cs"/>
          <w:sz w:val="27"/>
          <w:rtl/>
        </w:rPr>
        <w:t>،</w:t>
      </w:r>
      <w:r w:rsidRPr="00904FCB">
        <w:rPr>
          <w:rFonts w:asciiTheme="minorBidi" w:hAnsiTheme="minorBidi" w:hint="cs"/>
          <w:sz w:val="27"/>
          <w:rtl/>
        </w:rPr>
        <w:t xml:space="preserve"> والرفق بها</w:t>
      </w:r>
      <w:r w:rsidR="008C3368" w:rsidRPr="00904FCB">
        <w:rPr>
          <w:rFonts w:asciiTheme="minorBidi" w:hAnsiTheme="minorBidi" w:hint="cs"/>
          <w:sz w:val="27"/>
          <w:rtl/>
        </w:rPr>
        <w:t>،</w:t>
      </w:r>
      <w:r w:rsidRPr="00904FCB">
        <w:rPr>
          <w:rFonts w:asciiTheme="minorBidi" w:hAnsiTheme="minorBidi" w:hint="cs"/>
          <w:sz w:val="27"/>
          <w:rtl/>
        </w:rPr>
        <w:t xml:space="preserve"> وما أ</w:t>
      </w:r>
      <w:r w:rsidR="008C3368" w:rsidRPr="00904FCB">
        <w:rPr>
          <w:rFonts w:asciiTheme="minorBidi" w:hAnsiTheme="minorBidi" w:hint="cs"/>
          <w:sz w:val="27"/>
          <w:rtl/>
        </w:rPr>
        <w:t>ُ</w:t>
      </w:r>
      <w:r w:rsidRPr="00904FCB">
        <w:rPr>
          <w:rFonts w:asciiTheme="minorBidi" w:hAnsiTheme="minorBidi" w:hint="cs"/>
          <w:sz w:val="27"/>
          <w:rtl/>
        </w:rPr>
        <w:t>عد</w:t>
      </w:r>
      <w:r w:rsidR="008C3368" w:rsidRPr="00904FCB">
        <w:rPr>
          <w:rFonts w:asciiTheme="minorBidi" w:hAnsiTheme="minorBidi" w:hint="cs"/>
          <w:sz w:val="27"/>
          <w:rtl/>
        </w:rPr>
        <w:t>ّ</w:t>
      </w:r>
      <w:r w:rsidRPr="00904FCB">
        <w:rPr>
          <w:rFonts w:asciiTheme="minorBidi" w:hAnsiTheme="minorBidi" w:hint="cs"/>
          <w:sz w:val="27"/>
          <w:rtl/>
        </w:rPr>
        <w:t xml:space="preserve"> من أجر</w:t>
      </w:r>
      <w:r w:rsidR="008C3368" w:rsidRPr="00904FCB">
        <w:rPr>
          <w:rFonts w:asciiTheme="minorBidi" w:hAnsiTheme="minorBidi" w:hint="cs"/>
          <w:sz w:val="27"/>
          <w:rtl/>
        </w:rPr>
        <w:t>ٍ</w:t>
      </w:r>
      <w:r w:rsidRPr="00904FCB">
        <w:rPr>
          <w:rFonts w:asciiTheme="minorBidi" w:hAnsiTheme="minorBidi" w:hint="cs"/>
          <w:sz w:val="27"/>
          <w:rtl/>
        </w:rPr>
        <w:t xml:space="preserve"> وثواب في مقابل ذلك</w:t>
      </w:r>
      <w:r w:rsidRPr="00904FCB">
        <w:rPr>
          <w:rFonts w:asciiTheme="minorBidi" w:hAnsiTheme="minorBidi"/>
          <w:sz w:val="27"/>
          <w:vertAlign w:val="superscript"/>
          <w:rtl/>
        </w:rPr>
        <w:t>(</w:t>
      </w:r>
      <w:r w:rsidRPr="00904FCB">
        <w:rPr>
          <w:rStyle w:val="ac"/>
          <w:rFonts w:asciiTheme="minorBidi" w:hAnsiTheme="minorBidi"/>
          <w:sz w:val="27"/>
          <w:rtl/>
        </w:rPr>
        <w:endnoteReference w:id="591"/>
      </w:r>
      <w:r w:rsidRPr="00904FCB">
        <w:rPr>
          <w:rFonts w:asciiTheme="minorBidi" w:hAnsiTheme="minorBidi"/>
          <w:sz w:val="27"/>
          <w:vertAlign w:val="superscript"/>
          <w:rtl/>
        </w:rPr>
        <w:t>)</w:t>
      </w:r>
      <w:r w:rsidR="008C3368" w:rsidRPr="00904FCB">
        <w:rPr>
          <w:rFonts w:asciiTheme="minorBidi" w:hAnsiTheme="minorBidi" w:hint="cs"/>
          <w:sz w:val="27"/>
          <w:rtl/>
        </w:rPr>
        <w:t>.</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نعم</w:t>
      </w:r>
      <w:r w:rsidR="008C3368" w:rsidRPr="00904FCB">
        <w:rPr>
          <w:rFonts w:asciiTheme="minorBidi" w:hAnsiTheme="minorBidi" w:hint="cs"/>
          <w:sz w:val="27"/>
          <w:rtl/>
        </w:rPr>
        <w:t>،</w:t>
      </w:r>
      <w:r w:rsidRPr="00904FCB">
        <w:rPr>
          <w:rFonts w:asciiTheme="minorBidi" w:hAnsiTheme="minorBidi" w:hint="cs"/>
          <w:sz w:val="27"/>
          <w:rtl/>
        </w:rPr>
        <w:t xml:space="preserve"> ال</w:t>
      </w:r>
      <w:r w:rsidR="008C3368" w:rsidRPr="00904FCB">
        <w:rPr>
          <w:rFonts w:asciiTheme="minorBidi" w:hAnsiTheme="minorBidi" w:hint="cs"/>
          <w:sz w:val="27"/>
          <w:rtl/>
        </w:rPr>
        <w:t>إ</w:t>
      </w:r>
      <w:r w:rsidRPr="00904FCB">
        <w:rPr>
          <w:rFonts w:asciiTheme="minorBidi" w:hAnsiTheme="minorBidi" w:hint="cs"/>
          <w:sz w:val="27"/>
          <w:rtl/>
        </w:rPr>
        <w:t>سلام أجاز صيد وقنص الحيوان في مواضع خاص</w:t>
      </w:r>
      <w:r w:rsidR="008C3368" w:rsidRPr="00904FCB">
        <w:rPr>
          <w:rFonts w:asciiTheme="minorBidi" w:hAnsiTheme="minorBidi" w:hint="cs"/>
          <w:sz w:val="27"/>
          <w:rtl/>
        </w:rPr>
        <w:t>ّ</w:t>
      </w:r>
      <w:r w:rsidRPr="00904FCB">
        <w:rPr>
          <w:rFonts w:asciiTheme="minorBidi" w:hAnsiTheme="minorBidi" w:hint="cs"/>
          <w:sz w:val="27"/>
          <w:rtl/>
        </w:rPr>
        <w:t>ة</w:t>
      </w:r>
      <w:r w:rsidR="008C3368" w:rsidRPr="00904FCB">
        <w:rPr>
          <w:rFonts w:asciiTheme="minorBidi" w:hAnsiTheme="minorBidi" w:hint="cs"/>
          <w:sz w:val="27"/>
          <w:rtl/>
        </w:rPr>
        <w:t>،</w:t>
      </w:r>
      <w:r w:rsidRPr="00904FCB">
        <w:rPr>
          <w:rFonts w:asciiTheme="minorBidi" w:hAnsiTheme="minorBidi" w:hint="cs"/>
          <w:sz w:val="27"/>
          <w:rtl/>
        </w:rPr>
        <w:t xml:space="preserve"> ولم ي</w:t>
      </w:r>
      <w:r w:rsidR="00BC02C4">
        <w:rPr>
          <w:rFonts w:asciiTheme="minorBidi" w:hAnsiTheme="minorBidi" w:hint="cs"/>
          <w:sz w:val="27"/>
          <w:rtl/>
        </w:rPr>
        <w:t>ُ</w:t>
      </w:r>
      <w:r w:rsidRPr="00904FCB">
        <w:rPr>
          <w:rFonts w:asciiTheme="minorBidi" w:hAnsiTheme="minorBidi" w:hint="cs"/>
          <w:sz w:val="27"/>
          <w:rtl/>
        </w:rPr>
        <w:t>ج</w:t>
      </w:r>
      <w:r w:rsidR="00BC02C4">
        <w:rPr>
          <w:rFonts w:asciiTheme="minorBidi" w:hAnsiTheme="minorBidi" w:hint="cs"/>
          <w:sz w:val="27"/>
          <w:rtl/>
        </w:rPr>
        <w:t>ِ</w:t>
      </w:r>
      <w:r w:rsidRPr="00904FCB">
        <w:rPr>
          <w:rFonts w:asciiTheme="minorBidi" w:hAnsiTheme="minorBidi" w:hint="cs"/>
          <w:sz w:val="27"/>
          <w:rtl/>
        </w:rPr>
        <w:t>ز</w:t>
      </w:r>
      <w:r w:rsidR="00BC02C4">
        <w:rPr>
          <w:rFonts w:asciiTheme="minorBidi" w:hAnsiTheme="minorBidi" w:hint="cs"/>
          <w:sz w:val="27"/>
          <w:rtl/>
        </w:rPr>
        <w:t>ْ</w:t>
      </w:r>
      <w:r w:rsidRPr="00904FCB">
        <w:rPr>
          <w:rFonts w:asciiTheme="minorBidi" w:hAnsiTheme="minorBidi" w:hint="cs"/>
          <w:sz w:val="27"/>
          <w:rtl/>
        </w:rPr>
        <w:t>ها بشكل</w:t>
      </w:r>
      <w:r w:rsidR="008C3368" w:rsidRPr="00904FCB">
        <w:rPr>
          <w:rFonts w:asciiTheme="minorBidi" w:hAnsiTheme="minorBidi" w:hint="cs"/>
          <w:sz w:val="27"/>
          <w:rtl/>
        </w:rPr>
        <w:t>ٍ</w:t>
      </w:r>
      <w:r w:rsidRPr="00904FCB">
        <w:rPr>
          <w:rFonts w:asciiTheme="minorBidi" w:hAnsiTheme="minorBidi" w:hint="cs"/>
          <w:sz w:val="27"/>
          <w:rtl/>
        </w:rPr>
        <w:t xml:space="preserve"> مطلق. وجعل الصيد في الح</w:t>
      </w:r>
      <w:r w:rsidR="008C3368" w:rsidRPr="00904FCB">
        <w:rPr>
          <w:rFonts w:asciiTheme="minorBidi" w:hAnsiTheme="minorBidi" w:hint="cs"/>
          <w:sz w:val="27"/>
          <w:rtl/>
        </w:rPr>
        <w:t>َ</w:t>
      </w:r>
      <w:r w:rsidRPr="00904FCB">
        <w:rPr>
          <w:rFonts w:asciiTheme="minorBidi" w:hAnsiTheme="minorBidi" w:hint="cs"/>
          <w:sz w:val="27"/>
          <w:rtl/>
        </w:rPr>
        <w:t>ر</w:t>
      </w:r>
      <w:r w:rsidR="008C3368" w:rsidRPr="00904FCB">
        <w:rPr>
          <w:rFonts w:asciiTheme="minorBidi" w:hAnsiTheme="minorBidi" w:hint="cs"/>
          <w:sz w:val="27"/>
          <w:rtl/>
        </w:rPr>
        <w:t>َ</w:t>
      </w:r>
      <w:r w:rsidRPr="00904FCB">
        <w:rPr>
          <w:rFonts w:asciiTheme="minorBidi" w:hAnsiTheme="minorBidi" w:hint="cs"/>
          <w:sz w:val="27"/>
          <w:rtl/>
        </w:rPr>
        <w:t>م وزمن الحج</w:t>
      </w:r>
      <w:r w:rsidR="008C3368" w:rsidRPr="00904FCB">
        <w:rPr>
          <w:rFonts w:asciiTheme="minorBidi" w:hAnsiTheme="minorBidi" w:hint="cs"/>
          <w:sz w:val="27"/>
          <w:rtl/>
        </w:rPr>
        <w:t>ّ</w:t>
      </w:r>
      <w:r w:rsidRPr="00904FCB">
        <w:rPr>
          <w:rFonts w:asciiTheme="minorBidi" w:hAnsiTheme="minorBidi" w:hint="cs"/>
          <w:sz w:val="27"/>
          <w:rtl/>
        </w:rPr>
        <w:t xml:space="preserve"> من المحر</w:t>
      </w:r>
      <w:r w:rsidR="008C3368" w:rsidRPr="00904FCB">
        <w:rPr>
          <w:rFonts w:asciiTheme="minorBidi" w:hAnsiTheme="minorBidi" w:hint="cs"/>
          <w:sz w:val="27"/>
          <w:rtl/>
        </w:rPr>
        <w:t>َّ</w:t>
      </w:r>
      <w:r w:rsidRPr="00904FCB">
        <w:rPr>
          <w:rFonts w:asciiTheme="minorBidi" w:hAnsiTheme="minorBidi" w:hint="cs"/>
          <w:sz w:val="27"/>
          <w:rtl/>
        </w:rPr>
        <w:t>مات، وجعل على م</w:t>
      </w:r>
      <w:r w:rsidR="008C3368" w:rsidRPr="00904FCB">
        <w:rPr>
          <w:rFonts w:asciiTheme="minorBidi" w:hAnsiTheme="minorBidi" w:hint="cs"/>
          <w:sz w:val="27"/>
          <w:rtl/>
        </w:rPr>
        <w:t>َ</w:t>
      </w:r>
      <w:r w:rsidRPr="00904FCB">
        <w:rPr>
          <w:rFonts w:asciiTheme="minorBidi" w:hAnsiTheme="minorBidi" w:hint="cs"/>
          <w:sz w:val="27"/>
          <w:rtl/>
        </w:rPr>
        <w:t>ن</w:t>
      </w:r>
      <w:r w:rsidR="008C3368" w:rsidRPr="00904FCB">
        <w:rPr>
          <w:rFonts w:asciiTheme="minorBidi" w:hAnsiTheme="minorBidi" w:hint="cs"/>
          <w:sz w:val="27"/>
          <w:rtl/>
        </w:rPr>
        <w:t>ْ</w:t>
      </w:r>
      <w:r w:rsidRPr="00904FCB">
        <w:rPr>
          <w:rFonts w:asciiTheme="minorBidi" w:hAnsiTheme="minorBidi" w:hint="cs"/>
          <w:sz w:val="27"/>
          <w:rtl/>
        </w:rPr>
        <w:t xml:space="preserve"> </w:t>
      </w:r>
      <w:r w:rsidR="008C3368" w:rsidRPr="00904FCB">
        <w:rPr>
          <w:rFonts w:asciiTheme="minorBidi" w:hAnsiTheme="minorBidi" w:hint="cs"/>
          <w:sz w:val="27"/>
          <w:rtl/>
        </w:rPr>
        <w:t>ارتكب شيئاً</w:t>
      </w:r>
      <w:r w:rsidRPr="00904FCB">
        <w:rPr>
          <w:rFonts w:asciiTheme="minorBidi" w:hAnsiTheme="minorBidi" w:hint="cs"/>
          <w:sz w:val="27"/>
          <w:rtl/>
        </w:rPr>
        <w:t xml:space="preserve"> من ذلك كفارة</w:t>
      </w:r>
      <w:r w:rsidR="008C3368" w:rsidRPr="00904FCB">
        <w:rPr>
          <w:rFonts w:asciiTheme="minorBidi" w:hAnsiTheme="minorBidi" w:hint="cs"/>
          <w:sz w:val="27"/>
          <w:rtl/>
        </w:rPr>
        <w:t>ً</w:t>
      </w:r>
      <w:r w:rsidRPr="00904FCB">
        <w:rPr>
          <w:rFonts w:asciiTheme="minorBidi" w:hAnsiTheme="minorBidi" w:hint="cs"/>
          <w:sz w:val="27"/>
          <w:rtl/>
        </w:rPr>
        <w:t xml:space="preserve"> تختلف كم</w:t>
      </w:r>
      <w:r w:rsidR="008C3368" w:rsidRPr="00904FCB">
        <w:rPr>
          <w:rFonts w:asciiTheme="minorBidi" w:hAnsiTheme="minorBidi" w:hint="cs"/>
          <w:sz w:val="27"/>
          <w:rtl/>
        </w:rPr>
        <w:t>ّ</w:t>
      </w:r>
      <w:r w:rsidRPr="00904FCB">
        <w:rPr>
          <w:rFonts w:asciiTheme="minorBidi" w:hAnsiTheme="minorBidi" w:hint="cs"/>
          <w:sz w:val="27"/>
          <w:rtl/>
        </w:rPr>
        <w:t>ا</w:t>
      </w:r>
      <w:r w:rsidR="008C3368" w:rsidRPr="00904FCB">
        <w:rPr>
          <w:rFonts w:asciiTheme="minorBidi" w:hAnsiTheme="minorBidi" w:hint="cs"/>
          <w:sz w:val="27"/>
          <w:rtl/>
        </w:rPr>
        <w:t>ً</w:t>
      </w:r>
      <w:r w:rsidRPr="00904FCB">
        <w:rPr>
          <w:rFonts w:asciiTheme="minorBidi" w:hAnsiTheme="minorBidi" w:hint="cs"/>
          <w:sz w:val="27"/>
          <w:rtl/>
        </w:rPr>
        <w:t xml:space="preserve"> ونوعا</w:t>
      </w:r>
      <w:r w:rsidR="008C3368" w:rsidRPr="00904FCB">
        <w:rPr>
          <w:rFonts w:asciiTheme="minorBidi" w:hAnsiTheme="minorBidi" w:hint="cs"/>
          <w:sz w:val="27"/>
          <w:rtl/>
        </w:rPr>
        <w:t>ً</w:t>
      </w:r>
      <w:r w:rsidRPr="00904FCB">
        <w:rPr>
          <w:rFonts w:asciiTheme="minorBidi" w:hAnsiTheme="minorBidi" w:hint="cs"/>
          <w:sz w:val="27"/>
          <w:rtl/>
        </w:rPr>
        <w:t xml:space="preserve">. </w:t>
      </w:r>
      <w:r w:rsidR="008C3368" w:rsidRPr="00904FCB">
        <w:rPr>
          <w:rFonts w:asciiTheme="minorBidi" w:hAnsiTheme="minorBidi" w:hint="cs"/>
          <w:sz w:val="27"/>
          <w:rtl/>
        </w:rPr>
        <w:t xml:space="preserve">فقد </w:t>
      </w:r>
      <w:r w:rsidRPr="00904FCB">
        <w:rPr>
          <w:rFonts w:asciiTheme="minorBidi" w:hAnsiTheme="minorBidi" w:hint="cs"/>
          <w:sz w:val="27"/>
          <w:rtl/>
        </w:rPr>
        <w:t>ورد عن رسول الله</w:t>
      </w:r>
      <w:r w:rsidR="00635E51" w:rsidRPr="00904FCB">
        <w:rPr>
          <w:rFonts w:asciiTheme="minorBidi" w:hAnsiTheme="minorBidi" w:cs="Mosawi" w:hint="cs"/>
          <w:sz w:val="27"/>
          <w:szCs w:val="22"/>
          <w:rtl/>
        </w:rPr>
        <w:t>|</w:t>
      </w:r>
      <w:r w:rsidRPr="00904FCB">
        <w:rPr>
          <w:rFonts w:asciiTheme="minorBidi" w:hAnsiTheme="minorBidi" w:hint="cs"/>
          <w:sz w:val="27"/>
          <w:rtl/>
        </w:rPr>
        <w:t xml:space="preserve">: </w:t>
      </w:r>
      <w:r w:rsidRPr="00904FCB">
        <w:rPr>
          <w:rFonts w:hint="eastAsia"/>
          <w:sz w:val="27"/>
          <w:rtl/>
        </w:rPr>
        <w:t>«</w:t>
      </w:r>
      <w:r w:rsidRPr="00904FCB">
        <w:rPr>
          <w:rFonts w:asciiTheme="minorBidi" w:hAnsiTheme="minorBidi" w:hint="cs"/>
          <w:sz w:val="27"/>
          <w:rtl/>
        </w:rPr>
        <w:t>م</w:t>
      </w:r>
      <w:r w:rsidR="008C3368" w:rsidRPr="00904FCB">
        <w:rPr>
          <w:rFonts w:asciiTheme="minorBidi" w:hAnsiTheme="minorBidi" w:hint="cs"/>
          <w:sz w:val="27"/>
          <w:rtl/>
        </w:rPr>
        <w:t>َ</w:t>
      </w:r>
      <w:r w:rsidRPr="00904FCB">
        <w:rPr>
          <w:rFonts w:asciiTheme="minorBidi" w:hAnsiTheme="minorBidi" w:hint="cs"/>
          <w:sz w:val="27"/>
          <w:rtl/>
        </w:rPr>
        <w:t>ن</w:t>
      </w:r>
      <w:r w:rsidR="008C3368" w:rsidRPr="00904FCB">
        <w:rPr>
          <w:rFonts w:asciiTheme="minorBidi" w:hAnsiTheme="minorBidi" w:hint="cs"/>
          <w:sz w:val="27"/>
          <w:rtl/>
        </w:rPr>
        <w:t>ْ</w:t>
      </w:r>
      <w:r w:rsidRPr="00904FCB">
        <w:rPr>
          <w:rFonts w:asciiTheme="minorBidi" w:hAnsiTheme="minorBidi" w:hint="cs"/>
          <w:sz w:val="27"/>
          <w:rtl/>
        </w:rPr>
        <w:t xml:space="preserve"> قتل عصفورا</w:t>
      </w:r>
      <w:r w:rsidR="008C3368" w:rsidRPr="00904FCB">
        <w:rPr>
          <w:rFonts w:asciiTheme="minorBidi" w:hAnsiTheme="minorBidi" w:hint="cs"/>
          <w:sz w:val="27"/>
          <w:rtl/>
        </w:rPr>
        <w:t>ً</w:t>
      </w:r>
      <w:r w:rsidRPr="00904FCB">
        <w:rPr>
          <w:rFonts w:asciiTheme="minorBidi" w:hAnsiTheme="minorBidi" w:hint="cs"/>
          <w:sz w:val="27"/>
          <w:rtl/>
        </w:rPr>
        <w:t xml:space="preserve"> </w:t>
      </w:r>
      <w:r w:rsidRPr="00904FCB">
        <w:rPr>
          <w:rFonts w:asciiTheme="minorBidi" w:hAnsiTheme="minorBidi" w:hint="cs"/>
          <w:sz w:val="27"/>
          <w:rtl/>
        </w:rPr>
        <w:lastRenderedPageBreak/>
        <w:t>عبثا</w:t>
      </w:r>
      <w:r w:rsidR="008C3368" w:rsidRPr="00904FCB">
        <w:rPr>
          <w:rFonts w:asciiTheme="minorBidi" w:hAnsiTheme="minorBidi" w:hint="cs"/>
          <w:sz w:val="27"/>
          <w:rtl/>
        </w:rPr>
        <w:t>ً</w:t>
      </w:r>
      <w:r w:rsidRPr="00904FCB">
        <w:rPr>
          <w:rFonts w:asciiTheme="minorBidi" w:hAnsiTheme="minorBidi" w:hint="cs"/>
          <w:sz w:val="27"/>
          <w:rtl/>
        </w:rPr>
        <w:t xml:space="preserve"> عجَّ إلى الله يوم القيامة ويقول</w:t>
      </w:r>
      <w:r w:rsidR="008C3368" w:rsidRPr="00904FCB">
        <w:rPr>
          <w:rFonts w:asciiTheme="minorBidi" w:hAnsiTheme="minorBidi" w:hint="cs"/>
          <w:sz w:val="27"/>
          <w:rtl/>
        </w:rPr>
        <w:t>:</w:t>
      </w:r>
      <w:r w:rsidRPr="00904FCB">
        <w:rPr>
          <w:rFonts w:asciiTheme="minorBidi" w:hAnsiTheme="minorBidi" w:hint="cs"/>
          <w:sz w:val="27"/>
          <w:rtl/>
        </w:rPr>
        <w:t xml:space="preserve"> يا رب</w:t>
      </w:r>
      <w:r w:rsidR="008C3368" w:rsidRPr="00904FCB">
        <w:rPr>
          <w:rFonts w:asciiTheme="minorBidi" w:hAnsiTheme="minorBidi" w:hint="cs"/>
          <w:sz w:val="27"/>
          <w:rtl/>
        </w:rPr>
        <w:t>ِّ،</w:t>
      </w:r>
      <w:r w:rsidRPr="00904FCB">
        <w:rPr>
          <w:rFonts w:asciiTheme="minorBidi" w:hAnsiTheme="minorBidi" w:hint="cs"/>
          <w:sz w:val="27"/>
          <w:rtl/>
        </w:rPr>
        <w:t xml:space="preserve"> عبدك قتلني ع</w:t>
      </w:r>
      <w:r w:rsidR="008C3368" w:rsidRPr="00904FCB">
        <w:rPr>
          <w:rFonts w:asciiTheme="minorBidi" w:hAnsiTheme="minorBidi" w:hint="cs"/>
          <w:sz w:val="27"/>
          <w:rtl/>
        </w:rPr>
        <w:t>َ</w:t>
      </w:r>
      <w:r w:rsidRPr="00904FCB">
        <w:rPr>
          <w:rFonts w:asciiTheme="minorBidi" w:hAnsiTheme="minorBidi" w:hint="cs"/>
          <w:sz w:val="27"/>
          <w:rtl/>
        </w:rPr>
        <w:t>ب</w:t>
      </w:r>
      <w:r w:rsidR="008C3368" w:rsidRPr="00904FCB">
        <w:rPr>
          <w:rFonts w:asciiTheme="minorBidi" w:hAnsiTheme="minorBidi" w:hint="cs"/>
          <w:sz w:val="27"/>
          <w:rtl/>
        </w:rPr>
        <w:t>َ</w:t>
      </w:r>
      <w:r w:rsidRPr="00904FCB">
        <w:rPr>
          <w:rFonts w:asciiTheme="minorBidi" w:hAnsiTheme="minorBidi" w:hint="cs"/>
          <w:sz w:val="27"/>
          <w:rtl/>
        </w:rPr>
        <w:t>ثا</w:t>
      </w:r>
      <w:r w:rsidR="008C3368" w:rsidRPr="00904FCB">
        <w:rPr>
          <w:rFonts w:asciiTheme="minorBidi" w:hAnsiTheme="minorBidi" w:hint="cs"/>
          <w:sz w:val="27"/>
          <w:rtl/>
        </w:rPr>
        <w:t>ً</w:t>
      </w:r>
      <w:r w:rsidR="00757A91" w:rsidRPr="00904FCB">
        <w:rPr>
          <w:rFonts w:asciiTheme="minorBidi" w:hAnsiTheme="minorBidi" w:hint="cs"/>
          <w:sz w:val="27"/>
          <w:rtl/>
        </w:rPr>
        <w:t>،</w:t>
      </w:r>
      <w:r w:rsidRPr="00904FCB">
        <w:rPr>
          <w:rFonts w:asciiTheme="minorBidi" w:hAnsiTheme="minorBidi" w:hint="cs"/>
          <w:sz w:val="27"/>
          <w:rtl/>
        </w:rPr>
        <w:t xml:space="preserve"> ولم يقتلني لمنفعة</w:t>
      </w:r>
      <w:r w:rsidR="008C3368" w:rsidRPr="00904FCB">
        <w:rPr>
          <w:rFonts w:asciiTheme="minorBidi" w:hAnsiTheme="minorBidi" w:hint="cs"/>
          <w:sz w:val="27"/>
          <w:rtl/>
        </w:rPr>
        <w:t>ٍ</w:t>
      </w:r>
      <w:r w:rsidR="008C3368" w:rsidRPr="00904FCB">
        <w:rPr>
          <w:rFonts w:hint="eastAsia"/>
          <w:sz w:val="27"/>
          <w:rtl/>
        </w:rPr>
        <w:t>»</w:t>
      </w:r>
      <w:r w:rsidRPr="00904FCB">
        <w:rPr>
          <w:rFonts w:asciiTheme="minorBidi" w:hAnsiTheme="minorBidi"/>
          <w:sz w:val="27"/>
          <w:vertAlign w:val="superscript"/>
          <w:rtl/>
        </w:rPr>
        <w:t>(</w:t>
      </w:r>
      <w:r w:rsidRPr="00904FCB">
        <w:rPr>
          <w:rStyle w:val="ac"/>
          <w:rFonts w:asciiTheme="minorBidi" w:hAnsiTheme="minorBidi"/>
          <w:sz w:val="27"/>
          <w:rtl/>
        </w:rPr>
        <w:endnoteReference w:id="592"/>
      </w:r>
      <w:r w:rsidRPr="00904FCB">
        <w:rPr>
          <w:rFonts w:asciiTheme="minorBidi" w:hAnsiTheme="minorBidi"/>
          <w:sz w:val="27"/>
          <w:vertAlign w:val="superscript"/>
          <w:rtl/>
        </w:rPr>
        <w:t>)</w:t>
      </w:r>
      <w:r w:rsidR="008C3368" w:rsidRPr="00904FCB">
        <w:rPr>
          <w:rFonts w:asciiTheme="minorBidi" w:hAnsiTheme="minorBidi" w:hint="cs"/>
          <w:sz w:val="27"/>
          <w:rtl/>
        </w:rPr>
        <w:t>.</w:t>
      </w:r>
    </w:p>
    <w:p w:rsidR="00E771B7" w:rsidRPr="00904FCB" w:rsidRDefault="00E771B7" w:rsidP="007A21AA">
      <w:pPr>
        <w:spacing w:line="400" w:lineRule="exact"/>
        <w:rPr>
          <w:rFonts w:asciiTheme="minorBidi" w:hAnsiTheme="minorBidi"/>
          <w:sz w:val="27"/>
          <w:rtl/>
        </w:rPr>
      </w:pPr>
    </w:p>
    <w:p w:rsidR="00EF655F" w:rsidRPr="00904FCB" w:rsidRDefault="00443AEA" w:rsidP="007A21AA">
      <w:pPr>
        <w:pStyle w:val="31"/>
        <w:spacing w:line="400" w:lineRule="exact"/>
        <w:rPr>
          <w:color w:val="auto"/>
          <w:rtl/>
        </w:rPr>
      </w:pPr>
      <w:r w:rsidRPr="00904FCB">
        <w:rPr>
          <w:rFonts w:hint="cs"/>
          <w:color w:val="auto"/>
          <w:rtl/>
        </w:rPr>
        <w:t xml:space="preserve">هـ </w:t>
      </w:r>
      <w:r w:rsidR="00E771B7" w:rsidRPr="00904FCB">
        <w:rPr>
          <w:rFonts w:hint="cs"/>
          <w:color w:val="auto"/>
          <w:rtl/>
        </w:rPr>
        <w:t>ـ</w:t>
      </w:r>
      <w:r w:rsidR="00EF655F" w:rsidRPr="00904FCB">
        <w:rPr>
          <w:rFonts w:hint="cs"/>
          <w:color w:val="auto"/>
          <w:rtl/>
        </w:rPr>
        <w:t xml:space="preserve"> النبات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واز</w:t>
      </w:r>
      <w:r w:rsidR="00C9025B">
        <w:rPr>
          <w:rFonts w:asciiTheme="minorBidi" w:hAnsiTheme="minorBidi" w:hint="cs"/>
          <w:sz w:val="27"/>
          <w:rtl/>
        </w:rPr>
        <w:t>َ</w:t>
      </w:r>
      <w:r w:rsidRPr="00904FCB">
        <w:rPr>
          <w:rFonts w:asciiTheme="minorBidi" w:hAnsiTheme="minorBidi" w:hint="cs"/>
          <w:sz w:val="27"/>
          <w:rtl/>
        </w:rPr>
        <w:t>ت</w:t>
      </w:r>
      <w:r w:rsidR="00C9025B">
        <w:rPr>
          <w:rFonts w:asciiTheme="minorBidi" w:hAnsiTheme="minorBidi" w:hint="cs"/>
          <w:sz w:val="27"/>
          <w:rtl/>
        </w:rPr>
        <w:t>ْ</w:t>
      </w:r>
      <w:r w:rsidRPr="00904FCB">
        <w:rPr>
          <w:rFonts w:asciiTheme="minorBidi" w:hAnsiTheme="minorBidi" w:hint="cs"/>
          <w:sz w:val="27"/>
          <w:rtl/>
        </w:rPr>
        <w:t xml:space="preserve"> الروايات ال</w:t>
      </w:r>
      <w:r w:rsidR="00757A91" w:rsidRPr="00904FCB">
        <w:rPr>
          <w:rFonts w:asciiTheme="minorBidi" w:hAnsiTheme="minorBidi" w:hint="cs"/>
          <w:sz w:val="27"/>
          <w:rtl/>
        </w:rPr>
        <w:t>إ</w:t>
      </w:r>
      <w:r w:rsidRPr="00904FCB">
        <w:rPr>
          <w:rFonts w:asciiTheme="minorBidi" w:hAnsiTheme="minorBidi" w:hint="cs"/>
          <w:sz w:val="27"/>
          <w:rtl/>
        </w:rPr>
        <w:t>سلامية بين سقي الأشجار وبين سقي ال</w:t>
      </w:r>
      <w:r w:rsidR="00757A91" w:rsidRPr="00904FCB">
        <w:rPr>
          <w:rFonts w:asciiTheme="minorBidi" w:hAnsiTheme="minorBidi" w:hint="cs"/>
          <w:sz w:val="27"/>
          <w:rtl/>
        </w:rPr>
        <w:t>إ</w:t>
      </w:r>
      <w:r w:rsidRPr="00904FCB">
        <w:rPr>
          <w:rFonts w:asciiTheme="minorBidi" w:hAnsiTheme="minorBidi" w:hint="cs"/>
          <w:sz w:val="27"/>
          <w:rtl/>
        </w:rPr>
        <w:t>نسان الظمآن من حيث الأجر والثواب. قال الامام الصادق</w:t>
      </w:r>
      <w:r w:rsidR="001C1A2A" w:rsidRPr="00904FCB">
        <w:rPr>
          <w:rFonts w:asciiTheme="minorBidi" w:hAnsiTheme="minorBidi" w:cs="Mosawi" w:hint="cs"/>
          <w:sz w:val="27"/>
          <w:szCs w:val="22"/>
          <w:rtl/>
        </w:rPr>
        <w:t>×</w:t>
      </w:r>
      <w:r w:rsidRPr="00904FCB">
        <w:rPr>
          <w:rFonts w:asciiTheme="minorBidi" w:hAnsiTheme="minorBidi" w:hint="cs"/>
          <w:sz w:val="27"/>
          <w:rtl/>
        </w:rPr>
        <w:t xml:space="preserve">: </w:t>
      </w:r>
      <w:r w:rsidRPr="00904FCB">
        <w:rPr>
          <w:rFonts w:hint="eastAsia"/>
          <w:sz w:val="27"/>
          <w:rtl/>
        </w:rPr>
        <w:t>«</w:t>
      </w:r>
      <w:r w:rsidRPr="00904FCB">
        <w:rPr>
          <w:rFonts w:asciiTheme="minorBidi" w:hAnsiTheme="minorBidi" w:hint="cs"/>
          <w:sz w:val="27"/>
          <w:rtl/>
        </w:rPr>
        <w:t>م</w:t>
      </w:r>
      <w:r w:rsidR="00757A91" w:rsidRPr="00904FCB">
        <w:rPr>
          <w:rFonts w:asciiTheme="minorBidi" w:hAnsiTheme="minorBidi" w:hint="cs"/>
          <w:sz w:val="27"/>
          <w:rtl/>
        </w:rPr>
        <w:t>َ</w:t>
      </w:r>
      <w:r w:rsidRPr="00904FCB">
        <w:rPr>
          <w:rFonts w:asciiTheme="minorBidi" w:hAnsiTheme="minorBidi" w:hint="cs"/>
          <w:sz w:val="27"/>
          <w:rtl/>
        </w:rPr>
        <w:t>ن</w:t>
      </w:r>
      <w:r w:rsidR="00757A91" w:rsidRPr="00904FCB">
        <w:rPr>
          <w:rFonts w:asciiTheme="minorBidi" w:hAnsiTheme="minorBidi" w:hint="cs"/>
          <w:sz w:val="27"/>
          <w:rtl/>
        </w:rPr>
        <w:t>ْ</w:t>
      </w:r>
      <w:r w:rsidRPr="00904FCB">
        <w:rPr>
          <w:rFonts w:asciiTheme="minorBidi" w:hAnsiTheme="minorBidi" w:hint="cs"/>
          <w:sz w:val="27"/>
          <w:rtl/>
        </w:rPr>
        <w:t xml:space="preserve"> سقى طلحةً </w:t>
      </w:r>
      <w:r w:rsidR="00757A91" w:rsidRPr="00904FCB">
        <w:rPr>
          <w:rFonts w:asciiTheme="minorBidi" w:hAnsiTheme="minorBidi" w:hint="cs"/>
          <w:sz w:val="27"/>
          <w:rtl/>
        </w:rPr>
        <w:t>أ</w:t>
      </w:r>
      <w:r w:rsidRPr="00904FCB">
        <w:rPr>
          <w:rFonts w:asciiTheme="minorBidi" w:hAnsiTheme="minorBidi" w:hint="cs"/>
          <w:sz w:val="27"/>
          <w:rtl/>
        </w:rPr>
        <w:t>و سِدرا</w:t>
      </w:r>
      <w:r w:rsidR="00757A91" w:rsidRPr="00904FCB">
        <w:rPr>
          <w:rFonts w:asciiTheme="minorBidi" w:hAnsiTheme="minorBidi" w:hint="cs"/>
          <w:sz w:val="27"/>
          <w:rtl/>
        </w:rPr>
        <w:t>ً</w:t>
      </w:r>
      <w:r w:rsidRPr="00904FCB">
        <w:rPr>
          <w:rFonts w:asciiTheme="minorBidi" w:hAnsiTheme="minorBidi" w:hint="cs"/>
          <w:sz w:val="27"/>
          <w:rtl/>
        </w:rPr>
        <w:t xml:space="preserve"> فكأن</w:t>
      </w:r>
      <w:r w:rsidR="00757A91" w:rsidRPr="00904FCB">
        <w:rPr>
          <w:rFonts w:asciiTheme="minorBidi" w:hAnsiTheme="minorBidi" w:hint="cs"/>
          <w:sz w:val="27"/>
          <w:rtl/>
        </w:rPr>
        <w:t>ّ</w:t>
      </w:r>
      <w:r w:rsidRPr="00904FCB">
        <w:rPr>
          <w:rFonts w:asciiTheme="minorBidi" w:hAnsiTheme="minorBidi" w:hint="cs"/>
          <w:sz w:val="27"/>
          <w:rtl/>
        </w:rPr>
        <w:t>ما سقى مؤمنا من ظمأ</w:t>
      </w:r>
      <w:r w:rsidR="00757A91" w:rsidRPr="00904FCB">
        <w:rPr>
          <w:rFonts w:hint="eastAsia"/>
          <w:rtl/>
        </w:rPr>
        <w:t>»</w:t>
      </w:r>
      <w:r w:rsidRPr="00904FCB">
        <w:rPr>
          <w:rFonts w:asciiTheme="minorBidi" w:hAnsiTheme="minorBidi"/>
          <w:sz w:val="27"/>
          <w:vertAlign w:val="superscript"/>
          <w:rtl/>
        </w:rPr>
        <w:t>(</w:t>
      </w:r>
      <w:r w:rsidRPr="00904FCB">
        <w:rPr>
          <w:rStyle w:val="ac"/>
          <w:rFonts w:asciiTheme="minorBidi" w:hAnsiTheme="minorBidi"/>
          <w:sz w:val="27"/>
          <w:rtl/>
        </w:rPr>
        <w:endnoteReference w:id="593"/>
      </w:r>
      <w:r w:rsidRPr="00904FCB">
        <w:rPr>
          <w:rFonts w:asciiTheme="minorBidi" w:hAnsiTheme="minorBidi"/>
          <w:sz w:val="27"/>
          <w:vertAlign w:val="superscript"/>
          <w:rtl/>
        </w:rPr>
        <w:t>)</w:t>
      </w:r>
      <w:r w:rsidRPr="00904FCB">
        <w:rPr>
          <w:rFonts w:asciiTheme="minorBidi" w:hAnsiTheme="minorBidi" w:hint="cs"/>
          <w:sz w:val="27"/>
          <w:rtl/>
        </w:rPr>
        <w:t xml:space="preserve">.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من الأمور التي تفرض نفسها كأ</w:t>
      </w:r>
      <w:r w:rsidR="00757A91" w:rsidRPr="00904FCB">
        <w:rPr>
          <w:rFonts w:asciiTheme="minorBidi" w:hAnsiTheme="minorBidi" w:hint="cs"/>
          <w:sz w:val="27"/>
          <w:rtl/>
        </w:rPr>
        <w:t>ك</w:t>
      </w:r>
      <w:r w:rsidRPr="00904FCB">
        <w:rPr>
          <w:rFonts w:asciiTheme="minorBidi" w:hAnsiTheme="minorBidi" w:hint="cs"/>
          <w:sz w:val="27"/>
          <w:rtl/>
        </w:rPr>
        <w:t>بر خطر على المحيط البيئي مسألة قطع الأشجار</w:t>
      </w:r>
      <w:r w:rsidR="00757A91" w:rsidRPr="00904FCB">
        <w:rPr>
          <w:rFonts w:asciiTheme="minorBidi" w:hAnsiTheme="minorBidi" w:hint="cs"/>
          <w:sz w:val="27"/>
          <w:rtl/>
        </w:rPr>
        <w:t>،</w:t>
      </w:r>
      <w:r w:rsidRPr="00904FCB">
        <w:rPr>
          <w:rFonts w:asciiTheme="minorBidi" w:hAnsiTheme="minorBidi" w:hint="cs"/>
          <w:sz w:val="27"/>
          <w:rtl/>
        </w:rPr>
        <w:t xml:space="preserve"> وتقليص مساحة الأماكن الخضراء</w:t>
      </w:r>
      <w:r w:rsidR="00757A91" w:rsidRPr="00904FCB">
        <w:rPr>
          <w:rFonts w:asciiTheme="minorBidi" w:hAnsiTheme="minorBidi" w:hint="cs"/>
          <w:sz w:val="27"/>
          <w:rtl/>
        </w:rPr>
        <w:t>،</w:t>
      </w:r>
      <w:r w:rsidRPr="00904FCB">
        <w:rPr>
          <w:rFonts w:asciiTheme="minorBidi" w:hAnsiTheme="minorBidi" w:hint="cs"/>
          <w:sz w:val="27"/>
          <w:rtl/>
        </w:rPr>
        <w:t xml:space="preserve"> من غابات</w:t>
      </w:r>
      <w:r w:rsidR="00757A91" w:rsidRPr="00904FCB">
        <w:rPr>
          <w:rFonts w:asciiTheme="minorBidi" w:hAnsiTheme="minorBidi" w:hint="cs"/>
          <w:sz w:val="27"/>
          <w:rtl/>
        </w:rPr>
        <w:t>ٍ</w:t>
      </w:r>
      <w:r w:rsidRPr="00904FCB">
        <w:rPr>
          <w:rFonts w:asciiTheme="minorBidi" w:hAnsiTheme="minorBidi" w:hint="cs"/>
          <w:sz w:val="27"/>
          <w:rtl/>
        </w:rPr>
        <w:t xml:space="preserve"> ومراع</w:t>
      </w:r>
      <w:r w:rsidR="00757A91" w:rsidRPr="00904FCB">
        <w:rPr>
          <w:rFonts w:asciiTheme="minorBidi" w:hAnsiTheme="minorBidi" w:hint="cs"/>
          <w:sz w:val="27"/>
          <w:rtl/>
        </w:rPr>
        <w:t>ٍ</w:t>
      </w:r>
      <w:r w:rsidRPr="00904FCB">
        <w:rPr>
          <w:rFonts w:asciiTheme="minorBidi" w:hAnsiTheme="minorBidi" w:hint="cs"/>
          <w:sz w:val="27"/>
          <w:rtl/>
        </w:rPr>
        <w:t xml:space="preserve"> ونحوها. وقد نظر ال</w:t>
      </w:r>
      <w:r w:rsidR="00757A91" w:rsidRPr="00904FCB">
        <w:rPr>
          <w:rFonts w:asciiTheme="minorBidi" w:hAnsiTheme="minorBidi" w:hint="cs"/>
          <w:sz w:val="27"/>
          <w:rtl/>
        </w:rPr>
        <w:t>إ</w:t>
      </w:r>
      <w:r w:rsidRPr="00904FCB">
        <w:rPr>
          <w:rFonts w:asciiTheme="minorBidi" w:hAnsiTheme="minorBidi" w:hint="cs"/>
          <w:sz w:val="27"/>
          <w:rtl/>
        </w:rPr>
        <w:t>سلام إلى هذا العمل نظر</w:t>
      </w:r>
      <w:r w:rsidR="00757A91" w:rsidRPr="00904FCB">
        <w:rPr>
          <w:rFonts w:asciiTheme="minorBidi" w:hAnsiTheme="minorBidi" w:hint="cs"/>
          <w:sz w:val="27"/>
          <w:rtl/>
        </w:rPr>
        <w:t>ة</w:t>
      </w:r>
      <w:r w:rsidRPr="00904FCB">
        <w:rPr>
          <w:rFonts w:asciiTheme="minorBidi" w:hAnsiTheme="minorBidi" w:hint="cs"/>
          <w:sz w:val="27"/>
          <w:rtl/>
        </w:rPr>
        <w:t xml:space="preserve"> اشمئزاز</w:t>
      </w:r>
      <w:r w:rsidR="00757A91" w:rsidRPr="00904FCB">
        <w:rPr>
          <w:rFonts w:asciiTheme="minorBidi" w:hAnsiTheme="minorBidi" w:hint="cs"/>
          <w:sz w:val="27"/>
          <w:rtl/>
        </w:rPr>
        <w:t>،</w:t>
      </w:r>
      <w:r w:rsidRPr="00904FCB">
        <w:rPr>
          <w:rFonts w:asciiTheme="minorBidi" w:hAnsiTheme="minorBidi" w:hint="cs"/>
          <w:sz w:val="27"/>
          <w:rtl/>
        </w:rPr>
        <w:t xml:space="preserve"> بل جعلها سببا</w:t>
      </w:r>
      <w:r w:rsidR="00757A91" w:rsidRPr="00904FCB">
        <w:rPr>
          <w:rFonts w:asciiTheme="minorBidi" w:hAnsiTheme="minorBidi" w:hint="cs"/>
          <w:sz w:val="27"/>
          <w:rtl/>
        </w:rPr>
        <w:t>ً</w:t>
      </w:r>
      <w:r w:rsidRPr="00904FCB">
        <w:rPr>
          <w:rFonts w:asciiTheme="minorBidi" w:hAnsiTheme="minorBidi" w:hint="cs"/>
          <w:sz w:val="27"/>
          <w:rtl/>
        </w:rPr>
        <w:t xml:space="preserve"> في العذاب ال</w:t>
      </w:r>
      <w:r w:rsidR="00757A91" w:rsidRPr="00904FCB">
        <w:rPr>
          <w:rFonts w:asciiTheme="minorBidi" w:hAnsiTheme="minorBidi" w:hint="cs"/>
          <w:sz w:val="27"/>
          <w:rtl/>
        </w:rPr>
        <w:t>إ</w:t>
      </w:r>
      <w:r w:rsidRPr="00904FCB">
        <w:rPr>
          <w:rFonts w:asciiTheme="minorBidi" w:hAnsiTheme="minorBidi" w:hint="cs"/>
          <w:sz w:val="27"/>
          <w:rtl/>
        </w:rPr>
        <w:t>لهي. وقد نهى ال</w:t>
      </w:r>
      <w:r w:rsidR="00757A91" w:rsidRPr="00904FCB">
        <w:rPr>
          <w:rFonts w:asciiTheme="minorBidi" w:hAnsiTheme="minorBidi" w:hint="cs"/>
          <w:sz w:val="27"/>
          <w:rtl/>
        </w:rPr>
        <w:t>إ</w:t>
      </w:r>
      <w:r w:rsidRPr="00904FCB">
        <w:rPr>
          <w:rFonts w:asciiTheme="minorBidi" w:hAnsiTheme="minorBidi" w:hint="cs"/>
          <w:sz w:val="27"/>
          <w:rtl/>
        </w:rPr>
        <w:t>مام الصادق</w:t>
      </w:r>
      <w:r w:rsidR="001C1A2A" w:rsidRPr="00904FCB">
        <w:rPr>
          <w:rFonts w:asciiTheme="minorBidi" w:hAnsiTheme="minorBidi" w:cs="Mosawi" w:hint="cs"/>
          <w:sz w:val="27"/>
          <w:szCs w:val="22"/>
          <w:rtl/>
        </w:rPr>
        <w:t>×</w:t>
      </w:r>
      <w:r w:rsidRPr="00904FCB">
        <w:rPr>
          <w:rFonts w:asciiTheme="minorBidi" w:hAnsiTheme="minorBidi" w:hint="cs"/>
          <w:sz w:val="27"/>
          <w:rtl/>
        </w:rPr>
        <w:t xml:space="preserve"> عن قطع الأشجار</w:t>
      </w:r>
      <w:r w:rsidR="00757A91" w:rsidRPr="00904FCB">
        <w:rPr>
          <w:rFonts w:asciiTheme="minorBidi" w:hAnsiTheme="minorBidi" w:hint="cs"/>
          <w:sz w:val="27"/>
          <w:rtl/>
        </w:rPr>
        <w:t>،</w:t>
      </w:r>
      <w:r w:rsidRPr="00904FCB">
        <w:rPr>
          <w:rFonts w:asciiTheme="minorBidi" w:hAnsiTheme="minorBidi" w:hint="cs"/>
          <w:sz w:val="27"/>
          <w:rtl/>
        </w:rPr>
        <w:t xml:space="preserve"> وقال: </w:t>
      </w:r>
      <w:r w:rsidR="00757A91" w:rsidRPr="00904FCB">
        <w:rPr>
          <w:rFonts w:hint="eastAsia"/>
          <w:rtl/>
        </w:rPr>
        <w:t>«</w:t>
      </w:r>
      <w:r w:rsidRPr="00904FCB">
        <w:rPr>
          <w:rFonts w:hint="cs"/>
          <w:rtl/>
        </w:rPr>
        <w:t>لا تقطعوا الثمار فيصب</w:t>
      </w:r>
      <w:r w:rsidR="00757A91" w:rsidRPr="00904FCB">
        <w:rPr>
          <w:rFonts w:hint="cs"/>
          <w:rtl/>
        </w:rPr>
        <w:t>ّ</w:t>
      </w:r>
      <w:r w:rsidRPr="00904FCB">
        <w:rPr>
          <w:rFonts w:hint="cs"/>
          <w:rtl/>
        </w:rPr>
        <w:t xml:space="preserve"> الله عليكم العذاب صبّ</w:t>
      </w:r>
      <w:r w:rsidR="00757A91" w:rsidRPr="00904FCB">
        <w:rPr>
          <w:rFonts w:hint="cs"/>
          <w:rtl/>
        </w:rPr>
        <w:t>اً</w:t>
      </w:r>
      <w:r w:rsidR="00757A91" w:rsidRPr="00904FCB">
        <w:rPr>
          <w:rFonts w:hint="eastAsia"/>
          <w:rtl/>
        </w:rPr>
        <w:t>»</w:t>
      </w:r>
      <w:r w:rsidRPr="00904FCB">
        <w:rPr>
          <w:vertAlign w:val="superscript"/>
          <w:rtl/>
        </w:rPr>
        <w:t>(</w:t>
      </w:r>
      <w:r w:rsidRPr="00904FCB">
        <w:rPr>
          <w:rStyle w:val="ac"/>
          <w:rFonts w:asciiTheme="minorBidi" w:hAnsiTheme="minorBidi"/>
          <w:sz w:val="27"/>
          <w:rtl/>
        </w:rPr>
        <w:endnoteReference w:id="594"/>
      </w:r>
      <w:r w:rsidRPr="00904FCB">
        <w:rPr>
          <w:vertAlign w:val="superscript"/>
          <w:rtl/>
        </w:rPr>
        <w:t>)</w:t>
      </w:r>
      <w:r w:rsidR="00757A91" w:rsidRPr="00904FCB">
        <w:rPr>
          <w:rFonts w:hint="cs"/>
          <w:rtl/>
        </w:rPr>
        <w:t>.</w:t>
      </w:r>
    </w:p>
    <w:p w:rsidR="00EF655F" w:rsidRPr="00904FCB" w:rsidRDefault="00EF655F" w:rsidP="007A21AA">
      <w:pPr>
        <w:spacing w:line="400" w:lineRule="exact"/>
        <w:rPr>
          <w:rtl/>
        </w:rPr>
      </w:pPr>
      <w:r w:rsidRPr="00904FCB">
        <w:rPr>
          <w:rFonts w:hint="cs"/>
          <w:rtl/>
        </w:rPr>
        <w:t>قد يكون وصول هذا النهي للناس زمن ال</w:t>
      </w:r>
      <w:r w:rsidR="00757A91" w:rsidRPr="00904FCB">
        <w:rPr>
          <w:rFonts w:hint="cs"/>
          <w:rtl/>
        </w:rPr>
        <w:t>إ</w:t>
      </w:r>
      <w:r w:rsidRPr="00904FCB">
        <w:rPr>
          <w:rFonts w:hint="cs"/>
          <w:rtl/>
        </w:rPr>
        <w:t>مام الصادق</w:t>
      </w:r>
      <w:r w:rsidR="001C1A2A" w:rsidRPr="00904FCB">
        <w:rPr>
          <w:rFonts w:cs="Mosawi" w:hint="cs"/>
          <w:szCs w:val="22"/>
          <w:rtl/>
        </w:rPr>
        <w:t>×</w:t>
      </w:r>
      <w:r w:rsidRPr="00904FCB">
        <w:rPr>
          <w:rFonts w:hint="cs"/>
          <w:rtl/>
        </w:rPr>
        <w:t xml:space="preserve"> مورد</w:t>
      </w:r>
      <w:r w:rsidR="00B71D0F" w:rsidRPr="00904FCB">
        <w:rPr>
          <w:rFonts w:hint="cs"/>
          <w:rtl/>
        </w:rPr>
        <w:t>اً</w:t>
      </w:r>
      <w:r w:rsidRPr="00904FCB">
        <w:rPr>
          <w:rFonts w:hint="cs"/>
          <w:rtl/>
        </w:rPr>
        <w:t xml:space="preserve"> </w:t>
      </w:r>
      <w:r w:rsidR="00B71D0F" w:rsidRPr="00904FCB">
        <w:rPr>
          <w:rFonts w:hint="cs"/>
          <w:rtl/>
        </w:rPr>
        <w:t>ل</w:t>
      </w:r>
      <w:r w:rsidRPr="00904FCB">
        <w:rPr>
          <w:rFonts w:hint="cs"/>
          <w:rtl/>
        </w:rPr>
        <w:t>لتعج</w:t>
      </w:r>
      <w:r w:rsidR="00757A91" w:rsidRPr="00904FCB">
        <w:rPr>
          <w:rFonts w:hint="cs"/>
          <w:rtl/>
        </w:rPr>
        <w:t>ُّ</w:t>
      </w:r>
      <w:r w:rsidRPr="00904FCB">
        <w:rPr>
          <w:rFonts w:hint="cs"/>
          <w:rtl/>
        </w:rPr>
        <w:t>ب والاستغراب، لكن اليوم ينتفي هذا الاستغراب</w:t>
      </w:r>
      <w:r w:rsidR="00757A91" w:rsidRPr="00904FCB">
        <w:rPr>
          <w:rFonts w:hint="cs"/>
          <w:rtl/>
        </w:rPr>
        <w:t>،</w:t>
      </w:r>
      <w:r w:rsidRPr="00904FCB">
        <w:rPr>
          <w:rFonts w:hint="cs"/>
          <w:rtl/>
        </w:rPr>
        <w:t xml:space="preserve"> </w:t>
      </w:r>
      <w:r w:rsidR="00B71D0F" w:rsidRPr="00904FCB">
        <w:rPr>
          <w:rFonts w:hint="cs"/>
          <w:rtl/>
        </w:rPr>
        <w:t>بل أضحَتْ</w:t>
      </w:r>
      <w:r w:rsidRPr="00904FCB">
        <w:rPr>
          <w:rFonts w:hint="cs"/>
          <w:rtl/>
        </w:rPr>
        <w:t xml:space="preserve"> الحاجة ماس</w:t>
      </w:r>
      <w:r w:rsidR="00B71D0F" w:rsidRPr="00904FCB">
        <w:rPr>
          <w:rFonts w:hint="cs"/>
          <w:rtl/>
        </w:rPr>
        <w:t>ّ</w:t>
      </w:r>
      <w:r w:rsidRPr="00904FCB">
        <w:rPr>
          <w:rFonts w:hint="cs"/>
          <w:rtl/>
        </w:rPr>
        <w:t>ة لتفعيله بقو</w:t>
      </w:r>
      <w:r w:rsidR="00B71D0F" w:rsidRPr="00904FCB">
        <w:rPr>
          <w:rFonts w:hint="cs"/>
          <w:rtl/>
        </w:rPr>
        <w:t>ّ</w:t>
      </w:r>
      <w:r w:rsidRPr="00904FCB">
        <w:rPr>
          <w:rFonts w:hint="cs"/>
          <w:rtl/>
        </w:rPr>
        <w:t>ة</w:t>
      </w:r>
      <w:r w:rsidR="00B71D0F" w:rsidRPr="00904FCB">
        <w:rPr>
          <w:rFonts w:hint="cs"/>
          <w:rtl/>
        </w:rPr>
        <w:t>،</w:t>
      </w:r>
      <w:r w:rsidRPr="00904FCB">
        <w:rPr>
          <w:rFonts w:hint="cs"/>
          <w:rtl/>
        </w:rPr>
        <w:t xml:space="preserve"> وتركيزه</w:t>
      </w:r>
      <w:r w:rsidR="00B71D0F" w:rsidRPr="00904FCB">
        <w:rPr>
          <w:rFonts w:hint="cs"/>
          <w:rtl/>
        </w:rPr>
        <w:t>؛</w:t>
      </w:r>
      <w:r w:rsidRPr="00904FCB">
        <w:rPr>
          <w:rFonts w:hint="cs"/>
          <w:rtl/>
        </w:rPr>
        <w:t xml:space="preserve"> ليرقى إلى سلوك</w:t>
      </w:r>
      <w:r w:rsidR="00B71D0F" w:rsidRPr="00904FCB">
        <w:rPr>
          <w:rFonts w:hint="cs"/>
          <w:rtl/>
        </w:rPr>
        <w:t>ٍ،</w:t>
      </w:r>
      <w:r w:rsidRPr="00904FCB">
        <w:rPr>
          <w:rFonts w:hint="cs"/>
          <w:rtl/>
        </w:rPr>
        <w:t xml:space="preserve"> حيث أصبح الكل</w:t>
      </w:r>
      <w:r w:rsidR="00B71D0F" w:rsidRPr="00904FCB">
        <w:rPr>
          <w:rFonts w:hint="cs"/>
          <w:rtl/>
        </w:rPr>
        <w:t>ّ</w:t>
      </w:r>
      <w:r w:rsidRPr="00904FCB">
        <w:rPr>
          <w:rFonts w:hint="cs"/>
          <w:rtl/>
        </w:rPr>
        <w:t xml:space="preserve"> يعي علميا</w:t>
      </w:r>
      <w:r w:rsidR="00B71D0F" w:rsidRPr="00904FCB">
        <w:rPr>
          <w:rFonts w:hint="cs"/>
          <w:rtl/>
        </w:rPr>
        <w:t>ً</w:t>
      </w:r>
      <w:r w:rsidRPr="00904FCB">
        <w:rPr>
          <w:rFonts w:hint="cs"/>
          <w:rtl/>
        </w:rPr>
        <w:t xml:space="preserve"> دور الأشجار في تنقية الهواء</w:t>
      </w:r>
      <w:r w:rsidR="00B71D0F" w:rsidRPr="00904FCB">
        <w:rPr>
          <w:rFonts w:hint="cs"/>
          <w:rtl/>
        </w:rPr>
        <w:t>،</w:t>
      </w:r>
      <w:r w:rsidRPr="00904FCB">
        <w:rPr>
          <w:rFonts w:hint="cs"/>
          <w:rtl/>
        </w:rPr>
        <w:t xml:space="preserve"> وتقليل أضرار مساحة التلو</w:t>
      </w:r>
      <w:r w:rsidR="00B71D0F" w:rsidRPr="00904FCB">
        <w:rPr>
          <w:rFonts w:hint="cs"/>
          <w:rtl/>
        </w:rPr>
        <w:t>ّ</w:t>
      </w:r>
      <w:r w:rsidRPr="00904FCB">
        <w:rPr>
          <w:rFonts w:hint="cs"/>
          <w:rtl/>
        </w:rPr>
        <w:t xml:space="preserve">ث، </w:t>
      </w:r>
      <w:r w:rsidR="00B71D0F" w:rsidRPr="00904FCB">
        <w:rPr>
          <w:rFonts w:hint="cs"/>
          <w:rtl/>
        </w:rPr>
        <w:t>و</w:t>
      </w:r>
      <w:r w:rsidRPr="00904FCB">
        <w:rPr>
          <w:rFonts w:hint="cs"/>
          <w:rtl/>
        </w:rPr>
        <w:t xml:space="preserve">وقف انجراف التربة والسيول، </w:t>
      </w:r>
      <w:r w:rsidR="00B71D0F" w:rsidRPr="00904FCB">
        <w:rPr>
          <w:rFonts w:hint="cs"/>
          <w:rtl/>
        </w:rPr>
        <w:t>و</w:t>
      </w:r>
      <w:r w:rsidRPr="00904FCB">
        <w:rPr>
          <w:rFonts w:hint="cs"/>
          <w:rtl/>
        </w:rPr>
        <w:t>انبعاث النشاط الروحي والراحة النفسية</w:t>
      </w:r>
      <w:r w:rsidR="00B71D0F" w:rsidRPr="00904FCB">
        <w:rPr>
          <w:rFonts w:hint="cs"/>
          <w:rtl/>
        </w:rPr>
        <w:t>،</w:t>
      </w:r>
      <w:r w:rsidRPr="00904FCB">
        <w:rPr>
          <w:rFonts w:hint="cs"/>
          <w:rtl/>
        </w:rPr>
        <w:t xml:space="preserve"> وغيرها من الفوائد الكثيرة</w:t>
      </w:r>
      <w:r w:rsidR="00B71D0F" w:rsidRPr="00904FCB">
        <w:rPr>
          <w:rFonts w:hint="cs"/>
          <w:rtl/>
        </w:rPr>
        <w:t>،</w:t>
      </w:r>
      <w:r w:rsidRPr="00904FCB">
        <w:rPr>
          <w:rFonts w:hint="cs"/>
          <w:rtl/>
        </w:rPr>
        <w:t xml:space="preserve"> وما يسب</w:t>
      </w:r>
      <w:r w:rsidR="00B71D0F" w:rsidRPr="00904FCB">
        <w:rPr>
          <w:rFonts w:hint="cs"/>
          <w:rtl/>
        </w:rPr>
        <w:t>ِّ</w:t>
      </w:r>
      <w:r w:rsidRPr="00904FCB">
        <w:rPr>
          <w:rFonts w:hint="cs"/>
          <w:rtl/>
        </w:rPr>
        <w:t>به قطعها من خسارة</w:t>
      </w:r>
      <w:r w:rsidR="00B71D0F" w:rsidRPr="00904FCB">
        <w:rPr>
          <w:rFonts w:hint="cs"/>
          <w:rtl/>
        </w:rPr>
        <w:t>ٍ</w:t>
      </w:r>
      <w:r w:rsidRPr="00904FCB">
        <w:rPr>
          <w:rFonts w:hint="cs"/>
          <w:rtl/>
        </w:rPr>
        <w:t xml:space="preserve"> </w:t>
      </w:r>
      <w:r w:rsidR="00B71D0F" w:rsidRPr="00904FCB">
        <w:rPr>
          <w:rFonts w:hint="cs"/>
          <w:rtl/>
        </w:rPr>
        <w:t>ل</w:t>
      </w:r>
      <w:r w:rsidRPr="00904FCB">
        <w:rPr>
          <w:rFonts w:hint="cs"/>
          <w:rtl/>
        </w:rPr>
        <w:t>لطبيعة</w:t>
      </w:r>
      <w:r w:rsidR="00B71D0F" w:rsidRPr="00904FCB">
        <w:rPr>
          <w:rFonts w:hint="cs"/>
          <w:rtl/>
        </w:rPr>
        <w:t>،</w:t>
      </w:r>
      <w:r w:rsidRPr="00904FCB">
        <w:rPr>
          <w:rFonts w:hint="cs"/>
          <w:rtl/>
        </w:rPr>
        <w:t xml:space="preserve"> </w:t>
      </w:r>
      <w:r w:rsidR="00B71D0F" w:rsidRPr="00904FCB">
        <w:rPr>
          <w:rFonts w:hint="cs"/>
          <w:rtl/>
        </w:rPr>
        <w:t>ول</w:t>
      </w:r>
      <w:r w:rsidRPr="00904FCB">
        <w:rPr>
          <w:rFonts w:hint="cs"/>
          <w:rtl/>
        </w:rPr>
        <w:t>ل</w:t>
      </w:r>
      <w:r w:rsidR="00B71D0F" w:rsidRPr="00904FCB">
        <w:rPr>
          <w:rFonts w:hint="cs"/>
          <w:rtl/>
        </w:rPr>
        <w:t>إ</w:t>
      </w:r>
      <w:r w:rsidRPr="00904FCB">
        <w:rPr>
          <w:rFonts w:hint="cs"/>
          <w:rtl/>
        </w:rPr>
        <w:t xml:space="preserve">نسان. </w:t>
      </w:r>
    </w:p>
    <w:p w:rsidR="00EF655F" w:rsidRPr="00904FCB" w:rsidRDefault="00B71D0F" w:rsidP="00510A75">
      <w:pPr>
        <w:spacing w:line="400" w:lineRule="exact"/>
        <w:rPr>
          <w:rFonts w:asciiTheme="minorBidi" w:hAnsiTheme="minorBidi"/>
          <w:sz w:val="27"/>
          <w:rtl/>
        </w:rPr>
      </w:pPr>
      <w:r w:rsidRPr="00904FCB">
        <w:rPr>
          <w:rFonts w:asciiTheme="minorBidi" w:hAnsiTheme="minorBidi" w:hint="cs"/>
          <w:sz w:val="27"/>
          <w:rtl/>
        </w:rPr>
        <w:t>والملفت</w:t>
      </w:r>
      <w:r w:rsidR="00EF655F" w:rsidRPr="00904FCB">
        <w:rPr>
          <w:rFonts w:asciiTheme="minorBidi" w:hAnsiTheme="minorBidi" w:hint="cs"/>
          <w:sz w:val="27"/>
          <w:rtl/>
        </w:rPr>
        <w:t xml:space="preserve"> في الروايات الواردة عن </w:t>
      </w:r>
      <w:r w:rsidRPr="00904FCB">
        <w:rPr>
          <w:rFonts w:asciiTheme="minorBidi" w:hAnsiTheme="minorBidi" w:hint="cs"/>
          <w:sz w:val="27"/>
          <w:rtl/>
        </w:rPr>
        <w:t>أ</w:t>
      </w:r>
      <w:r w:rsidR="00EF655F" w:rsidRPr="00904FCB">
        <w:rPr>
          <w:rFonts w:asciiTheme="minorBidi" w:hAnsiTheme="minorBidi" w:hint="cs"/>
          <w:sz w:val="27"/>
          <w:rtl/>
        </w:rPr>
        <w:t>ئمة أهل البيت</w:t>
      </w:r>
      <w:r w:rsidR="00510A75" w:rsidRPr="00904FCB">
        <w:rPr>
          <w:rFonts w:ascii="Mosawi" w:hAnsi="Mosawi" w:cs="Mosawi"/>
          <w:sz w:val="27"/>
          <w:rtl/>
        </w:rPr>
        <w:t>^</w:t>
      </w:r>
      <w:r w:rsidR="00EF655F" w:rsidRPr="00904FCB">
        <w:rPr>
          <w:rFonts w:asciiTheme="minorBidi" w:hAnsiTheme="minorBidi" w:hint="cs"/>
          <w:sz w:val="27"/>
          <w:rtl/>
        </w:rPr>
        <w:t xml:space="preserve"> أنهم في الحالات التي يكون قطع الشجر مسألة </w:t>
      </w:r>
      <w:r w:rsidRPr="00904FCB">
        <w:rPr>
          <w:rFonts w:asciiTheme="minorBidi" w:hAnsiTheme="minorBidi" w:hint="cs"/>
          <w:sz w:val="27"/>
          <w:rtl/>
        </w:rPr>
        <w:t>ضروريّة</w:t>
      </w:r>
      <w:r w:rsidR="00EF655F" w:rsidRPr="00904FCB">
        <w:rPr>
          <w:rFonts w:asciiTheme="minorBidi" w:hAnsiTheme="minorBidi" w:hint="cs"/>
          <w:sz w:val="27"/>
          <w:rtl/>
        </w:rPr>
        <w:t xml:space="preserve"> نجدهم يؤك</w:t>
      </w:r>
      <w:r w:rsidRPr="00904FCB">
        <w:rPr>
          <w:rFonts w:asciiTheme="minorBidi" w:hAnsiTheme="minorBidi" w:hint="cs"/>
          <w:sz w:val="27"/>
          <w:rtl/>
        </w:rPr>
        <w:t>ِّ</w:t>
      </w:r>
      <w:r w:rsidR="00EF655F" w:rsidRPr="00904FCB">
        <w:rPr>
          <w:rFonts w:asciiTheme="minorBidi" w:hAnsiTheme="minorBidi" w:hint="cs"/>
          <w:sz w:val="27"/>
          <w:rtl/>
        </w:rPr>
        <w:t>دون على غرس أشجار أخرى مكانها</w:t>
      </w:r>
      <w:r w:rsidRPr="00904FCB">
        <w:rPr>
          <w:rFonts w:asciiTheme="minorBidi" w:hAnsiTheme="minorBidi" w:hint="cs"/>
          <w:sz w:val="27"/>
          <w:rtl/>
        </w:rPr>
        <w:t>. فقد</w:t>
      </w:r>
      <w:r w:rsidR="00EF655F" w:rsidRPr="00904FCB">
        <w:rPr>
          <w:rFonts w:asciiTheme="minorBidi" w:hAnsiTheme="minorBidi" w:hint="cs"/>
          <w:sz w:val="27"/>
          <w:rtl/>
        </w:rPr>
        <w:t xml:space="preserve"> روى البزنطي أنه سأل الإمام الرضا</w:t>
      </w:r>
      <w:r w:rsidR="001C1A2A" w:rsidRPr="00904FCB">
        <w:rPr>
          <w:rFonts w:asciiTheme="minorBidi" w:hAnsiTheme="minorBidi" w:cs="Mosawi" w:hint="cs"/>
          <w:sz w:val="27"/>
          <w:szCs w:val="22"/>
          <w:rtl/>
        </w:rPr>
        <w:t>×</w:t>
      </w:r>
      <w:r w:rsidR="00EF655F" w:rsidRPr="00904FCB">
        <w:rPr>
          <w:rFonts w:asciiTheme="minorBidi" w:hAnsiTheme="minorBidi" w:hint="cs"/>
          <w:sz w:val="27"/>
          <w:rtl/>
        </w:rPr>
        <w:t xml:space="preserve"> عن قطع شجرة السدر، فأجابه</w:t>
      </w:r>
      <w:r w:rsidR="001C1A2A" w:rsidRPr="00904FCB">
        <w:rPr>
          <w:rFonts w:asciiTheme="minorBidi" w:hAnsiTheme="minorBidi" w:cs="Mosawi" w:hint="cs"/>
          <w:sz w:val="27"/>
          <w:szCs w:val="22"/>
          <w:rtl/>
        </w:rPr>
        <w:t>×</w:t>
      </w:r>
      <w:r w:rsidR="00EF655F" w:rsidRPr="00904FCB">
        <w:rPr>
          <w:rFonts w:asciiTheme="minorBidi" w:hAnsiTheme="minorBidi" w:hint="cs"/>
          <w:sz w:val="27"/>
          <w:rtl/>
        </w:rPr>
        <w:t xml:space="preserve">: </w:t>
      </w:r>
      <w:r w:rsidRPr="00904FCB">
        <w:rPr>
          <w:rFonts w:asciiTheme="minorBidi" w:hAnsiTheme="minorBidi" w:hint="cs"/>
          <w:sz w:val="27"/>
          <w:rtl/>
        </w:rPr>
        <w:t>إ</w:t>
      </w:r>
      <w:r w:rsidR="00EF655F" w:rsidRPr="00904FCB">
        <w:rPr>
          <w:rFonts w:asciiTheme="minorBidi" w:hAnsiTheme="minorBidi" w:hint="cs"/>
          <w:sz w:val="27"/>
          <w:rtl/>
        </w:rPr>
        <w:t>ن الإمام موسى الكاظم</w:t>
      </w:r>
      <w:r w:rsidR="001C1A2A" w:rsidRPr="00904FCB">
        <w:rPr>
          <w:rFonts w:asciiTheme="minorBidi" w:hAnsiTheme="minorBidi" w:cs="Mosawi" w:hint="cs"/>
          <w:sz w:val="27"/>
          <w:szCs w:val="22"/>
          <w:rtl/>
        </w:rPr>
        <w:t>×</w:t>
      </w:r>
      <w:r w:rsidR="00EF655F" w:rsidRPr="00904FCB">
        <w:rPr>
          <w:rFonts w:asciiTheme="minorBidi" w:hAnsiTheme="minorBidi" w:hint="cs"/>
          <w:sz w:val="27"/>
          <w:rtl/>
        </w:rPr>
        <w:t xml:space="preserve"> كان</w:t>
      </w:r>
      <w:r w:rsidRPr="00904FCB">
        <w:rPr>
          <w:rFonts w:asciiTheme="minorBidi" w:hAnsiTheme="minorBidi" w:hint="cs"/>
          <w:sz w:val="27"/>
          <w:rtl/>
        </w:rPr>
        <w:t xml:space="preserve"> </w:t>
      </w:r>
      <w:r w:rsidR="00EF655F" w:rsidRPr="00904FCB">
        <w:rPr>
          <w:rFonts w:asciiTheme="minorBidi" w:hAnsiTheme="minorBidi" w:hint="cs"/>
          <w:sz w:val="27"/>
          <w:rtl/>
        </w:rPr>
        <w:t>إذا اضطر لقطع شجرة السدر غرس في مكانها شجرة العنب</w:t>
      </w:r>
      <w:r w:rsidR="00EF655F" w:rsidRPr="00904FCB">
        <w:rPr>
          <w:rFonts w:asciiTheme="minorBidi" w:hAnsiTheme="minorBidi"/>
          <w:sz w:val="27"/>
          <w:vertAlign w:val="superscript"/>
          <w:rtl/>
        </w:rPr>
        <w:t>(</w:t>
      </w:r>
      <w:r w:rsidR="00EF655F" w:rsidRPr="00904FCB">
        <w:rPr>
          <w:rStyle w:val="ac"/>
          <w:rFonts w:asciiTheme="minorBidi" w:hAnsiTheme="minorBidi"/>
          <w:sz w:val="27"/>
          <w:rtl/>
        </w:rPr>
        <w:endnoteReference w:id="595"/>
      </w:r>
      <w:r w:rsidR="00EF655F" w:rsidRPr="00904FCB">
        <w:rPr>
          <w:rFonts w:asciiTheme="minorBidi" w:hAnsiTheme="minorBidi"/>
          <w:sz w:val="27"/>
          <w:vertAlign w:val="superscript"/>
          <w:rtl/>
        </w:rPr>
        <w:t>)</w:t>
      </w:r>
      <w:r w:rsidR="00EF655F" w:rsidRPr="00904FCB">
        <w:rPr>
          <w:rFonts w:asciiTheme="minorBidi" w:hAnsiTheme="minorBidi" w:hint="cs"/>
          <w:sz w:val="27"/>
          <w:rtl/>
        </w:rPr>
        <w:t xml:space="preserve">. </w:t>
      </w:r>
    </w:p>
    <w:p w:rsidR="00E771B7" w:rsidRPr="00904FCB" w:rsidRDefault="00E771B7" w:rsidP="007A21AA">
      <w:pPr>
        <w:spacing w:line="400" w:lineRule="exact"/>
        <w:rPr>
          <w:rFonts w:asciiTheme="minorBidi" w:hAnsiTheme="minorBidi"/>
          <w:sz w:val="27"/>
          <w:rtl/>
        </w:rPr>
      </w:pPr>
    </w:p>
    <w:p w:rsidR="00EF655F" w:rsidRPr="00904FCB" w:rsidRDefault="004722A1" w:rsidP="007A21AA">
      <w:pPr>
        <w:pStyle w:val="31"/>
        <w:spacing w:line="400" w:lineRule="exact"/>
        <w:rPr>
          <w:color w:val="auto"/>
          <w:rtl/>
        </w:rPr>
      </w:pPr>
      <w:r w:rsidRPr="00904FCB">
        <w:rPr>
          <w:rFonts w:hint="cs"/>
          <w:color w:val="auto"/>
          <w:rtl/>
        </w:rPr>
        <w:t>خاتمة</w:t>
      </w:r>
      <w:r w:rsidR="00C9025B">
        <w:rPr>
          <w:rFonts w:hint="cs"/>
          <w:color w:val="auto"/>
          <w:rtl/>
        </w:rPr>
        <w:t>ٌ</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بالرجوع إلى مصادر الفقه نرى أن هناك مجموعة كبيرة من التشريعات والتطبيقات القانونية بخصوص المحيط البيئي والطبيعة</w:t>
      </w:r>
      <w:r w:rsidR="00B71D0F" w:rsidRPr="00904FCB">
        <w:rPr>
          <w:rFonts w:asciiTheme="minorBidi" w:hAnsiTheme="minorBidi" w:hint="cs"/>
          <w:sz w:val="27"/>
          <w:rtl/>
        </w:rPr>
        <w:t>،</w:t>
      </w:r>
      <w:r w:rsidRPr="00904FCB">
        <w:rPr>
          <w:rFonts w:asciiTheme="minorBidi" w:hAnsiTheme="minorBidi" w:hint="cs"/>
          <w:sz w:val="27"/>
          <w:rtl/>
        </w:rPr>
        <w:t xml:space="preserve"> يمكن بال</w:t>
      </w:r>
      <w:r w:rsidR="00B71D0F" w:rsidRPr="00904FCB">
        <w:rPr>
          <w:rFonts w:asciiTheme="minorBidi" w:hAnsiTheme="minorBidi" w:hint="cs"/>
          <w:sz w:val="27"/>
          <w:rtl/>
        </w:rPr>
        <w:t>ا</w:t>
      </w:r>
      <w:r w:rsidRPr="00904FCB">
        <w:rPr>
          <w:rFonts w:asciiTheme="minorBidi" w:hAnsiTheme="minorBidi" w:hint="cs"/>
          <w:sz w:val="27"/>
          <w:rtl/>
        </w:rPr>
        <w:t xml:space="preserve">ستناد إليها </w:t>
      </w:r>
      <w:r w:rsidRPr="00904FCB">
        <w:rPr>
          <w:rFonts w:asciiTheme="minorBidi" w:hAnsiTheme="minorBidi" w:hint="cs"/>
          <w:sz w:val="27"/>
          <w:rtl/>
        </w:rPr>
        <w:lastRenderedPageBreak/>
        <w:t>تأسيس وإنشاء مجموعة من القوانين الاجتماعية على أسس</w:t>
      </w:r>
      <w:r w:rsidR="00B71D0F" w:rsidRPr="00904FCB">
        <w:rPr>
          <w:rFonts w:asciiTheme="minorBidi" w:hAnsiTheme="minorBidi" w:hint="cs"/>
          <w:sz w:val="27"/>
          <w:rtl/>
        </w:rPr>
        <w:t>ٍ</w:t>
      </w:r>
      <w:r w:rsidRPr="00904FCB">
        <w:rPr>
          <w:rFonts w:asciiTheme="minorBidi" w:hAnsiTheme="minorBidi" w:hint="cs"/>
          <w:sz w:val="27"/>
          <w:rtl/>
        </w:rPr>
        <w:t xml:space="preserve"> دينية. </w:t>
      </w:r>
    </w:p>
    <w:p w:rsidR="00EF655F" w:rsidRPr="00904FCB" w:rsidRDefault="00EF655F" w:rsidP="007A21AA">
      <w:pPr>
        <w:spacing w:line="400" w:lineRule="exact"/>
        <w:rPr>
          <w:rFonts w:asciiTheme="minorBidi" w:hAnsiTheme="minorBidi"/>
          <w:sz w:val="27"/>
          <w:rtl/>
        </w:rPr>
      </w:pPr>
      <w:r w:rsidRPr="00904FCB">
        <w:rPr>
          <w:rFonts w:asciiTheme="minorBidi" w:hAnsiTheme="minorBidi" w:hint="cs"/>
          <w:sz w:val="27"/>
          <w:rtl/>
        </w:rPr>
        <w:t>وعلى المكل</w:t>
      </w:r>
      <w:r w:rsidR="00B71D0F" w:rsidRPr="00904FCB">
        <w:rPr>
          <w:rFonts w:asciiTheme="minorBidi" w:hAnsiTheme="minorBidi" w:hint="cs"/>
          <w:sz w:val="27"/>
          <w:rtl/>
        </w:rPr>
        <w:t>َّ</w:t>
      </w:r>
      <w:r w:rsidRPr="00904FCB">
        <w:rPr>
          <w:rFonts w:asciiTheme="minorBidi" w:hAnsiTheme="minorBidi" w:hint="cs"/>
          <w:sz w:val="27"/>
          <w:rtl/>
        </w:rPr>
        <w:t>فين كما يمارسون تكاليفهم الدينية تجاه الله</w:t>
      </w:r>
      <w:r w:rsidR="00B71D0F" w:rsidRPr="00904FCB">
        <w:rPr>
          <w:rFonts w:asciiTheme="minorBidi" w:hAnsiTheme="minorBidi" w:hint="cs"/>
          <w:sz w:val="27"/>
          <w:rtl/>
        </w:rPr>
        <w:t>،</w:t>
      </w:r>
      <w:r w:rsidRPr="00904FCB">
        <w:rPr>
          <w:rFonts w:asciiTheme="minorBidi" w:hAnsiTheme="minorBidi" w:hint="cs"/>
          <w:sz w:val="27"/>
          <w:rtl/>
        </w:rPr>
        <w:t xml:space="preserve"> وتجاه العباد</w:t>
      </w:r>
      <w:r w:rsidR="00B71D0F" w:rsidRPr="00904FCB">
        <w:rPr>
          <w:rFonts w:asciiTheme="minorBidi" w:hAnsiTheme="minorBidi" w:hint="cs"/>
          <w:sz w:val="27"/>
          <w:rtl/>
        </w:rPr>
        <w:t>،</w:t>
      </w:r>
      <w:r w:rsidRPr="00904FCB">
        <w:rPr>
          <w:rFonts w:asciiTheme="minorBidi" w:hAnsiTheme="minorBidi" w:hint="cs"/>
          <w:sz w:val="27"/>
          <w:rtl/>
        </w:rPr>
        <w:t xml:space="preserve"> أن يمارسوا تكليفهم الشرعي وال</w:t>
      </w:r>
      <w:r w:rsidR="00B71D0F" w:rsidRPr="00904FCB">
        <w:rPr>
          <w:rFonts w:asciiTheme="minorBidi" w:hAnsiTheme="minorBidi" w:hint="cs"/>
          <w:sz w:val="27"/>
          <w:rtl/>
        </w:rPr>
        <w:t>أ</w:t>
      </w:r>
      <w:r w:rsidRPr="00904FCB">
        <w:rPr>
          <w:rFonts w:asciiTheme="minorBidi" w:hAnsiTheme="minorBidi" w:hint="cs"/>
          <w:sz w:val="27"/>
          <w:rtl/>
        </w:rPr>
        <w:t>خلاقي تجاه الطبيعة والبيئة بجميع مكو</w:t>
      </w:r>
      <w:r w:rsidR="00B71D0F" w:rsidRPr="00904FCB">
        <w:rPr>
          <w:rFonts w:asciiTheme="minorBidi" w:hAnsiTheme="minorBidi" w:hint="cs"/>
          <w:sz w:val="27"/>
          <w:rtl/>
        </w:rPr>
        <w:t>ّ</w:t>
      </w:r>
      <w:r w:rsidRPr="00904FCB">
        <w:rPr>
          <w:rFonts w:asciiTheme="minorBidi" w:hAnsiTheme="minorBidi" w:hint="cs"/>
          <w:sz w:val="27"/>
          <w:rtl/>
        </w:rPr>
        <w:t>ناتها</w:t>
      </w:r>
      <w:r w:rsidR="00B71D0F" w:rsidRPr="00904FCB">
        <w:rPr>
          <w:rFonts w:asciiTheme="minorBidi" w:hAnsiTheme="minorBidi" w:hint="cs"/>
          <w:sz w:val="27"/>
          <w:rtl/>
        </w:rPr>
        <w:t>،</w:t>
      </w:r>
      <w:r w:rsidRPr="00904FCB">
        <w:rPr>
          <w:rFonts w:asciiTheme="minorBidi" w:hAnsiTheme="minorBidi" w:hint="cs"/>
          <w:sz w:val="27"/>
          <w:rtl/>
        </w:rPr>
        <w:t xml:space="preserve"> فلا يعر</w:t>
      </w:r>
      <w:r w:rsidR="00B71D0F" w:rsidRPr="00904FCB">
        <w:rPr>
          <w:rFonts w:asciiTheme="minorBidi" w:hAnsiTheme="minorBidi" w:hint="cs"/>
          <w:sz w:val="27"/>
          <w:rtl/>
        </w:rPr>
        <w:t>ِّ</w:t>
      </w:r>
      <w:r w:rsidRPr="00904FCB">
        <w:rPr>
          <w:rFonts w:asciiTheme="minorBidi" w:hAnsiTheme="minorBidi" w:hint="cs"/>
          <w:sz w:val="27"/>
          <w:rtl/>
        </w:rPr>
        <w:t xml:space="preserve">ضون البيئة للدمار والاستنزاف. </w:t>
      </w:r>
    </w:p>
    <w:p w:rsidR="00625F5D" w:rsidRPr="00904FCB" w:rsidRDefault="00EF655F" w:rsidP="007A21AA">
      <w:pPr>
        <w:spacing w:line="400" w:lineRule="exact"/>
        <w:rPr>
          <w:rtl/>
        </w:rPr>
      </w:pPr>
      <w:r w:rsidRPr="00904FCB">
        <w:rPr>
          <w:rFonts w:hint="cs"/>
          <w:rtl/>
        </w:rPr>
        <w:t>ووفق مقر</w:t>
      </w:r>
      <w:r w:rsidR="00B71D0F" w:rsidRPr="00904FCB">
        <w:rPr>
          <w:rFonts w:hint="cs"/>
          <w:rtl/>
        </w:rPr>
        <w:t>َّ</w:t>
      </w:r>
      <w:r w:rsidRPr="00904FCB">
        <w:rPr>
          <w:rFonts w:hint="cs"/>
          <w:rtl/>
        </w:rPr>
        <w:t>رات الفقه ال</w:t>
      </w:r>
      <w:r w:rsidR="00B71D0F" w:rsidRPr="00904FCB">
        <w:rPr>
          <w:rFonts w:hint="cs"/>
          <w:rtl/>
        </w:rPr>
        <w:t>إ</w:t>
      </w:r>
      <w:r w:rsidRPr="00904FCB">
        <w:rPr>
          <w:rFonts w:hint="cs"/>
          <w:rtl/>
        </w:rPr>
        <w:t>سلامي إذا كان فعالي</w:t>
      </w:r>
      <w:r w:rsidR="00D70663" w:rsidRPr="00904FCB">
        <w:rPr>
          <w:rFonts w:hint="cs"/>
          <w:rtl/>
        </w:rPr>
        <w:t>ّ</w:t>
      </w:r>
      <w:r w:rsidRPr="00904FCB">
        <w:rPr>
          <w:rFonts w:hint="cs"/>
          <w:rtl/>
        </w:rPr>
        <w:t>ات قسم من مؤس</w:t>
      </w:r>
      <w:r w:rsidR="00B71D0F" w:rsidRPr="00904FCB">
        <w:rPr>
          <w:rFonts w:hint="cs"/>
          <w:rtl/>
        </w:rPr>
        <w:t>ّ</w:t>
      </w:r>
      <w:r w:rsidRPr="00904FCB">
        <w:rPr>
          <w:rFonts w:hint="cs"/>
          <w:rtl/>
        </w:rPr>
        <w:t>سات الدولة أو من القطاع الخاص</w:t>
      </w:r>
      <w:r w:rsidR="00B71D0F" w:rsidRPr="00904FCB">
        <w:rPr>
          <w:rFonts w:hint="cs"/>
          <w:rtl/>
        </w:rPr>
        <w:t>ّ</w:t>
      </w:r>
      <w:r w:rsidRPr="00904FCB">
        <w:rPr>
          <w:rFonts w:hint="cs"/>
          <w:rtl/>
        </w:rPr>
        <w:t xml:space="preserve"> يجعل الموارد المائية والهواء واليابسة في معرض الضرر فعليها أن تضمن الخسارة</w:t>
      </w:r>
      <w:r w:rsidR="00D70663" w:rsidRPr="00904FCB">
        <w:rPr>
          <w:rFonts w:hint="cs"/>
          <w:rtl/>
        </w:rPr>
        <w:t>،</w:t>
      </w:r>
      <w:r w:rsidRPr="00904FCB">
        <w:rPr>
          <w:rFonts w:hint="cs"/>
          <w:rtl/>
        </w:rPr>
        <w:t xml:space="preserve"> وتجبر الضرر</w:t>
      </w:r>
      <w:r w:rsidR="00D70663" w:rsidRPr="00904FCB">
        <w:rPr>
          <w:rFonts w:hint="cs"/>
          <w:rtl/>
        </w:rPr>
        <w:t>،</w:t>
      </w:r>
      <w:r w:rsidRPr="00904FCB">
        <w:rPr>
          <w:rFonts w:hint="cs"/>
          <w:rtl/>
        </w:rPr>
        <w:t xml:space="preserve"> ولا يجب التغاضي عنها</w:t>
      </w:r>
      <w:r w:rsidR="00D70663" w:rsidRPr="00904FCB">
        <w:rPr>
          <w:rFonts w:hint="cs"/>
          <w:rtl/>
        </w:rPr>
        <w:t>،</w:t>
      </w:r>
      <w:r w:rsidRPr="00904FCB">
        <w:rPr>
          <w:rFonts w:hint="cs"/>
          <w:rtl/>
        </w:rPr>
        <w:t xml:space="preserve"> بل محاسبتها وفق مسطرة قانونية</w:t>
      </w:r>
      <w:r w:rsidR="00D70663" w:rsidRPr="00904FCB">
        <w:rPr>
          <w:rFonts w:hint="cs"/>
          <w:rtl/>
        </w:rPr>
        <w:t>،</w:t>
      </w:r>
      <w:r w:rsidRPr="00904FCB">
        <w:rPr>
          <w:rFonts w:hint="cs"/>
          <w:rtl/>
        </w:rPr>
        <w:t xml:space="preserve"> بل يجب محاسبة الجهات المسؤولة ع</w:t>
      </w:r>
      <w:r w:rsidR="00D70663" w:rsidRPr="00904FCB">
        <w:rPr>
          <w:rFonts w:hint="cs"/>
          <w:rtl/>
        </w:rPr>
        <w:t>ن</w:t>
      </w:r>
      <w:r w:rsidRPr="00904FCB">
        <w:rPr>
          <w:rFonts w:hint="cs"/>
          <w:rtl/>
        </w:rPr>
        <w:t xml:space="preserve"> المراقبة</w:t>
      </w:r>
      <w:r w:rsidR="00D70663" w:rsidRPr="00904FCB">
        <w:rPr>
          <w:rFonts w:hint="cs"/>
          <w:rtl/>
        </w:rPr>
        <w:t>،</w:t>
      </w:r>
      <w:r w:rsidRPr="00904FCB">
        <w:rPr>
          <w:rFonts w:hint="cs"/>
          <w:rtl/>
        </w:rPr>
        <w:t xml:space="preserve"> سواء </w:t>
      </w:r>
      <w:r w:rsidR="00D70663" w:rsidRPr="00904FCB">
        <w:rPr>
          <w:rFonts w:hint="cs"/>
          <w:rtl/>
        </w:rPr>
        <w:t xml:space="preserve">كانت </w:t>
      </w:r>
      <w:r w:rsidRPr="00904FCB">
        <w:rPr>
          <w:rFonts w:hint="cs"/>
          <w:rtl/>
        </w:rPr>
        <w:t>مؤس</w:t>
      </w:r>
      <w:r w:rsidR="00D70663" w:rsidRPr="00904FCB">
        <w:rPr>
          <w:rFonts w:hint="cs"/>
          <w:rtl/>
        </w:rPr>
        <w:t>ّ</w:t>
      </w:r>
      <w:r w:rsidRPr="00904FCB">
        <w:rPr>
          <w:rFonts w:hint="cs"/>
          <w:rtl/>
        </w:rPr>
        <w:t xml:space="preserve">سات </w:t>
      </w:r>
      <w:r w:rsidR="00D70663" w:rsidRPr="00904FCB">
        <w:rPr>
          <w:rFonts w:hint="cs"/>
          <w:rtl/>
        </w:rPr>
        <w:t>أ</w:t>
      </w:r>
      <w:r w:rsidRPr="00904FCB">
        <w:rPr>
          <w:rFonts w:hint="cs"/>
          <w:rtl/>
        </w:rPr>
        <w:t>و</w:t>
      </w:r>
      <w:r w:rsidR="00D70663" w:rsidRPr="00904FCB">
        <w:rPr>
          <w:rFonts w:hint="cs"/>
          <w:rtl/>
        </w:rPr>
        <w:t xml:space="preserve"> </w:t>
      </w:r>
      <w:r w:rsidRPr="00904FCB">
        <w:rPr>
          <w:rFonts w:hint="cs"/>
          <w:rtl/>
        </w:rPr>
        <w:t>جمعيات</w:t>
      </w:r>
      <w:r w:rsidR="00D70663" w:rsidRPr="00904FCB">
        <w:rPr>
          <w:rFonts w:hint="cs"/>
          <w:rtl/>
        </w:rPr>
        <w:t>،</w:t>
      </w:r>
      <w:r w:rsidRPr="00904FCB">
        <w:rPr>
          <w:rFonts w:hint="cs"/>
          <w:rtl/>
        </w:rPr>
        <w:t xml:space="preserve"> إذا صدر منها تهاون</w:t>
      </w:r>
      <w:r w:rsidR="00D70663" w:rsidRPr="00904FCB">
        <w:rPr>
          <w:rFonts w:hint="cs"/>
          <w:rtl/>
        </w:rPr>
        <w:t>ٌ</w:t>
      </w:r>
      <w:r w:rsidRPr="00904FCB">
        <w:rPr>
          <w:rFonts w:hint="cs"/>
          <w:rtl/>
        </w:rPr>
        <w:t xml:space="preserve"> في المراقبة والمحاسبة.</w:t>
      </w:r>
    </w:p>
    <w:p w:rsidR="00145E6B" w:rsidRDefault="00145E6B">
      <w:pPr>
        <w:widowControl/>
        <w:bidi w:val="0"/>
        <w:spacing w:line="240" w:lineRule="auto"/>
        <w:ind w:firstLine="0"/>
        <w:jc w:val="left"/>
        <w:rPr>
          <w:lang w:bidi="ar-LB"/>
        </w:rPr>
      </w:pPr>
      <w:r>
        <w:rPr>
          <w:rtl/>
        </w:rPr>
        <w:br w:type="page"/>
      </w:r>
    </w:p>
    <w:p w:rsidR="00625F5D" w:rsidRPr="00904FCB" w:rsidRDefault="00625F5D"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625F5D" w:rsidRPr="00904FCB" w:rsidRDefault="00625F5D" w:rsidP="007A21AA">
      <w:pPr>
        <w:pStyle w:val="34"/>
        <w:autoSpaceDE w:val="0"/>
        <w:autoSpaceDN w:val="0"/>
        <w:adjustRightInd w:val="0"/>
        <w:spacing w:line="400" w:lineRule="exact"/>
        <w:ind w:firstLine="0"/>
        <w:rPr>
          <w:rFonts w:cs="K Sina"/>
          <w:sz w:val="26"/>
          <w:rtl/>
          <w:lang w:eastAsia="ar-SA"/>
        </w:rPr>
        <w:sectPr w:rsidR="00625F5D" w:rsidRPr="00904FCB" w:rsidSect="00E85587">
          <w:headerReference w:type="even" r:id="rId173"/>
          <w:headerReference w:type="default" r:id="rId174"/>
          <w:footerReference w:type="even" r:id="rId175"/>
          <w:footerReference w:type="default" r:id="rId176"/>
          <w:endnotePr>
            <w:numFmt w:val="decimal"/>
            <w:numRestart w:val="eachSect"/>
          </w:endnotePr>
          <w:type w:val="continuous"/>
          <w:pgSz w:w="11907" w:h="16840" w:code="9"/>
          <w:pgMar w:top="2637" w:right="2438" w:bottom="3686" w:left="2438" w:header="2268" w:footer="3119" w:gutter="0"/>
          <w:cols w:space="720"/>
          <w:titlePg/>
          <w:docGrid w:linePitch="360"/>
        </w:sectPr>
      </w:pPr>
    </w:p>
    <w:p w:rsidR="00625F5D" w:rsidRPr="00904FCB" w:rsidRDefault="00625F5D" w:rsidP="007A21AA">
      <w:pPr>
        <w:spacing w:line="400" w:lineRule="exact"/>
      </w:pPr>
      <w:r w:rsidRPr="00904FCB">
        <w:rPr>
          <w:rtl/>
        </w:rPr>
        <w:lastRenderedPageBreak/>
        <w:br w:type="page"/>
      </w:r>
    </w:p>
    <w:p w:rsidR="00625F5D" w:rsidRPr="00904FCB" w:rsidRDefault="00625F5D" w:rsidP="007A21AA">
      <w:pPr>
        <w:spacing w:line="400" w:lineRule="exact"/>
        <w:rPr>
          <w:rtl/>
        </w:rPr>
        <w:sectPr w:rsidR="00625F5D" w:rsidRPr="00904FCB" w:rsidSect="00E85587">
          <w:headerReference w:type="even" r:id="rId177"/>
          <w:headerReference w:type="default" r:id="rId178"/>
          <w:footerReference w:type="even" r:id="rId179"/>
          <w:footerReference w:type="default" r:id="rId180"/>
          <w:headerReference w:type="first" r:id="rId18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F34FB9" w:rsidRPr="00904FCB" w:rsidRDefault="00F34FB9" w:rsidP="00826CE1">
      <w:pPr>
        <w:pStyle w:val="10"/>
        <w:spacing w:line="240" w:lineRule="auto"/>
        <w:rPr>
          <w:rtl/>
        </w:rPr>
      </w:pPr>
      <w:bookmarkStart w:id="60" w:name="_Toc435577217"/>
      <w:r w:rsidRPr="00904FCB">
        <w:rPr>
          <w:rtl/>
          <w:lang w:bidi="ar-AE"/>
        </w:rPr>
        <w:t xml:space="preserve">كتاب </w:t>
      </w:r>
      <w:r w:rsidRPr="00904FCB">
        <w:rPr>
          <w:rFonts w:hint="eastAsia"/>
          <w:rtl/>
          <w:lang w:bidi="ar-AE"/>
        </w:rPr>
        <w:t>«</w:t>
      </w:r>
      <w:r w:rsidRPr="00904FCB">
        <w:rPr>
          <w:rtl/>
          <w:lang w:bidi="ar-AE"/>
        </w:rPr>
        <w:t>تحرير المجلة</w:t>
      </w:r>
      <w:r w:rsidRPr="00904FCB">
        <w:rPr>
          <w:rFonts w:hint="eastAsia"/>
          <w:rtl/>
        </w:rPr>
        <w:t>»</w:t>
      </w:r>
      <w:bookmarkEnd w:id="60"/>
    </w:p>
    <w:p w:rsidR="00F34FB9" w:rsidRPr="00904FCB" w:rsidRDefault="00F34FB9" w:rsidP="00826CE1">
      <w:pPr>
        <w:pStyle w:val="10"/>
        <w:spacing w:line="240" w:lineRule="auto"/>
        <w:rPr>
          <w:sz w:val="26"/>
          <w:szCs w:val="42"/>
          <w:rtl/>
        </w:rPr>
      </w:pPr>
      <w:bookmarkStart w:id="61" w:name="_Toc435577218"/>
      <w:r w:rsidRPr="00904FCB">
        <w:rPr>
          <w:rFonts w:hint="cs"/>
          <w:sz w:val="26"/>
          <w:szCs w:val="42"/>
          <w:rtl/>
          <w:lang w:bidi="ar-AE"/>
        </w:rPr>
        <w:t>دوافع التأليف ومساراته</w:t>
      </w:r>
      <w:bookmarkEnd w:id="61"/>
    </w:p>
    <w:p w:rsidR="00F34FB9" w:rsidRPr="00904FCB" w:rsidRDefault="00F34FB9" w:rsidP="007A21AA">
      <w:pPr>
        <w:spacing w:line="400" w:lineRule="exact"/>
        <w:rPr>
          <w:rtl/>
        </w:rPr>
      </w:pPr>
    </w:p>
    <w:p w:rsidR="00F34FB9" w:rsidRPr="00904FCB" w:rsidRDefault="0098428A" w:rsidP="007A21AA">
      <w:pPr>
        <w:pStyle w:val="Author"/>
        <w:spacing w:line="400" w:lineRule="exact"/>
        <w:rPr>
          <w:rtl/>
        </w:rPr>
      </w:pPr>
      <w:bookmarkStart w:id="62" w:name="_Toc435577219"/>
      <w:r w:rsidRPr="00904FCB">
        <w:rPr>
          <w:rFonts w:hint="cs"/>
          <w:rtl/>
        </w:rPr>
        <w:t>د. الشيخ محمد رحماني</w:t>
      </w:r>
      <w:r w:rsidR="00F34FB9" w:rsidRPr="00904FCB">
        <w:rPr>
          <w:rFonts w:cs="Taher" w:hint="cs"/>
          <w:vertAlign w:val="superscript"/>
          <w:rtl/>
        </w:rPr>
        <w:t>(</w:t>
      </w:r>
      <w:r w:rsidR="00F34FB9" w:rsidRPr="00904FCB">
        <w:rPr>
          <w:rFonts w:cs="Taher"/>
          <w:vertAlign w:val="superscript"/>
          <w:rtl/>
        </w:rPr>
        <w:footnoteReference w:customMarkFollows="1" w:id="19"/>
        <w:t>*)</w:t>
      </w:r>
      <w:bookmarkEnd w:id="62"/>
    </w:p>
    <w:p w:rsidR="00F34FB9" w:rsidRPr="00904FCB" w:rsidRDefault="00F34FB9" w:rsidP="00C9025B">
      <w:pPr>
        <w:pStyle w:val="Author"/>
        <w:spacing w:line="400" w:lineRule="exact"/>
        <w:ind w:right="28"/>
        <w:rPr>
          <w:rtl/>
        </w:rPr>
      </w:pPr>
      <w:bookmarkStart w:id="63" w:name="_Toc435577220"/>
      <w:r w:rsidRPr="00904FCB">
        <w:rPr>
          <w:rFonts w:hint="cs"/>
          <w:rtl/>
        </w:rPr>
        <w:t xml:space="preserve">ترجمة: </w:t>
      </w:r>
      <w:bookmarkEnd w:id="63"/>
      <w:r w:rsidR="00D67215">
        <w:rPr>
          <w:rFonts w:hint="cs"/>
          <w:rtl/>
          <w:lang w:bidi="ar-AE"/>
        </w:rPr>
        <w:t>وسيم حيدر</w:t>
      </w:r>
    </w:p>
    <w:p w:rsidR="00F34FB9" w:rsidRPr="00904FCB" w:rsidRDefault="00F34FB9" w:rsidP="007A21AA">
      <w:pPr>
        <w:spacing w:line="400" w:lineRule="exact"/>
        <w:rPr>
          <w:rtl/>
        </w:rPr>
      </w:pPr>
    </w:p>
    <w:p w:rsidR="00F34FB9" w:rsidRPr="00904FCB" w:rsidRDefault="00F34FB9" w:rsidP="00DD40DC">
      <w:pPr>
        <w:spacing w:line="420" w:lineRule="exact"/>
        <w:ind w:firstLine="561"/>
        <w:rPr>
          <w:rFonts w:ascii="Traditional Arabic" w:hAnsi="Traditional Arabic"/>
          <w:sz w:val="27"/>
          <w:rtl/>
          <w:lang w:bidi="ar-AE"/>
        </w:rPr>
      </w:pPr>
      <w:r w:rsidRPr="00904FCB">
        <w:rPr>
          <w:rFonts w:ascii="Traditional Arabic" w:hAnsi="Traditional Arabic"/>
          <w:sz w:val="27"/>
          <w:rtl/>
          <w:lang w:bidi="ar-AE"/>
        </w:rPr>
        <w:t xml:space="preserve">إن من أفضل الشروح على كتاب </w:t>
      </w:r>
      <w:r w:rsidRPr="00904FCB">
        <w:rPr>
          <w:rFonts w:hint="eastAsia"/>
          <w:sz w:val="27"/>
          <w:rtl/>
          <w:lang w:bidi="ar-AE"/>
        </w:rPr>
        <w:t>«</w:t>
      </w:r>
      <w:r w:rsidRPr="00904FCB">
        <w:rPr>
          <w:rFonts w:ascii="Traditional Arabic" w:hAnsi="Traditional Arabic"/>
          <w:sz w:val="27"/>
          <w:rtl/>
          <w:lang w:bidi="ar-AE"/>
        </w:rPr>
        <w:t>مجلة الأحكام العدلية</w:t>
      </w:r>
      <w:r w:rsidRPr="00904FCB">
        <w:rPr>
          <w:rFonts w:hint="eastAsia"/>
          <w:sz w:val="27"/>
          <w:rtl/>
        </w:rPr>
        <w:t>»</w:t>
      </w:r>
      <w:r w:rsidRPr="00904FCB">
        <w:rPr>
          <w:rFonts w:ascii="Traditional Arabic" w:hAnsi="Traditional Arabic"/>
          <w:sz w:val="27"/>
          <w:rtl/>
          <w:lang w:bidi="ar-AE"/>
        </w:rPr>
        <w:t xml:space="preserve">، هو كتاب </w:t>
      </w:r>
      <w:r w:rsidRPr="00904FCB">
        <w:rPr>
          <w:rFonts w:hint="eastAsia"/>
          <w:sz w:val="27"/>
          <w:rtl/>
          <w:lang w:bidi="ar-AE"/>
        </w:rPr>
        <w:t>«</w:t>
      </w:r>
      <w:r w:rsidRPr="00904FCB">
        <w:rPr>
          <w:rFonts w:ascii="Traditional Arabic" w:hAnsi="Traditional Arabic"/>
          <w:sz w:val="27"/>
          <w:rtl/>
          <w:lang w:bidi="ar-AE"/>
        </w:rPr>
        <w:t>تحرير المجلة</w:t>
      </w:r>
      <w:r w:rsidRPr="00904FCB">
        <w:rPr>
          <w:rFonts w:hint="eastAsia"/>
          <w:sz w:val="27"/>
          <w:rtl/>
        </w:rPr>
        <w:t>»</w:t>
      </w:r>
      <w:r w:rsidR="000D310F" w:rsidRPr="00904FCB">
        <w:rPr>
          <w:rFonts w:ascii="Traditional Arabic" w:hAnsi="Traditional Arabic" w:hint="cs"/>
          <w:sz w:val="27"/>
          <w:rtl/>
          <w:lang w:bidi="ar-AE"/>
        </w:rPr>
        <w:t>،</w:t>
      </w:r>
      <w:r w:rsidRPr="00904FCB">
        <w:rPr>
          <w:rFonts w:ascii="Traditional Arabic" w:hAnsi="Traditional Arabic"/>
          <w:sz w:val="27"/>
          <w:rtl/>
          <w:lang w:bidi="ar-AE"/>
        </w:rPr>
        <w:t xml:space="preserve"> للعلا</w:t>
      </w:r>
      <w:r w:rsidR="000D310F" w:rsidRPr="00904FCB">
        <w:rPr>
          <w:rFonts w:ascii="Traditional Arabic" w:hAnsi="Traditional Arabic" w:hint="cs"/>
          <w:sz w:val="27"/>
          <w:rtl/>
          <w:lang w:bidi="ar-AE"/>
        </w:rPr>
        <w:t>ّ</w:t>
      </w:r>
      <w:r w:rsidRPr="00904FCB">
        <w:rPr>
          <w:rFonts w:ascii="Traditional Arabic" w:hAnsi="Traditional Arabic"/>
          <w:sz w:val="27"/>
          <w:rtl/>
          <w:lang w:bidi="ar-AE"/>
        </w:rPr>
        <w:t xml:space="preserve">مة الشيخ محمد حسين آل كاشف الغطاء؛ وذلك للأسباب </w:t>
      </w:r>
      <w:r w:rsidR="000D310F" w:rsidRPr="00904FCB">
        <w:rPr>
          <w:rFonts w:ascii="Traditional Arabic" w:hAnsi="Traditional Arabic" w:hint="cs"/>
          <w:sz w:val="27"/>
          <w:rtl/>
          <w:lang w:bidi="ar-AE"/>
        </w:rPr>
        <w:t>التالية</w:t>
      </w:r>
      <w:r w:rsidRPr="00904FCB">
        <w:rPr>
          <w:rFonts w:ascii="Traditional Arabic" w:hAnsi="Traditional Arabic"/>
          <w:sz w:val="27"/>
          <w:rtl/>
          <w:lang w:bidi="ar-AE"/>
        </w:rPr>
        <w:t xml:space="preserve">: </w:t>
      </w:r>
    </w:p>
    <w:p w:rsidR="00F34FB9" w:rsidRPr="00904FCB" w:rsidRDefault="00F34FB9" w:rsidP="00DD40DC">
      <w:pPr>
        <w:spacing w:line="420" w:lineRule="exact"/>
        <w:ind w:firstLine="561"/>
        <w:rPr>
          <w:rFonts w:ascii="Traditional Arabic" w:hAnsi="Traditional Arabic"/>
          <w:sz w:val="27"/>
          <w:rtl/>
          <w:lang w:bidi="ar-AE"/>
        </w:rPr>
      </w:pPr>
      <w:r w:rsidRPr="00904FCB">
        <w:rPr>
          <w:rFonts w:ascii="Traditional Arabic" w:hAnsi="Traditional Arabic"/>
          <w:b/>
          <w:bCs/>
          <w:sz w:val="27"/>
          <w:rtl/>
          <w:lang w:bidi="ar-AE"/>
        </w:rPr>
        <w:t>أو</w:t>
      </w:r>
      <w:r w:rsidR="000D310F" w:rsidRPr="00904FCB">
        <w:rPr>
          <w:rFonts w:ascii="Traditional Arabic" w:hAnsi="Traditional Arabic" w:hint="cs"/>
          <w:b/>
          <w:bCs/>
          <w:sz w:val="27"/>
          <w:rtl/>
          <w:lang w:bidi="ar-AE"/>
        </w:rPr>
        <w:t>ّ</w:t>
      </w:r>
      <w:r w:rsidRPr="00904FCB">
        <w:rPr>
          <w:rFonts w:ascii="Traditional Arabic" w:hAnsi="Traditional Arabic"/>
          <w:b/>
          <w:bCs/>
          <w:sz w:val="27"/>
          <w:rtl/>
          <w:lang w:bidi="ar-AE"/>
        </w:rPr>
        <w:t>لاً</w:t>
      </w:r>
      <w:r w:rsidRPr="00904FCB">
        <w:rPr>
          <w:rFonts w:ascii="Traditional Arabic" w:hAnsi="Traditional Arabic"/>
          <w:sz w:val="27"/>
          <w:rtl/>
          <w:lang w:bidi="ar-AE"/>
        </w:rPr>
        <w:t xml:space="preserve">: </w:t>
      </w:r>
      <w:r w:rsidRPr="00904FCB">
        <w:rPr>
          <w:rFonts w:ascii="Traditional Arabic" w:hAnsi="Traditional Arabic" w:hint="cs"/>
          <w:sz w:val="27"/>
          <w:rtl/>
          <w:lang w:bidi="ar-AE"/>
        </w:rPr>
        <w:t>لقد أضاف إلى الأصل ما ينيف على الثمانين قاعدة فقهية</w:t>
      </w:r>
      <w:r w:rsidR="000D310F"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وقد خلا كتاب </w:t>
      </w:r>
      <w:r w:rsidRPr="00904FCB">
        <w:rPr>
          <w:rFonts w:hint="eastAsia"/>
          <w:sz w:val="27"/>
          <w:rtl/>
          <w:lang w:bidi="ar-AE"/>
        </w:rPr>
        <w:t>«</w:t>
      </w:r>
      <w:r w:rsidRPr="00904FCB">
        <w:rPr>
          <w:rFonts w:ascii="Traditional Arabic" w:hAnsi="Traditional Arabic" w:hint="cs"/>
          <w:sz w:val="27"/>
          <w:rtl/>
          <w:lang w:bidi="ar-AE"/>
        </w:rPr>
        <w:t>المجلة</w:t>
      </w:r>
      <w:r w:rsidRPr="00904FCB">
        <w:rPr>
          <w:rFonts w:hint="eastAsia"/>
          <w:sz w:val="27"/>
          <w:rtl/>
        </w:rPr>
        <w:t>»</w:t>
      </w:r>
      <w:r w:rsidRPr="00904FCB">
        <w:rPr>
          <w:rFonts w:ascii="Traditional Arabic" w:hAnsi="Traditional Arabic" w:hint="cs"/>
          <w:sz w:val="27"/>
          <w:rtl/>
          <w:lang w:bidi="ar-AE"/>
        </w:rPr>
        <w:t xml:space="preserve"> منها جميعاً، في حين أن الكتاب يبقى ناقصاً من دونها. </w:t>
      </w:r>
    </w:p>
    <w:p w:rsidR="00F34FB9" w:rsidRPr="00904FCB" w:rsidRDefault="00F34FB9" w:rsidP="00DD40DC">
      <w:pPr>
        <w:spacing w:line="420" w:lineRule="exact"/>
        <w:ind w:firstLine="561"/>
        <w:rPr>
          <w:rFonts w:ascii="Traditional Arabic" w:hAnsi="Traditional Arabic"/>
          <w:sz w:val="27"/>
          <w:rtl/>
          <w:lang w:bidi="ar-AE"/>
        </w:rPr>
      </w:pPr>
      <w:r w:rsidRPr="00904FCB">
        <w:rPr>
          <w:rFonts w:ascii="Traditional Arabic" w:hAnsi="Traditional Arabic" w:hint="cs"/>
          <w:b/>
          <w:bCs/>
          <w:sz w:val="27"/>
          <w:rtl/>
          <w:lang w:bidi="ar-AE"/>
        </w:rPr>
        <w:t>ثانياً</w:t>
      </w:r>
      <w:r w:rsidRPr="00904FCB">
        <w:rPr>
          <w:rFonts w:ascii="Traditional Arabic" w:hAnsi="Traditional Arabic" w:hint="cs"/>
          <w:sz w:val="27"/>
          <w:rtl/>
          <w:lang w:bidi="ar-AE"/>
        </w:rPr>
        <w:t>: لقد عمد سماحته إلى رفع نقص</w:t>
      </w:r>
      <w:r w:rsidR="000D310F"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آخر في كتاب </w:t>
      </w:r>
      <w:r w:rsidRPr="00904FCB">
        <w:rPr>
          <w:rFonts w:hint="eastAsia"/>
          <w:sz w:val="27"/>
          <w:rtl/>
          <w:lang w:bidi="ar-AE"/>
        </w:rPr>
        <w:t>«</w:t>
      </w:r>
      <w:r w:rsidRPr="00904FCB">
        <w:rPr>
          <w:rFonts w:ascii="Traditional Arabic" w:hAnsi="Traditional Arabic" w:hint="cs"/>
          <w:sz w:val="27"/>
          <w:rtl/>
          <w:lang w:bidi="ar-AE"/>
        </w:rPr>
        <w:t>مجلة الأحكام</w:t>
      </w:r>
      <w:r w:rsidRPr="00904FCB">
        <w:rPr>
          <w:rFonts w:hint="eastAsia"/>
          <w:sz w:val="27"/>
          <w:rtl/>
        </w:rPr>
        <w:t>»</w:t>
      </w:r>
      <w:r w:rsidRPr="00904FCB">
        <w:rPr>
          <w:rFonts w:ascii="Traditional Arabic" w:hAnsi="Traditional Arabic" w:hint="cs"/>
          <w:sz w:val="27"/>
          <w:rtl/>
          <w:lang w:bidi="ar-AE"/>
        </w:rPr>
        <w:t>، ألا وهو بحث الأحوال الشخصية؛ حيث لم ير</w:t>
      </w:r>
      <w:r w:rsidR="000D310F" w:rsidRPr="00904FCB">
        <w:rPr>
          <w:rFonts w:ascii="Traditional Arabic" w:hAnsi="Traditional Arabic" w:hint="cs"/>
          <w:sz w:val="27"/>
          <w:rtl/>
          <w:lang w:bidi="ar-AE"/>
        </w:rPr>
        <w:t>ِ</w:t>
      </w:r>
      <w:r w:rsidRPr="00904FCB">
        <w:rPr>
          <w:rFonts w:ascii="Traditional Arabic" w:hAnsi="Traditional Arabic" w:hint="cs"/>
          <w:sz w:val="27"/>
          <w:rtl/>
          <w:lang w:bidi="ar-AE"/>
        </w:rPr>
        <w:t>د</w:t>
      </w:r>
      <w:r w:rsidR="000D310F"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هذا البحث في هذا الكتاب (المجلة)، وهذا يُعدّ نقصاً كبيراً</w:t>
      </w:r>
      <w:r w:rsidR="000D310F"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ومن هنا فقد عمد سماحته إلى استدراك هذا النقص</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مع المحافظة على أسلوب ومنهج المؤل</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فين لكتاب المجلة، ولكن</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مع رفع النواقص تحت عنوان المجلد الخامس، والذي يشتمل على عناوين من قبيل: كتاب النكاح</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والطلاق</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والظهار</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والإيلاء</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والل</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عان</w:t>
      </w:r>
      <w:r w:rsidR="00BF22AC" w:rsidRPr="00904FCB">
        <w:rPr>
          <w:rFonts w:ascii="Traditional Arabic" w:hAnsi="Traditional Arabic" w:hint="cs"/>
          <w:sz w:val="27"/>
          <w:rtl/>
          <w:lang w:bidi="ar-AE"/>
        </w:rPr>
        <w:t xml:space="preserve">، </w:t>
      </w:r>
      <w:r w:rsidRPr="00904FCB">
        <w:rPr>
          <w:rFonts w:ascii="Traditional Arabic" w:hAnsi="Traditional Arabic" w:hint="cs"/>
          <w:sz w:val="27"/>
          <w:rtl/>
          <w:lang w:bidi="ar-AE"/>
        </w:rPr>
        <w:t>والد</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ي</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ن</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والوصي</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ة</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والو</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ق</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ف. </w:t>
      </w:r>
    </w:p>
    <w:p w:rsidR="00F34FB9" w:rsidRPr="00904FCB" w:rsidRDefault="00F34FB9" w:rsidP="00DD40DC">
      <w:pPr>
        <w:spacing w:line="420" w:lineRule="exact"/>
        <w:ind w:firstLine="561"/>
        <w:rPr>
          <w:rFonts w:ascii="Traditional Arabic" w:hAnsi="Traditional Arabic"/>
          <w:b/>
          <w:bCs/>
          <w:sz w:val="27"/>
          <w:rtl/>
          <w:lang w:bidi="ar-AE"/>
        </w:rPr>
      </w:pPr>
    </w:p>
    <w:p w:rsidR="00F34FB9" w:rsidRPr="00904FCB" w:rsidRDefault="00F34FB9" w:rsidP="007A21AA">
      <w:pPr>
        <w:pStyle w:val="31"/>
        <w:spacing w:line="400" w:lineRule="exact"/>
        <w:rPr>
          <w:color w:val="auto"/>
          <w:rtl/>
          <w:lang w:bidi="ar-AE"/>
        </w:rPr>
      </w:pPr>
      <w:r w:rsidRPr="00904FCB">
        <w:rPr>
          <w:rFonts w:hint="cs"/>
          <w:color w:val="auto"/>
          <w:rtl/>
          <w:lang w:bidi="ar-AE"/>
        </w:rPr>
        <w:t>الهدف والدافع</w:t>
      </w:r>
    </w:p>
    <w:p w:rsidR="00F34FB9" w:rsidRPr="00904FCB" w:rsidRDefault="00F34FB9" w:rsidP="00DD40DC">
      <w:pPr>
        <w:spacing w:line="400" w:lineRule="exact"/>
        <w:ind w:firstLine="561"/>
        <w:rPr>
          <w:rFonts w:ascii="Traditional Arabic" w:hAnsi="Traditional Arabic"/>
          <w:sz w:val="27"/>
          <w:rtl/>
          <w:lang w:bidi="ar-AE"/>
        </w:rPr>
      </w:pPr>
      <w:r w:rsidRPr="00904FCB">
        <w:rPr>
          <w:rFonts w:ascii="Traditional Arabic" w:hAnsi="Traditional Arabic" w:hint="cs"/>
          <w:sz w:val="27"/>
          <w:rtl/>
          <w:lang w:bidi="ar-AE"/>
        </w:rPr>
        <w:t>بالالتفات إلى المكانة التي يتمت</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ع بها كتاب </w:t>
      </w:r>
      <w:r w:rsidRPr="00904FCB">
        <w:rPr>
          <w:rFonts w:hint="eastAsia"/>
          <w:sz w:val="27"/>
          <w:rtl/>
          <w:lang w:bidi="ar-AE"/>
        </w:rPr>
        <w:t>«</w:t>
      </w:r>
      <w:r w:rsidRPr="00904FCB">
        <w:rPr>
          <w:rFonts w:ascii="Traditional Arabic" w:hAnsi="Traditional Arabic" w:hint="cs"/>
          <w:sz w:val="27"/>
          <w:rtl/>
          <w:lang w:bidi="ar-AE"/>
        </w:rPr>
        <w:t>مجلة الأحكام العدلية</w:t>
      </w:r>
      <w:r w:rsidRPr="00904FCB">
        <w:rPr>
          <w:rFonts w:hint="eastAsia"/>
          <w:sz w:val="27"/>
          <w:rtl/>
        </w:rPr>
        <w:t>»</w:t>
      </w:r>
      <w:r w:rsidRPr="00904FCB">
        <w:rPr>
          <w:rFonts w:ascii="Traditional Arabic" w:hAnsi="Traditional Arabic" w:hint="cs"/>
          <w:sz w:val="27"/>
          <w:rtl/>
          <w:lang w:bidi="ar-AE"/>
        </w:rPr>
        <w:t>، واتساع دائرة نفوذه من ناحية</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وعدم التفات المدوّ</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نين إلى أهمية فقه الإمامية من ناحية</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أخرى، </w:t>
      </w:r>
      <w:r w:rsidRPr="00904FCB">
        <w:rPr>
          <w:rFonts w:ascii="Traditional Arabic" w:hAnsi="Traditional Arabic" w:hint="cs"/>
          <w:sz w:val="27"/>
          <w:rtl/>
          <w:lang w:bidi="ar-AE"/>
        </w:rPr>
        <w:lastRenderedPageBreak/>
        <w:t>فقد عمد سماحته ـ بسبب تحل</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يه بروح المصلح التقريبي ـ إلى إضافة آراء الإمامية الفقهية إلى هذا الكتاب. وقد ذكر في مقد</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مة هذا الكتاب جانباً من الدوافع التي حملته على كتابة هذا الشرح</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قائلاً: إن الغرض الرئيس والهام</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من وراء تدوين هذا الكتاب أمران: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 xml:space="preserve">أـ شرح كتاب </w:t>
      </w:r>
      <w:r w:rsidRPr="00904FCB">
        <w:rPr>
          <w:rFonts w:hint="eastAsia"/>
          <w:sz w:val="27"/>
          <w:rtl/>
          <w:lang w:bidi="ar-AE"/>
        </w:rPr>
        <w:t>«</w:t>
      </w:r>
      <w:r w:rsidRPr="00904FCB">
        <w:rPr>
          <w:rFonts w:ascii="Traditional Arabic" w:hAnsi="Traditional Arabic" w:hint="cs"/>
          <w:sz w:val="27"/>
          <w:rtl/>
          <w:lang w:bidi="ar-AE"/>
        </w:rPr>
        <w:t>المجلة</w:t>
      </w:r>
      <w:r w:rsidRPr="00904FCB">
        <w:rPr>
          <w:rFonts w:hint="eastAsia"/>
          <w:sz w:val="27"/>
          <w:rtl/>
        </w:rPr>
        <w:t>»</w:t>
      </w:r>
      <w:r w:rsidR="00BF22AC" w:rsidRPr="00904FCB">
        <w:rPr>
          <w:rFonts w:hint="cs"/>
          <w:sz w:val="27"/>
          <w:rtl/>
        </w:rPr>
        <w:t>،</w:t>
      </w:r>
      <w:r w:rsidRPr="00904FCB">
        <w:rPr>
          <w:rFonts w:ascii="Traditional Arabic" w:hAnsi="Traditional Arabic" w:hint="cs"/>
          <w:sz w:val="27"/>
          <w:rtl/>
          <w:lang w:bidi="ar-AE"/>
        </w:rPr>
        <w:t xml:space="preserve"> وحلّ بعض عُق</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ده ومعضلاته.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 xml:space="preserve">ب ـ بيان الموارد التي لا تنسجم مع فقه الإمامية.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 xml:space="preserve">ثمّ استطرد قائلاً: ربما ظهرت منزلة الفقه الجعفري من خلال تضاعيف هذا الكتاب من حيث: </w:t>
      </w:r>
    </w:p>
    <w:p w:rsidR="00F34FB9" w:rsidRPr="0011006D" w:rsidRDefault="00F34FB9" w:rsidP="007A21AA">
      <w:pPr>
        <w:spacing w:line="400" w:lineRule="exact"/>
        <w:rPr>
          <w:rFonts w:ascii="Traditional Arabic" w:hAnsi="Traditional Arabic"/>
          <w:sz w:val="27"/>
          <w:rtl/>
          <w:lang w:bidi="ar-AE"/>
        </w:rPr>
      </w:pPr>
      <w:r w:rsidRPr="0011006D">
        <w:rPr>
          <w:rFonts w:ascii="Traditional Arabic" w:hAnsi="Traditional Arabic" w:hint="cs"/>
          <w:sz w:val="27"/>
          <w:rtl/>
          <w:lang w:bidi="ar-AE"/>
        </w:rPr>
        <w:t xml:space="preserve">1ـ المضامين العالية. </w:t>
      </w:r>
    </w:p>
    <w:p w:rsidR="00F34FB9" w:rsidRPr="0011006D" w:rsidRDefault="00F34FB9" w:rsidP="007A21AA">
      <w:pPr>
        <w:spacing w:line="400" w:lineRule="exact"/>
        <w:rPr>
          <w:rFonts w:ascii="Traditional Arabic" w:hAnsi="Traditional Arabic"/>
          <w:sz w:val="27"/>
          <w:rtl/>
          <w:lang w:bidi="ar-AE"/>
        </w:rPr>
      </w:pPr>
      <w:r w:rsidRPr="0011006D">
        <w:rPr>
          <w:rFonts w:ascii="Traditional Arabic" w:hAnsi="Traditional Arabic" w:hint="cs"/>
          <w:sz w:val="27"/>
          <w:rtl/>
          <w:lang w:bidi="ar-AE"/>
        </w:rPr>
        <w:t xml:space="preserve">2ـ سعة المصادر. </w:t>
      </w:r>
    </w:p>
    <w:p w:rsidR="00F34FB9" w:rsidRPr="0011006D" w:rsidRDefault="00F34FB9" w:rsidP="007A21AA">
      <w:pPr>
        <w:spacing w:line="400" w:lineRule="exact"/>
        <w:rPr>
          <w:rFonts w:ascii="Traditional Arabic" w:hAnsi="Traditional Arabic"/>
          <w:sz w:val="27"/>
          <w:rtl/>
          <w:lang w:bidi="ar-AE"/>
        </w:rPr>
      </w:pPr>
      <w:r w:rsidRPr="0011006D">
        <w:rPr>
          <w:rFonts w:ascii="Traditional Arabic" w:hAnsi="Traditional Arabic" w:hint="cs"/>
          <w:sz w:val="27"/>
          <w:rtl/>
          <w:lang w:bidi="ar-AE"/>
        </w:rPr>
        <w:t xml:space="preserve">3ـ كثرة الفروع. </w:t>
      </w:r>
    </w:p>
    <w:p w:rsidR="00F34FB9" w:rsidRPr="0011006D" w:rsidRDefault="00F34FB9" w:rsidP="007A21AA">
      <w:pPr>
        <w:spacing w:line="400" w:lineRule="exact"/>
        <w:rPr>
          <w:rFonts w:ascii="Traditional Arabic" w:hAnsi="Traditional Arabic"/>
          <w:sz w:val="27"/>
          <w:rtl/>
          <w:lang w:bidi="ar-AE"/>
        </w:rPr>
      </w:pPr>
      <w:r w:rsidRPr="0011006D">
        <w:rPr>
          <w:rFonts w:ascii="Traditional Arabic" w:hAnsi="Traditional Arabic" w:hint="cs"/>
          <w:sz w:val="27"/>
          <w:rtl/>
          <w:lang w:bidi="ar-AE"/>
        </w:rPr>
        <w:t xml:space="preserve">4ـ قوّة الاستدلال. </w:t>
      </w:r>
    </w:p>
    <w:p w:rsidR="00F34FB9" w:rsidRPr="0011006D" w:rsidRDefault="00F34FB9" w:rsidP="007A21AA">
      <w:pPr>
        <w:spacing w:line="400" w:lineRule="exact"/>
        <w:rPr>
          <w:rFonts w:ascii="Traditional Arabic" w:hAnsi="Traditional Arabic"/>
          <w:sz w:val="27"/>
          <w:rtl/>
          <w:lang w:bidi="ar-AE"/>
        </w:rPr>
      </w:pPr>
      <w:r w:rsidRPr="0011006D">
        <w:rPr>
          <w:rFonts w:ascii="Traditional Arabic" w:hAnsi="Traditional Arabic" w:hint="cs"/>
          <w:sz w:val="27"/>
          <w:rtl/>
          <w:lang w:bidi="ar-AE"/>
        </w:rPr>
        <w:t xml:space="preserve">5ـ تجذّر المباني. </w:t>
      </w:r>
    </w:p>
    <w:p w:rsidR="00F34FB9" w:rsidRPr="0011006D" w:rsidRDefault="00F34FB9" w:rsidP="007A21AA">
      <w:pPr>
        <w:spacing w:line="400" w:lineRule="exact"/>
        <w:rPr>
          <w:rFonts w:ascii="Traditional Arabic" w:hAnsi="Traditional Arabic"/>
          <w:sz w:val="27"/>
          <w:rtl/>
          <w:lang w:bidi="ar-AE"/>
        </w:rPr>
      </w:pPr>
      <w:r w:rsidRPr="0011006D">
        <w:rPr>
          <w:rFonts w:ascii="Traditional Arabic" w:hAnsi="Traditional Arabic" w:hint="cs"/>
          <w:sz w:val="27"/>
          <w:rtl/>
          <w:lang w:bidi="ar-AE"/>
        </w:rPr>
        <w:t>6ـ الانسجام والتناغم مع العقل والع</w:t>
      </w:r>
      <w:r w:rsidR="00BF22AC" w:rsidRPr="0011006D">
        <w:rPr>
          <w:rFonts w:ascii="Traditional Arabic" w:hAnsi="Traditional Arabic" w:hint="cs"/>
          <w:sz w:val="27"/>
          <w:rtl/>
          <w:lang w:bidi="ar-AE"/>
        </w:rPr>
        <w:t>ُ</w:t>
      </w:r>
      <w:r w:rsidRPr="0011006D">
        <w:rPr>
          <w:rFonts w:ascii="Traditional Arabic" w:hAnsi="Traditional Arabic" w:hint="cs"/>
          <w:sz w:val="27"/>
          <w:rtl/>
          <w:lang w:bidi="ar-AE"/>
        </w:rPr>
        <w:t>ر</w:t>
      </w:r>
      <w:r w:rsidR="00BF22AC" w:rsidRPr="0011006D">
        <w:rPr>
          <w:rFonts w:ascii="Traditional Arabic" w:hAnsi="Traditional Arabic" w:hint="cs"/>
          <w:sz w:val="27"/>
          <w:rtl/>
          <w:lang w:bidi="ar-AE"/>
        </w:rPr>
        <w:t>ْ</w:t>
      </w:r>
      <w:r w:rsidRPr="0011006D">
        <w:rPr>
          <w:rFonts w:ascii="Traditional Arabic" w:hAnsi="Traditional Arabic" w:hint="cs"/>
          <w:sz w:val="27"/>
          <w:rtl/>
          <w:lang w:bidi="ar-AE"/>
        </w:rPr>
        <w:t xml:space="preserve">ف. </w:t>
      </w:r>
    </w:p>
    <w:p w:rsidR="00F34FB9" w:rsidRPr="00904FCB" w:rsidRDefault="00F34FB9" w:rsidP="007A21AA">
      <w:pPr>
        <w:spacing w:line="400" w:lineRule="exact"/>
        <w:rPr>
          <w:rFonts w:ascii="Traditional Arabic" w:hAnsi="Traditional Arabic"/>
          <w:sz w:val="27"/>
          <w:rtl/>
          <w:lang w:bidi="ar-AE"/>
        </w:rPr>
      </w:pPr>
    </w:p>
    <w:p w:rsidR="00F34FB9" w:rsidRPr="00904FCB" w:rsidRDefault="00F34FB9" w:rsidP="007A21AA">
      <w:pPr>
        <w:pStyle w:val="31"/>
        <w:spacing w:line="400" w:lineRule="exact"/>
        <w:rPr>
          <w:color w:val="auto"/>
          <w:rtl/>
          <w:lang w:bidi="ar-AE"/>
        </w:rPr>
      </w:pPr>
      <w:r w:rsidRPr="00904FCB">
        <w:rPr>
          <w:rFonts w:hint="cs"/>
          <w:color w:val="auto"/>
          <w:rtl/>
          <w:lang w:bidi="ar-AE"/>
        </w:rPr>
        <w:t>الإبداع في المحتوى</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بالإضافة إلى إبداع سماحته في تبويب وهيكلة الأبحاث، فقد أبدع في مجال المحتويات والمضامين أيضاً. وإن من المسائل التي اعتبرها سماحته من جملة مختص</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اته التي انفرد بها القاعدة</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الثالثة والثمان</w:t>
      </w:r>
      <w:r w:rsidR="00BF22AC" w:rsidRPr="00904FCB">
        <w:rPr>
          <w:rFonts w:ascii="Traditional Arabic" w:hAnsi="Traditional Arabic" w:hint="cs"/>
          <w:sz w:val="27"/>
          <w:rtl/>
          <w:lang w:bidi="ar-AE"/>
        </w:rPr>
        <w:t>ي</w:t>
      </w:r>
      <w:r w:rsidRPr="00904FCB">
        <w:rPr>
          <w:rFonts w:ascii="Traditional Arabic" w:hAnsi="Traditional Arabic" w:hint="cs"/>
          <w:sz w:val="27"/>
          <w:rtl/>
          <w:lang w:bidi="ar-AE"/>
        </w:rPr>
        <w:t>ن</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تحت عنوان: </w:t>
      </w:r>
      <w:r w:rsidRPr="00904FCB">
        <w:rPr>
          <w:rFonts w:hint="eastAsia"/>
          <w:sz w:val="27"/>
          <w:rtl/>
          <w:lang w:bidi="ar-AE"/>
        </w:rPr>
        <w:t>«</w:t>
      </w:r>
      <w:r w:rsidRPr="00904FCB">
        <w:rPr>
          <w:rFonts w:ascii="Traditional Arabic" w:hAnsi="Traditional Arabic" w:hint="cs"/>
          <w:sz w:val="27"/>
          <w:rtl/>
          <w:lang w:bidi="ar-AE"/>
        </w:rPr>
        <w:t>ذوات الأسباب لا تحصل إلا</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بأسبابها</w:t>
      </w:r>
      <w:r w:rsidRPr="00904FCB">
        <w:rPr>
          <w:rFonts w:hint="eastAsia"/>
          <w:sz w:val="27"/>
          <w:rtl/>
        </w:rPr>
        <w:t>»</w:t>
      </w:r>
      <w:r w:rsidR="00BF22AC"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فهو يقول بأن الشارع</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طبقاً للمصالح المشتركة</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قد اعتبر أموراً من قبيل: الزوجية والملكية والرق</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ية، وقد جعل لأجل تحق</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ق كل</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واحد</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منها سبباً خاص</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اً. فجعل لنقل وانتقال الملكية مثلاً عقد البيع والإجارة والصلح وما إلى ذلك، ومثل الحر</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ية المتسب</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بة عن صيغة العتق. وعليه إذا أعلن المولى قائلاً: رفعت ملكيتي عن هذا العبد لن يغدو هذا العبد حر</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اً، ويبقى على عبوديته إلى حين إجراء صيغة العتق</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التي هي السبب الشرعي لتحق</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ق الحرية. ثم</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قال</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إن القاعدة المشهورة بين الفقهاء</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والتي تقول بأن الإعراض يوجب زوال الملكية، وتكون سب</w:t>
      </w:r>
      <w:r w:rsidR="000C6522" w:rsidRPr="00904FCB">
        <w:rPr>
          <w:rFonts w:ascii="Traditional Arabic" w:hAnsi="Traditional Arabic" w:hint="cs"/>
          <w:sz w:val="27"/>
          <w:rtl/>
          <w:lang w:bidi="ar-AE"/>
        </w:rPr>
        <w:t>ب</w:t>
      </w:r>
      <w:r w:rsidRPr="00904FCB">
        <w:rPr>
          <w:rFonts w:ascii="Traditional Arabic" w:hAnsi="Traditional Arabic" w:hint="cs"/>
          <w:sz w:val="27"/>
          <w:rtl/>
          <w:lang w:bidi="ar-AE"/>
        </w:rPr>
        <w:t>اً في صح</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ة تمل</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ك الآخرين، ليست </w:t>
      </w:r>
      <w:r w:rsidRPr="00904FCB">
        <w:rPr>
          <w:rFonts w:ascii="Traditional Arabic" w:hAnsi="Traditional Arabic" w:hint="cs"/>
          <w:sz w:val="27"/>
          <w:rtl/>
          <w:lang w:bidi="ar-AE"/>
        </w:rPr>
        <w:lastRenderedPageBreak/>
        <w:t>صحيحة، ولا تنسجم مع أيّ قاعدة</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شرعية، ولم يق</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م</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عليها أي</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دليل</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شرعي.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أجل</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لو التزمنا بالدلالة الت</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ب</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عية دلّ الإعراض بالدلالة الت</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ب</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عية على إباحة تصرّف الآخرين، وأما زوال ملكية المالك، وبالتالي ملكية الآخرين</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فلا دليل عليها.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b/>
          <w:bCs/>
          <w:sz w:val="27"/>
          <w:rtl/>
          <w:lang w:bidi="ar-AE"/>
        </w:rPr>
        <w:t>فإن</w:t>
      </w:r>
      <w:r w:rsidR="000C6522" w:rsidRPr="00904FCB">
        <w:rPr>
          <w:rFonts w:ascii="Traditional Arabic" w:hAnsi="Traditional Arabic" w:hint="cs"/>
          <w:b/>
          <w:bCs/>
          <w:sz w:val="27"/>
          <w:rtl/>
          <w:lang w:bidi="ar-AE"/>
        </w:rPr>
        <w:t>ْ</w:t>
      </w:r>
      <w:r w:rsidRPr="00904FCB">
        <w:rPr>
          <w:rFonts w:ascii="Traditional Arabic" w:hAnsi="Traditional Arabic" w:hint="cs"/>
          <w:b/>
          <w:bCs/>
          <w:sz w:val="27"/>
          <w:rtl/>
          <w:lang w:bidi="ar-AE"/>
        </w:rPr>
        <w:t xml:space="preserve"> قلت</w:t>
      </w:r>
      <w:r w:rsidR="000C6522" w:rsidRPr="00904FCB">
        <w:rPr>
          <w:rFonts w:ascii="Traditional Arabic" w:hAnsi="Traditional Arabic" w:hint="cs"/>
          <w:b/>
          <w:bCs/>
          <w:sz w:val="27"/>
          <w:rtl/>
          <w:lang w:bidi="ar-AE"/>
        </w:rPr>
        <w:t>َ</w:t>
      </w:r>
      <w:r w:rsidRPr="00904FCB">
        <w:rPr>
          <w:rFonts w:ascii="Traditional Arabic" w:hAnsi="Traditional Arabic" w:hint="cs"/>
          <w:sz w:val="27"/>
          <w:rtl/>
          <w:lang w:bidi="ar-AE"/>
        </w:rPr>
        <w:t>: إن قاعدة السلطة على الأموال تقتضي أن يتمك</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ن المالك من سلب ملكيته عن ماله، وحقيقة الإعراض سلب</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الملكية أيضاً.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b/>
          <w:bCs/>
          <w:sz w:val="27"/>
          <w:rtl/>
          <w:lang w:bidi="ar-AE"/>
        </w:rPr>
        <w:t>قلت</w:t>
      </w:r>
      <w:r w:rsidR="000C6522" w:rsidRPr="00904FCB">
        <w:rPr>
          <w:rFonts w:ascii="Traditional Arabic" w:hAnsi="Traditional Arabic" w:hint="cs"/>
          <w:b/>
          <w:bCs/>
          <w:sz w:val="27"/>
          <w:rtl/>
          <w:lang w:bidi="ar-AE"/>
        </w:rPr>
        <w:t>ُ</w:t>
      </w:r>
      <w:r w:rsidRPr="00904FCB">
        <w:rPr>
          <w:rFonts w:ascii="Traditional Arabic" w:hAnsi="Traditional Arabic" w:hint="cs"/>
          <w:sz w:val="27"/>
          <w:rtl/>
          <w:lang w:bidi="ar-AE"/>
        </w:rPr>
        <w:t>: صحيح أن الملكية نوع من السلطة، ولكن</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من غير المعقول أن تقتضي هذه السلطة إلغاء ذاتها؛ إذ يلزم من ذلك أن يكون وجود الشيء سبباً لعدمه.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وعلى أيّ حال فإنه ـ خلافاً لمشهور الفقهاء</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الذين يقولون بأن الإعراض يستوجب زوال الملكية ـ لا يرى الإعراض موجباً لزوال الملكية</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ب</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ي</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د أن الإعراض يدلّ بالدلالة التبعية على إباحة التصرّ</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ف للآخرين. هذا إذا التزمنا بالدلالة الت</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ب</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عية. ولكن</w:t>
      </w:r>
      <w:r w:rsidR="000C6522"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يبقى الشيء على ملك المالك الأول، ولا يغدو ملكاً للمالك الآخر. </w:t>
      </w:r>
    </w:p>
    <w:p w:rsidR="00F34FB9" w:rsidRPr="00904FCB" w:rsidRDefault="00F34FB9" w:rsidP="007A21AA">
      <w:pPr>
        <w:spacing w:line="400" w:lineRule="exact"/>
        <w:rPr>
          <w:rFonts w:ascii="Traditional Arabic" w:hAnsi="Traditional Arabic"/>
          <w:sz w:val="27"/>
          <w:rtl/>
          <w:lang w:bidi="ar-AE"/>
        </w:rPr>
      </w:pPr>
    </w:p>
    <w:p w:rsidR="00F34FB9" w:rsidRPr="00904FCB" w:rsidRDefault="00F34FB9" w:rsidP="007A21AA">
      <w:pPr>
        <w:pStyle w:val="31"/>
        <w:spacing w:line="400" w:lineRule="exact"/>
        <w:rPr>
          <w:color w:val="auto"/>
          <w:rtl/>
          <w:lang w:bidi="ar-AE"/>
        </w:rPr>
      </w:pPr>
      <w:r w:rsidRPr="00904FCB">
        <w:rPr>
          <w:rFonts w:hint="cs"/>
          <w:color w:val="auto"/>
          <w:rtl/>
          <w:lang w:bidi="ar-AE"/>
        </w:rPr>
        <w:t>القواعد الفقهية</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تقد</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م أن ذكرنا أن من إبداعات العلا</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مة كاشف الغطاء تخطيطه لبعض القواعد الفقهية</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وقد تقدّم أنه أضاف ما يربو على الثمانين قاعدة فقهية إلى دائرة المعاملات في كتاب </w:t>
      </w:r>
      <w:r w:rsidRPr="00904FCB">
        <w:rPr>
          <w:rFonts w:hint="eastAsia"/>
          <w:sz w:val="27"/>
          <w:rtl/>
          <w:lang w:bidi="ar-AE"/>
        </w:rPr>
        <w:t>«</w:t>
      </w:r>
      <w:r w:rsidRPr="00904FCB">
        <w:rPr>
          <w:rFonts w:ascii="Traditional Arabic" w:hAnsi="Traditional Arabic" w:hint="cs"/>
          <w:sz w:val="27"/>
          <w:rtl/>
          <w:lang w:bidi="ar-AE"/>
        </w:rPr>
        <w:t>مجلة الأحكام العدلية</w:t>
      </w:r>
      <w:r w:rsidR="009E14C8" w:rsidRPr="00904FCB">
        <w:rPr>
          <w:rFonts w:hint="eastAsia"/>
          <w:sz w:val="27"/>
          <w:rtl/>
        </w:rPr>
        <w:t>»</w:t>
      </w:r>
      <w:r w:rsidRPr="00904FCB">
        <w:rPr>
          <w:rFonts w:ascii="Traditional Arabic" w:hAnsi="Traditional Arabic" w:hint="cs"/>
          <w:sz w:val="27"/>
          <w:rtl/>
          <w:lang w:bidi="ar-AE"/>
        </w:rPr>
        <w:t>، حيث أسقطها المؤل</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فون غفلة.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إن هذه القواعد وإن</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كان أكثرها موجوداً في الكتب الفقهية الشيعية، ب</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ي</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د</w:t>
      </w:r>
      <w:r w:rsidR="00D869AF"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أن أصل بعضها أو طريقة بيانها وصياغتها من إبداعات العلا</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مة آل كاشف الغطاء. ومن</w:t>
      </w:r>
      <w:r w:rsidR="009E14C8" w:rsidRPr="00904FCB">
        <w:rPr>
          <w:rFonts w:ascii="Traditional Arabic" w:hAnsi="Traditional Arabic" w:hint="cs"/>
          <w:sz w:val="27"/>
          <w:rtl/>
          <w:lang w:bidi="ar-AE"/>
        </w:rPr>
        <w:t>ها:</w:t>
      </w:r>
      <w:r w:rsidRPr="00904FCB">
        <w:rPr>
          <w:rFonts w:ascii="Traditional Arabic" w:hAnsi="Traditional Arabic" w:hint="cs"/>
          <w:sz w:val="27"/>
          <w:rtl/>
          <w:lang w:bidi="ar-AE"/>
        </w:rPr>
        <w:t xml:space="preserve"> قاعدة العدل، حيث قال في مقام بيانها والاستدلال عليها: تستفاد قاعدة العدل من الروايات الواردة في مورد الوديعة. </w:t>
      </w:r>
    </w:p>
    <w:p w:rsidR="00F34FB9" w:rsidRPr="00904FCB" w:rsidRDefault="00F34FB9" w:rsidP="003C1CB3">
      <w:pPr>
        <w:spacing w:line="400" w:lineRule="exact"/>
        <w:rPr>
          <w:rFonts w:ascii="Traditional Arabic" w:hAnsi="Traditional Arabic"/>
          <w:sz w:val="27"/>
          <w:rtl/>
          <w:lang w:bidi="ar-AE"/>
        </w:rPr>
      </w:pPr>
      <w:r w:rsidRPr="00904FCB">
        <w:rPr>
          <w:rFonts w:ascii="Traditional Arabic" w:hAnsi="Traditional Arabic" w:hint="cs"/>
          <w:sz w:val="27"/>
          <w:rtl/>
          <w:lang w:bidi="ar-AE"/>
        </w:rPr>
        <w:t>توضيح ذلك: دل</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ت الرواية على أن شخصاً إذا أودع عند شخص درهمين، وأودعه شخص</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آخر درهماً واحداً، واختلطت الدراهم</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ثم</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تلف واحد</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منها دون إفراط أو تفريط، ولم يتمي</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ز أن التالف من صاحب الدرهمين أو من صاحب الدرهم</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قال الإمام علي</w:t>
      </w:r>
      <w:r w:rsidR="009E14C8" w:rsidRPr="00904FCB">
        <w:rPr>
          <w:rFonts w:ascii="Traditional Arabic" w:hAnsi="Traditional Arabic" w:hint="cs"/>
          <w:sz w:val="27"/>
          <w:rtl/>
          <w:lang w:bidi="ar-AE"/>
        </w:rPr>
        <w:t>ّ</w:t>
      </w:r>
      <w:r w:rsidR="001C1A2A" w:rsidRPr="00904FCB">
        <w:rPr>
          <w:rFonts w:ascii="Traditional Arabic" w:hAnsi="Traditional Arabic" w:cs="Mosawi" w:hint="cs"/>
          <w:sz w:val="27"/>
          <w:szCs w:val="22"/>
          <w:rtl/>
          <w:lang w:bidi="ar-AE"/>
        </w:rPr>
        <w:t>×</w:t>
      </w:r>
      <w:r w:rsidRPr="00904FCB">
        <w:rPr>
          <w:rFonts w:ascii="Traditional Arabic" w:hAnsi="Traditional Arabic" w:hint="cs"/>
          <w:sz w:val="27"/>
          <w:rtl/>
          <w:lang w:bidi="ar-AE"/>
        </w:rPr>
        <w:t xml:space="preserve">: </w:t>
      </w:r>
      <w:r w:rsidRPr="00904FCB">
        <w:rPr>
          <w:rFonts w:hint="eastAsia"/>
          <w:sz w:val="27"/>
          <w:rtl/>
        </w:rPr>
        <w:t>«</w:t>
      </w:r>
      <w:r w:rsidRPr="00904FCB">
        <w:rPr>
          <w:rFonts w:ascii="Traditional Arabic" w:hAnsi="Traditional Arabic" w:hint="cs"/>
          <w:sz w:val="27"/>
          <w:rtl/>
          <w:lang w:bidi="ar-AE"/>
        </w:rPr>
        <w:t>يعطى لصاحب الدرهمين درهم</w:t>
      </w:r>
      <w:r w:rsidR="009E14C8" w:rsidRPr="00904FCB">
        <w:rPr>
          <w:rFonts w:ascii="Traditional Arabic" w:hAnsi="Traditional Arabic" w:hint="cs"/>
          <w:sz w:val="27"/>
          <w:rtl/>
          <w:lang w:bidi="ar-AE"/>
        </w:rPr>
        <w:t>ٌ</w:t>
      </w:r>
      <w:r w:rsidR="003C1CB3">
        <w:rPr>
          <w:rFonts w:ascii="Traditional Arabic" w:hAnsi="Traditional Arabic" w:hint="cs"/>
          <w:sz w:val="27"/>
          <w:rtl/>
          <w:lang w:bidi="ar-AE"/>
        </w:rPr>
        <w:t xml:space="preserve"> ونصف</w:t>
      </w:r>
      <w:r w:rsidRPr="00904FCB">
        <w:rPr>
          <w:rFonts w:ascii="Traditional Arabic" w:hAnsi="Traditional Arabic" w:hint="cs"/>
          <w:sz w:val="27"/>
          <w:rtl/>
          <w:lang w:bidi="ar-AE"/>
        </w:rPr>
        <w:t xml:space="preserve">، ولصاحب الدرهم </w:t>
      </w:r>
      <w:r w:rsidR="003C1CB3">
        <w:rPr>
          <w:rFonts w:ascii="Traditional Arabic" w:hAnsi="Traditional Arabic" w:hint="cs"/>
          <w:sz w:val="27"/>
          <w:rtl/>
          <w:lang w:bidi="ar-AE"/>
        </w:rPr>
        <w:t>نصف درهم</w:t>
      </w:r>
      <w:r w:rsidRPr="00904FCB">
        <w:rPr>
          <w:rFonts w:hint="eastAsia"/>
          <w:sz w:val="27"/>
          <w:rtl/>
        </w:rPr>
        <w:t>»</w:t>
      </w:r>
      <w:r w:rsidRPr="00904FCB">
        <w:rPr>
          <w:sz w:val="27"/>
          <w:vertAlign w:val="superscript"/>
          <w:rtl/>
        </w:rPr>
        <w:t>(</w:t>
      </w:r>
      <w:r w:rsidRPr="00904FCB">
        <w:rPr>
          <w:rStyle w:val="ac"/>
          <w:rFonts w:ascii="Traditional Arabic" w:hAnsi="Traditional Arabic"/>
          <w:sz w:val="27"/>
          <w:rtl/>
          <w:lang w:bidi="ar-AE"/>
        </w:rPr>
        <w:endnoteReference w:id="596"/>
      </w:r>
      <w:r w:rsidRPr="00904FCB">
        <w:rPr>
          <w:sz w:val="27"/>
          <w:vertAlign w:val="superscript"/>
          <w:rtl/>
        </w:rPr>
        <w:t>)</w:t>
      </w:r>
      <w:r w:rsidRPr="00904FCB">
        <w:rPr>
          <w:rFonts w:ascii="Traditional Arabic" w:hAnsi="Traditional Arabic" w:hint="cs"/>
          <w:sz w:val="27"/>
          <w:rtl/>
          <w:lang w:bidi="ar-AE"/>
        </w:rPr>
        <w:t xml:space="preserve">.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وقد حمل الفقهاء الآخرون هذه الرواية على الصلح القهري</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كي لا تقع مخالفة قطعية، ب</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ي</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د أن سماحته قد فهم من الرواية قاعدة</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فقهي</w:t>
      </w:r>
      <w:r w:rsidR="009E14C8"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ة (قاعدة العدل)، وعمل على </w:t>
      </w:r>
      <w:r w:rsidRPr="00904FCB">
        <w:rPr>
          <w:rFonts w:ascii="Traditional Arabic" w:hAnsi="Traditional Arabic" w:hint="cs"/>
          <w:sz w:val="27"/>
          <w:rtl/>
          <w:lang w:bidi="ar-AE"/>
        </w:rPr>
        <w:lastRenderedPageBreak/>
        <w:t xml:space="preserve">تعميمها من جهتين: </w:t>
      </w:r>
    </w:p>
    <w:p w:rsidR="00F34FB9" w:rsidRPr="00904FCB" w:rsidRDefault="009E14C8"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أ</w:t>
      </w:r>
      <w:r w:rsidR="00F34FB9" w:rsidRPr="00904FCB">
        <w:rPr>
          <w:rFonts w:ascii="Traditional Arabic" w:hAnsi="Traditional Arabic" w:hint="cs"/>
          <w:sz w:val="27"/>
          <w:rtl/>
          <w:lang w:bidi="ar-AE"/>
        </w:rPr>
        <w:t>ـ التوسعة في كل</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مورد</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كان فيه مال</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مرد</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د بين شخصين أو أكثر، وترد</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د الواقع، ولم يكن هناك طريق</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إلى تحديده.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b/>
          <w:bCs/>
          <w:sz w:val="27"/>
          <w:rtl/>
          <w:lang w:bidi="ar-AE"/>
        </w:rPr>
        <w:t>إن</w:t>
      </w:r>
      <w:r w:rsidR="009E14C8" w:rsidRPr="00904FCB">
        <w:rPr>
          <w:rFonts w:ascii="Traditional Arabic" w:hAnsi="Traditional Arabic" w:hint="cs"/>
          <w:b/>
          <w:bCs/>
          <w:sz w:val="27"/>
          <w:rtl/>
          <w:lang w:bidi="ar-AE"/>
        </w:rPr>
        <w:t>ْ</w:t>
      </w:r>
      <w:r w:rsidRPr="00904FCB">
        <w:rPr>
          <w:rFonts w:ascii="Traditional Arabic" w:hAnsi="Traditional Arabic" w:hint="cs"/>
          <w:b/>
          <w:bCs/>
          <w:sz w:val="27"/>
          <w:rtl/>
          <w:lang w:bidi="ar-AE"/>
        </w:rPr>
        <w:t xml:space="preserve"> قلت</w:t>
      </w:r>
      <w:r w:rsidR="009E14C8" w:rsidRPr="00904FCB">
        <w:rPr>
          <w:rFonts w:ascii="Traditional Arabic" w:hAnsi="Traditional Arabic" w:hint="cs"/>
          <w:b/>
          <w:bCs/>
          <w:sz w:val="27"/>
          <w:rtl/>
          <w:lang w:bidi="ar-AE"/>
        </w:rPr>
        <w:t>َ</w:t>
      </w:r>
      <w:r w:rsidRPr="00904FCB">
        <w:rPr>
          <w:rFonts w:ascii="Traditional Arabic" w:hAnsi="Traditional Arabic" w:hint="cs"/>
          <w:sz w:val="27"/>
          <w:rtl/>
          <w:lang w:bidi="ar-AE"/>
        </w:rPr>
        <w:t>: نحد</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د الواقع من خلال القرعة، ولا يصل الأمر إلى تأسيس قاعدة العدل.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b/>
          <w:bCs/>
          <w:sz w:val="27"/>
          <w:rtl/>
          <w:lang w:bidi="ar-AE"/>
        </w:rPr>
        <w:t>قلت</w:t>
      </w:r>
      <w:r w:rsidR="009E14C8" w:rsidRPr="00904FCB">
        <w:rPr>
          <w:rFonts w:ascii="Traditional Arabic" w:hAnsi="Traditional Arabic" w:hint="cs"/>
          <w:b/>
          <w:bCs/>
          <w:sz w:val="27"/>
          <w:rtl/>
          <w:lang w:bidi="ar-AE"/>
        </w:rPr>
        <w:t>ُ</w:t>
      </w:r>
      <w:r w:rsidRPr="00904FCB">
        <w:rPr>
          <w:rFonts w:ascii="Traditional Arabic" w:hAnsi="Traditional Arabic" w:hint="cs"/>
          <w:sz w:val="27"/>
          <w:rtl/>
          <w:lang w:bidi="ar-AE"/>
        </w:rPr>
        <w:t xml:space="preserve">: إن الكثير من الفقهاء لا يجرون القرعة في الحقوق والأموال.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ب ـ التوسعة حت</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ى بالنسبة إلى الموارد التي ليس لها مورد ترديد معين، كأن يكون الشخص وكيلاً لرجلين يطلبهما معاً، وقد أ</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عطي مالاً</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ولم يعرف المعطي منهما. وقد اختلف الفقهاء هنا في رفع هذه المشكلة، وقال سماحته: الحق</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ـ لقاعدة العدل ـ أن يتمّ توزيع المال بين الدائنين. ثمّ قال: إن لهذه القاعدة في الفقه</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وفي حقل الأموال وغير الأموال</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الكثير من الأشباه والنظائر. ثم</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قال في الختام: إن الشاهد على هذه القاعدة الرواية النبوي</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ة الواردة من طريق أهل السن</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ة، والتي جاء فيها: </w:t>
      </w:r>
      <w:r w:rsidRPr="00904FCB">
        <w:rPr>
          <w:rFonts w:hint="eastAsia"/>
          <w:sz w:val="27"/>
          <w:rtl/>
          <w:lang w:bidi="ar-AE"/>
        </w:rPr>
        <w:t>«</w:t>
      </w:r>
      <w:r w:rsidRPr="00904FCB">
        <w:rPr>
          <w:rFonts w:ascii="Traditional Arabic" w:hAnsi="Traditional Arabic" w:hint="cs"/>
          <w:sz w:val="27"/>
          <w:rtl/>
          <w:lang w:bidi="ar-AE"/>
        </w:rPr>
        <w:t>أتاه رجلان يختصمان في بعير</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وأقام كل</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واحد</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شاهدين أنه له</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فجعله بينهما</w:t>
      </w:r>
      <w:r w:rsidRPr="00904FCB">
        <w:rPr>
          <w:rFonts w:hint="eastAsia"/>
          <w:sz w:val="27"/>
          <w:rtl/>
        </w:rPr>
        <w:t>»</w:t>
      </w:r>
      <w:r w:rsidRPr="00904FCB">
        <w:rPr>
          <w:sz w:val="27"/>
          <w:vertAlign w:val="superscript"/>
          <w:rtl/>
        </w:rPr>
        <w:t>(</w:t>
      </w:r>
      <w:r w:rsidRPr="00904FCB">
        <w:rPr>
          <w:rStyle w:val="ac"/>
          <w:rFonts w:ascii="Traditional Arabic" w:hAnsi="Traditional Arabic"/>
          <w:sz w:val="27"/>
          <w:rtl/>
          <w:lang w:bidi="ar-AE"/>
        </w:rPr>
        <w:endnoteReference w:id="597"/>
      </w:r>
      <w:r w:rsidRPr="00904FCB">
        <w:rPr>
          <w:sz w:val="27"/>
          <w:vertAlign w:val="superscript"/>
          <w:rtl/>
        </w:rPr>
        <w:t>)</w:t>
      </w:r>
      <w:r w:rsidRPr="00904FCB">
        <w:rPr>
          <w:rFonts w:ascii="Traditional Arabic" w:hAnsi="Traditional Arabic" w:hint="cs"/>
          <w:sz w:val="27"/>
          <w:rtl/>
          <w:lang w:bidi="ar-AE"/>
        </w:rPr>
        <w:t xml:space="preserve">.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 xml:space="preserve">لا إشكال في دلالة الرواية على القاعدة. </w:t>
      </w:r>
    </w:p>
    <w:p w:rsidR="00F34FB9" w:rsidRPr="00904FCB" w:rsidRDefault="00F34FB9"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ومهما كان فإن قاعدة العدل ـ كما هو ملاحظ</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ـ لم تذكر في كلمات أيّ</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من الفقهاء السابقين لعصر كاشف الغطاء</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وعلى فرض وجودها فإنها ليست </w:t>
      </w:r>
      <w:r w:rsidR="00CC0E2B" w:rsidRPr="00904FCB">
        <w:rPr>
          <w:rFonts w:ascii="Traditional Arabic" w:hAnsi="Traditional Arabic" w:hint="cs"/>
          <w:sz w:val="27"/>
          <w:rtl/>
          <w:lang w:bidi="ar-AE"/>
        </w:rPr>
        <w:t>ب</w:t>
      </w:r>
      <w:r w:rsidRPr="00904FCB">
        <w:rPr>
          <w:rFonts w:ascii="Traditional Arabic" w:hAnsi="Traditional Arabic" w:hint="cs"/>
          <w:sz w:val="27"/>
          <w:rtl/>
          <w:lang w:bidi="ar-AE"/>
        </w:rPr>
        <w:t>التفصيل الذي ذكره العلا</w:t>
      </w:r>
      <w:r w:rsidR="00CC0E2B"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مة الشيخ محمد حسين آل كاشف الغطاء. </w:t>
      </w:r>
    </w:p>
    <w:p w:rsidR="00F34FB9" w:rsidRPr="00904FCB" w:rsidRDefault="00F34FB9" w:rsidP="007A21AA">
      <w:pPr>
        <w:spacing w:line="400" w:lineRule="exact"/>
        <w:rPr>
          <w:rFonts w:ascii="Traditional Arabic" w:hAnsi="Traditional Arabic"/>
          <w:sz w:val="27"/>
          <w:rtl/>
          <w:lang w:bidi="ar-AE"/>
        </w:rPr>
      </w:pPr>
    </w:p>
    <w:p w:rsidR="00F34FB9" w:rsidRPr="00904FCB" w:rsidRDefault="00F34FB9" w:rsidP="007A21AA">
      <w:pPr>
        <w:pStyle w:val="31"/>
        <w:spacing w:line="400" w:lineRule="exact"/>
        <w:rPr>
          <w:color w:val="auto"/>
          <w:rtl/>
          <w:lang w:bidi="ar-AE"/>
        </w:rPr>
      </w:pPr>
      <w:r w:rsidRPr="00904FCB">
        <w:rPr>
          <w:rFonts w:hint="cs"/>
          <w:color w:val="auto"/>
          <w:rtl/>
          <w:lang w:bidi="ar-AE"/>
        </w:rPr>
        <w:t>منزلة الاجتهاد ونقد انسداده وانفتاحه</w:t>
      </w:r>
    </w:p>
    <w:p w:rsidR="00F34FB9" w:rsidRPr="00904FCB" w:rsidRDefault="00CC0E2B" w:rsidP="007A21AA">
      <w:pPr>
        <w:spacing w:line="400" w:lineRule="exact"/>
        <w:rPr>
          <w:rFonts w:ascii="Traditional Arabic" w:hAnsi="Traditional Arabic"/>
          <w:sz w:val="27"/>
          <w:rtl/>
          <w:lang w:bidi="ar-AE"/>
        </w:rPr>
      </w:pPr>
      <w:r w:rsidRPr="00904FCB">
        <w:rPr>
          <w:rFonts w:ascii="Traditional Arabic" w:hAnsi="Traditional Arabic" w:hint="cs"/>
          <w:sz w:val="27"/>
          <w:rtl/>
          <w:lang w:bidi="ar-AE"/>
        </w:rPr>
        <w:t>قال</w:t>
      </w:r>
      <w:r w:rsidR="00F34FB9" w:rsidRPr="00904FCB">
        <w:rPr>
          <w:rFonts w:ascii="Traditional Arabic" w:hAnsi="Traditional Arabic" w:hint="cs"/>
          <w:sz w:val="27"/>
          <w:rtl/>
          <w:lang w:bidi="ar-AE"/>
        </w:rPr>
        <w:t xml:space="preserve"> </w:t>
      </w:r>
      <w:r w:rsidRPr="00904FCB">
        <w:rPr>
          <w:rFonts w:ascii="Traditional Arabic" w:hAnsi="Traditional Arabic" w:hint="cs"/>
          <w:sz w:val="27"/>
          <w:rtl/>
          <w:lang w:bidi="ar-AE"/>
        </w:rPr>
        <w:t>كاشف الغطاء</w:t>
      </w:r>
      <w:r w:rsidR="00F34FB9" w:rsidRPr="00904FCB">
        <w:rPr>
          <w:rFonts w:ascii="Traditional Arabic" w:hAnsi="Traditional Arabic" w:hint="cs"/>
          <w:sz w:val="27"/>
          <w:rtl/>
          <w:lang w:bidi="ar-AE"/>
        </w:rPr>
        <w:t xml:space="preserve"> في مقام بيان منزلة الاجتهاد في الأمر الأول من مسائل المقد</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مات: إن أهم مسألة يتعيّن على الجميع معرفتها هي أن إرادة الله ومشيئته قد تعل</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قت بخلق نوع الإنسان، وأعدّ له جميع سبل الرقي</w:t>
      </w:r>
      <w:r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وتسلق مدارج الكمال والسعادة في الدنيا والآخرة. ومن هذه السبل أنه خلق الإنسان</w:t>
      </w:r>
      <w:r w:rsidR="00D869AF"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وخلق فيه غرائز</w:t>
      </w:r>
      <w:r w:rsidR="00D869AF"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من قبيل</w:t>
      </w:r>
      <w:r w:rsidR="00D869AF"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الشهوة والغضب من جهة</w:t>
      </w:r>
      <w:r w:rsidR="00D869AF"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كما أودع فيه الفطرة السليمة والسجايا الأخلاقية الفاضلة من جهة</w:t>
      </w:r>
      <w:r w:rsidR="00D869AF" w:rsidRPr="00904FCB">
        <w:rPr>
          <w:rFonts w:ascii="Traditional Arabic" w:hAnsi="Traditional Arabic" w:hint="cs"/>
          <w:sz w:val="27"/>
          <w:rtl/>
          <w:lang w:bidi="ar-AE"/>
        </w:rPr>
        <w:t>ٍ</w:t>
      </w:r>
      <w:r w:rsidR="00F34FB9" w:rsidRPr="00904FCB">
        <w:rPr>
          <w:rFonts w:ascii="Traditional Arabic" w:hAnsi="Traditional Arabic" w:hint="cs"/>
          <w:sz w:val="27"/>
          <w:rtl/>
          <w:lang w:bidi="ar-AE"/>
        </w:rPr>
        <w:t xml:space="preserve"> أخرى.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lang w:bidi="ar-AE"/>
        </w:rPr>
        <w:t xml:space="preserve">وحيث </w:t>
      </w:r>
      <w:r w:rsidR="00D869AF" w:rsidRPr="00904FCB">
        <w:rPr>
          <w:rFonts w:ascii="Traditional Arabic" w:hAnsi="Traditional Arabic" w:hint="cs"/>
          <w:sz w:val="27"/>
          <w:rtl/>
          <w:lang w:bidi="ar-AE"/>
        </w:rPr>
        <w:t>إ</w:t>
      </w:r>
      <w:r w:rsidRPr="00904FCB">
        <w:rPr>
          <w:rFonts w:ascii="Traditional Arabic" w:hAnsi="Traditional Arabic" w:hint="cs"/>
          <w:sz w:val="27"/>
          <w:rtl/>
          <w:lang w:bidi="ar-AE"/>
        </w:rPr>
        <w:t>ن الغرائز الحيوانية غالباً ما تتغل</w:t>
      </w:r>
      <w:r w:rsidR="00D869AF" w:rsidRPr="00904FCB">
        <w:rPr>
          <w:rFonts w:ascii="Traditional Arabic" w:hAnsi="Traditional Arabic" w:hint="cs"/>
          <w:sz w:val="27"/>
          <w:rtl/>
          <w:lang w:bidi="ar-AE"/>
        </w:rPr>
        <w:t>َّ</w:t>
      </w:r>
      <w:r w:rsidRPr="00904FCB">
        <w:rPr>
          <w:rFonts w:ascii="Traditional Arabic" w:hAnsi="Traditional Arabic" w:hint="cs"/>
          <w:sz w:val="27"/>
          <w:rtl/>
          <w:lang w:bidi="ar-AE"/>
        </w:rPr>
        <w:t>ب على الفطرة كان ال</w:t>
      </w:r>
      <w:r w:rsidR="00D869AF" w:rsidRPr="00904FCB">
        <w:rPr>
          <w:rFonts w:ascii="Traditional Arabic" w:hAnsi="Traditional Arabic" w:hint="cs"/>
          <w:sz w:val="27"/>
          <w:rtl/>
          <w:lang w:bidi="ar-AE"/>
        </w:rPr>
        <w:t>إ</w:t>
      </w:r>
      <w:r w:rsidRPr="00904FCB">
        <w:rPr>
          <w:rFonts w:ascii="Traditional Arabic" w:hAnsi="Traditional Arabic" w:hint="cs"/>
          <w:sz w:val="27"/>
          <w:rtl/>
          <w:lang w:bidi="ar-AE"/>
        </w:rPr>
        <w:t>نسان بحاجة</w:t>
      </w:r>
      <w:r w:rsidR="00D869AF"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w:t>
      </w:r>
      <w:r w:rsidR="00D869AF" w:rsidRPr="00904FCB">
        <w:rPr>
          <w:rFonts w:ascii="Traditional Arabic" w:hAnsi="Traditional Arabic" w:hint="cs"/>
          <w:sz w:val="27"/>
          <w:rtl/>
          <w:lang w:bidi="ar-AE"/>
        </w:rPr>
        <w:lastRenderedPageBreak/>
        <w:t>إ</w:t>
      </w:r>
      <w:r w:rsidRPr="00904FCB">
        <w:rPr>
          <w:rFonts w:ascii="Traditional Arabic" w:hAnsi="Traditional Arabic" w:hint="cs"/>
          <w:sz w:val="27"/>
          <w:rtl/>
          <w:lang w:bidi="ar-AE"/>
        </w:rPr>
        <w:t>لى القوة العاقلة</w:t>
      </w:r>
      <w:r w:rsidR="00D869AF"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 لكي يقيم من خلالها التوازن والاعتدال عند احتدام النزاع بين هذين النوعين من الصفات. ومن هنا فإن الله قد أفاض على الإنسان القوّة العاقلة، وعبّ</w:t>
      </w:r>
      <w:r w:rsidR="00D869AF" w:rsidRPr="00904FCB">
        <w:rPr>
          <w:rFonts w:ascii="Traditional Arabic" w:hAnsi="Traditional Arabic" w:hint="cs"/>
          <w:sz w:val="27"/>
          <w:rtl/>
          <w:lang w:bidi="ar-AE"/>
        </w:rPr>
        <w:t>َ</w:t>
      </w:r>
      <w:r w:rsidRPr="00904FCB">
        <w:rPr>
          <w:rFonts w:ascii="Traditional Arabic" w:hAnsi="Traditional Arabic" w:hint="cs"/>
          <w:sz w:val="27"/>
          <w:rtl/>
          <w:lang w:bidi="ar-AE"/>
        </w:rPr>
        <w:t xml:space="preserve">ر عن ذلك بقوله: </w:t>
      </w:r>
      <w:r w:rsidRPr="00904FCB">
        <w:rPr>
          <w:rFonts w:ascii="Mosawi" w:hAnsi="Mosawi" w:cs="Mosawi"/>
          <w:sz w:val="24"/>
          <w:szCs w:val="24"/>
          <w:rtl/>
        </w:rPr>
        <w:t>﴿</w:t>
      </w:r>
      <w:r w:rsidRPr="00904FCB">
        <w:rPr>
          <w:rFonts w:ascii="Traditional Arabic" w:hAnsi="Traditional Arabic"/>
          <w:b/>
          <w:bCs/>
          <w:sz w:val="27"/>
          <w:rtl/>
        </w:rPr>
        <w:t>نَفَخْتُ فِيهِ مِنْ رُوحِي</w:t>
      </w:r>
      <w:r w:rsidRPr="00904FCB">
        <w:rPr>
          <w:rFonts w:ascii="Mosawi" w:hAnsi="Mosawi" w:cs="Mosawi"/>
          <w:sz w:val="24"/>
          <w:szCs w:val="24"/>
          <w:rtl/>
        </w:rPr>
        <w:t>﴾</w:t>
      </w:r>
      <w:r w:rsidRPr="00904FCB">
        <w:rPr>
          <w:rFonts w:ascii="Traditional Arabic" w:hAnsi="Traditional Arabic" w:hint="cs"/>
          <w:sz w:val="27"/>
          <w:rtl/>
          <w:lang w:bidi="ar-AE"/>
        </w:rPr>
        <w:t xml:space="preserve"> (الحجر: </w:t>
      </w:r>
      <w:r w:rsidRPr="0011006D">
        <w:rPr>
          <w:rFonts w:ascii="Traditional Arabic" w:hAnsi="Traditional Arabic" w:hint="cs"/>
          <w:sz w:val="27"/>
          <w:rtl/>
          <w:lang w:bidi="ar-AE"/>
        </w:rPr>
        <w:t>29</w:t>
      </w:r>
      <w:r w:rsidRPr="00904FCB">
        <w:rPr>
          <w:rFonts w:ascii="Traditional Arabic" w:hAnsi="Traditional Arabic" w:hint="cs"/>
          <w:sz w:val="27"/>
          <w:rtl/>
          <w:lang w:bidi="ar-AE"/>
        </w:rPr>
        <w:t xml:space="preserve">). </w:t>
      </w:r>
      <w:r w:rsidRPr="00904FCB">
        <w:rPr>
          <w:rFonts w:ascii="Traditional Arabic" w:hAnsi="Traditional Arabic" w:hint="cs"/>
          <w:sz w:val="27"/>
          <w:rtl/>
        </w:rPr>
        <w:t>ومن جهة</w:t>
      </w:r>
      <w:r w:rsidR="00D869AF" w:rsidRPr="00904FCB">
        <w:rPr>
          <w:rFonts w:ascii="Traditional Arabic" w:hAnsi="Traditional Arabic" w:hint="cs"/>
          <w:sz w:val="27"/>
          <w:rtl/>
        </w:rPr>
        <w:t>ٍ</w:t>
      </w:r>
      <w:r w:rsidRPr="00904FCB">
        <w:rPr>
          <w:rFonts w:ascii="Traditional Arabic" w:hAnsi="Traditional Arabic" w:hint="cs"/>
          <w:sz w:val="27"/>
          <w:rtl/>
        </w:rPr>
        <w:t xml:space="preserve"> أخرى حيث </w:t>
      </w:r>
      <w:r w:rsidR="00D869AF" w:rsidRPr="00904FCB">
        <w:rPr>
          <w:rFonts w:ascii="Traditional Arabic" w:hAnsi="Traditional Arabic" w:hint="cs"/>
          <w:sz w:val="27"/>
          <w:rtl/>
        </w:rPr>
        <w:t>إ</w:t>
      </w:r>
      <w:r w:rsidRPr="00904FCB">
        <w:rPr>
          <w:rFonts w:ascii="Traditional Arabic" w:hAnsi="Traditional Arabic" w:hint="cs"/>
          <w:sz w:val="27"/>
          <w:rtl/>
        </w:rPr>
        <w:t>ن عقل الإنسان محدود، وغالباً ما يتأث</w:t>
      </w:r>
      <w:r w:rsidR="00D869AF" w:rsidRPr="00904FCB">
        <w:rPr>
          <w:rFonts w:ascii="Traditional Arabic" w:hAnsi="Traditional Arabic" w:hint="cs"/>
          <w:sz w:val="27"/>
          <w:rtl/>
        </w:rPr>
        <w:t>َّ</w:t>
      </w:r>
      <w:r w:rsidRPr="00904FCB">
        <w:rPr>
          <w:rFonts w:ascii="Traditional Arabic" w:hAnsi="Traditional Arabic" w:hint="cs"/>
          <w:sz w:val="27"/>
          <w:rtl/>
        </w:rPr>
        <w:t>ر بأمور من قبيل: الغضب والشهوة والعواطف، فقد أد</w:t>
      </w:r>
      <w:r w:rsidR="00D869AF" w:rsidRPr="00904FCB">
        <w:rPr>
          <w:rFonts w:ascii="Traditional Arabic" w:hAnsi="Traditional Arabic" w:hint="cs"/>
          <w:sz w:val="27"/>
          <w:rtl/>
        </w:rPr>
        <w:t>ّ</w:t>
      </w:r>
      <w:r w:rsidRPr="00904FCB">
        <w:rPr>
          <w:rFonts w:ascii="Traditional Arabic" w:hAnsi="Traditional Arabic" w:hint="cs"/>
          <w:sz w:val="27"/>
          <w:rtl/>
        </w:rPr>
        <w:t xml:space="preserve">ى ذلك إلى ضرورة أن يبعث الله الأنبياء لهداية الناس من جهتين، وهما: </w:t>
      </w:r>
    </w:p>
    <w:p w:rsidR="00F34FB9" w:rsidRPr="00904FCB" w:rsidRDefault="00D869AF" w:rsidP="00AE0123">
      <w:pPr>
        <w:spacing w:line="380" w:lineRule="exact"/>
        <w:ind w:firstLine="561"/>
        <w:rPr>
          <w:rFonts w:ascii="Traditional Arabic" w:hAnsi="Traditional Arabic"/>
          <w:sz w:val="27"/>
          <w:rtl/>
        </w:rPr>
      </w:pPr>
      <w:r w:rsidRPr="00904FCB">
        <w:rPr>
          <w:rFonts w:ascii="Traditional Arabic" w:hAnsi="Traditional Arabic" w:hint="cs"/>
          <w:sz w:val="27"/>
          <w:rtl/>
        </w:rPr>
        <w:t>أ</w:t>
      </w:r>
      <w:r w:rsidR="00F34FB9" w:rsidRPr="00904FCB">
        <w:rPr>
          <w:rFonts w:ascii="Traditional Arabic" w:hAnsi="Traditional Arabic" w:hint="cs"/>
          <w:sz w:val="27"/>
          <w:rtl/>
        </w:rPr>
        <w:t>ـ تعريف الخير والشر</w:t>
      </w:r>
      <w:r w:rsidRPr="00904FCB">
        <w:rPr>
          <w:rFonts w:ascii="Traditional Arabic" w:hAnsi="Traditional Arabic" w:hint="cs"/>
          <w:sz w:val="27"/>
          <w:rtl/>
        </w:rPr>
        <w:t>ّ،</w:t>
      </w:r>
      <w:r w:rsidR="00F34FB9" w:rsidRPr="00904FCB">
        <w:rPr>
          <w:rFonts w:ascii="Traditional Arabic" w:hAnsi="Traditional Arabic" w:hint="cs"/>
          <w:sz w:val="27"/>
          <w:rtl/>
        </w:rPr>
        <w:t xml:space="preserve"> والسعادة والشقاء.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ب ـ إقامة التوازن والاعتدال بين الصفات والغرائز عند عجز العقل.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نتيجة بعثة الرسل قد أفض</w:t>
      </w:r>
      <w:r w:rsidR="00D869AF" w:rsidRPr="00904FCB">
        <w:rPr>
          <w:rFonts w:ascii="Traditional Arabic" w:hAnsi="Traditional Arabic" w:hint="cs"/>
          <w:sz w:val="27"/>
          <w:rtl/>
        </w:rPr>
        <w:t>َ</w:t>
      </w:r>
      <w:r w:rsidRPr="00904FCB">
        <w:rPr>
          <w:rFonts w:ascii="Traditional Arabic" w:hAnsi="Traditional Arabic" w:hint="cs"/>
          <w:sz w:val="27"/>
          <w:rtl/>
        </w:rPr>
        <w:t>ت</w:t>
      </w:r>
      <w:r w:rsidR="00D869AF" w:rsidRPr="00904FCB">
        <w:rPr>
          <w:rFonts w:ascii="Traditional Arabic" w:hAnsi="Traditional Arabic" w:hint="cs"/>
          <w:sz w:val="27"/>
          <w:rtl/>
        </w:rPr>
        <w:t>ْ</w:t>
      </w:r>
      <w:r w:rsidRPr="00904FCB">
        <w:rPr>
          <w:rFonts w:ascii="Traditional Arabic" w:hAnsi="Traditional Arabic" w:hint="cs"/>
          <w:sz w:val="27"/>
          <w:rtl/>
        </w:rPr>
        <w:t xml:space="preserve"> إلى ظهور الأديان السماوية، وكان آخرها وأكملها وأتمّها هو الدين الإسلامي الحنيف.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ولكي لا تزول الحجّة البالغة بعد رحيل رسول الله، ولكي يبقى كتاب الله وسن</w:t>
      </w:r>
      <w:r w:rsidR="00D869AF" w:rsidRPr="00904FCB">
        <w:rPr>
          <w:rFonts w:ascii="Traditional Arabic" w:hAnsi="Traditional Arabic" w:hint="cs"/>
          <w:sz w:val="27"/>
          <w:rtl/>
        </w:rPr>
        <w:t>ّ</w:t>
      </w:r>
      <w:r w:rsidRPr="00904FCB">
        <w:rPr>
          <w:rFonts w:ascii="Traditional Arabic" w:hAnsi="Traditional Arabic" w:hint="cs"/>
          <w:sz w:val="27"/>
          <w:rtl/>
        </w:rPr>
        <w:t>ته بين الأم</w:t>
      </w:r>
      <w:r w:rsidR="00D869AF" w:rsidRPr="00904FCB">
        <w:rPr>
          <w:rFonts w:ascii="Traditional Arabic" w:hAnsi="Traditional Arabic" w:hint="cs"/>
          <w:sz w:val="27"/>
          <w:rtl/>
        </w:rPr>
        <w:t>ّ</w:t>
      </w:r>
      <w:r w:rsidRPr="00904FCB">
        <w:rPr>
          <w:rFonts w:ascii="Traditional Arabic" w:hAnsi="Traditional Arabic" w:hint="cs"/>
          <w:sz w:val="27"/>
          <w:rtl/>
        </w:rPr>
        <w:t xml:space="preserve">ة الإسلامية، فيستنبط منهما العلماء المجتهدون أحكام المسائل والقضايا اليومية. وعليه كان الاجتهاد باب رحمة على العباد، ومن هنا كان باب هذا الاجتهاد ـ من وجهة نظر الإمامية ـ مفتوحاً منذ زمن رسول الله إلى يومنا هذا.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ب</w:t>
      </w:r>
      <w:r w:rsidR="00D869AF" w:rsidRPr="00904FCB">
        <w:rPr>
          <w:rFonts w:ascii="Traditional Arabic" w:hAnsi="Traditional Arabic" w:hint="cs"/>
          <w:sz w:val="27"/>
          <w:rtl/>
        </w:rPr>
        <w:t>َ</w:t>
      </w:r>
      <w:r w:rsidRPr="00904FCB">
        <w:rPr>
          <w:rFonts w:ascii="Traditional Arabic" w:hAnsi="Traditional Arabic" w:hint="cs"/>
          <w:sz w:val="27"/>
          <w:rtl/>
        </w:rPr>
        <w:t>ي</w:t>
      </w:r>
      <w:r w:rsidR="00D869AF" w:rsidRPr="00904FCB">
        <w:rPr>
          <w:rFonts w:ascii="Traditional Arabic" w:hAnsi="Traditional Arabic" w:hint="cs"/>
          <w:sz w:val="27"/>
          <w:rtl/>
        </w:rPr>
        <w:t>ْدَ أن كلاًّ</w:t>
      </w:r>
      <w:r w:rsidRPr="00904FCB">
        <w:rPr>
          <w:rFonts w:ascii="Traditional Arabic" w:hAnsi="Traditional Arabic" w:hint="cs"/>
          <w:sz w:val="27"/>
          <w:rtl/>
        </w:rPr>
        <w:t xml:space="preserve"> من الشيعة والسن</w:t>
      </w:r>
      <w:r w:rsidR="00D869AF" w:rsidRPr="00904FCB">
        <w:rPr>
          <w:rFonts w:ascii="Traditional Arabic" w:hAnsi="Traditional Arabic" w:hint="cs"/>
          <w:sz w:val="27"/>
          <w:rtl/>
        </w:rPr>
        <w:t>ّ</w:t>
      </w:r>
      <w:r w:rsidRPr="00904FCB">
        <w:rPr>
          <w:rFonts w:ascii="Traditional Arabic" w:hAnsi="Traditional Arabic" w:hint="cs"/>
          <w:sz w:val="27"/>
          <w:rtl/>
        </w:rPr>
        <w:t>ة قد جنحوا في مسألة الاجتهاد نحو الإفراط أو التفريط؛ إذ قال السن</w:t>
      </w:r>
      <w:r w:rsidR="00D869AF" w:rsidRPr="00904FCB">
        <w:rPr>
          <w:rFonts w:ascii="Traditional Arabic" w:hAnsi="Traditional Arabic" w:hint="cs"/>
          <w:sz w:val="27"/>
          <w:rtl/>
        </w:rPr>
        <w:t>ّ</w:t>
      </w:r>
      <w:r w:rsidRPr="00904FCB">
        <w:rPr>
          <w:rFonts w:ascii="Traditional Arabic" w:hAnsi="Traditional Arabic" w:hint="cs"/>
          <w:sz w:val="27"/>
          <w:rtl/>
        </w:rPr>
        <w:t>ة بغلق باب الاجتهاد</w:t>
      </w:r>
      <w:r w:rsidR="00D869AF" w:rsidRPr="00904FCB">
        <w:rPr>
          <w:rFonts w:ascii="Traditional Arabic" w:hAnsi="Traditional Arabic" w:hint="cs"/>
          <w:sz w:val="27"/>
          <w:rtl/>
        </w:rPr>
        <w:t>،</w:t>
      </w:r>
      <w:r w:rsidRPr="00904FCB">
        <w:rPr>
          <w:rFonts w:ascii="Traditional Arabic" w:hAnsi="Traditional Arabic" w:hint="cs"/>
          <w:sz w:val="27"/>
          <w:rtl/>
        </w:rPr>
        <w:t xml:space="preserve"> مكتفين بالمذاهب الأربعة المعروفة، في حين أن الشيعة فتحوا باب الاجتهاد على مصراع</w:t>
      </w:r>
      <w:r w:rsidR="00D869AF" w:rsidRPr="00904FCB">
        <w:rPr>
          <w:rFonts w:ascii="Traditional Arabic" w:hAnsi="Traditional Arabic" w:hint="cs"/>
          <w:sz w:val="27"/>
          <w:rtl/>
        </w:rPr>
        <w:t>َ</w:t>
      </w:r>
      <w:r w:rsidRPr="00904FCB">
        <w:rPr>
          <w:rFonts w:ascii="Traditional Arabic" w:hAnsi="Traditional Arabic" w:hint="cs"/>
          <w:sz w:val="27"/>
          <w:rtl/>
        </w:rPr>
        <w:t>ي</w:t>
      </w:r>
      <w:r w:rsidR="00D869AF" w:rsidRPr="00904FCB">
        <w:rPr>
          <w:rFonts w:ascii="Traditional Arabic" w:hAnsi="Traditional Arabic" w:hint="cs"/>
          <w:sz w:val="27"/>
          <w:rtl/>
        </w:rPr>
        <w:t>ْ</w:t>
      </w:r>
      <w:r w:rsidRPr="00904FCB">
        <w:rPr>
          <w:rFonts w:ascii="Traditional Arabic" w:hAnsi="Traditional Arabic" w:hint="cs"/>
          <w:sz w:val="27"/>
          <w:rtl/>
        </w:rPr>
        <w:t>ه</w:t>
      </w:r>
      <w:r w:rsidRPr="00904FCB">
        <w:rPr>
          <w:rFonts w:ascii="Traditional Arabic" w:hAnsi="Traditional Arabic"/>
          <w:sz w:val="27"/>
          <w:vertAlign w:val="superscript"/>
          <w:rtl/>
        </w:rPr>
        <w:t>(</w:t>
      </w:r>
      <w:r w:rsidRPr="00904FCB">
        <w:rPr>
          <w:rStyle w:val="ac"/>
          <w:rFonts w:ascii="Traditional Arabic" w:hAnsi="Traditional Arabic"/>
          <w:sz w:val="27"/>
          <w:rtl/>
        </w:rPr>
        <w:endnoteReference w:id="598"/>
      </w:r>
      <w:r w:rsidRPr="00904FCB">
        <w:rPr>
          <w:rFonts w:ascii="Traditional Arabic" w:hAnsi="Traditional Arabic"/>
          <w:sz w:val="27"/>
          <w:vertAlign w:val="superscript"/>
          <w:rtl/>
        </w:rPr>
        <w:t>)</w:t>
      </w:r>
      <w:r w:rsidR="00D869AF" w:rsidRPr="00904FCB">
        <w:rPr>
          <w:rFonts w:ascii="Traditional Arabic" w:hAnsi="Traditional Arabic" w:hint="cs"/>
          <w:sz w:val="27"/>
          <w:rtl/>
        </w:rPr>
        <w:t>،</w:t>
      </w:r>
      <w:r w:rsidRPr="00904FCB">
        <w:rPr>
          <w:rFonts w:ascii="Traditional Arabic" w:hAnsi="Traditional Arabic" w:hint="cs"/>
          <w:sz w:val="27"/>
          <w:rtl/>
        </w:rPr>
        <w:t xml:space="preserve"> بحيث أباح حت</w:t>
      </w:r>
      <w:r w:rsidR="00D869AF" w:rsidRPr="00904FCB">
        <w:rPr>
          <w:rFonts w:ascii="Traditional Arabic" w:hAnsi="Traditional Arabic" w:hint="cs"/>
          <w:sz w:val="27"/>
          <w:rtl/>
        </w:rPr>
        <w:t>ّى الجهلاء وغير الكَفُؤ</w:t>
      </w:r>
      <w:r w:rsidRPr="00904FCB">
        <w:rPr>
          <w:rFonts w:ascii="Traditional Arabic" w:hAnsi="Traditional Arabic" w:hint="cs"/>
          <w:sz w:val="27"/>
          <w:rtl/>
        </w:rPr>
        <w:t>ين لأنفسهم اد</w:t>
      </w:r>
      <w:r w:rsidR="00D869AF" w:rsidRPr="00904FCB">
        <w:rPr>
          <w:rFonts w:ascii="Traditional Arabic" w:hAnsi="Traditional Arabic" w:hint="cs"/>
          <w:sz w:val="27"/>
          <w:rtl/>
        </w:rPr>
        <w:t>ّ</w:t>
      </w:r>
      <w:r w:rsidRPr="00904FCB">
        <w:rPr>
          <w:rFonts w:ascii="Traditional Arabic" w:hAnsi="Traditional Arabic" w:hint="cs"/>
          <w:sz w:val="27"/>
          <w:rtl/>
        </w:rPr>
        <w:t>عاء الاجتهاد، فأدّى ذلك إلى ضرر</w:t>
      </w:r>
      <w:r w:rsidR="00D869AF" w:rsidRPr="00904FCB">
        <w:rPr>
          <w:rFonts w:ascii="Traditional Arabic" w:hAnsi="Traditional Arabic" w:hint="cs"/>
          <w:sz w:val="27"/>
          <w:rtl/>
        </w:rPr>
        <w:t>ٍ</w:t>
      </w:r>
      <w:r w:rsidRPr="00904FCB">
        <w:rPr>
          <w:rFonts w:ascii="Traditional Arabic" w:hAnsi="Traditional Arabic" w:hint="cs"/>
          <w:sz w:val="27"/>
          <w:rtl/>
        </w:rPr>
        <w:t xml:space="preserve"> كبير على الإسلام والمسلمين. </w:t>
      </w:r>
    </w:p>
    <w:p w:rsidR="00F34FB9" w:rsidRPr="00904FCB" w:rsidRDefault="00D869AF" w:rsidP="000F7B48">
      <w:pPr>
        <w:spacing w:line="410" w:lineRule="exact"/>
        <w:rPr>
          <w:rFonts w:ascii="Traditional Arabic" w:hAnsi="Traditional Arabic"/>
          <w:sz w:val="27"/>
          <w:rtl/>
        </w:rPr>
      </w:pPr>
      <w:r w:rsidRPr="00904FCB">
        <w:rPr>
          <w:rFonts w:ascii="Traditional Arabic" w:hAnsi="Traditional Arabic" w:hint="cs"/>
          <w:sz w:val="27"/>
          <w:rtl/>
        </w:rPr>
        <w:t>و</w:t>
      </w:r>
      <w:r w:rsidR="00F34FB9" w:rsidRPr="00904FCB">
        <w:rPr>
          <w:rFonts w:ascii="Traditional Arabic" w:hAnsi="Traditional Arabic" w:hint="cs"/>
          <w:sz w:val="27"/>
          <w:rtl/>
        </w:rPr>
        <w:t xml:space="preserve">كما تلاحظون فإن </w:t>
      </w:r>
      <w:r w:rsidRPr="00904FCB">
        <w:rPr>
          <w:rFonts w:ascii="Traditional Arabic" w:hAnsi="Traditional Arabic" w:hint="cs"/>
          <w:sz w:val="27"/>
          <w:rtl/>
        </w:rPr>
        <w:t>كاشف الغطاء</w:t>
      </w:r>
      <w:r w:rsidR="00F34FB9" w:rsidRPr="00904FCB">
        <w:rPr>
          <w:rFonts w:ascii="Traditional Arabic" w:hAnsi="Traditional Arabic" w:hint="cs"/>
          <w:sz w:val="27"/>
          <w:rtl/>
        </w:rPr>
        <w:t xml:space="preserve"> ينتقد هذا الإفراط والتفريط في فتح وغلق باب الاجتهاد بشدّة</w:t>
      </w:r>
      <w:r w:rsidRPr="00904FCB">
        <w:rPr>
          <w:rFonts w:ascii="Traditional Arabic" w:hAnsi="Traditional Arabic" w:hint="cs"/>
          <w:sz w:val="27"/>
          <w:rtl/>
        </w:rPr>
        <w:t>ٍ</w:t>
      </w:r>
      <w:r w:rsidR="00F34FB9" w:rsidRPr="00904FCB">
        <w:rPr>
          <w:rFonts w:ascii="Traditional Arabic" w:hAnsi="Traditional Arabic" w:hint="cs"/>
          <w:sz w:val="27"/>
          <w:rtl/>
        </w:rPr>
        <w:t>، ويراه مضرّاً بالإسلام والمسلمين</w:t>
      </w:r>
      <w:r w:rsidRPr="00904FCB">
        <w:rPr>
          <w:rFonts w:ascii="Traditional Arabic" w:hAnsi="Traditional Arabic" w:hint="cs"/>
          <w:sz w:val="27"/>
          <w:rtl/>
        </w:rPr>
        <w:t>.</w:t>
      </w:r>
      <w:r w:rsidR="00F34FB9" w:rsidRPr="00904FCB">
        <w:rPr>
          <w:rFonts w:ascii="Traditional Arabic" w:hAnsi="Traditional Arabic" w:hint="cs"/>
          <w:sz w:val="27"/>
          <w:rtl/>
        </w:rPr>
        <w:t xml:space="preserve"> وهو انتقاد</w:t>
      </w:r>
      <w:r w:rsidRPr="00904FCB">
        <w:rPr>
          <w:rFonts w:ascii="Traditional Arabic" w:hAnsi="Traditional Arabic" w:hint="cs"/>
          <w:sz w:val="27"/>
          <w:rtl/>
        </w:rPr>
        <w:t>ٌ</w:t>
      </w:r>
      <w:r w:rsidR="00F34FB9" w:rsidRPr="00904FCB">
        <w:rPr>
          <w:rFonts w:ascii="Traditional Arabic" w:hAnsi="Traditional Arabic" w:hint="cs"/>
          <w:sz w:val="27"/>
          <w:rtl/>
        </w:rPr>
        <w:t xml:space="preserve"> في محل</w:t>
      </w:r>
      <w:r w:rsidRPr="00904FCB">
        <w:rPr>
          <w:rFonts w:ascii="Traditional Arabic" w:hAnsi="Traditional Arabic" w:hint="cs"/>
          <w:sz w:val="27"/>
          <w:rtl/>
        </w:rPr>
        <w:t>ِّ</w:t>
      </w:r>
      <w:r w:rsidR="00F34FB9" w:rsidRPr="00904FCB">
        <w:rPr>
          <w:rFonts w:ascii="Traditional Arabic" w:hAnsi="Traditional Arabic" w:hint="cs"/>
          <w:sz w:val="27"/>
          <w:rtl/>
        </w:rPr>
        <w:t>ه، حيث نشاهد التبعات السي</w:t>
      </w:r>
      <w:r w:rsidRPr="00904FCB">
        <w:rPr>
          <w:rFonts w:ascii="Traditional Arabic" w:hAnsi="Traditional Arabic" w:hint="cs"/>
          <w:sz w:val="27"/>
          <w:rtl/>
        </w:rPr>
        <w:t>ِّ</w:t>
      </w:r>
      <w:r w:rsidR="00F34FB9" w:rsidRPr="00904FCB">
        <w:rPr>
          <w:rFonts w:ascii="Traditional Arabic" w:hAnsi="Traditional Arabic" w:hint="cs"/>
          <w:sz w:val="27"/>
          <w:rtl/>
        </w:rPr>
        <w:t>ئة لهذا الإفراط والتفريط واضحاً وجلي</w:t>
      </w:r>
      <w:r w:rsidRPr="00904FCB">
        <w:rPr>
          <w:rFonts w:ascii="Traditional Arabic" w:hAnsi="Traditional Arabic" w:hint="cs"/>
          <w:sz w:val="27"/>
          <w:rtl/>
        </w:rPr>
        <w:t>ّ</w:t>
      </w:r>
      <w:r w:rsidR="00F34FB9" w:rsidRPr="00904FCB">
        <w:rPr>
          <w:rFonts w:ascii="Traditional Arabic" w:hAnsi="Traditional Arabic" w:hint="cs"/>
          <w:sz w:val="27"/>
          <w:rtl/>
        </w:rPr>
        <w:t xml:space="preserve">اً في المجتمعات الإسلامية. </w:t>
      </w:r>
    </w:p>
    <w:p w:rsidR="00F34FB9" w:rsidRPr="00904FCB" w:rsidRDefault="00F34FB9" w:rsidP="007A21AA">
      <w:pPr>
        <w:spacing w:line="400" w:lineRule="exact"/>
        <w:rPr>
          <w:rFonts w:ascii="Traditional Arabic" w:hAnsi="Traditional Arabic"/>
          <w:sz w:val="27"/>
          <w:rtl/>
        </w:rPr>
      </w:pPr>
    </w:p>
    <w:p w:rsidR="00F34FB9" w:rsidRPr="00904FCB" w:rsidRDefault="00F34FB9" w:rsidP="007A21AA">
      <w:pPr>
        <w:pStyle w:val="31"/>
        <w:spacing w:line="400" w:lineRule="exact"/>
        <w:rPr>
          <w:color w:val="auto"/>
          <w:rtl/>
        </w:rPr>
      </w:pPr>
      <w:r w:rsidRPr="00904FCB">
        <w:rPr>
          <w:rFonts w:hint="cs"/>
          <w:color w:val="auto"/>
          <w:rtl/>
        </w:rPr>
        <w:t>نظرةٌ جديدة إلى أغراض الأحكام وجامعية الإسلام</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إن من إبداعات </w:t>
      </w:r>
      <w:r w:rsidR="00D869AF" w:rsidRPr="00904FCB">
        <w:rPr>
          <w:rFonts w:ascii="Traditional Arabic" w:hAnsi="Traditional Arabic" w:hint="cs"/>
          <w:sz w:val="27"/>
          <w:rtl/>
        </w:rPr>
        <w:t>كاشف الغطاء</w:t>
      </w:r>
      <w:r w:rsidRPr="00904FCB">
        <w:rPr>
          <w:rFonts w:ascii="Traditional Arabic" w:hAnsi="Traditional Arabic" w:hint="cs"/>
          <w:sz w:val="27"/>
          <w:rtl/>
        </w:rPr>
        <w:t xml:space="preserve"> بحثه في علل الأحكام وأهدافها</w:t>
      </w:r>
      <w:r w:rsidR="00D869AF" w:rsidRPr="00904FCB">
        <w:rPr>
          <w:rFonts w:ascii="Traditional Arabic" w:hAnsi="Traditional Arabic" w:hint="cs"/>
          <w:sz w:val="27"/>
          <w:rtl/>
        </w:rPr>
        <w:t>.</w:t>
      </w:r>
      <w:r w:rsidRPr="00904FCB">
        <w:rPr>
          <w:rFonts w:ascii="Traditional Arabic" w:hAnsi="Traditional Arabic" w:hint="cs"/>
          <w:sz w:val="27"/>
          <w:rtl/>
        </w:rPr>
        <w:t xml:space="preserve"> وقد صنف في ذلك الكتب، وله كلمات</w:t>
      </w:r>
      <w:r w:rsidR="00D869AF" w:rsidRPr="00904FCB">
        <w:rPr>
          <w:rFonts w:ascii="Traditional Arabic" w:hAnsi="Traditional Arabic" w:hint="cs"/>
          <w:sz w:val="27"/>
          <w:rtl/>
        </w:rPr>
        <w:t>ٌ</w:t>
      </w:r>
      <w:r w:rsidRPr="00904FCB">
        <w:rPr>
          <w:rFonts w:ascii="Traditional Arabic" w:hAnsi="Traditional Arabic" w:hint="cs"/>
          <w:sz w:val="27"/>
          <w:rtl/>
        </w:rPr>
        <w:t xml:space="preserve"> رائعة </w:t>
      </w:r>
      <w:r w:rsidR="00D869AF" w:rsidRPr="00904FCB">
        <w:rPr>
          <w:rFonts w:ascii="Traditional Arabic" w:hAnsi="Traditional Arabic" w:hint="cs"/>
          <w:sz w:val="27"/>
          <w:rtl/>
        </w:rPr>
        <w:t xml:space="preserve">في </w:t>
      </w:r>
      <w:r w:rsidRPr="00904FCB">
        <w:rPr>
          <w:rFonts w:ascii="Traditional Arabic" w:hAnsi="Traditional Arabic" w:hint="cs"/>
          <w:sz w:val="27"/>
          <w:rtl/>
        </w:rPr>
        <w:t>هذا الشأن</w:t>
      </w:r>
      <w:r w:rsidR="00D869AF" w:rsidRPr="00904FCB">
        <w:rPr>
          <w:rFonts w:ascii="Traditional Arabic" w:hAnsi="Traditional Arabic" w:hint="cs"/>
          <w:sz w:val="27"/>
          <w:rtl/>
        </w:rPr>
        <w:t>،</w:t>
      </w:r>
      <w:r w:rsidRPr="00904FCB">
        <w:rPr>
          <w:rFonts w:ascii="Traditional Arabic" w:hAnsi="Traditional Arabic" w:hint="cs"/>
          <w:sz w:val="27"/>
          <w:rtl/>
        </w:rPr>
        <w:t xml:space="preserve"> في مقد</w:t>
      </w:r>
      <w:r w:rsidR="00D869AF" w:rsidRPr="00904FCB">
        <w:rPr>
          <w:rFonts w:ascii="Traditional Arabic" w:hAnsi="Traditional Arabic" w:hint="cs"/>
          <w:sz w:val="27"/>
          <w:rtl/>
        </w:rPr>
        <w:t>ّ</w:t>
      </w:r>
      <w:r w:rsidRPr="00904FCB">
        <w:rPr>
          <w:rFonts w:ascii="Traditional Arabic" w:hAnsi="Traditional Arabic" w:hint="cs"/>
          <w:sz w:val="27"/>
          <w:rtl/>
        </w:rPr>
        <w:t xml:space="preserve">مة كتاب </w:t>
      </w:r>
      <w:r w:rsidRPr="00904FCB">
        <w:rPr>
          <w:rFonts w:hint="eastAsia"/>
          <w:sz w:val="27"/>
          <w:rtl/>
        </w:rPr>
        <w:t>«</w:t>
      </w:r>
      <w:r w:rsidRPr="00904FCB">
        <w:rPr>
          <w:rFonts w:ascii="Traditional Arabic" w:hAnsi="Traditional Arabic" w:hint="cs"/>
          <w:sz w:val="27"/>
          <w:rtl/>
        </w:rPr>
        <w:t>تحرير المجلة</w:t>
      </w:r>
      <w:r w:rsidRPr="00904FCB">
        <w:rPr>
          <w:rFonts w:hint="eastAsia"/>
          <w:sz w:val="27"/>
          <w:rtl/>
        </w:rPr>
        <w:t>»</w:t>
      </w:r>
      <w:r w:rsidRPr="00904FCB">
        <w:rPr>
          <w:rFonts w:ascii="Traditional Arabic" w:hAnsi="Traditional Arabic" w:hint="cs"/>
          <w:sz w:val="27"/>
          <w:rtl/>
        </w:rPr>
        <w:t xml:space="preserve"> أيضاً</w:t>
      </w:r>
      <w:r w:rsidR="00D869AF" w:rsidRPr="00904FCB">
        <w:rPr>
          <w:rFonts w:ascii="Traditional Arabic" w:hAnsi="Traditional Arabic" w:hint="cs"/>
          <w:sz w:val="27"/>
          <w:rtl/>
        </w:rPr>
        <w:t>.</w:t>
      </w:r>
      <w:r w:rsidRPr="00904FCB">
        <w:rPr>
          <w:rFonts w:ascii="Traditional Arabic" w:hAnsi="Traditional Arabic" w:hint="cs"/>
          <w:sz w:val="27"/>
          <w:rtl/>
        </w:rPr>
        <w:t xml:space="preserve"> ومن ذلك: </w:t>
      </w:r>
    </w:p>
    <w:p w:rsidR="00F34FB9" w:rsidRPr="00904FCB" w:rsidRDefault="00F34FB9" w:rsidP="007A21AA">
      <w:pPr>
        <w:spacing w:line="400" w:lineRule="exact"/>
        <w:rPr>
          <w:rFonts w:ascii="Traditional Arabic" w:hAnsi="Traditional Arabic"/>
          <w:sz w:val="27"/>
          <w:rtl/>
        </w:rPr>
      </w:pPr>
      <w:r w:rsidRPr="0011006D">
        <w:rPr>
          <w:rFonts w:ascii="Traditional Arabic" w:hAnsi="Traditional Arabic" w:hint="cs"/>
          <w:b/>
          <w:bCs/>
          <w:sz w:val="27"/>
          <w:rtl/>
        </w:rPr>
        <w:t>1ـ</w:t>
      </w:r>
      <w:r w:rsidRPr="00AE0123">
        <w:rPr>
          <w:rFonts w:ascii="Traditional Arabic" w:hAnsi="Traditional Arabic" w:hint="cs"/>
          <w:b/>
          <w:bCs/>
          <w:sz w:val="27"/>
          <w:rtl/>
        </w:rPr>
        <w:t xml:space="preserve"> البيان العام</w:t>
      </w:r>
      <w:r w:rsidR="00D869AF" w:rsidRPr="00AE0123">
        <w:rPr>
          <w:rFonts w:ascii="Traditional Arabic" w:hAnsi="Traditional Arabic" w:hint="cs"/>
          <w:b/>
          <w:bCs/>
          <w:sz w:val="27"/>
          <w:rtl/>
        </w:rPr>
        <w:t>ّ</w:t>
      </w:r>
      <w:r w:rsidRPr="00904FCB">
        <w:rPr>
          <w:rFonts w:ascii="Traditional Arabic" w:hAnsi="Traditional Arabic" w:hint="cs"/>
          <w:sz w:val="27"/>
          <w:rtl/>
        </w:rPr>
        <w:t xml:space="preserve">: وقد رأى في هذا البيان أن غرض تشريع الأحكام الفرعية </w:t>
      </w:r>
      <w:r w:rsidRPr="00904FCB">
        <w:rPr>
          <w:rFonts w:ascii="Traditional Arabic" w:hAnsi="Traditional Arabic" w:hint="cs"/>
          <w:sz w:val="27"/>
          <w:rtl/>
        </w:rPr>
        <w:lastRenderedPageBreak/>
        <w:t xml:space="preserve">وفلسفتها في ثلاثة أمور على النحو </w:t>
      </w:r>
      <w:r w:rsidR="003A23B6" w:rsidRPr="00904FCB">
        <w:rPr>
          <w:rFonts w:ascii="Traditional Arabic" w:hAnsi="Traditional Arabic" w:hint="cs"/>
          <w:sz w:val="27"/>
          <w:rtl/>
        </w:rPr>
        <w:t>التالي</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أـ الحفاظ على نظام المجتمع البشري.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ب ـ توثيق الصلة بين العبد وخالقه.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ج ـ إقامة جسور التواصل والارتباط بين الإنسان وإخوته في الإنسانية. </w:t>
      </w:r>
    </w:p>
    <w:p w:rsidR="00F34FB9" w:rsidRPr="00904FCB" w:rsidRDefault="00F34FB9" w:rsidP="007A21AA">
      <w:pPr>
        <w:spacing w:line="400" w:lineRule="exact"/>
        <w:rPr>
          <w:rFonts w:ascii="Traditional Arabic" w:hAnsi="Traditional Arabic"/>
          <w:sz w:val="27"/>
          <w:rtl/>
        </w:rPr>
      </w:pPr>
      <w:r w:rsidRPr="0011006D">
        <w:rPr>
          <w:rFonts w:ascii="Traditional Arabic" w:hAnsi="Traditional Arabic" w:hint="cs"/>
          <w:b/>
          <w:bCs/>
          <w:sz w:val="27"/>
          <w:rtl/>
        </w:rPr>
        <w:t>2ـ</w:t>
      </w:r>
      <w:r w:rsidRPr="000D503B">
        <w:rPr>
          <w:rFonts w:ascii="Traditional Arabic" w:hAnsi="Traditional Arabic" w:hint="cs"/>
          <w:b/>
          <w:bCs/>
          <w:sz w:val="27"/>
          <w:rtl/>
        </w:rPr>
        <w:t xml:space="preserve"> البيان التفصيلي</w:t>
      </w:r>
      <w:r w:rsidRPr="00904FCB">
        <w:rPr>
          <w:rFonts w:ascii="Traditional Arabic" w:hAnsi="Traditional Arabic" w:hint="cs"/>
          <w:sz w:val="27"/>
          <w:rtl/>
        </w:rPr>
        <w:t>: وفي هذا البيان يتمّ تناول أغراض تشريع الأحكام الفرعية بتفصيل</w:t>
      </w:r>
      <w:r w:rsidR="003A23B6" w:rsidRPr="00904FCB">
        <w:rPr>
          <w:rFonts w:ascii="Traditional Arabic" w:hAnsi="Traditional Arabic" w:hint="cs"/>
          <w:sz w:val="27"/>
          <w:rtl/>
        </w:rPr>
        <w:t>ٍ</w:t>
      </w:r>
      <w:r w:rsidRPr="00904FCB">
        <w:rPr>
          <w:rFonts w:ascii="Traditional Arabic" w:hAnsi="Traditional Arabic" w:hint="cs"/>
          <w:sz w:val="27"/>
          <w:rtl/>
        </w:rPr>
        <w:t xml:space="preserve"> أكبر</w:t>
      </w:r>
      <w:r w:rsidR="003A23B6" w:rsidRPr="00904FCB">
        <w:rPr>
          <w:rFonts w:ascii="Traditional Arabic" w:hAnsi="Traditional Arabic" w:hint="cs"/>
          <w:sz w:val="27"/>
          <w:rtl/>
        </w:rPr>
        <w:t>.</w:t>
      </w:r>
      <w:r w:rsidRPr="00904FCB">
        <w:rPr>
          <w:rFonts w:ascii="Traditional Arabic" w:hAnsi="Traditional Arabic" w:hint="cs"/>
          <w:sz w:val="27"/>
          <w:rtl/>
        </w:rPr>
        <w:t xml:space="preserve"> </w:t>
      </w:r>
      <w:r w:rsidR="003A23B6" w:rsidRPr="00904FCB">
        <w:rPr>
          <w:rFonts w:ascii="Traditional Arabic" w:hAnsi="Traditional Arabic" w:hint="cs"/>
          <w:sz w:val="27"/>
          <w:rtl/>
        </w:rPr>
        <w:t>و</w:t>
      </w:r>
      <w:r w:rsidRPr="00904FCB">
        <w:rPr>
          <w:rFonts w:ascii="Traditional Arabic" w:hAnsi="Traditional Arabic" w:hint="cs"/>
          <w:sz w:val="27"/>
          <w:rtl/>
        </w:rPr>
        <w:t xml:space="preserve">من باب المثال: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ـ تشريع العبادات: تنوير القلوب</w:t>
      </w:r>
      <w:r w:rsidR="003A23B6" w:rsidRPr="00904FCB">
        <w:rPr>
          <w:rFonts w:ascii="Traditional Arabic" w:hAnsi="Traditional Arabic" w:hint="cs"/>
          <w:sz w:val="27"/>
          <w:rtl/>
        </w:rPr>
        <w:t>،</w:t>
      </w:r>
      <w:r w:rsidRPr="00904FCB">
        <w:rPr>
          <w:rFonts w:ascii="Traditional Arabic" w:hAnsi="Traditional Arabic" w:hint="cs"/>
          <w:sz w:val="27"/>
          <w:rtl/>
        </w:rPr>
        <w:t xml:space="preserve"> وتربية الروح</w:t>
      </w:r>
      <w:r w:rsidR="003A23B6" w:rsidRPr="00904FCB">
        <w:rPr>
          <w:rFonts w:ascii="Traditional Arabic" w:hAnsi="Traditional Arabic" w:hint="cs"/>
          <w:sz w:val="27"/>
          <w:rtl/>
        </w:rPr>
        <w:t>،</w:t>
      </w:r>
      <w:r w:rsidRPr="00904FCB">
        <w:rPr>
          <w:rFonts w:ascii="Traditional Arabic" w:hAnsi="Traditional Arabic" w:hint="cs"/>
          <w:sz w:val="27"/>
          <w:rtl/>
        </w:rPr>
        <w:t xml:space="preserve"> وتهذيب الأخلاق</w:t>
      </w:r>
      <w:r w:rsidR="003A23B6" w:rsidRPr="00904FCB">
        <w:rPr>
          <w:rFonts w:ascii="Traditional Arabic" w:hAnsi="Traditional Arabic" w:hint="cs"/>
          <w:sz w:val="27"/>
          <w:rtl/>
        </w:rPr>
        <w:t>،</w:t>
      </w:r>
      <w:r w:rsidRPr="00904FCB">
        <w:rPr>
          <w:rFonts w:ascii="Traditional Arabic" w:hAnsi="Traditional Arabic" w:hint="cs"/>
          <w:sz w:val="27"/>
          <w:rtl/>
        </w:rPr>
        <w:t xml:space="preserve"> وترفّ</w:t>
      </w:r>
      <w:r w:rsidR="003A23B6" w:rsidRPr="00904FCB">
        <w:rPr>
          <w:rFonts w:ascii="Traditional Arabic" w:hAnsi="Traditional Arabic" w:hint="cs"/>
          <w:sz w:val="27"/>
          <w:rtl/>
        </w:rPr>
        <w:t>ُ</w:t>
      </w:r>
      <w:r w:rsidRPr="00904FCB">
        <w:rPr>
          <w:rFonts w:ascii="Traditional Arabic" w:hAnsi="Traditional Arabic" w:hint="cs"/>
          <w:sz w:val="27"/>
          <w:rtl/>
        </w:rPr>
        <w:t>ع الإنسان عن الصفات الحيواني</w:t>
      </w:r>
      <w:r w:rsidR="003A23B6" w:rsidRPr="00904FCB">
        <w:rPr>
          <w:rFonts w:ascii="Traditional Arabic" w:hAnsi="Traditional Arabic" w:hint="cs"/>
          <w:sz w:val="27"/>
          <w:rtl/>
        </w:rPr>
        <w:t>ّ</w:t>
      </w:r>
      <w:r w:rsidRPr="00904FCB">
        <w:rPr>
          <w:rFonts w:ascii="Traditional Arabic" w:hAnsi="Traditional Arabic" w:hint="cs"/>
          <w:sz w:val="27"/>
          <w:rtl/>
        </w:rPr>
        <w:t xml:space="preserve">ة، وبلوغ أعلى درجات سلّم الإنسانية.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ـ تشريع المعاملات: الحفاظ على النظام.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ـ تشريع الحدود والقصاص والديات: الحفاظ على النفوس.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ـ تشريع الجهاد: الحفاظ على الدين.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ـ تشريع حرمة المسكرات: المحافظة على العقل.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ـ تشريع حرمة الزنا واللواط وما إلى ذلك من الموبقات: حفظ الأنساب.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ـ تشريع حرمة الغصب والسرقة وقطع يد السارق: حفظ الأموال.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ـ تشريع حرمة الغيبة والقذف والبهتان: حفظ الأعراض.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ـ تشريع القضاء: قطع الخصومات والنزاعات.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هذه الموارد تمث</w:t>
      </w:r>
      <w:r w:rsidR="003A23B6" w:rsidRPr="00904FCB">
        <w:rPr>
          <w:rFonts w:ascii="Traditional Arabic" w:hAnsi="Traditional Arabic" w:hint="cs"/>
          <w:sz w:val="27"/>
          <w:rtl/>
        </w:rPr>
        <w:t>ِّ</w:t>
      </w:r>
      <w:r w:rsidRPr="00904FCB">
        <w:rPr>
          <w:rFonts w:ascii="Traditional Arabic" w:hAnsi="Traditional Arabic" w:hint="cs"/>
          <w:sz w:val="27"/>
          <w:rtl/>
        </w:rPr>
        <w:t>ل جانباً صغيراً من أحكام شريعة الإسلام وفلسفة التشريع، وأمثلة</w:t>
      </w:r>
      <w:r w:rsidR="003A23B6" w:rsidRPr="00904FCB">
        <w:rPr>
          <w:rFonts w:ascii="Traditional Arabic" w:hAnsi="Traditional Arabic" w:hint="cs"/>
          <w:sz w:val="27"/>
          <w:rtl/>
        </w:rPr>
        <w:t>ً</w:t>
      </w:r>
      <w:r w:rsidRPr="00904FCB">
        <w:rPr>
          <w:rFonts w:ascii="Traditional Arabic" w:hAnsi="Traditional Arabic" w:hint="cs"/>
          <w:sz w:val="27"/>
          <w:rtl/>
        </w:rPr>
        <w:t xml:space="preserve"> عن أسرار وحكم الدين.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ثمّ قال: هل يمكن لك أن تعثر على دين</w:t>
      </w:r>
      <w:r w:rsidR="003A23B6" w:rsidRPr="00904FCB">
        <w:rPr>
          <w:rFonts w:ascii="Traditional Arabic" w:hAnsi="Traditional Arabic" w:hint="cs"/>
          <w:sz w:val="27"/>
          <w:rtl/>
        </w:rPr>
        <w:t>ٍ</w:t>
      </w:r>
      <w:r w:rsidRPr="00904FCB">
        <w:rPr>
          <w:rFonts w:ascii="Traditional Arabic" w:hAnsi="Traditional Arabic" w:hint="cs"/>
          <w:sz w:val="27"/>
          <w:rtl/>
        </w:rPr>
        <w:t xml:space="preserve"> أكثر جامعية من الإسلام في الحفاظ على مصالح المجتمع والفرد</w:t>
      </w:r>
      <w:r w:rsidR="000D503B">
        <w:rPr>
          <w:rFonts w:ascii="Traditional Arabic" w:hAnsi="Traditional Arabic" w:hint="cs"/>
          <w:sz w:val="27"/>
          <w:rtl/>
        </w:rPr>
        <w:t>،</w:t>
      </w:r>
      <w:r w:rsidRPr="00904FCB">
        <w:rPr>
          <w:rFonts w:ascii="Traditional Arabic" w:hAnsi="Traditional Arabic" w:hint="cs"/>
          <w:sz w:val="27"/>
          <w:rtl/>
        </w:rPr>
        <w:t xml:space="preserve"> من خلال جعل الأحكام وتشريعها؟! </w:t>
      </w:r>
    </w:p>
    <w:p w:rsidR="00F34FB9" w:rsidRPr="00904FCB" w:rsidRDefault="00F34FB9" w:rsidP="007A21AA">
      <w:pPr>
        <w:spacing w:line="400" w:lineRule="exact"/>
        <w:rPr>
          <w:rFonts w:ascii="Traditional Arabic" w:hAnsi="Traditional Arabic"/>
          <w:sz w:val="27"/>
          <w:rtl/>
        </w:rPr>
      </w:pPr>
    </w:p>
    <w:p w:rsidR="00F34FB9" w:rsidRPr="00904FCB" w:rsidRDefault="00F34FB9" w:rsidP="007A21AA">
      <w:pPr>
        <w:pStyle w:val="31"/>
        <w:spacing w:line="400" w:lineRule="exact"/>
        <w:rPr>
          <w:color w:val="auto"/>
          <w:rtl/>
        </w:rPr>
      </w:pPr>
      <w:r w:rsidRPr="00904FCB">
        <w:rPr>
          <w:rFonts w:hint="cs"/>
          <w:color w:val="auto"/>
          <w:rtl/>
        </w:rPr>
        <w:t>تبويب أحكام الفقه برؤية</w:t>
      </w:r>
      <w:r w:rsidR="003A23B6" w:rsidRPr="00904FCB">
        <w:rPr>
          <w:rFonts w:hint="cs"/>
          <w:color w:val="auto"/>
          <w:rtl/>
        </w:rPr>
        <w:t>ٍ</w:t>
      </w:r>
      <w:r w:rsidRPr="00904FCB">
        <w:rPr>
          <w:rFonts w:hint="cs"/>
          <w:color w:val="auto"/>
          <w:rtl/>
        </w:rPr>
        <w:t xml:space="preserve"> جديدة</w:t>
      </w:r>
    </w:p>
    <w:p w:rsidR="003A23B6"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إن للفقهاء آراء مختلفة بشأن هندسة الفقه وهيكلته وبنيته. وقد قال </w:t>
      </w:r>
      <w:r w:rsidR="003A23B6" w:rsidRPr="00904FCB">
        <w:rPr>
          <w:rFonts w:ascii="Traditional Arabic" w:hAnsi="Traditional Arabic" w:hint="cs"/>
          <w:sz w:val="27"/>
          <w:rtl/>
        </w:rPr>
        <w:t>الشيخ كاشف الغطاء</w:t>
      </w:r>
      <w:r w:rsidRPr="00904FCB">
        <w:rPr>
          <w:rFonts w:ascii="Traditional Arabic" w:hAnsi="Traditional Arabic" w:hint="cs"/>
          <w:sz w:val="27"/>
          <w:rtl/>
        </w:rPr>
        <w:t xml:space="preserve"> في هذا الشأن: </w:t>
      </w:r>
      <w:r w:rsidR="003A23B6" w:rsidRPr="00904FCB">
        <w:rPr>
          <w:rFonts w:hint="eastAsia"/>
          <w:sz w:val="27"/>
          <w:rtl/>
        </w:rPr>
        <w:t>«</w:t>
      </w:r>
      <w:r w:rsidRPr="00904FCB">
        <w:rPr>
          <w:rFonts w:ascii="Traditional Arabic" w:hAnsi="Traditional Arabic" w:hint="cs"/>
          <w:sz w:val="27"/>
          <w:rtl/>
        </w:rPr>
        <w:t xml:space="preserve">معرفة الأحكام الشرعية الفرعية </w:t>
      </w:r>
      <w:r w:rsidR="003A23B6" w:rsidRPr="00904FCB">
        <w:rPr>
          <w:rFonts w:ascii="Traditional Arabic" w:hAnsi="Traditional Arabic" w:hint="cs"/>
          <w:sz w:val="27"/>
          <w:rtl/>
        </w:rPr>
        <w:t>م</w:t>
      </w:r>
      <w:r w:rsidRPr="00904FCB">
        <w:rPr>
          <w:rFonts w:ascii="Traditional Arabic" w:hAnsi="Traditional Arabic" w:hint="cs"/>
          <w:sz w:val="27"/>
          <w:rtl/>
        </w:rPr>
        <w:t>ن أدلتها التفصيلية</w:t>
      </w:r>
      <w:r w:rsidRPr="00904FCB">
        <w:rPr>
          <w:rFonts w:hint="eastAsia"/>
          <w:sz w:val="27"/>
          <w:rtl/>
        </w:rPr>
        <w:t>»</w:t>
      </w:r>
      <w:r w:rsidRPr="00904FCB">
        <w:rPr>
          <w:rFonts w:ascii="Traditional Arabic" w:hAnsi="Traditional Arabic" w:hint="cs"/>
          <w:sz w:val="27"/>
          <w:rtl/>
        </w:rPr>
        <w:t>. ثم أضاف قائلاً: إن هذا التعريف</w:t>
      </w:r>
      <w:r w:rsidR="003A23B6" w:rsidRPr="00904FCB">
        <w:rPr>
          <w:rFonts w:ascii="Traditional Arabic" w:hAnsi="Traditional Arabic" w:hint="cs"/>
          <w:sz w:val="27"/>
          <w:rtl/>
        </w:rPr>
        <w:t>،</w:t>
      </w:r>
      <w:r w:rsidRPr="00904FCB">
        <w:rPr>
          <w:rFonts w:ascii="Traditional Arabic" w:hAnsi="Traditional Arabic" w:hint="cs"/>
          <w:sz w:val="27"/>
          <w:rtl/>
        </w:rPr>
        <w:t xml:space="preserve"> بغض</w:t>
      </w:r>
      <w:r w:rsidR="003A23B6" w:rsidRPr="00904FCB">
        <w:rPr>
          <w:rFonts w:ascii="Traditional Arabic" w:hAnsi="Traditional Arabic" w:hint="cs"/>
          <w:sz w:val="27"/>
          <w:rtl/>
        </w:rPr>
        <w:t>ّ</w:t>
      </w:r>
      <w:r w:rsidRPr="00904FCB">
        <w:rPr>
          <w:rFonts w:ascii="Traditional Arabic" w:hAnsi="Traditional Arabic" w:hint="cs"/>
          <w:sz w:val="27"/>
          <w:rtl/>
        </w:rPr>
        <w:t xml:space="preserve"> النظر عن سلامته من النقد والإشكال أو عدم سلامته من ذلك، يقد</w:t>
      </w:r>
      <w:r w:rsidR="003A23B6" w:rsidRPr="00904FCB">
        <w:rPr>
          <w:rFonts w:ascii="Traditional Arabic" w:hAnsi="Traditional Arabic" w:hint="cs"/>
          <w:sz w:val="27"/>
          <w:rtl/>
        </w:rPr>
        <w:t>ِّ</w:t>
      </w:r>
      <w:r w:rsidRPr="00904FCB">
        <w:rPr>
          <w:rFonts w:ascii="Traditional Arabic" w:hAnsi="Traditional Arabic" w:hint="cs"/>
          <w:sz w:val="27"/>
          <w:rtl/>
        </w:rPr>
        <w:t>م لنا تصوّ</w:t>
      </w:r>
      <w:r w:rsidR="003A23B6" w:rsidRPr="00904FCB">
        <w:rPr>
          <w:rFonts w:ascii="Traditional Arabic" w:hAnsi="Traditional Arabic" w:hint="cs"/>
          <w:sz w:val="27"/>
          <w:rtl/>
        </w:rPr>
        <w:t>ُ</w:t>
      </w:r>
      <w:r w:rsidRPr="00904FCB">
        <w:rPr>
          <w:rFonts w:ascii="Traditional Arabic" w:hAnsi="Traditional Arabic" w:hint="cs"/>
          <w:sz w:val="27"/>
          <w:rtl/>
        </w:rPr>
        <w:t>راً إجمالياً عن علم الفقه</w:t>
      </w:r>
      <w:r w:rsidR="003A23B6" w:rsidRPr="00904FCB">
        <w:rPr>
          <w:rFonts w:ascii="Traditional Arabic" w:hAnsi="Traditional Arabic" w:hint="cs"/>
          <w:sz w:val="27"/>
          <w:rtl/>
        </w:rPr>
        <w:t>.</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lastRenderedPageBreak/>
        <w:t xml:space="preserve">وقال في مقام التفصيل: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أـ إن الأحكام الشرعية أحكام شرّعها الله تعالى من طريق رسول</w:t>
      </w:r>
      <w:r w:rsidR="008B3708" w:rsidRPr="00904FCB">
        <w:rPr>
          <w:rFonts w:ascii="Traditional Arabic" w:hAnsi="Traditional Arabic" w:hint="cs"/>
          <w:sz w:val="27"/>
          <w:rtl/>
        </w:rPr>
        <w:t>ٍ</w:t>
      </w:r>
      <w:r w:rsidRPr="00904FCB">
        <w:rPr>
          <w:rFonts w:ascii="Traditional Arabic" w:hAnsi="Traditional Arabic" w:hint="cs"/>
          <w:sz w:val="27"/>
          <w:rtl/>
        </w:rPr>
        <w:t xml:space="preserve"> ظاهري (النبي</w:t>
      </w:r>
      <w:r w:rsidR="008B3708" w:rsidRPr="00904FCB">
        <w:rPr>
          <w:rFonts w:ascii="Traditional Arabic" w:hAnsi="Traditional Arabic" w:hint="cs"/>
          <w:sz w:val="27"/>
          <w:rtl/>
        </w:rPr>
        <w:t>ّ</w:t>
      </w:r>
      <w:r w:rsidRPr="00904FCB">
        <w:rPr>
          <w:rFonts w:ascii="Traditional Arabic" w:hAnsi="Traditional Arabic" w:hint="cs"/>
          <w:sz w:val="27"/>
          <w:rtl/>
        </w:rPr>
        <w:t xml:space="preserve"> الأكرم</w:t>
      </w:r>
      <w:r w:rsidR="00635E51" w:rsidRPr="00904FCB">
        <w:rPr>
          <w:rFonts w:ascii="Traditional Arabic" w:hAnsi="Traditional Arabic" w:cs="Mosawi" w:hint="cs"/>
          <w:sz w:val="27"/>
          <w:szCs w:val="22"/>
          <w:rtl/>
        </w:rPr>
        <w:t>|</w:t>
      </w:r>
      <w:r w:rsidRPr="00904FCB">
        <w:rPr>
          <w:rFonts w:ascii="Traditional Arabic" w:hAnsi="Traditional Arabic" w:hint="cs"/>
          <w:sz w:val="27"/>
          <w:rtl/>
        </w:rPr>
        <w:t xml:space="preserve">)، أو رسول باطني (العقل).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ب ـ إن الغرض من تشريع الأحكام أمور ثلاثة، وهي: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أو</w:t>
      </w:r>
      <w:r w:rsidR="008B3708" w:rsidRPr="00904FCB">
        <w:rPr>
          <w:rFonts w:ascii="Traditional Arabic" w:hAnsi="Traditional Arabic" w:hint="cs"/>
          <w:b/>
          <w:bCs/>
          <w:sz w:val="27"/>
          <w:rtl/>
        </w:rPr>
        <w:t>ّ</w:t>
      </w:r>
      <w:r w:rsidRPr="00904FCB">
        <w:rPr>
          <w:rFonts w:ascii="Traditional Arabic" w:hAnsi="Traditional Arabic" w:hint="cs"/>
          <w:b/>
          <w:bCs/>
          <w:sz w:val="27"/>
          <w:rtl/>
        </w:rPr>
        <w:t>لاً</w:t>
      </w:r>
      <w:r w:rsidRPr="00904FCB">
        <w:rPr>
          <w:rFonts w:ascii="Traditional Arabic" w:hAnsi="Traditional Arabic" w:hint="cs"/>
          <w:sz w:val="27"/>
          <w:rtl/>
        </w:rPr>
        <w:t xml:space="preserve">: الحفاظ على نظام المجتمع البشري.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وثانياً</w:t>
      </w:r>
      <w:r w:rsidRPr="00904FCB">
        <w:rPr>
          <w:rFonts w:ascii="Traditional Arabic" w:hAnsi="Traditional Arabic" w:hint="cs"/>
          <w:sz w:val="27"/>
          <w:rtl/>
        </w:rPr>
        <w:t xml:space="preserve">: توثيق الصلة بين العبد وخالقه.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وثالثاً</w:t>
      </w:r>
      <w:r w:rsidRPr="00904FCB">
        <w:rPr>
          <w:rFonts w:ascii="Traditional Arabic" w:hAnsi="Traditional Arabic" w:hint="cs"/>
          <w:sz w:val="27"/>
          <w:rtl/>
        </w:rPr>
        <w:t xml:space="preserve">: إقامة جسور التواصل والارتباط بين الإنسان وإخوته في الإنسانية.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ج ـ إن الأحكام الشرعية إم</w:t>
      </w:r>
      <w:r w:rsidR="008B3708" w:rsidRPr="00904FCB">
        <w:rPr>
          <w:rFonts w:ascii="Traditional Arabic" w:hAnsi="Traditional Arabic" w:hint="cs"/>
          <w:sz w:val="27"/>
          <w:rtl/>
        </w:rPr>
        <w:t>ّ</w:t>
      </w:r>
      <w:r w:rsidRPr="00904FCB">
        <w:rPr>
          <w:rFonts w:ascii="Traditional Arabic" w:hAnsi="Traditional Arabic" w:hint="cs"/>
          <w:sz w:val="27"/>
          <w:rtl/>
        </w:rPr>
        <w:t>ا أن تتعل</w:t>
      </w:r>
      <w:r w:rsidR="008B3708" w:rsidRPr="00904FCB">
        <w:rPr>
          <w:rFonts w:ascii="Traditional Arabic" w:hAnsi="Traditional Arabic" w:hint="cs"/>
          <w:sz w:val="27"/>
          <w:rtl/>
        </w:rPr>
        <w:t>َّ</w:t>
      </w:r>
      <w:r w:rsidRPr="00904FCB">
        <w:rPr>
          <w:rFonts w:ascii="Traditional Arabic" w:hAnsi="Traditional Arabic" w:hint="cs"/>
          <w:sz w:val="27"/>
          <w:rtl/>
        </w:rPr>
        <w:t>ق بعمل</w:t>
      </w:r>
      <w:r w:rsidR="008B3708" w:rsidRPr="00904FCB">
        <w:rPr>
          <w:rFonts w:ascii="Traditional Arabic" w:hAnsi="Traditional Arabic" w:hint="cs"/>
          <w:sz w:val="27"/>
          <w:rtl/>
        </w:rPr>
        <w:t>ٍ</w:t>
      </w:r>
      <w:r w:rsidRPr="00904FCB">
        <w:rPr>
          <w:rFonts w:ascii="Traditional Arabic" w:hAnsi="Traditional Arabic" w:hint="cs"/>
          <w:sz w:val="27"/>
          <w:rtl/>
        </w:rPr>
        <w:t xml:space="preserve"> نتيجته إقامة الارتباط بين الإنسان وخالقه، أو إقامة الارتباط ومدّ جسور التواصل بين أبناء الإنسانية أنفسهم.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أما المورد الأو</w:t>
      </w:r>
      <w:r w:rsidR="008B3708" w:rsidRPr="00904FCB">
        <w:rPr>
          <w:rFonts w:ascii="Traditional Arabic" w:hAnsi="Traditional Arabic" w:hint="cs"/>
          <w:b/>
          <w:bCs/>
          <w:sz w:val="27"/>
          <w:rtl/>
        </w:rPr>
        <w:t>ّ</w:t>
      </w:r>
      <w:r w:rsidRPr="00904FCB">
        <w:rPr>
          <w:rFonts w:ascii="Traditional Arabic" w:hAnsi="Traditional Arabic" w:hint="cs"/>
          <w:b/>
          <w:bCs/>
          <w:sz w:val="27"/>
          <w:rtl/>
        </w:rPr>
        <w:t>ل</w:t>
      </w:r>
      <w:r w:rsidRPr="00904FCB">
        <w:rPr>
          <w:rFonts w:ascii="Traditional Arabic" w:hAnsi="Traditional Arabic" w:hint="cs"/>
          <w:sz w:val="27"/>
          <w:rtl/>
        </w:rPr>
        <w:t xml:space="preserve"> فعبارة</w:t>
      </w:r>
      <w:r w:rsidR="008B3708" w:rsidRPr="00904FCB">
        <w:rPr>
          <w:rFonts w:ascii="Traditional Arabic" w:hAnsi="Traditional Arabic" w:hint="cs"/>
          <w:sz w:val="27"/>
          <w:rtl/>
        </w:rPr>
        <w:t>ٌ</w:t>
      </w:r>
      <w:r w:rsidRPr="00904FCB">
        <w:rPr>
          <w:rFonts w:ascii="Traditional Arabic" w:hAnsi="Traditional Arabic" w:hint="cs"/>
          <w:sz w:val="27"/>
          <w:rtl/>
        </w:rPr>
        <w:t xml:space="preserve"> عن ضابطة الأحكام العبادية التي تشمل جميع الأحكام العبادية، وبذلك يكون العمل مشتملاً على مصلحة تؤد</w:t>
      </w:r>
      <w:r w:rsidR="008B3708" w:rsidRPr="00904FCB">
        <w:rPr>
          <w:rFonts w:ascii="Traditional Arabic" w:hAnsi="Traditional Arabic" w:hint="cs"/>
          <w:sz w:val="27"/>
          <w:rtl/>
        </w:rPr>
        <w:t>ّ</w:t>
      </w:r>
      <w:r w:rsidRPr="00904FCB">
        <w:rPr>
          <w:rFonts w:ascii="Traditional Arabic" w:hAnsi="Traditional Arabic" w:hint="cs"/>
          <w:sz w:val="27"/>
          <w:rtl/>
        </w:rPr>
        <w:t>ي إلى محبوبية العبد عند الله سبحانه</w:t>
      </w:r>
      <w:r w:rsidR="008B3708" w:rsidRPr="00904FCB">
        <w:rPr>
          <w:rFonts w:ascii="Traditional Arabic" w:hAnsi="Traditional Arabic" w:hint="cs"/>
          <w:sz w:val="27"/>
          <w:rtl/>
        </w:rPr>
        <w:t>.</w:t>
      </w:r>
      <w:r w:rsidRPr="00904FCB">
        <w:rPr>
          <w:rFonts w:ascii="Traditional Arabic" w:hAnsi="Traditional Arabic" w:hint="cs"/>
          <w:sz w:val="27"/>
          <w:rtl/>
        </w:rPr>
        <w:t xml:space="preserve"> وهذا ينقسم إلى ثلاثة أنواع</w:t>
      </w:r>
      <w:r w:rsidRPr="00904FCB">
        <w:rPr>
          <w:rFonts w:ascii="Traditional Arabic" w:hAnsi="Traditional Arabic"/>
          <w:sz w:val="27"/>
          <w:vertAlign w:val="superscript"/>
          <w:rtl/>
        </w:rPr>
        <w:t>(</w:t>
      </w:r>
      <w:r w:rsidRPr="00904FCB">
        <w:rPr>
          <w:rStyle w:val="ac"/>
          <w:rFonts w:ascii="Traditional Arabic" w:hAnsi="Traditional Arabic"/>
          <w:sz w:val="27"/>
          <w:rtl/>
        </w:rPr>
        <w:endnoteReference w:id="599"/>
      </w:r>
      <w:r w:rsidRPr="00904FCB">
        <w:rPr>
          <w:rFonts w:ascii="Traditional Arabic" w:hAnsi="Traditional Arabic"/>
          <w:sz w:val="27"/>
          <w:vertAlign w:val="superscript"/>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w:t>
      </w:r>
      <w:r w:rsidR="008B3708" w:rsidRPr="00904FCB">
        <w:rPr>
          <w:rFonts w:ascii="Traditional Arabic" w:hAnsi="Traditional Arabic" w:hint="cs"/>
          <w:b/>
          <w:bCs/>
          <w:sz w:val="27"/>
          <w:rtl/>
        </w:rPr>
        <w:t>ّ</w:t>
      </w:r>
      <w:r w:rsidRPr="00904FCB">
        <w:rPr>
          <w:rFonts w:ascii="Traditional Arabic" w:hAnsi="Traditional Arabic" w:hint="cs"/>
          <w:b/>
          <w:bCs/>
          <w:sz w:val="27"/>
          <w:rtl/>
        </w:rPr>
        <w:t>ل</w:t>
      </w:r>
      <w:r w:rsidRPr="00904FCB">
        <w:rPr>
          <w:rFonts w:ascii="Traditional Arabic" w:hAnsi="Traditional Arabic" w:hint="cs"/>
          <w:sz w:val="27"/>
          <w:rtl/>
        </w:rPr>
        <w:t>: العمل العبادي الذي تتوق</w:t>
      </w:r>
      <w:r w:rsidR="008B3708" w:rsidRPr="00904FCB">
        <w:rPr>
          <w:rFonts w:ascii="Traditional Arabic" w:hAnsi="Traditional Arabic" w:hint="cs"/>
          <w:sz w:val="27"/>
          <w:rtl/>
        </w:rPr>
        <w:t>َّ</w:t>
      </w:r>
      <w:r w:rsidRPr="00904FCB">
        <w:rPr>
          <w:rFonts w:ascii="Traditional Arabic" w:hAnsi="Traditional Arabic" w:hint="cs"/>
          <w:sz w:val="27"/>
          <w:rtl/>
        </w:rPr>
        <w:t>ف صحته على قصد القربة، وهذه هي العبادة بالمعنى الأخص</w:t>
      </w:r>
      <w:r w:rsidR="008B3708" w:rsidRPr="00904FCB">
        <w:rPr>
          <w:rFonts w:ascii="Traditional Arabic" w:hAnsi="Traditional Arabic" w:hint="cs"/>
          <w:sz w:val="27"/>
          <w:rtl/>
        </w:rPr>
        <w:t>ّ</w:t>
      </w:r>
      <w:r w:rsidRPr="00904FCB">
        <w:rPr>
          <w:rFonts w:ascii="Traditional Arabic" w:hAnsi="Traditional Arabic" w:hint="cs"/>
          <w:sz w:val="27"/>
          <w:rtl/>
        </w:rPr>
        <w:t>، من قبيل: الصلاة والزكاة والحج</w:t>
      </w:r>
      <w:r w:rsidR="008B3708" w:rsidRPr="00904FCB">
        <w:rPr>
          <w:rFonts w:ascii="Traditional Arabic" w:hAnsi="Traditional Arabic" w:hint="cs"/>
          <w:sz w:val="27"/>
          <w:rtl/>
        </w:rPr>
        <w:t>ّ</w:t>
      </w:r>
      <w:r w:rsidRPr="00904FCB">
        <w:rPr>
          <w:rFonts w:ascii="Traditional Arabic" w:hAnsi="Traditional Arabic" w:hint="cs"/>
          <w:sz w:val="27"/>
          <w:rtl/>
        </w:rPr>
        <w:t xml:space="preserve"> وما إلى ذلك.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w:t>
      </w:r>
      <w:r w:rsidRPr="00904FCB">
        <w:rPr>
          <w:rFonts w:ascii="Traditional Arabic" w:hAnsi="Traditional Arabic" w:hint="cs"/>
          <w:sz w:val="27"/>
          <w:rtl/>
        </w:rPr>
        <w:t>: العمل العبادي الذي يكون في ذاته راجحاً ومقرّ</w:t>
      </w:r>
      <w:r w:rsidR="008B3708" w:rsidRPr="00904FCB">
        <w:rPr>
          <w:rFonts w:ascii="Traditional Arabic" w:hAnsi="Traditional Arabic" w:hint="cs"/>
          <w:sz w:val="27"/>
          <w:rtl/>
        </w:rPr>
        <w:t>ِ</w:t>
      </w:r>
      <w:r w:rsidRPr="00904FCB">
        <w:rPr>
          <w:rFonts w:ascii="Traditional Arabic" w:hAnsi="Traditional Arabic" w:hint="cs"/>
          <w:sz w:val="27"/>
          <w:rtl/>
        </w:rPr>
        <w:t>باً من الله، دون أن يتوق</w:t>
      </w:r>
      <w:r w:rsidR="008B3708" w:rsidRPr="00904FCB">
        <w:rPr>
          <w:rFonts w:ascii="Traditional Arabic" w:hAnsi="Traditional Arabic" w:hint="cs"/>
          <w:sz w:val="27"/>
          <w:rtl/>
        </w:rPr>
        <w:t>َّ</w:t>
      </w:r>
      <w:r w:rsidRPr="00904FCB">
        <w:rPr>
          <w:rFonts w:ascii="Traditional Arabic" w:hAnsi="Traditional Arabic" w:hint="cs"/>
          <w:sz w:val="27"/>
          <w:rtl/>
        </w:rPr>
        <w:t>ف على قصد القربة، وهذه هي العبادة بالمعنى الخاص</w:t>
      </w:r>
      <w:r w:rsidR="008B3708" w:rsidRPr="00904FCB">
        <w:rPr>
          <w:rFonts w:ascii="Traditional Arabic" w:hAnsi="Traditional Arabic" w:hint="cs"/>
          <w:sz w:val="27"/>
          <w:rtl/>
        </w:rPr>
        <w:t>ّ</w:t>
      </w:r>
      <w:r w:rsidRPr="00904FCB">
        <w:rPr>
          <w:rFonts w:ascii="Traditional Arabic" w:hAnsi="Traditional Arabic" w:hint="cs"/>
          <w:sz w:val="27"/>
          <w:rtl/>
        </w:rPr>
        <w:t xml:space="preserve">، من قبيل: الجهاد والأمر بالمعروف والنهي عن المنكر والقضاء والشهادة وما إلى ذلك. </w:t>
      </w:r>
    </w:p>
    <w:p w:rsidR="00F34FB9" w:rsidRPr="00904FCB" w:rsidRDefault="00F34FB9" w:rsidP="0098428A">
      <w:pPr>
        <w:spacing w:line="400" w:lineRule="exact"/>
        <w:rPr>
          <w:rFonts w:ascii="Traditional Arabic" w:hAnsi="Traditional Arabic"/>
          <w:sz w:val="27"/>
          <w:rtl/>
        </w:rPr>
      </w:pPr>
      <w:r w:rsidRPr="00904FCB">
        <w:rPr>
          <w:rFonts w:ascii="Traditional Arabic" w:hAnsi="Traditional Arabic" w:hint="cs"/>
          <w:b/>
          <w:bCs/>
          <w:sz w:val="27"/>
          <w:rtl/>
        </w:rPr>
        <w:t>الثالث</w:t>
      </w:r>
      <w:r w:rsidRPr="00904FCB">
        <w:rPr>
          <w:rFonts w:ascii="Traditional Arabic" w:hAnsi="Traditional Arabic" w:hint="cs"/>
          <w:sz w:val="27"/>
          <w:rtl/>
        </w:rPr>
        <w:t>: العمل الذي لا تتوق</w:t>
      </w:r>
      <w:r w:rsidR="008B3708" w:rsidRPr="00904FCB">
        <w:rPr>
          <w:rFonts w:ascii="Traditional Arabic" w:hAnsi="Traditional Arabic" w:hint="cs"/>
          <w:sz w:val="27"/>
          <w:rtl/>
        </w:rPr>
        <w:t>ّ</w:t>
      </w:r>
      <w:r w:rsidRPr="00904FCB">
        <w:rPr>
          <w:rFonts w:ascii="Traditional Arabic" w:hAnsi="Traditional Arabic" w:hint="cs"/>
          <w:sz w:val="27"/>
          <w:rtl/>
        </w:rPr>
        <w:t>ف صح</w:t>
      </w:r>
      <w:r w:rsidR="008B3708" w:rsidRPr="00904FCB">
        <w:rPr>
          <w:rFonts w:ascii="Traditional Arabic" w:hAnsi="Traditional Arabic" w:hint="cs"/>
          <w:sz w:val="27"/>
          <w:rtl/>
        </w:rPr>
        <w:t>ّ</w:t>
      </w:r>
      <w:r w:rsidRPr="00904FCB">
        <w:rPr>
          <w:rFonts w:ascii="Traditional Arabic" w:hAnsi="Traditional Arabic" w:hint="cs"/>
          <w:sz w:val="27"/>
          <w:rtl/>
        </w:rPr>
        <w:t>ته على قصد القربة ـ كما هو الحال في النوع الأول ـ</w:t>
      </w:r>
      <w:r w:rsidR="008B3708" w:rsidRPr="00904FCB">
        <w:rPr>
          <w:rFonts w:ascii="Traditional Arabic" w:hAnsi="Traditional Arabic" w:hint="cs"/>
          <w:sz w:val="27"/>
          <w:rtl/>
        </w:rPr>
        <w:t>،</w:t>
      </w:r>
      <w:r w:rsidRPr="00904FCB">
        <w:rPr>
          <w:rFonts w:ascii="Traditional Arabic" w:hAnsi="Traditional Arabic" w:hint="cs"/>
          <w:sz w:val="27"/>
          <w:rtl/>
        </w:rPr>
        <w:t xml:space="preserve"> ولا هو في ذاته راجحاً ومقرّ</w:t>
      </w:r>
      <w:r w:rsidR="008B3708" w:rsidRPr="00904FCB">
        <w:rPr>
          <w:rFonts w:ascii="Traditional Arabic" w:hAnsi="Traditional Arabic" w:hint="cs"/>
          <w:sz w:val="27"/>
          <w:rtl/>
        </w:rPr>
        <w:t>ِ</w:t>
      </w:r>
      <w:r w:rsidRPr="00904FCB">
        <w:rPr>
          <w:rFonts w:ascii="Traditional Arabic" w:hAnsi="Traditional Arabic" w:hint="cs"/>
          <w:sz w:val="27"/>
          <w:rtl/>
        </w:rPr>
        <w:t>باً ـ كما هو الحال في النوع الثاني ـ</w:t>
      </w:r>
      <w:r w:rsidR="008B3708" w:rsidRPr="00904FCB">
        <w:rPr>
          <w:rFonts w:ascii="Traditional Arabic" w:hAnsi="Traditional Arabic" w:hint="cs"/>
          <w:sz w:val="27"/>
          <w:rtl/>
        </w:rPr>
        <w:t>،</w:t>
      </w:r>
      <w:r w:rsidRPr="00904FCB">
        <w:rPr>
          <w:rFonts w:ascii="Traditional Arabic" w:hAnsi="Traditional Arabic" w:hint="cs"/>
          <w:sz w:val="27"/>
          <w:rtl/>
        </w:rPr>
        <w:t xml:space="preserve"> بل إذا تمّ قصد القربة كان هناك إمكانية لقصد التقرّ</w:t>
      </w:r>
      <w:r w:rsidR="008B3708" w:rsidRPr="00904FCB">
        <w:rPr>
          <w:rFonts w:ascii="Traditional Arabic" w:hAnsi="Traditional Arabic" w:hint="cs"/>
          <w:sz w:val="27"/>
          <w:rtl/>
        </w:rPr>
        <w:t>ُ</w:t>
      </w:r>
      <w:r w:rsidRPr="00904FCB">
        <w:rPr>
          <w:rFonts w:ascii="Traditional Arabic" w:hAnsi="Traditional Arabic" w:hint="cs"/>
          <w:sz w:val="27"/>
          <w:rtl/>
        </w:rPr>
        <w:t>ب به، وهذه هي العبادة بالمعنى الأعم</w:t>
      </w:r>
      <w:r w:rsidR="008B3708" w:rsidRPr="00904FCB">
        <w:rPr>
          <w:rFonts w:ascii="Traditional Arabic" w:hAnsi="Traditional Arabic" w:hint="cs"/>
          <w:sz w:val="27"/>
          <w:rtl/>
        </w:rPr>
        <w:t>ّ</w:t>
      </w:r>
      <w:r w:rsidRPr="00904FCB">
        <w:rPr>
          <w:rFonts w:ascii="Traditional Arabic" w:hAnsi="Traditional Arabic" w:hint="cs"/>
          <w:sz w:val="27"/>
          <w:rtl/>
        </w:rPr>
        <w:t>، من قبيل: أيّ عمل يحتوي على الرجحان الديني أو الدنيوي، والذي إذا جاء به العبد بقصد القربة كان مصداقاً للعبادة</w:t>
      </w:r>
      <w:r w:rsidR="0098428A" w:rsidRPr="00904FCB">
        <w:rPr>
          <w:rFonts w:ascii="Traditional Arabic" w:hAnsi="Traditional Arabic" w:hint="cs"/>
          <w:sz w:val="27"/>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والنوع الأول من العبادة ينقسم بدوره إلى ثلاثة أقسام أيضاً، وهي: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w:t>
      </w:r>
      <w:r w:rsidR="008B3708" w:rsidRPr="00904FCB">
        <w:rPr>
          <w:rFonts w:ascii="Traditional Arabic" w:hAnsi="Traditional Arabic" w:hint="cs"/>
          <w:b/>
          <w:bCs/>
          <w:sz w:val="27"/>
          <w:rtl/>
        </w:rPr>
        <w:t>ّ</w:t>
      </w:r>
      <w:r w:rsidRPr="00904FCB">
        <w:rPr>
          <w:rFonts w:ascii="Traditional Arabic" w:hAnsi="Traditional Arabic" w:hint="cs"/>
          <w:b/>
          <w:bCs/>
          <w:sz w:val="27"/>
          <w:rtl/>
        </w:rPr>
        <w:t>ل</w:t>
      </w:r>
      <w:r w:rsidRPr="00904FCB">
        <w:rPr>
          <w:rFonts w:ascii="Traditional Arabic" w:hAnsi="Traditional Arabic" w:hint="cs"/>
          <w:sz w:val="27"/>
          <w:rtl/>
        </w:rPr>
        <w:t xml:space="preserve">: العبادة الجسدية البحتة، من قبيل: الصوم والصلاة والطهارة والاعتكاف.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w:t>
      </w:r>
      <w:r w:rsidRPr="00904FCB">
        <w:rPr>
          <w:rFonts w:ascii="Traditional Arabic" w:hAnsi="Traditional Arabic" w:hint="cs"/>
          <w:sz w:val="27"/>
          <w:rtl/>
        </w:rPr>
        <w:t>: العبادة المالية الص</w:t>
      </w:r>
      <w:r w:rsidR="00480F9A" w:rsidRPr="00904FCB">
        <w:rPr>
          <w:rFonts w:ascii="Traditional Arabic" w:hAnsi="Traditional Arabic" w:hint="cs"/>
          <w:sz w:val="27"/>
          <w:rtl/>
        </w:rPr>
        <w:t>ِّ</w:t>
      </w:r>
      <w:r w:rsidRPr="00904FCB">
        <w:rPr>
          <w:rFonts w:ascii="Traditional Arabic" w:hAnsi="Traditional Arabic" w:hint="cs"/>
          <w:sz w:val="27"/>
          <w:rtl/>
        </w:rPr>
        <w:t>ر</w:t>
      </w:r>
      <w:r w:rsidR="00480F9A" w:rsidRPr="00904FCB">
        <w:rPr>
          <w:rFonts w:ascii="Traditional Arabic" w:hAnsi="Traditional Arabic" w:hint="cs"/>
          <w:sz w:val="27"/>
          <w:rtl/>
        </w:rPr>
        <w:t>ْ</w:t>
      </w:r>
      <w:r w:rsidRPr="00904FCB">
        <w:rPr>
          <w:rFonts w:ascii="Traditional Arabic" w:hAnsi="Traditional Arabic" w:hint="cs"/>
          <w:sz w:val="27"/>
          <w:rtl/>
        </w:rPr>
        <w:t>فة، من قبيل: الزكاة والخمس والكف</w:t>
      </w:r>
      <w:r w:rsidR="00480F9A" w:rsidRPr="00904FCB">
        <w:rPr>
          <w:rFonts w:ascii="Traditional Arabic" w:hAnsi="Traditional Arabic" w:hint="cs"/>
          <w:sz w:val="27"/>
          <w:rtl/>
        </w:rPr>
        <w:t>ّ</w:t>
      </w:r>
      <w:r w:rsidRPr="00904FCB">
        <w:rPr>
          <w:rFonts w:ascii="Traditional Arabic" w:hAnsi="Traditional Arabic" w:hint="cs"/>
          <w:sz w:val="27"/>
          <w:rtl/>
        </w:rPr>
        <w:t xml:space="preserve">ارات.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lastRenderedPageBreak/>
        <w:t>الثالث</w:t>
      </w:r>
      <w:r w:rsidRPr="00904FCB">
        <w:rPr>
          <w:rFonts w:ascii="Traditional Arabic" w:hAnsi="Traditional Arabic" w:hint="cs"/>
          <w:sz w:val="27"/>
          <w:rtl/>
        </w:rPr>
        <w:t>: العبادات الجسدية والمالية، من قبيل: الحج</w:t>
      </w:r>
      <w:r w:rsidR="00480F9A" w:rsidRPr="00904FCB">
        <w:rPr>
          <w:rFonts w:ascii="Traditional Arabic" w:hAnsi="Traditional Arabic" w:hint="cs"/>
          <w:sz w:val="27"/>
          <w:rtl/>
        </w:rPr>
        <w:t>ّ</w:t>
      </w:r>
      <w:r w:rsidRPr="00904FCB">
        <w:rPr>
          <w:rFonts w:ascii="Traditional Arabic" w:hAnsi="Traditional Arabic" w:hint="cs"/>
          <w:sz w:val="27"/>
          <w:rtl/>
        </w:rPr>
        <w:t xml:space="preserve"> والعمرة المفردة</w:t>
      </w:r>
      <w:r w:rsidRPr="00904FCB">
        <w:rPr>
          <w:rFonts w:ascii="Traditional Arabic" w:hAnsi="Traditional Arabic"/>
          <w:sz w:val="27"/>
          <w:vertAlign w:val="superscript"/>
          <w:rtl/>
        </w:rPr>
        <w:t>(</w:t>
      </w:r>
      <w:r w:rsidRPr="00904FCB">
        <w:rPr>
          <w:rStyle w:val="ac"/>
          <w:rFonts w:ascii="Traditional Arabic" w:hAnsi="Traditional Arabic"/>
          <w:sz w:val="27"/>
          <w:rtl/>
        </w:rPr>
        <w:endnoteReference w:id="600"/>
      </w:r>
      <w:r w:rsidRPr="00904FCB">
        <w:rPr>
          <w:rFonts w:ascii="Traditional Arabic" w:hAnsi="Traditional Arabic"/>
          <w:sz w:val="27"/>
          <w:vertAlign w:val="superscript"/>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والمورد الثاني</w:t>
      </w:r>
      <w:r w:rsidR="00480F9A" w:rsidRPr="00904FCB">
        <w:rPr>
          <w:rFonts w:ascii="Traditional Arabic" w:hAnsi="Traditional Arabic" w:hint="cs"/>
          <w:sz w:val="27"/>
          <w:rtl/>
        </w:rPr>
        <w:t>، وهو</w:t>
      </w:r>
      <w:r w:rsidRPr="00904FCB">
        <w:rPr>
          <w:rFonts w:ascii="Traditional Arabic" w:hAnsi="Traditional Arabic" w:hint="cs"/>
          <w:sz w:val="27"/>
          <w:rtl/>
        </w:rPr>
        <w:t xml:space="preserve"> الذي تكون نتيجته إقامة الارتباط بين الإنسان وبني جلدته، الغرض</w:t>
      </w:r>
      <w:r w:rsidR="00480F9A" w:rsidRPr="00904FCB">
        <w:rPr>
          <w:rFonts w:ascii="Traditional Arabic" w:hAnsi="Traditional Arabic" w:hint="cs"/>
          <w:sz w:val="27"/>
          <w:rtl/>
        </w:rPr>
        <w:t>ُ</w:t>
      </w:r>
      <w:r w:rsidRPr="00904FCB">
        <w:rPr>
          <w:rFonts w:ascii="Traditional Arabic" w:hAnsi="Traditional Arabic" w:hint="cs"/>
          <w:sz w:val="27"/>
          <w:rtl/>
        </w:rPr>
        <w:t xml:space="preserve"> منه حفظ الأعراض</w:t>
      </w:r>
      <w:r w:rsidR="00480F9A" w:rsidRPr="00904FCB">
        <w:rPr>
          <w:rFonts w:ascii="Traditional Arabic" w:hAnsi="Traditional Arabic" w:hint="cs"/>
          <w:sz w:val="27"/>
          <w:rtl/>
        </w:rPr>
        <w:t>.</w:t>
      </w:r>
      <w:r w:rsidRPr="00904FCB">
        <w:rPr>
          <w:rFonts w:ascii="Traditional Arabic" w:hAnsi="Traditional Arabic" w:hint="cs"/>
          <w:sz w:val="27"/>
          <w:rtl/>
        </w:rPr>
        <w:t xml:space="preserve"> وإن أهم</w:t>
      </w:r>
      <w:r w:rsidR="000D503B">
        <w:rPr>
          <w:rFonts w:ascii="Traditional Arabic" w:hAnsi="Traditional Arabic" w:hint="cs"/>
          <w:sz w:val="27"/>
          <w:rtl/>
        </w:rPr>
        <w:t>ّ</w:t>
      </w:r>
      <w:r w:rsidRPr="00904FCB">
        <w:rPr>
          <w:rFonts w:ascii="Traditional Arabic" w:hAnsi="Traditional Arabic" w:hint="cs"/>
          <w:sz w:val="27"/>
          <w:rtl/>
        </w:rPr>
        <w:t xml:space="preserve"> مصاديق الأعراض ثلاثة أمور، وهي: الأموال</w:t>
      </w:r>
      <w:r w:rsidR="00480F9A" w:rsidRPr="00904FCB">
        <w:rPr>
          <w:rFonts w:ascii="Traditional Arabic" w:hAnsi="Traditional Arabic" w:hint="cs"/>
          <w:sz w:val="27"/>
          <w:rtl/>
        </w:rPr>
        <w:t>؛</w:t>
      </w:r>
      <w:r w:rsidRPr="00904FCB">
        <w:rPr>
          <w:rFonts w:ascii="Traditional Arabic" w:hAnsi="Traditional Arabic" w:hint="cs"/>
          <w:sz w:val="27"/>
          <w:rtl/>
        </w:rPr>
        <w:t xml:space="preserve"> والأعراض</w:t>
      </w:r>
      <w:r w:rsidR="00480F9A" w:rsidRPr="00904FCB">
        <w:rPr>
          <w:rFonts w:ascii="Traditional Arabic" w:hAnsi="Traditional Arabic" w:hint="cs"/>
          <w:sz w:val="27"/>
          <w:rtl/>
        </w:rPr>
        <w:t>؛</w:t>
      </w:r>
      <w:r w:rsidRPr="00904FCB">
        <w:rPr>
          <w:rFonts w:ascii="Traditional Arabic" w:hAnsi="Traditional Arabic" w:hint="cs"/>
          <w:sz w:val="27"/>
          <w:rtl/>
        </w:rPr>
        <w:t xml:space="preserve"> والأنفس.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أـ الأموال</w:t>
      </w:r>
      <w:r w:rsidR="00A37EFC" w:rsidRPr="00904FCB">
        <w:rPr>
          <w:rFonts w:ascii="Traditional Arabic" w:hAnsi="Traditional Arabic" w:hint="cs"/>
          <w:sz w:val="27"/>
          <w:rtl/>
        </w:rPr>
        <w:t>:</w:t>
      </w:r>
      <w:r w:rsidRPr="00904FCB">
        <w:rPr>
          <w:rFonts w:ascii="Traditional Arabic" w:hAnsi="Traditional Arabic" w:hint="cs"/>
          <w:sz w:val="27"/>
          <w:rtl/>
        </w:rPr>
        <w:t xml:space="preserve"> والأحكام المتعل</w:t>
      </w:r>
      <w:r w:rsidR="00480F9A" w:rsidRPr="00904FCB">
        <w:rPr>
          <w:rFonts w:ascii="Traditional Arabic" w:hAnsi="Traditional Arabic" w:hint="cs"/>
          <w:sz w:val="27"/>
          <w:rtl/>
        </w:rPr>
        <w:t>ِّ</w:t>
      </w:r>
      <w:r w:rsidRPr="00904FCB">
        <w:rPr>
          <w:rFonts w:ascii="Traditional Arabic" w:hAnsi="Traditional Arabic" w:hint="cs"/>
          <w:sz w:val="27"/>
          <w:rtl/>
        </w:rPr>
        <w:t>قة بالأموال لها صور</w:t>
      </w:r>
      <w:r w:rsidR="00480F9A" w:rsidRPr="00904FCB">
        <w:rPr>
          <w:rFonts w:ascii="Traditional Arabic" w:hAnsi="Traditional Arabic" w:hint="cs"/>
          <w:sz w:val="27"/>
          <w:rtl/>
        </w:rPr>
        <w:t>؛</w:t>
      </w:r>
      <w:r w:rsidRPr="00904FCB">
        <w:rPr>
          <w:rFonts w:ascii="Traditional Arabic" w:hAnsi="Traditional Arabic" w:hint="cs"/>
          <w:sz w:val="27"/>
          <w:rtl/>
        </w:rPr>
        <w:t xml:space="preserve"> فإن تحصيل المال إما أن يكون بسبب قولي</w:t>
      </w:r>
      <w:r w:rsidR="00480F9A" w:rsidRPr="00904FCB">
        <w:rPr>
          <w:rFonts w:ascii="Traditional Arabic" w:hAnsi="Traditional Arabic" w:hint="cs"/>
          <w:sz w:val="27"/>
          <w:rtl/>
        </w:rPr>
        <w:t>؛</w:t>
      </w:r>
      <w:r w:rsidRPr="00904FCB">
        <w:rPr>
          <w:rFonts w:ascii="Traditional Arabic" w:hAnsi="Traditional Arabic" w:hint="cs"/>
          <w:sz w:val="27"/>
          <w:rtl/>
        </w:rPr>
        <w:t xml:space="preserve"> أو بسبب فعلي.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أما الأول</w:t>
      </w:r>
      <w:r w:rsidR="00480F9A" w:rsidRPr="00904FCB">
        <w:rPr>
          <w:rFonts w:ascii="Traditional Arabic" w:hAnsi="Traditional Arabic" w:hint="cs"/>
          <w:sz w:val="27"/>
          <w:rtl/>
        </w:rPr>
        <w:t>،</w:t>
      </w:r>
      <w:r w:rsidRPr="00904FCB">
        <w:rPr>
          <w:rFonts w:ascii="Traditional Arabic" w:hAnsi="Traditional Arabic" w:hint="cs"/>
          <w:sz w:val="27"/>
          <w:rtl/>
        </w:rPr>
        <w:t xml:space="preserve"> وهو السبب القولي، فإن</w:t>
      </w:r>
      <w:r w:rsidR="00480F9A" w:rsidRPr="00904FCB">
        <w:rPr>
          <w:rFonts w:ascii="Traditional Arabic" w:hAnsi="Traditional Arabic" w:hint="cs"/>
          <w:sz w:val="27"/>
          <w:rtl/>
        </w:rPr>
        <w:t>ْ</w:t>
      </w:r>
      <w:r w:rsidRPr="00904FCB">
        <w:rPr>
          <w:rFonts w:ascii="Traditional Arabic" w:hAnsi="Traditional Arabic" w:hint="cs"/>
          <w:sz w:val="27"/>
          <w:rtl/>
        </w:rPr>
        <w:t xml:space="preserve"> توق</w:t>
      </w:r>
      <w:r w:rsidR="00480F9A" w:rsidRPr="00904FCB">
        <w:rPr>
          <w:rFonts w:ascii="Traditional Arabic" w:hAnsi="Traditional Arabic" w:hint="cs"/>
          <w:sz w:val="27"/>
          <w:rtl/>
        </w:rPr>
        <w:t>َّ</w:t>
      </w:r>
      <w:r w:rsidRPr="00904FCB">
        <w:rPr>
          <w:rFonts w:ascii="Traditional Arabic" w:hAnsi="Traditional Arabic" w:hint="cs"/>
          <w:sz w:val="27"/>
          <w:rtl/>
        </w:rPr>
        <w:t>ف على طرفين كان عقداً، ومورد العقد إذا كان مالاً من الطرفين س</w:t>
      </w:r>
      <w:r w:rsidR="00A37EFC" w:rsidRPr="00904FCB">
        <w:rPr>
          <w:rFonts w:ascii="Traditional Arabic" w:hAnsi="Traditional Arabic" w:hint="cs"/>
          <w:sz w:val="27"/>
          <w:rtl/>
        </w:rPr>
        <w:t>ُ</w:t>
      </w:r>
      <w:r w:rsidRPr="00904FCB">
        <w:rPr>
          <w:rFonts w:ascii="Traditional Arabic" w:hAnsi="Traditional Arabic" w:hint="cs"/>
          <w:sz w:val="27"/>
          <w:rtl/>
        </w:rPr>
        <w:t>مّي معاوضة، من قبيل: البيع والإجارة</w:t>
      </w:r>
      <w:r w:rsidR="00A37EFC" w:rsidRPr="00904FCB">
        <w:rPr>
          <w:rFonts w:ascii="Traditional Arabic" w:hAnsi="Traditional Arabic" w:hint="cs"/>
          <w:sz w:val="27"/>
          <w:rtl/>
        </w:rPr>
        <w:t>؛</w:t>
      </w:r>
      <w:r w:rsidRPr="00904FCB">
        <w:rPr>
          <w:rFonts w:ascii="Traditional Arabic" w:hAnsi="Traditional Arabic" w:hint="cs"/>
          <w:sz w:val="27"/>
          <w:rtl/>
        </w:rPr>
        <w:t xml:space="preserve"> وإن</w:t>
      </w:r>
      <w:r w:rsidR="00A37EFC" w:rsidRPr="00904FCB">
        <w:rPr>
          <w:rFonts w:ascii="Traditional Arabic" w:hAnsi="Traditional Arabic" w:hint="cs"/>
          <w:sz w:val="27"/>
          <w:rtl/>
        </w:rPr>
        <w:t>ْ</w:t>
      </w:r>
      <w:r w:rsidRPr="00904FCB">
        <w:rPr>
          <w:rFonts w:ascii="Traditional Arabic" w:hAnsi="Traditional Arabic" w:hint="cs"/>
          <w:sz w:val="27"/>
          <w:rtl/>
        </w:rPr>
        <w:t xml:space="preserve"> كان مالاً من طرف</w:t>
      </w:r>
      <w:r w:rsidR="00A37EFC" w:rsidRPr="00904FCB">
        <w:rPr>
          <w:rFonts w:ascii="Traditional Arabic" w:hAnsi="Traditional Arabic" w:hint="cs"/>
          <w:sz w:val="27"/>
          <w:rtl/>
        </w:rPr>
        <w:t>ٍ</w:t>
      </w:r>
      <w:r w:rsidRPr="00904FCB">
        <w:rPr>
          <w:rFonts w:ascii="Traditional Arabic" w:hAnsi="Traditional Arabic" w:hint="cs"/>
          <w:sz w:val="27"/>
          <w:rtl/>
        </w:rPr>
        <w:t xml:space="preserve"> واحد فقط، كان عقداً مج</w:t>
      </w:r>
      <w:r w:rsidR="00A37EFC" w:rsidRPr="00904FCB">
        <w:rPr>
          <w:rFonts w:ascii="Traditional Arabic" w:hAnsi="Traditional Arabic" w:hint="cs"/>
          <w:sz w:val="27"/>
          <w:rtl/>
        </w:rPr>
        <w:t>ّ</w:t>
      </w:r>
      <w:r w:rsidRPr="00904FCB">
        <w:rPr>
          <w:rFonts w:ascii="Traditional Arabic" w:hAnsi="Traditional Arabic" w:hint="cs"/>
          <w:sz w:val="27"/>
          <w:rtl/>
        </w:rPr>
        <w:t>انياً، من قبيل: الهبة والصدقة</w:t>
      </w:r>
      <w:r w:rsidR="00A37EFC" w:rsidRPr="00904FCB">
        <w:rPr>
          <w:rFonts w:ascii="Traditional Arabic" w:hAnsi="Traditional Arabic" w:hint="cs"/>
          <w:sz w:val="27"/>
          <w:rtl/>
        </w:rPr>
        <w:t>؛</w:t>
      </w:r>
      <w:r w:rsidRPr="00904FCB">
        <w:rPr>
          <w:rFonts w:ascii="Traditional Arabic" w:hAnsi="Traditional Arabic" w:hint="cs"/>
          <w:sz w:val="27"/>
          <w:rtl/>
        </w:rPr>
        <w:t xml:space="preserve"> وإن</w:t>
      </w:r>
      <w:r w:rsidR="00A37EFC" w:rsidRPr="00904FCB">
        <w:rPr>
          <w:rFonts w:ascii="Traditional Arabic" w:hAnsi="Traditional Arabic" w:hint="cs"/>
          <w:sz w:val="27"/>
          <w:rtl/>
        </w:rPr>
        <w:t>ْ</w:t>
      </w:r>
      <w:r w:rsidRPr="00904FCB">
        <w:rPr>
          <w:rFonts w:ascii="Traditional Arabic" w:hAnsi="Traditional Arabic" w:hint="cs"/>
          <w:sz w:val="27"/>
          <w:rtl/>
        </w:rPr>
        <w:t xml:space="preserve"> كان تحصيل المال قولي</w:t>
      </w:r>
      <w:r w:rsidR="00A37EFC" w:rsidRPr="00904FCB">
        <w:rPr>
          <w:rFonts w:ascii="Traditional Arabic" w:hAnsi="Traditional Arabic" w:hint="cs"/>
          <w:sz w:val="27"/>
          <w:rtl/>
        </w:rPr>
        <w:t>ّ</w:t>
      </w:r>
      <w:r w:rsidRPr="00904FCB">
        <w:rPr>
          <w:rFonts w:ascii="Traditional Arabic" w:hAnsi="Traditional Arabic" w:hint="cs"/>
          <w:sz w:val="27"/>
          <w:rtl/>
        </w:rPr>
        <w:t>اً</w:t>
      </w:r>
      <w:r w:rsidR="00A37EFC" w:rsidRPr="00904FCB">
        <w:rPr>
          <w:rFonts w:ascii="Traditional Arabic" w:hAnsi="Traditional Arabic" w:hint="cs"/>
          <w:sz w:val="27"/>
          <w:rtl/>
        </w:rPr>
        <w:t>،</w:t>
      </w:r>
      <w:r w:rsidRPr="00904FCB">
        <w:rPr>
          <w:rFonts w:ascii="Traditional Arabic" w:hAnsi="Traditional Arabic" w:hint="cs"/>
          <w:sz w:val="27"/>
          <w:rtl/>
        </w:rPr>
        <w:t xml:space="preserve"> وتوق</w:t>
      </w:r>
      <w:r w:rsidR="00A37EFC" w:rsidRPr="00904FCB">
        <w:rPr>
          <w:rFonts w:ascii="Traditional Arabic" w:hAnsi="Traditional Arabic" w:hint="cs"/>
          <w:sz w:val="27"/>
          <w:rtl/>
        </w:rPr>
        <w:t>ّ</w:t>
      </w:r>
      <w:r w:rsidRPr="00904FCB">
        <w:rPr>
          <w:rFonts w:ascii="Traditional Arabic" w:hAnsi="Traditional Arabic" w:hint="cs"/>
          <w:sz w:val="27"/>
          <w:rtl/>
        </w:rPr>
        <w:t>ف على طرف</w:t>
      </w:r>
      <w:r w:rsidR="000D503B">
        <w:rPr>
          <w:rFonts w:ascii="Traditional Arabic" w:hAnsi="Traditional Arabic" w:hint="cs"/>
          <w:sz w:val="27"/>
          <w:rtl/>
        </w:rPr>
        <w:t>ٍ</w:t>
      </w:r>
      <w:r w:rsidRPr="00904FCB">
        <w:rPr>
          <w:rFonts w:ascii="Traditional Arabic" w:hAnsi="Traditional Arabic" w:hint="cs"/>
          <w:sz w:val="27"/>
          <w:rtl/>
        </w:rPr>
        <w:t xml:space="preserve"> واحد</w:t>
      </w:r>
      <w:r w:rsidR="00A37EFC" w:rsidRPr="00904FCB">
        <w:rPr>
          <w:rFonts w:ascii="Traditional Arabic" w:hAnsi="Traditional Arabic" w:hint="cs"/>
          <w:sz w:val="27"/>
          <w:rtl/>
        </w:rPr>
        <w:t>،</w:t>
      </w:r>
      <w:r w:rsidRPr="00904FCB">
        <w:rPr>
          <w:rFonts w:ascii="Traditional Arabic" w:hAnsi="Traditional Arabic" w:hint="cs"/>
          <w:sz w:val="27"/>
          <w:rtl/>
        </w:rPr>
        <w:t xml:space="preserve"> كان اسمه إسقاطاً وإبراء</w:t>
      </w:r>
      <w:r w:rsidR="00A37EFC" w:rsidRPr="00904FCB">
        <w:rPr>
          <w:rFonts w:ascii="Traditional Arabic" w:hAnsi="Traditional Arabic" w:hint="cs"/>
          <w:sz w:val="27"/>
          <w:rtl/>
        </w:rPr>
        <w:t>ً</w:t>
      </w:r>
      <w:r w:rsidRPr="00904FCB">
        <w:rPr>
          <w:rFonts w:ascii="Traditional Arabic" w:hAnsi="Traditional Arabic" w:hint="cs"/>
          <w:sz w:val="27"/>
          <w:rtl/>
        </w:rPr>
        <w:t xml:space="preserve"> والتزاماً ابتدائياً.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وأما الثاني</w:t>
      </w:r>
      <w:r w:rsidR="00A37EFC" w:rsidRPr="00904FCB">
        <w:rPr>
          <w:rFonts w:ascii="Traditional Arabic" w:hAnsi="Traditional Arabic" w:hint="cs"/>
          <w:sz w:val="27"/>
          <w:rtl/>
        </w:rPr>
        <w:t>، وهو</w:t>
      </w:r>
      <w:r w:rsidRPr="00904FCB">
        <w:rPr>
          <w:rFonts w:ascii="Traditional Arabic" w:hAnsi="Traditional Arabic" w:hint="cs"/>
          <w:sz w:val="27"/>
          <w:rtl/>
        </w:rPr>
        <w:t xml:space="preserve"> الذي لا يتوق</w:t>
      </w:r>
      <w:r w:rsidR="00A37EFC" w:rsidRPr="00904FCB">
        <w:rPr>
          <w:rFonts w:ascii="Traditional Arabic" w:hAnsi="Traditional Arabic" w:hint="cs"/>
          <w:sz w:val="27"/>
          <w:rtl/>
        </w:rPr>
        <w:t>ّ</w:t>
      </w:r>
      <w:r w:rsidRPr="00904FCB">
        <w:rPr>
          <w:rFonts w:ascii="Traditional Arabic" w:hAnsi="Traditional Arabic" w:hint="cs"/>
          <w:sz w:val="27"/>
          <w:rtl/>
        </w:rPr>
        <w:t xml:space="preserve">ف تحصيل المال فيه على القول، فله صورتان: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الأولى</w:t>
      </w:r>
      <w:r w:rsidRPr="00904FCB">
        <w:rPr>
          <w:rFonts w:ascii="Traditional Arabic" w:hAnsi="Traditional Arabic" w:hint="cs"/>
          <w:sz w:val="27"/>
          <w:rtl/>
        </w:rPr>
        <w:t xml:space="preserve">: أن يكون سبب تحصيل المال عملاً اختيارياً، من قبيل: الحيازة والصيد وإحياء الموات.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الثانية</w:t>
      </w:r>
      <w:r w:rsidRPr="00904FCB">
        <w:rPr>
          <w:rFonts w:ascii="Traditional Arabic" w:hAnsi="Traditional Arabic" w:hint="cs"/>
          <w:sz w:val="27"/>
          <w:rtl/>
        </w:rPr>
        <w:t>: أن يكون سبب تحصيل المال عملاً قهرياً، من قبيل: الإرث والوصية والوقف الخاص</w:t>
      </w:r>
      <w:r w:rsidR="00A37EFC" w:rsidRPr="00904FCB">
        <w:rPr>
          <w:rFonts w:ascii="Traditional Arabic" w:hAnsi="Traditional Arabic" w:hint="cs"/>
          <w:sz w:val="27"/>
          <w:rtl/>
        </w:rPr>
        <w:t>ّ</w:t>
      </w:r>
      <w:r w:rsidRPr="00904FCB">
        <w:rPr>
          <w:rFonts w:ascii="Traditional Arabic" w:hAnsi="Traditional Arabic" w:hint="cs"/>
          <w:sz w:val="27"/>
          <w:rtl/>
        </w:rPr>
        <w:t xml:space="preserve"> والزكاة والخمس والنذر. </w:t>
      </w:r>
    </w:p>
    <w:p w:rsidR="00F34FB9" w:rsidRPr="00904FCB" w:rsidRDefault="00A37EFC" w:rsidP="007A21AA">
      <w:pPr>
        <w:spacing w:line="400" w:lineRule="exact"/>
        <w:rPr>
          <w:rFonts w:ascii="Traditional Arabic" w:hAnsi="Traditional Arabic"/>
          <w:sz w:val="27"/>
          <w:rtl/>
        </w:rPr>
      </w:pPr>
      <w:r w:rsidRPr="00904FCB">
        <w:rPr>
          <w:rFonts w:ascii="Traditional Arabic" w:hAnsi="Traditional Arabic" w:hint="cs"/>
          <w:sz w:val="27"/>
          <w:rtl/>
        </w:rPr>
        <w:t>ومن ال</w:t>
      </w:r>
      <w:r w:rsidR="00F34FB9" w:rsidRPr="00904FCB">
        <w:rPr>
          <w:rFonts w:ascii="Traditional Arabic" w:hAnsi="Traditional Arabic" w:hint="cs"/>
          <w:sz w:val="27"/>
          <w:rtl/>
        </w:rPr>
        <w:t>واضح أن تحصيل المال في جميع هذه الموارد لا يتوق</w:t>
      </w:r>
      <w:r w:rsidRPr="00904FCB">
        <w:rPr>
          <w:rFonts w:ascii="Traditional Arabic" w:hAnsi="Traditional Arabic" w:hint="cs"/>
          <w:sz w:val="27"/>
          <w:rtl/>
        </w:rPr>
        <w:t>َّ</w:t>
      </w:r>
      <w:r w:rsidR="00F34FB9" w:rsidRPr="00904FCB">
        <w:rPr>
          <w:rFonts w:ascii="Traditional Arabic" w:hAnsi="Traditional Arabic" w:hint="cs"/>
          <w:sz w:val="27"/>
          <w:rtl/>
        </w:rPr>
        <w:t>ف على القول، بل يحصل بشكل</w:t>
      </w:r>
      <w:r w:rsidRPr="00904FCB">
        <w:rPr>
          <w:rFonts w:ascii="Traditional Arabic" w:hAnsi="Traditional Arabic" w:hint="cs"/>
          <w:sz w:val="27"/>
          <w:rtl/>
        </w:rPr>
        <w:t>ٍ</w:t>
      </w:r>
      <w:r w:rsidR="00F34FB9" w:rsidRPr="00904FCB">
        <w:rPr>
          <w:rFonts w:ascii="Traditional Arabic" w:hAnsi="Traditional Arabic" w:hint="cs"/>
          <w:sz w:val="27"/>
          <w:rtl/>
        </w:rPr>
        <w:t xml:space="preserve"> تلقائي.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ب ـ الأعراض</w:t>
      </w:r>
      <w:r w:rsidRPr="00904FCB">
        <w:rPr>
          <w:rFonts w:ascii="Traditional Arabic" w:hAnsi="Traditional Arabic" w:hint="cs"/>
          <w:sz w:val="27"/>
          <w:rtl/>
        </w:rPr>
        <w:t xml:space="preserve">: </w:t>
      </w:r>
      <w:r w:rsidR="00A37EFC" w:rsidRPr="00904FCB">
        <w:rPr>
          <w:rFonts w:ascii="Traditional Arabic" w:hAnsi="Traditional Arabic" w:hint="cs"/>
          <w:sz w:val="27"/>
          <w:rtl/>
        </w:rPr>
        <w:t>و</w:t>
      </w:r>
      <w:r w:rsidRPr="00904FCB">
        <w:rPr>
          <w:rFonts w:ascii="Traditional Arabic" w:hAnsi="Traditional Arabic" w:hint="cs"/>
          <w:sz w:val="27"/>
          <w:rtl/>
        </w:rPr>
        <w:t>الأحكام التي تتعل</w:t>
      </w:r>
      <w:r w:rsidR="00A37EFC" w:rsidRPr="00904FCB">
        <w:rPr>
          <w:rFonts w:ascii="Traditional Arabic" w:hAnsi="Traditional Arabic" w:hint="cs"/>
          <w:sz w:val="27"/>
          <w:rtl/>
        </w:rPr>
        <w:t>ّ</w:t>
      </w:r>
      <w:r w:rsidRPr="00904FCB">
        <w:rPr>
          <w:rFonts w:ascii="Traditional Arabic" w:hAnsi="Traditional Arabic" w:hint="cs"/>
          <w:sz w:val="27"/>
          <w:rtl/>
        </w:rPr>
        <w:t>ق بالأعراض</w:t>
      </w:r>
      <w:r w:rsidR="00A37EFC" w:rsidRPr="00904FCB">
        <w:rPr>
          <w:rFonts w:ascii="Traditional Arabic" w:hAnsi="Traditional Arabic" w:hint="cs"/>
          <w:sz w:val="27"/>
          <w:rtl/>
        </w:rPr>
        <w:t xml:space="preserve"> هي</w:t>
      </w:r>
      <w:r w:rsidRPr="00904FCB">
        <w:rPr>
          <w:rFonts w:ascii="Traditional Arabic" w:hAnsi="Traditional Arabic" w:hint="cs"/>
          <w:sz w:val="27"/>
          <w:rtl/>
        </w:rPr>
        <w:t xml:space="preserve"> من قبيل: النكاح والطلاق والظهار وما إلى ذلك. ولم ي</w:t>
      </w:r>
      <w:r w:rsidR="00A37EFC" w:rsidRPr="00904FCB">
        <w:rPr>
          <w:rFonts w:ascii="Traditional Arabic" w:hAnsi="Traditional Arabic" w:hint="cs"/>
          <w:sz w:val="27"/>
          <w:rtl/>
        </w:rPr>
        <w:t>ُ</w:t>
      </w:r>
      <w:r w:rsidRPr="00904FCB">
        <w:rPr>
          <w:rFonts w:ascii="Traditional Arabic" w:hAnsi="Traditional Arabic" w:hint="cs"/>
          <w:sz w:val="27"/>
          <w:rtl/>
        </w:rPr>
        <w:t>ب</w:t>
      </w:r>
      <w:r w:rsidR="00A37EFC" w:rsidRPr="00904FCB">
        <w:rPr>
          <w:rFonts w:ascii="Traditional Arabic" w:hAnsi="Traditional Arabic" w:hint="cs"/>
          <w:sz w:val="27"/>
          <w:rtl/>
        </w:rPr>
        <w:t>ْ</w:t>
      </w:r>
      <w:r w:rsidRPr="00904FCB">
        <w:rPr>
          <w:rFonts w:ascii="Traditional Arabic" w:hAnsi="Traditional Arabic" w:hint="cs"/>
          <w:sz w:val="27"/>
          <w:rtl/>
        </w:rPr>
        <w:t>د</w:t>
      </w:r>
      <w:r w:rsidR="00A37EFC" w:rsidRPr="00904FCB">
        <w:rPr>
          <w:rFonts w:ascii="Traditional Arabic" w:hAnsi="Traditional Arabic" w:hint="cs"/>
          <w:sz w:val="27"/>
          <w:rtl/>
        </w:rPr>
        <w:t>ِ</w:t>
      </w:r>
      <w:r w:rsidRPr="00904FCB">
        <w:rPr>
          <w:rFonts w:ascii="Traditional Arabic" w:hAnsi="Traditional Arabic" w:hint="cs"/>
          <w:sz w:val="27"/>
          <w:rtl/>
        </w:rPr>
        <w:t xml:space="preserve"> سماحته مزيداً من التوضيح في</w:t>
      </w:r>
      <w:r w:rsidR="00A37EFC" w:rsidRPr="00904FCB">
        <w:rPr>
          <w:rFonts w:ascii="Traditional Arabic" w:hAnsi="Traditional Arabic" w:hint="cs"/>
          <w:sz w:val="27"/>
          <w:rtl/>
        </w:rPr>
        <w:t xml:space="preserve"> </w:t>
      </w:r>
      <w:r w:rsidRPr="00904FCB">
        <w:rPr>
          <w:rFonts w:ascii="Traditional Arabic" w:hAnsi="Traditional Arabic" w:hint="cs"/>
          <w:sz w:val="27"/>
          <w:rtl/>
        </w:rPr>
        <w:t>ما يتعل</w:t>
      </w:r>
      <w:r w:rsidR="00A37EFC" w:rsidRPr="00904FCB">
        <w:rPr>
          <w:rFonts w:ascii="Traditional Arabic" w:hAnsi="Traditional Arabic" w:hint="cs"/>
          <w:sz w:val="27"/>
          <w:rtl/>
        </w:rPr>
        <w:t>َّ</w:t>
      </w:r>
      <w:r w:rsidRPr="00904FCB">
        <w:rPr>
          <w:rFonts w:ascii="Traditional Arabic" w:hAnsi="Traditional Arabic" w:hint="cs"/>
          <w:sz w:val="27"/>
          <w:rtl/>
        </w:rPr>
        <w:t xml:space="preserve">ق بالأعراض.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ج</w:t>
      </w:r>
      <w:r w:rsidR="00EC030A" w:rsidRPr="00904FCB">
        <w:rPr>
          <w:rFonts w:ascii="Traditional Arabic" w:hAnsi="Traditional Arabic" w:hint="cs"/>
          <w:b/>
          <w:bCs/>
          <w:sz w:val="27"/>
          <w:rtl/>
        </w:rPr>
        <w:t xml:space="preserve"> ـ</w:t>
      </w:r>
      <w:r w:rsidRPr="00904FCB">
        <w:rPr>
          <w:rFonts w:ascii="Traditional Arabic" w:hAnsi="Traditional Arabic" w:hint="cs"/>
          <w:b/>
          <w:bCs/>
          <w:sz w:val="27"/>
          <w:rtl/>
        </w:rPr>
        <w:t xml:space="preserve"> النفوس</w:t>
      </w:r>
      <w:r w:rsidRPr="00904FCB">
        <w:rPr>
          <w:rFonts w:ascii="Traditional Arabic" w:hAnsi="Traditional Arabic" w:hint="cs"/>
          <w:sz w:val="27"/>
          <w:rtl/>
        </w:rPr>
        <w:t xml:space="preserve">: </w:t>
      </w:r>
      <w:r w:rsidR="00EC030A" w:rsidRPr="00904FCB">
        <w:rPr>
          <w:rFonts w:ascii="Traditional Arabic" w:hAnsi="Traditional Arabic" w:hint="cs"/>
          <w:sz w:val="27"/>
          <w:rtl/>
        </w:rPr>
        <w:t>و</w:t>
      </w:r>
      <w:r w:rsidRPr="00904FCB">
        <w:rPr>
          <w:rFonts w:ascii="Traditional Arabic" w:hAnsi="Traditional Arabic" w:hint="cs"/>
          <w:sz w:val="27"/>
          <w:rtl/>
        </w:rPr>
        <w:t>الأحكام التي تتعل</w:t>
      </w:r>
      <w:r w:rsidR="00EC030A" w:rsidRPr="00904FCB">
        <w:rPr>
          <w:rFonts w:ascii="Traditional Arabic" w:hAnsi="Traditional Arabic" w:hint="cs"/>
          <w:sz w:val="27"/>
          <w:rtl/>
        </w:rPr>
        <w:t>َّ</w:t>
      </w:r>
      <w:r w:rsidRPr="00904FCB">
        <w:rPr>
          <w:rFonts w:ascii="Traditional Arabic" w:hAnsi="Traditional Arabic" w:hint="cs"/>
          <w:sz w:val="27"/>
          <w:rtl/>
        </w:rPr>
        <w:t xml:space="preserve">ق بالنفوس لها صورتان: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الأولى</w:t>
      </w:r>
      <w:r w:rsidRPr="00904FCB">
        <w:rPr>
          <w:rFonts w:ascii="Traditional Arabic" w:hAnsi="Traditional Arabic" w:hint="cs"/>
          <w:sz w:val="27"/>
          <w:rtl/>
        </w:rPr>
        <w:t xml:space="preserve">: فكّ أو تحرير نفس، من قبيل: عتق الرقبة.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الثانية</w:t>
      </w:r>
      <w:r w:rsidRPr="00904FCB">
        <w:rPr>
          <w:rFonts w:ascii="Traditional Arabic" w:hAnsi="Traditional Arabic" w:hint="cs"/>
          <w:sz w:val="27"/>
          <w:rtl/>
        </w:rPr>
        <w:t>: تدارك النفس، من قبيل: الديات والقصاص والحدود</w:t>
      </w:r>
      <w:r w:rsidRPr="00904FCB">
        <w:rPr>
          <w:rFonts w:ascii="Traditional Arabic" w:hAnsi="Traditional Arabic"/>
          <w:sz w:val="27"/>
          <w:vertAlign w:val="superscript"/>
          <w:rtl/>
        </w:rPr>
        <w:t>(</w:t>
      </w:r>
      <w:r w:rsidRPr="00904FCB">
        <w:rPr>
          <w:rStyle w:val="ac"/>
          <w:rFonts w:ascii="Traditional Arabic" w:hAnsi="Traditional Arabic"/>
          <w:sz w:val="27"/>
          <w:rtl/>
        </w:rPr>
        <w:endnoteReference w:id="601"/>
      </w:r>
      <w:r w:rsidRPr="00904FCB">
        <w:rPr>
          <w:rFonts w:ascii="Traditional Arabic" w:hAnsi="Traditional Arabic"/>
          <w:sz w:val="27"/>
          <w:vertAlign w:val="superscript"/>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وقال سماحته في ختام هذا التبويب: حيث </w:t>
      </w:r>
      <w:r w:rsidR="00EC030A" w:rsidRPr="00904FCB">
        <w:rPr>
          <w:rFonts w:ascii="Traditional Arabic" w:hAnsi="Traditional Arabic" w:hint="cs"/>
          <w:sz w:val="27"/>
          <w:rtl/>
        </w:rPr>
        <w:t>إ</w:t>
      </w:r>
      <w:r w:rsidRPr="00904FCB">
        <w:rPr>
          <w:rFonts w:ascii="Traditional Arabic" w:hAnsi="Traditional Arabic" w:hint="cs"/>
          <w:sz w:val="27"/>
          <w:rtl/>
        </w:rPr>
        <w:t>ن كل</w:t>
      </w:r>
      <w:r w:rsidR="00EC030A" w:rsidRPr="00904FCB">
        <w:rPr>
          <w:rFonts w:ascii="Traditional Arabic" w:hAnsi="Traditional Arabic" w:hint="cs"/>
          <w:sz w:val="27"/>
          <w:rtl/>
        </w:rPr>
        <w:t>ّ</w:t>
      </w:r>
      <w:r w:rsidRPr="00904FCB">
        <w:rPr>
          <w:rFonts w:ascii="Traditional Arabic" w:hAnsi="Traditional Arabic" w:hint="cs"/>
          <w:sz w:val="27"/>
          <w:rtl/>
        </w:rPr>
        <w:t xml:space="preserve"> واحد</w:t>
      </w:r>
      <w:r w:rsidR="00EC030A" w:rsidRPr="00904FCB">
        <w:rPr>
          <w:rFonts w:ascii="Traditional Arabic" w:hAnsi="Traditional Arabic" w:hint="cs"/>
          <w:sz w:val="27"/>
          <w:rtl/>
        </w:rPr>
        <w:t>ٍ</w:t>
      </w:r>
      <w:r w:rsidRPr="00904FCB">
        <w:rPr>
          <w:rFonts w:ascii="Traditional Arabic" w:hAnsi="Traditional Arabic" w:hint="cs"/>
          <w:sz w:val="27"/>
          <w:rtl/>
        </w:rPr>
        <w:t xml:space="preserve"> من هذه الوسائل يستتبع معاشرة، والمعاشرة تؤد</w:t>
      </w:r>
      <w:r w:rsidR="00EC030A" w:rsidRPr="00904FCB">
        <w:rPr>
          <w:rFonts w:ascii="Traditional Arabic" w:hAnsi="Traditional Arabic" w:hint="cs"/>
          <w:sz w:val="27"/>
          <w:rtl/>
        </w:rPr>
        <w:t>ّ</w:t>
      </w:r>
      <w:r w:rsidRPr="00904FCB">
        <w:rPr>
          <w:rFonts w:ascii="Traditional Arabic" w:hAnsi="Traditional Arabic" w:hint="cs"/>
          <w:sz w:val="27"/>
          <w:rtl/>
        </w:rPr>
        <w:t>ي أحياناً إلى الخصومة</w:t>
      </w:r>
      <w:r w:rsidR="00EC030A" w:rsidRPr="00904FCB">
        <w:rPr>
          <w:rFonts w:ascii="Traditional Arabic" w:hAnsi="Traditional Arabic" w:hint="cs"/>
          <w:sz w:val="27"/>
          <w:rtl/>
        </w:rPr>
        <w:t>،</w:t>
      </w:r>
      <w:r w:rsidRPr="00904FCB">
        <w:rPr>
          <w:rFonts w:ascii="Traditional Arabic" w:hAnsi="Traditional Arabic" w:hint="cs"/>
          <w:sz w:val="27"/>
          <w:rtl/>
        </w:rPr>
        <w:t xml:space="preserve"> عمد الشارع المقد</w:t>
      </w:r>
      <w:r w:rsidR="00EC030A" w:rsidRPr="00904FCB">
        <w:rPr>
          <w:rFonts w:ascii="Traditional Arabic" w:hAnsi="Traditional Arabic" w:hint="cs"/>
          <w:sz w:val="27"/>
          <w:rtl/>
        </w:rPr>
        <w:t>َّ</w:t>
      </w:r>
      <w:r w:rsidRPr="00904FCB">
        <w:rPr>
          <w:rFonts w:ascii="Traditional Arabic" w:hAnsi="Traditional Arabic" w:hint="cs"/>
          <w:sz w:val="27"/>
          <w:rtl/>
        </w:rPr>
        <w:t>س إلى تشريع القضاء</w:t>
      </w:r>
      <w:r w:rsidR="00EC030A" w:rsidRPr="00904FCB">
        <w:rPr>
          <w:rFonts w:ascii="Traditional Arabic" w:hAnsi="Traditional Arabic" w:hint="cs"/>
          <w:sz w:val="27"/>
          <w:rtl/>
        </w:rPr>
        <w:t>؛</w:t>
      </w:r>
      <w:r w:rsidRPr="00904FCB">
        <w:rPr>
          <w:rFonts w:ascii="Traditional Arabic" w:hAnsi="Traditional Arabic" w:hint="cs"/>
          <w:sz w:val="27"/>
          <w:rtl/>
        </w:rPr>
        <w:t xml:space="preserve"> لرفع هذه الخصومة. </w:t>
      </w:r>
    </w:p>
    <w:p w:rsidR="00F34FB9" w:rsidRPr="00904FCB" w:rsidRDefault="00EC030A" w:rsidP="007A21AA">
      <w:pPr>
        <w:spacing w:line="400" w:lineRule="exact"/>
        <w:rPr>
          <w:rFonts w:ascii="Traditional Arabic" w:hAnsi="Traditional Arabic"/>
          <w:sz w:val="27"/>
          <w:rtl/>
        </w:rPr>
      </w:pPr>
      <w:r w:rsidRPr="00904FCB">
        <w:rPr>
          <w:rFonts w:ascii="Traditional Arabic" w:hAnsi="Traditional Arabic" w:hint="cs"/>
          <w:sz w:val="27"/>
          <w:rtl/>
        </w:rPr>
        <w:lastRenderedPageBreak/>
        <w:t>ومن ال</w:t>
      </w:r>
      <w:r w:rsidR="00F34FB9" w:rsidRPr="00904FCB">
        <w:rPr>
          <w:rFonts w:ascii="Traditional Arabic" w:hAnsi="Traditional Arabic" w:hint="cs"/>
          <w:sz w:val="27"/>
          <w:rtl/>
        </w:rPr>
        <w:t>واضح أن هذا النوع من تبويبات وتقسيمات الأحكام الفقهية من مبتكرات وإبداعات الشيخ كاشف الغطاء. وبعبارة</w:t>
      </w:r>
      <w:r w:rsidRPr="00904FCB">
        <w:rPr>
          <w:rFonts w:ascii="Traditional Arabic" w:hAnsi="Traditional Arabic" w:hint="cs"/>
          <w:sz w:val="27"/>
          <w:rtl/>
        </w:rPr>
        <w:t>ٍ</w:t>
      </w:r>
      <w:r w:rsidR="00F34FB9" w:rsidRPr="00904FCB">
        <w:rPr>
          <w:rFonts w:ascii="Traditional Arabic" w:hAnsi="Traditional Arabic" w:hint="cs"/>
          <w:sz w:val="27"/>
          <w:rtl/>
        </w:rPr>
        <w:t xml:space="preserve"> أخرى: في مقام هندسة وهيكلة الفقه</w:t>
      </w:r>
      <w:r w:rsidRPr="00904FCB">
        <w:rPr>
          <w:rFonts w:ascii="Traditional Arabic" w:hAnsi="Traditional Arabic" w:hint="cs"/>
          <w:sz w:val="27"/>
          <w:rtl/>
        </w:rPr>
        <w:t>،</w:t>
      </w:r>
      <w:r w:rsidR="00F34FB9" w:rsidRPr="00904FCB">
        <w:rPr>
          <w:rFonts w:ascii="Traditional Arabic" w:hAnsi="Traditional Arabic" w:hint="cs"/>
          <w:sz w:val="27"/>
          <w:rtl/>
        </w:rPr>
        <w:t xml:space="preserve"> </w:t>
      </w:r>
      <w:r w:rsidRPr="00904FCB">
        <w:rPr>
          <w:rFonts w:ascii="Traditional Arabic" w:hAnsi="Traditional Arabic" w:hint="cs"/>
          <w:sz w:val="27"/>
          <w:rtl/>
        </w:rPr>
        <w:t>و</w:t>
      </w:r>
      <w:r w:rsidR="00F34FB9" w:rsidRPr="00904FCB">
        <w:rPr>
          <w:rFonts w:ascii="Traditional Arabic" w:hAnsi="Traditional Arabic" w:hint="cs"/>
          <w:sz w:val="27"/>
          <w:rtl/>
        </w:rPr>
        <w:t xml:space="preserve">بعد بيان التقسيم المشهور القائم على التقسيم الرباعي: المبادئ والمعاملات والإيقاعات والأحكام، قال: العقد على قسمين: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أـ العقد الإذني المج</w:t>
      </w:r>
      <w:r w:rsidR="00EC030A" w:rsidRPr="00904FCB">
        <w:rPr>
          <w:rFonts w:ascii="Traditional Arabic" w:hAnsi="Traditional Arabic" w:hint="cs"/>
          <w:b/>
          <w:bCs/>
          <w:sz w:val="27"/>
          <w:rtl/>
        </w:rPr>
        <w:t>ّ</w:t>
      </w:r>
      <w:r w:rsidRPr="00904FCB">
        <w:rPr>
          <w:rFonts w:ascii="Traditional Arabic" w:hAnsi="Traditional Arabic" w:hint="cs"/>
          <w:b/>
          <w:bCs/>
          <w:sz w:val="27"/>
          <w:rtl/>
        </w:rPr>
        <w:t>اني</w:t>
      </w:r>
      <w:r w:rsidRPr="00904FCB">
        <w:rPr>
          <w:rFonts w:ascii="Traditional Arabic" w:hAnsi="Traditional Arabic" w:hint="cs"/>
          <w:sz w:val="27"/>
          <w:rtl/>
        </w:rPr>
        <w:t>: من قبيل: الوكالة والعارية والوديعة والهبة وما شاكل ذلك. وإن إطلاق عنوان العقد على كل</w:t>
      </w:r>
      <w:r w:rsidR="00EC030A" w:rsidRPr="00904FCB">
        <w:rPr>
          <w:rFonts w:ascii="Traditional Arabic" w:hAnsi="Traditional Arabic" w:hint="cs"/>
          <w:sz w:val="27"/>
          <w:rtl/>
        </w:rPr>
        <w:t>ّ</w:t>
      </w:r>
      <w:r w:rsidRPr="00904FCB">
        <w:rPr>
          <w:rFonts w:ascii="Traditional Arabic" w:hAnsi="Traditional Arabic" w:hint="cs"/>
          <w:sz w:val="27"/>
          <w:rtl/>
        </w:rPr>
        <w:t xml:space="preserve"> واحد من هذه الموارد طبقاً للمصطلح الفقهي صحيح</w:t>
      </w:r>
      <w:r w:rsidR="00EC030A" w:rsidRPr="00904FCB">
        <w:rPr>
          <w:rFonts w:ascii="Traditional Arabic" w:hAnsi="Traditional Arabic" w:hint="cs"/>
          <w:sz w:val="27"/>
          <w:rtl/>
        </w:rPr>
        <w:t>؛</w:t>
      </w:r>
      <w:r w:rsidRPr="00904FCB">
        <w:rPr>
          <w:rFonts w:ascii="Traditional Arabic" w:hAnsi="Traditional Arabic" w:hint="cs"/>
          <w:sz w:val="27"/>
          <w:rtl/>
        </w:rPr>
        <w:t xml:space="preserve"> لكونه متقوّ</w:t>
      </w:r>
      <w:r w:rsidR="00EC030A" w:rsidRPr="00904FCB">
        <w:rPr>
          <w:rFonts w:ascii="Traditional Arabic" w:hAnsi="Traditional Arabic" w:hint="cs"/>
          <w:sz w:val="27"/>
          <w:rtl/>
        </w:rPr>
        <w:t>ِ</w:t>
      </w:r>
      <w:r w:rsidRPr="00904FCB">
        <w:rPr>
          <w:rFonts w:ascii="Traditional Arabic" w:hAnsi="Traditional Arabic" w:hint="cs"/>
          <w:sz w:val="27"/>
          <w:rtl/>
        </w:rPr>
        <w:t>ماً بطرفين، وإلا</w:t>
      </w:r>
      <w:r w:rsidR="00EC030A" w:rsidRPr="00904FCB">
        <w:rPr>
          <w:rFonts w:ascii="Traditional Arabic" w:hAnsi="Traditional Arabic" w:hint="cs"/>
          <w:sz w:val="27"/>
          <w:rtl/>
        </w:rPr>
        <w:t>ّ</w:t>
      </w:r>
      <w:r w:rsidRPr="00904FCB">
        <w:rPr>
          <w:rFonts w:ascii="Traditional Arabic" w:hAnsi="Traditional Arabic" w:hint="cs"/>
          <w:sz w:val="27"/>
          <w:rtl/>
        </w:rPr>
        <w:t xml:space="preserve"> فإن إطلاق العقد عليه من زاوية الشرع واللغة مشكل، ومن هنا لا يشمله إطلاق </w:t>
      </w:r>
      <w:r w:rsidRPr="00904FCB">
        <w:rPr>
          <w:rFonts w:ascii="Mosawi" w:hAnsi="Mosawi" w:cs="Mosawi"/>
          <w:sz w:val="24"/>
          <w:szCs w:val="24"/>
          <w:rtl/>
        </w:rPr>
        <w:t>﴿</w:t>
      </w:r>
      <w:r w:rsidRPr="00904FCB">
        <w:rPr>
          <w:rFonts w:ascii="Traditional Arabic" w:hAnsi="Traditional Arabic" w:hint="cs"/>
          <w:b/>
          <w:bCs/>
          <w:sz w:val="27"/>
          <w:rtl/>
        </w:rPr>
        <w:t>أ</w:t>
      </w:r>
      <w:r w:rsidR="00EC030A" w:rsidRPr="00904FCB">
        <w:rPr>
          <w:rFonts w:ascii="Traditional Arabic" w:hAnsi="Traditional Arabic" w:hint="cs"/>
          <w:b/>
          <w:bCs/>
          <w:sz w:val="27"/>
          <w:rtl/>
        </w:rPr>
        <w:t>َ</w:t>
      </w:r>
      <w:r w:rsidRPr="00904FCB">
        <w:rPr>
          <w:rFonts w:ascii="Traditional Arabic" w:hAnsi="Traditional Arabic" w:hint="cs"/>
          <w:b/>
          <w:bCs/>
          <w:sz w:val="27"/>
          <w:rtl/>
        </w:rPr>
        <w:t>و</w:t>
      </w:r>
      <w:r w:rsidR="00EC030A" w:rsidRPr="00904FCB">
        <w:rPr>
          <w:rFonts w:ascii="Traditional Arabic" w:hAnsi="Traditional Arabic" w:hint="cs"/>
          <w:b/>
          <w:bCs/>
          <w:sz w:val="27"/>
          <w:rtl/>
        </w:rPr>
        <w:t>ْ</w:t>
      </w:r>
      <w:r w:rsidRPr="00904FCB">
        <w:rPr>
          <w:rFonts w:ascii="Traditional Arabic" w:hAnsi="Traditional Arabic" w:hint="cs"/>
          <w:b/>
          <w:bCs/>
          <w:sz w:val="27"/>
          <w:rtl/>
        </w:rPr>
        <w:t>ف</w:t>
      </w:r>
      <w:r w:rsidR="00EC030A" w:rsidRPr="00904FCB">
        <w:rPr>
          <w:rFonts w:ascii="Traditional Arabic" w:hAnsi="Traditional Arabic" w:hint="cs"/>
          <w:b/>
          <w:bCs/>
          <w:sz w:val="27"/>
          <w:rtl/>
        </w:rPr>
        <w:t>ُ</w:t>
      </w:r>
      <w:r w:rsidRPr="00904FCB">
        <w:rPr>
          <w:rFonts w:ascii="Traditional Arabic" w:hAnsi="Traditional Arabic" w:hint="cs"/>
          <w:b/>
          <w:bCs/>
          <w:sz w:val="27"/>
          <w:rtl/>
        </w:rPr>
        <w:t>وا ب</w:t>
      </w:r>
      <w:r w:rsidR="00EC030A" w:rsidRPr="00904FCB">
        <w:rPr>
          <w:rFonts w:ascii="Traditional Arabic" w:hAnsi="Traditional Arabic" w:hint="cs"/>
          <w:b/>
          <w:bCs/>
          <w:sz w:val="27"/>
          <w:rtl/>
        </w:rPr>
        <w:t>ِ</w:t>
      </w:r>
      <w:r w:rsidRPr="00904FCB">
        <w:rPr>
          <w:rFonts w:ascii="Traditional Arabic" w:hAnsi="Traditional Arabic" w:hint="cs"/>
          <w:b/>
          <w:bCs/>
          <w:sz w:val="27"/>
          <w:rtl/>
        </w:rPr>
        <w:t>ال</w:t>
      </w:r>
      <w:r w:rsidR="00EC030A" w:rsidRPr="00904FCB">
        <w:rPr>
          <w:rFonts w:ascii="Traditional Arabic" w:hAnsi="Traditional Arabic" w:hint="cs"/>
          <w:b/>
          <w:bCs/>
          <w:sz w:val="27"/>
          <w:rtl/>
        </w:rPr>
        <w:t>ْ</w:t>
      </w:r>
      <w:r w:rsidRPr="00904FCB">
        <w:rPr>
          <w:rFonts w:ascii="Traditional Arabic" w:hAnsi="Traditional Arabic" w:hint="cs"/>
          <w:b/>
          <w:bCs/>
          <w:sz w:val="27"/>
          <w:rtl/>
        </w:rPr>
        <w:t>ع</w:t>
      </w:r>
      <w:r w:rsidR="00EC030A" w:rsidRPr="00904FCB">
        <w:rPr>
          <w:rFonts w:ascii="Traditional Arabic" w:hAnsi="Traditional Arabic" w:hint="cs"/>
          <w:b/>
          <w:bCs/>
          <w:sz w:val="27"/>
          <w:rtl/>
        </w:rPr>
        <w:t>ُ</w:t>
      </w:r>
      <w:r w:rsidRPr="00904FCB">
        <w:rPr>
          <w:rFonts w:ascii="Traditional Arabic" w:hAnsi="Traditional Arabic" w:hint="cs"/>
          <w:b/>
          <w:bCs/>
          <w:sz w:val="27"/>
          <w:rtl/>
        </w:rPr>
        <w:t>ق</w:t>
      </w:r>
      <w:r w:rsidR="00EC030A" w:rsidRPr="00904FCB">
        <w:rPr>
          <w:rFonts w:ascii="Traditional Arabic" w:hAnsi="Traditional Arabic" w:hint="cs"/>
          <w:b/>
          <w:bCs/>
          <w:sz w:val="27"/>
          <w:rtl/>
        </w:rPr>
        <w:t>ُ</w:t>
      </w:r>
      <w:r w:rsidRPr="00904FCB">
        <w:rPr>
          <w:rFonts w:ascii="Traditional Arabic" w:hAnsi="Traditional Arabic" w:hint="cs"/>
          <w:b/>
          <w:bCs/>
          <w:sz w:val="27"/>
          <w:rtl/>
        </w:rPr>
        <w:t>ود</w:t>
      </w:r>
      <w:r w:rsidR="00EC030A" w:rsidRPr="00904FCB">
        <w:rPr>
          <w:rFonts w:ascii="Traditional Arabic" w:hAnsi="Traditional Arabic" w:hint="cs"/>
          <w:b/>
          <w:bCs/>
          <w:sz w:val="27"/>
          <w:rtl/>
        </w:rPr>
        <w:t>ِ</w:t>
      </w:r>
      <w:r w:rsidRPr="00904FCB">
        <w:rPr>
          <w:rFonts w:ascii="Mosawi" w:hAnsi="Mosawi" w:cs="Mosawi"/>
          <w:sz w:val="24"/>
          <w:szCs w:val="24"/>
          <w:rtl/>
        </w:rPr>
        <w:t>﴾</w:t>
      </w:r>
      <w:r w:rsidRPr="00904FCB">
        <w:rPr>
          <w:rFonts w:ascii="Traditional Arabic" w:hAnsi="Traditional Arabic" w:hint="cs"/>
          <w:sz w:val="27"/>
          <w:rtl/>
        </w:rPr>
        <w:t xml:space="preserve"> (المائدة: </w:t>
      </w:r>
      <w:r w:rsidRPr="00B54760">
        <w:rPr>
          <w:rFonts w:ascii="Traditional Arabic" w:hAnsi="Traditional Arabic" w:hint="cs"/>
          <w:sz w:val="27"/>
          <w:rtl/>
        </w:rPr>
        <w:t>1</w:t>
      </w:r>
      <w:r w:rsidRPr="00904FCB">
        <w:rPr>
          <w:rFonts w:ascii="Traditional Arabic" w:hAnsi="Traditional Arabic" w:hint="cs"/>
          <w:sz w:val="27"/>
          <w:rtl/>
        </w:rPr>
        <w:t xml:space="preserve">)؛ لأنه يقتصر على العقود التي يكون من طبعها الجواز وعدم اللزوم.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ب ـ العقد الالتزامي</w:t>
      </w:r>
      <w:r w:rsidRPr="00904FCB">
        <w:rPr>
          <w:rFonts w:ascii="Traditional Arabic" w:hAnsi="Traditional Arabic" w:hint="cs"/>
          <w:sz w:val="27"/>
          <w:rtl/>
        </w:rPr>
        <w:t xml:space="preserve">، وهو على قسمين: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w:t>
      </w:r>
      <w:r w:rsidR="00EC030A" w:rsidRPr="00904FCB">
        <w:rPr>
          <w:rFonts w:ascii="Traditional Arabic" w:hAnsi="Traditional Arabic" w:hint="cs"/>
          <w:b/>
          <w:bCs/>
          <w:sz w:val="27"/>
          <w:rtl/>
        </w:rPr>
        <w:t>ّ</w:t>
      </w:r>
      <w:r w:rsidRPr="00904FCB">
        <w:rPr>
          <w:rFonts w:ascii="Traditional Arabic" w:hAnsi="Traditional Arabic" w:hint="cs"/>
          <w:b/>
          <w:bCs/>
          <w:sz w:val="27"/>
          <w:rtl/>
        </w:rPr>
        <w:t>ل</w:t>
      </w:r>
      <w:r w:rsidRPr="00904FCB">
        <w:rPr>
          <w:rFonts w:ascii="Traditional Arabic" w:hAnsi="Traditional Arabic" w:hint="cs"/>
          <w:sz w:val="27"/>
          <w:rtl/>
        </w:rPr>
        <w:t>: العقد الالتزامي</w:t>
      </w:r>
      <w:r w:rsidR="00EC030A" w:rsidRPr="00904FCB">
        <w:rPr>
          <w:rFonts w:ascii="Traditional Arabic" w:hAnsi="Traditional Arabic" w:hint="cs"/>
          <w:sz w:val="27"/>
          <w:rtl/>
        </w:rPr>
        <w:t>،</w:t>
      </w:r>
      <w:r w:rsidRPr="00904FCB">
        <w:rPr>
          <w:rFonts w:ascii="Traditional Arabic" w:hAnsi="Traditional Arabic" w:hint="cs"/>
          <w:sz w:val="27"/>
          <w:rtl/>
        </w:rPr>
        <w:t xml:space="preserve"> </w:t>
      </w:r>
      <w:r w:rsidR="00EC030A" w:rsidRPr="00904FCB">
        <w:rPr>
          <w:rFonts w:ascii="Traditional Arabic" w:hAnsi="Traditional Arabic" w:hint="cs"/>
          <w:sz w:val="27"/>
          <w:rtl/>
        </w:rPr>
        <w:t>و</w:t>
      </w:r>
      <w:r w:rsidRPr="00904FCB">
        <w:rPr>
          <w:rFonts w:ascii="Traditional Arabic" w:hAnsi="Traditional Arabic" w:hint="cs"/>
          <w:sz w:val="27"/>
          <w:rtl/>
        </w:rPr>
        <w:t>هو الذي يكون حصول أثره في تقدير</w:t>
      </w:r>
      <w:r w:rsidR="00EC030A" w:rsidRPr="00904FCB">
        <w:rPr>
          <w:rFonts w:ascii="Traditional Arabic" w:hAnsi="Traditional Arabic" w:hint="cs"/>
          <w:sz w:val="27"/>
          <w:rtl/>
        </w:rPr>
        <w:t>ٍ</w:t>
      </w:r>
      <w:r w:rsidRPr="00904FCB">
        <w:rPr>
          <w:rFonts w:ascii="Traditional Arabic" w:hAnsi="Traditional Arabic" w:hint="cs"/>
          <w:sz w:val="27"/>
          <w:rtl/>
        </w:rPr>
        <w:t xml:space="preserve"> خاص</w:t>
      </w:r>
      <w:r w:rsidR="00EC030A" w:rsidRPr="00904FCB">
        <w:rPr>
          <w:rFonts w:ascii="Traditional Arabic" w:hAnsi="Traditional Arabic" w:hint="cs"/>
          <w:sz w:val="27"/>
          <w:rtl/>
        </w:rPr>
        <w:t>ّ</w:t>
      </w:r>
      <w:r w:rsidRPr="00904FCB">
        <w:rPr>
          <w:rFonts w:ascii="Traditional Arabic" w:hAnsi="Traditional Arabic" w:hint="cs"/>
          <w:sz w:val="27"/>
          <w:rtl/>
        </w:rPr>
        <w:t xml:space="preserve">، من قبيل: المزارعة والمساقاة والمضاربة والسبق والرماية والجعالة.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w:t>
      </w:r>
      <w:r w:rsidRPr="00904FCB">
        <w:rPr>
          <w:rFonts w:ascii="Traditional Arabic" w:hAnsi="Traditional Arabic" w:hint="cs"/>
          <w:sz w:val="27"/>
          <w:rtl/>
        </w:rPr>
        <w:t>: العقد الالتزامي التحق</w:t>
      </w:r>
      <w:r w:rsidR="00EC030A" w:rsidRPr="00904FCB">
        <w:rPr>
          <w:rFonts w:ascii="Traditional Arabic" w:hAnsi="Traditional Arabic" w:hint="cs"/>
          <w:sz w:val="27"/>
          <w:rtl/>
        </w:rPr>
        <w:t>ُّ</w:t>
      </w:r>
      <w:r w:rsidRPr="00904FCB">
        <w:rPr>
          <w:rFonts w:ascii="Traditional Arabic" w:hAnsi="Traditional Arabic" w:hint="cs"/>
          <w:sz w:val="27"/>
          <w:rtl/>
        </w:rPr>
        <w:t xml:space="preserve">قي، </w:t>
      </w:r>
      <w:r w:rsidR="00EC030A" w:rsidRPr="00904FCB">
        <w:rPr>
          <w:rFonts w:ascii="Traditional Arabic" w:hAnsi="Traditional Arabic" w:hint="cs"/>
          <w:sz w:val="27"/>
          <w:rtl/>
        </w:rPr>
        <w:t xml:space="preserve">وهو </w:t>
      </w:r>
      <w:r w:rsidRPr="00904FCB">
        <w:rPr>
          <w:rFonts w:ascii="Traditional Arabic" w:hAnsi="Traditional Arabic" w:hint="cs"/>
          <w:sz w:val="27"/>
          <w:rtl/>
        </w:rPr>
        <w:t>الذي يكون فيه حصول الأثر منجّ</w:t>
      </w:r>
      <w:r w:rsidR="00EC030A" w:rsidRPr="00904FCB">
        <w:rPr>
          <w:rFonts w:ascii="Traditional Arabic" w:hAnsi="Traditional Arabic" w:hint="cs"/>
          <w:sz w:val="27"/>
          <w:rtl/>
        </w:rPr>
        <w:t>َ</w:t>
      </w:r>
      <w:r w:rsidRPr="00904FCB">
        <w:rPr>
          <w:rFonts w:ascii="Traditional Arabic" w:hAnsi="Traditional Arabic" w:hint="cs"/>
          <w:sz w:val="27"/>
          <w:rtl/>
        </w:rPr>
        <w:t>ز وفعلي</w:t>
      </w:r>
      <w:r w:rsidR="00EC030A" w:rsidRPr="00904FCB">
        <w:rPr>
          <w:rFonts w:ascii="Traditional Arabic" w:hAnsi="Traditional Arabic" w:hint="cs"/>
          <w:sz w:val="27"/>
          <w:rtl/>
        </w:rPr>
        <w:t>ّ</w:t>
      </w:r>
      <w:r w:rsidRPr="00904FCB">
        <w:rPr>
          <w:rFonts w:ascii="Traditional Arabic" w:hAnsi="Traditional Arabic" w:hint="cs"/>
          <w:sz w:val="27"/>
          <w:rtl/>
        </w:rPr>
        <w:t xml:space="preserve">، من قبيل: البيع والإجارة.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بعض العقود يكون إذنياً من ناحية</w:t>
      </w:r>
      <w:r w:rsidR="00D8100C" w:rsidRPr="00904FCB">
        <w:rPr>
          <w:rFonts w:ascii="Traditional Arabic" w:hAnsi="Traditional Arabic" w:hint="cs"/>
          <w:sz w:val="27"/>
          <w:rtl/>
        </w:rPr>
        <w:t>ٍ</w:t>
      </w:r>
      <w:r w:rsidRPr="00904FCB">
        <w:rPr>
          <w:rFonts w:ascii="Traditional Arabic" w:hAnsi="Traditional Arabic" w:hint="cs"/>
          <w:sz w:val="27"/>
          <w:rtl/>
        </w:rPr>
        <w:t xml:space="preserve">، </w:t>
      </w:r>
      <w:r w:rsidR="00D8100C" w:rsidRPr="00904FCB">
        <w:rPr>
          <w:rFonts w:ascii="Traditional Arabic" w:hAnsi="Traditional Arabic" w:hint="cs"/>
          <w:sz w:val="27"/>
          <w:rtl/>
        </w:rPr>
        <w:t>وا</w:t>
      </w:r>
      <w:r w:rsidRPr="00904FCB">
        <w:rPr>
          <w:rFonts w:ascii="Traditional Arabic" w:hAnsi="Traditional Arabic" w:hint="cs"/>
          <w:sz w:val="27"/>
          <w:rtl/>
        </w:rPr>
        <w:t>لتزامياً من ناحية</w:t>
      </w:r>
      <w:r w:rsidR="00D8100C" w:rsidRPr="00904FCB">
        <w:rPr>
          <w:rFonts w:ascii="Traditional Arabic" w:hAnsi="Traditional Arabic" w:hint="cs"/>
          <w:sz w:val="27"/>
          <w:rtl/>
        </w:rPr>
        <w:t>ٍ</w:t>
      </w:r>
      <w:r w:rsidRPr="00904FCB">
        <w:rPr>
          <w:rFonts w:ascii="Traditional Arabic" w:hAnsi="Traditional Arabic" w:hint="cs"/>
          <w:sz w:val="27"/>
          <w:rtl/>
        </w:rPr>
        <w:t xml:space="preserve"> أخرى، من قبيل: الإجارة</w:t>
      </w:r>
      <w:r w:rsidR="00D8100C" w:rsidRPr="00904FCB">
        <w:rPr>
          <w:rFonts w:ascii="Traditional Arabic" w:hAnsi="Traditional Arabic" w:hint="cs"/>
          <w:sz w:val="27"/>
          <w:rtl/>
        </w:rPr>
        <w:t>.</w:t>
      </w:r>
      <w:r w:rsidRPr="00904FCB">
        <w:rPr>
          <w:rFonts w:ascii="Traditional Arabic" w:hAnsi="Traditional Arabic" w:hint="cs"/>
          <w:sz w:val="27"/>
          <w:rtl/>
        </w:rPr>
        <w:t xml:space="preserve"> فحيث يكون المستأجر مالكاً لمنفعة العين المستأجرة تكون على نحو الإلزام وال</w:t>
      </w:r>
      <w:r w:rsidR="00D8100C" w:rsidRPr="00904FCB">
        <w:rPr>
          <w:rFonts w:ascii="Traditional Arabic" w:hAnsi="Traditional Arabic" w:hint="cs"/>
          <w:sz w:val="27"/>
          <w:rtl/>
        </w:rPr>
        <w:t>ا</w:t>
      </w:r>
      <w:r w:rsidRPr="00904FCB">
        <w:rPr>
          <w:rFonts w:ascii="Traditional Arabic" w:hAnsi="Traditional Arabic" w:hint="cs"/>
          <w:sz w:val="27"/>
          <w:rtl/>
        </w:rPr>
        <w:t>لتزام، وحيث يقبض المستأجر العين</w:t>
      </w:r>
      <w:r w:rsidR="00D8100C" w:rsidRPr="00904FCB">
        <w:rPr>
          <w:rFonts w:ascii="Traditional Arabic" w:hAnsi="Traditional Arabic" w:hint="cs"/>
          <w:sz w:val="27"/>
          <w:rtl/>
        </w:rPr>
        <w:t xml:space="preserve">، </w:t>
      </w:r>
      <w:r w:rsidRPr="00904FCB">
        <w:rPr>
          <w:rFonts w:ascii="Traditional Arabic" w:hAnsi="Traditional Arabic" w:hint="cs"/>
          <w:sz w:val="27"/>
          <w:rtl/>
        </w:rPr>
        <w:t>وتكون له الولاية عليها</w:t>
      </w:r>
      <w:r w:rsidR="00D8100C" w:rsidRPr="00904FCB">
        <w:rPr>
          <w:rFonts w:ascii="Traditional Arabic" w:hAnsi="Traditional Arabic" w:hint="cs"/>
          <w:sz w:val="27"/>
          <w:rtl/>
        </w:rPr>
        <w:t>،</w:t>
      </w:r>
      <w:r w:rsidRPr="00904FCB">
        <w:rPr>
          <w:rFonts w:ascii="Traditional Arabic" w:hAnsi="Traditional Arabic" w:hint="cs"/>
          <w:sz w:val="27"/>
          <w:rtl/>
        </w:rPr>
        <w:t xml:space="preserve"> تكون إذني</w:t>
      </w:r>
      <w:r w:rsidR="00D8100C" w:rsidRPr="00904FCB">
        <w:rPr>
          <w:rFonts w:ascii="Traditional Arabic" w:hAnsi="Traditional Arabic" w:hint="cs"/>
          <w:sz w:val="27"/>
          <w:rtl/>
        </w:rPr>
        <w:t>ّ</w:t>
      </w:r>
      <w:r w:rsidRPr="00904FCB">
        <w:rPr>
          <w:rFonts w:ascii="Traditional Arabic" w:hAnsi="Traditional Arabic" w:hint="cs"/>
          <w:sz w:val="27"/>
          <w:rtl/>
        </w:rPr>
        <w:t>ة؛ لأن العين المستأجرة أمانة بيد المستأجر</w:t>
      </w:r>
      <w:r w:rsidRPr="00904FCB">
        <w:rPr>
          <w:rFonts w:ascii="Traditional Arabic" w:hAnsi="Traditional Arabic"/>
          <w:sz w:val="27"/>
          <w:vertAlign w:val="superscript"/>
          <w:rtl/>
        </w:rPr>
        <w:t>(</w:t>
      </w:r>
      <w:r w:rsidRPr="00904FCB">
        <w:rPr>
          <w:rStyle w:val="ac"/>
          <w:rFonts w:ascii="Traditional Arabic" w:hAnsi="Traditional Arabic"/>
          <w:sz w:val="27"/>
          <w:rtl/>
        </w:rPr>
        <w:endnoteReference w:id="602"/>
      </w:r>
      <w:r w:rsidRPr="00904FCB">
        <w:rPr>
          <w:rFonts w:ascii="Traditional Arabic" w:hAnsi="Traditional Arabic"/>
          <w:sz w:val="27"/>
          <w:vertAlign w:val="superscript"/>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p>
    <w:p w:rsidR="00F34FB9" w:rsidRPr="00904FCB" w:rsidRDefault="00F34FB9" w:rsidP="007A21AA">
      <w:pPr>
        <w:pStyle w:val="31"/>
        <w:spacing w:line="400" w:lineRule="exact"/>
        <w:rPr>
          <w:color w:val="auto"/>
          <w:rtl/>
        </w:rPr>
      </w:pPr>
      <w:r w:rsidRPr="00904FCB">
        <w:rPr>
          <w:rFonts w:hint="cs"/>
          <w:color w:val="auto"/>
          <w:rtl/>
        </w:rPr>
        <w:t>تدوين قانون الفقه</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يمكن القول: إن فقه الشيعة ـ رغم ثرائه ـ ظلّ مهجوراً في العصور الماضية</w:t>
      </w:r>
      <w:r w:rsidR="00D8100C" w:rsidRPr="00904FCB">
        <w:rPr>
          <w:rFonts w:ascii="Traditional Arabic" w:hAnsi="Traditional Arabic" w:hint="cs"/>
          <w:sz w:val="27"/>
          <w:rtl/>
        </w:rPr>
        <w:t>،</w:t>
      </w:r>
      <w:r w:rsidRPr="00904FCB">
        <w:rPr>
          <w:rFonts w:ascii="Traditional Arabic" w:hAnsi="Traditional Arabic" w:hint="cs"/>
          <w:sz w:val="27"/>
          <w:rtl/>
        </w:rPr>
        <w:t xml:space="preserve"> وخارجاً عن دائرة التطبيق</w:t>
      </w:r>
      <w:r w:rsidR="00D8100C" w:rsidRPr="00904FCB">
        <w:rPr>
          <w:rFonts w:ascii="Traditional Arabic" w:hAnsi="Traditional Arabic" w:hint="cs"/>
          <w:sz w:val="27"/>
          <w:rtl/>
        </w:rPr>
        <w:t>،</w:t>
      </w:r>
      <w:r w:rsidRPr="00904FCB">
        <w:rPr>
          <w:rFonts w:ascii="Traditional Arabic" w:hAnsi="Traditional Arabic" w:hint="cs"/>
          <w:sz w:val="27"/>
          <w:rtl/>
        </w:rPr>
        <w:t xml:space="preserve"> إلا</w:t>
      </w:r>
      <w:r w:rsidR="00D8100C" w:rsidRPr="00904FCB">
        <w:rPr>
          <w:rFonts w:ascii="Traditional Arabic" w:hAnsi="Traditional Arabic" w:hint="cs"/>
          <w:sz w:val="27"/>
          <w:rtl/>
        </w:rPr>
        <w:t>ّ</w:t>
      </w:r>
      <w:r w:rsidRPr="00904FCB">
        <w:rPr>
          <w:rFonts w:ascii="Traditional Arabic" w:hAnsi="Traditional Arabic" w:hint="cs"/>
          <w:sz w:val="27"/>
          <w:rtl/>
        </w:rPr>
        <w:t xml:space="preserve"> في الحوزات العلمية والحلقات التنظيرية، وفي هامش</w:t>
      </w:r>
      <w:r w:rsidR="00D8100C" w:rsidRPr="00904FCB">
        <w:rPr>
          <w:rFonts w:ascii="Traditional Arabic" w:hAnsi="Traditional Arabic" w:hint="cs"/>
          <w:sz w:val="27"/>
          <w:rtl/>
        </w:rPr>
        <w:t>ٍ</w:t>
      </w:r>
      <w:r w:rsidRPr="00904FCB">
        <w:rPr>
          <w:rFonts w:ascii="Traditional Arabic" w:hAnsi="Traditional Arabic" w:hint="cs"/>
          <w:sz w:val="27"/>
          <w:rtl/>
        </w:rPr>
        <w:t xml:space="preserve"> ضيّق من العبادات التي كانت تبيّ</w:t>
      </w:r>
      <w:r w:rsidR="00D8100C" w:rsidRPr="00904FCB">
        <w:rPr>
          <w:rFonts w:ascii="Traditional Arabic" w:hAnsi="Traditional Arabic" w:hint="cs"/>
          <w:sz w:val="27"/>
          <w:rtl/>
        </w:rPr>
        <w:t>َ</w:t>
      </w:r>
      <w:r w:rsidRPr="00904FCB">
        <w:rPr>
          <w:rFonts w:ascii="Traditional Arabic" w:hAnsi="Traditional Arabic" w:hint="cs"/>
          <w:sz w:val="27"/>
          <w:rtl/>
        </w:rPr>
        <w:t xml:space="preserve">ن للناس من قبل الفقهاء على مستوى الرسائل العملية. </w:t>
      </w:r>
    </w:p>
    <w:p w:rsidR="00F34FB9" w:rsidRPr="00904FCB" w:rsidRDefault="00F34FB9" w:rsidP="00510A75">
      <w:pPr>
        <w:spacing w:line="400" w:lineRule="exact"/>
        <w:rPr>
          <w:rFonts w:ascii="Traditional Arabic" w:hAnsi="Traditional Arabic"/>
          <w:sz w:val="27"/>
          <w:rtl/>
        </w:rPr>
      </w:pPr>
      <w:r w:rsidRPr="00904FCB">
        <w:rPr>
          <w:rFonts w:ascii="Traditional Arabic" w:hAnsi="Traditional Arabic" w:hint="cs"/>
          <w:sz w:val="27"/>
          <w:rtl/>
        </w:rPr>
        <w:t>ب</w:t>
      </w:r>
      <w:r w:rsidR="00D8100C" w:rsidRPr="00904FCB">
        <w:rPr>
          <w:rFonts w:ascii="Traditional Arabic" w:hAnsi="Traditional Arabic" w:hint="cs"/>
          <w:sz w:val="27"/>
          <w:rtl/>
        </w:rPr>
        <w:t>َ</w:t>
      </w:r>
      <w:r w:rsidRPr="00904FCB">
        <w:rPr>
          <w:rFonts w:ascii="Traditional Arabic" w:hAnsi="Traditional Arabic" w:hint="cs"/>
          <w:sz w:val="27"/>
          <w:rtl/>
        </w:rPr>
        <w:t>ي</w:t>
      </w:r>
      <w:r w:rsidR="00D8100C" w:rsidRPr="00904FCB">
        <w:rPr>
          <w:rFonts w:ascii="Traditional Arabic" w:hAnsi="Traditional Arabic" w:hint="cs"/>
          <w:sz w:val="27"/>
          <w:rtl/>
        </w:rPr>
        <w:t>ْ</w:t>
      </w:r>
      <w:r w:rsidRPr="00904FCB">
        <w:rPr>
          <w:rFonts w:ascii="Traditional Arabic" w:hAnsi="Traditional Arabic" w:hint="cs"/>
          <w:sz w:val="27"/>
          <w:rtl/>
        </w:rPr>
        <w:t>د</w:t>
      </w:r>
      <w:r w:rsidR="00D8100C" w:rsidRPr="00904FCB">
        <w:rPr>
          <w:rFonts w:ascii="Traditional Arabic" w:hAnsi="Traditional Arabic" w:hint="cs"/>
          <w:sz w:val="27"/>
          <w:rtl/>
        </w:rPr>
        <w:t>َ</w:t>
      </w:r>
      <w:r w:rsidRPr="00904FCB">
        <w:rPr>
          <w:rFonts w:ascii="Traditional Arabic" w:hAnsi="Traditional Arabic" w:hint="cs"/>
          <w:sz w:val="27"/>
          <w:rtl/>
        </w:rPr>
        <w:t xml:space="preserve"> أنه بعد تدوين كتاب </w:t>
      </w:r>
      <w:r w:rsidRPr="00904FCB">
        <w:rPr>
          <w:rFonts w:hint="eastAsia"/>
          <w:sz w:val="27"/>
          <w:rtl/>
        </w:rPr>
        <w:t>«</w:t>
      </w:r>
      <w:r w:rsidRPr="00904FCB">
        <w:rPr>
          <w:rFonts w:ascii="Traditional Arabic" w:hAnsi="Traditional Arabic" w:hint="cs"/>
          <w:sz w:val="27"/>
          <w:rtl/>
        </w:rPr>
        <w:t>تحرير المجلة</w:t>
      </w:r>
      <w:r w:rsidRPr="00904FCB">
        <w:rPr>
          <w:rFonts w:hint="eastAsia"/>
          <w:sz w:val="27"/>
          <w:rtl/>
        </w:rPr>
        <w:t>»</w:t>
      </w:r>
      <w:r w:rsidRPr="00904FCB">
        <w:rPr>
          <w:rFonts w:ascii="Traditional Arabic" w:hAnsi="Traditional Arabic" w:hint="cs"/>
          <w:sz w:val="27"/>
          <w:rtl/>
        </w:rPr>
        <w:t>، وطرح الأبحاث الفقهية في قالب جديد</w:t>
      </w:r>
      <w:r w:rsidR="00D8100C" w:rsidRPr="00904FCB">
        <w:rPr>
          <w:rFonts w:ascii="Traditional Arabic" w:hAnsi="Traditional Arabic" w:hint="cs"/>
          <w:sz w:val="27"/>
          <w:rtl/>
        </w:rPr>
        <w:t>،</w:t>
      </w:r>
      <w:r w:rsidRPr="00904FCB">
        <w:rPr>
          <w:rFonts w:ascii="Traditional Arabic" w:hAnsi="Traditional Arabic" w:hint="cs"/>
          <w:sz w:val="27"/>
          <w:rtl/>
        </w:rPr>
        <w:t xml:space="preserve"> وعلى شكل مواد قانونية، ن</w:t>
      </w:r>
      <w:r w:rsidR="00D8100C" w:rsidRPr="00904FCB">
        <w:rPr>
          <w:rFonts w:ascii="Traditional Arabic" w:hAnsi="Traditional Arabic" w:hint="cs"/>
          <w:sz w:val="27"/>
          <w:rtl/>
        </w:rPr>
        <w:t>ُ</w:t>
      </w:r>
      <w:r w:rsidRPr="00904FCB">
        <w:rPr>
          <w:rFonts w:ascii="Traditional Arabic" w:hAnsi="Traditional Arabic" w:hint="cs"/>
          <w:sz w:val="27"/>
          <w:rtl/>
        </w:rPr>
        <w:t>فخت في جسد الفقه المسج</w:t>
      </w:r>
      <w:r w:rsidR="000D503B">
        <w:rPr>
          <w:rFonts w:ascii="Traditional Arabic" w:hAnsi="Traditional Arabic" w:hint="cs"/>
          <w:sz w:val="27"/>
          <w:rtl/>
        </w:rPr>
        <w:t>ّ</w:t>
      </w:r>
      <w:r w:rsidRPr="00904FCB">
        <w:rPr>
          <w:rFonts w:ascii="Traditional Arabic" w:hAnsi="Traditional Arabic" w:hint="cs"/>
          <w:sz w:val="27"/>
          <w:rtl/>
        </w:rPr>
        <w:t>ى روح</w:t>
      </w:r>
      <w:r w:rsidR="00D8100C" w:rsidRPr="00904FCB">
        <w:rPr>
          <w:rFonts w:ascii="Traditional Arabic" w:hAnsi="Traditional Arabic" w:hint="cs"/>
          <w:sz w:val="27"/>
          <w:rtl/>
        </w:rPr>
        <w:t>ٌ</w:t>
      </w:r>
      <w:r w:rsidRPr="00904FCB">
        <w:rPr>
          <w:rFonts w:ascii="Traditional Arabic" w:hAnsi="Traditional Arabic" w:hint="cs"/>
          <w:sz w:val="27"/>
          <w:rtl/>
        </w:rPr>
        <w:t xml:space="preserve"> جديدة، وأدخل </w:t>
      </w:r>
      <w:r w:rsidRPr="00904FCB">
        <w:rPr>
          <w:rFonts w:ascii="Traditional Arabic" w:hAnsi="Traditional Arabic" w:hint="cs"/>
          <w:sz w:val="27"/>
          <w:rtl/>
        </w:rPr>
        <w:lastRenderedPageBreak/>
        <w:t>الفقه في مرافق المجتمع وأروقة المحاكم القضائية، ومنحه شكلاً مجدياً وحيوياً وقادراً على إدارة المجتمع والدولة</w:t>
      </w:r>
      <w:r w:rsidR="00D8100C" w:rsidRPr="00904FCB">
        <w:rPr>
          <w:rFonts w:ascii="Traditional Arabic" w:hAnsi="Traditional Arabic" w:hint="cs"/>
          <w:sz w:val="27"/>
          <w:rtl/>
        </w:rPr>
        <w:t>،</w:t>
      </w:r>
      <w:r w:rsidRPr="00904FCB">
        <w:rPr>
          <w:rFonts w:ascii="Traditional Arabic" w:hAnsi="Traditional Arabic" w:hint="cs"/>
          <w:sz w:val="27"/>
          <w:rtl/>
        </w:rPr>
        <w:t xml:space="preserve"> وقرّ</w:t>
      </w:r>
      <w:r w:rsidR="00D8100C" w:rsidRPr="00904FCB">
        <w:rPr>
          <w:rFonts w:ascii="Traditional Arabic" w:hAnsi="Traditional Arabic" w:hint="cs"/>
          <w:sz w:val="27"/>
          <w:rtl/>
        </w:rPr>
        <w:t>َ</w:t>
      </w:r>
      <w:r w:rsidRPr="00904FCB">
        <w:rPr>
          <w:rFonts w:ascii="Traditional Arabic" w:hAnsi="Traditional Arabic" w:hint="cs"/>
          <w:sz w:val="27"/>
          <w:rtl/>
        </w:rPr>
        <w:t xml:space="preserve">ب الفقه النظري ـ الذي عبّر عنه الإمام </w:t>
      </w:r>
      <w:r w:rsidR="00D8100C" w:rsidRPr="00904FCB">
        <w:rPr>
          <w:rFonts w:ascii="Traditional Arabic" w:hAnsi="Traditional Arabic" w:hint="cs"/>
          <w:sz w:val="27"/>
          <w:rtl/>
        </w:rPr>
        <w:t>الخميني</w:t>
      </w:r>
      <w:r w:rsidR="00510A75" w:rsidRPr="00756F2A">
        <w:rPr>
          <w:rFonts w:ascii="Mosawi" w:hAnsi="Mosawi" w:cs="Mosawi"/>
          <w:sz w:val="22"/>
          <w:szCs w:val="22"/>
          <w:rtl/>
        </w:rPr>
        <w:t>&amp;</w:t>
      </w:r>
      <w:r w:rsidRPr="00904FCB">
        <w:rPr>
          <w:rFonts w:ascii="Traditional Arabic" w:hAnsi="Traditional Arabic" w:hint="cs"/>
          <w:sz w:val="27"/>
          <w:rtl/>
        </w:rPr>
        <w:t xml:space="preserve"> بأنه يواكب حياة الإنسان من المهد إلى اللحد ـ خطوة</w:t>
      </w:r>
      <w:r w:rsidR="00D8100C" w:rsidRPr="00904FCB">
        <w:rPr>
          <w:rFonts w:ascii="Traditional Arabic" w:hAnsi="Traditional Arabic" w:hint="cs"/>
          <w:sz w:val="27"/>
          <w:rtl/>
        </w:rPr>
        <w:t>ً</w:t>
      </w:r>
      <w:r w:rsidRPr="00904FCB">
        <w:rPr>
          <w:rFonts w:ascii="Traditional Arabic" w:hAnsi="Traditional Arabic" w:hint="cs"/>
          <w:sz w:val="27"/>
          <w:rtl/>
        </w:rPr>
        <w:t xml:space="preserve"> من التطبيق العملي.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إبداع الشيخ كاشف الغطاء لم يقتصر على أبواب المعاملات بالمعنى الأعم</w:t>
      </w:r>
      <w:r w:rsidR="00D8100C" w:rsidRPr="00904FCB">
        <w:rPr>
          <w:rFonts w:ascii="Traditional Arabic" w:hAnsi="Traditional Arabic" w:hint="cs"/>
          <w:sz w:val="27"/>
          <w:rtl/>
        </w:rPr>
        <w:t>ّ</w:t>
      </w:r>
      <w:r w:rsidRPr="00904FCB">
        <w:rPr>
          <w:rFonts w:ascii="Traditional Arabic" w:hAnsi="Traditional Arabic" w:hint="cs"/>
          <w:sz w:val="27"/>
          <w:rtl/>
        </w:rPr>
        <w:t xml:space="preserve"> ـ الذي عمد مؤل</w:t>
      </w:r>
      <w:r w:rsidR="00D8100C" w:rsidRPr="00904FCB">
        <w:rPr>
          <w:rFonts w:ascii="Traditional Arabic" w:hAnsi="Traditional Arabic" w:hint="cs"/>
          <w:sz w:val="27"/>
          <w:rtl/>
        </w:rPr>
        <w:t>ِّ</w:t>
      </w:r>
      <w:r w:rsidRPr="00904FCB">
        <w:rPr>
          <w:rFonts w:ascii="Traditional Arabic" w:hAnsi="Traditional Arabic" w:hint="cs"/>
          <w:sz w:val="27"/>
          <w:rtl/>
        </w:rPr>
        <w:t>فو مجلة الأحكام العدلية إلى تبويب مسائله على شكل المواد القانونية ـ</w:t>
      </w:r>
      <w:r w:rsidR="00D8100C" w:rsidRPr="00904FCB">
        <w:rPr>
          <w:rFonts w:ascii="Traditional Arabic" w:hAnsi="Traditional Arabic" w:hint="cs"/>
          <w:sz w:val="27"/>
          <w:rtl/>
        </w:rPr>
        <w:t>،</w:t>
      </w:r>
      <w:r w:rsidRPr="00904FCB">
        <w:rPr>
          <w:rFonts w:ascii="Traditional Arabic" w:hAnsi="Traditional Arabic" w:hint="cs"/>
          <w:sz w:val="27"/>
          <w:rtl/>
        </w:rPr>
        <w:t xml:space="preserve"> بل شمل حت</w:t>
      </w:r>
      <w:r w:rsidR="00D8100C" w:rsidRPr="00904FCB">
        <w:rPr>
          <w:rFonts w:ascii="Traditional Arabic" w:hAnsi="Traditional Arabic" w:hint="cs"/>
          <w:sz w:val="27"/>
          <w:rtl/>
        </w:rPr>
        <w:t>ّ</w:t>
      </w:r>
      <w:r w:rsidRPr="00904FCB">
        <w:rPr>
          <w:rFonts w:ascii="Traditional Arabic" w:hAnsi="Traditional Arabic" w:hint="cs"/>
          <w:sz w:val="27"/>
          <w:rtl/>
        </w:rPr>
        <w:t>ى مضامين الكتب الفقهية المتكف</w:t>
      </w:r>
      <w:r w:rsidR="00D8100C" w:rsidRPr="00904FCB">
        <w:rPr>
          <w:rFonts w:ascii="Traditional Arabic" w:hAnsi="Traditional Arabic" w:hint="cs"/>
          <w:sz w:val="27"/>
          <w:rtl/>
        </w:rPr>
        <w:t>ِّ</w:t>
      </w:r>
      <w:r w:rsidRPr="00904FCB">
        <w:rPr>
          <w:rFonts w:ascii="Traditional Arabic" w:hAnsi="Traditional Arabic" w:hint="cs"/>
          <w:sz w:val="27"/>
          <w:rtl/>
        </w:rPr>
        <w:t>لة بمعالجة الأحوال الشخصية، من قبيل: كتب النكاح والطلاق والظهار والإيلاء واللعان والد</w:t>
      </w:r>
      <w:r w:rsidR="00D8100C" w:rsidRPr="00904FCB">
        <w:rPr>
          <w:rFonts w:ascii="Traditional Arabic" w:hAnsi="Traditional Arabic" w:hint="cs"/>
          <w:sz w:val="27"/>
          <w:rtl/>
        </w:rPr>
        <w:t>َّ</w:t>
      </w:r>
      <w:r w:rsidRPr="00904FCB">
        <w:rPr>
          <w:rFonts w:ascii="Traditional Arabic" w:hAnsi="Traditional Arabic" w:hint="cs"/>
          <w:sz w:val="27"/>
          <w:rtl/>
        </w:rPr>
        <w:t>ي</w:t>
      </w:r>
      <w:r w:rsidR="00D8100C" w:rsidRPr="00904FCB">
        <w:rPr>
          <w:rFonts w:ascii="Traditional Arabic" w:hAnsi="Traditional Arabic" w:hint="cs"/>
          <w:sz w:val="27"/>
          <w:rtl/>
        </w:rPr>
        <w:t>ْ</w:t>
      </w:r>
      <w:r w:rsidRPr="00904FCB">
        <w:rPr>
          <w:rFonts w:ascii="Traditional Arabic" w:hAnsi="Traditional Arabic" w:hint="cs"/>
          <w:sz w:val="27"/>
          <w:rtl/>
        </w:rPr>
        <w:t>ن والوصي</w:t>
      </w:r>
      <w:r w:rsidR="00D8100C" w:rsidRPr="00904FCB">
        <w:rPr>
          <w:rFonts w:ascii="Traditional Arabic" w:hAnsi="Traditional Arabic" w:hint="cs"/>
          <w:sz w:val="27"/>
          <w:rtl/>
        </w:rPr>
        <w:t>ّ</w:t>
      </w:r>
      <w:r w:rsidRPr="00904FCB">
        <w:rPr>
          <w:rFonts w:ascii="Traditional Arabic" w:hAnsi="Traditional Arabic" w:hint="cs"/>
          <w:sz w:val="27"/>
          <w:rtl/>
        </w:rPr>
        <w:t>ة والو</w:t>
      </w:r>
      <w:r w:rsidR="00D8100C" w:rsidRPr="00904FCB">
        <w:rPr>
          <w:rFonts w:ascii="Traditional Arabic" w:hAnsi="Traditional Arabic" w:hint="cs"/>
          <w:sz w:val="27"/>
          <w:rtl/>
        </w:rPr>
        <w:t>َ</w:t>
      </w:r>
      <w:r w:rsidRPr="00904FCB">
        <w:rPr>
          <w:rFonts w:ascii="Traditional Arabic" w:hAnsi="Traditional Arabic" w:hint="cs"/>
          <w:sz w:val="27"/>
          <w:rtl/>
        </w:rPr>
        <w:t>ق</w:t>
      </w:r>
      <w:r w:rsidR="00D8100C" w:rsidRPr="00904FCB">
        <w:rPr>
          <w:rFonts w:ascii="Traditional Arabic" w:hAnsi="Traditional Arabic" w:hint="cs"/>
          <w:sz w:val="27"/>
          <w:rtl/>
        </w:rPr>
        <w:t>ْ</w:t>
      </w:r>
      <w:r w:rsidRPr="00904FCB">
        <w:rPr>
          <w:rFonts w:ascii="Traditional Arabic" w:hAnsi="Traditional Arabic" w:hint="cs"/>
          <w:sz w:val="27"/>
          <w:rtl/>
        </w:rPr>
        <w:t>ف أيضاً</w:t>
      </w:r>
      <w:r w:rsidR="00D8100C" w:rsidRPr="00904FCB">
        <w:rPr>
          <w:rFonts w:ascii="Traditional Arabic" w:hAnsi="Traditional Arabic" w:hint="cs"/>
          <w:sz w:val="27"/>
          <w:rtl/>
        </w:rPr>
        <w:t>،</w:t>
      </w:r>
      <w:r w:rsidRPr="00904FCB">
        <w:rPr>
          <w:rFonts w:ascii="Traditional Arabic" w:hAnsi="Traditional Arabic" w:hint="cs"/>
          <w:sz w:val="27"/>
          <w:rtl/>
        </w:rPr>
        <w:t xml:space="preserve"> وبنفس الأسلوب، ولكن</w:t>
      </w:r>
      <w:r w:rsidR="00D8100C" w:rsidRPr="00904FCB">
        <w:rPr>
          <w:rFonts w:ascii="Traditional Arabic" w:hAnsi="Traditional Arabic" w:hint="cs"/>
          <w:sz w:val="27"/>
          <w:rtl/>
        </w:rPr>
        <w:t>ْ</w:t>
      </w:r>
      <w:r w:rsidRPr="00904FCB">
        <w:rPr>
          <w:rFonts w:ascii="Traditional Arabic" w:hAnsi="Traditional Arabic" w:hint="cs"/>
          <w:sz w:val="27"/>
          <w:rtl/>
        </w:rPr>
        <w:t xml:space="preserve"> مع رفع النواقص، وذلك في إطار المجل</w:t>
      </w:r>
      <w:r w:rsidR="00D8100C" w:rsidRPr="00904FCB">
        <w:rPr>
          <w:rFonts w:ascii="Traditional Arabic" w:hAnsi="Traditional Arabic" w:hint="cs"/>
          <w:sz w:val="27"/>
          <w:rtl/>
        </w:rPr>
        <w:t>َّ</w:t>
      </w:r>
      <w:r w:rsidRPr="00904FCB">
        <w:rPr>
          <w:rFonts w:ascii="Traditional Arabic" w:hAnsi="Traditional Arabic" w:hint="cs"/>
          <w:sz w:val="27"/>
          <w:rtl/>
        </w:rPr>
        <w:t xml:space="preserve">د الخامس من تدوين الموسوعات الإسلامية. </w:t>
      </w:r>
    </w:p>
    <w:p w:rsidR="00F34FB9" w:rsidRPr="00904FCB" w:rsidRDefault="00F34FB9" w:rsidP="007A21AA">
      <w:pPr>
        <w:spacing w:line="400" w:lineRule="exact"/>
        <w:rPr>
          <w:rFonts w:ascii="Traditional Arabic" w:hAnsi="Traditional Arabic"/>
          <w:sz w:val="27"/>
          <w:rtl/>
        </w:rPr>
      </w:pPr>
    </w:p>
    <w:p w:rsidR="00F34FB9" w:rsidRPr="00904FCB" w:rsidRDefault="00F34FB9" w:rsidP="007A21AA">
      <w:pPr>
        <w:pStyle w:val="31"/>
        <w:spacing w:line="400" w:lineRule="exact"/>
        <w:rPr>
          <w:color w:val="auto"/>
          <w:rtl/>
        </w:rPr>
      </w:pPr>
      <w:r w:rsidRPr="00904FCB">
        <w:rPr>
          <w:rFonts w:hint="cs"/>
          <w:color w:val="auto"/>
          <w:rtl/>
        </w:rPr>
        <w:t xml:space="preserve">الرؤية إلى الفقه في حدّه الأقصى (الشامل)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من الأسئلة التي تثار في العصر الراهن بشأن موقع وجدوائية الفقه: ما هي الحدود التي يتكف</w:t>
      </w:r>
      <w:r w:rsidR="00D8100C" w:rsidRPr="00904FCB">
        <w:rPr>
          <w:rFonts w:ascii="Traditional Arabic" w:hAnsi="Traditional Arabic" w:hint="cs"/>
          <w:sz w:val="27"/>
          <w:rtl/>
        </w:rPr>
        <w:t>َّ</w:t>
      </w:r>
      <w:r w:rsidRPr="00904FCB">
        <w:rPr>
          <w:rFonts w:ascii="Traditional Arabic" w:hAnsi="Traditional Arabic" w:hint="cs"/>
          <w:sz w:val="27"/>
          <w:rtl/>
        </w:rPr>
        <w:t>ل الفقه فيها ببيان وظائف المكل</w:t>
      </w:r>
      <w:r w:rsidR="00D8100C" w:rsidRPr="00904FCB">
        <w:rPr>
          <w:rFonts w:ascii="Traditional Arabic" w:hAnsi="Traditional Arabic" w:hint="cs"/>
          <w:sz w:val="27"/>
          <w:rtl/>
        </w:rPr>
        <w:t>َّ</w:t>
      </w:r>
      <w:r w:rsidRPr="00904FCB">
        <w:rPr>
          <w:rFonts w:ascii="Traditional Arabic" w:hAnsi="Traditional Arabic" w:hint="cs"/>
          <w:sz w:val="27"/>
          <w:rtl/>
        </w:rPr>
        <w:t>فين؟ وبعبارة</w:t>
      </w:r>
      <w:r w:rsidR="00D8100C" w:rsidRPr="00904FCB">
        <w:rPr>
          <w:rFonts w:ascii="Traditional Arabic" w:hAnsi="Traditional Arabic" w:hint="cs"/>
          <w:sz w:val="27"/>
          <w:rtl/>
        </w:rPr>
        <w:t>ٍ</w:t>
      </w:r>
      <w:r w:rsidRPr="00904FCB">
        <w:rPr>
          <w:rFonts w:ascii="Traditional Arabic" w:hAnsi="Traditional Arabic" w:hint="cs"/>
          <w:sz w:val="27"/>
          <w:rtl/>
        </w:rPr>
        <w:t xml:space="preserve"> أخرى: هل العلاقة القائمة بين الفقه وأفعال المكل</w:t>
      </w:r>
      <w:r w:rsidR="00D8100C" w:rsidRPr="00904FCB">
        <w:rPr>
          <w:rFonts w:ascii="Traditional Arabic" w:hAnsi="Traditional Arabic" w:hint="cs"/>
          <w:sz w:val="27"/>
          <w:rtl/>
        </w:rPr>
        <w:t>َّ</w:t>
      </w:r>
      <w:r w:rsidRPr="00904FCB">
        <w:rPr>
          <w:rFonts w:ascii="Traditional Arabic" w:hAnsi="Traditional Arabic" w:hint="cs"/>
          <w:sz w:val="27"/>
          <w:rtl/>
        </w:rPr>
        <w:t>فين وسلوكي</w:t>
      </w:r>
      <w:r w:rsidR="00D8100C" w:rsidRPr="00904FCB">
        <w:rPr>
          <w:rFonts w:ascii="Traditional Arabic" w:hAnsi="Traditional Arabic" w:hint="cs"/>
          <w:sz w:val="27"/>
          <w:rtl/>
        </w:rPr>
        <w:t>ّ</w:t>
      </w:r>
      <w:r w:rsidRPr="00904FCB">
        <w:rPr>
          <w:rFonts w:ascii="Traditional Arabic" w:hAnsi="Traditional Arabic" w:hint="cs"/>
          <w:sz w:val="27"/>
          <w:rtl/>
        </w:rPr>
        <w:t>اتهم في مختلف الأبعاد تقتصر على الحدّ الأدنى فقط، أم تشمل الحدّ الأقصى أيضاً؟ يطرح هذا السؤال حالياً في المحافل العلمية، ويصرّ بعض المغتربين على تعريف الفقه في حدّ</w:t>
      </w:r>
      <w:r w:rsidR="00DD6321" w:rsidRPr="00904FCB">
        <w:rPr>
          <w:rFonts w:ascii="Traditional Arabic" w:hAnsi="Traditional Arabic" w:hint="cs"/>
          <w:sz w:val="27"/>
          <w:rtl/>
        </w:rPr>
        <w:t>ِ</w:t>
      </w:r>
      <w:r w:rsidRPr="00904FCB">
        <w:rPr>
          <w:rFonts w:ascii="Traditional Arabic" w:hAnsi="Traditional Arabic" w:hint="cs"/>
          <w:sz w:val="27"/>
          <w:rtl/>
        </w:rPr>
        <w:t xml:space="preserve">ه الأدنى، واعتباره ناقصاً بالنسبة إلى إدارة المجتمع والدولة.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ذهب العلا</w:t>
      </w:r>
      <w:r w:rsidR="00DD6321" w:rsidRPr="00904FCB">
        <w:rPr>
          <w:rFonts w:ascii="Traditional Arabic" w:hAnsi="Traditional Arabic" w:hint="cs"/>
          <w:sz w:val="27"/>
          <w:rtl/>
        </w:rPr>
        <w:t>ّ</w:t>
      </w:r>
      <w:r w:rsidRPr="00904FCB">
        <w:rPr>
          <w:rFonts w:ascii="Traditional Arabic" w:hAnsi="Traditional Arabic" w:hint="cs"/>
          <w:sz w:val="27"/>
          <w:rtl/>
        </w:rPr>
        <w:t>مة كاشف الغطاء إلى اختيار الشقّ الثاني، وقال في معرض ردّ</w:t>
      </w:r>
      <w:r w:rsidR="00DD6321" w:rsidRPr="00904FCB">
        <w:rPr>
          <w:rFonts w:ascii="Traditional Arabic" w:hAnsi="Traditional Arabic" w:hint="cs"/>
          <w:sz w:val="27"/>
          <w:rtl/>
        </w:rPr>
        <w:t>ِ</w:t>
      </w:r>
      <w:r w:rsidRPr="00904FCB">
        <w:rPr>
          <w:rFonts w:ascii="Traditional Arabic" w:hAnsi="Traditional Arabic" w:hint="cs"/>
          <w:sz w:val="27"/>
          <w:rtl/>
        </w:rPr>
        <w:t>ه على المادة الثانية والثلاثين من المجلة</w:t>
      </w:r>
      <w:r w:rsidR="00DD6321" w:rsidRPr="00904FCB">
        <w:rPr>
          <w:rFonts w:ascii="Traditional Arabic" w:hAnsi="Traditional Arabic" w:hint="cs"/>
          <w:sz w:val="27"/>
          <w:rtl/>
        </w:rPr>
        <w:t xml:space="preserve">، </w:t>
      </w:r>
      <w:r w:rsidRPr="00904FCB">
        <w:rPr>
          <w:rFonts w:ascii="Traditional Arabic" w:hAnsi="Traditional Arabic" w:hint="cs"/>
          <w:sz w:val="27"/>
          <w:rtl/>
        </w:rPr>
        <w:t xml:space="preserve">تحت عنوان </w:t>
      </w:r>
      <w:r w:rsidRPr="00904FCB">
        <w:rPr>
          <w:rFonts w:hint="eastAsia"/>
          <w:sz w:val="27"/>
          <w:rtl/>
        </w:rPr>
        <w:t>«</w:t>
      </w:r>
      <w:r w:rsidRPr="00904FCB">
        <w:rPr>
          <w:rFonts w:ascii="Traditional Arabic" w:hAnsi="Traditional Arabic" w:hint="cs"/>
          <w:sz w:val="27"/>
          <w:rtl/>
        </w:rPr>
        <w:t>الحاجة تنزّ</w:t>
      </w:r>
      <w:r w:rsidR="00DD6321" w:rsidRPr="00904FCB">
        <w:rPr>
          <w:rFonts w:ascii="Traditional Arabic" w:hAnsi="Traditional Arabic" w:hint="cs"/>
          <w:sz w:val="27"/>
          <w:rtl/>
        </w:rPr>
        <w:t>َ</w:t>
      </w:r>
      <w:r w:rsidRPr="00904FCB">
        <w:rPr>
          <w:rFonts w:ascii="Traditional Arabic" w:hAnsi="Traditional Arabic" w:hint="cs"/>
          <w:sz w:val="27"/>
          <w:rtl/>
        </w:rPr>
        <w:t>ل منزلة الضرورة</w:t>
      </w:r>
      <w:r w:rsidRPr="00904FCB">
        <w:rPr>
          <w:rFonts w:hint="eastAsia"/>
          <w:sz w:val="27"/>
          <w:rtl/>
        </w:rPr>
        <w:t>»</w:t>
      </w:r>
      <w:r w:rsidRPr="00904FCB">
        <w:rPr>
          <w:rFonts w:ascii="Traditional Arabic" w:hAnsi="Traditional Arabic" w:hint="cs"/>
          <w:sz w:val="27"/>
          <w:rtl/>
        </w:rPr>
        <w:t>: إن هذه المادة ليست صحيحة من ناحية الفقه الإمامي؛ لأن قاعدة لا ضرر وإن</w:t>
      </w:r>
      <w:r w:rsidR="00DD6321" w:rsidRPr="00904FCB">
        <w:rPr>
          <w:rFonts w:ascii="Traditional Arabic" w:hAnsi="Traditional Arabic" w:hint="cs"/>
          <w:sz w:val="27"/>
          <w:rtl/>
        </w:rPr>
        <w:t>ْ</w:t>
      </w:r>
      <w:r w:rsidRPr="00904FCB">
        <w:rPr>
          <w:rFonts w:ascii="Traditional Arabic" w:hAnsi="Traditional Arabic" w:hint="cs"/>
          <w:sz w:val="27"/>
          <w:rtl/>
        </w:rPr>
        <w:t xml:space="preserve"> كانت ترفع الأحكام الواقعية إذا كانت ضرري</w:t>
      </w:r>
      <w:r w:rsidR="00DD6321" w:rsidRPr="00904FCB">
        <w:rPr>
          <w:rFonts w:ascii="Traditional Arabic" w:hAnsi="Traditional Arabic" w:hint="cs"/>
          <w:sz w:val="27"/>
          <w:rtl/>
        </w:rPr>
        <w:t>ّ</w:t>
      </w:r>
      <w:r w:rsidRPr="00904FCB">
        <w:rPr>
          <w:rFonts w:ascii="Traditional Arabic" w:hAnsi="Traditional Arabic" w:hint="cs"/>
          <w:sz w:val="27"/>
          <w:rtl/>
        </w:rPr>
        <w:t>ة، ب</w:t>
      </w:r>
      <w:r w:rsidR="00DD6321" w:rsidRPr="00904FCB">
        <w:rPr>
          <w:rFonts w:ascii="Traditional Arabic" w:hAnsi="Traditional Arabic" w:hint="cs"/>
          <w:sz w:val="27"/>
          <w:rtl/>
        </w:rPr>
        <w:t>َ</w:t>
      </w:r>
      <w:r w:rsidRPr="00904FCB">
        <w:rPr>
          <w:rFonts w:ascii="Traditional Arabic" w:hAnsi="Traditional Arabic" w:hint="cs"/>
          <w:sz w:val="27"/>
          <w:rtl/>
        </w:rPr>
        <w:t>ي</w:t>
      </w:r>
      <w:r w:rsidR="00DD6321" w:rsidRPr="00904FCB">
        <w:rPr>
          <w:rFonts w:ascii="Traditional Arabic" w:hAnsi="Traditional Arabic" w:hint="cs"/>
          <w:sz w:val="27"/>
          <w:rtl/>
        </w:rPr>
        <w:t>ْ</w:t>
      </w:r>
      <w:r w:rsidRPr="00904FCB">
        <w:rPr>
          <w:rFonts w:ascii="Traditional Arabic" w:hAnsi="Traditional Arabic" w:hint="cs"/>
          <w:sz w:val="27"/>
          <w:rtl/>
        </w:rPr>
        <w:t>د</w:t>
      </w:r>
      <w:r w:rsidR="00DD6321" w:rsidRPr="00904FCB">
        <w:rPr>
          <w:rFonts w:ascii="Traditional Arabic" w:hAnsi="Traditional Arabic" w:hint="cs"/>
          <w:sz w:val="27"/>
          <w:rtl/>
        </w:rPr>
        <w:t>َ</w:t>
      </w:r>
      <w:r w:rsidRPr="00904FCB">
        <w:rPr>
          <w:rFonts w:ascii="Traditional Arabic" w:hAnsi="Traditional Arabic" w:hint="cs"/>
          <w:sz w:val="27"/>
          <w:rtl/>
        </w:rPr>
        <w:t xml:space="preserve"> أنها لا تشرّ</w:t>
      </w:r>
      <w:r w:rsidR="00DD6321" w:rsidRPr="00904FCB">
        <w:rPr>
          <w:rFonts w:ascii="Traditional Arabic" w:hAnsi="Traditional Arabic" w:hint="cs"/>
          <w:sz w:val="27"/>
          <w:rtl/>
        </w:rPr>
        <w:t>ِ</w:t>
      </w:r>
      <w:r w:rsidRPr="00904FCB">
        <w:rPr>
          <w:rFonts w:ascii="Traditional Arabic" w:hAnsi="Traditional Arabic" w:hint="cs"/>
          <w:sz w:val="27"/>
          <w:rtl/>
        </w:rPr>
        <w:t>ع حكماً جديداً</w:t>
      </w:r>
      <w:r w:rsidR="00DD6321" w:rsidRPr="00904FCB">
        <w:rPr>
          <w:rFonts w:ascii="Traditional Arabic" w:hAnsi="Traditional Arabic" w:hint="cs"/>
          <w:sz w:val="27"/>
          <w:rtl/>
        </w:rPr>
        <w:t>.</w:t>
      </w:r>
      <w:r w:rsidRPr="00904FCB">
        <w:rPr>
          <w:rFonts w:ascii="Traditional Arabic" w:hAnsi="Traditional Arabic" w:hint="cs"/>
          <w:sz w:val="27"/>
          <w:rtl/>
        </w:rPr>
        <w:t xml:space="preserve"> وعليه إذا كان البيع ربوياً وحراماً فإن الضرورة سترفع الحرمة عن هذا الحكم التكليفي، ونتيجة لذلك ترتفع العقوبة، ولكنها لا تصح</w:t>
      </w:r>
      <w:r w:rsidR="00DD6321" w:rsidRPr="00904FCB">
        <w:rPr>
          <w:rFonts w:ascii="Traditional Arabic" w:hAnsi="Traditional Arabic" w:hint="cs"/>
          <w:sz w:val="27"/>
          <w:rtl/>
        </w:rPr>
        <w:t>ِّ</w:t>
      </w:r>
      <w:r w:rsidRPr="00904FCB">
        <w:rPr>
          <w:rFonts w:ascii="Traditional Arabic" w:hAnsi="Traditional Arabic" w:hint="cs"/>
          <w:sz w:val="27"/>
          <w:rtl/>
        </w:rPr>
        <w:t>ح المعاملة الباطلة. ثمّ قال: يقوم فقه الإمامية على قاعدة: حلال محمد حلال</w:t>
      </w:r>
      <w:r w:rsidR="00DD6321" w:rsidRPr="00904FCB">
        <w:rPr>
          <w:rFonts w:ascii="Traditional Arabic" w:hAnsi="Traditional Arabic" w:hint="cs"/>
          <w:sz w:val="27"/>
          <w:rtl/>
        </w:rPr>
        <w:t>ٌ</w:t>
      </w:r>
      <w:r w:rsidRPr="00904FCB">
        <w:rPr>
          <w:rFonts w:ascii="Traditional Arabic" w:hAnsi="Traditional Arabic" w:hint="cs"/>
          <w:sz w:val="27"/>
          <w:rtl/>
        </w:rPr>
        <w:t xml:space="preserve"> إلى يوم القيامة، وحرام محمد حرام</w:t>
      </w:r>
      <w:r w:rsidR="00DD6321" w:rsidRPr="00904FCB">
        <w:rPr>
          <w:rFonts w:ascii="Traditional Arabic" w:hAnsi="Traditional Arabic" w:hint="cs"/>
          <w:sz w:val="27"/>
          <w:rtl/>
        </w:rPr>
        <w:t>ٌ</w:t>
      </w:r>
      <w:r w:rsidRPr="00904FCB">
        <w:rPr>
          <w:rFonts w:ascii="Traditional Arabic" w:hAnsi="Traditional Arabic" w:hint="cs"/>
          <w:sz w:val="27"/>
          <w:rtl/>
        </w:rPr>
        <w:t xml:space="preserve"> إلى يوم القيامة</w:t>
      </w:r>
      <w:r w:rsidRPr="00904FCB">
        <w:rPr>
          <w:rFonts w:ascii="Traditional Arabic" w:hAnsi="Traditional Arabic"/>
          <w:sz w:val="27"/>
          <w:vertAlign w:val="superscript"/>
          <w:rtl/>
        </w:rPr>
        <w:t>(</w:t>
      </w:r>
      <w:r w:rsidRPr="00904FCB">
        <w:rPr>
          <w:rStyle w:val="ac"/>
          <w:rFonts w:ascii="Traditional Arabic" w:hAnsi="Traditional Arabic"/>
          <w:sz w:val="27"/>
          <w:rtl/>
        </w:rPr>
        <w:endnoteReference w:id="603"/>
      </w:r>
      <w:r w:rsidRPr="00904FCB">
        <w:rPr>
          <w:rFonts w:ascii="Traditional Arabic" w:hAnsi="Traditional Arabic"/>
          <w:sz w:val="27"/>
          <w:vertAlign w:val="superscript"/>
          <w:rtl/>
        </w:rPr>
        <w:t>)</w:t>
      </w:r>
      <w:r w:rsidRPr="00904FCB">
        <w:rPr>
          <w:rFonts w:ascii="Traditional Arabic" w:hAnsi="Traditional Arabic" w:hint="cs"/>
          <w:sz w:val="27"/>
          <w:rtl/>
        </w:rPr>
        <w:t>. وإن الاضطرار لا يغيّ</w:t>
      </w:r>
      <w:r w:rsidR="00DD6321" w:rsidRPr="00904FCB">
        <w:rPr>
          <w:rFonts w:ascii="Traditional Arabic" w:hAnsi="Traditional Arabic" w:hint="cs"/>
          <w:sz w:val="27"/>
          <w:rtl/>
        </w:rPr>
        <w:t>ِ</w:t>
      </w:r>
      <w:r w:rsidRPr="00904FCB">
        <w:rPr>
          <w:rFonts w:ascii="Traditional Arabic" w:hAnsi="Traditional Arabic" w:hint="cs"/>
          <w:sz w:val="27"/>
          <w:rtl/>
        </w:rPr>
        <w:t xml:space="preserve">ر الحكم الواقعي.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الفارق الجوهري بين فقه الشيعة وفقه أهل السن</w:t>
      </w:r>
      <w:r w:rsidR="000D503B">
        <w:rPr>
          <w:rFonts w:ascii="Traditional Arabic" w:hAnsi="Traditional Arabic" w:hint="cs"/>
          <w:sz w:val="27"/>
          <w:rtl/>
        </w:rPr>
        <w:t>ّ</w:t>
      </w:r>
      <w:r w:rsidRPr="00904FCB">
        <w:rPr>
          <w:rFonts w:ascii="Traditional Arabic" w:hAnsi="Traditional Arabic" w:hint="cs"/>
          <w:sz w:val="27"/>
          <w:rtl/>
        </w:rPr>
        <w:t xml:space="preserve">ة يكمن في أن الفقه الشيعي </w:t>
      </w:r>
      <w:r w:rsidRPr="00904FCB">
        <w:rPr>
          <w:rFonts w:ascii="Traditional Arabic" w:hAnsi="Traditional Arabic" w:hint="cs"/>
          <w:sz w:val="27"/>
          <w:rtl/>
        </w:rPr>
        <w:lastRenderedPageBreak/>
        <w:t>يقول: ما من واقعة إلا</w:t>
      </w:r>
      <w:r w:rsidR="00DD6321" w:rsidRPr="00904FCB">
        <w:rPr>
          <w:rFonts w:ascii="Traditional Arabic" w:hAnsi="Traditional Arabic" w:hint="cs"/>
          <w:sz w:val="27"/>
          <w:rtl/>
        </w:rPr>
        <w:t>ّ</w:t>
      </w:r>
      <w:r w:rsidRPr="00904FCB">
        <w:rPr>
          <w:rFonts w:ascii="Traditional Arabic" w:hAnsi="Traditional Arabic" w:hint="cs"/>
          <w:sz w:val="27"/>
          <w:rtl/>
        </w:rPr>
        <w:t xml:space="preserve"> ولله فيها حكم</w:t>
      </w:r>
      <w:r w:rsidR="00DD6321" w:rsidRPr="00904FCB">
        <w:rPr>
          <w:rFonts w:ascii="Traditional Arabic" w:hAnsi="Traditional Arabic" w:hint="cs"/>
          <w:sz w:val="27"/>
          <w:rtl/>
        </w:rPr>
        <w:t>ٌ</w:t>
      </w:r>
      <w:r w:rsidRPr="00904FCB">
        <w:rPr>
          <w:rFonts w:ascii="Traditional Arabic" w:hAnsi="Traditional Arabic" w:hint="cs"/>
          <w:sz w:val="27"/>
          <w:rtl/>
        </w:rPr>
        <w:t xml:space="preserve"> مجعول بالعنوان الخاص</w:t>
      </w:r>
      <w:r w:rsidR="00DD6321" w:rsidRPr="00904FCB">
        <w:rPr>
          <w:rFonts w:ascii="Traditional Arabic" w:hAnsi="Traditional Arabic" w:hint="cs"/>
          <w:sz w:val="27"/>
          <w:rtl/>
        </w:rPr>
        <w:t>ّ</w:t>
      </w:r>
      <w:r w:rsidRPr="00904FCB">
        <w:rPr>
          <w:rFonts w:ascii="Traditional Arabic" w:hAnsi="Traditional Arabic" w:hint="cs"/>
          <w:sz w:val="27"/>
          <w:rtl/>
        </w:rPr>
        <w:t xml:space="preserve"> أو العام</w:t>
      </w:r>
      <w:r w:rsidR="00DD6321" w:rsidRPr="00904FCB">
        <w:rPr>
          <w:rFonts w:ascii="Traditional Arabic" w:hAnsi="Traditional Arabic" w:hint="cs"/>
          <w:sz w:val="27"/>
          <w:rtl/>
        </w:rPr>
        <w:t>ّ</w:t>
      </w:r>
      <w:r w:rsidRPr="00904FCB">
        <w:rPr>
          <w:rFonts w:ascii="Traditional Arabic" w:hAnsi="Traditional Arabic" w:hint="cs"/>
          <w:sz w:val="27"/>
          <w:rtl/>
        </w:rPr>
        <w:t>. وبعبارة</w:t>
      </w:r>
      <w:r w:rsidR="00DD6321" w:rsidRPr="00904FCB">
        <w:rPr>
          <w:rFonts w:ascii="Traditional Arabic" w:hAnsi="Traditional Arabic" w:hint="cs"/>
          <w:sz w:val="27"/>
          <w:rtl/>
        </w:rPr>
        <w:t>ٍ</w:t>
      </w:r>
      <w:r w:rsidRPr="00904FCB">
        <w:rPr>
          <w:rFonts w:ascii="Traditional Arabic" w:hAnsi="Traditional Arabic" w:hint="cs"/>
          <w:sz w:val="27"/>
          <w:rtl/>
        </w:rPr>
        <w:t xml:space="preserve"> أخرى: إن رؤية الفقه إلى وظائف المكل</w:t>
      </w:r>
      <w:r w:rsidR="00DD6321" w:rsidRPr="00904FCB">
        <w:rPr>
          <w:rFonts w:ascii="Traditional Arabic" w:hAnsi="Traditional Arabic" w:hint="cs"/>
          <w:sz w:val="27"/>
          <w:rtl/>
        </w:rPr>
        <w:t>َّ</w:t>
      </w:r>
      <w:r w:rsidRPr="00904FCB">
        <w:rPr>
          <w:rFonts w:ascii="Traditional Arabic" w:hAnsi="Traditional Arabic" w:hint="cs"/>
          <w:sz w:val="27"/>
          <w:rtl/>
        </w:rPr>
        <w:t xml:space="preserve">ف رؤية في الحدّ الأقصى (رؤية شاملة لجميع أبعاد الحياة).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وعليه فإن الواقعة لا تخلو إما أن يكون لها حكم</w:t>
      </w:r>
      <w:r w:rsidR="00DD6321" w:rsidRPr="00904FCB">
        <w:rPr>
          <w:rFonts w:ascii="Traditional Arabic" w:hAnsi="Traditional Arabic" w:hint="cs"/>
          <w:sz w:val="27"/>
          <w:rtl/>
        </w:rPr>
        <w:t>ٌ</w:t>
      </w:r>
      <w:r w:rsidRPr="00904FCB">
        <w:rPr>
          <w:rFonts w:ascii="Traditional Arabic" w:hAnsi="Traditional Arabic" w:hint="cs"/>
          <w:sz w:val="27"/>
          <w:rtl/>
        </w:rPr>
        <w:t xml:space="preserve"> خاص</w:t>
      </w:r>
      <w:r w:rsidR="000D503B">
        <w:rPr>
          <w:rFonts w:ascii="Traditional Arabic" w:hAnsi="Traditional Arabic" w:hint="cs"/>
          <w:sz w:val="27"/>
          <w:rtl/>
        </w:rPr>
        <w:t>ّ</w:t>
      </w:r>
      <w:r w:rsidR="00DD6321" w:rsidRPr="00904FCB">
        <w:rPr>
          <w:rFonts w:ascii="Traditional Arabic" w:hAnsi="Traditional Arabic" w:hint="cs"/>
          <w:sz w:val="27"/>
          <w:rtl/>
        </w:rPr>
        <w:t>؛</w:t>
      </w:r>
      <w:r w:rsidRPr="00904FCB">
        <w:rPr>
          <w:rFonts w:ascii="Traditional Arabic" w:hAnsi="Traditional Arabic" w:hint="cs"/>
          <w:sz w:val="27"/>
          <w:rtl/>
        </w:rPr>
        <w:t xml:space="preserve"> أو لم ي</w:t>
      </w:r>
      <w:r w:rsidR="00DD6321" w:rsidRPr="00904FCB">
        <w:rPr>
          <w:rFonts w:ascii="Traditional Arabic" w:hAnsi="Traditional Arabic" w:hint="cs"/>
          <w:sz w:val="27"/>
          <w:rtl/>
        </w:rPr>
        <w:t>َ</w:t>
      </w:r>
      <w:r w:rsidRPr="00904FCB">
        <w:rPr>
          <w:rFonts w:ascii="Traditional Arabic" w:hAnsi="Traditional Arabic" w:hint="cs"/>
          <w:sz w:val="27"/>
          <w:rtl/>
        </w:rPr>
        <w:t>ر</w:t>
      </w:r>
      <w:r w:rsidR="00DD6321" w:rsidRPr="00904FCB">
        <w:rPr>
          <w:rFonts w:ascii="Traditional Arabic" w:hAnsi="Traditional Arabic" w:hint="cs"/>
          <w:sz w:val="27"/>
          <w:rtl/>
        </w:rPr>
        <w:t>ِ</w:t>
      </w:r>
      <w:r w:rsidRPr="00904FCB">
        <w:rPr>
          <w:rFonts w:ascii="Traditional Arabic" w:hAnsi="Traditional Arabic" w:hint="cs"/>
          <w:sz w:val="27"/>
          <w:rtl/>
        </w:rPr>
        <w:t>د</w:t>
      </w:r>
      <w:r w:rsidR="00DD6321" w:rsidRPr="00904FCB">
        <w:rPr>
          <w:rFonts w:ascii="Traditional Arabic" w:hAnsi="Traditional Arabic" w:hint="cs"/>
          <w:sz w:val="27"/>
          <w:rtl/>
        </w:rPr>
        <w:t>ْ</w:t>
      </w:r>
      <w:r w:rsidRPr="00904FCB">
        <w:rPr>
          <w:rFonts w:ascii="Traditional Arabic" w:hAnsi="Traditional Arabic" w:hint="cs"/>
          <w:sz w:val="27"/>
          <w:rtl/>
        </w:rPr>
        <w:t xml:space="preserve"> فيها حكم خاص</w:t>
      </w:r>
      <w:r w:rsidR="00DD6321" w:rsidRPr="00904FCB">
        <w:rPr>
          <w:rFonts w:ascii="Traditional Arabic" w:hAnsi="Traditional Arabic" w:hint="cs"/>
          <w:sz w:val="27"/>
          <w:rtl/>
        </w:rPr>
        <w:t>ّ.</w:t>
      </w:r>
      <w:r w:rsidRPr="00904FCB">
        <w:rPr>
          <w:rFonts w:ascii="Traditional Arabic" w:hAnsi="Traditional Arabic" w:hint="cs"/>
          <w:sz w:val="27"/>
          <w:rtl/>
        </w:rPr>
        <w:t xml:space="preserve"> وفي الحالة الثاني</w:t>
      </w:r>
      <w:r w:rsidR="00DD6321" w:rsidRPr="00904FCB">
        <w:rPr>
          <w:rFonts w:ascii="Traditional Arabic" w:hAnsi="Traditional Arabic" w:hint="cs"/>
          <w:sz w:val="27"/>
          <w:rtl/>
        </w:rPr>
        <w:t>ة</w:t>
      </w:r>
      <w:r w:rsidRPr="00904FCB">
        <w:rPr>
          <w:rFonts w:ascii="Traditional Arabic" w:hAnsi="Traditional Arabic" w:hint="cs"/>
          <w:sz w:val="27"/>
          <w:rtl/>
        </w:rPr>
        <w:t xml:space="preserve"> يستنبط حكمها من القواعد العامة المستفادة من الكتاب والسن</w:t>
      </w:r>
      <w:r w:rsidR="00DD6321" w:rsidRPr="00904FCB">
        <w:rPr>
          <w:rFonts w:ascii="Traditional Arabic" w:hAnsi="Traditional Arabic" w:hint="cs"/>
          <w:sz w:val="27"/>
          <w:rtl/>
        </w:rPr>
        <w:t>ّ</w:t>
      </w:r>
      <w:r w:rsidRPr="00904FCB">
        <w:rPr>
          <w:rFonts w:ascii="Traditional Arabic" w:hAnsi="Traditional Arabic" w:hint="cs"/>
          <w:sz w:val="27"/>
          <w:rtl/>
        </w:rPr>
        <w:t>ة والإجماع. وعليه يكون هناك حكم</w:t>
      </w:r>
      <w:r w:rsidR="00DD6321" w:rsidRPr="00904FCB">
        <w:rPr>
          <w:rFonts w:ascii="Traditional Arabic" w:hAnsi="Traditional Arabic" w:hint="cs"/>
          <w:sz w:val="27"/>
          <w:rtl/>
        </w:rPr>
        <w:t>ٌ</w:t>
      </w:r>
      <w:r w:rsidRPr="00904FCB">
        <w:rPr>
          <w:rFonts w:ascii="Traditional Arabic" w:hAnsi="Traditional Arabic" w:hint="cs"/>
          <w:sz w:val="27"/>
          <w:rtl/>
        </w:rPr>
        <w:t xml:space="preserve"> فقهي لكل</w:t>
      </w:r>
      <w:r w:rsidR="00DD6321" w:rsidRPr="00904FCB">
        <w:rPr>
          <w:rFonts w:ascii="Traditional Arabic" w:hAnsi="Traditional Arabic" w:hint="cs"/>
          <w:sz w:val="27"/>
          <w:rtl/>
        </w:rPr>
        <w:t>ّ</w:t>
      </w:r>
      <w:r w:rsidRPr="00904FCB">
        <w:rPr>
          <w:rFonts w:ascii="Traditional Arabic" w:hAnsi="Traditional Arabic" w:hint="cs"/>
          <w:sz w:val="27"/>
          <w:rtl/>
        </w:rPr>
        <w:t xml:space="preserve"> واقعة</w:t>
      </w:r>
      <w:r w:rsidR="00DD6321" w:rsidRPr="00904FCB">
        <w:rPr>
          <w:rFonts w:ascii="Traditional Arabic" w:hAnsi="Traditional Arabic" w:hint="cs"/>
          <w:sz w:val="27"/>
          <w:rtl/>
        </w:rPr>
        <w:t>ٍ</w:t>
      </w:r>
      <w:r w:rsidRPr="00904FCB">
        <w:rPr>
          <w:rFonts w:ascii="Traditional Arabic" w:hAnsi="Traditional Arabic" w:hint="cs"/>
          <w:sz w:val="27"/>
          <w:rtl/>
        </w:rPr>
        <w:t xml:space="preserve"> يمكن أن تواجه المكل</w:t>
      </w:r>
      <w:r w:rsidR="00DD6321" w:rsidRPr="00904FCB">
        <w:rPr>
          <w:rFonts w:ascii="Traditional Arabic" w:hAnsi="Traditional Arabic" w:hint="cs"/>
          <w:sz w:val="27"/>
          <w:rtl/>
        </w:rPr>
        <w:t>َّ</w:t>
      </w:r>
      <w:r w:rsidRPr="00904FCB">
        <w:rPr>
          <w:rFonts w:ascii="Traditional Arabic" w:hAnsi="Traditional Arabic" w:hint="cs"/>
          <w:sz w:val="27"/>
          <w:rtl/>
        </w:rPr>
        <w:t>ف في هذه الحياة. ولكن</w:t>
      </w:r>
      <w:r w:rsidR="00DD6321" w:rsidRPr="00904FCB">
        <w:rPr>
          <w:rFonts w:ascii="Traditional Arabic" w:hAnsi="Traditional Arabic" w:hint="cs"/>
          <w:sz w:val="27"/>
          <w:rtl/>
        </w:rPr>
        <w:t>ّ</w:t>
      </w:r>
      <w:r w:rsidRPr="00904FCB">
        <w:rPr>
          <w:rFonts w:ascii="Traditional Arabic" w:hAnsi="Traditional Arabic" w:hint="cs"/>
          <w:sz w:val="27"/>
          <w:rtl/>
        </w:rPr>
        <w:t xml:space="preserve"> الفقه السن</w:t>
      </w:r>
      <w:r w:rsidR="00DD6321" w:rsidRPr="00904FCB">
        <w:rPr>
          <w:rFonts w:ascii="Traditional Arabic" w:hAnsi="Traditional Arabic" w:hint="cs"/>
          <w:sz w:val="27"/>
          <w:rtl/>
        </w:rPr>
        <w:t>ّي</w:t>
      </w:r>
      <w:r w:rsidRPr="00904FCB">
        <w:rPr>
          <w:rFonts w:ascii="Traditional Arabic" w:hAnsi="Traditional Arabic" w:hint="cs"/>
          <w:sz w:val="27"/>
          <w:rtl/>
        </w:rPr>
        <w:t xml:space="preserve"> لجأ في مثل هذه الحالات إلى موارد القياس والاستحسان والمرجّ</w:t>
      </w:r>
      <w:r w:rsidR="00DD6321" w:rsidRPr="00904FCB">
        <w:rPr>
          <w:rFonts w:ascii="Traditional Arabic" w:hAnsi="Traditional Arabic" w:hint="cs"/>
          <w:sz w:val="27"/>
          <w:rtl/>
        </w:rPr>
        <w:t>ِ</w:t>
      </w:r>
      <w:r w:rsidRPr="00904FCB">
        <w:rPr>
          <w:rFonts w:ascii="Traditional Arabic" w:hAnsi="Traditional Arabic" w:hint="cs"/>
          <w:sz w:val="27"/>
          <w:rtl/>
        </w:rPr>
        <w:t>حات الظنية والمناسبات الزمنية</w:t>
      </w:r>
      <w:r w:rsidR="00DD6321" w:rsidRPr="00904FCB">
        <w:rPr>
          <w:rFonts w:ascii="Traditional Arabic" w:hAnsi="Traditional Arabic" w:hint="cs"/>
          <w:sz w:val="27"/>
          <w:rtl/>
        </w:rPr>
        <w:t>؛</w:t>
      </w:r>
      <w:r w:rsidRPr="00904FCB">
        <w:rPr>
          <w:rFonts w:ascii="Traditional Arabic" w:hAnsi="Traditional Arabic" w:hint="cs"/>
          <w:sz w:val="27"/>
          <w:rtl/>
        </w:rPr>
        <w:t xml:space="preserve"> بغية استنباط حكم تلك الواقعة.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ب</w:t>
      </w:r>
      <w:r w:rsidR="00DD6321" w:rsidRPr="00904FCB">
        <w:rPr>
          <w:rFonts w:ascii="Traditional Arabic" w:hAnsi="Traditional Arabic" w:hint="cs"/>
          <w:sz w:val="27"/>
          <w:rtl/>
        </w:rPr>
        <w:t>َ</w:t>
      </w:r>
      <w:r w:rsidRPr="00904FCB">
        <w:rPr>
          <w:rFonts w:ascii="Traditional Arabic" w:hAnsi="Traditional Arabic" w:hint="cs"/>
          <w:sz w:val="27"/>
          <w:rtl/>
        </w:rPr>
        <w:t>ي</w:t>
      </w:r>
      <w:r w:rsidR="00DD6321" w:rsidRPr="00904FCB">
        <w:rPr>
          <w:rFonts w:ascii="Traditional Arabic" w:hAnsi="Traditional Arabic" w:hint="cs"/>
          <w:sz w:val="27"/>
          <w:rtl/>
        </w:rPr>
        <w:t>ْ</w:t>
      </w:r>
      <w:r w:rsidRPr="00904FCB">
        <w:rPr>
          <w:rFonts w:ascii="Traditional Arabic" w:hAnsi="Traditional Arabic" w:hint="cs"/>
          <w:sz w:val="27"/>
          <w:rtl/>
        </w:rPr>
        <w:t>د</w:t>
      </w:r>
      <w:r w:rsidR="00DD6321" w:rsidRPr="00904FCB">
        <w:rPr>
          <w:rFonts w:ascii="Traditional Arabic" w:hAnsi="Traditional Arabic" w:hint="cs"/>
          <w:sz w:val="27"/>
          <w:rtl/>
        </w:rPr>
        <w:t>َ</w:t>
      </w:r>
      <w:r w:rsidRPr="00904FCB">
        <w:rPr>
          <w:rFonts w:ascii="Traditional Arabic" w:hAnsi="Traditional Arabic" w:hint="cs"/>
          <w:sz w:val="27"/>
          <w:rtl/>
        </w:rPr>
        <w:t xml:space="preserve"> أن هذه الأمور لا تعتبر حج</w:t>
      </w:r>
      <w:r w:rsidR="00DD6321" w:rsidRPr="00904FCB">
        <w:rPr>
          <w:rFonts w:ascii="Traditional Arabic" w:hAnsi="Traditional Arabic" w:hint="cs"/>
          <w:sz w:val="27"/>
          <w:rtl/>
        </w:rPr>
        <w:t>ّ</w:t>
      </w:r>
      <w:r w:rsidRPr="00904FCB">
        <w:rPr>
          <w:rFonts w:ascii="Traditional Arabic" w:hAnsi="Traditional Arabic" w:hint="cs"/>
          <w:sz w:val="27"/>
          <w:rtl/>
        </w:rPr>
        <w:t>ة</w:t>
      </w:r>
      <w:r w:rsidR="00DD6321" w:rsidRPr="00904FCB">
        <w:rPr>
          <w:rFonts w:ascii="Traditional Arabic" w:hAnsi="Traditional Arabic" w:hint="cs"/>
          <w:sz w:val="27"/>
          <w:rtl/>
        </w:rPr>
        <w:t>ً</w:t>
      </w:r>
      <w:r w:rsidRPr="00904FCB">
        <w:rPr>
          <w:rFonts w:ascii="Traditional Arabic" w:hAnsi="Traditional Arabic" w:hint="cs"/>
          <w:sz w:val="27"/>
          <w:rtl/>
        </w:rPr>
        <w:t xml:space="preserve"> </w:t>
      </w:r>
      <w:r w:rsidR="00DD6321" w:rsidRPr="00904FCB">
        <w:rPr>
          <w:rFonts w:ascii="Traditional Arabic" w:hAnsi="Traditional Arabic" w:hint="cs"/>
          <w:sz w:val="27"/>
          <w:rtl/>
        </w:rPr>
        <w:t>في</w:t>
      </w:r>
      <w:r w:rsidRPr="00904FCB">
        <w:rPr>
          <w:rFonts w:ascii="Traditional Arabic" w:hAnsi="Traditional Arabic" w:hint="cs"/>
          <w:sz w:val="27"/>
          <w:rtl/>
        </w:rPr>
        <w:t xml:space="preserve"> فقه الإمامية</w:t>
      </w:r>
      <w:r w:rsidR="00DD6321" w:rsidRPr="00904FCB">
        <w:rPr>
          <w:rFonts w:ascii="Traditional Arabic" w:hAnsi="Traditional Arabic" w:hint="cs"/>
          <w:sz w:val="27"/>
          <w:rtl/>
        </w:rPr>
        <w:t>.</w:t>
      </w:r>
      <w:r w:rsidRPr="00904FCB">
        <w:rPr>
          <w:rFonts w:ascii="Traditional Arabic" w:hAnsi="Traditional Arabic" w:hint="cs"/>
          <w:sz w:val="27"/>
          <w:rtl/>
        </w:rPr>
        <w:t xml:space="preserve"> وإن عدم حجية هذه الموارد لا يستوجب تحديد الشريعة السهلة السمحاء؛ لأن باب الاجتهاد مفتوح</w:t>
      </w:r>
      <w:r w:rsidR="00DD6321" w:rsidRPr="00904FCB">
        <w:rPr>
          <w:rFonts w:ascii="Traditional Arabic" w:hAnsi="Traditional Arabic" w:hint="cs"/>
          <w:sz w:val="27"/>
          <w:rtl/>
        </w:rPr>
        <w:t>ٌ</w:t>
      </w:r>
      <w:r w:rsidRPr="00904FCB">
        <w:rPr>
          <w:rFonts w:ascii="Traditional Arabic" w:hAnsi="Traditional Arabic" w:hint="cs"/>
          <w:sz w:val="27"/>
          <w:rtl/>
        </w:rPr>
        <w:t xml:space="preserve"> من وجهة نظرنا، وإن دائرة الاجتهاد والاستنباط لا تقتصر على الأحكام المنصوصة</w:t>
      </w:r>
      <w:r w:rsidR="00DD6321" w:rsidRPr="00904FCB">
        <w:rPr>
          <w:rFonts w:ascii="Traditional Arabic" w:hAnsi="Traditional Arabic" w:hint="cs"/>
          <w:sz w:val="27"/>
          <w:rtl/>
        </w:rPr>
        <w:t>،</w:t>
      </w:r>
      <w:r w:rsidRPr="00904FCB">
        <w:rPr>
          <w:rFonts w:ascii="Traditional Arabic" w:hAnsi="Traditional Arabic" w:hint="cs"/>
          <w:sz w:val="27"/>
          <w:rtl/>
        </w:rPr>
        <w:t xml:space="preserve"> مثل</w:t>
      </w:r>
      <w:r w:rsidR="00DD6321" w:rsidRPr="00904FCB">
        <w:rPr>
          <w:rFonts w:ascii="Traditional Arabic" w:hAnsi="Traditional Arabic" w:hint="cs"/>
          <w:sz w:val="27"/>
          <w:rtl/>
        </w:rPr>
        <w:t>:</w:t>
      </w:r>
      <w:r w:rsidRPr="00904FCB">
        <w:rPr>
          <w:rFonts w:ascii="Traditional Arabic" w:hAnsi="Traditional Arabic" w:hint="cs"/>
          <w:sz w:val="27"/>
          <w:rtl/>
        </w:rPr>
        <w:t xml:space="preserve"> حرمة الر</w:t>
      </w:r>
      <w:r w:rsidR="00DD6321" w:rsidRPr="00904FCB">
        <w:rPr>
          <w:rFonts w:ascii="Traditional Arabic" w:hAnsi="Traditional Arabic" w:hint="cs"/>
          <w:sz w:val="27"/>
          <w:rtl/>
        </w:rPr>
        <w:t>ِّ</w:t>
      </w:r>
      <w:r w:rsidRPr="00904FCB">
        <w:rPr>
          <w:rFonts w:ascii="Traditional Arabic" w:hAnsi="Traditional Arabic" w:hint="cs"/>
          <w:sz w:val="27"/>
          <w:rtl/>
        </w:rPr>
        <w:t>با والخمر فقط، وإن</w:t>
      </w:r>
      <w:r w:rsidR="00DD6321" w:rsidRPr="00904FCB">
        <w:rPr>
          <w:rFonts w:ascii="Traditional Arabic" w:hAnsi="Traditional Arabic" w:hint="cs"/>
          <w:sz w:val="27"/>
          <w:rtl/>
        </w:rPr>
        <w:t>ْ</w:t>
      </w:r>
      <w:r w:rsidRPr="00904FCB">
        <w:rPr>
          <w:rFonts w:ascii="Traditional Arabic" w:hAnsi="Traditional Arabic" w:hint="cs"/>
          <w:sz w:val="27"/>
          <w:rtl/>
        </w:rPr>
        <w:t xml:space="preserve"> كان شرب الخمر يباح إذا توق</w:t>
      </w:r>
      <w:r w:rsidR="00DD6321" w:rsidRPr="00904FCB">
        <w:rPr>
          <w:rFonts w:ascii="Traditional Arabic" w:hAnsi="Traditional Arabic" w:hint="cs"/>
          <w:sz w:val="27"/>
          <w:rtl/>
        </w:rPr>
        <w:t>َّ</w:t>
      </w:r>
      <w:r w:rsidRPr="00904FCB">
        <w:rPr>
          <w:rFonts w:ascii="Traditional Arabic" w:hAnsi="Traditional Arabic" w:hint="cs"/>
          <w:sz w:val="27"/>
          <w:rtl/>
        </w:rPr>
        <w:t>ف عليه العلاج، ب</w:t>
      </w:r>
      <w:r w:rsidR="00DD6321" w:rsidRPr="00904FCB">
        <w:rPr>
          <w:rFonts w:ascii="Traditional Arabic" w:hAnsi="Traditional Arabic" w:hint="cs"/>
          <w:sz w:val="27"/>
          <w:rtl/>
        </w:rPr>
        <w:t>َ</w:t>
      </w:r>
      <w:r w:rsidRPr="00904FCB">
        <w:rPr>
          <w:rFonts w:ascii="Traditional Arabic" w:hAnsi="Traditional Arabic" w:hint="cs"/>
          <w:sz w:val="27"/>
          <w:rtl/>
        </w:rPr>
        <w:t>ي</w:t>
      </w:r>
      <w:r w:rsidR="00DD6321" w:rsidRPr="00904FCB">
        <w:rPr>
          <w:rFonts w:ascii="Traditional Arabic" w:hAnsi="Traditional Arabic" w:hint="cs"/>
          <w:sz w:val="27"/>
          <w:rtl/>
        </w:rPr>
        <w:t>ْ</w:t>
      </w:r>
      <w:r w:rsidRPr="00904FCB">
        <w:rPr>
          <w:rFonts w:ascii="Traditional Arabic" w:hAnsi="Traditional Arabic" w:hint="cs"/>
          <w:sz w:val="27"/>
          <w:rtl/>
        </w:rPr>
        <w:t>د</w:t>
      </w:r>
      <w:r w:rsidR="00DD6321" w:rsidRPr="00904FCB">
        <w:rPr>
          <w:rFonts w:ascii="Traditional Arabic" w:hAnsi="Traditional Arabic" w:hint="cs"/>
          <w:sz w:val="27"/>
          <w:rtl/>
        </w:rPr>
        <w:t>َ</w:t>
      </w:r>
      <w:r w:rsidRPr="00904FCB">
        <w:rPr>
          <w:rFonts w:ascii="Traditional Arabic" w:hAnsi="Traditional Arabic" w:hint="cs"/>
          <w:sz w:val="27"/>
          <w:rtl/>
        </w:rPr>
        <w:t xml:space="preserve"> أن هذا الجواز ليس حكماً عام</w:t>
      </w:r>
      <w:r w:rsidR="00DD6321" w:rsidRPr="00904FCB">
        <w:rPr>
          <w:rFonts w:ascii="Traditional Arabic" w:hAnsi="Traditional Arabic" w:hint="cs"/>
          <w:sz w:val="27"/>
          <w:rtl/>
        </w:rPr>
        <w:t>ّ</w:t>
      </w:r>
      <w:r w:rsidRPr="00904FCB">
        <w:rPr>
          <w:rFonts w:ascii="Traditional Arabic" w:hAnsi="Traditional Arabic" w:hint="cs"/>
          <w:sz w:val="27"/>
          <w:rtl/>
        </w:rPr>
        <w:t>اً</w:t>
      </w:r>
      <w:r w:rsidRPr="00904FCB">
        <w:rPr>
          <w:rFonts w:ascii="Traditional Arabic" w:hAnsi="Traditional Arabic"/>
          <w:sz w:val="27"/>
          <w:vertAlign w:val="superscript"/>
          <w:rtl/>
        </w:rPr>
        <w:t>(</w:t>
      </w:r>
      <w:r w:rsidRPr="00904FCB">
        <w:rPr>
          <w:rStyle w:val="ac"/>
          <w:rFonts w:ascii="Traditional Arabic" w:hAnsi="Traditional Arabic"/>
          <w:sz w:val="27"/>
          <w:rtl/>
        </w:rPr>
        <w:endnoteReference w:id="604"/>
      </w:r>
      <w:r w:rsidRPr="00904FCB">
        <w:rPr>
          <w:rFonts w:ascii="Traditional Arabic" w:hAnsi="Traditional Arabic"/>
          <w:sz w:val="27"/>
          <w:vertAlign w:val="superscript"/>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p>
    <w:p w:rsidR="00F34FB9" w:rsidRPr="00904FCB" w:rsidRDefault="00F34FB9" w:rsidP="007A21AA">
      <w:pPr>
        <w:pStyle w:val="31"/>
        <w:spacing w:line="400" w:lineRule="exact"/>
        <w:rPr>
          <w:color w:val="auto"/>
          <w:rtl/>
        </w:rPr>
      </w:pPr>
      <w:r w:rsidRPr="00904FCB">
        <w:rPr>
          <w:rFonts w:hint="cs"/>
          <w:color w:val="auto"/>
          <w:rtl/>
        </w:rPr>
        <w:t>الرؤية التطبيقي</w:t>
      </w:r>
      <w:r w:rsidR="005D48EC" w:rsidRPr="00904FCB">
        <w:rPr>
          <w:rFonts w:hint="cs"/>
          <w:color w:val="auto"/>
          <w:rtl/>
        </w:rPr>
        <w:t>ّ</w:t>
      </w:r>
      <w:r w:rsidRPr="00904FCB">
        <w:rPr>
          <w:rFonts w:hint="cs"/>
          <w:color w:val="auto"/>
          <w:rtl/>
        </w:rPr>
        <w:t>ة لبحث الشروط</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من الأبحاث الهام</w:t>
      </w:r>
      <w:r w:rsidR="005D48EC" w:rsidRPr="00904FCB">
        <w:rPr>
          <w:rFonts w:ascii="Traditional Arabic" w:hAnsi="Traditional Arabic" w:hint="cs"/>
          <w:sz w:val="27"/>
          <w:rtl/>
        </w:rPr>
        <w:t>ّ</w:t>
      </w:r>
      <w:r w:rsidRPr="00904FCB">
        <w:rPr>
          <w:rFonts w:ascii="Traditional Arabic" w:hAnsi="Traditional Arabic" w:hint="cs"/>
          <w:sz w:val="27"/>
          <w:rtl/>
        </w:rPr>
        <w:t>ة والمحورية التي لها تطبيقات كثيرة في دائرة المعاملات بالمعنى الأعم</w:t>
      </w:r>
      <w:r w:rsidR="005D48EC" w:rsidRPr="00904FCB">
        <w:rPr>
          <w:rFonts w:ascii="Traditional Arabic" w:hAnsi="Traditional Arabic" w:hint="cs"/>
          <w:sz w:val="27"/>
          <w:rtl/>
        </w:rPr>
        <w:t>ّ</w:t>
      </w:r>
      <w:r w:rsidRPr="00904FCB">
        <w:rPr>
          <w:rFonts w:ascii="Traditional Arabic" w:hAnsi="Traditional Arabic" w:hint="cs"/>
          <w:sz w:val="27"/>
          <w:rtl/>
        </w:rPr>
        <w:t>، ويمكن حلّ الكثير من المشاكل والعقد العلمية والتنفيذية على المستوى الفردي والاجتماعي، بحث الشروط. ولذلك فقد أ</w:t>
      </w:r>
      <w:r w:rsidR="005D48EC" w:rsidRPr="00904FCB">
        <w:rPr>
          <w:rFonts w:ascii="Traditional Arabic" w:hAnsi="Traditional Arabic" w:hint="cs"/>
          <w:sz w:val="27"/>
          <w:rtl/>
        </w:rPr>
        <w:t>َ</w:t>
      </w:r>
      <w:r w:rsidRPr="00904FCB">
        <w:rPr>
          <w:rFonts w:ascii="Traditional Arabic" w:hAnsi="Traditional Arabic" w:hint="cs"/>
          <w:sz w:val="27"/>
          <w:rtl/>
        </w:rPr>
        <w:t>و</w:t>
      </w:r>
      <w:r w:rsidR="005D48EC" w:rsidRPr="00904FCB">
        <w:rPr>
          <w:rFonts w:ascii="Traditional Arabic" w:hAnsi="Traditional Arabic" w:hint="cs"/>
          <w:sz w:val="27"/>
          <w:rtl/>
        </w:rPr>
        <w:t>ْ</w:t>
      </w:r>
      <w:r w:rsidRPr="00904FCB">
        <w:rPr>
          <w:rFonts w:ascii="Traditional Arabic" w:hAnsi="Traditional Arabic" w:hint="cs"/>
          <w:sz w:val="27"/>
          <w:rtl/>
        </w:rPr>
        <w:t>لى الفقهاء أهم</w:t>
      </w:r>
      <w:r w:rsidR="005D48EC" w:rsidRPr="00904FCB">
        <w:rPr>
          <w:rFonts w:ascii="Traditional Arabic" w:hAnsi="Traditional Arabic" w:hint="cs"/>
          <w:sz w:val="27"/>
          <w:rtl/>
        </w:rPr>
        <w:t>ّ</w:t>
      </w:r>
      <w:r w:rsidRPr="00904FCB">
        <w:rPr>
          <w:rFonts w:ascii="Traditional Arabic" w:hAnsi="Traditional Arabic" w:hint="cs"/>
          <w:sz w:val="27"/>
          <w:rtl/>
        </w:rPr>
        <w:t>ية</w:t>
      </w:r>
      <w:r w:rsidR="005D48EC" w:rsidRPr="00904FCB">
        <w:rPr>
          <w:rFonts w:ascii="Traditional Arabic" w:hAnsi="Traditional Arabic" w:hint="cs"/>
          <w:sz w:val="27"/>
          <w:rtl/>
        </w:rPr>
        <w:t>ً</w:t>
      </w:r>
      <w:r w:rsidRPr="00904FCB">
        <w:rPr>
          <w:rFonts w:ascii="Traditional Arabic" w:hAnsi="Traditional Arabic" w:hint="cs"/>
          <w:sz w:val="27"/>
          <w:rtl/>
        </w:rPr>
        <w:t xml:space="preserve"> مضاعفة لهذا البحث.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وقد خاض العلامة آل كاشف الغطاء في هذه الأبحاث برؤية</w:t>
      </w:r>
      <w:r w:rsidR="005D48EC" w:rsidRPr="00904FCB">
        <w:rPr>
          <w:rFonts w:ascii="Traditional Arabic" w:hAnsi="Traditional Arabic" w:hint="cs"/>
          <w:sz w:val="27"/>
          <w:rtl/>
        </w:rPr>
        <w:t>ٍ</w:t>
      </w:r>
      <w:r w:rsidRPr="00904FCB">
        <w:rPr>
          <w:rFonts w:ascii="Traditional Arabic" w:hAnsi="Traditional Arabic" w:hint="cs"/>
          <w:sz w:val="27"/>
          <w:rtl/>
        </w:rPr>
        <w:t xml:space="preserve"> مختلفة عن سائر الفقهاء في موارد التبويب الحديث والناجع.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المورد الأو</w:t>
      </w:r>
      <w:r w:rsidR="005D48EC" w:rsidRPr="00904FCB">
        <w:rPr>
          <w:rFonts w:ascii="Traditional Arabic" w:hAnsi="Traditional Arabic" w:hint="cs"/>
          <w:b/>
          <w:bCs/>
          <w:sz w:val="27"/>
          <w:rtl/>
        </w:rPr>
        <w:t>ّ</w:t>
      </w:r>
      <w:r w:rsidRPr="00904FCB">
        <w:rPr>
          <w:rFonts w:ascii="Traditional Arabic" w:hAnsi="Traditional Arabic" w:hint="cs"/>
          <w:b/>
          <w:bCs/>
          <w:sz w:val="27"/>
          <w:rtl/>
        </w:rPr>
        <w:t>ل</w:t>
      </w:r>
      <w:r w:rsidRPr="00904FCB">
        <w:rPr>
          <w:rFonts w:ascii="Traditional Arabic" w:hAnsi="Traditional Arabic" w:hint="cs"/>
          <w:sz w:val="27"/>
          <w:rtl/>
        </w:rPr>
        <w:t>: قال في ذيل القاعدة الثامنة عشرة</w:t>
      </w:r>
      <w:r w:rsidR="005D48EC" w:rsidRPr="00904FCB">
        <w:rPr>
          <w:rFonts w:ascii="Traditional Arabic" w:hAnsi="Traditional Arabic" w:hint="cs"/>
          <w:sz w:val="27"/>
          <w:rtl/>
        </w:rPr>
        <w:t>،</w:t>
      </w:r>
      <w:r w:rsidRPr="00904FCB">
        <w:rPr>
          <w:rFonts w:ascii="Traditional Arabic" w:hAnsi="Traditional Arabic" w:hint="cs"/>
          <w:sz w:val="27"/>
          <w:rtl/>
        </w:rPr>
        <w:t xml:space="preserve"> تحت عنوان </w:t>
      </w:r>
      <w:r w:rsidRPr="00904FCB">
        <w:rPr>
          <w:rFonts w:hint="eastAsia"/>
          <w:sz w:val="27"/>
          <w:rtl/>
        </w:rPr>
        <w:t>«</w:t>
      </w:r>
      <w:r w:rsidRPr="00904FCB">
        <w:rPr>
          <w:rFonts w:ascii="Traditional Arabic" w:hAnsi="Traditional Arabic" w:hint="cs"/>
          <w:sz w:val="27"/>
          <w:rtl/>
        </w:rPr>
        <w:t>الشرط جائز بين المسلمين</w:t>
      </w:r>
      <w:r w:rsidR="005D48EC" w:rsidRPr="00904FCB">
        <w:rPr>
          <w:rFonts w:ascii="Traditional Arabic" w:hAnsi="Traditional Arabic" w:hint="cs"/>
          <w:sz w:val="27"/>
          <w:rtl/>
        </w:rPr>
        <w:t>،</w:t>
      </w:r>
      <w:r w:rsidRPr="00904FCB">
        <w:rPr>
          <w:rFonts w:ascii="Traditional Arabic" w:hAnsi="Traditional Arabic" w:hint="cs"/>
          <w:sz w:val="27"/>
          <w:rtl/>
        </w:rPr>
        <w:t xml:space="preserve"> إلا</w:t>
      </w:r>
      <w:r w:rsidR="005D48EC" w:rsidRPr="00904FCB">
        <w:rPr>
          <w:rFonts w:ascii="Traditional Arabic" w:hAnsi="Traditional Arabic" w:hint="cs"/>
          <w:sz w:val="27"/>
          <w:rtl/>
        </w:rPr>
        <w:t>ّ</w:t>
      </w:r>
      <w:r w:rsidRPr="00904FCB">
        <w:rPr>
          <w:rFonts w:ascii="Traditional Arabic" w:hAnsi="Traditional Arabic" w:hint="cs"/>
          <w:sz w:val="27"/>
          <w:rtl/>
        </w:rPr>
        <w:t xml:space="preserve"> ما أحلّ حراماً أو حرّ</w:t>
      </w:r>
      <w:r w:rsidR="005D48EC" w:rsidRPr="00904FCB">
        <w:rPr>
          <w:rFonts w:ascii="Traditional Arabic" w:hAnsi="Traditional Arabic" w:hint="cs"/>
          <w:sz w:val="27"/>
          <w:rtl/>
        </w:rPr>
        <w:t>َ</w:t>
      </w:r>
      <w:r w:rsidRPr="00904FCB">
        <w:rPr>
          <w:rFonts w:ascii="Traditional Arabic" w:hAnsi="Traditional Arabic" w:hint="cs"/>
          <w:sz w:val="27"/>
          <w:rtl/>
        </w:rPr>
        <w:t>م حلالاً</w:t>
      </w:r>
      <w:r w:rsidRPr="00904FCB">
        <w:rPr>
          <w:rFonts w:hint="eastAsia"/>
          <w:sz w:val="27"/>
          <w:rtl/>
        </w:rPr>
        <w:t>»</w:t>
      </w:r>
      <w:r w:rsidRPr="00904FCB">
        <w:rPr>
          <w:sz w:val="27"/>
          <w:vertAlign w:val="superscript"/>
          <w:rtl/>
        </w:rPr>
        <w:t>(</w:t>
      </w:r>
      <w:r w:rsidRPr="00904FCB">
        <w:rPr>
          <w:rStyle w:val="ac"/>
          <w:rFonts w:ascii="Traditional Arabic" w:hAnsi="Traditional Arabic"/>
          <w:sz w:val="27"/>
          <w:rtl/>
        </w:rPr>
        <w:endnoteReference w:id="605"/>
      </w:r>
      <w:r w:rsidRPr="00904FCB">
        <w:rPr>
          <w:sz w:val="27"/>
          <w:vertAlign w:val="superscript"/>
          <w:rtl/>
        </w:rPr>
        <w:t>)</w:t>
      </w:r>
      <w:r w:rsidRPr="00904FCB">
        <w:rPr>
          <w:rFonts w:ascii="Traditional Arabic" w:hAnsi="Traditional Arabic" w:hint="cs"/>
          <w:sz w:val="27"/>
          <w:rtl/>
        </w:rPr>
        <w:t>، وكذلك في ذيل القاعدة التاسعة عشرة</w:t>
      </w:r>
      <w:r w:rsidR="005D48EC" w:rsidRPr="00904FCB">
        <w:rPr>
          <w:rFonts w:ascii="Traditional Arabic" w:hAnsi="Traditional Arabic" w:hint="cs"/>
          <w:sz w:val="27"/>
          <w:rtl/>
        </w:rPr>
        <w:t>،</w:t>
      </w:r>
      <w:r w:rsidRPr="00904FCB">
        <w:rPr>
          <w:rFonts w:ascii="Traditional Arabic" w:hAnsi="Traditional Arabic" w:hint="cs"/>
          <w:sz w:val="27"/>
          <w:rtl/>
        </w:rPr>
        <w:t xml:space="preserve"> تحت عنوان </w:t>
      </w:r>
      <w:r w:rsidRPr="00904FCB">
        <w:rPr>
          <w:rFonts w:hint="eastAsia"/>
          <w:sz w:val="27"/>
          <w:rtl/>
        </w:rPr>
        <w:t>«</w:t>
      </w:r>
      <w:r w:rsidRPr="00904FCB">
        <w:rPr>
          <w:rFonts w:ascii="Traditional Arabic" w:hAnsi="Traditional Arabic" w:hint="cs"/>
          <w:sz w:val="27"/>
          <w:rtl/>
        </w:rPr>
        <w:t>المؤمنون عند شروطهم</w:t>
      </w:r>
      <w:r w:rsidR="005D48EC" w:rsidRPr="00904FCB">
        <w:rPr>
          <w:rFonts w:ascii="Traditional Arabic" w:hAnsi="Traditional Arabic" w:hint="cs"/>
          <w:sz w:val="27"/>
          <w:rtl/>
        </w:rPr>
        <w:t>،</w:t>
      </w:r>
      <w:r w:rsidRPr="00904FCB">
        <w:rPr>
          <w:rFonts w:ascii="Traditional Arabic" w:hAnsi="Traditional Arabic" w:hint="cs"/>
          <w:sz w:val="27"/>
          <w:rtl/>
        </w:rPr>
        <w:t xml:space="preserve"> إلا</w:t>
      </w:r>
      <w:r w:rsidR="005D48EC" w:rsidRPr="00904FCB">
        <w:rPr>
          <w:rFonts w:ascii="Traditional Arabic" w:hAnsi="Traditional Arabic" w:hint="cs"/>
          <w:sz w:val="27"/>
          <w:rtl/>
        </w:rPr>
        <w:t>ّ</w:t>
      </w:r>
      <w:r w:rsidRPr="00904FCB">
        <w:rPr>
          <w:rFonts w:ascii="Traditional Arabic" w:hAnsi="Traditional Arabic" w:hint="cs"/>
          <w:sz w:val="27"/>
          <w:rtl/>
        </w:rPr>
        <w:t xml:space="preserve"> ما خالف كتاب الله</w:t>
      </w:r>
      <w:r w:rsidRPr="00904FCB">
        <w:rPr>
          <w:rFonts w:hint="eastAsia"/>
          <w:sz w:val="27"/>
          <w:rtl/>
        </w:rPr>
        <w:t>»</w:t>
      </w:r>
      <w:r w:rsidRPr="00904FCB">
        <w:rPr>
          <w:sz w:val="27"/>
          <w:vertAlign w:val="superscript"/>
          <w:rtl/>
        </w:rPr>
        <w:t>(</w:t>
      </w:r>
      <w:r w:rsidRPr="00904FCB">
        <w:rPr>
          <w:rStyle w:val="ac"/>
          <w:rFonts w:ascii="Traditional Arabic" w:hAnsi="Traditional Arabic"/>
          <w:sz w:val="27"/>
          <w:rtl/>
        </w:rPr>
        <w:endnoteReference w:id="606"/>
      </w:r>
      <w:r w:rsidRPr="00904FCB">
        <w:rPr>
          <w:sz w:val="27"/>
          <w:vertAlign w:val="superscript"/>
          <w:rtl/>
        </w:rPr>
        <w:t>)</w:t>
      </w:r>
      <w:r w:rsidR="005D48EC" w:rsidRPr="00904FCB">
        <w:rPr>
          <w:rFonts w:ascii="Traditional Arabic" w:hAnsi="Traditional Arabic" w:hint="cs"/>
          <w:sz w:val="27"/>
          <w:rtl/>
        </w:rPr>
        <w:t>،</w:t>
      </w:r>
      <w:r w:rsidRPr="00904FCB">
        <w:rPr>
          <w:rFonts w:ascii="Traditional Arabic" w:hAnsi="Traditional Arabic" w:hint="cs"/>
          <w:sz w:val="27"/>
          <w:rtl/>
        </w:rPr>
        <w:t xml:space="preserve"> قال في مقام بيان الشرط المخالف لكتاب الله</w:t>
      </w:r>
      <w:r w:rsidR="005D48EC" w:rsidRPr="00904FCB">
        <w:rPr>
          <w:rFonts w:ascii="Traditional Arabic" w:hAnsi="Traditional Arabic" w:hint="cs"/>
          <w:sz w:val="27"/>
          <w:rtl/>
        </w:rPr>
        <w:t xml:space="preserve">، </w:t>
      </w:r>
      <w:r w:rsidRPr="00904FCB">
        <w:rPr>
          <w:rFonts w:ascii="Traditional Arabic" w:hAnsi="Traditional Arabic" w:hint="cs"/>
          <w:sz w:val="27"/>
          <w:rtl/>
        </w:rPr>
        <w:t>الذي هو من الأبحاث المعق</w:t>
      </w:r>
      <w:r w:rsidR="005D48EC" w:rsidRPr="00904FCB">
        <w:rPr>
          <w:rFonts w:ascii="Traditional Arabic" w:hAnsi="Traditional Arabic" w:hint="cs"/>
          <w:sz w:val="27"/>
          <w:rtl/>
        </w:rPr>
        <w:t>َّ</w:t>
      </w:r>
      <w:r w:rsidRPr="00904FCB">
        <w:rPr>
          <w:rFonts w:ascii="Traditional Arabic" w:hAnsi="Traditional Arabic" w:hint="cs"/>
          <w:sz w:val="27"/>
          <w:rtl/>
        </w:rPr>
        <w:t>دة</w:t>
      </w:r>
      <w:r w:rsidR="005D48EC" w:rsidRPr="00904FCB">
        <w:rPr>
          <w:rFonts w:ascii="Traditional Arabic" w:hAnsi="Traditional Arabic" w:hint="cs"/>
          <w:sz w:val="27"/>
          <w:rtl/>
        </w:rPr>
        <w:t>،</w:t>
      </w:r>
      <w:r w:rsidRPr="00904FCB">
        <w:rPr>
          <w:rFonts w:ascii="Traditional Arabic" w:hAnsi="Traditional Arabic" w:hint="cs"/>
          <w:sz w:val="27"/>
          <w:rtl/>
        </w:rPr>
        <w:t xml:space="preserve"> والتي وقع </w:t>
      </w:r>
      <w:r w:rsidRPr="00904FCB">
        <w:rPr>
          <w:rFonts w:ascii="Traditional Arabic" w:hAnsi="Traditional Arabic" w:hint="cs"/>
          <w:sz w:val="27"/>
          <w:rtl/>
        </w:rPr>
        <w:lastRenderedPageBreak/>
        <w:t xml:space="preserve">الخلاف فيها بين الفقهاء: ما هو المراد من الشرط المخالف لكتاب الله؟ هناك عدّة احتمالات: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أـ إن المراد من الذي يحرّ</w:t>
      </w:r>
      <w:r w:rsidR="005D48EC" w:rsidRPr="00904FCB">
        <w:rPr>
          <w:rFonts w:ascii="Traditional Arabic" w:hAnsi="Traditional Arabic" w:hint="cs"/>
          <w:sz w:val="27"/>
          <w:rtl/>
        </w:rPr>
        <w:t>ِ</w:t>
      </w:r>
      <w:r w:rsidRPr="00904FCB">
        <w:rPr>
          <w:rFonts w:ascii="Traditional Arabic" w:hAnsi="Traditional Arabic" w:hint="cs"/>
          <w:sz w:val="27"/>
          <w:rtl/>
        </w:rPr>
        <w:t>م حلال الله بمعنى التشريع، كأن</w:t>
      </w:r>
      <w:r w:rsidR="005D48EC" w:rsidRPr="00904FCB">
        <w:rPr>
          <w:rFonts w:ascii="Traditional Arabic" w:hAnsi="Traditional Arabic" w:hint="cs"/>
          <w:sz w:val="27"/>
          <w:rtl/>
        </w:rPr>
        <w:t>ْ</w:t>
      </w:r>
      <w:r w:rsidRPr="00904FCB">
        <w:rPr>
          <w:rFonts w:ascii="Traditional Arabic" w:hAnsi="Traditional Arabic" w:hint="cs"/>
          <w:sz w:val="27"/>
          <w:rtl/>
        </w:rPr>
        <w:t xml:space="preserve"> يشترط إباحة الخمر في ضمن البيع.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ب ـ أن يكون المراد ارتكاب المحرّ</w:t>
      </w:r>
      <w:r w:rsidR="005D48EC" w:rsidRPr="00904FCB">
        <w:rPr>
          <w:rFonts w:ascii="Traditional Arabic" w:hAnsi="Traditional Arabic" w:hint="cs"/>
          <w:sz w:val="27"/>
          <w:rtl/>
        </w:rPr>
        <w:t>َ</w:t>
      </w:r>
      <w:r w:rsidRPr="00904FCB">
        <w:rPr>
          <w:rFonts w:ascii="Traditional Arabic" w:hAnsi="Traditional Arabic" w:hint="cs"/>
          <w:sz w:val="27"/>
          <w:rtl/>
        </w:rPr>
        <w:t>مات وترك الواجبات، كأن</w:t>
      </w:r>
      <w:r w:rsidR="005D48EC" w:rsidRPr="00904FCB">
        <w:rPr>
          <w:rFonts w:ascii="Traditional Arabic" w:hAnsi="Traditional Arabic" w:hint="cs"/>
          <w:sz w:val="27"/>
          <w:rtl/>
        </w:rPr>
        <w:t>ْ</w:t>
      </w:r>
      <w:r w:rsidRPr="00904FCB">
        <w:rPr>
          <w:rFonts w:ascii="Traditional Arabic" w:hAnsi="Traditional Arabic" w:hint="cs"/>
          <w:sz w:val="27"/>
          <w:rtl/>
        </w:rPr>
        <w:t xml:space="preserve"> يقول: </w:t>
      </w:r>
      <w:r w:rsidR="005D48EC" w:rsidRPr="00904FCB">
        <w:rPr>
          <w:rFonts w:ascii="Traditional Arabic" w:hAnsi="Traditional Arabic" w:hint="cs"/>
          <w:sz w:val="27"/>
          <w:rtl/>
        </w:rPr>
        <w:t>ا</w:t>
      </w:r>
      <w:r w:rsidRPr="00904FCB">
        <w:rPr>
          <w:rFonts w:ascii="Traditional Arabic" w:hAnsi="Traditional Arabic" w:hint="cs"/>
          <w:sz w:val="27"/>
          <w:rtl/>
        </w:rPr>
        <w:t>شر</w:t>
      </w:r>
      <w:r w:rsidR="005D48EC" w:rsidRPr="00904FCB">
        <w:rPr>
          <w:rFonts w:ascii="Traditional Arabic" w:hAnsi="Traditional Arabic" w:hint="cs"/>
          <w:sz w:val="27"/>
          <w:rtl/>
        </w:rPr>
        <w:t>َ</w:t>
      </w:r>
      <w:r w:rsidRPr="00904FCB">
        <w:rPr>
          <w:rFonts w:ascii="Traditional Arabic" w:hAnsi="Traditional Arabic" w:hint="cs"/>
          <w:sz w:val="27"/>
          <w:rtl/>
        </w:rPr>
        <w:t>ب</w:t>
      </w:r>
      <w:r w:rsidR="005D48EC" w:rsidRPr="00904FCB">
        <w:rPr>
          <w:rFonts w:ascii="Traditional Arabic" w:hAnsi="Traditional Arabic" w:hint="cs"/>
          <w:sz w:val="27"/>
          <w:rtl/>
        </w:rPr>
        <w:t>ْ</w:t>
      </w:r>
      <w:r w:rsidRPr="00904FCB">
        <w:rPr>
          <w:rFonts w:ascii="Traditional Arabic" w:hAnsi="Traditional Arabic" w:hint="cs"/>
          <w:sz w:val="27"/>
          <w:rtl/>
        </w:rPr>
        <w:t xml:space="preserve"> الخمر، أو </w:t>
      </w:r>
      <w:r w:rsidR="005D48EC" w:rsidRPr="00904FCB">
        <w:rPr>
          <w:rFonts w:ascii="Traditional Arabic" w:hAnsi="Traditional Arabic" w:hint="cs"/>
          <w:sz w:val="27"/>
          <w:rtl/>
        </w:rPr>
        <w:t>ا</w:t>
      </w:r>
      <w:r w:rsidRPr="00904FCB">
        <w:rPr>
          <w:rFonts w:ascii="Traditional Arabic" w:hAnsi="Traditional Arabic" w:hint="cs"/>
          <w:sz w:val="27"/>
          <w:rtl/>
        </w:rPr>
        <w:t>تر</w:t>
      </w:r>
      <w:r w:rsidR="005D48EC" w:rsidRPr="00904FCB">
        <w:rPr>
          <w:rFonts w:ascii="Traditional Arabic" w:hAnsi="Traditional Arabic" w:hint="cs"/>
          <w:sz w:val="27"/>
          <w:rtl/>
        </w:rPr>
        <w:t>ُ</w:t>
      </w:r>
      <w:r w:rsidRPr="00904FCB">
        <w:rPr>
          <w:rFonts w:ascii="Traditional Arabic" w:hAnsi="Traditional Arabic" w:hint="cs"/>
          <w:sz w:val="27"/>
          <w:rtl/>
        </w:rPr>
        <w:t>ك</w:t>
      </w:r>
      <w:r w:rsidR="005D48EC" w:rsidRPr="00904FCB">
        <w:rPr>
          <w:rFonts w:ascii="Traditional Arabic" w:hAnsi="Traditional Arabic" w:hint="cs"/>
          <w:sz w:val="27"/>
          <w:rtl/>
        </w:rPr>
        <w:t>ْ</w:t>
      </w:r>
      <w:r w:rsidRPr="00904FCB">
        <w:rPr>
          <w:rFonts w:ascii="Traditional Arabic" w:hAnsi="Traditional Arabic" w:hint="cs"/>
          <w:sz w:val="27"/>
          <w:rtl/>
        </w:rPr>
        <w:t xml:space="preserve"> الصلاة.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ثم</w:t>
      </w:r>
      <w:r w:rsidR="005D48EC" w:rsidRPr="00904FCB">
        <w:rPr>
          <w:rFonts w:ascii="Traditional Arabic" w:hAnsi="Traditional Arabic" w:hint="cs"/>
          <w:sz w:val="27"/>
          <w:rtl/>
        </w:rPr>
        <w:t>ّ</w:t>
      </w:r>
      <w:r w:rsidRPr="00904FCB">
        <w:rPr>
          <w:rFonts w:ascii="Traditional Arabic" w:hAnsi="Traditional Arabic" w:hint="cs"/>
          <w:sz w:val="27"/>
          <w:rtl/>
        </w:rPr>
        <w:t xml:space="preserve"> يذكر أمثلة</w:t>
      </w:r>
      <w:r w:rsidR="005D48EC" w:rsidRPr="00904FCB">
        <w:rPr>
          <w:rFonts w:ascii="Traditional Arabic" w:hAnsi="Traditional Arabic" w:hint="cs"/>
          <w:sz w:val="27"/>
          <w:rtl/>
        </w:rPr>
        <w:t>ً،</w:t>
      </w:r>
      <w:r w:rsidRPr="00904FCB">
        <w:rPr>
          <w:rFonts w:ascii="Traditional Arabic" w:hAnsi="Traditional Arabic" w:hint="cs"/>
          <w:sz w:val="27"/>
          <w:rtl/>
        </w:rPr>
        <w:t xml:space="preserve"> من قبيل: اشتراط عدم إرث الأولاد، واشتراط ترك الزواج من الأغيار، واشتراط عدم السفر، أو اشتراط عدم إخراج الزوجة من بيت والدها. ويطرح السؤال القائل: ما هو الشرط المخالف لكتاب الله منها؟ وما هو الملاك في المخالفة وعدم المخالفة؟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وقال في مقام حلّ الإشكال: إن للشرط في ضمن العقد أقساماً، وهي: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w:t>
      </w:r>
      <w:r w:rsidR="005D48EC" w:rsidRPr="00904FCB">
        <w:rPr>
          <w:rFonts w:ascii="Traditional Arabic" w:hAnsi="Traditional Arabic" w:hint="cs"/>
          <w:b/>
          <w:bCs/>
          <w:sz w:val="27"/>
          <w:rtl/>
        </w:rPr>
        <w:t>ّ</w:t>
      </w:r>
      <w:r w:rsidRPr="00904FCB">
        <w:rPr>
          <w:rFonts w:ascii="Traditional Arabic" w:hAnsi="Traditional Arabic" w:hint="cs"/>
          <w:b/>
          <w:bCs/>
          <w:sz w:val="27"/>
          <w:rtl/>
        </w:rPr>
        <w:t>ل</w:t>
      </w:r>
      <w:r w:rsidRPr="00904FCB">
        <w:rPr>
          <w:rFonts w:ascii="Traditional Arabic" w:hAnsi="Traditional Arabic" w:hint="cs"/>
          <w:sz w:val="27"/>
          <w:rtl/>
        </w:rPr>
        <w:t>: اشتراط ارتكاب محرّم من المحر</w:t>
      </w:r>
      <w:r w:rsidR="005D48EC" w:rsidRPr="00904FCB">
        <w:rPr>
          <w:rFonts w:ascii="Traditional Arabic" w:hAnsi="Traditional Arabic" w:hint="cs"/>
          <w:sz w:val="27"/>
          <w:rtl/>
        </w:rPr>
        <w:t>َّ</w:t>
      </w:r>
      <w:r w:rsidRPr="00904FCB">
        <w:rPr>
          <w:rFonts w:ascii="Traditional Arabic" w:hAnsi="Traditional Arabic" w:hint="cs"/>
          <w:sz w:val="27"/>
          <w:rtl/>
        </w:rPr>
        <w:t>مات الأعم</w:t>
      </w:r>
      <w:r w:rsidR="005D48EC" w:rsidRPr="00904FCB">
        <w:rPr>
          <w:rFonts w:ascii="Traditional Arabic" w:hAnsi="Traditional Arabic" w:hint="cs"/>
          <w:sz w:val="27"/>
          <w:rtl/>
        </w:rPr>
        <w:t>ّ</w:t>
      </w:r>
      <w:r w:rsidRPr="00904FCB">
        <w:rPr>
          <w:rFonts w:ascii="Traditional Arabic" w:hAnsi="Traditional Arabic" w:hint="cs"/>
          <w:sz w:val="27"/>
          <w:rtl/>
        </w:rPr>
        <w:t xml:space="preserve"> من المحرّم الذاتي، مثل: شرب الخمر، أو المحرّم العرضي، من قبيل: مجامعة الزوجة أثناء الحيض. إن هذا النوع من الشروط باطل</w:t>
      </w:r>
      <w:r w:rsidR="005D48EC" w:rsidRPr="00904FCB">
        <w:rPr>
          <w:rFonts w:ascii="Traditional Arabic" w:hAnsi="Traditional Arabic" w:hint="cs"/>
          <w:sz w:val="27"/>
          <w:rtl/>
        </w:rPr>
        <w:t>ٌ؛</w:t>
      </w:r>
      <w:r w:rsidRPr="00904FCB">
        <w:rPr>
          <w:rFonts w:ascii="Traditional Arabic" w:hAnsi="Traditional Arabic" w:hint="cs"/>
          <w:sz w:val="27"/>
          <w:rtl/>
        </w:rPr>
        <w:t xml:space="preserve"> لأنه من مصاديق الشرط الذي يحل</w:t>
      </w:r>
      <w:r w:rsidR="005D48EC" w:rsidRPr="00904FCB">
        <w:rPr>
          <w:rFonts w:ascii="Traditional Arabic" w:hAnsi="Traditional Arabic" w:hint="cs"/>
          <w:sz w:val="27"/>
          <w:rtl/>
        </w:rPr>
        <w:t>ِّ</w:t>
      </w:r>
      <w:r w:rsidRPr="00904FCB">
        <w:rPr>
          <w:rFonts w:ascii="Traditional Arabic" w:hAnsi="Traditional Arabic" w:hint="cs"/>
          <w:sz w:val="27"/>
          <w:rtl/>
        </w:rPr>
        <w:t>ل حراماً، وهو بالتالي مخالف</w:t>
      </w:r>
      <w:r w:rsidR="005D48EC" w:rsidRPr="00904FCB">
        <w:rPr>
          <w:rFonts w:ascii="Traditional Arabic" w:hAnsi="Traditional Arabic" w:hint="cs"/>
          <w:sz w:val="27"/>
          <w:rtl/>
        </w:rPr>
        <w:t>ٌ</w:t>
      </w:r>
      <w:r w:rsidRPr="00904FCB">
        <w:rPr>
          <w:rFonts w:ascii="Traditional Arabic" w:hAnsi="Traditional Arabic" w:hint="cs"/>
          <w:sz w:val="27"/>
          <w:rtl/>
        </w:rPr>
        <w:t xml:space="preserve"> لكتاب الله قطعاً.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ولكن</w:t>
      </w:r>
      <w:r w:rsidR="005D48EC" w:rsidRPr="00904FCB">
        <w:rPr>
          <w:rFonts w:ascii="Traditional Arabic" w:hAnsi="Traditional Arabic" w:hint="cs"/>
          <w:sz w:val="27"/>
          <w:rtl/>
        </w:rPr>
        <w:t>ْ</w:t>
      </w:r>
      <w:r w:rsidRPr="00904FCB">
        <w:rPr>
          <w:rFonts w:ascii="Traditional Arabic" w:hAnsi="Traditional Arabic" w:hint="cs"/>
          <w:sz w:val="27"/>
          <w:rtl/>
        </w:rPr>
        <w:t xml:space="preserve"> هل يؤدي هذا الشرط الباطل إلى بطلان العقد أيضاً؟ وقع الخلاف بين الفقهاء</w:t>
      </w:r>
      <w:r w:rsidR="005D48EC" w:rsidRPr="00904FCB">
        <w:rPr>
          <w:rFonts w:ascii="Traditional Arabic" w:hAnsi="Traditional Arabic" w:hint="cs"/>
          <w:sz w:val="27"/>
          <w:rtl/>
        </w:rPr>
        <w:t>.</w:t>
      </w:r>
      <w:r w:rsidRPr="00904FCB">
        <w:rPr>
          <w:rFonts w:ascii="Traditional Arabic" w:hAnsi="Traditional Arabic" w:hint="cs"/>
          <w:sz w:val="27"/>
          <w:rtl/>
        </w:rPr>
        <w:t xml:space="preserve"> والصحيح هو القول بعدم بطلان العقد.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w:t>
      </w:r>
      <w:r w:rsidRPr="00904FCB">
        <w:rPr>
          <w:rFonts w:ascii="Traditional Arabic" w:hAnsi="Traditional Arabic" w:hint="cs"/>
          <w:sz w:val="27"/>
          <w:rtl/>
        </w:rPr>
        <w:t xml:space="preserve">: </w:t>
      </w:r>
      <w:r w:rsidR="005D48EC" w:rsidRPr="00904FCB">
        <w:rPr>
          <w:rFonts w:ascii="Traditional Arabic" w:hAnsi="Traditional Arabic" w:hint="cs"/>
          <w:sz w:val="27"/>
          <w:rtl/>
        </w:rPr>
        <w:t>ا</w:t>
      </w:r>
      <w:r w:rsidRPr="00904FCB">
        <w:rPr>
          <w:rFonts w:ascii="Traditional Arabic" w:hAnsi="Traditional Arabic" w:hint="cs"/>
          <w:sz w:val="27"/>
          <w:rtl/>
        </w:rPr>
        <w:t>شتراط ترك مباح</w:t>
      </w:r>
      <w:r w:rsidR="005D48EC" w:rsidRPr="00904FCB">
        <w:rPr>
          <w:rFonts w:ascii="Traditional Arabic" w:hAnsi="Traditional Arabic" w:hint="cs"/>
          <w:sz w:val="27"/>
          <w:rtl/>
        </w:rPr>
        <w:t>ٍ</w:t>
      </w:r>
      <w:r w:rsidRPr="00904FCB">
        <w:rPr>
          <w:rFonts w:ascii="Traditional Arabic" w:hAnsi="Traditional Arabic" w:hint="cs"/>
          <w:sz w:val="27"/>
          <w:rtl/>
        </w:rPr>
        <w:t xml:space="preserve"> من المباحات، من قبيل: اشتراط عدم طلاق الزوجة، أو عدم الزواج من الثانية، أو عدم السفر. ولهذا القسم صورتان: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الأولى</w:t>
      </w:r>
      <w:r w:rsidRPr="00904FCB">
        <w:rPr>
          <w:rFonts w:ascii="Traditional Arabic" w:hAnsi="Traditional Arabic" w:hint="cs"/>
          <w:sz w:val="27"/>
          <w:rtl/>
        </w:rPr>
        <w:t>: أن يكون متعل</w:t>
      </w:r>
      <w:r w:rsidR="005D48EC" w:rsidRPr="00904FCB">
        <w:rPr>
          <w:rFonts w:ascii="Traditional Arabic" w:hAnsi="Traditional Arabic" w:hint="cs"/>
          <w:sz w:val="27"/>
          <w:rtl/>
        </w:rPr>
        <w:t>َّ</w:t>
      </w:r>
      <w:r w:rsidRPr="00904FCB">
        <w:rPr>
          <w:rFonts w:ascii="Traditional Arabic" w:hAnsi="Traditional Arabic" w:hint="cs"/>
          <w:sz w:val="27"/>
          <w:rtl/>
        </w:rPr>
        <w:t>ق الشرط هو ذات العمل، بغض</w:t>
      </w:r>
      <w:r w:rsidR="005D48EC" w:rsidRPr="00904FCB">
        <w:rPr>
          <w:rFonts w:ascii="Traditional Arabic" w:hAnsi="Traditional Arabic" w:hint="cs"/>
          <w:sz w:val="27"/>
          <w:rtl/>
        </w:rPr>
        <w:t>ّ</w:t>
      </w:r>
      <w:r w:rsidRPr="00904FCB">
        <w:rPr>
          <w:rFonts w:ascii="Traditional Arabic" w:hAnsi="Traditional Arabic" w:hint="cs"/>
          <w:sz w:val="27"/>
          <w:rtl/>
        </w:rPr>
        <w:t xml:space="preserve"> النظر عن الحكم المعيّن الذي اشترط فيه فعل أو ترك المباح بما هو هو.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هذا النوع من الشروط لا إشكال في أنه ليس مصداقاً للشرط المخالف لكتاب الله، ولا إشكال في صح</w:t>
      </w:r>
      <w:r w:rsidR="00FF60CC" w:rsidRPr="00904FCB">
        <w:rPr>
          <w:rFonts w:ascii="Traditional Arabic" w:hAnsi="Traditional Arabic" w:hint="cs"/>
          <w:sz w:val="27"/>
          <w:rtl/>
        </w:rPr>
        <w:t>ّ</w:t>
      </w:r>
      <w:r w:rsidRPr="00904FCB">
        <w:rPr>
          <w:rFonts w:ascii="Traditional Arabic" w:hAnsi="Traditional Arabic" w:hint="cs"/>
          <w:sz w:val="27"/>
          <w:rtl/>
        </w:rPr>
        <w:t>ته، وبالتالي فإن نتيجته أن</w:t>
      </w:r>
      <w:r w:rsidR="000D503B">
        <w:rPr>
          <w:rFonts w:ascii="Traditional Arabic" w:hAnsi="Traditional Arabic" w:hint="cs"/>
          <w:sz w:val="27"/>
          <w:rtl/>
        </w:rPr>
        <w:t>ّ</w:t>
      </w:r>
      <w:r w:rsidRPr="00904FCB">
        <w:rPr>
          <w:rFonts w:ascii="Traditional Arabic" w:hAnsi="Traditional Arabic" w:hint="cs"/>
          <w:sz w:val="27"/>
          <w:rtl/>
        </w:rPr>
        <w:t xml:space="preserve"> فعل أو ترك المباح يغدو بالشرط لازماً.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الثانية</w:t>
      </w:r>
      <w:r w:rsidRPr="00904FCB">
        <w:rPr>
          <w:rFonts w:ascii="Traditional Arabic" w:hAnsi="Traditional Arabic" w:hint="cs"/>
          <w:sz w:val="27"/>
          <w:rtl/>
        </w:rPr>
        <w:t>: أن يكون متعل</w:t>
      </w:r>
      <w:r w:rsidR="00FF60CC" w:rsidRPr="00904FCB">
        <w:rPr>
          <w:rFonts w:ascii="Traditional Arabic" w:hAnsi="Traditional Arabic" w:hint="cs"/>
          <w:sz w:val="27"/>
          <w:rtl/>
        </w:rPr>
        <w:t>َّ</w:t>
      </w:r>
      <w:r w:rsidRPr="00904FCB">
        <w:rPr>
          <w:rFonts w:ascii="Traditional Arabic" w:hAnsi="Traditional Arabic" w:hint="cs"/>
          <w:sz w:val="27"/>
          <w:rtl/>
        </w:rPr>
        <w:t>ق الشرط الإتيان بالفعل أو تركه باعتبار الأحكام الشرعية ـ الأعم</w:t>
      </w:r>
      <w:r w:rsidR="00FF60CC" w:rsidRPr="00904FCB">
        <w:rPr>
          <w:rFonts w:ascii="Traditional Arabic" w:hAnsi="Traditional Arabic" w:hint="cs"/>
          <w:sz w:val="27"/>
          <w:rtl/>
        </w:rPr>
        <w:t>ّ</w:t>
      </w:r>
      <w:r w:rsidRPr="00904FCB">
        <w:rPr>
          <w:rFonts w:ascii="Traditional Arabic" w:hAnsi="Traditional Arabic" w:hint="cs"/>
          <w:sz w:val="27"/>
          <w:rtl/>
        </w:rPr>
        <w:t xml:space="preserve"> من الأحكام الوضعية أو التكليفية ـ</w:t>
      </w:r>
      <w:r w:rsidR="00FF60CC" w:rsidRPr="00904FCB">
        <w:rPr>
          <w:rFonts w:ascii="Traditional Arabic" w:hAnsi="Traditional Arabic" w:hint="cs"/>
          <w:sz w:val="27"/>
          <w:rtl/>
        </w:rPr>
        <w:t>،</w:t>
      </w:r>
      <w:r w:rsidRPr="00904FCB">
        <w:rPr>
          <w:rFonts w:ascii="Traditional Arabic" w:hAnsi="Traditional Arabic" w:hint="cs"/>
          <w:sz w:val="27"/>
          <w:rtl/>
        </w:rPr>
        <w:t xml:space="preserve"> وبعبارة</w:t>
      </w:r>
      <w:r w:rsidR="00FF60CC" w:rsidRPr="00904FCB">
        <w:rPr>
          <w:rFonts w:ascii="Traditional Arabic" w:hAnsi="Traditional Arabic" w:hint="cs"/>
          <w:sz w:val="27"/>
          <w:rtl/>
        </w:rPr>
        <w:t>ٍ</w:t>
      </w:r>
      <w:r w:rsidRPr="00904FCB">
        <w:rPr>
          <w:rFonts w:ascii="Traditional Arabic" w:hAnsi="Traditional Arabic" w:hint="cs"/>
          <w:sz w:val="27"/>
          <w:rtl/>
        </w:rPr>
        <w:t xml:space="preserve"> أخرى: أن يكون </w:t>
      </w:r>
      <w:r w:rsidRPr="00904FCB">
        <w:rPr>
          <w:rFonts w:ascii="Traditional Arabic" w:hAnsi="Traditional Arabic" w:hint="cs"/>
          <w:sz w:val="27"/>
          <w:rtl/>
        </w:rPr>
        <w:lastRenderedPageBreak/>
        <w:t>الدافع إلى الشرط هو تغيير الحكم الشرعي، وليس مجر</w:t>
      </w:r>
      <w:r w:rsidR="00FF60CC" w:rsidRPr="00904FCB">
        <w:rPr>
          <w:rFonts w:ascii="Traditional Arabic" w:hAnsi="Traditional Arabic" w:hint="cs"/>
          <w:sz w:val="27"/>
          <w:rtl/>
        </w:rPr>
        <w:t>ّ</w:t>
      </w:r>
      <w:r w:rsidRPr="00904FCB">
        <w:rPr>
          <w:rFonts w:ascii="Traditional Arabic" w:hAnsi="Traditional Arabic" w:hint="cs"/>
          <w:sz w:val="27"/>
          <w:rtl/>
        </w:rPr>
        <w:t>د فعل أو ترك المباح. كأن</w:t>
      </w:r>
      <w:r w:rsidR="00FF60CC" w:rsidRPr="00904FCB">
        <w:rPr>
          <w:rFonts w:ascii="Traditional Arabic" w:hAnsi="Traditional Arabic" w:hint="cs"/>
          <w:sz w:val="27"/>
          <w:rtl/>
        </w:rPr>
        <w:t>ْ</w:t>
      </w:r>
      <w:r w:rsidRPr="00904FCB">
        <w:rPr>
          <w:rFonts w:ascii="Traditional Arabic" w:hAnsi="Traditional Arabic" w:hint="cs"/>
          <w:sz w:val="27"/>
          <w:rtl/>
        </w:rPr>
        <w:t xml:space="preserve"> يشترط حُرمة الزواج من المرأة الثانية. إن</w:t>
      </w:r>
      <w:r w:rsidR="00FF60CC" w:rsidRPr="00904FCB">
        <w:rPr>
          <w:rFonts w:ascii="Traditional Arabic" w:hAnsi="Traditional Arabic" w:hint="cs"/>
          <w:sz w:val="27"/>
          <w:rtl/>
        </w:rPr>
        <w:t>ّ</w:t>
      </w:r>
      <w:r w:rsidRPr="00904FCB">
        <w:rPr>
          <w:rFonts w:ascii="Traditional Arabic" w:hAnsi="Traditional Arabic" w:hint="cs"/>
          <w:sz w:val="27"/>
          <w:rtl/>
        </w:rPr>
        <w:t xml:space="preserve"> مثل هذا النوع من الشروط باطل</w:t>
      </w:r>
      <w:r w:rsidR="00FF60CC" w:rsidRPr="00904FCB">
        <w:rPr>
          <w:rFonts w:ascii="Traditional Arabic" w:hAnsi="Traditional Arabic" w:hint="cs"/>
          <w:sz w:val="27"/>
          <w:rtl/>
        </w:rPr>
        <w:t>ٌ</w:t>
      </w:r>
      <w:r w:rsidRPr="00904FCB">
        <w:rPr>
          <w:rFonts w:ascii="Traditional Arabic" w:hAnsi="Traditional Arabic" w:hint="cs"/>
          <w:sz w:val="27"/>
          <w:rtl/>
        </w:rPr>
        <w:t xml:space="preserve"> على غرار القسم الأول؛ لأنه مصداق للشرط المخالف لكتاب الله.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المورد الثاني</w:t>
      </w:r>
      <w:r w:rsidRPr="00904FCB">
        <w:rPr>
          <w:rFonts w:ascii="Traditional Arabic" w:hAnsi="Traditional Arabic" w:hint="cs"/>
          <w:sz w:val="27"/>
          <w:rtl/>
        </w:rPr>
        <w:t>: عمد سماحته في هامش القاعدة الرابعة والعشرين</w:t>
      </w:r>
      <w:r w:rsidR="00FF60CC" w:rsidRPr="00904FCB">
        <w:rPr>
          <w:rFonts w:ascii="Traditional Arabic" w:hAnsi="Traditional Arabic" w:hint="cs"/>
          <w:sz w:val="27"/>
          <w:rtl/>
        </w:rPr>
        <w:t>،</w:t>
      </w:r>
      <w:r w:rsidRPr="00904FCB">
        <w:rPr>
          <w:rFonts w:ascii="Traditional Arabic" w:hAnsi="Traditional Arabic" w:hint="cs"/>
          <w:sz w:val="27"/>
          <w:rtl/>
        </w:rPr>
        <w:t xml:space="preserve"> تحت عنوان </w:t>
      </w:r>
      <w:r w:rsidRPr="00904FCB">
        <w:rPr>
          <w:rFonts w:hint="eastAsia"/>
          <w:sz w:val="27"/>
          <w:rtl/>
        </w:rPr>
        <w:t>«</w:t>
      </w:r>
      <w:r w:rsidRPr="00904FCB">
        <w:rPr>
          <w:rFonts w:ascii="Traditional Arabic" w:hAnsi="Traditional Arabic" w:hint="cs"/>
          <w:sz w:val="27"/>
          <w:rtl/>
        </w:rPr>
        <w:t>كل</w:t>
      </w:r>
      <w:r w:rsidR="00FF60CC" w:rsidRPr="00904FCB">
        <w:rPr>
          <w:rFonts w:ascii="Traditional Arabic" w:hAnsi="Traditional Arabic" w:hint="cs"/>
          <w:sz w:val="27"/>
          <w:rtl/>
        </w:rPr>
        <w:t>ّ</w:t>
      </w:r>
      <w:r w:rsidRPr="00904FCB">
        <w:rPr>
          <w:rFonts w:ascii="Traditional Arabic" w:hAnsi="Traditional Arabic" w:hint="cs"/>
          <w:sz w:val="27"/>
          <w:rtl/>
        </w:rPr>
        <w:t xml:space="preserve"> عقد شرط فيه خلاف ما يقتضيه فهو باطل</w:t>
      </w:r>
      <w:r w:rsidR="00FF60CC" w:rsidRPr="00904FCB">
        <w:rPr>
          <w:rFonts w:ascii="Traditional Arabic" w:hAnsi="Traditional Arabic" w:hint="cs"/>
          <w:sz w:val="27"/>
          <w:rtl/>
        </w:rPr>
        <w:t>ٌ</w:t>
      </w:r>
      <w:r w:rsidRPr="00904FCB">
        <w:rPr>
          <w:rFonts w:hint="eastAsia"/>
          <w:sz w:val="27"/>
          <w:rtl/>
        </w:rPr>
        <w:t>»</w:t>
      </w:r>
      <w:r w:rsidR="00FF60CC" w:rsidRPr="00904FCB">
        <w:rPr>
          <w:rFonts w:ascii="Traditional Arabic" w:hAnsi="Traditional Arabic" w:hint="cs"/>
          <w:sz w:val="27"/>
          <w:rtl/>
        </w:rPr>
        <w:t>،</w:t>
      </w:r>
      <w:r w:rsidRPr="00904FCB">
        <w:rPr>
          <w:rFonts w:ascii="Traditional Arabic" w:hAnsi="Traditional Arabic" w:hint="cs"/>
          <w:sz w:val="27"/>
          <w:rtl/>
        </w:rPr>
        <w:t xml:space="preserve"> إلى بيان الشرط المخالف لمقتضى العقد، والشرط غير المخالف لمقتضى العقد</w:t>
      </w:r>
      <w:r w:rsidR="00FF60CC" w:rsidRPr="00904FCB">
        <w:rPr>
          <w:rFonts w:ascii="Traditional Arabic" w:hAnsi="Traditional Arabic" w:hint="cs"/>
          <w:sz w:val="27"/>
          <w:rtl/>
        </w:rPr>
        <w:t>.</w:t>
      </w:r>
      <w:r w:rsidRPr="00904FCB">
        <w:rPr>
          <w:rFonts w:ascii="Traditional Arabic" w:hAnsi="Traditional Arabic" w:hint="cs"/>
          <w:sz w:val="27"/>
          <w:rtl/>
        </w:rPr>
        <w:t xml:space="preserve"> وهو بحث</w:t>
      </w:r>
      <w:r w:rsidR="00FF60CC" w:rsidRPr="00904FCB">
        <w:rPr>
          <w:rFonts w:ascii="Traditional Arabic" w:hAnsi="Traditional Arabic" w:hint="cs"/>
          <w:sz w:val="27"/>
          <w:rtl/>
        </w:rPr>
        <w:t>ٌ</w:t>
      </w:r>
      <w:r w:rsidRPr="00904FCB">
        <w:rPr>
          <w:rFonts w:ascii="Traditional Arabic" w:hAnsi="Traditional Arabic" w:hint="cs"/>
          <w:sz w:val="27"/>
          <w:rtl/>
        </w:rPr>
        <w:t xml:space="preserve"> معق</w:t>
      </w:r>
      <w:r w:rsidR="00FF60CC" w:rsidRPr="00904FCB">
        <w:rPr>
          <w:rFonts w:ascii="Traditional Arabic" w:hAnsi="Traditional Arabic" w:hint="cs"/>
          <w:sz w:val="27"/>
          <w:rtl/>
        </w:rPr>
        <w:t>ّ</w:t>
      </w:r>
      <w:r w:rsidRPr="00904FCB">
        <w:rPr>
          <w:rFonts w:ascii="Traditional Arabic" w:hAnsi="Traditional Arabic" w:hint="cs"/>
          <w:sz w:val="27"/>
          <w:rtl/>
        </w:rPr>
        <w:t>د اختلفت فيه الآراء وتشابكت</w:t>
      </w:r>
      <w:r w:rsidR="00FF60CC" w:rsidRPr="00904FCB">
        <w:rPr>
          <w:rFonts w:ascii="Traditional Arabic" w:hAnsi="Traditional Arabic" w:hint="cs"/>
          <w:sz w:val="27"/>
          <w:rtl/>
        </w:rPr>
        <w:t>.</w:t>
      </w:r>
      <w:r w:rsidRPr="00904FCB">
        <w:rPr>
          <w:rFonts w:ascii="Traditional Arabic" w:hAnsi="Traditional Arabic" w:hint="cs"/>
          <w:sz w:val="27"/>
          <w:rtl/>
        </w:rPr>
        <w:t xml:space="preserve"> وقال: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1ـ</w:t>
      </w:r>
      <w:r w:rsidRPr="00904FCB">
        <w:rPr>
          <w:rFonts w:ascii="Traditional Arabic" w:hAnsi="Traditional Arabic" w:hint="cs"/>
          <w:sz w:val="27"/>
          <w:rtl/>
        </w:rPr>
        <w:t xml:space="preserve"> إن الشرط المنافي والمخالف لمقتضى العقد</w:t>
      </w:r>
      <w:r w:rsidR="00FF60CC" w:rsidRPr="00904FCB">
        <w:rPr>
          <w:rFonts w:ascii="Traditional Arabic" w:hAnsi="Traditional Arabic" w:hint="cs"/>
          <w:sz w:val="27"/>
          <w:rtl/>
        </w:rPr>
        <w:t xml:space="preserve">، </w:t>
      </w:r>
      <w:r w:rsidRPr="00904FCB">
        <w:rPr>
          <w:rFonts w:ascii="Traditional Arabic" w:hAnsi="Traditional Arabic" w:hint="cs"/>
          <w:sz w:val="27"/>
          <w:rtl/>
        </w:rPr>
        <w:t>والذي يكون باطلاً</w:t>
      </w:r>
      <w:r w:rsidR="00FF60CC" w:rsidRPr="00904FCB">
        <w:rPr>
          <w:rFonts w:ascii="Traditional Arabic" w:hAnsi="Traditional Arabic" w:hint="cs"/>
          <w:sz w:val="27"/>
          <w:rtl/>
        </w:rPr>
        <w:t>،</w:t>
      </w:r>
      <w:r w:rsidRPr="00904FCB">
        <w:rPr>
          <w:rFonts w:ascii="Traditional Arabic" w:hAnsi="Traditional Arabic" w:hint="cs"/>
          <w:sz w:val="27"/>
          <w:rtl/>
        </w:rPr>
        <w:t xml:space="preserve"> ويُب</w:t>
      </w:r>
      <w:r w:rsidR="00B92E3A">
        <w:rPr>
          <w:rFonts w:ascii="Traditional Arabic" w:hAnsi="Traditional Arabic" w:hint="cs"/>
          <w:sz w:val="27"/>
          <w:rtl/>
        </w:rPr>
        <w:t>ْ</w:t>
      </w:r>
      <w:r w:rsidRPr="00904FCB">
        <w:rPr>
          <w:rFonts w:ascii="Traditional Arabic" w:hAnsi="Traditional Arabic" w:hint="cs"/>
          <w:sz w:val="27"/>
          <w:rtl/>
        </w:rPr>
        <w:t>ط</w:t>
      </w:r>
      <w:r w:rsidR="00B92E3A">
        <w:rPr>
          <w:rFonts w:ascii="Traditional Arabic" w:hAnsi="Traditional Arabic" w:hint="cs"/>
          <w:sz w:val="27"/>
          <w:rtl/>
        </w:rPr>
        <w:t>ِ</w:t>
      </w:r>
      <w:r w:rsidRPr="00904FCB">
        <w:rPr>
          <w:rFonts w:ascii="Traditional Arabic" w:hAnsi="Traditional Arabic" w:hint="cs"/>
          <w:sz w:val="27"/>
          <w:rtl/>
        </w:rPr>
        <w:t>ل العقد أيضاً، هو شرط</w:t>
      </w:r>
      <w:r w:rsidR="00FF60CC" w:rsidRPr="00904FCB">
        <w:rPr>
          <w:rFonts w:ascii="Traditional Arabic" w:hAnsi="Traditional Arabic" w:hint="cs"/>
          <w:sz w:val="27"/>
          <w:rtl/>
        </w:rPr>
        <w:t>ٌ</w:t>
      </w:r>
      <w:r w:rsidRPr="00904FCB">
        <w:rPr>
          <w:rFonts w:ascii="Traditional Arabic" w:hAnsi="Traditional Arabic" w:hint="cs"/>
          <w:sz w:val="27"/>
          <w:rtl/>
        </w:rPr>
        <w:t xml:space="preserve"> يُخالف جوهر العقد وحقيقته</w:t>
      </w:r>
      <w:r w:rsidR="00FF60CC" w:rsidRPr="00904FCB">
        <w:rPr>
          <w:rFonts w:ascii="Traditional Arabic" w:hAnsi="Traditional Arabic" w:hint="cs"/>
          <w:sz w:val="27"/>
          <w:rtl/>
        </w:rPr>
        <w:t xml:space="preserve">، </w:t>
      </w:r>
      <w:r w:rsidRPr="00904FCB">
        <w:rPr>
          <w:rFonts w:ascii="Traditional Arabic" w:hAnsi="Traditional Arabic" w:hint="cs"/>
          <w:sz w:val="27"/>
          <w:rtl/>
        </w:rPr>
        <w:t>كأن يشترط في ضمن عقد بيع الثوب عدم امتلاكه من قبل المشتري، أو أن يشترط في ضمن عقد إجارة البيت عدم تمك</w:t>
      </w:r>
      <w:r w:rsidR="00FF60CC" w:rsidRPr="00904FCB">
        <w:rPr>
          <w:rFonts w:ascii="Traditional Arabic" w:hAnsi="Traditional Arabic" w:hint="cs"/>
          <w:sz w:val="27"/>
          <w:rtl/>
        </w:rPr>
        <w:t>ُّ</w:t>
      </w:r>
      <w:r w:rsidRPr="00904FCB">
        <w:rPr>
          <w:rFonts w:ascii="Traditional Arabic" w:hAnsi="Traditional Arabic" w:hint="cs"/>
          <w:sz w:val="27"/>
          <w:rtl/>
        </w:rPr>
        <w:t>ن المستأج</w:t>
      </w:r>
      <w:r w:rsidR="00FF60CC" w:rsidRPr="00904FCB">
        <w:rPr>
          <w:rFonts w:ascii="Traditional Arabic" w:hAnsi="Traditional Arabic" w:hint="cs"/>
          <w:sz w:val="27"/>
          <w:rtl/>
        </w:rPr>
        <w:t>ِ</w:t>
      </w:r>
      <w:r w:rsidRPr="00904FCB">
        <w:rPr>
          <w:rFonts w:ascii="Traditional Arabic" w:hAnsi="Traditional Arabic" w:hint="cs"/>
          <w:sz w:val="27"/>
          <w:rtl/>
        </w:rPr>
        <w:t>ر من الانتفاع بالعين المستأج</w:t>
      </w:r>
      <w:r w:rsidR="00FF60CC" w:rsidRPr="00904FCB">
        <w:rPr>
          <w:rFonts w:ascii="Traditional Arabic" w:hAnsi="Traditional Arabic" w:hint="cs"/>
          <w:sz w:val="27"/>
          <w:rtl/>
        </w:rPr>
        <w:t>َ</w:t>
      </w:r>
      <w:r w:rsidRPr="00904FCB">
        <w:rPr>
          <w:rFonts w:ascii="Traditional Arabic" w:hAnsi="Traditional Arabic" w:hint="cs"/>
          <w:sz w:val="27"/>
          <w:rtl/>
        </w:rPr>
        <w:t>رة</w:t>
      </w:r>
      <w:r w:rsidR="00FF60CC" w:rsidRPr="00904FCB">
        <w:rPr>
          <w:rFonts w:ascii="Traditional Arabic" w:hAnsi="Traditional Arabic" w:hint="cs"/>
          <w:sz w:val="27"/>
          <w:rtl/>
        </w:rPr>
        <w:t>،</w:t>
      </w:r>
      <w:r w:rsidRPr="00904FCB">
        <w:rPr>
          <w:rFonts w:ascii="Traditional Arabic" w:hAnsi="Traditional Arabic" w:hint="cs"/>
          <w:sz w:val="27"/>
          <w:rtl/>
        </w:rPr>
        <w:t xml:space="preserve"> فإن هذا النوع من الشروط باطل</w:t>
      </w:r>
      <w:r w:rsidR="00FF60CC" w:rsidRPr="00904FCB">
        <w:rPr>
          <w:rFonts w:ascii="Traditional Arabic" w:hAnsi="Traditional Arabic" w:hint="cs"/>
          <w:sz w:val="27"/>
          <w:rtl/>
        </w:rPr>
        <w:t>ٌ</w:t>
      </w:r>
      <w:r w:rsidRPr="00904FCB">
        <w:rPr>
          <w:rFonts w:ascii="Traditional Arabic" w:hAnsi="Traditional Arabic" w:hint="cs"/>
          <w:sz w:val="27"/>
          <w:rtl/>
        </w:rPr>
        <w:t>، ويُب</w:t>
      </w:r>
      <w:r w:rsidR="00B92E3A">
        <w:rPr>
          <w:rFonts w:ascii="Traditional Arabic" w:hAnsi="Traditional Arabic" w:hint="cs"/>
          <w:sz w:val="27"/>
          <w:rtl/>
        </w:rPr>
        <w:t>ْ</w:t>
      </w:r>
      <w:r w:rsidRPr="00904FCB">
        <w:rPr>
          <w:rFonts w:ascii="Traditional Arabic" w:hAnsi="Traditional Arabic" w:hint="cs"/>
          <w:sz w:val="27"/>
          <w:rtl/>
        </w:rPr>
        <w:t>ط</w:t>
      </w:r>
      <w:r w:rsidR="00B92E3A">
        <w:rPr>
          <w:rFonts w:ascii="Traditional Arabic" w:hAnsi="Traditional Arabic" w:hint="cs"/>
          <w:sz w:val="27"/>
          <w:rtl/>
        </w:rPr>
        <w:t>ِ</w:t>
      </w:r>
      <w:r w:rsidRPr="00904FCB">
        <w:rPr>
          <w:rFonts w:ascii="Traditional Arabic" w:hAnsi="Traditional Arabic" w:hint="cs"/>
          <w:sz w:val="27"/>
          <w:rtl/>
        </w:rPr>
        <w:t xml:space="preserve">ل العقد أيضاً؛ لرجوعه إلى ما يشبه التناقض، فهو في قوّة أن تقول في ضمن عقد واحد: </w:t>
      </w:r>
      <w:r w:rsidRPr="00904FCB">
        <w:rPr>
          <w:rFonts w:hint="eastAsia"/>
          <w:sz w:val="27"/>
          <w:rtl/>
        </w:rPr>
        <w:t>«</w:t>
      </w:r>
      <w:r w:rsidRPr="00904FCB">
        <w:rPr>
          <w:rFonts w:ascii="Traditional Arabic" w:hAnsi="Traditional Arabic" w:hint="cs"/>
          <w:sz w:val="27"/>
          <w:rtl/>
        </w:rPr>
        <w:t>بعت</w:t>
      </w:r>
      <w:r w:rsidR="00FF60CC" w:rsidRPr="00904FCB">
        <w:rPr>
          <w:rFonts w:ascii="Traditional Arabic" w:hAnsi="Traditional Arabic" w:hint="cs"/>
          <w:sz w:val="27"/>
          <w:rtl/>
        </w:rPr>
        <w:t>ُ</w:t>
      </w:r>
      <w:r w:rsidRPr="00904FCB">
        <w:rPr>
          <w:rFonts w:ascii="Traditional Arabic" w:hAnsi="Traditional Arabic" w:hint="cs"/>
          <w:sz w:val="27"/>
          <w:rtl/>
        </w:rPr>
        <w:t>ك</w:t>
      </w:r>
      <w:r w:rsidR="00FF60CC" w:rsidRPr="00904FCB">
        <w:rPr>
          <w:rFonts w:ascii="Traditional Arabic" w:hAnsi="Traditional Arabic" w:hint="cs"/>
          <w:sz w:val="27"/>
          <w:rtl/>
        </w:rPr>
        <w:t>َ</w:t>
      </w:r>
      <w:r w:rsidRPr="00904FCB">
        <w:rPr>
          <w:rFonts w:ascii="Traditional Arabic" w:hAnsi="Traditional Arabic" w:hint="cs"/>
          <w:sz w:val="27"/>
          <w:rtl/>
        </w:rPr>
        <w:t xml:space="preserve"> البيت</w:t>
      </w:r>
      <w:r w:rsidR="00B92E3A">
        <w:rPr>
          <w:rFonts w:ascii="Traditional Arabic" w:hAnsi="Traditional Arabic" w:hint="cs"/>
          <w:sz w:val="27"/>
          <w:rtl/>
        </w:rPr>
        <w:t>،</w:t>
      </w:r>
      <w:r w:rsidRPr="00904FCB">
        <w:rPr>
          <w:rFonts w:ascii="Traditional Arabic" w:hAnsi="Traditional Arabic" w:hint="cs"/>
          <w:sz w:val="27"/>
          <w:rtl/>
        </w:rPr>
        <w:t xml:space="preserve"> ولم أب</w:t>
      </w:r>
      <w:r w:rsidR="00FF60CC" w:rsidRPr="00904FCB">
        <w:rPr>
          <w:rFonts w:ascii="Traditional Arabic" w:hAnsi="Traditional Arabic" w:hint="cs"/>
          <w:sz w:val="27"/>
          <w:rtl/>
        </w:rPr>
        <w:t>ِ</w:t>
      </w:r>
      <w:r w:rsidRPr="00904FCB">
        <w:rPr>
          <w:rFonts w:ascii="Traditional Arabic" w:hAnsi="Traditional Arabic" w:hint="cs"/>
          <w:sz w:val="27"/>
          <w:rtl/>
        </w:rPr>
        <w:t>ع</w:t>
      </w:r>
      <w:r w:rsidR="00FF60CC" w:rsidRPr="00904FCB">
        <w:rPr>
          <w:rFonts w:ascii="Traditional Arabic" w:hAnsi="Traditional Arabic" w:hint="cs"/>
          <w:sz w:val="27"/>
          <w:rtl/>
        </w:rPr>
        <w:t>ْ</w:t>
      </w:r>
      <w:r w:rsidRPr="00904FCB">
        <w:rPr>
          <w:rFonts w:ascii="Traditional Arabic" w:hAnsi="Traditional Arabic" w:hint="cs"/>
          <w:sz w:val="27"/>
          <w:rtl/>
        </w:rPr>
        <w:t>ه لك</w:t>
      </w:r>
      <w:r w:rsidRPr="00904FCB">
        <w:rPr>
          <w:rFonts w:hint="eastAsia"/>
          <w:sz w:val="27"/>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2ـ</w:t>
      </w:r>
      <w:r w:rsidRPr="00904FCB">
        <w:rPr>
          <w:rFonts w:ascii="Traditional Arabic" w:hAnsi="Traditional Arabic" w:hint="cs"/>
          <w:sz w:val="27"/>
          <w:rtl/>
        </w:rPr>
        <w:t xml:space="preserve"> وأم</w:t>
      </w:r>
      <w:r w:rsidR="00FF60CC" w:rsidRPr="00904FCB">
        <w:rPr>
          <w:rFonts w:ascii="Traditional Arabic" w:hAnsi="Traditional Arabic" w:hint="cs"/>
          <w:sz w:val="27"/>
          <w:rtl/>
        </w:rPr>
        <w:t>ّ</w:t>
      </w:r>
      <w:r w:rsidRPr="00904FCB">
        <w:rPr>
          <w:rFonts w:ascii="Traditional Arabic" w:hAnsi="Traditional Arabic" w:hint="cs"/>
          <w:sz w:val="27"/>
          <w:rtl/>
        </w:rPr>
        <w:t>ا إذا اشترط ترك بعض آثار الملكية، كأن</w:t>
      </w:r>
      <w:r w:rsidR="00FF60CC" w:rsidRPr="00904FCB">
        <w:rPr>
          <w:rFonts w:ascii="Traditional Arabic" w:hAnsi="Traditional Arabic" w:hint="cs"/>
          <w:sz w:val="27"/>
          <w:rtl/>
        </w:rPr>
        <w:t>ْ</w:t>
      </w:r>
      <w:r w:rsidRPr="00904FCB">
        <w:rPr>
          <w:rFonts w:ascii="Traditional Arabic" w:hAnsi="Traditional Arabic" w:hint="cs"/>
          <w:sz w:val="27"/>
          <w:rtl/>
        </w:rPr>
        <w:t xml:space="preserve"> يشترط في ضمن عقد البيع أن لا يبيع المبيع</w:t>
      </w:r>
      <w:r w:rsidR="00FF60CC" w:rsidRPr="00904FCB">
        <w:rPr>
          <w:rFonts w:ascii="Traditional Arabic" w:hAnsi="Traditional Arabic" w:hint="cs"/>
          <w:sz w:val="27"/>
          <w:rtl/>
        </w:rPr>
        <w:t>،</w:t>
      </w:r>
      <w:r w:rsidRPr="00904FCB">
        <w:rPr>
          <w:rFonts w:ascii="Traditional Arabic" w:hAnsi="Traditional Arabic" w:hint="cs"/>
          <w:sz w:val="27"/>
          <w:rtl/>
        </w:rPr>
        <w:t xml:space="preserve"> مع الحفاظ على سائر آثار الملكية، أو أن يشترط في ضمن عقد الإجارة أن لا يعطي حق</w:t>
      </w:r>
      <w:r w:rsidR="00FF60CC" w:rsidRPr="00904FCB">
        <w:rPr>
          <w:rFonts w:ascii="Traditional Arabic" w:hAnsi="Traditional Arabic" w:hint="cs"/>
          <w:sz w:val="27"/>
          <w:rtl/>
        </w:rPr>
        <w:t>َّ</w:t>
      </w:r>
      <w:r w:rsidRPr="00904FCB">
        <w:rPr>
          <w:rFonts w:ascii="Traditional Arabic" w:hAnsi="Traditional Arabic" w:hint="cs"/>
          <w:sz w:val="27"/>
          <w:rtl/>
        </w:rPr>
        <w:t xml:space="preserve"> الانتفاع بها إلى الآخرين، واقتصار الانتفاع على المستأج</w:t>
      </w:r>
      <w:r w:rsidR="00FF60CC" w:rsidRPr="00904FCB">
        <w:rPr>
          <w:rFonts w:ascii="Traditional Arabic" w:hAnsi="Traditional Arabic" w:hint="cs"/>
          <w:sz w:val="27"/>
          <w:rtl/>
        </w:rPr>
        <w:t>ِ</w:t>
      </w:r>
      <w:r w:rsidRPr="00904FCB">
        <w:rPr>
          <w:rFonts w:ascii="Traditional Arabic" w:hAnsi="Traditional Arabic" w:hint="cs"/>
          <w:sz w:val="27"/>
          <w:rtl/>
        </w:rPr>
        <w:t xml:space="preserve">ر فقط، كان الشرط صحيحاً. وقد أدخل </w:t>
      </w:r>
      <w:r w:rsidR="00FF60CC" w:rsidRPr="00904FCB">
        <w:rPr>
          <w:rFonts w:ascii="Traditional Arabic" w:hAnsi="Traditional Arabic" w:hint="cs"/>
          <w:sz w:val="27"/>
          <w:rtl/>
        </w:rPr>
        <w:t>كاشف الغطاء</w:t>
      </w:r>
      <w:r w:rsidRPr="00904FCB">
        <w:rPr>
          <w:rFonts w:ascii="Traditional Arabic" w:hAnsi="Traditional Arabic" w:hint="cs"/>
          <w:sz w:val="27"/>
          <w:rtl/>
        </w:rPr>
        <w:t xml:space="preserve"> هذا الأمر تحت ضابطة</w:t>
      </w:r>
      <w:r w:rsidR="00FF60CC" w:rsidRPr="00904FCB">
        <w:rPr>
          <w:rFonts w:ascii="Traditional Arabic" w:hAnsi="Traditional Arabic" w:hint="cs"/>
          <w:sz w:val="27"/>
          <w:rtl/>
        </w:rPr>
        <w:t>ٍ،</w:t>
      </w:r>
      <w:r w:rsidRPr="00904FCB">
        <w:rPr>
          <w:rFonts w:ascii="Traditional Arabic" w:hAnsi="Traditional Arabic" w:hint="cs"/>
          <w:sz w:val="27"/>
          <w:rtl/>
        </w:rPr>
        <w:t xml:space="preserve"> وقال: إن متعل</w:t>
      </w:r>
      <w:r w:rsidR="00FF60CC" w:rsidRPr="00904FCB">
        <w:rPr>
          <w:rFonts w:ascii="Traditional Arabic" w:hAnsi="Traditional Arabic" w:hint="cs"/>
          <w:sz w:val="27"/>
          <w:rtl/>
        </w:rPr>
        <w:t>َّ</w:t>
      </w:r>
      <w:r w:rsidRPr="00904FCB">
        <w:rPr>
          <w:rFonts w:ascii="Traditional Arabic" w:hAnsi="Traditional Arabic" w:hint="cs"/>
          <w:sz w:val="27"/>
          <w:rtl/>
        </w:rPr>
        <w:t>ق الشرط تارة يكون نفياً لمطلق السلطة، ففي مثل هذه الحالة يكون الشرط مخالفاً لحقيقة وجوهر العقد، ويكون الشرط باطلاً</w:t>
      </w:r>
      <w:r w:rsidR="00FF60CC" w:rsidRPr="00904FCB">
        <w:rPr>
          <w:rFonts w:ascii="Traditional Arabic" w:hAnsi="Traditional Arabic" w:hint="cs"/>
          <w:sz w:val="27"/>
          <w:rtl/>
        </w:rPr>
        <w:t>،</w:t>
      </w:r>
      <w:r w:rsidRPr="00904FCB">
        <w:rPr>
          <w:rFonts w:ascii="Traditional Arabic" w:hAnsi="Traditional Arabic" w:hint="cs"/>
          <w:sz w:val="27"/>
          <w:rtl/>
        </w:rPr>
        <w:t xml:space="preserve"> وكذلك العقد أيضاً</w:t>
      </w:r>
      <w:r w:rsidR="00FF60CC" w:rsidRPr="00904FCB">
        <w:rPr>
          <w:rFonts w:ascii="Traditional Arabic" w:hAnsi="Traditional Arabic" w:hint="cs"/>
          <w:sz w:val="27"/>
          <w:rtl/>
        </w:rPr>
        <w:t xml:space="preserve">؛ </w:t>
      </w:r>
      <w:r w:rsidRPr="00904FCB">
        <w:rPr>
          <w:rFonts w:ascii="Traditional Arabic" w:hAnsi="Traditional Arabic" w:hint="cs"/>
          <w:sz w:val="27"/>
          <w:rtl/>
        </w:rPr>
        <w:t>وأحياناً يكون متعل</w:t>
      </w:r>
      <w:r w:rsidR="00FF60CC" w:rsidRPr="00904FCB">
        <w:rPr>
          <w:rFonts w:ascii="Traditional Arabic" w:hAnsi="Traditional Arabic" w:hint="cs"/>
          <w:sz w:val="27"/>
          <w:rtl/>
        </w:rPr>
        <w:t>َّ</w:t>
      </w:r>
      <w:r w:rsidRPr="00904FCB">
        <w:rPr>
          <w:rFonts w:ascii="Traditional Arabic" w:hAnsi="Traditional Arabic" w:hint="cs"/>
          <w:sz w:val="27"/>
          <w:rtl/>
        </w:rPr>
        <w:t>ق الشرط نفياً للسلطة المطلقة، بمعنى أن يكون المنفي</w:t>
      </w:r>
      <w:r w:rsidR="00FF60CC" w:rsidRPr="00904FCB">
        <w:rPr>
          <w:rFonts w:ascii="Traditional Arabic" w:hAnsi="Traditional Arabic" w:hint="cs"/>
          <w:sz w:val="27"/>
          <w:rtl/>
        </w:rPr>
        <w:t>ّ</w:t>
      </w:r>
      <w:r w:rsidRPr="00904FCB">
        <w:rPr>
          <w:rFonts w:ascii="Traditional Arabic" w:hAnsi="Traditional Arabic" w:hint="cs"/>
          <w:sz w:val="27"/>
          <w:rtl/>
        </w:rPr>
        <w:t xml:space="preserve"> هو جزء من السلطة، وفي مثل هذه الحالة يكون الشرط صحيحاً</w:t>
      </w:r>
      <w:r w:rsidR="00FF60CC" w:rsidRPr="00904FCB">
        <w:rPr>
          <w:rFonts w:ascii="Traditional Arabic" w:hAnsi="Traditional Arabic" w:hint="cs"/>
          <w:sz w:val="27"/>
          <w:rtl/>
        </w:rPr>
        <w:t>،</w:t>
      </w:r>
      <w:r w:rsidRPr="00904FCB">
        <w:rPr>
          <w:rFonts w:ascii="Traditional Arabic" w:hAnsi="Traditional Arabic" w:hint="cs"/>
          <w:sz w:val="27"/>
          <w:rtl/>
        </w:rPr>
        <w:t xml:space="preserve"> وكذلك العقد أيضاً.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المورد الثالث</w:t>
      </w:r>
      <w:r w:rsidRPr="00904FCB">
        <w:rPr>
          <w:rFonts w:ascii="Traditional Arabic" w:hAnsi="Traditional Arabic" w:hint="cs"/>
          <w:sz w:val="27"/>
          <w:rtl/>
        </w:rPr>
        <w:t xml:space="preserve">: عمد </w:t>
      </w:r>
      <w:r w:rsidR="00FF60CC" w:rsidRPr="00904FCB">
        <w:rPr>
          <w:rFonts w:ascii="Traditional Arabic" w:hAnsi="Traditional Arabic" w:hint="cs"/>
          <w:sz w:val="27"/>
          <w:rtl/>
        </w:rPr>
        <w:t xml:space="preserve">الشيخ كاشف الغطاء </w:t>
      </w:r>
      <w:r w:rsidRPr="00904FCB">
        <w:rPr>
          <w:rFonts w:ascii="Traditional Arabic" w:hAnsi="Traditional Arabic" w:hint="cs"/>
          <w:sz w:val="27"/>
          <w:rtl/>
        </w:rPr>
        <w:t>في مقد</w:t>
      </w:r>
      <w:r w:rsidR="00FF60CC" w:rsidRPr="00904FCB">
        <w:rPr>
          <w:rFonts w:ascii="Traditional Arabic" w:hAnsi="Traditional Arabic" w:hint="cs"/>
          <w:sz w:val="27"/>
          <w:rtl/>
        </w:rPr>
        <w:t>ّ</w:t>
      </w:r>
      <w:r w:rsidRPr="00904FCB">
        <w:rPr>
          <w:rFonts w:ascii="Traditional Arabic" w:hAnsi="Traditional Arabic" w:hint="cs"/>
          <w:sz w:val="27"/>
          <w:rtl/>
        </w:rPr>
        <w:t>مة الكتاب إلى تقسيم بيع الشرط إلى</w:t>
      </w:r>
      <w:r w:rsidR="00FF60CC" w:rsidRPr="00904FCB">
        <w:rPr>
          <w:rFonts w:ascii="Traditional Arabic" w:hAnsi="Traditional Arabic" w:hint="cs"/>
          <w:sz w:val="27"/>
          <w:rtl/>
        </w:rPr>
        <w:t>:</w:t>
      </w:r>
      <w:r w:rsidRPr="00904FCB">
        <w:rPr>
          <w:rFonts w:ascii="Traditional Arabic" w:hAnsi="Traditional Arabic" w:hint="cs"/>
          <w:sz w:val="27"/>
          <w:rtl/>
        </w:rPr>
        <w:t xml:space="preserve"> شرط تنجيزي</w:t>
      </w:r>
      <w:r w:rsidR="00FF60CC" w:rsidRPr="00904FCB">
        <w:rPr>
          <w:rFonts w:ascii="Traditional Arabic" w:hAnsi="Traditional Arabic" w:hint="cs"/>
          <w:sz w:val="27"/>
          <w:rtl/>
        </w:rPr>
        <w:t>؛</w:t>
      </w:r>
      <w:r w:rsidRPr="00904FCB">
        <w:rPr>
          <w:rFonts w:ascii="Traditional Arabic" w:hAnsi="Traditional Arabic" w:hint="cs"/>
          <w:sz w:val="27"/>
          <w:rtl/>
        </w:rPr>
        <w:t xml:space="preserve"> وشرط تعليقي.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الشرط التعليقي عند فقهاء الإمامية باطل</w:t>
      </w:r>
      <w:r w:rsidR="00FF60CC" w:rsidRPr="00904FCB">
        <w:rPr>
          <w:rFonts w:ascii="Traditional Arabic" w:hAnsi="Traditional Arabic" w:hint="cs"/>
          <w:sz w:val="27"/>
          <w:rtl/>
        </w:rPr>
        <w:t>ٌ</w:t>
      </w:r>
      <w:r w:rsidRPr="00904FCB">
        <w:rPr>
          <w:rFonts w:ascii="Traditional Arabic" w:hAnsi="Traditional Arabic" w:hint="cs"/>
          <w:sz w:val="27"/>
          <w:rtl/>
        </w:rPr>
        <w:t>؛ لأن صحّة العقد مشروطة بالتنجيز، والتعليق ينافي التنجيز</w:t>
      </w:r>
      <w:r w:rsidR="00FF60CC" w:rsidRPr="00904FCB">
        <w:rPr>
          <w:rFonts w:ascii="Traditional Arabic" w:hAnsi="Traditional Arabic" w:hint="cs"/>
          <w:sz w:val="27"/>
          <w:rtl/>
        </w:rPr>
        <w:t>،</w:t>
      </w:r>
      <w:r w:rsidRPr="00904FCB">
        <w:rPr>
          <w:rFonts w:ascii="Traditional Arabic" w:hAnsi="Traditional Arabic" w:hint="cs"/>
          <w:sz w:val="27"/>
          <w:rtl/>
        </w:rPr>
        <w:t xml:space="preserve"> إلا</w:t>
      </w:r>
      <w:r w:rsidR="00FF60CC" w:rsidRPr="00904FCB">
        <w:rPr>
          <w:rFonts w:ascii="Traditional Arabic" w:hAnsi="Traditional Arabic" w:hint="cs"/>
          <w:sz w:val="27"/>
          <w:rtl/>
        </w:rPr>
        <w:t>ّ</w:t>
      </w:r>
      <w:r w:rsidRPr="00904FCB">
        <w:rPr>
          <w:rFonts w:ascii="Traditional Arabic" w:hAnsi="Traditional Arabic" w:hint="cs"/>
          <w:sz w:val="27"/>
          <w:rtl/>
        </w:rPr>
        <w:t xml:space="preserve"> إذا كان التعليق صورياً، كأن يعل</w:t>
      </w:r>
      <w:r w:rsidR="00FF60CC" w:rsidRPr="00904FCB">
        <w:rPr>
          <w:rFonts w:ascii="Traditional Arabic" w:hAnsi="Traditional Arabic" w:hint="cs"/>
          <w:sz w:val="27"/>
          <w:rtl/>
        </w:rPr>
        <w:t>ِّ</w:t>
      </w:r>
      <w:r w:rsidRPr="00904FCB">
        <w:rPr>
          <w:rFonts w:ascii="Traditional Arabic" w:hAnsi="Traditional Arabic" w:hint="cs"/>
          <w:sz w:val="27"/>
          <w:rtl/>
        </w:rPr>
        <w:t>ق العقد على أمر متحق</w:t>
      </w:r>
      <w:r w:rsidR="00FF60CC" w:rsidRPr="00904FCB">
        <w:rPr>
          <w:rFonts w:ascii="Traditional Arabic" w:hAnsi="Traditional Arabic" w:hint="cs"/>
          <w:sz w:val="27"/>
          <w:rtl/>
        </w:rPr>
        <w:t>ّق</w:t>
      </w:r>
      <w:r w:rsidRPr="00904FCB">
        <w:rPr>
          <w:rFonts w:ascii="Traditional Arabic" w:hAnsi="Traditional Arabic" w:hint="cs"/>
          <w:sz w:val="27"/>
          <w:rtl/>
        </w:rPr>
        <w:t>، كأن يقول في وسط النهار: بعت</w:t>
      </w:r>
      <w:r w:rsidR="00FF60CC" w:rsidRPr="00904FCB">
        <w:rPr>
          <w:rFonts w:ascii="Traditional Arabic" w:hAnsi="Traditional Arabic" w:hint="cs"/>
          <w:sz w:val="27"/>
          <w:rtl/>
        </w:rPr>
        <w:t>ُ</w:t>
      </w:r>
      <w:r w:rsidRPr="00904FCB">
        <w:rPr>
          <w:rFonts w:ascii="Traditional Arabic" w:hAnsi="Traditional Arabic" w:hint="cs"/>
          <w:sz w:val="27"/>
          <w:rtl/>
        </w:rPr>
        <w:t>ك</w:t>
      </w:r>
      <w:r w:rsidR="00FF60CC" w:rsidRPr="00904FCB">
        <w:rPr>
          <w:rFonts w:ascii="Traditional Arabic" w:hAnsi="Traditional Arabic" w:hint="cs"/>
          <w:sz w:val="27"/>
          <w:rtl/>
        </w:rPr>
        <w:t>َ</w:t>
      </w:r>
      <w:r w:rsidRPr="00904FCB">
        <w:rPr>
          <w:rFonts w:ascii="Traditional Arabic" w:hAnsi="Traditional Arabic" w:hint="cs"/>
          <w:sz w:val="27"/>
          <w:rtl/>
        </w:rPr>
        <w:t xml:space="preserve"> بشرط أن يكون الوقت نهاراً.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lastRenderedPageBreak/>
        <w:t xml:space="preserve">وأما الشرط </w:t>
      </w:r>
      <w:r w:rsidR="0098428A" w:rsidRPr="00904FCB">
        <w:rPr>
          <w:rFonts w:ascii="Traditional Arabic" w:hAnsi="Traditional Arabic" w:hint="cs"/>
          <w:sz w:val="27"/>
          <w:rtl/>
        </w:rPr>
        <w:t>التنجيزي</w:t>
      </w:r>
      <w:r w:rsidRPr="00904FCB">
        <w:rPr>
          <w:rFonts w:ascii="Traditional Arabic" w:hAnsi="Traditional Arabic" w:hint="cs"/>
          <w:sz w:val="27"/>
          <w:rtl/>
        </w:rPr>
        <w:t xml:space="preserve">، فعلى قسمين: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1ـ</w:t>
      </w:r>
      <w:r w:rsidRPr="00904FCB">
        <w:rPr>
          <w:rFonts w:ascii="Traditional Arabic" w:hAnsi="Traditional Arabic" w:hint="cs"/>
          <w:sz w:val="27"/>
          <w:rtl/>
        </w:rPr>
        <w:t xml:space="preserve"> الشرط الابتدائي.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2ـ</w:t>
      </w:r>
      <w:r w:rsidRPr="00904FCB">
        <w:rPr>
          <w:rFonts w:ascii="Traditional Arabic" w:hAnsi="Traditional Arabic" w:hint="cs"/>
          <w:sz w:val="27"/>
          <w:rtl/>
        </w:rPr>
        <w:t xml:space="preserve"> الشرط الت</w:t>
      </w:r>
      <w:r w:rsidR="008F7B5A" w:rsidRPr="00904FCB">
        <w:rPr>
          <w:rFonts w:ascii="Traditional Arabic" w:hAnsi="Traditional Arabic" w:hint="cs"/>
          <w:sz w:val="27"/>
          <w:rtl/>
        </w:rPr>
        <w:t>َّ</w:t>
      </w:r>
      <w:r w:rsidRPr="00904FCB">
        <w:rPr>
          <w:rFonts w:ascii="Traditional Arabic" w:hAnsi="Traditional Arabic" w:hint="cs"/>
          <w:sz w:val="27"/>
          <w:rtl/>
        </w:rPr>
        <w:t>ب</w:t>
      </w:r>
      <w:r w:rsidR="008F7B5A" w:rsidRPr="00904FCB">
        <w:rPr>
          <w:rFonts w:ascii="Traditional Arabic" w:hAnsi="Traditional Arabic" w:hint="cs"/>
          <w:sz w:val="27"/>
          <w:rtl/>
        </w:rPr>
        <w:t>َ</w:t>
      </w:r>
      <w:r w:rsidRPr="00904FCB">
        <w:rPr>
          <w:rFonts w:ascii="Traditional Arabic" w:hAnsi="Traditional Arabic" w:hint="cs"/>
          <w:sz w:val="27"/>
          <w:rtl/>
        </w:rPr>
        <w:t xml:space="preserve">عي في ضمن العقد.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هناك إجماع</w:t>
      </w:r>
      <w:r w:rsidR="008F7B5A" w:rsidRPr="00904FCB">
        <w:rPr>
          <w:rFonts w:ascii="Traditional Arabic" w:hAnsi="Traditional Arabic" w:hint="cs"/>
          <w:sz w:val="27"/>
          <w:rtl/>
        </w:rPr>
        <w:t>ٌ</w:t>
      </w:r>
      <w:r w:rsidRPr="00904FCB">
        <w:rPr>
          <w:rFonts w:ascii="Traditional Arabic" w:hAnsi="Traditional Arabic" w:hint="cs"/>
          <w:sz w:val="27"/>
          <w:rtl/>
        </w:rPr>
        <w:t xml:space="preserve"> في فقه الإمامية على عدم وجوب الوفاء بالقسم الأو</w:t>
      </w:r>
      <w:r w:rsidR="008F7B5A" w:rsidRPr="00904FCB">
        <w:rPr>
          <w:rFonts w:ascii="Traditional Arabic" w:hAnsi="Traditional Arabic" w:hint="cs"/>
          <w:sz w:val="27"/>
          <w:rtl/>
        </w:rPr>
        <w:t>ّ</w:t>
      </w:r>
      <w:r w:rsidRPr="00904FCB">
        <w:rPr>
          <w:rFonts w:ascii="Traditional Arabic" w:hAnsi="Traditional Arabic" w:hint="cs"/>
          <w:sz w:val="27"/>
          <w:rtl/>
        </w:rPr>
        <w:t>ل. وأما القس</w:t>
      </w:r>
      <w:r w:rsidR="008F7B5A" w:rsidRPr="00904FCB">
        <w:rPr>
          <w:rFonts w:ascii="Traditional Arabic" w:hAnsi="Traditional Arabic" w:hint="cs"/>
          <w:sz w:val="27"/>
          <w:rtl/>
        </w:rPr>
        <w:t>م</w:t>
      </w:r>
      <w:r w:rsidRPr="00904FCB">
        <w:rPr>
          <w:rFonts w:ascii="Traditional Arabic" w:hAnsi="Traditional Arabic" w:hint="cs"/>
          <w:sz w:val="27"/>
          <w:rtl/>
        </w:rPr>
        <w:t xml:space="preserve"> الثاني</w:t>
      </w:r>
      <w:r w:rsidR="008F7B5A" w:rsidRPr="00904FCB">
        <w:rPr>
          <w:rFonts w:ascii="Traditional Arabic" w:hAnsi="Traditional Arabic" w:hint="cs"/>
          <w:sz w:val="27"/>
          <w:rtl/>
        </w:rPr>
        <w:t>،</w:t>
      </w:r>
      <w:r w:rsidRPr="00904FCB">
        <w:rPr>
          <w:rFonts w:ascii="Traditional Arabic" w:hAnsi="Traditional Arabic" w:hint="cs"/>
          <w:sz w:val="27"/>
          <w:rtl/>
        </w:rPr>
        <w:t xml:space="preserve"> الذي هو التزام</w:t>
      </w:r>
      <w:r w:rsidR="008F7B5A" w:rsidRPr="00904FCB">
        <w:rPr>
          <w:rFonts w:ascii="Traditional Arabic" w:hAnsi="Traditional Arabic" w:hint="cs"/>
          <w:sz w:val="27"/>
          <w:rtl/>
        </w:rPr>
        <w:t>ٌ</w:t>
      </w:r>
      <w:r w:rsidRPr="00904FCB">
        <w:rPr>
          <w:rFonts w:ascii="Traditional Arabic" w:hAnsi="Traditional Arabic" w:hint="cs"/>
          <w:sz w:val="27"/>
          <w:rtl/>
        </w:rPr>
        <w:t xml:space="preserve"> في ضمن الالتزام، فله أقسام: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w:t>
      </w:r>
      <w:r w:rsidR="008F7B5A" w:rsidRPr="00904FCB">
        <w:rPr>
          <w:rFonts w:ascii="Traditional Arabic" w:hAnsi="Traditional Arabic" w:hint="cs"/>
          <w:b/>
          <w:bCs/>
          <w:sz w:val="27"/>
          <w:rtl/>
        </w:rPr>
        <w:t>ّ</w:t>
      </w:r>
      <w:r w:rsidRPr="00904FCB">
        <w:rPr>
          <w:rFonts w:ascii="Traditional Arabic" w:hAnsi="Traditional Arabic" w:hint="cs"/>
          <w:b/>
          <w:bCs/>
          <w:sz w:val="27"/>
          <w:rtl/>
        </w:rPr>
        <w:t>ل</w:t>
      </w:r>
      <w:r w:rsidRPr="00904FCB">
        <w:rPr>
          <w:rFonts w:ascii="Traditional Arabic" w:hAnsi="Traditional Arabic" w:hint="cs"/>
          <w:sz w:val="27"/>
          <w:rtl/>
        </w:rPr>
        <w:t>: أن يكون الشرط مطابقاً لمقتضى العقد، كأن</w:t>
      </w:r>
      <w:r w:rsidR="008F7B5A" w:rsidRPr="00904FCB">
        <w:rPr>
          <w:rFonts w:ascii="Traditional Arabic" w:hAnsi="Traditional Arabic" w:hint="cs"/>
          <w:sz w:val="27"/>
          <w:rtl/>
        </w:rPr>
        <w:t>ْ</w:t>
      </w:r>
      <w:r w:rsidRPr="00904FCB">
        <w:rPr>
          <w:rFonts w:ascii="Traditional Arabic" w:hAnsi="Traditional Arabic" w:hint="cs"/>
          <w:sz w:val="27"/>
          <w:rtl/>
        </w:rPr>
        <w:t xml:space="preserve"> يكون مقتضى العقد أن يُسلّ</w:t>
      </w:r>
      <w:r w:rsidR="008F7B5A" w:rsidRPr="00904FCB">
        <w:rPr>
          <w:rFonts w:ascii="Traditional Arabic" w:hAnsi="Traditional Arabic" w:hint="cs"/>
          <w:sz w:val="27"/>
          <w:rtl/>
        </w:rPr>
        <w:t>ِ</w:t>
      </w:r>
      <w:r w:rsidRPr="00904FCB">
        <w:rPr>
          <w:rFonts w:ascii="Traditional Arabic" w:hAnsi="Traditional Arabic" w:hint="cs"/>
          <w:sz w:val="27"/>
          <w:rtl/>
        </w:rPr>
        <w:t>م المبيع إلى المشتري عند تسليم الثمن، وعليه فإن اشتراط مقتضى العقد لم يكن سوى تأكيد</w:t>
      </w:r>
      <w:r w:rsidR="008F7B5A" w:rsidRPr="00904FCB">
        <w:rPr>
          <w:rFonts w:ascii="Traditional Arabic" w:hAnsi="Traditional Arabic" w:hint="cs"/>
          <w:sz w:val="27"/>
          <w:rtl/>
        </w:rPr>
        <w:t>ٍ</w:t>
      </w:r>
      <w:r w:rsidRPr="00904FCB">
        <w:rPr>
          <w:rFonts w:ascii="Traditional Arabic" w:hAnsi="Traditional Arabic" w:hint="cs"/>
          <w:sz w:val="27"/>
          <w:rtl/>
        </w:rPr>
        <w:t xml:space="preserve"> للعقد لا أكثر، وإن</w:t>
      </w:r>
      <w:r w:rsidR="008F7B5A" w:rsidRPr="00904FCB">
        <w:rPr>
          <w:rFonts w:ascii="Traditional Arabic" w:hAnsi="Traditional Arabic" w:hint="cs"/>
          <w:sz w:val="27"/>
          <w:rtl/>
        </w:rPr>
        <w:t>ّ</w:t>
      </w:r>
      <w:r w:rsidRPr="00904FCB">
        <w:rPr>
          <w:rFonts w:ascii="Traditional Arabic" w:hAnsi="Traditional Arabic" w:hint="cs"/>
          <w:sz w:val="27"/>
          <w:rtl/>
        </w:rPr>
        <w:t xml:space="preserve"> تخل</w:t>
      </w:r>
      <w:r w:rsidR="008F7B5A" w:rsidRPr="00904FCB">
        <w:rPr>
          <w:rFonts w:ascii="Traditional Arabic" w:hAnsi="Traditional Arabic" w:hint="cs"/>
          <w:sz w:val="27"/>
          <w:rtl/>
        </w:rPr>
        <w:t>ُّ</w:t>
      </w:r>
      <w:r w:rsidRPr="00904FCB">
        <w:rPr>
          <w:rFonts w:ascii="Traditional Arabic" w:hAnsi="Traditional Arabic" w:hint="cs"/>
          <w:sz w:val="27"/>
          <w:rtl/>
        </w:rPr>
        <w:t>ف الشرط وإن</w:t>
      </w:r>
      <w:r w:rsidR="008F7B5A" w:rsidRPr="00904FCB">
        <w:rPr>
          <w:rFonts w:ascii="Traditional Arabic" w:hAnsi="Traditional Arabic" w:hint="cs"/>
          <w:sz w:val="27"/>
          <w:rtl/>
        </w:rPr>
        <w:t>ْ</w:t>
      </w:r>
      <w:r w:rsidRPr="00904FCB">
        <w:rPr>
          <w:rFonts w:ascii="Traditional Arabic" w:hAnsi="Traditional Arabic" w:hint="cs"/>
          <w:sz w:val="27"/>
          <w:rtl/>
        </w:rPr>
        <w:t xml:space="preserve"> أوجب خياراً</w:t>
      </w:r>
      <w:r w:rsidR="008F7B5A" w:rsidRPr="00904FCB">
        <w:rPr>
          <w:rFonts w:ascii="Traditional Arabic" w:hAnsi="Traditional Arabic" w:hint="cs"/>
          <w:sz w:val="27"/>
          <w:rtl/>
        </w:rPr>
        <w:t>،</w:t>
      </w:r>
      <w:r w:rsidRPr="00904FCB">
        <w:rPr>
          <w:rFonts w:ascii="Traditional Arabic" w:hAnsi="Traditional Arabic" w:hint="cs"/>
          <w:sz w:val="27"/>
          <w:rtl/>
        </w:rPr>
        <w:t xml:space="preserve"> ولكن</w:t>
      </w:r>
      <w:r w:rsidR="008F7B5A" w:rsidRPr="00904FCB">
        <w:rPr>
          <w:rFonts w:ascii="Traditional Arabic" w:hAnsi="Traditional Arabic" w:hint="cs"/>
          <w:sz w:val="27"/>
          <w:rtl/>
        </w:rPr>
        <w:t>ْ</w:t>
      </w:r>
      <w:r w:rsidRPr="00904FCB">
        <w:rPr>
          <w:rFonts w:ascii="Traditional Arabic" w:hAnsi="Traditional Arabic" w:hint="cs"/>
          <w:sz w:val="27"/>
          <w:rtl/>
        </w:rPr>
        <w:t xml:space="preserve"> ليس له هذا الأثر هنا؛ لأن الخيار إنما هو نتيجة لأثر العقد</w:t>
      </w:r>
      <w:r w:rsidR="008F7B5A" w:rsidRPr="00904FCB">
        <w:rPr>
          <w:rFonts w:ascii="Traditional Arabic" w:hAnsi="Traditional Arabic" w:hint="cs"/>
          <w:sz w:val="27"/>
          <w:rtl/>
        </w:rPr>
        <w:t>،</w:t>
      </w:r>
      <w:r w:rsidRPr="00904FCB">
        <w:rPr>
          <w:rFonts w:ascii="Traditional Arabic" w:hAnsi="Traditional Arabic" w:hint="cs"/>
          <w:sz w:val="27"/>
          <w:rtl/>
        </w:rPr>
        <w:t xml:space="preserve"> لا لتخل</w:t>
      </w:r>
      <w:r w:rsidR="008F7B5A" w:rsidRPr="00904FCB">
        <w:rPr>
          <w:rFonts w:ascii="Traditional Arabic" w:hAnsi="Traditional Arabic" w:hint="cs"/>
          <w:sz w:val="27"/>
          <w:rtl/>
        </w:rPr>
        <w:t>ُّ</w:t>
      </w:r>
      <w:r w:rsidRPr="00904FCB">
        <w:rPr>
          <w:rFonts w:ascii="Traditional Arabic" w:hAnsi="Traditional Arabic" w:hint="cs"/>
          <w:sz w:val="27"/>
          <w:rtl/>
        </w:rPr>
        <w:t xml:space="preserve">ف الشرط.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w:t>
      </w:r>
      <w:r w:rsidRPr="00904FCB">
        <w:rPr>
          <w:rFonts w:ascii="Traditional Arabic" w:hAnsi="Traditional Arabic" w:hint="cs"/>
          <w:sz w:val="27"/>
          <w:rtl/>
        </w:rPr>
        <w:t>: أن يكون الشرط مخالفاً لمقتضى العقد. وإن</w:t>
      </w:r>
      <w:r w:rsidR="008F7B5A" w:rsidRPr="00904FCB">
        <w:rPr>
          <w:rFonts w:ascii="Traditional Arabic" w:hAnsi="Traditional Arabic" w:hint="cs"/>
          <w:sz w:val="27"/>
          <w:rtl/>
        </w:rPr>
        <w:t>ّ</w:t>
      </w:r>
      <w:r w:rsidRPr="00904FCB">
        <w:rPr>
          <w:rFonts w:ascii="Traditional Arabic" w:hAnsi="Traditional Arabic" w:hint="cs"/>
          <w:sz w:val="27"/>
          <w:rtl/>
        </w:rPr>
        <w:t xml:space="preserve"> هذا النوع من الشروط باطل</w:t>
      </w:r>
      <w:r w:rsidR="008F7B5A" w:rsidRPr="00904FCB">
        <w:rPr>
          <w:rFonts w:ascii="Traditional Arabic" w:hAnsi="Traditional Arabic" w:hint="cs"/>
          <w:sz w:val="27"/>
          <w:rtl/>
        </w:rPr>
        <w:t>ٌ</w:t>
      </w:r>
      <w:r w:rsidRPr="00904FCB">
        <w:rPr>
          <w:rFonts w:ascii="Traditional Arabic" w:hAnsi="Traditional Arabic" w:hint="cs"/>
          <w:sz w:val="27"/>
          <w:rtl/>
        </w:rPr>
        <w:t xml:space="preserve"> ومبطل</w:t>
      </w:r>
      <w:r w:rsidR="008F7B5A" w:rsidRPr="00904FCB">
        <w:rPr>
          <w:rFonts w:ascii="Traditional Arabic" w:hAnsi="Traditional Arabic" w:hint="cs"/>
          <w:sz w:val="27"/>
          <w:rtl/>
        </w:rPr>
        <w:t>ٌ</w:t>
      </w:r>
      <w:r w:rsidRPr="00904FCB">
        <w:rPr>
          <w:rFonts w:ascii="Traditional Arabic" w:hAnsi="Traditional Arabic" w:hint="cs"/>
          <w:sz w:val="27"/>
          <w:rtl/>
        </w:rPr>
        <w:t xml:space="preserve"> أيضاً.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الثالث</w:t>
      </w:r>
      <w:r w:rsidRPr="00904FCB">
        <w:rPr>
          <w:rFonts w:ascii="Traditional Arabic" w:hAnsi="Traditional Arabic" w:hint="cs"/>
          <w:sz w:val="27"/>
          <w:rtl/>
        </w:rPr>
        <w:t>: أن يكون متعل</w:t>
      </w:r>
      <w:r w:rsidR="008F7B5A" w:rsidRPr="00904FCB">
        <w:rPr>
          <w:rFonts w:ascii="Traditional Arabic" w:hAnsi="Traditional Arabic" w:hint="cs"/>
          <w:sz w:val="27"/>
          <w:rtl/>
        </w:rPr>
        <w:t>َّ</w:t>
      </w:r>
      <w:r w:rsidRPr="00904FCB">
        <w:rPr>
          <w:rFonts w:ascii="Traditional Arabic" w:hAnsi="Traditional Arabic" w:hint="cs"/>
          <w:sz w:val="27"/>
          <w:rtl/>
        </w:rPr>
        <w:t>ق الشرط أموراً يقتضيها العقد، وليست مخالفة لمقتضى العقد، بل هي أمور</w:t>
      </w:r>
      <w:r w:rsidR="00B92E3A">
        <w:rPr>
          <w:rFonts w:ascii="Traditional Arabic" w:hAnsi="Traditional Arabic" w:hint="cs"/>
          <w:sz w:val="27"/>
          <w:rtl/>
        </w:rPr>
        <w:t>ٌ</w:t>
      </w:r>
      <w:r w:rsidRPr="00904FCB">
        <w:rPr>
          <w:rFonts w:ascii="Traditional Arabic" w:hAnsi="Traditional Arabic" w:hint="cs"/>
          <w:sz w:val="27"/>
          <w:rtl/>
        </w:rPr>
        <w:t xml:space="preserve"> مباحة لا ربط لها بالعقد</w:t>
      </w:r>
      <w:r w:rsidR="008F7B5A" w:rsidRPr="00904FCB">
        <w:rPr>
          <w:rFonts w:ascii="Traditional Arabic" w:hAnsi="Traditional Arabic" w:hint="cs"/>
          <w:sz w:val="27"/>
          <w:rtl/>
        </w:rPr>
        <w:t xml:space="preserve">. </w:t>
      </w:r>
      <w:r w:rsidRPr="00904FCB">
        <w:rPr>
          <w:rFonts w:ascii="Traditional Arabic" w:hAnsi="Traditional Arabic" w:hint="cs"/>
          <w:sz w:val="27"/>
          <w:rtl/>
        </w:rPr>
        <w:t xml:space="preserve">وهي على قسمين أيضاً: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1ـ</w:t>
      </w:r>
      <w:r w:rsidRPr="00904FCB">
        <w:rPr>
          <w:rFonts w:ascii="Traditional Arabic" w:hAnsi="Traditional Arabic" w:hint="cs"/>
          <w:sz w:val="27"/>
          <w:rtl/>
        </w:rPr>
        <w:t xml:space="preserve"> شرط الفعل: كأن يشترط في عقد ثمنه مؤج</w:t>
      </w:r>
      <w:r w:rsidR="008F7B5A" w:rsidRPr="00904FCB">
        <w:rPr>
          <w:rFonts w:ascii="Traditional Arabic" w:hAnsi="Traditional Arabic" w:hint="cs"/>
          <w:sz w:val="27"/>
          <w:rtl/>
        </w:rPr>
        <w:t>ّ</w:t>
      </w:r>
      <w:r w:rsidRPr="00904FCB">
        <w:rPr>
          <w:rFonts w:ascii="Traditional Arabic" w:hAnsi="Traditional Arabic" w:hint="cs"/>
          <w:sz w:val="27"/>
          <w:rtl/>
        </w:rPr>
        <w:t>ل الرهن أو الكفالة، فلا ش</w:t>
      </w:r>
      <w:r w:rsidR="008F7B5A" w:rsidRPr="00904FCB">
        <w:rPr>
          <w:rFonts w:ascii="Traditional Arabic" w:hAnsi="Traditional Arabic" w:hint="cs"/>
          <w:sz w:val="27"/>
          <w:rtl/>
        </w:rPr>
        <w:t>َ</w:t>
      </w:r>
      <w:r w:rsidRPr="00904FCB">
        <w:rPr>
          <w:rFonts w:ascii="Traditional Arabic" w:hAnsi="Traditional Arabic" w:hint="cs"/>
          <w:sz w:val="27"/>
          <w:rtl/>
        </w:rPr>
        <w:t>ك</w:t>
      </w:r>
      <w:r w:rsidR="008F7B5A" w:rsidRPr="00904FCB">
        <w:rPr>
          <w:rFonts w:ascii="Traditional Arabic" w:hAnsi="Traditional Arabic" w:hint="cs"/>
          <w:sz w:val="27"/>
          <w:rtl/>
        </w:rPr>
        <w:t>َّ</w:t>
      </w:r>
      <w:r w:rsidRPr="00904FCB">
        <w:rPr>
          <w:rFonts w:ascii="Traditional Arabic" w:hAnsi="Traditional Arabic" w:hint="cs"/>
          <w:sz w:val="27"/>
          <w:rtl/>
        </w:rPr>
        <w:t xml:space="preserve"> في أن هذا النوع من الشروط صحيح، إلا</w:t>
      </w:r>
      <w:r w:rsidR="008F7B5A" w:rsidRPr="00904FCB">
        <w:rPr>
          <w:rFonts w:ascii="Traditional Arabic" w:hAnsi="Traditional Arabic" w:hint="cs"/>
          <w:sz w:val="27"/>
          <w:rtl/>
        </w:rPr>
        <w:t>ّ</w:t>
      </w:r>
      <w:r w:rsidRPr="00904FCB">
        <w:rPr>
          <w:rFonts w:ascii="Traditional Arabic" w:hAnsi="Traditional Arabic" w:hint="cs"/>
          <w:sz w:val="27"/>
          <w:rtl/>
        </w:rPr>
        <w:t xml:space="preserve"> إذا حرّ</w:t>
      </w:r>
      <w:r w:rsidR="008F7B5A" w:rsidRPr="00904FCB">
        <w:rPr>
          <w:rFonts w:ascii="Traditional Arabic" w:hAnsi="Traditional Arabic" w:hint="cs"/>
          <w:sz w:val="27"/>
          <w:rtl/>
        </w:rPr>
        <w:t>َ</w:t>
      </w:r>
      <w:r w:rsidRPr="00904FCB">
        <w:rPr>
          <w:rFonts w:ascii="Traditional Arabic" w:hAnsi="Traditional Arabic" w:hint="cs"/>
          <w:sz w:val="27"/>
          <w:rtl/>
        </w:rPr>
        <w:t>م حلالاً</w:t>
      </w:r>
      <w:r w:rsidR="008F7B5A" w:rsidRPr="00904FCB">
        <w:rPr>
          <w:rFonts w:ascii="Traditional Arabic" w:hAnsi="Traditional Arabic" w:hint="cs"/>
          <w:sz w:val="27"/>
          <w:rtl/>
        </w:rPr>
        <w:t>،</w:t>
      </w:r>
      <w:r w:rsidRPr="00904FCB">
        <w:rPr>
          <w:rFonts w:ascii="Traditional Arabic" w:hAnsi="Traditional Arabic" w:hint="cs"/>
          <w:sz w:val="27"/>
          <w:rtl/>
        </w:rPr>
        <w:t xml:space="preserve"> أو حل</w:t>
      </w:r>
      <w:r w:rsidR="008F7B5A" w:rsidRPr="00904FCB">
        <w:rPr>
          <w:rFonts w:ascii="Traditional Arabic" w:hAnsi="Traditional Arabic" w:hint="cs"/>
          <w:sz w:val="27"/>
          <w:rtl/>
        </w:rPr>
        <w:t>َّ</w:t>
      </w:r>
      <w:r w:rsidRPr="00904FCB">
        <w:rPr>
          <w:rFonts w:ascii="Traditional Arabic" w:hAnsi="Traditional Arabic" w:hint="cs"/>
          <w:sz w:val="27"/>
          <w:rtl/>
        </w:rPr>
        <w:t>ل حراماً</w:t>
      </w:r>
      <w:r w:rsidR="008F7B5A" w:rsidRPr="00904FCB">
        <w:rPr>
          <w:rFonts w:ascii="Traditional Arabic" w:hAnsi="Traditional Arabic" w:hint="cs"/>
          <w:sz w:val="27"/>
          <w:rtl/>
        </w:rPr>
        <w:t>،</w:t>
      </w:r>
      <w:r w:rsidRPr="00904FCB">
        <w:rPr>
          <w:rFonts w:ascii="Traditional Arabic" w:hAnsi="Traditional Arabic" w:hint="cs"/>
          <w:sz w:val="27"/>
          <w:rtl/>
        </w:rPr>
        <w:t xml:space="preserve"> أو كان مخالفاً للكتاب.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2ـ</w:t>
      </w:r>
      <w:r w:rsidRPr="00904FCB">
        <w:rPr>
          <w:rFonts w:ascii="Traditional Arabic" w:hAnsi="Traditional Arabic" w:hint="cs"/>
          <w:sz w:val="27"/>
          <w:rtl/>
        </w:rPr>
        <w:t xml:space="preserve"> شرط النتيجة: كأن يشترط في ضمن البيع عتق عبده أو وقف داره. وهذا الشرط بناءً على أصحّ الأقوال صحيح</w:t>
      </w:r>
      <w:r w:rsidR="00390B27" w:rsidRPr="00904FCB">
        <w:rPr>
          <w:rFonts w:ascii="Traditional Arabic" w:hAnsi="Traditional Arabic" w:hint="cs"/>
          <w:sz w:val="27"/>
          <w:rtl/>
        </w:rPr>
        <w:t>ٌ</w:t>
      </w:r>
      <w:r w:rsidRPr="00904FCB">
        <w:rPr>
          <w:rFonts w:ascii="Traditional Arabic" w:hAnsi="Traditional Arabic" w:hint="cs"/>
          <w:sz w:val="27"/>
          <w:rtl/>
        </w:rPr>
        <w:t xml:space="preserve"> أيضاً.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المورد الرابع</w:t>
      </w:r>
      <w:r w:rsidRPr="00904FCB">
        <w:rPr>
          <w:rFonts w:ascii="Traditional Arabic" w:hAnsi="Traditional Arabic" w:hint="cs"/>
          <w:sz w:val="27"/>
          <w:rtl/>
        </w:rPr>
        <w:t>: إن من جملة مشاكل الفقه هو تشت</w:t>
      </w:r>
      <w:r w:rsidR="00390B27" w:rsidRPr="00904FCB">
        <w:rPr>
          <w:rFonts w:ascii="Traditional Arabic" w:hAnsi="Traditional Arabic" w:hint="cs"/>
          <w:sz w:val="27"/>
          <w:rtl/>
        </w:rPr>
        <w:t>ُّ</w:t>
      </w:r>
      <w:r w:rsidRPr="00904FCB">
        <w:rPr>
          <w:rFonts w:ascii="Traditional Arabic" w:hAnsi="Traditional Arabic" w:hint="cs"/>
          <w:sz w:val="27"/>
          <w:rtl/>
        </w:rPr>
        <w:t>ت الأبحاث</w:t>
      </w:r>
      <w:r w:rsidR="00390B27" w:rsidRPr="00904FCB">
        <w:rPr>
          <w:rFonts w:ascii="Traditional Arabic" w:hAnsi="Traditional Arabic" w:hint="cs"/>
          <w:sz w:val="27"/>
          <w:rtl/>
        </w:rPr>
        <w:t>،</w:t>
      </w:r>
      <w:r w:rsidRPr="00904FCB">
        <w:rPr>
          <w:rFonts w:ascii="Traditional Arabic" w:hAnsi="Traditional Arabic" w:hint="cs"/>
          <w:sz w:val="27"/>
          <w:rtl/>
        </w:rPr>
        <w:t xml:space="preserve"> وعدم خضوعها لقاعدة ثابتة</w:t>
      </w:r>
      <w:r w:rsidR="00390B27" w:rsidRPr="00904FCB">
        <w:rPr>
          <w:rFonts w:ascii="Traditional Arabic" w:hAnsi="Traditional Arabic" w:hint="cs"/>
          <w:sz w:val="27"/>
          <w:rtl/>
        </w:rPr>
        <w:t>،</w:t>
      </w:r>
      <w:r w:rsidRPr="00904FCB">
        <w:rPr>
          <w:rFonts w:ascii="Traditional Arabic" w:hAnsi="Traditional Arabic" w:hint="cs"/>
          <w:sz w:val="27"/>
          <w:rtl/>
        </w:rPr>
        <w:t xml:space="preserve"> إلا</w:t>
      </w:r>
      <w:r w:rsidR="00390B27" w:rsidRPr="00904FCB">
        <w:rPr>
          <w:rFonts w:ascii="Traditional Arabic" w:hAnsi="Traditional Arabic" w:hint="cs"/>
          <w:sz w:val="27"/>
          <w:rtl/>
        </w:rPr>
        <w:t>ّ</w:t>
      </w:r>
      <w:r w:rsidRPr="00904FCB">
        <w:rPr>
          <w:rFonts w:ascii="Traditional Arabic" w:hAnsi="Traditional Arabic" w:hint="cs"/>
          <w:sz w:val="27"/>
          <w:rtl/>
        </w:rPr>
        <w:t xml:space="preserve"> في بعض الموارد الخاصّة.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ب</w:t>
      </w:r>
      <w:r w:rsidR="00390B27" w:rsidRPr="00904FCB">
        <w:rPr>
          <w:rFonts w:ascii="Traditional Arabic" w:hAnsi="Traditional Arabic" w:hint="cs"/>
          <w:sz w:val="27"/>
          <w:rtl/>
        </w:rPr>
        <w:t>َ</w:t>
      </w:r>
      <w:r w:rsidRPr="00904FCB">
        <w:rPr>
          <w:rFonts w:ascii="Traditional Arabic" w:hAnsi="Traditional Arabic" w:hint="cs"/>
          <w:sz w:val="27"/>
          <w:rtl/>
        </w:rPr>
        <w:t>ي</w:t>
      </w:r>
      <w:r w:rsidR="00390B27" w:rsidRPr="00904FCB">
        <w:rPr>
          <w:rFonts w:ascii="Traditional Arabic" w:hAnsi="Traditional Arabic" w:hint="cs"/>
          <w:sz w:val="27"/>
          <w:rtl/>
        </w:rPr>
        <w:t>ْ</w:t>
      </w:r>
      <w:r w:rsidRPr="00904FCB">
        <w:rPr>
          <w:rFonts w:ascii="Traditional Arabic" w:hAnsi="Traditional Arabic" w:hint="cs"/>
          <w:sz w:val="27"/>
          <w:rtl/>
        </w:rPr>
        <w:t>د</w:t>
      </w:r>
      <w:r w:rsidR="00390B27" w:rsidRPr="00904FCB">
        <w:rPr>
          <w:rFonts w:ascii="Traditional Arabic" w:hAnsi="Traditional Arabic" w:hint="cs"/>
          <w:sz w:val="27"/>
          <w:rtl/>
        </w:rPr>
        <w:t>َ</w:t>
      </w:r>
      <w:r w:rsidRPr="00904FCB">
        <w:rPr>
          <w:rFonts w:ascii="Traditional Arabic" w:hAnsi="Traditional Arabic" w:hint="cs"/>
          <w:sz w:val="27"/>
          <w:rtl/>
        </w:rPr>
        <w:t xml:space="preserve"> أن من إبداعات العلامة آل كاشف الغطاء، والتي هي ثمرة لتضلّ</w:t>
      </w:r>
      <w:r w:rsidR="00390B27" w:rsidRPr="00904FCB">
        <w:rPr>
          <w:rFonts w:ascii="Traditional Arabic" w:hAnsi="Traditional Arabic" w:hint="cs"/>
          <w:sz w:val="27"/>
          <w:rtl/>
        </w:rPr>
        <w:t>ُ</w:t>
      </w:r>
      <w:r w:rsidRPr="00904FCB">
        <w:rPr>
          <w:rFonts w:ascii="Traditional Arabic" w:hAnsi="Traditional Arabic" w:hint="cs"/>
          <w:sz w:val="27"/>
          <w:rtl/>
        </w:rPr>
        <w:t>عه الكبير وهيمنته على الأبحاث الفقهية</w:t>
      </w:r>
      <w:r w:rsidR="00390B27" w:rsidRPr="00904FCB">
        <w:rPr>
          <w:rFonts w:ascii="Traditional Arabic" w:hAnsi="Traditional Arabic" w:hint="cs"/>
          <w:sz w:val="27"/>
          <w:rtl/>
        </w:rPr>
        <w:t>،</w:t>
      </w:r>
      <w:r w:rsidRPr="00904FCB">
        <w:rPr>
          <w:rFonts w:ascii="Traditional Arabic" w:hAnsi="Traditional Arabic" w:hint="cs"/>
          <w:sz w:val="27"/>
          <w:rtl/>
        </w:rPr>
        <w:t xml:space="preserve"> وإدراكه العميق للفقه، و</w:t>
      </w:r>
      <w:r w:rsidR="00B92E3A">
        <w:rPr>
          <w:rFonts w:ascii="Traditional Arabic" w:hAnsi="Traditional Arabic" w:hint="cs"/>
          <w:sz w:val="27"/>
          <w:rtl/>
        </w:rPr>
        <w:t>َ</w:t>
      </w:r>
      <w:r w:rsidRPr="00904FCB">
        <w:rPr>
          <w:rFonts w:ascii="Traditional Arabic" w:hAnsi="Traditional Arabic" w:hint="cs"/>
          <w:sz w:val="27"/>
          <w:rtl/>
        </w:rPr>
        <w:t>ض</w:t>
      </w:r>
      <w:r w:rsidR="00B92E3A">
        <w:rPr>
          <w:rFonts w:ascii="Traditional Arabic" w:hAnsi="Traditional Arabic" w:hint="cs"/>
          <w:sz w:val="27"/>
          <w:rtl/>
        </w:rPr>
        <w:t>ْ</w:t>
      </w:r>
      <w:r w:rsidRPr="00904FCB">
        <w:rPr>
          <w:rFonts w:ascii="Traditional Arabic" w:hAnsi="Traditional Arabic" w:hint="cs"/>
          <w:sz w:val="27"/>
          <w:rtl/>
        </w:rPr>
        <w:t>ع</w:t>
      </w:r>
      <w:r w:rsidR="00B92E3A">
        <w:rPr>
          <w:rFonts w:ascii="Traditional Arabic" w:hAnsi="Traditional Arabic" w:hint="cs"/>
          <w:sz w:val="27"/>
          <w:rtl/>
        </w:rPr>
        <w:t>َ</w:t>
      </w:r>
      <w:r w:rsidRPr="00904FCB">
        <w:rPr>
          <w:rFonts w:ascii="Traditional Arabic" w:hAnsi="Traditional Arabic" w:hint="cs"/>
          <w:sz w:val="27"/>
          <w:rtl/>
        </w:rPr>
        <w:t>ه الأبحاث الفقهية المتناثرة والمتشت</w:t>
      </w:r>
      <w:r w:rsidR="00390B27" w:rsidRPr="00904FCB">
        <w:rPr>
          <w:rFonts w:ascii="Traditional Arabic" w:hAnsi="Traditional Arabic" w:hint="cs"/>
          <w:sz w:val="27"/>
          <w:rtl/>
        </w:rPr>
        <w:t>ِّ</w:t>
      </w:r>
      <w:r w:rsidRPr="00904FCB">
        <w:rPr>
          <w:rFonts w:ascii="Traditional Arabic" w:hAnsi="Traditional Arabic" w:hint="cs"/>
          <w:sz w:val="27"/>
          <w:rtl/>
        </w:rPr>
        <w:t>تة ضمن قاعدة وضابطة موحّ</w:t>
      </w:r>
      <w:r w:rsidR="00390B27" w:rsidRPr="00904FCB">
        <w:rPr>
          <w:rFonts w:ascii="Traditional Arabic" w:hAnsi="Traditional Arabic" w:hint="cs"/>
          <w:sz w:val="27"/>
          <w:rtl/>
        </w:rPr>
        <w:t>َ</w:t>
      </w:r>
      <w:r w:rsidRPr="00904FCB">
        <w:rPr>
          <w:rFonts w:ascii="Traditional Arabic" w:hAnsi="Traditional Arabic" w:hint="cs"/>
          <w:sz w:val="27"/>
          <w:rtl/>
        </w:rPr>
        <w:t xml:space="preserve">دة. </w:t>
      </w:r>
    </w:p>
    <w:p w:rsidR="00F34FB9" w:rsidRPr="00904FCB" w:rsidRDefault="00390B27" w:rsidP="000F7B48">
      <w:pPr>
        <w:spacing w:line="410" w:lineRule="exact"/>
        <w:rPr>
          <w:rFonts w:ascii="Traditional Arabic" w:hAnsi="Traditional Arabic"/>
          <w:sz w:val="27"/>
          <w:rtl/>
        </w:rPr>
      </w:pPr>
      <w:r w:rsidRPr="00904FCB">
        <w:rPr>
          <w:rFonts w:ascii="Traditional Arabic" w:hAnsi="Traditional Arabic" w:hint="cs"/>
          <w:sz w:val="27"/>
          <w:rtl/>
        </w:rPr>
        <w:t>و</w:t>
      </w:r>
      <w:r w:rsidR="00F34FB9" w:rsidRPr="00904FCB">
        <w:rPr>
          <w:rFonts w:ascii="Traditional Arabic" w:hAnsi="Traditional Arabic" w:hint="cs"/>
          <w:sz w:val="27"/>
          <w:rtl/>
        </w:rPr>
        <w:t>من باب المثال: إن موارد فقدان بعض شروط العقد التي توجب البطلان تختلف عن الموارد التي توجب خيار الفسخ</w:t>
      </w:r>
      <w:r w:rsidRPr="00904FCB">
        <w:rPr>
          <w:rFonts w:ascii="Traditional Arabic" w:hAnsi="Traditional Arabic" w:hint="cs"/>
          <w:sz w:val="27"/>
          <w:rtl/>
        </w:rPr>
        <w:t>،</w:t>
      </w:r>
      <w:r w:rsidR="00F34FB9" w:rsidRPr="00904FCB">
        <w:rPr>
          <w:rFonts w:ascii="Traditional Arabic" w:hAnsi="Traditional Arabic" w:hint="cs"/>
          <w:sz w:val="27"/>
          <w:rtl/>
        </w:rPr>
        <w:t xml:space="preserve"> إلا</w:t>
      </w:r>
      <w:r w:rsidRPr="00904FCB">
        <w:rPr>
          <w:rFonts w:ascii="Traditional Arabic" w:hAnsi="Traditional Arabic" w:hint="cs"/>
          <w:sz w:val="27"/>
          <w:rtl/>
        </w:rPr>
        <w:t>ّ</w:t>
      </w:r>
      <w:r w:rsidR="00F34FB9" w:rsidRPr="00904FCB">
        <w:rPr>
          <w:rFonts w:ascii="Traditional Arabic" w:hAnsi="Traditional Arabic" w:hint="cs"/>
          <w:sz w:val="27"/>
          <w:rtl/>
        </w:rPr>
        <w:t xml:space="preserve"> أنه</w:t>
      </w:r>
      <w:r w:rsidRPr="00904FCB">
        <w:rPr>
          <w:rFonts w:ascii="Traditional Arabic" w:hAnsi="Traditional Arabic" w:hint="cs"/>
          <w:sz w:val="27"/>
          <w:rtl/>
        </w:rPr>
        <w:t>؛</w:t>
      </w:r>
      <w:r w:rsidR="00F34FB9" w:rsidRPr="00904FCB">
        <w:rPr>
          <w:rFonts w:ascii="Traditional Arabic" w:hAnsi="Traditional Arabic" w:hint="cs"/>
          <w:sz w:val="27"/>
          <w:rtl/>
        </w:rPr>
        <w:t xml:space="preserve"> ومن خلال إبداعه</w:t>
      </w:r>
      <w:r w:rsidRPr="00904FCB">
        <w:rPr>
          <w:rFonts w:ascii="Traditional Arabic" w:hAnsi="Traditional Arabic" w:hint="cs"/>
          <w:sz w:val="27"/>
          <w:rtl/>
        </w:rPr>
        <w:t>،</w:t>
      </w:r>
      <w:r w:rsidR="00F34FB9" w:rsidRPr="00904FCB">
        <w:rPr>
          <w:rFonts w:ascii="Traditional Arabic" w:hAnsi="Traditional Arabic" w:hint="cs"/>
          <w:sz w:val="27"/>
          <w:rtl/>
        </w:rPr>
        <w:t xml:space="preserve"> تمّ بيان ضابطة لكل</w:t>
      </w:r>
      <w:r w:rsidRPr="00904FCB">
        <w:rPr>
          <w:rFonts w:ascii="Traditional Arabic" w:hAnsi="Traditional Arabic" w:hint="cs"/>
          <w:sz w:val="27"/>
          <w:rtl/>
        </w:rPr>
        <w:t>ّ</w:t>
      </w:r>
      <w:r w:rsidR="00F34FB9" w:rsidRPr="00904FCB">
        <w:rPr>
          <w:rFonts w:ascii="Traditional Arabic" w:hAnsi="Traditional Arabic" w:hint="cs"/>
          <w:sz w:val="27"/>
          <w:rtl/>
        </w:rPr>
        <w:t xml:space="preserve"> واحد</w:t>
      </w:r>
      <w:r w:rsidRPr="00904FCB">
        <w:rPr>
          <w:rFonts w:ascii="Traditional Arabic" w:hAnsi="Traditional Arabic" w:hint="cs"/>
          <w:sz w:val="27"/>
          <w:rtl/>
        </w:rPr>
        <w:t>ٍ</w:t>
      </w:r>
      <w:r w:rsidR="00F34FB9" w:rsidRPr="00904FCB">
        <w:rPr>
          <w:rFonts w:ascii="Traditional Arabic" w:hAnsi="Traditional Arabic" w:hint="cs"/>
          <w:sz w:val="27"/>
          <w:rtl/>
        </w:rPr>
        <w:t xml:space="preserve"> منهما</w:t>
      </w:r>
      <w:r w:rsidRPr="00904FCB">
        <w:rPr>
          <w:rFonts w:ascii="Traditional Arabic" w:hAnsi="Traditional Arabic" w:hint="cs"/>
          <w:sz w:val="27"/>
          <w:rtl/>
        </w:rPr>
        <w:t xml:space="preserve">، </w:t>
      </w:r>
      <w:r w:rsidR="00F34FB9" w:rsidRPr="00904FCB">
        <w:rPr>
          <w:rFonts w:ascii="Traditional Arabic" w:hAnsi="Traditional Arabic" w:hint="cs"/>
          <w:sz w:val="27"/>
          <w:rtl/>
        </w:rPr>
        <w:t xml:space="preserve">حيث قال سماحته في هذا الشأن: إن حقيقة البيع الذي هو مبادلة مال </w:t>
      </w:r>
      <w:r w:rsidR="00F34FB9" w:rsidRPr="00904FCB">
        <w:rPr>
          <w:rFonts w:ascii="Traditional Arabic" w:hAnsi="Traditional Arabic" w:hint="cs"/>
          <w:sz w:val="27"/>
          <w:rtl/>
        </w:rPr>
        <w:lastRenderedPageBreak/>
        <w:t>بمال من المفاهيم النسبية وذات الإضافة، ومن هنا فإنها تتقوّ</w:t>
      </w:r>
      <w:r w:rsidRPr="00904FCB">
        <w:rPr>
          <w:rFonts w:ascii="Traditional Arabic" w:hAnsi="Traditional Arabic" w:hint="cs"/>
          <w:sz w:val="27"/>
          <w:rtl/>
        </w:rPr>
        <w:t>َ</w:t>
      </w:r>
      <w:r w:rsidR="00F34FB9" w:rsidRPr="00904FCB">
        <w:rPr>
          <w:rFonts w:ascii="Traditional Arabic" w:hAnsi="Traditional Arabic" w:hint="cs"/>
          <w:sz w:val="27"/>
          <w:rtl/>
        </w:rPr>
        <w:t>م بطرفين، وإن هذين الطرفين هما الثمن والمثمن</w:t>
      </w:r>
      <w:r w:rsidRPr="00904FCB">
        <w:rPr>
          <w:rFonts w:ascii="Traditional Arabic" w:hAnsi="Traditional Arabic" w:hint="cs"/>
          <w:sz w:val="27"/>
          <w:rtl/>
        </w:rPr>
        <w:t>،</w:t>
      </w:r>
      <w:r w:rsidR="00F34FB9" w:rsidRPr="00904FCB">
        <w:rPr>
          <w:rFonts w:ascii="Traditional Arabic" w:hAnsi="Traditional Arabic" w:hint="cs"/>
          <w:sz w:val="27"/>
          <w:rtl/>
        </w:rPr>
        <w:t xml:space="preserve"> وبعبارة</w:t>
      </w:r>
      <w:r w:rsidRPr="00904FCB">
        <w:rPr>
          <w:rFonts w:ascii="Traditional Arabic" w:hAnsi="Traditional Arabic" w:hint="cs"/>
          <w:sz w:val="27"/>
          <w:rtl/>
        </w:rPr>
        <w:t>ٍ</w:t>
      </w:r>
      <w:r w:rsidR="00F34FB9" w:rsidRPr="00904FCB">
        <w:rPr>
          <w:rFonts w:ascii="Traditional Arabic" w:hAnsi="Traditional Arabic" w:hint="cs"/>
          <w:sz w:val="27"/>
          <w:rtl/>
        </w:rPr>
        <w:t xml:space="preserve"> أخرى: العوض والمعوّ</w:t>
      </w:r>
      <w:r w:rsidRPr="00904FCB">
        <w:rPr>
          <w:rFonts w:ascii="Traditional Arabic" w:hAnsi="Traditional Arabic" w:hint="cs"/>
          <w:sz w:val="27"/>
          <w:rtl/>
        </w:rPr>
        <w:t>َ</w:t>
      </w:r>
      <w:r w:rsidR="00F34FB9" w:rsidRPr="00904FCB">
        <w:rPr>
          <w:rFonts w:ascii="Traditional Arabic" w:hAnsi="Traditional Arabic" w:hint="cs"/>
          <w:sz w:val="27"/>
          <w:rtl/>
        </w:rPr>
        <w:t>ض</w:t>
      </w:r>
      <w:r w:rsidRPr="00904FCB">
        <w:rPr>
          <w:rFonts w:ascii="Traditional Arabic" w:hAnsi="Traditional Arabic" w:hint="cs"/>
          <w:sz w:val="27"/>
          <w:rtl/>
        </w:rPr>
        <w:t>،</w:t>
      </w:r>
      <w:r w:rsidR="00F34FB9" w:rsidRPr="00904FCB">
        <w:rPr>
          <w:rFonts w:ascii="Traditional Arabic" w:hAnsi="Traditional Arabic" w:hint="cs"/>
          <w:sz w:val="27"/>
          <w:rtl/>
        </w:rPr>
        <w:t xml:space="preserve"> دون البائع والمشتري، على خلاف باب النكاح الذي يكون الطرفان فيه هما الزوج والزوجة</w:t>
      </w:r>
      <w:r w:rsidRPr="00904FCB">
        <w:rPr>
          <w:rFonts w:ascii="Traditional Arabic" w:hAnsi="Traditional Arabic" w:hint="cs"/>
          <w:sz w:val="27"/>
          <w:rtl/>
        </w:rPr>
        <w:t>،</w:t>
      </w:r>
      <w:r w:rsidR="00F34FB9" w:rsidRPr="00904FCB">
        <w:rPr>
          <w:rFonts w:ascii="Traditional Arabic" w:hAnsi="Traditional Arabic" w:hint="cs"/>
          <w:sz w:val="27"/>
          <w:rtl/>
        </w:rPr>
        <w:t xml:space="preserve"> دون المهر وتوابع المهر. </w:t>
      </w:r>
    </w:p>
    <w:p w:rsidR="00F34FB9" w:rsidRPr="00904FCB" w:rsidRDefault="00F34FB9" w:rsidP="00B92E3A">
      <w:pPr>
        <w:spacing w:line="420" w:lineRule="exact"/>
        <w:ind w:firstLine="561"/>
        <w:rPr>
          <w:rFonts w:ascii="Traditional Arabic" w:hAnsi="Traditional Arabic"/>
          <w:sz w:val="27"/>
          <w:rtl/>
        </w:rPr>
      </w:pPr>
      <w:r w:rsidRPr="00904FCB">
        <w:rPr>
          <w:rFonts w:ascii="Traditional Arabic" w:hAnsi="Traditional Arabic" w:hint="cs"/>
          <w:sz w:val="27"/>
          <w:rtl/>
        </w:rPr>
        <w:t>وعلى هذا الأساس فإن العوض والمعوّ</w:t>
      </w:r>
      <w:r w:rsidR="00390B27" w:rsidRPr="00904FCB">
        <w:rPr>
          <w:rFonts w:ascii="Traditional Arabic" w:hAnsi="Traditional Arabic" w:hint="cs"/>
          <w:sz w:val="27"/>
          <w:rtl/>
        </w:rPr>
        <w:t>َ</w:t>
      </w:r>
      <w:r w:rsidRPr="00904FCB">
        <w:rPr>
          <w:rFonts w:ascii="Traditional Arabic" w:hAnsi="Traditional Arabic" w:hint="cs"/>
          <w:sz w:val="27"/>
          <w:rtl/>
        </w:rPr>
        <w:t>ض والصيغة الدال</w:t>
      </w:r>
      <w:r w:rsidR="00390B27" w:rsidRPr="00904FCB">
        <w:rPr>
          <w:rFonts w:ascii="Traditional Arabic" w:hAnsi="Traditional Arabic" w:hint="cs"/>
          <w:sz w:val="27"/>
          <w:rtl/>
        </w:rPr>
        <w:t>ّ</w:t>
      </w:r>
      <w:r w:rsidRPr="00904FCB">
        <w:rPr>
          <w:rFonts w:ascii="Traditional Arabic" w:hAnsi="Traditional Arabic" w:hint="cs"/>
          <w:sz w:val="27"/>
          <w:rtl/>
        </w:rPr>
        <w:t>ة على ال</w:t>
      </w:r>
      <w:r w:rsidR="00390B27" w:rsidRPr="00904FCB">
        <w:rPr>
          <w:rFonts w:ascii="Traditional Arabic" w:hAnsi="Traditional Arabic" w:hint="cs"/>
          <w:sz w:val="27"/>
          <w:rtl/>
        </w:rPr>
        <w:t>ا</w:t>
      </w:r>
      <w:r w:rsidRPr="00904FCB">
        <w:rPr>
          <w:rFonts w:ascii="Traditional Arabic" w:hAnsi="Traditional Arabic" w:hint="cs"/>
          <w:sz w:val="27"/>
          <w:rtl/>
        </w:rPr>
        <w:t>لتزام في عقد البيع من أركان العقد. وبالتالي لو اختل</w:t>
      </w:r>
      <w:r w:rsidR="00390B27" w:rsidRPr="00904FCB">
        <w:rPr>
          <w:rFonts w:ascii="Traditional Arabic" w:hAnsi="Traditional Arabic" w:hint="cs"/>
          <w:sz w:val="27"/>
          <w:rtl/>
        </w:rPr>
        <w:t>ّ</w:t>
      </w:r>
      <w:r w:rsidRPr="00904FCB">
        <w:rPr>
          <w:rFonts w:ascii="Traditional Arabic" w:hAnsi="Traditional Arabic" w:hint="cs"/>
          <w:sz w:val="27"/>
          <w:rtl/>
        </w:rPr>
        <w:t xml:space="preserve"> في العقد شرط</w:t>
      </w:r>
      <w:r w:rsidR="00390B27" w:rsidRPr="00904FCB">
        <w:rPr>
          <w:rFonts w:ascii="Traditional Arabic" w:hAnsi="Traditional Arabic" w:hint="cs"/>
          <w:sz w:val="27"/>
          <w:rtl/>
        </w:rPr>
        <w:t>ٌ</w:t>
      </w:r>
      <w:r w:rsidRPr="00904FCB">
        <w:rPr>
          <w:rFonts w:ascii="Traditional Arabic" w:hAnsi="Traditional Arabic" w:hint="cs"/>
          <w:sz w:val="27"/>
          <w:rtl/>
        </w:rPr>
        <w:t xml:space="preserve"> من الشرائط الركنية كان العقد باطلاً</w:t>
      </w:r>
      <w:r w:rsidR="00390B27" w:rsidRPr="00904FCB">
        <w:rPr>
          <w:rFonts w:ascii="Traditional Arabic" w:hAnsi="Traditional Arabic" w:hint="cs"/>
          <w:sz w:val="27"/>
          <w:rtl/>
        </w:rPr>
        <w:t xml:space="preserve">، </w:t>
      </w:r>
      <w:r w:rsidRPr="00904FCB">
        <w:rPr>
          <w:rFonts w:ascii="Traditional Arabic" w:hAnsi="Traditional Arabic" w:hint="cs"/>
          <w:sz w:val="27"/>
          <w:rtl/>
        </w:rPr>
        <w:t>وأما إذا فقد شرط من الشرائط غير الركنية</w:t>
      </w:r>
      <w:r w:rsidR="00390B27" w:rsidRPr="00904FCB">
        <w:rPr>
          <w:rFonts w:ascii="Traditional Arabic" w:hAnsi="Traditional Arabic" w:hint="cs"/>
          <w:sz w:val="27"/>
          <w:rtl/>
        </w:rPr>
        <w:t>،</w:t>
      </w:r>
      <w:r w:rsidRPr="00904FCB">
        <w:rPr>
          <w:rFonts w:ascii="Traditional Arabic" w:hAnsi="Traditional Arabic" w:hint="cs"/>
          <w:sz w:val="27"/>
          <w:rtl/>
        </w:rPr>
        <w:t xml:space="preserve"> مثل</w:t>
      </w:r>
      <w:r w:rsidR="00390B27" w:rsidRPr="00904FCB">
        <w:rPr>
          <w:rFonts w:ascii="Traditional Arabic" w:hAnsi="Traditional Arabic" w:hint="cs"/>
          <w:sz w:val="27"/>
          <w:rtl/>
        </w:rPr>
        <w:t>:</w:t>
      </w:r>
      <w:r w:rsidRPr="00904FCB">
        <w:rPr>
          <w:rFonts w:ascii="Traditional Arabic" w:hAnsi="Traditional Arabic" w:hint="cs"/>
          <w:sz w:val="27"/>
          <w:rtl/>
        </w:rPr>
        <w:t xml:space="preserve"> البائع والمشتري، كان العقد صحيحاً</w:t>
      </w:r>
      <w:r w:rsidR="00B92E3A">
        <w:rPr>
          <w:rFonts w:ascii="Traditional Arabic" w:hAnsi="Traditional Arabic" w:hint="cs"/>
          <w:sz w:val="27"/>
          <w:rtl/>
        </w:rPr>
        <w:t>،</w:t>
      </w:r>
      <w:r w:rsidRPr="00904FCB">
        <w:rPr>
          <w:rFonts w:ascii="Traditional Arabic" w:hAnsi="Traditional Arabic" w:hint="cs"/>
          <w:sz w:val="27"/>
          <w:rtl/>
        </w:rPr>
        <w:t xml:space="preserve"> ولكن</w:t>
      </w:r>
      <w:r w:rsidR="00390B27" w:rsidRPr="00904FCB">
        <w:rPr>
          <w:rFonts w:ascii="Traditional Arabic" w:hAnsi="Traditional Arabic" w:hint="cs"/>
          <w:sz w:val="27"/>
          <w:rtl/>
        </w:rPr>
        <w:t>ْ</w:t>
      </w:r>
      <w:r w:rsidRPr="00904FCB">
        <w:rPr>
          <w:rFonts w:ascii="Traditional Arabic" w:hAnsi="Traditional Arabic" w:hint="cs"/>
          <w:sz w:val="27"/>
          <w:rtl/>
        </w:rPr>
        <w:t xml:space="preserve"> يكون هناك خيار الفسخ. وعليه تكون الشروط على قسمين</w:t>
      </w:r>
      <w:r w:rsidR="00390B27" w:rsidRPr="00904FCB">
        <w:rPr>
          <w:rFonts w:ascii="Traditional Arabic" w:hAnsi="Traditional Arabic" w:hint="cs"/>
          <w:sz w:val="27"/>
          <w:rtl/>
        </w:rPr>
        <w:t xml:space="preserve">: </w:t>
      </w:r>
      <w:r w:rsidRPr="00904FCB">
        <w:rPr>
          <w:rFonts w:ascii="Traditional Arabic" w:hAnsi="Traditional Arabic" w:hint="cs"/>
          <w:sz w:val="27"/>
          <w:rtl/>
        </w:rPr>
        <w:t>الشرائط الركنية</w:t>
      </w:r>
      <w:r w:rsidR="00390B27" w:rsidRPr="00904FCB">
        <w:rPr>
          <w:rFonts w:ascii="Traditional Arabic" w:hAnsi="Traditional Arabic" w:hint="cs"/>
          <w:sz w:val="27"/>
          <w:rtl/>
        </w:rPr>
        <w:t>،</w:t>
      </w:r>
      <w:r w:rsidRPr="00904FCB">
        <w:rPr>
          <w:rFonts w:ascii="Traditional Arabic" w:hAnsi="Traditional Arabic" w:hint="cs"/>
          <w:sz w:val="27"/>
          <w:rtl/>
        </w:rPr>
        <w:t xml:space="preserve"> التي يؤد</w:t>
      </w:r>
      <w:r w:rsidR="00390B27" w:rsidRPr="00904FCB">
        <w:rPr>
          <w:rFonts w:ascii="Traditional Arabic" w:hAnsi="Traditional Arabic" w:hint="cs"/>
          <w:sz w:val="27"/>
          <w:rtl/>
        </w:rPr>
        <w:t>ّ</w:t>
      </w:r>
      <w:r w:rsidRPr="00904FCB">
        <w:rPr>
          <w:rFonts w:ascii="Traditional Arabic" w:hAnsi="Traditional Arabic" w:hint="cs"/>
          <w:sz w:val="27"/>
          <w:rtl/>
        </w:rPr>
        <w:t>ي الخلل فيها إلى بطلان العقد</w:t>
      </w:r>
      <w:r w:rsidR="00390B27" w:rsidRPr="00904FCB">
        <w:rPr>
          <w:rFonts w:ascii="Traditional Arabic" w:hAnsi="Traditional Arabic" w:hint="cs"/>
          <w:sz w:val="27"/>
          <w:rtl/>
        </w:rPr>
        <w:t>؛</w:t>
      </w:r>
      <w:r w:rsidRPr="00904FCB">
        <w:rPr>
          <w:rFonts w:ascii="Traditional Arabic" w:hAnsi="Traditional Arabic" w:hint="cs"/>
          <w:sz w:val="27"/>
          <w:rtl/>
        </w:rPr>
        <w:t xml:space="preserve"> والشرائط غير الركنية</w:t>
      </w:r>
      <w:r w:rsidR="00390B27" w:rsidRPr="00904FCB">
        <w:rPr>
          <w:rFonts w:ascii="Traditional Arabic" w:hAnsi="Traditional Arabic" w:hint="cs"/>
          <w:sz w:val="27"/>
          <w:rtl/>
        </w:rPr>
        <w:t>،</w:t>
      </w:r>
      <w:r w:rsidRPr="00904FCB">
        <w:rPr>
          <w:rFonts w:ascii="Traditional Arabic" w:hAnsi="Traditional Arabic" w:hint="cs"/>
          <w:sz w:val="27"/>
          <w:rtl/>
        </w:rPr>
        <w:t xml:space="preserve"> التي يؤدي الخل</w:t>
      </w:r>
      <w:r w:rsidR="00390B27" w:rsidRPr="00904FCB">
        <w:rPr>
          <w:rFonts w:ascii="Traditional Arabic" w:hAnsi="Traditional Arabic" w:hint="cs"/>
          <w:sz w:val="27"/>
          <w:rtl/>
        </w:rPr>
        <w:t>ل</w:t>
      </w:r>
      <w:r w:rsidRPr="00904FCB">
        <w:rPr>
          <w:rFonts w:ascii="Traditional Arabic" w:hAnsi="Traditional Arabic" w:hint="cs"/>
          <w:sz w:val="27"/>
          <w:rtl/>
        </w:rPr>
        <w:t xml:space="preserve"> فيها إلى خيار الفسخ</w:t>
      </w:r>
      <w:r w:rsidR="00390B27" w:rsidRPr="00904FCB">
        <w:rPr>
          <w:rFonts w:ascii="Traditional Arabic" w:hAnsi="Traditional Arabic" w:hint="cs"/>
          <w:sz w:val="27"/>
          <w:rtl/>
        </w:rPr>
        <w:t>،</w:t>
      </w:r>
      <w:r w:rsidRPr="00904FCB">
        <w:rPr>
          <w:rFonts w:ascii="Traditional Arabic" w:hAnsi="Traditional Arabic" w:hint="cs"/>
          <w:sz w:val="27"/>
          <w:rtl/>
        </w:rPr>
        <w:t xml:space="preserve"> دون البطلان. وهذا التحليل بهذه الصيغة يجب اعتباره من إبداعاته التي انفرد بها</w:t>
      </w:r>
      <w:r w:rsidR="00B92E3A">
        <w:rPr>
          <w:rFonts w:ascii="Traditional Arabic" w:hAnsi="Traditional Arabic" w:hint="cs"/>
          <w:sz w:val="27"/>
          <w:rtl/>
        </w:rPr>
        <w:t>،</w:t>
      </w:r>
      <w:r w:rsidRPr="00904FCB">
        <w:rPr>
          <w:rFonts w:ascii="Traditional Arabic" w:hAnsi="Traditional Arabic" w:hint="cs"/>
          <w:sz w:val="27"/>
          <w:rtl/>
        </w:rPr>
        <w:t xml:space="preserve"> دون غيره. </w:t>
      </w:r>
    </w:p>
    <w:p w:rsidR="00F34FB9" w:rsidRPr="00904FCB" w:rsidRDefault="00F34FB9" w:rsidP="007A21AA">
      <w:pPr>
        <w:spacing w:line="400" w:lineRule="exact"/>
        <w:rPr>
          <w:rFonts w:ascii="Traditional Arabic" w:hAnsi="Traditional Arabic"/>
          <w:sz w:val="27"/>
          <w:rtl/>
        </w:rPr>
      </w:pPr>
    </w:p>
    <w:p w:rsidR="00F34FB9" w:rsidRPr="00904FCB" w:rsidRDefault="00F34FB9" w:rsidP="007A21AA">
      <w:pPr>
        <w:pStyle w:val="31"/>
        <w:spacing w:line="400" w:lineRule="exact"/>
        <w:rPr>
          <w:color w:val="auto"/>
          <w:rtl/>
        </w:rPr>
      </w:pPr>
      <w:r w:rsidRPr="00904FCB">
        <w:rPr>
          <w:rFonts w:hint="cs"/>
          <w:color w:val="auto"/>
          <w:rtl/>
        </w:rPr>
        <w:t>الإبداع في تبويب البحوث</w:t>
      </w:r>
    </w:p>
    <w:p w:rsidR="00F34FB9" w:rsidRPr="00904FCB" w:rsidRDefault="00F34FB9" w:rsidP="00B92E3A">
      <w:pPr>
        <w:spacing w:line="420" w:lineRule="exact"/>
        <w:ind w:firstLine="561"/>
        <w:rPr>
          <w:rFonts w:ascii="Traditional Arabic" w:hAnsi="Traditional Arabic"/>
          <w:sz w:val="27"/>
          <w:rtl/>
        </w:rPr>
      </w:pPr>
      <w:r w:rsidRPr="00904FCB">
        <w:rPr>
          <w:rFonts w:ascii="Traditional Arabic" w:hAnsi="Traditional Arabic" w:hint="cs"/>
          <w:sz w:val="27"/>
          <w:rtl/>
        </w:rPr>
        <w:t>لقد بحث الفقهاء كثيراً من المسائل في المكاسب</w:t>
      </w:r>
      <w:r w:rsidR="00320CD2" w:rsidRPr="00904FCB">
        <w:rPr>
          <w:rFonts w:ascii="Traditional Arabic" w:hAnsi="Traditional Arabic" w:hint="cs"/>
          <w:sz w:val="27"/>
          <w:rtl/>
        </w:rPr>
        <w:t>.</w:t>
      </w:r>
      <w:r w:rsidRPr="00904FCB">
        <w:rPr>
          <w:rFonts w:ascii="Traditional Arabic" w:hAnsi="Traditional Arabic" w:hint="cs"/>
          <w:sz w:val="27"/>
          <w:rtl/>
        </w:rPr>
        <w:t xml:space="preserve"> ومن ذلك</w:t>
      </w:r>
      <w:r w:rsidR="00320CD2" w:rsidRPr="00904FCB">
        <w:rPr>
          <w:rFonts w:ascii="Traditional Arabic" w:hAnsi="Traditional Arabic" w:hint="cs"/>
          <w:sz w:val="27"/>
          <w:rtl/>
        </w:rPr>
        <w:t>:</w:t>
      </w:r>
      <w:r w:rsidRPr="00904FCB">
        <w:rPr>
          <w:rFonts w:ascii="Traditional Arabic" w:hAnsi="Traditional Arabic" w:hint="cs"/>
          <w:sz w:val="27"/>
          <w:rtl/>
        </w:rPr>
        <w:t xml:space="preserve"> ما إذا كانت الخيارات على الفور أو التراخي. وقد بحث </w:t>
      </w:r>
      <w:r w:rsidR="00320CD2" w:rsidRPr="00904FCB">
        <w:rPr>
          <w:rFonts w:ascii="Traditional Arabic" w:hAnsi="Traditional Arabic" w:hint="cs"/>
          <w:sz w:val="27"/>
          <w:rtl/>
        </w:rPr>
        <w:t>الشيخ كاشف الغطاء</w:t>
      </w:r>
      <w:r w:rsidRPr="00904FCB">
        <w:rPr>
          <w:rFonts w:ascii="Traditional Arabic" w:hAnsi="Traditional Arabic" w:hint="cs"/>
          <w:sz w:val="27"/>
          <w:rtl/>
        </w:rPr>
        <w:t xml:space="preserve"> الخيارات بمزيد</w:t>
      </w:r>
      <w:r w:rsidR="00320CD2" w:rsidRPr="00904FCB">
        <w:rPr>
          <w:rFonts w:ascii="Traditional Arabic" w:hAnsi="Traditional Arabic" w:hint="cs"/>
          <w:sz w:val="27"/>
          <w:rtl/>
        </w:rPr>
        <w:t>ٍ</w:t>
      </w:r>
      <w:r w:rsidRPr="00904FCB">
        <w:rPr>
          <w:rFonts w:ascii="Traditional Arabic" w:hAnsi="Traditional Arabic" w:hint="cs"/>
          <w:sz w:val="27"/>
          <w:rtl/>
        </w:rPr>
        <w:t xml:space="preserve"> من التفصيل</w:t>
      </w:r>
      <w:r w:rsidR="00320CD2" w:rsidRPr="00904FCB">
        <w:rPr>
          <w:rFonts w:ascii="Traditional Arabic" w:hAnsi="Traditional Arabic" w:hint="cs"/>
          <w:sz w:val="27"/>
          <w:rtl/>
        </w:rPr>
        <w:t>،</w:t>
      </w:r>
      <w:r w:rsidRPr="00904FCB">
        <w:rPr>
          <w:rFonts w:ascii="Traditional Arabic" w:hAnsi="Traditional Arabic" w:hint="cs"/>
          <w:sz w:val="27"/>
          <w:rtl/>
        </w:rPr>
        <w:t xml:space="preserve"> حت</w:t>
      </w:r>
      <w:r w:rsidR="00320CD2" w:rsidRPr="00904FCB">
        <w:rPr>
          <w:rFonts w:ascii="Traditional Arabic" w:hAnsi="Traditional Arabic" w:hint="cs"/>
          <w:sz w:val="27"/>
          <w:rtl/>
        </w:rPr>
        <w:t>ّ</w:t>
      </w:r>
      <w:r w:rsidRPr="00904FCB">
        <w:rPr>
          <w:rFonts w:ascii="Traditional Arabic" w:hAnsi="Traditional Arabic" w:hint="cs"/>
          <w:sz w:val="27"/>
          <w:rtl/>
        </w:rPr>
        <w:t>ى استغرق بحث الخيارات ما يقرب من ثلث الكتاب. وقد قس</w:t>
      </w:r>
      <w:r w:rsidR="00320CD2" w:rsidRPr="00904FCB">
        <w:rPr>
          <w:rFonts w:ascii="Traditional Arabic" w:hAnsi="Traditional Arabic" w:hint="cs"/>
          <w:sz w:val="27"/>
          <w:rtl/>
        </w:rPr>
        <w:t>َّ</w:t>
      </w:r>
      <w:r w:rsidRPr="00904FCB">
        <w:rPr>
          <w:rFonts w:ascii="Traditional Arabic" w:hAnsi="Traditional Arabic" w:hint="cs"/>
          <w:sz w:val="27"/>
          <w:rtl/>
        </w:rPr>
        <w:t xml:space="preserve">م العلامة كاشف الغطاء مجموع الخيارات إلى ثلاثة أقسام: </w:t>
      </w:r>
    </w:p>
    <w:p w:rsidR="00F34FB9" w:rsidRPr="00904FCB" w:rsidRDefault="00F34FB9" w:rsidP="00B92E3A">
      <w:pPr>
        <w:spacing w:line="420" w:lineRule="exact"/>
        <w:ind w:firstLine="561"/>
        <w:rPr>
          <w:rFonts w:ascii="Traditional Arabic" w:hAnsi="Traditional Arabic"/>
          <w:sz w:val="27"/>
          <w:rtl/>
        </w:rPr>
      </w:pPr>
      <w:r w:rsidRPr="00904FCB">
        <w:rPr>
          <w:rFonts w:ascii="Traditional Arabic" w:hAnsi="Traditional Arabic" w:hint="cs"/>
          <w:sz w:val="27"/>
          <w:rtl/>
        </w:rPr>
        <w:t>أـ الخيارات المجعولة لذاتها على التراخي، من قبيل: خيار الحيوان</w:t>
      </w:r>
      <w:r w:rsidR="00320CD2" w:rsidRPr="00904FCB">
        <w:rPr>
          <w:rFonts w:ascii="Traditional Arabic" w:hAnsi="Traditional Arabic" w:hint="cs"/>
          <w:sz w:val="27"/>
          <w:rtl/>
        </w:rPr>
        <w:t>،</w:t>
      </w:r>
      <w:r w:rsidRPr="00904FCB">
        <w:rPr>
          <w:rFonts w:ascii="Traditional Arabic" w:hAnsi="Traditional Arabic" w:hint="cs"/>
          <w:sz w:val="27"/>
          <w:rtl/>
        </w:rPr>
        <w:t xml:space="preserve"> وخيار المجلس</w:t>
      </w:r>
      <w:r w:rsidR="00320CD2" w:rsidRPr="00904FCB">
        <w:rPr>
          <w:rFonts w:ascii="Traditional Arabic" w:hAnsi="Traditional Arabic" w:hint="cs"/>
          <w:sz w:val="27"/>
          <w:rtl/>
        </w:rPr>
        <w:t>،</w:t>
      </w:r>
      <w:r w:rsidRPr="00904FCB">
        <w:rPr>
          <w:rFonts w:ascii="Traditional Arabic" w:hAnsi="Traditional Arabic" w:hint="cs"/>
          <w:sz w:val="27"/>
          <w:rtl/>
        </w:rPr>
        <w:t xml:space="preserve"> وخيار تأخير ردّ الثمن أو المثمن</w:t>
      </w:r>
      <w:r w:rsidR="00320CD2" w:rsidRPr="00904FCB">
        <w:rPr>
          <w:rFonts w:ascii="Traditional Arabic" w:hAnsi="Traditional Arabic" w:hint="cs"/>
          <w:sz w:val="27"/>
          <w:rtl/>
        </w:rPr>
        <w:t>،</w:t>
      </w:r>
      <w:r w:rsidRPr="00904FCB">
        <w:rPr>
          <w:rFonts w:ascii="Traditional Arabic" w:hAnsi="Traditional Arabic" w:hint="cs"/>
          <w:sz w:val="27"/>
          <w:rtl/>
        </w:rPr>
        <w:t xml:space="preserve"> وأمثال ذلك. </w:t>
      </w:r>
    </w:p>
    <w:p w:rsidR="00F34FB9" w:rsidRPr="00904FCB" w:rsidRDefault="00F34FB9" w:rsidP="00B92E3A">
      <w:pPr>
        <w:spacing w:line="410" w:lineRule="exact"/>
        <w:ind w:firstLine="561"/>
        <w:rPr>
          <w:rFonts w:ascii="Traditional Arabic" w:hAnsi="Traditional Arabic"/>
          <w:sz w:val="27"/>
          <w:rtl/>
        </w:rPr>
      </w:pPr>
      <w:r w:rsidRPr="00904FCB">
        <w:rPr>
          <w:rFonts w:ascii="Traditional Arabic" w:hAnsi="Traditional Arabic" w:hint="cs"/>
          <w:sz w:val="27"/>
          <w:rtl/>
        </w:rPr>
        <w:t>ب ـ الخيارات المجعولة على الف</w:t>
      </w:r>
      <w:r w:rsidR="00B92E3A">
        <w:rPr>
          <w:rFonts w:ascii="Traditional Arabic" w:hAnsi="Traditional Arabic" w:hint="cs"/>
          <w:sz w:val="27"/>
          <w:rtl/>
        </w:rPr>
        <w:t>َ</w:t>
      </w:r>
      <w:r w:rsidRPr="00904FCB">
        <w:rPr>
          <w:rFonts w:ascii="Traditional Arabic" w:hAnsi="Traditional Arabic" w:hint="cs"/>
          <w:sz w:val="27"/>
          <w:rtl/>
        </w:rPr>
        <w:t>و</w:t>
      </w:r>
      <w:r w:rsidR="00B92E3A">
        <w:rPr>
          <w:rFonts w:ascii="Traditional Arabic" w:hAnsi="Traditional Arabic" w:hint="cs"/>
          <w:sz w:val="27"/>
          <w:rtl/>
        </w:rPr>
        <w:t>ْ</w:t>
      </w:r>
      <w:r w:rsidRPr="00904FCB">
        <w:rPr>
          <w:rFonts w:ascii="Traditional Arabic" w:hAnsi="Traditional Arabic" w:hint="cs"/>
          <w:sz w:val="27"/>
          <w:rtl/>
        </w:rPr>
        <w:t>ر، من قبيل: خيار الرؤية</w:t>
      </w:r>
      <w:r w:rsidR="00320CD2" w:rsidRPr="00904FCB">
        <w:rPr>
          <w:rFonts w:ascii="Traditional Arabic" w:hAnsi="Traditional Arabic" w:hint="cs"/>
          <w:sz w:val="27"/>
          <w:rtl/>
        </w:rPr>
        <w:t>،</w:t>
      </w:r>
      <w:r w:rsidRPr="00904FCB">
        <w:rPr>
          <w:rFonts w:ascii="Traditional Arabic" w:hAnsi="Traditional Arabic" w:hint="cs"/>
          <w:sz w:val="27"/>
          <w:rtl/>
        </w:rPr>
        <w:t xml:space="preserve"> طبقاً </w:t>
      </w:r>
      <w:r w:rsidR="00320CD2" w:rsidRPr="00904FCB">
        <w:rPr>
          <w:rFonts w:ascii="Traditional Arabic" w:hAnsi="Traditional Arabic" w:hint="cs"/>
          <w:sz w:val="27"/>
          <w:rtl/>
        </w:rPr>
        <w:t>لم</w:t>
      </w:r>
      <w:r w:rsidRPr="00904FCB">
        <w:rPr>
          <w:rFonts w:ascii="Traditional Arabic" w:hAnsi="Traditional Arabic" w:hint="cs"/>
          <w:sz w:val="27"/>
          <w:rtl/>
        </w:rPr>
        <w:t xml:space="preserve">شهور الفقهاء. </w:t>
      </w:r>
    </w:p>
    <w:p w:rsidR="00F34FB9" w:rsidRPr="00904FCB" w:rsidRDefault="00F34FB9" w:rsidP="00B92E3A">
      <w:pPr>
        <w:spacing w:line="420" w:lineRule="exact"/>
        <w:ind w:firstLine="561"/>
        <w:rPr>
          <w:rFonts w:ascii="Traditional Arabic" w:hAnsi="Traditional Arabic"/>
          <w:sz w:val="27"/>
          <w:rtl/>
        </w:rPr>
      </w:pPr>
      <w:r w:rsidRPr="00904FCB">
        <w:rPr>
          <w:rFonts w:ascii="Traditional Arabic" w:hAnsi="Traditional Arabic" w:hint="cs"/>
          <w:sz w:val="27"/>
          <w:rtl/>
        </w:rPr>
        <w:t>ج ـ الخيارات التي تصلح أن تكون على الف</w:t>
      </w:r>
      <w:r w:rsidR="00B92E3A">
        <w:rPr>
          <w:rFonts w:ascii="Traditional Arabic" w:hAnsi="Traditional Arabic" w:hint="cs"/>
          <w:sz w:val="27"/>
          <w:rtl/>
        </w:rPr>
        <w:t>َ</w:t>
      </w:r>
      <w:r w:rsidRPr="00904FCB">
        <w:rPr>
          <w:rFonts w:ascii="Traditional Arabic" w:hAnsi="Traditional Arabic" w:hint="cs"/>
          <w:sz w:val="27"/>
          <w:rtl/>
        </w:rPr>
        <w:t>و</w:t>
      </w:r>
      <w:r w:rsidR="00B92E3A">
        <w:rPr>
          <w:rFonts w:ascii="Traditional Arabic" w:hAnsi="Traditional Arabic" w:hint="cs"/>
          <w:sz w:val="27"/>
          <w:rtl/>
        </w:rPr>
        <w:t>ْ</w:t>
      </w:r>
      <w:r w:rsidRPr="00904FCB">
        <w:rPr>
          <w:rFonts w:ascii="Traditional Arabic" w:hAnsi="Traditional Arabic" w:hint="cs"/>
          <w:sz w:val="27"/>
          <w:rtl/>
        </w:rPr>
        <w:t>ر</w:t>
      </w:r>
      <w:r w:rsidR="00320CD2" w:rsidRPr="00904FCB">
        <w:rPr>
          <w:rFonts w:ascii="Traditional Arabic" w:hAnsi="Traditional Arabic" w:hint="cs"/>
          <w:sz w:val="27"/>
          <w:rtl/>
        </w:rPr>
        <w:t>،</w:t>
      </w:r>
      <w:r w:rsidRPr="00904FCB">
        <w:rPr>
          <w:rFonts w:ascii="Traditional Arabic" w:hAnsi="Traditional Arabic" w:hint="cs"/>
          <w:sz w:val="27"/>
          <w:rtl/>
        </w:rPr>
        <w:t xml:space="preserve"> وعلى التراخي أيضاً، من قبيل: خيار الشرط. </w:t>
      </w:r>
    </w:p>
    <w:p w:rsidR="00F34FB9" w:rsidRPr="00904FCB" w:rsidRDefault="00F34FB9" w:rsidP="00B92E3A">
      <w:pPr>
        <w:spacing w:line="420" w:lineRule="exact"/>
        <w:ind w:firstLine="561"/>
        <w:rPr>
          <w:rFonts w:ascii="Traditional Arabic" w:hAnsi="Traditional Arabic"/>
          <w:sz w:val="27"/>
          <w:rtl/>
        </w:rPr>
      </w:pPr>
      <w:r w:rsidRPr="00904FCB">
        <w:rPr>
          <w:rFonts w:ascii="Traditional Arabic" w:hAnsi="Traditional Arabic" w:hint="cs"/>
          <w:sz w:val="27"/>
          <w:rtl/>
        </w:rPr>
        <w:t>وهناك من الخيارات ما اختلفت الآراء بشأنها بين الفقهاء</w:t>
      </w:r>
      <w:r w:rsidR="00320CD2" w:rsidRPr="00904FCB">
        <w:rPr>
          <w:rFonts w:ascii="Traditional Arabic" w:hAnsi="Traditional Arabic" w:hint="cs"/>
          <w:sz w:val="27"/>
          <w:rtl/>
        </w:rPr>
        <w:t>؛</w:t>
      </w:r>
      <w:r w:rsidRPr="00904FCB">
        <w:rPr>
          <w:rFonts w:ascii="Traditional Arabic" w:hAnsi="Traditional Arabic" w:hint="cs"/>
          <w:sz w:val="27"/>
          <w:rtl/>
        </w:rPr>
        <w:t xml:space="preserve"> فمنهم م</w:t>
      </w:r>
      <w:r w:rsidR="00320CD2" w:rsidRPr="00904FCB">
        <w:rPr>
          <w:rFonts w:ascii="Traditional Arabic" w:hAnsi="Traditional Arabic" w:hint="cs"/>
          <w:sz w:val="27"/>
          <w:rtl/>
        </w:rPr>
        <w:t>َ</w:t>
      </w:r>
      <w:r w:rsidRPr="00904FCB">
        <w:rPr>
          <w:rFonts w:ascii="Traditional Arabic" w:hAnsi="Traditional Arabic" w:hint="cs"/>
          <w:sz w:val="27"/>
          <w:rtl/>
        </w:rPr>
        <w:t>ن</w:t>
      </w:r>
      <w:r w:rsidR="00320CD2" w:rsidRPr="00904FCB">
        <w:rPr>
          <w:rFonts w:ascii="Traditional Arabic" w:hAnsi="Traditional Arabic" w:hint="cs"/>
          <w:sz w:val="27"/>
          <w:rtl/>
        </w:rPr>
        <w:t>ْ</w:t>
      </w:r>
      <w:r w:rsidRPr="00904FCB">
        <w:rPr>
          <w:rFonts w:ascii="Traditional Arabic" w:hAnsi="Traditional Arabic" w:hint="cs"/>
          <w:sz w:val="27"/>
          <w:rtl/>
        </w:rPr>
        <w:t xml:space="preserve"> قال</w:t>
      </w:r>
      <w:r w:rsidR="00320CD2" w:rsidRPr="00904FCB">
        <w:rPr>
          <w:rFonts w:ascii="Traditional Arabic" w:hAnsi="Traditional Arabic" w:hint="cs"/>
          <w:sz w:val="27"/>
          <w:rtl/>
        </w:rPr>
        <w:t>:</w:t>
      </w:r>
      <w:r w:rsidRPr="00904FCB">
        <w:rPr>
          <w:rFonts w:ascii="Traditional Arabic" w:hAnsi="Traditional Arabic" w:hint="cs"/>
          <w:sz w:val="27"/>
          <w:rtl/>
        </w:rPr>
        <w:t xml:space="preserve"> إنها على الف</w:t>
      </w:r>
      <w:r w:rsidR="00B92E3A">
        <w:rPr>
          <w:rFonts w:ascii="Traditional Arabic" w:hAnsi="Traditional Arabic" w:hint="cs"/>
          <w:sz w:val="27"/>
          <w:rtl/>
        </w:rPr>
        <w:t>َ</w:t>
      </w:r>
      <w:r w:rsidRPr="00904FCB">
        <w:rPr>
          <w:rFonts w:ascii="Traditional Arabic" w:hAnsi="Traditional Arabic" w:hint="cs"/>
          <w:sz w:val="27"/>
          <w:rtl/>
        </w:rPr>
        <w:t>و</w:t>
      </w:r>
      <w:r w:rsidR="00B92E3A">
        <w:rPr>
          <w:rFonts w:ascii="Traditional Arabic" w:hAnsi="Traditional Arabic" w:hint="cs"/>
          <w:sz w:val="27"/>
          <w:rtl/>
        </w:rPr>
        <w:t>ْ</w:t>
      </w:r>
      <w:r w:rsidRPr="00904FCB">
        <w:rPr>
          <w:rFonts w:ascii="Traditional Arabic" w:hAnsi="Traditional Arabic" w:hint="cs"/>
          <w:sz w:val="27"/>
          <w:rtl/>
        </w:rPr>
        <w:t>ر</w:t>
      </w:r>
      <w:r w:rsidR="00320CD2" w:rsidRPr="00904FCB">
        <w:rPr>
          <w:rFonts w:ascii="Traditional Arabic" w:hAnsi="Traditional Arabic" w:hint="cs"/>
          <w:sz w:val="27"/>
          <w:rtl/>
        </w:rPr>
        <w:t>؛</w:t>
      </w:r>
      <w:r w:rsidRPr="00904FCB">
        <w:rPr>
          <w:rFonts w:ascii="Traditional Arabic" w:hAnsi="Traditional Arabic" w:hint="cs"/>
          <w:sz w:val="27"/>
          <w:rtl/>
        </w:rPr>
        <w:t xml:space="preserve"> ومنهم م</w:t>
      </w:r>
      <w:r w:rsidR="00320CD2" w:rsidRPr="00904FCB">
        <w:rPr>
          <w:rFonts w:ascii="Traditional Arabic" w:hAnsi="Traditional Arabic" w:hint="cs"/>
          <w:sz w:val="27"/>
          <w:rtl/>
        </w:rPr>
        <w:t>َ</w:t>
      </w:r>
      <w:r w:rsidRPr="00904FCB">
        <w:rPr>
          <w:rFonts w:ascii="Traditional Arabic" w:hAnsi="Traditional Arabic" w:hint="cs"/>
          <w:sz w:val="27"/>
          <w:rtl/>
        </w:rPr>
        <w:t>ن</w:t>
      </w:r>
      <w:r w:rsidR="00320CD2" w:rsidRPr="00904FCB">
        <w:rPr>
          <w:rFonts w:ascii="Traditional Arabic" w:hAnsi="Traditional Arabic" w:hint="cs"/>
          <w:sz w:val="27"/>
          <w:rtl/>
        </w:rPr>
        <w:t>ْ</w:t>
      </w:r>
      <w:r w:rsidRPr="00904FCB">
        <w:rPr>
          <w:rFonts w:ascii="Traditional Arabic" w:hAnsi="Traditional Arabic" w:hint="cs"/>
          <w:sz w:val="27"/>
          <w:rtl/>
        </w:rPr>
        <w:t xml:space="preserve"> قال</w:t>
      </w:r>
      <w:r w:rsidR="00320CD2" w:rsidRPr="00904FCB">
        <w:rPr>
          <w:rFonts w:ascii="Traditional Arabic" w:hAnsi="Traditional Arabic" w:hint="cs"/>
          <w:sz w:val="27"/>
          <w:rtl/>
        </w:rPr>
        <w:t>:</w:t>
      </w:r>
      <w:r w:rsidRPr="00904FCB">
        <w:rPr>
          <w:rFonts w:ascii="Traditional Arabic" w:hAnsi="Traditional Arabic" w:hint="cs"/>
          <w:sz w:val="27"/>
          <w:rtl/>
        </w:rPr>
        <w:t xml:space="preserve"> إنها على التراخي، من قبيل: خيار العيب</w:t>
      </w:r>
      <w:r w:rsidR="00320CD2" w:rsidRPr="00904FCB">
        <w:rPr>
          <w:rFonts w:ascii="Traditional Arabic" w:hAnsi="Traditional Arabic" w:hint="cs"/>
          <w:sz w:val="27"/>
          <w:rtl/>
        </w:rPr>
        <w:t>،</w:t>
      </w:r>
      <w:r w:rsidRPr="00904FCB">
        <w:rPr>
          <w:rFonts w:ascii="Traditional Arabic" w:hAnsi="Traditional Arabic" w:hint="cs"/>
          <w:sz w:val="27"/>
          <w:rtl/>
        </w:rPr>
        <w:t xml:space="preserve"> وخيار الغبن</w:t>
      </w:r>
      <w:r w:rsidR="00320CD2" w:rsidRPr="00904FCB">
        <w:rPr>
          <w:rFonts w:ascii="Traditional Arabic" w:hAnsi="Traditional Arabic" w:hint="cs"/>
          <w:sz w:val="27"/>
          <w:rtl/>
        </w:rPr>
        <w:t>.</w:t>
      </w:r>
      <w:r w:rsidRPr="00904FCB">
        <w:rPr>
          <w:rFonts w:ascii="Traditional Arabic" w:hAnsi="Traditional Arabic" w:hint="cs"/>
          <w:sz w:val="27"/>
          <w:rtl/>
        </w:rPr>
        <w:t xml:space="preserve"> والمشهور هو القول الأو</w:t>
      </w:r>
      <w:r w:rsidR="00320CD2" w:rsidRPr="00904FCB">
        <w:rPr>
          <w:rFonts w:ascii="Traditional Arabic" w:hAnsi="Traditional Arabic" w:hint="cs"/>
          <w:sz w:val="27"/>
          <w:rtl/>
        </w:rPr>
        <w:t>ّ</w:t>
      </w:r>
      <w:r w:rsidRPr="00904FCB">
        <w:rPr>
          <w:rFonts w:ascii="Traditional Arabic" w:hAnsi="Traditional Arabic" w:hint="cs"/>
          <w:sz w:val="27"/>
          <w:rtl/>
        </w:rPr>
        <w:t>ل. ولا ب</w:t>
      </w:r>
      <w:r w:rsidR="00320CD2" w:rsidRPr="00904FCB">
        <w:rPr>
          <w:rFonts w:ascii="Traditional Arabic" w:hAnsi="Traditional Arabic" w:hint="cs"/>
          <w:sz w:val="27"/>
          <w:rtl/>
        </w:rPr>
        <w:t>ُ</w:t>
      </w:r>
      <w:r w:rsidRPr="00904FCB">
        <w:rPr>
          <w:rFonts w:ascii="Traditional Arabic" w:hAnsi="Traditional Arabic" w:hint="cs"/>
          <w:sz w:val="27"/>
          <w:rtl/>
        </w:rPr>
        <w:t>د</w:t>
      </w:r>
      <w:r w:rsidR="00320CD2" w:rsidRPr="00904FCB">
        <w:rPr>
          <w:rFonts w:ascii="Traditional Arabic" w:hAnsi="Traditional Arabic" w:hint="cs"/>
          <w:sz w:val="27"/>
          <w:rtl/>
        </w:rPr>
        <w:t>َّ</w:t>
      </w:r>
      <w:r w:rsidRPr="00904FCB">
        <w:rPr>
          <w:rFonts w:ascii="Traditional Arabic" w:hAnsi="Traditional Arabic" w:hint="cs"/>
          <w:sz w:val="27"/>
          <w:rtl/>
        </w:rPr>
        <w:t xml:space="preserve"> من تحقيق هذا البحث في موضع</w:t>
      </w:r>
      <w:r w:rsidR="00320CD2" w:rsidRPr="00904FCB">
        <w:rPr>
          <w:rFonts w:ascii="Traditional Arabic" w:hAnsi="Traditional Arabic" w:hint="cs"/>
          <w:sz w:val="27"/>
          <w:rtl/>
        </w:rPr>
        <w:t>ٍ</w:t>
      </w:r>
      <w:r w:rsidRPr="00904FCB">
        <w:rPr>
          <w:rFonts w:ascii="Traditional Arabic" w:hAnsi="Traditional Arabic" w:hint="cs"/>
          <w:sz w:val="27"/>
          <w:rtl/>
        </w:rPr>
        <w:t xml:space="preserve"> آخر. </w:t>
      </w:r>
    </w:p>
    <w:p w:rsidR="00F34FB9" w:rsidRPr="00904FCB" w:rsidRDefault="00F34FB9" w:rsidP="007A21AA">
      <w:pPr>
        <w:pStyle w:val="31"/>
        <w:spacing w:line="400" w:lineRule="exact"/>
        <w:rPr>
          <w:color w:val="auto"/>
          <w:rtl/>
        </w:rPr>
      </w:pPr>
      <w:r w:rsidRPr="00904FCB">
        <w:rPr>
          <w:rFonts w:hint="cs"/>
          <w:color w:val="auto"/>
          <w:rtl/>
        </w:rPr>
        <w:lastRenderedPageBreak/>
        <w:t>الإبداع في أبحاث الأصول</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إن ابتكاراته وإبداعاته الجديدة لا تقتصر على علم الفقه فقط، وإنما تشمل العلوم الأخرى</w:t>
      </w:r>
      <w:r w:rsidR="003B10F7" w:rsidRPr="00904FCB">
        <w:rPr>
          <w:rFonts w:ascii="Traditional Arabic" w:hAnsi="Traditional Arabic" w:hint="cs"/>
          <w:sz w:val="27"/>
          <w:rtl/>
        </w:rPr>
        <w:t>،</w:t>
      </w:r>
      <w:r w:rsidRPr="00904FCB">
        <w:rPr>
          <w:rFonts w:ascii="Traditional Arabic" w:hAnsi="Traditional Arabic" w:hint="cs"/>
          <w:sz w:val="27"/>
          <w:rtl/>
        </w:rPr>
        <w:t xml:space="preserve"> </w:t>
      </w:r>
      <w:r w:rsidR="003B10F7" w:rsidRPr="00904FCB">
        <w:rPr>
          <w:rFonts w:ascii="Traditional Arabic" w:hAnsi="Traditional Arabic" w:hint="cs"/>
          <w:sz w:val="27"/>
          <w:rtl/>
        </w:rPr>
        <w:t>ومن</w:t>
      </w:r>
      <w:r w:rsidRPr="00904FCB">
        <w:rPr>
          <w:rFonts w:ascii="Traditional Arabic" w:hAnsi="Traditional Arabic" w:hint="cs"/>
          <w:sz w:val="27"/>
          <w:rtl/>
        </w:rPr>
        <w:t>ها</w:t>
      </w:r>
      <w:r w:rsidR="003B10F7" w:rsidRPr="00904FCB">
        <w:rPr>
          <w:rFonts w:ascii="Traditional Arabic" w:hAnsi="Traditional Arabic" w:hint="cs"/>
          <w:sz w:val="27"/>
          <w:rtl/>
        </w:rPr>
        <w:t>:</w:t>
      </w:r>
      <w:r w:rsidRPr="00904FCB">
        <w:rPr>
          <w:rFonts w:ascii="Traditional Arabic" w:hAnsi="Traditional Arabic" w:hint="cs"/>
          <w:sz w:val="27"/>
          <w:rtl/>
        </w:rPr>
        <w:t xml:space="preserve"> علم الأصول أيضاً. وإن</w:t>
      </w:r>
      <w:r w:rsidR="003B10F7" w:rsidRPr="00904FCB">
        <w:rPr>
          <w:rFonts w:ascii="Traditional Arabic" w:hAnsi="Traditional Arabic" w:hint="cs"/>
          <w:sz w:val="27"/>
          <w:rtl/>
        </w:rPr>
        <w:t>ّ</w:t>
      </w:r>
      <w:r w:rsidRPr="00904FCB">
        <w:rPr>
          <w:rFonts w:ascii="Traditional Arabic" w:hAnsi="Traditional Arabic" w:hint="cs"/>
          <w:sz w:val="27"/>
          <w:rtl/>
        </w:rPr>
        <w:t xml:space="preserve"> من المسائل المحورية لعلم الأصول </w:t>
      </w:r>
      <w:r w:rsidR="003B10F7" w:rsidRPr="00904FCB">
        <w:rPr>
          <w:rFonts w:ascii="Traditional Arabic" w:hAnsi="Traditional Arabic" w:hint="cs"/>
          <w:sz w:val="27"/>
          <w:rtl/>
        </w:rPr>
        <w:t>ما يلي</w:t>
      </w:r>
      <w:r w:rsidRPr="00904FCB">
        <w:rPr>
          <w:rFonts w:ascii="Traditional Arabic" w:hAnsi="Traditional Arabic" w:hint="cs"/>
          <w:sz w:val="27"/>
          <w:rtl/>
        </w:rPr>
        <w:t xml:space="preserve">: هل النهي في العبادات والمعاملات يوجب الفساد أم لا؟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عمد الأصوليون في مقام بيان الشقّ الثاني، أي النهي في المعاملات</w:t>
      </w:r>
      <w:r w:rsidR="003B10F7" w:rsidRPr="00904FCB">
        <w:rPr>
          <w:rFonts w:ascii="Traditional Arabic" w:hAnsi="Traditional Arabic" w:hint="cs"/>
          <w:sz w:val="27"/>
          <w:rtl/>
        </w:rPr>
        <w:t>،</w:t>
      </w:r>
      <w:r w:rsidRPr="00904FCB">
        <w:rPr>
          <w:rFonts w:ascii="Traditional Arabic" w:hAnsi="Traditional Arabic" w:hint="cs"/>
          <w:sz w:val="27"/>
          <w:rtl/>
        </w:rPr>
        <w:t xml:space="preserve"> إلى بيانه بشكل</w:t>
      </w:r>
      <w:r w:rsidR="003B10F7" w:rsidRPr="00904FCB">
        <w:rPr>
          <w:rFonts w:ascii="Traditional Arabic" w:hAnsi="Traditional Arabic" w:hint="cs"/>
          <w:sz w:val="27"/>
          <w:rtl/>
        </w:rPr>
        <w:t>ٍ</w:t>
      </w:r>
      <w:r w:rsidRPr="00904FCB">
        <w:rPr>
          <w:rFonts w:ascii="Traditional Arabic" w:hAnsi="Traditional Arabic" w:hint="cs"/>
          <w:sz w:val="27"/>
          <w:rtl/>
        </w:rPr>
        <w:t xml:space="preserve"> عام</w:t>
      </w:r>
      <w:r w:rsidR="003B10F7" w:rsidRPr="00904FCB">
        <w:rPr>
          <w:rFonts w:ascii="Traditional Arabic" w:hAnsi="Traditional Arabic" w:hint="cs"/>
          <w:sz w:val="27"/>
          <w:rtl/>
        </w:rPr>
        <w:t>ّ،</w:t>
      </w:r>
      <w:r w:rsidRPr="00904FCB">
        <w:rPr>
          <w:rFonts w:ascii="Traditional Arabic" w:hAnsi="Traditional Arabic" w:hint="cs"/>
          <w:sz w:val="27"/>
          <w:rtl/>
        </w:rPr>
        <w:t xml:space="preserve"> دون تشقيق ولا تفصيل. في حين أن العلامة آل كاشف الغطاء ـ خلافاً للمتقدّ</w:t>
      </w:r>
      <w:r w:rsidR="003B10F7" w:rsidRPr="00904FCB">
        <w:rPr>
          <w:rFonts w:ascii="Traditional Arabic" w:hAnsi="Traditional Arabic" w:hint="cs"/>
          <w:sz w:val="27"/>
          <w:rtl/>
        </w:rPr>
        <w:t>ِ</w:t>
      </w:r>
      <w:r w:rsidRPr="00904FCB">
        <w:rPr>
          <w:rFonts w:ascii="Traditional Arabic" w:hAnsi="Traditional Arabic" w:hint="cs"/>
          <w:sz w:val="27"/>
          <w:rtl/>
        </w:rPr>
        <w:t>مين ـ قد عمد إلى بيان مختلف صور المسألة، وقدّ</w:t>
      </w:r>
      <w:r w:rsidR="003B10F7" w:rsidRPr="00904FCB">
        <w:rPr>
          <w:rFonts w:ascii="Traditional Arabic" w:hAnsi="Traditional Arabic" w:hint="cs"/>
          <w:sz w:val="27"/>
          <w:rtl/>
        </w:rPr>
        <w:t>َ</w:t>
      </w:r>
      <w:r w:rsidRPr="00904FCB">
        <w:rPr>
          <w:rFonts w:ascii="Traditional Arabic" w:hAnsi="Traditional Arabic" w:hint="cs"/>
          <w:sz w:val="27"/>
          <w:rtl/>
        </w:rPr>
        <w:t>م تقريراً م</w:t>
      </w:r>
      <w:r w:rsidR="003B10F7" w:rsidRPr="00904FCB">
        <w:rPr>
          <w:rFonts w:ascii="Traditional Arabic" w:hAnsi="Traditional Arabic" w:hint="cs"/>
          <w:sz w:val="27"/>
          <w:rtl/>
        </w:rPr>
        <w:t>بْ</w:t>
      </w:r>
      <w:r w:rsidRPr="00904FCB">
        <w:rPr>
          <w:rFonts w:ascii="Traditional Arabic" w:hAnsi="Traditional Arabic" w:hint="cs"/>
          <w:sz w:val="27"/>
          <w:rtl/>
        </w:rPr>
        <w:t>ت</w:t>
      </w:r>
      <w:r w:rsidR="003B10F7" w:rsidRPr="00904FCB">
        <w:rPr>
          <w:rFonts w:ascii="Traditional Arabic" w:hAnsi="Traditional Arabic" w:hint="cs"/>
          <w:sz w:val="27"/>
          <w:rtl/>
        </w:rPr>
        <w:t>َ</w:t>
      </w:r>
      <w:r w:rsidRPr="00904FCB">
        <w:rPr>
          <w:rFonts w:ascii="Traditional Arabic" w:hAnsi="Traditional Arabic" w:hint="cs"/>
          <w:sz w:val="27"/>
          <w:rtl/>
        </w:rPr>
        <w:t>ك</w:t>
      </w:r>
      <w:r w:rsidR="003B10F7" w:rsidRPr="00904FCB">
        <w:rPr>
          <w:rFonts w:ascii="Traditional Arabic" w:hAnsi="Traditional Arabic" w:hint="cs"/>
          <w:sz w:val="27"/>
          <w:rtl/>
        </w:rPr>
        <w:t>َ</w:t>
      </w:r>
      <w:r w:rsidRPr="00904FCB">
        <w:rPr>
          <w:rFonts w:ascii="Traditional Arabic" w:hAnsi="Traditional Arabic" w:hint="cs"/>
          <w:sz w:val="27"/>
          <w:rtl/>
        </w:rPr>
        <w:t xml:space="preserve">راً في هذا المجال. </w:t>
      </w:r>
    </w:p>
    <w:p w:rsidR="00F34FB9" w:rsidRPr="00904FCB" w:rsidRDefault="003B10F7" w:rsidP="007A21AA">
      <w:pPr>
        <w:spacing w:line="400" w:lineRule="exact"/>
        <w:rPr>
          <w:rFonts w:ascii="Traditional Arabic" w:hAnsi="Traditional Arabic"/>
          <w:sz w:val="27"/>
          <w:rtl/>
        </w:rPr>
      </w:pPr>
      <w:r w:rsidRPr="00904FCB">
        <w:rPr>
          <w:rFonts w:ascii="Traditional Arabic" w:hAnsi="Traditional Arabic" w:hint="cs"/>
          <w:sz w:val="27"/>
          <w:rtl/>
        </w:rPr>
        <w:t>و</w:t>
      </w:r>
      <w:r w:rsidR="00F34FB9" w:rsidRPr="00904FCB">
        <w:rPr>
          <w:rFonts w:ascii="Traditional Arabic" w:hAnsi="Traditional Arabic" w:hint="cs"/>
          <w:sz w:val="27"/>
          <w:rtl/>
        </w:rPr>
        <w:t>بعد أن قال</w:t>
      </w:r>
      <w:r w:rsidRPr="00904FCB">
        <w:rPr>
          <w:rFonts w:ascii="Traditional Arabic" w:hAnsi="Traditional Arabic" w:hint="cs"/>
          <w:sz w:val="27"/>
          <w:rtl/>
        </w:rPr>
        <w:t>:</w:t>
      </w:r>
      <w:r w:rsidR="00F34FB9" w:rsidRPr="00904FCB">
        <w:rPr>
          <w:rFonts w:ascii="Traditional Arabic" w:hAnsi="Traditional Arabic" w:hint="cs"/>
          <w:sz w:val="27"/>
          <w:rtl/>
        </w:rPr>
        <w:t xml:space="preserve"> إن النهي في العبادة يوجب الفساد؛ لأن روح العبادة تعني قصد القربة، والنهي ينافي قصد القربة، قال: غير أن للنهي في المعاملات صوراً، وهي: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الأولى</w:t>
      </w:r>
      <w:r w:rsidRPr="00904FCB">
        <w:rPr>
          <w:rFonts w:ascii="Traditional Arabic" w:hAnsi="Traditional Arabic" w:hint="cs"/>
          <w:sz w:val="27"/>
          <w:rtl/>
        </w:rPr>
        <w:t>: النهي عن ذات المعاملة، من قبيل</w:t>
      </w:r>
      <w:r w:rsidR="002E04B1" w:rsidRPr="00904FCB">
        <w:rPr>
          <w:rFonts w:ascii="Traditional Arabic" w:hAnsi="Traditional Arabic" w:hint="cs"/>
          <w:sz w:val="27"/>
          <w:rtl/>
        </w:rPr>
        <w:t>:</w:t>
      </w:r>
      <w:r w:rsidRPr="00904FCB">
        <w:rPr>
          <w:rFonts w:ascii="Traditional Arabic" w:hAnsi="Traditional Arabic" w:hint="cs"/>
          <w:sz w:val="27"/>
          <w:rtl/>
        </w:rPr>
        <w:t xml:space="preserve"> قول رسول الله</w:t>
      </w:r>
      <w:r w:rsidR="00635E51" w:rsidRPr="00904FCB">
        <w:rPr>
          <w:rFonts w:ascii="Traditional Arabic" w:hAnsi="Traditional Arabic" w:cs="Mosawi" w:hint="cs"/>
          <w:sz w:val="27"/>
          <w:szCs w:val="22"/>
          <w:rtl/>
        </w:rPr>
        <w:t>|</w:t>
      </w:r>
      <w:r w:rsidRPr="00904FCB">
        <w:rPr>
          <w:rFonts w:ascii="Traditional Arabic" w:hAnsi="Traditional Arabic" w:hint="cs"/>
          <w:sz w:val="27"/>
          <w:rtl/>
        </w:rPr>
        <w:t xml:space="preserve">: </w:t>
      </w:r>
      <w:r w:rsidRPr="00904FCB">
        <w:rPr>
          <w:rFonts w:hint="eastAsia"/>
          <w:sz w:val="27"/>
          <w:rtl/>
        </w:rPr>
        <w:t>«</w:t>
      </w:r>
      <w:r w:rsidRPr="00904FCB">
        <w:rPr>
          <w:rFonts w:ascii="Traditional Arabic" w:hAnsi="Traditional Arabic" w:hint="cs"/>
          <w:sz w:val="27"/>
          <w:rtl/>
        </w:rPr>
        <w:t>لا ت</w:t>
      </w:r>
      <w:r w:rsidR="002E04B1" w:rsidRPr="00904FCB">
        <w:rPr>
          <w:rFonts w:ascii="Traditional Arabic" w:hAnsi="Traditional Arabic" w:hint="cs"/>
          <w:sz w:val="27"/>
          <w:rtl/>
        </w:rPr>
        <w:t>َ</w:t>
      </w:r>
      <w:r w:rsidRPr="00904FCB">
        <w:rPr>
          <w:rFonts w:ascii="Traditional Arabic" w:hAnsi="Traditional Arabic" w:hint="cs"/>
          <w:sz w:val="27"/>
          <w:rtl/>
        </w:rPr>
        <w:t>ب</w:t>
      </w:r>
      <w:r w:rsidR="002E04B1" w:rsidRPr="00904FCB">
        <w:rPr>
          <w:rFonts w:ascii="Traditional Arabic" w:hAnsi="Traditional Arabic" w:hint="cs"/>
          <w:sz w:val="27"/>
          <w:rtl/>
        </w:rPr>
        <w:t>ِ</w:t>
      </w:r>
      <w:r w:rsidRPr="00904FCB">
        <w:rPr>
          <w:rFonts w:ascii="Traditional Arabic" w:hAnsi="Traditional Arabic" w:hint="cs"/>
          <w:sz w:val="27"/>
          <w:rtl/>
        </w:rPr>
        <w:t>ع</w:t>
      </w:r>
      <w:r w:rsidR="002E04B1" w:rsidRPr="00904FCB">
        <w:rPr>
          <w:rFonts w:ascii="Traditional Arabic" w:hAnsi="Traditional Arabic" w:hint="cs"/>
          <w:sz w:val="27"/>
          <w:rtl/>
        </w:rPr>
        <w:t>ْ</w:t>
      </w:r>
      <w:r w:rsidRPr="00904FCB">
        <w:rPr>
          <w:rFonts w:ascii="Traditional Arabic" w:hAnsi="Traditional Arabic" w:hint="cs"/>
          <w:sz w:val="27"/>
          <w:rtl/>
        </w:rPr>
        <w:t xml:space="preserve"> ما ليس عندك</w:t>
      </w:r>
      <w:r w:rsidRPr="00904FCB">
        <w:rPr>
          <w:rFonts w:hint="eastAsia"/>
          <w:sz w:val="27"/>
          <w:rtl/>
        </w:rPr>
        <w:t>»</w:t>
      </w:r>
      <w:r w:rsidRPr="00904FCB">
        <w:rPr>
          <w:sz w:val="27"/>
          <w:vertAlign w:val="superscript"/>
          <w:rtl/>
        </w:rPr>
        <w:t>(</w:t>
      </w:r>
      <w:r w:rsidRPr="00904FCB">
        <w:rPr>
          <w:rStyle w:val="ac"/>
          <w:rFonts w:ascii="Traditional Arabic" w:hAnsi="Traditional Arabic"/>
          <w:sz w:val="27"/>
          <w:rtl/>
        </w:rPr>
        <w:endnoteReference w:id="607"/>
      </w:r>
      <w:r w:rsidRPr="00904FCB">
        <w:rPr>
          <w:sz w:val="27"/>
          <w:vertAlign w:val="superscript"/>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الثانية</w:t>
      </w:r>
      <w:r w:rsidRPr="00904FCB">
        <w:rPr>
          <w:rFonts w:ascii="Traditional Arabic" w:hAnsi="Traditional Arabic" w:hint="cs"/>
          <w:sz w:val="27"/>
          <w:rtl/>
        </w:rPr>
        <w:t>: أن يتعل</w:t>
      </w:r>
      <w:r w:rsidR="002E04B1" w:rsidRPr="00904FCB">
        <w:rPr>
          <w:rFonts w:ascii="Traditional Arabic" w:hAnsi="Traditional Arabic" w:hint="cs"/>
          <w:sz w:val="27"/>
          <w:rtl/>
        </w:rPr>
        <w:t>َّ</w:t>
      </w:r>
      <w:r w:rsidRPr="00904FCB">
        <w:rPr>
          <w:rFonts w:ascii="Traditional Arabic" w:hAnsi="Traditional Arabic" w:hint="cs"/>
          <w:sz w:val="27"/>
          <w:rtl/>
        </w:rPr>
        <w:t>ق النهي بأركان البيع، من قبيل</w:t>
      </w:r>
      <w:r w:rsidR="002E04B1" w:rsidRPr="00904FCB">
        <w:rPr>
          <w:rFonts w:ascii="Traditional Arabic" w:hAnsi="Traditional Arabic" w:hint="cs"/>
          <w:sz w:val="27"/>
          <w:rtl/>
        </w:rPr>
        <w:t>:</w:t>
      </w:r>
      <w:r w:rsidRPr="00904FCB">
        <w:rPr>
          <w:rFonts w:ascii="Traditional Arabic" w:hAnsi="Traditional Arabic" w:hint="cs"/>
          <w:sz w:val="27"/>
          <w:rtl/>
        </w:rPr>
        <w:t xml:space="preserve"> قول الإمام</w:t>
      </w:r>
      <w:r w:rsidR="001C1A2A" w:rsidRPr="00904FCB">
        <w:rPr>
          <w:rFonts w:ascii="Traditional Arabic" w:hAnsi="Traditional Arabic" w:cs="Mosawi" w:hint="cs"/>
          <w:sz w:val="27"/>
          <w:szCs w:val="22"/>
          <w:rtl/>
        </w:rPr>
        <w:t>×</w:t>
      </w:r>
      <w:r w:rsidRPr="00904FCB">
        <w:rPr>
          <w:rFonts w:ascii="Traditional Arabic" w:hAnsi="Traditional Arabic" w:hint="cs"/>
          <w:sz w:val="27"/>
          <w:rtl/>
        </w:rPr>
        <w:t xml:space="preserve">: </w:t>
      </w:r>
      <w:r w:rsidRPr="00904FCB">
        <w:rPr>
          <w:rFonts w:hint="eastAsia"/>
          <w:sz w:val="27"/>
          <w:rtl/>
        </w:rPr>
        <w:t>«</w:t>
      </w:r>
      <w:r w:rsidRPr="00904FCB">
        <w:rPr>
          <w:rFonts w:ascii="Traditional Arabic" w:hAnsi="Traditional Arabic" w:hint="cs"/>
          <w:sz w:val="27"/>
          <w:rtl/>
        </w:rPr>
        <w:t>ثمن الكلب س</w:t>
      </w:r>
      <w:r w:rsidR="002E04B1" w:rsidRPr="00904FCB">
        <w:rPr>
          <w:rFonts w:ascii="Traditional Arabic" w:hAnsi="Traditional Arabic" w:hint="cs"/>
          <w:sz w:val="27"/>
          <w:rtl/>
        </w:rPr>
        <w:t>ُ</w:t>
      </w:r>
      <w:r w:rsidRPr="00904FCB">
        <w:rPr>
          <w:rFonts w:ascii="Traditional Arabic" w:hAnsi="Traditional Arabic" w:hint="cs"/>
          <w:sz w:val="27"/>
          <w:rtl/>
        </w:rPr>
        <w:t>ح</w:t>
      </w:r>
      <w:r w:rsidR="002E04B1" w:rsidRPr="00904FCB">
        <w:rPr>
          <w:rFonts w:ascii="Traditional Arabic" w:hAnsi="Traditional Arabic" w:hint="cs"/>
          <w:sz w:val="27"/>
          <w:rtl/>
        </w:rPr>
        <w:t>ْ</w:t>
      </w:r>
      <w:r w:rsidRPr="00904FCB">
        <w:rPr>
          <w:rFonts w:ascii="Traditional Arabic" w:hAnsi="Traditional Arabic" w:hint="cs"/>
          <w:sz w:val="27"/>
          <w:rtl/>
        </w:rPr>
        <w:t>ت</w:t>
      </w:r>
      <w:r w:rsidR="002E04B1" w:rsidRPr="00904FCB">
        <w:rPr>
          <w:rFonts w:hint="cs"/>
          <w:sz w:val="27"/>
          <w:rtl/>
        </w:rPr>
        <w:t>ٌ</w:t>
      </w:r>
      <w:r w:rsidRPr="00904FCB">
        <w:rPr>
          <w:rFonts w:hint="eastAsia"/>
          <w:sz w:val="27"/>
          <w:rtl/>
        </w:rPr>
        <w:t>»</w:t>
      </w:r>
      <w:r w:rsidRPr="00904FCB">
        <w:rPr>
          <w:sz w:val="27"/>
          <w:vertAlign w:val="superscript"/>
          <w:rtl/>
        </w:rPr>
        <w:t>(</w:t>
      </w:r>
      <w:r w:rsidRPr="00904FCB">
        <w:rPr>
          <w:rStyle w:val="ac"/>
          <w:rFonts w:ascii="Traditional Arabic" w:hAnsi="Traditional Arabic"/>
          <w:sz w:val="27"/>
          <w:rtl/>
        </w:rPr>
        <w:endnoteReference w:id="608"/>
      </w:r>
      <w:r w:rsidRPr="00904FCB">
        <w:rPr>
          <w:sz w:val="27"/>
          <w:vertAlign w:val="superscript"/>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الثالثة</w:t>
      </w:r>
      <w:r w:rsidRPr="00904FCB">
        <w:rPr>
          <w:rFonts w:ascii="Traditional Arabic" w:hAnsi="Traditional Arabic" w:hint="cs"/>
          <w:sz w:val="27"/>
          <w:rtl/>
        </w:rPr>
        <w:t>: أن يكون متعل</w:t>
      </w:r>
      <w:r w:rsidR="002E04B1" w:rsidRPr="00904FCB">
        <w:rPr>
          <w:rFonts w:ascii="Traditional Arabic" w:hAnsi="Traditional Arabic" w:hint="cs"/>
          <w:sz w:val="27"/>
          <w:rtl/>
        </w:rPr>
        <w:t>َّ</w:t>
      </w:r>
      <w:r w:rsidRPr="00904FCB">
        <w:rPr>
          <w:rFonts w:ascii="Traditional Arabic" w:hAnsi="Traditional Arabic" w:hint="cs"/>
          <w:sz w:val="27"/>
          <w:rtl/>
        </w:rPr>
        <w:t>ق النهي هو الأجزاء غير الركني</w:t>
      </w:r>
      <w:r w:rsidR="002E04B1" w:rsidRPr="00904FCB">
        <w:rPr>
          <w:rFonts w:ascii="Traditional Arabic" w:hAnsi="Traditional Arabic" w:hint="cs"/>
          <w:sz w:val="27"/>
          <w:rtl/>
        </w:rPr>
        <w:t>ّ</w:t>
      </w:r>
      <w:r w:rsidRPr="00904FCB">
        <w:rPr>
          <w:rFonts w:ascii="Traditional Arabic" w:hAnsi="Traditional Arabic" w:hint="cs"/>
          <w:sz w:val="27"/>
          <w:rtl/>
        </w:rPr>
        <w:t xml:space="preserve">ة، من قبيل: النهي عن بيع غير البالغ.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الرابعة</w:t>
      </w:r>
      <w:r w:rsidRPr="00904FCB">
        <w:rPr>
          <w:rFonts w:ascii="Traditional Arabic" w:hAnsi="Traditional Arabic" w:hint="cs"/>
          <w:sz w:val="27"/>
          <w:rtl/>
        </w:rPr>
        <w:t>: أن يكون متعل</w:t>
      </w:r>
      <w:r w:rsidR="002E04B1" w:rsidRPr="00904FCB">
        <w:rPr>
          <w:rFonts w:ascii="Traditional Arabic" w:hAnsi="Traditional Arabic" w:hint="cs"/>
          <w:sz w:val="27"/>
          <w:rtl/>
        </w:rPr>
        <w:t>َّ</w:t>
      </w:r>
      <w:r w:rsidRPr="00904FCB">
        <w:rPr>
          <w:rFonts w:ascii="Traditional Arabic" w:hAnsi="Traditional Arabic" w:hint="cs"/>
          <w:sz w:val="27"/>
          <w:rtl/>
        </w:rPr>
        <w:t xml:space="preserve">ق النهي هو الأوصاف اللازمة في العقد، من قبيل: النهي عن امتلاك الوالدين. </w:t>
      </w:r>
      <w:r w:rsidR="002E04B1" w:rsidRPr="00904FCB">
        <w:rPr>
          <w:rFonts w:ascii="Traditional Arabic" w:hAnsi="Traditional Arabic" w:hint="cs"/>
          <w:sz w:val="27"/>
          <w:rtl/>
        </w:rPr>
        <w:t>ومن ال</w:t>
      </w:r>
      <w:r w:rsidRPr="00904FCB">
        <w:rPr>
          <w:rFonts w:ascii="Traditional Arabic" w:hAnsi="Traditional Arabic" w:hint="cs"/>
          <w:sz w:val="27"/>
          <w:rtl/>
        </w:rPr>
        <w:t>واضح جد</w:t>
      </w:r>
      <w:r w:rsidR="002E04B1" w:rsidRPr="00904FCB">
        <w:rPr>
          <w:rFonts w:ascii="Traditional Arabic" w:hAnsi="Traditional Arabic" w:hint="cs"/>
          <w:sz w:val="27"/>
          <w:rtl/>
        </w:rPr>
        <w:t>ّ</w:t>
      </w:r>
      <w:r w:rsidRPr="00904FCB">
        <w:rPr>
          <w:rFonts w:ascii="Traditional Arabic" w:hAnsi="Traditional Arabic" w:hint="cs"/>
          <w:sz w:val="27"/>
          <w:rtl/>
        </w:rPr>
        <w:t>اً أن الملكية</w:t>
      </w:r>
      <w:r w:rsidR="002E04B1" w:rsidRPr="00904FCB">
        <w:rPr>
          <w:rFonts w:ascii="Traditional Arabic" w:hAnsi="Traditional Arabic" w:hint="cs"/>
          <w:sz w:val="27"/>
          <w:rtl/>
        </w:rPr>
        <w:t>،</w:t>
      </w:r>
      <w:r w:rsidRPr="00904FCB">
        <w:rPr>
          <w:rFonts w:ascii="Traditional Arabic" w:hAnsi="Traditional Arabic" w:hint="cs"/>
          <w:sz w:val="27"/>
          <w:rtl/>
        </w:rPr>
        <w:t xml:space="preserve"> التي هي من الآثار التي لا تنفك</w:t>
      </w:r>
      <w:r w:rsidR="002E04B1" w:rsidRPr="00904FCB">
        <w:rPr>
          <w:rFonts w:ascii="Traditional Arabic" w:hAnsi="Traditional Arabic" w:hint="cs"/>
          <w:sz w:val="27"/>
          <w:rtl/>
        </w:rPr>
        <w:t>ّ</w:t>
      </w:r>
      <w:r w:rsidRPr="00904FCB">
        <w:rPr>
          <w:rFonts w:ascii="Traditional Arabic" w:hAnsi="Traditional Arabic" w:hint="cs"/>
          <w:sz w:val="27"/>
          <w:rtl/>
        </w:rPr>
        <w:t xml:space="preserve"> عن البيع</w:t>
      </w:r>
      <w:r w:rsidR="002E04B1" w:rsidRPr="00904FCB">
        <w:rPr>
          <w:rFonts w:ascii="Traditional Arabic" w:hAnsi="Traditional Arabic" w:hint="cs"/>
          <w:sz w:val="27"/>
          <w:rtl/>
        </w:rPr>
        <w:t>،</w:t>
      </w:r>
      <w:r w:rsidRPr="00904FCB">
        <w:rPr>
          <w:rFonts w:ascii="Traditional Arabic" w:hAnsi="Traditional Arabic" w:hint="cs"/>
          <w:sz w:val="27"/>
          <w:rtl/>
        </w:rPr>
        <w:t xml:space="preserve"> هي التي تعل</w:t>
      </w:r>
      <w:r w:rsidR="002E04B1" w:rsidRPr="00904FCB">
        <w:rPr>
          <w:rFonts w:ascii="Traditional Arabic" w:hAnsi="Traditional Arabic" w:hint="cs"/>
          <w:sz w:val="27"/>
          <w:rtl/>
        </w:rPr>
        <w:t>َّ</w:t>
      </w:r>
      <w:r w:rsidRPr="00904FCB">
        <w:rPr>
          <w:rFonts w:ascii="Traditional Arabic" w:hAnsi="Traditional Arabic" w:hint="cs"/>
          <w:sz w:val="27"/>
          <w:rtl/>
        </w:rPr>
        <w:t xml:space="preserve">ق النهي بها في هذه الصورة.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الخامسة</w:t>
      </w:r>
      <w:r w:rsidRPr="00904FCB">
        <w:rPr>
          <w:rFonts w:ascii="Traditional Arabic" w:hAnsi="Traditional Arabic" w:hint="cs"/>
          <w:sz w:val="27"/>
          <w:rtl/>
        </w:rPr>
        <w:t>: أن يكون متعل</w:t>
      </w:r>
      <w:r w:rsidR="002E04B1" w:rsidRPr="00904FCB">
        <w:rPr>
          <w:rFonts w:ascii="Traditional Arabic" w:hAnsi="Traditional Arabic" w:hint="cs"/>
          <w:sz w:val="27"/>
          <w:rtl/>
        </w:rPr>
        <w:t>َّ</w:t>
      </w:r>
      <w:r w:rsidRPr="00904FCB">
        <w:rPr>
          <w:rFonts w:ascii="Traditional Arabic" w:hAnsi="Traditional Arabic" w:hint="cs"/>
          <w:sz w:val="27"/>
          <w:rtl/>
        </w:rPr>
        <w:t>ق النهي صفة</w:t>
      </w:r>
      <w:r w:rsidR="002E04B1" w:rsidRPr="00904FCB">
        <w:rPr>
          <w:rFonts w:ascii="Traditional Arabic" w:hAnsi="Traditional Arabic" w:hint="cs"/>
          <w:sz w:val="27"/>
          <w:rtl/>
        </w:rPr>
        <w:t>ً</w:t>
      </w:r>
      <w:r w:rsidRPr="00904FCB">
        <w:rPr>
          <w:rFonts w:ascii="Traditional Arabic" w:hAnsi="Traditional Arabic" w:hint="cs"/>
          <w:sz w:val="27"/>
          <w:rtl/>
        </w:rPr>
        <w:t xml:space="preserve"> من الصفات غير اللازمة، من قبيل: النهي عن لزوم العقد الخياري. </w:t>
      </w:r>
      <w:r w:rsidR="002E04B1" w:rsidRPr="00904FCB">
        <w:rPr>
          <w:rFonts w:ascii="Traditional Arabic" w:hAnsi="Traditional Arabic" w:hint="cs"/>
          <w:sz w:val="27"/>
          <w:rtl/>
        </w:rPr>
        <w:t>ومن ال</w:t>
      </w:r>
      <w:r w:rsidRPr="00904FCB">
        <w:rPr>
          <w:rFonts w:ascii="Traditional Arabic" w:hAnsi="Traditional Arabic" w:hint="cs"/>
          <w:sz w:val="27"/>
          <w:rtl/>
        </w:rPr>
        <w:t>واضح جد</w:t>
      </w:r>
      <w:r w:rsidR="002E04B1" w:rsidRPr="00904FCB">
        <w:rPr>
          <w:rFonts w:ascii="Traditional Arabic" w:hAnsi="Traditional Arabic" w:hint="cs"/>
          <w:sz w:val="27"/>
          <w:rtl/>
        </w:rPr>
        <w:t>ّ</w:t>
      </w:r>
      <w:r w:rsidRPr="00904FCB">
        <w:rPr>
          <w:rFonts w:ascii="Traditional Arabic" w:hAnsi="Traditional Arabic" w:hint="cs"/>
          <w:sz w:val="27"/>
          <w:rtl/>
        </w:rPr>
        <w:t xml:space="preserve">اً أن اللزوم من الصفات التي يمكن فصلها عن العقد.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السادسة</w:t>
      </w:r>
      <w:r w:rsidRPr="00904FCB">
        <w:rPr>
          <w:rFonts w:ascii="Traditional Arabic" w:hAnsi="Traditional Arabic" w:hint="cs"/>
          <w:sz w:val="27"/>
          <w:rtl/>
        </w:rPr>
        <w:t>: أن يكون متعل</w:t>
      </w:r>
      <w:r w:rsidR="002E04B1" w:rsidRPr="00904FCB">
        <w:rPr>
          <w:rFonts w:ascii="Traditional Arabic" w:hAnsi="Traditional Arabic" w:hint="cs"/>
          <w:sz w:val="27"/>
          <w:rtl/>
        </w:rPr>
        <w:t>َّ</w:t>
      </w:r>
      <w:r w:rsidRPr="00904FCB">
        <w:rPr>
          <w:rFonts w:ascii="Traditional Arabic" w:hAnsi="Traditional Arabic" w:hint="cs"/>
          <w:sz w:val="27"/>
          <w:rtl/>
        </w:rPr>
        <w:t xml:space="preserve">ق النهي أمراً خارجاً عن البيع، من قبيل: النهي عن البيع عند النداء.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وقد عمد سماحته في بيان كل</w:t>
      </w:r>
      <w:r w:rsidR="002E04B1" w:rsidRPr="00904FCB">
        <w:rPr>
          <w:rFonts w:ascii="Traditional Arabic" w:hAnsi="Traditional Arabic" w:hint="cs"/>
          <w:sz w:val="27"/>
          <w:rtl/>
        </w:rPr>
        <w:t>ّ</w:t>
      </w:r>
      <w:r w:rsidRPr="00904FCB">
        <w:rPr>
          <w:rFonts w:ascii="Traditional Arabic" w:hAnsi="Traditional Arabic" w:hint="cs"/>
          <w:sz w:val="27"/>
          <w:rtl/>
        </w:rPr>
        <w:t xml:space="preserve"> واحدة</w:t>
      </w:r>
      <w:r w:rsidR="002E04B1" w:rsidRPr="00904FCB">
        <w:rPr>
          <w:rFonts w:ascii="Traditional Arabic" w:hAnsi="Traditional Arabic" w:hint="cs"/>
          <w:sz w:val="27"/>
          <w:rtl/>
        </w:rPr>
        <w:t>ٍ</w:t>
      </w:r>
      <w:r w:rsidRPr="00904FCB">
        <w:rPr>
          <w:rFonts w:ascii="Traditional Arabic" w:hAnsi="Traditional Arabic" w:hint="cs"/>
          <w:sz w:val="27"/>
          <w:rtl/>
        </w:rPr>
        <w:t xml:space="preserve"> من هذه الصور إلى القول: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 xml:space="preserve">إن الصورة الأولى توجب الفساد قطعاً. وأما الصورة السادسة فهي لا توجب </w:t>
      </w:r>
      <w:r w:rsidRPr="00904FCB">
        <w:rPr>
          <w:rFonts w:ascii="Traditional Arabic" w:hAnsi="Traditional Arabic" w:hint="cs"/>
          <w:sz w:val="27"/>
          <w:rtl/>
        </w:rPr>
        <w:lastRenderedPageBreak/>
        <w:t>الفساد قطعاً. وأما الصورة الرابعة فقد وقع الخلاف فيها، ويجب فيها ملاحظة لسان الدليل، لنرى ما إذا كان النهي يوجب الحرمة الوضعية ـ أي البطلان ـ</w:t>
      </w:r>
      <w:r w:rsidR="002E04B1" w:rsidRPr="00904FCB">
        <w:rPr>
          <w:rFonts w:ascii="Traditional Arabic" w:hAnsi="Traditional Arabic" w:hint="cs"/>
          <w:sz w:val="27"/>
          <w:rtl/>
        </w:rPr>
        <w:t>،</w:t>
      </w:r>
      <w:r w:rsidRPr="00904FCB">
        <w:rPr>
          <w:rFonts w:ascii="Traditional Arabic" w:hAnsi="Traditional Arabic" w:hint="cs"/>
          <w:sz w:val="27"/>
          <w:rtl/>
        </w:rPr>
        <w:t xml:space="preserve"> أو يوجب الحرمة التكليفية فقط؟ وقد ترك سماحته تفصيل البحث إلى موضعه. </w:t>
      </w:r>
    </w:p>
    <w:p w:rsidR="00F34FB9" w:rsidRPr="00904FCB" w:rsidRDefault="00F34FB9" w:rsidP="007A21AA">
      <w:pPr>
        <w:spacing w:line="400" w:lineRule="exact"/>
        <w:rPr>
          <w:rFonts w:ascii="Traditional Arabic" w:hAnsi="Traditional Arabic"/>
          <w:sz w:val="27"/>
          <w:rtl/>
        </w:rPr>
      </w:pPr>
    </w:p>
    <w:p w:rsidR="00F34FB9" w:rsidRPr="00904FCB" w:rsidRDefault="00F34FB9" w:rsidP="007A21AA">
      <w:pPr>
        <w:pStyle w:val="31"/>
        <w:spacing w:line="400" w:lineRule="exact"/>
        <w:rPr>
          <w:color w:val="auto"/>
          <w:rtl/>
        </w:rPr>
      </w:pPr>
      <w:r w:rsidRPr="00904FCB">
        <w:rPr>
          <w:rFonts w:hint="cs"/>
          <w:color w:val="auto"/>
          <w:rtl/>
        </w:rPr>
        <w:t>أقسام البيع</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وقد عمد سماحته ـ انطلاقاً من تلك الإبداعات في تبويب المسائل ـ إلى تقسيم البيع</w:t>
      </w:r>
      <w:r w:rsidR="00DB64A7" w:rsidRPr="00904FCB">
        <w:rPr>
          <w:rFonts w:ascii="Traditional Arabic" w:hAnsi="Traditional Arabic" w:hint="cs"/>
          <w:sz w:val="27"/>
          <w:rtl/>
        </w:rPr>
        <w:t>،</w:t>
      </w:r>
      <w:r w:rsidRPr="00904FCB">
        <w:rPr>
          <w:rFonts w:ascii="Traditional Arabic" w:hAnsi="Traditional Arabic" w:hint="cs"/>
          <w:sz w:val="27"/>
          <w:rtl/>
        </w:rPr>
        <w:t xml:space="preserve"> من </w:t>
      </w:r>
      <w:r w:rsidR="00DB64A7" w:rsidRPr="00904FCB">
        <w:rPr>
          <w:rFonts w:ascii="Traditional Arabic" w:hAnsi="Traditional Arabic" w:hint="cs"/>
          <w:sz w:val="27"/>
          <w:rtl/>
        </w:rPr>
        <w:t>جهاتٍ عديدة،</w:t>
      </w:r>
      <w:r w:rsidRPr="00904FCB">
        <w:rPr>
          <w:rFonts w:ascii="Traditional Arabic" w:hAnsi="Traditional Arabic" w:hint="cs"/>
          <w:sz w:val="27"/>
          <w:rtl/>
        </w:rPr>
        <w:t xml:space="preserve"> إلى أقسام مختلفة</w:t>
      </w:r>
      <w:r w:rsidR="00DB64A7" w:rsidRPr="00904FCB">
        <w:rPr>
          <w:rFonts w:ascii="Traditional Arabic" w:hAnsi="Traditional Arabic" w:hint="cs"/>
          <w:sz w:val="27"/>
          <w:rtl/>
        </w:rPr>
        <w:t>.</w:t>
      </w:r>
      <w:r w:rsidRPr="00904FCB">
        <w:rPr>
          <w:rFonts w:ascii="Traditional Arabic" w:hAnsi="Traditional Arabic" w:hint="cs"/>
          <w:sz w:val="27"/>
          <w:rtl/>
        </w:rPr>
        <w:t xml:space="preserve"> وإن لهذا التبويب دوراً أساسياً في استيعاب المسائل.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الت</w:t>
      </w:r>
      <w:r w:rsidR="00DB64A7" w:rsidRPr="00904FCB">
        <w:rPr>
          <w:rFonts w:ascii="Traditional Arabic" w:hAnsi="Traditional Arabic" w:hint="cs"/>
          <w:b/>
          <w:bCs/>
          <w:sz w:val="27"/>
          <w:rtl/>
        </w:rPr>
        <w:t>قسيم</w:t>
      </w:r>
      <w:r w:rsidRPr="00904FCB">
        <w:rPr>
          <w:rFonts w:ascii="Traditional Arabic" w:hAnsi="Traditional Arabic" w:hint="cs"/>
          <w:b/>
          <w:bCs/>
          <w:sz w:val="27"/>
          <w:rtl/>
        </w:rPr>
        <w:t xml:space="preserve"> الأول: بلحاظ أن يكون العوضان من النقود أ</w:t>
      </w:r>
      <w:r w:rsidR="00DB64A7" w:rsidRPr="00904FCB">
        <w:rPr>
          <w:rFonts w:ascii="Traditional Arabic" w:hAnsi="Traditional Arabic" w:hint="cs"/>
          <w:b/>
          <w:bCs/>
          <w:sz w:val="27"/>
          <w:rtl/>
        </w:rPr>
        <w:t>و</w:t>
      </w:r>
      <w:r w:rsidRPr="00904FCB">
        <w:rPr>
          <w:rFonts w:ascii="Traditional Arabic" w:hAnsi="Traditional Arabic" w:hint="cs"/>
          <w:b/>
          <w:bCs/>
          <w:sz w:val="27"/>
          <w:rtl/>
        </w:rPr>
        <w:t xml:space="preserve"> لا</w:t>
      </w:r>
      <w:r w:rsidR="00DB64A7" w:rsidRPr="00904FCB">
        <w:rPr>
          <w:rFonts w:ascii="Traditional Arabic" w:hAnsi="Traditional Arabic" w:hint="cs"/>
          <w:sz w:val="27"/>
          <w:rtl/>
        </w:rPr>
        <w:t>.</w:t>
      </w:r>
      <w:r w:rsidRPr="00904FCB">
        <w:rPr>
          <w:rFonts w:ascii="Traditional Arabic" w:hAnsi="Traditional Arabic" w:hint="cs"/>
          <w:sz w:val="27"/>
          <w:rtl/>
        </w:rPr>
        <w:t xml:space="preserve"> </w:t>
      </w:r>
      <w:r w:rsidR="00DB64A7" w:rsidRPr="00904FCB">
        <w:rPr>
          <w:rFonts w:ascii="Traditional Arabic" w:hAnsi="Traditional Arabic" w:hint="cs"/>
          <w:sz w:val="27"/>
          <w:rtl/>
        </w:rPr>
        <w:t>و</w:t>
      </w:r>
      <w:r w:rsidRPr="00904FCB">
        <w:rPr>
          <w:rFonts w:ascii="Traditional Arabic" w:hAnsi="Traditional Arabic" w:hint="cs"/>
          <w:sz w:val="27"/>
          <w:rtl/>
        </w:rPr>
        <w:t xml:space="preserve">هناك ثلاثة أقسام؛ لأن العوضين لا يخرجان من إحدى صور ثلاث، وهي: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1ـ</w:t>
      </w:r>
      <w:r w:rsidRPr="00904FCB">
        <w:rPr>
          <w:rFonts w:ascii="Traditional Arabic" w:hAnsi="Traditional Arabic" w:hint="cs"/>
          <w:sz w:val="27"/>
          <w:rtl/>
        </w:rPr>
        <w:t xml:space="preserve"> أن يكون الثمن والمثمن من النقدين، من قبيل: بيع الذهب بالفض</w:t>
      </w:r>
      <w:r w:rsidR="00DB64A7" w:rsidRPr="00904FCB">
        <w:rPr>
          <w:rFonts w:ascii="Traditional Arabic" w:hAnsi="Traditional Arabic" w:hint="cs"/>
          <w:sz w:val="27"/>
          <w:rtl/>
        </w:rPr>
        <w:t>ّ</w:t>
      </w:r>
      <w:r w:rsidRPr="00904FCB">
        <w:rPr>
          <w:rFonts w:ascii="Traditional Arabic" w:hAnsi="Traditional Arabic" w:hint="cs"/>
          <w:sz w:val="27"/>
          <w:rtl/>
        </w:rPr>
        <w:t>ة، وهو بيع الص</w:t>
      </w:r>
      <w:r w:rsidR="00DB64A7" w:rsidRPr="00904FCB">
        <w:rPr>
          <w:rFonts w:ascii="Traditional Arabic" w:hAnsi="Traditional Arabic" w:hint="cs"/>
          <w:sz w:val="27"/>
          <w:rtl/>
        </w:rPr>
        <w:t>َّ</w:t>
      </w:r>
      <w:r w:rsidRPr="00904FCB">
        <w:rPr>
          <w:rFonts w:ascii="Traditional Arabic" w:hAnsi="Traditional Arabic" w:hint="cs"/>
          <w:sz w:val="27"/>
          <w:rtl/>
        </w:rPr>
        <w:t>ر</w:t>
      </w:r>
      <w:r w:rsidR="00DB64A7" w:rsidRPr="00904FCB">
        <w:rPr>
          <w:rFonts w:ascii="Traditional Arabic" w:hAnsi="Traditional Arabic" w:hint="cs"/>
          <w:sz w:val="27"/>
          <w:rtl/>
        </w:rPr>
        <w:t>ْ</w:t>
      </w:r>
      <w:r w:rsidRPr="00904FCB">
        <w:rPr>
          <w:rFonts w:ascii="Traditional Arabic" w:hAnsi="Traditional Arabic" w:hint="cs"/>
          <w:sz w:val="27"/>
          <w:rtl/>
        </w:rPr>
        <w:t xml:space="preserve">ف.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2ـ</w:t>
      </w:r>
      <w:r w:rsidRPr="00904FCB">
        <w:rPr>
          <w:rFonts w:ascii="Traditional Arabic" w:hAnsi="Traditional Arabic" w:hint="cs"/>
          <w:sz w:val="27"/>
          <w:rtl/>
        </w:rPr>
        <w:t xml:space="preserve"> أن لا يكون الثمن والمثمن من النقدين، بل كلاهما من الأموال، وهو بيع المقايضة.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3ـ</w:t>
      </w:r>
      <w:r w:rsidRPr="00904FCB">
        <w:rPr>
          <w:rFonts w:ascii="Traditional Arabic" w:hAnsi="Traditional Arabic" w:hint="cs"/>
          <w:sz w:val="27"/>
          <w:rtl/>
        </w:rPr>
        <w:t xml:space="preserve"> أن يكون أحدهما من النقدين</w:t>
      </w:r>
      <w:r w:rsidR="00DB64A7" w:rsidRPr="00904FCB">
        <w:rPr>
          <w:rFonts w:ascii="Traditional Arabic" w:hAnsi="Traditional Arabic" w:hint="cs"/>
          <w:sz w:val="27"/>
          <w:rtl/>
        </w:rPr>
        <w:t>،</w:t>
      </w:r>
      <w:r w:rsidRPr="00904FCB">
        <w:rPr>
          <w:rFonts w:ascii="Traditional Arabic" w:hAnsi="Traditional Arabic" w:hint="cs"/>
          <w:sz w:val="27"/>
          <w:rtl/>
        </w:rPr>
        <w:t xml:space="preserve"> والآخر من العروض والأموال، وهو المسمّى بعقد البيع.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التقسيم الثاني</w:t>
      </w:r>
      <w:r w:rsidR="00DB64A7" w:rsidRPr="00904FCB">
        <w:rPr>
          <w:rFonts w:ascii="Traditional Arabic" w:hAnsi="Traditional Arabic" w:hint="cs"/>
          <w:b/>
          <w:bCs/>
          <w:sz w:val="27"/>
          <w:rtl/>
        </w:rPr>
        <w:t>:</w:t>
      </w:r>
      <w:r w:rsidRPr="00904FCB">
        <w:rPr>
          <w:rFonts w:ascii="Traditional Arabic" w:hAnsi="Traditional Arabic" w:hint="cs"/>
          <w:b/>
          <w:bCs/>
          <w:sz w:val="27"/>
          <w:rtl/>
        </w:rPr>
        <w:t xml:space="preserve"> باعتبار أن يكون للعوضين مد</w:t>
      </w:r>
      <w:r w:rsidR="00DB64A7" w:rsidRPr="00904FCB">
        <w:rPr>
          <w:rFonts w:ascii="Traditional Arabic" w:hAnsi="Traditional Arabic" w:hint="cs"/>
          <w:b/>
          <w:bCs/>
          <w:sz w:val="27"/>
          <w:rtl/>
        </w:rPr>
        <w:t>ّ</w:t>
      </w:r>
      <w:r w:rsidRPr="00904FCB">
        <w:rPr>
          <w:rFonts w:ascii="Traditional Arabic" w:hAnsi="Traditional Arabic" w:hint="cs"/>
          <w:b/>
          <w:bCs/>
          <w:sz w:val="27"/>
          <w:rtl/>
        </w:rPr>
        <w:t>ة أو لا يكون لهما مدّة</w:t>
      </w:r>
      <w:r w:rsidR="00DB64A7" w:rsidRPr="00904FCB">
        <w:rPr>
          <w:rFonts w:ascii="Traditional Arabic" w:hAnsi="Traditional Arabic" w:hint="cs"/>
          <w:sz w:val="27"/>
          <w:rtl/>
        </w:rPr>
        <w:t>.</w:t>
      </w:r>
      <w:r w:rsidRPr="00904FCB">
        <w:rPr>
          <w:rFonts w:ascii="Traditional Arabic" w:hAnsi="Traditional Arabic" w:hint="cs"/>
          <w:sz w:val="27"/>
          <w:rtl/>
        </w:rPr>
        <w:t xml:space="preserve"> ولهذا القسم أربع صور؛ إذ لا تخلو المسألة من إحدى صور أربع: </w:t>
      </w:r>
    </w:p>
    <w:p w:rsidR="00F34FB9" w:rsidRPr="00B54760" w:rsidRDefault="00F34FB9" w:rsidP="007A21AA">
      <w:pPr>
        <w:spacing w:line="400" w:lineRule="exact"/>
        <w:rPr>
          <w:rFonts w:ascii="Traditional Arabic" w:hAnsi="Traditional Arabic"/>
          <w:sz w:val="27"/>
          <w:rtl/>
        </w:rPr>
      </w:pPr>
      <w:r w:rsidRPr="00B54760">
        <w:rPr>
          <w:rFonts w:ascii="Traditional Arabic" w:hAnsi="Traditional Arabic" w:hint="cs"/>
          <w:sz w:val="27"/>
          <w:rtl/>
        </w:rPr>
        <w:t>1ـ أن يكونا حالّين (معجّ</w:t>
      </w:r>
      <w:r w:rsidR="00DB64A7" w:rsidRPr="00B54760">
        <w:rPr>
          <w:rFonts w:ascii="Traditional Arabic" w:hAnsi="Traditional Arabic" w:hint="cs"/>
          <w:sz w:val="27"/>
          <w:rtl/>
        </w:rPr>
        <w:t>َ</w:t>
      </w:r>
      <w:r w:rsidRPr="00B54760">
        <w:rPr>
          <w:rFonts w:ascii="Traditional Arabic" w:hAnsi="Traditional Arabic" w:hint="cs"/>
          <w:sz w:val="27"/>
          <w:rtl/>
        </w:rPr>
        <w:t>لين)، وهو المسمّى ببيع الس</w:t>
      </w:r>
      <w:r w:rsidR="00DB64A7" w:rsidRPr="00B54760">
        <w:rPr>
          <w:rFonts w:ascii="Traditional Arabic" w:hAnsi="Traditional Arabic" w:hint="cs"/>
          <w:sz w:val="27"/>
          <w:rtl/>
        </w:rPr>
        <w:t>َّ</w:t>
      </w:r>
      <w:r w:rsidRPr="00B54760">
        <w:rPr>
          <w:rFonts w:ascii="Traditional Arabic" w:hAnsi="Traditional Arabic" w:hint="cs"/>
          <w:sz w:val="27"/>
          <w:rtl/>
        </w:rPr>
        <w:t>ل</w:t>
      </w:r>
      <w:r w:rsidR="00DB64A7" w:rsidRPr="00B54760">
        <w:rPr>
          <w:rFonts w:ascii="Traditional Arabic" w:hAnsi="Traditional Arabic" w:hint="cs"/>
          <w:sz w:val="27"/>
          <w:rtl/>
        </w:rPr>
        <w:t>َ</w:t>
      </w:r>
      <w:r w:rsidRPr="00B54760">
        <w:rPr>
          <w:rFonts w:ascii="Traditional Arabic" w:hAnsi="Traditional Arabic" w:hint="cs"/>
          <w:sz w:val="27"/>
          <w:rtl/>
        </w:rPr>
        <w:t>م أو المعجّ</w:t>
      </w:r>
      <w:r w:rsidR="00DB64A7" w:rsidRPr="00B54760">
        <w:rPr>
          <w:rFonts w:ascii="Traditional Arabic" w:hAnsi="Traditional Arabic" w:hint="cs"/>
          <w:sz w:val="27"/>
          <w:rtl/>
        </w:rPr>
        <w:t>َ</w:t>
      </w:r>
      <w:r w:rsidRPr="00B54760">
        <w:rPr>
          <w:rFonts w:ascii="Traditional Arabic" w:hAnsi="Traditional Arabic" w:hint="cs"/>
          <w:sz w:val="27"/>
          <w:rtl/>
        </w:rPr>
        <w:t xml:space="preserve">ل. </w:t>
      </w:r>
    </w:p>
    <w:p w:rsidR="00F34FB9" w:rsidRPr="00B54760" w:rsidRDefault="00F34FB9" w:rsidP="007A21AA">
      <w:pPr>
        <w:spacing w:line="400" w:lineRule="exact"/>
        <w:rPr>
          <w:rFonts w:ascii="Traditional Arabic" w:hAnsi="Traditional Arabic"/>
          <w:sz w:val="27"/>
          <w:rtl/>
        </w:rPr>
      </w:pPr>
      <w:r w:rsidRPr="00B54760">
        <w:rPr>
          <w:rFonts w:ascii="Traditional Arabic" w:hAnsi="Traditional Arabic" w:hint="cs"/>
          <w:sz w:val="27"/>
          <w:rtl/>
        </w:rPr>
        <w:t>2ـ أن يكون الثمن معجّ</w:t>
      </w:r>
      <w:r w:rsidR="00DB64A7" w:rsidRPr="00B54760">
        <w:rPr>
          <w:rFonts w:ascii="Traditional Arabic" w:hAnsi="Traditional Arabic" w:hint="cs"/>
          <w:sz w:val="27"/>
          <w:rtl/>
        </w:rPr>
        <w:t>َل</w:t>
      </w:r>
      <w:r w:rsidRPr="00B54760">
        <w:rPr>
          <w:rFonts w:ascii="Traditional Arabic" w:hAnsi="Traditional Arabic" w:hint="cs"/>
          <w:sz w:val="27"/>
          <w:rtl/>
        </w:rPr>
        <w:t>اً</w:t>
      </w:r>
      <w:r w:rsidR="00DB64A7" w:rsidRPr="00B54760">
        <w:rPr>
          <w:rFonts w:ascii="Traditional Arabic" w:hAnsi="Traditional Arabic" w:hint="cs"/>
          <w:sz w:val="27"/>
          <w:rtl/>
        </w:rPr>
        <w:t>،</w:t>
      </w:r>
      <w:r w:rsidRPr="00B54760">
        <w:rPr>
          <w:rFonts w:ascii="Traditional Arabic" w:hAnsi="Traditional Arabic" w:hint="cs"/>
          <w:sz w:val="27"/>
          <w:rtl/>
        </w:rPr>
        <w:t xml:space="preserve"> والمثمن مؤجّ</w:t>
      </w:r>
      <w:r w:rsidR="00DB64A7" w:rsidRPr="00B54760">
        <w:rPr>
          <w:rFonts w:ascii="Traditional Arabic" w:hAnsi="Traditional Arabic" w:hint="cs"/>
          <w:sz w:val="27"/>
          <w:rtl/>
        </w:rPr>
        <w:t>َ</w:t>
      </w:r>
      <w:r w:rsidRPr="00B54760">
        <w:rPr>
          <w:rFonts w:ascii="Traditional Arabic" w:hAnsi="Traditional Arabic" w:hint="cs"/>
          <w:sz w:val="27"/>
          <w:rtl/>
        </w:rPr>
        <w:t>لاً، وهو المسمّى ببيع الس</w:t>
      </w:r>
      <w:r w:rsidR="00DB64A7" w:rsidRPr="00B54760">
        <w:rPr>
          <w:rFonts w:ascii="Traditional Arabic" w:hAnsi="Traditional Arabic" w:hint="cs"/>
          <w:sz w:val="27"/>
          <w:rtl/>
        </w:rPr>
        <w:t>َّ</w:t>
      </w:r>
      <w:r w:rsidRPr="00B54760">
        <w:rPr>
          <w:rFonts w:ascii="Traditional Arabic" w:hAnsi="Traditional Arabic" w:hint="cs"/>
          <w:sz w:val="27"/>
          <w:rtl/>
        </w:rPr>
        <w:t>ل</w:t>
      </w:r>
      <w:r w:rsidR="00DB64A7" w:rsidRPr="00B54760">
        <w:rPr>
          <w:rFonts w:ascii="Traditional Arabic" w:hAnsi="Traditional Arabic" w:hint="cs"/>
          <w:sz w:val="27"/>
          <w:rtl/>
        </w:rPr>
        <w:t>َ</w:t>
      </w:r>
      <w:r w:rsidRPr="00B54760">
        <w:rPr>
          <w:rFonts w:ascii="Traditional Arabic" w:hAnsi="Traditional Arabic" w:hint="cs"/>
          <w:sz w:val="27"/>
          <w:rtl/>
        </w:rPr>
        <w:t xml:space="preserve">م.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3ـ أن يكون الثمن مؤج</w:t>
      </w:r>
      <w:r w:rsidR="006A7466" w:rsidRPr="00B54760">
        <w:rPr>
          <w:rFonts w:ascii="Traditional Arabic" w:hAnsi="Traditional Arabic" w:hint="cs"/>
          <w:sz w:val="27"/>
          <w:rtl/>
        </w:rPr>
        <w:t>َّ</w:t>
      </w:r>
      <w:r w:rsidRPr="00B54760">
        <w:rPr>
          <w:rFonts w:ascii="Traditional Arabic" w:hAnsi="Traditional Arabic" w:hint="cs"/>
          <w:sz w:val="27"/>
          <w:rtl/>
        </w:rPr>
        <w:t>لاً</w:t>
      </w:r>
      <w:r w:rsidR="006A7466" w:rsidRPr="00B54760">
        <w:rPr>
          <w:rFonts w:ascii="Traditional Arabic" w:hAnsi="Traditional Arabic" w:hint="cs"/>
          <w:sz w:val="27"/>
          <w:rtl/>
        </w:rPr>
        <w:t>،</w:t>
      </w:r>
      <w:r w:rsidRPr="00B54760">
        <w:rPr>
          <w:rFonts w:ascii="Traditional Arabic" w:hAnsi="Traditional Arabic" w:hint="cs"/>
          <w:sz w:val="27"/>
          <w:rtl/>
        </w:rPr>
        <w:t xml:space="preserve"> والمثمن معج</w:t>
      </w:r>
      <w:r w:rsidR="0012606A" w:rsidRPr="00B54760">
        <w:rPr>
          <w:rFonts w:ascii="Traditional Arabic" w:hAnsi="Traditional Arabic" w:hint="cs"/>
          <w:sz w:val="27"/>
          <w:rtl/>
        </w:rPr>
        <w:t>َّ</w:t>
      </w:r>
      <w:r w:rsidRPr="00B54760">
        <w:rPr>
          <w:rFonts w:ascii="Traditional Arabic" w:hAnsi="Traditional Arabic" w:hint="cs"/>
          <w:sz w:val="27"/>
          <w:rtl/>
        </w:rPr>
        <w:t>ل</w:t>
      </w:r>
      <w:r w:rsidR="0012606A" w:rsidRPr="00B54760">
        <w:rPr>
          <w:rFonts w:ascii="Traditional Arabic" w:hAnsi="Traditional Arabic" w:hint="cs"/>
          <w:sz w:val="27"/>
          <w:rtl/>
        </w:rPr>
        <w:t>اً</w:t>
      </w:r>
      <w:r w:rsidRPr="00B54760">
        <w:rPr>
          <w:rFonts w:ascii="Traditional Arabic" w:hAnsi="Traditional Arabic" w:hint="cs"/>
          <w:sz w:val="27"/>
          <w:rtl/>
        </w:rPr>
        <w:t xml:space="preserve"> (عكس الصورة الثانية)، وهو</w:t>
      </w:r>
      <w:r w:rsidRPr="00904FCB">
        <w:rPr>
          <w:rFonts w:ascii="Traditional Arabic" w:hAnsi="Traditional Arabic" w:hint="cs"/>
          <w:sz w:val="27"/>
          <w:rtl/>
        </w:rPr>
        <w:t xml:space="preserve"> المسمّى ببيع النسيئة.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4ـ أن يكون لكلّ</w:t>
      </w:r>
      <w:r w:rsidR="00DF0BE7" w:rsidRPr="00B54760">
        <w:rPr>
          <w:rFonts w:ascii="Traditional Arabic" w:hAnsi="Traditional Arabic" w:hint="cs"/>
          <w:sz w:val="27"/>
          <w:rtl/>
        </w:rPr>
        <w:t>ٍ</w:t>
      </w:r>
      <w:r w:rsidRPr="00B54760">
        <w:rPr>
          <w:rFonts w:ascii="Traditional Arabic" w:hAnsi="Traditional Arabic" w:hint="cs"/>
          <w:sz w:val="27"/>
          <w:rtl/>
        </w:rPr>
        <w:t xml:space="preserve"> من الثمن والمثمن مدّة، بمعنى أن يكونا مؤج</w:t>
      </w:r>
      <w:r w:rsidR="00DF0BE7" w:rsidRPr="00B54760">
        <w:rPr>
          <w:rFonts w:ascii="Traditional Arabic" w:hAnsi="Traditional Arabic" w:hint="cs"/>
          <w:sz w:val="27"/>
          <w:rtl/>
        </w:rPr>
        <w:t>َّ</w:t>
      </w:r>
      <w:r w:rsidRPr="00B54760">
        <w:rPr>
          <w:rFonts w:ascii="Traditional Arabic" w:hAnsi="Traditional Arabic" w:hint="cs"/>
          <w:sz w:val="27"/>
          <w:rtl/>
        </w:rPr>
        <w:t>لين (عكس</w:t>
      </w:r>
      <w:r w:rsidRPr="00904FCB">
        <w:rPr>
          <w:rFonts w:ascii="Traditional Arabic" w:hAnsi="Traditional Arabic" w:hint="cs"/>
          <w:sz w:val="27"/>
          <w:rtl/>
        </w:rPr>
        <w:t xml:space="preserve"> الصورة الأولى)، وهو المسم</w:t>
      </w:r>
      <w:r w:rsidR="00DF0BE7" w:rsidRPr="00904FCB">
        <w:rPr>
          <w:rFonts w:ascii="Traditional Arabic" w:hAnsi="Traditional Arabic" w:hint="cs"/>
          <w:sz w:val="27"/>
          <w:rtl/>
        </w:rPr>
        <w:t>ّ</w:t>
      </w:r>
      <w:r w:rsidRPr="00904FCB">
        <w:rPr>
          <w:rFonts w:ascii="Traditional Arabic" w:hAnsi="Traditional Arabic" w:hint="cs"/>
          <w:sz w:val="27"/>
          <w:rtl/>
        </w:rPr>
        <w:t>ى بالبيع الكل</w:t>
      </w:r>
      <w:r w:rsidR="00DF0BE7" w:rsidRPr="00904FCB">
        <w:rPr>
          <w:rFonts w:ascii="Traditional Arabic" w:hAnsi="Traditional Arabic" w:hint="cs"/>
          <w:sz w:val="27"/>
          <w:rtl/>
        </w:rPr>
        <w:t>ّ</w:t>
      </w:r>
      <w:r w:rsidRPr="00904FCB">
        <w:rPr>
          <w:rFonts w:ascii="Traditional Arabic" w:hAnsi="Traditional Arabic" w:hint="cs"/>
          <w:sz w:val="27"/>
          <w:rtl/>
        </w:rPr>
        <w:t>ي، أو بيع الكالي بالكالي. وبطبيعة الحال فإنه لا يختص ببيع الكل</w:t>
      </w:r>
      <w:r w:rsidR="00DF0BE7" w:rsidRPr="00904FCB">
        <w:rPr>
          <w:rFonts w:ascii="Traditional Arabic" w:hAnsi="Traditional Arabic" w:hint="cs"/>
          <w:sz w:val="27"/>
          <w:rtl/>
        </w:rPr>
        <w:t>ّ</w:t>
      </w:r>
      <w:r w:rsidRPr="00904FCB">
        <w:rPr>
          <w:rFonts w:ascii="Traditional Arabic" w:hAnsi="Traditional Arabic" w:hint="cs"/>
          <w:sz w:val="27"/>
          <w:rtl/>
        </w:rPr>
        <w:t>ي فقط، ويشمل حت</w:t>
      </w:r>
      <w:r w:rsidR="00DF0BE7" w:rsidRPr="00904FCB">
        <w:rPr>
          <w:rFonts w:ascii="Traditional Arabic" w:hAnsi="Traditional Arabic" w:hint="cs"/>
          <w:sz w:val="27"/>
          <w:rtl/>
        </w:rPr>
        <w:t>ّ</w:t>
      </w:r>
      <w:r w:rsidRPr="00904FCB">
        <w:rPr>
          <w:rFonts w:ascii="Traditional Arabic" w:hAnsi="Traditional Arabic" w:hint="cs"/>
          <w:sz w:val="27"/>
          <w:rtl/>
        </w:rPr>
        <w:t xml:space="preserve">ى الجزئي أيضاً.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b/>
          <w:bCs/>
          <w:sz w:val="27"/>
          <w:rtl/>
        </w:rPr>
        <w:t xml:space="preserve">التقسيم الثالث: بلحاظ أن يذكر البائع القابض للثمن مقدار السعر أو لا </w:t>
      </w:r>
      <w:r w:rsidRPr="00904FCB">
        <w:rPr>
          <w:rFonts w:ascii="Traditional Arabic" w:hAnsi="Traditional Arabic" w:hint="cs"/>
          <w:b/>
          <w:bCs/>
          <w:sz w:val="27"/>
          <w:rtl/>
        </w:rPr>
        <w:lastRenderedPageBreak/>
        <w:t>يذكره</w:t>
      </w:r>
      <w:r w:rsidR="00DF0BE7" w:rsidRPr="00904FCB">
        <w:rPr>
          <w:rFonts w:ascii="Traditional Arabic" w:hAnsi="Traditional Arabic" w:hint="cs"/>
          <w:sz w:val="27"/>
          <w:rtl/>
        </w:rPr>
        <w:t>.</w:t>
      </w:r>
      <w:r w:rsidRPr="00904FCB">
        <w:rPr>
          <w:rFonts w:ascii="Traditional Arabic" w:hAnsi="Traditional Arabic" w:hint="cs"/>
          <w:sz w:val="27"/>
          <w:rtl/>
        </w:rPr>
        <w:t xml:space="preserve"> وهو على أربعة أقسام أيضاً: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1ـ أن يذكر البائع مقدار رأس المال الذي اشترى به المبيع، وأن يبيعه بنفس ذلك</w:t>
      </w:r>
      <w:r w:rsidRPr="00904FCB">
        <w:rPr>
          <w:rFonts w:ascii="Traditional Arabic" w:hAnsi="Traditional Arabic" w:hint="cs"/>
          <w:sz w:val="27"/>
          <w:rtl/>
        </w:rPr>
        <w:t xml:space="preserve"> المقدار</w:t>
      </w:r>
      <w:r w:rsidR="00DF0BE7" w:rsidRPr="00904FCB">
        <w:rPr>
          <w:rFonts w:ascii="Traditional Arabic" w:hAnsi="Traditional Arabic" w:hint="cs"/>
          <w:sz w:val="27"/>
          <w:rtl/>
        </w:rPr>
        <w:t>،</w:t>
      </w:r>
      <w:r w:rsidRPr="00904FCB">
        <w:rPr>
          <w:rFonts w:ascii="Traditional Arabic" w:hAnsi="Traditional Arabic" w:hint="cs"/>
          <w:sz w:val="27"/>
          <w:rtl/>
        </w:rPr>
        <w:t xml:space="preserve"> دون زيادة</w:t>
      </w:r>
      <w:r w:rsidR="00DF0BE7" w:rsidRPr="00904FCB">
        <w:rPr>
          <w:rFonts w:ascii="Traditional Arabic" w:hAnsi="Traditional Arabic" w:hint="cs"/>
          <w:sz w:val="27"/>
          <w:rtl/>
        </w:rPr>
        <w:t>ٍ</w:t>
      </w:r>
      <w:r w:rsidRPr="00904FCB">
        <w:rPr>
          <w:rFonts w:ascii="Traditional Arabic" w:hAnsi="Traditional Arabic" w:hint="cs"/>
          <w:sz w:val="27"/>
          <w:rtl/>
        </w:rPr>
        <w:t xml:space="preserve"> أو نقصان، وهو المسمّى ببيع التولية.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2ـ أن يذكر البائع مقدار رأس المال الذي اشترى به المبيع، وأن يبيعه بزيادة</w:t>
      </w:r>
      <w:r w:rsidR="00DF0BE7" w:rsidRPr="00B54760">
        <w:rPr>
          <w:rFonts w:ascii="Traditional Arabic" w:hAnsi="Traditional Arabic" w:hint="cs"/>
          <w:sz w:val="27"/>
          <w:rtl/>
        </w:rPr>
        <w:t>ٍ</w:t>
      </w:r>
      <w:r w:rsidRPr="00904FCB">
        <w:rPr>
          <w:rFonts w:ascii="Traditional Arabic" w:hAnsi="Traditional Arabic" w:hint="cs"/>
          <w:sz w:val="27"/>
          <w:rtl/>
        </w:rPr>
        <w:t xml:space="preserve"> عليه، وهو المسمّى ببيع الم</w:t>
      </w:r>
      <w:r w:rsidR="0098428A" w:rsidRPr="00904FCB">
        <w:rPr>
          <w:rFonts w:ascii="Traditional Arabic" w:hAnsi="Traditional Arabic" w:hint="cs"/>
          <w:sz w:val="27"/>
          <w:rtl/>
        </w:rPr>
        <w:t>ر</w:t>
      </w:r>
      <w:r w:rsidR="0059690C" w:rsidRPr="00904FCB">
        <w:rPr>
          <w:rFonts w:ascii="Traditional Arabic" w:hAnsi="Traditional Arabic" w:hint="cs"/>
          <w:sz w:val="27"/>
          <w:rtl/>
        </w:rPr>
        <w:t>ابح</w:t>
      </w:r>
      <w:r w:rsidRPr="00904FCB">
        <w:rPr>
          <w:rFonts w:ascii="Traditional Arabic" w:hAnsi="Traditional Arabic" w:hint="cs"/>
          <w:sz w:val="27"/>
          <w:rtl/>
        </w:rPr>
        <w:t xml:space="preserve">ة.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3ـ أن يذكر البائع مقدار رأس المال الذي اشترى به المبيع، وأن يبيعه بنقيصة</w:t>
      </w:r>
      <w:r w:rsidR="00DF0BE7" w:rsidRPr="00B54760">
        <w:rPr>
          <w:rFonts w:ascii="Traditional Arabic" w:hAnsi="Traditional Arabic" w:hint="cs"/>
          <w:sz w:val="27"/>
          <w:rtl/>
        </w:rPr>
        <w:t>ٍ</w:t>
      </w:r>
      <w:r w:rsidRPr="00B54760">
        <w:rPr>
          <w:rFonts w:ascii="Traditional Arabic" w:hAnsi="Traditional Arabic" w:hint="cs"/>
          <w:sz w:val="27"/>
          <w:rtl/>
        </w:rPr>
        <w:t>،</w:t>
      </w:r>
      <w:r w:rsidRPr="00904FCB">
        <w:rPr>
          <w:rFonts w:ascii="Traditional Arabic" w:hAnsi="Traditional Arabic" w:hint="cs"/>
          <w:sz w:val="27"/>
          <w:rtl/>
        </w:rPr>
        <w:t xml:space="preserve"> وهو المسمّى ببيع الوضيعة.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sz w:val="27"/>
          <w:rtl/>
        </w:rPr>
        <w:t>4ـ أن لا يذكر البائع مقدار رأس المال الذي اشترى به المبيع، وهو المسمّى ببيع</w:t>
      </w:r>
      <w:r w:rsidRPr="00904FCB">
        <w:rPr>
          <w:rFonts w:ascii="Traditional Arabic" w:hAnsi="Traditional Arabic" w:hint="cs"/>
          <w:sz w:val="27"/>
          <w:rtl/>
        </w:rPr>
        <w:t xml:space="preserve"> المساومة.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ثمّ قال سماحته: هناك تقسيمات أخرى أيضاً، سنذكرها في محل</w:t>
      </w:r>
      <w:r w:rsidR="00443406" w:rsidRPr="00904FCB">
        <w:rPr>
          <w:rFonts w:ascii="Traditional Arabic" w:hAnsi="Traditional Arabic" w:hint="cs"/>
          <w:sz w:val="27"/>
          <w:rtl/>
        </w:rPr>
        <w:t>ِّ</w:t>
      </w:r>
      <w:r w:rsidRPr="00904FCB">
        <w:rPr>
          <w:rFonts w:ascii="Traditional Arabic" w:hAnsi="Traditional Arabic" w:hint="cs"/>
          <w:sz w:val="27"/>
          <w:rtl/>
        </w:rPr>
        <w:t>ها</w:t>
      </w:r>
      <w:r w:rsidRPr="00904FCB">
        <w:rPr>
          <w:rFonts w:ascii="Traditional Arabic" w:hAnsi="Traditional Arabic"/>
          <w:sz w:val="27"/>
          <w:vertAlign w:val="superscript"/>
          <w:rtl/>
        </w:rPr>
        <w:t>(</w:t>
      </w:r>
      <w:r w:rsidRPr="00904FCB">
        <w:rPr>
          <w:rStyle w:val="ac"/>
          <w:rFonts w:ascii="Traditional Arabic" w:hAnsi="Traditional Arabic"/>
          <w:sz w:val="27"/>
          <w:rtl/>
        </w:rPr>
        <w:endnoteReference w:id="609"/>
      </w:r>
      <w:r w:rsidRPr="00904FCB">
        <w:rPr>
          <w:rFonts w:ascii="Traditional Arabic" w:hAnsi="Traditional Arabic"/>
          <w:sz w:val="27"/>
          <w:vertAlign w:val="superscript"/>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ذكر الفقهاء أن من شرائط المبيع أن يكون معلوماً، ب</w:t>
      </w:r>
      <w:r w:rsidR="00443406" w:rsidRPr="00904FCB">
        <w:rPr>
          <w:rFonts w:ascii="Traditional Arabic" w:hAnsi="Traditional Arabic" w:hint="cs"/>
          <w:sz w:val="27"/>
          <w:rtl/>
        </w:rPr>
        <w:t>َ</w:t>
      </w:r>
      <w:r w:rsidRPr="00904FCB">
        <w:rPr>
          <w:rFonts w:ascii="Traditional Arabic" w:hAnsi="Traditional Arabic" w:hint="cs"/>
          <w:sz w:val="27"/>
          <w:rtl/>
        </w:rPr>
        <w:t>ي</w:t>
      </w:r>
      <w:r w:rsidR="00443406" w:rsidRPr="00904FCB">
        <w:rPr>
          <w:rFonts w:ascii="Traditional Arabic" w:hAnsi="Traditional Arabic" w:hint="cs"/>
          <w:sz w:val="27"/>
          <w:rtl/>
        </w:rPr>
        <w:t>ْ</w:t>
      </w:r>
      <w:r w:rsidRPr="00904FCB">
        <w:rPr>
          <w:rFonts w:ascii="Traditional Arabic" w:hAnsi="Traditional Arabic" w:hint="cs"/>
          <w:sz w:val="27"/>
          <w:rtl/>
        </w:rPr>
        <w:t>د</w:t>
      </w:r>
      <w:r w:rsidR="00443406" w:rsidRPr="00904FCB">
        <w:rPr>
          <w:rFonts w:ascii="Traditional Arabic" w:hAnsi="Traditional Arabic" w:hint="cs"/>
          <w:sz w:val="27"/>
          <w:rtl/>
        </w:rPr>
        <w:t>َ</w:t>
      </w:r>
      <w:r w:rsidRPr="00904FCB">
        <w:rPr>
          <w:rFonts w:ascii="Traditional Arabic" w:hAnsi="Traditional Arabic" w:hint="cs"/>
          <w:sz w:val="27"/>
          <w:rtl/>
        </w:rPr>
        <w:t xml:space="preserve"> أنهم اكتفوا ببيان أن متعل</w:t>
      </w:r>
      <w:r w:rsidR="00443406" w:rsidRPr="00904FCB">
        <w:rPr>
          <w:rFonts w:ascii="Traditional Arabic" w:hAnsi="Traditional Arabic" w:hint="cs"/>
          <w:sz w:val="27"/>
          <w:rtl/>
        </w:rPr>
        <w:t>َّ</w:t>
      </w:r>
      <w:r w:rsidRPr="00904FCB">
        <w:rPr>
          <w:rFonts w:ascii="Traditional Arabic" w:hAnsi="Traditional Arabic" w:hint="cs"/>
          <w:sz w:val="27"/>
          <w:rtl/>
        </w:rPr>
        <w:t>ق العلم هو مقدار المبيع أو صفاته، مستعرضين الأبحاث بشكل</w:t>
      </w:r>
      <w:r w:rsidR="00443406" w:rsidRPr="00904FCB">
        <w:rPr>
          <w:rFonts w:ascii="Traditional Arabic" w:hAnsi="Traditional Arabic" w:hint="cs"/>
          <w:sz w:val="27"/>
          <w:rtl/>
        </w:rPr>
        <w:t>ٍ</w:t>
      </w:r>
      <w:r w:rsidRPr="00904FCB">
        <w:rPr>
          <w:rFonts w:ascii="Traditional Arabic" w:hAnsi="Traditional Arabic" w:hint="cs"/>
          <w:sz w:val="27"/>
          <w:rtl/>
        </w:rPr>
        <w:t xml:space="preserve"> عام</w:t>
      </w:r>
      <w:r w:rsidR="00443406" w:rsidRPr="00904FCB">
        <w:rPr>
          <w:rFonts w:ascii="Traditional Arabic" w:hAnsi="Traditional Arabic" w:hint="cs"/>
          <w:sz w:val="27"/>
          <w:rtl/>
        </w:rPr>
        <w:t>ّ</w:t>
      </w:r>
      <w:r w:rsidRPr="00904FCB">
        <w:rPr>
          <w:rFonts w:ascii="Traditional Arabic" w:hAnsi="Traditional Arabic" w:hint="cs"/>
          <w:sz w:val="27"/>
          <w:rtl/>
        </w:rPr>
        <w:t xml:space="preserve">.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أما العلامة آل كاشف الغطاء فقد عمد إلى التدقيق في هذا الشرط من مختلف الزوايا إجمالاً. وبعد أن استدل</w:t>
      </w:r>
      <w:r w:rsidR="00443406" w:rsidRPr="00904FCB">
        <w:rPr>
          <w:rFonts w:ascii="Traditional Arabic" w:hAnsi="Traditional Arabic" w:hint="cs"/>
          <w:sz w:val="27"/>
          <w:rtl/>
        </w:rPr>
        <w:t>ّ</w:t>
      </w:r>
      <w:r w:rsidRPr="00904FCB">
        <w:rPr>
          <w:rFonts w:ascii="Traditional Arabic" w:hAnsi="Traditional Arabic" w:hint="cs"/>
          <w:sz w:val="27"/>
          <w:rtl/>
        </w:rPr>
        <w:t xml:space="preserve"> على وجوب أن يكون ك</w:t>
      </w:r>
      <w:r w:rsidR="00443406" w:rsidRPr="00904FCB">
        <w:rPr>
          <w:rFonts w:ascii="Traditional Arabic" w:hAnsi="Traditional Arabic" w:hint="cs"/>
          <w:sz w:val="27"/>
          <w:rtl/>
        </w:rPr>
        <w:t>لا</w:t>
      </w:r>
      <w:r w:rsidRPr="00904FCB">
        <w:rPr>
          <w:rFonts w:ascii="Traditional Arabic" w:hAnsi="Traditional Arabic" w:hint="cs"/>
          <w:sz w:val="27"/>
          <w:rtl/>
        </w:rPr>
        <w:t xml:space="preserve"> العوضين معلوماً</w:t>
      </w:r>
      <w:r w:rsidR="00443406" w:rsidRPr="00904FCB">
        <w:rPr>
          <w:rFonts w:ascii="Traditional Arabic" w:hAnsi="Traditional Arabic" w:hint="cs"/>
          <w:sz w:val="27"/>
          <w:rtl/>
        </w:rPr>
        <w:t>،</w:t>
      </w:r>
      <w:r w:rsidRPr="00904FCB">
        <w:rPr>
          <w:rFonts w:ascii="Traditional Arabic" w:hAnsi="Traditional Arabic" w:hint="cs"/>
          <w:sz w:val="27"/>
          <w:rtl/>
        </w:rPr>
        <w:t xml:space="preserve"> بحيث ترتفع الجهالة الموجبة للغرر، قال: إن معلومية المبيع واجبة من خمس جهات، وهي: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b/>
          <w:bCs/>
          <w:sz w:val="27"/>
          <w:rtl/>
        </w:rPr>
        <w:t>1ـ الوجود</w:t>
      </w:r>
      <w:r w:rsidRPr="00B54760">
        <w:rPr>
          <w:rFonts w:ascii="Traditional Arabic" w:hAnsi="Traditional Arabic" w:hint="cs"/>
          <w:sz w:val="27"/>
          <w:rtl/>
        </w:rPr>
        <w:t>: وعليه لا يقع الحمل في البطن أو اللبن في الض</w:t>
      </w:r>
      <w:r w:rsidR="00443406" w:rsidRPr="00B54760">
        <w:rPr>
          <w:rFonts w:ascii="Traditional Arabic" w:hAnsi="Traditional Arabic" w:hint="cs"/>
          <w:sz w:val="27"/>
          <w:rtl/>
        </w:rPr>
        <w:t>َّ</w:t>
      </w:r>
      <w:r w:rsidRPr="00B54760">
        <w:rPr>
          <w:rFonts w:ascii="Traditional Arabic" w:hAnsi="Traditional Arabic" w:hint="cs"/>
          <w:sz w:val="27"/>
          <w:rtl/>
        </w:rPr>
        <w:t>ر</w:t>
      </w:r>
      <w:r w:rsidR="00443406" w:rsidRPr="00B54760">
        <w:rPr>
          <w:rFonts w:ascii="Traditional Arabic" w:hAnsi="Traditional Arabic" w:hint="cs"/>
          <w:sz w:val="27"/>
          <w:rtl/>
        </w:rPr>
        <w:t>ْ</w:t>
      </w:r>
      <w:r w:rsidRPr="00B54760">
        <w:rPr>
          <w:rFonts w:ascii="Traditional Arabic" w:hAnsi="Traditional Arabic" w:hint="cs"/>
          <w:sz w:val="27"/>
          <w:rtl/>
        </w:rPr>
        <w:t>ع مثمناً إذا كان</w:t>
      </w:r>
      <w:r w:rsidRPr="00904FCB">
        <w:rPr>
          <w:rFonts w:ascii="Traditional Arabic" w:hAnsi="Traditional Arabic" w:hint="cs"/>
          <w:sz w:val="27"/>
          <w:rtl/>
        </w:rPr>
        <w:t xml:space="preserve"> وجوده مشكوكاً.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b/>
          <w:bCs/>
          <w:sz w:val="27"/>
          <w:rtl/>
        </w:rPr>
        <w:t>2ـ الحصول</w:t>
      </w:r>
      <w:r w:rsidRPr="00B54760">
        <w:rPr>
          <w:rFonts w:ascii="Traditional Arabic" w:hAnsi="Traditional Arabic" w:hint="cs"/>
          <w:sz w:val="27"/>
          <w:rtl/>
        </w:rPr>
        <w:t>: وعليه إذا كانت السلطة على المال المعلوم مشكوكة لا يمكن أن</w:t>
      </w:r>
      <w:r w:rsidRPr="00904FCB">
        <w:rPr>
          <w:rFonts w:ascii="Traditional Arabic" w:hAnsi="Traditional Arabic" w:hint="cs"/>
          <w:sz w:val="27"/>
          <w:rtl/>
        </w:rPr>
        <w:t xml:space="preserve"> يقع مثمناً. من قبيل: العبد الآبق</w:t>
      </w:r>
      <w:r w:rsidR="00443406" w:rsidRPr="00904FCB">
        <w:rPr>
          <w:rFonts w:ascii="Traditional Arabic" w:hAnsi="Traditional Arabic" w:hint="cs"/>
          <w:sz w:val="27"/>
          <w:rtl/>
        </w:rPr>
        <w:t>،</w:t>
      </w:r>
      <w:r w:rsidRPr="00904FCB">
        <w:rPr>
          <w:rFonts w:ascii="Traditional Arabic" w:hAnsi="Traditional Arabic" w:hint="cs"/>
          <w:sz w:val="27"/>
          <w:rtl/>
        </w:rPr>
        <w:t xml:space="preserve"> والمال الغارق، وتكون المعاملة باطلة.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b/>
          <w:bCs/>
          <w:sz w:val="27"/>
          <w:rtl/>
        </w:rPr>
        <w:t>3ـ الجنس</w:t>
      </w:r>
      <w:r w:rsidRPr="00B54760">
        <w:rPr>
          <w:rFonts w:ascii="Traditional Arabic" w:hAnsi="Traditional Arabic" w:hint="cs"/>
          <w:sz w:val="27"/>
          <w:rtl/>
        </w:rPr>
        <w:t>: وعليه إذا لم يكن جنس المبيع معلوماً، وترد</w:t>
      </w:r>
      <w:r w:rsidR="00443406" w:rsidRPr="00B54760">
        <w:rPr>
          <w:rFonts w:ascii="Traditional Arabic" w:hAnsi="Traditional Arabic" w:hint="cs"/>
          <w:sz w:val="27"/>
          <w:rtl/>
        </w:rPr>
        <w:t>َّ</w:t>
      </w:r>
      <w:r w:rsidRPr="00B54760">
        <w:rPr>
          <w:rFonts w:ascii="Traditional Arabic" w:hAnsi="Traditional Arabic" w:hint="cs"/>
          <w:sz w:val="27"/>
          <w:rtl/>
        </w:rPr>
        <w:t>د بين أن يكون ذهباً أو</w:t>
      </w:r>
      <w:r w:rsidRPr="00904FCB">
        <w:rPr>
          <w:rFonts w:ascii="Traditional Arabic" w:hAnsi="Traditional Arabic" w:hint="cs"/>
          <w:sz w:val="27"/>
          <w:rtl/>
        </w:rPr>
        <w:t xml:space="preserve"> حديداً، </w:t>
      </w:r>
      <w:r w:rsidR="00443406" w:rsidRPr="00904FCB">
        <w:rPr>
          <w:rFonts w:ascii="Traditional Arabic" w:hAnsi="Traditional Arabic" w:hint="cs"/>
          <w:sz w:val="27"/>
          <w:rtl/>
        </w:rPr>
        <w:t>لا يقع ال</w:t>
      </w:r>
      <w:r w:rsidRPr="00904FCB">
        <w:rPr>
          <w:rFonts w:ascii="Traditional Arabic" w:hAnsi="Traditional Arabic" w:hint="cs"/>
          <w:sz w:val="27"/>
          <w:rtl/>
        </w:rPr>
        <w:t xml:space="preserve">بيع.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b/>
          <w:bCs/>
          <w:sz w:val="27"/>
          <w:rtl/>
        </w:rPr>
        <w:t>4ـ الوصف</w:t>
      </w:r>
      <w:r w:rsidRPr="00B54760">
        <w:rPr>
          <w:rFonts w:ascii="Traditional Arabic" w:hAnsi="Traditional Arabic" w:hint="cs"/>
          <w:sz w:val="27"/>
          <w:rtl/>
        </w:rPr>
        <w:t>: وعليه إذا لم يعلم أن القمح أو الحنطة من النوع الجي</w:t>
      </w:r>
      <w:r w:rsidR="00443406" w:rsidRPr="00B54760">
        <w:rPr>
          <w:rFonts w:ascii="Traditional Arabic" w:hAnsi="Traditional Arabic" w:hint="cs"/>
          <w:sz w:val="27"/>
          <w:rtl/>
        </w:rPr>
        <w:t>ِّ</w:t>
      </w:r>
      <w:r w:rsidRPr="00B54760">
        <w:rPr>
          <w:rFonts w:ascii="Traditional Arabic" w:hAnsi="Traditional Arabic" w:hint="cs"/>
          <w:sz w:val="27"/>
          <w:rtl/>
        </w:rPr>
        <w:t xml:space="preserve">د أو الرديء </w:t>
      </w:r>
      <w:r w:rsidR="00443406" w:rsidRPr="00B54760">
        <w:rPr>
          <w:rFonts w:ascii="Traditional Arabic" w:hAnsi="Traditional Arabic" w:hint="cs"/>
          <w:sz w:val="27"/>
          <w:rtl/>
        </w:rPr>
        <w:t>لا</w:t>
      </w:r>
      <w:r w:rsidR="00443406" w:rsidRPr="00904FCB">
        <w:rPr>
          <w:rFonts w:ascii="Traditional Arabic" w:hAnsi="Traditional Arabic" w:hint="cs"/>
          <w:sz w:val="27"/>
          <w:rtl/>
        </w:rPr>
        <w:t xml:space="preserve"> يقع ال</w:t>
      </w:r>
      <w:r w:rsidRPr="00904FCB">
        <w:rPr>
          <w:rFonts w:ascii="Traditional Arabic" w:hAnsi="Traditional Arabic" w:hint="cs"/>
          <w:sz w:val="27"/>
          <w:rtl/>
        </w:rPr>
        <w:t xml:space="preserve">بيع. </w:t>
      </w:r>
    </w:p>
    <w:p w:rsidR="00F34FB9" w:rsidRPr="00904FCB" w:rsidRDefault="00F34FB9" w:rsidP="007A21AA">
      <w:pPr>
        <w:spacing w:line="400" w:lineRule="exact"/>
        <w:rPr>
          <w:rFonts w:ascii="Traditional Arabic" w:hAnsi="Traditional Arabic"/>
          <w:sz w:val="27"/>
          <w:rtl/>
        </w:rPr>
      </w:pPr>
      <w:r w:rsidRPr="00B54760">
        <w:rPr>
          <w:rFonts w:ascii="Traditional Arabic" w:hAnsi="Traditional Arabic" w:hint="cs"/>
          <w:b/>
          <w:bCs/>
          <w:sz w:val="27"/>
          <w:rtl/>
        </w:rPr>
        <w:t>5ـ السلامة</w:t>
      </w:r>
      <w:r w:rsidRPr="00B54760">
        <w:rPr>
          <w:rFonts w:ascii="Traditional Arabic" w:hAnsi="Traditional Arabic" w:hint="cs"/>
          <w:sz w:val="27"/>
          <w:rtl/>
        </w:rPr>
        <w:t>: ذهب الفقهاء إلى عدم اعتبار العلم بسلامة المبيع شرطاً في الصح</w:t>
      </w:r>
      <w:r w:rsidR="00443406" w:rsidRPr="00B54760">
        <w:rPr>
          <w:rFonts w:ascii="Traditional Arabic" w:hAnsi="Traditional Arabic" w:hint="cs"/>
          <w:sz w:val="27"/>
          <w:rtl/>
        </w:rPr>
        <w:t>ّ</w:t>
      </w:r>
      <w:r w:rsidRPr="00B54760">
        <w:rPr>
          <w:rFonts w:ascii="Traditional Arabic" w:hAnsi="Traditional Arabic" w:hint="cs"/>
          <w:sz w:val="27"/>
          <w:rtl/>
        </w:rPr>
        <w:t>ة،</w:t>
      </w:r>
      <w:r w:rsidRPr="00904FCB">
        <w:rPr>
          <w:rFonts w:ascii="Traditional Arabic" w:hAnsi="Traditional Arabic" w:hint="cs"/>
          <w:sz w:val="27"/>
          <w:rtl/>
        </w:rPr>
        <w:t xml:space="preserve"> بل قالوا بصحة المعاملة حت</w:t>
      </w:r>
      <w:r w:rsidR="00443406" w:rsidRPr="00904FCB">
        <w:rPr>
          <w:rFonts w:ascii="Traditional Arabic" w:hAnsi="Traditional Arabic" w:hint="cs"/>
          <w:sz w:val="27"/>
          <w:rtl/>
        </w:rPr>
        <w:t>ّ</w:t>
      </w:r>
      <w:r w:rsidRPr="00904FCB">
        <w:rPr>
          <w:rFonts w:ascii="Traditional Arabic" w:hAnsi="Traditional Arabic" w:hint="cs"/>
          <w:sz w:val="27"/>
          <w:rtl/>
        </w:rPr>
        <w:t>ى مع الجهل بسلامة المبيع، ولكن</w:t>
      </w:r>
      <w:r w:rsidR="00443406" w:rsidRPr="00904FCB">
        <w:rPr>
          <w:rFonts w:ascii="Traditional Arabic" w:hAnsi="Traditional Arabic" w:hint="cs"/>
          <w:sz w:val="27"/>
          <w:rtl/>
        </w:rPr>
        <w:t>ْ</w:t>
      </w:r>
      <w:r w:rsidRPr="00904FCB">
        <w:rPr>
          <w:rFonts w:ascii="Traditional Arabic" w:hAnsi="Traditional Arabic" w:hint="cs"/>
          <w:sz w:val="27"/>
          <w:rtl/>
        </w:rPr>
        <w:t xml:space="preserve"> إذا كان المبيع معيباً سيكون هناك في البين خيار العيب، خلافاً للأمور الخمسة الأخرى التي يكون كل</w:t>
      </w:r>
      <w:r w:rsidR="00443406" w:rsidRPr="00904FCB">
        <w:rPr>
          <w:rFonts w:ascii="Traditional Arabic" w:hAnsi="Traditional Arabic" w:hint="cs"/>
          <w:sz w:val="27"/>
          <w:rtl/>
        </w:rPr>
        <w:t>ّ</w:t>
      </w:r>
      <w:r w:rsidRPr="00904FCB">
        <w:rPr>
          <w:rFonts w:ascii="Traditional Arabic" w:hAnsi="Traditional Arabic" w:hint="cs"/>
          <w:sz w:val="27"/>
          <w:rtl/>
        </w:rPr>
        <w:t xml:space="preserve"> </w:t>
      </w:r>
      <w:r w:rsidRPr="00904FCB">
        <w:rPr>
          <w:rFonts w:ascii="Traditional Arabic" w:hAnsi="Traditional Arabic" w:hint="cs"/>
          <w:sz w:val="27"/>
          <w:rtl/>
        </w:rPr>
        <w:lastRenderedPageBreak/>
        <w:t xml:space="preserve">واحد منها شرطاً في صحّة البيع. </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لا ش</w:t>
      </w:r>
      <w:r w:rsidR="00443406" w:rsidRPr="00904FCB">
        <w:rPr>
          <w:rFonts w:ascii="Traditional Arabic" w:hAnsi="Traditional Arabic" w:hint="cs"/>
          <w:sz w:val="27"/>
          <w:rtl/>
        </w:rPr>
        <w:t>َ</w:t>
      </w:r>
      <w:r w:rsidRPr="00904FCB">
        <w:rPr>
          <w:rFonts w:ascii="Traditional Arabic" w:hAnsi="Traditional Arabic" w:hint="cs"/>
          <w:sz w:val="27"/>
          <w:rtl/>
        </w:rPr>
        <w:t>ك</w:t>
      </w:r>
      <w:r w:rsidR="00443406" w:rsidRPr="00904FCB">
        <w:rPr>
          <w:rFonts w:ascii="Traditional Arabic" w:hAnsi="Traditional Arabic" w:hint="cs"/>
          <w:sz w:val="27"/>
          <w:rtl/>
        </w:rPr>
        <w:t>َّ</w:t>
      </w:r>
      <w:r w:rsidRPr="00904FCB">
        <w:rPr>
          <w:rFonts w:ascii="Traditional Arabic" w:hAnsi="Traditional Arabic" w:hint="cs"/>
          <w:sz w:val="27"/>
          <w:rtl/>
        </w:rPr>
        <w:t xml:space="preserve"> في أن هذا التقسيم والتبويب من </w:t>
      </w:r>
      <w:r w:rsidR="00443406" w:rsidRPr="00904FCB">
        <w:rPr>
          <w:rFonts w:ascii="Traditional Arabic" w:hAnsi="Traditional Arabic" w:hint="cs"/>
          <w:sz w:val="27"/>
          <w:rtl/>
        </w:rPr>
        <w:t>ا</w:t>
      </w:r>
      <w:r w:rsidRPr="00904FCB">
        <w:rPr>
          <w:rFonts w:ascii="Traditional Arabic" w:hAnsi="Traditional Arabic" w:hint="cs"/>
          <w:sz w:val="27"/>
          <w:rtl/>
        </w:rPr>
        <w:t>بتكارات وإبداعات العلا</w:t>
      </w:r>
      <w:r w:rsidR="00443406" w:rsidRPr="00904FCB">
        <w:rPr>
          <w:rFonts w:ascii="Traditional Arabic" w:hAnsi="Traditional Arabic" w:hint="cs"/>
          <w:sz w:val="27"/>
          <w:rtl/>
        </w:rPr>
        <w:t>ّ</w:t>
      </w:r>
      <w:r w:rsidRPr="00904FCB">
        <w:rPr>
          <w:rFonts w:ascii="Traditional Arabic" w:hAnsi="Traditional Arabic" w:hint="cs"/>
          <w:sz w:val="27"/>
          <w:rtl/>
        </w:rPr>
        <w:t xml:space="preserve">مة آل كاشف الغطاء. </w:t>
      </w:r>
    </w:p>
    <w:p w:rsidR="00F34FB9" w:rsidRPr="00904FCB" w:rsidRDefault="00F34FB9" w:rsidP="007A21AA">
      <w:pPr>
        <w:spacing w:line="400" w:lineRule="exact"/>
        <w:rPr>
          <w:rFonts w:ascii="Traditional Arabic" w:hAnsi="Traditional Arabic"/>
          <w:sz w:val="27"/>
          <w:rtl/>
        </w:rPr>
      </w:pPr>
    </w:p>
    <w:p w:rsidR="00F34FB9" w:rsidRPr="00904FCB" w:rsidRDefault="00F34FB9" w:rsidP="007A21AA">
      <w:pPr>
        <w:pStyle w:val="31"/>
        <w:spacing w:line="400" w:lineRule="exact"/>
        <w:rPr>
          <w:color w:val="auto"/>
          <w:rtl/>
        </w:rPr>
      </w:pPr>
      <w:r w:rsidRPr="00904FCB">
        <w:rPr>
          <w:rFonts w:hint="cs"/>
          <w:color w:val="auto"/>
          <w:rtl/>
        </w:rPr>
        <w:t>نقد كتاب المجلة وشروحه</w:t>
      </w:r>
    </w:p>
    <w:p w:rsidR="00F34FB9" w:rsidRPr="00904FCB" w:rsidRDefault="00F34FB9" w:rsidP="007A21AA">
      <w:pPr>
        <w:spacing w:line="400" w:lineRule="exact"/>
        <w:rPr>
          <w:rFonts w:ascii="Traditional Arabic" w:hAnsi="Traditional Arabic"/>
          <w:sz w:val="27"/>
          <w:rtl/>
        </w:rPr>
      </w:pPr>
      <w:r w:rsidRPr="00904FCB">
        <w:rPr>
          <w:rFonts w:ascii="Traditional Arabic" w:hAnsi="Traditional Arabic" w:hint="cs"/>
          <w:sz w:val="27"/>
          <w:rtl/>
        </w:rPr>
        <w:t>كما عمد سماحته إلى نقد كتاب المجلة في جميع مواضعه</w:t>
      </w:r>
      <w:r w:rsidR="004F0FB3" w:rsidRPr="00904FCB">
        <w:rPr>
          <w:rFonts w:ascii="Traditional Arabic" w:hAnsi="Traditional Arabic" w:hint="cs"/>
          <w:sz w:val="27"/>
          <w:rtl/>
        </w:rPr>
        <w:t>،</w:t>
      </w:r>
      <w:r w:rsidRPr="00904FCB">
        <w:rPr>
          <w:rFonts w:ascii="Traditional Arabic" w:hAnsi="Traditional Arabic" w:hint="cs"/>
          <w:sz w:val="27"/>
          <w:rtl/>
        </w:rPr>
        <w:t xml:space="preserve"> ومن </w:t>
      </w:r>
      <w:r w:rsidR="004F0FB3" w:rsidRPr="00904FCB">
        <w:rPr>
          <w:rFonts w:ascii="Traditional Arabic" w:hAnsi="Traditional Arabic" w:hint="cs"/>
          <w:sz w:val="27"/>
          <w:rtl/>
        </w:rPr>
        <w:t>كافّة الجهات</w:t>
      </w:r>
      <w:r w:rsidRPr="00904FCB">
        <w:rPr>
          <w:rFonts w:ascii="Traditional Arabic" w:hAnsi="Traditional Arabic" w:hint="cs"/>
          <w:sz w:val="27"/>
          <w:rtl/>
        </w:rPr>
        <w:t xml:space="preserve">، ومن ذلك: </w:t>
      </w:r>
    </w:p>
    <w:p w:rsidR="00F34FB9" w:rsidRPr="00904FCB" w:rsidRDefault="004F0FB3" w:rsidP="007A21AA">
      <w:pPr>
        <w:spacing w:line="400" w:lineRule="exact"/>
        <w:rPr>
          <w:rFonts w:ascii="Traditional Arabic" w:hAnsi="Traditional Arabic"/>
          <w:sz w:val="27"/>
          <w:rtl/>
        </w:rPr>
      </w:pPr>
      <w:r w:rsidRPr="00904FCB">
        <w:rPr>
          <w:rFonts w:ascii="Traditional Arabic" w:hAnsi="Traditional Arabic" w:hint="cs"/>
          <w:sz w:val="27"/>
          <w:rtl/>
        </w:rPr>
        <w:t>ـ إ</w:t>
      </w:r>
      <w:r w:rsidR="00F34FB9" w:rsidRPr="00904FCB">
        <w:rPr>
          <w:rFonts w:ascii="Traditional Arabic" w:hAnsi="Traditional Arabic" w:hint="cs"/>
          <w:sz w:val="27"/>
          <w:rtl/>
        </w:rPr>
        <w:t xml:space="preserve">نه رأى تكراراً للمسائل في الكثير من الموارد، وقال بأن محتوى ومضمون العديد من المسائل واحد، </w:t>
      </w:r>
      <w:r w:rsidRPr="00B54760">
        <w:rPr>
          <w:rFonts w:ascii="Traditional Arabic" w:hAnsi="Traditional Arabic" w:hint="cs"/>
          <w:sz w:val="27"/>
          <w:rtl/>
        </w:rPr>
        <w:t>ومن</w:t>
      </w:r>
      <w:r w:rsidR="00F34FB9" w:rsidRPr="00B54760">
        <w:rPr>
          <w:rFonts w:ascii="Traditional Arabic" w:hAnsi="Traditional Arabic" w:hint="cs"/>
          <w:sz w:val="27"/>
          <w:rtl/>
        </w:rPr>
        <w:t>ها</w:t>
      </w:r>
      <w:r w:rsidRPr="00B54760">
        <w:rPr>
          <w:rFonts w:ascii="Traditional Arabic" w:hAnsi="Traditional Arabic" w:hint="cs"/>
          <w:sz w:val="27"/>
          <w:rtl/>
        </w:rPr>
        <w:t>:</w:t>
      </w:r>
      <w:r w:rsidR="00F34FB9" w:rsidRPr="00B54760">
        <w:rPr>
          <w:rFonts w:ascii="Traditional Arabic" w:hAnsi="Traditional Arabic" w:hint="cs"/>
          <w:sz w:val="27"/>
          <w:rtl/>
        </w:rPr>
        <w:t xml:space="preserve"> المواد </w:t>
      </w:r>
      <w:r w:rsidRPr="00B54760">
        <w:rPr>
          <w:rFonts w:ascii="Traditional Arabic" w:hAnsi="Traditional Arabic" w:hint="cs"/>
          <w:sz w:val="27"/>
          <w:rtl/>
        </w:rPr>
        <w:t>التالية</w:t>
      </w:r>
      <w:r w:rsidR="00F34FB9" w:rsidRPr="00B54760">
        <w:rPr>
          <w:rFonts w:ascii="Traditional Arabic" w:hAnsi="Traditional Arabic" w:hint="cs"/>
          <w:sz w:val="27"/>
          <w:rtl/>
        </w:rPr>
        <w:t xml:space="preserve">: </w:t>
      </w:r>
      <w:r w:rsidRPr="00B54760">
        <w:rPr>
          <w:rFonts w:ascii="Traditional Arabic" w:hAnsi="Traditional Arabic" w:hint="cs"/>
          <w:sz w:val="27"/>
          <w:rtl/>
        </w:rPr>
        <w:t xml:space="preserve">20، 21، 25، 26، </w:t>
      </w:r>
      <w:r w:rsidR="00F34FB9" w:rsidRPr="00B54760">
        <w:rPr>
          <w:rFonts w:ascii="Traditional Arabic" w:hAnsi="Traditional Arabic" w:hint="cs"/>
          <w:sz w:val="27"/>
          <w:rtl/>
        </w:rPr>
        <w:t>27، حيث يتمّ إرجاعها إلى المادة التاسعة عشرة. كما يرى المادة الثانية والثلاثين والمادة الثالثة والثلاثين مادة واحدة. ويرجع المواد 43 و44 و45 إلى</w:t>
      </w:r>
      <w:r w:rsidR="00F34FB9" w:rsidRPr="00904FCB">
        <w:rPr>
          <w:rFonts w:ascii="Traditional Arabic" w:hAnsi="Traditional Arabic" w:hint="cs"/>
          <w:sz w:val="27"/>
          <w:rtl/>
        </w:rPr>
        <w:t xml:space="preserve"> المادة الثانية والأربعين، ويعتبر المادتين السادسة والسبعين والسابعة والسبعين مادة واحدة. </w:t>
      </w:r>
    </w:p>
    <w:p w:rsidR="00F34FB9" w:rsidRPr="00904FCB" w:rsidRDefault="004F0FB3" w:rsidP="007A21AA">
      <w:pPr>
        <w:spacing w:line="400" w:lineRule="exact"/>
        <w:rPr>
          <w:rFonts w:ascii="Traditional Arabic" w:hAnsi="Traditional Arabic"/>
          <w:sz w:val="27"/>
          <w:rtl/>
        </w:rPr>
      </w:pPr>
      <w:r w:rsidRPr="00904FCB">
        <w:rPr>
          <w:rFonts w:ascii="Traditional Arabic" w:hAnsi="Traditional Arabic" w:hint="cs"/>
          <w:sz w:val="27"/>
          <w:rtl/>
        </w:rPr>
        <w:t xml:space="preserve">ـ </w:t>
      </w:r>
      <w:r w:rsidR="00F34FB9" w:rsidRPr="00904FCB">
        <w:rPr>
          <w:rFonts w:ascii="Traditional Arabic" w:hAnsi="Traditional Arabic" w:hint="cs"/>
          <w:sz w:val="27"/>
          <w:rtl/>
        </w:rPr>
        <w:t>وفي الكثير من الموارد نجده يعمد إلى نقد المواد من الناحية المضمونية، قائلاً: إن هذه المادة لا توافق فقه الإمامية، من قبيل: المادة الثانية والثلاثين (الحاجة تنزل منزلة الضرورة)، والمادة السادسة والثلاثين (العادة المحكمة)، بمعنى أن العادة ـ عام</w:t>
      </w:r>
      <w:r w:rsidRPr="00904FCB">
        <w:rPr>
          <w:rFonts w:ascii="Traditional Arabic" w:hAnsi="Traditional Arabic" w:hint="cs"/>
          <w:sz w:val="27"/>
          <w:rtl/>
        </w:rPr>
        <w:t>ّ</w:t>
      </w:r>
      <w:r w:rsidR="00F34FB9" w:rsidRPr="00904FCB">
        <w:rPr>
          <w:rFonts w:ascii="Traditional Arabic" w:hAnsi="Traditional Arabic" w:hint="cs"/>
          <w:sz w:val="27"/>
          <w:rtl/>
        </w:rPr>
        <w:t>ة أو خاص</w:t>
      </w:r>
      <w:r w:rsidRPr="00904FCB">
        <w:rPr>
          <w:rFonts w:ascii="Traditional Arabic" w:hAnsi="Traditional Arabic" w:hint="cs"/>
          <w:sz w:val="27"/>
          <w:rtl/>
        </w:rPr>
        <w:t>ّ</w:t>
      </w:r>
      <w:r w:rsidR="00F34FB9" w:rsidRPr="00904FCB">
        <w:rPr>
          <w:rFonts w:ascii="Traditional Arabic" w:hAnsi="Traditional Arabic" w:hint="cs"/>
          <w:sz w:val="27"/>
          <w:rtl/>
        </w:rPr>
        <w:t>ة ـ تجعل حكماً لإثبات حكم شرعي</w:t>
      </w:r>
      <w:r w:rsidRPr="00904FCB">
        <w:rPr>
          <w:rFonts w:ascii="Traditional Arabic" w:hAnsi="Traditional Arabic" w:hint="cs"/>
          <w:sz w:val="27"/>
          <w:rtl/>
        </w:rPr>
        <w:t xml:space="preserve">، </w:t>
      </w:r>
      <w:r w:rsidR="00F34FB9" w:rsidRPr="00904FCB">
        <w:rPr>
          <w:rFonts w:ascii="Traditional Arabic" w:hAnsi="Traditional Arabic" w:hint="cs"/>
          <w:sz w:val="27"/>
          <w:rtl/>
        </w:rPr>
        <w:t>والمادة الثانية والأربعين (العبرة للغالب الشائع)، والمادة الثالثة والست</w:t>
      </w:r>
      <w:r w:rsidRPr="00904FCB">
        <w:rPr>
          <w:rFonts w:ascii="Traditional Arabic" w:hAnsi="Traditional Arabic" w:hint="cs"/>
          <w:sz w:val="27"/>
          <w:rtl/>
        </w:rPr>
        <w:t>ّ</w:t>
      </w:r>
      <w:r w:rsidR="00F34FB9" w:rsidRPr="00904FCB">
        <w:rPr>
          <w:rFonts w:ascii="Traditional Arabic" w:hAnsi="Traditional Arabic" w:hint="cs"/>
          <w:sz w:val="27"/>
          <w:rtl/>
        </w:rPr>
        <w:t>ين (ذكر ما لا يتجزّأ يذكر كل</w:t>
      </w:r>
      <w:r w:rsidRPr="00904FCB">
        <w:rPr>
          <w:rFonts w:ascii="Traditional Arabic" w:hAnsi="Traditional Arabic" w:hint="cs"/>
          <w:sz w:val="27"/>
          <w:rtl/>
        </w:rPr>
        <w:t>ّ</w:t>
      </w:r>
      <w:r w:rsidR="00F34FB9" w:rsidRPr="00904FCB">
        <w:rPr>
          <w:rFonts w:ascii="Traditional Arabic" w:hAnsi="Traditional Arabic" w:hint="cs"/>
          <w:sz w:val="27"/>
          <w:rtl/>
        </w:rPr>
        <w:t>ه)، والمادة التاسعة والست</w:t>
      </w:r>
      <w:r w:rsidRPr="00904FCB">
        <w:rPr>
          <w:rFonts w:ascii="Traditional Arabic" w:hAnsi="Traditional Arabic" w:hint="cs"/>
          <w:sz w:val="27"/>
          <w:rtl/>
        </w:rPr>
        <w:t>ّ</w:t>
      </w:r>
      <w:r w:rsidR="00F34FB9" w:rsidRPr="00904FCB">
        <w:rPr>
          <w:rFonts w:ascii="Traditional Arabic" w:hAnsi="Traditional Arabic" w:hint="cs"/>
          <w:sz w:val="27"/>
          <w:rtl/>
        </w:rPr>
        <w:t xml:space="preserve">ين (الكتاب كالخطاب). </w:t>
      </w:r>
    </w:p>
    <w:p w:rsidR="00E83C22" w:rsidRPr="00904FCB" w:rsidRDefault="004F0FB3" w:rsidP="007A21AA">
      <w:pPr>
        <w:spacing w:line="400" w:lineRule="exact"/>
        <w:rPr>
          <w:rtl/>
        </w:rPr>
      </w:pPr>
      <w:r w:rsidRPr="00904FCB">
        <w:rPr>
          <w:rFonts w:hint="cs"/>
          <w:rtl/>
        </w:rPr>
        <w:t xml:space="preserve">ـ </w:t>
      </w:r>
      <w:r w:rsidR="00F34FB9" w:rsidRPr="00904FCB">
        <w:rPr>
          <w:rFonts w:hint="cs"/>
          <w:rtl/>
        </w:rPr>
        <w:t>ويرى في الكثير من الموارد أن المواد الواردة فيها هي من قبيل شرح الاسم، ولو أن المؤل</w:t>
      </w:r>
      <w:r w:rsidRPr="00904FCB">
        <w:rPr>
          <w:rFonts w:hint="cs"/>
          <w:rtl/>
        </w:rPr>
        <w:t>ِّ</w:t>
      </w:r>
      <w:r w:rsidR="00F34FB9" w:rsidRPr="00904FCB">
        <w:rPr>
          <w:rFonts w:hint="cs"/>
          <w:rtl/>
        </w:rPr>
        <w:t xml:space="preserve">فين كانوا </w:t>
      </w:r>
      <w:r w:rsidR="00F34FB9" w:rsidRPr="00B54760">
        <w:rPr>
          <w:rFonts w:hint="cs"/>
          <w:rtl/>
        </w:rPr>
        <w:t>من العرب لما ذكروا هذه الموارد تحت عنوان الماد</w:t>
      </w:r>
      <w:r w:rsidRPr="00B54760">
        <w:rPr>
          <w:rFonts w:hint="cs"/>
          <w:rtl/>
        </w:rPr>
        <w:t>ّ</w:t>
      </w:r>
      <w:r w:rsidR="00F34FB9" w:rsidRPr="00B54760">
        <w:rPr>
          <w:rFonts w:hint="cs"/>
          <w:rtl/>
        </w:rPr>
        <w:t xml:space="preserve">ة، </w:t>
      </w:r>
      <w:r w:rsidRPr="00B54760">
        <w:rPr>
          <w:rFonts w:hint="cs"/>
          <w:rtl/>
        </w:rPr>
        <w:t xml:space="preserve">ومنها: </w:t>
      </w:r>
      <w:r w:rsidR="00F34FB9" w:rsidRPr="00B54760">
        <w:rPr>
          <w:rFonts w:hint="cs"/>
          <w:rtl/>
        </w:rPr>
        <w:t xml:space="preserve">المواد </w:t>
      </w:r>
      <w:r w:rsidRPr="00B54760">
        <w:rPr>
          <w:rFonts w:hint="cs"/>
          <w:rtl/>
        </w:rPr>
        <w:t>التالية</w:t>
      </w:r>
      <w:r w:rsidR="00F34FB9" w:rsidRPr="00B54760">
        <w:rPr>
          <w:rFonts w:hint="cs"/>
          <w:rtl/>
        </w:rPr>
        <w:t xml:space="preserve">: </w:t>
      </w:r>
      <w:r w:rsidRPr="00B54760">
        <w:rPr>
          <w:rFonts w:hint="cs"/>
          <w:rtl/>
        </w:rPr>
        <w:t xml:space="preserve">133، 134، 135، </w:t>
      </w:r>
      <w:r w:rsidR="00F34FB9" w:rsidRPr="00B54760">
        <w:rPr>
          <w:rFonts w:hint="cs"/>
          <w:rtl/>
        </w:rPr>
        <w:t>136 إلى المادة 162.</w:t>
      </w:r>
    </w:p>
    <w:p w:rsidR="00E83C22" w:rsidRPr="00904FCB" w:rsidRDefault="00E83C22" w:rsidP="007A21AA">
      <w:pPr>
        <w:spacing w:line="400" w:lineRule="exact"/>
        <w:rPr>
          <w:rtl/>
        </w:rPr>
      </w:pPr>
    </w:p>
    <w:p w:rsidR="00E83C22" w:rsidRDefault="00E83C22" w:rsidP="007A21AA">
      <w:pPr>
        <w:spacing w:line="400" w:lineRule="exact"/>
        <w:rPr>
          <w:rtl/>
        </w:rPr>
      </w:pPr>
    </w:p>
    <w:p w:rsidR="0012606A" w:rsidRDefault="0012606A" w:rsidP="007A21AA">
      <w:pPr>
        <w:spacing w:line="400" w:lineRule="exact"/>
        <w:rPr>
          <w:rtl/>
        </w:rPr>
      </w:pPr>
    </w:p>
    <w:p w:rsidR="0012606A" w:rsidRDefault="0012606A" w:rsidP="007A21AA">
      <w:pPr>
        <w:spacing w:line="400" w:lineRule="exact"/>
        <w:rPr>
          <w:rtl/>
        </w:rPr>
      </w:pPr>
    </w:p>
    <w:p w:rsidR="0012606A" w:rsidRPr="00904FCB" w:rsidRDefault="0012606A"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182"/>
          <w:headerReference w:type="default" r:id="rId183"/>
          <w:footerReference w:type="even" r:id="rId184"/>
          <w:footerReference w:type="default" r:id="rId1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186"/>
          <w:headerReference w:type="default" r:id="rId187"/>
          <w:footerReference w:type="even" r:id="rId188"/>
          <w:footerReference w:type="default" r:id="rId189"/>
          <w:headerReference w:type="first" r:id="rId19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FB64C4" w:rsidP="0059690C">
      <w:pPr>
        <w:pStyle w:val="10"/>
        <w:spacing w:line="240" w:lineRule="auto"/>
        <w:rPr>
          <w:rtl/>
          <w:lang w:bidi="ar-AE"/>
        </w:rPr>
      </w:pPr>
      <w:bookmarkStart w:id="64" w:name="_Toc435577221"/>
      <w:r w:rsidRPr="00904FCB">
        <w:rPr>
          <w:rFonts w:hint="cs"/>
          <w:rtl/>
          <w:lang w:bidi="ar-AE"/>
        </w:rPr>
        <w:t>أفضليّة الأطعمة النباتية في النظام الغذائي</w:t>
      </w:r>
      <w:bookmarkEnd w:id="64"/>
    </w:p>
    <w:p w:rsidR="0098428A" w:rsidRPr="00904FCB" w:rsidRDefault="0098428A" w:rsidP="0059690C">
      <w:pPr>
        <w:pStyle w:val="10"/>
        <w:spacing w:line="240" w:lineRule="auto"/>
        <w:rPr>
          <w:sz w:val="42"/>
          <w:szCs w:val="42"/>
          <w:rtl/>
          <w:lang w:bidi="fa-IR"/>
        </w:rPr>
      </w:pPr>
      <w:bookmarkStart w:id="65" w:name="_Toc435577222"/>
      <w:r w:rsidRPr="00904FCB">
        <w:rPr>
          <w:rFonts w:hint="cs"/>
          <w:sz w:val="42"/>
          <w:szCs w:val="42"/>
          <w:rtl/>
          <w:lang w:bidi="fa-IR"/>
        </w:rPr>
        <w:t>قراءة</w:t>
      </w:r>
      <w:r w:rsidR="00A94E18">
        <w:rPr>
          <w:rFonts w:hint="cs"/>
          <w:sz w:val="42"/>
          <w:szCs w:val="42"/>
          <w:rtl/>
          <w:lang w:bidi="fa-IR"/>
        </w:rPr>
        <w:t>ٌ</w:t>
      </w:r>
      <w:r w:rsidRPr="00904FCB">
        <w:rPr>
          <w:rFonts w:hint="cs"/>
          <w:sz w:val="42"/>
          <w:szCs w:val="42"/>
          <w:rtl/>
          <w:lang w:bidi="fa-IR"/>
        </w:rPr>
        <w:t xml:space="preserve"> أخلاقية</w:t>
      </w:r>
      <w:bookmarkEnd w:id="65"/>
    </w:p>
    <w:p w:rsidR="00E83C22" w:rsidRPr="00904FCB" w:rsidRDefault="00E83C22" w:rsidP="007A21AA">
      <w:pPr>
        <w:spacing w:line="400" w:lineRule="exact"/>
        <w:rPr>
          <w:rtl/>
        </w:rPr>
      </w:pPr>
    </w:p>
    <w:p w:rsidR="00E83C22" w:rsidRPr="00904FCB" w:rsidRDefault="0098428A" w:rsidP="007A21AA">
      <w:pPr>
        <w:pStyle w:val="Author"/>
        <w:spacing w:line="400" w:lineRule="exact"/>
        <w:rPr>
          <w:rtl/>
        </w:rPr>
      </w:pPr>
      <w:bookmarkStart w:id="66" w:name="_Toc435577223"/>
      <w:r w:rsidRPr="00904FCB">
        <w:rPr>
          <w:rFonts w:hint="cs"/>
          <w:rtl/>
          <w:lang w:bidi="ar-AE"/>
        </w:rPr>
        <w:t xml:space="preserve">د. </w:t>
      </w:r>
      <w:r w:rsidR="00FB64C4" w:rsidRPr="00904FCB">
        <w:rPr>
          <w:rFonts w:hint="cs"/>
          <w:rtl/>
          <w:lang w:bidi="ar-AE"/>
        </w:rPr>
        <w:t>أحمد النراقي</w:t>
      </w:r>
      <w:r w:rsidR="00527634" w:rsidRPr="00904FCB">
        <w:rPr>
          <w:rFonts w:cs="Taher" w:hint="cs"/>
          <w:vertAlign w:val="superscript"/>
          <w:rtl/>
        </w:rPr>
        <w:t>(</w:t>
      </w:r>
      <w:r w:rsidR="00527634" w:rsidRPr="00904FCB">
        <w:rPr>
          <w:rFonts w:cs="Taher"/>
          <w:vertAlign w:val="superscript"/>
          <w:rtl/>
        </w:rPr>
        <w:footnoteReference w:customMarkFollows="1" w:id="20"/>
        <w:t>*)</w:t>
      </w:r>
      <w:bookmarkEnd w:id="66"/>
    </w:p>
    <w:p w:rsidR="00E83C22" w:rsidRPr="00904FCB" w:rsidRDefault="00E83C22" w:rsidP="00A94E18">
      <w:pPr>
        <w:pStyle w:val="Author"/>
        <w:spacing w:line="400" w:lineRule="exact"/>
        <w:ind w:right="28"/>
        <w:rPr>
          <w:rtl/>
        </w:rPr>
      </w:pPr>
      <w:bookmarkStart w:id="67" w:name="_Toc435577224"/>
      <w:r w:rsidRPr="00904FCB">
        <w:rPr>
          <w:rFonts w:hint="cs"/>
          <w:rtl/>
        </w:rPr>
        <w:t xml:space="preserve">ترجمة: </w:t>
      </w:r>
      <w:r w:rsidR="0098428A" w:rsidRPr="00904FCB">
        <w:rPr>
          <w:rFonts w:hint="cs"/>
          <w:rtl/>
          <w:lang w:bidi="ar-AE"/>
        </w:rPr>
        <w:t>وسيم حيدر</w:t>
      </w:r>
      <w:bookmarkEnd w:id="67"/>
    </w:p>
    <w:p w:rsidR="00E83C22" w:rsidRPr="00904FCB" w:rsidRDefault="00E83C22" w:rsidP="007A21AA">
      <w:pPr>
        <w:spacing w:line="400" w:lineRule="exact"/>
        <w:rPr>
          <w:rtl/>
        </w:rPr>
      </w:pPr>
    </w:p>
    <w:p w:rsidR="00FB64C4" w:rsidRPr="00904FCB" w:rsidRDefault="00FB64C4" w:rsidP="00C20E87">
      <w:pPr>
        <w:spacing w:line="420" w:lineRule="exact"/>
        <w:ind w:firstLine="561"/>
        <w:rPr>
          <w:sz w:val="27"/>
          <w:rtl/>
          <w:lang w:bidi="ar-AE"/>
        </w:rPr>
      </w:pPr>
      <w:r w:rsidRPr="00904FCB">
        <w:rPr>
          <w:rFonts w:hint="cs"/>
          <w:sz w:val="27"/>
          <w:rtl/>
          <w:lang w:bidi="ar-AE"/>
        </w:rPr>
        <w:t>نبحث في هذه المقالة عن الإجابة عن السؤال القائل: هل يمكن من الناحية الأخلاقية تسويغ أكل اللحوم؟ وبعبارة</w:t>
      </w:r>
      <w:r w:rsidR="00780FB7" w:rsidRPr="00904FCB">
        <w:rPr>
          <w:rFonts w:hint="cs"/>
          <w:sz w:val="27"/>
          <w:rtl/>
          <w:lang w:bidi="ar-AE"/>
        </w:rPr>
        <w:t>ٍ</w:t>
      </w:r>
      <w:r w:rsidRPr="00904FCB">
        <w:rPr>
          <w:rFonts w:hint="cs"/>
          <w:sz w:val="27"/>
          <w:rtl/>
          <w:lang w:bidi="ar-AE"/>
        </w:rPr>
        <w:t xml:space="preserve"> أخرى: هل يحق</w:t>
      </w:r>
      <w:r w:rsidR="00780FB7" w:rsidRPr="00904FCB">
        <w:rPr>
          <w:rFonts w:hint="cs"/>
          <w:sz w:val="27"/>
          <w:rtl/>
          <w:lang w:bidi="ar-AE"/>
        </w:rPr>
        <w:t>ّ</w:t>
      </w:r>
      <w:r w:rsidRPr="00904FCB">
        <w:rPr>
          <w:rFonts w:hint="cs"/>
          <w:sz w:val="27"/>
          <w:rtl/>
          <w:lang w:bidi="ar-AE"/>
        </w:rPr>
        <w:t xml:space="preserve"> لنا من الناحية الأخلاقية أن نسلب الحيوانات حياتها</w:t>
      </w:r>
      <w:r w:rsidR="00780FB7" w:rsidRPr="00904FCB">
        <w:rPr>
          <w:rFonts w:hint="cs"/>
          <w:sz w:val="27"/>
          <w:rtl/>
          <w:lang w:bidi="ar-AE"/>
        </w:rPr>
        <w:t>؛</w:t>
      </w:r>
      <w:r w:rsidRPr="00904FCB">
        <w:rPr>
          <w:rFonts w:hint="cs"/>
          <w:sz w:val="27"/>
          <w:rtl/>
          <w:lang w:bidi="ar-AE"/>
        </w:rPr>
        <w:t xml:space="preserve"> لتوفير الطعام لأنفسنا من لحومها؟</w:t>
      </w:r>
    </w:p>
    <w:p w:rsidR="00FB64C4" w:rsidRPr="00904FCB" w:rsidRDefault="00FB64C4" w:rsidP="001B0121">
      <w:pPr>
        <w:spacing w:line="420" w:lineRule="exact"/>
        <w:ind w:firstLine="561"/>
        <w:rPr>
          <w:sz w:val="27"/>
          <w:rtl/>
          <w:lang w:bidi="ar-AE"/>
        </w:rPr>
      </w:pPr>
    </w:p>
    <w:p w:rsidR="00FB64C4" w:rsidRPr="00904FCB" w:rsidRDefault="00FB64C4" w:rsidP="0098428A">
      <w:pPr>
        <w:pStyle w:val="31"/>
        <w:spacing w:line="400" w:lineRule="exact"/>
        <w:rPr>
          <w:color w:val="auto"/>
          <w:rtl/>
          <w:lang w:bidi="ar-AE"/>
        </w:rPr>
      </w:pPr>
      <w:r w:rsidRPr="00EB7818">
        <w:rPr>
          <w:rFonts w:hint="cs"/>
          <w:color w:val="auto"/>
          <w:rtl/>
          <w:lang w:bidi="ar-AE"/>
        </w:rPr>
        <w:t xml:space="preserve">1ـ </w:t>
      </w:r>
      <w:r w:rsidR="0098428A" w:rsidRPr="00EB7818">
        <w:rPr>
          <w:rFonts w:hint="cs"/>
          <w:color w:val="auto"/>
          <w:rtl/>
          <w:lang w:bidi="ar-AE"/>
        </w:rPr>
        <w:t>أصل</w:t>
      </w:r>
      <w:r w:rsidR="0098428A" w:rsidRPr="00904FCB">
        <w:rPr>
          <w:rFonts w:hint="cs"/>
          <w:color w:val="auto"/>
          <w:rtl/>
          <w:lang w:bidi="ar-AE"/>
        </w:rPr>
        <w:t xml:space="preserve"> محوريّة الإنسان</w:t>
      </w:r>
    </w:p>
    <w:p w:rsidR="00FB64C4" w:rsidRPr="00904FCB" w:rsidRDefault="00FB64C4" w:rsidP="00C20E87">
      <w:pPr>
        <w:spacing w:line="420" w:lineRule="exact"/>
        <w:ind w:firstLine="561"/>
        <w:rPr>
          <w:sz w:val="27"/>
          <w:rtl/>
          <w:lang w:bidi="ar-AE"/>
        </w:rPr>
      </w:pPr>
      <w:r w:rsidRPr="00904FCB">
        <w:rPr>
          <w:rFonts w:hint="cs"/>
          <w:sz w:val="27"/>
          <w:rtl/>
          <w:lang w:bidi="ar-AE"/>
        </w:rPr>
        <w:t>إن الكثير من الذين يسوّ</w:t>
      </w:r>
      <w:r w:rsidR="00780FB7" w:rsidRPr="00904FCB">
        <w:rPr>
          <w:rFonts w:hint="cs"/>
          <w:sz w:val="27"/>
          <w:rtl/>
          <w:lang w:bidi="ar-AE"/>
        </w:rPr>
        <w:t>ِ</w:t>
      </w:r>
      <w:r w:rsidRPr="00904FCB">
        <w:rPr>
          <w:rFonts w:hint="cs"/>
          <w:sz w:val="27"/>
          <w:rtl/>
          <w:lang w:bidi="ar-AE"/>
        </w:rPr>
        <w:t>غون النظام الغذائي اللاحم من الناحية الأخلاقية</w:t>
      </w:r>
      <w:r w:rsidR="008E328B" w:rsidRPr="00904FCB">
        <w:rPr>
          <w:rFonts w:hint="cs"/>
          <w:sz w:val="27"/>
          <w:rtl/>
          <w:lang w:bidi="ar-AE"/>
        </w:rPr>
        <w:t>،</w:t>
      </w:r>
      <w:r w:rsidRPr="00904FCB">
        <w:rPr>
          <w:rFonts w:hint="cs"/>
          <w:sz w:val="27"/>
          <w:rtl/>
          <w:lang w:bidi="ar-AE"/>
        </w:rPr>
        <w:t xml:space="preserve"> </w:t>
      </w:r>
      <w:r w:rsidR="008E328B" w:rsidRPr="00904FCB">
        <w:rPr>
          <w:rFonts w:hint="cs"/>
          <w:sz w:val="27"/>
          <w:rtl/>
          <w:lang w:bidi="ar-AE"/>
        </w:rPr>
        <w:t>و</w:t>
      </w:r>
      <w:r w:rsidRPr="00904FCB">
        <w:rPr>
          <w:rFonts w:hint="cs"/>
          <w:sz w:val="27"/>
          <w:rtl/>
          <w:lang w:bidi="ar-AE"/>
        </w:rPr>
        <w:t>دون قيد أو شرط، إنما يؤمنون بشكل</w:t>
      </w:r>
      <w:r w:rsidR="008E328B" w:rsidRPr="00904FCB">
        <w:rPr>
          <w:rFonts w:hint="cs"/>
          <w:sz w:val="27"/>
          <w:rtl/>
          <w:lang w:bidi="ar-AE"/>
        </w:rPr>
        <w:t>ٍ</w:t>
      </w:r>
      <w:r w:rsidRPr="00904FCB">
        <w:rPr>
          <w:rFonts w:hint="cs"/>
          <w:sz w:val="27"/>
          <w:rtl/>
          <w:lang w:bidi="ar-AE"/>
        </w:rPr>
        <w:t xml:space="preserve"> وآخر بالأصل </w:t>
      </w:r>
      <w:r w:rsidR="008E328B" w:rsidRPr="00904FCB">
        <w:rPr>
          <w:rFonts w:hint="cs"/>
          <w:sz w:val="27"/>
          <w:rtl/>
          <w:lang w:bidi="ar-AE"/>
        </w:rPr>
        <w:t xml:space="preserve">التالي، </w:t>
      </w:r>
      <w:r w:rsidRPr="00904FCB">
        <w:rPr>
          <w:rFonts w:hint="cs"/>
          <w:sz w:val="27"/>
          <w:rtl/>
          <w:lang w:bidi="ar-AE"/>
        </w:rPr>
        <w:t xml:space="preserve">الذي يمكن أن نطلق عليه مصطلح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008E328B" w:rsidRPr="00904FCB">
        <w:rPr>
          <w:rFonts w:hint="cs"/>
          <w:sz w:val="27"/>
          <w:rtl/>
          <w:lang w:bidi="ar-AE"/>
        </w:rPr>
        <w:t>.</w:t>
      </w:r>
    </w:p>
    <w:p w:rsidR="00FB64C4" w:rsidRPr="00904FCB" w:rsidRDefault="00FB64C4" w:rsidP="00C20E87">
      <w:pPr>
        <w:spacing w:line="420" w:lineRule="exact"/>
        <w:ind w:firstLine="561"/>
        <w:rPr>
          <w:sz w:val="27"/>
          <w:rtl/>
          <w:lang w:bidi="ar-AE"/>
        </w:rPr>
      </w:pPr>
      <w:r w:rsidRPr="00904FCB">
        <w:rPr>
          <w:rFonts w:hint="cs"/>
          <w:sz w:val="27"/>
          <w:rtl/>
          <w:lang w:bidi="ar-AE"/>
        </w:rPr>
        <w:t xml:space="preserve">إن أصل محورية الإنسان يعني </w:t>
      </w:r>
      <w:r w:rsidRPr="00904FCB">
        <w:rPr>
          <w:rFonts w:hint="eastAsia"/>
          <w:sz w:val="27"/>
          <w:rtl/>
        </w:rPr>
        <w:t>«</w:t>
      </w:r>
      <w:r w:rsidR="008E328B" w:rsidRPr="00904FCB">
        <w:rPr>
          <w:rFonts w:hint="cs"/>
          <w:sz w:val="27"/>
          <w:rtl/>
          <w:lang w:bidi="ar-AE"/>
        </w:rPr>
        <w:t>أ</w:t>
      </w:r>
      <w:r w:rsidRPr="00904FCB">
        <w:rPr>
          <w:rFonts w:hint="cs"/>
          <w:sz w:val="27"/>
          <w:rtl/>
          <w:lang w:bidi="ar-AE"/>
        </w:rPr>
        <w:t>ن الإنسان من الناحية الأخلاقية أفضل من سائر الكائنات الحيّة الأخرى</w:t>
      </w:r>
      <w:r w:rsidRPr="00904FCB">
        <w:rPr>
          <w:rFonts w:hint="eastAsia"/>
          <w:sz w:val="27"/>
          <w:rtl/>
        </w:rPr>
        <w:t>»</w:t>
      </w:r>
      <w:r w:rsidRPr="00904FCB">
        <w:rPr>
          <w:rFonts w:hint="cs"/>
          <w:sz w:val="27"/>
          <w:rtl/>
          <w:lang w:bidi="ar-AE"/>
        </w:rPr>
        <w:t>.</w:t>
      </w:r>
    </w:p>
    <w:p w:rsidR="00FB64C4" w:rsidRPr="00904FCB" w:rsidRDefault="00FB64C4" w:rsidP="000F7B48">
      <w:pPr>
        <w:spacing w:line="410" w:lineRule="exact"/>
        <w:rPr>
          <w:sz w:val="27"/>
          <w:rtl/>
          <w:lang w:bidi="ar-AE"/>
        </w:rPr>
      </w:pPr>
      <w:r w:rsidRPr="00904FCB">
        <w:rPr>
          <w:rFonts w:hint="cs"/>
          <w:sz w:val="27"/>
          <w:rtl/>
          <w:lang w:bidi="ar-AE"/>
        </w:rPr>
        <w:t xml:space="preserve">والمراد هنا من </w:t>
      </w:r>
      <w:r w:rsidRPr="00904FCB">
        <w:rPr>
          <w:rFonts w:hint="eastAsia"/>
          <w:sz w:val="27"/>
          <w:rtl/>
        </w:rPr>
        <w:t>«</w:t>
      </w:r>
      <w:r w:rsidRPr="00904FCB">
        <w:rPr>
          <w:rFonts w:hint="cs"/>
          <w:sz w:val="27"/>
          <w:rtl/>
          <w:lang w:bidi="ar-AE"/>
        </w:rPr>
        <w:t>الأفضلية الأخلاقية</w:t>
      </w:r>
      <w:r w:rsidRPr="00904FCB">
        <w:rPr>
          <w:rFonts w:hint="eastAsia"/>
          <w:sz w:val="27"/>
          <w:rtl/>
        </w:rPr>
        <w:t>»</w:t>
      </w:r>
      <w:r w:rsidRPr="00904FCB">
        <w:rPr>
          <w:rFonts w:hint="cs"/>
          <w:sz w:val="27"/>
          <w:rtl/>
          <w:lang w:bidi="ar-AE"/>
        </w:rPr>
        <w:t xml:space="preserve"> في الحدّ الأدنى هو القول بأن القيمة الأخلاقية للإنسان أكثر من سائر الكائنات الحيّة الأخرى، ومن هنا تكون حاجة الناس من الناحية الأخلاقية متقدّ</w:t>
      </w:r>
      <w:r w:rsidR="008E328B" w:rsidRPr="00904FCB">
        <w:rPr>
          <w:rFonts w:hint="cs"/>
          <w:sz w:val="27"/>
          <w:rtl/>
          <w:lang w:bidi="ar-AE"/>
        </w:rPr>
        <w:t>ِ</w:t>
      </w:r>
      <w:r w:rsidRPr="00904FCB">
        <w:rPr>
          <w:rFonts w:hint="cs"/>
          <w:sz w:val="27"/>
          <w:rtl/>
          <w:lang w:bidi="ar-AE"/>
        </w:rPr>
        <w:t xml:space="preserve">مة عن حاجة سائر الكائنات الحيّة. وعليه كلما وقع التعارض بين حاجة الإنسان وحاجة الكائنات الحيّة الأخرى كانت الأولوية من </w:t>
      </w:r>
      <w:r w:rsidRPr="00904FCB">
        <w:rPr>
          <w:rFonts w:hint="cs"/>
          <w:sz w:val="27"/>
          <w:rtl/>
          <w:lang w:bidi="ar-AE"/>
        </w:rPr>
        <w:lastRenderedPageBreak/>
        <w:t>الناحية الأخلاقية لتقديم حاجة الإنسان على حاجتها. فعلى سبيل المثال</w:t>
      </w:r>
      <w:r w:rsidR="008E328B" w:rsidRPr="00904FCB">
        <w:rPr>
          <w:rFonts w:hint="cs"/>
          <w:sz w:val="27"/>
          <w:rtl/>
          <w:lang w:bidi="ar-AE"/>
        </w:rPr>
        <w:t>:</w:t>
      </w:r>
      <w:r w:rsidRPr="00904FCB">
        <w:rPr>
          <w:rFonts w:hint="cs"/>
          <w:sz w:val="27"/>
          <w:rtl/>
          <w:lang w:bidi="ar-AE"/>
        </w:rPr>
        <w:t xml:space="preserve"> لو توقفت تلبية حاجة الإنسان على قتل الحيوانات الأخرى كان قتلها ـ طبقاً لأصل محورية الإنسان ـ جائزاً. وعليه فإن </w:t>
      </w:r>
      <w:r w:rsidRPr="00904FCB">
        <w:rPr>
          <w:rFonts w:hint="eastAsia"/>
          <w:sz w:val="27"/>
          <w:rtl/>
        </w:rPr>
        <w:t>«</w:t>
      </w:r>
      <w:r w:rsidRPr="00904FCB">
        <w:rPr>
          <w:rFonts w:hint="cs"/>
          <w:sz w:val="27"/>
          <w:rtl/>
          <w:lang w:bidi="ar-AE"/>
        </w:rPr>
        <w:t>أصل محورية الإنسان</w:t>
      </w:r>
      <w:r w:rsidRPr="00904FCB">
        <w:rPr>
          <w:rFonts w:hint="eastAsia"/>
          <w:sz w:val="27"/>
          <w:rtl/>
        </w:rPr>
        <w:t>»</w:t>
      </w:r>
      <w:r w:rsidRPr="00904FCB">
        <w:rPr>
          <w:rFonts w:hint="cs"/>
          <w:sz w:val="27"/>
          <w:rtl/>
          <w:lang w:bidi="ar-AE"/>
        </w:rPr>
        <w:t xml:space="preserve"> يلعب دوراً هامّاً في تسويغ النظام الغذائي اللاحم من الناحية الأخلاقية.</w:t>
      </w:r>
    </w:p>
    <w:p w:rsidR="00BE7DDC" w:rsidRPr="00904FCB" w:rsidRDefault="00FB64C4" w:rsidP="00AB58B2">
      <w:pPr>
        <w:spacing w:line="420" w:lineRule="exact"/>
        <w:ind w:firstLine="561"/>
        <w:rPr>
          <w:sz w:val="27"/>
          <w:rtl/>
          <w:lang w:bidi="ar-AE"/>
        </w:rPr>
      </w:pPr>
      <w:r w:rsidRPr="00904FCB">
        <w:rPr>
          <w:rFonts w:hint="cs"/>
          <w:sz w:val="27"/>
          <w:rtl/>
          <w:lang w:bidi="ar-AE"/>
        </w:rPr>
        <w:t>ب</w:t>
      </w:r>
      <w:r w:rsidR="008E328B" w:rsidRPr="00904FCB">
        <w:rPr>
          <w:rFonts w:hint="cs"/>
          <w:sz w:val="27"/>
          <w:rtl/>
          <w:lang w:bidi="ar-AE"/>
        </w:rPr>
        <w:t>َ</w:t>
      </w:r>
      <w:r w:rsidRPr="00904FCB">
        <w:rPr>
          <w:rFonts w:hint="cs"/>
          <w:sz w:val="27"/>
          <w:rtl/>
          <w:lang w:bidi="ar-AE"/>
        </w:rPr>
        <w:t>ي</w:t>
      </w:r>
      <w:r w:rsidR="008E328B" w:rsidRPr="00904FCB">
        <w:rPr>
          <w:rFonts w:hint="cs"/>
          <w:sz w:val="27"/>
          <w:rtl/>
          <w:lang w:bidi="ar-AE"/>
        </w:rPr>
        <w:t>ْ</w:t>
      </w:r>
      <w:r w:rsidRPr="00904FCB">
        <w:rPr>
          <w:rFonts w:hint="cs"/>
          <w:sz w:val="27"/>
          <w:rtl/>
          <w:lang w:bidi="ar-AE"/>
        </w:rPr>
        <w:t>د</w:t>
      </w:r>
      <w:r w:rsidR="008E328B" w:rsidRPr="00904FCB">
        <w:rPr>
          <w:rFonts w:hint="cs"/>
          <w:sz w:val="27"/>
          <w:rtl/>
          <w:lang w:bidi="ar-AE"/>
        </w:rPr>
        <w:t>َ</w:t>
      </w:r>
      <w:r w:rsidRPr="00904FCB">
        <w:rPr>
          <w:rFonts w:hint="cs"/>
          <w:sz w:val="27"/>
          <w:rtl/>
          <w:lang w:bidi="ar-AE"/>
        </w:rPr>
        <w:t xml:space="preserve"> أن سائر الكائنات الحيّة ـ من ناحية</w:t>
      </w:r>
      <w:r w:rsidR="008E328B" w:rsidRPr="00904FCB">
        <w:rPr>
          <w:rFonts w:hint="cs"/>
          <w:sz w:val="27"/>
          <w:rtl/>
          <w:lang w:bidi="ar-AE"/>
        </w:rPr>
        <w:t>ٍ</w:t>
      </w:r>
      <w:r w:rsidRPr="00904FCB">
        <w:rPr>
          <w:rFonts w:hint="cs"/>
          <w:sz w:val="27"/>
          <w:rtl/>
          <w:lang w:bidi="ar-AE"/>
        </w:rPr>
        <w:t xml:space="preserve"> أخرى ـ لها مصالحها الخاص</w:t>
      </w:r>
      <w:r w:rsidR="008E328B" w:rsidRPr="00904FCB">
        <w:rPr>
          <w:rFonts w:hint="cs"/>
          <w:sz w:val="27"/>
          <w:rtl/>
          <w:lang w:bidi="ar-AE"/>
        </w:rPr>
        <w:t>ّ</w:t>
      </w:r>
      <w:r w:rsidRPr="00904FCB">
        <w:rPr>
          <w:rFonts w:hint="cs"/>
          <w:sz w:val="27"/>
          <w:rtl/>
          <w:lang w:bidi="ar-AE"/>
        </w:rPr>
        <w:t>ة أيضاً، والتي يمكن أن تتعرّ</w:t>
      </w:r>
      <w:r w:rsidR="008E328B" w:rsidRPr="00904FCB">
        <w:rPr>
          <w:rFonts w:hint="cs"/>
          <w:sz w:val="27"/>
          <w:rtl/>
          <w:lang w:bidi="ar-AE"/>
        </w:rPr>
        <w:t>َ</w:t>
      </w:r>
      <w:r w:rsidRPr="00904FCB">
        <w:rPr>
          <w:rFonts w:hint="cs"/>
          <w:sz w:val="27"/>
          <w:rtl/>
          <w:lang w:bidi="ar-AE"/>
        </w:rPr>
        <w:t>ض للخطر بنحو</w:t>
      </w:r>
      <w:r w:rsidR="008E328B" w:rsidRPr="00904FCB">
        <w:rPr>
          <w:rFonts w:hint="cs"/>
          <w:sz w:val="27"/>
          <w:rtl/>
          <w:lang w:bidi="ar-AE"/>
        </w:rPr>
        <w:t>ٍ</w:t>
      </w:r>
      <w:r w:rsidRPr="00904FCB">
        <w:rPr>
          <w:rFonts w:hint="cs"/>
          <w:sz w:val="27"/>
          <w:rtl/>
          <w:lang w:bidi="ar-AE"/>
        </w:rPr>
        <w:t xml:space="preserve"> من الأنحاء. وأرى أن</w:t>
      </w:r>
      <w:r w:rsidR="008E328B" w:rsidRPr="00904FCB">
        <w:rPr>
          <w:rFonts w:hint="cs"/>
          <w:sz w:val="27"/>
          <w:rtl/>
          <w:lang w:bidi="ar-AE"/>
        </w:rPr>
        <w:t>ّه</w:t>
      </w:r>
      <w:r w:rsidRPr="00904FCB">
        <w:rPr>
          <w:rFonts w:hint="cs"/>
          <w:sz w:val="27"/>
          <w:rtl/>
          <w:lang w:bidi="ar-AE"/>
        </w:rPr>
        <w:t xml:space="preserve"> بالإمكان أن نستدل</w:t>
      </w:r>
      <w:r w:rsidR="008E328B" w:rsidRPr="00904FCB">
        <w:rPr>
          <w:rFonts w:hint="cs"/>
          <w:sz w:val="27"/>
          <w:rtl/>
          <w:lang w:bidi="ar-AE"/>
        </w:rPr>
        <w:t>ّ</w:t>
      </w:r>
      <w:r w:rsidRPr="00904FCB">
        <w:rPr>
          <w:rFonts w:hint="cs"/>
          <w:sz w:val="27"/>
          <w:rtl/>
          <w:lang w:bidi="ar-AE"/>
        </w:rPr>
        <w:t xml:space="preserve"> </w:t>
      </w:r>
      <w:r w:rsidR="008E328B" w:rsidRPr="00904FCB">
        <w:rPr>
          <w:rFonts w:hint="cs"/>
          <w:sz w:val="27"/>
          <w:rtl/>
          <w:lang w:bidi="ar-AE"/>
        </w:rPr>
        <w:t xml:space="preserve">على </w:t>
      </w:r>
      <w:r w:rsidRPr="00904FCB">
        <w:rPr>
          <w:rFonts w:hint="cs"/>
          <w:sz w:val="27"/>
          <w:rtl/>
          <w:lang w:bidi="ar-AE"/>
        </w:rPr>
        <w:t>وجود حقوق أخلاقية خاص</w:t>
      </w:r>
      <w:r w:rsidR="008E328B" w:rsidRPr="00904FCB">
        <w:rPr>
          <w:rFonts w:hint="cs"/>
          <w:sz w:val="27"/>
          <w:rtl/>
          <w:lang w:bidi="ar-AE"/>
        </w:rPr>
        <w:t>ّ</w:t>
      </w:r>
      <w:r w:rsidRPr="00904FCB">
        <w:rPr>
          <w:rFonts w:hint="cs"/>
          <w:sz w:val="27"/>
          <w:rtl/>
          <w:lang w:bidi="ar-AE"/>
        </w:rPr>
        <w:t>ة لسائر الكائنات الحيّة. فعلى سبيل المثال</w:t>
      </w:r>
      <w:r w:rsidR="008E328B" w:rsidRPr="00904FCB">
        <w:rPr>
          <w:rFonts w:hint="cs"/>
          <w:sz w:val="27"/>
          <w:rtl/>
          <w:lang w:bidi="ar-AE"/>
        </w:rPr>
        <w:t>:</w:t>
      </w:r>
      <w:r w:rsidRPr="00904FCB">
        <w:rPr>
          <w:rFonts w:hint="cs"/>
          <w:sz w:val="27"/>
          <w:rtl/>
          <w:lang w:bidi="ar-AE"/>
        </w:rPr>
        <w:t xml:space="preserve"> إن الحيوانات التي توفر لنا حاجتنا إلى اللحم تستطيع الشعور بالألم، وعليه يمكن أن تتعرّض للأذى، بمعنى أن يفرض عليها معاناة الشعور بالألم والعذاب دون ضرورة</w:t>
      </w:r>
      <w:r w:rsidR="00BE7DDC" w:rsidRPr="00904FCB">
        <w:rPr>
          <w:rFonts w:hint="cs"/>
          <w:sz w:val="27"/>
          <w:rtl/>
          <w:lang w:bidi="ar-AE"/>
        </w:rPr>
        <w:t>ٍ</w:t>
      </w:r>
      <w:r w:rsidRPr="00904FCB">
        <w:rPr>
          <w:rFonts w:hint="cs"/>
          <w:sz w:val="27"/>
          <w:rtl/>
          <w:lang w:bidi="ar-AE"/>
        </w:rPr>
        <w:t xml:space="preserve"> إلى ذلك. الأمر الذي يضرّ بمصالحها، فلا يكون هذا سائغاً من الناحية الأخلاقية. ويبدو أن للكائنات الحيّة من الناحية الأخلاقية حقوقاً يجب على الإنسان رعايتها. وعليه لو التزمنا بضرورة رعاية المصالح الخاصّة للكائنات الحية، وأن لها حقوقاً أخلاقية، فعندها يكون التمييز بين الكائنات الحية</w:t>
      </w:r>
      <w:r w:rsidR="00BE7DDC" w:rsidRPr="00904FCB">
        <w:rPr>
          <w:rFonts w:hint="cs"/>
          <w:sz w:val="27"/>
          <w:rtl/>
          <w:lang w:bidi="ar-AE"/>
        </w:rPr>
        <w:t>،</w:t>
      </w:r>
      <w:r w:rsidRPr="00904FCB">
        <w:rPr>
          <w:rFonts w:hint="cs"/>
          <w:sz w:val="27"/>
          <w:rtl/>
          <w:lang w:bidi="ar-AE"/>
        </w:rPr>
        <w:t xml:space="preserve"> وتقديم مصالح نوع</w:t>
      </w:r>
      <w:r w:rsidR="00BE7DDC" w:rsidRPr="00904FCB">
        <w:rPr>
          <w:rFonts w:hint="cs"/>
          <w:sz w:val="27"/>
          <w:rtl/>
          <w:lang w:bidi="ar-AE"/>
        </w:rPr>
        <w:t>ٍ</w:t>
      </w:r>
      <w:r w:rsidRPr="00904FCB">
        <w:rPr>
          <w:rFonts w:hint="cs"/>
          <w:sz w:val="27"/>
          <w:rtl/>
          <w:lang w:bidi="ar-AE"/>
        </w:rPr>
        <w:t xml:space="preserve"> منها على النوع الآخر</w:t>
      </w:r>
      <w:r w:rsidR="00BE7DDC" w:rsidRPr="00904FCB">
        <w:rPr>
          <w:rFonts w:hint="cs"/>
          <w:sz w:val="27"/>
          <w:rtl/>
          <w:lang w:bidi="ar-AE"/>
        </w:rPr>
        <w:t>،</w:t>
      </w:r>
      <w:r w:rsidRPr="00904FCB">
        <w:rPr>
          <w:rFonts w:hint="cs"/>
          <w:sz w:val="27"/>
          <w:rtl/>
          <w:lang w:bidi="ar-AE"/>
        </w:rPr>
        <w:t xml:space="preserve"> سائغاً ومبرّ</w:t>
      </w:r>
      <w:r w:rsidR="00BE7DDC" w:rsidRPr="00904FCB">
        <w:rPr>
          <w:rFonts w:hint="cs"/>
          <w:sz w:val="27"/>
          <w:rtl/>
          <w:lang w:bidi="ar-AE"/>
        </w:rPr>
        <w:t>َ</w:t>
      </w:r>
      <w:r w:rsidRPr="00904FCB">
        <w:rPr>
          <w:rFonts w:hint="cs"/>
          <w:sz w:val="27"/>
          <w:rtl/>
          <w:lang w:bidi="ar-AE"/>
        </w:rPr>
        <w:t>راً إذا كان مستنداً إلى الأهواء والأمزجة البعيدة كل</w:t>
      </w:r>
      <w:r w:rsidR="00BE7DDC" w:rsidRPr="00904FCB">
        <w:rPr>
          <w:rFonts w:hint="cs"/>
          <w:sz w:val="27"/>
          <w:rtl/>
          <w:lang w:bidi="ar-AE"/>
        </w:rPr>
        <w:t>ّ البعد عن القواعد العقلية.</w:t>
      </w:r>
    </w:p>
    <w:p w:rsidR="00FB64C4" w:rsidRPr="00904FCB" w:rsidRDefault="00FB64C4" w:rsidP="00AB58B2">
      <w:pPr>
        <w:spacing w:line="420" w:lineRule="exact"/>
        <w:ind w:firstLine="561"/>
        <w:rPr>
          <w:sz w:val="27"/>
          <w:rtl/>
          <w:lang w:bidi="ar-AE"/>
        </w:rPr>
      </w:pPr>
      <w:r w:rsidRPr="00904FCB">
        <w:rPr>
          <w:rFonts w:hint="cs"/>
          <w:sz w:val="27"/>
          <w:rtl/>
          <w:lang w:bidi="ar-AE"/>
        </w:rPr>
        <w:t>إن الأدلة المقامة في هذا الشأن تشبه إلى حدّ</w:t>
      </w:r>
      <w:r w:rsidR="00BE7DDC" w:rsidRPr="00904FCB">
        <w:rPr>
          <w:rFonts w:hint="cs"/>
          <w:sz w:val="27"/>
          <w:rtl/>
          <w:lang w:bidi="ar-AE"/>
        </w:rPr>
        <w:t>ٍ</w:t>
      </w:r>
      <w:r w:rsidRPr="00904FCB">
        <w:rPr>
          <w:rFonts w:hint="cs"/>
          <w:sz w:val="27"/>
          <w:rtl/>
          <w:lang w:bidi="ar-AE"/>
        </w:rPr>
        <w:t xml:space="preserve"> كبير الأدلة المقامة على القبح الأخلاقي للعنصرية أو ال</w:t>
      </w:r>
      <w:r w:rsidR="00BE7DDC" w:rsidRPr="00904FCB">
        <w:rPr>
          <w:rFonts w:hint="cs"/>
          <w:sz w:val="27"/>
          <w:rtl/>
          <w:lang w:bidi="ar-AE"/>
        </w:rPr>
        <w:t>إ</w:t>
      </w:r>
      <w:r w:rsidRPr="00904FCB">
        <w:rPr>
          <w:rFonts w:hint="cs"/>
          <w:sz w:val="27"/>
          <w:rtl/>
          <w:lang w:bidi="ar-AE"/>
        </w:rPr>
        <w:t>جحاف بحق</w:t>
      </w:r>
      <w:r w:rsidR="00BE7DDC" w:rsidRPr="00904FCB">
        <w:rPr>
          <w:rFonts w:hint="cs"/>
          <w:sz w:val="27"/>
          <w:rtl/>
          <w:lang w:bidi="ar-AE"/>
        </w:rPr>
        <w:t>ّ</w:t>
      </w:r>
      <w:r w:rsidRPr="00904FCB">
        <w:rPr>
          <w:rFonts w:hint="cs"/>
          <w:sz w:val="27"/>
          <w:rtl/>
          <w:lang w:bidi="ar-AE"/>
        </w:rPr>
        <w:t xml:space="preserve"> النساء. فإن العنصرية بحق</w:t>
      </w:r>
      <w:r w:rsidR="00BE7DDC" w:rsidRPr="00904FCB">
        <w:rPr>
          <w:rFonts w:hint="cs"/>
          <w:sz w:val="27"/>
          <w:rtl/>
          <w:lang w:bidi="ar-AE"/>
        </w:rPr>
        <w:t>ّ</w:t>
      </w:r>
      <w:r w:rsidRPr="00904FCB">
        <w:rPr>
          <w:rFonts w:hint="cs"/>
          <w:sz w:val="27"/>
          <w:rtl/>
          <w:lang w:bidi="ar-AE"/>
        </w:rPr>
        <w:t xml:space="preserve"> النساء إنما لا تسوغ من الناحية الأخلاقية</w:t>
      </w:r>
      <w:r w:rsidR="00BE7DDC" w:rsidRPr="00904FCB">
        <w:rPr>
          <w:rFonts w:hint="cs"/>
          <w:sz w:val="27"/>
          <w:rtl/>
          <w:lang w:bidi="ar-AE"/>
        </w:rPr>
        <w:t>؛</w:t>
      </w:r>
      <w:r w:rsidRPr="00904FCB">
        <w:rPr>
          <w:rFonts w:hint="cs"/>
          <w:sz w:val="27"/>
          <w:rtl/>
          <w:lang w:bidi="ar-AE"/>
        </w:rPr>
        <w:t xml:space="preserve"> لأن الناس طبقاً لهذه الرؤية يمتازون </w:t>
      </w:r>
      <w:r w:rsidR="00BE7DDC" w:rsidRPr="00904FCB">
        <w:rPr>
          <w:rFonts w:hint="cs"/>
          <w:sz w:val="27"/>
          <w:rtl/>
          <w:lang w:bidi="ar-AE"/>
        </w:rPr>
        <w:t>م</w:t>
      </w:r>
      <w:r w:rsidRPr="00904FCB">
        <w:rPr>
          <w:rFonts w:hint="cs"/>
          <w:sz w:val="27"/>
          <w:rtl/>
          <w:lang w:bidi="ar-AE"/>
        </w:rPr>
        <w:t>ن بعضهم على أساس العرق والجنس، فطبقاً لهذا المبنى يكون التقدّ</w:t>
      </w:r>
      <w:r w:rsidR="00BE7DDC" w:rsidRPr="00904FCB">
        <w:rPr>
          <w:rFonts w:hint="cs"/>
          <w:sz w:val="27"/>
          <w:rtl/>
          <w:lang w:bidi="ar-AE"/>
        </w:rPr>
        <w:t>ُ</w:t>
      </w:r>
      <w:r w:rsidRPr="00904FCB">
        <w:rPr>
          <w:rFonts w:hint="cs"/>
          <w:sz w:val="27"/>
          <w:rtl/>
          <w:lang w:bidi="ar-AE"/>
        </w:rPr>
        <w:t>م لبعض الأعراق والأجناس على الأعراق والأجناس الأخرى. إلا</w:t>
      </w:r>
      <w:r w:rsidR="00BE7DDC" w:rsidRPr="00904FCB">
        <w:rPr>
          <w:rFonts w:hint="cs"/>
          <w:sz w:val="27"/>
          <w:rtl/>
          <w:lang w:bidi="ar-AE"/>
        </w:rPr>
        <w:t>ّ</w:t>
      </w:r>
      <w:r w:rsidRPr="00904FCB">
        <w:rPr>
          <w:rFonts w:hint="cs"/>
          <w:sz w:val="27"/>
          <w:rtl/>
          <w:lang w:bidi="ar-AE"/>
        </w:rPr>
        <w:t xml:space="preserve"> أن التمييز بين الناس على أساس العرق أو الجنس غير مبر</w:t>
      </w:r>
      <w:r w:rsidR="00BE7DDC" w:rsidRPr="00904FCB">
        <w:rPr>
          <w:rFonts w:hint="cs"/>
          <w:sz w:val="27"/>
          <w:rtl/>
          <w:lang w:bidi="ar-AE"/>
        </w:rPr>
        <w:t>َّ</w:t>
      </w:r>
      <w:r w:rsidRPr="00904FCB">
        <w:rPr>
          <w:rFonts w:hint="cs"/>
          <w:sz w:val="27"/>
          <w:rtl/>
          <w:lang w:bidi="ar-AE"/>
        </w:rPr>
        <w:t>ر</w:t>
      </w:r>
      <w:r w:rsidR="00AB58B2">
        <w:rPr>
          <w:rFonts w:hint="cs"/>
          <w:sz w:val="27"/>
          <w:rtl/>
          <w:lang w:bidi="ar-AE"/>
        </w:rPr>
        <w:t>ٌ</w:t>
      </w:r>
      <w:r w:rsidRPr="00904FCB">
        <w:rPr>
          <w:rFonts w:hint="cs"/>
          <w:sz w:val="27"/>
          <w:rtl/>
          <w:lang w:bidi="ar-AE"/>
        </w:rPr>
        <w:t xml:space="preserve"> من الناحية العقلية. وعليه يبدو أن الأصل العام </w:t>
      </w:r>
      <w:r w:rsidR="00BE7DDC" w:rsidRPr="00904FCB">
        <w:rPr>
          <w:rFonts w:hint="cs"/>
          <w:sz w:val="27"/>
          <w:rtl/>
          <w:lang w:bidi="ar-AE"/>
        </w:rPr>
        <w:t>التالي</w:t>
      </w:r>
      <w:r w:rsidRPr="00904FCB">
        <w:rPr>
          <w:rFonts w:hint="cs"/>
          <w:sz w:val="27"/>
          <w:rtl/>
          <w:lang w:bidi="ar-AE"/>
        </w:rPr>
        <w:t xml:space="preserve"> مقبول من الناحية الأخلاقية</w:t>
      </w:r>
      <w:r w:rsidR="00BE7DDC" w:rsidRPr="00904FCB">
        <w:rPr>
          <w:rFonts w:hint="cs"/>
          <w:sz w:val="27"/>
          <w:rtl/>
          <w:lang w:bidi="ar-AE"/>
        </w:rPr>
        <w:t>،</w:t>
      </w:r>
      <w:r w:rsidRPr="00904FCB">
        <w:rPr>
          <w:rFonts w:hint="cs"/>
          <w:sz w:val="27"/>
          <w:rtl/>
          <w:lang w:bidi="ar-AE"/>
        </w:rPr>
        <w:t xml:space="preserve"> ولنطلق على هذا الأصل </w:t>
      </w:r>
      <w:r w:rsidRPr="00904FCB">
        <w:rPr>
          <w:rFonts w:hint="eastAsia"/>
          <w:sz w:val="27"/>
          <w:rtl/>
        </w:rPr>
        <w:t>«</w:t>
      </w:r>
      <w:r w:rsidRPr="00904FCB">
        <w:rPr>
          <w:rFonts w:hint="cs"/>
          <w:sz w:val="27"/>
          <w:rtl/>
          <w:lang w:bidi="ar-AE"/>
        </w:rPr>
        <w:t>المساواة الأخلاقية بين جميع الكائنات الحيّة</w:t>
      </w:r>
      <w:r w:rsidRPr="00904FCB">
        <w:rPr>
          <w:rFonts w:hint="eastAsia"/>
          <w:sz w:val="27"/>
          <w:rtl/>
        </w:rPr>
        <w:t>»</w:t>
      </w:r>
      <w:r w:rsidR="00BE7DDC" w:rsidRPr="00904FCB">
        <w:rPr>
          <w:rFonts w:hint="cs"/>
          <w:sz w:val="27"/>
          <w:rtl/>
          <w:lang w:bidi="ar-AE"/>
        </w:rPr>
        <w:t>.</w:t>
      </w:r>
    </w:p>
    <w:p w:rsidR="00FB64C4" w:rsidRPr="00904FCB" w:rsidRDefault="00FB64C4" w:rsidP="00AB58B2">
      <w:pPr>
        <w:spacing w:line="400" w:lineRule="exact"/>
        <w:ind w:firstLine="561"/>
        <w:rPr>
          <w:sz w:val="27"/>
          <w:rtl/>
          <w:lang w:bidi="ar-AE"/>
        </w:rPr>
      </w:pPr>
      <w:r w:rsidRPr="00904FCB">
        <w:rPr>
          <w:rFonts w:hint="cs"/>
          <w:sz w:val="27"/>
          <w:rtl/>
          <w:lang w:bidi="ar-AE"/>
        </w:rPr>
        <w:t>يقول أصل المساواة الأخلاقية بين جميع الكائنات الحية: يجب التعامل مع جميع الكائنات الحيّة على قدم المساواة، إلا</w:t>
      </w:r>
      <w:r w:rsidR="00BE7DDC" w:rsidRPr="00904FCB">
        <w:rPr>
          <w:rFonts w:hint="cs"/>
          <w:sz w:val="27"/>
          <w:rtl/>
          <w:lang w:bidi="ar-AE"/>
        </w:rPr>
        <w:t>ّ</w:t>
      </w:r>
      <w:r w:rsidRPr="00904FCB">
        <w:rPr>
          <w:rFonts w:hint="cs"/>
          <w:sz w:val="27"/>
          <w:rtl/>
          <w:lang w:bidi="ar-AE"/>
        </w:rPr>
        <w:t xml:space="preserve"> إذا أمكن تقديم دليل يثبت التفاوت الحقيقي بينها، وأن يكون هذا التفاوت ثابتاً من الناحية الأخلاقية، بحيث يمكن </w:t>
      </w:r>
      <w:r w:rsidRPr="00904FCB">
        <w:rPr>
          <w:rFonts w:hint="cs"/>
          <w:sz w:val="27"/>
          <w:rtl/>
          <w:lang w:bidi="ar-AE"/>
        </w:rPr>
        <w:lastRenderedPageBreak/>
        <w:t>تبرير هذه المحاباة على أساس</w:t>
      </w:r>
      <w:r w:rsidR="00BE7DDC" w:rsidRPr="00904FCB">
        <w:rPr>
          <w:rFonts w:hint="cs"/>
          <w:sz w:val="27"/>
          <w:rtl/>
          <w:lang w:bidi="ar-AE"/>
        </w:rPr>
        <w:t>ٍ</w:t>
      </w:r>
      <w:r w:rsidRPr="00904FCB">
        <w:rPr>
          <w:rFonts w:hint="cs"/>
          <w:sz w:val="27"/>
          <w:rtl/>
          <w:lang w:bidi="ar-AE"/>
        </w:rPr>
        <w:t xml:space="preserve"> من الناحية السلوكية.</w:t>
      </w:r>
    </w:p>
    <w:p w:rsidR="00FB64C4" w:rsidRPr="00904FCB" w:rsidRDefault="00FB64C4" w:rsidP="00AB58B2">
      <w:pPr>
        <w:spacing w:line="400" w:lineRule="exact"/>
        <w:ind w:firstLine="561"/>
        <w:rPr>
          <w:sz w:val="27"/>
          <w:rtl/>
          <w:lang w:bidi="ar-AE"/>
        </w:rPr>
      </w:pPr>
      <w:r w:rsidRPr="00904FCB">
        <w:rPr>
          <w:rFonts w:hint="cs"/>
          <w:sz w:val="27"/>
          <w:rtl/>
          <w:lang w:bidi="ar-AE"/>
        </w:rPr>
        <w:t xml:space="preserve">إذا قبلنا بـ </w:t>
      </w:r>
      <w:r w:rsidRPr="00904FCB">
        <w:rPr>
          <w:rFonts w:hint="eastAsia"/>
          <w:sz w:val="27"/>
          <w:rtl/>
        </w:rPr>
        <w:t>«</w:t>
      </w:r>
      <w:r w:rsidRPr="00904FCB">
        <w:rPr>
          <w:rFonts w:hint="cs"/>
          <w:sz w:val="27"/>
          <w:rtl/>
          <w:lang w:bidi="ar-AE"/>
        </w:rPr>
        <w:t>أصل المساواة الأخلاقية بين الكائنات الحيّة</w:t>
      </w:r>
      <w:r w:rsidRPr="00904FCB">
        <w:rPr>
          <w:rFonts w:hint="eastAsia"/>
          <w:sz w:val="27"/>
          <w:rtl/>
        </w:rPr>
        <w:t>»</w:t>
      </w:r>
      <w:r w:rsidRPr="00904FCB">
        <w:rPr>
          <w:rFonts w:hint="cs"/>
          <w:sz w:val="27"/>
          <w:rtl/>
          <w:lang w:bidi="ar-AE"/>
        </w:rPr>
        <w:t xml:space="preserve"> فإن </w:t>
      </w:r>
      <w:r w:rsidRPr="00904FCB">
        <w:rPr>
          <w:rFonts w:hint="eastAsia"/>
          <w:sz w:val="27"/>
          <w:rtl/>
        </w:rPr>
        <w:t>«</w:t>
      </w:r>
      <w:r w:rsidRPr="00904FCB">
        <w:rPr>
          <w:rFonts w:hint="cs"/>
          <w:sz w:val="27"/>
          <w:rtl/>
          <w:lang w:bidi="ar-AE"/>
        </w:rPr>
        <w:t>أصل محورية الإنسان</w:t>
      </w:r>
      <w:r w:rsidRPr="00904FCB">
        <w:rPr>
          <w:rFonts w:hint="eastAsia"/>
          <w:sz w:val="27"/>
          <w:rtl/>
        </w:rPr>
        <w:t>»</w:t>
      </w:r>
      <w:r w:rsidRPr="00904FCB">
        <w:rPr>
          <w:rFonts w:hint="cs"/>
          <w:sz w:val="27"/>
          <w:rtl/>
          <w:lang w:bidi="ar-AE"/>
        </w:rPr>
        <w:t xml:space="preserve"> أو أفضليته على سائر الكائنات إنما يكون مبرّ</w:t>
      </w:r>
      <w:r w:rsidR="00362C48" w:rsidRPr="00904FCB">
        <w:rPr>
          <w:rFonts w:hint="cs"/>
          <w:sz w:val="27"/>
          <w:rtl/>
          <w:lang w:bidi="ar-AE"/>
        </w:rPr>
        <w:t>َ</w:t>
      </w:r>
      <w:r w:rsidRPr="00904FCB">
        <w:rPr>
          <w:rFonts w:hint="cs"/>
          <w:sz w:val="27"/>
          <w:rtl/>
          <w:lang w:bidi="ar-AE"/>
        </w:rPr>
        <w:t>راً إذا كان هناك بينه وبين سائر الكائنات الحية اختلاف حقيقي من الناحية الأخلاقية، بحيث يمكن على أساس هذا الاختلاف تبرير التمييز بين الإنسان وسائر الكائنات الحيّة على المستوى الأخلاقي من الناحية العقلية. والسؤال الهام</w:t>
      </w:r>
      <w:r w:rsidR="00362C48" w:rsidRPr="00904FCB">
        <w:rPr>
          <w:rFonts w:hint="cs"/>
          <w:sz w:val="27"/>
          <w:rtl/>
          <w:lang w:bidi="ar-AE"/>
        </w:rPr>
        <w:t>ّ</w:t>
      </w:r>
      <w:r w:rsidRPr="00904FCB">
        <w:rPr>
          <w:rFonts w:hint="cs"/>
          <w:sz w:val="27"/>
          <w:rtl/>
          <w:lang w:bidi="ar-AE"/>
        </w:rPr>
        <w:t xml:space="preserve"> هنا يقول: هل يوجد بين الناس وسائر الكائنات الحيّة تفاوت</w:t>
      </w:r>
      <w:r w:rsidR="00362C48" w:rsidRPr="00904FCB">
        <w:rPr>
          <w:rFonts w:hint="cs"/>
          <w:sz w:val="27"/>
          <w:rtl/>
          <w:lang w:bidi="ar-AE"/>
        </w:rPr>
        <w:t>ٌ</w:t>
      </w:r>
      <w:r w:rsidRPr="00904FCB">
        <w:rPr>
          <w:rFonts w:hint="cs"/>
          <w:sz w:val="27"/>
          <w:rtl/>
          <w:lang w:bidi="ar-AE"/>
        </w:rPr>
        <w:t xml:space="preserve"> واقعي على المستوى الأخلاقي</w:t>
      </w:r>
      <w:r w:rsidR="00362C48" w:rsidRPr="00904FCB">
        <w:rPr>
          <w:rFonts w:hint="cs"/>
          <w:sz w:val="27"/>
          <w:rtl/>
          <w:lang w:bidi="ar-AE"/>
        </w:rPr>
        <w:t>،</w:t>
      </w:r>
      <w:r w:rsidRPr="00904FCB">
        <w:rPr>
          <w:rFonts w:hint="cs"/>
          <w:sz w:val="27"/>
          <w:rtl/>
          <w:lang w:bidi="ar-AE"/>
        </w:rPr>
        <w:t xml:space="preserve"> بحيث </w:t>
      </w:r>
      <w:r w:rsidR="00362C48" w:rsidRPr="00904FCB">
        <w:rPr>
          <w:rFonts w:hint="cs"/>
          <w:sz w:val="27"/>
          <w:rtl/>
          <w:lang w:bidi="ar-AE"/>
        </w:rPr>
        <w:t>يمكن على أساسه تمييز الإنسان</w:t>
      </w:r>
      <w:r w:rsidRPr="00904FCB">
        <w:rPr>
          <w:rFonts w:hint="cs"/>
          <w:sz w:val="27"/>
          <w:rtl/>
          <w:lang w:bidi="ar-AE"/>
        </w:rPr>
        <w:t xml:space="preserve"> من سائر الكائنات الحية</w:t>
      </w:r>
      <w:r w:rsidR="00362C48" w:rsidRPr="00904FCB">
        <w:rPr>
          <w:rFonts w:hint="cs"/>
          <w:sz w:val="27"/>
          <w:rtl/>
          <w:lang w:bidi="ar-AE"/>
        </w:rPr>
        <w:t>،</w:t>
      </w:r>
      <w:r w:rsidRPr="00904FCB">
        <w:rPr>
          <w:rFonts w:hint="cs"/>
          <w:sz w:val="27"/>
          <w:rtl/>
          <w:lang w:bidi="ar-AE"/>
        </w:rPr>
        <w:t xml:space="preserve"> وتفضيله عليها؟</w:t>
      </w:r>
    </w:p>
    <w:p w:rsidR="00FB64C4" w:rsidRPr="00904FCB" w:rsidRDefault="00FB64C4" w:rsidP="00AB58B2">
      <w:pPr>
        <w:spacing w:line="400" w:lineRule="exact"/>
        <w:ind w:firstLine="561"/>
        <w:rPr>
          <w:sz w:val="27"/>
          <w:rtl/>
          <w:lang w:bidi="ar-AE"/>
        </w:rPr>
      </w:pPr>
      <w:r w:rsidRPr="00904FCB">
        <w:rPr>
          <w:rFonts w:hint="cs"/>
          <w:sz w:val="27"/>
          <w:rtl/>
          <w:lang w:bidi="ar-AE"/>
        </w:rPr>
        <w:t>يستدل</w:t>
      </w:r>
      <w:r w:rsidR="00362C48" w:rsidRPr="00904FCB">
        <w:rPr>
          <w:rFonts w:hint="cs"/>
          <w:sz w:val="27"/>
          <w:rtl/>
          <w:lang w:bidi="ar-AE"/>
        </w:rPr>
        <w:t>ّ</w:t>
      </w:r>
      <w:r w:rsidRPr="00904FCB">
        <w:rPr>
          <w:rFonts w:hint="cs"/>
          <w:sz w:val="27"/>
          <w:rtl/>
          <w:lang w:bidi="ar-AE"/>
        </w:rPr>
        <w:t xml:space="preserve"> أنصار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Pr="00904FCB">
        <w:rPr>
          <w:rFonts w:hint="cs"/>
          <w:sz w:val="27"/>
          <w:rtl/>
          <w:lang w:bidi="ar-AE"/>
        </w:rPr>
        <w:t xml:space="preserve"> على أفضلية الإنسان على سائر الكائنات ببعض الخصائص التي تميّ</w:t>
      </w:r>
      <w:r w:rsidR="00362C48" w:rsidRPr="00904FCB">
        <w:rPr>
          <w:rFonts w:hint="cs"/>
          <w:sz w:val="27"/>
          <w:rtl/>
          <w:lang w:bidi="ar-AE"/>
        </w:rPr>
        <w:t>ِ</w:t>
      </w:r>
      <w:r w:rsidRPr="00904FCB">
        <w:rPr>
          <w:rFonts w:hint="cs"/>
          <w:sz w:val="27"/>
          <w:rtl/>
          <w:lang w:bidi="ar-AE"/>
        </w:rPr>
        <w:t xml:space="preserve">زه من غيره، ويمكن من خلال هذه الخصائص اعتباره من الناحية الأخلاقية أفضل من سائر الكائنات الحيّة. </w:t>
      </w:r>
      <w:r w:rsidR="00362C48" w:rsidRPr="00904FCB">
        <w:rPr>
          <w:rFonts w:hint="cs"/>
          <w:sz w:val="27"/>
          <w:rtl/>
          <w:lang w:bidi="ar-AE"/>
        </w:rPr>
        <w:t>و</w:t>
      </w:r>
      <w:r w:rsidRPr="00904FCB">
        <w:rPr>
          <w:rFonts w:hint="cs"/>
          <w:sz w:val="27"/>
          <w:rtl/>
          <w:lang w:bidi="ar-AE"/>
        </w:rPr>
        <w:t>من تلك الخصائص ـ على سبيل المثال ـ امتلاك الإنسان لقوّة العقل. ولكن</w:t>
      </w:r>
      <w:r w:rsidR="00362C48" w:rsidRPr="00904FCB">
        <w:rPr>
          <w:rFonts w:hint="cs"/>
          <w:sz w:val="27"/>
          <w:rtl/>
          <w:lang w:bidi="ar-AE"/>
        </w:rPr>
        <w:t>ْ</w:t>
      </w:r>
      <w:r w:rsidRPr="00904FCB">
        <w:rPr>
          <w:rFonts w:hint="cs"/>
          <w:sz w:val="27"/>
          <w:rtl/>
          <w:lang w:bidi="ar-AE"/>
        </w:rPr>
        <w:t xml:space="preserve"> كيف يمكن من خلال هذه الواقعية القائلة بأن الإنسان يتمت</w:t>
      </w:r>
      <w:r w:rsidR="00362C48" w:rsidRPr="00904FCB">
        <w:rPr>
          <w:rFonts w:hint="cs"/>
          <w:sz w:val="27"/>
          <w:rtl/>
          <w:lang w:bidi="ar-AE"/>
        </w:rPr>
        <w:t>َّ</w:t>
      </w:r>
      <w:r w:rsidRPr="00904FCB">
        <w:rPr>
          <w:rFonts w:hint="cs"/>
          <w:sz w:val="27"/>
          <w:rtl/>
          <w:lang w:bidi="ar-AE"/>
        </w:rPr>
        <w:t>ع ببعض الخصائص الممتازة والحصرية (على فرض صح</w:t>
      </w:r>
      <w:r w:rsidR="00362C48" w:rsidRPr="00904FCB">
        <w:rPr>
          <w:rFonts w:hint="cs"/>
          <w:sz w:val="27"/>
          <w:rtl/>
          <w:lang w:bidi="ar-AE"/>
        </w:rPr>
        <w:t>ّ</w:t>
      </w:r>
      <w:r w:rsidRPr="00904FCB">
        <w:rPr>
          <w:rFonts w:hint="cs"/>
          <w:sz w:val="27"/>
          <w:rtl/>
          <w:lang w:bidi="ar-AE"/>
        </w:rPr>
        <w:t>تها) القول بأفضلية الإنسان من الناحية الأخلاقية على سائر الكائنات الحيّة؟</w:t>
      </w:r>
    </w:p>
    <w:p w:rsidR="00FB64C4" w:rsidRPr="00904FCB" w:rsidRDefault="00FB64C4" w:rsidP="00AB58B2">
      <w:pPr>
        <w:spacing w:line="400" w:lineRule="exact"/>
        <w:ind w:firstLine="561"/>
        <w:rPr>
          <w:sz w:val="27"/>
          <w:rtl/>
          <w:lang w:bidi="ar-AE"/>
        </w:rPr>
      </w:pPr>
      <w:r w:rsidRPr="00904FCB">
        <w:rPr>
          <w:rFonts w:hint="cs"/>
          <w:sz w:val="27"/>
          <w:rtl/>
          <w:lang w:bidi="ar-AE"/>
        </w:rPr>
        <w:t>هناك إشكالان رئيسان في هذا الاستدلال، وهما:</w:t>
      </w:r>
    </w:p>
    <w:p w:rsidR="00FB64C4" w:rsidRPr="00904FCB" w:rsidRDefault="00FB64C4" w:rsidP="008F207A">
      <w:pPr>
        <w:spacing w:line="400" w:lineRule="exact"/>
        <w:ind w:firstLine="561"/>
        <w:rPr>
          <w:sz w:val="27"/>
          <w:rtl/>
          <w:lang w:bidi="ar-AE"/>
        </w:rPr>
      </w:pPr>
      <w:r w:rsidRPr="00904FCB">
        <w:rPr>
          <w:rFonts w:hint="cs"/>
          <w:b/>
          <w:bCs/>
          <w:sz w:val="27"/>
          <w:rtl/>
          <w:lang w:bidi="ar-AE"/>
        </w:rPr>
        <w:t>أو</w:t>
      </w:r>
      <w:r w:rsidR="00362C48" w:rsidRPr="00904FCB">
        <w:rPr>
          <w:rFonts w:hint="cs"/>
          <w:b/>
          <w:bCs/>
          <w:sz w:val="27"/>
          <w:rtl/>
          <w:lang w:bidi="ar-AE"/>
        </w:rPr>
        <w:t>ّ</w:t>
      </w:r>
      <w:r w:rsidRPr="00904FCB">
        <w:rPr>
          <w:rFonts w:hint="cs"/>
          <w:b/>
          <w:bCs/>
          <w:sz w:val="27"/>
          <w:rtl/>
          <w:lang w:bidi="ar-AE"/>
        </w:rPr>
        <w:t>لاً</w:t>
      </w:r>
      <w:r w:rsidRPr="00904FCB">
        <w:rPr>
          <w:rFonts w:hint="cs"/>
          <w:sz w:val="27"/>
          <w:rtl/>
          <w:lang w:bidi="ar-AE"/>
        </w:rPr>
        <w:t>: إن مجرد أن يتمت</w:t>
      </w:r>
      <w:r w:rsidR="00362C48" w:rsidRPr="00904FCB">
        <w:rPr>
          <w:rFonts w:hint="cs"/>
          <w:sz w:val="27"/>
          <w:rtl/>
          <w:lang w:bidi="ar-AE"/>
        </w:rPr>
        <w:t>ّ</w:t>
      </w:r>
      <w:r w:rsidRPr="00904FCB">
        <w:rPr>
          <w:rFonts w:hint="cs"/>
          <w:sz w:val="27"/>
          <w:rtl/>
          <w:lang w:bidi="ar-AE"/>
        </w:rPr>
        <w:t xml:space="preserve">ع الإنسان بالخصوصية الواقعية (أ) (كأن يكون متمتعاً بقوّة العقل مثلاً)، لا يمكن أن نستنتج منها أن الواقعية (أ) هي التي تمثّل </w:t>
      </w:r>
      <w:r w:rsidRPr="00904FCB">
        <w:rPr>
          <w:rFonts w:hint="eastAsia"/>
          <w:sz w:val="27"/>
          <w:rtl/>
        </w:rPr>
        <w:t>«</w:t>
      </w:r>
      <w:r w:rsidRPr="00904FCB">
        <w:rPr>
          <w:rFonts w:hint="cs"/>
          <w:sz w:val="27"/>
          <w:rtl/>
          <w:lang w:bidi="ar-AE"/>
        </w:rPr>
        <w:t>الاختلاف الأخلاقي</w:t>
      </w:r>
      <w:r w:rsidRPr="00904FCB">
        <w:rPr>
          <w:rFonts w:hint="eastAsia"/>
          <w:sz w:val="27"/>
          <w:rtl/>
        </w:rPr>
        <w:t>»</w:t>
      </w:r>
      <w:r w:rsidRPr="00904FCB">
        <w:rPr>
          <w:rFonts w:hint="cs"/>
          <w:sz w:val="27"/>
          <w:rtl/>
          <w:lang w:bidi="ar-AE"/>
        </w:rPr>
        <w:t xml:space="preserve"> الذي يمكن من خلاله اعتبار الإنسان من الناحية الأخلاقية أفضل من سائر الكائنات الحيّة. ولكي نستنتج من الواقعية (أ) أفضلية الإنسان على سائر الكائنات الحية نحتاج إلى مقد</w:t>
      </w:r>
      <w:r w:rsidR="00362C48" w:rsidRPr="00904FCB">
        <w:rPr>
          <w:rFonts w:hint="cs"/>
          <w:sz w:val="27"/>
          <w:rtl/>
          <w:lang w:bidi="ar-AE"/>
        </w:rPr>
        <w:t>ّ</w:t>
      </w:r>
      <w:r w:rsidRPr="00904FCB">
        <w:rPr>
          <w:rFonts w:hint="cs"/>
          <w:sz w:val="27"/>
          <w:rtl/>
          <w:lang w:bidi="ar-AE"/>
        </w:rPr>
        <w:t>مة</w:t>
      </w:r>
      <w:r w:rsidR="00362C48" w:rsidRPr="00904FCB">
        <w:rPr>
          <w:rFonts w:hint="cs"/>
          <w:sz w:val="27"/>
          <w:rtl/>
          <w:lang w:bidi="ar-AE"/>
        </w:rPr>
        <w:t>ٍ</w:t>
      </w:r>
      <w:r w:rsidRPr="00904FCB">
        <w:rPr>
          <w:rFonts w:hint="cs"/>
          <w:sz w:val="27"/>
          <w:rtl/>
          <w:lang w:bidi="ar-AE"/>
        </w:rPr>
        <w:t xml:space="preserve"> أخرى تثبت أن الخصوصية (أ) هي ذات الواقعية </w:t>
      </w:r>
      <w:r w:rsidRPr="00904FCB">
        <w:rPr>
          <w:rFonts w:hint="eastAsia"/>
          <w:sz w:val="27"/>
          <w:rtl/>
        </w:rPr>
        <w:t>«</w:t>
      </w:r>
      <w:r w:rsidRPr="00904FCB">
        <w:rPr>
          <w:rFonts w:hint="cs"/>
          <w:sz w:val="27"/>
          <w:rtl/>
          <w:lang w:bidi="ar-AE"/>
        </w:rPr>
        <w:t>الأخلاقية</w:t>
      </w:r>
      <w:r w:rsidRPr="00904FCB">
        <w:rPr>
          <w:rFonts w:hint="eastAsia"/>
          <w:sz w:val="27"/>
          <w:rtl/>
        </w:rPr>
        <w:t>»</w:t>
      </w:r>
      <w:r w:rsidRPr="00904FCB">
        <w:rPr>
          <w:rFonts w:hint="cs"/>
          <w:sz w:val="27"/>
          <w:rtl/>
          <w:lang w:bidi="ar-AE"/>
        </w:rPr>
        <w:t xml:space="preserve"> التي نبحث عنها. وفي الحقيقة إن الاستدلال المتقدّ</w:t>
      </w:r>
      <w:r w:rsidR="00362C48" w:rsidRPr="00904FCB">
        <w:rPr>
          <w:rFonts w:hint="cs"/>
          <w:sz w:val="27"/>
          <w:rtl/>
          <w:lang w:bidi="ar-AE"/>
        </w:rPr>
        <w:t>ِ</w:t>
      </w:r>
      <w:r w:rsidRPr="00904FCB">
        <w:rPr>
          <w:rFonts w:hint="cs"/>
          <w:sz w:val="27"/>
          <w:rtl/>
          <w:lang w:bidi="ar-AE"/>
        </w:rPr>
        <w:t>م ينطوي على نوع</w:t>
      </w:r>
      <w:r w:rsidR="00362C48" w:rsidRPr="00904FCB">
        <w:rPr>
          <w:rFonts w:hint="cs"/>
          <w:sz w:val="27"/>
          <w:rtl/>
          <w:lang w:bidi="ar-AE"/>
        </w:rPr>
        <w:t>ٍ</w:t>
      </w:r>
      <w:r w:rsidRPr="00904FCB">
        <w:rPr>
          <w:rFonts w:hint="cs"/>
          <w:sz w:val="27"/>
          <w:rtl/>
          <w:lang w:bidi="ar-AE"/>
        </w:rPr>
        <w:t xml:space="preserve"> من مغالطة </w:t>
      </w:r>
      <w:r w:rsidRPr="00904FCB">
        <w:rPr>
          <w:rFonts w:hint="eastAsia"/>
          <w:sz w:val="27"/>
          <w:rtl/>
        </w:rPr>
        <w:t>«</w:t>
      </w:r>
      <w:r w:rsidRPr="00904FCB">
        <w:rPr>
          <w:rFonts w:hint="cs"/>
          <w:sz w:val="27"/>
          <w:rtl/>
          <w:lang w:bidi="ar-AE"/>
        </w:rPr>
        <w:t>الكينونة</w:t>
      </w:r>
      <w:r w:rsidRPr="00904FCB">
        <w:rPr>
          <w:rFonts w:hint="eastAsia"/>
          <w:sz w:val="27"/>
          <w:rtl/>
        </w:rPr>
        <w:t>»</w:t>
      </w:r>
      <w:r w:rsidRPr="00904FCB">
        <w:rPr>
          <w:rFonts w:hint="cs"/>
          <w:sz w:val="27"/>
          <w:rtl/>
          <w:lang w:bidi="ar-AE"/>
        </w:rPr>
        <w:t xml:space="preserve"> و</w:t>
      </w:r>
      <w:r w:rsidRPr="00904FCB">
        <w:rPr>
          <w:rFonts w:hint="eastAsia"/>
          <w:sz w:val="27"/>
          <w:rtl/>
        </w:rPr>
        <w:t>«</w:t>
      </w:r>
      <w:r w:rsidRPr="00904FCB">
        <w:rPr>
          <w:rFonts w:hint="cs"/>
          <w:sz w:val="27"/>
          <w:rtl/>
          <w:lang w:bidi="ar-AE"/>
        </w:rPr>
        <w:t>الوجوب</w:t>
      </w:r>
      <w:r w:rsidRPr="00904FCB">
        <w:rPr>
          <w:rFonts w:hint="eastAsia"/>
          <w:sz w:val="27"/>
          <w:rtl/>
        </w:rPr>
        <w:t>»</w:t>
      </w:r>
      <w:r w:rsidRPr="00904FCB">
        <w:rPr>
          <w:rFonts w:hint="cs"/>
          <w:sz w:val="27"/>
          <w:rtl/>
          <w:lang w:bidi="ar-AE"/>
        </w:rPr>
        <w:t>: إن مقد</w:t>
      </w:r>
      <w:r w:rsidR="00362C48" w:rsidRPr="00904FCB">
        <w:rPr>
          <w:rFonts w:hint="cs"/>
          <w:sz w:val="27"/>
          <w:rtl/>
          <w:lang w:bidi="ar-AE"/>
        </w:rPr>
        <w:t>ّ</w:t>
      </w:r>
      <w:r w:rsidRPr="00904FCB">
        <w:rPr>
          <w:rFonts w:hint="cs"/>
          <w:sz w:val="27"/>
          <w:rtl/>
          <w:lang w:bidi="ar-AE"/>
        </w:rPr>
        <w:t xml:space="preserve">مة هذا الاستدلال قضية توصيفية أو مشتملة على </w:t>
      </w:r>
      <w:r w:rsidRPr="00904FCB">
        <w:rPr>
          <w:rFonts w:hint="eastAsia"/>
          <w:sz w:val="27"/>
          <w:rtl/>
        </w:rPr>
        <w:t>«</w:t>
      </w:r>
      <w:r w:rsidRPr="00904FCB">
        <w:rPr>
          <w:rFonts w:hint="cs"/>
          <w:sz w:val="27"/>
          <w:rtl/>
          <w:lang w:bidi="ar-AE"/>
        </w:rPr>
        <w:t>كينونة</w:t>
      </w:r>
      <w:r w:rsidRPr="00904FCB">
        <w:rPr>
          <w:rFonts w:hint="eastAsia"/>
          <w:sz w:val="27"/>
          <w:rtl/>
        </w:rPr>
        <w:t>»</w:t>
      </w:r>
      <w:r w:rsidRPr="00904FCB">
        <w:rPr>
          <w:rFonts w:hint="cs"/>
          <w:sz w:val="27"/>
          <w:rtl/>
          <w:lang w:bidi="ar-AE"/>
        </w:rPr>
        <w:t>، بمعنى هذه القضية القائلة</w:t>
      </w:r>
      <w:r w:rsidR="00362C48" w:rsidRPr="00904FCB">
        <w:rPr>
          <w:rFonts w:hint="cs"/>
          <w:sz w:val="27"/>
          <w:rtl/>
          <w:lang w:bidi="ar-AE"/>
        </w:rPr>
        <w:t>:</w:t>
      </w:r>
      <w:r w:rsidRPr="00904FCB">
        <w:rPr>
          <w:rFonts w:hint="cs"/>
          <w:sz w:val="27"/>
          <w:rtl/>
          <w:lang w:bidi="ar-AE"/>
        </w:rPr>
        <w:t xml:space="preserve"> </w:t>
      </w:r>
      <w:r w:rsidRPr="00904FCB">
        <w:rPr>
          <w:rFonts w:hint="eastAsia"/>
          <w:sz w:val="27"/>
          <w:rtl/>
        </w:rPr>
        <w:t>«</w:t>
      </w:r>
      <w:r w:rsidRPr="00904FCB">
        <w:rPr>
          <w:rFonts w:hint="cs"/>
          <w:sz w:val="27"/>
          <w:rtl/>
          <w:lang w:bidi="ar-AE"/>
        </w:rPr>
        <w:t>إن الإنسان يتمت</w:t>
      </w:r>
      <w:r w:rsidR="00362C48" w:rsidRPr="00904FCB">
        <w:rPr>
          <w:rFonts w:hint="cs"/>
          <w:sz w:val="27"/>
          <w:rtl/>
          <w:lang w:bidi="ar-AE"/>
        </w:rPr>
        <w:t>ّ</w:t>
      </w:r>
      <w:r w:rsidRPr="00904FCB">
        <w:rPr>
          <w:rFonts w:hint="cs"/>
          <w:sz w:val="27"/>
          <w:rtl/>
          <w:lang w:bidi="ar-AE"/>
        </w:rPr>
        <w:t>ع ببعض الخصائص الحصرية والممتازة</w:t>
      </w:r>
      <w:r w:rsidRPr="00904FCB">
        <w:rPr>
          <w:rFonts w:hint="eastAsia"/>
          <w:sz w:val="27"/>
          <w:rtl/>
        </w:rPr>
        <w:t>»</w:t>
      </w:r>
      <w:r w:rsidRPr="00904FCB">
        <w:rPr>
          <w:rFonts w:hint="cs"/>
          <w:sz w:val="27"/>
          <w:rtl/>
          <w:lang w:bidi="ar-AE"/>
        </w:rPr>
        <w:t>، ب</w:t>
      </w:r>
      <w:r w:rsidR="00D80EE3" w:rsidRPr="00904FCB">
        <w:rPr>
          <w:rFonts w:hint="cs"/>
          <w:sz w:val="27"/>
          <w:rtl/>
          <w:lang w:bidi="ar-AE"/>
        </w:rPr>
        <w:t>َ</w:t>
      </w:r>
      <w:r w:rsidRPr="00904FCB">
        <w:rPr>
          <w:rFonts w:hint="cs"/>
          <w:sz w:val="27"/>
          <w:rtl/>
          <w:lang w:bidi="ar-AE"/>
        </w:rPr>
        <w:t>ي</w:t>
      </w:r>
      <w:r w:rsidR="00D80EE3" w:rsidRPr="00904FCB">
        <w:rPr>
          <w:rFonts w:hint="cs"/>
          <w:sz w:val="27"/>
          <w:rtl/>
          <w:lang w:bidi="ar-AE"/>
        </w:rPr>
        <w:t>ْ</w:t>
      </w:r>
      <w:r w:rsidRPr="00904FCB">
        <w:rPr>
          <w:rFonts w:hint="cs"/>
          <w:sz w:val="27"/>
          <w:rtl/>
          <w:lang w:bidi="ar-AE"/>
        </w:rPr>
        <w:t>د</w:t>
      </w:r>
      <w:r w:rsidR="00D80EE3" w:rsidRPr="00904FCB">
        <w:rPr>
          <w:rFonts w:hint="cs"/>
          <w:sz w:val="27"/>
          <w:rtl/>
          <w:lang w:bidi="ar-AE"/>
        </w:rPr>
        <w:t>َ</w:t>
      </w:r>
      <w:r w:rsidRPr="00904FCB">
        <w:rPr>
          <w:rFonts w:hint="cs"/>
          <w:sz w:val="27"/>
          <w:rtl/>
          <w:lang w:bidi="ar-AE"/>
        </w:rPr>
        <w:t xml:space="preserve"> أن نتيجة ذلك الاستدلال قضية تسويغية أو </w:t>
      </w:r>
      <w:r w:rsidRPr="00904FCB">
        <w:rPr>
          <w:rFonts w:hint="eastAsia"/>
          <w:sz w:val="27"/>
          <w:rtl/>
        </w:rPr>
        <w:t>«</w:t>
      </w:r>
      <w:r w:rsidRPr="00904FCB">
        <w:rPr>
          <w:rFonts w:hint="cs"/>
          <w:sz w:val="27"/>
          <w:rtl/>
          <w:lang w:bidi="ar-AE"/>
        </w:rPr>
        <w:t>مشتملة على وجوب</w:t>
      </w:r>
      <w:r w:rsidRPr="00904FCB">
        <w:rPr>
          <w:rFonts w:hint="eastAsia"/>
          <w:sz w:val="27"/>
          <w:rtl/>
        </w:rPr>
        <w:t>»</w:t>
      </w:r>
      <w:r w:rsidR="00D80EE3" w:rsidRPr="00904FCB">
        <w:rPr>
          <w:rFonts w:hint="cs"/>
          <w:sz w:val="27"/>
          <w:rtl/>
        </w:rPr>
        <w:t>،</w:t>
      </w:r>
      <w:r w:rsidRPr="00904FCB">
        <w:rPr>
          <w:rFonts w:hint="cs"/>
          <w:sz w:val="27"/>
          <w:rtl/>
          <w:lang w:bidi="ar-AE"/>
        </w:rPr>
        <w:t xml:space="preserve"> بمعنى هذه القضية القائلة</w:t>
      </w:r>
      <w:r w:rsidR="00D80EE3" w:rsidRPr="00904FCB">
        <w:rPr>
          <w:rFonts w:hint="cs"/>
          <w:sz w:val="27"/>
          <w:rtl/>
          <w:lang w:bidi="ar-AE"/>
        </w:rPr>
        <w:t>:</w:t>
      </w:r>
      <w:r w:rsidRPr="00904FCB">
        <w:rPr>
          <w:rFonts w:hint="cs"/>
          <w:sz w:val="27"/>
          <w:rtl/>
          <w:lang w:bidi="ar-AE"/>
        </w:rPr>
        <w:t xml:space="preserve"> </w:t>
      </w:r>
      <w:r w:rsidRPr="00904FCB">
        <w:rPr>
          <w:rFonts w:hint="eastAsia"/>
          <w:sz w:val="27"/>
          <w:rtl/>
        </w:rPr>
        <w:t>«</w:t>
      </w:r>
      <w:r w:rsidRPr="00904FCB">
        <w:rPr>
          <w:rFonts w:hint="cs"/>
          <w:sz w:val="27"/>
          <w:rtl/>
          <w:lang w:bidi="ar-AE"/>
        </w:rPr>
        <w:t>يجب تفضيل الإنسان من الناحية الأخلاقية على سائر الكائنات</w:t>
      </w:r>
      <w:r w:rsidRPr="00904FCB">
        <w:rPr>
          <w:rFonts w:hint="eastAsia"/>
          <w:sz w:val="27"/>
          <w:rtl/>
        </w:rPr>
        <w:t>»</w:t>
      </w:r>
      <w:r w:rsidRPr="00904FCB">
        <w:rPr>
          <w:rFonts w:hint="cs"/>
          <w:sz w:val="27"/>
          <w:rtl/>
          <w:lang w:bidi="ar-AE"/>
        </w:rPr>
        <w:t xml:space="preserve">. في حين لا يمكن أن نستنتج من الناحية المنطقية قضية </w:t>
      </w:r>
      <w:r w:rsidRPr="00904FCB">
        <w:rPr>
          <w:rFonts w:hint="eastAsia"/>
          <w:sz w:val="27"/>
          <w:rtl/>
        </w:rPr>
        <w:t>«</w:t>
      </w:r>
      <w:r w:rsidRPr="00904FCB">
        <w:rPr>
          <w:rFonts w:hint="cs"/>
          <w:sz w:val="27"/>
          <w:rtl/>
          <w:lang w:bidi="ar-AE"/>
        </w:rPr>
        <w:t xml:space="preserve">ذات </w:t>
      </w:r>
      <w:r w:rsidRPr="00904FCB">
        <w:rPr>
          <w:rFonts w:hint="cs"/>
          <w:sz w:val="27"/>
          <w:rtl/>
          <w:lang w:bidi="ar-AE"/>
        </w:rPr>
        <w:lastRenderedPageBreak/>
        <w:t>وجوب</w:t>
      </w:r>
      <w:r w:rsidRPr="00904FCB">
        <w:rPr>
          <w:rFonts w:hint="eastAsia"/>
          <w:sz w:val="27"/>
          <w:rtl/>
        </w:rPr>
        <w:t>»</w:t>
      </w:r>
      <w:r w:rsidRPr="00904FCB">
        <w:rPr>
          <w:rFonts w:hint="cs"/>
          <w:sz w:val="27"/>
          <w:rtl/>
          <w:lang w:bidi="ar-AE"/>
        </w:rPr>
        <w:t xml:space="preserve"> من مجرّد قضية </w:t>
      </w:r>
      <w:r w:rsidRPr="00904FCB">
        <w:rPr>
          <w:rFonts w:hint="eastAsia"/>
          <w:sz w:val="27"/>
          <w:rtl/>
        </w:rPr>
        <w:t>«</w:t>
      </w:r>
      <w:r w:rsidRPr="00904FCB">
        <w:rPr>
          <w:rFonts w:hint="cs"/>
          <w:sz w:val="27"/>
          <w:rtl/>
          <w:lang w:bidi="ar-AE"/>
        </w:rPr>
        <w:t>ذات كينونة</w:t>
      </w:r>
      <w:r w:rsidRPr="00904FCB">
        <w:rPr>
          <w:rFonts w:hint="eastAsia"/>
          <w:sz w:val="27"/>
          <w:rtl/>
        </w:rPr>
        <w:t>»</w:t>
      </w:r>
      <w:r w:rsidRPr="00904FCB">
        <w:rPr>
          <w:rFonts w:hint="cs"/>
          <w:sz w:val="27"/>
          <w:rtl/>
          <w:lang w:bidi="ar-AE"/>
        </w:rPr>
        <w:t xml:space="preserve"> غير مرك</w:t>
      </w:r>
      <w:r w:rsidR="00D80EE3" w:rsidRPr="00904FCB">
        <w:rPr>
          <w:rFonts w:hint="cs"/>
          <w:sz w:val="27"/>
          <w:rtl/>
          <w:lang w:bidi="ar-AE"/>
        </w:rPr>
        <w:t>ّ</w:t>
      </w:r>
      <w:r w:rsidRPr="00904FCB">
        <w:rPr>
          <w:rFonts w:hint="cs"/>
          <w:sz w:val="27"/>
          <w:rtl/>
          <w:lang w:bidi="ar-AE"/>
        </w:rPr>
        <w:t>بة.</w:t>
      </w:r>
    </w:p>
    <w:p w:rsidR="008F207A" w:rsidRDefault="00FB64C4" w:rsidP="008F207A">
      <w:pPr>
        <w:spacing w:line="400" w:lineRule="exact"/>
        <w:ind w:firstLine="561"/>
        <w:rPr>
          <w:sz w:val="27"/>
          <w:rtl/>
          <w:lang w:bidi="ar-AE"/>
        </w:rPr>
      </w:pPr>
      <w:r w:rsidRPr="00904FCB">
        <w:rPr>
          <w:rFonts w:hint="cs"/>
          <w:b/>
          <w:bCs/>
          <w:sz w:val="27"/>
          <w:rtl/>
          <w:lang w:bidi="ar-AE"/>
        </w:rPr>
        <w:t>وثانياً</w:t>
      </w:r>
      <w:r w:rsidRPr="00904FCB">
        <w:rPr>
          <w:rFonts w:hint="cs"/>
          <w:sz w:val="27"/>
          <w:rtl/>
          <w:lang w:bidi="ar-AE"/>
        </w:rPr>
        <w:t>: حت</w:t>
      </w:r>
      <w:r w:rsidR="00D80EE3" w:rsidRPr="00904FCB">
        <w:rPr>
          <w:rFonts w:hint="cs"/>
          <w:sz w:val="27"/>
          <w:rtl/>
          <w:lang w:bidi="ar-AE"/>
        </w:rPr>
        <w:t>ّ</w:t>
      </w:r>
      <w:r w:rsidRPr="00904FCB">
        <w:rPr>
          <w:rFonts w:hint="cs"/>
          <w:sz w:val="27"/>
          <w:rtl/>
          <w:lang w:bidi="ar-AE"/>
        </w:rPr>
        <w:t>ى لو قبلنا بأن وجود بعض الخصائص الممتازة لدى بعض الكائنات الحي</w:t>
      </w:r>
      <w:r w:rsidR="00D80EE3" w:rsidRPr="00904FCB">
        <w:rPr>
          <w:rFonts w:hint="cs"/>
          <w:sz w:val="27"/>
          <w:rtl/>
          <w:lang w:bidi="ar-AE"/>
        </w:rPr>
        <w:t>ّ</w:t>
      </w:r>
      <w:r w:rsidRPr="00904FCB">
        <w:rPr>
          <w:rFonts w:hint="cs"/>
          <w:sz w:val="27"/>
          <w:rtl/>
          <w:lang w:bidi="ar-AE"/>
        </w:rPr>
        <w:t>ة</w:t>
      </w:r>
      <w:r w:rsidR="00D80EE3" w:rsidRPr="00904FCB">
        <w:rPr>
          <w:rFonts w:hint="cs"/>
          <w:sz w:val="27"/>
          <w:rtl/>
          <w:lang w:bidi="ar-AE"/>
        </w:rPr>
        <w:t>،</w:t>
      </w:r>
      <w:r w:rsidRPr="00904FCB">
        <w:rPr>
          <w:rFonts w:hint="cs"/>
          <w:sz w:val="27"/>
          <w:rtl/>
          <w:lang w:bidi="ar-AE"/>
        </w:rPr>
        <w:t xml:space="preserve"> التي يمكن طبقاً للقاعدة اعتبارها مبرّ</w:t>
      </w:r>
      <w:r w:rsidR="00D80EE3" w:rsidRPr="00904FCB">
        <w:rPr>
          <w:rFonts w:hint="cs"/>
          <w:sz w:val="27"/>
          <w:rtl/>
          <w:lang w:bidi="ar-AE"/>
        </w:rPr>
        <w:t>ِ</w:t>
      </w:r>
      <w:r w:rsidRPr="00904FCB">
        <w:rPr>
          <w:rFonts w:hint="cs"/>
          <w:sz w:val="27"/>
          <w:rtl/>
          <w:lang w:bidi="ar-AE"/>
        </w:rPr>
        <w:t>رة من الناحية الأخلاقية لتفضيل من يتحل</w:t>
      </w:r>
      <w:r w:rsidR="00D80EE3" w:rsidRPr="00904FCB">
        <w:rPr>
          <w:rFonts w:hint="cs"/>
          <w:sz w:val="27"/>
          <w:rtl/>
          <w:lang w:bidi="ar-AE"/>
        </w:rPr>
        <w:t>ّ</w:t>
      </w:r>
      <w:r w:rsidRPr="00904FCB">
        <w:rPr>
          <w:rFonts w:hint="cs"/>
          <w:sz w:val="27"/>
          <w:rtl/>
          <w:lang w:bidi="ar-AE"/>
        </w:rPr>
        <w:t>ى بها على سائر الكائنات الحي</w:t>
      </w:r>
      <w:r w:rsidR="00D80EE3" w:rsidRPr="00904FCB">
        <w:rPr>
          <w:rFonts w:hint="cs"/>
          <w:sz w:val="27"/>
          <w:rtl/>
          <w:lang w:bidi="ar-AE"/>
        </w:rPr>
        <w:t>ّ</w:t>
      </w:r>
      <w:r w:rsidR="00AB58B2">
        <w:rPr>
          <w:rFonts w:hint="cs"/>
          <w:sz w:val="27"/>
          <w:rtl/>
          <w:lang w:bidi="ar-AE"/>
        </w:rPr>
        <w:t>ة، ولكنْ</w:t>
      </w:r>
      <w:r w:rsidRPr="00904FCB">
        <w:rPr>
          <w:rFonts w:hint="cs"/>
          <w:sz w:val="27"/>
          <w:rtl/>
          <w:lang w:bidi="ar-AE"/>
        </w:rPr>
        <w:t xml:space="preserve"> لماذا نحصر تطبيق هذه القاعدة </w:t>
      </w:r>
      <w:r w:rsidR="00D80EE3" w:rsidRPr="00904FCB">
        <w:rPr>
          <w:rFonts w:hint="cs"/>
          <w:sz w:val="27"/>
          <w:rtl/>
          <w:lang w:bidi="ar-AE"/>
        </w:rPr>
        <w:t>ب</w:t>
      </w:r>
      <w:r w:rsidRPr="00904FCB">
        <w:rPr>
          <w:rFonts w:hint="cs"/>
          <w:sz w:val="27"/>
          <w:rtl/>
          <w:lang w:bidi="ar-AE"/>
        </w:rPr>
        <w:t>الإنسان فقط؟ فإن كل</w:t>
      </w:r>
      <w:r w:rsidR="00D80EE3" w:rsidRPr="00904FCB">
        <w:rPr>
          <w:rFonts w:hint="cs"/>
          <w:sz w:val="27"/>
          <w:rtl/>
          <w:lang w:bidi="ar-AE"/>
        </w:rPr>
        <w:t>ّ</w:t>
      </w:r>
      <w:r w:rsidRPr="00904FCB">
        <w:rPr>
          <w:rFonts w:hint="cs"/>
          <w:sz w:val="27"/>
          <w:rtl/>
          <w:lang w:bidi="ar-AE"/>
        </w:rPr>
        <w:t xml:space="preserve"> واحد من الكائنات الحية يتمت</w:t>
      </w:r>
      <w:r w:rsidR="00D80EE3" w:rsidRPr="00904FCB">
        <w:rPr>
          <w:rFonts w:hint="cs"/>
          <w:sz w:val="27"/>
          <w:rtl/>
          <w:lang w:bidi="ar-AE"/>
        </w:rPr>
        <w:t>ّ</w:t>
      </w:r>
      <w:r w:rsidRPr="00904FCB">
        <w:rPr>
          <w:rFonts w:hint="cs"/>
          <w:sz w:val="27"/>
          <w:rtl/>
          <w:lang w:bidi="ar-AE"/>
        </w:rPr>
        <w:t>ع بصفة وخصوصية فذّة لا يتمت</w:t>
      </w:r>
      <w:r w:rsidR="00D80EE3" w:rsidRPr="00904FCB">
        <w:rPr>
          <w:rFonts w:hint="cs"/>
          <w:sz w:val="27"/>
          <w:rtl/>
          <w:lang w:bidi="ar-AE"/>
        </w:rPr>
        <w:t>ّ</w:t>
      </w:r>
      <w:r w:rsidRPr="00904FCB">
        <w:rPr>
          <w:rFonts w:hint="cs"/>
          <w:sz w:val="27"/>
          <w:rtl/>
          <w:lang w:bidi="ar-AE"/>
        </w:rPr>
        <w:t>ع بها غيره من سائر الكائنات الحية الأخرى. فبعض أصناف الحمام على سبيل المثال يتمت</w:t>
      </w:r>
      <w:r w:rsidR="00D80EE3" w:rsidRPr="00904FCB">
        <w:rPr>
          <w:rFonts w:hint="cs"/>
          <w:sz w:val="27"/>
          <w:rtl/>
          <w:lang w:bidi="ar-AE"/>
        </w:rPr>
        <w:t>ّ</w:t>
      </w:r>
      <w:r w:rsidRPr="00904FCB">
        <w:rPr>
          <w:rFonts w:hint="cs"/>
          <w:sz w:val="27"/>
          <w:rtl/>
          <w:lang w:bidi="ar-AE"/>
        </w:rPr>
        <w:t>ع بمقدرة عالية على تحديد الات</w:t>
      </w:r>
      <w:r w:rsidR="00D80EE3" w:rsidRPr="00904FCB">
        <w:rPr>
          <w:rFonts w:hint="cs"/>
          <w:sz w:val="27"/>
          <w:rtl/>
          <w:lang w:bidi="ar-AE"/>
        </w:rPr>
        <w:t>ّ</w:t>
      </w:r>
      <w:r w:rsidRPr="00904FCB">
        <w:rPr>
          <w:rFonts w:hint="cs"/>
          <w:sz w:val="27"/>
          <w:rtl/>
          <w:lang w:bidi="ar-AE"/>
        </w:rPr>
        <w:t>جاهات، وبعض أصناف الفهود تتمت</w:t>
      </w:r>
      <w:r w:rsidR="00D80EE3" w:rsidRPr="00904FCB">
        <w:rPr>
          <w:rFonts w:hint="cs"/>
          <w:sz w:val="27"/>
          <w:rtl/>
          <w:lang w:bidi="ar-AE"/>
        </w:rPr>
        <w:t>ّ</w:t>
      </w:r>
      <w:r w:rsidRPr="00904FCB">
        <w:rPr>
          <w:rFonts w:hint="cs"/>
          <w:sz w:val="27"/>
          <w:rtl/>
          <w:lang w:bidi="ar-AE"/>
        </w:rPr>
        <w:t xml:space="preserve">ع </w:t>
      </w:r>
      <w:r w:rsidR="00D80EE3" w:rsidRPr="00904FCB">
        <w:rPr>
          <w:rFonts w:hint="cs"/>
          <w:sz w:val="27"/>
          <w:rtl/>
          <w:lang w:bidi="ar-AE"/>
        </w:rPr>
        <w:t>ب</w:t>
      </w:r>
      <w:r w:rsidRPr="00904FCB">
        <w:rPr>
          <w:rFonts w:hint="cs"/>
          <w:sz w:val="27"/>
          <w:rtl/>
          <w:lang w:bidi="ar-AE"/>
        </w:rPr>
        <w:t>قدرة بالغة في سرعة الج</w:t>
      </w:r>
      <w:r w:rsidR="00D80EE3" w:rsidRPr="00904FCB">
        <w:rPr>
          <w:rFonts w:hint="cs"/>
          <w:sz w:val="27"/>
          <w:rtl/>
          <w:lang w:bidi="ar-AE"/>
        </w:rPr>
        <w:t>َ</w:t>
      </w:r>
      <w:r w:rsidRPr="00904FCB">
        <w:rPr>
          <w:rFonts w:hint="cs"/>
          <w:sz w:val="27"/>
          <w:rtl/>
          <w:lang w:bidi="ar-AE"/>
        </w:rPr>
        <w:t>ر</w:t>
      </w:r>
      <w:r w:rsidR="00D80EE3" w:rsidRPr="00904FCB">
        <w:rPr>
          <w:rFonts w:hint="cs"/>
          <w:sz w:val="27"/>
          <w:rtl/>
          <w:lang w:bidi="ar-AE"/>
        </w:rPr>
        <w:t>ْ</w:t>
      </w:r>
      <w:r w:rsidRPr="00904FCB">
        <w:rPr>
          <w:rFonts w:hint="cs"/>
          <w:sz w:val="27"/>
          <w:rtl/>
          <w:lang w:bidi="ar-AE"/>
        </w:rPr>
        <w:t>ي، وكذلك تتمت</w:t>
      </w:r>
      <w:r w:rsidR="00D80EE3" w:rsidRPr="00904FCB">
        <w:rPr>
          <w:rFonts w:hint="cs"/>
          <w:sz w:val="27"/>
          <w:rtl/>
          <w:lang w:bidi="ar-AE"/>
        </w:rPr>
        <w:t>ّ</w:t>
      </w:r>
      <w:r w:rsidRPr="00904FCB">
        <w:rPr>
          <w:rFonts w:hint="cs"/>
          <w:sz w:val="27"/>
          <w:rtl/>
          <w:lang w:bidi="ar-AE"/>
        </w:rPr>
        <w:t>ع الأبقار والأغنام بمقدرة</w:t>
      </w:r>
      <w:r w:rsidR="00D80EE3" w:rsidRPr="00904FCB">
        <w:rPr>
          <w:rFonts w:hint="cs"/>
          <w:sz w:val="27"/>
          <w:rtl/>
          <w:lang w:bidi="ar-AE"/>
        </w:rPr>
        <w:t>ٍ</w:t>
      </w:r>
      <w:r w:rsidRPr="00904FCB">
        <w:rPr>
          <w:rFonts w:hint="cs"/>
          <w:sz w:val="27"/>
          <w:rtl/>
          <w:lang w:bidi="ar-AE"/>
        </w:rPr>
        <w:t xml:space="preserve"> كبيرة </w:t>
      </w:r>
      <w:r w:rsidR="00AE58C9" w:rsidRPr="00904FCB">
        <w:rPr>
          <w:rFonts w:hint="cs"/>
          <w:sz w:val="27"/>
          <w:rtl/>
          <w:lang w:bidi="ar-AE"/>
        </w:rPr>
        <w:t>على</w:t>
      </w:r>
      <w:r w:rsidRPr="00904FCB">
        <w:rPr>
          <w:rFonts w:hint="cs"/>
          <w:sz w:val="27"/>
          <w:rtl/>
          <w:lang w:bidi="ar-AE"/>
        </w:rPr>
        <w:t xml:space="preserve"> اجترار الطعام، وهكذا. فلماذا لا نت</w:t>
      </w:r>
      <w:r w:rsidR="00AE58C9" w:rsidRPr="00904FCB">
        <w:rPr>
          <w:rFonts w:hint="cs"/>
          <w:sz w:val="27"/>
          <w:rtl/>
          <w:lang w:bidi="ar-AE"/>
        </w:rPr>
        <w:t>ّ</w:t>
      </w:r>
      <w:r w:rsidRPr="00904FCB">
        <w:rPr>
          <w:rFonts w:hint="cs"/>
          <w:sz w:val="27"/>
          <w:rtl/>
          <w:lang w:bidi="ar-AE"/>
        </w:rPr>
        <w:t xml:space="preserve">خذ من هذه الصفات الحصرية والفذّة لهذه الأنواع من الحيوانات دليلاً لامتيازها الأخلاقي </w:t>
      </w:r>
      <w:r w:rsidR="00AE58C9" w:rsidRPr="00904FCB">
        <w:rPr>
          <w:rFonts w:hint="cs"/>
          <w:sz w:val="27"/>
          <w:rtl/>
          <w:lang w:bidi="ar-AE"/>
        </w:rPr>
        <w:t>من</w:t>
      </w:r>
      <w:r w:rsidRPr="00904FCB">
        <w:rPr>
          <w:rFonts w:hint="cs"/>
          <w:sz w:val="27"/>
          <w:rtl/>
          <w:lang w:bidi="ar-AE"/>
        </w:rPr>
        <w:t xml:space="preserve"> سائر الكائنات الأخرى</w:t>
      </w:r>
      <w:r w:rsidR="00AE58C9" w:rsidRPr="00904FCB">
        <w:rPr>
          <w:rFonts w:hint="cs"/>
          <w:sz w:val="27"/>
          <w:rtl/>
          <w:lang w:bidi="ar-AE"/>
        </w:rPr>
        <w:t>،</w:t>
      </w:r>
      <w:r w:rsidRPr="00904FCB">
        <w:rPr>
          <w:rFonts w:hint="cs"/>
          <w:sz w:val="27"/>
          <w:rtl/>
          <w:lang w:bidi="ar-AE"/>
        </w:rPr>
        <w:t xml:space="preserve"> بما فيها الإنسان؟ فهل هناك دليل على تفضيل المقدرة التي يمتاز بها الإنسان على المقدرة التي </w:t>
      </w:r>
      <w:r w:rsidR="008F207A">
        <w:rPr>
          <w:rFonts w:hint="cs"/>
          <w:sz w:val="27"/>
          <w:rtl/>
          <w:lang w:bidi="ar-AE"/>
        </w:rPr>
        <w:t>تمتاز بها سائر الكائنات الأخرى؟</w:t>
      </w:r>
    </w:p>
    <w:p w:rsidR="00FB64C4" w:rsidRDefault="00FB64C4" w:rsidP="008F207A">
      <w:pPr>
        <w:spacing w:line="400" w:lineRule="exact"/>
        <w:ind w:firstLine="561"/>
        <w:rPr>
          <w:sz w:val="27"/>
          <w:rtl/>
          <w:lang w:bidi="ar-AE"/>
        </w:rPr>
      </w:pPr>
      <w:r w:rsidRPr="00904FCB">
        <w:rPr>
          <w:rFonts w:hint="cs"/>
          <w:sz w:val="27"/>
          <w:rtl/>
          <w:lang w:bidi="ar-AE"/>
        </w:rPr>
        <w:t>لا ش</w:t>
      </w:r>
      <w:r w:rsidR="00AE58C9" w:rsidRPr="00904FCB">
        <w:rPr>
          <w:rFonts w:hint="cs"/>
          <w:sz w:val="27"/>
          <w:rtl/>
          <w:lang w:bidi="ar-AE"/>
        </w:rPr>
        <w:t>َ</w:t>
      </w:r>
      <w:r w:rsidRPr="00904FCB">
        <w:rPr>
          <w:rFonts w:hint="cs"/>
          <w:sz w:val="27"/>
          <w:rtl/>
          <w:lang w:bidi="ar-AE"/>
        </w:rPr>
        <w:t>ك</w:t>
      </w:r>
      <w:r w:rsidR="00AE58C9" w:rsidRPr="00904FCB">
        <w:rPr>
          <w:rFonts w:hint="cs"/>
          <w:sz w:val="27"/>
          <w:rtl/>
          <w:lang w:bidi="ar-AE"/>
        </w:rPr>
        <w:t>َّ</w:t>
      </w:r>
      <w:r w:rsidRPr="00904FCB">
        <w:rPr>
          <w:rFonts w:hint="cs"/>
          <w:sz w:val="27"/>
          <w:rtl/>
          <w:lang w:bidi="ar-AE"/>
        </w:rPr>
        <w:t xml:space="preserve"> في أن خصائصنا الممتازة تعتبر بالنسبة لنا نحن البشر ذات قيمة عالية؛ لأن هذه الخصائص تضمن بقاءنا، وتتكف</w:t>
      </w:r>
      <w:r w:rsidR="00AE58C9" w:rsidRPr="00904FCB">
        <w:rPr>
          <w:rFonts w:hint="cs"/>
          <w:sz w:val="27"/>
          <w:rtl/>
          <w:lang w:bidi="ar-AE"/>
        </w:rPr>
        <w:t>َّ</w:t>
      </w:r>
      <w:r w:rsidRPr="00904FCB">
        <w:rPr>
          <w:rFonts w:hint="cs"/>
          <w:sz w:val="27"/>
          <w:rtl/>
          <w:lang w:bidi="ar-AE"/>
        </w:rPr>
        <w:t>ل بتوفير مصالحنا. ب</w:t>
      </w:r>
      <w:r w:rsidR="00AE58C9" w:rsidRPr="00904FCB">
        <w:rPr>
          <w:rFonts w:hint="cs"/>
          <w:sz w:val="27"/>
          <w:rtl/>
          <w:lang w:bidi="ar-AE"/>
        </w:rPr>
        <w:t>َ</w:t>
      </w:r>
      <w:r w:rsidRPr="00904FCB">
        <w:rPr>
          <w:rFonts w:hint="cs"/>
          <w:sz w:val="27"/>
          <w:rtl/>
          <w:lang w:bidi="ar-AE"/>
        </w:rPr>
        <w:t>ي</w:t>
      </w:r>
      <w:r w:rsidR="00AE58C9" w:rsidRPr="00904FCB">
        <w:rPr>
          <w:rFonts w:hint="cs"/>
          <w:sz w:val="27"/>
          <w:rtl/>
          <w:lang w:bidi="ar-AE"/>
        </w:rPr>
        <w:t>ْ</w:t>
      </w:r>
      <w:r w:rsidRPr="00904FCB">
        <w:rPr>
          <w:rFonts w:hint="cs"/>
          <w:sz w:val="27"/>
          <w:rtl/>
          <w:lang w:bidi="ar-AE"/>
        </w:rPr>
        <w:t>د</w:t>
      </w:r>
      <w:r w:rsidR="00AE58C9" w:rsidRPr="00904FCB">
        <w:rPr>
          <w:rFonts w:hint="cs"/>
          <w:sz w:val="27"/>
          <w:rtl/>
          <w:lang w:bidi="ar-AE"/>
        </w:rPr>
        <w:t>َ</w:t>
      </w:r>
      <w:r w:rsidRPr="00904FCB">
        <w:rPr>
          <w:rFonts w:hint="cs"/>
          <w:sz w:val="27"/>
          <w:rtl/>
          <w:lang w:bidi="ar-AE"/>
        </w:rPr>
        <w:t xml:space="preserve"> أن الخصائص الممتازة لسائر الكائنات الأخرى لها ذات القيمة بالنسبة لها أيضاً؛ لأنها تضمن لها مصالحها وبقاءها أيضاً. وإنما نستطيع تفضيل خصائصنا الممتازة على الخصائص الممتازة لسائر الكائنات الأخرى إذا أمكن لنا أن نثبت أن الزاوية الإنسانية </w:t>
      </w:r>
      <w:r w:rsidR="00AE58C9" w:rsidRPr="00904FCB">
        <w:rPr>
          <w:rFonts w:hint="cs"/>
          <w:sz w:val="27"/>
          <w:rtl/>
          <w:lang w:bidi="ar-AE"/>
        </w:rPr>
        <w:t xml:space="preserve">ـ </w:t>
      </w:r>
      <w:r w:rsidRPr="00904FCB">
        <w:rPr>
          <w:rFonts w:hint="cs"/>
          <w:sz w:val="27"/>
          <w:rtl/>
          <w:lang w:bidi="ar-AE"/>
        </w:rPr>
        <w:t>أي تلك الزاوية التي من خلالها نرى خصائصنا أكثر أهم</w:t>
      </w:r>
      <w:r w:rsidR="00AE58C9" w:rsidRPr="00904FCB">
        <w:rPr>
          <w:rFonts w:hint="cs"/>
          <w:sz w:val="27"/>
          <w:rtl/>
          <w:lang w:bidi="ar-AE"/>
        </w:rPr>
        <w:t>ّ</w:t>
      </w:r>
      <w:r w:rsidRPr="00904FCB">
        <w:rPr>
          <w:rFonts w:hint="cs"/>
          <w:sz w:val="27"/>
          <w:rtl/>
          <w:lang w:bidi="ar-AE"/>
        </w:rPr>
        <w:t>ية وأفضل من خصائص الكائنات الأخرى</w:t>
      </w:r>
      <w:r w:rsidR="00AE58C9" w:rsidRPr="00904FCB">
        <w:rPr>
          <w:rFonts w:hint="cs"/>
          <w:sz w:val="27"/>
          <w:rtl/>
          <w:lang w:bidi="ar-AE"/>
        </w:rPr>
        <w:t xml:space="preserve"> ـ</w:t>
      </w:r>
      <w:r w:rsidRPr="00904FCB">
        <w:rPr>
          <w:rFonts w:hint="cs"/>
          <w:sz w:val="27"/>
          <w:rtl/>
          <w:lang w:bidi="ar-AE"/>
        </w:rPr>
        <w:t xml:space="preserve"> أكثر قيمة من زاوية الكائنات الحيّة الأخرى </w:t>
      </w:r>
      <w:r w:rsidR="00AE58C9" w:rsidRPr="00904FCB">
        <w:rPr>
          <w:rFonts w:hint="cs"/>
          <w:sz w:val="27"/>
          <w:rtl/>
          <w:lang w:bidi="ar-AE"/>
        </w:rPr>
        <w:t xml:space="preserve">ـ </w:t>
      </w:r>
      <w:r w:rsidRPr="00904FCB">
        <w:rPr>
          <w:rFonts w:hint="cs"/>
          <w:sz w:val="27"/>
          <w:rtl/>
          <w:lang w:bidi="ar-AE"/>
        </w:rPr>
        <w:t>أي تلك الزاوية التي من خلالها تكون خصائص الأنواع والأجناس الأخرى تبدو أهم</w:t>
      </w:r>
      <w:r w:rsidR="00AE58C9" w:rsidRPr="00904FCB">
        <w:rPr>
          <w:rFonts w:hint="cs"/>
          <w:sz w:val="27"/>
          <w:rtl/>
          <w:lang w:bidi="ar-AE"/>
        </w:rPr>
        <w:t>ّ</w:t>
      </w:r>
      <w:r w:rsidRPr="00904FCB">
        <w:rPr>
          <w:rFonts w:hint="cs"/>
          <w:sz w:val="27"/>
          <w:rtl/>
          <w:lang w:bidi="ar-AE"/>
        </w:rPr>
        <w:t xml:space="preserve"> بالنسبة لها وأكثر قيمة من خصائص الأنواع الأخرى</w:t>
      </w:r>
      <w:r w:rsidR="00AE58C9" w:rsidRPr="00904FCB">
        <w:rPr>
          <w:rFonts w:hint="cs"/>
          <w:sz w:val="27"/>
          <w:rtl/>
          <w:lang w:bidi="ar-AE"/>
        </w:rPr>
        <w:t xml:space="preserve"> ـ</w:t>
      </w:r>
      <w:r w:rsidRPr="00904FCB">
        <w:rPr>
          <w:rFonts w:hint="cs"/>
          <w:sz w:val="27"/>
          <w:rtl/>
          <w:lang w:bidi="ar-AE"/>
        </w:rPr>
        <w:t>. ب</w:t>
      </w:r>
      <w:r w:rsidR="00AE58C9" w:rsidRPr="00904FCB">
        <w:rPr>
          <w:rFonts w:hint="cs"/>
          <w:sz w:val="27"/>
          <w:rtl/>
          <w:lang w:bidi="ar-AE"/>
        </w:rPr>
        <w:t>َ</w:t>
      </w:r>
      <w:r w:rsidRPr="00904FCB">
        <w:rPr>
          <w:rFonts w:hint="cs"/>
          <w:sz w:val="27"/>
          <w:rtl/>
          <w:lang w:bidi="ar-AE"/>
        </w:rPr>
        <w:t>ي</w:t>
      </w:r>
      <w:r w:rsidR="00AE58C9" w:rsidRPr="00904FCB">
        <w:rPr>
          <w:rFonts w:hint="cs"/>
          <w:sz w:val="27"/>
          <w:rtl/>
          <w:lang w:bidi="ar-AE"/>
        </w:rPr>
        <w:t>ْ</w:t>
      </w:r>
      <w:r w:rsidRPr="00904FCB">
        <w:rPr>
          <w:rFonts w:hint="cs"/>
          <w:sz w:val="27"/>
          <w:rtl/>
          <w:lang w:bidi="ar-AE"/>
        </w:rPr>
        <w:t>د</w:t>
      </w:r>
      <w:r w:rsidR="00AE58C9" w:rsidRPr="00904FCB">
        <w:rPr>
          <w:rFonts w:hint="cs"/>
          <w:sz w:val="27"/>
          <w:rtl/>
          <w:lang w:bidi="ar-AE"/>
        </w:rPr>
        <w:t>َ</w:t>
      </w:r>
      <w:r w:rsidRPr="00904FCB">
        <w:rPr>
          <w:rFonts w:hint="cs"/>
          <w:sz w:val="27"/>
          <w:rtl/>
          <w:lang w:bidi="ar-AE"/>
        </w:rPr>
        <w:t xml:space="preserve"> أنه لماذا يجب أن نعتبر الزاوية الإنسانية أفضل وأكثر قيمة من زاوية سائر الكائنات الحيّة؟ وفي حدود علمي إن الدليل الوحيد الذي تمّ تقديمه حتى الآن لإثبات أفضلية الزاوية الإنسانية من زاوية سائر الكائنات الحية هو أن الإنسان يمتاز من سائر الكائنات بامتلاكه للقوّة العاقلة فقط. ولكن</w:t>
      </w:r>
      <w:r w:rsidR="00AE58C9" w:rsidRPr="00904FCB">
        <w:rPr>
          <w:rFonts w:hint="cs"/>
          <w:sz w:val="27"/>
          <w:rtl/>
          <w:lang w:bidi="ar-AE"/>
        </w:rPr>
        <w:t>ّ</w:t>
      </w:r>
      <w:r w:rsidRPr="00904FCB">
        <w:rPr>
          <w:rFonts w:hint="cs"/>
          <w:sz w:val="27"/>
          <w:rtl/>
          <w:lang w:bidi="ar-AE"/>
        </w:rPr>
        <w:t xml:space="preserve">نا لو اعتبرنا أصل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Pr="00904FCB">
        <w:rPr>
          <w:rFonts w:hint="cs"/>
          <w:sz w:val="27"/>
          <w:rtl/>
          <w:lang w:bidi="ar-AE"/>
        </w:rPr>
        <w:t xml:space="preserve"> ملاكاً لافتراض أفضلية الإنسان على سائر الكائنات الأخرى كان ذلك مصادرة</w:t>
      </w:r>
      <w:r w:rsidR="00AE58C9" w:rsidRPr="00904FCB">
        <w:rPr>
          <w:rFonts w:hint="cs"/>
          <w:sz w:val="27"/>
          <w:rtl/>
          <w:lang w:bidi="ar-AE"/>
        </w:rPr>
        <w:t>ً</w:t>
      </w:r>
      <w:r w:rsidRPr="00904FCB">
        <w:rPr>
          <w:rFonts w:hint="cs"/>
          <w:sz w:val="27"/>
          <w:rtl/>
          <w:lang w:bidi="ar-AE"/>
        </w:rPr>
        <w:t xml:space="preserve"> واضحة وصريحة على المطلوب.</w:t>
      </w:r>
    </w:p>
    <w:p w:rsidR="00FB64C4" w:rsidRPr="00904FCB" w:rsidRDefault="00FB64C4" w:rsidP="0098428A">
      <w:pPr>
        <w:pStyle w:val="31"/>
        <w:spacing w:line="400" w:lineRule="exact"/>
        <w:rPr>
          <w:color w:val="auto"/>
          <w:rtl/>
          <w:lang w:bidi="ar-AE"/>
        </w:rPr>
      </w:pPr>
      <w:r w:rsidRPr="00EB7818">
        <w:rPr>
          <w:rFonts w:hint="cs"/>
          <w:color w:val="auto"/>
          <w:rtl/>
          <w:lang w:bidi="ar-AE"/>
        </w:rPr>
        <w:lastRenderedPageBreak/>
        <w:t xml:space="preserve">2ـ </w:t>
      </w:r>
      <w:r w:rsidR="0098428A" w:rsidRPr="00EB7818">
        <w:rPr>
          <w:rFonts w:hint="cs"/>
          <w:color w:val="auto"/>
          <w:rtl/>
          <w:lang w:bidi="ar-AE"/>
        </w:rPr>
        <w:t>الخطوة</w:t>
      </w:r>
      <w:r w:rsidR="0098428A" w:rsidRPr="00904FCB">
        <w:rPr>
          <w:rFonts w:hint="cs"/>
          <w:color w:val="auto"/>
          <w:rtl/>
          <w:lang w:bidi="ar-AE"/>
        </w:rPr>
        <w:t xml:space="preserve"> التالية</w:t>
      </w:r>
    </w:p>
    <w:p w:rsidR="00E62C1B" w:rsidRPr="00904FCB" w:rsidRDefault="00FB64C4" w:rsidP="007A21AA">
      <w:pPr>
        <w:spacing w:line="400" w:lineRule="exact"/>
        <w:rPr>
          <w:sz w:val="27"/>
          <w:rtl/>
          <w:lang w:bidi="ar-AE"/>
        </w:rPr>
      </w:pPr>
      <w:r w:rsidRPr="00904FCB">
        <w:rPr>
          <w:rFonts w:hint="cs"/>
          <w:sz w:val="27"/>
          <w:rtl/>
          <w:lang w:bidi="ar-AE"/>
        </w:rPr>
        <w:t xml:space="preserve">إن نفي أصالة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Pr="00904FCB">
        <w:rPr>
          <w:rFonts w:hint="cs"/>
          <w:sz w:val="27"/>
          <w:rtl/>
          <w:lang w:bidi="ar-AE"/>
        </w:rPr>
        <w:t xml:space="preserve"> يُفضي بنا إلى إحداث تغيير جوهري في نوع العلاقات الأخلاقية القائمة بيننا وبين سائر الكائنات الحيّة. والنتيجة الأولى التي تتمخّض عن نفي هذا الأصل هو أننا من الناحية الأخلاقية يجب علينا أن نعتبر المساواة بين مصالح جميع الكائنات الحيّة طبقاً للأصول والقواعد. وعلى هذا الأساس لا يمكن لنا من الناحية الأخلاقية أن نقدّ</w:t>
      </w:r>
      <w:r w:rsidR="00AE58C9" w:rsidRPr="00904FCB">
        <w:rPr>
          <w:rFonts w:hint="cs"/>
          <w:sz w:val="27"/>
          <w:rtl/>
          <w:lang w:bidi="ar-AE"/>
        </w:rPr>
        <w:t>ِ</w:t>
      </w:r>
      <w:r w:rsidRPr="00904FCB">
        <w:rPr>
          <w:rFonts w:hint="cs"/>
          <w:sz w:val="27"/>
          <w:rtl/>
          <w:lang w:bidi="ar-AE"/>
        </w:rPr>
        <w:t>م مصالح الإنسان</w:t>
      </w:r>
      <w:r w:rsidR="00AE58C9" w:rsidRPr="00904FCB">
        <w:rPr>
          <w:rFonts w:hint="cs"/>
          <w:sz w:val="27"/>
          <w:rtl/>
          <w:lang w:bidi="ar-AE"/>
        </w:rPr>
        <w:t>؛</w:t>
      </w:r>
      <w:r w:rsidRPr="00904FCB">
        <w:rPr>
          <w:rFonts w:hint="cs"/>
          <w:sz w:val="27"/>
          <w:rtl/>
          <w:lang w:bidi="ar-AE"/>
        </w:rPr>
        <w:t xml:space="preserve"> لمجرّد كونه إنساناً</w:t>
      </w:r>
      <w:r w:rsidR="00AE58C9" w:rsidRPr="00904FCB">
        <w:rPr>
          <w:rFonts w:hint="cs"/>
          <w:sz w:val="27"/>
          <w:rtl/>
          <w:lang w:bidi="ar-AE"/>
        </w:rPr>
        <w:t>،</w:t>
      </w:r>
      <w:r w:rsidRPr="00904FCB">
        <w:rPr>
          <w:rFonts w:hint="cs"/>
          <w:sz w:val="27"/>
          <w:rtl/>
          <w:lang w:bidi="ar-AE"/>
        </w:rPr>
        <w:t xml:space="preserve"> على مصالح سائر الكائنات الحيّة الأخرى</w:t>
      </w:r>
      <w:r w:rsidR="00AE58C9" w:rsidRPr="00904FCB">
        <w:rPr>
          <w:rFonts w:hint="cs"/>
          <w:sz w:val="27"/>
          <w:rtl/>
          <w:lang w:bidi="ar-AE"/>
        </w:rPr>
        <w:t>؛</w:t>
      </w:r>
      <w:r w:rsidRPr="00904FCB">
        <w:rPr>
          <w:rFonts w:hint="cs"/>
          <w:sz w:val="27"/>
          <w:rtl/>
          <w:lang w:bidi="ar-AE"/>
        </w:rPr>
        <w:t xml:space="preserve"> فإن تقديم مصلحة نوع</w:t>
      </w:r>
      <w:r w:rsidR="00AE58C9" w:rsidRPr="00904FCB">
        <w:rPr>
          <w:rFonts w:hint="cs"/>
          <w:sz w:val="27"/>
          <w:rtl/>
          <w:lang w:bidi="ar-AE"/>
        </w:rPr>
        <w:t>ٍ</w:t>
      </w:r>
      <w:r w:rsidRPr="00904FCB">
        <w:rPr>
          <w:rFonts w:hint="cs"/>
          <w:sz w:val="27"/>
          <w:rtl/>
          <w:lang w:bidi="ar-AE"/>
        </w:rPr>
        <w:t xml:space="preserve"> على مصلحة نوع</w:t>
      </w:r>
      <w:r w:rsidR="00AE58C9" w:rsidRPr="00904FCB">
        <w:rPr>
          <w:rFonts w:hint="cs"/>
          <w:sz w:val="27"/>
          <w:rtl/>
          <w:lang w:bidi="ar-AE"/>
        </w:rPr>
        <w:t>ٍ</w:t>
      </w:r>
      <w:r w:rsidRPr="00904FCB">
        <w:rPr>
          <w:rFonts w:hint="cs"/>
          <w:sz w:val="27"/>
          <w:rtl/>
          <w:lang w:bidi="ar-AE"/>
        </w:rPr>
        <w:t xml:space="preserve"> آخر إنما يمكن تبريرها والدفاع عنها إذا أقمنا على ترجيحها أدل</w:t>
      </w:r>
      <w:r w:rsidR="00AE58C9" w:rsidRPr="00904FCB">
        <w:rPr>
          <w:rFonts w:hint="cs"/>
          <w:sz w:val="27"/>
          <w:rtl/>
          <w:lang w:bidi="ar-AE"/>
        </w:rPr>
        <w:t>ّ</w:t>
      </w:r>
      <w:r w:rsidRPr="00904FCB">
        <w:rPr>
          <w:rFonts w:hint="cs"/>
          <w:sz w:val="27"/>
          <w:rtl/>
          <w:lang w:bidi="ar-AE"/>
        </w:rPr>
        <w:t xml:space="preserve">ة أخلاقية وجيهة. </w:t>
      </w:r>
      <w:r w:rsidR="00AE58C9" w:rsidRPr="00904FCB">
        <w:rPr>
          <w:rFonts w:hint="cs"/>
          <w:sz w:val="27"/>
          <w:rtl/>
          <w:lang w:bidi="ar-AE"/>
        </w:rPr>
        <w:t>ومن ال</w:t>
      </w:r>
      <w:r w:rsidRPr="00904FCB">
        <w:rPr>
          <w:rFonts w:hint="cs"/>
          <w:sz w:val="27"/>
          <w:rtl/>
          <w:lang w:bidi="ar-AE"/>
        </w:rPr>
        <w:t>واضح أن رعاية هذه الموارد الأخلاقية فرض</w:t>
      </w:r>
      <w:r w:rsidR="00AE58C9" w:rsidRPr="00904FCB">
        <w:rPr>
          <w:rFonts w:hint="cs"/>
          <w:sz w:val="27"/>
          <w:rtl/>
          <w:lang w:bidi="ar-AE"/>
        </w:rPr>
        <w:t>ٌ</w:t>
      </w:r>
      <w:r w:rsidRPr="00904FCB">
        <w:rPr>
          <w:rFonts w:hint="cs"/>
          <w:sz w:val="27"/>
          <w:rtl/>
          <w:lang w:bidi="ar-AE"/>
        </w:rPr>
        <w:t xml:space="preserve"> على الإن</w:t>
      </w:r>
      <w:r w:rsidR="00E62C1B" w:rsidRPr="00904FCB">
        <w:rPr>
          <w:rFonts w:hint="cs"/>
          <w:sz w:val="27"/>
          <w:rtl/>
          <w:lang w:bidi="ar-AE"/>
        </w:rPr>
        <w:t>سان من بين سائر الكائنات الحية.</w:t>
      </w:r>
    </w:p>
    <w:p w:rsidR="00E62C1B" w:rsidRPr="00904FCB" w:rsidRDefault="00E62C1B" w:rsidP="007A21AA">
      <w:pPr>
        <w:spacing w:line="400" w:lineRule="exact"/>
        <w:rPr>
          <w:sz w:val="27"/>
          <w:rtl/>
          <w:lang w:bidi="ar-AE"/>
        </w:rPr>
      </w:pPr>
      <w:r w:rsidRPr="00904FCB">
        <w:rPr>
          <w:rFonts w:hint="cs"/>
          <w:sz w:val="27"/>
          <w:rtl/>
          <w:lang w:bidi="ar-AE"/>
        </w:rPr>
        <w:t>و</w:t>
      </w:r>
      <w:r w:rsidR="00FB64C4" w:rsidRPr="00904FCB">
        <w:rPr>
          <w:rFonts w:hint="cs"/>
          <w:sz w:val="27"/>
          <w:rtl/>
          <w:lang w:bidi="ar-AE"/>
        </w:rPr>
        <w:t xml:space="preserve">بعبارة أخرى: لو قلنا بعدم اعتبار أصل </w:t>
      </w:r>
      <w:r w:rsidR="00FB64C4" w:rsidRPr="00904FCB">
        <w:rPr>
          <w:rFonts w:hint="eastAsia"/>
          <w:sz w:val="27"/>
          <w:rtl/>
        </w:rPr>
        <w:t>«</w:t>
      </w:r>
      <w:r w:rsidR="00FB64C4" w:rsidRPr="00904FCB">
        <w:rPr>
          <w:rFonts w:hint="cs"/>
          <w:sz w:val="27"/>
          <w:rtl/>
          <w:lang w:bidi="ar-AE"/>
        </w:rPr>
        <w:t>محورية الإنسان</w:t>
      </w:r>
      <w:r w:rsidR="00FB64C4" w:rsidRPr="00904FCB">
        <w:rPr>
          <w:rFonts w:hint="eastAsia"/>
          <w:sz w:val="27"/>
          <w:rtl/>
        </w:rPr>
        <w:t>»</w:t>
      </w:r>
      <w:r w:rsidR="00FB64C4" w:rsidRPr="00904FCB">
        <w:rPr>
          <w:rFonts w:hint="cs"/>
          <w:sz w:val="27"/>
          <w:rtl/>
          <w:lang w:bidi="ar-AE"/>
        </w:rPr>
        <w:t xml:space="preserve"> يجب على الإنسان عندها</w:t>
      </w:r>
      <w:r w:rsidRPr="00904FCB">
        <w:rPr>
          <w:rFonts w:hint="cs"/>
          <w:sz w:val="27"/>
          <w:rtl/>
          <w:lang w:bidi="ar-AE"/>
        </w:rPr>
        <w:t>؛</w:t>
      </w:r>
      <w:r w:rsidR="00FB64C4" w:rsidRPr="00904FCB">
        <w:rPr>
          <w:rFonts w:hint="cs"/>
          <w:sz w:val="27"/>
          <w:rtl/>
          <w:lang w:bidi="ar-AE"/>
        </w:rPr>
        <w:t xml:space="preserve"> بوصفه فاعلاً أخلاقياً</w:t>
      </w:r>
      <w:r w:rsidRPr="00904FCB">
        <w:rPr>
          <w:rFonts w:hint="cs"/>
          <w:sz w:val="27"/>
          <w:rtl/>
          <w:lang w:bidi="ar-AE"/>
        </w:rPr>
        <w:t>،</w:t>
      </w:r>
      <w:r w:rsidR="00FB64C4" w:rsidRPr="00904FCB">
        <w:rPr>
          <w:rFonts w:hint="cs"/>
          <w:sz w:val="27"/>
          <w:rtl/>
          <w:lang w:bidi="ar-AE"/>
        </w:rPr>
        <w:t xml:space="preserve"> أن يعيد النظر في علاقاته مع سائر الكائنات الحيّة، وأن ينظ</w:t>
      </w:r>
      <w:r w:rsidRPr="00904FCB">
        <w:rPr>
          <w:rFonts w:hint="cs"/>
          <w:sz w:val="27"/>
          <w:rtl/>
          <w:lang w:bidi="ar-AE"/>
        </w:rPr>
        <w:t>ِّ</w:t>
      </w:r>
      <w:r w:rsidR="00FB64C4" w:rsidRPr="00904FCB">
        <w:rPr>
          <w:rFonts w:hint="cs"/>
          <w:sz w:val="27"/>
          <w:rtl/>
          <w:lang w:bidi="ar-AE"/>
        </w:rPr>
        <w:t>م سلوكه مع سائر الكائنات الحيّة في إطار الأصول والقواعد الأخلاقية الجديدة. ولكن</w:t>
      </w:r>
      <w:r w:rsidRPr="00904FCB">
        <w:rPr>
          <w:rFonts w:hint="cs"/>
          <w:sz w:val="27"/>
          <w:rtl/>
          <w:lang w:bidi="ar-AE"/>
        </w:rPr>
        <w:t>ْ</w:t>
      </w:r>
      <w:r w:rsidR="00FB64C4" w:rsidRPr="00904FCB">
        <w:rPr>
          <w:rFonts w:hint="cs"/>
          <w:sz w:val="27"/>
          <w:rtl/>
          <w:lang w:bidi="ar-AE"/>
        </w:rPr>
        <w:t xml:space="preserve"> ما هي تلك الأصول والقواعد الأخلاقية؟ وما هي القيود الأخلاقية التي تفرض على علاقة الإنسان بسائر الكائنات الأخرى</w:t>
      </w:r>
      <w:r w:rsidRPr="00904FCB">
        <w:rPr>
          <w:rFonts w:hint="cs"/>
          <w:sz w:val="27"/>
          <w:rtl/>
          <w:lang w:bidi="ar-AE"/>
        </w:rPr>
        <w:t>،</w:t>
      </w:r>
      <w:r w:rsidR="00FB64C4" w:rsidRPr="00904FCB">
        <w:rPr>
          <w:rFonts w:hint="cs"/>
          <w:sz w:val="27"/>
          <w:rtl/>
          <w:lang w:bidi="ar-AE"/>
        </w:rPr>
        <w:t xml:space="preserve"> بعد نفي أصل </w:t>
      </w:r>
      <w:r w:rsidR="00FB64C4" w:rsidRPr="00904FCB">
        <w:rPr>
          <w:rFonts w:hint="eastAsia"/>
          <w:sz w:val="27"/>
          <w:rtl/>
        </w:rPr>
        <w:t>«</w:t>
      </w:r>
      <w:r w:rsidR="00FB64C4" w:rsidRPr="00904FCB">
        <w:rPr>
          <w:rFonts w:hint="cs"/>
          <w:sz w:val="27"/>
          <w:rtl/>
          <w:lang w:bidi="ar-AE"/>
        </w:rPr>
        <w:t>محورية الإنسان</w:t>
      </w:r>
      <w:r w:rsidR="00FB64C4" w:rsidRPr="00904FCB">
        <w:rPr>
          <w:rFonts w:hint="eastAsia"/>
          <w:sz w:val="27"/>
          <w:rtl/>
        </w:rPr>
        <w:t>»</w:t>
      </w:r>
      <w:r w:rsidRPr="00904FCB">
        <w:rPr>
          <w:rFonts w:hint="cs"/>
          <w:sz w:val="27"/>
          <w:rtl/>
          <w:lang w:bidi="ar-AE"/>
        </w:rPr>
        <w:t>؟</w:t>
      </w:r>
    </w:p>
    <w:p w:rsidR="00FB64C4" w:rsidRPr="00904FCB" w:rsidRDefault="00FB64C4" w:rsidP="007A21AA">
      <w:pPr>
        <w:spacing w:line="400" w:lineRule="exact"/>
        <w:rPr>
          <w:sz w:val="27"/>
          <w:rtl/>
          <w:lang w:bidi="ar-AE"/>
        </w:rPr>
      </w:pPr>
      <w:r w:rsidRPr="00904FCB">
        <w:rPr>
          <w:rFonts w:hint="cs"/>
          <w:sz w:val="27"/>
          <w:rtl/>
          <w:lang w:bidi="ar-AE"/>
        </w:rPr>
        <w:t>قبل الإجابة عن هذا السؤال يجب التمييز بين مجموعتين من مصالح الكائنات الحيّة. وتلك المج</w:t>
      </w:r>
      <w:r w:rsidR="00E62C1B" w:rsidRPr="00904FCB">
        <w:rPr>
          <w:rFonts w:hint="cs"/>
          <w:sz w:val="27"/>
          <w:rtl/>
          <w:lang w:bidi="ar-AE"/>
        </w:rPr>
        <w:t>م</w:t>
      </w:r>
      <w:r w:rsidRPr="00904FCB">
        <w:rPr>
          <w:rFonts w:hint="cs"/>
          <w:sz w:val="27"/>
          <w:rtl/>
          <w:lang w:bidi="ar-AE"/>
        </w:rPr>
        <w:t>وعتان عبارة عن: المصالح والحاجات الأساسية</w:t>
      </w:r>
      <w:r w:rsidR="00E62C1B" w:rsidRPr="00904FCB">
        <w:rPr>
          <w:rFonts w:hint="cs"/>
          <w:sz w:val="27"/>
          <w:rtl/>
          <w:lang w:bidi="ar-AE"/>
        </w:rPr>
        <w:t>؛</w:t>
      </w:r>
      <w:r w:rsidRPr="00904FCB">
        <w:rPr>
          <w:rFonts w:hint="cs"/>
          <w:sz w:val="27"/>
          <w:rtl/>
          <w:lang w:bidi="ar-AE"/>
        </w:rPr>
        <w:t xml:space="preserve"> والمصالح والحاجات غير الأساسية. إن المصالح والحاجات الأساسية تمث</w:t>
      </w:r>
      <w:r w:rsidR="00E62C1B" w:rsidRPr="00904FCB">
        <w:rPr>
          <w:rFonts w:hint="cs"/>
          <w:sz w:val="27"/>
          <w:rtl/>
          <w:lang w:bidi="ar-AE"/>
        </w:rPr>
        <w:t>ِّ</w:t>
      </w:r>
      <w:r w:rsidRPr="00904FCB">
        <w:rPr>
          <w:rFonts w:hint="cs"/>
          <w:sz w:val="27"/>
          <w:rtl/>
          <w:lang w:bidi="ar-AE"/>
        </w:rPr>
        <w:t>ل مجموعة الشروط التي يجب تحققها من أجل الحصول على الحدّ الأدنى من الحياة الكريمة (في</w:t>
      </w:r>
      <w:r w:rsidR="00E62C1B" w:rsidRPr="00904FCB">
        <w:rPr>
          <w:rFonts w:hint="cs"/>
          <w:sz w:val="27"/>
          <w:rtl/>
          <w:lang w:bidi="ar-AE"/>
        </w:rPr>
        <w:t xml:space="preserve"> </w:t>
      </w:r>
      <w:r w:rsidRPr="00904FCB">
        <w:rPr>
          <w:rFonts w:hint="cs"/>
          <w:sz w:val="27"/>
          <w:rtl/>
          <w:lang w:bidi="ar-AE"/>
        </w:rPr>
        <w:t>ما يتعل</w:t>
      </w:r>
      <w:r w:rsidR="00E62C1B" w:rsidRPr="00904FCB">
        <w:rPr>
          <w:rFonts w:hint="cs"/>
          <w:sz w:val="27"/>
          <w:rtl/>
          <w:lang w:bidi="ar-AE"/>
        </w:rPr>
        <w:t>َّ</w:t>
      </w:r>
      <w:r w:rsidRPr="00904FCB">
        <w:rPr>
          <w:rFonts w:hint="cs"/>
          <w:sz w:val="27"/>
          <w:rtl/>
          <w:lang w:bidi="ar-AE"/>
        </w:rPr>
        <w:t>ق بالإنسان)، أو الحياة المقرونة بالسلامة (في</w:t>
      </w:r>
      <w:r w:rsidR="00E62C1B" w:rsidRPr="00904FCB">
        <w:rPr>
          <w:rFonts w:hint="cs"/>
          <w:sz w:val="27"/>
          <w:rtl/>
          <w:lang w:bidi="ar-AE"/>
        </w:rPr>
        <w:t xml:space="preserve"> </w:t>
      </w:r>
      <w:r w:rsidRPr="00904FCB">
        <w:rPr>
          <w:rFonts w:hint="cs"/>
          <w:sz w:val="27"/>
          <w:rtl/>
          <w:lang w:bidi="ar-AE"/>
        </w:rPr>
        <w:t>ما يتعل</w:t>
      </w:r>
      <w:r w:rsidR="00E62C1B" w:rsidRPr="00904FCB">
        <w:rPr>
          <w:rFonts w:hint="cs"/>
          <w:sz w:val="27"/>
          <w:rtl/>
          <w:lang w:bidi="ar-AE"/>
        </w:rPr>
        <w:t>ّ</w:t>
      </w:r>
      <w:r w:rsidRPr="00904FCB">
        <w:rPr>
          <w:rFonts w:hint="cs"/>
          <w:sz w:val="27"/>
          <w:rtl/>
          <w:lang w:bidi="ar-AE"/>
        </w:rPr>
        <w:t>ق بسائر الكائنات الحيّة). وأما إذا افتقرت المصلحة أو الحاجة إلى هذه الخصوصية فتسمّى بالمصلحة أو الحاجة غير الأساسية. فعلى سبيل المثال: إن حاجة الإنسان إلى الطعام الكافي يجب أن نعدّها من الحاجات الأساسية، إلا</w:t>
      </w:r>
      <w:r w:rsidR="00E62C1B" w:rsidRPr="00904FCB">
        <w:rPr>
          <w:rFonts w:hint="cs"/>
          <w:sz w:val="27"/>
          <w:rtl/>
          <w:lang w:bidi="ar-AE"/>
        </w:rPr>
        <w:t>ّ</w:t>
      </w:r>
      <w:r w:rsidRPr="00904FCB">
        <w:rPr>
          <w:rFonts w:hint="cs"/>
          <w:sz w:val="27"/>
          <w:rtl/>
          <w:lang w:bidi="ar-AE"/>
        </w:rPr>
        <w:t xml:space="preserve"> أن رغبته في الحصول على الكماليات يجب أن لا نعدّها من جملة الحاجات الأساسية.</w:t>
      </w:r>
    </w:p>
    <w:p w:rsidR="00FB64C4" w:rsidRPr="00904FCB" w:rsidRDefault="00FB64C4" w:rsidP="007A21AA">
      <w:pPr>
        <w:spacing w:line="400" w:lineRule="exact"/>
        <w:rPr>
          <w:sz w:val="27"/>
          <w:rtl/>
          <w:lang w:bidi="ar-AE"/>
        </w:rPr>
      </w:pPr>
      <w:r w:rsidRPr="00904FCB">
        <w:rPr>
          <w:rFonts w:hint="cs"/>
          <w:sz w:val="27"/>
          <w:rtl/>
          <w:lang w:bidi="ar-AE"/>
        </w:rPr>
        <w:t xml:space="preserve">من هنا يمكن لنا أن نعدّ الأمور </w:t>
      </w:r>
      <w:r w:rsidR="00E62C1B" w:rsidRPr="00904FCB">
        <w:rPr>
          <w:rFonts w:hint="cs"/>
          <w:sz w:val="27"/>
          <w:rtl/>
          <w:lang w:bidi="ar-AE"/>
        </w:rPr>
        <w:t>التالي</w:t>
      </w:r>
      <w:r w:rsidRPr="00904FCB">
        <w:rPr>
          <w:rFonts w:hint="cs"/>
          <w:sz w:val="27"/>
          <w:rtl/>
          <w:lang w:bidi="ar-AE"/>
        </w:rPr>
        <w:t>ة من أهم</w:t>
      </w:r>
      <w:r w:rsidR="00E62C1B" w:rsidRPr="00904FCB">
        <w:rPr>
          <w:rFonts w:hint="cs"/>
          <w:sz w:val="27"/>
          <w:rtl/>
          <w:lang w:bidi="ar-AE"/>
        </w:rPr>
        <w:t>ّ</w:t>
      </w:r>
      <w:r w:rsidRPr="00904FCB">
        <w:rPr>
          <w:rFonts w:hint="cs"/>
          <w:sz w:val="27"/>
          <w:rtl/>
          <w:lang w:bidi="ar-AE"/>
        </w:rPr>
        <w:t xml:space="preserve"> الأصول والقواعد التي يجب أن </w:t>
      </w:r>
      <w:r w:rsidRPr="00904FCB">
        <w:rPr>
          <w:rFonts w:hint="cs"/>
          <w:sz w:val="27"/>
          <w:rtl/>
          <w:lang w:bidi="ar-AE"/>
        </w:rPr>
        <w:lastRenderedPageBreak/>
        <w:t>تحكم العلاقات القائمة بين الإنسان وسائر الكائنات الحيّة الأخرى:</w:t>
      </w:r>
    </w:p>
    <w:p w:rsidR="00FB64C4" w:rsidRPr="00904FCB" w:rsidRDefault="00FB64C4" w:rsidP="007A21AA">
      <w:pPr>
        <w:spacing w:line="400" w:lineRule="exact"/>
        <w:rPr>
          <w:sz w:val="27"/>
          <w:rtl/>
          <w:lang w:bidi="ar-AE"/>
        </w:rPr>
      </w:pPr>
      <w:r w:rsidRPr="00904FCB">
        <w:rPr>
          <w:rFonts w:hint="cs"/>
          <w:b/>
          <w:bCs/>
          <w:sz w:val="27"/>
          <w:rtl/>
          <w:lang w:bidi="ar-AE"/>
        </w:rPr>
        <w:t>الأصل الأول أو أصل الدفاع عن النفس أو النوع</w:t>
      </w:r>
      <w:r w:rsidRPr="00904FCB">
        <w:rPr>
          <w:rFonts w:hint="cs"/>
          <w:sz w:val="27"/>
          <w:rtl/>
          <w:lang w:bidi="ar-AE"/>
        </w:rPr>
        <w:t>: يحق</w:t>
      </w:r>
      <w:r w:rsidR="00E62C1B" w:rsidRPr="00904FCB">
        <w:rPr>
          <w:rFonts w:hint="cs"/>
          <w:sz w:val="27"/>
          <w:rtl/>
          <w:lang w:bidi="ar-AE"/>
        </w:rPr>
        <w:t>ّ</w:t>
      </w:r>
      <w:r w:rsidRPr="00904FCB">
        <w:rPr>
          <w:rFonts w:hint="cs"/>
          <w:sz w:val="27"/>
          <w:rtl/>
          <w:lang w:bidi="ar-AE"/>
        </w:rPr>
        <w:t xml:space="preserve"> للإنسان من الناحية الأخلاقية أن يدافع عن نفسه وأبناء جلدته إذا تعرّض لخطر</w:t>
      </w:r>
      <w:r w:rsidR="00CF6834" w:rsidRPr="00904FCB">
        <w:rPr>
          <w:rFonts w:hint="cs"/>
          <w:sz w:val="27"/>
          <w:rtl/>
          <w:lang w:bidi="ar-AE"/>
        </w:rPr>
        <w:t>ٍ</w:t>
      </w:r>
      <w:r w:rsidRPr="00904FCB">
        <w:rPr>
          <w:rFonts w:hint="cs"/>
          <w:sz w:val="27"/>
          <w:rtl/>
          <w:lang w:bidi="ar-AE"/>
        </w:rPr>
        <w:t xml:space="preserve"> داهم من قبل سائر الكائنات الأخرى، حتى إذا أد</w:t>
      </w:r>
      <w:r w:rsidR="00CF6834" w:rsidRPr="00904FCB">
        <w:rPr>
          <w:rFonts w:hint="cs"/>
          <w:sz w:val="27"/>
          <w:rtl/>
          <w:lang w:bidi="ar-AE"/>
        </w:rPr>
        <w:t>ّ</w:t>
      </w:r>
      <w:r w:rsidRPr="00904FCB">
        <w:rPr>
          <w:rFonts w:hint="cs"/>
          <w:sz w:val="27"/>
          <w:rtl/>
          <w:lang w:bidi="ar-AE"/>
        </w:rPr>
        <w:t>ى ذلك إلى تعريض مصالحها الأساسية للخطر</w:t>
      </w:r>
      <w:r w:rsidR="00CF6834" w:rsidRPr="00904FCB">
        <w:rPr>
          <w:rFonts w:hint="cs"/>
          <w:sz w:val="27"/>
          <w:rtl/>
          <w:lang w:bidi="ar-AE"/>
        </w:rPr>
        <w:t>.</w:t>
      </w:r>
      <w:r w:rsidRPr="00904FCB">
        <w:rPr>
          <w:rFonts w:hint="cs"/>
          <w:sz w:val="27"/>
          <w:rtl/>
          <w:lang w:bidi="ar-AE"/>
        </w:rPr>
        <w:t xml:space="preserve"> فعلى سبيل المثال: لو تعرّض إنسان لهجوم</w:t>
      </w:r>
      <w:r w:rsidR="00CF6834" w:rsidRPr="00904FCB">
        <w:rPr>
          <w:rFonts w:hint="cs"/>
          <w:sz w:val="27"/>
          <w:rtl/>
          <w:lang w:bidi="ar-AE"/>
        </w:rPr>
        <w:t>ٍ</w:t>
      </w:r>
      <w:r w:rsidRPr="00904FCB">
        <w:rPr>
          <w:rFonts w:hint="cs"/>
          <w:sz w:val="27"/>
          <w:rtl/>
          <w:lang w:bidi="ar-AE"/>
        </w:rPr>
        <w:t xml:space="preserve"> من قبل سبع مفترس جاز له أن يقضي على ذلك السبع</w:t>
      </w:r>
      <w:r w:rsidR="00CF6834" w:rsidRPr="00904FCB">
        <w:rPr>
          <w:rFonts w:hint="cs"/>
          <w:sz w:val="27"/>
          <w:rtl/>
          <w:lang w:bidi="ar-AE"/>
        </w:rPr>
        <w:t>؛</w:t>
      </w:r>
      <w:r w:rsidRPr="00904FCB">
        <w:rPr>
          <w:rFonts w:hint="cs"/>
          <w:sz w:val="27"/>
          <w:rtl/>
          <w:lang w:bidi="ar-AE"/>
        </w:rPr>
        <w:t xml:space="preserve"> ليحافظ على حياته.</w:t>
      </w:r>
    </w:p>
    <w:p w:rsidR="00FB64C4" w:rsidRPr="00904FCB" w:rsidRDefault="00FB64C4" w:rsidP="007A21AA">
      <w:pPr>
        <w:spacing w:line="400" w:lineRule="exact"/>
        <w:rPr>
          <w:sz w:val="27"/>
          <w:rtl/>
          <w:lang w:bidi="ar-AE"/>
        </w:rPr>
      </w:pPr>
      <w:r w:rsidRPr="00904FCB">
        <w:rPr>
          <w:rFonts w:hint="cs"/>
          <w:b/>
          <w:bCs/>
          <w:sz w:val="27"/>
          <w:rtl/>
          <w:lang w:bidi="ar-AE"/>
        </w:rPr>
        <w:t>الأصل الثاني أو أصل بقاء النفس أو النوع</w:t>
      </w:r>
      <w:r w:rsidRPr="00904FCB">
        <w:rPr>
          <w:rFonts w:hint="cs"/>
          <w:sz w:val="27"/>
          <w:rtl/>
          <w:lang w:bidi="ar-AE"/>
        </w:rPr>
        <w:t>: يحق</w:t>
      </w:r>
      <w:r w:rsidR="00CF6834" w:rsidRPr="00904FCB">
        <w:rPr>
          <w:rFonts w:hint="cs"/>
          <w:sz w:val="27"/>
          <w:rtl/>
          <w:lang w:bidi="ar-AE"/>
        </w:rPr>
        <w:t>ّ</w:t>
      </w:r>
      <w:r w:rsidRPr="00904FCB">
        <w:rPr>
          <w:rFonts w:hint="cs"/>
          <w:sz w:val="27"/>
          <w:rtl/>
          <w:lang w:bidi="ar-AE"/>
        </w:rPr>
        <w:t xml:space="preserve"> للإنسان من الناحية الأخلاقية إذا اقتض</w:t>
      </w:r>
      <w:r w:rsidR="00CF6834" w:rsidRPr="00904FCB">
        <w:rPr>
          <w:rFonts w:hint="cs"/>
          <w:sz w:val="27"/>
          <w:rtl/>
          <w:lang w:bidi="ar-AE"/>
        </w:rPr>
        <w:t>َ</w:t>
      </w:r>
      <w:r w:rsidRPr="00904FCB">
        <w:rPr>
          <w:rFonts w:hint="cs"/>
          <w:sz w:val="27"/>
          <w:rtl/>
          <w:lang w:bidi="ar-AE"/>
        </w:rPr>
        <w:t>ت</w:t>
      </w:r>
      <w:r w:rsidR="00CF6834" w:rsidRPr="00904FCB">
        <w:rPr>
          <w:rFonts w:hint="cs"/>
          <w:sz w:val="27"/>
          <w:rtl/>
          <w:lang w:bidi="ar-AE"/>
        </w:rPr>
        <w:t>ْ</w:t>
      </w:r>
      <w:r w:rsidRPr="00904FCB">
        <w:rPr>
          <w:rFonts w:hint="cs"/>
          <w:sz w:val="27"/>
          <w:rtl/>
          <w:lang w:bidi="ar-AE"/>
        </w:rPr>
        <w:t xml:space="preserve"> الضرورة أن يتعرّ</w:t>
      </w:r>
      <w:r w:rsidR="00CF6834" w:rsidRPr="00904FCB">
        <w:rPr>
          <w:rFonts w:hint="cs"/>
          <w:sz w:val="27"/>
          <w:rtl/>
          <w:lang w:bidi="ar-AE"/>
        </w:rPr>
        <w:t>َ</w:t>
      </w:r>
      <w:r w:rsidRPr="00904FCB">
        <w:rPr>
          <w:rFonts w:hint="cs"/>
          <w:sz w:val="27"/>
          <w:rtl/>
          <w:lang w:bidi="ar-AE"/>
        </w:rPr>
        <w:t>ض للمصالح الأساسية للكائنات الحية الأخرى</w:t>
      </w:r>
      <w:r w:rsidR="00CF6834" w:rsidRPr="00904FCB">
        <w:rPr>
          <w:rFonts w:hint="cs"/>
          <w:sz w:val="27"/>
          <w:rtl/>
          <w:lang w:bidi="ar-AE"/>
        </w:rPr>
        <w:t>؛</w:t>
      </w:r>
      <w:r w:rsidRPr="00904FCB">
        <w:rPr>
          <w:rFonts w:hint="cs"/>
          <w:sz w:val="27"/>
          <w:rtl/>
          <w:lang w:bidi="ar-AE"/>
        </w:rPr>
        <w:t xml:space="preserve"> من أجل تلبية الحاجات الأساسية لنفسه أو لأبناء جلدته. فعلى سبيل المثال</w:t>
      </w:r>
      <w:r w:rsidR="00CF6834" w:rsidRPr="00904FCB">
        <w:rPr>
          <w:rFonts w:hint="cs"/>
          <w:sz w:val="27"/>
          <w:rtl/>
          <w:lang w:bidi="ar-AE"/>
        </w:rPr>
        <w:t>:</w:t>
      </w:r>
      <w:r w:rsidRPr="00904FCB">
        <w:rPr>
          <w:rFonts w:hint="cs"/>
          <w:sz w:val="27"/>
          <w:rtl/>
          <w:lang w:bidi="ar-AE"/>
        </w:rPr>
        <w:t xml:space="preserve"> يحق للإنسان أن يصيد الحيونات الأخرى عند الضرورة</w:t>
      </w:r>
      <w:r w:rsidR="00CF6834" w:rsidRPr="00904FCB">
        <w:rPr>
          <w:rFonts w:hint="cs"/>
          <w:sz w:val="27"/>
          <w:rtl/>
          <w:lang w:bidi="ar-AE"/>
        </w:rPr>
        <w:t>؛</w:t>
      </w:r>
      <w:r w:rsidRPr="00904FCB">
        <w:rPr>
          <w:rFonts w:hint="cs"/>
          <w:sz w:val="27"/>
          <w:rtl/>
          <w:lang w:bidi="ar-AE"/>
        </w:rPr>
        <w:t xml:space="preserve"> لدفع خطر المجاعة. ولا ب</w:t>
      </w:r>
      <w:r w:rsidR="00CF6834" w:rsidRPr="00904FCB">
        <w:rPr>
          <w:rFonts w:hint="cs"/>
          <w:sz w:val="27"/>
          <w:rtl/>
          <w:lang w:bidi="ar-AE"/>
        </w:rPr>
        <w:t>ُ</w:t>
      </w:r>
      <w:r w:rsidRPr="00904FCB">
        <w:rPr>
          <w:rFonts w:hint="cs"/>
          <w:sz w:val="27"/>
          <w:rtl/>
          <w:lang w:bidi="ar-AE"/>
        </w:rPr>
        <w:t>د</w:t>
      </w:r>
      <w:r w:rsidR="00CF6834" w:rsidRPr="00904FCB">
        <w:rPr>
          <w:rFonts w:hint="cs"/>
          <w:sz w:val="27"/>
          <w:rtl/>
          <w:lang w:bidi="ar-AE"/>
        </w:rPr>
        <w:t>َّ</w:t>
      </w:r>
      <w:r w:rsidRPr="00904FCB">
        <w:rPr>
          <w:rFonts w:hint="cs"/>
          <w:sz w:val="27"/>
          <w:rtl/>
          <w:lang w:bidi="ar-AE"/>
        </w:rPr>
        <w:t xml:space="preserve"> من ال</w:t>
      </w:r>
      <w:r w:rsidR="00CF6834" w:rsidRPr="00904FCB">
        <w:rPr>
          <w:rFonts w:hint="cs"/>
          <w:sz w:val="27"/>
          <w:rtl/>
          <w:lang w:bidi="ar-AE"/>
        </w:rPr>
        <w:t>ا</w:t>
      </w:r>
      <w:r w:rsidRPr="00904FCB">
        <w:rPr>
          <w:rFonts w:hint="cs"/>
          <w:sz w:val="27"/>
          <w:rtl/>
          <w:lang w:bidi="ar-AE"/>
        </w:rPr>
        <w:t>لتفات ـ بطبيعة الحال ـ إلى أن</w:t>
      </w:r>
      <w:r w:rsidR="00CF6834" w:rsidRPr="00904FCB">
        <w:rPr>
          <w:rFonts w:hint="cs"/>
          <w:sz w:val="27"/>
          <w:rtl/>
          <w:lang w:bidi="ar-AE"/>
        </w:rPr>
        <w:t>ّ</w:t>
      </w:r>
      <w:r w:rsidRPr="00904FCB">
        <w:rPr>
          <w:rFonts w:hint="cs"/>
          <w:sz w:val="27"/>
          <w:rtl/>
          <w:lang w:bidi="ar-AE"/>
        </w:rPr>
        <w:t xml:space="preserve"> </w:t>
      </w:r>
      <w:r w:rsidRPr="00904FCB">
        <w:rPr>
          <w:rFonts w:hint="eastAsia"/>
          <w:sz w:val="27"/>
          <w:rtl/>
        </w:rPr>
        <w:t>«</w:t>
      </w:r>
      <w:r w:rsidRPr="00904FCB">
        <w:rPr>
          <w:rFonts w:hint="cs"/>
          <w:sz w:val="27"/>
          <w:rtl/>
          <w:lang w:bidi="ar-AE"/>
        </w:rPr>
        <w:t>أصل البقاء</w:t>
      </w:r>
      <w:r w:rsidRPr="00904FCB">
        <w:rPr>
          <w:rFonts w:hint="eastAsia"/>
          <w:sz w:val="27"/>
          <w:rtl/>
        </w:rPr>
        <w:t>»</w:t>
      </w:r>
      <w:r w:rsidRPr="00904FCB">
        <w:rPr>
          <w:rFonts w:hint="cs"/>
          <w:sz w:val="27"/>
          <w:rtl/>
          <w:lang w:bidi="ar-AE"/>
        </w:rPr>
        <w:t xml:space="preserve"> لا يبيح للإنسان أن يقوم بكل</w:t>
      </w:r>
      <w:r w:rsidR="00CF6834" w:rsidRPr="00904FCB">
        <w:rPr>
          <w:rFonts w:hint="cs"/>
          <w:sz w:val="27"/>
          <w:rtl/>
          <w:lang w:bidi="ar-AE"/>
        </w:rPr>
        <w:t>ّ</w:t>
      </w:r>
      <w:r w:rsidRPr="00904FCB">
        <w:rPr>
          <w:rFonts w:hint="cs"/>
          <w:sz w:val="27"/>
          <w:rtl/>
          <w:lang w:bidi="ar-AE"/>
        </w:rPr>
        <w:t xml:space="preserve"> ما يحلو له من التصرّف مع سائر الكائنات الحية الأخرى من أجل تلبية حاجاته الأساسية. فعندما يضطرّ الإنسان إلى انتهاك المصالح الرئيسة لسائر الكائنات الحيّة</w:t>
      </w:r>
      <w:r w:rsidR="00CF6834" w:rsidRPr="00904FCB">
        <w:rPr>
          <w:rFonts w:hint="cs"/>
          <w:sz w:val="27"/>
          <w:rtl/>
          <w:lang w:bidi="ar-AE"/>
        </w:rPr>
        <w:t>؛</w:t>
      </w:r>
      <w:r w:rsidRPr="00904FCB">
        <w:rPr>
          <w:rFonts w:hint="cs"/>
          <w:sz w:val="27"/>
          <w:rtl/>
          <w:lang w:bidi="ar-AE"/>
        </w:rPr>
        <w:t xml:space="preserve"> من أجل تلبية حاجاته الأساسية، عليه أن يتوصّ</w:t>
      </w:r>
      <w:r w:rsidR="00CF6834" w:rsidRPr="00904FCB">
        <w:rPr>
          <w:rFonts w:hint="cs"/>
          <w:sz w:val="27"/>
          <w:rtl/>
          <w:lang w:bidi="ar-AE"/>
        </w:rPr>
        <w:t>َ</w:t>
      </w:r>
      <w:r w:rsidRPr="00904FCB">
        <w:rPr>
          <w:rFonts w:hint="cs"/>
          <w:sz w:val="27"/>
          <w:rtl/>
          <w:lang w:bidi="ar-AE"/>
        </w:rPr>
        <w:t>ل إلى ذلك من خلال إلحاق أدنى الضرر بحق</w:t>
      </w:r>
      <w:r w:rsidR="00CF6834" w:rsidRPr="00904FCB">
        <w:rPr>
          <w:rFonts w:hint="cs"/>
          <w:sz w:val="27"/>
          <w:rtl/>
          <w:lang w:bidi="ar-AE"/>
        </w:rPr>
        <w:t>ِّ</w:t>
      </w:r>
      <w:r w:rsidRPr="00904FCB">
        <w:rPr>
          <w:rFonts w:hint="cs"/>
          <w:sz w:val="27"/>
          <w:rtl/>
          <w:lang w:bidi="ar-AE"/>
        </w:rPr>
        <w:t>ها، فلا يقسو عليها</w:t>
      </w:r>
      <w:r w:rsidR="00CF6834" w:rsidRPr="00904FCB">
        <w:rPr>
          <w:rFonts w:hint="cs"/>
          <w:sz w:val="27"/>
          <w:rtl/>
          <w:lang w:bidi="ar-AE"/>
        </w:rPr>
        <w:t>،</w:t>
      </w:r>
      <w:r w:rsidRPr="00904FCB">
        <w:rPr>
          <w:rFonts w:hint="cs"/>
          <w:sz w:val="27"/>
          <w:rtl/>
          <w:lang w:bidi="ar-AE"/>
        </w:rPr>
        <w:t xml:space="preserve"> ولا يبالغ في إيذائها. ومن ناحية</w:t>
      </w:r>
      <w:r w:rsidR="00CF6834" w:rsidRPr="00904FCB">
        <w:rPr>
          <w:rFonts w:hint="cs"/>
          <w:sz w:val="27"/>
          <w:rtl/>
          <w:lang w:bidi="ar-AE"/>
        </w:rPr>
        <w:t>ٍ</w:t>
      </w:r>
      <w:r w:rsidRPr="00904FCB">
        <w:rPr>
          <w:rFonts w:hint="cs"/>
          <w:sz w:val="27"/>
          <w:rtl/>
          <w:lang w:bidi="ar-AE"/>
        </w:rPr>
        <w:t xml:space="preserve"> أخرى لا ب</w:t>
      </w:r>
      <w:r w:rsidR="00CF6834" w:rsidRPr="00904FCB">
        <w:rPr>
          <w:rFonts w:hint="cs"/>
          <w:sz w:val="27"/>
          <w:rtl/>
          <w:lang w:bidi="ar-AE"/>
        </w:rPr>
        <w:t>ُ</w:t>
      </w:r>
      <w:r w:rsidRPr="00904FCB">
        <w:rPr>
          <w:rFonts w:hint="cs"/>
          <w:sz w:val="27"/>
          <w:rtl/>
          <w:lang w:bidi="ar-AE"/>
        </w:rPr>
        <w:t>دّ</w:t>
      </w:r>
      <w:r w:rsidR="00CF6834" w:rsidRPr="00904FCB">
        <w:rPr>
          <w:rFonts w:hint="cs"/>
          <w:sz w:val="27"/>
          <w:rtl/>
          <w:lang w:bidi="ar-AE"/>
        </w:rPr>
        <w:t>ّ</w:t>
      </w:r>
      <w:r w:rsidRPr="00904FCB">
        <w:rPr>
          <w:rFonts w:hint="cs"/>
          <w:sz w:val="27"/>
          <w:rtl/>
          <w:lang w:bidi="ar-AE"/>
        </w:rPr>
        <w:t xml:space="preserve"> من ال</w:t>
      </w:r>
      <w:r w:rsidR="00CF6834" w:rsidRPr="00904FCB">
        <w:rPr>
          <w:rFonts w:hint="cs"/>
          <w:sz w:val="27"/>
          <w:rtl/>
          <w:lang w:bidi="ar-AE"/>
        </w:rPr>
        <w:t>ا</w:t>
      </w:r>
      <w:r w:rsidRPr="00904FCB">
        <w:rPr>
          <w:rFonts w:hint="cs"/>
          <w:sz w:val="27"/>
          <w:rtl/>
          <w:lang w:bidi="ar-AE"/>
        </w:rPr>
        <w:t xml:space="preserve">لتفات إلى هذه المسألة الهامّة، وهي أن </w:t>
      </w:r>
      <w:r w:rsidRPr="00904FCB">
        <w:rPr>
          <w:rFonts w:hint="eastAsia"/>
          <w:sz w:val="27"/>
          <w:rtl/>
        </w:rPr>
        <w:t>«</w:t>
      </w:r>
      <w:r w:rsidRPr="00904FCB">
        <w:rPr>
          <w:rFonts w:hint="cs"/>
          <w:sz w:val="27"/>
          <w:rtl/>
          <w:lang w:bidi="ar-AE"/>
        </w:rPr>
        <w:t>أصل البقاء</w:t>
      </w:r>
      <w:r w:rsidRPr="00904FCB">
        <w:rPr>
          <w:rFonts w:hint="eastAsia"/>
          <w:sz w:val="27"/>
          <w:rtl/>
        </w:rPr>
        <w:t>»</w:t>
      </w:r>
      <w:r w:rsidRPr="00904FCB">
        <w:rPr>
          <w:rFonts w:hint="cs"/>
          <w:sz w:val="27"/>
          <w:rtl/>
          <w:lang w:bidi="ar-AE"/>
        </w:rPr>
        <w:t xml:space="preserve"> لا يقبل الإطلاق والتعميم على العلاقات بين الناس أنفسهم</w:t>
      </w:r>
      <w:r w:rsidR="00CF6834" w:rsidRPr="00904FCB">
        <w:rPr>
          <w:rFonts w:hint="cs"/>
          <w:sz w:val="27"/>
          <w:rtl/>
          <w:lang w:bidi="ar-AE"/>
        </w:rPr>
        <w:t>،</w:t>
      </w:r>
      <w:r w:rsidRPr="00904FCB">
        <w:rPr>
          <w:rFonts w:hint="cs"/>
          <w:sz w:val="27"/>
          <w:rtl/>
          <w:lang w:bidi="ar-AE"/>
        </w:rPr>
        <w:t xml:space="preserve"> بمعنى أنه لا يحق</w:t>
      </w:r>
      <w:r w:rsidR="00CF6834" w:rsidRPr="00904FCB">
        <w:rPr>
          <w:rFonts w:hint="cs"/>
          <w:sz w:val="27"/>
          <w:rtl/>
          <w:lang w:bidi="ar-AE"/>
        </w:rPr>
        <w:t>ّ</w:t>
      </w:r>
      <w:r w:rsidRPr="00904FCB">
        <w:rPr>
          <w:rFonts w:hint="cs"/>
          <w:sz w:val="27"/>
          <w:rtl/>
          <w:lang w:bidi="ar-AE"/>
        </w:rPr>
        <w:t xml:space="preserve"> للإنسان أن ينتهك حقوق ومصالح إنسان</w:t>
      </w:r>
      <w:r w:rsidR="00CF6834" w:rsidRPr="00904FCB">
        <w:rPr>
          <w:rFonts w:hint="cs"/>
          <w:sz w:val="27"/>
          <w:rtl/>
          <w:lang w:bidi="ar-AE"/>
        </w:rPr>
        <w:t>ٍ</w:t>
      </w:r>
      <w:r w:rsidRPr="00904FCB">
        <w:rPr>
          <w:rFonts w:hint="cs"/>
          <w:sz w:val="27"/>
          <w:rtl/>
          <w:lang w:bidi="ar-AE"/>
        </w:rPr>
        <w:t xml:space="preserve"> آخر من أجل تلبية مصالحه وحاجاته الخاصة؛ لأن هذا الإطلاق يتعارض مع أصل الدفاع عن النوع الإنساني وأصل بقاء النوع الإنساني.</w:t>
      </w:r>
    </w:p>
    <w:p w:rsidR="00FB64C4" w:rsidRPr="00904FCB" w:rsidRDefault="00FB64C4" w:rsidP="007A21AA">
      <w:pPr>
        <w:spacing w:line="400" w:lineRule="exact"/>
        <w:rPr>
          <w:sz w:val="27"/>
          <w:rtl/>
          <w:lang w:bidi="ar-AE"/>
        </w:rPr>
      </w:pPr>
      <w:r w:rsidRPr="00904FCB">
        <w:rPr>
          <w:rFonts w:hint="cs"/>
          <w:b/>
          <w:bCs/>
          <w:sz w:val="27"/>
          <w:rtl/>
          <w:lang w:bidi="ar-AE"/>
        </w:rPr>
        <w:t>الأصل الثالث أو أصل عدم التناسب</w:t>
      </w:r>
      <w:r w:rsidRPr="00904FCB">
        <w:rPr>
          <w:rFonts w:hint="cs"/>
          <w:sz w:val="27"/>
          <w:rtl/>
          <w:lang w:bidi="ar-AE"/>
        </w:rPr>
        <w:t>: لا يجوز للإنسان أن يعرّ</w:t>
      </w:r>
      <w:r w:rsidR="00CF6834" w:rsidRPr="00904FCB">
        <w:rPr>
          <w:rFonts w:hint="cs"/>
          <w:sz w:val="27"/>
          <w:rtl/>
          <w:lang w:bidi="ar-AE"/>
        </w:rPr>
        <w:t>ِ</w:t>
      </w:r>
      <w:r w:rsidRPr="00904FCB">
        <w:rPr>
          <w:rFonts w:hint="cs"/>
          <w:sz w:val="27"/>
          <w:rtl/>
          <w:lang w:bidi="ar-AE"/>
        </w:rPr>
        <w:t>ض مصالح سائر الكائنات الحي</w:t>
      </w:r>
      <w:r w:rsidR="00CF6834" w:rsidRPr="00904FCB">
        <w:rPr>
          <w:rFonts w:hint="cs"/>
          <w:sz w:val="27"/>
          <w:rtl/>
          <w:lang w:bidi="ar-AE"/>
        </w:rPr>
        <w:t>ّ</w:t>
      </w:r>
      <w:r w:rsidRPr="00904FCB">
        <w:rPr>
          <w:rFonts w:hint="cs"/>
          <w:sz w:val="27"/>
          <w:rtl/>
          <w:lang w:bidi="ar-AE"/>
        </w:rPr>
        <w:t>ة للخطر من أجل ضمان حاجاته الكمالية وغير الأساسية. فعلى سبيل المثال: عندما يروم الإنسان الخروج في رحلة ترفيهية للصيد، وقتل الحيوانات</w:t>
      </w:r>
      <w:r w:rsidR="00CF6834" w:rsidRPr="00904FCB">
        <w:rPr>
          <w:rFonts w:hint="cs"/>
          <w:sz w:val="27"/>
          <w:rtl/>
          <w:lang w:bidi="ar-AE"/>
        </w:rPr>
        <w:t>؛</w:t>
      </w:r>
      <w:r w:rsidRPr="00904FCB">
        <w:rPr>
          <w:rFonts w:hint="cs"/>
          <w:sz w:val="27"/>
          <w:rtl/>
          <w:lang w:bidi="ar-AE"/>
        </w:rPr>
        <w:t xml:space="preserve"> لمجرّد التسلية، سوف يعرّ</w:t>
      </w:r>
      <w:r w:rsidR="00CF6834" w:rsidRPr="00904FCB">
        <w:rPr>
          <w:rFonts w:hint="cs"/>
          <w:sz w:val="27"/>
          <w:rtl/>
          <w:lang w:bidi="ar-AE"/>
        </w:rPr>
        <w:t>ِ</w:t>
      </w:r>
      <w:r w:rsidRPr="00904FCB">
        <w:rPr>
          <w:rFonts w:hint="cs"/>
          <w:sz w:val="27"/>
          <w:rtl/>
          <w:lang w:bidi="ar-AE"/>
        </w:rPr>
        <w:t>ض المصالح الأساسية لتلك الحيوانات (أي حق</w:t>
      </w:r>
      <w:r w:rsidR="00CF6834" w:rsidRPr="00904FCB">
        <w:rPr>
          <w:rFonts w:hint="cs"/>
          <w:sz w:val="27"/>
          <w:rtl/>
          <w:lang w:bidi="ar-AE"/>
        </w:rPr>
        <w:t>َّ</w:t>
      </w:r>
      <w:r w:rsidRPr="00904FCB">
        <w:rPr>
          <w:rFonts w:hint="cs"/>
          <w:sz w:val="27"/>
          <w:rtl/>
          <w:lang w:bidi="ar-AE"/>
        </w:rPr>
        <w:t>ها في الحياة) إلى الخطر، لضمان حاجة</w:t>
      </w:r>
      <w:r w:rsidR="00CF6834" w:rsidRPr="00904FCB">
        <w:rPr>
          <w:rFonts w:hint="cs"/>
          <w:sz w:val="27"/>
          <w:rtl/>
          <w:lang w:bidi="ar-AE"/>
        </w:rPr>
        <w:t>ٍ</w:t>
      </w:r>
      <w:r w:rsidRPr="00904FCB">
        <w:rPr>
          <w:rFonts w:hint="cs"/>
          <w:sz w:val="27"/>
          <w:rtl/>
          <w:lang w:bidi="ar-AE"/>
        </w:rPr>
        <w:t xml:space="preserve"> غير أساسية (مثل</w:t>
      </w:r>
      <w:r w:rsidR="00CF6834" w:rsidRPr="00904FCB">
        <w:rPr>
          <w:rFonts w:hint="cs"/>
          <w:sz w:val="27"/>
          <w:rtl/>
          <w:lang w:bidi="ar-AE"/>
        </w:rPr>
        <w:t>:</w:t>
      </w:r>
      <w:r w:rsidRPr="00904FCB">
        <w:rPr>
          <w:rFonts w:hint="cs"/>
          <w:sz w:val="27"/>
          <w:rtl/>
          <w:lang w:bidi="ar-AE"/>
        </w:rPr>
        <w:t xml:space="preserve"> الترفيه والتسلية)، الأمر الذي ينقض الأصل الثالث.</w:t>
      </w:r>
    </w:p>
    <w:p w:rsidR="00FB64C4" w:rsidRPr="00904FCB" w:rsidRDefault="00FB64C4" w:rsidP="007A21AA">
      <w:pPr>
        <w:spacing w:line="400" w:lineRule="exact"/>
        <w:rPr>
          <w:sz w:val="27"/>
          <w:rtl/>
          <w:lang w:bidi="ar-AE"/>
        </w:rPr>
      </w:pPr>
      <w:r w:rsidRPr="00904FCB">
        <w:rPr>
          <w:rFonts w:hint="cs"/>
          <w:b/>
          <w:bCs/>
          <w:sz w:val="27"/>
          <w:rtl/>
          <w:lang w:bidi="ar-AE"/>
        </w:rPr>
        <w:t>الأصل الرابع أو أصل تعويض ما فات</w:t>
      </w:r>
      <w:r w:rsidRPr="00904FCB">
        <w:rPr>
          <w:rFonts w:hint="cs"/>
          <w:sz w:val="27"/>
          <w:rtl/>
          <w:lang w:bidi="ar-AE"/>
        </w:rPr>
        <w:t>: كل</w:t>
      </w:r>
      <w:r w:rsidR="00CF6834" w:rsidRPr="00904FCB">
        <w:rPr>
          <w:rFonts w:hint="cs"/>
          <w:sz w:val="27"/>
          <w:rtl/>
          <w:lang w:bidi="ar-AE"/>
        </w:rPr>
        <w:t>ّ</w:t>
      </w:r>
      <w:r w:rsidRPr="00904FCB">
        <w:rPr>
          <w:rFonts w:hint="cs"/>
          <w:sz w:val="27"/>
          <w:rtl/>
          <w:lang w:bidi="ar-AE"/>
        </w:rPr>
        <w:t>ما عمد الإنسان إلى نقض واحد</w:t>
      </w:r>
      <w:r w:rsidR="00CF6834" w:rsidRPr="00904FCB">
        <w:rPr>
          <w:rFonts w:hint="cs"/>
          <w:sz w:val="27"/>
          <w:rtl/>
          <w:lang w:bidi="ar-AE"/>
        </w:rPr>
        <w:t>ٍ</w:t>
      </w:r>
      <w:r w:rsidRPr="00904FCB">
        <w:rPr>
          <w:rFonts w:hint="cs"/>
          <w:sz w:val="27"/>
          <w:rtl/>
          <w:lang w:bidi="ar-AE"/>
        </w:rPr>
        <w:t xml:space="preserve"> من </w:t>
      </w:r>
      <w:r w:rsidRPr="00904FCB">
        <w:rPr>
          <w:rFonts w:hint="cs"/>
          <w:sz w:val="27"/>
          <w:rtl/>
          <w:lang w:bidi="ar-AE"/>
        </w:rPr>
        <w:lastRenderedPageBreak/>
        <w:t>الأصول المتقدّمة في الحدّ الأدنى وجب عليه التكفير عن ذلك</w:t>
      </w:r>
      <w:r w:rsidR="00CF6834" w:rsidRPr="00904FCB">
        <w:rPr>
          <w:rFonts w:hint="cs"/>
          <w:sz w:val="27"/>
          <w:rtl/>
          <w:lang w:bidi="ar-AE"/>
        </w:rPr>
        <w:t>،</w:t>
      </w:r>
      <w:r w:rsidRPr="00904FCB">
        <w:rPr>
          <w:rFonts w:hint="cs"/>
          <w:sz w:val="27"/>
          <w:rtl/>
          <w:lang w:bidi="ar-AE"/>
        </w:rPr>
        <w:t xml:space="preserve"> والعمل على تعويضه.</w:t>
      </w:r>
    </w:p>
    <w:p w:rsidR="00FB64C4" w:rsidRPr="00904FCB" w:rsidRDefault="00FB64C4" w:rsidP="007A21AA">
      <w:pPr>
        <w:spacing w:line="400" w:lineRule="exact"/>
        <w:rPr>
          <w:sz w:val="27"/>
          <w:rtl/>
          <w:lang w:bidi="ar-AE"/>
        </w:rPr>
      </w:pPr>
      <w:r w:rsidRPr="00904FCB">
        <w:rPr>
          <w:rFonts w:hint="cs"/>
          <w:sz w:val="27"/>
          <w:rtl/>
          <w:lang w:bidi="ar-AE"/>
        </w:rPr>
        <w:t xml:space="preserve">يمكن القول بأصل </w:t>
      </w:r>
      <w:r w:rsidRPr="00904FCB">
        <w:rPr>
          <w:rFonts w:hint="eastAsia"/>
          <w:sz w:val="27"/>
          <w:rtl/>
        </w:rPr>
        <w:t>«</w:t>
      </w:r>
      <w:r w:rsidRPr="00904FCB">
        <w:rPr>
          <w:rFonts w:hint="cs"/>
          <w:sz w:val="27"/>
          <w:rtl/>
          <w:lang w:bidi="ar-AE"/>
        </w:rPr>
        <w:t>الدفاع عن النفس</w:t>
      </w:r>
      <w:r w:rsidRPr="00904FCB">
        <w:rPr>
          <w:rFonts w:hint="eastAsia"/>
          <w:sz w:val="27"/>
          <w:rtl/>
        </w:rPr>
        <w:t>»</w:t>
      </w:r>
      <w:r w:rsidR="00CF6834" w:rsidRPr="00904FCB">
        <w:rPr>
          <w:rFonts w:hint="cs"/>
          <w:sz w:val="27"/>
          <w:rtl/>
          <w:lang w:bidi="ar-AE"/>
        </w:rPr>
        <w:t>،</w:t>
      </w:r>
      <w:r w:rsidRPr="00904FCB">
        <w:rPr>
          <w:rFonts w:hint="cs"/>
          <w:sz w:val="27"/>
          <w:rtl/>
          <w:lang w:bidi="ar-AE"/>
        </w:rPr>
        <w:t xml:space="preserve"> وكذلك </w:t>
      </w:r>
      <w:r w:rsidRPr="00904FCB">
        <w:rPr>
          <w:rFonts w:hint="eastAsia"/>
          <w:sz w:val="27"/>
          <w:rtl/>
        </w:rPr>
        <w:t>«</w:t>
      </w:r>
      <w:r w:rsidRPr="00904FCB">
        <w:rPr>
          <w:rFonts w:hint="cs"/>
          <w:sz w:val="27"/>
          <w:rtl/>
          <w:lang w:bidi="ar-AE"/>
        </w:rPr>
        <w:t>أصل البقاء</w:t>
      </w:r>
      <w:r w:rsidRPr="00904FCB">
        <w:rPr>
          <w:rFonts w:hint="eastAsia"/>
          <w:sz w:val="27"/>
          <w:rtl/>
        </w:rPr>
        <w:t>»</w:t>
      </w:r>
      <w:r w:rsidR="00CF6834" w:rsidRPr="00904FCB">
        <w:rPr>
          <w:rFonts w:hint="cs"/>
          <w:sz w:val="27"/>
          <w:rtl/>
          <w:lang w:bidi="ar-AE"/>
        </w:rPr>
        <w:t>،</w:t>
      </w:r>
      <w:r w:rsidRPr="00904FCB">
        <w:rPr>
          <w:rFonts w:hint="cs"/>
          <w:sz w:val="27"/>
          <w:rtl/>
          <w:lang w:bidi="ar-AE"/>
        </w:rPr>
        <w:t xml:space="preserve"> في إطار الأخلاق القائمة على أساس القول بأصل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Pr="00904FCB">
        <w:rPr>
          <w:rFonts w:hint="cs"/>
          <w:sz w:val="27"/>
          <w:rtl/>
          <w:lang w:bidi="ar-AE"/>
        </w:rPr>
        <w:t xml:space="preserve"> أيضاً. إن</w:t>
      </w:r>
      <w:r w:rsidR="00861CD0" w:rsidRPr="00904FCB">
        <w:rPr>
          <w:rFonts w:hint="cs"/>
          <w:sz w:val="27"/>
          <w:rtl/>
          <w:lang w:bidi="ar-AE"/>
        </w:rPr>
        <w:t>ّ</w:t>
      </w:r>
      <w:r w:rsidRPr="00904FCB">
        <w:rPr>
          <w:rFonts w:hint="cs"/>
          <w:sz w:val="27"/>
          <w:rtl/>
          <w:lang w:bidi="ar-AE"/>
        </w:rPr>
        <w:t xml:space="preserve"> أهم نقطة تميّز بين الأخلاق القائمة على أصل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Pr="00904FCB">
        <w:rPr>
          <w:rFonts w:hint="cs"/>
          <w:sz w:val="27"/>
          <w:rtl/>
          <w:lang w:bidi="ar-AE"/>
        </w:rPr>
        <w:t xml:space="preserve"> والأخلاق التي ترفض هذا الأصل هو 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ففي إطار الأخلاق القائمة على أصل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Pr="00904FCB">
        <w:rPr>
          <w:rFonts w:hint="cs"/>
          <w:sz w:val="27"/>
          <w:rtl/>
          <w:lang w:bidi="ar-AE"/>
        </w:rPr>
        <w:t xml:space="preserve"> لا يجب على الإنسان أن يراعي 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وت</w:t>
      </w:r>
      <w:r w:rsidR="00861CD0" w:rsidRPr="00904FCB">
        <w:rPr>
          <w:rFonts w:hint="cs"/>
          <w:sz w:val="27"/>
          <w:rtl/>
          <w:lang w:bidi="ar-AE"/>
        </w:rPr>
        <w:t>َ</w:t>
      </w:r>
      <w:r w:rsidRPr="00904FCB">
        <w:rPr>
          <w:rFonts w:hint="cs"/>
          <w:sz w:val="27"/>
          <w:rtl/>
          <w:lang w:bidi="ar-AE"/>
        </w:rPr>
        <w:t>ب</w:t>
      </w:r>
      <w:r w:rsidR="00861CD0" w:rsidRPr="00904FCB">
        <w:rPr>
          <w:rFonts w:hint="cs"/>
          <w:sz w:val="27"/>
          <w:rtl/>
          <w:lang w:bidi="ar-AE"/>
        </w:rPr>
        <w:t>َ</w:t>
      </w:r>
      <w:r w:rsidRPr="00904FCB">
        <w:rPr>
          <w:rFonts w:hint="cs"/>
          <w:sz w:val="27"/>
          <w:rtl/>
          <w:lang w:bidi="ar-AE"/>
        </w:rPr>
        <w:t>عاً لذلك لا يجب عليه التكفير والتعويض عم</w:t>
      </w:r>
      <w:r w:rsidR="00861CD0" w:rsidRPr="00904FCB">
        <w:rPr>
          <w:rFonts w:hint="cs"/>
          <w:sz w:val="27"/>
          <w:rtl/>
          <w:lang w:bidi="ar-AE"/>
        </w:rPr>
        <w:t>ّ</w:t>
      </w:r>
      <w:r w:rsidRPr="00904FCB">
        <w:rPr>
          <w:rFonts w:hint="cs"/>
          <w:sz w:val="27"/>
          <w:rtl/>
          <w:lang w:bidi="ar-AE"/>
        </w:rPr>
        <w:t xml:space="preserve">ا فات. وعلى هذا الأساس يجب اعتبار 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من أهم</w:t>
      </w:r>
      <w:r w:rsidR="00861CD0" w:rsidRPr="00904FCB">
        <w:rPr>
          <w:rFonts w:hint="cs"/>
          <w:sz w:val="27"/>
          <w:rtl/>
          <w:lang w:bidi="ar-AE"/>
        </w:rPr>
        <w:t>ّ</w:t>
      </w:r>
      <w:r w:rsidRPr="00904FCB">
        <w:rPr>
          <w:rFonts w:hint="cs"/>
          <w:sz w:val="27"/>
          <w:rtl/>
          <w:lang w:bidi="ar-AE"/>
        </w:rPr>
        <w:t xml:space="preserve"> التداعيات الأخلاقية لنفي أصل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Pr="00904FCB">
        <w:rPr>
          <w:rFonts w:hint="cs"/>
          <w:sz w:val="27"/>
          <w:rtl/>
          <w:lang w:bidi="ar-AE"/>
        </w:rPr>
        <w:t>، وأهم</w:t>
      </w:r>
      <w:r w:rsidR="00861CD0" w:rsidRPr="00904FCB">
        <w:rPr>
          <w:rFonts w:hint="cs"/>
          <w:sz w:val="27"/>
          <w:rtl/>
          <w:lang w:bidi="ar-AE"/>
        </w:rPr>
        <w:t>ّ</w:t>
      </w:r>
      <w:r w:rsidRPr="00904FCB">
        <w:rPr>
          <w:rFonts w:hint="cs"/>
          <w:sz w:val="27"/>
          <w:rtl/>
          <w:lang w:bidi="ar-AE"/>
        </w:rPr>
        <w:t xml:space="preserve"> ركن لإعادة النظر في نوع العلاقة القائمة بين الإنسان وسائر الكائنات الحية.</w:t>
      </w:r>
    </w:p>
    <w:p w:rsidR="00FB64C4" w:rsidRPr="00904FCB" w:rsidRDefault="00FB64C4" w:rsidP="007A21AA">
      <w:pPr>
        <w:spacing w:line="400" w:lineRule="exact"/>
        <w:rPr>
          <w:sz w:val="27"/>
          <w:rtl/>
          <w:lang w:bidi="ar-AE"/>
        </w:rPr>
      </w:pPr>
    </w:p>
    <w:p w:rsidR="00FB64C4" w:rsidRPr="00904FCB" w:rsidRDefault="00FB64C4" w:rsidP="0098428A">
      <w:pPr>
        <w:pStyle w:val="31"/>
        <w:spacing w:line="400" w:lineRule="exact"/>
        <w:rPr>
          <w:color w:val="auto"/>
          <w:rtl/>
          <w:lang w:bidi="ar-AE"/>
        </w:rPr>
      </w:pPr>
      <w:r w:rsidRPr="00EB7818">
        <w:rPr>
          <w:rFonts w:hint="cs"/>
          <w:color w:val="auto"/>
          <w:rtl/>
          <w:lang w:bidi="ar-AE"/>
        </w:rPr>
        <w:t>3</w:t>
      </w:r>
      <w:r w:rsidR="0098428A" w:rsidRPr="00EB7818">
        <w:rPr>
          <w:rFonts w:hint="cs"/>
          <w:color w:val="auto"/>
          <w:rtl/>
          <w:lang w:bidi="ar-AE"/>
        </w:rPr>
        <w:t>ـ تأثير</w:t>
      </w:r>
      <w:r w:rsidR="0098428A" w:rsidRPr="00904FCB">
        <w:rPr>
          <w:rFonts w:hint="cs"/>
          <w:color w:val="auto"/>
          <w:rtl/>
          <w:lang w:bidi="ar-AE"/>
        </w:rPr>
        <w:t xml:space="preserve"> أصل عدم التناسب</w:t>
      </w:r>
    </w:p>
    <w:p w:rsidR="00FB64C4" w:rsidRPr="00904FCB" w:rsidRDefault="00FB64C4" w:rsidP="007A21AA">
      <w:pPr>
        <w:spacing w:line="400" w:lineRule="exact"/>
        <w:rPr>
          <w:sz w:val="27"/>
          <w:rtl/>
          <w:lang w:bidi="ar-AE"/>
        </w:rPr>
      </w:pPr>
      <w:r w:rsidRPr="00904FCB">
        <w:rPr>
          <w:rFonts w:hint="cs"/>
          <w:sz w:val="27"/>
          <w:rtl/>
          <w:lang w:bidi="ar-AE"/>
        </w:rPr>
        <w:t xml:space="preserve">إن 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يُحدث تغييراً جوهرياً في أسلوب الحياة ونوع التعاطي مع سائر الكائنات الحي</w:t>
      </w:r>
      <w:r w:rsidR="00861CD0" w:rsidRPr="00904FCB">
        <w:rPr>
          <w:rFonts w:hint="cs"/>
          <w:sz w:val="27"/>
          <w:rtl/>
          <w:lang w:bidi="ar-AE"/>
        </w:rPr>
        <w:t>ّ</w:t>
      </w:r>
      <w:r w:rsidRPr="00904FCB">
        <w:rPr>
          <w:rFonts w:hint="cs"/>
          <w:sz w:val="27"/>
          <w:rtl/>
          <w:lang w:bidi="ar-AE"/>
        </w:rPr>
        <w:t>ة. وإن من أهم</w:t>
      </w:r>
      <w:r w:rsidR="00F83126">
        <w:rPr>
          <w:rFonts w:hint="cs"/>
          <w:sz w:val="27"/>
          <w:rtl/>
          <w:lang w:bidi="ar-AE"/>
        </w:rPr>
        <w:t>ّ</w:t>
      </w:r>
      <w:r w:rsidRPr="00904FCB">
        <w:rPr>
          <w:rFonts w:hint="cs"/>
          <w:sz w:val="27"/>
          <w:rtl/>
          <w:lang w:bidi="ar-AE"/>
        </w:rPr>
        <w:t xml:space="preserve"> التداعيات والنتائج الأخلاقية المترت</w:t>
      </w:r>
      <w:r w:rsidR="00861CD0" w:rsidRPr="00904FCB">
        <w:rPr>
          <w:rFonts w:hint="cs"/>
          <w:sz w:val="27"/>
          <w:rtl/>
          <w:lang w:bidi="ar-AE"/>
        </w:rPr>
        <w:t>ِّ</w:t>
      </w:r>
      <w:r w:rsidRPr="00904FCB">
        <w:rPr>
          <w:rFonts w:hint="cs"/>
          <w:sz w:val="27"/>
          <w:rtl/>
          <w:lang w:bidi="ar-AE"/>
        </w:rPr>
        <w:t>بة على القول بهذا الأصل ضرورة</w:t>
      </w:r>
      <w:r w:rsidR="00861CD0" w:rsidRPr="00904FCB">
        <w:rPr>
          <w:rFonts w:hint="cs"/>
          <w:sz w:val="27"/>
          <w:rtl/>
          <w:lang w:bidi="ar-AE"/>
        </w:rPr>
        <w:t xml:space="preserve"> العمل على تغيير نظامنا الغذائي،</w:t>
      </w:r>
      <w:r w:rsidRPr="00904FCB">
        <w:rPr>
          <w:rFonts w:hint="cs"/>
          <w:sz w:val="27"/>
          <w:rtl/>
          <w:lang w:bidi="ar-AE"/>
        </w:rPr>
        <w:t xml:space="preserve"> </w:t>
      </w:r>
      <w:r w:rsidR="00861CD0" w:rsidRPr="00904FCB">
        <w:rPr>
          <w:rFonts w:hint="cs"/>
          <w:sz w:val="27"/>
          <w:rtl/>
          <w:lang w:bidi="ar-AE"/>
        </w:rPr>
        <w:t>و</w:t>
      </w:r>
      <w:r w:rsidRPr="00904FCB">
        <w:rPr>
          <w:rFonts w:hint="cs"/>
          <w:sz w:val="27"/>
          <w:rtl/>
          <w:lang w:bidi="ar-AE"/>
        </w:rPr>
        <w:t>لا سيّ</w:t>
      </w:r>
      <w:r w:rsidR="00F83126">
        <w:rPr>
          <w:rFonts w:hint="cs"/>
          <w:sz w:val="27"/>
          <w:rtl/>
          <w:lang w:bidi="ar-AE"/>
        </w:rPr>
        <w:t>َ</w:t>
      </w:r>
      <w:r w:rsidRPr="00904FCB">
        <w:rPr>
          <w:rFonts w:hint="cs"/>
          <w:sz w:val="27"/>
          <w:rtl/>
          <w:lang w:bidi="ar-AE"/>
        </w:rPr>
        <w:t xml:space="preserve">ما أن 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يقتضي اعتبار نظامنا الغذائي اللاحم غير لائق</w:t>
      </w:r>
      <w:r w:rsidR="00861CD0" w:rsidRPr="00904FCB">
        <w:rPr>
          <w:rFonts w:hint="cs"/>
          <w:sz w:val="27"/>
          <w:rtl/>
          <w:lang w:bidi="ar-AE"/>
        </w:rPr>
        <w:t>ٍ</w:t>
      </w:r>
      <w:r w:rsidRPr="00904FCB">
        <w:rPr>
          <w:rFonts w:hint="cs"/>
          <w:sz w:val="27"/>
          <w:rtl/>
          <w:lang w:bidi="ar-AE"/>
        </w:rPr>
        <w:t xml:space="preserve"> ولا مستساغ من الناحية الأخلاقية. ولتعزيز هذا الاد</w:t>
      </w:r>
      <w:r w:rsidR="00861CD0" w:rsidRPr="00904FCB">
        <w:rPr>
          <w:rFonts w:hint="cs"/>
          <w:sz w:val="27"/>
          <w:rtl/>
          <w:lang w:bidi="ar-AE"/>
        </w:rPr>
        <w:t>ّ</w:t>
      </w:r>
      <w:r w:rsidRPr="00904FCB">
        <w:rPr>
          <w:rFonts w:hint="cs"/>
          <w:sz w:val="27"/>
          <w:rtl/>
          <w:lang w:bidi="ar-AE"/>
        </w:rPr>
        <w:t xml:space="preserve">عاء يمكن الاستدلال له على النحو </w:t>
      </w:r>
      <w:r w:rsidR="00861CD0" w:rsidRPr="00904FCB">
        <w:rPr>
          <w:rFonts w:hint="cs"/>
          <w:sz w:val="27"/>
          <w:rtl/>
          <w:lang w:bidi="ar-AE"/>
        </w:rPr>
        <w:t>التالي</w:t>
      </w:r>
      <w:r w:rsidRPr="00904FCB">
        <w:rPr>
          <w:rFonts w:hint="cs"/>
          <w:sz w:val="27"/>
          <w:rtl/>
          <w:lang w:bidi="ar-AE"/>
        </w:rPr>
        <w:t>:</w:t>
      </w:r>
    </w:p>
    <w:p w:rsidR="00FB64C4" w:rsidRPr="00904FCB" w:rsidRDefault="00FB64C4" w:rsidP="007A21AA">
      <w:pPr>
        <w:spacing w:line="400" w:lineRule="exact"/>
        <w:rPr>
          <w:sz w:val="27"/>
          <w:rtl/>
          <w:lang w:bidi="ar-AE"/>
        </w:rPr>
      </w:pPr>
      <w:r w:rsidRPr="00EB7818">
        <w:rPr>
          <w:rFonts w:hint="cs"/>
          <w:sz w:val="27"/>
          <w:rtl/>
          <w:lang w:bidi="ar-AE"/>
        </w:rPr>
        <w:t xml:space="preserve">1ـ طبقاً لأصل </w:t>
      </w:r>
      <w:r w:rsidRPr="00EB7818">
        <w:rPr>
          <w:rFonts w:hint="eastAsia"/>
          <w:sz w:val="27"/>
          <w:rtl/>
        </w:rPr>
        <w:t>«</w:t>
      </w:r>
      <w:r w:rsidRPr="00EB7818">
        <w:rPr>
          <w:rFonts w:hint="cs"/>
          <w:sz w:val="27"/>
          <w:rtl/>
          <w:lang w:bidi="ar-AE"/>
        </w:rPr>
        <w:t>عدم التناسب</w:t>
      </w:r>
      <w:r w:rsidRPr="00EB7818">
        <w:rPr>
          <w:rFonts w:hint="eastAsia"/>
          <w:sz w:val="27"/>
          <w:rtl/>
        </w:rPr>
        <w:t>»</w:t>
      </w:r>
      <w:r w:rsidRPr="00EB7818">
        <w:rPr>
          <w:rFonts w:hint="cs"/>
          <w:sz w:val="27"/>
          <w:rtl/>
          <w:lang w:bidi="ar-AE"/>
        </w:rPr>
        <w:t xml:space="preserve"> إذا كان تناول اللحوم داخلاً في جملة الحاجات</w:t>
      </w:r>
      <w:r w:rsidRPr="00904FCB">
        <w:rPr>
          <w:rFonts w:hint="cs"/>
          <w:sz w:val="27"/>
          <w:rtl/>
          <w:lang w:bidi="ar-AE"/>
        </w:rPr>
        <w:t xml:space="preserve"> غير الأساسية للإنسان يكون أكل اللحوم حينئذٍ غير لائق</w:t>
      </w:r>
      <w:r w:rsidR="00861CD0" w:rsidRPr="00904FCB">
        <w:rPr>
          <w:rFonts w:hint="cs"/>
          <w:sz w:val="27"/>
          <w:rtl/>
          <w:lang w:bidi="ar-AE"/>
        </w:rPr>
        <w:t>ٍ</w:t>
      </w:r>
      <w:r w:rsidRPr="00904FCB">
        <w:rPr>
          <w:rFonts w:hint="cs"/>
          <w:sz w:val="27"/>
          <w:rtl/>
          <w:lang w:bidi="ar-AE"/>
        </w:rPr>
        <w:t xml:space="preserve"> من الناحية الأخلاقية، وعندها لا يحقّ للإنسان من الناحية الأخلاقية أن يزهق أرواح الحيوانات من أجل تلبية حاجته غير الأساسية إلى الطعام.</w:t>
      </w:r>
    </w:p>
    <w:p w:rsidR="00FB64C4" w:rsidRPr="00EB7818" w:rsidRDefault="00FB64C4" w:rsidP="007A21AA">
      <w:pPr>
        <w:spacing w:line="400" w:lineRule="exact"/>
        <w:rPr>
          <w:sz w:val="27"/>
          <w:rtl/>
          <w:lang w:bidi="ar-AE"/>
        </w:rPr>
      </w:pPr>
      <w:r w:rsidRPr="00EB7818">
        <w:rPr>
          <w:rFonts w:hint="cs"/>
          <w:sz w:val="27"/>
          <w:rtl/>
          <w:lang w:bidi="ar-AE"/>
        </w:rPr>
        <w:t>2ـ إن تناول اللحوم لا يعتبر من الحاجات الأساسية للإنسان.</w:t>
      </w:r>
    </w:p>
    <w:p w:rsidR="00FB64C4" w:rsidRPr="00904FCB" w:rsidRDefault="00FB64C4" w:rsidP="007A21AA">
      <w:pPr>
        <w:spacing w:line="400" w:lineRule="exact"/>
        <w:rPr>
          <w:sz w:val="27"/>
          <w:rtl/>
          <w:lang w:bidi="ar-AE"/>
        </w:rPr>
      </w:pPr>
      <w:r w:rsidRPr="00904FCB">
        <w:rPr>
          <w:rFonts w:hint="cs"/>
          <w:sz w:val="27"/>
          <w:rtl/>
          <w:lang w:bidi="ar-AE"/>
        </w:rPr>
        <w:t>وعليه:</w:t>
      </w:r>
    </w:p>
    <w:p w:rsidR="00FB64C4" w:rsidRPr="00904FCB" w:rsidRDefault="00FB64C4" w:rsidP="007A21AA">
      <w:pPr>
        <w:spacing w:line="400" w:lineRule="exact"/>
        <w:rPr>
          <w:sz w:val="27"/>
          <w:rtl/>
          <w:lang w:bidi="ar-AE"/>
        </w:rPr>
      </w:pPr>
      <w:r w:rsidRPr="00EB7818">
        <w:rPr>
          <w:rFonts w:hint="cs"/>
          <w:sz w:val="27"/>
          <w:rtl/>
          <w:lang w:bidi="ar-AE"/>
        </w:rPr>
        <w:t>3ـ يعتبر تناول اللحوم غير لائق من الناحية الأخلاقية، ولا يحقّ للإنسان من</w:t>
      </w:r>
      <w:r w:rsidRPr="00904FCB">
        <w:rPr>
          <w:rFonts w:hint="cs"/>
          <w:sz w:val="27"/>
          <w:rtl/>
          <w:lang w:bidi="ar-AE"/>
        </w:rPr>
        <w:t xml:space="preserve"> الناحية الأخلاقية أن يزهق أرواح الحيوانات لضمان حاجته إلى الطعام.</w:t>
      </w:r>
    </w:p>
    <w:p w:rsidR="00861CD0" w:rsidRPr="00904FCB" w:rsidRDefault="00FB64C4" w:rsidP="007A21AA">
      <w:pPr>
        <w:spacing w:line="400" w:lineRule="exact"/>
        <w:rPr>
          <w:sz w:val="27"/>
          <w:rtl/>
          <w:lang w:bidi="ar-AE"/>
        </w:rPr>
      </w:pPr>
      <w:r w:rsidRPr="00904FCB">
        <w:rPr>
          <w:rFonts w:hint="cs"/>
          <w:sz w:val="27"/>
          <w:rtl/>
          <w:lang w:bidi="ar-AE"/>
        </w:rPr>
        <w:t>إن هذا الاستدلال معتبر من حيث الشكل والصورة. وعليه فإن صدق النتيجة رهن</w:t>
      </w:r>
      <w:r w:rsidR="00861CD0" w:rsidRPr="00904FCB">
        <w:rPr>
          <w:rFonts w:hint="cs"/>
          <w:sz w:val="27"/>
          <w:rtl/>
          <w:lang w:bidi="ar-AE"/>
        </w:rPr>
        <w:t>ٌ</w:t>
      </w:r>
      <w:r w:rsidRPr="00904FCB">
        <w:rPr>
          <w:rFonts w:hint="cs"/>
          <w:sz w:val="27"/>
          <w:rtl/>
          <w:lang w:bidi="ar-AE"/>
        </w:rPr>
        <w:t xml:space="preserve"> بصدق مقد</w:t>
      </w:r>
      <w:r w:rsidR="00861CD0" w:rsidRPr="00904FCB">
        <w:rPr>
          <w:rFonts w:hint="cs"/>
          <w:sz w:val="27"/>
          <w:rtl/>
          <w:lang w:bidi="ar-AE"/>
        </w:rPr>
        <w:t>ّماتها.</w:t>
      </w:r>
    </w:p>
    <w:p w:rsidR="00861CD0" w:rsidRPr="00904FCB" w:rsidRDefault="00FB64C4" w:rsidP="00F83126">
      <w:pPr>
        <w:spacing w:line="410" w:lineRule="exact"/>
        <w:ind w:firstLine="561"/>
        <w:rPr>
          <w:sz w:val="27"/>
          <w:rtl/>
          <w:lang w:bidi="ar-AE"/>
        </w:rPr>
      </w:pPr>
      <w:r w:rsidRPr="00904FCB">
        <w:rPr>
          <w:rFonts w:hint="cs"/>
          <w:sz w:val="27"/>
          <w:rtl/>
          <w:lang w:bidi="ar-AE"/>
        </w:rPr>
        <w:lastRenderedPageBreak/>
        <w:t>إن القضية (</w:t>
      </w:r>
      <w:r w:rsidRPr="00EB7818">
        <w:rPr>
          <w:rFonts w:hint="cs"/>
          <w:sz w:val="27"/>
          <w:rtl/>
          <w:lang w:bidi="ar-AE"/>
        </w:rPr>
        <w:t>1</w:t>
      </w:r>
      <w:r w:rsidRPr="00904FCB">
        <w:rPr>
          <w:rFonts w:hint="cs"/>
          <w:sz w:val="27"/>
          <w:rtl/>
          <w:lang w:bidi="ar-AE"/>
        </w:rPr>
        <w:t xml:space="preserve">) تستنتج مباشرة من 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فالإنسان من خلال قتل الحيوانات يسلبها أهم حقوقها ومصالح</w:t>
      </w:r>
      <w:r w:rsidR="00861CD0" w:rsidRPr="00904FCB">
        <w:rPr>
          <w:rFonts w:hint="cs"/>
          <w:sz w:val="27"/>
          <w:rtl/>
          <w:lang w:bidi="ar-AE"/>
        </w:rPr>
        <w:t>ه</w:t>
      </w:r>
      <w:r w:rsidRPr="00904FCB">
        <w:rPr>
          <w:rFonts w:hint="cs"/>
          <w:sz w:val="27"/>
          <w:rtl/>
          <w:lang w:bidi="ar-AE"/>
        </w:rPr>
        <w:t>ا (وهو حق</w:t>
      </w:r>
      <w:r w:rsidR="00861CD0" w:rsidRPr="00904FCB">
        <w:rPr>
          <w:rFonts w:hint="cs"/>
          <w:sz w:val="27"/>
          <w:rtl/>
          <w:lang w:bidi="ar-AE"/>
        </w:rPr>
        <w:t>ّ</w:t>
      </w:r>
      <w:r w:rsidRPr="00904FCB">
        <w:rPr>
          <w:rFonts w:hint="cs"/>
          <w:sz w:val="27"/>
          <w:rtl/>
          <w:lang w:bidi="ar-AE"/>
        </w:rPr>
        <w:t xml:space="preserve">ها في الحياة)، وطبقاً لأصل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إنما يجوز هذا الأمر من الناحية الأخلاقية إذا كان الإنسان قد أقدم على ذلك من أجل ضمان حاجة</w:t>
      </w:r>
      <w:r w:rsidR="00861CD0" w:rsidRPr="00904FCB">
        <w:rPr>
          <w:rFonts w:hint="cs"/>
          <w:sz w:val="27"/>
          <w:rtl/>
          <w:lang w:bidi="ar-AE"/>
        </w:rPr>
        <w:t>ٍ</w:t>
      </w:r>
      <w:r w:rsidRPr="00904FCB">
        <w:rPr>
          <w:rFonts w:hint="cs"/>
          <w:sz w:val="27"/>
          <w:rtl/>
          <w:lang w:bidi="ar-AE"/>
        </w:rPr>
        <w:t xml:space="preserve"> من حاجاته الأساسية. وعليه إذا قبلنا بأصل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يجب علينا اعتبار القضية (</w:t>
      </w:r>
      <w:r w:rsidRPr="00EB7818">
        <w:rPr>
          <w:rFonts w:hint="cs"/>
          <w:sz w:val="27"/>
          <w:rtl/>
          <w:lang w:bidi="ar-AE"/>
        </w:rPr>
        <w:t>1</w:t>
      </w:r>
      <w:r w:rsidRPr="00904FCB">
        <w:rPr>
          <w:rFonts w:hint="cs"/>
          <w:sz w:val="27"/>
          <w:rtl/>
          <w:lang w:bidi="ar-AE"/>
        </w:rPr>
        <w:t>) صادقة</w:t>
      </w:r>
      <w:r w:rsidR="00861CD0" w:rsidRPr="00904FCB">
        <w:rPr>
          <w:rFonts w:hint="cs"/>
          <w:sz w:val="27"/>
          <w:rtl/>
          <w:lang w:bidi="ar-AE"/>
        </w:rPr>
        <w:t>ً.</w:t>
      </w:r>
    </w:p>
    <w:p w:rsidR="00FB64C4" w:rsidRPr="00904FCB" w:rsidRDefault="00FB64C4" w:rsidP="00F83126">
      <w:pPr>
        <w:spacing w:line="420" w:lineRule="exact"/>
        <w:ind w:firstLine="561"/>
        <w:rPr>
          <w:sz w:val="27"/>
          <w:rtl/>
          <w:lang w:bidi="ar-AE"/>
        </w:rPr>
      </w:pPr>
      <w:r w:rsidRPr="00904FCB">
        <w:rPr>
          <w:rFonts w:hint="cs"/>
          <w:sz w:val="27"/>
          <w:rtl/>
          <w:lang w:bidi="ar-AE"/>
        </w:rPr>
        <w:t>وأما الحكم بشأن القضية (</w:t>
      </w:r>
      <w:r w:rsidRPr="00EB7818">
        <w:rPr>
          <w:rFonts w:hint="cs"/>
          <w:sz w:val="27"/>
          <w:rtl/>
          <w:lang w:bidi="ar-AE"/>
        </w:rPr>
        <w:t>2)</w:t>
      </w:r>
      <w:r w:rsidRPr="00904FCB">
        <w:rPr>
          <w:rFonts w:hint="cs"/>
          <w:sz w:val="27"/>
          <w:rtl/>
          <w:lang w:bidi="ar-AE"/>
        </w:rPr>
        <w:t xml:space="preserve"> فهي من اختصاص الخبراء في علم التغذية. والحقيقة أن أغلب الخبراء في علم التغذية في العصر الراهن يذهبون إلى الاعتقاد بصدق </w:t>
      </w:r>
      <w:r w:rsidRPr="00EB7818">
        <w:rPr>
          <w:rFonts w:hint="cs"/>
          <w:sz w:val="27"/>
          <w:rtl/>
          <w:lang w:bidi="ar-AE"/>
        </w:rPr>
        <w:t>القضية (2)،</w:t>
      </w:r>
      <w:r w:rsidRPr="00904FCB">
        <w:rPr>
          <w:rFonts w:hint="cs"/>
          <w:sz w:val="27"/>
          <w:rtl/>
          <w:lang w:bidi="ar-AE"/>
        </w:rPr>
        <w:t xml:space="preserve"> بمعنى إمكان تلبية حاجة الإنسان إلى الطعام للحفاظ على صحّته وسلامته بشكل</w:t>
      </w:r>
      <w:r w:rsidR="00FA5327" w:rsidRPr="00904FCB">
        <w:rPr>
          <w:rFonts w:hint="cs"/>
          <w:sz w:val="27"/>
          <w:rtl/>
          <w:lang w:bidi="ar-AE"/>
        </w:rPr>
        <w:t>ٍ</w:t>
      </w:r>
      <w:r w:rsidRPr="00904FCB">
        <w:rPr>
          <w:rFonts w:hint="cs"/>
          <w:sz w:val="27"/>
          <w:rtl/>
          <w:lang w:bidi="ar-AE"/>
        </w:rPr>
        <w:t xml:space="preserve"> كامل دون اللجوء إلى أكل اللحوم، شريطة أن يعمل الفرد على اختيار نظامه الغذائي البديل بشكل</w:t>
      </w:r>
      <w:r w:rsidR="00FA5327" w:rsidRPr="00904FCB">
        <w:rPr>
          <w:rFonts w:hint="cs"/>
          <w:sz w:val="27"/>
          <w:rtl/>
          <w:lang w:bidi="ar-AE"/>
        </w:rPr>
        <w:t>ٍ</w:t>
      </w:r>
      <w:r w:rsidRPr="00904FCB">
        <w:rPr>
          <w:rFonts w:hint="cs"/>
          <w:sz w:val="27"/>
          <w:rtl/>
          <w:lang w:bidi="ar-AE"/>
        </w:rPr>
        <w:t xml:space="preserve"> دقيق</w:t>
      </w:r>
      <w:r w:rsidR="00FA5327" w:rsidRPr="00904FCB">
        <w:rPr>
          <w:rFonts w:hint="cs"/>
          <w:sz w:val="27"/>
          <w:rtl/>
          <w:lang w:bidi="ar-AE"/>
        </w:rPr>
        <w:t>،</w:t>
      </w:r>
      <w:r w:rsidRPr="00904FCB">
        <w:rPr>
          <w:rFonts w:hint="cs"/>
          <w:sz w:val="27"/>
          <w:rtl/>
          <w:lang w:bidi="ar-AE"/>
        </w:rPr>
        <w:t xml:space="preserve"> وبالمقادير الكافية</w:t>
      </w:r>
      <w:r w:rsidR="00FA5327" w:rsidRPr="00904FCB">
        <w:rPr>
          <w:rFonts w:hint="cs"/>
          <w:sz w:val="27"/>
          <w:rtl/>
          <w:lang w:bidi="ar-AE"/>
        </w:rPr>
        <w:t>،</w:t>
      </w:r>
      <w:r w:rsidRPr="00904FCB">
        <w:rPr>
          <w:rFonts w:hint="cs"/>
          <w:sz w:val="27"/>
          <w:rtl/>
          <w:lang w:bidi="ar-AE"/>
        </w:rPr>
        <w:t xml:space="preserve"> </w:t>
      </w:r>
      <w:r w:rsidR="00FA5327" w:rsidRPr="00904FCB">
        <w:rPr>
          <w:rFonts w:hint="cs"/>
          <w:sz w:val="27"/>
          <w:rtl/>
          <w:lang w:bidi="ar-AE"/>
        </w:rPr>
        <w:t>و</w:t>
      </w:r>
      <w:r w:rsidRPr="00904FCB">
        <w:rPr>
          <w:rFonts w:hint="cs"/>
          <w:sz w:val="27"/>
          <w:rtl/>
          <w:lang w:bidi="ar-AE"/>
        </w:rPr>
        <w:t>لا سيّما أن صناعة الأغذية في العصر الحديث قد بلغت مرحلة من التقدّ</w:t>
      </w:r>
      <w:r w:rsidR="00FA5327" w:rsidRPr="00904FCB">
        <w:rPr>
          <w:rFonts w:hint="cs"/>
          <w:sz w:val="27"/>
          <w:rtl/>
          <w:lang w:bidi="ar-AE"/>
        </w:rPr>
        <w:t>ُ</w:t>
      </w:r>
      <w:r w:rsidRPr="00904FCB">
        <w:rPr>
          <w:rFonts w:hint="cs"/>
          <w:sz w:val="27"/>
          <w:rtl/>
          <w:lang w:bidi="ar-AE"/>
        </w:rPr>
        <w:t>م والتطوّ</w:t>
      </w:r>
      <w:r w:rsidR="00FA5327" w:rsidRPr="00904FCB">
        <w:rPr>
          <w:rFonts w:hint="cs"/>
          <w:sz w:val="27"/>
          <w:rtl/>
          <w:lang w:bidi="ar-AE"/>
        </w:rPr>
        <w:t>ُ</w:t>
      </w:r>
      <w:r w:rsidRPr="00904FCB">
        <w:rPr>
          <w:rFonts w:hint="cs"/>
          <w:sz w:val="27"/>
          <w:rtl/>
          <w:lang w:bidi="ar-AE"/>
        </w:rPr>
        <w:t>ر بحيث يمكن للإنسان أن يعوّ</w:t>
      </w:r>
      <w:r w:rsidR="00FA5327" w:rsidRPr="00904FCB">
        <w:rPr>
          <w:rFonts w:hint="cs"/>
          <w:sz w:val="27"/>
          <w:rtl/>
          <w:lang w:bidi="ar-AE"/>
        </w:rPr>
        <w:t>ِ</w:t>
      </w:r>
      <w:r w:rsidRPr="00904FCB">
        <w:rPr>
          <w:rFonts w:hint="cs"/>
          <w:sz w:val="27"/>
          <w:rtl/>
          <w:lang w:bidi="ar-AE"/>
        </w:rPr>
        <w:t>ض النقص الناشئ عن تركه لتناول اللحوم من خلال اللجوء إلى الأنظمة الغذائية الأخرى. وفي مثل هذه الحالة لا يمكن اعتبار تناول اللحم من الحاجات الأساسية للإنسان.</w:t>
      </w:r>
    </w:p>
    <w:p w:rsidR="00FB64C4" w:rsidRPr="00904FCB" w:rsidRDefault="00FB64C4" w:rsidP="00F83126">
      <w:pPr>
        <w:spacing w:line="420" w:lineRule="exact"/>
        <w:ind w:firstLine="561"/>
        <w:rPr>
          <w:sz w:val="27"/>
          <w:rtl/>
          <w:lang w:bidi="ar-AE"/>
        </w:rPr>
      </w:pPr>
      <w:r w:rsidRPr="00904FCB">
        <w:rPr>
          <w:rFonts w:hint="cs"/>
          <w:sz w:val="27"/>
          <w:rtl/>
          <w:lang w:bidi="ar-AE"/>
        </w:rPr>
        <w:t>ولكن</w:t>
      </w:r>
      <w:r w:rsidR="00FA5327" w:rsidRPr="00904FCB">
        <w:rPr>
          <w:rFonts w:hint="cs"/>
          <w:sz w:val="27"/>
          <w:rtl/>
          <w:lang w:bidi="ar-AE"/>
        </w:rPr>
        <w:t>ْ</w:t>
      </w:r>
      <w:r w:rsidRPr="00904FCB">
        <w:rPr>
          <w:rFonts w:hint="cs"/>
          <w:sz w:val="27"/>
          <w:rtl/>
          <w:lang w:bidi="ar-AE"/>
        </w:rPr>
        <w:t xml:space="preserve"> قد يعمد بعض الأفراد إلى المناقشة في صدق القضية (</w:t>
      </w:r>
      <w:r w:rsidRPr="006333E0">
        <w:rPr>
          <w:rFonts w:cs="Ya-Ali" w:hint="cs"/>
          <w:sz w:val="27"/>
          <w:rtl/>
          <w:lang w:bidi="ar-AE"/>
        </w:rPr>
        <w:t>2</w:t>
      </w:r>
      <w:r w:rsidRPr="00904FCB">
        <w:rPr>
          <w:rFonts w:hint="cs"/>
          <w:sz w:val="27"/>
          <w:rtl/>
          <w:lang w:bidi="ar-AE"/>
        </w:rPr>
        <w:t>)</w:t>
      </w:r>
      <w:r w:rsidR="00FA5327" w:rsidRPr="00904FCB">
        <w:rPr>
          <w:rFonts w:hint="cs"/>
          <w:sz w:val="27"/>
          <w:rtl/>
          <w:lang w:bidi="ar-AE"/>
        </w:rPr>
        <w:t>؛</w:t>
      </w:r>
      <w:r w:rsidRPr="00904FCB">
        <w:rPr>
          <w:rFonts w:hint="cs"/>
          <w:sz w:val="27"/>
          <w:rtl/>
          <w:lang w:bidi="ar-AE"/>
        </w:rPr>
        <w:t xml:space="preserve"> لبعض الأسباب. وعليه لنفترض أن تناول اللحوم هو الطريقة الوحيدة (أو في الحدّ الأدنى الأسلوب الوحيد المتاح لنا) من أجل توفير بعض المواد الغذائية لضمان سلامة الإنسان. وفي مثل هذه الحالة سيكون تناول اللحم بالمقدار الذي يضمن سلامتنا هو الحاجة الأساسية للإنسان. ولكن لا ب</w:t>
      </w:r>
      <w:r w:rsidR="00FA5327" w:rsidRPr="00904FCB">
        <w:rPr>
          <w:rFonts w:hint="cs"/>
          <w:sz w:val="27"/>
          <w:rtl/>
          <w:lang w:bidi="ar-AE"/>
        </w:rPr>
        <w:t>ُ</w:t>
      </w:r>
      <w:r w:rsidRPr="00904FCB">
        <w:rPr>
          <w:rFonts w:hint="cs"/>
          <w:sz w:val="27"/>
          <w:rtl/>
          <w:lang w:bidi="ar-AE"/>
        </w:rPr>
        <w:t>دّ</w:t>
      </w:r>
      <w:r w:rsidR="00FA5327" w:rsidRPr="00904FCB">
        <w:rPr>
          <w:rFonts w:hint="cs"/>
          <w:sz w:val="27"/>
          <w:rtl/>
          <w:lang w:bidi="ar-AE"/>
        </w:rPr>
        <w:t>َ</w:t>
      </w:r>
      <w:r w:rsidRPr="00904FCB">
        <w:rPr>
          <w:rFonts w:hint="cs"/>
          <w:sz w:val="27"/>
          <w:rtl/>
          <w:lang w:bidi="ar-AE"/>
        </w:rPr>
        <w:t xml:space="preserve"> هنا من الالتفات إلى أمرين هامّين، وهما:</w:t>
      </w:r>
    </w:p>
    <w:p w:rsidR="00FB64C4" w:rsidRPr="00904FCB" w:rsidRDefault="00FB64C4" w:rsidP="00F83126">
      <w:pPr>
        <w:spacing w:line="410" w:lineRule="exact"/>
        <w:ind w:firstLine="561"/>
        <w:rPr>
          <w:sz w:val="27"/>
          <w:rtl/>
          <w:lang w:bidi="ar-AE"/>
        </w:rPr>
      </w:pPr>
      <w:r w:rsidRPr="00904FCB">
        <w:rPr>
          <w:rFonts w:hint="cs"/>
          <w:b/>
          <w:bCs/>
          <w:sz w:val="27"/>
          <w:rtl/>
          <w:lang w:bidi="ar-AE"/>
        </w:rPr>
        <w:t>الأو</w:t>
      </w:r>
      <w:r w:rsidR="00FA5327" w:rsidRPr="00904FCB">
        <w:rPr>
          <w:rFonts w:hint="cs"/>
          <w:b/>
          <w:bCs/>
          <w:sz w:val="27"/>
          <w:rtl/>
          <w:lang w:bidi="ar-AE"/>
        </w:rPr>
        <w:t>ّ</w:t>
      </w:r>
      <w:r w:rsidRPr="00904FCB">
        <w:rPr>
          <w:rFonts w:hint="cs"/>
          <w:b/>
          <w:bCs/>
          <w:sz w:val="27"/>
          <w:rtl/>
          <w:lang w:bidi="ar-AE"/>
        </w:rPr>
        <w:t>ل</w:t>
      </w:r>
      <w:r w:rsidRPr="00904FCB">
        <w:rPr>
          <w:rFonts w:hint="cs"/>
          <w:sz w:val="27"/>
          <w:rtl/>
          <w:lang w:bidi="ar-AE"/>
        </w:rPr>
        <w:t>: إن الإنسان البالغ في الظروف المتعارفة يمكنه أن يلب</w:t>
      </w:r>
      <w:r w:rsidR="00FA5327" w:rsidRPr="00904FCB">
        <w:rPr>
          <w:rFonts w:hint="cs"/>
          <w:sz w:val="27"/>
          <w:rtl/>
          <w:lang w:bidi="ar-AE"/>
        </w:rPr>
        <w:t>ّ</w:t>
      </w:r>
      <w:r w:rsidRPr="00904FCB">
        <w:rPr>
          <w:rFonts w:hint="cs"/>
          <w:sz w:val="27"/>
          <w:rtl/>
          <w:lang w:bidi="ar-AE"/>
        </w:rPr>
        <w:t>ي حاجات جسده الضرورية ـ التي ي</w:t>
      </w:r>
      <w:r w:rsidR="00FA5327" w:rsidRPr="00904FCB">
        <w:rPr>
          <w:rFonts w:hint="cs"/>
          <w:sz w:val="27"/>
          <w:rtl/>
          <w:lang w:bidi="ar-AE"/>
        </w:rPr>
        <w:t>ُ</w:t>
      </w:r>
      <w:r w:rsidRPr="00904FCB">
        <w:rPr>
          <w:rFonts w:hint="cs"/>
          <w:sz w:val="27"/>
          <w:rtl/>
          <w:lang w:bidi="ar-AE"/>
        </w:rPr>
        <w:t>قال</w:t>
      </w:r>
      <w:r w:rsidR="00FA5327" w:rsidRPr="00904FCB">
        <w:rPr>
          <w:rFonts w:hint="cs"/>
          <w:sz w:val="27"/>
          <w:rtl/>
          <w:lang w:bidi="ar-AE"/>
        </w:rPr>
        <w:t>:</w:t>
      </w:r>
      <w:r w:rsidRPr="00904FCB">
        <w:rPr>
          <w:rFonts w:hint="cs"/>
          <w:sz w:val="27"/>
          <w:rtl/>
          <w:lang w:bidi="ar-AE"/>
        </w:rPr>
        <w:t xml:space="preserve"> إنها تلب</w:t>
      </w:r>
      <w:r w:rsidR="00FA5327" w:rsidRPr="00904FCB">
        <w:rPr>
          <w:rFonts w:hint="cs"/>
          <w:sz w:val="27"/>
          <w:rtl/>
          <w:lang w:bidi="ar-AE"/>
        </w:rPr>
        <w:t>ّ</w:t>
      </w:r>
      <w:r w:rsidRPr="00904FCB">
        <w:rPr>
          <w:rFonts w:hint="cs"/>
          <w:sz w:val="27"/>
          <w:rtl/>
          <w:lang w:bidi="ar-AE"/>
        </w:rPr>
        <w:t>ى من طريق تناول اللحم ـ من خلال الاكتفاء بالمقدار اليسير من اللحم. وعليه فإن الذي يُع</w:t>
      </w:r>
      <w:r w:rsidR="00FA5327" w:rsidRPr="00904FCB">
        <w:rPr>
          <w:rFonts w:hint="cs"/>
          <w:sz w:val="27"/>
          <w:rtl/>
          <w:lang w:bidi="ar-AE"/>
        </w:rPr>
        <w:t>َ</w:t>
      </w:r>
      <w:r w:rsidRPr="00904FCB">
        <w:rPr>
          <w:rFonts w:hint="cs"/>
          <w:sz w:val="27"/>
          <w:rtl/>
          <w:lang w:bidi="ar-AE"/>
        </w:rPr>
        <w:t>دّ من جملة الحاجات الأساسية للإنسان هو ذلك المقدار القليل من تناول اللحم فقط</w:t>
      </w:r>
      <w:r w:rsidR="00FA5327" w:rsidRPr="00904FCB">
        <w:rPr>
          <w:rFonts w:hint="cs"/>
          <w:sz w:val="27"/>
          <w:rtl/>
          <w:lang w:bidi="ar-AE"/>
        </w:rPr>
        <w:t>،</w:t>
      </w:r>
      <w:r w:rsidRPr="00904FCB">
        <w:rPr>
          <w:rFonts w:hint="cs"/>
          <w:sz w:val="27"/>
          <w:rtl/>
          <w:lang w:bidi="ar-AE"/>
        </w:rPr>
        <w:t xml:space="preserve"> وأما استهلاك الزائد على ذلك المقدار سيكون ناقضاً لأصل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ولا يكون لائقاً أو سائغاً من الناحية الأخلاقية. وعليه فإن النظام الغذائي الذي يمكن تبريره والدفاع عنه هو النظام الغذائي الذي يتأل</w:t>
      </w:r>
      <w:r w:rsidR="00FA5327" w:rsidRPr="00904FCB">
        <w:rPr>
          <w:rFonts w:hint="cs"/>
          <w:sz w:val="27"/>
          <w:rtl/>
          <w:lang w:bidi="ar-AE"/>
        </w:rPr>
        <w:t>َّ</w:t>
      </w:r>
      <w:r w:rsidRPr="00904FCB">
        <w:rPr>
          <w:rFonts w:hint="cs"/>
          <w:sz w:val="27"/>
          <w:rtl/>
          <w:lang w:bidi="ar-AE"/>
        </w:rPr>
        <w:t xml:space="preserve">ف </w:t>
      </w:r>
      <w:r w:rsidRPr="00904FCB">
        <w:rPr>
          <w:rFonts w:hint="cs"/>
          <w:sz w:val="27"/>
          <w:rtl/>
          <w:lang w:bidi="ar-AE"/>
        </w:rPr>
        <w:lastRenderedPageBreak/>
        <w:t>جزؤه الرئيس من الأطعمة النباتية، ولا تدخل فيه اللحوم إلا</w:t>
      </w:r>
      <w:r w:rsidR="00FA5327" w:rsidRPr="00904FCB">
        <w:rPr>
          <w:rFonts w:hint="cs"/>
          <w:sz w:val="27"/>
          <w:rtl/>
          <w:lang w:bidi="ar-AE"/>
        </w:rPr>
        <w:t>ّ</w:t>
      </w:r>
      <w:r w:rsidRPr="00904FCB">
        <w:rPr>
          <w:rFonts w:hint="cs"/>
          <w:sz w:val="27"/>
          <w:rtl/>
          <w:lang w:bidi="ar-AE"/>
        </w:rPr>
        <w:t xml:space="preserve"> بالمقادير الضرورية والقليلة جد</w:t>
      </w:r>
      <w:r w:rsidR="00FA5327" w:rsidRPr="00904FCB">
        <w:rPr>
          <w:rFonts w:hint="cs"/>
          <w:sz w:val="27"/>
          <w:rtl/>
          <w:lang w:bidi="ar-AE"/>
        </w:rPr>
        <w:t>ّ</w:t>
      </w:r>
      <w:r w:rsidRPr="00904FCB">
        <w:rPr>
          <w:rFonts w:hint="cs"/>
          <w:sz w:val="27"/>
          <w:rtl/>
          <w:lang w:bidi="ar-AE"/>
        </w:rPr>
        <w:t>اً.</w:t>
      </w:r>
    </w:p>
    <w:p w:rsidR="00FB64C4" w:rsidRPr="00904FCB" w:rsidRDefault="00FB64C4" w:rsidP="001A0534">
      <w:pPr>
        <w:spacing w:line="420" w:lineRule="exact"/>
        <w:ind w:firstLine="561"/>
        <w:rPr>
          <w:sz w:val="27"/>
          <w:rtl/>
          <w:lang w:bidi="ar-AE"/>
        </w:rPr>
      </w:pPr>
      <w:r w:rsidRPr="00904FCB">
        <w:rPr>
          <w:rFonts w:hint="cs"/>
          <w:b/>
          <w:bCs/>
          <w:sz w:val="27"/>
          <w:rtl/>
          <w:lang w:bidi="ar-AE"/>
        </w:rPr>
        <w:t>الثاني</w:t>
      </w:r>
      <w:r w:rsidRPr="00904FCB">
        <w:rPr>
          <w:rFonts w:hint="cs"/>
          <w:sz w:val="27"/>
          <w:rtl/>
          <w:lang w:bidi="ar-AE"/>
        </w:rPr>
        <w:t>: حت</w:t>
      </w:r>
      <w:r w:rsidR="00FA5327" w:rsidRPr="00904FCB">
        <w:rPr>
          <w:rFonts w:hint="cs"/>
          <w:sz w:val="27"/>
          <w:rtl/>
          <w:lang w:bidi="ar-AE"/>
        </w:rPr>
        <w:t>ّ</w:t>
      </w:r>
      <w:r w:rsidRPr="00904FCB">
        <w:rPr>
          <w:rFonts w:hint="cs"/>
          <w:sz w:val="27"/>
          <w:rtl/>
          <w:lang w:bidi="ar-AE"/>
        </w:rPr>
        <w:t>ى في موارد حاجة الإنسان إلى ذلك المقدار القليل من اللحم من الأفضل للإنسان حدّ الإمكان أن يتناول من لحوم الحيوانات التي لا تعيش تجربة الألم والشعور بالموت أو توقّ</w:t>
      </w:r>
      <w:r w:rsidR="00FA5327" w:rsidRPr="00904FCB">
        <w:rPr>
          <w:rFonts w:hint="cs"/>
          <w:sz w:val="27"/>
          <w:rtl/>
          <w:lang w:bidi="ar-AE"/>
        </w:rPr>
        <w:t>ُ</w:t>
      </w:r>
      <w:r w:rsidRPr="00904FCB">
        <w:rPr>
          <w:rFonts w:hint="cs"/>
          <w:sz w:val="27"/>
          <w:rtl/>
          <w:lang w:bidi="ar-AE"/>
        </w:rPr>
        <w:t>عه، أو ينخفض لديها منسوب الشعور بهذا الألم أو التوق</w:t>
      </w:r>
      <w:r w:rsidR="00FA5327" w:rsidRPr="00904FCB">
        <w:rPr>
          <w:rFonts w:hint="cs"/>
          <w:sz w:val="27"/>
          <w:rtl/>
          <w:lang w:bidi="ar-AE"/>
        </w:rPr>
        <w:t>ُّ</w:t>
      </w:r>
      <w:r w:rsidRPr="00904FCB">
        <w:rPr>
          <w:rFonts w:hint="cs"/>
          <w:sz w:val="27"/>
          <w:rtl/>
          <w:lang w:bidi="ar-AE"/>
        </w:rPr>
        <w:t>ع. فبالنسبة إلى الحيوانات التي تصن</w:t>
      </w:r>
      <w:r w:rsidR="00FA5327" w:rsidRPr="00904FCB">
        <w:rPr>
          <w:rFonts w:hint="cs"/>
          <w:sz w:val="27"/>
          <w:rtl/>
          <w:lang w:bidi="ar-AE"/>
        </w:rPr>
        <w:t>ّ</w:t>
      </w:r>
      <w:r w:rsidRPr="00904FCB">
        <w:rPr>
          <w:rFonts w:hint="cs"/>
          <w:sz w:val="27"/>
          <w:rtl/>
          <w:lang w:bidi="ar-AE"/>
        </w:rPr>
        <w:t>ف في الطبقات التكاملية العليا، مثل</w:t>
      </w:r>
      <w:r w:rsidR="00FA5327" w:rsidRPr="00904FCB">
        <w:rPr>
          <w:rFonts w:hint="cs"/>
          <w:sz w:val="27"/>
          <w:rtl/>
          <w:lang w:bidi="ar-AE"/>
        </w:rPr>
        <w:t>:</w:t>
      </w:r>
      <w:r w:rsidRPr="00904FCB">
        <w:rPr>
          <w:rFonts w:hint="cs"/>
          <w:sz w:val="27"/>
          <w:rtl/>
          <w:lang w:bidi="ar-AE"/>
        </w:rPr>
        <w:t xml:space="preserve"> الأبقار والخراف، حيث تمتلك سلسلة عصبية متطوّ</w:t>
      </w:r>
      <w:r w:rsidR="00FA5327" w:rsidRPr="00904FCB">
        <w:rPr>
          <w:rFonts w:hint="cs"/>
          <w:sz w:val="27"/>
          <w:rtl/>
          <w:lang w:bidi="ar-AE"/>
        </w:rPr>
        <w:t>ِ</w:t>
      </w:r>
      <w:r w:rsidRPr="00904FCB">
        <w:rPr>
          <w:rFonts w:hint="cs"/>
          <w:sz w:val="27"/>
          <w:rtl/>
          <w:lang w:bidi="ar-AE"/>
        </w:rPr>
        <w:t>رة تؤه</w:t>
      </w:r>
      <w:r w:rsidR="00FA5327" w:rsidRPr="00904FCB">
        <w:rPr>
          <w:rFonts w:hint="cs"/>
          <w:sz w:val="27"/>
          <w:rtl/>
          <w:lang w:bidi="ar-AE"/>
        </w:rPr>
        <w:t>ِّ</w:t>
      </w:r>
      <w:r w:rsidRPr="00904FCB">
        <w:rPr>
          <w:rFonts w:hint="cs"/>
          <w:sz w:val="27"/>
          <w:rtl/>
          <w:lang w:bidi="ar-AE"/>
        </w:rPr>
        <w:t>لها لتجربة الألم والخوف من الموت، لذلك نجد البقرة أو الخروف يشعر بدنو</w:t>
      </w:r>
      <w:r w:rsidR="00FA5327" w:rsidRPr="00904FCB">
        <w:rPr>
          <w:rFonts w:hint="cs"/>
          <w:sz w:val="27"/>
          <w:rtl/>
          <w:lang w:bidi="ar-AE"/>
        </w:rPr>
        <w:t>ّ</w:t>
      </w:r>
      <w:r w:rsidRPr="00904FCB">
        <w:rPr>
          <w:rFonts w:hint="cs"/>
          <w:sz w:val="27"/>
          <w:rtl/>
          <w:lang w:bidi="ar-AE"/>
        </w:rPr>
        <w:t xml:space="preserve"> الأجل عندما يقدّ</w:t>
      </w:r>
      <w:r w:rsidR="00FA5327" w:rsidRPr="00904FCB">
        <w:rPr>
          <w:rFonts w:hint="cs"/>
          <w:sz w:val="27"/>
          <w:rtl/>
          <w:lang w:bidi="ar-AE"/>
        </w:rPr>
        <w:t>َ</w:t>
      </w:r>
      <w:r w:rsidRPr="00904FCB">
        <w:rPr>
          <w:rFonts w:hint="cs"/>
          <w:sz w:val="27"/>
          <w:rtl/>
          <w:lang w:bidi="ar-AE"/>
        </w:rPr>
        <w:t>م للذبح، فتستولي عليه حالة رهيبة تدفعه إلى البحث عن ملجأ وملاذ يبعده عن الخطر المحدق به. أما الحيوانات الأخرى التي تقع في الطبقات السفلى من سلّم الشعور والإحساس، مثل</w:t>
      </w:r>
      <w:r w:rsidR="00DC6852" w:rsidRPr="00904FCB">
        <w:rPr>
          <w:rFonts w:hint="cs"/>
          <w:sz w:val="27"/>
          <w:rtl/>
          <w:lang w:bidi="ar-AE"/>
        </w:rPr>
        <w:t>:</w:t>
      </w:r>
      <w:r w:rsidRPr="00904FCB">
        <w:rPr>
          <w:rFonts w:hint="cs"/>
          <w:sz w:val="27"/>
          <w:rtl/>
          <w:lang w:bidi="ar-AE"/>
        </w:rPr>
        <w:t xml:space="preserve"> الحيوانات البحرية </w:t>
      </w:r>
      <w:r w:rsidR="00DC6852" w:rsidRPr="00904FCB">
        <w:rPr>
          <w:rFonts w:hint="cs"/>
          <w:sz w:val="27"/>
          <w:rtl/>
          <w:lang w:bidi="ar-AE"/>
        </w:rPr>
        <w:t>(</w:t>
      </w:r>
      <w:r w:rsidRPr="00904FCB">
        <w:rPr>
          <w:rFonts w:hint="cs"/>
          <w:sz w:val="27"/>
          <w:rtl/>
          <w:lang w:bidi="ar-AE"/>
        </w:rPr>
        <w:t>من قبيل: القريدس</w:t>
      </w:r>
      <w:r w:rsidR="00DC6852" w:rsidRPr="00904FCB">
        <w:rPr>
          <w:rFonts w:hint="cs"/>
          <w:sz w:val="27"/>
          <w:rtl/>
          <w:lang w:bidi="ar-AE"/>
        </w:rPr>
        <w:t>،</w:t>
      </w:r>
      <w:r w:rsidRPr="00904FCB">
        <w:rPr>
          <w:rFonts w:hint="cs"/>
          <w:sz w:val="27"/>
          <w:rtl/>
          <w:lang w:bidi="ar-AE"/>
        </w:rPr>
        <w:t xml:space="preserve"> والكثير من أنواع الأسماك)، فإنها</w:t>
      </w:r>
      <w:r w:rsidR="00DC6852" w:rsidRPr="00904FCB">
        <w:rPr>
          <w:rFonts w:hint="cs"/>
          <w:sz w:val="27"/>
          <w:rtl/>
          <w:lang w:bidi="ar-AE"/>
        </w:rPr>
        <w:t>؛</w:t>
      </w:r>
      <w:r w:rsidRPr="00904FCB">
        <w:rPr>
          <w:rFonts w:hint="cs"/>
          <w:sz w:val="27"/>
          <w:rtl/>
          <w:lang w:bidi="ar-AE"/>
        </w:rPr>
        <w:t xml:space="preserve"> لافتقارها إلى السلسلة العصبية الابتدائية</w:t>
      </w:r>
      <w:r w:rsidR="00DC6852" w:rsidRPr="00904FCB">
        <w:rPr>
          <w:rFonts w:hint="cs"/>
          <w:sz w:val="27"/>
          <w:rtl/>
          <w:lang w:bidi="ar-AE"/>
        </w:rPr>
        <w:t>،</w:t>
      </w:r>
      <w:r w:rsidRPr="00904FCB">
        <w:rPr>
          <w:rFonts w:hint="cs"/>
          <w:sz w:val="27"/>
          <w:rtl/>
          <w:lang w:bidi="ar-AE"/>
        </w:rPr>
        <w:t xml:space="preserve"> تفتقر إلى الشعور بالألم أو توق</w:t>
      </w:r>
      <w:r w:rsidR="00DC6852" w:rsidRPr="00904FCB">
        <w:rPr>
          <w:rFonts w:hint="cs"/>
          <w:sz w:val="27"/>
          <w:rtl/>
          <w:lang w:bidi="ar-AE"/>
        </w:rPr>
        <w:t>ُّ</w:t>
      </w:r>
      <w:r w:rsidRPr="00904FCB">
        <w:rPr>
          <w:rFonts w:hint="cs"/>
          <w:sz w:val="27"/>
          <w:rtl/>
          <w:lang w:bidi="ar-AE"/>
        </w:rPr>
        <w:t>ع الموت، وحت</w:t>
      </w:r>
      <w:r w:rsidR="00DC6852" w:rsidRPr="00904FCB">
        <w:rPr>
          <w:rFonts w:hint="cs"/>
          <w:sz w:val="27"/>
          <w:rtl/>
          <w:lang w:bidi="ar-AE"/>
        </w:rPr>
        <w:t>ّ</w:t>
      </w:r>
      <w:r w:rsidRPr="00904FCB">
        <w:rPr>
          <w:rFonts w:hint="cs"/>
          <w:sz w:val="27"/>
          <w:rtl/>
          <w:lang w:bidi="ar-AE"/>
        </w:rPr>
        <w:t>ى عندما يتمّ اصطيادها لا ت</w:t>
      </w:r>
      <w:r w:rsidR="00DC6852" w:rsidRPr="00904FCB">
        <w:rPr>
          <w:rFonts w:hint="cs"/>
          <w:sz w:val="27"/>
          <w:rtl/>
          <w:lang w:bidi="ar-AE"/>
        </w:rPr>
        <w:t>ُ</w:t>
      </w:r>
      <w:r w:rsidRPr="00904FCB">
        <w:rPr>
          <w:rFonts w:hint="cs"/>
          <w:sz w:val="27"/>
          <w:rtl/>
          <w:lang w:bidi="ar-AE"/>
        </w:rPr>
        <w:t>بدي ما يوحي بأنها تعاني الألم أو الفزع الذي تعاني منه الأنعام وبعض الطيور. وعليه فبالنسبة إلى الموارد التي تمسّ فيها الحاجة إلى تناول اللحم يكون تناول أمثال القريدس والأسماك هو الراجح من الناحية الأخلاقية على تناول لحم الضأن أو البقر.</w:t>
      </w:r>
    </w:p>
    <w:p w:rsidR="00FB64C4" w:rsidRPr="00904FCB" w:rsidRDefault="00FB64C4" w:rsidP="007A21AA">
      <w:pPr>
        <w:spacing w:line="400" w:lineRule="exact"/>
        <w:rPr>
          <w:sz w:val="27"/>
          <w:rtl/>
          <w:lang w:bidi="ar-AE"/>
        </w:rPr>
      </w:pPr>
    </w:p>
    <w:p w:rsidR="00FB64C4" w:rsidRPr="00904FCB" w:rsidRDefault="00FB64C4" w:rsidP="0098428A">
      <w:pPr>
        <w:pStyle w:val="31"/>
        <w:spacing w:line="400" w:lineRule="exact"/>
        <w:rPr>
          <w:color w:val="auto"/>
          <w:rtl/>
          <w:lang w:bidi="ar-AE"/>
        </w:rPr>
      </w:pPr>
      <w:r w:rsidRPr="00EB7818">
        <w:rPr>
          <w:rFonts w:hint="cs"/>
          <w:color w:val="auto"/>
          <w:rtl/>
          <w:lang w:bidi="ar-AE"/>
        </w:rPr>
        <w:t>4</w:t>
      </w:r>
      <w:r w:rsidR="0098428A" w:rsidRPr="00EB7818">
        <w:rPr>
          <w:rFonts w:hint="cs"/>
          <w:color w:val="auto"/>
          <w:rtl/>
          <w:lang w:bidi="ar-AE"/>
        </w:rPr>
        <w:t>ـ فكرة</w:t>
      </w:r>
      <w:r w:rsidR="0098428A" w:rsidRPr="00904FCB">
        <w:rPr>
          <w:rFonts w:hint="cs"/>
          <w:color w:val="auto"/>
          <w:rtl/>
          <w:lang w:bidi="ar-AE"/>
        </w:rPr>
        <w:t xml:space="preserve"> هيمنة الإنسان على الطبيعة</w:t>
      </w:r>
    </w:p>
    <w:p w:rsidR="00FB64C4" w:rsidRPr="00904FCB" w:rsidRDefault="00FB64C4" w:rsidP="001A0534">
      <w:pPr>
        <w:spacing w:line="420" w:lineRule="exact"/>
        <w:ind w:firstLine="561"/>
        <w:rPr>
          <w:sz w:val="27"/>
          <w:rtl/>
          <w:lang w:bidi="ar-AE"/>
        </w:rPr>
      </w:pPr>
      <w:r w:rsidRPr="00904FCB">
        <w:rPr>
          <w:rFonts w:hint="cs"/>
          <w:sz w:val="27"/>
          <w:rtl/>
          <w:lang w:bidi="ar-AE"/>
        </w:rPr>
        <w:t>هناك من المتدي</w:t>
      </w:r>
      <w:r w:rsidR="00DC6852" w:rsidRPr="00904FCB">
        <w:rPr>
          <w:rFonts w:hint="cs"/>
          <w:sz w:val="27"/>
          <w:rtl/>
          <w:lang w:bidi="ar-AE"/>
        </w:rPr>
        <w:t>ِّ</w:t>
      </w:r>
      <w:r w:rsidRPr="00904FCB">
        <w:rPr>
          <w:rFonts w:hint="cs"/>
          <w:sz w:val="27"/>
          <w:rtl/>
          <w:lang w:bidi="ar-AE"/>
        </w:rPr>
        <w:t>نين م</w:t>
      </w:r>
      <w:r w:rsidR="00DC6852" w:rsidRPr="00904FCB">
        <w:rPr>
          <w:rFonts w:hint="cs"/>
          <w:sz w:val="27"/>
          <w:rtl/>
          <w:lang w:bidi="ar-AE"/>
        </w:rPr>
        <w:t>َ</w:t>
      </w:r>
      <w:r w:rsidRPr="00904FCB">
        <w:rPr>
          <w:rFonts w:hint="cs"/>
          <w:sz w:val="27"/>
          <w:rtl/>
          <w:lang w:bidi="ar-AE"/>
        </w:rPr>
        <w:t>ن</w:t>
      </w:r>
      <w:r w:rsidR="00DC6852" w:rsidRPr="00904FCB">
        <w:rPr>
          <w:rFonts w:hint="cs"/>
          <w:sz w:val="27"/>
          <w:rtl/>
          <w:lang w:bidi="ar-AE"/>
        </w:rPr>
        <w:t>ْ</w:t>
      </w:r>
      <w:r w:rsidRPr="00904FCB">
        <w:rPr>
          <w:rFonts w:hint="cs"/>
          <w:sz w:val="27"/>
          <w:rtl/>
          <w:lang w:bidi="ar-AE"/>
        </w:rPr>
        <w:t xml:space="preserve"> يذهب إلى الاعتقاد بهيمنة وسيطرة الإنس</w:t>
      </w:r>
      <w:r w:rsidR="00DC6852" w:rsidRPr="00904FCB">
        <w:rPr>
          <w:rFonts w:hint="cs"/>
          <w:sz w:val="27"/>
          <w:rtl/>
          <w:lang w:bidi="ar-AE"/>
        </w:rPr>
        <w:t xml:space="preserve">ان وسلطته على عالم الطبيعة، ومنها: </w:t>
      </w:r>
      <w:r w:rsidRPr="00904FCB">
        <w:rPr>
          <w:rFonts w:hint="cs"/>
          <w:sz w:val="27"/>
          <w:rtl/>
          <w:lang w:bidi="ar-AE"/>
        </w:rPr>
        <w:t>الكائنات الحيّة</w:t>
      </w:r>
      <w:r w:rsidR="00DC6852" w:rsidRPr="00904FCB">
        <w:rPr>
          <w:rFonts w:hint="cs"/>
          <w:sz w:val="27"/>
          <w:rtl/>
          <w:lang w:bidi="ar-AE"/>
        </w:rPr>
        <w:t>،</w:t>
      </w:r>
      <w:r w:rsidRPr="00904FCB">
        <w:rPr>
          <w:rFonts w:hint="cs"/>
          <w:sz w:val="27"/>
          <w:rtl/>
          <w:lang w:bidi="ar-AE"/>
        </w:rPr>
        <w:t xml:space="preserve"> ويبرّ</w:t>
      </w:r>
      <w:r w:rsidR="00DC6852" w:rsidRPr="00904FCB">
        <w:rPr>
          <w:rFonts w:hint="cs"/>
          <w:sz w:val="27"/>
          <w:rtl/>
          <w:lang w:bidi="ar-AE"/>
        </w:rPr>
        <w:t>ِ</w:t>
      </w:r>
      <w:r w:rsidRPr="00904FCB">
        <w:rPr>
          <w:rFonts w:hint="cs"/>
          <w:sz w:val="27"/>
          <w:rtl/>
          <w:lang w:bidi="ar-AE"/>
        </w:rPr>
        <w:t>رون ذلك على قاعدة بعض التعاليم الدينية. فعلى سبيل المثال: ورد في القرآن الكريم أن الإنسان خليفة الله في الأرض، وأن الله قد سخّر للإنسان جميع ما في السماوات والأرض</w:t>
      </w:r>
      <w:r w:rsidR="00DC6852" w:rsidRPr="00904FCB">
        <w:rPr>
          <w:rFonts w:hint="cs"/>
          <w:sz w:val="27"/>
          <w:rtl/>
          <w:lang w:bidi="ar-AE"/>
        </w:rPr>
        <w:t>.</w:t>
      </w:r>
      <w:r w:rsidRPr="00904FCB">
        <w:rPr>
          <w:rFonts w:hint="cs"/>
          <w:sz w:val="27"/>
          <w:rtl/>
          <w:lang w:bidi="ar-AE"/>
        </w:rPr>
        <w:t xml:space="preserve"> وطبقاً للتفسير الشائع لهذه الآيات يجوز للإنسان (بل يجب عليه) أن يبسط سلطته وسيطرته على عالم الطبيعة</w:t>
      </w:r>
      <w:r w:rsidR="00DC6852" w:rsidRPr="00904FCB">
        <w:rPr>
          <w:rFonts w:hint="cs"/>
          <w:sz w:val="27"/>
          <w:rtl/>
          <w:lang w:bidi="ar-AE"/>
        </w:rPr>
        <w:t>،</w:t>
      </w:r>
      <w:r w:rsidRPr="00904FCB">
        <w:rPr>
          <w:rFonts w:hint="cs"/>
          <w:sz w:val="27"/>
          <w:rtl/>
          <w:lang w:bidi="ar-AE"/>
        </w:rPr>
        <w:t xml:space="preserve"> بما في ذلك عالم الحيوان. وطبقاً لهذا التفسير تكون النباتات والحيوانات مخلوقة لخدمة الإنسان، ويمكن للإنسان أن يستخدمها كما يشاء، وأن يستهلكها لتلبية </w:t>
      </w:r>
      <w:r w:rsidRPr="00904FCB">
        <w:rPr>
          <w:rFonts w:hint="cs"/>
          <w:sz w:val="27"/>
          <w:rtl/>
          <w:lang w:bidi="ar-AE"/>
        </w:rPr>
        <w:lastRenderedPageBreak/>
        <w:t xml:space="preserve">غاياته وحاجاته ومصالحه، دون أن يكون ملزماً برعاية مصالحها وحقوقها الخاصّة. ومن الواضح أنه طبقاً لهذا التفسير لا يكون 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مُل</w:t>
      </w:r>
      <w:r w:rsidR="00DC6852" w:rsidRPr="00904FCB">
        <w:rPr>
          <w:rFonts w:hint="cs"/>
          <w:sz w:val="27"/>
          <w:rtl/>
          <w:lang w:bidi="ar-AE"/>
        </w:rPr>
        <w:t>ْ</w:t>
      </w:r>
      <w:r w:rsidRPr="00904FCB">
        <w:rPr>
          <w:rFonts w:hint="cs"/>
          <w:sz w:val="27"/>
          <w:rtl/>
          <w:lang w:bidi="ar-AE"/>
        </w:rPr>
        <w:t>ز</w:t>
      </w:r>
      <w:r w:rsidR="00DC6852" w:rsidRPr="00904FCB">
        <w:rPr>
          <w:rFonts w:hint="cs"/>
          <w:sz w:val="27"/>
          <w:rtl/>
          <w:lang w:bidi="ar-AE"/>
        </w:rPr>
        <w:t>ِ</w:t>
      </w:r>
      <w:r w:rsidRPr="00904FCB">
        <w:rPr>
          <w:rFonts w:hint="cs"/>
          <w:sz w:val="27"/>
          <w:rtl/>
          <w:lang w:bidi="ar-AE"/>
        </w:rPr>
        <w:t>ماً للإنسان من الناحية الدينية.</w:t>
      </w:r>
    </w:p>
    <w:p w:rsidR="00FB64C4" w:rsidRPr="00904FCB" w:rsidRDefault="00FB64C4" w:rsidP="001A0534">
      <w:pPr>
        <w:spacing w:line="420" w:lineRule="exact"/>
        <w:rPr>
          <w:sz w:val="27"/>
          <w:rtl/>
          <w:lang w:bidi="ar-AE"/>
        </w:rPr>
      </w:pPr>
      <w:r w:rsidRPr="00904FCB">
        <w:rPr>
          <w:rFonts w:hint="cs"/>
          <w:sz w:val="27"/>
          <w:rtl/>
          <w:lang w:bidi="ar-AE"/>
        </w:rPr>
        <w:t>ب</w:t>
      </w:r>
      <w:r w:rsidR="00DC6852" w:rsidRPr="00904FCB">
        <w:rPr>
          <w:rFonts w:hint="cs"/>
          <w:sz w:val="27"/>
          <w:rtl/>
          <w:lang w:bidi="ar-AE"/>
        </w:rPr>
        <w:t>َ</w:t>
      </w:r>
      <w:r w:rsidRPr="00904FCB">
        <w:rPr>
          <w:rFonts w:hint="cs"/>
          <w:sz w:val="27"/>
          <w:rtl/>
          <w:lang w:bidi="ar-AE"/>
        </w:rPr>
        <w:t>ي</w:t>
      </w:r>
      <w:r w:rsidR="00DC6852" w:rsidRPr="00904FCB">
        <w:rPr>
          <w:rFonts w:hint="cs"/>
          <w:sz w:val="27"/>
          <w:rtl/>
          <w:lang w:bidi="ar-AE"/>
        </w:rPr>
        <w:t>ْ</w:t>
      </w:r>
      <w:r w:rsidRPr="00904FCB">
        <w:rPr>
          <w:rFonts w:hint="cs"/>
          <w:sz w:val="27"/>
          <w:rtl/>
          <w:lang w:bidi="ar-AE"/>
        </w:rPr>
        <w:t>د</w:t>
      </w:r>
      <w:r w:rsidR="00DC6852" w:rsidRPr="00904FCB">
        <w:rPr>
          <w:rFonts w:hint="cs"/>
          <w:sz w:val="27"/>
          <w:rtl/>
          <w:lang w:bidi="ar-AE"/>
        </w:rPr>
        <w:t>َ</w:t>
      </w:r>
      <w:r w:rsidRPr="00904FCB">
        <w:rPr>
          <w:rFonts w:hint="cs"/>
          <w:sz w:val="27"/>
          <w:rtl/>
          <w:lang w:bidi="ar-AE"/>
        </w:rPr>
        <w:t xml:space="preserve"> أن</w:t>
      </w:r>
      <w:r w:rsidR="00DC6852" w:rsidRPr="00904FCB">
        <w:rPr>
          <w:rFonts w:hint="cs"/>
          <w:sz w:val="27"/>
          <w:rtl/>
          <w:lang w:bidi="ar-AE"/>
        </w:rPr>
        <w:t>ّه</w:t>
      </w:r>
      <w:r w:rsidRPr="00904FCB">
        <w:rPr>
          <w:rFonts w:hint="cs"/>
          <w:sz w:val="27"/>
          <w:rtl/>
          <w:lang w:bidi="ar-AE"/>
        </w:rPr>
        <w:t xml:space="preserve"> بالإمكان تفسير هذه الآيات القرآنية بنحو</w:t>
      </w:r>
      <w:r w:rsidR="00DC6852" w:rsidRPr="00904FCB">
        <w:rPr>
          <w:rFonts w:hint="cs"/>
          <w:sz w:val="27"/>
          <w:rtl/>
          <w:lang w:bidi="ar-AE"/>
        </w:rPr>
        <w:t>ٍ</w:t>
      </w:r>
      <w:r w:rsidRPr="00904FCB">
        <w:rPr>
          <w:rFonts w:hint="cs"/>
          <w:sz w:val="27"/>
          <w:rtl/>
          <w:lang w:bidi="ar-AE"/>
        </w:rPr>
        <w:t xml:space="preserve"> آخر. وطبقاً لهذا التفسير الآخر لا تعني خلافة الإنسان في الأرض سلطته على عالم الطبيعة بلا منازع، وإنما تعني أن الله قد جعل الإنسان بوصفه فاعلاً عاقلاً وأخلاقياً مسؤولاً بالنيابة عنه في الإشراف والحفاظ على عالم الطبيعة</w:t>
      </w:r>
      <w:r w:rsidR="0085181B" w:rsidRPr="00904FCB">
        <w:rPr>
          <w:rFonts w:hint="cs"/>
          <w:sz w:val="27"/>
          <w:rtl/>
          <w:lang w:bidi="ar-AE"/>
        </w:rPr>
        <w:t>،</w:t>
      </w:r>
      <w:r w:rsidRPr="00904FCB">
        <w:rPr>
          <w:rFonts w:hint="cs"/>
          <w:sz w:val="27"/>
          <w:rtl/>
          <w:lang w:bidi="ar-AE"/>
        </w:rPr>
        <w:t xml:space="preserve"> وعالم الحيوان أيضاً. وفي إطار هذا التفسير لا يمكن اعتبار </w:t>
      </w:r>
      <w:r w:rsidRPr="00904FCB">
        <w:rPr>
          <w:rFonts w:hint="eastAsia"/>
          <w:sz w:val="27"/>
          <w:rtl/>
        </w:rPr>
        <w:t>«</w:t>
      </w:r>
      <w:r w:rsidRPr="00904FCB">
        <w:rPr>
          <w:rFonts w:hint="cs"/>
          <w:sz w:val="27"/>
          <w:rtl/>
          <w:lang w:bidi="ar-AE"/>
        </w:rPr>
        <w:t>التسخير</w:t>
      </w:r>
      <w:r w:rsidRPr="00904FCB">
        <w:rPr>
          <w:rFonts w:hint="eastAsia"/>
          <w:sz w:val="27"/>
          <w:rtl/>
        </w:rPr>
        <w:t>»</w:t>
      </w:r>
      <w:r w:rsidRPr="00904FCB">
        <w:rPr>
          <w:rFonts w:hint="cs"/>
          <w:sz w:val="27"/>
          <w:rtl/>
          <w:lang w:bidi="ar-AE"/>
        </w:rPr>
        <w:t xml:space="preserve"> بمعنى جواز ممارسة السلطة التعس</w:t>
      </w:r>
      <w:r w:rsidR="0085181B" w:rsidRPr="00904FCB">
        <w:rPr>
          <w:rFonts w:hint="cs"/>
          <w:sz w:val="27"/>
          <w:rtl/>
          <w:lang w:bidi="ar-AE"/>
        </w:rPr>
        <w:t>ُّ</w:t>
      </w:r>
      <w:r w:rsidRPr="00904FCB">
        <w:rPr>
          <w:rFonts w:hint="cs"/>
          <w:sz w:val="27"/>
          <w:rtl/>
          <w:lang w:bidi="ar-AE"/>
        </w:rPr>
        <w:t>في، والاستثمار الظالم لعالم الطبيعة. بطبيعة الحال يحق</w:t>
      </w:r>
      <w:r w:rsidR="0085181B" w:rsidRPr="00904FCB">
        <w:rPr>
          <w:rFonts w:hint="cs"/>
          <w:sz w:val="27"/>
          <w:rtl/>
          <w:lang w:bidi="ar-AE"/>
        </w:rPr>
        <w:t>ّ</w:t>
      </w:r>
      <w:r w:rsidRPr="00904FCB">
        <w:rPr>
          <w:rFonts w:hint="cs"/>
          <w:sz w:val="27"/>
          <w:rtl/>
          <w:lang w:bidi="ar-AE"/>
        </w:rPr>
        <w:t xml:space="preserve"> للإنسان أن يستفيد من عالم الطبيعة، ب</w:t>
      </w:r>
      <w:r w:rsidR="0085181B" w:rsidRPr="00904FCB">
        <w:rPr>
          <w:rFonts w:hint="cs"/>
          <w:sz w:val="27"/>
          <w:rtl/>
          <w:lang w:bidi="ar-AE"/>
        </w:rPr>
        <w:t>َ</w:t>
      </w:r>
      <w:r w:rsidRPr="00904FCB">
        <w:rPr>
          <w:rFonts w:hint="cs"/>
          <w:sz w:val="27"/>
          <w:rtl/>
          <w:lang w:bidi="ar-AE"/>
        </w:rPr>
        <w:t>ي</w:t>
      </w:r>
      <w:r w:rsidR="0085181B" w:rsidRPr="00904FCB">
        <w:rPr>
          <w:rFonts w:hint="cs"/>
          <w:sz w:val="27"/>
          <w:rtl/>
          <w:lang w:bidi="ar-AE"/>
        </w:rPr>
        <w:t>ْ</w:t>
      </w:r>
      <w:r w:rsidRPr="00904FCB">
        <w:rPr>
          <w:rFonts w:hint="cs"/>
          <w:sz w:val="27"/>
          <w:rtl/>
          <w:lang w:bidi="ar-AE"/>
        </w:rPr>
        <w:t>د</w:t>
      </w:r>
      <w:r w:rsidR="0085181B" w:rsidRPr="00904FCB">
        <w:rPr>
          <w:rFonts w:hint="cs"/>
          <w:sz w:val="27"/>
          <w:rtl/>
          <w:lang w:bidi="ar-AE"/>
        </w:rPr>
        <w:t>َ</w:t>
      </w:r>
      <w:r w:rsidRPr="00904FCB">
        <w:rPr>
          <w:rFonts w:hint="cs"/>
          <w:sz w:val="27"/>
          <w:rtl/>
          <w:lang w:bidi="ar-AE"/>
        </w:rPr>
        <w:t xml:space="preserve"> أن استفادته يجب أن تكون استفادة مسؤولة وعادلة. وإن الالتزام بأصل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من شروط الاستفادة المسؤولة والعادلة من دورة الحياة الطبيعية.</w:t>
      </w:r>
    </w:p>
    <w:p w:rsidR="00FB64C4" w:rsidRPr="00904FCB" w:rsidRDefault="00FB64C4" w:rsidP="001A0534">
      <w:pPr>
        <w:spacing w:line="420" w:lineRule="exact"/>
        <w:rPr>
          <w:sz w:val="27"/>
          <w:rtl/>
          <w:lang w:bidi="ar-AE"/>
        </w:rPr>
      </w:pPr>
      <w:r w:rsidRPr="00904FCB">
        <w:rPr>
          <w:rFonts w:hint="cs"/>
          <w:sz w:val="27"/>
          <w:rtl/>
          <w:lang w:bidi="ar-AE"/>
        </w:rPr>
        <w:t>وعليه فإن المتدي</w:t>
      </w:r>
      <w:r w:rsidR="0085181B" w:rsidRPr="00904FCB">
        <w:rPr>
          <w:rFonts w:hint="cs"/>
          <w:sz w:val="27"/>
          <w:rtl/>
          <w:lang w:bidi="ar-AE"/>
        </w:rPr>
        <w:t>ِّ</w:t>
      </w:r>
      <w:r w:rsidRPr="00904FCB">
        <w:rPr>
          <w:rFonts w:hint="cs"/>
          <w:sz w:val="27"/>
          <w:rtl/>
          <w:lang w:bidi="ar-AE"/>
        </w:rPr>
        <w:t>نين الذين لا ير</w:t>
      </w:r>
      <w:r w:rsidR="0085181B" w:rsidRPr="00904FCB">
        <w:rPr>
          <w:rFonts w:hint="cs"/>
          <w:sz w:val="27"/>
          <w:rtl/>
          <w:lang w:bidi="ar-AE"/>
        </w:rPr>
        <w:t>َ</w:t>
      </w:r>
      <w:r w:rsidRPr="00904FCB">
        <w:rPr>
          <w:rFonts w:hint="cs"/>
          <w:sz w:val="27"/>
          <w:rtl/>
          <w:lang w:bidi="ar-AE"/>
        </w:rPr>
        <w:t>و</w:t>
      </w:r>
      <w:r w:rsidR="0085181B" w:rsidRPr="00904FCB">
        <w:rPr>
          <w:rFonts w:hint="cs"/>
          <w:sz w:val="27"/>
          <w:rtl/>
          <w:lang w:bidi="ar-AE"/>
        </w:rPr>
        <w:t>ْ</w:t>
      </w:r>
      <w:r w:rsidRPr="00904FCB">
        <w:rPr>
          <w:rFonts w:hint="cs"/>
          <w:sz w:val="27"/>
          <w:rtl/>
          <w:lang w:bidi="ar-AE"/>
        </w:rPr>
        <w:t xml:space="preserve">ن تمامية الأخلاق القائمة على أصل </w:t>
      </w:r>
      <w:r w:rsidRPr="00904FCB">
        <w:rPr>
          <w:rFonts w:hint="eastAsia"/>
          <w:sz w:val="27"/>
          <w:rtl/>
        </w:rPr>
        <w:t>«</w:t>
      </w:r>
      <w:r w:rsidRPr="00904FCB">
        <w:rPr>
          <w:rFonts w:hint="cs"/>
          <w:sz w:val="27"/>
          <w:rtl/>
          <w:lang w:bidi="ar-AE"/>
        </w:rPr>
        <w:t>محورية الإنسان</w:t>
      </w:r>
      <w:r w:rsidRPr="00904FCB">
        <w:rPr>
          <w:rFonts w:hint="eastAsia"/>
          <w:sz w:val="27"/>
          <w:rtl/>
        </w:rPr>
        <w:t>»</w:t>
      </w:r>
      <w:r w:rsidRPr="00904FCB">
        <w:rPr>
          <w:rFonts w:hint="cs"/>
          <w:sz w:val="27"/>
          <w:rtl/>
          <w:lang w:bidi="ar-AE"/>
        </w:rPr>
        <w:t xml:space="preserve"> من الناحية العقلية، ويعتبرون أصل </w:t>
      </w:r>
      <w:r w:rsidRPr="00904FCB">
        <w:rPr>
          <w:rFonts w:hint="eastAsia"/>
          <w:sz w:val="27"/>
          <w:rtl/>
        </w:rPr>
        <w:t>«</w:t>
      </w:r>
      <w:r w:rsidRPr="00904FCB">
        <w:rPr>
          <w:rFonts w:hint="cs"/>
          <w:sz w:val="27"/>
          <w:rtl/>
          <w:lang w:bidi="ar-AE"/>
        </w:rPr>
        <w:t>عدم التناسب</w:t>
      </w:r>
      <w:r w:rsidRPr="00904FCB">
        <w:rPr>
          <w:rFonts w:hint="eastAsia"/>
          <w:sz w:val="27"/>
          <w:rtl/>
        </w:rPr>
        <w:t>»</w:t>
      </w:r>
      <w:r w:rsidRPr="00904FCB">
        <w:rPr>
          <w:rFonts w:hint="cs"/>
          <w:sz w:val="27"/>
          <w:rtl/>
          <w:lang w:bidi="ar-AE"/>
        </w:rPr>
        <w:t xml:space="preserve"> شرطاً لازماً للتعاطي المسؤول والعادل مع منظومة الحياة في الأرض، يمكن لهم الاد</w:t>
      </w:r>
      <w:r w:rsidR="0085181B" w:rsidRPr="00904FCB">
        <w:rPr>
          <w:rFonts w:hint="cs"/>
          <w:sz w:val="27"/>
          <w:rtl/>
          <w:lang w:bidi="ar-AE"/>
        </w:rPr>
        <w:t>ّ</w:t>
      </w:r>
      <w:r w:rsidRPr="00904FCB">
        <w:rPr>
          <w:rFonts w:hint="cs"/>
          <w:sz w:val="27"/>
          <w:rtl/>
          <w:lang w:bidi="ar-AE"/>
        </w:rPr>
        <w:t>عاء في الحدّ الأدنى أن الطريق إلى إعادة النظر والتفكير في تفسير الآيات القرآنية يكمن في التفسير المنسجم مع دورة الحياة الطبيعة على وجه الأرض.</w:t>
      </w:r>
    </w:p>
    <w:p w:rsidR="00FB64C4" w:rsidRPr="00904FCB" w:rsidRDefault="00FB64C4" w:rsidP="007A21AA">
      <w:pPr>
        <w:spacing w:line="400" w:lineRule="exact"/>
        <w:rPr>
          <w:sz w:val="27"/>
          <w:rtl/>
          <w:lang w:bidi="ar-AE"/>
        </w:rPr>
      </w:pPr>
    </w:p>
    <w:p w:rsidR="00FB64C4" w:rsidRPr="00904FCB" w:rsidRDefault="00FB64C4" w:rsidP="007A21AA">
      <w:pPr>
        <w:pStyle w:val="31"/>
        <w:spacing w:line="400" w:lineRule="exact"/>
        <w:rPr>
          <w:color w:val="auto"/>
          <w:rtl/>
          <w:lang w:bidi="ar-AE"/>
        </w:rPr>
      </w:pPr>
      <w:r w:rsidRPr="00EB7818">
        <w:rPr>
          <w:rFonts w:hint="cs"/>
          <w:color w:val="auto"/>
          <w:rtl/>
          <w:lang w:bidi="ar-AE"/>
        </w:rPr>
        <w:t>5</w:t>
      </w:r>
      <w:r w:rsidR="0098428A" w:rsidRPr="00EB7818">
        <w:rPr>
          <w:rFonts w:hint="cs"/>
          <w:color w:val="auto"/>
          <w:rtl/>
          <w:lang w:bidi="ar-AE"/>
        </w:rPr>
        <w:t xml:space="preserve">ـ </w:t>
      </w:r>
      <w:r w:rsidR="0098428A" w:rsidRPr="00904FCB">
        <w:rPr>
          <w:rFonts w:hint="cs"/>
          <w:color w:val="auto"/>
          <w:rtl/>
          <w:lang w:bidi="ar-AE"/>
        </w:rPr>
        <w:t>النتيجة</w:t>
      </w:r>
    </w:p>
    <w:p w:rsidR="0085181B" w:rsidRPr="00904FCB" w:rsidRDefault="00FB64C4" w:rsidP="001A0534">
      <w:pPr>
        <w:spacing w:line="410" w:lineRule="exact"/>
        <w:ind w:firstLine="561"/>
        <w:rPr>
          <w:rtl/>
          <w:lang w:bidi="ar-AE"/>
        </w:rPr>
      </w:pPr>
      <w:r w:rsidRPr="00904FCB">
        <w:rPr>
          <w:rFonts w:hint="cs"/>
          <w:rtl/>
          <w:lang w:bidi="ar-AE"/>
        </w:rPr>
        <w:t>إذا تمّت أدلة هذه المقالة، وكانت معتبرة، فعندها يجب على منظومتنا الأخلاقية أن تراع</w:t>
      </w:r>
      <w:r w:rsidR="0085181B" w:rsidRPr="00904FCB">
        <w:rPr>
          <w:rFonts w:hint="cs"/>
          <w:rtl/>
          <w:lang w:bidi="ar-AE"/>
        </w:rPr>
        <w:t>ي</w:t>
      </w:r>
      <w:r w:rsidRPr="00904FCB">
        <w:rPr>
          <w:rFonts w:hint="cs"/>
          <w:rtl/>
          <w:lang w:bidi="ar-AE"/>
        </w:rPr>
        <w:t xml:space="preserve"> حقوق سائر الكائنات الحيّة. وهذا يعني أننا</w:t>
      </w:r>
      <w:r w:rsidR="0085181B" w:rsidRPr="00904FCB">
        <w:rPr>
          <w:rFonts w:hint="cs"/>
          <w:rtl/>
          <w:lang w:bidi="ar-AE"/>
        </w:rPr>
        <w:t>؛</w:t>
      </w:r>
      <w:r w:rsidRPr="00904FCB">
        <w:rPr>
          <w:rFonts w:hint="cs"/>
          <w:rtl/>
          <w:lang w:bidi="ar-AE"/>
        </w:rPr>
        <w:t xml:space="preserve"> بوصفنا مسؤولين من الناحية الأخلاقية، يجب أن نلتزم بأصل </w:t>
      </w:r>
      <w:r w:rsidRPr="00904FCB">
        <w:rPr>
          <w:rFonts w:hint="eastAsia"/>
          <w:rtl/>
        </w:rPr>
        <w:t>«</w:t>
      </w:r>
      <w:r w:rsidRPr="00904FCB">
        <w:rPr>
          <w:rFonts w:hint="cs"/>
          <w:rtl/>
          <w:lang w:bidi="ar-AE"/>
        </w:rPr>
        <w:t>المساوة الأخلاقية بين الكائنات الحيّة</w:t>
      </w:r>
      <w:r w:rsidRPr="00904FCB">
        <w:rPr>
          <w:rFonts w:hint="eastAsia"/>
          <w:rtl/>
        </w:rPr>
        <w:t>»</w:t>
      </w:r>
      <w:r w:rsidRPr="00904FCB">
        <w:rPr>
          <w:rFonts w:hint="cs"/>
          <w:rtl/>
          <w:lang w:bidi="ar-AE"/>
        </w:rPr>
        <w:t xml:space="preserve">، وأن نرفض أصل </w:t>
      </w:r>
      <w:r w:rsidRPr="00904FCB">
        <w:rPr>
          <w:rFonts w:hint="eastAsia"/>
          <w:rtl/>
        </w:rPr>
        <w:t>«</w:t>
      </w:r>
      <w:r w:rsidRPr="00904FCB">
        <w:rPr>
          <w:rFonts w:hint="cs"/>
          <w:rtl/>
          <w:lang w:bidi="ar-AE"/>
        </w:rPr>
        <w:t>محورية الإنسان</w:t>
      </w:r>
      <w:r w:rsidRPr="00904FCB">
        <w:rPr>
          <w:rFonts w:hint="eastAsia"/>
          <w:rtl/>
        </w:rPr>
        <w:t>»</w:t>
      </w:r>
      <w:r w:rsidR="0085181B" w:rsidRPr="00904FCB">
        <w:rPr>
          <w:rFonts w:hint="cs"/>
          <w:rtl/>
          <w:lang w:bidi="ar-AE"/>
        </w:rPr>
        <w:t>.</w:t>
      </w:r>
    </w:p>
    <w:p w:rsidR="0085181B" w:rsidRPr="00904FCB" w:rsidRDefault="00FB64C4" w:rsidP="001A0534">
      <w:pPr>
        <w:spacing w:line="410" w:lineRule="exact"/>
        <w:ind w:firstLine="561"/>
        <w:rPr>
          <w:rtl/>
          <w:lang w:bidi="ar-AE"/>
        </w:rPr>
      </w:pPr>
      <w:r w:rsidRPr="00904FCB">
        <w:rPr>
          <w:rFonts w:hint="cs"/>
          <w:rtl/>
          <w:lang w:bidi="ar-AE"/>
        </w:rPr>
        <w:t xml:space="preserve">وإذا رفضنا أصل </w:t>
      </w:r>
      <w:r w:rsidRPr="00904FCB">
        <w:rPr>
          <w:rFonts w:hint="eastAsia"/>
          <w:rtl/>
        </w:rPr>
        <w:t>«</w:t>
      </w:r>
      <w:r w:rsidRPr="00904FCB">
        <w:rPr>
          <w:rFonts w:hint="cs"/>
          <w:rtl/>
          <w:lang w:bidi="ar-AE"/>
        </w:rPr>
        <w:t>محورية الإنسان</w:t>
      </w:r>
      <w:r w:rsidRPr="00904FCB">
        <w:rPr>
          <w:rFonts w:hint="eastAsia"/>
          <w:rtl/>
        </w:rPr>
        <w:t>»</w:t>
      </w:r>
      <w:r w:rsidRPr="00904FCB">
        <w:rPr>
          <w:rFonts w:hint="cs"/>
          <w:rtl/>
          <w:lang w:bidi="ar-AE"/>
        </w:rPr>
        <w:t xml:space="preserve"> يجب عندها القبول بأصل </w:t>
      </w:r>
      <w:r w:rsidRPr="00904FCB">
        <w:rPr>
          <w:rFonts w:hint="eastAsia"/>
          <w:rtl/>
        </w:rPr>
        <w:t>«</w:t>
      </w:r>
      <w:r w:rsidRPr="00904FCB">
        <w:rPr>
          <w:rFonts w:hint="cs"/>
          <w:rtl/>
          <w:lang w:bidi="ar-AE"/>
        </w:rPr>
        <w:t>عدم التناسب</w:t>
      </w:r>
      <w:r w:rsidRPr="00904FCB">
        <w:rPr>
          <w:rFonts w:hint="eastAsia"/>
          <w:rtl/>
        </w:rPr>
        <w:t>»</w:t>
      </w:r>
      <w:r w:rsidR="0085181B" w:rsidRPr="00904FCB">
        <w:rPr>
          <w:rFonts w:hint="cs"/>
          <w:rtl/>
          <w:lang w:bidi="ar-AE"/>
        </w:rPr>
        <w:t>،</w:t>
      </w:r>
      <w:r w:rsidRPr="00904FCB">
        <w:rPr>
          <w:rFonts w:hint="cs"/>
          <w:rtl/>
          <w:lang w:bidi="ar-AE"/>
        </w:rPr>
        <w:t xml:space="preserve"> واعتباره شرطاً لازماً وضرورياً للتعاطي المسؤول والعادل م</w:t>
      </w:r>
      <w:r w:rsidR="0085181B" w:rsidRPr="00904FCB">
        <w:rPr>
          <w:rFonts w:hint="cs"/>
          <w:rtl/>
          <w:lang w:bidi="ar-AE"/>
        </w:rPr>
        <w:t>ع دورة الحياة والكائنات الحيّة.</w:t>
      </w:r>
    </w:p>
    <w:p w:rsidR="00E83C22" w:rsidRPr="00904FCB" w:rsidRDefault="00FB64C4" w:rsidP="0098428A">
      <w:pPr>
        <w:spacing w:line="400" w:lineRule="exact"/>
        <w:rPr>
          <w:rtl/>
          <w:lang w:bidi="ar-AE"/>
        </w:rPr>
        <w:sectPr w:rsidR="00E83C22" w:rsidRPr="00904FCB" w:rsidSect="00E85587">
          <w:headerReference w:type="even" r:id="rId191"/>
          <w:headerReference w:type="default" r:id="rId192"/>
          <w:footerReference w:type="even" r:id="rId193"/>
          <w:footerReference w:type="default" r:id="rId194"/>
          <w:endnotePr>
            <w:numFmt w:val="decimal"/>
            <w:numRestart w:val="eachSect"/>
          </w:endnotePr>
          <w:type w:val="continuous"/>
          <w:pgSz w:w="11907" w:h="16840" w:code="9"/>
          <w:pgMar w:top="2637" w:right="2438" w:bottom="3686" w:left="2438" w:header="2268" w:footer="3119" w:gutter="0"/>
          <w:cols w:space="720"/>
          <w:titlePg/>
          <w:docGrid w:linePitch="360"/>
        </w:sectPr>
      </w:pPr>
      <w:r w:rsidRPr="00904FCB">
        <w:rPr>
          <w:rFonts w:hint="cs"/>
          <w:rtl/>
          <w:lang w:bidi="ar-AE"/>
        </w:rPr>
        <w:lastRenderedPageBreak/>
        <w:t xml:space="preserve">وفي إطار النظام الأخلاقي القائم على أصل </w:t>
      </w:r>
      <w:r w:rsidRPr="00904FCB">
        <w:rPr>
          <w:rFonts w:hint="eastAsia"/>
          <w:rtl/>
        </w:rPr>
        <w:t>«</w:t>
      </w:r>
      <w:r w:rsidRPr="00904FCB">
        <w:rPr>
          <w:rFonts w:hint="cs"/>
          <w:rtl/>
          <w:lang w:bidi="ar-AE"/>
        </w:rPr>
        <w:t>عدم التناسب</w:t>
      </w:r>
      <w:r w:rsidRPr="00904FCB">
        <w:rPr>
          <w:rFonts w:hint="eastAsia"/>
          <w:rtl/>
        </w:rPr>
        <w:t>»</w:t>
      </w:r>
      <w:r w:rsidRPr="00904FCB">
        <w:rPr>
          <w:rFonts w:hint="cs"/>
          <w:rtl/>
          <w:lang w:bidi="ar-AE"/>
        </w:rPr>
        <w:t xml:space="preserve"> يعتبر النظام الغذائي اللاحم غير لائق من الناحية الأخلاقية</w:t>
      </w:r>
      <w:r w:rsidR="0085181B" w:rsidRPr="00904FCB">
        <w:rPr>
          <w:rFonts w:hint="cs"/>
          <w:rtl/>
          <w:lang w:bidi="ar-AE"/>
        </w:rPr>
        <w:t>.</w:t>
      </w:r>
      <w:r w:rsidRPr="00904FCB">
        <w:rPr>
          <w:rFonts w:hint="cs"/>
          <w:rtl/>
          <w:lang w:bidi="ar-AE"/>
        </w:rPr>
        <w:t xml:space="preserve"> وإن شرط الحياة الأخلاقية يقوم على تغيير النظام الغذائي اللاحم بنظام</w:t>
      </w:r>
      <w:r w:rsidR="0085181B" w:rsidRPr="00904FCB">
        <w:rPr>
          <w:rFonts w:hint="cs"/>
          <w:rtl/>
          <w:lang w:bidi="ar-AE"/>
        </w:rPr>
        <w:t>ٍ</w:t>
      </w:r>
      <w:r w:rsidRPr="00904FCB">
        <w:rPr>
          <w:rFonts w:hint="cs"/>
          <w:rtl/>
          <w:lang w:bidi="ar-AE"/>
        </w:rPr>
        <w:t xml:space="preserve"> غذائي آخر</w:t>
      </w:r>
      <w:r w:rsidR="0085181B" w:rsidRPr="00904FCB">
        <w:rPr>
          <w:rFonts w:hint="cs"/>
          <w:rtl/>
          <w:lang w:bidi="ar-AE"/>
        </w:rPr>
        <w:t>،</w:t>
      </w:r>
      <w:r w:rsidRPr="00904FCB">
        <w:rPr>
          <w:rFonts w:hint="cs"/>
          <w:rtl/>
          <w:lang w:bidi="ar-AE"/>
        </w:rPr>
        <w:t xml:space="preserve"> يكون مؤل</w:t>
      </w:r>
      <w:r w:rsidR="0085181B" w:rsidRPr="00904FCB">
        <w:rPr>
          <w:rFonts w:hint="cs"/>
          <w:rtl/>
          <w:lang w:bidi="ar-AE"/>
        </w:rPr>
        <w:t>َّ</w:t>
      </w:r>
      <w:r w:rsidRPr="00904FCB">
        <w:rPr>
          <w:rFonts w:hint="cs"/>
          <w:rtl/>
          <w:lang w:bidi="ar-AE"/>
        </w:rPr>
        <w:t>فاً بأجمعه من النباتات، أو تؤل</w:t>
      </w:r>
      <w:r w:rsidR="00F77DE1" w:rsidRPr="00904FCB">
        <w:rPr>
          <w:rFonts w:hint="cs"/>
          <w:rtl/>
          <w:lang w:bidi="ar-AE"/>
        </w:rPr>
        <w:t>ِّ</w:t>
      </w:r>
      <w:r w:rsidRPr="00904FCB">
        <w:rPr>
          <w:rFonts w:hint="cs"/>
          <w:rtl/>
          <w:lang w:bidi="ar-AE"/>
        </w:rPr>
        <w:t>ف النباتات الجزء الرئيس فيه، بحيث تصل فيه مقادير ا</w:t>
      </w:r>
      <w:r w:rsidR="0098428A" w:rsidRPr="00904FCB">
        <w:rPr>
          <w:rFonts w:hint="cs"/>
          <w:rtl/>
          <w:lang w:bidi="ar-AE"/>
        </w:rPr>
        <w:t>ستهلاك اللحم إلى أدنى مستوياتها.</w:t>
      </w:r>
    </w:p>
    <w:p w:rsidR="00E83C22" w:rsidRPr="00904FCB" w:rsidRDefault="00E83C22" w:rsidP="0098428A">
      <w:pPr>
        <w:spacing w:line="400" w:lineRule="exact"/>
        <w:ind w:firstLine="0"/>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195"/>
          <w:headerReference w:type="default" r:id="rId196"/>
          <w:footerReference w:type="even" r:id="rId197"/>
          <w:footerReference w:type="default" r:id="rId198"/>
          <w:headerReference w:type="first" r:id="rId199"/>
          <w:endnotePr>
            <w:numFmt w:val="decimal"/>
            <w:numRestart w:val="eachSect"/>
          </w:endnotePr>
          <w:type w:val="continuous"/>
          <w:pgSz w:w="11907" w:h="16840" w:code="9"/>
          <w:pgMar w:top="2637" w:right="2438" w:bottom="3686" w:left="2438" w:header="2268" w:footer="3119" w:gutter="0"/>
          <w:cols w:space="720"/>
          <w:titlePg/>
          <w:docGrid w:linePitch="360"/>
        </w:sectPr>
      </w:pPr>
    </w:p>
    <w:p w:rsidR="00220324" w:rsidRPr="00904FCB" w:rsidRDefault="00220324" w:rsidP="00220324">
      <w:pPr>
        <w:spacing w:line="340" w:lineRule="exact"/>
        <w:ind w:firstLine="561"/>
        <w:rPr>
          <w:rtl/>
        </w:rPr>
      </w:pPr>
      <w:bookmarkStart w:id="68" w:name="_Toc435577225"/>
    </w:p>
    <w:p w:rsidR="00220324" w:rsidRPr="00904FCB" w:rsidRDefault="00220324" w:rsidP="00220324">
      <w:pPr>
        <w:spacing w:line="340" w:lineRule="exact"/>
        <w:ind w:firstLine="561"/>
        <w:rPr>
          <w:rtl/>
        </w:rPr>
      </w:pPr>
    </w:p>
    <w:p w:rsidR="000F7B48" w:rsidRPr="00904FCB" w:rsidRDefault="0098428A" w:rsidP="000F7B48">
      <w:pPr>
        <w:pStyle w:val="10"/>
        <w:spacing w:line="240" w:lineRule="auto"/>
        <w:rPr>
          <w:sz w:val="42"/>
          <w:szCs w:val="42"/>
          <w:rtl/>
          <w:lang w:bidi="fa-IR"/>
        </w:rPr>
      </w:pPr>
      <w:r w:rsidRPr="00904FCB">
        <w:rPr>
          <w:rFonts w:hint="cs"/>
          <w:rtl/>
          <w:lang w:bidi="fa-IR"/>
        </w:rPr>
        <w:t xml:space="preserve">فقه </w:t>
      </w:r>
      <w:r w:rsidR="00336F3B" w:rsidRPr="00904FCB">
        <w:rPr>
          <w:rFonts w:hint="cs"/>
          <w:rtl/>
          <w:lang w:bidi="fa-IR"/>
        </w:rPr>
        <w:t>أ</w:t>
      </w:r>
      <w:r w:rsidR="00336F3B" w:rsidRPr="00904FCB">
        <w:rPr>
          <w:rtl/>
          <w:lang w:bidi="fa-IR"/>
        </w:rPr>
        <w:t>هل</w:t>
      </w:r>
      <w:bookmarkEnd w:id="68"/>
      <w:r w:rsidR="00336F3B" w:rsidRPr="00904FCB">
        <w:rPr>
          <w:rtl/>
          <w:lang w:bidi="fa-IR"/>
        </w:rPr>
        <w:t xml:space="preserve"> </w:t>
      </w:r>
      <w:bookmarkStart w:id="69" w:name="_Toc435577226"/>
      <w:r w:rsidR="00336F3B" w:rsidRPr="00904FCB">
        <w:rPr>
          <w:sz w:val="48"/>
          <w:rtl/>
          <w:lang w:bidi="fa-IR"/>
        </w:rPr>
        <w:t>البغ</w:t>
      </w:r>
      <w:r w:rsidR="00336F3B" w:rsidRPr="00904FCB">
        <w:rPr>
          <w:rFonts w:hint="cs"/>
          <w:sz w:val="48"/>
          <w:rtl/>
          <w:lang w:bidi="fa-IR"/>
        </w:rPr>
        <w:t>ي</w:t>
      </w:r>
      <w:r w:rsidR="00336F3B" w:rsidRPr="00904FCB">
        <w:rPr>
          <w:sz w:val="48"/>
          <w:rtl/>
          <w:lang w:bidi="fa-IR"/>
        </w:rPr>
        <w:t xml:space="preserve"> </w:t>
      </w:r>
    </w:p>
    <w:p w:rsidR="00336F3B" w:rsidRPr="00904FCB" w:rsidRDefault="00336F3B" w:rsidP="000F7B48">
      <w:pPr>
        <w:pStyle w:val="10"/>
        <w:spacing w:line="240" w:lineRule="auto"/>
        <w:rPr>
          <w:rtl/>
          <w:lang w:bidi="fa-IR"/>
        </w:rPr>
      </w:pPr>
      <w:r w:rsidRPr="00904FCB">
        <w:rPr>
          <w:rFonts w:hint="cs"/>
          <w:sz w:val="42"/>
          <w:szCs w:val="42"/>
          <w:rtl/>
          <w:lang w:bidi="fa-IR"/>
        </w:rPr>
        <w:t>في</w:t>
      </w:r>
      <w:r w:rsidRPr="00904FCB">
        <w:rPr>
          <w:sz w:val="42"/>
          <w:szCs w:val="42"/>
          <w:rtl/>
          <w:lang w:bidi="fa-IR"/>
        </w:rPr>
        <w:t xml:space="preserve"> </w:t>
      </w:r>
      <w:r w:rsidRPr="00904FCB">
        <w:rPr>
          <w:rFonts w:hint="cs"/>
          <w:sz w:val="42"/>
          <w:szCs w:val="42"/>
          <w:rtl/>
          <w:lang w:bidi="fa-IR"/>
        </w:rPr>
        <w:t>القرآن</w:t>
      </w:r>
      <w:r w:rsidRPr="00904FCB">
        <w:rPr>
          <w:sz w:val="42"/>
          <w:szCs w:val="42"/>
          <w:rtl/>
          <w:lang w:bidi="fa-IR"/>
        </w:rPr>
        <w:t xml:space="preserve"> </w:t>
      </w:r>
      <w:r w:rsidRPr="00904FCB">
        <w:rPr>
          <w:rFonts w:hint="cs"/>
          <w:sz w:val="42"/>
          <w:szCs w:val="42"/>
          <w:rtl/>
          <w:lang w:bidi="fa-IR"/>
        </w:rPr>
        <w:t>والسنّة</w:t>
      </w:r>
      <w:bookmarkEnd w:id="69"/>
    </w:p>
    <w:p w:rsidR="00336F3B" w:rsidRPr="00904FCB" w:rsidRDefault="00336F3B" w:rsidP="007A21AA">
      <w:pPr>
        <w:spacing w:line="400" w:lineRule="exact"/>
        <w:rPr>
          <w:rtl/>
        </w:rPr>
      </w:pPr>
    </w:p>
    <w:p w:rsidR="00336F3B" w:rsidRPr="00904FCB" w:rsidRDefault="0098428A" w:rsidP="007A21AA">
      <w:pPr>
        <w:pStyle w:val="Author"/>
        <w:spacing w:line="400" w:lineRule="exact"/>
        <w:rPr>
          <w:rtl/>
        </w:rPr>
      </w:pPr>
      <w:bookmarkStart w:id="70" w:name="_Toc435577227"/>
      <w:r w:rsidRPr="00904FCB">
        <w:rPr>
          <w:rFonts w:hint="cs"/>
          <w:rtl/>
        </w:rPr>
        <w:t xml:space="preserve">د. </w:t>
      </w:r>
      <w:r w:rsidR="00385D49">
        <w:rPr>
          <w:rFonts w:hint="cs"/>
          <w:rtl/>
        </w:rPr>
        <w:t xml:space="preserve">مهرناز </w:t>
      </w:r>
      <w:r w:rsidR="00336F3B" w:rsidRPr="00385D49">
        <w:rPr>
          <w:rFonts w:ascii="Mosawi" w:eastAsiaTheme="minorHAnsi" w:hAnsi="Mosawi" w:cs="Abz-3 (Yagut)" w:hint="cs"/>
          <w:b/>
          <w:bCs/>
          <w:sz w:val="25"/>
          <w:szCs w:val="25"/>
          <w:rtl/>
        </w:rPr>
        <w:t>گ</w:t>
      </w:r>
      <w:r w:rsidR="00385D49">
        <w:rPr>
          <w:rFonts w:ascii="Mosawi" w:eastAsiaTheme="minorHAnsi" w:hAnsi="Mosawi" w:cs="Abz-3 (Yagut)" w:hint="cs"/>
          <w:b/>
          <w:bCs/>
          <w:sz w:val="25"/>
          <w:szCs w:val="25"/>
          <w:rtl/>
        </w:rPr>
        <w:t>ُ</w:t>
      </w:r>
      <w:r w:rsidR="00336F3B" w:rsidRPr="00385D49">
        <w:rPr>
          <w:rFonts w:ascii="Mosawi" w:eastAsiaTheme="minorHAnsi" w:hAnsi="Mosawi" w:cs="Abz-3 (Yagut)" w:hint="cs"/>
          <w:b/>
          <w:bCs/>
          <w:sz w:val="25"/>
          <w:szCs w:val="25"/>
          <w:rtl/>
        </w:rPr>
        <w:t>لي</w:t>
      </w:r>
      <w:r w:rsidR="00336F3B" w:rsidRPr="00904FCB">
        <w:rPr>
          <w:rFonts w:cs="Taher" w:hint="cs"/>
          <w:vertAlign w:val="superscript"/>
          <w:rtl/>
        </w:rPr>
        <w:t>(</w:t>
      </w:r>
      <w:r w:rsidR="00336F3B" w:rsidRPr="00904FCB">
        <w:rPr>
          <w:rFonts w:cs="Taher"/>
          <w:vertAlign w:val="superscript"/>
          <w:rtl/>
        </w:rPr>
        <w:footnoteReference w:customMarkFollows="1" w:id="21"/>
        <w:t>*)</w:t>
      </w:r>
      <w:bookmarkEnd w:id="70"/>
    </w:p>
    <w:p w:rsidR="00336F3B" w:rsidRPr="00904FCB" w:rsidRDefault="00336F3B" w:rsidP="00220324">
      <w:pPr>
        <w:spacing w:line="340" w:lineRule="exact"/>
        <w:ind w:firstLine="561"/>
        <w:rPr>
          <w:rtl/>
        </w:rPr>
      </w:pPr>
    </w:p>
    <w:p w:rsidR="00336F3B" w:rsidRPr="00904FCB" w:rsidRDefault="00336F3B" w:rsidP="007A21AA">
      <w:pPr>
        <w:pStyle w:val="31"/>
        <w:spacing w:line="400" w:lineRule="exact"/>
        <w:rPr>
          <w:color w:val="auto"/>
          <w:rtl/>
          <w:lang w:bidi="fa-IR"/>
        </w:rPr>
      </w:pPr>
      <w:r w:rsidRPr="00904FCB">
        <w:rPr>
          <w:color w:val="auto"/>
          <w:rtl/>
          <w:lang w:bidi="fa-IR"/>
        </w:rPr>
        <w:t>مقد</w:t>
      </w:r>
      <w:r w:rsidR="002F6615" w:rsidRPr="00904FCB">
        <w:rPr>
          <w:rFonts w:hint="cs"/>
          <w:color w:val="auto"/>
          <w:rtl/>
          <w:lang w:bidi="fa-IR"/>
        </w:rPr>
        <w:t>ّ</w:t>
      </w:r>
      <w:r w:rsidRPr="00904FCB">
        <w:rPr>
          <w:color w:val="auto"/>
          <w:rtl/>
          <w:lang w:bidi="fa-IR"/>
        </w:rPr>
        <w:t>مة</w:t>
      </w:r>
    </w:p>
    <w:p w:rsidR="00336F3B" w:rsidRPr="00904FCB" w:rsidRDefault="00336F3B" w:rsidP="00220324">
      <w:pPr>
        <w:spacing w:line="380" w:lineRule="exact"/>
        <w:ind w:firstLine="561"/>
        <w:rPr>
          <w:sz w:val="27"/>
          <w:rtl/>
          <w:lang w:bidi="fa-IR"/>
        </w:rPr>
      </w:pPr>
      <w:r w:rsidRPr="00904FCB">
        <w:rPr>
          <w:rFonts w:ascii="Times New Roman" w:hAnsi="Times New Roman"/>
          <w:sz w:val="27"/>
          <w:rtl/>
          <w:lang w:bidi="fa-IR"/>
        </w:rPr>
        <w:t>إن البغ</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أهمّ</w:t>
      </w:r>
      <w:r w:rsidRPr="00904FCB">
        <w:rPr>
          <w:rFonts w:ascii="Times New Roman" w:hAnsi="Times New Roman"/>
          <w:sz w:val="27"/>
          <w:rtl/>
          <w:lang w:bidi="fa-IR"/>
        </w:rPr>
        <w:t xml:space="preserve"> المسائل ف</w:t>
      </w:r>
      <w:r w:rsidRPr="00904FCB">
        <w:rPr>
          <w:rFonts w:ascii="Times New Roman" w:hAnsi="Times New Roman" w:hint="cs"/>
          <w:sz w:val="27"/>
          <w:rtl/>
          <w:lang w:bidi="fa-IR"/>
        </w:rPr>
        <w:t>ي</w:t>
      </w:r>
      <w:r w:rsidRPr="00904FCB">
        <w:rPr>
          <w:rFonts w:ascii="Times New Roman" w:hAnsi="Times New Roman"/>
          <w:sz w:val="27"/>
          <w:rtl/>
          <w:lang w:bidi="fa-IR"/>
        </w:rPr>
        <w:t xml:space="preserve"> </w:t>
      </w:r>
      <w:r w:rsidRPr="00904FCB">
        <w:rPr>
          <w:rFonts w:ascii="Times New Roman" w:hAnsi="Times New Roman" w:hint="cs"/>
          <w:sz w:val="27"/>
          <w:rtl/>
          <w:lang w:bidi="fa-IR"/>
        </w:rPr>
        <w:t>الفقه</w:t>
      </w:r>
      <w:r w:rsidRPr="00904FCB">
        <w:rPr>
          <w:rFonts w:ascii="Times New Roman" w:hAnsi="Times New Roman"/>
          <w:sz w:val="27"/>
          <w:rtl/>
          <w:lang w:bidi="fa-IR"/>
        </w:rPr>
        <w:t xml:space="preserve"> </w:t>
      </w:r>
      <w:r w:rsidRPr="00904FCB">
        <w:rPr>
          <w:rFonts w:ascii="Times New Roman" w:hAnsi="Times New Roman" w:hint="cs"/>
          <w:sz w:val="27"/>
          <w:rtl/>
          <w:lang w:bidi="fa-IR"/>
        </w:rPr>
        <w:t>الإسلامي</w:t>
      </w:r>
      <w:r w:rsidR="00F605E0" w:rsidRPr="00904FCB">
        <w:rPr>
          <w:rFonts w:ascii="Times New Roman" w:hAnsi="Times New Roman" w:hint="cs"/>
          <w:sz w:val="27"/>
          <w:rtl/>
          <w:lang w:bidi="fa-IR"/>
        </w:rPr>
        <w:t>.</w:t>
      </w:r>
      <w:r w:rsidRPr="00904FCB">
        <w:rPr>
          <w:rFonts w:ascii="Times New Roman" w:hAnsi="Times New Roman" w:hint="cs"/>
          <w:sz w:val="27"/>
          <w:rtl/>
          <w:lang w:bidi="fa-IR"/>
        </w:rPr>
        <w:t xml:space="preserve"> وعل</w:t>
      </w:r>
      <w:r w:rsidR="00F605E0"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رأي</w:t>
      </w:r>
      <w:r w:rsidRPr="00904FCB">
        <w:rPr>
          <w:rFonts w:ascii="Times New Roman" w:hAnsi="Times New Roman"/>
          <w:sz w:val="27"/>
          <w:rtl/>
          <w:lang w:bidi="fa-IR"/>
        </w:rPr>
        <w:t xml:space="preserve"> </w:t>
      </w:r>
      <w:r w:rsidRPr="00904FCB">
        <w:rPr>
          <w:rFonts w:ascii="Times New Roman" w:hAnsi="Times New Roman" w:hint="cs"/>
          <w:sz w:val="27"/>
          <w:rtl/>
          <w:lang w:bidi="fa-IR"/>
        </w:rPr>
        <w:t>كلا</w:t>
      </w:r>
      <w:r w:rsidRPr="00904FCB">
        <w:rPr>
          <w:rFonts w:ascii="Times New Roman" w:hAnsi="Times New Roman"/>
          <w:sz w:val="27"/>
          <w:rtl/>
          <w:lang w:bidi="fa-IR"/>
        </w:rPr>
        <w:t xml:space="preserve"> </w:t>
      </w:r>
      <w:r w:rsidRPr="00904FCB">
        <w:rPr>
          <w:rFonts w:ascii="Times New Roman" w:hAnsi="Times New Roman" w:hint="cs"/>
          <w:sz w:val="27"/>
          <w:rtl/>
          <w:lang w:bidi="fa-IR"/>
        </w:rPr>
        <w:t>الفريقين</w:t>
      </w:r>
      <w:r w:rsidRPr="00904FCB">
        <w:rPr>
          <w:rFonts w:ascii="Times New Roman" w:hAnsi="Times New Roman"/>
          <w:sz w:val="27"/>
          <w:rtl/>
          <w:lang w:bidi="fa-IR"/>
        </w:rPr>
        <w:t xml:space="preserve"> </w:t>
      </w:r>
      <w:r w:rsidRPr="00904FCB">
        <w:rPr>
          <w:rFonts w:ascii="Times New Roman" w:hAnsi="Times New Roman" w:hint="cs"/>
          <w:sz w:val="27"/>
          <w:rtl/>
          <w:lang w:bidi="fa-IR"/>
        </w:rPr>
        <w:t>ي</w:t>
      </w:r>
      <w:r w:rsidR="00F605E0" w:rsidRPr="00904FCB">
        <w:rPr>
          <w:rFonts w:ascii="Times New Roman" w:hAnsi="Times New Roman" w:hint="cs"/>
          <w:sz w:val="27"/>
          <w:rtl/>
          <w:lang w:bidi="fa-IR"/>
        </w:rPr>
        <w:t>ُ</w:t>
      </w:r>
      <w:r w:rsidRPr="00904FCB">
        <w:rPr>
          <w:rFonts w:ascii="Times New Roman" w:hAnsi="Times New Roman" w:hint="cs"/>
          <w:sz w:val="27"/>
          <w:rtl/>
          <w:lang w:bidi="fa-IR"/>
        </w:rPr>
        <w:t>طلَق</w:t>
      </w:r>
      <w:r w:rsidRPr="00904FCB">
        <w:rPr>
          <w:rFonts w:ascii="Times New Roman" w:hAnsi="Times New Roman"/>
          <w:sz w:val="27"/>
          <w:rtl/>
          <w:lang w:bidi="fa-IR"/>
        </w:rPr>
        <w:t xml:space="preserve"> </w:t>
      </w:r>
      <w:r w:rsidRPr="00904FCB">
        <w:rPr>
          <w:rFonts w:ascii="Times New Roman" w:hAnsi="Times New Roman" w:hint="cs"/>
          <w:sz w:val="27"/>
          <w:rtl/>
          <w:lang w:bidi="fa-IR"/>
        </w:rPr>
        <w:t>«الباغي»</w:t>
      </w:r>
      <w:r w:rsidRPr="00904FCB">
        <w:rPr>
          <w:rFonts w:ascii="Times New Roman" w:hAnsi="Times New Roman"/>
          <w:sz w:val="27"/>
          <w:rtl/>
          <w:lang w:bidi="fa-IR"/>
        </w:rPr>
        <w:t xml:space="preserve"> </w:t>
      </w:r>
      <w:r w:rsidRPr="00904FCB">
        <w:rPr>
          <w:rFonts w:ascii="Times New Roman" w:hAnsi="Times New Roman" w:hint="cs"/>
          <w:sz w:val="27"/>
          <w:rtl/>
          <w:lang w:bidi="fa-IR"/>
        </w:rPr>
        <w:t>عل</w:t>
      </w:r>
      <w:r w:rsidR="00F605E0"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م</w:t>
      </w:r>
      <w:r w:rsidR="00F605E0" w:rsidRPr="00904FCB">
        <w:rPr>
          <w:rFonts w:ascii="Times New Roman" w:hAnsi="Times New Roman" w:hint="cs"/>
          <w:sz w:val="27"/>
          <w:rtl/>
          <w:lang w:bidi="fa-IR"/>
        </w:rPr>
        <w:t>َ</w:t>
      </w:r>
      <w:r w:rsidRPr="00904FCB">
        <w:rPr>
          <w:rFonts w:ascii="Times New Roman" w:hAnsi="Times New Roman" w:hint="cs"/>
          <w:sz w:val="27"/>
          <w:rtl/>
          <w:lang w:bidi="fa-IR"/>
        </w:rPr>
        <w:t>ن</w:t>
      </w:r>
      <w:r w:rsidR="00F605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نقض</w:t>
      </w:r>
      <w:r w:rsidRPr="00904FCB">
        <w:rPr>
          <w:rFonts w:ascii="Times New Roman" w:hAnsi="Times New Roman"/>
          <w:sz w:val="27"/>
          <w:rtl/>
          <w:lang w:bidi="fa-IR"/>
        </w:rPr>
        <w:t xml:space="preserve"> </w:t>
      </w:r>
      <w:r w:rsidRPr="00904FCB">
        <w:rPr>
          <w:rFonts w:ascii="Times New Roman" w:hAnsi="Times New Roman" w:hint="cs"/>
          <w:sz w:val="27"/>
          <w:rtl/>
          <w:lang w:bidi="fa-IR"/>
        </w:rPr>
        <w:t>بيعته</w:t>
      </w:r>
      <w:r w:rsidRPr="00904FCB">
        <w:rPr>
          <w:rFonts w:ascii="Times New Roman" w:hAnsi="Times New Roman"/>
          <w:sz w:val="27"/>
          <w:rtl/>
          <w:lang w:bidi="fa-IR"/>
        </w:rPr>
        <w:t xml:space="preserve"> </w:t>
      </w:r>
      <w:r w:rsidRPr="00904FCB">
        <w:rPr>
          <w:rFonts w:ascii="Times New Roman" w:hAnsi="Times New Roman" w:hint="cs"/>
          <w:sz w:val="27"/>
          <w:rtl/>
          <w:lang w:bidi="fa-IR"/>
        </w:rPr>
        <w:t>مع</w:t>
      </w:r>
      <w:r w:rsidRPr="00904FCB">
        <w:rPr>
          <w:rFonts w:ascii="Times New Roman" w:hAnsi="Times New Roman"/>
          <w:sz w:val="27"/>
          <w:rtl/>
          <w:lang w:bidi="fa-IR"/>
        </w:rPr>
        <w:t xml:space="preserve"> </w:t>
      </w:r>
      <w:r w:rsidRPr="00904FCB">
        <w:rPr>
          <w:rFonts w:ascii="Times New Roman" w:hAnsi="Times New Roman" w:hint="cs"/>
          <w:sz w:val="27"/>
          <w:rtl/>
          <w:lang w:bidi="fa-IR"/>
        </w:rPr>
        <w:t>الإمام</w:t>
      </w:r>
      <w:r w:rsidRPr="00904FCB">
        <w:rPr>
          <w:rFonts w:ascii="Times New Roman" w:hAnsi="Times New Roman"/>
          <w:sz w:val="27"/>
          <w:rtl/>
          <w:lang w:bidi="fa-IR"/>
        </w:rPr>
        <w:t xml:space="preserve"> </w:t>
      </w:r>
      <w:r w:rsidRPr="00904FCB">
        <w:rPr>
          <w:rFonts w:ascii="Times New Roman" w:hAnsi="Times New Roman" w:hint="cs"/>
          <w:sz w:val="27"/>
          <w:rtl/>
          <w:lang w:bidi="fa-IR"/>
        </w:rPr>
        <w:t>المعصوم</w:t>
      </w:r>
      <w:r w:rsidRPr="00904FCB">
        <w:rPr>
          <w:rFonts w:ascii="Times New Roman" w:hAnsi="Times New Roman"/>
          <w:sz w:val="27"/>
          <w:rtl/>
          <w:lang w:bidi="fa-IR"/>
        </w:rPr>
        <w:t xml:space="preserve"> </w:t>
      </w:r>
      <w:r w:rsidRPr="00904FCB">
        <w:rPr>
          <w:rFonts w:ascii="Times New Roman" w:hAnsi="Times New Roman" w:hint="cs"/>
          <w:sz w:val="27"/>
          <w:rtl/>
          <w:lang w:bidi="fa-IR"/>
        </w:rPr>
        <w:t>أو</w:t>
      </w:r>
      <w:r w:rsidRPr="00904FCB">
        <w:rPr>
          <w:rFonts w:ascii="Times New Roman" w:hAnsi="Times New Roman"/>
          <w:sz w:val="27"/>
          <w:rtl/>
          <w:lang w:bidi="fa-IR"/>
        </w:rPr>
        <w:t xml:space="preserve"> </w:t>
      </w:r>
      <w:r w:rsidRPr="00904FCB">
        <w:rPr>
          <w:rFonts w:ascii="Times New Roman" w:hAnsi="Times New Roman" w:hint="cs"/>
          <w:sz w:val="27"/>
          <w:rtl/>
          <w:lang w:bidi="fa-IR"/>
        </w:rPr>
        <w:t>الحاكم</w:t>
      </w:r>
      <w:r w:rsidR="00F605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وخرج</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طاعته</w:t>
      </w:r>
      <w:r w:rsidRPr="00904FCB">
        <w:rPr>
          <w:rFonts w:ascii="Times New Roman" w:hAnsi="Times New Roman"/>
          <w:sz w:val="27"/>
          <w:rtl/>
          <w:lang w:bidi="fa-IR"/>
        </w:rPr>
        <w:t xml:space="preserve">. </w:t>
      </w:r>
      <w:r w:rsidRPr="00904FCB">
        <w:rPr>
          <w:rFonts w:ascii="Times New Roman" w:hAnsi="Times New Roman" w:hint="cs"/>
          <w:sz w:val="27"/>
          <w:rtl/>
          <w:lang w:bidi="fa-IR"/>
        </w:rPr>
        <w:t>وفي</w:t>
      </w:r>
      <w:r w:rsidRPr="00904FCB">
        <w:rPr>
          <w:rFonts w:ascii="Times New Roman" w:hAnsi="Times New Roman"/>
          <w:sz w:val="27"/>
          <w:rtl/>
          <w:lang w:bidi="fa-IR"/>
        </w:rPr>
        <w:t xml:space="preserve"> فقه أهل السنة </w:t>
      </w:r>
      <w:r w:rsidRPr="00904FCB">
        <w:rPr>
          <w:rFonts w:ascii="Times New Roman" w:hAnsi="Times New Roman" w:hint="cs"/>
          <w:sz w:val="27"/>
          <w:rtl/>
          <w:lang w:bidi="fa-IR"/>
        </w:rPr>
        <w:t>يجري</w:t>
      </w:r>
      <w:r w:rsidRPr="00904FCB">
        <w:rPr>
          <w:rFonts w:ascii="Times New Roman" w:hAnsi="Times New Roman"/>
          <w:sz w:val="27"/>
          <w:rtl/>
          <w:lang w:bidi="fa-IR"/>
        </w:rPr>
        <w:t xml:space="preserve"> </w:t>
      </w:r>
      <w:r w:rsidRPr="00904FCB">
        <w:rPr>
          <w:rFonts w:ascii="Times New Roman" w:hAnsi="Times New Roman" w:hint="cs"/>
          <w:sz w:val="27"/>
          <w:rtl/>
          <w:lang w:bidi="fa-IR"/>
        </w:rPr>
        <w:t>عل</w:t>
      </w:r>
      <w:r w:rsidR="00F605E0" w:rsidRPr="00904FCB">
        <w:rPr>
          <w:rFonts w:ascii="Times New Roman" w:hAnsi="Times New Roman" w:hint="cs"/>
          <w:sz w:val="27"/>
          <w:rtl/>
          <w:lang w:bidi="fa-IR"/>
        </w:rPr>
        <w:t>ى</w:t>
      </w:r>
      <w:r w:rsidRPr="00904FCB">
        <w:rPr>
          <w:rFonts w:ascii="Times New Roman" w:hAnsi="Times New Roman"/>
          <w:sz w:val="27"/>
          <w:rtl/>
          <w:lang w:bidi="fa-IR"/>
        </w:rPr>
        <w:t xml:space="preserve"> </w:t>
      </w:r>
      <w:r w:rsidRPr="00904FCB">
        <w:rPr>
          <w:rFonts w:ascii="Times New Roman" w:hAnsi="Times New Roman" w:hint="cs"/>
          <w:sz w:val="27"/>
          <w:rtl/>
          <w:lang w:bidi="fa-IR"/>
        </w:rPr>
        <w:t>البغاة</w:t>
      </w:r>
      <w:r w:rsidRPr="00904FCB">
        <w:rPr>
          <w:rFonts w:ascii="Times New Roman" w:hAnsi="Times New Roman"/>
          <w:sz w:val="27"/>
          <w:rtl/>
          <w:lang w:bidi="fa-IR"/>
        </w:rPr>
        <w:t xml:space="preserve"> </w:t>
      </w:r>
      <w:r w:rsidRPr="00904FCB">
        <w:rPr>
          <w:rFonts w:ascii="Times New Roman" w:hAnsi="Times New Roman" w:hint="cs"/>
          <w:sz w:val="27"/>
          <w:rtl/>
          <w:lang w:bidi="fa-IR"/>
        </w:rPr>
        <w:t>أحكام</w:t>
      </w:r>
      <w:r w:rsidRPr="00904FCB">
        <w:rPr>
          <w:rFonts w:ascii="Times New Roman" w:hAnsi="Times New Roman"/>
          <w:sz w:val="27"/>
          <w:rtl/>
          <w:lang w:bidi="fa-IR"/>
        </w:rPr>
        <w:t xml:space="preserve"> </w:t>
      </w:r>
      <w:r w:rsidRPr="00904FCB">
        <w:rPr>
          <w:rFonts w:ascii="Times New Roman" w:hAnsi="Times New Roman" w:hint="cs"/>
          <w:sz w:val="27"/>
          <w:rtl/>
          <w:lang w:bidi="fa-IR"/>
        </w:rPr>
        <w:t>المسلمين</w:t>
      </w:r>
      <w:r w:rsidR="00F605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جواز</w:t>
      </w:r>
      <w:r w:rsidRPr="00904FCB">
        <w:rPr>
          <w:rFonts w:ascii="Times New Roman" w:hAnsi="Times New Roman"/>
          <w:sz w:val="27"/>
          <w:rtl/>
          <w:lang w:bidi="fa-IR"/>
        </w:rPr>
        <w:t xml:space="preserve"> </w:t>
      </w:r>
      <w:r w:rsidRPr="00904FCB">
        <w:rPr>
          <w:rFonts w:ascii="Times New Roman" w:hAnsi="Times New Roman" w:hint="cs"/>
          <w:sz w:val="27"/>
          <w:rtl/>
          <w:lang w:bidi="fa-IR"/>
        </w:rPr>
        <w:t>أكل</w:t>
      </w:r>
      <w:r w:rsidRPr="00904FCB">
        <w:rPr>
          <w:rFonts w:ascii="Times New Roman" w:hAnsi="Times New Roman"/>
          <w:sz w:val="27"/>
          <w:rtl/>
          <w:lang w:bidi="fa-IR"/>
        </w:rPr>
        <w:t xml:space="preserve"> </w:t>
      </w:r>
      <w:r w:rsidRPr="00904FCB">
        <w:rPr>
          <w:rFonts w:ascii="Times New Roman" w:hAnsi="Times New Roman" w:hint="cs"/>
          <w:sz w:val="27"/>
          <w:rtl/>
          <w:lang w:bidi="fa-IR"/>
        </w:rPr>
        <w:t>ذبائحهم</w:t>
      </w:r>
      <w:r w:rsidR="00F605E0" w:rsidRPr="00904FCB">
        <w:rPr>
          <w:rFonts w:ascii="Times New Roman" w:hAnsi="Times New Roman" w:hint="cs"/>
          <w:sz w:val="27"/>
          <w:rtl/>
          <w:lang w:bidi="fa-IR"/>
        </w:rPr>
        <w:t>،</w:t>
      </w:r>
      <w:r w:rsidRPr="00904FCB">
        <w:rPr>
          <w:rFonts w:ascii="Times New Roman" w:hAnsi="Times New Roman"/>
          <w:sz w:val="27"/>
          <w:rtl/>
          <w:lang w:bidi="fa-IR"/>
        </w:rPr>
        <w:t xml:space="preserve"> و</w:t>
      </w:r>
      <w:r w:rsidRPr="00904FCB">
        <w:rPr>
          <w:rFonts w:ascii="Times New Roman" w:hAnsi="Times New Roman" w:hint="cs"/>
          <w:sz w:val="27"/>
          <w:rtl/>
          <w:lang w:bidi="fa-IR"/>
        </w:rPr>
        <w:t>جواز</w:t>
      </w:r>
      <w:r w:rsidRPr="00904FCB">
        <w:rPr>
          <w:rFonts w:ascii="Times New Roman" w:hAnsi="Times New Roman"/>
          <w:sz w:val="27"/>
          <w:rtl/>
          <w:lang w:bidi="fa-IR"/>
        </w:rPr>
        <w:t xml:space="preserve"> </w:t>
      </w:r>
      <w:r w:rsidRPr="00904FCB">
        <w:rPr>
          <w:rFonts w:ascii="Times New Roman" w:hAnsi="Times New Roman" w:hint="cs"/>
          <w:sz w:val="27"/>
          <w:rtl/>
          <w:lang w:bidi="fa-IR"/>
        </w:rPr>
        <w:t>نكاحهم</w:t>
      </w:r>
      <w:r w:rsidR="00F605E0" w:rsidRPr="00904FCB">
        <w:rPr>
          <w:rFonts w:ascii="Times New Roman" w:hAnsi="Times New Roman" w:hint="cs"/>
          <w:sz w:val="27"/>
          <w:rtl/>
          <w:lang w:bidi="fa-IR"/>
        </w:rPr>
        <w:t>،</w:t>
      </w:r>
      <w:r w:rsidRPr="00904FCB">
        <w:rPr>
          <w:rFonts w:ascii="Times New Roman" w:hAnsi="Times New Roman"/>
          <w:sz w:val="27"/>
          <w:rtl/>
          <w:lang w:bidi="fa-IR"/>
        </w:rPr>
        <w:t xml:space="preserve"> و</w:t>
      </w:r>
      <w:r w:rsidRPr="00904FCB">
        <w:rPr>
          <w:rFonts w:ascii="Times New Roman" w:hAnsi="Times New Roman" w:hint="cs"/>
          <w:sz w:val="27"/>
          <w:rtl/>
          <w:lang w:bidi="fa-IR"/>
        </w:rPr>
        <w:t>حرمة</w:t>
      </w:r>
      <w:r w:rsidRPr="00904FCB">
        <w:rPr>
          <w:rFonts w:ascii="Times New Roman" w:hAnsi="Times New Roman"/>
          <w:sz w:val="27"/>
          <w:rtl/>
          <w:lang w:bidi="fa-IR"/>
        </w:rPr>
        <w:t xml:space="preserve"> </w:t>
      </w:r>
      <w:r w:rsidRPr="00904FCB">
        <w:rPr>
          <w:rFonts w:ascii="Times New Roman" w:hAnsi="Times New Roman" w:hint="cs"/>
          <w:sz w:val="27"/>
          <w:rtl/>
          <w:lang w:bidi="fa-IR"/>
        </w:rPr>
        <w:t>أموالهم</w:t>
      </w:r>
      <w:r w:rsidRPr="00904FCB">
        <w:rPr>
          <w:rFonts w:ascii="Times New Roman" w:hAnsi="Times New Roman"/>
          <w:sz w:val="27"/>
          <w:rtl/>
          <w:lang w:bidi="fa-IR"/>
        </w:rPr>
        <w:t xml:space="preserve"> و</w:t>
      </w:r>
      <w:r w:rsidRPr="00904FCB">
        <w:rPr>
          <w:rFonts w:ascii="Times New Roman" w:hAnsi="Times New Roman" w:hint="cs"/>
          <w:sz w:val="27"/>
          <w:rtl/>
          <w:lang w:bidi="fa-IR"/>
        </w:rPr>
        <w:t>أعراضهم</w:t>
      </w:r>
      <w:r w:rsidR="00F605E0" w:rsidRPr="00904FCB">
        <w:rPr>
          <w:rFonts w:ascii="Times New Roman" w:hAnsi="Times New Roman" w:hint="cs"/>
          <w:sz w:val="27"/>
          <w:rtl/>
          <w:lang w:bidi="fa-IR"/>
        </w:rPr>
        <w:t>،</w:t>
      </w:r>
      <w:r w:rsidRPr="00904FCB">
        <w:rPr>
          <w:rFonts w:ascii="Times New Roman" w:hAnsi="Times New Roman"/>
          <w:sz w:val="27"/>
          <w:rtl/>
          <w:lang w:bidi="fa-IR"/>
        </w:rPr>
        <w:t xml:space="preserve"> </w:t>
      </w:r>
      <w:r w:rsidRPr="00904FCB">
        <w:rPr>
          <w:rFonts w:ascii="Times New Roman" w:hAnsi="Times New Roman" w:hint="cs"/>
          <w:sz w:val="27"/>
          <w:rtl/>
          <w:lang w:bidi="fa-IR"/>
        </w:rPr>
        <w:t>إلا</w:t>
      </w:r>
      <w:r w:rsidRPr="00904FCB">
        <w:rPr>
          <w:rFonts w:ascii="Times New Roman" w:hAnsi="Times New Roman"/>
          <w:sz w:val="27"/>
          <w:rtl/>
          <w:lang w:bidi="fa-IR"/>
        </w:rPr>
        <w:t xml:space="preserve"> </w:t>
      </w:r>
      <w:r w:rsidRPr="00904FCB">
        <w:rPr>
          <w:rFonts w:ascii="Times New Roman" w:hAnsi="Times New Roman" w:hint="cs"/>
          <w:sz w:val="27"/>
          <w:rtl/>
          <w:lang w:bidi="fa-IR"/>
        </w:rPr>
        <w:t>أن</w:t>
      </w:r>
      <w:r w:rsidRPr="00904FCB">
        <w:rPr>
          <w:rFonts w:ascii="Times New Roman" w:hAnsi="Times New Roman"/>
          <w:sz w:val="27"/>
          <w:rtl/>
          <w:lang w:bidi="fa-IR"/>
        </w:rPr>
        <w:t xml:space="preserve"> </w:t>
      </w:r>
      <w:r w:rsidRPr="00904FCB">
        <w:rPr>
          <w:rFonts w:ascii="Times New Roman" w:hAnsi="Times New Roman" w:hint="cs"/>
          <w:sz w:val="27"/>
          <w:rtl/>
          <w:lang w:bidi="fa-IR"/>
        </w:rPr>
        <w:t>يكون</w:t>
      </w:r>
      <w:r w:rsidRPr="00904FCB">
        <w:rPr>
          <w:rFonts w:ascii="Times New Roman" w:hAnsi="Times New Roman"/>
          <w:sz w:val="27"/>
          <w:rtl/>
          <w:lang w:bidi="fa-IR"/>
        </w:rPr>
        <w:t xml:space="preserve"> </w:t>
      </w:r>
      <w:r w:rsidRPr="00904FCB">
        <w:rPr>
          <w:rFonts w:ascii="Times New Roman" w:hAnsi="Times New Roman" w:hint="cs"/>
          <w:sz w:val="27"/>
          <w:rtl/>
          <w:lang w:bidi="fa-IR"/>
        </w:rPr>
        <w:t>ناصبياً</w:t>
      </w:r>
      <w:r w:rsidRPr="00904FCB">
        <w:rPr>
          <w:rFonts w:ascii="Times New Roman" w:hAnsi="Times New Roman"/>
          <w:sz w:val="27"/>
          <w:rtl/>
          <w:lang w:bidi="fa-IR"/>
        </w:rPr>
        <w:t xml:space="preserve">. </w:t>
      </w:r>
      <w:r w:rsidRPr="00904FCB">
        <w:rPr>
          <w:rFonts w:ascii="Times New Roman" w:hAnsi="Times New Roman" w:hint="cs"/>
          <w:sz w:val="27"/>
          <w:rtl/>
          <w:lang w:bidi="fa-IR"/>
        </w:rPr>
        <w:t>أما</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فقه</w:t>
      </w:r>
      <w:r w:rsidRPr="00904FCB">
        <w:rPr>
          <w:rFonts w:ascii="Times New Roman" w:hAnsi="Times New Roman"/>
          <w:sz w:val="27"/>
          <w:rtl/>
          <w:lang w:bidi="fa-IR"/>
        </w:rPr>
        <w:t xml:space="preserve"> </w:t>
      </w:r>
      <w:r w:rsidRPr="00904FCB">
        <w:rPr>
          <w:rFonts w:ascii="Times New Roman" w:hAnsi="Times New Roman" w:hint="cs"/>
          <w:sz w:val="27"/>
          <w:rtl/>
          <w:lang w:bidi="fa-IR"/>
        </w:rPr>
        <w:t>الشيعة</w:t>
      </w:r>
      <w:r w:rsidRPr="00904FCB">
        <w:rPr>
          <w:rFonts w:ascii="Times New Roman" w:hAnsi="Times New Roman"/>
          <w:sz w:val="27"/>
          <w:rtl/>
          <w:lang w:bidi="fa-IR"/>
        </w:rPr>
        <w:t xml:space="preserve"> </w:t>
      </w:r>
      <w:r w:rsidR="00F605E0" w:rsidRPr="00904FCB">
        <w:rPr>
          <w:rFonts w:ascii="Times New Roman" w:hAnsi="Times New Roman" w:hint="cs"/>
          <w:sz w:val="27"/>
          <w:rtl/>
          <w:lang w:bidi="fa-IR"/>
        </w:rPr>
        <w:t>ف</w:t>
      </w:r>
      <w:r w:rsidRPr="00904FCB">
        <w:rPr>
          <w:rFonts w:ascii="Times New Roman" w:hAnsi="Times New Roman" w:hint="cs"/>
          <w:sz w:val="27"/>
          <w:rtl/>
          <w:lang w:bidi="fa-IR"/>
        </w:rPr>
        <w:t>ي</w:t>
      </w:r>
      <w:r w:rsidR="00F605E0" w:rsidRPr="00904FCB">
        <w:rPr>
          <w:rFonts w:ascii="Times New Roman" w:hAnsi="Times New Roman" w:hint="cs"/>
          <w:sz w:val="27"/>
          <w:rtl/>
          <w:lang w:bidi="fa-IR"/>
        </w:rPr>
        <w:t>ُ</w:t>
      </w:r>
      <w:r w:rsidRPr="00904FCB">
        <w:rPr>
          <w:rFonts w:ascii="Times New Roman" w:hAnsi="Times New Roman" w:hint="cs"/>
          <w:sz w:val="27"/>
          <w:rtl/>
          <w:lang w:bidi="fa-IR"/>
        </w:rPr>
        <w:t>عَدّ</w:t>
      </w:r>
      <w:r w:rsidRPr="00904FCB">
        <w:rPr>
          <w:rFonts w:ascii="Times New Roman" w:hAnsi="Times New Roman"/>
          <w:sz w:val="27"/>
          <w:rtl/>
          <w:lang w:bidi="fa-IR"/>
        </w:rPr>
        <w:t xml:space="preserve"> </w:t>
      </w:r>
      <w:r w:rsidRPr="00904FCB">
        <w:rPr>
          <w:rFonts w:ascii="Times New Roman" w:hAnsi="Times New Roman" w:hint="cs"/>
          <w:sz w:val="27"/>
          <w:rtl/>
          <w:lang w:bidi="fa-IR"/>
        </w:rPr>
        <w:t>البغاة</w:t>
      </w:r>
      <w:r w:rsidRPr="00904FCB">
        <w:rPr>
          <w:rFonts w:ascii="Times New Roman" w:hAnsi="Times New Roman"/>
          <w:sz w:val="27"/>
          <w:rtl/>
          <w:lang w:bidi="fa-IR"/>
        </w:rPr>
        <w:t xml:space="preserve"> </w:t>
      </w:r>
      <w:r w:rsidRPr="00904FCB">
        <w:rPr>
          <w:rFonts w:ascii="Times New Roman" w:hAnsi="Times New Roman" w:hint="cs"/>
          <w:sz w:val="27"/>
          <w:rtl/>
          <w:lang w:bidi="fa-IR"/>
        </w:rPr>
        <w:t>في</w:t>
      </w:r>
      <w:r w:rsidRPr="00904FCB">
        <w:rPr>
          <w:rFonts w:ascii="Times New Roman" w:hAnsi="Times New Roman"/>
          <w:sz w:val="27"/>
          <w:rtl/>
          <w:lang w:bidi="fa-IR"/>
        </w:rPr>
        <w:t xml:space="preserve"> </w:t>
      </w:r>
      <w:r w:rsidRPr="00904FCB">
        <w:rPr>
          <w:rFonts w:ascii="Times New Roman" w:hAnsi="Times New Roman" w:hint="cs"/>
          <w:sz w:val="27"/>
          <w:rtl/>
          <w:lang w:bidi="fa-IR"/>
        </w:rPr>
        <w:t>زمرة</w:t>
      </w:r>
      <w:r w:rsidRPr="00904FCB">
        <w:rPr>
          <w:rFonts w:ascii="Times New Roman" w:hAnsi="Times New Roman"/>
          <w:sz w:val="27"/>
          <w:rtl/>
          <w:lang w:bidi="fa-IR"/>
        </w:rPr>
        <w:t xml:space="preserve"> </w:t>
      </w:r>
      <w:r w:rsidRPr="00904FCB">
        <w:rPr>
          <w:rFonts w:ascii="Times New Roman" w:hAnsi="Times New Roman" w:hint="cs"/>
          <w:sz w:val="27"/>
          <w:rtl/>
          <w:lang w:bidi="fa-IR"/>
        </w:rPr>
        <w:t>الكفّار</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حيث</w:t>
      </w:r>
      <w:r w:rsidRPr="00904FCB">
        <w:rPr>
          <w:rFonts w:ascii="Times New Roman" w:hAnsi="Times New Roman"/>
          <w:sz w:val="27"/>
          <w:rtl/>
          <w:lang w:bidi="fa-IR"/>
        </w:rPr>
        <w:t xml:space="preserve"> </w:t>
      </w:r>
      <w:r w:rsidRPr="00904FCB">
        <w:rPr>
          <w:rFonts w:ascii="Times New Roman" w:hAnsi="Times New Roman" w:hint="cs"/>
          <w:sz w:val="27"/>
          <w:rtl/>
          <w:lang w:bidi="fa-IR"/>
        </w:rPr>
        <w:t>بواطنهم، ولكن</w:t>
      </w:r>
      <w:r w:rsidR="00F605E0" w:rsidRPr="00904FCB">
        <w:rPr>
          <w:rFonts w:ascii="Times New Roman" w:hAnsi="Times New Roman" w:hint="cs"/>
          <w:sz w:val="27"/>
          <w:rtl/>
          <w:lang w:bidi="fa-IR"/>
        </w:rPr>
        <w:t>ّ</w:t>
      </w:r>
      <w:r w:rsidRPr="00904FCB">
        <w:rPr>
          <w:rFonts w:ascii="Times New Roman" w:hAnsi="Times New Roman" w:hint="cs"/>
          <w:sz w:val="27"/>
          <w:rtl/>
          <w:lang w:bidi="fa-IR"/>
        </w:rPr>
        <w:t>هم</w:t>
      </w:r>
      <w:r w:rsidRPr="00904FCB">
        <w:rPr>
          <w:rFonts w:ascii="Times New Roman" w:hAnsi="Times New Roman"/>
          <w:sz w:val="27"/>
          <w:rtl/>
          <w:lang w:bidi="fa-IR"/>
        </w:rPr>
        <w:t xml:space="preserve"> </w:t>
      </w:r>
      <w:r w:rsidRPr="00904FCB">
        <w:rPr>
          <w:rFonts w:ascii="Times New Roman" w:hAnsi="Times New Roman" w:hint="cs"/>
          <w:sz w:val="27"/>
          <w:rtl/>
          <w:lang w:bidi="fa-IR"/>
        </w:rPr>
        <w:t>كالمسلمين</w:t>
      </w:r>
      <w:r w:rsidRPr="00904FCB">
        <w:rPr>
          <w:rFonts w:ascii="Times New Roman" w:hAnsi="Times New Roman"/>
          <w:sz w:val="27"/>
          <w:rtl/>
          <w:lang w:bidi="fa-IR"/>
        </w:rPr>
        <w:t xml:space="preserve"> </w:t>
      </w:r>
      <w:r w:rsidRPr="00904FCB">
        <w:rPr>
          <w:rFonts w:ascii="Times New Roman" w:hAnsi="Times New Roman" w:hint="cs"/>
          <w:sz w:val="27"/>
          <w:rtl/>
          <w:lang w:bidi="fa-IR"/>
        </w:rPr>
        <w:t>من</w:t>
      </w:r>
      <w:r w:rsidRPr="00904FCB">
        <w:rPr>
          <w:rFonts w:ascii="Times New Roman" w:hAnsi="Times New Roman"/>
          <w:sz w:val="27"/>
          <w:rtl/>
          <w:lang w:bidi="fa-IR"/>
        </w:rPr>
        <w:t xml:space="preserve"> </w:t>
      </w:r>
      <w:r w:rsidRPr="00904FCB">
        <w:rPr>
          <w:rFonts w:ascii="Times New Roman" w:hAnsi="Times New Roman" w:hint="cs"/>
          <w:sz w:val="27"/>
          <w:rtl/>
          <w:lang w:bidi="fa-IR"/>
        </w:rPr>
        <w:t>حيث</w:t>
      </w:r>
      <w:r w:rsidRPr="00904FCB">
        <w:rPr>
          <w:rFonts w:ascii="Times New Roman" w:hAnsi="Times New Roman"/>
          <w:sz w:val="27"/>
          <w:rtl/>
          <w:lang w:bidi="fa-IR"/>
        </w:rPr>
        <w:t xml:space="preserve"> </w:t>
      </w:r>
      <w:r w:rsidRPr="00904FCB">
        <w:rPr>
          <w:rFonts w:ascii="Times New Roman" w:hAnsi="Times New Roman" w:hint="cs"/>
          <w:sz w:val="27"/>
          <w:rtl/>
          <w:lang w:bidi="fa-IR"/>
        </w:rPr>
        <w:t>الظاهر</w:t>
      </w:r>
      <w:r w:rsidRPr="00904FCB">
        <w:rPr>
          <w:rFonts w:hint="cs"/>
          <w:sz w:val="27"/>
          <w:vertAlign w:val="superscript"/>
          <w:rtl/>
        </w:rPr>
        <w:t>(</w:t>
      </w:r>
      <w:r w:rsidRPr="00904FCB">
        <w:rPr>
          <w:rStyle w:val="ac"/>
          <w:sz w:val="27"/>
          <w:rtl/>
        </w:rPr>
        <w:endnoteReference w:id="610"/>
      </w:r>
      <w:r w:rsidRPr="00904FCB">
        <w:rPr>
          <w:rFonts w:hint="cs"/>
          <w:sz w:val="27"/>
          <w:vertAlign w:val="superscript"/>
          <w:rtl/>
        </w:rPr>
        <w:t>)</w:t>
      </w:r>
      <w:r w:rsidR="00F605E0" w:rsidRPr="00904FCB">
        <w:rPr>
          <w:rFonts w:ascii="Times New Roman" w:hAnsi="Times New Roman" w:hint="cs"/>
          <w:sz w:val="27"/>
          <w:rtl/>
        </w:rPr>
        <w:t>.</w:t>
      </w:r>
      <w:r w:rsidRPr="00904FCB">
        <w:rPr>
          <w:rFonts w:ascii="Times New Roman" w:hAnsi="Times New Roman" w:hint="cs"/>
          <w:sz w:val="27"/>
          <w:rtl/>
          <w:lang w:bidi="fa-IR"/>
        </w:rPr>
        <w:t xml:space="preserve"> </w:t>
      </w:r>
      <w:r w:rsidRPr="00904FCB">
        <w:rPr>
          <w:rFonts w:ascii="Times New Roman" w:hAnsi="Times New Roman"/>
          <w:sz w:val="27"/>
          <w:rtl/>
          <w:lang w:bidi="fa-IR"/>
        </w:rPr>
        <w:t>كث</w:t>
      </w:r>
      <w:r w:rsidRPr="00904FCB">
        <w:rPr>
          <w:rFonts w:ascii="Times New Roman" w:hAnsi="Times New Roman" w:hint="cs"/>
          <w:sz w:val="27"/>
          <w:rtl/>
          <w:lang w:bidi="fa-IR"/>
        </w:rPr>
        <w:t>يراً</w:t>
      </w:r>
      <w:r w:rsidRPr="00904FCB">
        <w:rPr>
          <w:rFonts w:ascii="Times New Roman" w:hAnsi="Times New Roman"/>
          <w:sz w:val="27"/>
          <w:rtl/>
          <w:lang w:bidi="fa-IR"/>
        </w:rPr>
        <w:t xml:space="preserve"> </w:t>
      </w:r>
      <w:r w:rsidRPr="00904FCB">
        <w:rPr>
          <w:rFonts w:ascii="Times New Roman" w:hAnsi="Times New Roman" w:hint="cs"/>
          <w:sz w:val="27"/>
          <w:rtl/>
          <w:lang w:bidi="fa-IR"/>
        </w:rPr>
        <w:t>ما</w:t>
      </w:r>
      <w:r w:rsidRPr="00904FCB">
        <w:rPr>
          <w:rFonts w:ascii="Times New Roman" w:hAnsi="Times New Roman"/>
          <w:sz w:val="27"/>
          <w:rtl/>
          <w:lang w:bidi="fa-IR"/>
        </w:rPr>
        <w:t xml:space="preserve"> </w:t>
      </w:r>
      <w:r w:rsidRPr="00904FCB">
        <w:rPr>
          <w:rFonts w:ascii="Times New Roman" w:hAnsi="Times New Roman" w:hint="cs"/>
          <w:sz w:val="27"/>
          <w:rtl/>
          <w:lang w:bidi="fa-IR"/>
        </w:rPr>
        <w:t>ذكر</w:t>
      </w:r>
      <w:r w:rsidRPr="00904FCB">
        <w:rPr>
          <w:rFonts w:ascii="Times New Roman" w:hAnsi="Times New Roman"/>
          <w:sz w:val="27"/>
          <w:rtl/>
          <w:lang w:bidi="fa-IR"/>
        </w:rPr>
        <w:t xml:space="preserve"> </w:t>
      </w:r>
      <w:r w:rsidRPr="00904FCB">
        <w:rPr>
          <w:rFonts w:ascii="Times New Roman" w:hAnsi="Times New Roman" w:hint="cs"/>
          <w:sz w:val="27"/>
          <w:rtl/>
          <w:lang w:bidi="fa-IR"/>
        </w:rPr>
        <w:t>الفقهاءُ</w:t>
      </w:r>
      <w:r w:rsidRPr="00904FCB">
        <w:rPr>
          <w:rFonts w:hint="cs"/>
          <w:sz w:val="27"/>
          <w:rtl/>
          <w:lang w:bidi="fa-IR"/>
        </w:rPr>
        <w:t xml:space="preserve"> مسألةَ البغ</w:t>
      </w:r>
      <w:r w:rsidRPr="00904FCB">
        <w:rPr>
          <w:rFonts w:ascii="Times New Roman" w:hAnsi="Times New Roman" w:hint="cs"/>
          <w:sz w:val="27"/>
          <w:rtl/>
          <w:lang w:bidi="fa-IR"/>
        </w:rPr>
        <w:t>ي</w:t>
      </w:r>
      <w:r w:rsidRPr="00904FCB">
        <w:rPr>
          <w:rFonts w:hint="cs"/>
          <w:sz w:val="27"/>
          <w:rtl/>
          <w:lang w:bidi="fa-IR"/>
        </w:rPr>
        <w:t xml:space="preserve"> ف</w:t>
      </w:r>
      <w:r w:rsidRPr="00904FCB">
        <w:rPr>
          <w:rFonts w:ascii="Times New Roman" w:hAnsi="Times New Roman" w:hint="cs"/>
          <w:sz w:val="27"/>
          <w:rtl/>
          <w:lang w:bidi="fa-IR"/>
        </w:rPr>
        <w:t>ي</w:t>
      </w:r>
      <w:r w:rsidRPr="00904FCB">
        <w:rPr>
          <w:rFonts w:hint="cs"/>
          <w:sz w:val="27"/>
          <w:rtl/>
          <w:lang w:bidi="fa-IR"/>
        </w:rPr>
        <w:t xml:space="preserve"> باب الجهاد</w:t>
      </w:r>
      <w:r w:rsidR="00F605E0" w:rsidRPr="00904FCB">
        <w:rPr>
          <w:rFonts w:hint="cs"/>
          <w:sz w:val="27"/>
          <w:rtl/>
          <w:lang w:bidi="fa-IR"/>
        </w:rPr>
        <w:t>؛</w:t>
      </w:r>
      <w:r w:rsidRPr="00904FCB">
        <w:rPr>
          <w:rFonts w:hint="cs"/>
          <w:sz w:val="27"/>
          <w:rtl/>
          <w:lang w:bidi="fa-IR"/>
        </w:rPr>
        <w:t xml:space="preserve"> لأنّ للجهاد والقتال صلةً قو</w:t>
      </w:r>
      <w:r w:rsidRPr="00904FCB">
        <w:rPr>
          <w:rFonts w:ascii="Times New Roman" w:hAnsi="Times New Roman" w:hint="cs"/>
          <w:sz w:val="27"/>
          <w:rtl/>
          <w:lang w:bidi="fa-IR"/>
        </w:rPr>
        <w:t>ي</w:t>
      </w:r>
      <w:r w:rsidRPr="00904FCB">
        <w:rPr>
          <w:rFonts w:hint="cs"/>
          <w:sz w:val="27"/>
          <w:rtl/>
          <w:lang w:bidi="fa-IR"/>
        </w:rPr>
        <w:t>ة بالجرائم الس</w:t>
      </w:r>
      <w:r w:rsidRPr="00904FCB">
        <w:rPr>
          <w:rFonts w:ascii="Times New Roman" w:hAnsi="Times New Roman" w:hint="cs"/>
          <w:sz w:val="27"/>
          <w:rtl/>
          <w:lang w:bidi="fa-IR"/>
        </w:rPr>
        <w:t>ي</w:t>
      </w:r>
      <w:r w:rsidRPr="00904FCB">
        <w:rPr>
          <w:rFonts w:hint="cs"/>
          <w:sz w:val="27"/>
          <w:rtl/>
          <w:lang w:bidi="fa-IR"/>
        </w:rPr>
        <w:t>اس</w:t>
      </w:r>
      <w:r w:rsidRPr="00904FCB">
        <w:rPr>
          <w:rFonts w:ascii="Times New Roman" w:hAnsi="Times New Roman" w:hint="cs"/>
          <w:sz w:val="27"/>
          <w:rtl/>
          <w:lang w:bidi="fa-IR"/>
        </w:rPr>
        <w:t>ي</w:t>
      </w:r>
      <w:r w:rsidRPr="00904FCB">
        <w:rPr>
          <w:rFonts w:hint="cs"/>
          <w:sz w:val="27"/>
          <w:rtl/>
          <w:lang w:bidi="fa-IR"/>
        </w:rPr>
        <w:t>ة</w:t>
      </w:r>
      <w:r w:rsidR="00F605E0" w:rsidRPr="00904FCB">
        <w:rPr>
          <w:rFonts w:hint="cs"/>
          <w:sz w:val="27"/>
          <w:rtl/>
          <w:lang w:bidi="fa-IR"/>
        </w:rPr>
        <w:t>،</w:t>
      </w:r>
      <w:r w:rsidRPr="00904FCB">
        <w:rPr>
          <w:rFonts w:hint="cs"/>
          <w:sz w:val="27"/>
          <w:rtl/>
          <w:lang w:bidi="fa-IR"/>
        </w:rPr>
        <w:t xml:space="preserve"> ولكن لا ب</w:t>
      </w:r>
      <w:r w:rsidR="00F605E0" w:rsidRPr="00904FCB">
        <w:rPr>
          <w:rFonts w:hint="cs"/>
          <w:sz w:val="27"/>
          <w:rtl/>
          <w:lang w:bidi="fa-IR"/>
        </w:rPr>
        <w:t>ُ</w:t>
      </w:r>
      <w:r w:rsidRPr="00904FCB">
        <w:rPr>
          <w:rFonts w:hint="cs"/>
          <w:sz w:val="27"/>
          <w:rtl/>
          <w:lang w:bidi="fa-IR"/>
        </w:rPr>
        <w:t>دّ</w:t>
      </w:r>
      <w:r w:rsidR="00F605E0" w:rsidRPr="00904FCB">
        <w:rPr>
          <w:rFonts w:hint="cs"/>
          <w:sz w:val="27"/>
          <w:rtl/>
          <w:lang w:bidi="fa-IR"/>
        </w:rPr>
        <w:t>َ</w:t>
      </w:r>
      <w:r w:rsidRPr="00904FCB">
        <w:rPr>
          <w:rFonts w:hint="cs"/>
          <w:sz w:val="27"/>
          <w:rtl/>
          <w:lang w:bidi="fa-IR"/>
        </w:rPr>
        <w:t xml:space="preserve"> من الإشاراة إل</w:t>
      </w:r>
      <w:r w:rsidR="00F605E0" w:rsidRPr="00904FCB">
        <w:rPr>
          <w:rFonts w:ascii="Times New Roman" w:hAnsi="Times New Roman" w:hint="cs"/>
          <w:sz w:val="27"/>
          <w:rtl/>
          <w:lang w:bidi="fa-IR"/>
        </w:rPr>
        <w:t>ى</w:t>
      </w:r>
      <w:r w:rsidRPr="00904FCB">
        <w:rPr>
          <w:rFonts w:hint="cs"/>
          <w:sz w:val="27"/>
          <w:rtl/>
          <w:lang w:bidi="fa-IR"/>
        </w:rPr>
        <w:t xml:space="preserve"> أنّ البغ</w:t>
      </w:r>
      <w:r w:rsidRPr="00904FCB">
        <w:rPr>
          <w:rFonts w:ascii="Times New Roman" w:hAnsi="Times New Roman" w:hint="cs"/>
          <w:sz w:val="27"/>
          <w:rtl/>
          <w:lang w:bidi="fa-IR"/>
        </w:rPr>
        <w:t>ي</w:t>
      </w:r>
      <w:r w:rsidRPr="00904FCB">
        <w:rPr>
          <w:rFonts w:hint="cs"/>
          <w:sz w:val="27"/>
          <w:rtl/>
          <w:lang w:bidi="fa-IR"/>
        </w:rPr>
        <w:t xml:space="preserve"> </w:t>
      </w:r>
      <w:r w:rsidRPr="00904FCB">
        <w:rPr>
          <w:rFonts w:ascii="Times New Roman" w:hAnsi="Times New Roman" w:hint="cs"/>
          <w:sz w:val="27"/>
          <w:rtl/>
          <w:lang w:bidi="fa-IR"/>
        </w:rPr>
        <w:t>ي</w:t>
      </w:r>
      <w:r w:rsidR="00F605E0" w:rsidRPr="00904FCB">
        <w:rPr>
          <w:rFonts w:ascii="Times New Roman" w:hAnsi="Times New Roman" w:hint="cs"/>
          <w:sz w:val="27"/>
          <w:rtl/>
          <w:lang w:bidi="fa-IR"/>
        </w:rPr>
        <w:t>ُ</w:t>
      </w:r>
      <w:r w:rsidRPr="00904FCB">
        <w:rPr>
          <w:rFonts w:hint="cs"/>
          <w:sz w:val="27"/>
          <w:rtl/>
          <w:lang w:bidi="fa-IR"/>
        </w:rPr>
        <w:t>عَدّ من الحدود</w:t>
      </w:r>
      <w:r w:rsidR="00C545CE">
        <w:rPr>
          <w:rFonts w:hint="cs"/>
          <w:sz w:val="27"/>
          <w:rtl/>
          <w:lang w:bidi="fa-IR"/>
        </w:rPr>
        <w:t xml:space="preserve"> </w:t>
      </w:r>
      <w:r w:rsidRPr="00904FCB">
        <w:rPr>
          <w:rFonts w:hint="cs"/>
          <w:sz w:val="27"/>
          <w:rtl/>
          <w:lang w:bidi="fa-IR"/>
        </w:rPr>
        <w:t>الإسلام</w:t>
      </w:r>
      <w:r w:rsidRPr="00904FCB">
        <w:rPr>
          <w:rFonts w:ascii="Times New Roman" w:hAnsi="Times New Roman" w:hint="cs"/>
          <w:sz w:val="27"/>
          <w:rtl/>
          <w:lang w:bidi="fa-IR"/>
        </w:rPr>
        <w:t>ي</w:t>
      </w:r>
      <w:r w:rsidRPr="00904FCB">
        <w:rPr>
          <w:rFonts w:hint="cs"/>
          <w:sz w:val="27"/>
          <w:rtl/>
          <w:lang w:bidi="fa-IR"/>
        </w:rPr>
        <w:t>ة ف</w:t>
      </w:r>
      <w:r w:rsidRPr="00904FCB">
        <w:rPr>
          <w:rFonts w:ascii="Times New Roman" w:hAnsi="Times New Roman" w:hint="cs"/>
          <w:sz w:val="27"/>
          <w:rtl/>
          <w:lang w:bidi="fa-IR"/>
        </w:rPr>
        <w:t>ي</w:t>
      </w:r>
      <w:r w:rsidRPr="00904FCB">
        <w:rPr>
          <w:rFonts w:hint="cs"/>
          <w:sz w:val="27"/>
          <w:rtl/>
          <w:lang w:bidi="fa-IR"/>
        </w:rPr>
        <w:t xml:space="preserve"> القوان</w:t>
      </w:r>
      <w:r w:rsidRPr="00904FCB">
        <w:rPr>
          <w:rFonts w:ascii="Times New Roman" w:hAnsi="Times New Roman" w:hint="cs"/>
          <w:sz w:val="27"/>
          <w:rtl/>
          <w:lang w:bidi="fa-IR"/>
        </w:rPr>
        <w:t>ي</w:t>
      </w:r>
      <w:r w:rsidRPr="00904FCB">
        <w:rPr>
          <w:rFonts w:hint="cs"/>
          <w:sz w:val="27"/>
          <w:rtl/>
          <w:lang w:bidi="fa-IR"/>
        </w:rPr>
        <w:t>ن الجد</w:t>
      </w:r>
      <w:r w:rsidRPr="00904FCB">
        <w:rPr>
          <w:rFonts w:ascii="Times New Roman" w:hAnsi="Times New Roman" w:hint="cs"/>
          <w:sz w:val="27"/>
          <w:rtl/>
          <w:lang w:bidi="fa-IR"/>
        </w:rPr>
        <w:t>ي</w:t>
      </w:r>
      <w:r w:rsidRPr="00904FCB">
        <w:rPr>
          <w:rFonts w:hint="cs"/>
          <w:sz w:val="27"/>
          <w:rtl/>
          <w:lang w:bidi="fa-IR"/>
        </w:rPr>
        <w:t>دة للعقوبات</w:t>
      </w:r>
      <w:r w:rsidR="00F605E0" w:rsidRPr="00904FCB">
        <w:rPr>
          <w:rFonts w:hint="cs"/>
          <w:sz w:val="27"/>
          <w:rtl/>
          <w:lang w:bidi="fa-IR"/>
        </w:rPr>
        <w:t>؛</w:t>
      </w:r>
      <w:r w:rsidRPr="00904FCB">
        <w:rPr>
          <w:rFonts w:hint="cs"/>
          <w:sz w:val="27"/>
          <w:rtl/>
          <w:lang w:bidi="fa-IR"/>
        </w:rPr>
        <w:t xml:space="preserve"> لأنّ له علاقة قو</w:t>
      </w:r>
      <w:r w:rsidRPr="00904FCB">
        <w:rPr>
          <w:rFonts w:ascii="Times New Roman" w:hAnsi="Times New Roman" w:hint="cs"/>
          <w:sz w:val="27"/>
          <w:rtl/>
          <w:lang w:bidi="fa-IR"/>
        </w:rPr>
        <w:t>ي</w:t>
      </w:r>
      <w:r w:rsidRPr="00904FCB">
        <w:rPr>
          <w:rFonts w:hint="cs"/>
          <w:sz w:val="27"/>
          <w:rtl/>
          <w:lang w:bidi="fa-IR"/>
        </w:rPr>
        <w:t>ة بأمن المجتمع الإسلام</w:t>
      </w:r>
      <w:r w:rsidRPr="00904FCB">
        <w:rPr>
          <w:rFonts w:ascii="Times New Roman" w:hAnsi="Times New Roman" w:hint="cs"/>
          <w:sz w:val="27"/>
          <w:rtl/>
          <w:lang w:bidi="fa-IR"/>
        </w:rPr>
        <w:t>ي</w:t>
      </w:r>
      <w:r w:rsidRPr="00904FCB">
        <w:rPr>
          <w:rFonts w:hint="cs"/>
          <w:sz w:val="27"/>
          <w:rtl/>
          <w:lang w:bidi="fa-IR"/>
        </w:rPr>
        <w:t xml:space="preserve">. </w:t>
      </w:r>
    </w:p>
    <w:p w:rsidR="00336F3B" w:rsidRPr="00904FCB" w:rsidRDefault="00336F3B" w:rsidP="00220324">
      <w:pPr>
        <w:spacing w:line="380" w:lineRule="exact"/>
        <w:ind w:firstLine="561"/>
        <w:rPr>
          <w:sz w:val="27"/>
          <w:rtl/>
          <w:lang w:bidi="fa-IR"/>
        </w:rPr>
      </w:pPr>
      <w:r w:rsidRPr="00904FCB">
        <w:rPr>
          <w:rFonts w:hint="cs"/>
          <w:sz w:val="27"/>
          <w:rtl/>
          <w:lang w:bidi="fa-IR"/>
        </w:rPr>
        <w:t>ولكن</w:t>
      </w:r>
      <w:r w:rsidR="00F605E0" w:rsidRPr="00904FCB">
        <w:rPr>
          <w:rFonts w:hint="cs"/>
          <w:sz w:val="27"/>
          <w:rtl/>
          <w:lang w:bidi="fa-IR"/>
        </w:rPr>
        <w:t>ْ</w:t>
      </w:r>
      <w:r w:rsidRPr="00904FCB">
        <w:rPr>
          <w:rFonts w:hint="cs"/>
          <w:sz w:val="27"/>
          <w:rtl/>
          <w:lang w:bidi="fa-IR"/>
        </w:rPr>
        <w:t xml:space="preserve"> ل</w:t>
      </w:r>
      <w:r w:rsidRPr="00904FCB">
        <w:rPr>
          <w:rFonts w:ascii="Times New Roman" w:hAnsi="Times New Roman" w:hint="cs"/>
          <w:sz w:val="27"/>
          <w:rtl/>
          <w:lang w:bidi="fa-IR"/>
        </w:rPr>
        <w:t>ي</w:t>
      </w:r>
      <w:r w:rsidRPr="00904FCB">
        <w:rPr>
          <w:rFonts w:hint="cs"/>
          <w:sz w:val="27"/>
          <w:rtl/>
          <w:lang w:bidi="fa-IR"/>
        </w:rPr>
        <w:t xml:space="preserve">علَم </w:t>
      </w:r>
      <w:r w:rsidR="00F605E0" w:rsidRPr="00904FCB">
        <w:rPr>
          <w:rFonts w:hint="cs"/>
          <w:sz w:val="27"/>
          <w:rtl/>
          <w:lang w:bidi="fa-IR"/>
        </w:rPr>
        <w:t>(</w:t>
      </w:r>
      <w:r w:rsidRPr="00904FCB">
        <w:rPr>
          <w:rFonts w:hint="cs"/>
          <w:sz w:val="27"/>
          <w:rtl/>
          <w:lang w:bidi="fa-IR"/>
        </w:rPr>
        <w:t xml:space="preserve">مَن </w:t>
      </w:r>
      <w:r w:rsidR="00F605E0" w:rsidRPr="00904FCB">
        <w:rPr>
          <w:rFonts w:hint="cs"/>
          <w:sz w:val="27"/>
          <w:rtl/>
          <w:lang w:bidi="fa-IR"/>
        </w:rPr>
        <w:t xml:space="preserve">هم </w:t>
      </w:r>
      <w:r w:rsidRPr="00904FCB">
        <w:rPr>
          <w:rFonts w:hint="cs"/>
          <w:sz w:val="27"/>
          <w:rtl/>
          <w:lang w:bidi="fa-IR"/>
        </w:rPr>
        <w:t>البغاة؟</w:t>
      </w:r>
      <w:r w:rsidR="00F605E0" w:rsidRPr="00904FCB">
        <w:rPr>
          <w:rFonts w:hint="cs"/>
          <w:sz w:val="27"/>
          <w:rtl/>
          <w:lang w:bidi="fa-IR"/>
        </w:rPr>
        <w:t>)</w:t>
      </w:r>
      <w:r w:rsidRPr="00904FCB">
        <w:rPr>
          <w:rFonts w:hint="cs"/>
          <w:sz w:val="27"/>
          <w:rtl/>
          <w:lang w:bidi="fa-IR"/>
        </w:rPr>
        <w:t xml:space="preserve"> و</w:t>
      </w:r>
      <w:r w:rsidR="00F605E0" w:rsidRPr="00904FCB">
        <w:rPr>
          <w:rFonts w:hint="cs"/>
          <w:sz w:val="27"/>
          <w:rtl/>
          <w:lang w:bidi="fa-IR"/>
        </w:rPr>
        <w:t>(</w:t>
      </w:r>
      <w:r w:rsidRPr="00904FCB">
        <w:rPr>
          <w:rFonts w:hint="cs"/>
          <w:sz w:val="27"/>
          <w:rtl/>
          <w:lang w:bidi="fa-IR"/>
        </w:rPr>
        <w:t>مت</w:t>
      </w:r>
      <w:r w:rsidR="00F605E0" w:rsidRPr="00904FCB">
        <w:rPr>
          <w:rFonts w:ascii="Times New Roman" w:hAnsi="Times New Roman" w:hint="cs"/>
          <w:sz w:val="27"/>
          <w:rtl/>
          <w:lang w:bidi="fa-IR"/>
        </w:rPr>
        <w:t>ى</w:t>
      </w:r>
      <w:r w:rsidRPr="00904FCB">
        <w:rPr>
          <w:rFonts w:hint="cs"/>
          <w:sz w:val="27"/>
          <w:rtl/>
          <w:lang w:bidi="fa-IR"/>
        </w:rPr>
        <w:t xml:space="preserve"> </w:t>
      </w:r>
      <w:r w:rsidRPr="00904FCB">
        <w:rPr>
          <w:rFonts w:ascii="Times New Roman" w:hAnsi="Times New Roman" w:hint="cs"/>
          <w:sz w:val="27"/>
          <w:rtl/>
          <w:lang w:bidi="fa-IR"/>
        </w:rPr>
        <w:t>ي</w:t>
      </w:r>
      <w:r w:rsidRPr="00904FCB">
        <w:rPr>
          <w:rFonts w:hint="cs"/>
          <w:sz w:val="27"/>
          <w:rtl/>
          <w:lang w:bidi="fa-IR"/>
        </w:rPr>
        <w:t>جب قتالهم؟</w:t>
      </w:r>
      <w:r w:rsidR="00F605E0" w:rsidRPr="00904FCB">
        <w:rPr>
          <w:rFonts w:hint="cs"/>
          <w:sz w:val="27"/>
          <w:rtl/>
          <w:lang w:bidi="fa-IR"/>
        </w:rPr>
        <w:t>)</w:t>
      </w:r>
      <w:r w:rsidRPr="00904FCB">
        <w:rPr>
          <w:rFonts w:hint="cs"/>
          <w:sz w:val="27"/>
          <w:rtl/>
          <w:lang w:bidi="fa-IR"/>
        </w:rPr>
        <w:t xml:space="preserve"> قد أج</w:t>
      </w:r>
      <w:r w:rsidR="00F605E0" w:rsidRPr="00904FCB">
        <w:rPr>
          <w:rFonts w:hint="cs"/>
          <w:sz w:val="27"/>
          <w:rtl/>
          <w:lang w:bidi="fa-IR"/>
        </w:rPr>
        <w:t>َ</w:t>
      </w:r>
      <w:r w:rsidRPr="00904FCB">
        <w:rPr>
          <w:rFonts w:hint="cs"/>
          <w:sz w:val="27"/>
          <w:rtl/>
          <w:lang w:bidi="fa-IR"/>
        </w:rPr>
        <w:t>ب</w:t>
      </w:r>
      <w:r w:rsidR="00F605E0" w:rsidRPr="00904FCB">
        <w:rPr>
          <w:rFonts w:hint="cs"/>
          <w:sz w:val="27"/>
          <w:rtl/>
          <w:lang w:bidi="fa-IR"/>
        </w:rPr>
        <w:t>ْ</w:t>
      </w:r>
      <w:r w:rsidRPr="00904FCB">
        <w:rPr>
          <w:rFonts w:hint="cs"/>
          <w:sz w:val="27"/>
          <w:rtl/>
          <w:lang w:bidi="fa-IR"/>
        </w:rPr>
        <w:t>نا عن هذه الأسئلة ـ قدر استطاعتنا ف</w:t>
      </w:r>
      <w:r w:rsidRPr="00904FCB">
        <w:rPr>
          <w:rFonts w:ascii="Times New Roman" w:hAnsi="Times New Roman" w:hint="cs"/>
          <w:sz w:val="27"/>
          <w:rtl/>
          <w:lang w:bidi="fa-IR"/>
        </w:rPr>
        <w:t>ي</w:t>
      </w:r>
      <w:r w:rsidRPr="00904FCB">
        <w:rPr>
          <w:rFonts w:hint="cs"/>
          <w:sz w:val="27"/>
          <w:rtl/>
          <w:lang w:bidi="fa-IR"/>
        </w:rPr>
        <w:t xml:space="preserve"> هذه المقالة، وب</w:t>
      </w:r>
      <w:r w:rsidRPr="00904FCB">
        <w:rPr>
          <w:rFonts w:ascii="Times New Roman" w:hAnsi="Times New Roman" w:hint="cs"/>
          <w:sz w:val="27"/>
          <w:rtl/>
          <w:lang w:bidi="fa-IR"/>
        </w:rPr>
        <w:t>ي</w:t>
      </w:r>
      <w:r w:rsidR="00F605E0" w:rsidRPr="00904FCB">
        <w:rPr>
          <w:rFonts w:ascii="Times New Roman" w:hAnsi="Times New Roman" w:hint="cs"/>
          <w:sz w:val="27"/>
          <w:rtl/>
          <w:lang w:bidi="fa-IR"/>
        </w:rPr>
        <w:t>ّ</w:t>
      </w:r>
      <w:r w:rsidRPr="00904FCB">
        <w:rPr>
          <w:rFonts w:hint="cs"/>
          <w:sz w:val="27"/>
          <w:rtl/>
          <w:lang w:bidi="fa-IR"/>
        </w:rPr>
        <w:t>ن</w:t>
      </w:r>
      <w:r w:rsidR="00F605E0" w:rsidRPr="00904FCB">
        <w:rPr>
          <w:rFonts w:hint="cs"/>
          <w:sz w:val="27"/>
          <w:rtl/>
          <w:lang w:bidi="fa-IR"/>
        </w:rPr>
        <w:t>ّ</w:t>
      </w:r>
      <w:r w:rsidRPr="00904FCB">
        <w:rPr>
          <w:rFonts w:hint="cs"/>
          <w:sz w:val="27"/>
          <w:rtl/>
          <w:lang w:bidi="fa-IR"/>
        </w:rPr>
        <w:t>ا معن</w:t>
      </w:r>
      <w:r w:rsidR="00F605E0" w:rsidRPr="00904FCB">
        <w:rPr>
          <w:rFonts w:ascii="Times New Roman" w:hAnsi="Times New Roman" w:hint="cs"/>
          <w:sz w:val="27"/>
          <w:rtl/>
          <w:lang w:bidi="fa-IR"/>
        </w:rPr>
        <w:t>ى</w:t>
      </w:r>
      <w:r w:rsidRPr="00904FCB">
        <w:rPr>
          <w:rFonts w:hint="cs"/>
          <w:sz w:val="27"/>
          <w:rtl/>
          <w:lang w:bidi="fa-IR"/>
        </w:rPr>
        <w:t xml:space="preserve"> الباغ</w:t>
      </w:r>
      <w:r w:rsidRPr="00904FCB">
        <w:rPr>
          <w:rFonts w:ascii="Times New Roman" w:hAnsi="Times New Roman" w:hint="cs"/>
          <w:sz w:val="27"/>
          <w:rtl/>
          <w:lang w:bidi="fa-IR"/>
        </w:rPr>
        <w:t>ي</w:t>
      </w:r>
      <w:r w:rsidRPr="00904FCB">
        <w:rPr>
          <w:rFonts w:hint="cs"/>
          <w:sz w:val="27"/>
          <w:rtl/>
          <w:lang w:bidi="fa-IR"/>
        </w:rPr>
        <w:t xml:space="preserve"> عند الفقهاء </w:t>
      </w:r>
      <w:r w:rsidR="00F605E0" w:rsidRPr="00904FCB">
        <w:rPr>
          <w:rFonts w:hint="cs"/>
          <w:sz w:val="27"/>
          <w:rtl/>
          <w:lang w:bidi="fa-IR"/>
        </w:rPr>
        <w:t xml:space="preserve">من </w:t>
      </w:r>
      <w:r w:rsidRPr="00904FCB">
        <w:rPr>
          <w:rFonts w:hint="cs"/>
          <w:sz w:val="27"/>
          <w:rtl/>
          <w:lang w:bidi="fa-IR"/>
        </w:rPr>
        <w:t>أهل السنة والش</w:t>
      </w:r>
      <w:r w:rsidRPr="00904FCB">
        <w:rPr>
          <w:rFonts w:ascii="Times New Roman" w:hAnsi="Times New Roman" w:hint="cs"/>
          <w:sz w:val="27"/>
          <w:rtl/>
          <w:lang w:bidi="fa-IR"/>
        </w:rPr>
        <w:t>ي</w:t>
      </w:r>
      <w:r w:rsidRPr="00904FCB">
        <w:rPr>
          <w:rFonts w:hint="cs"/>
          <w:sz w:val="27"/>
          <w:rtl/>
          <w:lang w:bidi="fa-IR"/>
        </w:rPr>
        <w:t>عة</w:t>
      </w:r>
      <w:r w:rsidR="00F605E0" w:rsidRPr="00904FCB">
        <w:rPr>
          <w:rFonts w:hint="cs"/>
          <w:sz w:val="27"/>
          <w:rtl/>
          <w:lang w:bidi="fa-IR"/>
        </w:rPr>
        <w:t>؛</w:t>
      </w:r>
      <w:r w:rsidRPr="00904FCB">
        <w:rPr>
          <w:rFonts w:hint="cs"/>
          <w:sz w:val="27"/>
          <w:rtl/>
          <w:lang w:bidi="fa-IR"/>
        </w:rPr>
        <w:t xml:space="preserve"> لأنّه </w:t>
      </w:r>
      <w:r w:rsidRPr="00904FCB">
        <w:rPr>
          <w:rFonts w:ascii="Times New Roman" w:hAnsi="Times New Roman" w:hint="cs"/>
          <w:sz w:val="27"/>
          <w:rtl/>
          <w:lang w:bidi="fa-IR"/>
        </w:rPr>
        <w:t>ي</w:t>
      </w:r>
      <w:r w:rsidRPr="00904FCB">
        <w:rPr>
          <w:rFonts w:hint="cs"/>
          <w:sz w:val="27"/>
          <w:rtl/>
          <w:lang w:bidi="fa-IR"/>
        </w:rPr>
        <w:t>جب عل</w:t>
      </w:r>
      <w:r w:rsidR="00F605E0" w:rsidRPr="00904FCB">
        <w:rPr>
          <w:rFonts w:ascii="Times New Roman" w:hAnsi="Times New Roman" w:hint="cs"/>
          <w:sz w:val="27"/>
          <w:rtl/>
          <w:lang w:bidi="fa-IR"/>
        </w:rPr>
        <w:t>ى</w:t>
      </w:r>
      <w:r w:rsidRPr="00904FCB">
        <w:rPr>
          <w:rFonts w:hint="cs"/>
          <w:sz w:val="27"/>
          <w:rtl/>
          <w:lang w:bidi="fa-IR"/>
        </w:rPr>
        <w:t xml:space="preserve"> الجم</w:t>
      </w:r>
      <w:r w:rsidRPr="00904FCB">
        <w:rPr>
          <w:rFonts w:ascii="Times New Roman" w:hAnsi="Times New Roman" w:hint="cs"/>
          <w:sz w:val="27"/>
          <w:rtl/>
          <w:lang w:bidi="fa-IR"/>
        </w:rPr>
        <w:t>ي</w:t>
      </w:r>
      <w:r w:rsidRPr="00904FCB">
        <w:rPr>
          <w:rFonts w:hint="cs"/>
          <w:sz w:val="27"/>
          <w:rtl/>
          <w:lang w:bidi="fa-IR"/>
        </w:rPr>
        <w:t xml:space="preserve">ع أن </w:t>
      </w:r>
      <w:r w:rsidRPr="00904FCB">
        <w:rPr>
          <w:rFonts w:ascii="Times New Roman" w:hAnsi="Times New Roman" w:hint="cs"/>
          <w:sz w:val="27"/>
          <w:rtl/>
          <w:lang w:bidi="fa-IR"/>
        </w:rPr>
        <w:t>ي</w:t>
      </w:r>
      <w:r w:rsidRPr="00904FCB">
        <w:rPr>
          <w:rFonts w:hint="cs"/>
          <w:sz w:val="27"/>
          <w:rtl/>
          <w:lang w:bidi="fa-IR"/>
        </w:rPr>
        <w:t>عرفوا الفئات المعارضة للحكم الإسلام</w:t>
      </w:r>
      <w:r w:rsidRPr="00904FCB">
        <w:rPr>
          <w:rFonts w:ascii="Times New Roman" w:hAnsi="Times New Roman" w:hint="cs"/>
          <w:sz w:val="27"/>
          <w:rtl/>
          <w:lang w:bidi="fa-IR"/>
        </w:rPr>
        <w:t>ي</w:t>
      </w:r>
      <w:r w:rsidR="00F605E0" w:rsidRPr="00904FCB">
        <w:rPr>
          <w:rFonts w:hint="cs"/>
          <w:sz w:val="27"/>
          <w:rtl/>
          <w:lang w:bidi="fa-IR"/>
        </w:rPr>
        <w:t>؛</w:t>
      </w:r>
      <w:r w:rsidRPr="00904FCB">
        <w:rPr>
          <w:rFonts w:hint="cs"/>
          <w:sz w:val="27"/>
          <w:rtl/>
          <w:lang w:bidi="fa-IR"/>
        </w:rPr>
        <w:t xml:space="preserve"> ل</w:t>
      </w:r>
      <w:r w:rsidRPr="00904FCB">
        <w:rPr>
          <w:rFonts w:ascii="Times New Roman" w:hAnsi="Times New Roman" w:hint="cs"/>
          <w:sz w:val="27"/>
          <w:rtl/>
          <w:lang w:bidi="fa-IR"/>
        </w:rPr>
        <w:t>ي</w:t>
      </w:r>
      <w:r w:rsidRPr="00904FCB">
        <w:rPr>
          <w:rFonts w:hint="cs"/>
          <w:sz w:val="27"/>
          <w:rtl/>
          <w:lang w:bidi="fa-IR"/>
        </w:rPr>
        <w:t>أمروهم بالمعروف و</w:t>
      </w:r>
      <w:r w:rsidRPr="00904FCB">
        <w:rPr>
          <w:rFonts w:ascii="Times New Roman" w:hAnsi="Times New Roman" w:hint="cs"/>
          <w:sz w:val="27"/>
          <w:rtl/>
          <w:lang w:bidi="fa-IR"/>
        </w:rPr>
        <w:t>ي</w:t>
      </w:r>
      <w:r w:rsidRPr="00904FCB">
        <w:rPr>
          <w:rFonts w:hint="cs"/>
          <w:sz w:val="27"/>
          <w:rtl/>
          <w:lang w:bidi="fa-IR"/>
        </w:rPr>
        <w:t>ن</w:t>
      </w:r>
      <w:r w:rsidR="00F605E0" w:rsidRPr="00904FCB">
        <w:rPr>
          <w:rFonts w:hint="cs"/>
          <w:sz w:val="27"/>
          <w:rtl/>
          <w:lang w:bidi="fa-IR"/>
        </w:rPr>
        <w:t>ه</w:t>
      </w:r>
      <w:r w:rsidRPr="00904FCB">
        <w:rPr>
          <w:rFonts w:hint="cs"/>
          <w:sz w:val="27"/>
          <w:rtl/>
          <w:lang w:bidi="fa-IR"/>
        </w:rPr>
        <w:t>وهم عن المنكر والظلم</w:t>
      </w:r>
      <w:r w:rsidR="00F605E0" w:rsidRPr="00904FCB">
        <w:rPr>
          <w:rFonts w:hint="cs"/>
          <w:sz w:val="27"/>
          <w:rtl/>
          <w:lang w:bidi="fa-IR"/>
        </w:rPr>
        <w:t>؛</w:t>
      </w:r>
      <w:r w:rsidRPr="00904FCB">
        <w:rPr>
          <w:rFonts w:hint="cs"/>
          <w:sz w:val="27"/>
          <w:rtl/>
          <w:lang w:bidi="fa-IR"/>
        </w:rPr>
        <w:t xml:space="preserve"> لأنّ اللهَ تعال</w:t>
      </w:r>
      <w:r w:rsidRPr="00904FCB">
        <w:rPr>
          <w:rFonts w:ascii="Times New Roman" w:hAnsi="Times New Roman" w:hint="cs"/>
          <w:sz w:val="27"/>
          <w:rtl/>
          <w:lang w:bidi="fa-IR"/>
        </w:rPr>
        <w:t>ى</w:t>
      </w:r>
      <w:r w:rsidRPr="00904FCB">
        <w:rPr>
          <w:rFonts w:hint="cs"/>
          <w:sz w:val="27"/>
          <w:rtl/>
          <w:lang w:bidi="fa-IR"/>
        </w:rPr>
        <w:t xml:space="preserve"> أوجب ذلك عل</w:t>
      </w:r>
      <w:r w:rsidR="00F605E0" w:rsidRPr="00904FCB">
        <w:rPr>
          <w:rFonts w:ascii="Times New Roman" w:hAnsi="Times New Roman" w:hint="cs"/>
          <w:sz w:val="27"/>
          <w:rtl/>
          <w:lang w:bidi="fa-IR"/>
        </w:rPr>
        <w:t>ى</w:t>
      </w:r>
      <w:r w:rsidRPr="00904FCB">
        <w:rPr>
          <w:rFonts w:hint="cs"/>
          <w:sz w:val="27"/>
          <w:rtl/>
          <w:lang w:bidi="fa-IR"/>
        </w:rPr>
        <w:t xml:space="preserve"> الجم</w:t>
      </w:r>
      <w:r w:rsidRPr="00904FCB">
        <w:rPr>
          <w:rFonts w:ascii="Times New Roman" w:hAnsi="Times New Roman" w:hint="cs"/>
          <w:sz w:val="27"/>
          <w:rtl/>
          <w:lang w:bidi="fa-IR"/>
        </w:rPr>
        <w:t>ي</w:t>
      </w:r>
      <w:r w:rsidRPr="00904FCB">
        <w:rPr>
          <w:rFonts w:hint="cs"/>
          <w:sz w:val="27"/>
          <w:rtl/>
          <w:lang w:bidi="fa-IR"/>
        </w:rPr>
        <w:t>ع، واختار هذه الأم</w:t>
      </w:r>
      <w:r w:rsidR="00F605E0" w:rsidRPr="00904FCB">
        <w:rPr>
          <w:rFonts w:hint="cs"/>
          <w:sz w:val="27"/>
          <w:rtl/>
          <w:lang w:bidi="fa-IR"/>
        </w:rPr>
        <w:t>ّ</w:t>
      </w:r>
      <w:r w:rsidR="00C545CE">
        <w:rPr>
          <w:rFonts w:hint="cs"/>
          <w:sz w:val="27"/>
          <w:rtl/>
          <w:lang w:bidi="fa-IR"/>
        </w:rPr>
        <w:t>ة آخ</w:t>
      </w:r>
      <w:r w:rsidRPr="00904FCB">
        <w:rPr>
          <w:rFonts w:hint="cs"/>
          <w:sz w:val="27"/>
          <w:rtl/>
          <w:lang w:bidi="fa-IR"/>
        </w:rPr>
        <w:t>ر الأمم</w:t>
      </w:r>
      <w:r w:rsidR="00F605E0" w:rsidRPr="00904FCB">
        <w:rPr>
          <w:rFonts w:hint="cs"/>
          <w:sz w:val="27"/>
          <w:rtl/>
          <w:lang w:bidi="fa-IR"/>
        </w:rPr>
        <w:t>،</w:t>
      </w:r>
      <w:r w:rsidRPr="00904FCB">
        <w:rPr>
          <w:rFonts w:hint="cs"/>
          <w:sz w:val="27"/>
          <w:rtl/>
          <w:lang w:bidi="fa-IR"/>
        </w:rPr>
        <w:t xml:space="preserve"> ونائباً لخاتم النب</w:t>
      </w:r>
      <w:r w:rsidRPr="00904FCB">
        <w:rPr>
          <w:rFonts w:ascii="Times New Roman" w:hAnsi="Times New Roman" w:hint="cs"/>
          <w:sz w:val="27"/>
          <w:rtl/>
          <w:lang w:bidi="fa-IR"/>
        </w:rPr>
        <w:t>ي</w:t>
      </w:r>
      <w:r w:rsidR="00F605E0" w:rsidRPr="00904FCB">
        <w:rPr>
          <w:rFonts w:ascii="Times New Roman" w:hAnsi="Times New Roman" w:hint="cs"/>
          <w:sz w:val="27"/>
          <w:rtl/>
          <w:lang w:bidi="fa-IR"/>
        </w:rPr>
        <w:t>ّ</w:t>
      </w:r>
      <w:r w:rsidRPr="00904FCB">
        <w:rPr>
          <w:rFonts w:ascii="Times New Roman" w:hAnsi="Times New Roman" w:hint="cs"/>
          <w:sz w:val="27"/>
          <w:rtl/>
          <w:lang w:bidi="fa-IR"/>
        </w:rPr>
        <w:t>ي</w:t>
      </w:r>
      <w:r w:rsidRPr="00904FCB">
        <w:rPr>
          <w:rFonts w:hint="cs"/>
          <w:sz w:val="27"/>
          <w:rtl/>
          <w:lang w:bidi="fa-IR"/>
        </w:rPr>
        <w:t>ن</w:t>
      </w:r>
      <w:r w:rsidR="00635E51" w:rsidRPr="00904FCB">
        <w:rPr>
          <w:rFonts w:cs="Mosawi" w:hint="cs"/>
          <w:sz w:val="27"/>
          <w:szCs w:val="22"/>
          <w:rtl/>
          <w:lang w:bidi="fa-IR"/>
        </w:rPr>
        <w:t>|</w:t>
      </w:r>
      <w:r w:rsidRPr="00904FCB">
        <w:rPr>
          <w:rFonts w:hint="cs"/>
          <w:sz w:val="27"/>
          <w:rtl/>
          <w:lang w:bidi="fa-IR"/>
        </w:rPr>
        <w:t xml:space="preserve">. </w:t>
      </w:r>
    </w:p>
    <w:p w:rsidR="00336F3B" w:rsidRPr="00904FCB" w:rsidRDefault="00336F3B" w:rsidP="00220324">
      <w:pPr>
        <w:spacing w:line="340" w:lineRule="exact"/>
        <w:ind w:firstLine="561"/>
        <w:rPr>
          <w:sz w:val="27"/>
          <w:rtl/>
          <w:lang w:bidi="fa-IR"/>
        </w:rPr>
      </w:pPr>
    </w:p>
    <w:p w:rsidR="00336F3B" w:rsidRPr="00904FCB" w:rsidRDefault="00336F3B" w:rsidP="007A21AA">
      <w:pPr>
        <w:pStyle w:val="31"/>
        <w:spacing w:line="400" w:lineRule="exact"/>
        <w:rPr>
          <w:color w:val="auto"/>
          <w:rtl/>
          <w:lang w:bidi="fa-IR"/>
        </w:rPr>
      </w:pPr>
      <w:r w:rsidRPr="00097798">
        <w:rPr>
          <w:rFonts w:hint="cs"/>
          <w:color w:val="auto"/>
          <w:rtl/>
          <w:lang w:bidi="ar-LB"/>
        </w:rPr>
        <w:t xml:space="preserve">1ـ </w:t>
      </w:r>
      <w:r w:rsidRPr="00097798">
        <w:rPr>
          <w:rFonts w:hint="cs"/>
          <w:color w:val="auto"/>
          <w:rtl/>
          <w:lang w:bidi="fa-IR"/>
        </w:rPr>
        <w:t>معن</w:t>
      </w:r>
      <w:r w:rsidR="002F6615" w:rsidRPr="00097798">
        <w:rPr>
          <w:rFonts w:ascii="Times New Roman" w:hAnsi="Times New Roman" w:hint="cs"/>
          <w:color w:val="auto"/>
          <w:rtl/>
          <w:lang w:bidi="fa-IR"/>
        </w:rPr>
        <w:t>ى</w:t>
      </w:r>
      <w:r w:rsidRPr="00904FCB">
        <w:rPr>
          <w:rFonts w:hint="cs"/>
          <w:color w:val="auto"/>
          <w:rtl/>
          <w:lang w:bidi="fa-IR"/>
        </w:rPr>
        <w:t xml:space="preserve"> البغ</w:t>
      </w:r>
      <w:r w:rsidRPr="00904FCB">
        <w:rPr>
          <w:rFonts w:ascii="Times New Roman" w:hAnsi="Times New Roman" w:hint="cs"/>
          <w:color w:val="auto"/>
          <w:rtl/>
          <w:lang w:bidi="fa-IR"/>
        </w:rPr>
        <w:t>ي</w:t>
      </w:r>
      <w:r w:rsidRPr="00904FCB">
        <w:rPr>
          <w:rFonts w:hint="cs"/>
          <w:color w:val="auto"/>
          <w:rtl/>
          <w:lang w:bidi="fa-IR"/>
        </w:rPr>
        <w:t xml:space="preserve"> ف</w:t>
      </w:r>
      <w:r w:rsidRPr="00904FCB">
        <w:rPr>
          <w:rFonts w:ascii="Times New Roman" w:hAnsi="Times New Roman" w:hint="cs"/>
          <w:color w:val="auto"/>
          <w:rtl/>
          <w:lang w:bidi="fa-IR"/>
        </w:rPr>
        <w:t>ي</w:t>
      </w:r>
      <w:r w:rsidRPr="00904FCB">
        <w:rPr>
          <w:rFonts w:hint="cs"/>
          <w:color w:val="auto"/>
          <w:rtl/>
          <w:lang w:bidi="fa-IR"/>
        </w:rPr>
        <w:t xml:space="preserve"> اللغة</w:t>
      </w:r>
    </w:p>
    <w:p w:rsidR="00336F3B" w:rsidRPr="00904FCB" w:rsidRDefault="00336F3B" w:rsidP="007A21AA">
      <w:pPr>
        <w:spacing w:line="400" w:lineRule="exact"/>
        <w:rPr>
          <w:sz w:val="27"/>
          <w:rtl/>
          <w:lang w:bidi="fa-IR"/>
        </w:rPr>
      </w:pPr>
      <w:r w:rsidRPr="00904FCB">
        <w:rPr>
          <w:rFonts w:ascii="Times New Roman" w:hAnsi="Times New Roman" w:hint="cs"/>
          <w:sz w:val="27"/>
          <w:rtl/>
          <w:lang w:bidi="fa-IR"/>
        </w:rPr>
        <w:t>ي</w:t>
      </w:r>
      <w:r w:rsidRPr="00904FCB">
        <w:rPr>
          <w:rFonts w:hint="cs"/>
          <w:sz w:val="27"/>
          <w:rtl/>
          <w:lang w:bidi="fa-IR"/>
        </w:rPr>
        <w:t>طلق البغ</w:t>
      </w:r>
      <w:r w:rsidRPr="00904FCB">
        <w:rPr>
          <w:rFonts w:ascii="Times New Roman" w:hAnsi="Times New Roman" w:hint="cs"/>
          <w:sz w:val="27"/>
          <w:rtl/>
          <w:lang w:bidi="fa-IR"/>
        </w:rPr>
        <w:t>ي</w:t>
      </w:r>
      <w:r w:rsidRPr="00904FCB">
        <w:rPr>
          <w:rFonts w:hint="cs"/>
          <w:sz w:val="27"/>
          <w:rtl/>
          <w:lang w:bidi="fa-IR"/>
        </w:rPr>
        <w:t xml:space="preserve"> ف</w:t>
      </w:r>
      <w:r w:rsidRPr="00904FCB">
        <w:rPr>
          <w:rFonts w:ascii="Times New Roman" w:hAnsi="Times New Roman" w:hint="cs"/>
          <w:sz w:val="27"/>
          <w:rtl/>
          <w:lang w:bidi="fa-IR"/>
        </w:rPr>
        <w:t>ي</w:t>
      </w:r>
      <w:r w:rsidRPr="00904FCB">
        <w:rPr>
          <w:rFonts w:hint="cs"/>
          <w:sz w:val="27"/>
          <w:rtl/>
          <w:lang w:bidi="fa-IR"/>
        </w:rPr>
        <w:t xml:space="preserve"> اللغة عل</w:t>
      </w:r>
      <w:r w:rsidR="00F605E0" w:rsidRPr="00904FCB">
        <w:rPr>
          <w:rFonts w:ascii="Times New Roman" w:hAnsi="Times New Roman" w:hint="cs"/>
          <w:sz w:val="27"/>
          <w:rtl/>
          <w:lang w:bidi="fa-IR"/>
        </w:rPr>
        <w:t>ى</w:t>
      </w:r>
      <w:r w:rsidRPr="00904FCB">
        <w:rPr>
          <w:rFonts w:hint="cs"/>
          <w:sz w:val="27"/>
          <w:rtl/>
          <w:lang w:bidi="fa-IR"/>
        </w:rPr>
        <w:t xml:space="preserve"> معانٍ: </w:t>
      </w:r>
    </w:p>
    <w:p w:rsidR="00336F3B" w:rsidRPr="00904FCB" w:rsidRDefault="00336F3B" w:rsidP="007A21AA">
      <w:pPr>
        <w:spacing w:line="400" w:lineRule="exact"/>
        <w:rPr>
          <w:sz w:val="27"/>
          <w:rtl/>
          <w:lang w:bidi="fa-IR"/>
        </w:rPr>
      </w:pPr>
      <w:r w:rsidRPr="00904FCB">
        <w:rPr>
          <w:rFonts w:hint="cs"/>
          <w:sz w:val="27"/>
          <w:rtl/>
          <w:lang w:bidi="fa-IR"/>
        </w:rPr>
        <w:lastRenderedPageBreak/>
        <w:t>أـ هو التعد</w:t>
      </w:r>
      <w:r w:rsidR="00D9608B" w:rsidRPr="00904FCB">
        <w:rPr>
          <w:rFonts w:hint="cs"/>
          <w:sz w:val="27"/>
          <w:rtl/>
          <w:lang w:bidi="fa-IR"/>
        </w:rPr>
        <w:t>ّ</w:t>
      </w:r>
      <w:r w:rsidRPr="00904FCB">
        <w:rPr>
          <w:rFonts w:ascii="Times New Roman" w:hAnsi="Times New Roman" w:hint="cs"/>
          <w:sz w:val="27"/>
          <w:rtl/>
          <w:lang w:bidi="fa-IR"/>
        </w:rPr>
        <w:t>ي</w:t>
      </w:r>
      <w:r w:rsidRPr="00904FCB">
        <w:rPr>
          <w:rFonts w:hint="cs"/>
          <w:sz w:val="27"/>
          <w:rtl/>
          <w:lang w:bidi="fa-IR"/>
        </w:rPr>
        <w:t>، وهو كل</w:t>
      </w:r>
      <w:r w:rsidR="00D9608B" w:rsidRPr="00904FCB">
        <w:rPr>
          <w:rFonts w:hint="cs"/>
          <w:sz w:val="27"/>
          <w:rtl/>
          <w:lang w:bidi="fa-IR"/>
        </w:rPr>
        <w:t>ّ</w:t>
      </w:r>
      <w:r w:rsidRPr="00904FCB">
        <w:rPr>
          <w:rFonts w:hint="cs"/>
          <w:sz w:val="27"/>
          <w:rtl/>
          <w:lang w:bidi="fa-IR"/>
        </w:rPr>
        <w:t xml:space="preserve"> ش</w:t>
      </w:r>
      <w:r w:rsidRPr="00904FCB">
        <w:rPr>
          <w:rFonts w:ascii="Times New Roman" w:hAnsi="Times New Roman" w:hint="cs"/>
          <w:sz w:val="27"/>
          <w:rtl/>
          <w:lang w:bidi="fa-IR"/>
        </w:rPr>
        <w:t>ي</w:t>
      </w:r>
      <w:r w:rsidRPr="00904FCB">
        <w:rPr>
          <w:rFonts w:hint="cs"/>
          <w:sz w:val="27"/>
          <w:rtl/>
          <w:lang w:bidi="fa-IR"/>
        </w:rPr>
        <w:t xml:space="preserve"> ءٍ جاوز حدّه، أ</w:t>
      </w:r>
      <w:r w:rsidRPr="00904FCB">
        <w:rPr>
          <w:rFonts w:ascii="Times New Roman" w:hAnsi="Times New Roman" w:hint="cs"/>
          <w:sz w:val="27"/>
          <w:rtl/>
          <w:lang w:bidi="fa-IR"/>
        </w:rPr>
        <w:t>ي</w:t>
      </w:r>
      <w:r w:rsidRPr="00904FCB">
        <w:rPr>
          <w:rFonts w:hint="cs"/>
          <w:sz w:val="27"/>
          <w:rtl/>
          <w:lang w:bidi="fa-IR"/>
        </w:rPr>
        <w:t xml:space="preserve"> الز</w:t>
      </w:r>
      <w:r w:rsidRPr="00904FCB">
        <w:rPr>
          <w:rFonts w:ascii="Times New Roman" w:hAnsi="Times New Roman" w:hint="cs"/>
          <w:sz w:val="27"/>
          <w:rtl/>
          <w:lang w:bidi="fa-IR"/>
        </w:rPr>
        <w:t>ي</w:t>
      </w:r>
      <w:r w:rsidRPr="00904FCB">
        <w:rPr>
          <w:rFonts w:hint="cs"/>
          <w:sz w:val="27"/>
          <w:rtl/>
          <w:lang w:bidi="fa-IR"/>
        </w:rPr>
        <w:t>ارة</w:t>
      </w:r>
      <w:r w:rsidR="00340818" w:rsidRPr="00904FCB">
        <w:rPr>
          <w:rFonts w:hint="cs"/>
          <w:sz w:val="27"/>
          <w:rtl/>
          <w:lang w:bidi="fa-IR"/>
        </w:rPr>
        <w:t xml:space="preserve"> على </w:t>
      </w:r>
      <w:r w:rsidRPr="00904FCB">
        <w:rPr>
          <w:rFonts w:hint="cs"/>
          <w:sz w:val="27"/>
          <w:rtl/>
          <w:lang w:bidi="fa-IR"/>
        </w:rPr>
        <w:t>القدر الذ</w:t>
      </w:r>
      <w:r w:rsidRPr="00904FCB">
        <w:rPr>
          <w:rFonts w:ascii="Times New Roman" w:hAnsi="Times New Roman" w:hint="cs"/>
          <w:sz w:val="27"/>
          <w:rtl/>
          <w:lang w:bidi="fa-IR"/>
        </w:rPr>
        <w:t>ي</w:t>
      </w:r>
      <w:r w:rsidRPr="00904FCB">
        <w:rPr>
          <w:rFonts w:hint="cs"/>
          <w:sz w:val="27"/>
          <w:rtl/>
          <w:lang w:bidi="fa-IR"/>
        </w:rPr>
        <w:t xml:space="preserve"> هو حد</w:t>
      </w:r>
      <w:r w:rsidR="00D9608B" w:rsidRPr="00904FCB">
        <w:rPr>
          <w:rFonts w:hint="cs"/>
          <w:sz w:val="27"/>
          <w:rtl/>
          <w:lang w:bidi="fa-IR"/>
        </w:rPr>
        <w:t>ّ</w:t>
      </w:r>
      <w:r w:rsidRPr="00904FCB">
        <w:rPr>
          <w:rFonts w:hint="cs"/>
          <w:sz w:val="27"/>
          <w:rtl/>
          <w:lang w:bidi="fa-IR"/>
        </w:rPr>
        <w:t>ه، الحسد، الكبر، قصد الفساد، الظلم والكذب</w:t>
      </w:r>
      <w:r w:rsidRPr="00904FCB">
        <w:rPr>
          <w:rFonts w:hint="cs"/>
          <w:sz w:val="27"/>
          <w:vertAlign w:val="superscript"/>
          <w:rtl/>
        </w:rPr>
        <w:t>(</w:t>
      </w:r>
      <w:r w:rsidRPr="00904FCB">
        <w:rPr>
          <w:rStyle w:val="ac"/>
          <w:sz w:val="27"/>
          <w:rtl/>
        </w:rPr>
        <w:endnoteReference w:id="611"/>
      </w:r>
      <w:r w:rsidRPr="00904FCB">
        <w:rPr>
          <w:rFonts w:hint="cs"/>
          <w:sz w:val="27"/>
          <w:vertAlign w:val="superscript"/>
          <w:rtl/>
        </w:rPr>
        <w:t>)</w:t>
      </w:r>
      <w:r w:rsidRPr="00904FCB">
        <w:rPr>
          <w:rFonts w:hint="cs"/>
          <w:sz w:val="27"/>
          <w:rtl/>
          <w:lang w:bidi="fa-IR"/>
        </w:rPr>
        <w:t xml:space="preserve">. </w:t>
      </w:r>
    </w:p>
    <w:p w:rsidR="00336F3B" w:rsidRPr="00904FCB" w:rsidRDefault="00336F3B" w:rsidP="007A21AA">
      <w:pPr>
        <w:spacing w:line="400" w:lineRule="exact"/>
        <w:rPr>
          <w:sz w:val="27"/>
          <w:rtl/>
          <w:lang w:bidi="fa-IR"/>
        </w:rPr>
      </w:pPr>
      <w:r w:rsidRPr="00904FCB">
        <w:rPr>
          <w:rFonts w:hint="cs"/>
          <w:sz w:val="27"/>
          <w:rtl/>
          <w:lang w:bidi="fa-IR"/>
        </w:rPr>
        <w:t xml:space="preserve">ب ـ الطلب مع </w:t>
      </w:r>
      <w:r w:rsidR="00B2457B" w:rsidRPr="00904FCB">
        <w:rPr>
          <w:rFonts w:hint="cs"/>
          <w:sz w:val="27"/>
          <w:rtl/>
          <w:lang w:bidi="fa-IR"/>
        </w:rPr>
        <w:t xml:space="preserve">تجاوز </w:t>
      </w:r>
      <w:r w:rsidRPr="00904FCB">
        <w:rPr>
          <w:rFonts w:hint="cs"/>
          <w:sz w:val="27"/>
          <w:rtl/>
          <w:lang w:bidi="fa-IR"/>
        </w:rPr>
        <w:t>الحدّ، و</w:t>
      </w:r>
      <w:r w:rsidRPr="00904FCB">
        <w:rPr>
          <w:rFonts w:ascii="Times New Roman" w:hAnsi="Times New Roman" w:hint="cs"/>
          <w:sz w:val="27"/>
          <w:rtl/>
          <w:lang w:bidi="fa-IR"/>
        </w:rPr>
        <w:t>ي</w:t>
      </w:r>
      <w:r w:rsidRPr="00904FCB">
        <w:rPr>
          <w:rFonts w:hint="cs"/>
          <w:sz w:val="27"/>
          <w:rtl/>
          <w:lang w:bidi="fa-IR"/>
        </w:rPr>
        <w:t>جتمع هذا المعن</w:t>
      </w:r>
      <w:r w:rsidR="00D9608B" w:rsidRPr="00904FCB">
        <w:rPr>
          <w:rFonts w:ascii="Times New Roman" w:hAnsi="Times New Roman" w:hint="cs"/>
          <w:sz w:val="27"/>
          <w:rtl/>
          <w:lang w:bidi="fa-IR"/>
        </w:rPr>
        <w:t>ى</w:t>
      </w:r>
      <w:r w:rsidRPr="00904FCB">
        <w:rPr>
          <w:rFonts w:hint="cs"/>
          <w:sz w:val="27"/>
          <w:rtl/>
          <w:lang w:bidi="fa-IR"/>
        </w:rPr>
        <w:t xml:space="preserve"> مع مطلق الاعتداء</w:t>
      </w:r>
      <w:r w:rsidR="00D9608B" w:rsidRPr="00904FCB">
        <w:rPr>
          <w:rFonts w:hint="cs"/>
          <w:sz w:val="27"/>
          <w:rtl/>
          <w:lang w:bidi="fa-IR"/>
        </w:rPr>
        <w:t>؛</w:t>
      </w:r>
      <w:r w:rsidRPr="00904FCB">
        <w:rPr>
          <w:rFonts w:hint="cs"/>
          <w:sz w:val="27"/>
          <w:rtl/>
          <w:lang w:bidi="fa-IR"/>
        </w:rPr>
        <w:t xml:space="preserve"> لأنّ الاعتداء لا </w:t>
      </w:r>
      <w:r w:rsidRPr="00904FCB">
        <w:rPr>
          <w:rFonts w:ascii="Times New Roman" w:hAnsi="Times New Roman" w:hint="cs"/>
          <w:sz w:val="27"/>
          <w:rtl/>
          <w:lang w:bidi="fa-IR"/>
        </w:rPr>
        <w:t>ي</w:t>
      </w:r>
      <w:r w:rsidRPr="00904FCB">
        <w:rPr>
          <w:rFonts w:hint="cs"/>
          <w:sz w:val="27"/>
          <w:rtl/>
          <w:lang w:bidi="fa-IR"/>
        </w:rPr>
        <w:t>فارق</w:t>
      </w:r>
      <w:r w:rsidR="00C545CE">
        <w:rPr>
          <w:rFonts w:hint="cs"/>
          <w:sz w:val="27"/>
          <w:rtl/>
          <w:lang w:bidi="fa-IR"/>
        </w:rPr>
        <w:t xml:space="preserve"> الطلب، كلّما وُجد الاعتداء وُج</w:t>
      </w:r>
      <w:r w:rsidRPr="00904FCB">
        <w:rPr>
          <w:rFonts w:hint="cs"/>
          <w:sz w:val="27"/>
          <w:rtl/>
          <w:lang w:bidi="fa-IR"/>
        </w:rPr>
        <w:t>د الطلب أ</w:t>
      </w:r>
      <w:r w:rsidRPr="00904FCB">
        <w:rPr>
          <w:rFonts w:ascii="Times New Roman" w:hAnsi="Times New Roman" w:hint="cs"/>
          <w:sz w:val="27"/>
          <w:rtl/>
          <w:lang w:bidi="fa-IR"/>
        </w:rPr>
        <w:t>ي</w:t>
      </w:r>
      <w:r w:rsidRPr="00904FCB">
        <w:rPr>
          <w:rFonts w:hint="cs"/>
          <w:sz w:val="27"/>
          <w:rtl/>
          <w:lang w:bidi="fa-IR"/>
        </w:rPr>
        <w:t>ضاً</w:t>
      </w:r>
      <w:r w:rsidRPr="00904FCB">
        <w:rPr>
          <w:rFonts w:hint="cs"/>
          <w:sz w:val="27"/>
          <w:vertAlign w:val="superscript"/>
          <w:rtl/>
        </w:rPr>
        <w:t>(</w:t>
      </w:r>
      <w:r w:rsidRPr="00904FCB">
        <w:rPr>
          <w:rStyle w:val="ac"/>
          <w:sz w:val="27"/>
          <w:rtl/>
        </w:rPr>
        <w:endnoteReference w:id="612"/>
      </w:r>
      <w:r w:rsidRPr="00904FCB">
        <w:rPr>
          <w:rFonts w:hint="cs"/>
          <w:sz w:val="27"/>
          <w:vertAlign w:val="superscript"/>
          <w:rtl/>
        </w:rPr>
        <w:t>)</w:t>
      </w:r>
      <w:r w:rsidRPr="00904FCB">
        <w:rPr>
          <w:rFonts w:hint="cs"/>
          <w:sz w:val="27"/>
          <w:rtl/>
          <w:lang w:bidi="fa-IR"/>
        </w:rPr>
        <w:t xml:space="preserve">. </w:t>
      </w:r>
    </w:p>
    <w:p w:rsidR="00336F3B" w:rsidRPr="00904FCB" w:rsidRDefault="00336F3B" w:rsidP="007A21AA">
      <w:pPr>
        <w:spacing w:line="400" w:lineRule="exact"/>
        <w:rPr>
          <w:sz w:val="27"/>
          <w:rtl/>
          <w:lang w:bidi="fa-IR"/>
        </w:rPr>
      </w:pPr>
      <w:r w:rsidRPr="00904FCB">
        <w:rPr>
          <w:rFonts w:hint="cs"/>
          <w:sz w:val="27"/>
          <w:rtl/>
          <w:lang w:bidi="fa-IR"/>
        </w:rPr>
        <w:t>قسّم الراغبُ البغ</w:t>
      </w:r>
      <w:r w:rsidRPr="00904FCB">
        <w:rPr>
          <w:rFonts w:ascii="Times New Roman" w:hAnsi="Times New Roman" w:hint="cs"/>
          <w:sz w:val="27"/>
          <w:rtl/>
          <w:lang w:bidi="fa-IR"/>
        </w:rPr>
        <w:t>ي</w:t>
      </w:r>
      <w:r w:rsidR="00340818" w:rsidRPr="00904FCB">
        <w:rPr>
          <w:rFonts w:hint="cs"/>
          <w:sz w:val="27"/>
          <w:rtl/>
          <w:lang w:bidi="fa-IR"/>
        </w:rPr>
        <w:t xml:space="preserve"> إلى</w:t>
      </w:r>
      <w:r w:rsidR="00D9608B" w:rsidRPr="00904FCB">
        <w:rPr>
          <w:rFonts w:hint="cs"/>
          <w:sz w:val="27"/>
          <w:rtl/>
          <w:lang w:bidi="fa-IR"/>
        </w:rPr>
        <w:t>:</w:t>
      </w:r>
      <w:r w:rsidR="00340818" w:rsidRPr="00904FCB">
        <w:rPr>
          <w:rFonts w:hint="cs"/>
          <w:sz w:val="27"/>
          <w:rtl/>
          <w:lang w:bidi="fa-IR"/>
        </w:rPr>
        <w:t xml:space="preserve"> </w:t>
      </w:r>
      <w:r w:rsidRPr="00904FCB">
        <w:rPr>
          <w:rFonts w:hint="cs"/>
          <w:sz w:val="27"/>
          <w:rtl/>
          <w:lang w:bidi="fa-IR"/>
        </w:rPr>
        <w:t>مذموم</w:t>
      </w:r>
      <w:r w:rsidR="00D9608B" w:rsidRPr="00904FCB">
        <w:rPr>
          <w:rFonts w:hint="cs"/>
          <w:sz w:val="27"/>
          <w:rtl/>
          <w:lang w:bidi="fa-IR"/>
        </w:rPr>
        <w:t>؛</w:t>
      </w:r>
      <w:r w:rsidRPr="00904FCB">
        <w:rPr>
          <w:rFonts w:hint="cs"/>
          <w:sz w:val="27"/>
          <w:rtl/>
          <w:lang w:bidi="fa-IR"/>
        </w:rPr>
        <w:t xml:space="preserve"> وممدوح</w:t>
      </w:r>
      <w:r w:rsidR="00D9608B" w:rsidRPr="00904FCB">
        <w:rPr>
          <w:rFonts w:hint="cs"/>
          <w:sz w:val="27"/>
          <w:rtl/>
          <w:lang w:bidi="fa-IR"/>
        </w:rPr>
        <w:t>.</w:t>
      </w:r>
      <w:r w:rsidRPr="00904FCB">
        <w:rPr>
          <w:rFonts w:hint="cs"/>
          <w:sz w:val="27"/>
          <w:rtl/>
          <w:lang w:bidi="fa-IR"/>
        </w:rPr>
        <w:t xml:space="preserve"> فالممدوح أن </w:t>
      </w:r>
      <w:r w:rsidRPr="00904FCB">
        <w:rPr>
          <w:rFonts w:ascii="Times New Roman" w:hAnsi="Times New Roman" w:hint="cs"/>
          <w:sz w:val="27"/>
          <w:rtl/>
          <w:lang w:bidi="fa-IR"/>
        </w:rPr>
        <w:t>ي</w:t>
      </w:r>
      <w:r w:rsidRPr="00904FCB">
        <w:rPr>
          <w:rFonts w:hint="cs"/>
          <w:sz w:val="27"/>
          <w:rtl/>
          <w:lang w:bidi="fa-IR"/>
        </w:rPr>
        <w:t>فوق الرجلُ الع</w:t>
      </w:r>
      <w:r w:rsidR="00D9608B" w:rsidRPr="00904FCB">
        <w:rPr>
          <w:rFonts w:hint="cs"/>
          <w:sz w:val="27"/>
          <w:rtl/>
          <w:lang w:bidi="fa-IR"/>
        </w:rPr>
        <w:t>َ</w:t>
      </w:r>
      <w:r w:rsidRPr="00904FCB">
        <w:rPr>
          <w:rFonts w:hint="cs"/>
          <w:sz w:val="27"/>
          <w:rtl/>
          <w:lang w:bidi="fa-IR"/>
        </w:rPr>
        <w:t>د</w:t>
      </w:r>
      <w:r w:rsidR="00D9608B" w:rsidRPr="00904FCB">
        <w:rPr>
          <w:rFonts w:hint="cs"/>
          <w:sz w:val="27"/>
          <w:rtl/>
          <w:lang w:bidi="fa-IR"/>
        </w:rPr>
        <w:t>ْ</w:t>
      </w:r>
      <w:r w:rsidRPr="00904FCB">
        <w:rPr>
          <w:rFonts w:hint="cs"/>
          <w:sz w:val="27"/>
          <w:rtl/>
          <w:lang w:bidi="fa-IR"/>
        </w:rPr>
        <w:t>لَ</w:t>
      </w:r>
      <w:r w:rsidR="00D9608B" w:rsidRPr="00904FCB">
        <w:rPr>
          <w:rFonts w:hint="cs"/>
          <w:sz w:val="27"/>
          <w:rtl/>
          <w:lang w:bidi="fa-IR"/>
        </w:rPr>
        <w:t>،</w:t>
      </w:r>
      <w:r w:rsidRPr="00904FCB">
        <w:rPr>
          <w:rFonts w:hint="cs"/>
          <w:sz w:val="27"/>
          <w:rtl/>
          <w:lang w:bidi="fa-IR"/>
        </w:rPr>
        <w:t xml:space="preserve"> و</w:t>
      </w:r>
      <w:r w:rsidRPr="00904FCB">
        <w:rPr>
          <w:rFonts w:ascii="Times New Roman" w:hAnsi="Times New Roman" w:hint="cs"/>
          <w:sz w:val="27"/>
          <w:rtl/>
          <w:lang w:bidi="fa-IR"/>
        </w:rPr>
        <w:t>ي</w:t>
      </w:r>
      <w:r w:rsidRPr="00904FCB">
        <w:rPr>
          <w:rFonts w:hint="cs"/>
          <w:sz w:val="27"/>
          <w:rtl/>
          <w:lang w:bidi="fa-IR"/>
        </w:rPr>
        <w:t>قوم بالإحسان</w:t>
      </w:r>
      <w:r w:rsidR="00D9608B" w:rsidRPr="00904FCB">
        <w:rPr>
          <w:rFonts w:hint="cs"/>
          <w:sz w:val="27"/>
          <w:rtl/>
          <w:lang w:bidi="fa-IR"/>
        </w:rPr>
        <w:t>،</w:t>
      </w:r>
      <w:r w:rsidRPr="00904FCB">
        <w:rPr>
          <w:rFonts w:hint="cs"/>
          <w:sz w:val="27"/>
          <w:rtl/>
          <w:lang w:bidi="fa-IR"/>
        </w:rPr>
        <w:t xml:space="preserve"> مع إت</w:t>
      </w:r>
      <w:r w:rsidRPr="00904FCB">
        <w:rPr>
          <w:rFonts w:ascii="Times New Roman" w:hAnsi="Times New Roman" w:hint="cs"/>
          <w:sz w:val="27"/>
          <w:rtl/>
          <w:lang w:bidi="fa-IR"/>
        </w:rPr>
        <w:t>ي</w:t>
      </w:r>
      <w:r w:rsidRPr="00904FCB">
        <w:rPr>
          <w:rFonts w:hint="cs"/>
          <w:sz w:val="27"/>
          <w:rtl/>
          <w:lang w:bidi="fa-IR"/>
        </w:rPr>
        <w:t>انه بالواجبات والمندوبات</w:t>
      </w:r>
      <w:r w:rsidR="00D9608B" w:rsidRPr="00904FCB">
        <w:rPr>
          <w:rFonts w:hint="cs"/>
          <w:sz w:val="27"/>
          <w:rtl/>
          <w:lang w:bidi="fa-IR"/>
        </w:rPr>
        <w:t>؛</w:t>
      </w:r>
      <w:r w:rsidRPr="00904FCB">
        <w:rPr>
          <w:rFonts w:hint="cs"/>
          <w:sz w:val="27"/>
          <w:rtl/>
          <w:lang w:bidi="fa-IR"/>
        </w:rPr>
        <w:t xml:space="preserve"> والبغ</w:t>
      </w:r>
      <w:r w:rsidRPr="00904FCB">
        <w:rPr>
          <w:rFonts w:ascii="Times New Roman" w:hAnsi="Times New Roman" w:hint="cs"/>
          <w:sz w:val="27"/>
          <w:rtl/>
          <w:lang w:bidi="fa-IR"/>
        </w:rPr>
        <w:t>ي</w:t>
      </w:r>
      <w:r w:rsidRPr="00904FCB">
        <w:rPr>
          <w:rFonts w:hint="cs"/>
          <w:sz w:val="27"/>
          <w:rtl/>
          <w:lang w:bidi="fa-IR"/>
        </w:rPr>
        <w:t xml:space="preserve"> المذموم هو</w:t>
      </w:r>
      <w:r w:rsidR="00D9608B" w:rsidRPr="00904FCB">
        <w:rPr>
          <w:rFonts w:hint="cs"/>
          <w:sz w:val="27"/>
          <w:rtl/>
          <w:lang w:bidi="fa-IR"/>
        </w:rPr>
        <w:t xml:space="preserve"> </w:t>
      </w:r>
      <w:r w:rsidR="00B2457B" w:rsidRPr="00904FCB">
        <w:rPr>
          <w:rFonts w:hint="cs"/>
          <w:sz w:val="27"/>
          <w:rtl/>
          <w:lang w:bidi="fa-IR"/>
        </w:rPr>
        <w:t>تجاوز الحدّ</w:t>
      </w:r>
      <w:r w:rsidRPr="00904FCB">
        <w:rPr>
          <w:rFonts w:hint="cs"/>
          <w:sz w:val="27"/>
          <w:rtl/>
          <w:lang w:bidi="fa-IR"/>
        </w:rPr>
        <w:t>، والم</w:t>
      </w:r>
      <w:r w:rsidRPr="00904FCB">
        <w:rPr>
          <w:rFonts w:ascii="Times New Roman" w:hAnsi="Times New Roman" w:hint="cs"/>
          <w:sz w:val="27"/>
          <w:rtl/>
          <w:lang w:bidi="fa-IR"/>
        </w:rPr>
        <w:t>ي</w:t>
      </w:r>
      <w:r w:rsidRPr="00904FCB">
        <w:rPr>
          <w:rFonts w:hint="cs"/>
          <w:sz w:val="27"/>
          <w:rtl/>
          <w:lang w:bidi="fa-IR"/>
        </w:rPr>
        <w:t>ل إل</w:t>
      </w:r>
      <w:r w:rsidRPr="00904FCB">
        <w:rPr>
          <w:rFonts w:ascii="Times New Roman" w:hAnsi="Times New Roman" w:hint="cs"/>
          <w:sz w:val="27"/>
          <w:rtl/>
          <w:lang w:bidi="fa-IR"/>
        </w:rPr>
        <w:t>ى</w:t>
      </w:r>
      <w:r w:rsidRPr="00904FCB">
        <w:rPr>
          <w:rFonts w:hint="cs"/>
          <w:sz w:val="27"/>
          <w:rtl/>
          <w:lang w:bidi="fa-IR"/>
        </w:rPr>
        <w:t xml:space="preserve"> الباطل</w:t>
      </w:r>
      <w:r w:rsidRPr="00904FCB">
        <w:rPr>
          <w:rFonts w:hint="cs"/>
          <w:sz w:val="27"/>
          <w:vertAlign w:val="superscript"/>
          <w:rtl/>
        </w:rPr>
        <w:t>(</w:t>
      </w:r>
      <w:r w:rsidRPr="00904FCB">
        <w:rPr>
          <w:rStyle w:val="ac"/>
          <w:sz w:val="27"/>
          <w:rtl/>
        </w:rPr>
        <w:endnoteReference w:id="613"/>
      </w:r>
      <w:r w:rsidRPr="00904FCB">
        <w:rPr>
          <w:rFonts w:hint="cs"/>
          <w:sz w:val="27"/>
          <w:vertAlign w:val="superscript"/>
          <w:rtl/>
        </w:rPr>
        <w:t>)</w:t>
      </w:r>
      <w:r w:rsidRPr="00904FCB">
        <w:rPr>
          <w:rFonts w:hint="cs"/>
          <w:sz w:val="27"/>
          <w:rtl/>
          <w:lang w:bidi="fa-IR"/>
        </w:rPr>
        <w:t xml:space="preserve">. </w:t>
      </w:r>
    </w:p>
    <w:p w:rsidR="00336F3B" w:rsidRPr="00904FCB" w:rsidRDefault="00336F3B" w:rsidP="007A21AA">
      <w:pPr>
        <w:spacing w:line="400" w:lineRule="exact"/>
        <w:rPr>
          <w:sz w:val="27"/>
          <w:rtl/>
          <w:lang w:bidi="fa-IR"/>
        </w:rPr>
      </w:pPr>
    </w:p>
    <w:p w:rsidR="00336F3B" w:rsidRPr="00904FCB" w:rsidRDefault="00336F3B" w:rsidP="007A21AA">
      <w:pPr>
        <w:pStyle w:val="31"/>
        <w:spacing w:line="400" w:lineRule="exact"/>
        <w:rPr>
          <w:color w:val="auto"/>
          <w:rtl/>
          <w:lang w:bidi="fa-IR"/>
        </w:rPr>
      </w:pPr>
      <w:r w:rsidRPr="00097798">
        <w:rPr>
          <w:rFonts w:hint="cs"/>
          <w:color w:val="auto"/>
          <w:rtl/>
          <w:lang w:bidi="ar-LB"/>
        </w:rPr>
        <w:t xml:space="preserve">2ـ </w:t>
      </w:r>
      <w:r w:rsidRPr="00097798">
        <w:rPr>
          <w:rFonts w:hint="cs"/>
          <w:color w:val="auto"/>
          <w:rtl/>
          <w:lang w:bidi="fa-IR"/>
        </w:rPr>
        <w:t>تعر</w:t>
      </w:r>
      <w:r w:rsidRPr="00097798">
        <w:rPr>
          <w:rFonts w:ascii="Times New Roman" w:hAnsi="Times New Roman" w:hint="cs"/>
          <w:color w:val="auto"/>
          <w:rtl/>
          <w:lang w:bidi="fa-IR"/>
        </w:rPr>
        <w:t>ي</w:t>
      </w:r>
      <w:r w:rsidRPr="00097798">
        <w:rPr>
          <w:rFonts w:hint="cs"/>
          <w:color w:val="auto"/>
          <w:rtl/>
          <w:lang w:bidi="fa-IR"/>
        </w:rPr>
        <w:t>ف</w:t>
      </w:r>
      <w:r w:rsidRPr="00904FCB">
        <w:rPr>
          <w:rFonts w:hint="cs"/>
          <w:color w:val="auto"/>
          <w:rtl/>
          <w:lang w:bidi="fa-IR"/>
        </w:rPr>
        <w:t xml:space="preserve"> البغ</w:t>
      </w:r>
      <w:r w:rsidRPr="00904FCB">
        <w:rPr>
          <w:rFonts w:ascii="Times New Roman" w:hAnsi="Times New Roman" w:hint="cs"/>
          <w:color w:val="auto"/>
          <w:rtl/>
          <w:lang w:bidi="fa-IR"/>
        </w:rPr>
        <w:t>ي</w:t>
      </w:r>
      <w:r w:rsidRPr="00904FCB">
        <w:rPr>
          <w:rFonts w:hint="cs"/>
          <w:color w:val="auto"/>
          <w:rtl/>
          <w:lang w:bidi="fa-IR"/>
        </w:rPr>
        <w:t xml:space="preserve"> اصطلاحاً</w:t>
      </w:r>
    </w:p>
    <w:p w:rsidR="00336F3B" w:rsidRPr="00904FCB" w:rsidRDefault="00336F3B" w:rsidP="007A21AA">
      <w:pPr>
        <w:spacing w:line="400" w:lineRule="exact"/>
        <w:rPr>
          <w:sz w:val="27"/>
          <w:rtl/>
          <w:lang w:bidi="fa-IR"/>
        </w:rPr>
      </w:pPr>
      <w:r w:rsidRPr="00904FCB">
        <w:rPr>
          <w:rFonts w:hint="cs"/>
          <w:sz w:val="27"/>
          <w:rtl/>
          <w:lang w:bidi="fa-IR"/>
        </w:rPr>
        <w:t>ذكر الفقهاء للبغ</w:t>
      </w:r>
      <w:r w:rsidRPr="00904FCB">
        <w:rPr>
          <w:rFonts w:ascii="Times New Roman" w:hAnsi="Times New Roman" w:hint="cs"/>
          <w:sz w:val="27"/>
          <w:rtl/>
          <w:lang w:bidi="fa-IR"/>
        </w:rPr>
        <w:t>ي</w:t>
      </w:r>
      <w:r w:rsidRPr="00904FCB">
        <w:rPr>
          <w:rFonts w:hint="cs"/>
          <w:sz w:val="27"/>
          <w:rtl/>
          <w:lang w:bidi="fa-IR"/>
        </w:rPr>
        <w:t xml:space="preserve"> حدوداً مختلفة، أهم</w:t>
      </w:r>
      <w:r w:rsidR="00D9608B" w:rsidRPr="00904FCB">
        <w:rPr>
          <w:rFonts w:hint="cs"/>
          <w:sz w:val="27"/>
          <w:rtl/>
          <w:lang w:bidi="fa-IR"/>
        </w:rPr>
        <w:t>ّ</w:t>
      </w:r>
      <w:r w:rsidRPr="00904FCB">
        <w:rPr>
          <w:rFonts w:hint="cs"/>
          <w:sz w:val="27"/>
          <w:rtl/>
          <w:lang w:bidi="fa-IR"/>
        </w:rPr>
        <w:t xml:space="preserve">ها: </w:t>
      </w:r>
    </w:p>
    <w:p w:rsidR="00336F3B" w:rsidRPr="00904FCB" w:rsidRDefault="00336F3B" w:rsidP="007A21AA">
      <w:pPr>
        <w:spacing w:line="400" w:lineRule="exact"/>
        <w:rPr>
          <w:sz w:val="27"/>
          <w:rtl/>
          <w:lang w:bidi="fa-IR"/>
        </w:rPr>
      </w:pPr>
      <w:r w:rsidRPr="00904FCB">
        <w:rPr>
          <w:rFonts w:hint="cs"/>
          <w:sz w:val="27"/>
          <w:rtl/>
          <w:lang w:bidi="fa-IR"/>
        </w:rPr>
        <w:t>أـ عرّ</w:t>
      </w:r>
      <w:r w:rsidR="00D9608B" w:rsidRPr="00904FCB">
        <w:rPr>
          <w:rFonts w:hint="cs"/>
          <w:sz w:val="27"/>
          <w:rtl/>
          <w:lang w:bidi="fa-IR"/>
        </w:rPr>
        <w:t>ّ</w:t>
      </w:r>
      <w:r w:rsidRPr="00904FCB">
        <w:rPr>
          <w:rFonts w:hint="cs"/>
          <w:sz w:val="27"/>
          <w:rtl/>
          <w:lang w:bidi="fa-IR"/>
        </w:rPr>
        <w:t>ف بعض</w:t>
      </w:r>
      <w:r w:rsidR="00670C84" w:rsidRPr="00904FCB">
        <w:rPr>
          <w:rFonts w:hint="cs"/>
          <w:sz w:val="27"/>
          <w:rtl/>
          <w:lang w:bidi="fa-IR"/>
        </w:rPr>
        <w:t>ُ</w:t>
      </w:r>
      <w:r w:rsidRPr="00904FCB">
        <w:rPr>
          <w:rFonts w:hint="cs"/>
          <w:sz w:val="27"/>
          <w:rtl/>
          <w:lang w:bidi="fa-IR"/>
        </w:rPr>
        <w:t xml:space="preserve"> الفقهاء </w:t>
      </w:r>
      <w:r w:rsidR="00670C84" w:rsidRPr="00904FCB">
        <w:rPr>
          <w:rFonts w:hint="cs"/>
          <w:sz w:val="27"/>
          <w:rtl/>
          <w:lang w:bidi="fa-IR"/>
        </w:rPr>
        <w:t>الباغي بقولهم</w:t>
      </w:r>
      <w:r w:rsidRPr="00904FCB">
        <w:rPr>
          <w:rFonts w:hint="cs"/>
          <w:sz w:val="27"/>
          <w:rtl/>
          <w:lang w:bidi="fa-IR"/>
        </w:rPr>
        <w:t>: «م</w:t>
      </w:r>
      <w:r w:rsidR="00D9608B" w:rsidRPr="00904FCB">
        <w:rPr>
          <w:rFonts w:hint="cs"/>
          <w:sz w:val="27"/>
          <w:rtl/>
          <w:lang w:bidi="fa-IR"/>
        </w:rPr>
        <w:t>َ</w:t>
      </w:r>
      <w:r w:rsidRPr="00904FCB">
        <w:rPr>
          <w:rFonts w:hint="cs"/>
          <w:sz w:val="27"/>
          <w:rtl/>
          <w:lang w:bidi="fa-IR"/>
        </w:rPr>
        <w:t>ن</w:t>
      </w:r>
      <w:r w:rsidR="00D9608B" w:rsidRPr="00904FCB">
        <w:rPr>
          <w:rFonts w:hint="cs"/>
          <w:sz w:val="27"/>
          <w:rtl/>
          <w:lang w:bidi="fa-IR"/>
        </w:rPr>
        <w:t>ْ</w:t>
      </w:r>
      <w:r w:rsidRPr="00904FCB">
        <w:rPr>
          <w:rFonts w:hint="cs"/>
          <w:sz w:val="27"/>
          <w:rtl/>
          <w:lang w:bidi="fa-IR"/>
        </w:rPr>
        <w:t xml:space="preserve"> خرج</w:t>
      </w:r>
      <w:r w:rsidR="00340818" w:rsidRPr="00904FCB">
        <w:rPr>
          <w:rFonts w:hint="cs"/>
          <w:sz w:val="27"/>
          <w:rtl/>
          <w:lang w:bidi="fa-IR"/>
        </w:rPr>
        <w:t xml:space="preserve"> على </w:t>
      </w:r>
      <w:r w:rsidRPr="00904FCB">
        <w:rPr>
          <w:rFonts w:hint="cs"/>
          <w:sz w:val="27"/>
          <w:rtl/>
          <w:lang w:bidi="fa-IR"/>
        </w:rPr>
        <w:t>الإمام المعصوم فهو باغٍ</w:t>
      </w:r>
      <w:r w:rsidR="00D9608B" w:rsidRPr="00904FCB">
        <w:rPr>
          <w:rFonts w:hint="cs"/>
          <w:sz w:val="27"/>
          <w:rtl/>
          <w:lang w:bidi="fa-IR"/>
        </w:rPr>
        <w:t>،</w:t>
      </w:r>
      <w:r w:rsidRPr="00904FCB">
        <w:rPr>
          <w:rFonts w:hint="cs"/>
          <w:sz w:val="27"/>
          <w:rtl/>
          <w:lang w:bidi="fa-IR"/>
        </w:rPr>
        <w:t xml:space="preserve"> </w:t>
      </w:r>
      <w:r w:rsidRPr="00904FCB">
        <w:rPr>
          <w:rFonts w:ascii="Times New Roman" w:hAnsi="Times New Roman" w:hint="cs"/>
          <w:sz w:val="27"/>
          <w:rtl/>
          <w:lang w:bidi="fa-IR"/>
        </w:rPr>
        <w:t>ي</w:t>
      </w:r>
      <w:r w:rsidRPr="00904FCB">
        <w:rPr>
          <w:rFonts w:hint="cs"/>
          <w:sz w:val="27"/>
          <w:rtl/>
          <w:lang w:bidi="fa-IR"/>
        </w:rPr>
        <w:t>جب قتاله حتّ</w:t>
      </w:r>
      <w:r w:rsidR="00D9608B" w:rsidRPr="00904FCB">
        <w:rPr>
          <w:rFonts w:ascii="Times New Roman" w:hAnsi="Times New Roman" w:hint="cs"/>
          <w:sz w:val="27"/>
          <w:rtl/>
          <w:lang w:bidi="fa-IR"/>
        </w:rPr>
        <w:t>ى</w:t>
      </w:r>
      <w:r w:rsidRPr="00904FCB">
        <w:rPr>
          <w:rFonts w:hint="cs"/>
          <w:sz w:val="27"/>
          <w:rtl/>
          <w:lang w:bidi="fa-IR"/>
        </w:rPr>
        <w:t xml:space="preserve"> </w:t>
      </w:r>
      <w:r w:rsidRPr="00904FCB">
        <w:rPr>
          <w:rFonts w:ascii="Times New Roman" w:hAnsi="Times New Roman" w:hint="cs"/>
          <w:sz w:val="27"/>
          <w:rtl/>
          <w:lang w:bidi="fa-IR"/>
        </w:rPr>
        <w:t>ي</w:t>
      </w:r>
      <w:r w:rsidRPr="00904FCB">
        <w:rPr>
          <w:rFonts w:hint="cs"/>
          <w:sz w:val="27"/>
          <w:rtl/>
          <w:lang w:bidi="fa-IR"/>
        </w:rPr>
        <w:t>ف</w:t>
      </w:r>
      <w:r w:rsidRPr="00904FCB">
        <w:rPr>
          <w:rFonts w:ascii="Times New Roman" w:hAnsi="Times New Roman" w:hint="cs"/>
          <w:sz w:val="27"/>
          <w:rtl/>
          <w:lang w:bidi="fa-IR"/>
        </w:rPr>
        <w:t>ي</w:t>
      </w:r>
      <w:r w:rsidRPr="00904FCB">
        <w:rPr>
          <w:rFonts w:hint="cs"/>
          <w:sz w:val="27"/>
          <w:rtl/>
          <w:lang w:bidi="fa-IR"/>
        </w:rPr>
        <w:t>ءَ</w:t>
      </w:r>
      <w:r w:rsidR="00340818" w:rsidRPr="00904FCB">
        <w:rPr>
          <w:rFonts w:hint="cs"/>
          <w:sz w:val="27"/>
          <w:rtl/>
          <w:lang w:bidi="fa-IR"/>
        </w:rPr>
        <w:t xml:space="preserve"> إلى </w:t>
      </w:r>
      <w:r w:rsidRPr="00904FCB">
        <w:rPr>
          <w:rFonts w:hint="cs"/>
          <w:sz w:val="27"/>
          <w:rtl/>
          <w:lang w:bidi="fa-IR"/>
        </w:rPr>
        <w:t>طاعة الإمام</w:t>
      </w:r>
      <w:r w:rsidR="00D9608B" w:rsidRPr="00904FCB">
        <w:rPr>
          <w:rFonts w:hint="cs"/>
          <w:sz w:val="27"/>
          <w:rtl/>
          <w:lang w:bidi="fa-IR"/>
        </w:rPr>
        <w:t>،</w:t>
      </w:r>
      <w:r w:rsidRPr="00904FCB">
        <w:rPr>
          <w:rFonts w:hint="cs"/>
          <w:sz w:val="27"/>
          <w:rtl/>
          <w:lang w:bidi="fa-IR"/>
        </w:rPr>
        <w:t xml:space="preserve"> أو </w:t>
      </w:r>
      <w:r w:rsidRPr="00904FCB">
        <w:rPr>
          <w:rFonts w:ascii="Times New Roman" w:hAnsi="Times New Roman" w:hint="cs"/>
          <w:sz w:val="27"/>
          <w:rtl/>
          <w:lang w:bidi="fa-IR"/>
        </w:rPr>
        <w:t>ي</w:t>
      </w:r>
      <w:r w:rsidR="00D9608B" w:rsidRPr="00904FCB">
        <w:rPr>
          <w:rFonts w:ascii="Times New Roman" w:hAnsi="Times New Roman" w:hint="cs"/>
          <w:sz w:val="27"/>
          <w:rtl/>
          <w:lang w:bidi="fa-IR"/>
        </w:rPr>
        <w:t>ُ</w:t>
      </w:r>
      <w:r w:rsidRPr="00904FCB">
        <w:rPr>
          <w:rFonts w:hint="cs"/>
          <w:sz w:val="27"/>
          <w:rtl/>
          <w:lang w:bidi="fa-IR"/>
        </w:rPr>
        <w:t>ق</w:t>
      </w:r>
      <w:r w:rsidR="00D9608B" w:rsidRPr="00904FCB">
        <w:rPr>
          <w:rFonts w:hint="cs"/>
          <w:sz w:val="27"/>
          <w:rtl/>
          <w:lang w:bidi="fa-IR"/>
        </w:rPr>
        <w:t>ْ</w:t>
      </w:r>
      <w:r w:rsidRPr="00904FCB">
        <w:rPr>
          <w:rFonts w:hint="cs"/>
          <w:sz w:val="27"/>
          <w:rtl/>
          <w:lang w:bidi="fa-IR"/>
        </w:rPr>
        <w:t>تَل كالكفّار»</w:t>
      </w:r>
      <w:r w:rsidRPr="00904FCB">
        <w:rPr>
          <w:rFonts w:hint="cs"/>
          <w:sz w:val="27"/>
          <w:vertAlign w:val="superscript"/>
          <w:rtl/>
        </w:rPr>
        <w:t>(</w:t>
      </w:r>
      <w:r w:rsidRPr="00904FCB">
        <w:rPr>
          <w:rStyle w:val="ac"/>
          <w:sz w:val="27"/>
          <w:rtl/>
        </w:rPr>
        <w:endnoteReference w:id="614"/>
      </w:r>
      <w:r w:rsidRPr="00904FCB">
        <w:rPr>
          <w:rFonts w:hint="cs"/>
          <w:sz w:val="27"/>
          <w:vertAlign w:val="superscript"/>
          <w:rtl/>
        </w:rPr>
        <w:t>)</w:t>
      </w:r>
      <w:r w:rsidRPr="00904FCB">
        <w:rPr>
          <w:rFonts w:hint="cs"/>
          <w:sz w:val="27"/>
          <w:rtl/>
          <w:lang w:bidi="fa-IR"/>
        </w:rPr>
        <w:t xml:space="preserve">. </w:t>
      </w:r>
    </w:p>
    <w:p w:rsidR="00336F3B" w:rsidRPr="00904FCB" w:rsidRDefault="00336F3B" w:rsidP="007A21AA">
      <w:pPr>
        <w:spacing w:line="400" w:lineRule="exact"/>
        <w:rPr>
          <w:sz w:val="27"/>
          <w:rtl/>
          <w:lang w:bidi="fa-IR"/>
        </w:rPr>
      </w:pPr>
      <w:r w:rsidRPr="00904FCB">
        <w:rPr>
          <w:rFonts w:hint="cs"/>
          <w:sz w:val="27"/>
          <w:rtl/>
          <w:lang w:bidi="fa-IR"/>
        </w:rPr>
        <w:t xml:space="preserve">ب ـ </w:t>
      </w:r>
      <w:r w:rsidR="00670C84" w:rsidRPr="00904FCB">
        <w:rPr>
          <w:rFonts w:hint="cs"/>
          <w:sz w:val="27"/>
          <w:rtl/>
          <w:lang w:bidi="fa-IR"/>
        </w:rPr>
        <w:t>وقال</w:t>
      </w:r>
      <w:r w:rsidRPr="00904FCB">
        <w:rPr>
          <w:rFonts w:hint="cs"/>
          <w:sz w:val="27"/>
          <w:rtl/>
          <w:lang w:bidi="fa-IR"/>
        </w:rPr>
        <w:t xml:space="preserve"> بعض الفقهاء: </w:t>
      </w:r>
      <w:r w:rsidR="00670C84" w:rsidRPr="00904FCB">
        <w:rPr>
          <w:rFonts w:hint="cs"/>
          <w:sz w:val="27"/>
          <w:rtl/>
          <w:lang w:bidi="fa-IR"/>
        </w:rPr>
        <w:t>«هو المخالفُ للإمام العادل،</w:t>
      </w:r>
      <w:r w:rsidRPr="00904FCB">
        <w:rPr>
          <w:rFonts w:hint="cs"/>
          <w:sz w:val="27"/>
          <w:rtl/>
          <w:lang w:bidi="fa-IR"/>
        </w:rPr>
        <w:t xml:space="preserve"> الخارجُ عن طاعته»</w:t>
      </w:r>
      <w:r w:rsidRPr="00904FCB">
        <w:rPr>
          <w:rFonts w:hint="cs"/>
          <w:sz w:val="27"/>
          <w:vertAlign w:val="superscript"/>
          <w:rtl/>
        </w:rPr>
        <w:t>(</w:t>
      </w:r>
      <w:r w:rsidRPr="00904FCB">
        <w:rPr>
          <w:rStyle w:val="ac"/>
          <w:sz w:val="27"/>
          <w:rtl/>
        </w:rPr>
        <w:endnoteReference w:id="615"/>
      </w:r>
      <w:r w:rsidRPr="00904FCB">
        <w:rPr>
          <w:rFonts w:hint="cs"/>
          <w:sz w:val="27"/>
          <w:vertAlign w:val="superscript"/>
          <w:rtl/>
        </w:rPr>
        <w:t>)</w:t>
      </w:r>
      <w:r w:rsidRPr="00904FCB">
        <w:rPr>
          <w:rFonts w:hint="cs"/>
          <w:sz w:val="27"/>
          <w:rtl/>
          <w:lang w:bidi="fa-IR"/>
        </w:rPr>
        <w:t xml:space="preserve">. </w:t>
      </w:r>
    </w:p>
    <w:p w:rsidR="00336F3B" w:rsidRPr="00904FCB" w:rsidRDefault="00336F3B" w:rsidP="007A21AA">
      <w:pPr>
        <w:spacing w:line="400" w:lineRule="exact"/>
        <w:rPr>
          <w:sz w:val="27"/>
          <w:rtl/>
          <w:lang w:bidi="fa-IR"/>
        </w:rPr>
      </w:pPr>
      <w:r w:rsidRPr="00904FCB">
        <w:rPr>
          <w:rFonts w:hint="cs"/>
          <w:sz w:val="27"/>
          <w:rtl/>
          <w:lang w:bidi="fa-IR"/>
        </w:rPr>
        <w:t>ولكن لا</w:t>
      </w:r>
      <w:r w:rsidR="00670C84" w:rsidRPr="00904FCB">
        <w:rPr>
          <w:rFonts w:hint="cs"/>
          <w:sz w:val="27"/>
          <w:rtl/>
          <w:lang w:bidi="fa-IR"/>
        </w:rPr>
        <w:t xml:space="preserve"> </w:t>
      </w:r>
      <w:r w:rsidRPr="00904FCB">
        <w:rPr>
          <w:rFonts w:hint="cs"/>
          <w:sz w:val="27"/>
          <w:rtl/>
          <w:lang w:bidi="fa-IR"/>
        </w:rPr>
        <w:t>ب</w:t>
      </w:r>
      <w:r w:rsidR="00670C84" w:rsidRPr="00904FCB">
        <w:rPr>
          <w:rFonts w:hint="cs"/>
          <w:sz w:val="27"/>
          <w:rtl/>
          <w:lang w:bidi="fa-IR"/>
        </w:rPr>
        <w:t>ُ</w:t>
      </w:r>
      <w:r w:rsidRPr="00904FCB">
        <w:rPr>
          <w:rFonts w:hint="cs"/>
          <w:sz w:val="27"/>
          <w:rtl/>
          <w:lang w:bidi="fa-IR"/>
        </w:rPr>
        <w:t>دّ</w:t>
      </w:r>
      <w:r w:rsidR="00670C84" w:rsidRPr="00904FCB">
        <w:rPr>
          <w:rFonts w:hint="cs"/>
          <w:sz w:val="27"/>
          <w:rtl/>
          <w:lang w:bidi="fa-IR"/>
        </w:rPr>
        <w:t>َ</w:t>
      </w:r>
      <w:r w:rsidRPr="00904FCB">
        <w:rPr>
          <w:rFonts w:hint="cs"/>
          <w:sz w:val="27"/>
          <w:rtl/>
          <w:lang w:bidi="fa-IR"/>
        </w:rPr>
        <w:t xml:space="preserve"> من الإشارة</w:t>
      </w:r>
      <w:r w:rsidR="00340818" w:rsidRPr="00904FCB">
        <w:rPr>
          <w:rFonts w:hint="cs"/>
          <w:sz w:val="27"/>
          <w:rtl/>
          <w:lang w:bidi="fa-IR"/>
        </w:rPr>
        <w:t xml:space="preserve"> إلى </w:t>
      </w:r>
      <w:r w:rsidRPr="00904FCB">
        <w:rPr>
          <w:rFonts w:hint="cs"/>
          <w:sz w:val="27"/>
          <w:rtl/>
          <w:lang w:bidi="fa-IR"/>
        </w:rPr>
        <w:t>أن م</w:t>
      </w:r>
      <w:r w:rsidR="00670C84" w:rsidRPr="00904FCB">
        <w:rPr>
          <w:rFonts w:hint="cs"/>
          <w:sz w:val="27"/>
          <w:rtl/>
          <w:lang w:bidi="fa-IR"/>
        </w:rPr>
        <w:t>َ</w:t>
      </w:r>
      <w:r w:rsidRPr="00904FCB">
        <w:rPr>
          <w:rFonts w:hint="cs"/>
          <w:sz w:val="27"/>
          <w:rtl/>
          <w:lang w:bidi="fa-IR"/>
        </w:rPr>
        <w:t>ن</w:t>
      </w:r>
      <w:r w:rsidR="00670C84" w:rsidRPr="00904FCB">
        <w:rPr>
          <w:rFonts w:hint="cs"/>
          <w:sz w:val="27"/>
          <w:rtl/>
          <w:lang w:bidi="fa-IR"/>
        </w:rPr>
        <w:t>ْ</w:t>
      </w:r>
      <w:r w:rsidRPr="00904FCB">
        <w:rPr>
          <w:rFonts w:hint="cs"/>
          <w:sz w:val="27"/>
          <w:rtl/>
          <w:lang w:bidi="fa-IR"/>
        </w:rPr>
        <w:t xml:space="preserve"> فسّر البغ</w:t>
      </w:r>
      <w:r w:rsidRPr="00904FCB">
        <w:rPr>
          <w:rFonts w:ascii="Times New Roman" w:hAnsi="Times New Roman" w:hint="cs"/>
          <w:sz w:val="27"/>
          <w:rtl/>
          <w:lang w:bidi="fa-IR"/>
        </w:rPr>
        <w:t>ي</w:t>
      </w:r>
      <w:r w:rsidRPr="00904FCB">
        <w:rPr>
          <w:rFonts w:hint="cs"/>
          <w:sz w:val="27"/>
          <w:rtl/>
          <w:lang w:bidi="fa-IR"/>
        </w:rPr>
        <w:t xml:space="preserve"> بالخروج</w:t>
      </w:r>
      <w:r w:rsidR="00340818" w:rsidRPr="00904FCB">
        <w:rPr>
          <w:rFonts w:hint="cs"/>
          <w:sz w:val="27"/>
          <w:rtl/>
          <w:lang w:bidi="fa-IR"/>
        </w:rPr>
        <w:t xml:space="preserve"> على </w:t>
      </w:r>
      <w:r w:rsidR="00670C84" w:rsidRPr="00904FCB">
        <w:rPr>
          <w:rFonts w:hint="cs"/>
          <w:sz w:val="27"/>
          <w:rtl/>
          <w:lang w:bidi="fa-IR"/>
        </w:rPr>
        <w:t>الإمام العادل</w:t>
      </w:r>
      <w:r w:rsidRPr="00904FCB">
        <w:rPr>
          <w:rFonts w:hint="cs"/>
          <w:sz w:val="27"/>
          <w:rtl/>
          <w:lang w:bidi="fa-IR"/>
        </w:rPr>
        <w:t xml:space="preserve"> </w:t>
      </w:r>
      <w:r w:rsidR="00670C84" w:rsidRPr="00904FCB">
        <w:rPr>
          <w:rFonts w:hint="cs"/>
          <w:sz w:val="27"/>
          <w:rtl/>
          <w:lang w:bidi="fa-IR"/>
        </w:rPr>
        <w:t>أراد بالعادل المعصوم</w:t>
      </w:r>
      <w:r w:rsidRPr="00904FCB">
        <w:rPr>
          <w:rFonts w:hint="cs"/>
          <w:sz w:val="27"/>
          <w:rtl/>
          <w:lang w:bidi="fa-IR"/>
        </w:rPr>
        <w:t xml:space="preserve"> عند الش</w:t>
      </w:r>
      <w:r w:rsidRPr="00904FCB">
        <w:rPr>
          <w:rFonts w:ascii="Times New Roman" w:hAnsi="Times New Roman" w:hint="cs"/>
          <w:sz w:val="27"/>
          <w:rtl/>
          <w:lang w:bidi="fa-IR"/>
        </w:rPr>
        <w:t>ي</w:t>
      </w:r>
      <w:r w:rsidRPr="00904FCB">
        <w:rPr>
          <w:rFonts w:hint="cs"/>
          <w:sz w:val="27"/>
          <w:rtl/>
          <w:lang w:bidi="fa-IR"/>
        </w:rPr>
        <w:t>عة، والحاك</w:t>
      </w:r>
      <w:r w:rsidR="00670C84" w:rsidRPr="00904FCB">
        <w:rPr>
          <w:rFonts w:hint="cs"/>
          <w:sz w:val="27"/>
          <w:rtl/>
          <w:lang w:bidi="fa-IR"/>
        </w:rPr>
        <w:t>م</w:t>
      </w:r>
      <w:r w:rsidRPr="00904FCB">
        <w:rPr>
          <w:rFonts w:hint="cs"/>
          <w:sz w:val="27"/>
          <w:rtl/>
          <w:lang w:bidi="fa-IR"/>
        </w:rPr>
        <w:t xml:space="preserve"> والخل</w:t>
      </w:r>
      <w:r w:rsidRPr="00904FCB">
        <w:rPr>
          <w:rFonts w:ascii="Times New Roman" w:hAnsi="Times New Roman" w:hint="cs"/>
          <w:sz w:val="27"/>
          <w:rtl/>
          <w:lang w:bidi="fa-IR"/>
        </w:rPr>
        <w:t>ي</w:t>
      </w:r>
      <w:r w:rsidRPr="00904FCB">
        <w:rPr>
          <w:rFonts w:hint="cs"/>
          <w:sz w:val="27"/>
          <w:rtl/>
          <w:lang w:bidi="fa-IR"/>
        </w:rPr>
        <w:t>فة عند أهل السنّة</w:t>
      </w:r>
      <w:r w:rsidRPr="00904FCB">
        <w:rPr>
          <w:rFonts w:hint="cs"/>
          <w:sz w:val="27"/>
          <w:vertAlign w:val="superscript"/>
          <w:rtl/>
        </w:rPr>
        <w:t>(</w:t>
      </w:r>
      <w:r w:rsidRPr="00904FCB">
        <w:rPr>
          <w:rStyle w:val="ac"/>
          <w:sz w:val="27"/>
          <w:rtl/>
        </w:rPr>
        <w:endnoteReference w:id="616"/>
      </w:r>
      <w:r w:rsidRPr="00904FCB">
        <w:rPr>
          <w:rFonts w:hint="cs"/>
          <w:sz w:val="27"/>
          <w:vertAlign w:val="superscript"/>
          <w:rtl/>
        </w:rPr>
        <w:t>)</w:t>
      </w:r>
      <w:r w:rsidRPr="00904FCB">
        <w:rPr>
          <w:rFonts w:hint="cs"/>
          <w:sz w:val="27"/>
          <w:rtl/>
          <w:lang w:bidi="fa-IR"/>
        </w:rPr>
        <w:t xml:space="preserve">. </w:t>
      </w:r>
    </w:p>
    <w:p w:rsidR="00336F3B" w:rsidRPr="00904FCB" w:rsidRDefault="00336F3B" w:rsidP="007A21AA">
      <w:pPr>
        <w:spacing w:line="400" w:lineRule="exact"/>
        <w:rPr>
          <w:sz w:val="27"/>
          <w:rtl/>
          <w:lang w:bidi="fa-IR"/>
        </w:rPr>
      </w:pPr>
      <w:r w:rsidRPr="00904FCB">
        <w:rPr>
          <w:rFonts w:hint="cs"/>
          <w:sz w:val="27"/>
          <w:rtl/>
          <w:lang w:bidi="fa-IR"/>
        </w:rPr>
        <w:t>وهناك مَن</w:t>
      </w:r>
      <w:r w:rsidR="00670C84" w:rsidRPr="00904FCB">
        <w:rPr>
          <w:rFonts w:hint="cs"/>
          <w:sz w:val="27"/>
          <w:rtl/>
          <w:lang w:bidi="fa-IR"/>
        </w:rPr>
        <w:t>ْ</w:t>
      </w:r>
      <w:r w:rsidRPr="00904FCB">
        <w:rPr>
          <w:rFonts w:hint="cs"/>
          <w:sz w:val="27"/>
          <w:rtl/>
          <w:lang w:bidi="fa-IR"/>
        </w:rPr>
        <w:t xml:space="preserve"> رأ</w:t>
      </w:r>
      <w:r w:rsidR="00670C84" w:rsidRPr="00904FCB">
        <w:rPr>
          <w:rFonts w:ascii="Times New Roman" w:hAnsi="Times New Roman" w:hint="cs"/>
          <w:sz w:val="27"/>
          <w:rtl/>
          <w:lang w:bidi="fa-IR"/>
        </w:rPr>
        <w:t>ى</w:t>
      </w:r>
      <w:r w:rsidRPr="00904FCB">
        <w:rPr>
          <w:rFonts w:hint="cs"/>
          <w:sz w:val="27"/>
          <w:rtl/>
          <w:lang w:bidi="fa-IR"/>
        </w:rPr>
        <w:t xml:space="preserve"> أنّ</w:t>
      </w:r>
      <w:r w:rsidR="00340818" w:rsidRPr="00904FCB">
        <w:rPr>
          <w:rFonts w:hint="cs"/>
          <w:sz w:val="27"/>
          <w:rtl/>
          <w:lang w:bidi="fa-IR"/>
        </w:rPr>
        <w:t xml:space="preserve"> </w:t>
      </w:r>
      <w:r w:rsidR="00670C84" w:rsidRPr="00904FCB">
        <w:rPr>
          <w:rFonts w:hint="cs"/>
          <w:sz w:val="27"/>
          <w:rtl/>
          <w:lang w:bidi="fa-IR"/>
        </w:rPr>
        <w:t xml:space="preserve">الخروج </w:t>
      </w:r>
      <w:r w:rsidR="00340818" w:rsidRPr="00904FCB">
        <w:rPr>
          <w:rFonts w:hint="cs"/>
          <w:sz w:val="27"/>
          <w:rtl/>
          <w:lang w:bidi="fa-IR"/>
        </w:rPr>
        <w:t xml:space="preserve">على </w:t>
      </w:r>
      <w:r w:rsidRPr="00904FCB">
        <w:rPr>
          <w:rFonts w:hint="cs"/>
          <w:sz w:val="27"/>
          <w:rtl/>
          <w:lang w:bidi="fa-IR"/>
        </w:rPr>
        <w:t xml:space="preserve">الإمام </w:t>
      </w:r>
      <w:r w:rsidR="00670C84" w:rsidRPr="00904FCB">
        <w:rPr>
          <w:rFonts w:hint="cs"/>
          <w:sz w:val="27"/>
          <w:rtl/>
          <w:lang w:bidi="fa-IR"/>
        </w:rPr>
        <w:t xml:space="preserve">ـ </w:t>
      </w:r>
      <w:r w:rsidRPr="00904FCB">
        <w:rPr>
          <w:rFonts w:hint="cs"/>
          <w:sz w:val="27"/>
          <w:rtl/>
          <w:lang w:bidi="fa-IR"/>
        </w:rPr>
        <w:t xml:space="preserve">المطلق </w:t>
      </w:r>
      <w:r w:rsidR="00670C84" w:rsidRPr="00904FCB">
        <w:rPr>
          <w:rFonts w:hint="cs"/>
          <w:sz w:val="27"/>
          <w:rtl/>
          <w:lang w:bidi="fa-IR"/>
        </w:rPr>
        <w:t>م</w:t>
      </w:r>
      <w:r w:rsidRPr="00904FCB">
        <w:rPr>
          <w:rFonts w:hint="cs"/>
          <w:sz w:val="27"/>
          <w:rtl/>
          <w:lang w:bidi="fa-IR"/>
        </w:rPr>
        <w:t>ن ق</w:t>
      </w:r>
      <w:r w:rsidRPr="00904FCB">
        <w:rPr>
          <w:rFonts w:ascii="Times New Roman" w:hAnsi="Times New Roman" w:hint="cs"/>
          <w:sz w:val="27"/>
          <w:rtl/>
          <w:lang w:bidi="fa-IR"/>
        </w:rPr>
        <w:t>ي</w:t>
      </w:r>
      <w:r w:rsidRPr="00904FCB">
        <w:rPr>
          <w:rFonts w:hint="cs"/>
          <w:sz w:val="27"/>
          <w:rtl/>
          <w:lang w:bidi="fa-IR"/>
        </w:rPr>
        <w:t>د العدالة</w:t>
      </w:r>
      <w:r w:rsidR="00670C84" w:rsidRPr="00904FCB">
        <w:rPr>
          <w:rFonts w:hint="cs"/>
          <w:sz w:val="27"/>
          <w:rtl/>
          <w:lang w:bidi="fa-IR"/>
        </w:rPr>
        <w:t xml:space="preserve"> ـ</w:t>
      </w:r>
      <w:r w:rsidRPr="00904FCB">
        <w:rPr>
          <w:rFonts w:hint="cs"/>
          <w:sz w:val="27"/>
          <w:rtl/>
          <w:lang w:bidi="fa-IR"/>
        </w:rPr>
        <w:t xml:space="preserve"> بغ</w:t>
      </w:r>
      <w:r w:rsidRPr="00904FCB">
        <w:rPr>
          <w:rFonts w:ascii="Times New Roman" w:hAnsi="Times New Roman" w:hint="cs"/>
          <w:sz w:val="27"/>
          <w:rtl/>
          <w:lang w:bidi="fa-IR"/>
        </w:rPr>
        <w:t>ي</w:t>
      </w:r>
      <w:r w:rsidR="00670C84" w:rsidRPr="00904FCB">
        <w:rPr>
          <w:rFonts w:ascii="Times New Roman" w:hAnsi="Times New Roman" w:hint="cs"/>
          <w:sz w:val="27"/>
          <w:rtl/>
          <w:lang w:bidi="fa-IR"/>
        </w:rPr>
        <w:t>ٌ</w:t>
      </w:r>
      <w:r w:rsidRPr="00904FCB">
        <w:rPr>
          <w:rFonts w:hint="cs"/>
          <w:sz w:val="27"/>
          <w:rtl/>
          <w:lang w:bidi="fa-IR"/>
        </w:rPr>
        <w:t>، وقد ذهب معظم فقهاء أهل السنة</w:t>
      </w:r>
      <w:r w:rsidR="00340818" w:rsidRPr="00904FCB">
        <w:rPr>
          <w:rFonts w:hint="cs"/>
          <w:sz w:val="27"/>
          <w:rtl/>
          <w:lang w:bidi="fa-IR"/>
        </w:rPr>
        <w:t xml:space="preserve"> إلى </w:t>
      </w:r>
      <w:r w:rsidRPr="00904FCB">
        <w:rPr>
          <w:rFonts w:hint="cs"/>
          <w:sz w:val="27"/>
          <w:rtl/>
          <w:lang w:bidi="fa-IR"/>
        </w:rPr>
        <w:t>هذا الرأ</w:t>
      </w:r>
      <w:r w:rsidRPr="00904FCB">
        <w:rPr>
          <w:rFonts w:ascii="Times New Roman" w:hAnsi="Times New Roman" w:hint="cs"/>
          <w:sz w:val="27"/>
          <w:rtl/>
          <w:lang w:bidi="fa-IR"/>
        </w:rPr>
        <w:t>ي</w:t>
      </w:r>
      <w:r w:rsidRPr="00904FCB">
        <w:rPr>
          <w:rFonts w:hint="cs"/>
          <w:sz w:val="27"/>
          <w:vertAlign w:val="superscript"/>
          <w:rtl/>
        </w:rPr>
        <w:t>(</w:t>
      </w:r>
      <w:r w:rsidRPr="00904FCB">
        <w:rPr>
          <w:rStyle w:val="ac"/>
          <w:sz w:val="27"/>
          <w:rtl/>
        </w:rPr>
        <w:endnoteReference w:id="617"/>
      </w:r>
      <w:r w:rsidRPr="00904FCB">
        <w:rPr>
          <w:rFonts w:hint="cs"/>
          <w:sz w:val="27"/>
          <w:vertAlign w:val="superscript"/>
          <w:rtl/>
        </w:rPr>
        <w:t>)</w:t>
      </w:r>
      <w:r w:rsidRPr="00904FCB">
        <w:rPr>
          <w:rStyle w:val="ac"/>
          <w:rFonts w:hint="cs"/>
          <w:sz w:val="27"/>
          <w:vertAlign w:val="baseline"/>
          <w:rtl/>
          <w:lang w:bidi="fa-IR"/>
        </w:rPr>
        <w:t>.</w:t>
      </w:r>
      <w:r w:rsidRPr="00904FCB">
        <w:rPr>
          <w:rFonts w:hint="cs"/>
          <w:sz w:val="27"/>
          <w:rtl/>
          <w:lang w:bidi="fa-IR"/>
        </w:rPr>
        <w:t xml:space="preserve"> </w:t>
      </w:r>
    </w:p>
    <w:p w:rsidR="00336F3B" w:rsidRPr="00097798" w:rsidRDefault="00336F3B" w:rsidP="007A21AA">
      <w:pPr>
        <w:spacing w:line="400" w:lineRule="exact"/>
        <w:rPr>
          <w:sz w:val="27"/>
          <w:rtl/>
          <w:lang w:bidi="fa-IR"/>
        </w:rPr>
      </w:pPr>
      <w:r w:rsidRPr="00097798">
        <w:rPr>
          <w:rFonts w:hint="cs"/>
          <w:sz w:val="27"/>
          <w:rtl/>
          <w:lang w:bidi="fa-IR"/>
        </w:rPr>
        <w:t>وقد ذك</w:t>
      </w:r>
      <w:r w:rsidR="00670C84" w:rsidRPr="00097798">
        <w:rPr>
          <w:rFonts w:hint="cs"/>
          <w:sz w:val="27"/>
          <w:rtl/>
          <w:lang w:bidi="fa-IR"/>
        </w:rPr>
        <w:t>ر العل</w:t>
      </w:r>
      <w:r w:rsidRPr="00097798">
        <w:rPr>
          <w:rFonts w:hint="cs"/>
          <w:sz w:val="27"/>
          <w:rtl/>
          <w:lang w:bidi="fa-IR"/>
        </w:rPr>
        <w:t>ا</w:t>
      </w:r>
      <w:r w:rsidR="00670C84" w:rsidRPr="00097798">
        <w:rPr>
          <w:rFonts w:hint="cs"/>
          <w:sz w:val="27"/>
          <w:rtl/>
          <w:lang w:bidi="fa-IR"/>
        </w:rPr>
        <w:t>ّ</w:t>
      </w:r>
      <w:r w:rsidRPr="00097798">
        <w:rPr>
          <w:rFonts w:hint="cs"/>
          <w:sz w:val="27"/>
          <w:rtl/>
          <w:lang w:bidi="fa-IR"/>
        </w:rPr>
        <w:t>مة الحلّ</w:t>
      </w:r>
      <w:r w:rsidRPr="00097798">
        <w:rPr>
          <w:rFonts w:ascii="Times New Roman" w:hAnsi="Times New Roman" w:hint="cs"/>
          <w:sz w:val="27"/>
          <w:rtl/>
          <w:lang w:bidi="fa-IR"/>
        </w:rPr>
        <w:t>ي</w:t>
      </w:r>
      <w:r w:rsidRPr="00097798">
        <w:rPr>
          <w:rFonts w:hint="cs"/>
          <w:sz w:val="27"/>
          <w:rtl/>
          <w:lang w:bidi="fa-IR"/>
        </w:rPr>
        <w:t xml:space="preserve"> تسعة شروط للإمام ـ وه</w:t>
      </w:r>
      <w:r w:rsidRPr="00097798">
        <w:rPr>
          <w:rFonts w:ascii="Times New Roman" w:hAnsi="Times New Roman" w:hint="cs"/>
          <w:sz w:val="27"/>
          <w:rtl/>
          <w:lang w:bidi="fa-IR"/>
        </w:rPr>
        <w:t>ي</w:t>
      </w:r>
      <w:r w:rsidRPr="00097798">
        <w:rPr>
          <w:rFonts w:hint="cs"/>
          <w:sz w:val="27"/>
          <w:rtl/>
          <w:lang w:bidi="fa-IR"/>
        </w:rPr>
        <w:t xml:space="preserve"> مشتركة ب</w:t>
      </w:r>
      <w:r w:rsidRPr="00097798">
        <w:rPr>
          <w:rFonts w:ascii="Times New Roman" w:hAnsi="Times New Roman" w:hint="cs"/>
          <w:sz w:val="27"/>
          <w:rtl/>
          <w:lang w:bidi="fa-IR"/>
        </w:rPr>
        <w:t>ي</w:t>
      </w:r>
      <w:r w:rsidRPr="00097798">
        <w:rPr>
          <w:rFonts w:hint="cs"/>
          <w:sz w:val="27"/>
          <w:rtl/>
          <w:lang w:bidi="fa-IR"/>
        </w:rPr>
        <w:t>ن أهل السنة والش</w:t>
      </w:r>
      <w:r w:rsidRPr="00097798">
        <w:rPr>
          <w:rFonts w:ascii="Times New Roman" w:hAnsi="Times New Roman" w:hint="cs"/>
          <w:sz w:val="27"/>
          <w:rtl/>
          <w:lang w:bidi="fa-IR"/>
        </w:rPr>
        <w:t>ي</w:t>
      </w:r>
      <w:r w:rsidRPr="00097798">
        <w:rPr>
          <w:rFonts w:hint="cs"/>
          <w:sz w:val="27"/>
          <w:rtl/>
          <w:lang w:bidi="fa-IR"/>
        </w:rPr>
        <w:t xml:space="preserve">عة ـ: </w:t>
      </w:r>
      <w:r w:rsidRPr="00097798">
        <w:rPr>
          <w:rFonts w:hint="cs"/>
          <w:sz w:val="27"/>
          <w:rtl/>
          <w:lang w:bidi="ar-LB"/>
        </w:rPr>
        <w:t>1ـ</w:t>
      </w:r>
      <w:r w:rsidRPr="00097798">
        <w:rPr>
          <w:rFonts w:hint="cs"/>
          <w:sz w:val="27"/>
          <w:rtl/>
          <w:lang w:bidi="fa-IR"/>
        </w:rPr>
        <w:t xml:space="preserve"> التكل</w:t>
      </w:r>
      <w:r w:rsidRPr="00097798">
        <w:rPr>
          <w:rFonts w:ascii="Times New Roman" w:hAnsi="Times New Roman" w:hint="cs"/>
          <w:sz w:val="27"/>
          <w:rtl/>
          <w:lang w:bidi="fa-IR"/>
        </w:rPr>
        <w:t>ي</w:t>
      </w:r>
      <w:r w:rsidRPr="00097798">
        <w:rPr>
          <w:rFonts w:hint="cs"/>
          <w:sz w:val="27"/>
          <w:rtl/>
          <w:lang w:bidi="fa-IR"/>
        </w:rPr>
        <w:t xml:space="preserve">ف؛ </w:t>
      </w:r>
      <w:r w:rsidRPr="00097798">
        <w:rPr>
          <w:rFonts w:hint="cs"/>
          <w:sz w:val="27"/>
          <w:rtl/>
          <w:lang w:bidi="ar-LB"/>
        </w:rPr>
        <w:t>2ـ</w:t>
      </w:r>
      <w:r w:rsidRPr="00097798">
        <w:rPr>
          <w:rFonts w:hint="cs"/>
          <w:sz w:val="27"/>
          <w:rtl/>
          <w:lang w:bidi="fa-IR"/>
        </w:rPr>
        <w:t xml:space="preserve"> الإسلام؛ </w:t>
      </w:r>
      <w:r w:rsidRPr="00097798">
        <w:rPr>
          <w:rFonts w:hint="cs"/>
          <w:sz w:val="27"/>
          <w:rtl/>
          <w:lang w:bidi="ar-LB"/>
        </w:rPr>
        <w:t>3ـ</w:t>
      </w:r>
      <w:r w:rsidRPr="00097798">
        <w:rPr>
          <w:rFonts w:hint="cs"/>
          <w:sz w:val="27"/>
          <w:rtl/>
          <w:lang w:bidi="fa-IR"/>
        </w:rPr>
        <w:t xml:space="preserve"> العدالة؛ </w:t>
      </w:r>
      <w:r w:rsidRPr="00097798">
        <w:rPr>
          <w:rFonts w:hint="cs"/>
          <w:sz w:val="27"/>
          <w:rtl/>
          <w:lang w:bidi="ar-LB"/>
        </w:rPr>
        <w:t>4ـ</w:t>
      </w:r>
      <w:r w:rsidRPr="00097798">
        <w:rPr>
          <w:rFonts w:hint="cs"/>
          <w:sz w:val="27"/>
          <w:rtl/>
          <w:lang w:bidi="fa-IR"/>
        </w:rPr>
        <w:t xml:space="preserve"> الذكورة؛ </w:t>
      </w:r>
      <w:r w:rsidRPr="00097798">
        <w:rPr>
          <w:rFonts w:hint="cs"/>
          <w:sz w:val="27"/>
          <w:rtl/>
          <w:lang w:bidi="ar-LB"/>
        </w:rPr>
        <w:t>5ـ</w:t>
      </w:r>
      <w:r w:rsidRPr="00097798">
        <w:rPr>
          <w:rFonts w:hint="cs"/>
          <w:sz w:val="27"/>
          <w:rtl/>
          <w:lang w:bidi="fa-IR"/>
        </w:rPr>
        <w:t xml:space="preserve"> العلم؛ </w:t>
      </w:r>
      <w:r w:rsidRPr="00097798">
        <w:rPr>
          <w:rFonts w:hint="cs"/>
          <w:sz w:val="27"/>
          <w:rtl/>
          <w:lang w:bidi="ar-LB"/>
        </w:rPr>
        <w:t>6ـ</w:t>
      </w:r>
      <w:r w:rsidRPr="00097798">
        <w:rPr>
          <w:rFonts w:hint="cs"/>
          <w:sz w:val="27"/>
          <w:rtl/>
          <w:lang w:bidi="fa-IR"/>
        </w:rPr>
        <w:t xml:space="preserve"> الشجاعة؛</w:t>
      </w:r>
      <w:r w:rsidR="00C545CE" w:rsidRPr="00097798">
        <w:rPr>
          <w:rFonts w:hint="cs"/>
          <w:sz w:val="27"/>
          <w:rtl/>
          <w:lang w:bidi="fa-IR"/>
        </w:rPr>
        <w:t xml:space="preserve">     </w:t>
      </w:r>
      <w:r w:rsidRPr="00097798">
        <w:rPr>
          <w:rFonts w:hint="cs"/>
          <w:sz w:val="27"/>
          <w:rtl/>
          <w:lang w:bidi="fa-IR"/>
        </w:rPr>
        <w:t xml:space="preserve"> </w:t>
      </w:r>
      <w:r w:rsidRPr="00097798">
        <w:rPr>
          <w:rFonts w:hint="cs"/>
          <w:sz w:val="27"/>
          <w:rtl/>
          <w:lang w:bidi="ar-LB"/>
        </w:rPr>
        <w:t>7ـ</w:t>
      </w:r>
      <w:r w:rsidRPr="00097798">
        <w:rPr>
          <w:rFonts w:hint="cs"/>
          <w:sz w:val="27"/>
          <w:rtl/>
          <w:lang w:bidi="fa-IR"/>
        </w:rPr>
        <w:t xml:space="preserve"> الحرّ</w:t>
      </w:r>
      <w:r w:rsidRPr="00097798">
        <w:rPr>
          <w:rFonts w:ascii="Times New Roman" w:hAnsi="Times New Roman" w:hint="cs"/>
          <w:sz w:val="27"/>
          <w:rtl/>
          <w:lang w:bidi="fa-IR"/>
        </w:rPr>
        <w:t>ي</w:t>
      </w:r>
      <w:r w:rsidRPr="00097798">
        <w:rPr>
          <w:rFonts w:hint="cs"/>
          <w:sz w:val="27"/>
          <w:rtl/>
          <w:lang w:bidi="fa-IR"/>
        </w:rPr>
        <w:t xml:space="preserve">ة؛ </w:t>
      </w:r>
      <w:r w:rsidRPr="00097798">
        <w:rPr>
          <w:rFonts w:hint="cs"/>
          <w:sz w:val="27"/>
          <w:rtl/>
          <w:lang w:bidi="ar-LB"/>
        </w:rPr>
        <w:t>8ـ</w:t>
      </w:r>
      <w:r w:rsidRPr="00097798">
        <w:rPr>
          <w:rFonts w:hint="cs"/>
          <w:sz w:val="27"/>
          <w:rtl/>
          <w:lang w:bidi="fa-IR"/>
        </w:rPr>
        <w:t xml:space="preserve"> أن </w:t>
      </w:r>
      <w:r w:rsidRPr="00097798">
        <w:rPr>
          <w:rFonts w:ascii="Times New Roman" w:hAnsi="Times New Roman" w:hint="cs"/>
          <w:sz w:val="27"/>
          <w:rtl/>
          <w:lang w:bidi="fa-IR"/>
        </w:rPr>
        <w:t>ي</w:t>
      </w:r>
      <w:r w:rsidRPr="00097798">
        <w:rPr>
          <w:rFonts w:hint="cs"/>
          <w:sz w:val="27"/>
          <w:rtl/>
          <w:lang w:bidi="fa-IR"/>
        </w:rPr>
        <w:t>كون ذا رأ</w:t>
      </w:r>
      <w:r w:rsidRPr="00097798">
        <w:rPr>
          <w:rFonts w:ascii="Times New Roman" w:hAnsi="Times New Roman" w:hint="cs"/>
          <w:sz w:val="27"/>
          <w:rtl/>
          <w:lang w:bidi="fa-IR"/>
        </w:rPr>
        <w:t>ي</w:t>
      </w:r>
      <w:r w:rsidRPr="00097798">
        <w:rPr>
          <w:rFonts w:hint="cs"/>
          <w:sz w:val="27"/>
          <w:rtl/>
          <w:lang w:bidi="fa-IR"/>
        </w:rPr>
        <w:t xml:space="preserve"> وأهل</w:t>
      </w:r>
      <w:r w:rsidRPr="00097798">
        <w:rPr>
          <w:rFonts w:ascii="Times New Roman" w:hAnsi="Times New Roman" w:hint="cs"/>
          <w:sz w:val="27"/>
          <w:rtl/>
          <w:lang w:bidi="fa-IR"/>
        </w:rPr>
        <w:t>ي</w:t>
      </w:r>
      <w:r w:rsidR="00670C84" w:rsidRPr="00097798">
        <w:rPr>
          <w:rFonts w:ascii="Times New Roman" w:hAnsi="Times New Roman" w:hint="cs"/>
          <w:sz w:val="27"/>
          <w:rtl/>
          <w:lang w:bidi="fa-IR"/>
        </w:rPr>
        <w:t>ّ</w:t>
      </w:r>
      <w:r w:rsidRPr="00097798">
        <w:rPr>
          <w:rFonts w:hint="cs"/>
          <w:sz w:val="27"/>
          <w:rtl/>
          <w:lang w:bidi="fa-IR"/>
        </w:rPr>
        <w:t>ة ف</w:t>
      </w:r>
      <w:r w:rsidRPr="00097798">
        <w:rPr>
          <w:rFonts w:ascii="Times New Roman" w:hAnsi="Times New Roman" w:hint="cs"/>
          <w:sz w:val="27"/>
          <w:rtl/>
          <w:lang w:bidi="fa-IR"/>
        </w:rPr>
        <w:t>ي</w:t>
      </w:r>
      <w:r w:rsidRPr="00097798">
        <w:rPr>
          <w:rFonts w:hint="cs"/>
          <w:sz w:val="27"/>
          <w:rtl/>
          <w:lang w:bidi="fa-IR"/>
        </w:rPr>
        <w:t xml:space="preserve"> الس</w:t>
      </w:r>
      <w:r w:rsidRPr="00097798">
        <w:rPr>
          <w:rFonts w:ascii="Times New Roman" w:hAnsi="Times New Roman" w:hint="cs"/>
          <w:sz w:val="27"/>
          <w:rtl/>
          <w:lang w:bidi="fa-IR"/>
        </w:rPr>
        <w:t>ي</w:t>
      </w:r>
      <w:r w:rsidRPr="00097798">
        <w:rPr>
          <w:rFonts w:hint="cs"/>
          <w:sz w:val="27"/>
          <w:rtl/>
          <w:lang w:bidi="fa-IR"/>
        </w:rPr>
        <w:t xml:space="preserve">اسة؛ </w:t>
      </w:r>
      <w:r w:rsidRPr="00097798">
        <w:rPr>
          <w:rFonts w:hint="cs"/>
          <w:sz w:val="27"/>
          <w:rtl/>
          <w:lang w:bidi="ar-LB"/>
        </w:rPr>
        <w:t>9ـ</w:t>
      </w:r>
      <w:r w:rsidRPr="00097798">
        <w:rPr>
          <w:rFonts w:hint="cs"/>
          <w:sz w:val="27"/>
          <w:rtl/>
          <w:lang w:bidi="fa-IR"/>
        </w:rPr>
        <w:t xml:space="preserve"> أن </w:t>
      </w:r>
      <w:r w:rsidRPr="00097798">
        <w:rPr>
          <w:rFonts w:ascii="Times New Roman" w:hAnsi="Times New Roman" w:hint="cs"/>
          <w:sz w:val="27"/>
          <w:rtl/>
          <w:lang w:bidi="fa-IR"/>
        </w:rPr>
        <w:t>ي</w:t>
      </w:r>
      <w:r w:rsidRPr="00097798">
        <w:rPr>
          <w:rFonts w:hint="cs"/>
          <w:sz w:val="27"/>
          <w:rtl/>
          <w:lang w:bidi="fa-IR"/>
        </w:rPr>
        <w:t>كون قادراً</w:t>
      </w:r>
      <w:r w:rsidR="00340818" w:rsidRPr="00097798">
        <w:rPr>
          <w:rFonts w:hint="cs"/>
          <w:sz w:val="27"/>
          <w:rtl/>
          <w:lang w:bidi="fa-IR"/>
        </w:rPr>
        <w:t xml:space="preserve"> على </w:t>
      </w:r>
      <w:r w:rsidR="00670C84" w:rsidRPr="00097798">
        <w:rPr>
          <w:rFonts w:hint="cs"/>
          <w:sz w:val="27"/>
          <w:rtl/>
          <w:lang w:bidi="fa-IR"/>
        </w:rPr>
        <w:t>الن</w:t>
      </w:r>
      <w:r w:rsidRPr="00097798">
        <w:rPr>
          <w:rFonts w:hint="cs"/>
          <w:sz w:val="27"/>
          <w:rtl/>
          <w:lang w:bidi="fa-IR"/>
        </w:rPr>
        <w:t>طق والسمع</w:t>
      </w:r>
      <w:r w:rsidRPr="00097798">
        <w:rPr>
          <w:rFonts w:hint="cs"/>
          <w:sz w:val="27"/>
          <w:vertAlign w:val="superscript"/>
          <w:rtl/>
        </w:rPr>
        <w:t>(</w:t>
      </w:r>
      <w:r w:rsidRPr="00097798">
        <w:rPr>
          <w:rStyle w:val="ac"/>
          <w:sz w:val="27"/>
          <w:rtl/>
        </w:rPr>
        <w:endnoteReference w:id="618"/>
      </w:r>
      <w:r w:rsidRPr="00097798">
        <w:rPr>
          <w:rFonts w:hint="cs"/>
          <w:sz w:val="27"/>
          <w:vertAlign w:val="superscript"/>
          <w:rtl/>
        </w:rPr>
        <w:t>)</w:t>
      </w:r>
      <w:r w:rsidRPr="00097798">
        <w:rPr>
          <w:rFonts w:hint="cs"/>
          <w:sz w:val="27"/>
          <w:rtl/>
          <w:lang w:bidi="fa-IR"/>
        </w:rPr>
        <w:t xml:space="preserve">. </w:t>
      </w:r>
    </w:p>
    <w:p w:rsidR="00336F3B" w:rsidRPr="00904FCB" w:rsidRDefault="00336F3B" w:rsidP="007A21AA">
      <w:pPr>
        <w:spacing w:line="400" w:lineRule="exact"/>
        <w:rPr>
          <w:sz w:val="27"/>
          <w:rtl/>
          <w:lang w:bidi="fa-IR"/>
        </w:rPr>
      </w:pPr>
    </w:p>
    <w:p w:rsidR="00336F3B" w:rsidRPr="00904FCB" w:rsidRDefault="00336F3B" w:rsidP="007A21AA">
      <w:pPr>
        <w:pStyle w:val="31"/>
        <w:spacing w:line="400" w:lineRule="exact"/>
        <w:rPr>
          <w:color w:val="auto"/>
          <w:rtl/>
          <w:lang w:bidi="fa-IR"/>
        </w:rPr>
      </w:pPr>
      <w:r w:rsidRPr="00097798">
        <w:rPr>
          <w:rFonts w:hint="cs"/>
          <w:color w:val="auto"/>
          <w:rtl/>
          <w:lang w:bidi="ar-LB"/>
        </w:rPr>
        <w:t xml:space="preserve">3ـ </w:t>
      </w:r>
      <w:r w:rsidRPr="00097798">
        <w:rPr>
          <w:rFonts w:hint="cs"/>
          <w:color w:val="auto"/>
          <w:rtl/>
          <w:lang w:bidi="fa-IR"/>
        </w:rPr>
        <w:t>تعر</w:t>
      </w:r>
      <w:r w:rsidRPr="00097798">
        <w:rPr>
          <w:rFonts w:ascii="Times New Roman" w:hAnsi="Times New Roman" w:hint="cs"/>
          <w:color w:val="auto"/>
          <w:rtl/>
          <w:lang w:bidi="fa-IR"/>
        </w:rPr>
        <w:t>ي</w:t>
      </w:r>
      <w:r w:rsidRPr="00097798">
        <w:rPr>
          <w:rFonts w:hint="cs"/>
          <w:color w:val="auto"/>
          <w:rtl/>
          <w:lang w:bidi="fa-IR"/>
        </w:rPr>
        <w:t>ف</w:t>
      </w:r>
      <w:r w:rsidRPr="00904FCB">
        <w:rPr>
          <w:rFonts w:hint="cs"/>
          <w:color w:val="auto"/>
          <w:rtl/>
          <w:lang w:bidi="fa-IR"/>
        </w:rPr>
        <w:t xml:space="preserve"> البغ</w:t>
      </w:r>
      <w:r w:rsidRPr="00904FCB">
        <w:rPr>
          <w:rFonts w:ascii="Times New Roman" w:hAnsi="Times New Roman" w:hint="cs"/>
          <w:color w:val="auto"/>
          <w:rtl/>
          <w:lang w:bidi="fa-IR"/>
        </w:rPr>
        <w:t>ي</w:t>
      </w:r>
      <w:r w:rsidRPr="00904FCB">
        <w:rPr>
          <w:rFonts w:hint="cs"/>
          <w:color w:val="auto"/>
          <w:rtl/>
          <w:lang w:bidi="fa-IR"/>
        </w:rPr>
        <w:t xml:space="preserve"> اصطلاحاً عند فقهاء المذاهب الأربعة لأهل السن</w:t>
      </w:r>
      <w:r w:rsidR="00670C84" w:rsidRPr="00904FCB">
        <w:rPr>
          <w:rFonts w:hint="cs"/>
          <w:color w:val="auto"/>
          <w:rtl/>
          <w:lang w:bidi="fa-IR"/>
        </w:rPr>
        <w:t>ّ</w:t>
      </w:r>
      <w:r w:rsidRPr="00904FCB">
        <w:rPr>
          <w:rFonts w:hint="cs"/>
          <w:color w:val="auto"/>
          <w:rtl/>
          <w:lang w:bidi="fa-IR"/>
        </w:rPr>
        <w:t xml:space="preserve">ة </w:t>
      </w:r>
    </w:p>
    <w:p w:rsidR="00336F3B" w:rsidRPr="00904FCB" w:rsidRDefault="00336F3B" w:rsidP="007A21AA">
      <w:pPr>
        <w:spacing w:line="400" w:lineRule="exact"/>
        <w:rPr>
          <w:sz w:val="27"/>
          <w:rtl/>
          <w:lang w:bidi="fa-IR"/>
        </w:rPr>
      </w:pPr>
      <w:r w:rsidRPr="00097798">
        <w:rPr>
          <w:rFonts w:hint="cs"/>
          <w:b/>
          <w:bCs/>
          <w:sz w:val="27"/>
          <w:rtl/>
          <w:lang w:bidi="ar-LB"/>
        </w:rPr>
        <w:t>1ـ</w:t>
      </w:r>
      <w:r w:rsidRPr="00097798">
        <w:rPr>
          <w:rFonts w:hint="cs"/>
          <w:b/>
          <w:bCs/>
          <w:sz w:val="27"/>
          <w:rtl/>
          <w:lang w:bidi="fa-IR"/>
        </w:rPr>
        <w:t xml:space="preserve"> تعر</w:t>
      </w:r>
      <w:r w:rsidRPr="00097798">
        <w:rPr>
          <w:rFonts w:ascii="Times New Roman" w:hAnsi="Times New Roman" w:hint="cs"/>
          <w:b/>
          <w:bCs/>
          <w:sz w:val="27"/>
          <w:rtl/>
          <w:lang w:bidi="fa-IR"/>
        </w:rPr>
        <w:t>ي</w:t>
      </w:r>
      <w:r w:rsidRPr="00097798">
        <w:rPr>
          <w:rFonts w:hint="cs"/>
          <w:b/>
          <w:bCs/>
          <w:sz w:val="27"/>
          <w:rtl/>
          <w:lang w:bidi="fa-IR"/>
        </w:rPr>
        <w:t>ف الشافع</w:t>
      </w:r>
      <w:r w:rsidRPr="00097798">
        <w:rPr>
          <w:rFonts w:ascii="Times New Roman" w:hAnsi="Times New Roman" w:hint="cs"/>
          <w:b/>
          <w:bCs/>
          <w:sz w:val="27"/>
          <w:rtl/>
          <w:lang w:bidi="fa-IR"/>
        </w:rPr>
        <w:t>ي</w:t>
      </w:r>
      <w:r w:rsidRPr="00097798">
        <w:rPr>
          <w:rFonts w:hint="cs"/>
          <w:b/>
          <w:bCs/>
          <w:sz w:val="27"/>
          <w:rtl/>
          <w:lang w:bidi="fa-IR"/>
        </w:rPr>
        <w:t>ة للبغ</w:t>
      </w:r>
      <w:r w:rsidRPr="00097798">
        <w:rPr>
          <w:rFonts w:ascii="Times New Roman" w:hAnsi="Times New Roman" w:hint="cs"/>
          <w:b/>
          <w:bCs/>
          <w:sz w:val="27"/>
          <w:rtl/>
          <w:lang w:bidi="fa-IR"/>
        </w:rPr>
        <w:t>ي</w:t>
      </w:r>
      <w:r w:rsidRPr="00097798">
        <w:rPr>
          <w:rFonts w:hint="cs"/>
          <w:sz w:val="27"/>
          <w:rtl/>
          <w:lang w:bidi="fa-IR"/>
        </w:rPr>
        <w:t>: «هو خروج جماعة</w:t>
      </w:r>
      <w:r w:rsidR="00670C84" w:rsidRPr="00097798">
        <w:rPr>
          <w:rFonts w:hint="cs"/>
          <w:sz w:val="27"/>
          <w:rtl/>
          <w:lang w:bidi="fa-IR"/>
        </w:rPr>
        <w:t>ٍ</w:t>
      </w:r>
      <w:r w:rsidRPr="00097798">
        <w:rPr>
          <w:rFonts w:hint="cs"/>
          <w:sz w:val="27"/>
          <w:rtl/>
          <w:lang w:bidi="fa-IR"/>
        </w:rPr>
        <w:t xml:space="preserve"> ذات شوكة</w:t>
      </w:r>
      <w:r w:rsidR="00BD1A70" w:rsidRPr="00097798">
        <w:rPr>
          <w:rFonts w:hint="cs"/>
          <w:sz w:val="27"/>
          <w:rtl/>
          <w:lang w:bidi="fa-IR"/>
        </w:rPr>
        <w:t>ٍ</w:t>
      </w:r>
      <w:r w:rsidRPr="00097798">
        <w:rPr>
          <w:rFonts w:hint="cs"/>
          <w:sz w:val="27"/>
          <w:rtl/>
          <w:lang w:bidi="fa-IR"/>
        </w:rPr>
        <w:t xml:space="preserve"> ورئ</w:t>
      </w:r>
      <w:r w:rsidRPr="00097798">
        <w:rPr>
          <w:rFonts w:ascii="Times New Roman" w:hAnsi="Times New Roman" w:hint="cs"/>
          <w:sz w:val="27"/>
          <w:rtl/>
          <w:lang w:bidi="fa-IR"/>
        </w:rPr>
        <w:t>ي</w:t>
      </w:r>
      <w:r w:rsidR="00670C84" w:rsidRPr="00097798">
        <w:rPr>
          <w:rFonts w:hint="cs"/>
          <w:sz w:val="27"/>
          <w:rtl/>
          <w:lang w:bidi="fa-IR"/>
        </w:rPr>
        <w:t>س</w:t>
      </w:r>
      <w:r w:rsidR="00BD1A70" w:rsidRPr="00097798">
        <w:rPr>
          <w:rFonts w:hint="cs"/>
          <w:sz w:val="27"/>
          <w:rtl/>
          <w:lang w:bidi="fa-IR"/>
        </w:rPr>
        <w:t>ٍ</w:t>
      </w:r>
      <w:r w:rsidR="00670C84" w:rsidRPr="00097798">
        <w:rPr>
          <w:rFonts w:hint="cs"/>
          <w:sz w:val="27"/>
          <w:rtl/>
          <w:lang w:bidi="fa-IR"/>
        </w:rPr>
        <w:t xml:space="preserve"> مطاع</w:t>
      </w:r>
      <w:r w:rsidRPr="00097798">
        <w:rPr>
          <w:rFonts w:hint="cs"/>
          <w:sz w:val="27"/>
          <w:rtl/>
          <w:lang w:bidi="fa-IR"/>
        </w:rPr>
        <w:t xml:space="preserve"> عن</w:t>
      </w:r>
      <w:r w:rsidRPr="00904FCB">
        <w:rPr>
          <w:rFonts w:hint="cs"/>
          <w:sz w:val="27"/>
          <w:rtl/>
          <w:lang w:bidi="fa-IR"/>
        </w:rPr>
        <w:t xml:space="preserve"> طاعة الإمام</w:t>
      </w:r>
      <w:r w:rsidR="00BD1A70" w:rsidRPr="00904FCB">
        <w:rPr>
          <w:rFonts w:hint="cs"/>
          <w:sz w:val="27"/>
          <w:rtl/>
          <w:lang w:bidi="fa-IR"/>
        </w:rPr>
        <w:t>؛</w:t>
      </w:r>
      <w:r w:rsidRPr="00904FCB">
        <w:rPr>
          <w:rFonts w:hint="cs"/>
          <w:sz w:val="27"/>
          <w:rtl/>
          <w:lang w:bidi="fa-IR"/>
        </w:rPr>
        <w:t xml:space="preserve"> بت</w:t>
      </w:r>
      <w:r w:rsidR="00670C84" w:rsidRPr="00904FCB">
        <w:rPr>
          <w:rFonts w:hint="cs"/>
          <w:sz w:val="27"/>
          <w:rtl/>
          <w:lang w:bidi="fa-IR"/>
        </w:rPr>
        <w:t>أ</w:t>
      </w:r>
      <w:r w:rsidRPr="00904FCB">
        <w:rPr>
          <w:rFonts w:hint="cs"/>
          <w:sz w:val="27"/>
          <w:rtl/>
          <w:lang w:bidi="fa-IR"/>
        </w:rPr>
        <w:t>و</w:t>
      </w:r>
      <w:r w:rsidRPr="00904FCB">
        <w:rPr>
          <w:rFonts w:ascii="Times New Roman" w:hAnsi="Times New Roman" w:hint="cs"/>
          <w:sz w:val="27"/>
          <w:rtl/>
          <w:lang w:bidi="fa-IR"/>
        </w:rPr>
        <w:t>ي</w:t>
      </w:r>
      <w:r w:rsidRPr="00904FCB">
        <w:rPr>
          <w:rFonts w:hint="cs"/>
          <w:sz w:val="27"/>
          <w:rtl/>
          <w:lang w:bidi="fa-IR"/>
        </w:rPr>
        <w:t>ل</w:t>
      </w:r>
      <w:r w:rsidR="00670C84" w:rsidRPr="00904FCB">
        <w:rPr>
          <w:rFonts w:hint="cs"/>
          <w:sz w:val="27"/>
          <w:rtl/>
          <w:lang w:bidi="fa-IR"/>
        </w:rPr>
        <w:t>ٍ فاسد.</w:t>
      </w:r>
      <w:r w:rsidRPr="00904FCB">
        <w:rPr>
          <w:rFonts w:hint="cs"/>
          <w:sz w:val="27"/>
          <w:rtl/>
          <w:lang w:bidi="fa-IR"/>
        </w:rPr>
        <w:t xml:space="preserve"> هم المسلمون مخالفو الإمام بخروجٍ عل</w:t>
      </w:r>
      <w:r w:rsidRPr="00904FCB">
        <w:rPr>
          <w:rFonts w:ascii="Times New Roman" w:hAnsi="Times New Roman" w:hint="cs"/>
          <w:sz w:val="27"/>
          <w:rtl/>
          <w:lang w:bidi="fa-IR"/>
        </w:rPr>
        <w:t>ي</w:t>
      </w:r>
      <w:r w:rsidRPr="00904FCB">
        <w:rPr>
          <w:rFonts w:hint="cs"/>
          <w:sz w:val="27"/>
          <w:rtl/>
          <w:lang w:bidi="fa-IR"/>
        </w:rPr>
        <w:t xml:space="preserve">ه». </w:t>
      </w:r>
    </w:p>
    <w:p w:rsidR="00336F3B" w:rsidRPr="00904FCB" w:rsidRDefault="00336F3B" w:rsidP="007A21AA">
      <w:pPr>
        <w:spacing w:line="400" w:lineRule="exact"/>
        <w:rPr>
          <w:sz w:val="27"/>
          <w:rtl/>
          <w:lang w:bidi="fa-IR"/>
        </w:rPr>
      </w:pPr>
      <w:r w:rsidRPr="00097798">
        <w:rPr>
          <w:rFonts w:hint="cs"/>
          <w:b/>
          <w:bCs/>
          <w:sz w:val="27"/>
          <w:rtl/>
          <w:lang w:bidi="ar-LB"/>
        </w:rPr>
        <w:t>2ـ</w:t>
      </w:r>
      <w:r w:rsidRPr="00097798">
        <w:rPr>
          <w:rFonts w:hint="cs"/>
          <w:b/>
          <w:bCs/>
          <w:sz w:val="27"/>
          <w:rtl/>
          <w:lang w:bidi="fa-IR"/>
        </w:rPr>
        <w:t xml:space="preserve"> تعر</w:t>
      </w:r>
      <w:r w:rsidRPr="00097798">
        <w:rPr>
          <w:rFonts w:ascii="Times New Roman" w:hAnsi="Times New Roman" w:hint="cs"/>
          <w:b/>
          <w:bCs/>
          <w:sz w:val="27"/>
          <w:rtl/>
          <w:lang w:bidi="fa-IR"/>
        </w:rPr>
        <w:t>ي</w:t>
      </w:r>
      <w:r w:rsidRPr="00097798">
        <w:rPr>
          <w:rFonts w:hint="cs"/>
          <w:b/>
          <w:bCs/>
          <w:sz w:val="27"/>
          <w:rtl/>
          <w:lang w:bidi="fa-IR"/>
        </w:rPr>
        <w:t>ف الحنابلة</w:t>
      </w:r>
      <w:r w:rsidRPr="00097798">
        <w:rPr>
          <w:rFonts w:hint="cs"/>
          <w:sz w:val="27"/>
          <w:rtl/>
          <w:lang w:bidi="fa-IR"/>
        </w:rPr>
        <w:t>: «هم الخارجون عن إمام</w:t>
      </w:r>
      <w:r w:rsidR="00BD1A70" w:rsidRPr="00097798">
        <w:rPr>
          <w:rFonts w:hint="cs"/>
          <w:sz w:val="27"/>
          <w:rtl/>
          <w:lang w:bidi="fa-IR"/>
        </w:rPr>
        <w:t>ٍ،</w:t>
      </w:r>
      <w:r w:rsidRPr="00097798">
        <w:rPr>
          <w:rFonts w:hint="cs"/>
          <w:sz w:val="27"/>
          <w:rtl/>
          <w:lang w:bidi="fa-IR"/>
        </w:rPr>
        <w:t xml:space="preserve"> ولو غ</w:t>
      </w:r>
      <w:r w:rsidRPr="00097798">
        <w:rPr>
          <w:rFonts w:ascii="Times New Roman" w:hAnsi="Times New Roman" w:hint="cs"/>
          <w:sz w:val="27"/>
          <w:rtl/>
          <w:lang w:bidi="fa-IR"/>
        </w:rPr>
        <w:t>ي</w:t>
      </w:r>
      <w:r w:rsidRPr="00097798">
        <w:rPr>
          <w:rFonts w:hint="cs"/>
          <w:sz w:val="27"/>
          <w:rtl/>
          <w:lang w:bidi="fa-IR"/>
        </w:rPr>
        <w:t>ر عدلٍ</w:t>
      </w:r>
      <w:r w:rsidR="00BD1A70" w:rsidRPr="00097798">
        <w:rPr>
          <w:rFonts w:hint="cs"/>
          <w:sz w:val="27"/>
          <w:rtl/>
          <w:lang w:bidi="fa-IR"/>
        </w:rPr>
        <w:t>؛</w:t>
      </w:r>
      <w:r w:rsidRPr="00097798">
        <w:rPr>
          <w:rFonts w:hint="cs"/>
          <w:sz w:val="27"/>
          <w:rtl/>
          <w:lang w:bidi="fa-IR"/>
        </w:rPr>
        <w:t xml:space="preserve"> بتأو</w:t>
      </w:r>
      <w:r w:rsidRPr="00097798">
        <w:rPr>
          <w:rFonts w:ascii="Times New Roman" w:hAnsi="Times New Roman" w:hint="cs"/>
          <w:sz w:val="27"/>
          <w:rtl/>
          <w:lang w:bidi="fa-IR"/>
        </w:rPr>
        <w:t>ي</w:t>
      </w:r>
      <w:r w:rsidRPr="00097798">
        <w:rPr>
          <w:rFonts w:hint="cs"/>
          <w:sz w:val="27"/>
          <w:rtl/>
          <w:lang w:bidi="fa-IR"/>
        </w:rPr>
        <w:t>ل</w:t>
      </w:r>
      <w:r w:rsidR="00BD1A70" w:rsidRPr="00097798">
        <w:rPr>
          <w:rFonts w:hint="cs"/>
          <w:sz w:val="27"/>
          <w:rtl/>
          <w:lang w:bidi="fa-IR"/>
        </w:rPr>
        <w:t>ٍ</w:t>
      </w:r>
      <w:r w:rsidRPr="00097798">
        <w:rPr>
          <w:rFonts w:hint="cs"/>
          <w:sz w:val="27"/>
          <w:rtl/>
          <w:lang w:bidi="fa-IR"/>
        </w:rPr>
        <w:t xml:space="preserve"> سائغ</w:t>
      </w:r>
      <w:r w:rsidR="00BD1A70" w:rsidRPr="00097798">
        <w:rPr>
          <w:rFonts w:hint="cs"/>
          <w:sz w:val="27"/>
          <w:rtl/>
          <w:lang w:bidi="fa-IR"/>
        </w:rPr>
        <w:t>،</w:t>
      </w:r>
      <w:r w:rsidRPr="00097798">
        <w:rPr>
          <w:rFonts w:hint="cs"/>
          <w:sz w:val="27"/>
          <w:rtl/>
          <w:lang w:bidi="fa-IR"/>
        </w:rPr>
        <w:t xml:space="preserve"> ولهم</w:t>
      </w:r>
      <w:r w:rsidRPr="00904FCB">
        <w:rPr>
          <w:rFonts w:hint="cs"/>
          <w:sz w:val="27"/>
          <w:rtl/>
          <w:lang w:bidi="fa-IR"/>
        </w:rPr>
        <w:t xml:space="preserve"> </w:t>
      </w:r>
      <w:r w:rsidRPr="00904FCB">
        <w:rPr>
          <w:rFonts w:hint="cs"/>
          <w:sz w:val="27"/>
          <w:rtl/>
          <w:lang w:bidi="fa-IR"/>
        </w:rPr>
        <w:lastRenderedPageBreak/>
        <w:t>شوكة</w:t>
      </w:r>
      <w:r w:rsidR="00BD1A70" w:rsidRPr="00904FCB">
        <w:rPr>
          <w:rFonts w:hint="cs"/>
          <w:sz w:val="27"/>
          <w:rtl/>
          <w:lang w:bidi="fa-IR"/>
        </w:rPr>
        <w:t>،</w:t>
      </w:r>
      <w:r w:rsidRPr="00904FCB">
        <w:rPr>
          <w:rFonts w:hint="cs"/>
          <w:sz w:val="27"/>
          <w:rtl/>
          <w:lang w:bidi="fa-IR"/>
        </w:rPr>
        <w:t xml:space="preserve"> ولو لم </w:t>
      </w:r>
      <w:r w:rsidRPr="00904FCB">
        <w:rPr>
          <w:rFonts w:ascii="Times New Roman" w:hAnsi="Times New Roman" w:hint="cs"/>
          <w:sz w:val="27"/>
          <w:rtl/>
          <w:lang w:bidi="fa-IR"/>
        </w:rPr>
        <w:t>ي</w:t>
      </w:r>
      <w:r w:rsidRPr="00904FCB">
        <w:rPr>
          <w:rFonts w:hint="cs"/>
          <w:sz w:val="27"/>
          <w:rtl/>
          <w:lang w:bidi="fa-IR"/>
        </w:rPr>
        <w:t>كن ف</w:t>
      </w:r>
      <w:r w:rsidRPr="00904FCB">
        <w:rPr>
          <w:rFonts w:ascii="Times New Roman" w:hAnsi="Times New Roman" w:hint="cs"/>
          <w:sz w:val="27"/>
          <w:rtl/>
          <w:lang w:bidi="fa-IR"/>
        </w:rPr>
        <w:t>ي</w:t>
      </w:r>
      <w:r w:rsidRPr="00904FCB">
        <w:rPr>
          <w:rFonts w:hint="cs"/>
          <w:sz w:val="27"/>
          <w:rtl/>
          <w:lang w:bidi="fa-IR"/>
        </w:rPr>
        <w:t xml:space="preserve">هم مطاعٌ». </w:t>
      </w:r>
    </w:p>
    <w:p w:rsidR="00336F3B" w:rsidRPr="00904FCB" w:rsidRDefault="00336F3B" w:rsidP="007A21AA">
      <w:pPr>
        <w:spacing w:line="400" w:lineRule="exact"/>
        <w:rPr>
          <w:sz w:val="27"/>
          <w:rtl/>
          <w:lang w:bidi="fa-IR"/>
        </w:rPr>
      </w:pPr>
      <w:r w:rsidRPr="00097798">
        <w:rPr>
          <w:rFonts w:hint="cs"/>
          <w:b/>
          <w:bCs/>
          <w:sz w:val="27"/>
          <w:rtl/>
          <w:lang w:bidi="ar-LB"/>
        </w:rPr>
        <w:t>3ـ</w:t>
      </w:r>
      <w:r w:rsidRPr="00097798">
        <w:rPr>
          <w:rFonts w:ascii="Times New Roman" w:hAnsi="Times New Roman" w:hint="cs"/>
          <w:b/>
          <w:bCs/>
          <w:sz w:val="27"/>
          <w:rtl/>
          <w:lang w:bidi="fa-IR"/>
        </w:rPr>
        <w:t xml:space="preserve"> ي</w:t>
      </w:r>
      <w:r w:rsidRPr="00097798">
        <w:rPr>
          <w:rFonts w:hint="cs"/>
          <w:b/>
          <w:bCs/>
          <w:sz w:val="27"/>
          <w:rtl/>
          <w:lang w:bidi="fa-IR"/>
        </w:rPr>
        <w:t>ر</w:t>
      </w:r>
      <w:r w:rsidR="00BD1A70" w:rsidRPr="00097798">
        <w:rPr>
          <w:rFonts w:ascii="Times New Roman" w:hAnsi="Times New Roman" w:hint="cs"/>
          <w:b/>
          <w:bCs/>
          <w:sz w:val="27"/>
          <w:rtl/>
          <w:lang w:bidi="fa-IR"/>
        </w:rPr>
        <w:t>ى</w:t>
      </w:r>
      <w:r w:rsidRPr="00097798">
        <w:rPr>
          <w:rFonts w:hint="cs"/>
          <w:b/>
          <w:bCs/>
          <w:sz w:val="27"/>
          <w:rtl/>
          <w:lang w:bidi="fa-IR"/>
        </w:rPr>
        <w:t xml:space="preserve"> المالك</w:t>
      </w:r>
      <w:r w:rsidRPr="00097798">
        <w:rPr>
          <w:rFonts w:ascii="Times New Roman" w:hAnsi="Times New Roman" w:hint="cs"/>
          <w:b/>
          <w:bCs/>
          <w:sz w:val="27"/>
          <w:rtl/>
          <w:lang w:bidi="fa-IR"/>
        </w:rPr>
        <w:t>ي</w:t>
      </w:r>
      <w:r w:rsidRPr="00097798">
        <w:rPr>
          <w:rFonts w:hint="cs"/>
          <w:b/>
          <w:bCs/>
          <w:sz w:val="27"/>
          <w:rtl/>
          <w:lang w:bidi="fa-IR"/>
        </w:rPr>
        <w:t>ة</w:t>
      </w:r>
      <w:r w:rsidRPr="00097798">
        <w:rPr>
          <w:rFonts w:hint="cs"/>
          <w:sz w:val="27"/>
          <w:rtl/>
          <w:lang w:bidi="fa-IR"/>
        </w:rPr>
        <w:t xml:space="preserve"> أنّ البغ</w:t>
      </w:r>
      <w:r w:rsidRPr="00097798">
        <w:rPr>
          <w:rFonts w:ascii="Times New Roman" w:hAnsi="Times New Roman" w:hint="cs"/>
          <w:sz w:val="27"/>
          <w:rtl/>
          <w:lang w:bidi="fa-IR"/>
        </w:rPr>
        <w:t>ي</w:t>
      </w:r>
      <w:r w:rsidRPr="00097798">
        <w:rPr>
          <w:rFonts w:hint="cs"/>
          <w:sz w:val="27"/>
          <w:rtl/>
          <w:lang w:bidi="fa-IR"/>
        </w:rPr>
        <w:t xml:space="preserve"> «هو الامتناع عن طاعة م</w:t>
      </w:r>
      <w:r w:rsidR="00BD1A70" w:rsidRPr="00097798">
        <w:rPr>
          <w:rFonts w:hint="cs"/>
          <w:sz w:val="27"/>
          <w:rtl/>
          <w:lang w:bidi="fa-IR"/>
        </w:rPr>
        <w:t>َ</w:t>
      </w:r>
      <w:r w:rsidRPr="00097798">
        <w:rPr>
          <w:rFonts w:hint="cs"/>
          <w:sz w:val="27"/>
          <w:rtl/>
          <w:lang w:bidi="fa-IR"/>
        </w:rPr>
        <w:t>ن</w:t>
      </w:r>
      <w:r w:rsidR="00BD1A70" w:rsidRPr="00097798">
        <w:rPr>
          <w:rFonts w:hint="cs"/>
          <w:sz w:val="27"/>
          <w:rtl/>
          <w:lang w:bidi="fa-IR"/>
        </w:rPr>
        <w:t>ْ</w:t>
      </w:r>
      <w:r w:rsidRPr="00097798">
        <w:rPr>
          <w:rFonts w:hint="cs"/>
          <w:sz w:val="27"/>
          <w:rtl/>
          <w:lang w:bidi="fa-IR"/>
        </w:rPr>
        <w:t xml:space="preserve"> تثبت إمامته ف</w:t>
      </w:r>
      <w:r w:rsidRPr="00097798">
        <w:rPr>
          <w:rFonts w:ascii="Times New Roman" w:hAnsi="Times New Roman" w:hint="cs"/>
          <w:sz w:val="27"/>
          <w:rtl/>
          <w:lang w:bidi="fa-IR"/>
        </w:rPr>
        <w:t>ي</w:t>
      </w:r>
      <w:r w:rsidRPr="00097798">
        <w:rPr>
          <w:rFonts w:hint="cs"/>
          <w:sz w:val="27"/>
          <w:rtl/>
          <w:lang w:bidi="fa-IR"/>
        </w:rPr>
        <w:t xml:space="preserve"> غ</w:t>
      </w:r>
      <w:r w:rsidRPr="00097798">
        <w:rPr>
          <w:rFonts w:ascii="Times New Roman" w:hAnsi="Times New Roman" w:hint="cs"/>
          <w:sz w:val="27"/>
          <w:rtl/>
          <w:lang w:bidi="fa-IR"/>
        </w:rPr>
        <w:t>ي</w:t>
      </w:r>
      <w:r w:rsidRPr="00097798">
        <w:rPr>
          <w:rFonts w:hint="cs"/>
          <w:sz w:val="27"/>
          <w:rtl/>
          <w:lang w:bidi="fa-IR"/>
        </w:rPr>
        <w:t>ر</w:t>
      </w:r>
      <w:r w:rsidRPr="00904FCB">
        <w:rPr>
          <w:rFonts w:hint="cs"/>
          <w:sz w:val="27"/>
          <w:rtl/>
          <w:lang w:bidi="fa-IR"/>
        </w:rPr>
        <w:t xml:space="preserve"> معص</w:t>
      </w:r>
      <w:r w:rsidRPr="00904FCB">
        <w:rPr>
          <w:rFonts w:ascii="Times New Roman" w:hAnsi="Times New Roman" w:hint="cs"/>
          <w:sz w:val="27"/>
          <w:rtl/>
          <w:lang w:bidi="fa-IR"/>
        </w:rPr>
        <w:t>ية</w:t>
      </w:r>
      <w:r w:rsidR="00BD1A70" w:rsidRPr="00904FCB">
        <w:rPr>
          <w:rFonts w:ascii="Times New Roman" w:hAnsi="Times New Roman" w:hint="cs"/>
          <w:sz w:val="27"/>
          <w:rtl/>
          <w:lang w:bidi="fa-IR"/>
        </w:rPr>
        <w:t>ٍ</w:t>
      </w:r>
      <w:r w:rsidRPr="00904FCB">
        <w:rPr>
          <w:rFonts w:hint="cs"/>
          <w:sz w:val="27"/>
          <w:rtl/>
          <w:lang w:bidi="fa-IR"/>
        </w:rPr>
        <w:t xml:space="preserve">». </w:t>
      </w:r>
    </w:p>
    <w:p w:rsidR="00336F3B" w:rsidRPr="00097798" w:rsidRDefault="00336F3B" w:rsidP="007A21AA">
      <w:pPr>
        <w:spacing w:line="400" w:lineRule="exact"/>
        <w:rPr>
          <w:sz w:val="27"/>
          <w:rtl/>
          <w:lang w:bidi="fa-IR"/>
        </w:rPr>
      </w:pPr>
      <w:r w:rsidRPr="00097798">
        <w:rPr>
          <w:rFonts w:hint="cs"/>
          <w:b/>
          <w:bCs/>
          <w:sz w:val="27"/>
          <w:rtl/>
          <w:lang w:bidi="ar-LB"/>
        </w:rPr>
        <w:t>4ـ</w:t>
      </w:r>
      <w:r w:rsidRPr="00097798">
        <w:rPr>
          <w:rFonts w:hint="cs"/>
          <w:b/>
          <w:bCs/>
          <w:sz w:val="27"/>
          <w:rtl/>
          <w:lang w:bidi="fa-IR"/>
        </w:rPr>
        <w:t xml:space="preserve"> تعر</w:t>
      </w:r>
      <w:r w:rsidRPr="00097798">
        <w:rPr>
          <w:rFonts w:ascii="Times New Roman" w:hAnsi="Times New Roman" w:hint="cs"/>
          <w:b/>
          <w:bCs/>
          <w:sz w:val="27"/>
          <w:rtl/>
          <w:lang w:bidi="fa-IR"/>
        </w:rPr>
        <w:t>ي</w:t>
      </w:r>
      <w:r w:rsidRPr="00097798">
        <w:rPr>
          <w:rFonts w:hint="cs"/>
          <w:b/>
          <w:bCs/>
          <w:sz w:val="27"/>
          <w:rtl/>
          <w:lang w:bidi="fa-IR"/>
        </w:rPr>
        <w:t>ف الحنف</w:t>
      </w:r>
      <w:r w:rsidRPr="00097798">
        <w:rPr>
          <w:rFonts w:ascii="Times New Roman" w:hAnsi="Times New Roman" w:hint="cs"/>
          <w:b/>
          <w:bCs/>
          <w:sz w:val="27"/>
          <w:rtl/>
          <w:lang w:bidi="fa-IR"/>
        </w:rPr>
        <w:t>ي</w:t>
      </w:r>
      <w:r w:rsidRPr="00097798">
        <w:rPr>
          <w:rFonts w:hint="cs"/>
          <w:b/>
          <w:bCs/>
          <w:sz w:val="27"/>
          <w:rtl/>
          <w:lang w:bidi="fa-IR"/>
        </w:rPr>
        <w:t>ة</w:t>
      </w:r>
      <w:r w:rsidRPr="00097798">
        <w:rPr>
          <w:rFonts w:hint="cs"/>
          <w:sz w:val="27"/>
          <w:rtl/>
          <w:lang w:bidi="fa-IR"/>
        </w:rPr>
        <w:t>: «هو الخروج عن طاعة إمام الحق</w:t>
      </w:r>
      <w:r w:rsidR="00BD1A70" w:rsidRPr="00097798">
        <w:rPr>
          <w:rFonts w:hint="cs"/>
          <w:sz w:val="27"/>
          <w:rtl/>
          <w:lang w:bidi="fa-IR"/>
        </w:rPr>
        <w:t>ّ</w:t>
      </w:r>
      <w:r w:rsidRPr="00097798">
        <w:rPr>
          <w:rFonts w:hint="cs"/>
          <w:sz w:val="27"/>
          <w:rtl/>
          <w:lang w:bidi="fa-IR"/>
        </w:rPr>
        <w:t xml:space="preserve"> بغ</w:t>
      </w:r>
      <w:r w:rsidRPr="00097798">
        <w:rPr>
          <w:rFonts w:ascii="Times New Roman" w:hAnsi="Times New Roman" w:hint="cs"/>
          <w:sz w:val="27"/>
          <w:rtl/>
          <w:lang w:bidi="fa-IR"/>
        </w:rPr>
        <w:t>ي</w:t>
      </w:r>
      <w:r w:rsidRPr="00097798">
        <w:rPr>
          <w:rFonts w:hint="cs"/>
          <w:sz w:val="27"/>
          <w:rtl/>
          <w:lang w:bidi="fa-IR"/>
        </w:rPr>
        <w:t>ر حقّ</w:t>
      </w:r>
      <w:r w:rsidR="00BD1A70" w:rsidRPr="00097798">
        <w:rPr>
          <w:rFonts w:hint="cs"/>
          <w:sz w:val="27"/>
          <w:rtl/>
          <w:lang w:bidi="fa-IR"/>
        </w:rPr>
        <w:t>ٍ</w:t>
      </w:r>
      <w:r w:rsidRPr="00097798">
        <w:rPr>
          <w:rFonts w:hint="cs"/>
          <w:sz w:val="27"/>
          <w:rtl/>
          <w:lang w:bidi="fa-IR"/>
        </w:rPr>
        <w:t xml:space="preserve">». </w:t>
      </w:r>
    </w:p>
    <w:p w:rsidR="00336F3B" w:rsidRPr="00904FCB" w:rsidRDefault="00336F3B" w:rsidP="007A21AA">
      <w:pPr>
        <w:spacing w:line="400" w:lineRule="exact"/>
        <w:rPr>
          <w:sz w:val="27"/>
          <w:rtl/>
          <w:lang w:bidi="fa-IR"/>
        </w:rPr>
      </w:pPr>
      <w:r w:rsidRPr="00904FCB">
        <w:rPr>
          <w:rFonts w:hint="cs"/>
          <w:sz w:val="27"/>
          <w:rtl/>
          <w:lang w:bidi="fa-IR"/>
        </w:rPr>
        <w:t>لو لاحظنا هذه التعار</w:t>
      </w:r>
      <w:r w:rsidRPr="00904FCB">
        <w:rPr>
          <w:rFonts w:ascii="Times New Roman" w:hAnsi="Times New Roman" w:hint="cs"/>
          <w:sz w:val="27"/>
          <w:rtl/>
          <w:lang w:bidi="fa-IR"/>
        </w:rPr>
        <w:t>ي</w:t>
      </w:r>
      <w:r w:rsidR="00BD1A70" w:rsidRPr="00904FCB">
        <w:rPr>
          <w:rFonts w:hint="cs"/>
          <w:sz w:val="27"/>
          <w:rtl/>
          <w:lang w:bidi="fa-IR"/>
        </w:rPr>
        <w:t>ف الأربعة</w:t>
      </w:r>
      <w:r w:rsidRPr="00904FCB">
        <w:rPr>
          <w:rFonts w:hint="cs"/>
          <w:sz w:val="27"/>
          <w:rtl/>
          <w:lang w:bidi="fa-IR"/>
        </w:rPr>
        <w:t xml:space="preserve"> رأ</w:t>
      </w:r>
      <w:r w:rsidRPr="00904FCB">
        <w:rPr>
          <w:rFonts w:ascii="Times New Roman" w:hAnsi="Times New Roman" w:hint="cs"/>
          <w:sz w:val="27"/>
          <w:rtl/>
          <w:lang w:bidi="fa-IR"/>
        </w:rPr>
        <w:t>ي</w:t>
      </w:r>
      <w:r w:rsidRPr="00904FCB">
        <w:rPr>
          <w:rFonts w:hint="cs"/>
          <w:sz w:val="27"/>
          <w:rtl/>
          <w:lang w:bidi="fa-IR"/>
        </w:rPr>
        <w:t>نا أن لا خلاف ب</w:t>
      </w:r>
      <w:r w:rsidRPr="00904FCB">
        <w:rPr>
          <w:rFonts w:ascii="Times New Roman" w:hAnsi="Times New Roman" w:hint="cs"/>
          <w:sz w:val="27"/>
          <w:rtl/>
          <w:lang w:bidi="fa-IR"/>
        </w:rPr>
        <w:t>ي</w:t>
      </w:r>
      <w:r w:rsidRPr="00904FCB">
        <w:rPr>
          <w:rFonts w:hint="cs"/>
          <w:sz w:val="27"/>
          <w:rtl/>
          <w:lang w:bidi="fa-IR"/>
        </w:rPr>
        <w:t>نهم ف</w:t>
      </w:r>
      <w:r w:rsidRPr="00904FCB">
        <w:rPr>
          <w:rFonts w:ascii="Times New Roman" w:hAnsi="Times New Roman" w:hint="cs"/>
          <w:sz w:val="27"/>
          <w:rtl/>
          <w:lang w:bidi="fa-IR"/>
        </w:rPr>
        <w:t>ي</w:t>
      </w:r>
      <w:r w:rsidRPr="00904FCB">
        <w:rPr>
          <w:rFonts w:hint="cs"/>
          <w:sz w:val="27"/>
          <w:rtl/>
          <w:lang w:bidi="fa-IR"/>
        </w:rPr>
        <w:t xml:space="preserve"> أركان البغ</w:t>
      </w:r>
      <w:r w:rsidRPr="00904FCB">
        <w:rPr>
          <w:rFonts w:ascii="Times New Roman" w:hAnsi="Times New Roman" w:hint="cs"/>
          <w:sz w:val="27"/>
          <w:rtl/>
          <w:lang w:bidi="fa-IR"/>
        </w:rPr>
        <w:t>ي</w:t>
      </w:r>
      <w:r w:rsidRPr="00904FCB">
        <w:rPr>
          <w:rFonts w:hint="cs"/>
          <w:sz w:val="27"/>
          <w:rtl/>
          <w:lang w:bidi="fa-IR"/>
        </w:rPr>
        <w:t xml:space="preserve"> </w:t>
      </w:r>
      <w:r w:rsidR="00BD1A70" w:rsidRPr="00904FCB">
        <w:rPr>
          <w:rFonts w:hint="cs"/>
          <w:sz w:val="27"/>
          <w:rtl/>
          <w:lang w:bidi="fa-IR"/>
        </w:rPr>
        <w:t>ا</w:t>
      </w:r>
      <w:r w:rsidRPr="00904FCB">
        <w:rPr>
          <w:rFonts w:hint="cs"/>
          <w:sz w:val="27"/>
          <w:rtl/>
          <w:lang w:bidi="fa-IR"/>
        </w:rPr>
        <w:t>لرئ</w:t>
      </w:r>
      <w:r w:rsidRPr="00904FCB">
        <w:rPr>
          <w:rFonts w:ascii="Times New Roman" w:hAnsi="Times New Roman" w:hint="cs"/>
          <w:sz w:val="27"/>
          <w:rtl/>
          <w:lang w:bidi="fa-IR"/>
        </w:rPr>
        <w:t>ي</w:t>
      </w:r>
      <w:r w:rsidRPr="00904FCB">
        <w:rPr>
          <w:rFonts w:hint="cs"/>
          <w:sz w:val="27"/>
          <w:rtl/>
          <w:lang w:bidi="fa-IR"/>
        </w:rPr>
        <w:t>سة، ولكن</w:t>
      </w:r>
      <w:r w:rsidR="00BD1A70" w:rsidRPr="00904FCB">
        <w:rPr>
          <w:rFonts w:hint="cs"/>
          <w:sz w:val="27"/>
          <w:rtl/>
          <w:lang w:bidi="fa-IR"/>
        </w:rPr>
        <w:t>ْ</w:t>
      </w:r>
      <w:r w:rsidRPr="00904FCB">
        <w:rPr>
          <w:rFonts w:hint="cs"/>
          <w:sz w:val="27"/>
          <w:rtl/>
          <w:lang w:bidi="fa-IR"/>
        </w:rPr>
        <w:t xml:space="preserve"> ب</w:t>
      </w:r>
      <w:r w:rsidRPr="00904FCB">
        <w:rPr>
          <w:rFonts w:ascii="Times New Roman" w:hAnsi="Times New Roman" w:hint="cs"/>
          <w:sz w:val="27"/>
          <w:rtl/>
          <w:lang w:bidi="fa-IR"/>
        </w:rPr>
        <w:t>ي</w:t>
      </w:r>
      <w:r w:rsidRPr="00904FCB">
        <w:rPr>
          <w:rFonts w:hint="cs"/>
          <w:sz w:val="27"/>
          <w:rtl/>
          <w:lang w:bidi="fa-IR"/>
        </w:rPr>
        <w:t>نهم خلاف</w:t>
      </w:r>
      <w:r w:rsidR="00BD1A70" w:rsidRPr="00904FCB">
        <w:rPr>
          <w:rFonts w:hint="cs"/>
          <w:sz w:val="27"/>
          <w:rtl/>
          <w:lang w:bidi="fa-IR"/>
        </w:rPr>
        <w:t>ٌ</w:t>
      </w:r>
      <w:r w:rsidRPr="00904FCB">
        <w:rPr>
          <w:rFonts w:hint="cs"/>
          <w:sz w:val="27"/>
          <w:rtl/>
          <w:lang w:bidi="fa-IR"/>
        </w:rPr>
        <w:t xml:space="preserve"> ف</w:t>
      </w:r>
      <w:r w:rsidRPr="00904FCB">
        <w:rPr>
          <w:rFonts w:ascii="Times New Roman" w:hAnsi="Times New Roman" w:hint="cs"/>
          <w:sz w:val="27"/>
          <w:rtl/>
          <w:lang w:bidi="fa-IR"/>
        </w:rPr>
        <w:t>ي</w:t>
      </w:r>
      <w:r w:rsidRPr="00904FCB">
        <w:rPr>
          <w:rFonts w:hint="cs"/>
          <w:sz w:val="27"/>
          <w:rtl/>
          <w:lang w:bidi="fa-IR"/>
        </w:rPr>
        <w:t xml:space="preserve"> ب</w:t>
      </w:r>
      <w:r w:rsidRPr="00904FCB">
        <w:rPr>
          <w:rFonts w:ascii="Times New Roman" w:hAnsi="Times New Roman" w:hint="cs"/>
          <w:sz w:val="27"/>
          <w:rtl/>
          <w:lang w:bidi="fa-IR"/>
        </w:rPr>
        <w:t>ي</w:t>
      </w:r>
      <w:r w:rsidRPr="00904FCB">
        <w:rPr>
          <w:rFonts w:hint="cs"/>
          <w:sz w:val="27"/>
          <w:rtl/>
          <w:lang w:bidi="fa-IR"/>
        </w:rPr>
        <w:t xml:space="preserve">ان شروط البغاة. ثمّ </w:t>
      </w:r>
      <w:r w:rsidRPr="00904FCB">
        <w:rPr>
          <w:rFonts w:ascii="Times New Roman" w:hAnsi="Times New Roman" w:hint="cs"/>
          <w:sz w:val="27"/>
          <w:rtl/>
          <w:lang w:bidi="fa-IR"/>
        </w:rPr>
        <w:t>ي</w:t>
      </w:r>
      <w:r w:rsidRPr="00904FCB">
        <w:rPr>
          <w:rFonts w:hint="cs"/>
          <w:sz w:val="27"/>
          <w:rtl/>
          <w:lang w:bidi="fa-IR"/>
        </w:rPr>
        <w:t>مكننا أن نختار ونقتطف تعر</w:t>
      </w:r>
      <w:r w:rsidRPr="00904FCB">
        <w:rPr>
          <w:rFonts w:ascii="Times New Roman" w:hAnsi="Times New Roman" w:hint="cs"/>
          <w:sz w:val="27"/>
          <w:rtl/>
          <w:lang w:bidi="fa-IR"/>
        </w:rPr>
        <w:t>ي</w:t>
      </w:r>
      <w:r w:rsidRPr="00904FCB">
        <w:rPr>
          <w:rFonts w:hint="cs"/>
          <w:sz w:val="27"/>
          <w:rtl/>
          <w:lang w:bidi="fa-IR"/>
        </w:rPr>
        <w:t>فاً واحداً من هذه التعار</w:t>
      </w:r>
      <w:r w:rsidRPr="00904FCB">
        <w:rPr>
          <w:rFonts w:ascii="Times New Roman" w:hAnsi="Times New Roman" w:hint="cs"/>
          <w:sz w:val="27"/>
          <w:rtl/>
          <w:lang w:bidi="fa-IR"/>
        </w:rPr>
        <w:t>ي</w:t>
      </w:r>
      <w:r w:rsidRPr="00904FCB">
        <w:rPr>
          <w:rFonts w:hint="cs"/>
          <w:sz w:val="27"/>
          <w:rtl/>
          <w:lang w:bidi="fa-IR"/>
        </w:rPr>
        <w:t>ف</w:t>
      </w:r>
      <w:r w:rsidR="00BD1A70" w:rsidRPr="00904FCB">
        <w:rPr>
          <w:rFonts w:hint="cs"/>
          <w:sz w:val="27"/>
          <w:rtl/>
          <w:lang w:bidi="fa-IR"/>
        </w:rPr>
        <w:t>،</w:t>
      </w:r>
      <w:r w:rsidRPr="00904FCB">
        <w:rPr>
          <w:rFonts w:hint="cs"/>
          <w:sz w:val="27"/>
          <w:rtl/>
          <w:lang w:bidi="fa-IR"/>
        </w:rPr>
        <w:t xml:space="preserve"> وهو: «البغ</w:t>
      </w:r>
      <w:r w:rsidRPr="00904FCB">
        <w:rPr>
          <w:rFonts w:ascii="Times New Roman" w:hAnsi="Times New Roman" w:hint="cs"/>
          <w:sz w:val="27"/>
          <w:rtl/>
          <w:lang w:bidi="fa-IR"/>
        </w:rPr>
        <w:t>ي</w:t>
      </w:r>
      <w:r w:rsidRPr="00904FCB">
        <w:rPr>
          <w:rFonts w:hint="cs"/>
          <w:sz w:val="27"/>
          <w:rtl/>
          <w:lang w:bidi="fa-IR"/>
        </w:rPr>
        <w:t xml:space="preserve"> هو الخروج</w:t>
      </w:r>
      <w:r w:rsidR="00340818" w:rsidRPr="00904FCB">
        <w:rPr>
          <w:rFonts w:hint="cs"/>
          <w:sz w:val="27"/>
          <w:rtl/>
          <w:lang w:bidi="fa-IR"/>
        </w:rPr>
        <w:t xml:space="preserve"> على </w:t>
      </w:r>
      <w:r w:rsidRPr="00904FCB">
        <w:rPr>
          <w:rFonts w:hint="cs"/>
          <w:sz w:val="27"/>
          <w:rtl/>
          <w:lang w:bidi="fa-IR"/>
        </w:rPr>
        <w:t>الإمام مغالبة</w:t>
      </w:r>
      <w:r w:rsidR="00BD1A70" w:rsidRPr="00904FCB">
        <w:rPr>
          <w:rFonts w:hint="cs"/>
          <w:sz w:val="27"/>
          <w:rtl/>
          <w:lang w:bidi="fa-IR"/>
        </w:rPr>
        <w:t>ً</w:t>
      </w:r>
      <w:r w:rsidRPr="00904FCB">
        <w:rPr>
          <w:rFonts w:hint="cs"/>
          <w:sz w:val="27"/>
          <w:rtl/>
          <w:lang w:bidi="fa-IR"/>
        </w:rPr>
        <w:t>»</w:t>
      </w:r>
      <w:r w:rsidRPr="00904FCB">
        <w:rPr>
          <w:rFonts w:hint="cs"/>
          <w:sz w:val="27"/>
          <w:vertAlign w:val="superscript"/>
          <w:rtl/>
        </w:rPr>
        <w:t>(</w:t>
      </w:r>
      <w:r w:rsidRPr="00904FCB">
        <w:rPr>
          <w:rStyle w:val="ac"/>
          <w:sz w:val="27"/>
          <w:rtl/>
        </w:rPr>
        <w:endnoteReference w:id="619"/>
      </w:r>
      <w:r w:rsidRPr="00904FCB">
        <w:rPr>
          <w:rFonts w:hint="cs"/>
          <w:sz w:val="27"/>
          <w:vertAlign w:val="superscript"/>
          <w:rtl/>
        </w:rPr>
        <w:t>)</w:t>
      </w:r>
      <w:r w:rsidRPr="00904FCB">
        <w:rPr>
          <w:rFonts w:hint="cs"/>
          <w:sz w:val="27"/>
          <w:rtl/>
          <w:lang w:bidi="fa-IR"/>
        </w:rPr>
        <w:t xml:space="preserve">. </w:t>
      </w:r>
    </w:p>
    <w:p w:rsidR="00336F3B" w:rsidRPr="00904FCB" w:rsidRDefault="00336F3B" w:rsidP="007A21AA">
      <w:pPr>
        <w:spacing w:line="400" w:lineRule="exact"/>
        <w:rPr>
          <w:sz w:val="27"/>
          <w:rtl/>
          <w:lang w:bidi="fa-IR"/>
        </w:rPr>
      </w:pPr>
    </w:p>
    <w:p w:rsidR="00336F3B" w:rsidRPr="00904FCB" w:rsidRDefault="00336F3B" w:rsidP="007A21AA">
      <w:pPr>
        <w:pStyle w:val="31"/>
        <w:spacing w:line="400" w:lineRule="exact"/>
        <w:rPr>
          <w:color w:val="auto"/>
          <w:rtl/>
          <w:lang w:bidi="fa-IR"/>
        </w:rPr>
      </w:pPr>
      <w:r w:rsidRPr="00097798">
        <w:rPr>
          <w:rFonts w:hint="cs"/>
          <w:color w:val="auto"/>
          <w:rtl/>
          <w:lang w:bidi="ar-LB"/>
        </w:rPr>
        <w:t xml:space="preserve">4ـ </w:t>
      </w:r>
      <w:r w:rsidRPr="00097798">
        <w:rPr>
          <w:rFonts w:hint="cs"/>
          <w:color w:val="auto"/>
          <w:rtl/>
          <w:lang w:bidi="fa-IR"/>
        </w:rPr>
        <w:t>حكم</w:t>
      </w:r>
      <w:r w:rsidRPr="00904FCB">
        <w:rPr>
          <w:rFonts w:hint="cs"/>
          <w:color w:val="auto"/>
          <w:rtl/>
          <w:lang w:bidi="fa-IR"/>
        </w:rPr>
        <w:t xml:space="preserve"> البغ</w:t>
      </w:r>
      <w:r w:rsidRPr="00904FCB">
        <w:rPr>
          <w:rFonts w:ascii="Times New Roman" w:hAnsi="Times New Roman" w:hint="cs"/>
          <w:color w:val="auto"/>
          <w:rtl/>
          <w:lang w:bidi="fa-IR"/>
        </w:rPr>
        <w:t>ي</w:t>
      </w:r>
      <w:r w:rsidRPr="00904FCB">
        <w:rPr>
          <w:rFonts w:hint="cs"/>
          <w:color w:val="auto"/>
          <w:rtl/>
          <w:lang w:bidi="fa-IR"/>
        </w:rPr>
        <w:t xml:space="preserve"> ف</w:t>
      </w:r>
      <w:r w:rsidRPr="00904FCB">
        <w:rPr>
          <w:rFonts w:ascii="Times New Roman" w:hAnsi="Times New Roman" w:hint="cs"/>
          <w:color w:val="auto"/>
          <w:rtl/>
          <w:lang w:bidi="fa-IR"/>
        </w:rPr>
        <w:t>ي</w:t>
      </w:r>
      <w:r w:rsidRPr="00904FCB">
        <w:rPr>
          <w:rFonts w:hint="cs"/>
          <w:color w:val="auto"/>
          <w:rtl/>
          <w:lang w:bidi="fa-IR"/>
        </w:rPr>
        <w:t xml:space="preserve"> ضوء القرآن </w:t>
      </w:r>
    </w:p>
    <w:p w:rsidR="00931544" w:rsidRPr="00904FCB" w:rsidRDefault="00336F3B" w:rsidP="007A21AA">
      <w:pPr>
        <w:spacing w:line="400" w:lineRule="exact"/>
        <w:rPr>
          <w:sz w:val="27"/>
          <w:rtl/>
          <w:lang w:bidi="fa-IR"/>
        </w:rPr>
      </w:pPr>
      <w:r w:rsidRPr="00904FCB">
        <w:rPr>
          <w:rFonts w:hint="cs"/>
          <w:sz w:val="27"/>
          <w:rtl/>
          <w:lang w:bidi="fa-IR"/>
        </w:rPr>
        <w:t>إن أشهر المعان</w:t>
      </w:r>
      <w:r w:rsidRPr="00904FCB">
        <w:rPr>
          <w:rFonts w:ascii="Times New Roman" w:hAnsi="Times New Roman" w:hint="cs"/>
          <w:sz w:val="27"/>
          <w:rtl/>
          <w:lang w:bidi="fa-IR"/>
        </w:rPr>
        <w:t>ي</w:t>
      </w:r>
      <w:r w:rsidRPr="00904FCB">
        <w:rPr>
          <w:rFonts w:hint="cs"/>
          <w:sz w:val="27"/>
          <w:rtl/>
          <w:lang w:bidi="fa-IR"/>
        </w:rPr>
        <w:t xml:space="preserve"> للبغ</w:t>
      </w:r>
      <w:r w:rsidRPr="00904FCB">
        <w:rPr>
          <w:rFonts w:ascii="Times New Roman" w:hAnsi="Times New Roman" w:hint="cs"/>
          <w:sz w:val="27"/>
          <w:rtl/>
          <w:lang w:bidi="fa-IR"/>
        </w:rPr>
        <w:t>ي</w:t>
      </w:r>
      <w:r w:rsidRPr="00904FCB">
        <w:rPr>
          <w:rFonts w:hint="cs"/>
          <w:sz w:val="27"/>
          <w:rtl/>
          <w:lang w:bidi="fa-IR"/>
        </w:rPr>
        <w:t xml:space="preserve"> الذ</w:t>
      </w:r>
      <w:r w:rsidRPr="00904FCB">
        <w:rPr>
          <w:rFonts w:ascii="Times New Roman" w:hAnsi="Times New Roman" w:hint="cs"/>
          <w:sz w:val="27"/>
          <w:rtl/>
          <w:lang w:bidi="fa-IR"/>
        </w:rPr>
        <w:t>ي</w:t>
      </w:r>
      <w:r w:rsidRPr="00904FCB">
        <w:rPr>
          <w:rFonts w:hint="cs"/>
          <w:sz w:val="27"/>
          <w:rtl/>
          <w:lang w:bidi="fa-IR"/>
        </w:rPr>
        <w:t xml:space="preserve"> </w:t>
      </w:r>
      <w:r w:rsidR="00BD1A70" w:rsidRPr="00904FCB">
        <w:rPr>
          <w:rFonts w:hint="cs"/>
          <w:sz w:val="27"/>
          <w:rtl/>
          <w:lang w:bidi="fa-IR"/>
        </w:rPr>
        <w:t>ا</w:t>
      </w:r>
      <w:r w:rsidRPr="00904FCB">
        <w:rPr>
          <w:rFonts w:hint="cs"/>
          <w:sz w:val="27"/>
          <w:rtl/>
          <w:lang w:bidi="fa-IR"/>
        </w:rPr>
        <w:t>صط</w:t>
      </w:r>
      <w:r w:rsidR="00BD1A70" w:rsidRPr="00904FCB">
        <w:rPr>
          <w:rFonts w:hint="cs"/>
          <w:sz w:val="27"/>
          <w:rtl/>
          <w:lang w:bidi="fa-IR"/>
        </w:rPr>
        <w:t>ُل</w:t>
      </w:r>
      <w:r w:rsidRPr="00904FCB">
        <w:rPr>
          <w:rFonts w:hint="cs"/>
          <w:sz w:val="27"/>
          <w:rtl/>
          <w:lang w:bidi="fa-IR"/>
        </w:rPr>
        <w:t>ح عل</w:t>
      </w:r>
      <w:r w:rsidRPr="00904FCB">
        <w:rPr>
          <w:rFonts w:ascii="Times New Roman" w:hAnsi="Times New Roman" w:hint="cs"/>
          <w:sz w:val="27"/>
          <w:rtl/>
          <w:lang w:bidi="fa-IR"/>
        </w:rPr>
        <w:t>ي</w:t>
      </w:r>
      <w:r w:rsidRPr="00904FCB">
        <w:rPr>
          <w:rFonts w:hint="cs"/>
          <w:sz w:val="27"/>
          <w:rtl/>
          <w:lang w:bidi="fa-IR"/>
        </w:rPr>
        <w:t>ه ف</w:t>
      </w:r>
      <w:r w:rsidRPr="00904FCB">
        <w:rPr>
          <w:rFonts w:ascii="Times New Roman" w:hAnsi="Times New Roman" w:hint="cs"/>
          <w:sz w:val="27"/>
          <w:rtl/>
          <w:lang w:bidi="fa-IR"/>
        </w:rPr>
        <w:t>ي</w:t>
      </w:r>
      <w:r w:rsidRPr="00904FCB">
        <w:rPr>
          <w:rFonts w:hint="cs"/>
          <w:sz w:val="27"/>
          <w:rtl/>
          <w:lang w:bidi="fa-IR"/>
        </w:rPr>
        <w:t xml:space="preserve"> الفقه الإسلام</w:t>
      </w:r>
      <w:r w:rsidRPr="00904FCB">
        <w:rPr>
          <w:rFonts w:ascii="Times New Roman" w:hAnsi="Times New Roman" w:hint="cs"/>
          <w:sz w:val="27"/>
          <w:rtl/>
          <w:lang w:bidi="fa-IR"/>
        </w:rPr>
        <w:t>ي</w:t>
      </w:r>
      <w:r w:rsidRPr="00904FCB">
        <w:rPr>
          <w:rFonts w:hint="cs"/>
          <w:sz w:val="27"/>
          <w:rtl/>
          <w:lang w:bidi="fa-IR"/>
        </w:rPr>
        <w:t xml:space="preserve"> ـ </w:t>
      </w:r>
      <w:r w:rsidR="00BD1A70" w:rsidRPr="00904FCB">
        <w:rPr>
          <w:rFonts w:hint="cs"/>
          <w:sz w:val="27"/>
          <w:rtl/>
          <w:lang w:bidi="fa-IR"/>
        </w:rPr>
        <w:t>و</w:t>
      </w:r>
      <w:r w:rsidRPr="00904FCB">
        <w:rPr>
          <w:rFonts w:hint="cs"/>
          <w:sz w:val="27"/>
          <w:rtl/>
          <w:lang w:bidi="fa-IR"/>
        </w:rPr>
        <w:t>هو الطغ</w:t>
      </w:r>
      <w:r w:rsidRPr="00904FCB">
        <w:rPr>
          <w:rFonts w:ascii="Times New Roman" w:hAnsi="Times New Roman" w:hint="cs"/>
          <w:sz w:val="27"/>
          <w:rtl/>
          <w:lang w:bidi="fa-IR"/>
        </w:rPr>
        <w:t>ي</w:t>
      </w:r>
      <w:r w:rsidRPr="00904FCB">
        <w:rPr>
          <w:rFonts w:hint="cs"/>
          <w:sz w:val="27"/>
          <w:rtl/>
          <w:lang w:bidi="fa-IR"/>
        </w:rPr>
        <w:t>ان والق</w:t>
      </w:r>
      <w:r w:rsidRPr="00904FCB">
        <w:rPr>
          <w:rFonts w:ascii="Times New Roman" w:hAnsi="Times New Roman" w:hint="cs"/>
          <w:sz w:val="27"/>
          <w:rtl/>
          <w:lang w:bidi="fa-IR"/>
        </w:rPr>
        <w:t>ي</w:t>
      </w:r>
      <w:r w:rsidRPr="00904FCB">
        <w:rPr>
          <w:rFonts w:hint="cs"/>
          <w:sz w:val="27"/>
          <w:rtl/>
          <w:lang w:bidi="fa-IR"/>
        </w:rPr>
        <w:t xml:space="preserve">ام ضدّ الإمام أو الحاكم العادل ـ </w:t>
      </w:r>
      <w:r w:rsidRPr="00904FCB">
        <w:rPr>
          <w:rFonts w:ascii="Times New Roman" w:hAnsi="Times New Roman" w:hint="cs"/>
          <w:sz w:val="27"/>
          <w:rtl/>
          <w:lang w:bidi="fa-IR"/>
        </w:rPr>
        <w:t>ي</w:t>
      </w:r>
      <w:r w:rsidRPr="00904FCB">
        <w:rPr>
          <w:rFonts w:hint="cs"/>
          <w:sz w:val="27"/>
          <w:rtl/>
          <w:lang w:bidi="fa-IR"/>
        </w:rPr>
        <w:t>ستفاد من هذه الآ</w:t>
      </w:r>
      <w:r w:rsidRPr="00904FCB">
        <w:rPr>
          <w:rFonts w:ascii="Times New Roman" w:hAnsi="Times New Roman" w:hint="cs"/>
          <w:sz w:val="27"/>
          <w:rtl/>
          <w:lang w:bidi="fa-IR"/>
        </w:rPr>
        <w:t>ي</w:t>
      </w:r>
      <w:r w:rsidRPr="00904FCB">
        <w:rPr>
          <w:rFonts w:hint="cs"/>
          <w:sz w:val="27"/>
          <w:rtl/>
          <w:lang w:bidi="fa-IR"/>
        </w:rPr>
        <w:t xml:space="preserve">ة: </w:t>
      </w:r>
      <w:r w:rsidRPr="00904FCB">
        <w:rPr>
          <w:rFonts w:ascii="Mosawi" w:hAnsi="Mosawi" w:cs="Mosawi"/>
          <w:sz w:val="24"/>
          <w:szCs w:val="24"/>
          <w:rtl/>
        </w:rPr>
        <w:t>﴿</w:t>
      </w:r>
      <w:r w:rsidR="00931544" w:rsidRPr="00904FCB">
        <w:rPr>
          <w:b/>
          <w:bCs/>
          <w:sz w:val="27"/>
          <w:rtl/>
        </w:rPr>
        <w:t>وَإِنْ طَائِفَتَانِ مِن</w:t>
      </w:r>
      <w:r w:rsidR="00931544" w:rsidRPr="00904FCB">
        <w:rPr>
          <w:rFonts w:hint="cs"/>
          <w:b/>
          <w:bCs/>
          <w:sz w:val="27"/>
          <w:rtl/>
        </w:rPr>
        <w:t>َ</w:t>
      </w:r>
      <w:r w:rsidR="00BD1A70" w:rsidRPr="00904FCB">
        <w:rPr>
          <w:b/>
          <w:bCs/>
          <w:sz w:val="27"/>
          <w:rtl/>
        </w:rPr>
        <w:t xml:space="preserve">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Pr="00904FCB">
        <w:rPr>
          <w:rFonts w:ascii="Mosawi" w:hAnsi="Mosawi" w:cs="Mosawi"/>
          <w:sz w:val="24"/>
          <w:szCs w:val="24"/>
          <w:rtl/>
        </w:rPr>
        <w:t>﴾</w:t>
      </w:r>
      <w:r w:rsidRPr="00904FCB">
        <w:rPr>
          <w:rFonts w:hint="cs"/>
          <w:sz w:val="27"/>
          <w:rtl/>
          <w:lang w:bidi="fa-IR"/>
        </w:rPr>
        <w:t xml:space="preserve"> (</w:t>
      </w:r>
      <w:r w:rsidRPr="001022E4">
        <w:rPr>
          <w:rFonts w:hint="cs"/>
          <w:sz w:val="27"/>
          <w:rtl/>
          <w:lang w:bidi="fa-IR"/>
        </w:rPr>
        <w:t xml:space="preserve">الحجرات: </w:t>
      </w:r>
      <w:r w:rsidRPr="001022E4">
        <w:rPr>
          <w:rFonts w:hint="cs"/>
          <w:sz w:val="27"/>
          <w:rtl/>
          <w:lang w:bidi="ar-LB"/>
        </w:rPr>
        <w:t>9</w:t>
      </w:r>
      <w:r w:rsidR="00931544" w:rsidRPr="001022E4">
        <w:rPr>
          <w:rFonts w:hint="cs"/>
          <w:sz w:val="27"/>
          <w:rtl/>
          <w:lang w:bidi="fa-IR"/>
        </w:rPr>
        <w:t>).</w:t>
      </w:r>
    </w:p>
    <w:p w:rsidR="00336F3B" w:rsidRPr="00904FCB" w:rsidRDefault="00336F3B" w:rsidP="007A21AA">
      <w:pPr>
        <w:spacing w:line="400" w:lineRule="exact"/>
        <w:rPr>
          <w:sz w:val="27"/>
          <w:rtl/>
          <w:lang w:bidi="fa-IR"/>
        </w:rPr>
      </w:pPr>
      <w:r w:rsidRPr="00904FCB">
        <w:rPr>
          <w:rFonts w:hint="cs"/>
          <w:sz w:val="27"/>
          <w:rtl/>
          <w:lang w:bidi="fa-IR"/>
        </w:rPr>
        <w:t>وهذه الآ</w:t>
      </w:r>
      <w:r w:rsidRPr="00904FCB">
        <w:rPr>
          <w:rFonts w:ascii="Times New Roman" w:hAnsi="Times New Roman" w:hint="cs"/>
          <w:sz w:val="27"/>
          <w:rtl/>
          <w:lang w:bidi="fa-IR"/>
        </w:rPr>
        <w:t>ي</w:t>
      </w:r>
      <w:r w:rsidRPr="00904FCB">
        <w:rPr>
          <w:rFonts w:hint="cs"/>
          <w:sz w:val="27"/>
          <w:rtl/>
          <w:lang w:bidi="fa-IR"/>
        </w:rPr>
        <w:t>ة تب</w:t>
      </w:r>
      <w:r w:rsidRPr="00904FCB">
        <w:rPr>
          <w:rFonts w:ascii="Times New Roman" w:hAnsi="Times New Roman" w:hint="cs"/>
          <w:sz w:val="27"/>
          <w:rtl/>
          <w:lang w:bidi="fa-IR"/>
        </w:rPr>
        <w:t>ي</w:t>
      </w:r>
      <w:r w:rsidR="00931544" w:rsidRPr="00904FCB">
        <w:rPr>
          <w:rFonts w:ascii="Times New Roman" w:hAnsi="Times New Roman" w:hint="cs"/>
          <w:sz w:val="27"/>
          <w:rtl/>
          <w:lang w:bidi="fa-IR"/>
        </w:rPr>
        <w:t>ِّ</w:t>
      </w:r>
      <w:r w:rsidRPr="00904FCB">
        <w:rPr>
          <w:rFonts w:hint="cs"/>
          <w:sz w:val="27"/>
          <w:rtl/>
          <w:lang w:bidi="fa-IR"/>
        </w:rPr>
        <w:t>ن حكم الفساد ف</w:t>
      </w:r>
      <w:r w:rsidRPr="00904FCB">
        <w:rPr>
          <w:rFonts w:ascii="Times New Roman" w:hAnsi="Times New Roman" w:hint="cs"/>
          <w:sz w:val="27"/>
          <w:rtl/>
          <w:lang w:bidi="fa-IR"/>
        </w:rPr>
        <w:t>ي</w:t>
      </w:r>
      <w:r w:rsidRPr="00904FCB">
        <w:rPr>
          <w:rFonts w:hint="cs"/>
          <w:sz w:val="27"/>
          <w:rtl/>
          <w:lang w:bidi="fa-IR"/>
        </w:rPr>
        <w:t xml:space="preserve"> الأرض والمحاربة: </w:t>
      </w:r>
      <w:r w:rsidRPr="00904FCB">
        <w:rPr>
          <w:rFonts w:ascii="Mosawi" w:hAnsi="Mosawi" w:cs="Mosawi"/>
          <w:sz w:val="24"/>
          <w:szCs w:val="24"/>
          <w:rtl/>
        </w:rPr>
        <w:t>﴿</w:t>
      </w:r>
      <w:r w:rsidR="00931544" w:rsidRPr="00904FCB">
        <w:rPr>
          <w:b/>
          <w:bCs/>
          <w:sz w:val="27"/>
          <w:rtl/>
        </w:rPr>
        <w:t>إِنَّمَا جَزَاءُ الَّذِينَ يُحَارِبُونَ اللهَ وَرَسُولَهُ وَيَسْعَوْنَ فِي الأَرْضِ فَسَاداً أَنْ يُقَتَّلُوا أَوْ يُصَلَّبُوا أَوْ تُقَطَّعَ أَيْدِيهِمْ وَأَرْجُلُهُمْ</w:t>
      </w:r>
      <w:r w:rsidR="00C855DC">
        <w:rPr>
          <w:b/>
          <w:bCs/>
          <w:sz w:val="27"/>
          <w:rtl/>
        </w:rPr>
        <w:t xml:space="preserve"> مِنْ خِلاَفٍ أَوْ يُنفَوْا مِن</w:t>
      </w:r>
      <w:r w:rsidR="00C855DC">
        <w:rPr>
          <w:rFonts w:hint="cs"/>
          <w:b/>
          <w:bCs/>
          <w:sz w:val="27"/>
          <w:rtl/>
        </w:rPr>
        <w:t>َ</w:t>
      </w:r>
      <w:r w:rsidR="00931544" w:rsidRPr="00904FCB">
        <w:rPr>
          <w:b/>
          <w:bCs/>
          <w:sz w:val="27"/>
          <w:rtl/>
        </w:rPr>
        <w:t xml:space="preserve"> الأَرْضِ ذَلِكَ لَهُمْ خِزْيٌ فِي الدُّنيَا وَلَهُمْ فِي الآخِرَةِ عَذَابٌ عَظِيمٌ</w:t>
      </w:r>
      <w:r w:rsidRPr="00904FCB">
        <w:rPr>
          <w:rFonts w:ascii="Mosawi" w:hAnsi="Mosawi" w:cs="Mosawi"/>
          <w:sz w:val="24"/>
          <w:szCs w:val="24"/>
          <w:rtl/>
        </w:rPr>
        <w:t>﴾</w:t>
      </w:r>
      <w:r w:rsidRPr="00904FCB">
        <w:rPr>
          <w:rFonts w:hint="cs"/>
          <w:sz w:val="27"/>
          <w:rtl/>
          <w:lang w:bidi="fa-IR"/>
        </w:rPr>
        <w:t xml:space="preserve"> (</w:t>
      </w:r>
      <w:r w:rsidRPr="001022E4">
        <w:rPr>
          <w:rFonts w:hint="cs"/>
          <w:sz w:val="27"/>
          <w:rtl/>
          <w:lang w:bidi="fa-IR"/>
        </w:rPr>
        <w:t xml:space="preserve">المائدة: </w:t>
      </w:r>
      <w:r w:rsidRPr="001022E4">
        <w:rPr>
          <w:rFonts w:hint="cs"/>
          <w:sz w:val="27"/>
          <w:rtl/>
          <w:lang w:bidi="ar-LB"/>
        </w:rPr>
        <w:t>33</w:t>
      </w:r>
      <w:r w:rsidRPr="001022E4">
        <w:rPr>
          <w:rFonts w:hint="cs"/>
          <w:sz w:val="27"/>
          <w:rtl/>
          <w:lang w:bidi="fa-IR"/>
        </w:rPr>
        <w:t>).</w:t>
      </w:r>
    </w:p>
    <w:p w:rsidR="00336F3B" w:rsidRPr="00904FCB" w:rsidRDefault="00336F3B" w:rsidP="007A21AA">
      <w:pPr>
        <w:spacing w:line="400" w:lineRule="exact"/>
        <w:rPr>
          <w:sz w:val="27"/>
          <w:rtl/>
          <w:lang w:bidi="fa-IR"/>
        </w:rPr>
      </w:pPr>
      <w:r w:rsidRPr="00904FCB">
        <w:rPr>
          <w:rFonts w:hint="cs"/>
          <w:sz w:val="27"/>
          <w:rtl/>
          <w:lang w:bidi="fa-IR"/>
        </w:rPr>
        <w:t xml:space="preserve"> </w:t>
      </w:r>
    </w:p>
    <w:p w:rsidR="00336F3B" w:rsidRPr="00904FCB" w:rsidRDefault="00336F3B" w:rsidP="007A21AA">
      <w:pPr>
        <w:pStyle w:val="31"/>
        <w:spacing w:line="400" w:lineRule="exact"/>
        <w:rPr>
          <w:color w:val="auto"/>
          <w:rtl/>
          <w:lang w:bidi="fa-IR"/>
        </w:rPr>
      </w:pPr>
      <w:r w:rsidRPr="001022E4">
        <w:rPr>
          <w:rFonts w:hint="cs"/>
          <w:color w:val="auto"/>
          <w:rtl/>
          <w:lang w:bidi="ar-LB"/>
        </w:rPr>
        <w:t>5ـ</w:t>
      </w:r>
      <w:r w:rsidRPr="001022E4">
        <w:rPr>
          <w:rFonts w:hint="cs"/>
          <w:color w:val="auto"/>
          <w:rtl/>
          <w:lang w:bidi="fa-IR"/>
        </w:rPr>
        <w:t xml:space="preserve"> حج</w:t>
      </w:r>
      <w:r w:rsidR="00DD0995" w:rsidRPr="001022E4">
        <w:rPr>
          <w:rFonts w:hint="cs"/>
          <w:color w:val="auto"/>
          <w:rtl/>
          <w:lang w:bidi="fa-IR"/>
        </w:rPr>
        <w:t>ّ</w:t>
      </w:r>
      <w:r w:rsidRPr="001022E4">
        <w:rPr>
          <w:rFonts w:hint="cs"/>
          <w:color w:val="auto"/>
          <w:rtl/>
          <w:lang w:bidi="fa-IR"/>
        </w:rPr>
        <w:t>ة</w:t>
      </w:r>
      <w:r w:rsidRPr="00904FCB">
        <w:rPr>
          <w:rFonts w:hint="cs"/>
          <w:color w:val="auto"/>
          <w:rtl/>
          <w:lang w:bidi="fa-IR"/>
        </w:rPr>
        <w:t xml:space="preserve"> القائل</w:t>
      </w:r>
      <w:r w:rsidRPr="00904FCB">
        <w:rPr>
          <w:rFonts w:ascii="Times New Roman" w:hAnsi="Times New Roman" w:hint="cs"/>
          <w:color w:val="auto"/>
          <w:rtl/>
          <w:lang w:bidi="fa-IR"/>
        </w:rPr>
        <w:t>ي</w:t>
      </w:r>
      <w:r w:rsidRPr="00904FCB">
        <w:rPr>
          <w:rFonts w:hint="cs"/>
          <w:color w:val="auto"/>
          <w:rtl/>
          <w:lang w:bidi="fa-IR"/>
        </w:rPr>
        <w:t>ن بحكم آ</w:t>
      </w:r>
      <w:r w:rsidRPr="00904FCB">
        <w:rPr>
          <w:rFonts w:ascii="Times New Roman" w:hAnsi="Times New Roman" w:hint="cs"/>
          <w:color w:val="auto"/>
          <w:rtl/>
          <w:lang w:bidi="fa-IR"/>
        </w:rPr>
        <w:t>ي</w:t>
      </w:r>
      <w:r w:rsidRPr="00904FCB">
        <w:rPr>
          <w:rFonts w:hint="cs"/>
          <w:color w:val="auto"/>
          <w:rtl/>
          <w:lang w:bidi="fa-IR"/>
        </w:rPr>
        <w:t>ة سورة الحجرات ف</w:t>
      </w:r>
      <w:r w:rsidRPr="00904FCB">
        <w:rPr>
          <w:rFonts w:ascii="Times New Roman" w:hAnsi="Times New Roman" w:hint="cs"/>
          <w:color w:val="auto"/>
          <w:rtl/>
          <w:lang w:bidi="fa-IR"/>
        </w:rPr>
        <w:t>ي</w:t>
      </w:r>
      <w:r w:rsidRPr="00904FCB">
        <w:rPr>
          <w:rFonts w:hint="cs"/>
          <w:color w:val="auto"/>
          <w:rtl/>
          <w:lang w:bidi="fa-IR"/>
        </w:rPr>
        <w:t xml:space="preserve"> حق</w:t>
      </w:r>
      <w:r w:rsidR="00931544" w:rsidRPr="00904FCB">
        <w:rPr>
          <w:rFonts w:hint="cs"/>
          <w:color w:val="auto"/>
          <w:rtl/>
          <w:lang w:bidi="fa-IR"/>
        </w:rPr>
        <w:t>ّ</w:t>
      </w:r>
      <w:r w:rsidRPr="00904FCB">
        <w:rPr>
          <w:rFonts w:hint="cs"/>
          <w:color w:val="auto"/>
          <w:rtl/>
          <w:lang w:bidi="fa-IR"/>
        </w:rPr>
        <w:t xml:space="preserve"> البغاة</w:t>
      </w:r>
    </w:p>
    <w:p w:rsidR="00336F3B" w:rsidRPr="00904FCB" w:rsidRDefault="00336F3B" w:rsidP="00C855DC">
      <w:pPr>
        <w:spacing w:line="400" w:lineRule="exact"/>
        <w:rPr>
          <w:rStyle w:val="ac"/>
          <w:sz w:val="27"/>
          <w:rtl/>
          <w:lang w:bidi="fa-IR"/>
        </w:rPr>
      </w:pPr>
      <w:r w:rsidRPr="00904FCB">
        <w:rPr>
          <w:rFonts w:ascii="Times New Roman" w:hAnsi="Times New Roman" w:hint="cs"/>
          <w:sz w:val="27"/>
          <w:rtl/>
          <w:lang w:bidi="fa-IR"/>
        </w:rPr>
        <w:t>يذكر أحد المفسّ</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رين في تفسير هذه الآية: «إنّ لدينا أخباراً ورواياتٍ أنّ أميرالمومنين(رضي الله عنه) </w:t>
      </w:r>
      <w:r w:rsidR="00931544" w:rsidRPr="00904FCB">
        <w:rPr>
          <w:rFonts w:ascii="Times New Roman" w:hAnsi="Times New Roman" w:hint="cs"/>
          <w:sz w:val="27"/>
          <w:rtl/>
          <w:lang w:bidi="fa-IR"/>
        </w:rPr>
        <w:t>أَتَمَّ</w:t>
      </w:r>
      <w:r w:rsidRPr="00904FCB">
        <w:rPr>
          <w:rFonts w:ascii="Times New Roman" w:hAnsi="Times New Roman" w:hint="cs"/>
          <w:sz w:val="27"/>
          <w:rtl/>
          <w:lang w:bidi="fa-IR"/>
        </w:rPr>
        <w:t xml:space="preserve"> الحجّة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أهل البصرة وأصحاب عائشة وطلح</w:t>
      </w:r>
      <w:r w:rsidR="00931544" w:rsidRPr="00904FCB">
        <w:rPr>
          <w:rFonts w:ascii="Times New Roman" w:hAnsi="Times New Roman" w:hint="cs"/>
          <w:sz w:val="27"/>
          <w:rtl/>
          <w:lang w:bidi="fa-IR"/>
        </w:rPr>
        <w:t>ة</w:t>
      </w:r>
      <w:r w:rsidRPr="00904FCB">
        <w:rPr>
          <w:rFonts w:ascii="Times New Roman" w:hAnsi="Times New Roman" w:hint="cs"/>
          <w:sz w:val="27"/>
          <w:rtl/>
          <w:lang w:bidi="fa-IR"/>
        </w:rPr>
        <w:t xml:space="preserve"> والزبير(رضي الله ع</w:t>
      </w:r>
      <w:r w:rsidR="00C855DC">
        <w:rPr>
          <w:rFonts w:ascii="Times New Roman" w:hAnsi="Times New Roman" w:hint="cs"/>
          <w:sz w:val="27"/>
          <w:rtl/>
          <w:lang w:bidi="fa-IR"/>
        </w:rPr>
        <w:t>ن</w:t>
      </w:r>
      <w:r w:rsidRPr="00904FCB">
        <w:rPr>
          <w:rFonts w:ascii="Times New Roman" w:hAnsi="Times New Roman" w:hint="cs"/>
          <w:sz w:val="27"/>
          <w:rtl/>
          <w:lang w:bidi="fa-IR"/>
        </w:rPr>
        <w:t>هم)</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 وأجاب عن أسئلتهم وشبهاتهم جواباً كافياً</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 ليصلحوا ويكفّوا أيديهم عن القتال</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 ولكن</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 لمّا لم يقبلوا</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 وبَغَو</w:t>
      </w:r>
      <w:r w:rsidR="00C855DC">
        <w:rPr>
          <w:rFonts w:ascii="Times New Roman" w:hAnsi="Times New Roman" w:hint="cs"/>
          <w:sz w:val="27"/>
          <w:rtl/>
          <w:lang w:bidi="fa-IR"/>
        </w:rPr>
        <w:t>ْ</w:t>
      </w:r>
      <w:r w:rsidRPr="00904FCB">
        <w:rPr>
          <w:rFonts w:ascii="Times New Roman" w:hAnsi="Times New Roman" w:hint="cs"/>
          <w:sz w:val="27"/>
          <w:rtl/>
          <w:lang w:bidi="fa-IR"/>
        </w:rPr>
        <w:t>ا، قاتلهم</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 ثم</w:t>
      </w:r>
      <w:r w:rsidR="00C855DC">
        <w:rPr>
          <w:rFonts w:ascii="Times New Roman" w:hAnsi="Times New Roman" w:hint="cs"/>
          <w:sz w:val="27"/>
          <w:rtl/>
          <w:lang w:bidi="fa-IR"/>
        </w:rPr>
        <w:t>ّ</w:t>
      </w:r>
      <w:r w:rsidRPr="00904FCB">
        <w:rPr>
          <w:rFonts w:ascii="Times New Roman" w:hAnsi="Times New Roman" w:hint="cs"/>
          <w:sz w:val="27"/>
          <w:rtl/>
          <w:lang w:bidi="fa-IR"/>
        </w:rPr>
        <w:t xml:space="preserve"> لمّا انهزم أهل البصرة</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 وكفّوا أيديهم عن القتال</w:t>
      </w:r>
      <w:r w:rsidR="00931544" w:rsidRPr="00904FCB">
        <w:rPr>
          <w:rFonts w:ascii="Times New Roman" w:hAnsi="Times New Roman" w:hint="cs"/>
          <w:sz w:val="27"/>
          <w:rtl/>
          <w:lang w:bidi="fa-IR"/>
        </w:rPr>
        <w:t>،</w:t>
      </w:r>
      <w:r w:rsidRPr="00904FCB">
        <w:rPr>
          <w:rFonts w:ascii="Times New Roman" w:hAnsi="Times New Roman" w:hint="cs"/>
          <w:sz w:val="27"/>
          <w:rtl/>
          <w:lang w:bidi="fa-IR"/>
        </w:rPr>
        <w:t xml:space="preserve"> عاملهم بالق</w:t>
      </w:r>
      <w:r w:rsidR="00931544" w:rsidRPr="00904FCB">
        <w:rPr>
          <w:rFonts w:ascii="Times New Roman" w:hAnsi="Times New Roman" w:hint="cs"/>
          <w:sz w:val="27"/>
          <w:rtl/>
          <w:lang w:bidi="fa-IR"/>
        </w:rPr>
        <w:t>ِ</w:t>
      </w:r>
      <w:r w:rsidRPr="00904FCB">
        <w:rPr>
          <w:rFonts w:ascii="Times New Roman" w:hAnsi="Times New Roman" w:hint="cs"/>
          <w:sz w:val="27"/>
          <w:rtl/>
          <w:lang w:bidi="fa-IR"/>
        </w:rPr>
        <w:t>س</w:t>
      </w:r>
      <w:r w:rsidR="00931544" w:rsidRPr="00904FCB">
        <w:rPr>
          <w:rFonts w:ascii="Times New Roman" w:hAnsi="Times New Roman" w:hint="cs"/>
          <w:sz w:val="27"/>
          <w:rtl/>
          <w:lang w:bidi="fa-IR"/>
        </w:rPr>
        <w:t>ْ</w:t>
      </w:r>
      <w:r w:rsidRPr="00904FCB">
        <w:rPr>
          <w:rFonts w:ascii="Times New Roman" w:hAnsi="Times New Roman" w:hint="cs"/>
          <w:sz w:val="27"/>
          <w:rtl/>
          <w:lang w:bidi="fa-IR"/>
        </w:rPr>
        <w:t>ط</w:t>
      </w:r>
      <w:r w:rsidR="00DD0995" w:rsidRPr="00904FCB">
        <w:rPr>
          <w:rFonts w:ascii="Times New Roman" w:hAnsi="Times New Roman" w:hint="cs"/>
          <w:sz w:val="27"/>
          <w:rtl/>
          <w:lang w:bidi="fa-IR"/>
        </w:rPr>
        <w:t>»</w:t>
      </w:r>
      <w:r w:rsidRPr="00904FCB">
        <w:rPr>
          <w:rFonts w:ascii="Times New Roman" w:hAnsi="Times New Roman" w:hint="cs"/>
          <w:sz w:val="27"/>
          <w:rtl/>
          <w:lang w:bidi="fa-IR"/>
        </w:rPr>
        <w:t>. وقد ذكرنا مراراً أنّ الآية عامّة، والأخبار تبي</w:t>
      </w:r>
      <w:r w:rsidR="00931544" w:rsidRPr="00904FCB">
        <w:rPr>
          <w:rFonts w:ascii="Times New Roman" w:hAnsi="Times New Roman" w:hint="cs"/>
          <w:sz w:val="27"/>
          <w:rtl/>
          <w:lang w:bidi="fa-IR"/>
        </w:rPr>
        <w:t>ِّ</w:t>
      </w:r>
      <w:r w:rsidRPr="00904FCB">
        <w:rPr>
          <w:rFonts w:ascii="Times New Roman" w:hAnsi="Times New Roman" w:hint="cs"/>
          <w:sz w:val="27"/>
          <w:rtl/>
          <w:lang w:bidi="fa-IR"/>
        </w:rPr>
        <w:t>ن مصاديقها</w:t>
      </w:r>
      <w:r w:rsidRPr="00904FCB">
        <w:rPr>
          <w:rFonts w:hint="cs"/>
          <w:sz w:val="27"/>
          <w:vertAlign w:val="superscript"/>
          <w:rtl/>
        </w:rPr>
        <w:t>(</w:t>
      </w:r>
      <w:r w:rsidRPr="00904FCB">
        <w:rPr>
          <w:rStyle w:val="ac"/>
          <w:sz w:val="27"/>
          <w:rtl/>
        </w:rPr>
        <w:endnoteReference w:id="620"/>
      </w:r>
      <w:r w:rsidRPr="00904FCB">
        <w:rPr>
          <w:rFonts w:hint="cs"/>
          <w:sz w:val="27"/>
          <w:vertAlign w:val="superscript"/>
          <w:rtl/>
        </w:rPr>
        <w:t>)</w:t>
      </w:r>
      <w:r w:rsidRPr="00904FCB">
        <w:rPr>
          <w:rStyle w:val="ac"/>
          <w:rFonts w:ascii="Times New Roman" w:hAnsi="Times New Roman" w:hint="cs"/>
          <w:sz w:val="27"/>
          <w:vertAlign w:val="baseline"/>
          <w:rtl/>
          <w:lang w:bidi="fa-IR"/>
        </w:rPr>
        <w:t xml:space="preserve">. </w:t>
      </w:r>
    </w:p>
    <w:p w:rsidR="00336F3B" w:rsidRPr="00904FCB" w:rsidRDefault="00336F3B" w:rsidP="007A21AA">
      <w:pPr>
        <w:spacing w:line="400" w:lineRule="exact"/>
        <w:rPr>
          <w:rFonts w:ascii="Times New Roman" w:hAnsi="Times New Roman"/>
          <w:sz w:val="27"/>
          <w:rtl/>
          <w:lang w:bidi="fa-IR"/>
        </w:rPr>
      </w:pPr>
      <w:r w:rsidRPr="00904FCB">
        <w:rPr>
          <w:rFonts w:hint="cs"/>
          <w:rtl/>
        </w:rPr>
        <w:lastRenderedPageBreak/>
        <w:t xml:space="preserve">وقد </w:t>
      </w:r>
      <w:r w:rsidR="00931544" w:rsidRPr="00904FCB">
        <w:rPr>
          <w:rFonts w:hint="cs"/>
          <w:rtl/>
        </w:rPr>
        <w:t>قال</w:t>
      </w:r>
      <w:r w:rsidRPr="00904FCB">
        <w:rPr>
          <w:rFonts w:hint="cs"/>
          <w:rtl/>
        </w:rPr>
        <w:t xml:space="preserve"> صاحب</w:t>
      </w:r>
      <w:r w:rsidRPr="00904FCB">
        <w:rPr>
          <w:rFonts w:ascii="Times New Roman" w:hAnsi="Times New Roman" w:hint="cs"/>
          <w:sz w:val="27"/>
          <w:rtl/>
          <w:lang w:bidi="fa-IR"/>
        </w:rPr>
        <w:t xml:space="preserve"> تفسير القم</w:t>
      </w:r>
      <w:r w:rsidR="00931544" w:rsidRPr="00904FCB">
        <w:rPr>
          <w:rFonts w:ascii="Times New Roman" w:hAnsi="Times New Roman" w:hint="cs"/>
          <w:sz w:val="27"/>
          <w:rtl/>
          <w:lang w:bidi="fa-IR"/>
        </w:rPr>
        <w:t>ّ</w:t>
      </w:r>
      <w:r w:rsidRPr="00904FCB">
        <w:rPr>
          <w:rFonts w:ascii="Times New Roman" w:hAnsi="Times New Roman" w:hint="cs"/>
          <w:sz w:val="27"/>
          <w:rtl/>
          <w:lang w:bidi="fa-IR"/>
        </w:rPr>
        <w:t>ي في كتابه: «إنّ الروايات التي وردت في بيان سبب نزول هذه الآية ناصّة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أنّ البغاة هم مصاديق هذه الآية</w:t>
      </w:r>
      <w:r w:rsidRPr="00904FCB">
        <w:rPr>
          <w:rFonts w:hint="cs"/>
          <w:sz w:val="27"/>
          <w:vertAlign w:val="superscript"/>
          <w:rtl/>
        </w:rPr>
        <w:t>(</w:t>
      </w:r>
      <w:r w:rsidRPr="00904FCB">
        <w:rPr>
          <w:rStyle w:val="ac"/>
          <w:sz w:val="27"/>
          <w:rtl/>
        </w:rPr>
        <w:endnoteReference w:id="621"/>
      </w:r>
      <w:r w:rsidRPr="00904FCB">
        <w:rPr>
          <w:rFonts w:hint="cs"/>
          <w:sz w:val="27"/>
          <w:vertAlign w:val="superscript"/>
          <w:rtl/>
        </w:rPr>
        <w:t>)</w:t>
      </w:r>
      <w:r w:rsidRPr="00904FCB">
        <w:rPr>
          <w:rFonts w:hint="cs"/>
          <w:rtl/>
        </w:rPr>
        <w:t>، وأمّا إذا كان لهم تأويل فلا يجوز قتالهم، يقول الله تعال</w:t>
      </w:r>
      <w:r w:rsidR="00DD0995" w:rsidRPr="00904FCB">
        <w:rPr>
          <w:rFonts w:hint="cs"/>
          <w:rtl/>
        </w:rPr>
        <w:t>ى</w:t>
      </w:r>
      <w:r w:rsidRPr="00904FCB">
        <w:rPr>
          <w:rFonts w:hint="cs"/>
          <w:rtl/>
        </w:rPr>
        <w:t xml:space="preserve">: </w:t>
      </w:r>
      <w:r w:rsidRPr="00904FCB">
        <w:rPr>
          <w:rFonts w:ascii="Mosawi" w:hAnsi="Mosawi" w:cs="Mosawi"/>
          <w:sz w:val="24"/>
          <w:szCs w:val="24"/>
          <w:rtl/>
        </w:rPr>
        <w:t>﴿</w:t>
      </w:r>
      <w:r w:rsidR="00931544" w:rsidRPr="00904FCB">
        <w:rPr>
          <w:b/>
          <w:bCs/>
          <w:sz w:val="27"/>
          <w:rtl/>
        </w:rPr>
        <w:t>وَإِنْ طَائِفَتَانِ مِن</w:t>
      </w:r>
      <w:r w:rsidR="00931544" w:rsidRPr="00904FCB">
        <w:rPr>
          <w:rFonts w:hint="cs"/>
          <w:b/>
          <w:bCs/>
          <w:sz w:val="27"/>
          <w:rtl/>
        </w:rPr>
        <w:t>َ</w:t>
      </w:r>
      <w:r w:rsidR="00931544" w:rsidRPr="00904FCB">
        <w:rPr>
          <w:b/>
          <w:bCs/>
          <w:sz w:val="27"/>
          <w:rtl/>
        </w:rPr>
        <w:t xml:space="preserve"> الْمُؤْمِنِينَ اقْتَتَلُوا</w:t>
      </w:r>
      <w:r w:rsidRPr="00904FCB">
        <w:rPr>
          <w:rFonts w:ascii="Mosawi" w:hAnsi="Mosawi" w:cs="Mosawi"/>
          <w:sz w:val="24"/>
          <w:szCs w:val="24"/>
          <w:rtl/>
        </w:rPr>
        <w:t>﴾</w:t>
      </w:r>
      <w:r w:rsidRPr="00904FCB">
        <w:rPr>
          <w:rFonts w:ascii="Times New Roman" w:hAnsi="Times New Roman" w:hint="cs"/>
          <w:sz w:val="27"/>
          <w:rtl/>
          <w:lang w:bidi="fa-IR"/>
        </w:rPr>
        <w:t xml:space="preserve"> </w:t>
      </w:r>
      <w:r w:rsidRPr="00904FCB">
        <w:rPr>
          <w:rFonts w:hint="cs"/>
          <w:rtl/>
        </w:rPr>
        <w:t>(</w:t>
      </w:r>
      <w:r w:rsidRPr="00904FCB">
        <w:rPr>
          <w:rFonts w:ascii="Times New Roman" w:hAnsi="Times New Roman" w:hint="cs"/>
          <w:sz w:val="27"/>
          <w:rtl/>
          <w:lang w:bidi="fa-IR"/>
        </w:rPr>
        <w:t>ال</w:t>
      </w:r>
      <w:r w:rsidRPr="00904FCB">
        <w:rPr>
          <w:rFonts w:hint="cs"/>
          <w:rtl/>
        </w:rPr>
        <w:t xml:space="preserve">حجرات: </w:t>
      </w:r>
      <w:r w:rsidR="00DD0995" w:rsidRPr="001022E4">
        <w:rPr>
          <w:rFonts w:ascii="Times New Roman" w:hAnsi="Times New Roman" w:hint="cs"/>
          <w:sz w:val="27"/>
          <w:rtl/>
          <w:lang w:bidi="ar-LB"/>
        </w:rPr>
        <w:t>9</w:t>
      </w:r>
      <w:r w:rsidRPr="00904FCB">
        <w:rPr>
          <w:rFonts w:hint="cs"/>
          <w:rtl/>
        </w:rPr>
        <w:t>)</w:t>
      </w:r>
      <w:r w:rsidRPr="00904FCB">
        <w:rPr>
          <w:rFonts w:hint="cs"/>
          <w:sz w:val="27"/>
          <w:vertAlign w:val="superscript"/>
          <w:rtl/>
        </w:rPr>
        <w:t>(</w:t>
      </w:r>
      <w:r w:rsidRPr="00904FCB">
        <w:rPr>
          <w:rStyle w:val="ac"/>
          <w:sz w:val="27"/>
          <w:rtl/>
        </w:rPr>
        <w:endnoteReference w:id="622"/>
      </w:r>
      <w:r w:rsidRPr="00904FCB">
        <w:rPr>
          <w:rFonts w:hint="cs"/>
          <w:sz w:val="27"/>
          <w:vertAlign w:val="superscript"/>
          <w:rtl/>
        </w:rPr>
        <w:t>)</w:t>
      </w:r>
      <w:r w:rsidRPr="00904FCB">
        <w:rPr>
          <w:rFonts w:hint="cs"/>
          <w:rtl/>
        </w:rPr>
        <w:t>. قد استبط الفقهاء من هذه الآية أحكاماً، منها: جواز قتال البغاة، وجوب دعوتهم</w:t>
      </w:r>
      <w:r w:rsidR="00340818" w:rsidRPr="00904FCB">
        <w:rPr>
          <w:rFonts w:hint="cs"/>
          <w:rtl/>
        </w:rPr>
        <w:t xml:space="preserve"> إلى </w:t>
      </w:r>
      <w:r w:rsidRPr="00904FCB">
        <w:rPr>
          <w:rFonts w:hint="cs"/>
          <w:rtl/>
        </w:rPr>
        <w:t>الإصلاح قبل بدء القتال</w:t>
      </w:r>
      <w:r w:rsidR="00793017" w:rsidRPr="00904FCB">
        <w:rPr>
          <w:rFonts w:hint="cs"/>
          <w:rtl/>
        </w:rPr>
        <w:t>.</w:t>
      </w:r>
      <w:r w:rsidRPr="00904FCB">
        <w:rPr>
          <w:rFonts w:hint="cs"/>
          <w:rtl/>
        </w:rPr>
        <w:t xml:space="preserve"> و</w:t>
      </w:r>
      <w:r w:rsidR="00793017" w:rsidRPr="00904FCB">
        <w:rPr>
          <w:rFonts w:hint="cs"/>
          <w:rtl/>
        </w:rPr>
        <w:t>إ</w:t>
      </w:r>
      <w:r w:rsidRPr="00904FCB">
        <w:rPr>
          <w:rFonts w:hint="cs"/>
          <w:rtl/>
        </w:rPr>
        <w:t>نّ حكم الآية عام</w:t>
      </w:r>
      <w:r w:rsidR="00793017" w:rsidRPr="00904FCB">
        <w:rPr>
          <w:rFonts w:hint="cs"/>
          <w:rtl/>
        </w:rPr>
        <w:t>ٌّ،</w:t>
      </w:r>
      <w:r w:rsidRPr="00904FCB">
        <w:rPr>
          <w:rFonts w:hint="cs"/>
          <w:rtl/>
        </w:rPr>
        <w:t xml:space="preserve"> ومعظم هذه الأحكام مت</w:t>
      </w:r>
      <w:r w:rsidR="00793017" w:rsidRPr="00904FCB">
        <w:rPr>
          <w:rFonts w:hint="cs"/>
          <w:rtl/>
        </w:rPr>
        <w:t>َّ</w:t>
      </w:r>
      <w:r w:rsidRPr="00904FCB">
        <w:rPr>
          <w:rFonts w:hint="cs"/>
          <w:rtl/>
        </w:rPr>
        <w:t>فق عليها</w:t>
      </w:r>
      <w:r w:rsidRPr="00904FCB">
        <w:rPr>
          <w:rFonts w:hint="cs"/>
          <w:sz w:val="27"/>
          <w:vertAlign w:val="superscript"/>
          <w:rtl/>
        </w:rPr>
        <w:t>(</w:t>
      </w:r>
      <w:r w:rsidRPr="00904FCB">
        <w:rPr>
          <w:rStyle w:val="ac"/>
          <w:sz w:val="27"/>
          <w:rtl/>
        </w:rPr>
        <w:endnoteReference w:id="623"/>
      </w:r>
      <w:r w:rsidRPr="00904FCB">
        <w:rPr>
          <w:rFonts w:hint="cs"/>
          <w:sz w:val="27"/>
          <w:vertAlign w:val="superscript"/>
          <w:rtl/>
        </w:rPr>
        <w:t>)</w:t>
      </w:r>
      <w:r w:rsidRPr="00904FCB">
        <w:rPr>
          <w:rFonts w:hint="cs"/>
          <w:rtl/>
        </w:rPr>
        <w:t xml:space="preserve">. </w:t>
      </w:r>
    </w:p>
    <w:p w:rsidR="00336F3B" w:rsidRPr="00904FCB" w:rsidRDefault="00793017" w:rsidP="007A21AA">
      <w:pPr>
        <w:spacing w:line="400" w:lineRule="exact"/>
        <w:rPr>
          <w:rFonts w:ascii="Times New Roman" w:hAnsi="Times New Roman"/>
          <w:sz w:val="27"/>
          <w:rtl/>
          <w:lang w:bidi="fa-IR"/>
        </w:rPr>
      </w:pPr>
      <w:r w:rsidRPr="00904FCB">
        <w:rPr>
          <w:rFonts w:ascii="Times New Roman" w:hAnsi="Times New Roman" w:hint="cs"/>
          <w:sz w:val="27"/>
          <w:rtl/>
          <w:lang w:bidi="fa-IR"/>
        </w:rPr>
        <w:t>ومضافاً إ</w:t>
      </w:r>
      <w:r w:rsidR="00336F3B" w:rsidRPr="00904FCB">
        <w:rPr>
          <w:rFonts w:ascii="Times New Roman" w:hAnsi="Times New Roman" w:hint="cs"/>
          <w:sz w:val="27"/>
          <w:rtl/>
          <w:lang w:bidi="fa-IR"/>
        </w:rPr>
        <w:t>ل</w:t>
      </w:r>
      <w:r w:rsidR="00DD0995" w:rsidRPr="00904FCB">
        <w:rPr>
          <w:rFonts w:ascii="Times New Roman" w:hAnsi="Times New Roman" w:hint="cs"/>
          <w:sz w:val="27"/>
          <w:rtl/>
          <w:lang w:bidi="fa-IR"/>
        </w:rPr>
        <w:t>ى</w:t>
      </w:r>
      <w:r w:rsidR="00336F3B" w:rsidRPr="00904FCB">
        <w:rPr>
          <w:rFonts w:ascii="Times New Roman" w:hAnsi="Times New Roman" w:hint="cs"/>
          <w:sz w:val="27"/>
          <w:rtl/>
          <w:lang w:bidi="fa-IR"/>
        </w:rPr>
        <w:t xml:space="preserve"> ما ذكره المفس</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رون </w:t>
      </w:r>
      <w:r w:rsidRPr="00904FCB">
        <w:rPr>
          <w:rFonts w:ascii="Times New Roman" w:hAnsi="Times New Roman" w:hint="cs"/>
          <w:sz w:val="27"/>
          <w:rtl/>
          <w:lang w:bidi="fa-IR"/>
        </w:rPr>
        <w:t xml:space="preserve">فقد </w:t>
      </w:r>
      <w:r w:rsidR="00336F3B" w:rsidRPr="00904FCB">
        <w:rPr>
          <w:rFonts w:ascii="Times New Roman" w:hAnsi="Times New Roman" w:hint="cs"/>
          <w:sz w:val="27"/>
          <w:rtl/>
          <w:lang w:bidi="fa-IR"/>
        </w:rPr>
        <w:t>استنبط الفقهاء الأحكام المتعلّ</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قة بالبغاة من هذه الآية: </w:t>
      </w:r>
    </w:p>
    <w:p w:rsidR="00336F3B" w:rsidRPr="00904FCB"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1ـ</w:t>
      </w:r>
      <w:r w:rsidRPr="001022E4">
        <w:rPr>
          <w:rFonts w:ascii="Times New Roman" w:hAnsi="Times New Roman" w:hint="cs"/>
          <w:sz w:val="27"/>
          <w:rtl/>
          <w:lang w:bidi="fa-IR"/>
        </w:rPr>
        <w:t xml:space="preserve"> يقول الإمامية: ذكرالبغاة مسلمين في هذه الآية مجازي</w:t>
      </w:r>
      <w:r w:rsidR="00793017" w:rsidRPr="001022E4">
        <w:rPr>
          <w:rFonts w:ascii="Times New Roman" w:hAnsi="Times New Roman" w:hint="cs"/>
          <w:sz w:val="27"/>
          <w:rtl/>
          <w:lang w:bidi="fa-IR"/>
        </w:rPr>
        <w:t>؛</w:t>
      </w:r>
      <w:r w:rsidRPr="001022E4">
        <w:rPr>
          <w:rFonts w:ascii="Times New Roman" w:hAnsi="Times New Roman" w:hint="cs"/>
          <w:sz w:val="27"/>
          <w:rtl/>
          <w:lang w:bidi="fa-IR"/>
        </w:rPr>
        <w:t xml:space="preserve"> لأنّ البغاة ليسوا</w:t>
      </w:r>
      <w:r w:rsidRPr="00904FCB">
        <w:rPr>
          <w:rFonts w:ascii="Times New Roman" w:hAnsi="Times New Roman" w:hint="cs"/>
          <w:sz w:val="27"/>
          <w:rtl/>
          <w:lang w:bidi="fa-IR"/>
        </w:rPr>
        <w:t xml:space="preserve"> بمسلمين عندهم</w:t>
      </w:r>
      <w:r w:rsidR="00793017" w:rsidRPr="00904FCB">
        <w:rPr>
          <w:rFonts w:ascii="Times New Roman" w:hAnsi="Times New Roman" w:hint="cs"/>
          <w:sz w:val="27"/>
          <w:rtl/>
          <w:lang w:bidi="fa-IR"/>
        </w:rPr>
        <w:t>؛</w:t>
      </w:r>
      <w:r w:rsidRPr="00904FCB">
        <w:rPr>
          <w:rFonts w:ascii="Times New Roman" w:hAnsi="Times New Roman" w:hint="cs"/>
          <w:sz w:val="27"/>
          <w:rtl/>
          <w:lang w:bidi="fa-IR"/>
        </w:rPr>
        <w:t xml:space="preserve"> استدلالاً بالآيتين الخامسة والسادسة من سورة الأنفال. </w:t>
      </w:r>
    </w:p>
    <w:p w:rsidR="00336F3B" w:rsidRPr="001022E4"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2ـ</w:t>
      </w:r>
      <w:r w:rsidRPr="001022E4">
        <w:rPr>
          <w:rFonts w:ascii="Times New Roman" w:hAnsi="Times New Roman" w:hint="cs"/>
          <w:sz w:val="27"/>
          <w:rtl/>
          <w:lang w:bidi="fa-IR"/>
        </w:rPr>
        <w:t xml:space="preserve"> وجوب قتال البغاة.</w:t>
      </w:r>
    </w:p>
    <w:p w:rsidR="00336F3B" w:rsidRPr="001022E4"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3ـ</w:t>
      </w:r>
      <w:r w:rsidRPr="001022E4">
        <w:rPr>
          <w:rFonts w:ascii="Times New Roman" w:hAnsi="Times New Roman" w:hint="cs"/>
          <w:sz w:val="27"/>
          <w:rtl/>
          <w:lang w:bidi="fa-IR"/>
        </w:rPr>
        <w:t xml:space="preserve"> وجوب قتالهم حت</w:t>
      </w:r>
      <w:r w:rsidR="00793017" w:rsidRPr="001022E4">
        <w:rPr>
          <w:rFonts w:ascii="Times New Roman" w:hAnsi="Times New Roman" w:hint="cs"/>
          <w:sz w:val="27"/>
          <w:rtl/>
          <w:lang w:bidi="fa-IR"/>
        </w:rPr>
        <w:t>ّى</w:t>
      </w:r>
      <w:r w:rsidRPr="001022E4">
        <w:rPr>
          <w:rFonts w:ascii="Times New Roman" w:hAnsi="Times New Roman" w:hint="cs"/>
          <w:sz w:val="27"/>
          <w:rtl/>
          <w:lang w:bidi="fa-IR"/>
        </w:rPr>
        <w:t xml:space="preserve"> نيل الغاية.</w:t>
      </w:r>
    </w:p>
    <w:p w:rsidR="00336F3B" w:rsidRPr="001022E4"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4ـ</w:t>
      </w:r>
      <w:r w:rsidRPr="001022E4">
        <w:rPr>
          <w:rFonts w:ascii="Times New Roman" w:hAnsi="Times New Roman" w:hint="cs"/>
          <w:sz w:val="27"/>
          <w:rtl/>
          <w:lang w:bidi="fa-IR"/>
        </w:rPr>
        <w:t xml:space="preserve"> عدم رجوعهم</w:t>
      </w:r>
      <w:r w:rsidR="00340818" w:rsidRPr="001022E4">
        <w:rPr>
          <w:rFonts w:ascii="Times New Roman" w:hAnsi="Times New Roman" w:hint="cs"/>
          <w:sz w:val="27"/>
          <w:rtl/>
          <w:lang w:bidi="fa-IR"/>
        </w:rPr>
        <w:t xml:space="preserve"> </w:t>
      </w:r>
      <w:r w:rsidR="00793017" w:rsidRPr="001022E4">
        <w:rPr>
          <w:rFonts w:ascii="Times New Roman" w:hAnsi="Times New Roman" w:hint="cs"/>
          <w:sz w:val="27"/>
          <w:rtl/>
          <w:lang w:bidi="fa-IR"/>
        </w:rPr>
        <w:t>إ</w:t>
      </w:r>
      <w:r w:rsidR="00340818" w:rsidRPr="001022E4">
        <w:rPr>
          <w:rFonts w:ascii="Times New Roman" w:hAnsi="Times New Roman" w:hint="cs"/>
          <w:sz w:val="27"/>
          <w:rtl/>
          <w:lang w:bidi="fa-IR"/>
        </w:rPr>
        <w:t xml:space="preserve">لى </w:t>
      </w:r>
      <w:r w:rsidRPr="001022E4">
        <w:rPr>
          <w:rFonts w:ascii="Times New Roman" w:hAnsi="Times New Roman" w:hint="cs"/>
          <w:sz w:val="27"/>
          <w:rtl/>
          <w:lang w:bidi="fa-IR"/>
        </w:rPr>
        <w:t>أموالهم وأنفسهم بعد القتال.</w:t>
      </w:r>
    </w:p>
    <w:p w:rsidR="00793017" w:rsidRPr="001022E4"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5ـ</w:t>
      </w:r>
      <w:r w:rsidRPr="001022E4">
        <w:rPr>
          <w:rFonts w:ascii="Times New Roman" w:hAnsi="Times New Roman" w:hint="cs"/>
          <w:sz w:val="27"/>
          <w:rtl/>
          <w:lang w:bidi="fa-IR"/>
        </w:rPr>
        <w:t xml:space="preserve"> جواز قتال كلّ م</w:t>
      </w:r>
      <w:r w:rsidR="00793017" w:rsidRPr="001022E4">
        <w:rPr>
          <w:rFonts w:ascii="Times New Roman" w:hAnsi="Times New Roman" w:hint="cs"/>
          <w:sz w:val="27"/>
          <w:rtl/>
          <w:lang w:bidi="fa-IR"/>
        </w:rPr>
        <w:t>َ</w:t>
      </w:r>
      <w:r w:rsidRPr="001022E4">
        <w:rPr>
          <w:rFonts w:ascii="Times New Roman" w:hAnsi="Times New Roman" w:hint="cs"/>
          <w:sz w:val="27"/>
          <w:rtl/>
          <w:lang w:bidi="fa-IR"/>
        </w:rPr>
        <w:t>ن</w:t>
      </w:r>
      <w:r w:rsidR="00793017" w:rsidRPr="001022E4">
        <w:rPr>
          <w:rFonts w:ascii="Times New Roman" w:hAnsi="Times New Roman" w:hint="cs"/>
          <w:sz w:val="27"/>
          <w:rtl/>
          <w:lang w:bidi="fa-IR"/>
        </w:rPr>
        <w:t>ْ امتن</w:t>
      </w:r>
      <w:r w:rsidRPr="001022E4">
        <w:rPr>
          <w:rFonts w:ascii="Times New Roman" w:hAnsi="Times New Roman" w:hint="cs"/>
          <w:sz w:val="27"/>
          <w:rtl/>
          <w:lang w:bidi="fa-IR"/>
        </w:rPr>
        <w:t>ع عن أداء حقّ</w:t>
      </w:r>
      <w:r w:rsidR="00793017" w:rsidRPr="001022E4">
        <w:rPr>
          <w:rFonts w:ascii="Times New Roman" w:hAnsi="Times New Roman" w:hint="cs"/>
          <w:sz w:val="27"/>
          <w:rtl/>
          <w:lang w:bidi="fa-IR"/>
        </w:rPr>
        <w:t>ٍ واجب</w:t>
      </w:r>
      <w:r w:rsidRPr="001022E4">
        <w:rPr>
          <w:rFonts w:ascii="Times New Roman" w:hAnsi="Times New Roman" w:hint="cs"/>
          <w:sz w:val="27"/>
          <w:rtl/>
          <w:lang w:bidi="fa-IR"/>
        </w:rPr>
        <w:t xml:space="preserve"> عليه. </w:t>
      </w:r>
    </w:p>
    <w:p w:rsidR="00336F3B" w:rsidRPr="00904FCB" w:rsidRDefault="00793017" w:rsidP="007A21AA">
      <w:pPr>
        <w:spacing w:line="400" w:lineRule="exact"/>
        <w:rPr>
          <w:rFonts w:ascii="Times New Roman" w:hAnsi="Times New Roman"/>
          <w:sz w:val="27"/>
          <w:rtl/>
          <w:lang w:bidi="fa-IR"/>
        </w:rPr>
      </w:pPr>
      <w:r w:rsidRPr="00904FCB">
        <w:rPr>
          <w:rFonts w:ascii="Times New Roman" w:hAnsi="Times New Roman" w:hint="cs"/>
          <w:sz w:val="27"/>
          <w:rtl/>
          <w:lang w:bidi="fa-IR"/>
        </w:rPr>
        <w:t xml:space="preserve">ولكنّ </w:t>
      </w:r>
      <w:r w:rsidR="00336F3B" w:rsidRPr="00904FCB">
        <w:rPr>
          <w:rFonts w:ascii="Times New Roman" w:hAnsi="Times New Roman" w:hint="cs"/>
          <w:sz w:val="27"/>
          <w:rtl/>
          <w:lang w:bidi="fa-IR"/>
        </w:rPr>
        <w:t xml:space="preserve">معظم فقهاء الشيعة </w:t>
      </w:r>
      <w:r w:rsidRPr="00904FCB">
        <w:rPr>
          <w:rFonts w:ascii="Times New Roman" w:hAnsi="Times New Roman" w:hint="cs"/>
          <w:sz w:val="27"/>
          <w:rtl/>
          <w:lang w:bidi="fa-IR"/>
        </w:rPr>
        <w:t xml:space="preserve">لا يقبلون </w:t>
      </w:r>
      <w:r w:rsidR="00336F3B" w:rsidRPr="00904FCB">
        <w:rPr>
          <w:rFonts w:ascii="Times New Roman" w:hAnsi="Times New Roman" w:hint="cs"/>
          <w:sz w:val="27"/>
          <w:rtl/>
          <w:lang w:bidi="fa-IR"/>
        </w:rPr>
        <w:t>المسألتين الأخيرتين</w:t>
      </w:r>
      <w:r w:rsidR="00336F3B" w:rsidRPr="00904FCB">
        <w:rPr>
          <w:rFonts w:hint="cs"/>
          <w:sz w:val="27"/>
          <w:vertAlign w:val="superscript"/>
          <w:rtl/>
        </w:rPr>
        <w:t>(</w:t>
      </w:r>
      <w:r w:rsidR="00336F3B" w:rsidRPr="00904FCB">
        <w:rPr>
          <w:rStyle w:val="ac"/>
          <w:sz w:val="27"/>
          <w:rtl/>
        </w:rPr>
        <w:endnoteReference w:id="624"/>
      </w:r>
      <w:r w:rsidR="00336F3B" w:rsidRPr="00904FCB">
        <w:rPr>
          <w:rFonts w:hint="cs"/>
          <w:sz w:val="27"/>
          <w:vertAlign w:val="superscript"/>
          <w:rtl/>
        </w:rPr>
        <w:t>)</w:t>
      </w:r>
      <w:r w:rsidR="00336F3B"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p>
    <w:p w:rsidR="00336F3B" w:rsidRPr="00904FCB" w:rsidRDefault="00336F3B" w:rsidP="007A21AA">
      <w:pPr>
        <w:pStyle w:val="31"/>
        <w:spacing w:line="400" w:lineRule="exact"/>
        <w:rPr>
          <w:color w:val="auto"/>
          <w:rtl/>
          <w:lang w:bidi="fa-IR"/>
        </w:rPr>
      </w:pPr>
      <w:r w:rsidRPr="001022E4">
        <w:rPr>
          <w:rFonts w:hint="cs"/>
          <w:color w:val="auto"/>
          <w:rtl/>
          <w:lang w:bidi="ar-LB"/>
        </w:rPr>
        <w:t>6ـ</w:t>
      </w:r>
      <w:r w:rsidRPr="001022E4">
        <w:rPr>
          <w:rFonts w:hint="cs"/>
          <w:color w:val="auto"/>
          <w:rtl/>
          <w:lang w:bidi="fa-IR"/>
        </w:rPr>
        <w:t xml:space="preserve"> القائلون</w:t>
      </w:r>
      <w:r w:rsidRPr="00904FCB">
        <w:rPr>
          <w:rFonts w:hint="cs"/>
          <w:color w:val="auto"/>
          <w:rtl/>
          <w:lang w:bidi="fa-IR"/>
        </w:rPr>
        <w:t xml:space="preserve"> بعدم حكم هذه الآية في شأن البغاة </w:t>
      </w:r>
    </w:p>
    <w:p w:rsidR="00904375"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يقول بعض المفس</w:t>
      </w:r>
      <w:r w:rsidR="00904375" w:rsidRPr="00904FCB">
        <w:rPr>
          <w:rFonts w:ascii="Times New Roman" w:hAnsi="Times New Roman" w:hint="cs"/>
          <w:sz w:val="27"/>
          <w:rtl/>
          <w:lang w:bidi="fa-IR"/>
        </w:rPr>
        <w:t>ِّ</w:t>
      </w:r>
      <w:r w:rsidRPr="00904FCB">
        <w:rPr>
          <w:rFonts w:ascii="Times New Roman" w:hAnsi="Times New Roman" w:hint="cs"/>
          <w:sz w:val="27"/>
          <w:rtl/>
          <w:lang w:bidi="fa-IR"/>
        </w:rPr>
        <w:t>رين: قد استدل</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بعض الفقهاء من هذه الآية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 xml:space="preserve">وجوب القتال البغاة، </w:t>
      </w:r>
      <w:r w:rsidR="00904375" w:rsidRPr="00904FCB">
        <w:rPr>
          <w:rFonts w:ascii="Times New Roman" w:hAnsi="Times New Roman" w:hint="cs"/>
          <w:sz w:val="27"/>
          <w:rtl/>
          <w:lang w:bidi="fa-IR"/>
        </w:rPr>
        <w:t>وأرادوا بالبغاة الجماعة الخارجة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العادل</w:t>
      </w:r>
      <w:r w:rsidR="00904375" w:rsidRPr="00904FCB">
        <w:rPr>
          <w:rFonts w:ascii="Times New Roman" w:hAnsi="Times New Roman" w:hint="cs"/>
          <w:sz w:val="27"/>
          <w:rtl/>
          <w:lang w:bidi="fa-IR"/>
        </w:rPr>
        <w:t>.</w:t>
      </w:r>
    </w:p>
    <w:p w:rsidR="00336F3B" w:rsidRPr="00904FCB" w:rsidRDefault="00904375" w:rsidP="007A21AA">
      <w:pPr>
        <w:spacing w:line="400" w:lineRule="exact"/>
        <w:rPr>
          <w:rFonts w:ascii="Times New Roman" w:hAnsi="Times New Roman"/>
          <w:sz w:val="27"/>
          <w:rtl/>
          <w:lang w:bidi="fa-IR"/>
        </w:rPr>
      </w:pPr>
      <w:r w:rsidRPr="00904FCB">
        <w:rPr>
          <w:rFonts w:ascii="Times New Roman" w:hAnsi="Times New Roman" w:hint="cs"/>
          <w:sz w:val="27"/>
          <w:rtl/>
          <w:lang w:bidi="fa-IR"/>
        </w:rPr>
        <w:t>و</w:t>
      </w:r>
      <w:r w:rsidR="00336F3B" w:rsidRPr="00904FCB">
        <w:rPr>
          <w:rFonts w:ascii="Times New Roman" w:hAnsi="Times New Roman" w:hint="cs"/>
          <w:sz w:val="27"/>
          <w:rtl/>
          <w:lang w:bidi="fa-IR"/>
        </w:rPr>
        <w:t>هذا الاستدلال ضعيف</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لأنّ المذكورين في الآية مسلمون، والبغاة كف</w:t>
      </w:r>
      <w:r w:rsidRPr="00904FCB">
        <w:rPr>
          <w:rFonts w:ascii="Times New Roman" w:hAnsi="Times New Roman" w:hint="cs"/>
          <w:sz w:val="27"/>
          <w:rtl/>
          <w:lang w:bidi="fa-IR"/>
        </w:rPr>
        <w:t>ّ</w:t>
      </w:r>
      <w:r w:rsidR="00336F3B" w:rsidRPr="00904FCB">
        <w:rPr>
          <w:rFonts w:ascii="Times New Roman" w:hAnsi="Times New Roman" w:hint="cs"/>
          <w:sz w:val="27"/>
          <w:rtl/>
          <w:lang w:bidi="fa-IR"/>
        </w:rPr>
        <w:t>ار</w:t>
      </w:r>
      <w:r w:rsidR="00336F3B" w:rsidRPr="00904FCB">
        <w:rPr>
          <w:rFonts w:hint="cs"/>
          <w:sz w:val="27"/>
          <w:vertAlign w:val="superscript"/>
          <w:rtl/>
        </w:rPr>
        <w:t>(</w:t>
      </w:r>
      <w:r w:rsidR="00336F3B" w:rsidRPr="00904FCB">
        <w:rPr>
          <w:rStyle w:val="ac"/>
          <w:sz w:val="27"/>
          <w:rtl/>
        </w:rPr>
        <w:endnoteReference w:id="625"/>
      </w:r>
      <w:r w:rsidR="00336F3B" w:rsidRPr="00904FCB">
        <w:rPr>
          <w:rFonts w:hint="cs"/>
          <w:sz w:val="27"/>
          <w:vertAlign w:val="superscript"/>
          <w:rtl/>
        </w:rPr>
        <w:t>)</w:t>
      </w:r>
      <w:r w:rsidR="00336F3B" w:rsidRPr="00904FCB">
        <w:rPr>
          <w:rFonts w:ascii="Times New Roman" w:hAnsi="Times New Roman" w:hint="cs"/>
          <w:sz w:val="27"/>
          <w:rtl/>
          <w:lang w:bidi="fa-IR"/>
        </w:rPr>
        <w:t>.</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 xml:space="preserve"> </w:t>
      </w:r>
    </w:p>
    <w:p w:rsidR="00336F3B" w:rsidRPr="00904FCB" w:rsidRDefault="00336F3B" w:rsidP="007A21AA">
      <w:pPr>
        <w:pStyle w:val="31"/>
        <w:spacing w:line="400" w:lineRule="exact"/>
        <w:rPr>
          <w:color w:val="auto"/>
          <w:rtl/>
          <w:lang w:bidi="fa-IR"/>
        </w:rPr>
      </w:pPr>
      <w:r w:rsidRPr="001022E4">
        <w:rPr>
          <w:rFonts w:hint="cs"/>
          <w:color w:val="auto"/>
          <w:rtl/>
          <w:lang w:bidi="ar-LB"/>
        </w:rPr>
        <w:t xml:space="preserve">7ـ </w:t>
      </w:r>
      <w:r w:rsidRPr="001022E4">
        <w:rPr>
          <w:rFonts w:hint="cs"/>
          <w:color w:val="auto"/>
          <w:rtl/>
          <w:lang w:bidi="fa-IR"/>
        </w:rPr>
        <w:t>حكم</w:t>
      </w:r>
      <w:r w:rsidRPr="00904FCB">
        <w:rPr>
          <w:rFonts w:hint="cs"/>
          <w:color w:val="auto"/>
          <w:rtl/>
          <w:lang w:bidi="fa-IR"/>
        </w:rPr>
        <w:t xml:space="preserve"> البغي في ضوء السنّة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زيادة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الآية الشريفة</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التي تصر</w:t>
      </w:r>
      <w:r w:rsidR="00904375" w:rsidRPr="00904FCB">
        <w:rPr>
          <w:rFonts w:ascii="Times New Roman" w:hAnsi="Times New Roman" w:hint="cs"/>
          <w:sz w:val="27"/>
          <w:rtl/>
          <w:lang w:bidi="fa-IR"/>
        </w:rPr>
        <w:t>ِّ</w:t>
      </w:r>
      <w:r w:rsidRPr="00904FCB">
        <w:rPr>
          <w:rFonts w:ascii="Times New Roman" w:hAnsi="Times New Roman" w:hint="cs"/>
          <w:sz w:val="27"/>
          <w:rtl/>
          <w:lang w:bidi="fa-IR"/>
        </w:rPr>
        <w:t>ح ب</w:t>
      </w:r>
      <w:r w:rsidR="00904375" w:rsidRPr="00904FCB">
        <w:rPr>
          <w:rFonts w:ascii="Times New Roman" w:hAnsi="Times New Roman" w:hint="cs"/>
          <w:sz w:val="27"/>
          <w:rtl/>
          <w:lang w:bidi="fa-IR"/>
        </w:rPr>
        <w:t>أ</w:t>
      </w:r>
      <w:r w:rsidRPr="00904FCB">
        <w:rPr>
          <w:rFonts w:ascii="Times New Roman" w:hAnsi="Times New Roman" w:hint="cs"/>
          <w:sz w:val="27"/>
          <w:rtl/>
          <w:lang w:bidi="fa-IR"/>
        </w:rPr>
        <w:t>نّ إثم البغي حكم</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عام</w:t>
      </w:r>
      <w:r w:rsidR="00904375" w:rsidRPr="00904FCB">
        <w:rPr>
          <w:rFonts w:ascii="Times New Roman" w:hAnsi="Times New Roman" w:hint="cs"/>
          <w:sz w:val="27"/>
          <w:rtl/>
          <w:lang w:bidi="fa-IR"/>
        </w:rPr>
        <w:t>ّ</w:t>
      </w:r>
      <w:r w:rsidRPr="00904FCB">
        <w:rPr>
          <w:rFonts w:ascii="Times New Roman" w:hAnsi="Times New Roman" w:hint="cs"/>
          <w:sz w:val="27"/>
          <w:rtl/>
          <w:lang w:bidi="fa-IR"/>
        </w:rPr>
        <w:t>، ولا يختص</w:t>
      </w:r>
      <w:r w:rsidR="00C855DC">
        <w:rPr>
          <w:rFonts w:ascii="Times New Roman" w:hAnsi="Times New Roman" w:hint="cs"/>
          <w:sz w:val="27"/>
          <w:rtl/>
          <w:lang w:bidi="fa-IR"/>
        </w:rPr>
        <w:t>ّ</w:t>
      </w:r>
      <w:r w:rsidRPr="00904FCB">
        <w:rPr>
          <w:rFonts w:ascii="Times New Roman" w:hAnsi="Times New Roman" w:hint="cs"/>
          <w:sz w:val="27"/>
          <w:rtl/>
          <w:lang w:bidi="fa-IR"/>
        </w:rPr>
        <w:t xml:space="preserve"> بالخروج</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المعصوم</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هناك روايات</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وردت في هذا الموضوع تُ</w:t>
      </w:r>
      <w:r w:rsidR="00904375" w:rsidRPr="00904FCB">
        <w:rPr>
          <w:rFonts w:ascii="Times New Roman" w:hAnsi="Times New Roman" w:hint="cs"/>
          <w:sz w:val="27"/>
          <w:rtl/>
          <w:lang w:bidi="fa-IR"/>
        </w:rPr>
        <w:t>ف</w:t>
      </w:r>
      <w:r w:rsidRPr="00904FCB">
        <w:rPr>
          <w:rFonts w:ascii="Times New Roman" w:hAnsi="Times New Roman" w:hint="cs"/>
          <w:sz w:val="27"/>
          <w:rtl/>
          <w:lang w:bidi="fa-IR"/>
        </w:rPr>
        <w:t>يد أنّ البغي عقوبة</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في عصر الغيبة</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ولقد أش</w:t>
      </w:r>
      <w:r w:rsidR="00904375" w:rsidRPr="00904FCB">
        <w:rPr>
          <w:rFonts w:ascii="Times New Roman" w:hAnsi="Times New Roman" w:hint="cs"/>
          <w:sz w:val="27"/>
          <w:rtl/>
          <w:lang w:bidi="fa-IR"/>
        </w:rPr>
        <w:t>َ</w:t>
      </w:r>
      <w:r w:rsidRPr="00904FCB">
        <w:rPr>
          <w:rFonts w:ascii="Times New Roman" w:hAnsi="Times New Roman" w:hint="cs"/>
          <w:sz w:val="27"/>
          <w:rtl/>
          <w:lang w:bidi="fa-IR"/>
        </w:rPr>
        <w:t>ر</w:t>
      </w:r>
      <w:r w:rsidR="00904375" w:rsidRPr="00904FCB">
        <w:rPr>
          <w:rFonts w:ascii="Times New Roman" w:hAnsi="Times New Roman" w:hint="cs"/>
          <w:sz w:val="27"/>
          <w:rtl/>
          <w:lang w:bidi="fa-IR"/>
        </w:rPr>
        <w:t>ْ</w:t>
      </w:r>
      <w:r w:rsidRPr="00904FCB">
        <w:rPr>
          <w:rFonts w:ascii="Times New Roman" w:hAnsi="Times New Roman" w:hint="cs"/>
          <w:sz w:val="27"/>
          <w:rtl/>
          <w:lang w:bidi="fa-IR"/>
        </w:rPr>
        <w:t>تُ</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 xml:space="preserve">هذه الروايات لتزول الغوامض الموجودة في تعريف جريمة البغي.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lastRenderedPageBreak/>
        <w:t>قال النبي</w:t>
      </w:r>
      <w:r w:rsidR="00904375" w:rsidRPr="00904FCB">
        <w:rPr>
          <w:rFonts w:ascii="Times New Roman" w:hAnsi="Times New Roman" w:hint="cs"/>
          <w:sz w:val="27"/>
          <w:rtl/>
          <w:lang w:bidi="fa-IR"/>
        </w:rPr>
        <w:t>ّ</w:t>
      </w:r>
      <w:r w:rsidR="00635E51" w:rsidRPr="00904FCB">
        <w:rPr>
          <w:rFonts w:ascii="Times New Roman" w:hAnsi="Times New Roman" w:cs="Mosawi" w:hint="cs"/>
          <w:sz w:val="27"/>
          <w:szCs w:val="22"/>
          <w:rtl/>
          <w:lang w:bidi="fa-IR"/>
        </w:rPr>
        <w:t>|</w:t>
      </w:r>
      <w:r w:rsidRPr="00904FCB">
        <w:rPr>
          <w:rFonts w:ascii="Times New Roman" w:hAnsi="Times New Roman" w:hint="cs"/>
          <w:sz w:val="27"/>
          <w:rtl/>
          <w:lang w:bidi="fa-IR"/>
        </w:rPr>
        <w:t xml:space="preserve"> لعلي</w:t>
      </w:r>
      <w:r w:rsidR="00904375" w:rsidRPr="00904FCB">
        <w:rPr>
          <w:rFonts w:ascii="Times New Roman" w:hAnsi="Times New Roman" w:hint="cs"/>
          <w:sz w:val="27"/>
          <w:rtl/>
          <w:lang w:bidi="fa-IR"/>
        </w:rPr>
        <w:t>ّ</w:t>
      </w:r>
      <w:r w:rsidRPr="00904FCB">
        <w:rPr>
          <w:rFonts w:ascii="Times New Roman" w:hAnsi="Times New Roman" w:hint="cs"/>
          <w:sz w:val="27"/>
          <w:rtl/>
          <w:lang w:bidi="fa-IR"/>
        </w:rPr>
        <w:t>(رضي الله عنه): «إنّ الله كتب</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الم</w:t>
      </w:r>
      <w:r w:rsidR="00904375" w:rsidRPr="00904FCB">
        <w:rPr>
          <w:rFonts w:ascii="Times New Roman" w:hAnsi="Times New Roman" w:hint="cs"/>
          <w:sz w:val="27"/>
          <w:rtl/>
          <w:lang w:bidi="fa-IR"/>
        </w:rPr>
        <w:t>ؤ</w:t>
      </w:r>
      <w:r w:rsidRPr="00904FCB">
        <w:rPr>
          <w:rFonts w:ascii="Times New Roman" w:hAnsi="Times New Roman" w:hint="cs"/>
          <w:sz w:val="27"/>
          <w:rtl/>
          <w:lang w:bidi="fa-IR"/>
        </w:rPr>
        <w:t>منين الجهاد في الفتن التي تكون بعدي</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كما كتَب عليكم قتال المشركين</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قلتُ</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يا رسول الله</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أي</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فتنة</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يجب علينا قتالها</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قال: فتنة القوم الذين يشهدون أن لا إله إلاّ الله وأنّي رسول الله، إنّهم يخالفون سنّتي</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ويطعنون في ديني</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قلتُ</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يا رسول الله</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كيف نقاتلهم وهم يشهدون أن لا اله </w:t>
      </w:r>
      <w:r w:rsidR="00904375" w:rsidRPr="00904FCB">
        <w:rPr>
          <w:rFonts w:ascii="Times New Roman" w:hAnsi="Times New Roman" w:hint="cs"/>
          <w:sz w:val="27"/>
          <w:rtl/>
          <w:lang w:bidi="fa-IR"/>
        </w:rPr>
        <w:t>إ</w:t>
      </w:r>
      <w:r w:rsidRPr="00904FCB">
        <w:rPr>
          <w:rFonts w:ascii="Times New Roman" w:hAnsi="Times New Roman" w:hint="cs"/>
          <w:sz w:val="27"/>
          <w:rtl/>
          <w:lang w:bidi="fa-IR"/>
        </w:rPr>
        <w:t>لاّ الله وأنّك رسول الله</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قال</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إنهم سي</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حدثون </w:t>
      </w:r>
      <w:r w:rsidR="00904375" w:rsidRPr="00904FCB">
        <w:rPr>
          <w:rFonts w:ascii="Times New Roman" w:hAnsi="Times New Roman" w:hint="cs"/>
          <w:sz w:val="27"/>
          <w:rtl/>
          <w:lang w:bidi="fa-IR"/>
        </w:rPr>
        <w:t>أ</w:t>
      </w:r>
      <w:r w:rsidRPr="00904FCB">
        <w:rPr>
          <w:rFonts w:ascii="Times New Roman" w:hAnsi="Times New Roman" w:hint="cs"/>
          <w:sz w:val="27"/>
          <w:rtl/>
          <w:lang w:bidi="fa-IR"/>
        </w:rPr>
        <w:t>موراً في الدّ</w:t>
      </w:r>
      <w:r w:rsidR="00904375" w:rsidRPr="00904FCB">
        <w:rPr>
          <w:rFonts w:ascii="Times New Roman" w:hAnsi="Times New Roman" w:hint="cs"/>
          <w:sz w:val="27"/>
          <w:rtl/>
          <w:lang w:bidi="fa-IR"/>
        </w:rPr>
        <w:t>ِ</w:t>
      </w:r>
      <w:r w:rsidRPr="00904FCB">
        <w:rPr>
          <w:rFonts w:ascii="Times New Roman" w:hAnsi="Times New Roman" w:hint="cs"/>
          <w:sz w:val="27"/>
          <w:rtl/>
          <w:lang w:bidi="fa-IR"/>
        </w:rPr>
        <w:t>ين</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ويعتزلون عن ديني، ويستحلّون إراقة دماء أهل بيتي</w:t>
      </w:r>
      <w:r w:rsidRPr="00904FCB">
        <w:rPr>
          <w:rFonts w:hint="cs"/>
          <w:sz w:val="27"/>
          <w:vertAlign w:val="superscript"/>
          <w:rtl/>
        </w:rPr>
        <w:t>(</w:t>
      </w:r>
      <w:r w:rsidRPr="00904FCB">
        <w:rPr>
          <w:rStyle w:val="ac"/>
          <w:sz w:val="27"/>
          <w:rtl/>
        </w:rPr>
        <w:endnoteReference w:id="626"/>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لايختص</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هذا الخبر </w:t>
      </w:r>
      <w:r w:rsidR="00904375" w:rsidRPr="00904FCB">
        <w:rPr>
          <w:rFonts w:ascii="Times New Roman" w:hAnsi="Times New Roman" w:hint="cs"/>
          <w:sz w:val="27"/>
          <w:rtl/>
          <w:lang w:bidi="fa-IR"/>
        </w:rPr>
        <w:t>ب</w:t>
      </w:r>
      <w:r w:rsidRPr="00904FCB">
        <w:rPr>
          <w:rFonts w:ascii="Times New Roman" w:hAnsi="Times New Roman" w:hint="cs"/>
          <w:sz w:val="27"/>
          <w:rtl/>
          <w:lang w:bidi="fa-IR"/>
        </w:rPr>
        <w:t>الباغي</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بل يشمل كلّ مَن</w:t>
      </w:r>
      <w:r w:rsidR="00904375" w:rsidRPr="00904FCB">
        <w:rPr>
          <w:rFonts w:ascii="Times New Roman" w:hAnsi="Times New Roman" w:hint="cs"/>
          <w:sz w:val="27"/>
          <w:rtl/>
          <w:lang w:bidi="fa-IR"/>
        </w:rPr>
        <w:t>ْ أحدث</w:t>
      </w:r>
      <w:r w:rsidRPr="00904FCB">
        <w:rPr>
          <w:rFonts w:ascii="Times New Roman" w:hAnsi="Times New Roman" w:hint="cs"/>
          <w:sz w:val="27"/>
          <w:rtl/>
          <w:lang w:bidi="fa-IR"/>
        </w:rPr>
        <w:t xml:space="preserve"> أمراً في الدين</w:t>
      </w:r>
      <w:r w:rsidR="00904375" w:rsidRPr="00904FCB">
        <w:rPr>
          <w:rFonts w:ascii="Times New Roman" w:hAnsi="Times New Roman" w:hint="cs"/>
          <w:sz w:val="27"/>
          <w:rtl/>
          <w:lang w:bidi="fa-IR"/>
        </w:rPr>
        <w:t>، وخالف</w:t>
      </w:r>
      <w:r w:rsidRPr="00904FCB">
        <w:rPr>
          <w:rFonts w:ascii="Times New Roman" w:hAnsi="Times New Roman" w:hint="cs"/>
          <w:sz w:val="27"/>
          <w:rtl/>
          <w:lang w:bidi="fa-IR"/>
        </w:rPr>
        <w:t xml:space="preserve"> المجتهدين</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وبدّل أحكام الدّ</w:t>
      </w:r>
      <w:r w:rsidR="00904375" w:rsidRPr="00904FCB">
        <w:rPr>
          <w:rFonts w:ascii="Times New Roman" w:hAnsi="Times New Roman" w:hint="cs"/>
          <w:sz w:val="27"/>
          <w:rtl/>
          <w:lang w:bidi="fa-IR"/>
        </w:rPr>
        <w:t>ِ</w:t>
      </w:r>
      <w:r w:rsidRPr="00904FCB">
        <w:rPr>
          <w:rFonts w:ascii="Times New Roman" w:hAnsi="Times New Roman" w:hint="cs"/>
          <w:sz w:val="27"/>
          <w:rtl/>
          <w:lang w:bidi="fa-IR"/>
        </w:rPr>
        <w:t>ين تبديلاً بائناً</w:t>
      </w:r>
      <w:r w:rsidRPr="00904FCB">
        <w:rPr>
          <w:rFonts w:hint="cs"/>
          <w:sz w:val="27"/>
          <w:vertAlign w:val="superscript"/>
          <w:rtl/>
        </w:rPr>
        <w:t>(</w:t>
      </w:r>
      <w:r w:rsidRPr="00904FCB">
        <w:rPr>
          <w:rStyle w:val="ac"/>
          <w:sz w:val="27"/>
          <w:rtl/>
        </w:rPr>
        <w:endnoteReference w:id="627"/>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وروي عن الإمام الصادق(رضي الله عنه) أنّه قال: «القتل قسمان</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Pr="00904FCB">
        <w:rPr>
          <w:rFonts w:ascii="Times New Roman" w:hAnsi="Times New Roman" w:hint="cs"/>
          <w:b/>
          <w:bCs/>
          <w:sz w:val="27"/>
          <w:rtl/>
          <w:lang w:bidi="fa-IR"/>
        </w:rPr>
        <w:t>أحدهما</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كفّارةً للإثم</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Pr="00904FCB">
        <w:rPr>
          <w:rFonts w:ascii="Times New Roman" w:hAnsi="Times New Roman" w:hint="cs"/>
          <w:b/>
          <w:bCs/>
          <w:sz w:val="27"/>
          <w:rtl/>
          <w:lang w:bidi="fa-IR"/>
        </w:rPr>
        <w:t>والآخر</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هو القتل في سبيل الله</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والقتال أيضاً قسمان: قتال الكفّار</w:t>
      </w:r>
      <w:r w:rsidR="00904375" w:rsidRPr="00904FCB">
        <w:rPr>
          <w:rFonts w:ascii="Times New Roman" w:hAnsi="Times New Roman" w:hint="cs"/>
          <w:sz w:val="27"/>
          <w:rtl/>
          <w:lang w:bidi="fa-IR"/>
        </w:rPr>
        <w:t>؛</w:t>
      </w:r>
      <w:r w:rsidRPr="00904FCB">
        <w:rPr>
          <w:rFonts w:ascii="Times New Roman" w:hAnsi="Times New Roman" w:hint="cs"/>
          <w:sz w:val="27"/>
          <w:rtl/>
          <w:lang w:bidi="fa-IR"/>
        </w:rPr>
        <w:t xml:space="preserve"> وقتال أهل البغي</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أن يفيئوا</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طاعة الإمام»</w:t>
      </w:r>
      <w:r w:rsidRPr="00904FCB">
        <w:rPr>
          <w:rFonts w:hint="cs"/>
          <w:sz w:val="27"/>
          <w:vertAlign w:val="superscript"/>
          <w:rtl/>
        </w:rPr>
        <w:t>(</w:t>
      </w:r>
      <w:r w:rsidRPr="00904FCB">
        <w:rPr>
          <w:rStyle w:val="ac"/>
          <w:sz w:val="27"/>
          <w:rtl/>
        </w:rPr>
        <w:endnoteReference w:id="628"/>
      </w:r>
      <w:r w:rsidRPr="00904FCB">
        <w:rPr>
          <w:rFonts w:hint="cs"/>
          <w:sz w:val="27"/>
          <w:vertAlign w:val="superscript"/>
          <w:rtl/>
        </w:rPr>
        <w:t>)</w:t>
      </w:r>
      <w:r w:rsidRPr="00904FCB">
        <w:rPr>
          <w:rFonts w:ascii="Times New Roman" w:hAnsi="Times New Roman" w:hint="cs"/>
          <w:sz w:val="27"/>
          <w:rtl/>
          <w:lang w:bidi="fa-IR"/>
        </w:rPr>
        <w:t>.</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 xml:space="preserve"> وكذلك كثير</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من خُطَب علي</w:t>
      </w:r>
      <w:r w:rsidR="00904375" w:rsidRPr="00904FCB">
        <w:rPr>
          <w:rFonts w:ascii="Times New Roman" w:hAnsi="Times New Roman" w:hint="cs"/>
          <w:sz w:val="27"/>
          <w:rtl/>
          <w:lang w:bidi="fa-IR"/>
        </w:rPr>
        <w:t>ّ</w:t>
      </w:r>
      <w:r w:rsidRPr="00904FCB">
        <w:rPr>
          <w:rFonts w:ascii="Times New Roman" w:hAnsi="Times New Roman" w:hint="cs"/>
          <w:sz w:val="27"/>
          <w:rtl/>
          <w:lang w:bidi="fa-IR"/>
        </w:rPr>
        <w:t>(رضي الله عنه) في نهج البلاغة تدلّ</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وجوب قتال البغاة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الدولة الإسلامية بلا</w:t>
      </w:r>
      <w:r w:rsidR="00915751" w:rsidRPr="00904FCB">
        <w:rPr>
          <w:rFonts w:ascii="Times New Roman" w:hAnsi="Times New Roman" w:hint="cs"/>
          <w:sz w:val="27"/>
          <w:rtl/>
          <w:lang w:bidi="fa-IR"/>
        </w:rPr>
        <w:t xml:space="preserve"> </w:t>
      </w:r>
      <w:r w:rsidRPr="00904FCB">
        <w:rPr>
          <w:rFonts w:ascii="Times New Roman" w:hAnsi="Times New Roman" w:hint="cs"/>
          <w:sz w:val="27"/>
          <w:rtl/>
          <w:lang w:bidi="fa-IR"/>
        </w:rPr>
        <w:t>قيد</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وشرط</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يعني: كلّما وُجدت تلك الشروط وجب قمعُهم.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يذكر الإمام علي</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(رضي الله عنه) </w:t>
      </w:r>
      <w:r w:rsidR="00915751" w:rsidRPr="00904FCB">
        <w:rPr>
          <w:rFonts w:ascii="Times New Roman" w:hAnsi="Times New Roman" w:hint="cs"/>
          <w:sz w:val="27"/>
          <w:rtl/>
          <w:lang w:bidi="fa-IR"/>
        </w:rPr>
        <w:t xml:space="preserve">سبب قتال البغاة في الخطبة </w:t>
      </w:r>
      <w:r w:rsidR="00915751" w:rsidRPr="001022E4">
        <w:rPr>
          <w:rFonts w:ascii="Times New Roman" w:hAnsi="Times New Roman" w:hint="cs"/>
          <w:sz w:val="27"/>
          <w:rtl/>
          <w:lang w:bidi="ar-LB"/>
        </w:rPr>
        <w:t>172</w:t>
      </w:r>
      <w:r w:rsidRPr="00904FCB">
        <w:rPr>
          <w:rFonts w:ascii="Times New Roman" w:hAnsi="Times New Roman" w:hint="cs"/>
          <w:sz w:val="27"/>
          <w:rtl/>
          <w:lang w:bidi="fa-IR"/>
        </w:rPr>
        <w:t>: «خرج</w:t>
      </w:r>
      <w:r w:rsidR="00340818" w:rsidRPr="00904FCB">
        <w:rPr>
          <w:rFonts w:ascii="Times New Roman" w:hAnsi="Times New Roman" w:hint="cs"/>
          <w:sz w:val="27"/>
          <w:rtl/>
          <w:lang w:bidi="fa-IR"/>
        </w:rPr>
        <w:t xml:space="preserve"> عل</w:t>
      </w:r>
      <w:r w:rsidR="00915751" w:rsidRPr="00904FCB">
        <w:rPr>
          <w:rFonts w:ascii="Times New Roman" w:hAnsi="Times New Roman" w:hint="cs"/>
          <w:sz w:val="27"/>
          <w:rtl/>
          <w:lang w:bidi="fa-IR"/>
        </w:rPr>
        <w:t>يّ</w:t>
      </w:r>
      <w:r w:rsidR="00340818" w:rsidRPr="00904FCB">
        <w:rPr>
          <w:rFonts w:ascii="Times New Roman" w:hAnsi="Times New Roman" w:hint="cs"/>
          <w:sz w:val="27"/>
          <w:rtl/>
          <w:lang w:bidi="fa-IR"/>
        </w:rPr>
        <w:t xml:space="preserve"> </w:t>
      </w:r>
      <w:r w:rsidRPr="00904FCB">
        <w:rPr>
          <w:rFonts w:ascii="Times New Roman" w:hAnsi="Times New Roman" w:hint="cs"/>
          <w:sz w:val="27"/>
          <w:rtl/>
          <w:lang w:bidi="fa-IR"/>
        </w:rPr>
        <w:t>طلحة والزبير وأصحابه</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00915751" w:rsidRPr="00904FCB">
        <w:rPr>
          <w:rFonts w:ascii="Times New Roman" w:hAnsi="Times New Roman" w:hint="cs"/>
          <w:sz w:val="27"/>
          <w:rtl/>
          <w:lang w:bidi="fa-IR"/>
        </w:rPr>
        <w:t>ودخلوا البصرة فقد</w:t>
      </w:r>
      <w:r w:rsidRPr="00904FCB">
        <w:rPr>
          <w:rFonts w:ascii="Times New Roman" w:hAnsi="Times New Roman" w:hint="cs"/>
          <w:sz w:val="27"/>
          <w:rtl/>
          <w:lang w:bidi="fa-IR"/>
        </w:rPr>
        <w:t>موا</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 xml:space="preserve">عاملي </w:t>
      </w:r>
      <w:r w:rsidR="00C855DC">
        <w:rPr>
          <w:rFonts w:ascii="Times New Roman" w:hAnsi="Times New Roman" w:hint="cs"/>
          <w:sz w:val="27"/>
          <w:rtl/>
          <w:lang w:bidi="fa-IR"/>
        </w:rPr>
        <w:t xml:space="preserve">عليٍّ </w:t>
      </w:r>
      <w:r w:rsidRPr="00904FCB">
        <w:rPr>
          <w:rFonts w:ascii="Times New Roman" w:hAnsi="Times New Roman" w:hint="cs"/>
          <w:sz w:val="27"/>
          <w:rtl/>
          <w:lang w:bidi="fa-IR"/>
        </w:rPr>
        <w:t>بها وخُزّان بيت المال المسلمين وغيرهم من أهلها، فقتلوا طائفة صبراً، وطائفةً غدراً»</w:t>
      </w:r>
      <w:r w:rsidR="00915751" w:rsidRPr="00904FCB">
        <w:rPr>
          <w:rFonts w:ascii="Times New Roman" w:hAnsi="Times New Roman" w:hint="cs"/>
          <w:sz w:val="27"/>
          <w:rtl/>
          <w:lang w:bidi="fa-IR"/>
        </w:rPr>
        <w:t>.</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وذكر أوصاف زعيم المجتمع الإسلامي في عهد الفتنة في الخطبة</w:t>
      </w:r>
      <w:r w:rsidR="00915751" w:rsidRPr="00904FCB">
        <w:rPr>
          <w:rFonts w:ascii="Times New Roman" w:hAnsi="Times New Roman" w:hint="cs"/>
          <w:sz w:val="27"/>
          <w:rtl/>
          <w:lang w:bidi="fa-IR"/>
        </w:rPr>
        <w:t xml:space="preserve"> </w:t>
      </w:r>
      <w:r w:rsidR="00915751" w:rsidRPr="001022E4">
        <w:rPr>
          <w:rFonts w:ascii="Times New Roman" w:hAnsi="Times New Roman" w:hint="cs"/>
          <w:sz w:val="27"/>
          <w:rtl/>
          <w:lang w:bidi="ar-LB"/>
        </w:rPr>
        <w:t>173</w:t>
      </w:r>
      <w:r w:rsidRPr="00904FCB">
        <w:rPr>
          <w:rFonts w:ascii="Times New Roman" w:hAnsi="Times New Roman" w:hint="cs"/>
          <w:sz w:val="27"/>
          <w:rtl/>
          <w:lang w:bidi="fa-IR"/>
        </w:rPr>
        <w:t>: «أيها النّاس</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إنّ أحقّ النّاس بهذا الأمر أقواهم عليه</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وأعلمُهم بأمر</w:t>
      </w:r>
      <w:r w:rsidR="00915751" w:rsidRPr="00904FCB">
        <w:rPr>
          <w:rFonts w:ascii="Times New Roman" w:hAnsi="Times New Roman" w:hint="cs"/>
          <w:sz w:val="27"/>
          <w:rtl/>
          <w:lang w:bidi="fa-IR"/>
        </w:rPr>
        <w:t xml:space="preserve"> </w:t>
      </w:r>
      <w:r w:rsidRPr="00904FCB">
        <w:rPr>
          <w:rFonts w:ascii="Times New Roman" w:hAnsi="Times New Roman" w:hint="cs"/>
          <w:sz w:val="27"/>
          <w:rtl/>
          <w:lang w:bidi="fa-IR"/>
        </w:rPr>
        <w:t>الله</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فإن</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شغَبَ شاغبٌ </w:t>
      </w:r>
      <w:r w:rsidR="00915751" w:rsidRPr="00904FCB">
        <w:rPr>
          <w:rFonts w:ascii="Times New Roman" w:hAnsi="Times New Roman" w:hint="cs"/>
          <w:sz w:val="27"/>
          <w:rtl/>
          <w:lang w:bidi="fa-IR"/>
        </w:rPr>
        <w:t>ا</w:t>
      </w:r>
      <w:r w:rsidRPr="00904FCB">
        <w:rPr>
          <w:rFonts w:ascii="Times New Roman" w:hAnsi="Times New Roman" w:hint="cs"/>
          <w:sz w:val="27"/>
          <w:rtl/>
          <w:lang w:bidi="fa-IR"/>
        </w:rPr>
        <w:t>ستُع</w:t>
      </w:r>
      <w:r w:rsidR="00915751" w:rsidRPr="00904FCB">
        <w:rPr>
          <w:rFonts w:ascii="Times New Roman" w:hAnsi="Times New Roman" w:hint="cs"/>
          <w:sz w:val="27"/>
          <w:rtl/>
          <w:lang w:bidi="fa-IR"/>
        </w:rPr>
        <w:t>ْتِب،</w:t>
      </w:r>
      <w:r w:rsidRPr="00904FCB">
        <w:rPr>
          <w:rFonts w:ascii="Times New Roman" w:hAnsi="Times New Roman" w:hint="cs"/>
          <w:sz w:val="27"/>
          <w:rtl/>
          <w:lang w:bidi="fa-IR"/>
        </w:rPr>
        <w:t xml:space="preserve"> فإن</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أب</w:t>
      </w:r>
      <w:r w:rsidR="00915751" w:rsidRPr="00904FCB">
        <w:rPr>
          <w:rFonts w:ascii="Times New Roman" w:hAnsi="Times New Roman" w:hint="cs"/>
          <w:sz w:val="27"/>
          <w:rtl/>
          <w:lang w:bidi="fa-IR"/>
        </w:rPr>
        <w:t>ى</w:t>
      </w:r>
      <w:r w:rsidRPr="00904FCB">
        <w:rPr>
          <w:rFonts w:ascii="Times New Roman" w:hAnsi="Times New Roman" w:hint="cs"/>
          <w:sz w:val="27"/>
          <w:rtl/>
          <w:lang w:bidi="fa-IR"/>
        </w:rPr>
        <w:t xml:space="preserve"> قوتِلَ</w:t>
      </w:r>
      <w:r w:rsidR="00DD0995" w:rsidRPr="00904FCB">
        <w:rPr>
          <w:rFonts w:ascii="Times New Roman" w:hAnsi="Times New Roman" w:hint="cs"/>
          <w:sz w:val="27"/>
          <w:rtl/>
          <w:lang w:bidi="fa-IR"/>
        </w:rPr>
        <w:t>»</w:t>
      </w:r>
      <w:r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وقد اتّ</w:t>
      </w:r>
      <w:r w:rsidR="00915751" w:rsidRPr="00904FCB">
        <w:rPr>
          <w:rFonts w:ascii="Times New Roman" w:hAnsi="Times New Roman" w:hint="cs"/>
          <w:sz w:val="27"/>
          <w:rtl/>
          <w:lang w:bidi="fa-IR"/>
        </w:rPr>
        <w:t>َ</w:t>
      </w:r>
      <w:r w:rsidRPr="00904FCB">
        <w:rPr>
          <w:rFonts w:ascii="Times New Roman" w:hAnsi="Times New Roman" w:hint="cs"/>
          <w:sz w:val="27"/>
          <w:rtl/>
          <w:lang w:bidi="fa-IR"/>
        </w:rPr>
        <w:t>ضح بأقوال الإمام علي</w:t>
      </w:r>
      <w:r w:rsidR="00915751" w:rsidRPr="00904FCB">
        <w:rPr>
          <w:rFonts w:ascii="Times New Roman" w:hAnsi="Times New Roman" w:hint="cs"/>
          <w:sz w:val="27"/>
          <w:rtl/>
          <w:lang w:bidi="fa-IR"/>
        </w:rPr>
        <w:t>ّ</w:t>
      </w:r>
      <w:r w:rsidRPr="00904FCB">
        <w:rPr>
          <w:rFonts w:ascii="Times New Roman" w:hAnsi="Times New Roman" w:hint="cs"/>
          <w:sz w:val="27"/>
          <w:rtl/>
          <w:lang w:bidi="fa-IR"/>
        </w:rPr>
        <w:t>(رض</w:t>
      </w:r>
      <w:r w:rsidR="00C855DC">
        <w:rPr>
          <w:rFonts w:ascii="Times New Roman" w:hAnsi="Times New Roman" w:hint="cs"/>
          <w:sz w:val="27"/>
          <w:rtl/>
          <w:lang w:bidi="fa-IR"/>
        </w:rPr>
        <w:t>ي الله عنه</w:t>
      </w:r>
      <w:r w:rsidRPr="00904FCB">
        <w:rPr>
          <w:rFonts w:ascii="Times New Roman" w:hAnsi="Times New Roman" w:hint="cs"/>
          <w:sz w:val="27"/>
          <w:rtl/>
          <w:lang w:bidi="fa-IR"/>
        </w:rPr>
        <w:t>) أنّه لا يشترط وجود الإمام المعصوم</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كما ادّعاه بعض الفقهاء.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نظراً إل</w:t>
      </w:r>
      <w:r w:rsidR="00DD0995" w:rsidRPr="00904FCB">
        <w:rPr>
          <w:rFonts w:ascii="Times New Roman" w:hAnsi="Times New Roman" w:hint="cs"/>
          <w:sz w:val="27"/>
          <w:rtl/>
          <w:lang w:bidi="fa-IR"/>
        </w:rPr>
        <w:t>ى</w:t>
      </w:r>
      <w:r w:rsidRPr="00904FCB">
        <w:rPr>
          <w:rFonts w:ascii="Times New Roman" w:hAnsi="Times New Roman" w:hint="cs"/>
          <w:sz w:val="27"/>
          <w:rtl/>
          <w:lang w:bidi="fa-IR"/>
        </w:rPr>
        <w:t xml:space="preserve"> الآيات والروايات المذكورة عُلِمَ أنّ إجرام البغي لا يختصّ بالخروج</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المعصوم، وألفاظ الآية والروايات عامّة</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تشمل كلَّ ما ذُكر في تفسير الآية. وفلسفة جهاد البغاة إنّما هو الدفاع عن الدولة الإسلامية</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 ومت</w:t>
      </w:r>
      <w:r w:rsidR="00915751" w:rsidRPr="00904FCB">
        <w:rPr>
          <w:rFonts w:ascii="Times New Roman" w:hAnsi="Times New Roman" w:hint="cs"/>
          <w:sz w:val="27"/>
          <w:rtl/>
          <w:lang w:bidi="fa-IR"/>
        </w:rPr>
        <w:t>ى</w:t>
      </w:r>
      <w:r w:rsidRPr="00904FCB">
        <w:rPr>
          <w:rFonts w:ascii="Times New Roman" w:hAnsi="Times New Roman" w:hint="cs"/>
          <w:sz w:val="27"/>
          <w:rtl/>
          <w:lang w:bidi="fa-IR"/>
        </w:rPr>
        <w:t xml:space="preserve"> كان رئيس الدولة الإسلامية عادلاً وعالماً ب</w:t>
      </w:r>
      <w:r w:rsidR="00915751" w:rsidRPr="00904FCB">
        <w:rPr>
          <w:rFonts w:ascii="Times New Roman" w:hAnsi="Times New Roman" w:hint="cs"/>
          <w:sz w:val="27"/>
          <w:rtl/>
          <w:lang w:bidi="fa-IR"/>
        </w:rPr>
        <w:t>ال</w:t>
      </w:r>
      <w:r w:rsidRPr="00904FCB">
        <w:rPr>
          <w:rFonts w:ascii="Times New Roman" w:hAnsi="Times New Roman" w:hint="cs"/>
          <w:sz w:val="27"/>
          <w:rtl/>
          <w:lang w:bidi="fa-IR"/>
        </w:rPr>
        <w:t>شرائع ي</w:t>
      </w:r>
      <w:r w:rsidR="00915751" w:rsidRPr="00904FCB">
        <w:rPr>
          <w:rFonts w:ascii="Times New Roman" w:hAnsi="Times New Roman" w:hint="cs"/>
          <w:sz w:val="27"/>
          <w:rtl/>
          <w:lang w:bidi="fa-IR"/>
        </w:rPr>
        <w:t>ُ</w:t>
      </w:r>
      <w:r w:rsidRPr="00904FCB">
        <w:rPr>
          <w:rFonts w:ascii="Times New Roman" w:hAnsi="Times New Roman" w:hint="cs"/>
          <w:sz w:val="27"/>
          <w:rtl/>
          <w:lang w:bidi="fa-IR"/>
        </w:rPr>
        <w:t xml:space="preserve">عَدّ الخارجُ عليه باغياً. </w:t>
      </w:r>
    </w:p>
    <w:p w:rsidR="00336F3B" w:rsidRPr="00904FCB" w:rsidRDefault="00336F3B" w:rsidP="007A21AA">
      <w:pPr>
        <w:spacing w:line="400" w:lineRule="exact"/>
        <w:rPr>
          <w:rFonts w:ascii="Times New Roman" w:hAnsi="Times New Roman"/>
          <w:sz w:val="27"/>
          <w:vertAlign w:val="superscript"/>
          <w:rtl/>
          <w:lang w:bidi="fa-IR"/>
        </w:rPr>
      </w:pPr>
      <w:r w:rsidRPr="00904FCB">
        <w:rPr>
          <w:rFonts w:ascii="Times New Roman" w:hAnsi="Times New Roman" w:hint="cs"/>
          <w:sz w:val="27"/>
          <w:rtl/>
          <w:lang w:bidi="fa-IR"/>
        </w:rPr>
        <w:lastRenderedPageBreak/>
        <w:t>زيادة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ذلك لو سلّ</w:t>
      </w:r>
      <w:r w:rsidR="0040200C" w:rsidRPr="00904FCB">
        <w:rPr>
          <w:rFonts w:ascii="Times New Roman" w:hAnsi="Times New Roman" w:hint="cs"/>
          <w:sz w:val="27"/>
          <w:rtl/>
          <w:lang w:bidi="fa-IR"/>
        </w:rPr>
        <w:t>َ</w:t>
      </w:r>
      <w:r w:rsidRPr="00904FCB">
        <w:rPr>
          <w:rFonts w:ascii="Times New Roman" w:hAnsi="Times New Roman" w:hint="cs"/>
          <w:sz w:val="27"/>
          <w:rtl/>
          <w:lang w:bidi="fa-IR"/>
        </w:rPr>
        <w:t>منا أنّ النّصوص المطلقة محمولة</w:t>
      </w:r>
      <w:r w:rsidR="0040200C" w:rsidRPr="00904FCB">
        <w:rPr>
          <w:rFonts w:ascii="Times New Roman" w:hAnsi="Times New Roman" w:hint="cs"/>
          <w:sz w:val="27"/>
          <w:rtl/>
          <w:lang w:bidi="fa-IR"/>
        </w:rPr>
        <w:t>ٌ</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المعصوم يمكننا أن نُجري حكم البغاة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م</w:t>
      </w:r>
      <w:r w:rsidR="0040200C" w:rsidRPr="00904FCB">
        <w:rPr>
          <w:rFonts w:ascii="Times New Roman" w:hAnsi="Times New Roman" w:hint="cs"/>
          <w:sz w:val="27"/>
          <w:rtl/>
          <w:lang w:bidi="fa-IR"/>
        </w:rPr>
        <w:t>َ</w:t>
      </w:r>
      <w:r w:rsidRPr="00904FCB">
        <w:rPr>
          <w:rFonts w:ascii="Times New Roman" w:hAnsi="Times New Roman" w:hint="cs"/>
          <w:sz w:val="27"/>
          <w:rtl/>
          <w:lang w:bidi="fa-IR"/>
        </w:rPr>
        <w:t>ن</w:t>
      </w:r>
      <w:r w:rsidR="0040200C" w:rsidRPr="00904FCB">
        <w:rPr>
          <w:rFonts w:ascii="Times New Roman" w:hAnsi="Times New Roman" w:hint="cs"/>
          <w:sz w:val="27"/>
          <w:rtl/>
          <w:lang w:bidi="fa-IR"/>
        </w:rPr>
        <w:t>ْ</w:t>
      </w:r>
      <w:r w:rsidRPr="00904FCB">
        <w:rPr>
          <w:rFonts w:ascii="Times New Roman" w:hAnsi="Times New Roman" w:hint="cs"/>
          <w:sz w:val="27"/>
          <w:rtl/>
          <w:lang w:bidi="fa-IR"/>
        </w:rPr>
        <w:t xml:space="preserve"> خرج</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نائب إمام الزمان</w:t>
      </w:r>
      <w:r w:rsidR="0040200C" w:rsidRPr="00904FCB">
        <w:rPr>
          <w:rFonts w:ascii="Times New Roman" w:hAnsi="Times New Roman" w:hint="cs"/>
          <w:sz w:val="27"/>
          <w:rtl/>
          <w:lang w:bidi="fa-IR"/>
        </w:rPr>
        <w:t>؛</w:t>
      </w:r>
      <w:r w:rsidRPr="00904FCB">
        <w:rPr>
          <w:rFonts w:ascii="Times New Roman" w:hAnsi="Times New Roman" w:hint="cs"/>
          <w:sz w:val="27"/>
          <w:rtl/>
          <w:lang w:bidi="fa-IR"/>
        </w:rPr>
        <w:t xml:space="preserve"> لأنّ الفقيه أو</w:t>
      </w:r>
      <w:r w:rsidR="0040200C" w:rsidRPr="00904FCB">
        <w:rPr>
          <w:rFonts w:ascii="Times New Roman" w:hAnsi="Times New Roman" w:hint="cs"/>
          <w:sz w:val="27"/>
          <w:rtl/>
          <w:lang w:bidi="fa-IR"/>
        </w:rPr>
        <w:t xml:space="preserve"> </w:t>
      </w:r>
      <w:r w:rsidRPr="00904FCB">
        <w:rPr>
          <w:rFonts w:ascii="Times New Roman" w:hAnsi="Times New Roman" w:hint="cs"/>
          <w:sz w:val="27"/>
          <w:rtl/>
          <w:lang w:bidi="fa-IR"/>
        </w:rPr>
        <w:t>نائب إمام الزمان لو لم يقدر</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 xml:space="preserve">معاقبة البغاة في عصر الغيبة </w:t>
      </w:r>
      <w:r w:rsidR="0040200C" w:rsidRPr="00904FCB">
        <w:rPr>
          <w:rFonts w:ascii="Times New Roman" w:hAnsi="Times New Roman" w:hint="cs"/>
          <w:sz w:val="27"/>
          <w:rtl/>
          <w:lang w:bidi="fa-IR"/>
        </w:rPr>
        <w:t>ف</w:t>
      </w:r>
      <w:r w:rsidRPr="00904FCB">
        <w:rPr>
          <w:rFonts w:ascii="Times New Roman" w:hAnsi="Times New Roman" w:hint="cs"/>
          <w:sz w:val="27"/>
          <w:rtl/>
          <w:lang w:bidi="fa-IR"/>
        </w:rPr>
        <w:t>إنّهم سوف يقو</w:t>
      </w:r>
      <w:r w:rsidR="0040200C" w:rsidRPr="00904FCB">
        <w:rPr>
          <w:rFonts w:ascii="Times New Roman" w:hAnsi="Times New Roman" w:hint="cs"/>
          <w:sz w:val="27"/>
          <w:rtl/>
          <w:lang w:bidi="fa-IR"/>
        </w:rPr>
        <w:t>ِّضُ</w:t>
      </w:r>
      <w:r w:rsidRPr="00904FCB">
        <w:rPr>
          <w:rFonts w:ascii="Times New Roman" w:hAnsi="Times New Roman" w:hint="cs"/>
          <w:sz w:val="27"/>
          <w:rtl/>
          <w:lang w:bidi="fa-IR"/>
        </w:rPr>
        <w:t>ون أركان الدولة الإسلامية، و</w:t>
      </w:r>
      <w:r w:rsidR="0040200C" w:rsidRPr="00904FCB">
        <w:rPr>
          <w:rFonts w:ascii="Times New Roman" w:hAnsi="Times New Roman" w:hint="cs"/>
          <w:sz w:val="27"/>
          <w:rtl/>
          <w:lang w:bidi="fa-IR"/>
        </w:rPr>
        <w:t>يُوج</w:t>
      </w:r>
      <w:r w:rsidRPr="00904FCB">
        <w:rPr>
          <w:rFonts w:ascii="Times New Roman" w:hAnsi="Times New Roman" w:hint="cs"/>
          <w:sz w:val="27"/>
          <w:rtl/>
          <w:lang w:bidi="fa-IR"/>
        </w:rPr>
        <w:t>دون الفوض</w:t>
      </w:r>
      <w:r w:rsidR="0040200C" w:rsidRPr="00904FCB">
        <w:rPr>
          <w:rFonts w:ascii="Times New Roman" w:hAnsi="Times New Roman" w:hint="cs"/>
          <w:sz w:val="27"/>
          <w:rtl/>
          <w:lang w:bidi="fa-IR"/>
        </w:rPr>
        <w:t>ى</w:t>
      </w:r>
      <w:r w:rsidRPr="00904FCB">
        <w:rPr>
          <w:rFonts w:ascii="Times New Roman" w:hAnsi="Times New Roman" w:hint="cs"/>
          <w:sz w:val="27"/>
          <w:rtl/>
          <w:lang w:bidi="fa-IR"/>
        </w:rPr>
        <w:t xml:space="preserve"> في المجتمع الإسلامي</w:t>
      </w:r>
      <w:r w:rsidRPr="00904FCB">
        <w:rPr>
          <w:rFonts w:hint="cs"/>
          <w:sz w:val="27"/>
          <w:vertAlign w:val="superscript"/>
          <w:rtl/>
        </w:rPr>
        <w:t>(</w:t>
      </w:r>
      <w:r w:rsidRPr="00904FCB">
        <w:rPr>
          <w:rStyle w:val="ac"/>
          <w:sz w:val="27"/>
          <w:rtl/>
        </w:rPr>
        <w:endnoteReference w:id="629"/>
      </w:r>
      <w:r w:rsidRPr="00904FCB">
        <w:rPr>
          <w:rFonts w:hint="cs"/>
          <w:sz w:val="27"/>
          <w:vertAlign w:val="superscript"/>
          <w:rtl/>
        </w:rPr>
        <w:t>)</w:t>
      </w:r>
      <w:r w:rsidRPr="00904FCB">
        <w:rPr>
          <w:rFonts w:ascii="Times New Roman" w:hAnsi="Times New Roman" w:hint="cs"/>
          <w:sz w:val="27"/>
          <w:rtl/>
          <w:lang w:bidi="fa-IR"/>
        </w:rPr>
        <w:t>.</w:t>
      </w:r>
      <w:r w:rsidRPr="00904FCB">
        <w:rPr>
          <w:rFonts w:ascii="Times New Roman" w:hAnsi="Times New Roman" w:hint="cs"/>
          <w:sz w:val="27"/>
          <w:vertAlign w:val="superscript"/>
          <w:rtl/>
          <w:lang w:bidi="fa-IR"/>
        </w:rPr>
        <w:t xml:space="preserve"> </w:t>
      </w:r>
    </w:p>
    <w:p w:rsidR="00336F3B" w:rsidRPr="00904FCB" w:rsidRDefault="00336F3B" w:rsidP="007A21AA">
      <w:pPr>
        <w:spacing w:line="400" w:lineRule="exact"/>
        <w:rPr>
          <w:rFonts w:ascii="Times New Roman" w:hAnsi="Times New Roman"/>
          <w:sz w:val="27"/>
          <w:vertAlign w:val="superscript"/>
          <w:rtl/>
          <w:lang w:bidi="fa-IR"/>
        </w:rPr>
      </w:pPr>
    </w:p>
    <w:p w:rsidR="00336F3B" w:rsidRPr="00904FCB" w:rsidRDefault="00336F3B" w:rsidP="0067791C">
      <w:pPr>
        <w:pStyle w:val="31"/>
        <w:spacing w:line="400" w:lineRule="exact"/>
        <w:rPr>
          <w:color w:val="auto"/>
          <w:rtl/>
          <w:lang w:bidi="fa-IR"/>
        </w:rPr>
      </w:pPr>
      <w:r w:rsidRPr="001022E4">
        <w:rPr>
          <w:rFonts w:hint="cs"/>
          <w:color w:val="auto"/>
          <w:rtl/>
          <w:lang w:bidi="ar-LB"/>
        </w:rPr>
        <w:t>8ـ</w:t>
      </w:r>
      <w:r w:rsidRPr="001022E4">
        <w:rPr>
          <w:rFonts w:hint="cs"/>
          <w:color w:val="auto"/>
          <w:rtl/>
          <w:lang w:bidi="fa-IR"/>
        </w:rPr>
        <w:t xml:space="preserve"> الأحكام</w:t>
      </w:r>
      <w:r w:rsidRPr="00904FCB">
        <w:rPr>
          <w:rFonts w:hint="cs"/>
          <w:color w:val="auto"/>
          <w:rtl/>
          <w:lang w:bidi="fa-IR"/>
        </w:rPr>
        <w:t xml:space="preserve"> المترت</w:t>
      </w:r>
      <w:r w:rsidR="0040200C" w:rsidRPr="00904FCB">
        <w:rPr>
          <w:rFonts w:hint="cs"/>
          <w:color w:val="auto"/>
          <w:rtl/>
          <w:lang w:bidi="fa-IR"/>
        </w:rPr>
        <w:t>ّ</w:t>
      </w:r>
      <w:r w:rsidRPr="00904FCB">
        <w:rPr>
          <w:rFonts w:hint="cs"/>
          <w:color w:val="auto"/>
          <w:rtl/>
          <w:lang w:bidi="fa-IR"/>
        </w:rPr>
        <w:t>بة</w:t>
      </w:r>
      <w:r w:rsidR="00340818" w:rsidRPr="00904FCB">
        <w:rPr>
          <w:rFonts w:hint="cs"/>
          <w:color w:val="auto"/>
          <w:rtl/>
          <w:lang w:bidi="fa-IR"/>
        </w:rPr>
        <w:t xml:space="preserve"> على </w:t>
      </w:r>
      <w:r w:rsidRPr="00904FCB">
        <w:rPr>
          <w:rFonts w:hint="cs"/>
          <w:color w:val="auto"/>
          <w:rtl/>
          <w:lang w:bidi="fa-IR"/>
        </w:rPr>
        <w:t xml:space="preserve">قبول توبة وكفالة البغاة في الأدوار المختلفة من القتال </w:t>
      </w:r>
    </w:p>
    <w:p w:rsidR="00336F3B" w:rsidRPr="00904FCB" w:rsidRDefault="00336F3B" w:rsidP="007A21AA">
      <w:pPr>
        <w:pStyle w:val="31"/>
        <w:spacing w:line="400" w:lineRule="exact"/>
        <w:rPr>
          <w:color w:val="auto"/>
          <w:rtl/>
          <w:lang w:bidi="fa-IR"/>
        </w:rPr>
      </w:pPr>
      <w:r w:rsidRPr="00904FCB">
        <w:rPr>
          <w:rFonts w:hint="cs"/>
          <w:color w:val="auto"/>
          <w:rtl/>
          <w:lang w:bidi="fa-IR"/>
        </w:rPr>
        <w:t>أـ قبل إعلان</w:t>
      </w:r>
      <w:r w:rsidR="0040200C" w:rsidRPr="00904FCB">
        <w:rPr>
          <w:rFonts w:hint="cs"/>
          <w:color w:val="auto"/>
          <w:rtl/>
          <w:lang w:bidi="fa-IR"/>
        </w:rPr>
        <w:t>ه</w:t>
      </w:r>
      <w:r w:rsidRPr="00904FCB">
        <w:rPr>
          <w:rFonts w:hint="cs"/>
          <w:color w:val="auto"/>
          <w:rtl/>
          <w:lang w:bidi="fa-IR"/>
        </w:rPr>
        <w:t xml:space="preserve"> وشروعه</w:t>
      </w:r>
    </w:p>
    <w:p w:rsidR="00336F3B" w:rsidRPr="00904FCB" w:rsidRDefault="0040200C" w:rsidP="007A21AA">
      <w:pPr>
        <w:spacing w:line="400" w:lineRule="exact"/>
        <w:rPr>
          <w:rFonts w:ascii="Times New Roman" w:hAnsi="Times New Roman"/>
          <w:sz w:val="27"/>
          <w:rtl/>
          <w:lang w:bidi="fa-IR"/>
        </w:rPr>
      </w:pPr>
      <w:r w:rsidRPr="00904FCB">
        <w:rPr>
          <w:rFonts w:ascii="Times New Roman" w:hAnsi="Times New Roman" w:hint="cs"/>
          <w:sz w:val="27"/>
          <w:rtl/>
          <w:lang w:bidi="fa-IR"/>
        </w:rPr>
        <w:t>إنّ معظم الجرائم السياسية تنت</w:t>
      </w:r>
      <w:r w:rsidR="00336F3B" w:rsidRPr="00904FCB">
        <w:rPr>
          <w:rFonts w:ascii="Times New Roman" w:hAnsi="Times New Roman" w:hint="cs"/>
          <w:sz w:val="27"/>
          <w:rtl/>
          <w:lang w:bidi="fa-IR"/>
        </w:rPr>
        <w:t>ج من استفزاز وتحريض ه</w:t>
      </w:r>
      <w:r w:rsidRPr="00904FCB">
        <w:rPr>
          <w:rFonts w:ascii="Times New Roman" w:hAnsi="Times New Roman" w:hint="cs"/>
          <w:sz w:val="27"/>
          <w:rtl/>
          <w:lang w:bidi="fa-IR"/>
        </w:rPr>
        <w:t>ؤ</w:t>
      </w:r>
      <w:r w:rsidR="00336F3B" w:rsidRPr="00904FCB">
        <w:rPr>
          <w:rFonts w:ascii="Times New Roman" w:hAnsi="Times New Roman" w:hint="cs"/>
          <w:sz w:val="27"/>
          <w:rtl/>
          <w:lang w:bidi="fa-IR"/>
        </w:rPr>
        <w:t>لاء الذين يحاولون إيجاد الفوض</w:t>
      </w:r>
      <w:r w:rsidRPr="00904FCB">
        <w:rPr>
          <w:rFonts w:ascii="Times New Roman" w:hAnsi="Times New Roman" w:hint="cs"/>
          <w:sz w:val="27"/>
          <w:rtl/>
          <w:lang w:bidi="fa-IR"/>
        </w:rPr>
        <w:t>ى</w:t>
      </w:r>
      <w:r w:rsidR="00336F3B" w:rsidRPr="00904FCB">
        <w:rPr>
          <w:rFonts w:ascii="Times New Roman" w:hAnsi="Times New Roman" w:hint="cs"/>
          <w:sz w:val="27"/>
          <w:rtl/>
          <w:lang w:bidi="fa-IR"/>
        </w:rPr>
        <w:t xml:space="preserve"> والشغب في المجتمع</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لأنهم يلقون أفكارهم وني</w:t>
      </w:r>
      <w:r w:rsidRPr="00904FCB">
        <w:rPr>
          <w:rFonts w:ascii="Times New Roman" w:hAnsi="Times New Roman" w:hint="cs"/>
          <w:sz w:val="27"/>
          <w:rtl/>
          <w:lang w:bidi="fa-IR"/>
        </w:rPr>
        <w:t>ّ</w:t>
      </w:r>
      <w:r w:rsidR="00336F3B" w:rsidRPr="00904FCB">
        <w:rPr>
          <w:rFonts w:ascii="Times New Roman" w:hAnsi="Times New Roman" w:hint="cs"/>
          <w:sz w:val="27"/>
          <w:rtl/>
          <w:lang w:bidi="fa-IR"/>
        </w:rPr>
        <w:t>اتهم الفاسدة</w:t>
      </w:r>
      <w:r w:rsidR="00340818" w:rsidRPr="00904FCB">
        <w:rPr>
          <w:rFonts w:ascii="Times New Roman" w:hAnsi="Times New Roman" w:hint="cs"/>
          <w:sz w:val="27"/>
          <w:rtl/>
          <w:lang w:bidi="fa-IR"/>
        </w:rPr>
        <w:t xml:space="preserve"> إلى </w:t>
      </w:r>
      <w:r w:rsidR="00336F3B" w:rsidRPr="00904FCB">
        <w:rPr>
          <w:rFonts w:ascii="Times New Roman" w:hAnsi="Times New Roman" w:hint="cs"/>
          <w:sz w:val="27"/>
          <w:rtl/>
          <w:lang w:bidi="fa-IR"/>
        </w:rPr>
        <w:t>الآخرين</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ويستغلّون جهلهم ليساندوهم في إيجاد الفوض</w:t>
      </w:r>
      <w:r w:rsidRPr="00904FCB">
        <w:rPr>
          <w:rFonts w:ascii="Times New Roman" w:hAnsi="Times New Roman" w:hint="cs"/>
          <w:sz w:val="27"/>
          <w:rtl/>
          <w:lang w:bidi="fa-IR"/>
        </w:rPr>
        <w:t>ى.</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فهذه المرحلة</w:t>
      </w:r>
      <w:r w:rsidR="0040200C" w:rsidRPr="00904FCB">
        <w:rPr>
          <w:rFonts w:ascii="Times New Roman" w:hAnsi="Times New Roman" w:hint="cs"/>
          <w:sz w:val="27"/>
          <w:rtl/>
          <w:lang w:bidi="fa-IR"/>
        </w:rPr>
        <w:t xml:space="preserve"> </w:t>
      </w:r>
      <w:r w:rsidRPr="00904FCB">
        <w:rPr>
          <w:rFonts w:ascii="Times New Roman" w:hAnsi="Times New Roman" w:hint="cs"/>
          <w:sz w:val="27"/>
          <w:rtl/>
          <w:lang w:bidi="fa-IR"/>
        </w:rPr>
        <w:t>(قبل قيام البغاة) ذات خطورة عظيمة في منع ارتكاب الجرائم</w:t>
      </w:r>
      <w:r w:rsidR="0040200C" w:rsidRPr="00904FCB">
        <w:rPr>
          <w:rFonts w:ascii="Times New Roman" w:hAnsi="Times New Roman" w:hint="cs"/>
          <w:sz w:val="27"/>
          <w:rtl/>
          <w:lang w:bidi="fa-IR"/>
        </w:rPr>
        <w:t>،</w:t>
      </w:r>
      <w:r w:rsidRPr="00904FCB">
        <w:rPr>
          <w:rFonts w:ascii="Times New Roman" w:hAnsi="Times New Roman" w:hint="cs"/>
          <w:sz w:val="27"/>
          <w:rtl/>
          <w:lang w:bidi="fa-IR"/>
        </w:rPr>
        <w:t xml:space="preserve"> والدعوة</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التوبة والرجوع</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الله والقانون، فليتَّخَذ لذلك تدابير جي</w:t>
      </w:r>
      <w:r w:rsidR="0040200C" w:rsidRPr="00904FCB">
        <w:rPr>
          <w:rFonts w:ascii="Times New Roman" w:hAnsi="Times New Roman" w:hint="cs"/>
          <w:sz w:val="27"/>
          <w:rtl/>
          <w:lang w:bidi="fa-IR"/>
        </w:rPr>
        <w:t>ِّ</w:t>
      </w:r>
      <w:r w:rsidRPr="00904FCB">
        <w:rPr>
          <w:rFonts w:ascii="Times New Roman" w:hAnsi="Times New Roman" w:hint="cs"/>
          <w:sz w:val="27"/>
          <w:rtl/>
          <w:lang w:bidi="fa-IR"/>
        </w:rPr>
        <w:t>دة. وهذا بحاجة ماسّة</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دقّة</w:t>
      </w:r>
      <w:r w:rsidR="0040200C" w:rsidRPr="00904FCB">
        <w:rPr>
          <w:rFonts w:ascii="Times New Roman" w:hAnsi="Times New Roman" w:hint="cs"/>
          <w:sz w:val="27"/>
          <w:rtl/>
          <w:lang w:bidi="fa-IR"/>
        </w:rPr>
        <w:t>ٍ</w:t>
      </w:r>
      <w:r w:rsidRPr="00904FCB">
        <w:rPr>
          <w:rFonts w:ascii="Times New Roman" w:hAnsi="Times New Roman" w:hint="cs"/>
          <w:sz w:val="27"/>
          <w:rtl/>
          <w:lang w:bidi="fa-IR"/>
        </w:rPr>
        <w:t xml:space="preserve"> فائقة</w:t>
      </w:r>
      <w:r w:rsidR="0040200C" w:rsidRPr="00904FCB">
        <w:rPr>
          <w:rFonts w:ascii="Times New Roman" w:hAnsi="Times New Roman" w:hint="cs"/>
          <w:sz w:val="27"/>
          <w:rtl/>
          <w:lang w:bidi="fa-IR"/>
        </w:rPr>
        <w:t>،</w:t>
      </w:r>
      <w:r w:rsidRPr="00904FCB">
        <w:rPr>
          <w:rFonts w:ascii="Times New Roman" w:hAnsi="Times New Roman" w:hint="cs"/>
          <w:sz w:val="27"/>
          <w:rtl/>
          <w:lang w:bidi="fa-IR"/>
        </w:rPr>
        <w:t xml:space="preserve"> واستعمال حلول ثقافية وسياسية، ويجب</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الدولة الإسلامية أن تُحادثهم وتناقشهم</w:t>
      </w:r>
      <w:r w:rsidR="0040200C" w:rsidRPr="00904FCB">
        <w:rPr>
          <w:rFonts w:ascii="Times New Roman" w:hAnsi="Times New Roman" w:hint="cs"/>
          <w:sz w:val="27"/>
          <w:rtl/>
          <w:lang w:bidi="fa-IR"/>
        </w:rPr>
        <w:t>،</w:t>
      </w:r>
      <w:r w:rsidRPr="00904FCB">
        <w:rPr>
          <w:rFonts w:ascii="Times New Roman" w:hAnsi="Times New Roman" w:hint="cs"/>
          <w:sz w:val="27"/>
          <w:rtl/>
          <w:lang w:bidi="fa-IR"/>
        </w:rPr>
        <w:t xml:space="preserve"> وتحاول حلّ مشاكلهم الاعتقادية والفقهية والاجتماعية، وتطلب منهم طاعة الإمام</w:t>
      </w:r>
      <w:r w:rsidR="0040200C" w:rsidRPr="00904FCB">
        <w:rPr>
          <w:rFonts w:ascii="Times New Roman" w:hAnsi="Times New Roman" w:hint="cs"/>
          <w:sz w:val="27"/>
          <w:rtl/>
          <w:lang w:bidi="fa-IR"/>
        </w:rPr>
        <w:t>،</w:t>
      </w:r>
      <w:r w:rsidRPr="00904FCB">
        <w:rPr>
          <w:rFonts w:ascii="Times New Roman" w:hAnsi="Times New Roman" w:hint="cs"/>
          <w:sz w:val="27"/>
          <w:rtl/>
          <w:lang w:bidi="fa-IR"/>
        </w:rPr>
        <w:t xml:space="preserve"> ومراعاة الوحدة الإسلامية والعدالة. </w:t>
      </w:r>
    </w:p>
    <w:p w:rsidR="00336F3B" w:rsidRPr="00904FCB" w:rsidRDefault="00336F3B" w:rsidP="007A21AA">
      <w:pPr>
        <w:spacing w:line="400" w:lineRule="exact"/>
        <w:rPr>
          <w:rFonts w:ascii="Times New Roman" w:hAnsi="Times New Roman"/>
          <w:sz w:val="27"/>
          <w:rtl/>
          <w:lang w:bidi="fa-IR"/>
        </w:rPr>
      </w:pPr>
    </w:p>
    <w:p w:rsidR="00336F3B" w:rsidRPr="00904FCB" w:rsidRDefault="00336F3B" w:rsidP="007A21AA">
      <w:pPr>
        <w:pStyle w:val="31"/>
        <w:spacing w:line="400" w:lineRule="exact"/>
        <w:rPr>
          <w:color w:val="auto"/>
          <w:rtl/>
          <w:lang w:bidi="fa-IR"/>
        </w:rPr>
      </w:pPr>
      <w:r w:rsidRPr="00904FCB">
        <w:rPr>
          <w:rFonts w:hint="cs"/>
          <w:color w:val="auto"/>
          <w:rtl/>
          <w:lang w:bidi="fa-IR"/>
        </w:rPr>
        <w:t>ب ـ في أثناء القتال</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في هذا المرحلة إذا كانت للبغاة م</w:t>
      </w:r>
      <w:r w:rsidR="00EB37DA" w:rsidRPr="00904FCB">
        <w:rPr>
          <w:rFonts w:ascii="Times New Roman" w:hAnsi="Times New Roman" w:hint="cs"/>
          <w:sz w:val="27"/>
          <w:rtl/>
          <w:lang w:bidi="fa-IR"/>
        </w:rPr>
        <w:t>ِ</w:t>
      </w:r>
      <w:r w:rsidRPr="00904FCB">
        <w:rPr>
          <w:rFonts w:ascii="Times New Roman" w:hAnsi="Times New Roman" w:hint="cs"/>
          <w:sz w:val="27"/>
          <w:rtl/>
          <w:lang w:bidi="fa-IR"/>
        </w:rPr>
        <w:t>ن</w:t>
      </w:r>
      <w:r w:rsidR="00EB37DA" w:rsidRPr="00904FCB">
        <w:rPr>
          <w:rFonts w:ascii="Times New Roman" w:hAnsi="Times New Roman" w:hint="cs"/>
          <w:sz w:val="27"/>
          <w:rtl/>
          <w:lang w:bidi="fa-IR"/>
        </w:rPr>
        <w:t>ْ</w:t>
      </w:r>
      <w:r w:rsidRPr="00904FCB">
        <w:rPr>
          <w:rFonts w:ascii="Times New Roman" w:hAnsi="Times New Roman" w:hint="cs"/>
          <w:sz w:val="27"/>
          <w:rtl/>
          <w:lang w:bidi="fa-IR"/>
        </w:rPr>
        <w:t>عة وفئة ناصرة يلج</w:t>
      </w:r>
      <w:r w:rsidR="00EB37DA" w:rsidRPr="00904FCB">
        <w:rPr>
          <w:rFonts w:ascii="Times New Roman" w:hAnsi="Times New Roman" w:hint="cs"/>
          <w:sz w:val="27"/>
          <w:rtl/>
          <w:lang w:bidi="fa-IR"/>
        </w:rPr>
        <w:t>ؤ</w:t>
      </w:r>
      <w:r w:rsidRPr="00904FCB">
        <w:rPr>
          <w:rFonts w:ascii="Times New Roman" w:hAnsi="Times New Roman" w:hint="cs"/>
          <w:sz w:val="27"/>
          <w:rtl/>
          <w:lang w:bidi="fa-IR"/>
        </w:rPr>
        <w:t>ون إليها يجوز قتلهم ومطاردة الهاربين والأُسار</w:t>
      </w:r>
      <w:r w:rsidR="00EB37DA" w:rsidRPr="00904FCB">
        <w:rPr>
          <w:rFonts w:ascii="Times New Roman" w:hAnsi="Times New Roman" w:hint="cs"/>
          <w:sz w:val="27"/>
          <w:rtl/>
          <w:lang w:bidi="fa-IR"/>
        </w:rPr>
        <w:t>ى</w:t>
      </w:r>
      <w:r w:rsidRPr="00904FCB">
        <w:rPr>
          <w:rFonts w:ascii="Times New Roman" w:hAnsi="Times New Roman" w:hint="cs"/>
          <w:sz w:val="27"/>
          <w:rtl/>
          <w:lang w:bidi="fa-IR"/>
        </w:rPr>
        <w:t xml:space="preserve"> وقتل الجرح</w:t>
      </w:r>
      <w:r w:rsidR="00EB37DA" w:rsidRPr="00904FCB">
        <w:rPr>
          <w:rFonts w:ascii="Times New Roman" w:hAnsi="Times New Roman" w:hint="cs"/>
          <w:sz w:val="27"/>
          <w:rtl/>
          <w:lang w:bidi="fa-IR"/>
        </w:rPr>
        <w:t>ى</w:t>
      </w:r>
      <w:r w:rsidRPr="00904FCB">
        <w:rPr>
          <w:rFonts w:ascii="Times New Roman" w:hAnsi="Times New Roman" w:hint="cs"/>
          <w:sz w:val="27"/>
          <w:rtl/>
          <w:lang w:bidi="fa-IR"/>
        </w:rPr>
        <w:t>، وإذا لم تكن لهم م</w:t>
      </w:r>
      <w:r w:rsidR="00EB37DA" w:rsidRPr="00904FCB">
        <w:rPr>
          <w:rFonts w:ascii="Times New Roman" w:hAnsi="Times New Roman" w:hint="cs"/>
          <w:sz w:val="27"/>
          <w:rtl/>
          <w:lang w:bidi="fa-IR"/>
        </w:rPr>
        <w:t>ِ</w:t>
      </w:r>
      <w:r w:rsidRPr="00904FCB">
        <w:rPr>
          <w:rFonts w:ascii="Times New Roman" w:hAnsi="Times New Roman" w:hint="cs"/>
          <w:sz w:val="27"/>
          <w:rtl/>
          <w:lang w:bidi="fa-IR"/>
        </w:rPr>
        <w:t>ن</w:t>
      </w:r>
      <w:r w:rsidR="00EB37DA" w:rsidRPr="00904FCB">
        <w:rPr>
          <w:rFonts w:ascii="Times New Roman" w:hAnsi="Times New Roman" w:hint="cs"/>
          <w:sz w:val="27"/>
          <w:rtl/>
          <w:lang w:bidi="fa-IR"/>
        </w:rPr>
        <w:t>ْ</w:t>
      </w:r>
      <w:r w:rsidRPr="00904FCB">
        <w:rPr>
          <w:rFonts w:ascii="Times New Roman" w:hAnsi="Times New Roman" w:hint="cs"/>
          <w:sz w:val="27"/>
          <w:rtl/>
          <w:lang w:bidi="fa-IR"/>
        </w:rPr>
        <w:t>عة</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وفئة ناصرة لم يج</w:t>
      </w:r>
      <w:r w:rsidR="00EB37DA" w:rsidRPr="00904FCB">
        <w:rPr>
          <w:rFonts w:ascii="Times New Roman" w:hAnsi="Times New Roman" w:hint="cs"/>
          <w:sz w:val="27"/>
          <w:rtl/>
          <w:lang w:bidi="fa-IR"/>
        </w:rPr>
        <w:t>ُ</w:t>
      </w:r>
      <w:r w:rsidRPr="00904FCB">
        <w:rPr>
          <w:rFonts w:ascii="Times New Roman" w:hAnsi="Times New Roman" w:hint="cs"/>
          <w:sz w:val="27"/>
          <w:rtl/>
          <w:lang w:bidi="fa-IR"/>
        </w:rPr>
        <w:t>ز</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ذلك</w:t>
      </w:r>
      <w:r w:rsidR="00EB37DA" w:rsidRPr="00904FCB">
        <w:rPr>
          <w:rFonts w:ascii="Times New Roman" w:hAnsi="Times New Roman" w:hint="cs"/>
          <w:sz w:val="27"/>
          <w:rtl/>
          <w:lang w:bidi="fa-IR"/>
        </w:rPr>
        <w:t>.</w:t>
      </w:r>
    </w:p>
    <w:p w:rsidR="00336F3B" w:rsidRPr="00904FCB" w:rsidRDefault="00336F3B" w:rsidP="007A21AA">
      <w:pPr>
        <w:spacing w:line="400" w:lineRule="exact"/>
        <w:rPr>
          <w:rFonts w:ascii="Times New Roman" w:hAnsi="Times New Roman"/>
          <w:sz w:val="27"/>
          <w:rtl/>
          <w:lang w:bidi="fa-IR"/>
        </w:rPr>
      </w:pPr>
    </w:p>
    <w:p w:rsidR="00336F3B" w:rsidRPr="00904FCB" w:rsidRDefault="00336F3B" w:rsidP="007A21AA">
      <w:pPr>
        <w:pStyle w:val="31"/>
        <w:spacing w:line="400" w:lineRule="exact"/>
        <w:rPr>
          <w:color w:val="auto"/>
          <w:rtl/>
          <w:lang w:bidi="fa-IR"/>
        </w:rPr>
      </w:pPr>
      <w:r w:rsidRPr="00904FCB">
        <w:rPr>
          <w:rFonts w:hint="cs"/>
          <w:color w:val="auto"/>
          <w:rtl/>
          <w:lang w:bidi="fa-IR"/>
        </w:rPr>
        <w:t>ج ـ توبة الأسار</w:t>
      </w:r>
      <w:r w:rsidR="00EB37DA" w:rsidRPr="00904FCB">
        <w:rPr>
          <w:rFonts w:hint="cs"/>
          <w:color w:val="auto"/>
          <w:rtl/>
          <w:lang w:bidi="fa-IR"/>
        </w:rPr>
        <w:t>ى</w:t>
      </w:r>
      <w:r w:rsidRPr="00904FCB">
        <w:rPr>
          <w:rFonts w:hint="cs"/>
          <w:color w:val="auto"/>
          <w:rtl/>
          <w:lang w:bidi="fa-IR"/>
        </w:rPr>
        <w:t xml:space="preserve"> بعد نهاية القتال</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قد اختلف عام</w:t>
      </w:r>
      <w:r w:rsidR="00EB37DA" w:rsidRPr="00904FCB">
        <w:rPr>
          <w:rFonts w:ascii="Times New Roman" w:hAnsi="Times New Roman" w:hint="cs"/>
          <w:sz w:val="27"/>
          <w:rtl/>
          <w:lang w:bidi="fa-IR"/>
        </w:rPr>
        <w:t>ّ</w:t>
      </w:r>
      <w:r w:rsidRPr="00904FCB">
        <w:rPr>
          <w:rFonts w:ascii="Times New Roman" w:hAnsi="Times New Roman" w:hint="cs"/>
          <w:sz w:val="27"/>
          <w:rtl/>
          <w:lang w:bidi="fa-IR"/>
        </w:rPr>
        <w:t>ة الفقهاء مع فقهاء الشيعة في أُسار</w:t>
      </w:r>
      <w:r w:rsidR="00EB37DA" w:rsidRPr="00904FCB">
        <w:rPr>
          <w:rFonts w:ascii="Times New Roman" w:hAnsi="Times New Roman" w:hint="cs"/>
          <w:sz w:val="27"/>
          <w:rtl/>
          <w:lang w:bidi="fa-IR"/>
        </w:rPr>
        <w:t>ى</w:t>
      </w:r>
      <w:r w:rsidRPr="00904FCB">
        <w:rPr>
          <w:rFonts w:ascii="Times New Roman" w:hAnsi="Times New Roman" w:hint="cs"/>
          <w:sz w:val="27"/>
          <w:rtl/>
          <w:lang w:bidi="fa-IR"/>
        </w:rPr>
        <w:t xml:space="preserve"> البغاة</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فقال فقهاء الشيعة: إن</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كان ذلك الأسير مقاتِلا</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(بأن</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كان ذكياً قادراً</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القتال)</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الحاكم أن يسجنه</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ولا</w:t>
      </w:r>
      <w:r w:rsidR="00EB37DA" w:rsidRPr="00904FCB">
        <w:rPr>
          <w:rFonts w:ascii="Times New Roman" w:hAnsi="Times New Roman" w:hint="cs"/>
          <w:sz w:val="27"/>
          <w:rtl/>
          <w:lang w:bidi="fa-IR"/>
        </w:rPr>
        <w:t xml:space="preserve"> </w:t>
      </w:r>
      <w:r w:rsidRPr="00904FCB">
        <w:rPr>
          <w:rFonts w:ascii="Times New Roman" w:hAnsi="Times New Roman" w:hint="cs"/>
          <w:sz w:val="27"/>
          <w:rtl/>
          <w:lang w:bidi="fa-IR"/>
        </w:rPr>
        <w:t>يقتله</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وقال بعضهم: ليقتله الحاكم</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والقول الأول هو قول عام</w:t>
      </w:r>
      <w:r w:rsidR="00EB37DA" w:rsidRPr="00904FCB">
        <w:rPr>
          <w:rFonts w:ascii="Times New Roman" w:hAnsi="Times New Roman" w:hint="cs"/>
          <w:sz w:val="27"/>
          <w:rtl/>
          <w:lang w:bidi="fa-IR"/>
        </w:rPr>
        <w:t>ّ</w:t>
      </w:r>
      <w:r w:rsidRPr="00904FCB">
        <w:rPr>
          <w:rFonts w:ascii="Times New Roman" w:hAnsi="Times New Roman" w:hint="cs"/>
          <w:sz w:val="27"/>
          <w:rtl/>
          <w:lang w:bidi="fa-IR"/>
        </w:rPr>
        <w:t>ة فقهاء الإمامية وأهل السنّة</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فإن</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ثبت أنّ أسير البغاة لا ي</w:t>
      </w:r>
      <w:r w:rsidR="00EB37DA" w:rsidRPr="00904FCB">
        <w:rPr>
          <w:rFonts w:ascii="Times New Roman" w:hAnsi="Times New Roman" w:hint="cs"/>
          <w:sz w:val="27"/>
          <w:rtl/>
          <w:lang w:bidi="fa-IR"/>
        </w:rPr>
        <w:t>ُ</w:t>
      </w:r>
      <w:r w:rsidRPr="00904FCB">
        <w:rPr>
          <w:rFonts w:ascii="Times New Roman" w:hAnsi="Times New Roman" w:hint="cs"/>
          <w:sz w:val="27"/>
          <w:rtl/>
          <w:lang w:bidi="fa-IR"/>
        </w:rPr>
        <w:t>قتَل، في</w:t>
      </w:r>
      <w:r w:rsidR="00EB37DA" w:rsidRPr="00904FCB">
        <w:rPr>
          <w:rFonts w:ascii="Times New Roman" w:hAnsi="Times New Roman" w:hint="cs"/>
          <w:sz w:val="27"/>
          <w:rtl/>
          <w:lang w:bidi="fa-IR"/>
        </w:rPr>
        <w:t>ُ</w:t>
      </w:r>
      <w:r w:rsidRPr="00904FCB">
        <w:rPr>
          <w:rFonts w:ascii="Times New Roman" w:hAnsi="Times New Roman" w:hint="cs"/>
          <w:sz w:val="27"/>
          <w:rtl/>
          <w:lang w:bidi="fa-IR"/>
        </w:rPr>
        <w:t>ع</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رَض عليه السجن والبيعة، </w:t>
      </w:r>
      <w:r w:rsidRPr="00904FCB">
        <w:rPr>
          <w:rFonts w:ascii="Times New Roman" w:hAnsi="Times New Roman" w:hint="cs"/>
          <w:sz w:val="27"/>
          <w:rtl/>
          <w:lang w:bidi="fa-IR"/>
        </w:rPr>
        <w:lastRenderedPageBreak/>
        <w:t>فإن</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بايع في أثناء القتال ي</w:t>
      </w:r>
      <w:r w:rsidR="00C42E5F">
        <w:rPr>
          <w:rFonts w:ascii="Times New Roman" w:hAnsi="Times New Roman" w:hint="cs"/>
          <w:sz w:val="27"/>
          <w:rtl/>
          <w:lang w:bidi="fa-IR"/>
        </w:rPr>
        <w:t>ُ</w:t>
      </w:r>
      <w:r w:rsidRPr="00904FCB">
        <w:rPr>
          <w:rFonts w:ascii="Times New Roman" w:hAnsi="Times New Roman" w:hint="cs"/>
          <w:sz w:val="27"/>
          <w:rtl/>
          <w:lang w:bidi="fa-IR"/>
        </w:rPr>
        <w:t>ق</w:t>
      </w:r>
      <w:r w:rsidR="00C42E5F">
        <w:rPr>
          <w:rFonts w:ascii="Times New Roman" w:hAnsi="Times New Roman" w:hint="cs"/>
          <w:sz w:val="27"/>
          <w:rtl/>
          <w:lang w:bidi="fa-IR"/>
        </w:rPr>
        <w:t>ْ</w:t>
      </w:r>
      <w:r w:rsidRPr="00904FCB">
        <w:rPr>
          <w:rFonts w:ascii="Times New Roman" w:hAnsi="Times New Roman" w:hint="cs"/>
          <w:sz w:val="27"/>
          <w:rtl/>
          <w:lang w:bidi="fa-IR"/>
        </w:rPr>
        <w:t>بَل منه</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ويطلق سراحه، وإن</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أب</w:t>
      </w:r>
      <w:r w:rsidR="00EB37DA" w:rsidRPr="00904FCB">
        <w:rPr>
          <w:rFonts w:ascii="Times New Roman" w:hAnsi="Times New Roman" w:hint="cs"/>
          <w:sz w:val="27"/>
          <w:rtl/>
          <w:lang w:bidi="fa-IR"/>
        </w:rPr>
        <w:t>ى</w:t>
      </w:r>
      <w:r w:rsidRPr="00904FCB">
        <w:rPr>
          <w:rFonts w:ascii="Times New Roman" w:hAnsi="Times New Roman" w:hint="cs"/>
          <w:sz w:val="27"/>
          <w:rtl/>
          <w:lang w:bidi="fa-IR"/>
        </w:rPr>
        <w:t xml:space="preserve"> أن يبايع ي</w:t>
      </w:r>
      <w:r w:rsidR="00EB37DA" w:rsidRPr="00904FCB">
        <w:rPr>
          <w:rFonts w:ascii="Times New Roman" w:hAnsi="Times New Roman" w:hint="cs"/>
          <w:sz w:val="27"/>
          <w:rtl/>
          <w:lang w:bidi="fa-IR"/>
        </w:rPr>
        <w:t>ُ</w:t>
      </w:r>
      <w:r w:rsidRPr="00904FCB">
        <w:rPr>
          <w:rFonts w:ascii="Times New Roman" w:hAnsi="Times New Roman" w:hint="cs"/>
          <w:sz w:val="27"/>
          <w:rtl/>
          <w:lang w:bidi="fa-IR"/>
        </w:rPr>
        <w:t>ترَك في السجن حت</w:t>
      </w:r>
      <w:r w:rsidR="00EB37DA" w:rsidRPr="00904FCB">
        <w:rPr>
          <w:rFonts w:ascii="Times New Roman" w:hAnsi="Times New Roman" w:hint="cs"/>
          <w:sz w:val="27"/>
          <w:rtl/>
          <w:lang w:bidi="fa-IR"/>
        </w:rPr>
        <w:t>ّى</w:t>
      </w:r>
      <w:r w:rsidRPr="00904FCB">
        <w:rPr>
          <w:rFonts w:ascii="Times New Roman" w:hAnsi="Times New Roman" w:hint="cs"/>
          <w:sz w:val="27"/>
          <w:rtl/>
          <w:lang w:bidi="fa-IR"/>
        </w:rPr>
        <w:t xml:space="preserve"> نهاية القتال</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00EB37DA" w:rsidRPr="00904FCB">
        <w:rPr>
          <w:rFonts w:ascii="Times New Roman" w:hAnsi="Times New Roman" w:hint="cs"/>
          <w:sz w:val="27"/>
          <w:rtl/>
          <w:lang w:bidi="fa-IR"/>
        </w:rPr>
        <w:t>وبعد</w:t>
      </w:r>
      <w:r w:rsidRPr="00904FCB">
        <w:rPr>
          <w:rFonts w:ascii="Times New Roman" w:hAnsi="Times New Roman" w:hint="cs"/>
          <w:sz w:val="27"/>
          <w:rtl/>
          <w:lang w:bidi="fa-IR"/>
        </w:rPr>
        <w:t>ما انتهت الحرب إن</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تاب البغاة</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ووضعوا أسلحتهم</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وكفّوا أيديهم عن القتال</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أو ذهبوا</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غير م</w:t>
      </w:r>
      <w:r w:rsidR="00EB37DA" w:rsidRPr="00904FCB">
        <w:rPr>
          <w:rFonts w:ascii="Times New Roman" w:hAnsi="Times New Roman" w:hint="cs"/>
          <w:sz w:val="27"/>
          <w:rtl/>
          <w:lang w:bidi="fa-IR"/>
        </w:rPr>
        <w:t>ِ</w:t>
      </w:r>
      <w:r w:rsidRPr="00904FCB">
        <w:rPr>
          <w:rFonts w:ascii="Times New Roman" w:hAnsi="Times New Roman" w:hint="cs"/>
          <w:sz w:val="27"/>
          <w:rtl/>
          <w:lang w:bidi="fa-IR"/>
        </w:rPr>
        <w:t>ن</w:t>
      </w:r>
      <w:r w:rsidR="00EB37DA" w:rsidRPr="00904FCB">
        <w:rPr>
          <w:rFonts w:ascii="Times New Roman" w:hAnsi="Times New Roman" w:hint="cs"/>
          <w:sz w:val="27"/>
          <w:rtl/>
          <w:lang w:bidi="fa-IR"/>
        </w:rPr>
        <w:t>ْ</w:t>
      </w:r>
      <w:r w:rsidRPr="00904FCB">
        <w:rPr>
          <w:rFonts w:ascii="Times New Roman" w:hAnsi="Times New Roman" w:hint="cs"/>
          <w:sz w:val="27"/>
          <w:rtl/>
          <w:lang w:bidi="fa-IR"/>
        </w:rPr>
        <w:t>عة وفئة ناصرة</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نتركهم</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حالهم، ولكن</w:t>
      </w:r>
      <w:r w:rsidR="00EB37DA" w:rsidRPr="00904FCB">
        <w:rPr>
          <w:rFonts w:ascii="Times New Roman" w:hAnsi="Times New Roman" w:hint="cs"/>
          <w:sz w:val="27"/>
          <w:rtl/>
          <w:lang w:bidi="fa-IR"/>
        </w:rPr>
        <w:t>ْ</w:t>
      </w:r>
      <w:r w:rsidRPr="00904FCB">
        <w:rPr>
          <w:rFonts w:ascii="Times New Roman" w:hAnsi="Times New Roman" w:hint="cs"/>
          <w:sz w:val="27"/>
          <w:rtl/>
          <w:lang w:bidi="fa-IR"/>
        </w:rPr>
        <w:t xml:space="preserve"> إن</w:t>
      </w:r>
      <w:r w:rsidR="002B2618" w:rsidRPr="00904FCB">
        <w:rPr>
          <w:rFonts w:ascii="Times New Roman" w:hAnsi="Times New Roman" w:hint="cs"/>
          <w:sz w:val="27"/>
          <w:rtl/>
          <w:lang w:bidi="fa-IR"/>
        </w:rPr>
        <w:t>ْ</w:t>
      </w:r>
      <w:r w:rsidRPr="00904FCB">
        <w:rPr>
          <w:rFonts w:ascii="Times New Roman" w:hAnsi="Times New Roman" w:hint="cs"/>
          <w:sz w:val="27"/>
          <w:rtl/>
          <w:lang w:bidi="fa-IR"/>
        </w:rPr>
        <w:t xml:space="preserve"> التجأوا</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م</w:t>
      </w:r>
      <w:r w:rsidR="002B2618" w:rsidRPr="00904FCB">
        <w:rPr>
          <w:rFonts w:ascii="Times New Roman" w:hAnsi="Times New Roman" w:hint="cs"/>
          <w:sz w:val="27"/>
          <w:rtl/>
          <w:lang w:bidi="fa-IR"/>
        </w:rPr>
        <w:t>ِ</w:t>
      </w:r>
      <w:r w:rsidRPr="00904FCB">
        <w:rPr>
          <w:rFonts w:ascii="Times New Roman" w:hAnsi="Times New Roman" w:hint="cs"/>
          <w:sz w:val="27"/>
          <w:rtl/>
          <w:lang w:bidi="fa-IR"/>
        </w:rPr>
        <w:t>ن</w:t>
      </w:r>
      <w:r w:rsidR="002B2618" w:rsidRPr="00904FCB">
        <w:rPr>
          <w:rFonts w:ascii="Times New Roman" w:hAnsi="Times New Roman" w:hint="cs"/>
          <w:sz w:val="27"/>
          <w:rtl/>
          <w:lang w:bidi="fa-IR"/>
        </w:rPr>
        <w:t>ْ</w:t>
      </w:r>
      <w:r w:rsidRPr="00904FCB">
        <w:rPr>
          <w:rFonts w:ascii="Times New Roman" w:hAnsi="Times New Roman" w:hint="cs"/>
          <w:sz w:val="27"/>
          <w:rtl/>
          <w:lang w:bidi="fa-IR"/>
        </w:rPr>
        <w:t>عة وفئة قوية نطاردهم</w:t>
      </w:r>
      <w:r w:rsidR="002B2618" w:rsidRPr="00904FCB">
        <w:rPr>
          <w:rFonts w:ascii="Times New Roman" w:hAnsi="Times New Roman" w:hint="cs"/>
          <w:sz w:val="27"/>
          <w:rtl/>
          <w:lang w:bidi="fa-IR"/>
        </w:rPr>
        <w:t>؛</w:t>
      </w:r>
      <w:r w:rsidRPr="00904FCB">
        <w:rPr>
          <w:rFonts w:ascii="Times New Roman" w:hAnsi="Times New Roman" w:hint="cs"/>
          <w:sz w:val="27"/>
          <w:rtl/>
          <w:lang w:bidi="fa-IR"/>
        </w:rPr>
        <w:t xml:space="preserve"> لأنّنا قلنا: إن</w:t>
      </w:r>
      <w:r w:rsidR="002B2618" w:rsidRPr="00904FCB">
        <w:rPr>
          <w:rFonts w:ascii="Times New Roman" w:hAnsi="Times New Roman" w:hint="cs"/>
          <w:sz w:val="27"/>
          <w:rtl/>
          <w:lang w:bidi="fa-IR"/>
        </w:rPr>
        <w:t>ْ</w:t>
      </w:r>
      <w:r w:rsidRPr="00904FCB">
        <w:rPr>
          <w:rFonts w:ascii="Times New Roman" w:hAnsi="Times New Roman" w:hint="cs"/>
          <w:sz w:val="27"/>
          <w:rtl/>
          <w:lang w:bidi="fa-IR"/>
        </w:rPr>
        <w:t xml:space="preserve"> التجأوا</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م</w:t>
      </w:r>
      <w:r w:rsidR="002B2618" w:rsidRPr="00904FCB">
        <w:rPr>
          <w:rFonts w:ascii="Times New Roman" w:hAnsi="Times New Roman" w:hint="cs"/>
          <w:sz w:val="27"/>
          <w:rtl/>
          <w:lang w:bidi="fa-IR"/>
        </w:rPr>
        <w:t>ِ</w:t>
      </w:r>
      <w:r w:rsidRPr="00904FCB">
        <w:rPr>
          <w:rFonts w:ascii="Times New Roman" w:hAnsi="Times New Roman" w:hint="cs"/>
          <w:sz w:val="27"/>
          <w:rtl/>
          <w:lang w:bidi="fa-IR"/>
        </w:rPr>
        <w:t>ن</w:t>
      </w:r>
      <w:r w:rsidR="002B2618" w:rsidRPr="00904FCB">
        <w:rPr>
          <w:rFonts w:ascii="Times New Roman" w:hAnsi="Times New Roman" w:hint="cs"/>
          <w:sz w:val="27"/>
          <w:rtl/>
          <w:lang w:bidi="fa-IR"/>
        </w:rPr>
        <w:t>ْ</w:t>
      </w:r>
      <w:r w:rsidRPr="00904FCB">
        <w:rPr>
          <w:rFonts w:ascii="Times New Roman" w:hAnsi="Times New Roman" w:hint="cs"/>
          <w:sz w:val="27"/>
          <w:rtl/>
          <w:lang w:bidi="fa-IR"/>
        </w:rPr>
        <w:t>عة وع</w:t>
      </w:r>
      <w:r w:rsidR="002B2618" w:rsidRPr="00904FCB">
        <w:rPr>
          <w:rFonts w:ascii="Times New Roman" w:hAnsi="Times New Roman" w:hint="cs"/>
          <w:sz w:val="27"/>
          <w:rtl/>
          <w:lang w:bidi="fa-IR"/>
        </w:rPr>
        <w:t>ُ</w:t>
      </w:r>
      <w:r w:rsidRPr="00904FCB">
        <w:rPr>
          <w:rFonts w:ascii="Times New Roman" w:hAnsi="Times New Roman" w:hint="cs"/>
          <w:sz w:val="27"/>
          <w:rtl/>
          <w:lang w:bidi="fa-IR"/>
        </w:rPr>
        <w:t>ص</w:t>
      </w:r>
      <w:r w:rsidR="002B2618" w:rsidRPr="00904FCB">
        <w:rPr>
          <w:rFonts w:ascii="Times New Roman" w:hAnsi="Times New Roman" w:hint="cs"/>
          <w:sz w:val="27"/>
          <w:rtl/>
          <w:lang w:bidi="fa-IR"/>
        </w:rPr>
        <w:t>ْ</w:t>
      </w:r>
      <w:r w:rsidRPr="00904FCB">
        <w:rPr>
          <w:rFonts w:ascii="Times New Roman" w:hAnsi="Times New Roman" w:hint="cs"/>
          <w:sz w:val="27"/>
          <w:rtl/>
          <w:lang w:bidi="fa-IR"/>
        </w:rPr>
        <w:t>بة قوية عند انهزامهم نطاردهم</w:t>
      </w:r>
      <w:r w:rsidR="002B2618" w:rsidRPr="00904FCB">
        <w:rPr>
          <w:rFonts w:ascii="Times New Roman" w:hAnsi="Times New Roman" w:hint="cs"/>
          <w:sz w:val="27"/>
          <w:rtl/>
          <w:lang w:bidi="fa-IR"/>
        </w:rPr>
        <w:t>،</w:t>
      </w:r>
      <w:r w:rsidRPr="00904FCB">
        <w:rPr>
          <w:rFonts w:ascii="Times New Roman" w:hAnsi="Times New Roman" w:hint="cs"/>
          <w:sz w:val="27"/>
          <w:rtl/>
          <w:lang w:bidi="fa-IR"/>
        </w:rPr>
        <w:t xml:space="preserve"> وقال بعضهم: ي</w:t>
      </w:r>
      <w:r w:rsidR="002B2618" w:rsidRPr="00904FCB">
        <w:rPr>
          <w:rFonts w:ascii="Times New Roman" w:hAnsi="Times New Roman" w:hint="cs"/>
          <w:sz w:val="27"/>
          <w:rtl/>
          <w:lang w:bidi="fa-IR"/>
        </w:rPr>
        <w:t>ُ</w:t>
      </w:r>
      <w:r w:rsidRPr="00904FCB">
        <w:rPr>
          <w:rFonts w:ascii="Times New Roman" w:hAnsi="Times New Roman" w:hint="cs"/>
          <w:sz w:val="27"/>
          <w:rtl/>
          <w:lang w:bidi="fa-IR"/>
        </w:rPr>
        <w:t>ترَكون</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حالهم حينئذ</w:t>
      </w:r>
      <w:r w:rsidR="002B2618" w:rsidRPr="00904FCB">
        <w:rPr>
          <w:rFonts w:ascii="Times New Roman" w:hAnsi="Times New Roman" w:hint="cs"/>
          <w:sz w:val="27"/>
          <w:rtl/>
          <w:lang w:bidi="fa-IR"/>
        </w:rPr>
        <w:t>ٍ</w:t>
      </w:r>
      <w:r w:rsidRPr="00904FCB">
        <w:rPr>
          <w:rFonts w:hint="cs"/>
          <w:sz w:val="27"/>
          <w:vertAlign w:val="superscript"/>
          <w:rtl/>
        </w:rPr>
        <w:t>(</w:t>
      </w:r>
      <w:r w:rsidRPr="00904FCB">
        <w:rPr>
          <w:rStyle w:val="ac"/>
          <w:sz w:val="27"/>
          <w:rtl/>
        </w:rPr>
        <w:endnoteReference w:id="630"/>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p>
    <w:p w:rsidR="00336F3B" w:rsidRPr="00904FCB" w:rsidRDefault="00336F3B" w:rsidP="007A21AA">
      <w:pPr>
        <w:pStyle w:val="31"/>
        <w:spacing w:line="400" w:lineRule="exact"/>
        <w:rPr>
          <w:color w:val="auto"/>
          <w:rtl/>
          <w:lang w:bidi="fa-IR"/>
        </w:rPr>
      </w:pPr>
      <w:r w:rsidRPr="001022E4">
        <w:rPr>
          <w:rFonts w:hint="cs"/>
          <w:color w:val="auto"/>
          <w:rtl/>
          <w:lang w:bidi="ar-LB"/>
        </w:rPr>
        <w:t>9ـ</w:t>
      </w:r>
      <w:r w:rsidR="002B2618" w:rsidRPr="001022E4">
        <w:rPr>
          <w:rFonts w:hint="cs"/>
          <w:color w:val="auto"/>
          <w:rtl/>
          <w:lang w:bidi="fa-IR"/>
        </w:rPr>
        <w:t xml:space="preserve"> كيف</w:t>
      </w:r>
      <w:r w:rsidR="002B2618" w:rsidRPr="00904FCB">
        <w:rPr>
          <w:rFonts w:hint="cs"/>
          <w:color w:val="auto"/>
          <w:rtl/>
          <w:lang w:bidi="fa-IR"/>
        </w:rPr>
        <w:t xml:space="preserve"> تعامل الدولةُ الإسلامية</w:t>
      </w:r>
      <w:r w:rsidRPr="00904FCB">
        <w:rPr>
          <w:rFonts w:hint="cs"/>
          <w:color w:val="auto"/>
          <w:rtl/>
          <w:lang w:bidi="fa-IR"/>
        </w:rPr>
        <w:t xml:space="preserve"> البغاة؟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يجب</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حاكم الدولة الإسلامية أن يدلّ</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الخير والصلح</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لأنّه إن</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كان </w:t>
      </w:r>
      <w:r w:rsidR="00697D38" w:rsidRPr="00904FCB">
        <w:rPr>
          <w:rFonts w:ascii="Times New Roman" w:hAnsi="Times New Roman" w:hint="cs"/>
          <w:sz w:val="27"/>
          <w:rtl/>
          <w:lang w:bidi="fa-IR"/>
        </w:rPr>
        <w:t>قد هُضِمَ لهم حقٌّ</w:t>
      </w:r>
      <w:r w:rsidRPr="00904FCB">
        <w:rPr>
          <w:rFonts w:ascii="Times New Roman" w:hAnsi="Times New Roman" w:hint="cs"/>
          <w:sz w:val="27"/>
          <w:rtl/>
          <w:lang w:bidi="fa-IR"/>
        </w:rPr>
        <w:t xml:space="preserve"> أو كانت لهم شبهة</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فليحلّ ذلك. قال العلا</w:t>
      </w:r>
      <w:r w:rsidR="00697D38" w:rsidRPr="00904FCB">
        <w:rPr>
          <w:rFonts w:ascii="Times New Roman" w:hAnsi="Times New Roman" w:hint="cs"/>
          <w:sz w:val="27"/>
          <w:rtl/>
          <w:lang w:bidi="fa-IR"/>
        </w:rPr>
        <w:t>ّ</w:t>
      </w:r>
      <w:r w:rsidRPr="00904FCB">
        <w:rPr>
          <w:rFonts w:ascii="Times New Roman" w:hAnsi="Times New Roman" w:hint="cs"/>
          <w:sz w:val="27"/>
          <w:rtl/>
          <w:lang w:bidi="fa-IR"/>
        </w:rPr>
        <w:t>مة الحلّي: إنّما قتال الب</w:t>
      </w:r>
      <w:r w:rsidR="00697D38" w:rsidRPr="00904FCB">
        <w:rPr>
          <w:rFonts w:ascii="Times New Roman" w:hAnsi="Times New Roman" w:hint="cs"/>
          <w:sz w:val="27"/>
          <w:rtl/>
          <w:lang w:bidi="fa-IR"/>
        </w:rPr>
        <w:t>غاة بعد</w:t>
      </w:r>
      <w:r w:rsidRPr="00904FCB">
        <w:rPr>
          <w:rFonts w:ascii="Times New Roman" w:hAnsi="Times New Roman" w:hint="cs"/>
          <w:sz w:val="27"/>
          <w:rtl/>
          <w:lang w:bidi="fa-IR"/>
        </w:rPr>
        <w:t>ما بُعِث إليهم مَن</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يسألهم عن سبب خروجهم</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ويحلّ شبهتهم (إن</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كانت لهم شبهة)</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ويوضّح لهم الطريق الصواب</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لأنّ الغرض كفّهم ودفع شرّهم</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فإذا أمك</w:t>
      </w:r>
      <w:r w:rsidR="00697D38" w:rsidRPr="00904FCB">
        <w:rPr>
          <w:rFonts w:ascii="Times New Roman" w:hAnsi="Times New Roman" w:hint="cs"/>
          <w:sz w:val="27"/>
          <w:rtl/>
          <w:lang w:bidi="fa-IR"/>
        </w:rPr>
        <w:t>ن بمجرّ</w:t>
      </w:r>
      <w:r w:rsidRPr="00904FCB">
        <w:rPr>
          <w:rFonts w:ascii="Times New Roman" w:hAnsi="Times New Roman" w:hint="cs"/>
          <w:sz w:val="27"/>
          <w:rtl/>
          <w:lang w:bidi="fa-IR"/>
        </w:rPr>
        <w:t>د القول لم ي</w:t>
      </w:r>
      <w:r w:rsidR="00C42E5F">
        <w:rPr>
          <w:rFonts w:ascii="Times New Roman" w:hAnsi="Times New Roman" w:hint="cs"/>
          <w:sz w:val="27"/>
          <w:rtl/>
          <w:lang w:bidi="fa-IR"/>
        </w:rPr>
        <w:t>ُ</w:t>
      </w:r>
      <w:r w:rsidRPr="00904FCB">
        <w:rPr>
          <w:rFonts w:ascii="Times New Roman" w:hAnsi="Times New Roman" w:hint="cs"/>
          <w:sz w:val="27"/>
          <w:rtl/>
          <w:lang w:bidi="fa-IR"/>
        </w:rPr>
        <w:t>ع</w:t>
      </w:r>
      <w:r w:rsidR="00C42E5F">
        <w:rPr>
          <w:rFonts w:ascii="Times New Roman" w:hAnsi="Times New Roman" w:hint="cs"/>
          <w:sz w:val="27"/>
          <w:rtl/>
          <w:lang w:bidi="fa-IR"/>
        </w:rPr>
        <w:t>ْ</w:t>
      </w:r>
      <w:r w:rsidRPr="00904FCB">
        <w:rPr>
          <w:rFonts w:ascii="Times New Roman" w:hAnsi="Times New Roman" w:hint="cs"/>
          <w:sz w:val="27"/>
          <w:rtl/>
          <w:lang w:bidi="fa-IR"/>
        </w:rPr>
        <w:t>دَل</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القتل</w:t>
      </w:r>
      <w:r w:rsidRPr="00904FCB">
        <w:rPr>
          <w:rFonts w:hint="cs"/>
          <w:sz w:val="27"/>
          <w:vertAlign w:val="superscript"/>
          <w:rtl/>
        </w:rPr>
        <w:t>(</w:t>
      </w:r>
      <w:r w:rsidRPr="00904FCB">
        <w:rPr>
          <w:rStyle w:val="ac"/>
          <w:sz w:val="27"/>
          <w:rtl/>
        </w:rPr>
        <w:endnoteReference w:id="631"/>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p>
    <w:p w:rsidR="00336F3B" w:rsidRPr="00904FCB" w:rsidRDefault="00336F3B" w:rsidP="007A21AA">
      <w:pPr>
        <w:pStyle w:val="31"/>
        <w:spacing w:line="400" w:lineRule="exact"/>
        <w:rPr>
          <w:color w:val="auto"/>
          <w:rtl/>
          <w:lang w:bidi="fa-IR"/>
        </w:rPr>
      </w:pPr>
      <w:r w:rsidRPr="00904FCB">
        <w:rPr>
          <w:rFonts w:hint="cs"/>
          <w:color w:val="auto"/>
          <w:rtl/>
          <w:lang w:bidi="fa-IR"/>
        </w:rPr>
        <w:t xml:space="preserve">أـ قتال البغاة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بعدما لم يقبل البغاة تحذيرات الإمام</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ودعوته</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الصلح</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وتمّت الحجّة عليهم</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يجوز قتالهم</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بل يجب بات</w:t>
      </w:r>
      <w:r w:rsidR="00697D38" w:rsidRPr="00904FCB">
        <w:rPr>
          <w:rFonts w:ascii="Times New Roman" w:hAnsi="Times New Roman" w:hint="cs"/>
          <w:sz w:val="27"/>
          <w:rtl/>
          <w:lang w:bidi="fa-IR"/>
        </w:rPr>
        <w:t>ّ</w:t>
      </w:r>
      <w:r w:rsidRPr="00904FCB">
        <w:rPr>
          <w:rFonts w:ascii="Times New Roman" w:hAnsi="Times New Roman" w:hint="cs"/>
          <w:sz w:val="27"/>
          <w:rtl/>
          <w:lang w:bidi="fa-IR"/>
        </w:rPr>
        <w:t>فاق الفقهاء</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كما قال الشيخ الطوسي: «جاز للإمام قتاله ومجاهدته»</w:t>
      </w:r>
      <w:r w:rsidRPr="00904FCB">
        <w:rPr>
          <w:rFonts w:hint="cs"/>
          <w:sz w:val="27"/>
          <w:vertAlign w:val="superscript"/>
          <w:rtl/>
        </w:rPr>
        <w:t>(</w:t>
      </w:r>
      <w:r w:rsidRPr="00904FCB">
        <w:rPr>
          <w:rStyle w:val="ac"/>
          <w:sz w:val="27"/>
          <w:rtl/>
        </w:rPr>
        <w:endnoteReference w:id="632"/>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p>
    <w:p w:rsidR="00336F3B" w:rsidRPr="00904FCB" w:rsidRDefault="00697D38" w:rsidP="007A21AA">
      <w:pPr>
        <w:pStyle w:val="31"/>
        <w:spacing w:line="400" w:lineRule="exact"/>
        <w:rPr>
          <w:color w:val="auto"/>
          <w:rtl/>
          <w:lang w:bidi="fa-IR"/>
        </w:rPr>
      </w:pPr>
      <w:r w:rsidRPr="00904FCB">
        <w:rPr>
          <w:rFonts w:hint="cs"/>
          <w:color w:val="auto"/>
          <w:rtl/>
          <w:lang w:bidi="fa-IR"/>
        </w:rPr>
        <w:t>ب ـ ماذا يفع</w:t>
      </w:r>
      <w:r w:rsidR="00336F3B" w:rsidRPr="00904FCB">
        <w:rPr>
          <w:rFonts w:hint="cs"/>
          <w:color w:val="auto"/>
          <w:rtl/>
          <w:lang w:bidi="fa-IR"/>
        </w:rPr>
        <w:t xml:space="preserve">ل بجنائز البغاة بعد القتال؟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مَن</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قُتِل في المعركة من قوّات الحق</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وجنود</w:t>
      </w:r>
      <w:r w:rsidR="00697D38" w:rsidRPr="00904FCB">
        <w:rPr>
          <w:rFonts w:ascii="Times New Roman" w:hAnsi="Times New Roman" w:hint="cs"/>
          <w:sz w:val="27"/>
          <w:rtl/>
          <w:lang w:bidi="fa-IR"/>
        </w:rPr>
        <w:t xml:space="preserve"> الإمام العادل فهو شهيدٌ، لا يغسَّ</w:t>
      </w:r>
      <w:r w:rsidRPr="00904FCB">
        <w:rPr>
          <w:rFonts w:ascii="Times New Roman" w:hAnsi="Times New Roman" w:hint="cs"/>
          <w:sz w:val="27"/>
          <w:rtl/>
          <w:lang w:bidi="fa-IR"/>
        </w:rPr>
        <w:t>ل، ولا يكفّ</w:t>
      </w:r>
      <w:r w:rsidR="00C42E5F">
        <w:rPr>
          <w:rFonts w:ascii="Times New Roman" w:hAnsi="Times New Roman" w:hint="cs"/>
          <w:sz w:val="27"/>
          <w:rtl/>
          <w:lang w:bidi="fa-IR"/>
        </w:rPr>
        <w:t>َ</w:t>
      </w:r>
      <w:r w:rsidRPr="00904FCB">
        <w:rPr>
          <w:rFonts w:ascii="Times New Roman" w:hAnsi="Times New Roman" w:hint="cs"/>
          <w:sz w:val="27"/>
          <w:rtl/>
          <w:lang w:bidi="fa-IR"/>
        </w:rPr>
        <w:t>ن</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بات</w:t>
      </w:r>
      <w:r w:rsidR="00697D38" w:rsidRPr="00904FCB">
        <w:rPr>
          <w:rFonts w:ascii="Times New Roman" w:hAnsi="Times New Roman" w:hint="cs"/>
          <w:sz w:val="27"/>
          <w:rtl/>
          <w:lang w:bidi="fa-IR"/>
        </w:rPr>
        <w:t>ّ</w:t>
      </w:r>
      <w:r w:rsidRPr="00904FCB">
        <w:rPr>
          <w:rFonts w:ascii="Times New Roman" w:hAnsi="Times New Roman" w:hint="cs"/>
          <w:sz w:val="27"/>
          <w:rtl/>
          <w:lang w:bidi="fa-IR"/>
        </w:rPr>
        <w:t>فاق الفقهاء</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كما صرّح بذلك صاحب الجواهر: </w:t>
      </w:r>
      <w:r w:rsidR="00697D38" w:rsidRPr="00904FCB">
        <w:rPr>
          <w:rFonts w:ascii="Times New Roman" w:hAnsi="Times New Roman" w:hint="cs"/>
          <w:sz w:val="27"/>
          <w:rtl/>
          <w:lang w:bidi="fa-IR"/>
        </w:rPr>
        <w:t>«المقتول مع العادل شهيدٌ، لا يغسَّ</w:t>
      </w:r>
      <w:r w:rsidRPr="00904FCB">
        <w:rPr>
          <w:rFonts w:ascii="Times New Roman" w:hAnsi="Times New Roman" w:hint="cs"/>
          <w:sz w:val="27"/>
          <w:rtl/>
          <w:lang w:bidi="fa-IR"/>
        </w:rPr>
        <w:t>ل ولا يكفَّن</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بل يصلّ</w:t>
      </w:r>
      <w:r w:rsidR="00697D38" w:rsidRPr="00904FCB">
        <w:rPr>
          <w:rFonts w:ascii="Times New Roman" w:hAnsi="Times New Roman" w:hint="cs"/>
          <w:sz w:val="27"/>
          <w:rtl/>
          <w:lang w:bidi="fa-IR"/>
        </w:rPr>
        <w:t>َى</w:t>
      </w:r>
      <w:r w:rsidRPr="00904FCB">
        <w:rPr>
          <w:rFonts w:ascii="Times New Roman" w:hAnsi="Times New Roman" w:hint="cs"/>
          <w:sz w:val="27"/>
          <w:rtl/>
          <w:lang w:bidi="fa-IR"/>
        </w:rPr>
        <w:t xml:space="preserve"> عليه</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بلا خلاف</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أجده فيه»</w:t>
      </w:r>
      <w:r w:rsidRPr="00904FCB">
        <w:rPr>
          <w:rFonts w:hint="cs"/>
          <w:sz w:val="27"/>
          <w:vertAlign w:val="superscript"/>
          <w:rtl/>
        </w:rPr>
        <w:t>(</w:t>
      </w:r>
      <w:r w:rsidRPr="00904FCB">
        <w:rPr>
          <w:rStyle w:val="ac"/>
          <w:sz w:val="27"/>
          <w:rtl/>
        </w:rPr>
        <w:endnoteReference w:id="633"/>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ولكن</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اختلف الفقهاء في جنائز البغاة</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قد جعل بعض الفقهاء</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كالعلاّ</w:t>
      </w:r>
      <w:r w:rsidR="00697D38" w:rsidRPr="00904FCB">
        <w:rPr>
          <w:rFonts w:ascii="Times New Roman" w:hAnsi="Times New Roman" w:hint="cs"/>
          <w:sz w:val="27"/>
          <w:rtl/>
          <w:lang w:bidi="fa-IR"/>
        </w:rPr>
        <w:t>متين</w:t>
      </w:r>
      <w:r w:rsidRPr="00904FCB">
        <w:rPr>
          <w:rFonts w:ascii="Times New Roman" w:hAnsi="Times New Roman" w:hint="cs"/>
          <w:sz w:val="27"/>
          <w:rtl/>
          <w:lang w:bidi="fa-IR"/>
        </w:rPr>
        <w:t xml:space="preserve"> الطوسي </w:t>
      </w:r>
      <w:r w:rsidR="00697D38" w:rsidRPr="00904FCB">
        <w:rPr>
          <w:rFonts w:ascii="Times New Roman" w:hAnsi="Times New Roman" w:hint="cs"/>
          <w:sz w:val="27"/>
          <w:rtl/>
          <w:lang w:bidi="fa-IR"/>
        </w:rPr>
        <w:t>و</w:t>
      </w:r>
      <w:r w:rsidRPr="00904FCB">
        <w:rPr>
          <w:rFonts w:ascii="Times New Roman" w:hAnsi="Times New Roman" w:hint="cs"/>
          <w:sz w:val="27"/>
          <w:rtl/>
          <w:lang w:bidi="fa-IR"/>
        </w:rPr>
        <w:t>الحلّي</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جنائز البغاة كجنائز جبهة الحق</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وفرّق بعضهم كالشيخ كاشف الغطاء</w:t>
      </w:r>
      <w:r w:rsidR="00C42E5F">
        <w:rPr>
          <w:rFonts w:ascii="Times New Roman" w:hAnsi="Times New Roman" w:hint="cs"/>
          <w:sz w:val="27"/>
          <w:rtl/>
          <w:lang w:bidi="fa-IR"/>
        </w:rPr>
        <w:t>،</w:t>
      </w:r>
      <w:r w:rsidRPr="00904FCB">
        <w:rPr>
          <w:rFonts w:ascii="Times New Roman" w:hAnsi="Times New Roman" w:hint="cs"/>
          <w:sz w:val="27"/>
          <w:rtl/>
          <w:lang w:bidi="fa-IR"/>
        </w:rPr>
        <w:t xml:space="preserve"> بين جنائز الجبهتين</w:t>
      </w:r>
      <w:r w:rsidRPr="00904FCB">
        <w:rPr>
          <w:rFonts w:hint="cs"/>
          <w:sz w:val="27"/>
          <w:vertAlign w:val="superscript"/>
          <w:rtl/>
        </w:rPr>
        <w:t>(</w:t>
      </w:r>
      <w:r w:rsidRPr="00904FCB">
        <w:rPr>
          <w:rStyle w:val="ac"/>
          <w:sz w:val="27"/>
          <w:rtl/>
        </w:rPr>
        <w:endnoteReference w:id="634"/>
      </w:r>
      <w:r w:rsidRPr="00904FCB">
        <w:rPr>
          <w:rFonts w:hint="cs"/>
          <w:sz w:val="27"/>
          <w:vertAlign w:val="superscript"/>
          <w:rtl/>
        </w:rPr>
        <w:t>)</w:t>
      </w:r>
      <w:r w:rsidRPr="00904FCB">
        <w:rPr>
          <w:rFonts w:ascii="Times New Roman" w:hAnsi="Times New Roman" w:hint="cs"/>
          <w:sz w:val="27"/>
          <w:rtl/>
          <w:lang w:bidi="fa-IR"/>
        </w:rPr>
        <w:t>. وقد نشأ هذاالخلاف من خلاف الفقهاء في كفر البغاة أو عدم كفرهم</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والأرجح عدم كفرهم كما ي</w:t>
      </w:r>
      <w:r w:rsidR="00697D38" w:rsidRPr="00904FCB">
        <w:rPr>
          <w:rFonts w:ascii="Times New Roman" w:hAnsi="Times New Roman" w:hint="cs"/>
          <w:sz w:val="27"/>
          <w:rtl/>
          <w:lang w:bidi="fa-IR"/>
        </w:rPr>
        <w:t>ُ</w:t>
      </w:r>
      <w:r w:rsidRPr="00904FCB">
        <w:rPr>
          <w:rFonts w:ascii="Times New Roman" w:hAnsi="Times New Roman" w:hint="cs"/>
          <w:sz w:val="27"/>
          <w:rtl/>
          <w:lang w:bidi="fa-IR"/>
        </w:rPr>
        <w:t>فهَم من الآ</w:t>
      </w:r>
      <w:r w:rsidR="00697D38" w:rsidRPr="00904FCB">
        <w:rPr>
          <w:rFonts w:ascii="Times New Roman" w:hAnsi="Times New Roman" w:hint="cs"/>
          <w:sz w:val="27"/>
          <w:rtl/>
          <w:lang w:bidi="fa-IR"/>
        </w:rPr>
        <w:t>ي</w:t>
      </w:r>
      <w:r w:rsidRPr="00904FCB">
        <w:rPr>
          <w:rFonts w:ascii="Times New Roman" w:hAnsi="Times New Roman" w:hint="cs"/>
          <w:sz w:val="27"/>
          <w:rtl/>
          <w:lang w:bidi="fa-IR"/>
        </w:rPr>
        <w:t>ات والروايات</w:t>
      </w:r>
      <w:r w:rsidRPr="00904FCB">
        <w:rPr>
          <w:rFonts w:hint="cs"/>
          <w:sz w:val="27"/>
          <w:vertAlign w:val="superscript"/>
          <w:rtl/>
        </w:rPr>
        <w:t>(</w:t>
      </w:r>
      <w:r w:rsidRPr="00904FCB">
        <w:rPr>
          <w:rStyle w:val="ac"/>
          <w:sz w:val="27"/>
          <w:rtl/>
        </w:rPr>
        <w:endnoteReference w:id="635"/>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7A21AA">
      <w:pPr>
        <w:pStyle w:val="31"/>
        <w:spacing w:line="400" w:lineRule="exact"/>
        <w:rPr>
          <w:color w:val="auto"/>
          <w:rtl/>
          <w:lang w:bidi="fa-IR"/>
        </w:rPr>
      </w:pPr>
      <w:r w:rsidRPr="00904FCB">
        <w:rPr>
          <w:rFonts w:hint="cs"/>
          <w:color w:val="auto"/>
          <w:rtl/>
          <w:lang w:bidi="fa-IR"/>
        </w:rPr>
        <w:lastRenderedPageBreak/>
        <w:t xml:space="preserve">ج ـ ماذا يفعَل بأموالهم؟ </w:t>
      </w:r>
    </w:p>
    <w:p w:rsidR="00336F3B" w:rsidRPr="00904FCB" w:rsidRDefault="00336F3B" w:rsidP="00C42E5F">
      <w:pPr>
        <w:spacing w:line="420" w:lineRule="exact"/>
        <w:ind w:firstLine="561"/>
        <w:rPr>
          <w:rFonts w:ascii="Times New Roman" w:hAnsi="Times New Roman"/>
          <w:sz w:val="27"/>
          <w:rtl/>
          <w:lang w:bidi="fa-IR"/>
        </w:rPr>
      </w:pPr>
      <w:r w:rsidRPr="00904FCB">
        <w:rPr>
          <w:rFonts w:ascii="Times New Roman" w:hAnsi="Times New Roman" w:hint="cs"/>
          <w:sz w:val="27"/>
          <w:rtl/>
          <w:lang w:bidi="fa-IR"/>
        </w:rPr>
        <w:t>يبدو من ظاهر بعض النصوص أنّ أموال البغاة محترمة</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ولا ت</w:t>
      </w:r>
      <w:r w:rsidR="00697D38" w:rsidRPr="00904FCB">
        <w:rPr>
          <w:rFonts w:ascii="Times New Roman" w:hAnsi="Times New Roman" w:hint="cs"/>
          <w:sz w:val="27"/>
          <w:rtl/>
          <w:lang w:bidi="fa-IR"/>
        </w:rPr>
        <w:t>ُ</w:t>
      </w:r>
      <w:r w:rsidRPr="00904FCB">
        <w:rPr>
          <w:rFonts w:ascii="Times New Roman" w:hAnsi="Times New Roman" w:hint="cs"/>
          <w:sz w:val="27"/>
          <w:rtl/>
          <w:lang w:bidi="fa-IR"/>
        </w:rPr>
        <w:t>حجَز</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ك</w:t>
      </w:r>
      <w:r w:rsidR="00697D38" w:rsidRPr="00904FCB">
        <w:rPr>
          <w:rFonts w:ascii="Times New Roman" w:hAnsi="Times New Roman" w:hint="cs"/>
          <w:sz w:val="27"/>
          <w:rtl/>
          <w:lang w:bidi="fa-IR"/>
        </w:rPr>
        <w:t>ما عامل</w:t>
      </w:r>
      <w:r w:rsidRPr="00904FCB">
        <w:rPr>
          <w:rFonts w:ascii="Times New Roman" w:hAnsi="Times New Roman" w:hint="cs"/>
          <w:sz w:val="27"/>
          <w:rtl/>
          <w:lang w:bidi="fa-IR"/>
        </w:rPr>
        <w:t xml:space="preserve"> علي</w:t>
      </w:r>
      <w:r w:rsidR="00697D38" w:rsidRPr="00904FCB">
        <w:rPr>
          <w:rFonts w:ascii="Times New Roman" w:hAnsi="Times New Roman" w:hint="cs"/>
          <w:sz w:val="27"/>
          <w:rtl/>
          <w:lang w:bidi="fa-IR"/>
        </w:rPr>
        <w:t>ٌّ</w:t>
      </w:r>
      <w:r w:rsidRPr="00904FCB">
        <w:rPr>
          <w:rFonts w:ascii="Times New Roman" w:hAnsi="Times New Roman" w:hint="cs"/>
          <w:sz w:val="27"/>
          <w:rtl/>
          <w:lang w:bidi="fa-IR"/>
        </w:rPr>
        <w:t>(ر</w:t>
      </w:r>
      <w:r w:rsidR="00697D38" w:rsidRPr="00904FCB">
        <w:rPr>
          <w:rFonts w:ascii="Times New Roman" w:hAnsi="Times New Roman" w:hint="cs"/>
          <w:sz w:val="27"/>
          <w:rtl/>
          <w:lang w:bidi="fa-IR"/>
        </w:rPr>
        <w:t>ضي الله عنه</w:t>
      </w:r>
      <w:r w:rsidRPr="00904FCB">
        <w:rPr>
          <w:rFonts w:ascii="Times New Roman" w:hAnsi="Times New Roman" w:hint="cs"/>
          <w:sz w:val="27"/>
          <w:rtl/>
          <w:lang w:bidi="fa-IR"/>
        </w:rPr>
        <w:t>) أهلَ الج</w:t>
      </w:r>
      <w:r w:rsidR="00697D38" w:rsidRPr="00904FCB">
        <w:rPr>
          <w:rFonts w:ascii="Times New Roman" w:hAnsi="Times New Roman" w:hint="cs"/>
          <w:sz w:val="27"/>
          <w:rtl/>
          <w:lang w:bidi="fa-IR"/>
        </w:rPr>
        <w:t>َ</w:t>
      </w:r>
      <w:r w:rsidRPr="00904FCB">
        <w:rPr>
          <w:rFonts w:ascii="Times New Roman" w:hAnsi="Times New Roman" w:hint="cs"/>
          <w:sz w:val="27"/>
          <w:rtl/>
          <w:lang w:bidi="fa-IR"/>
        </w:rPr>
        <w:t>م</w:t>
      </w:r>
      <w:r w:rsidR="00697D38" w:rsidRPr="00904FCB">
        <w:rPr>
          <w:rFonts w:ascii="Times New Roman" w:hAnsi="Times New Roman" w:hint="cs"/>
          <w:sz w:val="27"/>
          <w:rtl/>
          <w:lang w:bidi="fa-IR"/>
        </w:rPr>
        <w:t>َ</w:t>
      </w:r>
      <w:r w:rsidRPr="00904FCB">
        <w:rPr>
          <w:rFonts w:ascii="Times New Roman" w:hAnsi="Times New Roman" w:hint="cs"/>
          <w:sz w:val="27"/>
          <w:rtl/>
          <w:lang w:bidi="fa-IR"/>
        </w:rPr>
        <w:t>ل</w:t>
      </w:r>
      <w:r w:rsidRPr="00904FCB">
        <w:rPr>
          <w:rFonts w:hint="cs"/>
          <w:sz w:val="27"/>
          <w:vertAlign w:val="superscript"/>
          <w:rtl/>
        </w:rPr>
        <w:t>(</w:t>
      </w:r>
      <w:r w:rsidRPr="00904FCB">
        <w:rPr>
          <w:rStyle w:val="ac"/>
          <w:sz w:val="27"/>
          <w:rtl/>
        </w:rPr>
        <w:endnoteReference w:id="636"/>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697D38" w:rsidP="00C42E5F">
      <w:pPr>
        <w:spacing w:line="420" w:lineRule="exact"/>
        <w:ind w:firstLine="561"/>
        <w:rPr>
          <w:rFonts w:ascii="Times New Roman" w:hAnsi="Times New Roman"/>
          <w:sz w:val="27"/>
          <w:rtl/>
          <w:lang w:bidi="fa-IR"/>
        </w:rPr>
      </w:pPr>
      <w:r w:rsidRPr="00904FCB">
        <w:rPr>
          <w:rFonts w:ascii="Times New Roman" w:hAnsi="Times New Roman" w:hint="cs"/>
          <w:sz w:val="27"/>
          <w:rtl/>
          <w:lang w:bidi="fa-IR"/>
        </w:rPr>
        <w:t>و</w:t>
      </w:r>
      <w:r w:rsidR="00336F3B" w:rsidRPr="00904FCB">
        <w:rPr>
          <w:rFonts w:ascii="Times New Roman" w:hAnsi="Times New Roman" w:hint="cs"/>
          <w:sz w:val="27"/>
          <w:rtl/>
          <w:lang w:bidi="fa-IR"/>
        </w:rPr>
        <w:t>هناك رواياتٌ أخر</w:t>
      </w:r>
      <w:r w:rsidRPr="00904FCB">
        <w:rPr>
          <w:rFonts w:ascii="Times New Roman" w:hAnsi="Times New Roman" w:hint="cs"/>
          <w:sz w:val="27"/>
          <w:rtl/>
          <w:lang w:bidi="fa-IR"/>
        </w:rPr>
        <w:t>ى</w:t>
      </w:r>
      <w:r w:rsidR="00336F3B" w:rsidRPr="00904FCB">
        <w:rPr>
          <w:rFonts w:ascii="Times New Roman" w:hAnsi="Times New Roman" w:hint="cs"/>
          <w:sz w:val="27"/>
          <w:rtl/>
          <w:lang w:bidi="fa-IR"/>
        </w:rPr>
        <w:t xml:space="preserve"> تفيد أنّ معاملة علي</w:t>
      </w:r>
      <w:r w:rsidRPr="00904FCB">
        <w:rPr>
          <w:rFonts w:ascii="Times New Roman" w:hAnsi="Times New Roman" w:hint="cs"/>
          <w:sz w:val="27"/>
          <w:rtl/>
          <w:lang w:bidi="fa-IR"/>
        </w:rPr>
        <w:t>ّ</w:t>
      </w:r>
      <w:r w:rsidR="00336F3B" w:rsidRPr="00904FCB">
        <w:rPr>
          <w:rFonts w:ascii="Times New Roman" w:hAnsi="Times New Roman" w:hint="cs"/>
          <w:sz w:val="27"/>
          <w:rtl/>
          <w:lang w:bidi="fa-IR"/>
        </w:rPr>
        <w:t>(</w:t>
      </w:r>
      <w:r w:rsidRPr="00904FCB">
        <w:rPr>
          <w:rFonts w:ascii="Times New Roman" w:hAnsi="Times New Roman" w:hint="cs"/>
          <w:sz w:val="27"/>
          <w:rtl/>
          <w:lang w:bidi="fa-IR"/>
        </w:rPr>
        <w:t>رضي الله عنه</w:t>
      </w:r>
      <w:r w:rsidR="00336F3B" w:rsidRPr="00904FCB">
        <w:rPr>
          <w:rFonts w:ascii="Times New Roman" w:hAnsi="Times New Roman" w:hint="cs"/>
          <w:sz w:val="27"/>
          <w:rtl/>
          <w:lang w:bidi="fa-IR"/>
        </w:rPr>
        <w:t>) إي</w:t>
      </w:r>
      <w:r w:rsidRPr="00904FCB">
        <w:rPr>
          <w:rFonts w:ascii="Times New Roman" w:hAnsi="Times New Roman" w:hint="cs"/>
          <w:sz w:val="27"/>
          <w:rtl/>
          <w:lang w:bidi="fa-IR"/>
        </w:rPr>
        <w:t>ّ</w:t>
      </w:r>
      <w:r w:rsidR="00336F3B" w:rsidRPr="00904FCB">
        <w:rPr>
          <w:rFonts w:ascii="Times New Roman" w:hAnsi="Times New Roman" w:hint="cs"/>
          <w:sz w:val="27"/>
          <w:rtl/>
          <w:lang w:bidi="fa-IR"/>
        </w:rPr>
        <w:t>اهم في هذه المعركة كانت بسبب مصلحة</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خاصّة</w:t>
      </w:r>
      <w:r w:rsidR="00336F3B" w:rsidRPr="00904FCB">
        <w:rPr>
          <w:rFonts w:hint="cs"/>
          <w:sz w:val="27"/>
          <w:vertAlign w:val="superscript"/>
          <w:rtl/>
        </w:rPr>
        <w:t>(</w:t>
      </w:r>
      <w:r w:rsidR="00336F3B" w:rsidRPr="00904FCB">
        <w:rPr>
          <w:rStyle w:val="ac"/>
          <w:sz w:val="27"/>
          <w:rtl/>
        </w:rPr>
        <w:endnoteReference w:id="637"/>
      </w:r>
      <w:r w:rsidR="00336F3B" w:rsidRPr="00904FCB">
        <w:rPr>
          <w:rFonts w:hint="cs"/>
          <w:sz w:val="27"/>
          <w:vertAlign w:val="superscript"/>
          <w:rtl/>
        </w:rPr>
        <w:t>)</w:t>
      </w:r>
      <w:r w:rsidR="00336F3B" w:rsidRPr="00904FCB">
        <w:rPr>
          <w:rFonts w:ascii="Times New Roman" w:hAnsi="Times New Roman" w:hint="cs"/>
          <w:sz w:val="27"/>
          <w:rtl/>
          <w:lang w:bidi="fa-IR"/>
        </w:rPr>
        <w:t xml:space="preserve">. </w:t>
      </w:r>
    </w:p>
    <w:p w:rsidR="00336F3B" w:rsidRPr="00904FCB" w:rsidRDefault="00336F3B" w:rsidP="00C42E5F">
      <w:pPr>
        <w:spacing w:line="420" w:lineRule="exact"/>
        <w:ind w:firstLine="561"/>
        <w:rPr>
          <w:rFonts w:ascii="Times New Roman" w:hAnsi="Times New Roman"/>
          <w:sz w:val="27"/>
          <w:rtl/>
          <w:lang w:bidi="fa-IR"/>
        </w:rPr>
      </w:pPr>
      <w:r w:rsidRPr="00904FCB">
        <w:rPr>
          <w:rFonts w:ascii="Times New Roman" w:hAnsi="Times New Roman" w:hint="cs"/>
          <w:sz w:val="27"/>
          <w:rtl/>
          <w:lang w:bidi="fa-IR"/>
        </w:rPr>
        <w:t>فكيفية تصرُّف الإمام في أموال البغاة مفوّ</w:t>
      </w:r>
      <w:r w:rsidR="00697D38" w:rsidRPr="00904FCB">
        <w:rPr>
          <w:rFonts w:ascii="Times New Roman" w:hAnsi="Times New Roman" w:hint="cs"/>
          <w:sz w:val="27"/>
          <w:rtl/>
          <w:lang w:bidi="fa-IR"/>
        </w:rPr>
        <w:t>َ</w:t>
      </w:r>
      <w:r w:rsidRPr="00904FCB">
        <w:rPr>
          <w:rFonts w:ascii="Times New Roman" w:hAnsi="Times New Roman" w:hint="cs"/>
          <w:sz w:val="27"/>
          <w:rtl/>
          <w:lang w:bidi="fa-IR"/>
        </w:rPr>
        <w:t>ضة</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رأيه واجتهاده، وتختلف الآراء في هذه المس</w:t>
      </w:r>
      <w:r w:rsidR="00697D38" w:rsidRPr="00904FCB">
        <w:rPr>
          <w:rFonts w:ascii="Times New Roman" w:hAnsi="Times New Roman" w:hint="cs"/>
          <w:sz w:val="27"/>
          <w:rtl/>
          <w:lang w:bidi="fa-IR"/>
        </w:rPr>
        <w:t>أ</w:t>
      </w:r>
      <w:r w:rsidRPr="00904FCB">
        <w:rPr>
          <w:rFonts w:ascii="Times New Roman" w:hAnsi="Times New Roman" w:hint="cs"/>
          <w:sz w:val="27"/>
          <w:rtl/>
          <w:lang w:bidi="fa-IR"/>
        </w:rPr>
        <w:t>لة</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باختلاف الأحوال والأعصار</w:t>
      </w:r>
      <w:r w:rsidRPr="00904FCB">
        <w:rPr>
          <w:rFonts w:hint="cs"/>
          <w:sz w:val="27"/>
          <w:vertAlign w:val="superscript"/>
          <w:rtl/>
        </w:rPr>
        <w:t>(</w:t>
      </w:r>
      <w:r w:rsidRPr="00904FCB">
        <w:rPr>
          <w:rStyle w:val="ac"/>
          <w:sz w:val="27"/>
          <w:rtl/>
        </w:rPr>
        <w:endnoteReference w:id="638"/>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7A21AA">
      <w:pPr>
        <w:spacing w:line="400" w:lineRule="exact"/>
        <w:rPr>
          <w:rFonts w:ascii="Times New Roman" w:hAnsi="Times New Roman"/>
          <w:sz w:val="27"/>
          <w:rtl/>
          <w:lang w:bidi="fa-IR"/>
        </w:rPr>
      </w:pPr>
    </w:p>
    <w:p w:rsidR="00336F3B" w:rsidRPr="00904FCB" w:rsidRDefault="00336F3B" w:rsidP="007A21AA">
      <w:pPr>
        <w:pStyle w:val="31"/>
        <w:spacing w:line="400" w:lineRule="exact"/>
        <w:rPr>
          <w:color w:val="auto"/>
          <w:rtl/>
          <w:lang w:bidi="fa-IR"/>
        </w:rPr>
      </w:pPr>
      <w:r w:rsidRPr="00904FCB">
        <w:rPr>
          <w:rFonts w:hint="cs"/>
          <w:color w:val="auto"/>
          <w:rtl/>
          <w:lang w:bidi="fa-IR"/>
        </w:rPr>
        <w:t xml:space="preserve">د ـ ماذا يفعل بنسائهم وأولادهم؟ </w:t>
      </w:r>
    </w:p>
    <w:p w:rsidR="00336F3B" w:rsidRPr="00904FCB" w:rsidRDefault="00336F3B" w:rsidP="00C42E5F">
      <w:pPr>
        <w:spacing w:line="420" w:lineRule="exact"/>
        <w:ind w:firstLine="561"/>
        <w:rPr>
          <w:rFonts w:ascii="Times New Roman" w:hAnsi="Times New Roman"/>
          <w:sz w:val="27"/>
          <w:vertAlign w:val="superscript"/>
          <w:rtl/>
          <w:lang w:bidi="fa-IR"/>
        </w:rPr>
      </w:pPr>
      <w:r w:rsidRPr="00904FCB">
        <w:rPr>
          <w:rFonts w:ascii="Times New Roman" w:hAnsi="Times New Roman" w:hint="cs"/>
          <w:sz w:val="27"/>
          <w:rtl/>
          <w:lang w:bidi="fa-IR"/>
        </w:rPr>
        <w:t>لا ي</w:t>
      </w:r>
      <w:r w:rsidR="00697D38" w:rsidRPr="00904FCB">
        <w:rPr>
          <w:rFonts w:ascii="Times New Roman" w:hAnsi="Times New Roman" w:hint="cs"/>
          <w:sz w:val="27"/>
          <w:rtl/>
          <w:lang w:bidi="fa-IR"/>
        </w:rPr>
        <w:t>ؤ</w:t>
      </w:r>
      <w:r w:rsidRPr="00904FCB">
        <w:rPr>
          <w:rFonts w:ascii="Times New Roman" w:hAnsi="Times New Roman" w:hint="cs"/>
          <w:sz w:val="27"/>
          <w:rtl/>
          <w:lang w:bidi="fa-IR"/>
        </w:rPr>
        <w:t>سَر أولاد البغاة ونسا</w:t>
      </w:r>
      <w:r w:rsidR="00697D38" w:rsidRPr="00904FCB">
        <w:rPr>
          <w:rFonts w:ascii="Times New Roman" w:hAnsi="Times New Roman" w:hint="cs"/>
          <w:sz w:val="27"/>
          <w:rtl/>
          <w:lang w:bidi="fa-IR"/>
        </w:rPr>
        <w:t>ؤ</w:t>
      </w:r>
      <w:r w:rsidRPr="00904FCB">
        <w:rPr>
          <w:rFonts w:ascii="Times New Roman" w:hAnsi="Times New Roman" w:hint="cs"/>
          <w:sz w:val="27"/>
          <w:rtl/>
          <w:lang w:bidi="fa-IR"/>
        </w:rPr>
        <w:t>هم</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بإجماع الفقهاء</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ولا ي</w:t>
      </w:r>
      <w:r w:rsidR="00697D38" w:rsidRPr="00904FCB">
        <w:rPr>
          <w:rFonts w:ascii="Times New Roman" w:hAnsi="Times New Roman" w:hint="cs"/>
          <w:sz w:val="27"/>
          <w:rtl/>
          <w:lang w:bidi="fa-IR"/>
        </w:rPr>
        <w:t>ُ</w:t>
      </w:r>
      <w:r w:rsidRPr="00904FCB">
        <w:rPr>
          <w:rFonts w:ascii="Times New Roman" w:hAnsi="Times New Roman" w:hint="cs"/>
          <w:sz w:val="27"/>
          <w:rtl/>
          <w:lang w:bidi="fa-IR"/>
        </w:rPr>
        <w:t>عامَلون معاملة ذراري أهل الحرب</w:t>
      </w:r>
      <w:r w:rsidRPr="00904FCB">
        <w:rPr>
          <w:rFonts w:hint="cs"/>
          <w:sz w:val="27"/>
          <w:vertAlign w:val="superscript"/>
          <w:rtl/>
        </w:rPr>
        <w:t>(</w:t>
      </w:r>
      <w:r w:rsidRPr="00904FCB">
        <w:rPr>
          <w:rStyle w:val="ac"/>
          <w:sz w:val="27"/>
          <w:rtl/>
        </w:rPr>
        <w:endnoteReference w:id="639"/>
      </w:r>
      <w:r w:rsidRPr="00904FCB">
        <w:rPr>
          <w:rFonts w:hint="cs"/>
          <w:sz w:val="27"/>
          <w:vertAlign w:val="superscript"/>
          <w:rtl/>
        </w:rPr>
        <w:t>)</w:t>
      </w:r>
      <w:r w:rsidRPr="00904FCB">
        <w:rPr>
          <w:rFonts w:ascii="Times New Roman" w:hAnsi="Times New Roman" w:hint="cs"/>
          <w:sz w:val="27"/>
          <w:rtl/>
          <w:lang w:bidi="fa-IR"/>
        </w:rPr>
        <w:t>.</w:t>
      </w:r>
    </w:p>
    <w:p w:rsidR="00336F3B" w:rsidRPr="00904FCB" w:rsidRDefault="00336F3B" w:rsidP="007A21AA">
      <w:pPr>
        <w:spacing w:line="400" w:lineRule="exact"/>
        <w:rPr>
          <w:rFonts w:ascii="Times New Roman" w:hAnsi="Times New Roman"/>
          <w:sz w:val="27"/>
          <w:vertAlign w:val="superscript"/>
          <w:rtl/>
          <w:lang w:bidi="fa-IR"/>
        </w:rPr>
      </w:pPr>
    </w:p>
    <w:p w:rsidR="00336F3B" w:rsidRPr="00904FCB" w:rsidRDefault="00336F3B" w:rsidP="007A21AA">
      <w:pPr>
        <w:pStyle w:val="31"/>
        <w:spacing w:line="400" w:lineRule="exact"/>
        <w:rPr>
          <w:color w:val="auto"/>
          <w:rtl/>
          <w:lang w:bidi="fa-IR"/>
        </w:rPr>
      </w:pPr>
      <w:r w:rsidRPr="001022E4">
        <w:rPr>
          <w:rFonts w:hint="cs"/>
          <w:color w:val="auto"/>
          <w:rtl/>
          <w:lang w:bidi="ar-LB"/>
        </w:rPr>
        <w:t>10ـ</w:t>
      </w:r>
      <w:r w:rsidRPr="001022E4">
        <w:rPr>
          <w:rFonts w:hint="cs"/>
          <w:color w:val="auto"/>
          <w:rtl/>
          <w:lang w:bidi="fa-IR"/>
        </w:rPr>
        <w:t xml:space="preserve"> شروط</w:t>
      </w:r>
      <w:r w:rsidRPr="00904FCB">
        <w:rPr>
          <w:rFonts w:hint="cs"/>
          <w:color w:val="auto"/>
          <w:rtl/>
          <w:lang w:bidi="fa-IR"/>
        </w:rPr>
        <w:t xml:space="preserve"> جواز قتال البغاة</w:t>
      </w:r>
    </w:p>
    <w:p w:rsidR="00336F3B" w:rsidRPr="00904FCB" w:rsidRDefault="00336F3B" w:rsidP="00C42E5F">
      <w:pPr>
        <w:spacing w:line="420" w:lineRule="exact"/>
        <w:ind w:firstLine="561"/>
        <w:rPr>
          <w:rFonts w:ascii="Times New Roman" w:hAnsi="Times New Roman"/>
          <w:sz w:val="27"/>
          <w:rtl/>
          <w:lang w:bidi="fa-IR"/>
        </w:rPr>
      </w:pPr>
      <w:r w:rsidRPr="00904FCB">
        <w:rPr>
          <w:rFonts w:ascii="Times New Roman" w:hAnsi="Times New Roman" w:hint="cs"/>
          <w:sz w:val="27"/>
          <w:rtl/>
          <w:lang w:bidi="fa-IR"/>
        </w:rPr>
        <w:t>قد ا</w:t>
      </w:r>
      <w:r w:rsidR="00697D38" w:rsidRPr="00904FCB">
        <w:rPr>
          <w:rFonts w:ascii="Times New Roman" w:hAnsi="Times New Roman" w:hint="cs"/>
          <w:sz w:val="27"/>
          <w:rtl/>
          <w:lang w:bidi="fa-IR"/>
        </w:rPr>
        <w:t>ش</w:t>
      </w:r>
      <w:r w:rsidRPr="00904FCB">
        <w:rPr>
          <w:rFonts w:ascii="Times New Roman" w:hAnsi="Times New Roman" w:hint="cs"/>
          <w:sz w:val="27"/>
          <w:rtl/>
          <w:lang w:bidi="fa-IR"/>
        </w:rPr>
        <w:t>ترط بعض الفقهاء لجواز قتال البغاة شروطاً</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نشير إليها في ما </w:t>
      </w:r>
      <w:r w:rsidR="00697D38" w:rsidRPr="00904FCB">
        <w:rPr>
          <w:rFonts w:ascii="Times New Roman" w:hAnsi="Times New Roman" w:hint="cs"/>
          <w:sz w:val="27"/>
          <w:rtl/>
          <w:lang w:bidi="fa-IR"/>
        </w:rPr>
        <w:t>يلي</w:t>
      </w:r>
      <w:r w:rsidRPr="00904FCB">
        <w:rPr>
          <w:rFonts w:ascii="Times New Roman" w:hAnsi="Times New Roman" w:hint="cs"/>
          <w:sz w:val="27"/>
          <w:rtl/>
          <w:lang w:bidi="fa-IR"/>
        </w:rPr>
        <w:t xml:space="preserve">: </w:t>
      </w:r>
    </w:p>
    <w:p w:rsidR="00336F3B" w:rsidRPr="00904FCB" w:rsidRDefault="00336F3B" w:rsidP="00C42E5F">
      <w:pPr>
        <w:spacing w:line="420" w:lineRule="exact"/>
        <w:ind w:firstLine="561"/>
        <w:rPr>
          <w:rFonts w:ascii="Times New Roman" w:hAnsi="Times New Roman"/>
          <w:sz w:val="27"/>
          <w:rtl/>
          <w:lang w:bidi="fa-IR"/>
        </w:rPr>
      </w:pPr>
      <w:r w:rsidRPr="00904FCB">
        <w:rPr>
          <w:rFonts w:ascii="Times New Roman" w:hAnsi="Times New Roman" w:hint="cs"/>
          <w:sz w:val="27"/>
          <w:rtl/>
          <w:lang w:bidi="fa-IR"/>
        </w:rPr>
        <w:t xml:space="preserve">أـ قال بعض الفقهاء: لا يصدق اسم </w:t>
      </w:r>
      <w:r w:rsidR="00697D38" w:rsidRPr="00904FCB">
        <w:rPr>
          <w:rFonts w:ascii="Times New Roman" w:hAnsi="Times New Roman" w:hint="cs"/>
          <w:sz w:val="27"/>
          <w:rtl/>
          <w:lang w:bidi="fa-IR"/>
        </w:rPr>
        <w:t>(</w:t>
      </w:r>
      <w:r w:rsidRPr="00904FCB">
        <w:rPr>
          <w:rFonts w:ascii="Times New Roman" w:hAnsi="Times New Roman" w:hint="cs"/>
          <w:sz w:val="27"/>
          <w:rtl/>
          <w:lang w:bidi="fa-IR"/>
        </w:rPr>
        <w:t>البغاة</w:t>
      </w:r>
      <w:r w:rsidR="00697D38" w:rsidRPr="00904FCB">
        <w:rPr>
          <w:rFonts w:ascii="Times New Roman" w:hAnsi="Times New Roman" w:hint="cs"/>
          <w:sz w:val="27"/>
          <w:rtl/>
          <w:lang w:bidi="fa-IR"/>
        </w:rPr>
        <w:t>) إ</w:t>
      </w:r>
      <w:r w:rsidRPr="00904FCB">
        <w:rPr>
          <w:rFonts w:ascii="Times New Roman" w:hAnsi="Times New Roman" w:hint="cs"/>
          <w:sz w:val="27"/>
          <w:rtl/>
          <w:lang w:bidi="fa-IR"/>
        </w:rPr>
        <w:t>لاّ</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جماعة</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كبيرة، فإذا خرج رجلٌ واحد أو شرذمة</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قليلة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لا</w:t>
      </w:r>
      <w:r w:rsidR="00697D38" w:rsidRPr="00904FCB">
        <w:rPr>
          <w:rFonts w:ascii="Times New Roman" w:hAnsi="Times New Roman" w:hint="cs"/>
          <w:sz w:val="27"/>
          <w:rtl/>
          <w:lang w:bidi="fa-IR"/>
        </w:rPr>
        <w:t xml:space="preserve"> </w:t>
      </w:r>
      <w:r w:rsidRPr="00904FCB">
        <w:rPr>
          <w:rFonts w:ascii="Times New Roman" w:hAnsi="Times New Roman" w:hint="cs"/>
          <w:sz w:val="27"/>
          <w:rtl/>
          <w:lang w:bidi="fa-IR"/>
        </w:rPr>
        <w:t>تترت</w:t>
      </w:r>
      <w:r w:rsidR="00697D38" w:rsidRPr="00904FCB">
        <w:rPr>
          <w:rFonts w:ascii="Times New Roman" w:hAnsi="Times New Roman" w:hint="cs"/>
          <w:sz w:val="27"/>
          <w:rtl/>
          <w:lang w:bidi="fa-IR"/>
        </w:rPr>
        <w:t>َّ</w:t>
      </w:r>
      <w:r w:rsidRPr="00904FCB">
        <w:rPr>
          <w:rFonts w:ascii="Times New Roman" w:hAnsi="Times New Roman" w:hint="cs"/>
          <w:sz w:val="27"/>
          <w:rtl/>
          <w:lang w:bidi="fa-IR"/>
        </w:rPr>
        <w:t>ب عليهم أحكام الباغي</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يقول الشيخ الطوسي في كتابة «المبسوط»: «</w:t>
      </w:r>
      <w:r w:rsidR="00697D38" w:rsidRPr="00904FCB">
        <w:rPr>
          <w:rFonts w:ascii="Times New Roman" w:hAnsi="Times New Roman" w:hint="cs"/>
          <w:sz w:val="27"/>
          <w:rtl/>
          <w:lang w:bidi="fa-IR"/>
        </w:rPr>
        <w:t>إ</w:t>
      </w:r>
      <w:r w:rsidRPr="00904FCB">
        <w:rPr>
          <w:rFonts w:ascii="Times New Roman" w:hAnsi="Times New Roman" w:hint="cs"/>
          <w:sz w:val="27"/>
          <w:rtl/>
          <w:lang w:bidi="fa-IR"/>
        </w:rPr>
        <w:t>ن</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خرج رجل</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وحده</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w:t>
      </w:r>
      <w:r w:rsidR="00697D38" w:rsidRPr="00904FCB">
        <w:rPr>
          <w:rFonts w:ascii="Times New Roman" w:hAnsi="Times New Roman" w:hint="cs"/>
          <w:sz w:val="27"/>
          <w:rtl/>
          <w:lang w:bidi="fa-IR"/>
        </w:rPr>
        <w:t xml:space="preserve">، </w:t>
      </w:r>
      <w:r w:rsidRPr="00904FCB">
        <w:rPr>
          <w:rFonts w:ascii="Times New Roman" w:hAnsi="Times New Roman" w:hint="cs"/>
          <w:sz w:val="27"/>
          <w:rtl/>
          <w:lang w:bidi="fa-IR"/>
        </w:rPr>
        <w:t>كابن ملجم</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فهو كافر</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ولا</w:t>
      </w:r>
      <w:r w:rsidR="00697D38" w:rsidRPr="00904FCB">
        <w:rPr>
          <w:rFonts w:ascii="Times New Roman" w:hAnsi="Times New Roman" w:hint="cs"/>
          <w:sz w:val="27"/>
          <w:rtl/>
          <w:lang w:bidi="fa-IR"/>
        </w:rPr>
        <w:t xml:space="preserve"> </w:t>
      </w:r>
      <w:r w:rsidRPr="00904FCB">
        <w:rPr>
          <w:rFonts w:ascii="Times New Roman" w:hAnsi="Times New Roman" w:hint="cs"/>
          <w:sz w:val="27"/>
          <w:rtl/>
          <w:lang w:bidi="fa-IR"/>
        </w:rPr>
        <w:t>ب</w:t>
      </w:r>
      <w:r w:rsidR="00697D38" w:rsidRPr="00904FCB">
        <w:rPr>
          <w:rFonts w:ascii="Times New Roman" w:hAnsi="Times New Roman" w:hint="cs"/>
          <w:sz w:val="27"/>
          <w:rtl/>
          <w:lang w:bidi="fa-IR"/>
        </w:rPr>
        <w:t>ُ</w:t>
      </w:r>
      <w:r w:rsidRPr="00904FCB">
        <w:rPr>
          <w:rFonts w:ascii="Times New Roman" w:hAnsi="Times New Roman" w:hint="cs"/>
          <w:sz w:val="27"/>
          <w:rtl/>
          <w:lang w:bidi="fa-IR"/>
        </w:rPr>
        <w:t>دّ</w:t>
      </w:r>
      <w:r w:rsidR="00697D38" w:rsidRPr="00904FCB">
        <w:rPr>
          <w:rFonts w:ascii="Times New Roman" w:hAnsi="Times New Roman" w:hint="cs"/>
          <w:sz w:val="27"/>
          <w:rtl/>
          <w:lang w:bidi="fa-IR"/>
        </w:rPr>
        <w:t>َ</w:t>
      </w:r>
      <w:r w:rsidRPr="00904FCB">
        <w:rPr>
          <w:rFonts w:ascii="Times New Roman" w:hAnsi="Times New Roman" w:hint="cs"/>
          <w:sz w:val="27"/>
          <w:rtl/>
          <w:lang w:bidi="fa-IR"/>
        </w:rPr>
        <w:t xml:space="preserve"> أن يقتصّ منه»</w:t>
      </w:r>
      <w:r w:rsidRPr="00904FCB">
        <w:rPr>
          <w:rFonts w:hint="cs"/>
          <w:sz w:val="27"/>
          <w:vertAlign w:val="superscript"/>
          <w:rtl/>
        </w:rPr>
        <w:t>(</w:t>
      </w:r>
      <w:r w:rsidRPr="00904FCB">
        <w:rPr>
          <w:rStyle w:val="ac"/>
          <w:sz w:val="27"/>
          <w:rtl/>
        </w:rPr>
        <w:endnoteReference w:id="640"/>
      </w:r>
      <w:r w:rsidRPr="00904FCB">
        <w:rPr>
          <w:rFonts w:hint="cs"/>
          <w:sz w:val="27"/>
          <w:vertAlign w:val="superscript"/>
          <w:rtl/>
        </w:rPr>
        <w:t>)</w:t>
      </w:r>
      <w:r w:rsidRPr="00904FCB">
        <w:rPr>
          <w:rFonts w:ascii="Times New Roman" w:hAnsi="Times New Roman" w:hint="cs"/>
          <w:sz w:val="27"/>
          <w:rtl/>
          <w:lang w:bidi="fa-IR"/>
        </w:rPr>
        <w:t>.</w:t>
      </w:r>
    </w:p>
    <w:p w:rsidR="00CB5382" w:rsidRPr="00904FCB" w:rsidRDefault="00336F3B" w:rsidP="00C42E5F">
      <w:pPr>
        <w:spacing w:line="420" w:lineRule="exact"/>
        <w:ind w:firstLine="561"/>
        <w:rPr>
          <w:rFonts w:ascii="Times New Roman" w:hAnsi="Times New Roman"/>
          <w:sz w:val="27"/>
          <w:rtl/>
          <w:lang w:bidi="fa-IR"/>
        </w:rPr>
      </w:pPr>
      <w:r w:rsidRPr="00904FCB">
        <w:rPr>
          <w:rFonts w:ascii="Times New Roman" w:hAnsi="Times New Roman" w:hint="cs"/>
          <w:b/>
          <w:bCs/>
          <w:sz w:val="27"/>
          <w:rtl/>
          <w:lang w:bidi="fa-IR"/>
        </w:rPr>
        <w:t>نقد الشرط المذكور</w:t>
      </w:r>
      <w:r w:rsidRPr="00904FCB">
        <w:rPr>
          <w:rFonts w:ascii="Times New Roman" w:hAnsi="Times New Roman" w:hint="cs"/>
          <w:sz w:val="27"/>
          <w:rtl/>
          <w:lang w:bidi="fa-IR"/>
        </w:rPr>
        <w:t>: قال بعض الفقهاء: لا يصحّ اشتراط هذا الشرط</w:t>
      </w:r>
      <w:r w:rsidR="00CB5382" w:rsidRPr="00904FCB">
        <w:rPr>
          <w:rFonts w:ascii="Times New Roman" w:hAnsi="Times New Roman" w:hint="cs"/>
          <w:sz w:val="27"/>
          <w:rtl/>
          <w:lang w:bidi="fa-IR"/>
        </w:rPr>
        <w:t>؛</w:t>
      </w:r>
      <w:r w:rsidRPr="00904FCB">
        <w:rPr>
          <w:rFonts w:ascii="Times New Roman" w:hAnsi="Times New Roman" w:hint="cs"/>
          <w:sz w:val="27"/>
          <w:rtl/>
          <w:lang w:bidi="fa-IR"/>
        </w:rPr>
        <w:t xml:space="preserve"> لأنّنا إن</w:t>
      </w:r>
      <w:r w:rsidR="00CB5382" w:rsidRPr="00904FCB">
        <w:rPr>
          <w:rFonts w:ascii="Times New Roman" w:hAnsi="Times New Roman" w:hint="cs"/>
          <w:sz w:val="27"/>
          <w:rtl/>
          <w:lang w:bidi="fa-IR"/>
        </w:rPr>
        <w:t>ْ</w:t>
      </w:r>
      <w:r w:rsidRPr="00904FCB">
        <w:rPr>
          <w:rFonts w:ascii="Times New Roman" w:hAnsi="Times New Roman" w:hint="cs"/>
          <w:sz w:val="27"/>
          <w:rtl/>
          <w:lang w:bidi="fa-IR"/>
        </w:rPr>
        <w:t xml:space="preserve"> نظرنا</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سبب نزول آية سورة الحجرات علمنا أنّ اعتداء رجل</w:t>
      </w:r>
      <w:r w:rsidR="00CB5382" w:rsidRPr="00904FCB">
        <w:rPr>
          <w:rFonts w:ascii="Times New Roman" w:hAnsi="Times New Roman" w:hint="cs"/>
          <w:sz w:val="27"/>
          <w:rtl/>
          <w:lang w:bidi="fa-IR"/>
        </w:rPr>
        <w:t>ٍ واحد</w:t>
      </w:r>
      <w:r w:rsidR="00340818" w:rsidRPr="00904FCB">
        <w:rPr>
          <w:rFonts w:ascii="Times New Roman" w:hAnsi="Times New Roman" w:hint="cs"/>
          <w:sz w:val="27"/>
          <w:rtl/>
          <w:lang w:bidi="fa-IR"/>
        </w:rPr>
        <w:t xml:space="preserve"> على </w:t>
      </w:r>
      <w:r w:rsidR="00CB5382" w:rsidRPr="00904FCB">
        <w:rPr>
          <w:rFonts w:ascii="Times New Roman" w:hAnsi="Times New Roman" w:hint="cs"/>
          <w:sz w:val="27"/>
          <w:rtl/>
          <w:lang w:bidi="fa-IR"/>
        </w:rPr>
        <w:t>غيره يُسمَّى</w:t>
      </w:r>
      <w:r w:rsidRPr="00904FCB">
        <w:rPr>
          <w:rFonts w:ascii="Times New Roman" w:hAnsi="Times New Roman" w:hint="cs"/>
          <w:sz w:val="27"/>
          <w:rtl/>
          <w:lang w:bidi="fa-IR"/>
        </w:rPr>
        <w:t xml:space="preserve"> بغياً</w:t>
      </w:r>
      <w:r w:rsidR="00CB5382" w:rsidRPr="00904FCB">
        <w:rPr>
          <w:rFonts w:ascii="Times New Roman" w:hAnsi="Times New Roman" w:hint="cs"/>
          <w:sz w:val="27"/>
          <w:rtl/>
          <w:lang w:bidi="fa-IR"/>
        </w:rPr>
        <w:t>؛</w:t>
      </w:r>
      <w:r w:rsidRPr="00904FCB">
        <w:rPr>
          <w:rFonts w:ascii="Times New Roman" w:hAnsi="Times New Roman" w:hint="cs"/>
          <w:sz w:val="27"/>
          <w:rtl/>
          <w:lang w:bidi="fa-IR"/>
        </w:rPr>
        <w:t xml:space="preserve"> لأن هذه الآية نزلت في رجلين من الأنصار</w:t>
      </w:r>
      <w:r w:rsidR="00CB5382" w:rsidRPr="00904FCB">
        <w:rPr>
          <w:rFonts w:ascii="Times New Roman" w:hAnsi="Times New Roman" w:hint="cs"/>
          <w:sz w:val="27"/>
          <w:rtl/>
          <w:lang w:bidi="fa-IR"/>
        </w:rPr>
        <w:t>.</w:t>
      </w:r>
    </w:p>
    <w:p w:rsidR="00336F3B" w:rsidRPr="00904FCB" w:rsidRDefault="00336F3B" w:rsidP="00C42E5F">
      <w:pPr>
        <w:spacing w:line="420" w:lineRule="exact"/>
        <w:ind w:firstLine="561"/>
        <w:rPr>
          <w:rFonts w:ascii="Times New Roman" w:hAnsi="Times New Roman"/>
          <w:sz w:val="27"/>
          <w:rtl/>
          <w:lang w:bidi="fa-IR"/>
        </w:rPr>
      </w:pPr>
      <w:r w:rsidRPr="00904FCB">
        <w:rPr>
          <w:rFonts w:ascii="Times New Roman" w:hAnsi="Times New Roman" w:hint="cs"/>
          <w:sz w:val="27"/>
          <w:rtl/>
          <w:lang w:bidi="fa-IR"/>
        </w:rPr>
        <w:t xml:space="preserve">قال ابن عربي في تفسير هذه الآية: «تدلّ لفظة </w:t>
      </w:r>
      <w:r w:rsidR="00CB5382" w:rsidRPr="00904FCB">
        <w:rPr>
          <w:rFonts w:ascii="Times New Roman" w:hAnsi="Times New Roman" w:hint="cs"/>
          <w:sz w:val="27"/>
          <w:rtl/>
          <w:lang w:bidi="fa-IR"/>
        </w:rPr>
        <w:t>(</w:t>
      </w:r>
      <w:r w:rsidRPr="00904FCB">
        <w:rPr>
          <w:rFonts w:ascii="Times New Roman" w:hAnsi="Times New Roman" w:hint="cs"/>
          <w:sz w:val="27"/>
          <w:rtl/>
          <w:lang w:bidi="fa-IR"/>
        </w:rPr>
        <w:t>الطائفة</w:t>
      </w:r>
      <w:r w:rsidR="00CB5382" w:rsidRPr="00904FCB">
        <w:rPr>
          <w:rFonts w:ascii="Times New Roman" w:hAnsi="Times New Roman" w:hint="cs"/>
          <w:sz w:val="27"/>
          <w:rtl/>
          <w:lang w:bidi="fa-IR"/>
        </w:rPr>
        <w:t>)</w:t>
      </w:r>
      <w:r w:rsidRPr="00904FCB">
        <w:rPr>
          <w:rFonts w:ascii="Times New Roman" w:hAnsi="Times New Roman" w:hint="cs"/>
          <w:sz w:val="27"/>
          <w:rtl/>
          <w:lang w:bidi="fa-IR"/>
        </w:rPr>
        <w:t xml:space="preserve"> في اللغة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الواحد</w:t>
      </w:r>
      <w:r w:rsidR="00CB5382" w:rsidRPr="00904FCB">
        <w:rPr>
          <w:rFonts w:ascii="Times New Roman" w:hAnsi="Times New Roman" w:hint="cs"/>
          <w:sz w:val="27"/>
          <w:rtl/>
          <w:lang w:bidi="fa-IR"/>
        </w:rPr>
        <w:t>،</w:t>
      </w:r>
      <w:r w:rsidRPr="00904FCB">
        <w:rPr>
          <w:rFonts w:ascii="Times New Roman" w:hAnsi="Times New Roman" w:hint="cs"/>
          <w:sz w:val="27"/>
          <w:rtl/>
          <w:lang w:bidi="fa-IR"/>
        </w:rPr>
        <w:t xml:space="preserve"> كما تدلّ</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المحصور»</w:t>
      </w:r>
      <w:r w:rsidRPr="00904FCB">
        <w:rPr>
          <w:rFonts w:hint="cs"/>
          <w:sz w:val="27"/>
          <w:vertAlign w:val="superscript"/>
          <w:rtl/>
        </w:rPr>
        <w:t>(</w:t>
      </w:r>
      <w:r w:rsidRPr="00904FCB">
        <w:rPr>
          <w:rStyle w:val="ac"/>
          <w:sz w:val="27"/>
          <w:rtl/>
        </w:rPr>
        <w:endnoteReference w:id="641"/>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F636E3">
      <w:pPr>
        <w:spacing w:line="420" w:lineRule="exact"/>
        <w:rPr>
          <w:rFonts w:ascii="Times New Roman" w:hAnsi="Times New Roman"/>
          <w:sz w:val="27"/>
          <w:rtl/>
          <w:lang w:bidi="fa-IR"/>
        </w:rPr>
      </w:pPr>
      <w:r w:rsidRPr="00904FCB">
        <w:rPr>
          <w:rFonts w:ascii="Times New Roman" w:hAnsi="Times New Roman" w:hint="cs"/>
          <w:sz w:val="27"/>
          <w:rtl/>
          <w:lang w:bidi="fa-IR"/>
        </w:rPr>
        <w:t>فَعُلِمَ أنّ كلمة الباغي تدلّ</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الواحد أيضاً، وليس بالضروري أن نقول: إذا كان الباغي واحداً لا يدخل تحت أحكام البغاة</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كما اشترط فقها</w:t>
      </w:r>
      <w:r w:rsidR="00D43E16" w:rsidRPr="00904FCB">
        <w:rPr>
          <w:rFonts w:ascii="Times New Roman" w:hAnsi="Times New Roman" w:hint="cs"/>
          <w:sz w:val="27"/>
          <w:rtl/>
          <w:lang w:bidi="fa-IR"/>
        </w:rPr>
        <w:t>ؤ</w:t>
      </w:r>
      <w:r w:rsidRPr="00904FCB">
        <w:rPr>
          <w:rFonts w:ascii="Times New Roman" w:hAnsi="Times New Roman" w:hint="cs"/>
          <w:sz w:val="27"/>
          <w:rtl/>
          <w:lang w:bidi="fa-IR"/>
        </w:rPr>
        <w:t xml:space="preserve">نا لجواز قتال </w:t>
      </w:r>
      <w:r w:rsidRPr="00904FCB">
        <w:rPr>
          <w:rFonts w:ascii="Times New Roman" w:hAnsi="Times New Roman" w:hint="cs"/>
          <w:sz w:val="27"/>
          <w:rtl/>
          <w:lang w:bidi="fa-IR"/>
        </w:rPr>
        <w:lastRenderedPageBreak/>
        <w:t>البغاة أن يكونوا جماعة</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كثيرة</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00D43E16" w:rsidRPr="00904FCB">
        <w:rPr>
          <w:rFonts w:ascii="Times New Roman" w:hAnsi="Times New Roman" w:hint="cs"/>
          <w:sz w:val="27"/>
          <w:rtl/>
          <w:lang w:bidi="fa-IR"/>
        </w:rPr>
        <w:t>و</w:t>
      </w:r>
      <w:r w:rsidRPr="00904FCB">
        <w:rPr>
          <w:rFonts w:ascii="Times New Roman" w:hAnsi="Times New Roman" w:hint="cs"/>
          <w:sz w:val="27"/>
          <w:rtl/>
          <w:lang w:bidi="fa-IR"/>
        </w:rPr>
        <w:t>ي</w:t>
      </w:r>
      <w:r w:rsidR="00D43E16" w:rsidRPr="00904FCB">
        <w:rPr>
          <w:rFonts w:ascii="Times New Roman" w:hAnsi="Times New Roman" w:hint="cs"/>
          <w:sz w:val="27"/>
          <w:rtl/>
          <w:lang w:bidi="fa-IR"/>
        </w:rPr>
        <w:t>ؤ</w:t>
      </w:r>
      <w:r w:rsidRPr="00904FCB">
        <w:rPr>
          <w:rFonts w:ascii="Times New Roman" w:hAnsi="Times New Roman" w:hint="cs"/>
          <w:sz w:val="27"/>
          <w:rtl/>
          <w:lang w:bidi="fa-IR"/>
        </w:rPr>
        <w:t>ي</w:t>
      </w:r>
      <w:r w:rsidR="00D43E16" w:rsidRPr="00904FCB">
        <w:rPr>
          <w:rFonts w:ascii="Times New Roman" w:hAnsi="Times New Roman" w:hint="cs"/>
          <w:sz w:val="27"/>
          <w:rtl/>
          <w:lang w:bidi="fa-IR"/>
        </w:rPr>
        <w:t>ِّد</w:t>
      </w:r>
      <w:r w:rsidRPr="00904FCB">
        <w:rPr>
          <w:rFonts w:ascii="Times New Roman" w:hAnsi="Times New Roman" w:hint="cs"/>
          <w:sz w:val="27"/>
          <w:rtl/>
          <w:lang w:bidi="fa-IR"/>
        </w:rPr>
        <w:t xml:space="preserve"> ذلك القولَ نصّ</w:t>
      </w:r>
      <w:r w:rsidR="00C42E5F">
        <w:rPr>
          <w:rFonts w:ascii="Times New Roman" w:hAnsi="Times New Roman" w:hint="cs"/>
          <w:sz w:val="27"/>
          <w:rtl/>
          <w:lang w:bidi="fa-IR"/>
        </w:rPr>
        <w:t>ُ</w:t>
      </w:r>
      <w:r w:rsidRPr="00904FCB">
        <w:rPr>
          <w:rFonts w:ascii="Times New Roman" w:hAnsi="Times New Roman" w:hint="cs"/>
          <w:sz w:val="27"/>
          <w:rtl/>
          <w:lang w:bidi="fa-IR"/>
        </w:rPr>
        <w:t xml:space="preserve"> القرآن</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وذلك أقرب</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الواقع لأنّه لا توجد حجّة شرعية دالّة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اشتراط الجماعة للبغاة</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لأنّ لفظ الآية عامّ</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ويدلّ</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الواحد أيضاً</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ولا حاجة</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أن نكتفي بصنيع الإمام علي</w:t>
      </w:r>
      <w:r w:rsidR="00D43E16" w:rsidRPr="00904FCB">
        <w:rPr>
          <w:rFonts w:ascii="Times New Roman" w:hAnsi="Times New Roman" w:hint="cs"/>
          <w:sz w:val="27"/>
          <w:rtl/>
          <w:lang w:bidi="fa-IR"/>
        </w:rPr>
        <w:t>ّ</w:t>
      </w:r>
      <w:r w:rsidRPr="00904FCB">
        <w:rPr>
          <w:rFonts w:ascii="Times New Roman" w:hAnsi="Times New Roman" w:hint="cs"/>
          <w:sz w:val="27"/>
          <w:rtl/>
          <w:lang w:bidi="fa-IR"/>
        </w:rPr>
        <w:t>(</w:t>
      </w:r>
      <w:r w:rsidR="00D43E16" w:rsidRPr="00904FCB">
        <w:rPr>
          <w:rFonts w:ascii="Times New Roman" w:hAnsi="Times New Roman" w:hint="cs"/>
          <w:sz w:val="27"/>
          <w:rtl/>
          <w:lang w:bidi="fa-IR"/>
        </w:rPr>
        <w:t>رضي الله عنه</w:t>
      </w:r>
      <w:r w:rsidRPr="00904FCB">
        <w:rPr>
          <w:rFonts w:ascii="Times New Roman" w:hAnsi="Times New Roman" w:hint="cs"/>
          <w:sz w:val="27"/>
          <w:rtl/>
          <w:lang w:bidi="fa-IR"/>
        </w:rPr>
        <w:t>)</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لأنّ تلك الوقائع تتعلّق بزمن</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خاص</w:t>
      </w:r>
      <w:r w:rsidR="00D43E16" w:rsidRPr="00904FCB">
        <w:rPr>
          <w:rFonts w:ascii="Times New Roman" w:hAnsi="Times New Roman" w:hint="cs"/>
          <w:sz w:val="27"/>
          <w:rtl/>
          <w:lang w:bidi="fa-IR"/>
        </w:rPr>
        <w:t>ّ</w:t>
      </w:r>
      <w:r w:rsidRPr="00904FCB">
        <w:rPr>
          <w:rFonts w:ascii="Times New Roman" w:hAnsi="Times New Roman" w:hint="cs"/>
          <w:sz w:val="27"/>
          <w:rtl/>
          <w:lang w:bidi="fa-IR"/>
        </w:rPr>
        <w:t>، ولم يكن أهل الجمل محاربين</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لأنهم </w:t>
      </w:r>
      <w:r w:rsidR="00D43E16" w:rsidRPr="00904FCB">
        <w:rPr>
          <w:rFonts w:ascii="Times New Roman" w:hAnsi="Times New Roman" w:hint="cs"/>
          <w:sz w:val="27"/>
          <w:rtl/>
          <w:lang w:bidi="fa-IR"/>
        </w:rPr>
        <w:t>لو</w:t>
      </w:r>
      <w:r w:rsidRPr="00904FCB">
        <w:rPr>
          <w:rFonts w:ascii="Times New Roman" w:hAnsi="Times New Roman" w:hint="cs"/>
          <w:sz w:val="27"/>
          <w:rtl/>
          <w:lang w:bidi="fa-IR"/>
        </w:rPr>
        <w:t xml:space="preserve"> كانوا محاربين لَما سالمَهم علي</w:t>
      </w:r>
      <w:r w:rsidR="00D43E16" w:rsidRPr="00904FCB">
        <w:rPr>
          <w:rFonts w:ascii="Times New Roman" w:hAnsi="Times New Roman" w:hint="cs"/>
          <w:sz w:val="27"/>
          <w:rtl/>
          <w:lang w:bidi="fa-IR"/>
        </w:rPr>
        <w:t>ٌّ</w:t>
      </w:r>
      <w:r w:rsidRPr="00904FCB">
        <w:rPr>
          <w:rFonts w:ascii="Times New Roman" w:hAnsi="Times New Roman" w:hint="cs"/>
          <w:sz w:val="27"/>
          <w:rtl/>
          <w:lang w:bidi="fa-IR"/>
        </w:rPr>
        <w:t>(</w:t>
      </w:r>
      <w:r w:rsidR="00D43E16" w:rsidRPr="00904FCB">
        <w:rPr>
          <w:rFonts w:ascii="Times New Roman" w:hAnsi="Times New Roman" w:hint="cs"/>
          <w:sz w:val="27"/>
          <w:rtl/>
          <w:lang w:bidi="fa-IR"/>
        </w:rPr>
        <w:t>رضي الله عنه</w:t>
      </w:r>
      <w:r w:rsidRPr="00904FCB">
        <w:rPr>
          <w:rFonts w:ascii="Times New Roman" w:hAnsi="Times New Roman" w:hint="cs"/>
          <w:sz w:val="27"/>
          <w:rtl/>
          <w:lang w:bidi="fa-IR"/>
        </w:rPr>
        <w:t>) بعد القتال</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لأنّ عقوبة المحارب في فقه الشيعة بعد قدرة الإمام عليه أن لا</w:t>
      </w:r>
      <w:r w:rsidR="00D43E16" w:rsidRPr="00904FCB">
        <w:rPr>
          <w:rFonts w:ascii="Times New Roman" w:hAnsi="Times New Roman" w:hint="cs"/>
          <w:sz w:val="27"/>
          <w:rtl/>
          <w:lang w:bidi="fa-IR"/>
        </w:rPr>
        <w:t xml:space="preserve"> </w:t>
      </w:r>
      <w:r w:rsidRPr="00904FCB">
        <w:rPr>
          <w:rFonts w:ascii="Times New Roman" w:hAnsi="Times New Roman" w:hint="cs"/>
          <w:sz w:val="27"/>
          <w:rtl/>
          <w:lang w:bidi="fa-IR"/>
        </w:rPr>
        <w:t>يعفو عنه</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ولا</w:t>
      </w:r>
      <w:r w:rsidR="00D43E16" w:rsidRPr="00904FCB">
        <w:rPr>
          <w:rFonts w:ascii="Times New Roman" w:hAnsi="Times New Roman" w:hint="cs"/>
          <w:sz w:val="27"/>
          <w:rtl/>
          <w:lang w:bidi="fa-IR"/>
        </w:rPr>
        <w:t xml:space="preserve"> </w:t>
      </w:r>
      <w:r w:rsidRPr="00904FCB">
        <w:rPr>
          <w:rFonts w:ascii="Times New Roman" w:hAnsi="Times New Roman" w:hint="cs"/>
          <w:sz w:val="27"/>
          <w:rtl/>
          <w:lang w:bidi="fa-IR"/>
        </w:rPr>
        <w:t>يقبل لهم شفاعة، ولكن</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الباغي إذا أُخذ بعد إجرامه يجوز للإمام أ</w:t>
      </w:r>
      <w:r w:rsidR="00D43E16" w:rsidRPr="00904FCB">
        <w:rPr>
          <w:rFonts w:ascii="Times New Roman" w:hAnsi="Times New Roman" w:hint="cs"/>
          <w:sz w:val="27"/>
          <w:rtl/>
          <w:lang w:bidi="fa-IR"/>
        </w:rPr>
        <w:t>ن</w:t>
      </w:r>
      <w:r w:rsidRPr="00904FCB">
        <w:rPr>
          <w:rFonts w:ascii="Times New Roman" w:hAnsi="Times New Roman" w:hint="cs"/>
          <w:sz w:val="27"/>
          <w:rtl/>
          <w:lang w:bidi="fa-IR"/>
        </w:rPr>
        <w:t xml:space="preserve"> يعفو عنه ويقبل توبته</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ولو كان ا</w:t>
      </w:r>
      <w:r w:rsidR="00D43E16" w:rsidRPr="00904FCB">
        <w:rPr>
          <w:rFonts w:ascii="Times New Roman" w:hAnsi="Times New Roman" w:hint="cs"/>
          <w:sz w:val="27"/>
          <w:rtl/>
          <w:lang w:bidi="fa-IR"/>
        </w:rPr>
        <w:t>ب</w:t>
      </w:r>
      <w:r w:rsidRPr="00904FCB">
        <w:rPr>
          <w:rFonts w:ascii="Times New Roman" w:hAnsi="Times New Roman" w:hint="cs"/>
          <w:sz w:val="27"/>
          <w:rtl/>
          <w:lang w:bidi="fa-IR"/>
        </w:rPr>
        <w:t xml:space="preserve">ن </w:t>
      </w:r>
      <w:r w:rsidR="00D43E16" w:rsidRPr="00904FCB">
        <w:rPr>
          <w:rFonts w:ascii="Times New Roman" w:hAnsi="Times New Roman" w:hint="cs"/>
          <w:sz w:val="27"/>
          <w:rtl/>
          <w:lang w:bidi="fa-IR"/>
        </w:rPr>
        <w:t>م</w:t>
      </w:r>
      <w:r w:rsidRPr="00904FCB">
        <w:rPr>
          <w:rFonts w:ascii="Times New Roman" w:hAnsi="Times New Roman" w:hint="cs"/>
          <w:sz w:val="27"/>
          <w:rtl/>
          <w:lang w:bidi="fa-IR"/>
        </w:rPr>
        <w:t>لجم محارباً لكان علي</w:t>
      </w:r>
      <w:r w:rsidR="00D43E16" w:rsidRPr="00904FCB">
        <w:rPr>
          <w:rFonts w:ascii="Times New Roman" w:hAnsi="Times New Roman" w:hint="cs"/>
          <w:sz w:val="27"/>
          <w:rtl/>
          <w:lang w:bidi="fa-IR"/>
        </w:rPr>
        <w:t>ٌّ</w:t>
      </w:r>
      <w:r w:rsidRPr="00904FCB">
        <w:rPr>
          <w:rFonts w:ascii="Times New Roman" w:hAnsi="Times New Roman" w:hint="cs"/>
          <w:sz w:val="27"/>
          <w:rtl/>
          <w:lang w:bidi="fa-IR"/>
        </w:rPr>
        <w:t>(</w:t>
      </w:r>
      <w:r w:rsidR="00D43E16" w:rsidRPr="00904FCB">
        <w:rPr>
          <w:rFonts w:ascii="Times New Roman" w:hAnsi="Times New Roman" w:hint="cs"/>
          <w:sz w:val="27"/>
          <w:rtl/>
          <w:lang w:bidi="fa-IR"/>
        </w:rPr>
        <w:t>رضي الله عنه</w:t>
      </w:r>
      <w:r w:rsidRPr="00904FCB">
        <w:rPr>
          <w:rFonts w:ascii="Times New Roman" w:hAnsi="Times New Roman" w:hint="cs"/>
          <w:sz w:val="27"/>
          <w:rtl/>
          <w:lang w:bidi="fa-IR"/>
        </w:rPr>
        <w:t>) ي</w:t>
      </w:r>
      <w:r w:rsidR="00D43E16" w:rsidRPr="00904FCB">
        <w:rPr>
          <w:rFonts w:ascii="Times New Roman" w:hAnsi="Times New Roman" w:hint="cs"/>
          <w:sz w:val="27"/>
          <w:rtl/>
          <w:lang w:bidi="fa-IR"/>
        </w:rPr>
        <w:t>جري</w:t>
      </w:r>
      <w:r w:rsidRPr="00904FCB">
        <w:rPr>
          <w:rFonts w:ascii="Times New Roman" w:hAnsi="Times New Roman" w:hint="cs"/>
          <w:sz w:val="27"/>
          <w:rtl/>
          <w:lang w:bidi="fa-IR"/>
        </w:rPr>
        <w:t xml:space="preserve"> عليه حدّ المحاربين</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أو كان يوصي أولاده بذلك</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ولكن</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لم يفعل، بل كان ابن ملجم باغياً خارجاً</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واجب القتل، ولكن</w:t>
      </w:r>
      <w:r w:rsidR="00D43E16" w:rsidRPr="00904FCB">
        <w:rPr>
          <w:rFonts w:ascii="Times New Roman" w:hAnsi="Times New Roman" w:hint="cs"/>
          <w:sz w:val="27"/>
          <w:rtl/>
          <w:lang w:bidi="fa-IR"/>
        </w:rPr>
        <w:t>ْ بعد</w:t>
      </w:r>
      <w:r w:rsidRPr="00904FCB">
        <w:rPr>
          <w:rFonts w:ascii="Times New Roman" w:hAnsi="Times New Roman" w:hint="cs"/>
          <w:sz w:val="27"/>
          <w:rtl/>
          <w:lang w:bidi="fa-IR"/>
        </w:rPr>
        <w:t>ما قُبض عليه كان يجوز للإمام علي</w:t>
      </w:r>
      <w:r w:rsidR="00D43E16" w:rsidRPr="00904FCB">
        <w:rPr>
          <w:rFonts w:ascii="Times New Roman" w:hAnsi="Times New Roman" w:hint="cs"/>
          <w:sz w:val="27"/>
          <w:rtl/>
          <w:lang w:bidi="fa-IR"/>
        </w:rPr>
        <w:t>ّ</w:t>
      </w:r>
      <w:r w:rsidRPr="00904FCB">
        <w:rPr>
          <w:rFonts w:ascii="Times New Roman" w:hAnsi="Times New Roman" w:hint="cs"/>
          <w:sz w:val="27"/>
          <w:rtl/>
          <w:lang w:bidi="fa-IR"/>
        </w:rPr>
        <w:t>(</w:t>
      </w:r>
      <w:r w:rsidR="00D43E16" w:rsidRPr="00904FCB">
        <w:rPr>
          <w:rFonts w:ascii="Times New Roman" w:hAnsi="Times New Roman" w:hint="cs"/>
          <w:sz w:val="27"/>
          <w:rtl/>
          <w:lang w:bidi="fa-IR"/>
        </w:rPr>
        <w:t>رضي الله عنه</w:t>
      </w:r>
      <w:r w:rsidRPr="00904FCB">
        <w:rPr>
          <w:rFonts w:ascii="Times New Roman" w:hAnsi="Times New Roman" w:hint="cs"/>
          <w:sz w:val="27"/>
          <w:rtl/>
          <w:lang w:bidi="fa-IR"/>
        </w:rPr>
        <w:t>) أن يعفو عنه»</w:t>
      </w:r>
      <w:r w:rsidRPr="00904FCB">
        <w:rPr>
          <w:rFonts w:hint="cs"/>
          <w:sz w:val="27"/>
          <w:vertAlign w:val="superscript"/>
          <w:rtl/>
        </w:rPr>
        <w:t>(</w:t>
      </w:r>
      <w:r w:rsidRPr="00904FCB">
        <w:rPr>
          <w:rStyle w:val="ac"/>
          <w:sz w:val="27"/>
          <w:rtl/>
        </w:rPr>
        <w:endnoteReference w:id="642"/>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F636E3">
      <w:pPr>
        <w:spacing w:line="410" w:lineRule="exact"/>
        <w:rPr>
          <w:rFonts w:ascii="Times New Roman" w:hAnsi="Times New Roman"/>
          <w:sz w:val="27"/>
          <w:rtl/>
          <w:lang w:bidi="fa-IR"/>
        </w:rPr>
      </w:pPr>
      <w:r w:rsidRPr="00904FCB">
        <w:rPr>
          <w:rFonts w:ascii="Times New Roman" w:hAnsi="Times New Roman" w:hint="cs"/>
          <w:noProof/>
          <w:sz w:val="27"/>
          <w:rtl/>
        </w:rPr>
        <w:t>ب ـ</w:t>
      </w:r>
      <w:r w:rsidRPr="00904FCB">
        <w:rPr>
          <w:rFonts w:ascii="Times New Roman" w:hAnsi="Times New Roman" w:hint="cs"/>
          <w:sz w:val="27"/>
          <w:rtl/>
          <w:lang w:bidi="fa-IR"/>
        </w:rPr>
        <w:t xml:space="preserve"> قال بعض الفقهاء: يشترط للبغاة أن يخرجوا من سلطة الإمام</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ويسكنوا في غير بلده</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أو يسكنوا في قرية</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أو بادية، ولكن</w:t>
      </w:r>
      <w:r w:rsidR="00D43E16" w:rsidRPr="00904FCB">
        <w:rPr>
          <w:rFonts w:ascii="Times New Roman" w:hAnsi="Times New Roman" w:hint="cs"/>
          <w:sz w:val="27"/>
          <w:rtl/>
          <w:lang w:bidi="fa-IR"/>
        </w:rPr>
        <w:t>ْ</w:t>
      </w:r>
      <w:r w:rsidRPr="00904FCB">
        <w:rPr>
          <w:rFonts w:ascii="Times New Roman" w:hAnsi="Times New Roman" w:hint="cs"/>
          <w:sz w:val="27"/>
          <w:rtl/>
          <w:lang w:bidi="fa-IR"/>
        </w:rPr>
        <w:t xml:space="preserve"> إذا كانوا في سلطة الإمام لا ي</w:t>
      </w:r>
      <w:r w:rsidR="00D43E16" w:rsidRPr="00904FCB">
        <w:rPr>
          <w:rFonts w:ascii="Times New Roman" w:hAnsi="Times New Roman" w:hint="cs"/>
          <w:sz w:val="27"/>
          <w:rtl/>
          <w:lang w:bidi="fa-IR"/>
        </w:rPr>
        <w:t>ُ</w:t>
      </w:r>
      <w:r w:rsidRPr="00904FCB">
        <w:rPr>
          <w:rFonts w:ascii="Times New Roman" w:hAnsi="Times New Roman" w:hint="cs"/>
          <w:sz w:val="27"/>
          <w:rtl/>
          <w:lang w:bidi="fa-IR"/>
        </w:rPr>
        <w:t>عَدّ</w:t>
      </w:r>
      <w:r w:rsidR="00D43E16" w:rsidRPr="00904FCB">
        <w:rPr>
          <w:rFonts w:ascii="Times New Roman" w:hAnsi="Times New Roman" w:hint="cs"/>
          <w:sz w:val="27"/>
          <w:rtl/>
          <w:lang w:bidi="fa-IR"/>
        </w:rPr>
        <w:t>ُ</w:t>
      </w:r>
      <w:r w:rsidRPr="00904FCB">
        <w:rPr>
          <w:rFonts w:ascii="Times New Roman" w:hAnsi="Times New Roman" w:hint="cs"/>
          <w:sz w:val="27"/>
          <w:rtl/>
          <w:lang w:bidi="fa-IR"/>
        </w:rPr>
        <w:t>ون بغاة</w:t>
      </w:r>
      <w:r w:rsidRPr="00904FCB">
        <w:rPr>
          <w:rFonts w:hint="cs"/>
          <w:sz w:val="27"/>
          <w:vertAlign w:val="superscript"/>
          <w:rtl/>
        </w:rPr>
        <w:t>(</w:t>
      </w:r>
      <w:r w:rsidRPr="00904FCB">
        <w:rPr>
          <w:rStyle w:val="ac"/>
          <w:sz w:val="27"/>
          <w:rtl/>
        </w:rPr>
        <w:endnoteReference w:id="643"/>
      </w:r>
      <w:r w:rsidRPr="00904FCB">
        <w:rPr>
          <w:rFonts w:hint="cs"/>
          <w:sz w:val="27"/>
          <w:vertAlign w:val="superscript"/>
          <w:rtl/>
        </w:rPr>
        <w:t>)</w:t>
      </w:r>
      <w:r w:rsidRPr="00904FCB">
        <w:rPr>
          <w:rFonts w:ascii="Times New Roman" w:hAnsi="Times New Roman" w:hint="cs"/>
          <w:sz w:val="27"/>
          <w:rtl/>
          <w:lang w:bidi="fa-IR"/>
        </w:rPr>
        <w:t xml:space="preserve">. </w:t>
      </w:r>
      <w:r w:rsidR="00D43E16" w:rsidRPr="00904FCB">
        <w:rPr>
          <w:rFonts w:ascii="Times New Roman" w:hAnsi="Times New Roman" w:hint="cs"/>
          <w:sz w:val="27"/>
          <w:rtl/>
          <w:lang w:bidi="fa-IR"/>
        </w:rPr>
        <w:t>ويستدلُّ</w:t>
      </w:r>
      <w:r w:rsidRPr="00904FCB">
        <w:rPr>
          <w:rFonts w:ascii="Times New Roman" w:hAnsi="Times New Roman" w:hint="cs"/>
          <w:sz w:val="27"/>
          <w:rtl/>
          <w:lang w:bidi="fa-IR"/>
        </w:rPr>
        <w:t>ون بالواقعة التي كان الإمام علي</w:t>
      </w:r>
      <w:r w:rsidR="00D43E16" w:rsidRPr="00904FCB">
        <w:rPr>
          <w:rFonts w:ascii="Times New Roman" w:hAnsi="Times New Roman" w:hint="cs"/>
          <w:sz w:val="27"/>
          <w:rtl/>
          <w:lang w:bidi="fa-IR"/>
        </w:rPr>
        <w:t>ّ</w:t>
      </w:r>
      <w:r w:rsidRPr="00904FCB">
        <w:rPr>
          <w:rFonts w:ascii="Times New Roman" w:hAnsi="Times New Roman" w:hint="cs"/>
          <w:sz w:val="27"/>
          <w:rtl/>
          <w:lang w:bidi="fa-IR"/>
        </w:rPr>
        <w:t>(</w:t>
      </w:r>
      <w:r w:rsidR="00D43E16" w:rsidRPr="00904FCB">
        <w:rPr>
          <w:rFonts w:ascii="Times New Roman" w:hAnsi="Times New Roman" w:hint="cs"/>
          <w:sz w:val="27"/>
          <w:rtl/>
          <w:lang w:bidi="fa-IR"/>
        </w:rPr>
        <w:t>رضي الله عنه</w:t>
      </w:r>
      <w:r w:rsidRPr="00904FCB">
        <w:rPr>
          <w:rFonts w:ascii="Times New Roman" w:hAnsi="Times New Roman" w:hint="cs"/>
          <w:sz w:val="27"/>
          <w:rtl/>
          <w:lang w:bidi="fa-IR"/>
        </w:rPr>
        <w:t>) يخطب</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إذ دخل عليه رجال</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وهتفوا: «إن</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الحكم </w:t>
      </w:r>
      <w:r w:rsidR="007F5300" w:rsidRPr="00904FCB">
        <w:rPr>
          <w:rFonts w:ascii="Times New Roman" w:hAnsi="Times New Roman" w:hint="cs"/>
          <w:sz w:val="27"/>
          <w:rtl/>
          <w:lang w:bidi="fa-IR"/>
        </w:rPr>
        <w:t>إ</w:t>
      </w:r>
      <w:r w:rsidRPr="00904FCB">
        <w:rPr>
          <w:rFonts w:ascii="Times New Roman" w:hAnsi="Times New Roman" w:hint="cs"/>
          <w:sz w:val="27"/>
          <w:rtl/>
          <w:lang w:bidi="fa-IR"/>
        </w:rPr>
        <w:t>لاّ</w:t>
      </w:r>
      <w:r w:rsidR="007F5300" w:rsidRPr="00904FCB">
        <w:rPr>
          <w:rFonts w:ascii="Times New Roman" w:hAnsi="Times New Roman" w:hint="cs"/>
          <w:sz w:val="27"/>
          <w:rtl/>
          <w:lang w:bidi="fa-IR"/>
        </w:rPr>
        <w:t xml:space="preserve"> لل</w:t>
      </w:r>
      <w:r w:rsidRPr="00904FCB">
        <w:rPr>
          <w:rFonts w:ascii="Times New Roman" w:hAnsi="Times New Roman" w:hint="cs"/>
          <w:sz w:val="27"/>
          <w:rtl/>
          <w:lang w:bidi="fa-IR"/>
        </w:rPr>
        <w:t>ه»</w:t>
      </w:r>
      <w:r w:rsidRPr="00904FCB">
        <w:rPr>
          <w:rFonts w:hint="cs"/>
          <w:sz w:val="27"/>
          <w:vertAlign w:val="superscript"/>
          <w:rtl/>
        </w:rPr>
        <w:t>(</w:t>
      </w:r>
      <w:r w:rsidRPr="00904FCB">
        <w:rPr>
          <w:rStyle w:val="ac"/>
          <w:sz w:val="27"/>
          <w:rtl/>
        </w:rPr>
        <w:endnoteReference w:id="644"/>
      </w:r>
      <w:r w:rsidRPr="00904FCB">
        <w:rPr>
          <w:rFonts w:hint="cs"/>
          <w:sz w:val="27"/>
          <w:vertAlign w:val="superscript"/>
          <w:rtl/>
        </w:rPr>
        <w:t>)</w:t>
      </w:r>
      <w:r w:rsidR="007F5300" w:rsidRPr="00904FCB">
        <w:rPr>
          <w:rFonts w:hint="cs"/>
          <w:sz w:val="27"/>
          <w:rtl/>
        </w:rPr>
        <w:t xml:space="preserve">. </w:t>
      </w:r>
      <w:r w:rsidRPr="00904FCB">
        <w:rPr>
          <w:rFonts w:ascii="Times New Roman" w:hAnsi="Times New Roman" w:hint="cs"/>
          <w:sz w:val="27"/>
          <w:rtl/>
          <w:lang w:bidi="fa-IR"/>
        </w:rPr>
        <w:t>ويستدلّ الفقهاء بأنّ الإمام علي</w:t>
      </w:r>
      <w:r w:rsidR="007F5300" w:rsidRPr="00904FCB">
        <w:rPr>
          <w:rFonts w:ascii="Times New Roman" w:hAnsi="Times New Roman" w:hint="cs"/>
          <w:sz w:val="27"/>
          <w:rtl/>
          <w:lang w:bidi="fa-IR"/>
        </w:rPr>
        <w:t>ّ</w:t>
      </w:r>
      <w:r w:rsidRPr="00904FCB">
        <w:rPr>
          <w:rFonts w:ascii="Times New Roman" w:hAnsi="Times New Roman" w:hint="cs"/>
          <w:sz w:val="27"/>
          <w:rtl/>
          <w:lang w:bidi="fa-IR"/>
        </w:rPr>
        <w:t>اً(</w:t>
      </w:r>
      <w:r w:rsidR="007F5300" w:rsidRPr="00904FCB">
        <w:rPr>
          <w:rFonts w:ascii="Times New Roman" w:hAnsi="Times New Roman" w:hint="cs"/>
          <w:sz w:val="27"/>
          <w:rtl/>
          <w:lang w:bidi="fa-IR"/>
        </w:rPr>
        <w:t>رضي الله عنه</w:t>
      </w:r>
      <w:r w:rsidRPr="00904FCB">
        <w:rPr>
          <w:rFonts w:ascii="Times New Roman" w:hAnsi="Times New Roman" w:hint="cs"/>
          <w:sz w:val="27"/>
          <w:rtl/>
          <w:lang w:bidi="fa-IR"/>
        </w:rPr>
        <w:t>) أثبت لهم حقوقاً، وهذا دليل</w:t>
      </w:r>
      <w:r w:rsidR="007F5300" w:rsidRPr="00904FCB">
        <w:rPr>
          <w:rFonts w:ascii="Times New Roman" w:hAnsi="Times New Roman" w:hint="cs"/>
          <w:sz w:val="27"/>
          <w:rtl/>
          <w:lang w:bidi="fa-IR"/>
        </w:rPr>
        <w:t>ٌ</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خروجهم</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ويعدّون ذلك من الشروط والأحكام المترت</w:t>
      </w:r>
      <w:r w:rsidR="007F5300" w:rsidRPr="00904FCB">
        <w:rPr>
          <w:rFonts w:ascii="Times New Roman" w:hAnsi="Times New Roman" w:hint="cs"/>
          <w:sz w:val="27"/>
          <w:rtl/>
          <w:lang w:bidi="fa-IR"/>
        </w:rPr>
        <w:t>ِّ</w:t>
      </w:r>
      <w:r w:rsidRPr="00904FCB">
        <w:rPr>
          <w:rFonts w:ascii="Times New Roman" w:hAnsi="Times New Roman" w:hint="cs"/>
          <w:sz w:val="27"/>
          <w:rtl/>
          <w:lang w:bidi="fa-IR"/>
        </w:rPr>
        <w:t>بة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البغاة، والحقوق الثلاثة هي: «لا</w:t>
      </w:r>
      <w:r w:rsidR="007F5300" w:rsidRPr="00904FCB">
        <w:rPr>
          <w:rFonts w:ascii="Times New Roman" w:hAnsi="Times New Roman" w:hint="cs"/>
          <w:sz w:val="27"/>
          <w:rtl/>
          <w:lang w:bidi="fa-IR"/>
        </w:rPr>
        <w:t xml:space="preserve"> </w:t>
      </w:r>
      <w:r w:rsidRPr="00904FCB">
        <w:rPr>
          <w:rFonts w:ascii="Times New Roman" w:hAnsi="Times New Roman" w:hint="cs"/>
          <w:sz w:val="27"/>
          <w:rtl/>
          <w:lang w:bidi="fa-IR"/>
        </w:rPr>
        <w:t>نمنعكم عن دخول مساجد</w:t>
      </w:r>
      <w:r w:rsidR="007F5300" w:rsidRPr="00904FCB">
        <w:rPr>
          <w:rFonts w:ascii="Times New Roman" w:hAnsi="Times New Roman" w:hint="cs"/>
          <w:sz w:val="27"/>
          <w:rtl/>
          <w:lang w:bidi="fa-IR"/>
        </w:rPr>
        <w:t xml:space="preserve"> </w:t>
      </w:r>
      <w:r w:rsidRPr="00904FCB">
        <w:rPr>
          <w:rFonts w:ascii="Times New Roman" w:hAnsi="Times New Roman" w:hint="cs"/>
          <w:sz w:val="27"/>
          <w:rtl/>
          <w:lang w:bidi="fa-IR"/>
        </w:rPr>
        <w:t>الله</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ولا</w:t>
      </w:r>
      <w:r w:rsidR="007F5300" w:rsidRPr="00904FCB">
        <w:rPr>
          <w:rFonts w:ascii="Times New Roman" w:hAnsi="Times New Roman" w:hint="cs"/>
          <w:sz w:val="27"/>
          <w:rtl/>
          <w:lang w:bidi="fa-IR"/>
        </w:rPr>
        <w:t xml:space="preserve"> </w:t>
      </w:r>
      <w:r w:rsidRPr="00904FCB">
        <w:rPr>
          <w:rFonts w:ascii="Times New Roman" w:hAnsi="Times New Roman" w:hint="cs"/>
          <w:sz w:val="27"/>
          <w:rtl/>
          <w:lang w:bidi="fa-IR"/>
        </w:rPr>
        <w:t>نسلب عنكم المغانم ما</w:t>
      </w:r>
      <w:r w:rsidR="007F5300" w:rsidRPr="00904FCB">
        <w:rPr>
          <w:rFonts w:ascii="Times New Roman" w:hAnsi="Times New Roman" w:hint="cs"/>
          <w:sz w:val="27"/>
          <w:rtl/>
          <w:lang w:bidi="fa-IR"/>
        </w:rPr>
        <w:t xml:space="preserve"> </w:t>
      </w:r>
      <w:r w:rsidRPr="00904FCB">
        <w:rPr>
          <w:rFonts w:ascii="Times New Roman" w:hAnsi="Times New Roman" w:hint="cs"/>
          <w:sz w:val="27"/>
          <w:rtl/>
          <w:lang w:bidi="fa-IR"/>
        </w:rPr>
        <w:t>دامت أيديكم معنا</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ولسنا نبادركم بالقتال». </w:t>
      </w:r>
    </w:p>
    <w:p w:rsidR="00336F3B" w:rsidRPr="00904FCB" w:rsidRDefault="00336F3B" w:rsidP="002610A7">
      <w:pPr>
        <w:spacing w:line="420" w:lineRule="exact"/>
        <w:ind w:firstLine="561"/>
        <w:rPr>
          <w:rFonts w:ascii="Times New Roman" w:hAnsi="Times New Roman"/>
          <w:sz w:val="27"/>
          <w:rtl/>
          <w:lang w:bidi="fa-IR"/>
        </w:rPr>
      </w:pPr>
      <w:r w:rsidRPr="00904FCB">
        <w:rPr>
          <w:rFonts w:ascii="Times New Roman" w:hAnsi="Times New Roman" w:hint="cs"/>
          <w:sz w:val="27"/>
          <w:rtl/>
          <w:lang w:bidi="fa-IR"/>
        </w:rPr>
        <w:t>ولكن</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ليس لهذا الاشتراط حجّة</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قوية، وقول علي</w:t>
      </w:r>
      <w:r w:rsidR="007F5300" w:rsidRPr="00904FCB">
        <w:rPr>
          <w:rFonts w:ascii="Times New Roman" w:hAnsi="Times New Roman" w:hint="cs"/>
          <w:sz w:val="27"/>
          <w:rtl/>
          <w:lang w:bidi="fa-IR"/>
        </w:rPr>
        <w:t>ّ</w:t>
      </w:r>
      <w:r w:rsidRPr="00904FCB">
        <w:rPr>
          <w:rFonts w:ascii="Times New Roman" w:hAnsi="Times New Roman" w:hint="cs"/>
          <w:sz w:val="27"/>
          <w:rtl/>
          <w:lang w:bidi="fa-IR"/>
        </w:rPr>
        <w:t>(</w:t>
      </w:r>
      <w:r w:rsidR="007F5300" w:rsidRPr="00904FCB">
        <w:rPr>
          <w:rFonts w:ascii="Times New Roman" w:hAnsi="Times New Roman" w:hint="cs"/>
          <w:sz w:val="27"/>
          <w:rtl/>
          <w:lang w:bidi="fa-IR"/>
        </w:rPr>
        <w:t>رضي الله عنه</w:t>
      </w:r>
      <w:r w:rsidRPr="00904FCB">
        <w:rPr>
          <w:rFonts w:ascii="Times New Roman" w:hAnsi="Times New Roman" w:hint="cs"/>
          <w:sz w:val="27"/>
          <w:rtl/>
          <w:lang w:bidi="fa-IR"/>
        </w:rPr>
        <w:t>): «ما</w:t>
      </w:r>
      <w:r w:rsidR="007F5300" w:rsidRPr="00904FCB">
        <w:rPr>
          <w:rFonts w:ascii="Times New Roman" w:hAnsi="Times New Roman" w:hint="cs"/>
          <w:sz w:val="27"/>
          <w:rtl/>
          <w:lang w:bidi="fa-IR"/>
        </w:rPr>
        <w:t xml:space="preserve"> </w:t>
      </w:r>
      <w:r w:rsidRPr="00904FCB">
        <w:rPr>
          <w:rFonts w:ascii="Times New Roman" w:hAnsi="Times New Roman" w:hint="cs"/>
          <w:sz w:val="27"/>
          <w:rtl/>
          <w:lang w:bidi="fa-IR"/>
        </w:rPr>
        <w:t>دامت أيديكم معنا</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ولم تدخلوا في جبهة</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أخر</w:t>
      </w:r>
      <w:r w:rsidR="007F5300" w:rsidRPr="00904FCB">
        <w:rPr>
          <w:rFonts w:ascii="Times New Roman" w:hAnsi="Times New Roman" w:hint="cs"/>
          <w:sz w:val="27"/>
          <w:rtl/>
          <w:lang w:bidi="fa-IR"/>
        </w:rPr>
        <w:t>ى</w:t>
      </w:r>
      <w:r w:rsidRPr="00904FCB">
        <w:rPr>
          <w:rFonts w:ascii="Times New Roman" w:hAnsi="Times New Roman" w:hint="cs"/>
          <w:sz w:val="27"/>
          <w:rtl/>
          <w:lang w:bidi="fa-IR"/>
        </w:rPr>
        <w:t>» لا</w:t>
      </w:r>
      <w:r w:rsidR="007F5300" w:rsidRPr="00904FCB">
        <w:rPr>
          <w:rFonts w:ascii="Times New Roman" w:hAnsi="Times New Roman" w:hint="cs"/>
          <w:sz w:val="27"/>
          <w:rtl/>
          <w:lang w:bidi="fa-IR"/>
        </w:rPr>
        <w:t xml:space="preserve"> </w:t>
      </w:r>
      <w:r w:rsidRPr="00904FCB">
        <w:rPr>
          <w:rFonts w:ascii="Times New Roman" w:hAnsi="Times New Roman" w:hint="cs"/>
          <w:sz w:val="27"/>
          <w:rtl/>
          <w:lang w:bidi="fa-IR"/>
        </w:rPr>
        <w:t>يدلّ</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خروجهم عليه</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والبغي هو الخروج عن طاعة الإمام الولائية والسياسية</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وإنشاء دولة غير عادلة</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خارجةٍ عن ولاية الإمام</w:t>
      </w:r>
      <w:r w:rsidRPr="00904FCB">
        <w:rPr>
          <w:rFonts w:hint="cs"/>
          <w:sz w:val="27"/>
          <w:vertAlign w:val="superscript"/>
          <w:rtl/>
        </w:rPr>
        <w:t>(</w:t>
      </w:r>
      <w:r w:rsidRPr="00904FCB">
        <w:rPr>
          <w:rStyle w:val="ac"/>
          <w:sz w:val="27"/>
          <w:rtl/>
        </w:rPr>
        <w:endnoteReference w:id="645"/>
      </w:r>
      <w:r w:rsidRPr="00904FCB">
        <w:rPr>
          <w:rFonts w:hint="cs"/>
          <w:sz w:val="27"/>
          <w:vertAlign w:val="superscript"/>
          <w:rtl/>
        </w:rPr>
        <w:t>)</w:t>
      </w:r>
      <w:r w:rsidRPr="00904FCB">
        <w:rPr>
          <w:rFonts w:ascii="Times New Roman" w:hAnsi="Times New Roman" w:hint="cs"/>
          <w:sz w:val="27"/>
          <w:rtl/>
          <w:lang w:bidi="fa-IR"/>
        </w:rPr>
        <w:t xml:space="preserve">. </w:t>
      </w:r>
    </w:p>
    <w:p w:rsidR="007F5300" w:rsidRPr="00904FCB" w:rsidRDefault="00336F3B" w:rsidP="00F636E3">
      <w:pPr>
        <w:spacing w:line="420" w:lineRule="exact"/>
        <w:rPr>
          <w:rFonts w:ascii="Times New Roman" w:hAnsi="Times New Roman"/>
          <w:sz w:val="27"/>
          <w:rtl/>
          <w:lang w:bidi="fa-IR"/>
        </w:rPr>
      </w:pPr>
      <w:r w:rsidRPr="00904FCB">
        <w:rPr>
          <w:rFonts w:ascii="Times New Roman" w:hAnsi="Times New Roman" w:hint="cs"/>
          <w:sz w:val="27"/>
          <w:rtl/>
          <w:lang w:bidi="fa-IR"/>
        </w:rPr>
        <w:t>ج ـ وقال بعض الفقهاء: «يشترط أن يخرجوا ولهم شبهة</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أو تأويل باطل</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ولكن</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لو خرجوا بلا تأوي</w:t>
      </w:r>
      <w:r w:rsidR="007F5300" w:rsidRPr="00904FCB">
        <w:rPr>
          <w:rFonts w:ascii="Times New Roman" w:hAnsi="Times New Roman" w:hint="cs"/>
          <w:sz w:val="27"/>
          <w:rtl/>
          <w:lang w:bidi="fa-IR"/>
        </w:rPr>
        <w:t>ل</w:t>
      </w:r>
      <w:r w:rsidRPr="00904FCB">
        <w:rPr>
          <w:rFonts w:ascii="Times New Roman" w:hAnsi="Times New Roman" w:hint="cs"/>
          <w:sz w:val="27"/>
          <w:rtl/>
          <w:lang w:bidi="fa-IR"/>
        </w:rPr>
        <w:t xml:space="preserve"> ف</w:t>
      </w:r>
      <w:r w:rsidR="007F5300" w:rsidRPr="00904FCB">
        <w:rPr>
          <w:rFonts w:ascii="Times New Roman" w:hAnsi="Times New Roman" w:hint="cs"/>
          <w:sz w:val="27"/>
          <w:rtl/>
          <w:lang w:bidi="fa-IR"/>
        </w:rPr>
        <w:t>إ</w:t>
      </w:r>
      <w:r w:rsidRPr="00904FCB">
        <w:rPr>
          <w:rFonts w:ascii="Times New Roman" w:hAnsi="Times New Roman" w:hint="cs"/>
          <w:sz w:val="27"/>
          <w:rtl/>
          <w:lang w:bidi="fa-IR"/>
        </w:rPr>
        <w:t>ن</w:t>
      </w:r>
      <w:r w:rsidR="007F5300" w:rsidRPr="00904FCB">
        <w:rPr>
          <w:rFonts w:ascii="Times New Roman" w:hAnsi="Times New Roman" w:hint="cs"/>
          <w:sz w:val="27"/>
          <w:rtl/>
          <w:lang w:bidi="fa-IR"/>
        </w:rPr>
        <w:t>ّ</w:t>
      </w:r>
      <w:r w:rsidRPr="00904FCB">
        <w:rPr>
          <w:rFonts w:ascii="Times New Roman" w:hAnsi="Times New Roman" w:hint="cs"/>
          <w:sz w:val="27"/>
          <w:rtl/>
          <w:lang w:bidi="fa-IR"/>
        </w:rPr>
        <w:t>هم محاربون»</w:t>
      </w:r>
      <w:r w:rsidR="007F5300" w:rsidRPr="00904FCB">
        <w:rPr>
          <w:rFonts w:hint="cs"/>
          <w:sz w:val="27"/>
          <w:vertAlign w:val="superscript"/>
          <w:rtl/>
        </w:rPr>
        <w:t>(</w:t>
      </w:r>
      <w:r w:rsidR="007F5300" w:rsidRPr="00904FCB">
        <w:rPr>
          <w:rStyle w:val="ac"/>
          <w:sz w:val="27"/>
          <w:rtl/>
        </w:rPr>
        <w:endnoteReference w:id="646"/>
      </w:r>
      <w:r w:rsidR="007F5300" w:rsidRPr="00904FCB">
        <w:rPr>
          <w:rFonts w:hint="cs"/>
          <w:sz w:val="27"/>
          <w:vertAlign w:val="superscript"/>
          <w:rtl/>
        </w:rPr>
        <w:t>)</w:t>
      </w:r>
      <w:r w:rsidR="007F5300" w:rsidRPr="00904FCB">
        <w:rPr>
          <w:rFonts w:ascii="Times New Roman" w:hAnsi="Times New Roman" w:hint="cs"/>
          <w:sz w:val="27"/>
          <w:rtl/>
          <w:lang w:bidi="fa-IR"/>
        </w:rPr>
        <w:t>.</w:t>
      </w:r>
    </w:p>
    <w:p w:rsidR="00A56904" w:rsidRPr="00904FCB" w:rsidRDefault="007F5300" w:rsidP="002610A7">
      <w:pPr>
        <w:spacing w:line="410" w:lineRule="exact"/>
        <w:ind w:firstLine="561"/>
        <w:rPr>
          <w:rFonts w:ascii="Times New Roman" w:hAnsi="Times New Roman"/>
          <w:sz w:val="27"/>
          <w:rtl/>
          <w:lang w:bidi="fa-IR"/>
        </w:rPr>
      </w:pPr>
      <w:r w:rsidRPr="00904FCB">
        <w:rPr>
          <w:rFonts w:ascii="Times New Roman" w:hAnsi="Times New Roman" w:hint="cs"/>
          <w:sz w:val="27"/>
          <w:rtl/>
          <w:lang w:bidi="fa-IR"/>
        </w:rPr>
        <w:t>و</w:t>
      </w:r>
      <w:r w:rsidR="00336F3B" w:rsidRPr="00904FCB">
        <w:rPr>
          <w:rFonts w:ascii="Times New Roman" w:hAnsi="Times New Roman" w:hint="cs"/>
          <w:sz w:val="27"/>
          <w:rtl/>
          <w:lang w:bidi="fa-IR"/>
        </w:rPr>
        <w:t>قد نُقِد هذا الشرط أيضاً</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w:t>
      </w:r>
      <w:r w:rsidRPr="00904FCB">
        <w:rPr>
          <w:rFonts w:ascii="Times New Roman" w:hAnsi="Times New Roman" w:hint="cs"/>
          <w:sz w:val="27"/>
          <w:rtl/>
          <w:lang w:bidi="fa-IR"/>
        </w:rPr>
        <w:t>ف</w:t>
      </w:r>
      <w:r w:rsidR="00336F3B" w:rsidRPr="00904FCB">
        <w:rPr>
          <w:rFonts w:ascii="Times New Roman" w:hAnsi="Times New Roman" w:hint="cs"/>
          <w:sz w:val="27"/>
          <w:rtl/>
          <w:lang w:bidi="fa-IR"/>
        </w:rPr>
        <w:t>قال جماعة</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من الفقهاء: «لم نج</w:t>
      </w:r>
      <w:r w:rsidRPr="00904FCB">
        <w:rPr>
          <w:rFonts w:ascii="Times New Roman" w:hAnsi="Times New Roman" w:hint="cs"/>
          <w:sz w:val="27"/>
          <w:rtl/>
          <w:lang w:bidi="fa-IR"/>
        </w:rPr>
        <w:t>ِ</w:t>
      </w:r>
      <w:r w:rsidR="00336F3B" w:rsidRPr="00904FCB">
        <w:rPr>
          <w:rFonts w:ascii="Times New Roman" w:hAnsi="Times New Roman" w:hint="cs"/>
          <w:sz w:val="27"/>
          <w:rtl/>
          <w:lang w:bidi="fa-IR"/>
        </w:rPr>
        <w:t>د</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لهذا الشرط حجةً</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بل كانت معركتا الجمل وصفّين</w:t>
      </w:r>
      <w:r w:rsidR="00340818" w:rsidRPr="00904FCB">
        <w:rPr>
          <w:rFonts w:ascii="Times New Roman" w:hAnsi="Times New Roman" w:hint="cs"/>
          <w:sz w:val="27"/>
          <w:rtl/>
          <w:lang w:bidi="fa-IR"/>
        </w:rPr>
        <w:t xml:space="preserve"> على </w:t>
      </w:r>
      <w:r w:rsidR="00336F3B" w:rsidRPr="00904FCB">
        <w:rPr>
          <w:rFonts w:ascii="Times New Roman" w:hAnsi="Times New Roman" w:hint="cs"/>
          <w:sz w:val="27"/>
          <w:rtl/>
          <w:lang w:bidi="fa-IR"/>
        </w:rPr>
        <w:t>خلاف ذلك، وليس لنا مبرّ</w:t>
      </w:r>
      <w:r w:rsidRPr="00904FCB">
        <w:rPr>
          <w:rFonts w:ascii="Times New Roman" w:hAnsi="Times New Roman" w:hint="cs"/>
          <w:sz w:val="27"/>
          <w:rtl/>
          <w:lang w:bidi="fa-IR"/>
        </w:rPr>
        <w:t>ِ</w:t>
      </w:r>
      <w:r w:rsidR="00336F3B" w:rsidRPr="00904FCB">
        <w:rPr>
          <w:rFonts w:ascii="Times New Roman" w:hAnsi="Times New Roman" w:hint="cs"/>
          <w:sz w:val="27"/>
          <w:rtl/>
          <w:lang w:bidi="fa-IR"/>
        </w:rPr>
        <w:t>ر</w:t>
      </w:r>
      <w:r w:rsidRPr="00904FCB">
        <w:rPr>
          <w:rFonts w:ascii="Times New Roman" w:hAnsi="Times New Roman" w:hint="cs"/>
          <w:sz w:val="27"/>
          <w:rtl/>
          <w:lang w:bidi="fa-IR"/>
        </w:rPr>
        <w:t>ٌ</w:t>
      </w:r>
      <w:r w:rsidR="00336F3B" w:rsidRPr="00904FCB">
        <w:rPr>
          <w:rFonts w:ascii="Times New Roman" w:hAnsi="Times New Roman" w:hint="cs"/>
          <w:sz w:val="27"/>
          <w:rtl/>
          <w:lang w:bidi="fa-IR"/>
        </w:rPr>
        <w:t xml:space="preserve"> أن نُدخِل </w:t>
      </w:r>
      <w:r w:rsidR="00336F3B" w:rsidRPr="00904FCB">
        <w:rPr>
          <w:rFonts w:ascii="Times New Roman" w:hAnsi="Times New Roman" w:hint="cs"/>
          <w:sz w:val="27"/>
          <w:rtl/>
          <w:lang w:bidi="fa-IR"/>
        </w:rPr>
        <w:lastRenderedPageBreak/>
        <w:t>خصائص تلك المعارك الثلاث في الأحكام المتعلّ</w:t>
      </w:r>
      <w:r w:rsidRPr="00904FCB">
        <w:rPr>
          <w:rFonts w:ascii="Times New Roman" w:hAnsi="Times New Roman" w:hint="cs"/>
          <w:sz w:val="27"/>
          <w:rtl/>
          <w:lang w:bidi="fa-IR"/>
        </w:rPr>
        <w:t>ِ</w:t>
      </w:r>
      <w:r w:rsidR="00336F3B" w:rsidRPr="00904FCB">
        <w:rPr>
          <w:rFonts w:ascii="Times New Roman" w:hAnsi="Times New Roman" w:hint="cs"/>
          <w:sz w:val="27"/>
          <w:rtl/>
          <w:lang w:bidi="fa-IR"/>
        </w:rPr>
        <w:t>قة بالبغي</w:t>
      </w:r>
      <w:r w:rsidR="00336F3B" w:rsidRPr="00904FCB">
        <w:rPr>
          <w:rFonts w:hint="cs"/>
          <w:sz w:val="27"/>
          <w:vertAlign w:val="superscript"/>
          <w:rtl/>
        </w:rPr>
        <w:t>(</w:t>
      </w:r>
      <w:r w:rsidR="00336F3B" w:rsidRPr="00904FCB">
        <w:rPr>
          <w:rStyle w:val="ac"/>
          <w:sz w:val="27"/>
          <w:rtl/>
        </w:rPr>
        <w:endnoteReference w:id="647"/>
      </w:r>
      <w:r w:rsidR="00336F3B" w:rsidRPr="00904FCB">
        <w:rPr>
          <w:rFonts w:hint="cs"/>
          <w:sz w:val="27"/>
          <w:vertAlign w:val="superscript"/>
          <w:rtl/>
        </w:rPr>
        <w:t>)</w:t>
      </w:r>
      <w:r w:rsidR="00A56904" w:rsidRPr="00904FCB">
        <w:rPr>
          <w:rFonts w:ascii="Times New Roman" w:hAnsi="Times New Roman" w:hint="cs"/>
          <w:sz w:val="27"/>
          <w:rtl/>
          <w:lang w:bidi="fa-IR"/>
        </w:rPr>
        <w:t>.</w:t>
      </w:r>
    </w:p>
    <w:p w:rsidR="00A56904" w:rsidRPr="00904FCB" w:rsidRDefault="00336F3B" w:rsidP="002610A7">
      <w:pPr>
        <w:spacing w:line="380" w:lineRule="exact"/>
        <w:ind w:firstLine="561"/>
        <w:rPr>
          <w:rFonts w:ascii="Times New Roman" w:hAnsi="Times New Roman"/>
          <w:sz w:val="27"/>
          <w:rtl/>
          <w:lang w:bidi="fa-IR"/>
        </w:rPr>
      </w:pPr>
      <w:r w:rsidRPr="00904FCB">
        <w:rPr>
          <w:rFonts w:ascii="Times New Roman" w:hAnsi="Times New Roman" w:hint="cs"/>
          <w:sz w:val="27"/>
          <w:rtl/>
          <w:lang w:bidi="fa-IR"/>
        </w:rPr>
        <w:t>بل قال علي</w:t>
      </w:r>
      <w:r w:rsidR="007F5300" w:rsidRPr="00904FCB">
        <w:rPr>
          <w:rFonts w:ascii="Times New Roman" w:hAnsi="Times New Roman" w:hint="cs"/>
          <w:sz w:val="27"/>
          <w:rtl/>
          <w:lang w:bidi="fa-IR"/>
        </w:rPr>
        <w:t>ٌّ</w:t>
      </w:r>
      <w:r w:rsidRPr="00904FCB">
        <w:rPr>
          <w:rFonts w:ascii="Times New Roman" w:hAnsi="Times New Roman" w:hint="cs"/>
          <w:sz w:val="27"/>
          <w:rtl/>
          <w:lang w:bidi="fa-IR"/>
        </w:rPr>
        <w:t>(</w:t>
      </w:r>
      <w:r w:rsidR="007F5300" w:rsidRPr="00904FCB">
        <w:rPr>
          <w:rFonts w:ascii="Times New Roman" w:hAnsi="Times New Roman" w:hint="cs"/>
          <w:sz w:val="27"/>
          <w:rtl/>
          <w:lang w:bidi="fa-IR"/>
        </w:rPr>
        <w:t>رضي الله عنه</w:t>
      </w:r>
      <w:r w:rsidRPr="00904FCB">
        <w:rPr>
          <w:rFonts w:ascii="Times New Roman" w:hAnsi="Times New Roman" w:hint="cs"/>
          <w:sz w:val="27"/>
          <w:rtl/>
          <w:lang w:bidi="fa-IR"/>
        </w:rPr>
        <w:t>) في شأن الخوارج: «واللهِ</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ما</w:t>
      </w:r>
      <w:r w:rsidR="007F5300" w:rsidRPr="00904FCB">
        <w:rPr>
          <w:rFonts w:ascii="Times New Roman" w:hAnsi="Times New Roman" w:hint="cs"/>
          <w:sz w:val="27"/>
          <w:rtl/>
          <w:lang w:bidi="fa-IR"/>
        </w:rPr>
        <w:t xml:space="preserve"> </w:t>
      </w:r>
      <w:r w:rsidRPr="00904FCB">
        <w:rPr>
          <w:rFonts w:ascii="Times New Roman" w:hAnsi="Times New Roman" w:hint="cs"/>
          <w:sz w:val="27"/>
          <w:rtl/>
          <w:lang w:bidi="fa-IR"/>
        </w:rPr>
        <w:t>أنكروا علي</w:t>
      </w:r>
      <w:r w:rsidR="007F5300" w:rsidRPr="00904FCB">
        <w:rPr>
          <w:rFonts w:ascii="Times New Roman" w:hAnsi="Times New Roman" w:hint="cs"/>
          <w:sz w:val="27"/>
          <w:rtl/>
          <w:lang w:bidi="fa-IR"/>
        </w:rPr>
        <w:t>َّ</w:t>
      </w:r>
      <w:r w:rsidRPr="00904FCB">
        <w:rPr>
          <w:rFonts w:ascii="Times New Roman" w:hAnsi="Times New Roman" w:hint="cs"/>
          <w:sz w:val="27"/>
          <w:rtl/>
          <w:lang w:bidi="fa-IR"/>
        </w:rPr>
        <w:t xml:space="preserve"> منكراً، ولا جَعَلوا بيني وبينهم نصفاً»</w:t>
      </w:r>
      <w:r w:rsidRPr="00904FCB">
        <w:rPr>
          <w:rFonts w:hint="cs"/>
          <w:sz w:val="27"/>
          <w:vertAlign w:val="superscript"/>
          <w:rtl/>
        </w:rPr>
        <w:t>(</w:t>
      </w:r>
      <w:r w:rsidRPr="00904FCB">
        <w:rPr>
          <w:rStyle w:val="ac"/>
          <w:sz w:val="27"/>
          <w:rtl/>
        </w:rPr>
        <w:endnoteReference w:id="648"/>
      </w:r>
      <w:r w:rsidRPr="00904FCB">
        <w:rPr>
          <w:rFonts w:hint="cs"/>
          <w:sz w:val="27"/>
          <w:vertAlign w:val="superscript"/>
          <w:rtl/>
        </w:rPr>
        <w:t>)</w:t>
      </w:r>
      <w:r w:rsidR="00A56904" w:rsidRPr="00904FCB">
        <w:rPr>
          <w:rFonts w:ascii="Times New Roman" w:hAnsi="Times New Roman" w:hint="cs"/>
          <w:sz w:val="27"/>
          <w:rtl/>
          <w:lang w:bidi="fa-IR"/>
        </w:rPr>
        <w:t>؛ فقد</w:t>
      </w:r>
      <w:r w:rsidRPr="00904FCB">
        <w:rPr>
          <w:rFonts w:ascii="Times New Roman" w:hAnsi="Times New Roman" w:hint="cs"/>
          <w:sz w:val="27"/>
          <w:rtl/>
          <w:lang w:bidi="fa-IR"/>
        </w:rPr>
        <w:t xml:space="preserve"> نبّأهم الإمام(</w:t>
      </w:r>
      <w:r w:rsidR="007F5300" w:rsidRPr="00904FCB">
        <w:rPr>
          <w:rFonts w:ascii="Times New Roman" w:hAnsi="Times New Roman" w:hint="cs"/>
          <w:sz w:val="27"/>
          <w:rtl/>
          <w:lang w:bidi="fa-IR"/>
        </w:rPr>
        <w:t>رضي الله عنه</w:t>
      </w:r>
      <w:r w:rsidRPr="00904FCB">
        <w:rPr>
          <w:rFonts w:ascii="Times New Roman" w:hAnsi="Times New Roman" w:hint="cs"/>
          <w:sz w:val="27"/>
          <w:rtl/>
          <w:lang w:bidi="fa-IR"/>
        </w:rPr>
        <w:t>) في هذه الخطبة أنّ خروجهم ليس بحقّ</w:t>
      </w:r>
      <w:r w:rsidR="007F5300" w:rsidRPr="00904FCB">
        <w:rPr>
          <w:rFonts w:ascii="Times New Roman" w:hAnsi="Times New Roman" w:hint="cs"/>
          <w:sz w:val="27"/>
          <w:rtl/>
          <w:lang w:bidi="fa-IR"/>
        </w:rPr>
        <w:t>ٍ</w:t>
      </w:r>
      <w:r w:rsidRPr="00904FCB">
        <w:rPr>
          <w:rFonts w:ascii="Times New Roman" w:hAnsi="Times New Roman" w:hint="cs"/>
          <w:sz w:val="27"/>
          <w:rtl/>
          <w:lang w:bidi="fa-IR"/>
        </w:rPr>
        <w:t>، وأنهم يجحدون هذه الحقيقة</w:t>
      </w:r>
      <w:r w:rsidR="00A56904" w:rsidRPr="00904FCB">
        <w:rPr>
          <w:rFonts w:ascii="Times New Roman" w:hAnsi="Times New Roman" w:hint="cs"/>
          <w:sz w:val="27"/>
          <w:rtl/>
          <w:lang w:bidi="fa-IR"/>
        </w:rPr>
        <w:t>.</w:t>
      </w:r>
    </w:p>
    <w:p w:rsidR="00336F3B" w:rsidRPr="00904FCB" w:rsidRDefault="00336F3B" w:rsidP="002610A7">
      <w:pPr>
        <w:spacing w:line="380" w:lineRule="exact"/>
        <w:ind w:firstLine="561"/>
        <w:rPr>
          <w:rFonts w:ascii="Times New Roman" w:hAnsi="Times New Roman"/>
          <w:sz w:val="27"/>
          <w:rtl/>
          <w:lang w:bidi="fa-IR"/>
        </w:rPr>
      </w:pPr>
      <w:r w:rsidRPr="00904FCB">
        <w:rPr>
          <w:rFonts w:ascii="Times New Roman" w:hAnsi="Times New Roman" w:hint="cs"/>
          <w:sz w:val="27"/>
          <w:rtl/>
          <w:lang w:bidi="fa-IR"/>
        </w:rPr>
        <w:t>وكذلك آية القرآن عام</w:t>
      </w:r>
      <w:r w:rsidR="007F5300" w:rsidRPr="00904FCB">
        <w:rPr>
          <w:rFonts w:ascii="Times New Roman" w:hAnsi="Times New Roman" w:hint="cs"/>
          <w:sz w:val="27"/>
          <w:rtl/>
          <w:lang w:bidi="fa-IR"/>
        </w:rPr>
        <w:t>ّ</w:t>
      </w:r>
      <w:r w:rsidRPr="00904FCB">
        <w:rPr>
          <w:rFonts w:ascii="Times New Roman" w:hAnsi="Times New Roman" w:hint="cs"/>
          <w:sz w:val="27"/>
          <w:rtl/>
          <w:lang w:bidi="fa-IR"/>
        </w:rPr>
        <w:t>ة غير مقي</w:t>
      </w:r>
      <w:r w:rsidR="00A56904" w:rsidRPr="00904FCB">
        <w:rPr>
          <w:rFonts w:ascii="Times New Roman" w:hAnsi="Times New Roman" w:hint="cs"/>
          <w:sz w:val="27"/>
          <w:rtl/>
          <w:lang w:bidi="fa-IR"/>
        </w:rPr>
        <w:t>ّ</w:t>
      </w:r>
      <w:r w:rsidRPr="00904FCB">
        <w:rPr>
          <w:rFonts w:ascii="Times New Roman" w:hAnsi="Times New Roman" w:hint="cs"/>
          <w:sz w:val="27"/>
          <w:rtl/>
          <w:lang w:bidi="fa-IR"/>
        </w:rPr>
        <w:t>دة بشرط</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وإنّما الشرط هو الاعتداء والعدوان، سواء كان مع شبهة</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أو بلا شبهة</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ولكن لا يمكننا أن نقول: «إن</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لم يكن للبغاة تأويل فإنّهم محاربون</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لأنّ المفسّ</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رين لم يذكروا هذا الشرط للمحاربين. </w:t>
      </w:r>
    </w:p>
    <w:p w:rsidR="00336F3B" w:rsidRPr="00904FCB" w:rsidRDefault="00336F3B" w:rsidP="002610A7">
      <w:pPr>
        <w:spacing w:line="380" w:lineRule="exact"/>
        <w:ind w:firstLine="561"/>
        <w:rPr>
          <w:rFonts w:ascii="Times New Roman" w:hAnsi="Times New Roman"/>
          <w:sz w:val="27"/>
          <w:rtl/>
          <w:lang w:bidi="fa-IR"/>
        </w:rPr>
      </w:pPr>
      <w:r w:rsidRPr="00904FCB">
        <w:rPr>
          <w:rFonts w:ascii="Times New Roman" w:hAnsi="Times New Roman" w:hint="cs"/>
          <w:sz w:val="27"/>
          <w:rtl/>
          <w:lang w:bidi="fa-IR"/>
        </w:rPr>
        <w:t>قال العلاّمة الطباطبائي في تفسير الآية</w:t>
      </w:r>
      <w:r w:rsidR="00024D9E" w:rsidRPr="00904FCB">
        <w:rPr>
          <w:rFonts w:ascii="Times New Roman" w:hAnsi="Times New Roman" w:hint="cs"/>
          <w:sz w:val="27"/>
          <w:rtl/>
          <w:lang w:bidi="ar-LB"/>
        </w:rPr>
        <w:t xml:space="preserve"> </w:t>
      </w:r>
      <w:r w:rsidR="00024D9E" w:rsidRPr="006333E0">
        <w:rPr>
          <w:rFonts w:ascii="Times New Roman" w:hAnsi="Times New Roman" w:cs="Ya-Ali" w:hint="cs"/>
          <w:sz w:val="27"/>
          <w:rtl/>
          <w:lang w:bidi="ar-LB"/>
        </w:rPr>
        <w:t>33</w:t>
      </w:r>
      <w:r w:rsidR="00A56904" w:rsidRPr="00904FCB">
        <w:rPr>
          <w:rFonts w:ascii="Times New Roman" w:hAnsi="Times New Roman" w:hint="cs"/>
          <w:sz w:val="27"/>
          <w:rtl/>
          <w:lang w:bidi="ar-LB"/>
        </w:rPr>
        <w:t xml:space="preserve"> </w:t>
      </w:r>
      <w:r w:rsidRPr="00904FCB">
        <w:rPr>
          <w:rFonts w:ascii="Times New Roman" w:hAnsi="Times New Roman" w:hint="cs"/>
          <w:sz w:val="27"/>
          <w:rtl/>
          <w:lang w:bidi="fa-IR"/>
        </w:rPr>
        <w:t xml:space="preserve">من سورة المائدة: </w:t>
      </w:r>
      <w:r w:rsidR="00A56904" w:rsidRPr="00904FCB">
        <w:rPr>
          <w:rFonts w:ascii="Times New Roman" w:hAnsi="Times New Roman" w:hint="cs"/>
          <w:sz w:val="27"/>
          <w:rtl/>
          <w:lang w:bidi="fa-IR"/>
        </w:rPr>
        <w:t>«</w:t>
      </w:r>
      <w:r w:rsidRPr="00904FCB">
        <w:rPr>
          <w:rFonts w:ascii="Times New Roman" w:hAnsi="Times New Roman" w:hint="cs"/>
          <w:sz w:val="27"/>
          <w:rtl/>
          <w:lang w:bidi="fa-IR"/>
        </w:rPr>
        <w:t>إنّ رسول الله</w:t>
      </w:r>
      <w:r w:rsidR="00635E51" w:rsidRPr="00904FCB">
        <w:rPr>
          <w:rFonts w:ascii="Times New Roman" w:hAnsi="Times New Roman" w:cs="Mosawi" w:hint="cs"/>
          <w:sz w:val="27"/>
          <w:szCs w:val="22"/>
          <w:rtl/>
          <w:lang w:bidi="fa-IR"/>
        </w:rPr>
        <w:t>|</w:t>
      </w:r>
      <w:r w:rsidRPr="00904FCB">
        <w:rPr>
          <w:rFonts w:ascii="Times New Roman" w:hAnsi="Times New Roman" w:hint="cs"/>
          <w:sz w:val="27"/>
          <w:rtl/>
          <w:lang w:bidi="fa-IR"/>
        </w:rPr>
        <w:t xml:space="preserve"> </w:t>
      </w:r>
      <w:r w:rsidR="00A56904" w:rsidRPr="00904FCB">
        <w:rPr>
          <w:rFonts w:ascii="Times New Roman" w:hAnsi="Times New Roman" w:hint="cs"/>
          <w:sz w:val="27"/>
          <w:rtl/>
          <w:lang w:bidi="fa-IR"/>
        </w:rPr>
        <w:t>بعد</w:t>
      </w:r>
      <w:r w:rsidRPr="00904FCB">
        <w:rPr>
          <w:rFonts w:ascii="Times New Roman" w:hAnsi="Times New Roman" w:hint="cs"/>
          <w:sz w:val="27"/>
          <w:rtl/>
          <w:lang w:bidi="fa-IR"/>
        </w:rPr>
        <w:t>ما ظفر بالقوم الذين حاربوا المسلمين أقعدهم</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مكانهم</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ولم يعاملهم معاملة المح</w:t>
      </w:r>
      <w:r w:rsidR="00A56904" w:rsidRPr="00904FCB">
        <w:rPr>
          <w:rFonts w:ascii="Times New Roman" w:hAnsi="Times New Roman" w:hint="cs"/>
          <w:sz w:val="27"/>
          <w:rtl/>
          <w:lang w:bidi="fa-IR"/>
        </w:rPr>
        <w:t>ا</w:t>
      </w:r>
      <w:r w:rsidRPr="00904FCB">
        <w:rPr>
          <w:rFonts w:ascii="Times New Roman" w:hAnsi="Times New Roman" w:hint="cs"/>
          <w:sz w:val="27"/>
          <w:rtl/>
          <w:lang w:bidi="fa-IR"/>
        </w:rPr>
        <w:t>ربين</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يعني لم يحكم عليهم بالقتل أو الصلب أو النفي عن البلد»</w:t>
      </w:r>
      <w:r w:rsidRPr="00904FCB">
        <w:rPr>
          <w:rFonts w:hint="cs"/>
          <w:sz w:val="27"/>
          <w:vertAlign w:val="superscript"/>
          <w:rtl/>
        </w:rPr>
        <w:t>(</w:t>
      </w:r>
      <w:r w:rsidRPr="00904FCB">
        <w:rPr>
          <w:rStyle w:val="ac"/>
          <w:sz w:val="27"/>
          <w:rtl/>
        </w:rPr>
        <w:endnoteReference w:id="649"/>
      </w:r>
      <w:r w:rsidRPr="00904FCB">
        <w:rPr>
          <w:rFonts w:hint="cs"/>
          <w:sz w:val="27"/>
          <w:vertAlign w:val="superscript"/>
          <w:rtl/>
        </w:rPr>
        <w:t>)</w:t>
      </w:r>
      <w:r w:rsidRPr="00904FCB">
        <w:rPr>
          <w:rFonts w:ascii="Times New Roman" w:hAnsi="Times New Roman" w:hint="cs"/>
          <w:sz w:val="27"/>
          <w:rtl/>
          <w:lang w:bidi="fa-IR"/>
        </w:rPr>
        <w:t xml:space="preserve">. </w:t>
      </w:r>
    </w:p>
    <w:p w:rsidR="00336F3B" w:rsidRPr="00904FCB" w:rsidRDefault="00336F3B" w:rsidP="002610A7">
      <w:pPr>
        <w:spacing w:line="380" w:lineRule="exact"/>
        <w:ind w:firstLine="561"/>
        <w:rPr>
          <w:rFonts w:ascii="Times New Roman" w:hAnsi="Times New Roman"/>
          <w:sz w:val="27"/>
          <w:rtl/>
          <w:lang w:bidi="fa-IR"/>
        </w:rPr>
      </w:pPr>
      <w:r w:rsidRPr="00904FCB">
        <w:rPr>
          <w:rFonts w:ascii="Times New Roman" w:hAnsi="Times New Roman" w:hint="cs"/>
          <w:sz w:val="27"/>
          <w:rtl/>
          <w:lang w:bidi="fa-IR"/>
        </w:rPr>
        <w:t>ما ذكره العلاّمة الطباطبائي حج</w:t>
      </w:r>
      <w:r w:rsidR="00A56904" w:rsidRPr="00904FCB">
        <w:rPr>
          <w:rFonts w:ascii="Times New Roman" w:hAnsi="Times New Roman" w:hint="cs"/>
          <w:sz w:val="27"/>
          <w:rtl/>
          <w:lang w:bidi="fa-IR"/>
        </w:rPr>
        <w:t>ّ</w:t>
      </w:r>
      <w:r w:rsidRPr="00904FCB">
        <w:rPr>
          <w:rFonts w:ascii="Times New Roman" w:hAnsi="Times New Roman" w:hint="cs"/>
          <w:sz w:val="27"/>
          <w:rtl/>
          <w:lang w:bidi="fa-IR"/>
        </w:rPr>
        <w:t>ة</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قوي</w:t>
      </w:r>
      <w:r w:rsidR="00A56904" w:rsidRPr="00904FCB">
        <w:rPr>
          <w:rFonts w:ascii="Times New Roman" w:hAnsi="Times New Roman" w:hint="cs"/>
          <w:sz w:val="27"/>
          <w:rtl/>
          <w:lang w:bidi="fa-IR"/>
        </w:rPr>
        <w:t>ّ</w:t>
      </w:r>
      <w:r w:rsidRPr="00904FCB">
        <w:rPr>
          <w:rFonts w:ascii="Times New Roman" w:hAnsi="Times New Roman" w:hint="cs"/>
          <w:sz w:val="27"/>
          <w:rtl/>
          <w:lang w:bidi="fa-IR"/>
        </w:rPr>
        <w:t>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أنّ ال</w:t>
      </w:r>
      <w:r w:rsidR="002610A7">
        <w:rPr>
          <w:rFonts w:ascii="Times New Roman" w:hAnsi="Times New Roman" w:hint="cs"/>
          <w:sz w:val="27"/>
          <w:rtl/>
          <w:lang w:bidi="fa-IR"/>
        </w:rPr>
        <w:t>م</w:t>
      </w:r>
      <w:r w:rsidRPr="00904FCB">
        <w:rPr>
          <w:rFonts w:ascii="Times New Roman" w:hAnsi="Times New Roman" w:hint="cs"/>
          <w:sz w:val="27"/>
          <w:rtl/>
          <w:lang w:bidi="fa-IR"/>
        </w:rPr>
        <w:t>تمرّدين</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أو النبي ليسوا بمحاربين</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ولا</w:t>
      </w:r>
      <w:r w:rsidR="00A56904" w:rsidRPr="00904FCB">
        <w:rPr>
          <w:rFonts w:ascii="Times New Roman" w:hAnsi="Times New Roman" w:hint="cs"/>
          <w:sz w:val="27"/>
          <w:rtl/>
          <w:lang w:bidi="fa-IR"/>
        </w:rPr>
        <w:t xml:space="preserve"> </w:t>
      </w:r>
      <w:r w:rsidRPr="00904FCB">
        <w:rPr>
          <w:rFonts w:ascii="Times New Roman" w:hAnsi="Times New Roman" w:hint="cs"/>
          <w:sz w:val="27"/>
          <w:rtl/>
          <w:lang w:bidi="fa-IR"/>
        </w:rPr>
        <w:t>توجد حج</w:t>
      </w:r>
      <w:r w:rsidR="00A56904" w:rsidRPr="00904FCB">
        <w:rPr>
          <w:rFonts w:ascii="Times New Roman" w:hAnsi="Times New Roman" w:hint="cs"/>
          <w:sz w:val="27"/>
          <w:rtl/>
          <w:lang w:bidi="fa-IR"/>
        </w:rPr>
        <w:t>ّ</w:t>
      </w:r>
      <w:r w:rsidRPr="00904FCB">
        <w:rPr>
          <w:rFonts w:ascii="Times New Roman" w:hAnsi="Times New Roman" w:hint="cs"/>
          <w:sz w:val="27"/>
          <w:rtl/>
          <w:lang w:bidi="fa-IR"/>
        </w:rPr>
        <w:t>ة</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دال</w:t>
      </w:r>
      <w:r w:rsidR="00A56904" w:rsidRPr="00904FCB">
        <w:rPr>
          <w:rFonts w:ascii="Times New Roman" w:hAnsi="Times New Roman" w:hint="cs"/>
          <w:sz w:val="27"/>
          <w:rtl/>
          <w:lang w:bidi="fa-IR"/>
        </w:rPr>
        <w:t>ّ</w:t>
      </w:r>
      <w:r w:rsidRPr="00904FCB">
        <w:rPr>
          <w:rFonts w:ascii="Times New Roman" w:hAnsi="Times New Roman" w:hint="cs"/>
          <w:sz w:val="27"/>
          <w:rtl/>
          <w:lang w:bidi="fa-IR"/>
        </w:rPr>
        <w:t>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أنّ عقوبة المحاربين نُفّ</w:t>
      </w:r>
      <w:r w:rsidR="00A56904" w:rsidRPr="00904FCB">
        <w:rPr>
          <w:rFonts w:ascii="Times New Roman" w:hAnsi="Times New Roman" w:hint="cs"/>
          <w:sz w:val="27"/>
          <w:rtl/>
          <w:lang w:bidi="fa-IR"/>
        </w:rPr>
        <w:t>ِ</w:t>
      </w:r>
      <w:r w:rsidRPr="00904FCB">
        <w:rPr>
          <w:rFonts w:ascii="Times New Roman" w:hAnsi="Times New Roman" w:hint="cs"/>
          <w:sz w:val="27"/>
          <w:rtl/>
          <w:lang w:bidi="fa-IR"/>
        </w:rPr>
        <w:t>ذت</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مثل هذه الجماعات</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ولا يبدو من آية سورة الحجرات وسيرة أمير الم</w:t>
      </w:r>
      <w:r w:rsidR="002610A7">
        <w:rPr>
          <w:rFonts w:ascii="Times New Roman" w:hAnsi="Times New Roman" w:hint="cs"/>
          <w:sz w:val="27"/>
          <w:rtl/>
          <w:lang w:bidi="fa-IR"/>
        </w:rPr>
        <w:t>ؤ</w:t>
      </w:r>
      <w:r w:rsidRPr="00904FCB">
        <w:rPr>
          <w:rFonts w:ascii="Times New Roman" w:hAnsi="Times New Roman" w:hint="cs"/>
          <w:sz w:val="27"/>
          <w:rtl/>
          <w:lang w:bidi="fa-IR"/>
        </w:rPr>
        <w:t>منين(</w:t>
      </w:r>
      <w:r w:rsidR="00A56904" w:rsidRPr="00904FCB">
        <w:rPr>
          <w:rFonts w:ascii="Times New Roman" w:hAnsi="Times New Roman" w:hint="cs"/>
          <w:sz w:val="27"/>
          <w:rtl/>
          <w:lang w:bidi="fa-IR"/>
        </w:rPr>
        <w:t>رضي الله عنه</w:t>
      </w:r>
      <w:r w:rsidRPr="00904FCB">
        <w:rPr>
          <w:rFonts w:ascii="Times New Roman" w:hAnsi="Times New Roman" w:hint="cs"/>
          <w:sz w:val="27"/>
          <w:rtl/>
          <w:lang w:bidi="fa-IR"/>
        </w:rPr>
        <w:t>) أنّ الخارجين</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 xml:space="preserve">الإمام محاربون. </w:t>
      </w:r>
    </w:p>
    <w:p w:rsidR="00336F3B" w:rsidRPr="00904FCB" w:rsidRDefault="00336F3B" w:rsidP="002610A7">
      <w:pPr>
        <w:spacing w:line="400" w:lineRule="exact"/>
        <w:ind w:firstLine="561"/>
        <w:rPr>
          <w:rFonts w:ascii="Times New Roman" w:hAnsi="Times New Roman"/>
          <w:sz w:val="27"/>
          <w:rtl/>
          <w:lang w:bidi="fa-IR"/>
        </w:rPr>
      </w:pPr>
      <w:r w:rsidRPr="00904FCB">
        <w:rPr>
          <w:rFonts w:ascii="Times New Roman" w:hAnsi="Times New Roman" w:hint="cs"/>
          <w:noProof/>
          <w:sz w:val="27"/>
          <w:rtl/>
        </w:rPr>
        <w:t>د ـ</w:t>
      </w:r>
      <w:r w:rsidRPr="00904FCB">
        <w:rPr>
          <w:rFonts w:ascii="Times New Roman" w:hAnsi="Times New Roman" w:hint="cs"/>
          <w:sz w:val="27"/>
          <w:rtl/>
          <w:lang w:bidi="fa-IR"/>
        </w:rPr>
        <w:t xml:space="preserve"> أن لا</w:t>
      </w:r>
      <w:r w:rsidR="00A56904" w:rsidRPr="00904FCB">
        <w:rPr>
          <w:rFonts w:ascii="Times New Roman" w:hAnsi="Times New Roman" w:hint="cs"/>
          <w:sz w:val="27"/>
          <w:rtl/>
          <w:lang w:bidi="fa-IR"/>
        </w:rPr>
        <w:t xml:space="preserve"> </w:t>
      </w:r>
      <w:r w:rsidRPr="00904FCB">
        <w:rPr>
          <w:rFonts w:ascii="Times New Roman" w:hAnsi="Times New Roman" w:hint="cs"/>
          <w:sz w:val="27"/>
          <w:rtl/>
          <w:lang w:bidi="fa-IR"/>
        </w:rPr>
        <w:t>يمكن توجيههم بإقامة الحج</w:t>
      </w:r>
      <w:r w:rsidR="00A56904" w:rsidRPr="00904FCB">
        <w:rPr>
          <w:rFonts w:ascii="Times New Roman" w:hAnsi="Times New Roman" w:hint="cs"/>
          <w:sz w:val="27"/>
          <w:rtl/>
          <w:lang w:bidi="fa-IR"/>
        </w:rPr>
        <w:t>ّ</w:t>
      </w:r>
      <w:r w:rsidRPr="00904FCB">
        <w:rPr>
          <w:rFonts w:ascii="Times New Roman" w:hAnsi="Times New Roman" w:hint="cs"/>
          <w:sz w:val="27"/>
          <w:rtl/>
          <w:lang w:bidi="fa-IR"/>
        </w:rPr>
        <w:t>ة</w:t>
      </w:r>
      <w:r w:rsidRPr="00904FCB">
        <w:rPr>
          <w:rFonts w:hint="cs"/>
          <w:sz w:val="27"/>
          <w:vertAlign w:val="superscript"/>
          <w:rtl/>
        </w:rPr>
        <w:t>(</w:t>
      </w:r>
      <w:r w:rsidRPr="00904FCB">
        <w:rPr>
          <w:rStyle w:val="ac"/>
          <w:sz w:val="27"/>
          <w:rtl/>
        </w:rPr>
        <w:endnoteReference w:id="650"/>
      </w:r>
      <w:r w:rsidRPr="00904FCB">
        <w:rPr>
          <w:rFonts w:hint="cs"/>
          <w:sz w:val="27"/>
          <w:vertAlign w:val="superscript"/>
          <w:rtl/>
        </w:rPr>
        <w:t>)</w:t>
      </w:r>
      <w:r w:rsidRPr="00904FCB">
        <w:rPr>
          <w:rFonts w:ascii="Times New Roman" w:hAnsi="Times New Roman" w:hint="cs"/>
          <w:sz w:val="27"/>
          <w:rtl/>
          <w:lang w:bidi="fa-IR"/>
        </w:rPr>
        <w:t>. وهذا الشرط أيضاً موافق</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لسيرة الإمام علي</w:t>
      </w:r>
      <w:r w:rsidR="00A56904" w:rsidRPr="00904FCB">
        <w:rPr>
          <w:rFonts w:ascii="Times New Roman" w:hAnsi="Times New Roman" w:hint="cs"/>
          <w:sz w:val="27"/>
          <w:rtl/>
          <w:lang w:bidi="fa-IR"/>
        </w:rPr>
        <w:t>ّ</w:t>
      </w:r>
      <w:r w:rsidRPr="00904FCB">
        <w:rPr>
          <w:rFonts w:ascii="Times New Roman" w:hAnsi="Times New Roman" w:hint="cs"/>
          <w:sz w:val="27"/>
          <w:rtl/>
          <w:lang w:bidi="fa-IR"/>
        </w:rPr>
        <w:t>(</w:t>
      </w:r>
      <w:r w:rsidR="00A56904" w:rsidRPr="00904FCB">
        <w:rPr>
          <w:rFonts w:ascii="Times New Roman" w:hAnsi="Times New Roman" w:hint="cs"/>
          <w:sz w:val="27"/>
          <w:rtl/>
          <w:lang w:bidi="fa-IR"/>
        </w:rPr>
        <w:t>رضي الله عنه</w:t>
      </w:r>
      <w:r w:rsidRPr="00904FCB">
        <w:rPr>
          <w:rFonts w:ascii="Times New Roman" w:hAnsi="Times New Roman" w:hint="cs"/>
          <w:sz w:val="27"/>
          <w:rtl/>
          <w:lang w:bidi="fa-IR"/>
        </w:rPr>
        <w:t xml:space="preserve">) وآية القرآن: </w:t>
      </w:r>
      <w:r w:rsidRPr="00904FCB">
        <w:rPr>
          <w:rFonts w:ascii="Mosawi" w:hAnsi="Mosawi" w:cs="Mosawi"/>
          <w:sz w:val="24"/>
          <w:szCs w:val="24"/>
          <w:rtl/>
        </w:rPr>
        <w:t>﴿</w:t>
      </w:r>
      <w:r w:rsidR="00A56904" w:rsidRPr="00904FCB">
        <w:rPr>
          <w:b/>
          <w:bCs/>
          <w:sz w:val="27"/>
          <w:rtl/>
        </w:rPr>
        <w:t>فَأَصْلِحُوا بَيْنَهُمَا</w:t>
      </w:r>
      <w:r w:rsidRPr="00904FCB">
        <w:rPr>
          <w:rFonts w:ascii="Mosawi" w:hAnsi="Mosawi" w:cs="Mosawi"/>
          <w:sz w:val="24"/>
          <w:szCs w:val="24"/>
          <w:rtl/>
        </w:rPr>
        <w:t>﴾</w:t>
      </w:r>
      <w:r w:rsidRPr="00904FCB">
        <w:rPr>
          <w:rFonts w:ascii="Times New Roman" w:hAnsi="Times New Roman" w:hint="cs"/>
          <w:sz w:val="27"/>
          <w:rtl/>
          <w:lang w:bidi="fa-IR"/>
        </w:rPr>
        <w:t>.</w:t>
      </w:r>
    </w:p>
    <w:p w:rsidR="00336F3B" w:rsidRPr="00904FCB" w:rsidRDefault="00336F3B" w:rsidP="002610A7">
      <w:pPr>
        <w:spacing w:line="380" w:lineRule="exact"/>
        <w:ind w:firstLine="561"/>
        <w:rPr>
          <w:rFonts w:ascii="Times New Roman" w:hAnsi="Times New Roman"/>
          <w:sz w:val="27"/>
          <w:rtl/>
          <w:lang w:bidi="fa-IR"/>
        </w:rPr>
      </w:pPr>
      <w:r w:rsidRPr="00904FCB">
        <w:rPr>
          <w:rFonts w:ascii="Times New Roman" w:hAnsi="Times New Roman" w:hint="cs"/>
          <w:sz w:val="27"/>
          <w:rtl/>
          <w:lang w:bidi="fa-IR"/>
        </w:rPr>
        <w:t>ق</w:t>
      </w:r>
      <w:r w:rsidR="00A56904" w:rsidRPr="00904FCB">
        <w:rPr>
          <w:rFonts w:ascii="Times New Roman" w:hAnsi="Times New Roman" w:hint="cs"/>
          <w:sz w:val="27"/>
          <w:rtl/>
          <w:lang w:bidi="fa-IR"/>
        </w:rPr>
        <w:t>ال الإمام الصادق</w:t>
      </w:r>
      <w:r w:rsidRPr="00904FCB">
        <w:rPr>
          <w:rFonts w:ascii="Times New Roman" w:hAnsi="Times New Roman" w:hint="cs"/>
          <w:sz w:val="27"/>
          <w:rtl/>
          <w:lang w:bidi="fa-IR"/>
        </w:rPr>
        <w:t>(</w:t>
      </w:r>
      <w:r w:rsidR="00A56904" w:rsidRPr="00904FCB">
        <w:rPr>
          <w:rFonts w:ascii="Times New Roman" w:hAnsi="Times New Roman" w:hint="cs"/>
          <w:sz w:val="27"/>
          <w:rtl/>
          <w:lang w:bidi="fa-IR"/>
        </w:rPr>
        <w:t>رضي الله عنه</w:t>
      </w:r>
      <w:r w:rsidRPr="00904FCB">
        <w:rPr>
          <w:rFonts w:ascii="Times New Roman" w:hAnsi="Times New Roman" w:hint="cs"/>
          <w:sz w:val="27"/>
          <w:rtl/>
          <w:lang w:bidi="fa-IR"/>
        </w:rPr>
        <w:t>): يستحب للإمام أن يدعو ال</w:t>
      </w:r>
      <w:r w:rsidR="00A56904" w:rsidRPr="00904FCB">
        <w:rPr>
          <w:rFonts w:ascii="Times New Roman" w:hAnsi="Times New Roman" w:hint="cs"/>
          <w:sz w:val="27"/>
          <w:rtl/>
          <w:lang w:bidi="fa-IR"/>
        </w:rPr>
        <w:t>م</w:t>
      </w:r>
      <w:r w:rsidRPr="00904FCB">
        <w:rPr>
          <w:rFonts w:ascii="Times New Roman" w:hAnsi="Times New Roman" w:hint="cs"/>
          <w:sz w:val="27"/>
          <w:rtl/>
          <w:lang w:bidi="fa-IR"/>
        </w:rPr>
        <w:t>تمرّ</w:t>
      </w:r>
      <w:r w:rsidR="00A56904" w:rsidRPr="00904FCB">
        <w:rPr>
          <w:rFonts w:ascii="Times New Roman" w:hAnsi="Times New Roman" w:hint="cs"/>
          <w:sz w:val="27"/>
          <w:rtl/>
          <w:lang w:bidi="fa-IR"/>
        </w:rPr>
        <w:t>ِ</w:t>
      </w:r>
      <w:r w:rsidRPr="00904FCB">
        <w:rPr>
          <w:rFonts w:ascii="Times New Roman" w:hAnsi="Times New Roman" w:hint="cs"/>
          <w:sz w:val="27"/>
          <w:rtl/>
          <w:lang w:bidi="fa-IR"/>
        </w:rPr>
        <w:t>دين</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الصلح قبل بدء القتال</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ولا بأس بأن لا يدعوهم</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لأنّهم كانوا يعلمون ما</w:t>
      </w:r>
      <w:r w:rsidR="00A56904" w:rsidRPr="00904FCB">
        <w:rPr>
          <w:rFonts w:ascii="Times New Roman" w:hAnsi="Times New Roman" w:hint="cs"/>
          <w:sz w:val="27"/>
          <w:rtl/>
          <w:lang w:bidi="fa-IR"/>
        </w:rPr>
        <w:t xml:space="preserve"> </w:t>
      </w:r>
      <w:r w:rsidRPr="00904FCB">
        <w:rPr>
          <w:rFonts w:ascii="Times New Roman" w:hAnsi="Times New Roman" w:hint="cs"/>
          <w:sz w:val="27"/>
          <w:rtl/>
          <w:lang w:bidi="fa-IR"/>
        </w:rPr>
        <w:t>دُع</w:t>
      </w:r>
      <w:r w:rsidR="002610A7">
        <w:rPr>
          <w:rFonts w:ascii="Times New Roman" w:hAnsi="Times New Roman" w:hint="cs"/>
          <w:sz w:val="27"/>
          <w:rtl/>
          <w:lang w:bidi="fa-IR"/>
        </w:rPr>
        <w:t>ُ</w:t>
      </w:r>
      <w:r w:rsidRPr="00904FCB">
        <w:rPr>
          <w:rFonts w:ascii="Times New Roman" w:hAnsi="Times New Roman" w:hint="cs"/>
          <w:sz w:val="27"/>
          <w:rtl/>
          <w:lang w:bidi="fa-IR"/>
        </w:rPr>
        <w:t>وا إليه قبل ذلك، ولا يحقّ لهم أن يبادروا بالقتال</w:t>
      </w:r>
      <w:r w:rsidRPr="00904FCB">
        <w:rPr>
          <w:rFonts w:hint="cs"/>
          <w:sz w:val="27"/>
          <w:vertAlign w:val="superscript"/>
          <w:rtl/>
        </w:rPr>
        <w:t>(</w:t>
      </w:r>
      <w:r w:rsidRPr="00904FCB">
        <w:rPr>
          <w:rStyle w:val="ac"/>
          <w:sz w:val="27"/>
          <w:rtl/>
        </w:rPr>
        <w:endnoteReference w:id="651"/>
      </w:r>
      <w:r w:rsidRPr="00904FCB">
        <w:rPr>
          <w:rFonts w:hint="cs"/>
          <w:sz w:val="27"/>
          <w:vertAlign w:val="superscript"/>
          <w:rtl/>
        </w:rPr>
        <w:t>)</w:t>
      </w:r>
      <w:r w:rsidRPr="00904FCB">
        <w:rPr>
          <w:rFonts w:ascii="Times New Roman" w:hAnsi="Times New Roman" w:hint="cs"/>
          <w:sz w:val="27"/>
          <w:rtl/>
          <w:lang w:bidi="fa-IR"/>
        </w:rPr>
        <w:t xml:space="preserve">. </w:t>
      </w:r>
    </w:p>
    <w:p w:rsidR="00A56904" w:rsidRPr="00904FCB" w:rsidRDefault="00336F3B" w:rsidP="002610A7">
      <w:pPr>
        <w:spacing w:line="400" w:lineRule="exact"/>
        <w:ind w:firstLine="561"/>
        <w:rPr>
          <w:rFonts w:ascii="Times New Roman" w:hAnsi="Times New Roman"/>
          <w:sz w:val="27"/>
          <w:rtl/>
          <w:lang w:bidi="fa-IR"/>
        </w:rPr>
      </w:pPr>
      <w:r w:rsidRPr="00904FCB">
        <w:rPr>
          <w:rFonts w:ascii="Times New Roman" w:hAnsi="Times New Roman" w:hint="cs"/>
          <w:sz w:val="27"/>
          <w:rtl/>
          <w:lang w:bidi="fa-IR"/>
        </w:rPr>
        <w:t>هـ ـ أن لا يمكن دفعهم بالتفريق بينهم</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ويمكن إدخال هذا الشرط في الشرط الرابع</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نظراً</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ما ذكرنا</w:t>
      </w:r>
      <w:r w:rsidR="00A56904" w:rsidRPr="00904FCB">
        <w:rPr>
          <w:rFonts w:ascii="Times New Roman" w:hAnsi="Times New Roman" w:hint="cs"/>
          <w:sz w:val="27"/>
          <w:rtl/>
          <w:lang w:bidi="fa-IR"/>
        </w:rPr>
        <w:t>.</w:t>
      </w:r>
    </w:p>
    <w:p w:rsidR="00336F3B" w:rsidRPr="00904FCB" w:rsidRDefault="00336F3B" w:rsidP="002610A7">
      <w:pPr>
        <w:spacing w:line="380" w:lineRule="exact"/>
        <w:ind w:firstLine="561"/>
        <w:rPr>
          <w:rFonts w:ascii="Times New Roman" w:hAnsi="Times New Roman"/>
          <w:sz w:val="27"/>
          <w:rtl/>
          <w:lang w:bidi="fa-IR"/>
        </w:rPr>
      </w:pPr>
      <w:r w:rsidRPr="00904FCB">
        <w:rPr>
          <w:rFonts w:ascii="Times New Roman" w:hAnsi="Times New Roman" w:hint="cs"/>
          <w:sz w:val="27"/>
          <w:rtl/>
          <w:lang w:bidi="fa-IR"/>
        </w:rPr>
        <w:t xml:space="preserve">إنّ شروط جواز قتال البغاة تتفاوت مع ما يستند </w:t>
      </w:r>
      <w:r w:rsidR="00A56904" w:rsidRPr="00904FCB">
        <w:rPr>
          <w:rFonts w:ascii="Times New Roman" w:hAnsi="Times New Roman" w:hint="cs"/>
          <w:sz w:val="27"/>
          <w:rtl/>
          <w:lang w:bidi="fa-IR"/>
        </w:rPr>
        <w:t>إليه</w:t>
      </w:r>
      <w:r w:rsidRPr="00904FCB">
        <w:rPr>
          <w:rFonts w:ascii="Times New Roman" w:hAnsi="Times New Roman" w:hint="cs"/>
          <w:sz w:val="27"/>
          <w:rtl/>
          <w:lang w:bidi="fa-IR"/>
        </w:rPr>
        <w:t xml:space="preserve"> الفقهاء</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ولا تدلّ النصوص الشرعية إلاّ</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الشرط الرابع</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والأحكام المترت</w:t>
      </w:r>
      <w:r w:rsidR="00A56904" w:rsidRPr="00904FCB">
        <w:rPr>
          <w:rFonts w:ascii="Times New Roman" w:hAnsi="Times New Roman" w:hint="cs"/>
          <w:sz w:val="27"/>
          <w:rtl/>
          <w:lang w:bidi="fa-IR"/>
        </w:rPr>
        <w:t>ِّ</w:t>
      </w:r>
      <w:r w:rsidRPr="00904FCB">
        <w:rPr>
          <w:rFonts w:ascii="Times New Roman" w:hAnsi="Times New Roman" w:hint="cs"/>
          <w:sz w:val="27"/>
          <w:rtl/>
          <w:lang w:bidi="fa-IR"/>
        </w:rPr>
        <w:t>بة الأخر</w:t>
      </w:r>
      <w:r w:rsidR="00A56904" w:rsidRPr="00904FCB">
        <w:rPr>
          <w:rFonts w:ascii="Times New Roman" w:hAnsi="Times New Roman" w:hint="cs"/>
          <w:sz w:val="27"/>
          <w:rtl/>
          <w:lang w:bidi="fa-IR"/>
        </w:rPr>
        <w:t>ى</w:t>
      </w:r>
      <w:r w:rsidR="00340818" w:rsidRPr="00904FCB">
        <w:rPr>
          <w:rFonts w:ascii="Times New Roman" w:hAnsi="Times New Roman" w:hint="cs"/>
          <w:sz w:val="27"/>
          <w:rtl/>
          <w:lang w:bidi="fa-IR"/>
        </w:rPr>
        <w:t xml:space="preserve"> على </w:t>
      </w:r>
      <w:r w:rsidR="00A56904" w:rsidRPr="00904FCB">
        <w:rPr>
          <w:rFonts w:ascii="Times New Roman" w:hAnsi="Times New Roman" w:hint="cs"/>
          <w:sz w:val="27"/>
          <w:rtl/>
          <w:lang w:bidi="fa-IR"/>
        </w:rPr>
        <w:t>البغي إنّما هي م</w:t>
      </w:r>
      <w:r w:rsidRPr="00904FCB">
        <w:rPr>
          <w:rFonts w:ascii="Times New Roman" w:hAnsi="Times New Roman" w:hint="cs"/>
          <w:sz w:val="27"/>
          <w:rtl/>
          <w:lang w:bidi="fa-IR"/>
        </w:rPr>
        <w:t xml:space="preserve">ن إفتاء عامّة الفقهاء. </w:t>
      </w:r>
    </w:p>
    <w:p w:rsidR="00336F3B" w:rsidRPr="00904FCB" w:rsidRDefault="00336F3B" w:rsidP="007A21AA">
      <w:pPr>
        <w:spacing w:line="400" w:lineRule="exact"/>
        <w:rPr>
          <w:rFonts w:ascii="Times New Roman" w:hAnsi="Times New Roman"/>
          <w:sz w:val="27"/>
          <w:rtl/>
          <w:lang w:bidi="fa-IR"/>
        </w:rPr>
      </w:pPr>
    </w:p>
    <w:p w:rsidR="00336F3B" w:rsidRPr="00904FCB" w:rsidRDefault="00336F3B" w:rsidP="007A21AA">
      <w:pPr>
        <w:pStyle w:val="31"/>
        <w:spacing w:line="400" w:lineRule="exact"/>
        <w:rPr>
          <w:color w:val="auto"/>
          <w:rtl/>
          <w:lang w:bidi="fa-IR"/>
        </w:rPr>
      </w:pPr>
      <w:r w:rsidRPr="00904FCB">
        <w:rPr>
          <w:rFonts w:hint="cs"/>
          <w:color w:val="auto"/>
          <w:rtl/>
          <w:lang w:bidi="fa-IR"/>
        </w:rPr>
        <w:t>النتائج</w:t>
      </w:r>
    </w:p>
    <w:p w:rsidR="00336F3B" w:rsidRPr="00904FCB"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1ـ</w:t>
      </w:r>
      <w:r w:rsidRPr="00904FCB">
        <w:rPr>
          <w:rFonts w:ascii="Times New Roman" w:hAnsi="Times New Roman" w:hint="cs"/>
          <w:sz w:val="27"/>
          <w:rtl/>
          <w:lang w:bidi="fa-IR"/>
        </w:rPr>
        <w:t xml:space="preserve"> إنّ جريمة البغي تقع غالباً إذا كان الخارجون جماعة قوية</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ويمكن أن </w:t>
      </w:r>
      <w:r w:rsidRPr="00904FCB">
        <w:rPr>
          <w:rFonts w:ascii="Times New Roman" w:hAnsi="Times New Roman" w:hint="cs"/>
          <w:sz w:val="27"/>
          <w:rtl/>
          <w:lang w:bidi="fa-IR"/>
        </w:rPr>
        <w:lastRenderedPageBreak/>
        <w:t>يباشر بها واحدٌ أيضاً</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والبغي مفهوم</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واسع يشمل عدوان أحدٍ أو جماعة</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من المسلمين</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 xml:space="preserve">أحدٍ أو جماعة، </w:t>
      </w:r>
      <w:r w:rsidR="00A56904" w:rsidRPr="00904FCB">
        <w:rPr>
          <w:rFonts w:ascii="Times New Roman" w:hAnsi="Times New Roman" w:hint="cs"/>
          <w:sz w:val="27"/>
          <w:rtl/>
          <w:lang w:bidi="fa-IR"/>
        </w:rPr>
        <w:t>و</w:t>
      </w:r>
      <w:r w:rsidRPr="00904FCB">
        <w:rPr>
          <w:rFonts w:ascii="Times New Roman" w:hAnsi="Times New Roman" w:hint="cs"/>
          <w:sz w:val="27"/>
          <w:rtl/>
          <w:lang w:bidi="fa-IR"/>
        </w:rPr>
        <w:t>اعتداء دولة</w:t>
      </w:r>
      <w:r w:rsidR="00A56904" w:rsidRPr="00904FCB">
        <w:rPr>
          <w:rFonts w:ascii="Times New Roman" w:hAnsi="Times New Roman" w:hint="cs"/>
          <w:sz w:val="27"/>
          <w:rtl/>
          <w:lang w:bidi="fa-IR"/>
        </w:rPr>
        <w:t>ٍ</w:t>
      </w:r>
      <w:r w:rsidRPr="00904FCB">
        <w:rPr>
          <w:rFonts w:ascii="Times New Roman" w:hAnsi="Times New Roman" w:hint="cs"/>
          <w:sz w:val="27"/>
          <w:rtl/>
          <w:lang w:bidi="fa-IR"/>
        </w:rPr>
        <w:t xml:space="preserve"> مسلمة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دولة مسلمة أخر</w:t>
      </w:r>
      <w:r w:rsidR="00A56904" w:rsidRPr="00904FCB">
        <w:rPr>
          <w:rFonts w:ascii="Times New Roman" w:hAnsi="Times New Roman" w:hint="cs"/>
          <w:sz w:val="27"/>
          <w:rtl/>
          <w:lang w:bidi="fa-IR"/>
        </w:rPr>
        <w:t>ى</w:t>
      </w:r>
      <w:r w:rsidRPr="00904FCB">
        <w:rPr>
          <w:rFonts w:ascii="Times New Roman" w:hAnsi="Times New Roman" w:hint="cs"/>
          <w:sz w:val="27"/>
          <w:rtl/>
          <w:lang w:bidi="fa-IR"/>
        </w:rPr>
        <w:t>، سواء كان البغاة مسلّ</w:t>
      </w:r>
      <w:r w:rsidR="0065420A" w:rsidRPr="00904FCB">
        <w:rPr>
          <w:rFonts w:ascii="Times New Roman" w:hAnsi="Times New Roman" w:hint="cs"/>
          <w:sz w:val="27"/>
          <w:rtl/>
          <w:lang w:bidi="fa-IR"/>
        </w:rPr>
        <w:t>َ</w:t>
      </w:r>
      <w:r w:rsidRPr="00904FCB">
        <w:rPr>
          <w:rFonts w:ascii="Times New Roman" w:hAnsi="Times New Roman" w:hint="cs"/>
          <w:sz w:val="27"/>
          <w:rtl/>
          <w:lang w:bidi="fa-IR"/>
        </w:rPr>
        <w:t>حين أو</w:t>
      </w:r>
      <w:r w:rsidR="00A56904" w:rsidRPr="00904FCB">
        <w:rPr>
          <w:rFonts w:ascii="Times New Roman" w:hAnsi="Times New Roman" w:hint="cs"/>
          <w:sz w:val="27"/>
          <w:rtl/>
          <w:lang w:bidi="fa-IR"/>
        </w:rPr>
        <w:t xml:space="preserve"> </w:t>
      </w:r>
      <w:r w:rsidRPr="00904FCB">
        <w:rPr>
          <w:rFonts w:ascii="Times New Roman" w:hAnsi="Times New Roman" w:hint="cs"/>
          <w:sz w:val="27"/>
          <w:rtl/>
          <w:lang w:bidi="fa-IR"/>
        </w:rPr>
        <w:t>لا، أو كانت لهم شبهة</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أو لم تكن. </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 xml:space="preserve">يمكننا أن </w:t>
      </w:r>
      <w:r w:rsidR="0065420A" w:rsidRPr="00904FCB">
        <w:rPr>
          <w:rFonts w:ascii="Times New Roman" w:hAnsi="Times New Roman" w:hint="cs"/>
          <w:sz w:val="27"/>
          <w:rtl/>
          <w:lang w:bidi="fa-IR"/>
        </w:rPr>
        <w:t>ن</w:t>
      </w:r>
      <w:r w:rsidRPr="00904FCB">
        <w:rPr>
          <w:rFonts w:ascii="Times New Roman" w:hAnsi="Times New Roman" w:hint="cs"/>
          <w:sz w:val="27"/>
          <w:rtl/>
          <w:lang w:bidi="fa-IR"/>
        </w:rPr>
        <w:t>فسّر البغي في تقسيم</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عام</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بمعنيين: </w:t>
      </w:r>
      <w:r w:rsidRPr="006333E0">
        <w:rPr>
          <w:rFonts w:ascii="Times New Roman" w:hAnsi="Times New Roman" w:cs="Ya-Ali" w:hint="cs"/>
          <w:sz w:val="27"/>
          <w:rtl/>
          <w:lang w:bidi="ar-LB"/>
        </w:rPr>
        <w:t>1</w:t>
      </w:r>
      <w:r w:rsidRPr="00904FCB">
        <w:rPr>
          <w:rFonts w:ascii="Times New Roman" w:hAnsi="Times New Roman" w:hint="cs"/>
          <w:sz w:val="27"/>
          <w:rtl/>
          <w:lang w:bidi="ar-LB"/>
        </w:rPr>
        <w:t>ـ</w:t>
      </w:r>
      <w:r w:rsidRPr="00904FCB">
        <w:rPr>
          <w:rFonts w:ascii="Times New Roman" w:hAnsi="Times New Roman" w:hint="cs"/>
          <w:sz w:val="27"/>
          <w:rtl/>
          <w:lang w:bidi="fa-IR"/>
        </w:rPr>
        <w:t xml:space="preserve"> المعن</w:t>
      </w:r>
      <w:r w:rsidR="0065420A" w:rsidRPr="00904FCB">
        <w:rPr>
          <w:rFonts w:ascii="Times New Roman" w:hAnsi="Times New Roman" w:hint="cs"/>
          <w:sz w:val="27"/>
          <w:rtl/>
          <w:lang w:bidi="fa-IR"/>
        </w:rPr>
        <w:t>ى</w:t>
      </w:r>
      <w:r w:rsidRPr="00904FCB">
        <w:rPr>
          <w:rFonts w:ascii="Times New Roman" w:hAnsi="Times New Roman" w:hint="cs"/>
          <w:sz w:val="27"/>
          <w:rtl/>
          <w:lang w:bidi="fa-IR"/>
        </w:rPr>
        <w:t xml:space="preserve"> الخاص</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w:t>
      </w:r>
      <w:r w:rsidRPr="006333E0">
        <w:rPr>
          <w:rFonts w:ascii="Times New Roman" w:hAnsi="Times New Roman" w:cs="Ya-Ali" w:hint="cs"/>
          <w:sz w:val="27"/>
          <w:rtl/>
          <w:lang w:bidi="ar-LB"/>
        </w:rPr>
        <w:t>2</w:t>
      </w:r>
      <w:r w:rsidRPr="00904FCB">
        <w:rPr>
          <w:rFonts w:ascii="Times New Roman" w:hAnsi="Times New Roman" w:hint="cs"/>
          <w:sz w:val="27"/>
          <w:rtl/>
          <w:lang w:bidi="ar-LB"/>
        </w:rPr>
        <w:t>ـ</w:t>
      </w:r>
      <w:r w:rsidRPr="00904FCB">
        <w:rPr>
          <w:rFonts w:ascii="Times New Roman" w:hAnsi="Times New Roman" w:hint="cs"/>
          <w:sz w:val="27"/>
          <w:rtl/>
          <w:lang w:bidi="fa-IR"/>
        </w:rPr>
        <w:t xml:space="preserve"> المعن</w:t>
      </w:r>
      <w:r w:rsidR="0065420A" w:rsidRPr="00904FCB">
        <w:rPr>
          <w:rFonts w:ascii="Times New Roman" w:hAnsi="Times New Roman" w:hint="cs"/>
          <w:sz w:val="27"/>
          <w:rtl/>
          <w:lang w:bidi="fa-IR"/>
        </w:rPr>
        <w:t>ى</w:t>
      </w:r>
      <w:r w:rsidRPr="00904FCB">
        <w:rPr>
          <w:rFonts w:ascii="Times New Roman" w:hAnsi="Times New Roman" w:hint="cs"/>
          <w:sz w:val="27"/>
          <w:rtl/>
          <w:lang w:bidi="fa-IR"/>
        </w:rPr>
        <w:t xml:space="preserve"> العام</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فمعناه الخاص هو الجريمة السياسية</w:t>
      </w:r>
      <w:r w:rsidR="0065420A" w:rsidRPr="00904FCB">
        <w:rPr>
          <w:rFonts w:ascii="Times New Roman" w:hAnsi="Times New Roman" w:hint="cs"/>
          <w:sz w:val="27"/>
          <w:rtl/>
          <w:lang w:bidi="fa-IR"/>
        </w:rPr>
        <w:t xml:space="preserve">؛ </w:t>
      </w:r>
      <w:r w:rsidRPr="00904FCB">
        <w:rPr>
          <w:rFonts w:ascii="Times New Roman" w:hAnsi="Times New Roman" w:hint="cs"/>
          <w:sz w:val="27"/>
          <w:rtl/>
          <w:lang w:bidi="fa-IR"/>
        </w:rPr>
        <w:t>ومعناه العام</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هو الاعتداء والعدوان الذي ربما ي</w:t>
      </w:r>
      <w:r w:rsidR="0065420A" w:rsidRPr="00904FCB">
        <w:rPr>
          <w:rFonts w:ascii="Times New Roman" w:hAnsi="Times New Roman" w:hint="cs"/>
          <w:sz w:val="27"/>
          <w:rtl/>
          <w:lang w:bidi="fa-IR"/>
        </w:rPr>
        <w:t>ؤ</w:t>
      </w:r>
      <w:r w:rsidRPr="00904FCB">
        <w:rPr>
          <w:rFonts w:ascii="Times New Roman" w:hAnsi="Times New Roman" w:hint="cs"/>
          <w:sz w:val="27"/>
          <w:rtl/>
          <w:lang w:bidi="fa-IR"/>
        </w:rPr>
        <w:t>د</w:t>
      </w:r>
      <w:r w:rsidR="0065420A" w:rsidRPr="00904FCB">
        <w:rPr>
          <w:rFonts w:ascii="Times New Roman" w:hAnsi="Times New Roman" w:hint="cs"/>
          <w:sz w:val="27"/>
          <w:rtl/>
          <w:lang w:bidi="fa-IR"/>
        </w:rPr>
        <w:t>ّ</w:t>
      </w:r>
      <w:r w:rsidRPr="00904FCB">
        <w:rPr>
          <w:rFonts w:ascii="Times New Roman" w:hAnsi="Times New Roman" w:hint="cs"/>
          <w:sz w:val="27"/>
          <w:rtl/>
          <w:lang w:bidi="fa-IR"/>
        </w:rPr>
        <w:t>ي</w:t>
      </w:r>
      <w:r w:rsidR="00340818" w:rsidRPr="00904FCB">
        <w:rPr>
          <w:rFonts w:ascii="Times New Roman" w:hAnsi="Times New Roman" w:hint="cs"/>
          <w:sz w:val="27"/>
          <w:rtl/>
          <w:lang w:bidi="fa-IR"/>
        </w:rPr>
        <w:t xml:space="preserve"> إلى </w:t>
      </w:r>
      <w:r w:rsidRPr="00904FCB">
        <w:rPr>
          <w:rFonts w:ascii="Times New Roman" w:hAnsi="Times New Roman" w:hint="cs"/>
          <w:sz w:val="27"/>
          <w:rtl/>
          <w:lang w:bidi="fa-IR"/>
        </w:rPr>
        <w:t>جرائم أخر</w:t>
      </w:r>
      <w:r w:rsidR="0065420A" w:rsidRPr="00904FCB">
        <w:rPr>
          <w:rFonts w:ascii="Times New Roman" w:hAnsi="Times New Roman" w:hint="cs"/>
          <w:sz w:val="27"/>
          <w:rtl/>
          <w:lang w:bidi="fa-IR"/>
        </w:rPr>
        <w:t>ى.</w:t>
      </w:r>
      <w:r w:rsidRPr="00904FCB">
        <w:rPr>
          <w:rFonts w:ascii="Times New Roman" w:hAnsi="Times New Roman" w:hint="cs"/>
          <w:sz w:val="27"/>
          <w:rtl/>
          <w:lang w:bidi="fa-IR"/>
        </w:rPr>
        <w:t xml:space="preserve"> ثمّ يعاقَب م</w:t>
      </w:r>
      <w:r w:rsidR="0065420A" w:rsidRPr="00904FCB">
        <w:rPr>
          <w:rFonts w:ascii="Times New Roman" w:hAnsi="Times New Roman" w:hint="cs"/>
          <w:sz w:val="27"/>
          <w:rtl/>
          <w:lang w:bidi="fa-IR"/>
        </w:rPr>
        <w:t>َ</w:t>
      </w:r>
      <w:r w:rsidRPr="00904FCB">
        <w:rPr>
          <w:rFonts w:ascii="Times New Roman" w:hAnsi="Times New Roman" w:hint="cs"/>
          <w:sz w:val="27"/>
          <w:rtl/>
          <w:lang w:bidi="fa-IR"/>
        </w:rPr>
        <w:t>ن</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ارتكب جريمة سياسية بالأحكام المترتبة</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آية سورة الحجرات، ولكن</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لو وقعت جريمة</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أخر</w:t>
      </w:r>
      <w:r w:rsidR="0065420A" w:rsidRPr="00904FCB">
        <w:rPr>
          <w:rFonts w:ascii="Times New Roman" w:hAnsi="Times New Roman" w:hint="cs"/>
          <w:sz w:val="27"/>
          <w:rtl/>
          <w:lang w:bidi="fa-IR"/>
        </w:rPr>
        <w:t>ى</w:t>
      </w:r>
      <w:r w:rsidRPr="00904FCB">
        <w:rPr>
          <w:rFonts w:ascii="Times New Roman" w:hAnsi="Times New Roman" w:hint="cs"/>
          <w:sz w:val="27"/>
          <w:rtl/>
          <w:lang w:bidi="fa-IR"/>
        </w:rPr>
        <w:t xml:space="preserve"> ذات خصائص أخر</w:t>
      </w:r>
      <w:r w:rsidR="0065420A" w:rsidRPr="00904FCB">
        <w:rPr>
          <w:rFonts w:ascii="Times New Roman" w:hAnsi="Times New Roman" w:hint="cs"/>
          <w:sz w:val="27"/>
          <w:rtl/>
          <w:lang w:bidi="fa-IR"/>
        </w:rPr>
        <w:t>ى فإنّه</w:t>
      </w:r>
      <w:r w:rsidRPr="00904FCB">
        <w:rPr>
          <w:rFonts w:ascii="Times New Roman" w:hAnsi="Times New Roman" w:hint="cs"/>
          <w:sz w:val="27"/>
          <w:rtl/>
          <w:lang w:bidi="fa-IR"/>
        </w:rPr>
        <w:t xml:space="preserve"> </w:t>
      </w:r>
      <w:r w:rsidR="0065420A" w:rsidRPr="00904FCB">
        <w:rPr>
          <w:rFonts w:ascii="Times New Roman" w:hAnsi="Times New Roman" w:hint="cs"/>
          <w:sz w:val="27"/>
          <w:rtl/>
          <w:lang w:bidi="fa-IR"/>
        </w:rPr>
        <w:t>يُعاقَ</w:t>
      </w:r>
      <w:r w:rsidRPr="00904FCB">
        <w:rPr>
          <w:rFonts w:ascii="Times New Roman" w:hAnsi="Times New Roman" w:hint="cs"/>
          <w:sz w:val="27"/>
          <w:rtl/>
          <w:lang w:bidi="fa-IR"/>
        </w:rPr>
        <w:t>ب كل</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صاحب جريمة</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ب</w:t>
      </w:r>
      <w:r w:rsidR="0065420A" w:rsidRPr="00904FCB">
        <w:rPr>
          <w:rFonts w:ascii="Times New Roman" w:hAnsi="Times New Roman" w:hint="cs"/>
          <w:sz w:val="27"/>
          <w:rtl/>
          <w:lang w:bidi="fa-IR"/>
        </w:rPr>
        <w:t>ال</w:t>
      </w:r>
      <w:r w:rsidRPr="00904FCB">
        <w:rPr>
          <w:rFonts w:ascii="Times New Roman" w:hAnsi="Times New Roman" w:hint="cs"/>
          <w:sz w:val="27"/>
          <w:rtl/>
          <w:lang w:bidi="fa-IR"/>
        </w:rPr>
        <w:t xml:space="preserve">أحكام الخاصّة بها. </w:t>
      </w:r>
    </w:p>
    <w:p w:rsidR="00336F3B" w:rsidRPr="00904FCB"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2ـ</w:t>
      </w:r>
      <w:r w:rsidRPr="00904FCB">
        <w:rPr>
          <w:rFonts w:ascii="Times New Roman" w:hAnsi="Times New Roman" w:hint="cs"/>
          <w:sz w:val="27"/>
          <w:rtl/>
          <w:lang w:bidi="fa-IR"/>
        </w:rPr>
        <w:t xml:space="preserve"> تُقبَل توبة البغاة في كل</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من المراحل الثلاث: قبل القتال</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وفي أثنا</w:t>
      </w:r>
      <w:r w:rsidR="0065420A" w:rsidRPr="00904FCB">
        <w:rPr>
          <w:rFonts w:ascii="Times New Roman" w:hAnsi="Times New Roman" w:hint="cs"/>
          <w:sz w:val="27"/>
          <w:rtl/>
          <w:lang w:bidi="fa-IR"/>
        </w:rPr>
        <w:t>ئ</w:t>
      </w:r>
      <w:r w:rsidRPr="00904FCB">
        <w:rPr>
          <w:rFonts w:ascii="Times New Roman" w:hAnsi="Times New Roman" w:hint="cs"/>
          <w:sz w:val="27"/>
          <w:rtl/>
          <w:lang w:bidi="fa-IR"/>
        </w:rPr>
        <w:t>ه</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وبعده، سواء كان الخارجون جماعة</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قوية أم لم يكونوا كذلك</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والبغي من الجرائم النادرة</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من حيث إن التوبة تُقبَل فيها بعد القتال. </w:t>
      </w:r>
    </w:p>
    <w:p w:rsidR="00336F3B" w:rsidRPr="00904FCB"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3ـ</w:t>
      </w:r>
      <w:r w:rsidRPr="00904FCB">
        <w:rPr>
          <w:rFonts w:ascii="Times New Roman" w:hAnsi="Times New Roman" w:hint="cs"/>
          <w:sz w:val="27"/>
          <w:rtl/>
          <w:lang w:bidi="fa-IR"/>
        </w:rPr>
        <w:t xml:space="preserve"> يمكن أن يخرج ال</w:t>
      </w:r>
      <w:r w:rsidR="0065420A" w:rsidRPr="00904FCB">
        <w:rPr>
          <w:rFonts w:ascii="Times New Roman" w:hAnsi="Times New Roman" w:hint="cs"/>
          <w:sz w:val="27"/>
          <w:rtl/>
          <w:lang w:bidi="fa-IR"/>
        </w:rPr>
        <w:t>ب</w:t>
      </w:r>
      <w:r w:rsidRPr="00904FCB">
        <w:rPr>
          <w:rFonts w:ascii="Times New Roman" w:hAnsi="Times New Roman" w:hint="cs"/>
          <w:sz w:val="27"/>
          <w:rtl/>
          <w:lang w:bidi="fa-IR"/>
        </w:rPr>
        <w:t>غاة لأجل شبهة</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لهم</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ويمكن أن يخرجوا بغير شبهة</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فإذا لم تكن لهم شبهة فليسوا بمحاربين</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إلاّ أن تصدق عليهم شروط المحاربين. </w:t>
      </w:r>
    </w:p>
    <w:p w:rsidR="002C170A"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 xml:space="preserve"> </w:t>
      </w:r>
      <w:r w:rsidRPr="001022E4">
        <w:rPr>
          <w:rFonts w:ascii="Times New Roman" w:hAnsi="Times New Roman" w:hint="cs"/>
          <w:sz w:val="27"/>
          <w:rtl/>
          <w:lang w:bidi="ar-LB"/>
        </w:rPr>
        <w:t>4ـ</w:t>
      </w:r>
      <w:r w:rsidRPr="00904FCB">
        <w:rPr>
          <w:rFonts w:ascii="Times New Roman" w:hAnsi="Times New Roman" w:hint="cs"/>
          <w:sz w:val="27"/>
          <w:rtl/>
          <w:lang w:bidi="fa-IR"/>
        </w:rPr>
        <w:t xml:space="preserve"> لا يحكم</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البغاة بالكفر، ولا تُحجَز أموالهم إن</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رأ</w:t>
      </w:r>
      <w:r w:rsidR="0065420A" w:rsidRPr="00904FCB">
        <w:rPr>
          <w:rFonts w:ascii="Times New Roman" w:hAnsi="Times New Roman" w:hint="cs"/>
          <w:sz w:val="27"/>
          <w:rtl/>
          <w:lang w:bidi="fa-IR"/>
        </w:rPr>
        <w:t>ى</w:t>
      </w:r>
      <w:r w:rsidRPr="00904FCB">
        <w:rPr>
          <w:rFonts w:ascii="Times New Roman" w:hAnsi="Times New Roman" w:hint="cs"/>
          <w:sz w:val="27"/>
          <w:rtl/>
          <w:lang w:bidi="fa-IR"/>
        </w:rPr>
        <w:t xml:space="preserve"> الإمام ذلك</w:t>
      </w:r>
      <w:r w:rsidR="002C170A" w:rsidRPr="00904FCB">
        <w:rPr>
          <w:rFonts w:ascii="Times New Roman" w:hAnsi="Times New Roman" w:hint="cs"/>
          <w:sz w:val="27"/>
          <w:rtl/>
          <w:lang w:bidi="fa-IR"/>
        </w:rPr>
        <w:t>.</w:t>
      </w:r>
    </w:p>
    <w:p w:rsidR="00336F3B" w:rsidRPr="00904FCB" w:rsidRDefault="00336F3B" w:rsidP="007A21AA">
      <w:pPr>
        <w:spacing w:line="400" w:lineRule="exact"/>
        <w:rPr>
          <w:rFonts w:ascii="Times New Roman" w:hAnsi="Times New Roman"/>
          <w:sz w:val="27"/>
          <w:rtl/>
          <w:lang w:bidi="fa-IR"/>
        </w:rPr>
      </w:pPr>
      <w:r w:rsidRPr="00904FCB">
        <w:rPr>
          <w:rFonts w:ascii="Times New Roman" w:hAnsi="Times New Roman" w:hint="cs"/>
          <w:sz w:val="27"/>
          <w:rtl/>
          <w:lang w:bidi="fa-IR"/>
        </w:rPr>
        <w:t>وإن</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كان لهم قدرة</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وشوكة</w:t>
      </w:r>
      <w:r w:rsidR="002C170A" w:rsidRPr="00904FCB">
        <w:rPr>
          <w:rFonts w:ascii="Times New Roman" w:hAnsi="Times New Roman" w:hint="cs"/>
          <w:sz w:val="27"/>
          <w:rtl/>
          <w:lang w:bidi="fa-IR"/>
        </w:rPr>
        <w:t xml:space="preserve"> </w:t>
      </w:r>
      <w:r w:rsidRPr="00904FCB">
        <w:rPr>
          <w:rFonts w:ascii="Times New Roman" w:hAnsi="Times New Roman" w:hint="cs"/>
          <w:sz w:val="27"/>
          <w:rtl/>
          <w:lang w:bidi="fa-IR"/>
        </w:rPr>
        <w:t>فإنّهم بمنزلة البغاة</w:t>
      </w:r>
      <w:r w:rsidR="002C170A" w:rsidRPr="00904FCB">
        <w:rPr>
          <w:rFonts w:ascii="Times New Roman" w:hAnsi="Times New Roman" w:hint="cs"/>
          <w:sz w:val="27"/>
          <w:rtl/>
          <w:lang w:bidi="fa-IR"/>
        </w:rPr>
        <w:t xml:space="preserve">؛ </w:t>
      </w:r>
      <w:r w:rsidRPr="00904FCB">
        <w:rPr>
          <w:rFonts w:ascii="Times New Roman" w:hAnsi="Times New Roman" w:hint="cs"/>
          <w:sz w:val="27"/>
          <w:rtl/>
          <w:lang w:bidi="fa-IR"/>
        </w:rPr>
        <w:t>وإن</w:t>
      </w:r>
      <w:r w:rsidR="0065420A" w:rsidRPr="00904FCB">
        <w:rPr>
          <w:rFonts w:ascii="Times New Roman" w:hAnsi="Times New Roman" w:hint="cs"/>
          <w:sz w:val="27"/>
          <w:rtl/>
          <w:lang w:bidi="fa-IR"/>
        </w:rPr>
        <w:t>ْ</w:t>
      </w:r>
      <w:r w:rsidRPr="00904FCB">
        <w:rPr>
          <w:rFonts w:ascii="Times New Roman" w:hAnsi="Times New Roman" w:hint="cs"/>
          <w:sz w:val="27"/>
          <w:rtl/>
          <w:lang w:bidi="fa-IR"/>
        </w:rPr>
        <w:t xml:space="preserve"> لم يكونوا كذلك فإنّهم من المحاربين. </w:t>
      </w:r>
    </w:p>
    <w:p w:rsidR="00336F3B" w:rsidRPr="00904FCB"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5ـ</w:t>
      </w:r>
      <w:r w:rsidRPr="00904FCB">
        <w:rPr>
          <w:rFonts w:ascii="Times New Roman" w:hAnsi="Times New Roman" w:hint="cs"/>
          <w:sz w:val="27"/>
          <w:rtl/>
          <w:lang w:bidi="fa-IR"/>
        </w:rPr>
        <w:t xml:space="preserve"> إن</w:t>
      </w:r>
      <w:r w:rsidR="002C170A" w:rsidRPr="00904FCB">
        <w:rPr>
          <w:rFonts w:ascii="Times New Roman" w:hAnsi="Times New Roman" w:hint="cs"/>
          <w:sz w:val="27"/>
          <w:rtl/>
          <w:lang w:bidi="fa-IR"/>
        </w:rPr>
        <w:t xml:space="preserve">ْ </w:t>
      </w:r>
      <w:r w:rsidRPr="00904FCB">
        <w:rPr>
          <w:rFonts w:ascii="Times New Roman" w:hAnsi="Times New Roman" w:hint="cs"/>
          <w:sz w:val="27"/>
          <w:rtl/>
          <w:lang w:bidi="fa-IR"/>
        </w:rPr>
        <w:t>ق</w:t>
      </w:r>
      <w:r w:rsidR="002C170A" w:rsidRPr="00904FCB">
        <w:rPr>
          <w:rFonts w:ascii="Times New Roman" w:hAnsi="Times New Roman" w:hint="cs"/>
          <w:sz w:val="27"/>
          <w:rtl/>
          <w:lang w:bidi="fa-IR"/>
        </w:rPr>
        <w:t>َ</w:t>
      </w:r>
      <w:r w:rsidRPr="00904FCB">
        <w:rPr>
          <w:rFonts w:ascii="Times New Roman" w:hAnsi="Times New Roman" w:hint="cs"/>
          <w:sz w:val="27"/>
          <w:rtl/>
          <w:lang w:bidi="fa-IR"/>
        </w:rPr>
        <w:t>ت</w:t>
      </w:r>
      <w:r w:rsidR="002C170A" w:rsidRPr="00904FCB">
        <w:rPr>
          <w:rFonts w:ascii="Times New Roman" w:hAnsi="Times New Roman" w:hint="cs"/>
          <w:sz w:val="27"/>
          <w:rtl/>
          <w:lang w:bidi="fa-IR"/>
        </w:rPr>
        <w:t>َ</w:t>
      </w:r>
      <w:r w:rsidRPr="00904FCB">
        <w:rPr>
          <w:rFonts w:ascii="Times New Roman" w:hAnsi="Times New Roman" w:hint="cs"/>
          <w:sz w:val="27"/>
          <w:rtl/>
          <w:lang w:bidi="fa-IR"/>
        </w:rPr>
        <w:t>لَ البغاةُ أحداً ي</w:t>
      </w:r>
      <w:r w:rsidR="002C170A" w:rsidRPr="00904FCB">
        <w:rPr>
          <w:rFonts w:ascii="Times New Roman" w:hAnsi="Times New Roman" w:hint="cs"/>
          <w:sz w:val="27"/>
          <w:rtl/>
          <w:lang w:bidi="fa-IR"/>
        </w:rPr>
        <w:t>ُق</w:t>
      </w:r>
      <w:r w:rsidRPr="00904FCB">
        <w:rPr>
          <w:rFonts w:ascii="Times New Roman" w:hAnsi="Times New Roman" w:hint="cs"/>
          <w:sz w:val="27"/>
          <w:rtl/>
          <w:lang w:bidi="fa-IR"/>
        </w:rPr>
        <w:t>تَصّ منهم، وإن</w:t>
      </w:r>
      <w:r w:rsidR="002C170A" w:rsidRPr="00904FCB">
        <w:rPr>
          <w:rFonts w:ascii="Times New Roman" w:hAnsi="Times New Roman" w:hint="cs"/>
          <w:sz w:val="27"/>
          <w:rtl/>
          <w:lang w:bidi="fa-IR"/>
        </w:rPr>
        <w:t>ْ</w:t>
      </w:r>
      <w:r w:rsidRPr="00904FCB">
        <w:rPr>
          <w:rFonts w:ascii="Times New Roman" w:hAnsi="Times New Roman" w:hint="cs"/>
          <w:sz w:val="27"/>
          <w:rtl/>
          <w:lang w:bidi="fa-IR"/>
        </w:rPr>
        <w:t xml:space="preserve"> أتلفوا مالاً ي</w:t>
      </w:r>
      <w:r w:rsidR="002C170A" w:rsidRPr="00904FCB">
        <w:rPr>
          <w:rFonts w:ascii="Times New Roman" w:hAnsi="Times New Roman" w:hint="cs"/>
          <w:sz w:val="27"/>
          <w:rtl/>
          <w:lang w:bidi="fa-IR"/>
        </w:rPr>
        <w:t>َ</w:t>
      </w:r>
      <w:r w:rsidRPr="00904FCB">
        <w:rPr>
          <w:rFonts w:ascii="Times New Roman" w:hAnsi="Times New Roman" w:hint="cs"/>
          <w:sz w:val="27"/>
          <w:rtl/>
          <w:lang w:bidi="fa-IR"/>
        </w:rPr>
        <w:t>ض</w:t>
      </w:r>
      <w:r w:rsidR="002C170A" w:rsidRPr="00904FCB">
        <w:rPr>
          <w:rFonts w:ascii="Times New Roman" w:hAnsi="Times New Roman" w:hint="cs"/>
          <w:sz w:val="27"/>
          <w:rtl/>
          <w:lang w:bidi="fa-IR"/>
        </w:rPr>
        <w:t>ْ</w:t>
      </w:r>
      <w:r w:rsidRPr="00904FCB">
        <w:rPr>
          <w:rFonts w:ascii="Times New Roman" w:hAnsi="Times New Roman" w:hint="cs"/>
          <w:sz w:val="27"/>
          <w:rtl/>
          <w:lang w:bidi="fa-IR"/>
        </w:rPr>
        <w:t xml:space="preserve">مَنون. </w:t>
      </w:r>
    </w:p>
    <w:p w:rsidR="00336F3B" w:rsidRPr="00904FCB"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6ـ</w:t>
      </w:r>
      <w:r w:rsidRPr="00904FCB">
        <w:rPr>
          <w:rFonts w:ascii="Times New Roman" w:hAnsi="Times New Roman" w:hint="cs"/>
          <w:sz w:val="27"/>
          <w:rtl/>
          <w:lang w:bidi="fa-IR"/>
        </w:rPr>
        <w:t xml:space="preserve"> إنّ البغي من الجرائم النادرة</w:t>
      </w:r>
      <w:r w:rsidR="002C170A" w:rsidRPr="00904FCB">
        <w:rPr>
          <w:rFonts w:ascii="Times New Roman" w:hAnsi="Times New Roman" w:hint="cs"/>
          <w:sz w:val="27"/>
          <w:rtl/>
          <w:lang w:bidi="fa-IR"/>
        </w:rPr>
        <w:t xml:space="preserve">، </w:t>
      </w:r>
      <w:r w:rsidRPr="00904FCB">
        <w:rPr>
          <w:rFonts w:ascii="Times New Roman" w:hAnsi="Times New Roman" w:hint="cs"/>
          <w:sz w:val="27"/>
          <w:rtl/>
          <w:lang w:bidi="fa-IR"/>
        </w:rPr>
        <w:t>من حيث إنّ الصلح و</w:t>
      </w:r>
      <w:r w:rsidR="002C170A" w:rsidRPr="00904FCB">
        <w:rPr>
          <w:rFonts w:ascii="Times New Roman" w:hAnsi="Times New Roman" w:hint="cs"/>
          <w:sz w:val="27"/>
          <w:rtl/>
          <w:lang w:bidi="fa-IR"/>
        </w:rPr>
        <w:t>المداراة يج</w:t>
      </w:r>
      <w:r w:rsidRPr="00904FCB">
        <w:rPr>
          <w:rFonts w:ascii="Times New Roman" w:hAnsi="Times New Roman" w:hint="cs"/>
          <w:sz w:val="27"/>
          <w:rtl/>
          <w:lang w:bidi="fa-IR"/>
        </w:rPr>
        <w:t>بان قبله</w:t>
      </w:r>
      <w:r w:rsidR="002C170A" w:rsidRPr="00904FCB">
        <w:rPr>
          <w:rFonts w:ascii="Times New Roman" w:hAnsi="Times New Roman" w:hint="cs"/>
          <w:sz w:val="27"/>
          <w:rtl/>
          <w:lang w:bidi="fa-IR"/>
        </w:rPr>
        <w:t>.</w:t>
      </w:r>
      <w:r w:rsidRPr="00904FCB">
        <w:rPr>
          <w:rFonts w:ascii="Times New Roman" w:hAnsi="Times New Roman" w:hint="cs"/>
          <w:sz w:val="27"/>
          <w:rtl/>
          <w:lang w:bidi="fa-IR"/>
        </w:rPr>
        <w:t xml:space="preserve"> وهذا دليل</w:t>
      </w:r>
      <w:r w:rsidR="002C170A" w:rsidRPr="00904FCB">
        <w:rPr>
          <w:rFonts w:ascii="Times New Roman" w:hAnsi="Times New Roman" w:hint="cs"/>
          <w:sz w:val="27"/>
          <w:rtl/>
          <w:lang w:bidi="fa-IR"/>
        </w:rPr>
        <w:t>ٌ</w:t>
      </w:r>
      <w:r w:rsidR="00340818" w:rsidRPr="00904FCB">
        <w:rPr>
          <w:rFonts w:ascii="Times New Roman" w:hAnsi="Times New Roman" w:hint="cs"/>
          <w:sz w:val="27"/>
          <w:rtl/>
          <w:lang w:bidi="fa-IR"/>
        </w:rPr>
        <w:t xml:space="preserve"> على </w:t>
      </w:r>
      <w:r w:rsidR="002C170A" w:rsidRPr="00904FCB">
        <w:rPr>
          <w:rFonts w:ascii="Times New Roman" w:hAnsi="Times New Roman" w:hint="cs"/>
          <w:sz w:val="27"/>
          <w:rtl/>
          <w:lang w:bidi="fa-IR"/>
        </w:rPr>
        <w:t>أنّ</w:t>
      </w:r>
      <w:r w:rsidRPr="00904FCB">
        <w:rPr>
          <w:rFonts w:ascii="Times New Roman" w:hAnsi="Times New Roman" w:hint="cs"/>
          <w:sz w:val="27"/>
          <w:rtl/>
          <w:lang w:bidi="fa-IR"/>
        </w:rPr>
        <w:t xml:space="preserve"> ال</w:t>
      </w:r>
      <w:r w:rsidR="002C170A" w:rsidRPr="00904FCB">
        <w:rPr>
          <w:rFonts w:ascii="Times New Roman" w:hAnsi="Times New Roman" w:hint="cs"/>
          <w:sz w:val="27"/>
          <w:rtl/>
          <w:lang w:bidi="fa-IR"/>
        </w:rPr>
        <w:t>و</w:t>
      </w:r>
      <w:r w:rsidRPr="00904FCB">
        <w:rPr>
          <w:rFonts w:ascii="Times New Roman" w:hAnsi="Times New Roman" w:hint="cs"/>
          <w:sz w:val="27"/>
          <w:rtl/>
          <w:lang w:bidi="fa-IR"/>
        </w:rPr>
        <w:t>اجب</w:t>
      </w:r>
      <w:r w:rsidR="00340818" w:rsidRPr="00904FCB">
        <w:rPr>
          <w:rFonts w:ascii="Times New Roman" w:hAnsi="Times New Roman" w:hint="cs"/>
          <w:sz w:val="27"/>
          <w:rtl/>
          <w:lang w:bidi="fa-IR"/>
        </w:rPr>
        <w:t xml:space="preserve"> على </w:t>
      </w:r>
      <w:r w:rsidRPr="00904FCB">
        <w:rPr>
          <w:rFonts w:ascii="Times New Roman" w:hAnsi="Times New Roman" w:hint="cs"/>
          <w:sz w:val="27"/>
          <w:rtl/>
          <w:lang w:bidi="fa-IR"/>
        </w:rPr>
        <w:t>الإمام مسا</w:t>
      </w:r>
      <w:r w:rsidR="002C170A" w:rsidRPr="00904FCB">
        <w:rPr>
          <w:rFonts w:ascii="Times New Roman" w:hAnsi="Times New Roman" w:hint="cs"/>
          <w:sz w:val="27"/>
          <w:rtl/>
          <w:lang w:bidi="fa-IR"/>
        </w:rPr>
        <w:t>ء</w:t>
      </w:r>
      <w:r w:rsidRPr="00904FCB">
        <w:rPr>
          <w:rFonts w:ascii="Times New Roman" w:hAnsi="Times New Roman" w:hint="cs"/>
          <w:sz w:val="27"/>
          <w:rtl/>
          <w:lang w:bidi="fa-IR"/>
        </w:rPr>
        <w:t xml:space="preserve">لتُهم. </w:t>
      </w:r>
    </w:p>
    <w:p w:rsidR="00336F3B" w:rsidRPr="00904FCB"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7ـ</w:t>
      </w:r>
      <w:r w:rsidRPr="00904FCB">
        <w:rPr>
          <w:rFonts w:ascii="Times New Roman" w:hAnsi="Times New Roman" w:hint="cs"/>
          <w:sz w:val="27"/>
          <w:rtl/>
          <w:lang w:bidi="fa-IR"/>
        </w:rPr>
        <w:t xml:space="preserve"> لا</w:t>
      </w:r>
      <w:r w:rsidR="002C170A" w:rsidRPr="00904FCB">
        <w:rPr>
          <w:rFonts w:ascii="Times New Roman" w:hAnsi="Times New Roman" w:hint="cs"/>
          <w:sz w:val="27"/>
          <w:rtl/>
          <w:lang w:bidi="fa-IR"/>
        </w:rPr>
        <w:t xml:space="preserve"> </w:t>
      </w:r>
      <w:r w:rsidRPr="00904FCB">
        <w:rPr>
          <w:rFonts w:ascii="Times New Roman" w:hAnsi="Times New Roman" w:hint="cs"/>
          <w:sz w:val="27"/>
          <w:rtl/>
          <w:lang w:bidi="fa-IR"/>
        </w:rPr>
        <w:t>ي</w:t>
      </w:r>
      <w:r w:rsidR="002C170A" w:rsidRPr="00904FCB">
        <w:rPr>
          <w:rFonts w:ascii="Times New Roman" w:hAnsi="Times New Roman" w:hint="cs"/>
          <w:sz w:val="27"/>
          <w:rtl/>
          <w:lang w:bidi="fa-IR"/>
        </w:rPr>
        <w:t>ؤ</w:t>
      </w:r>
      <w:r w:rsidRPr="00904FCB">
        <w:rPr>
          <w:rFonts w:ascii="Times New Roman" w:hAnsi="Times New Roman" w:hint="cs"/>
          <w:sz w:val="27"/>
          <w:rtl/>
          <w:lang w:bidi="fa-IR"/>
        </w:rPr>
        <w:t>سر أطفال الب</w:t>
      </w:r>
      <w:r w:rsidR="002C170A" w:rsidRPr="00904FCB">
        <w:rPr>
          <w:rFonts w:ascii="Times New Roman" w:hAnsi="Times New Roman" w:hint="cs"/>
          <w:sz w:val="27"/>
          <w:rtl/>
          <w:lang w:bidi="fa-IR"/>
        </w:rPr>
        <w:t>غ</w:t>
      </w:r>
      <w:r w:rsidRPr="00904FCB">
        <w:rPr>
          <w:rFonts w:ascii="Times New Roman" w:hAnsi="Times New Roman" w:hint="cs"/>
          <w:sz w:val="27"/>
          <w:rtl/>
          <w:lang w:bidi="fa-IR"/>
        </w:rPr>
        <w:t>اة ونسا</w:t>
      </w:r>
      <w:r w:rsidR="002C170A" w:rsidRPr="00904FCB">
        <w:rPr>
          <w:rFonts w:ascii="Times New Roman" w:hAnsi="Times New Roman" w:hint="cs"/>
          <w:sz w:val="27"/>
          <w:rtl/>
          <w:lang w:bidi="fa-IR"/>
        </w:rPr>
        <w:t>ؤ</w:t>
      </w:r>
      <w:r w:rsidRPr="00904FCB">
        <w:rPr>
          <w:rFonts w:ascii="Times New Roman" w:hAnsi="Times New Roman" w:hint="cs"/>
          <w:sz w:val="27"/>
          <w:rtl/>
          <w:lang w:bidi="fa-IR"/>
        </w:rPr>
        <w:t>هم، ولا تُحج</w:t>
      </w:r>
      <w:r w:rsidR="002C170A" w:rsidRPr="00904FCB">
        <w:rPr>
          <w:rFonts w:ascii="Times New Roman" w:hAnsi="Times New Roman" w:hint="cs"/>
          <w:sz w:val="27"/>
          <w:rtl/>
          <w:lang w:bidi="fa-IR"/>
        </w:rPr>
        <w:t>َ</w:t>
      </w:r>
      <w:r w:rsidRPr="00904FCB">
        <w:rPr>
          <w:rFonts w:ascii="Times New Roman" w:hAnsi="Times New Roman" w:hint="cs"/>
          <w:sz w:val="27"/>
          <w:rtl/>
          <w:lang w:bidi="fa-IR"/>
        </w:rPr>
        <w:t xml:space="preserve">ز أموالهم. </w:t>
      </w:r>
    </w:p>
    <w:p w:rsidR="00336F3B" w:rsidRDefault="00336F3B" w:rsidP="007A21AA">
      <w:pPr>
        <w:spacing w:line="400" w:lineRule="exact"/>
        <w:rPr>
          <w:rFonts w:ascii="Times New Roman" w:hAnsi="Times New Roman"/>
          <w:sz w:val="27"/>
          <w:rtl/>
          <w:lang w:bidi="fa-IR"/>
        </w:rPr>
      </w:pPr>
      <w:r w:rsidRPr="001022E4">
        <w:rPr>
          <w:rFonts w:ascii="Times New Roman" w:hAnsi="Times New Roman" w:hint="cs"/>
          <w:sz w:val="27"/>
          <w:rtl/>
          <w:lang w:bidi="ar-LB"/>
        </w:rPr>
        <w:t>8ـ</w:t>
      </w:r>
      <w:r w:rsidRPr="00904FCB">
        <w:rPr>
          <w:rFonts w:ascii="Times New Roman" w:hAnsi="Times New Roman" w:hint="cs"/>
          <w:sz w:val="27"/>
          <w:rtl/>
          <w:lang w:bidi="fa-IR"/>
        </w:rPr>
        <w:t xml:space="preserve"> اختلف العلماء في حكم جنائز البغاة، هل لها أحكامُ جنائز الشهداء أم لا؟ و</w:t>
      </w:r>
      <w:r w:rsidR="002C170A" w:rsidRPr="00904FCB">
        <w:rPr>
          <w:rFonts w:ascii="Times New Roman" w:hAnsi="Times New Roman" w:hint="cs"/>
          <w:sz w:val="27"/>
          <w:rtl/>
          <w:lang w:bidi="fa-IR"/>
        </w:rPr>
        <w:t>منشأ هذا الخلاف م</w:t>
      </w:r>
      <w:r w:rsidRPr="00904FCB">
        <w:rPr>
          <w:rFonts w:ascii="Times New Roman" w:hAnsi="Times New Roman" w:hint="cs"/>
          <w:sz w:val="27"/>
          <w:rtl/>
          <w:lang w:bidi="fa-IR"/>
        </w:rPr>
        <w:t>ن خلاف</w:t>
      </w:r>
      <w:r w:rsidR="002C170A" w:rsidRPr="00904FCB">
        <w:rPr>
          <w:rFonts w:ascii="Times New Roman" w:hAnsi="Times New Roman" w:hint="cs"/>
          <w:sz w:val="27"/>
          <w:rtl/>
          <w:lang w:bidi="fa-IR"/>
        </w:rPr>
        <w:t>ٍ</w:t>
      </w:r>
      <w:r w:rsidRPr="00904FCB">
        <w:rPr>
          <w:rFonts w:ascii="Times New Roman" w:hAnsi="Times New Roman" w:hint="cs"/>
          <w:sz w:val="27"/>
          <w:rtl/>
          <w:lang w:bidi="fa-IR"/>
        </w:rPr>
        <w:t xml:space="preserve"> آخر بين الفقهاء: هل يحكم عليهم بالكفر أم لا؟ </w:t>
      </w:r>
    </w:p>
    <w:p w:rsidR="002610A7" w:rsidRDefault="002610A7" w:rsidP="007A21AA">
      <w:pPr>
        <w:spacing w:line="400" w:lineRule="exact"/>
        <w:rPr>
          <w:rFonts w:ascii="Times New Roman" w:hAnsi="Times New Roman"/>
          <w:sz w:val="27"/>
          <w:rtl/>
          <w:lang w:bidi="fa-IR"/>
        </w:rPr>
      </w:pPr>
    </w:p>
    <w:p w:rsidR="002610A7" w:rsidRDefault="002610A7" w:rsidP="007A21AA">
      <w:pPr>
        <w:spacing w:line="400" w:lineRule="exact"/>
        <w:rPr>
          <w:rFonts w:ascii="Times New Roman" w:hAnsi="Times New Roman"/>
          <w:sz w:val="27"/>
          <w:rtl/>
          <w:lang w:bidi="fa-IR"/>
        </w:rPr>
      </w:pPr>
    </w:p>
    <w:p w:rsidR="002610A7" w:rsidRDefault="002610A7" w:rsidP="007A21AA">
      <w:pPr>
        <w:spacing w:line="400" w:lineRule="exact"/>
        <w:rPr>
          <w:rFonts w:ascii="Times New Roman" w:hAnsi="Times New Roman"/>
          <w:sz w:val="27"/>
          <w:rtl/>
          <w:lang w:bidi="fa-IR"/>
        </w:rPr>
      </w:pPr>
    </w:p>
    <w:p w:rsidR="002610A7" w:rsidRPr="00904FCB" w:rsidRDefault="002610A7" w:rsidP="007A21AA">
      <w:pPr>
        <w:spacing w:line="400" w:lineRule="exact"/>
        <w:rPr>
          <w:rFonts w:ascii="Times New Roman" w:hAnsi="Times New Roman"/>
          <w:sz w:val="27"/>
          <w:rtl/>
          <w:lang w:bidi="fa-IR"/>
        </w:rPr>
      </w:pPr>
    </w:p>
    <w:p w:rsidR="00336F3B" w:rsidRPr="00904FCB" w:rsidRDefault="00336F3B"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336F3B" w:rsidRPr="00904FCB" w:rsidRDefault="00336F3B" w:rsidP="007A21AA">
      <w:pPr>
        <w:pStyle w:val="34"/>
        <w:autoSpaceDE w:val="0"/>
        <w:autoSpaceDN w:val="0"/>
        <w:adjustRightInd w:val="0"/>
        <w:spacing w:line="400" w:lineRule="exact"/>
        <w:ind w:firstLine="0"/>
        <w:rPr>
          <w:rFonts w:cs="K Sina"/>
          <w:sz w:val="26"/>
          <w:rtl/>
          <w:lang w:eastAsia="ar-SA"/>
        </w:rPr>
        <w:sectPr w:rsidR="00336F3B" w:rsidRPr="00904FCB" w:rsidSect="00E85587">
          <w:headerReference w:type="even" r:id="rId200"/>
          <w:headerReference w:type="default" r:id="rId201"/>
          <w:footerReference w:type="even" r:id="rId202"/>
          <w:footerReference w:type="default" r:id="rId203"/>
          <w:endnotePr>
            <w:numFmt w:val="decimal"/>
            <w:numRestart w:val="eachSect"/>
          </w:endnotePr>
          <w:type w:val="continuous"/>
          <w:pgSz w:w="11907" w:h="16840" w:code="9"/>
          <w:pgMar w:top="2637" w:right="2438" w:bottom="3686" w:left="2438" w:header="2268" w:footer="3119" w:gutter="0"/>
          <w:cols w:space="720"/>
          <w:titlePg/>
          <w:docGrid w:linePitch="360"/>
        </w:sectPr>
      </w:pPr>
    </w:p>
    <w:p w:rsidR="00336F3B" w:rsidRPr="00904FCB" w:rsidRDefault="00336F3B" w:rsidP="007A21AA">
      <w:pPr>
        <w:spacing w:line="400" w:lineRule="exact"/>
      </w:pPr>
      <w:r w:rsidRPr="00904FCB">
        <w:rPr>
          <w:rtl/>
        </w:rPr>
        <w:lastRenderedPageBreak/>
        <w:br w:type="page"/>
      </w:r>
    </w:p>
    <w:p w:rsidR="00336F3B" w:rsidRPr="00904FCB" w:rsidRDefault="00336F3B" w:rsidP="007A21AA">
      <w:pPr>
        <w:spacing w:line="400" w:lineRule="exact"/>
        <w:rPr>
          <w:rtl/>
        </w:rPr>
        <w:sectPr w:rsidR="00336F3B" w:rsidRPr="00904FCB" w:rsidSect="00E85587">
          <w:headerReference w:type="even" r:id="rId204"/>
          <w:headerReference w:type="default" r:id="rId205"/>
          <w:footerReference w:type="even" r:id="rId206"/>
          <w:footerReference w:type="default" r:id="rId207"/>
          <w:headerReference w:type="first" r:id="rId20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91753E" w:rsidP="0059690C">
      <w:pPr>
        <w:pStyle w:val="10"/>
        <w:spacing w:line="240" w:lineRule="auto"/>
        <w:rPr>
          <w:rtl/>
        </w:rPr>
      </w:pPr>
      <w:bookmarkStart w:id="71" w:name="_Toc435577228"/>
      <w:r w:rsidRPr="00904FCB">
        <w:rPr>
          <w:rFonts w:hint="cs"/>
          <w:rtl/>
        </w:rPr>
        <w:t>طهارة أهل الكتاب</w:t>
      </w:r>
      <w:bookmarkEnd w:id="71"/>
    </w:p>
    <w:p w:rsidR="00E83C22" w:rsidRPr="00904FCB" w:rsidRDefault="00B2457B" w:rsidP="0059690C">
      <w:pPr>
        <w:pStyle w:val="10"/>
        <w:spacing w:line="240" w:lineRule="auto"/>
        <w:rPr>
          <w:sz w:val="42"/>
          <w:szCs w:val="42"/>
          <w:rtl/>
          <w:lang w:bidi="fa-IR"/>
        </w:rPr>
      </w:pPr>
      <w:bookmarkStart w:id="72" w:name="_Toc435577229"/>
      <w:r w:rsidRPr="00904FCB">
        <w:rPr>
          <w:rFonts w:hint="cs"/>
          <w:sz w:val="42"/>
          <w:szCs w:val="42"/>
          <w:rtl/>
          <w:lang w:bidi="fa-IR"/>
        </w:rPr>
        <w:t>قراءة</w:t>
      </w:r>
      <w:r w:rsidR="00F14321">
        <w:rPr>
          <w:rFonts w:hint="cs"/>
          <w:sz w:val="42"/>
          <w:szCs w:val="42"/>
          <w:rtl/>
          <w:lang w:bidi="fa-IR"/>
        </w:rPr>
        <w:t>ٌ</w:t>
      </w:r>
      <w:r w:rsidRPr="00904FCB">
        <w:rPr>
          <w:rFonts w:hint="cs"/>
          <w:sz w:val="42"/>
          <w:szCs w:val="42"/>
          <w:rtl/>
          <w:lang w:bidi="fa-IR"/>
        </w:rPr>
        <w:t xml:space="preserve"> وتلخيص</w:t>
      </w:r>
      <w:bookmarkEnd w:id="72"/>
    </w:p>
    <w:p w:rsidR="00E83C22" w:rsidRPr="00904FCB" w:rsidRDefault="00E83C22" w:rsidP="007A21AA">
      <w:pPr>
        <w:spacing w:line="400" w:lineRule="exact"/>
        <w:rPr>
          <w:rtl/>
        </w:rPr>
      </w:pPr>
    </w:p>
    <w:p w:rsidR="00E83C22" w:rsidRPr="00904FCB" w:rsidRDefault="00B2457B" w:rsidP="007A21AA">
      <w:pPr>
        <w:pStyle w:val="Author"/>
        <w:spacing w:line="400" w:lineRule="exact"/>
        <w:rPr>
          <w:rtl/>
        </w:rPr>
      </w:pPr>
      <w:bookmarkStart w:id="73" w:name="_Toc435577230"/>
      <w:r w:rsidRPr="00904FCB">
        <w:rPr>
          <w:rFonts w:hint="cs"/>
          <w:rtl/>
        </w:rPr>
        <w:t xml:space="preserve">أ. </w:t>
      </w:r>
      <w:r w:rsidR="00412ED5" w:rsidRPr="00904FCB">
        <w:rPr>
          <w:rFonts w:hint="cs"/>
          <w:rtl/>
        </w:rPr>
        <w:t>عماد الهلالي</w:t>
      </w:r>
      <w:r w:rsidR="00527634" w:rsidRPr="00904FCB">
        <w:rPr>
          <w:rFonts w:cs="Taher" w:hint="cs"/>
          <w:vertAlign w:val="superscript"/>
          <w:rtl/>
        </w:rPr>
        <w:t>(</w:t>
      </w:r>
      <w:r w:rsidR="00527634" w:rsidRPr="00904FCB">
        <w:rPr>
          <w:rFonts w:cs="Taher"/>
          <w:vertAlign w:val="superscript"/>
          <w:rtl/>
        </w:rPr>
        <w:footnoteReference w:customMarkFollows="1" w:id="22"/>
        <w:t>*)</w:t>
      </w:r>
      <w:bookmarkEnd w:id="73"/>
    </w:p>
    <w:p w:rsidR="00E83C22" w:rsidRPr="00904FCB" w:rsidRDefault="00E83C22" w:rsidP="007A21AA">
      <w:pPr>
        <w:spacing w:line="400" w:lineRule="exact"/>
        <w:rPr>
          <w:rtl/>
        </w:rPr>
      </w:pPr>
    </w:p>
    <w:p w:rsidR="00F34FB9" w:rsidRPr="00904FCB" w:rsidRDefault="00F34FB9" w:rsidP="007A21AA">
      <w:pPr>
        <w:pStyle w:val="31"/>
        <w:spacing w:line="400" w:lineRule="exact"/>
        <w:rPr>
          <w:color w:val="auto"/>
          <w:rtl/>
        </w:rPr>
      </w:pPr>
      <w:r w:rsidRPr="00904FCB">
        <w:rPr>
          <w:rFonts w:hint="cs"/>
          <w:color w:val="auto"/>
          <w:rtl/>
        </w:rPr>
        <w:t>مقدّمة</w:t>
      </w:r>
      <w:r w:rsidRPr="00904FCB">
        <w:rPr>
          <w:color w:val="auto"/>
          <w:rtl/>
        </w:rPr>
        <w:t xml:space="preserve"> </w:t>
      </w:r>
    </w:p>
    <w:p w:rsidR="00F34FB9" w:rsidRPr="00904FCB" w:rsidRDefault="00F34FB9" w:rsidP="00F14321">
      <w:pPr>
        <w:spacing w:line="400" w:lineRule="exact"/>
        <w:ind w:firstLine="561"/>
        <w:rPr>
          <w:sz w:val="27"/>
          <w:rtl/>
        </w:rPr>
      </w:pPr>
      <w:r w:rsidRPr="00904FCB">
        <w:rPr>
          <w:sz w:val="27"/>
          <w:rtl/>
        </w:rPr>
        <w:t xml:space="preserve"> </w:t>
      </w:r>
      <w:r w:rsidRPr="00904FCB">
        <w:rPr>
          <w:rFonts w:hint="cs"/>
          <w:sz w:val="27"/>
          <w:rtl/>
        </w:rPr>
        <w:t>المسلمون</w:t>
      </w:r>
      <w:r w:rsidRPr="00904FCB">
        <w:rPr>
          <w:sz w:val="27"/>
          <w:rtl/>
        </w:rPr>
        <w:t xml:space="preserve"> </w:t>
      </w:r>
      <w:r w:rsidRPr="00904FCB">
        <w:rPr>
          <w:rFonts w:hint="cs"/>
          <w:sz w:val="27"/>
          <w:rtl/>
        </w:rPr>
        <w:t>ال</w:t>
      </w:r>
      <w:r w:rsidRPr="00904FCB">
        <w:rPr>
          <w:rFonts w:ascii="Times New Roman" w:hAnsi="Times New Roman" w:hint="cs"/>
          <w:sz w:val="27"/>
          <w:rtl/>
        </w:rPr>
        <w:t>ي</w:t>
      </w:r>
      <w:r w:rsidRPr="00904FCB">
        <w:rPr>
          <w:rFonts w:hint="cs"/>
          <w:sz w:val="27"/>
          <w:rtl/>
        </w:rPr>
        <w:t>وم بأمس</w:t>
      </w:r>
      <w:r w:rsidR="00FE6393" w:rsidRPr="00904FCB">
        <w:rPr>
          <w:rFonts w:hint="cs"/>
          <w:sz w:val="27"/>
          <w:rtl/>
        </w:rPr>
        <w:t>ّ</w:t>
      </w:r>
      <w:r w:rsidRPr="00904FCB">
        <w:rPr>
          <w:sz w:val="27"/>
          <w:rtl/>
        </w:rPr>
        <w:t xml:space="preserve"> </w:t>
      </w:r>
      <w:r w:rsidRPr="00904FCB">
        <w:rPr>
          <w:rFonts w:hint="cs"/>
          <w:sz w:val="27"/>
          <w:rtl/>
        </w:rPr>
        <w:t>الحاجة</w:t>
      </w:r>
      <w:r w:rsidR="00340818" w:rsidRPr="00904FCB">
        <w:rPr>
          <w:sz w:val="27"/>
          <w:rtl/>
        </w:rPr>
        <w:t xml:space="preserve"> إلى </w:t>
      </w:r>
      <w:r w:rsidRPr="00904FCB">
        <w:rPr>
          <w:rFonts w:hint="cs"/>
          <w:sz w:val="27"/>
          <w:rtl/>
        </w:rPr>
        <w:t>الحضور</w:t>
      </w:r>
      <w:r w:rsidRPr="00904FCB">
        <w:rPr>
          <w:sz w:val="27"/>
          <w:rtl/>
        </w:rPr>
        <w:t xml:space="preserve"> </w:t>
      </w:r>
      <w:r w:rsidRPr="00904FCB">
        <w:rPr>
          <w:rFonts w:hint="cs"/>
          <w:sz w:val="27"/>
          <w:rtl/>
        </w:rPr>
        <w:t>ف</w:t>
      </w:r>
      <w:r w:rsidRPr="00904FCB">
        <w:rPr>
          <w:rFonts w:ascii="Times New Roman" w:hAnsi="Times New Roman" w:hint="cs"/>
          <w:sz w:val="27"/>
          <w:rtl/>
        </w:rPr>
        <w:t>ي</w:t>
      </w:r>
      <w:r w:rsidRPr="00904FCB">
        <w:rPr>
          <w:sz w:val="27"/>
          <w:rtl/>
        </w:rPr>
        <w:t xml:space="preserve"> </w:t>
      </w:r>
      <w:r w:rsidRPr="00904FCB">
        <w:rPr>
          <w:rFonts w:hint="cs"/>
          <w:sz w:val="27"/>
          <w:rtl/>
        </w:rPr>
        <w:t>الساحة</w:t>
      </w:r>
      <w:r w:rsidRPr="00904FCB">
        <w:rPr>
          <w:sz w:val="27"/>
          <w:rtl/>
        </w:rPr>
        <w:t xml:space="preserve"> </w:t>
      </w:r>
      <w:r w:rsidRPr="00904FCB">
        <w:rPr>
          <w:rFonts w:hint="cs"/>
          <w:sz w:val="27"/>
          <w:rtl/>
        </w:rPr>
        <w:t>الدول</w:t>
      </w:r>
      <w:r w:rsidRPr="00904FCB">
        <w:rPr>
          <w:rFonts w:ascii="Times New Roman" w:hAnsi="Times New Roman" w:hint="cs"/>
          <w:sz w:val="27"/>
          <w:rtl/>
        </w:rPr>
        <w:t>ي</w:t>
      </w:r>
      <w:r w:rsidRPr="00904FCB">
        <w:rPr>
          <w:rFonts w:hint="cs"/>
          <w:sz w:val="27"/>
          <w:rtl/>
        </w:rPr>
        <w:t>ة، وهذا</w:t>
      </w:r>
      <w:r w:rsidRPr="00904FCB">
        <w:rPr>
          <w:sz w:val="27"/>
          <w:rtl/>
        </w:rPr>
        <w:t xml:space="preserve"> </w:t>
      </w:r>
      <w:r w:rsidRPr="00904FCB">
        <w:rPr>
          <w:rFonts w:hint="cs"/>
          <w:sz w:val="27"/>
          <w:rtl/>
        </w:rPr>
        <w:t>الأمر</w:t>
      </w:r>
      <w:r w:rsidRPr="00904FCB">
        <w:rPr>
          <w:sz w:val="27"/>
          <w:rtl/>
        </w:rPr>
        <w:t xml:space="preserve"> </w:t>
      </w:r>
      <w:r w:rsidRPr="00904FCB">
        <w:rPr>
          <w:rFonts w:ascii="Times New Roman" w:hAnsi="Times New Roman" w:hint="cs"/>
          <w:sz w:val="27"/>
          <w:rtl/>
        </w:rPr>
        <w:t>ي</w:t>
      </w:r>
      <w:r w:rsidRPr="00904FCB">
        <w:rPr>
          <w:rFonts w:hint="cs"/>
          <w:sz w:val="27"/>
          <w:rtl/>
        </w:rPr>
        <w:t>تطلب</w:t>
      </w:r>
      <w:r w:rsidRPr="00904FCB">
        <w:rPr>
          <w:sz w:val="27"/>
          <w:rtl/>
        </w:rPr>
        <w:t xml:space="preserve"> </w:t>
      </w:r>
      <w:r w:rsidRPr="00904FCB">
        <w:rPr>
          <w:rFonts w:hint="cs"/>
          <w:sz w:val="27"/>
          <w:rtl/>
        </w:rPr>
        <w:t>التعا</w:t>
      </w:r>
      <w:r w:rsidRPr="00904FCB">
        <w:rPr>
          <w:rFonts w:ascii="Times New Roman" w:hAnsi="Times New Roman" w:hint="cs"/>
          <w:sz w:val="27"/>
          <w:rtl/>
        </w:rPr>
        <w:t>ي</w:t>
      </w:r>
      <w:r w:rsidRPr="00904FCB">
        <w:rPr>
          <w:rFonts w:hint="cs"/>
          <w:sz w:val="27"/>
          <w:rtl/>
        </w:rPr>
        <w:t>ش</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غ</w:t>
      </w:r>
      <w:r w:rsidRPr="00904FCB">
        <w:rPr>
          <w:rFonts w:ascii="Times New Roman" w:hAnsi="Times New Roman" w:hint="cs"/>
          <w:sz w:val="27"/>
          <w:rtl/>
        </w:rPr>
        <w:t>ي</w:t>
      </w:r>
      <w:r w:rsidRPr="00904FCB">
        <w:rPr>
          <w:rFonts w:hint="cs"/>
          <w:sz w:val="27"/>
          <w:rtl/>
        </w:rPr>
        <w:t>ر</w:t>
      </w:r>
      <w:r w:rsidRPr="00904FCB">
        <w:rPr>
          <w:sz w:val="27"/>
          <w:rtl/>
        </w:rPr>
        <w:t xml:space="preserve"> </w:t>
      </w:r>
      <w:r w:rsidRPr="00904FCB">
        <w:rPr>
          <w:rFonts w:hint="cs"/>
          <w:sz w:val="27"/>
          <w:rtl/>
        </w:rPr>
        <w:t>المسلم</w:t>
      </w:r>
      <w:r w:rsidRPr="00904FCB">
        <w:rPr>
          <w:rFonts w:ascii="Times New Roman" w:hAnsi="Times New Roman" w:hint="cs"/>
          <w:sz w:val="27"/>
          <w:rtl/>
        </w:rPr>
        <w:t>ي</w:t>
      </w:r>
      <w:r w:rsidRPr="00904FCB">
        <w:rPr>
          <w:rFonts w:hint="cs"/>
          <w:sz w:val="27"/>
          <w:rtl/>
        </w:rPr>
        <w:t>ن</w:t>
      </w:r>
      <w:r w:rsidR="00FE6393" w:rsidRPr="00904FCB">
        <w:rPr>
          <w:rFonts w:hint="cs"/>
          <w:sz w:val="27"/>
          <w:rtl/>
        </w:rPr>
        <w:t>،</w:t>
      </w:r>
      <w:r w:rsidRPr="00904FCB">
        <w:rPr>
          <w:rFonts w:hint="cs"/>
          <w:sz w:val="27"/>
          <w:rtl/>
        </w:rPr>
        <w:t xml:space="preserve"> وخاص</w:t>
      </w:r>
      <w:r w:rsidR="00FE6393" w:rsidRPr="00904FCB">
        <w:rPr>
          <w:rFonts w:hint="cs"/>
          <w:sz w:val="27"/>
          <w:rtl/>
        </w:rPr>
        <w:t>ّ</w:t>
      </w:r>
      <w:r w:rsidRPr="00904FCB">
        <w:rPr>
          <w:rFonts w:hint="cs"/>
          <w:sz w:val="27"/>
          <w:rtl/>
        </w:rPr>
        <w:t>ة أهل الكتاب؛ التعا</w:t>
      </w:r>
      <w:r w:rsidRPr="00904FCB">
        <w:rPr>
          <w:rFonts w:ascii="Times New Roman" w:hAnsi="Times New Roman" w:hint="cs"/>
          <w:sz w:val="27"/>
          <w:rtl/>
        </w:rPr>
        <w:t>ي</w:t>
      </w:r>
      <w:r w:rsidRPr="00904FCB">
        <w:rPr>
          <w:rFonts w:hint="cs"/>
          <w:sz w:val="27"/>
          <w:rtl/>
        </w:rPr>
        <w:t>ش</w:t>
      </w:r>
      <w:r w:rsidRPr="00904FCB">
        <w:rPr>
          <w:sz w:val="27"/>
          <w:rtl/>
        </w:rPr>
        <w:t xml:space="preserve"> </w:t>
      </w:r>
      <w:r w:rsidRPr="00904FCB">
        <w:rPr>
          <w:rFonts w:hint="cs"/>
          <w:sz w:val="27"/>
          <w:rtl/>
        </w:rPr>
        <w:t>ف</w:t>
      </w:r>
      <w:r w:rsidRPr="00904FCB">
        <w:rPr>
          <w:rFonts w:ascii="Times New Roman" w:hAnsi="Times New Roman" w:hint="cs"/>
          <w:sz w:val="27"/>
          <w:rtl/>
        </w:rPr>
        <w:t>ي</w:t>
      </w:r>
      <w:r w:rsidRPr="00904FCB">
        <w:rPr>
          <w:sz w:val="27"/>
          <w:rtl/>
        </w:rPr>
        <w:t xml:space="preserve"> </w:t>
      </w:r>
      <w:r w:rsidRPr="00904FCB">
        <w:rPr>
          <w:rFonts w:hint="cs"/>
          <w:sz w:val="27"/>
          <w:rtl/>
        </w:rPr>
        <w:t>الأمور</w:t>
      </w:r>
      <w:r w:rsidRPr="00904FCB">
        <w:rPr>
          <w:sz w:val="27"/>
          <w:rtl/>
        </w:rPr>
        <w:t xml:space="preserve"> </w:t>
      </w:r>
      <w:r w:rsidRPr="00904FCB">
        <w:rPr>
          <w:rFonts w:hint="cs"/>
          <w:sz w:val="27"/>
          <w:rtl/>
        </w:rPr>
        <w:t>الس</w:t>
      </w:r>
      <w:r w:rsidRPr="00904FCB">
        <w:rPr>
          <w:rFonts w:ascii="Times New Roman" w:hAnsi="Times New Roman" w:hint="cs"/>
          <w:sz w:val="27"/>
          <w:rtl/>
        </w:rPr>
        <w:t>ي</w:t>
      </w:r>
      <w:r w:rsidRPr="00904FCB">
        <w:rPr>
          <w:rFonts w:hint="cs"/>
          <w:sz w:val="27"/>
          <w:rtl/>
        </w:rPr>
        <w:t>اسة</w:t>
      </w:r>
      <w:r w:rsidRPr="00904FCB">
        <w:rPr>
          <w:sz w:val="27"/>
          <w:rtl/>
        </w:rPr>
        <w:t xml:space="preserve"> و</w:t>
      </w:r>
      <w:r w:rsidRPr="00904FCB">
        <w:rPr>
          <w:rFonts w:hint="cs"/>
          <w:sz w:val="27"/>
          <w:rtl/>
        </w:rPr>
        <w:t>الثقاف</w:t>
      </w:r>
      <w:r w:rsidRPr="00904FCB">
        <w:rPr>
          <w:rFonts w:ascii="Times New Roman" w:hAnsi="Times New Roman" w:hint="cs"/>
          <w:sz w:val="27"/>
          <w:rtl/>
        </w:rPr>
        <w:t>ي</w:t>
      </w:r>
      <w:r w:rsidRPr="00904FCB">
        <w:rPr>
          <w:rFonts w:hint="cs"/>
          <w:sz w:val="27"/>
          <w:rtl/>
        </w:rPr>
        <w:t>ة</w:t>
      </w:r>
      <w:r w:rsidRPr="00904FCB">
        <w:rPr>
          <w:sz w:val="27"/>
          <w:rtl/>
        </w:rPr>
        <w:t xml:space="preserve"> و</w:t>
      </w:r>
      <w:r w:rsidRPr="00904FCB">
        <w:rPr>
          <w:rFonts w:hint="cs"/>
          <w:sz w:val="27"/>
          <w:rtl/>
        </w:rPr>
        <w:t>ال</w:t>
      </w:r>
      <w:r w:rsidR="00FE6393" w:rsidRPr="00904FCB">
        <w:rPr>
          <w:rFonts w:hint="cs"/>
          <w:sz w:val="27"/>
          <w:rtl/>
        </w:rPr>
        <w:t>ا</w:t>
      </w:r>
      <w:r w:rsidRPr="00904FCB">
        <w:rPr>
          <w:rFonts w:hint="cs"/>
          <w:sz w:val="27"/>
          <w:rtl/>
        </w:rPr>
        <w:t>قتصاد</w:t>
      </w:r>
      <w:r w:rsidRPr="00904FCB">
        <w:rPr>
          <w:rFonts w:ascii="Times New Roman" w:hAnsi="Times New Roman" w:hint="cs"/>
          <w:sz w:val="27"/>
          <w:rtl/>
        </w:rPr>
        <w:t>ي</w:t>
      </w:r>
      <w:r w:rsidRPr="00904FCB">
        <w:rPr>
          <w:rFonts w:hint="cs"/>
          <w:sz w:val="27"/>
          <w:rtl/>
        </w:rPr>
        <w:t>ة</w:t>
      </w:r>
      <w:r w:rsidRPr="00904FCB">
        <w:rPr>
          <w:sz w:val="27"/>
          <w:rtl/>
        </w:rPr>
        <w:t xml:space="preserve"> </w:t>
      </w:r>
      <w:r w:rsidRPr="00904FCB">
        <w:rPr>
          <w:rFonts w:hint="cs"/>
          <w:sz w:val="27"/>
          <w:rtl/>
        </w:rPr>
        <w:t>والعسكر</w:t>
      </w:r>
      <w:r w:rsidRPr="00904FCB">
        <w:rPr>
          <w:rFonts w:ascii="Times New Roman" w:hAnsi="Times New Roman" w:hint="cs"/>
          <w:sz w:val="27"/>
          <w:rtl/>
        </w:rPr>
        <w:t>ي</w:t>
      </w:r>
      <w:r w:rsidRPr="00904FCB">
        <w:rPr>
          <w:rFonts w:hint="cs"/>
          <w:sz w:val="27"/>
          <w:rtl/>
        </w:rPr>
        <w:t>ة وما شابه ذلك</w:t>
      </w:r>
      <w:r w:rsidR="00FE6393" w:rsidRPr="00904FCB">
        <w:rPr>
          <w:rFonts w:hint="cs"/>
          <w:sz w:val="27"/>
          <w:rtl/>
        </w:rPr>
        <w:t>.</w:t>
      </w:r>
      <w:r w:rsidRPr="00904FCB">
        <w:rPr>
          <w:rFonts w:hint="cs"/>
          <w:sz w:val="27"/>
          <w:rtl/>
        </w:rPr>
        <w:t xml:space="preserve"> والحكم</w:t>
      </w:r>
      <w:r w:rsidRPr="00904FCB">
        <w:rPr>
          <w:sz w:val="27"/>
          <w:rtl/>
        </w:rPr>
        <w:t xml:space="preserve"> </w:t>
      </w:r>
      <w:r w:rsidRPr="00904FCB">
        <w:rPr>
          <w:rFonts w:hint="cs"/>
          <w:sz w:val="27"/>
          <w:rtl/>
        </w:rPr>
        <w:t>بنجاسة</w:t>
      </w:r>
      <w:r w:rsidRPr="00904FCB">
        <w:rPr>
          <w:sz w:val="27"/>
          <w:rtl/>
        </w:rPr>
        <w:t xml:space="preserve"> </w:t>
      </w:r>
      <w:r w:rsidRPr="00904FCB">
        <w:rPr>
          <w:rFonts w:hint="cs"/>
          <w:sz w:val="27"/>
          <w:rtl/>
        </w:rPr>
        <w:t>غ</w:t>
      </w:r>
      <w:r w:rsidRPr="00904FCB">
        <w:rPr>
          <w:rFonts w:ascii="Times New Roman" w:hAnsi="Times New Roman" w:hint="cs"/>
          <w:sz w:val="27"/>
          <w:rtl/>
        </w:rPr>
        <w:t>ي</w:t>
      </w:r>
      <w:r w:rsidRPr="00904FCB">
        <w:rPr>
          <w:rFonts w:hint="cs"/>
          <w:sz w:val="27"/>
          <w:rtl/>
        </w:rPr>
        <w:t>ر</w:t>
      </w:r>
      <w:r w:rsidRPr="00904FCB">
        <w:rPr>
          <w:sz w:val="27"/>
          <w:rtl/>
        </w:rPr>
        <w:t xml:space="preserve"> </w:t>
      </w:r>
      <w:r w:rsidRPr="00904FCB">
        <w:rPr>
          <w:rFonts w:hint="cs"/>
          <w:sz w:val="27"/>
          <w:rtl/>
        </w:rPr>
        <w:t>المسلم</w:t>
      </w:r>
      <w:r w:rsidRPr="00904FCB">
        <w:rPr>
          <w:rFonts w:ascii="Times New Roman" w:hAnsi="Times New Roman" w:hint="cs"/>
          <w:sz w:val="27"/>
          <w:rtl/>
        </w:rPr>
        <w:t>ي</w:t>
      </w:r>
      <w:r w:rsidRPr="00904FCB">
        <w:rPr>
          <w:rFonts w:hint="cs"/>
          <w:sz w:val="27"/>
          <w:rtl/>
        </w:rPr>
        <w:t>ن وأهل الكتاب، مضافاً</w:t>
      </w:r>
      <w:r w:rsidR="00340818" w:rsidRPr="00904FCB">
        <w:rPr>
          <w:sz w:val="27"/>
          <w:rtl/>
        </w:rPr>
        <w:t xml:space="preserve"> </w:t>
      </w:r>
      <w:r w:rsidR="00FE6393" w:rsidRPr="00904FCB">
        <w:rPr>
          <w:rFonts w:hint="cs"/>
          <w:sz w:val="27"/>
          <w:rtl/>
        </w:rPr>
        <w:t>إ</w:t>
      </w:r>
      <w:r w:rsidR="00340818" w:rsidRPr="00904FCB">
        <w:rPr>
          <w:sz w:val="27"/>
          <w:rtl/>
        </w:rPr>
        <w:t xml:space="preserve">لى </w:t>
      </w:r>
      <w:r w:rsidRPr="00904FCB">
        <w:rPr>
          <w:rFonts w:hint="cs"/>
          <w:sz w:val="27"/>
          <w:rtl/>
        </w:rPr>
        <w:t>أنه</w:t>
      </w:r>
      <w:r w:rsidRPr="00904FCB">
        <w:rPr>
          <w:sz w:val="27"/>
          <w:rtl/>
        </w:rPr>
        <w:t xml:space="preserve"> </w:t>
      </w:r>
      <w:r w:rsidRPr="00904FCB">
        <w:rPr>
          <w:rFonts w:ascii="Times New Roman" w:hAnsi="Times New Roman" w:hint="cs"/>
          <w:sz w:val="27"/>
          <w:rtl/>
        </w:rPr>
        <w:t>ي</w:t>
      </w:r>
      <w:r w:rsidRPr="00904FCB">
        <w:rPr>
          <w:rFonts w:hint="cs"/>
          <w:sz w:val="27"/>
          <w:rtl/>
        </w:rPr>
        <w:t>وجب</w:t>
      </w:r>
      <w:r w:rsidRPr="00904FCB">
        <w:rPr>
          <w:sz w:val="27"/>
          <w:rtl/>
        </w:rPr>
        <w:t xml:space="preserve"> </w:t>
      </w:r>
      <w:r w:rsidRPr="00904FCB">
        <w:rPr>
          <w:rFonts w:hint="cs"/>
          <w:sz w:val="27"/>
          <w:rtl/>
        </w:rPr>
        <w:t>الع</w:t>
      </w:r>
      <w:r w:rsidR="00F14321">
        <w:rPr>
          <w:rFonts w:hint="cs"/>
          <w:sz w:val="27"/>
          <w:rtl/>
        </w:rPr>
        <w:t>ُ</w:t>
      </w:r>
      <w:r w:rsidRPr="00904FCB">
        <w:rPr>
          <w:rFonts w:hint="cs"/>
          <w:sz w:val="27"/>
          <w:rtl/>
        </w:rPr>
        <w:t>س</w:t>
      </w:r>
      <w:r w:rsidR="00F14321">
        <w:rPr>
          <w:rFonts w:hint="cs"/>
          <w:sz w:val="27"/>
          <w:rtl/>
        </w:rPr>
        <w:t>ْ</w:t>
      </w:r>
      <w:r w:rsidRPr="00904FCB">
        <w:rPr>
          <w:rFonts w:hint="cs"/>
          <w:sz w:val="27"/>
          <w:rtl/>
        </w:rPr>
        <w:t>ر</w:t>
      </w:r>
      <w:r w:rsidRPr="00904FCB">
        <w:rPr>
          <w:sz w:val="27"/>
          <w:rtl/>
        </w:rPr>
        <w:t xml:space="preserve"> و</w:t>
      </w:r>
      <w:r w:rsidRPr="00904FCB">
        <w:rPr>
          <w:rFonts w:hint="cs"/>
          <w:sz w:val="27"/>
          <w:rtl/>
        </w:rPr>
        <w:t>الح</w:t>
      </w:r>
      <w:r w:rsidR="00FE6393" w:rsidRPr="00904FCB">
        <w:rPr>
          <w:rFonts w:hint="cs"/>
          <w:sz w:val="27"/>
          <w:rtl/>
        </w:rPr>
        <w:t>َ</w:t>
      </w:r>
      <w:r w:rsidRPr="00904FCB">
        <w:rPr>
          <w:rFonts w:hint="cs"/>
          <w:sz w:val="27"/>
          <w:rtl/>
        </w:rPr>
        <w:t>ر</w:t>
      </w:r>
      <w:r w:rsidR="00FE6393" w:rsidRPr="00904FCB">
        <w:rPr>
          <w:rFonts w:hint="cs"/>
          <w:sz w:val="27"/>
          <w:rtl/>
        </w:rPr>
        <w:t>َ</w:t>
      </w:r>
      <w:r w:rsidRPr="00904FCB">
        <w:rPr>
          <w:rFonts w:hint="cs"/>
          <w:sz w:val="27"/>
          <w:rtl/>
        </w:rPr>
        <w:t>ج</w:t>
      </w:r>
      <w:r w:rsidRPr="00904FCB">
        <w:rPr>
          <w:sz w:val="27"/>
          <w:rtl/>
        </w:rPr>
        <w:t xml:space="preserve"> </w:t>
      </w:r>
      <w:r w:rsidRPr="00904FCB">
        <w:rPr>
          <w:rFonts w:hint="cs"/>
          <w:sz w:val="27"/>
          <w:rtl/>
        </w:rPr>
        <w:t>للمسلم</w:t>
      </w:r>
      <w:r w:rsidRPr="00904FCB">
        <w:rPr>
          <w:rFonts w:ascii="Times New Roman" w:hAnsi="Times New Roman" w:hint="cs"/>
          <w:sz w:val="27"/>
          <w:rtl/>
        </w:rPr>
        <w:t>ي</w:t>
      </w:r>
      <w:r w:rsidRPr="00904FCB">
        <w:rPr>
          <w:rFonts w:hint="cs"/>
          <w:sz w:val="27"/>
          <w:rtl/>
        </w:rPr>
        <w:t xml:space="preserve">ن، </w:t>
      </w:r>
      <w:r w:rsidRPr="00904FCB">
        <w:rPr>
          <w:rFonts w:ascii="Times New Roman" w:hAnsi="Times New Roman" w:hint="cs"/>
          <w:sz w:val="27"/>
          <w:rtl/>
        </w:rPr>
        <w:t>ي</w:t>
      </w:r>
      <w:r w:rsidRPr="00904FCB">
        <w:rPr>
          <w:rFonts w:hint="cs"/>
          <w:sz w:val="27"/>
          <w:rtl/>
        </w:rPr>
        <w:t>نافي</w:t>
      </w:r>
      <w:r w:rsidRPr="00904FCB">
        <w:rPr>
          <w:sz w:val="27"/>
          <w:rtl/>
        </w:rPr>
        <w:t xml:space="preserve"> </w:t>
      </w:r>
      <w:r w:rsidRPr="00904FCB">
        <w:rPr>
          <w:rFonts w:hint="cs"/>
          <w:sz w:val="27"/>
          <w:rtl/>
        </w:rPr>
        <w:t>الكرامة</w:t>
      </w:r>
      <w:r w:rsidRPr="00904FCB">
        <w:rPr>
          <w:sz w:val="27"/>
          <w:rtl/>
        </w:rPr>
        <w:t xml:space="preserve"> </w:t>
      </w:r>
      <w:r w:rsidRPr="00904FCB">
        <w:rPr>
          <w:rFonts w:hint="cs"/>
          <w:sz w:val="27"/>
          <w:rtl/>
        </w:rPr>
        <w:t>الإنسان</w:t>
      </w:r>
      <w:r w:rsidRPr="00904FCB">
        <w:rPr>
          <w:rFonts w:ascii="Times New Roman" w:hAnsi="Times New Roman" w:hint="cs"/>
          <w:sz w:val="27"/>
          <w:rtl/>
        </w:rPr>
        <w:t>ي</w:t>
      </w:r>
      <w:r w:rsidRPr="00904FCB">
        <w:rPr>
          <w:rFonts w:hint="cs"/>
          <w:sz w:val="27"/>
          <w:rtl/>
        </w:rPr>
        <w:t>ة</w:t>
      </w:r>
      <w:r w:rsidRPr="00904FCB">
        <w:rPr>
          <w:sz w:val="27"/>
          <w:rtl/>
        </w:rPr>
        <w:t xml:space="preserve"> </w:t>
      </w:r>
      <w:r w:rsidRPr="00904FCB">
        <w:rPr>
          <w:rFonts w:hint="cs"/>
          <w:sz w:val="27"/>
          <w:rtl/>
        </w:rPr>
        <w:t>التي وردت ف</w:t>
      </w:r>
      <w:r w:rsidRPr="00904FCB">
        <w:rPr>
          <w:rFonts w:ascii="Times New Roman" w:hAnsi="Times New Roman" w:hint="cs"/>
          <w:sz w:val="27"/>
          <w:rtl/>
        </w:rPr>
        <w:t>ي</w:t>
      </w:r>
      <w:r w:rsidRPr="00904FCB">
        <w:rPr>
          <w:sz w:val="27"/>
          <w:rtl/>
        </w:rPr>
        <w:t xml:space="preserve"> </w:t>
      </w:r>
      <w:r w:rsidRPr="00904FCB">
        <w:rPr>
          <w:rFonts w:hint="cs"/>
          <w:sz w:val="27"/>
          <w:rtl/>
        </w:rPr>
        <w:t>القرآن</w:t>
      </w:r>
      <w:r w:rsidRPr="00904FCB">
        <w:rPr>
          <w:sz w:val="27"/>
          <w:rtl/>
        </w:rPr>
        <w:t xml:space="preserve"> و</w:t>
      </w:r>
      <w:r w:rsidRPr="00904FCB">
        <w:rPr>
          <w:rFonts w:hint="cs"/>
          <w:sz w:val="27"/>
          <w:rtl/>
        </w:rPr>
        <w:t>السن</w:t>
      </w:r>
      <w:r w:rsidR="00FE6393"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الشر</w:t>
      </w:r>
      <w:r w:rsidRPr="00904FCB">
        <w:rPr>
          <w:rFonts w:ascii="Times New Roman" w:hAnsi="Times New Roman" w:hint="cs"/>
          <w:sz w:val="27"/>
          <w:rtl/>
        </w:rPr>
        <w:t>ي</w:t>
      </w:r>
      <w:r w:rsidRPr="00904FCB">
        <w:rPr>
          <w:rFonts w:hint="cs"/>
          <w:sz w:val="27"/>
          <w:rtl/>
        </w:rPr>
        <w:t>فة</w:t>
      </w:r>
      <w:r w:rsidR="00FE6393" w:rsidRPr="00904FCB">
        <w:rPr>
          <w:rFonts w:hint="cs"/>
          <w:sz w:val="27"/>
          <w:rtl/>
        </w:rPr>
        <w:t>.</w:t>
      </w:r>
      <w:r w:rsidRPr="00904FCB">
        <w:rPr>
          <w:rFonts w:hint="cs"/>
          <w:sz w:val="27"/>
          <w:rtl/>
        </w:rPr>
        <w:t xml:space="preserve"> والعقل</w:t>
      </w:r>
      <w:r w:rsidRPr="00904FCB">
        <w:rPr>
          <w:sz w:val="27"/>
          <w:rtl/>
        </w:rPr>
        <w:t xml:space="preserve"> </w:t>
      </w:r>
      <w:r w:rsidRPr="00904FCB">
        <w:rPr>
          <w:rFonts w:ascii="Times New Roman" w:hAnsi="Times New Roman" w:hint="cs"/>
          <w:sz w:val="27"/>
          <w:rtl/>
        </w:rPr>
        <w:t>ي</w:t>
      </w:r>
      <w:r w:rsidRPr="00904FCB">
        <w:rPr>
          <w:rFonts w:hint="cs"/>
          <w:sz w:val="27"/>
          <w:rtl/>
        </w:rPr>
        <w:t>حكم</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الإنسان</w:t>
      </w:r>
      <w:r w:rsidRPr="00904FCB">
        <w:rPr>
          <w:sz w:val="27"/>
          <w:rtl/>
        </w:rPr>
        <w:t xml:space="preserve"> </w:t>
      </w:r>
      <w:r w:rsidRPr="00904FCB">
        <w:rPr>
          <w:rFonts w:hint="cs"/>
          <w:sz w:val="27"/>
          <w:rtl/>
        </w:rPr>
        <w:t>حسب</w:t>
      </w:r>
      <w:r w:rsidRPr="00904FCB">
        <w:rPr>
          <w:sz w:val="27"/>
          <w:rtl/>
        </w:rPr>
        <w:t xml:space="preserve"> </w:t>
      </w:r>
      <w:r w:rsidRPr="00904FCB">
        <w:rPr>
          <w:rFonts w:hint="cs"/>
          <w:sz w:val="27"/>
          <w:rtl/>
        </w:rPr>
        <w:t>الإنسان</w:t>
      </w:r>
      <w:r w:rsidRPr="00904FCB">
        <w:rPr>
          <w:rFonts w:ascii="Times New Roman" w:hAnsi="Times New Roman" w:hint="cs"/>
          <w:sz w:val="27"/>
          <w:rtl/>
        </w:rPr>
        <w:t>ي</w:t>
      </w:r>
      <w:r w:rsidRPr="00904FCB">
        <w:rPr>
          <w:rFonts w:hint="cs"/>
          <w:sz w:val="27"/>
          <w:rtl/>
        </w:rPr>
        <w:t>ة</w:t>
      </w:r>
      <w:r w:rsidRPr="00904FCB">
        <w:rPr>
          <w:sz w:val="27"/>
          <w:rtl/>
        </w:rPr>
        <w:t xml:space="preserve"> </w:t>
      </w:r>
      <w:r w:rsidRPr="00904FCB">
        <w:rPr>
          <w:rFonts w:hint="cs"/>
          <w:sz w:val="27"/>
          <w:rtl/>
        </w:rPr>
        <w:t>خلق</w:t>
      </w:r>
      <w:r w:rsidRPr="00904FCB">
        <w:rPr>
          <w:sz w:val="27"/>
          <w:rtl/>
        </w:rPr>
        <w:t xml:space="preserve"> </w:t>
      </w:r>
      <w:r w:rsidRPr="00904FCB">
        <w:rPr>
          <w:rFonts w:hint="cs"/>
          <w:sz w:val="27"/>
          <w:rtl/>
        </w:rPr>
        <w:t>طاهراً، إلا</w:t>
      </w:r>
      <w:r w:rsidR="00FE6393" w:rsidRPr="00904FCB">
        <w:rPr>
          <w:rFonts w:hint="cs"/>
          <w:sz w:val="27"/>
          <w:rtl/>
        </w:rPr>
        <w:t>ّ</w:t>
      </w:r>
      <w:r w:rsidRPr="00904FCB">
        <w:rPr>
          <w:sz w:val="27"/>
          <w:rtl/>
        </w:rPr>
        <w:t xml:space="preserve"> </w:t>
      </w:r>
      <w:r w:rsidRPr="00904FCB">
        <w:rPr>
          <w:rFonts w:hint="cs"/>
          <w:sz w:val="27"/>
          <w:rtl/>
        </w:rPr>
        <w:t>أن</w:t>
      </w:r>
      <w:r w:rsidRPr="00904FCB">
        <w:rPr>
          <w:sz w:val="27"/>
          <w:rtl/>
        </w:rPr>
        <w:t xml:space="preserve"> </w:t>
      </w:r>
      <w:r w:rsidRPr="00904FCB">
        <w:rPr>
          <w:rFonts w:ascii="Times New Roman" w:hAnsi="Times New Roman" w:hint="cs"/>
          <w:sz w:val="27"/>
          <w:rtl/>
        </w:rPr>
        <w:t>ي</w:t>
      </w:r>
      <w:r w:rsidRPr="00904FCB">
        <w:rPr>
          <w:rFonts w:hint="cs"/>
          <w:sz w:val="27"/>
          <w:rtl/>
        </w:rPr>
        <w:t>حكم</w:t>
      </w:r>
      <w:r w:rsidRPr="00904FCB">
        <w:rPr>
          <w:sz w:val="27"/>
          <w:rtl/>
        </w:rPr>
        <w:t xml:space="preserve"> </w:t>
      </w:r>
      <w:r w:rsidRPr="00904FCB">
        <w:rPr>
          <w:rFonts w:hint="cs"/>
          <w:sz w:val="27"/>
          <w:rtl/>
        </w:rPr>
        <w:t>بنجاسته</w:t>
      </w:r>
      <w:r w:rsidRPr="00904FCB">
        <w:rPr>
          <w:sz w:val="27"/>
          <w:rtl/>
        </w:rPr>
        <w:t xml:space="preserve"> </w:t>
      </w:r>
      <w:r w:rsidRPr="00904FCB">
        <w:rPr>
          <w:rFonts w:hint="cs"/>
          <w:sz w:val="27"/>
          <w:rtl/>
        </w:rPr>
        <w:t>العرض</w:t>
      </w:r>
      <w:r w:rsidRPr="00904FCB">
        <w:rPr>
          <w:rFonts w:ascii="Times New Roman" w:hAnsi="Times New Roman" w:hint="cs"/>
          <w:sz w:val="27"/>
          <w:rtl/>
        </w:rPr>
        <w:t>ي</w:t>
      </w:r>
      <w:r w:rsidRPr="00904FCB">
        <w:rPr>
          <w:rFonts w:hint="cs"/>
          <w:sz w:val="27"/>
          <w:rtl/>
        </w:rPr>
        <w:t>ة</w:t>
      </w:r>
      <w:r w:rsidRPr="00904FCB">
        <w:rPr>
          <w:sz w:val="27"/>
          <w:rtl/>
        </w:rPr>
        <w:t xml:space="preserve"> </w:t>
      </w:r>
      <w:r w:rsidRPr="00904FCB">
        <w:rPr>
          <w:rFonts w:hint="cs"/>
          <w:sz w:val="27"/>
          <w:rtl/>
        </w:rPr>
        <w:t>بملاقاة</w:t>
      </w:r>
      <w:r w:rsidRPr="00904FCB">
        <w:rPr>
          <w:sz w:val="27"/>
          <w:rtl/>
        </w:rPr>
        <w:t xml:space="preserve"> </w:t>
      </w:r>
      <w:r w:rsidRPr="00904FCB">
        <w:rPr>
          <w:rFonts w:hint="cs"/>
          <w:sz w:val="27"/>
          <w:rtl/>
        </w:rPr>
        <w:t>الأع</w:t>
      </w:r>
      <w:r w:rsidRPr="00904FCB">
        <w:rPr>
          <w:rFonts w:ascii="Times New Roman" w:hAnsi="Times New Roman" w:hint="cs"/>
          <w:sz w:val="27"/>
          <w:rtl/>
        </w:rPr>
        <w:t>ي</w:t>
      </w:r>
      <w:r w:rsidRPr="00904FCB">
        <w:rPr>
          <w:rFonts w:hint="cs"/>
          <w:sz w:val="27"/>
          <w:rtl/>
        </w:rPr>
        <w:t>ان</w:t>
      </w:r>
      <w:r w:rsidRPr="00904FCB">
        <w:rPr>
          <w:sz w:val="27"/>
          <w:rtl/>
        </w:rPr>
        <w:t xml:space="preserve"> </w:t>
      </w:r>
      <w:r w:rsidRPr="00904FCB">
        <w:rPr>
          <w:rFonts w:hint="cs"/>
          <w:sz w:val="27"/>
          <w:rtl/>
        </w:rPr>
        <w:t>النجسة</w:t>
      </w:r>
      <w:r w:rsidRPr="00904FCB">
        <w:rPr>
          <w:sz w:val="27"/>
          <w:rtl/>
        </w:rPr>
        <w:t xml:space="preserve">. </w:t>
      </w:r>
      <w:r w:rsidRPr="00904FCB">
        <w:rPr>
          <w:rFonts w:hint="cs"/>
          <w:sz w:val="27"/>
          <w:rtl/>
        </w:rPr>
        <w:t>وهذه الدراسة</w:t>
      </w:r>
      <w:r w:rsidRPr="00904FCB">
        <w:rPr>
          <w:sz w:val="27"/>
          <w:rtl/>
        </w:rPr>
        <w:t xml:space="preserve"> </w:t>
      </w:r>
      <w:r w:rsidRPr="00904FCB">
        <w:rPr>
          <w:rFonts w:hint="cs"/>
          <w:sz w:val="27"/>
          <w:rtl/>
        </w:rPr>
        <w:t>جاءت لبيان</w:t>
      </w:r>
      <w:r w:rsidRPr="00904FCB">
        <w:rPr>
          <w:sz w:val="27"/>
          <w:rtl/>
        </w:rPr>
        <w:t xml:space="preserve"> </w:t>
      </w:r>
      <w:r w:rsidRPr="00904FCB">
        <w:rPr>
          <w:rFonts w:hint="cs"/>
          <w:sz w:val="27"/>
          <w:rtl/>
        </w:rPr>
        <w:t>وعرض</w:t>
      </w:r>
      <w:r w:rsidRPr="00904FCB">
        <w:rPr>
          <w:sz w:val="27"/>
          <w:rtl/>
        </w:rPr>
        <w:t xml:space="preserve"> </w:t>
      </w:r>
      <w:r w:rsidRPr="00904FCB">
        <w:rPr>
          <w:rFonts w:hint="cs"/>
          <w:sz w:val="27"/>
          <w:rtl/>
        </w:rPr>
        <w:t>مسألة نجاسة غ</w:t>
      </w:r>
      <w:r w:rsidRPr="00904FCB">
        <w:rPr>
          <w:rFonts w:ascii="Times New Roman" w:hAnsi="Times New Roman" w:hint="cs"/>
          <w:sz w:val="27"/>
          <w:rtl/>
        </w:rPr>
        <w:t>ي</w:t>
      </w:r>
      <w:r w:rsidRPr="00904FCB">
        <w:rPr>
          <w:rFonts w:hint="cs"/>
          <w:sz w:val="27"/>
          <w:rtl/>
        </w:rPr>
        <w:t>ر</w:t>
      </w:r>
      <w:r w:rsidR="00FE6393" w:rsidRPr="00904FCB">
        <w:rPr>
          <w:rFonts w:hint="cs"/>
          <w:sz w:val="27"/>
          <w:rtl/>
        </w:rPr>
        <w:t xml:space="preserve"> </w:t>
      </w:r>
      <w:r w:rsidRPr="00904FCB">
        <w:rPr>
          <w:rFonts w:hint="cs"/>
          <w:sz w:val="27"/>
          <w:rtl/>
        </w:rPr>
        <w:t>المسلم</w:t>
      </w:r>
      <w:r w:rsidRPr="00904FCB">
        <w:rPr>
          <w:rFonts w:ascii="Times New Roman" w:hAnsi="Times New Roman" w:hint="cs"/>
          <w:sz w:val="27"/>
          <w:rtl/>
        </w:rPr>
        <w:t>ي</w:t>
      </w:r>
      <w:r w:rsidRPr="00904FCB">
        <w:rPr>
          <w:rFonts w:hint="cs"/>
          <w:sz w:val="27"/>
          <w:rtl/>
        </w:rPr>
        <w:t>ن وأهل الكتاب</w:t>
      </w:r>
      <w:r w:rsidR="00FE6393" w:rsidRPr="00904FCB">
        <w:rPr>
          <w:rFonts w:hint="cs"/>
          <w:sz w:val="27"/>
          <w:rtl/>
        </w:rPr>
        <w:t>،</w:t>
      </w:r>
      <w:r w:rsidRPr="00904FCB">
        <w:rPr>
          <w:sz w:val="27"/>
          <w:rtl/>
        </w:rPr>
        <w:t xml:space="preserve"> و</w:t>
      </w:r>
      <w:r w:rsidRPr="00904FCB">
        <w:rPr>
          <w:rFonts w:hint="cs"/>
          <w:sz w:val="27"/>
          <w:rtl/>
        </w:rPr>
        <w:t>أدلتها</w:t>
      </w:r>
      <w:r w:rsidRPr="00904FCB">
        <w:rPr>
          <w:sz w:val="27"/>
          <w:rtl/>
        </w:rPr>
        <w:t xml:space="preserve"> </w:t>
      </w:r>
      <w:r w:rsidRPr="00904FCB">
        <w:rPr>
          <w:rFonts w:hint="cs"/>
          <w:sz w:val="27"/>
          <w:rtl/>
        </w:rPr>
        <w:t>القرآن</w:t>
      </w:r>
      <w:r w:rsidRPr="00904FCB">
        <w:rPr>
          <w:rFonts w:ascii="Times New Roman" w:hAnsi="Times New Roman" w:hint="cs"/>
          <w:sz w:val="27"/>
          <w:rtl/>
        </w:rPr>
        <w:t>ي</w:t>
      </w:r>
      <w:r w:rsidRPr="00904FCB">
        <w:rPr>
          <w:rFonts w:hint="cs"/>
          <w:sz w:val="27"/>
          <w:rtl/>
        </w:rPr>
        <w:t>ة</w:t>
      </w:r>
      <w:r w:rsidRPr="00904FCB">
        <w:rPr>
          <w:sz w:val="27"/>
          <w:rtl/>
        </w:rPr>
        <w:t xml:space="preserve"> و</w:t>
      </w:r>
      <w:r w:rsidRPr="00904FCB">
        <w:rPr>
          <w:rFonts w:hint="cs"/>
          <w:sz w:val="27"/>
          <w:rtl/>
        </w:rPr>
        <w:t>الروائ</w:t>
      </w:r>
      <w:r w:rsidRPr="00904FCB">
        <w:rPr>
          <w:rFonts w:ascii="Times New Roman" w:hAnsi="Times New Roman" w:hint="cs"/>
          <w:sz w:val="27"/>
          <w:rtl/>
        </w:rPr>
        <w:t>ي</w:t>
      </w:r>
      <w:r w:rsidRPr="00904FCB">
        <w:rPr>
          <w:rFonts w:hint="cs"/>
          <w:sz w:val="27"/>
          <w:rtl/>
        </w:rPr>
        <w:t>ة</w:t>
      </w:r>
      <w:r w:rsidR="00FE6393" w:rsidRPr="00904FCB">
        <w:rPr>
          <w:rFonts w:hint="cs"/>
          <w:sz w:val="27"/>
          <w:rtl/>
        </w:rPr>
        <w:t>،</w:t>
      </w:r>
      <w:r w:rsidRPr="00904FCB">
        <w:rPr>
          <w:sz w:val="27"/>
          <w:rtl/>
        </w:rPr>
        <w:t xml:space="preserve"> و</w:t>
      </w:r>
      <w:r w:rsidRPr="00904FCB">
        <w:rPr>
          <w:rFonts w:hint="cs"/>
          <w:sz w:val="27"/>
          <w:rtl/>
        </w:rPr>
        <w:t>تمحيصها</w:t>
      </w:r>
      <w:r w:rsidRPr="00904FCB">
        <w:rPr>
          <w:sz w:val="27"/>
          <w:rtl/>
        </w:rPr>
        <w:t xml:space="preserve"> </w:t>
      </w:r>
      <w:r w:rsidRPr="00904FCB">
        <w:rPr>
          <w:rFonts w:hint="cs"/>
          <w:sz w:val="27"/>
          <w:rtl/>
        </w:rPr>
        <w:t>مهما</w:t>
      </w:r>
      <w:r w:rsidRPr="00904FCB">
        <w:rPr>
          <w:sz w:val="27"/>
          <w:rtl/>
        </w:rPr>
        <w:t xml:space="preserve"> </w:t>
      </w:r>
      <w:r w:rsidRPr="00904FCB">
        <w:rPr>
          <w:rFonts w:hint="cs"/>
          <w:sz w:val="27"/>
          <w:rtl/>
        </w:rPr>
        <w:t>أمكن</w:t>
      </w:r>
      <w:r w:rsidRPr="00904FCB">
        <w:rPr>
          <w:sz w:val="27"/>
          <w:rtl/>
        </w:rPr>
        <w:t xml:space="preserve">. </w:t>
      </w:r>
    </w:p>
    <w:p w:rsidR="00FE6393" w:rsidRPr="00904FCB" w:rsidRDefault="00F34FB9" w:rsidP="00F14321">
      <w:pPr>
        <w:spacing w:line="400" w:lineRule="exact"/>
        <w:ind w:firstLine="561"/>
        <w:rPr>
          <w:sz w:val="27"/>
          <w:rtl/>
        </w:rPr>
      </w:pPr>
      <w:r w:rsidRPr="00904FCB">
        <w:rPr>
          <w:sz w:val="27"/>
          <w:rtl/>
        </w:rPr>
        <w:t xml:space="preserve"> </w:t>
      </w:r>
      <w:r w:rsidRPr="00904FCB">
        <w:rPr>
          <w:rFonts w:hint="cs"/>
          <w:sz w:val="27"/>
          <w:rtl/>
        </w:rPr>
        <w:t>ومن</w:t>
      </w:r>
      <w:r w:rsidRPr="00904FCB">
        <w:rPr>
          <w:sz w:val="27"/>
          <w:rtl/>
        </w:rPr>
        <w:t xml:space="preserve"> </w:t>
      </w:r>
      <w:r w:rsidRPr="00904FCB">
        <w:rPr>
          <w:rFonts w:hint="cs"/>
          <w:sz w:val="27"/>
          <w:rtl/>
        </w:rPr>
        <w:t>المسائل</w:t>
      </w:r>
      <w:r w:rsidRPr="00904FCB">
        <w:rPr>
          <w:sz w:val="27"/>
          <w:rtl/>
        </w:rPr>
        <w:t xml:space="preserve"> </w:t>
      </w:r>
      <w:r w:rsidRPr="00904FCB">
        <w:rPr>
          <w:rFonts w:hint="cs"/>
          <w:sz w:val="27"/>
          <w:rtl/>
        </w:rPr>
        <w:t>المهم</w:t>
      </w:r>
      <w:r w:rsidR="00FE6393" w:rsidRPr="00904FCB">
        <w:rPr>
          <w:rFonts w:hint="cs"/>
          <w:sz w:val="27"/>
          <w:rtl/>
        </w:rPr>
        <w:t>ّ</w:t>
      </w:r>
      <w:r w:rsidRPr="00904FCB">
        <w:rPr>
          <w:rFonts w:hint="cs"/>
          <w:sz w:val="27"/>
          <w:rtl/>
        </w:rPr>
        <w:t>ة</w:t>
      </w:r>
      <w:r w:rsidRPr="00904FCB">
        <w:rPr>
          <w:sz w:val="27"/>
          <w:rtl/>
        </w:rPr>
        <w:t xml:space="preserve"> </w:t>
      </w:r>
      <w:r w:rsidR="00FE6393" w:rsidRPr="00904FCB">
        <w:rPr>
          <w:rFonts w:hint="cs"/>
          <w:sz w:val="27"/>
          <w:rtl/>
        </w:rPr>
        <w:t>ومحل الابتلاء،</w:t>
      </w:r>
      <w:r w:rsidRPr="00904FCB">
        <w:rPr>
          <w:sz w:val="27"/>
          <w:rtl/>
        </w:rPr>
        <w:t xml:space="preserve"> </w:t>
      </w:r>
      <w:r w:rsidR="00FE6393" w:rsidRPr="00904FCB">
        <w:rPr>
          <w:rFonts w:hint="cs"/>
          <w:sz w:val="27"/>
          <w:rtl/>
        </w:rPr>
        <w:t>و</w:t>
      </w:r>
      <w:r w:rsidRPr="00904FCB">
        <w:rPr>
          <w:rFonts w:hint="cs"/>
          <w:sz w:val="27"/>
          <w:rtl/>
        </w:rPr>
        <w:t>الت</w:t>
      </w:r>
      <w:r w:rsidRPr="00904FCB">
        <w:rPr>
          <w:rFonts w:ascii="Times New Roman" w:hAnsi="Times New Roman" w:hint="cs"/>
          <w:sz w:val="27"/>
          <w:rtl/>
        </w:rPr>
        <w:t>ي</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من</w:t>
      </w:r>
      <w:r w:rsidR="00FE6393" w:rsidRPr="00904FCB">
        <w:rPr>
          <w:rFonts w:hint="cs"/>
          <w:sz w:val="27"/>
          <w:rtl/>
        </w:rPr>
        <w:t>ذ</w:t>
      </w:r>
      <w:r w:rsidRPr="00904FCB">
        <w:rPr>
          <w:sz w:val="27"/>
          <w:rtl/>
        </w:rPr>
        <w:t xml:space="preserve"> </w:t>
      </w:r>
      <w:r w:rsidRPr="00904FCB">
        <w:rPr>
          <w:rFonts w:hint="cs"/>
          <w:sz w:val="27"/>
          <w:rtl/>
        </w:rPr>
        <w:t>قد</w:t>
      </w:r>
      <w:r w:rsidRPr="00904FCB">
        <w:rPr>
          <w:rFonts w:ascii="Times New Roman" w:hAnsi="Times New Roman" w:hint="cs"/>
          <w:sz w:val="27"/>
          <w:rtl/>
        </w:rPr>
        <w:t>ي</w:t>
      </w:r>
      <w:r w:rsidRPr="00904FCB">
        <w:rPr>
          <w:rFonts w:hint="cs"/>
          <w:sz w:val="27"/>
          <w:rtl/>
        </w:rPr>
        <w:t>م</w:t>
      </w:r>
      <w:r w:rsidRPr="00904FCB">
        <w:rPr>
          <w:sz w:val="27"/>
          <w:rtl/>
        </w:rPr>
        <w:t xml:space="preserve"> </w:t>
      </w:r>
      <w:r w:rsidRPr="00904FCB">
        <w:rPr>
          <w:rFonts w:hint="cs"/>
          <w:sz w:val="27"/>
          <w:rtl/>
        </w:rPr>
        <w:t>الزمان</w:t>
      </w:r>
      <w:r w:rsidRPr="00904FCB">
        <w:rPr>
          <w:sz w:val="27"/>
          <w:rtl/>
        </w:rPr>
        <w:t xml:space="preserve"> </w:t>
      </w:r>
      <w:r w:rsidRPr="00904FCB">
        <w:rPr>
          <w:rFonts w:hint="cs"/>
          <w:sz w:val="27"/>
          <w:rtl/>
        </w:rPr>
        <w:t>معركة</w:t>
      </w:r>
      <w:r w:rsidRPr="00904FCB">
        <w:rPr>
          <w:sz w:val="27"/>
          <w:rtl/>
        </w:rPr>
        <w:t xml:space="preserve"> </w:t>
      </w:r>
      <w:r w:rsidRPr="00904FCB">
        <w:rPr>
          <w:rFonts w:hint="cs"/>
          <w:sz w:val="27"/>
          <w:rtl/>
        </w:rPr>
        <w:t>آراء</w:t>
      </w:r>
      <w:r w:rsidRPr="00904FCB">
        <w:rPr>
          <w:sz w:val="27"/>
          <w:rtl/>
        </w:rPr>
        <w:t xml:space="preserve"> </w:t>
      </w:r>
      <w:r w:rsidRPr="00904FCB">
        <w:rPr>
          <w:rFonts w:hint="cs"/>
          <w:sz w:val="27"/>
          <w:rtl/>
        </w:rPr>
        <w:t>فقهاء</w:t>
      </w:r>
      <w:r w:rsidRPr="00904FCB">
        <w:rPr>
          <w:sz w:val="27"/>
          <w:rtl/>
        </w:rPr>
        <w:t xml:space="preserve"> </w:t>
      </w:r>
      <w:r w:rsidRPr="00904FCB">
        <w:rPr>
          <w:rFonts w:hint="cs"/>
          <w:sz w:val="27"/>
          <w:rtl/>
        </w:rPr>
        <w:t>الإسلام، ه</w:t>
      </w:r>
      <w:r w:rsidRPr="00904FCB">
        <w:rPr>
          <w:rFonts w:ascii="Times New Roman" w:hAnsi="Times New Roman" w:hint="cs"/>
          <w:sz w:val="27"/>
          <w:rtl/>
        </w:rPr>
        <w:t>ي</w:t>
      </w:r>
      <w:r w:rsidRPr="00904FCB">
        <w:rPr>
          <w:sz w:val="27"/>
          <w:rtl/>
        </w:rPr>
        <w:t xml:space="preserve"> </w:t>
      </w:r>
      <w:r w:rsidRPr="00904FCB">
        <w:rPr>
          <w:rFonts w:hint="cs"/>
          <w:sz w:val="27"/>
          <w:rtl/>
        </w:rPr>
        <w:t>طهارة</w:t>
      </w:r>
      <w:r w:rsidRPr="00904FCB">
        <w:rPr>
          <w:sz w:val="27"/>
          <w:rtl/>
        </w:rPr>
        <w:t xml:space="preserve"> و</w:t>
      </w:r>
      <w:r w:rsidRPr="00904FCB">
        <w:rPr>
          <w:rFonts w:hint="cs"/>
          <w:sz w:val="27"/>
          <w:rtl/>
        </w:rPr>
        <w:t>نجاسة</w:t>
      </w:r>
      <w:r w:rsidRPr="00904FCB">
        <w:rPr>
          <w:sz w:val="27"/>
          <w:rtl/>
        </w:rPr>
        <w:t xml:space="preserve"> </w:t>
      </w:r>
      <w:r w:rsidRPr="00904FCB">
        <w:rPr>
          <w:rFonts w:hint="cs"/>
          <w:sz w:val="27"/>
          <w:rtl/>
        </w:rPr>
        <w:t>غ</w:t>
      </w:r>
      <w:r w:rsidRPr="00904FCB">
        <w:rPr>
          <w:rFonts w:ascii="Times New Roman" w:hAnsi="Times New Roman" w:hint="cs"/>
          <w:sz w:val="27"/>
          <w:rtl/>
        </w:rPr>
        <w:t>ي</w:t>
      </w:r>
      <w:r w:rsidRPr="00904FCB">
        <w:rPr>
          <w:rFonts w:hint="cs"/>
          <w:sz w:val="27"/>
          <w:rtl/>
        </w:rPr>
        <w:t>ر</w:t>
      </w:r>
      <w:r w:rsidR="00FE6393" w:rsidRPr="00904FCB">
        <w:rPr>
          <w:rFonts w:hint="cs"/>
          <w:sz w:val="27"/>
          <w:rtl/>
        </w:rPr>
        <w:t xml:space="preserve"> </w:t>
      </w:r>
      <w:r w:rsidRPr="00904FCB">
        <w:rPr>
          <w:rFonts w:hint="cs"/>
          <w:sz w:val="27"/>
          <w:rtl/>
        </w:rPr>
        <w:t>المسلم</w:t>
      </w:r>
      <w:r w:rsidRPr="00904FCB">
        <w:rPr>
          <w:rFonts w:ascii="Times New Roman" w:hAnsi="Times New Roman" w:hint="cs"/>
          <w:sz w:val="27"/>
          <w:rtl/>
        </w:rPr>
        <w:t>ي</w:t>
      </w:r>
      <w:r w:rsidRPr="00904FCB">
        <w:rPr>
          <w:rFonts w:hint="cs"/>
          <w:sz w:val="27"/>
          <w:rtl/>
        </w:rPr>
        <w:t>ن</w:t>
      </w:r>
      <w:r w:rsidRPr="00904FCB">
        <w:rPr>
          <w:sz w:val="27"/>
          <w:rtl/>
        </w:rPr>
        <w:t xml:space="preserve"> </w:t>
      </w:r>
      <w:r w:rsidRPr="00904FCB">
        <w:rPr>
          <w:rFonts w:hint="cs"/>
          <w:sz w:val="27"/>
          <w:rtl/>
        </w:rPr>
        <w:t>عام</w:t>
      </w:r>
      <w:r w:rsidR="00FE6393" w:rsidRPr="00904FCB">
        <w:rPr>
          <w:rFonts w:hint="cs"/>
          <w:sz w:val="27"/>
          <w:rtl/>
        </w:rPr>
        <w:t>ّ</w:t>
      </w:r>
      <w:r w:rsidRPr="00904FCB">
        <w:rPr>
          <w:rFonts w:hint="cs"/>
          <w:sz w:val="27"/>
          <w:rtl/>
        </w:rPr>
        <w:t>ة</w:t>
      </w:r>
      <w:r w:rsidR="00FE6393" w:rsidRPr="00904FCB">
        <w:rPr>
          <w:rFonts w:hint="cs"/>
          <w:sz w:val="27"/>
          <w:rtl/>
        </w:rPr>
        <w:t>،</w:t>
      </w:r>
      <w:r w:rsidRPr="00904FCB">
        <w:rPr>
          <w:sz w:val="27"/>
          <w:rtl/>
        </w:rPr>
        <w:t xml:space="preserve"> و</w:t>
      </w:r>
      <w:r w:rsidR="00FE6393" w:rsidRPr="00904FCB">
        <w:rPr>
          <w:rFonts w:hint="cs"/>
          <w:sz w:val="27"/>
          <w:rtl/>
        </w:rPr>
        <w:t>أ</w:t>
      </w:r>
      <w:r w:rsidRPr="00904FCB">
        <w:rPr>
          <w:rFonts w:hint="cs"/>
          <w:sz w:val="27"/>
          <w:rtl/>
        </w:rPr>
        <w:t>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خاص</w:t>
      </w:r>
      <w:r w:rsidR="00FE6393" w:rsidRPr="00904FCB">
        <w:rPr>
          <w:rFonts w:hint="cs"/>
          <w:sz w:val="27"/>
          <w:rtl/>
        </w:rPr>
        <w:t>ّ</w:t>
      </w:r>
      <w:r w:rsidRPr="00904FCB">
        <w:rPr>
          <w:rFonts w:hint="cs"/>
          <w:sz w:val="27"/>
          <w:rtl/>
        </w:rPr>
        <w:t>ة</w:t>
      </w:r>
      <w:r w:rsidR="00FE6393" w:rsidRPr="00904FCB">
        <w:rPr>
          <w:sz w:val="27"/>
          <w:rtl/>
        </w:rPr>
        <w:t>.</w:t>
      </w:r>
    </w:p>
    <w:p w:rsidR="00F34FB9" w:rsidRPr="00904FCB" w:rsidRDefault="00FE6393" w:rsidP="00F14321">
      <w:pPr>
        <w:spacing w:line="400" w:lineRule="exact"/>
        <w:ind w:firstLine="561"/>
        <w:rPr>
          <w:sz w:val="27"/>
          <w:rtl/>
        </w:rPr>
      </w:pPr>
      <w:r w:rsidRPr="00904FCB">
        <w:rPr>
          <w:rFonts w:hint="cs"/>
          <w:sz w:val="27"/>
          <w:rtl/>
        </w:rPr>
        <w:t>وقد ا</w:t>
      </w:r>
      <w:r w:rsidR="00F34FB9" w:rsidRPr="00904FCB">
        <w:rPr>
          <w:rFonts w:hint="cs"/>
          <w:sz w:val="27"/>
          <w:rtl/>
        </w:rPr>
        <w:t>ست</w:t>
      </w:r>
      <w:r w:rsidRPr="00904FCB">
        <w:rPr>
          <w:rFonts w:hint="cs"/>
          <w:sz w:val="27"/>
          <w:rtl/>
        </w:rPr>
        <w:t>ن</w:t>
      </w:r>
      <w:r w:rsidR="00F34FB9" w:rsidRPr="00904FCB">
        <w:rPr>
          <w:rFonts w:hint="cs"/>
          <w:sz w:val="27"/>
          <w:rtl/>
        </w:rPr>
        <w:t>د</w:t>
      </w:r>
      <w:r w:rsidR="00F34FB9" w:rsidRPr="00904FCB">
        <w:rPr>
          <w:sz w:val="27"/>
          <w:rtl/>
        </w:rPr>
        <w:t xml:space="preserve"> </w:t>
      </w:r>
      <w:r w:rsidR="00F34FB9" w:rsidRPr="00904FCB">
        <w:rPr>
          <w:rFonts w:hint="cs"/>
          <w:sz w:val="27"/>
          <w:rtl/>
        </w:rPr>
        <w:t>فقهاء</w:t>
      </w:r>
      <w:r w:rsidR="00F34FB9" w:rsidRPr="00904FCB">
        <w:rPr>
          <w:sz w:val="27"/>
          <w:rtl/>
        </w:rPr>
        <w:t xml:space="preserve"> </w:t>
      </w:r>
      <w:r w:rsidR="00F34FB9" w:rsidRPr="00904FCB">
        <w:rPr>
          <w:rFonts w:hint="cs"/>
          <w:sz w:val="27"/>
          <w:rtl/>
        </w:rPr>
        <w:t>الش</w:t>
      </w:r>
      <w:r w:rsidR="00F34FB9" w:rsidRPr="00904FCB">
        <w:rPr>
          <w:rFonts w:ascii="Times New Roman" w:hAnsi="Times New Roman" w:hint="cs"/>
          <w:sz w:val="27"/>
          <w:rtl/>
        </w:rPr>
        <w:t>ي</w:t>
      </w:r>
      <w:r w:rsidR="00F34FB9" w:rsidRPr="00904FCB">
        <w:rPr>
          <w:rFonts w:hint="cs"/>
          <w:sz w:val="27"/>
          <w:rtl/>
        </w:rPr>
        <w:t>عة</w:t>
      </w:r>
      <w:r w:rsidR="00F34FB9" w:rsidRPr="00904FCB">
        <w:rPr>
          <w:sz w:val="27"/>
          <w:rtl/>
        </w:rPr>
        <w:t xml:space="preserve"> و</w:t>
      </w:r>
      <w:r w:rsidR="00F34FB9" w:rsidRPr="00904FCB">
        <w:rPr>
          <w:rFonts w:hint="cs"/>
          <w:sz w:val="27"/>
          <w:rtl/>
        </w:rPr>
        <w:t>السن</w:t>
      </w:r>
      <w:r w:rsidR="00F14321">
        <w:rPr>
          <w:rFonts w:hint="cs"/>
          <w:sz w:val="27"/>
          <w:rtl/>
        </w:rPr>
        <w:t>ّ</w:t>
      </w:r>
      <w:r w:rsidR="00F34FB9" w:rsidRPr="00904FCB">
        <w:rPr>
          <w:rFonts w:hint="cs"/>
          <w:sz w:val="27"/>
          <w:rtl/>
        </w:rPr>
        <w:t>ة</w:t>
      </w:r>
      <w:r w:rsidR="00F34FB9" w:rsidRPr="00904FCB">
        <w:rPr>
          <w:sz w:val="27"/>
          <w:rtl/>
        </w:rPr>
        <w:t xml:space="preserve"> </w:t>
      </w:r>
      <w:r w:rsidR="00F34FB9" w:rsidRPr="00904FCB">
        <w:rPr>
          <w:rFonts w:hint="cs"/>
          <w:sz w:val="27"/>
          <w:rtl/>
        </w:rPr>
        <w:t>ف</w:t>
      </w:r>
      <w:r w:rsidR="00F34FB9" w:rsidRPr="00904FCB">
        <w:rPr>
          <w:rFonts w:ascii="Times New Roman" w:hAnsi="Times New Roman" w:hint="cs"/>
          <w:sz w:val="27"/>
          <w:rtl/>
        </w:rPr>
        <w:t>ي</w:t>
      </w:r>
      <w:r w:rsidR="00F34FB9" w:rsidRPr="00904FCB">
        <w:rPr>
          <w:sz w:val="27"/>
          <w:rtl/>
        </w:rPr>
        <w:t xml:space="preserve"> </w:t>
      </w:r>
      <w:r w:rsidR="00F34FB9" w:rsidRPr="00904FCB">
        <w:rPr>
          <w:rFonts w:hint="cs"/>
          <w:sz w:val="27"/>
          <w:rtl/>
        </w:rPr>
        <w:t>فتاواهم</w:t>
      </w:r>
      <w:r w:rsidR="00340818" w:rsidRPr="00904FCB">
        <w:rPr>
          <w:sz w:val="27"/>
          <w:rtl/>
        </w:rPr>
        <w:t xml:space="preserve"> إلى </w:t>
      </w:r>
      <w:r w:rsidR="00F34FB9" w:rsidRPr="00904FCB">
        <w:rPr>
          <w:rFonts w:hint="cs"/>
          <w:sz w:val="27"/>
          <w:rtl/>
        </w:rPr>
        <w:t>أدل</w:t>
      </w:r>
      <w:r w:rsidRPr="00904FCB">
        <w:rPr>
          <w:rFonts w:hint="cs"/>
          <w:sz w:val="27"/>
          <w:rtl/>
        </w:rPr>
        <w:t>ّ</w:t>
      </w:r>
      <w:r w:rsidR="00F34FB9" w:rsidRPr="00904FCB">
        <w:rPr>
          <w:rFonts w:hint="cs"/>
          <w:sz w:val="27"/>
          <w:rtl/>
        </w:rPr>
        <w:t>ة</w:t>
      </w:r>
      <w:r w:rsidR="00F34FB9" w:rsidRPr="00904FCB">
        <w:rPr>
          <w:sz w:val="27"/>
          <w:rtl/>
        </w:rPr>
        <w:t xml:space="preserve"> </w:t>
      </w:r>
      <w:r w:rsidR="00F34FB9" w:rsidRPr="00904FCB">
        <w:rPr>
          <w:rFonts w:hint="cs"/>
          <w:sz w:val="27"/>
          <w:rtl/>
        </w:rPr>
        <w:t>مختلفة</w:t>
      </w:r>
      <w:r w:rsidR="00F34FB9" w:rsidRPr="00904FCB">
        <w:rPr>
          <w:sz w:val="27"/>
          <w:rtl/>
        </w:rPr>
        <w:t xml:space="preserve"> </w:t>
      </w:r>
      <w:r w:rsidR="00F34FB9" w:rsidRPr="00904FCB">
        <w:rPr>
          <w:rFonts w:hint="cs"/>
          <w:sz w:val="27"/>
          <w:rtl/>
        </w:rPr>
        <w:t>من</w:t>
      </w:r>
      <w:r w:rsidR="00F34FB9" w:rsidRPr="00904FCB">
        <w:rPr>
          <w:sz w:val="27"/>
          <w:rtl/>
        </w:rPr>
        <w:t xml:space="preserve"> </w:t>
      </w:r>
      <w:r w:rsidR="00F34FB9" w:rsidRPr="00904FCB">
        <w:rPr>
          <w:rFonts w:hint="cs"/>
          <w:sz w:val="27"/>
          <w:rtl/>
        </w:rPr>
        <w:t>العقل</w:t>
      </w:r>
      <w:r w:rsidR="00F34FB9" w:rsidRPr="00904FCB">
        <w:rPr>
          <w:sz w:val="27"/>
          <w:rtl/>
        </w:rPr>
        <w:t xml:space="preserve"> و</w:t>
      </w:r>
      <w:r w:rsidR="00F34FB9" w:rsidRPr="00904FCB">
        <w:rPr>
          <w:rFonts w:hint="cs"/>
          <w:sz w:val="27"/>
          <w:rtl/>
        </w:rPr>
        <w:t>النقل، وهذه</w:t>
      </w:r>
      <w:r w:rsidR="00F34FB9" w:rsidRPr="00904FCB">
        <w:rPr>
          <w:sz w:val="27"/>
          <w:rtl/>
        </w:rPr>
        <w:t xml:space="preserve"> </w:t>
      </w:r>
      <w:r w:rsidR="00F34FB9" w:rsidRPr="00904FCB">
        <w:rPr>
          <w:rFonts w:hint="cs"/>
          <w:sz w:val="27"/>
          <w:rtl/>
        </w:rPr>
        <w:t>الأدلة</w:t>
      </w:r>
      <w:r w:rsidR="00F34FB9" w:rsidRPr="00904FCB">
        <w:rPr>
          <w:sz w:val="27"/>
          <w:rtl/>
        </w:rPr>
        <w:t xml:space="preserve"> </w:t>
      </w:r>
      <w:r w:rsidR="00F34FB9" w:rsidRPr="00904FCB">
        <w:rPr>
          <w:rFonts w:hint="cs"/>
          <w:sz w:val="27"/>
          <w:rtl/>
        </w:rPr>
        <w:t>المختلفة</w:t>
      </w:r>
      <w:r w:rsidR="00F34FB9" w:rsidRPr="00904FCB">
        <w:rPr>
          <w:sz w:val="27"/>
          <w:rtl/>
        </w:rPr>
        <w:t xml:space="preserve"> </w:t>
      </w:r>
      <w:r w:rsidR="00F34FB9" w:rsidRPr="00904FCB">
        <w:rPr>
          <w:rFonts w:hint="cs"/>
          <w:sz w:val="27"/>
          <w:rtl/>
        </w:rPr>
        <w:t>تسبب</w:t>
      </w:r>
      <w:r w:rsidR="00F34FB9" w:rsidRPr="00904FCB">
        <w:rPr>
          <w:sz w:val="27"/>
          <w:rtl/>
        </w:rPr>
        <w:t xml:space="preserve"> </w:t>
      </w:r>
      <w:r w:rsidR="00F34FB9" w:rsidRPr="00904FCB">
        <w:rPr>
          <w:rFonts w:hint="cs"/>
          <w:sz w:val="27"/>
          <w:rtl/>
        </w:rPr>
        <w:t>فتاو</w:t>
      </w:r>
      <w:r w:rsidRPr="00904FCB">
        <w:rPr>
          <w:rFonts w:ascii="Times New Roman" w:hAnsi="Times New Roman" w:hint="cs"/>
          <w:sz w:val="27"/>
          <w:rtl/>
        </w:rPr>
        <w:t>ى</w:t>
      </w:r>
      <w:r w:rsidR="00F34FB9" w:rsidRPr="00904FCB">
        <w:rPr>
          <w:sz w:val="27"/>
          <w:rtl/>
        </w:rPr>
        <w:t xml:space="preserve"> </w:t>
      </w:r>
      <w:r w:rsidR="00F34FB9" w:rsidRPr="00904FCB">
        <w:rPr>
          <w:rFonts w:hint="cs"/>
          <w:sz w:val="27"/>
          <w:rtl/>
        </w:rPr>
        <w:t>شت</w:t>
      </w:r>
      <w:r w:rsidRPr="00904FCB">
        <w:rPr>
          <w:rFonts w:ascii="Times New Roman" w:hAnsi="Times New Roman" w:hint="cs"/>
          <w:sz w:val="27"/>
          <w:rtl/>
        </w:rPr>
        <w:t>ّى</w:t>
      </w:r>
      <w:r w:rsidR="00F34FB9" w:rsidRPr="00904FCB">
        <w:rPr>
          <w:sz w:val="27"/>
          <w:rtl/>
        </w:rPr>
        <w:t xml:space="preserve"> </w:t>
      </w:r>
      <w:r w:rsidR="00F34FB9" w:rsidRPr="00904FCB">
        <w:rPr>
          <w:rFonts w:hint="cs"/>
          <w:sz w:val="27"/>
          <w:rtl/>
        </w:rPr>
        <w:t>ف</w:t>
      </w:r>
      <w:r w:rsidR="00F34FB9" w:rsidRPr="00904FCB">
        <w:rPr>
          <w:rFonts w:ascii="Times New Roman" w:hAnsi="Times New Roman" w:hint="cs"/>
          <w:sz w:val="27"/>
          <w:rtl/>
        </w:rPr>
        <w:t>ي</w:t>
      </w:r>
      <w:r w:rsidR="00F34FB9" w:rsidRPr="00904FCB">
        <w:rPr>
          <w:sz w:val="27"/>
          <w:rtl/>
        </w:rPr>
        <w:t xml:space="preserve"> </w:t>
      </w:r>
      <w:r w:rsidR="00F34FB9" w:rsidRPr="00904FCB">
        <w:rPr>
          <w:rFonts w:hint="cs"/>
          <w:sz w:val="27"/>
          <w:rtl/>
        </w:rPr>
        <w:t>موضوع</w:t>
      </w:r>
      <w:r w:rsidR="00F34FB9" w:rsidRPr="00904FCB">
        <w:rPr>
          <w:sz w:val="27"/>
          <w:rtl/>
        </w:rPr>
        <w:t xml:space="preserve"> </w:t>
      </w:r>
      <w:r w:rsidR="00F34FB9" w:rsidRPr="00904FCB">
        <w:rPr>
          <w:rFonts w:hint="cs"/>
          <w:sz w:val="27"/>
          <w:rtl/>
        </w:rPr>
        <w:t>نجاسة</w:t>
      </w:r>
      <w:r w:rsidR="00F34FB9" w:rsidRPr="00904FCB">
        <w:rPr>
          <w:sz w:val="27"/>
          <w:rtl/>
        </w:rPr>
        <w:t xml:space="preserve"> و</w:t>
      </w:r>
      <w:r w:rsidR="00F34FB9" w:rsidRPr="00904FCB">
        <w:rPr>
          <w:rFonts w:hint="cs"/>
          <w:sz w:val="27"/>
          <w:rtl/>
        </w:rPr>
        <w:t>طهارة</w:t>
      </w:r>
      <w:r w:rsidR="00F34FB9" w:rsidRPr="00904FCB">
        <w:rPr>
          <w:sz w:val="27"/>
          <w:rtl/>
        </w:rPr>
        <w:t xml:space="preserve"> </w:t>
      </w:r>
      <w:r w:rsidR="00F34FB9" w:rsidRPr="00904FCB">
        <w:rPr>
          <w:rFonts w:hint="cs"/>
          <w:sz w:val="27"/>
          <w:rtl/>
        </w:rPr>
        <w:t>غ</w:t>
      </w:r>
      <w:r w:rsidR="00F34FB9" w:rsidRPr="00904FCB">
        <w:rPr>
          <w:rFonts w:ascii="Times New Roman" w:hAnsi="Times New Roman" w:hint="cs"/>
          <w:sz w:val="27"/>
          <w:rtl/>
        </w:rPr>
        <w:t>ي</w:t>
      </w:r>
      <w:r w:rsidR="00F34FB9" w:rsidRPr="00904FCB">
        <w:rPr>
          <w:rFonts w:hint="cs"/>
          <w:sz w:val="27"/>
          <w:rtl/>
        </w:rPr>
        <w:t>ر</w:t>
      </w:r>
      <w:r w:rsidRPr="00904FCB">
        <w:rPr>
          <w:rFonts w:hint="cs"/>
          <w:sz w:val="27"/>
          <w:rtl/>
        </w:rPr>
        <w:t xml:space="preserve"> </w:t>
      </w:r>
      <w:r w:rsidR="00F34FB9" w:rsidRPr="00904FCB">
        <w:rPr>
          <w:rFonts w:hint="cs"/>
          <w:sz w:val="27"/>
          <w:rtl/>
        </w:rPr>
        <w:t>المسلم</w:t>
      </w:r>
      <w:r w:rsidR="00F34FB9" w:rsidRPr="00904FCB">
        <w:rPr>
          <w:rFonts w:ascii="Times New Roman" w:hAnsi="Times New Roman" w:hint="cs"/>
          <w:sz w:val="27"/>
          <w:rtl/>
        </w:rPr>
        <w:t>ي</w:t>
      </w:r>
      <w:r w:rsidR="00F34FB9" w:rsidRPr="00904FCB">
        <w:rPr>
          <w:rFonts w:hint="cs"/>
          <w:sz w:val="27"/>
          <w:rtl/>
        </w:rPr>
        <w:t>ن</w:t>
      </w:r>
      <w:r w:rsidR="00F34FB9" w:rsidRPr="00904FCB">
        <w:rPr>
          <w:sz w:val="27"/>
          <w:rtl/>
        </w:rPr>
        <w:t xml:space="preserve">. </w:t>
      </w:r>
    </w:p>
    <w:p w:rsidR="00F34FB9" w:rsidRPr="00904FCB" w:rsidRDefault="00F34FB9" w:rsidP="008649D2">
      <w:pPr>
        <w:ind w:firstLine="561"/>
        <w:rPr>
          <w:sz w:val="27"/>
          <w:rtl/>
        </w:rPr>
      </w:pPr>
      <w:r w:rsidRPr="00904FCB">
        <w:rPr>
          <w:rFonts w:ascii="Times New Roman" w:hAnsi="Times New Roman" w:hint="cs"/>
          <w:sz w:val="27"/>
          <w:rtl/>
        </w:rPr>
        <w:t>ي</w:t>
      </w:r>
      <w:r w:rsidRPr="00904FCB">
        <w:rPr>
          <w:rFonts w:hint="cs"/>
          <w:sz w:val="27"/>
          <w:rtl/>
        </w:rPr>
        <w:t>طرح</w:t>
      </w:r>
      <w:r w:rsidRPr="00904FCB">
        <w:rPr>
          <w:sz w:val="27"/>
          <w:rtl/>
        </w:rPr>
        <w:t xml:space="preserve"> </w:t>
      </w:r>
      <w:r w:rsidRPr="00904FCB">
        <w:rPr>
          <w:rFonts w:hint="cs"/>
          <w:sz w:val="27"/>
          <w:rtl/>
        </w:rPr>
        <w:t>الكاتبُ</w:t>
      </w:r>
      <w:r w:rsidRPr="00904FCB">
        <w:rPr>
          <w:sz w:val="27"/>
          <w:rtl/>
        </w:rPr>
        <w:t xml:space="preserve"> </w:t>
      </w:r>
      <w:r w:rsidRPr="00904FCB">
        <w:rPr>
          <w:rFonts w:hint="cs"/>
          <w:sz w:val="27"/>
          <w:rtl/>
        </w:rPr>
        <w:t>الأدل</w:t>
      </w:r>
      <w:r w:rsidR="00FE6393"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القرآن</w:t>
      </w:r>
      <w:r w:rsidRPr="00904FCB">
        <w:rPr>
          <w:rFonts w:ascii="Times New Roman" w:hAnsi="Times New Roman" w:hint="cs"/>
          <w:sz w:val="27"/>
          <w:rtl/>
        </w:rPr>
        <w:t>ي</w:t>
      </w:r>
      <w:r w:rsidRPr="00904FCB">
        <w:rPr>
          <w:rFonts w:hint="cs"/>
          <w:sz w:val="27"/>
          <w:rtl/>
        </w:rPr>
        <w:t>ة</w:t>
      </w:r>
      <w:r w:rsidRPr="00904FCB">
        <w:rPr>
          <w:sz w:val="27"/>
          <w:rtl/>
        </w:rPr>
        <w:t xml:space="preserve"> و</w:t>
      </w:r>
      <w:r w:rsidRPr="00904FCB">
        <w:rPr>
          <w:rFonts w:hint="cs"/>
          <w:sz w:val="27"/>
          <w:rtl/>
        </w:rPr>
        <w:t>الروائ</w:t>
      </w:r>
      <w:r w:rsidRPr="00904FCB">
        <w:rPr>
          <w:rFonts w:ascii="Times New Roman" w:hAnsi="Times New Roman" w:hint="cs"/>
          <w:sz w:val="27"/>
          <w:rtl/>
        </w:rPr>
        <w:t>ي</w:t>
      </w:r>
      <w:r w:rsidRPr="00904FCB">
        <w:rPr>
          <w:rFonts w:hint="cs"/>
          <w:sz w:val="27"/>
          <w:rtl/>
        </w:rPr>
        <w:t>ة</w:t>
      </w:r>
      <w:r w:rsidRPr="00904FCB">
        <w:rPr>
          <w:sz w:val="27"/>
          <w:rtl/>
        </w:rPr>
        <w:t xml:space="preserve"> </w:t>
      </w:r>
      <w:r w:rsidRPr="00904FCB">
        <w:rPr>
          <w:rFonts w:hint="cs"/>
          <w:sz w:val="27"/>
          <w:rtl/>
        </w:rPr>
        <w:t>ف</w:t>
      </w:r>
      <w:r w:rsidRPr="00904FCB">
        <w:rPr>
          <w:rFonts w:ascii="Times New Roman" w:hAnsi="Times New Roman" w:hint="cs"/>
          <w:sz w:val="27"/>
          <w:rtl/>
        </w:rPr>
        <w:t>ي</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غ</w:t>
      </w:r>
      <w:r w:rsidRPr="00904FCB">
        <w:rPr>
          <w:rFonts w:ascii="Times New Roman" w:hAnsi="Times New Roman" w:hint="cs"/>
          <w:sz w:val="27"/>
          <w:rtl/>
        </w:rPr>
        <w:t>ي</w:t>
      </w:r>
      <w:r w:rsidRPr="00904FCB">
        <w:rPr>
          <w:rFonts w:hint="cs"/>
          <w:sz w:val="27"/>
          <w:rtl/>
        </w:rPr>
        <w:t>ر</w:t>
      </w:r>
      <w:r w:rsidR="00FE6393" w:rsidRPr="00904FCB">
        <w:rPr>
          <w:rFonts w:hint="cs"/>
          <w:sz w:val="27"/>
          <w:rtl/>
        </w:rPr>
        <w:t xml:space="preserve"> </w:t>
      </w:r>
      <w:r w:rsidRPr="00904FCB">
        <w:rPr>
          <w:rFonts w:hint="cs"/>
          <w:sz w:val="27"/>
          <w:rtl/>
        </w:rPr>
        <w:t>المسلم</w:t>
      </w:r>
      <w:r w:rsidRPr="00904FCB">
        <w:rPr>
          <w:rFonts w:ascii="Times New Roman" w:hAnsi="Times New Roman" w:hint="cs"/>
          <w:sz w:val="27"/>
          <w:rtl/>
        </w:rPr>
        <w:t>ي</w:t>
      </w:r>
      <w:r w:rsidRPr="00904FCB">
        <w:rPr>
          <w:rFonts w:hint="cs"/>
          <w:sz w:val="27"/>
          <w:rtl/>
        </w:rPr>
        <w:t>ن</w:t>
      </w:r>
      <w:r w:rsidRPr="00904FCB">
        <w:rPr>
          <w:sz w:val="27"/>
          <w:rtl/>
        </w:rPr>
        <w:t xml:space="preserve"> و</w:t>
      </w:r>
      <w:r w:rsidR="00FE6393" w:rsidRPr="00904FCB">
        <w:rPr>
          <w:rFonts w:hint="cs"/>
          <w:sz w:val="27"/>
          <w:rtl/>
        </w:rPr>
        <w:t>أ</w:t>
      </w:r>
      <w:r w:rsidRPr="00904FCB">
        <w:rPr>
          <w:rFonts w:hint="cs"/>
          <w:sz w:val="27"/>
          <w:rtl/>
        </w:rPr>
        <w:t>هل</w:t>
      </w:r>
      <w:r w:rsidRPr="00904FCB">
        <w:rPr>
          <w:sz w:val="27"/>
          <w:rtl/>
        </w:rPr>
        <w:t xml:space="preserve"> </w:t>
      </w:r>
      <w:r w:rsidRPr="00904FCB">
        <w:rPr>
          <w:rFonts w:hint="cs"/>
          <w:sz w:val="27"/>
          <w:rtl/>
        </w:rPr>
        <w:t>الكتاب</w:t>
      </w:r>
      <w:r w:rsidR="00FE6393" w:rsidRPr="00904FCB">
        <w:rPr>
          <w:rFonts w:hint="cs"/>
          <w:sz w:val="27"/>
          <w:rtl/>
        </w:rPr>
        <w:t>،</w:t>
      </w:r>
      <w:r w:rsidRPr="00904FCB">
        <w:rPr>
          <w:sz w:val="27"/>
          <w:rtl/>
        </w:rPr>
        <w:t xml:space="preserve"> </w:t>
      </w:r>
      <w:r w:rsidRPr="00904FCB">
        <w:rPr>
          <w:sz w:val="27"/>
          <w:rtl/>
        </w:rPr>
        <w:lastRenderedPageBreak/>
        <w:t>و</w:t>
      </w:r>
      <w:r w:rsidRPr="00904FCB">
        <w:rPr>
          <w:rFonts w:ascii="Times New Roman" w:hAnsi="Times New Roman" w:hint="cs"/>
          <w:sz w:val="27"/>
          <w:rtl/>
        </w:rPr>
        <w:t>ي</w:t>
      </w:r>
      <w:r w:rsidRPr="00904FCB">
        <w:rPr>
          <w:rFonts w:hint="cs"/>
          <w:sz w:val="27"/>
          <w:rtl/>
        </w:rPr>
        <w:t>نتقدها، و</w:t>
      </w:r>
      <w:r w:rsidRPr="00904FCB">
        <w:rPr>
          <w:rFonts w:ascii="Times New Roman" w:hAnsi="Times New Roman" w:hint="cs"/>
          <w:sz w:val="27"/>
          <w:rtl/>
        </w:rPr>
        <w:t>ي</w:t>
      </w:r>
      <w:r w:rsidRPr="00904FCB">
        <w:rPr>
          <w:rFonts w:hint="cs"/>
          <w:sz w:val="27"/>
          <w:rtl/>
        </w:rPr>
        <w:t>تابع</w:t>
      </w:r>
      <w:r w:rsidRPr="00904FCB">
        <w:rPr>
          <w:sz w:val="27"/>
          <w:rtl/>
        </w:rPr>
        <w:t xml:space="preserve"> </w:t>
      </w:r>
      <w:r w:rsidRPr="00904FCB">
        <w:rPr>
          <w:rFonts w:hint="cs"/>
          <w:sz w:val="27"/>
          <w:rtl/>
        </w:rPr>
        <w:t>الكاتب</w:t>
      </w:r>
      <w:r w:rsidRPr="00904FCB">
        <w:rPr>
          <w:sz w:val="27"/>
          <w:rtl/>
        </w:rPr>
        <w:t xml:space="preserve"> </w:t>
      </w:r>
      <w:r w:rsidRPr="00904FCB">
        <w:rPr>
          <w:rFonts w:hint="cs"/>
          <w:sz w:val="27"/>
          <w:rtl/>
        </w:rPr>
        <w:t>بحثه</w:t>
      </w:r>
      <w:r w:rsidRPr="00904FCB">
        <w:rPr>
          <w:sz w:val="27"/>
          <w:rtl/>
        </w:rPr>
        <w:t xml:space="preserve"> </w:t>
      </w:r>
      <w:r w:rsidRPr="00904FCB">
        <w:rPr>
          <w:rFonts w:hint="cs"/>
          <w:sz w:val="27"/>
          <w:rtl/>
        </w:rPr>
        <w:t>بالأدلة</w:t>
      </w:r>
      <w:r w:rsidRPr="00904FCB">
        <w:rPr>
          <w:sz w:val="27"/>
          <w:rtl/>
        </w:rPr>
        <w:t xml:space="preserve"> </w:t>
      </w:r>
      <w:r w:rsidRPr="00904FCB">
        <w:rPr>
          <w:rFonts w:hint="cs"/>
          <w:sz w:val="27"/>
          <w:rtl/>
        </w:rPr>
        <w:t>القرآن</w:t>
      </w:r>
      <w:r w:rsidRPr="00904FCB">
        <w:rPr>
          <w:rFonts w:ascii="Times New Roman" w:hAnsi="Times New Roman" w:hint="cs"/>
          <w:sz w:val="27"/>
          <w:rtl/>
        </w:rPr>
        <w:t>ي</w:t>
      </w:r>
      <w:r w:rsidRPr="00904FCB">
        <w:rPr>
          <w:rFonts w:hint="cs"/>
          <w:sz w:val="27"/>
          <w:rtl/>
        </w:rPr>
        <w:t>ة</w:t>
      </w:r>
      <w:r w:rsidRPr="00904FCB">
        <w:rPr>
          <w:sz w:val="27"/>
          <w:rtl/>
        </w:rPr>
        <w:t xml:space="preserve"> و</w:t>
      </w:r>
      <w:r w:rsidRPr="00904FCB">
        <w:rPr>
          <w:rFonts w:hint="cs"/>
          <w:sz w:val="27"/>
          <w:rtl/>
        </w:rPr>
        <w:t>الروائ</w:t>
      </w:r>
      <w:r w:rsidRPr="00904FCB">
        <w:rPr>
          <w:rFonts w:ascii="Times New Roman" w:hAnsi="Times New Roman" w:hint="cs"/>
          <w:sz w:val="27"/>
          <w:rtl/>
        </w:rPr>
        <w:t>ي</w:t>
      </w:r>
      <w:r w:rsidRPr="00904FCB">
        <w:rPr>
          <w:rFonts w:hint="cs"/>
          <w:sz w:val="27"/>
          <w:rtl/>
        </w:rPr>
        <w:t>ة</w:t>
      </w:r>
      <w:r w:rsidRPr="00904FCB">
        <w:rPr>
          <w:sz w:val="27"/>
          <w:rtl/>
        </w:rPr>
        <w:t xml:space="preserve"> </w:t>
      </w:r>
      <w:r w:rsidRPr="00904FCB">
        <w:rPr>
          <w:rFonts w:hint="cs"/>
          <w:sz w:val="27"/>
          <w:rtl/>
        </w:rPr>
        <w:t xml:space="preserve">في موضعين. </w:t>
      </w:r>
    </w:p>
    <w:p w:rsidR="00F34FB9" w:rsidRPr="00904FCB" w:rsidRDefault="00F34FB9" w:rsidP="00F14321">
      <w:pPr>
        <w:spacing w:line="380" w:lineRule="exact"/>
        <w:ind w:firstLine="561"/>
        <w:rPr>
          <w:sz w:val="27"/>
          <w:rtl/>
        </w:rPr>
      </w:pPr>
      <w:r w:rsidRPr="00904FCB">
        <w:rPr>
          <w:rFonts w:hint="cs"/>
          <w:sz w:val="27"/>
          <w:rtl/>
        </w:rPr>
        <w:t xml:space="preserve"> </w:t>
      </w:r>
      <w:r w:rsidR="00BA2564" w:rsidRPr="00904FCB">
        <w:rPr>
          <w:rFonts w:hint="cs"/>
          <w:sz w:val="27"/>
          <w:rtl/>
        </w:rPr>
        <w:t>و</w:t>
      </w:r>
      <w:r w:rsidRPr="00904FCB">
        <w:rPr>
          <w:rFonts w:hint="cs"/>
          <w:sz w:val="27"/>
          <w:rtl/>
        </w:rPr>
        <w:t>المنهج</w:t>
      </w:r>
      <w:r w:rsidRPr="00904FCB">
        <w:rPr>
          <w:sz w:val="27"/>
          <w:rtl/>
        </w:rPr>
        <w:t xml:space="preserve"> </w:t>
      </w:r>
      <w:r w:rsidRPr="00904FCB">
        <w:rPr>
          <w:rFonts w:hint="cs"/>
          <w:sz w:val="27"/>
          <w:rtl/>
        </w:rPr>
        <w:t>ف</w:t>
      </w:r>
      <w:r w:rsidRPr="00904FCB">
        <w:rPr>
          <w:rFonts w:ascii="Times New Roman" w:hAnsi="Times New Roman" w:hint="cs"/>
          <w:sz w:val="27"/>
          <w:rtl/>
        </w:rPr>
        <w:t>ي</w:t>
      </w:r>
      <w:r w:rsidRPr="00904FCB">
        <w:rPr>
          <w:sz w:val="27"/>
          <w:rtl/>
        </w:rPr>
        <w:t xml:space="preserve"> </w:t>
      </w:r>
      <w:r w:rsidR="00BA2564" w:rsidRPr="00904FCB">
        <w:rPr>
          <w:rFonts w:hint="cs"/>
          <w:sz w:val="27"/>
          <w:rtl/>
        </w:rPr>
        <w:t xml:space="preserve">هذا </w:t>
      </w:r>
      <w:r w:rsidRPr="00904FCB">
        <w:rPr>
          <w:rFonts w:hint="cs"/>
          <w:sz w:val="27"/>
          <w:rtl/>
        </w:rPr>
        <w:t>التحق</w:t>
      </w:r>
      <w:r w:rsidRPr="00904FCB">
        <w:rPr>
          <w:rFonts w:ascii="Times New Roman" w:hAnsi="Times New Roman" w:hint="cs"/>
          <w:sz w:val="27"/>
          <w:rtl/>
        </w:rPr>
        <w:t>ي</w:t>
      </w:r>
      <w:r w:rsidRPr="00904FCB">
        <w:rPr>
          <w:rFonts w:hint="cs"/>
          <w:sz w:val="27"/>
          <w:rtl/>
        </w:rPr>
        <w:t>ق</w:t>
      </w:r>
      <w:r w:rsidRPr="00904FCB">
        <w:rPr>
          <w:sz w:val="27"/>
          <w:rtl/>
        </w:rPr>
        <w:t xml:space="preserve"> </w:t>
      </w:r>
      <w:r w:rsidR="00BA2564" w:rsidRPr="00904FCB">
        <w:rPr>
          <w:rFonts w:hint="cs"/>
          <w:sz w:val="27"/>
          <w:rtl/>
        </w:rPr>
        <w:t xml:space="preserve">بيان </w:t>
      </w:r>
      <w:r w:rsidRPr="00904FCB">
        <w:rPr>
          <w:rFonts w:hint="cs"/>
          <w:sz w:val="27"/>
          <w:rtl/>
        </w:rPr>
        <w:t>المسألة</w:t>
      </w:r>
      <w:r w:rsidRPr="00904FCB">
        <w:rPr>
          <w:sz w:val="27"/>
          <w:rtl/>
        </w:rPr>
        <w:t xml:space="preserve"> و</w:t>
      </w:r>
      <w:r w:rsidRPr="00904FCB">
        <w:rPr>
          <w:rFonts w:hint="cs"/>
          <w:sz w:val="27"/>
          <w:rtl/>
        </w:rPr>
        <w:t>أدل</w:t>
      </w:r>
      <w:r w:rsidR="00BA2564"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الفقهاء</w:t>
      </w:r>
      <w:r w:rsidRPr="00904FCB">
        <w:rPr>
          <w:sz w:val="27"/>
          <w:rtl/>
        </w:rPr>
        <w:t xml:space="preserve"> </w:t>
      </w:r>
      <w:r w:rsidRPr="00904FCB">
        <w:rPr>
          <w:rFonts w:hint="cs"/>
          <w:sz w:val="27"/>
          <w:rtl/>
        </w:rPr>
        <w:t>ف</w:t>
      </w:r>
      <w:r w:rsidRPr="00904FCB">
        <w:rPr>
          <w:rFonts w:ascii="Times New Roman" w:hAnsi="Times New Roman" w:hint="cs"/>
          <w:sz w:val="27"/>
          <w:rtl/>
        </w:rPr>
        <w:t>ي</w:t>
      </w:r>
      <w:r w:rsidRPr="00904FCB">
        <w:rPr>
          <w:rFonts w:hint="cs"/>
          <w:sz w:val="27"/>
          <w:rtl/>
        </w:rPr>
        <w:t>ها</w:t>
      </w:r>
      <w:r w:rsidR="00BA2564" w:rsidRPr="00904FCB">
        <w:rPr>
          <w:rFonts w:hint="cs"/>
          <w:sz w:val="27"/>
          <w:rtl/>
        </w:rPr>
        <w:t>،</w:t>
      </w:r>
      <w:r w:rsidRPr="00904FCB">
        <w:rPr>
          <w:sz w:val="27"/>
          <w:rtl/>
        </w:rPr>
        <w:t xml:space="preserve"> </w:t>
      </w:r>
      <w:r w:rsidRPr="00904FCB">
        <w:rPr>
          <w:rFonts w:hint="cs"/>
          <w:sz w:val="27"/>
          <w:rtl/>
        </w:rPr>
        <w:t>ثم</w:t>
      </w:r>
      <w:r w:rsidR="00BA2564" w:rsidRPr="00904FCB">
        <w:rPr>
          <w:rFonts w:hint="cs"/>
          <w:sz w:val="27"/>
          <w:rtl/>
        </w:rPr>
        <w:t>ّ</w:t>
      </w:r>
      <w:r w:rsidRPr="00904FCB">
        <w:rPr>
          <w:sz w:val="27"/>
          <w:rtl/>
        </w:rPr>
        <w:t xml:space="preserve"> </w:t>
      </w:r>
      <w:r w:rsidRPr="00904FCB">
        <w:rPr>
          <w:rFonts w:hint="cs"/>
          <w:sz w:val="27"/>
          <w:rtl/>
        </w:rPr>
        <w:t>نقدها</w:t>
      </w:r>
      <w:r w:rsidR="00BA2564" w:rsidRPr="00904FCB">
        <w:rPr>
          <w:rFonts w:hint="cs"/>
          <w:sz w:val="27"/>
          <w:rtl/>
        </w:rPr>
        <w:t>،</w:t>
      </w:r>
      <w:r w:rsidRPr="00904FCB">
        <w:rPr>
          <w:sz w:val="27"/>
          <w:rtl/>
        </w:rPr>
        <w:t xml:space="preserve"> و</w:t>
      </w:r>
      <w:r w:rsidRPr="00904FCB">
        <w:rPr>
          <w:rFonts w:hint="cs"/>
          <w:sz w:val="27"/>
          <w:rtl/>
        </w:rPr>
        <w:t>ب</w:t>
      </w:r>
      <w:r w:rsidRPr="00904FCB">
        <w:rPr>
          <w:rFonts w:ascii="Times New Roman" w:hAnsi="Times New Roman" w:hint="cs"/>
          <w:sz w:val="27"/>
          <w:rtl/>
        </w:rPr>
        <w:t>ي</w:t>
      </w:r>
      <w:r w:rsidRPr="00904FCB">
        <w:rPr>
          <w:rFonts w:hint="cs"/>
          <w:sz w:val="27"/>
          <w:rtl/>
        </w:rPr>
        <w:t>ان</w:t>
      </w:r>
      <w:r w:rsidRPr="00904FCB">
        <w:rPr>
          <w:sz w:val="27"/>
          <w:rtl/>
        </w:rPr>
        <w:t xml:space="preserve"> </w:t>
      </w:r>
      <w:r w:rsidRPr="00904FCB">
        <w:rPr>
          <w:rFonts w:hint="cs"/>
          <w:sz w:val="27"/>
          <w:rtl/>
        </w:rPr>
        <w:t>المختار</w:t>
      </w:r>
      <w:r w:rsidRPr="00904FCB">
        <w:rPr>
          <w:sz w:val="27"/>
          <w:rtl/>
        </w:rPr>
        <w:t xml:space="preserve"> </w:t>
      </w:r>
      <w:r w:rsidRPr="00904FCB">
        <w:rPr>
          <w:rFonts w:hint="cs"/>
          <w:sz w:val="27"/>
          <w:rtl/>
        </w:rPr>
        <w:t>ف</w:t>
      </w:r>
      <w:r w:rsidRPr="00904FCB">
        <w:rPr>
          <w:rFonts w:ascii="Times New Roman" w:hAnsi="Times New Roman" w:hint="cs"/>
          <w:sz w:val="27"/>
          <w:rtl/>
        </w:rPr>
        <w:t>ي</w:t>
      </w:r>
      <w:r w:rsidRPr="00904FCB">
        <w:rPr>
          <w:sz w:val="27"/>
          <w:rtl/>
        </w:rPr>
        <w:t xml:space="preserve"> </w:t>
      </w:r>
      <w:r w:rsidRPr="00904FCB">
        <w:rPr>
          <w:rFonts w:hint="cs"/>
          <w:sz w:val="27"/>
          <w:rtl/>
        </w:rPr>
        <w:t>الموضوع</w:t>
      </w:r>
      <w:r w:rsidR="00BA2564" w:rsidRPr="00904FCB">
        <w:rPr>
          <w:rFonts w:hint="cs"/>
          <w:sz w:val="27"/>
          <w:rtl/>
        </w:rPr>
        <w:t>،</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الأدلة</w:t>
      </w:r>
      <w:r w:rsidRPr="00904FCB">
        <w:rPr>
          <w:sz w:val="27"/>
          <w:rtl/>
        </w:rPr>
        <w:t xml:space="preserve"> </w:t>
      </w:r>
      <w:r w:rsidRPr="00904FCB">
        <w:rPr>
          <w:rFonts w:hint="cs"/>
          <w:sz w:val="27"/>
          <w:rtl/>
        </w:rPr>
        <w:t>القرآن</w:t>
      </w:r>
      <w:r w:rsidRPr="00904FCB">
        <w:rPr>
          <w:rFonts w:ascii="Times New Roman" w:hAnsi="Times New Roman" w:hint="cs"/>
          <w:sz w:val="27"/>
          <w:rtl/>
        </w:rPr>
        <w:t>ي</w:t>
      </w:r>
      <w:r w:rsidRPr="00904FCB">
        <w:rPr>
          <w:rFonts w:hint="cs"/>
          <w:sz w:val="27"/>
          <w:rtl/>
        </w:rPr>
        <w:t>ة</w:t>
      </w:r>
      <w:r w:rsidRPr="00904FCB">
        <w:rPr>
          <w:sz w:val="27"/>
          <w:rtl/>
        </w:rPr>
        <w:t xml:space="preserve"> و</w:t>
      </w:r>
      <w:r w:rsidRPr="00904FCB">
        <w:rPr>
          <w:rFonts w:hint="cs"/>
          <w:sz w:val="27"/>
          <w:rtl/>
        </w:rPr>
        <w:t>الروائ</w:t>
      </w:r>
      <w:r w:rsidRPr="00904FCB">
        <w:rPr>
          <w:rFonts w:ascii="Times New Roman" w:hAnsi="Times New Roman" w:hint="cs"/>
          <w:sz w:val="27"/>
          <w:rtl/>
        </w:rPr>
        <w:t>ي</w:t>
      </w:r>
      <w:r w:rsidRPr="00904FCB">
        <w:rPr>
          <w:rFonts w:hint="cs"/>
          <w:sz w:val="27"/>
          <w:rtl/>
        </w:rPr>
        <w:t>ة</w:t>
      </w:r>
      <w:r w:rsidRPr="00904FCB">
        <w:rPr>
          <w:sz w:val="27"/>
          <w:rtl/>
        </w:rPr>
        <w:t xml:space="preserve"> و</w:t>
      </w:r>
      <w:r w:rsidRPr="00904FCB">
        <w:rPr>
          <w:rFonts w:hint="cs"/>
          <w:sz w:val="27"/>
          <w:rtl/>
        </w:rPr>
        <w:t>العقل</w:t>
      </w:r>
      <w:r w:rsidRPr="00904FCB">
        <w:rPr>
          <w:rFonts w:ascii="Times New Roman" w:hAnsi="Times New Roman" w:hint="cs"/>
          <w:sz w:val="27"/>
          <w:rtl/>
        </w:rPr>
        <w:t>ي</w:t>
      </w:r>
      <w:r w:rsidRPr="00904FCB">
        <w:rPr>
          <w:rFonts w:hint="cs"/>
          <w:sz w:val="27"/>
          <w:rtl/>
        </w:rPr>
        <w:t>ة</w:t>
      </w:r>
      <w:r w:rsidRPr="00904FCB">
        <w:rPr>
          <w:sz w:val="27"/>
          <w:rtl/>
        </w:rPr>
        <w:t xml:space="preserve">. </w:t>
      </w:r>
    </w:p>
    <w:p w:rsidR="00F34FB9" w:rsidRPr="00904FCB" w:rsidRDefault="00F34FB9" w:rsidP="008649D2">
      <w:pPr>
        <w:ind w:firstLine="561"/>
        <w:rPr>
          <w:sz w:val="27"/>
          <w:rtl/>
        </w:rPr>
      </w:pPr>
      <w:r w:rsidRPr="00904FCB">
        <w:rPr>
          <w:rFonts w:hint="cs"/>
          <w:sz w:val="27"/>
          <w:rtl/>
        </w:rPr>
        <w:t>والسؤال</w:t>
      </w:r>
      <w:r w:rsidRPr="00904FCB">
        <w:rPr>
          <w:sz w:val="27"/>
          <w:rtl/>
        </w:rPr>
        <w:t xml:space="preserve"> </w:t>
      </w:r>
      <w:r w:rsidRPr="00904FCB">
        <w:rPr>
          <w:rFonts w:hint="cs"/>
          <w:sz w:val="27"/>
          <w:rtl/>
        </w:rPr>
        <w:t>الذ</w:t>
      </w:r>
      <w:r w:rsidRPr="00904FCB">
        <w:rPr>
          <w:rFonts w:ascii="Times New Roman" w:hAnsi="Times New Roman" w:hint="cs"/>
          <w:sz w:val="27"/>
          <w:rtl/>
        </w:rPr>
        <w:t>ي</w:t>
      </w:r>
      <w:r w:rsidRPr="00904FCB">
        <w:rPr>
          <w:sz w:val="27"/>
          <w:rtl/>
        </w:rPr>
        <w:t xml:space="preserve"> </w:t>
      </w:r>
      <w:r w:rsidRPr="00904FCB">
        <w:rPr>
          <w:rFonts w:ascii="Times New Roman" w:hAnsi="Times New Roman" w:hint="cs"/>
          <w:sz w:val="27"/>
          <w:rtl/>
        </w:rPr>
        <w:t>ي</w:t>
      </w:r>
      <w:r w:rsidRPr="00904FCB">
        <w:rPr>
          <w:rFonts w:hint="cs"/>
          <w:sz w:val="27"/>
          <w:rtl/>
        </w:rPr>
        <w:t>طرح</w:t>
      </w:r>
      <w:r w:rsidRPr="00904FCB">
        <w:rPr>
          <w:sz w:val="27"/>
          <w:rtl/>
        </w:rPr>
        <w:t xml:space="preserve"> </w:t>
      </w:r>
      <w:r w:rsidRPr="00904FCB">
        <w:rPr>
          <w:rFonts w:hint="cs"/>
          <w:sz w:val="27"/>
          <w:rtl/>
        </w:rPr>
        <w:t>نفسه</w:t>
      </w:r>
      <w:r w:rsidRPr="00904FCB">
        <w:rPr>
          <w:sz w:val="27"/>
          <w:rtl/>
        </w:rPr>
        <w:t xml:space="preserve"> </w:t>
      </w:r>
      <w:r w:rsidRPr="00904FCB">
        <w:rPr>
          <w:rFonts w:hint="cs"/>
          <w:sz w:val="27"/>
          <w:rtl/>
        </w:rPr>
        <w:t>هنا</w:t>
      </w:r>
      <w:r w:rsidR="00BA2564" w:rsidRPr="00904FCB">
        <w:rPr>
          <w:rFonts w:hint="cs"/>
          <w:sz w:val="27"/>
          <w:rtl/>
        </w:rPr>
        <w:t>:</w:t>
      </w:r>
      <w:r w:rsidRPr="00904FCB">
        <w:rPr>
          <w:sz w:val="27"/>
          <w:rtl/>
        </w:rPr>
        <w:t xml:space="preserve"> </w:t>
      </w:r>
      <w:r w:rsidRPr="00904FCB">
        <w:rPr>
          <w:rFonts w:hint="cs"/>
          <w:sz w:val="27"/>
          <w:rtl/>
        </w:rPr>
        <w:t>هل</w:t>
      </w:r>
      <w:r w:rsidRPr="00904FCB">
        <w:rPr>
          <w:sz w:val="27"/>
          <w:rtl/>
        </w:rPr>
        <w:t xml:space="preserve"> </w:t>
      </w:r>
      <w:r w:rsidR="00BA2564" w:rsidRPr="00904FCB">
        <w:rPr>
          <w:rFonts w:hint="cs"/>
          <w:sz w:val="27"/>
          <w:rtl/>
        </w:rPr>
        <w:t>إ</w:t>
      </w:r>
      <w:r w:rsidRPr="00904FCB">
        <w:rPr>
          <w:rFonts w:hint="cs"/>
          <w:sz w:val="27"/>
          <w:rtl/>
        </w:rPr>
        <w:t>ذ</w:t>
      </w:r>
      <w:r w:rsidR="00BA2564" w:rsidRPr="00904FCB">
        <w:rPr>
          <w:rFonts w:hint="cs"/>
          <w:sz w:val="27"/>
          <w:rtl/>
        </w:rPr>
        <w:t>ا</w:t>
      </w:r>
      <w:r w:rsidRPr="00904FCB">
        <w:rPr>
          <w:rFonts w:hint="cs"/>
          <w:sz w:val="27"/>
          <w:rtl/>
        </w:rPr>
        <w:t xml:space="preserve"> كان ال</w:t>
      </w:r>
      <w:r w:rsidR="00BA2564" w:rsidRPr="00904FCB">
        <w:rPr>
          <w:rFonts w:hint="cs"/>
          <w:sz w:val="27"/>
          <w:rtl/>
        </w:rPr>
        <w:t>إ</w:t>
      </w:r>
      <w:r w:rsidRPr="00904FCB">
        <w:rPr>
          <w:rFonts w:hint="cs"/>
          <w:sz w:val="27"/>
          <w:rtl/>
        </w:rPr>
        <w:t xml:space="preserve">نسان غير مسلم </w:t>
      </w:r>
      <w:r w:rsidR="00BA2564" w:rsidRPr="00904FCB">
        <w:rPr>
          <w:rFonts w:hint="cs"/>
          <w:sz w:val="27"/>
          <w:rtl/>
        </w:rPr>
        <w:t xml:space="preserve">فهو </w:t>
      </w:r>
      <w:r w:rsidRPr="00904FCB">
        <w:rPr>
          <w:rFonts w:hint="cs"/>
          <w:sz w:val="27"/>
          <w:rtl/>
        </w:rPr>
        <w:t>نجسٌ بذاته؟ وهل</w:t>
      </w:r>
      <w:r w:rsidRPr="00904FCB">
        <w:rPr>
          <w:sz w:val="27"/>
          <w:rtl/>
        </w:rPr>
        <w:t xml:space="preserve"> </w:t>
      </w:r>
      <w:r w:rsidRPr="00904FCB">
        <w:rPr>
          <w:rFonts w:ascii="Times New Roman" w:hAnsi="Times New Roman" w:hint="cs"/>
          <w:sz w:val="27"/>
          <w:rtl/>
        </w:rPr>
        <w:t>ي</w:t>
      </w:r>
      <w:r w:rsidRPr="00904FCB">
        <w:rPr>
          <w:rFonts w:hint="cs"/>
          <w:sz w:val="27"/>
          <w:rtl/>
        </w:rPr>
        <w:t>مكن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نعالج</w:t>
      </w:r>
      <w:r w:rsidRPr="00904FCB">
        <w:rPr>
          <w:sz w:val="27"/>
          <w:rtl/>
        </w:rPr>
        <w:t xml:space="preserve"> </w:t>
      </w:r>
      <w:r w:rsidRPr="00904FCB">
        <w:rPr>
          <w:rFonts w:hint="cs"/>
          <w:sz w:val="27"/>
          <w:rtl/>
        </w:rPr>
        <w:t>الأدل</w:t>
      </w:r>
      <w:r w:rsidR="00BA2564"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تحكم</w:t>
      </w:r>
      <w:r w:rsidRPr="00904FCB">
        <w:rPr>
          <w:sz w:val="27"/>
          <w:rtl/>
        </w:rPr>
        <w:t xml:space="preserve"> </w:t>
      </w:r>
      <w:r w:rsidRPr="00904FCB">
        <w:rPr>
          <w:rFonts w:hint="cs"/>
          <w:sz w:val="27"/>
          <w:rtl/>
        </w:rPr>
        <w:t>بنجاسة</w:t>
      </w:r>
      <w:r w:rsidRPr="00904FCB">
        <w:rPr>
          <w:sz w:val="27"/>
          <w:rtl/>
        </w:rPr>
        <w:t xml:space="preserve"> </w:t>
      </w:r>
      <w:r w:rsidRPr="00904FCB">
        <w:rPr>
          <w:rFonts w:hint="cs"/>
          <w:sz w:val="27"/>
          <w:rtl/>
        </w:rPr>
        <w:t xml:space="preserve">الإنسان؟ </w:t>
      </w:r>
    </w:p>
    <w:p w:rsidR="00F34FB9" w:rsidRPr="00904FCB" w:rsidRDefault="00F34FB9" w:rsidP="00F14321">
      <w:pPr>
        <w:spacing w:line="380" w:lineRule="exact"/>
        <w:ind w:firstLine="561"/>
        <w:rPr>
          <w:sz w:val="27"/>
          <w:rtl/>
        </w:rPr>
      </w:pPr>
      <w:r w:rsidRPr="00904FCB">
        <w:rPr>
          <w:rFonts w:hint="cs"/>
          <w:sz w:val="27"/>
          <w:rtl/>
        </w:rPr>
        <w:t xml:space="preserve">مع أن الفقهاء </w:t>
      </w:r>
      <w:r w:rsidRPr="00904FCB">
        <w:rPr>
          <w:rFonts w:ascii="Times New Roman" w:hAnsi="Times New Roman" w:hint="cs"/>
          <w:sz w:val="27"/>
          <w:rtl/>
        </w:rPr>
        <w:t>ي</w:t>
      </w:r>
      <w:r w:rsidRPr="00904FCB">
        <w:rPr>
          <w:rFonts w:hint="cs"/>
          <w:sz w:val="27"/>
          <w:rtl/>
        </w:rPr>
        <w:t>ج</w:t>
      </w:r>
      <w:r w:rsidRPr="00904FCB">
        <w:rPr>
          <w:rFonts w:ascii="Times New Roman" w:hAnsi="Times New Roman" w:hint="cs"/>
          <w:sz w:val="27"/>
          <w:rtl/>
        </w:rPr>
        <w:t>ي</w:t>
      </w:r>
      <w:r w:rsidRPr="00904FCB">
        <w:rPr>
          <w:rFonts w:hint="cs"/>
          <w:sz w:val="27"/>
          <w:rtl/>
        </w:rPr>
        <w:t>بون عن هذه الأسئلة</w:t>
      </w:r>
      <w:r w:rsidR="00BA2564" w:rsidRPr="00904FCB">
        <w:rPr>
          <w:rFonts w:hint="cs"/>
          <w:sz w:val="27"/>
          <w:rtl/>
        </w:rPr>
        <w:t>،</w:t>
      </w:r>
      <w:r w:rsidRPr="00904FCB">
        <w:rPr>
          <w:rFonts w:hint="cs"/>
          <w:sz w:val="27"/>
          <w:rtl/>
        </w:rPr>
        <w:t xml:space="preserve"> و</w:t>
      </w:r>
      <w:r w:rsidRPr="00904FCB">
        <w:rPr>
          <w:rFonts w:ascii="Times New Roman" w:hAnsi="Times New Roman" w:hint="cs"/>
          <w:sz w:val="27"/>
          <w:rtl/>
        </w:rPr>
        <w:t>ي</w:t>
      </w:r>
      <w:r w:rsidRPr="00904FCB">
        <w:rPr>
          <w:rFonts w:hint="cs"/>
          <w:sz w:val="27"/>
          <w:rtl/>
        </w:rPr>
        <w:t>طرحون مسألة نجاسة أو طهارة أهل الكتاب بطرق</w:t>
      </w:r>
      <w:r w:rsidR="00BA2564" w:rsidRPr="00904FCB">
        <w:rPr>
          <w:rFonts w:hint="cs"/>
          <w:sz w:val="27"/>
          <w:rtl/>
        </w:rPr>
        <w:t>ٍ</w:t>
      </w:r>
      <w:r w:rsidRPr="00904FCB">
        <w:rPr>
          <w:rFonts w:hint="cs"/>
          <w:sz w:val="27"/>
          <w:rtl/>
        </w:rPr>
        <w:t xml:space="preserve"> مختلفة كمس</w:t>
      </w:r>
      <w:r w:rsidR="00BA2564" w:rsidRPr="00904FCB">
        <w:rPr>
          <w:rFonts w:hint="cs"/>
          <w:sz w:val="27"/>
          <w:rtl/>
        </w:rPr>
        <w:t>أ</w:t>
      </w:r>
      <w:r w:rsidRPr="00904FCB">
        <w:rPr>
          <w:rFonts w:hint="cs"/>
          <w:sz w:val="27"/>
          <w:rtl/>
        </w:rPr>
        <w:t>لة</w:t>
      </w:r>
      <w:r w:rsidR="00BA2564" w:rsidRPr="00904FCB">
        <w:rPr>
          <w:rFonts w:hint="cs"/>
          <w:sz w:val="27"/>
          <w:rtl/>
        </w:rPr>
        <w:t>ٍ</w:t>
      </w:r>
      <w:r w:rsidRPr="00904FCB">
        <w:rPr>
          <w:rFonts w:hint="cs"/>
          <w:sz w:val="27"/>
          <w:rtl/>
        </w:rPr>
        <w:t xml:space="preserve"> من المسائل الشرع</w:t>
      </w:r>
      <w:r w:rsidRPr="00904FCB">
        <w:rPr>
          <w:rFonts w:ascii="Times New Roman" w:hAnsi="Times New Roman" w:hint="cs"/>
          <w:sz w:val="27"/>
          <w:rtl/>
        </w:rPr>
        <w:t>ي</w:t>
      </w:r>
      <w:r w:rsidRPr="00904FCB">
        <w:rPr>
          <w:rFonts w:hint="cs"/>
          <w:sz w:val="27"/>
          <w:rtl/>
        </w:rPr>
        <w:t>ة</w:t>
      </w:r>
      <w:r w:rsidR="00BA2564" w:rsidRPr="00904FCB">
        <w:rPr>
          <w:rFonts w:hint="cs"/>
          <w:sz w:val="27"/>
          <w:rtl/>
        </w:rPr>
        <w:t>،</w:t>
      </w:r>
      <w:r w:rsidRPr="00904FCB">
        <w:rPr>
          <w:rFonts w:hint="cs"/>
          <w:sz w:val="27"/>
          <w:rtl/>
        </w:rPr>
        <w:t xml:space="preserve"> أو بشكل بحث</w:t>
      </w:r>
      <w:r w:rsidR="00BA2564" w:rsidRPr="00904FCB">
        <w:rPr>
          <w:rFonts w:hint="cs"/>
          <w:sz w:val="27"/>
          <w:rtl/>
        </w:rPr>
        <w:t>ٍ</w:t>
      </w:r>
      <w:r w:rsidRPr="00904FCB">
        <w:rPr>
          <w:rFonts w:hint="cs"/>
          <w:sz w:val="27"/>
          <w:rtl/>
        </w:rPr>
        <w:t xml:space="preserve"> مستقل</w:t>
      </w:r>
      <w:r w:rsidR="00BA2564" w:rsidRPr="00904FCB">
        <w:rPr>
          <w:rFonts w:hint="cs"/>
          <w:sz w:val="27"/>
          <w:rtl/>
        </w:rPr>
        <w:t>ّ،</w:t>
      </w:r>
      <w:r w:rsidRPr="00904FCB">
        <w:rPr>
          <w:rFonts w:hint="cs"/>
          <w:sz w:val="27"/>
          <w:rtl/>
        </w:rPr>
        <w:t xml:space="preserve"> </w:t>
      </w:r>
      <w:r w:rsidR="00BA2564" w:rsidRPr="00904FCB">
        <w:rPr>
          <w:rFonts w:hint="cs"/>
          <w:sz w:val="27"/>
          <w:rtl/>
        </w:rPr>
        <w:t>فإنّ</w:t>
      </w:r>
      <w:r w:rsidRPr="00904FCB">
        <w:rPr>
          <w:rFonts w:hint="cs"/>
          <w:sz w:val="27"/>
          <w:rtl/>
        </w:rPr>
        <w:t xml:space="preserve"> هذا البحث </w:t>
      </w:r>
      <w:r w:rsidRPr="00904FCB">
        <w:rPr>
          <w:rFonts w:ascii="Times New Roman" w:hAnsi="Times New Roman" w:hint="cs"/>
          <w:sz w:val="27"/>
          <w:rtl/>
        </w:rPr>
        <w:t>ي</w:t>
      </w:r>
      <w:r w:rsidRPr="00904FCB">
        <w:rPr>
          <w:rFonts w:hint="cs"/>
          <w:sz w:val="27"/>
          <w:rtl/>
        </w:rPr>
        <w:t>طرح هذه المسألة من وجهة نظر أخر</w:t>
      </w:r>
      <w:r w:rsidR="00BA2564" w:rsidRPr="00904FCB">
        <w:rPr>
          <w:rFonts w:ascii="Times New Roman" w:hAnsi="Times New Roman" w:hint="cs"/>
          <w:sz w:val="27"/>
          <w:rtl/>
        </w:rPr>
        <w:t>ى،</w:t>
      </w:r>
      <w:r w:rsidRPr="00904FCB">
        <w:rPr>
          <w:rFonts w:hint="cs"/>
          <w:sz w:val="27"/>
          <w:rtl/>
        </w:rPr>
        <w:t xml:space="preserve"> وهي عرض الأدلة القرآن</w:t>
      </w:r>
      <w:r w:rsidRPr="00904FCB">
        <w:rPr>
          <w:rFonts w:ascii="Times New Roman" w:hAnsi="Times New Roman" w:hint="cs"/>
          <w:sz w:val="27"/>
          <w:rtl/>
        </w:rPr>
        <w:t>ي</w:t>
      </w:r>
      <w:r w:rsidRPr="00904FCB">
        <w:rPr>
          <w:rFonts w:hint="cs"/>
          <w:sz w:val="27"/>
          <w:rtl/>
        </w:rPr>
        <w:t>ة والروائ</w:t>
      </w:r>
      <w:r w:rsidRPr="00904FCB">
        <w:rPr>
          <w:rFonts w:ascii="Times New Roman" w:hAnsi="Times New Roman" w:hint="cs"/>
          <w:sz w:val="27"/>
          <w:rtl/>
        </w:rPr>
        <w:t>ي</w:t>
      </w:r>
      <w:r w:rsidRPr="00904FCB">
        <w:rPr>
          <w:rFonts w:hint="cs"/>
          <w:sz w:val="27"/>
          <w:rtl/>
        </w:rPr>
        <w:t>ة في نجاسة أهل الكتاب تفص</w:t>
      </w:r>
      <w:r w:rsidRPr="00904FCB">
        <w:rPr>
          <w:rFonts w:ascii="Times New Roman" w:hAnsi="Times New Roman" w:hint="cs"/>
          <w:sz w:val="27"/>
          <w:rtl/>
        </w:rPr>
        <w:t>ي</w:t>
      </w:r>
      <w:r w:rsidRPr="00904FCB">
        <w:rPr>
          <w:rFonts w:hint="cs"/>
          <w:sz w:val="27"/>
          <w:rtl/>
        </w:rPr>
        <w:t>لا</w:t>
      </w:r>
      <w:r w:rsidR="00BA2564" w:rsidRPr="00904FCB">
        <w:rPr>
          <w:rFonts w:hint="cs"/>
          <w:sz w:val="27"/>
          <w:rtl/>
        </w:rPr>
        <w:t>ً</w:t>
      </w:r>
      <w:r w:rsidRPr="00904FCB">
        <w:rPr>
          <w:rFonts w:hint="cs"/>
          <w:sz w:val="27"/>
          <w:rtl/>
        </w:rPr>
        <w:t>، ثم</w:t>
      </w:r>
      <w:r w:rsidR="00BA2564" w:rsidRPr="00904FCB">
        <w:rPr>
          <w:rFonts w:hint="cs"/>
          <w:sz w:val="27"/>
          <w:rtl/>
        </w:rPr>
        <w:t>ّ</w:t>
      </w:r>
      <w:r w:rsidRPr="00904FCB">
        <w:rPr>
          <w:rFonts w:hint="cs"/>
          <w:sz w:val="27"/>
          <w:rtl/>
        </w:rPr>
        <w:t xml:space="preserve"> نقدها بالأدلة القرآن</w:t>
      </w:r>
      <w:r w:rsidRPr="00904FCB">
        <w:rPr>
          <w:rFonts w:ascii="Times New Roman" w:hAnsi="Times New Roman" w:hint="cs"/>
          <w:sz w:val="27"/>
          <w:rtl/>
        </w:rPr>
        <w:t>ي</w:t>
      </w:r>
      <w:r w:rsidRPr="00904FCB">
        <w:rPr>
          <w:rFonts w:hint="cs"/>
          <w:sz w:val="27"/>
          <w:rtl/>
        </w:rPr>
        <w:t>ة والروائ</w:t>
      </w:r>
      <w:r w:rsidRPr="00904FCB">
        <w:rPr>
          <w:rFonts w:ascii="Times New Roman" w:hAnsi="Times New Roman" w:hint="cs"/>
          <w:sz w:val="27"/>
          <w:rtl/>
        </w:rPr>
        <w:t>ي</w:t>
      </w:r>
      <w:r w:rsidRPr="00904FCB">
        <w:rPr>
          <w:rFonts w:hint="cs"/>
          <w:sz w:val="27"/>
          <w:rtl/>
        </w:rPr>
        <w:t xml:space="preserve">ة. </w:t>
      </w:r>
    </w:p>
    <w:p w:rsidR="00F34FB9" w:rsidRPr="00904FCB" w:rsidRDefault="00F34FB9" w:rsidP="00F14321">
      <w:pPr>
        <w:spacing w:line="380" w:lineRule="exact"/>
        <w:ind w:firstLine="561"/>
        <w:rPr>
          <w:sz w:val="27"/>
          <w:rtl/>
        </w:rPr>
      </w:pPr>
    </w:p>
    <w:p w:rsidR="00F34FB9" w:rsidRPr="00904FCB" w:rsidRDefault="00F34FB9" w:rsidP="007A21AA">
      <w:pPr>
        <w:pStyle w:val="31"/>
        <w:spacing w:line="400" w:lineRule="exact"/>
        <w:rPr>
          <w:color w:val="auto"/>
          <w:rtl/>
        </w:rPr>
      </w:pPr>
      <w:r w:rsidRPr="00904FCB">
        <w:rPr>
          <w:rFonts w:hint="cs"/>
          <w:color w:val="auto"/>
          <w:rtl/>
        </w:rPr>
        <w:t>أدلة الفقهاء على نجاسة أهل الكتاب</w:t>
      </w:r>
    </w:p>
    <w:p w:rsidR="00F34FB9" w:rsidRPr="00904FCB" w:rsidRDefault="00F34FB9" w:rsidP="007A21AA">
      <w:pPr>
        <w:pStyle w:val="31"/>
        <w:spacing w:line="400" w:lineRule="exact"/>
        <w:rPr>
          <w:color w:val="auto"/>
          <w:rtl/>
        </w:rPr>
      </w:pPr>
      <w:r w:rsidRPr="00904FCB">
        <w:rPr>
          <w:rFonts w:hint="cs"/>
          <w:color w:val="auto"/>
          <w:rtl/>
        </w:rPr>
        <w:t>أو</w:t>
      </w:r>
      <w:r w:rsidR="00BA2564" w:rsidRPr="00904FCB">
        <w:rPr>
          <w:rFonts w:hint="cs"/>
          <w:color w:val="auto"/>
          <w:rtl/>
        </w:rPr>
        <w:t>ّ</w:t>
      </w:r>
      <w:r w:rsidRPr="00904FCB">
        <w:rPr>
          <w:rFonts w:hint="cs"/>
          <w:color w:val="auto"/>
          <w:rtl/>
        </w:rPr>
        <w:t>لاً</w:t>
      </w:r>
      <w:r w:rsidRPr="00904FCB">
        <w:rPr>
          <w:color w:val="auto"/>
          <w:rtl/>
        </w:rPr>
        <w:t xml:space="preserve">: </w:t>
      </w:r>
      <w:r w:rsidRPr="00904FCB">
        <w:rPr>
          <w:rFonts w:hint="cs"/>
          <w:color w:val="auto"/>
          <w:rtl/>
        </w:rPr>
        <w:t>الاستدلال</w:t>
      </w:r>
      <w:r w:rsidRPr="00904FCB">
        <w:rPr>
          <w:color w:val="auto"/>
          <w:rtl/>
        </w:rPr>
        <w:t xml:space="preserve"> </w:t>
      </w:r>
      <w:r w:rsidRPr="00904FCB">
        <w:rPr>
          <w:rFonts w:hint="cs"/>
          <w:color w:val="auto"/>
          <w:rtl/>
        </w:rPr>
        <w:t>على</w:t>
      </w:r>
      <w:r w:rsidRPr="00904FCB">
        <w:rPr>
          <w:color w:val="auto"/>
          <w:rtl/>
        </w:rPr>
        <w:t xml:space="preserve"> </w:t>
      </w:r>
      <w:r w:rsidRPr="00904FCB">
        <w:rPr>
          <w:rFonts w:hint="cs"/>
          <w:color w:val="auto"/>
          <w:rtl/>
        </w:rPr>
        <w:t>نجاسة</w:t>
      </w:r>
      <w:r w:rsidRPr="00904FCB">
        <w:rPr>
          <w:color w:val="auto"/>
          <w:rtl/>
        </w:rPr>
        <w:t xml:space="preserve"> </w:t>
      </w:r>
      <w:r w:rsidRPr="00904FCB">
        <w:rPr>
          <w:rFonts w:hint="cs"/>
          <w:color w:val="auto"/>
          <w:rtl/>
        </w:rPr>
        <w:t>أهل</w:t>
      </w:r>
      <w:r w:rsidRPr="00904FCB">
        <w:rPr>
          <w:color w:val="auto"/>
          <w:rtl/>
        </w:rPr>
        <w:t xml:space="preserve"> </w:t>
      </w:r>
      <w:r w:rsidRPr="00904FCB">
        <w:rPr>
          <w:rFonts w:hint="cs"/>
          <w:color w:val="auto"/>
          <w:rtl/>
        </w:rPr>
        <w:t>الكتاب</w:t>
      </w:r>
      <w:r w:rsidRPr="00904FCB">
        <w:rPr>
          <w:color w:val="auto"/>
          <w:rtl/>
        </w:rPr>
        <w:t xml:space="preserve"> </w:t>
      </w:r>
      <w:r w:rsidRPr="00904FCB">
        <w:rPr>
          <w:rFonts w:hint="cs"/>
          <w:color w:val="auto"/>
          <w:rtl/>
        </w:rPr>
        <w:t>بالكتاب</w:t>
      </w:r>
    </w:p>
    <w:p w:rsidR="00F34FB9" w:rsidRPr="00904FCB" w:rsidRDefault="00F34FB9" w:rsidP="00F14321">
      <w:pPr>
        <w:spacing w:line="380" w:lineRule="exact"/>
        <w:ind w:firstLine="561"/>
        <w:rPr>
          <w:b/>
          <w:bCs/>
          <w:sz w:val="27"/>
          <w:rtl/>
        </w:rPr>
      </w:pPr>
      <w:r w:rsidRPr="006333E0">
        <w:rPr>
          <w:rFonts w:cs="Ya-Ali" w:hint="cs"/>
          <w:sz w:val="27"/>
          <w:rtl/>
          <w:lang w:bidi="ar-LB"/>
        </w:rPr>
        <w:t>1</w:t>
      </w:r>
      <w:r w:rsidRPr="00904FCB">
        <w:rPr>
          <w:rFonts w:hint="cs"/>
          <w:sz w:val="27"/>
          <w:rtl/>
          <w:lang w:bidi="ar-LB"/>
        </w:rPr>
        <w:t xml:space="preserve">ـ </w:t>
      </w:r>
      <w:r w:rsidRPr="00904FCB">
        <w:rPr>
          <w:rFonts w:hint="cs"/>
          <w:sz w:val="27"/>
          <w:rtl/>
        </w:rPr>
        <w:t>استدلّ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بقوله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سورة</w:t>
      </w:r>
      <w:r w:rsidRPr="00904FCB">
        <w:rPr>
          <w:sz w:val="27"/>
          <w:rtl/>
        </w:rPr>
        <w:t xml:space="preserve"> </w:t>
      </w:r>
      <w:r w:rsidRPr="00904FCB">
        <w:rPr>
          <w:rFonts w:hint="cs"/>
          <w:sz w:val="27"/>
          <w:rtl/>
        </w:rPr>
        <w:t>التوبة</w:t>
      </w:r>
      <w:r w:rsidRPr="00904FCB">
        <w:rPr>
          <w:sz w:val="27"/>
          <w:rtl/>
        </w:rPr>
        <w:t xml:space="preserve">: </w:t>
      </w:r>
      <w:r w:rsidRPr="00904FCB">
        <w:rPr>
          <w:rFonts w:ascii="Mosawi" w:hAnsi="Mosawi" w:cs="Mosawi"/>
          <w:sz w:val="24"/>
          <w:szCs w:val="24"/>
          <w:rtl/>
        </w:rPr>
        <w:t>﴿</w:t>
      </w:r>
      <w:r w:rsidR="007337F3" w:rsidRPr="00904FCB">
        <w:rPr>
          <w:rFonts w:ascii="Arial" w:hAnsi="Arial" w:hint="cs"/>
          <w:b/>
          <w:bCs/>
          <w:sz w:val="27"/>
          <w:rtl/>
          <w:lang w:bidi="ar-LB"/>
        </w:rPr>
        <w:t xml:space="preserve">يَا </w:t>
      </w:r>
      <w:r w:rsidR="007337F3" w:rsidRPr="00904FCB">
        <w:rPr>
          <w:rFonts w:hint="cs"/>
          <w:b/>
          <w:bCs/>
          <w:sz w:val="27"/>
          <w:rtl/>
        </w:rPr>
        <w:t>أَيُّ</w:t>
      </w:r>
      <w:r w:rsidRPr="00904FCB">
        <w:rPr>
          <w:rFonts w:hint="cs"/>
          <w:b/>
          <w:bCs/>
          <w:sz w:val="27"/>
          <w:rtl/>
        </w:rPr>
        <w:t>هَا</w:t>
      </w:r>
      <w:r w:rsidRPr="00904FCB">
        <w:rPr>
          <w:b/>
          <w:bCs/>
          <w:sz w:val="27"/>
          <w:rtl/>
        </w:rPr>
        <w:t xml:space="preserve"> </w:t>
      </w:r>
      <w:r w:rsidRPr="00904FCB">
        <w:rPr>
          <w:rFonts w:hint="cs"/>
          <w:b/>
          <w:bCs/>
          <w:sz w:val="27"/>
          <w:rtl/>
        </w:rPr>
        <w:t>الَّذ</w:t>
      </w:r>
      <w:r w:rsidR="007337F3" w:rsidRPr="00904FCB">
        <w:rPr>
          <w:rFonts w:hint="cs"/>
          <w:b/>
          <w:bCs/>
          <w:sz w:val="27"/>
          <w:rtl/>
        </w:rPr>
        <w:t>ِ</w:t>
      </w:r>
      <w:r w:rsidRPr="00904FCB">
        <w:rPr>
          <w:rFonts w:hint="cs"/>
          <w:b/>
          <w:bCs/>
          <w:sz w:val="27"/>
          <w:rtl/>
        </w:rPr>
        <w:t>ينَ</w:t>
      </w:r>
      <w:r w:rsidRPr="00904FCB">
        <w:rPr>
          <w:b/>
          <w:bCs/>
          <w:sz w:val="27"/>
          <w:rtl/>
        </w:rPr>
        <w:t xml:space="preserve"> </w:t>
      </w:r>
      <w:r w:rsidRPr="00904FCB">
        <w:rPr>
          <w:rFonts w:hint="cs"/>
          <w:b/>
          <w:bCs/>
          <w:sz w:val="27"/>
          <w:rtl/>
        </w:rPr>
        <w:t>آمَنُوا</w:t>
      </w:r>
      <w:r w:rsidRPr="00904FCB">
        <w:rPr>
          <w:b/>
          <w:bCs/>
          <w:sz w:val="27"/>
          <w:rtl/>
        </w:rPr>
        <w:t xml:space="preserve"> </w:t>
      </w:r>
      <w:r w:rsidRPr="00904FCB">
        <w:rPr>
          <w:rFonts w:hint="cs"/>
          <w:b/>
          <w:bCs/>
          <w:sz w:val="27"/>
          <w:rtl/>
        </w:rPr>
        <w:t>إِنَّمَا</w:t>
      </w:r>
      <w:r w:rsidRPr="00904FCB">
        <w:rPr>
          <w:b/>
          <w:bCs/>
          <w:sz w:val="27"/>
          <w:rtl/>
        </w:rPr>
        <w:t xml:space="preserve"> </w:t>
      </w:r>
      <w:r w:rsidRPr="00904FCB">
        <w:rPr>
          <w:rFonts w:hint="cs"/>
          <w:b/>
          <w:bCs/>
          <w:sz w:val="27"/>
          <w:rtl/>
        </w:rPr>
        <w:t>الْمُشْرِكُونَ</w:t>
      </w:r>
      <w:r w:rsidRPr="00904FCB">
        <w:rPr>
          <w:b/>
          <w:bCs/>
          <w:sz w:val="27"/>
          <w:rtl/>
        </w:rPr>
        <w:t xml:space="preserve"> </w:t>
      </w:r>
      <w:r w:rsidRPr="00904FCB">
        <w:rPr>
          <w:rFonts w:hint="cs"/>
          <w:b/>
          <w:bCs/>
          <w:sz w:val="27"/>
          <w:rtl/>
        </w:rPr>
        <w:t>نَجَسٌ</w:t>
      </w:r>
      <w:r w:rsidRPr="00904FCB">
        <w:rPr>
          <w:b/>
          <w:bCs/>
          <w:sz w:val="27"/>
          <w:rtl/>
        </w:rPr>
        <w:t xml:space="preserve"> </w:t>
      </w:r>
      <w:r w:rsidRPr="00904FCB">
        <w:rPr>
          <w:rFonts w:hint="cs"/>
          <w:b/>
          <w:bCs/>
          <w:sz w:val="27"/>
          <w:rtl/>
        </w:rPr>
        <w:t>فَلا</w:t>
      </w:r>
      <w:r w:rsidRPr="00904FCB">
        <w:rPr>
          <w:b/>
          <w:bCs/>
          <w:sz w:val="27"/>
          <w:rtl/>
        </w:rPr>
        <w:t xml:space="preserve"> </w:t>
      </w:r>
      <w:r w:rsidRPr="00904FCB">
        <w:rPr>
          <w:rFonts w:hint="cs"/>
          <w:b/>
          <w:bCs/>
          <w:sz w:val="27"/>
          <w:rtl/>
        </w:rPr>
        <w:t>يَقْرَبُوا</w:t>
      </w:r>
      <w:r w:rsidRPr="00904FCB">
        <w:rPr>
          <w:b/>
          <w:bCs/>
          <w:sz w:val="27"/>
          <w:rtl/>
        </w:rPr>
        <w:t xml:space="preserve"> </w:t>
      </w:r>
      <w:r w:rsidRPr="00904FCB">
        <w:rPr>
          <w:rFonts w:hint="cs"/>
          <w:b/>
          <w:bCs/>
          <w:sz w:val="27"/>
          <w:rtl/>
        </w:rPr>
        <w:t>الْمَسْجِدَ</w:t>
      </w:r>
      <w:r w:rsidRPr="00904FCB">
        <w:rPr>
          <w:b/>
          <w:bCs/>
          <w:sz w:val="27"/>
          <w:rtl/>
        </w:rPr>
        <w:t xml:space="preserve"> </w:t>
      </w:r>
      <w:r w:rsidRPr="00904FCB">
        <w:rPr>
          <w:rFonts w:hint="cs"/>
          <w:b/>
          <w:bCs/>
          <w:sz w:val="27"/>
          <w:rtl/>
        </w:rPr>
        <w:t>الْحَرامَ</w:t>
      </w:r>
      <w:r w:rsidRPr="00904FCB">
        <w:rPr>
          <w:b/>
          <w:bCs/>
          <w:sz w:val="27"/>
          <w:rtl/>
        </w:rPr>
        <w:t xml:space="preserve"> </w:t>
      </w:r>
      <w:r w:rsidRPr="00904FCB">
        <w:rPr>
          <w:rFonts w:hint="cs"/>
          <w:b/>
          <w:bCs/>
          <w:sz w:val="27"/>
          <w:rtl/>
        </w:rPr>
        <w:t>بَعْدَ</w:t>
      </w:r>
      <w:r w:rsidRPr="00904FCB">
        <w:rPr>
          <w:b/>
          <w:bCs/>
          <w:sz w:val="27"/>
          <w:rtl/>
        </w:rPr>
        <w:t xml:space="preserve"> </w:t>
      </w:r>
      <w:r w:rsidRPr="00904FCB">
        <w:rPr>
          <w:rFonts w:hint="cs"/>
          <w:b/>
          <w:bCs/>
          <w:sz w:val="27"/>
          <w:rtl/>
        </w:rPr>
        <w:t>عامِهِمْ</w:t>
      </w:r>
      <w:r w:rsidRPr="00904FCB">
        <w:rPr>
          <w:b/>
          <w:bCs/>
          <w:sz w:val="27"/>
          <w:rtl/>
        </w:rPr>
        <w:t xml:space="preserve"> </w:t>
      </w:r>
      <w:r w:rsidRPr="00904FCB">
        <w:rPr>
          <w:rFonts w:hint="cs"/>
          <w:b/>
          <w:bCs/>
          <w:sz w:val="27"/>
          <w:rtl/>
        </w:rPr>
        <w:t>هذا</w:t>
      </w:r>
      <w:r w:rsidRPr="00904FCB">
        <w:rPr>
          <w:b/>
          <w:bCs/>
          <w:sz w:val="27"/>
          <w:rtl/>
        </w:rPr>
        <w:t xml:space="preserve"> و</w:t>
      </w:r>
      <w:r w:rsidR="007337F3" w:rsidRPr="00904FCB">
        <w:rPr>
          <w:rFonts w:hint="cs"/>
          <w:b/>
          <w:bCs/>
          <w:sz w:val="27"/>
          <w:rtl/>
        </w:rPr>
        <w:t>َ</w:t>
      </w:r>
      <w:r w:rsidRPr="00904FCB">
        <w:rPr>
          <w:rFonts w:hint="cs"/>
          <w:b/>
          <w:bCs/>
          <w:sz w:val="27"/>
          <w:rtl/>
        </w:rPr>
        <w:t>إِنْ</w:t>
      </w:r>
      <w:r w:rsidRPr="00904FCB">
        <w:rPr>
          <w:b/>
          <w:bCs/>
          <w:sz w:val="27"/>
          <w:rtl/>
        </w:rPr>
        <w:t xml:space="preserve"> </w:t>
      </w:r>
      <w:r w:rsidRPr="00904FCB">
        <w:rPr>
          <w:rFonts w:hint="cs"/>
          <w:b/>
          <w:bCs/>
          <w:sz w:val="27"/>
          <w:rtl/>
        </w:rPr>
        <w:t>خِفْتُمْ</w:t>
      </w:r>
      <w:r w:rsidRPr="00904FCB">
        <w:rPr>
          <w:b/>
          <w:bCs/>
          <w:sz w:val="27"/>
          <w:rtl/>
        </w:rPr>
        <w:t xml:space="preserve"> </w:t>
      </w:r>
      <w:r w:rsidRPr="00904FCB">
        <w:rPr>
          <w:rFonts w:hint="cs"/>
          <w:b/>
          <w:bCs/>
          <w:sz w:val="27"/>
          <w:rtl/>
        </w:rPr>
        <w:t>عَيْلَةً</w:t>
      </w:r>
      <w:r w:rsidRPr="00904FCB">
        <w:rPr>
          <w:b/>
          <w:bCs/>
          <w:sz w:val="27"/>
          <w:rtl/>
        </w:rPr>
        <w:t xml:space="preserve"> </w:t>
      </w:r>
      <w:r w:rsidRPr="00904FCB">
        <w:rPr>
          <w:rFonts w:hint="cs"/>
          <w:b/>
          <w:bCs/>
          <w:sz w:val="27"/>
          <w:rtl/>
        </w:rPr>
        <w:t>فَسَوْفَ</w:t>
      </w:r>
      <w:r w:rsidRPr="00904FCB">
        <w:rPr>
          <w:b/>
          <w:bCs/>
          <w:sz w:val="27"/>
          <w:rtl/>
        </w:rPr>
        <w:t xml:space="preserve"> </w:t>
      </w:r>
      <w:r w:rsidRPr="00904FCB">
        <w:rPr>
          <w:rFonts w:hint="cs"/>
          <w:b/>
          <w:bCs/>
          <w:sz w:val="27"/>
          <w:rtl/>
        </w:rPr>
        <w:t>يُغْنيكُمُ</w:t>
      </w:r>
      <w:r w:rsidRPr="00904FCB">
        <w:rPr>
          <w:b/>
          <w:bCs/>
          <w:sz w:val="27"/>
          <w:rtl/>
        </w:rPr>
        <w:t xml:space="preserve"> </w:t>
      </w:r>
      <w:r w:rsidR="007337F3" w:rsidRPr="00904FCB">
        <w:rPr>
          <w:rFonts w:hint="cs"/>
          <w:b/>
          <w:bCs/>
          <w:sz w:val="27"/>
          <w:rtl/>
        </w:rPr>
        <w:t>الل</w:t>
      </w:r>
      <w:r w:rsidRPr="00904FCB">
        <w:rPr>
          <w:rFonts w:hint="cs"/>
          <w:b/>
          <w:bCs/>
          <w:sz w:val="27"/>
          <w:rtl/>
        </w:rPr>
        <w:t>هُ</w:t>
      </w:r>
      <w:r w:rsidRPr="00904FCB">
        <w:rPr>
          <w:b/>
          <w:bCs/>
          <w:sz w:val="27"/>
          <w:rtl/>
        </w:rPr>
        <w:t xml:space="preserve"> </w:t>
      </w:r>
      <w:r w:rsidRPr="00904FCB">
        <w:rPr>
          <w:rFonts w:hint="cs"/>
          <w:b/>
          <w:bCs/>
          <w:sz w:val="27"/>
          <w:rtl/>
        </w:rPr>
        <w:t>مِنْ</w:t>
      </w:r>
      <w:r w:rsidRPr="00904FCB">
        <w:rPr>
          <w:b/>
          <w:bCs/>
          <w:sz w:val="27"/>
          <w:rtl/>
        </w:rPr>
        <w:t xml:space="preserve"> </w:t>
      </w:r>
      <w:r w:rsidRPr="00904FCB">
        <w:rPr>
          <w:rFonts w:hint="cs"/>
          <w:b/>
          <w:bCs/>
          <w:sz w:val="27"/>
          <w:rtl/>
        </w:rPr>
        <w:t>فَضْلِهِ</w:t>
      </w:r>
      <w:r w:rsidRPr="00904FCB">
        <w:rPr>
          <w:b/>
          <w:bCs/>
          <w:sz w:val="27"/>
          <w:rtl/>
        </w:rPr>
        <w:t xml:space="preserve"> </w:t>
      </w:r>
      <w:r w:rsidRPr="00904FCB">
        <w:rPr>
          <w:rFonts w:hint="cs"/>
          <w:b/>
          <w:bCs/>
          <w:sz w:val="27"/>
          <w:rtl/>
        </w:rPr>
        <w:t>إِنْ</w:t>
      </w:r>
      <w:r w:rsidRPr="00904FCB">
        <w:rPr>
          <w:b/>
          <w:bCs/>
          <w:sz w:val="27"/>
          <w:rtl/>
        </w:rPr>
        <w:t xml:space="preserve"> </w:t>
      </w:r>
      <w:r w:rsidRPr="00904FCB">
        <w:rPr>
          <w:rFonts w:hint="cs"/>
          <w:b/>
          <w:bCs/>
          <w:sz w:val="27"/>
          <w:rtl/>
        </w:rPr>
        <w:t>ش</w:t>
      </w:r>
      <w:r w:rsidR="007337F3" w:rsidRPr="00904FCB">
        <w:rPr>
          <w:rFonts w:hint="cs"/>
          <w:b/>
          <w:bCs/>
          <w:sz w:val="27"/>
          <w:rtl/>
        </w:rPr>
        <w:t>َ</w:t>
      </w:r>
      <w:r w:rsidRPr="00904FCB">
        <w:rPr>
          <w:rFonts w:hint="cs"/>
          <w:b/>
          <w:bCs/>
          <w:sz w:val="27"/>
          <w:rtl/>
        </w:rPr>
        <w:t>اءَ</w:t>
      </w:r>
      <w:r w:rsidRPr="00904FCB">
        <w:rPr>
          <w:b/>
          <w:bCs/>
          <w:sz w:val="27"/>
          <w:rtl/>
        </w:rPr>
        <w:t xml:space="preserve"> </w:t>
      </w:r>
      <w:r w:rsidRPr="00904FCB">
        <w:rPr>
          <w:rFonts w:hint="cs"/>
          <w:b/>
          <w:bCs/>
          <w:sz w:val="27"/>
          <w:rtl/>
        </w:rPr>
        <w:t>إِنَّ</w:t>
      </w:r>
      <w:r w:rsidRPr="00904FCB">
        <w:rPr>
          <w:b/>
          <w:bCs/>
          <w:sz w:val="27"/>
          <w:rtl/>
        </w:rPr>
        <w:t xml:space="preserve"> </w:t>
      </w:r>
      <w:r w:rsidR="007337F3" w:rsidRPr="00904FCB">
        <w:rPr>
          <w:rFonts w:hint="cs"/>
          <w:b/>
          <w:bCs/>
          <w:sz w:val="27"/>
          <w:rtl/>
        </w:rPr>
        <w:t>الل</w:t>
      </w:r>
      <w:r w:rsidRPr="00904FCB">
        <w:rPr>
          <w:rFonts w:hint="cs"/>
          <w:b/>
          <w:bCs/>
          <w:sz w:val="27"/>
          <w:rtl/>
        </w:rPr>
        <w:t>هَ</w:t>
      </w:r>
      <w:r w:rsidRPr="00904FCB">
        <w:rPr>
          <w:b/>
          <w:bCs/>
          <w:sz w:val="27"/>
          <w:rtl/>
        </w:rPr>
        <w:t xml:space="preserve"> </w:t>
      </w:r>
      <w:r w:rsidRPr="00904FCB">
        <w:rPr>
          <w:rFonts w:hint="cs"/>
          <w:b/>
          <w:bCs/>
          <w:sz w:val="27"/>
          <w:rtl/>
        </w:rPr>
        <w:t>عَل</w:t>
      </w:r>
      <w:r w:rsidR="007337F3" w:rsidRPr="00904FCB">
        <w:rPr>
          <w:rFonts w:hint="cs"/>
          <w:b/>
          <w:bCs/>
          <w:sz w:val="27"/>
          <w:rtl/>
        </w:rPr>
        <w:t>ِ</w:t>
      </w:r>
      <w:r w:rsidRPr="00904FCB">
        <w:rPr>
          <w:rFonts w:hint="cs"/>
          <w:b/>
          <w:bCs/>
          <w:sz w:val="27"/>
          <w:rtl/>
        </w:rPr>
        <w:t>يمٌ</w:t>
      </w:r>
      <w:r w:rsidRPr="00904FCB">
        <w:rPr>
          <w:b/>
          <w:bCs/>
          <w:sz w:val="27"/>
          <w:rtl/>
        </w:rPr>
        <w:t xml:space="preserve"> </w:t>
      </w:r>
      <w:r w:rsidRPr="00904FCB">
        <w:rPr>
          <w:rFonts w:hint="cs"/>
          <w:b/>
          <w:bCs/>
          <w:sz w:val="27"/>
          <w:rtl/>
        </w:rPr>
        <w:t>حَك</w:t>
      </w:r>
      <w:r w:rsidR="007337F3" w:rsidRPr="00904FCB">
        <w:rPr>
          <w:rFonts w:hint="cs"/>
          <w:b/>
          <w:bCs/>
          <w:sz w:val="27"/>
          <w:rtl/>
        </w:rPr>
        <w:t>ِ</w:t>
      </w:r>
      <w:r w:rsidRPr="00904FCB">
        <w:rPr>
          <w:rFonts w:hint="cs"/>
          <w:b/>
          <w:bCs/>
          <w:sz w:val="27"/>
          <w:rtl/>
        </w:rPr>
        <w:t>يمٌ</w:t>
      </w:r>
      <w:r w:rsidRPr="00904FCB">
        <w:rPr>
          <w:rFonts w:ascii="Mosawi" w:hAnsi="Mosawi" w:cs="Mosawi"/>
          <w:sz w:val="24"/>
          <w:szCs w:val="24"/>
          <w:rtl/>
        </w:rPr>
        <w:t>﴾</w:t>
      </w:r>
      <w:r w:rsidRPr="00904FCB">
        <w:rPr>
          <w:rFonts w:hint="cs"/>
          <w:sz w:val="27"/>
          <w:rtl/>
        </w:rPr>
        <w:t xml:space="preserve"> </w:t>
      </w:r>
      <w:r w:rsidRPr="00904FCB">
        <w:rPr>
          <w:sz w:val="27"/>
          <w:rtl/>
        </w:rPr>
        <w:t>(</w:t>
      </w:r>
      <w:r w:rsidRPr="00904FCB">
        <w:rPr>
          <w:rFonts w:hint="cs"/>
          <w:sz w:val="27"/>
          <w:rtl/>
        </w:rPr>
        <w:t xml:space="preserve">التوبة: </w:t>
      </w:r>
      <w:r w:rsidRPr="00783611">
        <w:rPr>
          <w:rFonts w:hint="cs"/>
          <w:sz w:val="27"/>
          <w:rtl/>
          <w:lang w:bidi="ar-LB"/>
        </w:rPr>
        <w:t>28</w:t>
      </w:r>
      <w:r w:rsidRPr="00904FCB">
        <w:rPr>
          <w:rFonts w:hint="cs"/>
          <w:sz w:val="27"/>
          <w:rtl/>
          <w:lang w:bidi="ar-LB"/>
        </w:rPr>
        <w:t>)</w:t>
      </w:r>
      <w:r w:rsidRPr="00904FCB">
        <w:rPr>
          <w:rFonts w:hint="cs"/>
          <w:sz w:val="27"/>
          <w:rtl/>
        </w:rPr>
        <w:t>.</w:t>
      </w:r>
      <w:r w:rsidRPr="00904FCB">
        <w:rPr>
          <w:sz w:val="27"/>
          <w:rtl/>
        </w:rPr>
        <w:t xml:space="preserve"> </w:t>
      </w:r>
    </w:p>
    <w:p w:rsidR="00F34FB9" w:rsidRPr="00904FCB" w:rsidRDefault="00F34FB9" w:rsidP="008649D2">
      <w:pPr>
        <w:spacing w:line="380" w:lineRule="exact"/>
        <w:ind w:firstLine="561"/>
        <w:rPr>
          <w:sz w:val="27"/>
          <w:rtl/>
        </w:rPr>
      </w:pPr>
      <w:r w:rsidRPr="00904FCB">
        <w:rPr>
          <w:rFonts w:hint="cs"/>
          <w:sz w:val="27"/>
          <w:rtl/>
        </w:rPr>
        <w:t>استدلّ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بنجاسة</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بأنّهم</w:t>
      </w:r>
      <w:r w:rsidRPr="00904FCB">
        <w:rPr>
          <w:sz w:val="27"/>
          <w:rtl/>
        </w:rPr>
        <w:t xml:space="preserve"> </w:t>
      </w:r>
      <w:r w:rsidRPr="00904FCB">
        <w:rPr>
          <w:rFonts w:hint="cs"/>
          <w:sz w:val="27"/>
          <w:rtl/>
        </w:rPr>
        <w:t>مشركون، سواءٌ</w:t>
      </w:r>
      <w:r w:rsidRPr="00904FCB">
        <w:rPr>
          <w:sz w:val="27"/>
          <w:rtl/>
        </w:rPr>
        <w:t xml:space="preserve"> </w:t>
      </w:r>
      <w:r w:rsidRPr="00904FCB">
        <w:rPr>
          <w:rFonts w:hint="cs"/>
          <w:sz w:val="27"/>
          <w:rtl/>
        </w:rPr>
        <w:t>أكانوا</w:t>
      </w:r>
      <w:r w:rsidRPr="00904FCB">
        <w:rPr>
          <w:sz w:val="27"/>
          <w:rtl/>
        </w:rPr>
        <w:t xml:space="preserve"> </w:t>
      </w:r>
      <w:r w:rsidRPr="00904FCB">
        <w:rPr>
          <w:rFonts w:hint="cs"/>
          <w:sz w:val="27"/>
          <w:rtl/>
        </w:rPr>
        <w:t>يهوداً</w:t>
      </w:r>
      <w:r w:rsidRPr="00904FCB">
        <w:rPr>
          <w:sz w:val="27"/>
          <w:rtl/>
        </w:rPr>
        <w:t xml:space="preserve"> </w:t>
      </w:r>
      <w:r w:rsidRPr="00904FCB">
        <w:rPr>
          <w:rFonts w:hint="cs"/>
          <w:sz w:val="27"/>
          <w:rtl/>
        </w:rPr>
        <w:t>أم</w:t>
      </w:r>
      <w:r w:rsidRPr="00904FCB">
        <w:rPr>
          <w:sz w:val="27"/>
          <w:rtl/>
        </w:rPr>
        <w:t xml:space="preserve"> </w:t>
      </w:r>
      <w:r w:rsidRPr="00904FCB">
        <w:rPr>
          <w:rFonts w:hint="cs"/>
          <w:sz w:val="27"/>
          <w:rtl/>
        </w:rPr>
        <w:t>نصارى</w:t>
      </w:r>
      <w:r w:rsidRPr="00904FCB">
        <w:rPr>
          <w:sz w:val="27"/>
          <w:rtl/>
        </w:rPr>
        <w:t xml:space="preserve"> </w:t>
      </w:r>
      <w:r w:rsidRPr="00904FCB">
        <w:rPr>
          <w:rFonts w:hint="cs"/>
          <w:sz w:val="27"/>
          <w:rtl/>
        </w:rPr>
        <w:t>أ</w:t>
      </w:r>
      <w:r w:rsidR="00F14321">
        <w:rPr>
          <w:rFonts w:hint="cs"/>
          <w:sz w:val="27"/>
          <w:rtl/>
        </w:rPr>
        <w:t>م</w:t>
      </w:r>
      <w:r w:rsidRPr="00904FCB">
        <w:rPr>
          <w:sz w:val="27"/>
          <w:rtl/>
        </w:rPr>
        <w:t xml:space="preserve"> </w:t>
      </w:r>
      <w:r w:rsidRPr="00904FCB">
        <w:rPr>
          <w:rFonts w:hint="cs"/>
          <w:sz w:val="27"/>
          <w:rtl/>
        </w:rPr>
        <w:t>مجوساً</w:t>
      </w:r>
      <w:r w:rsidR="007337F3" w:rsidRPr="00904FCB">
        <w:rPr>
          <w:rFonts w:hint="cs"/>
          <w:sz w:val="27"/>
          <w:rtl/>
        </w:rPr>
        <w:t>.</w:t>
      </w:r>
      <w:r w:rsidRPr="00904FCB">
        <w:rPr>
          <w:rFonts w:hint="cs"/>
          <w:sz w:val="27"/>
          <w:rtl/>
        </w:rPr>
        <w:t xml:space="preserve"> ويستشهد </w:t>
      </w:r>
      <w:r w:rsidR="007337F3" w:rsidRPr="00904FCB">
        <w:rPr>
          <w:rFonts w:hint="cs"/>
          <w:sz w:val="27"/>
          <w:rtl/>
        </w:rPr>
        <w:t>ل</w:t>
      </w:r>
      <w:r w:rsidRPr="00904FCB">
        <w:rPr>
          <w:rFonts w:hint="cs"/>
          <w:sz w:val="27"/>
          <w:rtl/>
        </w:rPr>
        <w:t>ذلك</w:t>
      </w:r>
      <w:r w:rsidRPr="00904FCB">
        <w:rPr>
          <w:sz w:val="27"/>
          <w:rtl/>
        </w:rPr>
        <w:t xml:space="preserve"> </w:t>
      </w:r>
      <w:r w:rsidR="007337F3" w:rsidRPr="00904FCB">
        <w:rPr>
          <w:rFonts w:hint="cs"/>
          <w:sz w:val="27"/>
          <w:rtl/>
        </w:rPr>
        <w:t>ب</w:t>
      </w:r>
      <w:r w:rsidRPr="00904FCB">
        <w:rPr>
          <w:rFonts w:hint="cs"/>
          <w:sz w:val="27"/>
          <w:rtl/>
        </w:rPr>
        <w:t>آياتٌ</w:t>
      </w:r>
      <w:r w:rsidRPr="00904FCB">
        <w:rPr>
          <w:sz w:val="27"/>
          <w:rtl/>
        </w:rPr>
        <w:t xml:space="preserve"> </w:t>
      </w:r>
      <w:r w:rsidRPr="00904FCB">
        <w:rPr>
          <w:rFonts w:hint="cs"/>
          <w:sz w:val="27"/>
          <w:rtl/>
        </w:rPr>
        <w:t>كثيرة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القرآن</w:t>
      </w:r>
      <w:r w:rsidRPr="00904FCB">
        <w:rPr>
          <w:sz w:val="27"/>
          <w:rtl/>
        </w:rPr>
        <w:t xml:space="preserve"> </w:t>
      </w:r>
      <w:r w:rsidRPr="00904FCB">
        <w:rPr>
          <w:rFonts w:hint="cs"/>
          <w:sz w:val="27"/>
          <w:rtl/>
        </w:rPr>
        <w:t>الكريم</w:t>
      </w:r>
      <w:r w:rsidR="007337F3" w:rsidRPr="00904FCB">
        <w:rPr>
          <w:rFonts w:hint="cs"/>
          <w:sz w:val="27"/>
          <w:rtl/>
        </w:rPr>
        <w:t>،</w:t>
      </w:r>
      <w:r w:rsidRPr="00904FCB">
        <w:rPr>
          <w:sz w:val="27"/>
          <w:rtl/>
        </w:rPr>
        <w:t xml:space="preserve"> </w:t>
      </w:r>
      <w:r w:rsidRPr="00904FCB">
        <w:rPr>
          <w:rFonts w:hint="cs"/>
          <w:sz w:val="27"/>
          <w:rtl/>
        </w:rPr>
        <w:t>سنشير</w:t>
      </w:r>
      <w:r w:rsidRPr="00904FCB">
        <w:rPr>
          <w:sz w:val="27"/>
          <w:rtl/>
        </w:rPr>
        <w:t xml:space="preserve"> </w:t>
      </w:r>
      <w:r w:rsidRPr="00904FCB">
        <w:rPr>
          <w:rFonts w:hint="cs"/>
          <w:sz w:val="27"/>
          <w:rtl/>
        </w:rPr>
        <w:t>إليها؛ وذلك</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قالوا</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عزيراً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ابن</w:t>
      </w:r>
      <w:r w:rsidR="007337F3" w:rsidRPr="00904FCB">
        <w:rPr>
          <w:rFonts w:hint="cs"/>
          <w:sz w:val="27"/>
          <w:rtl/>
        </w:rPr>
        <w:t>ُ</w:t>
      </w:r>
      <w:r w:rsidRPr="00904FCB">
        <w:rPr>
          <w:sz w:val="27"/>
          <w:rtl/>
        </w:rPr>
        <w:t xml:space="preserve"> </w:t>
      </w:r>
      <w:r w:rsidRPr="00904FCB">
        <w:rPr>
          <w:rFonts w:hint="cs"/>
          <w:sz w:val="27"/>
          <w:rtl/>
        </w:rPr>
        <w:t>الله، والنصارى</w:t>
      </w:r>
      <w:r w:rsidRPr="00904FCB">
        <w:rPr>
          <w:sz w:val="27"/>
          <w:rtl/>
        </w:rPr>
        <w:t xml:space="preserve"> </w:t>
      </w:r>
      <w:r w:rsidRPr="00904FCB">
        <w:rPr>
          <w:rFonts w:hint="cs"/>
          <w:sz w:val="27"/>
          <w:rtl/>
        </w:rPr>
        <w:t>قالوا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المسيح</w:t>
      </w:r>
      <w:r w:rsidR="001C1A2A" w:rsidRPr="00904FCB">
        <w:rPr>
          <w:rFonts w:cs="Mosawi"/>
          <w:sz w:val="27"/>
          <w:szCs w:val="22"/>
          <w:rtl/>
        </w:rPr>
        <w:t>×</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أيضاً، واعتقدوا</w:t>
      </w:r>
      <w:r w:rsidRPr="00904FCB">
        <w:rPr>
          <w:sz w:val="27"/>
          <w:rtl/>
        </w:rPr>
        <w:t xml:space="preserve"> </w:t>
      </w:r>
      <w:r w:rsidRPr="00904FCB">
        <w:rPr>
          <w:rFonts w:hint="cs"/>
          <w:sz w:val="27"/>
          <w:rtl/>
        </w:rPr>
        <w:t>بالتثليث، ويعتقد</w:t>
      </w:r>
      <w:r w:rsidRPr="00904FCB">
        <w:rPr>
          <w:sz w:val="27"/>
          <w:rtl/>
        </w:rPr>
        <w:t xml:space="preserve"> </w:t>
      </w:r>
      <w:r w:rsidRPr="00904FCB">
        <w:rPr>
          <w:rFonts w:hint="cs"/>
          <w:sz w:val="27"/>
          <w:rtl/>
        </w:rPr>
        <w:t>المجوس</w:t>
      </w:r>
      <w:r w:rsidRPr="00904FCB">
        <w:rPr>
          <w:sz w:val="27"/>
          <w:rtl/>
        </w:rPr>
        <w:t xml:space="preserve"> ‏</w:t>
      </w:r>
      <w:r w:rsidRPr="00904FCB">
        <w:rPr>
          <w:rFonts w:hint="cs"/>
          <w:sz w:val="27"/>
          <w:rtl/>
        </w:rPr>
        <w:t>بالثنويّة</w:t>
      </w:r>
      <w:r w:rsidRPr="00904FCB">
        <w:rPr>
          <w:sz w:val="27"/>
          <w:rtl/>
        </w:rPr>
        <w:t xml:space="preserve"> </w:t>
      </w:r>
      <w:r w:rsidRPr="00904FCB">
        <w:rPr>
          <w:rFonts w:hint="cs"/>
          <w:sz w:val="27"/>
          <w:rtl/>
        </w:rPr>
        <w:t>أيضاً</w:t>
      </w:r>
      <w:r w:rsidRPr="00904FCB">
        <w:rPr>
          <w:sz w:val="27"/>
          <w:rtl/>
        </w:rPr>
        <w:t xml:space="preserve">. </w:t>
      </w:r>
      <w:r w:rsidRPr="00904FCB">
        <w:rPr>
          <w:rFonts w:hint="cs"/>
          <w:sz w:val="27"/>
          <w:rtl/>
        </w:rPr>
        <w:t>إذن</w:t>
      </w:r>
      <w:r w:rsidR="007337F3" w:rsidRPr="00904FCB">
        <w:rPr>
          <w:rFonts w:hint="cs"/>
          <w:sz w:val="27"/>
          <w:rtl/>
        </w:rPr>
        <w:t xml:space="preserve"> </w:t>
      </w:r>
      <w:r w:rsidRPr="00904FCB">
        <w:rPr>
          <w:rFonts w:hint="cs"/>
          <w:sz w:val="27"/>
          <w:rtl/>
        </w:rPr>
        <w:t>فكلّ</w:t>
      </w:r>
      <w:r w:rsidR="007337F3" w:rsidRPr="00904FCB">
        <w:rPr>
          <w:rFonts w:hint="cs"/>
          <w:sz w:val="27"/>
          <w:rtl/>
        </w:rPr>
        <w:t>ُ</w:t>
      </w:r>
      <w:r w:rsidRPr="00904FCB">
        <w:rPr>
          <w:rFonts w:hint="cs"/>
          <w:sz w:val="27"/>
          <w:rtl/>
        </w:rPr>
        <w:t>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المشركين، والآية</w:t>
      </w:r>
      <w:r w:rsidRPr="00904FCB">
        <w:rPr>
          <w:sz w:val="27"/>
          <w:rtl/>
        </w:rPr>
        <w:t xml:space="preserve"> </w:t>
      </w:r>
      <w:r w:rsidRPr="00904FCB">
        <w:rPr>
          <w:rFonts w:hint="cs"/>
          <w:sz w:val="27"/>
          <w:rtl/>
        </w:rPr>
        <w:t>المذكورة</w:t>
      </w:r>
      <w:r w:rsidRPr="00904FCB">
        <w:rPr>
          <w:sz w:val="27"/>
          <w:rtl/>
        </w:rPr>
        <w:t xml:space="preserve"> </w:t>
      </w:r>
      <w:r w:rsidRPr="00904FCB">
        <w:rPr>
          <w:rFonts w:hint="cs"/>
          <w:sz w:val="27"/>
          <w:rtl/>
        </w:rPr>
        <w:t>صريحةُ</w:t>
      </w:r>
      <w:r w:rsidRPr="00904FCB">
        <w:rPr>
          <w:sz w:val="27"/>
          <w:rtl/>
        </w:rPr>
        <w:t xml:space="preserve"> </w:t>
      </w:r>
      <w:r w:rsidRPr="00904FCB">
        <w:rPr>
          <w:rFonts w:hint="cs"/>
          <w:sz w:val="27"/>
          <w:rtl/>
        </w:rPr>
        <w:t>الدلالة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كلّ</w:t>
      </w:r>
      <w:r w:rsidR="007337F3" w:rsidRPr="00904FCB">
        <w:rPr>
          <w:rFonts w:hint="cs"/>
          <w:sz w:val="27"/>
          <w:rtl/>
        </w:rPr>
        <w:t>ِ</w:t>
      </w:r>
      <w:r w:rsidRPr="00904FCB">
        <w:rPr>
          <w:sz w:val="27"/>
          <w:rtl/>
        </w:rPr>
        <w:t xml:space="preserve"> </w:t>
      </w:r>
      <w:r w:rsidRPr="00904FCB">
        <w:rPr>
          <w:rFonts w:hint="cs"/>
          <w:sz w:val="27"/>
          <w:rtl/>
        </w:rPr>
        <w:t>المشركين</w:t>
      </w:r>
      <w:r w:rsidRPr="00904FCB">
        <w:rPr>
          <w:sz w:val="27"/>
          <w:rtl/>
        </w:rPr>
        <w:t xml:space="preserve">. </w:t>
      </w:r>
    </w:p>
    <w:p w:rsidR="00F34FB9" w:rsidRDefault="00F34FB9" w:rsidP="00F14321">
      <w:pPr>
        <w:spacing w:line="380" w:lineRule="exact"/>
        <w:ind w:firstLine="561"/>
        <w:rPr>
          <w:sz w:val="27"/>
          <w:rtl/>
        </w:rPr>
      </w:pPr>
      <w:r w:rsidRPr="00904FCB">
        <w:rPr>
          <w:rFonts w:hint="cs"/>
          <w:sz w:val="27"/>
          <w:rtl/>
        </w:rPr>
        <w:t>وقبل</w:t>
      </w:r>
      <w:r w:rsidRPr="00904FCB">
        <w:rPr>
          <w:sz w:val="27"/>
          <w:rtl/>
        </w:rPr>
        <w:t xml:space="preserve"> </w:t>
      </w:r>
      <w:r w:rsidRPr="00904FCB">
        <w:rPr>
          <w:rFonts w:hint="cs"/>
          <w:sz w:val="27"/>
          <w:rtl/>
        </w:rPr>
        <w:t>مناقشة</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الاستدلال لا</w:t>
      </w:r>
      <w:r w:rsidRPr="00904FCB">
        <w:rPr>
          <w:sz w:val="27"/>
          <w:rtl/>
        </w:rPr>
        <w:t xml:space="preserve"> </w:t>
      </w:r>
      <w:r w:rsidRPr="00904FCB">
        <w:rPr>
          <w:rFonts w:hint="cs"/>
          <w:sz w:val="27"/>
          <w:rtl/>
        </w:rPr>
        <w:t>ب</w:t>
      </w:r>
      <w:r w:rsidR="007337F3" w:rsidRPr="00904FCB">
        <w:rPr>
          <w:rFonts w:hint="cs"/>
          <w:sz w:val="27"/>
          <w:rtl/>
        </w:rPr>
        <w:t>ُ</w:t>
      </w:r>
      <w:r w:rsidRPr="00904FCB">
        <w:rPr>
          <w:rFonts w:hint="cs"/>
          <w:sz w:val="27"/>
          <w:rtl/>
        </w:rPr>
        <w:t>دّ</w:t>
      </w:r>
      <w:r w:rsidR="007337F3"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الإشارة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مطلبٍ</w:t>
      </w:r>
      <w:r w:rsidRPr="00904FCB">
        <w:rPr>
          <w:sz w:val="27"/>
          <w:rtl/>
        </w:rPr>
        <w:t xml:space="preserve"> </w:t>
      </w:r>
      <w:r w:rsidRPr="00904FCB">
        <w:rPr>
          <w:rFonts w:hint="cs"/>
          <w:sz w:val="27"/>
          <w:rtl/>
        </w:rPr>
        <w:t>مهمّ، وهو</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تكن</w:t>
      </w:r>
      <w:r w:rsidRPr="00904FCB">
        <w:rPr>
          <w:sz w:val="27"/>
          <w:rtl/>
        </w:rPr>
        <w:t xml:space="preserve"> </w:t>
      </w:r>
      <w:r w:rsidRPr="00904FCB">
        <w:rPr>
          <w:rFonts w:hint="cs"/>
          <w:sz w:val="27"/>
          <w:rtl/>
        </w:rPr>
        <w:t>عمدة</w:t>
      </w:r>
      <w:r w:rsidRPr="00904FCB">
        <w:rPr>
          <w:sz w:val="27"/>
          <w:rtl/>
        </w:rPr>
        <w:t xml:space="preserve"> </w:t>
      </w:r>
      <w:r w:rsidRPr="00904FCB">
        <w:rPr>
          <w:rFonts w:hint="cs"/>
          <w:sz w:val="27"/>
          <w:rtl/>
        </w:rPr>
        <w:t>استدلال</w:t>
      </w:r>
      <w:r w:rsidRPr="00904FCB">
        <w:rPr>
          <w:sz w:val="27"/>
          <w:rtl/>
        </w:rPr>
        <w:t xml:space="preserve"> </w:t>
      </w:r>
      <w:r w:rsidRPr="00904FCB">
        <w:rPr>
          <w:rFonts w:hint="cs"/>
          <w:sz w:val="27"/>
          <w:rtl/>
        </w:rPr>
        <w:t>القائلين</w:t>
      </w:r>
      <w:r w:rsidRPr="00904FCB">
        <w:rPr>
          <w:sz w:val="27"/>
          <w:rtl/>
        </w:rPr>
        <w:t xml:space="preserve"> </w:t>
      </w:r>
      <w:r w:rsidRPr="00904FCB">
        <w:rPr>
          <w:rFonts w:hint="cs"/>
          <w:sz w:val="27"/>
          <w:rtl/>
        </w:rPr>
        <w:t>بنجاسة</w:t>
      </w:r>
      <w:r w:rsidRPr="00904FCB">
        <w:rPr>
          <w:sz w:val="27"/>
          <w:rtl/>
        </w:rPr>
        <w:t xml:space="preserve"> </w:t>
      </w:r>
      <w:r w:rsidRPr="00904FCB">
        <w:rPr>
          <w:rFonts w:hint="cs"/>
          <w:sz w:val="27"/>
          <w:rtl/>
        </w:rPr>
        <w:t>أهل‏الكتاب</w:t>
      </w:r>
      <w:r w:rsidRPr="00904FCB">
        <w:rPr>
          <w:sz w:val="27"/>
          <w:rtl/>
        </w:rPr>
        <w:t xml:space="preserve">. </w:t>
      </w:r>
      <w:r w:rsidRPr="00904FCB">
        <w:rPr>
          <w:rFonts w:hint="cs"/>
          <w:sz w:val="27"/>
          <w:rtl/>
        </w:rPr>
        <w:t>وقد</w:t>
      </w:r>
      <w:r w:rsidRPr="00904FCB">
        <w:rPr>
          <w:sz w:val="27"/>
          <w:rtl/>
        </w:rPr>
        <w:t xml:space="preserve"> </w:t>
      </w:r>
      <w:r w:rsidRPr="00904FCB">
        <w:rPr>
          <w:rFonts w:hint="cs"/>
          <w:sz w:val="27"/>
          <w:rtl/>
        </w:rPr>
        <w:t>استشكل</w:t>
      </w:r>
      <w:r w:rsidRPr="00904FCB">
        <w:rPr>
          <w:sz w:val="27"/>
          <w:rtl/>
        </w:rPr>
        <w:t xml:space="preserve"> </w:t>
      </w:r>
      <w:r w:rsidRPr="00904FCB">
        <w:rPr>
          <w:rFonts w:hint="cs"/>
          <w:sz w:val="27"/>
          <w:rtl/>
        </w:rPr>
        <w:t>البعض</w:t>
      </w:r>
      <w:r w:rsidRPr="00904FCB">
        <w:rPr>
          <w:sz w:val="27"/>
          <w:rtl/>
        </w:rPr>
        <w:t xml:space="preserve"> </w:t>
      </w:r>
      <w:r w:rsidRPr="00904FCB">
        <w:rPr>
          <w:rFonts w:hint="cs"/>
          <w:sz w:val="27"/>
          <w:rtl/>
        </w:rPr>
        <w:t>منهم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دلالتها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 وأعرض</w:t>
      </w:r>
      <w:r w:rsidRPr="00904FCB">
        <w:rPr>
          <w:sz w:val="27"/>
          <w:rtl/>
        </w:rPr>
        <w:t xml:space="preserve"> </w:t>
      </w:r>
      <w:r w:rsidRPr="00904FCB">
        <w:rPr>
          <w:rFonts w:hint="cs"/>
          <w:sz w:val="27"/>
          <w:rtl/>
        </w:rPr>
        <w:t>البعض</w:t>
      </w:r>
      <w:r w:rsidRPr="00904FCB">
        <w:rPr>
          <w:sz w:val="27"/>
          <w:rtl/>
        </w:rPr>
        <w:t xml:space="preserve"> </w:t>
      </w:r>
      <w:r w:rsidRPr="00904FCB">
        <w:rPr>
          <w:rFonts w:hint="cs"/>
          <w:sz w:val="27"/>
          <w:rtl/>
        </w:rPr>
        <w:t>الآخر</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أصل</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بها</w:t>
      </w:r>
      <w:r w:rsidR="00200F39" w:rsidRPr="00904FCB">
        <w:rPr>
          <w:rFonts w:hint="cs"/>
          <w:sz w:val="27"/>
          <w:rtl/>
        </w:rPr>
        <w:t>،</w:t>
      </w:r>
      <w:r w:rsidRPr="00904FCB">
        <w:rPr>
          <w:sz w:val="27"/>
          <w:rtl/>
        </w:rPr>
        <w:t xml:space="preserve"> </w:t>
      </w:r>
      <w:r w:rsidRPr="00904FCB">
        <w:rPr>
          <w:rFonts w:hint="cs"/>
          <w:sz w:val="27"/>
          <w:rtl/>
        </w:rPr>
        <w:t>فاستدلّوا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بأدلّة</w:t>
      </w:r>
      <w:r w:rsidR="00200F39" w:rsidRPr="00904FCB">
        <w:rPr>
          <w:rFonts w:hint="cs"/>
          <w:sz w:val="27"/>
          <w:rtl/>
        </w:rPr>
        <w:t>ٍ</w:t>
      </w:r>
      <w:r w:rsidRPr="00904FCB">
        <w:rPr>
          <w:sz w:val="27"/>
          <w:rtl/>
        </w:rPr>
        <w:t xml:space="preserve"> </w:t>
      </w:r>
      <w:r w:rsidRPr="00904FCB">
        <w:rPr>
          <w:rFonts w:hint="cs"/>
          <w:sz w:val="27"/>
          <w:rtl/>
        </w:rPr>
        <w:t>أخرى، في</w:t>
      </w:r>
      <w:r w:rsidRPr="00904FCB">
        <w:rPr>
          <w:sz w:val="27"/>
          <w:rtl/>
        </w:rPr>
        <w:t xml:space="preserve"> </w:t>
      </w:r>
      <w:r w:rsidRPr="00904FCB">
        <w:rPr>
          <w:rFonts w:hint="cs"/>
          <w:sz w:val="27"/>
          <w:rtl/>
        </w:rPr>
        <w:t>حين</w:t>
      </w:r>
      <w:r w:rsidRPr="00904FCB">
        <w:rPr>
          <w:sz w:val="27"/>
          <w:rtl/>
        </w:rPr>
        <w:t xml:space="preserve"> </w:t>
      </w:r>
      <w:r w:rsidRPr="00904FCB">
        <w:rPr>
          <w:rFonts w:hint="cs"/>
          <w:sz w:val="27"/>
          <w:rtl/>
        </w:rPr>
        <w:t>صرّ</w:t>
      </w:r>
      <w:r w:rsidR="00200F39" w:rsidRPr="00904FCB">
        <w:rPr>
          <w:rFonts w:hint="cs"/>
          <w:sz w:val="27"/>
          <w:rtl/>
        </w:rPr>
        <w:t>َ</w:t>
      </w:r>
      <w:r w:rsidRPr="00904FCB">
        <w:rPr>
          <w:rFonts w:hint="cs"/>
          <w:sz w:val="27"/>
          <w:rtl/>
        </w:rPr>
        <w:t>ح</w:t>
      </w:r>
      <w:r w:rsidRPr="00904FCB">
        <w:rPr>
          <w:sz w:val="27"/>
          <w:rtl/>
        </w:rPr>
        <w:t xml:space="preserve"> </w:t>
      </w:r>
      <w:r w:rsidRPr="00904FCB">
        <w:rPr>
          <w:rFonts w:hint="cs"/>
          <w:sz w:val="27"/>
          <w:rtl/>
        </w:rPr>
        <w:t>آخرون</w:t>
      </w:r>
      <w:r w:rsidRPr="00904FCB">
        <w:rPr>
          <w:sz w:val="27"/>
          <w:rtl/>
        </w:rPr>
        <w:t xml:space="preserve"> </w:t>
      </w:r>
      <w:r w:rsidRPr="00904FCB">
        <w:rPr>
          <w:rFonts w:hint="cs"/>
          <w:sz w:val="27"/>
          <w:rtl/>
        </w:rPr>
        <w:t>بعدم</w:t>
      </w:r>
      <w:r w:rsidRPr="00904FCB">
        <w:rPr>
          <w:sz w:val="27"/>
          <w:rtl/>
        </w:rPr>
        <w:t xml:space="preserve"> </w:t>
      </w:r>
      <w:r w:rsidRPr="00904FCB">
        <w:rPr>
          <w:rFonts w:hint="cs"/>
          <w:sz w:val="27"/>
          <w:rtl/>
        </w:rPr>
        <w:t>دلالتها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المدّ</w:t>
      </w:r>
      <w:r w:rsidR="00200F39" w:rsidRPr="00904FCB">
        <w:rPr>
          <w:rFonts w:hint="cs"/>
          <w:sz w:val="27"/>
          <w:rtl/>
        </w:rPr>
        <w:t>َ</w:t>
      </w:r>
      <w:r w:rsidRPr="00904FCB">
        <w:rPr>
          <w:rFonts w:hint="cs"/>
          <w:sz w:val="27"/>
          <w:rtl/>
        </w:rPr>
        <w:t>عى</w:t>
      </w:r>
      <w:r w:rsidRPr="00904FCB">
        <w:rPr>
          <w:sz w:val="27"/>
          <w:rtl/>
        </w:rPr>
        <w:t xml:space="preserve">. </w:t>
      </w:r>
    </w:p>
    <w:p w:rsidR="00F14321" w:rsidRPr="00904FCB" w:rsidRDefault="00F14321" w:rsidP="00F636E3">
      <w:pPr>
        <w:spacing w:line="420" w:lineRule="exact"/>
        <w:rPr>
          <w:sz w:val="27"/>
          <w:rtl/>
        </w:rPr>
      </w:pPr>
    </w:p>
    <w:p w:rsidR="00F34FB9" w:rsidRPr="00904FCB" w:rsidRDefault="00F34FB9" w:rsidP="007A21AA">
      <w:pPr>
        <w:pStyle w:val="31"/>
        <w:spacing w:line="400" w:lineRule="exact"/>
        <w:rPr>
          <w:color w:val="auto"/>
          <w:rtl/>
        </w:rPr>
      </w:pPr>
      <w:r w:rsidRPr="00904FCB">
        <w:rPr>
          <w:rFonts w:hint="cs"/>
          <w:color w:val="auto"/>
          <w:rtl/>
        </w:rPr>
        <w:t>أدلة الشهيد محمد باقر الصدر في شرحه على كتاب العروة والوثقى</w:t>
      </w:r>
    </w:p>
    <w:p w:rsidR="00200F39" w:rsidRPr="00904FCB" w:rsidRDefault="00F34FB9" w:rsidP="007A21AA">
      <w:pPr>
        <w:spacing w:line="400" w:lineRule="exact"/>
        <w:rPr>
          <w:sz w:val="27"/>
          <w:rtl/>
        </w:rPr>
      </w:pPr>
      <w:r w:rsidRPr="00904FCB">
        <w:rPr>
          <w:rFonts w:hint="cs"/>
          <w:sz w:val="27"/>
          <w:rtl/>
        </w:rPr>
        <w:t>وقد</w:t>
      </w:r>
      <w:r w:rsidRPr="00904FCB">
        <w:rPr>
          <w:sz w:val="27"/>
          <w:rtl/>
        </w:rPr>
        <w:t xml:space="preserve"> </w:t>
      </w:r>
      <w:r w:rsidRPr="00904FCB">
        <w:rPr>
          <w:rFonts w:hint="cs"/>
          <w:sz w:val="27"/>
          <w:rtl/>
        </w:rPr>
        <w:t>عثرنا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كلامٍ</w:t>
      </w:r>
      <w:r w:rsidRPr="00904FCB">
        <w:rPr>
          <w:sz w:val="27"/>
          <w:rtl/>
        </w:rPr>
        <w:t xml:space="preserve"> </w:t>
      </w:r>
      <w:r w:rsidRPr="00904FCB">
        <w:rPr>
          <w:rFonts w:hint="cs"/>
          <w:sz w:val="27"/>
          <w:rtl/>
        </w:rPr>
        <w:t>جامع</w:t>
      </w:r>
      <w:r w:rsidRPr="00904FCB">
        <w:rPr>
          <w:sz w:val="27"/>
          <w:rtl/>
        </w:rPr>
        <w:t xml:space="preserve"> </w:t>
      </w:r>
      <w:r w:rsidRPr="00904FCB">
        <w:rPr>
          <w:rFonts w:hint="cs"/>
          <w:sz w:val="27"/>
          <w:rtl/>
        </w:rPr>
        <w:t>للمحقّ</w:t>
      </w:r>
      <w:r w:rsidR="00200F39" w:rsidRPr="00904FCB">
        <w:rPr>
          <w:rFonts w:hint="cs"/>
          <w:sz w:val="27"/>
          <w:rtl/>
        </w:rPr>
        <w:t>ِ</w:t>
      </w:r>
      <w:r w:rsidRPr="00904FCB">
        <w:rPr>
          <w:rFonts w:hint="cs"/>
          <w:sz w:val="27"/>
          <w:rtl/>
        </w:rPr>
        <w:t>ق</w:t>
      </w:r>
      <w:r w:rsidRPr="00904FCB">
        <w:rPr>
          <w:sz w:val="27"/>
          <w:rtl/>
        </w:rPr>
        <w:t xml:space="preserve"> </w:t>
      </w:r>
      <w:r w:rsidRPr="00904FCB">
        <w:rPr>
          <w:rFonts w:hint="cs"/>
          <w:sz w:val="27"/>
          <w:rtl/>
        </w:rPr>
        <w:t>الفقيه</w:t>
      </w:r>
      <w:r w:rsidRPr="00904FCB">
        <w:rPr>
          <w:sz w:val="27"/>
          <w:rtl/>
        </w:rPr>
        <w:t xml:space="preserve"> </w:t>
      </w:r>
      <w:r w:rsidRPr="00904FCB">
        <w:rPr>
          <w:rFonts w:hint="cs"/>
          <w:sz w:val="27"/>
          <w:rtl/>
        </w:rPr>
        <w:t>الشهيد</w:t>
      </w:r>
      <w:r w:rsidRPr="00904FCB">
        <w:rPr>
          <w:sz w:val="27"/>
          <w:rtl/>
        </w:rPr>
        <w:t xml:space="preserve"> </w:t>
      </w:r>
      <w:r w:rsidR="00200F39" w:rsidRPr="00904FCB">
        <w:rPr>
          <w:rFonts w:hint="cs"/>
          <w:sz w:val="27"/>
          <w:rtl/>
        </w:rPr>
        <w:t>السي</w:t>
      </w:r>
      <w:r w:rsidRPr="00904FCB">
        <w:rPr>
          <w:rFonts w:hint="cs"/>
          <w:sz w:val="27"/>
          <w:rtl/>
        </w:rPr>
        <w:t>د</w:t>
      </w:r>
      <w:r w:rsidRPr="00904FCB">
        <w:rPr>
          <w:sz w:val="27"/>
          <w:rtl/>
        </w:rPr>
        <w:t xml:space="preserve"> </w:t>
      </w:r>
      <w:r w:rsidR="00200F39" w:rsidRPr="00904FCB">
        <w:rPr>
          <w:rFonts w:hint="cs"/>
          <w:sz w:val="27"/>
          <w:rtl/>
        </w:rPr>
        <w:t>محم</w:t>
      </w:r>
      <w:r w:rsidRPr="00904FCB">
        <w:rPr>
          <w:rFonts w:hint="cs"/>
          <w:sz w:val="27"/>
          <w:rtl/>
        </w:rPr>
        <w:t>د</w:t>
      </w:r>
      <w:r w:rsidRPr="00904FCB">
        <w:rPr>
          <w:sz w:val="27"/>
          <w:rtl/>
        </w:rPr>
        <w:t xml:space="preserve"> </w:t>
      </w:r>
      <w:r w:rsidRPr="00904FCB">
        <w:rPr>
          <w:rFonts w:hint="cs"/>
          <w:sz w:val="27"/>
          <w:rtl/>
        </w:rPr>
        <w:t>باقر</w:t>
      </w:r>
      <w:r w:rsidRPr="00904FCB">
        <w:rPr>
          <w:sz w:val="27"/>
          <w:rtl/>
        </w:rPr>
        <w:t xml:space="preserve"> </w:t>
      </w:r>
      <w:r w:rsidRPr="00904FCB">
        <w:rPr>
          <w:rFonts w:hint="cs"/>
          <w:sz w:val="27"/>
          <w:rtl/>
        </w:rPr>
        <w:lastRenderedPageBreak/>
        <w:t>الصدر(</w:t>
      </w:r>
      <w:r w:rsidRPr="00783611">
        <w:rPr>
          <w:rFonts w:hint="cs"/>
          <w:sz w:val="27"/>
          <w:rtl/>
          <w:lang w:bidi="ar-LB"/>
        </w:rPr>
        <w:t>1980</w:t>
      </w:r>
      <w:r w:rsidRPr="00783611">
        <w:rPr>
          <w:rFonts w:hint="cs"/>
          <w:sz w:val="27"/>
          <w:rtl/>
        </w:rPr>
        <w:t>م</w:t>
      </w:r>
      <w:r w:rsidRPr="00904FCB">
        <w:rPr>
          <w:rFonts w:hint="cs"/>
          <w:sz w:val="27"/>
          <w:rtl/>
        </w:rPr>
        <w:t>)، وذلك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شرحه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العروة</w:t>
      </w:r>
      <w:r w:rsidRPr="00904FCB">
        <w:rPr>
          <w:sz w:val="27"/>
          <w:rtl/>
        </w:rPr>
        <w:t xml:space="preserve"> </w:t>
      </w:r>
      <w:r w:rsidRPr="00904FCB">
        <w:rPr>
          <w:rFonts w:hint="cs"/>
          <w:sz w:val="27"/>
          <w:rtl/>
        </w:rPr>
        <w:t>الوثقى</w:t>
      </w:r>
      <w:r w:rsidR="00200F39" w:rsidRPr="00904FCB">
        <w:rPr>
          <w:rFonts w:hint="cs"/>
          <w:sz w:val="27"/>
          <w:rtl/>
        </w:rPr>
        <w:t>.</w:t>
      </w:r>
      <w:r w:rsidRPr="00904FCB">
        <w:rPr>
          <w:rFonts w:hint="cs"/>
          <w:sz w:val="27"/>
          <w:rtl/>
        </w:rPr>
        <w:t xml:space="preserve"> وحيث</w:t>
      </w:r>
      <w:r w:rsidRPr="00904FCB">
        <w:rPr>
          <w:sz w:val="27"/>
          <w:rtl/>
        </w:rPr>
        <w:t xml:space="preserve"> </w:t>
      </w:r>
      <w:r w:rsidRPr="00904FCB">
        <w:rPr>
          <w:rFonts w:hint="cs"/>
          <w:sz w:val="27"/>
          <w:rtl/>
        </w:rPr>
        <w:t>إنّه</w:t>
      </w:r>
      <w:r w:rsidRPr="00904FCB">
        <w:rPr>
          <w:sz w:val="27"/>
          <w:rtl/>
        </w:rPr>
        <w:t xml:space="preserve"> </w:t>
      </w:r>
      <w:r w:rsidRPr="00904FCB">
        <w:rPr>
          <w:rFonts w:hint="cs"/>
          <w:sz w:val="27"/>
          <w:rtl/>
        </w:rPr>
        <w:t>يغنينا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الكثير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الأبحاث</w:t>
      </w:r>
      <w:r w:rsidRPr="00904FCB">
        <w:rPr>
          <w:sz w:val="27"/>
          <w:rtl/>
        </w:rPr>
        <w:t xml:space="preserve"> </w:t>
      </w:r>
      <w:r w:rsidRPr="00904FCB">
        <w:rPr>
          <w:rFonts w:hint="cs"/>
          <w:sz w:val="27"/>
          <w:rtl/>
        </w:rPr>
        <w:t>والكلمات فإنّنا</w:t>
      </w:r>
      <w:r w:rsidRPr="00904FCB">
        <w:rPr>
          <w:sz w:val="27"/>
          <w:rtl/>
        </w:rPr>
        <w:t xml:space="preserve"> </w:t>
      </w:r>
      <w:r w:rsidRPr="00904FCB">
        <w:rPr>
          <w:rFonts w:hint="cs"/>
          <w:sz w:val="27"/>
          <w:rtl/>
        </w:rPr>
        <w:t>ننقله</w:t>
      </w:r>
      <w:r w:rsidRPr="00904FCB">
        <w:rPr>
          <w:sz w:val="27"/>
          <w:rtl/>
        </w:rPr>
        <w:t xml:space="preserve"> </w:t>
      </w:r>
      <w:r w:rsidRPr="00904FCB">
        <w:rPr>
          <w:rFonts w:hint="cs"/>
          <w:sz w:val="27"/>
          <w:rtl/>
        </w:rPr>
        <w:t>بنصّه</w:t>
      </w:r>
      <w:r w:rsidRPr="00904FCB">
        <w:rPr>
          <w:sz w:val="27"/>
          <w:rtl/>
        </w:rPr>
        <w:t xml:space="preserve"> </w:t>
      </w:r>
      <w:r w:rsidRPr="00904FCB">
        <w:rPr>
          <w:rFonts w:hint="cs"/>
          <w:sz w:val="27"/>
          <w:rtl/>
        </w:rPr>
        <w:t>وإن</w:t>
      </w:r>
      <w:r w:rsidR="00200F39" w:rsidRPr="00904FCB">
        <w:rPr>
          <w:rFonts w:hint="cs"/>
          <w:sz w:val="27"/>
          <w:rtl/>
        </w:rPr>
        <w:t>ْ</w:t>
      </w:r>
      <w:r w:rsidRPr="00904FCB">
        <w:rPr>
          <w:sz w:val="27"/>
          <w:rtl/>
        </w:rPr>
        <w:t xml:space="preserve"> </w:t>
      </w:r>
      <w:r w:rsidRPr="00904FCB">
        <w:rPr>
          <w:rFonts w:hint="cs"/>
          <w:sz w:val="27"/>
          <w:rtl/>
        </w:rPr>
        <w:t>طال؛ نظراً</w:t>
      </w:r>
      <w:r w:rsidRPr="00904FCB">
        <w:rPr>
          <w:sz w:val="27"/>
          <w:rtl/>
        </w:rPr>
        <w:t xml:space="preserve"> </w:t>
      </w:r>
      <w:r w:rsidRPr="00904FCB">
        <w:rPr>
          <w:rFonts w:hint="cs"/>
          <w:sz w:val="27"/>
          <w:rtl/>
        </w:rPr>
        <w:t>لأهميّة</w:t>
      </w:r>
      <w:r w:rsidRPr="00904FCB">
        <w:rPr>
          <w:sz w:val="27"/>
          <w:rtl/>
        </w:rPr>
        <w:t xml:space="preserve"> </w:t>
      </w:r>
      <w:r w:rsidRPr="00904FCB">
        <w:rPr>
          <w:rFonts w:hint="cs"/>
          <w:sz w:val="27"/>
          <w:rtl/>
        </w:rPr>
        <w:t>ومحوريّة</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بهذه</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محلّ</w:t>
      </w:r>
      <w:r w:rsidRPr="00904FCB">
        <w:rPr>
          <w:sz w:val="27"/>
          <w:rtl/>
        </w:rPr>
        <w:t xml:space="preserve"> </w:t>
      </w:r>
      <w:r w:rsidRPr="00904FCB">
        <w:rPr>
          <w:rFonts w:hint="cs"/>
          <w:sz w:val="27"/>
          <w:rtl/>
        </w:rPr>
        <w:t>الكلام، وفي</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أصناف</w:t>
      </w:r>
      <w:r w:rsidRPr="00904FCB">
        <w:rPr>
          <w:sz w:val="27"/>
          <w:rtl/>
        </w:rPr>
        <w:t xml:space="preserve"> </w:t>
      </w:r>
      <w:r w:rsidRPr="00904FCB">
        <w:rPr>
          <w:rFonts w:hint="cs"/>
          <w:sz w:val="27"/>
          <w:rtl/>
        </w:rPr>
        <w:t>الكفّار</w:t>
      </w:r>
      <w:r w:rsidRPr="00904FCB">
        <w:rPr>
          <w:sz w:val="27"/>
          <w:rtl/>
        </w:rPr>
        <w:t xml:space="preserve"> </w:t>
      </w:r>
      <w:r w:rsidRPr="00904FCB">
        <w:rPr>
          <w:rFonts w:hint="cs"/>
          <w:sz w:val="27"/>
          <w:rtl/>
        </w:rPr>
        <w:t>أيضاً</w:t>
      </w:r>
      <w:r w:rsidR="00200F39" w:rsidRPr="00904FCB">
        <w:rPr>
          <w:sz w:val="27"/>
          <w:rtl/>
        </w:rPr>
        <w:t>.</w:t>
      </w:r>
    </w:p>
    <w:p w:rsidR="00F34FB9" w:rsidRPr="00904FCB" w:rsidRDefault="00F34FB9" w:rsidP="007A21AA">
      <w:pPr>
        <w:spacing w:line="400" w:lineRule="exact"/>
        <w:rPr>
          <w:sz w:val="27"/>
          <w:rtl/>
        </w:rPr>
      </w:pPr>
      <w:r w:rsidRPr="00904FCB">
        <w:rPr>
          <w:rFonts w:hint="cs"/>
          <w:sz w:val="27"/>
          <w:rtl/>
        </w:rPr>
        <w:t>قال</w:t>
      </w:r>
      <w:r w:rsidRPr="00904FCB">
        <w:rPr>
          <w:sz w:val="27"/>
          <w:rtl/>
        </w:rPr>
        <w:t xml:space="preserve">: </w:t>
      </w:r>
      <w:r w:rsidRPr="00904FCB">
        <w:rPr>
          <w:rFonts w:hint="eastAsia"/>
          <w:sz w:val="27"/>
          <w:rtl/>
        </w:rPr>
        <w:t>«</w:t>
      </w:r>
      <w:r w:rsidR="00200F39" w:rsidRPr="00904FCB">
        <w:rPr>
          <w:sz w:val="27"/>
          <w:rtl/>
        </w:rPr>
        <w:t>...</w:t>
      </w:r>
      <w:r w:rsidRPr="00904FCB">
        <w:rPr>
          <w:rFonts w:hint="cs"/>
          <w:sz w:val="27"/>
          <w:rtl/>
        </w:rPr>
        <w:t>وتحقيق</w:t>
      </w:r>
      <w:r w:rsidRPr="00904FCB">
        <w:rPr>
          <w:sz w:val="27"/>
          <w:rtl/>
        </w:rPr>
        <w:t xml:space="preserve"> </w:t>
      </w:r>
      <w:r w:rsidRPr="00904FCB">
        <w:rPr>
          <w:rFonts w:hint="cs"/>
          <w:sz w:val="27"/>
          <w:rtl/>
        </w:rPr>
        <w:t>الكلام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يقع</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ثلاث</w:t>
      </w:r>
      <w:r w:rsidRPr="00904FCB">
        <w:rPr>
          <w:sz w:val="27"/>
          <w:rtl/>
        </w:rPr>
        <w:t xml:space="preserve"> </w:t>
      </w:r>
      <w:r w:rsidRPr="00904FCB">
        <w:rPr>
          <w:rFonts w:hint="cs"/>
          <w:sz w:val="27"/>
          <w:rtl/>
        </w:rPr>
        <w:t>جهات</w:t>
      </w:r>
      <w:r w:rsidRPr="00904FCB">
        <w:rPr>
          <w:sz w:val="27"/>
          <w:rtl/>
        </w:rPr>
        <w:t xml:space="preserve">: </w:t>
      </w:r>
    </w:p>
    <w:p w:rsidR="00200F39" w:rsidRPr="00904FCB" w:rsidRDefault="00F34FB9" w:rsidP="007A21AA">
      <w:pPr>
        <w:spacing w:line="400" w:lineRule="exact"/>
        <w:rPr>
          <w:sz w:val="27"/>
          <w:rtl/>
        </w:rPr>
      </w:pPr>
      <w:r w:rsidRPr="00904FCB">
        <w:rPr>
          <w:rFonts w:hint="cs"/>
          <w:b/>
          <w:bCs/>
          <w:sz w:val="27"/>
          <w:rtl/>
        </w:rPr>
        <w:t>الجهة</w:t>
      </w:r>
      <w:r w:rsidRPr="00904FCB">
        <w:rPr>
          <w:b/>
          <w:bCs/>
          <w:sz w:val="27"/>
          <w:rtl/>
        </w:rPr>
        <w:t xml:space="preserve"> </w:t>
      </w:r>
      <w:r w:rsidRPr="00904FCB">
        <w:rPr>
          <w:rFonts w:hint="cs"/>
          <w:b/>
          <w:bCs/>
          <w:sz w:val="27"/>
          <w:rtl/>
        </w:rPr>
        <w:t>الأولى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إمكان</w:t>
      </w:r>
      <w:r w:rsidRPr="00904FCB">
        <w:rPr>
          <w:sz w:val="27"/>
          <w:rtl/>
        </w:rPr>
        <w:t xml:space="preserve"> </w:t>
      </w:r>
      <w:r w:rsidRPr="00904FCB">
        <w:rPr>
          <w:rFonts w:hint="cs"/>
          <w:sz w:val="27"/>
          <w:rtl/>
        </w:rPr>
        <w:t>استفادة</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بالمعنى</w:t>
      </w:r>
      <w:r w:rsidRPr="00904FCB">
        <w:rPr>
          <w:sz w:val="27"/>
          <w:rtl/>
        </w:rPr>
        <w:t xml:space="preserve"> </w:t>
      </w:r>
      <w:r w:rsidRPr="00904FCB">
        <w:rPr>
          <w:rFonts w:hint="cs"/>
          <w:sz w:val="27"/>
          <w:rtl/>
        </w:rPr>
        <w:t>المبحوث</w:t>
      </w:r>
      <w:r w:rsidRPr="00904FCB">
        <w:rPr>
          <w:sz w:val="27"/>
          <w:rtl/>
        </w:rPr>
        <w:t xml:space="preserve"> </w:t>
      </w:r>
      <w:r w:rsidRPr="00904FCB">
        <w:rPr>
          <w:rFonts w:hint="cs"/>
          <w:sz w:val="27"/>
          <w:rtl/>
        </w:rPr>
        <w:t>عنه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كلمة</w:t>
      </w:r>
      <w:r w:rsidRPr="00904FCB">
        <w:rPr>
          <w:sz w:val="27"/>
          <w:rtl/>
        </w:rPr>
        <w:t xml:space="preserve"> «</w:t>
      </w:r>
      <w:r w:rsidRPr="00904FCB">
        <w:rPr>
          <w:rFonts w:hint="cs"/>
          <w:sz w:val="27"/>
          <w:rtl/>
        </w:rPr>
        <w:t>نجس</w:t>
      </w:r>
      <w:r w:rsidRPr="00904FCB">
        <w:rPr>
          <w:rFonts w:hint="eastAsia"/>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الآية</w:t>
      </w:r>
      <w:r w:rsidR="00200F39" w:rsidRPr="00904FCB">
        <w:rPr>
          <w:sz w:val="27"/>
          <w:rtl/>
        </w:rPr>
        <w:t>.</w:t>
      </w:r>
    </w:p>
    <w:p w:rsidR="00200F39" w:rsidRPr="00904FCB" w:rsidRDefault="00F34FB9" w:rsidP="007A21AA">
      <w:pPr>
        <w:spacing w:line="400" w:lineRule="exact"/>
        <w:rPr>
          <w:sz w:val="27"/>
          <w:rtl/>
        </w:rPr>
      </w:pPr>
      <w:r w:rsidRPr="00904FCB">
        <w:rPr>
          <w:rFonts w:hint="cs"/>
          <w:sz w:val="27"/>
          <w:rtl/>
        </w:rPr>
        <w:t>وتوضيحه</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كلمة</w:t>
      </w:r>
      <w:r w:rsidRPr="00904FCB">
        <w:rPr>
          <w:sz w:val="27"/>
          <w:rtl/>
        </w:rPr>
        <w:t xml:space="preserve"> </w:t>
      </w:r>
      <w:r w:rsidRPr="00904FCB">
        <w:rPr>
          <w:rFonts w:hint="cs"/>
          <w:sz w:val="27"/>
          <w:rtl/>
        </w:rPr>
        <w:t>ن</w:t>
      </w:r>
      <w:r w:rsidR="00200F39" w:rsidRPr="00904FCB">
        <w:rPr>
          <w:rFonts w:hint="cs"/>
          <w:sz w:val="27"/>
          <w:rtl/>
        </w:rPr>
        <w:t>َ</w:t>
      </w:r>
      <w:r w:rsidRPr="00904FCB">
        <w:rPr>
          <w:rFonts w:hint="cs"/>
          <w:sz w:val="27"/>
          <w:rtl/>
        </w:rPr>
        <w:t>ج</w:t>
      </w:r>
      <w:r w:rsidR="00200F39" w:rsidRPr="00904FCB">
        <w:rPr>
          <w:rFonts w:hint="cs"/>
          <w:sz w:val="27"/>
          <w:rtl/>
        </w:rPr>
        <w:t>َ</w:t>
      </w:r>
      <w:r w:rsidRPr="00904FCB">
        <w:rPr>
          <w:rFonts w:hint="cs"/>
          <w:sz w:val="27"/>
          <w:rtl/>
        </w:rPr>
        <w:t>س</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بفتح</w:t>
      </w:r>
      <w:r w:rsidRPr="00904FCB">
        <w:rPr>
          <w:sz w:val="27"/>
          <w:rtl/>
        </w:rPr>
        <w:t xml:space="preserve"> </w:t>
      </w:r>
      <w:r w:rsidRPr="00904FCB">
        <w:rPr>
          <w:rFonts w:hint="cs"/>
          <w:sz w:val="27"/>
          <w:rtl/>
        </w:rPr>
        <w:t>الجيم</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مصدر، والنجاسة</w:t>
      </w:r>
      <w:r w:rsidRPr="00904FCB">
        <w:rPr>
          <w:sz w:val="27"/>
          <w:rtl/>
        </w:rPr>
        <w:t xml:space="preserve"> </w:t>
      </w:r>
      <w:r w:rsidRPr="00904FCB">
        <w:rPr>
          <w:rFonts w:hint="cs"/>
          <w:sz w:val="27"/>
          <w:rtl/>
        </w:rPr>
        <w:t>اسم</w:t>
      </w:r>
      <w:r w:rsidRPr="00904FCB">
        <w:rPr>
          <w:sz w:val="27"/>
          <w:rtl/>
        </w:rPr>
        <w:t xml:space="preserve"> </w:t>
      </w:r>
      <w:r w:rsidRPr="00904FCB">
        <w:rPr>
          <w:rFonts w:hint="cs"/>
          <w:sz w:val="27"/>
          <w:rtl/>
        </w:rPr>
        <w:t>مصدر، وأمّا</w:t>
      </w:r>
      <w:r w:rsidRPr="00904FCB">
        <w:rPr>
          <w:sz w:val="27"/>
          <w:rtl/>
        </w:rPr>
        <w:t xml:space="preserve"> </w:t>
      </w:r>
      <w:r w:rsidRPr="00904FCB">
        <w:rPr>
          <w:rFonts w:hint="cs"/>
          <w:sz w:val="27"/>
          <w:rtl/>
        </w:rPr>
        <w:t>الوصف</w:t>
      </w:r>
      <w:r w:rsidRPr="00904FCB">
        <w:rPr>
          <w:sz w:val="27"/>
          <w:rtl/>
        </w:rPr>
        <w:t xml:space="preserve"> </w:t>
      </w:r>
      <w:r w:rsidRPr="00904FCB">
        <w:rPr>
          <w:rFonts w:hint="cs"/>
          <w:sz w:val="27"/>
          <w:rtl/>
        </w:rPr>
        <w:t>فهو</w:t>
      </w:r>
      <w:r w:rsidRPr="00904FCB">
        <w:rPr>
          <w:sz w:val="27"/>
          <w:rtl/>
        </w:rPr>
        <w:t xml:space="preserve"> </w:t>
      </w:r>
      <w:r w:rsidRPr="00904FCB">
        <w:rPr>
          <w:rFonts w:hint="cs"/>
          <w:sz w:val="27"/>
          <w:rtl/>
        </w:rPr>
        <w:t>ن</w:t>
      </w:r>
      <w:r w:rsidR="00200F39" w:rsidRPr="00904FCB">
        <w:rPr>
          <w:rFonts w:hint="cs"/>
          <w:sz w:val="27"/>
          <w:rtl/>
        </w:rPr>
        <w:t>َ</w:t>
      </w:r>
      <w:r w:rsidRPr="00904FCB">
        <w:rPr>
          <w:rFonts w:hint="cs"/>
          <w:sz w:val="27"/>
          <w:rtl/>
        </w:rPr>
        <w:t>ج</w:t>
      </w:r>
      <w:r w:rsidR="00200F39" w:rsidRPr="00904FCB">
        <w:rPr>
          <w:rFonts w:hint="cs"/>
          <w:sz w:val="27"/>
          <w:rtl/>
        </w:rPr>
        <w:t>ِ</w:t>
      </w:r>
      <w:r w:rsidRPr="00904FCB">
        <w:rPr>
          <w:rFonts w:hint="cs"/>
          <w:sz w:val="27"/>
          <w:rtl/>
        </w:rPr>
        <w:t>س</w:t>
      </w:r>
      <w:r w:rsidR="00200F39" w:rsidRPr="00904FCB">
        <w:rPr>
          <w:rFonts w:hint="cs"/>
          <w:sz w:val="27"/>
          <w:rtl/>
        </w:rPr>
        <w:t>،</w:t>
      </w:r>
      <w:r w:rsidRPr="00904FCB">
        <w:rPr>
          <w:sz w:val="27"/>
          <w:rtl/>
        </w:rPr>
        <w:t xml:space="preserve"> </w:t>
      </w:r>
      <w:r w:rsidRPr="00904FCB">
        <w:rPr>
          <w:rFonts w:hint="cs"/>
          <w:sz w:val="27"/>
          <w:rtl/>
        </w:rPr>
        <w:t>بكسر</w:t>
      </w:r>
      <w:r w:rsidRPr="00904FCB">
        <w:rPr>
          <w:sz w:val="27"/>
          <w:rtl/>
        </w:rPr>
        <w:t xml:space="preserve"> </w:t>
      </w:r>
      <w:r w:rsidRPr="00904FCB">
        <w:rPr>
          <w:rFonts w:hint="cs"/>
          <w:sz w:val="27"/>
          <w:rtl/>
        </w:rPr>
        <w:t>الجيم</w:t>
      </w:r>
      <w:r w:rsidR="00200F39" w:rsidRPr="00904FCB">
        <w:rPr>
          <w:sz w:val="27"/>
          <w:rtl/>
        </w:rPr>
        <w:t>.</w:t>
      </w:r>
    </w:p>
    <w:p w:rsidR="00F34FB9" w:rsidRPr="00904FCB" w:rsidRDefault="00F34FB9" w:rsidP="007A21AA">
      <w:pPr>
        <w:spacing w:line="400" w:lineRule="exact"/>
        <w:rPr>
          <w:sz w:val="27"/>
          <w:rtl/>
        </w:rPr>
      </w:pPr>
      <w:r w:rsidRPr="00904FCB">
        <w:rPr>
          <w:rFonts w:hint="cs"/>
          <w:sz w:val="27"/>
          <w:rtl/>
        </w:rPr>
        <w:t>نعم، ذكر</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كلمة</w:t>
      </w:r>
      <w:r w:rsidRPr="00904FCB">
        <w:rPr>
          <w:sz w:val="27"/>
          <w:rtl/>
        </w:rPr>
        <w:t xml:space="preserve"> </w:t>
      </w:r>
      <w:r w:rsidRPr="00904FCB">
        <w:rPr>
          <w:rFonts w:hint="cs"/>
          <w:sz w:val="27"/>
          <w:rtl/>
        </w:rPr>
        <w:t>ن</w:t>
      </w:r>
      <w:r w:rsidR="00200F39" w:rsidRPr="00904FCB">
        <w:rPr>
          <w:rFonts w:hint="cs"/>
          <w:sz w:val="27"/>
          <w:rtl/>
        </w:rPr>
        <w:t>َ</w:t>
      </w:r>
      <w:r w:rsidRPr="00904FCB">
        <w:rPr>
          <w:rFonts w:hint="cs"/>
          <w:sz w:val="27"/>
          <w:rtl/>
        </w:rPr>
        <w:t>ج</w:t>
      </w:r>
      <w:r w:rsidR="00200F39" w:rsidRPr="00904FCB">
        <w:rPr>
          <w:rFonts w:hint="cs"/>
          <w:sz w:val="27"/>
          <w:rtl/>
        </w:rPr>
        <w:t>َ</w:t>
      </w:r>
      <w:r w:rsidRPr="00904FCB">
        <w:rPr>
          <w:rFonts w:hint="cs"/>
          <w:sz w:val="27"/>
          <w:rtl/>
        </w:rPr>
        <w:t>س</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بفتح</w:t>
      </w:r>
      <w:r w:rsidRPr="00904FCB">
        <w:rPr>
          <w:sz w:val="27"/>
          <w:rtl/>
        </w:rPr>
        <w:t xml:space="preserve"> </w:t>
      </w:r>
      <w:r w:rsidRPr="00904FCB">
        <w:rPr>
          <w:rFonts w:hint="cs"/>
          <w:sz w:val="27"/>
          <w:rtl/>
        </w:rPr>
        <w:t>الجيم</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تأتي</w:t>
      </w:r>
      <w:r w:rsidRPr="00904FCB">
        <w:rPr>
          <w:sz w:val="27"/>
          <w:rtl/>
        </w:rPr>
        <w:t xml:space="preserve"> </w:t>
      </w:r>
      <w:r w:rsidRPr="00904FCB">
        <w:rPr>
          <w:rFonts w:hint="cs"/>
          <w:sz w:val="27"/>
          <w:rtl/>
        </w:rPr>
        <w:t>أيضاً</w:t>
      </w:r>
      <w:r w:rsidRPr="00904FCB">
        <w:rPr>
          <w:sz w:val="27"/>
          <w:rtl/>
        </w:rPr>
        <w:t xml:space="preserve"> </w:t>
      </w:r>
      <w:r w:rsidRPr="00904FCB">
        <w:rPr>
          <w:rFonts w:hint="cs"/>
          <w:sz w:val="27"/>
          <w:rtl/>
        </w:rPr>
        <w:t>بمعنى</w:t>
      </w:r>
      <w:r w:rsidRPr="00904FCB">
        <w:rPr>
          <w:sz w:val="27"/>
          <w:rtl/>
        </w:rPr>
        <w:t xml:space="preserve"> </w:t>
      </w:r>
      <w:r w:rsidRPr="00904FCB">
        <w:rPr>
          <w:rFonts w:hint="cs"/>
          <w:sz w:val="27"/>
          <w:rtl/>
        </w:rPr>
        <w:t>الوصف</w:t>
      </w:r>
      <w:r w:rsidR="00200F39" w:rsidRPr="00904FCB">
        <w:rPr>
          <w:sz w:val="27"/>
          <w:rtl/>
        </w:rPr>
        <w:t xml:space="preserve">. </w:t>
      </w:r>
      <w:r w:rsidRPr="00904FCB">
        <w:rPr>
          <w:rFonts w:hint="cs"/>
          <w:sz w:val="27"/>
          <w:rtl/>
        </w:rPr>
        <w:t>وهذا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س</w:t>
      </w:r>
      <w:r w:rsidR="00200F39" w:rsidRPr="00904FCB">
        <w:rPr>
          <w:rFonts w:hint="cs"/>
          <w:sz w:val="27"/>
          <w:rtl/>
        </w:rPr>
        <w:t>ُ</w:t>
      </w:r>
      <w:r w:rsidRPr="00904FCB">
        <w:rPr>
          <w:rFonts w:hint="cs"/>
          <w:sz w:val="27"/>
          <w:rtl/>
        </w:rPr>
        <w:t>لّ</w:t>
      </w:r>
      <w:r w:rsidR="00200F39" w:rsidRPr="00904FCB">
        <w:rPr>
          <w:rFonts w:hint="cs"/>
          <w:sz w:val="27"/>
          <w:rtl/>
        </w:rPr>
        <w:t>ِ</w:t>
      </w:r>
      <w:r w:rsidRPr="00904FCB">
        <w:rPr>
          <w:rFonts w:hint="cs"/>
          <w:sz w:val="27"/>
          <w:rtl/>
        </w:rPr>
        <w:t>م</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ش</w:t>
      </w:r>
      <w:r w:rsidR="00200F39" w:rsidRPr="00904FCB">
        <w:rPr>
          <w:rFonts w:hint="cs"/>
          <w:sz w:val="27"/>
          <w:rtl/>
        </w:rPr>
        <w:t>َ</w:t>
      </w:r>
      <w:r w:rsidRPr="00904FCB">
        <w:rPr>
          <w:rFonts w:hint="cs"/>
          <w:sz w:val="27"/>
          <w:rtl/>
        </w:rPr>
        <w:t>كّ</w:t>
      </w:r>
      <w:r w:rsidR="00200F39"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الظاهر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الكريمة</w:t>
      </w:r>
      <w:r w:rsidRPr="00904FCB">
        <w:rPr>
          <w:sz w:val="27"/>
          <w:rtl/>
        </w:rPr>
        <w:t xml:space="preserve"> </w:t>
      </w:r>
      <w:r w:rsidRPr="00904FCB">
        <w:rPr>
          <w:rFonts w:hint="cs"/>
          <w:sz w:val="27"/>
          <w:rtl/>
        </w:rPr>
        <w:t>إرادة</w:t>
      </w:r>
      <w:r w:rsidRPr="00904FCB">
        <w:rPr>
          <w:sz w:val="27"/>
          <w:rtl/>
        </w:rPr>
        <w:t xml:space="preserve"> </w:t>
      </w:r>
      <w:r w:rsidRPr="00904FCB">
        <w:rPr>
          <w:rFonts w:hint="cs"/>
          <w:sz w:val="27"/>
          <w:rtl/>
        </w:rPr>
        <w:t>المعنى</w:t>
      </w:r>
      <w:r w:rsidRPr="00904FCB">
        <w:rPr>
          <w:sz w:val="27"/>
          <w:rtl/>
        </w:rPr>
        <w:t xml:space="preserve"> </w:t>
      </w:r>
      <w:r w:rsidRPr="00904FCB">
        <w:rPr>
          <w:rFonts w:hint="cs"/>
          <w:sz w:val="27"/>
          <w:rtl/>
        </w:rPr>
        <w:t>الأوّل، أي</w:t>
      </w:r>
      <w:r w:rsidRPr="00904FCB">
        <w:rPr>
          <w:sz w:val="27"/>
          <w:rtl/>
        </w:rPr>
        <w:t xml:space="preserve"> </w:t>
      </w:r>
      <w:r w:rsidRPr="00904FCB">
        <w:rPr>
          <w:rFonts w:hint="cs"/>
          <w:sz w:val="27"/>
          <w:rtl/>
        </w:rPr>
        <w:t>المصدر؛ إذ</w:t>
      </w:r>
      <w:r w:rsidRPr="00904FCB">
        <w:rPr>
          <w:sz w:val="27"/>
          <w:rtl/>
        </w:rPr>
        <w:t xml:space="preserve"> </w:t>
      </w:r>
      <w:r w:rsidRPr="00904FCB">
        <w:rPr>
          <w:rFonts w:hint="cs"/>
          <w:sz w:val="27"/>
          <w:rtl/>
        </w:rPr>
        <w:t>بناءً</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الوصفيّة</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مقتضى</w:t>
      </w:r>
      <w:r w:rsidRPr="00904FCB">
        <w:rPr>
          <w:sz w:val="27"/>
          <w:rtl/>
        </w:rPr>
        <w:t xml:space="preserve"> </w:t>
      </w:r>
      <w:r w:rsidRPr="00904FCB">
        <w:rPr>
          <w:rFonts w:hint="cs"/>
          <w:sz w:val="27"/>
          <w:rtl/>
        </w:rPr>
        <w:t>الطبع</w:t>
      </w:r>
      <w:r w:rsidRPr="00904FCB">
        <w:rPr>
          <w:sz w:val="27"/>
          <w:rtl/>
        </w:rPr>
        <w:t xml:space="preserve"> </w:t>
      </w:r>
      <w:r w:rsidRPr="00904FCB">
        <w:rPr>
          <w:rFonts w:hint="cs"/>
          <w:sz w:val="27"/>
          <w:rtl/>
        </w:rPr>
        <w:t>المطابقة</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الوصف</w:t>
      </w:r>
      <w:r w:rsidRPr="00904FCB">
        <w:rPr>
          <w:sz w:val="27"/>
          <w:rtl/>
        </w:rPr>
        <w:t xml:space="preserve"> </w:t>
      </w:r>
      <w:r w:rsidRPr="00904FCB">
        <w:rPr>
          <w:rFonts w:hint="cs"/>
          <w:sz w:val="27"/>
          <w:rtl/>
        </w:rPr>
        <w:t>والموصوف</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الجمع، بخلافه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المصدريّة؛ لأنّ</w:t>
      </w:r>
      <w:r w:rsidRPr="00904FCB">
        <w:rPr>
          <w:sz w:val="27"/>
          <w:rtl/>
        </w:rPr>
        <w:t xml:space="preserve"> </w:t>
      </w:r>
      <w:r w:rsidRPr="00904FCB">
        <w:rPr>
          <w:rFonts w:hint="cs"/>
          <w:sz w:val="27"/>
          <w:rtl/>
        </w:rPr>
        <w:t>نفس</w:t>
      </w:r>
      <w:r w:rsidRPr="00904FCB">
        <w:rPr>
          <w:sz w:val="27"/>
          <w:rtl/>
        </w:rPr>
        <w:t xml:space="preserve"> </w:t>
      </w:r>
      <w:r w:rsidRPr="00904FCB">
        <w:rPr>
          <w:rFonts w:hint="cs"/>
          <w:sz w:val="27"/>
          <w:rtl/>
        </w:rPr>
        <w:t>العناية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w:t>
      </w:r>
      <w:r w:rsidR="00200F39" w:rsidRPr="00904FCB">
        <w:rPr>
          <w:rFonts w:hint="cs"/>
          <w:sz w:val="27"/>
          <w:rtl/>
        </w:rPr>
        <w:t>ُ</w:t>
      </w:r>
      <w:r w:rsidRPr="00904FCB">
        <w:rPr>
          <w:rFonts w:hint="cs"/>
          <w:sz w:val="27"/>
          <w:rtl/>
        </w:rPr>
        <w:t>دّ</w:t>
      </w:r>
      <w:r w:rsidR="00200F39"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إعمالها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الشخص</w:t>
      </w:r>
      <w:r w:rsidRPr="00904FCB">
        <w:rPr>
          <w:sz w:val="27"/>
          <w:rtl/>
        </w:rPr>
        <w:t xml:space="preserve"> </w:t>
      </w:r>
      <w:r w:rsidRPr="00904FCB">
        <w:rPr>
          <w:rFonts w:hint="cs"/>
          <w:sz w:val="27"/>
          <w:rtl/>
        </w:rPr>
        <w:t>الواحد</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المصدر</w:t>
      </w:r>
      <w:r w:rsidRPr="00904FCB">
        <w:rPr>
          <w:sz w:val="27"/>
          <w:rtl/>
        </w:rPr>
        <w:t xml:space="preserve"> </w:t>
      </w:r>
      <w:r w:rsidRPr="00904FCB">
        <w:rPr>
          <w:rFonts w:hint="cs"/>
          <w:sz w:val="27"/>
          <w:rtl/>
        </w:rPr>
        <w:t>عليه</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إعمالها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مجموع</w:t>
      </w:r>
      <w:r w:rsidRPr="00904FCB">
        <w:rPr>
          <w:sz w:val="27"/>
          <w:rtl/>
        </w:rPr>
        <w:t xml:space="preserve"> </w:t>
      </w:r>
      <w:r w:rsidRPr="00904FCB">
        <w:rPr>
          <w:rFonts w:hint="cs"/>
          <w:sz w:val="27"/>
          <w:rtl/>
        </w:rPr>
        <w:t>الجماعة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وعليه</w:t>
      </w:r>
      <w:r w:rsidRPr="00904FCB">
        <w:rPr>
          <w:sz w:val="27"/>
          <w:rtl/>
        </w:rPr>
        <w:t xml:space="preserve"> </w:t>
      </w:r>
      <w:r w:rsidRPr="00904FCB">
        <w:rPr>
          <w:rFonts w:hint="cs"/>
          <w:sz w:val="27"/>
          <w:rtl/>
        </w:rPr>
        <w:t>يقع</w:t>
      </w:r>
      <w:r w:rsidRPr="00904FCB">
        <w:rPr>
          <w:sz w:val="27"/>
          <w:rtl/>
        </w:rPr>
        <w:t xml:space="preserve"> </w:t>
      </w:r>
      <w:r w:rsidRPr="00904FCB">
        <w:rPr>
          <w:rFonts w:hint="cs"/>
          <w:sz w:val="27"/>
          <w:rtl/>
        </w:rPr>
        <w:t>الكلام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تعيين</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المعنى</w:t>
      </w:r>
      <w:r w:rsidRPr="00904FCB">
        <w:rPr>
          <w:sz w:val="27"/>
          <w:rtl/>
        </w:rPr>
        <w:t xml:space="preserve"> </w:t>
      </w:r>
      <w:r w:rsidRPr="00904FCB">
        <w:rPr>
          <w:rFonts w:hint="cs"/>
          <w:sz w:val="27"/>
          <w:rtl/>
        </w:rPr>
        <w:t>المصدري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الآية؛ فإنّ</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تتصوّر</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أنحاء</w:t>
      </w:r>
      <w:r w:rsidRPr="00904FCB">
        <w:rPr>
          <w:sz w:val="27"/>
          <w:rtl/>
        </w:rPr>
        <w:t xml:space="preserve"> </w:t>
      </w:r>
      <w:r w:rsidRPr="00904FCB">
        <w:rPr>
          <w:rFonts w:hint="cs"/>
          <w:sz w:val="27"/>
          <w:rtl/>
        </w:rPr>
        <w:t>ثلاثة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الأو</w:t>
      </w:r>
      <w:r w:rsidR="00200F39" w:rsidRPr="00904FCB">
        <w:rPr>
          <w:rFonts w:hint="cs"/>
          <w:b/>
          <w:bCs/>
          <w:sz w:val="27"/>
          <w:rtl/>
        </w:rPr>
        <w:t>ّ</w:t>
      </w:r>
      <w:r w:rsidRPr="00904FCB">
        <w:rPr>
          <w:rFonts w:hint="cs"/>
          <w:b/>
          <w:bCs/>
          <w:sz w:val="27"/>
          <w:rtl/>
        </w:rPr>
        <w:t>ل</w:t>
      </w:r>
      <w:r w:rsidRPr="00904FCB">
        <w:rPr>
          <w:sz w:val="27"/>
          <w:rtl/>
        </w:rPr>
        <w:t xml:space="preserve">: </w:t>
      </w:r>
      <w:r w:rsidRPr="00904FCB">
        <w:rPr>
          <w:rFonts w:hint="cs"/>
          <w:sz w:val="27"/>
          <w:rtl/>
        </w:rPr>
        <w:t>قذارة</w:t>
      </w:r>
      <w:r w:rsidRPr="00904FCB">
        <w:rPr>
          <w:sz w:val="27"/>
          <w:rtl/>
        </w:rPr>
        <w:t xml:space="preserve"> </w:t>
      </w:r>
      <w:r w:rsidRPr="00904FCB">
        <w:rPr>
          <w:rFonts w:hint="cs"/>
          <w:sz w:val="27"/>
          <w:rtl/>
        </w:rPr>
        <w:t>حس</w:t>
      </w:r>
      <w:r w:rsidR="00200F39" w:rsidRPr="00904FCB">
        <w:rPr>
          <w:rFonts w:hint="cs"/>
          <w:sz w:val="27"/>
          <w:rtl/>
        </w:rPr>
        <w:t>ّ</w:t>
      </w:r>
      <w:r w:rsidRPr="00904FCB">
        <w:rPr>
          <w:rFonts w:hint="cs"/>
          <w:sz w:val="27"/>
          <w:rtl/>
        </w:rPr>
        <w:t>يّة</w:t>
      </w:r>
      <w:r w:rsidRPr="00904FCB">
        <w:rPr>
          <w:sz w:val="27"/>
          <w:rtl/>
        </w:rPr>
        <w:t xml:space="preserve"> </w:t>
      </w:r>
      <w:r w:rsidRPr="00904FCB">
        <w:rPr>
          <w:rFonts w:hint="cs"/>
          <w:sz w:val="27"/>
          <w:rtl/>
        </w:rPr>
        <w:t>قائمة</w:t>
      </w:r>
      <w:r w:rsidRPr="00904FCB">
        <w:rPr>
          <w:sz w:val="27"/>
          <w:rtl/>
        </w:rPr>
        <w:t xml:space="preserve"> </w:t>
      </w:r>
      <w:r w:rsidRPr="00904FCB">
        <w:rPr>
          <w:rFonts w:hint="cs"/>
          <w:sz w:val="27"/>
          <w:rtl/>
        </w:rPr>
        <w:t>بالجسم</w:t>
      </w:r>
      <w:r w:rsidRPr="00904FCB">
        <w:rPr>
          <w:sz w:val="27"/>
          <w:rtl/>
        </w:rPr>
        <w:t xml:space="preserve"> </w:t>
      </w:r>
      <w:r w:rsidRPr="00904FCB">
        <w:rPr>
          <w:rFonts w:hint="cs"/>
          <w:sz w:val="27"/>
          <w:rtl/>
        </w:rPr>
        <w:t>خارجاً</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الثاني</w:t>
      </w:r>
      <w:r w:rsidRPr="00904FCB">
        <w:rPr>
          <w:sz w:val="27"/>
          <w:rtl/>
        </w:rPr>
        <w:t xml:space="preserve">: </w:t>
      </w:r>
      <w:r w:rsidRPr="00904FCB">
        <w:rPr>
          <w:rFonts w:hint="cs"/>
          <w:sz w:val="27"/>
          <w:rtl/>
        </w:rPr>
        <w:t>قذارة</w:t>
      </w:r>
      <w:r w:rsidRPr="00904FCB">
        <w:rPr>
          <w:sz w:val="27"/>
          <w:rtl/>
        </w:rPr>
        <w:t xml:space="preserve"> </w:t>
      </w:r>
      <w:r w:rsidRPr="00904FCB">
        <w:rPr>
          <w:rFonts w:hint="cs"/>
          <w:sz w:val="27"/>
          <w:rtl/>
        </w:rPr>
        <w:t>قائمة</w:t>
      </w:r>
      <w:r w:rsidRPr="00904FCB">
        <w:rPr>
          <w:sz w:val="27"/>
          <w:rtl/>
        </w:rPr>
        <w:t xml:space="preserve"> </w:t>
      </w:r>
      <w:r w:rsidRPr="00904FCB">
        <w:rPr>
          <w:rFonts w:hint="cs"/>
          <w:sz w:val="27"/>
          <w:rtl/>
        </w:rPr>
        <w:t>بالشخص</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المعنى</w:t>
      </w:r>
      <w:r w:rsidR="00AD626C" w:rsidRPr="00904FCB">
        <w:rPr>
          <w:rFonts w:hint="cs"/>
          <w:sz w:val="27"/>
          <w:rtl/>
        </w:rPr>
        <w:t>.</w:t>
      </w:r>
      <w:r w:rsidRPr="00904FCB">
        <w:rPr>
          <w:rFonts w:hint="cs"/>
          <w:sz w:val="27"/>
          <w:rtl/>
        </w:rPr>
        <w:t xml:space="preserve"> وقد</w:t>
      </w:r>
      <w:r w:rsidRPr="00904FCB">
        <w:rPr>
          <w:sz w:val="27"/>
          <w:rtl/>
        </w:rPr>
        <w:t xml:space="preserve"> </w:t>
      </w:r>
      <w:r w:rsidRPr="00904FCB">
        <w:rPr>
          <w:rFonts w:hint="cs"/>
          <w:sz w:val="27"/>
          <w:rtl/>
        </w:rPr>
        <w:t>يعبَّر</w:t>
      </w:r>
      <w:r w:rsidRPr="00904FCB">
        <w:rPr>
          <w:sz w:val="27"/>
          <w:rtl/>
        </w:rPr>
        <w:t xml:space="preserve"> </w:t>
      </w:r>
      <w:r w:rsidRPr="00904FCB">
        <w:rPr>
          <w:rFonts w:hint="cs"/>
          <w:sz w:val="27"/>
          <w:rtl/>
        </w:rPr>
        <w:t>عنها</w:t>
      </w:r>
      <w:r w:rsidRPr="00904FCB">
        <w:rPr>
          <w:sz w:val="27"/>
          <w:rtl/>
        </w:rPr>
        <w:t xml:space="preserve"> </w:t>
      </w:r>
      <w:r w:rsidRPr="00904FCB">
        <w:rPr>
          <w:rFonts w:hint="cs"/>
          <w:sz w:val="27"/>
          <w:rtl/>
        </w:rPr>
        <w:t>بالخبث</w:t>
      </w:r>
      <w:r w:rsidRPr="00904FCB">
        <w:rPr>
          <w:sz w:val="27"/>
          <w:rtl/>
        </w:rPr>
        <w:t xml:space="preserve"> </w:t>
      </w:r>
      <w:r w:rsidRPr="00904FCB">
        <w:rPr>
          <w:rFonts w:hint="cs"/>
          <w:sz w:val="27"/>
          <w:rtl/>
        </w:rPr>
        <w:t>وسوء</w:t>
      </w:r>
      <w:r w:rsidRPr="00904FCB">
        <w:rPr>
          <w:sz w:val="27"/>
          <w:rtl/>
        </w:rPr>
        <w:t xml:space="preserve"> </w:t>
      </w:r>
      <w:r w:rsidRPr="00904FCB">
        <w:rPr>
          <w:rFonts w:hint="cs"/>
          <w:sz w:val="27"/>
          <w:rtl/>
        </w:rPr>
        <w:t>السريرة، ويقول</w:t>
      </w:r>
      <w:r w:rsidRPr="00904FCB">
        <w:rPr>
          <w:sz w:val="27"/>
          <w:rtl/>
        </w:rPr>
        <w:t xml:space="preserve"> </w:t>
      </w:r>
      <w:r w:rsidRPr="00904FCB">
        <w:rPr>
          <w:rFonts w:hint="cs"/>
          <w:sz w:val="27"/>
          <w:rtl/>
        </w:rPr>
        <w:t>الراغب</w:t>
      </w:r>
      <w:r w:rsidRPr="00904FCB">
        <w:rPr>
          <w:sz w:val="27"/>
          <w:rtl/>
        </w:rPr>
        <w:t xml:space="preserve"> </w:t>
      </w:r>
      <w:r w:rsidRPr="00904FCB">
        <w:rPr>
          <w:rFonts w:hint="cs"/>
          <w:sz w:val="27"/>
          <w:rtl/>
        </w:rPr>
        <w:t>الإصفهاني</w:t>
      </w:r>
      <w:r w:rsidRPr="00904FCB">
        <w:rPr>
          <w:sz w:val="27"/>
          <w:rtl/>
        </w:rPr>
        <w:t>: «</w:t>
      </w:r>
      <w:r w:rsidRPr="00904FCB">
        <w:rPr>
          <w:rFonts w:hint="cs"/>
          <w:sz w:val="27"/>
          <w:rtl/>
        </w:rPr>
        <w:t>إنّ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قذارة</w:t>
      </w:r>
      <w:r w:rsidRPr="00904FCB">
        <w:rPr>
          <w:sz w:val="27"/>
          <w:rtl/>
        </w:rPr>
        <w:t xml:space="preserve"> </w:t>
      </w:r>
      <w:r w:rsidRPr="00904FCB">
        <w:rPr>
          <w:rFonts w:hint="cs"/>
          <w:sz w:val="27"/>
          <w:rtl/>
        </w:rPr>
        <w:t>تدرك</w:t>
      </w:r>
      <w:r w:rsidRPr="00904FCB">
        <w:rPr>
          <w:sz w:val="27"/>
          <w:rtl/>
        </w:rPr>
        <w:t xml:space="preserve"> </w:t>
      </w:r>
      <w:r w:rsidRPr="00904FCB">
        <w:rPr>
          <w:rFonts w:hint="cs"/>
          <w:sz w:val="27"/>
          <w:rtl/>
        </w:rPr>
        <w:t>بالبصيرة</w:t>
      </w:r>
      <w:r w:rsidR="00AD626C" w:rsidRPr="00904FCB">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بالبصر</w:t>
      </w:r>
      <w:r w:rsidRPr="00904FCB">
        <w:rPr>
          <w:rFonts w:hint="eastAsia"/>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الثالث</w:t>
      </w:r>
      <w:r w:rsidRPr="00904FCB">
        <w:rPr>
          <w:sz w:val="27"/>
          <w:rtl/>
        </w:rPr>
        <w:t xml:space="preserve">: </w:t>
      </w:r>
      <w:r w:rsidRPr="00904FCB">
        <w:rPr>
          <w:rFonts w:hint="cs"/>
          <w:sz w:val="27"/>
          <w:rtl/>
        </w:rPr>
        <w:t>قذارة</w:t>
      </w:r>
      <w:r w:rsidRPr="00904FCB">
        <w:rPr>
          <w:sz w:val="27"/>
          <w:rtl/>
        </w:rPr>
        <w:t xml:space="preserve"> </w:t>
      </w:r>
      <w:r w:rsidRPr="00904FCB">
        <w:rPr>
          <w:rFonts w:hint="cs"/>
          <w:sz w:val="27"/>
          <w:rtl/>
        </w:rPr>
        <w:t>قائمة</w:t>
      </w:r>
      <w:r w:rsidRPr="00904FCB">
        <w:rPr>
          <w:sz w:val="27"/>
          <w:rtl/>
        </w:rPr>
        <w:t xml:space="preserve"> </w:t>
      </w:r>
      <w:r w:rsidRPr="00904FCB">
        <w:rPr>
          <w:rFonts w:hint="cs"/>
          <w:sz w:val="27"/>
          <w:rtl/>
        </w:rPr>
        <w:t>بالجسم</w:t>
      </w:r>
      <w:r w:rsidR="00AD626C" w:rsidRPr="00904FCB">
        <w:rPr>
          <w:rFonts w:hint="cs"/>
          <w:sz w:val="27"/>
          <w:rtl/>
        </w:rPr>
        <w:t>،</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قابلة</w:t>
      </w:r>
      <w:r w:rsidRPr="00904FCB">
        <w:rPr>
          <w:sz w:val="27"/>
          <w:rtl/>
        </w:rPr>
        <w:t xml:space="preserve"> </w:t>
      </w:r>
      <w:r w:rsidRPr="00904FCB">
        <w:rPr>
          <w:rFonts w:hint="cs"/>
          <w:sz w:val="27"/>
          <w:rtl/>
        </w:rPr>
        <w:t>للتعدّي</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الآخر</w:t>
      </w:r>
      <w:r w:rsidRPr="00904FCB">
        <w:rPr>
          <w:sz w:val="27"/>
          <w:rtl/>
        </w:rPr>
        <w:t xml:space="preserve">. </w:t>
      </w:r>
      <w:r w:rsidRPr="00904FCB">
        <w:rPr>
          <w:rFonts w:hint="cs"/>
          <w:sz w:val="27"/>
          <w:rtl/>
        </w:rPr>
        <w:t>فمثلاً</w:t>
      </w:r>
      <w:r w:rsidRPr="00904FCB">
        <w:rPr>
          <w:sz w:val="27"/>
          <w:rtl/>
        </w:rPr>
        <w:t xml:space="preserve">: </w:t>
      </w:r>
      <w:r w:rsidRPr="00904FCB">
        <w:rPr>
          <w:rFonts w:hint="cs"/>
          <w:sz w:val="27"/>
          <w:rtl/>
        </w:rPr>
        <w:t>الخمر</w:t>
      </w:r>
      <w:r w:rsidRPr="00904FCB">
        <w:rPr>
          <w:sz w:val="27"/>
          <w:rtl/>
        </w:rPr>
        <w:t xml:space="preserve"> </w:t>
      </w:r>
      <w:r w:rsidRPr="00904FCB">
        <w:rPr>
          <w:rFonts w:hint="cs"/>
          <w:sz w:val="27"/>
          <w:rtl/>
        </w:rPr>
        <w:t>مسكر، والإسكار</w:t>
      </w:r>
      <w:r w:rsidRPr="00904FCB">
        <w:rPr>
          <w:sz w:val="27"/>
          <w:rtl/>
        </w:rPr>
        <w:t xml:space="preserve"> </w:t>
      </w:r>
      <w:r w:rsidRPr="00904FCB">
        <w:rPr>
          <w:rFonts w:hint="cs"/>
          <w:sz w:val="27"/>
          <w:rtl/>
        </w:rPr>
        <w:t>صفة</w:t>
      </w:r>
      <w:r w:rsidR="00AD626C" w:rsidRPr="00904FCB">
        <w:rPr>
          <w:rFonts w:hint="cs"/>
          <w:sz w:val="27"/>
          <w:rtl/>
        </w:rPr>
        <w:t>ٌ</w:t>
      </w:r>
      <w:r w:rsidRPr="00904FCB">
        <w:rPr>
          <w:sz w:val="27"/>
          <w:rtl/>
        </w:rPr>
        <w:t xml:space="preserve"> </w:t>
      </w:r>
      <w:r w:rsidRPr="00904FCB">
        <w:rPr>
          <w:rFonts w:hint="cs"/>
          <w:sz w:val="27"/>
          <w:rtl/>
        </w:rPr>
        <w:t>لجسم</w:t>
      </w:r>
      <w:r w:rsidRPr="00904FCB">
        <w:rPr>
          <w:sz w:val="27"/>
          <w:rtl/>
        </w:rPr>
        <w:t xml:space="preserve"> </w:t>
      </w:r>
      <w:r w:rsidRPr="00904FCB">
        <w:rPr>
          <w:rFonts w:hint="cs"/>
          <w:sz w:val="27"/>
          <w:rtl/>
        </w:rPr>
        <w:t>الخمر، فإذا</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الإسكار</w:t>
      </w:r>
      <w:r w:rsidRPr="00904FCB">
        <w:rPr>
          <w:sz w:val="27"/>
          <w:rtl/>
        </w:rPr>
        <w:t xml:space="preserve"> </w:t>
      </w:r>
      <w:r w:rsidRPr="00904FCB">
        <w:rPr>
          <w:rFonts w:hint="cs"/>
          <w:sz w:val="27"/>
          <w:rtl/>
        </w:rPr>
        <w:t>قذارةً</w:t>
      </w:r>
      <w:r w:rsidRPr="00904FCB">
        <w:rPr>
          <w:sz w:val="27"/>
          <w:rtl/>
        </w:rPr>
        <w:t xml:space="preserve"> </w:t>
      </w:r>
      <w:r w:rsidR="00AD626C" w:rsidRPr="00904FCB">
        <w:rPr>
          <w:rFonts w:hint="cs"/>
          <w:sz w:val="27"/>
          <w:rtl/>
        </w:rPr>
        <w:t>واقعيّة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اعتباريّة</w:t>
      </w:r>
      <w:r w:rsidRPr="00904FCB">
        <w:rPr>
          <w:sz w:val="27"/>
          <w:rtl/>
        </w:rPr>
        <w:t xml:space="preserve"> </w:t>
      </w:r>
      <w:r w:rsidRPr="00904FCB">
        <w:rPr>
          <w:rFonts w:hint="cs"/>
          <w:sz w:val="27"/>
          <w:rtl/>
        </w:rPr>
        <w:t>فالخمر</w:t>
      </w:r>
      <w:r w:rsidRPr="00904FCB">
        <w:rPr>
          <w:sz w:val="27"/>
          <w:rtl/>
        </w:rPr>
        <w:t xml:space="preserve"> </w:t>
      </w:r>
      <w:r w:rsidRPr="00904FCB">
        <w:rPr>
          <w:rFonts w:hint="cs"/>
          <w:sz w:val="27"/>
          <w:rtl/>
        </w:rPr>
        <w:t>بجسمه</w:t>
      </w:r>
      <w:r w:rsidRPr="00904FCB">
        <w:rPr>
          <w:sz w:val="27"/>
          <w:rtl/>
        </w:rPr>
        <w:t xml:space="preserve"> </w:t>
      </w:r>
      <w:r w:rsidRPr="00904FCB">
        <w:rPr>
          <w:rFonts w:hint="cs"/>
          <w:sz w:val="27"/>
          <w:rtl/>
        </w:rPr>
        <w:t>قذر، كما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القسم</w:t>
      </w:r>
      <w:r w:rsidRPr="00904FCB">
        <w:rPr>
          <w:sz w:val="27"/>
          <w:rtl/>
        </w:rPr>
        <w:t xml:space="preserve"> </w:t>
      </w:r>
      <w:r w:rsidRPr="00904FCB">
        <w:rPr>
          <w:rFonts w:hint="cs"/>
          <w:sz w:val="27"/>
          <w:rtl/>
        </w:rPr>
        <w:t>الأوّل</w:t>
      </w:r>
      <w:r w:rsidR="00AD626C" w:rsidRPr="00904FCB">
        <w:rPr>
          <w:rFonts w:hint="cs"/>
          <w:sz w:val="27"/>
          <w:rtl/>
        </w:rPr>
        <w:t>،</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بناءً</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التصوير</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تقبل</w:t>
      </w:r>
      <w:r w:rsidRPr="00904FCB">
        <w:rPr>
          <w:sz w:val="27"/>
          <w:rtl/>
        </w:rPr>
        <w:t xml:space="preserve"> </w:t>
      </w:r>
      <w:r w:rsidRPr="00904FCB">
        <w:rPr>
          <w:rFonts w:hint="cs"/>
          <w:sz w:val="27"/>
          <w:rtl/>
        </w:rPr>
        <w:t>السريان، بخلاف</w:t>
      </w:r>
      <w:r w:rsidRPr="00904FCB">
        <w:rPr>
          <w:sz w:val="27"/>
          <w:rtl/>
        </w:rPr>
        <w:t xml:space="preserve"> </w:t>
      </w:r>
      <w:r w:rsidRPr="00904FCB">
        <w:rPr>
          <w:rFonts w:hint="cs"/>
          <w:sz w:val="27"/>
          <w:rtl/>
        </w:rPr>
        <w:t>القسم</w:t>
      </w:r>
      <w:r w:rsidRPr="00904FCB">
        <w:rPr>
          <w:sz w:val="27"/>
          <w:rtl/>
        </w:rPr>
        <w:t xml:space="preserve"> </w:t>
      </w:r>
      <w:r w:rsidRPr="00904FCB">
        <w:rPr>
          <w:rFonts w:hint="cs"/>
          <w:sz w:val="27"/>
          <w:rtl/>
        </w:rPr>
        <w:t>الأوّل</w:t>
      </w:r>
      <w:r w:rsidRPr="00904FCB">
        <w:rPr>
          <w:sz w:val="27"/>
          <w:rtl/>
        </w:rPr>
        <w:t xml:space="preserve">. </w:t>
      </w:r>
      <w:r w:rsidRPr="00904FCB">
        <w:rPr>
          <w:rFonts w:hint="cs"/>
          <w:sz w:val="27"/>
          <w:rtl/>
        </w:rPr>
        <w:t>وهذا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يشار</w:t>
      </w:r>
      <w:r w:rsidRPr="00904FCB">
        <w:rPr>
          <w:sz w:val="27"/>
          <w:rtl/>
        </w:rPr>
        <w:t xml:space="preserve"> </w:t>
      </w:r>
      <w:r w:rsidRPr="00904FCB">
        <w:rPr>
          <w:rFonts w:hint="cs"/>
          <w:sz w:val="27"/>
          <w:rtl/>
        </w:rPr>
        <w:t>إليه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الدالّة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طهارة</w:t>
      </w:r>
      <w:r w:rsidRPr="00904FCB">
        <w:rPr>
          <w:sz w:val="27"/>
          <w:rtl/>
        </w:rPr>
        <w:t xml:space="preserve"> </w:t>
      </w:r>
      <w:r w:rsidRPr="00904FCB">
        <w:rPr>
          <w:rFonts w:hint="cs"/>
          <w:sz w:val="27"/>
          <w:rtl/>
        </w:rPr>
        <w:t>الخمر</w:t>
      </w:r>
      <w:r w:rsidRPr="00904FCB">
        <w:rPr>
          <w:sz w:val="27"/>
          <w:rtl/>
        </w:rPr>
        <w:t xml:space="preserve"> </w:t>
      </w:r>
      <w:r w:rsidRPr="00904FCB">
        <w:rPr>
          <w:rFonts w:hint="cs"/>
          <w:sz w:val="27"/>
          <w:rtl/>
        </w:rPr>
        <w:t>بلسان</w:t>
      </w:r>
      <w:r w:rsidR="00AD626C" w:rsidRPr="00904FCB">
        <w:rPr>
          <w:rFonts w:hint="cs"/>
          <w:sz w:val="27"/>
          <w:rtl/>
        </w:rPr>
        <w:t>:</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الثوب</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w:t>
      </w:r>
      <w:r w:rsidR="00AD626C" w:rsidRPr="00904FCB">
        <w:rPr>
          <w:rFonts w:hint="cs"/>
          <w:sz w:val="27"/>
          <w:rtl/>
        </w:rPr>
        <w:t>َ</w:t>
      </w:r>
      <w:r w:rsidRPr="00904FCB">
        <w:rPr>
          <w:rFonts w:hint="cs"/>
          <w:sz w:val="27"/>
          <w:rtl/>
        </w:rPr>
        <w:t>س</w:t>
      </w:r>
      <w:r w:rsidR="00AD626C" w:rsidRPr="00904FCB">
        <w:rPr>
          <w:rFonts w:hint="cs"/>
          <w:sz w:val="27"/>
          <w:rtl/>
        </w:rPr>
        <w:t>ْ</w:t>
      </w:r>
      <w:r w:rsidRPr="00904FCB">
        <w:rPr>
          <w:rFonts w:hint="cs"/>
          <w:sz w:val="27"/>
          <w:rtl/>
        </w:rPr>
        <w:t>ك</w:t>
      </w:r>
      <w:r w:rsidR="00AD626C" w:rsidRPr="00904FCB">
        <w:rPr>
          <w:rFonts w:hint="cs"/>
          <w:sz w:val="27"/>
          <w:rtl/>
        </w:rPr>
        <w:t>َ</w:t>
      </w:r>
      <w:r w:rsidRPr="00904FCB">
        <w:rPr>
          <w:rFonts w:hint="cs"/>
          <w:sz w:val="27"/>
          <w:rtl/>
        </w:rPr>
        <w:t>ر</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ثمّ</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القذارات</w:t>
      </w:r>
      <w:r w:rsidRPr="00904FCB">
        <w:rPr>
          <w:sz w:val="27"/>
          <w:rtl/>
        </w:rPr>
        <w:t xml:space="preserve"> </w:t>
      </w:r>
      <w:r w:rsidRPr="00904FCB">
        <w:rPr>
          <w:rFonts w:hint="cs"/>
          <w:sz w:val="27"/>
          <w:rtl/>
        </w:rPr>
        <w:t>الثلاث</w:t>
      </w:r>
      <w:r w:rsidR="00AD626C" w:rsidRPr="00904FCB">
        <w:rPr>
          <w:rFonts w:hint="cs"/>
          <w:sz w:val="27"/>
          <w:rtl/>
        </w:rPr>
        <w:t>؛</w:t>
      </w:r>
      <w:r w:rsidRPr="00904FCB">
        <w:rPr>
          <w:sz w:val="27"/>
          <w:rtl/>
        </w:rPr>
        <w:t xml:space="preserve"> </w:t>
      </w:r>
      <w:r w:rsidR="00AD626C" w:rsidRPr="00904FCB">
        <w:rPr>
          <w:rFonts w:hint="cs"/>
          <w:sz w:val="27"/>
          <w:rtl/>
        </w:rPr>
        <w:t>تارةً</w:t>
      </w:r>
      <w:r w:rsidRPr="00904FCB">
        <w:rPr>
          <w:sz w:val="27"/>
          <w:rtl/>
        </w:rPr>
        <w:t xml:space="preserve"> </w:t>
      </w:r>
      <w:r w:rsidRPr="00904FCB">
        <w:rPr>
          <w:rFonts w:hint="cs"/>
          <w:sz w:val="27"/>
          <w:rtl/>
        </w:rPr>
        <w:t>تكون</w:t>
      </w:r>
      <w:r w:rsidRPr="00904FCB">
        <w:rPr>
          <w:sz w:val="27"/>
          <w:rtl/>
        </w:rPr>
        <w:t xml:space="preserve"> </w:t>
      </w:r>
      <w:r w:rsidRPr="00904FCB">
        <w:rPr>
          <w:rFonts w:hint="cs"/>
          <w:sz w:val="27"/>
          <w:rtl/>
        </w:rPr>
        <w:t>حقيقيّة، كما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الأجسام</w:t>
      </w:r>
      <w:r w:rsidRPr="00904FCB">
        <w:rPr>
          <w:sz w:val="27"/>
          <w:rtl/>
        </w:rPr>
        <w:t xml:space="preserve"> </w:t>
      </w:r>
      <w:r w:rsidRPr="00904FCB">
        <w:rPr>
          <w:rFonts w:hint="cs"/>
          <w:sz w:val="27"/>
          <w:rtl/>
        </w:rPr>
        <w:t>الحاملة</w:t>
      </w:r>
      <w:r w:rsidRPr="00904FCB">
        <w:rPr>
          <w:sz w:val="27"/>
          <w:rtl/>
        </w:rPr>
        <w:t xml:space="preserve"> </w:t>
      </w:r>
      <w:r w:rsidRPr="00904FCB">
        <w:rPr>
          <w:rFonts w:hint="cs"/>
          <w:sz w:val="27"/>
          <w:rtl/>
        </w:rPr>
        <w:t>عرفاً</w:t>
      </w:r>
      <w:r w:rsidRPr="00904FCB">
        <w:rPr>
          <w:sz w:val="27"/>
          <w:rtl/>
        </w:rPr>
        <w:t xml:space="preserve"> </w:t>
      </w:r>
      <w:r w:rsidRPr="00904FCB">
        <w:rPr>
          <w:rFonts w:hint="cs"/>
          <w:sz w:val="27"/>
          <w:rtl/>
        </w:rPr>
        <w:t>للقذارة</w:t>
      </w:r>
      <w:r w:rsidRPr="00904FCB">
        <w:rPr>
          <w:sz w:val="27"/>
          <w:rtl/>
        </w:rPr>
        <w:t xml:space="preserve"> </w:t>
      </w:r>
      <w:r w:rsidRPr="00904FCB">
        <w:rPr>
          <w:rFonts w:hint="cs"/>
          <w:sz w:val="27"/>
          <w:rtl/>
        </w:rPr>
        <w:t>المتعديّة، وفي</w:t>
      </w:r>
      <w:r w:rsidRPr="00904FCB">
        <w:rPr>
          <w:sz w:val="27"/>
          <w:rtl/>
        </w:rPr>
        <w:t xml:space="preserve"> </w:t>
      </w:r>
      <w:r w:rsidRPr="00904FCB">
        <w:rPr>
          <w:rFonts w:hint="cs"/>
          <w:sz w:val="27"/>
          <w:rtl/>
        </w:rPr>
        <w:t>الإنسان</w:t>
      </w:r>
      <w:r w:rsidRPr="00904FCB">
        <w:rPr>
          <w:sz w:val="27"/>
          <w:rtl/>
        </w:rPr>
        <w:t xml:space="preserve"> </w:t>
      </w:r>
      <w:r w:rsidRPr="00904FCB">
        <w:rPr>
          <w:rFonts w:hint="cs"/>
          <w:sz w:val="27"/>
          <w:rtl/>
        </w:rPr>
        <w:t>الخبيث، وفي</w:t>
      </w:r>
      <w:r w:rsidRPr="00904FCB">
        <w:rPr>
          <w:sz w:val="27"/>
          <w:rtl/>
        </w:rPr>
        <w:t xml:space="preserve"> </w:t>
      </w:r>
      <w:r w:rsidRPr="00904FCB">
        <w:rPr>
          <w:rFonts w:hint="cs"/>
          <w:sz w:val="27"/>
          <w:rtl/>
        </w:rPr>
        <w:t>الخمر</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بناءً</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الإسكار</w:t>
      </w:r>
      <w:r w:rsidRPr="00904FCB">
        <w:rPr>
          <w:sz w:val="27"/>
          <w:rtl/>
        </w:rPr>
        <w:t xml:space="preserve"> </w:t>
      </w:r>
      <w:r w:rsidRPr="00904FCB">
        <w:rPr>
          <w:rFonts w:hint="cs"/>
          <w:sz w:val="27"/>
          <w:rtl/>
        </w:rPr>
        <w:lastRenderedPageBreak/>
        <w:t>قذارة</w:t>
      </w:r>
      <w:r w:rsidRPr="00904FCB">
        <w:rPr>
          <w:sz w:val="27"/>
          <w:rtl/>
        </w:rPr>
        <w:t xml:space="preserve"> </w:t>
      </w:r>
      <w:r w:rsidRPr="00904FCB">
        <w:rPr>
          <w:rFonts w:hint="cs"/>
          <w:sz w:val="27"/>
          <w:rtl/>
        </w:rPr>
        <w:t>واقعيّة</w:t>
      </w:r>
      <w:r w:rsidRPr="00904FCB">
        <w:rPr>
          <w:sz w:val="27"/>
          <w:rtl/>
        </w:rPr>
        <w:t xml:space="preserve"> </w:t>
      </w:r>
      <w:r w:rsidRPr="00904FCB">
        <w:rPr>
          <w:rFonts w:hint="cs"/>
          <w:sz w:val="27"/>
          <w:rtl/>
        </w:rPr>
        <w:t>ـ</w:t>
      </w:r>
      <w:r w:rsidR="00AD626C" w:rsidRPr="00904FCB">
        <w:rPr>
          <w:rFonts w:hint="cs"/>
          <w:sz w:val="27"/>
          <w:rtl/>
        </w:rPr>
        <w:t>؛</w:t>
      </w:r>
      <w:r w:rsidRPr="00904FCB">
        <w:rPr>
          <w:sz w:val="27"/>
          <w:rtl/>
        </w:rPr>
        <w:t xml:space="preserve"> </w:t>
      </w:r>
      <w:r w:rsidRPr="00904FCB">
        <w:rPr>
          <w:rFonts w:hint="cs"/>
          <w:sz w:val="27"/>
          <w:rtl/>
        </w:rPr>
        <w:t>وأخرى</w:t>
      </w:r>
      <w:r w:rsidRPr="00904FCB">
        <w:rPr>
          <w:sz w:val="27"/>
          <w:rtl/>
        </w:rPr>
        <w:t xml:space="preserve"> </w:t>
      </w:r>
      <w:r w:rsidRPr="00904FCB">
        <w:rPr>
          <w:rFonts w:hint="cs"/>
          <w:sz w:val="27"/>
          <w:rtl/>
        </w:rPr>
        <w:t>تكون</w:t>
      </w:r>
      <w:r w:rsidRPr="00904FCB">
        <w:rPr>
          <w:sz w:val="27"/>
          <w:rtl/>
        </w:rPr>
        <w:t xml:space="preserve"> </w:t>
      </w:r>
      <w:r w:rsidRPr="00904FCB">
        <w:rPr>
          <w:rFonts w:hint="cs"/>
          <w:sz w:val="27"/>
          <w:rtl/>
        </w:rPr>
        <w:t>اعتباريّة؛ فالقذارة</w:t>
      </w:r>
      <w:r w:rsidRPr="00904FCB">
        <w:rPr>
          <w:sz w:val="27"/>
          <w:rtl/>
        </w:rPr>
        <w:t xml:space="preserve"> </w:t>
      </w:r>
      <w:r w:rsidRPr="00904FCB">
        <w:rPr>
          <w:rFonts w:hint="cs"/>
          <w:sz w:val="27"/>
          <w:rtl/>
        </w:rPr>
        <w:t>الاعتباريّة</w:t>
      </w:r>
      <w:r w:rsidRPr="00904FCB">
        <w:rPr>
          <w:sz w:val="27"/>
          <w:rtl/>
        </w:rPr>
        <w:t xml:space="preserve"> </w:t>
      </w:r>
      <w:r w:rsidRPr="00904FCB">
        <w:rPr>
          <w:rFonts w:hint="cs"/>
          <w:sz w:val="27"/>
          <w:rtl/>
        </w:rPr>
        <w:t>إنّما</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اعتبار</w:t>
      </w:r>
      <w:r w:rsidR="00AD626C" w:rsidRPr="00904FCB">
        <w:rPr>
          <w:rFonts w:hint="cs"/>
          <w:sz w:val="27"/>
          <w:rtl/>
        </w:rPr>
        <w:t>ٌ</w:t>
      </w:r>
      <w:r w:rsidRPr="00904FCB">
        <w:rPr>
          <w:sz w:val="27"/>
          <w:rtl/>
        </w:rPr>
        <w:t xml:space="preserve"> </w:t>
      </w:r>
      <w:r w:rsidRPr="00904FCB">
        <w:rPr>
          <w:rFonts w:hint="cs"/>
          <w:sz w:val="27"/>
          <w:rtl/>
        </w:rPr>
        <w:t>لنفس</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القذارات</w:t>
      </w:r>
      <w:r w:rsidRPr="00904FCB">
        <w:rPr>
          <w:sz w:val="27"/>
          <w:rtl/>
        </w:rPr>
        <w:t xml:space="preserve"> </w:t>
      </w:r>
      <w:r w:rsidRPr="00904FCB">
        <w:rPr>
          <w:rFonts w:hint="cs"/>
          <w:sz w:val="27"/>
          <w:rtl/>
        </w:rPr>
        <w:t>الثلاث</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أمّا</w:t>
      </w:r>
      <w:r w:rsidRPr="00904FCB">
        <w:rPr>
          <w:sz w:val="27"/>
          <w:rtl/>
        </w:rPr>
        <w:t xml:space="preserve"> </w:t>
      </w:r>
      <w:r w:rsidRPr="00904FCB">
        <w:rPr>
          <w:rFonts w:hint="cs"/>
          <w:sz w:val="27"/>
          <w:rtl/>
        </w:rPr>
        <w:t>اعتبار</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الأولى</w:t>
      </w:r>
      <w:r w:rsidRPr="00904FCB">
        <w:rPr>
          <w:sz w:val="27"/>
          <w:rtl/>
        </w:rPr>
        <w:t xml:space="preserve"> </w:t>
      </w:r>
      <w:r w:rsidRPr="00904FCB">
        <w:rPr>
          <w:rFonts w:hint="cs"/>
          <w:sz w:val="27"/>
          <w:rtl/>
        </w:rPr>
        <w:t>فمن</w:t>
      </w:r>
      <w:r w:rsidRPr="00904FCB">
        <w:rPr>
          <w:sz w:val="27"/>
          <w:rtl/>
        </w:rPr>
        <w:t xml:space="preserve"> </w:t>
      </w:r>
      <w:r w:rsidRPr="00904FCB">
        <w:rPr>
          <w:rFonts w:hint="cs"/>
          <w:sz w:val="27"/>
          <w:rtl/>
        </w:rPr>
        <w:t>قبيل</w:t>
      </w:r>
      <w:r w:rsidR="00AD626C" w:rsidRPr="00904FCB">
        <w:rPr>
          <w:rFonts w:hint="cs"/>
          <w:sz w:val="27"/>
          <w:rtl/>
        </w:rPr>
        <w:t>:</w:t>
      </w:r>
      <w:r w:rsidRPr="00904FCB">
        <w:rPr>
          <w:sz w:val="27"/>
          <w:rtl/>
        </w:rPr>
        <w:t xml:space="preserve"> </w:t>
      </w:r>
      <w:r w:rsidRPr="00904FCB">
        <w:rPr>
          <w:rFonts w:hint="cs"/>
          <w:sz w:val="27"/>
          <w:rtl/>
        </w:rPr>
        <w:t>اعتبار</w:t>
      </w:r>
      <w:r w:rsidRPr="00904FCB">
        <w:rPr>
          <w:sz w:val="27"/>
          <w:rtl/>
        </w:rPr>
        <w:t xml:space="preserve"> </w:t>
      </w:r>
      <w:r w:rsidRPr="00904FCB">
        <w:rPr>
          <w:rFonts w:hint="cs"/>
          <w:sz w:val="27"/>
          <w:rtl/>
        </w:rPr>
        <w:t>الشارع</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الكافر</w:t>
      </w:r>
      <w:r w:rsidR="00AD626C" w:rsidRPr="00904FCB">
        <w:rPr>
          <w:rFonts w:hint="cs"/>
          <w:sz w:val="27"/>
          <w:rtl/>
        </w:rPr>
        <w:t>،</w:t>
      </w:r>
      <w:r w:rsidRPr="00904FCB">
        <w:rPr>
          <w:sz w:val="27"/>
          <w:rtl/>
        </w:rPr>
        <w:t xml:space="preserve"> </w:t>
      </w:r>
      <w:r w:rsidRPr="00904FCB">
        <w:rPr>
          <w:rFonts w:hint="cs"/>
          <w:sz w:val="27"/>
          <w:rtl/>
        </w:rPr>
        <w:t>بناءً</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نجاسته</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اعتبار</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الثانية</w:t>
      </w:r>
      <w:r w:rsidRPr="00904FCB">
        <w:rPr>
          <w:sz w:val="27"/>
          <w:rtl/>
        </w:rPr>
        <w:t xml:space="preserve"> </w:t>
      </w:r>
      <w:r w:rsidRPr="00904FCB">
        <w:rPr>
          <w:rFonts w:hint="cs"/>
          <w:sz w:val="27"/>
          <w:rtl/>
        </w:rPr>
        <w:t>فهذا</w:t>
      </w:r>
      <w:r w:rsidRPr="00904FCB">
        <w:rPr>
          <w:sz w:val="27"/>
          <w:rtl/>
        </w:rPr>
        <w:t xml:space="preserve"> </w:t>
      </w:r>
      <w:r w:rsidRPr="00904FCB">
        <w:rPr>
          <w:rFonts w:hint="cs"/>
          <w:sz w:val="27"/>
          <w:rtl/>
        </w:rPr>
        <w:t>ممّا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نحتمله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الشريعة، ولكن</w:t>
      </w:r>
      <w:r w:rsidR="00AD626C" w:rsidRPr="00904FCB">
        <w:rPr>
          <w:rFonts w:hint="cs"/>
          <w:sz w:val="27"/>
          <w:rtl/>
        </w:rPr>
        <w:t>ْ</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تمّت</w:t>
      </w:r>
      <w:r w:rsidRPr="00904FCB">
        <w:rPr>
          <w:sz w:val="27"/>
          <w:rtl/>
        </w:rPr>
        <w:t xml:space="preserve"> </w:t>
      </w:r>
      <w:r w:rsidRPr="00904FCB">
        <w:rPr>
          <w:rFonts w:hint="cs"/>
          <w:sz w:val="27"/>
          <w:rtl/>
        </w:rPr>
        <w:t>أخبار</w:t>
      </w:r>
      <w:r w:rsidRPr="00904FCB">
        <w:rPr>
          <w:sz w:val="27"/>
          <w:rtl/>
        </w:rPr>
        <w:t xml:space="preserve"> </w:t>
      </w:r>
      <w:r w:rsidRPr="00904FCB">
        <w:rPr>
          <w:rFonts w:hint="cs"/>
          <w:sz w:val="27"/>
          <w:rtl/>
        </w:rPr>
        <w:t>تنقيص</w:t>
      </w:r>
      <w:r w:rsidRPr="00904FCB">
        <w:rPr>
          <w:sz w:val="27"/>
          <w:rtl/>
        </w:rPr>
        <w:t xml:space="preserve"> </w:t>
      </w:r>
      <w:r w:rsidRPr="00904FCB">
        <w:rPr>
          <w:rFonts w:hint="cs"/>
          <w:sz w:val="27"/>
          <w:rtl/>
        </w:rPr>
        <w:t>وتخبيث</w:t>
      </w:r>
      <w:r w:rsidRPr="00904FCB">
        <w:rPr>
          <w:sz w:val="27"/>
          <w:rtl/>
        </w:rPr>
        <w:t xml:space="preserve"> </w:t>
      </w:r>
      <w:r w:rsidRPr="00904FCB">
        <w:rPr>
          <w:rFonts w:hint="cs"/>
          <w:sz w:val="27"/>
          <w:rtl/>
        </w:rPr>
        <w:t>ولد</w:t>
      </w:r>
      <w:r w:rsidRPr="00904FCB">
        <w:rPr>
          <w:sz w:val="27"/>
          <w:rtl/>
        </w:rPr>
        <w:t xml:space="preserve"> </w:t>
      </w:r>
      <w:r w:rsidRPr="00904FCB">
        <w:rPr>
          <w:rFonts w:hint="cs"/>
          <w:sz w:val="27"/>
          <w:rtl/>
        </w:rPr>
        <w:t>الزنا</w:t>
      </w:r>
      <w:r w:rsidRPr="00904FCB">
        <w:rPr>
          <w:sz w:val="27"/>
          <w:rtl/>
        </w:rPr>
        <w:t xml:space="preserve"> </w:t>
      </w:r>
      <w:r w:rsidRPr="00904FCB">
        <w:rPr>
          <w:rFonts w:hint="cs"/>
          <w:sz w:val="27"/>
          <w:rtl/>
        </w:rPr>
        <w:t>احتمل</w:t>
      </w:r>
      <w:r w:rsidRPr="00904FCB">
        <w:rPr>
          <w:sz w:val="27"/>
          <w:rtl/>
        </w:rPr>
        <w:t xml:space="preserve"> </w:t>
      </w:r>
      <w:r w:rsidRPr="00904FCB">
        <w:rPr>
          <w:rFonts w:hint="cs"/>
          <w:sz w:val="27"/>
          <w:rtl/>
        </w:rPr>
        <w:t>حملها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المعنى</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اعتبار</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الثالثة</w:t>
      </w:r>
      <w:r w:rsidRPr="00904FCB">
        <w:rPr>
          <w:sz w:val="27"/>
          <w:rtl/>
        </w:rPr>
        <w:t xml:space="preserve"> </w:t>
      </w:r>
      <w:r w:rsidRPr="00904FCB">
        <w:rPr>
          <w:rFonts w:hint="cs"/>
          <w:sz w:val="27"/>
          <w:rtl/>
        </w:rPr>
        <w:t>فمن</w:t>
      </w:r>
      <w:r w:rsidRPr="00904FCB">
        <w:rPr>
          <w:sz w:val="27"/>
          <w:rtl/>
        </w:rPr>
        <w:t xml:space="preserve"> </w:t>
      </w:r>
      <w:r w:rsidRPr="00904FCB">
        <w:rPr>
          <w:rFonts w:hint="cs"/>
          <w:sz w:val="27"/>
          <w:rtl/>
        </w:rPr>
        <w:t>قبيل</w:t>
      </w:r>
      <w:r w:rsidR="00AD626C" w:rsidRPr="00904FCB">
        <w:rPr>
          <w:rFonts w:hint="cs"/>
          <w:sz w:val="27"/>
          <w:rtl/>
        </w:rPr>
        <w:t>:</w:t>
      </w:r>
      <w:r w:rsidRPr="00904FCB">
        <w:rPr>
          <w:sz w:val="27"/>
          <w:rtl/>
        </w:rPr>
        <w:t xml:space="preserve"> </w:t>
      </w:r>
      <w:r w:rsidRPr="00904FCB">
        <w:rPr>
          <w:rFonts w:hint="cs"/>
          <w:sz w:val="27"/>
          <w:rtl/>
        </w:rPr>
        <w:t>الجنابة</w:t>
      </w:r>
      <w:r w:rsidR="00AD626C" w:rsidRPr="00904FCB">
        <w:rPr>
          <w:rFonts w:hint="cs"/>
          <w:sz w:val="27"/>
          <w:rtl/>
        </w:rPr>
        <w:t>،</w:t>
      </w:r>
      <w:r w:rsidRPr="00904FCB">
        <w:rPr>
          <w:sz w:val="27"/>
          <w:rtl/>
        </w:rPr>
        <w:t xml:space="preserve"> </w:t>
      </w:r>
      <w:r w:rsidRPr="00904FCB">
        <w:rPr>
          <w:rFonts w:hint="cs"/>
          <w:sz w:val="27"/>
          <w:rtl/>
        </w:rPr>
        <w:t>والحيض</w:t>
      </w:r>
      <w:r w:rsidR="00AD626C" w:rsidRPr="00904FCB">
        <w:rPr>
          <w:rFonts w:hint="cs"/>
          <w:sz w:val="27"/>
          <w:rtl/>
        </w:rPr>
        <w:t>،</w:t>
      </w:r>
      <w:r w:rsidRPr="00904FCB">
        <w:rPr>
          <w:sz w:val="27"/>
          <w:rtl/>
        </w:rPr>
        <w:t xml:space="preserve"> </w:t>
      </w:r>
      <w:r w:rsidRPr="00904FCB">
        <w:rPr>
          <w:rFonts w:hint="cs"/>
          <w:sz w:val="27"/>
          <w:rtl/>
        </w:rPr>
        <w:t>ونحوهما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الأحداث</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فالجنابة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مثلاً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ليست</w:t>
      </w:r>
      <w:r w:rsidRPr="00904FCB">
        <w:rPr>
          <w:sz w:val="27"/>
          <w:rtl/>
        </w:rPr>
        <w:t xml:space="preserve"> </w:t>
      </w:r>
      <w:r w:rsidRPr="00904FCB">
        <w:rPr>
          <w:rFonts w:hint="cs"/>
          <w:sz w:val="27"/>
          <w:rtl/>
        </w:rPr>
        <w:t>قذراً</w:t>
      </w:r>
      <w:r w:rsidRPr="00904FCB">
        <w:rPr>
          <w:sz w:val="27"/>
          <w:rtl/>
        </w:rPr>
        <w:t xml:space="preserve"> </w:t>
      </w:r>
      <w:r w:rsidRPr="00904FCB">
        <w:rPr>
          <w:rFonts w:hint="cs"/>
          <w:sz w:val="27"/>
          <w:rtl/>
        </w:rPr>
        <w:t>معنويّاً</w:t>
      </w:r>
      <w:r w:rsidRPr="00904FCB">
        <w:rPr>
          <w:sz w:val="27"/>
          <w:rtl/>
        </w:rPr>
        <w:t xml:space="preserve"> </w:t>
      </w:r>
      <w:r w:rsidRPr="00904FCB">
        <w:rPr>
          <w:rFonts w:hint="cs"/>
          <w:sz w:val="27"/>
          <w:rtl/>
        </w:rPr>
        <w:t>قائماً</w:t>
      </w:r>
      <w:r w:rsidRPr="00904FCB">
        <w:rPr>
          <w:sz w:val="27"/>
          <w:rtl/>
        </w:rPr>
        <w:t xml:space="preserve"> </w:t>
      </w:r>
      <w:r w:rsidRPr="00904FCB">
        <w:rPr>
          <w:rFonts w:hint="cs"/>
          <w:sz w:val="27"/>
          <w:rtl/>
        </w:rPr>
        <w:t>بالروح</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يقال</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الحدث</w:t>
      </w:r>
      <w:r w:rsidRPr="00904FCB">
        <w:rPr>
          <w:sz w:val="27"/>
          <w:rtl/>
        </w:rPr>
        <w:t xml:space="preserve"> </w:t>
      </w:r>
      <w:r w:rsidRPr="00904FCB">
        <w:rPr>
          <w:rFonts w:hint="cs"/>
          <w:sz w:val="27"/>
          <w:rtl/>
        </w:rPr>
        <w:t>ظلمة</w:t>
      </w:r>
      <w:r w:rsidRPr="00904FCB">
        <w:rPr>
          <w:sz w:val="27"/>
          <w:rtl/>
        </w:rPr>
        <w:t xml:space="preserve"> </w:t>
      </w:r>
      <w:r w:rsidRPr="00904FCB">
        <w:rPr>
          <w:rFonts w:hint="cs"/>
          <w:sz w:val="27"/>
          <w:rtl/>
        </w:rPr>
        <w:t>نفسانيّة</w:t>
      </w:r>
      <w:r w:rsidRPr="00904FCB">
        <w:rPr>
          <w:sz w:val="27"/>
          <w:rtl/>
        </w:rPr>
        <w:t xml:space="preserve"> </w:t>
      </w:r>
      <w:r w:rsidRPr="00904FCB">
        <w:rPr>
          <w:rFonts w:hint="cs"/>
          <w:sz w:val="27"/>
          <w:rtl/>
        </w:rPr>
        <w:t>ـ</w:t>
      </w:r>
      <w:r w:rsidRPr="00904FCB">
        <w:rPr>
          <w:sz w:val="27"/>
          <w:rtl/>
        </w:rPr>
        <w:t>؛</w:t>
      </w:r>
      <w:r w:rsidRPr="00904FCB">
        <w:rPr>
          <w:rFonts w:hint="cs"/>
          <w:sz w:val="27"/>
          <w:rtl/>
        </w:rPr>
        <w:t xml:space="preserve"> فإن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كلام</w:t>
      </w:r>
      <w:r w:rsidR="00AD626C" w:rsidRPr="00904FCB">
        <w:rPr>
          <w:rFonts w:hint="cs"/>
          <w:sz w:val="27"/>
          <w:rtl/>
        </w:rPr>
        <w:t>ٌ</w:t>
      </w:r>
      <w:r w:rsidRPr="00904FCB">
        <w:rPr>
          <w:sz w:val="27"/>
          <w:rtl/>
        </w:rPr>
        <w:t xml:space="preserve"> </w:t>
      </w:r>
      <w:r w:rsidRPr="00904FCB">
        <w:rPr>
          <w:rFonts w:hint="cs"/>
          <w:sz w:val="27"/>
          <w:rtl/>
        </w:rPr>
        <w:t>شعري، بل</w:t>
      </w:r>
      <w:r w:rsidRPr="00904FCB">
        <w:rPr>
          <w:sz w:val="27"/>
          <w:rtl/>
        </w:rPr>
        <w:t xml:space="preserve"> </w:t>
      </w:r>
      <w:r w:rsidRPr="00904FCB">
        <w:rPr>
          <w:rFonts w:hint="cs"/>
          <w:sz w:val="27"/>
          <w:rtl/>
        </w:rPr>
        <w:t>المستفاد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الأخبار</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الجنابة</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الجسم، ولهذا</w:t>
      </w:r>
      <w:r w:rsidRPr="00904FCB">
        <w:rPr>
          <w:sz w:val="27"/>
          <w:rtl/>
        </w:rPr>
        <w:t xml:space="preserve"> </w:t>
      </w:r>
      <w:r w:rsidRPr="00904FCB">
        <w:rPr>
          <w:rFonts w:hint="cs"/>
          <w:sz w:val="27"/>
          <w:rtl/>
        </w:rPr>
        <w:t>ورد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تحت</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شعرة</w:t>
      </w:r>
      <w:r w:rsidR="003D7518" w:rsidRPr="00904FCB">
        <w:rPr>
          <w:rFonts w:hint="cs"/>
          <w:sz w:val="27"/>
          <w:rtl/>
        </w:rPr>
        <w:t>ٍ</w:t>
      </w:r>
      <w:r w:rsidRPr="00904FCB">
        <w:rPr>
          <w:sz w:val="27"/>
          <w:rtl/>
        </w:rPr>
        <w:t xml:space="preserve"> </w:t>
      </w:r>
      <w:r w:rsidRPr="00904FCB">
        <w:rPr>
          <w:rFonts w:hint="cs"/>
          <w:sz w:val="27"/>
          <w:rtl/>
        </w:rPr>
        <w:t>جنابة، وهذه</w:t>
      </w:r>
      <w:r w:rsidRPr="00904FCB">
        <w:rPr>
          <w:sz w:val="27"/>
          <w:rtl/>
        </w:rPr>
        <w:t xml:space="preserve"> </w:t>
      </w:r>
      <w:r w:rsidRPr="00904FCB">
        <w:rPr>
          <w:rFonts w:hint="cs"/>
          <w:sz w:val="27"/>
          <w:rtl/>
        </w:rPr>
        <w:t>الحالة</w:t>
      </w:r>
      <w:r w:rsidRPr="00904FCB">
        <w:rPr>
          <w:sz w:val="27"/>
          <w:rtl/>
        </w:rPr>
        <w:t xml:space="preserve"> </w:t>
      </w:r>
      <w:r w:rsidRPr="00904FCB">
        <w:rPr>
          <w:rFonts w:hint="cs"/>
          <w:sz w:val="27"/>
          <w:rtl/>
        </w:rPr>
        <w:t>تعتبر</w:t>
      </w:r>
      <w:r w:rsidRPr="00904FCB">
        <w:rPr>
          <w:sz w:val="27"/>
          <w:rtl/>
        </w:rPr>
        <w:t xml:space="preserve"> </w:t>
      </w:r>
      <w:r w:rsidRPr="00904FCB">
        <w:rPr>
          <w:rFonts w:hint="cs"/>
          <w:sz w:val="27"/>
          <w:rtl/>
        </w:rPr>
        <w:t>قذارة</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الشارع؛ بدليل</w:t>
      </w:r>
      <w:r w:rsidRPr="00904FCB">
        <w:rPr>
          <w:sz w:val="27"/>
          <w:rtl/>
        </w:rPr>
        <w:t xml:space="preserve"> </w:t>
      </w:r>
      <w:r w:rsidRPr="00904FCB">
        <w:rPr>
          <w:rFonts w:hint="cs"/>
          <w:sz w:val="27"/>
          <w:rtl/>
        </w:rPr>
        <w:t>التعبير</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الغسل</w:t>
      </w:r>
      <w:r w:rsidRPr="00904FCB">
        <w:rPr>
          <w:sz w:val="27"/>
          <w:rtl/>
        </w:rPr>
        <w:t xml:space="preserve"> </w:t>
      </w:r>
      <w:r w:rsidRPr="00904FCB">
        <w:rPr>
          <w:rFonts w:hint="cs"/>
          <w:sz w:val="27"/>
          <w:rtl/>
        </w:rPr>
        <w:t>بالطهارة، كما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قوله</w:t>
      </w:r>
      <w:r w:rsidRPr="00904FCB">
        <w:rPr>
          <w:sz w:val="27"/>
          <w:rtl/>
        </w:rPr>
        <w:t xml:space="preserve">: </w:t>
      </w:r>
      <w:r w:rsidRPr="00904FCB">
        <w:rPr>
          <w:rFonts w:ascii="Mosawi" w:hAnsi="Mosawi" w:cs="Mosawi"/>
          <w:sz w:val="24"/>
          <w:szCs w:val="24"/>
          <w:rtl/>
        </w:rPr>
        <w:t>﴿</w:t>
      </w:r>
      <w:r w:rsidRPr="00904FCB">
        <w:rPr>
          <w:b/>
          <w:bCs/>
          <w:sz w:val="27"/>
          <w:rtl/>
        </w:rPr>
        <w:t>و</w:t>
      </w:r>
      <w:r w:rsidR="003D7518" w:rsidRPr="00904FCB">
        <w:rPr>
          <w:rFonts w:hint="cs"/>
          <w:b/>
          <w:bCs/>
          <w:sz w:val="27"/>
          <w:rtl/>
        </w:rPr>
        <w:t>َ</w:t>
      </w:r>
      <w:r w:rsidRPr="00904FCB">
        <w:rPr>
          <w:rFonts w:hint="cs"/>
          <w:b/>
          <w:bCs/>
          <w:sz w:val="27"/>
          <w:rtl/>
        </w:rPr>
        <w:t>إِنْ</w:t>
      </w:r>
      <w:r w:rsidRPr="00904FCB">
        <w:rPr>
          <w:b/>
          <w:bCs/>
          <w:sz w:val="27"/>
          <w:rtl/>
        </w:rPr>
        <w:t xml:space="preserve"> </w:t>
      </w:r>
      <w:r w:rsidRPr="00904FCB">
        <w:rPr>
          <w:rFonts w:hint="cs"/>
          <w:b/>
          <w:bCs/>
          <w:sz w:val="27"/>
          <w:rtl/>
        </w:rPr>
        <w:t>كُنْتُمْ</w:t>
      </w:r>
      <w:r w:rsidRPr="00904FCB">
        <w:rPr>
          <w:b/>
          <w:bCs/>
          <w:sz w:val="27"/>
          <w:rtl/>
        </w:rPr>
        <w:t xml:space="preserve"> </w:t>
      </w:r>
      <w:r w:rsidRPr="00904FCB">
        <w:rPr>
          <w:rFonts w:hint="cs"/>
          <w:b/>
          <w:bCs/>
          <w:sz w:val="27"/>
          <w:rtl/>
        </w:rPr>
        <w:t>جُنُباً</w:t>
      </w:r>
      <w:r w:rsidRPr="00904FCB">
        <w:rPr>
          <w:b/>
          <w:bCs/>
          <w:sz w:val="27"/>
          <w:rtl/>
        </w:rPr>
        <w:t xml:space="preserve"> </w:t>
      </w:r>
      <w:r w:rsidRPr="00904FCB">
        <w:rPr>
          <w:rFonts w:hint="cs"/>
          <w:b/>
          <w:bCs/>
          <w:sz w:val="27"/>
          <w:rtl/>
        </w:rPr>
        <w:t>فَاطَّهَّرُوا</w:t>
      </w:r>
      <w:r w:rsidRPr="00904FCB">
        <w:rPr>
          <w:rFonts w:ascii="Mosawi" w:hAnsi="Mosawi" w:cs="Mosawi"/>
          <w:sz w:val="24"/>
          <w:szCs w:val="24"/>
          <w:rtl/>
        </w:rPr>
        <w:t>﴾</w:t>
      </w:r>
      <w:r w:rsidRPr="00904FCB">
        <w:rPr>
          <w:sz w:val="27"/>
          <w:rtl/>
        </w:rPr>
        <w:t xml:space="preserve"> (</w:t>
      </w:r>
      <w:r w:rsidRPr="00904FCB">
        <w:rPr>
          <w:rFonts w:hint="cs"/>
          <w:sz w:val="27"/>
          <w:rtl/>
        </w:rPr>
        <w:t xml:space="preserve">المائدة: </w:t>
      </w:r>
      <w:r w:rsidRPr="00783611">
        <w:rPr>
          <w:rFonts w:hint="cs"/>
          <w:sz w:val="27"/>
          <w:rtl/>
          <w:lang w:bidi="ar-LB"/>
        </w:rPr>
        <w:t>6</w:t>
      </w:r>
      <w:r w:rsidRPr="00904FCB">
        <w:rPr>
          <w:rFonts w:hint="cs"/>
          <w:sz w:val="27"/>
          <w:rtl/>
        </w:rPr>
        <w:t>)</w:t>
      </w:r>
      <w:r w:rsidR="003D7518" w:rsidRPr="00904FCB">
        <w:rPr>
          <w:rFonts w:hint="cs"/>
          <w:sz w:val="27"/>
          <w:rtl/>
        </w:rPr>
        <w:t>.</w:t>
      </w:r>
      <w:r w:rsidRPr="00904FCB">
        <w:rPr>
          <w:rFonts w:hint="cs"/>
          <w:sz w:val="27"/>
          <w:rtl/>
        </w:rPr>
        <w:t xml:space="preserve"> فهي</w:t>
      </w:r>
      <w:r w:rsidRPr="00904FCB">
        <w:rPr>
          <w:sz w:val="27"/>
          <w:rtl/>
        </w:rPr>
        <w:t xml:space="preserve"> </w:t>
      </w:r>
      <w:r w:rsidRPr="00904FCB">
        <w:rPr>
          <w:rFonts w:hint="cs"/>
          <w:sz w:val="27"/>
          <w:rtl/>
        </w:rPr>
        <w:t>قذارة</w:t>
      </w:r>
      <w:r w:rsidRPr="00904FCB">
        <w:rPr>
          <w:sz w:val="27"/>
          <w:rtl/>
        </w:rPr>
        <w:t xml:space="preserve"> </w:t>
      </w:r>
      <w:r w:rsidRPr="00904FCB">
        <w:rPr>
          <w:rFonts w:hint="cs"/>
          <w:sz w:val="27"/>
          <w:rtl/>
        </w:rPr>
        <w:t>قائمة</w:t>
      </w:r>
      <w:r w:rsidR="003D7518" w:rsidRPr="00904FCB">
        <w:rPr>
          <w:rFonts w:hint="cs"/>
          <w:sz w:val="27"/>
          <w:rtl/>
        </w:rPr>
        <w:t>ٌ</w:t>
      </w:r>
      <w:r w:rsidRPr="00904FCB">
        <w:rPr>
          <w:sz w:val="27"/>
          <w:rtl/>
        </w:rPr>
        <w:t xml:space="preserve"> </w:t>
      </w:r>
      <w:r w:rsidRPr="00904FCB">
        <w:rPr>
          <w:rFonts w:hint="cs"/>
          <w:sz w:val="27"/>
          <w:rtl/>
        </w:rPr>
        <w:t>بوصف</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الجسم</w:t>
      </w:r>
      <w:r w:rsidR="003D7518"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تسري</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جسم</w:t>
      </w:r>
      <w:r w:rsidR="003D7518" w:rsidRPr="00904FCB">
        <w:rPr>
          <w:rFonts w:hint="cs"/>
          <w:sz w:val="27"/>
          <w:rtl/>
        </w:rPr>
        <w:t>ٍ</w:t>
      </w:r>
      <w:r w:rsidRPr="00904FCB">
        <w:rPr>
          <w:sz w:val="27"/>
          <w:rtl/>
        </w:rPr>
        <w:t xml:space="preserve"> </w:t>
      </w:r>
      <w:r w:rsidRPr="00904FCB">
        <w:rPr>
          <w:rFonts w:hint="cs"/>
          <w:sz w:val="27"/>
          <w:rtl/>
        </w:rPr>
        <w:t>آخر</w:t>
      </w:r>
      <w:r w:rsidRPr="00904FCB">
        <w:rPr>
          <w:sz w:val="27"/>
          <w:rtl/>
        </w:rPr>
        <w:t xml:space="preserve"> </w:t>
      </w:r>
      <w:r w:rsidRPr="00904FCB">
        <w:rPr>
          <w:rFonts w:hint="cs"/>
          <w:sz w:val="27"/>
          <w:rtl/>
        </w:rPr>
        <w:t>بالملاقاة؛ لأنّ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الوصف</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يسري</w:t>
      </w:r>
      <w:r w:rsidRPr="00904FCB">
        <w:rPr>
          <w:sz w:val="27"/>
          <w:rtl/>
        </w:rPr>
        <w:t xml:space="preserve"> </w:t>
      </w:r>
      <w:r w:rsidRPr="00904FCB">
        <w:rPr>
          <w:rFonts w:hint="cs"/>
          <w:sz w:val="27"/>
          <w:rtl/>
        </w:rPr>
        <w:t>كذلك</w:t>
      </w:r>
      <w:r w:rsidRPr="00904FCB">
        <w:rPr>
          <w:sz w:val="27"/>
          <w:rtl/>
        </w:rPr>
        <w:t xml:space="preserve">. </w:t>
      </w:r>
      <w:r w:rsidRPr="00904FCB">
        <w:rPr>
          <w:rFonts w:hint="cs"/>
          <w:sz w:val="27"/>
          <w:rtl/>
        </w:rPr>
        <w:t>ولهذا</w:t>
      </w:r>
      <w:r w:rsidRPr="00904FCB">
        <w:rPr>
          <w:sz w:val="27"/>
          <w:rtl/>
        </w:rPr>
        <w:t xml:space="preserve"> </w:t>
      </w:r>
      <w:r w:rsidRPr="00904FCB">
        <w:rPr>
          <w:rFonts w:hint="cs"/>
          <w:sz w:val="27"/>
          <w:rtl/>
        </w:rPr>
        <w:t>جاء</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روايات</w:t>
      </w:r>
      <w:r w:rsidRPr="00904FCB">
        <w:rPr>
          <w:sz w:val="27"/>
          <w:rtl/>
        </w:rPr>
        <w:t xml:space="preserve"> </w:t>
      </w:r>
      <w:r w:rsidRPr="00904FCB">
        <w:rPr>
          <w:rFonts w:hint="cs"/>
          <w:sz w:val="27"/>
          <w:rtl/>
        </w:rPr>
        <w:t>طهارة</w:t>
      </w:r>
      <w:r w:rsidRPr="00904FCB">
        <w:rPr>
          <w:sz w:val="27"/>
          <w:rtl/>
        </w:rPr>
        <w:t xml:space="preserve"> </w:t>
      </w:r>
      <w:r w:rsidRPr="00904FCB">
        <w:rPr>
          <w:rFonts w:hint="cs"/>
          <w:sz w:val="27"/>
          <w:rtl/>
        </w:rPr>
        <w:t>الثوب</w:t>
      </w:r>
      <w:r w:rsidRPr="00904FCB">
        <w:rPr>
          <w:sz w:val="27"/>
          <w:rtl/>
        </w:rPr>
        <w:t xml:space="preserve"> </w:t>
      </w:r>
      <w:r w:rsidRPr="00904FCB">
        <w:rPr>
          <w:rFonts w:hint="cs"/>
          <w:sz w:val="27"/>
          <w:rtl/>
        </w:rPr>
        <w:t>الملاقي</w:t>
      </w:r>
      <w:r w:rsidRPr="00904FCB">
        <w:rPr>
          <w:sz w:val="27"/>
          <w:rtl/>
        </w:rPr>
        <w:t xml:space="preserve"> </w:t>
      </w:r>
      <w:r w:rsidRPr="00904FCB">
        <w:rPr>
          <w:rFonts w:hint="cs"/>
          <w:sz w:val="27"/>
          <w:rtl/>
        </w:rPr>
        <w:t>لبدن</w:t>
      </w:r>
      <w:r w:rsidRPr="00904FCB">
        <w:rPr>
          <w:sz w:val="27"/>
          <w:rtl/>
        </w:rPr>
        <w:t xml:space="preserve"> </w:t>
      </w:r>
      <w:r w:rsidRPr="00904FCB">
        <w:rPr>
          <w:rFonts w:hint="cs"/>
          <w:sz w:val="27"/>
          <w:rtl/>
        </w:rPr>
        <w:t>الج</w:t>
      </w:r>
      <w:r w:rsidR="003D7518" w:rsidRPr="00904FCB">
        <w:rPr>
          <w:rFonts w:hint="cs"/>
          <w:sz w:val="27"/>
          <w:rtl/>
        </w:rPr>
        <w:t>ُ</w:t>
      </w:r>
      <w:r w:rsidRPr="00904FCB">
        <w:rPr>
          <w:rFonts w:hint="cs"/>
          <w:sz w:val="27"/>
          <w:rtl/>
        </w:rPr>
        <w:t>ن</w:t>
      </w:r>
      <w:r w:rsidR="003D7518" w:rsidRPr="00904FCB">
        <w:rPr>
          <w:rFonts w:hint="cs"/>
          <w:sz w:val="27"/>
          <w:rtl/>
        </w:rPr>
        <w:t>ُ</w:t>
      </w:r>
      <w:r w:rsidRPr="00904FCB">
        <w:rPr>
          <w:rFonts w:hint="cs"/>
          <w:sz w:val="27"/>
          <w:rtl/>
        </w:rPr>
        <w:t>ب</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الثوب</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يجنب، وورد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عرق</w:t>
      </w:r>
      <w:r w:rsidRPr="00904FCB">
        <w:rPr>
          <w:sz w:val="27"/>
          <w:rtl/>
        </w:rPr>
        <w:t xml:space="preserve"> </w:t>
      </w:r>
      <w:r w:rsidRPr="00904FCB">
        <w:rPr>
          <w:rFonts w:hint="cs"/>
          <w:sz w:val="27"/>
          <w:rtl/>
        </w:rPr>
        <w:t>الجنب</w:t>
      </w:r>
      <w:r w:rsidRPr="00904FCB">
        <w:rPr>
          <w:sz w:val="27"/>
          <w:rtl/>
        </w:rPr>
        <w:t xml:space="preserve"> </w:t>
      </w:r>
      <w:r w:rsidRPr="00904FCB">
        <w:rPr>
          <w:rFonts w:hint="cs"/>
          <w:sz w:val="27"/>
          <w:rtl/>
        </w:rPr>
        <w:t>والحائض</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الجنابة</w:t>
      </w:r>
      <w:r w:rsidRPr="00904FCB">
        <w:rPr>
          <w:sz w:val="27"/>
          <w:rtl/>
        </w:rPr>
        <w:t xml:space="preserve"> </w:t>
      </w:r>
      <w:r w:rsidRPr="00904FCB">
        <w:rPr>
          <w:rFonts w:hint="cs"/>
          <w:sz w:val="27"/>
          <w:rtl/>
        </w:rPr>
        <w:t>والحيض</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وضعهما</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والعجب</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بعضهم</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ذكر</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الشرعية</w:t>
      </w:r>
      <w:r w:rsidR="003D7518"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قذارة</w:t>
      </w:r>
      <w:r w:rsidR="003D7518" w:rsidRPr="00904FCB">
        <w:rPr>
          <w:rFonts w:hint="cs"/>
          <w:sz w:val="27"/>
          <w:rtl/>
        </w:rPr>
        <w:t>ٌ</w:t>
      </w:r>
      <w:r w:rsidRPr="00904FCB">
        <w:rPr>
          <w:sz w:val="27"/>
          <w:rtl/>
        </w:rPr>
        <w:t xml:space="preserve"> </w:t>
      </w:r>
      <w:r w:rsidRPr="00904FCB">
        <w:rPr>
          <w:rFonts w:hint="cs"/>
          <w:sz w:val="27"/>
          <w:rtl/>
        </w:rPr>
        <w:t>جسميّة</w:t>
      </w:r>
      <w:r w:rsidR="003D7518" w:rsidRPr="00904FCB">
        <w:rPr>
          <w:rFonts w:hint="cs"/>
          <w:sz w:val="27"/>
          <w:rtl/>
        </w:rPr>
        <w:t>،</w:t>
      </w:r>
      <w:r w:rsidRPr="00904FCB">
        <w:rPr>
          <w:sz w:val="27"/>
          <w:rtl/>
        </w:rPr>
        <w:t xml:space="preserve"> </w:t>
      </w:r>
      <w:r w:rsidRPr="00904FCB">
        <w:rPr>
          <w:rFonts w:hint="cs"/>
          <w:sz w:val="27"/>
          <w:rtl/>
        </w:rPr>
        <w:t>والقذارة</w:t>
      </w:r>
      <w:r w:rsidRPr="00904FCB">
        <w:rPr>
          <w:sz w:val="27"/>
          <w:rtl/>
        </w:rPr>
        <w:t xml:space="preserve"> </w:t>
      </w:r>
      <w:r w:rsidRPr="00904FCB">
        <w:rPr>
          <w:rFonts w:hint="cs"/>
          <w:sz w:val="27"/>
          <w:rtl/>
        </w:rPr>
        <w:t>المعنويّة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أنكر</w:t>
      </w:r>
      <w:r w:rsidRPr="00904FCB">
        <w:rPr>
          <w:sz w:val="27"/>
          <w:rtl/>
        </w:rPr>
        <w:t xml:space="preserve"> </w:t>
      </w:r>
      <w:r w:rsidRPr="00904FCB">
        <w:rPr>
          <w:rFonts w:hint="cs"/>
          <w:sz w:val="27"/>
          <w:rtl/>
        </w:rPr>
        <w:t>تصوّ</w:t>
      </w:r>
      <w:r w:rsidR="003D7518" w:rsidRPr="00904FCB">
        <w:rPr>
          <w:rFonts w:hint="cs"/>
          <w:sz w:val="27"/>
          <w:rtl/>
        </w:rPr>
        <w:t>ُ</w:t>
      </w:r>
      <w:r w:rsidRPr="00904FCB">
        <w:rPr>
          <w:rFonts w:hint="cs"/>
          <w:sz w:val="27"/>
          <w:rtl/>
        </w:rPr>
        <w:t>ر</w:t>
      </w:r>
      <w:r w:rsidRPr="00904FCB">
        <w:rPr>
          <w:sz w:val="27"/>
          <w:rtl/>
        </w:rPr>
        <w:t xml:space="preserve"> </w:t>
      </w:r>
      <w:r w:rsidRPr="00904FCB">
        <w:rPr>
          <w:rFonts w:hint="cs"/>
          <w:sz w:val="27"/>
          <w:rtl/>
        </w:rPr>
        <w:t>قسم</w:t>
      </w:r>
      <w:r w:rsidR="003D7518" w:rsidRPr="00904FCB">
        <w:rPr>
          <w:rFonts w:hint="cs"/>
          <w:sz w:val="27"/>
          <w:rtl/>
        </w:rPr>
        <w:t>ٍ</w:t>
      </w:r>
      <w:r w:rsidRPr="00904FCB">
        <w:rPr>
          <w:sz w:val="27"/>
          <w:rtl/>
        </w:rPr>
        <w:t xml:space="preserve"> </w:t>
      </w:r>
      <w:r w:rsidRPr="00904FCB">
        <w:rPr>
          <w:rFonts w:hint="cs"/>
          <w:sz w:val="27"/>
          <w:rtl/>
        </w:rPr>
        <w:t>ثالث</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القذارة، وادّ</w:t>
      </w:r>
      <w:r w:rsidR="003D7518" w:rsidRPr="00904FCB">
        <w:rPr>
          <w:rFonts w:hint="cs"/>
          <w:sz w:val="27"/>
          <w:rtl/>
        </w:rPr>
        <w:t>َ</w:t>
      </w:r>
      <w:r w:rsidRPr="00904FCB">
        <w:rPr>
          <w:rFonts w:hint="cs"/>
          <w:sz w:val="27"/>
          <w:rtl/>
        </w:rPr>
        <w:t>عى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فرض</w:t>
      </w:r>
      <w:r w:rsidRPr="00904FCB">
        <w:rPr>
          <w:sz w:val="27"/>
          <w:rtl/>
        </w:rPr>
        <w:t xml:space="preserve"> </w:t>
      </w:r>
      <w:r w:rsidRPr="00904FCB">
        <w:rPr>
          <w:rFonts w:hint="cs"/>
          <w:sz w:val="27"/>
          <w:rtl/>
        </w:rPr>
        <w:t>قذارة</w:t>
      </w:r>
      <w:r w:rsidRPr="00904FCB">
        <w:rPr>
          <w:sz w:val="27"/>
          <w:rtl/>
        </w:rPr>
        <w:t xml:space="preserve"> </w:t>
      </w:r>
      <w:r w:rsidRPr="00904FCB">
        <w:rPr>
          <w:rFonts w:hint="cs"/>
          <w:sz w:val="27"/>
          <w:rtl/>
        </w:rPr>
        <w:t>قائمة</w:t>
      </w:r>
      <w:r w:rsidRPr="00904FCB">
        <w:rPr>
          <w:sz w:val="27"/>
          <w:rtl/>
        </w:rPr>
        <w:t xml:space="preserve"> </w:t>
      </w:r>
      <w:r w:rsidRPr="00904FCB">
        <w:rPr>
          <w:rFonts w:hint="cs"/>
          <w:sz w:val="27"/>
          <w:rtl/>
        </w:rPr>
        <w:t>بالجسم</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الأولى</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مألوف</w:t>
      </w:r>
      <w:r w:rsidR="003D7518"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مقبول</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الشرع، مع</w:t>
      </w:r>
      <w:r w:rsidRPr="00904FCB">
        <w:rPr>
          <w:sz w:val="27"/>
          <w:rtl/>
        </w:rPr>
        <w:t xml:space="preserve"> </w:t>
      </w:r>
      <w:r w:rsidRPr="00904FCB">
        <w:rPr>
          <w:rFonts w:hint="cs"/>
          <w:sz w:val="27"/>
          <w:rtl/>
        </w:rPr>
        <w:t>أنّا</w:t>
      </w:r>
      <w:r w:rsidRPr="00904FCB">
        <w:rPr>
          <w:sz w:val="27"/>
          <w:rtl/>
        </w:rPr>
        <w:t xml:space="preserve"> </w:t>
      </w:r>
      <w:r w:rsidRPr="00904FCB">
        <w:rPr>
          <w:rFonts w:hint="cs"/>
          <w:sz w:val="27"/>
          <w:rtl/>
        </w:rPr>
        <w:t>لاحظنا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القسم</w:t>
      </w:r>
      <w:r w:rsidRPr="00904FCB">
        <w:rPr>
          <w:sz w:val="27"/>
          <w:rtl/>
        </w:rPr>
        <w:t xml:space="preserve"> </w:t>
      </w:r>
      <w:r w:rsidRPr="00904FCB">
        <w:rPr>
          <w:rFonts w:hint="cs"/>
          <w:sz w:val="27"/>
          <w:rtl/>
        </w:rPr>
        <w:t>الثالث</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المستفاد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الشرع</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مثل</w:t>
      </w:r>
      <w:r w:rsidRPr="00904FCB">
        <w:rPr>
          <w:sz w:val="27"/>
          <w:rtl/>
        </w:rPr>
        <w:t xml:space="preserve"> </w:t>
      </w:r>
      <w:r w:rsidRPr="00904FCB">
        <w:rPr>
          <w:rFonts w:hint="cs"/>
          <w:sz w:val="27"/>
          <w:rtl/>
        </w:rPr>
        <w:t>الجنابة</w:t>
      </w:r>
      <w:r w:rsidRPr="00904FCB">
        <w:rPr>
          <w:sz w:val="27"/>
          <w:rtl/>
        </w:rPr>
        <w:t xml:space="preserve"> </w:t>
      </w:r>
      <w:r w:rsidRPr="00904FCB">
        <w:rPr>
          <w:rFonts w:hint="cs"/>
          <w:sz w:val="27"/>
          <w:rtl/>
        </w:rPr>
        <w:t>والحيض</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وهكذا</w:t>
      </w:r>
      <w:r w:rsidRPr="00904FCB">
        <w:rPr>
          <w:sz w:val="27"/>
          <w:rtl/>
        </w:rPr>
        <w:t xml:space="preserve"> </w:t>
      </w:r>
      <w:r w:rsidRPr="00904FCB">
        <w:rPr>
          <w:rFonts w:hint="cs"/>
          <w:sz w:val="27"/>
          <w:rtl/>
        </w:rPr>
        <w:t>يتّ</w:t>
      </w:r>
      <w:r w:rsidR="003D7518" w:rsidRPr="00904FCB">
        <w:rPr>
          <w:rFonts w:hint="cs"/>
          <w:sz w:val="27"/>
          <w:rtl/>
        </w:rPr>
        <w:t>َ</w:t>
      </w:r>
      <w:r w:rsidRPr="00904FCB">
        <w:rPr>
          <w:rFonts w:hint="cs"/>
          <w:sz w:val="27"/>
          <w:rtl/>
        </w:rPr>
        <w:t>ضح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متى</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صفة</w:t>
      </w:r>
      <w:r w:rsidRPr="00904FCB">
        <w:rPr>
          <w:sz w:val="27"/>
          <w:rtl/>
        </w:rPr>
        <w:t xml:space="preserve"> </w:t>
      </w:r>
      <w:r w:rsidRPr="00904FCB">
        <w:rPr>
          <w:rFonts w:hint="cs"/>
          <w:sz w:val="27"/>
          <w:rtl/>
        </w:rPr>
        <w:t>ابتدائيّة</w:t>
      </w:r>
      <w:r w:rsidRPr="00904FCB">
        <w:rPr>
          <w:sz w:val="27"/>
          <w:rtl/>
        </w:rPr>
        <w:t xml:space="preserve"> </w:t>
      </w:r>
      <w:r w:rsidRPr="00904FCB">
        <w:rPr>
          <w:rFonts w:hint="cs"/>
          <w:sz w:val="27"/>
          <w:rtl/>
        </w:rPr>
        <w:t>للجسم كانت</w:t>
      </w:r>
      <w:r w:rsidRPr="00904FCB">
        <w:rPr>
          <w:sz w:val="27"/>
          <w:rtl/>
        </w:rPr>
        <w:t xml:space="preserve"> </w:t>
      </w:r>
      <w:r w:rsidRPr="00904FCB">
        <w:rPr>
          <w:rFonts w:hint="cs"/>
          <w:sz w:val="27"/>
          <w:rtl/>
        </w:rPr>
        <w:t>قذارة</w:t>
      </w:r>
      <w:r w:rsidRPr="00904FCB">
        <w:rPr>
          <w:sz w:val="27"/>
          <w:rtl/>
        </w:rPr>
        <w:t xml:space="preserve"> </w:t>
      </w:r>
      <w:r w:rsidRPr="00904FCB">
        <w:rPr>
          <w:rFonts w:hint="cs"/>
          <w:sz w:val="27"/>
          <w:rtl/>
        </w:rPr>
        <w:t>جسميّة</w:t>
      </w:r>
      <w:r w:rsidRPr="00904FCB">
        <w:rPr>
          <w:sz w:val="27"/>
          <w:rtl/>
        </w:rPr>
        <w:t xml:space="preserve"> </w:t>
      </w:r>
      <w:r w:rsidRPr="00904FCB">
        <w:rPr>
          <w:rFonts w:hint="cs"/>
          <w:sz w:val="27"/>
          <w:rtl/>
        </w:rPr>
        <w:t>قابلة</w:t>
      </w:r>
      <w:r w:rsidRPr="00904FCB">
        <w:rPr>
          <w:sz w:val="27"/>
          <w:rtl/>
        </w:rPr>
        <w:t xml:space="preserve"> </w:t>
      </w:r>
      <w:r w:rsidRPr="00904FCB">
        <w:rPr>
          <w:rFonts w:hint="cs"/>
          <w:sz w:val="27"/>
          <w:rtl/>
        </w:rPr>
        <w:t>للسريان</w:t>
      </w:r>
      <w:r w:rsidRPr="00904FCB">
        <w:rPr>
          <w:sz w:val="27"/>
          <w:rtl/>
        </w:rPr>
        <w:t xml:space="preserve"> </w:t>
      </w:r>
      <w:r w:rsidRPr="00904FCB">
        <w:rPr>
          <w:rFonts w:hint="cs"/>
          <w:sz w:val="27"/>
          <w:rtl/>
        </w:rPr>
        <w:t>بالملاقاة، ومتى</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قائمة</w:t>
      </w:r>
      <w:r w:rsidRPr="00904FCB">
        <w:rPr>
          <w:sz w:val="27"/>
          <w:rtl/>
        </w:rPr>
        <w:t xml:space="preserve"> </w:t>
      </w:r>
      <w:r w:rsidRPr="00904FCB">
        <w:rPr>
          <w:rFonts w:hint="cs"/>
          <w:sz w:val="27"/>
          <w:rtl/>
        </w:rPr>
        <w:t>بصفة</w:t>
      </w:r>
      <w:r w:rsidR="003D7518" w:rsidRPr="00904FCB">
        <w:rPr>
          <w:rFonts w:hint="cs"/>
          <w:sz w:val="27"/>
          <w:rtl/>
        </w:rPr>
        <w:t>ٍ</w:t>
      </w:r>
      <w:r w:rsidRPr="00904FCB">
        <w:rPr>
          <w:sz w:val="27"/>
          <w:rtl/>
        </w:rPr>
        <w:t xml:space="preserve"> </w:t>
      </w:r>
      <w:r w:rsidRPr="00904FCB">
        <w:rPr>
          <w:rFonts w:hint="cs"/>
          <w:sz w:val="27"/>
          <w:rtl/>
        </w:rPr>
        <w:t>ثابتة</w:t>
      </w:r>
      <w:r w:rsidRPr="00904FCB">
        <w:rPr>
          <w:sz w:val="27"/>
          <w:rtl/>
        </w:rPr>
        <w:t xml:space="preserve"> </w:t>
      </w:r>
      <w:r w:rsidRPr="00904FCB">
        <w:rPr>
          <w:rFonts w:hint="cs"/>
          <w:sz w:val="27"/>
          <w:rtl/>
        </w:rPr>
        <w:t>للجسم</w:t>
      </w:r>
      <w:r w:rsidR="003D7518" w:rsidRPr="00904FCB">
        <w:rPr>
          <w:rFonts w:hint="cs"/>
          <w:sz w:val="27"/>
          <w:rtl/>
        </w:rPr>
        <w:t>،</w:t>
      </w:r>
      <w:r w:rsidRPr="00904FCB">
        <w:rPr>
          <w:sz w:val="27"/>
          <w:rtl/>
        </w:rPr>
        <w:t xml:space="preserve"> </w:t>
      </w:r>
      <w:r w:rsidRPr="00904FCB">
        <w:rPr>
          <w:rFonts w:hint="cs"/>
          <w:sz w:val="27"/>
          <w:rtl/>
        </w:rPr>
        <w:t>ولم</w:t>
      </w:r>
      <w:r w:rsidRPr="00904FCB">
        <w:rPr>
          <w:sz w:val="27"/>
          <w:rtl/>
        </w:rPr>
        <w:t xml:space="preserve"> </w:t>
      </w:r>
      <w:r w:rsidRPr="00904FCB">
        <w:rPr>
          <w:rFonts w:hint="cs"/>
          <w:sz w:val="27"/>
          <w:rtl/>
        </w:rPr>
        <w:t>تكن</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الصفة</w:t>
      </w:r>
      <w:r w:rsidRPr="00904FCB">
        <w:rPr>
          <w:sz w:val="27"/>
          <w:rtl/>
        </w:rPr>
        <w:t xml:space="preserve"> </w:t>
      </w:r>
      <w:r w:rsidRPr="00904FCB">
        <w:rPr>
          <w:rFonts w:hint="cs"/>
          <w:sz w:val="27"/>
          <w:rtl/>
        </w:rPr>
        <w:t>قابلة</w:t>
      </w:r>
      <w:r w:rsidRPr="00904FCB">
        <w:rPr>
          <w:sz w:val="27"/>
          <w:rtl/>
        </w:rPr>
        <w:t xml:space="preserve"> </w:t>
      </w:r>
      <w:r w:rsidRPr="00904FCB">
        <w:rPr>
          <w:rFonts w:hint="cs"/>
          <w:sz w:val="27"/>
          <w:rtl/>
        </w:rPr>
        <w:t>للسريان</w:t>
      </w:r>
      <w:r w:rsidRPr="00904FCB">
        <w:rPr>
          <w:sz w:val="27"/>
          <w:rtl/>
        </w:rPr>
        <w:t xml:space="preserve"> </w:t>
      </w:r>
      <w:r w:rsidRPr="00904FCB">
        <w:rPr>
          <w:rFonts w:hint="cs"/>
          <w:sz w:val="27"/>
          <w:rtl/>
        </w:rPr>
        <w:t>بالملاقاة</w:t>
      </w:r>
      <w:r w:rsidR="003D7518" w:rsidRPr="00904FCB">
        <w:rPr>
          <w:rFonts w:hint="cs"/>
          <w:sz w:val="27"/>
          <w:rtl/>
        </w:rPr>
        <w:t>،</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تسري</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الملاقي، بالرغم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كونها</w:t>
      </w:r>
      <w:r w:rsidRPr="00904FCB">
        <w:rPr>
          <w:sz w:val="27"/>
          <w:rtl/>
        </w:rPr>
        <w:t xml:space="preserve"> </w:t>
      </w:r>
      <w:r w:rsidRPr="00904FCB">
        <w:rPr>
          <w:rFonts w:hint="cs"/>
          <w:sz w:val="27"/>
          <w:rtl/>
        </w:rPr>
        <w:t>قذارة</w:t>
      </w:r>
      <w:r w:rsidR="003D7518" w:rsidRPr="00904FCB">
        <w:rPr>
          <w:rFonts w:hint="cs"/>
          <w:sz w:val="27"/>
          <w:rtl/>
        </w:rPr>
        <w:t>ً</w:t>
      </w:r>
      <w:r w:rsidRPr="00904FCB">
        <w:rPr>
          <w:sz w:val="27"/>
          <w:rtl/>
        </w:rPr>
        <w:t xml:space="preserve"> </w:t>
      </w:r>
      <w:r w:rsidRPr="00904FCB">
        <w:rPr>
          <w:rFonts w:hint="cs"/>
          <w:sz w:val="27"/>
          <w:rtl/>
        </w:rPr>
        <w:t>جسميّة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وتعدّد</w:t>
      </w:r>
      <w:r w:rsidRPr="00904FCB">
        <w:rPr>
          <w:sz w:val="27"/>
          <w:rtl/>
        </w:rPr>
        <w:t xml:space="preserve"> </w:t>
      </w:r>
      <w:r w:rsidRPr="00904FCB">
        <w:rPr>
          <w:rFonts w:hint="cs"/>
          <w:sz w:val="27"/>
          <w:rtl/>
        </w:rPr>
        <w:t>أقسام</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ينافي</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ذات</w:t>
      </w:r>
      <w:r w:rsidRPr="00904FCB">
        <w:rPr>
          <w:sz w:val="27"/>
          <w:rtl/>
        </w:rPr>
        <w:t xml:space="preserve"> </w:t>
      </w:r>
      <w:r w:rsidRPr="00904FCB">
        <w:rPr>
          <w:rFonts w:hint="cs"/>
          <w:sz w:val="27"/>
          <w:rtl/>
        </w:rPr>
        <w:t>معنى</w:t>
      </w:r>
      <w:r w:rsidRPr="00904FCB">
        <w:rPr>
          <w:sz w:val="27"/>
          <w:rtl/>
        </w:rPr>
        <w:t xml:space="preserve"> </w:t>
      </w:r>
      <w:r w:rsidRPr="00904FCB">
        <w:rPr>
          <w:rFonts w:hint="cs"/>
          <w:sz w:val="27"/>
          <w:rtl/>
        </w:rPr>
        <w:t>واحد</w:t>
      </w:r>
      <w:r w:rsidRPr="00904FCB">
        <w:rPr>
          <w:sz w:val="27"/>
          <w:rtl/>
        </w:rPr>
        <w:t xml:space="preserve"> </w:t>
      </w:r>
      <w:r w:rsidRPr="00904FCB">
        <w:rPr>
          <w:rFonts w:hint="cs"/>
          <w:sz w:val="27"/>
          <w:rtl/>
        </w:rPr>
        <w:t>معروف</w:t>
      </w:r>
      <w:r w:rsidRPr="00904FCB">
        <w:rPr>
          <w:sz w:val="27"/>
          <w:rtl/>
        </w:rPr>
        <w:t xml:space="preserve">. </w:t>
      </w:r>
      <w:r w:rsidRPr="00904FCB">
        <w:rPr>
          <w:rFonts w:hint="cs"/>
          <w:sz w:val="27"/>
          <w:rtl/>
        </w:rPr>
        <w:t>والأقسام</w:t>
      </w:r>
      <w:r w:rsidRPr="00904FCB">
        <w:rPr>
          <w:sz w:val="27"/>
          <w:rtl/>
        </w:rPr>
        <w:t xml:space="preserve"> </w:t>
      </w:r>
      <w:r w:rsidRPr="00904FCB">
        <w:rPr>
          <w:rFonts w:hint="cs"/>
          <w:sz w:val="27"/>
          <w:rtl/>
        </w:rPr>
        <w:t>المذكورة</w:t>
      </w:r>
      <w:r w:rsidRPr="00904FCB">
        <w:rPr>
          <w:sz w:val="27"/>
          <w:rtl/>
        </w:rPr>
        <w:t xml:space="preserve"> </w:t>
      </w:r>
      <w:r w:rsidRPr="00904FCB">
        <w:rPr>
          <w:rFonts w:hint="cs"/>
          <w:sz w:val="27"/>
          <w:rtl/>
        </w:rPr>
        <w:t>إنّما</w:t>
      </w:r>
      <w:r w:rsidRPr="00904FCB">
        <w:rPr>
          <w:sz w:val="27"/>
          <w:rtl/>
        </w:rPr>
        <w:t xml:space="preserve"> </w:t>
      </w:r>
      <w:r w:rsidRPr="00904FCB">
        <w:rPr>
          <w:rFonts w:hint="cs"/>
          <w:sz w:val="27"/>
          <w:rtl/>
        </w:rPr>
        <w:t>تختلف</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مركز</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والنجاسة</w:t>
      </w:r>
      <w:r w:rsidR="003D7518" w:rsidRPr="00904FCB">
        <w:rPr>
          <w:rFonts w:hint="cs"/>
          <w:sz w:val="27"/>
          <w:rtl/>
        </w:rPr>
        <w:t>؛</w:t>
      </w:r>
      <w:r w:rsidRPr="00904FCB">
        <w:rPr>
          <w:rFonts w:hint="cs"/>
          <w:sz w:val="27"/>
          <w:rtl/>
        </w:rPr>
        <w:t xml:space="preserve"> فهو</w:t>
      </w:r>
      <w:r w:rsidRPr="00904FCB">
        <w:rPr>
          <w:sz w:val="27"/>
          <w:rtl/>
        </w:rPr>
        <w:t xml:space="preserve"> </w:t>
      </w:r>
      <w:r w:rsidRPr="00904FCB">
        <w:rPr>
          <w:rFonts w:hint="cs"/>
          <w:sz w:val="27"/>
          <w:rtl/>
        </w:rPr>
        <w:t>تارةً</w:t>
      </w:r>
      <w:r w:rsidRPr="00904FCB">
        <w:rPr>
          <w:sz w:val="27"/>
          <w:rtl/>
        </w:rPr>
        <w:t xml:space="preserve"> </w:t>
      </w:r>
      <w:r w:rsidRPr="00904FCB">
        <w:rPr>
          <w:rFonts w:hint="cs"/>
          <w:sz w:val="27"/>
          <w:rtl/>
        </w:rPr>
        <w:t>الجسم</w:t>
      </w:r>
      <w:r w:rsidR="003D7518" w:rsidRPr="00904FCB">
        <w:rPr>
          <w:rFonts w:hint="cs"/>
          <w:sz w:val="27"/>
          <w:rtl/>
        </w:rPr>
        <w:t>؛</w:t>
      </w:r>
      <w:r w:rsidRPr="00904FCB">
        <w:rPr>
          <w:rFonts w:hint="cs"/>
          <w:sz w:val="27"/>
          <w:rtl/>
        </w:rPr>
        <w:t xml:space="preserve"> وأخرى</w:t>
      </w:r>
      <w:r w:rsidRPr="00904FCB">
        <w:rPr>
          <w:sz w:val="27"/>
          <w:rtl/>
        </w:rPr>
        <w:t xml:space="preserve"> </w:t>
      </w:r>
      <w:r w:rsidRPr="00904FCB">
        <w:rPr>
          <w:rFonts w:hint="cs"/>
          <w:sz w:val="27"/>
          <w:rtl/>
        </w:rPr>
        <w:t>المعنى</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النفس</w:t>
      </w:r>
      <w:r w:rsidR="003D7518" w:rsidRPr="00904FCB">
        <w:rPr>
          <w:rFonts w:hint="cs"/>
          <w:sz w:val="27"/>
          <w:rtl/>
        </w:rPr>
        <w:t>؛</w:t>
      </w:r>
      <w:r w:rsidRPr="00904FCB">
        <w:rPr>
          <w:rFonts w:hint="cs"/>
          <w:sz w:val="27"/>
          <w:rtl/>
        </w:rPr>
        <w:t xml:space="preserve"> وثالثةً</w:t>
      </w:r>
      <w:r w:rsidRPr="00904FCB">
        <w:rPr>
          <w:sz w:val="27"/>
          <w:rtl/>
        </w:rPr>
        <w:t xml:space="preserve"> </w:t>
      </w:r>
      <w:r w:rsidRPr="00904FCB">
        <w:rPr>
          <w:rFonts w:hint="cs"/>
          <w:sz w:val="27"/>
          <w:rtl/>
        </w:rPr>
        <w:t>صفة</w:t>
      </w:r>
      <w:r w:rsidRPr="00904FCB">
        <w:rPr>
          <w:sz w:val="27"/>
          <w:rtl/>
        </w:rPr>
        <w:t xml:space="preserve"> </w:t>
      </w:r>
      <w:r w:rsidRPr="00904FCB">
        <w:rPr>
          <w:rFonts w:hint="cs"/>
          <w:sz w:val="27"/>
          <w:rtl/>
        </w:rPr>
        <w:t>قائمة</w:t>
      </w:r>
      <w:r w:rsidRPr="00904FCB">
        <w:rPr>
          <w:sz w:val="27"/>
          <w:rtl/>
        </w:rPr>
        <w:t xml:space="preserve"> </w:t>
      </w:r>
      <w:r w:rsidRPr="00904FCB">
        <w:rPr>
          <w:rFonts w:hint="cs"/>
          <w:sz w:val="27"/>
          <w:rtl/>
        </w:rPr>
        <w:t>بالجسم</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انصراف</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أحد</w:t>
      </w:r>
      <w:r w:rsidRPr="00904FCB">
        <w:rPr>
          <w:sz w:val="27"/>
          <w:rtl/>
        </w:rPr>
        <w:t xml:space="preserve"> </w:t>
      </w:r>
      <w:r w:rsidRPr="00904FCB">
        <w:rPr>
          <w:rFonts w:hint="cs"/>
          <w:sz w:val="27"/>
          <w:rtl/>
        </w:rPr>
        <w:t>الأقسام</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بضم</w:t>
      </w:r>
      <w:r w:rsidR="003D7518" w:rsidRPr="00904FCB">
        <w:rPr>
          <w:rFonts w:hint="cs"/>
          <w:sz w:val="27"/>
          <w:rtl/>
        </w:rPr>
        <w:t>ّ</w:t>
      </w:r>
      <w:r w:rsidRPr="00904FCB">
        <w:rPr>
          <w:sz w:val="27"/>
          <w:rtl/>
        </w:rPr>
        <w:t xml:space="preserve"> </w:t>
      </w:r>
      <w:r w:rsidRPr="00904FCB">
        <w:rPr>
          <w:rFonts w:hint="cs"/>
          <w:sz w:val="27"/>
          <w:rtl/>
        </w:rPr>
        <w:t>المناسبات</w:t>
      </w:r>
      <w:r w:rsidRPr="00904FCB">
        <w:rPr>
          <w:sz w:val="27"/>
          <w:rtl/>
        </w:rPr>
        <w:t xml:space="preserve"> </w:t>
      </w:r>
      <w:r w:rsidRPr="00904FCB">
        <w:rPr>
          <w:rFonts w:hint="cs"/>
          <w:sz w:val="27"/>
          <w:rtl/>
        </w:rPr>
        <w:lastRenderedPageBreak/>
        <w:t>والملابسات</w:t>
      </w:r>
      <w:r w:rsidRPr="00904FCB">
        <w:rPr>
          <w:sz w:val="27"/>
          <w:rtl/>
        </w:rPr>
        <w:t xml:space="preserve">. </w:t>
      </w:r>
      <w:r w:rsidRPr="00904FCB">
        <w:rPr>
          <w:rFonts w:hint="cs"/>
          <w:sz w:val="27"/>
          <w:rtl/>
        </w:rPr>
        <w:t>والنجاسة</w:t>
      </w:r>
      <w:r w:rsidRPr="00904FCB">
        <w:rPr>
          <w:sz w:val="27"/>
          <w:rtl/>
        </w:rPr>
        <w:t xml:space="preserve"> </w:t>
      </w:r>
      <w:r w:rsidRPr="00904FCB">
        <w:rPr>
          <w:rFonts w:hint="cs"/>
          <w:sz w:val="27"/>
          <w:rtl/>
        </w:rPr>
        <w:t>الشرعيّة</w:t>
      </w:r>
      <w:r w:rsidRPr="00904FCB">
        <w:rPr>
          <w:sz w:val="27"/>
          <w:rtl/>
        </w:rPr>
        <w:t xml:space="preserve"> </w:t>
      </w:r>
      <w:r w:rsidRPr="00904FCB">
        <w:rPr>
          <w:rFonts w:hint="cs"/>
          <w:sz w:val="27"/>
          <w:rtl/>
        </w:rPr>
        <w:t>ليست</w:t>
      </w:r>
      <w:r w:rsidRPr="00904FCB">
        <w:rPr>
          <w:sz w:val="27"/>
          <w:rtl/>
        </w:rPr>
        <w:t xml:space="preserve"> </w:t>
      </w:r>
      <w:r w:rsidRPr="00904FCB">
        <w:rPr>
          <w:rFonts w:hint="cs"/>
          <w:sz w:val="27"/>
          <w:rtl/>
        </w:rPr>
        <w:t>معنى</w:t>
      </w:r>
      <w:r w:rsidR="003D7518" w:rsidRPr="00904FCB">
        <w:rPr>
          <w:rFonts w:hint="cs"/>
          <w:sz w:val="27"/>
          <w:rtl/>
        </w:rPr>
        <w:t>ً</w:t>
      </w:r>
      <w:r w:rsidRPr="00904FCB">
        <w:rPr>
          <w:sz w:val="27"/>
          <w:rtl/>
        </w:rPr>
        <w:t xml:space="preserve"> </w:t>
      </w:r>
      <w:r w:rsidRPr="00904FCB">
        <w:rPr>
          <w:rFonts w:hint="cs"/>
          <w:sz w:val="27"/>
          <w:rtl/>
        </w:rPr>
        <w:t>آخر</w:t>
      </w:r>
      <w:r w:rsidRPr="00904FCB">
        <w:rPr>
          <w:sz w:val="27"/>
          <w:rtl/>
        </w:rPr>
        <w:t xml:space="preserve"> </w:t>
      </w:r>
      <w:r w:rsidRPr="00904FCB">
        <w:rPr>
          <w:rFonts w:hint="cs"/>
          <w:sz w:val="27"/>
          <w:rtl/>
        </w:rPr>
        <w:t>للفظ</w:t>
      </w:r>
      <w:r w:rsidRPr="00904FCB">
        <w:rPr>
          <w:sz w:val="27"/>
          <w:rtl/>
        </w:rPr>
        <w:t xml:space="preserve"> </w:t>
      </w:r>
      <w:r w:rsidRPr="00904FCB">
        <w:rPr>
          <w:rFonts w:hint="cs"/>
          <w:sz w:val="27"/>
          <w:rtl/>
        </w:rPr>
        <w:t>القذارة، وإنّما</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اعتبار</w:t>
      </w:r>
      <w:r w:rsidRPr="00904FCB">
        <w:rPr>
          <w:sz w:val="27"/>
          <w:rtl/>
        </w:rPr>
        <w:t xml:space="preserve"> </w:t>
      </w:r>
      <w:r w:rsidRPr="00904FCB">
        <w:rPr>
          <w:rFonts w:hint="cs"/>
          <w:sz w:val="27"/>
          <w:rtl/>
        </w:rPr>
        <w:t>للنجاسة</w:t>
      </w:r>
      <w:r w:rsidRPr="00904FCB">
        <w:rPr>
          <w:sz w:val="27"/>
          <w:rtl/>
        </w:rPr>
        <w:t xml:space="preserve"> </w:t>
      </w:r>
      <w:r w:rsidRPr="00904FCB">
        <w:rPr>
          <w:rFonts w:hint="cs"/>
          <w:sz w:val="27"/>
          <w:rtl/>
        </w:rPr>
        <w:t>الحقيقيّة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وعلى</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الأساس</w:t>
      </w:r>
      <w:r w:rsidRPr="00904FCB">
        <w:rPr>
          <w:sz w:val="27"/>
          <w:rtl/>
        </w:rPr>
        <w:t xml:space="preserve"> </w:t>
      </w:r>
      <w:r w:rsidRPr="00904FCB">
        <w:rPr>
          <w:rFonts w:hint="cs"/>
          <w:sz w:val="27"/>
          <w:rtl/>
        </w:rPr>
        <w:t>فقد</w:t>
      </w:r>
      <w:r w:rsidRPr="00904FCB">
        <w:rPr>
          <w:sz w:val="27"/>
          <w:rtl/>
        </w:rPr>
        <w:t xml:space="preserve"> </w:t>
      </w:r>
      <w:r w:rsidRPr="00904FCB">
        <w:rPr>
          <w:rFonts w:hint="cs"/>
          <w:sz w:val="27"/>
          <w:rtl/>
        </w:rPr>
        <w:t>يستشكل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بالآية</w:t>
      </w:r>
      <w:r w:rsidRPr="00904FCB">
        <w:rPr>
          <w:sz w:val="27"/>
          <w:rtl/>
        </w:rPr>
        <w:t xml:space="preserve"> </w:t>
      </w:r>
      <w:r w:rsidRPr="00904FCB">
        <w:rPr>
          <w:rFonts w:hint="cs"/>
          <w:sz w:val="27"/>
          <w:rtl/>
        </w:rPr>
        <w:t>الكريمة</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لفظة</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حملها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معناها</w:t>
      </w:r>
      <w:r w:rsidRPr="00904FCB">
        <w:rPr>
          <w:sz w:val="27"/>
          <w:rtl/>
        </w:rPr>
        <w:t xml:space="preserve"> </w:t>
      </w:r>
      <w:r w:rsidRPr="00904FCB">
        <w:rPr>
          <w:rFonts w:hint="cs"/>
          <w:sz w:val="27"/>
          <w:rtl/>
        </w:rPr>
        <w:t>الحقيقي</w:t>
      </w:r>
      <w:r w:rsidRPr="00904FCB">
        <w:rPr>
          <w:sz w:val="27"/>
          <w:rtl/>
        </w:rPr>
        <w:t xml:space="preserve"> </w:t>
      </w:r>
      <w:r w:rsidRPr="00904FCB">
        <w:rPr>
          <w:rFonts w:hint="cs"/>
          <w:sz w:val="27"/>
          <w:rtl/>
        </w:rPr>
        <w:t>اللغوي، أي</w:t>
      </w:r>
      <w:r w:rsidRPr="00904FCB">
        <w:rPr>
          <w:sz w:val="27"/>
          <w:rtl/>
        </w:rPr>
        <w:t xml:space="preserve"> </w:t>
      </w:r>
      <w:r w:rsidRPr="00904FCB">
        <w:rPr>
          <w:rFonts w:hint="cs"/>
          <w:sz w:val="27"/>
          <w:rtl/>
        </w:rPr>
        <w:t>القذارة، فلا</w:t>
      </w:r>
      <w:r w:rsidRPr="00904FCB">
        <w:rPr>
          <w:sz w:val="27"/>
          <w:rtl/>
        </w:rPr>
        <w:t xml:space="preserve"> </w:t>
      </w:r>
      <w:r w:rsidRPr="00904FCB">
        <w:rPr>
          <w:rFonts w:hint="cs"/>
          <w:sz w:val="27"/>
          <w:rtl/>
        </w:rPr>
        <w:t>تعطي</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الطعن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المشركين</w:t>
      </w:r>
      <w:r w:rsidRPr="00904FCB">
        <w:rPr>
          <w:sz w:val="27"/>
          <w:rtl/>
        </w:rPr>
        <w:t xml:space="preserve"> </w:t>
      </w:r>
      <w:r w:rsidRPr="00904FCB">
        <w:rPr>
          <w:rFonts w:hint="cs"/>
          <w:sz w:val="27"/>
          <w:rtl/>
        </w:rPr>
        <w:t>بالقذارة</w:t>
      </w:r>
      <w:r w:rsidRPr="00904FCB">
        <w:rPr>
          <w:sz w:val="27"/>
          <w:rtl/>
        </w:rPr>
        <w:t xml:space="preserve"> </w:t>
      </w:r>
      <w:r w:rsidRPr="00904FCB">
        <w:rPr>
          <w:rFonts w:hint="cs"/>
          <w:sz w:val="27"/>
          <w:rtl/>
        </w:rPr>
        <w:t>والوساخة، ولا</w:t>
      </w:r>
      <w:r w:rsidRPr="00904FCB">
        <w:rPr>
          <w:sz w:val="27"/>
          <w:rtl/>
        </w:rPr>
        <w:t xml:space="preserve"> </w:t>
      </w:r>
      <w:r w:rsidRPr="00904FCB">
        <w:rPr>
          <w:rFonts w:hint="cs"/>
          <w:sz w:val="27"/>
          <w:rtl/>
        </w:rPr>
        <w:t>موجب</w:t>
      </w:r>
      <w:r w:rsidRPr="00904FCB">
        <w:rPr>
          <w:sz w:val="27"/>
          <w:rtl/>
        </w:rPr>
        <w:t xml:space="preserve"> </w:t>
      </w:r>
      <w:r w:rsidRPr="00904FCB">
        <w:rPr>
          <w:rFonts w:hint="cs"/>
          <w:sz w:val="27"/>
          <w:rtl/>
        </w:rPr>
        <w:t>لحملها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الفرد</w:t>
      </w:r>
      <w:r w:rsidRPr="00904FCB">
        <w:rPr>
          <w:sz w:val="27"/>
          <w:rtl/>
        </w:rPr>
        <w:t xml:space="preserve"> </w:t>
      </w:r>
      <w:r w:rsidRPr="00904FCB">
        <w:rPr>
          <w:rFonts w:hint="cs"/>
          <w:sz w:val="27"/>
          <w:rtl/>
        </w:rPr>
        <w:t>الاعتباري</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المدّ</w:t>
      </w:r>
      <w:r w:rsidR="003D7518" w:rsidRPr="00904FCB">
        <w:rPr>
          <w:rFonts w:hint="cs"/>
          <w:sz w:val="27"/>
          <w:rtl/>
        </w:rPr>
        <w:t>َ</w:t>
      </w:r>
      <w:r w:rsidRPr="00904FCB">
        <w:rPr>
          <w:rFonts w:hint="cs"/>
          <w:sz w:val="27"/>
          <w:rtl/>
        </w:rPr>
        <w:t>عاة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المقام</w:t>
      </w:r>
      <w:r w:rsidRPr="00904FCB">
        <w:rPr>
          <w:sz w:val="27"/>
          <w:rtl/>
        </w:rPr>
        <w:t xml:space="preserve">. </w:t>
      </w:r>
    </w:p>
    <w:p w:rsidR="00F34FB9" w:rsidRPr="00904FCB" w:rsidRDefault="00F34FB9" w:rsidP="007A21AA">
      <w:pPr>
        <w:spacing w:line="400" w:lineRule="exact"/>
        <w:rPr>
          <w:sz w:val="27"/>
          <w:rtl/>
        </w:rPr>
      </w:pPr>
    </w:p>
    <w:p w:rsidR="00F34FB9" w:rsidRPr="00904FCB" w:rsidRDefault="00F34FB9" w:rsidP="007A21AA">
      <w:pPr>
        <w:pStyle w:val="31"/>
        <w:spacing w:line="400" w:lineRule="exact"/>
        <w:rPr>
          <w:color w:val="auto"/>
          <w:rtl/>
        </w:rPr>
      </w:pPr>
      <w:r w:rsidRPr="00904FCB">
        <w:rPr>
          <w:rFonts w:hint="cs"/>
          <w:color w:val="auto"/>
          <w:rtl/>
        </w:rPr>
        <w:t xml:space="preserve">تقريب استدلال </w:t>
      </w:r>
      <w:r w:rsidR="003D7518" w:rsidRPr="00904FCB">
        <w:rPr>
          <w:rFonts w:hint="cs"/>
          <w:color w:val="auto"/>
          <w:rtl/>
        </w:rPr>
        <w:t>الشهيد</w:t>
      </w:r>
      <w:r w:rsidRPr="00904FCB">
        <w:rPr>
          <w:rFonts w:hint="cs"/>
          <w:color w:val="auto"/>
          <w:rtl/>
        </w:rPr>
        <w:t xml:space="preserve"> الصدر</w:t>
      </w:r>
    </w:p>
    <w:p w:rsidR="00F34FB9" w:rsidRPr="00904FCB" w:rsidRDefault="00F34FB9" w:rsidP="007A21AA">
      <w:pPr>
        <w:spacing w:line="400" w:lineRule="exact"/>
        <w:rPr>
          <w:sz w:val="27"/>
          <w:rtl/>
        </w:rPr>
      </w:pPr>
      <w:r w:rsidRPr="00904FCB">
        <w:rPr>
          <w:rFonts w:hint="cs"/>
          <w:sz w:val="27"/>
          <w:rtl/>
        </w:rPr>
        <w:t xml:space="preserve"> نقرّ</w:t>
      </w:r>
      <w:r w:rsidR="003D7518" w:rsidRPr="00904FCB">
        <w:rPr>
          <w:rFonts w:hint="cs"/>
          <w:sz w:val="27"/>
          <w:rtl/>
        </w:rPr>
        <w:t>ِ</w:t>
      </w:r>
      <w:r w:rsidRPr="00904FCB">
        <w:rPr>
          <w:rFonts w:hint="cs"/>
          <w:sz w:val="27"/>
          <w:rtl/>
        </w:rPr>
        <w:t>ب الاستدلال هنا بعدّة</w:t>
      </w:r>
      <w:r w:rsidRPr="00904FCB">
        <w:rPr>
          <w:sz w:val="27"/>
          <w:rtl/>
        </w:rPr>
        <w:t xml:space="preserve"> </w:t>
      </w:r>
      <w:r w:rsidRPr="00904FCB">
        <w:rPr>
          <w:rFonts w:hint="cs"/>
          <w:sz w:val="27"/>
          <w:rtl/>
        </w:rPr>
        <w:t>وجوه</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الوجه</w:t>
      </w:r>
      <w:r w:rsidRPr="00904FCB">
        <w:rPr>
          <w:b/>
          <w:bCs/>
          <w:sz w:val="27"/>
          <w:rtl/>
        </w:rPr>
        <w:t xml:space="preserve"> </w:t>
      </w:r>
      <w:r w:rsidRPr="00904FCB">
        <w:rPr>
          <w:rFonts w:hint="cs"/>
          <w:b/>
          <w:bCs/>
          <w:sz w:val="27"/>
          <w:rtl/>
        </w:rPr>
        <w:t>الأوّل</w:t>
      </w:r>
      <w:r w:rsidRPr="00904FCB">
        <w:rPr>
          <w:sz w:val="27"/>
          <w:rtl/>
        </w:rPr>
        <w:t xml:space="preserve">: </w:t>
      </w:r>
      <w:r w:rsidRPr="00904FCB">
        <w:rPr>
          <w:rFonts w:hint="cs"/>
          <w:sz w:val="27"/>
          <w:rtl/>
        </w:rPr>
        <w:t>دعوى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المعنى</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الاصط</w:t>
      </w:r>
      <w:r w:rsidR="003D7518" w:rsidRPr="00904FCB">
        <w:rPr>
          <w:rFonts w:hint="cs"/>
          <w:sz w:val="27"/>
          <w:rtl/>
        </w:rPr>
        <w:t>لا</w:t>
      </w:r>
      <w:r w:rsidRPr="00904FCB">
        <w:rPr>
          <w:rFonts w:hint="cs"/>
          <w:sz w:val="27"/>
          <w:rtl/>
        </w:rPr>
        <w:t>ح</w:t>
      </w:r>
      <w:r w:rsidRPr="00904FCB">
        <w:rPr>
          <w:sz w:val="27"/>
          <w:rtl/>
        </w:rPr>
        <w:t xml:space="preserve"> </w:t>
      </w:r>
      <w:r w:rsidRPr="00904FCB">
        <w:rPr>
          <w:rFonts w:hint="cs"/>
          <w:sz w:val="27"/>
          <w:rtl/>
        </w:rPr>
        <w:t>الشرعي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زمن</w:t>
      </w:r>
      <w:r w:rsidRPr="00904FCB">
        <w:rPr>
          <w:sz w:val="27"/>
          <w:rtl/>
        </w:rPr>
        <w:t xml:space="preserve"> </w:t>
      </w:r>
      <w:r w:rsidRPr="00904FCB">
        <w:rPr>
          <w:rFonts w:hint="cs"/>
          <w:sz w:val="27"/>
          <w:rtl/>
        </w:rPr>
        <w:t>النبي</w:t>
      </w:r>
      <w:r w:rsidR="003D7518" w:rsidRPr="00904FCB">
        <w:rPr>
          <w:rFonts w:hint="cs"/>
          <w:sz w:val="27"/>
          <w:rtl/>
        </w:rPr>
        <w:t>ّ</w:t>
      </w:r>
      <w:r w:rsidR="00635E51" w:rsidRPr="00904FCB">
        <w:rPr>
          <w:rFonts w:cs="Mosawi"/>
          <w:sz w:val="27"/>
          <w:szCs w:val="22"/>
          <w:rtl/>
        </w:rPr>
        <w:t>|</w:t>
      </w:r>
      <w:r w:rsidR="003D7518" w:rsidRPr="00904FCB">
        <w:rPr>
          <w:rFonts w:hint="cs"/>
          <w:sz w:val="27"/>
          <w:rtl/>
        </w:rPr>
        <w:t>؛</w:t>
      </w:r>
      <w:r w:rsidRPr="00904FCB">
        <w:rPr>
          <w:rFonts w:hint="cs"/>
          <w:sz w:val="27"/>
          <w:rtl/>
        </w:rPr>
        <w:t xml:space="preserve"> إمّا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أساس</w:t>
      </w:r>
      <w:r w:rsidRPr="00904FCB">
        <w:rPr>
          <w:sz w:val="27"/>
          <w:rtl/>
        </w:rPr>
        <w:t xml:space="preserve"> </w:t>
      </w:r>
      <w:r w:rsidRPr="00904FCB">
        <w:rPr>
          <w:rFonts w:hint="cs"/>
          <w:sz w:val="27"/>
          <w:rtl/>
        </w:rPr>
        <w:t>الحقيقة</w:t>
      </w:r>
      <w:r w:rsidRPr="00904FCB">
        <w:rPr>
          <w:sz w:val="27"/>
          <w:rtl/>
        </w:rPr>
        <w:t xml:space="preserve"> </w:t>
      </w:r>
      <w:r w:rsidRPr="00904FCB">
        <w:rPr>
          <w:rFonts w:hint="cs"/>
          <w:sz w:val="27"/>
          <w:rtl/>
        </w:rPr>
        <w:t>الشرعيّة</w:t>
      </w:r>
      <w:r w:rsidR="003D7518" w:rsidRPr="00904FCB">
        <w:rPr>
          <w:rFonts w:hint="cs"/>
          <w:sz w:val="27"/>
          <w:rtl/>
        </w:rPr>
        <w:t>؛</w:t>
      </w:r>
      <w:r w:rsidRPr="00904FCB">
        <w:rPr>
          <w:rFonts w:hint="cs"/>
          <w:sz w:val="27"/>
          <w:rtl/>
        </w:rPr>
        <w:t xml:space="preserve"> أو</w:t>
      </w:r>
      <w:r w:rsidRPr="00904FCB">
        <w:rPr>
          <w:sz w:val="27"/>
          <w:rtl/>
        </w:rPr>
        <w:t xml:space="preserve"> </w:t>
      </w:r>
      <w:r w:rsidRPr="00904FCB">
        <w:rPr>
          <w:rFonts w:hint="cs"/>
          <w:sz w:val="27"/>
          <w:rtl/>
        </w:rPr>
        <w:t>القرينة</w:t>
      </w:r>
      <w:r w:rsidRPr="00904FCB">
        <w:rPr>
          <w:sz w:val="27"/>
          <w:rtl/>
        </w:rPr>
        <w:t xml:space="preserve"> </w:t>
      </w:r>
      <w:r w:rsidRPr="00904FCB">
        <w:rPr>
          <w:rFonts w:hint="cs"/>
          <w:sz w:val="27"/>
          <w:rtl/>
        </w:rPr>
        <w:t>العامّة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وأورد</w:t>
      </w:r>
      <w:r w:rsidRPr="00904FCB">
        <w:rPr>
          <w:b/>
          <w:bCs/>
          <w:sz w:val="27"/>
          <w:rtl/>
        </w:rPr>
        <w:t xml:space="preserve"> </w:t>
      </w:r>
      <w:r w:rsidRPr="00904FCB">
        <w:rPr>
          <w:rFonts w:hint="cs"/>
          <w:b/>
          <w:bCs/>
          <w:sz w:val="27"/>
          <w:rtl/>
        </w:rPr>
        <w:t>عليه</w:t>
      </w:r>
      <w:r w:rsidRPr="00904FCB">
        <w:rPr>
          <w:b/>
          <w:bCs/>
          <w:sz w:val="27"/>
          <w:rtl/>
        </w:rPr>
        <w:t xml:space="preserve"> </w:t>
      </w:r>
      <w:r w:rsidRPr="00904FCB">
        <w:rPr>
          <w:rFonts w:hint="cs"/>
          <w:b/>
          <w:bCs/>
          <w:sz w:val="27"/>
          <w:rtl/>
        </w:rPr>
        <w:t>السيّد</w:t>
      </w:r>
      <w:r w:rsidRPr="00904FCB">
        <w:rPr>
          <w:b/>
          <w:bCs/>
          <w:sz w:val="27"/>
          <w:rtl/>
        </w:rPr>
        <w:t xml:space="preserve"> </w:t>
      </w:r>
      <w:r w:rsidRPr="00904FCB">
        <w:rPr>
          <w:rFonts w:hint="cs"/>
          <w:b/>
          <w:bCs/>
          <w:sz w:val="27"/>
          <w:rtl/>
        </w:rPr>
        <w:t>الأستاذ</w:t>
      </w:r>
      <w:r w:rsidRPr="00904FCB">
        <w:rPr>
          <w:rFonts w:hint="cs"/>
          <w:sz w:val="27"/>
          <w:vertAlign w:val="superscript"/>
          <w:rtl/>
        </w:rPr>
        <w:t>(</w:t>
      </w:r>
      <w:r w:rsidRPr="00904FCB">
        <w:rPr>
          <w:rStyle w:val="ac"/>
          <w:sz w:val="27"/>
          <w:rtl/>
        </w:rPr>
        <w:endnoteReference w:id="652"/>
      </w:r>
      <w:r w:rsidRPr="00904FCB">
        <w:rPr>
          <w:rFonts w:hint="cs"/>
          <w:sz w:val="27"/>
          <w:vertAlign w:val="superscript"/>
          <w:rtl/>
        </w:rPr>
        <w:t>)</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يتوقّ</w:t>
      </w:r>
      <w:r w:rsidR="00B457DE" w:rsidRPr="00904FCB">
        <w:rPr>
          <w:rFonts w:hint="cs"/>
          <w:sz w:val="27"/>
          <w:rtl/>
        </w:rPr>
        <w:t>َ</w:t>
      </w:r>
      <w:r w:rsidRPr="00904FCB">
        <w:rPr>
          <w:rFonts w:hint="cs"/>
          <w:sz w:val="27"/>
          <w:rtl/>
        </w:rPr>
        <w:t>ف</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تسليم‏</w:t>
      </w:r>
      <w:r w:rsidRPr="00904FCB">
        <w:rPr>
          <w:sz w:val="27"/>
          <w:rtl/>
        </w:rPr>
        <w:t xml:space="preserve"> </w:t>
      </w:r>
      <w:r w:rsidRPr="00904FCB">
        <w:rPr>
          <w:rFonts w:hint="cs"/>
          <w:sz w:val="27"/>
          <w:rtl/>
        </w:rPr>
        <w:t>أصل</w:t>
      </w:r>
      <w:r w:rsidRPr="00904FCB">
        <w:rPr>
          <w:sz w:val="27"/>
          <w:rtl/>
        </w:rPr>
        <w:t xml:space="preserve"> </w:t>
      </w:r>
      <w:r w:rsidRPr="00904FCB">
        <w:rPr>
          <w:rFonts w:hint="cs"/>
          <w:sz w:val="27"/>
          <w:rtl/>
        </w:rPr>
        <w:t>تشريع</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الجملة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زمان</w:t>
      </w:r>
      <w:r w:rsidRPr="00904FCB">
        <w:rPr>
          <w:sz w:val="27"/>
          <w:rtl/>
        </w:rPr>
        <w:t xml:space="preserve"> </w:t>
      </w:r>
      <w:r w:rsidRPr="00904FCB">
        <w:rPr>
          <w:rFonts w:hint="cs"/>
          <w:sz w:val="27"/>
          <w:rtl/>
        </w:rPr>
        <w:t>نزول</w:t>
      </w:r>
      <w:r w:rsidRPr="00904FCB">
        <w:rPr>
          <w:sz w:val="27"/>
          <w:rtl/>
        </w:rPr>
        <w:t xml:space="preserve"> </w:t>
      </w:r>
      <w:r w:rsidRPr="00904FCB">
        <w:rPr>
          <w:rFonts w:hint="cs"/>
          <w:sz w:val="27"/>
          <w:rtl/>
        </w:rPr>
        <w:t>الآية</w:t>
      </w:r>
      <w:r w:rsidR="00B457DE" w:rsidRPr="00904FCB">
        <w:rPr>
          <w:rFonts w:hint="cs"/>
          <w:sz w:val="27"/>
          <w:rtl/>
        </w:rPr>
        <w:t>،</w:t>
      </w:r>
      <w:r w:rsidRPr="00904FCB">
        <w:rPr>
          <w:rFonts w:hint="cs"/>
          <w:sz w:val="27"/>
          <w:rtl/>
        </w:rPr>
        <w:t xml:space="preserve"> وهذا</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معلوم</w:t>
      </w:r>
      <w:r w:rsidR="00B457DE" w:rsidRPr="00904FCB">
        <w:rPr>
          <w:rFonts w:hint="cs"/>
          <w:sz w:val="27"/>
          <w:rtl/>
        </w:rPr>
        <w:t>ٍ</w:t>
      </w:r>
      <w:r w:rsidRPr="00904FCB">
        <w:rPr>
          <w:rFonts w:hint="cs"/>
          <w:sz w:val="27"/>
          <w:rtl/>
        </w:rPr>
        <w:t>؛ لما</w:t>
      </w:r>
      <w:r w:rsidRPr="00904FCB">
        <w:rPr>
          <w:sz w:val="27"/>
          <w:rtl/>
        </w:rPr>
        <w:t xml:space="preserve"> </w:t>
      </w:r>
      <w:r w:rsidRPr="00904FCB">
        <w:rPr>
          <w:rFonts w:hint="cs"/>
          <w:sz w:val="27"/>
          <w:rtl/>
        </w:rPr>
        <w:t>نعلم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الأحكام</w:t>
      </w:r>
      <w:r w:rsidRPr="00904FCB">
        <w:rPr>
          <w:sz w:val="27"/>
          <w:rtl/>
        </w:rPr>
        <w:t xml:space="preserve"> </w:t>
      </w:r>
      <w:r w:rsidRPr="00904FCB">
        <w:rPr>
          <w:rFonts w:hint="cs"/>
          <w:sz w:val="27"/>
          <w:rtl/>
        </w:rPr>
        <w:t>ب</w:t>
      </w:r>
      <w:r w:rsidR="00B457DE" w:rsidRPr="00904FCB">
        <w:rPr>
          <w:rFonts w:hint="cs"/>
          <w:sz w:val="27"/>
          <w:rtl/>
        </w:rPr>
        <w:t>ُ</w:t>
      </w:r>
      <w:r w:rsidRPr="00904FCB">
        <w:rPr>
          <w:rFonts w:hint="cs"/>
          <w:sz w:val="27"/>
          <w:rtl/>
        </w:rPr>
        <w:t>يّ</w:t>
      </w:r>
      <w:r w:rsidR="00B457DE" w:rsidRPr="00904FCB">
        <w:rPr>
          <w:rFonts w:hint="cs"/>
          <w:sz w:val="27"/>
          <w:rtl/>
        </w:rPr>
        <w:t>ِ</w:t>
      </w:r>
      <w:r w:rsidRPr="00904FCB">
        <w:rPr>
          <w:rFonts w:hint="cs"/>
          <w:sz w:val="27"/>
          <w:rtl/>
        </w:rPr>
        <w:t>نت</w:t>
      </w:r>
      <w:r w:rsidRPr="00904FCB">
        <w:rPr>
          <w:sz w:val="27"/>
          <w:rtl/>
        </w:rPr>
        <w:t xml:space="preserve"> </w:t>
      </w:r>
      <w:r w:rsidRPr="00904FCB">
        <w:rPr>
          <w:rFonts w:hint="cs"/>
          <w:sz w:val="27"/>
          <w:rtl/>
        </w:rPr>
        <w:t>بالتدريج</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ولكنّ</w:t>
      </w:r>
      <w:r w:rsidRPr="00904FCB">
        <w:rPr>
          <w:b/>
          <w:bCs/>
          <w:sz w:val="27"/>
          <w:rtl/>
        </w:rPr>
        <w:t xml:space="preserve"> </w:t>
      </w:r>
      <w:r w:rsidRPr="00904FCB">
        <w:rPr>
          <w:rFonts w:hint="cs"/>
          <w:b/>
          <w:bCs/>
          <w:sz w:val="27"/>
          <w:rtl/>
        </w:rPr>
        <w:t>التحقيق</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المظنون</w:t>
      </w:r>
      <w:r w:rsidRPr="00904FCB">
        <w:rPr>
          <w:sz w:val="27"/>
          <w:rtl/>
        </w:rPr>
        <w:t xml:space="preserve"> </w:t>
      </w:r>
      <w:r w:rsidRPr="00904FCB">
        <w:rPr>
          <w:rFonts w:hint="cs"/>
          <w:sz w:val="27"/>
          <w:rtl/>
        </w:rPr>
        <w:t>قويّاً</w:t>
      </w:r>
      <w:r w:rsidRPr="00904FCB">
        <w:rPr>
          <w:sz w:val="27"/>
          <w:rtl/>
        </w:rPr>
        <w:t xml:space="preserve"> </w:t>
      </w:r>
      <w:r w:rsidRPr="00904FCB">
        <w:rPr>
          <w:rFonts w:hint="cs"/>
          <w:sz w:val="27"/>
          <w:rtl/>
        </w:rPr>
        <w:t>تشريع</w:t>
      </w:r>
      <w:r w:rsidRPr="00904FCB">
        <w:rPr>
          <w:sz w:val="27"/>
          <w:rtl/>
        </w:rPr>
        <w:t xml:space="preserve"> </w:t>
      </w:r>
      <w:r w:rsidRPr="00904FCB">
        <w:rPr>
          <w:rFonts w:hint="cs"/>
          <w:sz w:val="27"/>
          <w:rtl/>
        </w:rPr>
        <w:t>أصل</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قبل</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الآية؛ فإنّ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نزلت</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سورة</w:t>
      </w:r>
      <w:r w:rsidRPr="00904FCB">
        <w:rPr>
          <w:sz w:val="27"/>
          <w:rtl/>
        </w:rPr>
        <w:t xml:space="preserve"> </w:t>
      </w:r>
      <w:r w:rsidRPr="00904FCB">
        <w:rPr>
          <w:rFonts w:hint="cs"/>
          <w:sz w:val="27"/>
          <w:rtl/>
        </w:rPr>
        <w:t>التوبة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معلوم</w:t>
      </w:r>
      <w:r w:rsidR="00B457DE" w:rsidRPr="00904FCB">
        <w:rPr>
          <w:rFonts w:hint="cs"/>
          <w:sz w:val="27"/>
          <w:rtl/>
        </w:rPr>
        <w:t>ٌ</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السنة</w:t>
      </w:r>
      <w:r w:rsidRPr="00904FCB">
        <w:rPr>
          <w:sz w:val="27"/>
          <w:rtl/>
        </w:rPr>
        <w:t xml:space="preserve"> </w:t>
      </w:r>
      <w:r w:rsidRPr="00904FCB">
        <w:rPr>
          <w:rFonts w:hint="cs"/>
          <w:sz w:val="27"/>
          <w:rtl/>
        </w:rPr>
        <w:t>التاسعة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الهجرة</w:t>
      </w:r>
      <w:r w:rsidR="00B457DE"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أواخر</w:t>
      </w:r>
      <w:r w:rsidRPr="00904FCB">
        <w:rPr>
          <w:sz w:val="27"/>
          <w:rtl/>
        </w:rPr>
        <w:t xml:space="preserve"> </w:t>
      </w:r>
      <w:r w:rsidRPr="00904FCB">
        <w:rPr>
          <w:rFonts w:hint="cs"/>
          <w:sz w:val="27"/>
          <w:rtl/>
        </w:rPr>
        <w:t>أيّام</w:t>
      </w:r>
      <w:r w:rsidRPr="00904FCB">
        <w:rPr>
          <w:sz w:val="27"/>
          <w:rtl/>
        </w:rPr>
        <w:t xml:space="preserve"> </w:t>
      </w:r>
      <w:r w:rsidRPr="00904FCB">
        <w:rPr>
          <w:rFonts w:hint="cs"/>
          <w:sz w:val="27"/>
          <w:rtl/>
        </w:rPr>
        <w:t>النبي</w:t>
      </w:r>
      <w:r w:rsidR="008649D2">
        <w:rPr>
          <w:rFonts w:hint="cs"/>
          <w:sz w:val="27"/>
          <w:rtl/>
        </w:rPr>
        <w:t>ّ</w:t>
      </w:r>
      <w:r w:rsidR="00635E51" w:rsidRPr="00904FCB">
        <w:rPr>
          <w:rFonts w:cs="Mosawi"/>
          <w:sz w:val="27"/>
          <w:szCs w:val="22"/>
          <w:rtl/>
        </w:rPr>
        <w:t>|</w:t>
      </w:r>
      <w:r w:rsidRPr="00904FCB">
        <w:rPr>
          <w:sz w:val="27"/>
          <w:rtl/>
        </w:rPr>
        <w:t>،</w:t>
      </w:r>
      <w:r w:rsidRPr="00904FCB">
        <w:rPr>
          <w:rFonts w:hint="cs"/>
          <w:sz w:val="27"/>
          <w:rtl/>
        </w:rPr>
        <w:t xml:space="preserve"> والمظنون</w:t>
      </w:r>
      <w:r w:rsidRPr="00904FCB">
        <w:rPr>
          <w:sz w:val="27"/>
          <w:rtl/>
        </w:rPr>
        <w:t xml:space="preserve"> </w:t>
      </w:r>
      <w:r w:rsidRPr="00904FCB">
        <w:rPr>
          <w:rFonts w:hint="cs"/>
          <w:sz w:val="27"/>
          <w:rtl/>
        </w:rPr>
        <w:t>قويّاً</w:t>
      </w:r>
      <w:r w:rsidRPr="00904FCB">
        <w:rPr>
          <w:sz w:val="27"/>
          <w:rtl/>
        </w:rPr>
        <w:t xml:space="preserve"> </w:t>
      </w:r>
      <w:r w:rsidRPr="00904FCB">
        <w:rPr>
          <w:rFonts w:hint="cs"/>
          <w:sz w:val="27"/>
          <w:rtl/>
        </w:rPr>
        <w:t>تشريع</w:t>
      </w:r>
      <w:r w:rsidRPr="00904FCB">
        <w:rPr>
          <w:sz w:val="27"/>
          <w:rtl/>
        </w:rPr>
        <w:t xml:space="preserve"> </w:t>
      </w:r>
      <w:r w:rsidRPr="00904FCB">
        <w:rPr>
          <w:rFonts w:hint="cs"/>
          <w:sz w:val="27"/>
          <w:rtl/>
        </w:rPr>
        <w:t>عدّة</w:t>
      </w:r>
      <w:r w:rsidRPr="00904FCB">
        <w:rPr>
          <w:sz w:val="27"/>
          <w:rtl/>
        </w:rPr>
        <w:t xml:space="preserve"> </w:t>
      </w:r>
      <w:r w:rsidRPr="00904FCB">
        <w:rPr>
          <w:rFonts w:hint="cs"/>
          <w:sz w:val="27"/>
          <w:rtl/>
        </w:rPr>
        <w:t>نجاسات</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الزمان</w:t>
      </w:r>
      <w:r w:rsidRPr="00904FCB">
        <w:rPr>
          <w:sz w:val="27"/>
          <w:rtl/>
        </w:rPr>
        <w:t xml:space="preserve">. </w:t>
      </w:r>
      <w:r w:rsidRPr="00904FCB">
        <w:rPr>
          <w:rFonts w:hint="cs"/>
          <w:sz w:val="27"/>
          <w:rtl/>
        </w:rPr>
        <w:t>ويشهد</w:t>
      </w:r>
      <w:r w:rsidRPr="00904FCB">
        <w:rPr>
          <w:sz w:val="27"/>
          <w:rtl/>
        </w:rPr>
        <w:t xml:space="preserve"> </w:t>
      </w:r>
      <w:r w:rsidRPr="00904FCB">
        <w:rPr>
          <w:rFonts w:hint="cs"/>
          <w:sz w:val="27"/>
          <w:rtl/>
        </w:rPr>
        <w:t>لذلك</w:t>
      </w:r>
      <w:r w:rsidRPr="00904FCB">
        <w:rPr>
          <w:sz w:val="27"/>
          <w:rtl/>
        </w:rPr>
        <w:t xml:space="preserve"> </w:t>
      </w:r>
      <w:r w:rsidRPr="00904FCB">
        <w:rPr>
          <w:rFonts w:hint="cs"/>
          <w:sz w:val="27"/>
          <w:rtl/>
        </w:rPr>
        <w:t>أمور</w:t>
      </w:r>
      <w:r w:rsidR="00B457DE"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منها</w:t>
      </w:r>
      <w:r w:rsidRPr="00904FCB">
        <w:rPr>
          <w:sz w:val="27"/>
          <w:rtl/>
        </w:rPr>
        <w:t xml:space="preserve">: </w:t>
      </w:r>
      <w:r w:rsidR="00B457DE" w:rsidRPr="00904FCB">
        <w:rPr>
          <w:rFonts w:hint="cs"/>
          <w:sz w:val="27"/>
          <w:rtl/>
        </w:rPr>
        <w:t>إ</w:t>
      </w:r>
      <w:r w:rsidRPr="00904FCB">
        <w:rPr>
          <w:rFonts w:hint="cs"/>
          <w:sz w:val="27"/>
          <w:rtl/>
        </w:rPr>
        <w:t>نّ</w:t>
      </w:r>
      <w:r w:rsidRPr="00904FCB">
        <w:rPr>
          <w:sz w:val="27"/>
          <w:rtl/>
        </w:rPr>
        <w:t xml:space="preserve"> </w:t>
      </w:r>
      <w:r w:rsidRPr="00904FCB">
        <w:rPr>
          <w:rFonts w:hint="cs"/>
          <w:sz w:val="27"/>
          <w:rtl/>
        </w:rPr>
        <w:t>تدريجيّة</w:t>
      </w:r>
      <w:r w:rsidRPr="00904FCB">
        <w:rPr>
          <w:sz w:val="27"/>
          <w:rtl/>
        </w:rPr>
        <w:t xml:space="preserve"> </w:t>
      </w:r>
      <w:r w:rsidRPr="00904FCB">
        <w:rPr>
          <w:rFonts w:hint="cs"/>
          <w:sz w:val="27"/>
          <w:rtl/>
        </w:rPr>
        <w:t>الأحكام</w:t>
      </w:r>
      <w:r w:rsidRPr="00904FCB">
        <w:rPr>
          <w:sz w:val="27"/>
          <w:rtl/>
        </w:rPr>
        <w:t xml:space="preserve"> </w:t>
      </w:r>
      <w:r w:rsidRPr="00904FCB">
        <w:rPr>
          <w:rFonts w:hint="cs"/>
          <w:sz w:val="27"/>
          <w:rtl/>
        </w:rPr>
        <w:t>إنّما</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لمصلحة</w:t>
      </w:r>
      <w:r w:rsidRPr="00904FCB">
        <w:rPr>
          <w:sz w:val="27"/>
          <w:rtl/>
        </w:rPr>
        <w:t xml:space="preserve"> </w:t>
      </w:r>
      <w:r w:rsidRPr="00904FCB">
        <w:rPr>
          <w:rFonts w:hint="cs"/>
          <w:sz w:val="27"/>
          <w:rtl/>
        </w:rPr>
        <w:t>تكليف</w:t>
      </w:r>
      <w:r w:rsidRPr="00904FCB">
        <w:rPr>
          <w:sz w:val="27"/>
          <w:rtl/>
        </w:rPr>
        <w:t xml:space="preserve"> </w:t>
      </w:r>
      <w:r w:rsidRPr="00904FCB">
        <w:rPr>
          <w:rFonts w:hint="cs"/>
          <w:sz w:val="27"/>
          <w:rtl/>
        </w:rPr>
        <w:t>الناس</w:t>
      </w:r>
      <w:r w:rsidRPr="00904FCB">
        <w:rPr>
          <w:sz w:val="27"/>
          <w:rtl/>
        </w:rPr>
        <w:t xml:space="preserve"> </w:t>
      </w:r>
      <w:r w:rsidRPr="00904FCB">
        <w:rPr>
          <w:rFonts w:hint="cs"/>
          <w:sz w:val="27"/>
          <w:rtl/>
        </w:rPr>
        <w:t>وإعدادهم</w:t>
      </w:r>
      <w:r w:rsidR="00B457DE" w:rsidRPr="00904FCB">
        <w:rPr>
          <w:rFonts w:hint="cs"/>
          <w:sz w:val="27"/>
          <w:rtl/>
        </w:rPr>
        <w:t>.</w:t>
      </w:r>
      <w:r w:rsidRPr="00904FCB">
        <w:rPr>
          <w:rFonts w:hint="cs"/>
          <w:sz w:val="27"/>
          <w:rtl/>
        </w:rPr>
        <w:t xml:space="preserve"> ومن</w:t>
      </w:r>
      <w:r w:rsidRPr="00904FCB">
        <w:rPr>
          <w:sz w:val="27"/>
          <w:rtl/>
        </w:rPr>
        <w:t xml:space="preserve"> </w:t>
      </w:r>
      <w:r w:rsidRPr="00904FCB">
        <w:rPr>
          <w:rFonts w:hint="cs"/>
          <w:sz w:val="27"/>
          <w:rtl/>
        </w:rPr>
        <w:t>المعلوم</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النجاسات</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وفق</w:t>
      </w:r>
      <w:r w:rsidRPr="00904FCB">
        <w:rPr>
          <w:sz w:val="27"/>
          <w:rtl/>
        </w:rPr>
        <w:t xml:space="preserve"> </w:t>
      </w:r>
      <w:r w:rsidRPr="00904FCB">
        <w:rPr>
          <w:rFonts w:hint="cs"/>
          <w:sz w:val="27"/>
          <w:rtl/>
        </w:rPr>
        <w:t>الطبع</w:t>
      </w:r>
      <w:r w:rsidRPr="00904FCB">
        <w:rPr>
          <w:sz w:val="27"/>
          <w:rtl/>
        </w:rPr>
        <w:t xml:space="preserve"> </w:t>
      </w:r>
      <w:r w:rsidRPr="00904FCB">
        <w:rPr>
          <w:rFonts w:hint="cs"/>
          <w:sz w:val="27"/>
          <w:rtl/>
        </w:rPr>
        <w:t>العقلائي، فلا</w:t>
      </w:r>
      <w:r w:rsidRPr="00904FCB">
        <w:rPr>
          <w:sz w:val="27"/>
          <w:rtl/>
        </w:rPr>
        <w:t xml:space="preserve"> </w:t>
      </w:r>
      <w:r w:rsidRPr="00904FCB">
        <w:rPr>
          <w:rFonts w:hint="cs"/>
          <w:sz w:val="27"/>
          <w:rtl/>
        </w:rPr>
        <w:t>موجب</w:t>
      </w:r>
      <w:r w:rsidRPr="00904FCB">
        <w:rPr>
          <w:sz w:val="27"/>
          <w:rtl/>
        </w:rPr>
        <w:t xml:space="preserve"> </w:t>
      </w:r>
      <w:r w:rsidRPr="00904FCB">
        <w:rPr>
          <w:rFonts w:hint="cs"/>
          <w:sz w:val="27"/>
          <w:rtl/>
        </w:rPr>
        <w:t>لتأخير</w:t>
      </w:r>
      <w:r w:rsidRPr="00904FCB">
        <w:rPr>
          <w:sz w:val="27"/>
          <w:rtl/>
        </w:rPr>
        <w:t xml:space="preserve"> </w:t>
      </w:r>
      <w:r w:rsidRPr="00904FCB">
        <w:rPr>
          <w:rFonts w:hint="cs"/>
          <w:sz w:val="27"/>
          <w:rtl/>
        </w:rPr>
        <w:t>تشريعها</w:t>
      </w:r>
      <w:r w:rsidRPr="00904FCB">
        <w:rPr>
          <w:sz w:val="27"/>
          <w:rtl/>
        </w:rPr>
        <w:t xml:space="preserve">. </w:t>
      </w:r>
      <w:r w:rsidRPr="00904FCB">
        <w:rPr>
          <w:rFonts w:hint="cs"/>
          <w:sz w:val="27"/>
          <w:rtl/>
        </w:rPr>
        <w:t>وحين</w:t>
      </w:r>
      <w:r w:rsidRPr="00904FCB">
        <w:rPr>
          <w:sz w:val="27"/>
          <w:rtl/>
        </w:rPr>
        <w:t xml:space="preserve"> </w:t>
      </w:r>
      <w:r w:rsidRPr="00904FCB">
        <w:rPr>
          <w:rFonts w:hint="cs"/>
          <w:sz w:val="27"/>
          <w:rtl/>
        </w:rPr>
        <w:t>دخل</w:t>
      </w:r>
      <w:r w:rsidRPr="00904FCB">
        <w:rPr>
          <w:sz w:val="27"/>
          <w:rtl/>
        </w:rPr>
        <w:t xml:space="preserve"> </w:t>
      </w:r>
      <w:r w:rsidRPr="00904FCB">
        <w:rPr>
          <w:rFonts w:hint="cs"/>
          <w:sz w:val="27"/>
          <w:rtl/>
        </w:rPr>
        <w:t>الرسول</w:t>
      </w:r>
      <w:r w:rsidR="00635E51" w:rsidRPr="00904FCB">
        <w:rPr>
          <w:rFonts w:cs="Mosawi"/>
          <w:sz w:val="27"/>
          <w:szCs w:val="22"/>
          <w:rtl/>
        </w:rPr>
        <w:t>|</w:t>
      </w:r>
      <w:r w:rsidRPr="00904FCB">
        <w:rPr>
          <w:sz w:val="27"/>
          <w:rtl/>
        </w:rPr>
        <w:t xml:space="preserve"> </w:t>
      </w:r>
      <w:r w:rsidRPr="00904FCB">
        <w:rPr>
          <w:rFonts w:hint="cs"/>
          <w:sz w:val="27"/>
          <w:rtl/>
        </w:rPr>
        <w:t>المدينة</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متعارفاً</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المدينة</w:t>
      </w:r>
      <w:r w:rsidRPr="00904FCB">
        <w:rPr>
          <w:sz w:val="27"/>
          <w:rtl/>
        </w:rPr>
        <w:t xml:space="preserve"> </w:t>
      </w:r>
      <w:r w:rsidRPr="00904FCB">
        <w:rPr>
          <w:rFonts w:hint="cs"/>
          <w:sz w:val="27"/>
          <w:rtl/>
        </w:rPr>
        <w:t>الاستنجاء</w:t>
      </w:r>
      <w:r w:rsidRPr="00904FCB">
        <w:rPr>
          <w:sz w:val="27"/>
          <w:rtl/>
        </w:rPr>
        <w:t xml:space="preserve"> </w:t>
      </w:r>
      <w:r w:rsidRPr="00904FCB">
        <w:rPr>
          <w:rFonts w:hint="cs"/>
          <w:sz w:val="27"/>
          <w:rtl/>
        </w:rPr>
        <w:t>بالح</w:t>
      </w:r>
      <w:r w:rsidR="00B457DE" w:rsidRPr="00904FCB">
        <w:rPr>
          <w:rFonts w:hint="cs"/>
          <w:sz w:val="27"/>
          <w:rtl/>
        </w:rPr>
        <w:t>َ</w:t>
      </w:r>
      <w:r w:rsidRPr="00904FCB">
        <w:rPr>
          <w:rFonts w:hint="cs"/>
          <w:sz w:val="27"/>
          <w:rtl/>
        </w:rPr>
        <w:t>ج</w:t>
      </w:r>
      <w:r w:rsidR="00B457DE" w:rsidRPr="00904FCB">
        <w:rPr>
          <w:rFonts w:hint="cs"/>
          <w:sz w:val="27"/>
          <w:rtl/>
        </w:rPr>
        <w:t>َ</w:t>
      </w:r>
      <w:r w:rsidRPr="00904FCB">
        <w:rPr>
          <w:rFonts w:hint="cs"/>
          <w:sz w:val="27"/>
          <w:rtl/>
        </w:rPr>
        <w:t>ر</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الماء، وكان</w:t>
      </w:r>
      <w:r w:rsidRPr="00904FCB">
        <w:rPr>
          <w:sz w:val="27"/>
          <w:rtl/>
        </w:rPr>
        <w:t xml:space="preserve"> </w:t>
      </w:r>
      <w:r w:rsidRPr="00904FCB">
        <w:rPr>
          <w:rFonts w:hint="cs"/>
          <w:sz w:val="27"/>
          <w:rtl/>
        </w:rPr>
        <w:t>البراء</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معرور</w:t>
      </w:r>
      <w:r w:rsidRPr="00904FCB">
        <w:rPr>
          <w:sz w:val="27"/>
          <w:rtl/>
        </w:rPr>
        <w:t xml:space="preserve"> </w:t>
      </w:r>
      <w:r w:rsidRPr="00904FCB">
        <w:rPr>
          <w:rFonts w:hint="cs"/>
          <w:sz w:val="27"/>
          <w:rtl/>
        </w:rPr>
        <w:t>الأنصاري</w:t>
      </w:r>
      <w:r w:rsidRPr="00904FCB">
        <w:rPr>
          <w:sz w:val="27"/>
          <w:rtl/>
        </w:rPr>
        <w:t xml:space="preserve"> </w:t>
      </w:r>
      <w:r w:rsidRPr="00904FCB">
        <w:rPr>
          <w:rFonts w:hint="cs"/>
          <w:sz w:val="27"/>
          <w:rtl/>
        </w:rPr>
        <w:t>أوّل</w:t>
      </w:r>
      <w:r w:rsidRPr="00904FCB">
        <w:rPr>
          <w:sz w:val="27"/>
          <w:rtl/>
        </w:rPr>
        <w:t xml:space="preserve"> </w:t>
      </w:r>
      <w:r w:rsidRPr="00904FCB">
        <w:rPr>
          <w:rFonts w:hint="cs"/>
          <w:sz w:val="27"/>
          <w:rtl/>
        </w:rPr>
        <w:t>م</w:t>
      </w:r>
      <w:r w:rsidR="00B457DE" w:rsidRPr="00904FCB">
        <w:rPr>
          <w:rFonts w:hint="cs"/>
          <w:sz w:val="27"/>
          <w:rtl/>
        </w:rPr>
        <w:t>َ</w:t>
      </w:r>
      <w:r w:rsidRPr="00904FCB">
        <w:rPr>
          <w:rFonts w:hint="cs"/>
          <w:sz w:val="27"/>
          <w:rtl/>
        </w:rPr>
        <w:t>ن</w:t>
      </w:r>
      <w:r w:rsidR="00B457DE" w:rsidRPr="00904FCB">
        <w:rPr>
          <w:rFonts w:hint="cs"/>
          <w:sz w:val="27"/>
          <w:rtl/>
        </w:rPr>
        <w:t>ْ</w:t>
      </w:r>
      <w:r w:rsidRPr="00904FCB">
        <w:rPr>
          <w:sz w:val="27"/>
          <w:rtl/>
        </w:rPr>
        <w:t xml:space="preserve"> </w:t>
      </w:r>
      <w:r w:rsidRPr="00904FCB">
        <w:rPr>
          <w:rFonts w:hint="cs"/>
          <w:sz w:val="27"/>
          <w:rtl/>
        </w:rPr>
        <w:t>استنج</w:t>
      </w:r>
      <w:r w:rsidR="00B457DE" w:rsidRPr="00904FCB">
        <w:rPr>
          <w:rFonts w:hint="cs"/>
          <w:sz w:val="27"/>
          <w:rtl/>
        </w:rPr>
        <w:t>ى</w:t>
      </w:r>
      <w:r w:rsidRPr="00904FCB">
        <w:rPr>
          <w:sz w:val="27"/>
          <w:rtl/>
        </w:rPr>
        <w:t xml:space="preserve"> </w:t>
      </w:r>
      <w:r w:rsidRPr="00904FCB">
        <w:rPr>
          <w:rFonts w:hint="cs"/>
          <w:sz w:val="27"/>
          <w:rtl/>
        </w:rPr>
        <w:t>بالماء</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المسلمين، فنزلت</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حقّه</w:t>
      </w:r>
      <w:r w:rsidRPr="00904FCB">
        <w:rPr>
          <w:sz w:val="27"/>
          <w:rtl/>
        </w:rPr>
        <w:t xml:space="preserve">: </w:t>
      </w:r>
      <w:r w:rsidRPr="00904FCB">
        <w:rPr>
          <w:rFonts w:ascii="Mosawi" w:hAnsi="Mosawi" w:cs="Mosawi"/>
          <w:sz w:val="24"/>
          <w:szCs w:val="24"/>
          <w:rtl/>
        </w:rPr>
        <w:t>﴿</w:t>
      </w:r>
      <w:r w:rsidRPr="00904FCB">
        <w:rPr>
          <w:rFonts w:hint="cs"/>
          <w:b/>
          <w:bCs/>
          <w:sz w:val="27"/>
          <w:rtl/>
        </w:rPr>
        <w:t>إِنَّ</w:t>
      </w:r>
      <w:r w:rsidRPr="00904FCB">
        <w:rPr>
          <w:b/>
          <w:bCs/>
          <w:sz w:val="27"/>
          <w:rtl/>
        </w:rPr>
        <w:t xml:space="preserve"> </w:t>
      </w:r>
      <w:r w:rsidR="00B457DE" w:rsidRPr="00904FCB">
        <w:rPr>
          <w:rFonts w:hint="cs"/>
          <w:b/>
          <w:bCs/>
          <w:sz w:val="27"/>
          <w:rtl/>
        </w:rPr>
        <w:t>الل</w:t>
      </w:r>
      <w:r w:rsidRPr="00904FCB">
        <w:rPr>
          <w:rFonts w:hint="cs"/>
          <w:b/>
          <w:bCs/>
          <w:sz w:val="27"/>
          <w:rtl/>
        </w:rPr>
        <w:t>هَ</w:t>
      </w:r>
      <w:r w:rsidRPr="00904FCB">
        <w:rPr>
          <w:b/>
          <w:bCs/>
          <w:sz w:val="27"/>
          <w:rtl/>
        </w:rPr>
        <w:t xml:space="preserve"> </w:t>
      </w:r>
      <w:r w:rsidRPr="00904FCB">
        <w:rPr>
          <w:rFonts w:hint="cs"/>
          <w:b/>
          <w:bCs/>
          <w:sz w:val="27"/>
          <w:rtl/>
        </w:rPr>
        <w:t>يُحِبُّ</w:t>
      </w:r>
      <w:r w:rsidRPr="00904FCB">
        <w:rPr>
          <w:b/>
          <w:bCs/>
          <w:sz w:val="27"/>
          <w:rtl/>
        </w:rPr>
        <w:t xml:space="preserve"> </w:t>
      </w:r>
      <w:r w:rsidRPr="00904FCB">
        <w:rPr>
          <w:rFonts w:hint="cs"/>
          <w:b/>
          <w:bCs/>
          <w:sz w:val="27"/>
          <w:rtl/>
        </w:rPr>
        <w:t>التَّوَّاب</w:t>
      </w:r>
      <w:r w:rsidR="00B457DE" w:rsidRPr="00904FCB">
        <w:rPr>
          <w:rFonts w:hint="cs"/>
          <w:b/>
          <w:bCs/>
          <w:sz w:val="27"/>
          <w:rtl/>
        </w:rPr>
        <w:t>ِ</w:t>
      </w:r>
      <w:r w:rsidRPr="00904FCB">
        <w:rPr>
          <w:rFonts w:hint="cs"/>
          <w:b/>
          <w:bCs/>
          <w:sz w:val="27"/>
          <w:rtl/>
        </w:rPr>
        <w:t>ينَ</w:t>
      </w:r>
      <w:r w:rsidRPr="00904FCB">
        <w:rPr>
          <w:b/>
          <w:bCs/>
          <w:sz w:val="27"/>
          <w:rtl/>
        </w:rPr>
        <w:t xml:space="preserve"> و</w:t>
      </w:r>
      <w:r w:rsidR="00B457DE" w:rsidRPr="00904FCB">
        <w:rPr>
          <w:rFonts w:hint="cs"/>
          <w:b/>
          <w:bCs/>
          <w:sz w:val="27"/>
          <w:rtl/>
        </w:rPr>
        <w:t>َ</w:t>
      </w:r>
      <w:r w:rsidRPr="00904FCB">
        <w:rPr>
          <w:rFonts w:hint="cs"/>
          <w:b/>
          <w:bCs/>
          <w:sz w:val="27"/>
          <w:rtl/>
        </w:rPr>
        <w:t>يُحِبُّ</w:t>
      </w:r>
      <w:r w:rsidRPr="00904FCB">
        <w:rPr>
          <w:b/>
          <w:bCs/>
          <w:sz w:val="27"/>
          <w:rtl/>
        </w:rPr>
        <w:t xml:space="preserve"> </w:t>
      </w:r>
      <w:r w:rsidRPr="00904FCB">
        <w:rPr>
          <w:rFonts w:hint="cs"/>
          <w:b/>
          <w:bCs/>
          <w:sz w:val="27"/>
          <w:rtl/>
        </w:rPr>
        <w:t>الْمُتَطَهِّر</w:t>
      </w:r>
      <w:r w:rsidR="00B457DE" w:rsidRPr="00904FCB">
        <w:rPr>
          <w:rFonts w:hint="cs"/>
          <w:b/>
          <w:bCs/>
          <w:sz w:val="27"/>
          <w:rtl/>
        </w:rPr>
        <w:t>ِ</w:t>
      </w:r>
      <w:r w:rsidRPr="00904FCB">
        <w:rPr>
          <w:rFonts w:hint="cs"/>
          <w:b/>
          <w:bCs/>
          <w:sz w:val="27"/>
          <w:rtl/>
        </w:rPr>
        <w:t>ينَ</w:t>
      </w:r>
      <w:r w:rsidRPr="00904FCB">
        <w:rPr>
          <w:rFonts w:ascii="Mosawi" w:hAnsi="Mosawi" w:cs="Mosawi"/>
          <w:sz w:val="24"/>
          <w:szCs w:val="24"/>
          <w:rtl/>
        </w:rPr>
        <w:t>﴾</w:t>
      </w:r>
      <w:r w:rsidRPr="00904FCB">
        <w:rPr>
          <w:rFonts w:hint="cs"/>
          <w:sz w:val="27"/>
          <w:rtl/>
        </w:rPr>
        <w:t xml:space="preserve"> </w:t>
      </w:r>
      <w:r w:rsidRPr="00904FCB">
        <w:rPr>
          <w:sz w:val="27"/>
          <w:rtl/>
        </w:rPr>
        <w:t>(</w:t>
      </w:r>
      <w:r w:rsidRPr="00904FCB">
        <w:rPr>
          <w:rFonts w:hint="cs"/>
          <w:sz w:val="27"/>
          <w:rtl/>
        </w:rPr>
        <w:t xml:space="preserve">البقرة: </w:t>
      </w:r>
      <w:r w:rsidRPr="00783611">
        <w:rPr>
          <w:rFonts w:hint="cs"/>
          <w:sz w:val="27"/>
          <w:rtl/>
          <w:lang w:bidi="ar-LB"/>
        </w:rPr>
        <w:t>222</w:t>
      </w:r>
      <w:r w:rsidRPr="00904FCB">
        <w:rPr>
          <w:rFonts w:hint="cs"/>
          <w:sz w:val="27"/>
          <w:rtl/>
          <w:lang w:bidi="ar-LB"/>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ومنها</w:t>
      </w:r>
      <w:r w:rsidRPr="00904FCB">
        <w:rPr>
          <w:sz w:val="27"/>
          <w:rtl/>
        </w:rPr>
        <w:t xml:space="preserve">: </w:t>
      </w:r>
      <w:r w:rsidR="00B457DE" w:rsidRPr="00904FCB">
        <w:rPr>
          <w:rFonts w:hint="cs"/>
          <w:sz w:val="27"/>
          <w:rtl/>
        </w:rPr>
        <w:t>إ</w:t>
      </w:r>
      <w:r w:rsidRPr="00904FCB">
        <w:rPr>
          <w:rFonts w:hint="cs"/>
          <w:sz w:val="27"/>
          <w:rtl/>
        </w:rPr>
        <w:t>نّ</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روايات</w:t>
      </w:r>
      <w:r w:rsidRPr="00904FCB">
        <w:rPr>
          <w:sz w:val="27"/>
          <w:rtl/>
        </w:rPr>
        <w:t xml:space="preserve"> </w:t>
      </w:r>
      <w:r w:rsidRPr="00904FCB">
        <w:rPr>
          <w:rFonts w:hint="cs"/>
          <w:sz w:val="27"/>
          <w:rtl/>
        </w:rPr>
        <w:t>الإسراء</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قبل</w:t>
      </w:r>
      <w:r w:rsidRPr="00904FCB">
        <w:rPr>
          <w:sz w:val="27"/>
          <w:rtl/>
        </w:rPr>
        <w:t xml:space="preserve"> </w:t>
      </w:r>
      <w:r w:rsidRPr="00904FCB">
        <w:rPr>
          <w:rFonts w:hint="cs"/>
          <w:sz w:val="27"/>
          <w:rtl/>
        </w:rPr>
        <w:t>الهجرة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إشارة</w:t>
      </w:r>
      <w:r w:rsidR="00B457DE" w:rsidRPr="00904FCB">
        <w:rPr>
          <w:rFonts w:hint="cs"/>
          <w:sz w:val="27"/>
          <w:rtl/>
        </w:rPr>
        <w:t>ٌ</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النجاسة؛ إذ</w:t>
      </w:r>
      <w:r w:rsidRPr="00904FCB">
        <w:rPr>
          <w:sz w:val="27"/>
          <w:rtl/>
        </w:rPr>
        <w:t xml:space="preserve"> </w:t>
      </w:r>
      <w:r w:rsidRPr="00904FCB">
        <w:rPr>
          <w:rFonts w:hint="cs"/>
          <w:sz w:val="27"/>
          <w:rtl/>
        </w:rPr>
        <w:t>يقارن</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الأمّة</w:t>
      </w:r>
      <w:r w:rsidRPr="00904FCB">
        <w:rPr>
          <w:sz w:val="27"/>
          <w:rtl/>
        </w:rPr>
        <w:t xml:space="preserve"> </w:t>
      </w:r>
      <w:r w:rsidRPr="00904FCB">
        <w:rPr>
          <w:rFonts w:hint="cs"/>
          <w:sz w:val="27"/>
          <w:rtl/>
        </w:rPr>
        <w:t>والأمم</w:t>
      </w:r>
      <w:r w:rsidRPr="00904FCB">
        <w:rPr>
          <w:sz w:val="27"/>
          <w:rtl/>
        </w:rPr>
        <w:t xml:space="preserve"> </w:t>
      </w:r>
      <w:r w:rsidRPr="00904FCB">
        <w:rPr>
          <w:rFonts w:hint="cs"/>
          <w:sz w:val="27"/>
          <w:rtl/>
        </w:rPr>
        <w:t>السالفة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قصّ</w:t>
      </w:r>
      <w:r w:rsidR="00B457DE" w:rsidRPr="00904FCB">
        <w:rPr>
          <w:rFonts w:hint="cs"/>
          <w:sz w:val="27"/>
          <w:rtl/>
        </w:rPr>
        <w:t>َ</w:t>
      </w:r>
      <w:r w:rsidRPr="00904FCB">
        <w:rPr>
          <w:rFonts w:hint="cs"/>
          <w:sz w:val="27"/>
          <w:rtl/>
        </w:rPr>
        <w:t>ر</w:t>
      </w:r>
      <w:r w:rsidR="00B457DE" w:rsidRPr="00904FCB">
        <w:rPr>
          <w:rFonts w:hint="cs"/>
          <w:sz w:val="27"/>
          <w:rtl/>
        </w:rPr>
        <w:t>َ</w:t>
      </w:r>
      <w:r w:rsidRPr="00904FCB">
        <w:rPr>
          <w:rFonts w:hint="cs"/>
          <w:sz w:val="27"/>
          <w:rtl/>
        </w:rPr>
        <w:t>ت</w:t>
      </w:r>
      <w:r w:rsidR="00B457DE" w:rsidRPr="00904FCB">
        <w:rPr>
          <w:rFonts w:hint="cs"/>
          <w:sz w:val="27"/>
          <w:rtl/>
        </w:rPr>
        <w:t>ْ،</w:t>
      </w:r>
      <w:r w:rsidRPr="00904FCB">
        <w:rPr>
          <w:sz w:val="27"/>
          <w:rtl/>
        </w:rPr>
        <w:t xml:space="preserve"> </w:t>
      </w:r>
      <w:r w:rsidRPr="00904FCB">
        <w:rPr>
          <w:rFonts w:hint="cs"/>
          <w:sz w:val="27"/>
          <w:rtl/>
        </w:rPr>
        <w:t>فحملت</w:t>
      </w:r>
      <w:r w:rsidRPr="00904FCB">
        <w:rPr>
          <w:sz w:val="27"/>
          <w:rtl/>
        </w:rPr>
        <w:t xml:space="preserve"> </w:t>
      </w:r>
      <w:r w:rsidRPr="00904FCB">
        <w:rPr>
          <w:rFonts w:hint="cs"/>
          <w:sz w:val="27"/>
          <w:rtl/>
        </w:rPr>
        <w:t>عليهم</w:t>
      </w:r>
      <w:r w:rsidRPr="00904FCB">
        <w:rPr>
          <w:sz w:val="27"/>
          <w:rtl/>
        </w:rPr>
        <w:t xml:space="preserve"> </w:t>
      </w:r>
      <w:r w:rsidRPr="00904FCB">
        <w:rPr>
          <w:rFonts w:hint="cs"/>
          <w:sz w:val="27"/>
          <w:rtl/>
        </w:rPr>
        <w:t>تكاليف</w:t>
      </w:r>
      <w:r w:rsidRPr="00904FCB">
        <w:rPr>
          <w:sz w:val="27"/>
          <w:rtl/>
        </w:rPr>
        <w:t xml:space="preserve"> </w:t>
      </w:r>
      <w:r w:rsidRPr="00904FCB">
        <w:rPr>
          <w:rFonts w:hint="cs"/>
          <w:sz w:val="27"/>
          <w:rtl/>
        </w:rPr>
        <w:t>شاقّة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حالة</w:t>
      </w:r>
      <w:r w:rsidRPr="00904FCB">
        <w:rPr>
          <w:sz w:val="27"/>
          <w:rtl/>
        </w:rPr>
        <w:t xml:space="preserve"> </w:t>
      </w:r>
      <w:r w:rsidRPr="00904FCB">
        <w:rPr>
          <w:rFonts w:hint="cs"/>
          <w:sz w:val="27"/>
          <w:rtl/>
        </w:rPr>
        <w:t>إصابة</w:t>
      </w:r>
      <w:r w:rsidRPr="00904FCB">
        <w:rPr>
          <w:sz w:val="27"/>
          <w:rtl/>
        </w:rPr>
        <w:t xml:space="preserve"> </w:t>
      </w:r>
      <w:r w:rsidRPr="00904FCB">
        <w:rPr>
          <w:rFonts w:hint="cs"/>
          <w:sz w:val="27"/>
          <w:rtl/>
        </w:rPr>
        <w:t>البول</w:t>
      </w:r>
      <w:r w:rsidRPr="00904FCB">
        <w:rPr>
          <w:sz w:val="27"/>
          <w:rtl/>
        </w:rPr>
        <w:t xml:space="preserve"> </w:t>
      </w:r>
      <w:r w:rsidRPr="00904FCB">
        <w:rPr>
          <w:rFonts w:hint="cs"/>
          <w:sz w:val="27"/>
          <w:rtl/>
        </w:rPr>
        <w:t>للب</w:t>
      </w:r>
      <w:r w:rsidR="00B457DE" w:rsidRPr="00904FCB">
        <w:rPr>
          <w:rFonts w:hint="cs"/>
          <w:sz w:val="27"/>
          <w:rtl/>
        </w:rPr>
        <w:t>َ</w:t>
      </w:r>
      <w:r w:rsidRPr="00904FCB">
        <w:rPr>
          <w:rFonts w:hint="cs"/>
          <w:sz w:val="27"/>
          <w:rtl/>
        </w:rPr>
        <w:t>د</w:t>
      </w:r>
      <w:r w:rsidR="00B457DE" w:rsidRPr="00904FCB">
        <w:rPr>
          <w:rFonts w:hint="cs"/>
          <w:sz w:val="27"/>
          <w:rtl/>
        </w:rPr>
        <w:t>َ</w:t>
      </w:r>
      <w:r w:rsidRPr="00904FCB">
        <w:rPr>
          <w:rFonts w:hint="cs"/>
          <w:sz w:val="27"/>
          <w:rtl/>
        </w:rPr>
        <w:t>ن</w:t>
      </w:r>
      <w:r w:rsidRPr="00904FCB">
        <w:rPr>
          <w:sz w:val="27"/>
          <w:rtl/>
        </w:rPr>
        <w:t xml:space="preserve"> </w:t>
      </w:r>
      <w:r w:rsidRPr="00904FCB">
        <w:rPr>
          <w:rFonts w:hint="cs"/>
          <w:sz w:val="27"/>
          <w:rtl/>
        </w:rPr>
        <w:t>ونحوه، وأمّا</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الأمّة</w:t>
      </w:r>
      <w:r w:rsidRPr="00904FCB">
        <w:rPr>
          <w:sz w:val="27"/>
          <w:rtl/>
        </w:rPr>
        <w:t xml:space="preserve"> </w:t>
      </w:r>
      <w:r w:rsidRPr="00904FCB">
        <w:rPr>
          <w:rFonts w:hint="cs"/>
          <w:sz w:val="27"/>
          <w:rtl/>
        </w:rPr>
        <w:t>فقد</w:t>
      </w:r>
      <w:r w:rsidRPr="00904FCB">
        <w:rPr>
          <w:sz w:val="27"/>
          <w:rtl/>
        </w:rPr>
        <w:t xml:space="preserve"> </w:t>
      </w:r>
      <w:r w:rsidRPr="00904FCB">
        <w:rPr>
          <w:rFonts w:hint="cs"/>
          <w:sz w:val="27"/>
          <w:rtl/>
        </w:rPr>
        <w:t>جعل</w:t>
      </w:r>
      <w:r w:rsidRPr="00904FCB">
        <w:rPr>
          <w:sz w:val="27"/>
          <w:rtl/>
        </w:rPr>
        <w:t xml:space="preserve"> </w:t>
      </w:r>
      <w:r w:rsidRPr="00904FCB">
        <w:rPr>
          <w:rFonts w:hint="cs"/>
          <w:sz w:val="27"/>
          <w:rtl/>
        </w:rPr>
        <w:t>الماء</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طهوراً</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ومنها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ورد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روايات</w:t>
      </w:r>
      <w:r w:rsidRPr="00904FCB">
        <w:rPr>
          <w:sz w:val="27"/>
          <w:rtl/>
        </w:rPr>
        <w:t xml:space="preserve"> </w:t>
      </w:r>
      <w:r w:rsidRPr="00904FCB">
        <w:rPr>
          <w:rFonts w:hint="cs"/>
          <w:sz w:val="27"/>
          <w:rtl/>
        </w:rPr>
        <w:t>حبّ</w:t>
      </w:r>
      <w:r w:rsidRPr="00904FCB">
        <w:rPr>
          <w:sz w:val="27"/>
          <w:rtl/>
        </w:rPr>
        <w:t xml:space="preserve"> </w:t>
      </w:r>
      <w:r w:rsidRPr="00904FCB">
        <w:rPr>
          <w:rFonts w:hint="cs"/>
          <w:sz w:val="27"/>
          <w:rtl/>
        </w:rPr>
        <w:t>النبي</w:t>
      </w:r>
      <w:r w:rsidR="00B457DE" w:rsidRPr="00904FCB">
        <w:rPr>
          <w:rFonts w:hint="cs"/>
          <w:sz w:val="27"/>
          <w:rtl/>
        </w:rPr>
        <w:t>ّ</w:t>
      </w:r>
      <w:r w:rsidR="00635E51" w:rsidRPr="00904FCB">
        <w:rPr>
          <w:rFonts w:cs="Mosawi"/>
          <w:sz w:val="27"/>
          <w:szCs w:val="22"/>
          <w:rtl/>
        </w:rPr>
        <w:t>|</w:t>
      </w:r>
      <w:r w:rsidRPr="00904FCB">
        <w:rPr>
          <w:sz w:val="27"/>
          <w:rtl/>
        </w:rPr>
        <w:t xml:space="preserve"> </w:t>
      </w:r>
      <w:r w:rsidRPr="00904FCB">
        <w:rPr>
          <w:rFonts w:hint="cs"/>
          <w:sz w:val="27"/>
          <w:rtl/>
        </w:rPr>
        <w:t>للحسن</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للحسين</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اختلاف</w:t>
      </w:r>
      <w:r w:rsidRPr="00904FCB">
        <w:rPr>
          <w:sz w:val="27"/>
          <w:rtl/>
        </w:rPr>
        <w:t xml:space="preserve"> </w:t>
      </w:r>
      <w:r w:rsidRPr="00904FCB">
        <w:rPr>
          <w:rFonts w:hint="cs"/>
          <w:sz w:val="27"/>
          <w:rtl/>
        </w:rPr>
        <w:t>متونها</w:t>
      </w:r>
      <w:r w:rsidRPr="00904FCB">
        <w:rPr>
          <w:sz w:val="27"/>
          <w:rtl/>
        </w:rPr>
        <w:t xml:space="preserve"> </w:t>
      </w:r>
      <w:r w:rsidRPr="00904FCB">
        <w:rPr>
          <w:rFonts w:hint="cs"/>
          <w:sz w:val="27"/>
          <w:rtl/>
        </w:rPr>
        <w:t>ـ</w:t>
      </w:r>
      <w:r w:rsidR="00B457DE"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حجر</w:t>
      </w:r>
      <w:r w:rsidRPr="00904FCB">
        <w:rPr>
          <w:sz w:val="27"/>
          <w:rtl/>
        </w:rPr>
        <w:t xml:space="preserve"> </w:t>
      </w:r>
      <w:r w:rsidRPr="00904FCB">
        <w:rPr>
          <w:rFonts w:hint="cs"/>
          <w:sz w:val="27"/>
          <w:rtl/>
        </w:rPr>
        <w:t>النبي</w:t>
      </w:r>
      <w:r w:rsidR="00B457DE" w:rsidRPr="00904FCB">
        <w:rPr>
          <w:rFonts w:hint="cs"/>
          <w:sz w:val="27"/>
          <w:rtl/>
        </w:rPr>
        <w:t>ّ</w:t>
      </w:r>
      <w:r w:rsidR="00635E51" w:rsidRPr="00904FCB">
        <w:rPr>
          <w:rFonts w:cs="Mosawi" w:hint="cs"/>
          <w:sz w:val="27"/>
          <w:szCs w:val="22"/>
          <w:rtl/>
        </w:rPr>
        <w:t>|</w:t>
      </w:r>
      <w:r w:rsidR="00B457DE" w:rsidRPr="00904FCB">
        <w:rPr>
          <w:rFonts w:hint="cs"/>
          <w:sz w:val="27"/>
          <w:rtl/>
        </w:rPr>
        <w:t>،</w:t>
      </w:r>
      <w:r w:rsidRPr="00904FCB">
        <w:rPr>
          <w:sz w:val="27"/>
          <w:rtl/>
        </w:rPr>
        <w:t xml:space="preserve"> </w:t>
      </w:r>
      <w:r w:rsidRPr="00904FCB">
        <w:rPr>
          <w:rFonts w:hint="cs"/>
          <w:sz w:val="27"/>
          <w:rtl/>
        </w:rPr>
        <w:t>فبال</w:t>
      </w:r>
      <w:r w:rsidR="00B457DE" w:rsidRPr="00904FCB">
        <w:rPr>
          <w:rFonts w:hint="cs"/>
          <w:sz w:val="27"/>
          <w:rtl/>
        </w:rPr>
        <w:t>،</w:t>
      </w:r>
      <w:r w:rsidRPr="00904FCB">
        <w:rPr>
          <w:sz w:val="27"/>
          <w:rtl/>
        </w:rPr>
        <w:t xml:space="preserve"> </w:t>
      </w:r>
      <w:r w:rsidRPr="00904FCB">
        <w:rPr>
          <w:rFonts w:hint="cs"/>
          <w:sz w:val="27"/>
          <w:rtl/>
        </w:rPr>
        <w:t>فأريد</w:t>
      </w:r>
      <w:r w:rsidRPr="00904FCB">
        <w:rPr>
          <w:sz w:val="27"/>
          <w:rtl/>
        </w:rPr>
        <w:t xml:space="preserve"> </w:t>
      </w:r>
      <w:r w:rsidRPr="00904FCB">
        <w:rPr>
          <w:rFonts w:hint="cs"/>
          <w:sz w:val="27"/>
          <w:rtl/>
        </w:rPr>
        <w:t>أخذه</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تأنيبه، فمنع</w:t>
      </w:r>
      <w:r w:rsidRPr="00904FCB">
        <w:rPr>
          <w:sz w:val="27"/>
          <w:rtl/>
        </w:rPr>
        <w:t xml:space="preserve"> </w:t>
      </w:r>
      <w:r w:rsidRPr="00904FCB">
        <w:rPr>
          <w:rFonts w:hint="cs"/>
          <w:sz w:val="27"/>
          <w:rtl/>
        </w:rPr>
        <w:lastRenderedPageBreak/>
        <w:t>النبي</w:t>
      </w:r>
      <w:r w:rsidR="00B457DE" w:rsidRPr="00904FCB">
        <w:rPr>
          <w:rFonts w:hint="cs"/>
          <w:sz w:val="27"/>
          <w:rtl/>
        </w:rPr>
        <w:t>ّ</w:t>
      </w:r>
      <w:r w:rsidR="00635E51" w:rsidRPr="00904FCB">
        <w:rPr>
          <w:rFonts w:cs="Mosawi"/>
          <w:sz w:val="27"/>
          <w:szCs w:val="22"/>
          <w:rtl/>
        </w:rPr>
        <w:t>|</w:t>
      </w:r>
      <w:r w:rsidR="00B457DE" w:rsidRPr="00904FCB">
        <w:rPr>
          <w:rFonts w:hint="cs"/>
          <w:sz w:val="27"/>
          <w:rtl/>
        </w:rPr>
        <w:t>،</w:t>
      </w:r>
      <w:r w:rsidRPr="00904FCB">
        <w:rPr>
          <w:sz w:val="27"/>
          <w:rtl/>
        </w:rPr>
        <w:t xml:space="preserve"> </w:t>
      </w:r>
      <w:r w:rsidRPr="00904FCB">
        <w:rPr>
          <w:rFonts w:hint="cs"/>
          <w:sz w:val="27"/>
          <w:rtl/>
        </w:rPr>
        <w:t>ودعا</w:t>
      </w:r>
      <w:r w:rsidRPr="00904FCB">
        <w:rPr>
          <w:sz w:val="27"/>
          <w:rtl/>
        </w:rPr>
        <w:t xml:space="preserve"> </w:t>
      </w:r>
      <w:r w:rsidRPr="00904FCB">
        <w:rPr>
          <w:rFonts w:hint="cs"/>
          <w:sz w:val="27"/>
          <w:rtl/>
        </w:rPr>
        <w:t>بماء</w:t>
      </w:r>
      <w:r w:rsidR="00B457DE" w:rsidRPr="00904FCB">
        <w:rPr>
          <w:rFonts w:hint="cs"/>
          <w:sz w:val="27"/>
          <w:rtl/>
        </w:rPr>
        <w:t>ٍ</w:t>
      </w:r>
      <w:r w:rsidRPr="00904FCB">
        <w:rPr>
          <w:sz w:val="27"/>
          <w:rtl/>
        </w:rPr>
        <w:t xml:space="preserve"> </w:t>
      </w:r>
      <w:r w:rsidRPr="00904FCB">
        <w:rPr>
          <w:rFonts w:hint="cs"/>
          <w:sz w:val="27"/>
          <w:rtl/>
        </w:rPr>
        <w:t>فصبّ</w:t>
      </w:r>
      <w:r w:rsidR="00B457DE" w:rsidRPr="00904FCB">
        <w:rPr>
          <w:rFonts w:hint="cs"/>
          <w:sz w:val="27"/>
          <w:rtl/>
        </w:rPr>
        <w:t>َ</w:t>
      </w:r>
      <w:r w:rsidRPr="00904FCB">
        <w:rPr>
          <w:rFonts w:hint="cs"/>
          <w:sz w:val="27"/>
          <w:rtl/>
        </w:rPr>
        <w:t>ه</w:t>
      </w:r>
      <w:r w:rsidRPr="00904FCB">
        <w:rPr>
          <w:sz w:val="27"/>
          <w:rtl/>
        </w:rPr>
        <w:t xml:space="preserve"> </w:t>
      </w:r>
      <w:r w:rsidRPr="00904FCB">
        <w:rPr>
          <w:rFonts w:hint="cs"/>
          <w:sz w:val="27"/>
          <w:rtl/>
        </w:rPr>
        <w:t>عليه، وفي</w:t>
      </w:r>
      <w:r w:rsidRPr="00904FCB">
        <w:rPr>
          <w:sz w:val="27"/>
          <w:rtl/>
        </w:rPr>
        <w:t xml:space="preserve"> </w:t>
      </w:r>
      <w:r w:rsidRPr="00904FCB">
        <w:rPr>
          <w:rFonts w:hint="cs"/>
          <w:sz w:val="27"/>
          <w:rtl/>
        </w:rPr>
        <w:t>بعضها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النبي</w:t>
      </w:r>
      <w:r w:rsidR="00B457DE" w:rsidRPr="00904FCB">
        <w:rPr>
          <w:rFonts w:hint="cs"/>
          <w:sz w:val="27"/>
          <w:rtl/>
        </w:rPr>
        <w:t>ّ</w:t>
      </w:r>
      <w:r w:rsidR="00635E51" w:rsidRPr="00904FCB">
        <w:rPr>
          <w:rFonts w:cs="Mosawi" w:hint="cs"/>
          <w:sz w:val="27"/>
          <w:szCs w:val="22"/>
          <w:rtl/>
        </w:rPr>
        <w:t>|</w:t>
      </w:r>
      <w:r w:rsidRPr="00904FCB">
        <w:rPr>
          <w:sz w:val="27"/>
          <w:rtl/>
        </w:rPr>
        <w:t xml:space="preserve"> «</w:t>
      </w:r>
      <w:r w:rsidRPr="00904FCB">
        <w:rPr>
          <w:rFonts w:hint="cs"/>
          <w:sz w:val="27"/>
          <w:rtl/>
        </w:rPr>
        <w:t>بال</w:t>
      </w:r>
      <w:r w:rsidRPr="00904FCB">
        <w:rPr>
          <w:sz w:val="27"/>
          <w:rtl/>
        </w:rPr>
        <w:t xml:space="preserve"> </w:t>
      </w:r>
      <w:r w:rsidRPr="00904FCB">
        <w:rPr>
          <w:rFonts w:hint="cs"/>
          <w:sz w:val="27"/>
          <w:rtl/>
        </w:rPr>
        <w:t>عليه</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والحسين</w:t>
      </w:r>
      <w:r w:rsidRPr="00904FCB">
        <w:rPr>
          <w:sz w:val="27"/>
          <w:rtl/>
        </w:rPr>
        <w:t xml:space="preserve"> </w:t>
      </w:r>
      <w:r w:rsidRPr="00904FCB">
        <w:rPr>
          <w:rFonts w:hint="cs"/>
          <w:sz w:val="27"/>
          <w:rtl/>
        </w:rPr>
        <w:t>قبل</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يطعما فكان</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يغسل</w:t>
      </w:r>
      <w:r w:rsidRPr="00904FCB">
        <w:rPr>
          <w:sz w:val="27"/>
          <w:rtl/>
        </w:rPr>
        <w:t xml:space="preserve"> </w:t>
      </w:r>
      <w:r w:rsidRPr="00904FCB">
        <w:rPr>
          <w:rFonts w:hint="cs"/>
          <w:sz w:val="27"/>
          <w:rtl/>
        </w:rPr>
        <w:t>بولهما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ثوبه</w:t>
      </w:r>
      <w:r w:rsidRPr="00904FCB">
        <w:rPr>
          <w:rFonts w:hint="eastAsia"/>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ومنها</w:t>
      </w:r>
      <w:r w:rsidRPr="00904FCB">
        <w:rPr>
          <w:sz w:val="27"/>
          <w:rtl/>
        </w:rPr>
        <w:t xml:space="preserve">: </w:t>
      </w:r>
      <w:r w:rsidRPr="00904FCB">
        <w:rPr>
          <w:rFonts w:hint="cs"/>
          <w:sz w:val="27"/>
          <w:rtl/>
        </w:rPr>
        <w:t>قوله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سورة</w:t>
      </w:r>
      <w:r w:rsidRPr="00904FCB">
        <w:rPr>
          <w:sz w:val="27"/>
          <w:rtl/>
        </w:rPr>
        <w:t xml:space="preserve"> </w:t>
      </w:r>
      <w:r w:rsidRPr="00904FCB">
        <w:rPr>
          <w:rFonts w:hint="cs"/>
          <w:sz w:val="27"/>
          <w:rtl/>
        </w:rPr>
        <w:t>المائدة</w:t>
      </w:r>
      <w:r w:rsidRPr="00904FCB">
        <w:rPr>
          <w:sz w:val="27"/>
          <w:rtl/>
        </w:rPr>
        <w:t>:</w:t>
      </w:r>
      <w:r w:rsidRPr="00904FCB">
        <w:rPr>
          <w:rFonts w:hint="cs"/>
          <w:sz w:val="27"/>
          <w:rtl/>
          <w:lang w:bidi="ar-LB"/>
        </w:rPr>
        <w:t xml:space="preserve"> </w:t>
      </w:r>
      <w:r w:rsidRPr="00904FCB">
        <w:rPr>
          <w:rFonts w:ascii="Mosawi" w:hAnsi="Mosawi" w:cs="Mosawi"/>
          <w:sz w:val="24"/>
          <w:szCs w:val="24"/>
          <w:rtl/>
        </w:rPr>
        <w:t>﴿</w:t>
      </w:r>
      <w:r w:rsidRPr="00904FCB">
        <w:rPr>
          <w:rFonts w:hint="cs"/>
          <w:b/>
          <w:bCs/>
          <w:sz w:val="27"/>
          <w:rtl/>
          <w:lang w:bidi="ar-LB"/>
        </w:rPr>
        <w:t>فَتَ</w:t>
      </w:r>
      <w:r w:rsidRPr="00904FCB">
        <w:rPr>
          <w:rFonts w:hint="cs"/>
          <w:b/>
          <w:bCs/>
          <w:sz w:val="27"/>
          <w:rtl/>
        </w:rPr>
        <w:t>يَمَّمُوا</w:t>
      </w:r>
      <w:r w:rsidRPr="00904FCB">
        <w:rPr>
          <w:b/>
          <w:bCs/>
          <w:sz w:val="27"/>
          <w:rtl/>
        </w:rPr>
        <w:t xml:space="preserve"> </w:t>
      </w:r>
      <w:r w:rsidRPr="00904FCB">
        <w:rPr>
          <w:rFonts w:hint="cs"/>
          <w:b/>
          <w:bCs/>
          <w:sz w:val="27"/>
          <w:rtl/>
        </w:rPr>
        <w:t>صَع</w:t>
      </w:r>
      <w:r w:rsidR="00203E23" w:rsidRPr="00904FCB">
        <w:rPr>
          <w:rFonts w:hint="cs"/>
          <w:b/>
          <w:bCs/>
          <w:sz w:val="27"/>
          <w:rtl/>
        </w:rPr>
        <w:t>ِ</w:t>
      </w:r>
      <w:r w:rsidRPr="00904FCB">
        <w:rPr>
          <w:rFonts w:hint="cs"/>
          <w:b/>
          <w:bCs/>
          <w:sz w:val="27"/>
          <w:rtl/>
        </w:rPr>
        <w:t>يد</w:t>
      </w:r>
      <w:r w:rsidR="00203E23"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طَيِّب</w:t>
      </w:r>
      <w:r w:rsidR="00203E23" w:rsidRPr="00904FCB">
        <w:rPr>
          <w:rFonts w:hint="cs"/>
          <w:b/>
          <w:bCs/>
          <w:sz w:val="27"/>
          <w:rtl/>
        </w:rPr>
        <w:t>َ</w:t>
      </w:r>
      <w:r w:rsidRPr="00904FCB">
        <w:rPr>
          <w:rFonts w:hint="cs"/>
          <w:b/>
          <w:bCs/>
          <w:sz w:val="27"/>
          <w:rtl/>
        </w:rPr>
        <w:t>اً</w:t>
      </w:r>
      <w:r w:rsidRPr="00904FCB">
        <w:rPr>
          <w:rFonts w:ascii="Mosawi" w:hAnsi="Mosawi" w:cs="Mosawi"/>
          <w:sz w:val="24"/>
          <w:szCs w:val="24"/>
          <w:rtl/>
        </w:rPr>
        <w:t>﴾</w:t>
      </w:r>
      <w:r w:rsidRPr="00904FCB">
        <w:rPr>
          <w:sz w:val="27"/>
          <w:rtl/>
        </w:rPr>
        <w:t xml:space="preserve"> (</w:t>
      </w:r>
      <w:r w:rsidRPr="00904FCB">
        <w:rPr>
          <w:rFonts w:hint="cs"/>
          <w:sz w:val="27"/>
          <w:rtl/>
        </w:rPr>
        <w:t xml:space="preserve">المائدة: </w:t>
      </w:r>
      <w:r w:rsidRPr="00783611">
        <w:rPr>
          <w:rFonts w:hint="cs"/>
          <w:sz w:val="27"/>
          <w:rtl/>
          <w:lang w:bidi="ar-LB"/>
        </w:rPr>
        <w:t>6</w:t>
      </w:r>
      <w:r w:rsidR="00203E23" w:rsidRPr="00904FCB">
        <w:rPr>
          <w:sz w:val="27"/>
          <w:rtl/>
        </w:rPr>
        <w:t>)</w:t>
      </w:r>
      <w:r w:rsidR="00203E23" w:rsidRPr="00904FCB">
        <w:rPr>
          <w:rFonts w:hint="cs"/>
          <w:sz w:val="27"/>
          <w:rtl/>
        </w:rPr>
        <w:t xml:space="preserve">، بناءً </w:t>
      </w:r>
      <w:r w:rsidRPr="00904FCB">
        <w:rPr>
          <w:rFonts w:hint="cs"/>
          <w:sz w:val="27"/>
          <w:rtl/>
        </w:rPr>
        <w:t>على</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الطي</w:t>
      </w:r>
      <w:r w:rsidR="00203E23" w:rsidRPr="00904FCB">
        <w:rPr>
          <w:rFonts w:hint="cs"/>
          <w:sz w:val="27"/>
          <w:rtl/>
        </w:rPr>
        <w:t>ِّ</w:t>
      </w:r>
      <w:r w:rsidRPr="00904FCB">
        <w:rPr>
          <w:rFonts w:hint="cs"/>
          <w:sz w:val="27"/>
          <w:rtl/>
        </w:rPr>
        <w:t>ب</w:t>
      </w:r>
      <w:r w:rsidRPr="00904FCB">
        <w:rPr>
          <w:sz w:val="27"/>
          <w:rtl/>
        </w:rPr>
        <w:t xml:space="preserve"> </w:t>
      </w:r>
      <w:r w:rsidRPr="00904FCB">
        <w:rPr>
          <w:rFonts w:hint="cs"/>
          <w:sz w:val="27"/>
          <w:rtl/>
        </w:rPr>
        <w:t>بمعنى</w:t>
      </w:r>
      <w:r w:rsidRPr="00904FCB">
        <w:rPr>
          <w:sz w:val="27"/>
          <w:rtl/>
        </w:rPr>
        <w:t xml:space="preserve"> </w:t>
      </w:r>
      <w:r w:rsidRPr="00904FCB">
        <w:rPr>
          <w:rFonts w:hint="cs"/>
          <w:sz w:val="27"/>
          <w:rtl/>
        </w:rPr>
        <w:t>الطاهر</w:t>
      </w:r>
      <w:r w:rsidRPr="00904FCB">
        <w:rPr>
          <w:sz w:val="27"/>
          <w:rtl/>
        </w:rPr>
        <w:t xml:space="preserve"> </w:t>
      </w:r>
      <w:r w:rsidRPr="00904FCB">
        <w:rPr>
          <w:rFonts w:hint="cs"/>
          <w:sz w:val="27"/>
          <w:rtl/>
        </w:rPr>
        <w:t>الشرعي، كما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مقتضى</w:t>
      </w:r>
      <w:r w:rsidRPr="00904FCB">
        <w:rPr>
          <w:sz w:val="27"/>
          <w:rtl/>
        </w:rPr>
        <w:t xml:space="preserve"> </w:t>
      </w:r>
      <w:r w:rsidRPr="00904FCB">
        <w:rPr>
          <w:rFonts w:hint="cs"/>
          <w:sz w:val="27"/>
          <w:rtl/>
        </w:rPr>
        <w:t>استدلال</w:t>
      </w:r>
      <w:r w:rsidRPr="00904FCB">
        <w:rPr>
          <w:sz w:val="27"/>
          <w:rtl/>
        </w:rPr>
        <w:t xml:space="preserve"> </w:t>
      </w:r>
      <w:r w:rsidRPr="00904FCB">
        <w:rPr>
          <w:rFonts w:hint="cs"/>
          <w:sz w:val="27"/>
          <w:rtl/>
        </w:rPr>
        <w:t>الفقهاء</w:t>
      </w:r>
      <w:r w:rsidRPr="00904FCB">
        <w:rPr>
          <w:sz w:val="27"/>
          <w:rtl/>
        </w:rPr>
        <w:t xml:space="preserve"> </w:t>
      </w:r>
      <w:r w:rsidRPr="00904FCB">
        <w:rPr>
          <w:rFonts w:hint="cs"/>
          <w:sz w:val="27"/>
          <w:rtl/>
        </w:rPr>
        <w:t>بالآية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اشتراط</w:t>
      </w:r>
      <w:r w:rsidRPr="00904FCB">
        <w:rPr>
          <w:sz w:val="27"/>
          <w:rtl/>
        </w:rPr>
        <w:t xml:space="preserve"> </w:t>
      </w:r>
      <w:r w:rsidRPr="00904FCB">
        <w:rPr>
          <w:rFonts w:hint="cs"/>
          <w:sz w:val="27"/>
          <w:rtl/>
        </w:rPr>
        <w:t>طهارة</w:t>
      </w:r>
      <w:r w:rsidRPr="00904FCB">
        <w:rPr>
          <w:sz w:val="27"/>
          <w:rtl/>
        </w:rPr>
        <w:t xml:space="preserve"> </w:t>
      </w:r>
      <w:r w:rsidRPr="00904FCB">
        <w:rPr>
          <w:rFonts w:hint="cs"/>
          <w:sz w:val="27"/>
          <w:rtl/>
        </w:rPr>
        <w:t>التراب</w:t>
      </w:r>
      <w:r w:rsidRPr="00904FCB">
        <w:rPr>
          <w:sz w:val="27"/>
          <w:rtl/>
        </w:rPr>
        <w:t xml:space="preserve">. </w:t>
      </w:r>
      <w:r w:rsidRPr="00904FCB">
        <w:rPr>
          <w:rFonts w:hint="cs"/>
          <w:sz w:val="27"/>
          <w:rtl/>
        </w:rPr>
        <w:t>وافتراض</w:t>
      </w:r>
      <w:r w:rsidRPr="00904FCB">
        <w:rPr>
          <w:sz w:val="27"/>
          <w:rtl/>
        </w:rPr>
        <w:t xml:space="preserve"> </w:t>
      </w:r>
      <w:r w:rsidRPr="00904FCB">
        <w:rPr>
          <w:rFonts w:hint="cs"/>
          <w:sz w:val="27"/>
          <w:rtl/>
        </w:rPr>
        <w:t>طاهر</w:t>
      </w:r>
      <w:r w:rsidR="00203E23" w:rsidRPr="00904FCB">
        <w:rPr>
          <w:rFonts w:hint="cs"/>
          <w:sz w:val="27"/>
          <w:rtl/>
        </w:rPr>
        <w:t>ٍ</w:t>
      </w:r>
      <w:r w:rsidRPr="00904FCB">
        <w:rPr>
          <w:sz w:val="27"/>
          <w:rtl/>
        </w:rPr>
        <w:t xml:space="preserve"> </w:t>
      </w:r>
      <w:r w:rsidRPr="00904FCB">
        <w:rPr>
          <w:rFonts w:hint="cs"/>
          <w:sz w:val="27"/>
          <w:rtl/>
        </w:rPr>
        <w:t>كذلك</w:t>
      </w:r>
      <w:r w:rsidRPr="00904FCB">
        <w:rPr>
          <w:sz w:val="27"/>
          <w:rtl/>
        </w:rPr>
        <w:t xml:space="preserve"> </w:t>
      </w:r>
      <w:r w:rsidRPr="00904FCB">
        <w:rPr>
          <w:rFonts w:hint="cs"/>
          <w:sz w:val="27"/>
          <w:rtl/>
        </w:rPr>
        <w:t>يساوق</w:t>
      </w:r>
      <w:r w:rsidRPr="00904FCB">
        <w:rPr>
          <w:sz w:val="27"/>
          <w:rtl/>
        </w:rPr>
        <w:t xml:space="preserve"> </w:t>
      </w:r>
      <w:r w:rsidRPr="00904FCB">
        <w:rPr>
          <w:rFonts w:hint="cs"/>
          <w:sz w:val="27"/>
          <w:rtl/>
        </w:rPr>
        <w:t>افتراض</w:t>
      </w:r>
      <w:r w:rsidRPr="00904FCB">
        <w:rPr>
          <w:sz w:val="27"/>
          <w:rtl/>
        </w:rPr>
        <w:t xml:space="preserve"> </w:t>
      </w:r>
      <w:r w:rsidRPr="00904FCB">
        <w:rPr>
          <w:rFonts w:hint="cs"/>
          <w:sz w:val="27"/>
          <w:rtl/>
        </w:rPr>
        <w:t>تشريع</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والمنقول</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سورة</w:t>
      </w:r>
      <w:r w:rsidRPr="00904FCB">
        <w:rPr>
          <w:sz w:val="27"/>
          <w:rtl/>
        </w:rPr>
        <w:t xml:space="preserve"> </w:t>
      </w:r>
      <w:r w:rsidRPr="00904FCB">
        <w:rPr>
          <w:rFonts w:hint="cs"/>
          <w:sz w:val="27"/>
          <w:rtl/>
        </w:rPr>
        <w:t>المائدة</w:t>
      </w:r>
      <w:r w:rsidRPr="00904FCB">
        <w:rPr>
          <w:sz w:val="27"/>
          <w:rtl/>
        </w:rPr>
        <w:t xml:space="preserve"> </w:t>
      </w:r>
      <w:r w:rsidRPr="00904FCB">
        <w:rPr>
          <w:rFonts w:hint="cs"/>
          <w:sz w:val="27"/>
          <w:rtl/>
        </w:rPr>
        <w:t>قبل</w:t>
      </w:r>
      <w:r w:rsidRPr="00904FCB">
        <w:rPr>
          <w:sz w:val="27"/>
          <w:rtl/>
        </w:rPr>
        <w:t xml:space="preserve"> </w:t>
      </w:r>
      <w:r w:rsidRPr="00904FCB">
        <w:rPr>
          <w:rFonts w:hint="cs"/>
          <w:sz w:val="27"/>
          <w:rtl/>
        </w:rPr>
        <w:t>سورة</w:t>
      </w:r>
      <w:r w:rsidRPr="00904FCB">
        <w:rPr>
          <w:sz w:val="27"/>
          <w:rtl/>
        </w:rPr>
        <w:t xml:space="preserve"> </w:t>
      </w:r>
      <w:r w:rsidRPr="00904FCB">
        <w:rPr>
          <w:rFonts w:hint="cs"/>
          <w:sz w:val="27"/>
          <w:rtl/>
        </w:rPr>
        <w:t>التوبة، فإذا</w:t>
      </w:r>
      <w:r w:rsidRPr="00904FCB">
        <w:rPr>
          <w:sz w:val="27"/>
          <w:rtl/>
        </w:rPr>
        <w:t xml:space="preserve"> </w:t>
      </w:r>
      <w:r w:rsidRPr="00904FCB">
        <w:rPr>
          <w:rFonts w:hint="cs"/>
          <w:sz w:val="27"/>
          <w:rtl/>
        </w:rPr>
        <w:t>أوجبت</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الشواهد</w:t>
      </w:r>
      <w:r w:rsidRPr="00904FCB">
        <w:rPr>
          <w:sz w:val="27"/>
          <w:rtl/>
        </w:rPr>
        <w:t xml:space="preserve"> </w:t>
      </w:r>
      <w:r w:rsidRPr="00904FCB">
        <w:rPr>
          <w:rFonts w:hint="cs"/>
          <w:sz w:val="27"/>
          <w:rtl/>
        </w:rPr>
        <w:t>وغيرها</w:t>
      </w:r>
      <w:r w:rsidRPr="00904FCB">
        <w:rPr>
          <w:sz w:val="27"/>
          <w:rtl/>
        </w:rPr>
        <w:t xml:space="preserve"> </w:t>
      </w:r>
      <w:r w:rsidRPr="00904FCB">
        <w:rPr>
          <w:rFonts w:hint="cs"/>
          <w:sz w:val="27"/>
          <w:rtl/>
        </w:rPr>
        <w:t>الظنَّ</w:t>
      </w:r>
      <w:r w:rsidRPr="00904FCB">
        <w:rPr>
          <w:sz w:val="27"/>
          <w:rtl/>
        </w:rPr>
        <w:t xml:space="preserve"> </w:t>
      </w:r>
      <w:r w:rsidR="00203E23" w:rsidRPr="00904FCB">
        <w:rPr>
          <w:rFonts w:hint="cs"/>
          <w:sz w:val="27"/>
          <w:rtl/>
        </w:rPr>
        <w:t>الاطمئنانيّ</w:t>
      </w:r>
      <w:r w:rsidRPr="00904FCB">
        <w:rPr>
          <w:sz w:val="27"/>
          <w:rtl/>
        </w:rPr>
        <w:t xml:space="preserve"> </w:t>
      </w:r>
      <w:r w:rsidRPr="00904FCB">
        <w:rPr>
          <w:rFonts w:hint="cs"/>
          <w:sz w:val="27"/>
          <w:rtl/>
        </w:rPr>
        <w:t>بسبق</w:t>
      </w:r>
      <w:r w:rsidRPr="00904FCB">
        <w:rPr>
          <w:sz w:val="27"/>
          <w:rtl/>
        </w:rPr>
        <w:t xml:space="preserve"> </w:t>
      </w:r>
      <w:r w:rsidRPr="00904FCB">
        <w:rPr>
          <w:rFonts w:hint="cs"/>
          <w:sz w:val="27"/>
          <w:rtl/>
        </w:rPr>
        <w:t>تشريع</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يتمّ</w:t>
      </w:r>
      <w:r w:rsidRPr="00904FCB">
        <w:rPr>
          <w:sz w:val="27"/>
          <w:rtl/>
        </w:rPr>
        <w:t xml:space="preserve"> </w:t>
      </w:r>
      <w:r w:rsidRPr="00904FCB">
        <w:rPr>
          <w:rFonts w:hint="cs"/>
          <w:sz w:val="27"/>
          <w:rtl/>
        </w:rPr>
        <w:t>الجواب</w:t>
      </w:r>
      <w:r w:rsidRPr="00904FCB">
        <w:rPr>
          <w:sz w:val="27"/>
          <w:rtl/>
        </w:rPr>
        <w:t xml:space="preserve"> </w:t>
      </w:r>
      <w:r w:rsidRPr="00904FCB">
        <w:rPr>
          <w:rFonts w:hint="cs"/>
          <w:sz w:val="27"/>
          <w:rtl/>
        </w:rPr>
        <w:t>المذكور</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غير</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الصحيح</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تماميّة</w:t>
      </w:r>
      <w:r w:rsidRPr="00904FCB">
        <w:rPr>
          <w:sz w:val="27"/>
          <w:rtl/>
        </w:rPr>
        <w:t xml:space="preserve"> </w:t>
      </w:r>
      <w:r w:rsidRPr="00904FCB">
        <w:rPr>
          <w:rFonts w:hint="cs"/>
          <w:sz w:val="27"/>
          <w:rtl/>
        </w:rPr>
        <w:t>أصل</w:t>
      </w:r>
      <w:r w:rsidRPr="00904FCB">
        <w:rPr>
          <w:sz w:val="27"/>
          <w:rtl/>
        </w:rPr>
        <w:t xml:space="preserve"> </w:t>
      </w:r>
      <w:r w:rsidRPr="00904FCB">
        <w:rPr>
          <w:rFonts w:hint="cs"/>
          <w:sz w:val="27"/>
          <w:rtl/>
        </w:rPr>
        <w:t>الوجه؛ لأنّ</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وإن</w:t>
      </w:r>
      <w:r w:rsidR="00203E23" w:rsidRPr="00904FCB">
        <w:rPr>
          <w:rFonts w:hint="cs"/>
          <w:sz w:val="27"/>
          <w:rtl/>
        </w:rPr>
        <w:t>ْ</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مشرّ</w:t>
      </w:r>
      <w:r w:rsidR="00203E23" w:rsidRPr="00904FCB">
        <w:rPr>
          <w:rFonts w:hint="cs"/>
          <w:sz w:val="27"/>
          <w:rtl/>
        </w:rPr>
        <w:t>َ</w:t>
      </w:r>
      <w:r w:rsidRPr="00904FCB">
        <w:rPr>
          <w:rFonts w:hint="cs"/>
          <w:sz w:val="27"/>
          <w:rtl/>
        </w:rPr>
        <w:t>عة</w:t>
      </w:r>
      <w:r w:rsidRPr="00904FCB">
        <w:rPr>
          <w:sz w:val="27"/>
          <w:rtl/>
        </w:rPr>
        <w:t xml:space="preserve"> </w:t>
      </w:r>
      <w:r w:rsidRPr="00904FCB">
        <w:rPr>
          <w:rFonts w:hint="cs"/>
          <w:sz w:val="27"/>
          <w:rtl/>
        </w:rPr>
        <w:t>إجمالاً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الزمان، ولكنّ</w:t>
      </w:r>
      <w:r w:rsidR="00203E23" w:rsidRPr="00904FCB">
        <w:rPr>
          <w:rFonts w:hint="cs"/>
          <w:sz w:val="27"/>
          <w:rtl/>
        </w:rPr>
        <w:t>َ</w:t>
      </w:r>
      <w:r w:rsidRPr="00904FCB">
        <w:rPr>
          <w:sz w:val="27"/>
          <w:rtl/>
        </w:rPr>
        <w:t xml:space="preserve"> </w:t>
      </w:r>
      <w:r w:rsidRPr="00904FCB">
        <w:rPr>
          <w:rFonts w:hint="cs"/>
          <w:sz w:val="27"/>
          <w:rtl/>
        </w:rPr>
        <w:t>المتتبّ</w:t>
      </w:r>
      <w:r w:rsidR="00203E23" w:rsidRPr="00904FCB">
        <w:rPr>
          <w:rFonts w:hint="cs"/>
          <w:sz w:val="27"/>
          <w:rtl/>
        </w:rPr>
        <w:t>ِ</w:t>
      </w:r>
      <w:r w:rsidRPr="00904FCB">
        <w:rPr>
          <w:rFonts w:hint="cs"/>
          <w:sz w:val="27"/>
          <w:rtl/>
        </w:rPr>
        <w:t>ع</w:t>
      </w:r>
      <w:r w:rsidRPr="00904FCB">
        <w:rPr>
          <w:sz w:val="27"/>
          <w:rtl/>
        </w:rPr>
        <w:t xml:space="preserve"> </w:t>
      </w:r>
      <w:r w:rsidRPr="00904FCB">
        <w:rPr>
          <w:rFonts w:hint="cs"/>
          <w:sz w:val="27"/>
          <w:rtl/>
        </w:rPr>
        <w:t>يكاد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يحصل</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القطع</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لفظة</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تكن</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خ</w:t>
      </w:r>
      <w:r w:rsidR="00203E23" w:rsidRPr="00904FCB">
        <w:rPr>
          <w:rFonts w:hint="cs"/>
          <w:sz w:val="27"/>
          <w:rtl/>
        </w:rPr>
        <w:t>ُ</w:t>
      </w:r>
      <w:r w:rsidRPr="00904FCB">
        <w:rPr>
          <w:rFonts w:hint="cs"/>
          <w:sz w:val="27"/>
          <w:rtl/>
        </w:rPr>
        <w:t>صّ</w:t>
      </w:r>
      <w:r w:rsidR="00203E23" w:rsidRPr="00904FCB">
        <w:rPr>
          <w:rFonts w:hint="cs"/>
          <w:sz w:val="27"/>
          <w:rtl/>
        </w:rPr>
        <w:t>ِ</w:t>
      </w:r>
      <w:r w:rsidRPr="00904FCB">
        <w:rPr>
          <w:rFonts w:hint="cs"/>
          <w:sz w:val="27"/>
          <w:rtl/>
        </w:rPr>
        <w:t>صت</w:t>
      </w:r>
      <w:r w:rsidRPr="00904FCB">
        <w:rPr>
          <w:sz w:val="27"/>
          <w:rtl/>
        </w:rPr>
        <w:t xml:space="preserve"> </w:t>
      </w:r>
      <w:r w:rsidRPr="00904FCB">
        <w:rPr>
          <w:rFonts w:hint="cs"/>
          <w:sz w:val="27"/>
          <w:rtl/>
        </w:rPr>
        <w:t>للتعبير</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الشرعيّة، وإنّما</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يعبّ</w:t>
      </w:r>
      <w:r w:rsidR="00203E23" w:rsidRPr="00904FCB">
        <w:rPr>
          <w:rFonts w:hint="cs"/>
          <w:sz w:val="27"/>
          <w:rtl/>
        </w:rPr>
        <w:t>َ</w:t>
      </w:r>
      <w:r w:rsidRPr="00904FCB">
        <w:rPr>
          <w:rFonts w:hint="cs"/>
          <w:sz w:val="27"/>
          <w:rtl/>
        </w:rPr>
        <w:t>ر</w:t>
      </w:r>
      <w:r w:rsidRPr="00904FCB">
        <w:rPr>
          <w:sz w:val="27"/>
          <w:rtl/>
        </w:rPr>
        <w:t xml:space="preserve"> </w:t>
      </w:r>
      <w:r w:rsidRPr="00904FCB">
        <w:rPr>
          <w:rFonts w:hint="cs"/>
          <w:sz w:val="27"/>
          <w:rtl/>
        </w:rPr>
        <w:t>عنها</w:t>
      </w:r>
      <w:r w:rsidRPr="00904FCB">
        <w:rPr>
          <w:sz w:val="27"/>
          <w:rtl/>
        </w:rPr>
        <w:t xml:space="preserve"> </w:t>
      </w:r>
      <w:r w:rsidRPr="00904FCB">
        <w:rPr>
          <w:rFonts w:hint="cs"/>
          <w:sz w:val="27"/>
          <w:rtl/>
        </w:rPr>
        <w:t>بتعبيرات</w:t>
      </w:r>
      <w:r w:rsidRPr="00904FCB">
        <w:rPr>
          <w:sz w:val="27"/>
          <w:rtl/>
        </w:rPr>
        <w:t xml:space="preserve"> </w:t>
      </w:r>
      <w:r w:rsidRPr="00904FCB">
        <w:rPr>
          <w:rFonts w:hint="cs"/>
          <w:sz w:val="27"/>
          <w:rtl/>
        </w:rPr>
        <w:t>مختلفة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الموارد</w:t>
      </w:r>
      <w:r w:rsidRPr="00904FCB">
        <w:rPr>
          <w:sz w:val="27"/>
          <w:rtl/>
        </w:rPr>
        <w:t xml:space="preserve"> </w:t>
      </w:r>
      <w:r w:rsidRPr="00904FCB">
        <w:rPr>
          <w:rFonts w:hint="cs"/>
          <w:sz w:val="27"/>
          <w:rtl/>
        </w:rPr>
        <w:t>المتفرّقة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ولهذا</w:t>
      </w:r>
      <w:r w:rsidRPr="00904FCB">
        <w:rPr>
          <w:sz w:val="27"/>
          <w:rtl/>
        </w:rPr>
        <w:t xml:space="preserve"> </w:t>
      </w:r>
      <w:r w:rsidRPr="00904FCB">
        <w:rPr>
          <w:rFonts w:hint="cs"/>
          <w:sz w:val="27"/>
          <w:rtl/>
        </w:rPr>
        <w:t>نلاحظ</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مجي‏ء</w:t>
      </w:r>
      <w:r w:rsidRPr="00904FCB">
        <w:rPr>
          <w:sz w:val="27"/>
          <w:rtl/>
        </w:rPr>
        <w:t xml:space="preserve"> </w:t>
      </w:r>
      <w:r w:rsidRPr="00904FCB">
        <w:rPr>
          <w:rFonts w:hint="cs"/>
          <w:sz w:val="27"/>
          <w:rtl/>
        </w:rPr>
        <w:t>لفظ</w:t>
      </w:r>
      <w:r w:rsidRPr="00904FCB">
        <w:rPr>
          <w:sz w:val="27"/>
          <w:rtl/>
        </w:rPr>
        <w:t xml:space="preserve"> «</w:t>
      </w:r>
      <w:r w:rsidRPr="00904FCB">
        <w:rPr>
          <w:rFonts w:hint="cs"/>
          <w:sz w:val="27"/>
          <w:rtl/>
        </w:rPr>
        <w:t>النجاسة</w:t>
      </w:r>
      <w:r w:rsidRPr="00904FCB">
        <w:rPr>
          <w:rFonts w:hint="eastAsia"/>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مجموع</w:t>
      </w:r>
      <w:r w:rsidRPr="00904FCB">
        <w:rPr>
          <w:sz w:val="27"/>
          <w:rtl/>
        </w:rPr>
        <w:t xml:space="preserve"> </w:t>
      </w:r>
      <w:r w:rsidRPr="00904FCB">
        <w:rPr>
          <w:rFonts w:hint="cs"/>
          <w:sz w:val="27"/>
          <w:rtl/>
        </w:rPr>
        <w:t>الأحاديث</w:t>
      </w:r>
      <w:r w:rsidRPr="00904FCB">
        <w:rPr>
          <w:sz w:val="27"/>
          <w:rtl/>
        </w:rPr>
        <w:t xml:space="preserve"> </w:t>
      </w:r>
      <w:r w:rsidRPr="00904FCB">
        <w:rPr>
          <w:rFonts w:hint="cs"/>
          <w:sz w:val="27"/>
          <w:rtl/>
        </w:rPr>
        <w:t>المنقولة</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النبي</w:t>
      </w:r>
      <w:r w:rsidR="00203E23" w:rsidRPr="00904FCB">
        <w:rPr>
          <w:rFonts w:hint="cs"/>
          <w:sz w:val="27"/>
          <w:rtl/>
        </w:rPr>
        <w:t>ّ</w:t>
      </w:r>
      <w:r w:rsidR="00635E51" w:rsidRPr="00904FCB">
        <w:rPr>
          <w:rFonts w:cs="Mosawi"/>
          <w:sz w:val="27"/>
          <w:szCs w:val="22"/>
          <w:rtl/>
        </w:rPr>
        <w:t>|</w:t>
      </w:r>
      <w:r w:rsidRPr="00904FCB">
        <w:rPr>
          <w:sz w:val="27"/>
          <w:rtl/>
        </w:rPr>
        <w:t xml:space="preserve"> </w:t>
      </w:r>
      <w:r w:rsidRPr="00904FCB">
        <w:rPr>
          <w:rFonts w:hint="cs"/>
          <w:sz w:val="27"/>
          <w:rtl/>
        </w:rPr>
        <w:t>إمّا</w:t>
      </w:r>
      <w:r w:rsidRPr="00904FCB">
        <w:rPr>
          <w:sz w:val="27"/>
          <w:rtl/>
        </w:rPr>
        <w:t xml:space="preserve"> </w:t>
      </w:r>
      <w:r w:rsidRPr="00904FCB">
        <w:rPr>
          <w:rFonts w:hint="cs"/>
          <w:sz w:val="27"/>
          <w:rtl/>
        </w:rPr>
        <w:t>معدوم</w:t>
      </w:r>
      <w:r w:rsidR="00203E23" w:rsidRPr="00904FCB">
        <w:rPr>
          <w:rFonts w:hint="cs"/>
          <w:sz w:val="27"/>
          <w:rtl/>
        </w:rPr>
        <w:t>؛</w:t>
      </w:r>
      <w:r w:rsidRPr="00904FCB">
        <w:rPr>
          <w:sz w:val="27"/>
          <w:rtl/>
        </w:rPr>
        <w:t xml:space="preserve"> </w:t>
      </w:r>
      <w:r w:rsidRPr="00904FCB">
        <w:rPr>
          <w:rFonts w:hint="cs"/>
          <w:sz w:val="27"/>
          <w:rtl/>
        </w:rPr>
        <w:t>وإمّا</w:t>
      </w:r>
      <w:r w:rsidRPr="00904FCB">
        <w:rPr>
          <w:sz w:val="27"/>
          <w:rtl/>
        </w:rPr>
        <w:t xml:space="preserve"> </w:t>
      </w:r>
      <w:r w:rsidRPr="00904FCB">
        <w:rPr>
          <w:rFonts w:hint="cs"/>
          <w:sz w:val="27"/>
          <w:rtl/>
        </w:rPr>
        <w:t>نادرٌ</w:t>
      </w:r>
      <w:r w:rsidRPr="00904FCB">
        <w:rPr>
          <w:sz w:val="27"/>
          <w:rtl/>
        </w:rPr>
        <w:t xml:space="preserve"> </w:t>
      </w:r>
      <w:r w:rsidRPr="00904FCB">
        <w:rPr>
          <w:rFonts w:hint="cs"/>
          <w:sz w:val="27"/>
          <w:rtl/>
        </w:rPr>
        <w:t>جدّاً، 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طرقنا</w:t>
      </w:r>
      <w:r w:rsidRPr="00904FCB">
        <w:rPr>
          <w:sz w:val="27"/>
          <w:rtl/>
        </w:rPr>
        <w:t xml:space="preserve"> </w:t>
      </w:r>
      <w:r w:rsidRPr="00904FCB">
        <w:rPr>
          <w:rFonts w:hint="cs"/>
          <w:sz w:val="27"/>
          <w:rtl/>
        </w:rPr>
        <w:t>فقط، بل</w:t>
      </w:r>
      <w:r w:rsidRPr="00904FCB">
        <w:rPr>
          <w:sz w:val="27"/>
          <w:rtl/>
        </w:rPr>
        <w:t xml:space="preserve"> </w:t>
      </w:r>
      <w:r w:rsidRPr="00904FCB">
        <w:rPr>
          <w:rFonts w:hint="cs"/>
          <w:sz w:val="27"/>
          <w:rtl/>
        </w:rPr>
        <w:t>حتّى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روايات</w:t>
      </w:r>
      <w:r w:rsidRPr="00904FCB">
        <w:rPr>
          <w:sz w:val="27"/>
          <w:rtl/>
        </w:rPr>
        <w:t xml:space="preserve"> </w:t>
      </w:r>
      <w:r w:rsidRPr="00904FCB">
        <w:rPr>
          <w:rFonts w:hint="cs"/>
          <w:sz w:val="27"/>
          <w:rtl/>
        </w:rPr>
        <w:t>العامّة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تشتمل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ست</w:t>
      </w:r>
      <w:r w:rsidR="00203E23" w:rsidRPr="00904FCB">
        <w:rPr>
          <w:rFonts w:hint="cs"/>
          <w:sz w:val="27"/>
          <w:rtl/>
        </w:rPr>
        <w:t>ّ</w:t>
      </w:r>
      <w:r w:rsidRPr="00904FCB">
        <w:rPr>
          <w:rFonts w:hint="cs"/>
          <w:sz w:val="27"/>
          <w:rtl/>
        </w:rPr>
        <w:t>م</w:t>
      </w:r>
      <w:r w:rsidR="00203E23" w:rsidRPr="00904FCB">
        <w:rPr>
          <w:rFonts w:hint="cs"/>
          <w:sz w:val="27"/>
          <w:rtl/>
        </w:rPr>
        <w:t>ا</w:t>
      </w:r>
      <w:r w:rsidRPr="00904FCB">
        <w:rPr>
          <w:rFonts w:hint="cs"/>
          <w:sz w:val="27"/>
          <w:rtl/>
        </w:rPr>
        <w:t>ئة</w:t>
      </w:r>
      <w:r w:rsidRPr="00904FCB">
        <w:rPr>
          <w:sz w:val="27"/>
          <w:rtl/>
        </w:rPr>
        <w:t xml:space="preserve"> </w:t>
      </w:r>
      <w:r w:rsidRPr="00904FCB">
        <w:rPr>
          <w:rFonts w:hint="cs"/>
          <w:sz w:val="27"/>
          <w:rtl/>
        </w:rPr>
        <w:t>حديث</w:t>
      </w:r>
      <w:r w:rsidR="00203E23"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النبي</w:t>
      </w:r>
      <w:r w:rsidR="00203E23" w:rsidRPr="00904FCB">
        <w:rPr>
          <w:rFonts w:hint="cs"/>
          <w:sz w:val="27"/>
          <w:rtl/>
        </w:rPr>
        <w:t>ّ</w:t>
      </w:r>
      <w:r w:rsidR="00635E51" w:rsidRPr="00904FCB">
        <w:rPr>
          <w:rFonts w:cs="Mosawi"/>
          <w:sz w:val="27"/>
          <w:szCs w:val="22"/>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أحكام</w:t>
      </w:r>
      <w:r w:rsidRPr="00904FCB">
        <w:rPr>
          <w:sz w:val="27"/>
          <w:rtl/>
        </w:rPr>
        <w:t xml:space="preserve"> </w:t>
      </w:r>
      <w:r w:rsidRPr="00904FCB">
        <w:rPr>
          <w:rFonts w:hint="cs"/>
          <w:sz w:val="27"/>
          <w:rtl/>
        </w:rPr>
        <w:t>النجاسة، ولم</w:t>
      </w:r>
      <w:r w:rsidRPr="00904FCB">
        <w:rPr>
          <w:sz w:val="27"/>
          <w:rtl/>
        </w:rPr>
        <w:t xml:space="preserve"> </w:t>
      </w:r>
      <w:r w:rsidRPr="00904FCB">
        <w:rPr>
          <w:rFonts w:hint="cs"/>
          <w:sz w:val="27"/>
          <w:rtl/>
        </w:rPr>
        <w:t>أج</w:t>
      </w:r>
      <w:r w:rsidR="00203E23" w:rsidRPr="00904FCB">
        <w:rPr>
          <w:rFonts w:hint="cs"/>
          <w:sz w:val="27"/>
          <w:rtl/>
        </w:rPr>
        <w:t>ِ</w:t>
      </w:r>
      <w:r w:rsidRPr="00904FCB">
        <w:rPr>
          <w:rFonts w:hint="cs"/>
          <w:sz w:val="27"/>
          <w:rtl/>
        </w:rPr>
        <w:t>د</w:t>
      </w:r>
      <w:r w:rsidR="00203E23" w:rsidRPr="00904FCB">
        <w:rPr>
          <w:rFonts w:hint="cs"/>
          <w:sz w:val="27"/>
          <w:rtl/>
        </w:rPr>
        <w:t>ْ</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التعبير</w:t>
      </w:r>
      <w:r w:rsidRPr="00904FCB">
        <w:rPr>
          <w:sz w:val="27"/>
          <w:rtl/>
        </w:rPr>
        <w:t xml:space="preserve"> </w:t>
      </w:r>
      <w:r w:rsidRPr="00904FCB">
        <w:rPr>
          <w:rFonts w:hint="cs"/>
          <w:sz w:val="27"/>
          <w:rtl/>
        </w:rPr>
        <w:t>بعنوان</w:t>
      </w:r>
      <w:r w:rsidRPr="00904FCB">
        <w:rPr>
          <w:sz w:val="27"/>
          <w:rtl/>
        </w:rPr>
        <w:t xml:space="preserve"> </w:t>
      </w:r>
      <w:r w:rsidRPr="00904FCB">
        <w:rPr>
          <w:rFonts w:hint="cs"/>
          <w:sz w:val="27"/>
          <w:rtl/>
        </w:rPr>
        <w:t>النجس</w:t>
      </w:r>
      <w:r w:rsidR="00203E23" w:rsidRPr="00904FCB">
        <w:rPr>
          <w:rFonts w:hint="cs"/>
          <w:sz w:val="27"/>
          <w:rtl/>
        </w:rPr>
        <w:t>،</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روايتين</w:t>
      </w:r>
      <w:r w:rsidR="00203E23"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إحداهما</w:t>
      </w:r>
      <w:r w:rsidRPr="00904FCB">
        <w:rPr>
          <w:sz w:val="27"/>
          <w:rtl/>
        </w:rPr>
        <w:t xml:space="preserve"> </w:t>
      </w:r>
      <w:r w:rsidRPr="00904FCB">
        <w:rPr>
          <w:rFonts w:hint="cs"/>
          <w:sz w:val="27"/>
          <w:rtl/>
        </w:rPr>
        <w:t>نقل</w:t>
      </w:r>
      <w:r w:rsidRPr="00904FCB">
        <w:rPr>
          <w:sz w:val="27"/>
          <w:rtl/>
        </w:rPr>
        <w:t xml:space="preserve"> </w:t>
      </w:r>
      <w:r w:rsidRPr="00904FCB">
        <w:rPr>
          <w:rFonts w:hint="cs"/>
          <w:sz w:val="27"/>
          <w:rtl/>
        </w:rPr>
        <w:t>الراوي</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رسول</w:t>
      </w:r>
      <w:r w:rsidRPr="00904FCB">
        <w:rPr>
          <w:sz w:val="27"/>
          <w:rtl/>
        </w:rPr>
        <w:t xml:space="preserve"> </w:t>
      </w:r>
      <w:r w:rsidRPr="00904FCB">
        <w:rPr>
          <w:rFonts w:hint="cs"/>
          <w:sz w:val="27"/>
          <w:rtl/>
        </w:rPr>
        <w:t>الله</w:t>
      </w:r>
      <w:r w:rsidR="00635E51" w:rsidRPr="00904FCB">
        <w:rPr>
          <w:rFonts w:cs="Mosawi"/>
          <w:sz w:val="27"/>
          <w:szCs w:val="22"/>
          <w:rtl/>
        </w:rPr>
        <w:t>|</w:t>
      </w:r>
      <w:r w:rsidRPr="00904FCB">
        <w:rPr>
          <w:sz w:val="27"/>
          <w:rtl/>
        </w:rPr>
        <w:t xml:space="preserve"> </w:t>
      </w:r>
      <w:r w:rsidRPr="00904FCB">
        <w:rPr>
          <w:rFonts w:hint="cs"/>
          <w:sz w:val="27"/>
          <w:rtl/>
        </w:rPr>
        <w:t>قال</w:t>
      </w:r>
      <w:r w:rsidRPr="00904FCB">
        <w:rPr>
          <w:sz w:val="27"/>
          <w:rtl/>
        </w:rPr>
        <w:t>: «</w:t>
      </w:r>
      <w:r w:rsidRPr="00904FCB">
        <w:rPr>
          <w:rFonts w:hint="cs"/>
          <w:sz w:val="27"/>
          <w:rtl/>
        </w:rPr>
        <w:t>إنّ</w:t>
      </w:r>
      <w:r w:rsidRPr="00904FCB">
        <w:rPr>
          <w:sz w:val="27"/>
          <w:rtl/>
        </w:rPr>
        <w:t xml:space="preserve"> </w:t>
      </w:r>
      <w:r w:rsidRPr="00904FCB">
        <w:rPr>
          <w:rFonts w:hint="cs"/>
          <w:sz w:val="27"/>
          <w:rtl/>
        </w:rPr>
        <w:t>الهر</w:t>
      </w:r>
      <w:r w:rsidR="00203E23" w:rsidRPr="00904FCB">
        <w:rPr>
          <w:rFonts w:hint="cs"/>
          <w:sz w:val="27"/>
          <w:rtl/>
        </w:rPr>
        <w:t>ّ</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بنجس</w:t>
      </w:r>
      <w:r w:rsidR="00203E23" w:rsidRPr="00904FCB">
        <w:rPr>
          <w:rFonts w:hint="cs"/>
          <w:sz w:val="27"/>
          <w:rtl/>
        </w:rPr>
        <w:t>ٍ</w:t>
      </w:r>
      <w:r w:rsidRPr="00904FCB">
        <w:rPr>
          <w:rFonts w:hint="eastAsia"/>
          <w:sz w:val="27"/>
          <w:rtl/>
        </w:rPr>
        <w:t>»</w:t>
      </w:r>
      <w:r w:rsidR="00203E23" w:rsidRPr="00904FCB">
        <w:rPr>
          <w:rFonts w:hint="cs"/>
          <w:sz w:val="27"/>
          <w:rtl/>
        </w:rPr>
        <w:t>؛</w:t>
      </w:r>
      <w:r w:rsidRPr="00904FCB">
        <w:rPr>
          <w:rFonts w:hint="cs"/>
          <w:sz w:val="27"/>
          <w:rtl/>
        </w:rPr>
        <w:t xml:space="preserve"> وفي</w:t>
      </w:r>
      <w:r w:rsidRPr="00904FCB">
        <w:rPr>
          <w:sz w:val="27"/>
          <w:rtl/>
        </w:rPr>
        <w:t xml:space="preserve"> </w:t>
      </w:r>
      <w:r w:rsidRPr="00904FCB">
        <w:rPr>
          <w:rFonts w:hint="cs"/>
          <w:sz w:val="27"/>
          <w:rtl/>
        </w:rPr>
        <w:t>الأخرى</w:t>
      </w:r>
      <w:r w:rsidRPr="00904FCB">
        <w:rPr>
          <w:sz w:val="27"/>
          <w:rtl/>
        </w:rPr>
        <w:t xml:space="preserve"> </w:t>
      </w:r>
      <w:r w:rsidRPr="00904FCB">
        <w:rPr>
          <w:rFonts w:hint="cs"/>
          <w:sz w:val="27"/>
          <w:rtl/>
        </w:rPr>
        <w:t>نقل</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صحابيّاً</w:t>
      </w:r>
      <w:r w:rsidRPr="00904FCB">
        <w:rPr>
          <w:sz w:val="27"/>
          <w:rtl/>
        </w:rPr>
        <w:t xml:space="preserve"> </w:t>
      </w:r>
      <w:r w:rsidRPr="00904FCB">
        <w:rPr>
          <w:rFonts w:hint="cs"/>
          <w:sz w:val="27"/>
          <w:rtl/>
        </w:rPr>
        <w:t>واجه</w:t>
      </w:r>
      <w:r w:rsidRPr="00904FCB">
        <w:rPr>
          <w:sz w:val="27"/>
          <w:rtl/>
        </w:rPr>
        <w:t xml:space="preserve"> </w:t>
      </w:r>
      <w:r w:rsidRPr="00904FCB">
        <w:rPr>
          <w:rFonts w:hint="cs"/>
          <w:sz w:val="27"/>
          <w:rtl/>
        </w:rPr>
        <w:t>النبي</w:t>
      </w:r>
      <w:r w:rsidR="00203E23" w:rsidRPr="00904FCB">
        <w:rPr>
          <w:rFonts w:hint="cs"/>
          <w:sz w:val="27"/>
          <w:rtl/>
        </w:rPr>
        <w:t>ّ</w:t>
      </w:r>
      <w:r w:rsidR="00635E51" w:rsidRPr="00904FCB">
        <w:rPr>
          <w:rFonts w:cs="Mosawi" w:hint="cs"/>
          <w:sz w:val="27"/>
          <w:szCs w:val="22"/>
          <w:rtl/>
        </w:rPr>
        <w:t>|</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جنب</w:t>
      </w:r>
      <w:r w:rsidR="00203E23" w:rsidRPr="00904FCB">
        <w:rPr>
          <w:rFonts w:hint="cs"/>
          <w:sz w:val="27"/>
          <w:rtl/>
        </w:rPr>
        <w:t>ٌ،</w:t>
      </w:r>
      <w:r w:rsidRPr="00904FCB">
        <w:rPr>
          <w:sz w:val="27"/>
          <w:rtl/>
        </w:rPr>
        <w:t xml:space="preserve"> </w:t>
      </w:r>
      <w:r w:rsidRPr="00904FCB">
        <w:rPr>
          <w:rFonts w:hint="cs"/>
          <w:sz w:val="27"/>
          <w:rtl/>
        </w:rPr>
        <w:t>فاستح</w:t>
      </w:r>
      <w:r w:rsidR="00203E23" w:rsidRPr="00904FCB">
        <w:rPr>
          <w:rFonts w:hint="cs"/>
          <w:sz w:val="27"/>
          <w:rtl/>
        </w:rPr>
        <w:t>يى،</w:t>
      </w:r>
      <w:r w:rsidRPr="00904FCB">
        <w:rPr>
          <w:sz w:val="27"/>
          <w:rtl/>
        </w:rPr>
        <w:t xml:space="preserve"> </w:t>
      </w:r>
      <w:r w:rsidRPr="00904FCB">
        <w:rPr>
          <w:rFonts w:hint="cs"/>
          <w:sz w:val="27"/>
          <w:rtl/>
        </w:rPr>
        <w:t>وذهب</w:t>
      </w:r>
      <w:r w:rsidRPr="00904FCB">
        <w:rPr>
          <w:sz w:val="27"/>
          <w:rtl/>
        </w:rPr>
        <w:t xml:space="preserve"> </w:t>
      </w:r>
      <w:r w:rsidRPr="00904FCB">
        <w:rPr>
          <w:rFonts w:hint="cs"/>
          <w:sz w:val="27"/>
          <w:rtl/>
        </w:rPr>
        <w:t>واغتسل، واعتذر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النبي</w:t>
      </w:r>
      <w:r w:rsidR="00203E23" w:rsidRPr="00904FCB">
        <w:rPr>
          <w:rFonts w:hint="cs"/>
          <w:sz w:val="27"/>
          <w:rtl/>
        </w:rPr>
        <w:t>ّ</w:t>
      </w:r>
      <w:r w:rsidRPr="00904FCB">
        <w:rPr>
          <w:rFonts w:hint="cs"/>
          <w:sz w:val="27"/>
          <w:rtl/>
        </w:rPr>
        <w:t>، فقال</w:t>
      </w:r>
      <w:r w:rsidR="00635E51" w:rsidRPr="00904FCB">
        <w:rPr>
          <w:rFonts w:cs="Mosawi"/>
          <w:sz w:val="27"/>
          <w:szCs w:val="22"/>
          <w:rtl/>
        </w:rPr>
        <w:t>|</w:t>
      </w:r>
      <w:r w:rsidRPr="00904FCB">
        <w:rPr>
          <w:sz w:val="27"/>
          <w:rtl/>
        </w:rPr>
        <w:t>: «</w:t>
      </w:r>
      <w:r w:rsidRPr="00904FCB">
        <w:rPr>
          <w:rFonts w:hint="cs"/>
          <w:sz w:val="27"/>
          <w:rtl/>
        </w:rPr>
        <w:t>سبحان</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المؤمن</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ينجس</w:t>
      </w:r>
      <w:r w:rsidRPr="00904FCB">
        <w:rPr>
          <w:rFonts w:hint="eastAsia"/>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وهذا</w:t>
      </w:r>
      <w:r w:rsidRPr="00904FCB">
        <w:rPr>
          <w:sz w:val="27"/>
          <w:rtl/>
        </w:rPr>
        <w:t xml:space="preserve"> </w:t>
      </w:r>
      <w:r w:rsidRPr="00904FCB">
        <w:rPr>
          <w:rFonts w:hint="cs"/>
          <w:sz w:val="27"/>
          <w:rtl/>
        </w:rPr>
        <w:t>يكشف</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ضآلة</w:t>
      </w:r>
      <w:r w:rsidRPr="00904FCB">
        <w:rPr>
          <w:sz w:val="27"/>
          <w:rtl/>
        </w:rPr>
        <w:t xml:space="preserve"> </w:t>
      </w:r>
      <w:r w:rsidRPr="00904FCB">
        <w:rPr>
          <w:rFonts w:hint="cs"/>
          <w:sz w:val="27"/>
          <w:rtl/>
        </w:rPr>
        <w:t>استعمال</w:t>
      </w:r>
      <w:r w:rsidRPr="00904FCB">
        <w:rPr>
          <w:sz w:val="27"/>
          <w:rtl/>
        </w:rPr>
        <w:t xml:space="preserve"> </w:t>
      </w:r>
      <w:r w:rsidRPr="00904FCB">
        <w:rPr>
          <w:rFonts w:hint="cs"/>
          <w:sz w:val="27"/>
          <w:rtl/>
        </w:rPr>
        <w:t>لفظة</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ودورانها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لسان</w:t>
      </w:r>
      <w:r w:rsidRPr="00904FCB">
        <w:rPr>
          <w:sz w:val="27"/>
          <w:rtl/>
        </w:rPr>
        <w:t xml:space="preserve"> </w:t>
      </w:r>
      <w:r w:rsidRPr="00904FCB">
        <w:rPr>
          <w:rFonts w:hint="cs"/>
          <w:sz w:val="27"/>
          <w:rtl/>
        </w:rPr>
        <w:t>الشارع، الأمر</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ينفي</w:t>
      </w:r>
      <w:r w:rsidRPr="00904FCB">
        <w:rPr>
          <w:sz w:val="27"/>
          <w:rtl/>
        </w:rPr>
        <w:t xml:space="preserve"> </w:t>
      </w:r>
      <w:r w:rsidRPr="00904FCB">
        <w:rPr>
          <w:rFonts w:hint="cs"/>
          <w:sz w:val="27"/>
          <w:rtl/>
        </w:rPr>
        <w:t>استقرار</w:t>
      </w:r>
      <w:r w:rsidRPr="00904FCB">
        <w:rPr>
          <w:sz w:val="27"/>
          <w:rtl/>
        </w:rPr>
        <w:t xml:space="preserve"> </w:t>
      </w:r>
      <w:r w:rsidRPr="00904FCB">
        <w:rPr>
          <w:rFonts w:hint="cs"/>
          <w:sz w:val="27"/>
          <w:rtl/>
        </w:rPr>
        <w:t>الاصطلاح</w:t>
      </w:r>
      <w:r w:rsidRPr="00904FCB">
        <w:rPr>
          <w:sz w:val="27"/>
          <w:rtl/>
        </w:rPr>
        <w:t xml:space="preserve"> </w:t>
      </w:r>
      <w:r w:rsidRPr="00904FCB">
        <w:rPr>
          <w:rFonts w:hint="cs"/>
          <w:sz w:val="27"/>
          <w:rtl/>
        </w:rPr>
        <w:t>الشرعي</w:t>
      </w:r>
      <w:r w:rsidRPr="00904FCB">
        <w:rPr>
          <w:sz w:val="27"/>
          <w:rtl/>
        </w:rPr>
        <w:t xml:space="preserve"> </w:t>
      </w:r>
      <w:r w:rsidRPr="00904FCB">
        <w:rPr>
          <w:rFonts w:hint="cs"/>
          <w:sz w:val="27"/>
          <w:rtl/>
        </w:rPr>
        <w:t>بشأن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اللفظة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الوجه</w:t>
      </w:r>
      <w:r w:rsidRPr="00904FCB">
        <w:rPr>
          <w:b/>
          <w:bCs/>
          <w:sz w:val="27"/>
          <w:rtl/>
        </w:rPr>
        <w:t xml:space="preserve"> </w:t>
      </w:r>
      <w:r w:rsidRPr="00904FCB">
        <w:rPr>
          <w:rFonts w:hint="cs"/>
          <w:b/>
          <w:bCs/>
          <w:sz w:val="27"/>
          <w:rtl/>
        </w:rPr>
        <w:t>الثاني</w:t>
      </w:r>
      <w:r w:rsidRPr="00904FCB">
        <w:rPr>
          <w:sz w:val="27"/>
          <w:rtl/>
        </w:rPr>
        <w:t xml:space="preserve">: </w:t>
      </w:r>
      <w:r w:rsidRPr="00904FCB">
        <w:rPr>
          <w:rFonts w:hint="cs"/>
          <w:sz w:val="27"/>
          <w:rtl/>
        </w:rPr>
        <w:t>دعوى</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الشرعيّة؛ بقرينة</w:t>
      </w:r>
      <w:r w:rsidR="00405512" w:rsidRPr="00904FCB">
        <w:rPr>
          <w:rFonts w:hint="cs"/>
          <w:sz w:val="27"/>
          <w:rtl/>
        </w:rPr>
        <w:t>ٍ</w:t>
      </w:r>
      <w:r w:rsidRPr="00904FCB">
        <w:rPr>
          <w:sz w:val="27"/>
          <w:rtl/>
        </w:rPr>
        <w:t xml:space="preserve"> </w:t>
      </w:r>
      <w:r w:rsidRPr="00904FCB">
        <w:rPr>
          <w:rFonts w:hint="cs"/>
          <w:sz w:val="27"/>
          <w:rtl/>
        </w:rPr>
        <w:t>حاليّة</w:t>
      </w:r>
      <w:r w:rsidRPr="00904FCB">
        <w:rPr>
          <w:sz w:val="27"/>
          <w:rtl/>
        </w:rPr>
        <w:t xml:space="preserve"> </w:t>
      </w:r>
      <w:r w:rsidRPr="00904FCB">
        <w:rPr>
          <w:rFonts w:hint="cs"/>
          <w:sz w:val="27"/>
          <w:rtl/>
        </w:rPr>
        <w:t>خاصّة، وهي</w:t>
      </w:r>
      <w:r w:rsidRPr="00904FCB">
        <w:rPr>
          <w:sz w:val="27"/>
          <w:rtl/>
        </w:rPr>
        <w:t xml:space="preserve"> </w:t>
      </w:r>
      <w:r w:rsidRPr="00904FCB">
        <w:rPr>
          <w:rFonts w:hint="cs"/>
          <w:sz w:val="27"/>
          <w:rtl/>
        </w:rPr>
        <w:t>ظهور</w:t>
      </w:r>
      <w:r w:rsidRPr="00904FCB">
        <w:rPr>
          <w:sz w:val="27"/>
          <w:rtl/>
        </w:rPr>
        <w:t xml:space="preserve"> </w:t>
      </w:r>
      <w:r w:rsidRPr="00904FCB">
        <w:rPr>
          <w:rFonts w:hint="cs"/>
          <w:sz w:val="27"/>
          <w:rtl/>
        </w:rPr>
        <w:t>حال</w:t>
      </w:r>
      <w:r w:rsidRPr="00904FCB">
        <w:rPr>
          <w:sz w:val="27"/>
          <w:rtl/>
        </w:rPr>
        <w:t xml:space="preserve"> </w:t>
      </w:r>
      <w:r w:rsidRPr="00904FCB">
        <w:rPr>
          <w:rFonts w:hint="cs"/>
          <w:sz w:val="27"/>
          <w:rtl/>
        </w:rPr>
        <w:t>المولى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كونه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مقام</w:t>
      </w:r>
      <w:r w:rsidRPr="00904FCB">
        <w:rPr>
          <w:sz w:val="27"/>
          <w:rtl/>
        </w:rPr>
        <w:t xml:space="preserve"> </w:t>
      </w:r>
      <w:r w:rsidRPr="00904FCB">
        <w:rPr>
          <w:rFonts w:hint="cs"/>
          <w:sz w:val="27"/>
          <w:rtl/>
        </w:rPr>
        <w:t>المولويّة</w:t>
      </w:r>
      <w:r w:rsidR="00405512" w:rsidRPr="00904FCB">
        <w:rPr>
          <w:rFonts w:hint="cs"/>
          <w:sz w:val="27"/>
          <w:rtl/>
        </w:rPr>
        <w:t>،</w:t>
      </w:r>
      <w:r w:rsidRPr="00904FCB">
        <w:rPr>
          <w:rFonts w:hint="cs"/>
          <w:sz w:val="27"/>
          <w:rtl/>
        </w:rPr>
        <w:t xml:space="preserve"> فلو</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اللفظ</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الشرعيّة</w:t>
      </w:r>
      <w:r w:rsidRPr="00904FCB">
        <w:rPr>
          <w:sz w:val="27"/>
          <w:rtl/>
        </w:rPr>
        <w:t xml:space="preserve"> </w:t>
      </w:r>
      <w:r w:rsidRPr="00904FCB">
        <w:rPr>
          <w:rFonts w:hint="cs"/>
          <w:sz w:val="27"/>
          <w:rtl/>
        </w:rPr>
        <w:t>الاعتباريّة</w:t>
      </w:r>
      <w:r w:rsidRPr="00904FCB">
        <w:rPr>
          <w:sz w:val="27"/>
          <w:rtl/>
        </w:rPr>
        <w:t xml:space="preserve"> </w:t>
      </w:r>
      <w:r w:rsidRPr="00904FCB">
        <w:rPr>
          <w:rFonts w:hint="cs"/>
          <w:sz w:val="27"/>
          <w:rtl/>
        </w:rPr>
        <w:t>لكان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إخباراً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قبل</w:t>
      </w:r>
      <w:r w:rsidRPr="00904FCB">
        <w:rPr>
          <w:sz w:val="27"/>
          <w:rtl/>
        </w:rPr>
        <w:t xml:space="preserve"> </w:t>
      </w:r>
      <w:r w:rsidRPr="00904FCB">
        <w:rPr>
          <w:rFonts w:hint="cs"/>
          <w:sz w:val="27"/>
          <w:rtl/>
        </w:rPr>
        <w:t>المولى</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أمر</w:t>
      </w:r>
      <w:r w:rsidR="00405512" w:rsidRPr="00904FCB">
        <w:rPr>
          <w:rFonts w:hint="cs"/>
          <w:sz w:val="27"/>
          <w:rtl/>
        </w:rPr>
        <w:t>ٍ</w:t>
      </w:r>
      <w:r w:rsidRPr="00904FCB">
        <w:rPr>
          <w:sz w:val="27"/>
          <w:rtl/>
        </w:rPr>
        <w:t xml:space="preserve"> </w:t>
      </w:r>
      <w:r w:rsidRPr="00904FCB">
        <w:rPr>
          <w:rFonts w:hint="cs"/>
          <w:sz w:val="27"/>
          <w:rtl/>
        </w:rPr>
        <w:t>خارجي، وهو</w:t>
      </w:r>
      <w:r w:rsidRPr="00904FCB">
        <w:rPr>
          <w:sz w:val="27"/>
          <w:rtl/>
        </w:rPr>
        <w:t xml:space="preserve"> </w:t>
      </w:r>
      <w:r w:rsidRPr="00904FCB">
        <w:rPr>
          <w:rFonts w:hint="cs"/>
          <w:sz w:val="27"/>
          <w:rtl/>
        </w:rPr>
        <w:t>خلاف</w:t>
      </w:r>
      <w:r w:rsidRPr="00904FCB">
        <w:rPr>
          <w:sz w:val="27"/>
          <w:rtl/>
        </w:rPr>
        <w:t xml:space="preserve"> </w:t>
      </w:r>
      <w:r w:rsidRPr="00904FCB">
        <w:rPr>
          <w:rFonts w:hint="cs"/>
          <w:sz w:val="27"/>
          <w:rtl/>
        </w:rPr>
        <w:t>الظهور</w:t>
      </w:r>
      <w:r w:rsidRPr="00904FCB">
        <w:rPr>
          <w:sz w:val="27"/>
          <w:rtl/>
        </w:rPr>
        <w:t xml:space="preserve"> </w:t>
      </w:r>
      <w:r w:rsidRPr="00904FCB">
        <w:rPr>
          <w:rFonts w:hint="cs"/>
          <w:sz w:val="27"/>
          <w:rtl/>
        </w:rPr>
        <w:t>الحالي</w:t>
      </w:r>
      <w:r w:rsidRPr="00904FCB">
        <w:rPr>
          <w:sz w:val="27"/>
          <w:rtl/>
        </w:rPr>
        <w:t xml:space="preserve"> </w:t>
      </w:r>
      <w:r w:rsidRPr="00904FCB">
        <w:rPr>
          <w:rFonts w:hint="cs"/>
          <w:sz w:val="27"/>
          <w:rtl/>
        </w:rPr>
        <w:t>المذكور</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وي</w:t>
      </w:r>
      <w:r w:rsidR="00405512" w:rsidRPr="00904FCB">
        <w:rPr>
          <w:rFonts w:hint="cs"/>
          <w:b/>
          <w:bCs/>
          <w:sz w:val="27"/>
          <w:rtl/>
        </w:rPr>
        <w:t>َ</w:t>
      </w:r>
      <w:r w:rsidRPr="00904FCB">
        <w:rPr>
          <w:rFonts w:hint="cs"/>
          <w:b/>
          <w:bCs/>
          <w:sz w:val="27"/>
          <w:rtl/>
        </w:rPr>
        <w:t>ر</w:t>
      </w:r>
      <w:r w:rsidR="00405512" w:rsidRPr="00904FCB">
        <w:rPr>
          <w:rFonts w:hint="cs"/>
          <w:b/>
          <w:bCs/>
          <w:sz w:val="27"/>
          <w:rtl/>
        </w:rPr>
        <w:t>ِ</w:t>
      </w:r>
      <w:r w:rsidRPr="00904FCB">
        <w:rPr>
          <w:rFonts w:hint="cs"/>
          <w:b/>
          <w:bCs/>
          <w:sz w:val="27"/>
          <w:rtl/>
        </w:rPr>
        <w:t>د</w:t>
      </w:r>
      <w:r w:rsidR="00405512" w:rsidRPr="00904FCB">
        <w:rPr>
          <w:rFonts w:hint="cs"/>
          <w:b/>
          <w:bCs/>
          <w:sz w:val="27"/>
          <w:rtl/>
        </w:rPr>
        <w:t>ُ</w:t>
      </w:r>
      <w:r w:rsidRPr="00904FCB">
        <w:rPr>
          <w:b/>
          <w:bCs/>
          <w:sz w:val="27"/>
          <w:rtl/>
        </w:rPr>
        <w:t xml:space="preserve"> </w:t>
      </w:r>
      <w:r w:rsidRPr="00904FCB">
        <w:rPr>
          <w:rFonts w:hint="cs"/>
          <w:b/>
          <w:bCs/>
          <w:sz w:val="27"/>
          <w:rtl/>
        </w:rPr>
        <w:t>عليه</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إمكان</w:t>
      </w:r>
      <w:r w:rsidRPr="00904FCB">
        <w:rPr>
          <w:sz w:val="27"/>
          <w:rtl/>
        </w:rPr>
        <w:t xml:space="preserve"> </w:t>
      </w:r>
      <w:r w:rsidRPr="00904FCB">
        <w:rPr>
          <w:rFonts w:hint="cs"/>
          <w:sz w:val="27"/>
          <w:rtl/>
        </w:rPr>
        <w:t>منع</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الظهور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القرآن</w:t>
      </w:r>
      <w:r w:rsidRPr="00904FCB">
        <w:rPr>
          <w:sz w:val="27"/>
          <w:rtl/>
        </w:rPr>
        <w:t xml:space="preserve"> </w:t>
      </w:r>
      <w:r w:rsidRPr="00904FCB">
        <w:rPr>
          <w:rFonts w:hint="cs"/>
          <w:sz w:val="27"/>
          <w:rtl/>
        </w:rPr>
        <w:t>الكريم، الذي</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أغراض</w:t>
      </w:r>
      <w:r w:rsidRPr="00904FCB">
        <w:rPr>
          <w:sz w:val="27"/>
          <w:rtl/>
        </w:rPr>
        <w:t xml:space="preserve"> </w:t>
      </w:r>
      <w:r w:rsidRPr="00904FCB">
        <w:rPr>
          <w:rFonts w:hint="cs"/>
          <w:sz w:val="27"/>
          <w:rtl/>
        </w:rPr>
        <w:t>تربويّة</w:t>
      </w:r>
      <w:r w:rsidRPr="00904FCB">
        <w:rPr>
          <w:sz w:val="27"/>
          <w:rtl/>
        </w:rPr>
        <w:t xml:space="preserve"> </w:t>
      </w:r>
      <w:r w:rsidRPr="00904FCB">
        <w:rPr>
          <w:rFonts w:hint="cs"/>
          <w:sz w:val="27"/>
          <w:rtl/>
        </w:rPr>
        <w:t>شتّى</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ذ</w:t>
      </w:r>
      <w:r w:rsidR="00405512" w:rsidRPr="00904FCB">
        <w:rPr>
          <w:rFonts w:hint="cs"/>
          <w:sz w:val="27"/>
          <w:rtl/>
        </w:rPr>
        <w:t>ُ</w:t>
      </w:r>
      <w:r w:rsidRPr="00904FCB">
        <w:rPr>
          <w:rFonts w:hint="cs"/>
          <w:sz w:val="27"/>
          <w:rtl/>
        </w:rPr>
        <w:t>كرت</w:t>
      </w:r>
      <w:r w:rsidRPr="00904FCB">
        <w:rPr>
          <w:sz w:val="27"/>
          <w:rtl/>
        </w:rPr>
        <w:t xml:space="preserve"> </w:t>
      </w:r>
      <w:r w:rsidRPr="00904FCB">
        <w:rPr>
          <w:rFonts w:hint="cs"/>
          <w:sz w:val="27"/>
          <w:rtl/>
        </w:rPr>
        <w:t>تعليلاً</w:t>
      </w:r>
      <w:r w:rsidRPr="00904FCB">
        <w:rPr>
          <w:sz w:val="27"/>
          <w:rtl/>
        </w:rPr>
        <w:t xml:space="preserve"> </w:t>
      </w:r>
      <w:r w:rsidRPr="00904FCB">
        <w:rPr>
          <w:rFonts w:hint="cs"/>
          <w:sz w:val="27"/>
          <w:rtl/>
        </w:rPr>
        <w:t>لحكم</w:t>
      </w:r>
      <w:r w:rsidR="00405512" w:rsidRPr="00904FCB">
        <w:rPr>
          <w:rFonts w:hint="cs"/>
          <w:sz w:val="27"/>
          <w:rtl/>
        </w:rPr>
        <w:t>ٍ</w:t>
      </w:r>
      <w:r w:rsidRPr="00904FCB">
        <w:rPr>
          <w:sz w:val="27"/>
          <w:rtl/>
        </w:rPr>
        <w:t xml:space="preserve"> </w:t>
      </w:r>
      <w:r w:rsidRPr="00904FCB">
        <w:rPr>
          <w:rFonts w:hint="cs"/>
          <w:sz w:val="27"/>
          <w:rtl/>
        </w:rPr>
        <w:t>شرعي، وهذا</w:t>
      </w:r>
      <w:r w:rsidRPr="00904FCB">
        <w:rPr>
          <w:sz w:val="27"/>
          <w:rtl/>
        </w:rPr>
        <w:t xml:space="preserve"> </w:t>
      </w:r>
      <w:r w:rsidRPr="00904FCB">
        <w:rPr>
          <w:rFonts w:hint="cs"/>
          <w:sz w:val="27"/>
          <w:rtl/>
        </w:rPr>
        <w:t>مناسب</w:t>
      </w:r>
      <w:r w:rsidR="00405512" w:rsidRPr="00904FCB">
        <w:rPr>
          <w:rFonts w:hint="cs"/>
          <w:sz w:val="27"/>
          <w:rtl/>
        </w:rPr>
        <w:t>ٌ</w:t>
      </w:r>
      <w:r w:rsidRPr="00904FCB">
        <w:rPr>
          <w:sz w:val="27"/>
          <w:rtl/>
        </w:rPr>
        <w:t xml:space="preserve"> </w:t>
      </w:r>
      <w:r w:rsidRPr="00904FCB">
        <w:rPr>
          <w:rFonts w:hint="cs"/>
          <w:sz w:val="27"/>
          <w:rtl/>
        </w:rPr>
        <w:lastRenderedPageBreak/>
        <w:t>لمقام</w:t>
      </w:r>
      <w:r w:rsidRPr="00904FCB">
        <w:rPr>
          <w:sz w:val="27"/>
          <w:rtl/>
        </w:rPr>
        <w:t xml:space="preserve"> </w:t>
      </w:r>
      <w:r w:rsidRPr="00904FCB">
        <w:rPr>
          <w:rFonts w:hint="cs"/>
          <w:sz w:val="27"/>
          <w:rtl/>
        </w:rPr>
        <w:t>المولويّة، سواءٌ</w:t>
      </w:r>
      <w:r w:rsidRPr="00904FCB">
        <w:rPr>
          <w:sz w:val="27"/>
          <w:rtl/>
        </w:rPr>
        <w:t xml:space="preserve"> </w:t>
      </w:r>
      <w:r w:rsidRPr="00904FCB">
        <w:rPr>
          <w:rFonts w:hint="cs"/>
          <w:sz w:val="27"/>
          <w:rtl/>
        </w:rPr>
        <w:t>أريد</w:t>
      </w:r>
      <w:r w:rsidRPr="00904FCB">
        <w:rPr>
          <w:sz w:val="27"/>
          <w:rtl/>
        </w:rPr>
        <w:t xml:space="preserve"> </w:t>
      </w:r>
      <w:r w:rsidRPr="00904FCB">
        <w:rPr>
          <w:rFonts w:hint="cs"/>
          <w:sz w:val="27"/>
          <w:rtl/>
        </w:rPr>
        <w:t>بالعلّة</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الشرعيّة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الواقعيّة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الوجه</w:t>
      </w:r>
      <w:r w:rsidRPr="00904FCB">
        <w:rPr>
          <w:b/>
          <w:bCs/>
          <w:sz w:val="27"/>
          <w:rtl/>
        </w:rPr>
        <w:t xml:space="preserve"> </w:t>
      </w:r>
      <w:r w:rsidRPr="00904FCB">
        <w:rPr>
          <w:rFonts w:hint="cs"/>
          <w:b/>
          <w:bCs/>
          <w:sz w:val="27"/>
          <w:rtl/>
        </w:rPr>
        <w:t>الثالث</w:t>
      </w:r>
      <w:r w:rsidRPr="00904FCB">
        <w:rPr>
          <w:sz w:val="27"/>
          <w:rtl/>
        </w:rPr>
        <w:t xml:space="preserve">: </w:t>
      </w:r>
      <w:r w:rsidRPr="00904FCB">
        <w:rPr>
          <w:rFonts w:hint="cs"/>
          <w:sz w:val="27"/>
          <w:rtl/>
        </w:rPr>
        <w:t>دعوى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دائرٌ</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الخارجيّة</w:t>
      </w:r>
      <w:r w:rsidRPr="00904FCB">
        <w:rPr>
          <w:sz w:val="27"/>
          <w:rtl/>
        </w:rPr>
        <w:t xml:space="preserve"> </w:t>
      </w:r>
      <w:r w:rsidRPr="00904FCB">
        <w:rPr>
          <w:rFonts w:hint="cs"/>
          <w:sz w:val="27"/>
          <w:rtl/>
        </w:rPr>
        <w:t>والقذارة</w:t>
      </w:r>
      <w:r w:rsidRPr="00904FCB">
        <w:rPr>
          <w:sz w:val="27"/>
          <w:rtl/>
        </w:rPr>
        <w:t xml:space="preserve"> </w:t>
      </w:r>
      <w:r w:rsidRPr="00904FCB">
        <w:rPr>
          <w:rFonts w:hint="cs"/>
          <w:sz w:val="27"/>
          <w:rtl/>
        </w:rPr>
        <w:t>الاعتباريّة، والأوّل</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يحتمل</w:t>
      </w:r>
      <w:r w:rsidRPr="00904FCB">
        <w:rPr>
          <w:sz w:val="27"/>
          <w:rtl/>
        </w:rPr>
        <w:t xml:space="preserve"> </w:t>
      </w:r>
      <w:r w:rsidRPr="00904FCB">
        <w:rPr>
          <w:rFonts w:hint="cs"/>
          <w:sz w:val="27"/>
          <w:rtl/>
        </w:rPr>
        <w:t>كونه</w:t>
      </w:r>
      <w:r w:rsidRPr="00904FCB">
        <w:rPr>
          <w:sz w:val="27"/>
          <w:rtl/>
        </w:rPr>
        <w:t xml:space="preserve"> </w:t>
      </w:r>
      <w:r w:rsidRPr="00904FCB">
        <w:rPr>
          <w:rFonts w:hint="cs"/>
          <w:sz w:val="27"/>
          <w:rtl/>
        </w:rPr>
        <w:t>علّة</w:t>
      </w:r>
      <w:r w:rsidR="00405512" w:rsidRPr="00904FCB">
        <w:rPr>
          <w:rFonts w:hint="cs"/>
          <w:sz w:val="27"/>
          <w:rtl/>
        </w:rPr>
        <w:t>ً</w:t>
      </w:r>
      <w:r w:rsidRPr="00904FCB">
        <w:rPr>
          <w:sz w:val="27"/>
          <w:rtl/>
        </w:rPr>
        <w:t xml:space="preserve"> </w:t>
      </w:r>
      <w:r w:rsidRPr="00904FCB">
        <w:rPr>
          <w:rFonts w:hint="cs"/>
          <w:sz w:val="27"/>
          <w:rtl/>
        </w:rPr>
        <w:t>لمنع</w:t>
      </w:r>
      <w:r w:rsidRPr="00904FCB">
        <w:rPr>
          <w:sz w:val="27"/>
          <w:rtl/>
        </w:rPr>
        <w:t xml:space="preserve"> </w:t>
      </w:r>
      <w:r w:rsidRPr="00904FCB">
        <w:rPr>
          <w:rFonts w:hint="cs"/>
          <w:sz w:val="27"/>
          <w:rtl/>
        </w:rPr>
        <w:t>المشركين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الاقتراب</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المسجد</w:t>
      </w:r>
      <w:r w:rsidRPr="00904FCB">
        <w:rPr>
          <w:sz w:val="27"/>
          <w:rtl/>
        </w:rPr>
        <w:t xml:space="preserve"> </w:t>
      </w:r>
      <w:r w:rsidRPr="00904FCB">
        <w:rPr>
          <w:rFonts w:hint="cs"/>
          <w:sz w:val="27"/>
          <w:rtl/>
        </w:rPr>
        <w:t>الحرام</w:t>
      </w:r>
      <w:r w:rsidR="00405512" w:rsidRPr="00904FCB">
        <w:rPr>
          <w:rFonts w:hint="cs"/>
          <w:sz w:val="27"/>
          <w:rtl/>
        </w:rPr>
        <w:t>؛</w:t>
      </w:r>
      <w:r w:rsidRPr="00904FCB">
        <w:rPr>
          <w:rFonts w:hint="cs"/>
          <w:sz w:val="27"/>
          <w:rtl/>
        </w:rPr>
        <w:t xml:space="preserve"> إمّا</w:t>
      </w:r>
      <w:r w:rsidRPr="00904FCB">
        <w:rPr>
          <w:sz w:val="27"/>
          <w:rtl/>
        </w:rPr>
        <w:t xml:space="preserve"> </w:t>
      </w:r>
      <w:r w:rsidRPr="00904FCB">
        <w:rPr>
          <w:rFonts w:hint="cs"/>
          <w:sz w:val="27"/>
          <w:rtl/>
        </w:rPr>
        <w:t>لوضوح</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انطباقها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كثيرٍ</w:t>
      </w:r>
      <w:r w:rsidRPr="00904FCB">
        <w:rPr>
          <w:sz w:val="27"/>
          <w:rtl/>
        </w:rPr>
        <w:t xml:space="preserve"> </w:t>
      </w:r>
      <w:r w:rsidRPr="00904FCB">
        <w:rPr>
          <w:rFonts w:hint="cs"/>
          <w:sz w:val="27"/>
          <w:rtl/>
        </w:rPr>
        <w:t>منهم</w:t>
      </w:r>
      <w:r w:rsidR="00405512" w:rsidRPr="00904FCB">
        <w:rPr>
          <w:rFonts w:hint="cs"/>
          <w:sz w:val="27"/>
          <w:rtl/>
        </w:rPr>
        <w:t>؛</w:t>
      </w:r>
      <w:r w:rsidRPr="00904FCB">
        <w:rPr>
          <w:rFonts w:hint="cs"/>
          <w:sz w:val="27"/>
          <w:rtl/>
        </w:rPr>
        <w:t xml:space="preserve"> وإمّا</w:t>
      </w:r>
      <w:r w:rsidRPr="00904FCB">
        <w:rPr>
          <w:sz w:val="27"/>
          <w:rtl/>
        </w:rPr>
        <w:t xml:space="preserve"> </w:t>
      </w:r>
      <w:r w:rsidRPr="00904FCB">
        <w:rPr>
          <w:rFonts w:hint="cs"/>
          <w:sz w:val="27"/>
          <w:rtl/>
        </w:rPr>
        <w:t>لوضوح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مجرّد</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الخارجيّة</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يوجب</w:t>
      </w:r>
      <w:r w:rsidRPr="00904FCB">
        <w:rPr>
          <w:sz w:val="27"/>
          <w:rtl/>
        </w:rPr>
        <w:t xml:space="preserve"> </w:t>
      </w:r>
      <w:r w:rsidRPr="00904FCB">
        <w:rPr>
          <w:rFonts w:hint="cs"/>
          <w:sz w:val="27"/>
          <w:rtl/>
        </w:rPr>
        <w:t>حرمة</w:t>
      </w:r>
      <w:r w:rsidRPr="00904FCB">
        <w:rPr>
          <w:sz w:val="27"/>
          <w:rtl/>
        </w:rPr>
        <w:t xml:space="preserve"> </w:t>
      </w:r>
      <w:r w:rsidRPr="00904FCB">
        <w:rPr>
          <w:rFonts w:hint="cs"/>
          <w:sz w:val="27"/>
          <w:rtl/>
        </w:rPr>
        <w:t>الاقتراب، فيتعيَّن</w:t>
      </w:r>
      <w:r w:rsidRPr="00904FCB">
        <w:rPr>
          <w:sz w:val="27"/>
          <w:rtl/>
        </w:rPr>
        <w:t xml:space="preserve"> </w:t>
      </w:r>
      <w:r w:rsidRPr="00904FCB">
        <w:rPr>
          <w:rFonts w:hint="cs"/>
          <w:sz w:val="27"/>
          <w:rtl/>
        </w:rPr>
        <w:t>الثاني</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وي</w:t>
      </w:r>
      <w:r w:rsidR="00405512" w:rsidRPr="00904FCB">
        <w:rPr>
          <w:rFonts w:hint="cs"/>
          <w:b/>
          <w:bCs/>
          <w:sz w:val="27"/>
          <w:rtl/>
        </w:rPr>
        <w:t>َ</w:t>
      </w:r>
      <w:r w:rsidRPr="00904FCB">
        <w:rPr>
          <w:rFonts w:hint="cs"/>
          <w:b/>
          <w:bCs/>
          <w:sz w:val="27"/>
          <w:rtl/>
        </w:rPr>
        <w:t>ر</w:t>
      </w:r>
      <w:r w:rsidR="00405512" w:rsidRPr="00904FCB">
        <w:rPr>
          <w:rFonts w:hint="cs"/>
          <w:b/>
          <w:bCs/>
          <w:sz w:val="27"/>
          <w:rtl/>
        </w:rPr>
        <w:t>ِ</w:t>
      </w:r>
      <w:r w:rsidRPr="00904FCB">
        <w:rPr>
          <w:rFonts w:hint="cs"/>
          <w:b/>
          <w:bCs/>
          <w:sz w:val="27"/>
          <w:rtl/>
        </w:rPr>
        <w:t>د</w:t>
      </w:r>
      <w:r w:rsidR="00405512" w:rsidRPr="00904FCB">
        <w:rPr>
          <w:rFonts w:hint="cs"/>
          <w:b/>
          <w:bCs/>
          <w:sz w:val="27"/>
          <w:rtl/>
        </w:rPr>
        <w:t>ُ</w:t>
      </w:r>
      <w:r w:rsidRPr="00904FCB">
        <w:rPr>
          <w:b/>
          <w:bCs/>
          <w:sz w:val="27"/>
          <w:rtl/>
        </w:rPr>
        <w:t xml:space="preserve"> </w:t>
      </w:r>
      <w:r w:rsidRPr="00904FCB">
        <w:rPr>
          <w:rFonts w:hint="cs"/>
          <w:b/>
          <w:bCs/>
          <w:sz w:val="27"/>
          <w:rtl/>
        </w:rPr>
        <w:t>عليه</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الى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الحمل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الثاني</w:t>
      </w:r>
      <w:r w:rsidRPr="00904FCB">
        <w:rPr>
          <w:sz w:val="27"/>
          <w:rtl/>
        </w:rPr>
        <w:t xml:space="preserve"> </w:t>
      </w:r>
      <w:r w:rsidRPr="00904FCB">
        <w:rPr>
          <w:rFonts w:hint="cs"/>
          <w:sz w:val="27"/>
          <w:rtl/>
        </w:rPr>
        <w:t>يقتضي</w:t>
      </w:r>
      <w:r w:rsidRPr="00904FCB">
        <w:rPr>
          <w:sz w:val="27"/>
          <w:rtl/>
        </w:rPr>
        <w:t xml:space="preserve"> </w:t>
      </w:r>
      <w:r w:rsidRPr="00904FCB">
        <w:rPr>
          <w:rFonts w:hint="cs"/>
          <w:sz w:val="27"/>
          <w:rtl/>
        </w:rPr>
        <w:t>أيضاً</w:t>
      </w:r>
      <w:r w:rsidRPr="00904FCB">
        <w:rPr>
          <w:sz w:val="27"/>
          <w:rtl/>
        </w:rPr>
        <w:t xml:space="preserve"> </w:t>
      </w:r>
      <w:r w:rsidRPr="00904FCB">
        <w:rPr>
          <w:rFonts w:hint="cs"/>
          <w:sz w:val="27"/>
          <w:rtl/>
        </w:rPr>
        <w:t>الالتزام</w:t>
      </w:r>
      <w:r w:rsidRPr="00904FCB">
        <w:rPr>
          <w:sz w:val="27"/>
          <w:rtl/>
        </w:rPr>
        <w:t xml:space="preserve"> </w:t>
      </w:r>
      <w:r w:rsidRPr="00904FCB">
        <w:rPr>
          <w:rFonts w:hint="cs"/>
          <w:sz w:val="27"/>
          <w:rtl/>
        </w:rPr>
        <w:t>بكون</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الشرعيّة</w:t>
      </w:r>
      <w:r w:rsidRPr="00904FCB">
        <w:rPr>
          <w:sz w:val="27"/>
          <w:rtl/>
        </w:rPr>
        <w:t xml:space="preserve"> </w:t>
      </w:r>
      <w:r w:rsidRPr="00904FCB">
        <w:rPr>
          <w:rFonts w:hint="cs"/>
          <w:sz w:val="27"/>
          <w:rtl/>
        </w:rPr>
        <w:t>لشي‏ءٍ</w:t>
      </w:r>
      <w:r w:rsidRPr="00904FCB">
        <w:rPr>
          <w:sz w:val="27"/>
          <w:rtl/>
        </w:rPr>
        <w:t xml:space="preserve"> </w:t>
      </w:r>
      <w:r w:rsidRPr="00904FCB">
        <w:rPr>
          <w:rFonts w:hint="cs"/>
          <w:sz w:val="27"/>
          <w:rtl/>
        </w:rPr>
        <w:t>مناطاً</w:t>
      </w:r>
      <w:r w:rsidRPr="00904FCB">
        <w:rPr>
          <w:sz w:val="27"/>
          <w:rtl/>
        </w:rPr>
        <w:t xml:space="preserve"> </w:t>
      </w:r>
      <w:r w:rsidRPr="00904FCB">
        <w:rPr>
          <w:rFonts w:hint="cs"/>
          <w:sz w:val="27"/>
          <w:rtl/>
        </w:rPr>
        <w:t>لحرمة</w:t>
      </w:r>
      <w:r w:rsidRPr="00904FCB">
        <w:rPr>
          <w:sz w:val="27"/>
          <w:rtl/>
        </w:rPr>
        <w:t xml:space="preserve"> </w:t>
      </w:r>
      <w:r w:rsidRPr="00904FCB">
        <w:rPr>
          <w:rFonts w:hint="cs"/>
          <w:sz w:val="27"/>
          <w:rtl/>
        </w:rPr>
        <w:t>دخوله، ولو</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يلزم</w:t>
      </w:r>
      <w:r w:rsidRPr="00904FCB">
        <w:rPr>
          <w:sz w:val="27"/>
          <w:rtl/>
        </w:rPr>
        <w:t xml:space="preserve"> </w:t>
      </w:r>
      <w:r w:rsidRPr="00904FCB">
        <w:rPr>
          <w:rFonts w:hint="cs"/>
          <w:sz w:val="27"/>
          <w:rtl/>
        </w:rPr>
        <w:t>سراية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هتك</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يوجد</w:t>
      </w:r>
      <w:r w:rsidRPr="00904FCB">
        <w:rPr>
          <w:sz w:val="27"/>
          <w:rtl/>
        </w:rPr>
        <w:t xml:space="preserve"> </w:t>
      </w:r>
      <w:r w:rsidRPr="00904FCB">
        <w:rPr>
          <w:rFonts w:hint="cs"/>
          <w:sz w:val="27"/>
          <w:rtl/>
        </w:rPr>
        <w:t>فردٌ</w:t>
      </w:r>
      <w:r w:rsidRPr="00904FCB">
        <w:rPr>
          <w:sz w:val="27"/>
          <w:rtl/>
        </w:rPr>
        <w:t xml:space="preserve"> </w:t>
      </w:r>
      <w:r w:rsidR="00405512" w:rsidRPr="00904FCB">
        <w:rPr>
          <w:rFonts w:hint="cs"/>
          <w:sz w:val="27"/>
          <w:rtl/>
        </w:rPr>
        <w:t>معنويّ</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الخارجيّة</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تقدّ</w:t>
      </w:r>
      <w:r w:rsidR="00405512" w:rsidRPr="00904FCB">
        <w:rPr>
          <w:rFonts w:hint="cs"/>
          <w:sz w:val="27"/>
          <w:rtl/>
        </w:rPr>
        <w:t>َ</w:t>
      </w:r>
      <w:r w:rsidRPr="00904FCB">
        <w:rPr>
          <w:rFonts w:hint="cs"/>
          <w:sz w:val="27"/>
          <w:rtl/>
        </w:rPr>
        <w:t>م، والحمل</w:t>
      </w:r>
      <w:r w:rsidRPr="00904FCB">
        <w:rPr>
          <w:sz w:val="27"/>
          <w:rtl/>
        </w:rPr>
        <w:t xml:space="preserve"> </w:t>
      </w:r>
      <w:r w:rsidRPr="00904FCB">
        <w:rPr>
          <w:rFonts w:hint="cs"/>
          <w:sz w:val="27"/>
          <w:rtl/>
        </w:rPr>
        <w:t>عليه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w:t>
      </w:r>
      <w:r w:rsidR="00405512" w:rsidRPr="00904FCB">
        <w:rPr>
          <w:rFonts w:hint="cs"/>
          <w:sz w:val="27"/>
          <w:rtl/>
        </w:rPr>
        <w:t>َ</w:t>
      </w:r>
      <w:r w:rsidRPr="00904FCB">
        <w:rPr>
          <w:rFonts w:hint="cs"/>
          <w:sz w:val="27"/>
          <w:rtl/>
        </w:rPr>
        <w:t>ر</w:t>
      </w:r>
      <w:r w:rsidR="00405512" w:rsidRPr="00904FCB">
        <w:rPr>
          <w:rFonts w:hint="cs"/>
          <w:sz w:val="27"/>
          <w:rtl/>
        </w:rPr>
        <w:t>ِ</w:t>
      </w:r>
      <w:r w:rsidRPr="00904FCB">
        <w:rPr>
          <w:rFonts w:hint="cs"/>
          <w:sz w:val="27"/>
          <w:rtl/>
        </w:rPr>
        <w:t>د</w:t>
      </w:r>
      <w:r w:rsidR="00405512" w:rsidRPr="00904FCB">
        <w:rPr>
          <w:rFonts w:hint="cs"/>
          <w:sz w:val="27"/>
          <w:rtl/>
        </w:rPr>
        <w:t>ُ</w:t>
      </w:r>
      <w:r w:rsidRPr="00904FCB">
        <w:rPr>
          <w:sz w:val="27"/>
          <w:rtl/>
        </w:rPr>
        <w:t xml:space="preserve"> </w:t>
      </w:r>
      <w:r w:rsidRPr="00904FCB">
        <w:rPr>
          <w:rFonts w:hint="cs"/>
          <w:sz w:val="27"/>
          <w:rtl/>
        </w:rPr>
        <w:t>عليه</w:t>
      </w:r>
      <w:r w:rsidRPr="00904FCB">
        <w:rPr>
          <w:sz w:val="27"/>
          <w:rtl/>
        </w:rPr>
        <w:t xml:space="preserve"> </w:t>
      </w:r>
      <w:r w:rsidRPr="00904FCB">
        <w:rPr>
          <w:rFonts w:hint="cs"/>
          <w:sz w:val="27"/>
          <w:rtl/>
        </w:rPr>
        <w:t>الإشكال</w:t>
      </w:r>
      <w:r w:rsidRPr="00904FCB">
        <w:rPr>
          <w:sz w:val="27"/>
          <w:rtl/>
        </w:rPr>
        <w:t xml:space="preserve"> </w:t>
      </w:r>
      <w:r w:rsidRPr="00904FCB">
        <w:rPr>
          <w:rFonts w:hint="cs"/>
          <w:sz w:val="27"/>
          <w:rtl/>
        </w:rPr>
        <w:t>المذكور</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ثم</w:t>
      </w:r>
      <w:r w:rsidRPr="00904FCB">
        <w:rPr>
          <w:sz w:val="27"/>
          <w:rtl/>
        </w:rPr>
        <w:t xml:space="preserve"> </w:t>
      </w:r>
      <w:r w:rsidRPr="00904FCB">
        <w:rPr>
          <w:rFonts w:hint="cs"/>
          <w:sz w:val="27"/>
          <w:rtl/>
        </w:rPr>
        <w:t>إنّه</w:t>
      </w:r>
      <w:r w:rsidRPr="00904FCB">
        <w:rPr>
          <w:sz w:val="27"/>
          <w:rtl/>
        </w:rPr>
        <w:t xml:space="preserve"> </w:t>
      </w:r>
      <w:r w:rsidRPr="00904FCB">
        <w:rPr>
          <w:rFonts w:hint="cs"/>
          <w:sz w:val="27"/>
          <w:rtl/>
        </w:rPr>
        <w:t>يوجد</w:t>
      </w:r>
      <w:r w:rsidRPr="00904FCB">
        <w:rPr>
          <w:sz w:val="27"/>
          <w:rtl/>
        </w:rPr>
        <w:t xml:space="preserve"> </w:t>
      </w:r>
      <w:r w:rsidRPr="00904FCB">
        <w:rPr>
          <w:rFonts w:hint="cs"/>
          <w:sz w:val="27"/>
          <w:rtl/>
        </w:rPr>
        <w:t>مبعّ</w:t>
      </w:r>
      <w:r w:rsidR="00405512" w:rsidRPr="00904FCB">
        <w:rPr>
          <w:rFonts w:hint="cs"/>
          <w:sz w:val="27"/>
          <w:rtl/>
        </w:rPr>
        <w:t>ِ</w:t>
      </w:r>
      <w:r w:rsidRPr="00904FCB">
        <w:rPr>
          <w:rFonts w:hint="cs"/>
          <w:sz w:val="27"/>
          <w:rtl/>
        </w:rPr>
        <w:t>دٌ</w:t>
      </w:r>
      <w:r w:rsidRPr="00904FCB">
        <w:rPr>
          <w:sz w:val="27"/>
          <w:rtl/>
        </w:rPr>
        <w:t xml:space="preserve"> </w:t>
      </w:r>
      <w:r w:rsidRPr="00904FCB">
        <w:rPr>
          <w:rFonts w:hint="cs"/>
          <w:sz w:val="27"/>
          <w:rtl/>
        </w:rPr>
        <w:t>لما</w:t>
      </w:r>
      <w:r w:rsidRPr="00904FCB">
        <w:rPr>
          <w:sz w:val="27"/>
          <w:rtl/>
        </w:rPr>
        <w:t xml:space="preserve"> </w:t>
      </w:r>
      <w:r w:rsidRPr="00904FCB">
        <w:rPr>
          <w:rFonts w:hint="cs"/>
          <w:sz w:val="27"/>
          <w:rtl/>
        </w:rPr>
        <w:t>تدّ</w:t>
      </w:r>
      <w:r w:rsidR="00405512" w:rsidRPr="00904FCB">
        <w:rPr>
          <w:rFonts w:hint="cs"/>
          <w:sz w:val="27"/>
          <w:rtl/>
        </w:rPr>
        <w:t>َ</w:t>
      </w:r>
      <w:r w:rsidRPr="00904FCB">
        <w:rPr>
          <w:rFonts w:hint="cs"/>
          <w:sz w:val="27"/>
          <w:rtl/>
        </w:rPr>
        <w:t>عيه</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الوجوه</w:t>
      </w:r>
      <w:r w:rsidRPr="00904FCB">
        <w:rPr>
          <w:sz w:val="27"/>
          <w:rtl/>
        </w:rPr>
        <w:t xml:space="preserve"> </w:t>
      </w:r>
      <w:r w:rsidRPr="00904FCB">
        <w:rPr>
          <w:rFonts w:hint="cs"/>
          <w:sz w:val="27"/>
          <w:rtl/>
        </w:rPr>
        <w:t>الثلاثة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الحمل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الاعتباريّة، وهو</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الكريمة</w:t>
      </w:r>
      <w:r w:rsidRPr="00904FCB">
        <w:rPr>
          <w:sz w:val="27"/>
          <w:rtl/>
        </w:rPr>
        <w:t xml:space="preserve"> </w:t>
      </w:r>
      <w:r w:rsidRPr="00904FCB">
        <w:rPr>
          <w:rFonts w:hint="cs"/>
          <w:sz w:val="27"/>
          <w:rtl/>
        </w:rPr>
        <w:t>سيقت</w:t>
      </w:r>
      <w:r w:rsidRPr="00904FCB">
        <w:rPr>
          <w:sz w:val="27"/>
          <w:rtl/>
        </w:rPr>
        <w:t xml:space="preserve"> </w:t>
      </w:r>
      <w:r w:rsidRPr="00904FCB">
        <w:rPr>
          <w:rFonts w:hint="cs"/>
          <w:sz w:val="27"/>
          <w:rtl/>
        </w:rPr>
        <w:t>مساق</w:t>
      </w:r>
      <w:r w:rsidRPr="00904FCB">
        <w:rPr>
          <w:sz w:val="27"/>
          <w:rtl/>
        </w:rPr>
        <w:t xml:space="preserve"> </w:t>
      </w:r>
      <w:r w:rsidRPr="00904FCB">
        <w:rPr>
          <w:rFonts w:hint="cs"/>
          <w:sz w:val="27"/>
          <w:rtl/>
        </w:rPr>
        <w:t>حصر</w:t>
      </w:r>
      <w:r w:rsidRPr="00904FCB">
        <w:rPr>
          <w:sz w:val="27"/>
          <w:rtl/>
        </w:rPr>
        <w:t xml:space="preserve"> </w:t>
      </w:r>
      <w:r w:rsidRPr="00904FCB">
        <w:rPr>
          <w:rFonts w:hint="cs"/>
          <w:sz w:val="27"/>
          <w:rtl/>
        </w:rPr>
        <w:t>حقيقة</w:t>
      </w:r>
      <w:r w:rsidRPr="00904FCB">
        <w:rPr>
          <w:sz w:val="27"/>
          <w:rtl/>
        </w:rPr>
        <w:t xml:space="preserve"> </w:t>
      </w:r>
      <w:r w:rsidRPr="00904FCB">
        <w:rPr>
          <w:rFonts w:hint="cs"/>
          <w:sz w:val="27"/>
          <w:rtl/>
        </w:rPr>
        <w:t>المشركين</w:t>
      </w:r>
      <w:r w:rsidRPr="00904FCB">
        <w:rPr>
          <w:sz w:val="27"/>
          <w:rtl/>
        </w:rPr>
        <w:t xml:space="preserve"> </w:t>
      </w:r>
      <w:r w:rsidRPr="00904FCB">
        <w:rPr>
          <w:rFonts w:hint="cs"/>
          <w:sz w:val="27"/>
          <w:rtl/>
        </w:rPr>
        <w:t>بأنّهم</w:t>
      </w:r>
      <w:r w:rsidRPr="00904FCB">
        <w:rPr>
          <w:sz w:val="27"/>
          <w:rtl/>
        </w:rPr>
        <w:t xml:space="preserve"> </w:t>
      </w:r>
      <w:r w:rsidRPr="00904FCB">
        <w:rPr>
          <w:rFonts w:hint="cs"/>
          <w:sz w:val="27"/>
          <w:rtl/>
        </w:rPr>
        <w:t>نجس</w:t>
      </w:r>
      <w:r w:rsidR="00510CE0" w:rsidRPr="00904FCB">
        <w:rPr>
          <w:rFonts w:hint="cs"/>
          <w:sz w:val="27"/>
          <w:rtl/>
        </w:rPr>
        <w:t>؛</w:t>
      </w:r>
      <w:r w:rsidRPr="00904FCB">
        <w:rPr>
          <w:sz w:val="27"/>
          <w:rtl/>
        </w:rPr>
        <w:t xml:space="preserve"> </w:t>
      </w:r>
      <w:r w:rsidRPr="00904FCB">
        <w:rPr>
          <w:rFonts w:hint="cs"/>
          <w:sz w:val="27"/>
          <w:rtl/>
        </w:rPr>
        <w:t>بلحاظ</w:t>
      </w:r>
      <w:r w:rsidRPr="00904FCB">
        <w:rPr>
          <w:sz w:val="27"/>
          <w:rtl/>
        </w:rPr>
        <w:t xml:space="preserve"> </w:t>
      </w:r>
      <w:r w:rsidRPr="00904FCB">
        <w:rPr>
          <w:rFonts w:hint="cs"/>
          <w:sz w:val="27"/>
          <w:rtl/>
        </w:rPr>
        <w:t>أداة</w:t>
      </w:r>
      <w:r w:rsidRPr="00904FCB">
        <w:rPr>
          <w:sz w:val="27"/>
          <w:rtl/>
        </w:rPr>
        <w:t xml:space="preserve"> </w:t>
      </w:r>
      <w:r w:rsidRPr="00904FCB">
        <w:rPr>
          <w:rFonts w:hint="cs"/>
          <w:sz w:val="27"/>
          <w:rtl/>
        </w:rPr>
        <w:t>الحصر، فكأنّه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حقيقة</w:t>
      </w:r>
      <w:r w:rsidRPr="00904FCB">
        <w:rPr>
          <w:sz w:val="27"/>
          <w:rtl/>
        </w:rPr>
        <w:t xml:space="preserve"> </w:t>
      </w:r>
      <w:r w:rsidRPr="00904FCB">
        <w:rPr>
          <w:rFonts w:hint="cs"/>
          <w:sz w:val="27"/>
          <w:rtl/>
        </w:rPr>
        <w:t>لهم</w:t>
      </w:r>
      <w:r w:rsidRPr="00904FCB">
        <w:rPr>
          <w:sz w:val="27"/>
          <w:rtl/>
        </w:rPr>
        <w:t xml:space="preserve"> </w:t>
      </w:r>
      <w:r w:rsidRPr="00904FCB">
        <w:rPr>
          <w:rFonts w:hint="cs"/>
          <w:sz w:val="27"/>
          <w:rtl/>
        </w:rPr>
        <w:t>سوى</w:t>
      </w:r>
      <w:r w:rsidRPr="00904FCB">
        <w:rPr>
          <w:sz w:val="27"/>
          <w:rtl/>
        </w:rPr>
        <w:t xml:space="preserve"> </w:t>
      </w:r>
      <w:r w:rsidRPr="00904FCB">
        <w:rPr>
          <w:rFonts w:hint="cs"/>
          <w:sz w:val="27"/>
          <w:rtl/>
        </w:rPr>
        <w:t>ذلك، وهذا</w:t>
      </w:r>
      <w:r w:rsidRPr="00904FCB">
        <w:rPr>
          <w:sz w:val="27"/>
          <w:rtl/>
        </w:rPr>
        <w:t xml:space="preserve"> </w:t>
      </w:r>
      <w:r w:rsidRPr="00904FCB">
        <w:rPr>
          <w:rFonts w:hint="cs"/>
          <w:sz w:val="27"/>
          <w:rtl/>
        </w:rPr>
        <w:t>إنّما</w:t>
      </w:r>
      <w:r w:rsidRPr="00904FCB">
        <w:rPr>
          <w:sz w:val="27"/>
          <w:rtl/>
        </w:rPr>
        <w:t xml:space="preserve"> </w:t>
      </w:r>
      <w:r w:rsidRPr="00904FCB">
        <w:rPr>
          <w:rFonts w:hint="cs"/>
          <w:sz w:val="27"/>
          <w:rtl/>
        </w:rPr>
        <w:t>يناسب</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الحقيقيّة</w:t>
      </w:r>
      <w:r w:rsidRPr="00904FCB">
        <w:rPr>
          <w:sz w:val="27"/>
          <w:rtl/>
        </w:rPr>
        <w:t xml:space="preserve"> </w:t>
      </w:r>
      <w:r w:rsidRPr="00904FCB">
        <w:rPr>
          <w:rFonts w:hint="cs"/>
          <w:sz w:val="27"/>
          <w:rtl/>
        </w:rPr>
        <w:t>المعنويّة</w:t>
      </w:r>
      <w:r w:rsidR="00510CE0" w:rsidRPr="00904FCB">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الاعتباريّة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الوجه</w:t>
      </w:r>
      <w:r w:rsidRPr="00904FCB">
        <w:rPr>
          <w:b/>
          <w:bCs/>
          <w:sz w:val="27"/>
          <w:rtl/>
        </w:rPr>
        <w:t xml:space="preserve"> </w:t>
      </w:r>
      <w:r w:rsidRPr="00904FCB">
        <w:rPr>
          <w:rFonts w:hint="cs"/>
          <w:b/>
          <w:bCs/>
          <w:sz w:val="27"/>
          <w:rtl/>
        </w:rPr>
        <w:t>الرابع</w:t>
      </w:r>
      <w:r w:rsidRPr="00904FCB">
        <w:rPr>
          <w:sz w:val="27"/>
          <w:rtl/>
        </w:rPr>
        <w:t xml:space="preserve">: </w:t>
      </w:r>
      <w:r w:rsidRPr="00904FCB">
        <w:rPr>
          <w:rFonts w:hint="cs"/>
          <w:sz w:val="27"/>
          <w:rtl/>
        </w:rPr>
        <w:t>دعوى</w:t>
      </w:r>
      <w:r w:rsidRPr="00904FCB">
        <w:rPr>
          <w:sz w:val="27"/>
          <w:rtl/>
        </w:rPr>
        <w:t xml:space="preserve"> </w:t>
      </w:r>
      <w:r w:rsidRPr="00904FCB">
        <w:rPr>
          <w:rFonts w:hint="cs"/>
          <w:sz w:val="27"/>
          <w:rtl/>
        </w:rPr>
        <w:t>الإطلاق</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كلمة</w:t>
      </w:r>
      <w:r w:rsidRPr="00904FCB">
        <w:rPr>
          <w:sz w:val="27"/>
          <w:rtl/>
        </w:rPr>
        <w:t xml:space="preserve"> «</w:t>
      </w:r>
      <w:r w:rsidRPr="00904FCB">
        <w:rPr>
          <w:rFonts w:hint="cs"/>
          <w:sz w:val="27"/>
          <w:rtl/>
        </w:rPr>
        <w:t>نجس</w:t>
      </w:r>
      <w:r w:rsidRPr="00904FCB">
        <w:rPr>
          <w:rFonts w:hint="eastAsia"/>
          <w:sz w:val="27"/>
          <w:rtl/>
        </w:rPr>
        <w:t>»</w:t>
      </w:r>
      <w:r w:rsidR="00510CE0" w:rsidRPr="00904FCB">
        <w:rPr>
          <w:rFonts w:hint="cs"/>
          <w:sz w:val="27"/>
          <w:rtl/>
        </w:rPr>
        <w:t xml:space="preserve">، </w:t>
      </w:r>
      <w:r w:rsidRPr="00904FCB">
        <w:rPr>
          <w:rFonts w:hint="cs"/>
          <w:sz w:val="27"/>
          <w:rtl/>
        </w:rPr>
        <w:t>وأنّه</w:t>
      </w:r>
      <w:r w:rsidRPr="00904FCB">
        <w:rPr>
          <w:sz w:val="27"/>
          <w:rtl/>
        </w:rPr>
        <w:t xml:space="preserve"> </w:t>
      </w:r>
      <w:r w:rsidRPr="00904FCB">
        <w:rPr>
          <w:rFonts w:hint="cs"/>
          <w:sz w:val="27"/>
          <w:rtl/>
        </w:rPr>
        <w:t>بالإطلاق</w:t>
      </w:r>
      <w:r w:rsidRPr="00904FCB">
        <w:rPr>
          <w:sz w:val="27"/>
          <w:rtl/>
        </w:rPr>
        <w:t xml:space="preserve"> </w:t>
      </w:r>
      <w:r w:rsidRPr="00904FCB">
        <w:rPr>
          <w:rFonts w:hint="cs"/>
          <w:sz w:val="27"/>
          <w:rtl/>
        </w:rPr>
        <w:t>تدلّ</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الكريمة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بتمام</w:t>
      </w:r>
      <w:r w:rsidRPr="00904FCB">
        <w:rPr>
          <w:sz w:val="27"/>
          <w:rtl/>
        </w:rPr>
        <w:t xml:space="preserve"> </w:t>
      </w:r>
      <w:r w:rsidRPr="00904FCB">
        <w:rPr>
          <w:rFonts w:hint="cs"/>
          <w:sz w:val="27"/>
          <w:rtl/>
        </w:rPr>
        <w:t>شؤونه</w:t>
      </w:r>
      <w:r w:rsidRPr="00904FCB">
        <w:rPr>
          <w:sz w:val="27"/>
          <w:rtl/>
        </w:rPr>
        <w:t xml:space="preserve"> </w:t>
      </w:r>
      <w:r w:rsidRPr="00904FCB">
        <w:rPr>
          <w:rFonts w:hint="cs"/>
          <w:sz w:val="27"/>
          <w:rtl/>
        </w:rPr>
        <w:t>ومراتبه</w:t>
      </w:r>
      <w:r w:rsidR="00510CE0" w:rsidRPr="00904FCB">
        <w:rPr>
          <w:rFonts w:hint="cs"/>
          <w:sz w:val="27"/>
          <w:rtl/>
        </w:rPr>
        <w:t>،</w:t>
      </w:r>
      <w:r w:rsidRPr="00904FCB">
        <w:rPr>
          <w:sz w:val="27"/>
          <w:rtl/>
        </w:rPr>
        <w:t xml:space="preserve"> </w:t>
      </w:r>
      <w:r w:rsidRPr="00904FCB">
        <w:rPr>
          <w:rFonts w:hint="cs"/>
          <w:sz w:val="27"/>
          <w:rtl/>
        </w:rPr>
        <w:t>ن</w:t>
      </w:r>
      <w:r w:rsidR="00510CE0" w:rsidRPr="00904FCB">
        <w:rPr>
          <w:rFonts w:hint="cs"/>
          <w:sz w:val="27"/>
          <w:rtl/>
        </w:rPr>
        <w:t>َ</w:t>
      </w:r>
      <w:r w:rsidRPr="00904FCB">
        <w:rPr>
          <w:rFonts w:hint="cs"/>
          <w:sz w:val="27"/>
          <w:rtl/>
        </w:rPr>
        <w:t>ف</w:t>
      </w:r>
      <w:r w:rsidR="00510CE0" w:rsidRPr="00904FCB">
        <w:rPr>
          <w:rFonts w:hint="cs"/>
          <w:sz w:val="27"/>
          <w:rtl/>
        </w:rPr>
        <w:t>ْ</w:t>
      </w:r>
      <w:r w:rsidRPr="00904FCB">
        <w:rPr>
          <w:rFonts w:hint="cs"/>
          <w:sz w:val="27"/>
          <w:rtl/>
        </w:rPr>
        <w:t>ساً</w:t>
      </w:r>
      <w:r w:rsidRPr="00904FCB">
        <w:rPr>
          <w:sz w:val="27"/>
          <w:rtl/>
        </w:rPr>
        <w:t xml:space="preserve"> </w:t>
      </w:r>
      <w:r w:rsidRPr="00904FCB">
        <w:rPr>
          <w:rFonts w:hint="cs"/>
          <w:sz w:val="27"/>
          <w:rtl/>
        </w:rPr>
        <w:t>وب</w:t>
      </w:r>
      <w:r w:rsidR="00510CE0" w:rsidRPr="00904FCB">
        <w:rPr>
          <w:rFonts w:hint="cs"/>
          <w:sz w:val="27"/>
          <w:rtl/>
        </w:rPr>
        <w:t>َ</w:t>
      </w:r>
      <w:r w:rsidRPr="00904FCB">
        <w:rPr>
          <w:rFonts w:hint="cs"/>
          <w:sz w:val="27"/>
          <w:rtl/>
        </w:rPr>
        <w:t>د</w:t>
      </w:r>
      <w:r w:rsidR="00510CE0" w:rsidRPr="00904FCB">
        <w:rPr>
          <w:rFonts w:hint="cs"/>
          <w:sz w:val="27"/>
          <w:rtl/>
        </w:rPr>
        <w:t>َ</w:t>
      </w:r>
      <w:r w:rsidRPr="00904FCB">
        <w:rPr>
          <w:rFonts w:hint="cs"/>
          <w:sz w:val="27"/>
          <w:rtl/>
        </w:rPr>
        <w:t>ناً، فتثبت</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المعنويّة</w:t>
      </w:r>
      <w:r w:rsidRPr="00904FCB">
        <w:rPr>
          <w:sz w:val="27"/>
          <w:rtl/>
        </w:rPr>
        <w:t xml:space="preserve"> </w:t>
      </w:r>
      <w:r w:rsidRPr="00904FCB">
        <w:rPr>
          <w:rFonts w:hint="cs"/>
          <w:sz w:val="27"/>
          <w:rtl/>
        </w:rPr>
        <w:t>والجسميّة</w:t>
      </w:r>
      <w:r w:rsidRPr="00904FCB">
        <w:rPr>
          <w:sz w:val="27"/>
          <w:rtl/>
        </w:rPr>
        <w:t xml:space="preserve">. </w:t>
      </w:r>
      <w:r w:rsidRPr="00904FCB">
        <w:rPr>
          <w:rFonts w:hint="cs"/>
          <w:sz w:val="27"/>
          <w:rtl/>
        </w:rPr>
        <w:t>وبعد</w:t>
      </w:r>
      <w:r w:rsidRPr="00904FCB">
        <w:rPr>
          <w:sz w:val="27"/>
          <w:rtl/>
        </w:rPr>
        <w:t xml:space="preserve"> </w:t>
      </w:r>
      <w:r w:rsidRPr="00904FCB">
        <w:rPr>
          <w:rFonts w:hint="cs"/>
          <w:sz w:val="27"/>
          <w:rtl/>
        </w:rPr>
        <w:t>معلوميّة</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الجسميّة</w:t>
      </w:r>
      <w:r w:rsidRPr="00904FCB">
        <w:rPr>
          <w:sz w:val="27"/>
          <w:rtl/>
        </w:rPr>
        <w:t xml:space="preserve"> </w:t>
      </w:r>
      <w:r w:rsidRPr="00904FCB">
        <w:rPr>
          <w:rFonts w:hint="cs"/>
          <w:sz w:val="27"/>
          <w:rtl/>
        </w:rPr>
        <w:t>الحس</w:t>
      </w:r>
      <w:r w:rsidR="00510CE0" w:rsidRPr="00904FCB">
        <w:rPr>
          <w:rFonts w:hint="cs"/>
          <w:sz w:val="27"/>
          <w:rtl/>
        </w:rPr>
        <w:t>ّ</w:t>
      </w:r>
      <w:r w:rsidRPr="00904FCB">
        <w:rPr>
          <w:rFonts w:hint="cs"/>
          <w:sz w:val="27"/>
          <w:rtl/>
        </w:rPr>
        <w:t>يّة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بدن</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تحمل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البدن</w:t>
      </w:r>
      <w:r w:rsidRPr="00904FCB">
        <w:rPr>
          <w:sz w:val="27"/>
          <w:rtl/>
        </w:rPr>
        <w:t xml:space="preserve"> </w:t>
      </w:r>
      <w:r w:rsidRPr="00904FCB">
        <w:rPr>
          <w:rFonts w:hint="cs"/>
          <w:sz w:val="27"/>
          <w:rtl/>
        </w:rPr>
        <w:t>الاعتباريّة؛ فليس</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دائراً</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النفس</w:t>
      </w:r>
      <w:r w:rsidRPr="00904FCB">
        <w:rPr>
          <w:sz w:val="27"/>
          <w:rtl/>
        </w:rPr>
        <w:t xml:space="preserve"> </w:t>
      </w:r>
      <w:r w:rsidRPr="00904FCB">
        <w:rPr>
          <w:rFonts w:hint="cs"/>
          <w:sz w:val="27"/>
          <w:rtl/>
        </w:rPr>
        <w:t>ونجاسة</w:t>
      </w:r>
      <w:r w:rsidRPr="00904FCB">
        <w:rPr>
          <w:sz w:val="27"/>
          <w:rtl/>
        </w:rPr>
        <w:t xml:space="preserve"> </w:t>
      </w:r>
      <w:r w:rsidRPr="00904FCB">
        <w:rPr>
          <w:rFonts w:hint="cs"/>
          <w:sz w:val="27"/>
          <w:rtl/>
        </w:rPr>
        <w:t>البدن</w:t>
      </w:r>
      <w:r w:rsidRPr="00904FCB">
        <w:rPr>
          <w:sz w:val="27"/>
          <w:rtl/>
        </w:rPr>
        <w:t xml:space="preserve"> </w:t>
      </w:r>
      <w:r w:rsidRPr="00904FCB">
        <w:rPr>
          <w:rFonts w:hint="cs"/>
          <w:sz w:val="27"/>
          <w:rtl/>
        </w:rPr>
        <w:t>لي</w:t>
      </w:r>
      <w:r w:rsidR="00510CE0" w:rsidRPr="00904FCB">
        <w:rPr>
          <w:rFonts w:hint="cs"/>
          <w:sz w:val="27"/>
          <w:rtl/>
        </w:rPr>
        <w:t>ُ</w:t>
      </w:r>
      <w:r w:rsidRPr="00904FCB">
        <w:rPr>
          <w:rFonts w:hint="cs"/>
          <w:sz w:val="27"/>
          <w:rtl/>
        </w:rPr>
        <w:t>دّ</w:t>
      </w:r>
      <w:r w:rsidR="00510CE0" w:rsidRPr="00904FCB">
        <w:rPr>
          <w:rFonts w:hint="cs"/>
          <w:sz w:val="27"/>
          <w:rtl/>
        </w:rPr>
        <w:t>َ</w:t>
      </w:r>
      <w:r w:rsidRPr="00904FCB">
        <w:rPr>
          <w:rFonts w:hint="cs"/>
          <w:sz w:val="27"/>
          <w:rtl/>
        </w:rPr>
        <w:t>عى</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تعيّ</w:t>
      </w:r>
      <w:r w:rsidR="00510CE0" w:rsidRPr="00904FCB">
        <w:rPr>
          <w:rFonts w:hint="cs"/>
          <w:sz w:val="27"/>
          <w:rtl/>
        </w:rPr>
        <w:t>ُ</w:t>
      </w:r>
      <w:r w:rsidRPr="00904FCB">
        <w:rPr>
          <w:rFonts w:hint="cs"/>
          <w:sz w:val="27"/>
          <w:rtl/>
        </w:rPr>
        <w:t>ن</w:t>
      </w:r>
      <w:r w:rsidRPr="00904FCB">
        <w:rPr>
          <w:sz w:val="27"/>
          <w:rtl/>
        </w:rPr>
        <w:t xml:space="preserve"> </w:t>
      </w:r>
      <w:r w:rsidRPr="00904FCB">
        <w:rPr>
          <w:rFonts w:hint="cs"/>
          <w:sz w:val="27"/>
          <w:rtl/>
        </w:rPr>
        <w:t>الثاني، بل</w:t>
      </w:r>
      <w:r w:rsidRPr="00904FCB">
        <w:rPr>
          <w:sz w:val="27"/>
          <w:rtl/>
        </w:rPr>
        <w:t xml:space="preserve"> </w:t>
      </w:r>
      <w:r w:rsidRPr="00904FCB">
        <w:rPr>
          <w:rFonts w:hint="cs"/>
          <w:sz w:val="27"/>
          <w:rtl/>
        </w:rPr>
        <w:t>الإطلاق</w:t>
      </w:r>
      <w:r w:rsidRPr="00904FCB">
        <w:rPr>
          <w:sz w:val="27"/>
          <w:rtl/>
        </w:rPr>
        <w:t xml:space="preserve"> </w:t>
      </w:r>
      <w:r w:rsidRPr="00904FCB">
        <w:rPr>
          <w:rFonts w:hint="cs"/>
          <w:sz w:val="27"/>
          <w:rtl/>
        </w:rPr>
        <w:t>كفيل</w:t>
      </w:r>
      <w:r w:rsidR="00510CE0" w:rsidRPr="00904FCB">
        <w:rPr>
          <w:rFonts w:hint="cs"/>
          <w:sz w:val="27"/>
          <w:rtl/>
        </w:rPr>
        <w:t>ٌ</w:t>
      </w:r>
      <w:r w:rsidRPr="00904FCB">
        <w:rPr>
          <w:sz w:val="27"/>
          <w:rtl/>
        </w:rPr>
        <w:t xml:space="preserve"> </w:t>
      </w:r>
      <w:r w:rsidRPr="00904FCB">
        <w:rPr>
          <w:rFonts w:hint="cs"/>
          <w:sz w:val="27"/>
          <w:rtl/>
        </w:rPr>
        <w:t>ب</w:t>
      </w:r>
      <w:r w:rsidR="00510CE0" w:rsidRPr="00904FCB">
        <w:rPr>
          <w:rFonts w:hint="cs"/>
          <w:sz w:val="27"/>
          <w:rtl/>
        </w:rPr>
        <w:t>إ</w:t>
      </w:r>
      <w:r w:rsidRPr="00904FCB">
        <w:rPr>
          <w:rFonts w:hint="cs"/>
          <w:sz w:val="27"/>
          <w:rtl/>
        </w:rPr>
        <w:t>ثباتهما</w:t>
      </w:r>
      <w:r w:rsidRPr="00904FCB">
        <w:rPr>
          <w:sz w:val="27"/>
          <w:rtl/>
        </w:rPr>
        <w:t xml:space="preserve"> </w:t>
      </w:r>
      <w:r w:rsidRPr="00904FCB">
        <w:rPr>
          <w:rFonts w:hint="cs"/>
          <w:sz w:val="27"/>
          <w:rtl/>
        </w:rPr>
        <w:t>معاً</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وي</w:t>
      </w:r>
      <w:r w:rsidR="00510CE0" w:rsidRPr="00904FCB">
        <w:rPr>
          <w:rFonts w:hint="cs"/>
          <w:b/>
          <w:bCs/>
          <w:sz w:val="27"/>
          <w:rtl/>
        </w:rPr>
        <w:t>َ</w:t>
      </w:r>
      <w:r w:rsidRPr="00904FCB">
        <w:rPr>
          <w:rFonts w:hint="cs"/>
          <w:b/>
          <w:bCs/>
          <w:sz w:val="27"/>
          <w:rtl/>
        </w:rPr>
        <w:t>ر</w:t>
      </w:r>
      <w:r w:rsidR="00510CE0" w:rsidRPr="00904FCB">
        <w:rPr>
          <w:rFonts w:hint="cs"/>
          <w:b/>
          <w:bCs/>
          <w:sz w:val="27"/>
          <w:rtl/>
        </w:rPr>
        <w:t>ِ</w:t>
      </w:r>
      <w:r w:rsidRPr="00904FCB">
        <w:rPr>
          <w:rFonts w:hint="cs"/>
          <w:b/>
          <w:bCs/>
          <w:sz w:val="27"/>
          <w:rtl/>
        </w:rPr>
        <w:t>د</w:t>
      </w:r>
      <w:r w:rsidR="00510CE0" w:rsidRPr="00904FCB">
        <w:rPr>
          <w:rFonts w:hint="cs"/>
          <w:b/>
          <w:bCs/>
          <w:sz w:val="27"/>
          <w:rtl/>
        </w:rPr>
        <w:t>ُ</w:t>
      </w:r>
      <w:r w:rsidRPr="00904FCB">
        <w:rPr>
          <w:b/>
          <w:bCs/>
          <w:sz w:val="27"/>
          <w:rtl/>
        </w:rPr>
        <w:t xml:space="preserve"> </w:t>
      </w:r>
      <w:r w:rsidRPr="00904FCB">
        <w:rPr>
          <w:rFonts w:hint="cs"/>
          <w:b/>
          <w:bCs/>
          <w:sz w:val="27"/>
          <w:rtl/>
        </w:rPr>
        <w:t>عليه</w:t>
      </w:r>
      <w:r w:rsidRPr="00904FCB">
        <w:rPr>
          <w:sz w:val="27"/>
          <w:rtl/>
        </w:rPr>
        <w:t xml:space="preserve">: </w:t>
      </w:r>
      <w:r w:rsidR="00510CE0" w:rsidRPr="00904FCB">
        <w:rPr>
          <w:rFonts w:hint="cs"/>
          <w:sz w:val="27"/>
          <w:rtl/>
        </w:rPr>
        <w:t>إ</w:t>
      </w:r>
      <w:r w:rsidRPr="00904FCB">
        <w:rPr>
          <w:rFonts w:hint="cs"/>
          <w:sz w:val="27"/>
          <w:rtl/>
        </w:rPr>
        <w:t>نّ</w:t>
      </w:r>
      <w:r w:rsidRPr="00904FCB">
        <w:rPr>
          <w:sz w:val="27"/>
          <w:rtl/>
        </w:rPr>
        <w:t xml:space="preserve"> </w:t>
      </w:r>
      <w:r w:rsidRPr="00904FCB">
        <w:rPr>
          <w:rFonts w:hint="cs"/>
          <w:sz w:val="27"/>
          <w:rtl/>
        </w:rPr>
        <w:t>النفس</w:t>
      </w:r>
      <w:r w:rsidRPr="00904FCB">
        <w:rPr>
          <w:sz w:val="27"/>
          <w:rtl/>
        </w:rPr>
        <w:t xml:space="preserve"> </w:t>
      </w:r>
      <w:r w:rsidRPr="00904FCB">
        <w:rPr>
          <w:rFonts w:hint="cs"/>
          <w:sz w:val="27"/>
          <w:rtl/>
        </w:rPr>
        <w:t>والبدن</w:t>
      </w:r>
      <w:r w:rsidRPr="00904FCB">
        <w:rPr>
          <w:sz w:val="27"/>
          <w:rtl/>
        </w:rPr>
        <w:t xml:space="preserve"> </w:t>
      </w:r>
      <w:r w:rsidRPr="00904FCB">
        <w:rPr>
          <w:rFonts w:hint="cs"/>
          <w:sz w:val="27"/>
          <w:rtl/>
        </w:rPr>
        <w:t>ليسا</w:t>
      </w:r>
      <w:r w:rsidRPr="00904FCB">
        <w:rPr>
          <w:sz w:val="27"/>
          <w:rtl/>
        </w:rPr>
        <w:t xml:space="preserve"> </w:t>
      </w:r>
      <w:r w:rsidRPr="00904FCB">
        <w:rPr>
          <w:rFonts w:hint="cs"/>
          <w:sz w:val="27"/>
          <w:rtl/>
        </w:rPr>
        <w:t>فردين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الموضوع</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القضيّة</w:t>
      </w:r>
      <w:r w:rsidRPr="00904FCB">
        <w:rPr>
          <w:sz w:val="27"/>
          <w:rtl/>
        </w:rPr>
        <w:t xml:space="preserve"> </w:t>
      </w:r>
      <w:r w:rsidRPr="00904FCB">
        <w:rPr>
          <w:rFonts w:hint="cs"/>
          <w:sz w:val="27"/>
          <w:rtl/>
        </w:rPr>
        <w:t>لتثبت</w:t>
      </w:r>
      <w:r w:rsidRPr="00904FCB">
        <w:rPr>
          <w:sz w:val="27"/>
          <w:rtl/>
        </w:rPr>
        <w:t xml:space="preserve"> </w:t>
      </w:r>
      <w:r w:rsidRPr="00904FCB">
        <w:rPr>
          <w:rFonts w:hint="cs"/>
          <w:sz w:val="27"/>
          <w:rtl/>
        </w:rPr>
        <w:t>بالإطلاق</w:t>
      </w:r>
      <w:r w:rsidRPr="00904FCB">
        <w:rPr>
          <w:sz w:val="27"/>
          <w:rtl/>
        </w:rPr>
        <w:t xml:space="preserve"> </w:t>
      </w:r>
      <w:r w:rsidRPr="00904FCB">
        <w:rPr>
          <w:rFonts w:hint="cs"/>
          <w:sz w:val="27"/>
          <w:rtl/>
        </w:rPr>
        <w:t>نجاستهما</w:t>
      </w:r>
      <w:r w:rsidRPr="00904FCB">
        <w:rPr>
          <w:sz w:val="27"/>
          <w:rtl/>
        </w:rPr>
        <w:t xml:space="preserve"> </w:t>
      </w:r>
      <w:r w:rsidRPr="00904FCB">
        <w:rPr>
          <w:rFonts w:hint="cs"/>
          <w:sz w:val="27"/>
          <w:rtl/>
        </w:rPr>
        <w:t>معاً، بل</w:t>
      </w:r>
      <w:r w:rsidRPr="00904FCB">
        <w:rPr>
          <w:sz w:val="27"/>
          <w:rtl/>
        </w:rPr>
        <w:t xml:space="preserve"> </w:t>
      </w:r>
      <w:r w:rsidRPr="00904FCB">
        <w:rPr>
          <w:rFonts w:hint="cs"/>
          <w:sz w:val="27"/>
          <w:rtl/>
        </w:rPr>
        <w:t>مرجعهما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نحوين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ملاحظة</w:t>
      </w:r>
      <w:r w:rsidRPr="00904FCB">
        <w:rPr>
          <w:sz w:val="27"/>
          <w:rtl/>
        </w:rPr>
        <w:t xml:space="preserve"> </w:t>
      </w:r>
      <w:r w:rsidRPr="00904FCB">
        <w:rPr>
          <w:rFonts w:hint="cs"/>
          <w:sz w:val="27"/>
          <w:rtl/>
        </w:rPr>
        <w:t>المشرك؛ فقد</w:t>
      </w:r>
      <w:r w:rsidRPr="00904FCB">
        <w:rPr>
          <w:sz w:val="27"/>
          <w:rtl/>
        </w:rPr>
        <w:t xml:space="preserve"> </w:t>
      </w:r>
      <w:r w:rsidRPr="00904FCB">
        <w:rPr>
          <w:rFonts w:hint="cs"/>
          <w:sz w:val="27"/>
          <w:rtl/>
        </w:rPr>
        <w:t>يلحظ</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جسم</w:t>
      </w:r>
      <w:r w:rsidR="00510CE0" w:rsidRPr="00904FCB">
        <w:rPr>
          <w:rFonts w:hint="cs"/>
          <w:sz w:val="27"/>
          <w:rtl/>
        </w:rPr>
        <w:t>ٌ؛</w:t>
      </w:r>
      <w:r w:rsidRPr="00904FCB">
        <w:rPr>
          <w:rFonts w:hint="cs"/>
          <w:sz w:val="27"/>
          <w:rtl/>
        </w:rPr>
        <w:t xml:space="preserve"> وقد</w:t>
      </w:r>
      <w:r w:rsidRPr="00904FCB">
        <w:rPr>
          <w:sz w:val="27"/>
          <w:rtl/>
        </w:rPr>
        <w:t xml:space="preserve"> </w:t>
      </w:r>
      <w:r w:rsidRPr="00904FCB">
        <w:rPr>
          <w:rFonts w:hint="cs"/>
          <w:sz w:val="27"/>
          <w:rtl/>
        </w:rPr>
        <w:t>يلحظ</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شخص</w:t>
      </w:r>
      <w:r w:rsidR="00510CE0" w:rsidRPr="00904FCB">
        <w:rPr>
          <w:rFonts w:hint="cs"/>
          <w:sz w:val="27"/>
          <w:rtl/>
        </w:rPr>
        <w:t>ٌ</w:t>
      </w:r>
      <w:r w:rsidRPr="00904FCB">
        <w:rPr>
          <w:sz w:val="27"/>
          <w:rtl/>
        </w:rPr>
        <w:t xml:space="preserve"> </w:t>
      </w:r>
      <w:r w:rsidRPr="00904FCB">
        <w:rPr>
          <w:rFonts w:hint="cs"/>
          <w:sz w:val="27"/>
          <w:rtl/>
        </w:rPr>
        <w:t>معنوي</w:t>
      </w:r>
      <w:r w:rsidRPr="00904FCB">
        <w:rPr>
          <w:sz w:val="27"/>
          <w:rtl/>
        </w:rPr>
        <w:t xml:space="preserve">. </w:t>
      </w:r>
      <w:r w:rsidRPr="00904FCB">
        <w:rPr>
          <w:rFonts w:hint="cs"/>
          <w:sz w:val="27"/>
          <w:rtl/>
        </w:rPr>
        <w:t>ولحاظه</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جسم</w:t>
      </w:r>
      <w:r w:rsidR="00510CE0" w:rsidRPr="00904FCB">
        <w:rPr>
          <w:rFonts w:hint="cs"/>
          <w:sz w:val="27"/>
          <w:rtl/>
        </w:rPr>
        <w:t>ٌ</w:t>
      </w:r>
      <w:r w:rsidRPr="00904FCB">
        <w:rPr>
          <w:sz w:val="27"/>
          <w:rtl/>
        </w:rPr>
        <w:t xml:space="preserve"> </w:t>
      </w:r>
      <w:r w:rsidRPr="00904FCB">
        <w:rPr>
          <w:rFonts w:hint="cs"/>
          <w:sz w:val="27"/>
          <w:rtl/>
        </w:rPr>
        <w:t>ومعنى</w:t>
      </w:r>
      <w:r w:rsidRPr="00904FCB">
        <w:rPr>
          <w:sz w:val="27"/>
          <w:rtl/>
        </w:rPr>
        <w:t xml:space="preserve"> </w:t>
      </w:r>
      <w:r w:rsidRPr="00904FCB">
        <w:rPr>
          <w:rFonts w:hint="cs"/>
          <w:sz w:val="27"/>
          <w:rtl/>
        </w:rPr>
        <w:t>معاً</w:t>
      </w:r>
      <w:r w:rsidRPr="00904FCB">
        <w:rPr>
          <w:sz w:val="27"/>
          <w:rtl/>
        </w:rPr>
        <w:t xml:space="preserve"> </w:t>
      </w:r>
      <w:r w:rsidRPr="00904FCB">
        <w:rPr>
          <w:rFonts w:hint="cs"/>
          <w:sz w:val="27"/>
          <w:rtl/>
        </w:rPr>
        <w:t>وإن</w:t>
      </w:r>
      <w:r w:rsidR="00510CE0"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أمراً</w:t>
      </w:r>
      <w:r w:rsidRPr="00904FCB">
        <w:rPr>
          <w:sz w:val="27"/>
          <w:rtl/>
        </w:rPr>
        <w:t xml:space="preserve"> </w:t>
      </w:r>
      <w:r w:rsidRPr="00904FCB">
        <w:rPr>
          <w:rFonts w:hint="cs"/>
          <w:sz w:val="27"/>
          <w:rtl/>
        </w:rPr>
        <w:t>معقولاً، ولكنّه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يفي</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الإطلاق‏؛ لأنّ</w:t>
      </w:r>
      <w:r w:rsidRPr="00904FCB">
        <w:rPr>
          <w:sz w:val="27"/>
          <w:rtl/>
        </w:rPr>
        <w:t xml:space="preserve"> </w:t>
      </w:r>
      <w:r w:rsidRPr="00904FCB">
        <w:rPr>
          <w:rFonts w:hint="cs"/>
          <w:sz w:val="27"/>
          <w:rtl/>
        </w:rPr>
        <w:t>الإطلاق</w:t>
      </w:r>
      <w:r w:rsidRPr="00904FCB">
        <w:rPr>
          <w:sz w:val="27"/>
          <w:rtl/>
        </w:rPr>
        <w:t xml:space="preserve"> </w:t>
      </w:r>
      <w:r w:rsidRPr="00904FCB">
        <w:rPr>
          <w:rFonts w:hint="cs"/>
          <w:sz w:val="27"/>
          <w:rtl/>
        </w:rPr>
        <w:t>ينفي</w:t>
      </w:r>
      <w:r w:rsidRPr="00904FCB">
        <w:rPr>
          <w:sz w:val="27"/>
          <w:rtl/>
        </w:rPr>
        <w:t xml:space="preserve"> </w:t>
      </w:r>
      <w:r w:rsidRPr="00904FCB">
        <w:rPr>
          <w:rFonts w:hint="cs"/>
          <w:sz w:val="27"/>
          <w:rtl/>
        </w:rPr>
        <w:t>أخذ</w:t>
      </w:r>
      <w:r w:rsidRPr="00904FCB">
        <w:rPr>
          <w:sz w:val="27"/>
          <w:rtl/>
        </w:rPr>
        <w:t xml:space="preserve"> </w:t>
      </w:r>
      <w:r w:rsidRPr="00904FCB">
        <w:rPr>
          <w:rFonts w:hint="cs"/>
          <w:sz w:val="27"/>
          <w:rtl/>
        </w:rPr>
        <w:t>قيد</w:t>
      </w:r>
      <w:r w:rsidR="00510CE0" w:rsidRPr="00904FCB">
        <w:rPr>
          <w:rFonts w:hint="cs"/>
          <w:sz w:val="27"/>
          <w:rtl/>
        </w:rPr>
        <w:t>ٍ</w:t>
      </w:r>
      <w:r w:rsidRPr="00904FCB">
        <w:rPr>
          <w:sz w:val="27"/>
          <w:rtl/>
        </w:rPr>
        <w:t xml:space="preserve"> </w:t>
      </w:r>
      <w:r w:rsidRPr="00904FCB">
        <w:rPr>
          <w:rFonts w:hint="cs"/>
          <w:sz w:val="27"/>
          <w:rtl/>
        </w:rPr>
        <w:t>زائد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الموضوع، وليس</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نظر</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توسعة</w:t>
      </w:r>
      <w:r w:rsidRPr="00904FCB">
        <w:rPr>
          <w:sz w:val="27"/>
          <w:rtl/>
        </w:rPr>
        <w:t xml:space="preserve"> </w:t>
      </w:r>
      <w:r w:rsidRPr="00904FCB">
        <w:rPr>
          <w:rFonts w:hint="cs"/>
          <w:sz w:val="27"/>
          <w:rtl/>
        </w:rPr>
        <w:t>اللحاظ، وإدخال</w:t>
      </w:r>
      <w:r w:rsidRPr="00904FCB">
        <w:rPr>
          <w:sz w:val="27"/>
          <w:rtl/>
        </w:rPr>
        <w:t xml:space="preserve"> </w:t>
      </w:r>
      <w:r w:rsidRPr="00904FCB">
        <w:rPr>
          <w:rFonts w:hint="cs"/>
          <w:sz w:val="27"/>
          <w:rtl/>
        </w:rPr>
        <w:t>حيثيّات</w:t>
      </w:r>
      <w:r w:rsidR="00510CE0" w:rsidRPr="00904FCB">
        <w:rPr>
          <w:rFonts w:hint="cs"/>
          <w:sz w:val="27"/>
          <w:rtl/>
        </w:rPr>
        <w:t>ٍ</w:t>
      </w:r>
      <w:r w:rsidRPr="00904FCB">
        <w:rPr>
          <w:sz w:val="27"/>
          <w:rtl/>
        </w:rPr>
        <w:t xml:space="preserve"> </w:t>
      </w:r>
      <w:r w:rsidRPr="00904FCB">
        <w:rPr>
          <w:rFonts w:hint="cs"/>
          <w:sz w:val="27"/>
          <w:rtl/>
        </w:rPr>
        <w:t>عديدة</w:t>
      </w:r>
      <w:r w:rsidRPr="00904FCB">
        <w:rPr>
          <w:sz w:val="27"/>
          <w:rtl/>
        </w:rPr>
        <w:t xml:space="preserve"> </w:t>
      </w:r>
      <w:r w:rsidRPr="00904FCB">
        <w:rPr>
          <w:rFonts w:hint="cs"/>
          <w:sz w:val="27"/>
          <w:rtl/>
        </w:rPr>
        <w:t>تحته، بل</w:t>
      </w:r>
      <w:r w:rsidRPr="00904FCB">
        <w:rPr>
          <w:sz w:val="27"/>
          <w:rtl/>
        </w:rPr>
        <w:t xml:space="preserve"> </w:t>
      </w:r>
      <w:r w:rsidRPr="00904FCB">
        <w:rPr>
          <w:rFonts w:hint="cs"/>
          <w:sz w:val="27"/>
          <w:rtl/>
        </w:rPr>
        <w:t>يحتاج</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قرينة</w:t>
      </w:r>
      <w:r w:rsidR="00510CE0" w:rsidRPr="00904FCB">
        <w:rPr>
          <w:rFonts w:hint="cs"/>
          <w:sz w:val="27"/>
          <w:rtl/>
        </w:rPr>
        <w:t>ٍ</w:t>
      </w:r>
      <w:r w:rsidRPr="00904FCB">
        <w:rPr>
          <w:sz w:val="27"/>
          <w:rtl/>
        </w:rPr>
        <w:t xml:space="preserve"> </w:t>
      </w:r>
      <w:r w:rsidRPr="00904FCB">
        <w:rPr>
          <w:rFonts w:hint="cs"/>
          <w:sz w:val="27"/>
          <w:rtl/>
        </w:rPr>
        <w:t>خاصّة</w:t>
      </w:r>
      <w:r w:rsidRPr="00904FCB">
        <w:rPr>
          <w:sz w:val="27"/>
          <w:rtl/>
        </w:rPr>
        <w:t xml:space="preserve">. </w:t>
      </w:r>
      <w:r w:rsidRPr="00904FCB">
        <w:rPr>
          <w:rFonts w:hint="cs"/>
          <w:sz w:val="27"/>
          <w:rtl/>
        </w:rPr>
        <w:t>وعليه</w:t>
      </w:r>
      <w:r w:rsidRPr="00904FCB">
        <w:rPr>
          <w:sz w:val="27"/>
          <w:rtl/>
        </w:rPr>
        <w:t xml:space="preserve"> </w:t>
      </w:r>
      <w:r w:rsidRPr="00904FCB">
        <w:rPr>
          <w:rFonts w:hint="cs"/>
          <w:sz w:val="27"/>
          <w:rtl/>
        </w:rPr>
        <w:t>فالظاهر</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تماميّة</w:t>
      </w:r>
      <w:r w:rsidRPr="00904FCB">
        <w:rPr>
          <w:sz w:val="27"/>
          <w:rtl/>
        </w:rPr>
        <w:t xml:space="preserve"> </w:t>
      </w:r>
      <w:r w:rsidRPr="00904FCB">
        <w:rPr>
          <w:rFonts w:hint="cs"/>
          <w:sz w:val="27"/>
          <w:rtl/>
        </w:rPr>
        <w:t>الحمل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المعنى</w:t>
      </w:r>
      <w:r w:rsidRPr="00904FCB">
        <w:rPr>
          <w:sz w:val="27"/>
          <w:rtl/>
        </w:rPr>
        <w:t xml:space="preserve"> </w:t>
      </w:r>
      <w:r w:rsidRPr="00904FCB">
        <w:rPr>
          <w:rFonts w:hint="cs"/>
          <w:sz w:val="27"/>
          <w:rtl/>
        </w:rPr>
        <w:t>الشرعي، فلا</w:t>
      </w:r>
      <w:r w:rsidRPr="00904FCB">
        <w:rPr>
          <w:sz w:val="27"/>
          <w:rtl/>
        </w:rPr>
        <w:t xml:space="preserve"> </w:t>
      </w:r>
      <w:r w:rsidRPr="00904FCB">
        <w:rPr>
          <w:rFonts w:hint="cs"/>
          <w:sz w:val="27"/>
          <w:rtl/>
        </w:rPr>
        <w:t>يتمّ</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بالآية</w:t>
      </w:r>
      <w:r w:rsidRPr="00904FCB">
        <w:rPr>
          <w:sz w:val="27"/>
          <w:rtl/>
        </w:rPr>
        <w:t xml:space="preserve"> </w:t>
      </w:r>
      <w:r w:rsidRPr="00904FCB">
        <w:rPr>
          <w:rFonts w:hint="cs"/>
          <w:sz w:val="27"/>
          <w:rtl/>
        </w:rPr>
        <w:t>الكريمة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الجهة</w:t>
      </w:r>
      <w:r w:rsidRPr="00904FCB">
        <w:rPr>
          <w:b/>
          <w:bCs/>
          <w:sz w:val="27"/>
          <w:rtl/>
        </w:rPr>
        <w:t xml:space="preserve"> </w:t>
      </w:r>
      <w:r w:rsidRPr="00904FCB">
        <w:rPr>
          <w:rFonts w:hint="cs"/>
          <w:b/>
          <w:bCs/>
          <w:sz w:val="27"/>
          <w:rtl/>
        </w:rPr>
        <w:t>الثانية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افتراض</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الاعتبار</w:t>
      </w:r>
      <w:r w:rsidRPr="00904FCB">
        <w:rPr>
          <w:sz w:val="27"/>
          <w:rtl/>
        </w:rPr>
        <w:t xml:space="preserve"> </w:t>
      </w:r>
      <w:r w:rsidRPr="00904FCB">
        <w:rPr>
          <w:rFonts w:hint="cs"/>
          <w:sz w:val="27"/>
          <w:rtl/>
        </w:rPr>
        <w:t>الشرعي</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w:t>
      </w:r>
      <w:r w:rsidR="00510CE0" w:rsidRPr="00904FCB">
        <w:rPr>
          <w:rFonts w:hint="cs"/>
          <w:sz w:val="27"/>
          <w:rtl/>
        </w:rPr>
        <w:t>ُ</w:t>
      </w:r>
      <w:r w:rsidRPr="00904FCB">
        <w:rPr>
          <w:rFonts w:hint="cs"/>
          <w:sz w:val="27"/>
          <w:rtl/>
        </w:rPr>
        <w:t>قال</w:t>
      </w:r>
      <w:r w:rsidRPr="00904FCB">
        <w:rPr>
          <w:sz w:val="27"/>
          <w:rtl/>
        </w:rPr>
        <w:t xml:space="preserve">: </w:t>
      </w:r>
      <w:r w:rsidRPr="00904FCB">
        <w:rPr>
          <w:rFonts w:hint="cs"/>
          <w:sz w:val="27"/>
          <w:rtl/>
        </w:rPr>
        <w:lastRenderedPageBreak/>
        <w:t>إنّ</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يدور</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عنايتين</w:t>
      </w:r>
      <w:r w:rsidRPr="00904FCB">
        <w:rPr>
          <w:sz w:val="27"/>
          <w:rtl/>
        </w:rPr>
        <w:t xml:space="preserve">: </w:t>
      </w:r>
      <w:r w:rsidRPr="00904FCB">
        <w:rPr>
          <w:rFonts w:hint="cs"/>
          <w:b/>
          <w:bCs/>
          <w:sz w:val="27"/>
          <w:rtl/>
        </w:rPr>
        <w:t>إحداهما</w:t>
      </w:r>
      <w:r w:rsidRPr="00904FCB">
        <w:rPr>
          <w:sz w:val="27"/>
          <w:rtl/>
        </w:rPr>
        <w:t xml:space="preserve">: </w:t>
      </w:r>
      <w:r w:rsidRPr="00904FCB">
        <w:rPr>
          <w:rFonts w:hint="cs"/>
          <w:sz w:val="27"/>
          <w:rtl/>
        </w:rPr>
        <w:t>عناية</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المبدأ</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الذات</w:t>
      </w:r>
      <w:r w:rsidR="00510CE0" w:rsidRPr="00904FCB">
        <w:rPr>
          <w:rFonts w:hint="cs"/>
          <w:sz w:val="27"/>
          <w:rtl/>
        </w:rPr>
        <w:t xml:space="preserve">؛ </w:t>
      </w:r>
      <w:r w:rsidRPr="00904FCB">
        <w:rPr>
          <w:rFonts w:hint="cs"/>
          <w:b/>
          <w:bCs/>
          <w:sz w:val="27"/>
          <w:rtl/>
        </w:rPr>
        <w:t>والأخرى</w:t>
      </w:r>
      <w:r w:rsidRPr="00904FCB">
        <w:rPr>
          <w:sz w:val="27"/>
          <w:rtl/>
        </w:rPr>
        <w:t xml:space="preserve">: </w:t>
      </w:r>
      <w:r w:rsidRPr="00904FCB">
        <w:rPr>
          <w:rFonts w:hint="cs"/>
          <w:sz w:val="27"/>
          <w:rtl/>
        </w:rPr>
        <w:t>عناية</w:t>
      </w:r>
      <w:r w:rsidRPr="00904FCB">
        <w:rPr>
          <w:sz w:val="27"/>
          <w:rtl/>
        </w:rPr>
        <w:t xml:space="preserve"> </w:t>
      </w:r>
      <w:r w:rsidRPr="00904FCB">
        <w:rPr>
          <w:rFonts w:hint="cs"/>
          <w:sz w:val="27"/>
          <w:rtl/>
        </w:rPr>
        <w:t>تقدير</w:t>
      </w:r>
      <w:r w:rsidRPr="00904FCB">
        <w:rPr>
          <w:sz w:val="27"/>
          <w:rtl/>
        </w:rPr>
        <w:t xml:space="preserve"> </w:t>
      </w:r>
      <w:r w:rsidRPr="00904FCB">
        <w:rPr>
          <w:rFonts w:hint="cs"/>
          <w:sz w:val="27"/>
          <w:rtl/>
        </w:rPr>
        <w:t>كلمة</w:t>
      </w:r>
      <w:r w:rsidRPr="00904FCB">
        <w:rPr>
          <w:sz w:val="27"/>
          <w:rtl/>
        </w:rPr>
        <w:t xml:space="preserve"> «</w:t>
      </w:r>
      <w:r w:rsidRPr="00904FCB">
        <w:rPr>
          <w:rFonts w:hint="cs"/>
          <w:sz w:val="27"/>
          <w:rtl/>
        </w:rPr>
        <w:t>ذو</w:t>
      </w:r>
      <w:r w:rsidRPr="00904FCB">
        <w:rPr>
          <w:rFonts w:hint="eastAsia"/>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مرجّ</w:t>
      </w:r>
      <w:r w:rsidR="00510CE0" w:rsidRPr="00904FCB">
        <w:rPr>
          <w:rFonts w:hint="cs"/>
          <w:sz w:val="27"/>
          <w:rtl/>
        </w:rPr>
        <w:t>ِ</w:t>
      </w:r>
      <w:r w:rsidRPr="00904FCB">
        <w:rPr>
          <w:rFonts w:hint="cs"/>
          <w:sz w:val="27"/>
          <w:rtl/>
        </w:rPr>
        <w:t>ح</w:t>
      </w:r>
      <w:r w:rsidRPr="00904FCB">
        <w:rPr>
          <w:sz w:val="27"/>
          <w:rtl/>
        </w:rPr>
        <w:t xml:space="preserve"> </w:t>
      </w:r>
      <w:r w:rsidRPr="00904FCB">
        <w:rPr>
          <w:rFonts w:hint="cs"/>
          <w:sz w:val="27"/>
          <w:rtl/>
        </w:rPr>
        <w:t>للعناية</w:t>
      </w:r>
      <w:r w:rsidRPr="00904FCB">
        <w:rPr>
          <w:sz w:val="27"/>
          <w:rtl/>
        </w:rPr>
        <w:t xml:space="preserve"> </w:t>
      </w:r>
      <w:r w:rsidRPr="00904FCB">
        <w:rPr>
          <w:rFonts w:hint="cs"/>
          <w:sz w:val="27"/>
          <w:rtl/>
        </w:rPr>
        <w:t>الأولى، ومع</w:t>
      </w:r>
      <w:r w:rsidRPr="00904FCB">
        <w:rPr>
          <w:sz w:val="27"/>
          <w:rtl/>
        </w:rPr>
        <w:t xml:space="preserve"> </w:t>
      </w:r>
      <w:r w:rsidRPr="00904FCB">
        <w:rPr>
          <w:rFonts w:hint="cs"/>
          <w:sz w:val="27"/>
          <w:rtl/>
        </w:rPr>
        <w:t>احتمال</w:t>
      </w:r>
      <w:r w:rsidRPr="00904FCB">
        <w:rPr>
          <w:sz w:val="27"/>
          <w:rtl/>
        </w:rPr>
        <w:t xml:space="preserve"> </w:t>
      </w:r>
      <w:r w:rsidRPr="00904FCB">
        <w:rPr>
          <w:rFonts w:hint="cs"/>
          <w:sz w:val="27"/>
          <w:rtl/>
        </w:rPr>
        <w:t>العناية</w:t>
      </w:r>
      <w:r w:rsidRPr="00904FCB">
        <w:rPr>
          <w:sz w:val="27"/>
          <w:rtl/>
        </w:rPr>
        <w:t xml:space="preserve"> </w:t>
      </w:r>
      <w:r w:rsidRPr="00904FCB">
        <w:rPr>
          <w:rFonts w:hint="cs"/>
          <w:sz w:val="27"/>
          <w:rtl/>
        </w:rPr>
        <w:t>الثانية</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تدلّ</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ذا</w:t>
      </w:r>
      <w:r w:rsidRPr="00904FCB">
        <w:rPr>
          <w:sz w:val="27"/>
          <w:rtl/>
        </w:rPr>
        <w:t xml:space="preserve"> </w:t>
      </w:r>
      <w:r w:rsidRPr="00904FCB">
        <w:rPr>
          <w:rFonts w:hint="cs"/>
          <w:sz w:val="27"/>
          <w:rtl/>
        </w:rPr>
        <w:t>نجاسة، وهذا</w:t>
      </w:r>
      <w:r w:rsidRPr="00904FCB">
        <w:rPr>
          <w:sz w:val="27"/>
          <w:rtl/>
        </w:rPr>
        <w:t xml:space="preserve"> </w:t>
      </w:r>
      <w:r w:rsidRPr="00904FCB">
        <w:rPr>
          <w:rFonts w:hint="cs"/>
          <w:sz w:val="27"/>
          <w:rtl/>
        </w:rPr>
        <w:t>ي</w:t>
      </w:r>
      <w:r w:rsidR="00510CE0" w:rsidRPr="00904FCB">
        <w:rPr>
          <w:rFonts w:hint="cs"/>
          <w:sz w:val="27"/>
          <w:rtl/>
        </w:rPr>
        <w:t>ت</w:t>
      </w:r>
      <w:r w:rsidRPr="00904FCB">
        <w:rPr>
          <w:rFonts w:hint="cs"/>
          <w:sz w:val="27"/>
          <w:rtl/>
        </w:rPr>
        <w:t>لا</w:t>
      </w:r>
      <w:r w:rsidR="00510CE0" w:rsidRPr="00904FCB">
        <w:rPr>
          <w:rFonts w:hint="cs"/>
          <w:sz w:val="27"/>
          <w:rtl/>
        </w:rPr>
        <w:t>ء</w:t>
      </w:r>
      <w:r w:rsidRPr="00904FCB">
        <w:rPr>
          <w:rFonts w:hint="cs"/>
          <w:sz w:val="27"/>
          <w:rtl/>
        </w:rPr>
        <w:t>م</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العرضيّة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وي</w:t>
      </w:r>
      <w:r w:rsidR="00510CE0" w:rsidRPr="00904FCB">
        <w:rPr>
          <w:rFonts w:hint="cs"/>
          <w:b/>
          <w:bCs/>
          <w:sz w:val="27"/>
          <w:rtl/>
        </w:rPr>
        <w:t>َ</w:t>
      </w:r>
      <w:r w:rsidRPr="00904FCB">
        <w:rPr>
          <w:rFonts w:hint="cs"/>
          <w:b/>
          <w:bCs/>
          <w:sz w:val="27"/>
          <w:rtl/>
        </w:rPr>
        <w:t>ر</w:t>
      </w:r>
      <w:r w:rsidR="00510CE0" w:rsidRPr="00904FCB">
        <w:rPr>
          <w:rFonts w:hint="cs"/>
          <w:b/>
          <w:bCs/>
          <w:sz w:val="27"/>
          <w:rtl/>
        </w:rPr>
        <w:t>ِ</w:t>
      </w:r>
      <w:r w:rsidRPr="00904FCB">
        <w:rPr>
          <w:rFonts w:hint="cs"/>
          <w:b/>
          <w:bCs/>
          <w:sz w:val="27"/>
          <w:rtl/>
        </w:rPr>
        <w:t>د</w:t>
      </w:r>
      <w:r w:rsidR="00510CE0" w:rsidRPr="00904FCB">
        <w:rPr>
          <w:rFonts w:hint="cs"/>
          <w:b/>
          <w:bCs/>
          <w:sz w:val="27"/>
          <w:rtl/>
        </w:rPr>
        <w:t>ُ</w:t>
      </w:r>
      <w:r w:rsidRPr="00904FCB">
        <w:rPr>
          <w:b/>
          <w:bCs/>
          <w:sz w:val="27"/>
          <w:rtl/>
        </w:rPr>
        <w:t xml:space="preserve"> </w:t>
      </w:r>
      <w:r w:rsidRPr="00904FCB">
        <w:rPr>
          <w:rFonts w:hint="cs"/>
          <w:b/>
          <w:bCs/>
          <w:sz w:val="27"/>
          <w:rtl/>
        </w:rPr>
        <w:t>عليه</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عناية</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المصدر</w:t>
      </w:r>
      <w:r w:rsidRPr="00904FCB">
        <w:rPr>
          <w:sz w:val="27"/>
          <w:rtl/>
        </w:rPr>
        <w:t xml:space="preserve"> </w:t>
      </w:r>
      <w:r w:rsidRPr="00904FCB">
        <w:rPr>
          <w:rFonts w:hint="cs"/>
          <w:sz w:val="27"/>
          <w:rtl/>
        </w:rPr>
        <w:t>أخفّ</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عناية</w:t>
      </w:r>
      <w:r w:rsidRPr="00904FCB">
        <w:rPr>
          <w:sz w:val="27"/>
          <w:rtl/>
        </w:rPr>
        <w:t xml:space="preserve"> </w:t>
      </w:r>
      <w:r w:rsidRPr="00904FCB">
        <w:rPr>
          <w:rFonts w:hint="cs"/>
          <w:sz w:val="27"/>
          <w:rtl/>
        </w:rPr>
        <w:t>التقدير</w:t>
      </w:r>
      <w:r w:rsidRPr="00904FCB">
        <w:rPr>
          <w:sz w:val="27"/>
          <w:rtl/>
        </w:rPr>
        <w:t xml:space="preserve"> </w:t>
      </w:r>
      <w:r w:rsidRPr="00904FCB">
        <w:rPr>
          <w:rFonts w:hint="cs"/>
          <w:sz w:val="27"/>
          <w:rtl/>
        </w:rPr>
        <w:t>ع</w:t>
      </w:r>
      <w:r w:rsidR="00510CE0" w:rsidRPr="00904FCB">
        <w:rPr>
          <w:rFonts w:hint="cs"/>
          <w:sz w:val="27"/>
          <w:rtl/>
        </w:rPr>
        <w:t>ُ</w:t>
      </w:r>
      <w:r w:rsidRPr="00904FCB">
        <w:rPr>
          <w:rFonts w:hint="cs"/>
          <w:sz w:val="27"/>
          <w:rtl/>
        </w:rPr>
        <w:t>ر</w:t>
      </w:r>
      <w:r w:rsidR="00510CE0" w:rsidRPr="00904FCB">
        <w:rPr>
          <w:rFonts w:hint="cs"/>
          <w:sz w:val="27"/>
          <w:rtl/>
        </w:rPr>
        <w:t>ْ</w:t>
      </w:r>
      <w:r w:rsidRPr="00904FCB">
        <w:rPr>
          <w:rFonts w:hint="cs"/>
          <w:sz w:val="27"/>
          <w:rtl/>
        </w:rPr>
        <w:t>فاً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مقتضى</w:t>
      </w:r>
      <w:r w:rsidRPr="00904FCB">
        <w:rPr>
          <w:sz w:val="27"/>
          <w:rtl/>
        </w:rPr>
        <w:t xml:space="preserve"> </w:t>
      </w:r>
      <w:r w:rsidRPr="00904FCB">
        <w:rPr>
          <w:rFonts w:hint="cs"/>
          <w:sz w:val="27"/>
          <w:rtl/>
        </w:rPr>
        <w:t>إطلاق</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ذا</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عينيّة</w:t>
      </w:r>
      <w:r w:rsidRPr="00904FCB">
        <w:rPr>
          <w:sz w:val="27"/>
          <w:rtl/>
        </w:rPr>
        <w:t xml:space="preserve"> </w:t>
      </w:r>
      <w:r w:rsidRPr="00904FCB">
        <w:rPr>
          <w:rFonts w:hint="cs"/>
          <w:sz w:val="27"/>
          <w:rtl/>
        </w:rPr>
        <w:t>نجاسته</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واضح، وحصر</w:t>
      </w:r>
      <w:r w:rsidRPr="00904FCB">
        <w:rPr>
          <w:sz w:val="27"/>
          <w:rtl/>
        </w:rPr>
        <w:t xml:space="preserve"> </w:t>
      </w:r>
      <w:r w:rsidRPr="00904FCB">
        <w:rPr>
          <w:rFonts w:hint="cs"/>
          <w:sz w:val="27"/>
          <w:rtl/>
        </w:rPr>
        <w:t>حقيقة</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بالنجاسة</w:t>
      </w:r>
      <w:r w:rsidRPr="00904FCB">
        <w:rPr>
          <w:sz w:val="27"/>
          <w:rtl/>
        </w:rPr>
        <w:t xml:space="preserve"> </w:t>
      </w:r>
      <w:r w:rsidRPr="00904FCB">
        <w:rPr>
          <w:rFonts w:hint="cs"/>
          <w:sz w:val="27"/>
          <w:rtl/>
        </w:rPr>
        <w:t>أنسب</w:t>
      </w:r>
      <w:r w:rsidRPr="00904FCB">
        <w:rPr>
          <w:sz w:val="27"/>
          <w:rtl/>
        </w:rPr>
        <w:t xml:space="preserve"> </w:t>
      </w:r>
      <w:r w:rsidRPr="00904FCB">
        <w:rPr>
          <w:rFonts w:hint="cs"/>
          <w:sz w:val="27"/>
          <w:rtl/>
        </w:rPr>
        <w:t>بالنجاسة</w:t>
      </w:r>
      <w:r w:rsidRPr="00904FCB">
        <w:rPr>
          <w:sz w:val="27"/>
          <w:rtl/>
        </w:rPr>
        <w:t xml:space="preserve"> </w:t>
      </w:r>
      <w:r w:rsidRPr="00904FCB">
        <w:rPr>
          <w:rFonts w:hint="cs"/>
          <w:sz w:val="27"/>
          <w:rtl/>
        </w:rPr>
        <w:t>العينيّة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العرضيّة</w:t>
      </w:r>
      <w:r w:rsidR="00510CE0" w:rsidRPr="00904FCB">
        <w:rPr>
          <w:rFonts w:hint="cs"/>
          <w:sz w:val="27"/>
          <w:rtl/>
        </w:rPr>
        <w:t>،</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يخفى</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الجهة</w:t>
      </w:r>
      <w:r w:rsidRPr="00904FCB">
        <w:rPr>
          <w:b/>
          <w:bCs/>
          <w:sz w:val="27"/>
          <w:rtl/>
        </w:rPr>
        <w:t xml:space="preserve"> </w:t>
      </w:r>
      <w:r w:rsidRPr="00904FCB">
        <w:rPr>
          <w:rFonts w:hint="cs"/>
          <w:b/>
          <w:bCs/>
          <w:sz w:val="27"/>
          <w:rtl/>
        </w:rPr>
        <w:t>الثالثة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افتراض</w:t>
      </w:r>
      <w:r w:rsidRPr="00904FCB">
        <w:rPr>
          <w:sz w:val="27"/>
          <w:rtl/>
        </w:rPr>
        <w:t xml:space="preserve"> </w:t>
      </w:r>
      <w:r w:rsidRPr="00904FCB">
        <w:rPr>
          <w:rFonts w:hint="cs"/>
          <w:sz w:val="27"/>
          <w:rtl/>
        </w:rPr>
        <w:t>تماميّة</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بالآية</w:t>
      </w:r>
      <w:r w:rsidRPr="00904FCB">
        <w:rPr>
          <w:sz w:val="27"/>
          <w:rtl/>
        </w:rPr>
        <w:t xml:space="preserve"> </w:t>
      </w:r>
      <w:r w:rsidRPr="00904FCB">
        <w:rPr>
          <w:rFonts w:hint="cs"/>
          <w:sz w:val="27"/>
          <w:rtl/>
        </w:rPr>
        <w:t>الكريمة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هل</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نثبت</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الكتابي</w:t>
      </w:r>
      <w:r w:rsidR="00125C56" w:rsidRPr="00904FCB">
        <w:rPr>
          <w:rFonts w:hint="cs"/>
          <w:sz w:val="27"/>
          <w:rtl/>
        </w:rPr>
        <w:t>ّ</w:t>
      </w:r>
      <w:r w:rsidRPr="00904FCB">
        <w:rPr>
          <w:sz w:val="27"/>
          <w:rtl/>
        </w:rPr>
        <w:t xml:space="preserve"> </w:t>
      </w:r>
      <w:r w:rsidRPr="00904FCB">
        <w:rPr>
          <w:rFonts w:hint="cs"/>
          <w:sz w:val="27"/>
          <w:rtl/>
        </w:rPr>
        <w:t>وغيره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أقسام</w:t>
      </w:r>
      <w:r w:rsidRPr="00904FCB">
        <w:rPr>
          <w:sz w:val="27"/>
          <w:rtl/>
        </w:rPr>
        <w:t xml:space="preserve"> </w:t>
      </w:r>
      <w:r w:rsidRPr="00904FCB">
        <w:rPr>
          <w:rFonts w:hint="cs"/>
          <w:sz w:val="27"/>
          <w:rtl/>
        </w:rPr>
        <w:t xml:space="preserve">الكفّار؟ </w:t>
      </w:r>
    </w:p>
    <w:p w:rsidR="00F34FB9" w:rsidRPr="00904FCB" w:rsidRDefault="00F34FB9" w:rsidP="007A21AA">
      <w:pPr>
        <w:spacing w:line="400" w:lineRule="exact"/>
        <w:rPr>
          <w:sz w:val="27"/>
          <w:rtl/>
        </w:rPr>
      </w:pPr>
      <w:r w:rsidRPr="00904FCB">
        <w:rPr>
          <w:rFonts w:hint="cs"/>
          <w:sz w:val="27"/>
          <w:rtl/>
        </w:rPr>
        <w:t>وتوضيح</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تارةً</w:t>
      </w:r>
      <w:r w:rsidRPr="00904FCB">
        <w:rPr>
          <w:sz w:val="27"/>
          <w:rtl/>
        </w:rPr>
        <w:t xml:space="preserve"> </w:t>
      </w:r>
      <w:r w:rsidRPr="00904FCB">
        <w:rPr>
          <w:rFonts w:hint="cs"/>
          <w:sz w:val="27"/>
          <w:rtl/>
        </w:rPr>
        <w:t>ي</w:t>
      </w:r>
      <w:r w:rsidR="00125C56" w:rsidRPr="00904FCB">
        <w:rPr>
          <w:rFonts w:hint="cs"/>
          <w:sz w:val="27"/>
          <w:rtl/>
        </w:rPr>
        <w:t>ُ</w:t>
      </w:r>
      <w:r w:rsidRPr="00904FCB">
        <w:rPr>
          <w:rFonts w:hint="cs"/>
          <w:sz w:val="27"/>
          <w:rtl/>
        </w:rPr>
        <w:t>راد</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الكريمة</w:t>
      </w:r>
      <w:r w:rsidRPr="00904FCB">
        <w:rPr>
          <w:sz w:val="27"/>
          <w:rtl/>
        </w:rPr>
        <w:t xml:space="preserve"> </w:t>
      </w:r>
      <w:r w:rsidRPr="00904FCB">
        <w:rPr>
          <w:rFonts w:hint="cs"/>
          <w:sz w:val="27"/>
          <w:rtl/>
        </w:rPr>
        <w:t>معناه</w:t>
      </w:r>
      <w:r w:rsidRPr="00904FCB">
        <w:rPr>
          <w:sz w:val="27"/>
          <w:rtl/>
        </w:rPr>
        <w:t xml:space="preserve"> </w:t>
      </w:r>
      <w:r w:rsidRPr="00904FCB">
        <w:rPr>
          <w:rFonts w:hint="cs"/>
          <w:sz w:val="27"/>
          <w:rtl/>
        </w:rPr>
        <w:t>اللغوي</w:t>
      </w:r>
      <w:r w:rsidR="00125C56" w:rsidRPr="00904FCB">
        <w:rPr>
          <w:rFonts w:hint="cs"/>
          <w:sz w:val="27"/>
          <w:rtl/>
        </w:rPr>
        <w:t>ّ</w:t>
      </w:r>
      <w:r w:rsidRPr="00904FCB">
        <w:rPr>
          <w:rFonts w:hint="cs"/>
          <w:sz w:val="27"/>
          <w:rtl/>
        </w:rPr>
        <w:t>، وهو</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م</w:t>
      </w:r>
      <w:r w:rsidR="00125C56" w:rsidRPr="00904FCB">
        <w:rPr>
          <w:rFonts w:hint="cs"/>
          <w:sz w:val="27"/>
          <w:rtl/>
        </w:rPr>
        <w:t>َ</w:t>
      </w:r>
      <w:r w:rsidRPr="00904FCB">
        <w:rPr>
          <w:rFonts w:hint="cs"/>
          <w:sz w:val="27"/>
          <w:rtl/>
        </w:rPr>
        <w:t>ن</w:t>
      </w:r>
      <w:r w:rsidR="00125C56"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متلبسّاً</w:t>
      </w:r>
      <w:r w:rsidRPr="00904FCB">
        <w:rPr>
          <w:sz w:val="27"/>
          <w:rtl/>
        </w:rPr>
        <w:t xml:space="preserve"> </w:t>
      </w:r>
      <w:r w:rsidRPr="00904FCB">
        <w:rPr>
          <w:rFonts w:hint="cs"/>
          <w:sz w:val="27"/>
          <w:rtl/>
        </w:rPr>
        <w:t>بالشرك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الواقع، سواءٌ</w:t>
      </w:r>
      <w:r w:rsidRPr="00904FCB">
        <w:rPr>
          <w:sz w:val="27"/>
          <w:rtl/>
        </w:rPr>
        <w:t xml:space="preserve"> </w:t>
      </w:r>
      <w:r w:rsidRPr="00904FCB">
        <w:rPr>
          <w:rFonts w:hint="cs"/>
          <w:sz w:val="27"/>
          <w:rtl/>
        </w:rPr>
        <w:t>دان</w:t>
      </w:r>
      <w:r w:rsidRPr="00904FCB">
        <w:rPr>
          <w:sz w:val="27"/>
          <w:rtl/>
        </w:rPr>
        <w:t xml:space="preserve"> </w:t>
      </w:r>
      <w:r w:rsidRPr="00904FCB">
        <w:rPr>
          <w:rFonts w:hint="cs"/>
          <w:sz w:val="27"/>
          <w:rtl/>
        </w:rPr>
        <w:t>بعنوان</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لا</w:t>
      </w:r>
      <w:r w:rsidR="00125C56" w:rsidRPr="00904FCB">
        <w:rPr>
          <w:rFonts w:hint="cs"/>
          <w:sz w:val="27"/>
          <w:rtl/>
        </w:rPr>
        <w:t>؛</w:t>
      </w:r>
      <w:r w:rsidRPr="00904FCB">
        <w:rPr>
          <w:sz w:val="27"/>
          <w:rtl/>
        </w:rPr>
        <w:t xml:space="preserve"> </w:t>
      </w:r>
      <w:r w:rsidRPr="00904FCB">
        <w:rPr>
          <w:rFonts w:hint="cs"/>
          <w:sz w:val="27"/>
          <w:rtl/>
        </w:rPr>
        <w:t>وأخرى</w:t>
      </w:r>
      <w:r w:rsidRPr="00904FCB">
        <w:rPr>
          <w:sz w:val="27"/>
          <w:rtl/>
        </w:rPr>
        <w:t xml:space="preserve"> </w:t>
      </w:r>
      <w:r w:rsidRPr="00904FCB">
        <w:rPr>
          <w:rFonts w:hint="cs"/>
          <w:sz w:val="27"/>
          <w:rtl/>
        </w:rPr>
        <w:t>ي</w:t>
      </w:r>
      <w:r w:rsidR="00125C56" w:rsidRPr="00904FCB">
        <w:rPr>
          <w:rFonts w:hint="cs"/>
          <w:sz w:val="27"/>
          <w:rtl/>
        </w:rPr>
        <w:t>ُ</w:t>
      </w:r>
      <w:r w:rsidRPr="00904FCB">
        <w:rPr>
          <w:rFonts w:hint="cs"/>
          <w:sz w:val="27"/>
          <w:rtl/>
        </w:rPr>
        <w:t>راد</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معناه</w:t>
      </w:r>
      <w:r w:rsidRPr="00904FCB">
        <w:rPr>
          <w:sz w:val="27"/>
          <w:rtl/>
        </w:rPr>
        <w:t xml:space="preserve"> </w:t>
      </w:r>
      <w:r w:rsidRPr="00904FCB">
        <w:rPr>
          <w:rFonts w:hint="cs"/>
          <w:sz w:val="27"/>
          <w:rtl/>
        </w:rPr>
        <w:t>الاصطلاحي</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المجتمع</w:t>
      </w:r>
      <w:r w:rsidRPr="00904FCB">
        <w:rPr>
          <w:sz w:val="27"/>
          <w:rtl/>
        </w:rPr>
        <w:t xml:space="preserve"> </w:t>
      </w:r>
      <w:r w:rsidRPr="00904FCB">
        <w:rPr>
          <w:rFonts w:hint="cs"/>
          <w:sz w:val="27"/>
          <w:rtl/>
        </w:rPr>
        <w:t>الإسلامي</w:t>
      </w:r>
      <w:r w:rsidRPr="00904FCB">
        <w:rPr>
          <w:sz w:val="27"/>
          <w:rtl/>
        </w:rPr>
        <w:t xml:space="preserve"> </w:t>
      </w:r>
      <w:r w:rsidRPr="00904FCB">
        <w:rPr>
          <w:rFonts w:hint="cs"/>
          <w:sz w:val="27"/>
          <w:rtl/>
        </w:rPr>
        <w:t>يسير</w:t>
      </w:r>
      <w:r w:rsidRPr="00904FCB">
        <w:rPr>
          <w:sz w:val="27"/>
          <w:rtl/>
        </w:rPr>
        <w:t xml:space="preserve"> </w:t>
      </w:r>
      <w:r w:rsidRPr="00904FCB">
        <w:rPr>
          <w:rFonts w:hint="cs"/>
          <w:sz w:val="27"/>
          <w:rtl/>
        </w:rPr>
        <w:t>عليه، تمييزاً</w:t>
      </w:r>
      <w:r w:rsidRPr="00904FCB">
        <w:rPr>
          <w:sz w:val="27"/>
          <w:rtl/>
        </w:rPr>
        <w:t xml:space="preserve"> </w:t>
      </w:r>
      <w:r w:rsidRPr="00904FCB">
        <w:rPr>
          <w:rFonts w:hint="cs"/>
          <w:sz w:val="27"/>
          <w:rtl/>
        </w:rPr>
        <w:t>للمشرك</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الذمّي، وهو</w:t>
      </w:r>
      <w:r w:rsidRPr="00904FCB">
        <w:rPr>
          <w:sz w:val="27"/>
          <w:rtl/>
        </w:rPr>
        <w:t xml:space="preserve"> </w:t>
      </w:r>
      <w:r w:rsidRPr="00904FCB">
        <w:rPr>
          <w:rFonts w:hint="cs"/>
          <w:sz w:val="27"/>
          <w:rtl/>
        </w:rPr>
        <w:t>عبارة</w:t>
      </w:r>
      <w:r w:rsidRPr="00904FCB">
        <w:rPr>
          <w:sz w:val="27"/>
          <w:rtl/>
        </w:rPr>
        <w:t xml:space="preserve"> </w:t>
      </w:r>
      <w:r w:rsidRPr="00904FCB">
        <w:rPr>
          <w:rFonts w:hint="cs"/>
          <w:sz w:val="27"/>
          <w:rtl/>
        </w:rPr>
        <w:t>عمّ</w:t>
      </w:r>
      <w:r w:rsidR="00125C56" w:rsidRPr="00904FCB">
        <w:rPr>
          <w:rFonts w:hint="cs"/>
          <w:sz w:val="27"/>
          <w:rtl/>
        </w:rPr>
        <w:t>َ</w:t>
      </w:r>
      <w:r w:rsidRPr="00904FCB">
        <w:rPr>
          <w:rFonts w:hint="cs"/>
          <w:sz w:val="27"/>
          <w:rtl/>
        </w:rPr>
        <w:t>ن</w:t>
      </w:r>
      <w:r w:rsidR="00125C56" w:rsidRPr="00904FCB">
        <w:rPr>
          <w:rFonts w:hint="cs"/>
          <w:sz w:val="27"/>
          <w:rtl/>
        </w:rPr>
        <w:t>ْ</w:t>
      </w:r>
      <w:r w:rsidRPr="00904FCB">
        <w:rPr>
          <w:sz w:val="27"/>
          <w:rtl/>
        </w:rPr>
        <w:t xml:space="preserve"> </w:t>
      </w:r>
      <w:r w:rsidRPr="00904FCB">
        <w:rPr>
          <w:rFonts w:hint="cs"/>
          <w:sz w:val="27"/>
          <w:rtl/>
        </w:rPr>
        <w:t>يدين</w:t>
      </w:r>
      <w:r w:rsidRPr="00904FCB">
        <w:rPr>
          <w:sz w:val="27"/>
          <w:rtl/>
        </w:rPr>
        <w:t xml:space="preserve"> </w:t>
      </w:r>
      <w:r w:rsidRPr="00904FCB">
        <w:rPr>
          <w:rFonts w:hint="cs"/>
          <w:sz w:val="27"/>
          <w:rtl/>
        </w:rPr>
        <w:t>بالشرك</w:t>
      </w:r>
      <w:r w:rsidRPr="00904FCB">
        <w:rPr>
          <w:sz w:val="27"/>
          <w:rtl/>
        </w:rPr>
        <w:t xml:space="preserve"> </w:t>
      </w:r>
      <w:r w:rsidRPr="00904FCB">
        <w:rPr>
          <w:rFonts w:hint="cs"/>
          <w:sz w:val="27"/>
          <w:rtl/>
        </w:rPr>
        <w:t>بعنوانه، فلا</w:t>
      </w:r>
      <w:r w:rsidRPr="00904FCB">
        <w:rPr>
          <w:sz w:val="27"/>
          <w:rtl/>
        </w:rPr>
        <w:t xml:space="preserve"> </w:t>
      </w:r>
      <w:r w:rsidRPr="00904FCB">
        <w:rPr>
          <w:rFonts w:hint="cs"/>
          <w:sz w:val="27"/>
          <w:rtl/>
        </w:rPr>
        <w:t>ينطبق</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w:t>
      </w:r>
      <w:r w:rsidR="00125C56" w:rsidRPr="00904FCB">
        <w:rPr>
          <w:rFonts w:hint="cs"/>
          <w:sz w:val="27"/>
          <w:rtl/>
        </w:rPr>
        <w:t>َ</w:t>
      </w:r>
      <w:r w:rsidRPr="00904FCB">
        <w:rPr>
          <w:rFonts w:hint="cs"/>
          <w:sz w:val="27"/>
          <w:rtl/>
        </w:rPr>
        <w:t>ن</w:t>
      </w:r>
      <w:r w:rsidR="00125C56"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واقع</w:t>
      </w:r>
      <w:r w:rsidRPr="00904FCB">
        <w:rPr>
          <w:sz w:val="27"/>
          <w:rtl/>
        </w:rPr>
        <w:t xml:space="preserve"> </w:t>
      </w:r>
      <w:r w:rsidRPr="00904FCB">
        <w:rPr>
          <w:rFonts w:hint="cs"/>
          <w:sz w:val="27"/>
          <w:rtl/>
        </w:rPr>
        <w:t>عقيدته</w:t>
      </w:r>
      <w:r w:rsidRPr="00904FCB">
        <w:rPr>
          <w:sz w:val="27"/>
          <w:rtl/>
        </w:rPr>
        <w:t xml:space="preserve"> </w:t>
      </w:r>
      <w:r w:rsidRPr="00904FCB">
        <w:rPr>
          <w:rFonts w:hint="cs"/>
          <w:sz w:val="27"/>
          <w:rtl/>
        </w:rPr>
        <w:t>شركاً</w:t>
      </w:r>
      <w:r w:rsidR="00125C56" w:rsidRPr="00904FCB">
        <w:rPr>
          <w:rFonts w:hint="cs"/>
          <w:sz w:val="27"/>
          <w:rtl/>
        </w:rPr>
        <w:t xml:space="preserve">، </w:t>
      </w:r>
      <w:r w:rsidRPr="00904FCB">
        <w:rPr>
          <w:rFonts w:hint="cs"/>
          <w:sz w:val="27"/>
          <w:rtl/>
        </w:rPr>
        <w:t>وإن</w:t>
      </w:r>
      <w:r w:rsidR="00125C56" w:rsidRPr="00904FCB">
        <w:rPr>
          <w:rFonts w:hint="cs"/>
          <w:sz w:val="27"/>
          <w:rtl/>
        </w:rPr>
        <w:t>ْ</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يقبل</w:t>
      </w:r>
      <w:r w:rsidRPr="00904FCB">
        <w:rPr>
          <w:sz w:val="27"/>
          <w:rtl/>
        </w:rPr>
        <w:t xml:space="preserve"> </w:t>
      </w:r>
      <w:r w:rsidRPr="00904FCB">
        <w:rPr>
          <w:rFonts w:hint="cs"/>
          <w:sz w:val="27"/>
          <w:rtl/>
        </w:rPr>
        <w:t>عنوان</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لنفسه، كالنصراني</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فعلى</w:t>
      </w:r>
      <w:r w:rsidRPr="00904FCB">
        <w:rPr>
          <w:b/>
          <w:bCs/>
          <w:sz w:val="27"/>
          <w:rtl/>
        </w:rPr>
        <w:t xml:space="preserve"> </w:t>
      </w:r>
      <w:r w:rsidRPr="00904FCB">
        <w:rPr>
          <w:rFonts w:hint="cs"/>
          <w:b/>
          <w:bCs/>
          <w:sz w:val="27"/>
          <w:rtl/>
        </w:rPr>
        <w:t>الأوّل</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إشكال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شمول</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لأقسام</w:t>
      </w:r>
      <w:r w:rsidR="00125C56"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الكفّار</w:t>
      </w:r>
      <w:r w:rsidRPr="00904FCB">
        <w:rPr>
          <w:sz w:val="27"/>
          <w:rtl/>
        </w:rPr>
        <w:t xml:space="preserve"> </w:t>
      </w:r>
      <w:r w:rsidRPr="00904FCB">
        <w:rPr>
          <w:rFonts w:hint="cs"/>
          <w:sz w:val="27"/>
          <w:rtl/>
        </w:rPr>
        <w:t>الكتابيّين</w:t>
      </w:r>
      <w:r w:rsidR="00125C56" w:rsidRPr="00904FCB">
        <w:rPr>
          <w:rFonts w:hint="cs"/>
          <w:sz w:val="27"/>
          <w:rtl/>
        </w:rPr>
        <w:t>،</w:t>
      </w:r>
      <w:r w:rsidRPr="00904FCB">
        <w:rPr>
          <w:sz w:val="27"/>
          <w:rtl/>
        </w:rPr>
        <w:t xml:space="preserve"> </w:t>
      </w:r>
      <w:r w:rsidRPr="00904FCB">
        <w:rPr>
          <w:rFonts w:hint="cs"/>
          <w:sz w:val="27"/>
          <w:rtl/>
        </w:rPr>
        <w:t>كالنصارى</w:t>
      </w:r>
      <w:r w:rsidRPr="00904FCB">
        <w:rPr>
          <w:sz w:val="27"/>
          <w:rtl/>
        </w:rPr>
        <w:t xml:space="preserve"> </w:t>
      </w:r>
      <w:r w:rsidRPr="00904FCB">
        <w:rPr>
          <w:rFonts w:hint="cs"/>
          <w:sz w:val="27"/>
          <w:rtl/>
        </w:rPr>
        <w:t>والمجوس، إلاّ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النصراني</w:t>
      </w:r>
      <w:r w:rsidRPr="00904FCB">
        <w:rPr>
          <w:sz w:val="27"/>
          <w:rtl/>
        </w:rPr>
        <w:t xml:space="preserve"> </w:t>
      </w:r>
      <w:r w:rsidRPr="00904FCB">
        <w:rPr>
          <w:rFonts w:hint="cs"/>
          <w:sz w:val="27"/>
          <w:rtl/>
        </w:rPr>
        <w:t>حينئذٍ</w:t>
      </w:r>
      <w:r w:rsidRPr="00904FCB">
        <w:rPr>
          <w:sz w:val="27"/>
          <w:rtl/>
        </w:rPr>
        <w:t xml:space="preserve"> </w:t>
      </w:r>
      <w:r w:rsidRPr="00904FCB">
        <w:rPr>
          <w:rFonts w:hint="cs"/>
          <w:sz w:val="27"/>
          <w:rtl/>
        </w:rPr>
        <w:t>تكون</w:t>
      </w:r>
      <w:r w:rsidRPr="00904FCB">
        <w:rPr>
          <w:sz w:val="27"/>
          <w:rtl/>
        </w:rPr>
        <w:t xml:space="preserve"> </w:t>
      </w:r>
      <w:r w:rsidRPr="00904FCB">
        <w:rPr>
          <w:rFonts w:hint="cs"/>
          <w:sz w:val="27"/>
          <w:rtl/>
        </w:rPr>
        <w:t>بوصفه</w:t>
      </w:r>
      <w:r w:rsidRPr="00904FCB">
        <w:rPr>
          <w:sz w:val="27"/>
          <w:rtl/>
        </w:rPr>
        <w:t xml:space="preserve"> </w:t>
      </w:r>
      <w:r w:rsidRPr="00904FCB">
        <w:rPr>
          <w:rFonts w:hint="cs"/>
          <w:sz w:val="27"/>
          <w:rtl/>
        </w:rPr>
        <w:t>مشركاً، فلا</w:t>
      </w:r>
      <w:r w:rsidRPr="00904FCB">
        <w:rPr>
          <w:sz w:val="27"/>
          <w:rtl/>
        </w:rPr>
        <w:t xml:space="preserve"> </w:t>
      </w:r>
      <w:r w:rsidRPr="00904FCB">
        <w:rPr>
          <w:rFonts w:hint="cs"/>
          <w:sz w:val="27"/>
          <w:rtl/>
        </w:rPr>
        <w:t>تشمل</w:t>
      </w:r>
      <w:r w:rsidRPr="00904FCB">
        <w:rPr>
          <w:sz w:val="27"/>
          <w:rtl/>
        </w:rPr>
        <w:t xml:space="preserve"> </w:t>
      </w:r>
      <w:r w:rsidRPr="00904FCB">
        <w:rPr>
          <w:rFonts w:hint="cs"/>
          <w:sz w:val="27"/>
          <w:rtl/>
        </w:rPr>
        <w:t>نصرانيّاً</w:t>
      </w:r>
      <w:r w:rsidRPr="00904FCB">
        <w:rPr>
          <w:sz w:val="27"/>
          <w:rtl/>
        </w:rPr>
        <w:t xml:space="preserve"> </w:t>
      </w:r>
      <w:r w:rsidRPr="00904FCB">
        <w:rPr>
          <w:rFonts w:hint="cs"/>
          <w:sz w:val="27"/>
          <w:rtl/>
        </w:rPr>
        <w:t>اتّ</w:t>
      </w:r>
      <w:r w:rsidR="00125C56" w:rsidRPr="00904FCB">
        <w:rPr>
          <w:rFonts w:hint="cs"/>
          <w:sz w:val="27"/>
          <w:rtl/>
        </w:rPr>
        <w:t>َ</w:t>
      </w:r>
      <w:r w:rsidRPr="00904FCB">
        <w:rPr>
          <w:rFonts w:hint="cs"/>
          <w:sz w:val="27"/>
          <w:rtl/>
        </w:rPr>
        <w:t>فق</w:t>
      </w:r>
      <w:r w:rsidRPr="00904FCB">
        <w:rPr>
          <w:sz w:val="27"/>
          <w:rtl/>
        </w:rPr>
        <w:t xml:space="preserve"> </w:t>
      </w:r>
      <w:r w:rsidRPr="00904FCB">
        <w:rPr>
          <w:rFonts w:hint="cs"/>
          <w:sz w:val="27"/>
          <w:rtl/>
        </w:rPr>
        <w:t>إيمان</w:t>
      </w:r>
      <w:r w:rsidR="00125C56" w:rsidRPr="00904FCB">
        <w:rPr>
          <w:rFonts w:hint="cs"/>
          <w:sz w:val="27"/>
          <w:rtl/>
        </w:rPr>
        <w:t>ُ</w:t>
      </w:r>
      <w:r w:rsidRPr="00904FCB">
        <w:rPr>
          <w:rFonts w:hint="cs"/>
          <w:sz w:val="27"/>
          <w:rtl/>
        </w:rPr>
        <w:t>ه</w:t>
      </w:r>
      <w:r w:rsidRPr="00904FCB">
        <w:rPr>
          <w:sz w:val="27"/>
          <w:rtl/>
        </w:rPr>
        <w:t xml:space="preserve"> </w:t>
      </w:r>
      <w:r w:rsidRPr="00904FCB">
        <w:rPr>
          <w:rFonts w:hint="cs"/>
          <w:sz w:val="27"/>
          <w:rtl/>
        </w:rPr>
        <w:t>بالنصرانيّة</w:t>
      </w:r>
      <w:r w:rsidR="00125C56" w:rsidRPr="00904FCB">
        <w:rPr>
          <w:rFonts w:hint="cs"/>
          <w:sz w:val="27"/>
          <w:rtl/>
        </w:rPr>
        <w:t>،</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تورّ</w:t>
      </w:r>
      <w:r w:rsidR="00125C56" w:rsidRPr="00904FCB">
        <w:rPr>
          <w:rFonts w:hint="cs"/>
          <w:sz w:val="27"/>
          <w:rtl/>
        </w:rPr>
        <w:t>ُ</w:t>
      </w:r>
      <w:r w:rsidRPr="00904FCB">
        <w:rPr>
          <w:rFonts w:hint="cs"/>
          <w:sz w:val="27"/>
          <w:rtl/>
        </w:rPr>
        <w:t>ط</w:t>
      </w:r>
      <w:r w:rsidR="00125C56"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شركها</w:t>
      </w:r>
      <w:r w:rsidRPr="00904FCB">
        <w:rPr>
          <w:sz w:val="27"/>
          <w:rtl/>
        </w:rPr>
        <w:t xml:space="preserve"> </w:t>
      </w:r>
      <w:r w:rsidRPr="00904FCB">
        <w:rPr>
          <w:rFonts w:hint="cs"/>
          <w:sz w:val="27"/>
          <w:rtl/>
        </w:rPr>
        <w:t>وتثليثها</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وقد</w:t>
      </w:r>
      <w:r w:rsidRPr="00904FCB">
        <w:rPr>
          <w:b/>
          <w:bCs/>
          <w:sz w:val="27"/>
          <w:rtl/>
        </w:rPr>
        <w:t xml:space="preserve"> </w:t>
      </w:r>
      <w:r w:rsidR="00125C56" w:rsidRPr="00904FCB">
        <w:rPr>
          <w:rFonts w:hint="cs"/>
          <w:b/>
          <w:bCs/>
          <w:sz w:val="27"/>
          <w:rtl/>
        </w:rPr>
        <w:t>يُورَد</w:t>
      </w:r>
      <w:r w:rsidRPr="00904FCB">
        <w:rPr>
          <w:b/>
          <w:bCs/>
          <w:sz w:val="27"/>
          <w:rtl/>
        </w:rPr>
        <w:t xml:space="preserve"> </w:t>
      </w:r>
      <w:r w:rsidRPr="00904FCB">
        <w:rPr>
          <w:rFonts w:hint="cs"/>
          <w:b/>
          <w:bCs/>
          <w:sz w:val="27"/>
          <w:rtl/>
        </w:rPr>
        <w:t>على</w:t>
      </w:r>
      <w:r w:rsidRPr="00904FCB">
        <w:rPr>
          <w:b/>
          <w:bCs/>
          <w:sz w:val="27"/>
          <w:rtl/>
        </w:rPr>
        <w:t xml:space="preserve"> </w:t>
      </w:r>
      <w:r w:rsidRPr="00904FCB">
        <w:rPr>
          <w:rFonts w:hint="cs"/>
          <w:b/>
          <w:bCs/>
          <w:sz w:val="27"/>
          <w:rtl/>
        </w:rPr>
        <w:t>هذا</w:t>
      </w:r>
      <w:r w:rsidRPr="00904FCB">
        <w:rPr>
          <w:b/>
          <w:bCs/>
          <w:sz w:val="27"/>
          <w:rtl/>
        </w:rPr>
        <w:t xml:space="preserve"> </w:t>
      </w:r>
      <w:r w:rsidRPr="00904FCB">
        <w:rPr>
          <w:rFonts w:hint="cs"/>
          <w:b/>
          <w:bCs/>
          <w:sz w:val="27"/>
          <w:rtl/>
        </w:rPr>
        <w:t>التقدير</w:t>
      </w:r>
      <w:r w:rsidRPr="00904FCB">
        <w:rPr>
          <w:sz w:val="27"/>
          <w:rtl/>
        </w:rPr>
        <w:t xml:space="preserve"> </w:t>
      </w:r>
      <w:r w:rsidRPr="00904FCB">
        <w:rPr>
          <w:rFonts w:hint="cs"/>
          <w:sz w:val="27"/>
          <w:rtl/>
        </w:rPr>
        <w:t>بدعوى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الأخذ</w:t>
      </w:r>
      <w:r w:rsidRPr="00904FCB">
        <w:rPr>
          <w:sz w:val="27"/>
          <w:rtl/>
        </w:rPr>
        <w:t xml:space="preserve"> </w:t>
      </w:r>
      <w:r w:rsidRPr="00904FCB">
        <w:rPr>
          <w:rFonts w:hint="cs"/>
          <w:sz w:val="27"/>
          <w:rtl/>
        </w:rPr>
        <w:t>بإطلاق</w:t>
      </w:r>
      <w:r w:rsidRPr="00904FCB">
        <w:rPr>
          <w:sz w:val="27"/>
          <w:rtl/>
        </w:rPr>
        <w:t xml:space="preserve"> </w:t>
      </w:r>
      <w:r w:rsidRPr="00904FCB">
        <w:rPr>
          <w:rFonts w:hint="cs"/>
          <w:sz w:val="27"/>
          <w:rtl/>
        </w:rPr>
        <w:t>كلمة</w:t>
      </w:r>
      <w:r w:rsidRPr="00904FCB">
        <w:rPr>
          <w:sz w:val="27"/>
          <w:rtl/>
        </w:rPr>
        <w:t xml:space="preserve"> «</w:t>
      </w:r>
      <w:r w:rsidRPr="00904FCB">
        <w:rPr>
          <w:rFonts w:hint="cs"/>
          <w:sz w:val="27"/>
          <w:rtl/>
        </w:rPr>
        <w:t>المشرك</w:t>
      </w:r>
      <w:r w:rsidRPr="00904FCB">
        <w:rPr>
          <w:rFonts w:hint="eastAsia"/>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ممكن؛ لأنّ</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عنوان</w:t>
      </w:r>
      <w:r w:rsidRPr="00904FCB">
        <w:rPr>
          <w:sz w:val="27"/>
          <w:rtl/>
        </w:rPr>
        <w:t xml:space="preserve"> </w:t>
      </w:r>
      <w:r w:rsidRPr="00904FCB">
        <w:rPr>
          <w:rFonts w:hint="cs"/>
          <w:sz w:val="27"/>
          <w:rtl/>
        </w:rPr>
        <w:t>يطبّ</w:t>
      </w:r>
      <w:r w:rsidR="00125C56" w:rsidRPr="00904FCB">
        <w:rPr>
          <w:rFonts w:hint="cs"/>
          <w:sz w:val="27"/>
          <w:rtl/>
        </w:rPr>
        <w:t>َ</w:t>
      </w:r>
      <w:r w:rsidRPr="00904FCB">
        <w:rPr>
          <w:rFonts w:hint="cs"/>
          <w:sz w:val="27"/>
          <w:rtl/>
        </w:rPr>
        <w:t>ق</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كثيرٍ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العصاة</w:t>
      </w:r>
      <w:r w:rsidRPr="00904FCB">
        <w:rPr>
          <w:sz w:val="27"/>
          <w:rtl/>
        </w:rPr>
        <w:t xml:space="preserve"> </w:t>
      </w:r>
      <w:r w:rsidRPr="00904FCB">
        <w:rPr>
          <w:rFonts w:hint="cs"/>
          <w:sz w:val="27"/>
          <w:rtl/>
        </w:rPr>
        <w:t>المسلمين</w:t>
      </w:r>
      <w:r w:rsidRPr="00904FCB">
        <w:rPr>
          <w:sz w:val="27"/>
          <w:rtl/>
        </w:rPr>
        <w:t xml:space="preserve"> </w:t>
      </w:r>
      <w:r w:rsidRPr="00904FCB">
        <w:rPr>
          <w:rFonts w:hint="cs"/>
          <w:sz w:val="27"/>
          <w:rtl/>
        </w:rPr>
        <w:t>أيضاً، كالمرائي</w:t>
      </w:r>
      <w:r w:rsidRPr="00904FCB">
        <w:rPr>
          <w:sz w:val="27"/>
          <w:rtl/>
        </w:rPr>
        <w:t xml:space="preserve"> </w:t>
      </w:r>
      <w:r w:rsidRPr="00904FCB">
        <w:rPr>
          <w:rFonts w:hint="cs"/>
          <w:sz w:val="27"/>
          <w:rtl/>
        </w:rPr>
        <w:t>مثلاً، فلا</w:t>
      </w:r>
      <w:r w:rsidRPr="00904FCB">
        <w:rPr>
          <w:sz w:val="27"/>
          <w:rtl/>
        </w:rPr>
        <w:t xml:space="preserve"> </w:t>
      </w:r>
      <w:r w:rsidRPr="00904FCB">
        <w:rPr>
          <w:rFonts w:hint="cs"/>
          <w:sz w:val="27"/>
          <w:rtl/>
        </w:rPr>
        <w:t>ب</w:t>
      </w:r>
      <w:r w:rsidR="00125C56" w:rsidRPr="00904FCB">
        <w:rPr>
          <w:rFonts w:hint="cs"/>
          <w:sz w:val="27"/>
          <w:rtl/>
        </w:rPr>
        <w:t>ُ</w:t>
      </w:r>
      <w:r w:rsidRPr="00904FCB">
        <w:rPr>
          <w:rFonts w:hint="cs"/>
          <w:sz w:val="27"/>
          <w:rtl/>
        </w:rPr>
        <w:t>دّ</w:t>
      </w:r>
      <w:r w:rsidR="00125C56" w:rsidRPr="00904FCB">
        <w:rPr>
          <w:rFonts w:hint="cs"/>
          <w:sz w:val="27"/>
          <w:rtl/>
        </w:rPr>
        <w:t>َ</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المقصود</w:t>
      </w:r>
      <w:r w:rsidRPr="00904FCB">
        <w:rPr>
          <w:sz w:val="27"/>
          <w:rtl/>
        </w:rPr>
        <w:t xml:space="preserve"> </w:t>
      </w:r>
      <w:r w:rsidRPr="00904FCB">
        <w:rPr>
          <w:rFonts w:hint="cs"/>
          <w:sz w:val="27"/>
          <w:rtl/>
        </w:rPr>
        <w:t>نوعاً</w:t>
      </w:r>
      <w:r w:rsidRPr="00904FCB">
        <w:rPr>
          <w:sz w:val="27"/>
          <w:rtl/>
        </w:rPr>
        <w:t xml:space="preserve"> </w:t>
      </w:r>
      <w:r w:rsidRPr="00904FCB">
        <w:rPr>
          <w:rFonts w:hint="cs"/>
          <w:sz w:val="27"/>
          <w:rtl/>
        </w:rPr>
        <w:t>خاصّاً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المشركين، ومعه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التمسّك</w:t>
      </w:r>
      <w:r w:rsidRPr="00904FCB">
        <w:rPr>
          <w:sz w:val="27"/>
          <w:rtl/>
        </w:rPr>
        <w:t xml:space="preserve"> </w:t>
      </w:r>
      <w:r w:rsidRPr="00904FCB">
        <w:rPr>
          <w:rFonts w:hint="cs"/>
          <w:sz w:val="27"/>
          <w:rtl/>
        </w:rPr>
        <w:t>بإطلاق</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للمشرك</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الكتابيّين</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ويندفع</w:t>
      </w:r>
      <w:r w:rsidRPr="00904FCB">
        <w:rPr>
          <w:b/>
          <w:bCs/>
          <w:sz w:val="27"/>
          <w:rtl/>
        </w:rPr>
        <w:t xml:space="preserve"> </w:t>
      </w:r>
      <w:r w:rsidRPr="00904FCB">
        <w:rPr>
          <w:rFonts w:hint="cs"/>
          <w:b/>
          <w:bCs/>
          <w:sz w:val="27"/>
          <w:rtl/>
        </w:rPr>
        <w:t>ذلك</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وإن</w:t>
      </w:r>
      <w:r w:rsidR="00125C56"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ينطبق</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م</w:t>
      </w:r>
      <w:r w:rsidR="00125C56" w:rsidRPr="00904FCB">
        <w:rPr>
          <w:rFonts w:hint="cs"/>
          <w:sz w:val="27"/>
          <w:rtl/>
        </w:rPr>
        <w:t>َ</w:t>
      </w:r>
      <w:r w:rsidRPr="00904FCB">
        <w:rPr>
          <w:rFonts w:hint="cs"/>
          <w:sz w:val="27"/>
          <w:rtl/>
        </w:rPr>
        <w:t>ن</w:t>
      </w:r>
      <w:r w:rsidR="00125C56" w:rsidRPr="00904FCB">
        <w:rPr>
          <w:rFonts w:hint="cs"/>
          <w:sz w:val="27"/>
          <w:rtl/>
        </w:rPr>
        <w:t>ْ</w:t>
      </w:r>
      <w:r w:rsidRPr="00904FCB">
        <w:rPr>
          <w:sz w:val="27"/>
          <w:rtl/>
        </w:rPr>
        <w:t xml:space="preserve"> </w:t>
      </w:r>
      <w:r w:rsidRPr="00904FCB">
        <w:rPr>
          <w:rFonts w:hint="cs"/>
          <w:sz w:val="27"/>
          <w:rtl/>
        </w:rPr>
        <w:t>أشرك</w:t>
      </w:r>
      <w:r w:rsidRPr="00904FCB">
        <w:rPr>
          <w:sz w:val="27"/>
          <w:rtl/>
        </w:rPr>
        <w:t xml:space="preserve"> </w:t>
      </w:r>
      <w:r w:rsidRPr="00904FCB">
        <w:rPr>
          <w:rFonts w:hint="cs"/>
          <w:sz w:val="27"/>
          <w:rtl/>
        </w:rPr>
        <w:t>شخصاً</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مقام</w:t>
      </w:r>
      <w:r w:rsidR="00125C56"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المقامات</w:t>
      </w:r>
      <w:r w:rsidRPr="00904FCB">
        <w:rPr>
          <w:sz w:val="27"/>
          <w:rtl/>
        </w:rPr>
        <w:t xml:space="preserve"> </w:t>
      </w:r>
      <w:r w:rsidRPr="00904FCB">
        <w:rPr>
          <w:rFonts w:hint="cs"/>
          <w:sz w:val="27"/>
          <w:rtl/>
        </w:rPr>
        <w:t>المختصّة</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وجوب</w:t>
      </w:r>
      <w:r w:rsidRPr="00904FCB">
        <w:rPr>
          <w:sz w:val="27"/>
          <w:rtl/>
        </w:rPr>
        <w:t xml:space="preserve"> </w:t>
      </w:r>
      <w:r w:rsidRPr="00904FCB">
        <w:rPr>
          <w:rFonts w:hint="cs"/>
          <w:sz w:val="27"/>
          <w:rtl/>
        </w:rPr>
        <w:t>الوجود، أو</w:t>
      </w:r>
      <w:r w:rsidRPr="00904FCB">
        <w:rPr>
          <w:sz w:val="27"/>
          <w:rtl/>
        </w:rPr>
        <w:t xml:space="preserve"> </w:t>
      </w:r>
      <w:r w:rsidRPr="00904FCB">
        <w:rPr>
          <w:rFonts w:hint="cs"/>
          <w:sz w:val="27"/>
          <w:rtl/>
        </w:rPr>
        <w:t>الخالقيّة</w:t>
      </w:r>
      <w:r w:rsidR="00125C56"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الألوهيّة، أو</w:t>
      </w:r>
      <w:r w:rsidRPr="00904FCB">
        <w:rPr>
          <w:sz w:val="27"/>
          <w:rtl/>
        </w:rPr>
        <w:t xml:space="preserve"> </w:t>
      </w:r>
      <w:r w:rsidRPr="00904FCB">
        <w:rPr>
          <w:rFonts w:hint="cs"/>
          <w:sz w:val="27"/>
          <w:rtl/>
        </w:rPr>
        <w:t>الحاكميّة</w:t>
      </w:r>
      <w:r w:rsidRPr="00904FCB">
        <w:rPr>
          <w:sz w:val="27"/>
          <w:rtl/>
        </w:rPr>
        <w:t xml:space="preserve"> </w:t>
      </w:r>
      <w:r w:rsidRPr="00904FCB">
        <w:rPr>
          <w:rFonts w:hint="cs"/>
          <w:sz w:val="27"/>
          <w:rtl/>
        </w:rPr>
        <w:t>ووجوب</w:t>
      </w:r>
      <w:r w:rsidRPr="00904FCB">
        <w:rPr>
          <w:sz w:val="27"/>
          <w:rtl/>
        </w:rPr>
        <w:t xml:space="preserve"> </w:t>
      </w:r>
      <w:r w:rsidRPr="00904FCB">
        <w:rPr>
          <w:rFonts w:hint="cs"/>
          <w:sz w:val="27"/>
          <w:rtl/>
        </w:rPr>
        <w:t>الطاعة، أو</w:t>
      </w:r>
      <w:r w:rsidRPr="00904FCB">
        <w:rPr>
          <w:sz w:val="27"/>
          <w:rtl/>
        </w:rPr>
        <w:t xml:space="preserve"> </w:t>
      </w:r>
      <w:r w:rsidRPr="00904FCB">
        <w:rPr>
          <w:rFonts w:hint="cs"/>
          <w:sz w:val="27"/>
          <w:rtl/>
        </w:rPr>
        <w:t>الاستعانة</w:t>
      </w:r>
      <w:r w:rsidRPr="00904FCB">
        <w:rPr>
          <w:sz w:val="27"/>
          <w:rtl/>
        </w:rPr>
        <w:t xml:space="preserve"> </w:t>
      </w:r>
      <w:r w:rsidRPr="00904FCB">
        <w:rPr>
          <w:rFonts w:hint="cs"/>
          <w:sz w:val="27"/>
          <w:rtl/>
        </w:rPr>
        <w:t>الغيبيّة، وغير</w:t>
      </w:r>
      <w:r w:rsidRPr="00904FCB">
        <w:rPr>
          <w:sz w:val="27"/>
          <w:rtl/>
        </w:rPr>
        <w:t xml:space="preserve"> </w:t>
      </w:r>
      <w:r w:rsidRPr="00904FCB">
        <w:rPr>
          <w:rFonts w:hint="cs"/>
          <w:sz w:val="27"/>
          <w:rtl/>
        </w:rPr>
        <w:t>ذلك، إلاّ</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ينصرف</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الإشراك</w:t>
      </w:r>
      <w:r w:rsidRPr="00904FCB">
        <w:rPr>
          <w:sz w:val="27"/>
          <w:rtl/>
        </w:rPr>
        <w:t xml:space="preserve"> </w:t>
      </w:r>
      <w:r w:rsidRPr="00904FCB">
        <w:rPr>
          <w:rFonts w:hint="cs"/>
          <w:sz w:val="27"/>
          <w:rtl/>
        </w:rPr>
        <w:t>بلحاظ</w:t>
      </w:r>
      <w:r w:rsidRPr="00904FCB">
        <w:rPr>
          <w:sz w:val="27"/>
          <w:rtl/>
        </w:rPr>
        <w:t xml:space="preserve"> </w:t>
      </w:r>
      <w:r w:rsidRPr="00904FCB">
        <w:rPr>
          <w:rFonts w:hint="cs"/>
          <w:sz w:val="27"/>
          <w:rtl/>
        </w:rPr>
        <w:t>مرتبة</w:t>
      </w:r>
      <w:r w:rsidRPr="00904FCB">
        <w:rPr>
          <w:sz w:val="27"/>
          <w:rtl/>
        </w:rPr>
        <w:t xml:space="preserve"> </w:t>
      </w:r>
      <w:r w:rsidRPr="00904FCB">
        <w:rPr>
          <w:rFonts w:hint="cs"/>
          <w:sz w:val="27"/>
          <w:rtl/>
        </w:rPr>
        <w:t>الألوهيّة</w:t>
      </w:r>
      <w:r w:rsidRPr="00904FCB">
        <w:rPr>
          <w:sz w:val="27"/>
          <w:rtl/>
        </w:rPr>
        <w:t xml:space="preserve"> </w:t>
      </w:r>
      <w:r w:rsidRPr="00904FCB">
        <w:rPr>
          <w:rFonts w:hint="cs"/>
          <w:sz w:val="27"/>
          <w:rtl/>
        </w:rPr>
        <w:t>والعبادة؛ لأنّها</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المرتبة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اختصاص</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أمراً</w:t>
      </w:r>
      <w:r w:rsidRPr="00904FCB">
        <w:rPr>
          <w:sz w:val="27"/>
          <w:rtl/>
        </w:rPr>
        <w:t xml:space="preserve"> </w:t>
      </w:r>
      <w:r w:rsidRPr="00904FCB">
        <w:rPr>
          <w:rFonts w:hint="cs"/>
          <w:sz w:val="27"/>
          <w:rtl/>
        </w:rPr>
        <w:t>مركوزاً</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ارتكاز</w:t>
      </w:r>
      <w:r w:rsidRPr="00904FCB">
        <w:rPr>
          <w:sz w:val="27"/>
          <w:rtl/>
        </w:rPr>
        <w:t xml:space="preserve"> </w:t>
      </w:r>
      <w:r w:rsidRPr="00904FCB">
        <w:rPr>
          <w:rFonts w:hint="cs"/>
          <w:sz w:val="27"/>
          <w:rtl/>
        </w:rPr>
        <w:t>طهارة</w:t>
      </w:r>
      <w:r w:rsidRPr="00904FCB">
        <w:rPr>
          <w:sz w:val="27"/>
          <w:rtl/>
        </w:rPr>
        <w:t xml:space="preserve"> </w:t>
      </w:r>
      <w:r w:rsidRPr="00904FCB">
        <w:rPr>
          <w:rFonts w:hint="cs"/>
          <w:sz w:val="27"/>
          <w:rtl/>
        </w:rPr>
        <w:t>المسلم</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ولو</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مرائياً</w:t>
      </w:r>
      <w:r w:rsidRPr="00904FCB">
        <w:rPr>
          <w:sz w:val="27"/>
          <w:rtl/>
        </w:rPr>
        <w:t xml:space="preserve"> </w:t>
      </w:r>
      <w:r w:rsidRPr="00904FCB">
        <w:rPr>
          <w:rFonts w:hint="cs"/>
          <w:sz w:val="27"/>
          <w:rtl/>
        </w:rPr>
        <w:t>وعاصياً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بمثابة</w:t>
      </w:r>
      <w:r w:rsidRPr="00904FCB">
        <w:rPr>
          <w:sz w:val="27"/>
          <w:rtl/>
        </w:rPr>
        <w:t xml:space="preserve"> </w:t>
      </w:r>
      <w:r w:rsidRPr="00904FCB">
        <w:rPr>
          <w:rFonts w:hint="cs"/>
          <w:sz w:val="27"/>
          <w:rtl/>
        </w:rPr>
        <w:t>القرينة</w:t>
      </w:r>
      <w:r w:rsidRPr="00904FCB">
        <w:rPr>
          <w:sz w:val="27"/>
          <w:rtl/>
        </w:rPr>
        <w:t xml:space="preserve"> </w:t>
      </w:r>
      <w:r w:rsidRPr="00904FCB">
        <w:rPr>
          <w:rFonts w:hint="cs"/>
          <w:sz w:val="27"/>
          <w:rtl/>
        </w:rPr>
        <w:t>المتّ</w:t>
      </w:r>
      <w:r w:rsidR="003E3295" w:rsidRPr="00904FCB">
        <w:rPr>
          <w:rFonts w:hint="cs"/>
          <w:sz w:val="27"/>
          <w:rtl/>
        </w:rPr>
        <w:t>َ</w:t>
      </w:r>
      <w:r w:rsidRPr="00904FCB">
        <w:rPr>
          <w:rFonts w:hint="cs"/>
          <w:sz w:val="27"/>
          <w:rtl/>
        </w:rPr>
        <w:t>صلة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تقييد</w:t>
      </w:r>
      <w:r w:rsidRPr="00904FCB">
        <w:rPr>
          <w:sz w:val="27"/>
          <w:rtl/>
        </w:rPr>
        <w:t xml:space="preserve"> </w:t>
      </w:r>
      <w:r w:rsidRPr="00904FCB">
        <w:rPr>
          <w:rFonts w:hint="cs"/>
          <w:sz w:val="27"/>
          <w:rtl/>
        </w:rPr>
        <w:t>الإطلاق، ومعه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موجب</w:t>
      </w:r>
      <w:r w:rsidRPr="00904FCB">
        <w:rPr>
          <w:sz w:val="27"/>
          <w:rtl/>
        </w:rPr>
        <w:t xml:space="preserve"> </w:t>
      </w:r>
      <w:r w:rsidRPr="00904FCB">
        <w:rPr>
          <w:rFonts w:hint="cs"/>
          <w:sz w:val="27"/>
          <w:rtl/>
        </w:rPr>
        <w:t>لرفع</w:t>
      </w:r>
      <w:r w:rsidRPr="00904FCB">
        <w:rPr>
          <w:sz w:val="27"/>
          <w:rtl/>
        </w:rPr>
        <w:t xml:space="preserve"> </w:t>
      </w:r>
      <w:r w:rsidRPr="00904FCB">
        <w:rPr>
          <w:rFonts w:hint="cs"/>
          <w:sz w:val="27"/>
          <w:rtl/>
        </w:rPr>
        <w:t>اليد</w:t>
      </w:r>
      <w:r w:rsidRPr="00904FCB">
        <w:rPr>
          <w:sz w:val="27"/>
          <w:rtl/>
        </w:rPr>
        <w:t xml:space="preserve"> </w:t>
      </w:r>
      <w:r w:rsidRPr="00904FCB">
        <w:rPr>
          <w:rFonts w:hint="cs"/>
          <w:sz w:val="27"/>
          <w:rtl/>
        </w:rPr>
        <w:lastRenderedPageBreak/>
        <w:t>عن</w:t>
      </w:r>
      <w:r w:rsidRPr="00904FCB">
        <w:rPr>
          <w:sz w:val="27"/>
          <w:rtl/>
        </w:rPr>
        <w:t xml:space="preserve"> </w:t>
      </w:r>
      <w:r w:rsidRPr="00904FCB">
        <w:rPr>
          <w:rFonts w:hint="cs"/>
          <w:sz w:val="27"/>
          <w:rtl/>
        </w:rPr>
        <w:t>الإطلاق</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بمقدار</w:t>
      </w:r>
      <w:r w:rsidRPr="00904FCB">
        <w:rPr>
          <w:sz w:val="27"/>
          <w:rtl/>
        </w:rPr>
        <w:t xml:space="preserve"> </w:t>
      </w:r>
      <w:r w:rsidRPr="00904FCB">
        <w:rPr>
          <w:rFonts w:hint="cs"/>
          <w:sz w:val="27"/>
          <w:rtl/>
        </w:rPr>
        <w:t>اقتضاء</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القرينة</w:t>
      </w:r>
      <w:r w:rsidRPr="00904FCB">
        <w:rPr>
          <w:sz w:val="27"/>
          <w:rtl/>
        </w:rPr>
        <w:t xml:space="preserve"> </w:t>
      </w:r>
      <w:r w:rsidRPr="00904FCB">
        <w:rPr>
          <w:rFonts w:hint="cs"/>
          <w:sz w:val="27"/>
          <w:rtl/>
        </w:rPr>
        <w:t>اللب</w:t>
      </w:r>
      <w:r w:rsidR="003E3295" w:rsidRPr="00904FCB">
        <w:rPr>
          <w:rFonts w:hint="cs"/>
          <w:sz w:val="27"/>
          <w:rtl/>
        </w:rPr>
        <w:t>ّ</w:t>
      </w:r>
      <w:r w:rsidRPr="00904FCB">
        <w:rPr>
          <w:rFonts w:hint="cs"/>
          <w:sz w:val="27"/>
          <w:rtl/>
        </w:rPr>
        <w:t>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التقييد</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وعلى</w:t>
      </w:r>
      <w:r w:rsidRPr="00904FCB">
        <w:rPr>
          <w:b/>
          <w:bCs/>
          <w:sz w:val="27"/>
          <w:rtl/>
        </w:rPr>
        <w:t xml:space="preserve"> </w:t>
      </w:r>
      <w:r w:rsidRPr="00904FCB">
        <w:rPr>
          <w:rFonts w:hint="cs"/>
          <w:b/>
          <w:bCs/>
          <w:sz w:val="27"/>
          <w:rtl/>
        </w:rPr>
        <w:t>التقدير</w:t>
      </w:r>
      <w:r w:rsidRPr="00904FCB">
        <w:rPr>
          <w:b/>
          <w:bCs/>
          <w:sz w:val="27"/>
          <w:rtl/>
        </w:rPr>
        <w:t xml:space="preserve"> </w:t>
      </w:r>
      <w:r w:rsidRPr="00904FCB">
        <w:rPr>
          <w:rFonts w:hint="cs"/>
          <w:b/>
          <w:bCs/>
          <w:sz w:val="27"/>
          <w:rtl/>
        </w:rPr>
        <w:t>الثاني</w:t>
      </w:r>
      <w:r w:rsidR="003E3295" w:rsidRPr="00904FCB">
        <w:rPr>
          <w:rFonts w:hint="cs"/>
          <w:sz w:val="27"/>
          <w:rtl/>
        </w:rPr>
        <w:t xml:space="preserve"> </w:t>
      </w:r>
      <w:r w:rsidRPr="00904FCB">
        <w:rPr>
          <w:rFonts w:hint="cs"/>
          <w:sz w:val="27"/>
          <w:rtl/>
        </w:rPr>
        <w:t>تختصّ</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بالمشرك</w:t>
      </w:r>
      <w:r w:rsidRPr="00904FCB">
        <w:rPr>
          <w:sz w:val="27"/>
          <w:rtl/>
        </w:rPr>
        <w:t xml:space="preserve"> </w:t>
      </w:r>
      <w:r w:rsidRPr="00904FCB">
        <w:rPr>
          <w:rFonts w:hint="cs"/>
          <w:sz w:val="27"/>
          <w:rtl/>
        </w:rPr>
        <w:t>المقابل</w:t>
      </w:r>
      <w:r w:rsidRPr="00904FCB">
        <w:rPr>
          <w:sz w:val="27"/>
          <w:rtl/>
        </w:rPr>
        <w:t xml:space="preserve"> </w:t>
      </w:r>
      <w:r w:rsidRPr="00904FCB">
        <w:rPr>
          <w:rFonts w:hint="cs"/>
          <w:sz w:val="27"/>
          <w:rtl/>
        </w:rPr>
        <w:t>للكتابي</w:t>
      </w:r>
      <w:r w:rsidR="003E3295" w:rsidRPr="00904FCB">
        <w:rPr>
          <w:rFonts w:hint="cs"/>
          <w:sz w:val="27"/>
          <w:rtl/>
        </w:rPr>
        <w:t>ّ،</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واضح</w:t>
      </w:r>
      <w:r w:rsidR="003E3295"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وليس</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المجازفة</w:t>
      </w:r>
      <w:r w:rsidRPr="00904FCB">
        <w:rPr>
          <w:sz w:val="27"/>
          <w:rtl/>
        </w:rPr>
        <w:t xml:space="preserve"> </w:t>
      </w:r>
      <w:r w:rsidRPr="00904FCB">
        <w:rPr>
          <w:rFonts w:hint="cs"/>
          <w:sz w:val="27"/>
          <w:rtl/>
        </w:rPr>
        <w:t>دعوى</w:t>
      </w:r>
      <w:r w:rsidRPr="00904FCB">
        <w:rPr>
          <w:sz w:val="27"/>
          <w:rtl/>
        </w:rPr>
        <w:t xml:space="preserve"> </w:t>
      </w:r>
      <w:r w:rsidRPr="00904FCB">
        <w:rPr>
          <w:rFonts w:hint="cs"/>
          <w:sz w:val="27"/>
          <w:rtl/>
        </w:rPr>
        <w:t>ظهور</w:t>
      </w:r>
      <w:r w:rsidRPr="00904FCB">
        <w:rPr>
          <w:sz w:val="27"/>
          <w:rtl/>
        </w:rPr>
        <w:t xml:space="preserve"> </w:t>
      </w:r>
      <w:r w:rsidRPr="00904FCB">
        <w:rPr>
          <w:rFonts w:hint="cs"/>
          <w:sz w:val="27"/>
          <w:rtl/>
        </w:rPr>
        <w:t>كلمة</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الإطلاق</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الثاني؛ لكونه</w:t>
      </w:r>
      <w:r w:rsidRPr="00904FCB">
        <w:rPr>
          <w:sz w:val="27"/>
          <w:rtl/>
        </w:rPr>
        <w:t xml:space="preserve"> </w:t>
      </w:r>
      <w:r w:rsidRPr="00904FCB">
        <w:rPr>
          <w:rFonts w:hint="cs"/>
          <w:sz w:val="27"/>
          <w:rtl/>
        </w:rPr>
        <w:t>اصطلاحاً</w:t>
      </w:r>
      <w:r w:rsidRPr="00904FCB">
        <w:rPr>
          <w:sz w:val="27"/>
          <w:rtl/>
        </w:rPr>
        <w:t xml:space="preserve"> </w:t>
      </w:r>
      <w:r w:rsidRPr="00904FCB">
        <w:rPr>
          <w:rFonts w:hint="cs"/>
          <w:sz w:val="27"/>
          <w:rtl/>
        </w:rPr>
        <w:t>عامّاً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المجتمع</w:t>
      </w:r>
      <w:r w:rsidRPr="00904FCB">
        <w:rPr>
          <w:sz w:val="27"/>
          <w:rtl/>
        </w:rPr>
        <w:t xml:space="preserve"> </w:t>
      </w:r>
      <w:r w:rsidRPr="00904FCB">
        <w:rPr>
          <w:rFonts w:hint="cs"/>
          <w:sz w:val="27"/>
          <w:rtl/>
        </w:rPr>
        <w:t>الإسلامي</w:t>
      </w:r>
      <w:r w:rsidRPr="00904FCB">
        <w:rPr>
          <w:sz w:val="27"/>
          <w:rtl/>
        </w:rPr>
        <w:t xml:space="preserve">. </w:t>
      </w:r>
      <w:r w:rsidRPr="00904FCB">
        <w:rPr>
          <w:rFonts w:hint="cs"/>
          <w:sz w:val="27"/>
          <w:rtl/>
        </w:rPr>
        <w:t>وممّا</w:t>
      </w:r>
      <w:r w:rsidRPr="00904FCB">
        <w:rPr>
          <w:sz w:val="27"/>
          <w:rtl/>
        </w:rPr>
        <w:t xml:space="preserve"> </w:t>
      </w:r>
      <w:r w:rsidRPr="00904FCB">
        <w:rPr>
          <w:rFonts w:hint="cs"/>
          <w:sz w:val="27"/>
          <w:rtl/>
        </w:rPr>
        <w:t>يؤيّ</w:t>
      </w:r>
      <w:r w:rsidR="003E3295" w:rsidRPr="00904FCB">
        <w:rPr>
          <w:rFonts w:hint="cs"/>
          <w:sz w:val="27"/>
          <w:rtl/>
        </w:rPr>
        <w:t>ِ</w:t>
      </w:r>
      <w:r w:rsidRPr="00904FCB">
        <w:rPr>
          <w:rFonts w:hint="cs"/>
          <w:sz w:val="27"/>
          <w:rtl/>
        </w:rPr>
        <w:t>د</w:t>
      </w:r>
      <w:r w:rsidRPr="00904FCB">
        <w:rPr>
          <w:sz w:val="27"/>
          <w:rtl/>
        </w:rPr>
        <w:t xml:space="preserve"> </w:t>
      </w:r>
      <w:r w:rsidRPr="00904FCB">
        <w:rPr>
          <w:rFonts w:hint="cs"/>
          <w:sz w:val="27"/>
          <w:rtl/>
        </w:rPr>
        <w:t>المعنى</w:t>
      </w:r>
      <w:r w:rsidRPr="00904FCB">
        <w:rPr>
          <w:sz w:val="27"/>
          <w:rtl/>
        </w:rPr>
        <w:t xml:space="preserve"> </w:t>
      </w:r>
      <w:r w:rsidRPr="00904FCB">
        <w:rPr>
          <w:rFonts w:hint="cs"/>
          <w:sz w:val="27"/>
          <w:rtl/>
        </w:rPr>
        <w:t>الثاني</w:t>
      </w:r>
      <w:r w:rsidRPr="00904FCB">
        <w:rPr>
          <w:sz w:val="27"/>
          <w:rtl/>
        </w:rPr>
        <w:t xml:space="preserve"> </w:t>
      </w:r>
      <w:r w:rsidRPr="00904FCB">
        <w:rPr>
          <w:rFonts w:hint="cs"/>
          <w:sz w:val="27"/>
          <w:rtl/>
        </w:rPr>
        <w:t>جعل</w:t>
      </w:r>
      <w:r w:rsidR="003E3295" w:rsidRPr="00904FCB">
        <w:rPr>
          <w:rFonts w:hint="cs"/>
          <w:sz w:val="27"/>
          <w:rtl/>
        </w:rPr>
        <w:t>ُ</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ملاكاً</w:t>
      </w:r>
      <w:r w:rsidRPr="00904FCB">
        <w:rPr>
          <w:sz w:val="27"/>
          <w:rtl/>
        </w:rPr>
        <w:t xml:space="preserve"> </w:t>
      </w:r>
      <w:r w:rsidRPr="00904FCB">
        <w:rPr>
          <w:rFonts w:hint="cs"/>
          <w:sz w:val="27"/>
          <w:rtl/>
        </w:rPr>
        <w:t>لمنع</w:t>
      </w:r>
      <w:r w:rsidRPr="00904FCB">
        <w:rPr>
          <w:sz w:val="27"/>
          <w:rtl/>
        </w:rPr>
        <w:t xml:space="preserve"> </w:t>
      </w:r>
      <w:r w:rsidRPr="00904FCB">
        <w:rPr>
          <w:rFonts w:hint="cs"/>
          <w:sz w:val="27"/>
          <w:rtl/>
        </w:rPr>
        <w:t>المشركين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الاقتراب</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المسجد</w:t>
      </w:r>
      <w:r w:rsidRPr="00904FCB">
        <w:rPr>
          <w:sz w:val="27"/>
          <w:rtl/>
        </w:rPr>
        <w:t xml:space="preserve"> </w:t>
      </w:r>
      <w:r w:rsidRPr="00904FCB">
        <w:rPr>
          <w:rFonts w:hint="cs"/>
          <w:sz w:val="27"/>
          <w:rtl/>
        </w:rPr>
        <w:t>الحرام؛ فإنّ</w:t>
      </w:r>
      <w:r w:rsidRPr="00904FCB">
        <w:rPr>
          <w:sz w:val="27"/>
          <w:rtl/>
        </w:rPr>
        <w:t xml:space="preserve"> </w:t>
      </w:r>
      <w:r w:rsidRPr="00904FCB">
        <w:rPr>
          <w:rFonts w:hint="cs"/>
          <w:sz w:val="27"/>
          <w:rtl/>
        </w:rPr>
        <w:t>وضوح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م</w:t>
      </w:r>
      <w:r w:rsidR="003E3295" w:rsidRPr="00904FCB">
        <w:rPr>
          <w:rFonts w:hint="cs"/>
          <w:sz w:val="27"/>
          <w:rtl/>
        </w:rPr>
        <w:t>َ</w:t>
      </w:r>
      <w:r w:rsidRPr="00904FCB">
        <w:rPr>
          <w:rFonts w:hint="cs"/>
          <w:sz w:val="27"/>
          <w:rtl/>
        </w:rPr>
        <w:t>ن</w:t>
      </w:r>
      <w:r w:rsidR="003E3295" w:rsidRPr="00904FCB">
        <w:rPr>
          <w:rFonts w:hint="cs"/>
          <w:sz w:val="27"/>
          <w:rtl/>
        </w:rPr>
        <w:t>ْ</w:t>
      </w:r>
      <w:r w:rsidRPr="00904FCB">
        <w:rPr>
          <w:sz w:val="27"/>
          <w:rtl/>
        </w:rPr>
        <w:t xml:space="preserve"> </w:t>
      </w:r>
      <w:r w:rsidRPr="00904FCB">
        <w:rPr>
          <w:rFonts w:hint="cs"/>
          <w:sz w:val="27"/>
          <w:rtl/>
        </w:rPr>
        <w:t>يقصد</w:t>
      </w:r>
      <w:r w:rsidRPr="00904FCB">
        <w:rPr>
          <w:sz w:val="27"/>
          <w:rtl/>
        </w:rPr>
        <w:t xml:space="preserve"> </w:t>
      </w:r>
      <w:r w:rsidRPr="00904FCB">
        <w:rPr>
          <w:rFonts w:hint="cs"/>
          <w:sz w:val="27"/>
          <w:rtl/>
        </w:rPr>
        <w:t>بهذا</w:t>
      </w:r>
      <w:r w:rsidRPr="00904FCB">
        <w:rPr>
          <w:sz w:val="27"/>
          <w:rtl/>
        </w:rPr>
        <w:t xml:space="preserve"> </w:t>
      </w:r>
      <w:r w:rsidRPr="00904FCB">
        <w:rPr>
          <w:rFonts w:hint="cs"/>
          <w:sz w:val="27"/>
          <w:rtl/>
        </w:rPr>
        <w:t>المنع</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عمليّاً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هم</w:t>
      </w:r>
      <w:r w:rsidRPr="00904FCB">
        <w:rPr>
          <w:sz w:val="27"/>
          <w:rtl/>
        </w:rPr>
        <w:t xml:space="preserve"> </w:t>
      </w:r>
      <w:r w:rsidRPr="00904FCB">
        <w:rPr>
          <w:rFonts w:hint="cs"/>
          <w:sz w:val="27"/>
          <w:rtl/>
        </w:rPr>
        <w:t>المشركون</w:t>
      </w:r>
      <w:r w:rsidRPr="00904FCB">
        <w:rPr>
          <w:sz w:val="27"/>
          <w:rtl/>
        </w:rPr>
        <w:t xml:space="preserve"> </w:t>
      </w:r>
      <w:r w:rsidRPr="00904FCB">
        <w:rPr>
          <w:rFonts w:hint="cs"/>
          <w:sz w:val="27"/>
          <w:rtl/>
        </w:rPr>
        <w:t>الوثنيّون، دون</w:t>
      </w:r>
      <w:r w:rsidRPr="00904FCB">
        <w:rPr>
          <w:sz w:val="27"/>
          <w:rtl/>
        </w:rPr>
        <w:t xml:space="preserve"> </w:t>
      </w:r>
      <w:r w:rsidRPr="00904FCB">
        <w:rPr>
          <w:rFonts w:hint="cs"/>
          <w:sz w:val="27"/>
          <w:rtl/>
        </w:rPr>
        <w:t>الكتابيّين</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يقدّ</w:t>
      </w:r>
      <w:r w:rsidR="003E3295" w:rsidRPr="00904FCB">
        <w:rPr>
          <w:rFonts w:hint="cs"/>
          <w:sz w:val="27"/>
          <w:rtl/>
        </w:rPr>
        <w:t>ِ</w:t>
      </w:r>
      <w:r w:rsidRPr="00904FCB">
        <w:rPr>
          <w:rFonts w:hint="cs"/>
          <w:sz w:val="27"/>
          <w:rtl/>
        </w:rPr>
        <w:t>سون</w:t>
      </w:r>
      <w:r w:rsidRPr="00904FCB">
        <w:rPr>
          <w:sz w:val="27"/>
          <w:rtl/>
        </w:rPr>
        <w:t xml:space="preserve"> </w:t>
      </w:r>
      <w:r w:rsidRPr="00904FCB">
        <w:rPr>
          <w:rFonts w:hint="cs"/>
          <w:sz w:val="27"/>
          <w:rtl/>
        </w:rPr>
        <w:t>الكعبة</w:t>
      </w:r>
      <w:r w:rsidRPr="00904FCB">
        <w:rPr>
          <w:sz w:val="27"/>
          <w:rtl/>
        </w:rPr>
        <w:t xml:space="preserve"> </w:t>
      </w:r>
      <w:r w:rsidRPr="00904FCB">
        <w:rPr>
          <w:rFonts w:hint="cs"/>
          <w:sz w:val="27"/>
          <w:rtl/>
        </w:rPr>
        <w:t>أصلاً، وليسوا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معرض</w:t>
      </w:r>
      <w:r w:rsidRPr="00904FCB">
        <w:rPr>
          <w:sz w:val="27"/>
          <w:rtl/>
        </w:rPr>
        <w:t xml:space="preserve"> </w:t>
      </w:r>
      <w:r w:rsidRPr="00904FCB">
        <w:rPr>
          <w:rFonts w:hint="cs"/>
          <w:sz w:val="27"/>
          <w:rtl/>
        </w:rPr>
        <w:t>الوصول</w:t>
      </w:r>
      <w:r w:rsidRPr="00904FCB">
        <w:rPr>
          <w:sz w:val="27"/>
          <w:rtl/>
        </w:rPr>
        <w:t xml:space="preserve"> </w:t>
      </w:r>
      <w:r w:rsidRPr="00904FCB">
        <w:rPr>
          <w:rFonts w:hint="cs"/>
          <w:sz w:val="27"/>
          <w:rtl/>
        </w:rPr>
        <w:t>إليها، قد</w:t>
      </w:r>
      <w:r w:rsidRPr="00904FCB">
        <w:rPr>
          <w:sz w:val="27"/>
          <w:rtl/>
        </w:rPr>
        <w:t xml:space="preserve"> </w:t>
      </w:r>
      <w:r w:rsidRPr="00904FCB">
        <w:rPr>
          <w:rFonts w:hint="cs"/>
          <w:sz w:val="27"/>
          <w:rtl/>
        </w:rPr>
        <w:t>يشكّ</w:t>
      </w:r>
      <w:r w:rsidR="003E3295" w:rsidRPr="00904FCB">
        <w:rPr>
          <w:rFonts w:hint="cs"/>
          <w:sz w:val="27"/>
          <w:rtl/>
        </w:rPr>
        <w:t>ِ</w:t>
      </w:r>
      <w:r w:rsidRPr="00904FCB">
        <w:rPr>
          <w:rFonts w:hint="cs"/>
          <w:sz w:val="27"/>
          <w:rtl/>
        </w:rPr>
        <w:t>ل</w:t>
      </w:r>
      <w:r w:rsidRPr="00904FCB">
        <w:rPr>
          <w:sz w:val="27"/>
          <w:rtl/>
        </w:rPr>
        <w:t xml:space="preserve"> </w:t>
      </w:r>
      <w:r w:rsidRPr="00904FCB">
        <w:rPr>
          <w:rFonts w:hint="cs"/>
          <w:sz w:val="27"/>
          <w:rtl/>
        </w:rPr>
        <w:t>قرينة</w:t>
      </w:r>
      <w:r w:rsidR="003E3295" w:rsidRPr="00904FCB">
        <w:rPr>
          <w:rFonts w:hint="cs"/>
          <w:sz w:val="27"/>
          <w:rtl/>
        </w:rPr>
        <w:t>ً</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وكذلك</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تصدّى</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النصّ</w:t>
      </w:r>
      <w:r w:rsidRPr="00904FCB">
        <w:rPr>
          <w:sz w:val="27"/>
          <w:rtl/>
        </w:rPr>
        <w:t xml:space="preserve"> </w:t>
      </w:r>
      <w:r w:rsidRPr="00904FCB">
        <w:rPr>
          <w:rFonts w:hint="cs"/>
          <w:sz w:val="27"/>
          <w:rtl/>
        </w:rPr>
        <w:t>القرآني</w:t>
      </w:r>
      <w:r w:rsidRPr="00904FCB">
        <w:rPr>
          <w:sz w:val="27"/>
          <w:rtl/>
        </w:rPr>
        <w:t xml:space="preserve"> </w:t>
      </w:r>
      <w:r w:rsidRPr="00904FCB">
        <w:rPr>
          <w:rFonts w:hint="cs"/>
          <w:sz w:val="27"/>
          <w:rtl/>
        </w:rPr>
        <w:t>عقيب</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تطمين</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مكّة</w:t>
      </w:r>
      <w:r w:rsidRPr="00904FCB">
        <w:rPr>
          <w:sz w:val="27"/>
          <w:rtl/>
        </w:rPr>
        <w:t xml:space="preserve"> </w:t>
      </w:r>
      <w:r w:rsidRPr="00904FCB">
        <w:rPr>
          <w:rFonts w:hint="cs"/>
          <w:sz w:val="27"/>
          <w:rtl/>
        </w:rPr>
        <w:t>بقوله</w:t>
      </w:r>
      <w:r w:rsidRPr="00904FCB">
        <w:rPr>
          <w:sz w:val="27"/>
          <w:rtl/>
        </w:rPr>
        <w:t xml:space="preserve">: </w:t>
      </w:r>
      <w:r w:rsidRPr="00904FCB">
        <w:rPr>
          <w:rFonts w:ascii="Mosawi" w:hAnsi="Mosawi" w:cs="Mosawi"/>
          <w:sz w:val="24"/>
          <w:szCs w:val="24"/>
          <w:rtl/>
        </w:rPr>
        <w:t>﴿</w:t>
      </w:r>
      <w:r w:rsidRPr="00904FCB">
        <w:rPr>
          <w:b/>
          <w:bCs/>
          <w:sz w:val="27"/>
          <w:rtl/>
        </w:rPr>
        <w:t>و</w:t>
      </w:r>
      <w:r w:rsidR="003E3295" w:rsidRPr="00904FCB">
        <w:rPr>
          <w:rFonts w:hint="cs"/>
          <w:b/>
          <w:bCs/>
          <w:sz w:val="27"/>
          <w:rtl/>
        </w:rPr>
        <w:t>َ</w:t>
      </w:r>
      <w:r w:rsidRPr="00904FCB">
        <w:rPr>
          <w:rFonts w:hint="cs"/>
          <w:b/>
          <w:bCs/>
          <w:sz w:val="27"/>
          <w:rtl/>
        </w:rPr>
        <w:t>إِنْ</w:t>
      </w:r>
      <w:r w:rsidRPr="00904FCB">
        <w:rPr>
          <w:b/>
          <w:bCs/>
          <w:sz w:val="27"/>
          <w:rtl/>
        </w:rPr>
        <w:t xml:space="preserve"> </w:t>
      </w:r>
      <w:r w:rsidRPr="00904FCB">
        <w:rPr>
          <w:rFonts w:hint="cs"/>
          <w:b/>
          <w:bCs/>
          <w:sz w:val="27"/>
          <w:rtl/>
        </w:rPr>
        <w:t>خِفْتُمْ</w:t>
      </w:r>
      <w:r w:rsidRPr="00904FCB">
        <w:rPr>
          <w:b/>
          <w:bCs/>
          <w:sz w:val="27"/>
          <w:rtl/>
        </w:rPr>
        <w:t xml:space="preserve"> </w:t>
      </w:r>
      <w:r w:rsidRPr="00904FCB">
        <w:rPr>
          <w:rFonts w:hint="cs"/>
          <w:b/>
          <w:bCs/>
          <w:sz w:val="27"/>
          <w:rtl/>
        </w:rPr>
        <w:t>عَيْلَةً</w:t>
      </w:r>
      <w:r w:rsidRPr="00904FCB">
        <w:rPr>
          <w:b/>
          <w:bCs/>
          <w:sz w:val="27"/>
          <w:rtl/>
        </w:rPr>
        <w:t xml:space="preserve"> </w:t>
      </w:r>
      <w:r w:rsidRPr="00904FCB">
        <w:rPr>
          <w:rFonts w:hint="cs"/>
          <w:b/>
          <w:bCs/>
          <w:sz w:val="27"/>
          <w:rtl/>
        </w:rPr>
        <w:t>فَسَوْفَ</w:t>
      </w:r>
      <w:r w:rsidRPr="00904FCB">
        <w:rPr>
          <w:b/>
          <w:bCs/>
          <w:sz w:val="27"/>
          <w:rtl/>
        </w:rPr>
        <w:t xml:space="preserve"> </w:t>
      </w:r>
      <w:r w:rsidRPr="00904FCB">
        <w:rPr>
          <w:rFonts w:hint="cs"/>
          <w:b/>
          <w:bCs/>
          <w:sz w:val="27"/>
          <w:rtl/>
        </w:rPr>
        <w:t>يُغْنيكُمُ</w:t>
      </w:r>
      <w:r w:rsidRPr="00904FCB">
        <w:rPr>
          <w:b/>
          <w:bCs/>
          <w:sz w:val="27"/>
          <w:rtl/>
        </w:rPr>
        <w:t xml:space="preserve"> </w:t>
      </w:r>
      <w:r w:rsidR="003E3295" w:rsidRPr="00904FCB">
        <w:rPr>
          <w:rFonts w:hint="cs"/>
          <w:b/>
          <w:bCs/>
          <w:sz w:val="27"/>
          <w:rtl/>
        </w:rPr>
        <w:t>الل</w:t>
      </w:r>
      <w:r w:rsidRPr="00904FCB">
        <w:rPr>
          <w:rFonts w:hint="cs"/>
          <w:b/>
          <w:bCs/>
          <w:sz w:val="27"/>
          <w:rtl/>
        </w:rPr>
        <w:t>هُ</w:t>
      </w:r>
      <w:r w:rsidRPr="00904FCB">
        <w:rPr>
          <w:b/>
          <w:bCs/>
          <w:sz w:val="27"/>
          <w:rtl/>
        </w:rPr>
        <w:t xml:space="preserve"> </w:t>
      </w:r>
      <w:r w:rsidRPr="00904FCB">
        <w:rPr>
          <w:rFonts w:hint="cs"/>
          <w:b/>
          <w:bCs/>
          <w:sz w:val="27"/>
          <w:rtl/>
        </w:rPr>
        <w:t>مِنْ</w:t>
      </w:r>
      <w:r w:rsidRPr="00904FCB">
        <w:rPr>
          <w:b/>
          <w:bCs/>
          <w:sz w:val="27"/>
          <w:rtl/>
        </w:rPr>
        <w:t xml:space="preserve"> </w:t>
      </w:r>
      <w:r w:rsidRPr="00904FCB">
        <w:rPr>
          <w:rFonts w:hint="cs"/>
          <w:b/>
          <w:bCs/>
          <w:sz w:val="27"/>
          <w:rtl/>
        </w:rPr>
        <w:t>فَضْلِهِ</w:t>
      </w:r>
      <w:r w:rsidRPr="00904FCB">
        <w:rPr>
          <w:b/>
          <w:bCs/>
          <w:sz w:val="27"/>
          <w:rtl/>
        </w:rPr>
        <w:t xml:space="preserve"> </w:t>
      </w:r>
      <w:r w:rsidRPr="00904FCB">
        <w:rPr>
          <w:rFonts w:hint="cs"/>
          <w:b/>
          <w:bCs/>
          <w:sz w:val="27"/>
          <w:rtl/>
        </w:rPr>
        <w:t>إِنْ</w:t>
      </w:r>
      <w:r w:rsidRPr="00904FCB">
        <w:rPr>
          <w:b/>
          <w:bCs/>
          <w:sz w:val="27"/>
          <w:rtl/>
        </w:rPr>
        <w:t xml:space="preserve"> </w:t>
      </w:r>
      <w:r w:rsidRPr="00904FCB">
        <w:rPr>
          <w:rFonts w:hint="cs"/>
          <w:b/>
          <w:bCs/>
          <w:sz w:val="27"/>
          <w:rtl/>
        </w:rPr>
        <w:t>شاءَ</w:t>
      </w:r>
      <w:r w:rsidRPr="00904FCB">
        <w:rPr>
          <w:rFonts w:ascii="Mosawi" w:hAnsi="Mosawi" w:cs="Mosawi"/>
          <w:sz w:val="24"/>
          <w:szCs w:val="24"/>
          <w:rtl/>
        </w:rPr>
        <w:t>﴾</w:t>
      </w:r>
      <w:r w:rsidRPr="00904FCB">
        <w:rPr>
          <w:sz w:val="27"/>
          <w:rtl/>
        </w:rPr>
        <w:t xml:space="preserve"> (</w:t>
      </w:r>
      <w:r w:rsidRPr="00904FCB">
        <w:rPr>
          <w:rFonts w:hint="cs"/>
          <w:sz w:val="27"/>
          <w:rtl/>
        </w:rPr>
        <w:t xml:space="preserve">التوبة: </w:t>
      </w:r>
      <w:r w:rsidRPr="00783611">
        <w:rPr>
          <w:rFonts w:hint="cs"/>
          <w:sz w:val="27"/>
          <w:rtl/>
          <w:lang w:bidi="ar-LB"/>
        </w:rPr>
        <w:t>28</w:t>
      </w:r>
      <w:r w:rsidR="003E3295" w:rsidRPr="00904FCB">
        <w:rPr>
          <w:sz w:val="27"/>
          <w:rtl/>
        </w:rPr>
        <w:t>)</w:t>
      </w:r>
      <w:r w:rsidR="003E3295" w:rsidRPr="00904FCB">
        <w:rPr>
          <w:rFonts w:hint="cs"/>
          <w:sz w:val="27"/>
          <w:rtl/>
        </w:rPr>
        <w:t xml:space="preserve">؛ </w:t>
      </w:r>
      <w:r w:rsidRPr="00904FCB">
        <w:rPr>
          <w:rFonts w:hint="cs"/>
          <w:sz w:val="27"/>
          <w:rtl/>
        </w:rPr>
        <w:t>فإنّ‏</w:t>
      </w:r>
      <w:r w:rsidRPr="00904FCB">
        <w:rPr>
          <w:sz w:val="27"/>
          <w:rtl/>
        </w:rPr>
        <w:t xml:space="preserve"> </w:t>
      </w:r>
      <w:r w:rsidRPr="00904FCB">
        <w:rPr>
          <w:rFonts w:hint="cs"/>
          <w:sz w:val="27"/>
          <w:rtl/>
        </w:rPr>
        <w:t>العلة</w:t>
      </w:r>
      <w:r w:rsidRPr="00904FCB">
        <w:rPr>
          <w:sz w:val="27"/>
          <w:rtl/>
        </w:rPr>
        <w:t xml:space="preserve"> </w:t>
      </w:r>
      <w:r w:rsidRPr="00904FCB">
        <w:rPr>
          <w:rFonts w:hint="cs"/>
          <w:sz w:val="27"/>
          <w:rtl/>
        </w:rPr>
        <w:t>إنّما</w:t>
      </w:r>
      <w:r w:rsidRPr="00904FCB">
        <w:rPr>
          <w:sz w:val="27"/>
          <w:rtl/>
        </w:rPr>
        <w:t xml:space="preserve"> </w:t>
      </w:r>
      <w:r w:rsidRPr="00904FCB">
        <w:rPr>
          <w:rFonts w:hint="cs"/>
          <w:sz w:val="27"/>
          <w:rtl/>
        </w:rPr>
        <w:t>تخاف</w:t>
      </w:r>
      <w:r w:rsidRPr="00904FCB">
        <w:rPr>
          <w:sz w:val="27"/>
          <w:rtl/>
        </w:rPr>
        <w:t xml:space="preserve"> </w:t>
      </w:r>
      <w:r w:rsidRPr="00904FCB">
        <w:rPr>
          <w:rFonts w:hint="cs"/>
          <w:sz w:val="27"/>
          <w:rtl/>
        </w:rPr>
        <w:t>بسبب</w:t>
      </w:r>
      <w:r w:rsidRPr="00904FCB">
        <w:rPr>
          <w:sz w:val="27"/>
          <w:rtl/>
        </w:rPr>
        <w:t xml:space="preserve"> </w:t>
      </w:r>
      <w:r w:rsidRPr="00904FCB">
        <w:rPr>
          <w:rFonts w:hint="cs"/>
          <w:sz w:val="27"/>
          <w:rtl/>
        </w:rPr>
        <w:t>تحريم</w:t>
      </w:r>
      <w:r w:rsidRPr="00904FCB">
        <w:rPr>
          <w:sz w:val="27"/>
          <w:rtl/>
        </w:rPr>
        <w:t xml:space="preserve"> </w:t>
      </w:r>
      <w:r w:rsidRPr="00904FCB">
        <w:rPr>
          <w:rFonts w:hint="cs"/>
          <w:sz w:val="27"/>
          <w:rtl/>
        </w:rPr>
        <w:t>مجي‏ء</w:t>
      </w:r>
      <w:r w:rsidRPr="00904FCB">
        <w:rPr>
          <w:sz w:val="27"/>
          <w:rtl/>
        </w:rPr>
        <w:t xml:space="preserve"> </w:t>
      </w:r>
      <w:r w:rsidRPr="00904FCB">
        <w:rPr>
          <w:rFonts w:hint="cs"/>
          <w:sz w:val="27"/>
          <w:rtl/>
        </w:rPr>
        <w:t>المشركين</w:t>
      </w:r>
      <w:r w:rsidRPr="00904FCB">
        <w:rPr>
          <w:sz w:val="27"/>
          <w:rtl/>
        </w:rPr>
        <w:t xml:space="preserve"> </w:t>
      </w:r>
      <w:r w:rsidRPr="00904FCB">
        <w:rPr>
          <w:rFonts w:hint="cs"/>
          <w:sz w:val="27"/>
          <w:rtl/>
        </w:rPr>
        <w:t>الوثنيّين</w:t>
      </w:r>
      <w:r w:rsidR="003E3295" w:rsidRPr="00904FCB">
        <w:rPr>
          <w:rFonts w:hint="cs"/>
          <w:sz w:val="27"/>
          <w:rtl/>
        </w:rPr>
        <w:t>،</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اعتادوا</w:t>
      </w:r>
      <w:r w:rsidRPr="00904FCB">
        <w:rPr>
          <w:sz w:val="27"/>
          <w:rtl/>
        </w:rPr>
        <w:t xml:space="preserve"> </w:t>
      </w:r>
      <w:r w:rsidRPr="00904FCB">
        <w:rPr>
          <w:rFonts w:hint="cs"/>
          <w:sz w:val="27"/>
          <w:rtl/>
        </w:rPr>
        <w:t>المجي‏ء</w:t>
      </w:r>
      <w:r w:rsidRPr="00904FCB">
        <w:rPr>
          <w:sz w:val="27"/>
          <w:rtl/>
        </w:rPr>
        <w:t xml:space="preserve">. </w:t>
      </w:r>
      <w:r w:rsidRPr="00904FCB">
        <w:rPr>
          <w:rFonts w:hint="cs"/>
          <w:sz w:val="27"/>
          <w:rtl/>
        </w:rPr>
        <w:t>ويكف</w:t>
      </w:r>
      <w:r w:rsidR="003E3295" w:rsidRPr="00904FCB">
        <w:rPr>
          <w:rFonts w:hint="cs"/>
          <w:sz w:val="27"/>
          <w:rtl/>
        </w:rPr>
        <w:t>ي</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أيّ</w:t>
      </w:r>
      <w:r w:rsidRPr="00904FCB">
        <w:rPr>
          <w:sz w:val="27"/>
          <w:rtl/>
        </w:rPr>
        <w:t xml:space="preserve"> </w:t>
      </w:r>
      <w:r w:rsidRPr="00904FCB">
        <w:rPr>
          <w:rFonts w:hint="cs"/>
          <w:sz w:val="27"/>
          <w:rtl/>
        </w:rPr>
        <w:t>حال</w:t>
      </w:r>
      <w:r w:rsidRPr="00904FCB">
        <w:rPr>
          <w:sz w:val="27"/>
          <w:rtl/>
        </w:rPr>
        <w:t xml:space="preserve"> </w:t>
      </w:r>
      <w:r w:rsidRPr="00904FCB">
        <w:rPr>
          <w:rFonts w:hint="cs"/>
          <w:sz w:val="27"/>
          <w:rtl/>
        </w:rPr>
        <w:t>افتراض</w:t>
      </w:r>
      <w:r w:rsidRPr="00904FCB">
        <w:rPr>
          <w:sz w:val="27"/>
          <w:rtl/>
        </w:rPr>
        <w:t xml:space="preserve"> </w:t>
      </w:r>
      <w:r w:rsidRPr="00904FCB">
        <w:rPr>
          <w:rFonts w:hint="cs"/>
          <w:sz w:val="27"/>
          <w:rtl/>
        </w:rPr>
        <w:t>تكاف</w:t>
      </w:r>
      <w:r w:rsidR="003E3295" w:rsidRPr="00904FCB">
        <w:rPr>
          <w:rFonts w:hint="cs"/>
          <w:sz w:val="27"/>
          <w:rtl/>
        </w:rPr>
        <w:t>ؤ</w:t>
      </w:r>
      <w:r w:rsidRPr="00904FCB">
        <w:rPr>
          <w:sz w:val="27"/>
          <w:rtl/>
        </w:rPr>
        <w:t xml:space="preserve"> </w:t>
      </w:r>
      <w:r w:rsidRPr="00904FCB">
        <w:rPr>
          <w:rFonts w:hint="cs"/>
          <w:sz w:val="27"/>
          <w:rtl/>
        </w:rPr>
        <w:t>المعنيَيْن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إجمال</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الكريمة</w:t>
      </w:r>
      <w:r w:rsidRPr="00904FCB">
        <w:rPr>
          <w:rFonts w:hint="eastAsia"/>
          <w:sz w:val="27"/>
          <w:rtl/>
        </w:rPr>
        <w:t>»</w:t>
      </w:r>
      <w:r w:rsidRPr="00904FCB">
        <w:rPr>
          <w:rFonts w:hint="cs"/>
          <w:sz w:val="27"/>
          <w:vertAlign w:val="superscript"/>
          <w:rtl/>
        </w:rPr>
        <w:t>(</w:t>
      </w:r>
      <w:r w:rsidRPr="00904FCB">
        <w:rPr>
          <w:rStyle w:val="ac"/>
          <w:sz w:val="27"/>
          <w:rtl/>
        </w:rPr>
        <w:endnoteReference w:id="653"/>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هذا</w:t>
      </w:r>
      <w:r w:rsidRPr="00904FCB">
        <w:rPr>
          <w:sz w:val="27"/>
          <w:rtl/>
        </w:rPr>
        <w:t xml:space="preserve"> </w:t>
      </w:r>
      <w:r w:rsidRPr="00904FCB">
        <w:rPr>
          <w:rFonts w:hint="cs"/>
          <w:sz w:val="27"/>
          <w:rtl/>
        </w:rPr>
        <w:t>تحقيقٌ</w:t>
      </w:r>
      <w:r w:rsidRPr="00904FCB">
        <w:rPr>
          <w:sz w:val="27"/>
          <w:rtl/>
        </w:rPr>
        <w:t xml:space="preserve"> </w:t>
      </w:r>
      <w:r w:rsidRPr="00904FCB">
        <w:rPr>
          <w:rFonts w:hint="cs"/>
          <w:sz w:val="27"/>
          <w:rtl/>
        </w:rPr>
        <w:t>جامع</w:t>
      </w:r>
      <w:r w:rsidRPr="00904FCB">
        <w:rPr>
          <w:sz w:val="27"/>
          <w:rtl/>
        </w:rPr>
        <w:t xml:space="preserve"> </w:t>
      </w:r>
      <w:r w:rsidRPr="00904FCB">
        <w:rPr>
          <w:rFonts w:hint="cs"/>
          <w:sz w:val="27"/>
          <w:rtl/>
        </w:rPr>
        <w:t>حول</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الكريمة</w:t>
      </w:r>
      <w:r w:rsidRPr="00904FCB">
        <w:rPr>
          <w:sz w:val="27"/>
          <w:rtl/>
        </w:rPr>
        <w:t xml:space="preserve"> </w:t>
      </w:r>
      <w:r w:rsidRPr="00904FCB">
        <w:rPr>
          <w:rFonts w:hint="cs"/>
          <w:sz w:val="27"/>
          <w:rtl/>
        </w:rPr>
        <w:t>يغنينا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الكثير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القيل</w:t>
      </w:r>
      <w:r w:rsidRPr="00904FCB">
        <w:rPr>
          <w:sz w:val="27"/>
          <w:rtl/>
        </w:rPr>
        <w:t xml:space="preserve"> </w:t>
      </w:r>
      <w:r w:rsidRPr="00904FCB">
        <w:rPr>
          <w:rFonts w:hint="cs"/>
          <w:sz w:val="27"/>
          <w:rtl/>
        </w:rPr>
        <w:t>والقال</w:t>
      </w:r>
      <w:r w:rsidRPr="00904FCB">
        <w:rPr>
          <w:sz w:val="27"/>
          <w:rtl/>
        </w:rPr>
        <w:t xml:space="preserve"> </w:t>
      </w:r>
      <w:r w:rsidRPr="00904FCB">
        <w:rPr>
          <w:rFonts w:hint="cs"/>
          <w:sz w:val="27"/>
          <w:rtl/>
        </w:rPr>
        <w:t>حولها</w:t>
      </w:r>
      <w:r w:rsidRPr="00904FCB">
        <w:rPr>
          <w:sz w:val="27"/>
          <w:rtl/>
        </w:rPr>
        <w:t xml:space="preserve">. </w:t>
      </w:r>
      <w:r w:rsidRPr="00904FCB">
        <w:rPr>
          <w:rFonts w:hint="cs"/>
          <w:sz w:val="27"/>
          <w:rtl/>
        </w:rPr>
        <w:t>وقد</w:t>
      </w:r>
      <w:r w:rsidRPr="00904FCB">
        <w:rPr>
          <w:sz w:val="27"/>
          <w:rtl/>
        </w:rPr>
        <w:t xml:space="preserve"> </w:t>
      </w:r>
      <w:r w:rsidRPr="00904FCB">
        <w:rPr>
          <w:rFonts w:hint="cs"/>
          <w:sz w:val="27"/>
          <w:rtl/>
        </w:rPr>
        <w:t>اتّ</w:t>
      </w:r>
      <w:r w:rsidR="006454FD" w:rsidRPr="00904FCB">
        <w:rPr>
          <w:rFonts w:hint="cs"/>
          <w:sz w:val="27"/>
          <w:rtl/>
        </w:rPr>
        <w:t>َ</w:t>
      </w:r>
      <w:r w:rsidRPr="00904FCB">
        <w:rPr>
          <w:rFonts w:hint="cs"/>
          <w:sz w:val="27"/>
          <w:rtl/>
        </w:rPr>
        <w:t>ضح</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006454FD" w:rsidRPr="00904FCB">
        <w:rPr>
          <w:rFonts w:hint="cs"/>
          <w:sz w:val="27"/>
          <w:rtl/>
        </w:rPr>
        <w:t>.</w:t>
      </w:r>
      <w:r w:rsidRPr="00904FCB">
        <w:rPr>
          <w:rFonts w:hint="cs"/>
          <w:sz w:val="27"/>
          <w:rtl/>
        </w:rPr>
        <w:t xml:space="preserve"> وكذلك</w:t>
      </w:r>
      <w:r w:rsidRPr="00904FCB">
        <w:rPr>
          <w:sz w:val="27"/>
          <w:rtl/>
        </w:rPr>
        <w:t xml:space="preserve"> </w:t>
      </w:r>
      <w:r w:rsidRPr="00904FCB">
        <w:rPr>
          <w:rFonts w:hint="cs"/>
          <w:sz w:val="27"/>
          <w:rtl/>
        </w:rPr>
        <w:t>اتّ</w:t>
      </w:r>
      <w:r w:rsidR="006454FD" w:rsidRPr="00904FCB">
        <w:rPr>
          <w:rFonts w:hint="cs"/>
          <w:sz w:val="27"/>
          <w:rtl/>
        </w:rPr>
        <w:t>َ</w:t>
      </w:r>
      <w:r w:rsidRPr="00904FCB">
        <w:rPr>
          <w:rFonts w:hint="cs"/>
          <w:sz w:val="27"/>
          <w:rtl/>
        </w:rPr>
        <w:t>ضح</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تصلح</w:t>
      </w:r>
      <w:r w:rsidRPr="00904FCB">
        <w:rPr>
          <w:sz w:val="27"/>
          <w:rtl/>
        </w:rPr>
        <w:t xml:space="preserve"> </w:t>
      </w:r>
      <w:r w:rsidRPr="00904FCB">
        <w:rPr>
          <w:rFonts w:hint="cs"/>
          <w:sz w:val="27"/>
          <w:rtl/>
        </w:rPr>
        <w:t>دليلاً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أحد</w:t>
      </w:r>
      <w:r w:rsidR="006454FD"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بني</w:t>
      </w:r>
      <w:r w:rsidRPr="00904FCB">
        <w:rPr>
          <w:sz w:val="27"/>
          <w:rtl/>
        </w:rPr>
        <w:t xml:space="preserve"> </w:t>
      </w:r>
      <w:r w:rsidRPr="00904FCB">
        <w:rPr>
          <w:rFonts w:hint="cs"/>
          <w:sz w:val="27"/>
          <w:rtl/>
        </w:rPr>
        <w:t>آدم</w:t>
      </w:r>
      <w:r w:rsidR="006454FD" w:rsidRPr="00904FCB">
        <w:rPr>
          <w:rFonts w:hint="cs"/>
          <w:sz w:val="27"/>
          <w:rtl/>
        </w:rPr>
        <w:t>،</w:t>
      </w:r>
      <w:r w:rsidRPr="00904FCB">
        <w:rPr>
          <w:sz w:val="27"/>
          <w:rtl/>
        </w:rPr>
        <w:t xml:space="preserve"> </w:t>
      </w:r>
      <w:r w:rsidRPr="00904FCB">
        <w:rPr>
          <w:rFonts w:hint="cs"/>
          <w:sz w:val="27"/>
          <w:rtl/>
        </w:rPr>
        <w:t>حتّى</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كانوا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الملاحدة</w:t>
      </w:r>
      <w:r w:rsidRPr="00904FCB">
        <w:rPr>
          <w:sz w:val="27"/>
          <w:rtl/>
        </w:rPr>
        <w:t xml:space="preserve">. </w:t>
      </w:r>
      <w:r w:rsidRPr="00904FCB">
        <w:rPr>
          <w:rFonts w:hint="cs"/>
          <w:sz w:val="27"/>
          <w:rtl/>
        </w:rPr>
        <w:t>نعم، يبقى</w:t>
      </w:r>
      <w:r w:rsidRPr="00904FCB">
        <w:rPr>
          <w:sz w:val="27"/>
          <w:rtl/>
        </w:rPr>
        <w:t xml:space="preserve"> </w:t>
      </w:r>
      <w:r w:rsidRPr="00904FCB">
        <w:rPr>
          <w:rFonts w:hint="cs"/>
          <w:sz w:val="27"/>
          <w:rtl/>
        </w:rPr>
        <w:t>المهمّ</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استعراض</w:t>
      </w:r>
      <w:r w:rsidRPr="00904FCB">
        <w:rPr>
          <w:sz w:val="27"/>
          <w:rtl/>
        </w:rPr>
        <w:t xml:space="preserve"> </w:t>
      </w:r>
      <w:r w:rsidRPr="00904FCB">
        <w:rPr>
          <w:rFonts w:hint="cs"/>
          <w:sz w:val="27"/>
          <w:rtl/>
        </w:rPr>
        <w:t>بقيّة</w:t>
      </w:r>
      <w:r w:rsidRPr="00904FCB">
        <w:rPr>
          <w:sz w:val="27"/>
          <w:rtl/>
        </w:rPr>
        <w:t xml:space="preserve"> </w:t>
      </w:r>
      <w:r w:rsidRPr="00904FCB">
        <w:rPr>
          <w:rFonts w:hint="cs"/>
          <w:sz w:val="27"/>
          <w:rtl/>
        </w:rPr>
        <w:t>الأدلّة</w:t>
      </w:r>
      <w:r w:rsidRPr="00904FCB">
        <w:rPr>
          <w:sz w:val="27"/>
          <w:rtl/>
        </w:rPr>
        <w:t xml:space="preserve"> </w:t>
      </w:r>
      <w:r w:rsidRPr="00904FCB">
        <w:rPr>
          <w:rFonts w:hint="cs"/>
          <w:sz w:val="27"/>
          <w:rtl/>
        </w:rPr>
        <w:t>المدّ</w:t>
      </w:r>
      <w:r w:rsidR="006454FD" w:rsidRPr="00904FCB">
        <w:rPr>
          <w:rFonts w:hint="cs"/>
          <w:sz w:val="27"/>
          <w:rtl/>
        </w:rPr>
        <w:t>َ</w:t>
      </w:r>
      <w:r w:rsidRPr="00904FCB">
        <w:rPr>
          <w:rFonts w:hint="cs"/>
          <w:sz w:val="27"/>
          <w:rtl/>
        </w:rPr>
        <w:t>عاة، والتي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w:t>
      </w:r>
      <w:r w:rsidR="006454FD" w:rsidRPr="00904FCB">
        <w:rPr>
          <w:rFonts w:hint="cs"/>
          <w:sz w:val="27"/>
          <w:rtl/>
        </w:rPr>
        <w:t>ُ</w:t>
      </w:r>
      <w:r w:rsidRPr="00904FCB">
        <w:rPr>
          <w:rFonts w:hint="cs"/>
          <w:sz w:val="27"/>
          <w:rtl/>
        </w:rPr>
        <w:t>دّ</w:t>
      </w:r>
      <w:r w:rsidR="006454FD"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استئناف</w:t>
      </w:r>
      <w:r w:rsidRPr="00904FCB">
        <w:rPr>
          <w:sz w:val="27"/>
          <w:rtl/>
        </w:rPr>
        <w:t xml:space="preserve"> </w:t>
      </w:r>
      <w:r w:rsidRPr="00904FCB">
        <w:rPr>
          <w:rFonts w:hint="cs"/>
          <w:sz w:val="27"/>
          <w:rtl/>
        </w:rPr>
        <w:t>الحديث</w:t>
      </w:r>
      <w:r w:rsidRPr="00904FCB">
        <w:rPr>
          <w:sz w:val="27"/>
          <w:rtl/>
        </w:rPr>
        <w:t xml:space="preserve"> </w:t>
      </w:r>
      <w:r w:rsidRPr="00904FCB">
        <w:rPr>
          <w:rFonts w:hint="cs"/>
          <w:sz w:val="27"/>
          <w:rtl/>
        </w:rPr>
        <w:t>حولها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إطار</w:t>
      </w:r>
      <w:r w:rsidRPr="00904FCB">
        <w:rPr>
          <w:sz w:val="27"/>
          <w:rtl/>
        </w:rPr>
        <w:t xml:space="preserve"> </w:t>
      </w:r>
      <w:r w:rsidRPr="00904FCB">
        <w:rPr>
          <w:rFonts w:hint="cs"/>
          <w:sz w:val="27"/>
          <w:rtl/>
        </w:rPr>
        <w:t>البحث</w:t>
      </w:r>
      <w:r w:rsidRPr="00904FCB">
        <w:rPr>
          <w:sz w:val="27"/>
          <w:rtl/>
        </w:rPr>
        <w:t xml:space="preserve"> </w:t>
      </w:r>
      <w:r w:rsidRPr="00904FCB">
        <w:rPr>
          <w:rFonts w:hint="cs"/>
          <w:sz w:val="27"/>
          <w:rtl/>
        </w:rPr>
        <w:t>الروائي</w:t>
      </w:r>
      <w:r w:rsidRPr="00904FCB">
        <w:rPr>
          <w:sz w:val="27"/>
          <w:rtl/>
        </w:rPr>
        <w:t xml:space="preserve"> </w:t>
      </w:r>
      <w:r w:rsidRPr="00904FCB">
        <w:rPr>
          <w:rFonts w:hint="cs"/>
          <w:sz w:val="27"/>
          <w:rtl/>
        </w:rPr>
        <w:t>إن</w:t>
      </w:r>
      <w:r w:rsidR="006454FD" w:rsidRPr="00904FCB">
        <w:rPr>
          <w:rFonts w:hint="cs"/>
          <w:sz w:val="27"/>
          <w:rtl/>
        </w:rPr>
        <w:t>ْ</w:t>
      </w:r>
      <w:r w:rsidRPr="00904FCB">
        <w:rPr>
          <w:sz w:val="27"/>
          <w:rtl/>
        </w:rPr>
        <w:t xml:space="preserve"> </w:t>
      </w:r>
      <w:r w:rsidRPr="00904FCB">
        <w:rPr>
          <w:rFonts w:hint="cs"/>
          <w:sz w:val="27"/>
          <w:rtl/>
        </w:rPr>
        <w:t>شاء</w:t>
      </w:r>
      <w:r w:rsidRPr="00904FCB">
        <w:rPr>
          <w:sz w:val="27"/>
          <w:rtl/>
        </w:rPr>
        <w:t xml:space="preserve"> </w:t>
      </w:r>
      <w:r w:rsidRPr="00904FCB">
        <w:rPr>
          <w:rFonts w:hint="cs"/>
          <w:sz w:val="27"/>
          <w:rtl/>
        </w:rPr>
        <w:t>الله</w:t>
      </w:r>
      <w:r w:rsidRPr="00904FCB">
        <w:rPr>
          <w:sz w:val="27"/>
          <w:rtl/>
        </w:rPr>
        <w:t xml:space="preserve">. </w:t>
      </w:r>
    </w:p>
    <w:p w:rsidR="00F34FB9" w:rsidRPr="00904FCB" w:rsidRDefault="00F34FB9" w:rsidP="007A21AA">
      <w:pPr>
        <w:spacing w:line="400" w:lineRule="exact"/>
        <w:rPr>
          <w:sz w:val="27"/>
          <w:rtl/>
        </w:rPr>
      </w:pPr>
    </w:p>
    <w:p w:rsidR="00F34FB9" w:rsidRPr="00904FCB" w:rsidRDefault="00F34FB9" w:rsidP="007A21AA">
      <w:pPr>
        <w:pStyle w:val="31"/>
        <w:spacing w:line="400" w:lineRule="exact"/>
        <w:rPr>
          <w:color w:val="auto"/>
          <w:rtl/>
        </w:rPr>
      </w:pPr>
      <w:r w:rsidRPr="00904FCB">
        <w:rPr>
          <w:rFonts w:hint="cs"/>
          <w:color w:val="auto"/>
          <w:rtl/>
        </w:rPr>
        <w:t>البحث الروائي</w:t>
      </w:r>
    </w:p>
    <w:p w:rsidR="00F34FB9" w:rsidRPr="00904FCB" w:rsidRDefault="00F34FB9" w:rsidP="007A21AA">
      <w:pPr>
        <w:pStyle w:val="31"/>
        <w:spacing w:line="400" w:lineRule="exact"/>
        <w:rPr>
          <w:b/>
          <w:color w:val="auto"/>
          <w:rtl/>
        </w:rPr>
      </w:pPr>
      <w:r w:rsidRPr="00904FCB">
        <w:rPr>
          <w:rFonts w:hint="cs"/>
          <w:b/>
          <w:color w:val="auto"/>
          <w:rtl/>
        </w:rPr>
        <w:t>مقدّمة</w:t>
      </w:r>
    </w:p>
    <w:p w:rsidR="00F34FB9" w:rsidRPr="00904FCB" w:rsidRDefault="006454FD" w:rsidP="007A21AA">
      <w:pPr>
        <w:spacing w:line="400" w:lineRule="exact"/>
        <w:rPr>
          <w:sz w:val="27"/>
          <w:rtl/>
        </w:rPr>
      </w:pPr>
      <w:r w:rsidRPr="00904FCB">
        <w:rPr>
          <w:rFonts w:hint="cs"/>
          <w:sz w:val="27"/>
          <w:rtl/>
        </w:rPr>
        <w:t>ولقد</w:t>
      </w:r>
      <w:r w:rsidR="00F34FB9" w:rsidRPr="00904FCB">
        <w:rPr>
          <w:sz w:val="27"/>
          <w:rtl/>
        </w:rPr>
        <w:t xml:space="preserve"> </w:t>
      </w:r>
      <w:r w:rsidR="00F34FB9" w:rsidRPr="00904FCB">
        <w:rPr>
          <w:rFonts w:hint="cs"/>
          <w:sz w:val="27"/>
          <w:rtl/>
        </w:rPr>
        <w:t>آثرنا</w:t>
      </w:r>
      <w:r w:rsidR="00F34FB9" w:rsidRPr="00904FCB">
        <w:rPr>
          <w:sz w:val="27"/>
          <w:rtl/>
        </w:rPr>
        <w:t xml:space="preserve"> </w:t>
      </w:r>
      <w:r w:rsidR="00F34FB9" w:rsidRPr="00904FCB">
        <w:rPr>
          <w:rFonts w:hint="cs"/>
          <w:sz w:val="27"/>
          <w:rtl/>
        </w:rPr>
        <w:t>قبل</w:t>
      </w:r>
      <w:r w:rsidR="00F34FB9" w:rsidRPr="00904FCB">
        <w:rPr>
          <w:sz w:val="27"/>
          <w:rtl/>
        </w:rPr>
        <w:t xml:space="preserve"> </w:t>
      </w:r>
      <w:r w:rsidR="00F34FB9" w:rsidRPr="00904FCB">
        <w:rPr>
          <w:rFonts w:hint="cs"/>
          <w:sz w:val="27"/>
          <w:rtl/>
        </w:rPr>
        <w:t>الانتقال</w:t>
      </w:r>
      <w:r w:rsidR="00F34FB9" w:rsidRPr="00904FCB">
        <w:rPr>
          <w:sz w:val="27"/>
          <w:rtl/>
        </w:rPr>
        <w:t xml:space="preserve"> </w:t>
      </w:r>
      <w:r w:rsidR="00F34FB9" w:rsidRPr="00904FCB">
        <w:rPr>
          <w:rFonts w:hint="cs"/>
          <w:sz w:val="27"/>
          <w:rtl/>
        </w:rPr>
        <w:t>إلى</w:t>
      </w:r>
      <w:r w:rsidR="00F34FB9" w:rsidRPr="00904FCB">
        <w:rPr>
          <w:sz w:val="27"/>
          <w:rtl/>
        </w:rPr>
        <w:t xml:space="preserve"> </w:t>
      </w:r>
      <w:r w:rsidRPr="00904FCB">
        <w:rPr>
          <w:rFonts w:hint="cs"/>
          <w:sz w:val="27"/>
          <w:rtl/>
        </w:rPr>
        <w:t>البحث الروائي</w:t>
      </w:r>
      <w:r w:rsidR="00F34FB9" w:rsidRPr="00904FCB">
        <w:rPr>
          <w:sz w:val="27"/>
          <w:rtl/>
        </w:rPr>
        <w:t xml:space="preserve"> </w:t>
      </w:r>
      <w:r w:rsidR="00F34FB9" w:rsidRPr="00904FCB">
        <w:rPr>
          <w:rFonts w:hint="cs"/>
          <w:sz w:val="27"/>
          <w:rtl/>
        </w:rPr>
        <w:t>أن</w:t>
      </w:r>
      <w:r w:rsidR="00F34FB9" w:rsidRPr="00904FCB">
        <w:rPr>
          <w:sz w:val="27"/>
          <w:rtl/>
        </w:rPr>
        <w:t xml:space="preserve"> </w:t>
      </w:r>
      <w:r w:rsidR="00F34FB9" w:rsidRPr="00904FCB">
        <w:rPr>
          <w:rFonts w:hint="cs"/>
          <w:sz w:val="27"/>
          <w:rtl/>
        </w:rPr>
        <w:t>نسلّ</w:t>
      </w:r>
      <w:r w:rsidRPr="00904FCB">
        <w:rPr>
          <w:rFonts w:hint="cs"/>
          <w:sz w:val="27"/>
          <w:rtl/>
        </w:rPr>
        <w:t>ِ</w:t>
      </w:r>
      <w:r w:rsidR="00F34FB9" w:rsidRPr="00904FCB">
        <w:rPr>
          <w:rFonts w:hint="cs"/>
          <w:sz w:val="27"/>
          <w:rtl/>
        </w:rPr>
        <w:t>ط</w:t>
      </w:r>
      <w:r w:rsidR="00F34FB9" w:rsidRPr="00904FCB">
        <w:rPr>
          <w:sz w:val="27"/>
          <w:rtl/>
        </w:rPr>
        <w:t xml:space="preserve"> </w:t>
      </w:r>
      <w:r w:rsidR="00F34FB9" w:rsidRPr="00904FCB">
        <w:rPr>
          <w:rFonts w:hint="cs"/>
          <w:sz w:val="27"/>
          <w:rtl/>
        </w:rPr>
        <w:t>الضوء</w:t>
      </w:r>
      <w:r w:rsidR="00F34FB9" w:rsidRPr="00904FCB">
        <w:rPr>
          <w:sz w:val="27"/>
          <w:rtl/>
        </w:rPr>
        <w:t xml:space="preserve"> </w:t>
      </w:r>
      <w:r w:rsidR="00F34FB9" w:rsidRPr="00904FCB">
        <w:rPr>
          <w:rFonts w:hint="cs"/>
          <w:sz w:val="27"/>
          <w:rtl/>
        </w:rPr>
        <w:t>على</w:t>
      </w:r>
      <w:r w:rsidR="00F34FB9" w:rsidRPr="00904FCB">
        <w:rPr>
          <w:sz w:val="27"/>
          <w:rtl/>
        </w:rPr>
        <w:t xml:space="preserve"> </w:t>
      </w:r>
      <w:r w:rsidR="00F34FB9" w:rsidRPr="00904FCB">
        <w:rPr>
          <w:rFonts w:hint="cs"/>
          <w:sz w:val="27"/>
          <w:rtl/>
        </w:rPr>
        <w:t>مسألة</w:t>
      </w:r>
      <w:r w:rsidR="00F34FB9" w:rsidRPr="00904FCB">
        <w:rPr>
          <w:sz w:val="27"/>
          <w:rtl/>
        </w:rPr>
        <w:t xml:space="preserve"> </w:t>
      </w:r>
      <w:r w:rsidR="00F34FB9" w:rsidRPr="00904FCB">
        <w:rPr>
          <w:rFonts w:hint="cs"/>
          <w:sz w:val="27"/>
          <w:rtl/>
        </w:rPr>
        <w:t>دعوى</w:t>
      </w:r>
      <w:r w:rsidR="00F34FB9" w:rsidRPr="00904FCB">
        <w:rPr>
          <w:sz w:val="27"/>
          <w:rtl/>
        </w:rPr>
        <w:t xml:space="preserve"> </w:t>
      </w:r>
      <w:r w:rsidR="00F34FB9" w:rsidRPr="00904FCB">
        <w:rPr>
          <w:rFonts w:hint="cs"/>
          <w:sz w:val="27"/>
          <w:rtl/>
        </w:rPr>
        <w:t>الشرك</w:t>
      </w:r>
      <w:r w:rsidR="00F34FB9" w:rsidRPr="00904FCB">
        <w:rPr>
          <w:sz w:val="27"/>
          <w:rtl/>
        </w:rPr>
        <w:t xml:space="preserve"> </w:t>
      </w:r>
      <w:r w:rsidR="00F34FB9" w:rsidRPr="00904FCB">
        <w:rPr>
          <w:rFonts w:hint="cs"/>
          <w:sz w:val="27"/>
          <w:rtl/>
        </w:rPr>
        <w:t>على</w:t>
      </w:r>
      <w:r w:rsidR="00F34FB9" w:rsidRPr="00904FCB">
        <w:rPr>
          <w:sz w:val="27"/>
          <w:rtl/>
        </w:rPr>
        <w:t xml:space="preserve"> </w:t>
      </w:r>
      <w:r w:rsidR="00F34FB9" w:rsidRPr="00904FCB">
        <w:rPr>
          <w:rFonts w:hint="cs"/>
          <w:sz w:val="27"/>
          <w:rtl/>
        </w:rPr>
        <w:t>أهل</w:t>
      </w:r>
      <w:r w:rsidR="00F34FB9" w:rsidRPr="00904FCB">
        <w:rPr>
          <w:sz w:val="27"/>
          <w:rtl/>
        </w:rPr>
        <w:t xml:space="preserve"> </w:t>
      </w:r>
      <w:r w:rsidR="00F34FB9" w:rsidRPr="00904FCB">
        <w:rPr>
          <w:rFonts w:hint="cs"/>
          <w:sz w:val="27"/>
          <w:rtl/>
        </w:rPr>
        <w:t>الكتاب</w:t>
      </w:r>
      <w:r w:rsidRPr="00904FCB">
        <w:rPr>
          <w:rFonts w:hint="cs"/>
          <w:sz w:val="27"/>
          <w:rtl/>
        </w:rPr>
        <w:t>.</w:t>
      </w:r>
      <w:r w:rsidR="00F34FB9" w:rsidRPr="00904FCB">
        <w:rPr>
          <w:rFonts w:hint="cs"/>
          <w:sz w:val="27"/>
          <w:rtl/>
        </w:rPr>
        <w:t xml:space="preserve"> ومن</w:t>
      </w:r>
      <w:r w:rsidR="00F34FB9" w:rsidRPr="00904FCB">
        <w:rPr>
          <w:sz w:val="27"/>
          <w:rtl/>
        </w:rPr>
        <w:t xml:space="preserve"> </w:t>
      </w:r>
      <w:r w:rsidR="00F34FB9" w:rsidRPr="00904FCB">
        <w:rPr>
          <w:rFonts w:hint="cs"/>
          <w:sz w:val="27"/>
          <w:rtl/>
        </w:rPr>
        <w:t>هنا</w:t>
      </w:r>
      <w:r w:rsidR="00F34FB9" w:rsidRPr="00904FCB">
        <w:rPr>
          <w:sz w:val="27"/>
          <w:rtl/>
        </w:rPr>
        <w:t xml:space="preserve"> </w:t>
      </w:r>
      <w:r w:rsidR="00F34FB9" w:rsidRPr="00904FCB">
        <w:rPr>
          <w:rFonts w:hint="cs"/>
          <w:sz w:val="27"/>
          <w:rtl/>
        </w:rPr>
        <w:t>فقد</w:t>
      </w:r>
      <w:r w:rsidR="00F34FB9" w:rsidRPr="00904FCB">
        <w:rPr>
          <w:sz w:val="27"/>
          <w:rtl/>
        </w:rPr>
        <w:t xml:space="preserve"> </w:t>
      </w:r>
      <w:r w:rsidR="00F34FB9" w:rsidRPr="00904FCB">
        <w:rPr>
          <w:rFonts w:hint="cs"/>
          <w:sz w:val="27"/>
          <w:rtl/>
        </w:rPr>
        <w:t>استأنفنا</w:t>
      </w:r>
      <w:r w:rsidR="00F34FB9" w:rsidRPr="00904FCB">
        <w:rPr>
          <w:sz w:val="27"/>
          <w:rtl/>
        </w:rPr>
        <w:t xml:space="preserve"> </w:t>
      </w:r>
      <w:r w:rsidR="00F34FB9" w:rsidRPr="00904FCB">
        <w:rPr>
          <w:rFonts w:hint="cs"/>
          <w:sz w:val="27"/>
          <w:rtl/>
        </w:rPr>
        <w:t>البحث</w:t>
      </w:r>
      <w:r w:rsidR="00F34FB9" w:rsidRPr="00904FCB">
        <w:rPr>
          <w:sz w:val="27"/>
          <w:rtl/>
        </w:rPr>
        <w:t xml:space="preserve"> </w:t>
      </w:r>
      <w:r w:rsidR="00F34FB9" w:rsidRPr="00904FCB">
        <w:rPr>
          <w:rFonts w:hint="cs"/>
          <w:sz w:val="27"/>
          <w:rtl/>
        </w:rPr>
        <w:t>التالي</w:t>
      </w:r>
      <w:r w:rsidR="00F34FB9" w:rsidRPr="00904FCB">
        <w:rPr>
          <w:sz w:val="27"/>
          <w:rtl/>
        </w:rPr>
        <w:t xml:space="preserve">: </w:t>
      </w:r>
    </w:p>
    <w:p w:rsidR="00D858CA" w:rsidRPr="00904FCB" w:rsidRDefault="00D858CA" w:rsidP="007A21AA">
      <w:pPr>
        <w:spacing w:line="400" w:lineRule="exact"/>
        <w:rPr>
          <w:sz w:val="27"/>
          <w:rtl/>
        </w:rPr>
      </w:pPr>
    </w:p>
    <w:p w:rsidR="00F34FB9" w:rsidRPr="00904FCB" w:rsidRDefault="00F34FB9" w:rsidP="007A21AA">
      <w:pPr>
        <w:pStyle w:val="31"/>
        <w:spacing w:line="400" w:lineRule="exact"/>
        <w:rPr>
          <w:color w:val="auto"/>
          <w:rtl/>
        </w:rPr>
      </w:pPr>
      <w:r w:rsidRPr="00904FCB">
        <w:rPr>
          <w:rFonts w:hint="cs"/>
          <w:color w:val="auto"/>
          <w:rtl/>
        </w:rPr>
        <w:t>ال</w:t>
      </w:r>
      <w:r w:rsidR="00D858CA" w:rsidRPr="00904FCB">
        <w:rPr>
          <w:rFonts w:hint="cs"/>
          <w:color w:val="auto"/>
          <w:rtl/>
        </w:rPr>
        <w:t>ا</w:t>
      </w:r>
      <w:r w:rsidRPr="00904FCB">
        <w:rPr>
          <w:rFonts w:hint="cs"/>
          <w:color w:val="auto"/>
          <w:rtl/>
        </w:rPr>
        <w:t>ستدلال</w:t>
      </w:r>
      <w:r w:rsidRPr="00904FCB">
        <w:rPr>
          <w:color w:val="auto"/>
          <w:rtl/>
        </w:rPr>
        <w:t xml:space="preserve"> </w:t>
      </w:r>
      <w:r w:rsidRPr="00904FCB">
        <w:rPr>
          <w:rFonts w:hint="cs"/>
          <w:color w:val="auto"/>
          <w:rtl/>
        </w:rPr>
        <w:t>عل</w:t>
      </w:r>
      <w:r w:rsidR="00D858CA" w:rsidRPr="00904FCB">
        <w:rPr>
          <w:rFonts w:ascii="Times New Roman" w:hAnsi="Times New Roman" w:hint="cs"/>
          <w:color w:val="auto"/>
          <w:rtl/>
        </w:rPr>
        <w:t>ى</w:t>
      </w:r>
      <w:r w:rsidRPr="00904FCB">
        <w:rPr>
          <w:color w:val="auto"/>
          <w:rtl/>
        </w:rPr>
        <w:t xml:space="preserve"> </w:t>
      </w:r>
      <w:r w:rsidRPr="00904FCB">
        <w:rPr>
          <w:rFonts w:hint="cs"/>
          <w:color w:val="auto"/>
          <w:rtl/>
        </w:rPr>
        <w:t>شرك</w:t>
      </w:r>
      <w:r w:rsidRPr="00904FCB">
        <w:rPr>
          <w:color w:val="auto"/>
          <w:rtl/>
        </w:rPr>
        <w:t xml:space="preserve"> </w:t>
      </w:r>
      <w:r w:rsidRPr="00904FCB">
        <w:rPr>
          <w:rFonts w:hint="cs"/>
          <w:color w:val="auto"/>
          <w:rtl/>
        </w:rPr>
        <w:t>أهل</w:t>
      </w:r>
      <w:r w:rsidRPr="00904FCB">
        <w:rPr>
          <w:color w:val="auto"/>
          <w:rtl/>
        </w:rPr>
        <w:t xml:space="preserve"> </w:t>
      </w:r>
      <w:r w:rsidRPr="00904FCB">
        <w:rPr>
          <w:rFonts w:hint="cs"/>
          <w:color w:val="auto"/>
          <w:rtl/>
        </w:rPr>
        <w:t>الكتاب</w:t>
      </w:r>
    </w:p>
    <w:p w:rsidR="00F34FB9" w:rsidRPr="00904FCB" w:rsidRDefault="00F34FB9" w:rsidP="007A21AA">
      <w:pPr>
        <w:spacing w:line="400" w:lineRule="exact"/>
        <w:rPr>
          <w:sz w:val="27"/>
          <w:rtl/>
        </w:rPr>
      </w:pPr>
      <w:r w:rsidRPr="00904FCB">
        <w:rPr>
          <w:rFonts w:hint="cs"/>
          <w:sz w:val="27"/>
          <w:rtl/>
        </w:rPr>
        <w:t>إنّ</w:t>
      </w:r>
      <w:r w:rsidRPr="00904FCB">
        <w:rPr>
          <w:sz w:val="27"/>
          <w:rtl/>
        </w:rPr>
        <w:t xml:space="preserve"> </w:t>
      </w:r>
      <w:r w:rsidRPr="00904FCB">
        <w:rPr>
          <w:rFonts w:hint="cs"/>
          <w:sz w:val="27"/>
          <w:rtl/>
        </w:rPr>
        <w:t>أهمّ</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است</w:t>
      </w:r>
      <w:r w:rsidR="006454FD" w:rsidRPr="00904FCB">
        <w:rPr>
          <w:rFonts w:hint="cs"/>
          <w:sz w:val="27"/>
          <w:rtl/>
        </w:rPr>
        <w:t>ُ</w:t>
      </w:r>
      <w:r w:rsidRPr="00904FCB">
        <w:rPr>
          <w:rFonts w:hint="cs"/>
          <w:sz w:val="27"/>
          <w:rtl/>
        </w:rPr>
        <w:t>دلّ</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شرك</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أمران</w:t>
      </w:r>
      <w:r w:rsidRPr="00904FCB">
        <w:rPr>
          <w:sz w:val="27"/>
          <w:rtl/>
        </w:rPr>
        <w:t xml:space="preserve">: </w:t>
      </w:r>
    </w:p>
    <w:p w:rsidR="00F34FB9" w:rsidRPr="00904FCB" w:rsidRDefault="00F34FB9" w:rsidP="007A21AA">
      <w:pPr>
        <w:spacing w:line="400" w:lineRule="exact"/>
        <w:rPr>
          <w:sz w:val="27"/>
          <w:rtl/>
        </w:rPr>
      </w:pPr>
      <w:r w:rsidRPr="00904FCB">
        <w:rPr>
          <w:sz w:val="27"/>
          <w:rtl/>
        </w:rPr>
        <w:t xml:space="preserve"> </w:t>
      </w:r>
      <w:r w:rsidRPr="00904FCB">
        <w:rPr>
          <w:rFonts w:hint="cs"/>
          <w:b/>
          <w:bCs/>
          <w:sz w:val="27"/>
          <w:rtl/>
        </w:rPr>
        <w:t>الأوّل</w:t>
      </w:r>
      <w:r w:rsidRPr="00904FCB">
        <w:rPr>
          <w:sz w:val="27"/>
          <w:rtl/>
        </w:rPr>
        <w:t xml:space="preserve">: </w:t>
      </w:r>
      <w:r w:rsidRPr="00904FCB">
        <w:rPr>
          <w:rFonts w:hint="cs"/>
          <w:sz w:val="27"/>
          <w:rtl/>
        </w:rPr>
        <w:t>استدلّ</w:t>
      </w:r>
      <w:r w:rsidRPr="00904FCB">
        <w:rPr>
          <w:sz w:val="27"/>
          <w:rtl/>
        </w:rPr>
        <w:t xml:space="preserve"> </w:t>
      </w:r>
      <w:r w:rsidRPr="00904FCB">
        <w:rPr>
          <w:rFonts w:hint="cs"/>
          <w:sz w:val="27"/>
          <w:rtl/>
        </w:rPr>
        <w:t>أغلب</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الفقهاء</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كـصاحب</w:t>
      </w:r>
      <w:r w:rsidRPr="00904FCB">
        <w:rPr>
          <w:sz w:val="27"/>
          <w:rtl/>
        </w:rPr>
        <w:t xml:space="preserve"> </w:t>
      </w:r>
      <w:r w:rsidRPr="00904FCB">
        <w:rPr>
          <w:rFonts w:hint="cs"/>
          <w:sz w:val="27"/>
          <w:rtl/>
        </w:rPr>
        <w:t>الجواهر</w:t>
      </w:r>
      <w:r w:rsidRPr="00904FCB">
        <w:rPr>
          <w:sz w:val="27"/>
          <w:rtl/>
        </w:rPr>
        <w:t xml:space="preserve"> </w:t>
      </w:r>
      <w:r w:rsidRPr="00904FCB">
        <w:rPr>
          <w:rFonts w:hint="cs"/>
          <w:sz w:val="27"/>
          <w:rtl/>
        </w:rPr>
        <w:t>وصاحب</w:t>
      </w:r>
      <w:r w:rsidRPr="00904FCB">
        <w:rPr>
          <w:sz w:val="27"/>
          <w:rtl/>
        </w:rPr>
        <w:t xml:space="preserve"> </w:t>
      </w:r>
      <w:r w:rsidRPr="00904FCB">
        <w:rPr>
          <w:rFonts w:hint="cs"/>
          <w:sz w:val="27"/>
          <w:rtl/>
        </w:rPr>
        <w:t>الحدائق</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شرك</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بقوله</w:t>
      </w:r>
      <w:r w:rsidRPr="00904FCB">
        <w:rPr>
          <w:sz w:val="27"/>
          <w:rtl/>
        </w:rPr>
        <w:t xml:space="preserve"> </w:t>
      </w:r>
      <w:r w:rsidRPr="00904FCB">
        <w:rPr>
          <w:rFonts w:hint="cs"/>
          <w:sz w:val="27"/>
          <w:rtl/>
        </w:rPr>
        <w:t>تعالى</w:t>
      </w:r>
      <w:r w:rsidRPr="00904FCB">
        <w:rPr>
          <w:sz w:val="27"/>
          <w:rtl/>
        </w:rPr>
        <w:t>:</w:t>
      </w:r>
      <w:r w:rsidRPr="00904FCB">
        <w:rPr>
          <w:rFonts w:hint="cs"/>
          <w:sz w:val="27"/>
          <w:rtl/>
          <w:lang w:bidi="ar-LB"/>
        </w:rPr>
        <w:t xml:space="preserve"> </w:t>
      </w:r>
      <w:r w:rsidRPr="00904FCB">
        <w:rPr>
          <w:rFonts w:ascii="Mosawi" w:hAnsi="Mosawi" w:cs="Mosawi"/>
          <w:sz w:val="24"/>
          <w:szCs w:val="24"/>
          <w:rtl/>
        </w:rPr>
        <w:t>﴿</w:t>
      </w:r>
      <w:r w:rsidRPr="00904FCB">
        <w:rPr>
          <w:rFonts w:hint="cs"/>
          <w:b/>
          <w:bCs/>
          <w:sz w:val="27"/>
          <w:rtl/>
          <w:lang w:bidi="ar-LB"/>
        </w:rPr>
        <w:t>وَقَالَ</w:t>
      </w:r>
      <w:r w:rsidRPr="00904FCB">
        <w:rPr>
          <w:rFonts w:hint="cs"/>
          <w:b/>
          <w:bCs/>
          <w:sz w:val="27"/>
          <w:rtl/>
        </w:rPr>
        <w:t>تِ</w:t>
      </w:r>
      <w:r w:rsidRPr="00904FCB">
        <w:rPr>
          <w:b/>
          <w:bCs/>
          <w:sz w:val="27"/>
          <w:rtl/>
        </w:rPr>
        <w:t xml:space="preserve"> </w:t>
      </w:r>
      <w:r w:rsidRPr="00904FCB">
        <w:rPr>
          <w:rFonts w:hint="cs"/>
          <w:b/>
          <w:bCs/>
          <w:sz w:val="27"/>
          <w:rtl/>
        </w:rPr>
        <w:t>الْيَهُودُ</w:t>
      </w:r>
      <w:r w:rsidRPr="00904FCB">
        <w:rPr>
          <w:b/>
          <w:bCs/>
          <w:sz w:val="27"/>
          <w:rtl/>
        </w:rPr>
        <w:t xml:space="preserve"> </w:t>
      </w:r>
      <w:r w:rsidRPr="00904FCB">
        <w:rPr>
          <w:rFonts w:hint="cs"/>
          <w:b/>
          <w:bCs/>
          <w:sz w:val="27"/>
          <w:rtl/>
        </w:rPr>
        <w:t>عُزَيْرٌ</w:t>
      </w:r>
      <w:r w:rsidRPr="00904FCB">
        <w:rPr>
          <w:b/>
          <w:bCs/>
          <w:sz w:val="27"/>
          <w:rtl/>
        </w:rPr>
        <w:t xml:space="preserve"> </w:t>
      </w:r>
      <w:r w:rsidRPr="00904FCB">
        <w:rPr>
          <w:rFonts w:hint="cs"/>
          <w:b/>
          <w:bCs/>
          <w:sz w:val="27"/>
          <w:rtl/>
        </w:rPr>
        <w:t>ابْنُ</w:t>
      </w:r>
      <w:r w:rsidRPr="00904FCB">
        <w:rPr>
          <w:b/>
          <w:bCs/>
          <w:sz w:val="27"/>
          <w:rtl/>
        </w:rPr>
        <w:t xml:space="preserve"> </w:t>
      </w:r>
      <w:r w:rsidR="006454FD" w:rsidRPr="00904FCB">
        <w:rPr>
          <w:rFonts w:hint="cs"/>
          <w:b/>
          <w:bCs/>
          <w:sz w:val="27"/>
          <w:rtl/>
        </w:rPr>
        <w:t>الل</w:t>
      </w:r>
      <w:r w:rsidRPr="00904FCB">
        <w:rPr>
          <w:rFonts w:hint="cs"/>
          <w:b/>
          <w:bCs/>
          <w:sz w:val="27"/>
          <w:rtl/>
        </w:rPr>
        <w:t>هِ</w:t>
      </w:r>
      <w:r w:rsidRPr="00904FCB">
        <w:rPr>
          <w:b/>
          <w:bCs/>
          <w:sz w:val="27"/>
          <w:rtl/>
        </w:rPr>
        <w:t xml:space="preserve"> و</w:t>
      </w:r>
      <w:r w:rsidR="006454FD" w:rsidRPr="00904FCB">
        <w:rPr>
          <w:rFonts w:hint="cs"/>
          <w:b/>
          <w:bCs/>
          <w:sz w:val="27"/>
          <w:rtl/>
        </w:rPr>
        <w:t>َ</w:t>
      </w:r>
      <w:r w:rsidRPr="00904FCB">
        <w:rPr>
          <w:rFonts w:hint="cs"/>
          <w:b/>
          <w:bCs/>
          <w:sz w:val="27"/>
          <w:rtl/>
        </w:rPr>
        <w:t>ق</w:t>
      </w:r>
      <w:r w:rsidR="006454FD" w:rsidRPr="00904FCB">
        <w:rPr>
          <w:rFonts w:hint="cs"/>
          <w:b/>
          <w:bCs/>
          <w:sz w:val="27"/>
          <w:rtl/>
        </w:rPr>
        <w:t>َ</w:t>
      </w:r>
      <w:r w:rsidRPr="00904FCB">
        <w:rPr>
          <w:rFonts w:hint="cs"/>
          <w:b/>
          <w:bCs/>
          <w:sz w:val="27"/>
          <w:rtl/>
        </w:rPr>
        <w:t>الَتِ</w:t>
      </w:r>
      <w:r w:rsidRPr="00904FCB">
        <w:rPr>
          <w:b/>
          <w:bCs/>
          <w:sz w:val="27"/>
          <w:rtl/>
        </w:rPr>
        <w:t xml:space="preserve"> </w:t>
      </w:r>
      <w:r w:rsidRPr="00904FCB">
        <w:rPr>
          <w:rFonts w:hint="cs"/>
          <w:b/>
          <w:bCs/>
          <w:sz w:val="27"/>
          <w:rtl/>
        </w:rPr>
        <w:t>النَّص</w:t>
      </w:r>
      <w:r w:rsidR="006454FD" w:rsidRPr="00904FCB">
        <w:rPr>
          <w:rFonts w:hint="cs"/>
          <w:b/>
          <w:bCs/>
          <w:sz w:val="27"/>
          <w:rtl/>
        </w:rPr>
        <w:t>َ</w:t>
      </w:r>
      <w:r w:rsidRPr="00904FCB">
        <w:rPr>
          <w:rFonts w:hint="cs"/>
          <w:b/>
          <w:bCs/>
          <w:sz w:val="27"/>
          <w:rtl/>
        </w:rPr>
        <w:t>ار</w:t>
      </w:r>
      <w:r w:rsidR="006454FD" w:rsidRPr="00904FCB">
        <w:rPr>
          <w:rFonts w:hint="cs"/>
          <w:b/>
          <w:bCs/>
          <w:sz w:val="27"/>
          <w:rtl/>
        </w:rPr>
        <w:t>َ</w:t>
      </w:r>
      <w:r w:rsidRPr="00904FCB">
        <w:rPr>
          <w:rFonts w:hint="cs"/>
          <w:b/>
          <w:bCs/>
          <w:sz w:val="27"/>
          <w:rtl/>
        </w:rPr>
        <w:t>ى‏</w:t>
      </w:r>
      <w:r w:rsidRPr="00904FCB">
        <w:rPr>
          <w:b/>
          <w:bCs/>
          <w:sz w:val="27"/>
          <w:rtl/>
        </w:rPr>
        <w:t xml:space="preserve"> </w:t>
      </w:r>
      <w:r w:rsidRPr="00904FCB">
        <w:rPr>
          <w:rFonts w:hint="cs"/>
          <w:b/>
          <w:bCs/>
          <w:sz w:val="27"/>
          <w:rtl/>
        </w:rPr>
        <w:t>الْمَس</w:t>
      </w:r>
      <w:r w:rsidR="006454FD" w:rsidRPr="00904FCB">
        <w:rPr>
          <w:rFonts w:hint="cs"/>
          <w:b/>
          <w:bCs/>
          <w:sz w:val="27"/>
          <w:rtl/>
        </w:rPr>
        <w:t>ِ</w:t>
      </w:r>
      <w:r w:rsidRPr="00904FCB">
        <w:rPr>
          <w:rFonts w:hint="cs"/>
          <w:b/>
          <w:bCs/>
          <w:sz w:val="27"/>
          <w:rtl/>
        </w:rPr>
        <w:t>يحُ</w:t>
      </w:r>
      <w:r w:rsidRPr="00904FCB">
        <w:rPr>
          <w:b/>
          <w:bCs/>
          <w:sz w:val="27"/>
          <w:rtl/>
        </w:rPr>
        <w:t xml:space="preserve"> </w:t>
      </w:r>
      <w:r w:rsidRPr="00904FCB">
        <w:rPr>
          <w:rFonts w:hint="cs"/>
          <w:b/>
          <w:bCs/>
          <w:sz w:val="27"/>
          <w:rtl/>
        </w:rPr>
        <w:lastRenderedPageBreak/>
        <w:t>ابْنُ</w:t>
      </w:r>
      <w:r w:rsidRPr="00904FCB">
        <w:rPr>
          <w:b/>
          <w:bCs/>
          <w:sz w:val="27"/>
          <w:rtl/>
        </w:rPr>
        <w:t xml:space="preserve"> </w:t>
      </w:r>
      <w:r w:rsidR="006454FD" w:rsidRPr="00904FCB">
        <w:rPr>
          <w:rFonts w:hint="cs"/>
          <w:b/>
          <w:bCs/>
          <w:sz w:val="27"/>
          <w:rtl/>
        </w:rPr>
        <w:t>الل</w:t>
      </w:r>
      <w:r w:rsidRPr="00904FCB">
        <w:rPr>
          <w:rFonts w:hint="cs"/>
          <w:b/>
          <w:bCs/>
          <w:sz w:val="27"/>
          <w:rtl/>
        </w:rPr>
        <w:t>هِ</w:t>
      </w:r>
      <w:r w:rsidRPr="00904FCB">
        <w:rPr>
          <w:b/>
          <w:bCs/>
          <w:sz w:val="27"/>
          <w:rtl/>
        </w:rPr>
        <w:t xml:space="preserve"> </w:t>
      </w:r>
      <w:r w:rsidRPr="00904FCB">
        <w:rPr>
          <w:rFonts w:hint="cs"/>
          <w:b/>
          <w:bCs/>
          <w:sz w:val="27"/>
          <w:rtl/>
        </w:rPr>
        <w:t>ذ</w:t>
      </w:r>
      <w:r w:rsidR="006454FD" w:rsidRPr="00904FCB">
        <w:rPr>
          <w:rFonts w:hint="cs"/>
          <w:b/>
          <w:bCs/>
          <w:sz w:val="27"/>
          <w:rtl/>
        </w:rPr>
        <w:t>َ</w:t>
      </w:r>
      <w:r w:rsidRPr="00904FCB">
        <w:rPr>
          <w:rFonts w:hint="cs"/>
          <w:b/>
          <w:bCs/>
          <w:sz w:val="27"/>
          <w:rtl/>
        </w:rPr>
        <w:t>لِكَ</w:t>
      </w:r>
      <w:r w:rsidRPr="00904FCB">
        <w:rPr>
          <w:b/>
          <w:bCs/>
          <w:sz w:val="27"/>
          <w:rtl/>
        </w:rPr>
        <w:t xml:space="preserve"> </w:t>
      </w:r>
      <w:r w:rsidRPr="00904FCB">
        <w:rPr>
          <w:rFonts w:hint="cs"/>
          <w:b/>
          <w:bCs/>
          <w:sz w:val="27"/>
          <w:rtl/>
        </w:rPr>
        <w:t>قَوْلُهُمْ</w:t>
      </w:r>
      <w:r w:rsidRPr="00904FCB">
        <w:rPr>
          <w:b/>
          <w:bCs/>
          <w:sz w:val="27"/>
          <w:rtl/>
        </w:rPr>
        <w:t xml:space="preserve"> </w:t>
      </w:r>
      <w:r w:rsidRPr="00904FCB">
        <w:rPr>
          <w:rFonts w:hint="cs"/>
          <w:b/>
          <w:bCs/>
          <w:sz w:val="27"/>
          <w:rtl/>
        </w:rPr>
        <w:t>بِأَفْو</w:t>
      </w:r>
      <w:r w:rsidR="006454FD" w:rsidRPr="00904FCB">
        <w:rPr>
          <w:rFonts w:hint="cs"/>
          <w:b/>
          <w:bCs/>
          <w:sz w:val="27"/>
          <w:rtl/>
        </w:rPr>
        <w:t>َ</w:t>
      </w:r>
      <w:r w:rsidRPr="00904FCB">
        <w:rPr>
          <w:rFonts w:hint="cs"/>
          <w:b/>
          <w:bCs/>
          <w:sz w:val="27"/>
          <w:rtl/>
        </w:rPr>
        <w:t>اهِهِمْ</w:t>
      </w:r>
      <w:r w:rsidRPr="00904FCB">
        <w:rPr>
          <w:b/>
          <w:bCs/>
          <w:sz w:val="27"/>
          <w:rtl/>
        </w:rPr>
        <w:t xml:space="preserve"> </w:t>
      </w:r>
      <w:r w:rsidRPr="00904FCB">
        <w:rPr>
          <w:rFonts w:hint="cs"/>
          <w:b/>
          <w:bCs/>
          <w:sz w:val="27"/>
          <w:rtl/>
        </w:rPr>
        <w:t>يُض</w:t>
      </w:r>
      <w:r w:rsidR="006454FD" w:rsidRPr="00904FCB">
        <w:rPr>
          <w:rFonts w:hint="cs"/>
          <w:b/>
          <w:bCs/>
          <w:sz w:val="27"/>
          <w:rtl/>
        </w:rPr>
        <w:t>َ</w:t>
      </w:r>
      <w:r w:rsidRPr="00904FCB">
        <w:rPr>
          <w:rFonts w:hint="cs"/>
          <w:b/>
          <w:bCs/>
          <w:sz w:val="27"/>
          <w:rtl/>
        </w:rPr>
        <w:t>اهِ</w:t>
      </w:r>
      <w:r w:rsidR="006454FD" w:rsidRPr="00904FCB">
        <w:rPr>
          <w:rFonts w:hint="cs"/>
          <w:b/>
          <w:bCs/>
          <w:sz w:val="27"/>
          <w:rtl/>
        </w:rPr>
        <w:t>ئُو</w:t>
      </w:r>
      <w:r w:rsidRPr="00904FCB">
        <w:rPr>
          <w:rFonts w:hint="cs"/>
          <w:b/>
          <w:bCs/>
          <w:sz w:val="27"/>
          <w:rtl/>
        </w:rPr>
        <w:t>نَ</w:t>
      </w:r>
      <w:r w:rsidRPr="00904FCB">
        <w:rPr>
          <w:b/>
          <w:bCs/>
          <w:sz w:val="27"/>
          <w:rtl/>
        </w:rPr>
        <w:t xml:space="preserve"> </w:t>
      </w:r>
      <w:r w:rsidRPr="00904FCB">
        <w:rPr>
          <w:rFonts w:hint="cs"/>
          <w:b/>
          <w:bCs/>
          <w:sz w:val="27"/>
          <w:rtl/>
        </w:rPr>
        <w:t>قَوْلَ</w:t>
      </w:r>
      <w:r w:rsidRPr="00904FCB">
        <w:rPr>
          <w:b/>
          <w:bCs/>
          <w:sz w:val="27"/>
          <w:rtl/>
        </w:rPr>
        <w:t xml:space="preserve"> </w:t>
      </w:r>
      <w:r w:rsidRPr="00904FCB">
        <w:rPr>
          <w:rFonts w:hint="cs"/>
          <w:b/>
          <w:bCs/>
          <w:sz w:val="27"/>
          <w:rtl/>
        </w:rPr>
        <w:t>الَّذ</w:t>
      </w:r>
      <w:r w:rsidR="006454FD" w:rsidRPr="00904FCB">
        <w:rPr>
          <w:rFonts w:hint="cs"/>
          <w:b/>
          <w:bCs/>
          <w:sz w:val="27"/>
          <w:rtl/>
        </w:rPr>
        <w:t>ِ</w:t>
      </w:r>
      <w:r w:rsidRPr="00904FCB">
        <w:rPr>
          <w:rFonts w:hint="cs"/>
          <w:b/>
          <w:bCs/>
          <w:sz w:val="27"/>
          <w:rtl/>
        </w:rPr>
        <w:t>ينَ</w:t>
      </w:r>
      <w:r w:rsidRPr="00904FCB">
        <w:rPr>
          <w:b/>
          <w:bCs/>
          <w:sz w:val="27"/>
          <w:rtl/>
        </w:rPr>
        <w:t xml:space="preserve"> </w:t>
      </w:r>
      <w:r w:rsidRPr="00904FCB">
        <w:rPr>
          <w:rFonts w:hint="cs"/>
          <w:b/>
          <w:bCs/>
          <w:sz w:val="27"/>
          <w:rtl/>
        </w:rPr>
        <w:t>كَفَرُوا</w:t>
      </w:r>
      <w:r w:rsidRPr="00904FCB">
        <w:rPr>
          <w:b/>
          <w:bCs/>
          <w:sz w:val="27"/>
          <w:rtl/>
        </w:rPr>
        <w:t xml:space="preserve"> </w:t>
      </w:r>
      <w:r w:rsidRPr="00904FCB">
        <w:rPr>
          <w:rFonts w:hint="cs"/>
          <w:b/>
          <w:bCs/>
          <w:sz w:val="27"/>
          <w:rtl/>
        </w:rPr>
        <w:t>مِنْ</w:t>
      </w:r>
      <w:r w:rsidRPr="00904FCB">
        <w:rPr>
          <w:b/>
          <w:bCs/>
          <w:sz w:val="27"/>
          <w:rtl/>
        </w:rPr>
        <w:t xml:space="preserve"> </w:t>
      </w:r>
      <w:r w:rsidRPr="00904FCB">
        <w:rPr>
          <w:rFonts w:hint="cs"/>
          <w:b/>
          <w:bCs/>
          <w:sz w:val="27"/>
          <w:rtl/>
        </w:rPr>
        <w:t>قَبْلُ</w:t>
      </w:r>
      <w:r w:rsidRPr="00904FCB">
        <w:rPr>
          <w:b/>
          <w:bCs/>
          <w:sz w:val="27"/>
          <w:rtl/>
        </w:rPr>
        <w:t xml:space="preserve"> </w:t>
      </w:r>
      <w:r w:rsidRPr="00904FCB">
        <w:rPr>
          <w:rFonts w:hint="cs"/>
          <w:b/>
          <w:bCs/>
          <w:sz w:val="27"/>
          <w:rtl/>
        </w:rPr>
        <w:t>ق</w:t>
      </w:r>
      <w:r w:rsidR="006454FD" w:rsidRPr="00904FCB">
        <w:rPr>
          <w:rFonts w:hint="cs"/>
          <w:b/>
          <w:bCs/>
          <w:sz w:val="27"/>
          <w:rtl/>
        </w:rPr>
        <w:t>َ</w:t>
      </w:r>
      <w:r w:rsidRPr="00904FCB">
        <w:rPr>
          <w:rFonts w:hint="cs"/>
          <w:b/>
          <w:bCs/>
          <w:sz w:val="27"/>
          <w:rtl/>
        </w:rPr>
        <w:t>اتَلَهُمُ</w:t>
      </w:r>
      <w:r w:rsidRPr="00904FCB">
        <w:rPr>
          <w:b/>
          <w:bCs/>
          <w:sz w:val="27"/>
          <w:rtl/>
        </w:rPr>
        <w:t xml:space="preserve"> </w:t>
      </w:r>
      <w:r w:rsidR="006454FD" w:rsidRPr="00904FCB">
        <w:rPr>
          <w:rFonts w:hint="cs"/>
          <w:b/>
          <w:bCs/>
          <w:sz w:val="27"/>
          <w:rtl/>
        </w:rPr>
        <w:t>الل</w:t>
      </w:r>
      <w:r w:rsidRPr="00904FCB">
        <w:rPr>
          <w:rFonts w:hint="cs"/>
          <w:b/>
          <w:bCs/>
          <w:sz w:val="27"/>
          <w:rtl/>
        </w:rPr>
        <w:t>هُ</w:t>
      </w:r>
      <w:r w:rsidRPr="00904FCB">
        <w:rPr>
          <w:b/>
          <w:bCs/>
          <w:sz w:val="27"/>
          <w:rtl/>
        </w:rPr>
        <w:t xml:space="preserve"> </w:t>
      </w:r>
      <w:r w:rsidRPr="00904FCB">
        <w:rPr>
          <w:rFonts w:hint="cs"/>
          <w:b/>
          <w:bCs/>
          <w:sz w:val="27"/>
          <w:rtl/>
        </w:rPr>
        <w:t>أَنَّى</w:t>
      </w:r>
      <w:r w:rsidRPr="00904FCB">
        <w:rPr>
          <w:b/>
          <w:bCs/>
          <w:sz w:val="27"/>
          <w:rtl/>
        </w:rPr>
        <w:t xml:space="preserve"> </w:t>
      </w:r>
      <w:r w:rsidRPr="00904FCB">
        <w:rPr>
          <w:rFonts w:hint="cs"/>
          <w:b/>
          <w:bCs/>
          <w:sz w:val="27"/>
          <w:rtl/>
        </w:rPr>
        <w:t>يُؤْفَكُونَ</w:t>
      </w:r>
      <w:r w:rsidRPr="00904FCB">
        <w:rPr>
          <w:rFonts w:ascii="Mosawi" w:hAnsi="Mosawi" w:cs="Mosawi"/>
          <w:sz w:val="24"/>
          <w:szCs w:val="24"/>
          <w:rtl/>
        </w:rPr>
        <w:t>﴾</w:t>
      </w:r>
      <w:r w:rsidRPr="00904FCB">
        <w:rPr>
          <w:sz w:val="27"/>
          <w:rtl/>
        </w:rPr>
        <w:t xml:space="preserve"> (</w:t>
      </w:r>
      <w:r w:rsidRPr="00904FCB">
        <w:rPr>
          <w:rFonts w:hint="cs"/>
          <w:sz w:val="27"/>
          <w:rtl/>
        </w:rPr>
        <w:t xml:space="preserve">التوبة: </w:t>
      </w:r>
      <w:r w:rsidRPr="00783611">
        <w:rPr>
          <w:rFonts w:hint="cs"/>
          <w:sz w:val="27"/>
          <w:rtl/>
          <w:lang w:bidi="ar-LB"/>
        </w:rPr>
        <w:t>30</w:t>
      </w:r>
      <w:r w:rsidRPr="00904FCB">
        <w:rPr>
          <w:sz w:val="27"/>
          <w:rtl/>
        </w:rPr>
        <w:t>)،</w:t>
      </w:r>
      <w:r w:rsidRPr="00904FCB">
        <w:rPr>
          <w:rFonts w:hint="cs"/>
          <w:sz w:val="27"/>
          <w:rtl/>
        </w:rPr>
        <w:t xml:space="preserve"> وقوله</w:t>
      </w:r>
      <w:r w:rsidRPr="00904FCB">
        <w:rPr>
          <w:sz w:val="27"/>
          <w:rtl/>
        </w:rPr>
        <w:t xml:space="preserve"> </w:t>
      </w:r>
      <w:r w:rsidRPr="00904FCB">
        <w:rPr>
          <w:rFonts w:hint="cs"/>
          <w:sz w:val="27"/>
          <w:rtl/>
        </w:rPr>
        <w:t>أيضاً</w:t>
      </w:r>
      <w:r w:rsidRPr="00904FCB">
        <w:rPr>
          <w:sz w:val="27"/>
          <w:rtl/>
        </w:rPr>
        <w:t xml:space="preserve">: </w:t>
      </w:r>
      <w:r w:rsidRPr="00904FCB">
        <w:rPr>
          <w:rFonts w:ascii="Mosawi" w:hAnsi="Mosawi" w:cs="Mosawi"/>
          <w:sz w:val="24"/>
          <w:szCs w:val="24"/>
          <w:rtl/>
        </w:rPr>
        <w:t>﴿</w:t>
      </w:r>
      <w:r w:rsidRPr="00904FCB">
        <w:rPr>
          <w:b/>
          <w:bCs/>
          <w:sz w:val="27"/>
          <w:rtl/>
        </w:rPr>
        <w:t>و</w:t>
      </w:r>
      <w:r w:rsidR="00B91B56" w:rsidRPr="00904FCB">
        <w:rPr>
          <w:rFonts w:hint="cs"/>
          <w:b/>
          <w:bCs/>
          <w:sz w:val="27"/>
          <w:rtl/>
        </w:rPr>
        <w:t>َ</w:t>
      </w:r>
      <w:r w:rsidRPr="00904FCB">
        <w:rPr>
          <w:rFonts w:hint="cs"/>
          <w:b/>
          <w:bCs/>
          <w:sz w:val="27"/>
          <w:rtl/>
        </w:rPr>
        <w:t>ق</w:t>
      </w:r>
      <w:r w:rsidR="00B91B56" w:rsidRPr="00904FCB">
        <w:rPr>
          <w:rFonts w:hint="cs"/>
          <w:b/>
          <w:bCs/>
          <w:sz w:val="27"/>
          <w:rtl/>
        </w:rPr>
        <w:t>َ</w:t>
      </w:r>
      <w:r w:rsidRPr="00904FCB">
        <w:rPr>
          <w:rFonts w:hint="cs"/>
          <w:b/>
          <w:bCs/>
          <w:sz w:val="27"/>
          <w:rtl/>
        </w:rPr>
        <w:t>الُوا</w:t>
      </w:r>
      <w:r w:rsidRPr="00904FCB">
        <w:rPr>
          <w:b/>
          <w:bCs/>
          <w:sz w:val="27"/>
          <w:rtl/>
        </w:rPr>
        <w:t xml:space="preserve"> </w:t>
      </w:r>
      <w:r w:rsidRPr="00904FCB">
        <w:rPr>
          <w:rFonts w:hint="cs"/>
          <w:b/>
          <w:bCs/>
          <w:sz w:val="27"/>
          <w:rtl/>
        </w:rPr>
        <w:t>اتَّخَذَ</w:t>
      </w:r>
      <w:r w:rsidRPr="00904FCB">
        <w:rPr>
          <w:b/>
          <w:bCs/>
          <w:sz w:val="27"/>
          <w:rtl/>
        </w:rPr>
        <w:t xml:space="preserve"> </w:t>
      </w:r>
      <w:r w:rsidRPr="00904FCB">
        <w:rPr>
          <w:rFonts w:hint="cs"/>
          <w:b/>
          <w:bCs/>
          <w:sz w:val="27"/>
          <w:rtl/>
        </w:rPr>
        <w:t>الرَّحْم</w:t>
      </w:r>
      <w:r w:rsidR="00B91B56" w:rsidRPr="00904FCB">
        <w:rPr>
          <w:rFonts w:hint="cs"/>
          <w:b/>
          <w:bCs/>
          <w:sz w:val="27"/>
          <w:rtl/>
        </w:rPr>
        <w:t>َ</w:t>
      </w:r>
      <w:r w:rsidRPr="00904FCB">
        <w:rPr>
          <w:rFonts w:hint="cs"/>
          <w:b/>
          <w:bCs/>
          <w:sz w:val="27"/>
          <w:rtl/>
        </w:rPr>
        <w:t>نُ</w:t>
      </w:r>
      <w:r w:rsidRPr="00904FCB">
        <w:rPr>
          <w:b/>
          <w:bCs/>
          <w:sz w:val="27"/>
          <w:rtl/>
        </w:rPr>
        <w:t xml:space="preserve"> </w:t>
      </w:r>
      <w:r w:rsidRPr="00904FCB">
        <w:rPr>
          <w:rFonts w:hint="cs"/>
          <w:b/>
          <w:bCs/>
          <w:sz w:val="27"/>
          <w:rtl/>
        </w:rPr>
        <w:t>وَلَد</w:t>
      </w:r>
      <w:r w:rsidR="00B91B56" w:rsidRPr="00904FCB">
        <w:rPr>
          <w:rFonts w:hint="cs"/>
          <w:b/>
          <w:bCs/>
          <w:sz w:val="27"/>
          <w:rtl/>
        </w:rPr>
        <w:t>َ</w:t>
      </w:r>
      <w:r w:rsidRPr="00904FCB">
        <w:rPr>
          <w:rFonts w:hint="cs"/>
          <w:b/>
          <w:bCs/>
          <w:sz w:val="27"/>
          <w:rtl/>
        </w:rPr>
        <w:t>اً</w:t>
      </w:r>
      <w:r w:rsidRPr="00904FCB">
        <w:rPr>
          <w:rFonts w:ascii="Mosawi" w:hAnsi="Mosawi" w:cs="Mosawi"/>
          <w:sz w:val="24"/>
          <w:szCs w:val="24"/>
          <w:rtl/>
        </w:rPr>
        <w:t>﴾</w:t>
      </w:r>
      <w:r w:rsidRPr="00904FCB">
        <w:rPr>
          <w:sz w:val="27"/>
          <w:rtl/>
        </w:rPr>
        <w:t xml:space="preserve"> (</w:t>
      </w:r>
      <w:r w:rsidRPr="00904FCB">
        <w:rPr>
          <w:rFonts w:hint="cs"/>
          <w:sz w:val="27"/>
          <w:rtl/>
        </w:rPr>
        <w:t xml:space="preserve">مريم: </w:t>
      </w:r>
      <w:r w:rsidRPr="00783611">
        <w:rPr>
          <w:rFonts w:hint="cs"/>
          <w:sz w:val="27"/>
          <w:rtl/>
          <w:lang w:bidi="ar-LB"/>
        </w:rPr>
        <w:t>88</w:t>
      </w:r>
      <w:r w:rsidRPr="00904FCB">
        <w:rPr>
          <w:sz w:val="27"/>
          <w:rtl/>
        </w:rPr>
        <w:t>).</w:t>
      </w:r>
      <w:r w:rsidRPr="00904FCB">
        <w:rPr>
          <w:rFonts w:ascii="Arial" w:hAnsi="Arial" w:hint="cs"/>
          <w:sz w:val="27"/>
          <w:rtl/>
        </w:rPr>
        <w:t xml:space="preserve"> </w:t>
      </w:r>
    </w:p>
    <w:p w:rsidR="00F34FB9" w:rsidRPr="00904FCB" w:rsidRDefault="00F34FB9" w:rsidP="007A21AA">
      <w:pPr>
        <w:spacing w:line="400" w:lineRule="exact"/>
        <w:rPr>
          <w:sz w:val="27"/>
          <w:rtl/>
        </w:rPr>
      </w:pPr>
      <w:r w:rsidRPr="00904FCB">
        <w:rPr>
          <w:rFonts w:hint="cs"/>
          <w:sz w:val="27"/>
          <w:rtl/>
        </w:rPr>
        <w:t>ووجه</w:t>
      </w:r>
      <w:r w:rsidRPr="00904FCB">
        <w:rPr>
          <w:sz w:val="27"/>
          <w:rtl/>
        </w:rPr>
        <w:t xml:space="preserve"> </w:t>
      </w:r>
      <w:r w:rsidRPr="00904FCB">
        <w:rPr>
          <w:rFonts w:hint="cs"/>
          <w:sz w:val="27"/>
          <w:rtl/>
        </w:rPr>
        <w:t>استدلالهم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والنصارى</w:t>
      </w:r>
      <w:r w:rsidRPr="00904FCB">
        <w:rPr>
          <w:sz w:val="27"/>
          <w:rtl/>
        </w:rPr>
        <w:t xml:space="preserve"> </w:t>
      </w:r>
      <w:r w:rsidRPr="00904FCB">
        <w:rPr>
          <w:rFonts w:hint="cs"/>
          <w:sz w:val="27"/>
          <w:rtl/>
        </w:rPr>
        <w:t>مشركين</w:t>
      </w:r>
      <w:r w:rsidRPr="00904FCB">
        <w:rPr>
          <w:sz w:val="27"/>
          <w:rtl/>
        </w:rPr>
        <w:t xml:space="preserve"> </w:t>
      </w:r>
      <w:r w:rsidRPr="00904FCB">
        <w:rPr>
          <w:rFonts w:hint="cs"/>
          <w:sz w:val="27"/>
          <w:rtl/>
        </w:rPr>
        <w:t>أنّهم</w:t>
      </w:r>
      <w:r w:rsidRPr="00904FCB">
        <w:rPr>
          <w:sz w:val="27"/>
          <w:rtl/>
        </w:rPr>
        <w:t xml:space="preserve"> </w:t>
      </w:r>
      <w:r w:rsidRPr="00904FCB">
        <w:rPr>
          <w:rFonts w:hint="cs"/>
          <w:sz w:val="27"/>
          <w:rtl/>
        </w:rPr>
        <w:t>جعلوا</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سبحانه</w:t>
      </w:r>
      <w:r w:rsidRPr="00904FCB">
        <w:rPr>
          <w:sz w:val="27"/>
          <w:rtl/>
        </w:rPr>
        <w:t xml:space="preserve"> </w:t>
      </w:r>
      <w:r w:rsidRPr="00904FCB">
        <w:rPr>
          <w:rFonts w:hint="cs"/>
          <w:sz w:val="27"/>
          <w:rtl/>
        </w:rPr>
        <w:t>وتعالى</w:t>
      </w:r>
      <w:r w:rsidRPr="00904FCB">
        <w:rPr>
          <w:sz w:val="27"/>
          <w:rtl/>
        </w:rPr>
        <w:t xml:space="preserve"> </w:t>
      </w:r>
      <w:r w:rsidRPr="00904FCB">
        <w:rPr>
          <w:rFonts w:hint="cs"/>
          <w:sz w:val="27"/>
          <w:rtl/>
        </w:rPr>
        <w:t>ولداً</w:t>
      </w:r>
      <w:r w:rsidR="00B91B56" w:rsidRPr="00904FCB">
        <w:rPr>
          <w:rFonts w:hint="cs"/>
          <w:sz w:val="27"/>
          <w:rtl/>
        </w:rPr>
        <w:t>،</w:t>
      </w:r>
      <w:r w:rsidRPr="00904FCB">
        <w:rPr>
          <w:sz w:val="27"/>
          <w:rtl/>
        </w:rPr>
        <w:t xml:space="preserve"> </w:t>
      </w:r>
      <w:r w:rsidRPr="00904FCB">
        <w:rPr>
          <w:rFonts w:hint="cs"/>
          <w:sz w:val="27"/>
          <w:rtl/>
        </w:rPr>
        <w:t>وعدّوه</w:t>
      </w:r>
      <w:r w:rsidRPr="00904FCB">
        <w:rPr>
          <w:sz w:val="27"/>
          <w:rtl/>
        </w:rPr>
        <w:t xml:space="preserve"> ‏</w:t>
      </w:r>
      <w:r w:rsidRPr="00904FCB">
        <w:rPr>
          <w:rFonts w:hint="cs"/>
          <w:sz w:val="27"/>
          <w:rtl/>
        </w:rPr>
        <w:t>والداً</w:t>
      </w:r>
      <w:r w:rsidRPr="00904FCB">
        <w:rPr>
          <w:sz w:val="27"/>
          <w:rtl/>
        </w:rPr>
        <w:t xml:space="preserve"> </w:t>
      </w:r>
      <w:r w:rsidRPr="00904FCB">
        <w:rPr>
          <w:rFonts w:hint="cs"/>
          <w:sz w:val="27"/>
          <w:rtl/>
        </w:rPr>
        <w:t>لهذا</w:t>
      </w:r>
      <w:r w:rsidRPr="00904FCB">
        <w:rPr>
          <w:sz w:val="27"/>
          <w:rtl/>
        </w:rPr>
        <w:t xml:space="preserve"> </w:t>
      </w:r>
      <w:r w:rsidRPr="00904FCB">
        <w:rPr>
          <w:rFonts w:hint="cs"/>
          <w:sz w:val="27"/>
          <w:rtl/>
        </w:rPr>
        <w:t>الولد، فاعتبروا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شرك</w:t>
      </w:r>
      <w:r w:rsidR="00B91B56"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وأجاب</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الفقهاء</w:t>
      </w:r>
      <w:r w:rsidRPr="00904FCB">
        <w:rPr>
          <w:sz w:val="27"/>
          <w:rtl/>
        </w:rPr>
        <w:t xml:space="preserve"> </w:t>
      </w:r>
      <w:r w:rsidRPr="00904FCB">
        <w:rPr>
          <w:rFonts w:hint="cs"/>
          <w:sz w:val="27"/>
          <w:rtl/>
        </w:rPr>
        <w:t>والمفسّ</w:t>
      </w:r>
      <w:r w:rsidR="00B91B56" w:rsidRPr="00904FCB">
        <w:rPr>
          <w:rFonts w:hint="cs"/>
          <w:sz w:val="27"/>
          <w:rtl/>
        </w:rPr>
        <w:t>ِ</w:t>
      </w:r>
      <w:r w:rsidRPr="00904FCB">
        <w:rPr>
          <w:rFonts w:hint="cs"/>
          <w:sz w:val="27"/>
          <w:rtl/>
        </w:rPr>
        <w:t>رين</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بأجوبة</w:t>
      </w:r>
      <w:r w:rsidR="00B91B56" w:rsidRPr="00904FCB">
        <w:rPr>
          <w:rFonts w:hint="cs"/>
          <w:sz w:val="27"/>
          <w:rtl/>
        </w:rPr>
        <w:t>ٍ،</w:t>
      </w:r>
      <w:r w:rsidRPr="00904FCB">
        <w:rPr>
          <w:sz w:val="27"/>
          <w:rtl/>
        </w:rPr>
        <w:t xml:space="preserve"> </w:t>
      </w:r>
      <w:r w:rsidRPr="00904FCB">
        <w:rPr>
          <w:rFonts w:hint="cs"/>
          <w:sz w:val="27"/>
          <w:rtl/>
        </w:rPr>
        <w:t>منها</w:t>
      </w:r>
      <w:r w:rsidRPr="00904FCB">
        <w:rPr>
          <w:sz w:val="27"/>
          <w:rtl/>
        </w:rPr>
        <w:t xml:space="preserve">: </w:t>
      </w:r>
    </w:p>
    <w:p w:rsidR="00F34FB9" w:rsidRPr="00904FCB" w:rsidRDefault="00F34FB9" w:rsidP="007A21AA">
      <w:pPr>
        <w:spacing w:line="400" w:lineRule="exact"/>
        <w:rPr>
          <w:sz w:val="27"/>
          <w:rtl/>
        </w:rPr>
      </w:pPr>
      <w:r w:rsidRPr="00783611">
        <w:rPr>
          <w:rFonts w:hint="cs"/>
          <w:sz w:val="27"/>
          <w:rtl/>
          <w:lang w:bidi="ar-LB"/>
        </w:rPr>
        <w:t>1ـ</w:t>
      </w:r>
      <w:r w:rsidRPr="00904FCB">
        <w:rPr>
          <w:rFonts w:hint="cs"/>
          <w:sz w:val="27"/>
          <w:rtl/>
          <w:lang w:bidi="ar-LB"/>
        </w:rPr>
        <w:t xml:space="preserve"> </w:t>
      </w:r>
      <w:r w:rsidRPr="00904FCB">
        <w:rPr>
          <w:rFonts w:hint="cs"/>
          <w:sz w:val="27"/>
          <w:rtl/>
        </w:rPr>
        <w:t>إنّ</w:t>
      </w:r>
      <w:r w:rsidRPr="00904FCB">
        <w:rPr>
          <w:sz w:val="27"/>
          <w:rtl/>
        </w:rPr>
        <w:t xml:space="preserve"> </w:t>
      </w:r>
      <w:r w:rsidRPr="00904FCB">
        <w:rPr>
          <w:rFonts w:hint="cs"/>
          <w:sz w:val="27"/>
          <w:rtl/>
        </w:rPr>
        <w:t>الاعتقاد</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عزيراً</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ابناً</w:t>
      </w:r>
      <w:r w:rsidRPr="00904FCB">
        <w:rPr>
          <w:sz w:val="27"/>
          <w:rtl/>
        </w:rPr>
        <w:t xml:space="preserve"> </w:t>
      </w:r>
      <w:r w:rsidRPr="00904FCB">
        <w:rPr>
          <w:rFonts w:hint="cs"/>
          <w:sz w:val="27"/>
          <w:rtl/>
        </w:rPr>
        <w:t>لله</w:t>
      </w:r>
      <w:r w:rsidRPr="00904FCB">
        <w:rPr>
          <w:sz w:val="27"/>
          <w:rtl/>
        </w:rPr>
        <w:t xml:space="preserve"> </w:t>
      </w:r>
      <w:r w:rsidR="00B91B56" w:rsidRPr="00904FCB">
        <w:rPr>
          <w:rFonts w:hint="cs"/>
          <w:sz w:val="27"/>
          <w:rtl/>
        </w:rPr>
        <w:t>مختصٌّ</w:t>
      </w:r>
      <w:r w:rsidRPr="00904FCB">
        <w:rPr>
          <w:sz w:val="27"/>
          <w:rtl/>
        </w:rPr>
        <w:t xml:space="preserve"> </w:t>
      </w:r>
      <w:r w:rsidRPr="00904FCB">
        <w:rPr>
          <w:rFonts w:hint="cs"/>
          <w:sz w:val="27"/>
          <w:rtl/>
        </w:rPr>
        <w:t>ببعض</w:t>
      </w:r>
      <w:r w:rsidRPr="00904FCB">
        <w:rPr>
          <w:sz w:val="27"/>
          <w:rtl/>
        </w:rPr>
        <w:t xml:space="preserve"> </w:t>
      </w:r>
      <w:r w:rsidRPr="00904FCB">
        <w:rPr>
          <w:rFonts w:hint="cs"/>
          <w:sz w:val="27"/>
          <w:rtl/>
        </w:rPr>
        <w:t>فرق</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كانوا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زمن‏</w:t>
      </w:r>
      <w:r w:rsidRPr="00904FCB">
        <w:rPr>
          <w:sz w:val="27"/>
          <w:rtl/>
        </w:rPr>
        <w:t xml:space="preserve"> </w:t>
      </w:r>
      <w:r w:rsidRPr="00904FCB">
        <w:rPr>
          <w:rFonts w:hint="cs"/>
          <w:sz w:val="27"/>
          <w:rtl/>
        </w:rPr>
        <w:t>الرسول</w:t>
      </w:r>
      <w:r w:rsidR="00635E51" w:rsidRPr="00904FCB">
        <w:rPr>
          <w:rFonts w:cs="Mosawi"/>
          <w:sz w:val="27"/>
          <w:szCs w:val="22"/>
          <w:rtl/>
        </w:rPr>
        <w:t>|</w:t>
      </w:r>
      <w:r w:rsidRPr="00904FCB">
        <w:rPr>
          <w:sz w:val="27"/>
          <w:rtl/>
        </w:rPr>
        <w:t>،</w:t>
      </w:r>
      <w:r w:rsidRPr="00904FCB">
        <w:rPr>
          <w:rFonts w:hint="cs"/>
          <w:sz w:val="27"/>
          <w:rtl/>
        </w:rPr>
        <w:t xml:space="preserve"> وقد</w:t>
      </w:r>
      <w:r w:rsidRPr="00904FCB">
        <w:rPr>
          <w:sz w:val="27"/>
          <w:rtl/>
        </w:rPr>
        <w:t xml:space="preserve"> </w:t>
      </w:r>
      <w:r w:rsidRPr="00904FCB">
        <w:rPr>
          <w:rFonts w:hint="cs"/>
          <w:sz w:val="27"/>
          <w:rtl/>
        </w:rPr>
        <w:t>انقرضوا</w:t>
      </w:r>
      <w:r w:rsidRPr="00904FCB">
        <w:rPr>
          <w:sz w:val="27"/>
          <w:rtl/>
        </w:rPr>
        <w:t xml:space="preserve">. </w:t>
      </w:r>
      <w:r w:rsidRPr="00904FCB">
        <w:rPr>
          <w:rFonts w:hint="cs"/>
          <w:sz w:val="27"/>
          <w:rtl/>
        </w:rPr>
        <w:t>أمّا</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الموجودون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زماننا</w:t>
      </w:r>
      <w:r w:rsidRPr="00904FCB">
        <w:rPr>
          <w:sz w:val="27"/>
          <w:rtl/>
        </w:rPr>
        <w:t xml:space="preserve"> </w:t>
      </w:r>
      <w:r w:rsidRPr="00904FCB">
        <w:rPr>
          <w:rFonts w:hint="cs"/>
          <w:sz w:val="27"/>
          <w:rtl/>
        </w:rPr>
        <w:t>الحالي</w:t>
      </w:r>
      <w:r w:rsidRPr="00904FCB">
        <w:rPr>
          <w:sz w:val="27"/>
          <w:rtl/>
        </w:rPr>
        <w:t xml:space="preserve"> </w:t>
      </w:r>
      <w:r w:rsidRPr="00904FCB">
        <w:rPr>
          <w:rFonts w:hint="cs"/>
          <w:sz w:val="27"/>
          <w:rtl/>
        </w:rPr>
        <w:t>فإنّهم</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يعتقدون</w:t>
      </w:r>
      <w:r w:rsidRPr="00904FCB">
        <w:rPr>
          <w:sz w:val="27"/>
          <w:rtl/>
        </w:rPr>
        <w:t xml:space="preserve"> </w:t>
      </w:r>
      <w:r w:rsidRPr="00904FCB">
        <w:rPr>
          <w:rFonts w:hint="cs"/>
          <w:sz w:val="27"/>
          <w:rtl/>
        </w:rPr>
        <w:t>ببنوّة</w:t>
      </w:r>
      <w:r w:rsidRPr="00904FCB">
        <w:rPr>
          <w:sz w:val="27"/>
          <w:rtl/>
        </w:rPr>
        <w:t xml:space="preserve"> </w:t>
      </w:r>
      <w:r w:rsidRPr="00904FCB">
        <w:rPr>
          <w:rFonts w:hint="cs"/>
          <w:sz w:val="27"/>
          <w:rtl/>
        </w:rPr>
        <w:t>عزير، وبالتالي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عدّ</w:t>
      </w:r>
      <w:r w:rsidR="00B91B56" w:rsidRPr="00904FCB">
        <w:rPr>
          <w:rFonts w:hint="cs"/>
          <w:sz w:val="27"/>
          <w:rtl/>
        </w:rPr>
        <w:t>ُ</w:t>
      </w:r>
      <w:r w:rsidRPr="00904FCB">
        <w:rPr>
          <w:rFonts w:hint="cs"/>
          <w:sz w:val="27"/>
          <w:rtl/>
        </w:rPr>
        <w:t>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المشركين</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ونقل</w:t>
      </w:r>
      <w:r w:rsidRPr="00904FCB">
        <w:rPr>
          <w:sz w:val="27"/>
          <w:rtl/>
        </w:rPr>
        <w:t xml:space="preserve"> </w:t>
      </w:r>
      <w:r w:rsidRPr="00904FCB">
        <w:rPr>
          <w:rFonts w:hint="cs"/>
          <w:sz w:val="27"/>
          <w:rtl/>
        </w:rPr>
        <w:t>أصحاب</w:t>
      </w:r>
      <w:r w:rsidRPr="00904FCB">
        <w:rPr>
          <w:sz w:val="27"/>
          <w:rtl/>
        </w:rPr>
        <w:t xml:space="preserve"> </w:t>
      </w:r>
      <w:r w:rsidRPr="00904FCB">
        <w:rPr>
          <w:rFonts w:hint="cs"/>
          <w:sz w:val="27"/>
          <w:rtl/>
        </w:rPr>
        <w:t>التفاسير</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كـالطبرسي</w:t>
      </w:r>
      <w:r w:rsidRPr="00904FCB">
        <w:rPr>
          <w:sz w:val="27"/>
          <w:rtl/>
        </w:rPr>
        <w:t xml:space="preserve"> </w:t>
      </w:r>
      <w:r w:rsidR="00B91B56" w:rsidRPr="00904FCB">
        <w:rPr>
          <w:rFonts w:hint="cs"/>
          <w:sz w:val="27"/>
          <w:rtl/>
        </w:rPr>
        <w:t>و</w:t>
      </w:r>
      <w:r w:rsidRPr="00904FCB">
        <w:rPr>
          <w:rFonts w:hint="cs"/>
          <w:sz w:val="27"/>
          <w:rtl/>
        </w:rPr>
        <w:t>الطباطبائي</w:t>
      </w:r>
      <w:r w:rsidRPr="00904FCB">
        <w:rPr>
          <w:sz w:val="27"/>
          <w:rtl/>
        </w:rPr>
        <w:t xml:space="preserve"> </w:t>
      </w:r>
      <w:r w:rsidRPr="00904FCB">
        <w:rPr>
          <w:rFonts w:hint="cs"/>
          <w:sz w:val="27"/>
          <w:rtl/>
        </w:rPr>
        <w:t>والفخر</w:t>
      </w:r>
      <w:r w:rsidRPr="00904FCB">
        <w:rPr>
          <w:sz w:val="27"/>
          <w:rtl/>
        </w:rPr>
        <w:t xml:space="preserve"> </w:t>
      </w:r>
      <w:r w:rsidRPr="00904FCB">
        <w:rPr>
          <w:rFonts w:hint="cs"/>
          <w:sz w:val="27"/>
          <w:rtl/>
        </w:rPr>
        <w:t>الرازي</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شأن</w:t>
      </w:r>
      <w:r w:rsidRPr="00904FCB">
        <w:rPr>
          <w:sz w:val="27"/>
          <w:rtl/>
        </w:rPr>
        <w:t xml:space="preserve"> </w:t>
      </w:r>
      <w:r w:rsidRPr="00904FCB">
        <w:rPr>
          <w:rFonts w:hint="cs"/>
          <w:sz w:val="27"/>
          <w:rtl/>
        </w:rPr>
        <w:t>نزول</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الآية رواية</w:t>
      </w:r>
      <w:r w:rsidR="00B91B56"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عبّاس</w:t>
      </w:r>
      <w:r w:rsidRPr="00904FCB">
        <w:rPr>
          <w:sz w:val="27"/>
          <w:rtl/>
        </w:rPr>
        <w:t xml:space="preserve">: </w:t>
      </w:r>
      <w:r w:rsidRPr="00904FCB">
        <w:rPr>
          <w:rFonts w:hint="eastAsia"/>
          <w:sz w:val="27"/>
          <w:rtl/>
        </w:rPr>
        <w:t>«</w:t>
      </w:r>
      <w:r w:rsidRPr="00904FCB">
        <w:rPr>
          <w:rFonts w:hint="cs"/>
          <w:sz w:val="27"/>
          <w:rtl/>
        </w:rPr>
        <w:t>أتى</w:t>
      </w:r>
      <w:r w:rsidRPr="00904FCB">
        <w:rPr>
          <w:sz w:val="27"/>
          <w:rtl/>
        </w:rPr>
        <w:t xml:space="preserve"> </w:t>
      </w:r>
      <w:r w:rsidRPr="00904FCB">
        <w:rPr>
          <w:rFonts w:hint="cs"/>
          <w:sz w:val="27"/>
          <w:rtl/>
        </w:rPr>
        <w:t>جماعة</w:t>
      </w:r>
      <w:r w:rsidR="00B91B56"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اليهود</w:t>
      </w:r>
      <w:r w:rsidRPr="00904FCB">
        <w:rPr>
          <w:sz w:val="27"/>
          <w:rtl/>
        </w:rPr>
        <w:t xml:space="preserve"> </w:t>
      </w:r>
      <w:r w:rsidR="00B91B56" w:rsidRPr="00904FCB">
        <w:rPr>
          <w:rFonts w:hint="cs"/>
          <w:sz w:val="27"/>
          <w:rtl/>
        </w:rPr>
        <w:t>إ</w:t>
      </w:r>
      <w:r w:rsidRPr="00904FCB">
        <w:rPr>
          <w:rFonts w:hint="cs"/>
          <w:sz w:val="27"/>
          <w:rtl/>
        </w:rPr>
        <w:t>لى</w:t>
      </w:r>
      <w:r w:rsidRPr="00904FCB">
        <w:rPr>
          <w:sz w:val="27"/>
          <w:rtl/>
        </w:rPr>
        <w:t xml:space="preserve"> </w:t>
      </w:r>
      <w:r w:rsidRPr="00904FCB">
        <w:rPr>
          <w:rFonts w:hint="cs"/>
          <w:sz w:val="27"/>
          <w:rtl/>
        </w:rPr>
        <w:t>رسول</w:t>
      </w:r>
      <w:r w:rsidRPr="00904FCB">
        <w:rPr>
          <w:sz w:val="27"/>
          <w:rtl/>
        </w:rPr>
        <w:t xml:space="preserve"> </w:t>
      </w:r>
      <w:r w:rsidR="00B91B56" w:rsidRPr="00904FCB">
        <w:rPr>
          <w:rFonts w:hint="cs"/>
          <w:sz w:val="27"/>
          <w:rtl/>
        </w:rPr>
        <w:t>الله</w:t>
      </w:r>
      <w:r w:rsidR="00635E51" w:rsidRPr="00904FCB">
        <w:rPr>
          <w:rFonts w:cs="Mosawi"/>
          <w:sz w:val="27"/>
          <w:szCs w:val="22"/>
          <w:rtl/>
        </w:rPr>
        <w:t>|</w:t>
      </w:r>
      <w:r w:rsidR="00B91B56" w:rsidRPr="00904FCB">
        <w:rPr>
          <w:rFonts w:hint="cs"/>
          <w:sz w:val="27"/>
          <w:rtl/>
        </w:rPr>
        <w:t>،</w:t>
      </w:r>
      <w:r w:rsidRPr="00904FCB">
        <w:rPr>
          <w:sz w:val="27"/>
          <w:rtl/>
        </w:rPr>
        <w:t xml:space="preserve"> </w:t>
      </w:r>
      <w:r w:rsidRPr="00904FCB">
        <w:rPr>
          <w:rFonts w:hint="cs"/>
          <w:sz w:val="27"/>
          <w:rtl/>
        </w:rPr>
        <w:t>وهم</w:t>
      </w:r>
      <w:r w:rsidR="00B91B56" w:rsidRPr="00904FCB">
        <w:rPr>
          <w:rFonts w:hint="cs"/>
          <w:sz w:val="27"/>
          <w:rtl/>
        </w:rPr>
        <w:t>:</w:t>
      </w:r>
      <w:r w:rsidRPr="00904FCB">
        <w:rPr>
          <w:sz w:val="27"/>
          <w:rtl/>
        </w:rPr>
        <w:t xml:space="preserve"> </w:t>
      </w:r>
      <w:r w:rsidRPr="00904FCB">
        <w:rPr>
          <w:rFonts w:hint="cs"/>
          <w:sz w:val="27"/>
          <w:rtl/>
        </w:rPr>
        <w:t>سلام</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مشكم</w:t>
      </w:r>
      <w:r w:rsidRPr="00904FCB">
        <w:rPr>
          <w:sz w:val="27"/>
          <w:rtl/>
        </w:rPr>
        <w:t xml:space="preserve"> </w:t>
      </w:r>
      <w:r w:rsidRPr="00904FCB">
        <w:rPr>
          <w:rFonts w:hint="cs"/>
          <w:sz w:val="27"/>
          <w:rtl/>
        </w:rPr>
        <w:t>والنعمان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أوفى</w:t>
      </w:r>
      <w:r w:rsidRPr="00904FCB">
        <w:rPr>
          <w:sz w:val="27"/>
          <w:rtl/>
        </w:rPr>
        <w:t xml:space="preserve"> </w:t>
      </w:r>
      <w:r w:rsidRPr="00904FCB">
        <w:rPr>
          <w:rFonts w:hint="cs"/>
          <w:sz w:val="27"/>
          <w:rtl/>
        </w:rPr>
        <w:t>ومالك</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سيف</w:t>
      </w:r>
      <w:r w:rsidR="00B91B56" w:rsidRPr="00904FCB">
        <w:rPr>
          <w:rFonts w:hint="cs"/>
          <w:sz w:val="27"/>
          <w:rtl/>
        </w:rPr>
        <w:t>،</w:t>
      </w:r>
      <w:r w:rsidRPr="00904FCB">
        <w:rPr>
          <w:sz w:val="27"/>
          <w:rtl/>
        </w:rPr>
        <w:t xml:space="preserve"> </w:t>
      </w:r>
      <w:r w:rsidRPr="00904FCB">
        <w:rPr>
          <w:rFonts w:hint="cs"/>
          <w:sz w:val="27"/>
          <w:rtl/>
        </w:rPr>
        <w:t>وقالوا</w:t>
      </w:r>
      <w:r w:rsidRPr="00904FCB">
        <w:rPr>
          <w:sz w:val="27"/>
          <w:rtl/>
        </w:rPr>
        <w:t xml:space="preserve">: </w:t>
      </w:r>
      <w:r w:rsidRPr="00904FCB">
        <w:rPr>
          <w:rFonts w:hint="cs"/>
          <w:sz w:val="27"/>
          <w:rtl/>
        </w:rPr>
        <w:t>كيف</w:t>
      </w:r>
      <w:r w:rsidRPr="00904FCB">
        <w:rPr>
          <w:sz w:val="27"/>
          <w:rtl/>
        </w:rPr>
        <w:t xml:space="preserve"> </w:t>
      </w:r>
      <w:r w:rsidRPr="00904FCB">
        <w:rPr>
          <w:rFonts w:hint="cs"/>
          <w:sz w:val="27"/>
          <w:rtl/>
        </w:rPr>
        <w:t>نتّبعك</w:t>
      </w:r>
      <w:r w:rsidRPr="00904FCB">
        <w:rPr>
          <w:sz w:val="27"/>
          <w:rtl/>
        </w:rPr>
        <w:t xml:space="preserve"> </w:t>
      </w:r>
      <w:r w:rsidRPr="00904FCB">
        <w:rPr>
          <w:rFonts w:hint="cs"/>
          <w:sz w:val="27"/>
          <w:rtl/>
        </w:rPr>
        <w:t>وقد</w:t>
      </w:r>
      <w:r w:rsidRPr="00904FCB">
        <w:rPr>
          <w:sz w:val="27"/>
          <w:rtl/>
        </w:rPr>
        <w:t xml:space="preserve"> </w:t>
      </w:r>
      <w:r w:rsidRPr="00904FCB">
        <w:rPr>
          <w:rFonts w:hint="cs"/>
          <w:sz w:val="27"/>
          <w:rtl/>
        </w:rPr>
        <w:t>تركت</w:t>
      </w:r>
      <w:r w:rsidRPr="00904FCB">
        <w:rPr>
          <w:sz w:val="27"/>
          <w:rtl/>
        </w:rPr>
        <w:t xml:space="preserve"> </w:t>
      </w:r>
      <w:r w:rsidRPr="00904FCB">
        <w:rPr>
          <w:rFonts w:hint="cs"/>
          <w:sz w:val="27"/>
          <w:rtl/>
        </w:rPr>
        <w:t>قبلتنا</w:t>
      </w:r>
      <w:r w:rsidR="00B91B56" w:rsidRPr="00904FCB">
        <w:rPr>
          <w:rFonts w:hint="cs"/>
          <w:sz w:val="27"/>
          <w:rtl/>
        </w:rPr>
        <w:t xml:space="preserve">، </w:t>
      </w:r>
      <w:r w:rsidRPr="00904FCB">
        <w:rPr>
          <w:rFonts w:hint="cs"/>
          <w:sz w:val="27"/>
          <w:rtl/>
        </w:rPr>
        <w:t>ولا</w:t>
      </w:r>
      <w:r w:rsidRPr="00904FCB">
        <w:rPr>
          <w:sz w:val="27"/>
          <w:rtl/>
        </w:rPr>
        <w:t xml:space="preserve"> </w:t>
      </w:r>
      <w:r w:rsidRPr="00904FCB">
        <w:rPr>
          <w:rFonts w:hint="cs"/>
          <w:sz w:val="27"/>
          <w:rtl/>
        </w:rPr>
        <w:t>تزعم</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عزيراً</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الله، فأنزل</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عزّ</w:t>
      </w:r>
      <w:r w:rsidR="00B91B56" w:rsidRPr="00904FCB">
        <w:rPr>
          <w:rFonts w:hint="cs"/>
          <w:sz w:val="27"/>
          <w:rtl/>
        </w:rPr>
        <w:t>َ</w:t>
      </w:r>
      <w:r w:rsidRPr="00904FCB">
        <w:rPr>
          <w:sz w:val="27"/>
          <w:rtl/>
        </w:rPr>
        <w:t xml:space="preserve"> </w:t>
      </w:r>
      <w:r w:rsidRPr="00904FCB">
        <w:rPr>
          <w:rFonts w:hint="cs"/>
          <w:sz w:val="27"/>
          <w:rtl/>
        </w:rPr>
        <w:t>وجلّ</w:t>
      </w:r>
      <w:r w:rsidR="00B91B56" w:rsidRPr="00904FCB">
        <w:rPr>
          <w:rFonts w:hint="cs"/>
          <w:sz w:val="27"/>
          <w:rtl/>
        </w:rPr>
        <w:t>َ</w:t>
      </w:r>
      <w:r w:rsidRPr="00904FCB">
        <w:rPr>
          <w:sz w:val="27"/>
          <w:rtl/>
        </w:rPr>
        <w:t xml:space="preserve">: </w:t>
      </w:r>
      <w:r w:rsidRPr="00904FCB">
        <w:rPr>
          <w:rFonts w:ascii="Mosawi" w:hAnsi="Mosawi" w:cs="Mosawi"/>
          <w:sz w:val="24"/>
          <w:szCs w:val="24"/>
          <w:rtl/>
        </w:rPr>
        <w:t>﴿</w:t>
      </w:r>
      <w:r w:rsidRPr="00904FCB">
        <w:rPr>
          <w:b/>
          <w:bCs/>
          <w:sz w:val="27"/>
          <w:rtl/>
        </w:rPr>
        <w:t>و</w:t>
      </w:r>
      <w:r w:rsidR="00B91B56" w:rsidRPr="00904FCB">
        <w:rPr>
          <w:rFonts w:hint="cs"/>
          <w:b/>
          <w:bCs/>
          <w:sz w:val="27"/>
          <w:rtl/>
        </w:rPr>
        <w:t>َ</w:t>
      </w:r>
      <w:r w:rsidRPr="00904FCB">
        <w:rPr>
          <w:rFonts w:hint="cs"/>
          <w:b/>
          <w:bCs/>
          <w:sz w:val="27"/>
          <w:rtl/>
        </w:rPr>
        <w:t>ق</w:t>
      </w:r>
      <w:r w:rsidR="00B91B56" w:rsidRPr="00904FCB">
        <w:rPr>
          <w:rFonts w:hint="cs"/>
          <w:b/>
          <w:bCs/>
          <w:sz w:val="27"/>
          <w:rtl/>
        </w:rPr>
        <w:t>َ</w:t>
      </w:r>
      <w:r w:rsidRPr="00904FCB">
        <w:rPr>
          <w:rFonts w:hint="cs"/>
          <w:b/>
          <w:bCs/>
          <w:sz w:val="27"/>
          <w:rtl/>
        </w:rPr>
        <w:t>الَتِ</w:t>
      </w:r>
      <w:r w:rsidRPr="00904FCB">
        <w:rPr>
          <w:b/>
          <w:bCs/>
          <w:sz w:val="27"/>
          <w:rtl/>
        </w:rPr>
        <w:t xml:space="preserve"> </w:t>
      </w:r>
      <w:r w:rsidRPr="00904FCB">
        <w:rPr>
          <w:rFonts w:hint="cs"/>
          <w:b/>
          <w:bCs/>
          <w:sz w:val="27"/>
          <w:rtl/>
        </w:rPr>
        <w:t>الْيَهُودُ</w:t>
      </w:r>
      <w:r w:rsidRPr="00904FCB">
        <w:rPr>
          <w:b/>
          <w:bCs/>
          <w:sz w:val="27"/>
          <w:rtl/>
        </w:rPr>
        <w:t xml:space="preserve"> </w:t>
      </w:r>
      <w:r w:rsidRPr="00904FCB">
        <w:rPr>
          <w:rFonts w:hint="cs"/>
          <w:b/>
          <w:bCs/>
          <w:sz w:val="27"/>
          <w:rtl/>
        </w:rPr>
        <w:t>عُزَيْرٌ</w:t>
      </w:r>
      <w:r w:rsidRPr="00904FCB">
        <w:rPr>
          <w:b/>
          <w:bCs/>
          <w:sz w:val="27"/>
          <w:rtl/>
        </w:rPr>
        <w:t xml:space="preserve"> </w:t>
      </w:r>
      <w:r w:rsidRPr="00904FCB">
        <w:rPr>
          <w:rFonts w:hint="cs"/>
          <w:b/>
          <w:bCs/>
          <w:sz w:val="27"/>
          <w:rtl/>
        </w:rPr>
        <w:t>ابْنُ</w:t>
      </w:r>
      <w:r w:rsidRPr="00904FCB">
        <w:rPr>
          <w:b/>
          <w:bCs/>
          <w:sz w:val="27"/>
          <w:rtl/>
        </w:rPr>
        <w:t xml:space="preserve"> </w:t>
      </w:r>
      <w:r w:rsidR="00B91B56" w:rsidRPr="00904FCB">
        <w:rPr>
          <w:rFonts w:hint="cs"/>
          <w:b/>
          <w:bCs/>
          <w:sz w:val="27"/>
          <w:rtl/>
        </w:rPr>
        <w:t>الل</w:t>
      </w:r>
      <w:r w:rsidRPr="00904FCB">
        <w:rPr>
          <w:rFonts w:hint="cs"/>
          <w:b/>
          <w:bCs/>
          <w:sz w:val="27"/>
          <w:rtl/>
        </w:rPr>
        <w:t>هِ</w:t>
      </w:r>
      <w:r w:rsidRPr="00904FCB">
        <w:rPr>
          <w:rFonts w:ascii="Mosawi" w:hAnsi="Mosawi" w:cs="Mosawi"/>
          <w:sz w:val="24"/>
          <w:szCs w:val="24"/>
          <w:rtl/>
        </w:rPr>
        <w:t>﴾</w:t>
      </w:r>
      <w:r w:rsidRPr="00904FCB">
        <w:rPr>
          <w:sz w:val="27"/>
          <w:rtl/>
        </w:rPr>
        <w:t>»</w:t>
      </w:r>
      <w:r w:rsidRPr="00904FCB">
        <w:rPr>
          <w:rFonts w:hint="cs"/>
          <w:sz w:val="27"/>
          <w:vertAlign w:val="superscript"/>
          <w:rtl/>
        </w:rPr>
        <w:t>(</w:t>
      </w:r>
      <w:r w:rsidRPr="00904FCB">
        <w:rPr>
          <w:rStyle w:val="ac"/>
          <w:sz w:val="27"/>
          <w:rtl/>
        </w:rPr>
        <w:endnoteReference w:id="654"/>
      </w:r>
      <w:r w:rsidRPr="00904FCB">
        <w:rPr>
          <w:rFonts w:hint="cs"/>
          <w:sz w:val="27"/>
          <w:vertAlign w:val="superscript"/>
          <w:rtl/>
        </w:rPr>
        <w:t>)</w:t>
      </w:r>
      <w:r w:rsidRPr="00904FCB">
        <w:rPr>
          <w:rFonts w:hint="cs"/>
          <w:sz w:val="27"/>
          <w:rtl/>
        </w:rPr>
        <w:t xml:space="preserve">. </w:t>
      </w:r>
    </w:p>
    <w:p w:rsidR="00B91B56" w:rsidRPr="00904FCB" w:rsidRDefault="00F34FB9" w:rsidP="007A21AA">
      <w:pPr>
        <w:spacing w:line="400" w:lineRule="exact"/>
        <w:rPr>
          <w:sz w:val="27"/>
          <w:rtl/>
        </w:rPr>
      </w:pPr>
      <w:r w:rsidRPr="00904FCB">
        <w:rPr>
          <w:rFonts w:hint="cs"/>
          <w:sz w:val="27"/>
          <w:rtl/>
        </w:rPr>
        <w:t>وقد</w:t>
      </w:r>
      <w:r w:rsidRPr="00904FCB">
        <w:rPr>
          <w:sz w:val="27"/>
          <w:rtl/>
        </w:rPr>
        <w:t xml:space="preserve"> </w:t>
      </w:r>
      <w:r w:rsidRPr="00904FCB">
        <w:rPr>
          <w:rFonts w:hint="cs"/>
          <w:sz w:val="27"/>
          <w:rtl/>
        </w:rPr>
        <w:t>تبنّ</w:t>
      </w:r>
      <w:r w:rsidR="00B91B56" w:rsidRPr="00904FCB">
        <w:rPr>
          <w:rFonts w:hint="cs"/>
          <w:sz w:val="27"/>
          <w:rtl/>
        </w:rPr>
        <w:t>َ</w:t>
      </w:r>
      <w:r w:rsidRPr="00904FCB">
        <w:rPr>
          <w:rFonts w:hint="cs"/>
          <w:sz w:val="27"/>
          <w:rtl/>
        </w:rPr>
        <w:t>ى</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المفسّ</w:t>
      </w:r>
      <w:r w:rsidR="00B91B56" w:rsidRPr="00904FCB">
        <w:rPr>
          <w:rFonts w:hint="cs"/>
          <w:sz w:val="27"/>
          <w:rtl/>
        </w:rPr>
        <w:t>ِ</w:t>
      </w:r>
      <w:r w:rsidRPr="00904FCB">
        <w:rPr>
          <w:rFonts w:hint="cs"/>
          <w:sz w:val="27"/>
          <w:rtl/>
        </w:rPr>
        <w:t>رين</w:t>
      </w:r>
      <w:r w:rsidRPr="00904FCB">
        <w:rPr>
          <w:sz w:val="27"/>
          <w:rtl/>
        </w:rPr>
        <w:t xml:space="preserve"> </w:t>
      </w:r>
      <w:r w:rsidRPr="00904FCB">
        <w:rPr>
          <w:rFonts w:hint="cs"/>
          <w:sz w:val="27"/>
          <w:rtl/>
        </w:rPr>
        <w:t>والفقهاء</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النظريّة، حيث</w:t>
      </w:r>
      <w:r w:rsidRPr="00904FCB">
        <w:rPr>
          <w:sz w:val="27"/>
          <w:rtl/>
        </w:rPr>
        <w:t xml:space="preserve"> </w:t>
      </w:r>
      <w:r w:rsidRPr="00904FCB">
        <w:rPr>
          <w:rFonts w:hint="cs"/>
          <w:sz w:val="27"/>
          <w:rtl/>
        </w:rPr>
        <w:t>أكّ</w:t>
      </w:r>
      <w:r w:rsidR="00B91B56" w:rsidRPr="00904FCB">
        <w:rPr>
          <w:rFonts w:hint="cs"/>
          <w:sz w:val="27"/>
          <w:rtl/>
        </w:rPr>
        <w:t>َ</w:t>
      </w:r>
      <w:r w:rsidRPr="00904FCB">
        <w:rPr>
          <w:rFonts w:hint="cs"/>
          <w:sz w:val="27"/>
          <w:rtl/>
        </w:rPr>
        <w:t>د</w:t>
      </w:r>
      <w:r w:rsidRPr="00904FCB">
        <w:rPr>
          <w:sz w:val="27"/>
          <w:rtl/>
        </w:rPr>
        <w:t xml:space="preserve"> </w:t>
      </w:r>
      <w:r w:rsidRPr="00904FCB">
        <w:rPr>
          <w:rFonts w:hint="cs"/>
          <w:sz w:val="27"/>
          <w:rtl/>
        </w:rPr>
        <w:t>الطبرسي</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الاعتقاد</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لفرقة</w:t>
      </w:r>
      <w:r w:rsidR="00B91B56"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انقرضوا، وليس</w:t>
      </w:r>
      <w:r w:rsidRPr="00904FCB">
        <w:rPr>
          <w:sz w:val="27"/>
          <w:rtl/>
        </w:rPr>
        <w:t xml:space="preserve"> </w:t>
      </w:r>
      <w:r w:rsidRPr="00904FCB">
        <w:rPr>
          <w:rFonts w:hint="cs"/>
          <w:sz w:val="27"/>
          <w:rtl/>
        </w:rPr>
        <w:t>اعتقاداً</w:t>
      </w:r>
      <w:r w:rsidRPr="00904FCB">
        <w:rPr>
          <w:sz w:val="27"/>
          <w:rtl/>
        </w:rPr>
        <w:t xml:space="preserve"> </w:t>
      </w:r>
      <w:r w:rsidRPr="00904FCB">
        <w:rPr>
          <w:rFonts w:hint="cs"/>
          <w:sz w:val="27"/>
          <w:rtl/>
        </w:rPr>
        <w:t>لليهود</w:t>
      </w:r>
      <w:r w:rsidRPr="00904FCB">
        <w:rPr>
          <w:sz w:val="27"/>
          <w:rtl/>
        </w:rPr>
        <w:t xml:space="preserve"> </w:t>
      </w:r>
      <w:r w:rsidRPr="00904FCB">
        <w:rPr>
          <w:rFonts w:hint="cs"/>
          <w:sz w:val="27"/>
          <w:rtl/>
        </w:rPr>
        <w:t>الموجودين</w:t>
      </w:r>
      <w:r w:rsidRPr="00904FCB">
        <w:rPr>
          <w:sz w:val="27"/>
          <w:rtl/>
        </w:rPr>
        <w:t xml:space="preserve"> </w:t>
      </w:r>
      <w:r w:rsidRPr="00904FCB">
        <w:rPr>
          <w:rFonts w:hint="cs"/>
          <w:sz w:val="27"/>
          <w:rtl/>
        </w:rPr>
        <w:t>الآن</w:t>
      </w:r>
      <w:r w:rsidR="00B91B56" w:rsidRPr="00904FCB">
        <w:rPr>
          <w:sz w:val="27"/>
          <w:rtl/>
        </w:rPr>
        <w:t>.</w:t>
      </w:r>
    </w:p>
    <w:p w:rsidR="00F34FB9" w:rsidRPr="00904FCB" w:rsidRDefault="00F34FB9" w:rsidP="007A21AA">
      <w:pPr>
        <w:spacing w:line="400" w:lineRule="exact"/>
        <w:rPr>
          <w:sz w:val="27"/>
          <w:rtl/>
        </w:rPr>
      </w:pPr>
      <w:r w:rsidRPr="00904FCB">
        <w:rPr>
          <w:rFonts w:hint="cs"/>
          <w:sz w:val="27"/>
          <w:rtl/>
        </w:rPr>
        <w:t>وصرّ</w:t>
      </w:r>
      <w:r w:rsidR="00B91B56" w:rsidRPr="00904FCB">
        <w:rPr>
          <w:rFonts w:hint="cs"/>
          <w:sz w:val="27"/>
          <w:rtl/>
        </w:rPr>
        <w:t>َ</w:t>
      </w:r>
      <w:r w:rsidRPr="00904FCB">
        <w:rPr>
          <w:rFonts w:hint="cs"/>
          <w:sz w:val="27"/>
          <w:rtl/>
        </w:rPr>
        <w:t>ح</w:t>
      </w:r>
      <w:r w:rsidRPr="00904FCB">
        <w:rPr>
          <w:sz w:val="27"/>
          <w:rtl/>
        </w:rPr>
        <w:t xml:space="preserve"> </w:t>
      </w:r>
      <w:r w:rsidRPr="00904FCB">
        <w:rPr>
          <w:rFonts w:hint="cs"/>
          <w:sz w:val="27"/>
          <w:rtl/>
        </w:rPr>
        <w:t>الإمام</w:t>
      </w:r>
      <w:r w:rsidRPr="00904FCB">
        <w:rPr>
          <w:sz w:val="27"/>
          <w:rtl/>
        </w:rPr>
        <w:t xml:space="preserve"> </w:t>
      </w:r>
      <w:r w:rsidRPr="00904FCB">
        <w:rPr>
          <w:rFonts w:hint="cs"/>
          <w:sz w:val="27"/>
          <w:rtl/>
        </w:rPr>
        <w:t>الخميني</w:t>
      </w:r>
      <w:r w:rsidRPr="00904FCB">
        <w:rPr>
          <w:rFonts w:ascii="Arial" w:hAnsi="Arial" w:hint="cs"/>
          <w:sz w:val="27"/>
          <w:rtl/>
        </w:rPr>
        <w:t xml:space="preserve"> </w:t>
      </w:r>
      <w:r w:rsidRPr="00904FCB">
        <w:rPr>
          <w:rFonts w:hint="cs"/>
          <w:sz w:val="27"/>
          <w:rtl/>
        </w:rPr>
        <w:t>بذلك</w:t>
      </w:r>
      <w:r w:rsidRPr="00904FCB">
        <w:rPr>
          <w:sz w:val="27"/>
          <w:rtl/>
        </w:rPr>
        <w:t xml:space="preserve"> </w:t>
      </w:r>
      <w:r w:rsidRPr="00904FCB">
        <w:rPr>
          <w:rFonts w:hint="cs"/>
          <w:sz w:val="27"/>
          <w:rtl/>
        </w:rPr>
        <w:t>فقال</w:t>
      </w:r>
      <w:r w:rsidRPr="00904FCB">
        <w:rPr>
          <w:sz w:val="27"/>
          <w:rtl/>
        </w:rPr>
        <w:t xml:space="preserve">: </w:t>
      </w:r>
      <w:r w:rsidRPr="00904FCB">
        <w:rPr>
          <w:rFonts w:hint="eastAsia"/>
          <w:sz w:val="27"/>
          <w:rtl/>
        </w:rPr>
        <w:t>«</w:t>
      </w:r>
      <w:r w:rsidRPr="00904FCB">
        <w:rPr>
          <w:rFonts w:hint="cs"/>
          <w:sz w:val="27"/>
          <w:rtl/>
        </w:rPr>
        <w:t>ومجرّ</w:t>
      </w:r>
      <w:r w:rsidR="00B91B56" w:rsidRPr="00904FCB">
        <w:rPr>
          <w:rFonts w:hint="cs"/>
          <w:sz w:val="27"/>
          <w:rtl/>
        </w:rPr>
        <w:t>َ</w:t>
      </w:r>
      <w:r w:rsidRPr="00904FCB">
        <w:rPr>
          <w:rFonts w:hint="cs"/>
          <w:sz w:val="27"/>
          <w:rtl/>
        </w:rPr>
        <w:t>د</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عزيراً</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يوجب</w:t>
      </w:r>
      <w:r w:rsidRPr="00904FCB">
        <w:rPr>
          <w:sz w:val="27"/>
          <w:rtl/>
        </w:rPr>
        <w:t xml:space="preserve"> </w:t>
      </w:r>
      <w:r w:rsidRPr="00904FCB">
        <w:rPr>
          <w:rFonts w:hint="cs"/>
          <w:sz w:val="27"/>
          <w:rtl/>
        </w:rPr>
        <w:t>الشرك</w:t>
      </w:r>
      <w:r w:rsidR="00B91B56" w:rsidRPr="00904FCB">
        <w:rPr>
          <w:rFonts w:hint="cs"/>
          <w:sz w:val="27"/>
          <w:rtl/>
        </w:rPr>
        <w:t>،</w:t>
      </w:r>
      <w:r w:rsidRPr="00904FCB">
        <w:rPr>
          <w:sz w:val="27"/>
          <w:rtl/>
        </w:rPr>
        <w:t xml:space="preserve"> </w:t>
      </w:r>
      <w:r w:rsidRPr="00904FCB">
        <w:rPr>
          <w:rFonts w:hint="cs"/>
          <w:sz w:val="27"/>
          <w:rtl/>
        </w:rPr>
        <w:t>وإن</w:t>
      </w:r>
      <w:r w:rsidR="00B91B56" w:rsidRPr="00904FCB">
        <w:rPr>
          <w:rFonts w:hint="cs"/>
          <w:sz w:val="27"/>
          <w:rtl/>
        </w:rPr>
        <w:t>ْ</w:t>
      </w:r>
      <w:r w:rsidRPr="00904FCB">
        <w:rPr>
          <w:sz w:val="27"/>
          <w:rtl/>
        </w:rPr>
        <w:t xml:space="preserve"> </w:t>
      </w:r>
      <w:r w:rsidRPr="00904FCB">
        <w:rPr>
          <w:rFonts w:hint="cs"/>
          <w:sz w:val="27"/>
          <w:rtl/>
        </w:rPr>
        <w:t>لزم</w:t>
      </w:r>
      <w:r w:rsidRPr="00904FCB">
        <w:rPr>
          <w:sz w:val="27"/>
          <w:rtl/>
        </w:rPr>
        <w:t xml:space="preserve"> </w:t>
      </w:r>
      <w:r w:rsidRPr="00904FCB">
        <w:rPr>
          <w:rFonts w:hint="cs"/>
          <w:sz w:val="27"/>
          <w:rtl/>
        </w:rPr>
        <w:t>منه</w:t>
      </w:r>
      <w:r w:rsidRPr="00904FCB">
        <w:rPr>
          <w:sz w:val="27"/>
          <w:rtl/>
        </w:rPr>
        <w:t xml:space="preserve"> </w:t>
      </w:r>
      <w:r w:rsidRPr="00904FCB">
        <w:rPr>
          <w:rFonts w:hint="cs"/>
          <w:sz w:val="27"/>
          <w:rtl/>
        </w:rPr>
        <w:t>الكفر، مع</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القائلين</w:t>
      </w:r>
      <w:r w:rsidRPr="00904FCB">
        <w:rPr>
          <w:sz w:val="27"/>
          <w:rtl/>
        </w:rPr>
        <w:t xml:space="preserve"> </w:t>
      </w:r>
      <w:r w:rsidRPr="00904FCB">
        <w:rPr>
          <w:rFonts w:hint="cs"/>
          <w:sz w:val="27"/>
          <w:rtl/>
        </w:rPr>
        <w:t>بذلك</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قيل</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طائفة</w:t>
      </w:r>
      <w:r w:rsidR="00B91B56" w:rsidRPr="00904FCB">
        <w:rPr>
          <w:rFonts w:hint="cs"/>
          <w:sz w:val="27"/>
          <w:rtl/>
        </w:rPr>
        <w:t>ٌ</w:t>
      </w:r>
      <w:r w:rsidRPr="00904FCB">
        <w:rPr>
          <w:sz w:val="27"/>
          <w:rtl/>
        </w:rPr>
        <w:t xml:space="preserve"> </w:t>
      </w:r>
      <w:r w:rsidRPr="00904FCB">
        <w:rPr>
          <w:rFonts w:hint="cs"/>
          <w:sz w:val="27"/>
          <w:rtl/>
        </w:rPr>
        <w:t>منهم</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انقرضوا</w:t>
      </w:r>
      <w:r w:rsidRPr="00904FCB">
        <w:rPr>
          <w:rFonts w:hint="eastAsia"/>
          <w:sz w:val="27"/>
          <w:rtl/>
        </w:rPr>
        <w:t>»</w:t>
      </w:r>
      <w:r w:rsidRPr="00904FCB">
        <w:rPr>
          <w:rFonts w:hint="cs"/>
          <w:sz w:val="27"/>
          <w:vertAlign w:val="superscript"/>
          <w:rtl/>
        </w:rPr>
        <w:t>(</w:t>
      </w:r>
      <w:r w:rsidRPr="00904FCB">
        <w:rPr>
          <w:rStyle w:val="ac"/>
          <w:sz w:val="27"/>
          <w:rtl/>
        </w:rPr>
        <w:endnoteReference w:id="655"/>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وذكر</w:t>
      </w:r>
      <w:r w:rsidRPr="00904FCB">
        <w:rPr>
          <w:sz w:val="27"/>
          <w:rtl/>
        </w:rPr>
        <w:t xml:space="preserve"> </w:t>
      </w:r>
      <w:r w:rsidRPr="00904FCB">
        <w:rPr>
          <w:rFonts w:hint="cs"/>
          <w:sz w:val="27"/>
          <w:rtl/>
        </w:rPr>
        <w:t>الفخر</w:t>
      </w:r>
      <w:r w:rsidRPr="00904FCB">
        <w:rPr>
          <w:sz w:val="27"/>
          <w:rtl/>
        </w:rPr>
        <w:t xml:space="preserve"> </w:t>
      </w:r>
      <w:r w:rsidRPr="00904FCB">
        <w:rPr>
          <w:rFonts w:hint="cs"/>
          <w:sz w:val="27"/>
          <w:rtl/>
        </w:rPr>
        <w:t>الرازي</w:t>
      </w:r>
      <w:r w:rsidRPr="00904FCB">
        <w:rPr>
          <w:sz w:val="27"/>
          <w:rtl/>
        </w:rPr>
        <w:t xml:space="preserve"> </w:t>
      </w:r>
      <w:r w:rsidRPr="00904FCB">
        <w:rPr>
          <w:rFonts w:hint="cs"/>
          <w:sz w:val="27"/>
          <w:rtl/>
        </w:rPr>
        <w:t>ثلاثة</w:t>
      </w:r>
      <w:r w:rsidRPr="00904FCB">
        <w:rPr>
          <w:sz w:val="27"/>
          <w:rtl/>
        </w:rPr>
        <w:t xml:space="preserve"> </w:t>
      </w:r>
      <w:r w:rsidRPr="00904FCB">
        <w:rPr>
          <w:rFonts w:hint="cs"/>
          <w:sz w:val="27"/>
          <w:rtl/>
        </w:rPr>
        <w:t>أقوال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المسألة</w:t>
      </w:r>
      <w:r w:rsidRPr="00904FCB">
        <w:rPr>
          <w:sz w:val="27"/>
          <w:rtl/>
        </w:rPr>
        <w:t xml:space="preserve"> </w:t>
      </w:r>
      <w:r w:rsidRPr="00904FCB">
        <w:rPr>
          <w:rFonts w:hint="cs"/>
          <w:sz w:val="27"/>
          <w:rtl/>
        </w:rPr>
        <w:t>هي</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أوّلاً</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عبيد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عمير</w:t>
      </w:r>
      <w:r w:rsidRPr="00904FCB">
        <w:rPr>
          <w:sz w:val="27"/>
          <w:rtl/>
        </w:rPr>
        <w:t xml:space="preserve">: </w:t>
      </w:r>
      <w:r w:rsidRPr="00904FCB">
        <w:rPr>
          <w:rFonts w:hint="eastAsia"/>
          <w:sz w:val="27"/>
          <w:rtl/>
        </w:rPr>
        <w:t>«</w:t>
      </w:r>
      <w:r w:rsidRPr="00904FCB">
        <w:rPr>
          <w:rFonts w:hint="cs"/>
          <w:sz w:val="27"/>
          <w:rtl/>
        </w:rPr>
        <w:t>إنّما</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رجلٌ</w:t>
      </w:r>
      <w:r w:rsidRPr="00904FCB">
        <w:rPr>
          <w:sz w:val="27"/>
          <w:rtl/>
        </w:rPr>
        <w:t xml:space="preserve"> </w:t>
      </w:r>
      <w:r w:rsidRPr="00904FCB">
        <w:rPr>
          <w:rFonts w:hint="cs"/>
          <w:sz w:val="27"/>
          <w:rtl/>
        </w:rPr>
        <w:t>واحدٌ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اليهود</w:t>
      </w:r>
      <w:r w:rsidR="00D7420C" w:rsidRPr="00904FCB">
        <w:rPr>
          <w:rFonts w:hint="cs"/>
          <w:sz w:val="27"/>
          <w:rtl/>
        </w:rPr>
        <w:t>،</w:t>
      </w:r>
      <w:r w:rsidRPr="00904FCB">
        <w:rPr>
          <w:sz w:val="27"/>
          <w:rtl/>
        </w:rPr>
        <w:t xml:space="preserve"> </w:t>
      </w:r>
      <w:r w:rsidRPr="00904FCB">
        <w:rPr>
          <w:rFonts w:hint="cs"/>
          <w:sz w:val="27"/>
          <w:rtl/>
        </w:rPr>
        <w:t>اسمه</w:t>
      </w:r>
      <w:r w:rsidRPr="00904FCB">
        <w:rPr>
          <w:sz w:val="27"/>
          <w:rtl/>
        </w:rPr>
        <w:t xml:space="preserve"> </w:t>
      </w:r>
      <w:r w:rsidRPr="00904FCB">
        <w:rPr>
          <w:rFonts w:hint="cs"/>
          <w:sz w:val="27"/>
          <w:rtl/>
        </w:rPr>
        <w:t>فنحاص</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عازوراء</w:t>
      </w:r>
      <w:r w:rsidRPr="00904FCB">
        <w:rPr>
          <w:rFonts w:hint="eastAsia"/>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ثانياً</w:t>
      </w:r>
      <w:r w:rsidRPr="00904FCB">
        <w:rPr>
          <w:sz w:val="27"/>
          <w:rtl/>
        </w:rPr>
        <w:t xml:space="preserve">: </w:t>
      </w:r>
      <w:r w:rsidRPr="00904FCB">
        <w:rPr>
          <w:rFonts w:hint="cs"/>
          <w:sz w:val="27"/>
          <w:rtl/>
        </w:rPr>
        <w:t>قول</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عبّاس</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نزلت</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جماعة</w:t>
      </w:r>
      <w:r w:rsidR="00D7420C"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جا</w:t>
      </w:r>
      <w:r w:rsidR="00D7420C" w:rsidRPr="00904FCB">
        <w:rPr>
          <w:rFonts w:hint="cs"/>
          <w:sz w:val="27"/>
          <w:rtl/>
        </w:rPr>
        <w:t>ؤ</w:t>
      </w:r>
      <w:r w:rsidRPr="00904FCB">
        <w:rPr>
          <w:rFonts w:hint="cs"/>
          <w:sz w:val="27"/>
          <w:rtl/>
        </w:rPr>
        <w:t>وا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رسول</w:t>
      </w:r>
      <w:r w:rsidRPr="00904FCB">
        <w:rPr>
          <w:sz w:val="27"/>
          <w:rtl/>
        </w:rPr>
        <w:t xml:space="preserve"> </w:t>
      </w:r>
      <w:r w:rsidRPr="00904FCB">
        <w:rPr>
          <w:rFonts w:hint="cs"/>
          <w:sz w:val="27"/>
          <w:rtl/>
        </w:rPr>
        <w:t>الله</w:t>
      </w:r>
      <w:r w:rsidR="00635E51" w:rsidRPr="00904FCB">
        <w:rPr>
          <w:rFonts w:cs="Mosawi"/>
          <w:sz w:val="27"/>
          <w:szCs w:val="22"/>
          <w:rtl/>
        </w:rPr>
        <w:t>|</w:t>
      </w:r>
      <w:r w:rsidRPr="00904FCB">
        <w:rPr>
          <w:sz w:val="27"/>
          <w:rtl/>
        </w:rPr>
        <w:t>،</w:t>
      </w:r>
      <w:r w:rsidRPr="00904FCB">
        <w:rPr>
          <w:rFonts w:hint="cs"/>
          <w:sz w:val="27"/>
          <w:rtl/>
        </w:rPr>
        <w:t xml:space="preserve"> وذكر</w:t>
      </w:r>
      <w:r w:rsidRPr="00904FCB">
        <w:rPr>
          <w:sz w:val="27"/>
          <w:rtl/>
        </w:rPr>
        <w:t xml:space="preserve"> </w:t>
      </w:r>
      <w:r w:rsidRPr="00904FCB">
        <w:rPr>
          <w:rFonts w:hint="cs"/>
          <w:sz w:val="27"/>
          <w:rtl/>
        </w:rPr>
        <w:t>أسماءهم، ثمّ</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وعلى</w:t>
      </w:r>
      <w:r w:rsidRPr="00904FCB">
        <w:rPr>
          <w:sz w:val="27"/>
          <w:rtl/>
        </w:rPr>
        <w:t xml:space="preserve"> </w:t>
      </w:r>
      <w:r w:rsidRPr="00904FCB">
        <w:rPr>
          <w:rFonts w:hint="cs"/>
          <w:sz w:val="27"/>
          <w:rtl/>
        </w:rPr>
        <w:t>هذين</w:t>
      </w:r>
      <w:r w:rsidRPr="00904FCB">
        <w:rPr>
          <w:sz w:val="27"/>
          <w:rtl/>
        </w:rPr>
        <w:t xml:space="preserve"> </w:t>
      </w:r>
      <w:r w:rsidRPr="00904FCB">
        <w:rPr>
          <w:rFonts w:hint="cs"/>
          <w:sz w:val="27"/>
          <w:rtl/>
        </w:rPr>
        <w:t>القولين</w:t>
      </w:r>
      <w:r w:rsidRPr="00904FCB">
        <w:rPr>
          <w:sz w:val="27"/>
          <w:rtl/>
        </w:rPr>
        <w:t xml:space="preserve"> </w:t>
      </w:r>
      <w:r w:rsidRPr="00904FCB">
        <w:rPr>
          <w:rFonts w:hint="cs"/>
          <w:sz w:val="27"/>
          <w:rtl/>
        </w:rPr>
        <w:t>فالقائلون</w:t>
      </w:r>
      <w:r w:rsidRPr="00904FCB">
        <w:rPr>
          <w:sz w:val="27"/>
          <w:rtl/>
        </w:rPr>
        <w:t xml:space="preserve"> </w:t>
      </w:r>
      <w:r w:rsidRPr="00904FCB">
        <w:rPr>
          <w:rFonts w:hint="cs"/>
          <w:sz w:val="27"/>
          <w:rtl/>
        </w:rPr>
        <w:t>بهذا</w:t>
      </w:r>
      <w:r w:rsidRPr="00904FCB">
        <w:rPr>
          <w:sz w:val="27"/>
          <w:rtl/>
        </w:rPr>
        <w:t xml:space="preserve"> </w:t>
      </w:r>
      <w:r w:rsidRPr="00904FCB">
        <w:rPr>
          <w:rFonts w:hint="cs"/>
          <w:sz w:val="27"/>
          <w:rtl/>
        </w:rPr>
        <w:t>المذهب</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اليهود</w:t>
      </w:r>
      <w:r w:rsidR="00857013">
        <w:rPr>
          <w:rFonts w:hint="cs"/>
          <w:sz w:val="27"/>
          <w:rtl/>
        </w:rPr>
        <w:t>...، إلخ</w:t>
      </w:r>
      <w:r w:rsidR="00D7420C"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ثالثاً</w:t>
      </w:r>
      <w:r w:rsidRPr="00904FCB">
        <w:rPr>
          <w:sz w:val="27"/>
          <w:rtl/>
        </w:rPr>
        <w:t xml:space="preserve">: </w:t>
      </w:r>
      <w:r w:rsidRPr="00904FCB">
        <w:rPr>
          <w:rFonts w:hint="cs"/>
          <w:sz w:val="27"/>
          <w:rtl/>
        </w:rPr>
        <w:t>لعلّ</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المذهب</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منتشراً فيهم</w:t>
      </w:r>
      <w:r w:rsidR="00D7420C" w:rsidRPr="00904FCB">
        <w:rPr>
          <w:rFonts w:hint="cs"/>
          <w:sz w:val="27"/>
          <w:rtl/>
        </w:rPr>
        <w:t>،</w:t>
      </w:r>
      <w:r w:rsidRPr="00904FCB">
        <w:rPr>
          <w:sz w:val="27"/>
          <w:rtl/>
        </w:rPr>
        <w:t xml:space="preserve"> </w:t>
      </w:r>
      <w:r w:rsidRPr="00904FCB">
        <w:rPr>
          <w:rFonts w:hint="cs"/>
          <w:sz w:val="27"/>
          <w:rtl/>
        </w:rPr>
        <w:t>ثمّ</w:t>
      </w:r>
      <w:r w:rsidRPr="00904FCB">
        <w:rPr>
          <w:sz w:val="27"/>
          <w:rtl/>
        </w:rPr>
        <w:t xml:space="preserve"> </w:t>
      </w:r>
      <w:r w:rsidRPr="00904FCB">
        <w:rPr>
          <w:rFonts w:hint="cs"/>
          <w:sz w:val="27"/>
          <w:rtl/>
        </w:rPr>
        <w:t>انقطع</w:t>
      </w:r>
      <w:r w:rsidR="00D7420C" w:rsidRPr="00904FCB">
        <w:rPr>
          <w:sz w:val="27"/>
          <w:rtl/>
        </w:rPr>
        <w:t>..</w:t>
      </w:r>
      <w:r w:rsidR="00D7420C" w:rsidRPr="00904FCB">
        <w:rPr>
          <w:rFonts w:hint="cs"/>
          <w:sz w:val="27"/>
          <w:rtl/>
        </w:rPr>
        <w:t>.</w:t>
      </w:r>
    </w:p>
    <w:p w:rsidR="00F34FB9" w:rsidRPr="00904FCB" w:rsidRDefault="00F34FB9" w:rsidP="007A21AA">
      <w:pPr>
        <w:spacing w:line="400" w:lineRule="exact"/>
        <w:rPr>
          <w:sz w:val="27"/>
          <w:rtl/>
        </w:rPr>
      </w:pPr>
      <w:r w:rsidRPr="00904FCB">
        <w:rPr>
          <w:rFonts w:hint="cs"/>
          <w:sz w:val="27"/>
          <w:rtl/>
        </w:rPr>
        <w:lastRenderedPageBreak/>
        <w:t>وتجدر</w:t>
      </w:r>
      <w:r w:rsidRPr="00904FCB">
        <w:rPr>
          <w:sz w:val="27"/>
          <w:rtl/>
        </w:rPr>
        <w:t xml:space="preserve"> </w:t>
      </w:r>
      <w:r w:rsidRPr="00904FCB">
        <w:rPr>
          <w:rFonts w:hint="cs"/>
          <w:sz w:val="27"/>
          <w:rtl/>
        </w:rPr>
        <w:t>الإشارة</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كيف</w:t>
      </w:r>
      <w:r w:rsidRPr="00904FCB">
        <w:rPr>
          <w:sz w:val="27"/>
          <w:rtl/>
        </w:rPr>
        <w:t xml:space="preserve"> </w:t>
      </w:r>
      <w:r w:rsidRPr="00904FCB">
        <w:rPr>
          <w:rFonts w:hint="cs"/>
          <w:sz w:val="27"/>
          <w:rtl/>
        </w:rPr>
        <w:t>نسب</w:t>
      </w:r>
      <w:r w:rsidRPr="00904FCB">
        <w:rPr>
          <w:sz w:val="27"/>
          <w:rtl/>
        </w:rPr>
        <w:t xml:space="preserve"> </w:t>
      </w:r>
      <w:r w:rsidRPr="00904FCB">
        <w:rPr>
          <w:rFonts w:hint="cs"/>
          <w:sz w:val="27"/>
          <w:rtl/>
        </w:rPr>
        <w:t>القرآن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اليهود؟!</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فنقول</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اتّ</w:t>
      </w:r>
      <w:r w:rsidR="00D7420C" w:rsidRPr="00904FCB">
        <w:rPr>
          <w:rFonts w:hint="cs"/>
          <w:sz w:val="27"/>
          <w:rtl/>
        </w:rPr>
        <w:t>َ</w:t>
      </w:r>
      <w:r w:rsidRPr="00904FCB">
        <w:rPr>
          <w:rFonts w:hint="cs"/>
          <w:sz w:val="27"/>
          <w:rtl/>
        </w:rPr>
        <w:t>ضحت</w:t>
      </w:r>
      <w:r w:rsidRPr="00904FCB">
        <w:rPr>
          <w:sz w:val="27"/>
          <w:rtl/>
        </w:rPr>
        <w:t xml:space="preserve"> </w:t>
      </w:r>
      <w:r w:rsidRPr="00904FCB">
        <w:rPr>
          <w:rFonts w:hint="cs"/>
          <w:sz w:val="27"/>
          <w:rtl/>
        </w:rPr>
        <w:t>آراء</w:t>
      </w:r>
      <w:r w:rsidRPr="00904FCB">
        <w:rPr>
          <w:sz w:val="27"/>
          <w:rtl/>
        </w:rPr>
        <w:t xml:space="preserve"> </w:t>
      </w:r>
      <w:r w:rsidRPr="00904FCB">
        <w:rPr>
          <w:rFonts w:hint="cs"/>
          <w:sz w:val="27"/>
          <w:rtl/>
        </w:rPr>
        <w:t>المفسّ</w:t>
      </w:r>
      <w:r w:rsidR="00D7420C" w:rsidRPr="00904FCB">
        <w:rPr>
          <w:rFonts w:hint="cs"/>
          <w:sz w:val="27"/>
          <w:rtl/>
        </w:rPr>
        <w:t>ِ</w:t>
      </w:r>
      <w:r w:rsidRPr="00904FCB">
        <w:rPr>
          <w:rFonts w:hint="cs"/>
          <w:sz w:val="27"/>
          <w:rtl/>
        </w:rPr>
        <w:t>رين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شمول</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الاعتقاد</w:t>
      </w:r>
      <w:r w:rsidRPr="00904FCB">
        <w:rPr>
          <w:sz w:val="27"/>
          <w:rtl/>
        </w:rPr>
        <w:t xml:space="preserve"> </w:t>
      </w:r>
      <w:r w:rsidRPr="00904FCB">
        <w:rPr>
          <w:rFonts w:hint="cs"/>
          <w:sz w:val="27"/>
          <w:rtl/>
        </w:rPr>
        <w:t>لكلّ</w:t>
      </w:r>
      <w:r w:rsidRPr="00904FCB">
        <w:rPr>
          <w:sz w:val="27"/>
          <w:rtl/>
        </w:rPr>
        <w:t xml:space="preserve"> </w:t>
      </w:r>
      <w:r w:rsidRPr="00904FCB">
        <w:rPr>
          <w:rFonts w:hint="cs"/>
          <w:sz w:val="27"/>
          <w:rtl/>
        </w:rPr>
        <w:t>اليهود فقد</w:t>
      </w:r>
      <w:r w:rsidRPr="00904FCB">
        <w:rPr>
          <w:sz w:val="27"/>
          <w:rtl/>
        </w:rPr>
        <w:t xml:space="preserve"> </w:t>
      </w:r>
      <w:r w:rsidRPr="00904FCB">
        <w:rPr>
          <w:rFonts w:hint="cs"/>
          <w:sz w:val="27"/>
          <w:rtl/>
        </w:rPr>
        <w:t>أجيب</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بإجاباتٍ، منها</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أوّلاً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كانوا</w:t>
      </w:r>
      <w:r w:rsidRPr="00904FCB">
        <w:rPr>
          <w:sz w:val="27"/>
          <w:rtl/>
        </w:rPr>
        <w:t xml:space="preserve"> </w:t>
      </w:r>
      <w:r w:rsidRPr="00904FCB">
        <w:rPr>
          <w:rFonts w:hint="cs"/>
          <w:sz w:val="27"/>
          <w:rtl/>
        </w:rPr>
        <w:t>يسكنون</w:t>
      </w:r>
      <w:r w:rsidRPr="00904FCB">
        <w:rPr>
          <w:sz w:val="27"/>
          <w:rtl/>
        </w:rPr>
        <w:t xml:space="preserve"> </w:t>
      </w:r>
      <w:r w:rsidRPr="00904FCB">
        <w:rPr>
          <w:rFonts w:hint="cs"/>
          <w:sz w:val="27"/>
          <w:rtl/>
        </w:rPr>
        <w:t>المدينة</w:t>
      </w:r>
      <w:r w:rsidRPr="00904FCB">
        <w:rPr>
          <w:sz w:val="27"/>
          <w:rtl/>
        </w:rPr>
        <w:t xml:space="preserve"> </w:t>
      </w:r>
      <w:r w:rsidRPr="00904FCB">
        <w:rPr>
          <w:rFonts w:hint="cs"/>
          <w:sz w:val="27"/>
          <w:rtl/>
        </w:rPr>
        <w:t>يعتقدون</w:t>
      </w:r>
      <w:r w:rsidRPr="00904FCB">
        <w:rPr>
          <w:sz w:val="27"/>
          <w:rtl/>
        </w:rPr>
        <w:t xml:space="preserve"> </w:t>
      </w:r>
      <w:r w:rsidRPr="00904FCB">
        <w:rPr>
          <w:rFonts w:hint="cs"/>
          <w:sz w:val="27"/>
          <w:rtl/>
        </w:rPr>
        <w:t>بنوّة</w:t>
      </w:r>
      <w:r w:rsidRPr="00904FCB">
        <w:rPr>
          <w:sz w:val="27"/>
          <w:rtl/>
        </w:rPr>
        <w:t xml:space="preserve"> </w:t>
      </w:r>
      <w:r w:rsidRPr="00904FCB">
        <w:rPr>
          <w:rFonts w:hint="cs"/>
          <w:sz w:val="27"/>
          <w:rtl/>
        </w:rPr>
        <w:t>عزير، ولكن</w:t>
      </w:r>
      <w:r w:rsidR="00D7420C" w:rsidRPr="00904FCB">
        <w:rPr>
          <w:rFonts w:hint="cs"/>
          <w:sz w:val="27"/>
          <w:rtl/>
        </w:rPr>
        <w:t>ْ</w:t>
      </w:r>
      <w:r w:rsidRPr="00904FCB">
        <w:rPr>
          <w:sz w:val="27"/>
          <w:rtl/>
        </w:rPr>
        <w:t xml:space="preserve"> </w:t>
      </w:r>
      <w:r w:rsidRPr="00904FCB">
        <w:rPr>
          <w:rFonts w:hint="cs"/>
          <w:sz w:val="27"/>
          <w:rtl/>
        </w:rPr>
        <w:t>انقرضوا</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ذلك</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ثانياً</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الطوسي</w:t>
      </w:r>
      <w:r w:rsidRPr="00904FCB">
        <w:rPr>
          <w:sz w:val="27"/>
          <w:rtl/>
        </w:rPr>
        <w:t xml:space="preserve"> </w:t>
      </w:r>
      <w:r w:rsidRPr="00904FCB">
        <w:rPr>
          <w:rFonts w:hint="cs"/>
          <w:sz w:val="27"/>
          <w:rtl/>
        </w:rPr>
        <w:t>والعلاّمة</w:t>
      </w:r>
      <w:r w:rsidRPr="00904FCB">
        <w:rPr>
          <w:sz w:val="27"/>
          <w:rtl/>
        </w:rPr>
        <w:t xml:space="preserve"> </w:t>
      </w:r>
      <w:r w:rsidRPr="00904FCB">
        <w:rPr>
          <w:rFonts w:hint="cs"/>
          <w:sz w:val="27"/>
          <w:rtl/>
        </w:rPr>
        <w:t>الطباطبائي</w:t>
      </w:r>
      <w:r w:rsidRPr="00904FCB">
        <w:rPr>
          <w:sz w:val="27"/>
          <w:rtl/>
        </w:rPr>
        <w:t xml:space="preserve">: </w:t>
      </w:r>
      <w:r w:rsidRPr="00904FCB">
        <w:rPr>
          <w:rFonts w:hint="cs"/>
          <w:sz w:val="27"/>
          <w:rtl/>
        </w:rPr>
        <w:t>نسب</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جميعهم؛ لأنّ</w:t>
      </w:r>
      <w:r w:rsidRPr="00904FCB">
        <w:rPr>
          <w:sz w:val="27"/>
          <w:rtl/>
        </w:rPr>
        <w:t xml:space="preserve"> </w:t>
      </w:r>
      <w:r w:rsidRPr="00904FCB">
        <w:rPr>
          <w:rFonts w:hint="cs"/>
          <w:sz w:val="27"/>
          <w:rtl/>
        </w:rPr>
        <w:t>البعض</w:t>
      </w:r>
      <w:r w:rsidRPr="00904FCB">
        <w:rPr>
          <w:sz w:val="27"/>
          <w:rtl/>
        </w:rPr>
        <w:t xml:space="preserve"> </w:t>
      </w:r>
      <w:r w:rsidRPr="00904FCB">
        <w:rPr>
          <w:rFonts w:hint="cs"/>
          <w:sz w:val="27"/>
          <w:rtl/>
        </w:rPr>
        <w:t>منهم</w:t>
      </w:r>
      <w:r w:rsidRPr="00904FCB">
        <w:rPr>
          <w:sz w:val="27"/>
          <w:rtl/>
        </w:rPr>
        <w:t xml:space="preserve"> </w:t>
      </w:r>
      <w:r w:rsidRPr="00904FCB">
        <w:rPr>
          <w:rFonts w:hint="cs"/>
          <w:sz w:val="27"/>
          <w:rtl/>
        </w:rPr>
        <w:t>راضون</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عمله</w:t>
      </w:r>
      <w:r w:rsidRPr="00904FCB">
        <w:rPr>
          <w:sz w:val="27"/>
          <w:rtl/>
        </w:rPr>
        <w:t xml:space="preserve"> </w:t>
      </w:r>
      <w:r w:rsidRPr="00904FCB">
        <w:rPr>
          <w:rFonts w:hint="cs"/>
          <w:sz w:val="27"/>
          <w:rtl/>
        </w:rPr>
        <w:t>البعض</w:t>
      </w:r>
      <w:r w:rsidRPr="00904FCB">
        <w:rPr>
          <w:sz w:val="27"/>
          <w:rtl/>
        </w:rPr>
        <w:t xml:space="preserve"> </w:t>
      </w:r>
      <w:r w:rsidRPr="00904FCB">
        <w:rPr>
          <w:rFonts w:hint="cs"/>
          <w:sz w:val="27"/>
          <w:rtl/>
        </w:rPr>
        <w:t>الآخر، والجميع</w:t>
      </w:r>
      <w:r w:rsidRPr="00904FCB">
        <w:rPr>
          <w:sz w:val="27"/>
          <w:rtl/>
        </w:rPr>
        <w:t xml:space="preserve"> </w:t>
      </w:r>
      <w:r w:rsidRPr="00904FCB">
        <w:rPr>
          <w:rFonts w:hint="cs"/>
          <w:sz w:val="27"/>
          <w:rtl/>
        </w:rPr>
        <w:t>ذو</w:t>
      </w:r>
      <w:r w:rsidRPr="00904FCB">
        <w:rPr>
          <w:sz w:val="27"/>
          <w:rtl/>
        </w:rPr>
        <w:t xml:space="preserve"> </w:t>
      </w:r>
      <w:r w:rsidRPr="00904FCB">
        <w:rPr>
          <w:rFonts w:hint="cs"/>
          <w:sz w:val="27"/>
          <w:rtl/>
        </w:rPr>
        <w:t>رأس</w:t>
      </w:r>
      <w:r w:rsidRPr="00904FCB">
        <w:rPr>
          <w:sz w:val="27"/>
          <w:rtl/>
        </w:rPr>
        <w:t xml:space="preserve"> </w:t>
      </w:r>
      <w:r w:rsidRPr="00904FCB">
        <w:rPr>
          <w:rFonts w:hint="cs"/>
          <w:sz w:val="27"/>
          <w:rtl/>
        </w:rPr>
        <w:t>متوافق</w:t>
      </w:r>
      <w:r w:rsidRPr="00904FCB">
        <w:rPr>
          <w:sz w:val="27"/>
          <w:rtl/>
        </w:rPr>
        <w:t xml:space="preserve"> </w:t>
      </w:r>
      <w:r w:rsidRPr="00904FCB">
        <w:rPr>
          <w:rFonts w:hint="cs"/>
          <w:sz w:val="27"/>
          <w:rtl/>
        </w:rPr>
        <w:t>الأجزاء</w:t>
      </w:r>
      <w:r w:rsidR="00D7420C" w:rsidRPr="00904FCB">
        <w:rPr>
          <w:rFonts w:hint="cs"/>
          <w:sz w:val="27"/>
          <w:rtl/>
        </w:rPr>
        <w:t>،</w:t>
      </w:r>
      <w:r w:rsidRPr="00904FCB">
        <w:rPr>
          <w:sz w:val="27"/>
          <w:rtl/>
        </w:rPr>
        <w:t xml:space="preserve"> </w:t>
      </w:r>
      <w:r w:rsidRPr="00904FCB">
        <w:rPr>
          <w:rFonts w:hint="cs"/>
          <w:sz w:val="27"/>
          <w:rtl/>
        </w:rPr>
        <w:t>ور</w:t>
      </w:r>
      <w:r w:rsidR="00D7420C" w:rsidRPr="00904FCB">
        <w:rPr>
          <w:rFonts w:hint="cs"/>
          <w:sz w:val="27"/>
          <w:rtl/>
        </w:rPr>
        <w:t>ؤ</w:t>
      </w:r>
      <w:r w:rsidRPr="00904FCB">
        <w:rPr>
          <w:rFonts w:hint="cs"/>
          <w:sz w:val="27"/>
          <w:rtl/>
        </w:rPr>
        <w:t>ية</w:t>
      </w:r>
      <w:r w:rsidRPr="00904FCB">
        <w:rPr>
          <w:sz w:val="27"/>
          <w:rtl/>
        </w:rPr>
        <w:t xml:space="preserve"> </w:t>
      </w:r>
      <w:r w:rsidRPr="00904FCB">
        <w:rPr>
          <w:rFonts w:hint="cs"/>
          <w:sz w:val="27"/>
          <w:rtl/>
        </w:rPr>
        <w:t>متشابهة</w:t>
      </w:r>
      <w:r w:rsidRPr="00904FCB">
        <w:rPr>
          <w:sz w:val="27"/>
          <w:rtl/>
        </w:rPr>
        <w:t xml:space="preserve"> </w:t>
      </w:r>
      <w:r w:rsidRPr="00904FCB">
        <w:rPr>
          <w:rFonts w:hint="cs"/>
          <w:sz w:val="27"/>
          <w:rtl/>
        </w:rPr>
        <w:t>التأثير، فصحّ</w:t>
      </w:r>
      <w:r w:rsidR="00D7420C" w:rsidRPr="00904FCB">
        <w:rPr>
          <w:rFonts w:hint="cs"/>
          <w:sz w:val="27"/>
          <w:rtl/>
        </w:rPr>
        <w:t>َ</w:t>
      </w:r>
      <w:r w:rsidRPr="00904FCB">
        <w:rPr>
          <w:rFonts w:hint="cs"/>
          <w:sz w:val="27"/>
          <w:rtl/>
        </w:rPr>
        <w:t>ت</w:t>
      </w:r>
      <w:r w:rsidR="00D7420C" w:rsidRPr="00904FCB">
        <w:rPr>
          <w:rFonts w:hint="cs"/>
          <w:sz w:val="27"/>
          <w:rtl/>
        </w:rPr>
        <w:t>ْ</w:t>
      </w:r>
      <w:r w:rsidRPr="00904FCB">
        <w:rPr>
          <w:sz w:val="27"/>
          <w:rtl/>
        </w:rPr>
        <w:t xml:space="preserve"> </w:t>
      </w:r>
      <w:r w:rsidRPr="00904FCB">
        <w:rPr>
          <w:rFonts w:hint="cs"/>
          <w:sz w:val="27"/>
          <w:rtl/>
        </w:rPr>
        <w:t>النسبة</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جميعهم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الجهة</w:t>
      </w:r>
      <w:r w:rsidRPr="00904FCB">
        <w:rPr>
          <w:sz w:val="27"/>
          <w:rtl/>
        </w:rPr>
        <w:t xml:space="preserve">. </w:t>
      </w:r>
    </w:p>
    <w:p w:rsidR="00E764A7" w:rsidRPr="00904FCB" w:rsidRDefault="00F34FB9" w:rsidP="007A21AA">
      <w:pPr>
        <w:spacing w:line="400" w:lineRule="exact"/>
        <w:rPr>
          <w:sz w:val="27"/>
          <w:rtl/>
        </w:rPr>
      </w:pPr>
      <w:r w:rsidRPr="00783611">
        <w:rPr>
          <w:rFonts w:hint="cs"/>
          <w:sz w:val="27"/>
          <w:rtl/>
          <w:lang w:bidi="ar-LB"/>
        </w:rPr>
        <w:t>2ـ</w:t>
      </w:r>
      <w:r w:rsidRPr="00904FCB">
        <w:rPr>
          <w:rFonts w:hint="cs"/>
          <w:sz w:val="27"/>
          <w:rtl/>
          <w:lang w:bidi="ar-LB"/>
        </w:rPr>
        <w:t xml:space="preserve"> </w:t>
      </w:r>
      <w:r w:rsidRPr="00904FCB">
        <w:rPr>
          <w:rFonts w:hint="cs"/>
          <w:sz w:val="27"/>
          <w:rtl/>
        </w:rPr>
        <w:t>أن</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الاعتقاد</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لله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ابناً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كونه</w:t>
      </w:r>
      <w:r w:rsidRPr="00904FCB">
        <w:rPr>
          <w:sz w:val="27"/>
          <w:rtl/>
        </w:rPr>
        <w:t xml:space="preserve"> </w:t>
      </w:r>
      <w:r w:rsidRPr="00904FCB">
        <w:rPr>
          <w:rFonts w:hint="cs"/>
          <w:sz w:val="27"/>
          <w:rtl/>
        </w:rPr>
        <w:t>اعتقاداً</w:t>
      </w:r>
      <w:r w:rsidRPr="00904FCB">
        <w:rPr>
          <w:sz w:val="27"/>
          <w:rtl/>
        </w:rPr>
        <w:t xml:space="preserve"> </w:t>
      </w:r>
      <w:r w:rsidRPr="00904FCB">
        <w:rPr>
          <w:rFonts w:hint="cs"/>
          <w:sz w:val="27"/>
          <w:rtl/>
        </w:rPr>
        <w:t>باطلاً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يوجب</w:t>
      </w:r>
      <w:r w:rsidRPr="00904FCB">
        <w:rPr>
          <w:sz w:val="27"/>
          <w:rtl/>
        </w:rPr>
        <w:t xml:space="preserve"> </w:t>
      </w:r>
      <w:r w:rsidRPr="00904FCB">
        <w:rPr>
          <w:rFonts w:hint="cs"/>
          <w:sz w:val="27"/>
          <w:rtl/>
        </w:rPr>
        <w:t>شركاً؛ لأنّ</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جعل</w:t>
      </w:r>
      <w:r w:rsidRPr="00904FCB">
        <w:rPr>
          <w:sz w:val="27"/>
          <w:rtl/>
        </w:rPr>
        <w:t xml:space="preserve"> </w:t>
      </w:r>
      <w:r w:rsidRPr="00904FCB">
        <w:rPr>
          <w:rFonts w:hint="cs"/>
          <w:sz w:val="27"/>
          <w:rtl/>
        </w:rPr>
        <w:t>شريك</w:t>
      </w:r>
      <w:r w:rsidR="00D7420C" w:rsidRPr="00904FCB">
        <w:rPr>
          <w:rFonts w:hint="cs"/>
          <w:sz w:val="27"/>
          <w:rtl/>
        </w:rPr>
        <w:t>ٍ</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احدى</w:t>
      </w:r>
      <w:r w:rsidRPr="00904FCB">
        <w:rPr>
          <w:sz w:val="27"/>
          <w:rtl/>
        </w:rPr>
        <w:t xml:space="preserve"> </w:t>
      </w:r>
      <w:r w:rsidRPr="00904FCB">
        <w:rPr>
          <w:rFonts w:hint="cs"/>
          <w:sz w:val="27"/>
          <w:rtl/>
        </w:rPr>
        <w:t>مقاماته</w:t>
      </w:r>
      <w:r w:rsidRPr="00904FCB">
        <w:rPr>
          <w:sz w:val="27"/>
          <w:rtl/>
        </w:rPr>
        <w:t xml:space="preserve"> </w:t>
      </w:r>
      <w:r w:rsidRPr="00904FCB">
        <w:rPr>
          <w:rFonts w:hint="cs"/>
          <w:sz w:val="27"/>
          <w:rtl/>
        </w:rPr>
        <w:t>الخاصّة، كأن</w:t>
      </w:r>
      <w:r w:rsidRPr="00904FCB">
        <w:rPr>
          <w:sz w:val="27"/>
          <w:rtl/>
        </w:rPr>
        <w:t xml:space="preserve"> </w:t>
      </w:r>
      <w:r w:rsidRPr="00904FCB">
        <w:rPr>
          <w:rFonts w:hint="cs"/>
          <w:sz w:val="27"/>
          <w:rtl/>
        </w:rPr>
        <w:t>يعتقد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أحداً</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مؤثّ</w:t>
      </w:r>
      <w:r w:rsidR="00D7420C" w:rsidRPr="00904FCB">
        <w:rPr>
          <w:rFonts w:hint="cs"/>
          <w:sz w:val="27"/>
          <w:rtl/>
        </w:rPr>
        <w:t>ِ</w:t>
      </w:r>
      <w:r w:rsidRPr="00904FCB">
        <w:rPr>
          <w:rFonts w:hint="cs"/>
          <w:sz w:val="27"/>
          <w:rtl/>
        </w:rPr>
        <w:t>ر</w:t>
      </w:r>
      <w:r w:rsidR="00D7420C"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الخلق</w:t>
      </w:r>
      <w:r w:rsidRPr="00904FCB">
        <w:rPr>
          <w:sz w:val="27"/>
          <w:rtl/>
        </w:rPr>
        <w:t xml:space="preserve"> </w:t>
      </w:r>
      <w:r w:rsidRPr="00904FCB">
        <w:rPr>
          <w:rFonts w:hint="cs"/>
          <w:sz w:val="27"/>
          <w:rtl/>
        </w:rPr>
        <w:t>والإيجاد</w:t>
      </w:r>
      <w:r w:rsidRPr="00904FCB">
        <w:rPr>
          <w:sz w:val="27"/>
          <w:rtl/>
        </w:rPr>
        <w:t xml:space="preserve">. </w:t>
      </w:r>
      <w:r w:rsidRPr="00904FCB">
        <w:rPr>
          <w:rFonts w:hint="cs"/>
          <w:sz w:val="27"/>
          <w:rtl/>
        </w:rPr>
        <w:t>أمّا</w:t>
      </w:r>
      <w:r w:rsidRPr="00904FCB">
        <w:rPr>
          <w:sz w:val="27"/>
          <w:rtl/>
        </w:rPr>
        <w:t xml:space="preserve"> </w:t>
      </w:r>
      <w:r w:rsidRPr="00904FCB">
        <w:rPr>
          <w:rFonts w:hint="cs"/>
          <w:sz w:val="27"/>
          <w:rtl/>
        </w:rPr>
        <w:t>مجرّد</w:t>
      </w:r>
      <w:r w:rsidRPr="00904FCB">
        <w:rPr>
          <w:sz w:val="27"/>
          <w:rtl/>
        </w:rPr>
        <w:t xml:space="preserve"> </w:t>
      </w:r>
      <w:r w:rsidRPr="00904FCB">
        <w:rPr>
          <w:rFonts w:hint="cs"/>
          <w:sz w:val="27"/>
          <w:rtl/>
        </w:rPr>
        <w:t>الاعتقاد</w:t>
      </w:r>
      <w:r w:rsidRPr="00904FCB">
        <w:rPr>
          <w:sz w:val="27"/>
          <w:rtl/>
        </w:rPr>
        <w:t xml:space="preserve"> </w:t>
      </w:r>
      <w:r w:rsidRPr="00904FCB">
        <w:rPr>
          <w:rFonts w:hint="cs"/>
          <w:sz w:val="27"/>
          <w:rtl/>
        </w:rPr>
        <w:t>بالبنوّة</w:t>
      </w:r>
      <w:r w:rsidRPr="00904FCB">
        <w:rPr>
          <w:sz w:val="27"/>
          <w:rtl/>
        </w:rPr>
        <w:t xml:space="preserve"> </w:t>
      </w:r>
      <w:r w:rsidRPr="00904FCB">
        <w:rPr>
          <w:rFonts w:hint="cs"/>
          <w:sz w:val="27"/>
          <w:rtl/>
        </w:rPr>
        <w:t>وإن</w:t>
      </w:r>
      <w:r w:rsidR="00D7420C"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كفراً، لكنّ</w:t>
      </w:r>
      <w:r w:rsidR="00D7420C" w:rsidRPr="00904FCB">
        <w:rPr>
          <w:rFonts w:hint="cs"/>
          <w:sz w:val="27"/>
          <w:rtl/>
        </w:rPr>
        <w:t>َ</w:t>
      </w:r>
      <w:r w:rsidRPr="00904FCB">
        <w:rPr>
          <w:rFonts w:hint="cs"/>
          <w:sz w:val="27"/>
          <w:rtl/>
        </w:rPr>
        <w:t>ه</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بشرك</w:t>
      </w:r>
      <w:r w:rsidRPr="00904FCB">
        <w:rPr>
          <w:sz w:val="27"/>
          <w:rtl/>
        </w:rPr>
        <w:t>.</w:t>
      </w:r>
      <w:r w:rsidR="00D7420C" w:rsidRPr="00904FCB">
        <w:rPr>
          <w:rFonts w:hint="cs"/>
          <w:sz w:val="27"/>
          <w:rtl/>
        </w:rPr>
        <w:t>ٍ</w:t>
      </w:r>
      <w:r w:rsidRPr="00904FCB">
        <w:rPr>
          <w:sz w:val="27"/>
          <w:rtl/>
        </w:rPr>
        <w:t xml:space="preserve"> </w:t>
      </w:r>
      <w:r w:rsidRPr="00904FCB">
        <w:rPr>
          <w:rFonts w:hint="cs"/>
          <w:sz w:val="27"/>
          <w:rtl/>
        </w:rPr>
        <w:t>وهذا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ذهب</w:t>
      </w:r>
      <w:r w:rsidRPr="00904FCB">
        <w:rPr>
          <w:sz w:val="27"/>
          <w:rtl/>
        </w:rPr>
        <w:t xml:space="preserve"> </w:t>
      </w:r>
      <w:r w:rsidRPr="00904FCB">
        <w:rPr>
          <w:rFonts w:hint="cs"/>
          <w:sz w:val="27"/>
          <w:rtl/>
        </w:rPr>
        <w:t>إليه</w:t>
      </w:r>
      <w:r w:rsidRPr="00904FCB">
        <w:rPr>
          <w:sz w:val="27"/>
          <w:rtl/>
        </w:rPr>
        <w:t xml:space="preserve"> </w:t>
      </w:r>
      <w:r w:rsidRPr="00904FCB">
        <w:rPr>
          <w:rFonts w:hint="cs"/>
          <w:sz w:val="27"/>
          <w:rtl/>
        </w:rPr>
        <w:t>الإمام</w:t>
      </w:r>
      <w:r w:rsidRPr="00904FCB">
        <w:rPr>
          <w:sz w:val="27"/>
          <w:rtl/>
        </w:rPr>
        <w:t xml:space="preserve"> </w:t>
      </w:r>
      <w:r w:rsidRPr="00904FCB">
        <w:rPr>
          <w:rFonts w:hint="cs"/>
          <w:sz w:val="27"/>
          <w:rtl/>
        </w:rPr>
        <w:t>الخميني(</w:t>
      </w:r>
      <w:r w:rsidRPr="00783611">
        <w:rPr>
          <w:rFonts w:hint="cs"/>
          <w:sz w:val="27"/>
          <w:rtl/>
          <w:lang w:bidi="ar-LB"/>
        </w:rPr>
        <w:t>1988</w:t>
      </w:r>
      <w:r w:rsidRPr="00783611">
        <w:rPr>
          <w:rFonts w:hint="cs"/>
          <w:sz w:val="27"/>
          <w:rtl/>
        </w:rPr>
        <w:t>م</w:t>
      </w:r>
      <w:r w:rsidRPr="00904FCB">
        <w:rPr>
          <w:rFonts w:hint="cs"/>
          <w:sz w:val="27"/>
          <w:rtl/>
        </w:rPr>
        <w:t>)</w:t>
      </w:r>
      <w:r w:rsidR="00D7420C" w:rsidRPr="00904FCB">
        <w:rPr>
          <w:rFonts w:hint="cs"/>
          <w:sz w:val="27"/>
          <w:rtl/>
        </w:rPr>
        <w:t xml:space="preserve">، </w:t>
      </w:r>
      <w:r w:rsidRPr="00904FCB">
        <w:rPr>
          <w:rFonts w:hint="cs"/>
          <w:sz w:val="27"/>
          <w:rtl/>
        </w:rPr>
        <w:t>حيث</w:t>
      </w:r>
      <w:r w:rsidRPr="00904FCB">
        <w:rPr>
          <w:sz w:val="27"/>
          <w:rtl/>
        </w:rPr>
        <w:t xml:space="preserve"> </w:t>
      </w:r>
      <w:r w:rsidRPr="00904FCB">
        <w:rPr>
          <w:rFonts w:hint="cs"/>
          <w:sz w:val="27"/>
          <w:rtl/>
        </w:rPr>
        <w:t>يقول</w:t>
      </w:r>
      <w:r w:rsidRPr="00904FCB">
        <w:rPr>
          <w:sz w:val="27"/>
          <w:rtl/>
        </w:rPr>
        <w:t xml:space="preserve">: </w:t>
      </w:r>
      <w:r w:rsidRPr="00904FCB">
        <w:rPr>
          <w:rFonts w:hint="eastAsia"/>
          <w:sz w:val="27"/>
          <w:rtl/>
        </w:rPr>
        <w:t>«</w:t>
      </w:r>
      <w:r w:rsidRPr="00904FCB">
        <w:rPr>
          <w:rFonts w:hint="cs"/>
          <w:sz w:val="27"/>
          <w:rtl/>
        </w:rPr>
        <w:t>مجرّد</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عزيزاً</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يوجب</w:t>
      </w:r>
      <w:r w:rsidRPr="00904FCB">
        <w:rPr>
          <w:sz w:val="27"/>
          <w:rtl/>
        </w:rPr>
        <w:t xml:space="preserve"> </w:t>
      </w:r>
      <w:r w:rsidRPr="00904FCB">
        <w:rPr>
          <w:rFonts w:hint="cs"/>
          <w:sz w:val="27"/>
          <w:rtl/>
        </w:rPr>
        <w:t>الش</w:t>
      </w:r>
      <w:r w:rsidR="00D7420C" w:rsidRPr="00904FCB">
        <w:rPr>
          <w:rFonts w:hint="cs"/>
          <w:sz w:val="27"/>
          <w:rtl/>
        </w:rPr>
        <w:t>ِّ</w:t>
      </w:r>
      <w:r w:rsidRPr="00904FCB">
        <w:rPr>
          <w:rFonts w:hint="cs"/>
          <w:sz w:val="27"/>
          <w:rtl/>
        </w:rPr>
        <w:t>ر</w:t>
      </w:r>
      <w:r w:rsidR="00D7420C" w:rsidRPr="00904FCB">
        <w:rPr>
          <w:rFonts w:hint="cs"/>
          <w:sz w:val="27"/>
          <w:rtl/>
        </w:rPr>
        <w:t>ْ</w:t>
      </w:r>
      <w:r w:rsidRPr="00904FCB">
        <w:rPr>
          <w:rFonts w:hint="cs"/>
          <w:sz w:val="27"/>
          <w:rtl/>
        </w:rPr>
        <w:t>ك، وإن</w:t>
      </w:r>
      <w:r w:rsidR="00D7420C" w:rsidRPr="00904FCB">
        <w:rPr>
          <w:rFonts w:hint="cs"/>
          <w:sz w:val="27"/>
          <w:rtl/>
        </w:rPr>
        <w:t>ْ</w:t>
      </w:r>
      <w:r w:rsidRPr="00904FCB">
        <w:rPr>
          <w:sz w:val="27"/>
          <w:rtl/>
        </w:rPr>
        <w:t xml:space="preserve"> </w:t>
      </w:r>
      <w:r w:rsidRPr="00904FCB">
        <w:rPr>
          <w:rFonts w:hint="cs"/>
          <w:sz w:val="27"/>
          <w:rtl/>
        </w:rPr>
        <w:t>لزم</w:t>
      </w:r>
      <w:r w:rsidRPr="00904FCB">
        <w:rPr>
          <w:sz w:val="27"/>
          <w:rtl/>
        </w:rPr>
        <w:t xml:space="preserve"> </w:t>
      </w:r>
      <w:r w:rsidRPr="00904FCB">
        <w:rPr>
          <w:rFonts w:hint="cs"/>
          <w:sz w:val="27"/>
          <w:rtl/>
        </w:rPr>
        <w:t>منه</w:t>
      </w:r>
      <w:r w:rsidRPr="00904FCB">
        <w:rPr>
          <w:sz w:val="27"/>
          <w:rtl/>
        </w:rPr>
        <w:t xml:space="preserve"> </w:t>
      </w:r>
      <w:r w:rsidRPr="00904FCB">
        <w:rPr>
          <w:rFonts w:hint="cs"/>
          <w:sz w:val="27"/>
          <w:rtl/>
        </w:rPr>
        <w:t>الكفر</w:t>
      </w:r>
      <w:r w:rsidRPr="00904FCB">
        <w:rPr>
          <w:rFonts w:hint="eastAsia"/>
          <w:sz w:val="27"/>
          <w:rtl/>
        </w:rPr>
        <w:t>»</w:t>
      </w:r>
      <w:r w:rsidRPr="00904FCB">
        <w:rPr>
          <w:rFonts w:hint="cs"/>
          <w:sz w:val="27"/>
          <w:vertAlign w:val="superscript"/>
          <w:rtl/>
        </w:rPr>
        <w:t>(</w:t>
      </w:r>
      <w:r w:rsidRPr="00904FCB">
        <w:rPr>
          <w:rStyle w:val="ac"/>
          <w:sz w:val="27"/>
          <w:rtl/>
        </w:rPr>
        <w:endnoteReference w:id="656"/>
      </w:r>
      <w:r w:rsidRPr="00904FCB">
        <w:rPr>
          <w:rFonts w:hint="cs"/>
          <w:sz w:val="27"/>
          <w:vertAlign w:val="superscript"/>
          <w:rtl/>
        </w:rPr>
        <w:t>)</w:t>
      </w:r>
      <w:r w:rsidR="00D7420C" w:rsidRPr="00904FCB">
        <w:rPr>
          <w:rFonts w:hint="cs"/>
          <w:sz w:val="27"/>
          <w:rtl/>
        </w:rPr>
        <w:t xml:space="preserve">؛ </w:t>
      </w:r>
      <w:r w:rsidRPr="00904FCB">
        <w:rPr>
          <w:rFonts w:hint="cs"/>
          <w:sz w:val="27"/>
          <w:rtl/>
        </w:rPr>
        <w:t>إذ</w:t>
      </w:r>
      <w:r w:rsidRPr="00904FCB">
        <w:rPr>
          <w:sz w:val="27"/>
          <w:rtl/>
        </w:rPr>
        <w:t xml:space="preserve"> </w:t>
      </w:r>
      <w:r w:rsidR="00D7420C" w:rsidRPr="00904FCB">
        <w:rPr>
          <w:rFonts w:hint="cs"/>
          <w:sz w:val="27"/>
          <w:rtl/>
        </w:rPr>
        <w:t>إ</w:t>
      </w:r>
      <w:r w:rsidRPr="00904FCB">
        <w:rPr>
          <w:rFonts w:hint="cs"/>
          <w:sz w:val="27"/>
          <w:rtl/>
        </w:rPr>
        <w:t>نّ</w:t>
      </w:r>
      <w:r w:rsidRPr="00904FCB">
        <w:rPr>
          <w:sz w:val="27"/>
          <w:rtl/>
        </w:rPr>
        <w:t xml:space="preserve"> </w:t>
      </w:r>
      <w:r w:rsidRPr="00904FCB">
        <w:rPr>
          <w:rFonts w:hint="cs"/>
          <w:sz w:val="27"/>
          <w:rtl/>
        </w:rPr>
        <w:t>الاعتقاد</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سبحانه</w:t>
      </w:r>
      <w:r w:rsidRPr="00904FCB">
        <w:rPr>
          <w:sz w:val="27"/>
          <w:rtl/>
        </w:rPr>
        <w:t xml:space="preserve"> </w:t>
      </w:r>
      <w:r w:rsidRPr="00904FCB">
        <w:rPr>
          <w:rFonts w:hint="cs"/>
          <w:sz w:val="27"/>
          <w:rtl/>
        </w:rPr>
        <w:t>وتعالى</w:t>
      </w:r>
      <w:r w:rsidRPr="00904FCB">
        <w:rPr>
          <w:sz w:val="27"/>
          <w:rtl/>
        </w:rPr>
        <w:t xml:space="preserve"> </w:t>
      </w:r>
      <w:r w:rsidRPr="00904FCB">
        <w:rPr>
          <w:rFonts w:hint="cs"/>
          <w:sz w:val="27"/>
          <w:rtl/>
        </w:rPr>
        <w:t>ولد</w:t>
      </w:r>
      <w:r w:rsidR="00D7420C" w:rsidRPr="00904FCB">
        <w:rPr>
          <w:rFonts w:hint="cs"/>
          <w:sz w:val="27"/>
          <w:rtl/>
        </w:rPr>
        <w:t>ٌ</w:t>
      </w:r>
      <w:r w:rsidRPr="00904FCB">
        <w:rPr>
          <w:sz w:val="27"/>
          <w:rtl/>
        </w:rPr>
        <w:t xml:space="preserve"> </w:t>
      </w:r>
      <w:r w:rsidRPr="00904FCB">
        <w:rPr>
          <w:rFonts w:hint="cs"/>
          <w:sz w:val="27"/>
          <w:rtl/>
        </w:rPr>
        <w:t>لازمه</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جسماً</w:t>
      </w:r>
      <w:r w:rsidRPr="00904FCB">
        <w:rPr>
          <w:sz w:val="27"/>
          <w:rtl/>
        </w:rPr>
        <w:t xml:space="preserve"> </w:t>
      </w:r>
      <w:r w:rsidRPr="00904FCB">
        <w:rPr>
          <w:rFonts w:hint="cs"/>
          <w:sz w:val="27"/>
          <w:rtl/>
        </w:rPr>
        <w:t>ومركّ</w:t>
      </w:r>
      <w:r w:rsidR="00D7420C" w:rsidRPr="00904FCB">
        <w:rPr>
          <w:rFonts w:hint="cs"/>
          <w:sz w:val="27"/>
          <w:rtl/>
        </w:rPr>
        <w:t>َ</w:t>
      </w:r>
      <w:r w:rsidRPr="00904FCB">
        <w:rPr>
          <w:rFonts w:hint="cs"/>
          <w:sz w:val="27"/>
          <w:rtl/>
        </w:rPr>
        <w:t>باً، وهذا</w:t>
      </w:r>
      <w:r w:rsidRPr="00904FCB">
        <w:rPr>
          <w:sz w:val="27"/>
          <w:rtl/>
        </w:rPr>
        <w:t xml:space="preserve"> </w:t>
      </w:r>
      <w:r w:rsidRPr="00904FCB">
        <w:rPr>
          <w:rFonts w:hint="cs"/>
          <w:sz w:val="27"/>
          <w:rtl/>
        </w:rPr>
        <w:t>لازمه</w:t>
      </w:r>
      <w:r w:rsidRPr="00904FCB">
        <w:rPr>
          <w:sz w:val="27"/>
          <w:rtl/>
        </w:rPr>
        <w:t xml:space="preserve"> </w:t>
      </w:r>
      <w:r w:rsidRPr="00904FCB">
        <w:rPr>
          <w:rFonts w:hint="cs"/>
          <w:sz w:val="27"/>
          <w:rtl/>
        </w:rPr>
        <w:t>الكفر</w:t>
      </w:r>
      <w:r w:rsidR="00D7420C" w:rsidRPr="00904FCB">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الشرك</w:t>
      </w:r>
      <w:r w:rsidR="00E764A7" w:rsidRPr="00904FCB">
        <w:rPr>
          <w:sz w:val="27"/>
          <w:rtl/>
        </w:rPr>
        <w:t>.</w:t>
      </w:r>
    </w:p>
    <w:p w:rsidR="00F34FB9" w:rsidRPr="00904FCB" w:rsidRDefault="00E764A7" w:rsidP="007A21AA">
      <w:pPr>
        <w:spacing w:line="400" w:lineRule="exact"/>
        <w:rPr>
          <w:sz w:val="27"/>
          <w:rtl/>
        </w:rPr>
      </w:pPr>
      <w:r w:rsidRPr="00904FCB">
        <w:rPr>
          <w:rFonts w:hint="cs"/>
          <w:sz w:val="27"/>
          <w:rtl/>
        </w:rPr>
        <w:t>و</w:t>
      </w:r>
      <w:r w:rsidR="00F34FB9" w:rsidRPr="00904FCB">
        <w:rPr>
          <w:rFonts w:hint="cs"/>
          <w:sz w:val="27"/>
          <w:rtl/>
        </w:rPr>
        <w:t>هذا</w:t>
      </w:r>
      <w:r w:rsidR="00F34FB9" w:rsidRPr="00904FCB">
        <w:rPr>
          <w:sz w:val="27"/>
          <w:rtl/>
        </w:rPr>
        <w:t xml:space="preserve"> </w:t>
      </w:r>
      <w:r w:rsidR="00F34FB9" w:rsidRPr="00904FCB">
        <w:rPr>
          <w:rFonts w:hint="cs"/>
          <w:sz w:val="27"/>
          <w:rtl/>
        </w:rPr>
        <w:t>إ</w:t>
      </w:r>
      <w:r w:rsidRPr="00904FCB">
        <w:rPr>
          <w:rFonts w:hint="cs"/>
          <w:sz w:val="27"/>
          <w:rtl/>
        </w:rPr>
        <w:t>ذا</w:t>
      </w:r>
      <w:r w:rsidR="00F34FB9" w:rsidRPr="00904FCB">
        <w:rPr>
          <w:sz w:val="27"/>
          <w:rtl/>
        </w:rPr>
        <w:t xml:space="preserve"> </w:t>
      </w:r>
      <w:r w:rsidR="00F34FB9" w:rsidRPr="00904FCB">
        <w:rPr>
          <w:rFonts w:hint="cs"/>
          <w:sz w:val="27"/>
          <w:rtl/>
        </w:rPr>
        <w:t>كان</w:t>
      </w:r>
      <w:r w:rsidR="00F34FB9" w:rsidRPr="00904FCB">
        <w:rPr>
          <w:sz w:val="27"/>
          <w:rtl/>
        </w:rPr>
        <w:t xml:space="preserve"> </w:t>
      </w:r>
      <w:r w:rsidR="00F34FB9" w:rsidRPr="00904FCB">
        <w:rPr>
          <w:rFonts w:hint="cs"/>
          <w:sz w:val="27"/>
          <w:rtl/>
        </w:rPr>
        <w:t>يدرك</w:t>
      </w:r>
      <w:r w:rsidR="00F34FB9" w:rsidRPr="00904FCB">
        <w:rPr>
          <w:sz w:val="27"/>
          <w:rtl/>
        </w:rPr>
        <w:t xml:space="preserve"> </w:t>
      </w:r>
      <w:r w:rsidR="00F34FB9" w:rsidRPr="00904FCB">
        <w:rPr>
          <w:rFonts w:hint="cs"/>
          <w:sz w:val="27"/>
          <w:rtl/>
        </w:rPr>
        <w:t>لوازم</w:t>
      </w:r>
      <w:r w:rsidR="00F34FB9" w:rsidRPr="00904FCB">
        <w:rPr>
          <w:sz w:val="27"/>
          <w:rtl/>
        </w:rPr>
        <w:t xml:space="preserve"> </w:t>
      </w:r>
      <w:r w:rsidR="00F34FB9" w:rsidRPr="00904FCB">
        <w:rPr>
          <w:rFonts w:hint="cs"/>
          <w:sz w:val="27"/>
          <w:rtl/>
        </w:rPr>
        <w:t>ما</w:t>
      </w:r>
      <w:r w:rsidR="00F34FB9" w:rsidRPr="00904FCB">
        <w:rPr>
          <w:sz w:val="27"/>
          <w:rtl/>
        </w:rPr>
        <w:t xml:space="preserve"> </w:t>
      </w:r>
      <w:r w:rsidR="00F34FB9" w:rsidRPr="00904FCB">
        <w:rPr>
          <w:rFonts w:hint="cs"/>
          <w:sz w:val="27"/>
          <w:rtl/>
        </w:rPr>
        <w:t>يعتقده</w:t>
      </w:r>
      <w:r w:rsidRPr="00904FCB">
        <w:rPr>
          <w:rFonts w:hint="cs"/>
          <w:sz w:val="27"/>
          <w:rtl/>
        </w:rPr>
        <w:t xml:space="preserve">، </w:t>
      </w:r>
      <w:r w:rsidR="00F34FB9" w:rsidRPr="00904FCB">
        <w:rPr>
          <w:rFonts w:hint="cs"/>
          <w:sz w:val="27"/>
          <w:rtl/>
        </w:rPr>
        <w:t>أما</w:t>
      </w:r>
      <w:r w:rsidR="00F34FB9" w:rsidRPr="00904FCB">
        <w:rPr>
          <w:sz w:val="27"/>
          <w:rtl/>
        </w:rPr>
        <w:t xml:space="preserve"> </w:t>
      </w:r>
      <w:r w:rsidR="00F34FB9" w:rsidRPr="00904FCB">
        <w:rPr>
          <w:rFonts w:hint="cs"/>
          <w:sz w:val="27"/>
          <w:rtl/>
        </w:rPr>
        <w:t>إذا</w:t>
      </w:r>
      <w:r w:rsidR="00F34FB9" w:rsidRPr="00904FCB">
        <w:rPr>
          <w:sz w:val="27"/>
          <w:rtl/>
        </w:rPr>
        <w:t xml:space="preserve"> </w:t>
      </w:r>
      <w:r w:rsidR="00F34FB9" w:rsidRPr="00904FCB">
        <w:rPr>
          <w:rFonts w:hint="cs"/>
          <w:sz w:val="27"/>
          <w:rtl/>
        </w:rPr>
        <w:t>لم</w:t>
      </w:r>
      <w:r w:rsidR="00F34FB9" w:rsidRPr="00904FCB">
        <w:rPr>
          <w:sz w:val="27"/>
          <w:rtl/>
        </w:rPr>
        <w:t xml:space="preserve"> </w:t>
      </w:r>
      <w:r w:rsidR="00F34FB9" w:rsidRPr="00904FCB">
        <w:rPr>
          <w:rFonts w:hint="cs"/>
          <w:sz w:val="27"/>
          <w:rtl/>
        </w:rPr>
        <w:t>يكن</w:t>
      </w:r>
      <w:r w:rsidR="00F34FB9" w:rsidRPr="00904FCB">
        <w:rPr>
          <w:sz w:val="27"/>
          <w:rtl/>
        </w:rPr>
        <w:t xml:space="preserve"> </w:t>
      </w:r>
      <w:r w:rsidR="00F34FB9" w:rsidRPr="00904FCB">
        <w:rPr>
          <w:rFonts w:hint="cs"/>
          <w:sz w:val="27"/>
          <w:rtl/>
        </w:rPr>
        <w:t>ملتفتاً</w:t>
      </w:r>
      <w:r w:rsidR="00F34FB9" w:rsidRPr="00904FCB">
        <w:rPr>
          <w:sz w:val="27"/>
          <w:rtl/>
        </w:rPr>
        <w:t xml:space="preserve"> </w:t>
      </w:r>
      <w:r w:rsidR="00F34FB9" w:rsidRPr="00904FCB">
        <w:rPr>
          <w:rFonts w:hint="cs"/>
          <w:sz w:val="27"/>
          <w:rtl/>
        </w:rPr>
        <w:t>إلى</w:t>
      </w:r>
      <w:r w:rsidR="00F34FB9" w:rsidRPr="00904FCB">
        <w:rPr>
          <w:sz w:val="27"/>
          <w:rtl/>
        </w:rPr>
        <w:t xml:space="preserve"> </w:t>
      </w:r>
      <w:r w:rsidR="00F34FB9" w:rsidRPr="00904FCB">
        <w:rPr>
          <w:rFonts w:hint="cs"/>
          <w:sz w:val="27"/>
          <w:rtl/>
        </w:rPr>
        <w:t>هذه</w:t>
      </w:r>
      <w:r w:rsidR="00F34FB9" w:rsidRPr="00904FCB">
        <w:rPr>
          <w:sz w:val="27"/>
          <w:rtl/>
        </w:rPr>
        <w:t xml:space="preserve"> </w:t>
      </w:r>
      <w:r w:rsidR="00F34FB9" w:rsidRPr="00904FCB">
        <w:rPr>
          <w:rFonts w:hint="cs"/>
          <w:sz w:val="27"/>
          <w:rtl/>
        </w:rPr>
        <w:t>اللوازم فإنّه</w:t>
      </w:r>
      <w:r w:rsidR="00F34FB9" w:rsidRPr="00904FCB">
        <w:rPr>
          <w:sz w:val="27"/>
          <w:rtl/>
        </w:rPr>
        <w:t xml:space="preserve"> </w:t>
      </w:r>
      <w:r w:rsidR="00F34FB9" w:rsidRPr="00904FCB">
        <w:rPr>
          <w:rFonts w:hint="cs"/>
          <w:sz w:val="27"/>
          <w:rtl/>
        </w:rPr>
        <w:t>ـ</w:t>
      </w:r>
      <w:r w:rsidR="00F34FB9" w:rsidRPr="00904FCB">
        <w:rPr>
          <w:sz w:val="27"/>
          <w:rtl/>
        </w:rPr>
        <w:t xml:space="preserve"> </w:t>
      </w:r>
      <w:r w:rsidR="00F34FB9" w:rsidRPr="00904FCB">
        <w:rPr>
          <w:rFonts w:hint="cs"/>
          <w:sz w:val="27"/>
          <w:rtl/>
        </w:rPr>
        <w:t>ح</w:t>
      </w:r>
      <w:r w:rsidRPr="00904FCB">
        <w:rPr>
          <w:rFonts w:hint="cs"/>
          <w:sz w:val="27"/>
          <w:rtl/>
        </w:rPr>
        <w:t>َ</w:t>
      </w:r>
      <w:r w:rsidR="00F34FB9" w:rsidRPr="00904FCB">
        <w:rPr>
          <w:rFonts w:hint="cs"/>
          <w:sz w:val="27"/>
          <w:rtl/>
        </w:rPr>
        <w:t>س</w:t>
      </w:r>
      <w:r w:rsidRPr="00904FCB">
        <w:rPr>
          <w:rFonts w:hint="cs"/>
          <w:sz w:val="27"/>
          <w:rtl/>
        </w:rPr>
        <w:t>ْ</w:t>
      </w:r>
      <w:r w:rsidR="00F34FB9" w:rsidRPr="00904FCB">
        <w:rPr>
          <w:rFonts w:hint="cs"/>
          <w:sz w:val="27"/>
          <w:rtl/>
        </w:rPr>
        <w:t>ب</w:t>
      </w:r>
      <w:r w:rsidR="00F34FB9" w:rsidRPr="00904FCB">
        <w:rPr>
          <w:sz w:val="27"/>
          <w:rtl/>
        </w:rPr>
        <w:t xml:space="preserve"> </w:t>
      </w:r>
      <w:r w:rsidR="00F34FB9" w:rsidRPr="00904FCB">
        <w:rPr>
          <w:rFonts w:hint="cs"/>
          <w:sz w:val="27"/>
          <w:rtl/>
        </w:rPr>
        <w:t>رأي</w:t>
      </w:r>
      <w:r w:rsidR="00F34FB9" w:rsidRPr="00904FCB">
        <w:rPr>
          <w:sz w:val="27"/>
          <w:rtl/>
        </w:rPr>
        <w:t xml:space="preserve"> </w:t>
      </w:r>
      <w:r w:rsidR="00F34FB9" w:rsidRPr="00904FCB">
        <w:rPr>
          <w:rFonts w:hint="cs"/>
          <w:sz w:val="27"/>
          <w:rtl/>
        </w:rPr>
        <w:t>الإمام</w:t>
      </w:r>
      <w:r w:rsidR="00F34FB9" w:rsidRPr="00904FCB">
        <w:rPr>
          <w:sz w:val="27"/>
          <w:rtl/>
        </w:rPr>
        <w:t xml:space="preserve"> </w:t>
      </w:r>
      <w:r w:rsidR="00F34FB9" w:rsidRPr="00904FCB">
        <w:rPr>
          <w:rFonts w:hint="cs"/>
          <w:sz w:val="27"/>
          <w:rtl/>
        </w:rPr>
        <w:t>الخميني</w:t>
      </w:r>
      <w:r w:rsidR="00F34FB9" w:rsidRPr="00904FCB">
        <w:rPr>
          <w:sz w:val="27"/>
          <w:rtl/>
        </w:rPr>
        <w:t xml:space="preserve"> </w:t>
      </w:r>
      <w:r w:rsidR="00F34FB9" w:rsidRPr="00904FCB">
        <w:rPr>
          <w:rFonts w:hint="cs"/>
          <w:sz w:val="27"/>
          <w:rtl/>
        </w:rPr>
        <w:t>ومشهور</w:t>
      </w:r>
      <w:r w:rsidR="00F34FB9" w:rsidRPr="00904FCB">
        <w:rPr>
          <w:sz w:val="27"/>
          <w:rtl/>
        </w:rPr>
        <w:t xml:space="preserve"> </w:t>
      </w:r>
      <w:r w:rsidR="00F34FB9" w:rsidRPr="00904FCB">
        <w:rPr>
          <w:rFonts w:hint="cs"/>
          <w:sz w:val="27"/>
          <w:rtl/>
        </w:rPr>
        <w:t>الفقهاء</w:t>
      </w:r>
      <w:r w:rsidR="00F34FB9" w:rsidRPr="00904FCB">
        <w:rPr>
          <w:sz w:val="27"/>
          <w:rtl/>
        </w:rPr>
        <w:t xml:space="preserve"> </w:t>
      </w:r>
      <w:r w:rsidR="00F34FB9" w:rsidRPr="00904FCB">
        <w:rPr>
          <w:rFonts w:hint="cs"/>
          <w:sz w:val="27"/>
          <w:rtl/>
        </w:rPr>
        <w:t>ـ</w:t>
      </w:r>
      <w:r w:rsidR="00F34FB9" w:rsidRPr="00904FCB">
        <w:rPr>
          <w:sz w:val="27"/>
          <w:rtl/>
        </w:rPr>
        <w:t xml:space="preserve"> </w:t>
      </w:r>
      <w:r w:rsidR="00F34FB9" w:rsidRPr="00904FCB">
        <w:rPr>
          <w:rFonts w:hint="cs"/>
          <w:sz w:val="27"/>
          <w:rtl/>
        </w:rPr>
        <w:t>ليس</w:t>
      </w:r>
      <w:r w:rsidR="00F34FB9" w:rsidRPr="00904FCB">
        <w:rPr>
          <w:sz w:val="27"/>
          <w:rtl/>
        </w:rPr>
        <w:t xml:space="preserve"> </w:t>
      </w:r>
      <w:r w:rsidR="00F34FB9" w:rsidRPr="00904FCB">
        <w:rPr>
          <w:rFonts w:hint="cs"/>
          <w:sz w:val="27"/>
          <w:rtl/>
        </w:rPr>
        <w:t>بكافر</w:t>
      </w:r>
      <w:r w:rsidRPr="00904FCB">
        <w:rPr>
          <w:rFonts w:hint="cs"/>
          <w:sz w:val="27"/>
          <w:rtl/>
        </w:rPr>
        <w:t>ٍ</w:t>
      </w:r>
      <w:r w:rsidR="00F34FB9" w:rsidRPr="00904FCB">
        <w:rPr>
          <w:sz w:val="27"/>
          <w:rtl/>
        </w:rPr>
        <w:t xml:space="preserve"> </w:t>
      </w:r>
      <w:r w:rsidR="00F34FB9" w:rsidRPr="00904FCB">
        <w:rPr>
          <w:rFonts w:hint="cs"/>
          <w:sz w:val="27"/>
          <w:rtl/>
        </w:rPr>
        <w:t>حتماً</w:t>
      </w:r>
      <w:r w:rsidR="00F34FB9" w:rsidRPr="00904FCB">
        <w:rPr>
          <w:sz w:val="27"/>
          <w:rtl/>
        </w:rPr>
        <w:t xml:space="preserve">. </w:t>
      </w:r>
    </w:p>
    <w:p w:rsidR="00F34FB9" w:rsidRPr="00904FCB" w:rsidRDefault="00F34FB9" w:rsidP="007A21AA">
      <w:pPr>
        <w:spacing w:line="400" w:lineRule="exact"/>
        <w:rPr>
          <w:sz w:val="27"/>
          <w:rtl/>
        </w:rPr>
      </w:pPr>
      <w:r w:rsidRPr="00783611">
        <w:rPr>
          <w:rFonts w:hint="cs"/>
          <w:sz w:val="27"/>
          <w:rtl/>
          <w:lang w:bidi="ar-LB"/>
        </w:rPr>
        <w:t>3ـ</w:t>
      </w:r>
      <w:r w:rsidRPr="00904FCB">
        <w:rPr>
          <w:rFonts w:hint="cs"/>
          <w:sz w:val="27"/>
          <w:rtl/>
          <w:lang w:bidi="ar-LB"/>
        </w:rPr>
        <w:t xml:space="preserve"> </w:t>
      </w:r>
      <w:r w:rsidRPr="00904FCB">
        <w:rPr>
          <w:rFonts w:hint="cs"/>
          <w:sz w:val="27"/>
          <w:rtl/>
        </w:rPr>
        <w:t>أن</w:t>
      </w:r>
      <w:r w:rsidRPr="00904FCB">
        <w:rPr>
          <w:sz w:val="27"/>
          <w:rtl/>
        </w:rPr>
        <w:t xml:space="preserve"> </w:t>
      </w:r>
      <w:r w:rsidRPr="00904FCB">
        <w:rPr>
          <w:rFonts w:hint="cs"/>
          <w:sz w:val="27"/>
          <w:rtl/>
        </w:rPr>
        <w:t>تكون</w:t>
      </w:r>
      <w:r w:rsidRPr="00904FCB">
        <w:rPr>
          <w:sz w:val="27"/>
          <w:rtl/>
        </w:rPr>
        <w:t xml:space="preserve"> </w:t>
      </w:r>
      <w:r w:rsidRPr="00904FCB">
        <w:rPr>
          <w:rFonts w:hint="cs"/>
          <w:sz w:val="27"/>
          <w:rtl/>
        </w:rPr>
        <w:t>لكلمة</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الله</w:t>
      </w:r>
      <w:r w:rsidRPr="00904FCB">
        <w:rPr>
          <w:rFonts w:hint="eastAsia"/>
          <w:sz w:val="27"/>
          <w:rtl/>
        </w:rPr>
        <w:t>»</w:t>
      </w:r>
      <w:r w:rsidRPr="00904FCB">
        <w:rPr>
          <w:sz w:val="27"/>
          <w:rtl/>
        </w:rPr>
        <w:t xml:space="preserve"> </w:t>
      </w:r>
      <w:r w:rsidRPr="00904FCB">
        <w:rPr>
          <w:rFonts w:hint="cs"/>
          <w:sz w:val="27"/>
          <w:rtl/>
        </w:rPr>
        <w:t>دلالات</w:t>
      </w:r>
      <w:r w:rsidR="00E764A7" w:rsidRPr="00904FCB">
        <w:rPr>
          <w:rFonts w:hint="cs"/>
          <w:sz w:val="27"/>
          <w:rtl/>
        </w:rPr>
        <w:t>ٌ</w:t>
      </w:r>
      <w:r w:rsidRPr="00904FCB">
        <w:rPr>
          <w:sz w:val="27"/>
          <w:rtl/>
        </w:rPr>
        <w:t xml:space="preserve"> </w:t>
      </w:r>
      <w:r w:rsidRPr="00904FCB">
        <w:rPr>
          <w:rFonts w:hint="cs"/>
          <w:sz w:val="27"/>
          <w:rtl/>
        </w:rPr>
        <w:t>ومعانٍ</w:t>
      </w:r>
      <w:r w:rsidRPr="00904FCB">
        <w:rPr>
          <w:sz w:val="27"/>
          <w:rtl/>
        </w:rPr>
        <w:t xml:space="preserve"> </w:t>
      </w:r>
      <w:r w:rsidRPr="00904FCB">
        <w:rPr>
          <w:rFonts w:hint="cs"/>
          <w:sz w:val="27"/>
          <w:rtl/>
        </w:rPr>
        <w:t>مختلفة</w:t>
      </w:r>
      <w:r w:rsidR="00E764A7" w:rsidRPr="00904FCB">
        <w:rPr>
          <w:rFonts w:hint="cs"/>
          <w:sz w:val="27"/>
          <w:rtl/>
        </w:rPr>
        <w:t>؛</w:t>
      </w:r>
      <w:r w:rsidRPr="00904FCB">
        <w:rPr>
          <w:rFonts w:hint="cs"/>
          <w:sz w:val="27"/>
          <w:rtl/>
        </w:rPr>
        <w:t xml:space="preserve"> بعضها</w:t>
      </w:r>
      <w:r w:rsidRPr="00904FCB">
        <w:rPr>
          <w:sz w:val="27"/>
          <w:rtl/>
        </w:rPr>
        <w:t xml:space="preserve"> </w:t>
      </w:r>
      <w:r w:rsidRPr="00904FCB">
        <w:rPr>
          <w:rFonts w:hint="cs"/>
          <w:sz w:val="27"/>
          <w:rtl/>
        </w:rPr>
        <w:t>صحيح</w:t>
      </w:r>
      <w:r w:rsidR="00E764A7" w:rsidRPr="00904FCB">
        <w:rPr>
          <w:rFonts w:hint="cs"/>
          <w:sz w:val="27"/>
          <w:rtl/>
        </w:rPr>
        <w:t>؛</w:t>
      </w:r>
      <w:r w:rsidRPr="00904FCB">
        <w:rPr>
          <w:sz w:val="27"/>
          <w:rtl/>
        </w:rPr>
        <w:t xml:space="preserve"> </w:t>
      </w:r>
      <w:r w:rsidRPr="00904FCB">
        <w:rPr>
          <w:rFonts w:hint="cs"/>
          <w:sz w:val="27"/>
          <w:rtl/>
        </w:rPr>
        <w:t>والبعض</w:t>
      </w:r>
      <w:r w:rsidRPr="00904FCB">
        <w:rPr>
          <w:sz w:val="27"/>
          <w:rtl/>
        </w:rPr>
        <w:t xml:space="preserve"> </w:t>
      </w:r>
      <w:r w:rsidRPr="00904FCB">
        <w:rPr>
          <w:rFonts w:hint="cs"/>
          <w:sz w:val="27"/>
          <w:rtl/>
        </w:rPr>
        <w:t>الآخر</w:t>
      </w:r>
      <w:r w:rsidRPr="00904FCB">
        <w:rPr>
          <w:sz w:val="27"/>
          <w:rtl/>
        </w:rPr>
        <w:t xml:space="preserve"> </w:t>
      </w:r>
      <w:r w:rsidRPr="00904FCB">
        <w:rPr>
          <w:rFonts w:hint="cs"/>
          <w:sz w:val="27"/>
          <w:rtl/>
        </w:rPr>
        <w:t>باطل</w:t>
      </w:r>
      <w:r w:rsidRPr="00904FCB">
        <w:rPr>
          <w:sz w:val="27"/>
          <w:rtl/>
        </w:rPr>
        <w:t xml:space="preserve">. </w:t>
      </w:r>
      <w:r w:rsidRPr="00904FCB">
        <w:rPr>
          <w:rFonts w:hint="cs"/>
          <w:sz w:val="27"/>
          <w:rtl/>
        </w:rPr>
        <w:t>ولكي</w:t>
      </w:r>
      <w:r w:rsidRPr="00904FCB">
        <w:rPr>
          <w:sz w:val="27"/>
          <w:rtl/>
        </w:rPr>
        <w:t xml:space="preserve"> </w:t>
      </w:r>
      <w:r w:rsidRPr="00904FCB">
        <w:rPr>
          <w:rFonts w:hint="cs"/>
          <w:sz w:val="27"/>
          <w:rtl/>
        </w:rPr>
        <w:t>نتمكّن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إيجاد</w:t>
      </w:r>
      <w:r w:rsidRPr="00904FCB">
        <w:rPr>
          <w:sz w:val="27"/>
          <w:rtl/>
        </w:rPr>
        <w:t xml:space="preserve"> </w:t>
      </w:r>
      <w:r w:rsidRPr="00904FCB">
        <w:rPr>
          <w:rFonts w:hint="cs"/>
          <w:sz w:val="27"/>
          <w:rtl/>
        </w:rPr>
        <w:t>المعنى</w:t>
      </w:r>
      <w:r w:rsidRPr="00904FCB">
        <w:rPr>
          <w:sz w:val="27"/>
          <w:rtl/>
        </w:rPr>
        <w:t xml:space="preserve"> </w:t>
      </w:r>
      <w:r w:rsidRPr="00904FCB">
        <w:rPr>
          <w:rFonts w:hint="cs"/>
          <w:sz w:val="27"/>
          <w:rtl/>
        </w:rPr>
        <w:t>الصحيح</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w:t>
      </w:r>
      <w:r w:rsidR="00E764A7" w:rsidRPr="00904FCB">
        <w:rPr>
          <w:rFonts w:hint="cs"/>
          <w:sz w:val="27"/>
          <w:rtl/>
        </w:rPr>
        <w:t>ُ</w:t>
      </w:r>
      <w:r w:rsidRPr="00904FCB">
        <w:rPr>
          <w:rFonts w:hint="cs"/>
          <w:sz w:val="27"/>
          <w:rtl/>
        </w:rPr>
        <w:t>دّ</w:t>
      </w:r>
      <w:r w:rsidR="00E764A7"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معرفة</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البنو</w:t>
      </w:r>
      <w:r w:rsidR="00E764A7" w:rsidRPr="00904FCB">
        <w:rPr>
          <w:rFonts w:hint="cs"/>
          <w:sz w:val="27"/>
          <w:rtl/>
        </w:rPr>
        <w:t>ّ</w:t>
      </w:r>
      <w:r w:rsidRPr="00904FCB">
        <w:rPr>
          <w:rFonts w:hint="cs"/>
          <w:sz w:val="27"/>
          <w:rtl/>
        </w:rPr>
        <w:t>ة</w:t>
      </w:r>
      <w:r w:rsidRPr="00904FCB">
        <w:rPr>
          <w:rFonts w:hint="eastAsia"/>
          <w:sz w:val="27"/>
          <w:rtl/>
        </w:rPr>
        <w:t>»</w:t>
      </w:r>
      <w:r w:rsidRPr="00904FCB">
        <w:rPr>
          <w:rFonts w:hint="cs"/>
          <w:sz w:val="27"/>
          <w:rtl/>
        </w:rPr>
        <w:t>؛ إذ</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الوصول</w:t>
      </w:r>
      <w:r w:rsidRPr="00904FCB">
        <w:rPr>
          <w:sz w:val="27"/>
          <w:rtl/>
        </w:rPr>
        <w:t xml:space="preserve"> </w:t>
      </w:r>
      <w:r w:rsidR="00E764A7" w:rsidRPr="00904FCB">
        <w:rPr>
          <w:rFonts w:hint="cs"/>
          <w:sz w:val="27"/>
          <w:rtl/>
        </w:rPr>
        <w:t>إلى ا</w:t>
      </w:r>
      <w:r w:rsidRPr="00904FCB">
        <w:rPr>
          <w:rFonts w:hint="cs"/>
          <w:sz w:val="27"/>
          <w:rtl/>
        </w:rPr>
        <w:t>لمعنى</w:t>
      </w:r>
      <w:r w:rsidRPr="00904FCB">
        <w:rPr>
          <w:sz w:val="27"/>
          <w:rtl/>
        </w:rPr>
        <w:t xml:space="preserve"> </w:t>
      </w:r>
      <w:r w:rsidRPr="00904FCB">
        <w:rPr>
          <w:rFonts w:hint="cs"/>
          <w:sz w:val="27"/>
          <w:rtl/>
        </w:rPr>
        <w:t>الصحيح</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دونها</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يقول</w:t>
      </w:r>
      <w:r w:rsidRPr="00904FCB">
        <w:rPr>
          <w:sz w:val="27"/>
          <w:rtl/>
        </w:rPr>
        <w:t xml:space="preserve"> </w:t>
      </w:r>
      <w:r w:rsidRPr="00904FCB">
        <w:rPr>
          <w:rFonts w:hint="cs"/>
          <w:sz w:val="27"/>
          <w:rtl/>
        </w:rPr>
        <w:t>العلاّمة</w:t>
      </w:r>
      <w:r w:rsidRPr="00904FCB">
        <w:rPr>
          <w:sz w:val="27"/>
          <w:rtl/>
        </w:rPr>
        <w:t xml:space="preserve"> </w:t>
      </w:r>
      <w:r w:rsidRPr="00904FCB">
        <w:rPr>
          <w:rFonts w:hint="cs"/>
          <w:sz w:val="27"/>
          <w:rtl/>
        </w:rPr>
        <w:t>الطباطبائي</w:t>
      </w:r>
      <w:r w:rsidR="00E764A7" w:rsidRPr="00904FCB">
        <w:rPr>
          <w:rFonts w:hint="cs"/>
          <w:sz w:val="27"/>
          <w:rtl/>
        </w:rPr>
        <w:t>،</w:t>
      </w:r>
      <w:r w:rsidRPr="00904FCB">
        <w:rPr>
          <w:rFonts w:hint="cs"/>
          <w:sz w:val="27"/>
          <w:rtl/>
        </w:rPr>
        <w:t xml:space="preserve"> صاحب تفسير الميزان</w:t>
      </w:r>
      <w:r w:rsidR="00E764A7"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بحثه</w:t>
      </w:r>
      <w:r w:rsidRPr="00904FCB">
        <w:rPr>
          <w:sz w:val="27"/>
          <w:rtl/>
        </w:rPr>
        <w:t xml:space="preserve"> </w:t>
      </w:r>
      <w:r w:rsidRPr="00904FCB">
        <w:rPr>
          <w:rFonts w:hint="cs"/>
          <w:sz w:val="27"/>
          <w:rtl/>
        </w:rPr>
        <w:t>حول</w:t>
      </w:r>
      <w:r w:rsidRPr="00904FCB">
        <w:rPr>
          <w:sz w:val="27"/>
          <w:rtl/>
        </w:rPr>
        <w:t xml:space="preserve"> </w:t>
      </w:r>
      <w:r w:rsidRPr="00904FCB">
        <w:rPr>
          <w:rFonts w:hint="cs"/>
          <w:sz w:val="27"/>
          <w:rtl/>
        </w:rPr>
        <w:t>اعتقاد</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ببنوّة</w:t>
      </w:r>
      <w:r w:rsidRPr="00904FCB">
        <w:rPr>
          <w:sz w:val="27"/>
          <w:rtl/>
        </w:rPr>
        <w:t xml:space="preserve"> </w:t>
      </w:r>
      <w:r w:rsidRPr="00904FCB">
        <w:rPr>
          <w:rFonts w:hint="cs"/>
          <w:sz w:val="27"/>
          <w:rtl/>
        </w:rPr>
        <w:t>عزير</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ملخّ</w:t>
      </w:r>
      <w:r w:rsidR="00E764A7" w:rsidRPr="00904FCB">
        <w:rPr>
          <w:rFonts w:hint="cs"/>
          <w:sz w:val="27"/>
          <w:rtl/>
        </w:rPr>
        <w:t>َ</w:t>
      </w:r>
      <w:r w:rsidRPr="00904FCB">
        <w:rPr>
          <w:rFonts w:hint="cs"/>
          <w:sz w:val="27"/>
          <w:rtl/>
        </w:rPr>
        <w:t>صه</w:t>
      </w:r>
      <w:r w:rsidR="00E764A7" w:rsidRPr="00904FCB">
        <w:rPr>
          <w:sz w:val="27"/>
          <w:rtl/>
        </w:rPr>
        <w:t xml:space="preserve">: </w:t>
      </w:r>
      <w:r w:rsidRPr="00904FCB">
        <w:rPr>
          <w:rFonts w:hint="cs"/>
          <w:sz w:val="27"/>
          <w:rtl/>
        </w:rPr>
        <w:t>لم</w:t>
      </w:r>
      <w:r w:rsidR="00E764A7" w:rsidRPr="00904FCB">
        <w:rPr>
          <w:rFonts w:hint="cs"/>
          <w:sz w:val="27"/>
          <w:rtl/>
        </w:rPr>
        <w:t>ّ</w:t>
      </w:r>
      <w:r w:rsidRPr="00904FCB">
        <w:rPr>
          <w:rFonts w:hint="cs"/>
          <w:sz w:val="27"/>
          <w:rtl/>
        </w:rPr>
        <w:t>ا</w:t>
      </w:r>
      <w:r w:rsidRPr="00904FCB">
        <w:rPr>
          <w:sz w:val="27"/>
          <w:rtl/>
        </w:rPr>
        <w:t xml:space="preserve"> </w:t>
      </w:r>
      <w:r w:rsidRPr="00904FCB">
        <w:rPr>
          <w:rFonts w:hint="cs"/>
          <w:sz w:val="27"/>
          <w:rtl/>
        </w:rPr>
        <w:t>شاهد</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عزيراً</w:t>
      </w:r>
      <w:r w:rsidRPr="00904FCB">
        <w:rPr>
          <w:sz w:val="27"/>
          <w:rtl/>
        </w:rPr>
        <w:t xml:space="preserve"> </w:t>
      </w:r>
      <w:r w:rsidRPr="00904FCB">
        <w:rPr>
          <w:rFonts w:hint="cs"/>
          <w:sz w:val="27"/>
          <w:rtl/>
        </w:rPr>
        <w:t>وقّروه</w:t>
      </w:r>
      <w:r w:rsidRPr="00904FCB">
        <w:rPr>
          <w:sz w:val="27"/>
          <w:rtl/>
        </w:rPr>
        <w:t xml:space="preserve"> </w:t>
      </w:r>
      <w:r w:rsidRPr="00904FCB">
        <w:rPr>
          <w:rFonts w:hint="cs"/>
          <w:sz w:val="27"/>
          <w:rtl/>
        </w:rPr>
        <w:t>وعظّموه</w:t>
      </w:r>
      <w:r w:rsidRPr="00904FCB">
        <w:rPr>
          <w:sz w:val="27"/>
          <w:rtl/>
        </w:rPr>
        <w:t xml:space="preserve"> </w:t>
      </w:r>
      <w:r w:rsidRPr="00904FCB">
        <w:rPr>
          <w:rFonts w:hint="cs"/>
          <w:sz w:val="27"/>
          <w:rtl/>
        </w:rPr>
        <w:t>تعظيماً</w:t>
      </w:r>
      <w:r w:rsidR="00E764A7" w:rsidRPr="00904FCB">
        <w:rPr>
          <w:rFonts w:hint="cs"/>
          <w:sz w:val="27"/>
          <w:rtl/>
        </w:rPr>
        <w:t>،</w:t>
      </w:r>
      <w:r w:rsidRPr="00904FCB">
        <w:rPr>
          <w:sz w:val="27"/>
          <w:rtl/>
        </w:rPr>
        <w:t xml:space="preserve"> </w:t>
      </w:r>
      <w:r w:rsidRPr="00904FCB">
        <w:rPr>
          <w:rFonts w:hint="cs"/>
          <w:sz w:val="27"/>
          <w:rtl/>
        </w:rPr>
        <w:t>ووضعوا</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اسم</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الله</w:t>
      </w:r>
      <w:r w:rsidR="00E764A7"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ندر</w:t>
      </w:r>
      <w:r w:rsidR="00E764A7" w:rsidRPr="00904FCB">
        <w:rPr>
          <w:rFonts w:hint="cs"/>
          <w:sz w:val="27"/>
          <w:rtl/>
        </w:rPr>
        <w:t>ي</w:t>
      </w:r>
      <w:r w:rsidRPr="00904FCB">
        <w:rPr>
          <w:sz w:val="27"/>
          <w:rtl/>
        </w:rPr>
        <w:t xml:space="preserve"> </w:t>
      </w:r>
      <w:r w:rsidRPr="00904FCB">
        <w:rPr>
          <w:rFonts w:hint="cs"/>
          <w:sz w:val="27"/>
          <w:rtl/>
        </w:rPr>
        <w:t>هل‏</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مقصودهم</w:t>
      </w:r>
      <w:r w:rsidRPr="00904FCB">
        <w:rPr>
          <w:sz w:val="27"/>
          <w:rtl/>
        </w:rPr>
        <w:t xml:space="preserve"> </w:t>
      </w:r>
      <w:r w:rsidRPr="00904FCB">
        <w:rPr>
          <w:rFonts w:hint="cs"/>
          <w:sz w:val="27"/>
          <w:rtl/>
        </w:rPr>
        <w:t>بالبنوّة</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البنوّة</w:t>
      </w:r>
      <w:r w:rsidRPr="00904FCB">
        <w:rPr>
          <w:sz w:val="27"/>
          <w:rtl/>
        </w:rPr>
        <w:t xml:space="preserve"> </w:t>
      </w:r>
      <w:r w:rsidRPr="00904FCB">
        <w:rPr>
          <w:rFonts w:hint="cs"/>
          <w:sz w:val="27"/>
          <w:rtl/>
        </w:rPr>
        <w:t>الحقيقيّة</w:t>
      </w:r>
      <w:r w:rsidRPr="00904FCB">
        <w:rPr>
          <w:sz w:val="27"/>
          <w:rtl/>
        </w:rPr>
        <w:t xml:space="preserve"> </w:t>
      </w:r>
      <w:r w:rsidRPr="00904FCB">
        <w:rPr>
          <w:rFonts w:hint="cs"/>
          <w:sz w:val="27"/>
          <w:rtl/>
        </w:rPr>
        <w:t>لله</w:t>
      </w:r>
      <w:r w:rsidR="00E764A7" w:rsidRPr="00904FCB">
        <w:rPr>
          <w:rFonts w:hint="cs"/>
          <w:sz w:val="27"/>
          <w:rtl/>
        </w:rPr>
        <w:t>،</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يعتقدون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جوهر</w:t>
      </w:r>
      <w:r w:rsidRPr="00904FCB">
        <w:rPr>
          <w:sz w:val="27"/>
          <w:rtl/>
        </w:rPr>
        <w:t xml:space="preserve"> </w:t>
      </w:r>
      <w:r w:rsidRPr="00904FCB">
        <w:rPr>
          <w:rFonts w:hint="cs"/>
          <w:sz w:val="27"/>
          <w:rtl/>
        </w:rPr>
        <w:t>الألوهيّة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المسيح، أم</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التسمية</w:t>
      </w:r>
      <w:r w:rsidRPr="00904FCB">
        <w:rPr>
          <w:sz w:val="27"/>
          <w:rtl/>
        </w:rPr>
        <w:t xml:space="preserve"> </w:t>
      </w:r>
      <w:r w:rsidRPr="00904FCB">
        <w:rPr>
          <w:rFonts w:hint="cs"/>
          <w:sz w:val="27"/>
          <w:rtl/>
        </w:rPr>
        <w:t>صرف</w:t>
      </w:r>
      <w:r w:rsidRPr="00904FCB">
        <w:rPr>
          <w:sz w:val="27"/>
          <w:rtl/>
        </w:rPr>
        <w:t xml:space="preserve"> </w:t>
      </w:r>
      <w:r w:rsidRPr="00904FCB">
        <w:rPr>
          <w:rFonts w:hint="cs"/>
          <w:sz w:val="27"/>
          <w:rtl/>
        </w:rPr>
        <w:t>التشريف</w:t>
      </w:r>
      <w:r w:rsidRPr="00904FCB">
        <w:rPr>
          <w:sz w:val="27"/>
          <w:rtl/>
        </w:rPr>
        <w:t xml:space="preserve"> </w:t>
      </w:r>
      <w:r w:rsidRPr="00904FCB">
        <w:rPr>
          <w:rFonts w:hint="cs"/>
          <w:sz w:val="27"/>
          <w:rtl/>
        </w:rPr>
        <w:t>والاحترام</w:t>
      </w:r>
      <w:r w:rsidR="00E764A7" w:rsidRPr="00904FCB">
        <w:rPr>
          <w:rFonts w:hint="cs"/>
          <w:sz w:val="27"/>
          <w:rtl/>
        </w:rPr>
        <w:t>،</w:t>
      </w:r>
      <w:r w:rsidRPr="00904FCB">
        <w:rPr>
          <w:rFonts w:hint="cs"/>
          <w:sz w:val="27"/>
          <w:rtl/>
        </w:rPr>
        <w:t xml:space="preserve"> أم</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اعتقاد</w:t>
      </w:r>
      <w:r w:rsidRPr="00904FCB">
        <w:rPr>
          <w:sz w:val="27"/>
          <w:rtl/>
        </w:rPr>
        <w:t xml:space="preserve"> </w:t>
      </w:r>
      <w:r w:rsidRPr="00904FCB">
        <w:rPr>
          <w:rFonts w:hint="cs"/>
          <w:sz w:val="27"/>
          <w:rtl/>
        </w:rPr>
        <w:t>للبنوّة</w:t>
      </w:r>
      <w:r w:rsidR="00E764A7" w:rsidRPr="00904FCB">
        <w:rPr>
          <w:rFonts w:hint="cs"/>
          <w:sz w:val="27"/>
          <w:rtl/>
        </w:rPr>
        <w:t>،</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يعتقدون</w:t>
      </w:r>
      <w:r w:rsidRPr="00904FCB">
        <w:rPr>
          <w:sz w:val="27"/>
          <w:rtl/>
        </w:rPr>
        <w:t xml:space="preserve"> </w:t>
      </w:r>
      <w:r w:rsidRPr="00904FCB">
        <w:rPr>
          <w:rFonts w:hint="cs"/>
          <w:sz w:val="27"/>
          <w:rtl/>
        </w:rPr>
        <w:t>لأنفسهم</w:t>
      </w:r>
      <w:r w:rsidRPr="00904FCB">
        <w:rPr>
          <w:sz w:val="27"/>
          <w:rtl/>
        </w:rPr>
        <w:t xml:space="preserve"> </w:t>
      </w:r>
      <w:r w:rsidRPr="00904FCB">
        <w:rPr>
          <w:rFonts w:hint="cs"/>
          <w:sz w:val="27"/>
          <w:rtl/>
        </w:rPr>
        <w:t>ذلك؟ فظاهر</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يؤيّ</w:t>
      </w:r>
      <w:r w:rsidR="00E764A7" w:rsidRPr="00904FCB">
        <w:rPr>
          <w:rFonts w:hint="cs"/>
          <w:sz w:val="27"/>
          <w:rtl/>
        </w:rPr>
        <w:t>ِ</w:t>
      </w:r>
      <w:r w:rsidRPr="00904FCB">
        <w:rPr>
          <w:rFonts w:hint="cs"/>
          <w:sz w:val="27"/>
          <w:rtl/>
        </w:rPr>
        <w:t>د</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الاتّجاه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المسألة</w:t>
      </w:r>
      <w:r w:rsidR="00E764A7" w:rsidRPr="00904FCB">
        <w:rPr>
          <w:rFonts w:hint="cs"/>
          <w:sz w:val="27"/>
          <w:rtl/>
        </w:rPr>
        <w:t>،</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التسمية</w:t>
      </w:r>
      <w:r w:rsidRPr="00904FCB">
        <w:rPr>
          <w:sz w:val="27"/>
          <w:rtl/>
        </w:rPr>
        <w:t xml:space="preserve"> </w:t>
      </w:r>
      <w:r w:rsidRPr="00904FCB">
        <w:rPr>
          <w:rFonts w:hint="cs"/>
          <w:sz w:val="27"/>
          <w:rtl/>
        </w:rPr>
        <w:t>صرف</w:t>
      </w:r>
      <w:r w:rsidRPr="00904FCB">
        <w:rPr>
          <w:sz w:val="27"/>
          <w:rtl/>
        </w:rPr>
        <w:t xml:space="preserve"> </w:t>
      </w:r>
      <w:r w:rsidRPr="00904FCB">
        <w:rPr>
          <w:rFonts w:hint="cs"/>
          <w:sz w:val="27"/>
          <w:rtl/>
        </w:rPr>
        <w:t>التشريف</w:t>
      </w:r>
      <w:r w:rsidRPr="00904FCB">
        <w:rPr>
          <w:sz w:val="27"/>
          <w:rtl/>
        </w:rPr>
        <w:t xml:space="preserve"> </w:t>
      </w:r>
      <w:r w:rsidRPr="00904FCB">
        <w:rPr>
          <w:rFonts w:hint="cs"/>
          <w:sz w:val="27"/>
          <w:rtl/>
        </w:rPr>
        <w:t>والاحترام</w:t>
      </w:r>
      <w:r w:rsidRPr="00904FCB">
        <w:rPr>
          <w:rFonts w:hint="cs"/>
          <w:sz w:val="27"/>
          <w:vertAlign w:val="superscript"/>
          <w:rtl/>
        </w:rPr>
        <w:t>(</w:t>
      </w:r>
      <w:r w:rsidRPr="00904FCB">
        <w:rPr>
          <w:rStyle w:val="ac"/>
          <w:sz w:val="27"/>
          <w:rtl/>
        </w:rPr>
        <w:endnoteReference w:id="657"/>
      </w:r>
      <w:r w:rsidRPr="00904FCB">
        <w:rPr>
          <w:rFonts w:hint="cs"/>
          <w:sz w:val="27"/>
          <w:vertAlign w:val="superscript"/>
          <w:rtl/>
        </w:rPr>
        <w:t>)</w:t>
      </w:r>
      <w:r w:rsidRPr="00904FCB">
        <w:rPr>
          <w:rFonts w:hint="cs"/>
          <w:sz w:val="27"/>
          <w:rtl/>
        </w:rPr>
        <w:t xml:space="preserve">. </w:t>
      </w:r>
    </w:p>
    <w:p w:rsidR="00F34FB9" w:rsidRPr="00904FCB" w:rsidRDefault="00F34FB9" w:rsidP="00355AEE">
      <w:pPr>
        <w:spacing w:line="410" w:lineRule="exact"/>
        <w:ind w:firstLine="561"/>
        <w:rPr>
          <w:sz w:val="27"/>
          <w:rtl/>
        </w:rPr>
      </w:pPr>
      <w:r w:rsidRPr="00904FCB">
        <w:rPr>
          <w:rFonts w:hint="cs"/>
          <w:sz w:val="27"/>
          <w:rtl/>
        </w:rPr>
        <w:lastRenderedPageBreak/>
        <w:t>ومع</w:t>
      </w:r>
      <w:r w:rsidRPr="00904FCB">
        <w:rPr>
          <w:sz w:val="27"/>
          <w:rtl/>
        </w:rPr>
        <w:t xml:space="preserve"> </w:t>
      </w:r>
      <w:r w:rsidRPr="00904FCB">
        <w:rPr>
          <w:rFonts w:hint="cs"/>
          <w:sz w:val="27"/>
          <w:rtl/>
        </w:rPr>
        <w:t>هذا فإنّ</w:t>
      </w:r>
      <w:r w:rsidRPr="00904FCB">
        <w:rPr>
          <w:sz w:val="27"/>
          <w:rtl/>
        </w:rPr>
        <w:t xml:space="preserve"> </w:t>
      </w:r>
      <w:r w:rsidRPr="00904FCB">
        <w:rPr>
          <w:rFonts w:hint="cs"/>
          <w:sz w:val="27"/>
          <w:rtl/>
        </w:rPr>
        <w:t>العلاّمة</w:t>
      </w:r>
      <w:r w:rsidRPr="00904FCB">
        <w:rPr>
          <w:sz w:val="27"/>
          <w:rtl/>
        </w:rPr>
        <w:t xml:space="preserve"> </w:t>
      </w:r>
      <w:r w:rsidRPr="00904FCB">
        <w:rPr>
          <w:rFonts w:hint="cs"/>
          <w:sz w:val="27"/>
          <w:rtl/>
        </w:rPr>
        <w:t>الطباطبائي‏</w:t>
      </w:r>
      <w:r w:rsidRPr="00904FCB">
        <w:rPr>
          <w:sz w:val="27"/>
          <w:rtl/>
        </w:rPr>
        <w:t xml:space="preserve"> </w:t>
      </w:r>
      <w:r w:rsidRPr="00904FCB">
        <w:rPr>
          <w:rFonts w:hint="cs"/>
          <w:sz w:val="27"/>
          <w:rtl/>
        </w:rPr>
        <w:t>يرى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اعتقا</w:t>
      </w:r>
      <w:r w:rsidR="00EC7400">
        <w:rPr>
          <w:rFonts w:hint="cs"/>
          <w:sz w:val="27"/>
          <w:rtl/>
        </w:rPr>
        <w:t>د</w:t>
      </w:r>
      <w:r w:rsidRPr="00904FCB">
        <w:rPr>
          <w:rFonts w:hint="cs"/>
          <w:sz w:val="27"/>
          <w:rtl/>
        </w:rPr>
        <w:t>هم</w:t>
      </w:r>
      <w:r w:rsidRPr="00904FCB">
        <w:rPr>
          <w:sz w:val="27"/>
          <w:rtl/>
        </w:rPr>
        <w:t xml:space="preserve"> </w:t>
      </w:r>
      <w:r w:rsidRPr="00904FCB">
        <w:rPr>
          <w:rFonts w:hint="cs"/>
          <w:sz w:val="27"/>
          <w:rtl/>
        </w:rPr>
        <w:t>البنوّة</w:t>
      </w:r>
      <w:r w:rsidRPr="00904FCB">
        <w:rPr>
          <w:sz w:val="27"/>
          <w:rtl/>
        </w:rPr>
        <w:t xml:space="preserve"> </w:t>
      </w:r>
      <w:r w:rsidRPr="00904FCB">
        <w:rPr>
          <w:rFonts w:hint="cs"/>
          <w:sz w:val="27"/>
          <w:rtl/>
        </w:rPr>
        <w:t>للمسيح</w:t>
      </w:r>
      <w:r w:rsidRPr="00904FCB">
        <w:rPr>
          <w:sz w:val="27"/>
          <w:rtl/>
        </w:rPr>
        <w:t xml:space="preserve"> </w:t>
      </w:r>
      <w:r w:rsidRPr="00904FCB">
        <w:rPr>
          <w:rFonts w:hint="cs"/>
          <w:sz w:val="27"/>
          <w:rtl/>
        </w:rPr>
        <w:t>حقيقيّة</w:t>
      </w:r>
      <w:r w:rsidRPr="00904FCB">
        <w:rPr>
          <w:sz w:val="27"/>
          <w:rtl/>
        </w:rPr>
        <w:t xml:space="preserve">. </w:t>
      </w:r>
      <w:r w:rsidRPr="00904FCB">
        <w:rPr>
          <w:rFonts w:hint="cs"/>
          <w:sz w:val="27"/>
          <w:rtl/>
        </w:rPr>
        <w:t>ويخالفه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الفخر</w:t>
      </w:r>
      <w:r w:rsidRPr="00904FCB">
        <w:rPr>
          <w:sz w:val="27"/>
          <w:rtl/>
        </w:rPr>
        <w:t xml:space="preserve"> </w:t>
      </w:r>
      <w:r w:rsidRPr="00904FCB">
        <w:rPr>
          <w:rFonts w:hint="cs"/>
          <w:sz w:val="27"/>
          <w:rtl/>
        </w:rPr>
        <w:t>الرازي</w:t>
      </w:r>
      <w:r w:rsidR="00E764A7" w:rsidRPr="00904FCB">
        <w:rPr>
          <w:rFonts w:hint="cs"/>
          <w:sz w:val="27"/>
          <w:rtl/>
        </w:rPr>
        <w:t>،</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يعتقد</w:t>
      </w:r>
      <w:r w:rsidRPr="00904FCB">
        <w:rPr>
          <w:sz w:val="27"/>
          <w:rtl/>
        </w:rPr>
        <w:t xml:space="preserve"> </w:t>
      </w:r>
      <w:r w:rsidRPr="00904FCB">
        <w:rPr>
          <w:rFonts w:hint="cs"/>
          <w:sz w:val="27"/>
          <w:rtl/>
        </w:rPr>
        <w:t xml:space="preserve">بأنّ </w:t>
      </w:r>
      <w:r w:rsidRPr="00904FCB">
        <w:rPr>
          <w:rFonts w:hint="eastAsia"/>
          <w:sz w:val="27"/>
          <w:rtl/>
        </w:rPr>
        <w:t>«</w:t>
      </w:r>
      <w:r w:rsidRPr="00904FCB">
        <w:rPr>
          <w:rFonts w:hint="cs"/>
          <w:sz w:val="27"/>
          <w:rtl/>
        </w:rPr>
        <w:t>لفظ</w:t>
      </w:r>
      <w:r w:rsidRPr="00904FCB">
        <w:rPr>
          <w:sz w:val="27"/>
          <w:rtl/>
        </w:rPr>
        <w:t xml:space="preserve"> </w:t>
      </w:r>
      <w:r w:rsidRPr="00904FCB">
        <w:rPr>
          <w:rFonts w:hint="cs"/>
          <w:sz w:val="27"/>
          <w:rtl/>
        </w:rPr>
        <w:t>الابن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الإنجيل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سبيل</w:t>
      </w:r>
      <w:r w:rsidRPr="00904FCB">
        <w:rPr>
          <w:sz w:val="27"/>
          <w:rtl/>
        </w:rPr>
        <w:t xml:space="preserve"> </w:t>
      </w:r>
      <w:r w:rsidRPr="00904FCB">
        <w:rPr>
          <w:rFonts w:hint="cs"/>
          <w:sz w:val="27"/>
          <w:rtl/>
        </w:rPr>
        <w:t>التشريف، كما</w:t>
      </w:r>
      <w:r w:rsidRPr="00904FCB">
        <w:rPr>
          <w:sz w:val="27"/>
          <w:rtl/>
        </w:rPr>
        <w:t xml:space="preserve"> </w:t>
      </w:r>
      <w:r w:rsidRPr="00904FCB">
        <w:rPr>
          <w:rFonts w:hint="cs"/>
          <w:sz w:val="27"/>
          <w:rtl/>
        </w:rPr>
        <w:t>ورد</w:t>
      </w:r>
      <w:r w:rsidRPr="00904FCB">
        <w:rPr>
          <w:sz w:val="27"/>
          <w:rtl/>
        </w:rPr>
        <w:t xml:space="preserve"> </w:t>
      </w:r>
      <w:r w:rsidRPr="00904FCB">
        <w:rPr>
          <w:rFonts w:hint="cs"/>
          <w:sz w:val="27"/>
          <w:rtl/>
        </w:rPr>
        <w:t>لفظ</w:t>
      </w:r>
      <w:r w:rsidRPr="00904FCB">
        <w:rPr>
          <w:sz w:val="27"/>
          <w:rtl/>
        </w:rPr>
        <w:t xml:space="preserve"> </w:t>
      </w:r>
      <w:r w:rsidRPr="00904FCB">
        <w:rPr>
          <w:rFonts w:hint="cs"/>
          <w:sz w:val="27"/>
          <w:rtl/>
        </w:rPr>
        <w:t>الخليل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حقّ</w:t>
      </w:r>
      <w:r w:rsidRPr="00904FCB">
        <w:rPr>
          <w:sz w:val="27"/>
          <w:rtl/>
        </w:rPr>
        <w:t xml:space="preserve"> </w:t>
      </w:r>
      <w:r w:rsidRPr="00904FCB">
        <w:rPr>
          <w:rFonts w:hint="cs"/>
          <w:sz w:val="27"/>
          <w:rtl/>
        </w:rPr>
        <w:t>إبراهيم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سبيل</w:t>
      </w:r>
      <w:r w:rsidRPr="00904FCB">
        <w:rPr>
          <w:sz w:val="27"/>
          <w:rtl/>
        </w:rPr>
        <w:t xml:space="preserve"> </w:t>
      </w:r>
      <w:r w:rsidRPr="00904FCB">
        <w:rPr>
          <w:rFonts w:hint="cs"/>
          <w:sz w:val="27"/>
          <w:rtl/>
        </w:rPr>
        <w:t>التشريف</w:t>
      </w:r>
      <w:r w:rsidRPr="00904FCB">
        <w:rPr>
          <w:rFonts w:hint="eastAsia"/>
          <w:sz w:val="27"/>
          <w:rtl/>
        </w:rPr>
        <w:t>»</w:t>
      </w:r>
      <w:r w:rsidRPr="00904FCB">
        <w:rPr>
          <w:rFonts w:hint="cs"/>
          <w:sz w:val="27"/>
          <w:vertAlign w:val="superscript"/>
          <w:rtl/>
        </w:rPr>
        <w:t>(</w:t>
      </w:r>
      <w:r w:rsidRPr="00904FCB">
        <w:rPr>
          <w:rStyle w:val="ac"/>
          <w:sz w:val="27"/>
          <w:rtl/>
        </w:rPr>
        <w:endnoteReference w:id="658"/>
      </w:r>
      <w:r w:rsidRPr="00904FCB">
        <w:rPr>
          <w:rFonts w:hint="cs"/>
          <w:sz w:val="27"/>
          <w:vertAlign w:val="superscript"/>
          <w:rtl/>
        </w:rPr>
        <w:t>)</w:t>
      </w:r>
      <w:r w:rsidRPr="00904FCB">
        <w:rPr>
          <w:rFonts w:hint="cs"/>
          <w:sz w:val="27"/>
          <w:rtl/>
        </w:rPr>
        <w:t xml:space="preserve">. </w:t>
      </w:r>
    </w:p>
    <w:p w:rsidR="00F34FB9" w:rsidRPr="00904FCB" w:rsidRDefault="00F34FB9" w:rsidP="00EC7400">
      <w:pPr>
        <w:spacing w:line="420" w:lineRule="exact"/>
        <w:ind w:firstLine="561"/>
        <w:rPr>
          <w:sz w:val="27"/>
          <w:rtl/>
        </w:rPr>
      </w:pPr>
      <w:r w:rsidRPr="00904FCB">
        <w:rPr>
          <w:rFonts w:hint="cs"/>
          <w:b/>
          <w:bCs/>
          <w:sz w:val="27"/>
          <w:rtl/>
        </w:rPr>
        <w:t>الثاني</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واستدلّ</w:t>
      </w:r>
      <w:r w:rsidRPr="00904FCB">
        <w:rPr>
          <w:sz w:val="27"/>
          <w:rtl/>
        </w:rPr>
        <w:t xml:space="preserve"> </w:t>
      </w:r>
      <w:r w:rsidRPr="00904FCB">
        <w:rPr>
          <w:rFonts w:hint="cs"/>
          <w:sz w:val="27"/>
          <w:rtl/>
        </w:rPr>
        <w:t>صاحب</w:t>
      </w:r>
      <w:r w:rsidRPr="00904FCB">
        <w:rPr>
          <w:sz w:val="27"/>
          <w:rtl/>
        </w:rPr>
        <w:t xml:space="preserve"> </w:t>
      </w:r>
      <w:r w:rsidRPr="00904FCB">
        <w:rPr>
          <w:rFonts w:hint="cs"/>
          <w:sz w:val="27"/>
          <w:rtl/>
        </w:rPr>
        <w:t>الجواهر</w:t>
      </w:r>
      <w:r w:rsidRPr="00904FCB">
        <w:rPr>
          <w:sz w:val="27"/>
          <w:rtl/>
        </w:rPr>
        <w:t xml:space="preserve"> </w:t>
      </w:r>
      <w:r w:rsidRPr="00904FCB">
        <w:rPr>
          <w:rFonts w:hint="cs"/>
          <w:sz w:val="27"/>
          <w:rtl/>
        </w:rPr>
        <w:t>والحدائق</w:t>
      </w:r>
      <w:r w:rsidRPr="00904FCB">
        <w:rPr>
          <w:sz w:val="27"/>
          <w:rtl/>
        </w:rPr>
        <w:t xml:space="preserve"> </w:t>
      </w:r>
      <w:r w:rsidRPr="00904FCB">
        <w:rPr>
          <w:rFonts w:hint="cs"/>
          <w:sz w:val="27"/>
          <w:rtl/>
        </w:rPr>
        <w:t>والشيخ</w:t>
      </w:r>
      <w:r w:rsidRPr="00904FCB">
        <w:rPr>
          <w:sz w:val="27"/>
          <w:rtl/>
        </w:rPr>
        <w:t xml:space="preserve"> </w:t>
      </w:r>
      <w:r w:rsidRPr="00904FCB">
        <w:rPr>
          <w:rFonts w:hint="cs"/>
          <w:sz w:val="27"/>
          <w:rtl/>
        </w:rPr>
        <w:t>الأنصاري</w:t>
      </w:r>
      <w:r w:rsidRPr="00904FCB">
        <w:rPr>
          <w:sz w:val="27"/>
          <w:rtl/>
        </w:rPr>
        <w:t xml:space="preserve"> </w:t>
      </w:r>
      <w:r w:rsidRPr="00904FCB">
        <w:rPr>
          <w:rFonts w:hint="cs"/>
          <w:sz w:val="27"/>
          <w:rtl/>
        </w:rPr>
        <w:t>وآخرون</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شرك</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بقوله</w:t>
      </w:r>
      <w:r w:rsidRPr="00904FCB">
        <w:rPr>
          <w:sz w:val="27"/>
          <w:rtl/>
        </w:rPr>
        <w:t xml:space="preserve"> </w:t>
      </w:r>
      <w:r w:rsidRPr="00904FCB">
        <w:rPr>
          <w:rFonts w:hint="cs"/>
          <w:sz w:val="27"/>
          <w:rtl/>
        </w:rPr>
        <w:t>تعالى</w:t>
      </w:r>
      <w:r w:rsidRPr="00904FCB">
        <w:rPr>
          <w:sz w:val="27"/>
          <w:rtl/>
        </w:rPr>
        <w:t>:</w:t>
      </w:r>
      <w:r w:rsidRPr="00904FCB">
        <w:rPr>
          <w:rFonts w:hint="cs"/>
          <w:sz w:val="27"/>
          <w:rtl/>
        </w:rPr>
        <w:t xml:space="preserve"> </w:t>
      </w:r>
      <w:r w:rsidRPr="00904FCB">
        <w:rPr>
          <w:rFonts w:ascii="Mosawi" w:hAnsi="Mosawi" w:cs="Mosawi"/>
          <w:sz w:val="24"/>
          <w:szCs w:val="24"/>
          <w:rtl/>
        </w:rPr>
        <w:t>﴿</w:t>
      </w:r>
      <w:r w:rsidRPr="00904FCB">
        <w:rPr>
          <w:rFonts w:hint="cs"/>
          <w:b/>
          <w:bCs/>
          <w:sz w:val="27"/>
          <w:rtl/>
        </w:rPr>
        <w:t>اتَّخَذُوا</w:t>
      </w:r>
      <w:r w:rsidRPr="00904FCB">
        <w:rPr>
          <w:b/>
          <w:bCs/>
          <w:sz w:val="27"/>
          <w:rtl/>
        </w:rPr>
        <w:t xml:space="preserve"> </w:t>
      </w:r>
      <w:r w:rsidRPr="00904FCB">
        <w:rPr>
          <w:rFonts w:hint="cs"/>
          <w:b/>
          <w:bCs/>
          <w:sz w:val="27"/>
          <w:rtl/>
        </w:rPr>
        <w:t>أَحْب</w:t>
      </w:r>
      <w:r w:rsidR="00B54A18" w:rsidRPr="00904FCB">
        <w:rPr>
          <w:rFonts w:hint="cs"/>
          <w:b/>
          <w:bCs/>
          <w:sz w:val="27"/>
          <w:rtl/>
        </w:rPr>
        <w:t>َ</w:t>
      </w:r>
      <w:r w:rsidRPr="00904FCB">
        <w:rPr>
          <w:rFonts w:hint="cs"/>
          <w:b/>
          <w:bCs/>
          <w:sz w:val="27"/>
          <w:rtl/>
        </w:rPr>
        <w:t>ارَهُمْ</w:t>
      </w:r>
      <w:r w:rsidRPr="00904FCB">
        <w:rPr>
          <w:b/>
          <w:bCs/>
          <w:sz w:val="27"/>
          <w:rtl/>
        </w:rPr>
        <w:t xml:space="preserve"> و</w:t>
      </w:r>
      <w:r w:rsidR="00B54A18" w:rsidRPr="00904FCB">
        <w:rPr>
          <w:rFonts w:hint="cs"/>
          <w:b/>
          <w:bCs/>
          <w:sz w:val="27"/>
          <w:rtl/>
        </w:rPr>
        <w:t>َ</w:t>
      </w:r>
      <w:r w:rsidRPr="00904FCB">
        <w:rPr>
          <w:rFonts w:hint="cs"/>
          <w:b/>
          <w:bCs/>
          <w:sz w:val="27"/>
          <w:rtl/>
        </w:rPr>
        <w:t>رُهْب</w:t>
      </w:r>
      <w:r w:rsidR="00B54A18" w:rsidRPr="00904FCB">
        <w:rPr>
          <w:rFonts w:hint="cs"/>
          <w:b/>
          <w:bCs/>
          <w:sz w:val="27"/>
          <w:rtl/>
        </w:rPr>
        <w:t>َ</w:t>
      </w:r>
      <w:r w:rsidRPr="00904FCB">
        <w:rPr>
          <w:rFonts w:hint="cs"/>
          <w:b/>
          <w:bCs/>
          <w:sz w:val="27"/>
          <w:rtl/>
        </w:rPr>
        <w:t>انَهُمْ</w:t>
      </w:r>
      <w:r w:rsidRPr="00904FCB">
        <w:rPr>
          <w:b/>
          <w:bCs/>
          <w:sz w:val="27"/>
          <w:rtl/>
        </w:rPr>
        <w:t xml:space="preserve"> </w:t>
      </w:r>
      <w:r w:rsidRPr="00904FCB">
        <w:rPr>
          <w:rFonts w:hint="cs"/>
          <w:b/>
          <w:bCs/>
          <w:sz w:val="27"/>
          <w:rtl/>
        </w:rPr>
        <w:t>أَرْب</w:t>
      </w:r>
      <w:r w:rsidR="00B54A18" w:rsidRPr="00904FCB">
        <w:rPr>
          <w:rFonts w:hint="cs"/>
          <w:b/>
          <w:bCs/>
          <w:sz w:val="27"/>
          <w:rtl/>
        </w:rPr>
        <w:t>َ</w:t>
      </w:r>
      <w:r w:rsidRPr="00904FCB">
        <w:rPr>
          <w:rFonts w:hint="cs"/>
          <w:b/>
          <w:bCs/>
          <w:sz w:val="27"/>
          <w:rtl/>
        </w:rPr>
        <w:t>اب</w:t>
      </w:r>
      <w:r w:rsidR="00B54A18"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مِنْ</w:t>
      </w:r>
      <w:r w:rsidRPr="00904FCB">
        <w:rPr>
          <w:b/>
          <w:bCs/>
          <w:sz w:val="27"/>
          <w:rtl/>
        </w:rPr>
        <w:t xml:space="preserve"> </w:t>
      </w:r>
      <w:r w:rsidRPr="00904FCB">
        <w:rPr>
          <w:rFonts w:hint="cs"/>
          <w:b/>
          <w:bCs/>
          <w:sz w:val="27"/>
          <w:rtl/>
        </w:rPr>
        <w:t>دُونِ</w:t>
      </w:r>
      <w:r w:rsidRPr="00904FCB">
        <w:rPr>
          <w:b/>
          <w:bCs/>
          <w:sz w:val="27"/>
          <w:rtl/>
        </w:rPr>
        <w:t xml:space="preserve"> </w:t>
      </w:r>
      <w:r w:rsidR="00B54A18" w:rsidRPr="00904FCB">
        <w:rPr>
          <w:rFonts w:hint="cs"/>
          <w:b/>
          <w:bCs/>
          <w:sz w:val="27"/>
          <w:rtl/>
        </w:rPr>
        <w:t>الل</w:t>
      </w:r>
      <w:r w:rsidRPr="00904FCB">
        <w:rPr>
          <w:rFonts w:hint="cs"/>
          <w:b/>
          <w:bCs/>
          <w:sz w:val="27"/>
          <w:rtl/>
        </w:rPr>
        <w:t>هِ</w:t>
      </w:r>
      <w:r w:rsidRPr="00904FCB">
        <w:rPr>
          <w:b/>
          <w:bCs/>
          <w:sz w:val="27"/>
          <w:rtl/>
        </w:rPr>
        <w:t xml:space="preserve"> و</w:t>
      </w:r>
      <w:r w:rsidR="00B54A18" w:rsidRPr="00904FCB">
        <w:rPr>
          <w:rFonts w:hint="cs"/>
          <w:b/>
          <w:bCs/>
          <w:sz w:val="27"/>
          <w:rtl/>
        </w:rPr>
        <w:t>َ</w:t>
      </w:r>
      <w:r w:rsidRPr="00904FCB">
        <w:rPr>
          <w:rFonts w:hint="cs"/>
          <w:b/>
          <w:bCs/>
          <w:sz w:val="27"/>
          <w:rtl/>
        </w:rPr>
        <w:t>الْمَس</w:t>
      </w:r>
      <w:r w:rsidR="00B54A18" w:rsidRPr="00904FCB">
        <w:rPr>
          <w:rFonts w:hint="cs"/>
          <w:b/>
          <w:bCs/>
          <w:sz w:val="27"/>
          <w:rtl/>
        </w:rPr>
        <w:t>ِ</w:t>
      </w:r>
      <w:r w:rsidRPr="00904FCB">
        <w:rPr>
          <w:rFonts w:hint="cs"/>
          <w:b/>
          <w:bCs/>
          <w:sz w:val="27"/>
          <w:rtl/>
        </w:rPr>
        <w:t>يحَ</w:t>
      </w:r>
      <w:r w:rsidRPr="00904FCB">
        <w:rPr>
          <w:b/>
          <w:bCs/>
          <w:sz w:val="27"/>
          <w:rtl/>
        </w:rPr>
        <w:t xml:space="preserve"> </w:t>
      </w:r>
      <w:r w:rsidRPr="00904FCB">
        <w:rPr>
          <w:rFonts w:hint="cs"/>
          <w:b/>
          <w:bCs/>
          <w:sz w:val="27"/>
          <w:rtl/>
        </w:rPr>
        <w:t>ابْنَ</w:t>
      </w:r>
      <w:r w:rsidRPr="00904FCB">
        <w:rPr>
          <w:b/>
          <w:bCs/>
          <w:sz w:val="27"/>
          <w:rtl/>
        </w:rPr>
        <w:t xml:space="preserve"> </w:t>
      </w:r>
      <w:r w:rsidRPr="00904FCB">
        <w:rPr>
          <w:rFonts w:hint="cs"/>
          <w:b/>
          <w:bCs/>
          <w:sz w:val="27"/>
          <w:rtl/>
        </w:rPr>
        <w:t>مَرْيَمَ</w:t>
      </w:r>
      <w:r w:rsidRPr="00904FCB">
        <w:rPr>
          <w:b/>
          <w:bCs/>
          <w:sz w:val="27"/>
          <w:rtl/>
        </w:rPr>
        <w:t xml:space="preserve"> و</w:t>
      </w:r>
      <w:r w:rsidR="00B54A18" w:rsidRPr="00904FCB">
        <w:rPr>
          <w:rFonts w:hint="cs"/>
          <w:b/>
          <w:bCs/>
          <w:sz w:val="27"/>
          <w:rtl/>
        </w:rPr>
        <w:t>َ</w:t>
      </w:r>
      <w:r w:rsidRPr="00904FCB">
        <w:rPr>
          <w:rFonts w:hint="cs"/>
          <w:b/>
          <w:bCs/>
          <w:sz w:val="27"/>
          <w:rtl/>
        </w:rPr>
        <w:t>م</w:t>
      </w:r>
      <w:r w:rsidR="00B54A18"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أُمِرُوا</w:t>
      </w:r>
      <w:r w:rsidRPr="00904FCB">
        <w:rPr>
          <w:b/>
          <w:bCs/>
          <w:sz w:val="27"/>
          <w:rtl/>
        </w:rPr>
        <w:t xml:space="preserve"> </w:t>
      </w:r>
      <w:r w:rsidRPr="00904FCB">
        <w:rPr>
          <w:rFonts w:hint="cs"/>
          <w:b/>
          <w:bCs/>
          <w:sz w:val="27"/>
          <w:rtl/>
        </w:rPr>
        <w:t>إِلاَّ</w:t>
      </w:r>
      <w:r w:rsidRPr="00904FCB">
        <w:rPr>
          <w:b/>
          <w:bCs/>
          <w:sz w:val="27"/>
          <w:rtl/>
        </w:rPr>
        <w:t xml:space="preserve"> </w:t>
      </w:r>
      <w:r w:rsidRPr="00904FCB">
        <w:rPr>
          <w:rFonts w:hint="cs"/>
          <w:b/>
          <w:bCs/>
          <w:sz w:val="27"/>
          <w:rtl/>
        </w:rPr>
        <w:t>لِيَعْبُدُوا</w:t>
      </w:r>
      <w:r w:rsidRPr="00904FCB">
        <w:rPr>
          <w:b/>
          <w:bCs/>
          <w:sz w:val="27"/>
          <w:rtl/>
        </w:rPr>
        <w:t xml:space="preserve"> </w:t>
      </w:r>
      <w:r w:rsidRPr="00904FCB">
        <w:rPr>
          <w:rFonts w:hint="cs"/>
          <w:b/>
          <w:bCs/>
          <w:sz w:val="27"/>
          <w:rtl/>
        </w:rPr>
        <w:t>إِل</w:t>
      </w:r>
      <w:r w:rsidR="00B54A18" w:rsidRPr="00904FCB">
        <w:rPr>
          <w:rFonts w:hint="cs"/>
          <w:b/>
          <w:bCs/>
          <w:sz w:val="27"/>
          <w:rtl/>
        </w:rPr>
        <w:t>َ</w:t>
      </w:r>
      <w:r w:rsidRPr="00904FCB">
        <w:rPr>
          <w:rFonts w:hint="cs"/>
          <w:b/>
          <w:bCs/>
          <w:sz w:val="27"/>
          <w:rtl/>
        </w:rPr>
        <w:t>هاً</w:t>
      </w:r>
      <w:r w:rsidRPr="00904FCB">
        <w:rPr>
          <w:b/>
          <w:bCs/>
          <w:sz w:val="27"/>
          <w:rtl/>
        </w:rPr>
        <w:t xml:space="preserve"> </w:t>
      </w:r>
      <w:r w:rsidRPr="00904FCB">
        <w:rPr>
          <w:rFonts w:hint="cs"/>
          <w:b/>
          <w:bCs/>
          <w:sz w:val="27"/>
          <w:rtl/>
        </w:rPr>
        <w:t>و</w:t>
      </w:r>
      <w:r w:rsidR="00B54A18" w:rsidRPr="00904FCB">
        <w:rPr>
          <w:rFonts w:hint="cs"/>
          <w:b/>
          <w:bCs/>
          <w:sz w:val="27"/>
          <w:rtl/>
        </w:rPr>
        <w:t>َ</w:t>
      </w:r>
      <w:r w:rsidRPr="00904FCB">
        <w:rPr>
          <w:rFonts w:hint="cs"/>
          <w:b/>
          <w:bCs/>
          <w:sz w:val="27"/>
          <w:rtl/>
        </w:rPr>
        <w:t>احِد</w:t>
      </w:r>
      <w:r w:rsidR="00B54A18"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لا</w:t>
      </w:r>
      <w:r w:rsidRPr="00904FCB">
        <w:rPr>
          <w:b/>
          <w:bCs/>
          <w:sz w:val="27"/>
          <w:rtl/>
        </w:rPr>
        <w:t xml:space="preserve"> </w:t>
      </w:r>
      <w:r w:rsidRPr="00904FCB">
        <w:rPr>
          <w:rFonts w:hint="cs"/>
          <w:b/>
          <w:bCs/>
          <w:sz w:val="27"/>
          <w:rtl/>
        </w:rPr>
        <w:t>إِل</w:t>
      </w:r>
      <w:r w:rsidR="00B54A18" w:rsidRPr="00904FCB">
        <w:rPr>
          <w:rFonts w:hint="cs"/>
          <w:b/>
          <w:bCs/>
          <w:sz w:val="27"/>
          <w:rtl/>
        </w:rPr>
        <w:t>َ</w:t>
      </w:r>
      <w:r w:rsidRPr="00904FCB">
        <w:rPr>
          <w:rFonts w:hint="cs"/>
          <w:b/>
          <w:bCs/>
          <w:sz w:val="27"/>
          <w:rtl/>
        </w:rPr>
        <w:t>هَ</w:t>
      </w:r>
      <w:r w:rsidRPr="00904FCB">
        <w:rPr>
          <w:b/>
          <w:bCs/>
          <w:sz w:val="27"/>
          <w:rtl/>
        </w:rPr>
        <w:t xml:space="preserve"> </w:t>
      </w:r>
      <w:r w:rsidRPr="00904FCB">
        <w:rPr>
          <w:rFonts w:hint="cs"/>
          <w:b/>
          <w:bCs/>
          <w:sz w:val="27"/>
          <w:rtl/>
        </w:rPr>
        <w:t>إِلاَّ</w:t>
      </w:r>
      <w:r w:rsidRPr="00904FCB">
        <w:rPr>
          <w:b/>
          <w:bCs/>
          <w:sz w:val="27"/>
          <w:rtl/>
        </w:rPr>
        <w:t xml:space="preserve"> </w:t>
      </w:r>
      <w:r w:rsidRPr="00904FCB">
        <w:rPr>
          <w:rFonts w:hint="cs"/>
          <w:b/>
          <w:bCs/>
          <w:sz w:val="27"/>
          <w:rtl/>
        </w:rPr>
        <w:t>هُوَ</w:t>
      </w:r>
      <w:r w:rsidRPr="00904FCB">
        <w:rPr>
          <w:b/>
          <w:bCs/>
          <w:sz w:val="27"/>
          <w:rtl/>
        </w:rPr>
        <w:t xml:space="preserve"> </w:t>
      </w:r>
      <w:r w:rsidRPr="00904FCB">
        <w:rPr>
          <w:rFonts w:hint="cs"/>
          <w:b/>
          <w:bCs/>
          <w:sz w:val="27"/>
          <w:rtl/>
        </w:rPr>
        <w:t>سُبْح</w:t>
      </w:r>
      <w:r w:rsidR="00B54A18" w:rsidRPr="00904FCB">
        <w:rPr>
          <w:rFonts w:hint="cs"/>
          <w:b/>
          <w:bCs/>
          <w:sz w:val="27"/>
          <w:rtl/>
        </w:rPr>
        <w:t>َ</w:t>
      </w:r>
      <w:r w:rsidRPr="00904FCB">
        <w:rPr>
          <w:rFonts w:hint="cs"/>
          <w:b/>
          <w:bCs/>
          <w:sz w:val="27"/>
          <w:rtl/>
        </w:rPr>
        <w:t>انَهُ</w:t>
      </w:r>
      <w:r w:rsidRPr="00904FCB">
        <w:rPr>
          <w:b/>
          <w:bCs/>
          <w:sz w:val="27"/>
          <w:rtl/>
        </w:rPr>
        <w:t xml:space="preserve"> </w:t>
      </w:r>
      <w:r w:rsidRPr="00904FCB">
        <w:rPr>
          <w:rFonts w:hint="cs"/>
          <w:b/>
          <w:bCs/>
          <w:sz w:val="27"/>
          <w:rtl/>
        </w:rPr>
        <w:t>عَمَّا</w:t>
      </w:r>
      <w:r w:rsidRPr="00904FCB">
        <w:rPr>
          <w:b/>
          <w:bCs/>
          <w:sz w:val="27"/>
          <w:rtl/>
        </w:rPr>
        <w:t xml:space="preserve"> </w:t>
      </w:r>
      <w:r w:rsidRPr="00904FCB">
        <w:rPr>
          <w:rFonts w:hint="cs"/>
          <w:b/>
          <w:bCs/>
          <w:sz w:val="27"/>
          <w:rtl/>
        </w:rPr>
        <w:t>يُشْرِكُونَ</w:t>
      </w:r>
      <w:r w:rsidRPr="00904FCB">
        <w:rPr>
          <w:rFonts w:ascii="Mosawi" w:hAnsi="Mosawi" w:cs="Mosawi"/>
          <w:sz w:val="24"/>
          <w:szCs w:val="24"/>
          <w:rtl/>
        </w:rPr>
        <w:t>﴾</w:t>
      </w:r>
      <w:r w:rsidRPr="00904FCB">
        <w:rPr>
          <w:sz w:val="27"/>
          <w:rtl/>
        </w:rPr>
        <w:t xml:space="preserve"> (</w:t>
      </w:r>
      <w:r w:rsidRPr="00904FCB">
        <w:rPr>
          <w:rFonts w:hint="cs"/>
          <w:sz w:val="27"/>
          <w:rtl/>
        </w:rPr>
        <w:t xml:space="preserve">التوبة: </w:t>
      </w:r>
      <w:r w:rsidRPr="00783611">
        <w:rPr>
          <w:rFonts w:hint="cs"/>
          <w:sz w:val="27"/>
          <w:rtl/>
          <w:lang w:bidi="ar-LB"/>
        </w:rPr>
        <w:t>31</w:t>
      </w:r>
      <w:r w:rsidR="00B54A18" w:rsidRPr="00904FCB">
        <w:rPr>
          <w:sz w:val="27"/>
          <w:rtl/>
        </w:rPr>
        <w:t>)</w:t>
      </w:r>
      <w:r w:rsidR="00B54A18" w:rsidRPr="00904FCB">
        <w:rPr>
          <w:rFonts w:hint="cs"/>
          <w:sz w:val="27"/>
          <w:rtl/>
        </w:rPr>
        <w:t xml:space="preserve">، بما مجمله: إنّ </w:t>
      </w:r>
      <w:r w:rsidRPr="00904FCB">
        <w:rPr>
          <w:rFonts w:hint="cs"/>
          <w:sz w:val="27"/>
          <w:rtl/>
        </w:rPr>
        <w:t>القرآن</w:t>
      </w:r>
      <w:r w:rsidRPr="00904FCB">
        <w:rPr>
          <w:sz w:val="27"/>
          <w:rtl/>
        </w:rPr>
        <w:t xml:space="preserve"> </w:t>
      </w:r>
      <w:r w:rsidRPr="00904FCB">
        <w:rPr>
          <w:rFonts w:hint="cs"/>
          <w:sz w:val="27"/>
          <w:rtl/>
        </w:rPr>
        <w:t>الكريم</w:t>
      </w:r>
      <w:r w:rsidRPr="00904FCB">
        <w:rPr>
          <w:sz w:val="27"/>
          <w:rtl/>
        </w:rPr>
        <w:t xml:space="preserve"> </w:t>
      </w:r>
      <w:r w:rsidRPr="00904FCB">
        <w:rPr>
          <w:rFonts w:hint="cs"/>
          <w:sz w:val="27"/>
          <w:rtl/>
        </w:rPr>
        <w:t>نسب</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الربوبيّة</w:t>
      </w:r>
      <w:r w:rsidRPr="00904FCB">
        <w:rPr>
          <w:sz w:val="27"/>
          <w:rtl/>
        </w:rPr>
        <w:t xml:space="preserve"> </w:t>
      </w:r>
      <w:r w:rsidRPr="00904FCB">
        <w:rPr>
          <w:rFonts w:hint="cs"/>
          <w:sz w:val="27"/>
          <w:rtl/>
        </w:rPr>
        <w:t>له</w:t>
      </w:r>
      <w:r w:rsidR="00B54A18" w:rsidRPr="00904FCB">
        <w:rPr>
          <w:rFonts w:hint="cs"/>
          <w:sz w:val="27"/>
          <w:rtl/>
        </w:rPr>
        <w:t>ؤ</w:t>
      </w:r>
      <w:r w:rsidRPr="00904FCB">
        <w:rPr>
          <w:rFonts w:hint="cs"/>
          <w:sz w:val="27"/>
          <w:rtl/>
        </w:rPr>
        <w:t>لاء، وقد</w:t>
      </w:r>
      <w:r w:rsidRPr="00904FCB">
        <w:rPr>
          <w:sz w:val="27"/>
          <w:rtl/>
        </w:rPr>
        <w:t xml:space="preserve"> </w:t>
      </w:r>
      <w:r w:rsidRPr="00904FCB">
        <w:rPr>
          <w:rFonts w:hint="cs"/>
          <w:sz w:val="27"/>
          <w:rtl/>
        </w:rPr>
        <w:t>ذمّ</w:t>
      </w:r>
      <w:r w:rsidR="00B54A18" w:rsidRPr="00904FCB">
        <w:rPr>
          <w:rFonts w:hint="cs"/>
          <w:sz w:val="27"/>
          <w:rtl/>
        </w:rPr>
        <w:t>َ</w:t>
      </w:r>
      <w:r w:rsidRPr="00904FCB">
        <w:rPr>
          <w:rFonts w:hint="cs"/>
          <w:sz w:val="27"/>
          <w:rtl/>
        </w:rPr>
        <w:t>هم</w:t>
      </w:r>
      <w:r w:rsidRPr="00904FCB">
        <w:rPr>
          <w:sz w:val="27"/>
          <w:rtl/>
        </w:rPr>
        <w:t xml:space="preserve"> </w:t>
      </w:r>
      <w:r w:rsidRPr="00904FCB">
        <w:rPr>
          <w:rFonts w:hint="cs"/>
          <w:sz w:val="27"/>
          <w:rtl/>
        </w:rPr>
        <w:t>بسبب</w:t>
      </w:r>
      <w:r w:rsidRPr="00904FCB">
        <w:rPr>
          <w:sz w:val="27"/>
          <w:rtl/>
        </w:rPr>
        <w:t xml:space="preserve"> </w:t>
      </w:r>
      <w:r w:rsidRPr="00904FCB">
        <w:rPr>
          <w:rFonts w:hint="cs"/>
          <w:sz w:val="27"/>
          <w:rtl/>
        </w:rPr>
        <w:t>ترك</w:t>
      </w:r>
      <w:r w:rsidRPr="00904FCB">
        <w:rPr>
          <w:sz w:val="27"/>
          <w:rtl/>
        </w:rPr>
        <w:t xml:space="preserve"> </w:t>
      </w:r>
      <w:r w:rsidRPr="00904FCB">
        <w:rPr>
          <w:rFonts w:hint="cs"/>
          <w:sz w:val="27"/>
          <w:rtl/>
        </w:rPr>
        <w:t>العبوديّة</w:t>
      </w:r>
      <w:r w:rsidRPr="00904FCB">
        <w:rPr>
          <w:sz w:val="27"/>
          <w:rtl/>
        </w:rPr>
        <w:t xml:space="preserve"> </w:t>
      </w:r>
      <w:r w:rsidRPr="00904FCB">
        <w:rPr>
          <w:rFonts w:hint="cs"/>
          <w:sz w:val="27"/>
          <w:rtl/>
        </w:rPr>
        <w:t>وعبادة</w:t>
      </w:r>
      <w:r w:rsidRPr="00904FCB">
        <w:rPr>
          <w:sz w:val="27"/>
          <w:rtl/>
        </w:rPr>
        <w:t xml:space="preserve"> </w:t>
      </w:r>
      <w:r w:rsidRPr="00904FCB">
        <w:rPr>
          <w:rFonts w:hint="cs"/>
          <w:sz w:val="27"/>
          <w:rtl/>
        </w:rPr>
        <w:t xml:space="preserve">الله، </w:t>
      </w:r>
      <w:r w:rsidRPr="00904FCB">
        <w:rPr>
          <w:sz w:val="27"/>
          <w:rtl/>
        </w:rPr>
        <w:t>‏</w:t>
      </w:r>
      <w:r w:rsidRPr="00904FCB">
        <w:rPr>
          <w:rFonts w:hint="cs"/>
          <w:sz w:val="27"/>
          <w:rtl/>
        </w:rPr>
        <w:t>وقد</w:t>
      </w:r>
      <w:r w:rsidRPr="00904FCB">
        <w:rPr>
          <w:sz w:val="27"/>
          <w:rtl/>
        </w:rPr>
        <w:t xml:space="preserve"> </w:t>
      </w:r>
      <w:r w:rsidRPr="00904FCB">
        <w:rPr>
          <w:rFonts w:hint="cs"/>
          <w:sz w:val="27"/>
          <w:rtl/>
        </w:rPr>
        <w:t>نزّ</w:t>
      </w:r>
      <w:r w:rsidR="00B54A18" w:rsidRPr="00904FCB">
        <w:rPr>
          <w:rFonts w:hint="cs"/>
          <w:sz w:val="27"/>
          <w:rtl/>
        </w:rPr>
        <w:t>َ</w:t>
      </w:r>
      <w:r w:rsidRPr="00904FCB">
        <w:rPr>
          <w:rFonts w:hint="cs"/>
          <w:sz w:val="27"/>
          <w:rtl/>
        </w:rPr>
        <w:t>ه</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سبحانه</w:t>
      </w:r>
      <w:r w:rsidRPr="00904FCB">
        <w:rPr>
          <w:sz w:val="27"/>
          <w:rtl/>
        </w:rPr>
        <w:t xml:space="preserve"> </w:t>
      </w:r>
      <w:r w:rsidRPr="00904FCB">
        <w:rPr>
          <w:rFonts w:hint="cs"/>
          <w:sz w:val="27"/>
          <w:rtl/>
        </w:rPr>
        <w:t>نفسه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شركهم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آخر</w:t>
      </w:r>
      <w:r w:rsidRPr="00904FCB">
        <w:rPr>
          <w:sz w:val="27"/>
          <w:rtl/>
        </w:rPr>
        <w:t xml:space="preserve"> </w:t>
      </w:r>
      <w:r w:rsidRPr="00904FCB">
        <w:rPr>
          <w:rFonts w:hint="cs"/>
          <w:sz w:val="27"/>
          <w:rtl/>
        </w:rPr>
        <w:t>الآية</w:t>
      </w:r>
      <w:r w:rsidRPr="00904FCB">
        <w:rPr>
          <w:sz w:val="27"/>
          <w:rtl/>
        </w:rPr>
        <w:t xml:space="preserve">. </w:t>
      </w:r>
    </w:p>
    <w:p w:rsidR="00F34FB9" w:rsidRPr="00904FCB" w:rsidRDefault="00F34FB9" w:rsidP="00F636E3">
      <w:pPr>
        <w:spacing w:line="410" w:lineRule="exact"/>
        <w:rPr>
          <w:sz w:val="27"/>
          <w:rtl/>
        </w:rPr>
      </w:pPr>
      <w:r w:rsidRPr="00904FCB">
        <w:rPr>
          <w:rFonts w:hint="cs"/>
          <w:sz w:val="27"/>
          <w:rtl/>
        </w:rPr>
        <w:t>وحيث</w:t>
      </w:r>
      <w:r w:rsidRPr="00904FCB">
        <w:rPr>
          <w:sz w:val="27"/>
          <w:rtl/>
        </w:rPr>
        <w:t xml:space="preserve"> </w:t>
      </w:r>
      <w:r w:rsidRPr="00904FCB">
        <w:rPr>
          <w:rFonts w:hint="cs"/>
          <w:sz w:val="27"/>
          <w:rtl/>
        </w:rPr>
        <w:t>دلّت</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شرك</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 وانطباق</w:t>
      </w:r>
      <w:r w:rsidRPr="00904FCB">
        <w:rPr>
          <w:sz w:val="27"/>
          <w:rtl/>
        </w:rPr>
        <w:t xml:space="preserve"> </w:t>
      </w:r>
      <w:r w:rsidRPr="00904FCB">
        <w:rPr>
          <w:rFonts w:hint="cs"/>
          <w:sz w:val="27"/>
          <w:rtl/>
        </w:rPr>
        <w:t>قوله</w:t>
      </w:r>
      <w:r w:rsidRPr="00904FCB">
        <w:rPr>
          <w:sz w:val="27"/>
          <w:rtl/>
        </w:rPr>
        <w:t xml:space="preserve"> </w:t>
      </w:r>
      <w:r w:rsidRPr="00904FCB">
        <w:rPr>
          <w:rFonts w:hint="cs"/>
          <w:sz w:val="27"/>
          <w:rtl/>
        </w:rPr>
        <w:t>تعالى</w:t>
      </w:r>
      <w:r w:rsidRPr="00904FCB">
        <w:rPr>
          <w:sz w:val="27"/>
          <w:rtl/>
        </w:rPr>
        <w:t xml:space="preserve">: </w:t>
      </w:r>
      <w:r w:rsidRPr="00904FCB">
        <w:rPr>
          <w:rFonts w:ascii="Mosawi" w:hAnsi="Mosawi" w:cs="Mosawi"/>
          <w:sz w:val="24"/>
          <w:szCs w:val="24"/>
          <w:rtl/>
        </w:rPr>
        <w:t>﴿</w:t>
      </w:r>
      <w:r w:rsidRPr="00904FCB">
        <w:rPr>
          <w:rFonts w:hint="cs"/>
          <w:b/>
          <w:bCs/>
          <w:sz w:val="27"/>
          <w:rtl/>
        </w:rPr>
        <w:t>إِنَّمَا</w:t>
      </w:r>
      <w:r w:rsidRPr="00904FCB">
        <w:rPr>
          <w:b/>
          <w:bCs/>
          <w:sz w:val="27"/>
          <w:rtl/>
        </w:rPr>
        <w:t xml:space="preserve"> </w:t>
      </w:r>
      <w:r w:rsidRPr="00904FCB">
        <w:rPr>
          <w:rFonts w:hint="cs"/>
          <w:b/>
          <w:bCs/>
          <w:sz w:val="27"/>
          <w:rtl/>
        </w:rPr>
        <w:t>الْمُشْرِكُونَ</w:t>
      </w:r>
      <w:r w:rsidRPr="00904FCB">
        <w:rPr>
          <w:b/>
          <w:bCs/>
          <w:sz w:val="27"/>
          <w:rtl/>
        </w:rPr>
        <w:t xml:space="preserve"> </w:t>
      </w:r>
      <w:r w:rsidRPr="00904FCB">
        <w:rPr>
          <w:rFonts w:hint="cs"/>
          <w:b/>
          <w:bCs/>
          <w:sz w:val="27"/>
          <w:rtl/>
        </w:rPr>
        <w:t>نَجَسٌ</w:t>
      </w:r>
      <w:r w:rsidRPr="00904FCB">
        <w:rPr>
          <w:rFonts w:ascii="Mosawi" w:hAnsi="Mosawi" w:cs="Mosawi"/>
          <w:sz w:val="24"/>
          <w:szCs w:val="24"/>
          <w:rtl/>
        </w:rPr>
        <w:t>﴾</w:t>
      </w:r>
      <w:r w:rsidRPr="00904FCB">
        <w:rPr>
          <w:rFonts w:hint="cs"/>
          <w:sz w:val="27"/>
          <w:rtl/>
        </w:rPr>
        <w:t xml:space="preserve"> </w:t>
      </w:r>
      <w:r w:rsidRPr="00904FCB">
        <w:rPr>
          <w:sz w:val="27"/>
          <w:rtl/>
        </w:rPr>
        <w:t>(</w:t>
      </w:r>
      <w:r w:rsidRPr="00904FCB">
        <w:rPr>
          <w:rFonts w:hint="cs"/>
          <w:sz w:val="27"/>
          <w:rtl/>
        </w:rPr>
        <w:t xml:space="preserve">التوبة: </w:t>
      </w:r>
      <w:r w:rsidRPr="00783611">
        <w:rPr>
          <w:rFonts w:hint="cs"/>
          <w:sz w:val="27"/>
          <w:rtl/>
          <w:lang w:bidi="ar-LB"/>
        </w:rPr>
        <w:t>28</w:t>
      </w:r>
      <w:r w:rsidRPr="00904FCB">
        <w:rPr>
          <w:sz w:val="27"/>
          <w:rtl/>
        </w:rPr>
        <w:t xml:space="preserve">) </w:t>
      </w:r>
      <w:r w:rsidRPr="00904FCB">
        <w:rPr>
          <w:rFonts w:hint="cs"/>
          <w:sz w:val="27"/>
          <w:rtl/>
        </w:rPr>
        <w:t>عليهم</w:t>
      </w:r>
      <w:r w:rsidR="00A446CF" w:rsidRPr="00904FCB">
        <w:rPr>
          <w:rFonts w:hint="cs"/>
          <w:sz w:val="27"/>
          <w:rtl/>
        </w:rPr>
        <w:t>،</w:t>
      </w:r>
      <w:r w:rsidRPr="00904FCB">
        <w:rPr>
          <w:rFonts w:hint="cs"/>
          <w:sz w:val="27"/>
          <w:rtl/>
        </w:rPr>
        <w:t xml:space="preserve"> </w:t>
      </w:r>
      <w:r w:rsidR="00A446CF" w:rsidRPr="00904FCB">
        <w:rPr>
          <w:rFonts w:hint="cs"/>
          <w:sz w:val="27"/>
          <w:rtl/>
        </w:rPr>
        <w:t>فقد</w:t>
      </w:r>
      <w:r w:rsidRPr="00904FCB">
        <w:rPr>
          <w:sz w:val="27"/>
          <w:rtl/>
        </w:rPr>
        <w:t xml:space="preserve"> </w:t>
      </w:r>
      <w:r w:rsidRPr="00904FCB">
        <w:rPr>
          <w:rFonts w:hint="cs"/>
          <w:sz w:val="27"/>
          <w:rtl/>
        </w:rPr>
        <w:t>حكم</w:t>
      </w:r>
      <w:r w:rsidRPr="00904FCB">
        <w:rPr>
          <w:sz w:val="27"/>
          <w:rtl/>
        </w:rPr>
        <w:t xml:space="preserve"> </w:t>
      </w:r>
      <w:r w:rsidRPr="00904FCB">
        <w:rPr>
          <w:rFonts w:hint="cs"/>
          <w:sz w:val="27"/>
          <w:rtl/>
        </w:rPr>
        <w:t>العلماء</w:t>
      </w:r>
      <w:r w:rsidRPr="00904FCB">
        <w:rPr>
          <w:sz w:val="27"/>
          <w:rtl/>
        </w:rPr>
        <w:t xml:space="preserve"> </w:t>
      </w:r>
      <w:r w:rsidRPr="00904FCB">
        <w:rPr>
          <w:rFonts w:hint="cs"/>
          <w:sz w:val="27"/>
          <w:rtl/>
        </w:rPr>
        <w:t>بنجاسة</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p>
    <w:p w:rsidR="00F34FB9" w:rsidRPr="00904FCB" w:rsidRDefault="00F34FB9" w:rsidP="00EC7400">
      <w:pPr>
        <w:spacing w:line="420" w:lineRule="exact"/>
        <w:ind w:firstLine="561"/>
        <w:rPr>
          <w:sz w:val="27"/>
          <w:rtl/>
        </w:rPr>
      </w:pPr>
      <w:r w:rsidRPr="00904FCB">
        <w:rPr>
          <w:rFonts w:hint="cs"/>
          <w:b/>
          <w:bCs/>
          <w:sz w:val="27"/>
          <w:rtl/>
        </w:rPr>
        <w:t>ولكن</w:t>
      </w:r>
      <w:r w:rsidR="00A446CF" w:rsidRPr="00904FCB">
        <w:rPr>
          <w:rFonts w:hint="cs"/>
          <w:b/>
          <w:bCs/>
          <w:sz w:val="27"/>
          <w:rtl/>
        </w:rPr>
        <w:t>ْ</w:t>
      </w:r>
      <w:r w:rsidRPr="00904FCB">
        <w:rPr>
          <w:b/>
          <w:bCs/>
          <w:sz w:val="27"/>
          <w:rtl/>
        </w:rPr>
        <w:t xml:space="preserve"> </w:t>
      </w:r>
      <w:r w:rsidRPr="00904FCB">
        <w:rPr>
          <w:rFonts w:hint="cs"/>
          <w:b/>
          <w:bCs/>
          <w:sz w:val="27"/>
          <w:rtl/>
        </w:rPr>
        <w:t>قد</w:t>
      </w:r>
      <w:r w:rsidRPr="00904FCB">
        <w:rPr>
          <w:b/>
          <w:bCs/>
          <w:sz w:val="27"/>
          <w:rtl/>
        </w:rPr>
        <w:t xml:space="preserve"> </w:t>
      </w:r>
      <w:r w:rsidRPr="00904FCB">
        <w:rPr>
          <w:rFonts w:hint="cs"/>
          <w:b/>
          <w:bCs/>
          <w:sz w:val="27"/>
          <w:rtl/>
        </w:rPr>
        <w:t>أجيب</w:t>
      </w:r>
      <w:r w:rsidRPr="00904FCB">
        <w:rPr>
          <w:b/>
          <w:bCs/>
          <w:sz w:val="27"/>
          <w:rtl/>
        </w:rPr>
        <w:t xml:space="preserve"> </w:t>
      </w:r>
      <w:r w:rsidRPr="00904FCB">
        <w:rPr>
          <w:rFonts w:hint="cs"/>
          <w:b/>
          <w:bCs/>
          <w:sz w:val="27"/>
          <w:rtl/>
        </w:rPr>
        <w:t>عن</w:t>
      </w:r>
      <w:r w:rsidRPr="00904FCB">
        <w:rPr>
          <w:b/>
          <w:bCs/>
          <w:sz w:val="27"/>
          <w:rtl/>
        </w:rPr>
        <w:t xml:space="preserve"> </w:t>
      </w:r>
      <w:r w:rsidRPr="00904FCB">
        <w:rPr>
          <w:rFonts w:hint="cs"/>
          <w:b/>
          <w:bCs/>
          <w:sz w:val="27"/>
          <w:rtl/>
        </w:rPr>
        <w:t>هذا</w:t>
      </w:r>
      <w:r w:rsidRPr="00904FCB">
        <w:rPr>
          <w:b/>
          <w:bCs/>
          <w:sz w:val="27"/>
          <w:rtl/>
        </w:rPr>
        <w:t xml:space="preserve"> </w:t>
      </w:r>
      <w:r w:rsidRPr="00904FCB">
        <w:rPr>
          <w:rFonts w:hint="cs"/>
          <w:b/>
          <w:bCs/>
          <w:sz w:val="27"/>
          <w:rtl/>
        </w:rPr>
        <w:t>الأمر</w:t>
      </w:r>
      <w:r w:rsidRPr="00904FCB">
        <w:rPr>
          <w:sz w:val="27"/>
          <w:rtl/>
        </w:rPr>
        <w:t xml:space="preserve"> </w:t>
      </w:r>
      <w:r w:rsidRPr="00904FCB">
        <w:rPr>
          <w:rFonts w:hint="cs"/>
          <w:sz w:val="27"/>
          <w:rtl/>
        </w:rPr>
        <w:t>بأنّه</w:t>
      </w:r>
      <w:r w:rsidRPr="00904FCB">
        <w:rPr>
          <w:sz w:val="27"/>
          <w:rtl/>
        </w:rPr>
        <w:t xml:space="preserve"> </w:t>
      </w:r>
      <w:r w:rsidRPr="00904FCB">
        <w:rPr>
          <w:rFonts w:hint="cs"/>
          <w:sz w:val="27"/>
          <w:rtl/>
        </w:rPr>
        <w:t>وإن</w:t>
      </w:r>
      <w:r w:rsidR="00A446CF"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اتّخذوا</w:t>
      </w:r>
      <w:r w:rsidRPr="00904FCB">
        <w:rPr>
          <w:sz w:val="27"/>
          <w:rtl/>
        </w:rPr>
        <w:t xml:space="preserve"> </w:t>
      </w:r>
      <w:r w:rsidRPr="00904FCB">
        <w:rPr>
          <w:rFonts w:hint="cs"/>
          <w:sz w:val="27"/>
          <w:rtl/>
        </w:rPr>
        <w:t>علماءهم</w:t>
      </w:r>
      <w:r w:rsidRPr="00904FCB">
        <w:rPr>
          <w:sz w:val="27"/>
          <w:rtl/>
        </w:rPr>
        <w:t xml:space="preserve"> </w:t>
      </w:r>
      <w:r w:rsidRPr="00904FCB">
        <w:rPr>
          <w:rFonts w:hint="cs"/>
          <w:sz w:val="27"/>
          <w:rtl/>
        </w:rPr>
        <w:t>وزهّادهم</w:t>
      </w:r>
      <w:r w:rsidRPr="00904FCB">
        <w:rPr>
          <w:sz w:val="27"/>
          <w:rtl/>
        </w:rPr>
        <w:t xml:space="preserve"> </w:t>
      </w:r>
      <w:r w:rsidRPr="00904FCB">
        <w:rPr>
          <w:rFonts w:hint="cs"/>
          <w:sz w:val="27"/>
          <w:rtl/>
        </w:rPr>
        <w:t>ورهبانهم</w:t>
      </w:r>
      <w:r w:rsidRPr="00904FCB">
        <w:rPr>
          <w:sz w:val="27"/>
          <w:rtl/>
        </w:rPr>
        <w:t xml:space="preserve"> </w:t>
      </w:r>
      <w:r w:rsidRPr="00904FCB">
        <w:rPr>
          <w:rFonts w:hint="cs"/>
          <w:sz w:val="27"/>
          <w:rtl/>
        </w:rPr>
        <w:t>أرباباً، إلاّ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يصحّ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دليلاً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جعلهم</w:t>
      </w:r>
      <w:r w:rsidRPr="00904FCB">
        <w:rPr>
          <w:sz w:val="27"/>
          <w:rtl/>
        </w:rPr>
        <w:t xml:space="preserve"> </w:t>
      </w:r>
      <w:r w:rsidRPr="00904FCB">
        <w:rPr>
          <w:rFonts w:hint="cs"/>
          <w:sz w:val="27"/>
          <w:rtl/>
        </w:rPr>
        <w:t>آلهة</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خالقين</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مدبّ</w:t>
      </w:r>
      <w:r w:rsidR="00A446CF" w:rsidRPr="00904FCB">
        <w:rPr>
          <w:rFonts w:hint="cs"/>
          <w:sz w:val="27"/>
          <w:rtl/>
        </w:rPr>
        <w:t>ِ</w:t>
      </w:r>
      <w:r w:rsidRPr="00904FCB">
        <w:rPr>
          <w:rFonts w:hint="cs"/>
          <w:sz w:val="27"/>
          <w:rtl/>
        </w:rPr>
        <w:t>رين</w:t>
      </w:r>
      <w:r w:rsidRPr="00904FCB">
        <w:rPr>
          <w:sz w:val="27"/>
          <w:rtl/>
        </w:rPr>
        <w:t xml:space="preserve"> </w:t>
      </w:r>
      <w:r w:rsidRPr="00904FCB">
        <w:rPr>
          <w:rFonts w:hint="cs"/>
          <w:sz w:val="27"/>
          <w:rtl/>
        </w:rPr>
        <w:t>لعالم</w:t>
      </w:r>
      <w:r w:rsidRPr="00904FCB">
        <w:rPr>
          <w:sz w:val="27"/>
          <w:rtl/>
        </w:rPr>
        <w:t xml:space="preserve"> </w:t>
      </w:r>
      <w:r w:rsidRPr="00904FCB">
        <w:rPr>
          <w:rFonts w:hint="cs"/>
          <w:sz w:val="27"/>
          <w:rtl/>
        </w:rPr>
        <w:t>الكون</w:t>
      </w:r>
      <w:r w:rsidR="00A446CF"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كونهم</w:t>
      </w:r>
      <w:r w:rsidRPr="00904FCB">
        <w:rPr>
          <w:sz w:val="27"/>
          <w:rtl/>
        </w:rPr>
        <w:t xml:space="preserve"> </w:t>
      </w:r>
      <w:r w:rsidRPr="00904FCB">
        <w:rPr>
          <w:rFonts w:hint="cs"/>
          <w:sz w:val="27"/>
          <w:rtl/>
        </w:rPr>
        <w:t>معبودين</w:t>
      </w:r>
      <w:r w:rsidRPr="00904FCB">
        <w:rPr>
          <w:sz w:val="27"/>
          <w:rtl/>
        </w:rPr>
        <w:t xml:space="preserve"> </w:t>
      </w:r>
      <w:r w:rsidRPr="00904FCB">
        <w:rPr>
          <w:rFonts w:hint="cs"/>
          <w:sz w:val="27"/>
          <w:rtl/>
        </w:rPr>
        <w:t>لهم، بل</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بح</w:t>
      </w:r>
      <w:r w:rsidR="00A446CF" w:rsidRPr="00904FCB">
        <w:rPr>
          <w:rFonts w:hint="cs"/>
          <w:sz w:val="27"/>
          <w:rtl/>
        </w:rPr>
        <w:t>َ</w:t>
      </w:r>
      <w:r w:rsidRPr="00904FCB">
        <w:rPr>
          <w:rFonts w:hint="cs"/>
          <w:sz w:val="27"/>
          <w:rtl/>
        </w:rPr>
        <w:t>س</w:t>
      </w:r>
      <w:r w:rsidR="00A446CF" w:rsidRPr="00904FCB">
        <w:rPr>
          <w:rFonts w:hint="cs"/>
          <w:sz w:val="27"/>
          <w:rtl/>
        </w:rPr>
        <w:t>َ</w:t>
      </w:r>
      <w:r w:rsidRPr="00904FCB">
        <w:rPr>
          <w:rFonts w:hint="cs"/>
          <w:sz w:val="27"/>
          <w:rtl/>
        </w:rPr>
        <w:t>ب</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وصريح</w:t>
      </w:r>
      <w:r w:rsidRPr="00904FCB">
        <w:rPr>
          <w:sz w:val="27"/>
          <w:rtl/>
        </w:rPr>
        <w:t xml:space="preserve"> </w:t>
      </w:r>
      <w:r w:rsidRPr="00904FCB">
        <w:rPr>
          <w:rFonts w:hint="cs"/>
          <w:sz w:val="27"/>
          <w:rtl/>
        </w:rPr>
        <w:t>قول</w:t>
      </w:r>
      <w:r w:rsidRPr="00904FCB">
        <w:rPr>
          <w:sz w:val="27"/>
          <w:rtl/>
        </w:rPr>
        <w:t xml:space="preserve"> </w:t>
      </w:r>
      <w:r w:rsidRPr="00904FCB">
        <w:rPr>
          <w:rFonts w:hint="cs"/>
          <w:sz w:val="27"/>
          <w:rtl/>
        </w:rPr>
        <w:t>العلماء</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المجال</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اليهود</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أطاعوا</w:t>
      </w:r>
      <w:r w:rsidRPr="00904FCB">
        <w:rPr>
          <w:sz w:val="27"/>
          <w:rtl/>
        </w:rPr>
        <w:t xml:space="preserve"> </w:t>
      </w:r>
      <w:r w:rsidRPr="00904FCB">
        <w:rPr>
          <w:rFonts w:hint="cs"/>
          <w:sz w:val="27"/>
          <w:rtl/>
        </w:rPr>
        <w:t>أحبارهم</w:t>
      </w:r>
      <w:r w:rsidRPr="00904FCB">
        <w:rPr>
          <w:sz w:val="27"/>
          <w:rtl/>
        </w:rPr>
        <w:t xml:space="preserve"> </w:t>
      </w:r>
      <w:r w:rsidRPr="00904FCB">
        <w:rPr>
          <w:rFonts w:hint="cs"/>
          <w:sz w:val="27"/>
          <w:rtl/>
        </w:rPr>
        <w:t>ورهبانهم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شيءٍ</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الإطلاق، من</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أيّ</w:t>
      </w:r>
      <w:r w:rsidRPr="00904FCB">
        <w:rPr>
          <w:sz w:val="27"/>
          <w:rtl/>
        </w:rPr>
        <w:t xml:space="preserve"> </w:t>
      </w:r>
      <w:r w:rsidRPr="00904FCB">
        <w:rPr>
          <w:rFonts w:hint="cs"/>
          <w:sz w:val="27"/>
          <w:rtl/>
        </w:rPr>
        <w:t>ردٍّ</w:t>
      </w:r>
      <w:r w:rsidRPr="00904FCB">
        <w:rPr>
          <w:sz w:val="27"/>
          <w:rtl/>
        </w:rPr>
        <w:t xml:space="preserve"> </w:t>
      </w:r>
      <w:r w:rsidRPr="00904FCB">
        <w:rPr>
          <w:rFonts w:hint="cs"/>
          <w:sz w:val="27"/>
          <w:rtl/>
        </w:rPr>
        <w:t>لأوامرهم</w:t>
      </w:r>
      <w:r w:rsidR="00A446CF" w:rsidRPr="00904FCB">
        <w:rPr>
          <w:rFonts w:hint="cs"/>
          <w:sz w:val="27"/>
          <w:rtl/>
        </w:rPr>
        <w:t>،</w:t>
      </w:r>
      <w:r w:rsidRPr="00904FCB">
        <w:rPr>
          <w:sz w:val="27"/>
          <w:rtl/>
        </w:rPr>
        <w:t xml:space="preserve"> </w:t>
      </w:r>
      <w:r w:rsidRPr="00904FCB">
        <w:rPr>
          <w:rFonts w:hint="cs"/>
          <w:sz w:val="27"/>
          <w:rtl/>
        </w:rPr>
        <w:t>ولو</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مخالفاً</w:t>
      </w:r>
      <w:r w:rsidRPr="00904FCB">
        <w:rPr>
          <w:sz w:val="27"/>
          <w:rtl/>
        </w:rPr>
        <w:t xml:space="preserve"> </w:t>
      </w:r>
      <w:r w:rsidRPr="00904FCB">
        <w:rPr>
          <w:rFonts w:hint="cs"/>
          <w:sz w:val="27"/>
          <w:rtl/>
        </w:rPr>
        <w:t>لحكم</w:t>
      </w:r>
      <w:r w:rsidRPr="00904FCB">
        <w:rPr>
          <w:sz w:val="27"/>
          <w:rtl/>
        </w:rPr>
        <w:t xml:space="preserve"> </w:t>
      </w:r>
      <w:r w:rsidRPr="00904FCB">
        <w:rPr>
          <w:rFonts w:hint="cs"/>
          <w:sz w:val="27"/>
          <w:rtl/>
        </w:rPr>
        <w:t>الله، حتّى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دينهم؛ لأنّ</w:t>
      </w:r>
      <w:r w:rsidRPr="00904FCB">
        <w:rPr>
          <w:sz w:val="27"/>
          <w:rtl/>
        </w:rPr>
        <w:t xml:space="preserve"> </w:t>
      </w:r>
      <w:r w:rsidRPr="00904FCB">
        <w:rPr>
          <w:rFonts w:hint="cs"/>
          <w:sz w:val="27"/>
          <w:rtl/>
        </w:rPr>
        <w:t>الطاعة</w:t>
      </w:r>
      <w:r w:rsidRPr="00904FCB">
        <w:rPr>
          <w:sz w:val="27"/>
          <w:rtl/>
        </w:rPr>
        <w:t xml:space="preserve"> </w:t>
      </w:r>
      <w:r w:rsidRPr="00904FCB">
        <w:rPr>
          <w:rFonts w:hint="cs"/>
          <w:sz w:val="27"/>
          <w:rtl/>
        </w:rPr>
        <w:t>المطلقة</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لله</w:t>
      </w:r>
      <w:r w:rsidRPr="00904FCB">
        <w:rPr>
          <w:sz w:val="27"/>
          <w:rtl/>
        </w:rPr>
        <w:t xml:space="preserve"> </w:t>
      </w:r>
      <w:r w:rsidRPr="00904FCB">
        <w:rPr>
          <w:rFonts w:hint="cs"/>
          <w:sz w:val="27"/>
          <w:rtl/>
        </w:rPr>
        <w:t>فقط</w:t>
      </w:r>
      <w:r w:rsidRPr="00904FCB">
        <w:rPr>
          <w:sz w:val="27"/>
          <w:rtl/>
        </w:rPr>
        <w:t xml:space="preserve"> </w:t>
      </w:r>
      <w:r w:rsidRPr="00904FCB">
        <w:rPr>
          <w:rFonts w:hint="cs"/>
          <w:sz w:val="27"/>
          <w:rtl/>
        </w:rPr>
        <w:t>ومن</w:t>
      </w:r>
      <w:r w:rsidRPr="00904FCB">
        <w:rPr>
          <w:sz w:val="27"/>
          <w:rtl/>
        </w:rPr>
        <w:t xml:space="preserve"> </w:t>
      </w:r>
      <w:r w:rsidRPr="00904FCB">
        <w:rPr>
          <w:rFonts w:hint="cs"/>
          <w:sz w:val="27"/>
          <w:rtl/>
        </w:rPr>
        <w:t>شؤونه، وإطاعة</w:t>
      </w:r>
      <w:r w:rsidRPr="00904FCB">
        <w:rPr>
          <w:sz w:val="27"/>
          <w:rtl/>
        </w:rPr>
        <w:t xml:space="preserve"> </w:t>
      </w:r>
      <w:r w:rsidRPr="00904FCB">
        <w:rPr>
          <w:rFonts w:hint="cs"/>
          <w:sz w:val="27"/>
          <w:rtl/>
        </w:rPr>
        <w:t>غيره</w:t>
      </w:r>
      <w:r w:rsidRPr="00904FCB">
        <w:rPr>
          <w:sz w:val="27"/>
          <w:rtl/>
        </w:rPr>
        <w:t xml:space="preserve"> </w:t>
      </w:r>
      <w:r w:rsidRPr="00904FCB">
        <w:rPr>
          <w:rFonts w:hint="cs"/>
          <w:sz w:val="27"/>
          <w:rtl/>
        </w:rPr>
        <w:t>بهذا</w:t>
      </w:r>
      <w:r w:rsidRPr="00904FCB">
        <w:rPr>
          <w:sz w:val="27"/>
          <w:rtl/>
        </w:rPr>
        <w:t xml:space="preserve"> </w:t>
      </w:r>
      <w:r w:rsidRPr="00904FCB">
        <w:rPr>
          <w:rFonts w:hint="cs"/>
          <w:sz w:val="27"/>
          <w:rtl/>
        </w:rPr>
        <w:t>الشكل هي</w:t>
      </w:r>
      <w:r w:rsidRPr="00904FCB">
        <w:rPr>
          <w:sz w:val="27"/>
          <w:rtl/>
        </w:rPr>
        <w:t xml:space="preserve"> </w:t>
      </w:r>
      <w:r w:rsidRPr="00904FCB">
        <w:rPr>
          <w:rFonts w:hint="cs"/>
          <w:sz w:val="27"/>
          <w:rtl/>
        </w:rPr>
        <w:t>نحو</w:t>
      </w:r>
      <w:r w:rsidR="00A446CF"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أنحاء</w:t>
      </w:r>
      <w:r w:rsidRPr="00904FCB">
        <w:rPr>
          <w:sz w:val="27"/>
          <w:rtl/>
        </w:rPr>
        <w:t xml:space="preserve"> </w:t>
      </w:r>
      <w:r w:rsidRPr="00904FCB">
        <w:rPr>
          <w:rFonts w:hint="cs"/>
          <w:sz w:val="27"/>
          <w:rtl/>
        </w:rPr>
        <w:t>الشرك، كما</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رسول</w:t>
      </w:r>
      <w:r w:rsidRPr="00904FCB">
        <w:rPr>
          <w:sz w:val="27"/>
          <w:rtl/>
        </w:rPr>
        <w:t xml:space="preserve"> </w:t>
      </w:r>
      <w:r w:rsidRPr="00904FCB">
        <w:rPr>
          <w:rFonts w:hint="cs"/>
          <w:sz w:val="27"/>
          <w:rtl/>
        </w:rPr>
        <w:t>الله</w:t>
      </w:r>
      <w:r w:rsidR="00635E51" w:rsidRPr="00904FCB">
        <w:rPr>
          <w:rFonts w:cs="Mosawi"/>
          <w:sz w:val="27"/>
          <w:szCs w:val="22"/>
          <w:rtl/>
        </w:rPr>
        <w:t>|</w:t>
      </w:r>
      <w:r w:rsidRPr="00904FCB">
        <w:rPr>
          <w:sz w:val="27"/>
          <w:rtl/>
        </w:rPr>
        <w:t xml:space="preserve">: </w:t>
      </w:r>
      <w:r w:rsidRPr="00904FCB">
        <w:rPr>
          <w:rFonts w:hint="eastAsia"/>
          <w:sz w:val="27"/>
          <w:rtl/>
        </w:rPr>
        <w:t>«</w:t>
      </w:r>
      <w:r w:rsidRPr="00904FCB">
        <w:rPr>
          <w:rFonts w:hint="cs"/>
          <w:sz w:val="27"/>
          <w:rtl/>
        </w:rPr>
        <w:t>م</w:t>
      </w:r>
      <w:r w:rsidR="00A446CF" w:rsidRPr="00904FCB">
        <w:rPr>
          <w:rFonts w:hint="cs"/>
          <w:sz w:val="27"/>
          <w:rtl/>
        </w:rPr>
        <w:t>َ</w:t>
      </w:r>
      <w:r w:rsidRPr="00904FCB">
        <w:rPr>
          <w:rFonts w:hint="cs"/>
          <w:sz w:val="27"/>
          <w:rtl/>
        </w:rPr>
        <w:t>ن</w:t>
      </w:r>
      <w:r w:rsidR="00A446CF" w:rsidRPr="00904FCB">
        <w:rPr>
          <w:rFonts w:hint="cs"/>
          <w:sz w:val="27"/>
          <w:rtl/>
        </w:rPr>
        <w:t>ْ</w:t>
      </w:r>
      <w:r w:rsidRPr="00904FCB">
        <w:rPr>
          <w:sz w:val="27"/>
          <w:rtl/>
        </w:rPr>
        <w:t xml:space="preserve"> </w:t>
      </w:r>
      <w:r w:rsidRPr="00904FCB">
        <w:rPr>
          <w:rFonts w:hint="cs"/>
          <w:sz w:val="27"/>
          <w:rtl/>
        </w:rPr>
        <w:t>أطاع</w:t>
      </w:r>
      <w:r w:rsidRPr="00904FCB">
        <w:rPr>
          <w:sz w:val="27"/>
          <w:rtl/>
        </w:rPr>
        <w:t xml:space="preserve"> </w:t>
      </w:r>
      <w:r w:rsidRPr="00904FCB">
        <w:rPr>
          <w:rFonts w:hint="cs"/>
          <w:sz w:val="27"/>
          <w:rtl/>
        </w:rPr>
        <w:t>رجلاً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معصيةٍ</w:t>
      </w:r>
      <w:r w:rsidRPr="00904FCB">
        <w:rPr>
          <w:sz w:val="27"/>
          <w:rtl/>
        </w:rPr>
        <w:t xml:space="preserve"> </w:t>
      </w:r>
      <w:r w:rsidRPr="00904FCB">
        <w:rPr>
          <w:rFonts w:hint="cs"/>
          <w:sz w:val="27"/>
          <w:rtl/>
        </w:rPr>
        <w:t>فقد</w:t>
      </w:r>
      <w:r w:rsidRPr="00904FCB">
        <w:rPr>
          <w:sz w:val="27"/>
          <w:rtl/>
        </w:rPr>
        <w:t xml:space="preserve"> </w:t>
      </w:r>
      <w:r w:rsidRPr="00904FCB">
        <w:rPr>
          <w:rFonts w:hint="cs"/>
          <w:sz w:val="27"/>
          <w:rtl/>
        </w:rPr>
        <w:t>عبده</w:t>
      </w:r>
      <w:r w:rsidRPr="00904FCB">
        <w:rPr>
          <w:rFonts w:hint="eastAsia"/>
          <w:sz w:val="27"/>
          <w:rtl/>
        </w:rPr>
        <w:t>»</w:t>
      </w:r>
      <w:r w:rsidRPr="00904FCB">
        <w:rPr>
          <w:rFonts w:hint="cs"/>
          <w:sz w:val="27"/>
          <w:vertAlign w:val="superscript"/>
          <w:rtl/>
        </w:rPr>
        <w:t>(</w:t>
      </w:r>
      <w:r w:rsidRPr="00904FCB">
        <w:rPr>
          <w:rStyle w:val="ac"/>
          <w:sz w:val="27"/>
          <w:rtl/>
        </w:rPr>
        <w:endnoteReference w:id="659"/>
      </w:r>
      <w:r w:rsidRPr="00904FCB">
        <w:rPr>
          <w:rFonts w:hint="cs"/>
          <w:sz w:val="27"/>
          <w:vertAlign w:val="superscript"/>
          <w:rtl/>
        </w:rPr>
        <w:t>)</w:t>
      </w:r>
      <w:r w:rsidRPr="00904FCB">
        <w:rPr>
          <w:rFonts w:hint="cs"/>
          <w:sz w:val="27"/>
          <w:rtl/>
        </w:rPr>
        <w:t xml:space="preserve">. </w:t>
      </w:r>
    </w:p>
    <w:p w:rsidR="00F34FB9" w:rsidRPr="00904FCB" w:rsidRDefault="00F34FB9" w:rsidP="00B9445D">
      <w:pPr>
        <w:spacing w:line="420" w:lineRule="exact"/>
        <w:ind w:firstLine="561"/>
        <w:rPr>
          <w:sz w:val="27"/>
          <w:rtl/>
        </w:rPr>
      </w:pPr>
      <w:r w:rsidRPr="00904FCB">
        <w:rPr>
          <w:rFonts w:hint="cs"/>
          <w:sz w:val="27"/>
          <w:rtl/>
        </w:rPr>
        <w:t>ومن</w:t>
      </w:r>
      <w:r w:rsidRPr="00904FCB">
        <w:rPr>
          <w:sz w:val="27"/>
          <w:rtl/>
        </w:rPr>
        <w:t xml:space="preserve"> </w:t>
      </w:r>
      <w:r w:rsidRPr="00904FCB">
        <w:rPr>
          <w:rFonts w:hint="cs"/>
          <w:sz w:val="27"/>
          <w:rtl/>
        </w:rPr>
        <w:t>المعلوم</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شرك</w:t>
      </w:r>
      <w:r w:rsidR="00A446CF"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الطاعة</w:t>
      </w:r>
      <w:r w:rsidR="00A446CF" w:rsidRPr="00904FCB">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العبادة، وقد</w:t>
      </w:r>
      <w:r w:rsidRPr="00904FCB">
        <w:rPr>
          <w:sz w:val="27"/>
          <w:rtl/>
        </w:rPr>
        <w:t xml:space="preserve"> </w:t>
      </w:r>
      <w:r w:rsidRPr="00904FCB">
        <w:rPr>
          <w:rFonts w:hint="cs"/>
          <w:sz w:val="27"/>
          <w:rtl/>
        </w:rPr>
        <w:t>جاء</w:t>
      </w:r>
      <w:r w:rsidRPr="00904FCB">
        <w:rPr>
          <w:sz w:val="27"/>
          <w:rtl/>
        </w:rPr>
        <w:t xml:space="preserve"> </w:t>
      </w:r>
      <w:r w:rsidRPr="00904FCB">
        <w:rPr>
          <w:rFonts w:hint="cs"/>
          <w:sz w:val="27"/>
          <w:rtl/>
        </w:rPr>
        <w:t>ذكره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القرآن</w:t>
      </w:r>
      <w:r w:rsidRPr="00904FCB">
        <w:rPr>
          <w:sz w:val="27"/>
          <w:rtl/>
        </w:rPr>
        <w:t xml:space="preserve"> </w:t>
      </w:r>
      <w:r w:rsidRPr="00904FCB">
        <w:rPr>
          <w:rFonts w:hint="cs"/>
          <w:sz w:val="27"/>
          <w:rtl/>
        </w:rPr>
        <w:t>أيضاً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عصمنا</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من‏</w:t>
      </w:r>
      <w:r w:rsidR="00A446CF" w:rsidRPr="00904FCB">
        <w:rPr>
          <w:rFonts w:hint="cs"/>
          <w:sz w:val="27"/>
          <w:rtl/>
        </w:rPr>
        <w:t xml:space="preserve"> </w:t>
      </w:r>
      <w:r w:rsidRPr="00904FCB">
        <w:rPr>
          <w:rFonts w:hint="cs"/>
          <w:sz w:val="27"/>
          <w:rtl/>
        </w:rPr>
        <w:t>الزلل</w:t>
      </w:r>
      <w:r w:rsidRPr="00904FCB">
        <w:rPr>
          <w:sz w:val="27"/>
          <w:rtl/>
        </w:rPr>
        <w:t xml:space="preserve"> </w:t>
      </w:r>
      <w:r w:rsidRPr="00904FCB">
        <w:rPr>
          <w:rFonts w:hint="cs"/>
          <w:sz w:val="27"/>
          <w:rtl/>
        </w:rPr>
        <w:t>ـ</w:t>
      </w:r>
      <w:r w:rsidR="00A446CF" w:rsidRPr="00904FCB">
        <w:rPr>
          <w:rFonts w:hint="cs"/>
          <w:sz w:val="27"/>
          <w:rtl/>
        </w:rPr>
        <w:t>،</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إنّه</w:t>
      </w:r>
      <w:r w:rsidRPr="00904FCB">
        <w:rPr>
          <w:sz w:val="27"/>
          <w:rtl/>
        </w:rPr>
        <w:t xml:space="preserve"> </w:t>
      </w:r>
      <w:r w:rsidRPr="00904FCB">
        <w:rPr>
          <w:rFonts w:hint="cs"/>
          <w:sz w:val="27"/>
          <w:rtl/>
        </w:rPr>
        <w:t>ينطبق</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المسلمين</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يطيعون</w:t>
      </w:r>
      <w:r w:rsidRPr="00904FCB">
        <w:rPr>
          <w:sz w:val="27"/>
          <w:rtl/>
        </w:rPr>
        <w:t xml:space="preserve"> </w:t>
      </w:r>
      <w:r w:rsidRPr="00904FCB">
        <w:rPr>
          <w:rFonts w:hint="cs"/>
          <w:sz w:val="27"/>
          <w:rtl/>
        </w:rPr>
        <w:t>الشيطان</w:t>
      </w:r>
      <w:r w:rsidRPr="00904FCB">
        <w:rPr>
          <w:sz w:val="27"/>
          <w:rtl/>
        </w:rPr>
        <w:t xml:space="preserve">. </w:t>
      </w:r>
      <w:r w:rsidRPr="00904FCB">
        <w:rPr>
          <w:rFonts w:hint="cs"/>
          <w:sz w:val="27"/>
          <w:rtl/>
        </w:rPr>
        <w:t>فإ</w:t>
      </w:r>
      <w:r w:rsidR="00A446CF" w:rsidRPr="00904FCB">
        <w:rPr>
          <w:rFonts w:hint="cs"/>
          <w:sz w:val="27"/>
          <w:rtl/>
        </w:rPr>
        <w:t>ذا</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كذلك فلا</w:t>
      </w:r>
      <w:r w:rsidRPr="00904FCB">
        <w:rPr>
          <w:sz w:val="27"/>
          <w:rtl/>
        </w:rPr>
        <w:t xml:space="preserve"> </w:t>
      </w:r>
      <w:r w:rsidRPr="00904FCB">
        <w:rPr>
          <w:rFonts w:hint="cs"/>
          <w:sz w:val="27"/>
          <w:rtl/>
        </w:rPr>
        <w:t>ب</w:t>
      </w:r>
      <w:r w:rsidR="00A446CF" w:rsidRPr="00904FCB">
        <w:rPr>
          <w:rFonts w:hint="cs"/>
          <w:sz w:val="27"/>
          <w:rtl/>
        </w:rPr>
        <w:t>ُ</w:t>
      </w:r>
      <w:r w:rsidRPr="00904FCB">
        <w:rPr>
          <w:rFonts w:hint="cs"/>
          <w:sz w:val="27"/>
          <w:rtl/>
        </w:rPr>
        <w:t>دّ</w:t>
      </w:r>
      <w:r w:rsidR="00A446CF" w:rsidRPr="00904FCB">
        <w:rPr>
          <w:rFonts w:hint="cs"/>
          <w:sz w:val="27"/>
          <w:rtl/>
        </w:rPr>
        <w:t>َ</w:t>
      </w:r>
      <w:r w:rsidRPr="00904FCB">
        <w:rPr>
          <w:sz w:val="27"/>
          <w:rtl/>
        </w:rPr>
        <w:t xml:space="preserve"> </w:t>
      </w:r>
      <w:r w:rsidRPr="00904FCB">
        <w:rPr>
          <w:rFonts w:hint="cs"/>
          <w:sz w:val="27"/>
          <w:rtl/>
        </w:rPr>
        <w:t>وأن</w:t>
      </w:r>
      <w:r w:rsidRPr="00904FCB">
        <w:rPr>
          <w:sz w:val="27"/>
          <w:rtl/>
        </w:rPr>
        <w:t xml:space="preserve"> </w:t>
      </w:r>
      <w:r w:rsidRPr="00904FCB">
        <w:rPr>
          <w:rFonts w:hint="cs"/>
          <w:sz w:val="27"/>
          <w:rtl/>
        </w:rPr>
        <w:t>نحسبهم</w:t>
      </w:r>
      <w:r w:rsidRPr="00904FCB">
        <w:rPr>
          <w:sz w:val="27"/>
          <w:rtl/>
        </w:rPr>
        <w:t xml:space="preserve"> ‏</w:t>
      </w:r>
      <w:r w:rsidRPr="00904FCB">
        <w:rPr>
          <w:rFonts w:hint="cs"/>
          <w:sz w:val="27"/>
          <w:rtl/>
        </w:rPr>
        <w:t>مشركين</w:t>
      </w:r>
      <w:r w:rsidR="00A446CF" w:rsidRPr="00904FCB">
        <w:rPr>
          <w:rFonts w:hint="cs"/>
          <w:sz w:val="27"/>
          <w:rtl/>
        </w:rPr>
        <w:t>،</w:t>
      </w:r>
      <w:r w:rsidRPr="00904FCB">
        <w:rPr>
          <w:sz w:val="27"/>
          <w:rtl/>
        </w:rPr>
        <w:t xml:space="preserve"> </w:t>
      </w:r>
      <w:r w:rsidRPr="00904FCB">
        <w:rPr>
          <w:rFonts w:hint="cs"/>
          <w:sz w:val="27"/>
          <w:rtl/>
        </w:rPr>
        <w:t>ونجري</w:t>
      </w:r>
      <w:r w:rsidRPr="00904FCB">
        <w:rPr>
          <w:sz w:val="27"/>
          <w:rtl/>
        </w:rPr>
        <w:t xml:space="preserve"> </w:t>
      </w:r>
      <w:r w:rsidRPr="00904FCB">
        <w:rPr>
          <w:rFonts w:hint="cs"/>
          <w:sz w:val="27"/>
          <w:rtl/>
        </w:rPr>
        <w:t>عليهم</w:t>
      </w:r>
      <w:r w:rsidRPr="00904FCB">
        <w:rPr>
          <w:sz w:val="27"/>
          <w:rtl/>
        </w:rPr>
        <w:t xml:space="preserve"> </w:t>
      </w:r>
      <w:r w:rsidRPr="00904FCB">
        <w:rPr>
          <w:rFonts w:hint="cs"/>
          <w:sz w:val="27"/>
          <w:rtl/>
        </w:rPr>
        <w:t>آثار</w:t>
      </w:r>
      <w:r w:rsidRPr="00904FCB">
        <w:rPr>
          <w:sz w:val="27"/>
          <w:rtl/>
        </w:rPr>
        <w:t xml:space="preserve"> </w:t>
      </w:r>
      <w:r w:rsidRPr="00904FCB">
        <w:rPr>
          <w:rFonts w:hint="cs"/>
          <w:sz w:val="27"/>
          <w:rtl/>
        </w:rPr>
        <w:t>الشرك، و</w:t>
      </w:r>
      <w:r w:rsidR="00B9445D">
        <w:rPr>
          <w:rFonts w:hint="cs"/>
          <w:sz w:val="27"/>
          <w:rtl/>
        </w:rPr>
        <w:t xml:space="preserve">ليس </w:t>
      </w:r>
      <w:r w:rsidRPr="00904FCB">
        <w:rPr>
          <w:rFonts w:hint="cs"/>
          <w:sz w:val="27"/>
          <w:rtl/>
        </w:rPr>
        <w:t>الأمر</w:t>
      </w:r>
      <w:r w:rsidRPr="00904FCB">
        <w:rPr>
          <w:sz w:val="27"/>
          <w:rtl/>
        </w:rPr>
        <w:t xml:space="preserve"> </w:t>
      </w:r>
      <w:r w:rsidRPr="00904FCB">
        <w:rPr>
          <w:rFonts w:hint="cs"/>
          <w:sz w:val="27"/>
          <w:rtl/>
        </w:rPr>
        <w:t>كذلك</w:t>
      </w:r>
      <w:r w:rsidRPr="00904FCB">
        <w:rPr>
          <w:sz w:val="27"/>
          <w:rtl/>
        </w:rPr>
        <w:t xml:space="preserve">. </w:t>
      </w:r>
    </w:p>
    <w:p w:rsidR="00F34FB9" w:rsidRPr="00904FCB" w:rsidRDefault="00F34FB9" w:rsidP="007A21AA">
      <w:pPr>
        <w:spacing w:line="400" w:lineRule="exact"/>
        <w:rPr>
          <w:rFonts w:ascii="Arial" w:hAnsi="Arial"/>
          <w:sz w:val="27"/>
          <w:rtl/>
        </w:rPr>
      </w:pPr>
      <w:r w:rsidRPr="00904FCB">
        <w:rPr>
          <w:rFonts w:hint="cs"/>
          <w:sz w:val="27"/>
          <w:rtl/>
        </w:rPr>
        <w:t>ونظير</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قوله</w:t>
      </w:r>
      <w:r w:rsidRPr="00904FCB">
        <w:rPr>
          <w:sz w:val="27"/>
          <w:rtl/>
        </w:rPr>
        <w:t xml:space="preserve"> </w:t>
      </w:r>
      <w:r w:rsidRPr="00904FCB">
        <w:rPr>
          <w:rFonts w:hint="cs"/>
          <w:sz w:val="27"/>
          <w:rtl/>
        </w:rPr>
        <w:t>تعالى</w:t>
      </w:r>
      <w:r w:rsidRPr="00904FCB">
        <w:rPr>
          <w:sz w:val="27"/>
          <w:rtl/>
        </w:rPr>
        <w:t xml:space="preserve">: </w:t>
      </w:r>
      <w:r w:rsidRPr="00904FCB">
        <w:rPr>
          <w:rFonts w:ascii="Mosawi" w:hAnsi="Mosawi" w:cs="Mosawi"/>
          <w:sz w:val="24"/>
          <w:szCs w:val="24"/>
          <w:rtl/>
        </w:rPr>
        <w:t>﴿</w:t>
      </w:r>
      <w:r w:rsidRPr="00904FCB">
        <w:rPr>
          <w:b/>
          <w:bCs/>
          <w:sz w:val="27"/>
          <w:rtl/>
        </w:rPr>
        <w:t>و</w:t>
      </w:r>
      <w:r w:rsidR="00A446CF" w:rsidRPr="00904FCB">
        <w:rPr>
          <w:rFonts w:hint="cs"/>
          <w:b/>
          <w:bCs/>
          <w:sz w:val="27"/>
          <w:rtl/>
        </w:rPr>
        <w:t>َ</w:t>
      </w:r>
      <w:r w:rsidRPr="00904FCB">
        <w:rPr>
          <w:rFonts w:hint="cs"/>
          <w:b/>
          <w:bCs/>
          <w:sz w:val="27"/>
          <w:rtl/>
        </w:rPr>
        <w:t>م</w:t>
      </w:r>
      <w:r w:rsidR="00A446CF"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يُؤْمِنُ</w:t>
      </w:r>
      <w:r w:rsidRPr="00904FCB">
        <w:rPr>
          <w:b/>
          <w:bCs/>
          <w:sz w:val="27"/>
          <w:rtl/>
        </w:rPr>
        <w:t xml:space="preserve"> </w:t>
      </w:r>
      <w:r w:rsidRPr="00904FCB">
        <w:rPr>
          <w:rFonts w:hint="cs"/>
          <w:b/>
          <w:bCs/>
          <w:sz w:val="27"/>
          <w:rtl/>
        </w:rPr>
        <w:t>أَكْثَرُهُمْ</w:t>
      </w:r>
      <w:r w:rsidRPr="00904FCB">
        <w:rPr>
          <w:b/>
          <w:bCs/>
          <w:sz w:val="27"/>
          <w:rtl/>
        </w:rPr>
        <w:t xml:space="preserve"> </w:t>
      </w:r>
      <w:r w:rsidR="00A446CF" w:rsidRPr="00904FCB">
        <w:rPr>
          <w:rFonts w:hint="cs"/>
          <w:b/>
          <w:bCs/>
          <w:sz w:val="27"/>
          <w:rtl/>
        </w:rPr>
        <w:t>بِالل</w:t>
      </w:r>
      <w:r w:rsidRPr="00904FCB">
        <w:rPr>
          <w:rFonts w:hint="cs"/>
          <w:b/>
          <w:bCs/>
          <w:sz w:val="27"/>
          <w:rtl/>
        </w:rPr>
        <w:t>هِ</w:t>
      </w:r>
      <w:r w:rsidRPr="00904FCB">
        <w:rPr>
          <w:b/>
          <w:bCs/>
          <w:sz w:val="27"/>
          <w:rtl/>
        </w:rPr>
        <w:t xml:space="preserve"> </w:t>
      </w:r>
      <w:r w:rsidRPr="00904FCB">
        <w:rPr>
          <w:rFonts w:hint="cs"/>
          <w:b/>
          <w:bCs/>
          <w:sz w:val="27"/>
          <w:rtl/>
        </w:rPr>
        <w:t>إِلاَّ</w:t>
      </w:r>
      <w:r w:rsidRPr="00904FCB">
        <w:rPr>
          <w:b/>
          <w:bCs/>
          <w:sz w:val="27"/>
          <w:rtl/>
        </w:rPr>
        <w:t xml:space="preserve"> و</w:t>
      </w:r>
      <w:r w:rsidR="00A446CF" w:rsidRPr="00904FCB">
        <w:rPr>
          <w:rFonts w:hint="cs"/>
          <w:b/>
          <w:bCs/>
          <w:sz w:val="27"/>
          <w:rtl/>
        </w:rPr>
        <w:t>َ</w:t>
      </w:r>
      <w:r w:rsidRPr="00904FCB">
        <w:rPr>
          <w:rFonts w:hint="cs"/>
          <w:b/>
          <w:bCs/>
          <w:sz w:val="27"/>
          <w:rtl/>
        </w:rPr>
        <w:t>هُمْ</w:t>
      </w:r>
      <w:r w:rsidRPr="00904FCB">
        <w:rPr>
          <w:b/>
          <w:bCs/>
          <w:sz w:val="27"/>
          <w:rtl/>
        </w:rPr>
        <w:t xml:space="preserve"> </w:t>
      </w:r>
      <w:r w:rsidRPr="00904FCB">
        <w:rPr>
          <w:rFonts w:hint="cs"/>
          <w:b/>
          <w:bCs/>
          <w:sz w:val="27"/>
          <w:rtl/>
        </w:rPr>
        <w:t>مُشْرِكُونَ</w:t>
      </w:r>
      <w:r w:rsidRPr="00904FCB">
        <w:rPr>
          <w:rFonts w:ascii="Mosawi" w:hAnsi="Mosawi" w:cs="Mosawi"/>
          <w:sz w:val="24"/>
          <w:szCs w:val="24"/>
          <w:rtl/>
        </w:rPr>
        <w:t>﴾</w:t>
      </w:r>
      <w:r w:rsidRPr="00904FCB">
        <w:rPr>
          <w:rFonts w:hint="cs"/>
          <w:sz w:val="27"/>
          <w:rtl/>
        </w:rPr>
        <w:t xml:space="preserve"> (يوسف: </w:t>
      </w:r>
      <w:r w:rsidRPr="00783611">
        <w:rPr>
          <w:rFonts w:hint="cs"/>
          <w:sz w:val="27"/>
          <w:rtl/>
          <w:lang w:bidi="ar-LB"/>
        </w:rPr>
        <w:t>106</w:t>
      </w:r>
      <w:r w:rsidRPr="00904FCB">
        <w:rPr>
          <w:sz w:val="27"/>
          <w:rtl/>
        </w:rPr>
        <w:t>).</w:t>
      </w:r>
      <w:r w:rsidRPr="00904FCB">
        <w:rPr>
          <w:rFonts w:ascii="Arial" w:hAnsi="Arial" w:hint="cs"/>
          <w:sz w:val="27"/>
          <w:rtl/>
        </w:rPr>
        <w:t xml:space="preserve"> </w:t>
      </w:r>
    </w:p>
    <w:p w:rsidR="00F34FB9" w:rsidRPr="00904FCB" w:rsidRDefault="00F34FB9" w:rsidP="007A21AA">
      <w:pPr>
        <w:pStyle w:val="31"/>
        <w:spacing w:line="400" w:lineRule="exact"/>
        <w:rPr>
          <w:color w:val="auto"/>
          <w:rtl/>
        </w:rPr>
      </w:pPr>
      <w:r w:rsidRPr="00904FCB">
        <w:rPr>
          <w:rFonts w:hint="cs"/>
          <w:color w:val="auto"/>
          <w:rtl/>
        </w:rPr>
        <w:lastRenderedPageBreak/>
        <w:t>أحاديث لدعم الآية القر</w:t>
      </w:r>
      <w:r w:rsidR="00D858CA" w:rsidRPr="00904FCB">
        <w:rPr>
          <w:rFonts w:hint="cs"/>
          <w:color w:val="auto"/>
          <w:rtl/>
        </w:rPr>
        <w:t>آ</w:t>
      </w:r>
      <w:r w:rsidRPr="00904FCB">
        <w:rPr>
          <w:rFonts w:hint="cs"/>
          <w:color w:val="auto"/>
          <w:rtl/>
        </w:rPr>
        <w:t>نيّة</w:t>
      </w:r>
    </w:p>
    <w:p w:rsidR="00F34FB9" w:rsidRPr="00904FCB" w:rsidRDefault="00F34FB9" w:rsidP="007A21AA">
      <w:pPr>
        <w:spacing w:line="400" w:lineRule="exact"/>
        <w:rPr>
          <w:sz w:val="27"/>
          <w:rtl/>
        </w:rPr>
      </w:pPr>
      <w:r w:rsidRPr="00904FCB">
        <w:rPr>
          <w:rFonts w:hint="cs"/>
          <w:sz w:val="27"/>
          <w:rtl/>
        </w:rPr>
        <w:t>وقد</w:t>
      </w:r>
      <w:r w:rsidRPr="00904FCB">
        <w:rPr>
          <w:sz w:val="27"/>
          <w:rtl/>
        </w:rPr>
        <w:t xml:space="preserve"> </w:t>
      </w:r>
      <w:r w:rsidRPr="00904FCB">
        <w:rPr>
          <w:rFonts w:hint="cs"/>
          <w:sz w:val="27"/>
          <w:rtl/>
        </w:rPr>
        <w:t>جاءت</w:t>
      </w:r>
      <w:r w:rsidRPr="00904FCB">
        <w:rPr>
          <w:sz w:val="27"/>
          <w:rtl/>
        </w:rPr>
        <w:t xml:space="preserve"> </w:t>
      </w:r>
      <w:r w:rsidRPr="00904FCB">
        <w:rPr>
          <w:rFonts w:hint="cs"/>
          <w:sz w:val="27"/>
          <w:rtl/>
        </w:rPr>
        <w:t>أحاديث</w:t>
      </w:r>
      <w:r w:rsidRPr="00904FCB">
        <w:rPr>
          <w:sz w:val="27"/>
          <w:rtl/>
        </w:rPr>
        <w:t xml:space="preserve"> </w:t>
      </w:r>
      <w:r w:rsidRPr="00904FCB">
        <w:rPr>
          <w:rFonts w:hint="cs"/>
          <w:sz w:val="27"/>
          <w:rtl/>
        </w:rPr>
        <w:t>وروايات</w:t>
      </w:r>
      <w:r w:rsidRPr="00904FCB">
        <w:rPr>
          <w:sz w:val="27"/>
          <w:rtl/>
        </w:rPr>
        <w:t xml:space="preserve"> </w:t>
      </w:r>
      <w:r w:rsidRPr="00904FCB">
        <w:rPr>
          <w:rFonts w:hint="cs"/>
          <w:sz w:val="27"/>
          <w:rtl/>
        </w:rPr>
        <w:t>كثيرة</w:t>
      </w:r>
      <w:r w:rsidRPr="00904FCB">
        <w:rPr>
          <w:sz w:val="27"/>
          <w:rtl/>
        </w:rPr>
        <w:t xml:space="preserve"> </w:t>
      </w:r>
      <w:r w:rsidRPr="00904FCB">
        <w:rPr>
          <w:rFonts w:hint="cs"/>
          <w:sz w:val="27"/>
          <w:rtl/>
        </w:rPr>
        <w:t>حول</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القرانيّة أيّ</w:t>
      </w:r>
      <w:r w:rsidR="00A446CF" w:rsidRPr="00904FCB">
        <w:rPr>
          <w:rFonts w:hint="cs"/>
          <w:sz w:val="27"/>
          <w:rtl/>
        </w:rPr>
        <w:t>َ</w:t>
      </w:r>
      <w:r w:rsidRPr="00904FCB">
        <w:rPr>
          <w:rFonts w:hint="cs"/>
          <w:sz w:val="27"/>
          <w:rtl/>
        </w:rPr>
        <w:t>د</w:t>
      </w:r>
      <w:r w:rsidR="00A446CF" w:rsidRPr="00904FCB">
        <w:rPr>
          <w:rFonts w:hint="cs"/>
          <w:sz w:val="27"/>
          <w:rtl/>
        </w:rPr>
        <w:t>َ</w:t>
      </w:r>
      <w:r w:rsidRPr="00904FCB">
        <w:rPr>
          <w:rFonts w:hint="cs"/>
          <w:sz w:val="27"/>
          <w:rtl/>
        </w:rPr>
        <w:t>ت</w:t>
      </w:r>
      <w:r w:rsidR="00A446CF" w:rsidRPr="00904FCB">
        <w:rPr>
          <w:rFonts w:hint="cs"/>
          <w:sz w:val="27"/>
          <w:rtl/>
        </w:rPr>
        <w:t>ْ</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المعنى، منها</w:t>
      </w:r>
      <w:r w:rsidRPr="00904FCB">
        <w:rPr>
          <w:sz w:val="27"/>
          <w:rtl/>
        </w:rPr>
        <w:t xml:space="preserve">: </w:t>
      </w:r>
    </w:p>
    <w:p w:rsidR="00F34FB9" w:rsidRPr="00904FCB" w:rsidRDefault="00F34FB9" w:rsidP="00B9445D">
      <w:pPr>
        <w:spacing w:line="400" w:lineRule="exact"/>
        <w:rPr>
          <w:sz w:val="27"/>
          <w:rtl/>
        </w:rPr>
      </w:pPr>
      <w:r w:rsidRPr="00F4753C">
        <w:rPr>
          <w:rFonts w:hint="cs"/>
          <w:sz w:val="27"/>
          <w:rtl/>
          <w:lang w:bidi="ar-LB"/>
        </w:rPr>
        <w:t>1ـ</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عدي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حاتم</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نصرانيّاً، فانتهى</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رسول</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يقرأ</w:t>
      </w:r>
      <w:r w:rsidRPr="00904FCB">
        <w:rPr>
          <w:sz w:val="27"/>
          <w:rtl/>
        </w:rPr>
        <w:t xml:space="preserve"> </w:t>
      </w:r>
      <w:r w:rsidRPr="00904FCB">
        <w:rPr>
          <w:rFonts w:hint="cs"/>
          <w:sz w:val="27"/>
          <w:rtl/>
        </w:rPr>
        <w:t>سورة</w:t>
      </w:r>
      <w:r w:rsidRPr="00904FCB">
        <w:rPr>
          <w:sz w:val="27"/>
          <w:rtl/>
        </w:rPr>
        <w:t xml:space="preserve"> </w:t>
      </w:r>
      <w:r w:rsidRPr="00904FCB">
        <w:rPr>
          <w:rFonts w:hint="cs"/>
          <w:sz w:val="27"/>
          <w:rtl/>
        </w:rPr>
        <w:t>براءة، فوصل</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الآية</w:t>
      </w:r>
      <w:r w:rsidRPr="00904FCB">
        <w:rPr>
          <w:sz w:val="27"/>
          <w:rtl/>
        </w:rPr>
        <w:t>: «</w:t>
      </w:r>
      <w:r w:rsidRPr="00904FCB">
        <w:rPr>
          <w:rFonts w:hint="cs"/>
          <w:sz w:val="27"/>
          <w:rtl/>
        </w:rPr>
        <w:t>قال</w:t>
      </w:r>
      <w:r w:rsidR="00A446CF" w:rsidRPr="00904FCB">
        <w:rPr>
          <w:rFonts w:hint="cs"/>
          <w:sz w:val="27"/>
          <w:rtl/>
        </w:rPr>
        <w:t>:</w:t>
      </w:r>
      <w:r w:rsidRPr="00904FCB">
        <w:rPr>
          <w:sz w:val="27"/>
          <w:rtl/>
        </w:rPr>
        <w:t xml:space="preserve"> </w:t>
      </w:r>
      <w:r w:rsidRPr="00904FCB">
        <w:rPr>
          <w:rFonts w:hint="cs"/>
          <w:sz w:val="27"/>
          <w:rtl/>
        </w:rPr>
        <w:t>فقلت</w:t>
      </w:r>
      <w:r w:rsidR="00A446CF" w:rsidRPr="00904FCB">
        <w:rPr>
          <w:rFonts w:hint="cs"/>
          <w:sz w:val="27"/>
          <w:rtl/>
        </w:rPr>
        <w:t>ُ</w:t>
      </w:r>
      <w:r w:rsidRPr="00904FCB">
        <w:rPr>
          <w:sz w:val="27"/>
          <w:rtl/>
        </w:rPr>
        <w:t xml:space="preserve">: </w:t>
      </w:r>
      <w:r w:rsidRPr="00904FCB">
        <w:rPr>
          <w:rFonts w:hint="cs"/>
          <w:sz w:val="27"/>
          <w:rtl/>
        </w:rPr>
        <w:t>لسنا</w:t>
      </w:r>
      <w:r w:rsidRPr="00904FCB">
        <w:rPr>
          <w:sz w:val="27"/>
          <w:rtl/>
        </w:rPr>
        <w:t xml:space="preserve"> </w:t>
      </w:r>
      <w:r w:rsidRPr="00904FCB">
        <w:rPr>
          <w:rFonts w:hint="cs"/>
          <w:sz w:val="27"/>
          <w:rtl/>
        </w:rPr>
        <w:t>نعبدهم، فقال</w:t>
      </w:r>
      <w:r w:rsidR="00635E51" w:rsidRPr="00904FCB">
        <w:rPr>
          <w:rFonts w:cs="Mosawi"/>
          <w:sz w:val="27"/>
          <w:szCs w:val="22"/>
          <w:rtl/>
        </w:rPr>
        <w:t>|</w:t>
      </w:r>
      <w:r w:rsidRPr="00904FCB">
        <w:rPr>
          <w:sz w:val="27"/>
          <w:rtl/>
        </w:rPr>
        <w:t xml:space="preserve">: </w:t>
      </w:r>
      <w:r w:rsidRPr="00904FCB">
        <w:rPr>
          <w:rFonts w:hint="cs"/>
          <w:sz w:val="27"/>
          <w:rtl/>
        </w:rPr>
        <w:t>أليس</w:t>
      </w:r>
      <w:r w:rsidRPr="00904FCB">
        <w:rPr>
          <w:sz w:val="27"/>
          <w:rtl/>
        </w:rPr>
        <w:t xml:space="preserve"> </w:t>
      </w:r>
      <w:r w:rsidRPr="00904FCB">
        <w:rPr>
          <w:rFonts w:hint="cs"/>
          <w:sz w:val="27"/>
          <w:rtl/>
        </w:rPr>
        <w:t>يحرّ</w:t>
      </w:r>
      <w:r w:rsidR="00A446CF" w:rsidRPr="00904FCB">
        <w:rPr>
          <w:rFonts w:hint="cs"/>
          <w:sz w:val="27"/>
          <w:rtl/>
        </w:rPr>
        <w:t>ِ</w:t>
      </w:r>
      <w:r w:rsidRPr="00904FCB">
        <w:rPr>
          <w:rFonts w:hint="cs"/>
          <w:sz w:val="27"/>
          <w:rtl/>
        </w:rPr>
        <w:t>مون</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أحلّ</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فتحرّ</w:t>
      </w:r>
      <w:r w:rsidR="00A446CF" w:rsidRPr="00904FCB">
        <w:rPr>
          <w:rFonts w:hint="cs"/>
          <w:sz w:val="27"/>
          <w:rtl/>
        </w:rPr>
        <w:t>ِ</w:t>
      </w:r>
      <w:r w:rsidRPr="00904FCB">
        <w:rPr>
          <w:rFonts w:hint="cs"/>
          <w:sz w:val="27"/>
          <w:rtl/>
        </w:rPr>
        <w:t>مونه</w:t>
      </w:r>
      <w:r w:rsidR="00A446CF" w:rsidRPr="00904FCB">
        <w:rPr>
          <w:rFonts w:hint="cs"/>
          <w:sz w:val="27"/>
          <w:rtl/>
        </w:rPr>
        <w:t>؟!</w:t>
      </w:r>
      <w:r w:rsidRPr="00904FCB">
        <w:rPr>
          <w:sz w:val="27"/>
          <w:rtl/>
        </w:rPr>
        <w:t xml:space="preserve"> </w:t>
      </w:r>
      <w:r w:rsidRPr="00904FCB">
        <w:rPr>
          <w:rFonts w:hint="cs"/>
          <w:sz w:val="27"/>
          <w:rtl/>
        </w:rPr>
        <w:t>ويحلّون</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حرّ</w:t>
      </w:r>
      <w:r w:rsidR="00A446CF" w:rsidRPr="00904FCB">
        <w:rPr>
          <w:rFonts w:hint="cs"/>
          <w:sz w:val="27"/>
          <w:rtl/>
        </w:rPr>
        <w:t>َ</w:t>
      </w:r>
      <w:r w:rsidRPr="00904FCB">
        <w:rPr>
          <w:rFonts w:hint="cs"/>
          <w:sz w:val="27"/>
          <w:rtl/>
        </w:rPr>
        <w:t>م</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فتستحلّونه؟</w:t>
      </w:r>
      <w:r w:rsidR="00A446CF" w:rsidRPr="00904FCB">
        <w:rPr>
          <w:rFonts w:hint="cs"/>
          <w:sz w:val="27"/>
          <w:rtl/>
        </w:rPr>
        <w:t>!</w:t>
      </w:r>
      <w:r w:rsidRPr="00904FCB">
        <w:rPr>
          <w:rFonts w:hint="cs"/>
          <w:sz w:val="27"/>
          <w:rtl/>
        </w:rPr>
        <w:t xml:space="preserve"> قلت</w:t>
      </w:r>
      <w:r w:rsidR="00A446CF" w:rsidRPr="00904FCB">
        <w:rPr>
          <w:rFonts w:hint="cs"/>
          <w:sz w:val="27"/>
          <w:rtl/>
        </w:rPr>
        <w:t>ُ:</w:t>
      </w:r>
      <w:r w:rsidRPr="00904FCB">
        <w:rPr>
          <w:sz w:val="27"/>
          <w:rtl/>
        </w:rPr>
        <w:t xml:space="preserve"> </w:t>
      </w:r>
      <w:r w:rsidRPr="00904FCB">
        <w:rPr>
          <w:rFonts w:hint="cs"/>
          <w:sz w:val="27"/>
          <w:rtl/>
        </w:rPr>
        <w:t>بلى</w:t>
      </w:r>
      <w:r w:rsidR="00A446CF"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فتلك</w:t>
      </w:r>
      <w:r w:rsidRPr="00904FCB">
        <w:rPr>
          <w:sz w:val="27"/>
          <w:rtl/>
        </w:rPr>
        <w:t xml:space="preserve"> </w:t>
      </w:r>
      <w:r w:rsidRPr="00904FCB">
        <w:rPr>
          <w:rFonts w:hint="cs"/>
          <w:sz w:val="27"/>
          <w:rtl/>
        </w:rPr>
        <w:t>عبادتهم</w:t>
      </w:r>
      <w:r w:rsidRPr="00904FCB">
        <w:rPr>
          <w:rFonts w:hint="eastAsia"/>
          <w:sz w:val="27"/>
          <w:rtl/>
        </w:rPr>
        <w:t>»</w:t>
      </w:r>
      <w:r w:rsidRPr="00904FCB">
        <w:rPr>
          <w:rFonts w:hint="cs"/>
          <w:sz w:val="27"/>
          <w:vertAlign w:val="superscript"/>
          <w:rtl/>
        </w:rPr>
        <w:t>(</w:t>
      </w:r>
      <w:r w:rsidRPr="00904FCB">
        <w:rPr>
          <w:rStyle w:val="ac"/>
          <w:sz w:val="27"/>
          <w:rtl/>
        </w:rPr>
        <w:endnoteReference w:id="660"/>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F4753C">
        <w:rPr>
          <w:rFonts w:hint="cs"/>
          <w:sz w:val="27"/>
          <w:rtl/>
          <w:lang w:bidi="ar-LB"/>
        </w:rPr>
        <w:t>2ـ</w:t>
      </w:r>
      <w:r w:rsidRPr="00904FCB">
        <w:rPr>
          <w:rFonts w:hint="cs"/>
          <w:sz w:val="27"/>
          <w:rtl/>
          <w:lang w:bidi="ar-LB"/>
        </w:rPr>
        <w:t xml:space="preserve"> </w:t>
      </w:r>
      <w:r w:rsidRPr="00904FCB">
        <w:rPr>
          <w:rFonts w:hint="cs"/>
          <w:sz w:val="27"/>
          <w:rtl/>
        </w:rPr>
        <w:t>ر</w:t>
      </w:r>
      <w:r w:rsidR="00A446CF" w:rsidRPr="00904FCB">
        <w:rPr>
          <w:rFonts w:hint="cs"/>
          <w:sz w:val="27"/>
          <w:rtl/>
        </w:rPr>
        <w:t>ُ</w:t>
      </w:r>
      <w:r w:rsidRPr="00904FCB">
        <w:rPr>
          <w:rFonts w:hint="cs"/>
          <w:sz w:val="27"/>
          <w:rtl/>
        </w:rPr>
        <w:t>وي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w:t>
      </w:r>
      <w:r w:rsidR="00A446CF" w:rsidRPr="00904FCB">
        <w:rPr>
          <w:rFonts w:hint="cs"/>
          <w:sz w:val="27"/>
          <w:rtl/>
        </w:rPr>
        <w:t>ي</w:t>
      </w:r>
      <w:r w:rsidRPr="00904FCB">
        <w:rPr>
          <w:sz w:val="27"/>
          <w:rtl/>
        </w:rPr>
        <w:t xml:space="preserve"> </w:t>
      </w:r>
      <w:r w:rsidRPr="00904FCB">
        <w:rPr>
          <w:rFonts w:hint="cs"/>
          <w:sz w:val="27"/>
          <w:rtl/>
        </w:rPr>
        <w:t>جعفر</w:t>
      </w:r>
      <w:r w:rsidRPr="00904FCB">
        <w:rPr>
          <w:sz w:val="27"/>
          <w:rtl/>
        </w:rPr>
        <w:t xml:space="preserve"> </w:t>
      </w:r>
      <w:r w:rsidRPr="00904FCB">
        <w:rPr>
          <w:rFonts w:hint="cs"/>
          <w:sz w:val="27"/>
          <w:rtl/>
        </w:rPr>
        <w:t>وأبي</w:t>
      </w:r>
      <w:r w:rsidRPr="00904FCB">
        <w:rPr>
          <w:sz w:val="27"/>
          <w:rtl/>
        </w:rPr>
        <w:t xml:space="preserve"> </w:t>
      </w:r>
      <w:r w:rsidRPr="00904FCB">
        <w:rPr>
          <w:rFonts w:hint="cs"/>
          <w:sz w:val="27"/>
          <w:rtl/>
        </w:rPr>
        <w:t>عبد الله</w:t>
      </w:r>
      <w:r w:rsidR="001C1A2A" w:rsidRPr="00904FCB">
        <w:rPr>
          <w:rFonts w:cs="Mosawi"/>
          <w:sz w:val="27"/>
          <w:szCs w:val="22"/>
          <w:rtl/>
        </w:rPr>
        <w:t>×</w:t>
      </w:r>
      <w:r w:rsidRPr="00904FCB">
        <w:rPr>
          <w:sz w:val="27"/>
          <w:rtl/>
        </w:rPr>
        <w:t xml:space="preserve"> </w:t>
      </w:r>
      <w:r w:rsidRPr="00904FCB">
        <w:rPr>
          <w:rFonts w:hint="cs"/>
          <w:sz w:val="27"/>
          <w:rtl/>
        </w:rPr>
        <w:t>أنّهما</w:t>
      </w:r>
      <w:r w:rsidRPr="00904FCB">
        <w:rPr>
          <w:sz w:val="27"/>
          <w:rtl/>
        </w:rPr>
        <w:t xml:space="preserve"> </w:t>
      </w:r>
      <w:r w:rsidRPr="00904FCB">
        <w:rPr>
          <w:rFonts w:hint="cs"/>
          <w:sz w:val="27"/>
          <w:rtl/>
        </w:rPr>
        <w:t>قالا</w:t>
      </w:r>
      <w:r w:rsidRPr="00904FCB">
        <w:rPr>
          <w:sz w:val="27"/>
          <w:rtl/>
        </w:rPr>
        <w:t xml:space="preserve">: </w:t>
      </w:r>
      <w:r w:rsidRPr="00904FCB">
        <w:rPr>
          <w:rFonts w:hint="eastAsia"/>
          <w:sz w:val="27"/>
          <w:rtl/>
        </w:rPr>
        <w:t>«</w:t>
      </w:r>
      <w:r w:rsidRPr="00904FCB">
        <w:rPr>
          <w:rFonts w:hint="cs"/>
          <w:sz w:val="27"/>
          <w:rtl/>
        </w:rPr>
        <w:t>أما</w:t>
      </w:r>
      <w:r w:rsidRPr="00904FCB">
        <w:rPr>
          <w:sz w:val="27"/>
          <w:rtl/>
        </w:rPr>
        <w:t xml:space="preserve"> </w:t>
      </w:r>
      <w:r w:rsidRPr="00904FCB">
        <w:rPr>
          <w:rFonts w:hint="cs"/>
          <w:sz w:val="27"/>
          <w:rtl/>
        </w:rPr>
        <w:t>والله</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صاموا</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صلّوا</w:t>
      </w:r>
      <w:r w:rsidRPr="00904FCB">
        <w:rPr>
          <w:sz w:val="27"/>
          <w:rtl/>
        </w:rPr>
        <w:t xml:space="preserve"> </w:t>
      </w:r>
      <w:r w:rsidRPr="00904FCB">
        <w:rPr>
          <w:rFonts w:hint="cs"/>
          <w:sz w:val="27"/>
          <w:rtl/>
        </w:rPr>
        <w:t>لهم، ولكنّهم</w:t>
      </w:r>
      <w:r w:rsidRPr="00904FCB">
        <w:rPr>
          <w:sz w:val="27"/>
          <w:rtl/>
        </w:rPr>
        <w:t xml:space="preserve"> </w:t>
      </w:r>
      <w:r w:rsidRPr="00904FCB">
        <w:rPr>
          <w:rFonts w:hint="cs"/>
          <w:sz w:val="27"/>
          <w:rtl/>
        </w:rPr>
        <w:t>أحلّوا</w:t>
      </w:r>
      <w:r w:rsidRPr="00904FCB">
        <w:rPr>
          <w:sz w:val="27"/>
          <w:rtl/>
        </w:rPr>
        <w:t xml:space="preserve"> </w:t>
      </w:r>
      <w:r w:rsidRPr="00904FCB">
        <w:rPr>
          <w:rFonts w:hint="cs"/>
          <w:sz w:val="27"/>
          <w:rtl/>
        </w:rPr>
        <w:t>لهم</w:t>
      </w:r>
      <w:r w:rsidRPr="00904FCB">
        <w:rPr>
          <w:sz w:val="27"/>
          <w:rtl/>
        </w:rPr>
        <w:t xml:space="preserve"> </w:t>
      </w:r>
      <w:r w:rsidRPr="00904FCB">
        <w:rPr>
          <w:rFonts w:hint="cs"/>
          <w:sz w:val="27"/>
          <w:rtl/>
        </w:rPr>
        <w:t>حراماً، وحرّموا</w:t>
      </w:r>
      <w:r w:rsidRPr="00904FCB">
        <w:rPr>
          <w:sz w:val="27"/>
          <w:rtl/>
        </w:rPr>
        <w:t xml:space="preserve"> </w:t>
      </w:r>
      <w:r w:rsidRPr="00904FCB">
        <w:rPr>
          <w:rFonts w:hint="cs"/>
          <w:sz w:val="27"/>
          <w:rtl/>
        </w:rPr>
        <w:t>عليهم</w:t>
      </w:r>
      <w:r w:rsidRPr="00904FCB">
        <w:rPr>
          <w:sz w:val="27"/>
          <w:rtl/>
        </w:rPr>
        <w:t xml:space="preserve"> </w:t>
      </w:r>
      <w:r w:rsidRPr="00904FCB">
        <w:rPr>
          <w:rFonts w:hint="cs"/>
          <w:sz w:val="27"/>
          <w:rtl/>
        </w:rPr>
        <w:t>حلالاً، فاتّ</w:t>
      </w:r>
      <w:r w:rsidR="00A446CF" w:rsidRPr="00904FCB">
        <w:rPr>
          <w:rFonts w:hint="cs"/>
          <w:sz w:val="27"/>
          <w:rtl/>
        </w:rPr>
        <w:t>َ</w:t>
      </w:r>
      <w:r w:rsidRPr="00904FCB">
        <w:rPr>
          <w:rFonts w:hint="cs"/>
          <w:sz w:val="27"/>
          <w:rtl/>
        </w:rPr>
        <w:t>بعوهم</w:t>
      </w:r>
      <w:r w:rsidRPr="00904FCB">
        <w:rPr>
          <w:sz w:val="27"/>
          <w:rtl/>
        </w:rPr>
        <w:t xml:space="preserve"> </w:t>
      </w:r>
      <w:r w:rsidRPr="00904FCB">
        <w:rPr>
          <w:rFonts w:hint="cs"/>
          <w:sz w:val="27"/>
          <w:rtl/>
        </w:rPr>
        <w:t>وعبدوهم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يشعرون</w:t>
      </w:r>
      <w:r w:rsidRPr="00904FCB">
        <w:rPr>
          <w:rFonts w:hint="eastAsia"/>
          <w:sz w:val="27"/>
          <w:rtl/>
        </w:rPr>
        <w:t>»</w:t>
      </w:r>
      <w:r w:rsidRPr="00904FCB">
        <w:rPr>
          <w:rFonts w:hint="cs"/>
          <w:sz w:val="27"/>
          <w:vertAlign w:val="superscript"/>
          <w:rtl/>
        </w:rPr>
        <w:t>(</w:t>
      </w:r>
      <w:r w:rsidRPr="00904FCB">
        <w:rPr>
          <w:rStyle w:val="ac"/>
          <w:sz w:val="27"/>
          <w:rtl/>
        </w:rPr>
        <w:endnoteReference w:id="661"/>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F4753C">
        <w:rPr>
          <w:rFonts w:hint="cs"/>
          <w:sz w:val="27"/>
          <w:rtl/>
          <w:lang w:bidi="ar-LB"/>
        </w:rPr>
        <w:t>3ـ</w:t>
      </w:r>
      <w:r w:rsidRPr="00904FCB">
        <w:rPr>
          <w:rFonts w:hint="cs"/>
          <w:sz w:val="27"/>
          <w:rtl/>
          <w:lang w:bidi="ar-LB"/>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بصير قال</w:t>
      </w:r>
      <w:r w:rsidRPr="00904FCB">
        <w:rPr>
          <w:sz w:val="27"/>
          <w:rtl/>
        </w:rPr>
        <w:t xml:space="preserve">: </w:t>
      </w:r>
      <w:r w:rsidRPr="00904FCB">
        <w:rPr>
          <w:rFonts w:hint="cs"/>
          <w:sz w:val="27"/>
          <w:rtl/>
        </w:rPr>
        <w:t>سألت</w:t>
      </w:r>
      <w:r w:rsidR="00A446CF" w:rsidRPr="00904FCB">
        <w:rPr>
          <w:rFonts w:hint="cs"/>
          <w:sz w:val="27"/>
          <w:rtl/>
        </w:rPr>
        <w:t>ُ</w:t>
      </w:r>
      <w:r w:rsidRPr="00904FCB">
        <w:rPr>
          <w:sz w:val="27"/>
          <w:rtl/>
        </w:rPr>
        <w:t xml:space="preserve"> </w:t>
      </w:r>
      <w:r w:rsidRPr="00904FCB">
        <w:rPr>
          <w:rFonts w:hint="cs"/>
          <w:sz w:val="27"/>
          <w:rtl/>
        </w:rPr>
        <w:t>أبا</w:t>
      </w:r>
      <w:r w:rsidRPr="00904FCB">
        <w:rPr>
          <w:sz w:val="27"/>
          <w:rtl/>
        </w:rPr>
        <w:t xml:space="preserve"> </w:t>
      </w:r>
      <w:r w:rsidRPr="00904FCB">
        <w:rPr>
          <w:rFonts w:hint="cs"/>
          <w:sz w:val="27"/>
          <w:rtl/>
        </w:rPr>
        <w:t>عبد الله</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قول</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عزَّ</w:t>
      </w:r>
      <w:r w:rsidRPr="00904FCB">
        <w:rPr>
          <w:sz w:val="27"/>
          <w:rtl/>
        </w:rPr>
        <w:t xml:space="preserve"> </w:t>
      </w:r>
      <w:r w:rsidRPr="00904FCB">
        <w:rPr>
          <w:rFonts w:hint="cs"/>
          <w:sz w:val="27"/>
          <w:rtl/>
        </w:rPr>
        <w:t>وجلَّ</w:t>
      </w:r>
      <w:r w:rsidRPr="00904FCB">
        <w:rPr>
          <w:sz w:val="27"/>
          <w:rtl/>
        </w:rPr>
        <w:t xml:space="preserve">: </w:t>
      </w:r>
      <w:r w:rsidRPr="00904FCB">
        <w:rPr>
          <w:rFonts w:ascii="Mosawi" w:hAnsi="Mosawi" w:cs="Mosawi"/>
          <w:sz w:val="24"/>
          <w:szCs w:val="24"/>
          <w:rtl/>
        </w:rPr>
        <w:t>﴿</w:t>
      </w:r>
      <w:r w:rsidRPr="00904FCB">
        <w:rPr>
          <w:rFonts w:hint="cs"/>
          <w:b/>
          <w:bCs/>
          <w:sz w:val="27"/>
          <w:rtl/>
        </w:rPr>
        <w:t>اتَّخَذُوا</w:t>
      </w:r>
      <w:r w:rsidRPr="00904FCB">
        <w:rPr>
          <w:b/>
          <w:bCs/>
          <w:sz w:val="27"/>
          <w:rtl/>
        </w:rPr>
        <w:t xml:space="preserve"> </w:t>
      </w:r>
      <w:r w:rsidRPr="00904FCB">
        <w:rPr>
          <w:rFonts w:hint="cs"/>
          <w:b/>
          <w:bCs/>
          <w:sz w:val="27"/>
          <w:rtl/>
        </w:rPr>
        <w:t>أَحْب</w:t>
      </w:r>
      <w:r w:rsidR="008B0ADC" w:rsidRPr="00904FCB">
        <w:rPr>
          <w:rFonts w:hint="cs"/>
          <w:b/>
          <w:bCs/>
          <w:sz w:val="27"/>
          <w:rtl/>
        </w:rPr>
        <w:t>َ</w:t>
      </w:r>
      <w:r w:rsidRPr="00904FCB">
        <w:rPr>
          <w:rFonts w:hint="cs"/>
          <w:b/>
          <w:bCs/>
          <w:sz w:val="27"/>
          <w:rtl/>
        </w:rPr>
        <w:t>ارَهُمْ</w:t>
      </w:r>
      <w:r w:rsidRPr="00904FCB">
        <w:rPr>
          <w:b/>
          <w:bCs/>
          <w:sz w:val="27"/>
          <w:rtl/>
        </w:rPr>
        <w:t xml:space="preserve"> و</w:t>
      </w:r>
      <w:r w:rsidRPr="00904FCB">
        <w:rPr>
          <w:rFonts w:hint="cs"/>
          <w:b/>
          <w:bCs/>
          <w:sz w:val="27"/>
          <w:rtl/>
        </w:rPr>
        <w:t>رُهْب</w:t>
      </w:r>
      <w:r w:rsidR="008B0ADC" w:rsidRPr="00904FCB">
        <w:rPr>
          <w:rFonts w:hint="cs"/>
          <w:b/>
          <w:bCs/>
          <w:sz w:val="27"/>
          <w:rtl/>
        </w:rPr>
        <w:t>َ</w:t>
      </w:r>
      <w:r w:rsidRPr="00904FCB">
        <w:rPr>
          <w:rFonts w:hint="cs"/>
          <w:b/>
          <w:bCs/>
          <w:sz w:val="27"/>
          <w:rtl/>
        </w:rPr>
        <w:t>انَهُمْ</w:t>
      </w:r>
      <w:r w:rsidRPr="00904FCB">
        <w:rPr>
          <w:b/>
          <w:bCs/>
          <w:sz w:val="27"/>
          <w:rtl/>
        </w:rPr>
        <w:t xml:space="preserve"> </w:t>
      </w:r>
      <w:r w:rsidRPr="00904FCB">
        <w:rPr>
          <w:rFonts w:hint="cs"/>
          <w:b/>
          <w:bCs/>
          <w:sz w:val="27"/>
          <w:rtl/>
        </w:rPr>
        <w:t>أَرْب</w:t>
      </w:r>
      <w:r w:rsidR="008B0ADC" w:rsidRPr="00904FCB">
        <w:rPr>
          <w:rFonts w:hint="cs"/>
          <w:b/>
          <w:bCs/>
          <w:sz w:val="27"/>
          <w:rtl/>
        </w:rPr>
        <w:t>َ</w:t>
      </w:r>
      <w:r w:rsidRPr="00904FCB">
        <w:rPr>
          <w:rFonts w:hint="cs"/>
          <w:b/>
          <w:bCs/>
          <w:sz w:val="27"/>
          <w:rtl/>
        </w:rPr>
        <w:t>اب</w:t>
      </w:r>
      <w:r w:rsidR="008B0ADC"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مِنْ</w:t>
      </w:r>
      <w:r w:rsidRPr="00904FCB">
        <w:rPr>
          <w:b/>
          <w:bCs/>
          <w:sz w:val="27"/>
          <w:rtl/>
        </w:rPr>
        <w:t xml:space="preserve"> </w:t>
      </w:r>
      <w:r w:rsidRPr="00904FCB">
        <w:rPr>
          <w:rFonts w:hint="cs"/>
          <w:b/>
          <w:bCs/>
          <w:sz w:val="27"/>
          <w:rtl/>
        </w:rPr>
        <w:t>دُونِ</w:t>
      </w:r>
      <w:r w:rsidRPr="00904FCB">
        <w:rPr>
          <w:b/>
          <w:bCs/>
          <w:sz w:val="27"/>
          <w:rtl/>
        </w:rPr>
        <w:t xml:space="preserve"> </w:t>
      </w:r>
      <w:r w:rsidR="008B0ADC" w:rsidRPr="00904FCB">
        <w:rPr>
          <w:rFonts w:hint="cs"/>
          <w:b/>
          <w:bCs/>
          <w:sz w:val="27"/>
          <w:rtl/>
        </w:rPr>
        <w:t>الل</w:t>
      </w:r>
      <w:r w:rsidRPr="00904FCB">
        <w:rPr>
          <w:rFonts w:hint="cs"/>
          <w:b/>
          <w:bCs/>
          <w:sz w:val="27"/>
          <w:rtl/>
        </w:rPr>
        <w:t>هِ</w:t>
      </w:r>
      <w:r w:rsidRPr="00904FCB">
        <w:rPr>
          <w:rFonts w:ascii="Mosawi" w:hAnsi="Mosawi" w:cs="Mosawi"/>
          <w:sz w:val="24"/>
          <w:szCs w:val="24"/>
          <w:rtl/>
        </w:rPr>
        <w:t>﴾</w:t>
      </w:r>
      <w:r w:rsidR="008B0ADC" w:rsidRPr="00904FCB">
        <w:rPr>
          <w:rFonts w:hint="cs"/>
          <w:sz w:val="27"/>
          <w:rtl/>
        </w:rPr>
        <w:t>؟</w:t>
      </w:r>
      <w:r w:rsidRPr="00904FCB">
        <w:rPr>
          <w:rFonts w:hint="cs"/>
          <w:sz w:val="27"/>
          <w:rtl/>
        </w:rPr>
        <w:t xml:space="preserve"> فقال</w:t>
      </w:r>
      <w:r w:rsidRPr="00904FCB">
        <w:rPr>
          <w:sz w:val="27"/>
          <w:rtl/>
        </w:rPr>
        <w:t xml:space="preserve">: </w:t>
      </w:r>
      <w:r w:rsidRPr="00904FCB">
        <w:rPr>
          <w:rFonts w:hint="eastAsia"/>
          <w:sz w:val="27"/>
          <w:rtl/>
        </w:rPr>
        <w:t>«</w:t>
      </w:r>
      <w:r w:rsidRPr="00904FCB">
        <w:rPr>
          <w:rFonts w:hint="cs"/>
          <w:sz w:val="27"/>
          <w:rtl/>
        </w:rPr>
        <w:t>أما</w:t>
      </w:r>
      <w:r w:rsidRPr="00904FCB">
        <w:rPr>
          <w:sz w:val="27"/>
          <w:rtl/>
        </w:rPr>
        <w:t xml:space="preserve"> </w:t>
      </w:r>
      <w:r w:rsidRPr="00904FCB">
        <w:rPr>
          <w:rFonts w:hint="cs"/>
          <w:sz w:val="27"/>
          <w:rtl/>
        </w:rPr>
        <w:t>والله</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دعوهم</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عبادة</w:t>
      </w:r>
      <w:r w:rsidRPr="00904FCB">
        <w:rPr>
          <w:sz w:val="27"/>
          <w:rtl/>
        </w:rPr>
        <w:t xml:space="preserve"> </w:t>
      </w:r>
      <w:r w:rsidRPr="00904FCB">
        <w:rPr>
          <w:rFonts w:hint="cs"/>
          <w:sz w:val="27"/>
          <w:rtl/>
        </w:rPr>
        <w:t>أنفسهم، ولو</w:t>
      </w:r>
      <w:r w:rsidRPr="00904FCB">
        <w:rPr>
          <w:sz w:val="27"/>
          <w:rtl/>
        </w:rPr>
        <w:t xml:space="preserve"> </w:t>
      </w:r>
      <w:r w:rsidRPr="00904FCB">
        <w:rPr>
          <w:rFonts w:hint="cs"/>
          <w:sz w:val="27"/>
          <w:rtl/>
        </w:rPr>
        <w:t>دع</w:t>
      </w:r>
      <w:r w:rsidR="008B0ADC" w:rsidRPr="00904FCB">
        <w:rPr>
          <w:rFonts w:hint="cs"/>
          <w:sz w:val="27"/>
          <w:rtl/>
        </w:rPr>
        <w:t>َ</w:t>
      </w:r>
      <w:r w:rsidRPr="00904FCB">
        <w:rPr>
          <w:rFonts w:hint="cs"/>
          <w:sz w:val="27"/>
          <w:rtl/>
        </w:rPr>
        <w:t>و</w:t>
      </w:r>
      <w:r w:rsidR="008B0ADC" w:rsidRPr="00904FCB">
        <w:rPr>
          <w:rFonts w:hint="cs"/>
          <w:sz w:val="27"/>
          <w:rtl/>
        </w:rPr>
        <w:t>ْ</w:t>
      </w:r>
      <w:r w:rsidRPr="00904FCB">
        <w:rPr>
          <w:rFonts w:hint="cs"/>
          <w:sz w:val="27"/>
          <w:rtl/>
        </w:rPr>
        <w:t>هم</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عبادة</w:t>
      </w:r>
      <w:r w:rsidRPr="00904FCB">
        <w:rPr>
          <w:sz w:val="27"/>
          <w:rtl/>
        </w:rPr>
        <w:t xml:space="preserve"> </w:t>
      </w:r>
      <w:r w:rsidRPr="00904FCB">
        <w:rPr>
          <w:rFonts w:hint="cs"/>
          <w:sz w:val="27"/>
          <w:rtl/>
        </w:rPr>
        <w:t>أنفسهم</w:t>
      </w:r>
      <w:r w:rsidRPr="00904FCB">
        <w:rPr>
          <w:sz w:val="27"/>
          <w:rtl/>
        </w:rPr>
        <w:t xml:space="preserve"> </w:t>
      </w:r>
      <w:r w:rsidRPr="00904FCB">
        <w:rPr>
          <w:rFonts w:hint="cs"/>
          <w:sz w:val="27"/>
          <w:rtl/>
        </w:rPr>
        <w:t>لما</w:t>
      </w:r>
      <w:r w:rsidRPr="00904FCB">
        <w:rPr>
          <w:sz w:val="27"/>
          <w:rtl/>
        </w:rPr>
        <w:t xml:space="preserve"> </w:t>
      </w:r>
      <w:r w:rsidRPr="00904FCB">
        <w:rPr>
          <w:rFonts w:hint="cs"/>
          <w:sz w:val="27"/>
          <w:rtl/>
        </w:rPr>
        <w:t>أجابوهم، ولكن</w:t>
      </w:r>
      <w:r w:rsidR="008B0ADC" w:rsidRPr="00904FCB">
        <w:rPr>
          <w:rFonts w:hint="cs"/>
          <w:sz w:val="27"/>
          <w:rtl/>
        </w:rPr>
        <w:t>ْ</w:t>
      </w:r>
      <w:r w:rsidRPr="00904FCB">
        <w:rPr>
          <w:sz w:val="27"/>
          <w:rtl/>
        </w:rPr>
        <w:t xml:space="preserve"> </w:t>
      </w:r>
      <w:r w:rsidRPr="00904FCB">
        <w:rPr>
          <w:rFonts w:hint="cs"/>
          <w:sz w:val="27"/>
          <w:rtl/>
        </w:rPr>
        <w:t>أحلّ</w:t>
      </w:r>
      <w:r w:rsidR="008B0ADC" w:rsidRPr="00904FCB">
        <w:rPr>
          <w:rFonts w:hint="cs"/>
          <w:sz w:val="27"/>
          <w:rtl/>
        </w:rPr>
        <w:t>ُ</w:t>
      </w:r>
      <w:r w:rsidRPr="00904FCB">
        <w:rPr>
          <w:rFonts w:hint="cs"/>
          <w:sz w:val="27"/>
          <w:rtl/>
        </w:rPr>
        <w:t>وا</w:t>
      </w:r>
      <w:r w:rsidRPr="00904FCB">
        <w:rPr>
          <w:sz w:val="27"/>
          <w:rtl/>
        </w:rPr>
        <w:t xml:space="preserve"> </w:t>
      </w:r>
      <w:r w:rsidRPr="00904FCB">
        <w:rPr>
          <w:rFonts w:hint="cs"/>
          <w:sz w:val="27"/>
          <w:rtl/>
        </w:rPr>
        <w:t>لهم</w:t>
      </w:r>
      <w:r w:rsidRPr="00904FCB">
        <w:rPr>
          <w:sz w:val="27"/>
          <w:rtl/>
        </w:rPr>
        <w:t xml:space="preserve"> </w:t>
      </w:r>
      <w:r w:rsidRPr="00904FCB">
        <w:rPr>
          <w:rFonts w:hint="cs"/>
          <w:sz w:val="27"/>
          <w:rtl/>
        </w:rPr>
        <w:t>حراماً</w:t>
      </w:r>
      <w:r w:rsidRPr="00904FCB">
        <w:rPr>
          <w:sz w:val="27"/>
          <w:rtl/>
        </w:rPr>
        <w:t xml:space="preserve"> </w:t>
      </w:r>
      <w:r w:rsidRPr="00904FCB">
        <w:rPr>
          <w:rFonts w:hint="cs"/>
          <w:sz w:val="27"/>
          <w:rtl/>
        </w:rPr>
        <w:t>وحرّ</w:t>
      </w:r>
      <w:r w:rsidR="008B0ADC" w:rsidRPr="00904FCB">
        <w:rPr>
          <w:rFonts w:hint="cs"/>
          <w:sz w:val="27"/>
          <w:rtl/>
        </w:rPr>
        <w:t>َ</w:t>
      </w:r>
      <w:r w:rsidRPr="00904FCB">
        <w:rPr>
          <w:rFonts w:hint="cs"/>
          <w:sz w:val="27"/>
          <w:rtl/>
        </w:rPr>
        <w:t>موا</w:t>
      </w:r>
      <w:r w:rsidRPr="00904FCB">
        <w:rPr>
          <w:sz w:val="27"/>
          <w:rtl/>
        </w:rPr>
        <w:t xml:space="preserve"> </w:t>
      </w:r>
      <w:r w:rsidRPr="00904FCB">
        <w:rPr>
          <w:rFonts w:hint="cs"/>
          <w:sz w:val="27"/>
          <w:rtl/>
        </w:rPr>
        <w:t>عليهم</w:t>
      </w:r>
      <w:r w:rsidRPr="00904FCB">
        <w:rPr>
          <w:sz w:val="27"/>
          <w:rtl/>
        </w:rPr>
        <w:t xml:space="preserve"> </w:t>
      </w:r>
      <w:r w:rsidRPr="00904FCB">
        <w:rPr>
          <w:rFonts w:hint="cs"/>
          <w:sz w:val="27"/>
          <w:rtl/>
        </w:rPr>
        <w:t>حلالاً فعبدوهم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يشعرون</w:t>
      </w:r>
      <w:r w:rsidRPr="00904FCB">
        <w:rPr>
          <w:rFonts w:hint="eastAsia"/>
          <w:sz w:val="27"/>
          <w:rtl/>
        </w:rPr>
        <w:t>»</w:t>
      </w:r>
      <w:r w:rsidRPr="00904FCB">
        <w:rPr>
          <w:rFonts w:hint="cs"/>
          <w:sz w:val="27"/>
          <w:vertAlign w:val="superscript"/>
          <w:rtl/>
        </w:rPr>
        <w:t>(</w:t>
      </w:r>
      <w:r w:rsidRPr="00904FCB">
        <w:rPr>
          <w:rStyle w:val="ac"/>
          <w:sz w:val="27"/>
          <w:rtl/>
        </w:rPr>
        <w:endnoteReference w:id="662"/>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كما</w:t>
      </w:r>
      <w:r w:rsidRPr="00904FCB">
        <w:rPr>
          <w:sz w:val="27"/>
          <w:rtl/>
        </w:rPr>
        <w:t xml:space="preserve"> </w:t>
      </w:r>
      <w:r w:rsidRPr="00904FCB">
        <w:rPr>
          <w:rFonts w:hint="cs"/>
          <w:sz w:val="27"/>
          <w:rtl/>
        </w:rPr>
        <w:t>واستدلّ</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علمائنا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المفسّ</w:t>
      </w:r>
      <w:r w:rsidR="008B0ADC" w:rsidRPr="00904FCB">
        <w:rPr>
          <w:rFonts w:hint="cs"/>
          <w:sz w:val="27"/>
          <w:rtl/>
        </w:rPr>
        <w:t>ِ</w:t>
      </w:r>
      <w:r w:rsidRPr="00904FCB">
        <w:rPr>
          <w:rFonts w:hint="cs"/>
          <w:sz w:val="27"/>
          <w:rtl/>
        </w:rPr>
        <w:t>رين</w:t>
      </w:r>
      <w:r w:rsidRPr="00904FCB">
        <w:rPr>
          <w:sz w:val="27"/>
          <w:rtl/>
        </w:rPr>
        <w:t xml:space="preserve"> </w:t>
      </w:r>
      <w:r w:rsidRPr="00904FCB">
        <w:rPr>
          <w:rFonts w:hint="cs"/>
          <w:sz w:val="27"/>
          <w:rtl/>
        </w:rPr>
        <w:t>والفقهاء</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كونها</w:t>
      </w:r>
      <w:r w:rsidRPr="00904FCB">
        <w:rPr>
          <w:sz w:val="27"/>
          <w:rtl/>
        </w:rPr>
        <w:t xml:space="preserve"> </w:t>
      </w:r>
      <w:r w:rsidRPr="00904FCB">
        <w:rPr>
          <w:rFonts w:hint="cs"/>
          <w:sz w:val="27"/>
          <w:rtl/>
        </w:rPr>
        <w:t>تدلّ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الطاعة</w:t>
      </w:r>
      <w:r w:rsidR="008B0ADC" w:rsidRPr="00904FCB">
        <w:rPr>
          <w:rFonts w:hint="cs"/>
          <w:sz w:val="27"/>
          <w:rtl/>
        </w:rPr>
        <w:t>،</w:t>
      </w:r>
      <w:r w:rsidRPr="00904FCB">
        <w:rPr>
          <w:sz w:val="27"/>
          <w:rtl/>
        </w:rPr>
        <w:t xml:space="preserve"> </w:t>
      </w:r>
      <w:r w:rsidRPr="00904FCB">
        <w:rPr>
          <w:rFonts w:hint="cs"/>
          <w:sz w:val="27"/>
          <w:rtl/>
        </w:rPr>
        <w:t>وليس</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العبادة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قال</w:t>
      </w:r>
      <w:r w:rsidRPr="00904FCB">
        <w:rPr>
          <w:sz w:val="27"/>
          <w:rtl/>
        </w:rPr>
        <w:t xml:space="preserve"> </w:t>
      </w:r>
      <w:r w:rsidRPr="00904FCB">
        <w:rPr>
          <w:rFonts w:hint="cs"/>
          <w:sz w:val="27"/>
          <w:rtl/>
        </w:rPr>
        <w:t>العلاّمة</w:t>
      </w:r>
      <w:r w:rsidRPr="00904FCB">
        <w:rPr>
          <w:sz w:val="27"/>
          <w:rtl/>
        </w:rPr>
        <w:t xml:space="preserve"> </w:t>
      </w:r>
      <w:r w:rsidRPr="00904FCB">
        <w:rPr>
          <w:rFonts w:hint="cs"/>
          <w:sz w:val="27"/>
          <w:rtl/>
        </w:rPr>
        <w:t xml:space="preserve">الطباطبائي: </w:t>
      </w:r>
      <w:r w:rsidRPr="00904FCB">
        <w:rPr>
          <w:rFonts w:hint="eastAsia"/>
          <w:sz w:val="27"/>
          <w:rtl/>
        </w:rPr>
        <w:t>«</w:t>
      </w:r>
      <w:r w:rsidRPr="00904FCB">
        <w:rPr>
          <w:rFonts w:hint="cs"/>
          <w:sz w:val="27"/>
          <w:rtl/>
        </w:rPr>
        <w:t>واتّخاذهم</w:t>
      </w:r>
      <w:r w:rsidRPr="00904FCB">
        <w:rPr>
          <w:sz w:val="27"/>
          <w:rtl/>
        </w:rPr>
        <w:t xml:space="preserve"> </w:t>
      </w:r>
      <w:r w:rsidRPr="00904FCB">
        <w:rPr>
          <w:rFonts w:hint="cs"/>
          <w:sz w:val="27"/>
          <w:rtl/>
        </w:rPr>
        <w:t>الأحبار</w:t>
      </w:r>
      <w:r w:rsidRPr="00904FCB">
        <w:rPr>
          <w:sz w:val="27"/>
          <w:rtl/>
        </w:rPr>
        <w:t xml:space="preserve"> </w:t>
      </w:r>
      <w:r w:rsidRPr="00904FCB">
        <w:rPr>
          <w:rFonts w:hint="cs"/>
          <w:sz w:val="27"/>
          <w:rtl/>
        </w:rPr>
        <w:t>والرهبان</w:t>
      </w:r>
      <w:r w:rsidRPr="00904FCB">
        <w:rPr>
          <w:sz w:val="27"/>
          <w:rtl/>
        </w:rPr>
        <w:t xml:space="preserve"> </w:t>
      </w:r>
      <w:r w:rsidRPr="00904FCB">
        <w:rPr>
          <w:rFonts w:hint="cs"/>
          <w:sz w:val="27"/>
          <w:rtl/>
        </w:rPr>
        <w:t>أرباباً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إصغاؤهم</w:t>
      </w:r>
      <w:r w:rsidRPr="00904FCB">
        <w:rPr>
          <w:sz w:val="27"/>
          <w:rtl/>
        </w:rPr>
        <w:t xml:space="preserve"> </w:t>
      </w:r>
      <w:r w:rsidRPr="00904FCB">
        <w:rPr>
          <w:rFonts w:hint="cs"/>
          <w:sz w:val="27"/>
          <w:rtl/>
        </w:rPr>
        <w:t>لهم</w:t>
      </w:r>
      <w:r w:rsidRPr="00904FCB">
        <w:rPr>
          <w:sz w:val="27"/>
          <w:rtl/>
        </w:rPr>
        <w:t xml:space="preserve"> </w:t>
      </w:r>
      <w:r w:rsidRPr="00904FCB">
        <w:rPr>
          <w:rFonts w:hint="cs"/>
          <w:sz w:val="27"/>
          <w:rtl/>
        </w:rPr>
        <w:t>وإطاعتهم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قيد</w:t>
      </w:r>
      <w:r w:rsidR="008B0ADC" w:rsidRPr="00904FCB">
        <w:rPr>
          <w:rFonts w:hint="cs"/>
          <w:sz w:val="27"/>
          <w:rtl/>
        </w:rPr>
        <w:t>ٍ</w:t>
      </w:r>
      <w:r w:rsidRPr="00904FCB">
        <w:rPr>
          <w:sz w:val="27"/>
          <w:rtl/>
        </w:rPr>
        <w:t xml:space="preserve"> </w:t>
      </w:r>
      <w:r w:rsidRPr="00904FCB">
        <w:rPr>
          <w:rFonts w:hint="cs"/>
          <w:sz w:val="27"/>
          <w:rtl/>
        </w:rPr>
        <w:t>وشرط، ولا</w:t>
      </w:r>
      <w:r w:rsidRPr="00904FCB">
        <w:rPr>
          <w:sz w:val="27"/>
          <w:rtl/>
        </w:rPr>
        <w:t xml:space="preserve"> </w:t>
      </w:r>
      <w:r w:rsidRPr="00904FCB">
        <w:rPr>
          <w:rFonts w:hint="cs"/>
          <w:sz w:val="27"/>
          <w:rtl/>
        </w:rPr>
        <w:t>يطاع</w:t>
      </w:r>
      <w:r w:rsidRPr="00904FCB">
        <w:rPr>
          <w:sz w:val="27"/>
          <w:rtl/>
        </w:rPr>
        <w:t xml:space="preserve"> </w:t>
      </w:r>
      <w:r w:rsidRPr="00904FCB">
        <w:rPr>
          <w:rFonts w:hint="cs"/>
          <w:sz w:val="27"/>
          <w:rtl/>
        </w:rPr>
        <w:t>كذلك</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سبحانه</w:t>
      </w:r>
      <w:r w:rsidRPr="00904FCB">
        <w:rPr>
          <w:rFonts w:hint="eastAsia"/>
          <w:sz w:val="27"/>
          <w:rtl/>
        </w:rPr>
        <w:t>»</w:t>
      </w:r>
      <w:r w:rsidRPr="00904FCB">
        <w:rPr>
          <w:rFonts w:hint="cs"/>
          <w:sz w:val="27"/>
          <w:vertAlign w:val="superscript"/>
          <w:rtl/>
        </w:rPr>
        <w:t>(</w:t>
      </w:r>
      <w:r w:rsidRPr="00904FCB">
        <w:rPr>
          <w:rStyle w:val="ac"/>
          <w:sz w:val="27"/>
          <w:rtl/>
        </w:rPr>
        <w:endnoteReference w:id="663"/>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وقال</w:t>
      </w:r>
      <w:r w:rsidRPr="00904FCB">
        <w:rPr>
          <w:sz w:val="27"/>
          <w:rtl/>
        </w:rPr>
        <w:t xml:space="preserve"> </w:t>
      </w:r>
      <w:r w:rsidRPr="00904FCB">
        <w:rPr>
          <w:rFonts w:hint="cs"/>
          <w:sz w:val="27"/>
          <w:rtl/>
        </w:rPr>
        <w:t>الإمام</w:t>
      </w:r>
      <w:r w:rsidRPr="00904FCB">
        <w:rPr>
          <w:sz w:val="27"/>
          <w:rtl/>
        </w:rPr>
        <w:t xml:space="preserve"> </w:t>
      </w:r>
      <w:r w:rsidRPr="00904FCB">
        <w:rPr>
          <w:rFonts w:hint="cs"/>
          <w:sz w:val="27"/>
          <w:rtl/>
        </w:rPr>
        <w:t>الخميني</w:t>
      </w:r>
      <w:r w:rsidRPr="00904FCB">
        <w:rPr>
          <w:sz w:val="27"/>
          <w:rtl/>
        </w:rPr>
        <w:t xml:space="preserve">: </w:t>
      </w:r>
      <w:r w:rsidRPr="00904FCB">
        <w:rPr>
          <w:rFonts w:hint="eastAsia"/>
          <w:sz w:val="27"/>
          <w:rtl/>
        </w:rPr>
        <w:t>«</w:t>
      </w:r>
      <w:r w:rsidRPr="00904FCB">
        <w:rPr>
          <w:rFonts w:hint="cs"/>
          <w:sz w:val="27"/>
          <w:rtl/>
        </w:rPr>
        <w:t>والمراد</w:t>
      </w:r>
      <w:r w:rsidRPr="00904FCB">
        <w:rPr>
          <w:sz w:val="27"/>
          <w:rtl/>
        </w:rPr>
        <w:t xml:space="preserve"> </w:t>
      </w:r>
      <w:r w:rsidRPr="00904FCB">
        <w:rPr>
          <w:rFonts w:hint="cs"/>
          <w:sz w:val="27"/>
          <w:rtl/>
        </w:rPr>
        <w:t>باتّ</w:t>
      </w:r>
      <w:r w:rsidR="008B0ADC" w:rsidRPr="00904FCB">
        <w:rPr>
          <w:rFonts w:hint="cs"/>
          <w:sz w:val="27"/>
          <w:rtl/>
        </w:rPr>
        <w:t>ِ</w:t>
      </w:r>
      <w:r w:rsidRPr="00904FCB">
        <w:rPr>
          <w:rFonts w:hint="cs"/>
          <w:sz w:val="27"/>
          <w:rtl/>
        </w:rPr>
        <w:t>خاذهم</w:t>
      </w:r>
      <w:r w:rsidRPr="00904FCB">
        <w:rPr>
          <w:sz w:val="27"/>
          <w:rtl/>
        </w:rPr>
        <w:t xml:space="preserve"> </w:t>
      </w:r>
      <w:r w:rsidRPr="00904FCB">
        <w:rPr>
          <w:rFonts w:hint="cs"/>
          <w:sz w:val="27"/>
          <w:rtl/>
        </w:rPr>
        <w:t>أرباباً</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ظاهرها؛ لعدم</w:t>
      </w:r>
      <w:r w:rsidRPr="00904FCB">
        <w:rPr>
          <w:sz w:val="27"/>
          <w:rtl/>
        </w:rPr>
        <w:t xml:space="preserve"> </w:t>
      </w:r>
      <w:r w:rsidRPr="00904FCB">
        <w:rPr>
          <w:rFonts w:hint="cs"/>
          <w:sz w:val="27"/>
          <w:rtl/>
        </w:rPr>
        <w:t>قولهم</w:t>
      </w:r>
      <w:r w:rsidRPr="00904FCB">
        <w:rPr>
          <w:sz w:val="27"/>
          <w:rtl/>
        </w:rPr>
        <w:t xml:space="preserve"> </w:t>
      </w:r>
      <w:r w:rsidRPr="00904FCB">
        <w:rPr>
          <w:rFonts w:hint="cs"/>
          <w:sz w:val="27"/>
          <w:rtl/>
        </w:rPr>
        <w:t>بألوهيّتهم</w:t>
      </w:r>
      <w:r w:rsidRPr="00904FCB">
        <w:rPr>
          <w:rFonts w:hint="eastAsia"/>
          <w:sz w:val="27"/>
          <w:rtl/>
        </w:rPr>
        <w:t>»</w:t>
      </w:r>
      <w:r w:rsidRPr="00904FCB">
        <w:rPr>
          <w:rFonts w:hint="cs"/>
          <w:sz w:val="27"/>
          <w:vertAlign w:val="superscript"/>
          <w:rtl/>
        </w:rPr>
        <w:t>(</w:t>
      </w:r>
      <w:r w:rsidRPr="00904FCB">
        <w:rPr>
          <w:rStyle w:val="ac"/>
          <w:sz w:val="27"/>
          <w:rtl/>
        </w:rPr>
        <w:endnoteReference w:id="664"/>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وقال</w:t>
      </w:r>
      <w:r w:rsidRPr="00904FCB">
        <w:rPr>
          <w:sz w:val="27"/>
          <w:rtl/>
        </w:rPr>
        <w:t xml:space="preserve"> </w:t>
      </w:r>
      <w:r w:rsidR="008B0ADC" w:rsidRPr="00904FCB">
        <w:rPr>
          <w:rFonts w:hint="cs"/>
          <w:sz w:val="27"/>
          <w:rtl/>
        </w:rPr>
        <w:t>السي</w:t>
      </w:r>
      <w:r w:rsidRPr="00904FCB">
        <w:rPr>
          <w:rFonts w:hint="cs"/>
          <w:sz w:val="27"/>
          <w:rtl/>
        </w:rPr>
        <w:t>د</w:t>
      </w:r>
      <w:r w:rsidRPr="00904FCB">
        <w:rPr>
          <w:sz w:val="27"/>
          <w:rtl/>
        </w:rPr>
        <w:t xml:space="preserve"> </w:t>
      </w:r>
      <w:r w:rsidRPr="00904FCB">
        <w:rPr>
          <w:rFonts w:hint="cs"/>
          <w:sz w:val="27"/>
          <w:rtl/>
        </w:rPr>
        <w:t>الحكيم</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نسبة</w:t>
      </w:r>
      <w:r w:rsidRPr="00904FCB">
        <w:rPr>
          <w:sz w:val="27"/>
          <w:rtl/>
        </w:rPr>
        <w:t xml:space="preserve"> </w:t>
      </w:r>
      <w:r w:rsidRPr="00904FCB">
        <w:rPr>
          <w:rFonts w:hint="cs"/>
          <w:sz w:val="27"/>
          <w:rtl/>
        </w:rPr>
        <w:t>الإشراك</w:t>
      </w:r>
      <w:r w:rsidRPr="00904FCB">
        <w:rPr>
          <w:sz w:val="27"/>
          <w:rtl/>
        </w:rPr>
        <w:t xml:space="preserve"> </w:t>
      </w:r>
      <w:r w:rsidRPr="00904FCB">
        <w:rPr>
          <w:rFonts w:hint="cs"/>
          <w:sz w:val="27"/>
          <w:rtl/>
        </w:rPr>
        <w:t>إليهم</w:t>
      </w:r>
      <w:r w:rsidRPr="00904FCB">
        <w:rPr>
          <w:sz w:val="27"/>
          <w:rtl/>
        </w:rPr>
        <w:t xml:space="preserve"> </w:t>
      </w:r>
      <w:r w:rsidRPr="00904FCB">
        <w:rPr>
          <w:rFonts w:hint="cs"/>
          <w:sz w:val="27"/>
          <w:rtl/>
        </w:rPr>
        <w:t>ليست</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الحقيقة؛ فإنّ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خلاف</w:t>
      </w:r>
      <w:r w:rsidRPr="00904FCB">
        <w:rPr>
          <w:sz w:val="27"/>
          <w:rtl/>
        </w:rPr>
        <w:t xml:space="preserve"> </w:t>
      </w:r>
      <w:r w:rsidRPr="00904FCB">
        <w:rPr>
          <w:rFonts w:hint="cs"/>
          <w:sz w:val="27"/>
          <w:rtl/>
        </w:rPr>
        <w:t>الآيات</w:t>
      </w:r>
      <w:r w:rsidRPr="00904FCB">
        <w:rPr>
          <w:sz w:val="27"/>
          <w:rtl/>
        </w:rPr>
        <w:t xml:space="preserve"> </w:t>
      </w:r>
      <w:r w:rsidRPr="00904FCB">
        <w:rPr>
          <w:rFonts w:hint="cs"/>
          <w:sz w:val="27"/>
          <w:rtl/>
        </w:rPr>
        <w:t>والروايات، وخلاف</w:t>
      </w:r>
      <w:r w:rsidRPr="00904FCB">
        <w:rPr>
          <w:sz w:val="27"/>
          <w:rtl/>
        </w:rPr>
        <w:t xml:space="preserve"> </w:t>
      </w:r>
      <w:r w:rsidRPr="00904FCB">
        <w:rPr>
          <w:rFonts w:hint="cs"/>
          <w:sz w:val="27"/>
          <w:rtl/>
        </w:rPr>
        <w:t>المفهوم</w:t>
      </w:r>
      <w:r w:rsidRPr="00904FCB">
        <w:rPr>
          <w:sz w:val="27"/>
          <w:rtl/>
        </w:rPr>
        <w:t xml:space="preserve"> </w:t>
      </w:r>
      <w:r w:rsidRPr="00904FCB">
        <w:rPr>
          <w:rFonts w:hint="cs"/>
          <w:sz w:val="27"/>
          <w:rtl/>
        </w:rPr>
        <w:t>منها</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المتشرّ</w:t>
      </w:r>
      <w:r w:rsidR="008B0ADC" w:rsidRPr="00904FCB">
        <w:rPr>
          <w:rFonts w:hint="cs"/>
          <w:sz w:val="27"/>
          <w:rtl/>
        </w:rPr>
        <w:t>ِ</w:t>
      </w:r>
      <w:r w:rsidRPr="00904FCB">
        <w:rPr>
          <w:rFonts w:hint="cs"/>
          <w:sz w:val="27"/>
          <w:rtl/>
        </w:rPr>
        <w:t>عة</w:t>
      </w:r>
      <w:r w:rsidRPr="00904FCB">
        <w:rPr>
          <w:sz w:val="27"/>
          <w:rtl/>
        </w:rPr>
        <w:t xml:space="preserve"> </w:t>
      </w:r>
      <w:r w:rsidRPr="00904FCB">
        <w:rPr>
          <w:rFonts w:hint="cs"/>
          <w:sz w:val="27"/>
          <w:rtl/>
        </w:rPr>
        <w:t>والع</w:t>
      </w:r>
      <w:r w:rsidR="008B0ADC" w:rsidRPr="00904FCB">
        <w:rPr>
          <w:rFonts w:hint="cs"/>
          <w:sz w:val="27"/>
          <w:rtl/>
        </w:rPr>
        <w:t>ُ</w:t>
      </w:r>
      <w:r w:rsidRPr="00904FCB">
        <w:rPr>
          <w:rFonts w:hint="cs"/>
          <w:sz w:val="27"/>
          <w:rtl/>
        </w:rPr>
        <w:t>ر</w:t>
      </w:r>
      <w:r w:rsidR="008B0ADC" w:rsidRPr="00904FCB">
        <w:rPr>
          <w:rFonts w:hint="cs"/>
          <w:sz w:val="27"/>
          <w:rtl/>
        </w:rPr>
        <w:t>ْ</w:t>
      </w:r>
      <w:r w:rsidRPr="00904FCB">
        <w:rPr>
          <w:rFonts w:hint="cs"/>
          <w:sz w:val="27"/>
          <w:rtl/>
        </w:rPr>
        <w:t>ف، فيتعيّ</w:t>
      </w:r>
      <w:r w:rsidR="008B0ADC" w:rsidRPr="00904FCB">
        <w:rPr>
          <w:rFonts w:hint="cs"/>
          <w:sz w:val="27"/>
          <w:rtl/>
        </w:rPr>
        <w:t>َ</w:t>
      </w:r>
      <w:r w:rsidRPr="00904FCB">
        <w:rPr>
          <w:rFonts w:hint="cs"/>
          <w:sz w:val="27"/>
          <w:rtl/>
        </w:rPr>
        <w:t>ن</w:t>
      </w:r>
      <w:r w:rsidRPr="00904FCB">
        <w:rPr>
          <w:sz w:val="27"/>
          <w:rtl/>
        </w:rPr>
        <w:t xml:space="preserve"> </w:t>
      </w:r>
      <w:r w:rsidRPr="00904FCB">
        <w:rPr>
          <w:rFonts w:hint="cs"/>
          <w:sz w:val="27"/>
          <w:rtl/>
        </w:rPr>
        <w:t>حمله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التجوّ</w:t>
      </w:r>
      <w:r w:rsidR="008B0ADC" w:rsidRPr="00904FCB">
        <w:rPr>
          <w:rFonts w:hint="cs"/>
          <w:sz w:val="27"/>
          <w:rtl/>
        </w:rPr>
        <w:t>ُ</w:t>
      </w:r>
      <w:r w:rsidRPr="00904FCB">
        <w:rPr>
          <w:rFonts w:hint="cs"/>
          <w:sz w:val="27"/>
          <w:rtl/>
        </w:rPr>
        <w:t>ز</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الإسناد</w:t>
      </w:r>
      <w:r w:rsidR="008B0ADC" w:rsidRPr="00904FCB">
        <w:rPr>
          <w:rFonts w:hint="cs"/>
          <w:sz w:val="27"/>
          <w:rtl/>
        </w:rPr>
        <w:t>.</w:t>
      </w:r>
      <w:r w:rsidRPr="00904FCB">
        <w:rPr>
          <w:rFonts w:hint="cs"/>
          <w:sz w:val="27"/>
          <w:rtl/>
        </w:rPr>
        <w:t xml:space="preserve"> وليس</w:t>
      </w:r>
      <w:r w:rsidRPr="00904FCB">
        <w:rPr>
          <w:sz w:val="27"/>
          <w:rtl/>
        </w:rPr>
        <w:t xml:space="preserve"> </w:t>
      </w:r>
      <w:r w:rsidRPr="00904FCB">
        <w:rPr>
          <w:rFonts w:hint="cs"/>
          <w:sz w:val="27"/>
          <w:rtl/>
        </w:rPr>
        <w:t>الكلام</w:t>
      </w:r>
      <w:r w:rsidRPr="00904FCB">
        <w:rPr>
          <w:sz w:val="27"/>
          <w:rtl/>
        </w:rPr>
        <w:t xml:space="preserve"> </w:t>
      </w:r>
      <w:r w:rsidRPr="00904FCB">
        <w:rPr>
          <w:rFonts w:hint="cs"/>
          <w:sz w:val="27"/>
          <w:rtl/>
        </w:rPr>
        <w:t>وارداً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مقام</w:t>
      </w:r>
      <w:r w:rsidRPr="00904FCB">
        <w:rPr>
          <w:sz w:val="27"/>
          <w:rtl/>
        </w:rPr>
        <w:t xml:space="preserve"> </w:t>
      </w:r>
      <w:r w:rsidRPr="00904FCB">
        <w:rPr>
          <w:rFonts w:hint="cs"/>
          <w:sz w:val="27"/>
          <w:rtl/>
        </w:rPr>
        <w:t>جعل</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ليؤخذ</w:t>
      </w:r>
      <w:r w:rsidRPr="00904FCB">
        <w:rPr>
          <w:sz w:val="27"/>
          <w:rtl/>
        </w:rPr>
        <w:t xml:space="preserve"> </w:t>
      </w:r>
      <w:r w:rsidRPr="00904FCB">
        <w:rPr>
          <w:rFonts w:hint="cs"/>
          <w:sz w:val="27"/>
          <w:rtl/>
        </w:rPr>
        <w:t>بإطلاق</w:t>
      </w:r>
      <w:r w:rsidRPr="00904FCB">
        <w:rPr>
          <w:sz w:val="27"/>
          <w:rtl/>
        </w:rPr>
        <w:t xml:space="preserve"> </w:t>
      </w:r>
      <w:r w:rsidRPr="00904FCB">
        <w:rPr>
          <w:rFonts w:hint="cs"/>
          <w:sz w:val="27"/>
          <w:rtl/>
        </w:rPr>
        <w:t>التنزيل</w:t>
      </w:r>
      <w:r w:rsidR="008B0ADC" w:rsidRPr="00904FCB">
        <w:rPr>
          <w:rFonts w:hint="cs"/>
          <w:sz w:val="27"/>
          <w:rtl/>
        </w:rPr>
        <w:t>؛</w:t>
      </w:r>
      <w:r w:rsidRPr="00904FCB">
        <w:rPr>
          <w:sz w:val="27"/>
          <w:rtl/>
        </w:rPr>
        <w:t xml:space="preserve"> </w:t>
      </w:r>
      <w:r w:rsidRPr="00904FCB">
        <w:rPr>
          <w:rFonts w:hint="cs"/>
          <w:sz w:val="27"/>
          <w:rtl/>
        </w:rPr>
        <w:t>كي</w:t>
      </w:r>
      <w:r w:rsidRPr="00904FCB">
        <w:rPr>
          <w:sz w:val="27"/>
          <w:rtl/>
        </w:rPr>
        <w:t xml:space="preserve"> </w:t>
      </w:r>
      <w:r w:rsidRPr="00904FCB">
        <w:rPr>
          <w:rFonts w:hint="cs"/>
          <w:sz w:val="27"/>
          <w:rtl/>
        </w:rPr>
        <w:t>يثبت</w:t>
      </w:r>
      <w:r w:rsidRPr="00904FCB">
        <w:rPr>
          <w:sz w:val="27"/>
          <w:rtl/>
        </w:rPr>
        <w:t xml:space="preserve"> </w:t>
      </w:r>
      <w:r w:rsidRPr="00904FCB">
        <w:rPr>
          <w:rFonts w:hint="cs"/>
          <w:sz w:val="27"/>
          <w:rtl/>
        </w:rPr>
        <w:t>حكم</w:t>
      </w:r>
      <w:r w:rsidRPr="00904FCB">
        <w:rPr>
          <w:sz w:val="27"/>
          <w:rtl/>
        </w:rPr>
        <w:t xml:space="preserve"> </w:t>
      </w:r>
      <w:r w:rsidRPr="00904FCB">
        <w:rPr>
          <w:rFonts w:hint="cs"/>
          <w:sz w:val="27"/>
          <w:rtl/>
        </w:rPr>
        <w:t>المشركين</w:t>
      </w:r>
      <w:r w:rsidRPr="00904FCB">
        <w:rPr>
          <w:sz w:val="27"/>
          <w:rtl/>
        </w:rPr>
        <w:t xml:space="preserve"> </w:t>
      </w:r>
      <w:r w:rsidRPr="00904FCB">
        <w:rPr>
          <w:rFonts w:hint="cs"/>
          <w:sz w:val="27"/>
          <w:rtl/>
        </w:rPr>
        <w:t>لهم</w:t>
      </w:r>
      <w:r w:rsidRPr="00904FCB">
        <w:rPr>
          <w:rFonts w:hint="eastAsia"/>
          <w:sz w:val="27"/>
          <w:rtl/>
        </w:rPr>
        <w:t>»</w:t>
      </w:r>
      <w:r w:rsidRPr="00904FCB">
        <w:rPr>
          <w:rFonts w:hint="cs"/>
          <w:sz w:val="27"/>
          <w:vertAlign w:val="superscript"/>
          <w:rtl/>
        </w:rPr>
        <w:t>(</w:t>
      </w:r>
      <w:r w:rsidRPr="00904FCB">
        <w:rPr>
          <w:rStyle w:val="ac"/>
          <w:sz w:val="27"/>
          <w:rtl/>
        </w:rPr>
        <w:endnoteReference w:id="665"/>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وقال</w:t>
      </w:r>
      <w:r w:rsidRPr="00904FCB">
        <w:rPr>
          <w:sz w:val="27"/>
          <w:rtl/>
        </w:rPr>
        <w:t xml:space="preserve"> </w:t>
      </w:r>
      <w:r w:rsidRPr="00904FCB">
        <w:rPr>
          <w:rFonts w:hint="cs"/>
          <w:sz w:val="27"/>
          <w:rtl/>
        </w:rPr>
        <w:t>الفخر</w:t>
      </w:r>
      <w:r w:rsidRPr="00904FCB">
        <w:rPr>
          <w:sz w:val="27"/>
          <w:rtl/>
        </w:rPr>
        <w:t xml:space="preserve"> </w:t>
      </w:r>
      <w:r w:rsidRPr="00904FCB">
        <w:rPr>
          <w:rFonts w:hint="cs"/>
          <w:sz w:val="27"/>
          <w:rtl/>
        </w:rPr>
        <w:t>الرازي</w:t>
      </w:r>
      <w:r w:rsidRPr="00904FCB">
        <w:rPr>
          <w:sz w:val="27"/>
          <w:rtl/>
        </w:rPr>
        <w:t xml:space="preserve">: </w:t>
      </w:r>
      <w:r w:rsidRPr="00904FCB">
        <w:rPr>
          <w:rFonts w:hint="eastAsia"/>
          <w:sz w:val="27"/>
          <w:rtl/>
        </w:rPr>
        <w:t>«</w:t>
      </w:r>
      <w:r w:rsidRPr="00904FCB">
        <w:rPr>
          <w:rFonts w:hint="cs"/>
          <w:sz w:val="27"/>
          <w:rtl/>
        </w:rPr>
        <w:t>الأكثرون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المفسّ</w:t>
      </w:r>
      <w:r w:rsidR="008B0ADC" w:rsidRPr="00904FCB">
        <w:rPr>
          <w:rFonts w:hint="cs"/>
          <w:sz w:val="27"/>
          <w:rtl/>
        </w:rPr>
        <w:t>ِ</w:t>
      </w:r>
      <w:r w:rsidRPr="00904FCB">
        <w:rPr>
          <w:rFonts w:hint="cs"/>
          <w:sz w:val="27"/>
          <w:rtl/>
        </w:rPr>
        <w:t>رين</w:t>
      </w:r>
      <w:r w:rsidRPr="00904FCB">
        <w:rPr>
          <w:sz w:val="27"/>
          <w:rtl/>
        </w:rPr>
        <w:t xml:space="preserve"> </w:t>
      </w:r>
      <w:r w:rsidRPr="00904FCB">
        <w:rPr>
          <w:rFonts w:hint="cs"/>
          <w:sz w:val="27"/>
          <w:rtl/>
        </w:rPr>
        <w:t>قالوا</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الأرباب</w:t>
      </w:r>
      <w:r w:rsidRPr="00904FCB">
        <w:rPr>
          <w:sz w:val="27"/>
          <w:rtl/>
        </w:rPr>
        <w:t xml:space="preserve"> </w:t>
      </w:r>
      <w:r w:rsidRPr="00904FCB">
        <w:rPr>
          <w:rFonts w:hint="cs"/>
          <w:sz w:val="27"/>
          <w:rtl/>
        </w:rPr>
        <w:t>أنّهم</w:t>
      </w:r>
      <w:r w:rsidRPr="00904FCB">
        <w:rPr>
          <w:sz w:val="27"/>
          <w:rtl/>
        </w:rPr>
        <w:t xml:space="preserve"> </w:t>
      </w:r>
      <w:r w:rsidRPr="00904FCB">
        <w:rPr>
          <w:rFonts w:hint="cs"/>
          <w:sz w:val="27"/>
          <w:rtl/>
        </w:rPr>
        <w:t>اعتقدوا</w:t>
      </w:r>
      <w:r w:rsidRPr="00904FCB">
        <w:rPr>
          <w:sz w:val="27"/>
          <w:rtl/>
        </w:rPr>
        <w:t xml:space="preserve"> </w:t>
      </w:r>
      <w:r w:rsidRPr="00904FCB">
        <w:rPr>
          <w:rFonts w:hint="cs"/>
          <w:sz w:val="27"/>
          <w:rtl/>
        </w:rPr>
        <w:t>فيهم</w:t>
      </w:r>
      <w:r w:rsidRPr="00904FCB">
        <w:rPr>
          <w:sz w:val="27"/>
          <w:rtl/>
        </w:rPr>
        <w:t xml:space="preserve"> </w:t>
      </w:r>
      <w:r w:rsidRPr="00904FCB">
        <w:rPr>
          <w:rFonts w:hint="cs"/>
          <w:sz w:val="27"/>
          <w:rtl/>
        </w:rPr>
        <w:t>أنّهم</w:t>
      </w:r>
      <w:r w:rsidRPr="00904FCB">
        <w:rPr>
          <w:sz w:val="27"/>
          <w:rtl/>
        </w:rPr>
        <w:t xml:space="preserve"> </w:t>
      </w:r>
      <w:r w:rsidRPr="00904FCB">
        <w:rPr>
          <w:rFonts w:hint="cs"/>
          <w:sz w:val="27"/>
          <w:rtl/>
        </w:rPr>
        <w:t>آلهة</w:t>
      </w:r>
      <w:r w:rsidRPr="00904FCB">
        <w:rPr>
          <w:sz w:val="27"/>
          <w:rtl/>
        </w:rPr>
        <w:t xml:space="preserve"> </w:t>
      </w:r>
      <w:r w:rsidRPr="00904FCB">
        <w:rPr>
          <w:rFonts w:hint="cs"/>
          <w:sz w:val="27"/>
          <w:rtl/>
        </w:rPr>
        <w:t>العالم، بل</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أنّهم</w:t>
      </w:r>
      <w:r w:rsidRPr="00904FCB">
        <w:rPr>
          <w:sz w:val="27"/>
          <w:rtl/>
        </w:rPr>
        <w:t xml:space="preserve"> </w:t>
      </w:r>
      <w:r w:rsidRPr="00904FCB">
        <w:rPr>
          <w:rFonts w:hint="cs"/>
          <w:sz w:val="27"/>
          <w:rtl/>
        </w:rPr>
        <w:t>أطاعوهم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أوامرهم</w:t>
      </w:r>
      <w:r w:rsidRPr="00904FCB">
        <w:rPr>
          <w:sz w:val="27"/>
          <w:rtl/>
        </w:rPr>
        <w:t xml:space="preserve"> </w:t>
      </w:r>
      <w:r w:rsidRPr="00904FCB">
        <w:rPr>
          <w:rFonts w:hint="cs"/>
          <w:sz w:val="27"/>
          <w:rtl/>
        </w:rPr>
        <w:t>ونواهيهم</w:t>
      </w:r>
      <w:r w:rsidRPr="00904FCB">
        <w:rPr>
          <w:sz w:val="27"/>
          <w:rtl/>
        </w:rPr>
        <w:t>... [</w:t>
      </w:r>
      <w:r w:rsidRPr="00904FCB">
        <w:rPr>
          <w:rFonts w:hint="cs"/>
          <w:sz w:val="27"/>
          <w:rtl/>
        </w:rPr>
        <w:t>بل</w:t>
      </w:r>
      <w:r w:rsidRPr="00904FCB">
        <w:rPr>
          <w:sz w:val="27"/>
          <w:rtl/>
        </w:rPr>
        <w:t xml:space="preserve"> </w:t>
      </w:r>
      <w:r w:rsidRPr="00904FCB">
        <w:rPr>
          <w:rFonts w:hint="cs"/>
          <w:sz w:val="27"/>
          <w:rtl/>
        </w:rPr>
        <w:lastRenderedPageBreak/>
        <w:t>كانوا</w:t>
      </w:r>
      <w:r w:rsidRPr="00904FCB">
        <w:rPr>
          <w:sz w:val="27"/>
          <w:rtl/>
        </w:rPr>
        <w:t xml:space="preserve"> </w:t>
      </w:r>
      <w:r w:rsidRPr="00904FCB">
        <w:rPr>
          <w:rFonts w:hint="cs"/>
          <w:sz w:val="27"/>
          <w:rtl/>
        </w:rPr>
        <w:t>يطيعونهم</w:t>
      </w:r>
      <w:r w:rsidRPr="00904FCB">
        <w:rPr>
          <w:sz w:val="27"/>
          <w:rtl/>
        </w:rPr>
        <w:t xml:space="preserve"> </w:t>
      </w:r>
      <w:r w:rsidRPr="00904FCB">
        <w:rPr>
          <w:rFonts w:hint="cs"/>
          <w:sz w:val="27"/>
          <w:rtl/>
        </w:rPr>
        <w:t>طاعة</w:t>
      </w:r>
      <w:r w:rsidRPr="00904FCB">
        <w:rPr>
          <w:sz w:val="27"/>
          <w:rtl/>
        </w:rPr>
        <w:t xml:space="preserve"> </w:t>
      </w:r>
      <w:r w:rsidRPr="00904FCB">
        <w:rPr>
          <w:rFonts w:hint="cs"/>
          <w:sz w:val="27"/>
          <w:rtl/>
        </w:rPr>
        <w:t>مطلقة، والآية</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بصدد</w:t>
      </w:r>
      <w:r w:rsidRPr="00904FCB">
        <w:rPr>
          <w:sz w:val="27"/>
          <w:rtl/>
        </w:rPr>
        <w:t xml:space="preserve"> </w:t>
      </w:r>
      <w:r w:rsidRPr="00904FCB">
        <w:rPr>
          <w:rFonts w:hint="cs"/>
          <w:sz w:val="27"/>
          <w:rtl/>
        </w:rPr>
        <w:t>نهيهم</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يقول</w:t>
      </w:r>
      <w:r w:rsidR="008B0ADC" w:rsidRPr="00904FCB">
        <w:rPr>
          <w:rFonts w:hint="cs"/>
          <w:sz w:val="27"/>
          <w:rtl/>
        </w:rPr>
        <w:t>:</w:t>
      </w:r>
      <w:r w:rsidRPr="00904FCB">
        <w:rPr>
          <w:sz w:val="27"/>
          <w:rtl/>
        </w:rPr>
        <w:t xml:space="preserve">] </w:t>
      </w:r>
      <w:r w:rsidRPr="00904FCB">
        <w:rPr>
          <w:rFonts w:hint="cs"/>
          <w:sz w:val="27"/>
          <w:rtl/>
        </w:rPr>
        <w:t>ولو</w:t>
      </w:r>
      <w:r w:rsidRPr="00904FCB">
        <w:rPr>
          <w:sz w:val="27"/>
          <w:rtl/>
        </w:rPr>
        <w:t xml:space="preserve"> </w:t>
      </w:r>
      <w:r w:rsidRPr="00904FCB">
        <w:rPr>
          <w:rFonts w:hint="cs"/>
          <w:sz w:val="27"/>
          <w:rtl/>
        </w:rPr>
        <w:t>تأمّلت</w:t>
      </w:r>
      <w:r w:rsidRPr="00904FCB">
        <w:rPr>
          <w:sz w:val="27"/>
          <w:rtl/>
        </w:rPr>
        <w:t xml:space="preserve"> </w:t>
      </w:r>
      <w:r w:rsidRPr="00904FCB">
        <w:rPr>
          <w:rFonts w:hint="cs"/>
          <w:sz w:val="27"/>
          <w:rtl/>
        </w:rPr>
        <w:t>حقّ</w:t>
      </w:r>
      <w:r w:rsidRPr="00904FCB">
        <w:rPr>
          <w:sz w:val="27"/>
          <w:rtl/>
        </w:rPr>
        <w:t xml:space="preserve"> </w:t>
      </w:r>
      <w:r w:rsidRPr="00904FCB">
        <w:rPr>
          <w:rFonts w:hint="cs"/>
          <w:sz w:val="27"/>
          <w:rtl/>
        </w:rPr>
        <w:t>التأمّل</w:t>
      </w:r>
      <w:r w:rsidRPr="00904FCB">
        <w:rPr>
          <w:sz w:val="27"/>
          <w:rtl/>
        </w:rPr>
        <w:t xml:space="preserve"> </w:t>
      </w:r>
      <w:r w:rsidRPr="00904FCB">
        <w:rPr>
          <w:rFonts w:hint="cs"/>
          <w:sz w:val="27"/>
          <w:rtl/>
        </w:rPr>
        <w:t>وجدت</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الداء</w:t>
      </w:r>
      <w:r w:rsidRPr="00904FCB">
        <w:rPr>
          <w:sz w:val="27"/>
          <w:rtl/>
        </w:rPr>
        <w:t xml:space="preserve"> </w:t>
      </w:r>
      <w:r w:rsidRPr="00904FCB">
        <w:rPr>
          <w:rFonts w:hint="cs"/>
          <w:sz w:val="27"/>
          <w:rtl/>
        </w:rPr>
        <w:t>سارياً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عروق</w:t>
      </w:r>
      <w:r w:rsidRPr="00904FCB">
        <w:rPr>
          <w:sz w:val="27"/>
          <w:rtl/>
        </w:rPr>
        <w:t xml:space="preserve"> </w:t>
      </w:r>
      <w:r w:rsidRPr="00904FCB">
        <w:rPr>
          <w:rFonts w:hint="cs"/>
          <w:sz w:val="27"/>
          <w:rtl/>
        </w:rPr>
        <w:t>الأكثرين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الدنيا</w:t>
      </w:r>
      <w:r w:rsidRPr="00904FCB">
        <w:rPr>
          <w:rFonts w:hint="eastAsia"/>
          <w:sz w:val="27"/>
          <w:rtl/>
        </w:rPr>
        <w:t>»</w:t>
      </w:r>
      <w:r w:rsidRPr="00904FCB">
        <w:rPr>
          <w:rFonts w:hint="cs"/>
          <w:sz w:val="27"/>
          <w:vertAlign w:val="superscript"/>
          <w:rtl/>
        </w:rPr>
        <w:t>(</w:t>
      </w:r>
      <w:r w:rsidRPr="00904FCB">
        <w:rPr>
          <w:rStyle w:val="ac"/>
          <w:sz w:val="27"/>
          <w:rtl/>
        </w:rPr>
        <w:endnoteReference w:id="666"/>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وممّا</w:t>
      </w:r>
      <w:r w:rsidRPr="00904FCB">
        <w:rPr>
          <w:sz w:val="27"/>
          <w:rtl/>
        </w:rPr>
        <w:t xml:space="preserve"> </w:t>
      </w:r>
      <w:r w:rsidRPr="00904FCB">
        <w:rPr>
          <w:rFonts w:hint="cs"/>
          <w:sz w:val="27"/>
          <w:rtl/>
        </w:rPr>
        <w:t>يؤيّ</w:t>
      </w:r>
      <w:r w:rsidR="008B0ADC" w:rsidRPr="00904FCB">
        <w:rPr>
          <w:rFonts w:hint="cs"/>
          <w:sz w:val="27"/>
          <w:rtl/>
        </w:rPr>
        <w:t>ِ</w:t>
      </w:r>
      <w:r w:rsidRPr="00904FCB">
        <w:rPr>
          <w:rFonts w:hint="cs"/>
          <w:sz w:val="27"/>
          <w:rtl/>
        </w:rPr>
        <w:t>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إطلاق</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إنّما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لبعض</w:t>
      </w:r>
      <w:r w:rsidRPr="00904FCB">
        <w:rPr>
          <w:sz w:val="27"/>
          <w:rtl/>
        </w:rPr>
        <w:t xml:space="preserve"> </w:t>
      </w:r>
      <w:r w:rsidRPr="00904FCB">
        <w:rPr>
          <w:rFonts w:hint="cs"/>
          <w:sz w:val="27"/>
          <w:rtl/>
        </w:rPr>
        <w:t>الاعتبارات</w:t>
      </w:r>
      <w:r w:rsidR="00B9445D">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وجه</w:t>
      </w:r>
      <w:r w:rsidRPr="00904FCB">
        <w:rPr>
          <w:sz w:val="27"/>
          <w:rtl/>
        </w:rPr>
        <w:t xml:space="preserve"> </w:t>
      </w:r>
      <w:r w:rsidRPr="00904FCB">
        <w:rPr>
          <w:rFonts w:hint="cs"/>
          <w:sz w:val="27"/>
          <w:rtl/>
        </w:rPr>
        <w:t>الحقيقة</w:t>
      </w:r>
      <w:r w:rsidR="00B9445D">
        <w:rPr>
          <w:rFonts w:hint="cs"/>
          <w:sz w:val="27"/>
          <w:rtl/>
        </w:rPr>
        <w:t>،</w:t>
      </w:r>
      <w:r w:rsidRPr="00904FCB">
        <w:rPr>
          <w:sz w:val="27"/>
          <w:rtl/>
        </w:rPr>
        <w:t xml:space="preserve"> </w:t>
      </w:r>
      <w:r w:rsidRPr="00904FCB">
        <w:rPr>
          <w:rFonts w:hint="cs"/>
          <w:sz w:val="27"/>
          <w:rtl/>
        </w:rPr>
        <w:t>إطلاقُ</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العاصي</w:t>
      </w:r>
      <w:r w:rsidRPr="00904FCB">
        <w:rPr>
          <w:sz w:val="27"/>
          <w:rtl/>
        </w:rPr>
        <w:t xml:space="preserve"> </w:t>
      </w:r>
      <w:r w:rsidRPr="00904FCB">
        <w:rPr>
          <w:rFonts w:hint="cs"/>
          <w:sz w:val="27"/>
          <w:rtl/>
        </w:rPr>
        <w:t>المطيع</w:t>
      </w:r>
      <w:r w:rsidRPr="00904FCB">
        <w:rPr>
          <w:sz w:val="27"/>
          <w:rtl/>
        </w:rPr>
        <w:t xml:space="preserve"> </w:t>
      </w:r>
      <w:r w:rsidRPr="00904FCB">
        <w:rPr>
          <w:rFonts w:hint="cs"/>
          <w:sz w:val="27"/>
          <w:rtl/>
        </w:rPr>
        <w:t>للشيطان، كقوله</w:t>
      </w:r>
      <w:r w:rsidRPr="00904FCB">
        <w:rPr>
          <w:sz w:val="27"/>
          <w:rtl/>
        </w:rPr>
        <w:t xml:space="preserve"> </w:t>
      </w:r>
      <w:r w:rsidRPr="00904FCB">
        <w:rPr>
          <w:rFonts w:hint="cs"/>
          <w:sz w:val="27"/>
          <w:rtl/>
        </w:rPr>
        <w:t>تعالى</w:t>
      </w:r>
      <w:r w:rsidRPr="00904FCB">
        <w:rPr>
          <w:sz w:val="27"/>
          <w:rtl/>
        </w:rPr>
        <w:t xml:space="preserve">: </w:t>
      </w:r>
      <w:r w:rsidRPr="00904FCB">
        <w:rPr>
          <w:rFonts w:ascii="Mosawi" w:hAnsi="Mosawi" w:cs="Mosawi"/>
          <w:sz w:val="24"/>
          <w:szCs w:val="24"/>
          <w:rtl/>
        </w:rPr>
        <w:t>﴿</w:t>
      </w:r>
      <w:r w:rsidRPr="00904FCB">
        <w:rPr>
          <w:b/>
          <w:bCs/>
          <w:sz w:val="27"/>
          <w:rtl/>
        </w:rPr>
        <w:t>و</w:t>
      </w:r>
      <w:r w:rsidR="008B0ADC" w:rsidRPr="00904FCB">
        <w:rPr>
          <w:rFonts w:hint="cs"/>
          <w:b/>
          <w:bCs/>
          <w:sz w:val="27"/>
          <w:rtl/>
        </w:rPr>
        <w:t>َ</w:t>
      </w:r>
      <w:r w:rsidRPr="00904FCB">
        <w:rPr>
          <w:rFonts w:hint="cs"/>
          <w:b/>
          <w:bCs/>
          <w:sz w:val="27"/>
          <w:rtl/>
        </w:rPr>
        <w:t>لا</w:t>
      </w:r>
      <w:r w:rsidR="008B0ADC" w:rsidRPr="00904FCB">
        <w:rPr>
          <w:rFonts w:hint="cs"/>
          <w:b/>
          <w:bCs/>
          <w:sz w:val="27"/>
          <w:rtl/>
        </w:rPr>
        <w:t>َ</w:t>
      </w:r>
      <w:r w:rsidRPr="00904FCB">
        <w:rPr>
          <w:b/>
          <w:bCs/>
          <w:sz w:val="27"/>
          <w:rtl/>
        </w:rPr>
        <w:t xml:space="preserve"> </w:t>
      </w:r>
      <w:r w:rsidRPr="00904FCB">
        <w:rPr>
          <w:rFonts w:hint="cs"/>
          <w:b/>
          <w:bCs/>
          <w:sz w:val="27"/>
          <w:rtl/>
        </w:rPr>
        <w:t>تَأْكُلُوا</w:t>
      </w:r>
      <w:r w:rsidRPr="00904FCB">
        <w:rPr>
          <w:b/>
          <w:bCs/>
          <w:sz w:val="27"/>
          <w:rtl/>
        </w:rPr>
        <w:t xml:space="preserve"> </w:t>
      </w:r>
      <w:r w:rsidRPr="00904FCB">
        <w:rPr>
          <w:rFonts w:hint="cs"/>
          <w:b/>
          <w:bCs/>
          <w:sz w:val="27"/>
          <w:rtl/>
        </w:rPr>
        <w:t>مِمَّا</w:t>
      </w:r>
      <w:r w:rsidRPr="00904FCB">
        <w:rPr>
          <w:b/>
          <w:bCs/>
          <w:sz w:val="27"/>
          <w:rtl/>
        </w:rPr>
        <w:t xml:space="preserve"> </w:t>
      </w:r>
      <w:r w:rsidRPr="00904FCB">
        <w:rPr>
          <w:rFonts w:hint="cs"/>
          <w:b/>
          <w:bCs/>
          <w:sz w:val="27"/>
          <w:rtl/>
        </w:rPr>
        <w:t>لَمْ</w:t>
      </w:r>
      <w:r w:rsidRPr="00904FCB">
        <w:rPr>
          <w:b/>
          <w:bCs/>
          <w:sz w:val="27"/>
          <w:rtl/>
        </w:rPr>
        <w:t xml:space="preserve"> </w:t>
      </w:r>
      <w:r w:rsidRPr="00904FCB">
        <w:rPr>
          <w:rFonts w:hint="cs"/>
          <w:b/>
          <w:bCs/>
          <w:sz w:val="27"/>
          <w:rtl/>
        </w:rPr>
        <w:t>يُذْكَرِ</w:t>
      </w:r>
      <w:r w:rsidRPr="00904FCB">
        <w:rPr>
          <w:b/>
          <w:bCs/>
          <w:sz w:val="27"/>
          <w:rtl/>
        </w:rPr>
        <w:t xml:space="preserve"> </w:t>
      </w:r>
      <w:r w:rsidRPr="00904FCB">
        <w:rPr>
          <w:rFonts w:hint="cs"/>
          <w:b/>
          <w:bCs/>
          <w:sz w:val="27"/>
          <w:rtl/>
        </w:rPr>
        <w:t>اسْمُ</w:t>
      </w:r>
      <w:r w:rsidRPr="00904FCB">
        <w:rPr>
          <w:b/>
          <w:bCs/>
          <w:sz w:val="27"/>
          <w:rtl/>
        </w:rPr>
        <w:t xml:space="preserve"> </w:t>
      </w:r>
      <w:r w:rsidR="008B0ADC" w:rsidRPr="00904FCB">
        <w:rPr>
          <w:rFonts w:hint="cs"/>
          <w:b/>
          <w:bCs/>
          <w:sz w:val="27"/>
          <w:rtl/>
        </w:rPr>
        <w:t>الل</w:t>
      </w:r>
      <w:r w:rsidRPr="00904FCB">
        <w:rPr>
          <w:rFonts w:hint="cs"/>
          <w:b/>
          <w:bCs/>
          <w:sz w:val="27"/>
          <w:rtl/>
        </w:rPr>
        <w:t>هِ</w:t>
      </w:r>
      <w:r w:rsidRPr="00904FCB">
        <w:rPr>
          <w:b/>
          <w:bCs/>
          <w:sz w:val="27"/>
          <w:rtl/>
        </w:rPr>
        <w:t xml:space="preserve"> </w:t>
      </w:r>
      <w:r w:rsidRPr="00904FCB">
        <w:rPr>
          <w:rFonts w:hint="cs"/>
          <w:b/>
          <w:bCs/>
          <w:sz w:val="27"/>
          <w:rtl/>
        </w:rPr>
        <w:t>عَلَيْهِ</w:t>
      </w:r>
      <w:r w:rsidRPr="00904FCB">
        <w:rPr>
          <w:b/>
          <w:bCs/>
          <w:sz w:val="27"/>
          <w:rtl/>
        </w:rPr>
        <w:t xml:space="preserve"> و</w:t>
      </w:r>
      <w:r w:rsidR="008B0ADC" w:rsidRPr="00904FCB">
        <w:rPr>
          <w:rFonts w:hint="cs"/>
          <w:b/>
          <w:bCs/>
          <w:sz w:val="27"/>
          <w:rtl/>
        </w:rPr>
        <w:t>َ</w:t>
      </w:r>
      <w:r w:rsidRPr="00904FCB">
        <w:rPr>
          <w:rFonts w:hint="cs"/>
          <w:b/>
          <w:bCs/>
          <w:sz w:val="27"/>
          <w:rtl/>
        </w:rPr>
        <w:t>إِنَّهُ</w:t>
      </w:r>
      <w:r w:rsidRPr="00904FCB">
        <w:rPr>
          <w:b/>
          <w:bCs/>
          <w:sz w:val="27"/>
          <w:rtl/>
        </w:rPr>
        <w:t xml:space="preserve"> </w:t>
      </w:r>
      <w:r w:rsidRPr="00904FCB">
        <w:rPr>
          <w:rFonts w:hint="cs"/>
          <w:b/>
          <w:bCs/>
          <w:sz w:val="27"/>
          <w:rtl/>
        </w:rPr>
        <w:t>لَفِسْقٌ</w:t>
      </w:r>
      <w:r w:rsidRPr="00904FCB">
        <w:rPr>
          <w:b/>
          <w:bCs/>
          <w:sz w:val="27"/>
          <w:rtl/>
        </w:rPr>
        <w:t xml:space="preserve"> و</w:t>
      </w:r>
      <w:r w:rsidR="008B0ADC" w:rsidRPr="00904FCB">
        <w:rPr>
          <w:rFonts w:hint="cs"/>
          <w:b/>
          <w:bCs/>
          <w:sz w:val="27"/>
          <w:rtl/>
        </w:rPr>
        <w:t>َ</w:t>
      </w:r>
      <w:r w:rsidRPr="00904FCB">
        <w:rPr>
          <w:rFonts w:hint="cs"/>
          <w:b/>
          <w:bCs/>
          <w:sz w:val="27"/>
          <w:rtl/>
        </w:rPr>
        <w:t>إِنَّ</w:t>
      </w:r>
      <w:r w:rsidRPr="00904FCB">
        <w:rPr>
          <w:b/>
          <w:bCs/>
          <w:sz w:val="27"/>
          <w:rtl/>
        </w:rPr>
        <w:t xml:space="preserve"> </w:t>
      </w:r>
      <w:r w:rsidRPr="00904FCB">
        <w:rPr>
          <w:rFonts w:hint="cs"/>
          <w:b/>
          <w:bCs/>
          <w:sz w:val="27"/>
          <w:rtl/>
        </w:rPr>
        <w:t>الشَّي</w:t>
      </w:r>
      <w:r w:rsidR="008B0ADC" w:rsidRPr="00904FCB">
        <w:rPr>
          <w:rFonts w:hint="cs"/>
          <w:b/>
          <w:bCs/>
          <w:sz w:val="27"/>
          <w:rtl/>
        </w:rPr>
        <w:t>َ</w:t>
      </w:r>
      <w:r w:rsidRPr="00904FCB">
        <w:rPr>
          <w:rFonts w:hint="cs"/>
          <w:b/>
          <w:bCs/>
          <w:sz w:val="27"/>
          <w:rtl/>
        </w:rPr>
        <w:t>اط</w:t>
      </w:r>
      <w:r w:rsidR="008B0ADC" w:rsidRPr="00904FCB">
        <w:rPr>
          <w:rFonts w:hint="cs"/>
          <w:b/>
          <w:bCs/>
          <w:sz w:val="27"/>
          <w:rtl/>
        </w:rPr>
        <w:t>ِ</w:t>
      </w:r>
      <w:r w:rsidRPr="00904FCB">
        <w:rPr>
          <w:rFonts w:hint="cs"/>
          <w:b/>
          <w:bCs/>
          <w:sz w:val="27"/>
          <w:rtl/>
        </w:rPr>
        <w:t>ينَ</w:t>
      </w:r>
      <w:r w:rsidRPr="00904FCB">
        <w:rPr>
          <w:b/>
          <w:bCs/>
          <w:sz w:val="27"/>
          <w:rtl/>
        </w:rPr>
        <w:t xml:space="preserve"> </w:t>
      </w:r>
      <w:r w:rsidRPr="00904FCB">
        <w:rPr>
          <w:rFonts w:hint="cs"/>
          <w:b/>
          <w:bCs/>
          <w:sz w:val="27"/>
          <w:rtl/>
        </w:rPr>
        <w:t>لَيُوحُونَ</w:t>
      </w:r>
      <w:r w:rsidRPr="00904FCB">
        <w:rPr>
          <w:b/>
          <w:bCs/>
          <w:sz w:val="27"/>
          <w:rtl/>
        </w:rPr>
        <w:t xml:space="preserve"> </w:t>
      </w:r>
      <w:r w:rsidRPr="00904FCB">
        <w:rPr>
          <w:rFonts w:hint="cs"/>
          <w:b/>
          <w:bCs/>
          <w:sz w:val="27"/>
          <w:rtl/>
        </w:rPr>
        <w:t>إِل</w:t>
      </w:r>
      <w:r w:rsidR="008B0ADC" w:rsidRPr="00904FCB">
        <w:rPr>
          <w:rFonts w:hint="cs"/>
          <w:b/>
          <w:bCs/>
          <w:sz w:val="27"/>
          <w:rtl/>
        </w:rPr>
        <w:t>َ</w:t>
      </w:r>
      <w:r w:rsidRPr="00904FCB">
        <w:rPr>
          <w:rFonts w:hint="cs"/>
          <w:b/>
          <w:bCs/>
          <w:sz w:val="27"/>
          <w:rtl/>
        </w:rPr>
        <w:t>ى‏</w:t>
      </w:r>
      <w:r w:rsidRPr="00904FCB">
        <w:rPr>
          <w:b/>
          <w:bCs/>
          <w:sz w:val="27"/>
          <w:rtl/>
        </w:rPr>
        <w:t xml:space="preserve"> </w:t>
      </w:r>
      <w:r w:rsidRPr="00904FCB">
        <w:rPr>
          <w:rFonts w:hint="cs"/>
          <w:b/>
          <w:bCs/>
          <w:sz w:val="27"/>
          <w:rtl/>
        </w:rPr>
        <w:t>أَوْلِيائِهِمْ</w:t>
      </w:r>
      <w:r w:rsidRPr="00904FCB">
        <w:rPr>
          <w:b/>
          <w:bCs/>
          <w:sz w:val="27"/>
          <w:rtl/>
        </w:rPr>
        <w:t xml:space="preserve"> </w:t>
      </w:r>
      <w:r w:rsidRPr="00904FCB">
        <w:rPr>
          <w:rFonts w:hint="cs"/>
          <w:b/>
          <w:bCs/>
          <w:sz w:val="27"/>
          <w:rtl/>
        </w:rPr>
        <w:t>لِيُج</w:t>
      </w:r>
      <w:r w:rsidR="008B0ADC" w:rsidRPr="00904FCB">
        <w:rPr>
          <w:rFonts w:hint="cs"/>
          <w:b/>
          <w:bCs/>
          <w:sz w:val="27"/>
          <w:rtl/>
        </w:rPr>
        <w:t>َ</w:t>
      </w:r>
      <w:r w:rsidRPr="00904FCB">
        <w:rPr>
          <w:rFonts w:hint="cs"/>
          <w:b/>
          <w:bCs/>
          <w:sz w:val="27"/>
          <w:rtl/>
        </w:rPr>
        <w:t>ادِلُوكُمْ</w:t>
      </w:r>
      <w:r w:rsidRPr="00904FCB">
        <w:rPr>
          <w:b/>
          <w:bCs/>
          <w:sz w:val="27"/>
          <w:rtl/>
        </w:rPr>
        <w:t xml:space="preserve"> و</w:t>
      </w:r>
      <w:r w:rsidR="008B0ADC" w:rsidRPr="00904FCB">
        <w:rPr>
          <w:rFonts w:hint="cs"/>
          <w:b/>
          <w:bCs/>
          <w:sz w:val="27"/>
          <w:rtl/>
        </w:rPr>
        <w:t>َ</w:t>
      </w:r>
      <w:r w:rsidRPr="00904FCB">
        <w:rPr>
          <w:rFonts w:hint="cs"/>
          <w:b/>
          <w:bCs/>
          <w:sz w:val="27"/>
          <w:rtl/>
        </w:rPr>
        <w:t>إِنْ</w:t>
      </w:r>
      <w:r w:rsidRPr="00904FCB">
        <w:rPr>
          <w:b/>
          <w:bCs/>
          <w:sz w:val="27"/>
          <w:rtl/>
        </w:rPr>
        <w:t xml:space="preserve"> </w:t>
      </w:r>
      <w:r w:rsidRPr="00904FCB">
        <w:rPr>
          <w:rFonts w:hint="cs"/>
          <w:b/>
          <w:bCs/>
          <w:sz w:val="27"/>
          <w:rtl/>
        </w:rPr>
        <w:t>أَطَعْتُمُوهُمْ</w:t>
      </w:r>
      <w:r w:rsidRPr="00904FCB">
        <w:rPr>
          <w:b/>
          <w:bCs/>
          <w:sz w:val="27"/>
          <w:rtl/>
        </w:rPr>
        <w:t xml:space="preserve"> </w:t>
      </w:r>
      <w:r w:rsidRPr="00904FCB">
        <w:rPr>
          <w:rFonts w:hint="cs"/>
          <w:b/>
          <w:bCs/>
          <w:sz w:val="27"/>
          <w:rtl/>
        </w:rPr>
        <w:t>إِنَّكُمْ</w:t>
      </w:r>
      <w:r w:rsidRPr="00904FCB">
        <w:rPr>
          <w:b/>
          <w:bCs/>
          <w:sz w:val="27"/>
          <w:rtl/>
        </w:rPr>
        <w:t xml:space="preserve"> </w:t>
      </w:r>
      <w:r w:rsidRPr="00904FCB">
        <w:rPr>
          <w:rFonts w:hint="cs"/>
          <w:b/>
          <w:bCs/>
          <w:sz w:val="27"/>
          <w:rtl/>
        </w:rPr>
        <w:t>لَمُشْرِكُونَ</w:t>
      </w:r>
      <w:r w:rsidRPr="00904FCB">
        <w:rPr>
          <w:rFonts w:ascii="Mosawi" w:hAnsi="Mosawi" w:cs="Mosawi"/>
          <w:sz w:val="24"/>
          <w:szCs w:val="24"/>
          <w:rtl/>
        </w:rPr>
        <w:t>﴾</w:t>
      </w:r>
      <w:r w:rsidRPr="00904FCB">
        <w:rPr>
          <w:sz w:val="27"/>
          <w:rtl/>
        </w:rPr>
        <w:t xml:space="preserve"> (</w:t>
      </w:r>
      <w:r w:rsidRPr="00904FCB">
        <w:rPr>
          <w:rFonts w:hint="cs"/>
          <w:sz w:val="27"/>
          <w:rtl/>
        </w:rPr>
        <w:t xml:space="preserve">الأنعام: </w:t>
      </w:r>
      <w:r w:rsidRPr="00F4753C">
        <w:rPr>
          <w:rFonts w:hint="cs"/>
          <w:sz w:val="27"/>
          <w:rtl/>
          <w:lang w:bidi="ar-LB"/>
        </w:rPr>
        <w:t>121</w:t>
      </w:r>
      <w:r w:rsidRPr="00904FCB">
        <w:rPr>
          <w:sz w:val="27"/>
          <w:rtl/>
        </w:rPr>
        <w:t>)،</w:t>
      </w:r>
      <w:r w:rsidRPr="00904FCB">
        <w:rPr>
          <w:rFonts w:hint="cs"/>
          <w:sz w:val="27"/>
          <w:rtl/>
        </w:rPr>
        <w:t xml:space="preserve"> فأطلق</w:t>
      </w:r>
      <w:r w:rsidRPr="00904FCB">
        <w:rPr>
          <w:sz w:val="27"/>
          <w:rtl/>
        </w:rPr>
        <w:t xml:space="preserve"> </w:t>
      </w:r>
      <w:r w:rsidRPr="00904FCB">
        <w:rPr>
          <w:rFonts w:hint="cs"/>
          <w:sz w:val="27"/>
          <w:rtl/>
        </w:rPr>
        <w:t>لفظ</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المؤمنين</w:t>
      </w:r>
      <w:r w:rsidRPr="00904FCB">
        <w:rPr>
          <w:sz w:val="27"/>
          <w:rtl/>
        </w:rPr>
        <w:t xml:space="preserve"> </w:t>
      </w:r>
      <w:r w:rsidRPr="00904FCB">
        <w:rPr>
          <w:rFonts w:hint="cs"/>
          <w:sz w:val="27"/>
          <w:rtl/>
        </w:rPr>
        <w:t>بلحاظ</w:t>
      </w:r>
      <w:r w:rsidRPr="00904FCB">
        <w:rPr>
          <w:sz w:val="27"/>
          <w:rtl/>
        </w:rPr>
        <w:t xml:space="preserve"> </w:t>
      </w:r>
      <w:r w:rsidRPr="00904FCB">
        <w:rPr>
          <w:rFonts w:hint="cs"/>
          <w:sz w:val="27"/>
          <w:rtl/>
        </w:rPr>
        <w:t>إطاعتهم</w:t>
      </w:r>
      <w:r w:rsidRPr="00904FCB">
        <w:rPr>
          <w:sz w:val="27"/>
          <w:rtl/>
        </w:rPr>
        <w:t xml:space="preserve"> </w:t>
      </w:r>
      <w:r w:rsidRPr="00904FCB">
        <w:rPr>
          <w:rFonts w:hint="cs"/>
          <w:sz w:val="27"/>
          <w:rtl/>
        </w:rPr>
        <w:t>الشيطان، فهم</w:t>
      </w:r>
      <w:r w:rsidRPr="00904FCB">
        <w:rPr>
          <w:sz w:val="27"/>
          <w:rtl/>
        </w:rPr>
        <w:t xml:space="preserve"> </w:t>
      </w:r>
      <w:r w:rsidRPr="00904FCB">
        <w:rPr>
          <w:rFonts w:hint="cs"/>
          <w:sz w:val="27"/>
          <w:rtl/>
        </w:rPr>
        <w:t>بهذا</w:t>
      </w:r>
      <w:r w:rsidRPr="00904FCB">
        <w:rPr>
          <w:sz w:val="27"/>
          <w:rtl/>
        </w:rPr>
        <w:t xml:space="preserve"> </w:t>
      </w:r>
      <w:r w:rsidRPr="00904FCB">
        <w:rPr>
          <w:rFonts w:hint="cs"/>
          <w:sz w:val="27"/>
          <w:rtl/>
        </w:rPr>
        <w:t>اللحاظ</w:t>
      </w:r>
      <w:r w:rsidRPr="00904FCB">
        <w:rPr>
          <w:sz w:val="27"/>
          <w:rtl/>
        </w:rPr>
        <w:t xml:space="preserve"> </w:t>
      </w:r>
      <w:r w:rsidRPr="00904FCB">
        <w:rPr>
          <w:rFonts w:hint="cs"/>
          <w:sz w:val="27"/>
          <w:rtl/>
        </w:rPr>
        <w:t>مشركون</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وكقوله</w:t>
      </w:r>
      <w:r w:rsidRPr="00904FCB">
        <w:rPr>
          <w:sz w:val="27"/>
          <w:rtl/>
        </w:rPr>
        <w:t xml:space="preserve"> </w:t>
      </w:r>
      <w:r w:rsidRPr="00904FCB">
        <w:rPr>
          <w:rFonts w:hint="cs"/>
          <w:sz w:val="27"/>
          <w:rtl/>
        </w:rPr>
        <w:t>سبحانه</w:t>
      </w:r>
      <w:r w:rsidRPr="00904FCB">
        <w:rPr>
          <w:sz w:val="27"/>
          <w:rtl/>
        </w:rPr>
        <w:t xml:space="preserve">: </w:t>
      </w:r>
      <w:r w:rsidRPr="00904FCB">
        <w:rPr>
          <w:rFonts w:ascii="Mosawi" w:hAnsi="Mosawi" w:cs="Mosawi"/>
          <w:sz w:val="24"/>
          <w:szCs w:val="24"/>
          <w:rtl/>
        </w:rPr>
        <w:t>﴿</w:t>
      </w:r>
      <w:r w:rsidRPr="00904FCB">
        <w:rPr>
          <w:b/>
          <w:bCs/>
          <w:sz w:val="27"/>
          <w:rtl/>
        </w:rPr>
        <w:t>و</w:t>
      </w:r>
      <w:r w:rsidR="00791C58" w:rsidRPr="00904FCB">
        <w:rPr>
          <w:rFonts w:hint="cs"/>
          <w:b/>
          <w:bCs/>
          <w:sz w:val="27"/>
          <w:rtl/>
        </w:rPr>
        <w:t>َ</w:t>
      </w:r>
      <w:r w:rsidRPr="00904FCB">
        <w:rPr>
          <w:rFonts w:hint="cs"/>
          <w:b/>
          <w:bCs/>
          <w:sz w:val="27"/>
          <w:rtl/>
        </w:rPr>
        <w:t>م</w:t>
      </w:r>
      <w:r w:rsidR="00791C58"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يُؤْمِنُ</w:t>
      </w:r>
      <w:r w:rsidRPr="00904FCB">
        <w:rPr>
          <w:b/>
          <w:bCs/>
          <w:sz w:val="27"/>
          <w:rtl/>
        </w:rPr>
        <w:t xml:space="preserve"> </w:t>
      </w:r>
      <w:r w:rsidRPr="00904FCB">
        <w:rPr>
          <w:rFonts w:hint="cs"/>
          <w:b/>
          <w:bCs/>
          <w:sz w:val="27"/>
          <w:rtl/>
        </w:rPr>
        <w:t>أَكْثَرُهُمْ</w:t>
      </w:r>
      <w:r w:rsidRPr="00904FCB">
        <w:rPr>
          <w:b/>
          <w:bCs/>
          <w:sz w:val="27"/>
          <w:rtl/>
        </w:rPr>
        <w:t xml:space="preserve"> </w:t>
      </w:r>
      <w:r w:rsidR="00791C58" w:rsidRPr="00904FCB">
        <w:rPr>
          <w:rFonts w:hint="cs"/>
          <w:b/>
          <w:bCs/>
          <w:sz w:val="27"/>
          <w:rtl/>
        </w:rPr>
        <w:t>بِالل</w:t>
      </w:r>
      <w:r w:rsidRPr="00904FCB">
        <w:rPr>
          <w:rFonts w:hint="cs"/>
          <w:b/>
          <w:bCs/>
          <w:sz w:val="27"/>
          <w:rtl/>
        </w:rPr>
        <w:t>هِ</w:t>
      </w:r>
      <w:r w:rsidRPr="00904FCB">
        <w:rPr>
          <w:b/>
          <w:bCs/>
          <w:sz w:val="27"/>
          <w:rtl/>
        </w:rPr>
        <w:t xml:space="preserve"> </w:t>
      </w:r>
      <w:r w:rsidRPr="00904FCB">
        <w:rPr>
          <w:rFonts w:hint="cs"/>
          <w:b/>
          <w:bCs/>
          <w:sz w:val="27"/>
          <w:rtl/>
        </w:rPr>
        <w:t>إِلاَّ</w:t>
      </w:r>
      <w:r w:rsidRPr="00904FCB">
        <w:rPr>
          <w:b/>
          <w:bCs/>
          <w:sz w:val="27"/>
          <w:rtl/>
        </w:rPr>
        <w:t xml:space="preserve"> و</w:t>
      </w:r>
      <w:r w:rsidR="00791C58" w:rsidRPr="00904FCB">
        <w:rPr>
          <w:rFonts w:hint="cs"/>
          <w:b/>
          <w:bCs/>
          <w:sz w:val="27"/>
          <w:rtl/>
        </w:rPr>
        <w:t>َ</w:t>
      </w:r>
      <w:r w:rsidRPr="00904FCB">
        <w:rPr>
          <w:rFonts w:hint="cs"/>
          <w:b/>
          <w:bCs/>
          <w:sz w:val="27"/>
          <w:rtl/>
        </w:rPr>
        <w:t>هُمْ</w:t>
      </w:r>
      <w:r w:rsidRPr="00904FCB">
        <w:rPr>
          <w:b/>
          <w:bCs/>
          <w:sz w:val="27"/>
          <w:rtl/>
        </w:rPr>
        <w:t xml:space="preserve"> </w:t>
      </w:r>
      <w:r w:rsidRPr="00904FCB">
        <w:rPr>
          <w:rFonts w:hint="cs"/>
          <w:b/>
          <w:bCs/>
          <w:sz w:val="27"/>
          <w:rtl/>
        </w:rPr>
        <w:t>مُشْرِكُونَ</w:t>
      </w:r>
      <w:r w:rsidRPr="00904FCB">
        <w:rPr>
          <w:rFonts w:ascii="Mosawi" w:hAnsi="Mosawi" w:cs="Mosawi"/>
          <w:sz w:val="24"/>
          <w:szCs w:val="24"/>
          <w:rtl/>
        </w:rPr>
        <w:t>﴾</w:t>
      </w:r>
      <w:r w:rsidRPr="00904FCB">
        <w:rPr>
          <w:sz w:val="27"/>
          <w:rtl/>
        </w:rPr>
        <w:t xml:space="preserve"> (</w:t>
      </w:r>
      <w:r w:rsidRPr="00904FCB">
        <w:rPr>
          <w:rFonts w:hint="cs"/>
          <w:sz w:val="27"/>
          <w:rtl/>
        </w:rPr>
        <w:t xml:space="preserve">يوسف: </w:t>
      </w:r>
      <w:r w:rsidRPr="00F4753C">
        <w:rPr>
          <w:rFonts w:hint="cs"/>
          <w:sz w:val="27"/>
          <w:rtl/>
          <w:lang w:bidi="ar-LB"/>
        </w:rPr>
        <w:t>106</w:t>
      </w:r>
      <w:r w:rsidRPr="00904FCB">
        <w:rPr>
          <w:sz w:val="27"/>
          <w:rtl/>
        </w:rPr>
        <w:t>)،</w:t>
      </w:r>
      <w:r w:rsidRPr="00904FCB">
        <w:rPr>
          <w:rFonts w:hint="cs"/>
          <w:sz w:val="27"/>
          <w:rtl/>
        </w:rPr>
        <w:t xml:space="preserve"> فترى</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أثبت</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أكثر</w:t>
      </w:r>
      <w:r w:rsidRPr="00904FCB">
        <w:rPr>
          <w:sz w:val="27"/>
          <w:rtl/>
        </w:rPr>
        <w:t xml:space="preserve"> </w:t>
      </w:r>
      <w:r w:rsidRPr="00904FCB">
        <w:rPr>
          <w:rFonts w:hint="cs"/>
          <w:sz w:val="27"/>
          <w:rtl/>
        </w:rPr>
        <w:t>المؤمنين</w:t>
      </w:r>
      <w:r w:rsidRPr="00904FCB">
        <w:rPr>
          <w:sz w:val="27"/>
          <w:rtl/>
        </w:rPr>
        <w:t xml:space="preserve"> </w:t>
      </w:r>
      <w:r w:rsidRPr="00904FCB">
        <w:rPr>
          <w:rFonts w:hint="cs"/>
          <w:sz w:val="27"/>
          <w:rtl/>
        </w:rPr>
        <w:t>بالله</w:t>
      </w:r>
      <w:r w:rsidRPr="00904FCB">
        <w:rPr>
          <w:sz w:val="27"/>
          <w:rtl/>
        </w:rPr>
        <w:t xml:space="preserve"> </w:t>
      </w:r>
      <w:r w:rsidRPr="00904FCB">
        <w:rPr>
          <w:rFonts w:hint="cs"/>
          <w:sz w:val="27"/>
          <w:rtl/>
        </w:rPr>
        <w:t>تعالى</w:t>
      </w:r>
      <w:r w:rsidRPr="00904FCB">
        <w:rPr>
          <w:sz w:val="27"/>
          <w:rtl/>
        </w:rPr>
        <w:t xml:space="preserve">. </w:t>
      </w:r>
    </w:p>
    <w:p w:rsidR="00791C58" w:rsidRPr="00904FCB" w:rsidRDefault="00F34FB9" w:rsidP="007A21AA">
      <w:pPr>
        <w:spacing w:line="400" w:lineRule="exact"/>
        <w:rPr>
          <w:sz w:val="27"/>
          <w:rtl/>
        </w:rPr>
      </w:pPr>
      <w:r w:rsidRPr="00904FCB">
        <w:rPr>
          <w:rFonts w:hint="cs"/>
          <w:sz w:val="27"/>
          <w:rtl/>
        </w:rPr>
        <w:t>وقوله</w:t>
      </w:r>
      <w:r w:rsidRPr="00904FCB">
        <w:rPr>
          <w:sz w:val="27"/>
          <w:rtl/>
        </w:rPr>
        <w:t xml:space="preserve"> </w:t>
      </w:r>
      <w:r w:rsidRPr="00904FCB">
        <w:rPr>
          <w:rFonts w:hint="cs"/>
          <w:sz w:val="27"/>
          <w:rtl/>
        </w:rPr>
        <w:t>تعالى</w:t>
      </w:r>
      <w:r w:rsidRPr="00904FCB">
        <w:rPr>
          <w:sz w:val="27"/>
          <w:rtl/>
        </w:rPr>
        <w:t xml:space="preserve">: </w:t>
      </w:r>
      <w:r w:rsidRPr="00904FCB">
        <w:rPr>
          <w:rFonts w:ascii="Mosawi" w:hAnsi="Mosawi" w:cs="Mosawi"/>
          <w:sz w:val="24"/>
          <w:szCs w:val="24"/>
          <w:rtl/>
        </w:rPr>
        <w:t>﴿</w:t>
      </w:r>
      <w:r w:rsidRPr="00904FCB">
        <w:rPr>
          <w:rFonts w:hint="cs"/>
          <w:b/>
          <w:bCs/>
          <w:sz w:val="27"/>
          <w:rtl/>
        </w:rPr>
        <w:t>إِنَّهُ</w:t>
      </w:r>
      <w:r w:rsidRPr="00904FCB">
        <w:rPr>
          <w:b/>
          <w:bCs/>
          <w:sz w:val="27"/>
          <w:rtl/>
        </w:rPr>
        <w:t xml:space="preserve"> </w:t>
      </w:r>
      <w:r w:rsidRPr="00904FCB">
        <w:rPr>
          <w:rFonts w:hint="cs"/>
          <w:b/>
          <w:bCs/>
          <w:sz w:val="27"/>
          <w:rtl/>
        </w:rPr>
        <w:t>لَيْسَ</w:t>
      </w:r>
      <w:r w:rsidRPr="00904FCB">
        <w:rPr>
          <w:b/>
          <w:bCs/>
          <w:sz w:val="27"/>
          <w:rtl/>
        </w:rPr>
        <w:t xml:space="preserve"> </w:t>
      </w:r>
      <w:r w:rsidRPr="00904FCB">
        <w:rPr>
          <w:rFonts w:hint="cs"/>
          <w:b/>
          <w:bCs/>
          <w:sz w:val="27"/>
          <w:rtl/>
        </w:rPr>
        <w:t>لَهُ</w:t>
      </w:r>
      <w:r w:rsidRPr="00904FCB">
        <w:rPr>
          <w:b/>
          <w:bCs/>
          <w:sz w:val="27"/>
          <w:rtl/>
        </w:rPr>
        <w:t xml:space="preserve"> </w:t>
      </w:r>
      <w:r w:rsidRPr="00904FCB">
        <w:rPr>
          <w:rFonts w:hint="cs"/>
          <w:b/>
          <w:bCs/>
          <w:sz w:val="27"/>
          <w:rtl/>
        </w:rPr>
        <w:t>سُلْط</w:t>
      </w:r>
      <w:r w:rsidR="00791C58" w:rsidRPr="00904FCB">
        <w:rPr>
          <w:rFonts w:hint="cs"/>
          <w:b/>
          <w:bCs/>
          <w:sz w:val="27"/>
          <w:rtl/>
        </w:rPr>
        <w:t>َ</w:t>
      </w:r>
      <w:r w:rsidRPr="00904FCB">
        <w:rPr>
          <w:rFonts w:hint="cs"/>
          <w:b/>
          <w:bCs/>
          <w:sz w:val="27"/>
          <w:rtl/>
        </w:rPr>
        <w:t>انٌ</w:t>
      </w:r>
      <w:r w:rsidRPr="00904FCB">
        <w:rPr>
          <w:b/>
          <w:bCs/>
          <w:sz w:val="27"/>
          <w:rtl/>
        </w:rPr>
        <w:t xml:space="preserve"> </w:t>
      </w:r>
      <w:r w:rsidRPr="00904FCB">
        <w:rPr>
          <w:rFonts w:hint="cs"/>
          <w:b/>
          <w:bCs/>
          <w:sz w:val="27"/>
          <w:rtl/>
        </w:rPr>
        <w:t>عَلَى</w:t>
      </w:r>
      <w:r w:rsidRPr="00904FCB">
        <w:rPr>
          <w:b/>
          <w:bCs/>
          <w:sz w:val="27"/>
          <w:rtl/>
        </w:rPr>
        <w:t xml:space="preserve"> </w:t>
      </w:r>
      <w:r w:rsidRPr="00904FCB">
        <w:rPr>
          <w:rFonts w:hint="cs"/>
          <w:b/>
          <w:bCs/>
          <w:sz w:val="27"/>
          <w:rtl/>
        </w:rPr>
        <w:t>الَّذ</w:t>
      </w:r>
      <w:r w:rsidR="00791C58" w:rsidRPr="00904FCB">
        <w:rPr>
          <w:rFonts w:hint="cs"/>
          <w:b/>
          <w:bCs/>
          <w:sz w:val="27"/>
          <w:rtl/>
        </w:rPr>
        <w:t>ِ</w:t>
      </w:r>
      <w:r w:rsidRPr="00904FCB">
        <w:rPr>
          <w:rFonts w:hint="cs"/>
          <w:b/>
          <w:bCs/>
          <w:sz w:val="27"/>
          <w:rtl/>
        </w:rPr>
        <w:t>ينَ</w:t>
      </w:r>
      <w:r w:rsidRPr="00904FCB">
        <w:rPr>
          <w:b/>
          <w:bCs/>
          <w:sz w:val="27"/>
          <w:rtl/>
        </w:rPr>
        <w:t xml:space="preserve"> </w:t>
      </w:r>
      <w:r w:rsidRPr="00904FCB">
        <w:rPr>
          <w:rFonts w:hint="cs"/>
          <w:b/>
          <w:bCs/>
          <w:sz w:val="27"/>
          <w:rtl/>
        </w:rPr>
        <w:t>آمَنُوا</w:t>
      </w:r>
      <w:r w:rsidRPr="00904FCB">
        <w:rPr>
          <w:b/>
          <w:bCs/>
          <w:sz w:val="27"/>
          <w:rtl/>
        </w:rPr>
        <w:t xml:space="preserve"> و</w:t>
      </w:r>
      <w:r w:rsidR="00791C58" w:rsidRPr="00904FCB">
        <w:rPr>
          <w:rFonts w:hint="cs"/>
          <w:b/>
          <w:bCs/>
          <w:sz w:val="27"/>
          <w:rtl/>
        </w:rPr>
        <w:t>َ</w:t>
      </w:r>
      <w:r w:rsidRPr="00904FCB">
        <w:rPr>
          <w:rFonts w:hint="cs"/>
          <w:b/>
          <w:bCs/>
          <w:sz w:val="27"/>
          <w:rtl/>
        </w:rPr>
        <w:t>عَل</w:t>
      </w:r>
      <w:r w:rsidR="00791C58" w:rsidRPr="00904FCB">
        <w:rPr>
          <w:rFonts w:hint="cs"/>
          <w:b/>
          <w:bCs/>
          <w:sz w:val="27"/>
          <w:rtl/>
        </w:rPr>
        <w:t>َ</w:t>
      </w:r>
      <w:r w:rsidRPr="00904FCB">
        <w:rPr>
          <w:rFonts w:hint="cs"/>
          <w:b/>
          <w:bCs/>
          <w:sz w:val="27"/>
          <w:rtl/>
        </w:rPr>
        <w:t>ى‏</w:t>
      </w:r>
      <w:r w:rsidRPr="00904FCB">
        <w:rPr>
          <w:b/>
          <w:bCs/>
          <w:sz w:val="27"/>
          <w:rtl/>
        </w:rPr>
        <w:t xml:space="preserve"> </w:t>
      </w:r>
      <w:r w:rsidRPr="00904FCB">
        <w:rPr>
          <w:rFonts w:hint="cs"/>
          <w:b/>
          <w:bCs/>
          <w:sz w:val="27"/>
          <w:rtl/>
        </w:rPr>
        <w:t>رَبِّهِمْ</w:t>
      </w:r>
      <w:r w:rsidRPr="00904FCB">
        <w:rPr>
          <w:b/>
          <w:bCs/>
          <w:sz w:val="27"/>
          <w:rtl/>
        </w:rPr>
        <w:t xml:space="preserve"> </w:t>
      </w:r>
      <w:r w:rsidRPr="00904FCB">
        <w:rPr>
          <w:rFonts w:hint="cs"/>
          <w:b/>
          <w:bCs/>
          <w:sz w:val="27"/>
          <w:rtl/>
        </w:rPr>
        <w:t>يَتَوَكَّلُونَ</w:t>
      </w:r>
      <w:r w:rsidRPr="00904FCB">
        <w:rPr>
          <w:b/>
          <w:bCs/>
          <w:sz w:val="27"/>
          <w:rtl/>
        </w:rPr>
        <w:t xml:space="preserve"> </w:t>
      </w:r>
      <w:r w:rsidRPr="00904FCB">
        <w:rPr>
          <w:rFonts w:hint="cs"/>
          <w:b/>
          <w:bCs/>
          <w:sz w:val="27"/>
          <w:rtl/>
        </w:rPr>
        <w:t>*</w:t>
      </w:r>
      <w:r w:rsidRPr="00904FCB">
        <w:rPr>
          <w:b/>
          <w:bCs/>
          <w:sz w:val="27"/>
          <w:rtl/>
        </w:rPr>
        <w:t xml:space="preserve"> </w:t>
      </w:r>
      <w:r w:rsidRPr="00904FCB">
        <w:rPr>
          <w:rFonts w:hint="cs"/>
          <w:b/>
          <w:bCs/>
          <w:sz w:val="27"/>
          <w:rtl/>
        </w:rPr>
        <w:t>إِنَّم</w:t>
      </w:r>
      <w:r w:rsidR="00791C58"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سُلْط</w:t>
      </w:r>
      <w:r w:rsidR="00791C58" w:rsidRPr="00904FCB">
        <w:rPr>
          <w:rFonts w:hint="cs"/>
          <w:b/>
          <w:bCs/>
          <w:sz w:val="27"/>
          <w:rtl/>
        </w:rPr>
        <w:t>َ</w:t>
      </w:r>
      <w:r w:rsidRPr="00904FCB">
        <w:rPr>
          <w:rFonts w:hint="cs"/>
          <w:b/>
          <w:bCs/>
          <w:sz w:val="27"/>
          <w:rtl/>
        </w:rPr>
        <w:t>انُهُ</w:t>
      </w:r>
      <w:r w:rsidRPr="00904FCB">
        <w:rPr>
          <w:b/>
          <w:bCs/>
          <w:sz w:val="27"/>
          <w:rtl/>
        </w:rPr>
        <w:t xml:space="preserve"> </w:t>
      </w:r>
      <w:r w:rsidRPr="00904FCB">
        <w:rPr>
          <w:rFonts w:hint="cs"/>
          <w:b/>
          <w:bCs/>
          <w:sz w:val="27"/>
          <w:rtl/>
        </w:rPr>
        <w:t>عَلَى</w:t>
      </w:r>
      <w:r w:rsidRPr="00904FCB">
        <w:rPr>
          <w:b/>
          <w:bCs/>
          <w:sz w:val="27"/>
          <w:rtl/>
        </w:rPr>
        <w:t xml:space="preserve"> </w:t>
      </w:r>
      <w:r w:rsidRPr="00904FCB">
        <w:rPr>
          <w:rFonts w:hint="cs"/>
          <w:b/>
          <w:bCs/>
          <w:sz w:val="27"/>
          <w:rtl/>
        </w:rPr>
        <w:t>الَّذ</w:t>
      </w:r>
      <w:r w:rsidR="00791C58" w:rsidRPr="00904FCB">
        <w:rPr>
          <w:rFonts w:hint="cs"/>
          <w:b/>
          <w:bCs/>
          <w:sz w:val="27"/>
          <w:rtl/>
        </w:rPr>
        <w:t>ِ</w:t>
      </w:r>
      <w:r w:rsidRPr="00904FCB">
        <w:rPr>
          <w:rFonts w:hint="cs"/>
          <w:b/>
          <w:bCs/>
          <w:sz w:val="27"/>
          <w:rtl/>
        </w:rPr>
        <w:t>ينَ</w:t>
      </w:r>
      <w:r w:rsidRPr="00904FCB">
        <w:rPr>
          <w:b/>
          <w:bCs/>
          <w:sz w:val="27"/>
          <w:rtl/>
        </w:rPr>
        <w:t xml:space="preserve"> </w:t>
      </w:r>
      <w:r w:rsidRPr="00904FCB">
        <w:rPr>
          <w:rFonts w:hint="cs"/>
          <w:b/>
          <w:bCs/>
          <w:sz w:val="27"/>
          <w:rtl/>
        </w:rPr>
        <w:t>يَتَوَلَّوْنَهُ</w:t>
      </w:r>
      <w:r w:rsidRPr="00904FCB">
        <w:rPr>
          <w:b/>
          <w:bCs/>
          <w:sz w:val="27"/>
          <w:rtl/>
        </w:rPr>
        <w:t xml:space="preserve"> و</w:t>
      </w:r>
      <w:r w:rsidR="00791C58" w:rsidRPr="00904FCB">
        <w:rPr>
          <w:rFonts w:hint="cs"/>
          <w:b/>
          <w:bCs/>
          <w:sz w:val="27"/>
          <w:rtl/>
        </w:rPr>
        <w:t>َ</w:t>
      </w:r>
      <w:r w:rsidRPr="00904FCB">
        <w:rPr>
          <w:rFonts w:hint="cs"/>
          <w:b/>
          <w:bCs/>
          <w:sz w:val="27"/>
          <w:rtl/>
        </w:rPr>
        <w:t>الَّذ</w:t>
      </w:r>
      <w:r w:rsidR="00791C58" w:rsidRPr="00904FCB">
        <w:rPr>
          <w:rFonts w:hint="cs"/>
          <w:b/>
          <w:bCs/>
          <w:sz w:val="27"/>
          <w:rtl/>
        </w:rPr>
        <w:t>ِ</w:t>
      </w:r>
      <w:r w:rsidRPr="00904FCB">
        <w:rPr>
          <w:rFonts w:hint="cs"/>
          <w:b/>
          <w:bCs/>
          <w:sz w:val="27"/>
          <w:rtl/>
        </w:rPr>
        <w:t>ينَ</w:t>
      </w:r>
      <w:r w:rsidRPr="00904FCB">
        <w:rPr>
          <w:b/>
          <w:bCs/>
          <w:sz w:val="27"/>
          <w:rtl/>
        </w:rPr>
        <w:t xml:space="preserve"> </w:t>
      </w:r>
      <w:r w:rsidRPr="00904FCB">
        <w:rPr>
          <w:rFonts w:hint="cs"/>
          <w:b/>
          <w:bCs/>
          <w:sz w:val="27"/>
          <w:rtl/>
        </w:rPr>
        <w:t>هُمْ</w:t>
      </w:r>
      <w:r w:rsidRPr="00904FCB">
        <w:rPr>
          <w:b/>
          <w:bCs/>
          <w:sz w:val="27"/>
          <w:rtl/>
        </w:rPr>
        <w:t xml:space="preserve"> </w:t>
      </w:r>
      <w:r w:rsidRPr="00904FCB">
        <w:rPr>
          <w:rFonts w:hint="cs"/>
          <w:b/>
          <w:bCs/>
          <w:sz w:val="27"/>
          <w:rtl/>
        </w:rPr>
        <w:t>بِهِ</w:t>
      </w:r>
      <w:r w:rsidRPr="00904FCB">
        <w:rPr>
          <w:b/>
          <w:bCs/>
          <w:sz w:val="27"/>
          <w:rtl/>
        </w:rPr>
        <w:t xml:space="preserve"> </w:t>
      </w:r>
      <w:r w:rsidRPr="00904FCB">
        <w:rPr>
          <w:rFonts w:hint="cs"/>
          <w:b/>
          <w:bCs/>
          <w:sz w:val="27"/>
          <w:rtl/>
        </w:rPr>
        <w:t>مُشْرِكُونَ</w:t>
      </w:r>
      <w:r w:rsidRPr="00904FCB">
        <w:rPr>
          <w:rFonts w:ascii="Mosawi" w:hAnsi="Mosawi" w:cs="Mosawi"/>
          <w:sz w:val="24"/>
          <w:szCs w:val="24"/>
          <w:rtl/>
        </w:rPr>
        <w:t>﴾</w:t>
      </w:r>
      <w:r w:rsidRPr="00904FCB">
        <w:rPr>
          <w:sz w:val="27"/>
          <w:rtl/>
        </w:rPr>
        <w:t xml:space="preserve"> (</w:t>
      </w:r>
      <w:r w:rsidRPr="00904FCB">
        <w:rPr>
          <w:rFonts w:hint="cs"/>
          <w:sz w:val="27"/>
          <w:rtl/>
        </w:rPr>
        <w:t xml:space="preserve">النحل: </w:t>
      </w:r>
      <w:r w:rsidRPr="00F4753C">
        <w:rPr>
          <w:rFonts w:hint="cs"/>
          <w:sz w:val="27"/>
          <w:rtl/>
          <w:lang w:bidi="ar-LB"/>
        </w:rPr>
        <w:t>99</w:t>
      </w:r>
      <w:r w:rsidRPr="00904FCB">
        <w:rPr>
          <w:rFonts w:hint="cs"/>
          <w:sz w:val="27"/>
          <w:rtl/>
          <w:lang w:bidi="ar-LB"/>
        </w:rPr>
        <w:t xml:space="preserve"> ـ </w:t>
      </w:r>
      <w:r w:rsidRPr="00F4753C">
        <w:rPr>
          <w:rFonts w:hint="cs"/>
          <w:sz w:val="27"/>
          <w:rtl/>
          <w:lang w:bidi="ar-LB"/>
        </w:rPr>
        <w:t>100</w:t>
      </w:r>
      <w:r w:rsidRPr="00904FCB">
        <w:rPr>
          <w:sz w:val="27"/>
          <w:rtl/>
        </w:rPr>
        <w:t>)،</w:t>
      </w:r>
      <w:r w:rsidRPr="00904FCB">
        <w:rPr>
          <w:rFonts w:hint="cs"/>
          <w:sz w:val="27"/>
          <w:rtl/>
        </w:rPr>
        <w:t xml:space="preserve"> فإنّه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أطلق</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المؤمن</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يتولّى</w:t>
      </w:r>
      <w:r w:rsidRPr="00904FCB">
        <w:rPr>
          <w:sz w:val="27"/>
          <w:rtl/>
        </w:rPr>
        <w:t xml:space="preserve"> </w:t>
      </w:r>
      <w:r w:rsidRPr="00904FCB">
        <w:rPr>
          <w:rFonts w:hint="cs"/>
          <w:sz w:val="27"/>
          <w:rtl/>
        </w:rPr>
        <w:t>الشيطان</w:t>
      </w:r>
      <w:r w:rsidR="00791C58" w:rsidRPr="00904FCB">
        <w:rPr>
          <w:rFonts w:hint="cs"/>
          <w:sz w:val="27"/>
          <w:rtl/>
        </w:rPr>
        <w:t>،</w:t>
      </w:r>
      <w:r w:rsidRPr="00904FCB">
        <w:rPr>
          <w:sz w:val="27"/>
          <w:rtl/>
        </w:rPr>
        <w:t xml:space="preserve"> </w:t>
      </w:r>
      <w:r w:rsidRPr="00904FCB">
        <w:rPr>
          <w:rFonts w:hint="cs"/>
          <w:sz w:val="27"/>
          <w:rtl/>
        </w:rPr>
        <w:t>وأشرك</w:t>
      </w:r>
      <w:r w:rsidRPr="00904FCB">
        <w:rPr>
          <w:sz w:val="27"/>
          <w:rtl/>
        </w:rPr>
        <w:t xml:space="preserve"> </w:t>
      </w:r>
      <w:r w:rsidRPr="00904FCB">
        <w:rPr>
          <w:rFonts w:hint="cs"/>
          <w:sz w:val="27"/>
          <w:rtl/>
        </w:rPr>
        <w:t>غيره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الطاعة</w:t>
      </w:r>
      <w:r w:rsidR="00791C58" w:rsidRPr="00904FCB">
        <w:rPr>
          <w:rFonts w:hint="cs"/>
          <w:sz w:val="27"/>
          <w:rtl/>
        </w:rPr>
        <w:t>.</w:t>
      </w:r>
    </w:p>
    <w:p w:rsidR="00F34FB9" w:rsidRPr="00904FCB" w:rsidRDefault="00F34FB9" w:rsidP="007A21AA">
      <w:pPr>
        <w:spacing w:line="400" w:lineRule="exact"/>
        <w:rPr>
          <w:sz w:val="27"/>
          <w:rtl/>
        </w:rPr>
      </w:pPr>
      <w:r w:rsidRPr="00904FCB">
        <w:rPr>
          <w:rFonts w:hint="cs"/>
          <w:sz w:val="27"/>
          <w:rtl/>
        </w:rPr>
        <w:t>إلى</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الآيات</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وفي</w:t>
      </w:r>
      <w:r w:rsidRPr="00904FCB">
        <w:rPr>
          <w:sz w:val="27"/>
          <w:rtl/>
        </w:rPr>
        <w:t xml:space="preserve"> </w:t>
      </w:r>
      <w:r w:rsidRPr="00904FCB">
        <w:rPr>
          <w:rFonts w:hint="cs"/>
          <w:sz w:val="27"/>
          <w:rtl/>
        </w:rPr>
        <w:t>خبر</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بصير</w:t>
      </w:r>
      <w:r w:rsidRPr="00904FCB">
        <w:rPr>
          <w:sz w:val="27"/>
          <w:rtl/>
        </w:rPr>
        <w:t xml:space="preserve"> </w:t>
      </w:r>
      <w:r w:rsidRPr="00904FCB">
        <w:rPr>
          <w:rFonts w:hint="cs"/>
          <w:sz w:val="27"/>
          <w:rtl/>
        </w:rPr>
        <w:t>وإسحاق</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عمّار</w:t>
      </w:r>
      <w:r w:rsidR="00791C58"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عبد الله</w:t>
      </w:r>
      <w:r w:rsidR="001C1A2A" w:rsidRPr="00904FCB">
        <w:rPr>
          <w:rFonts w:cs="Mosawi"/>
          <w:sz w:val="27"/>
          <w:szCs w:val="22"/>
          <w:rtl/>
        </w:rPr>
        <w:t>×</w:t>
      </w:r>
      <w:r w:rsidRPr="00904FCB">
        <w:rPr>
          <w:sz w:val="27"/>
          <w:rtl/>
        </w:rPr>
        <w:t>،</w:t>
      </w:r>
      <w:r w:rsidRPr="00904FCB">
        <w:rPr>
          <w:rFonts w:hint="cs"/>
          <w:sz w:val="27"/>
          <w:rtl/>
        </w:rPr>
        <w:t xml:space="preserve"> في</w:t>
      </w:r>
      <w:r w:rsidRPr="00904FCB">
        <w:rPr>
          <w:sz w:val="27"/>
          <w:rtl/>
        </w:rPr>
        <w:t xml:space="preserve"> </w:t>
      </w:r>
      <w:r w:rsidRPr="00904FCB">
        <w:rPr>
          <w:rFonts w:hint="cs"/>
          <w:sz w:val="27"/>
          <w:rtl/>
        </w:rPr>
        <w:t>قول</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عزّ</w:t>
      </w:r>
      <w:r w:rsidR="00791C58" w:rsidRPr="00904FCB">
        <w:rPr>
          <w:rFonts w:hint="cs"/>
          <w:sz w:val="27"/>
          <w:rtl/>
        </w:rPr>
        <w:t>َ</w:t>
      </w:r>
      <w:r w:rsidRPr="00904FCB">
        <w:rPr>
          <w:sz w:val="27"/>
          <w:rtl/>
        </w:rPr>
        <w:t xml:space="preserve"> </w:t>
      </w:r>
      <w:r w:rsidRPr="00904FCB">
        <w:rPr>
          <w:rFonts w:hint="cs"/>
          <w:sz w:val="27"/>
          <w:rtl/>
        </w:rPr>
        <w:t>وجلّ</w:t>
      </w:r>
      <w:r w:rsidR="00791C58" w:rsidRPr="00904FCB">
        <w:rPr>
          <w:rFonts w:hint="cs"/>
          <w:sz w:val="27"/>
          <w:rtl/>
        </w:rPr>
        <w:t>َ</w:t>
      </w:r>
      <w:r w:rsidRPr="00904FCB">
        <w:rPr>
          <w:sz w:val="27"/>
          <w:rtl/>
        </w:rPr>
        <w:t xml:space="preserve">: </w:t>
      </w:r>
      <w:r w:rsidR="00791C58" w:rsidRPr="00904FCB">
        <w:rPr>
          <w:rFonts w:ascii="Mosawi" w:hAnsi="Mosawi" w:cs="Mosawi"/>
          <w:sz w:val="24"/>
          <w:szCs w:val="24"/>
          <w:rtl/>
        </w:rPr>
        <w:t>﴿</w:t>
      </w:r>
      <w:r w:rsidRPr="00904FCB">
        <w:rPr>
          <w:b/>
          <w:bCs/>
          <w:sz w:val="27"/>
          <w:rtl/>
        </w:rPr>
        <w:t>و</w:t>
      </w:r>
      <w:r w:rsidR="00791C58" w:rsidRPr="00904FCB">
        <w:rPr>
          <w:rFonts w:hint="cs"/>
          <w:b/>
          <w:bCs/>
          <w:sz w:val="27"/>
          <w:rtl/>
        </w:rPr>
        <w:t>َ</w:t>
      </w:r>
      <w:r w:rsidRPr="00904FCB">
        <w:rPr>
          <w:rFonts w:hint="cs"/>
          <w:b/>
          <w:bCs/>
          <w:sz w:val="27"/>
          <w:rtl/>
        </w:rPr>
        <w:t>م</w:t>
      </w:r>
      <w:r w:rsidR="00791C58"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يُؤْمِنُ</w:t>
      </w:r>
      <w:r w:rsidRPr="00904FCB">
        <w:rPr>
          <w:b/>
          <w:bCs/>
          <w:sz w:val="27"/>
          <w:rtl/>
        </w:rPr>
        <w:t xml:space="preserve"> </w:t>
      </w:r>
      <w:r w:rsidRPr="00904FCB">
        <w:rPr>
          <w:rFonts w:hint="cs"/>
          <w:b/>
          <w:bCs/>
          <w:sz w:val="27"/>
          <w:rtl/>
        </w:rPr>
        <w:t>أَكْثَرُهُمْ</w:t>
      </w:r>
      <w:r w:rsidRPr="00904FCB">
        <w:rPr>
          <w:b/>
          <w:bCs/>
          <w:sz w:val="27"/>
          <w:rtl/>
        </w:rPr>
        <w:t xml:space="preserve"> </w:t>
      </w:r>
      <w:r w:rsidR="00791C58" w:rsidRPr="00904FCB">
        <w:rPr>
          <w:rFonts w:hint="cs"/>
          <w:b/>
          <w:bCs/>
          <w:sz w:val="27"/>
          <w:rtl/>
        </w:rPr>
        <w:t>بِالل</w:t>
      </w:r>
      <w:r w:rsidRPr="00904FCB">
        <w:rPr>
          <w:rFonts w:hint="cs"/>
          <w:b/>
          <w:bCs/>
          <w:sz w:val="27"/>
          <w:rtl/>
        </w:rPr>
        <w:t>هِ</w:t>
      </w:r>
      <w:r w:rsidRPr="00904FCB">
        <w:rPr>
          <w:b/>
          <w:bCs/>
          <w:sz w:val="27"/>
          <w:rtl/>
        </w:rPr>
        <w:t xml:space="preserve"> </w:t>
      </w:r>
      <w:r w:rsidRPr="00904FCB">
        <w:rPr>
          <w:rFonts w:hint="cs"/>
          <w:b/>
          <w:bCs/>
          <w:sz w:val="27"/>
          <w:rtl/>
        </w:rPr>
        <w:t>إِلاَّ</w:t>
      </w:r>
      <w:r w:rsidRPr="00904FCB">
        <w:rPr>
          <w:b/>
          <w:bCs/>
          <w:sz w:val="27"/>
          <w:rtl/>
        </w:rPr>
        <w:t xml:space="preserve"> و</w:t>
      </w:r>
      <w:r w:rsidR="00791C58" w:rsidRPr="00904FCB">
        <w:rPr>
          <w:rFonts w:hint="cs"/>
          <w:b/>
          <w:bCs/>
          <w:sz w:val="27"/>
          <w:rtl/>
        </w:rPr>
        <w:t>َ</w:t>
      </w:r>
      <w:r w:rsidRPr="00904FCB">
        <w:rPr>
          <w:rFonts w:hint="cs"/>
          <w:b/>
          <w:bCs/>
          <w:sz w:val="27"/>
          <w:rtl/>
        </w:rPr>
        <w:t>هُمْ</w:t>
      </w:r>
      <w:r w:rsidRPr="00904FCB">
        <w:rPr>
          <w:b/>
          <w:bCs/>
          <w:sz w:val="27"/>
          <w:rtl/>
        </w:rPr>
        <w:t xml:space="preserve"> </w:t>
      </w:r>
      <w:r w:rsidRPr="00904FCB">
        <w:rPr>
          <w:rFonts w:hint="cs"/>
          <w:b/>
          <w:bCs/>
          <w:sz w:val="27"/>
          <w:rtl/>
        </w:rPr>
        <w:t>مُشْرِكُونَ</w:t>
      </w:r>
      <w:r w:rsidR="00791C58" w:rsidRPr="00904FCB">
        <w:rPr>
          <w:rFonts w:ascii="Mosawi" w:hAnsi="Mosawi" w:cs="Mosawi"/>
          <w:sz w:val="24"/>
          <w:szCs w:val="24"/>
          <w:rtl/>
        </w:rPr>
        <w:t>﴾</w:t>
      </w:r>
      <w:r w:rsidR="00791C58" w:rsidRPr="00904FCB">
        <w:rPr>
          <w:rFonts w:ascii="Mosawi" w:hAnsi="Mosawi" w:cs="Mosawi" w:hint="cs"/>
          <w:sz w:val="24"/>
          <w:szCs w:val="24"/>
          <w:rtl/>
        </w:rPr>
        <w:t>،</w:t>
      </w:r>
      <w:r w:rsidRPr="00904FCB">
        <w:rPr>
          <w:sz w:val="27"/>
          <w:rtl/>
        </w:rPr>
        <w:t xml:space="preserve"> </w:t>
      </w:r>
      <w:r w:rsidRPr="00904FCB">
        <w:rPr>
          <w:rFonts w:hint="cs"/>
          <w:sz w:val="27"/>
          <w:rtl/>
        </w:rPr>
        <w:t>قال</w:t>
      </w:r>
      <w:r w:rsidRPr="00904FCB">
        <w:rPr>
          <w:sz w:val="27"/>
          <w:rtl/>
        </w:rPr>
        <w:t>: «</w:t>
      </w:r>
      <w:r w:rsidRPr="00904FCB">
        <w:rPr>
          <w:rFonts w:hint="cs"/>
          <w:sz w:val="27"/>
          <w:rtl/>
        </w:rPr>
        <w:t>يطيع</w:t>
      </w:r>
      <w:r w:rsidRPr="00904FCB">
        <w:rPr>
          <w:sz w:val="27"/>
          <w:rtl/>
        </w:rPr>
        <w:t xml:space="preserve"> </w:t>
      </w:r>
      <w:r w:rsidRPr="00904FCB">
        <w:rPr>
          <w:rFonts w:hint="cs"/>
          <w:sz w:val="27"/>
          <w:rtl/>
        </w:rPr>
        <w:t>الشيطان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يعلم، فيشرك</w:t>
      </w:r>
      <w:r w:rsidRPr="00904FCB">
        <w:rPr>
          <w:rFonts w:hint="eastAsia"/>
          <w:sz w:val="27"/>
          <w:rtl/>
        </w:rPr>
        <w:t>»</w:t>
      </w:r>
      <w:r w:rsidRPr="00904FCB">
        <w:rPr>
          <w:rFonts w:hint="cs"/>
          <w:sz w:val="27"/>
          <w:vertAlign w:val="superscript"/>
          <w:rtl/>
        </w:rPr>
        <w:t>(</w:t>
      </w:r>
      <w:r w:rsidRPr="00904FCB">
        <w:rPr>
          <w:rStyle w:val="ac"/>
          <w:sz w:val="27"/>
          <w:rtl/>
        </w:rPr>
        <w:endnoteReference w:id="667"/>
      </w:r>
      <w:r w:rsidRPr="00904FCB">
        <w:rPr>
          <w:rFonts w:hint="cs"/>
          <w:sz w:val="27"/>
          <w:vertAlign w:val="superscript"/>
          <w:rtl/>
        </w:rPr>
        <w:t>)</w:t>
      </w:r>
      <w:r w:rsidRPr="00904FCB">
        <w:rPr>
          <w:rFonts w:hint="cs"/>
          <w:sz w:val="27"/>
          <w:rtl/>
        </w:rPr>
        <w:t>.</w:t>
      </w:r>
    </w:p>
    <w:p w:rsidR="00F34FB9" w:rsidRPr="00904FCB" w:rsidRDefault="00F34FB9" w:rsidP="007A21AA">
      <w:pPr>
        <w:spacing w:line="400" w:lineRule="exact"/>
        <w:rPr>
          <w:sz w:val="27"/>
          <w:rtl/>
        </w:rPr>
      </w:pPr>
      <w:r w:rsidRPr="00904FCB">
        <w:rPr>
          <w:rFonts w:hint="cs"/>
          <w:sz w:val="27"/>
          <w:rtl/>
        </w:rPr>
        <w:t>في</w:t>
      </w:r>
      <w:r w:rsidRPr="00904FCB">
        <w:rPr>
          <w:sz w:val="27"/>
          <w:rtl/>
        </w:rPr>
        <w:t xml:space="preserve"> </w:t>
      </w:r>
      <w:r w:rsidRPr="00904FCB">
        <w:rPr>
          <w:rFonts w:hint="cs"/>
          <w:sz w:val="27"/>
          <w:rtl/>
        </w:rPr>
        <w:t>خبر</w:t>
      </w:r>
      <w:r w:rsidRPr="00904FCB">
        <w:rPr>
          <w:sz w:val="27"/>
          <w:rtl/>
        </w:rPr>
        <w:t xml:space="preserve"> </w:t>
      </w:r>
      <w:r w:rsidRPr="00904FCB">
        <w:rPr>
          <w:rFonts w:hint="cs"/>
          <w:sz w:val="27"/>
          <w:rtl/>
        </w:rPr>
        <w:t>ضريس</w:t>
      </w:r>
      <w:r w:rsidR="00791C58"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عبد الله</w:t>
      </w:r>
      <w:r w:rsidR="001C1A2A" w:rsidRPr="00904FCB">
        <w:rPr>
          <w:rFonts w:cs="Mosawi"/>
          <w:sz w:val="27"/>
          <w:szCs w:val="22"/>
          <w:rtl/>
        </w:rPr>
        <w:t>×</w:t>
      </w:r>
      <w:r w:rsidR="00791C58"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قول</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عزّ</w:t>
      </w:r>
      <w:r w:rsidR="00D858CA" w:rsidRPr="00904FCB">
        <w:rPr>
          <w:rFonts w:hint="cs"/>
          <w:sz w:val="27"/>
          <w:rtl/>
        </w:rPr>
        <w:t>َ</w:t>
      </w:r>
      <w:r w:rsidRPr="00904FCB">
        <w:rPr>
          <w:sz w:val="27"/>
          <w:rtl/>
        </w:rPr>
        <w:t xml:space="preserve"> </w:t>
      </w:r>
      <w:r w:rsidRPr="00904FCB">
        <w:rPr>
          <w:rFonts w:hint="cs"/>
          <w:sz w:val="27"/>
          <w:rtl/>
        </w:rPr>
        <w:t>وجلّ</w:t>
      </w:r>
      <w:r w:rsidR="00D858CA" w:rsidRPr="00904FCB">
        <w:rPr>
          <w:rFonts w:hint="cs"/>
          <w:sz w:val="27"/>
          <w:rtl/>
        </w:rPr>
        <w:t>َ</w:t>
      </w:r>
      <w:r w:rsidRPr="00904FCB">
        <w:rPr>
          <w:sz w:val="27"/>
          <w:rtl/>
        </w:rPr>
        <w:t xml:space="preserve">: </w:t>
      </w:r>
      <w:r w:rsidRPr="00904FCB">
        <w:rPr>
          <w:rFonts w:ascii="Mosawi" w:hAnsi="Mosawi" w:cs="Mosawi"/>
          <w:sz w:val="24"/>
          <w:szCs w:val="24"/>
          <w:rtl/>
        </w:rPr>
        <w:t>﴿</w:t>
      </w:r>
      <w:r w:rsidRPr="00904FCB">
        <w:rPr>
          <w:b/>
          <w:bCs/>
          <w:sz w:val="27"/>
          <w:rtl/>
        </w:rPr>
        <w:t>و</w:t>
      </w:r>
      <w:r w:rsidR="00791C58" w:rsidRPr="00904FCB">
        <w:rPr>
          <w:rFonts w:hint="cs"/>
          <w:b/>
          <w:bCs/>
          <w:sz w:val="27"/>
          <w:rtl/>
        </w:rPr>
        <w:t>َ</w:t>
      </w:r>
      <w:r w:rsidRPr="00904FCB">
        <w:rPr>
          <w:rFonts w:hint="cs"/>
          <w:b/>
          <w:bCs/>
          <w:sz w:val="27"/>
          <w:rtl/>
        </w:rPr>
        <w:t>م</w:t>
      </w:r>
      <w:r w:rsidR="00791C58"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يُؤْمِنُ</w:t>
      </w:r>
      <w:r w:rsidRPr="00904FCB">
        <w:rPr>
          <w:b/>
          <w:bCs/>
          <w:sz w:val="27"/>
          <w:rtl/>
        </w:rPr>
        <w:t xml:space="preserve"> </w:t>
      </w:r>
      <w:r w:rsidRPr="00904FCB">
        <w:rPr>
          <w:rFonts w:hint="cs"/>
          <w:b/>
          <w:bCs/>
          <w:sz w:val="27"/>
          <w:rtl/>
        </w:rPr>
        <w:t>أَكْثَرُهُمْ</w:t>
      </w:r>
      <w:r w:rsidRPr="00904FCB">
        <w:rPr>
          <w:b/>
          <w:bCs/>
          <w:sz w:val="27"/>
          <w:rtl/>
        </w:rPr>
        <w:t xml:space="preserve"> </w:t>
      </w:r>
      <w:r w:rsidR="00791C58" w:rsidRPr="00904FCB">
        <w:rPr>
          <w:rFonts w:hint="cs"/>
          <w:b/>
          <w:bCs/>
          <w:sz w:val="27"/>
          <w:rtl/>
        </w:rPr>
        <w:t>بِالل</w:t>
      </w:r>
      <w:r w:rsidRPr="00904FCB">
        <w:rPr>
          <w:rFonts w:hint="cs"/>
          <w:b/>
          <w:bCs/>
          <w:sz w:val="27"/>
          <w:rtl/>
        </w:rPr>
        <w:t>هِ</w:t>
      </w:r>
      <w:r w:rsidRPr="00904FCB">
        <w:rPr>
          <w:b/>
          <w:bCs/>
          <w:sz w:val="27"/>
          <w:rtl/>
        </w:rPr>
        <w:t xml:space="preserve"> </w:t>
      </w:r>
      <w:r w:rsidRPr="00904FCB">
        <w:rPr>
          <w:rFonts w:hint="cs"/>
          <w:b/>
          <w:bCs/>
          <w:sz w:val="27"/>
          <w:rtl/>
        </w:rPr>
        <w:t>إِلاَّ</w:t>
      </w:r>
      <w:r w:rsidRPr="00904FCB">
        <w:rPr>
          <w:b/>
          <w:bCs/>
          <w:sz w:val="27"/>
          <w:rtl/>
        </w:rPr>
        <w:t xml:space="preserve"> و</w:t>
      </w:r>
      <w:r w:rsidR="00791C58" w:rsidRPr="00904FCB">
        <w:rPr>
          <w:rFonts w:hint="cs"/>
          <w:b/>
          <w:bCs/>
          <w:sz w:val="27"/>
          <w:rtl/>
        </w:rPr>
        <w:t>َ</w:t>
      </w:r>
      <w:r w:rsidRPr="00904FCB">
        <w:rPr>
          <w:rFonts w:hint="cs"/>
          <w:b/>
          <w:bCs/>
          <w:sz w:val="27"/>
          <w:rtl/>
        </w:rPr>
        <w:t>هُمْ</w:t>
      </w:r>
      <w:r w:rsidRPr="00904FCB">
        <w:rPr>
          <w:b/>
          <w:bCs/>
          <w:sz w:val="27"/>
          <w:rtl/>
        </w:rPr>
        <w:t xml:space="preserve"> </w:t>
      </w:r>
      <w:r w:rsidRPr="00904FCB">
        <w:rPr>
          <w:rFonts w:hint="cs"/>
          <w:b/>
          <w:bCs/>
          <w:sz w:val="27"/>
          <w:rtl/>
        </w:rPr>
        <w:t>مُشْرِكُونَ</w:t>
      </w:r>
      <w:r w:rsidRPr="00904FCB">
        <w:rPr>
          <w:rFonts w:ascii="Mosawi" w:hAnsi="Mosawi" w:cs="Mosawi"/>
          <w:sz w:val="24"/>
          <w:szCs w:val="24"/>
          <w:rtl/>
        </w:rPr>
        <w:t>﴾</w:t>
      </w:r>
      <w:r w:rsidRPr="00904FCB">
        <w:rPr>
          <w:rFonts w:hint="cs"/>
          <w:sz w:val="27"/>
          <w:rtl/>
        </w:rPr>
        <w:t>، قال</w:t>
      </w:r>
      <w:r w:rsidRPr="00904FCB">
        <w:rPr>
          <w:sz w:val="27"/>
          <w:rtl/>
        </w:rPr>
        <w:t>: «</w:t>
      </w:r>
      <w:r w:rsidRPr="00904FCB">
        <w:rPr>
          <w:rFonts w:hint="cs"/>
          <w:sz w:val="27"/>
          <w:rtl/>
        </w:rPr>
        <w:t>شرك</w:t>
      </w:r>
      <w:r w:rsidRPr="00904FCB">
        <w:rPr>
          <w:sz w:val="27"/>
          <w:rtl/>
        </w:rPr>
        <w:t xml:space="preserve"> </w:t>
      </w:r>
      <w:r w:rsidRPr="00904FCB">
        <w:rPr>
          <w:rFonts w:hint="cs"/>
          <w:sz w:val="27"/>
          <w:rtl/>
        </w:rPr>
        <w:t>طاعة</w:t>
      </w:r>
      <w:r w:rsidR="00791C58" w:rsidRPr="00904FCB">
        <w:rPr>
          <w:rFonts w:hint="cs"/>
          <w:sz w:val="27"/>
          <w:rtl/>
        </w:rPr>
        <w:t>،</w:t>
      </w:r>
      <w:r w:rsidRPr="00904FCB">
        <w:rPr>
          <w:sz w:val="27"/>
          <w:rtl/>
        </w:rPr>
        <w:t xml:space="preserve"> </w:t>
      </w:r>
      <w:r w:rsidRPr="00904FCB">
        <w:rPr>
          <w:rFonts w:hint="cs"/>
          <w:sz w:val="27"/>
          <w:rtl/>
        </w:rPr>
        <w:t>وليس</w:t>
      </w:r>
      <w:r w:rsidRPr="00904FCB">
        <w:rPr>
          <w:sz w:val="27"/>
          <w:rtl/>
        </w:rPr>
        <w:t xml:space="preserve"> </w:t>
      </w:r>
      <w:r w:rsidRPr="00904FCB">
        <w:rPr>
          <w:rFonts w:hint="cs"/>
          <w:sz w:val="27"/>
          <w:rtl/>
        </w:rPr>
        <w:t>شرك</w:t>
      </w:r>
      <w:r w:rsidRPr="00904FCB">
        <w:rPr>
          <w:sz w:val="27"/>
          <w:rtl/>
        </w:rPr>
        <w:t xml:space="preserve"> </w:t>
      </w:r>
      <w:r w:rsidRPr="00904FCB">
        <w:rPr>
          <w:rFonts w:hint="cs"/>
          <w:sz w:val="27"/>
          <w:rtl/>
        </w:rPr>
        <w:t>عبادة</w:t>
      </w:r>
      <w:r w:rsidRPr="00904FCB">
        <w:rPr>
          <w:rFonts w:hint="eastAsia"/>
          <w:sz w:val="27"/>
          <w:rtl/>
        </w:rPr>
        <w:t>»</w:t>
      </w:r>
      <w:r w:rsidRPr="00904FCB">
        <w:rPr>
          <w:rFonts w:hint="cs"/>
          <w:sz w:val="27"/>
          <w:vertAlign w:val="superscript"/>
          <w:rtl/>
        </w:rPr>
        <w:t>(</w:t>
      </w:r>
      <w:r w:rsidRPr="00904FCB">
        <w:rPr>
          <w:rStyle w:val="ac"/>
          <w:sz w:val="27"/>
          <w:rtl/>
        </w:rPr>
        <w:endnoteReference w:id="668"/>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وخبر</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عمير</w:t>
      </w:r>
      <w:r w:rsidR="00791C58"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رجل</w:t>
      </w:r>
      <w:r w:rsidR="00791C58"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عبد الله</w:t>
      </w:r>
      <w:r w:rsidR="001C1A2A" w:rsidRPr="00904FCB">
        <w:rPr>
          <w:rFonts w:cs="Mosawi"/>
          <w:sz w:val="27"/>
          <w:szCs w:val="22"/>
          <w:rtl/>
        </w:rPr>
        <w:t>×</w:t>
      </w:r>
      <w:r w:rsidRPr="00904FCB">
        <w:rPr>
          <w:rFonts w:hint="cs"/>
          <w:sz w:val="27"/>
          <w:rtl/>
        </w:rPr>
        <w:t xml:space="preserve"> قال</w:t>
      </w:r>
      <w:r w:rsidRPr="00904FCB">
        <w:rPr>
          <w:sz w:val="27"/>
          <w:rtl/>
        </w:rPr>
        <w:t>: «</w:t>
      </w:r>
      <w:r w:rsidRPr="00904FCB">
        <w:rPr>
          <w:rFonts w:hint="cs"/>
          <w:sz w:val="27"/>
          <w:rtl/>
        </w:rPr>
        <w:t>م</w:t>
      </w:r>
      <w:r w:rsidR="00791C58" w:rsidRPr="00904FCB">
        <w:rPr>
          <w:rFonts w:hint="cs"/>
          <w:sz w:val="27"/>
          <w:rtl/>
        </w:rPr>
        <w:t>َ</w:t>
      </w:r>
      <w:r w:rsidRPr="00904FCB">
        <w:rPr>
          <w:rFonts w:hint="cs"/>
          <w:sz w:val="27"/>
          <w:rtl/>
        </w:rPr>
        <w:t>ن</w:t>
      </w:r>
      <w:r w:rsidR="00791C58" w:rsidRPr="00904FCB">
        <w:rPr>
          <w:rFonts w:hint="cs"/>
          <w:sz w:val="27"/>
          <w:rtl/>
        </w:rPr>
        <w:t>ْ</w:t>
      </w:r>
      <w:r w:rsidRPr="00904FCB">
        <w:rPr>
          <w:sz w:val="27"/>
          <w:rtl/>
        </w:rPr>
        <w:t xml:space="preserve"> </w:t>
      </w:r>
      <w:r w:rsidRPr="00904FCB">
        <w:rPr>
          <w:rFonts w:hint="cs"/>
          <w:sz w:val="27"/>
          <w:rtl/>
        </w:rPr>
        <w:t>أطاع</w:t>
      </w:r>
      <w:r w:rsidRPr="00904FCB">
        <w:rPr>
          <w:sz w:val="27"/>
          <w:rtl/>
        </w:rPr>
        <w:t xml:space="preserve"> </w:t>
      </w:r>
      <w:r w:rsidRPr="00904FCB">
        <w:rPr>
          <w:rFonts w:hint="cs"/>
          <w:sz w:val="27"/>
          <w:rtl/>
        </w:rPr>
        <w:t>رجلاً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معصية</w:t>
      </w:r>
      <w:r w:rsidR="00791C58" w:rsidRPr="00904FCB">
        <w:rPr>
          <w:rFonts w:hint="cs"/>
          <w:sz w:val="27"/>
          <w:rtl/>
        </w:rPr>
        <w:t>ٍ</w:t>
      </w:r>
      <w:r w:rsidRPr="00904FCB">
        <w:rPr>
          <w:sz w:val="27"/>
          <w:rtl/>
        </w:rPr>
        <w:t xml:space="preserve"> </w:t>
      </w:r>
      <w:r w:rsidRPr="00904FCB">
        <w:rPr>
          <w:rFonts w:hint="cs"/>
          <w:sz w:val="27"/>
          <w:rtl/>
        </w:rPr>
        <w:t>فقد</w:t>
      </w:r>
      <w:r w:rsidRPr="00904FCB">
        <w:rPr>
          <w:sz w:val="27"/>
          <w:rtl/>
        </w:rPr>
        <w:t xml:space="preserve"> </w:t>
      </w:r>
      <w:r w:rsidRPr="00904FCB">
        <w:rPr>
          <w:rFonts w:hint="cs"/>
          <w:sz w:val="27"/>
          <w:rtl/>
        </w:rPr>
        <w:t>عبده</w:t>
      </w:r>
      <w:r w:rsidRPr="00904FCB">
        <w:rPr>
          <w:rFonts w:hint="eastAsia"/>
          <w:sz w:val="27"/>
          <w:rtl/>
        </w:rPr>
        <w:t>»</w:t>
      </w:r>
      <w:r w:rsidRPr="00904FCB">
        <w:rPr>
          <w:rFonts w:hint="cs"/>
          <w:sz w:val="27"/>
          <w:vertAlign w:val="superscript"/>
          <w:rtl/>
        </w:rPr>
        <w:t>(</w:t>
      </w:r>
      <w:r w:rsidRPr="00904FCB">
        <w:rPr>
          <w:rStyle w:val="ac"/>
          <w:sz w:val="27"/>
          <w:rtl/>
        </w:rPr>
        <w:endnoteReference w:id="669"/>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إلى</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الأخبار</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وكذلك</w:t>
      </w:r>
      <w:r w:rsidRPr="00904FCB">
        <w:rPr>
          <w:sz w:val="27"/>
          <w:rtl/>
        </w:rPr>
        <w:t xml:space="preserve"> </w:t>
      </w:r>
      <w:r w:rsidRPr="00904FCB">
        <w:rPr>
          <w:rFonts w:hint="cs"/>
          <w:sz w:val="27"/>
          <w:rtl/>
        </w:rPr>
        <w:t>فقد</w:t>
      </w:r>
      <w:r w:rsidRPr="00904FCB">
        <w:rPr>
          <w:sz w:val="27"/>
          <w:rtl/>
        </w:rPr>
        <w:t xml:space="preserve"> </w:t>
      </w:r>
      <w:r w:rsidRPr="00904FCB">
        <w:rPr>
          <w:rFonts w:hint="cs"/>
          <w:sz w:val="27"/>
          <w:rtl/>
        </w:rPr>
        <w:t>أطلق</w:t>
      </w:r>
      <w:r w:rsidRPr="00904FCB">
        <w:rPr>
          <w:sz w:val="27"/>
          <w:rtl/>
        </w:rPr>
        <w:t xml:space="preserve"> </w:t>
      </w:r>
      <w:r w:rsidRPr="00904FCB">
        <w:rPr>
          <w:rFonts w:hint="cs"/>
          <w:sz w:val="27"/>
          <w:rtl/>
        </w:rPr>
        <w:t>الش</w:t>
      </w:r>
      <w:r w:rsidR="00791C58" w:rsidRPr="00904FCB">
        <w:rPr>
          <w:rFonts w:hint="cs"/>
          <w:sz w:val="27"/>
          <w:rtl/>
        </w:rPr>
        <w:t>ِّ</w:t>
      </w:r>
      <w:r w:rsidRPr="00904FCB">
        <w:rPr>
          <w:rFonts w:hint="cs"/>
          <w:sz w:val="27"/>
          <w:rtl/>
        </w:rPr>
        <w:t>ر</w:t>
      </w:r>
      <w:r w:rsidR="00791C58" w:rsidRPr="00904FCB">
        <w:rPr>
          <w:rFonts w:hint="cs"/>
          <w:sz w:val="27"/>
          <w:rtl/>
        </w:rPr>
        <w:t>ْ</w:t>
      </w:r>
      <w:r w:rsidRPr="00904FCB">
        <w:rPr>
          <w:rFonts w:hint="cs"/>
          <w:sz w:val="27"/>
          <w:rtl/>
        </w:rPr>
        <w:t>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الرياء، والمشرك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المرائي؛ حيث</w:t>
      </w:r>
      <w:r w:rsidRPr="00904FCB">
        <w:rPr>
          <w:sz w:val="27"/>
          <w:rtl/>
        </w:rPr>
        <w:t xml:space="preserve"> </w:t>
      </w:r>
      <w:r w:rsidRPr="00904FCB">
        <w:rPr>
          <w:rFonts w:hint="cs"/>
          <w:sz w:val="27"/>
          <w:rtl/>
        </w:rPr>
        <w:t>ورد</w:t>
      </w:r>
      <w:r w:rsidRPr="00904FCB">
        <w:rPr>
          <w:sz w:val="27"/>
          <w:rtl/>
        </w:rPr>
        <w:t xml:space="preserve"> </w:t>
      </w:r>
      <w:r w:rsidRPr="00904FCB">
        <w:rPr>
          <w:rFonts w:hint="cs"/>
          <w:sz w:val="27"/>
          <w:rtl/>
        </w:rPr>
        <w:t>استعمال</w:t>
      </w:r>
      <w:r w:rsidRPr="00904FCB">
        <w:rPr>
          <w:sz w:val="27"/>
          <w:rtl/>
        </w:rPr>
        <w:t xml:space="preserve"> </w:t>
      </w:r>
      <w:r w:rsidRPr="00904FCB">
        <w:rPr>
          <w:rFonts w:hint="cs"/>
          <w:sz w:val="27"/>
          <w:rtl/>
        </w:rPr>
        <w:t>الش</w:t>
      </w:r>
      <w:r w:rsidR="00791C58" w:rsidRPr="00904FCB">
        <w:rPr>
          <w:rFonts w:hint="cs"/>
          <w:sz w:val="27"/>
          <w:rtl/>
        </w:rPr>
        <w:t>ِّ</w:t>
      </w:r>
      <w:r w:rsidRPr="00904FCB">
        <w:rPr>
          <w:rFonts w:hint="cs"/>
          <w:sz w:val="27"/>
          <w:rtl/>
        </w:rPr>
        <w:t>ر</w:t>
      </w:r>
      <w:r w:rsidR="00791C58" w:rsidRPr="00904FCB">
        <w:rPr>
          <w:rFonts w:hint="cs"/>
          <w:sz w:val="27"/>
          <w:rtl/>
        </w:rPr>
        <w:t>ْ</w:t>
      </w:r>
      <w:r w:rsidRPr="00904FCB">
        <w:rPr>
          <w:rFonts w:hint="cs"/>
          <w:sz w:val="27"/>
          <w:rtl/>
        </w:rPr>
        <w:t>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القرآن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الرياء، كما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قوله</w:t>
      </w:r>
      <w:r w:rsidRPr="00904FCB">
        <w:rPr>
          <w:sz w:val="27"/>
          <w:rtl/>
        </w:rPr>
        <w:t xml:space="preserve"> </w:t>
      </w:r>
      <w:r w:rsidRPr="00904FCB">
        <w:rPr>
          <w:rFonts w:hint="cs"/>
          <w:sz w:val="27"/>
          <w:rtl/>
        </w:rPr>
        <w:t>تعالى</w:t>
      </w:r>
      <w:r w:rsidRPr="00904FCB">
        <w:rPr>
          <w:sz w:val="27"/>
          <w:rtl/>
        </w:rPr>
        <w:t>:</w:t>
      </w:r>
      <w:r w:rsidRPr="00904FCB">
        <w:rPr>
          <w:rFonts w:hint="cs"/>
          <w:sz w:val="27"/>
          <w:rtl/>
        </w:rPr>
        <w:t xml:space="preserve"> </w:t>
      </w:r>
      <w:r w:rsidRPr="00904FCB">
        <w:rPr>
          <w:rFonts w:ascii="Mosawi" w:hAnsi="Mosawi" w:cs="Mosawi"/>
          <w:sz w:val="24"/>
          <w:szCs w:val="24"/>
          <w:rtl/>
        </w:rPr>
        <w:t>﴿</w:t>
      </w:r>
      <w:r w:rsidRPr="00904FCB">
        <w:rPr>
          <w:rFonts w:hint="cs"/>
          <w:b/>
          <w:bCs/>
          <w:sz w:val="27"/>
          <w:rtl/>
        </w:rPr>
        <w:t>قُلْ</w:t>
      </w:r>
      <w:r w:rsidRPr="00904FCB">
        <w:rPr>
          <w:b/>
          <w:bCs/>
          <w:sz w:val="27"/>
          <w:rtl/>
        </w:rPr>
        <w:t xml:space="preserve"> </w:t>
      </w:r>
      <w:r w:rsidRPr="00904FCB">
        <w:rPr>
          <w:rFonts w:hint="cs"/>
          <w:b/>
          <w:bCs/>
          <w:sz w:val="27"/>
          <w:rtl/>
        </w:rPr>
        <w:t>إِنَّم</w:t>
      </w:r>
      <w:r w:rsidR="00432B99"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أَنَا</w:t>
      </w:r>
      <w:r w:rsidRPr="00904FCB">
        <w:rPr>
          <w:b/>
          <w:bCs/>
          <w:sz w:val="27"/>
          <w:rtl/>
        </w:rPr>
        <w:t xml:space="preserve"> </w:t>
      </w:r>
      <w:r w:rsidRPr="00904FCB">
        <w:rPr>
          <w:rFonts w:hint="cs"/>
          <w:b/>
          <w:bCs/>
          <w:sz w:val="27"/>
          <w:rtl/>
        </w:rPr>
        <w:t>بَشَرٌ</w:t>
      </w:r>
      <w:r w:rsidRPr="00904FCB">
        <w:rPr>
          <w:b/>
          <w:bCs/>
          <w:sz w:val="27"/>
          <w:rtl/>
        </w:rPr>
        <w:t xml:space="preserve"> </w:t>
      </w:r>
      <w:r w:rsidRPr="00904FCB">
        <w:rPr>
          <w:rFonts w:hint="cs"/>
          <w:b/>
          <w:bCs/>
          <w:sz w:val="27"/>
          <w:rtl/>
        </w:rPr>
        <w:t>مِثْلُكُمْ</w:t>
      </w:r>
      <w:r w:rsidRPr="00904FCB">
        <w:rPr>
          <w:b/>
          <w:bCs/>
          <w:sz w:val="27"/>
          <w:rtl/>
        </w:rPr>
        <w:t xml:space="preserve"> </w:t>
      </w:r>
      <w:r w:rsidRPr="00904FCB">
        <w:rPr>
          <w:rFonts w:hint="cs"/>
          <w:b/>
          <w:bCs/>
          <w:sz w:val="27"/>
          <w:rtl/>
        </w:rPr>
        <w:t>يُوح</w:t>
      </w:r>
      <w:r w:rsidR="00432B99" w:rsidRPr="00904FCB">
        <w:rPr>
          <w:rFonts w:hint="cs"/>
          <w:b/>
          <w:bCs/>
          <w:sz w:val="27"/>
          <w:rtl/>
        </w:rPr>
        <w:t>َ</w:t>
      </w:r>
      <w:r w:rsidRPr="00904FCB">
        <w:rPr>
          <w:rFonts w:hint="cs"/>
          <w:b/>
          <w:bCs/>
          <w:sz w:val="27"/>
          <w:rtl/>
        </w:rPr>
        <w:t>ى‏</w:t>
      </w:r>
      <w:r w:rsidRPr="00904FCB">
        <w:rPr>
          <w:b/>
          <w:bCs/>
          <w:sz w:val="27"/>
          <w:rtl/>
        </w:rPr>
        <w:t xml:space="preserve"> </w:t>
      </w:r>
      <w:r w:rsidRPr="00904FCB">
        <w:rPr>
          <w:rFonts w:hint="cs"/>
          <w:b/>
          <w:bCs/>
          <w:sz w:val="27"/>
          <w:rtl/>
        </w:rPr>
        <w:t>إِلَيَّ</w:t>
      </w:r>
      <w:r w:rsidRPr="00904FCB">
        <w:rPr>
          <w:b/>
          <w:bCs/>
          <w:sz w:val="27"/>
          <w:rtl/>
        </w:rPr>
        <w:t xml:space="preserve"> </w:t>
      </w:r>
      <w:r w:rsidRPr="00904FCB">
        <w:rPr>
          <w:rFonts w:hint="cs"/>
          <w:b/>
          <w:bCs/>
          <w:sz w:val="27"/>
          <w:rtl/>
        </w:rPr>
        <w:t>أَنَّم</w:t>
      </w:r>
      <w:r w:rsidR="00432B99"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إِلهُكُمْ</w:t>
      </w:r>
      <w:r w:rsidRPr="00904FCB">
        <w:rPr>
          <w:b/>
          <w:bCs/>
          <w:sz w:val="27"/>
          <w:rtl/>
        </w:rPr>
        <w:t xml:space="preserve"> </w:t>
      </w:r>
      <w:r w:rsidRPr="00904FCB">
        <w:rPr>
          <w:rFonts w:hint="cs"/>
          <w:b/>
          <w:bCs/>
          <w:sz w:val="27"/>
          <w:rtl/>
        </w:rPr>
        <w:t>إِل</w:t>
      </w:r>
      <w:r w:rsidR="00432B99" w:rsidRPr="00904FCB">
        <w:rPr>
          <w:rFonts w:hint="cs"/>
          <w:b/>
          <w:bCs/>
          <w:sz w:val="27"/>
          <w:rtl/>
        </w:rPr>
        <w:t>َ</w:t>
      </w:r>
      <w:r w:rsidRPr="00904FCB">
        <w:rPr>
          <w:rFonts w:hint="cs"/>
          <w:b/>
          <w:bCs/>
          <w:sz w:val="27"/>
          <w:rtl/>
        </w:rPr>
        <w:t>هٌ</w:t>
      </w:r>
      <w:r w:rsidRPr="00904FCB">
        <w:rPr>
          <w:b/>
          <w:bCs/>
          <w:sz w:val="27"/>
          <w:rtl/>
        </w:rPr>
        <w:t xml:space="preserve"> </w:t>
      </w:r>
      <w:r w:rsidRPr="00904FCB">
        <w:rPr>
          <w:rFonts w:hint="cs"/>
          <w:b/>
          <w:bCs/>
          <w:sz w:val="27"/>
          <w:rtl/>
        </w:rPr>
        <w:t>و</w:t>
      </w:r>
      <w:r w:rsidR="00432B99" w:rsidRPr="00904FCB">
        <w:rPr>
          <w:rFonts w:hint="cs"/>
          <w:b/>
          <w:bCs/>
          <w:sz w:val="27"/>
          <w:rtl/>
        </w:rPr>
        <w:t>َ</w:t>
      </w:r>
      <w:r w:rsidRPr="00904FCB">
        <w:rPr>
          <w:rFonts w:hint="cs"/>
          <w:b/>
          <w:bCs/>
          <w:sz w:val="27"/>
          <w:rtl/>
        </w:rPr>
        <w:t>احِدٌ</w:t>
      </w:r>
      <w:r w:rsidRPr="00904FCB">
        <w:rPr>
          <w:b/>
          <w:bCs/>
          <w:sz w:val="27"/>
          <w:rtl/>
        </w:rPr>
        <w:t xml:space="preserve"> </w:t>
      </w:r>
      <w:r w:rsidRPr="00904FCB">
        <w:rPr>
          <w:rFonts w:hint="cs"/>
          <w:b/>
          <w:bCs/>
          <w:sz w:val="27"/>
          <w:rtl/>
        </w:rPr>
        <w:t>فَمَنْ</w:t>
      </w:r>
      <w:r w:rsidRPr="00904FCB">
        <w:rPr>
          <w:b/>
          <w:bCs/>
          <w:sz w:val="27"/>
          <w:rtl/>
        </w:rPr>
        <w:t xml:space="preserve"> </w:t>
      </w:r>
      <w:r w:rsidRPr="00904FCB">
        <w:rPr>
          <w:rFonts w:hint="cs"/>
          <w:b/>
          <w:bCs/>
          <w:sz w:val="27"/>
          <w:rtl/>
        </w:rPr>
        <w:t>ك</w:t>
      </w:r>
      <w:r w:rsidR="00432B99" w:rsidRPr="00904FCB">
        <w:rPr>
          <w:rFonts w:hint="cs"/>
          <w:b/>
          <w:bCs/>
          <w:sz w:val="27"/>
          <w:rtl/>
        </w:rPr>
        <w:t>َ</w:t>
      </w:r>
      <w:r w:rsidRPr="00904FCB">
        <w:rPr>
          <w:rFonts w:hint="cs"/>
          <w:b/>
          <w:bCs/>
          <w:sz w:val="27"/>
          <w:rtl/>
        </w:rPr>
        <w:t>انَ</w:t>
      </w:r>
      <w:r w:rsidRPr="00904FCB">
        <w:rPr>
          <w:b/>
          <w:bCs/>
          <w:sz w:val="27"/>
          <w:rtl/>
        </w:rPr>
        <w:t xml:space="preserve"> </w:t>
      </w:r>
      <w:r w:rsidRPr="00904FCB">
        <w:rPr>
          <w:rFonts w:hint="cs"/>
          <w:b/>
          <w:bCs/>
          <w:sz w:val="27"/>
          <w:rtl/>
        </w:rPr>
        <w:t>يَرْجُو</w:t>
      </w:r>
      <w:r w:rsidRPr="00904FCB">
        <w:rPr>
          <w:b/>
          <w:bCs/>
          <w:sz w:val="27"/>
          <w:rtl/>
        </w:rPr>
        <w:t xml:space="preserve"> </w:t>
      </w:r>
      <w:r w:rsidRPr="00904FCB">
        <w:rPr>
          <w:rFonts w:hint="cs"/>
          <w:b/>
          <w:bCs/>
          <w:sz w:val="27"/>
          <w:rtl/>
        </w:rPr>
        <w:t>لِق</w:t>
      </w:r>
      <w:r w:rsidR="00432B99" w:rsidRPr="00904FCB">
        <w:rPr>
          <w:rFonts w:hint="cs"/>
          <w:b/>
          <w:bCs/>
          <w:sz w:val="27"/>
          <w:rtl/>
        </w:rPr>
        <w:t>َ</w:t>
      </w:r>
      <w:r w:rsidRPr="00904FCB">
        <w:rPr>
          <w:rFonts w:hint="cs"/>
          <w:b/>
          <w:bCs/>
          <w:sz w:val="27"/>
          <w:rtl/>
        </w:rPr>
        <w:t>اءَ</w:t>
      </w:r>
      <w:r w:rsidRPr="00904FCB">
        <w:rPr>
          <w:b/>
          <w:bCs/>
          <w:sz w:val="27"/>
          <w:rtl/>
        </w:rPr>
        <w:t xml:space="preserve"> </w:t>
      </w:r>
      <w:r w:rsidRPr="00904FCB">
        <w:rPr>
          <w:rFonts w:hint="cs"/>
          <w:b/>
          <w:bCs/>
          <w:sz w:val="27"/>
          <w:rtl/>
        </w:rPr>
        <w:t>رَبِّهِ</w:t>
      </w:r>
      <w:r w:rsidRPr="00904FCB">
        <w:rPr>
          <w:b/>
          <w:bCs/>
          <w:sz w:val="27"/>
          <w:rtl/>
        </w:rPr>
        <w:t xml:space="preserve"> </w:t>
      </w:r>
      <w:r w:rsidRPr="00904FCB">
        <w:rPr>
          <w:rFonts w:hint="cs"/>
          <w:b/>
          <w:bCs/>
          <w:sz w:val="27"/>
          <w:rtl/>
        </w:rPr>
        <w:t>فَلْيَعْمَلْ</w:t>
      </w:r>
      <w:r w:rsidRPr="00904FCB">
        <w:rPr>
          <w:b/>
          <w:bCs/>
          <w:sz w:val="27"/>
          <w:rtl/>
        </w:rPr>
        <w:t xml:space="preserve"> </w:t>
      </w:r>
      <w:r w:rsidRPr="00904FCB">
        <w:rPr>
          <w:rFonts w:hint="cs"/>
          <w:b/>
          <w:bCs/>
          <w:sz w:val="27"/>
          <w:rtl/>
        </w:rPr>
        <w:t>عَمَلاً</w:t>
      </w:r>
      <w:r w:rsidRPr="00904FCB">
        <w:rPr>
          <w:b/>
          <w:bCs/>
          <w:sz w:val="27"/>
          <w:rtl/>
        </w:rPr>
        <w:t xml:space="preserve"> </w:t>
      </w:r>
      <w:r w:rsidRPr="00904FCB">
        <w:rPr>
          <w:rFonts w:hint="cs"/>
          <w:b/>
          <w:bCs/>
          <w:sz w:val="27"/>
          <w:rtl/>
        </w:rPr>
        <w:t>ص</w:t>
      </w:r>
      <w:r w:rsidR="00432B99" w:rsidRPr="00904FCB">
        <w:rPr>
          <w:rFonts w:hint="cs"/>
          <w:b/>
          <w:bCs/>
          <w:sz w:val="27"/>
          <w:rtl/>
        </w:rPr>
        <w:t>َ</w:t>
      </w:r>
      <w:r w:rsidRPr="00904FCB">
        <w:rPr>
          <w:rFonts w:hint="cs"/>
          <w:b/>
          <w:bCs/>
          <w:sz w:val="27"/>
          <w:rtl/>
        </w:rPr>
        <w:t>الِح</w:t>
      </w:r>
      <w:r w:rsidR="00432B99" w:rsidRPr="00904FCB">
        <w:rPr>
          <w:rFonts w:hint="cs"/>
          <w:b/>
          <w:bCs/>
          <w:sz w:val="27"/>
          <w:rtl/>
        </w:rPr>
        <w:t>َ</w:t>
      </w:r>
      <w:r w:rsidRPr="00904FCB">
        <w:rPr>
          <w:rFonts w:hint="cs"/>
          <w:b/>
          <w:bCs/>
          <w:sz w:val="27"/>
          <w:rtl/>
        </w:rPr>
        <w:t>اً</w:t>
      </w:r>
      <w:r w:rsidRPr="00904FCB">
        <w:rPr>
          <w:b/>
          <w:bCs/>
          <w:sz w:val="27"/>
          <w:rtl/>
        </w:rPr>
        <w:t xml:space="preserve"> و</w:t>
      </w:r>
      <w:r w:rsidR="00432B99" w:rsidRPr="00904FCB">
        <w:rPr>
          <w:rFonts w:hint="cs"/>
          <w:b/>
          <w:bCs/>
          <w:sz w:val="27"/>
          <w:rtl/>
        </w:rPr>
        <w:t>َ</w:t>
      </w:r>
      <w:r w:rsidRPr="00904FCB">
        <w:rPr>
          <w:rFonts w:hint="cs"/>
          <w:b/>
          <w:bCs/>
          <w:sz w:val="27"/>
          <w:rtl/>
        </w:rPr>
        <w:t>لا</w:t>
      </w:r>
      <w:r w:rsidR="00432B99" w:rsidRPr="00904FCB">
        <w:rPr>
          <w:rFonts w:hint="cs"/>
          <w:b/>
          <w:bCs/>
          <w:sz w:val="27"/>
          <w:rtl/>
        </w:rPr>
        <w:t>َ</w:t>
      </w:r>
      <w:r w:rsidRPr="00904FCB">
        <w:rPr>
          <w:b/>
          <w:bCs/>
          <w:sz w:val="27"/>
          <w:rtl/>
        </w:rPr>
        <w:t xml:space="preserve"> </w:t>
      </w:r>
      <w:r w:rsidRPr="00904FCB">
        <w:rPr>
          <w:rFonts w:hint="cs"/>
          <w:b/>
          <w:bCs/>
          <w:sz w:val="27"/>
          <w:rtl/>
        </w:rPr>
        <w:t>يُشْرِكْ</w:t>
      </w:r>
      <w:r w:rsidRPr="00904FCB">
        <w:rPr>
          <w:b/>
          <w:bCs/>
          <w:sz w:val="27"/>
          <w:rtl/>
        </w:rPr>
        <w:t xml:space="preserve"> </w:t>
      </w:r>
      <w:r w:rsidRPr="00904FCB">
        <w:rPr>
          <w:rFonts w:hint="cs"/>
          <w:b/>
          <w:bCs/>
          <w:sz w:val="27"/>
          <w:rtl/>
        </w:rPr>
        <w:t>بِعِب</w:t>
      </w:r>
      <w:r w:rsidR="00432B99" w:rsidRPr="00904FCB">
        <w:rPr>
          <w:rFonts w:hint="cs"/>
          <w:b/>
          <w:bCs/>
          <w:sz w:val="27"/>
          <w:rtl/>
        </w:rPr>
        <w:t>َ</w:t>
      </w:r>
      <w:r w:rsidRPr="00904FCB">
        <w:rPr>
          <w:rFonts w:hint="cs"/>
          <w:b/>
          <w:bCs/>
          <w:sz w:val="27"/>
          <w:rtl/>
        </w:rPr>
        <w:t>ادَةِ</w:t>
      </w:r>
      <w:r w:rsidRPr="00904FCB">
        <w:rPr>
          <w:b/>
          <w:bCs/>
          <w:sz w:val="27"/>
          <w:rtl/>
        </w:rPr>
        <w:t xml:space="preserve"> </w:t>
      </w:r>
      <w:r w:rsidRPr="00904FCB">
        <w:rPr>
          <w:rFonts w:hint="cs"/>
          <w:b/>
          <w:bCs/>
          <w:sz w:val="27"/>
          <w:rtl/>
        </w:rPr>
        <w:t>رَبِّهِ</w:t>
      </w:r>
      <w:r w:rsidRPr="00904FCB">
        <w:rPr>
          <w:b/>
          <w:bCs/>
          <w:sz w:val="27"/>
          <w:rtl/>
        </w:rPr>
        <w:t xml:space="preserve"> </w:t>
      </w:r>
      <w:r w:rsidRPr="00904FCB">
        <w:rPr>
          <w:rFonts w:hint="cs"/>
          <w:b/>
          <w:bCs/>
          <w:sz w:val="27"/>
          <w:rtl/>
        </w:rPr>
        <w:t>أَحَداً</w:t>
      </w:r>
      <w:r w:rsidRPr="00904FCB">
        <w:rPr>
          <w:rFonts w:ascii="Mosawi" w:hAnsi="Mosawi" w:cs="Mosawi"/>
          <w:sz w:val="24"/>
          <w:szCs w:val="24"/>
          <w:rtl/>
        </w:rPr>
        <w:t>﴾</w:t>
      </w:r>
      <w:r w:rsidRPr="00904FCB">
        <w:rPr>
          <w:sz w:val="27"/>
          <w:rtl/>
        </w:rPr>
        <w:t xml:space="preserve"> (</w:t>
      </w:r>
      <w:r w:rsidRPr="00904FCB">
        <w:rPr>
          <w:rFonts w:hint="cs"/>
          <w:sz w:val="27"/>
          <w:rtl/>
        </w:rPr>
        <w:t xml:space="preserve">الكهف: </w:t>
      </w:r>
      <w:r w:rsidRPr="00F4753C">
        <w:rPr>
          <w:rFonts w:hint="cs"/>
          <w:sz w:val="27"/>
          <w:rtl/>
          <w:lang w:bidi="ar-LB"/>
        </w:rPr>
        <w:t>110</w:t>
      </w:r>
      <w:r w:rsidR="00432B99" w:rsidRPr="00904FCB">
        <w:rPr>
          <w:sz w:val="27"/>
          <w:rtl/>
        </w:rPr>
        <w:t>)</w:t>
      </w:r>
      <w:r w:rsidR="00432B99" w:rsidRPr="00904FCB">
        <w:rPr>
          <w:rFonts w:hint="cs"/>
          <w:sz w:val="27"/>
          <w:rtl/>
        </w:rPr>
        <w:t>.</w:t>
      </w:r>
      <w:r w:rsidRPr="00904FCB">
        <w:rPr>
          <w:rFonts w:hint="cs"/>
          <w:sz w:val="27"/>
          <w:rtl/>
        </w:rPr>
        <w:t xml:space="preserve"> فقد</w:t>
      </w:r>
      <w:r w:rsidRPr="00904FCB">
        <w:rPr>
          <w:sz w:val="27"/>
          <w:rtl/>
        </w:rPr>
        <w:t xml:space="preserve"> </w:t>
      </w:r>
      <w:r w:rsidRPr="00904FCB">
        <w:rPr>
          <w:rFonts w:hint="cs"/>
          <w:sz w:val="27"/>
          <w:rtl/>
        </w:rPr>
        <w:t>أمر</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تعالى</w:t>
      </w:r>
      <w:r w:rsidRPr="00904FCB">
        <w:rPr>
          <w:sz w:val="27"/>
          <w:rtl/>
        </w:rPr>
        <w:t xml:space="preserve"> </w:t>
      </w:r>
      <w:r w:rsidRPr="00904FCB">
        <w:rPr>
          <w:rFonts w:hint="cs"/>
          <w:sz w:val="27"/>
          <w:rtl/>
        </w:rPr>
        <w:t>بالعمل</w:t>
      </w:r>
      <w:r w:rsidRPr="00904FCB">
        <w:rPr>
          <w:sz w:val="27"/>
          <w:rtl/>
        </w:rPr>
        <w:t xml:space="preserve"> </w:t>
      </w:r>
      <w:r w:rsidRPr="00904FCB">
        <w:rPr>
          <w:rFonts w:hint="cs"/>
          <w:sz w:val="27"/>
          <w:rtl/>
        </w:rPr>
        <w:t>الخالص</w:t>
      </w:r>
      <w:r w:rsidR="00432B99" w:rsidRPr="00904FCB">
        <w:rPr>
          <w:rFonts w:hint="cs"/>
          <w:sz w:val="27"/>
          <w:rtl/>
        </w:rPr>
        <w:t>،</w:t>
      </w:r>
      <w:r w:rsidRPr="00904FCB">
        <w:rPr>
          <w:sz w:val="27"/>
          <w:rtl/>
        </w:rPr>
        <w:t xml:space="preserve"> </w:t>
      </w:r>
      <w:r w:rsidRPr="00904FCB">
        <w:rPr>
          <w:rFonts w:hint="cs"/>
          <w:sz w:val="27"/>
          <w:rtl/>
        </w:rPr>
        <w:t>وأن</w:t>
      </w:r>
      <w:r w:rsidRPr="00904FCB">
        <w:rPr>
          <w:sz w:val="27"/>
          <w:rtl/>
        </w:rPr>
        <w:t xml:space="preserve"> </w:t>
      </w:r>
      <w:r w:rsidRPr="00904FCB">
        <w:rPr>
          <w:rFonts w:hint="cs"/>
          <w:sz w:val="27"/>
          <w:rtl/>
        </w:rPr>
        <w:t>يعبدوه</w:t>
      </w:r>
      <w:r w:rsidRPr="00904FCB">
        <w:rPr>
          <w:sz w:val="27"/>
          <w:rtl/>
        </w:rPr>
        <w:t xml:space="preserve"> </w:t>
      </w:r>
      <w:r w:rsidRPr="00904FCB">
        <w:rPr>
          <w:rFonts w:hint="cs"/>
          <w:sz w:val="27"/>
          <w:rtl/>
        </w:rPr>
        <w:t>مخلصين، فالإشراك</w:t>
      </w:r>
      <w:r w:rsidRPr="00904FCB">
        <w:rPr>
          <w:sz w:val="27"/>
          <w:rtl/>
        </w:rPr>
        <w:t xml:space="preserve"> </w:t>
      </w:r>
      <w:r w:rsidRPr="00904FCB">
        <w:rPr>
          <w:rFonts w:hint="cs"/>
          <w:sz w:val="27"/>
          <w:rtl/>
        </w:rPr>
        <w:t>بواسطة</w:t>
      </w:r>
      <w:r w:rsidRPr="00904FCB">
        <w:rPr>
          <w:sz w:val="27"/>
          <w:rtl/>
        </w:rPr>
        <w:t xml:space="preserve"> </w:t>
      </w:r>
      <w:r w:rsidRPr="00904FCB">
        <w:rPr>
          <w:rFonts w:hint="cs"/>
          <w:sz w:val="27"/>
          <w:rtl/>
        </w:rPr>
        <w:t>الرياء</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العبادة</w:t>
      </w:r>
      <w:r w:rsidRPr="00904FCB">
        <w:rPr>
          <w:sz w:val="27"/>
          <w:rtl/>
        </w:rPr>
        <w:t xml:space="preserve"> </w:t>
      </w:r>
      <w:r w:rsidRPr="00904FCB">
        <w:rPr>
          <w:rFonts w:hint="cs"/>
          <w:sz w:val="27"/>
          <w:rtl/>
        </w:rPr>
        <w:t>شرك</w:t>
      </w:r>
      <w:r w:rsidR="00432B99" w:rsidRPr="00904FCB">
        <w:rPr>
          <w:rFonts w:hint="cs"/>
          <w:sz w:val="27"/>
          <w:rtl/>
        </w:rPr>
        <w:t>ٌ</w:t>
      </w:r>
      <w:r w:rsidRPr="00904FCB">
        <w:rPr>
          <w:sz w:val="27"/>
          <w:rtl/>
        </w:rPr>
        <w:t xml:space="preserve">. </w:t>
      </w:r>
    </w:p>
    <w:p w:rsidR="00432B99" w:rsidRPr="00904FCB" w:rsidRDefault="00F34FB9" w:rsidP="007A21AA">
      <w:pPr>
        <w:spacing w:line="400" w:lineRule="exact"/>
        <w:rPr>
          <w:sz w:val="27"/>
          <w:rtl/>
        </w:rPr>
      </w:pPr>
      <w:r w:rsidRPr="00904FCB">
        <w:rPr>
          <w:rFonts w:hint="cs"/>
          <w:sz w:val="27"/>
          <w:rtl/>
        </w:rPr>
        <w:lastRenderedPageBreak/>
        <w:t>وقد</w:t>
      </w:r>
      <w:r w:rsidRPr="00904FCB">
        <w:rPr>
          <w:sz w:val="27"/>
          <w:rtl/>
        </w:rPr>
        <w:t xml:space="preserve"> </w:t>
      </w:r>
      <w:r w:rsidRPr="00904FCB">
        <w:rPr>
          <w:rFonts w:hint="cs"/>
          <w:sz w:val="27"/>
          <w:rtl/>
        </w:rPr>
        <w:t>أطلق</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المرائي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جملة</w:t>
      </w:r>
      <w:r w:rsidR="00432B99"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الأخبار</w:t>
      </w:r>
      <w:r w:rsidR="00432B99" w:rsidRPr="00904FCB">
        <w:rPr>
          <w:rFonts w:hint="cs"/>
          <w:sz w:val="27"/>
          <w:rtl/>
        </w:rPr>
        <w:t>:</w:t>
      </w:r>
    </w:p>
    <w:p w:rsidR="00F34FB9" w:rsidRPr="00904FCB" w:rsidRDefault="00432B99" w:rsidP="007A21AA">
      <w:pPr>
        <w:spacing w:line="400" w:lineRule="exact"/>
        <w:rPr>
          <w:sz w:val="27"/>
          <w:rtl/>
        </w:rPr>
      </w:pPr>
      <w:r w:rsidRPr="00904FCB">
        <w:rPr>
          <w:rFonts w:hint="cs"/>
          <w:sz w:val="27"/>
          <w:rtl/>
        </w:rPr>
        <w:t xml:space="preserve">ـ </w:t>
      </w:r>
      <w:r w:rsidR="00F34FB9" w:rsidRPr="00904FCB">
        <w:rPr>
          <w:rFonts w:hint="cs"/>
          <w:sz w:val="27"/>
          <w:rtl/>
        </w:rPr>
        <w:t>ففي</w:t>
      </w:r>
      <w:r w:rsidR="00F34FB9" w:rsidRPr="00904FCB">
        <w:rPr>
          <w:sz w:val="27"/>
          <w:rtl/>
        </w:rPr>
        <w:t xml:space="preserve"> </w:t>
      </w:r>
      <w:r w:rsidR="00F34FB9" w:rsidRPr="00904FCB">
        <w:rPr>
          <w:rFonts w:hint="cs"/>
          <w:sz w:val="27"/>
          <w:rtl/>
        </w:rPr>
        <w:t>خبر</w:t>
      </w:r>
      <w:r w:rsidR="00F34FB9" w:rsidRPr="00904FCB">
        <w:rPr>
          <w:sz w:val="27"/>
          <w:rtl/>
        </w:rPr>
        <w:t xml:space="preserve"> </w:t>
      </w:r>
      <w:r w:rsidR="00F34FB9" w:rsidRPr="00904FCB">
        <w:rPr>
          <w:rFonts w:hint="cs"/>
          <w:sz w:val="27"/>
          <w:rtl/>
        </w:rPr>
        <w:t>زرارة</w:t>
      </w:r>
      <w:r w:rsidR="00F34FB9" w:rsidRPr="00904FCB">
        <w:rPr>
          <w:sz w:val="27"/>
          <w:rtl/>
        </w:rPr>
        <w:t xml:space="preserve"> </w:t>
      </w:r>
      <w:r w:rsidR="00F34FB9" w:rsidRPr="00904FCB">
        <w:rPr>
          <w:rFonts w:hint="cs"/>
          <w:sz w:val="27"/>
          <w:rtl/>
        </w:rPr>
        <w:t>وحمران، عن</w:t>
      </w:r>
      <w:r w:rsidR="00F34FB9" w:rsidRPr="00904FCB">
        <w:rPr>
          <w:sz w:val="27"/>
          <w:rtl/>
        </w:rPr>
        <w:t xml:space="preserve"> </w:t>
      </w:r>
      <w:r w:rsidR="00F34FB9" w:rsidRPr="00904FCB">
        <w:rPr>
          <w:rFonts w:hint="cs"/>
          <w:sz w:val="27"/>
          <w:rtl/>
        </w:rPr>
        <w:t>أبي</w:t>
      </w:r>
      <w:r w:rsidR="00F34FB9" w:rsidRPr="00904FCB">
        <w:rPr>
          <w:sz w:val="27"/>
          <w:rtl/>
        </w:rPr>
        <w:t xml:space="preserve"> </w:t>
      </w:r>
      <w:r w:rsidR="00F34FB9" w:rsidRPr="00904FCB">
        <w:rPr>
          <w:rFonts w:hint="cs"/>
          <w:sz w:val="27"/>
          <w:rtl/>
        </w:rPr>
        <w:t>جعفر</w:t>
      </w:r>
      <w:r w:rsidR="00F34FB9" w:rsidRPr="00904FCB">
        <w:rPr>
          <w:sz w:val="27"/>
          <w:rtl/>
        </w:rPr>
        <w:t xml:space="preserve"> </w:t>
      </w:r>
      <w:r w:rsidR="00F34FB9" w:rsidRPr="00904FCB">
        <w:rPr>
          <w:rFonts w:hint="cs"/>
          <w:sz w:val="27"/>
          <w:rtl/>
        </w:rPr>
        <w:t>وأبي</w:t>
      </w:r>
      <w:r w:rsidR="00F34FB9" w:rsidRPr="00904FCB">
        <w:rPr>
          <w:sz w:val="27"/>
          <w:rtl/>
        </w:rPr>
        <w:t xml:space="preserve"> </w:t>
      </w:r>
      <w:r w:rsidR="00F34FB9" w:rsidRPr="00904FCB">
        <w:rPr>
          <w:rFonts w:hint="cs"/>
          <w:sz w:val="27"/>
          <w:rtl/>
        </w:rPr>
        <w:t>عبد الله</w:t>
      </w:r>
      <w:r w:rsidR="001C1A2A" w:rsidRPr="00904FCB">
        <w:rPr>
          <w:rFonts w:cs="Mosawi"/>
          <w:sz w:val="27"/>
          <w:szCs w:val="22"/>
          <w:rtl/>
        </w:rPr>
        <w:t>×</w:t>
      </w:r>
      <w:r w:rsidR="00F34FB9" w:rsidRPr="00904FCB">
        <w:rPr>
          <w:sz w:val="27"/>
          <w:rtl/>
        </w:rPr>
        <w:t xml:space="preserve"> </w:t>
      </w:r>
      <w:r w:rsidR="00F34FB9" w:rsidRPr="00904FCB">
        <w:rPr>
          <w:rFonts w:hint="cs"/>
          <w:sz w:val="27"/>
          <w:rtl/>
        </w:rPr>
        <w:t>قالا</w:t>
      </w:r>
      <w:r w:rsidR="00F34FB9" w:rsidRPr="00904FCB">
        <w:rPr>
          <w:sz w:val="27"/>
          <w:rtl/>
        </w:rPr>
        <w:t>: «</w:t>
      </w:r>
      <w:r w:rsidR="00F34FB9" w:rsidRPr="00904FCB">
        <w:rPr>
          <w:rFonts w:hint="cs"/>
          <w:sz w:val="27"/>
          <w:rtl/>
        </w:rPr>
        <w:t>لو</w:t>
      </w:r>
      <w:r w:rsidR="00F34FB9" w:rsidRPr="00904FCB">
        <w:rPr>
          <w:sz w:val="27"/>
          <w:rtl/>
        </w:rPr>
        <w:t xml:space="preserve"> </w:t>
      </w:r>
      <w:r w:rsidR="00F34FB9" w:rsidRPr="00904FCB">
        <w:rPr>
          <w:rFonts w:hint="cs"/>
          <w:sz w:val="27"/>
          <w:rtl/>
        </w:rPr>
        <w:t>أنّ</w:t>
      </w:r>
      <w:r w:rsidR="00F34FB9" w:rsidRPr="00904FCB">
        <w:rPr>
          <w:sz w:val="27"/>
          <w:rtl/>
        </w:rPr>
        <w:t xml:space="preserve"> </w:t>
      </w:r>
      <w:r w:rsidR="00F34FB9" w:rsidRPr="00904FCB">
        <w:rPr>
          <w:rFonts w:hint="cs"/>
          <w:sz w:val="27"/>
          <w:rtl/>
        </w:rPr>
        <w:t>عبداً</w:t>
      </w:r>
      <w:r w:rsidR="00F34FB9" w:rsidRPr="00904FCB">
        <w:rPr>
          <w:sz w:val="27"/>
          <w:rtl/>
        </w:rPr>
        <w:t xml:space="preserve"> </w:t>
      </w:r>
      <w:r w:rsidR="00F34FB9" w:rsidRPr="00904FCB">
        <w:rPr>
          <w:rFonts w:hint="cs"/>
          <w:sz w:val="27"/>
          <w:rtl/>
        </w:rPr>
        <w:t>عمل</w:t>
      </w:r>
      <w:r w:rsidR="00F34FB9" w:rsidRPr="00904FCB">
        <w:rPr>
          <w:sz w:val="27"/>
          <w:rtl/>
        </w:rPr>
        <w:t xml:space="preserve"> </w:t>
      </w:r>
      <w:r w:rsidR="00F34FB9" w:rsidRPr="00904FCB">
        <w:rPr>
          <w:rFonts w:hint="cs"/>
          <w:sz w:val="27"/>
          <w:rtl/>
        </w:rPr>
        <w:t>عملاً</w:t>
      </w:r>
      <w:r w:rsidR="00F34FB9" w:rsidRPr="00904FCB">
        <w:rPr>
          <w:sz w:val="27"/>
          <w:rtl/>
        </w:rPr>
        <w:t xml:space="preserve"> </w:t>
      </w:r>
      <w:r w:rsidR="00F34FB9" w:rsidRPr="00904FCB">
        <w:rPr>
          <w:rFonts w:hint="cs"/>
          <w:sz w:val="27"/>
          <w:rtl/>
        </w:rPr>
        <w:t>يطلب</w:t>
      </w:r>
      <w:r w:rsidR="00F34FB9" w:rsidRPr="00904FCB">
        <w:rPr>
          <w:sz w:val="27"/>
          <w:rtl/>
        </w:rPr>
        <w:t xml:space="preserve"> </w:t>
      </w:r>
      <w:r w:rsidR="00F34FB9" w:rsidRPr="00904FCB">
        <w:rPr>
          <w:rFonts w:hint="cs"/>
          <w:sz w:val="27"/>
          <w:rtl/>
        </w:rPr>
        <w:t>به</w:t>
      </w:r>
      <w:r w:rsidR="00F34FB9" w:rsidRPr="00904FCB">
        <w:rPr>
          <w:sz w:val="27"/>
          <w:rtl/>
        </w:rPr>
        <w:t xml:space="preserve"> </w:t>
      </w:r>
      <w:r w:rsidR="00F34FB9" w:rsidRPr="00904FCB">
        <w:rPr>
          <w:rFonts w:hint="cs"/>
          <w:sz w:val="27"/>
          <w:rtl/>
        </w:rPr>
        <w:t>وجه</w:t>
      </w:r>
      <w:r w:rsidR="00F34FB9" w:rsidRPr="00904FCB">
        <w:rPr>
          <w:sz w:val="27"/>
          <w:rtl/>
        </w:rPr>
        <w:t xml:space="preserve"> </w:t>
      </w:r>
      <w:r w:rsidR="00F34FB9" w:rsidRPr="00904FCB">
        <w:rPr>
          <w:rFonts w:hint="cs"/>
          <w:sz w:val="27"/>
          <w:rtl/>
        </w:rPr>
        <w:t>الله</w:t>
      </w:r>
      <w:r w:rsidR="00F34FB9" w:rsidRPr="00904FCB">
        <w:rPr>
          <w:sz w:val="27"/>
          <w:rtl/>
        </w:rPr>
        <w:t xml:space="preserve"> </w:t>
      </w:r>
      <w:r w:rsidR="00F34FB9" w:rsidRPr="00904FCB">
        <w:rPr>
          <w:rFonts w:hint="cs"/>
          <w:sz w:val="27"/>
          <w:rtl/>
        </w:rPr>
        <w:t>والدار</w:t>
      </w:r>
      <w:r w:rsidR="00F34FB9" w:rsidRPr="00904FCB">
        <w:rPr>
          <w:sz w:val="27"/>
          <w:rtl/>
        </w:rPr>
        <w:t xml:space="preserve"> </w:t>
      </w:r>
      <w:r w:rsidR="00F34FB9" w:rsidRPr="00904FCB">
        <w:rPr>
          <w:rFonts w:hint="cs"/>
          <w:sz w:val="27"/>
          <w:rtl/>
        </w:rPr>
        <w:t>الآخرة، ثمّ</w:t>
      </w:r>
      <w:r w:rsidR="00F34FB9" w:rsidRPr="00904FCB">
        <w:rPr>
          <w:sz w:val="27"/>
          <w:rtl/>
        </w:rPr>
        <w:t xml:space="preserve"> </w:t>
      </w:r>
      <w:r w:rsidR="00F34FB9" w:rsidRPr="00904FCB">
        <w:rPr>
          <w:rFonts w:hint="cs"/>
          <w:sz w:val="27"/>
          <w:rtl/>
        </w:rPr>
        <w:t>أدخل</w:t>
      </w:r>
      <w:r w:rsidR="00F34FB9" w:rsidRPr="00904FCB">
        <w:rPr>
          <w:sz w:val="27"/>
          <w:rtl/>
        </w:rPr>
        <w:t xml:space="preserve"> </w:t>
      </w:r>
      <w:r w:rsidR="00F34FB9" w:rsidRPr="00904FCB">
        <w:rPr>
          <w:rFonts w:hint="cs"/>
          <w:sz w:val="27"/>
          <w:rtl/>
        </w:rPr>
        <w:t>فيه</w:t>
      </w:r>
      <w:r w:rsidR="00F34FB9" w:rsidRPr="00904FCB">
        <w:rPr>
          <w:sz w:val="27"/>
          <w:rtl/>
        </w:rPr>
        <w:t xml:space="preserve"> </w:t>
      </w:r>
      <w:r w:rsidR="00F34FB9" w:rsidRPr="00904FCB">
        <w:rPr>
          <w:rFonts w:hint="cs"/>
          <w:sz w:val="27"/>
          <w:rtl/>
        </w:rPr>
        <w:t>رضا</w:t>
      </w:r>
      <w:r w:rsidR="00F34FB9" w:rsidRPr="00904FCB">
        <w:rPr>
          <w:sz w:val="27"/>
          <w:rtl/>
        </w:rPr>
        <w:t xml:space="preserve"> </w:t>
      </w:r>
      <w:r w:rsidR="00F34FB9" w:rsidRPr="00904FCB">
        <w:rPr>
          <w:rFonts w:hint="cs"/>
          <w:sz w:val="27"/>
          <w:rtl/>
        </w:rPr>
        <w:t>أحد</w:t>
      </w:r>
      <w:r w:rsidRPr="00904FCB">
        <w:rPr>
          <w:rFonts w:hint="cs"/>
          <w:sz w:val="27"/>
          <w:rtl/>
        </w:rPr>
        <w:t>ٍ</w:t>
      </w:r>
      <w:r w:rsidR="00F34FB9" w:rsidRPr="00904FCB">
        <w:rPr>
          <w:sz w:val="27"/>
          <w:rtl/>
        </w:rPr>
        <w:t xml:space="preserve"> </w:t>
      </w:r>
      <w:r w:rsidR="00F34FB9" w:rsidRPr="00904FCB">
        <w:rPr>
          <w:rFonts w:hint="cs"/>
          <w:sz w:val="27"/>
          <w:rtl/>
        </w:rPr>
        <w:t>من</w:t>
      </w:r>
      <w:r w:rsidR="00F34FB9" w:rsidRPr="00904FCB">
        <w:rPr>
          <w:sz w:val="27"/>
          <w:rtl/>
        </w:rPr>
        <w:t xml:space="preserve"> </w:t>
      </w:r>
      <w:r w:rsidR="00F34FB9" w:rsidRPr="00904FCB">
        <w:rPr>
          <w:rFonts w:hint="cs"/>
          <w:sz w:val="27"/>
          <w:rtl/>
        </w:rPr>
        <w:t>الناس</w:t>
      </w:r>
      <w:r w:rsidRPr="00904FCB">
        <w:rPr>
          <w:rFonts w:hint="cs"/>
          <w:sz w:val="27"/>
          <w:rtl/>
        </w:rPr>
        <w:t>،</w:t>
      </w:r>
      <w:r w:rsidR="00F34FB9" w:rsidRPr="00904FCB">
        <w:rPr>
          <w:sz w:val="27"/>
          <w:rtl/>
        </w:rPr>
        <w:t xml:space="preserve"> </w:t>
      </w:r>
      <w:r w:rsidR="00F34FB9" w:rsidRPr="00904FCB">
        <w:rPr>
          <w:rFonts w:hint="cs"/>
          <w:sz w:val="27"/>
          <w:rtl/>
        </w:rPr>
        <w:t>كان</w:t>
      </w:r>
      <w:r w:rsidR="00F34FB9" w:rsidRPr="00904FCB">
        <w:rPr>
          <w:sz w:val="27"/>
          <w:rtl/>
        </w:rPr>
        <w:t xml:space="preserve"> </w:t>
      </w:r>
      <w:r w:rsidR="00F34FB9" w:rsidRPr="00904FCB">
        <w:rPr>
          <w:rFonts w:hint="cs"/>
          <w:sz w:val="27"/>
          <w:rtl/>
        </w:rPr>
        <w:t>مشركاً</w:t>
      </w:r>
      <w:r w:rsidR="00F34FB9" w:rsidRPr="00904FCB">
        <w:rPr>
          <w:rFonts w:hint="eastAsia"/>
          <w:sz w:val="27"/>
          <w:rtl/>
        </w:rPr>
        <w:t>»</w:t>
      </w:r>
      <w:r w:rsidR="00F34FB9" w:rsidRPr="00904FCB">
        <w:rPr>
          <w:rFonts w:hint="cs"/>
          <w:sz w:val="27"/>
          <w:vertAlign w:val="superscript"/>
          <w:rtl/>
        </w:rPr>
        <w:t>(</w:t>
      </w:r>
      <w:r w:rsidR="00F34FB9" w:rsidRPr="00904FCB">
        <w:rPr>
          <w:rStyle w:val="ac"/>
          <w:sz w:val="27"/>
          <w:rtl/>
        </w:rPr>
        <w:endnoteReference w:id="670"/>
      </w:r>
      <w:r w:rsidR="00F34FB9" w:rsidRPr="00904FCB">
        <w:rPr>
          <w:rFonts w:hint="cs"/>
          <w:sz w:val="27"/>
          <w:vertAlign w:val="superscript"/>
          <w:rtl/>
        </w:rPr>
        <w:t>)</w:t>
      </w:r>
      <w:r w:rsidR="00F34FB9" w:rsidRPr="00904FCB">
        <w:rPr>
          <w:rFonts w:hint="cs"/>
          <w:sz w:val="27"/>
          <w:rtl/>
        </w:rPr>
        <w:t xml:space="preserve">. </w:t>
      </w:r>
    </w:p>
    <w:p w:rsidR="00F34FB9" w:rsidRPr="00904FCB" w:rsidRDefault="00432B99" w:rsidP="007A21AA">
      <w:pPr>
        <w:spacing w:line="400" w:lineRule="exact"/>
        <w:rPr>
          <w:sz w:val="27"/>
          <w:rtl/>
        </w:rPr>
      </w:pPr>
      <w:r w:rsidRPr="00904FCB">
        <w:rPr>
          <w:rFonts w:hint="cs"/>
          <w:sz w:val="27"/>
          <w:rtl/>
        </w:rPr>
        <w:t xml:space="preserve">ـ </w:t>
      </w:r>
      <w:r w:rsidR="00F34FB9" w:rsidRPr="00904FCB">
        <w:rPr>
          <w:rFonts w:hint="cs"/>
          <w:sz w:val="27"/>
          <w:rtl/>
        </w:rPr>
        <w:t>و</w:t>
      </w:r>
      <w:r w:rsidRPr="00904FCB">
        <w:rPr>
          <w:rFonts w:hint="cs"/>
          <w:sz w:val="27"/>
          <w:rtl/>
        </w:rPr>
        <w:t xml:space="preserve">في </w:t>
      </w:r>
      <w:r w:rsidR="00F34FB9" w:rsidRPr="00904FCB">
        <w:rPr>
          <w:rFonts w:hint="cs"/>
          <w:sz w:val="27"/>
          <w:rtl/>
        </w:rPr>
        <w:t>خبر</w:t>
      </w:r>
      <w:r w:rsidR="00F34FB9" w:rsidRPr="00904FCB">
        <w:rPr>
          <w:sz w:val="27"/>
          <w:rtl/>
        </w:rPr>
        <w:t xml:space="preserve"> </w:t>
      </w:r>
      <w:r w:rsidR="00F34FB9" w:rsidRPr="00904FCB">
        <w:rPr>
          <w:rFonts w:hint="cs"/>
          <w:sz w:val="27"/>
          <w:rtl/>
        </w:rPr>
        <w:t>أبي</w:t>
      </w:r>
      <w:r w:rsidR="00F34FB9" w:rsidRPr="00904FCB">
        <w:rPr>
          <w:sz w:val="27"/>
          <w:rtl/>
        </w:rPr>
        <w:t xml:space="preserve"> </w:t>
      </w:r>
      <w:r w:rsidR="00F34FB9" w:rsidRPr="00904FCB">
        <w:rPr>
          <w:rFonts w:hint="cs"/>
          <w:sz w:val="27"/>
          <w:rtl/>
        </w:rPr>
        <w:t>الجارود</w:t>
      </w:r>
      <w:r w:rsidRPr="00904FCB">
        <w:rPr>
          <w:rFonts w:hint="cs"/>
          <w:sz w:val="27"/>
          <w:rtl/>
        </w:rPr>
        <w:t>،</w:t>
      </w:r>
      <w:r w:rsidR="00F34FB9" w:rsidRPr="00904FCB">
        <w:rPr>
          <w:sz w:val="27"/>
          <w:rtl/>
        </w:rPr>
        <w:t xml:space="preserve"> </w:t>
      </w:r>
      <w:r w:rsidR="00F34FB9" w:rsidRPr="00904FCB">
        <w:rPr>
          <w:rFonts w:hint="cs"/>
          <w:sz w:val="27"/>
          <w:rtl/>
        </w:rPr>
        <w:t>عن</w:t>
      </w:r>
      <w:r w:rsidR="00F34FB9" w:rsidRPr="00904FCB">
        <w:rPr>
          <w:sz w:val="27"/>
          <w:rtl/>
        </w:rPr>
        <w:t xml:space="preserve"> </w:t>
      </w:r>
      <w:r w:rsidR="00F34FB9" w:rsidRPr="00904FCB">
        <w:rPr>
          <w:rFonts w:hint="cs"/>
          <w:sz w:val="27"/>
          <w:rtl/>
        </w:rPr>
        <w:t>أبي</w:t>
      </w:r>
      <w:r w:rsidR="00F34FB9" w:rsidRPr="00904FCB">
        <w:rPr>
          <w:sz w:val="27"/>
          <w:rtl/>
        </w:rPr>
        <w:t xml:space="preserve"> </w:t>
      </w:r>
      <w:r w:rsidR="00F34FB9" w:rsidRPr="00904FCB">
        <w:rPr>
          <w:rFonts w:hint="cs"/>
          <w:sz w:val="27"/>
          <w:rtl/>
        </w:rPr>
        <w:t>جعفر</w:t>
      </w:r>
      <w:r w:rsidR="001C1A2A" w:rsidRPr="00904FCB">
        <w:rPr>
          <w:rFonts w:cs="Mosawi"/>
          <w:sz w:val="27"/>
          <w:szCs w:val="22"/>
          <w:rtl/>
        </w:rPr>
        <w:t>×</w:t>
      </w:r>
      <w:r w:rsidR="00F34FB9" w:rsidRPr="00904FCB">
        <w:rPr>
          <w:rFonts w:hint="cs"/>
          <w:sz w:val="27"/>
          <w:rtl/>
        </w:rPr>
        <w:t xml:space="preserve"> قال</w:t>
      </w:r>
      <w:r w:rsidR="00F34FB9" w:rsidRPr="00904FCB">
        <w:rPr>
          <w:sz w:val="27"/>
          <w:rtl/>
        </w:rPr>
        <w:t xml:space="preserve">: </w:t>
      </w:r>
      <w:r w:rsidR="00F34FB9" w:rsidRPr="00904FCB">
        <w:rPr>
          <w:rFonts w:hint="eastAsia"/>
          <w:sz w:val="27"/>
          <w:rtl/>
        </w:rPr>
        <w:t>«</w:t>
      </w:r>
      <w:r w:rsidR="00F34FB9" w:rsidRPr="00904FCB">
        <w:rPr>
          <w:rFonts w:hint="cs"/>
          <w:sz w:val="27"/>
          <w:rtl/>
        </w:rPr>
        <w:t>س</w:t>
      </w:r>
      <w:r w:rsidRPr="00904FCB">
        <w:rPr>
          <w:rFonts w:hint="cs"/>
          <w:sz w:val="27"/>
          <w:rtl/>
        </w:rPr>
        <w:t>ُ</w:t>
      </w:r>
      <w:r w:rsidR="00F34FB9" w:rsidRPr="00904FCB">
        <w:rPr>
          <w:rFonts w:hint="cs"/>
          <w:sz w:val="27"/>
          <w:rtl/>
        </w:rPr>
        <w:t>ئل</w:t>
      </w:r>
      <w:r w:rsidR="00F34FB9" w:rsidRPr="00904FCB">
        <w:rPr>
          <w:sz w:val="27"/>
          <w:rtl/>
        </w:rPr>
        <w:t xml:space="preserve"> </w:t>
      </w:r>
      <w:r w:rsidR="00F34FB9" w:rsidRPr="00904FCB">
        <w:rPr>
          <w:rFonts w:hint="cs"/>
          <w:sz w:val="27"/>
          <w:rtl/>
        </w:rPr>
        <w:t>رسول</w:t>
      </w:r>
      <w:r w:rsidR="00F34FB9" w:rsidRPr="00904FCB">
        <w:rPr>
          <w:sz w:val="27"/>
          <w:rtl/>
        </w:rPr>
        <w:t xml:space="preserve"> </w:t>
      </w:r>
      <w:r w:rsidR="00F34FB9" w:rsidRPr="00904FCB">
        <w:rPr>
          <w:rFonts w:hint="cs"/>
          <w:sz w:val="27"/>
          <w:rtl/>
        </w:rPr>
        <w:t>الله</w:t>
      </w:r>
      <w:r w:rsidR="00635E51" w:rsidRPr="00904FCB">
        <w:rPr>
          <w:rFonts w:cs="Mosawi"/>
          <w:sz w:val="27"/>
          <w:szCs w:val="22"/>
          <w:rtl/>
        </w:rPr>
        <w:t>|</w:t>
      </w:r>
      <w:r w:rsidR="00F34FB9" w:rsidRPr="00904FCB">
        <w:rPr>
          <w:sz w:val="27"/>
          <w:rtl/>
        </w:rPr>
        <w:t xml:space="preserve"> </w:t>
      </w:r>
      <w:r w:rsidR="00F34FB9" w:rsidRPr="00904FCB">
        <w:rPr>
          <w:rFonts w:hint="cs"/>
          <w:sz w:val="27"/>
          <w:rtl/>
        </w:rPr>
        <w:t>عن</w:t>
      </w:r>
      <w:r w:rsidR="00F34FB9" w:rsidRPr="00904FCB">
        <w:rPr>
          <w:sz w:val="27"/>
          <w:rtl/>
        </w:rPr>
        <w:t xml:space="preserve"> </w:t>
      </w:r>
      <w:r w:rsidR="00F34FB9" w:rsidRPr="00904FCB">
        <w:rPr>
          <w:rFonts w:hint="cs"/>
          <w:sz w:val="27"/>
          <w:rtl/>
        </w:rPr>
        <w:t>تفسير</w:t>
      </w:r>
      <w:r w:rsidR="00F34FB9" w:rsidRPr="00904FCB">
        <w:rPr>
          <w:sz w:val="27"/>
          <w:rtl/>
        </w:rPr>
        <w:t xml:space="preserve"> </w:t>
      </w:r>
      <w:r w:rsidR="00F34FB9" w:rsidRPr="00904FCB">
        <w:rPr>
          <w:rFonts w:hint="cs"/>
          <w:sz w:val="27"/>
          <w:rtl/>
        </w:rPr>
        <w:t>هذه</w:t>
      </w:r>
      <w:r w:rsidR="00F34FB9" w:rsidRPr="00904FCB">
        <w:rPr>
          <w:sz w:val="27"/>
          <w:rtl/>
        </w:rPr>
        <w:t xml:space="preserve"> </w:t>
      </w:r>
      <w:r w:rsidR="00F34FB9" w:rsidRPr="00904FCB">
        <w:rPr>
          <w:rFonts w:hint="cs"/>
          <w:sz w:val="27"/>
          <w:rtl/>
        </w:rPr>
        <w:t>الآية</w:t>
      </w:r>
      <w:r w:rsidRPr="00904FCB">
        <w:rPr>
          <w:rFonts w:hint="cs"/>
          <w:sz w:val="27"/>
          <w:rtl/>
        </w:rPr>
        <w:t>،</w:t>
      </w:r>
      <w:r w:rsidR="00F34FB9" w:rsidRPr="00904FCB">
        <w:rPr>
          <w:sz w:val="27"/>
          <w:rtl/>
        </w:rPr>
        <w:t xml:space="preserve"> </w:t>
      </w:r>
      <w:r w:rsidR="00F34FB9" w:rsidRPr="00904FCB">
        <w:rPr>
          <w:rFonts w:hint="cs"/>
          <w:sz w:val="27"/>
          <w:rtl/>
        </w:rPr>
        <w:t>فقال</w:t>
      </w:r>
      <w:r w:rsidR="00F34FB9" w:rsidRPr="00904FCB">
        <w:rPr>
          <w:sz w:val="27"/>
          <w:rtl/>
        </w:rPr>
        <w:t xml:space="preserve">: </w:t>
      </w:r>
      <w:r w:rsidR="00F34FB9" w:rsidRPr="00904FCB">
        <w:rPr>
          <w:rFonts w:hint="cs"/>
          <w:sz w:val="27"/>
          <w:rtl/>
        </w:rPr>
        <w:t>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صلّى</w:t>
      </w:r>
      <w:r w:rsidR="00F34FB9" w:rsidRPr="00904FCB">
        <w:rPr>
          <w:sz w:val="27"/>
          <w:rtl/>
        </w:rPr>
        <w:t xml:space="preserve"> </w:t>
      </w:r>
      <w:r w:rsidR="00F34FB9" w:rsidRPr="00904FCB">
        <w:rPr>
          <w:rFonts w:hint="cs"/>
          <w:sz w:val="27"/>
          <w:rtl/>
        </w:rPr>
        <w:t>مراءاة</w:t>
      </w:r>
      <w:r w:rsidR="00F34FB9" w:rsidRPr="00904FCB">
        <w:rPr>
          <w:sz w:val="27"/>
          <w:rtl/>
        </w:rPr>
        <w:t xml:space="preserve"> </w:t>
      </w:r>
      <w:r w:rsidR="00F34FB9" w:rsidRPr="00904FCB">
        <w:rPr>
          <w:rFonts w:hint="cs"/>
          <w:sz w:val="27"/>
          <w:rtl/>
        </w:rPr>
        <w:t>الناس</w:t>
      </w:r>
      <w:r w:rsidR="00F34FB9" w:rsidRPr="00904FCB">
        <w:rPr>
          <w:sz w:val="27"/>
          <w:rtl/>
        </w:rPr>
        <w:t xml:space="preserve"> </w:t>
      </w:r>
      <w:r w:rsidR="00F34FB9" w:rsidRPr="00904FCB">
        <w:rPr>
          <w:rFonts w:hint="cs"/>
          <w:sz w:val="27"/>
          <w:rtl/>
        </w:rPr>
        <w:t>فهو</w:t>
      </w:r>
      <w:r w:rsidR="00F34FB9" w:rsidRPr="00904FCB">
        <w:rPr>
          <w:sz w:val="27"/>
          <w:rtl/>
        </w:rPr>
        <w:t xml:space="preserve"> </w:t>
      </w:r>
      <w:r w:rsidR="00F34FB9" w:rsidRPr="00904FCB">
        <w:rPr>
          <w:rFonts w:hint="cs"/>
          <w:sz w:val="27"/>
          <w:rtl/>
        </w:rPr>
        <w:t>مشرك</w:t>
      </w:r>
      <w:r w:rsidRPr="00904FCB">
        <w:rPr>
          <w:rFonts w:hint="cs"/>
          <w:sz w:val="27"/>
          <w:rtl/>
        </w:rPr>
        <w:t>ٌ</w:t>
      </w:r>
      <w:r w:rsidR="00F34FB9" w:rsidRPr="00904FCB">
        <w:rPr>
          <w:rFonts w:hint="cs"/>
          <w:sz w:val="27"/>
          <w:rtl/>
        </w:rPr>
        <w:t>، وم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زكّى</w:t>
      </w:r>
      <w:r w:rsidR="00F34FB9" w:rsidRPr="00904FCB">
        <w:rPr>
          <w:sz w:val="27"/>
          <w:rtl/>
        </w:rPr>
        <w:t xml:space="preserve"> </w:t>
      </w:r>
      <w:r w:rsidR="00F34FB9" w:rsidRPr="00904FCB">
        <w:rPr>
          <w:rFonts w:hint="cs"/>
          <w:sz w:val="27"/>
          <w:rtl/>
        </w:rPr>
        <w:t>مراءاة</w:t>
      </w:r>
      <w:r w:rsidR="00F34FB9" w:rsidRPr="00904FCB">
        <w:rPr>
          <w:sz w:val="27"/>
          <w:rtl/>
        </w:rPr>
        <w:t xml:space="preserve"> </w:t>
      </w:r>
      <w:r w:rsidR="00F34FB9" w:rsidRPr="00904FCB">
        <w:rPr>
          <w:rFonts w:hint="cs"/>
          <w:sz w:val="27"/>
          <w:rtl/>
        </w:rPr>
        <w:t>الناس</w:t>
      </w:r>
      <w:r w:rsidR="00F34FB9" w:rsidRPr="00904FCB">
        <w:rPr>
          <w:sz w:val="27"/>
          <w:rtl/>
        </w:rPr>
        <w:t xml:space="preserve"> </w:t>
      </w:r>
      <w:r w:rsidR="00F34FB9" w:rsidRPr="00904FCB">
        <w:rPr>
          <w:rFonts w:hint="cs"/>
          <w:sz w:val="27"/>
          <w:rtl/>
        </w:rPr>
        <w:t>فهو</w:t>
      </w:r>
      <w:r w:rsidR="00F34FB9" w:rsidRPr="00904FCB">
        <w:rPr>
          <w:sz w:val="27"/>
          <w:rtl/>
        </w:rPr>
        <w:t xml:space="preserve"> </w:t>
      </w:r>
      <w:r w:rsidR="00F34FB9" w:rsidRPr="00904FCB">
        <w:rPr>
          <w:rFonts w:hint="cs"/>
          <w:sz w:val="27"/>
          <w:rtl/>
        </w:rPr>
        <w:t>مشرك</w:t>
      </w:r>
      <w:r w:rsidRPr="00904FCB">
        <w:rPr>
          <w:rFonts w:hint="cs"/>
          <w:sz w:val="27"/>
          <w:rtl/>
        </w:rPr>
        <w:t>ٌ</w:t>
      </w:r>
      <w:r w:rsidR="00F34FB9" w:rsidRPr="00904FCB">
        <w:rPr>
          <w:rFonts w:hint="cs"/>
          <w:sz w:val="27"/>
          <w:rtl/>
        </w:rPr>
        <w:t>، وم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صام</w:t>
      </w:r>
      <w:r w:rsidR="00F34FB9" w:rsidRPr="00904FCB">
        <w:rPr>
          <w:sz w:val="27"/>
          <w:rtl/>
        </w:rPr>
        <w:t xml:space="preserve"> </w:t>
      </w:r>
      <w:r w:rsidR="00F34FB9" w:rsidRPr="00904FCB">
        <w:rPr>
          <w:rFonts w:hint="cs"/>
          <w:sz w:val="27"/>
          <w:rtl/>
        </w:rPr>
        <w:t>مراءاة</w:t>
      </w:r>
      <w:r w:rsidR="00F34FB9" w:rsidRPr="00904FCB">
        <w:rPr>
          <w:sz w:val="27"/>
          <w:rtl/>
        </w:rPr>
        <w:t xml:space="preserve"> </w:t>
      </w:r>
      <w:r w:rsidR="00F34FB9" w:rsidRPr="00904FCB">
        <w:rPr>
          <w:rFonts w:hint="cs"/>
          <w:sz w:val="27"/>
          <w:rtl/>
        </w:rPr>
        <w:t>الناس</w:t>
      </w:r>
      <w:r w:rsidR="00F34FB9" w:rsidRPr="00904FCB">
        <w:rPr>
          <w:sz w:val="27"/>
          <w:rtl/>
        </w:rPr>
        <w:t xml:space="preserve"> </w:t>
      </w:r>
      <w:r w:rsidR="00F34FB9" w:rsidRPr="00904FCB">
        <w:rPr>
          <w:rFonts w:hint="cs"/>
          <w:sz w:val="27"/>
          <w:rtl/>
        </w:rPr>
        <w:t>فهو</w:t>
      </w:r>
      <w:r w:rsidR="00F34FB9" w:rsidRPr="00904FCB">
        <w:rPr>
          <w:sz w:val="27"/>
          <w:rtl/>
        </w:rPr>
        <w:t xml:space="preserve"> </w:t>
      </w:r>
      <w:r w:rsidR="00F34FB9" w:rsidRPr="00904FCB">
        <w:rPr>
          <w:rFonts w:hint="cs"/>
          <w:sz w:val="27"/>
          <w:rtl/>
        </w:rPr>
        <w:t>مشرك</w:t>
      </w:r>
      <w:r w:rsidRPr="00904FCB">
        <w:rPr>
          <w:rFonts w:hint="cs"/>
          <w:sz w:val="27"/>
          <w:rtl/>
        </w:rPr>
        <w:t>ٌ</w:t>
      </w:r>
      <w:r w:rsidR="00F34FB9" w:rsidRPr="00904FCB">
        <w:rPr>
          <w:rFonts w:hint="cs"/>
          <w:sz w:val="27"/>
          <w:rtl/>
        </w:rPr>
        <w:t>، وم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حجَّ</w:t>
      </w:r>
      <w:r w:rsidR="00F34FB9" w:rsidRPr="00904FCB">
        <w:rPr>
          <w:sz w:val="27"/>
          <w:rtl/>
        </w:rPr>
        <w:t xml:space="preserve"> </w:t>
      </w:r>
      <w:r w:rsidR="00F34FB9" w:rsidRPr="00904FCB">
        <w:rPr>
          <w:rFonts w:hint="cs"/>
          <w:sz w:val="27"/>
          <w:rtl/>
        </w:rPr>
        <w:t>مراءاة</w:t>
      </w:r>
      <w:r w:rsidR="00F34FB9" w:rsidRPr="00904FCB">
        <w:rPr>
          <w:sz w:val="27"/>
          <w:rtl/>
        </w:rPr>
        <w:t xml:space="preserve"> </w:t>
      </w:r>
      <w:r w:rsidR="00F34FB9" w:rsidRPr="00904FCB">
        <w:rPr>
          <w:rFonts w:hint="cs"/>
          <w:sz w:val="27"/>
          <w:rtl/>
        </w:rPr>
        <w:t>الناس</w:t>
      </w:r>
      <w:r w:rsidR="00F34FB9" w:rsidRPr="00904FCB">
        <w:rPr>
          <w:sz w:val="27"/>
          <w:rtl/>
        </w:rPr>
        <w:t xml:space="preserve"> </w:t>
      </w:r>
      <w:r w:rsidR="00F34FB9" w:rsidRPr="00904FCB">
        <w:rPr>
          <w:rFonts w:hint="cs"/>
          <w:sz w:val="27"/>
          <w:rtl/>
        </w:rPr>
        <w:t>فهو</w:t>
      </w:r>
      <w:r w:rsidR="00F34FB9" w:rsidRPr="00904FCB">
        <w:rPr>
          <w:sz w:val="27"/>
          <w:rtl/>
        </w:rPr>
        <w:t xml:space="preserve"> </w:t>
      </w:r>
      <w:r w:rsidR="00F34FB9" w:rsidRPr="00904FCB">
        <w:rPr>
          <w:rFonts w:hint="cs"/>
          <w:sz w:val="27"/>
          <w:rtl/>
        </w:rPr>
        <w:t>مشرك</w:t>
      </w:r>
      <w:r w:rsidRPr="00904FCB">
        <w:rPr>
          <w:rFonts w:hint="cs"/>
          <w:sz w:val="27"/>
          <w:rtl/>
        </w:rPr>
        <w:t>ٌ</w:t>
      </w:r>
      <w:r w:rsidR="00F34FB9" w:rsidRPr="00904FCB">
        <w:rPr>
          <w:rFonts w:hint="cs"/>
          <w:sz w:val="27"/>
          <w:rtl/>
        </w:rPr>
        <w:t>، وم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عمل</w:t>
      </w:r>
      <w:r w:rsidR="00F34FB9" w:rsidRPr="00904FCB">
        <w:rPr>
          <w:sz w:val="27"/>
          <w:rtl/>
        </w:rPr>
        <w:t xml:space="preserve"> </w:t>
      </w:r>
      <w:r w:rsidR="00F34FB9" w:rsidRPr="00904FCB">
        <w:rPr>
          <w:rFonts w:hint="cs"/>
          <w:sz w:val="27"/>
          <w:rtl/>
        </w:rPr>
        <w:t>عملاً</w:t>
      </w:r>
      <w:r w:rsidR="00F34FB9" w:rsidRPr="00904FCB">
        <w:rPr>
          <w:sz w:val="27"/>
          <w:rtl/>
        </w:rPr>
        <w:t xml:space="preserve"> </w:t>
      </w:r>
      <w:r w:rsidR="00F34FB9" w:rsidRPr="00904FCB">
        <w:rPr>
          <w:rFonts w:hint="cs"/>
          <w:sz w:val="27"/>
          <w:rtl/>
        </w:rPr>
        <w:t>ممّا</w:t>
      </w:r>
      <w:r w:rsidR="00F34FB9" w:rsidRPr="00904FCB">
        <w:rPr>
          <w:sz w:val="27"/>
          <w:rtl/>
        </w:rPr>
        <w:t xml:space="preserve"> </w:t>
      </w:r>
      <w:r w:rsidR="00F34FB9" w:rsidRPr="00904FCB">
        <w:rPr>
          <w:rFonts w:hint="cs"/>
          <w:sz w:val="27"/>
          <w:rtl/>
        </w:rPr>
        <w:t>أمره</w:t>
      </w:r>
      <w:r w:rsidR="00F34FB9" w:rsidRPr="00904FCB">
        <w:rPr>
          <w:sz w:val="27"/>
          <w:rtl/>
        </w:rPr>
        <w:t xml:space="preserve"> </w:t>
      </w:r>
      <w:r w:rsidR="00F34FB9" w:rsidRPr="00904FCB">
        <w:rPr>
          <w:rFonts w:hint="cs"/>
          <w:sz w:val="27"/>
          <w:rtl/>
        </w:rPr>
        <w:t>الله</w:t>
      </w:r>
      <w:r w:rsidR="00F34FB9" w:rsidRPr="00904FCB">
        <w:rPr>
          <w:sz w:val="27"/>
          <w:rtl/>
        </w:rPr>
        <w:t xml:space="preserve"> </w:t>
      </w:r>
      <w:r w:rsidR="00F34FB9" w:rsidRPr="00904FCB">
        <w:rPr>
          <w:rFonts w:hint="cs"/>
          <w:sz w:val="27"/>
          <w:rtl/>
        </w:rPr>
        <w:t>عزّ</w:t>
      </w:r>
      <w:r w:rsidR="00D858CA" w:rsidRPr="00904FCB">
        <w:rPr>
          <w:rFonts w:hint="cs"/>
          <w:sz w:val="27"/>
          <w:rtl/>
        </w:rPr>
        <w:t>َ</w:t>
      </w:r>
      <w:r w:rsidR="00F34FB9" w:rsidRPr="00904FCB">
        <w:rPr>
          <w:sz w:val="27"/>
          <w:rtl/>
        </w:rPr>
        <w:t xml:space="preserve"> </w:t>
      </w:r>
      <w:r w:rsidR="00F34FB9" w:rsidRPr="00904FCB">
        <w:rPr>
          <w:rFonts w:hint="cs"/>
          <w:sz w:val="27"/>
          <w:rtl/>
        </w:rPr>
        <w:t>وجلّ</w:t>
      </w:r>
      <w:r w:rsidR="00D858CA" w:rsidRPr="00904FCB">
        <w:rPr>
          <w:rFonts w:hint="cs"/>
          <w:sz w:val="27"/>
          <w:rtl/>
        </w:rPr>
        <w:t>َ</w:t>
      </w:r>
      <w:r w:rsidR="00F34FB9" w:rsidRPr="00904FCB">
        <w:rPr>
          <w:sz w:val="27"/>
          <w:rtl/>
        </w:rPr>
        <w:t xml:space="preserve"> </w:t>
      </w:r>
      <w:r w:rsidR="00F34FB9" w:rsidRPr="00904FCB">
        <w:rPr>
          <w:rFonts w:hint="cs"/>
          <w:sz w:val="27"/>
          <w:rtl/>
        </w:rPr>
        <w:t>مراءاة</w:t>
      </w:r>
      <w:r w:rsidR="00F34FB9" w:rsidRPr="00904FCB">
        <w:rPr>
          <w:sz w:val="27"/>
          <w:rtl/>
        </w:rPr>
        <w:t xml:space="preserve"> </w:t>
      </w:r>
      <w:r w:rsidR="00F34FB9" w:rsidRPr="00904FCB">
        <w:rPr>
          <w:rFonts w:hint="cs"/>
          <w:sz w:val="27"/>
          <w:rtl/>
        </w:rPr>
        <w:t>الناس</w:t>
      </w:r>
      <w:r w:rsidR="00F34FB9" w:rsidRPr="00904FCB">
        <w:rPr>
          <w:sz w:val="27"/>
          <w:rtl/>
        </w:rPr>
        <w:t xml:space="preserve"> </w:t>
      </w:r>
      <w:r w:rsidR="00F34FB9" w:rsidRPr="00904FCB">
        <w:rPr>
          <w:rFonts w:hint="cs"/>
          <w:sz w:val="27"/>
          <w:rtl/>
        </w:rPr>
        <w:t>فهو</w:t>
      </w:r>
      <w:r w:rsidR="00F34FB9" w:rsidRPr="00904FCB">
        <w:rPr>
          <w:sz w:val="27"/>
          <w:rtl/>
        </w:rPr>
        <w:t xml:space="preserve"> </w:t>
      </w:r>
      <w:r w:rsidR="00F34FB9" w:rsidRPr="00904FCB">
        <w:rPr>
          <w:rFonts w:hint="cs"/>
          <w:sz w:val="27"/>
          <w:rtl/>
        </w:rPr>
        <w:t>مشرك</w:t>
      </w:r>
      <w:r w:rsidRPr="00904FCB">
        <w:rPr>
          <w:rFonts w:hint="cs"/>
          <w:sz w:val="27"/>
          <w:rtl/>
        </w:rPr>
        <w:t>ٌ</w:t>
      </w:r>
      <w:r w:rsidR="00F34FB9" w:rsidRPr="00904FCB">
        <w:rPr>
          <w:rFonts w:hint="cs"/>
          <w:sz w:val="27"/>
          <w:rtl/>
        </w:rPr>
        <w:t>، ولا</w:t>
      </w:r>
      <w:r w:rsidR="00F34FB9" w:rsidRPr="00904FCB">
        <w:rPr>
          <w:sz w:val="27"/>
          <w:rtl/>
        </w:rPr>
        <w:t xml:space="preserve"> </w:t>
      </w:r>
      <w:r w:rsidR="00F34FB9" w:rsidRPr="00904FCB">
        <w:rPr>
          <w:rFonts w:hint="cs"/>
          <w:sz w:val="27"/>
          <w:rtl/>
        </w:rPr>
        <w:t>يقبل</w:t>
      </w:r>
      <w:r w:rsidR="00F34FB9" w:rsidRPr="00904FCB">
        <w:rPr>
          <w:sz w:val="27"/>
          <w:rtl/>
        </w:rPr>
        <w:t xml:space="preserve"> </w:t>
      </w:r>
      <w:r w:rsidR="00F34FB9" w:rsidRPr="00904FCB">
        <w:rPr>
          <w:rFonts w:hint="cs"/>
          <w:sz w:val="27"/>
          <w:rtl/>
        </w:rPr>
        <w:t>الله</w:t>
      </w:r>
      <w:r w:rsidR="00F34FB9" w:rsidRPr="00904FCB">
        <w:rPr>
          <w:sz w:val="27"/>
          <w:rtl/>
        </w:rPr>
        <w:t xml:space="preserve"> </w:t>
      </w:r>
      <w:r w:rsidR="00F34FB9" w:rsidRPr="00904FCB">
        <w:rPr>
          <w:rFonts w:hint="cs"/>
          <w:sz w:val="27"/>
          <w:rtl/>
        </w:rPr>
        <w:t>عمل</w:t>
      </w:r>
      <w:r w:rsidR="00F34FB9" w:rsidRPr="00904FCB">
        <w:rPr>
          <w:sz w:val="27"/>
          <w:rtl/>
        </w:rPr>
        <w:t xml:space="preserve"> </w:t>
      </w:r>
      <w:r w:rsidR="00F34FB9" w:rsidRPr="00904FCB">
        <w:rPr>
          <w:rFonts w:hint="cs"/>
          <w:sz w:val="27"/>
          <w:rtl/>
        </w:rPr>
        <w:t>مراءٍ</w:t>
      </w:r>
      <w:r w:rsidR="00F34FB9" w:rsidRPr="00904FCB">
        <w:rPr>
          <w:rFonts w:hint="eastAsia"/>
          <w:sz w:val="27"/>
          <w:rtl/>
        </w:rPr>
        <w:t>»</w:t>
      </w:r>
      <w:r w:rsidR="00F34FB9" w:rsidRPr="00904FCB">
        <w:rPr>
          <w:rFonts w:hint="cs"/>
          <w:sz w:val="27"/>
          <w:vertAlign w:val="superscript"/>
          <w:rtl/>
        </w:rPr>
        <w:t>(</w:t>
      </w:r>
      <w:r w:rsidR="00F34FB9" w:rsidRPr="00904FCB">
        <w:rPr>
          <w:rStyle w:val="ac"/>
          <w:sz w:val="27"/>
          <w:rtl/>
        </w:rPr>
        <w:endnoteReference w:id="671"/>
      </w:r>
      <w:r w:rsidR="00F34FB9" w:rsidRPr="00904FCB">
        <w:rPr>
          <w:rFonts w:hint="cs"/>
          <w:sz w:val="27"/>
          <w:vertAlign w:val="superscript"/>
          <w:rtl/>
        </w:rPr>
        <w:t>)</w:t>
      </w:r>
      <w:r w:rsidR="00F34FB9" w:rsidRPr="00904FCB">
        <w:rPr>
          <w:rFonts w:hint="cs"/>
          <w:sz w:val="27"/>
          <w:rtl/>
        </w:rPr>
        <w:t xml:space="preserve">. </w:t>
      </w:r>
    </w:p>
    <w:p w:rsidR="00F34FB9" w:rsidRPr="00904FCB" w:rsidRDefault="00432B99" w:rsidP="007A21AA">
      <w:pPr>
        <w:spacing w:line="400" w:lineRule="exact"/>
        <w:rPr>
          <w:sz w:val="27"/>
          <w:rtl/>
        </w:rPr>
      </w:pPr>
      <w:r w:rsidRPr="00904FCB">
        <w:rPr>
          <w:rFonts w:hint="cs"/>
          <w:sz w:val="27"/>
          <w:rtl/>
        </w:rPr>
        <w:t xml:space="preserve">ـ </w:t>
      </w:r>
      <w:r w:rsidR="00F34FB9" w:rsidRPr="00904FCB">
        <w:rPr>
          <w:rFonts w:hint="cs"/>
          <w:sz w:val="27"/>
          <w:rtl/>
        </w:rPr>
        <w:t>و</w:t>
      </w:r>
      <w:r w:rsidRPr="00904FCB">
        <w:rPr>
          <w:rFonts w:hint="cs"/>
          <w:sz w:val="27"/>
          <w:rtl/>
        </w:rPr>
        <w:t xml:space="preserve">في </w:t>
      </w:r>
      <w:r w:rsidR="00F34FB9" w:rsidRPr="00904FCB">
        <w:rPr>
          <w:rFonts w:hint="cs"/>
          <w:sz w:val="27"/>
          <w:rtl/>
        </w:rPr>
        <w:t>خبر</w:t>
      </w:r>
      <w:r w:rsidR="00F34FB9" w:rsidRPr="00904FCB">
        <w:rPr>
          <w:sz w:val="27"/>
          <w:rtl/>
        </w:rPr>
        <w:t xml:space="preserve"> </w:t>
      </w:r>
      <w:r w:rsidR="00F34FB9" w:rsidRPr="00904FCB">
        <w:rPr>
          <w:rFonts w:hint="cs"/>
          <w:sz w:val="27"/>
          <w:rtl/>
        </w:rPr>
        <w:t>العلاء</w:t>
      </w:r>
      <w:r w:rsidR="00F34FB9" w:rsidRPr="00904FCB">
        <w:rPr>
          <w:sz w:val="27"/>
          <w:rtl/>
        </w:rPr>
        <w:t xml:space="preserve"> </w:t>
      </w:r>
      <w:r w:rsidR="00F34FB9" w:rsidRPr="00904FCB">
        <w:rPr>
          <w:rFonts w:hint="cs"/>
          <w:sz w:val="27"/>
          <w:rtl/>
        </w:rPr>
        <w:t>بن</w:t>
      </w:r>
      <w:r w:rsidR="00F34FB9" w:rsidRPr="00904FCB">
        <w:rPr>
          <w:sz w:val="27"/>
          <w:rtl/>
        </w:rPr>
        <w:t xml:space="preserve"> </w:t>
      </w:r>
      <w:r w:rsidR="00F34FB9" w:rsidRPr="00904FCB">
        <w:rPr>
          <w:rFonts w:hint="cs"/>
          <w:sz w:val="27"/>
          <w:rtl/>
        </w:rPr>
        <w:t>الفضيل</w:t>
      </w:r>
      <w:r w:rsidRPr="00904FCB">
        <w:rPr>
          <w:rFonts w:hint="cs"/>
          <w:sz w:val="27"/>
          <w:rtl/>
        </w:rPr>
        <w:t>،</w:t>
      </w:r>
      <w:r w:rsidR="00F34FB9" w:rsidRPr="00904FCB">
        <w:rPr>
          <w:sz w:val="27"/>
          <w:rtl/>
        </w:rPr>
        <w:t xml:space="preserve"> </w:t>
      </w:r>
      <w:r w:rsidR="00F34FB9" w:rsidRPr="00904FCB">
        <w:rPr>
          <w:rFonts w:hint="cs"/>
          <w:sz w:val="27"/>
          <w:rtl/>
        </w:rPr>
        <w:t>عن</w:t>
      </w:r>
      <w:r w:rsidR="00F34FB9" w:rsidRPr="00904FCB">
        <w:rPr>
          <w:sz w:val="27"/>
          <w:rtl/>
        </w:rPr>
        <w:t xml:space="preserve"> </w:t>
      </w:r>
      <w:r w:rsidR="00F34FB9" w:rsidRPr="00904FCB">
        <w:rPr>
          <w:rFonts w:hint="cs"/>
          <w:sz w:val="27"/>
          <w:rtl/>
        </w:rPr>
        <w:t>أبي</w:t>
      </w:r>
      <w:r w:rsidR="00F34FB9" w:rsidRPr="00904FCB">
        <w:rPr>
          <w:sz w:val="27"/>
          <w:rtl/>
        </w:rPr>
        <w:t xml:space="preserve"> </w:t>
      </w:r>
      <w:r w:rsidR="00F34FB9" w:rsidRPr="00904FCB">
        <w:rPr>
          <w:rFonts w:hint="cs"/>
          <w:sz w:val="27"/>
          <w:rtl/>
        </w:rPr>
        <w:t>عبد الله</w:t>
      </w:r>
      <w:r w:rsidR="001C1A2A" w:rsidRPr="00904FCB">
        <w:rPr>
          <w:rFonts w:cs="Mosawi"/>
          <w:sz w:val="27"/>
          <w:szCs w:val="22"/>
          <w:rtl/>
        </w:rPr>
        <w:t>×</w:t>
      </w:r>
      <w:r w:rsidR="00F34FB9" w:rsidRPr="00904FCB">
        <w:rPr>
          <w:rFonts w:hint="cs"/>
          <w:sz w:val="27"/>
          <w:rtl/>
        </w:rPr>
        <w:t xml:space="preserve"> قال</w:t>
      </w:r>
      <w:r w:rsidR="00F34FB9" w:rsidRPr="00904FCB">
        <w:rPr>
          <w:sz w:val="27"/>
          <w:rtl/>
        </w:rPr>
        <w:t xml:space="preserve">: </w:t>
      </w:r>
      <w:r w:rsidR="00F34FB9" w:rsidRPr="00904FCB">
        <w:rPr>
          <w:rFonts w:hint="eastAsia"/>
          <w:sz w:val="27"/>
          <w:rtl/>
        </w:rPr>
        <w:t>«</w:t>
      </w:r>
      <w:r w:rsidR="00F34FB9" w:rsidRPr="00904FCB">
        <w:rPr>
          <w:rFonts w:hint="cs"/>
          <w:sz w:val="27"/>
          <w:rtl/>
        </w:rPr>
        <w:t>سألت</w:t>
      </w:r>
      <w:r w:rsidRPr="00904FCB">
        <w:rPr>
          <w:rFonts w:hint="cs"/>
          <w:sz w:val="27"/>
          <w:rtl/>
        </w:rPr>
        <w:t>ُ</w:t>
      </w:r>
      <w:r w:rsidR="00F34FB9" w:rsidRPr="00904FCB">
        <w:rPr>
          <w:rFonts w:hint="cs"/>
          <w:sz w:val="27"/>
          <w:rtl/>
        </w:rPr>
        <w:t>ه</w:t>
      </w:r>
      <w:r w:rsidR="00F34FB9" w:rsidRPr="00904FCB">
        <w:rPr>
          <w:sz w:val="27"/>
          <w:rtl/>
        </w:rPr>
        <w:t xml:space="preserve"> </w:t>
      </w:r>
      <w:r w:rsidR="00F34FB9" w:rsidRPr="00904FCB">
        <w:rPr>
          <w:rFonts w:hint="cs"/>
          <w:sz w:val="27"/>
          <w:rtl/>
        </w:rPr>
        <w:t>عن</w:t>
      </w:r>
      <w:r w:rsidR="00F34FB9" w:rsidRPr="00904FCB">
        <w:rPr>
          <w:sz w:val="27"/>
          <w:rtl/>
        </w:rPr>
        <w:t xml:space="preserve"> </w:t>
      </w:r>
      <w:r w:rsidR="00F34FB9" w:rsidRPr="00904FCB">
        <w:rPr>
          <w:rFonts w:hint="cs"/>
          <w:sz w:val="27"/>
          <w:rtl/>
        </w:rPr>
        <w:t>تفسير</w:t>
      </w:r>
      <w:r w:rsidR="00F34FB9" w:rsidRPr="00904FCB">
        <w:rPr>
          <w:sz w:val="27"/>
          <w:rtl/>
        </w:rPr>
        <w:t xml:space="preserve"> </w:t>
      </w:r>
      <w:r w:rsidR="00F34FB9" w:rsidRPr="00904FCB">
        <w:rPr>
          <w:rFonts w:hint="cs"/>
          <w:sz w:val="27"/>
          <w:rtl/>
        </w:rPr>
        <w:t>هذه</w:t>
      </w:r>
      <w:r w:rsidR="00F34FB9" w:rsidRPr="00904FCB">
        <w:rPr>
          <w:sz w:val="27"/>
          <w:rtl/>
        </w:rPr>
        <w:t xml:space="preserve"> </w:t>
      </w:r>
      <w:r w:rsidR="00F34FB9" w:rsidRPr="00904FCB">
        <w:rPr>
          <w:rFonts w:hint="cs"/>
          <w:sz w:val="27"/>
          <w:rtl/>
        </w:rPr>
        <w:t>الآية</w:t>
      </w:r>
      <w:r w:rsidRPr="00904FCB">
        <w:rPr>
          <w:rFonts w:hint="cs"/>
          <w:sz w:val="27"/>
          <w:rtl/>
        </w:rPr>
        <w:t xml:space="preserve">: </w:t>
      </w:r>
      <w:r w:rsidR="00F34FB9" w:rsidRPr="00904FCB">
        <w:rPr>
          <w:rFonts w:ascii="Mosawi" w:hAnsi="Mosawi" w:cs="Mosawi"/>
          <w:sz w:val="24"/>
          <w:szCs w:val="24"/>
          <w:rtl/>
        </w:rPr>
        <w:t>﴿</w:t>
      </w:r>
      <w:r w:rsidR="00F34FB9" w:rsidRPr="00904FCB">
        <w:rPr>
          <w:rFonts w:hint="cs"/>
          <w:b/>
          <w:bCs/>
          <w:sz w:val="27"/>
          <w:rtl/>
        </w:rPr>
        <w:t>فَمَنْ</w:t>
      </w:r>
      <w:r w:rsidR="00F34FB9" w:rsidRPr="00904FCB">
        <w:rPr>
          <w:b/>
          <w:bCs/>
          <w:sz w:val="27"/>
          <w:rtl/>
        </w:rPr>
        <w:t xml:space="preserve"> </w:t>
      </w:r>
      <w:r w:rsidR="00F34FB9" w:rsidRPr="00904FCB">
        <w:rPr>
          <w:rFonts w:hint="cs"/>
          <w:b/>
          <w:bCs/>
          <w:sz w:val="27"/>
          <w:rtl/>
        </w:rPr>
        <w:t>ك</w:t>
      </w:r>
      <w:r w:rsidRPr="00904FCB">
        <w:rPr>
          <w:rFonts w:hint="cs"/>
          <w:b/>
          <w:bCs/>
          <w:sz w:val="27"/>
          <w:rtl/>
        </w:rPr>
        <w:t>َ</w:t>
      </w:r>
      <w:r w:rsidR="00F34FB9" w:rsidRPr="00904FCB">
        <w:rPr>
          <w:rFonts w:hint="cs"/>
          <w:b/>
          <w:bCs/>
          <w:sz w:val="27"/>
          <w:rtl/>
        </w:rPr>
        <w:t>انَ</w:t>
      </w:r>
      <w:r w:rsidR="00F34FB9" w:rsidRPr="00904FCB">
        <w:rPr>
          <w:b/>
          <w:bCs/>
          <w:sz w:val="27"/>
          <w:rtl/>
        </w:rPr>
        <w:t xml:space="preserve"> </w:t>
      </w:r>
      <w:r w:rsidR="00F34FB9" w:rsidRPr="00904FCB">
        <w:rPr>
          <w:rFonts w:hint="cs"/>
          <w:b/>
          <w:bCs/>
          <w:sz w:val="27"/>
          <w:rtl/>
        </w:rPr>
        <w:t>يَرْجُو</w:t>
      </w:r>
      <w:r w:rsidR="00F34FB9" w:rsidRPr="00904FCB">
        <w:rPr>
          <w:b/>
          <w:bCs/>
          <w:sz w:val="27"/>
          <w:rtl/>
        </w:rPr>
        <w:t xml:space="preserve"> </w:t>
      </w:r>
      <w:r w:rsidR="00F34FB9" w:rsidRPr="00904FCB">
        <w:rPr>
          <w:rFonts w:hint="cs"/>
          <w:b/>
          <w:bCs/>
          <w:sz w:val="27"/>
          <w:rtl/>
        </w:rPr>
        <w:t>لِق</w:t>
      </w:r>
      <w:r w:rsidRPr="00904FCB">
        <w:rPr>
          <w:rFonts w:hint="cs"/>
          <w:b/>
          <w:bCs/>
          <w:sz w:val="27"/>
          <w:rtl/>
        </w:rPr>
        <w:t>َ</w:t>
      </w:r>
      <w:r w:rsidR="00F34FB9" w:rsidRPr="00904FCB">
        <w:rPr>
          <w:rFonts w:hint="cs"/>
          <w:b/>
          <w:bCs/>
          <w:sz w:val="27"/>
          <w:rtl/>
        </w:rPr>
        <w:t>اءَ</w:t>
      </w:r>
      <w:r w:rsidR="00F34FB9" w:rsidRPr="00904FCB">
        <w:rPr>
          <w:b/>
          <w:bCs/>
          <w:sz w:val="27"/>
          <w:rtl/>
        </w:rPr>
        <w:t xml:space="preserve"> </w:t>
      </w:r>
      <w:r w:rsidR="00F34FB9" w:rsidRPr="00904FCB">
        <w:rPr>
          <w:rFonts w:hint="cs"/>
          <w:b/>
          <w:bCs/>
          <w:sz w:val="27"/>
          <w:rtl/>
        </w:rPr>
        <w:t>رَبِّهِ</w:t>
      </w:r>
      <w:r w:rsidR="00F34FB9" w:rsidRPr="00904FCB">
        <w:rPr>
          <w:b/>
          <w:bCs/>
          <w:sz w:val="27"/>
          <w:rtl/>
        </w:rPr>
        <w:t xml:space="preserve"> </w:t>
      </w:r>
      <w:r w:rsidR="00F34FB9" w:rsidRPr="00904FCB">
        <w:rPr>
          <w:rFonts w:hint="cs"/>
          <w:b/>
          <w:bCs/>
          <w:sz w:val="27"/>
          <w:rtl/>
        </w:rPr>
        <w:t>فَلْيَعْمَلْ</w:t>
      </w:r>
      <w:r w:rsidR="00F34FB9" w:rsidRPr="00904FCB">
        <w:rPr>
          <w:b/>
          <w:bCs/>
          <w:sz w:val="27"/>
          <w:rtl/>
        </w:rPr>
        <w:t xml:space="preserve"> </w:t>
      </w:r>
      <w:r w:rsidR="00F34FB9" w:rsidRPr="00904FCB">
        <w:rPr>
          <w:rFonts w:hint="cs"/>
          <w:b/>
          <w:bCs/>
          <w:sz w:val="27"/>
          <w:rtl/>
        </w:rPr>
        <w:t>عَمَلاً</w:t>
      </w:r>
      <w:r w:rsidR="00F34FB9" w:rsidRPr="00904FCB">
        <w:rPr>
          <w:b/>
          <w:bCs/>
          <w:sz w:val="27"/>
          <w:rtl/>
        </w:rPr>
        <w:t xml:space="preserve"> </w:t>
      </w:r>
      <w:r w:rsidR="00F34FB9" w:rsidRPr="00904FCB">
        <w:rPr>
          <w:rFonts w:hint="cs"/>
          <w:b/>
          <w:bCs/>
          <w:sz w:val="27"/>
          <w:rtl/>
        </w:rPr>
        <w:t>ص</w:t>
      </w:r>
      <w:r w:rsidRPr="00904FCB">
        <w:rPr>
          <w:rFonts w:hint="cs"/>
          <w:b/>
          <w:bCs/>
          <w:sz w:val="27"/>
          <w:rtl/>
        </w:rPr>
        <w:t>َ</w:t>
      </w:r>
      <w:r w:rsidR="00F34FB9" w:rsidRPr="00904FCB">
        <w:rPr>
          <w:rFonts w:hint="cs"/>
          <w:b/>
          <w:bCs/>
          <w:sz w:val="27"/>
          <w:rtl/>
        </w:rPr>
        <w:t>الِحاً</w:t>
      </w:r>
      <w:r w:rsidR="00F34FB9" w:rsidRPr="00904FCB">
        <w:rPr>
          <w:b/>
          <w:bCs/>
          <w:sz w:val="27"/>
          <w:rtl/>
        </w:rPr>
        <w:t xml:space="preserve"> و</w:t>
      </w:r>
      <w:r w:rsidRPr="00904FCB">
        <w:rPr>
          <w:rFonts w:hint="cs"/>
          <w:b/>
          <w:bCs/>
          <w:sz w:val="27"/>
          <w:rtl/>
        </w:rPr>
        <w:t>َ</w:t>
      </w:r>
      <w:r w:rsidR="00F34FB9" w:rsidRPr="00904FCB">
        <w:rPr>
          <w:rFonts w:hint="cs"/>
          <w:b/>
          <w:bCs/>
          <w:sz w:val="27"/>
          <w:rtl/>
        </w:rPr>
        <w:t>لا</w:t>
      </w:r>
      <w:r w:rsidRPr="00904FCB">
        <w:rPr>
          <w:rFonts w:hint="cs"/>
          <w:b/>
          <w:bCs/>
          <w:sz w:val="27"/>
          <w:rtl/>
        </w:rPr>
        <w:t>َ</w:t>
      </w:r>
      <w:r w:rsidR="00F34FB9" w:rsidRPr="00904FCB">
        <w:rPr>
          <w:b/>
          <w:bCs/>
          <w:sz w:val="27"/>
          <w:rtl/>
        </w:rPr>
        <w:t xml:space="preserve"> </w:t>
      </w:r>
      <w:r w:rsidR="00F34FB9" w:rsidRPr="00904FCB">
        <w:rPr>
          <w:rFonts w:hint="cs"/>
          <w:b/>
          <w:bCs/>
          <w:sz w:val="27"/>
          <w:rtl/>
        </w:rPr>
        <w:t>يُشْرِكْ</w:t>
      </w:r>
      <w:r w:rsidR="00F34FB9" w:rsidRPr="00904FCB">
        <w:rPr>
          <w:b/>
          <w:bCs/>
          <w:sz w:val="27"/>
          <w:rtl/>
        </w:rPr>
        <w:t xml:space="preserve"> </w:t>
      </w:r>
      <w:r w:rsidR="00F34FB9" w:rsidRPr="00904FCB">
        <w:rPr>
          <w:rFonts w:hint="cs"/>
          <w:b/>
          <w:bCs/>
          <w:sz w:val="27"/>
          <w:rtl/>
        </w:rPr>
        <w:t>بِعِبادَةِ</w:t>
      </w:r>
      <w:r w:rsidR="00F34FB9" w:rsidRPr="00904FCB">
        <w:rPr>
          <w:b/>
          <w:bCs/>
          <w:sz w:val="27"/>
          <w:rtl/>
        </w:rPr>
        <w:t xml:space="preserve"> </w:t>
      </w:r>
      <w:r w:rsidR="00F34FB9" w:rsidRPr="00904FCB">
        <w:rPr>
          <w:rFonts w:hint="cs"/>
          <w:b/>
          <w:bCs/>
          <w:sz w:val="27"/>
          <w:rtl/>
        </w:rPr>
        <w:t>رَبِّهِ</w:t>
      </w:r>
      <w:r w:rsidR="00F34FB9" w:rsidRPr="00904FCB">
        <w:rPr>
          <w:b/>
          <w:bCs/>
          <w:sz w:val="27"/>
          <w:rtl/>
        </w:rPr>
        <w:t xml:space="preserve"> </w:t>
      </w:r>
      <w:r w:rsidR="00F34FB9" w:rsidRPr="00904FCB">
        <w:rPr>
          <w:rFonts w:hint="cs"/>
          <w:b/>
          <w:bCs/>
          <w:sz w:val="27"/>
          <w:rtl/>
        </w:rPr>
        <w:t>أَحَداً</w:t>
      </w:r>
      <w:r w:rsidR="00F34FB9" w:rsidRPr="00904FCB">
        <w:rPr>
          <w:rFonts w:ascii="Mosawi" w:hAnsi="Mosawi" w:cs="Mosawi"/>
          <w:sz w:val="24"/>
          <w:szCs w:val="24"/>
          <w:rtl/>
        </w:rPr>
        <w:t>﴾</w:t>
      </w:r>
      <w:r w:rsidRPr="00904FCB">
        <w:rPr>
          <w:rFonts w:hint="cs"/>
          <w:sz w:val="27"/>
          <w:rtl/>
        </w:rPr>
        <w:t>؟</w:t>
      </w:r>
      <w:r w:rsidR="00F34FB9" w:rsidRPr="00904FCB">
        <w:rPr>
          <w:rFonts w:hint="cs"/>
          <w:sz w:val="27"/>
          <w:rtl/>
        </w:rPr>
        <w:t xml:space="preserve"> قال</w:t>
      </w:r>
      <w:r w:rsidR="00F34FB9" w:rsidRPr="00904FCB">
        <w:rPr>
          <w:sz w:val="27"/>
          <w:rtl/>
        </w:rPr>
        <w:t xml:space="preserve">: </w:t>
      </w:r>
      <w:r w:rsidR="00F34FB9" w:rsidRPr="00904FCB">
        <w:rPr>
          <w:rFonts w:hint="cs"/>
          <w:sz w:val="27"/>
          <w:rtl/>
        </w:rPr>
        <w:t>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صلّى</w:t>
      </w:r>
      <w:r w:rsidR="00F34FB9" w:rsidRPr="00904FCB">
        <w:rPr>
          <w:sz w:val="27"/>
          <w:rtl/>
        </w:rPr>
        <w:t xml:space="preserve"> </w:t>
      </w:r>
      <w:r w:rsidR="00F34FB9" w:rsidRPr="00904FCB">
        <w:rPr>
          <w:rFonts w:hint="cs"/>
          <w:sz w:val="27"/>
          <w:rtl/>
        </w:rPr>
        <w:t>أو</w:t>
      </w:r>
      <w:r w:rsidR="00F34FB9" w:rsidRPr="00904FCB">
        <w:rPr>
          <w:sz w:val="27"/>
          <w:rtl/>
        </w:rPr>
        <w:t xml:space="preserve"> </w:t>
      </w:r>
      <w:r w:rsidR="00F34FB9" w:rsidRPr="00904FCB">
        <w:rPr>
          <w:rFonts w:hint="cs"/>
          <w:sz w:val="27"/>
          <w:rtl/>
        </w:rPr>
        <w:t>صام</w:t>
      </w:r>
      <w:r w:rsidR="00F34FB9" w:rsidRPr="00904FCB">
        <w:rPr>
          <w:sz w:val="27"/>
          <w:rtl/>
        </w:rPr>
        <w:t xml:space="preserve"> </w:t>
      </w:r>
      <w:r w:rsidR="00F34FB9" w:rsidRPr="00904FCB">
        <w:rPr>
          <w:rFonts w:hint="cs"/>
          <w:sz w:val="27"/>
          <w:rtl/>
        </w:rPr>
        <w:t>أو</w:t>
      </w:r>
      <w:r w:rsidR="00F34FB9" w:rsidRPr="00904FCB">
        <w:rPr>
          <w:sz w:val="27"/>
          <w:rtl/>
        </w:rPr>
        <w:t xml:space="preserve"> </w:t>
      </w:r>
      <w:r w:rsidR="00F34FB9" w:rsidRPr="00904FCB">
        <w:rPr>
          <w:rFonts w:hint="cs"/>
          <w:sz w:val="27"/>
          <w:rtl/>
        </w:rPr>
        <w:t>أعتق</w:t>
      </w:r>
      <w:r w:rsidR="00F34FB9" w:rsidRPr="00904FCB">
        <w:rPr>
          <w:sz w:val="27"/>
          <w:rtl/>
        </w:rPr>
        <w:t xml:space="preserve"> </w:t>
      </w:r>
      <w:r w:rsidR="00F34FB9" w:rsidRPr="00904FCB">
        <w:rPr>
          <w:rFonts w:hint="cs"/>
          <w:sz w:val="27"/>
          <w:rtl/>
        </w:rPr>
        <w:t>أو</w:t>
      </w:r>
      <w:r w:rsidR="00F34FB9" w:rsidRPr="00904FCB">
        <w:rPr>
          <w:sz w:val="27"/>
          <w:rtl/>
        </w:rPr>
        <w:t xml:space="preserve"> </w:t>
      </w:r>
      <w:r w:rsidR="00F34FB9" w:rsidRPr="00904FCB">
        <w:rPr>
          <w:rFonts w:hint="cs"/>
          <w:sz w:val="27"/>
          <w:rtl/>
        </w:rPr>
        <w:t>حجّ</w:t>
      </w:r>
      <w:r w:rsidR="00F34FB9" w:rsidRPr="00904FCB">
        <w:rPr>
          <w:sz w:val="27"/>
          <w:rtl/>
        </w:rPr>
        <w:t xml:space="preserve"> </w:t>
      </w:r>
      <w:r w:rsidR="00F34FB9" w:rsidRPr="00904FCB">
        <w:rPr>
          <w:rFonts w:hint="cs"/>
          <w:sz w:val="27"/>
          <w:rtl/>
        </w:rPr>
        <w:t>يريد</w:t>
      </w:r>
      <w:r w:rsidR="00F34FB9" w:rsidRPr="00904FCB">
        <w:rPr>
          <w:sz w:val="27"/>
          <w:rtl/>
        </w:rPr>
        <w:t xml:space="preserve"> </w:t>
      </w:r>
      <w:r w:rsidR="00F34FB9" w:rsidRPr="00904FCB">
        <w:rPr>
          <w:rFonts w:hint="cs"/>
          <w:sz w:val="27"/>
          <w:rtl/>
        </w:rPr>
        <w:t>محمدة</w:t>
      </w:r>
      <w:r w:rsidR="00F34FB9" w:rsidRPr="00904FCB">
        <w:rPr>
          <w:sz w:val="27"/>
          <w:rtl/>
        </w:rPr>
        <w:t xml:space="preserve"> </w:t>
      </w:r>
      <w:r w:rsidR="00F34FB9" w:rsidRPr="00904FCB">
        <w:rPr>
          <w:rFonts w:hint="cs"/>
          <w:sz w:val="27"/>
          <w:rtl/>
        </w:rPr>
        <w:t>الناس فقد</w:t>
      </w:r>
      <w:r w:rsidR="00F34FB9" w:rsidRPr="00904FCB">
        <w:rPr>
          <w:sz w:val="27"/>
          <w:rtl/>
        </w:rPr>
        <w:t xml:space="preserve"> </w:t>
      </w:r>
      <w:r w:rsidR="00F34FB9" w:rsidRPr="00904FCB">
        <w:rPr>
          <w:rFonts w:hint="cs"/>
          <w:sz w:val="27"/>
          <w:rtl/>
        </w:rPr>
        <w:t>أشرك</w:t>
      </w:r>
      <w:r w:rsidR="00F34FB9" w:rsidRPr="00904FCB">
        <w:rPr>
          <w:sz w:val="27"/>
          <w:rtl/>
        </w:rPr>
        <w:t xml:space="preserve"> </w:t>
      </w:r>
      <w:r w:rsidR="00F34FB9" w:rsidRPr="00904FCB">
        <w:rPr>
          <w:rFonts w:hint="cs"/>
          <w:sz w:val="27"/>
          <w:rtl/>
        </w:rPr>
        <w:t>في</w:t>
      </w:r>
      <w:r w:rsidR="00F34FB9" w:rsidRPr="00904FCB">
        <w:rPr>
          <w:sz w:val="27"/>
          <w:rtl/>
        </w:rPr>
        <w:t xml:space="preserve"> </w:t>
      </w:r>
      <w:r w:rsidR="00F34FB9" w:rsidRPr="00904FCB">
        <w:rPr>
          <w:rFonts w:hint="cs"/>
          <w:sz w:val="27"/>
          <w:rtl/>
        </w:rPr>
        <w:t>عمله، فهو</w:t>
      </w:r>
      <w:r w:rsidR="00F34FB9" w:rsidRPr="00904FCB">
        <w:rPr>
          <w:sz w:val="27"/>
          <w:rtl/>
        </w:rPr>
        <w:t xml:space="preserve"> </w:t>
      </w:r>
      <w:r w:rsidR="00F34FB9" w:rsidRPr="00904FCB">
        <w:rPr>
          <w:rFonts w:hint="cs"/>
          <w:sz w:val="27"/>
          <w:rtl/>
        </w:rPr>
        <w:t>شرك</w:t>
      </w:r>
      <w:r w:rsidRPr="00904FCB">
        <w:rPr>
          <w:rFonts w:hint="cs"/>
          <w:sz w:val="27"/>
          <w:rtl/>
        </w:rPr>
        <w:t>ٌ</w:t>
      </w:r>
      <w:r w:rsidR="00F34FB9" w:rsidRPr="00904FCB">
        <w:rPr>
          <w:sz w:val="27"/>
          <w:rtl/>
        </w:rPr>
        <w:t xml:space="preserve"> </w:t>
      </w:r>
      <w:r w:rsidR="00F34FB9" w:rsidRPr="00904FCB">
        <w:rPr>
          <w:rFonts w:hint="cs"/>
          <w:sz w:val="27"/>
          <w:rtl/>
        </w:rPr>
        <w:t>مغفور</w:t>
      </w:r>
      <w:r w:rsidR="00F34FB9" w:rsidRPr="00904FCB">
        <w:rPr>
          <w:rFonts w:hint="eastAsia"/>
          <w:sz w:val="27"/>
          <w:rtl/>
        </w:rPr>
        <w:t>»</w:t>
      </w:r>
      <w:r w:rsidR="00F34FB9" w:rsidRPr="00904FCB">
        <w:rPr>
          <w:rFonts w:hint="cs"/>
          <w:sz w:val="27"/>
          <w:vertAlign w:val="superscript"/>
          <w:rtl/>
        </w:rPr>
        <w:t>(</w:t>
      </w:r>
      <w:r w:rsidR="00F34FB9" w:rsidRPr="00904FCB">
        <w:rPr>
          <w:rStyle w:val="ac"/>
          <w:sz w:val="27"/>
          <w:rtl/>
        </w:rPr>
        <w:endnoteReference w:id="672"/>
      </w:r>
      <w:r w:rsidR="00F34FB9" w:rsidRPr="00904FCB">
        <w:rPr>
          <w:rFonts w:hint="cs"/>
          <w:sz w:val="27"/>
          <w:vertAlign w:val="superscript"/>
          <w:rtl/>
        </w:rPr>
        <w:t>)</w:t>
      </w:r>
      <w:r w:rsidR="00F34FB9" w:rsidRPr="00904FCB">
        <w:rPr>
          <w:rFonts w:hint="cs"/>
          <w:sz w:val="27"/>
          <w:rtl/>
        </w:rPr>
        <w:t xml:space="preserve">. </w:t>
      </w:r>
    </w:p>
    <w:p w:rsidR="00FC7726" w:rsidRPr="00904FCB" w:rsidRDefault="00F34FB9" w:rsidP="007A21AA">
      <w:pPr>
        <w:spacing w:line="400" w:lineRule="exact"/>
        <w:rPr>
          <w:sz w:val="27"/>
          <w:rtl/>
        </w:rPr>
      </w:pPr>
      <w:r w:rsidRPr="00904FCB">
        <w:rPr>
          <w:rFonts w:hint="cs"/>
          <w:sz w:val="27"/>
          <w:rtl/>
        </w:rPr>
        <w:t>وقد</w:t>
      </w:r>
      <w:r w:rsidRPr="00904FCB">
        <w:rPr>
          <w:sz w:val="27"/>
          <w:rtl/>
        </w:rPr>
        <w:t xml:space="preserve"> </w:t>
      </w:r>
      <w:r w:rsidRPr="00904FCB">
        <w:rPr>
          <w:rFonts w:hint="cs"/>
          <w:sz w:val="27"/>
          <w:rtl/>
        </w:rPr>
        <w:t>أطلق</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الرياء</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واحدٍ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الأخبار</w:t>
      </w:r>
      <w:r w:rsidR="00FC7726" w:rsidRPr="00904FCB">
        <w:rPr>
          <w:rFonts w:hint="cs"/>
          <w:sz w:val="27"/>
          <w:rtl/>
        </w:rPr>
        <w:t>:</w:t>
      </w:r>
    </w:p>
    <w:p w:rsidR="00F34FB9" w:rsidRPr="00904FCB" w:rsidRDefault="00FC7726" w:rsidP="007A21AA">
      <w:pPr>
        <w:spacing w:line="400" w:lineRule="exact"/>
        <w:rPr>
          <w:sz w:val="27"/>
          <w:rtl/>
        </w:rPr>
      </w:pPr>
      <w:r w:rsidRPr="00904FCB">
        <w:rPr>
          <w:rFonts w:hint="cs"/>
          <w:sz w:val="27"/>
          <w:rtl/>
        </w:rPr>
        <w:t xml:space="preserve">ـ </w:t>
      </w:r>
      <w:r w:rsidR="00F34FB9" w:rsidRPr="00904FCB">
        <w:rPr>
          <w:rFonts w:hint="cs"/>
          <w:sz w:val="27"/>
          <w:rtl/>
        </w:rPr>
        <w:t>ففي</w:t>
      </w:r>
      <w:r w:rsidR="00F34FB9" w:rsidRPr="00904FCB">
        <w:rPr>
          <w:sz w:val="27"/>
          <w:rtl/>
        </w:rPr>
        <w:t xml:space="preserve"> </w:t>
      </w:r>
      <w:r w:rsidR="00F34FB9" w:rsidRPr="00904FCB">
        <w:rPr>
          <w:rFonts w:hint="cs"/>
          <w:sz w:val="27"/>
          <w:rtl/>
        </w:rPr>
        <w:t>خبر</w:t>
      </w:r>
      <w:r w:rsidR="00F34FB9" w:rsidRPr="00904FCB">
        <w:rPr>
          <w:sz w:val="27"/>
          <w:rtl/>
        </w:rPr>
        <w:t xml:space="preserve"> </w:t>
      </w:r>
      <w:r w:rsidR="00F34FB9" w:rsidRPr="00904FCB">
        <w:rPr>
          <w:rFonts w:hint="cs"/>
          <w:sz w:val="27"/>
          <w:rtl/>
        </w:rPr>
        <w:t>يزيد</w:t>
      </w:r>
      <w:r w:rsidR="00F34FB9" w:rsidRPr="00904FCB">
        <w:rPr>
          <w:sz w:val="27"/>
          <w:rtl/>
        </w:rPr>
        <w:t xml:space="preserve"> </w:t>
      </w:r>
      <w:r w:rsidR="00F34FB9" w:rsidRPr="00904FCB">
        <w:rPr>
          <w:rFonts w:hint="cs"/>
          <w:sz w:val="27"/>
          <w:rtl/>
        </w:rPr>
        <w:t>بن</w:t>
      </w:r>
      <w:r w:rsidR="00F34FB9" w:rsidRPr="00904FCB">
        <w:rPr>
          <w:sz w:val="27"/>
          <w:rtl/>
        </w:rPr>
        <w:t xml:space="preserve"> </w:t>
      </w:r>
      <w:r w:rsidR="00F34FB9" w:rsidRPr="00904FCB">
        <w:rPr>
          <w:rFonts w:hint="cs"/>
          <w:sz w:val="27"/>
          <w:rtl/>
        </w:rPr>
        <w:t>خليفة قال</w:t>
      </w:r>
      <w:r w:rsidR="00F34FB9" w:rsidRPr="00904FCB">
        <w:rPr>
          <w:sz w:val="27"/>
          <w:rtl/>
        </w:rPr>
        <w:t xml:space="preserve">: </w:t>
      </w:r>
      <w:r w:rsidR="00F34FB9" w:rsidRPr="00904FCB">
        <w:rPr>
          <w:rFonts w:hint="cs"/>
          <w:sz w:val="27"/>
          <w:rtl/>
        </w:rPr>
        <w:t>قال</w:t>
      </w:r>
      <w:r w:rsidR="00F34FB9" w:rsidRPr="00904FCB">
        <w:rPr>
          <w:sz w:val="27"/>
          <w:rtl/>
        </w:rPr>
        <w:t xml:space="preserve"> </w:t>
      </w:r>
      <w:r w:rsidR="00F34FB9" w:rsidRPr="00904FCB">
        <w:rPr>
          <w:rFonts w:hint="cs"/>
          <w:sz w:val="27"/>
          <w:rtl/>
        </w:rPr>
        <w:t>أبو</w:t>
      </w:r>
      <w:r w:rsidR="00F34FB9" w:rsidRPr="00904FCB">
        <w:rPr>
          <w:sz w:val="27"/>
          <w:rtl/>
        </w:rPr>
        <w:t xml:space="preserve"> </w:t>
      </w:r>
      <w:r w:rsidR="00F34FB9" w:rsidRPr="00904FCB">
        <w:rPr>
          <w:rFonts w:hint="cs"/>
          <w:sz w:val="27"/>
          <w:rtl/>
        </w:rPr>
        <w:t>عبد الله</w:t>
      </w:r>
      <w:r w:rsidR="001C1A2A" w:rsidRPr="00904FCB">
        <w:rPr>
          <w:rFonts w:cs="Mosawi"/>
          <w:sz w:val="27"/>
          <w:szCs w:val="22"/>
          <w:rtl/>
        </w:rPr>
        <w:t>×</w:t>
      </w:r>
      <w:r w:rsidR="00F34FB9" w:rsidRPr="00904FCB">
        <w:rPr>
          <w:sz w:val="27"/>
          <w:rtl/>
        </w:rPr>
        <w:t xml:space="preserve">: </w:t>
      </w:r>
      <w:r w:rsidR="00F34FB9" w:rsidRPr="00904FCB">
        <w:rPr>
          <w:rFonts w:hint="eastAsia"/>
          <w:sz w:val="27"/>
          <w:rtl/>
        </w:rPr>
        <w:t>«</w:t>
      </w:r>
      <w:r w:rsidR="00F34FB9" w:rsidRPr="00904FCB">
        <w:rPr>
          <w:rFonts w:hint="cs"/>
          <w:sz w:val="27"/>
          <w:rtl/>
        </w:rPr>
        <w:t>كلّ</w:t>
      </w:r>
      <w:r w:rsidR="00F34FB9" w:rsidRPr="00904FCB">
        <w:rPr>
          <w:sz w:val="27"/>
          <w:rtl/>
        </w:rPr>
        <w:t xml:space="preserve"> </w:t>
      </w:r>
      <w:r w:rsidR="00F34FB9" w:rsidRPr="00904FCB">
        <w:rPr>
          <w:rFonts w:hint="cs"/>
          <w:sz w:val="27"/>
          <w:rtl/>
        </w:rPr>
        <w:t>رياء</w:t>
      </w:r>
      <w:r w:rsidR="00F34FB9" w:rsidRPr="00904FCB">
        <w:rPr>
          <w:sz w:val="27"/>
          <w:rtl/>
        </w:rPr>
        <w:t xml:space="preserve"> </w:t>
      </w:r>
      <w:r w:rsidR="00F34FB9" w:rsidRPr="00904FCB">
        <w:rPr>
          <w:rFonts w:hint="cs"/>
          <w:sz w:val="27"/>
          <w:rtl/>
        </w:rPr>
        <w:t>شرك</w:t>
      </w:r>
      <w:r w:rsidRPr="00904FCB">
        <w:rPr>
          <w:rFonts w:hint="cs"/>
          <w:sz w:val="27"/>
          <w:rtl/>
        </w:rPr>
        <w:t>.</w:t>
      </w:r>
      <w:r w:rsidR="00F34FB9" w:rsidRPr="00904FCB">
        <w:rPr>
          <w:rFonts w:hint="cs"/>
          <w:sz w:val="27"/>
          <w:rtl/>
        </w:rPr>
        <w:t xml:space="preserve"> إنّه</w:t>
      </w:r>
      <w:r w:rsidR="00F34FB9" w:rsidRPr="00904FCB">
        <w:rPr>
          <w:sz w:val="27"/>
          <w:rtl/>
        </w:rPr>
        <w:t xml:space="preserve"> </w:t>
      </w:r>
      <w:r w:rsidR="00F34FB9" w:rsidRPr="00904FCB">
        <w:rPr>
          <w:rFonts w:hint="cs"/>
          <w:sz w:val="27"/>
          <w:rtl/>
        </w:rPr>
        <w:t>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عمل‏</w:t>
      </w:r>
      <w:r w:rsidRPr="00904FCB">
        <w:rPr>
          <w:rFonts w:hint="cs"/>
          <w:sz w:val="27"/>
          <w:rtl/>
        </w:rPr>
        <w:t xml:space="preserve"> </w:t>
      </w:r>
      <w:r w:rsidR="00F34FB9" w:rsidRPr="00904FCB">
        <w:rPr>
          <w:rFonts w:hint="cs"/>
          <w:sz w:val="27"/>
          <w:rtl/>
        </w:rPr>
        <w:t>للناس</w:t>
      </w:r>
      <w:r w:rsidR="00F34FB9" w:rsidRPr="00904FCB">
        <w:rPr>
          <w:sz w:val="27"/>
          <w:rtl/>
        </w:rPr>
        <w:t xml:space="preserve"> </w:t>
      </w:r>
      <w:r w:rsidR="00F34FB9" w:rsidRPr="00904FCB">
        <w:rPr>
          <w:rFonts w:hint="cs"/>
          <w:sz w:val="27"/>
          <w:rtl/>
        </w:rPr>
        <w:t>كان</w:t>
      </w:r>
      <w:r w:rsidR="00F34FB9" w:rsidRPr="00904FCB">
        <w:rPr>
          <w:sz w:val="27"/>
          <w:rtl/>
        </w:rPr>
        <w:t xml:space="preserve"> </w:t>
      </w:r>
      <w:r w:rsidR="00F34FB9" w:rsidRPr="00904FCB">
        <w:rPr>
          <w:rFonts w:hint="cs"/>
          <w:sz w:val="27"/>
          <w:rtl/>
        </w:rPr>
        <w:t>ثوابه</w:t>
      </w:r>
      <w:r w:rsidR="00F34FB9" w:rsidRPr="00904FCB">
        <w:rPr>
          <w:sz w:val="27"/>
          <w:rtl/>
        </w:rPr>
        <w:t xml:space="preserve"> </w:t>
      </w:r>
      <w:r w:rsidR="00F34FB9" w:rsidRPr="00904FCB">
        <w:rPr>
          <w:rFonts w:hint="cs"/>
          <w:sz w:val="27"/>
          <w:rtl/>
        </w:rPr>
        <w:t>على</w:t>
      </w:r>
      <w:r w:rsidR="00F34FB9" w:rsidRPr="00904FCB">
        <w:rPr>
          <w:sz w:val="27"/>
          <w:rtl/>
        </w:rPr>
        <w:t xml:space="preserve"> </w:t>
      </w:r>
      <w:r w:rsidR="00F34FB9" w:rsidRPr="00904FCB">
        <w:rPr>
          <w:rFonts w:hint="cs"/>
          <w:sz w:val="27"/>
          <w:rtl/>
        </w:rPr>
        <w:t>الناس، وم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عمل</w:t>
      </w:r>
      <w:r w:rsidR="00F34FB9" w:rsidRPr="00904FCB">
        <w:rPr>
          <w:sz w:val="27"/>
          <w:rtl/>
        </w:rPr>
        <w:t xml:space="preserve"> </w:t>
      </w:r>
      <w:r w:rsidR="00F34FB9" w:rsidRPr="00904FCB">
        <w:rPr>
          <w:rFonts w:hint="cs"/>
          <w:sz w:val="27"/>
          <w:rtl/>
        </w:rPr>
        <w:t>لله</w:t>
      </w:r>
      <w:r w:rsidR="00F34FB9" w:rsidRPr="00904FCB">
        <w:rPr>
          <w:sz w:val="27"/>
          <w:rtl/>
        </w:rPr>
        <w:t xml:space="preserve"> </w:t>
      </w:r>
      <w:r w:rsidR="00F34FB9" w:rsidRPr="00904FCB">
        <w:rPr>
          <w:rFonts w:hint="cs"/>
          <w:sz w:val="27"/>
          <w:rtl/>
        </w:rPr>
        <w:t>كان</w:t>
      </w:r>
      <w:r w:rsidR="00F34FB9" w:rsidRPr="00904FCB">
        <w:rPr>
          <w:sz w:val="27"/>
          <w:rtl/>
        </w:rPr>
        <w:t xml:space="preserve"> </w:t>
      </w:r>
      <w:r w:rsidR="00F34FB9" w:rsidRPr="00904FCB">
        <w:rPr>
          <w:rFonts w:hint="cs"/>
          <w:sz w:val="27"/>
          <w:rtl/>
        </w:rPr>
        <w:t>ثوابه</w:t>
      </w:r>
      <w:r w:rsidR="00F34FB9" w:rsidRPr="00904FCB">
        <w:rPr>
          <w:sz w:val="27"/>
          <w:rtl/>
        </w:rPr>
        <w:t xml:space="preserve"> </w:t>
      </w:r>
      <w:r w:rsidR="00F34FB9" w:rsidRPr="00904FCB">
        <w:rPr>
          <w:rFonts w:hint="cs"/>
          <w:sz w:val="27"/>
          <w:rtl/>
        </w:rPr>
        <w:t>على</w:t>
      </w:r>
      <w:r w:rsidR="00F34FB9" w:rsidRPr="00904FCB">
        <w:rPr>
          <w:sz w:val="27"/>
          <w:rtl/>
        </w:rPr>
        <w:t xml:space="preserve"> </w:t>
      </w:r>
      <w:r w:rsidR="00F34FB9" w:rsidRPr="00904FCB">
        <w:rPr>
          <w:rFonts w:hint="cs"/>
          <w:sz w:val="27"/>
          <w:rtl/>
        </w:rPr>
        <w:t>الله</w:t>
      </w:r>
      <w:r w:rsidR="00F34FB9" w:rsidRPr="00904FCB">
        <w:rPr>
          <w:rFonts w:hint="eastAsia"/>
          <w:sz w:val="27"/>
          <w:rtl/>
        </w:rPr>
        <w:t>»</w:t>
      </w:r>
      <w:r w:rsidR="00F34FB9" w:rsidRPr="00904FCB">
        <w:rPr>
          <w:rFonts w:hint="cs"/>
          <w:sz w:val="27"/>
          <w:vertAlign w:val="superscript"/>
          <w:rtl/>
        </w:rPr>
        <w:t>(</w:t>
      </w:r>
      <w:r w:rsidR="00F34FB9" w:rsidRPr="00904FCB">
        <w:rPr>
          <w:rStyle w:val="ac"/>
          <w:sz w:val="27"/>
          <w:rtl/>
        </w:rPr>
        <w:endnoteReference w:id="673"/>
      </w:r>
      <w:r w:rsidR="00F34FB9" w:rsidRPr="00904FCB">
        <w:rPr>
          <w:rFonts w:hint="cs"/>
          <w:sz w:val="27"/>
          <w:vertAlign w:val="superscript"/>
          <w:rtl/>
        </w:rPr>
        <w:t>)</w:t>
      </w:r>
      <w:r w:rsidR="00F34FB9" w:rsidRPr="00904FCB">
        <w:rPr>
          <w:rFonts w:hint="cs"/>
          <w:sz w:val="27"/>
          <w:rtl/>
        </w:rPr>
        <w:t xml:space="preserve">. </w:t>
      </w:r>
    </w:p>
    <w:p w:rsidR="00F34FB9" w:rsidRPr="00904FCB" w:rsidRDefault="00FC7726" w:rsidP="007A21AA">
      <w:pPr>
        <w:spacing w:line="400" w:lineRule="exact"/>
        <w:rPr>
          <w:sz w:val="27"/>
          <w:rtl/>
        </w:rPr>
      </w:pPr>
      <w:r w:rsidRPr="00904FCB">
        <w:rPr>
          <w:rFonts w:hint="cs"/>
          <w:sz w:val="27"/>
          <w:rtl/>
        </w:rPr>
        <w:t xml:space="preserve">ـ </w:t>
      </w:r>
      <w:r w:rsidR="00F34FB9" w:rsidRPr="00904FCB">
        <w:rPr>
          <w:rFonts w:hint="cs"/>
          <w:sz w:val="27"/>
          <w:rtl/>
        </w:rPr>
        <w:t>و</w:t>
      </w:r>
      <w:r w:rsidRPr="00904FCB">
        <w:rPr>
          <w:rFonts w:hint="cs"/>
          <w:sz w:val="27"/>
          <w:rtl/>
        </w:rPr>
        <w:t xml:space="preserve">في </w:t>
      </w:r>
      <w:r w:rsidR="00F34FB9" w:rsidRPr="00904FCB">
        <w:rPr>
          <w:rFonts w:hint="cs"/>
          <w:sz w:val="27"/>
          <w:rtl/>
        </w:rPr>
        <w:t>خبر</w:t>
      </w:r>
      <w:r w:rsidR="00F34FB9" w:rsidRPr="00904FCB">
        <w:rPr>
          <w:sz w:val="27"/>
          <w:rtl/>
        </w:rPr>
        <w:t xml:space="preserve"> </w:t>
      </w:r>
      <w:r w:rsidR="00F34FB9" w:rsidRPr="00904FCB">
        <w:rPr>
          <w:rFonts w:hint="cs"/>
          <w:sz w:val="27"/>
          <w:rtl/>
        </w:rPr>
        <w:t>شدّاد</w:t>
      </w:r>
      <w:r w:rsidR="00F34FB9" w:rsidRPr="00904FCB">
        <w:rPr>
          <w:sz w:val="27"/>
          <w:rtl/>
        </w:rPr>
        <w:t xml:space="preserve"> </w:t>
      </w:r>
      <w:r w:rsidR="00F34FB9" w:rsidRPr="00904FCB">
        <w:rPr>
          <w:rFonts w:hint="cs"/>
          <w:sz w:val="27"/>
          <w:rtl/>
        </w:rPr>
        <w:t>بن</w:t>
      </w:r>
      <w:r w:rsidR="00F34FB9" w:rsidRPr="00904FCB">
        <w:rPr>
          <w:sz w:val="27"/>
          <w:rtl/>
        </w:rPr>
        <w:t xml:space="preserve"> </w:t>
      </w:r>
      <w:r w:rsidR="00F34FB9" w:rsidRPr="00904FCB">
        <w:rPr>
          <w:rFonts w:hint="cs"/>
          <w:sz w:val="27"/>
          <w:rtl/>
        </w:rPr>
        <w:t>أوس</w:t>
      </w:r>
      <w:r w:rsidR="00F34FB9" w:rsidRPr="00904FCB">
        <w:rPr>
          <w:sz w:val="27"/>
          <w:rtl/>
        </w:rPr>
        <w:t xml:space="preserve"> </w:t>
      </w:r>
      <w:r w:rsidR="00F34FB9" w:rsidRPr="00904FCB">
        <w:rPr>
          <w:rFonts w:hint="cs"/>
          <w:sz w:val="27"/>
          <w:rtl/>
        </w:rPr>
        <w:t>قال</w:t>
      </w:r>
      <w:r w:rsidR="00F34FB9" w:rsidRPr="00904FCB">
        <w:rPr>
          <w:sz w:val="27"/>
          <w:rtl/>
        </w:rPr>
        <w:t xml:space="preserve">: </w:t>
      </w:r>
      <w:r w:rsidR="00F34FB9" w:rsidRPr="00904FCB">
        <w:rPr>
          <w:rFonts w:hint="eastAsia"/>
          <w:sz w:val="27"/>
          <w:rtl/>
        </w:rPr>
        <w:t>«</w:t>
      </w:r>
      <w:r w:rsidR="00F34FB9" w:rsidRPr="00904FCB">
        <w:rPr>
          <w:rFonts w:hint="cs"/>
          <w:sz w:val="27"/>
          <w:rtl/>
        </w:rPr>
        <w:t>دخلت</w:t>
      </w:r>
      <w:r w:rsidRPr="00904FCB">
        <w:rPr>
          <w:rFonts w:hint="cs"/>
          <w:sz w:val="27"/>
          <w:rtl/>
        </w:rPr>
        <w:t>ُ</w:t>
      </w:r>
      <w:r w:rsidR="00F34FB9" w:rsidRPr="00904FCB">
        <w:rPr>
          <w:sz w:val="27"/>
          <w:rtl/>
        </w:rPr>
        <w:t xml:space="preserve"> </w:t>
      </w:r>
      <w:r w:rsidR="00F34FB9" w:rsidRPr="00904FCB">
        <w:rPr>
          <w:rFonts w:hint="cs"/>
          <w:sz w:val="27"/>
          <w:rtl/>
        </w:rPr>
        <w:t>على</w:t>
      </w:r>
      <w:r w:rsidR="00F34FB9" w:rsidRPr="00904FCB">
        <w:rPr>
          <w:sz w:val="27"/>
          <w:rtl/>
        </w:rPr>
        <w:t xml:space="preserve"> </w:t>
      </w:r>
      <w:r w:rsidR="00F34FB9" w:rsidRPr="00904FCB">
        <w:rPr>
          <w:rFonts w:hint="cs"/>
          <w:sz w:val="27"/>
          <w:rtl/>
        </w:rPr>
        <w:t>رسول</w:t>
      </w:r>
      <w:r w:rsidR="00F34FB9" w:rsidRPr="00904FCB">
        <w:rPr>
          <w:sz w:val="27"/>
          <w:rtl/>
        </w:rPr>
        <w:t xml:space="preserve"> </w:t>
      </w:r>
      <w:r w:rsidR="00F34FB9" w:rsidRPr="00904FCB">
        <w:rPr>
          <w:rFonts w:hint="cs"/>
          <w:sz w:val="27"/>
          <w:rtl/>
        </w:rPr>
        <w:t>الله</w:t>
      </w:r>
      <w:r w:rsidR="00635E51" w:rsidRPr="00904FCB">
        <w:rPr>
          <w:rFonts w:cs="Mosawi"/>
          <w:sz w:val="27"/>
          <w:szCs w:val="22"/>
          <w:rtl/>
        </w:rPr>
        <w:t>|</w:t>
      </w:r>
      <w:r w:rsidRPr="00904FCB">
        <w:rPr>
          <w:rFonts w:hint="cs"/>
          <w:sz w:val="27"/>
          <w:rtl/>
        </w:rPr>
        <w:t>،</w:t>
      </w:r>
      <w:r w:rsidR="00F34FB9" w:rsidRPr="00904FCB">
        <w:rPr>
          <w:sz w:val="27"/>
          <w:rtl/>
        </w:rPr>
        <w:t xml:space="preserve"> </w:t>
      </w:r>
      <w:r w:rsidR="00F34FB9" w:rsidRPr="00904FCB">
        <w:rPr>
          <w:rFonts w:hint="cs"/>
          <w:sz w:val="27"/>
          <w:rtl/>
        </w:rPr>
        <w:t>فرأيت</w:t>
      </w:r>
      <w:r w:rsidRPr="00904FCB">
        <w:rPr>
          <w:rFonts w:hint="cs"/>
          <w:sz w:val="27"/>
          <w:rtl/>
        </w:rPr>
        <w:t>ُ</w:t>
      </w:r>
      <w:r w:rsidR="00F34FB9" w:rsidRPr="00904FCB">
        <w:rPr>
          <w:sz w:val="27"/>
          <w:rtl/>
        </w:rPr>
        <w:t xml:space="preserve"> </w:t>
      </w:r>
      <w:r w:rsidR="00F34FB9" w:rsidRPr="00904FCB">
        <w:rPr>
          <w:rFonts w:hint="cs"/>
          <w:sz w:val="27"/>
          <w:rtl/>
        </w:rPr>
        <w:t>في</w:t>
      </w:r>
      <w:r w:rsidR="00F34FB9" w:rsidRPr="00904FCB">
        <w:rPr>
          <w:sz w:val="27"/>
          <w:rtl/>
        </w:rPr>
        <w:t xml:space="preserve"> </w:t>
      </w:r>
      <w:r w:rsidR="00F34FB9" w:rsidRPr="00904FCB">
        <w:rPr>
          <w:rFonts w:hint="cs"/>
          <w:sz w:val="27"/>
          <w:rtl/>
        </w:rPr>
        <w:t>وجهه</w:t>
      </w:r>
      <w:r w:rsidR="00F34FB9" w:rsidRPr="00904FCB">
        <w:rPr>
          <w:sz w:val="27"/>
          <w:rtl/>
        </w:rPr>
        <w:t xml:space="preserve"> </w:t>
      </w:r>
      <w:r w:rsidR="00F34FB9" w:rsidRPr="00904FCB">
        <w:rPr>
          <w:rFonts w:hint="cs"/>
          <w:sz w:val="27"/>
          <w:rtl/>
        </w:rPr>
        <w:t>ما</w:t>
      </w:r>
      <w:r w:rsidR="00F34FB9" w:rsidRPr="00904FCB">
        <w:rPr>
          <w:sz w:val="27"/>
          <w:rtl/>
        </w:rPr>
        <w:t xml:space="preserve"> </w:t>
      </w:r>
      <w:r w:rsidR="00F34FB9" w:rsidRPr="00904FCB">
        <w:rPr>
          <w:rFonts w:hint="cs"/>
          <w:sz w:val="27"/>
          <w:rtl/>
        </w:rPr>
        <w:t>ساءني</w:t>
      </w:r>
      <w:r w:rsidRPr="00904FCB">
        <w:rPr>
          <w:rFonts w:hint="cs"/>
          <w:sz w:val="27"/>
          <w:rtl/>
        </w:rPr>
        <w:t>،</w:t>
      </w:r>
      <w:r w:rsidR="00F34FB9" w:rsidRPr="00904FCB">
        <w:rPr>
          <w:sz w:val="27"/>
          <w:rtl/>
        </w:rPr>
        <w:t xml:space="preserve"> </w:t>
      </w:r>
      <w:r w:rsidR="00F34FB9" w:rsidRPr="00904FCB">
        <w:rPr>
          <w:rFonts w:hint="cs"/>
          <w:sz w:val="27"/>
          <w:rtl/>
        </w:rPr>
        <w:t>فقلت</w:t>
      </w:r>
      <w:r w:rsidR="00F34FB9" w:rsidRPr="00904FCB">
        <w:rPr>
          <w:sz w:val="27"/>
          <w:rtl/>
        </w:rPr>
        <w:t xml:space="preserve">: </w:t>
      </w:r>
      <w:r w:rsidR="00F34FB9" w:rsidRPr="00904FCB">
        <w:rPr>
          <w:rFonts w:hint="cs"/>
          <w:sz w:val="27"/>
          <w:rtl/>
        </w:rPr>
        <w:t>ما</w:t>
      </w:r>
      <w:r w:rsidR="00F34FB9" w:rsidRPr="00904FCB">
        <w:rPr>
          <w:sz w:val="27"/>
          <w:rtl/>
        </w:rPr>
        <w:t xml:space="preserve"> </w:t>
      </w:r>
      <w:r w:rsidR="00F34FB9" w:rsidRPr="00904FCB">
        <w:rPr>
          <w:rFonts w:hint="cs"/>
          <w:sz w:val="27"/>
          <w:rtl/>
        </w:rPr>
        <w:t>الذي</w:t>
      </w:r>
      <w:r w:rsidR="00F34FB9" w:rsidRPr="00904FCB">
        <w:rPr>
          <w:sz w:val="27"/>
          <w:rtl/>
        </w:rPr>
        <w:t xml:space="preserve"> </w:t>
      </w:r>
      <w:r w:rsidR="00F34FB9" w:rsidRPr="00904FCB">
        <w:rPr>
          <w:rFonts w:hint="cs"/>
          <w:sz w:val="27"/>
          <w:rtl/>
        </w:rPr>
        <w:t>أرى</w:t>
      </w:r>
      <w:r w:rsidR="00F34FB9" w:rsidRPr="00904FCB">
        <w:rPr>
          <w:sz w:val="27"/>
          <w:rtl/>
        </w:rPr>
        <w:t xml:space="preserve"> </w:t>
      </w:r>
      <w:r w:rsidR="00F34FB9" w:rsidRPr="00904FCB">
        <w:rPr>
          <w:rFonts w:hint="cs"/>
          <w:sz w:val="27"/>
          <w:rtl/>
        </w:rPr>
        <w:t>بك؟ فقال</w:t>
      </w:r>
      <w:r w:rsidR="00F34FB9" w:rsidRPr="00904FCB">
        <w:rPr>
          <w:sz w:val="27"/>
          <w:rtl/>
        </w:rPr>
        <w:t xml:space="preserve">: </w:t>
      </w:r>
      <w:r w:rsidR="00F34FB9" w:rsidRPr="00904FCB">
        <w:rPr>
          <w:rFonts w:hint="cs"/>
          <w:sz w:val="27"/>
          <w:rtl/>
        </w:rPr>
        <w:t>أخاف</w:t>
      </w:r>
      <w:r w:rsidR="00F34FB9" w:rsidRPr="00904FCB">
        <w:rPr>
          <w:sz w:val="27"/>
          <w:rtl/>
        </w:rPr>
        <w:t xml:space="preserve"> </w:t>
      </w:r>
      <w:r w:rsidR="00F34FB9" w:rsidRPr="00904FCB">
        <w:rPr>
          <w:rFonts w:hint="cs"/>
          <w:sz w:val="27"/>
          <w:rtl/>
        </w:rPr>
        <w:t>على</w:t>
      </w:r>
      <w:r w:rsidR="00F34FB9" w:rsidRPr="00904FCB">
        <w:rPr>
          <w:sz w:val="27"/>
          <w:rtl/>
        </w:rPr>
        <w:t xml:space="preserve"> </w:t>
      </w:r>
      <w:r w:rsidR="00F34FB9" w:rsidRPr="00904FCB">
        <w:rPr>
          <w:rFonts w:hint="cs"/>
          <w:sz w:val="27"/>
          <w:rtl/>
        </w:rPr>
        <w:t>أمّتي</w:t>
      </w:r>
      <w:r w:rsidR="00F34FB9" w:rsidRPr="00904FCB">
        <w:rPr>
          <w:sz w:val="27"/>
          <w:rtl/>
        </w:rPr>
        <w:t xml:space="preserve"> </w:t>
      </w:r>
      <w:r w:rsidR="00F34FB9" w:rsidRPr="00904FCB">
        <w:rPr>
          <w:rFonts w:hint="cs"/>
          <w:sz w:val="27"/>
          <w:rtl/>
        </w:rPr>
        <w:t>الش</w:t>
      </w:r>
      <w:r w:rsidRPr="00904FCB">
        <w:rPr>
          <w:rFonts w:hint="cs"/>
          <w:sz w:val="27"/>
          <w:rtl/>
        </w:rPr>
        <w:t>ِّ</w:t>
      </w:r>
      <w:r w:rsidR="00F34FB9" w:rsidRPr="00904FCB">
        <w:rPr>
          <w:rFonts w:hint="cs"/>
          <w:sz w:val="27"/>
          <w:rtl/>
        </w:rPr>
        <w:t>ر</w:t>
      </w:r>
      <w:r w:rsidRPr="00904FCB">
        <w:rPr>
          <w:rFonts w:hint="cs"/>
          <w:sz w:val="27"/>
          <w:rtl/>
        </w:rPr>
        <w:t>ْ</w:t>
      </w:r>
      <w:r w:rsidR="00F34FB9" w:rsidRPr="00904FCB">
        <w:rPr>
          <w:rFonts w:hint="cs"/>
          <w:sz w:val="27"/>
          <w:rtl/>
        </w:rPr>
        <w:t>ك، فقلت</w:t>
      </w:r>
      <w:r w:rsidR="00F34FB9" w:rsidRPr="00904FCB">
        <w:rPr>
          <w:sz w:val="27"/>
          <w:rtl/>
        </w:rPr>
        <w:t xml:space="preserve">: </w:t>
      </w:r>
      <w:r w:rsidR="00F34FB9" w:rsidRPr="00904FCB">
        <w:rPr>
          <w:rFonts w:hint="cs"/>
          <w:sz w:val="27"/>
          <w:rtl/>
        </w:rPr>
        <w:t>أيشركون</w:t>
      </w:r>
      <w:r w:rsidR="00F34FB9" w:rsidRPr="00904FCB">
        <w:rPr>
          <w:sz w:val="27"/>
          <w:rtl/>
        </w:rPr>
        <w:t xml:space="preserve"> </w:t>
      </w:r>
      <w:r w:rsidR="00F34FB9" w:rsidRPr="00904FCB">
        <w:rPr>
          <w:rFonts w:hint="cs"/>
          <w:sz w:val="27"/>
          <w:rtl/>
        </w:rPr>
        <w:t>من</w:t>
      </w:r>
      <w:r w:rsidR="00F34FB9" w:rsidRPr="00904FCB">
        <w:rPr>
          <w:sz w:val="27"/>
          <w:rtl/>
        </w:rPr>
        <w:t xml:space="preserve"> </w:t>
      </w:r>
      <w:r w:rsidR="00F34FB9" w:rsidRPr="00904FCB">
        <w:rPr>
          <w:rFonts w:hint="cs"/>
          <w:sz w:val="27"/>
          <w:rtl/>
        </w:rPr>
        <w:t>بعدك؟ فقال</w:t>
      </w:r>
      <w:r w:rsidR="00F34FB9" w:rsidRPr="00904FCB">
        <w:rPr>
          <w:sz w:val="27"/>
          <w:rtl/>
        </w:rPr>
        <w:t xml:space="preserve">: </w:t>
      </w:r>
      <w:r w:rsidR="00F34FB9" w:rsidRPr="00904FCB">
        <w:rPr>
          <w:rFonts w:hint="cs"/>
          <w:sz w:val="27"/>
          <w:rtl/>
        </w:rPr>
        <w:t>أمّا</w:t>
      </w:r>
      <w:r w:rsidR="00F34FB9" w:rsidRPr="00904FCB">
        <w:rPr>
          <w:sz w:val="27"/>
          <w:rtl/>
        </w:rPr>
        <w:t xml:space="preserve"> </w:t>
      </w:r>
      <w:r w:rsidR="00F34FB9" w:rsidRPr="00904FCB">
        <w:rPr>
          <w:rFonts w:hint="cs"/>
          <w:sz w:val="27"/>
          <w:rtl/>
        </w:rPr>
        <w:t>إنّهم</w:t>
      </w:r>
      <w:r w:rsidR="00F34FB9" w:rsidRPr="00904FCB">
        <w:rPr>
          <w:sz w:val="27"/>
          <w:rtl/>
        </w:rPr>
        <w:t xml:space="preserve"> </w:t>
      </w:r>
      <w:r w:rsidR="00F34FB9" w:rsidRPr="00904FCB">
        <w:rPr>
          <w:rFonts w:hint="cs"/>
          <w:sz w:val="27"/>
          <w:rtl/>
        </w:rPr>
        <w:t>لا</w:t>
      </w:r>
      <w:r w:rsidR="00F34FB9" w:rsidRPr="00904FCB">
        <w:rPr>
          <w:sz w:val="27"/>
          <w:rtl/>
        </w:rPr>
        <w:t xml:space="preserve"> </w:t>
      </w:r>
      <w:r w:rsidR="00F34FB9" w:rsidRPr="00904FCB">
        <w:rPr>
          <w:rFonts w:hint="cs"/>
          <w:sz w:val="27"/>
          <w:rtl/>
        </w:rPr>
        <w:t>يعبدون</w:t>
      </w:r>
      <w:r w:rsidR="00F34FB9" w:rsidRPr="00904FCB">
        <w:rPr>
          <w:sz w:val="27"/>
          <w:rtl/>
        </w:rPr>
        <w:t xml:space="preserve"> </w:t>
      </w:r>
      <w:r w:rsidR="00F34FB9" w:rsidRPr="00904FCB">
        <w:rPr>
          <w:rFonts w:hint="cs"/>
          <w:sz w:val="27"/>
          <w:rtl/>
        </w:rPr>
        <w:t>شمساً</w:t>
      </w:r>
      <w:r w:rsidR="00F34FB9" w:rsidRPr="00904FCB">
        <w:rPr>
          <w:sz w:val="27"/>
          <w:rtl/>
        </w:rPr>
        <w:t xml:space="preserve"> </w:t>
      </w:r>
      <w:r w:rsidR="00F34FB9" w:rsidRPr="00904FCB">
        <w:rPr>
          <w:rFonts w:hint="cs"/>
          <w:sz w:val="27"/>
          <w:rtl/>
        </w:rPr>
        <w:t>ولا</w:t>
      </w:r>
      <w:r w:rsidR="00F34FB9" w:rsidRPr="00904FCB">
        <w:rPr>
          <w:sz w:val="27"/>
          <w:rtl/>
        </w:rPr>
        <w:t xml:space="preserve"> </w:t>
      </w:r>
      <w:r w:rsidR="00F34FB9" w:rsidRPr="00904FCB">
        <w:rPr>
          <w:rFonts w:hint="cs"/>
          <w:sz w:val="27"/>
          <w:rtl/>
        </w:rPr>
        <w:t>قمراً</w:t>
      </w:r>
      <w:r w:rsidR="00F34FB9" w:rsidRPr="00904FCB">
        <w:rPr>
          <w:sz w:val="27"/>
          <w:rtl/>
        </w:rPr>
        <w:t xml:space="preserve"> </w:t>
      </w:r>
      <w:r w:rsidR="00F34FB9" w:rsidRPr="00904FCB">
        <w:rPr>
          <w:rFonts w:hint="cs"/>
          <w:sz w:val="27"/>
          <w:rtl/>
        </w:rPr>
        <w:t>ولا</w:t>
      </w:r>
      <w:r w:rsidR="00F34FB9" w:rsidRPr="00904FCB">
        <w:rPr>
          <w:sz w:val="27"/>
          <w:rtl/>
        </w:rPr>
        <w:t xml:space="preserve"> </w:t>
      </w:r>
      <w:r w:rsidR="00F34FB9" w:rsidRPr="00904FCB">
        <w:rPr>
          <w:rFonts w:hint="cs"/>
          <w:sz w:val="27"/>
          <w:rtl/>
        </w:rPr>
        <w:t>و</w:t>
      </w:r>
      <w:r w:rsidRPr="00904FCB">
        <w:rPr>
          <w:rFonts w:hint="cs"/>
          <w:sz w:val="27"/>
          <w:rtl/>
        </w:rPr>
        <w:t>َ</w:t>
      </w:r>
      <w:r w:rsidR="00F34FB9" w:rsidRPr="00904FCB">
        <w:rPr>
          <w:rFonts w:hint="cs"/>
          <w:sz w:val="27"/>
          <w:rtl/>
        </w:rPr>
        <w:t>ث</w:t>
      </w:r>
      <w:r w:rsidRPr="00904FCB">
        <w:rPr>
          <w:rFonts w:hint="cs"/>
          <w:sz w:val="27"/>
          <w:rtl/>
        </w:rPr>
        <w:t>َ</w:t>
      </w:r>
      <w:r w:rsidR="00F34FB9" w:rsidRPr="00904FCB">
        <w:rPr>
          <w:rFonts w:hint="cs"/>
          <w:sz w:val="27"/>
          <w:rtl/>
        </w:rPr>
        <w:t>ناً</w:t>
      </w:r>
      <w:r w:rsidR="00F34FB9" w:rsidRPr="00904FCB">
        <w:rPr>
          <w:sz w:val="27"/>
          <w:rtl/>
        </w:rPr>
        <w:t xml:space="preserve"> </w:t>
      </w:r>
      <w:r w:rsidR="00F34FB9" w:rsidRPr="00904FCB">
        <w:rPr>
          <w:rFonts w:hint="cs"/>
          <w:sz w:val="27"/>
          <w:rtl/>
        </w:rPr>
        <w:t>ولا</w:t>
      </w:r>
      <w:r w:rsidR="00F34FB9" w:rsidRPr="00904FCB">
        <w:rPr>
          <w:sz w:val="27"/>
          <w:rtl/>
        </w:rPr>
        <w:t xml:space="preserve"> </w:t>
      </w:r>
      <w:r w:rsidR="00F34FB9" w:rsidRPr="00904FCB">
        <w:rPr>
          <w:rFonts w:hint="cs"/>
          <w:sz w:val="27"/>
          <w:rtl/>
        </w:rPr>
        <w:t>ح</w:t>
      </w:r>
      <w:r w:rsidRPr="00904FCB">
        <w:rPr>
          <w:rFonts w:hint="cs"/>
          <w:sz w:val="27"/>
          <w:rtl/>
        </w:rPr>
        <w:t>َ</w:t>
      </w:r>
      <w:r w:rsidR="00F34FB9" w:rsidRPr="00904FCB">
        <w:rPr>
          <w:rFonts w:hint="cs"/>
          <w:sz w:val="27"/>
          <w:rtl/>
        </w:rPr>
        <w:t>ج</w:t>
      </w:r>
      <w:r w:rsidRPr="00904FCB">
        <w:rPr>
          <w:rFonts w:hint="cs"/>
          <w:sz w:val="27"/>
          <w:rtl/>
        </w:rPr>
        <w:t>َ</w:t>
      </w:r>
      <w:r w:rsidR="00F34FB9" w:rsidRPr="00904FCB">
        <w:rPr>
          <w:rFonts w:hint="cs"/>
          <w:sz w:val="27"/>
          <w:rtl/>
        </w:rPr>
        <w:t>راً، ولكنّهم</w:t>
      </w:r>
      <w:r w:rsidR="00F34FB9" w:rsidRPr="00904FCB">
        <w:rPr>
          <w:sz w:val="27"/>
          <w:rtl/>
        </w:rPr>
        <w:t xml:space="preserve"> </w:t>
      </w:r>
      <w:r w:rsidR="00F34FB9" w:rsidRPr="00904FCB">
        <w:rPr>
          <w:rFonts w:hint="cs"/>
          <w:sz w:val="27"/>
          <w:rtl/>
        </w:rPr>
        <w:t>يراؤون</w:t>
      </w:r>
      <w:r w:rsidR="00F34FB9" w:rsidRPr="00904FCB">
        <w:rPr>
          <w:sz w:val="27"/>
          <w:rtl/>
        </w:rPr>
        <w:t xml:space="preserve"> </w:t>
      </w:r>
      <w:r w:rsidR="00F34FB9" w:rsidRPr="00904FCB">
        <w:rPr>
          <w:rFonts w:hint="cs"/>
          <w:sz w:val="27"/>
          <w:rtl/>
        </w:rPr>
        <w:t>بأعمالهم، والرياء</w:t>
      </w:r>
      <w:r w:rsidR="00F34FB9" w:rsidRPr="00904FCB">
        <w:rPr>
          <w:sz w:val="27"/>
          <w:rtl/>
        </w:rPr>
        <w:t xml:space="preserve"> </w:t>
      </w:r>
      <w:r w:rsidR="00F34FB9" w:rsidRPr="00904FCB">
        <w:rPr>
          <w:rFonts w:hint="cs"/>
          <w:sz w:val="27"/>
          <w:rtl/>
        </w:rPr>
        <w:t>هو</w:t>
      </w:r>
      <w:r w:rsidR="00F34FB9" w:rsidRPr="00904FCB">
        <w:rPr>
          <w:sz w:val="27"/>
          <w:rtl/>
        </w:rPr>
        <w:t xml:space="preserve"> </w:t>
      </w:r>
      <w:r w:rsidR="00F34FB9" w:rsidRPr="00904FCB">
        <w:rPr>
          <w:rFonts w:hint="cs"/>
          <w:sz w:val="27"/>
          <w:rtl/>
        </w:rPr>
        <w:t>الش</w:t>
      </w:r>
      <w:r w:rsidRPr="00904FCB">
        <w:rPr>
          <w:rFonts w:hint="cs"/>
          <w:sz w:val="27"/>
          <w:rtl/>
        </w:rPr>
        <w:t>ِّ</w:t>
      </w:r>
      <w:r w:rsidR="00F34FB9" w:rsidRPr="00904FCB">
        <w:rPr>
          <w:rFonts w:hint="cs"/>
          <w:sz w:val="27"/>
          <w:rtl/>
        </w:rPr>
        <w:t>ر</w:t>
      </w:r>
      <w:r w:rsidRPr="00904FCB">
        <w:rPr>
          <w:rFonts w:hint="cs"/>
          <w:sz w:val="27"/>
          <w:rtl/>
        </w:rPr>
        <w:t>ْ</w:t>
      </w:r>
      <w:r w:rsidR="00F34FB9" w:rsidRPr="00904FCB">
        <w:rPr>
          <w:rFonts w:hint="cs"/>
          <w:sz w:val="27"/>
          <w:rtl/>
        </w:rPr>
        <w:t>ك</w:t>
      </w:r>
      <w:r w:rsidR="00857013">
        <w:rPr>
          <w:sz w:val="27"/>
          <w:rtl/>
        </w:rPr>
        <w:t>...، إلخ</w:t>
      </w:r>
      <w:r w:rsidR="00F34FB9" w:rsidRPr="00904FCB">
        <w:rPr>
          <w:rFonts w:hint="eastAsia"/>
          <w:sz w:val="27"/>
          <w:rtl/>
        </w:rPr>
        <w:t>»</w:t>
      </w:r>
      <w:r w:rsidR="00F34FB9" w:rsidRPr="00904FCB">
        <w:rPr>
          <w:rFonts w:hint="cs"/>
          <w:sz w:val="27"/>
          <w:vertAlign w:val="superscript"/>
          <w:rtl/>
        </w:rPr>
        <w:t>(</w:t>
      </w:r>
      <w:r w:rsidR="00F34FB9" w:rsidRPr="00904FCB">
        <w:rPr>
          <w:rStyle w:val="ac"/>
          <w:sz w:val="27"/>
          <w:rtl/>
        </w:rPr>
        <w:endnoteReference w:id="674"/>
      </w:r>
      <w:r w:rsidR="00F34FB9" w:rsidRPr="00904FCB">
        <w:rPr>
          <w:rFonts w:hint="cs"/>
          <w:sz w:val="27"/>
          <w:vertAlign w:val="superscript"/>
          <w:rtl/>
        </w:rPr>
        <w:t>)</w:t>
      </w:r>
      <w:r w:rsidR="00F34FB9" w:rsidRPr="00904FCB">
        <w:rPr>
          <w:rFonts w:hint="cs"/>
          <w:sz w:val="27"/>
          <w:rtl/>
        </w:rPr>
        <w:t xml:space="preserve">. </w:t>
      </w:r>
    </w:p>
    <w:p w:rsidR="00F34FB9" w:rsidRPr="00904FCB" w:rsidRDefault="00FC7726" w:rsidP="00510A75">
      <w:pPr>
        <w:spacing w:line="400" w:lineRule="exact"/>
        <w:rPr>
          <w:sz w:val="27"/>
          <w:rtl/>
        </w:rPr>
      </w:pPr>
      <w:r w:rsidRPr="00904FCB">
        <w:rPr>
          <w:rFonts w:hint="cs"/>
          <w:sz w:val="27"/>
          <w:rtl/>
        </w:rPr>
        <w:t xml:space="preserve">ـ </w:t>
      </w:r>
      <w:r w:rsidR="00F34FB9" w:rsidRPr="00904FCB">
        <w:rPr>
          <w:rFonts w:hint="cs"/>
          <w:sz w:val="27"/>
          <w:rtl/>
        </w:rPr>
        <w:t>و</w:t>
      </w:r>
      <w:r w:rsidRPr="00904FCB">
        <w:rPr>
          <w:rFonts w:hint="cs"/>
          <w:sz w:val="27"/>
          <w:rtl/>
        </w:rPr>
        <w:t xml:space="preserve">في </w:t>
      </w:r>
      <w:r w:rsidR="00F34FB9" w:rsidRPr="00904FCB">
        <w:rPr>
          <w:rFonts w:hint="cs"/>
          <w:sz w:val="27"/>
          <w:rtl/>
        </w:rPr>
        <w:t>خبر</w:t>
      </w:r>
      <w:r w:rsidR="00F34FB9" w:rsidRPr="00904FCB">
        <w:rPr>
          <w:sz w:val="27"/>
          <w:rtl/>
        </w:rPr>
        <w:t xml:space="preserve"> </w:t>
      </w:r>
      <w:r w:rsidR="00F34FB9" w:rsidRPr="00904FCB">
        <w:rPr>
          <w:rFonts w:hint="cs"/>
          <w:sz w:val="27"/>
          <w:rtl/>
        </w:rPr>
        <w:t>مسعدة</w:t>
      </w:r>
      <w:r w:rsidR="00F34FB9" w:rsidRPr="00904FCB">
        <w:rPr>
          <w:sz w:val="27"/>
          <w:rtl/>
        </w:rPr>
        <w:t xml:space="preserve"> </w:t>
      </w:r>
      <w:r w:rsidR="00F34FB9" w:rsidRPr="00904FCB">
        <w:rPr>
          <w:rFonts w:hint="cs"/>
          <w:sz w:val="27"/>
          <w:rtl/>
        </w:rPr>
        <w:t>بن</w:t>
      </w:r>
      <w:r w:rsidR="00F34FB9" w:rsidRPr="00904FCB">
        <w:rPr>
          <w:sz w:val="27"/>
          <w:rtl/>
        </w:rPr>
        <w:t xml:space="preserve"> </w:t>
      </w:r>
      <w:r w:rsidR="00F34FB9" w:rsidRPr="00904FCB">
        <w:rPr>
          <w:rFonts w:hint="cs"/>
          <w:sz w:val="27"/>
          <w:rtl/>
        </w:rPr>
        <w:t>زياد، عن</w:t>
      </w:r>
      <w:r w:rsidR="00F34FB9" w:rsidRPr="00904FCB">
        <w:rPr>
          <w:sz w:val="27"/>
          <w:rtl/>
        </w:rPr>
        <w:t xml:space="preserve"> </w:t>
      </w:r>
      <w:r w:rsidR="00F34FB9" w:rsidRPr="00904FCB">
        <w:rPr>
          <w:rFonts w:hint="cs"/>
          <w:sz w:val="27"/>
          <w:rtl/>
        </w:rPr>
        <w:t>جعفر</w:t>
      </w:r>
      <w:r w:rsidR="00F34FB9" w:rsidRPr="00904FCB">
        <w:rPr>
          <w:sz w:val="27"/>
          <w:rtl/>
        </w:rPr>
        <w:t xml:space="preserve"> </w:t>
      </w:r>
      <w:r w:rsidR="00F34FB9" w:rsidRPr="00904FCB">
        <w:rPr>
          <w:rFonts w:hint="cs"/>
          <w:sz w:val="27"/>
          <w:rtl/>
        </w:rPr>
        <w:t>بن</w:t>
      </w:r>
      <w:r w:rsidR="00F34FB9" w:rsidRPr="00904FCB">
        <w:rPr>
          <w:sz w:val="27"/>
          <w:rtl/>
        </w:rPr>
        <w:t xml:space="preserve"> </w:t>
      </w:r>
      <w:r w:rsidR="00F34FB9" w:rsidRPr="00904FCB">
        <w:rPr>
          <w:rFonts w:hint="cs"/>
          <w:sz w:val="27"/>
          <w:rtl/>
        </w:rPr>
        <w:t>محمّد، عن</w:t>
      </w:r>
      <w:r w:rsidR="00F34FB9" w:rsidRPr="00904FCB">
        <w:rPr>
          <w:sz w:val="27"/>
          <w:rtl/>
        </w:rPr>
        <w:t xml:space="preserve"> </w:t>
      </w:r>
      <w:r w:rsidR="00F34FB9" w:rsidRPr="00904FCB">
        <w:rPr>
          <w:rFonts w:hint="cs"/>
          <w:sz w:val="27"/>
          <w:rtl/>
        </w:rPr>
        <w:t>أبيه، عن</w:t>
      </w:r>
      <w:r w:rsidR="00F34FB9" w:rsidRPr="00904FCB">
        <w:rPr>
          <w:sz w:val="27"/>
          <w:rtl/>
        </w:rPr>
        <w:t xml:space="preserve"> </w:t>
      </w:r>
      <w:r w:rsidR="00F34FB9" w:rsidRPr="00904FCB">
        <w:rPr>
          <w:rFonts w:hint="cs"/>
          <w:sz w:val="27"/>
          <w:rtl/>
        </w:rPr>
        <w:t>آبائه</w:t>
      </w:r>
      <w:r w:rsidR="00510A75" w:rsidRPr="00904FCB">
        <w:rPr>
          <w:rFonts w:ascii="Mosawi" w:hAnsi="Mosawi" w:cs="Mosawi"/>
          <w:sz w:val="27"/>
          <w:rtl/>
        </w:rPr>
        <w:t>^</w:t>
      </w:r>
      <w:r w:rsidR="00F34FB9" w:rsidRPr="00904FCB">
        <w:rPr>
          <w:sz w:val="27"/>
          <w:rtl/>
        </w:rPr>
        <w:t xml:space="preserve">: </w:t>
      </w:r>
      <w:r w:rsidR="00F34FB9" w:rsidRPr="00904FCB">
        <w:rPr>
          <w:rFonts w:hint="eastAsia"/>
          <w:sz w:val="27"/>
          <w:rtl/>
        </w:rPr>
        <w:t>«</w:t>
      </w:r>
      <w:r w:rsidR="00F34FB9" w:rsidRPr="00904FCB">
        <w:rPr>
          <w:rFonts w:hint="cs"/>
          <w:sz w:val="27"/>
          <w:rtl/>
        </w:rPr>
        <w:t>إنّ</w:t>
      </w:r>
      <w:r w:rsidR="00F34FB9" w:rsidRPr="00904FCB">
        <w:rPr>
          <w:sz w:val="27"/>
          <w:rtl/>
        </w:rPr>
        <w:t xml:space="preserve"> </w:t>
      </w:r>
      <w:r w:rsidR="00F34FB9" w:rsidRPr="00904FCB">
        <w:rPr>
          <w:rFonts w:hint="cs"/>
          <w:sz w:val="27"/>
          <w:rtl/>
        </w:rPr>
        <w:t>رسول</w:t>
      </w:r>
      <w:r w:rsidR="00F34FB9" w:rsidRPr="00904FCB">
        <w:rPr>
          <w:sz w:val="27"/>
          <w:rtl/>
        </w:rPr>
        <w:t xml:space="preserve"> </w:t>
      </w:r>
      <w:r w:rsidR="00F34FB9" w:rsidRPr="00904FCB">
        <w:rPr>
          <w:rFonts w:hint="cs"/>
          <w:sz w:val="27"/>
          <w:rtl/>
        </w:rPr>
        <w:t>الله</w:t>
      </w:r>
      <w:r w:rsidR="00635E51" w:rsidRPr="00904FCB">
        <w:rPr>
          <w:rFonts w:cs="Mosawi"/>
          <w:sz w:val="27"/>
          <w:szCs w:val="22"/>
          <w:rtl/>
        </w:rPr>
        <w:t>|</w:t>
      </w:r>
      <w:r w:rsidR="00F34FB9" w:rsidRPr="00904FCB">
        <w:rPr>
          <w:sz w:val="27"/>
          <w:rtl/>
        </w:rPr>
        <w:t xml:space="preserve"> </w:t>
      </w:r>
      <w:r w:rsidR="00F34FB9" w:rsidRPr="00904FCB">
        <w:rPr>
          <w:rFonts w:hint="cs"/>
          <w:sz w:val="27"/>
          <w:rtl/>
        </w:rPr>
        <w:t>س</w:t>
      </w:r>
      <w:r w:rsidRPr="00904FCB">
        <w:rPr>
          <w:rFonts w:hint="cs"/>
          <w:sz w:val="27"/>
          <w:rtl/>
        </w:rPr>
        <w:t>ُ</w:t>
      </w:r>
      <w:r w:rsidR="00F34FB9" w:rsidRPr="00904FCB">
        <w:rPr>
          <w:rFonts w:hint="cs"/>
          <w:sz w:val="27"/>
          <w:rtl/>
        </w:rPr>
        <w:t>ئل</w:t>
      </w:r>
      <w:r w:rsidR="00F34FB9" w:rsidRPr="00904FCB">
        <w:rPr>
          <w:sz w:val="27"/>
          <w:rtl/>
        </w:rPr>
        <w:t xml:space="preserve">: </w:t>
      </w:r>
      <w:r w:rsidR="00F34FB9" w:rsidRPr="00904FCB">
        <w:rPr>
          <w:rFonts w:hint="cs"/>
          <w:sz w:val="27"/>
          <w:rtl/>
        </w:rPr>
        <w:t>فيم</w:t>
      </w:r>
      <w:r w:rsidRPr="00904FCB">
        <w:rPr>
          <w:rFonts w:hint="cs"/>
          <w:sz w:val="27"/>
          <w:rtl/>
        </w:rPr>
        <w:t>َ</w:t>
      </w:r>
      <w:r w:rsidR="00F34FB9" w:rsidRPr="00904FCB">
        <w:rPr>
          <w:sz w:val="27"/>
          <w:rtl/>
        </w:rPr>
        <w:t xml:space="preserve"> </w:t>
      </w:r>
      <w:r w:rsidR="00F34FB9" w:rsidRPr="00904FCB">
        <w:rPr>
          <w:rFonts w:hint="cs"/>
          <w:sz w:val="27"/>
          <w:rtl/>
        </w:rPr>
        <w:t>النجاة</w:t>
      </w:r>
      <w:r w:rsidR="00F34FB9" w:rsidRPr="00904FCB">
        <w:rPr>
          <w:sz w:val="27"/>
          <w:rtl/>
        </w:rPr>
        <w:t xml:space="preserve"> </w:t>
      </w:r>
      <w:r w:rsidR="00F34FB9" w:rsidRPr="00904FCB">
        <w:rPr>
          <w:rFonts w:hint="cs"/>
          <w:sz w:val="27"/>
          <w:rtl/>
        </w:rPr>
        <w:t xml:space="preserve">غداً؟ </w:t>
      </w:r>
      <w:r w:rsidR="00F34FB9" w:rsidRPr="00904FCB">
        <w:rPr>
          <w:sz w:val="27"/>
          <w:rtl/>
        </w:rPr>
        <w:t>[</w:t>
      </w:r>
      <w:r w:rsidR="00F34FB9" w:rsidRPr="00904FCB">
        <w:rPr>
          <w:rFonts w:hint="cs"/>
          <w:sz w:val="27"/>
          <w:rtl/>
        </w:rPr>
        <w:t>إلى</w:t>
      </w:r>
      <w:r w:rsidR="00F34FB9" w:rsidRPr="00904FCB">
        <w:rPr>
          <w:sz w:val="27"/>
          <w:rtl/>
        </w:rPr>
        <w:t xml:space="preserve"> </w:t>
      </w:r>
      <w:r w:rsidR="00F34FB9" w:rsidRPr="00904FCB">
        <w:rPr>
          <w:rFonts w:hint="cs"/>
          <w:sz w:val="27"/>
          <w:rtl/>
        </w:rPr>
        <w:t>أن</w:t>
      </w:r>
      <w:r w:rsidR="00F34FB9" w:rsidRPr="00904FCB">
        <w:rPr>
          <w:sz w:val="27"/>
          <w:rtl/>
        </w:rPr>
        <w:t xml:space="preserve"> </w:t>
      </w:r>
      <w:r w:rsidR="00F34FB9" w:rsidRPr="00904FCB">
        <w:rPr>
          <w:rFonts w:hint="cs"/>
          <w:sz w:val="27"/>
          <w:rtl/>
        </w:rPr>
        <w:t>قال</w:t>
      </w:r>
      <w:r w:rsidRPr="00904FCB">
        <w:rPr>
          <w:rFonts w:hint="cs"/>
          <w:sz w:val="27"/>
          <w:rtl/>
        </w:rPr>
        <w:t>:</w:t>
      </w:r>
      <w:r w:rsidR="00F34FB9" w:rsidRPr="00904FCB">
        <w:rPr>
          <w:sz w:val="27"/>
          <w:rtl/>
        </w:rPr>
        <w:t>] ..</w:t>
      </w:r>
      <w:r w:rsidRPr="00904FCB">
        <w:rPr>
          <w:sz w:val="27"/>
          <w:rtl/>
        </w:rPr>
        <w:t>.</w:t>
      </w:r>
      <w:r w:rsidR="00F34FB9" w:rsidRPr="00904FCB">
        <w:rPr>
          <w:rFonts w:hint="cs"/>
          <w:sz w:val="27"/>
          <w:rtl/>
        </w:rPr>
        <w:t>فاتقوا</w:t>
      </w:r>
      <w:r w:rsidR="00F34FB9" w:rsidRPr="00904FCB">
        <w:rPr>
          <w:sz w:val="27"/>
          <w:rtl/>
        </w:rPr>
        <w:t xml:space="preserve"> </w:t>
      </w:r>
      <w:r w:rsidR="00F34FB9" w:rsidRPr="00904FCB">
        <w:rPr>
          <w:rFonts w:hint="cs"/>
          <w:sz w:val="27"/>
          <w:rtl/>
        </w:rPr>
        <w:t>الله</w:t>
      </w:r>
      <w:r w:rsidR="00F34FB9" w:rsidRPr="00904FCB">
        <w:rPr>
          <w:sz w:val="27"/>
          <w:rtl/>
        </w:rPr>
        <w:t xml:space="preserve"> </w:t>
      </w:r>
      <w:r w:rsidR="00F34FB9" w:rsidRPr="00904FCB">
        <w:rPr>
          <w:rFonts w:hint="cs"/>
          <w:sz w:val="27"/>
          <w:rtl/>
        </w:rPr>
        <w:t>في</w:t>
      </w:r>
      <w:r w:rsidR="00F34FB9" w:rsidRPr="00904FCB">
        <w:rPr>
          <w:sz w:val="27"/>
          <w:rtl/>
        </w:rPr>
        <w:t xml:space="preserve"> </w:t>
      </w:r>
      <w:r w:rsidR="00F34FB9" w:rsidRPr="00904FCB">
        <w:rPr>
          <w:rFonts w:hint="cs"/>
          <w:sz w:val="27"/>
          <w:rtl/>
        </w:rPr>
        <w:t>الر</w:t>
      </w:r>
      <w:r w:rsidRPr="00904FCB">
        <w:rPr>
          <w:rFonts w:hint="cs"/>
          <w:sz w:val="27"/>
          <w:rtl/>
        </w:rPr>
        <w:t>ِّ</w:t>
      </w:r>
      <w:r w:rsidR="00F34FB9" w:rsidRPr="00904FCB">
        <w:rPr>
          <w:rFonts w:hint="cs"/>
          <w:sz w:val="27"/>
          <w:rtl/>
        </w:rPr>
        <w:t>ياء؛ فإنّه</w:t>
      </w:r>
      <w:r w:rsidR="00F34FB9" w:rsidRPr="00904FCB">
        <w:rPr>
          <w:sz w:val="27"/>
          <w:rtl/>
        </w:rPr>
        <w:t xml:space="preserve"> </w:t>
      </w:r>
      <w:r w:rsidR="00F34FB9" w:rsidRPr="00904FCB">
        <w:rPr>
          <w:rFonts w:hint="cs"/>
          <w:sz w:val="27"/>
          <w:rtl/>
        </w:rPr>
        <w:t>الشرك</w:t>
      </w:r>
      <w:r w:rsidR="00F34FB9" w:rsidRPr="00904FCB">
        <w:rPr>
          <w:sz w:val="27"/>
          <w:rtl/>
        </w:rPr>
        <w:t xml:space="preserve"> </w:t>
      </w:r>
      <w:r w:rsidR="00F34FB9" w:rsidRPr="00904FCB">
        <w:rPr>
          <w:rFonts w:hint="cs"/>
          <w:sz w:val="27"/>
          <w:rtl/>
        </w:rPr>
        <w:t>بالله</w:t>
      </w:r>
      <w:r w:rsidRPr="00904FCB">
        <w:rPr>
          <w:rFonts w:hint="cs"/>
          <w:sz w:val="27"/>
          <w:rtl/>
        </w:rPr>
        <w:t>.</w:t>
      </w:r>
      <w:r w:rsidR="00F34FB9" w:rsidRPr="00904FCB">
        <w:rPr>
          <w:rFonts w:hint="cs"/>
          <w:sz w:val="27"/>
          <w:rtl/>
        </w:rPr>
        <w:t xml:space="preserve"> إنّ</w:t>
      </w:r>
      <w:r w:rsidR="00F34FB9" w:rsidRPr="00904FCB">
        <w:rPr>
          <w:sz w:val="27"/>
          <w:rtl/>
        </w:rPr>
        <w:t xml:space="preserve"> </w:t>
      </w:r>
      <w:r w:rsidR="00F34FB9" w:rsidRPr="00904FCB">
        <w:rPr>
          <w:rFonts w:hint="cs"/>
          <w:sz w:val="27"/>
          <w:rtl/>
        </w:rPr>
        <w:t>المرائي</w:t>
      </w:r>
      <w:r w:rsidR="00F34FB9" w:rsidRPr="00904FCB">
        <w:rPr>
          <w:sz w:val="27"/>
          <w:rtl/>
        </w:rPr>
        <w:t xml:space="preserve"> </w:t>
      </w:r>
      <w:r w:rsidR="00F34FB9" w:rsidRPr="00904FCB">
        <w:rPr>
          <w:rFonts w:hint="cs"/>
          <w:sz w:val="27"/>
          <w:rtl/>
        </w:rPr>
        <w:t>ي</w:t>
      </w:r>
      <w:r w:rsidRPr="00904FCB">
        <w:rPr>
          <w:rFonts w:hint="cs"/>
          <w:sz w:val="27"/>
          <w:rtl/>
        </w:rPr>
        <w:t>ُ</w:t>
      </w:r>
      <w:r w:rsidR="00F34FB9" w:rsidRPr="00904FCB">
        <w:rPr>
          <w:rFonts w:hint="cs"/>
          <w:sz w:val="27"/>
          <w:rtl/>
        </w:rPr>
        <w:t>دعى</w:t>
      </w:r>
      <w:r w:rsidR="00F34FB9" w:rsidRPr="00904FCB">
        <w:rPr>
          <w:sz w:val="27"/>
          <w:rtl/>
        </w:rPr>
        <w:t xml:space="preserve"> </w:t>
      </w:r>
      <w:r w:rsidR="00F34FB9" w:rsidRPr="00904FCB">
        <w:rPr>
          <w:rFonts w:hint="cs"/>
          <w:sz w:val="27"/>
          <w:rtl/>
        </w:rPr>
        <w:t>يوم</w:t>
      </w:r>
      <w:r w:rsidR="00F34FB9" w:rsidRPr="00904FCB">
        <w:rPr>
          <w:sz w:val="27"/>
          <w:rtl/>
        </w:rPr>
        <w:t xml:space="preserve"> </w:t>
      </w:r>
      <w:r w:rsidR="00F34FB9" w:rsidRPr="00904FCB">
        <w:rPr>
          <w:rFonts w:hint="cs"/>
          <w:sz w:val="27"/>
          <w:rtl/>
        </w:rPr>
        <w:t>القيامة</w:t>
      </w:r>
      <w:r w:rsidR="00F34FB9" w:rsidRPr="00904FCB">
        <w:rPr>
          <w:sz w:val="27"/>
          <w:rtl/>
        </w:rPr>
        <w:t xml:space="preserve"> </w:t>
      </w:r>
      <w:r w:rsidR="00F34FB9" w:rsidRPr="00904FCB">
        <w:rPr>
          <w:rFonts w:hint="cs"/>
          <w:sz w:val="27"/>
          <w:rtl/>
        </w:rPr>
        <w:t>بأربعة</w:t>
      </w:r>
      <w:r w:rsidR="00F34FB9" w:rsidRPr="00904FCB">
        <w:rPr>
          <w:sz w:val="27"/>
          <w:rtl/>
        </w:rPr>
        <w:t xml:space="preserve"> </w:t>
      </w:r>
      <w:r w:rsidR="00F34FB9" w:rsidRPr="00904FCB">
        <w:rPr>
          <w:rFonts w:hint="cs"/>
          <w:sz w:val="27"/>
          <w:rtl/>
        </w:rPr>
        <w:t>أسماء</w:t>
      </w:r>
      <w:r w:rsidR="00F34FB9" w:rsidRPr="00904FCB">
        <w:rPr>
          <w:sz w:val="27"/>
          <w:rtl/>
        </w:rPr>
        <w:t xml:space="preserve">: </w:t>
      </w:r>
      <w:r w:rsidR="00F34FB9" w:rsidRPr="00904FCB">
        <w:rPr>
          <w:rFonts w:hint="cs"/>
          <w:sz w:val="27"/>
          <w:rtl/>
        </w:rPr>
        <w:t>يا</w:t>
      </w:r>
      <w:r w:rsidR="00F34FB9" w:rsidRPr="00904FCB">
        <w:rPr>
          <w:sz w:val="27"/>
          <w:rtl/>
        </w:rPr>
        <w:t xml:space="preserve"> </w:t>
      </w:r>
      <w:r w:rsidR="00F34FB9" w:rsidRPr="00904FCB">
        <w:rPr>
          <w:rFonts w:hint="cs"/>
          <w:sz w:val="27"/>
          <w:rtl/>
        </w:rPr>
        <w:t>كافر، يا</w:t>
      </w:r>
      <w:r w:rsidR="00F34FB9" w:rsidRPr="00904FCB">
        <w:rPr>
          <w:sz w:val="27"/>
          <w:rtl/>
        </w:rPr>
        <w:t xml:space="preserve"> </w:t>
      </w:r>
      <w:r w:rsidR="00F34FB9" w:rsidRPr="00904FCB">
        <w:rPr>
          <w:rFonts w:hint="cs"/>
          <w:sz w:val="27"/>
          <w:rtl/>
        </w:rPr>
        <w:t>فاجر، يا</w:t>
      </w:r>
      <w:r w:rsidR="00F34FB9" w:rsidRPr="00904FCB">
        <w:rPr>
          <w:sz w:val="27"/>
          <w:rtl/>
        </w:rPr>
        <w:t xml:space="preserve"> </w:t>
      </w:r>
      <w:r w:rsidR="00F34FB9" w:rsidRPr="00904FCB">
        <w:rPr>
          <w:rFonts w:hint="cs"/>
          <w:sz w:val="27"/>
          <w:rtl/>
        </w:rPr>
        <w:t>غادر، يا</w:t>
      </w:r>
      <w:r w:rsidR="00F34FB9" w:rsidRPr="00904FCB">
        <w:rPr>
          <w:sz w:val="27"/>
          <w:rtl/>
        </w:rPr>
        <w:t xml:space="preserve"> </w:t>
      </w:r>
      <w:r w:rsidR="00F34FB9" w:rsidRPr="00904FCB">
        <w:rPr>
          <w:rFonts w:hint="cs"/>
          <w:sz w:val="27"/>
          <w:rtl/>
        </w:rPr>
        <w:t>خاسر، حبط</w:t>
      </w:r>
      <w:r w:rsidR="00F34FB9" w:rsidRPr="00904FCB">
        <w:rPr>
          <w:sz w:val="27"/>
          <w:rtl/>
        </w:rPr>
        <w:t xml:space="preserve"> </w:t>
      </w:r>
      <w:r w:rsidR="00F34FB9" w:rsidRPr="00904FCB">
        <w:rPr>
          <w:rFonts w:hint="cs"/>
          <w:sz w:val="27"/>
          <w:rtl/>
        </w:rPr>
        <w:t>عملك، وبطل</w:t>
      </w:r>
      <w:r w:rsidR="00F34FB9" w:rsidRPr="00904FCB">
        <w:rPr>
          <w:sz w:val="27"/>
          <w:rtl/>
        </w:rPr>
        <w:t xml:space="preserve"> </w:t>
      </w:r>
      <w:r w:rsidR="00F34FB9" w:rsidRPr="00904FCB">
        <w:rPr>
          <w:rFonts w:hint="cs"/>
          <w:sz w:val="27"/>
          <w:rtl/>
        </w:rPr>
        <w:t>أجرك، فلا</w:t>
      </w:r>
      <w:r w:rsidR="00F34FB9" w:rsidRPr="00904FCB">
        <w:rPr>
          <w:sz w:val="27"/>
          <w:rtl/>
        </w:rPr>
        <w:t xml:space="preserve"> </w:t>
      </w:r>
      <w:r w:rsidR="00F34FB9" w:rsidRPr="00904FCB">
        <w:rPr>
          <w:rFonts w:hint="cs"/>
          <w:sz w:val="27"/>
          <w:rtl/>
        </w:rPr>
        <w:t>خلاص</w:t>
      </w:r>
      <w:r w:rsidR="00F34FB9" w:rsidRPr="00904FCB">
        <w:rPr>
          <w:sz w:val="27"/>
          <w:rtl/>
        </w:rPr>
        <w:t xml:space="preserve"> </w:t>
      </w:r>
      <w:r w:rsidR="00F34FB9" w:rsidRPr="00904FCB">
        <w:rPr>
          <w:rFonts w:hint="cs"/>
          <w:sz w:val="27"/>
          <w:rtl/>
        </w:rPr>
        <w:t>لك</w:t>
      </w:r>
      <w:r w:rsidR="00F34FB9" w:rsidRPr="00904FCB">
        <w:rPr>
          <w:sz w:val="27"/>
          <w:rtl/>
        </w:rPr>
        <w:t xml:space="preserve"> </w:t>
      </w:r>
      <w:r w:rsidR="00F34FB9" w:rsidRPr="00904FCB">
        <w:rPr>
          <w:rFonts w:hint="cs"/>
          <w:sz w:val="27"/>
          <w:rtl/>
        </w:rPr>
        <w:t>اليوم، فالتمس</w:t>
      </w:r>
      <w:r w:rsidR="00F34FB9" w:rsidRPr="00904FCB">
        <w:rPr>
          <w:sz w:val="27"/>
          <w:rtl/>
        </w:rPr>
        <w:t xml:space="preserve"> </w:t>
      </w:r>
      <w:r w:rsidR="00F34FB9" w:rsidRPr="00904FCB">
        <w:rPr>
          <w:rFonts w:hint="cs"/>
          <w:sz w:val="27"/>
          <w:rtl/>
        </w:rPr>
        <w:t>أجرك</w:t>
      </w:r>
      <w:r w:rsidR="00F34FB9" w:rsidRPr="00904FCB">
        <w:rPr>
          <w:sz w:val="27"/>
          <w:rtl/>
        </w:rPr>
        <w:t xml:space="preserve"> </w:t>
      </w:r>
      <w:r w:rsidR="00F34FB9" w:rsidRPr="00904FCB">
        <w:rPr>
          <w:rFonts w:hint="cs"/>
          <w:sz w:val="27"/>
          <w:rtl/>
        </w:rPr>
        <w:t>ممّ</w:t>
      </w:r>
      <w:r w:rsidRPr="00904FCB">
        <w:rPr>
          <w:rFonts w:hint="cs"/>
          <w:sz w:val="27"/>
          <w:rtl/>
        </w:rPr>
        <w:t>َ</w:t>
      </w:r>
      <w:r w:rsidR="00F34FB9" w:rsidRPr="00904FCB">
        <w:rPr>
          <w:rFonts w:hint="cs"/>
          <w:sz w:val="27"/>
          <w:rtl/>
        </w:rPr>
        <w:t>ن</w:t>
      </w:r>
      <w:r w:rsidRPr="00904FCB">
        <w:rPr>
          <w:rFonts w:hint="cs"/>
          <w:sz w:val="27"/>
          <w:rtl/>
        </w:rPr>
        <w:t>ْ</w:t>
      </w:r>
      <w:r w:rsidR="00F34FB9" w:rsidRPr="00904FCB">
        <w:rPr>
          <w:sz w:val="27"/>
          <w:rtl/>
        </w:rPr>
        <w:t xml:space="preserve"> </w:t>
      </w:r>
      <w:r w:rsidR="00F34FB9" w:rsidRPr="00904FCB">
        <w:rPr>
          <w:rFonts w:hint="cs"/>
          <w:sz w:val="27"/>
          <w:rtl/>
        </w:rPr>
        <w:t>كنت</w:t>
      </w:r>
      <w:r w:rsidR="00F34FB9" w:rsidRPr="00904FCB">
        <w:rPr>
          <w:sz w:val="27"/>
          <w:rtl/>
        </w:rPr>
        <w:t xml:space="preserve"> </w:t>
      </w:r>
      <w:r w:rsidR="00F34FB9" w:rsidRPr="00904FCB">
        <w:rPr>
          <w:rFonts w:hint="cs"/>
          <w:sz w:val="27"/>
          <w:rtl/>
        </w:rPr>
        <w:t>تعمل</w:t>
      </w:r>
      <w:r w:rsidR="00F34FB9" w:rsidRPr="00904FCB">
        <w:rPr>
          <w:sz w:val="27"/>
          <w:rtl/>
        </w:rPr>
        <w:t xml:space="preserve"> </w:t>
      </w:r>
      <w:r w:rsidR="00F34FB9" w:rsidRPr="00904FCB">
        <w:rPr>
          <w:rFonts w:hint="cs"/>
          <w:sz w:val="27"/>
          <w:rtl/>
        </w:rPr>
        <w:t>له</w:t>
      </w:r>
      <w:r w:rsidR="00F34FB9" w:rsidRPr="00904FCB">
        <w:rPr>
          <w:rFonts w:hint="eastAsia"/>
          <w:sz w:val="27"/>
          <w:rtl/>
        </w:rPr>
        <w:t>»</w:t>
      </w:r>
      <w:r w:rsidR="00F34FB9" w:rsidRPr="00904FCB">
        <w:rPr>
          <w:rFonts w:hint="cs"/>
          <w:sz w:val="27"/>
          <w:vertAlign w:val="superscript"/>
          <w:rtl/>
        </w:rPr>
        <w:t>(</w:t>
      </w:r>
      <w:r w:rsidR="00F34FB9" w:rsidRPr="00904FCB">
        <w:rPr>
          <w:rStyle w:val="ac"/>
          <w:sz w:val="27"/>
          <w:rtl/>
        </w:rPr>
        <w:endnoteReference w:id="675"/>
      </w:r>
      <w:r w:rsidR="00F34FB9" w:rsidRPr="00904FCB">
        <w:rPr>
          <w:rFonts w:hint="cs"/>
          <w:sz w:val="27"/>
          <w:vertAlign w:val="superscript"/>
          <w:rtl/>
        </w:rPr>
        <w:t>)</w:t>
      </w:r>
      <w:r w:rsidR="00F34FB9"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وعن</w:t>
      </w:r>
      <w:r w:rsidRPr="00904FCB">
        <w:rPr>
          <w:sz w:val="27"/>
          <w:rtl/>
        </w:rPr>
        <w:t xml:space="preserve"> </w:t>
      </w:r>
      <w:r w:rsidRPr="00904FCB">
        <w:rPr>
          <w:rFonts w:hint="cs"/>
          <w:sz w:val="27"/>
          <w:rtl/>
        </w:rPr>
        <w:t>الشهيد</w:t>
      </w:r>
      <w:r w:rsidRPr="00904FCB">
        <w:rPr>
          <w:sz w:val="27"/>
          <w:rtl/>
        </w:rPr>
        <w:t xml:space="preserve"> </w:t>
      </w:r>
      <w:r w:rsidRPr="00904FCB">
        <w:rPr>
          <w:rFonts w:hint="cs"/>
          <w:sz w:val="27"/>
          <w:rtl/>
        </w:rPr>
        <w:t>الثاني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منية</w:t>
      </w:r>
      <w:r w:rsidRPr="00904FCB">
        <w:rPr>
          <w:sz w:val="27"/>
          <w:rtl/>
        </w:rPr>
        <w:t xml:space="preserve"> </w:t>
      </w:r>
      <w:r w:rsidRPr="00904FCB">
        <w:rPr>
          <w:rFonts w:hint="cs"/>
          <w:sz w:val="27"/>
          <w:rtl/>
        </w:rPr>
        <w:t>المريد</w:t>
      </w:r>
      <w:r w:rsidRPr="00904FCB">
        <w:rPr>
          <w:sz w:val="27"/>
          <w:rtl/>
        </w:rPr>
        <w:t xml:space="preserve">: </w:t>
      </w:r>
      <w:r w:rsidRPr="00904FCB">
        <w:rPr>
          <w:rFonts w:hint="eastAsia"/>
          <w:sz w:val="27"/>
          <w:rtl/>
        </w:rPr>
        <w:t>«</w:t>
      </w:r>
      <w:r w:rsidRPr="00904FCB">
        <w:rPr>
          <w:rFonts w:hint="cs"/>
          <w:sz w:val="27"/>
          <w:rtl/>
        </w:rPr>
        <w:t>قال</w:t>
      </w:r>
      <w:r w:rsidRPr="00904FCB">
        <w:rPr>
          <w:sz w:val="27"/>
          <w:rtl/>
        </w:rPr>
        <w:t xml:space="preserve"> </w:t>
      </w:r>
      <w:r w:rsidRPr="00904FCB">
        <w:rPr>
          <w:rFonts w:hint="cs"/>
          <w:sz w:val="27"/>
          <w:rtl/>
        </w:rPr>
        <w:t>رسول</w:t>
      </w:r>
      <w:r w:rsidRPr="00904FCB">
        <w:rPr>
          <w:sz w:val="27"/>
          <w:rtl/>
        </w:rPr>
        <w:t xml:space="preserve"> </w:t>
      </w:r>
      <w:r w:rsidRPr="00904FCB">
        <w:rPr>
          <w:rFonts w:hint="cs"/>
          <w:sz w:val="27"/>
          <w:rtl/>
        </w:rPr>
        <w:t>الله</w:t>
      </w:r>
      <w:r w:rsidR="00635E51" w:rsidRPr="00904FCB">
        <w:rPr>
          <w:rFonts w:cs="Mosawi"/>
          <w:sz w:val="27"/>
          <w:szCs w:val="22"/>
          <w:rtl/>
        </w:rPr>
        <w:t>|</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أخوف</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أخاف</w:t>
      </w:r>
      <w:r w:rsidRPr="00904FCB">
        <w:rPr>
          <w:sz w:val="27"/>
          <w:rtl/>
        </w:rPr>
        <w:t xml:space="preserve"> </w:t>
      </w:r>
      <w:r w:rsidRPr="00904FCB">
        <w:rPr>
          <w:rFonts w:hint="cs"/>
          <w:sz w:val="27"/>
          <w:rtl/>
        </w:rPr>
        <w:lastRenderedPageBreak/>
        <w:t>عليكم</w:t>
      </w:r>
      <w:r w:rsidRPr="00904FCB">
        <w:rPr>
          <w:sz w:val="27"/>
          <w:rtl/>
        </w:rPr>
        <w:t xml:space="preserve"> </w:t>
      </w:r>
      <w:r w:rsidRPr="00904FCB">
        <w:rPr>
          <w:rFonts w:hint="cs"/>
          <w:sz w:val="27"/>
          <w:rtl/>
        </w:rPr>
        <w:t>الش</w:t>
      </w:r>
      <w:r w:rsidR="00B26FF9" w:rsidRPr="00904FCB">
        <w:rPr>
          <w:rFonts w:hint="cs"/>
          <w:sz w:val="27"/>
          <w:rtl/>
        </w:rPr>
        <w:t>ِّ</w:t>
      </w:r>
      <w:r w:rsidRPr="00904FCB">
        <w:rPr>
          <w:rFonts w:hint="cs"/>
          <w:sz w:val="27"/>
          <w:rtl/>
        </w:rPr>
        <w:t>ر</w:t>
      </w:r>
      <w:r w:rsidR="00B26FF9" w:rsidRPr="00904FCB">
        <w:rPr>
          <w:rFonts w:hint="cs"/>
          <w:sz w:val="27"/>
          <w:rtl/>
        </w:rPr>
        <w:t>ْ</w:t>
      </w:r>
      <w:r w:rsidRPr="00904FCB">
        <w:rPr>
          <w:rFonts w:hint="cs"/>
          <w:sz w:val="27"/>
          <w:rtl/>
        </w:rPr>
        <w:t>ك</w:t>
      </w:r>
      <w:r w:rsidRPr="00904FCB">
        <w:rPr>
          <w:sz w:val="27"/>
          <w:rtl/>
        </w:rPr>
        <w:t xml:space="preserve"> </w:t>
      </w:r>
      <w:r w:rsidRPr="00904FCB">
        <w:rPr>
          <w:rFonts w:hint="cs"/>
          <w:sz w:val="27"/>
          <w:rtl/>
        </w:rPr>
        <w:t>الأصغر، قيل</w:t>
      </w:r>
      <w:r w:rsidRPr="00904FCB">
        <w:rPr>
          <w:sz w:val="27"/>
          <w:rtl/>
        </w:rPr>
        <w:t xml:space="preserve">: </w:t>
      </w:r>
      <w:r w:rsidRPr="00904FCB">
        <w:rPr>
          <w:rFonts w:hint="cs"/>
          <w:sz w:val="27"/>
          <w:rtl/>
        </w:rPr>
        <w:t>وما</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الأصغر؟ قال</w:t>
      </w:r>
      <w:r w:rsidRPr="00904FCB">
        <w:rPr>
          <w:sz w:val="27"/>
          <w:rtl/>
        </w:rPr>
        <w:t xml:space="preserve">: </w:t>
      </w:r>
      <w:r w:rsidRPr="00904FCB">
        <w:rPr>
          <w:rFonts w:hint="cs"/>
          <w:sz w:val="27"/>
          <w:rtl/>
        </w:rPr>
        <w:t>الر</w:t>
      </w:r>
      <w:r w:rsidR="00B26FF9" w:rsidRPr="00904FCB">
        <w:rPr>
          <w:rFonts w:hint="cs"/>
          <w:sz w:val="27"/>
          <w:rtl/>
        </w:rPr>
        <w:t>ِّ</w:t>
      </w:r>
      <w:r w:rsidRPr="00904FCB">
        <w:rPr>
          <w:rFonts w:hint="cs"/>
          <w:sz w:val="27"/>
          <w:rtl/>
        </w:rPr>
        <w:t>ياء</w:t>
      </w:r>
      <w:r w:rsidRPr="00904FCB">
        <w:rPr>
          <w:sz w:val="27"/>
          <w:rtl/>
        </w:rPr>
        <w:t>»</w:t>
      </w:r>
      <w:r w:rsidRPr="00904FCB">
        <w:rPr>
          <w:rFonts w:hint="cs"/>
          <w:sz w:val="27"/>
          <w:vertAlign w:val="superscript"/>
          <w:rtl/>
        </w:rPr>
        <w:t>(</w:t>
      </w:r>
      <w:r w:rsidRPr="00904FCB">
        <w:rPr>
          <w:rStyle w:val="ac"/>
          <w:sz w:val="27"/>
          <w:rtl/>
        </w:rPr>
        <w:endnoteReference w:id="676"/>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هذا</w:t>
      </w:r>
      <w:r w:rsidR="00B26FF9" w:rsidRPr="00904FCB">
        <w:rPr>
          <w:rFonts w:hint="cs"/>
          <w:sz w:val="27"/>
          <w:rtl/>
        </w:rPr>
        <w:t>،</w:t>
      </w:r>
      <w:r w:rsidRPr="00904FCB">
        <w:rPr>
          <w:sz w:val="27"/>
          <w:rtl/>
        </w:rPr>
        <w:t xml:space="preserve"> </w:t>
      </w:r>
      <w:r w:rsidRPr="00904FCB">
        <w:rPr>
          <w:rFonts w:hint="cs"/>
          <w:sz w:val="27"/>
          <w:rtl/>
        </w:rPr>
        <w:t>وقد</w:t>
      </w:r>
      <w:r w:rsidRPr="00904FCB">
        <w:rPr>
          <w:sz w:val="27"/>
          <w:rtl/>
        </w:rPr>
        <w:t xml:space="preserve"> </w:t>
      </w:r>
      <w:r w:rsidRPr="00904FCB">
        <w:rPr>
          <w:rFonts w:hint="cs"/>
          <w:sz w:val="27"/>
          <w:rtl/>
        </w:rPr>
        <w:t>أطلق</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أدنى</w:t>
      </w:r>
      <w:r w:rsidRPr="00904FCB">
        <w:rPr>
          <w:sz w:val="27"/>
          <w:rtl/>
        </w:rPr>
        <w:t xml:space="preserve"> </w:t>
      </w:r>
      <w:r w:rsidRPr="00904FCB">
        <w:rPr>
          <w:rFonts w:hint="cs"/>
          <w:sz w:val="27"/>
          <w:rtl/>
        </w:rPr>
        <w:t>مراتب</w:t>
      </w:r>
      <w:r w:rsidRPr="00904FCB">
        <w:rPr>
          <w:sz w:val="27"/>
          <w:rtl/>
        </w:rPr>
        <w:t xml:space="preserve"> </w:t>
      </w:r>
      <w:r w:rsidRPr="00904FCB">
        <w:rPr>
          <w:rFonts w:hint="cs"/>
          <w:sz w:val="27"/>
          <w:rtl/>
        </w:rPr>
        <w:t>الطاعة</w:t>
      </w:r>
      <w:r w:rsidRPr="00904FCB">
        <w:rPr>
          <w:sz w:val="27"/>
          <w:rtl/>
        </w:rPr>
        <w:t xml:space="preserve"> </w:t>
      </w:r>
      <w:r w:rsidRPr="00904FCB">
        <w:rPr>
          <w:rFonts w:hint="cs"/>
          <w:sz w:val="27"/>
          <w:rtl/>
        </w:rPr>
        <w:t>لغير</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قوله</w:t>
      </w:r>
      <w:r w:rsidRPr="00904FCB">
        <w:rPr>
          <w:sz w:val="27"/>
          <w:rtl/>
        </w:rPr>
        <w:t xml:space="preserve"> </w:t>
      </w:r>
      <w:r w:rsidRPr="00904FCB">
        <w:rPr>
          <w:rFonts w:hint="cs"/>
          <w:sz w:val="27"/>
          <w:rtl/>
        </w:rPr>
        <w:t>تعالى</w:t>
      </w:r>
      <w:r w:rsidRPr="00904FCB">
        <w:rPr>
          <w:sz w:val="27"/>
          <w:rtl/>
        </w:rPr>
        <w:t xml:space="preserve">: </w:t>
      </w:r>
      <w:r w:rsidRPr="00904FCB">
        <w:rPr>
          <w:rFonts w:ascii="Mosawi" w:hAnsi="Mosawi" w:cs="Mosawi"/>
          <w:sz w:val="24"/>
          <w:szCs w:val="24"/>
          <w:rtl/>
        </w:rPr>
        <w:t>﴿</w:t>
      </w:r>
      <w:r w:rsidRPr="00904FCB">
        <w:rPr>
          <w:rFonts w:hint="cs"/>
          <w:b/>
          <w:bCs/>
          <w:sz w:val="27"/>
          <w:rtl/>
        </w:rPr>
        <w:t>هُوَ</w:t>
      </w:r>
      <w:r w:rsidRPr="00904FCB">
        <w:rPr>
          <w:b/>
          <w:bCs/>
          <w:sz w:val="27"/>
          <w:rtl/>
        </w:rPr>
        <w:t xml:space="preserve"> </w:t>
      </w:r>
      <w:r w:rsidRPr="00904FCB">
        <w:rPr>
          <w:rFonts w:hint="cs"/>
          <w:b/>
          <w:bCs/>
          <w:sz w:val="27"/>
          <w:rtl/>
        </w:rPr>
        <w:t>الَّذ</w:t>
      </w:r>
      <w:r w:rsidR="00B26FF9" w:rsidRPr="00904FCB">
        <w:rPr>
          <w:rFonts w:hint="cs"/>
          <w:b/>
          <w:bCs/>
          <w:sz w:val="27"/>
          <w:rtl/>
        </w:rPr>
        <w:t>ِ</w:t>
      </w:r>
      <w:r w:rsidRPr="00904FCB">
        <w:rPr>
          <w:rFonts w:hint="cs"/>
          <w:b/>
          <w:bCs/>
          <w:sz w:val="27"/>
          <w:rtl/>
        </w:rPr>
        <w:t>ي</w:t>
      </w:r>
      <w:r w:rsidRPr="00904FCB">
        <w:rPr>
          <w:b/>
          <w:bCs/>
          <w:sz w:val="27"/>
          <w:rtl/>
        </w:rPr>
        <w:t xml:space="preserve"> </w:t>
      </w:r>
      <w:r w:rsidRPr="00904FCB">
        <w:rPr>
          <w:rFonts w:hint="cs"/>
          <w:b/>
          <w:bCs/>
          <w:sz w:val="27"/>
          <w:rtl/>
        </w:rPr>
        <w:t>خَلَقَكُمْ</w:t>
      </w:r>
      <w:r w:rsidRPr="00904FCB">
        <w:rPr>
          <w:b/>
          <w:bCs/>
          <w:sz w:val="27"/>
          <w:rtl/>
        </w:rPr>
        <w:t xml:space="preserve"> </w:t>
      </w:r>
      <w:r w:rsidRPr="00904FCB">
        <w:rPr>
          <w:rFonts w:hint="cs"/>
          <w:b/>
          <w:bCs/>
          <w:sz w:val="27"/>
          <w:rtl/>
        </w:rPr>
        <w:t>مِنْ</w:t>
      </w:r>
      <w:r w:rsidRPr="00904FCB">
        <w:rPr>
          <w:b/>
          <w:bCs/>
          <w:sz w:val="27"/>
          <w:rtl/>
        </w:rPr>
        <w:t xml:space="preserve"> </w:t>
      </w:r>
      <w:r w:rsidRPr="00904FCB">
        <w:rPr>
          <w:rFonts w:hint="cs"/>
          <w:b/>
          <w:bCs/>
          <w:sz w:val="27"/>
          <w:rtl/>
        </w:rPr>
        <w:t>نَفْسٍ</w:t>
      </w:r>
      <w:r w:rsidRPr="00904FCB">
        <w:rPr>
          <w:b/>
          <w:bCs/>
          <w:sz w:val="27"/>
          <w:rtl/>
        </w:rPr>
        <w:t xml:space="preserve"> </w:t>
      </w:r>
      <w:r w:rsidRPr="00904FCB">
        <w:rPr>
          <w:rFonts w:hint="cs"/>
          <w:b/>
          <w:bCs/>
          <w:sz w:val="27"/>
          <w:rtl/>
        </w:rPr>
        <w:t>و</w:t>
      </w:r>
      <w:r w:rsidR="00B26FF9" w:rsidRPr="00904FCB">
        <w:rPr>
          <w:rFonts w:hint="cs"/>
          <w:b/>
          <w:bCs/>
          <w:sz w:val="27"/>
          <w:rtl/>
        </w:rPr>
        <w:t>َ</w:t>
      </w:r>
      <w:r w:rsidRPr="00904FCB">
        <w:rPr>
          <w:rFonts w:hint="cs"/>
          <w:b/>
          <w:bCs/>
          <w:sz w:val="27"/>
          <w:rtl/>
        </w:rPr>
        <w:t>احِدَةٍ</w:t>
      </w:r>
      <w:r w:rsidRPr="00904FCB">
        <w:rPr>
          <w:b/>
          <w:bCs/>
          <w:sz w:val="27"/>
          <w:rtl/>
        </w:rPr>
        <w:t xml:space="preserve"> و</w:t>
      </w:r>
      <w:r w:rsidRPr="00904FCB">
        <w:rPr>
          <w:rFonts w:hint="cs"/>
          <w:b/>
          <w:bCs/>
          <w:sz w:val="27"/>
          <w:rtl/>
        </w:rPr>
        <w:t>جَعَلَ</w:t>
      </w:r>
      <w:r w:rsidRPr="00904FCB">
        <w:rPr>
          <w:b/>
          <w:bCs/>
          <w:sz w:val="27"/>
          <w:rtl/>
        </w:rPr>
        <w:t xml:space="preserve"> </w:t>
      </w:r>
      <w:r w:rsidRPr="00904FCB">
        <w:rPr>
          <w:rFonts w:hint="cs"/>
          <w:b/>
          <w:bCs/>
          <w:sz w:val="27"/>
          <w:rtl/>
        </w:rPr>
        <w:t>مِنْه</w:t>
      </w:r>
      <w:r w:rsidR="00B26FF9"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زَوْجَه</w:t>
      </w:r>
      <w:r w:rsidR="00B26FF9"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لِيَسْكُنَ</w:t>
      </w:r>
      <w:r w:rsidRPr="00904FCB">
        <w:rPr>
          <w:b/>
          <w:bCs/>
          <w:sz w:val="27"/>
          <w:rtl/>
        </w:rPr>
        <w:t xml:space="preserve"> </w:t>
      </w:r>
      <w:r w:rsidRPr="00904FCB">
        <w:rPr>
          <w:rFonts w:hint="cs"/>
          <w:b/>
          <w:bCs/>
          <w:sz w:val="27"/>
          <w:rtl/>
        </w:rPr>
        <w:t>إِلَيْه</w:t>
      </w:r>
      <w:r w:rsidR="00B26FF9"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فَلَمَّا</w:t>
      </w:r>
      <w:r w:rsidRPr="00904FCB">
        <w:rPr>
          <w:b/>
          <w:bCs/>
          <w:sz w:val="27"/>
          <w:rtl/>
        </w:rPr>
        <w:t xml:space="preserve"> </w:t>
      </w:r>
      <w:r w:rsidRPr="00904FCB">
        <w:rPr>
          <w:rFonts w:hint="cs"/>
          <w:b/>
          <w:bCs/>
          <w:sz w:val="27"/>
          <w:rtl/>
        </w:rPr>
        <w:t>تَغَشَّاه</w:t>
      </w:r>
      <w:r w:rsidR="00B26FF9" w:rsidRPr="00904FCB">
        <w:rPr>
          <w:rFonts w:hint="cs"/>
          <w:b/>
          <w:bCs/>
          <w:sz w:val="27"/>
          <w:rtl/>
        </w:rPr>
        <w:t>َ</w:t>
      </w:r>
      <w:r w:rsidRPr="00904FCB">
        <w:rPr>
          <w:rFonts w:hint="cs"/>
          <w:b/>
          <w:bCs/>
          <w:sz w:val="27"/>
          <w:rtl/>
        </w:rPr>
        <w:t>ا</w:t>
      </w:r>
      <w:r w:rsidRPr="00904FCB">
        <w:rPr>
          <w:b/>
          <w:bCs/>
          <w:sz w:val="27"/>
          <w:rtl/>
        </w:rPr>
        <w:t xml:space="preserve"> </w:t>
      </w:r>
      <w:r w:rsidRPr="00904FCB">
        <w:rPr>
          <w:rFonts w:hint="cs"/>
          <w:b/>
          <w:bCs/>
          <w:sz w:val="27"/>
          <w:rtl/>
        </w:rPr>
        <w:t>حَمَلَتْ</w:t>
      </w:r>
      <w:r w:rsidRPr="00904FCB">
        <w:rPr>
          <w:b/>
          <w:bCs/>
          <w:sz w:val="27"/>
          <w:rtl/>
        </w:rPr>
        <w:t xml:space="preserve"> </w:t>
      </w:r>
      <w:r w:rsidRPr="00904FCB">
        <w:rPr>
          <w:rFonts w:hint="cs"/>
          <w:b/>
          <w:bCs/>
          <w:sz w:val="27"/>
          <w:rtl/>
        </w:rPr>
        <w:t>حَمْلاً</w:t>
      </w:r>
      <w:r w:rsidRPr="00904FCB">
        <w:rPr>
          <w:b/>
          <w:bCs/>
          <w:sz w:val="27"/>
          <w:rtl/>
        </w:rPr>
        <w:t xml:space="preserve"> </w:t>
      </w:r>
      <w:r w:rsidRPr="00904FCB">
        <w:rPr>
          <w:rFonts w:hint="cs"/>
          <w:b/>
          <w:bCs/>
          <w:sz w:val="27"/>
          <w:rtl/>
        </w:rPr>
        <w:t>خَف</w:t>
      </w:r>
      <w:r w:rsidR="00B26FF9" w:rsidRPr="00904FCB">
        <w:rPr>
          <w:rFonts w:hint="cs"/>
          <w:b/>
          <w:bCs/>
          <w:sz w:val="27"/>
          <w:rtl/>
        </w:rPr>
        <w:t>ِ</w:t>
      </w:r>
      <w:r w:rsidRPr="00904FCB">
        <w:rPr>
          <w:rFonts w:hint="cs"/>
          <w:b/>
          <w:bCs/>
          <w:sz w:val="27"/>
          <w:rtl/>
        </w:rPr>
        <w:t>يفاً</w:t>
      </w:r>
      <w:r w:rsidRPr="00904FCB">
        <w:rPr>
          <w:rFonts w:ascii="Mosawi" w:hAnsi="Mosawi" w:cs="Mosawi"/>
          <w:sz w:val="24"/>
          <w:szCs w:val="24"/>
          <w:rtl/>
        </w:rPr>
        <w:t>﴾</w:t>
      </w:r>
      <w:r w:rsidRPr="00904FCB">
        <w:rPr>
          <w:rFonts w:hint="cs"/>
          <w:sz w:val="27"/>
          <w:rtl/>
        </w:rPr>
        <w:t xml:space="preserve"> </w:t>
      </w:r>
      <w:r w:rsidRPr="00904FCB">
        <w:rPr>
          <w:sz w:val="27"/>
          <w:rtl/>
        </w:rPr>
        <w:t>(</w:t>
      </w:r>
      <w:r w:rsidRPr="00904FCB">
        <w:rPr>
          <w:rFonts w:hint="cs"/>
          <w:sz w:val="27"/>
          <w:rtl/>
        </w:rPr>
        <w:t xml:space="preserve">الأعراف: </w:t>
      </w:r>
      <w:r w:rsidRPr="00F4753C">
        <w:rPr>
          <w:rFonts w:hint="cs"/>
          <w:sz w:val="27"/>
          <w:rtl/>
          <w:lang w:bidi="ar-LB"/>
        </w:rPr>
        <w:t>189</w:t>
      </w:r>
      <w:r w:rsidRPr="00904FCB">
        <w:rPr>
          <w:sz w:val="27"/>
          <w:rtl/>
        </w:rPr>
        <w:t>)</w:t>
      </w:r>
      <w:r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وبالجملة</w:t>
      </w:r>
      <w:r w:rsidRPr="00904FCB">
        <w:rPr>
          <w:sz w:val="27"/>
          <w:rtl/>
        </w:rPr>
        <w:t xml:space="preserve"> </w:t>
      </w:r>
      <w:r w:rsidRPr="00904FCB">
        <w:rPr>
          <w:rFonts w:hint="cs"/>
          <w:sz w:val="27"/>
          <w:rtl/>
        </w:rPr>
        <w:t>فإنّ</w:t>
      </w:r>
      <w:r w:rsidRPr="00904FCB">
        <w:rPr>
          <w:sz w:val="27"/>
          <w:rtl/>
        </w:rPr>
        <w:t xml:space="preserve"> </w:t>
      </w:r>
      <w:r w:rsidRPr="00904FCB">
        <w:rPr>
          <w:rFonts w:hint="cs"/>
          <w:sz w:val="27"/>
          <w:rtl/>
        </w:rPr>
        <w:t>الشرك</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مراتب</w:t>
      </w:r>
      <w:r w:rsidR="00B26FF9" w:rsidRPr="00904FCB">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يخلو</w:t>
      </w:r>
      <w:r w:rsidRPr="00904FCB">
        <w:rPr>
          <w:sz w:val="27"/>
          <w:rtl/>
        </w:rPr>
        <w:t xml:space="preserve"> </w:t>
      </w:r>
      <w:r w:rsidRPr="00904FCB">
        <w:rPr>
          <w:rFonts w:hint="cs"/>
          <w:sz w:val="27"/>
          <w:rtl/>
        </w:rPr>
        <w:t>منه</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المعصومين</w:t>
      </w:r>
      <w:r w:rsidRPr="00904FCB">
        <w:rPr>
          <w:sz w:val="27"/>
          <w:rtl/>
        </w:rPr>
        <w:t xml:space="preserve"> </w:t>
      </w:r>
      <w:r w:rsidRPr="00904FCB">
        <w:rPr>
          <w:rFonts w:hint="cs"/>
          <w:sz w:val="27"/>
          <w:rtl/>
        </w:rPr>
        <w:t>وقليلٌ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المؤمنين</w:t>
      </w:r>
      <w:r w:rsidR="00B26FF9" w:rsidRPr="00904FCB">
        <w:rPr>
          <w:rFonts w:hint="cs"/>
          <w:sz w:val="27"/>
          <w:rtl/>
        </w:rPr>
        <w:t>.</w:t>
      </w:r>
      <w:r w:rsidRPr="00904FCB">
        <w:rPr>
          <w:rFonts w:hint="cs"/>
          <w:sz w:val="27"/>
          <w:rtl/>
        </w:rPr>
        <w:t xml:space="preserve"> ومعه</w:t>
      </w:r>
      <w:r w:rsidRPr="00904FCB">
        <w:rPr>
          <w:sz w:val="27"/>
          <w:rtl/>
        </w:rPr>
        <w:t xml:space="preserve"> </w:t>
      </w:r>
      <w:r w:rsidRPr="00904FCB">
        <w:rPr>
          <w:rFonts w:hint="cs"/>
          <w:sz w:val="27"/>
          <w:rtl/>
        </w:rPr>
        <w:t>كيف</w:t>
      </w:r>
      <w:r w:rsidRPr="00904FCB">
        <w:rPr>
          <w:sz w:val="27"/>
          <w:rtl/>
        </w:rPr>
        <w:t xml:space="preserve"> </w:t>
      </w:r>
      <w:r w:rsidRPr="00904FCB">
        <w:rPr>
          <w:rFonts w:hint="cs"/>
          <w:sz w:val="27"/>
          <w:rtl/>
        </w:rPr>
        <w:t>يحكم</w:t>
      </w:r>
      <w:r w:rsidRPr="00904FCB">
        <w:rPr>
          <w:sz w:val="27"/>
          <w:rtl/>
        </w:rPr>
        <w:t xml:space="preserve"> </w:t>
      </w:r>
      <w:r w:rsidRPr="00904FCB">
        <w:rPr>
          <w:rFonts w:hint="cs"/>
          <w:sz w:val="27"/>
          <w:rtl/>
        </w:rPr>
        <w:t>بنجاسة</w:t>
      </w:r>
      <w:r w:rsidRPr="00904FCB">
        <w:rPr>
          <w:sz w:val="27"/>
          <w:rtl/>
        </w:rPr>
        <w:t xml:space="preserve"> </w:t>
      </w:r>
      <w:r w:rsidRPr="00904FCB">
        <w:rPr>
          <w:rFonts w:hint="cs"/>
          <w:sz w:val="27"/>
          <w:rtl/>
        </w:rPr>
        <w:t>المشرك؟!</w:t>
      </w:r>
      <w:r w:rsidRPr="00904FCB">
        <w:rPr>
          <w:sz w:val="27"/>
          <w:rtl/>
        </w:rPr>
        <w:t xml:space="preserve"> </w:t>
      </w:r>
      <w:r w:rsidRPr="00904FCB">
        <w:rPr>
          <w:rFonts w:hint="cs"/>
          <w:sz w:val="27"/>
          <w:rtl/>
        </w:rPr>
        <w:t>فإنّ</w:t>
      </w:r>
      <w:r w:rsidRPr="00904FCB">
        <w:rPr>
          <w:sz w:val="27"/>
          <w:rtl/>
        </w:rPr>
        <w:t xml:space="preserve"> </w:t>
      </w:r>
      <w:r w:rsidRPr="00904FCB">
        <w:rPr>
          <w:rFonts w:hint="cs"/>
          <w:sz w:val="27"/>
          <w:rtl/>
        </w:rPr>
        <w:t>لازم</w:t>
      </w:r>
      <w:r w:rsidRPr="00904FCB">
        <w:rPr>
          <w:sz w:val="27"/>
          <w:rtl/>
        </w:rPr>
        <w:t xml:space="preserve"> </w:t>
      </w:r>
      <w:r w:rsidRPr="00904FCB">
        <w:rPr>
          <w:rFonts w:hint="cs"/>
          <w:sz w:val="27"/>
          <w:rtl/>
        </w:rPr>
        <w:t>الشرك</w:t>
      </w:r>
      <w:r w:rsidR="00B26FF9" w:rsidRPr="00904FCB">
        <w:rPr>
          <w:rFonts w:hint="cs"/>
          <w:sz w:val="27"/>
          <w:rtl/>
        </w:rPr>
        <w:t>،</w:t>
      </w:r>
      <w:r w:rsidRPr="00904FCB">
        <w:rPr>
          <w:sz w:val="27"/>
          <w:rtl/>
        </w:rPr>
        <w:t xml:space="preserve"> </w:t>
      </w:r>
      <w:r w:rsidRPr="00904FCB">
        <w:rPr>
          <w:rFonts w:hint="cs"/>
          <w:sz w:val="27"/>
          <w:rtl/>
        </w:rPr>
        <w:t>وبما</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المراتب، وكما</w:t>
      </w:r>
      <w:r w:rsidRPr="00904FCB">
        <w:rPr>
          <w:sz w:val="27"/>
          <w:rtl/>
        </w:rPr>
        <w:t xml:space="preserve"> </w:t>
      </w:r>
      <w:r w:rsidRPr="00904FCB">
        <w:rPr>
          <w:rFonts w:hint="cs"/>
          <w:sz w:val="27"/>
          <w:rtl/>
        </w:rPr>
        <w:t>سبق</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أشرنا</w:t>
      </w:r>
      <w:r w:rsidRPr="00904FCB">
        <w:rPr>
          <w:sz w:val="27"/>
          <w:rtl/>
        </w:rPr>
        <w:t xml:space="preserve"> </w:t>
      </w:r>
      <w:r w:rsidRPr="00904FCB">
        <w:rPr>
          <w:rFonts w:hint="cs"/>
          <w:sz w:val="27"/>
          <w:rtl/>
        </w:rPr>
        <w:t>إليه</w:t>
      </w:r>
      <w:r w:rsidR="00B26FF9" w:rsidRPr="00904FCB">
        <w:rPr>
          <w:rFonts w:hint="cs"/>
          <w:sz w:val="27"/>
          <w:rtl/>
        </w:rPr>
        <w:t>،</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بنجاسة</w:t>
      </w:r>
      <w:r w:rsidRPr="00904FCB">
        <w:rPr>
          <w:sz w:val="27"/>
          <w:rtl/>
        </w:rPr>
        <w:t xml:space="preserve"> </w:t>
      </w:r>
      <w:r w:rsidRPr="00904FCB">
        <w:rPr>
          <w:rFonts w:hint="cs"/>
          <w:sz w:val="27"/>
          <w:rtl/>
        </w:rPr>
        <w:t>المسلم</w:t>
      </w:r>
      <w:r w:rsidRPr="00904FCB">
        <w:rPr>
          <w:sz w:val="27"/>
          <w:rtl/>
        </w:rPr>
        <w:t xml:space="preserve"> </w:t>
      </w:r>
      <w:r w:rsidRPr="00904FCB">
        <w:rPr>
          <w:rFonts w:hint="cs"/>
          <w:sz w:val="27"/>
          <w:rtl/>
        </w:rPr>
        <w:t>المرائي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عمله، أو</w:t>
      </w:r>
      <w:r w:rsidRPr="00904FCB">
        <w:rPr>
          <w:sz w:val="27"/>
          <w:rtl/>
        </w:rPr>
        <w:t xml:space="preserve"> </w:t>
      </w:r>
      <w:r w:rsidRPr="00904FCB">
        <w:rPr>
          <w:rFonts w:hint="cs"/>
          <w:sz w:val="27"/>
          <w:rtl/>
        </w:rPr>
        <w:t>المطيع</w:t>
      </w:r>
      <w:r w:rsidRPr="00904FCB">
        <w:rPr>
          <w:sz w:val="27"/>
          <w:rtl/>
        </w:rPr>
        <w:t xml:space="preserve"> </w:t>
      </w:r>
      <w:r w:rsidRPr="00904FCB">
        <w:rPr>
          <w:rFonts w:hint="cs"/>
          <w:sz w:val="27"/>
          <w:rtl/>
        </w:rPr>
        <w:t>للشيطان</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فالحاصل</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وإن</w:t>
      </w:r>
      <w:r w:rsidR="00B26FF9" w:rsidRPr="00904FCB">
        <w:rPr>
          <w:rFonts w:hint="cs"/>
          <w:sz w:val="27"/>
          <w:rtl/>
        </w:rPr>
        <w:t>ْ</w:t>
      </w:r>
      <w:r w:rsidRPr="00904FCB">
        <w:rPr>
          <w:sz w:val="27"/>
          <w:rtl/>
        </w:rPr>
        <w:t xml:space="preserve"> </w:t>
      </w:r>
      <w:r w:rsidRPr="00904FCB">
        <w:rPr>
          <w:rFonts w:hint="cs"/>
          <w:sz w:val="27"/>
          <w:rtl/>
        </w:rPr>
        <w:t>كانوا</w:t>
      </w:r>
      <w:r w:rsidRPr="00904FCB">
        <w:rPr>
          <w:sz w:val="27"/>
          <w:rtl/>
        </w:rPr>
        <w:t xml:space="preserve"> </w:t>
      </w:r>
      <w:r w:rsidRPr="00904FCB">
        <w:rPr>
          <w:rFonts w:hint="cs"/>
          <w:sz w:val="27"/>
          <w:rtl/>
        </w:rPr>
        <w:t>مشركين</w:t>
      </w:r>
      <w:r w:rsidRPr="00904FCB">
        <w:rPr>
          <w:sz w:val="27"/>
          <w:rtl/>
        </w:rPr>
        <w:t xml:space="preserve"> </w:t>
      </w:r>
      <w:r w:rsidRPr="00904FCB">
        <w:rPr>
          <w:rFonts w:hint="cs"/>
          <w:sz w:val="27"/>
          <w:rtl/>
        </w:rPr>
        <w:t>ببعض</w:t>
      </w:r>
      <w:r w:rsidRPr="00904FCB">
        <w:rPr>
          <w:sz w:val="27"/>
          <w:rtl/>
        </w:rPr>
        <w:t xml:space="preserve"> </w:t>
      </w:r>
      <w:r w:rsidRPr="00904FCB">
        <w:rPr>
          <w:rFonts w:hint="cs"/>
          <w:sz w:val="27"/>
          <w:rtl/>
        </w:rPr>
        <w:t>مراتب</w:t>
      </w:r>
      <w:r w:rsidRPr="00904FCB">
        <w:rPr>
          <w:sz w:val="27"/>
          <w:rtl/>
        </w:rPr>
        <w:t xml:space="preserve"> </w:t>
      </w:r>
      <w:r w:rsidRPr="00904FCB">
        <w:rPr>
          <w:rFonts w:hint="cs"/>
          <w:sz w:val="27"/>
          <w:rtl/>
        </w:rPr>
        <w:t>الش</w:t>
      </w:r>
      <w:r w:rsidR="00B26FF9" w:rsidRPr="00904FCB">
        <w:rPr>
          <w:rFonts w:hint="cs"/>
          <w:sz w:val="27"/>
          <w:rtl/>
        </w:rPr>
        <w:t>ِّ</w:t>
      </w:r>
      <w:r w:rsidRPr="00904FCB">
        <w:rPr>
          <w:rFonts w:hint="cs"/>
          <w:sz w:val="27"/>
          <w:rtl/>
        </w:rPr>
        <w:t>ر</w:t>
      </w:r>
      <w:r w:rsidR="00B26FF9" w:rsidRPr="00904FCB">
        <w:rPr>
          <w:rFonts w:hint="cs"/>
          <w:sz w:val="27"/>
          <w:rtl/>
        </w:rPr>
        <w:t>ْ</w:t>
      </w:r>
      <w:r w:rsidRPr="00904FCB">
        <w:rPr>
          <w:rFonts w:hint="cs"/>
          <w:sz w:val="27"/>
          <w:rtl/>
        </w:rPr>
        <w:t>ك، إلاّ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المتتبّ</w:t>
      </w:r>
      <w:r w:rsidR="00B26FF9" w:rsidRPr="00904FCB">
        <w:rPr>
          <w:rFonts w:hint="cs"/>
          <w:sz w:val="27"/>
          <w:rtl/>
        </w:rPr>
        <w:t>ِ</w:t>
      </w:r>
      <w:r w:rsidRPr="00904FCB">
        <w:rPr>
          <w:rFonts w:hint="cs"/>
          <w:sz w:val="27"/>
          <w:rtl/>
        </w:rPr>
        <w:t>ع</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القرآن</w:t>
      </w:r>
      <w:r w:rsidRPr="00904FCB">
        <w:rPr>
          <w:sz w:val="27"/>
          <w:rtl/>
        </w:rPr>
        <w:t xml:space="preserve"> </w:t>
      </w:r>
      <w:r w:rsidRPr="00904FCB">
        <w:rPr>
          <w:rFonts w:hint="cs"/>
          <w:sz w:val="27"/>
          <w:rtl/>
        </w:rPr>
        <w:t>الكريم</w:t>
      </w:r>
      <w:r w:rsidRPr="00904FCB">
        <w:rPr>
          <w:sz w:val="27"/>
          <w:rtl/>
        </w:rPr>
        <w:t xml:space="preserve"> </w:t>
      </w:r>
      <w:r w:rsidRPr="00904FCB">
        <w:rPr>
          <w:rFonts w:hint="cs"/>
          <w:sz w:val="27"/>
          <w:rtl/>
        </w:rPr>
        <w:t>يرى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المتبادر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المشركين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لسان</w:t>
      </w:r>
      <w:r w:rsidRPr="00904FCB">
        <w:rPr>
          <w:sz w:val="27"/>
          <w:rtl/>
        </w:rPr>
        <w:t xml:space="preserve"> </w:t>
      </w:r>
      <w:r w:rsidRPr="00904FCB">
        <w:rPr>
          <w:rFonts w:hint="cs"/>
          <w:sz w:val="27"/>
          <w:rtl/>
        </w:rPr>
        <w:t>القرآن</w:t>
      </w:r>
      <w:r w:rsidRPr="00904FCB">
        <w:rPr>
          <w:sz w:val="27"/>
          <w:rtl/>
        </w:rPr>
        <w:t xml:space="preserve"> </w:t>
      </w:r>
      <w:r w:rsidRPr="00904FCB">
        <w:rPr>
          <w:rFonts w:hint="cs"/>
          <w:sz w:val="27"/>
          <w:rtl/>
        </w:rPr>
        <w:t>هم</w:t>
      </w:r>
      <w:r w:rsidRPr="00904FCB">
        <w:rPr>
          <w:sz w:val="27"/>
          <w:rtl/>
        </w:rPr>
        <w:t xml:space="preserve"> </w:t>
      </w:r>
      <w:r w:rsidRPr="00904FCB">
        <w:rPr>
          <w:rFonts w:hint="cs"/>
          <w:sz w:val="27"/>
          <w:rtl/>
        </w:rPr>
        <w:t>عبدة</w:t>
      </w:r>
      <w:r w:rsidRPr="00904FCB">
        <w:rPr>
          <w:sz w:val="27"/>
          <w:rtl/>
        </w:rPr>
        <w:t xml:space="preserve"> </w:t>
      </w:r>
      <w:r w:rsidRPr="00904FCB">
        <w:rPr>
          <w:rFonts w:hint="cs"/>
          <w:sz w:val="27"/>
          <w:rtl/>
        </w:rPr>
        <w:t>الأصنام</w:t>
      </w:r>
      <w:r w:rsidRPr="00904FCB">
        <w:rPr>
          <w:sz w:val="27"/>
          <w:rtl/>
        </w:rPr>
        <w:t xml:space="preserve"> </w:t>
      </w:r>
      <w:r w:rsidRPr="00904FCB">
        <w:rPr>
          <w:rFonts w:hint="cs"/>
          <w:sz w:val="27"/>
          <w:rtl/>
        </w:rPr>
        <w:t>وغيرها، الذين‏</w:t>
      </w:r>
      <w:r w:rsidRPr="00904FCB">
        <w:rPr>
          <w:sz w:val="27"/>
          <w:rtl/>
        </w:rPr>
        <w:t xml:space="preserve"> </w:t>
      </w:r>
      <w:r w:rsidRPr="00904FCB">
        <w:rPr>
          <w:rFonts w:hint="cs"/>
          <w:sz w:val="27"/>
          <w:rtl/>
        </w:rPr>
        <w:t>اعتقدوا</w:t>
      </w:r>
      <w:r w:rsidRPr="00904FCB">
        <w:rPr>
          <w:sz w:val="27"/>
          <w:rtl/>
        </w:rPr>
        <w:t xml:space="preserve"> </w:t>
      </w:r>
      <w:r w:rsidRPr="00904FCB">
        <w:rPr>
          <w:rFonts w:hint="cs"/>
          <w:sz w:val="27"/>
          <w:rtl/>
        </w:rPr>
        <w:t>بأنّها</w:t>
      </w:r>
      <w:r w:rsidRPr="00904FCB">
        <w:rPr>
          <w:sz w:val="27"/>
          <w:rtl/>
        </w:rPr>
        <w:t xml:space="preserve"> </w:t>
      </w:r>
      <w:r w:rsidRPr="00904FCB">
        <w:rPr>
          <w:rFonts w:hint="cs"/>
          <w:sz w:val="27"/>
          <w:rtl/>
        </w:rPr>
        <w:t>تجلب</w:t>
      </w:r>
      <w:r w:rsidRPr="00904FCB">
        <w:rPr>
          <w:sz w:val="27"/>
          <w:rtl/>
        </w:rPr>
        <w:t xml:space="preserve"> </w:t>
      </w:r>
      <w:r w:rsidRPr="00904FCB">
        <w:rPr>
          <w:rFonts w:hint="cs"/>
          <w:sz w:val="27"/>
          <w:rtl/>
        </w:rPr>
        <w:t>لهم</w:t>
      </w:r>
      <w:r w:rsidRPr="00904FCB">
        <w:rPr>
          <w:sz w:val="27"/>
          <w:rtl/>
        </w:rPr>
        <w:t xml:space="preserve"> </w:t>
      </w:r>
      <w:r w:rsidRPr="00904FCB">
        <w:rPr>
          <w:rFonts w:hint="cs"/>
          <w:sz w:val="27"/>
          <w:rtl/>
        </w:rPr>
        <w:t>نفعاً</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ضرّاً</w:t>
      </w:r>
      <w:r w:rsidRPr="00904FCB">
        <w:rPr>
          <w:sz w:val="27"/>
          <w:rtl/>
        </w:rPr>
        <w:t xml:space="preserve">. </w:t>
      </w:r>
      <w:r w:rsidRPr="00904FCB">
        <w:rPr>
          <w:rFonts w:hint="cs"/>
          <w:sz w:val="27"/>
          <w:rtl/>
        </w:rPr>
        <w:t>والمقصود</w:t>
      </w:r>
      <w:r w:rsidRPr="00904FCB">
        <w:rPr>
          <w:sz w:val="27"/>
          <w:rtl/>
        </w:rPr>
        <w:t xml:space="preserve"> </w:t>
      </w:r>
      <w:r w:rsidRPr="00904FCB">
        <w:rPr>
          <w:rFonts w:hint="cs"/>
          <w:sz w:val="27"/>
          <w:rtl/>
        </w:rPr>
        <w:t>بهم هنا</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p>
    <w:p w:rsidR="00F34FB9" w:rsidRPr="00904FCB" w:rsidRDefault="00F34FB9" w:rsidP="007A21AA">
      <w:pPr>
        <w:spacing w:line="400" w:lineRule="exact"/>
        <w:rPr>
          <w:sz w:val="27"/>
          <w:rtl/>
        </w:rPr>
      </w:pPr>
    </w:p>
    <w:p w:rsidR="00F34FB9" w:rsidRPr="00904FCB" w:rsidRDefault="00F34FB9" w:rsidP="007A21AA">
      <w:pPr>
        <w:pStyle w:val="31"/>
        <w:spacing w:line="400" w:lineRule="exact"/>
        <w:rPr>
          <w:color w:val="auto"/>
          <w:rtl/>
        </w:rPr>
      </w:pPr>
      <w:r w:rsidRPr="00904FCB">
        <w:rPr>
          <w:rFonts w:hint="cs"/>
          <w:color w:val="auto"/>
          <w:rtl/>
        </w:rPr>
        <w:t>الاستدلال</w:t>
      </w:r>
      <w:r w:rsidRPr="00904FCB">
        <w:rPr>
          <w:color w:val="auto"/>
          <w:rtl/>
        </w:rPr>
        <w:t xml:space="preserve"> </w:t>
      </w:r>
      <w:r w:rsidRPr="00904FCB">
        <w:rPr>
          <w:rFonts w:hint="cs"/>
          <w:color w:val="auto"/>
          <w:rtl/>
        </w:rPr>
        <w:t>على</w:t>
      </w:r>
      <w:r w:rsidRPr="00904FCB">
        <w:rPr>
          <w:color w:val="auto"/>
          <w:rtl/>
        </w:rPr>
        <w:t xml:space="preserve"> </w:t>
      </w:r>
      <w:r w:rsidRPr="00904FCB">
        <w:rPr>
          <w:rFonts w:hint="cs"/>
          <w:color w:val="auto"/>
          <w:rtl/>
        </w:rPr>
        <w:t>نجاسة</w:t>
      </w:r>
      <w:r w:rsidRPr="00904FCB">
        <w:rPr>
          <w:color w:val="auto"/>
          <w:rtl/>
        </w:rPr>
        <w:t xml:space="preserve"> </w:t>
      </w:r>
      <w:r w:rsidRPr="00904FCB">
        <w:rPr>
          <w:rFonts w:hint="cs"/>
          <w:color w:val="auto"/>
          <w:rtl/>
        </w:rPr>
        <w:t>أهل</w:t>
      </w:r>
      <w:r w:rsidRPr="00904FCB">
        <w:rPr>
          <w:color w:val="auto"/>
          <w:rtl/>
        </w:rPr>
        <w:t xml:space="preserve"> </w:t>
      </w:r>
      <w:r w:rsidRPr="00904FCB">
        <w:rPr>
          <w:rFonts w:hint="cs"/>
          <w:color w:val="auto"/>
          <w:rtl/>
        </w:rPr>
        <w:t>الكتاب</w:t>
      </w:r>
      <w:r w:rsidRPr="00904FCB">
        <w:rPr>
          <w:color w:val="auto"/>
          <w:rtl/>
        </w:rPr>
        <w:t xml:space="preserve"> </w:t>
      </w:r>
      <w:r w:rsidRPr="00904FCB">
        <w:rPr>
          <w:rFonts w:hint="cs"/>
          <w:color w:val="auto"/>
          <w:rtl/>
        </w:rPr>
        <w:t>روائيّاً، ومناقشتها</w:t>
      </w:r>
    </w:p>
    <w:p w:rsidR="00F34FB9" w:rsidRPr="00904FCB" w:rsidRDefault="00F34FB9" w:rsidP="007A21AA">
      <w:pPr>
        <w:spacing w:line="400" w:lineRule="exact"/>
        <w:rPr>
          <w:sz w:val="27"/>
          <w:rtl/>
        </w:rPr>
      </w:pPr>
      <w:r w:rsidRPr="00904FCB">
        <w:rPr>
          <w:rFonts w:hint="cs"/>
          <w:sz w:val="27"/>
          <w:rtl/>
        </w:rPr>
        <w:t>قد</w:t>
      </w:r>
      <w:r w:rsidRPr="00904FCB">
        <w:rPr>
          <w:sz w:val="27"/>
          <w:rtl/>
        </w:rPr>
        <w:t xml:space="preserve"> </w:t>
      </w:r>
      <w:r w:rsidRPr="00904FCB">
        <w:rPr>
          <w:rFonts w:hint="cs"/>
          <w:sz w:val="27"/>
          <w:rtl/>
        </w:rPr>
        <w:t>وصل</w:t>
      </w:r>
      <w:r w:rsidRPr="00904FCB">
        <w:rPr>
          <w:sz w:val="27"/>
          <w:rtl/>
        </w:rPr>
        <w:t xml:space="preserve"> </w:t>
      </w:r>
      <w:r w:rsidRPr="00904FCB">
        <w:rPr>
          <w:rFonts w:hint="cs"/>
          <w:sz w:val="27"/>
          <w:rtl/>
        </w:rPr>
        <w:t>الحديث بنا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استعراض</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استدلّ، أو</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يُست</w:t>
      </w:r>
      <w:r w:rsidR="00B26FF9" w:rsidRPr="00904FCB">
        <w:rPr>
          <w:rFonts w:hint="cs"/>
          <w:sz w:val="27"/>
          <w:rtl/>
        </w:rPr>
        <w:t>َ</w:t>
      </w:r>
      <w:r w:rsidRPr="00904FCB">
        <w:rPr>
          <w:rFonts w:hint="cs"/>
          <w:sz w:val="27"/>
          <w:rtl/>
        </w:rPr>
        <w:t>د</w:t>
      </w:r>
      <w:r w:rsidR="00B26FF9" w:rsidRPr="00904FCB">
        <w:rPr>
          <w:rFonts w:hint="cs"/>
          <w:sz w:val="27"/>
          <w:rtl/>
        </w:rPr>
        <w:t>َلّ</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لأهل</w:t>
      </w:r>
      <w:r w:rsidRPr="00904FCB">
        <w:rPr>
          <w:sz w:val="27"/>
          <w:rtl/>
        </w:rPr>
        <w:t xml:space="preserve"> </w:t>
      </w:r>
      <w:r w:rsidRPr="00904FCB">
        <w:rPr>
          <w:rFonts w:hint="cs"/>
          <w:sz w:val="27"/>
          <w:rtl/>
        </w:rPr>
        <w:t>الكتاب</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ونظراً</w:t>
      </w:r>
      <w:r w:rsidRPr="00904FCB">
        <w:rPr>
          <w:sz w:val="27"/>
          <w:rtl/>
        </w:rPr>
        <w:t xml:space="preserve"> </w:t>
      </w:r>
      <w:r w:rsidRPr="00904FCB">
        <w:rPr>
          <w:rFonts w:hint="cs"/>
          <w:sz w:val="27"/>
          <w:rtl/>
        </w:rPr>
        <w:t>لأهم</w:t>
      </w:r>
      <w:r w:rsidR="00B26FF9" w:rsidRPr="00904FCB">
        <w:rPr>
          <w:rFonts w:hint="cs"/>
          <w:sz w:val="27"/>
          <w:rtl/>
        </w:rPr>
        <w:t>ّ</w:t>
      </w:r>
      <w:r w:rsidRPr="00904FCB">
        <w:rPr>
          <w:rFonts w:hint="cs"/>
          <w:sz w:val="27"/>
          <w:rtl/>
        </w:rPr>
        <w:t>يّة</w:t>
      </w:r>
      <w:r w:rsidRPr="00904FCB">
        <w:rPr>
          <w:sz w:val="27"/>
          <w:rtl/>
        </w:rPr>
        <w:t xml:space="preserve"> </w:t>
      </w:r>
      <w:r w:rsidRPr="00904FCB">
        <w:rPr>
          <w:rFonts w:hint="cs"/>
          <w:sz w:val="27"/>
          <w:rtl/>
        </w:rPr>
        <w:t>البحث</w:t>
      </w:r>
      <w:r w:rsidRPr="00904FCB">
        <w:rPr>
          <w:sz w:val="27"/>
          <w:rtl/>
        </w:rPr>
        <w:t xml:space="preserve"> </w:t>
      </w:r>
      <w:r w:rsidRPr="00904FCB">
        <w:rPr>
          <w:rFonts w:hint="cs"/>
          <w:sz w:val="27"/>
          <w:rtl/>
        </w:rPr>
        <w:t>وشهرته نذكر هنا</w:t>
      </w:r>
      <w:r w:rsidRPr="00904FCB">
        <w:rPr>
          <w:sz w:val="27"/>
          <w:rtl/>
        </w:rPr>
        <w:t xml:space="preserve"> </w:t>
      </w:r>
      <w:r w:rsidRPr="00904FCB">
        <w:rPr>
          <w:rFonts w:hint="cs"/>
          <w:sz w:val="27"/>
          <w:rtl/>
        </w:rPr>
        <w:t>جميع</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توهم</w:t>
      </w:r>
      <w:r w:rsidRPr="00904FCB">
        <w:rPr>
          <w:sz w:val="27"/>
          <w:rtl/>
        </w:rPr>
        <w:t xml:space="preserve"> </w:t>
      </w:r>
      <w:r w:rsidRPr="00904FCB">
        <w:rPr>
          <w:rFonts w:hint="cs"/>
          <w:sz w:val="27"/>
          <w:rtl/>
        </w:rPr>
        <w:t>إثبات</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الفتوى، ونتعرّ</w:t>
      </w:r>
      <w:r w:rsidR="00B26FF9" w:rsidRPr="00904FCB">
        <w:rPr>
          <w:rFonts w:hint="cs"/>
          <w:sz w:val="27"/>
          <w:rtl/>
        </w:rPr>
        <w:t>َ</w:t>
      </w:r>
      <w:r w:rsidRPr="00904FCB">
        <w:rPr>
          <w:rFonts w:hint="cs"/>
          <w:sz w:val="27"/>
          <w:rtl/>
        </w:rPr>
        <w:t>ض</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سنداً</w:t>
      </w:r>
      <w:r w:rsidRPr="00904FCB">
        <w:rPr>
          <w:sz w:val="27"/>
          <w:rtl/>
        </w:rPr>
        <w:t xml:space="preserve"> </w:t>
      </w:r>
      <w:r w:rsidRPr="00904FCB">
        <w:rPr>
          <w:rFonts w:hint="cs"/>
          <w:sz w:val="27"/>
          <w:rtl/>
        </w:rPr>
        <w:t>ودلالة</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ثمّ</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المحدّ</w:t>
      </w:r>
      <w:r w:rsidR="00B26FF9" w:rsidRPr="00904FCB">
        <w:rPr>
          <w:rFonts w:hint="cs"/>
          <w:sz w:val="27"/>
          <w:rtl/>
        </w:rPr>
        <w:t>ِ</w:t>
      </w:r>
      <w:r w:rsidRPr="00904FCB">
        <w:rPr>
          <w:rFonts w:hint="cs"/>
          <w:sz w:val="27"/>
          <w:rtl/>
        </w:rPr>
        <w:t>ث</w:t>
      </w:r>
      <w:r w:rsidRPr="00904FCB">
        <w:rPr>
          <w:sz w:val="27"/>
          <w:rtl/>
        </w:rPr>
        <w:t xml:space="preserve"> </w:t>
      </w:r>
      <w:r w:rsidRPr="00904FCB">
        <w:rPr>
          <w:rFonts w:hint="cs"/>
          <w:sz w:val="27"/>
          <w:rtl/>
        </w:rPr>
        <w:t>العاملي</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عقد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cs"/>
          <w:sz w:val="27"/>
          <w:rtl/>
        </w:rPr>
        <w:t>باباً</w:t>
      </w:r>
      <w:r w:rsidRPr="00904FCB">
        <w:rPr>
          <w:sz w:val="27"/>
          <w:rtl/>
        </w:rPr>
        <w:t xml:space="preserve"> </w:t>
      </w:r>
      <w:r w:rsidRPr="00904FCB">
        <w:rPr>
          <w:rFonts w:hint="cs"/>
          <w:sz w:val="27"/>
          <w:rtl/>
        </w:rPr>
        <w:t>خاصّاً</w:t>
      </w:r>
      <w:r w:rsidRPr="00904FCB">
        <w:rPr>
          <w:sz w:val="27"/>
          <w:rtl/>
        </w:rPr>
        <w:t xml:space="preserve"> </w:t>
      </w:r>
      <w:r w:rsidRPr="00904FCB">
        <w:rPr>
          <w:rFonts w:hint="cs"/>
          <w:sz w:val="27"/>
          <w:rtl/>
        </w:rPr>
        <w:t>حاول</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يجمع</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يستدلّ</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 ونحن</w:t>
      </w:r>
      <w:r w:rsidRPr="00904FCB">
        <w:rPr>
          <w:sz w:val="27"/>
          <w:rtl/>
        </w:rPr>
        <w:t xml:space="preserve"> </w:t>
      </w:r>
      <w:r w:rsidRPr="00904FCB">
        <w:rPr>
          <w:rFonts w:hint="cs"/>
          <w:sz w:val="27"/>
          <w:rtl/>
        </w:rPr>
        <w:t>نذكر</w:t>
      </w:r>
      <w:r w:rsidRPr="00904FCB">
        <w:rPr>
          <w:sz w:val="27"/>
          <w:rtl/>
        </w:rPr>
        <w:t xml:space="preserve"> </w:t>
      </w:r>
      <w:r w:rsidRPr="00904FCB">
        <w:rPr>
          <w:rFonts w:hint="cs"/>
          <w:sz w:val="27"/>
          <w:rtl/>
        </w:rPr>
        <w:t>كلّ</w:t>
      </w:r>
      <w:r w:rsidR="00B26FF9" w:rsidRPr="00904FCB">
        <w:rPr>
          <w:rFonts w:hint="cs"/>
          <w:sz w:val="27"/>
          <w:rtl/>
        </w:rPr>
        <w:t>َ</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ذكره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 xml:space="preserve">الباب، </w:t>
      </w:r>
      <w:r w:rsidR="00B2457B" w:rsidRPr="00904FCB">
        <w:rPr>
          <w:rFonts w:hint="cs"/>
          <w:sz w:val="27"/>
          <w:rtl/>
        </w:rPr>
        <w:t xml:space="preserve">وبعض ما ذكره </w:t>
      </w:r>
      <w:r w:rsidRPr="00904FCB">
        <w:rPr>
          <w:rFonts w:hint="cs"/>
          <w:sz w:val="27"/>
          <w:rtl/>
        </w:rPr>
        <w:t>لا</w:t>
      </w:r>
      <w:r w:rsidRPr="00904FCB">
        <w:rPr>
          <w:sz w:val="27"/>
          <w:rtl/>
        </w:rPr>
        <w:t xml:space="preserve"> </w:t>
      </w:r>
      <w:r w:rsidRPr="00904FCB">
        <w:rPr>
          <w:rFonts w:hint="cs"/>
          <w:sz w:val="27"/>
          <w:rtl/>
        </w:rPr>
        <w:t>يدلّ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المطلوب، بل</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العكس</w:t>
      </w:r>
      <w:r w:rsidRPr="00904FCB">
        <w:rPr>
          <w:sz w:val="27"/>
          <w:rtl/>
        </w:rPr>
        <w:t xml:space="preserve"> </w:t>
      </w:r>
      <w:r w:rsidRPr="00904FCB">
        <w:rPr>
          <w:rFonts w:hint="cs"/>
          <w:sz w:val="27"/>
          <w:rtl/>
        </w:rPr>
        <w:t>تماماً</w:t>
      </w:r>
      <w:r w:rsidRPr="00904FCB">
        <w:rPr>
          <w:sz w:val="27"/>
          <w:rtl/>
        </w:rPr>
        <w:t xml:space="preserve">. </w:t>
      </w:r>
      <w:r w:rsidRPr="00904FCB">
        <w:rPr>
          <w:rFonts w:hint="cs"/>
          <w:sz w:val="27"/>
          <w:rtl/>
        </w:rPr>
        <w:t>وكذلك</w:t>
      </w:r>
      <w:r w:rsidRPr="00904FCB">
        <w:rPr>
          <w:sz w:val="27"/>
          <w:rtl/>
        </w:rPr>
        <w:t xml:space="preserve"> </w:t>
      </w:r>
      <w:r w:rsidRPr="00904FCB">
        <w:rPr>
          <w:rFonts w:hint="cs"/>
          <w:sz w:val="27"/>
          <w:rtl/>
        </w:rPr>
        <w:t>فإنّنا</w:t>
      </w:r>
      <w:r w:rsidRPr="00904FCB">
        <w:rPr>
          <w:sz w:val="27"/>
          <w:rtl/>
        </w:rPr>
        <w:t xml:space="preserve"> </w:t>
      </w:r>
      <w:r w:rsidRPr="00904FCB">
        <w:rPr>
          <w:rFonts w:hint="cs"/>
          <w:sz w:val="27"/>
          <w:rtl/>
        </w:rPr>
        <w:t>نضيف</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ذكره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الباب</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تسنّ</w:t>
      </w:r>
      <w:r w:rsidR="00B26FF9" w:rsidRPr="00904FCB">
        <w:rPr>
          <w:rFonts w:hint="cs"/>
          <w:sz w:val="27"/>
          <w:rtl/>
        </w:rPr>
        <w:t>َ</w:t>
      </w:r>
      <w:r w:rsidRPr="00904FCB">
        <w:rPr>
          <w:rFonts w:hint="cs"/>
          <w:sz w:val="27"/>
          <w:rtl/>
        </w:rPr>
        <w:t>ى</w:t>
      </w:r>
      <w:r w:rsidRPr="00904FCB">
        <w:rPr>
          <w:sz w:val="27"/>
          <w:rtl/>
        </w:rPr>
        <w:t xml:space="preserve"> </w:t>
      </w:r>
      <w:r w:rsidRPr="00904FCB">
        <w:rPr>
          <w:rFonts w:hint="cs"/>
          <w:sz w:val="27"/>
          <w:rtl/>
        </w:rPr>
        <w:t>لنا</w:t>
      </w:r>
      <w:r w:rsidRPr="00904FCB">
        <w:rPr>
          <w:sz w:val="27"/>
          <w:rtl/>
        </w:rPr>
        <w:t xml:space="preserve"> </w:t>
      </w:r>
      <w:r w:rsidRPr="00904FCB">
        <w:rPr>
          <w:rFonts w:hint="cs"/>
          <w:sz w:val="27"/>
          <w:rtl/>
        </w:rPr>
        <w:t>العثور</w:t>
      </w:r>
      <w:r w:rsidRPr="00904FCB">
        <w:rPr>
          <w:sz w:val="27"/>
          <w:rtl/>
        </w:rPr>
        <w:t xml:space="preserve"> </w:t>
      </w:r>
      <w:r w:rsidRPr="00904FCB">
        <w:rPr>
          <w:rFonts w:hint="cs"/>
          <w:sz w:val="27"/>
          <w:rtl/>
        </w:rPr>
        <w:t>عليه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الأبواب</w:t>
      </w:r>
      <w:r w:rsidRPr="00904FCB">
        <w:rPr>
          <w:sz w:val="27"/>
          <w:rtl/>
        </w:rPr>
        <w:t xml:space="preserve"> </w:t>
      </w:r>
      <w:r w:rsidRPr="00904FCB">
        <w:rPr>
          <w:rFonts w:hint="cs"/>
          <w:sz w:val="27"/>
          <w:rtl/>
        </w:rPr>
        <w:t>المتفرّقة، والروايات</w:t>
      </w:r>
      <w:r w:rsidRPr="00904FCB">
        <w:rPr>
          <w:sz w:val="27"/>
          <w:rtl/>
        </w:rPr>
        <w:t xml:space="preserve"> </w:t>
      </w:r>
      <w:r w:rsidRPr="00904FCB">
        <w:rPr>
          <w:rFonts w:hint="cs"/>
          <w:sz w:val="27"/>
          <w:rtl/>
        </w:rPr>
        <w:t>المبثوثة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ثنايا</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وغيره</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الأولى</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الكافي،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يَعْقُوبَ</w:t>
      </w:r>
      <w:r w:rsidR="00B26F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يَحْيَى</w:t>
      </w:r>
      <w:r w:rsidR="00B26F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مُحَمَّدٍ</w:t>
      </w:r>
      <w:r w:rsidR="00B26F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مَحْبُوبٍ</w:t>
      </w:r>
      <w:r w:rsidR="00B26F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الْعَلاءِ</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رَزِينٍ</w:t>
      </w:r>
      <w:r w:rsidR="00B26F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مُسْلِمٍ</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w:t>
      </w:r>
      <w:r w:rsidRPr="00904FCB">
        <w:rPr>
          <w:sz w:val="27"/>
          <w:rtl/>
        </w:rPr>
        <w:t xml:space="preserve"> </w:t>
      </w:r>
      <w:r w:rsidRPr="00904FCB">
        <w:rPr>
          <w:rFonts w:hint="cs"/>
          <w:sz w:val="27"/>
          <w:rtl/>
        </w:rPr>
        <w:t>أَبَا</w:t>
      </w:r>
      <w:r w:rsidRPr="00904FCB">
        <w:rPr>
          <w:sz w:val="27"/>
          <w:rtl/>
        </w:rPr>
        <w:t xml:space="preserve"> </w:t>
      </w:r>
      <w:r w:rsidRPr="00904FCB">
        <w:rPr>
          <w:rFonts w:hint="cs"/>
          <w:sz w:val="27"/>
          <w:rtl/>
        </w:rPr>
        <w:t>جَعْفَرٍ</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آنِيَةِ</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الذِّمَّةِ</w:t>
      </w:r>
      <w:r w:rsidRPr="00904FCB">
        <w:rPr>
          <w:sz w:val="27"/>
          <w:rtl/>
        </w:rPr>
        <w:t xml:space="preserve"> </w:t>
      </w:r>
      <w:r w:rsidRPr="00904FCB">
        <w:rPr>
          <w:rFonts w:hint="cs"/>
          <w:sz w:val="27"/>
          <w:rtl/>
        </w:rPr>
        <w:t>والْمَجُوسِ، فَقَالَ</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تَأْكُلُوا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آنِيَتِهِمْ</w:t>
      </w:r>
      <w:r w:rsidR="007D356C"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طَعَامِهِمُ</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يَطْبَخُونَ</w:t>
      </w:r>
      <w:r w:rsidR="007D356C"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آنِيَتِهِمُ</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lastRenderedPageBreak/>
        <w:t>يَشْرَبُونَ</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الْخَمْرَ</w:t>
      </w:r>
      <w:r w:rsidRPr="00904FCB">
        <w:rPr>
          <w:rFonts w:hint="eastAsia"/>
          <w:sz w:val="27"/>
          <w:rtl/>
        </w:rPr>
        <w:t>»</w:t>
      </w:r>
      <w:r w:rsidRPr="00904FCB">
        <w:rPr>
          <w:rFonts w:hint="cs"/>
          <w:sz w:val="27"/>
          <w:vertAlign w:val="superscript"/>
          <w:rtl/>
        </w:rPr>
        <w:t>(</w:t>
      </w:r>
      <w:r w:rsidRPr="00904FCB">
        <w:rPr>
          <w:rStyle w:val="ac"/>
          <w:sz w:val="27"/>
          <w:rtl/>
        </w:rPr>
        <w:endnoteReference w:id="677"/>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واضح</w:t>
      </w:r>
      <w:r w:rsidRPr="00904FCB">
        <w:rPr>
          <w:sz w:val="27"/>
          <w:rtl/>
        </w:rPr>
        <w:t xml:space="preserve"> </w:t>
      </w:r>
      <w:r w:rsidRPr="00904FCB">
        <w:rPr>
          <w:rFonts w:hint="cs"/>
          <w:sz w:val="27"/>
          <w:rtl/>
        </w:rPr>
        <w:t>الصحّة؛ لأنّ</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رجاله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رجال</w:t>
      </w:r>
      <w:r w:rsidRPr="00904FCB">
        <w:rPr>
          <w:sz w:val="27"/>
          <w:rtl/>
        </w:rPr>
        <w:t xml:space="preserve"> </w:t>
      </w:r>
      <w:r w:rsidRPr="00904FCB">
        <w:rPr>
          <w:rFonts w:hint="cs"/>
          <w:sz w:val="27"/>
          <w:rtl/>
        </w:rPr>
        <w:t>الصحيح</w:t>
      </w:r>
      <w:r w:rsidRPr="00904FCB">
        <w:rPr>
          <w:sz w:val="27"/>
          <w:rtl/>
        </w:rPr>
        <w:t xml:space="preserve"> </w:t>
      </w:r>
      <w:r w:rsidRPr="00904FCB">
        <w:rPr>
          <w:rFonts w:hint="cs"/>
          <w:sz w:val="27"/>
          <w:rtl/>
        </w:rPr>
        <w:t>بالاتّفاق</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 فإنّه</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يستدلّ</w:t>
      </w:r>
      <w:r w:rsidRPr="00904FCB">
        <w:rPr>
          <w:sz w:val="27"/>
          <w:rtl/>
        </w:rPr>
        <w:t xml:space="preserve"> </w:t>
      </w:r>
      <w:r w:rsidRPr="00904FCB">
        <w:rPr>
          <w:rFonts w:hint="cs"/>
          <w:sz w:val="27"/>
          <w:rtl/>
        </w:rPr>
        <w:t>بالرواية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 بدعوى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الأواني</w:t>
      </w:r>
      <w:r w:rsidRPr="00904FCB">
        <w:rPr>
          <w:sz w:val="27"/>
          <w:rtl/>
        </w:rPr>
        <w:t xml:space="preserve"> </w:t>
      </w:r>
      <w:r w:rsidRPr="00904FCB">
        <w:rPr>
          <w:rFonts w:hint="cs"/>
          <w:sz w:val="27"/>
          <w:rtl/>
        </w:rPr>
        <w:t>لم</w:t>
      </w:r>
      <w:r w:rsidR="007D356C" w:rsidRPr="00904FCB">
        <w:rPr>
          <w:rFonts w:hint="cs"/>
          <w:sz w:val="27"/>
          <w:rtl/>
        </w:rPr>
        <w:t>َ</w:t>
      </w:r>
      <w:r w:rsidRPr="00904FCB">
        <w:rPr>
          <w:rFonts w:hint="cs"/>
          <w:sz w:val="27"/>
          <w:rtl/>
        </w:rPr>
        <w:t>ن</w:t>
      </w:r>
      <w:r w:rsidR="007D356C" w:rsidRPr="00904FCB">
        <w:rPr>
          <w:rFonts w:hint="cs"/>
          <w:sz w:val="27"/>
          <w:rtl/>
        </w:rPr>
        <w:t>ْ</w:t>
      </w:r>
      <w:r w:rsidRPr="00904FCB">
        <w:rPr>
          <w:sz w:val="27"/>
          <w:rtl/>
        </w:rPr>
        <w:t xml:space="preserve"> </w:t>
      </w:r>
      <w:r w:rsidRPr="00904FCB">
        <w:rPr>
          <w:rFonts w:hint="cs"/>
          <w:sz w:val="27"/>
          <w:rtl/>
        </w:rPr>
        <w:t>ذكر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الذمّي</w:t>
      </w:r>
      <w:r w:rsidRPr="00904FCB">
        <w:rPr>
          <w:sz w:val="27"/>
          <w:rtl/>
        </w:rPr>
        <w:t xml:space="preserve"> </w:t>
      </w:r>
      <w:r w:rsidRPr="00904FCB">
        <w:rPr>
          <w:rFonts w:hint="cs"/>
          <w:sz w:val="27"/>
          <w:rtl/>
        </w:rPr>
        <w:t>والمجوسي</w:t>
      </w:r>
      <w:r w:rsidR="007D356C" w:rsidRPr="00904FCB">
        <w:rPr>
          <w:rFonts w:hint="cs"/>
          <w:sz w:val="27"/>
          <w:rtl/>
        </w:rPr>
        <w:t>ّ</w:t>
      </w:r>
      <w:r w:rsidRPr="00904FCB">
        <w:rPr>
          <w:sz w:val="27"/>
          <w:rtl/>
        </w:rPr>
        <w:t xml:space="preserve"> </w:t>
      </w:r>
      <w:r w:rsidRPr="00904FCB">
        <w:rPr>
          <w:rFonts w:hint="cs"/>
          <w:sz w:val="27"/>
          <w:rtl/>
        </w:rPr>
        <w:t>ظاهرٌ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أنّهم</w:t>
      </w:r>
      <w:r w:rsidRPr="00904FCB">
        <w:rPr>
          <w:sz w:val="27"/>
          <w:rtl/>
        </w:rPr>
        <w:t xml:space="preserve"> </w:t>
      </w:r>
      <w:r w:rsidRPr="00904FCB">
        <w:rPr>
          <w:rFonts w:hint="cs"/>
          <w:sz w:val="27"/>
          <w:rtl/>
        </w:rPr>
        <w:t>هم</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نجّ</w:t>
      </w:r>
      <w:r w:rsidR="007D356C" w:rsidRPr="00904FCB">
        <w:rPr>
          <w:rFonts w:hint="cs"/>
          <w:sz w:val="27"/>
          <w:rtl/>
        </w:rPr>
        <w:t>َ</w:t>
      </w:r>
      <w:r w:rsidRPr="00904FCB">
        <w:rPr>
          <w:rFonts w:hint="cs"/>
          <w:sz w:val="27"/>
          <w:rtl/>
        </w:rPr>
        <w:t>سوها</w:t>
      </w:r>
      <w:r w:rsidRPr="00904FCB">
        <w:rPr>
          <w:sz w:val="27"/>
          <w:rtl/>
        </w:rPr>
        <w:t xml:space="preserve"> </w:t>
      </w:r>
      <w:r w:rsidRPr="00904FCB">
        <w:rPr>
          <w:rFonts w:hint="cs"/>
          <w:sz w:val="27"/>
          <w:rtl/>
        </w:rPr>
        <w:t>بمزاولتهم</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غاية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w:t>
      </w:r>
      <w:r w:rsidR="007D356C" w:rsidRPr="00904FCB">
        <w:rPr>
          <w:rFonts w:hint="cs"/>
          <w:sz w:val="27"/>
          <w:rtl/>
        </w:rPr>
        <w:t>ُ</w:t>
      </w:r>
      <w:r w:rsidRPr="00904FCB">
        <w:rPr>
          <w:rFonts w:hint="cs"/>
          <w:sz w:val="27"/>
          <w:rtl/>
        </w:rPr>
        <w:t>قال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تقريب</w:t>
      </w:r>
      <w:r w:rsidRPr="00904FCB">
        <w:rPr>
          <w:sz w:val="27"/>
          <w:rtl/>
        </w:rPr>
        <w:t xml:space="preserve"> </w:t>
      </w:r>
      <w:r w:rsidRPr="00904FCB">
        <w:rPr>
          <w:rFonts w:hint="cs"/>
          <w:sz w:val="27"/>
          <w:rtl/>
        </w:rPr>
        <w:t>الدلالة</w:t>
      </w:r>
      <w:r w:rsidRPr="00904FCB">
        <w:rPr>
          <w:sz w:val="27"/>
          <w:rtl/>
        </w:rPr>
        <w:t xml:space="preserve">. </w:t>
      </w:r>
    </w:p>
    <w:p w:rsidR="00F34FB9" w:rsidRPr="00904FCB" w:rsidRDefault="00F34FB9" w:rsidP="00B9445D">
      <w:pPr>
        <w:spacing w:line="400" w:lineRule="exact"/>
        <w:rPr>
          <w:sz w:val="27"/>
          <w:rtl/>
        </w:rPr>
      </w:pPr>
      <w:r w:rsidRPr="00904FCB">
        <w:rPr>
          <w:rFonts w:hint="cs"/>
          <w:sz w:val="27"/>
          <w:rtl/>
        </w:rPr>
        <w:t>إلاّ</w:t>
      </w:r>
      <w:r w:rsidRPr="00904FCB">
        <w:rPr>
          <w:sz w:val="27"/>
          <w:rtl/>
        </w:rPr>
        <w:t xml:space="preserve"> </w:t>
      </w:r>
      <w:r w:rsidRPr="00904FCB">
        <w:rPr>
          <w:rFonts w:hint="cs"/>
          <w:sz w:val="27"/>
          <w:rtl/>
        </w:rPr>
        <w:t>أنّك</w:t>
      </w:r>
      <w:r w:rsidRPr="00904FCB">
        <w:rPr>
          <w:sz w:val="27"/>
          <w:rtl/>
        </w:rPr>
        <w:t xml:space="preserve"> </w:t>
      </w:r>
      <w:r w:rsidRPr="00904FCB">
        <w:rPr>
          <w:rFonts w:hint="cs"/>
          <w:sz w:val="27"/>
          <w:rtl/>
        </w:rPr>
        <w:t>خبير</w:t>
      </w:r>
      <w:r w:rsidR="007D356C" w:rsidRPr="00904FCB">
        <w:rPr>
          <w:rFonts w:hint="cs"/>
          <w:sz w:val="27"/>
          <w:rtl/>
        </w:rPr>
        <w:t>ٌ</w:t>
      </w:r>
      <w:r w:rsidRPr="00904FCB">
        <w:rPr>
          <w:sz w:val="27"/>
          <w:rtl/>
        </w:rPr>
        <w:t xml:space="preserve"> </w:t>
      </w:r>
      <w:r w:rsidRPr="00904FCB">
        <w:rPr>
          <w:rFonts w:hint="cs"/>
          <w:sz w:val="27"/>
          <w:rtl/>
        </w:rPr>
        <w:t>بعدم</w:t>
      </w:r>
      <w:r w:rsidRPr="00904FCB">
        <w:rPr>
          <w:sz w:val="27"/>
          <w:rtl/>
        </w:rPr>
        <w:t xml:space="preserve"> </w:t>
      </w:r>
      <w:r w:rsidRPr="00904FCB">
        <w:rPr>
          <w:rFonts w:hint="cs"/>
          <w:sz w:val="27"/>
          <w:rtl/>
        </w:rPr>
        <w:t>ظهور</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فضلاً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دعوى</w:t>
      </w:r>
      <w:r w:rsidRPr="00904FCB">
        <w:rPr>
          <w:sz w:val="27"/>
          <w:rtl/>
        </w:rPr>
        <w:t xml:space="preserve"> </w:t>
      </w:r>
      <w:r w:rsidRPr="00904FCB">
        <w:rPr>
          <w:rFonts w:hint="cs"/>
          <w:sz w:val="27"/>
          <w:rtl/>
        </w:rPr>
        <w:t>صراحتها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ذكر</w:t>
      </w:r>
      <w:r w:rsidR="007D356C" w:rsidRPr="00904FCB">
        <w:rPr>
          <w:rFonts w:hint="cs"/>
          <w:sz w:val="27"/>
          <w:rtl/>
        </w:rPr>
        <w:t>؛</w:t>
      </w:r>
      <w:r w:rsidRPr="00904FCB">
        <w:rPr>
          <w:rFonts w:hint="cs"/>
          <w:sz w:val="27"/>
          <w:rtl/>
        </w:rPr>
        <w:t xml:space="preserve"> والسرُّ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مجرّد</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w:t>
      </w:r>
      <w:r w:rsidR="007D356C" w:rsidRPr="00904FCB">
        <w:rPr>
          <w:rFonts w:hint="cs"/>
          <w:sz w:val="27"/>
          <w:rtl/>
        </w:rPr>
        <w:t>أ</w:t>
      </w:r>
      <w:r w:rsidRPr="00904FCB">
        <w:rPr>
          <w:rFonts w:hint="cs"/>
          <w:sz w:val="27"/>
          <w:rtl/>
        </w:rPr>
        <w:t>واني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 إذ</w:t>
      </w:r>
      <w:r w:rsidRPr="00904FCB">
        <w:rPr>
          <w:sz w:val="27"/>
          <w:rtl/>
        </w:rPr>
        <w:t xml:space="preserve"> </w:t>
      </w:r>
      <w:r w:rsidRPr="00904FCB">
        <w:rPr>
          <w:rFonts w:hint="cs"/>
          <w:sz w:val="27"/>
          <w:rtl/>
        </w:rPr>
        <w:t>لعلّه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تورّ</w:t>
      </w:r>
      <w:r w:rsidR="007D356C" w:rsidRPr="00904FCB">
        <w:rPr>
          <w:rFonts w:hint="cs"/>
          <w:sz w:val="27"/>
          <w:rtl/>
        </w:rPr>
        <w:t>ُ</w:t>
      </w:r>
      <w:r w:rsidRPr="00904FCB">
        <w:rPr>
          <w:rFonts w:hint="cs"/>
          <w:sz w:val="27"/>
          <w:rtl/>
        </w:rPr>
        <w:t>عهم</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النجاسات، ومنها</w:t>
      </w:r>
      <w:r w:rsidR="007D356C" w:rsidRPr="00904FCB">
        <w:rPr>
          <w:rFonts w:hint="cs"/>
          <w:sz w:val="27"/>
          <w:rtl/>
        </w:rPr>
        <w:t>:</w:t>
      </w:r>
      <w:r w:rsidRPr="00904FCB">
        <w:rPr>
          <w:sz w:val="27"/>
          <w:rtl/>
        </w:rPr>
        <w:t xml:space="preserve"> </w:t>
      </w:r>
      <w:r w:rsidRPr="00904FCB">
        <w:rPr>
          <w:rFonts w:hint="cs"/>
          <w:sz w:val="27"/>
          <w:rtl/>
        </w:rPr>
        <w:t>أكل</w:t>
      </w:r>
      <w:r w:rsidRPr="00904FCB">
        <w:rPr>
          <w:sz w:val="27"/>
          <w:rtl/>
        </w:rPr>
        <w:t xml:space="preserve"> </w:t>
      </w:r>
      <w:r w:rsidRPr="00904FCB">
        <w:rPr>
          <w:rFonts w:hint="cs"/>
          <w:sz w:val="27"/>
          <w:rtl/>
        </w:rPr>
        <w:t>الميتة</w:t>
      </w:r>
      <w:r w:rsidR="007D356C" w:rsidRPr="00904FCB">
        <w:rPr>
          <w:rFonts w:hint="cs"/>
          <w:sz w:val="27"/>
          <w:rtl/>
        </w:rPr>
        <w:t>،</w:t>
      </w:r>
      <w:r w:rsidRPr="00904FCB">
        <w:rPr>
          <w:sz w:val="27"/>
          <w:rtl/>
        </w:rPr>
        <w:t xml:space="preserve"> </w:t>
      </w:r>
      <w:r w:rsidRPr="00904FCB">
        <w:rPr>
          <w:rFonts w:hint="cs"/>
          <w:sz w:val="27"/>
          <w:rtl/>
        </w:rPr>
        <w:t>وشرب</w:t>
      </w:r>
      <w:r w:rsidRPr="00904FCB">
        <w:rPr>
          <w:sz w:val="27"/>
          <w:rtl/>
        </w:rPr>
        <w:t xml:space="preserve"> </w:t>
      </w:r>
      <w:r w:rsidRPr="00904FCB">
        <w:rPr>
          <w:rFonts w:hint="cs"/>
          <w:sz w:val="27"/>
          <w:rtl/>
        </w:rPr>
        <w:t>الخمر</w:t>
      </w:r>
      <w:r w:rsidR="007D356C" w:rsidRPr="00904FCB">
        <w:rPr>
          <w:rFonts w:hint="cs"/>
          <w:sz w:val="27"/>
          <w:rtl/>
        </w:rPr>
        <w:t>،</w:t>
      </w:r>
      <w:r w:rsidRPr="00904FCB">
        <w:rPr>
          <w:sz w:val="27"/>
          <w:rtl/>
        </w:rPr>
        <w:t xml:space="preserve"> </w:t>
      </w:r>
      <w:r w:rsidRPr="00904FCB">
        <w:rPr>
          <w:rFonts w:hint="cs"/>
          <w:sz w:val="27"/>
          <w:rtl/>
        </w:rPr>
        <w:t>وغيرهما</w:t>
      </w:r>
      <w:r w:rsidRPr="00904FCB">
        <w:rPr>
          <w:sz w:val="27"/>
          <w:rtl/>
        </w:rPr>
        <w:t xml:space="preserve"> </w:t>
      </w:r>
      <w:r w:rsidRPr="00904FCB">
        <w:rPr>
          <w:rFonts w:hint="cs"/>
          <w:sz w:val="27"/>
          <w:rtl/>
        </w:rPr>
        <w:t>ممّا</w:t>
      </w:r>
      <w:r w:rsidRPr="00904FCB">
        <w:rPr>
          <w:sz w:val="27"/>
          <w:rtl/>
        </w:rPr>
        <w:t xml:space="preserve"> </w:t>
      </w:r>
      <w:r w:rsidRPr="00904FCB">
        <w:rPr>
          <w:rFonts w:hint="cs"/>
          <w:sz w:val="27"/>
          <w:rtl/>
        </w:rPr>
        <w:t>يستحلّونه، بل</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ذيل</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يشير</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ذلك</w:t>
      </w:r>
      <w:r w:rsidR="007D356C" w:rsidRPr="00904FCB">
        <w:rPr>
          <w:rFonts w:hint="cs"/>
          <w:sz w:val="27"/>
          <w:rtl/>
        </w:rPr>
        <w:t>،</w:t>
      </w:r>
      <w:r w:rsidRPr="00904FCB">
        <w:rPr>
          <w:sz w:val="27"/>
          <w:rtl/>
        </w:rPr>
        <w:t xml:space="preserve"> </w:t>
      </w:r>
      <w:r w:rsidRPr="00904FCB">
        <w:rPr>
          <w:rFonts w:hint="cs"/>
          <w:sz w:val="27"/>
          <w:rtl/>
        </w:rPr>
        <w:t>عندما</w:t>
      </w:r>
      <w:r w:rsidRPr="00904FCB">
        <w:rPr>
          <w:sz w:val="27"/>
          <w:rtl/>
        </w:rPr>
        <w:t xml:space="preserve"> </w:t>
      </w:r>
      <w:r w:rsidRPr="00904FCB">
        <w:rPr>
          <w:rFonts w:hint="cs"/>
          <w:sz w:val="27"/>
          <w:rtl/>
        </w:rPr>
        <w:t>ذكر</w:t>
      </w:r>
      <w:r w:rsidRPr="00904FCB">
        <w:rPr>
          <w:sz w:val="27"/>
          <w:rtl/>
        </w:rPr>
        <w:t xml:space="preserve"> </w:t>
      </w:r>
      <w:r w:rsidRPr="00904FCB">
        <w:rPr>
          <w:rFonts w:hint="cs"/>
          <w:sz w:val="27"/>
          <w:rtl/>
        </w:rPr>
        <w:t>الإمام</w:t>
      </w:r>
      <w:r w:rsidR="001C1A2A" w:rsidRPr="00904FCB">
        <w:rPr>
          <w:rFonts w:cs="Mosawi"/>
          <w:sz w:val="27"/>
          <w:szCs w:val="22"/>
          <w:rtl/>
        </w:rPr>
        <w:t>×</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بمثابة</w:t>
      </w:r>
      <w:r w:rsidRPr="00904FCB">
        <w:rPr>
          <w:sz w:val="27"/>
          <w:rtl/>
        </w:rPr>
        <w:t xml:space="preserve"> </w:t>
      </w:r>
      <w:r w:rsidRPr="00904FCB">
        <w:rPr>
          <w:rFonts w:hint="cs"/>
          <w:sz w:val="27"/>
          <w:rtl/>
        </w:rPr>
        <w:t>التعليل</w:t>
      </w:r>
      <w:r w:rsidRPr="00904FCB">
        <w:rPr>
          <w:sz w:val="27"/>
          <w:rtl/>
        </w:rPr>
        <w:t xml:space="preserve"> </w:t>
      </w:r>
      <w:r w:rsidRPr="00904FCB">
        <w:rPr>
          <w:rFonts w:hint="cs"/>
          <w:sz w:val="27"/>
          <w:rtl/>
        </w:rPr>
        <w:t>والبيان</w:t>
      </w:r>
      <w:r w:rsidRPr="00904FCB">
        <w:rPr>
          <w:sz w:val="27"/>
          <w:rtl/>
        </w:rPr>
        <w:t xml:space="preserve"> </w:t>
      </w:r>
      <w:r w:rsidRPr="00904FCB">
        <w:rPr>
          <w:rFonts w:hint="cs"/>
          <w:sz w:val="27"/>
          <w:rtl/>
        </w:rPr>
        <w:t>بقوله</w:t>
      </w:r>
      <w:r w:rsidRPr="00904FCB">
        <w:rPr>
          <w:sz w:val="27"/>
          <w:rtl/>
        </w:rPr>
        <w:t>: «</w:t>
      </w:r>
      <w:r w:rsidRPr="00904FCB">
        <w:rPr>
          <w:rFonts w:hint="cs"/>
          <w:sz w:val="27"/>
          <w:rtl/>
        </w:rPr>
        <w:t>التي</w:t>
      </w:r>
      <w:r w:rsidRPr="00904FCB">
        <w:rPr>
          <w:sz w:val="27"/>
          <w:rtl/>
        </w:rPr>
        <w:t xml:space="preserve"> </w:t>
      </w:r>
      <w:r w:rsidRPr="00904FCB">
        <w:rPr>
          <w:rFonts w:hint="cs"/>
          <w:sz w:val="27"/>
          <w:rtl/>
        </w:rPr>
        <w:t>يشربون</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الخمر</w:t>
      </w:r>
      <w:r w:rsidRPr="00904FCB">
        <w:rPr>
          <w:rFonts w:hint="eastAsia"/>
          <w:sz w:val="27"/>
          <w:rtl/>
        </w:rPr>
        <w:t>»</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هذا</w:t>
      </w:r>
      <w:r w:rsidRPr="00904FCB">
        <w:rPr>
          <w:sz w:val="27"/>
          <w:rtl/>
        </w:rPr>
        <w:t xml:space="preserve"> </w:t>
      </w:r>
      <w:r w:rsidRPr="00904FCB">
        <w:rPr>
          <w:rFonts w:hint="cs"/>
          <w:sz w:val="27"/>
          <w:rtl/>
        </w:rPr>
        <w:t>بالإضافة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وإن</w:t>
      </w:r>
      <w:r w:rsidR="007D356C"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ظاهره</w:t>
      </w:r>
      <w:r w:rsidRPr="00904FCB">
        <w:rPr>
          <w:sz w:val="27"/>
          <w:rtl/>
        </w:rPr>
        <w:t xml:space="preserve"> </w:t>
      </w:r>
      <w:r w:rsidRPr="00904FCB">
        <w:rPr>
          <w:rFonts w:hint="cs"/>
          <w:sz w:val="27"/>
          <w:rtl/>
        </w:rPr>
        <w:t>البدوي</w:t>
      </w:r>
      <w:r w:rsidR="007D356C" w:rsidRPr="00904FCB">
        <w:rPr>
          <w:rFonts w:hint="cs"/>
          <w:sz w:val="27"/>
          <w:rtl/>
        </w:rPr>
        <w:t>ّ</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التحريم، ولك</w:t>
      </w:r>
      <w:r w:rsidR="007D356C" w:rsidRPr="00904FCB">
        <w:rPr>
          <w:rFonts w:hint="cs"/>
          <w:sz w:val="27"/>
          <w:rtl/>
        </w:rPr>
        <w:t>نْ</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w:t>
      </w:r>
      <w:r w:rsidR="007D356C" w:rsidRPr="00904FCB">
        <w:rPr>
          <w:rFonts w:hint="cs"/>
          <w:sz w:val="27"/>
          <w:rtl/>
        </w:rPr>
        <w:t>ُ</w:t>
      </w:r>
      <w:r w:rsidRPr="00904FCB">
        <w:rPr>
          <w:rFonts w:hint="cs"/>
          <w:sz w:val="27"/>
          <w:rtl/>
        </w:rPr>
        <w:t>دّ</w:t>
      </w:r>
      <w:r w:rsidR="007D356C"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رفع</w:t>
      </w:r>
      <w:r w:rsidRPr="00904FCB">
        <w:rPr>
          <w:sz w:val="27"/>
          <w:rtl/>
        </w:rPr>
        <w:t xml:space="preserve"> </w:t>
      </w:r>
      <w:r w:rsidRPr="00904FCB">
        <w:rPr>
          <w:rFonts w:hint="cs"/>
          <w:sz w:val="27"/>
          <w:rtl/>
        </w:rPr>
        <w:t>اليد</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الظهور</w:t>
      </w:r>
      <w:r w:rsidR="007D356C" w:rsidRPr="00904FCB">
        <w:rPr>
          <w:rFonts w:hint="cs"/>
          <w:sz w:val="27"/>
          <w:rtl/>
        </w:rPr>
        <w:t>؛</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صرّ</w:t>
      </w:r>
      <w:r w:rsidR="007D356C" w:rsidRPr="00904FCB">
        <w:rPr>
          <w:rFonts w:hint="cs"/>
          <w:sz w:val="27"/>
          <w:rtl/>
        </w:rPr>
        <w:t>َ</w:t>
      </w:r>
      <w:r w:rsidRPr="00904FCB">
        <w:rPr>
          <w:rFonts w:hint="cs"/>
          <w:sz w:val="27"/>
          <w:rtl/>
        </w:rPr>
        <w:t>حت</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صحيحة</w:t>
      </w:r>
      <w:r w:rsidRPr="00904FCB">
        <w:rPr>
          <w:sz w:val="27"/>
          <w:rtl/>
        </w:rPr>
        <w:t xml:space="preserve"> </w:t>
      </w:r>
      <w:r w:rsidRPr="00904FCB">
        <w:rPr>
          <w:rFonts w:hint="cs"/>
          <w:sz w:val="27"/>
          <w:rtl/>
        </w:rPr>
        <w:t>إسماعيل</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جابر</w:t>
      </w:r>
      <w:r w:rsidR="007D356C"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نهي</w:t>
      </w:r>
      <w:r w:rsidR="007D356C" w:rsidRPr="00904FCB">
        <w:rPr>
          <w:rFonts w:hint="cs"/>
          <w:sz w:val="27"/>
          <w:rtl/>
        </w:rPr>
        <w:t>ٌ</w:t>
      </w:r>
      <w:r w:rsidRPr="00904FCB">
        <w:rPr>
          <w:rFonts w:hint="cs"/>
          <w:sz w:val="27"/>
          <w:rtl/>
        </w:rPr>
        <w:t xml:space="preserve"> تنزيهيّ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المورد</w:t>
      </w:r>
      <w:r w:rsidR="007D356C" w:rsidRPr="00904FCB">
        <w:rPr>
          <w:rFonts w:hint="cs"/>
          <w:sz w:val="27"/>
          <w:rtl/>
        </w:rPr>
        <w:t>،</w:t>
      </w:r>
      <w:r w:rsidRPr="00904FCB">
        <w:rPr>
          <w:sz w:val="27"/>
          <w:rtl/>
        </w:rPr>
        <w:t xml:space="preserve"> </w:t>
      </w:r>
      <w:r w:rsidRPr="00904FCB">
        <w:rPr>
          <w:rFonts w:hint="cs"/>
          <w:sz w:val="27"/>
          <w:rtl/>
        </w:rPr>
        <w:t>وليس</w:t>
      </w:r>
      <w:r w:rsidRPr="00904FCB">
        <w:rPr>
          <w:sz w:val="27"/>
          <w:rtl/>
        </w:rPr>
        <w:t xml:space="preserve"> </w:t>
      </w:r>
      <w:r w:rsidRPr="00904FCB">
        <w:rPr>
          <w:rFonts w:hint="cs"/>
          <w:sz w:val="27"/>
          <w:rtl/>
        </w:rPr>
        <w:t>تحريميّاً</w:t>
      </w:r>
      <w:r w:rsidR="007D356C" w:rsidRPr="00904FCB">
        <w:rPr>
          <w:rFonts w:hint="cs"/>
          <w:sz w:val="27"/>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والنتيجة</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الرواية</w:t>
      </w:r>
      <w:r w:rsidRPr="00904FCB">
        <w:rPr>
          <w:sz w:val="27"/>
          <w:rtl/>
        </w:rPr>
        <w:t xml:space="preserve"> </w:t>
      </w:r>
      <w:r w:rsidR="00136725" w:rsidRPr="00904FCB">
        <w:rPr>
          <w:rFonts w:hint="cs"/>
          <w:sz w:val="27"/>
          <w:rtl/>
        </w:rPr>
        <w:t xml:space="preserve">ـ </w:t>
      </w:r>
      <w:r w:rsidRPr="00904FCB">
        <w:rPr>
          <w:rFonts w:hint="cs"/>
          <w:sz w:val="27"/>
          <w:rtl/>
        </w:rPr>
        <w:t>إن</w:t>
      </w:r>
      <w:r w:rsidR="00136725" w:rsidRPr="00904FCB">
        <w:rPr>
          <w:rFonts w:hint="cs"/>
          <w:sz w:val="27"/>
          <w:rtl/>
        </w:rPr>
        <w:t>ْ</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نعدّها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المشيرة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الطهارة</w:t>
      </w:r>
      <w:r w:rsidRPr="00904FCB">
        <w:rPr>
          <w:sz w:val="27"/>
          <w:rtl/>
        </w:rPr>
        <w:t xml:space="preserve"> </w:t>
      </w:r>
      <w:r w:rsidRPr="00904FCB">
        <w:rPr>
          <w:rFonts w:hint="cs"/>
          <w:sz w:val="27"/>
          <w:rtl/>
        </w:rPr>
        <w:t>الذاتيّة</w:t>
      </w:r>
      <w:r w:rsidR="00136725" w:rsidRPr="00904FCB">
        <w:rPr>
          <w:rFonts w:hint="cs"/>
          <w:sz w:val="27"/>
          <w:rtl/>
        </w:rPr>
        <w:t xml:space="preserve"> ـ</w:t>
      </w:r>
      <w:r w:rsidRPr="00904FCB">
        <w:rPr>
          <w:rFonts w:hint="cs"/>
          <w:sz w:val="27"/>
          <w:rtl/>
        </w:rPr>
        <w:t xml:space="preserve"> ليست</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أدلّة</w:t>
      </w:r>
      <w:r w:rsidRPr="00904FCB">
        <w:rPr>
          <w:sz w:val="27"/>
          <w:rtl/>
        </w:rPr>
        <w:t xml:space="preserve"> </w:t>
      </w:r>
      <w:r w:rsidRPr="00904FCB">
        <w:rPr>
          <w:rFonts w:hint="cs"/>
          <w:sz w:val="27"/>
          <w:rtl/>
        </w:rPr>
        <w:t>النجاسة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الثانية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w:t>
      </w:r>
      <w:r w:rsidR="00136725" w:rsidRPr="00904FCB">
        <w:rPr>
          <w:rFonts w:hint="cs"/>
          <w:sz w:val="27"/>
          <w:rtl/>
        </w:rPr>
        <w:t>َ</w:t>
      </w:r>
      <w:r w:rsidRPr="00904FCB">
        <w:rPr>
          <w:rFonts w:hint="cs"/>
          <w:sz w:val="27"/>
          <w:rtl/>
        </w:rPr>
        <w:t>عَنْهُ</w:t>
      </w:r>
      <w:r w:rsidR="00136725"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مُحَمَّدٍ</w:t>
      </w:r>
      <w:r w:rsidR="00136725"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الْحَكَمِ</w:t>
      </w:r>
      <w:r w:rsidR="00136725"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يَحْيَى</w:t>
      </w:r>
      <w:r w:rsidRPr="00904FCB">
        <w:rPr>
          <w:sz w:val="27"/>
          <w:rtl/>
        </w:rPr>
        <w:t xml:space="preserve"> </w:t>
      </w:r>
      <w:r w:rsidRPr="00904FCB">
        <w:rPr>
          <w:rFonts w:hint="cs"/>
          <w:sz w:val="27"/>
          <w:rtl/>
        </w:rPr>
        <w:t>الْكَاهِلِيِّ</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w:t>
      </w:r>
      <w:r w:rsidRPr="00904FCB">
        <w:rPr>
          <w:sz w:val="27"/>
          <w:rtl/>
        </w:rPr>
        <w:t xml:space="preserve"> </w:t>
      </w:r>
      <w:r w:rsidRPr="00904FCB">
        <w:rPr>
          <w:rFonts w:hint="cs"/>
          <w:sz w:val="27"/>
          <w:rtl/>
        </w:rPr>
        <w:t>أَبَا</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قَوْمٍ</w:t>
      </w:r>
      <w:r w:rsidRPr="00904FCB">
        <w:rPr>
          <w:sz w:val="27"/>
          <w:rtl/>
        </w:rPr>
        <w:t xml:space="preserve"> </w:t>
      </w:r>
      <w:r w:rsidRPr="00904FCB">
        <w:rPr>
          <w:rFonts w:hint="cs"/>
          <w:sz w:val="27"/>
          <w:rtl/>
        </w:rPr>
        <w:t>مُسْلِمِينَ</w:t>
      </w:r>
      <w:r w:rsidRPr="00904FCB">
        <w:rPr>
          <w:sz w:val="27"/>
          <w:rtl/>
        </w:rPr>
        <w:t xml:space="preserve"> </w:t>
      </w:r>
      <w:r w:rsidRPr="00904FCB">
        <w:rPr>
          <w:rFonts w:hint="cs"/>
          <w:sz w:val="27"/>
          <w:rtl/>
        </w:rPr>
        <w:t>يَأْكُلُونَ</w:t>
      </w:r>
      <w:r w:rsidR="006E3877" w:rsidRPr="00904FCB">
        <w:rPr>
          <w:rFonts w:hint="cs"/>
          <w:sz w:val="27"/>
          <w:rtl/>
        </w:rPr>
        <w:t>،</w:t>
      </w:r>
      <w:r w:rsidRPr="00904FCB">
        <w:rPr>
          <w:sz w:val="27"/>
          <w:rtl/>
        </w:rPr>
        <w:t xml:space="preserve"> </w:t>
      </w:r>
      <w:r w:rsidRPr="00904FCB">
        <w:rPr>
          <w:rFonts w:hint="cs"/>
          <w:sz w:val="27"/>
          <w:rtl/>
        </w:rPr>
        <w:t>وحَضَرَهُمْ</w:t>
      </w:r>
      <w:r w:rsidRPr="00904FCB">
        <w:rPr>
          <w:sz w:val="27"/>
          <w:rtl/>
        </w:rPr>
        <w:t xml:space="preserve"> </w:t>
      </w:r>
      <w:r w:rsidRPr="00904FCB">
        <w:rPr>
          <w:rFonts w:hint="cs"/>
          <w:sz w:val="27"/>
          <w:rtl/>
        </w:rPr>
        <w:t>رَجُلٌ</w:t>
      </w:r>
      <w:r w:rsidRPr="00904FCB">
        <w:rPr>
          <w:sz w:val="27"/>
          <w:rtl/>
        </w:rPr>
        <w:t xml:space="preserve"> </w:t>
      </w:r>
      <w:r w:rsidRPr="00904FCB">
        <w:rPr>
          <w:rFonts w:hint="cs"/>
          <w:sz w:val="27"/>
          <w:rtl/>
        </w:rPr>
        <w:t>مَجُوسِيٌّ، أَيَدْعُونَهُ</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طَعَامِهِمْ؟ فَقَالَ</w:t>
      </w:r>
      <w:r w:rsidRPr="00904FCB">
        <w:rPr>
          <w:sz w:val="27"/>
          <w:rtl/>
        </w:rPr>
        <w:t xml:space="preserve">: </w:t>
      </w:r>
      <w:r w:rsidRPr="00904FCB">
        <w:rPr>
          <w:rFonts w:hint="cs"/>
          <w:sz w:val="27"/>
          <w:rtl/>
        </w:rPr>
        <w:t>أَمَّا</w:t>
      </w:r>
      <w:r w:rsidRPr="00904FCB">
        <w:rPr>
          <w:sz w:val="27"/>
          <w:rtl/>
        </w:rPr>
        <w:t xml:space="preserve"> </w:t>
      </w:r>
      <w:r w:rsidRPr="00904FCB">
        <w:rPr>
          <w:rFonts w:hint="cs"/>
          <w:sz w:val="27"/>
          <w:rtl/>
        </w:rPr>
        <w:t>أَنَا</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أُوَاكِلُ</w:t>
      </w:r>
      <w:r w:rsidRPr="00904FCB">
        <w:rPr>
          <w:sz w:val="27"/>
          <w:rtl/>
        </w:rPr>
        <w:t xml:space="preserve"> </w:t>
      </w:r>
      <w:r w:rsidRPr="00904FCB">
        <w:rPr>
          <w:rFonts w:hint="cs"/>
          <w:sz w:val="27"/>
          <w:rtl/>
        </w:rPr>
        <w:t>الْمَجُوسِيَّ</w:t>
      </w:r>
      <w:r w:rsidR="006E3877" w:rsidRPr="00904FCB">
        <w:rPr>
          <w:rFonts w:hint="cs"/>
          <w:sz w:val="27"/>
          <w:rtl/>
        </w:rPr>
        <w:t>،</w:t>
      </w:r>
      <w:r w:rsidRPr="00904FCB">
        <w:rPr>
          <w:sz w:val="27"/>
          <w:rtl/>
        </w:rPr>
        <w:t xml:space="preserve"> </w:t>
      </w:r>
      <w:r w:rsidRPr="00904FCB">
        <w:rPr>
          <w:rFonts w:hint="cs"/>
          <w:sz w:val="27"/>
          <w:rtl/>
        </w:rPr>
        <w:t>وأَكْرَهُ</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أُحَرِّمَ</w:t>
      </w:r>
      <w:r w:rsidRPr="00904FCB">
        <w:rPr>
          <w:sz w:val="27"/>
          <w:rtl/>
        </w:rPr>
        <w:t xml:space="preserve"> </w:t>
      </w:r>
      <w:r w:rsidRPr="00904FCB">
        <w:rPr>
          <w:rFonts w:hint="cs"/>
          <w:sz w:val="27"/>
          <w:rtl/>
        </w:rPr>
        <w:t>عَلَيْكُمْ</w:t>
      </w:r>
      <w:r w:rsidRPr="00904FCB">
        <w:rPr>
          <w:sz w:val="27"/>
          <w:rtl/>
        </w:rPr>
        <w:t xml:space="preserve"> </w:t>
      </w:r>
      <w:r w:rsidRPr="00904FCB">
        <w:rPr>
          <w:rFonts w:hint="cs"/>
          <w:sz w:val="27"/>
          <w:rtl/>
        </w:rPr>
        <w:t>شَيْئاً</w:t>
      </w:r>
      <w:r w:rsidRPr="00904FCB">
        <w:rPr>
          <w:sz w:val="27"/>
          <w:rtl/>
        </w:rPr>
        <w:t xml:space="preserve"> </w:t>
      </w:r>
      <w:r w:rsidRPr="00904FCB">
        <w:rPr>
          <w:rFonts w:hint="cs"/>
          <w:sz w:val="27"/>
          <w:rtl/>
        </w:rPr>
        <w:t>تَصْنَعُونَهُ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بِلادِكُمْ</w:t>
      </w:r>
      <w:r w:rsidRPr="00904FCB">
        <w:rPr>
          <w:rFonts w:hint="eastAsia"/>
          <w:sz w:val="27"/>
          <w:rtl/>
        </w:rPr>
        <w:t>»</w:t>
      </w:r>
      <w:r w:rsidRPr="00904FCB">
        <w:rPr>
          <w:rFonts w:hint="cs"/>
          <w:sz w:val="27"/>
          <w:vertAlign w:val="superscript"/>
          <w:rtl/>
        </w:rPr>
        <w:t>(</w:t>
      </w:r>
      <w:r w:rsidRPr="00904FCB">
        <w:rPr>
          <w:rStyle w:val="ac"/>
          <w:sz w:val="27"/>
          <w:rtl/>
        </w:rPr>
        <w:endnoteReference w:id="678"/>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معتبر</w:t>
      </w:r>
      <w:r w:rsidR="006E3877" w:rsidRPr="00904FCB">
        <w:rPr>
          <w:rFonts w:hint="cs"/>
          <w:sz w:val="27"/>
          <w:rtl/>
        </w:rPr>
        <w:t>ٌ</w:t>
      </w:r>
      <w:r w:rsidRPr="00904FCB">
        <w:rPr>
          <w:rFonts w:hint="cs"/>
          <w:sz w:val="27"/>
          <w:rtl/>
        </w:rPr>
        <w:t>؛ حيث</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يرويها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شيخه</w:t>
      </w:r>
      <w:r w:rsidRPr="00904FCB">
        <w:rPr>
          <w:sz w:val="27"/>
          <w:rtl/>
        </w:rPr>
        <w:t xml:space="preserve"> </w:t>
      </w:r>
      <w:r w:rsidR="006E3877" w:rsidRPr="00904FCB">
        <w:rPr>
          <w:rFonts w:hint="cs"/>
          <w:sz w:val="27"/>
          <w:rtl/>
        </w:rPr>
        <w:t>محم</w:t>
      </w:r>
      <w:r w:rsidRPr="00904FCB">
        <w:rPr>
          <w:rFonts w:hint="cs"/>
          <w:sz w:val="27"/>
          <w:rtl/>
        </w:rPr>
        <w:t>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يحيى</w:t>
      </w:r>
      <w:r w:rsidRPr="00904FCB">
        <w:rPr>
          <w:sz w:val="27"/>
          <w:rtl/>
        </w:rPr>
        <w:t xml:space="preserve"> </w:t>
      </w:r>
      <w:r w:rsidRPr="00904FCB">
        <w:rPr>
          <w:rFonts w:hint="cs"/>
          <w:sz w:val="27"/>
          <w:rtl/>
        </w:rPr>
        <w:t>الثقة</w:t>
      </w:r>
      <w:r w:rsidRPr="00904FCB">
        <w:rPr>
          <w:sz w:val="27"/>
          <w:rtl/>
        </w:rPr>
        <w:t xml:space="preserve"> </w:t>
      </w:r>
      <w:r w:rsidRPr="00904FCB">
        <w:rPr>
          <w:rFonts w:hint="cs"/>
          <w:sz w:val="27"/>
          <w:rtl/>
        </w:rPr>
        <w:t>الجليل</w:t>
      </w:r>
      <w:r w:rsidR="006E3877" w:rsidRPr="00904FCB">
        <w:rPr>
          <w:rFonts w:hint="cs"/>
          <w:sz w:val="27"/>
          <w:rtl/>
        </w:rPr>
        <w:t>.</w:t>
      </w:r>
      <w:r w:rsidRPr="00904FCB">
        <w:rPr>
          <w:sz w:val="27"/>
          <w:rtl/>
        </w:rPr>
        <w:t xml:space="preserve"> </w:t>
      </w:r>
      <w:r w:rsidRPr="00904FCB">
        <w:rPr>
          <w:rFonts w:hint="cs"/>
          <w:sz w:val="27"/>
          <w:rtl/>
        </w:rPr>
        <w:t>وبقيّة</w:t>
      </w:r>
      <w:r w:rsidRPr="00904FCB">
        <w:rPr>
          <w:sz w:val="27"/>
          <w:rtl/>
        </w:rPr>
        <w:t xml:space="preserve"> </w:t>
      </w:r>
      <w:r w:rsidRPr="00904FCB">
        <w:rPr>
          <w:rFonts w:hint="cs"/>
          <w:sz w:val="27"/>
          <w:rtl/>
        </w:rPr>
        <w:t>السند</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الكاهلي</w:t>
      </w:r>
      <w:r w:rsidRPr="00904FCB">
        <w:rPr>
          <w:sz w:val="27"/>
          <w:rtl/>
        </w:rPr>
        <w:t xml:space="preserve"> </w:t>
      </w:r>
      <w:r w:rsidRPr="00904FCB">
        <w:rPr>
          <w:rFonts w:hint="cs"/>
          <w:sz w:val="27"/>
          <w:rtl/>
        </w:rPr>
        <w:t>صحيح</w:t>
      </w:r>
      <w:r w:rsidR="006E3877" w:rsidRPr="00904FCB">
        <w:rPr>
          <w:rFonts w:hint="cs"/>
          <w:sz w:val="27"/>
          <w:rtl/>
        </w:rPr>
        <w:t>ٌ</w:t>
      </w:r>
      <w:r w:rsidRPr="00904FCB">
        <w:rPr>
          <w:sz w:val="27"/>
          <w:rtl/>
        </w:rPr>
        <w:t xml:space="preserve">. </w:t>
      </w:r>
      <w:r w:rsidRPr="00904FCB">
        <w:rPr>
          <w:rFonts w:hint="cs"/>
          <w:sz w:val="27"/>
          <w:rtl/>
        </w:rPr>
        <w:t>وأمّا</w:t>
      </w:r>
      <w:r w:rsidRPr="00904FCB">
        <w:rPr>
          <w:sz w:val="27"/>
          <w:rtl/>
        </w:rPr>
        <w:t xml:space="preserve"> </w:t>
      </w:r>
      <w:r w:rsidRPr="00904FCB">
        <w:rPr>
          <w:rFonts w:hint="cs"/>
          <w:sz w:val="27"/>
          <w:rtl/>
        </w:rPr>
        <w:t>الكاهلي</w:t>
      </w:r>
      <w:r w:rsidRPr="00904FCB">
        <w:rPr>
          <w:sz w:val="27"/>
          <w:rtl/>
        </w:rPr>
        <w:t xml:space="preserve"> </w:t>
      </w:r>
      <w:r w:rsidRPr="00904FCB">
        <w:rPr>
          <w:rFonts w:hint="cs"/>
          <w:sz w:val="27"/>
          <w:rtl/>
        </w:rPr>
        <w:t>فقد</w:t>
      </w:r>
      <w:r w:rsidRPr="00904FCB">
        <w:rPr>
          <w:sz w:val="27"/>
          <w:rtl/>
        </w:rPr>
        <w:t xml:space="preserve"> </w:t>
      </w:r>
      <w:r w:rsidRPr="00904FCB">
        <w:rPr>
          <w:rFonts w:hint="cs"/>
          <w:sz w:val="27"/>
          <w:rtl/>
        </w:rPr>
        <w:t>صرّ</w:t>
      </w:r>
      <w:r w:rsidR="006E3877" w:rsidRPr="00904FCB">
        <w:rPr>
          <w:rFonts w:hint="cs"/>
          <w:sz w:val="27"/>
          <w:rtl/>
        </w:rPr>
        <w:t>َ</w:t>
      </w:r>
      <w:r w:rsidRPr="00904FCB">
        <w:rPr>
          <w:rFonts w:hint="cs"/>
          <w:sz w:val="27"/>
          <w:rtl/>
        </w:rPr>
        <w:t>ح</w:t>
      </w:r>
      <w:r w:rsidRPr="00904FCB">
        <w:rPr>
          <w:sz w:val="27"/>
          <w:rtl/>
        </w:rPr>
        <w:t xml:space="preserve"> </w:t>
      </w:r>
      <w:r w:rsidRPr="00904FCB">
        <w:rPr>
          <w:rFonts w:hint="cs"/>
          <w:sz w:val="27"/>
          <w:rtl/>
        </w:rPr>
        <w:t>النجاشي</w:t>
      </w:r>
      <w:r w:rsidRPr="00904FCB">
        <w:rPr>
          <w:sz w:val="27"/>
          <w:rtl/>
        </w:rPr>
        <w:t xml:space="preserve"> </w:t>
      </w:r>
      <w:r w:rsidRPr="00904FCB">
        <w:rPr>
          <w:rFonts w:hint="cs"/>
          <w:sz w:val="27"/>
          <w:rtl/>
        </w:rPr>
        <w:t>بأنّه</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و</w:t>
      </w:r>
      <w:r w:rsidR="006E3877" w:rsidRPr="00904FCB">
        <w:rPr>
          <w:rFonts w:hint="cs"/>
          <w:sz w:val="27"/>
          <w:rtl/>
        </w:rPr>
        <w:t>َ</w:t>
      </w:r>
      <w:r w:rsidRPr="00904FCB">
        <w:rPr>
          <w:rFonts w:hint="cs"/>
          <w:sz w:val="27"/>
          <w:rtl/>
        </w:rPr>
        <w:t>ج</w:t>
      </w:r>
      <w:r w:rsidR="006E3877" w:rsidRPr="00904FCB">
        <w:rPr>
          <w:rFonts w:hint="cs"/>
          <w:sz w:val="27"/>
          <w:rtl/>
        </w:rPr>
        <w:t>ْ</w:t>
      </w:r>
      <w:r w:rsidRPr="00904FCB">
        <w:rPr>
          <w:rFonts w:hint="cs"/>
          <w:sz w:val="27"/>
          <w:rtl/>
        </w:rPr>
        <w:t>هاً</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الإمام</w:t>
      </w:r>
      <w:r w:rsidRPr="00904FCB">
        <w:rPr>
          <w:sz w:val="27"/>
          <w:rtl/>
        </w:rPr>
        <w:t xml:space="preserve"> </w:t>
      </w:r>
      <w:r w:rsidRPr="00904FCB">
        <w:rPr>
          <w:rFonts w:hint="cs"/>
          <w:sz w:val="27"/>
          <w:rtl/>
        </w:rPr>
        <w:t>الصادق</w:t>
      </w:r>
      <w:r w:rsidR="001C1A2A" w:rsidRPr="00904FCB">
        <w:rPr>
          <w:rFonts w:cs="Mosawi"/>
          <w:sz w:val="27"/>
          <w:szCs w:val="22"/>
          <w:rtl/>
        </w:rPr>
        <w:t>×</w:t>
      </w:r>
      <w:r w:rsidRPr="00904FCB">
        <w:rPr>
          <w:sz w:val="27"/>
          <w:rtl/>
        </w:rPr>
        <w:t>،</w:t>
      </w:r>
      <w:r w:rsidRPr="00904FCB">
        <w:rPr>
          <w:rFonts w:hint="cs"/>
          <w:sz w:val="27"/>
          <w:rtl/>
        </w:rPr>
        <w:t xml:space="preserve"> وهو</w:t>
      </w:r>
      <w:r w:rsidRPr="00904FCB">
        <w:rPr>
          <w:sz w:val="27"/>
          <w:rtl/>
        </w:rPr>
        <w:t xml:space="preserve"> </w:t>
      </w:r>
      <w:r w:rsidRPr="00904FCB">
        <w:rPr>
          <w:rFonts w:hint="cs"/>
          <w:sz w:val="27"/>
          <w:rtl/>
        </w:rPr>
        <w:t>يكفي</w:t>
      </w:r>
      <w:r w:rsidRPr="00904FCB">
        <w:rPr>
          <w:sz w:val="27"/>
          <w:rtl/>
        </w:rPr>
        <w:t xml:space="preserve"> </w:t>
      </w:r>
      <w:r w:rsidRPr="00904FCB">
        <w:rPr>
          <w:rFonts w:hint="cs"/>
          <w:sz w:val="27"/>
          <w:rtl/>
        </w:rPr>
        <w:t>للتوثيق</w:t>
      </w:r>
      <w:r w:rsidRPr="00904FCB">
        <w:rPr>
          <w:sz w:val="27"/>
          <w:rtl/>
        </w:rPr>
        <w:t xml:space="preserve"> </w:t>
      </w:r>
      <w:r w:rsidRPr="00904FCB">
        <w:rPr>
          <w:rFonts w:hint="cs"/>
          <w:sz w:val="27"/>
          <w:rtl/>
        </w:rPr>
        <w:t>عندنا</w:t>
      </w:r>
      <w:r w:rsidRPr="00904FCB">
        <w:rPr>
          <w:sz w:val="27"/>
          <w:rtl/>
        </w:rPr>
        <w:t xml:space="preserve">. </w:t>
      </w:r>
      <w:r w:rsidRPr="00904FCB">
        <w:rPr>
          <w:rFonts w:hint="cs"/>
          <w:sz w:val="27"/>
          <w:rtl/>
        </w:rPr>
        <w:t>وكذلك</w:t>
      </w:r>
      <w:r w:rsidRPr="00904FCB">
        <w:rPr>
          <w:sz w:val="27"/>
          <w:rtl/>
        </w:rPr>
        <w:t xml:space="preserve"> </w:t>
      </w:r>
      <w:r w:rsidRPr="00904FCB">
        <w:rPr>
          <w:rFonts w:hint="cs"/>
          <w:sz w:val="27"/>
          <w:rtl/>
        </w:rPr>
        <w:t>فإنّ</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عمير</w:t>
      </w:r>
      <w:r w:rsidRPr="00904FCB">
        <w:rPr>
          <w:sz w:val="27"/>
          <w:rtl/>
        </w:rPr>
        <w:t xml:space="preserve"> </w:t>
      </w:r>
      <w:r w:rsidRPr="00904FCB">
        <w:rPr>
          <w:rFonts w:hint="cs"/>
          <w:sz w:val="27"/>
          <w:rtl/>
        </w:rPr>
        <w:t>وغيره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أصحاب</w:t>
      </w:r>
      <w:r w:rsidRPr="00904FCB">
        <w:rPr>
          <w:sz w:val="27"/>
          <w:rtl/>
        </w:rPr>
        <w:t xml:space="preserve"> </w:t>
      </w:r>
      <w:r w:rsidRPr="00904FCB">
        <w:rPr>
          <w:rFonts w:hint="cs"/>
          <w:sz w:val="27"/>
          <w:rtl/>
        </w:rPr>
        <w:t>الإجماع</w:t>
      </w:r>
      <w:r w:rsidRPr="00904FCB">
        <w:rPr>
          <w:sz w:val="27"/>
          <w:rtl/>
        </w:rPr>
        <w:t xml:space="preserve"> </w:t>
      </w:r>
      <w:r w:rsidRPr="00904FCB">
        <w:rPr>
          <w:rFonts w:hint="cs"/>
          <w:sz w:val="27"/>
          <w:rtl/>
        </w:rPr>
        <w:t>ي</w:t>
      </w:r>
      <w:r w:rsidR="006E3877" w:rsidRPr="00904FCB">
        <w:rPr>
          <w:rFonts w:hint="cs"/>
          <w:sz w:val="27"/>
          <w:rtl/>
        </w:rPr>
        <w:t>َ</w:t>
      </w:r>
      <w:r w:rsidRPr="00904FCB">
        <w:rPr>
          <w:rFonts w:hint="cs"/>
          <w:sz w:val="27"/>
          <w:rtl/>
        </w:rPr>
        <w:t>ر</w:t>
      </w:r>
      <w:r w:rsidR="006E3877" w:rsidRPr="00904FCB">
        <w:rPr>
          <w:rFonts w:hint="cs"/>
          <w:sz w:val="27"/>
          <w:rtl/>
        </w:rPr>
        <w:t>ْ</w:t>
      </w:r>
      <w:r w:rsidRPr="00904FCB">
        <w:rPr>
          <w:rFonts w:hint="cs"/>
          <w:sz w:val="27"/>
          <w:rtl/>
        </w:rPr>
        <w:t>و</w:t>
      </w:r>
      <w:r w:rsidR="006E3877" w:rsidRPr="00904FCB">
        <w:rPr>
          <w:rFonts w:hint="cs"/>
          <w:sz w:val="27"/>
          <w:rtl/>
        </w:rPr>
        <w:t>ُ</w:t>
      </w:r>
      <w:r w:rsidRPr="00904FCB">
        <w:rPr>
          <w:rFonts w:hint="cs"/>
          <w:sz w:val="27"/>
          <w:rtl/>
        </w:rPr>
        <w:t>ون</w:t>
      </w:r>
      <w:r w:rsidRPr="00904FCB">
        <w:rPr>
          <w:sz w:val="27"/>
          <w:rtl/>
        </w:rPr>
        <w:t xml:space="preserve"> </w:t>
      </w:r>
      <w:r w:rsidRPr="00904FCB">
        <w:rPr>
          <w:rFonts w:hint="cs"/>
          <w:sz w:val="27"/>
          <w:rtl/>
        </w:rPr>
        <w:t>عنه</w:t>
      </w:r>
      <w:r w:rsidR="006E3877" w:rsidRPr="00904FCB">
        <w:rPr>
          <w:rFonts w:hint="cs"/>
          <w:sz w:val="27"/>
          <w:rtl/>
        </w:rPr>
        <w:t>.</w:t>
      </w:r>
      <w:r w:rsidRPr="00904FCB">
        <w:rPr>
          <w:rFonts w:hint="cs"/>
          <w:sz w:val="27"/>
          <w:rtl/>
        </w:rPr>
        <w:t xml:space="preserve"> فالسند</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ينبغي</w:t>
      </w:r>
      <w:r w:rsidRPr="00904FCB">
        <w:rPr>
          <w:sz w:val="27"/>
          <w:rtl/>
        </w:rPr>
        <w:t xml:space="preserve"> </w:t>
      </w:r>
      <w:r w:rsidRPr="00904FCB">
        <w:rPr>
          <w:rFonts w:hint="cs"/>
          <w:sz w:val="27"/>
          <w:rtl/>
        </w:rPr>
        <w:t>التوقّ</w:t>
      </w:r>
      <w:r w:rsidR="006E3877" w:rsidRPr="00904FCB">
        <w:rPr>
          <w:rFonts w:hint="cs"/>
          <w:sz w:val="27"/>
          <w:rtl/>
        </w:rPr>
        <w:t>ُ</w:t>
      </w:r>
      <w:r w:rsidRPr="00904FCB">
        <w:rPr>
          <w:rFonts w:hint="cs"/>
          <w:sz w:val="27"/>
          <w:rtl/>
        </w:rPr>
        <w:t>ف</w:t>
      </w:r>
      <w:r w:rsidRPr="00904FCB">
        <w:rPr>
          <w:sz w:val="27"/>
          <w:rtl/>
        </w:rPr>
        <w:t xml:space="preserve"> </w:t>
      </w:r>
      <w:r w:rsidRPr="00904FCB">
        <w:rPr>
          <w:rFonts w:hint="cs"/>
          <w:sz w:val="27"/>
          <w:rtl/>
        </w:rPr>
        <w:t>فيه</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المدّ</w:t>
      </w:r>
      <w:r w:rsidR="006E3877" w:rsidRPr="00904FCB">
        <w:rPr>
          <w:rFonts w:hint="cs"/>
          <w:sz w:val="27"/>
          <w:rtl/>
        </w:rPr>
        <w:t>َ</w:t>
      </w:r>
      <w:r w:rsidRPr="00904FCB">
        <w:rPr>
          <w:rFonts w:hint="cs"/>
          <w:sz w:val="27"/>
          <w:rtl/>
        </w:rPr>
        <w:t>عى فقد</w:t>
      </w:r>
      <w:r w:rsidRPr="00904FCB">
        <w:rPr>
          <w:sz w:val="27"/>
          <w:rtl/>
        </w:rPr>
        <w:t xml:space="preserve"> </w:t>
      </w:r>
      <w:r w:rsidRPr="00904FCB">
        <w:rPr>
          <w:rFonts w:hint="cs"/>
          <w:sz w:val="27"/>
          <w:rtl/>
        </w:rPr>
        <w:t>يقال</w:t>
      </w:r>
      <w:r w:rsidRPr="00904FCB">
        <w:rPr>
          <w:sz w:val="27"/>
          <w:rtl/>
        </w:rPr>
        <w:t xml:space="preserve"> </w:t>
      </w:r>
      <w:r w:rsidRPr="00904FCB">
        <w:rPr>
          <w:rFonts w:hint="cs"/>
          <w:sz w:val="27"/>
          <w:rtl/>
        </w:rPr>
        <w:t>بدلالة</w:t>
      </w:r>
      <w:r w:rsidRPr="00904FCB">
        <w:rPr>
          <w:sz w:val="27"/>
          <w:rtl/>
        </w:rPr>
        <w:t xml:space="preserve"> </w:t>
      </w:r>
      <w:r w:rsidRPr="00904FCB">
        <w:rPr>
          <w:rFonts w:hint="cs"/>
          <w:sz w:val="27"/>
          <w:rtl/>
        </w:rPr>
        <w:t>صدر</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ترك</w:t>
      </w:r>
      <w:r w:rsidRPr="00904FCB">
        <w:rPr>
          <w:sz w:val="27"/>
          <w:rtl/>
        </w:rPr>
        <w:t xml:space="preserve"> </w:t>
      </w:r>
      <w:r w:rsidRPr="00904FCB">
        <w:rPr>
          <w:rFonts w:hint="cs"/>
          <w:sz w:val="27"/>
          <w:rtl/>
        </w:rPr>
        <w:t>الإمام</w:t>
      </w:r>
      <w:r w:rsidR="001C1A2A" w:rsidRPr="00904FCB">
        <w:rPr>
          <w:rFonts w:cs="Mosawi"/>
          <w:sz w:val="27"/>
          <w:szCs w:val="22"/>
          <w:rtl/>
        </w:rPr>
        <w:t>×</w:t>
      </w:r>
      <w:r w:rsidRPr="00904FCB">
        <w:rPr>
          <w:sz w:val="27"/>
          <w:rtl/>
        </w:rPr>
        <w:t xml:space="preserve"> </w:t>
      </w:r>
      <w:r w:rsidRPr="00904FCB">
        <w:rPr>
          <w:rFonts w:hint="cs"/>
          <w:sz w:val="27"/>
          <w:rtl/>
        </w:rPr>
        <w:t>مؤاكلة</w:t>
      </w:r>
      <w:r w:rsidRPr="00904FCB">
        <w:rPr>
          <w:sz w:val="27"/>
          <w:rtl/>
        </w:rPr>
        <w:t xml:space="preserve"> </w:t>
      </w:r>
      <w:r w:rsidRPr="00904FCB">
        <w:rPr>
          <w:rFonts w:hint="cs"/>
          <w:sz w:val="27"/>
          <w:rtl/>
        </w:rPr>
        <w:t>المجوسي</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lastRenderedPageBreak/>
        <w:t>إلاّ</w:t>
      </w:r>
      <w:r w:rsidRPr="00904FCB">
        <w:rPr>
          <w:sz w:val="27"/>
          <w:rtl/>
        </w:rPr>
        <w:t xml:space="preserve"> </w:t>
      </w:r>
      <w:r w:rsidRPr="00904FCB">
        <w:rPr>
          <w:rFonts w:hint="cs"/>
          <w:sz w:val="27"/>
          <w:rtl/>
        </w:rPr>
        <w:t>أنّك</w:t>
      </w:r>
      <w:r w:rsidRPr="00904FCB">
        <w:rPr>
          <w:sz w:val="27"/>
          <w:rtl/>
        </w:rPr>
        <w:t xml:space="preserve"> </w:t>
      </w:r>
      <w:r w:rsidRPr="00904FCB">
        <w:rPr>
          <w:rFonts w:hint="cs"/>
          <w:sz w:val="27"/>
          <w:rtl/>
        </w:rPr>
        <w:t>خبيرٌ</w:t>
      </w:r>
      <w:r w:rsidRPr="00904FCB">
        <w:rPr>
          <w:sz w:val="27"/>
          <w:rtl/>
        </w:rPr>
        <w:t xml:space="preserve"> </w:t>
      </w:r>
      <w:r w:rsidRPr="00904FCB">
        <w:rPr>
          <w:rFonts w:hint="cs"/>
          <w:sz w:val="27"/>
          <w:rtl/>
        </w:rPr>
        <w:t>بعدم</w:t>
      </w:r>
      <w:r w:rsidRPr="00904FCB">
        <w:rPr>
          <w:sz w:val="27"/>
          <w:rtl/>
        </w:rPr>
        <w:t xml:space="preserve"> </w:t>
      </w:r>
      <w:r w:rsidRPr="00904FCB">
        <w:rPr>
          <w:rFonts w:hint="cs"/>
          <w:sz w:val="27"/>
          <w:rtl/>
        </w:rPr>
        <w:t>صحّة</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الكلام، وأنّه</w:t>
      </w:r>
      <w:r w:rsidR="001C1A2A" w:rsidRPr="00904FCB">
        <w:rPr>
          <w:rFonts w:cs="Mosawi"/>
          <w:sz w:val="27"/>
          <w:szCs w:val="22"/>
          <w:rtl/>
        </w:rPr>
        <w:t>×</w:t>
      </w:r>
      <w:r w:rsidRPr="00904FCB">
        <w:rPr>
          <w:sz w:val="27"/>
          <w:rtl/>
        </w:rPr>
        <w:t xml:space="preserve"> </w:t>
      </w:r>
      <w:r w:rsidRPr="00904FCB">
        <w:rPr>
          <w:rFonts w:hint="cs"/>
          <w:sz w:val="27"/>
          <w:rtl/>
        </w:rPr>
        <w:t>تحدّ</w:t>
      </w:r>
      <w:r w:rsidR="006E3877" w:rsidRPr="00904FCB">
        <w:rPr>
          <w:rFonts w:hint="cs"/>
          <w:sz w:val="27"/>
          <w:rtl/>
        </w:rPr>
        <w:t>َ</w:t>
      </w:r>
      <w:r w:rsidRPr="00904FCB">
        <w:rPr>
          <w:rFonts w:hint="cs"/>
          <w:sz w:val="27"/>
          <w:rtl/>
        </w:rPr>
        <w:t>ث</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الترك</w:t>
      </w:r>
      <w:r w:rsidRPr="00904FCB">
        <w:rPr>
          <w:sz w:val="27"/>
          <w:rtl/>
        </w:rPr>
        <w:t xml:space="preserve"> </w:t>
      </w:r>
      <w:r w:rsidRPr="00904FCB">
        <w:rPr>
          <w:rFonts w:hint="cs"/>
          <w:sz w:val="27"/>
          <w:rtl/>
        </w:rPr>
        <w:t>لنفسه، ولم</w:t>
      </w:r>
      <w:r w:rsidRPr="00904FCB">
        <w:rPr>
          <w:sz w:val="27"/>
          <w:rtl/>
        </w:rPr>
        <w:t xml:space="preserve"> </w:t>
      </w:r>
      <w:r w:rsidRPr="00904FCB">
        <w:rPr>
          <w:rFonts w:hint="cs"/>
          <w:sz w:val="27"/>
          <w:rtl/>
        </w:rPr>
        <w:t>يتحدّ</w:t>
      </w:r>
      <w:r w:rsidR="006E3877" w:rsidRPr="00904FCB">
        <w:rPr>
          <w:rFonts w:hint="cs"/>
          <w:sz w:val="27"/>
          <w:rtl/>
        </w:rPr>
        <w:t>َ</w:t>
      </w:r>
      <w:r w:rsidRPr="00904FCB">
        <w:rPr>
          <w:rFonts w:hint="cs"/>
          <w:sz w:val="27"/>
          <w:rtl/>
        </w:rPr>
        <w:t>ث</w:t>
      </w:r>
      <w:r w:rsidRPr="00904FCB">
        <w:rPr>
          <w:sz w:val="27"/>
          <w:rtl/>
        </w:rPr>
        <w:t xml:space="preserve"> </w:t>
      </w:r>
      <w:r w:rsidRPr="00904FCB">
        <w:rPr>
          <w:rFonts w:hint="cs"/>
          <w:sz w:val="27"/>
          <w:rtl/>
        </w:rPr>
        <w:t>عنه</w:t>
      </w:r>
      <w:r w:rsidRPr="00904FCB">
        <w:rPr>
          <w:sz w:val="27"/>
          <w:rtl/>
        </w:rPr>
        <w:t xml:space="preserve"> </w:t>
      </w:r>
      <w:r w:rsidRPr="00904FCB">
        <w:rPr>
          <w:rFonts w:hint="cs"/>
          <w:sz w:val="27"/>
          <w:rtl/>
        </w:rPr>
        <w:t>كقاعدة</w:t>
      </w:r>
      <w:r w:rsidR="006E3877" w:rsidRPr="00904FCB">
        <w:rPr>
          <w:rFonts w:hint="cs"/>
          <w:sz w:val="27"/>
          <w:rtl/>
        </w:rPr>
        <w:t>ٍ</w:t>
      </w:r>
      <w:r w:rsidRPr="00904FCB">
        <w:rPr>
          <w:sz w:val="27"/>
          <w:rtl/>
        </w:rPr>
        <w:t xml:space="preserve"> </w:t>
      </w:r>
      <w:r w:rsidRPr="00904FCB">
        <w:rPr>
          <w:rFonts w:hint="cs"/>
          <w:sz w:val="27"/>
          <w:rtl/>
        </w:rPr>
        <w:t>عامّة، وهذا</w:t>
      </w:r>
      <w:r w:rsidRPr="00904FCB">
        <w:rPr>
          <w:sz w:val="27"/>
          <w:rtl/>
        </w:rPr>
        <w:t xml:space="preserve"> </w:t>
      </w:r>
      <w:r w:rsidRPr="00904FCB">
        <w:rPr>
          <w:rFonts w:hint="cs"/>
          <w:sz w:val="27"/>
          <w:rtl/>
        </w:rPr>
        <w:t>وحده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يفيد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لغيره</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هذا</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الكلام</w:t>
      </w:r>
      <w:r w:rsidRPr="00904FCB">
        <w:rPr>
          <w:sz w:val="27"/>
          <w:rtl/>
        </w:rPr>
        <w:t xml:space="preserve"> </w:t>
      </w:r>
      <w:r w:rsidRPr="00904FCB">
        <w:rPr>
          <w:rFonts w:hint="cs"/>
          <w:sz w:val="27"/>
          <w:rtl/>
        </w:rPr>
        <w:t>برمّته</w:t>
      </w:r>
      <w:r w:rsidRPr="00904FCB">
        <w:rPr>
          <w:sz w:val="27"/>
          <w:rtl/>
        </w:rPr>
        <w:t xml:space="preserve"> </w:t>
      </w:r>
      <w:r w:rsidRPr="00904FCB">
        <w:rPr>
          <w:rFonts w:hint="cs"/>
          <w:sz w:val="27"/>
          <w:rtl/>
        </w:rPr>
        <w:t>ممّا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معنى</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تصريح</w:t>
      </w:r>
      <w:r w:rsidRPr="00904FCB">
        <w:rPr>
          <w:sz w:val="27"/>
          <w:rtl/>
        </w:rPr>
        <w:t xml:space="preserve"> </w:t>
      </w:r>
      <w:r w:rsidRPr="00904FCB">
        <w:rPr>
          <w:rFonts w:hint="cs"/>
          <w:sz w:val="27"/>
          <w:rtl/>
        </w:rPr>
        <w:t>الإمام</w:t>
      </w:r>
      <w:r w:rsidR="001C1A2A" w:rsidRPr="00904FCB">
        <w:rPr>
          <w:rFonts w:cs="Mosawi"/>
          <w:sz w:val="27"/>
          <w:szCs w:val="22"/>
          <w:rtl/>
        </w:rPr>
        <w:t>×</w:t>
      </w:r>
      <w:r w:rsidRPr="00904FCB">
        <w:rPr>
          <w:sz w:val="27"/>
          <w:rtl/>
        </w:rPr>
        <w:t xml:space="preserve"> </w:t>
      </w:r>
      <w:r w:rsidRPr="00904FCB">
        <w:rPr>
          <w:rFonts w:hint="cs"/>
          <w:sz w:val="27"/>
          <w:rtl/>
        </w:rPr>
        <w:t>بأنّه</w:t>
      </w:r>
      <w:r w:rsidRPr="00904FCB">
        <w:rPr>
          <w:sz w:val="27"/>
          <w:rtl/>
        </w:rPr>
        <w:t xml:space="preserve"> </w:t>
      </w:r>
      <w:r w:rsidRPr="00904FCB">
        <w:rPr>
          <w:rFonts w:hint="cs"/>
          <w:sz w:val="27"/>
          <w:rtl/>
        </w:rPr>
        <w:t>يكره</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يحرّ</w:t>
      </w:r>
      <w:r w:rsidR="006E3877" w:rsidRPr="00904FCB">
        <w:rPr>
          <w:rFonts w:hint="cs"/>
          <w:sz w:val="27"/>
          <w:rtl/>
        </w:rPr>
        <w:t>ِ</w:t>
      </w:r>
      <w:r w:rsidRPr="00904FCB">
        <w:rPr>
          <w:rFonts w:hint="cs"/>
          <w:sz w:val="27"/>
          <w:rtl/>
        </w:rPr>
        <w:t>م</w:t>
      </w:r>
      <w:r w:rsidRPr="00904FCB">
        <w:rPr>
          <w:sz w:val="27"/>
          <w:rtl/>
        </w:rPr>
        <w:t xml:space="preserve"> </w:t>
      </w:r>
      <w:r w:rsidRPr="00904FCB">
        <w:rPr>
          <w:rFonts w:hint="cs"/>
          <w:sz w:val="27"/>
          <w:rtl/>
        </w:rPr>
        <w:t>عليهم</w:t>
      </w:r>
      <w:r w:rsidRPr="00904FCB">
        <w:rPr>
          <w:sz w:val="27"/>
          <w:rtl/>
        </w:rPr>
        <w:t xml:space="preserve"> </w:t>
      </w:r>
      <w:r w:rsidRPr="00904FCB">
        <w:rPr>
          <w:rFonts w:hint="cs"/>
          <w:sz w:val="27"/>
          <w:rtl/>
        </w:rPr>
        <w:t>شيئاً</w:t>
      </w:r>
      <w:r w:rsidRPr="00904FCB">
        <w:rPr>
          <w:sz w:val="27"/>
          <w:rtl/>
        </w:rPr>
        <w:t xml:space="preserve"> </w:t>
      </w:r>
      <w:r w:rsidRPr="00904FCB">
        <w:rPr>
          <w:rFonts w:hint="cs"/>
          <w:sz w:val="27"/>
          <w:rtl/>
        </w:rPr>
        <w:t>يصنعونه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بلادهم</w:t>
      </w:r>
      <w:r w:rsidR="006E3877" w:rsidRPr="00904FCB">
        <w:rPr>
          <w:rFonts w:hint="cs"/>
          <w:sz w:val="27"/>
          <w:rtl/>
        </w:rPr>
        <w:t>.</w:t>
      </w:r>
      <w:r w:rsidRPr="00904FCB">
        <w:rPr>
          <w:rFonts w:hint="cs"/>
          <w:sz w:val="27"/>
          <w:rtl/>
        </w:rPr>
        <w:t xml:space="preserve"> ولو</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حراماً</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مجال</w:t>
      </w:r>
      <w:r w:rsidRPr="00904FCB">
        <w:rPr>
          <w:sz w:val="27"/>
          <w:rtl/>
        </w:rPr>
        <w:t xml:space="preserve"> </w:t>
      </w:r>
      <w:r w:rsidRPr="00904FCB">
        <w:rPr>
          <w:rFonts w:hint="cs"/>
          <w:sz w:val="27"/>
          <w:rtl/>
        </w:rPr>
        <w:t>لهذا</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منه</w:t>
      </w:r>
      <w:r w:rsidR="001C1A2A" w:rsidRPr="00904FCB">
        <w:rPr>
          <w:rFonts w:cs="Mosawi"/>
          <w:sz w:val="27"/>
          <w:szCs w:val="22"/>
          <w:rtl/>
        </w:rPr>
        <w:t>×</w:t>
      </w:r>
      <w:r w:rsidRPr="00904FCB">
        <w:rPr>
          <w:sz w:val="27"/>
          <w:rtl/>
        </w:rPr>
        <w:t>،</w:t>
      </w:r>
      <w:r w:rsidRPr="00904FCB">
        <w:rPr>
          <w:rFonts w:hint="cs"/>
          <w:sz w:val="27"/>
          <w:rtl/>
        </w:rPr>
        <w:t xml:space="preserve"> وهو</w:t>
      </w:r>
      <w:r w:rsidRPr="00904FCB">
        <w:rPr>
          <w:sz w:val="27"/>
          <w:rtl/>
        </w:rPr>
        <w:t xml:space="preserve"> </w:t>
      </w:r>
      <w:r w:rsidRPr="00904FCB">
        <w:rPr>
          <w:rFonts w:hint="cs"/>
          <w:sz w:val="27"/>
          <w:rtl/>
        </w:rPr>
        <w:t>المبل</w:t>
      </w:r>
      <w:r w:rsidR="006E3877" w:rsidRPr="00904FCB">
        <w:rPr>
          <w:rFonts w:hint="cs"/>
          <w:sz w:val="27"/>
          <w:rtl/>
        </w:rPr>
        <w:t>ِّ</w:t>
      </w:r>
      <w:r w:rsidRPr="00904FCB">
        <w:rPr>
          <w:rFonts w:hint="cs"/>
          <w:sz w:val="27"/>
          <w:rtl/>
        </w:rPr>
        <w:t>غ</w:t>
      </w:r>
      <w:r w:rsidRPr="00904FCB">
        <w:rPr>
          <w:sz w:val="27"/>
          <w:rtl/>
        </w:rPr>
        <w:t xml:space="preserve"> </w:t>
      </w:r>
      <w:r w:rsidRPr="00904FCB">
        <w:rPr>
          <w:rFonts w:hint="cs"/>
          <w:sz w:val="27"/>
          <w:rtl/>
        </w:rPr>
        <w:t>الأوّل</w:t>
      </w:r>
      <w:r w:rsidRPr="00904FCB">
        <w:rPr>
          <w:sz w:val="27"/>
          <w:rtl/>
        </w:rPr>
        <w:t xml:space="preserve"> </w:t>
      </w:r>
      <w:r w:rsidRPr="00904FCB">
        <w:rPr>
          <w:rFonts w:hint="cs"/>
          <w:sz w:val="27"/>
          <w:rtl/>
        </w:rPr>
        <w:t>للأحكام</w:t>
      </w:r>
      <w:r w:rsidRPr="00904FCB">
        <w:rPr>
          <w:sz w:val="27"/>
          <w:rtl/>
        </w:rPr>
        <w:t xml:space="preserve"> </w:t>
      </w:r>
      <w:r w:rsidRPr="00904FCB">
        <w:rPr>
          <w:rFonts w:hint="cs"/>
          <w:sz w:val="27"/>
          <w:rtl/>
        </w:rPr>
        <w:t>الشرعيّة</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هذا</w:t>
      </w:r>
      <w:r w:rsidRPr="00904FCB">
        <w:rPr>
          <w:sz w:val="27"/>
          <w:rtl/>
        </w:rPr>
        <w:t xml:space="preserve"> </w:t>
      </w:r>
      <w:r w:rsidRPr="00904FCB">
        <w:rPr>
          <w:rFonts w:hint="cs"/>
          <w:sz w:val="27"/>
          <w:rtl/>
        </w:rPr>
        <w:t>كلّه</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تصريح</w:t>
      </w:r>
      <w:r w:rsidRPr="00904FCB">
        <w:rPr>
          <w:sz w:val="27"/>
          <w:rtl/>
        </w:rPr>
        <w:t xml:space="preserve"> </w:t>
      </w:r>
      <w:r w:rsidRPr="00904FCB">
        <w:rPr>
          <w:rFonts w:hint="cs"/>
          <w:sz w:val="27"/>
          <w:rtl/>
        </w:rPr>
        <w:t>الإمام</w:t>
      </w:r>
      <w:r w:rsidR="001C1A2A" w:rsidRPr="00904FCB">
        <w:rPr>
          <w:rFonts w:cs="Mosawi"/>
          <w:sz w:val="27"/>
          <w:szCs w:val="22"/>
          <w:rtl/>
        </w:rPr>
        <w:t>×</w:t>
      </w:r>
      <w:r w:rsidRPr="00904FCB">
        <w:rPr>
          <w:sz w:val="27"/>
          <w:rtl/>
        </w:rPr>
        <w:t xml:space="preserve"> </w:t>
      </w:r>
      <w:r w:rsidRPr="00904FCB">
        <w:rPr>
          <w:rFonts w:hint="cs"/>
          <w:sz w:val="27"/>
          <w:rtl/>
        </w:rPr>
        <w:t>بعدم</w:t>
      </w:r>
      <w:r w:rsidRPr="00904FCB">
        <w:rPr>
          <w:sz w:val="27"/>
          <w:rtl/>
        </w:rPr>
        <w:t xml:space="preserve"> </w:t>
      </w:r>
      <w:r w:rsidRPr="00904FCB">
        <w:rPr>
          <w:rFonts w:hint="cs"/>
          <w:sz w:val="27"/>
          <w:rtl/>
        </w:rPr>
        <w:t>البأس</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المؤاكلة</w:t>
      </w:r>
      <w:r w:rsidRPr="00904FCB">
        <w:rPr>
          <w:sz w:val="27"/>
          <w:rtl/>
        </w:rPr>
        <w:t xml:space="preserve"> </w:t>
      </w:r>
      <w:r w:rsidRPr="00904FCB">
        <w:rPr>
          <w:rFonts w:hint="cs"/>
          <w:sz w:val="27"/>
          <w:rtl/>
        </w:rPr>
        <w:t>معهم</w:t>
      </w:r>
      <w:r w:rsidRPr="00904FCB">
        <w:rPr>
          <w:sz w:val="27"/>
          <w:rtl/>
        </w:rPr>
        <w:t xml:space="preserve"> </w:t>
      </w:r>
      <w:r w:rsidRPr="00904FCB">
        <w:rPr>
          <w:rFonts w:hint="cs"/>
          <w:sz w:val="27"/>
          <w:rtl/>
        </w:rPr>
        <w:t>إذا</w:t>
      </w:r>
      <w:r w:rsidRPr="00904FCB">
        <w:rPr>
          <w:sz w:val="27"/>
          <w:rtl/>
        </w:rPr>
        <w:t xml:space="preserve"> </w:t>
      </w:r>
      <w:r w:rsidRPr="00904FCB">
        <w:rPr>
          <w:rFonts w:hint="cs"/>
          <w:sz w:val="27"/>
          <w:rtl/>
        </w:rPr>
        <w:t>غسلوا</w:t>
      </w:r>
      <w:r w:rsidRPr="00904FCB">
        <w:rPr>
          <w:sz w:val="27"/>
          <w:rtl/>
        </w:rPr>
        <w:t xml:space="preserve"> </w:t>
      </w:r>
      <w:r w:rsidRPr="00904FCB">
        <w:rPr>
          <w:rFonts w:hint="cs"/>
          <w:sz w:val="27"/>
          <w:rtl/>
        </w:rPr>
        <w:t>أيديهم</w:t>
      </w:r>
      <w:r w:rsidR="006E3877" w:rsidRPr="00904FCB">
        <w:rPr>
          <w:rFonts w:hint="cs"/>
          <w:sz w:val="27"/>
          <w:rtl/>
        </w:rPr>
        <w:t>.</w:t>
      </w:r>
      <w:r w:rsidRPr="00904FCB">
        <w:rPr>
          <w:rFonts w:hint="cs"/>
          <w:sz w:val="27"/>
          <w:rtl/>
        </w:rPr>
        <w:t xml:space="preserve"> وهو</w:t>
      </w:r>
      <w:r w:rsidRPr="00904FCB">
        <w:rPr>
          <w:sz w:val="27"/>
          <w:rtl/>
        </w:rPr>
        <w:t xml:space="preserve"> </w:t>
      </w:r>
      <w:r w:rsidRPr="00904FCB">
        <w:rPr>
          <w:rFonts w:hint="cs"/>
          <w:sz w:val="27"/>
          <w:rtl/>
        </w:rPr>
        <w:t>قرينة</w:t>
      </w:r>
      <w:r w:rsidR="006E3877" w:rsidRPr="00904FCB">
        <w:rPr>
          <w:rFonts w:hint="cs"/>
          <w:sz w:val="27"/>
          <w:rtl/>
        </w:rPr>
        <w:t>ٌ</w:t>
      </w:r>
      <w:r w:rsidRPr="00904FCB">
        <w:rPr>
          <w:sz w:val="27"/>
          <w:rtl/>
        </w:rPr>
        <w:t xml:space="preserve"> </w:t>
      </w:r>
      <w:r w:rsidRPr="00904FCB">
        <w:rPr>
          <w:rFonts w:hint="cs"/>
          <w:sz w:val="27"/>
          <w:rtl/>
        </w:rPr>
        <w:t>واضحة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هنا، وأنّ</w:t>
      </w:r>
      <w:r w:rsidRPr="00904FCB">
        <w:rPr>
          <w:sz w:val="27"/>
          <w:rtl/>
        </w:rPr>
        <w:t xml:space="preserve"> </w:t>
      </w:r>
      <w:r w:rsidRPr="00904FCB">
        <w:rPr>
          <w:rFonts w:hint="cs"/>
          <w:sz w:val="27"/>
          <w:rtl/>
        </w:rPr>
        <w:t>التنزّه</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العرضيّة</w:t>
      </w:r>
      <w:r w:rsidRPr="00904FCB">
        <w:rPr>
          <w:sz w:val="27"/>
          <w:rtl/>
        </w:rPr>
        <w:t xml:space="preserve"> </w:t>
      </w:r>
      <w:r w:rsidRPr="00904FCB">
        <w:rPr>
          <w:rFonts w:hint="cs"/>
          <w:sz w:val="27"/>
          <w:rtl/>
        </w:rPr>
        <w:t>المحتملة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الثالثة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006E3877" w:rsidRPr="00904FCB">
        <w:rPr>
          <w:sz w:val="27"/>
          <w:rtl/>
        </w:rPr>
        <w:t xml:space="preserve">: </w:t>
      </w:r>
      <w:r w:rsidRPr="00904FCB">
        <w:rPr>
          <w:rFonts w:hint="eastAsia"/>
          <w:sz w:val="27"/>
          <w:rtl/>
        </w:rPr>
        <w:t>«</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عَلِيٍّ</w:t>
      </w:r>
      <w:r w:rsidRPr="00904FCB">
        <w:rPr>
          <w:sz w:val="27"/>
          <w:rtl/>
        </w:rPr>
        <w:t xml:space="preserve"> </w:t>
      </w:r>
      <w:r w:rsidR="006E3877" w:rsidRPr="00904FCB">
        <w:rPr>
          <w:rFonts w:hint="cs"/>
          <w:sz w:val="27"/>
          <w:rtl/>
        </w:rPr>
        <w:t>ال</w:t>
      </w:r>
      <w:r w:rsidRPr="00904FCB">
        <w:rPr>
          <w:rFonts w:hint="cs"/>
          <w:sz w:val="27"/>
          <w:rtl/>
        </w:rPr>
        <w:t>أَشْعَرِيِّ</w:t>
      </w:r>
      <w:r w:rsidR="006E387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الْجَبَّارِ</w:t>
      </w:r>
      <w:r w:rsidR="006E387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صَفْوَانَ</w:t>
      </w:r>
      <w:r w:rsidR="006E387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الْعَلاءِ</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رَزِينٍ</w:t>
      </w:r>
      <w:r w:rsidR="006E387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مُسْلِمٍ</w:t>
      </w:r>
      <w:r w:rsidR="006E387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جَعْفَرٍ</w:t>
      </w:r>
      <w:r w:rsidR="001C1A2A" w:rsidRPr="00904FCB">
        <w:rPr>
          <w:rFonts w:cs="Mosawi"/>
          <w:sz w:val="27"/>
          <w:szCs w:val="22"/>
          <w:rtl/>
        </w:rPr>
        <w:t>×</w:t>
      </w:r>
      <w:r w:rsidR="006E3877" w:rsidRPr="00904FCB">
        <w:rPr>
          <w:rFonts w:hint="cs"/>
          <w:sz w:val="27"/>
          <w:rtl/>
        </w:rPr>
        <w:t xml:space="preserve">، </w:t>
      </w:r>
      <w:r w:rsidRPr="00904FCB">
        <w:rPr>
          <w:rFonts w:hint="cs"/>
          <w:sz w:val="27"/>
          <w:rtl/>
        </w:rPr>
        <w:t>فِي</w:t>
      </w:r>
      <w:r w:rsidRPr="00904FCB">
        <w:rPr>
          <w:sz w:val="27"/>
          <w:rtl/>
        </w:rPr>
        <w:t xml:space="preserve"> </w:t>
      </w:r>
      <w:r w:rsidRPr="00904FCB">
        <w:rPr>
          <w:rFonts w:hint="cs"/>
          <w:sz w:val="27"/>
          <w:rtl/>
        </w:rPr>
        <w:t>رَجُلٍ</w:t>
      </w:r>
      <w:r w:rsidRPr="00904FCB">
        <w:rPr>
          <w:sz w:val="27"/>
          <w:rtl/>
        </w:rPr>
        <w:t xml:space="preserve"> </w:t>
      </w:r>
      <w:r w:rsidRPr="00904FCB">
        <w:rPr>
          <w:rFonts w:hint="cs"/>
          <w:sz w:val="27"/>
          <w:rtl/>
        </w:rPr>
        <w:t>صَافَحَ</w:t>
      </w:r>
      <w:r w:rsidRPr="00904FCB">
        <w:rPr>
          <w:sz w:val="27"/>
          <w:rtl/>
        </w:rPr>
        <w:t xml:space="preserve"> </w:t>
      </w:r>
      <w:r w:rsidR="006E3877" w:rsidRPr="00904FCB">
        <w:rPr>
          <w:rFonts w:hint="cs"/>
          <w:sz w:val="27"/>
          <w:rtl/>
        </w:rPr>
        <w:t>رَجُل</w:t>
      </w:r>
      <w:r w:rsidRPr="00904FCB">
        <w:rPr>
          <w:rFonts w:hint="cs"/>
          <w:sz w:val="27"/>
          <w:rtl/>
        </w:rPr>
        <w:t>ا</w:t>
      </w:r>
      <w:r w:rsidR="006E3877" w:rsidRPr="00904FCB">
        <w:rPr>
          <w:rFonts w:hint="cs"/>
          <w:sz w:val="27"/>
          <w:rtl/>
        </w:rPr>
        <w:t>ً</w:t>
      </w:r>
      <w:r w:rsidRPr="00904FCB">
        <w:rPr>
          <w:sz w:val="27"/>
          <w:rtl/>
        </w:rPr>
        <w:t xml:space="preserve"> </w:t>
      </w:r>
      <w:r w:rsidRPr="00904FCB">
        <w:rPr>
          <w:rFonts w:hint="cs"/>
          <w:sz w:val="27"/>
          <w:rtl/>
        </w:rPr>
        <w:t>مَجُوسِيّاً، قَالَ</w:t>
      </w:r>
      <w:r w:rsidRPr="00904FCB">
        <w:rPr>
          <w:sz w:val="27"/>
          <w:rtl/>
        </w:rPr>
        <w:t xml:space="preserve">: </w:t>
      </w:r>
      <w:r w:rsidRPr="00904FCB">
        <w:rPr>
          <w:rFonts w:hint="cs"/>
          <w:sz w:val="27"/>
          <w:rtl/>
        </w:rPr>
        <w:t>يَغْسِلُ</w:t>
      </w:r>
      <w:r w:rsidRPr="00904FCB">
        <w:rPr>
          <w:sz w:val="27"/>
          <w:rtl/>
        </w:rPr>
        <w:t xml:space="preserve"> </w:t>
      </w:r>
      <w:r w:rsidRPr="00904FCB">
        <w:rPr>
          <w:rFonts w:hint="cs"/>
          <w:sz w:val="27"/>
          <w:rtl/>
        </w:rPr>
        <w:t>يَدَهُ</w:t>
      </w:r>
      <w:r w:rsidR="006E3877"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يَتَوَضَّأُ</w:t>
      </w:r>
      <w:r w:rsidRPr="00904FCB">
        <w:rPr>
          <w:rFonts w:hint="eastAsia"/>
          <w:sz w:val="27"/>
          <w:rtl/>
        </w:rPr>
        <w:t>»</w:t>
      </w:r>
      <w:r w:rsidRPr="00904FCB">
        <w:rPr>
          <w:rFonts w:hint="cs"/>
          <w:sz w:val="27"/>
          <w:vertAlign w:val="superscript"/>
          <w:rtl/>
        </w:rPr>
        <w:t>(</w:t>
      </w:r>
      <w:r w:rsidRPr="00904FCB">
        <w:rPr>
          <w:rStyle w:val="ac"/>
          <w:sz w:val="27"/>
          <w:rtl/>
        </w:rPr>
        <w:endnoteReference w:id="679"/>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واضح</w:t>
      </w:r>
      <w:r w:rsidRPr="00904FCB">
        <w:rPr>
          <w:sz w:val="27"/>
          <w:rtl/>
        </w:rPr>
        <w:t xml:space="preserve"> </w:t>
      </w:r>
      <w:r w:rsidRPr="00904FCB">
        <w:rPr>
          <w:rFonts w:hint="cs"/>
          <w:sz w:val="27"/>
          <w:rtl/>
        </w:rPr>
        <w:t>الصحّة، وكلّ</w:t>
      </w:r>
      <w:r w:rsidR="006E3877" w:rsidRPr="00904FCB">
        <w:rPr>
          <w:rFonts w:hint="cs"/>
          <w:sz w:val="27"/>
          <w:rtl/>
        </w:rPr>
        <w:t>ُ</w:t>
      </w:r>
      <w:r w:rsidRPr="00904FCB">
        <w:rPr>
          <w:sz w:val="27"/>
          <w:rtl/>
        </w:rPr>
        <w:t xml:space="preserve"> </w:t>
      </w:r>
      <w:r w:rsidRPr="00904FCB">
        <w:rPr>
          <w:rFonts w:hint="cs"/>
          <w:sz w:val="27"/>
          <w:rtl/>
        </w:rPr>
        <w:t>رجاله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المتّ</w:t>
      </w:r>
      <w:r w:rsidR="006E3877" w:rsidRPr="00904FCB">
        <w:rPr>
          <w:rFonts w:hint="cs"/>
          <w:sz w:val="27"/>
          <w:rtl/>
        </w:rPr>
        <w:t>َ</w:t>
      </w:r>
      <w:r w:rsidRPr="00904FCB">
        <w:rPr>
          <w:rFonts w:hint="cs"/>
          <w:sz w:val="27"/>
          <w:rtl/>
        </w:rPr>
        <w:t>فق</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وثاقتهم</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دلالتها فتقريرها</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ي</w:t>
      </w:r>
      <w:r w:rsidR="00603F6F" w:rsidRPr="00904FCB">
        <w:rPr>
          <w:rFonts w:hint="cs"/>
          <w:sz w:val="27"/>
          <w:rtl/>
        </w:rPr>
        <w:t>ُ</w:t>
      </w:r>
      <w:r w:rsidRPr="00904FCB">
        <w:rPr>
          <w:rFonts w:hint="cs"/>
          <w:sz w:val="27"/>
          <w:rtl/>
        </w:rPr>
        <w:t>قال</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بغسل</w:t>
      </w:r>
      <w:r w:rsidRPr="00904FCB">
        <w:rPr>
          <w:sz w:val="27"/>
          <w:rtl/>
        </w:rPr>
        <w:t xml:space="preserve"> </w:t>
      </w:r>
      <w:r w:rsidRPr="00904FCB">
        <w:rPr>
          <w:rFonts w:hint="cs"/>
          <w:sz w:val="27"/>
          <w:rtl/>
        </w:rPr>
        <w:t>اليد</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صافح</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المجوسي</w:t>
      </w:r>
      <w:r w:rsidRPr="00904FCB">
        <w:rPr>
          <w:sz w:val="27"/>
          <w:rtl/>
        </w:rPr>
        <w:t xml:space="preserve"> </w:t>
      </w:r>
      <w:r w:rsidRPr="00904FCB">
        <w:rPr>
          <w:rFonts w:hint="cs"/>
          <w:sz w:val="27"/>
          <w:rtl/>
        </w:rPr>
        <w:t>ظاهر</w:t>
      </w:r>
      <w:r w:rsidR="00603F6F" w:rsidRPr="00904FCB">
        <w:rPr>
          <w:rFonts w:hint="cs"/>
          <w:sz w:val="27"/>
          <w:rtl/>
        </w:rPr>
        <w:t>ٌ</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بل</w:t>
      </w:r>
      <w:r w:rsidRPr="00904FCB">
        <w:rPr>
          <w:sz w:val="27"/>
          <w:rtl/>
        </w:rPr>
        <w:t xml:space="preserve"> </w:t>
      </w:r>
      <w:r w:rsidRPr="00904FCB">
        <w:rPr>
          <w:rFonts w:hint="cs"/>
          <w:sz w:val="27"/>
          <w:rtl/>
        </w:rPr>
        <w:t>كالصريح</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نجسة</w:t>
      </w:r>
      <w:r w:rsidR="00603F6F" w:rsidRPr="00904FCB">
        <w:rPr>
          <w:rFonts w:hint="cs"/>
          <w:sz w:val="27"/>
          <w:rtl/>
        </w:rPr>
        <w:t>ٌ</w:t>
      </w:r>
      <w:r w:rsidRPr="00904FCB">
        <w:rPr>
          <w:rFonts w:hint="cs"/>
          <w:sz w:val="27"/>
          <w:rtl/>
        </w:rPr>
        <w:t>، والحمل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العرضيّة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كون</w:t>
      </w:r>
      <w:r w:rsidRPr="00904FCB">
        <w:rPr>
          <w:sz w:val="27"/>
          <w:rtl/>
        </w:rPr>
        <w:t xml:space="preserve"> </w:t>
      </w:r>
      <w:r w:rsidRPr="00904FCB">
        <w:rPr>
          <w:rFonts w:hint="cs"/>
          <w:sz w:val="27"/>
          <w:rtl/>
        </w:rPr>
        <w:t>الأصل</w:t>
      </w:r>
      <w:r w:rsidRPr="00904FCB">
        <w:rPr>
          <w:sz w:val="27"/>
          <w:rtl/>
        </w:rPr>
        <w:t xml:space="preserve"> </w:t>
      </w:r>
      <w:r w:rsidRPr="00904FCB">
        <w:rPr>
          <w:rFonts w:hint="cs"/>
          <w:sz w:val="27"/>
          <w:rtl/>
        </w:rPr>
        <w:t>عدمها</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خلاف</w:t>
      </w:r>
      <w:r w:rsidRPr="00904FCB">
        <w:rPr>
          <w:sz w:val="27"/>
          <w:rtl/>
        </w:rPr>
        <w:t xml:space="preserve"> </w:t>
      </w:r>
      <w:r w:rsidRPr="00904FCB">
        <w:rPr>
          <w:rFonts w:hint="cs"/>
          <w:sz w:val="27"/>
          <w:rtl/>
        </w:rPr>
        <w:t>الظاهر</w:t>
      </w:r>
      <w:r w:rsidR="00603F6F" w:rsidRPr="00904FCB">
        <w:rPr>
          <w:rFonts w:hint="cs"/>
          <w:sz w:val="27"/>
          <w:rtl/>
        </w:rPr>
        <w:t>.</w:t>
      </w:r>
      <w:r w:rsidRPr="00904FCB">
        <w:rPr>
          <w:rFonts w:hint="cs"/>
          <w:sz w:val="27"/>
          <w:rtl/>
        </w:rPr>
        <w:t xml:space="preserve"> فقد</w:t>
      </w:r>
      <w:r w:rsidRPr="00904FCB">
        <w:rPr>
          <w:sz w:val="27"/>
          <w:rtl/>
        </w:rPr>
        <w:t xml:space="preserve"> </w:t>
      </w:r>
      <w:r w:rsidRPr="00904FCB">
        <w:rPr>
          <w:rFonts w:hint="cs"/>
          <w:sz w:val="27"/>
          <w:rtl/>
        </w:rPr>
        <w:t>ي</w:t>
      </w:r>
      <w:r w:rsidR="00603F6F" w:rsidRPr="00904FCB">
        <w:rPr>
          <w:rFonts w:hint="cs"/>
          <w:sz w:val="27"/>
          <w:rtl/>
        </w:rPr>
        <w:t>ُ</w:t>
      </w:r>
      <w:r w:rsidRPr="00904FCB">
        <w:rPr>
          <w:rFonts w:hint="cs"/>
          <w:sz w:val="27"/>
          <w:rtl/>
        </w:rPr>
        <w:t>قال</w:t>
      </w:r>
      <w:r w:rsidRPr="00904FCB">
        <w:rPr>
          <w:sz w:val="27"/>
          <w:rtl/>
        </w:rPr>
        <w:t xml:space="preserve">: </w:t>
      </w:r>
      <w:r w:rsidRPr="00904FCB">
        <w:rPr>
          <w:rFonts w:hint="cs"/>
          <w:sz w:val="27"/>
          <w:rtl/>
        </w:rPr>
        <w:t>إنّها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خيرة</w:t>
      </w:r>
      <w:r w:rsidRPr="00904FCB">
        <w:rPr>
          <w:sz w:val="27"/>
          <w:rtl/>
        </w:rPr>
        <w:t xml:space="preserve"> </w:t>
      </w:r>
      <w:r w:rsidRPr="00904FCB">
        <w:rPr>
          <w:rFonts w:hint="cs"/>
          <w:sz w:val="27"/>
          <w:rtl/>
        </w:rPr>
        <w:t>الأدلّة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للمجوس، ونتعدّى</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بقيّة</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فضلاً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بقيّة</w:t>
      </w:r>
      <w:r w:rsidRPr="00904FCB">
        <w:rPr>
          <w:sz w:val="27"/>
          <w:rtl/>
        </w:rPr>
        <w:t xml:space="preserve"> </w:t>
      </w:r>
      <w:r w:rsidRPr="00904FCB">
        <w:rPr>
          <w:rFonts w:hint="cs"/>
          <w:sz w:val="27"/>
          <w:rtl/>
        </w:rPr>
        <w:t>الكفّار</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بالفصل</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سيأتي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القادمة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التنصيص</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الغسل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مصافحة</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هذا</w:t>
      </w:r>
      <w:r w:rsidRPr="00904FCB">
        <w:rPr>
          <w:sz w:val="27"/>
          <w:rtl/>
        </w:rPr>
        <w:t xml:space="preserve"> </w:t>
      </w:r>
      <w:r w:rsidRPr="00904FCB">
        <w:rPr>
          <w:rFonts w:hint="cs"/>
          <w:sz w:val="27"/>
          <w:rtl/>
        </w:rPr>
        <w:t>غاية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w:t>
      </w:r>
      <w:r w:rsidR="00603F6F" w:rsidRPr="00904FCB">
        <w:rPr>
          <w:rFonts w:hint="cs"/>
          <w:sz w:val="27"/>
          <w:rtl/>
        </w:rPr>
        <w:t>ُ</w:t>
      </w:r>
      <w:r w:rsidRPr="00904FCB">
        <w:rPr>
          <w:rFonts w:hint="cs"/>
          <w:sz w:val="27"/>
          <w:rtl/>
        </w:rPr>
        <w:t>ذ</w:t>
      </w:r>
      <w:r w:rsidR="00603F6F" w:rsidRPr="00904FCB">
        <w:rPr>
          <w:rFonts w:hint="cs"/>
          <w:sz w:val="27"/>
          <w:rtl/>
        </w:rPr>
        <w:t>ْ</w:t>
      </w:r>
      <w:r w:rsidRPr="00904FCB">
        <w:rPr>
          <w:rFonts w:hint="cs"/>
          <w:sz w:val="27"/>
          <w:rtl/>
        </w:rPr>
        <w:t>ك</w:t>
      </w:r>
      <w:r w:rsidR="00603F6F" w:rsidRPr="00904FCB">
        <w:rPr>
          <w:rFonts w:hint="cs"/>
          <w:sz w:val="27"/>
          <w:rtl/>
        </w:rPr>
        <w:t>َ</w:t>
      </w:r>
      <w:r w:rsidRPr="00904FCB">
        <w:rPr>
          <w:rFonts w:hint="cs"/>
          <w:sz w:val="27"/>
          <w:rtl/>
        </w:rPr>
        <w:t>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تقريب</w:t>
      </w:r>
      <w:r w:rsidRPr="00904FCB">
        <w:rPr>
          <w:sz w:val="27"/>
          <w:rtl/>
        </w:rPr>
        <w:t xml:space="preserve"> </w:t>
      </w:r>
      <w:r w:rsidRPr="00904FCB">
        <w:rPr>
          <w:rFonts w:hint="cs"/>
          <w:sz w:val="27"/>
          <w:rtl/>
        </w:rPr>
        <w:t>دلالة</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للكافر</w:t>
      </w:r>
      <w:r w:rsidRPr="00904FCB">
        <w:rPr>
          <w:sz w:val="27"/>
          <w:rtl/>
        </w:rPr>
        <w:t xml:space="preserve"> </w:t>
      </w:r>
      <w:r w:rsidRPr="00904FCB">
        <w:rPr>
          <w:rFonts w:hint="cs"/>
          <w:sz w:val="27"/>
          <w:rtl/>
        </w:rPr>
        <w:t>الكتابي</w:t>
      </w:r>
      <w:r w:rsidRPr="00904FCB">
        <w:rPr>
          <w:sz w:val="27"/>
          <w:rtl/>
        </w:rPr>
        <w:t xml:space="preserve"> </w:t>
      </w:r>
      <w:r w:rsidRPr="00904FCB">
        <w:rPr>
          <w:rFonts w:hint="cs"/>
          <w:sz w:val="27"/>
          <w:rtl/>
        </w:rPr>
        <w:t>وغيره، ولكن</w:t>
      </w:r>
      <w:r w:rsidR="00603F6F" w:rsidRPr="00904FCB">
        <w:rPr>
          <w:rFonts w:hint="cs"/>
          <w:sz w:val="27"/>
          <w:rtl/>
        </w:rPr>
        <w:t>ْ</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لنا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نتأمّل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أفيد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المقام</w:t>
      </w:r>
      <w:r w:rsidRPr="00904FCB">
        <w:rPr>
          <w:sz w:val="27"/>
          <w:rtl/>
        </w:rPr>
        <w:t xml:space="preserve">: </w:t>
      </w:r>
    </w:p>
    <w:p w:rsidR="00F34FB9" w:rsidRPr="00904FCB" w:rsidRDefault="00F34FB9" w:rsidP="00B07A11">
      <w:pPr>
        <w:spacing w:line="400" w:lineRule="exact"/>
        <w:rPr>
          <w:sz w:val="27"/>
          <w:rtl/>
        </w:rPr>
      </w:pPr>
      <w:r w:rsidRPr="00904FCB">
        <w:rPr>
          <w:rFonts w:hint="cs"/>
          <w:b/>
          <w:bCs/>
          <w:sz w:val="27"/>
          <w:rtl/>
        </w:rPr>
        <w:t>أوّلاً</w:t>
      </w:r>
      <w:r w:rsidRPr="00904FCB">
        <w:rPr>
          <w:sz w:val="27"/>
          <w:rtl/>
        </w:rPr>
        <w:t xml:space="preserve">: </w:t>
      </w:r>
      <w:r w:rsidR="00603F6F" w:rsidRPr="00904FCB">
        <w:rPr>
          <w:rFonts w:hint="cs"/>
          <w:sz w:val="27"/>
          <w:rtl/>
        </w:rPr>
        <w:t>إ</w:t>
      </w:r>
      <w:r w:rsidRPr="00904FCB">
        <w:rPr>
          <w:rFonts w:hint="cs"/>
          <w:sz w:val="27"/>
          <w:rtl/>
        </w:rPr>
        <w:t>نّ</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وأختها</w:t>
      </w:r>
      <w:r w:rsidRPr="00904FCB">
        <w:rPr>
          <w:sz w:val="27"/>
          <w:rtl/>
        </w:rPr>
        <w:t xml:space="preserve"> </w:t>
      </w:r>
      <w:r w:rsidRPr="00904FCB">
        <w:rPr>
          <w:rFonts w:hint="cs"/>
          <w:sz w:val="27"/>
          <w:rtl/>
        </w:rPr>
        <w:t>الآتية</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فرّ</w:t>
      </w:r>
      <w:r w:rsidR="00603F6F" w:rsidRPr="00904FCB">
        <w:rPr>
          <w:rFonts w:hint="cs"/>
          <w:sz w:val="27"/>
          <w:rtl/>
        </w:rPr>
        <w:t>َ</w:t>
      </w:r>
      <w:r w:rsidRPr="00904FCB">
        <w:rPr>
          <w:rFonts w:hint="cs"/>
          <w:sz w:val="27"/>
          <w:rtl/>
        </w:rPr>
        <w:t>عتا</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بالغسل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مجرّد</w:t>
      </w:r>
      <w:r w:rsidRPr="00904FCB">
        <w:rPr>
          <w:sz w:val="27"/>
          <w:rtl/>
        </w:rPr>
        <w:t xml:space="preserve"> </w:t>
      </w:r>
      <w:r w:rsidRPr="00904FCB">
        <w:rPr>
          <w:rFonts w:hint="cs"/>
          <w:sz w:val="27"/>
          <w:rtl/>
        </w:rPr>
        <w:t>المصافحة</w:t>
      </w:r>
      <w:r w:rsidRPr="00904FCB">
        <w:rPr>
          <w:sz w:val="27"/>
          <w:rtl/>
        </w:rPr>
        <w:t xml:space="preserve"> </w:t>
      </w:r>
      <w:r w:rsidRPr="00904FCB">
        <w:rPr>
          <w:rFonts w:hint="cs"/>
          <w:sz w:val="27"/>
          <w:rtl/>
        </w:rPr>
        <w:t>معهم، مع</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بالإجماع</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ال</w:t>
      </w:r>
      <w:r w:rsidR="00B2457B" w:rsidRPr="00904FCB">
        <w:rPr>
          <w:rFonts w:hint="cs"/>
          <w:sz w:val="27"/>
          <w:rtl/>
        </w:rPr>
        <w:t>مراد</w:t>
      </w:r>
      <w:r w:rsidRPr="00904FCB">
        <w:rPr>
          <w:rFonts w:hint="cs"/>
          <w:sz w:val="27"/>
          <w:rtl/>
        </w:rPr>
        <w:t>ة لا</w:t>
      </w:r>
      <w:r w:rsidRPr="00904FCB">
        <w:rPr>
          <w:sz w:val="27"/>
          <w:rtl/>
        </w:rPr>
        <w:t xml:space="preserve"> </w:t>
      </w:r>
      <w:r w:rsidRPr="00904FCB">
        <w:rPr>
          <w:rFonts w:hint="cs"/>
          <w:sz w:val="27"/>
          <w:rtl/>
        </w:rPr>
        <w:t>تنتقل</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الرطوبة</w:t>
      </w:r>
      <w:r w:rsidRPr="00904FCB">
        <w:rPr>
          <w:sz w:val="27"/>
          <w:rtl/>
        </w:rPr>
        <w:t xml:space="preserve"> </w:t>
      </w:r>
      <w:r w:rsidRPr="00904FCB">
        <w:rPr>
          <w:rFonts w:hint="cs"/>
          <w:sz w:val="27"/>
          <w:rtl/>
        </w:rPr>
        <w:t>المسرية، فيدور</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نحمل</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خصوص</w:t>
      </w:r>
      <w:r w:rsidRPr="00904FCB">
        <w:rPr>
          <w:sz w:val="27"/>
          <w:rtl/>
        </w:rPr>
        <w:t xml:space="preserve"> </w:t>
      </w:r>
      <w:r w:rsidRPr="00904FCB">
        <w:rPr>
          <w:rFonts w:hint="cs"/>
          <w:sz w:val="27"/>
          <w:rtl/>
        </w:rPr>
        <w:t>حال</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الرطوبة</w:t>
      </w:r>
      <w:r w:rsidRPr="00904FCB">
        <w:rPr>
          <w:sz w:val="27"/>
          <w:rtl/>
        </w:rPr>
        <w:t xml:space="preserve"> </w:t>
      </w:r>
      <w:r w:rsidRPr="00904FCB">
        <w:rPr>
          <w:rFonts w:hint="cs"/>
          <w:sz w:val="27"/>
          <w:rtl/>
        </w:rPr>
        <w:t>المسرية</w:t>
      </w:r>
      <w:r w:rsidR="000D7F76" w:rsidRPr="00904FCB">
        <w:rPr>
          <w:rFonts w:hint="cs"/>
          <w:sz w:val="27"/>
          <w:rtl/>
        </w:rPr>
        <w:t>،</w:t>
      </w:r>
      <w:r w:rsidRPr="00904FCB">
        <w:rPr>
          <w:sz w:val="27"/>
          <w:rtl/>
        </w:rPr>
        <w:t xml:space="preserve"> </w:t>
      </w:r>
      <w:r w:rsidRPr="00904FCB">
        <w:rPr>
          <w:rFonts w:hint="cs"/>
          <w:sz w:val="27"/>
          <w:rtl/>
        </w:rPr>
        <w:t>فيتمّ</w:t>
      </w:r>
      <w:r w:rsidRPr="00904FCB">
        <w:rPr>
          <w:sz w:val="27"/>
          <w:rtl/>
        </w:rPr>
        <w:t xml:space="preserve"> </w:t>
      </w:r>
      <w:r w:rsidRPr="00904FCB">
        <w:rPr>
          <w:rFonts w:hint="cs"/>
          <w:sz w:val="27"/>
          <w:rtl/>
        </w:rPr>
        <w:t>الاستدلال</w:t>
      </w:r>
      <w:r w:rsidR="000D7F76" w:rsidRPr="00904FCB">
        <w:rPr>
          <w:rFonts w:hint="cs"/>
          <w:sz w:val="27"/>
          <w:rtl/>
        </w:rPr>
        <w:t>،</w:t>
      </w:r>
      <w:r w:rsidRPr="00904FCB">
        <w:rPr>
          <w:rFonts w:hint="cs"/>
          <w:sz w:val="27"/>
          <w:rtl/>
        </w:rPr>
        <w:t xml:space="preserve"> ولكنّه</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نرى</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الحمل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الفرد</w:t>
      </w:r>
      <w:r w:rsidRPr="00904FCB">
        <w:rPr>
          <w:sz w:val="27"/>
          <w:rtl/>
        </w:rPr>
        <w:t xml:space="preserve"> </w:t>
      </w:r>
      <w:r w:rsidRPr="00904FCB">
        <w:rPr>
          <w:rFonts w:hint="cs"/>
          <w:sz w:val="27"/>
          <w:rtl/>
        </w:rPr>
        <w:t>النادر؛ إذ</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الغالب</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تكون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الرطوبة</w:t>
      </w:r>
      <w:r w:rsidRPr="00904FCB">
        <w:rPr>
          <w:sz w:val="27"/>
          <w:rtl/>
        </w:rPr>
        <w:t xml:space="preserve"> </w:t>
      </w:r>
      <w:r w:rsidRPr="00904FCB">
        <w:rPr>
          <w:rFonts w:hint="cs"/>
          <w:sz w:val="27"/>
          <w:rtl/>
        </w:rPr>
        <w:t>موجودة</w:t>
      </w:r>
      <w:r w:rsidR="000D7F76" w:rsidRPr="00904FCB">
        <w:rPr>
          <w:rFonts w:hint="cs"/>
          <w:sz w:val="27"/>
          <w:rtl/>
        </w:rPr>
        <w:t>؛</w:t>
      </w:r>
      <w:r w:rsidRPr="00904FCB">
        <w:rPr>
          <w:rFonts w:hint="cs"/>
          <w:sz w:val="27"/>
          <w:rtl/>
        </w:rPr>
        <w:t xml:space="preserve"> وبين</w:t>
      </w:r>
      <w:r w:rsidRPr="00904FCB">
        <w:rPr>
          <w:sz w:val="27"/>
          <w:rtl/>
        </w:rPr>
        <w:t xml:space="preserve"> </w:t>
      </w:r>
      <w:r w:rsidRPr="00904FCB">
        <w:rPr>
          <w:rFonts w:hint="cs"/>
          <w:sz w:val="27"/>
          <w:rtl/>
        </w:rPr>
        <w:t>تركها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ظاهرها، وأنّ</w:t>
      </w:r>
      <w:r w:rsidRPr="00904FCB">
        <w:rPr>
          <w:sz w:val="27"/>
          <w:rtl/>
        </w:rPr>
        <w:t xml:space="preserve"> </w:t>
      </w:r>
      <w:r w:rsidRPr="00904FCB">
        <w:rPr>
          <w:rFonts w:hint="cs"/>
          <w:sz w:val="27"/>
          <w:rtl/>
        </w:rPr>
        <w:t>مجرّد</w:t>
      </w:r>
      <w:r w:rsidRPr="00904FCB">
        <w:rPr>
          <w:sz w:val="27"/>
          <w:rtl/>
        </w:rPr>
        <w:t xml:space="preserve"> </w:t>
      </w:r>
      <w:r w:rsidRPr="00904FCB">
        <w:rPr>
          <w:rFonts w:hint="cs"/>
          <w:sz w:val="27"/>
          <w:rtl/>
        </w:rPr>
        <w:lastRenderedPageBreak/>
        <w:t>المصافحة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ولو</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الرطوبة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تستوجب</w:t>
      </w:r>
      <w:r w:rsidRPr="00904FCB">
        <w:rPr>
          <w:sz w:val="27"/>
          <w:rtl/>
        </w:rPr>
        <w:t xml:space="preserve"> </w:t>
      </w:r>
      <w:r w:rsidRPr="00904FCB">
        <w:rPr>
          <w:rFonts w:hint="cs"/>
          <w:sz w:val="27"/>
          <w:rtl/>
        </w:rPr>
        <w:t>الغسل</w:t>
      </w:r>
      <w:r w:rsidRPr="00904FCB">
        <w:rPr>
          <w:sz w:val="27"/>
          <w:rtl/>
        </w:rPr>
        <w:t xml:space="preserve"> </w:t>
      </w:r>
      <w:r w:rsidRPr="00904FCB">
        <w:rPr>
          <w:rFonts w:hint="cs"/>
          <w:sz w:val="27"/>
          <w:rtl/>
        </w:rPr>
        <w:t>المذكور، فلا</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الغسل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الماديّة</w:t>
      </w:r>
      <w:r w:rsidRPr="00904FCB">
        <w:rPr>
          <w:sz w:val="27"/>
          <w:rtl/>
        </w:rPr>
        <w:t xml:space="preserve"> </w:t>
      </w:r>
      <w:r w:rsidRPr="00904FCB">
        <w:rPr>
          <w:rFonts w:hint="cs"/>
          <w:sz w:val="27"/>
          <w:rtl/>
        </w:rPr>
        <w:t>العينيّة، بل</w:t>
      </w:r>
      <w:r w:rsidRPr="00904FCB">
        <w:rPr>
          <w:sz w:val="27"/>
          <w:rtl/>
        </w:rPr>
        <w:t xml:space="preserve"> </w:t>
      </w:r>
      <w:r w:rsidRPr="00904FCB">
        <w:rPr>
          <w:rFonts w:hint="cs"/>
          <w:sz w:val="27"/>
          <w:rtl/>
        </w:rPr>
        <w:t>لعلّه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قبيل</w:t>
      </w:r>
      <w:r w:rsidR="000D7F76" w:rsidRPr="00904FCB">
        <w:rPr>
          <w:rFonts w:hint="cs"/>
          <w:sz w:val="27"/>
          <w:rtl/>
        </w:rPr>
        <w:t>:</w:t>
      </w:r>
      <w:r w:rsidRPr="00904FCB">
        <w:rPr>
          <w:sz w:val="27"/>
          <w:rtl/>
        </w:rPr>
        <w:t xml:space="preserve"> </w:t>
      </w:r>
      <w:r w:rsidRPr="00904FCB">
        <w:rPr>
          <w:rFonts w:hint="cs"/>
          <w:sz w:val="27"/>
          <w:rtl/>
        </w:rPr>
        <w:t>النجاسات</w:t>
      </w:r>
      <w:r w:rsidRPr="00904FCB">
        <w:rPr>
          <w:sz w:val="27"/>
          <w:rtl/>
        </w:rPr>
        <w:t xml:space="preserve"> </w:t>
      </w:r>
      <w:r w:rsidRPr="00904FCB">
        <w:rPr>
          <w:rFonts w:hint="cs"/>
          <w:sz w:val="27"/>
          <w:rtl/>
        </w:rPr>
        <w:t>المعنويّة</w:t>
      </w:r>
      <w:r w:rsidRPr="00904FCB">
        <w:rPr>
          <w:sz w:val="27"/>
          <w:rtl/>
        </w:rPr>
        <w:t xml:space="preserve"> </w:t>
      </w:r>
      <w:r w:rsidRPr="00904FCB">
        <w:rPr>
          <w:rFonts w:hint="cs"/>
          <w:sz w:val="27"/>
          <w:rtl/>
        </w:rPr>
        <w:t>لملاقاة</w:t>
      </w:r>
      <w:r w:rsidRPr="00904FCB">
        <w:rPr>
          <w:sz w:val="27"/>
          <w:rtl/>
        </w:rPr>
        <w:t xml:space="preserve"> </w:t>
      </w:r>
      <w:r w:rsidRPr="00904FCB">
        <w:rPr>
          <w:rFonts w:hint="cs"/>
          <w:sz w:val="27"/>
          <w:rtl/>
        </w:rPr>
        <w:t>اليد</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الكافر، نظير</w:t>
      </w:r>
      <w:r w:rsidR="000D7F76" w:rsidRPr="00904FCB">
        <w:rPr>
          <w:rFonts w:hint="cs"/>
          <w:sz w:val="27"/>
          <w:rtl/>
        </w:rPr>
        <w:t>:</w:t>
      </w:r>
      <w:r w:rsidRPr="00904FCB">
        <w:rPr>
          <w:sz w:val="27"/>
          <w:rtl/>
        </w:rPr>
        <w:t xml:space="preserve"> </w:t>
      </w:r>
      <w:r w:rsidRPr="00904FCB">
        <w:rPr>
          <w:rFonts w:hint="cs"/>
          <w:sz w:val="27"/>
          <w:rtl/>
        </w:rPr>
        <w:t>الجنابة</w:t>
      </w:r>
      <w:r w:rsidRPr="00904FCB">
        <w:rPr>
          <w:sz w:val="27"/>
          <w:rtl/>
        </w:rPr>
        <w:t xml:space="preserve"> </w:t>
      </w:r>
      <w:r w:rsidRPr="00904FCB">
        <w:rPr>
          <w:rFonts w:hint="cs"/>
          <w:sz w:val="27"/>
          <w:rtl/>
        </w:rPr>
        <w:t>وغسل مسّ</w:t>
      </w:r>
      <w:r w:rsidRPr="00904FCB">
        <w:rPr>
          <w:sz w:val="27"/>
          <w:rtl/>
        </w:rPr>
        <w:t xml:space="preserve"> </w:t>
      </w:r>
      <w:r w:rsidRPr="00904FCB">
        <w:rPr>
          <w:rFonts w:hint="cs"/>
          <w:sz w:val="27"/>
          <w:rtl/>
        </w:rPr>
        <w:t>الميت</w:t>
      </w:r>
      <w:r w:rsidRPr="00904FCB">
        <w:rPr>
          <w:sz w:val="27"/>
          <w:rtl/>
        </w:rPr>
        <w:t xml:space="preserve"> </w:t>
      </w:r>
      <w:r w:rsidRPr="00904FCB">
        <w:rPr>
          <w:rFonts w:hint="cs"/>
          <w:sz w:val="27"/>
          <w:rtl/>
        </w:rPr>
        <w:t>وغير</w:t>
      </w:r>
      <w:r w:rsidR="000D7F76" w:rsidRPr="00904FCB">
        <w:rPr>
          <w:rFonts w:hint="cs"/>
          <w:sz w:val="27"/>
          <w:rtl/>
        </w:rPr>
        <w:t xml:space="preserve"> </w:t>
      </w:r>
      <w:r w:rsidRPr="00904FCB">
        <w:rPr>
          <w:rFonts w:hint="cs"/>
          <w:sz w:val="27"/>
          <w:rtl/>
        </w:rPr>
        <w:t>ذلك</w:t>
      </w:r>
      <w:r w:rsidR="000D7F76" w:rsidRPr="00904FCB">
        <w:rPr>
          <w:rFonts w:hint="cs"/>
          <w:sz w:val="27"/>
          <w:rtl/>
        </w:rPr>
        <w:t>،</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احتمال</w:t>
      </w:r>
      <w:r w:rsidR="000D7F76" w:rsidRPr="00904FCB">
        <w:rPr>
          <w:rFonts w:hint="cs"/>
          <w:sz w:val="27"/>
          <w:rtl/>
        </w:rPr>
        <w:t>ٌ</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يعدّ</w:t>
      </w:r>
      <w:r w:rsidRPr="00904FCB">
        <w:rPr>
          <w:sz w:val="27"/>
          <w:rtl/>
        </w:rPr>
        <w:t xml:space="preserve"> </w:t>
      </w:r>
      <w:r w:rsidRPr="00904FCB">
        <w:rPr>
          <w:rFonts w:hint="cs"/>
          <w:sz w:val="27"/>
          <w:rtl/>
        </w:rPr>
        <w:t>غريباً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باد</w:t>
      </w:r>
      <w:r w:rsidR="000D7F76" w:rsidRPr="00904FCB">
        <w:rPr>
          <w:rFonts w:hint="cs"/>
          <w:sz w:val="27"/>
          <w:rtl/>
        </w:rPr>
        <w:t>ئ</w:t>
      </w:r>
      <w:r w:rsidRPr="00904FCB">
        <w:rPr>
          <w:sz w:val="27"/>
          <w:rtl/>
        </w:rPr>
        <w:t xml:space="preserve"> </w:t>
      </w:r>
      <w:r w:rsidRPr="00904FCB">
        <w:rPr>
          <w:rFonts w:hint="cs"/>
          <w:sz w:val="27"/>
          <w:rtl/>
        </w:rPr>
        <w:t>النظر، ولكنّه</w:t>
      </w:r>
      <w:r w:rsidRPr="00904FCB">
        <w:rPr>
          <w:sz w:val="27"/>
          <w:rtl/>
        </w:rPr>
        <w:t xml:space="preserve"> </w:t>
      </w:r>
      <w:r w:rsidRPr="00904FCB">
        <w:rPr>
          <w:rFonts w:hint="cs"/>
          <w:sz w:val="27"/>
          <w:rtl/>
        </w:rPr>
        <w:t>فرضيّة</w:t>
      </w:r>
      <w:r w:rsidRPr="00904FCB">
        <w:rPr>
          <w:sz w:val="27"/>
          <w:rtl/>
        </w:rPr>
        <w:t xml:space="preserve"> </w:t>
      </w:r>
      <w:r w:rsidRPr="00904FCB">
        <w:rPr>
          <w:rFonts w:hint="cs"/>
          <w:sz w:val="27"/>
          <w:rtl/>
        </w:rPr>
        <w:t>ممكنة</w:t>
      </w:r>
      <w:r w:rsidR="000D7F76"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المقام، ومعها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يتمّ</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وحيث</w:t>
      </w:r>
      <w:r w:rsidRPr="00904FCB">
        <w:rPr>
          <w:sz w:val="27"/>
          <w:rtl/>
        </w:rPr>
        <w:t xml:space="preserve"> </w:t>
      </w:r>
      <w:r w:rsidRPr="00904FCB">
        <w:rPr>
          <w:rFonts w:hint="cs"/>
          <w:sz w:val="27"/>
          <w:rtl/>
        </w:rPr>
        <w:t>إنّه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معيِّن</w:t>
      </w:r>
      <w:r w:rsidRPr="00904FCB">
        <w:rPr>
          <w:sz w:val="27"/>
          <w:rtl/>
        </w:rPr>
        <w:t xml:space="preserve"> </w:t>
      </w:r>
      <w:r w:rsidRPr="00904FCB">
        <w:rPr>
          <w:rFonts w:hint="cs"/>
          <w:sz w:val="27"/>
          <w:rtl/>
        </w:rPr>
        <w:t>لأحد</w:t>
      </w:r>
      <w:r w:rsidRPr="00904FCB">
        <w:rPr>
          <w:sz w:val="27"/>
          <w:rtl/>
        </w:rPr>
        <w:t xml:space="preserve"> </w:t>
      </w:r>
      <w:r w:rsidRPr="00904FCB">
        <w:rPr>
          <w:rFonts w:hint="cs"/>
          <w:sz w:val="27"/>
          <w:rtl/>
        </w:rPr>
        <w:t>الاحتمالين لا</w:t>
      </w:r>
      <w:r w:rsidRPr="00904FCB">
        <w:rPr>
          <w:sz w:val="27"/>
          <w:rtl/>
        </w:rPr>
        <w:t xml:space="preserve"> </w:t>
      </w:r>
      <w:r w:rsidRPr="00904FCB">
        <w:rPr>
          <w:rFonts w:hint="cs"/>
          <w:sz w:val="27"/>
          <w:rtl/>
        </w:rPr>
        <w:t>نستطيع</w:t>
      </w:r>
      <w:r w:rsidRPr="00904FCB">
        <w:rPr>
          <w:sz w:val="27"/>
          <w:rtl/>
        </w:rPr>
        <w:t xml:space="preserve"> </w:t>
      </w:r>
      <w:r w:rsidRPr="00904FCB">
        <w:rPr>
          <w:rFonts w:hint="cs"/>
          <w:sz w:val="27"/>
          <w:rtl/>
        </w:rPr>
        <w:t>الاستدلال</w:t>
      </w:r>
      <w:r w:rsidRPr="00904FCB">
        <w:rPr>
          <w:sz w:val="27"/>
          <w:rtl/>
        </w:rPr>
        <w:t xml:space="preserve"> </w:t>
      </w:r>
      <w:r w:rsidRPr="00904FCB">
        <w:rPr>
          <w:rFonts w:hint="cs"/>
          <w:sz w:val="27"/>
          <w:rtl/>
        </w:rPr>
        <w:t>بالرواية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المطلوب</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ثانياً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بالغسل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الروايتين</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التنزيه</w:t>
      </w:r>
      <w:r w:rsidR="000D7F76" w:rsidRPr="00904FCB">
        <w:rPr>
          <w:rFonts w:hint="cs"/>
          <w:sz w:val="27"/>
          <w:rtl/>
        </w:rPr>
        <w:t>؛</w:t>
      </w:r>
      <w:r w:rsidRPr="00904FCB">
        <w:rPr>
          <w:rFonts w:hint="cs"/>
          <w:sz w:val="27"/>
          <w:rtl/>
        </w:rPr>
        <w:t xml:space="preserve"> وذلك</w:t>
      </w:r>
      <w:r w:rsidRPr="00904FCB">
        <w:rPr>
          <w:sz w:val="27"/>
          <w:rtl/>
        </w:rPr>
        <w:t xml:space="preserve"> </w:t>
      </w:r>
      <w:r w:rsidRPr="00904FCB">
        <w:rPr>
          <w:rFonts w:hint="cs"/>
          <w:sz w:val="27"/>
          <w:rtl/>
        </w:rPr>
        <w:t>بقرينة</w:t>
      </w:r>
      <w:r w:rsidRPr="00904FCB">
        <w:rPr>
          <w:sz w:val="27"/>
          <w:rtl/>
        </w:rPr>
        <w:t xml:space="preserve"> </w:t>
      </w:r>
      <w:r w:rsidRPr="00904FCB">
        <w:rPr>
          <w:rFonts w:hint="cs"/>
          <w:sz w:val="27"/>
          <w:rtl/>
        </w:rPr>
        <w:t>رواية</w:t>
      </w:r>
      <w:r w:rsidRPr="00904FCB">
        <w:rPr>
          <w:sz w:val="27"/>
          <w:rtl/>
        </w:rPr>
        <w:t xml:space="preserve"> </w:t>
      </w:r>
      <w:r w:rsidRPr="00904FCB">
        <w:rPr>
          <w:rFonts w:hint="cs"/>
          <w:sz w:val="27"/>
          <w:rtl/>
        </w:rPr>
        <w:t>القلانسي</w:t>
      </w:r>
      <w:r w:rsidRPr="00904FCB">
        <w:rPr>
          <w:sz w:val="27"/>
          <w:rtl/>
        </w:rPr>
        <w:t xml:space="preserve"> </w:t>
      </w:r>
      <w:r w:rsidRPr="00904FCB">
        <w:rPr>
          <w:rFonts w:hint="cs"/>
          <w:sz w:val="27"/>
          <w:rtl/>
        </w:rPr>
        <w:t>الآتية، والتي</w:t>
      </w:r>
      <w:r w:rsidRPr="00904FCB">
        <w:rPr>
          <w:sz w:val="27"/>
          <w:rtl/>
        </w:rPr>
        <w:t xml:space="preserve"> </w:t>
      </w:r>
      <w:r w:rsidRPr="00904FCB">
        <w:rPr>
          <w:rFonts w:hint="cs"/>
          <w:sz w:val="27"/>
          <w:rtl/>
        </w:rPr>
        <w:t>صرّ</w:t>
      </w:r>
      <w:r w:rsidR="000D7F76" w:rsidRPr="00904FCB">
        <w:rPr>
          <w:rFonts w:hint="cs"/>
          <w:sz w:val="27"/>
          <w:rtl/>
        </w:rPr>
        <w:t>َ</w:t>
      </w:r>
      <w:r w:rsidRPr="00904FCB">
        <w:rPr>
          <w:rFonts w:hint="cs"/>
          <w:sz w:val="27"/>
          <w:rtl/>
        </w:rPr>
        <w:t>حت</w:t>
      </w:r>
      <w:r w:rsidRPr="00904FCB">
        <w:rPr>
          <w:sz w:val="27"/>
          <w:rtl/>
        </w:rPr>
        <w:t xml:space="preserve"> </w:t>
      </w:r>
      <w:r w:rsidRPr="00904FCB">
        <w:rPr>
          <w:rFonts w:hint="cs"/>
          <w:sz w:val="27"/>
          <w:rtl/>
        </w:rPr>
        <w:t>بعدم</w:t>
      </w:r>
      <w:r w:rsidRPr="00904FCB">
        <w:rPr>
          <w:sz w:val="27"/>
          <w:rtl/>
        </w:rPr>
        <w:t xml:space="preserve"> </w:t>
      </w:r>
      <w:r w:rsidRPr="00904FCB">
        <w:rPr>
          <w:rFonts w:hint="cs"/>
          <w:sz w:val="27"/>
          <w:rtl/>
        </w:rPr>
        <w:t>لزوم</w:t>
      </w:r>
      <w:r w:rsidRPr="00904FCB">
        <w:rPr>
          <w:sz w:val="27"/>
          <w:rtl/>
        </w:rPr>
        <w:t xml:space="preserve"> </w:t>
      </w:r>
      <w:r w:rsidRPr="00904FCB">
        <w:rPr>
          <w:rFonts w:hint="cs"/>
          <w:sz w:val="27"/>
          <w:rtl/>
        </w:rPr>
        <w:t>الغسل</w:t>
      </w:r>
      <w:r w:rsidRPr="00904FCB">
        <w:rPr>
          <w:sz w:val="27"/>
          <w:rtl/>
        </w:rPr>
        <w:t xml:space="preserve"> </w:t>
      </w:r>
      <w:r w:rsidRPr="00904FCB">
        <w:rPr>
          <w:rFonts w:hint="cs"/>
          <w:sz w:val="27"/>
          <w:rtl/>
        </w:rPr>
        <w:t>لليد</w:t>
      </w:r>
      <w:r w:rsidRPr="00904FCB">
        <w:rPr>
          <w:sz w:val="27"/>
          <w:rtl/>
        </w:rPr>
        <w:t xml:space="preserve"> </w:t>
      </w:r>
      <w:r w:rsidRPr="00904FCB">
        <w:rPr>
          <w:rFonts w:hint="cs"/>
          <w:sz w:val="27"/>
          <w:rtl/>
        </w:rPr>
        <w:t>بمصافحة</w:t>
      </w:r>
      <w:r w:rsidRPr="00904FCB">
        <w:rPr>
          <w:sz w:val="27"/>
          <w:rtl/>
        </w:rPr>
        <w:t xml:space="preserve"> </w:t>
      </w:r>
      <w:r w:rsidRPr="00904FCB">
        <w:rPr>
          <w:rFonts w:hint="cs"/>
          <w:sz w:val="27"/>
          <w:rtl/>
        </w:rPr>
        <w:t>الذمّي</w:t>
      </w:r>
      <w:r w:rsidRPr="00904FCB">
        <w:rPr>
          <w:sz w:val="27"/>
          <w:rtl/>
        </w:rPr>
        <w:t xml:space="preserve"> </w:t>
      </w:r>
      <w:r w:rsidRPr="00904FCB">
        <w:rPr>
          <w:rFonts w:hint="cs"/>
          <w:sz w:val="27"/>
          <w:rtl/>
        </w:rPr>
        <w:t>مطلقاً، بل</w:t>
      </w:r>
      <w:r w:rsidRPr="00904FCB">
        <w:rPr>
          <w:sz w:val="27"/>
          <w:rtl/>
        </w:rPr>
        <w:t xml:space="preserve"> </w:t>
      </w:r>
      <w:r w:rsidRPr="00904FCB">
        <w:rPr>
          <w:rFonts w:hint="cs"/>
          <w:sz w:val="27"/>
          <w:rtl/>
        </w:rPr>
        <w:t>أمر</w:t>
      </w:r>
      <w:r w:rsidR="000D7F76" w:rsidRPr="00904FCB">
        <w:rPr>
          <w:rFonts w:hint="cs"/>
          <w:sz w:val="27"/>
          <w:rtl/>
        </w:rPr>
        <w:t>َ</w:t>
      </w:r>
      <w:r w:rsidRPr="00904FCB">
        <w:rPr>
          <w:rFonts w:hint="cs"/>
          <w:sz w:val="27"/>
          <w:rtl/>
        </w:rPr>
        <w:t>ت</w:t>
      </w:r>
      <w:r w:rsidR="000D7F76" w:rsidRPr="00904FCB">
        <w:rPr>
          <w:rFonts w:hint="cs"/>
          <w:sz w:val="27"/>
          <w:rtl/>
        </w:rPr>
        <w:t>ْ</w:t>
      </w:r>
      <w:r w:rsidRPr="00904FCB">
        <w:rPr>
          <w:sz w:val="27"/>
          <w:rtl/>
        </w:rPr>
        <w:t xml:space="preserve"> </w:t>
      </w:r>
      <w:r w:rsidRPr="00904FCB">
        <w:rPr>
          <w:rFonts w:hint="cs"/>
          <w:sz w:val="27"/>
          <w:rtl/>
        </w:rPr>
        <w:t>بالمسح</w:t>
      </w:r>
      <w:r w:rsidRPr="00904FCB">
        <w:rPr>
          <w:sz w:val="27"/>
          <w:rtl/>
        </w:rPr>
        <w:t xml:space="preserve"> </w:t>
      </w:r>
      <w:r w:rsidRPr="00904FCB">
        <w:rPr>
          <w:rFonts w:hint="cs"/>
          <w:sz w:val="27"/>
          <w:rtl/>
        </w:rPr>
        <w:t>بالتراب</w:t>
      </w:r>
      <w:r w:rsidRPr="00904FCB">
        <w:rPr>
          <w:sz w:val="27"/>
          <w:rtl/>
        </w:rPr>
        <w:t xml:space="preserve">. </w:t>
      </w:r>
      <w:r w:rsidRPr="00904FCB">
        <w:rPr>
          <w:rFonts w:hint="cs"/>
          <w:sz w:val="27"/>
          <w:rtl/>
        </w:rPr>
        <w:t>ولعلّ</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يؤيّ</w:t>
      </w:r>
      <w:r w:rsidR="000D7F76" w:rsidRPr="00904FCB">
        <w:rPr>
          <w:rFonts w:hint="cs"/>
          <w:sz w:val="27"/>
          <w:rtl/>
        </w:rPr>
        <w:t>ِ</w:t>
      </w:r>
      <w:r w:rsidRPr="00904FCB">
        <w:rPr>
          <w:rFonts w:hint="cs"/>
          <w:sz w:val="27"/>
          <w:rtl/>
        </w:rPr>
        <w:t>د</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ذكرنا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معنويّة، ت</w:t>
      </w:r>
      <w:r w:rsidR="000D7F76" w:rsidRPr="00904FCB">
        <w:rPr>
          <w:rFonts w:hint="cs"/>
          <w:sz w:val="27"/>
          <w:rtl/>
        </w:rPr>
        <w:t>ُ</w:t>
      </w:r>
      <w:r w:rsidRPr="00904FCB">
        <w:rPr>
          <w:rFonts w:hint="cs"/>
          <w:sz w:val="27"/>
          <w:rtl/>
        </w:rPr>
        <w:t>زال</w:t>
      </w:r>
      <w:r w:rsidRPr="00904FCB">
        <w:rPr>
          <w:sz w:val="27"/>
          <w:rtl/>
        </w:rPr>
        <w:t xml:space="preserve"> </w:t>
      </w:r>
      <w:r w:rsidRPr="00904FCB">
        <w:rPr>
          <w:rFonts w:hint="cs"/>
          <w:sz w:val="27"/>
          <w:rtl/>
        </w:rPr>
        <w:t>بالماء</w:t>
      </w:r>
      <w:r w:rsidRPr="00904FCB">
        <w:rPr>
          <w:sz w:val="27"/>
          <w:rtl/>
        </w:rPr>
        <w:t xml:space="preserve"> </w:t>
      </w:r>
      <w:r w:rsidRPr="00904FCB">
        <w:rPr>
          <w:rFonts w:hint="cs"/>
          <w:sz w:val="27"/>
          <w:rtl/>
        </w:rPr>
        <w:t>والتراب</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خصوص</w:t>
      </w:r>
      <w:r w:rsidRPr="00904FCB">
        <w:rPr>
          <w:sz w:val="27"/>
          <w:rtl/>
        </w:rPr>
        <w:t xml:space="preserve"> </w:t>
      </w:r>
      <w:r w:rsidRPr="00904FCB">
        <w:rPr>
          <w:rFonts w:hint="cs"/>
          <w:sz w:val="27"/>
          <w:rtl/>
        </w:rPr>
        <w:t>موضع</w:t>
      </w:r>
      <w:r w:rsidRPr="00904FCB">
        <w:rPr>
          <w:sz w:val="27"/>
          <w:rtl/>
        </w:rPr>
        <w:t xml:space="preserve"> </w:t>
      </w:r>
      <w:r w:rsidRPr="00904FCB">
        <w:rPr>
          <w:rFonts w:hint="cs"/>
          <w:sz w:val="27"/>
          <w:rtl/>
        </w:rPr>
        <w:t>الملاقاة، وإلاّ</w:t>
      </w:r>
      <w:r w:rsidRPr="00904FCB">
        <w:rPr>
          <w:sz w:val="27"/>
          <w:rtl/>
        </w:rPr>
        <w:t xml:space="preserve"> </w:t>
      </w:r>
      <w:r w:rsidRPr="00904FCB">
        <w:rPr>
          <w:rFonts w:hint="cs"/>
          <w:sz w:val="27"/>
          <w:rtl/>
        </w:rPr>
        <w:t>فمن</w:t>
      </w:r>
      <w:r w:rsidRPr="00904FCB">
        <w:rPr>
          <w:sz w:val="27"/>
          <w:rtl/>
        </w:rPr>
        <w:t xml:space="preserve"> </w:t>
      </w:r>
      <w:r w:rsidRPr="00904FCB">
        <w:rPr>
          <w:rFonts w:hint="cs"/>
          <w:sz w:val="27"/>
          <w:rtl/>
        </w:rPr>
        <w:t>الواضح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المسح</w:t>
      </w:r>
      <w:r w:rsidRPr="00904FCB">
        <w:rPr>
          <w:sz w:val="27"/>
          <w:rtl/>
        </w:rPr>
        <w:t xml:space="preserve"> </w:t>
      </w:r>
      <w:r w:rsidRPr="00904FCB">
        <w:rPr>
          <w:rFonts w:hint="cs"/>
          <w:sz w:val="27"/>
          <w:rtl/>
        </w:rPr>
        <w:t>بالتراب</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المطهّ</w:t>
      </w:r>
      <w:r w:rsidR="000D7F76" w:rsidRPr="00904FCB">
        <w:rPr>
          <w:rFonts w:hint="cs"/>
          <w:sz w:val="27"/>
          <w:rtl/>
        </w:rPr>
        <w:t>ِ</w:t>
      </w:r>
      <w:r w:rsidRPr="00904FCB">
        <w:rPr>
          <w:rFonts w:hint="cs"/>
          <w:sz w:val="27"/>
          <w:rtl/>
        </w:rPr>
        <w:t>رات</w:t>
      </w:r>
      <w:r w:rsidRPr="00904FCB">
        <w:rPr>
          <w:sz w:val="27"/>
          <w:rtl/>
        </w:rPr>
        <w:t xml:space="preserve"> </w:t>
      </w:r>
      <w:r w:rsidRPr="00904FCB">
        <w:rPr>
          <w:rFonts w:hint="cs"/>
          <w:sz w:val="27"/>
          <w:rtl/>
        </w:rPr>
        <w:t>هنا، ولو</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ماد</w:t>
      </w:r>
      <w:r w:rsidR="000D7F76" w:rsidRPr="00904FCB">
        <w:rPr>
          <w:rFonts w:hint="cs"/>
          <w:sz w:val="27"/>
          <w:rtl/>
        </w:rPr>
        <w:t>ّ</w:t>
      </w:r>
      <w:r w:rsidRPr="00904FCB">
        <w:rPr>
          <w:rFonts w:hint="cs"/>
          <w:sz w:val="27"/>
          <w:rtl/>
        </w:rPr>
        <w:t>يّة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الرابعة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عَنْهُ</w:t>
      </w:r>
      <w:r w:rsidR="000D7F76"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الْكُوفِيِّ</w:t>
      </w:r>
      <w:r w:rsidR="000D7F76"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عَبَّاسِ</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عَامِرٍ</w:t>
      </w:r>
      <w:r w:rsidR="000D7F76"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مَعْمَرٍ</w:t>
      </w:r>
      <w:r w:rsidR="000D7F76"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خَالِدٍ</w:t>
      </w:r>
      <w:r w:rsidRPr="00904FCB">
        <w:rPr>
          <w:sz w:val="27"/>
          <w:rtl/>
        </w:rPr>
        <w:t xml:space="preserve"> </w:t>
      </w:r>
      <w:r w:rsidRPr="00904FCB">
        <w:rPr>
          <w:rFonts w:hint="cs"/>
          <w:sz w:val="27"/>
          <w:rtl/>
        </w:rPr>
        <w:t>الْقَلانِسِيِّ</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قُلْتُ</w:t>
      </w:r>
      <w:r w:rsidRPr="00904FCB">
        <w:rPr>
          <w:sz w:val="27"/>
          <w:rtl/>
        </w:rPr>
        <w:t xml:space="preserve"> </w:t>
      </w:r>
      <w:r w:rsidR="000D7F76" w:rsidRPr="00904FCB">
        <w:rPr>
          <w:rFonts w:hint="cs"/>
          <w:sz w:val="27"/>
          <w:rtl/>
        </w:rPr>
        <w:t>ل</w:t>
      </w:r>
      <w:r w:rsidRPr="00904FCB">
        <w:rPr>
          <w:rFonts w:hint="cs"/>
          <w:sz w:val="27"/>
          <w:rtl/>
        </w:rPr>
        <w:t>أَبِي</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000D7F76" w:rsidRPr="00904FCB">
        <w:rPr>
          <w:rFonts w:hint="cs"/>
          <w:sz w:val="27"/>
          <w:rtl/>
        </w:rPr>
        <w:t>:</w:t>
      </w:r>
      <w:r w:rsidRPr="00904FCB">
        <w:rPr>
          <w:sz w:val="27"/>
          <w:rtl/>
        </w:rPr>
        <w:t xml:space="preserve"> </w:t>
      </w:r>
      <w:r w:rsidRPr="00904FCB">
        <w:rPr>
          <w:rFonts w:hint="cs"/>
          <w:sz w:val="27"/>
          <w:rtl/>
        </w:rPr>
        <w:t>أَلْقَى</w:t>
      </w:r>
      <w:r w:rsidRPr="00904FCB">
        <w:rPr>
          <w:sz w:val="27"/>
          <w:rtl/>
        </w:rPr>
        <w:t xml:space="preserve"> </w:t>
      </w:r>
      <w:r w:rsidRPr="00904FCB">
        <w:rPr>
          <w:rFonts w:hint="cs"/>
          <w:sz w:val="27"/>
          <w:rtl/>
        </w:rPr>
        <w:t>الذِّمِّيَّ</w:t>
      </w:r>
      <w:r w:rsidRPr="00904FCB">
        <w:rPr>
          <w:sz w:val="27"/>
          <w:rtl/>
        </w:rPr>
        <w:t xml:space="preserve"> </w:t>
      </w:r>
      <w:r w:rsidRPr="00904FCB">
        <w:rPr>
          <w:rFonts w:hint="cs"/>
          <w:sz w:val="27"/>
          <w:rtl/>
        </w:rPr>
        <w:t>فَيُصَافِحُنِي، قَالَ</w:t>
      </w:r>
      <w:r w:rsidRPr="00904FCB">
        <w:rPr>
          <w:sz w:val="27"/>
          <w:rtl/>
        </w:rPr>
        <w:t xml:space="preserve">: </w:t>
      </w:r>
      <w:r w:rsidRPr="00904FCB">
        <w:rPr>
          <w:rFonts w:hint="cs"/>
          <w:sz w:val="27"/>
          <w:rtl/>
        </w:rPr>
        <w:t>امْسَحْهَا</w:t>
      </w:r>
      <w:r w:rsidRPr="00904FCB">
        <w:rPr>
          <w:sz w:val="27"/>
          <w:rtl/>
        </w:rPr>
        <w:t xml:space="preserve"> </w:t>
      </w:r>
      <w:r w:rsidRPr="00904FCB">
        <w:rPr>
          <w:rFonts w:hint="cs"/>
          <w:sz w:val="27"/>
          <w:rtl/>
        </w:rPr>
        <w:t>بِالتُّرَابِ</w:t>
      </w:r>
      <w:r w:rsidRPr="00904FCB">
        <w:rPr>
          <w:sz w:val="27"/>
          <w:rtl/>
        </w:rPr>
        <w:t xml:space="preserve"> </w:t>
      </w:r>
      <w:r w:rsidRPr="00904FCB">
        <w:rPr>
          <w:rFonts w:hint="cs"/>
          <w:sz w:val="27"/>
          <w:rtl/>
        </w:rPr>
        <w:t>وبِالْحَائِطِ، قُلْتُ</w:t>
      </w:r>
      <w:r w:rsidRPr="00904FCB">
        <w:rPr>
          <w:sz w:val="27"/>
          <w:rtl/>
        </w:rPr>
        <w:t xml:space="preserve">: </w:t>
      </w:r>
      <w:r w:rsidRPr="00904FCB">
        <w:rPr>
          <w:rFonts w:hint="cs"/>
          <w:sz w:val="27"/>
          <w:rtl/>
        </w:rPr>
        <w:t>فَالنَّاصِبَ</w:t>
      </w:r>
      <w:r w:rsidR="00C620F2"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اغْسِلْهَا</w:t>
      </w:r>
      <w:r w:rsidRPr="00904FCB">
        <w:rPr>
          <w:rFonts w:hint="eastAsia"/>
          <w:sz w:val="27"/>
          <w:rtl/>
        </w:rPr>
        <w:t>»</w:t>
      </w:r>
      <w:r w:rsidRPr="00904FCB">
        <w:rPr>
          <w:rFonts w:hint="cs"/>
          <w:sz w:val="27"/>
          <w:vertAlign w:val="superscript"/>
          <w:rtl/>
        </w:rPr>
        <w:t>(</w:t>
      </w:r>
      <w:r w:rsidRPr="00904FCB">
        <w:rPr>
          <w:rStyle w:val="ac"/>
          <w:sz w:val="27"/>
          <w:rtl/>
        </w:rPr>
        <w:endnoteReference w:id="680"/>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يبدأ</w:t>
      </w:r>
      <w:r w:rsidRPr="00904FCB">
        <w:rPr>
          <w:sz w:val="27"/>
          <w:rtl/>
        </w:rPr>
        <w:t xml:space="preserve"> </w:t>
      </w:r>
      <w:r w:rsidRPr="00904FCB">
        <w:rPr>
          <w:rFonts w:hint="cs"/>
          <w:sz w:val="27"/>
          <w:rtl/>
        </w:rPr>
        <w:t>بالضمير، وهو</w:t>
      </w:r>
      <w:r w:rsidRPr="00904FCB">
        <w:rPr>
          <w:sz w:val="27"/>
          <w:rtl/>
        </w:rPr>
        <w:t xml:space="preserve"> </w:t>
      </w:r>
      <w:r w:rsidRPr="00904FCB">
        <w:rPr>
          <w:rFonts w:hint="cs"/>
          <w:sz w:val="27"/>
          <w:rtl/>
        </w:rPr>
        <w:t>راجع</w:t>
      </w:r>
      <w:r w:rsidR="00C620F2" w:rsidRPr="00904FCB">
        <w:rPr>
          <w:rFonts w:hint="cs"/>
          <w:sz w:val="27"/>
          <w:rtl/>
        </w:rPr>
        <w:t>ٌ</w:t>
      </w:r>
      <w:r w:rsidRPr="00904FCB">
        <w:rPr>
          <w:sz w:val="27"/>
          <w:rtl/>
        </w:rPr>
        <w:t xml:space="preserve"> </w:t>
      </w:r>
      <w:r w:rsidRPr="00904FCB">
        <w:rPr>
          <w:rFonts w:hint="cs"/>
          <w:sz w:val="27"/>
          <w:rtl/>
        </w:rPr>
        <w:t>الى</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علي</w:t>
      </w:r>
      <w:r w:rsidR="00C620F2" w:rsidRPr="00904FCB">
        <w:rPr>
          <w:rFonts w:hint="cs"/>
          <w:sz w:val="27"/>
          <w:rtl/>
        </w:rPr>
        <w:t>ّ</w:t>
      </w:r>
      <w:r w:rsidRPr="00904FCB">
        <w:rPr>
          <w:sz w:val="27"/>
          <w:rtl/>
        </w:rPr>
        <w:t xml:space="preserve"> </w:t>
      </w:r>
      <w:r w:rsidRPr="00904FCB">
        <w:rPr>
          <w:rFonts w:hint="cs"/>
          <w:sz w:val="27"/>
          <w:rtl/>
        </w:rPr>
        <w:t>الأشعري</w:t>
      </w:r>
      <w:r w:rsidRPr="00904FCB">
        <w:rPr>
          <w:sz w:val="27"/>
          <w:rtl/>
        </w:rPr>
        <w:t xml:space="preserve"> </w:t>
      </w:r>
      <w:r w:rsidRPr="00904FCB">
        <w:rPr>
          <w:rFonts w:hint="cs"/>
          <w:sz w:val="27"/>
          <w:rtl/>
        </w:rPr>
        <w:t>شيخ</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الثقة</w:t>
      </w:r>
      <w:r w:rsidR="00C620F2" w:rsidRPr="00904FCB">
        <w:rPr>
          <w:rFonts w:hint="cs"/>
          <w:sz w:val="27"/>
          <w:rtl/>
        </w:rPr>
        <w:t>.</w:t>
      </w:r>
      <w:r w:rsidRPr="00904FCB">
        <w:rPr>
          <w:rFonts w:hint="cs"/>
          <w:sz w:val="27"/>
          <w:rtl/>
        </w:rPr>
        <w:t xml:space="preserve"> والحسن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علي</w:t>
      </w:r>
      <w:r w:rsidR="00C620F2" w:rsidRPr="00904FCB">
        <w:rPr>
          <w:rFonts w:hint="cs"/>
          <w:sz w:val="27"/>
          <w:rtl/>
        </w:rPr>
        <w:t>ّ</w:t>
      </w:r>
      <w:r w:rsidRPr="00904FCB">
        <w:rPr>
          <w:sz w:val="27"/>
          <w:rtl/>
        </w:rPr>
        <w:t xml:space="preserve"> </w:t>
      </w:r>
      <w:r w:rsidRPr="00904FCB">
        <w:rPr>
          <w:rFonts w:hint="cs"/>
          <w:sz w:val="27"/>
          <w:rtl/>
        </w:rPr>
        <w:t>الكوفي</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المغيرة</w:t>
      </w:r>
      <w:r w:rsidRPr="00904FCB">
        <w:rPr>
          <w:sz w:val="27"/>
          <w:rtl/>
        </w:rPr>
        <w:t xml:space="preserve"> </w:t>
      </w:r>
      <w:r w:rsidRPr="00904FCB">
        <w:rPr>
          <w:rFonts w:hint="cs"/>
          <w:sz w:val="27"/>
          <w:rtl/>
        </w:rPr>
        <w:t>الثقة</w:t>
      </w:r>
      <w:r w:rsidR="00C620F2" w:rsidRPr="00904FCB">
        <w:rPr>
          <w:rFonts w:hint="cs"/>
          <w:sz w:val="27"/>
          <w:rtl/>
        </w:rPr>
        <w:t>.</w:t>
      </w:r>
      <w:r w:rsidRPr="00904FCB">
        <w:rPr>
          <w:rFonts w:hint="cs"/>
          <w:sz w:val="27"/>
          <w:rtl/>
        </w:rPr>
        <w:t xml:space="preserve"> والعبّاس</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عامر</w:t>
      </w:r>
      <w:r w:rsidRPr="00904FCB">
        <w:rPr>
          <w:sz w:val="27"/>
          <w:rtl/>
        </w:rPr>
        <w:t xml:space="preserve"> </w:t>
      </w:r>
      <w:r w:rsidRPr="00904FCB">
        <w:rPr>
          <w:rFonts w:hint="cs"/>
          <w:sz w:val="27"/>
          <w:rtl/>
        </w:rPr>
        <w:t>ثقة</w:t>
      </w:r>
      <w:r w:rsidRPr="00904FCB">
        <w:rPr>
          <w:sz w:val="27"/>
          <w:rtl/>
        </w:rPr>
        <w:t xml:space="preserve"> </w:t>
      </w:r>
      <w:r w:rsidRPr="00904FCB">
        <w:rPr>
          <w:rFonts w:hint="cs"/>
          <w:sz w:val="27"/>
          <w:rtl/>
        </w:rPr>
        <w:t>جليل</w:t>
      </w:r>
      <w:r w:rsidRPr="00904FCB">
        <w:rPr>
          <w:sz w:val="27"/>
          <w:rtl/>
        </w:rPr>
        <w:t xml:space="preserve">. </w:t>
      </w:r>
      <w:r w:rsidRPr="00904FCB">
        <w:rPr>
          <w:rFonts w:hint="cs"/>
          <w:sz w:val="27"/>
          <w:rtl/>
        </w:rPr>
        <w:t>وأمّا</w:t>
      </w:r>
      <w:r w:rsidRPr="00904FCB">
        <w:rPr>
          <w:sz w:val="27"/>
          <w:rtl/>
        </w:rPr>
        <w:t xml:space="preserve"> </w:t>
      </w:r>
      <w:r w:rsidRPr="00904FCB">
        <w:rPr>
          <w:rFonts w:hint="cs"/>
          <w:sz w:val="27"/>
          <w:rtl/>
        </w:rPr>
        <w:t>علي</w:t>
      </w:r>
      <w:r w:rsidR="00C620F2" w:rsidRPr="00904FCB">
        <w:rPr>
          <w:rFonts w:hint="cs"/>
          <w:sz w:val="27"/>
          <w:rtl/>
        </w:rPr>
        <w:t>ّ</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معمر</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توثيق</w:t>
      </w:r>
      <w:r w:rsidRPr="00904FCB">
        <w:rPr>
          <w:sz w:val="27"/>
          <w:rtl/>
        </w:rPr>
        <w:t xml:space="preserve"> </w:t>
      </w:r>
      <w:r w:rsidRPr="00904FCB">
        <w:rPr>
          <w:rFonts w:hint="cs"/>
          <w:sz w:val="27"/>
          <w:rtl/>
        </w:rPr>
        <w:t>له، وإن</w:t>
      </w:r>
      <w:r w:rsidR="00C620F2" w:rsidRPr="00904FCB">
        <w:rPr>
          <w:rFonts w:hint="cs"/>
          <w:sz w:val="27"/>
          <w:rtl/>
        </w:rPr>
        <w:t>ْ</w:t>
      </w:r>
      <w:r w:rsidRPr="00904FCB">
        <w:rPr>
          <w:sz w:val="27"/>
          <w:rtl/>
        </w:rPr>
        <w:t xml:space="preserve"> </w:t>
      </w:r>
      <w:r w:rsidRPr="00904FCB">
        <w:rPr>
          <w:rFonts w:hint="cs"/>
          <w:sz w:val="27"/>
          <w:rtl/>
        </w:rPr>
        <w:t>وثّقه</w:t>
      </w:r>
      <w:r w:rsidRPr="00904FCB">
        <w:rPr>
          <w:sz w:val="27"/>
          <w:rtl/>
        </w:rPr>
        <w:t xml:space="preserve"> </w:t>
      </w:r>
      <w:r w:rsidRPr="00904FCB">
        <w:rPr>
          <w:rFonts w:hint="cs"/>
          <w:sz w:val="27"/>
          <w:rtl/>
        </w:rPr>
        <w:t>السيّد</w:t>
      </w:r>
      <w:r w:rsidRPr="00904FCB">
        <w:rPr>
          <w:sz w:val="27"/>
          <w:rtl/>
        </w:rPr>
        <w:t xml:space="preserve"> </w:t>
      </w:r>
      <w:r w:rsidRPr="00904FCB">
        <w:rPr>
          <w:rFonts w:hint="cs"/>
          <w:sz w:val="27"/>
          <w:rtl/>
        </w:rPr>
        <w:t>الخوئي</w:t>
      </w:r>
      <w:r w:rsidR="00C620F2" w:rsidRPr="00904FCB">
        <w:rPr>
          <w:rFonts w:hint="cs"/>
          <w:sz w:val="27"/>
          <w:rtl/>
        </w:rPr>
        <w:t>؛</w:t>
      </w:r>
      <w:r w:rsidRPr="00904FCB">
        <w:rPr>
          <w:sz w:val="27"/>
          <w:rtl/>
        </w:rPr>
        <w:t xml:space="preserve"> </w:t>
      </w:r>
      <w:r w:rsidRPr="00904FCB">
        <w:rPr>
          <w:rFonts w:hint="cs"/>
          <w:sz w:val="27"/>
          <w:rtl/>
        </w:rPr>
        <w:t>لكونه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رجال</w:t>
      </w:r>
      <w:r w:rsidRPr="00904FCB">
        <w:rPr>
          <w:sz w:val="27"/>
          <w:rtl/>
        </w:rPr>
        <w:t xml:space="preserve"> </w:t>
      </w:r>
      <w:r w:rsidRPr="00904FCB">
        <w:rPr>
          <w:rFonts w:hint="cs"/>
          <w:sz w:val="27"/>
          <w:rtl/>
        </w:rPr>
        <w:t>تفسير</w:t>
      </w:r>
      <w:r w:rsidRPr="00904FCB">
        <w:rPr>
          <w:sz w:val="27"/>
          <w:rtl/>
        </w:rPr>
        <w:t xml:space="preserve"> </w:t>
      </w:r>
      <w:r w:rsidRPr="00904FCB">
        <w:rPr>
          <w:rFonts w:hint="cs"/>
          <w:sz w:val="27"/>
          <w:rtl/>
        </w:rPr>
        <w:t>القم</w:t>
      </w:r>
      <w:r w:rsidR="00C620F2" w:rsidRPr="00904FCB">
        <w:rPr>
          <w:rFonts w:hint="cs"/>
          <w:sz w:val="27"/>
          <w:rtl/>
        </w:rPr>
        <w:t>ّ</w:t>
      </w:r>
      <w:r w:rsidRPr="00904FCB">
        <w:rPr>
          <w:rFonts w:hint="cs"/>
          <w:sz w:val="27"/>
          <w:rtl/>
        </w:rPr>
        <w:t>ي؛ لأنّ</w:t>
      </w:r>
      <w:r w:rsidRPr="00904FCB">
        <w:rPr>
          <w:sz w:val="27"/>
          <w:rtl/>
        </w:rPr>
        <w:t xml:space="preserve"> </w:t>
      </w:r>
      <w:r w:rsidRPr="00904FCB">
        <w:rPr>
          <w:rFonts w:hint="cs"/>
          <w:sz w:val="27"/>
          <w:rtl/>
        </w:rPr>
        <w:t>المبنى</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تامٍّ</w:t>
      </w:r>
      <w:r w:rsidRPr="00904FCB">
        <w:rPr>
          <w:sz w:val="27"/>
          <w:rtl/>
        </w:rPr>
        <w:t xml:space="preserve"> </w:t>
      </w:r>
      <w:r w:rsidRPr="00904FCB">
        <w:rPr>
          <w:rFonts w:hint="cs"/>
          <w:sz w:val="27"/>
          <w:rtl/>
        </w:rPr>
        <w:t>عندنا</w:t>
      </w:r>
      <w:r w:rsidRPr="00904FCB">
        <w:rPr>
          <w:sz w:val="27"/>
          <w:rtl/>
        </w:rPr>
        <w:t xml:space="preserve">. </w:t>
      </w:r>
      <w:r w:rsidRPr="00904FCB">
        <w:rPr>
          <w:rFonts w:hint="cs"/>
          <w:sz w:val="27"/>
          <w:rtl/>
        </w:rPr>
        <w:t>وأمّا</w:t>
      </w:r>
      <w:r w:rsidRPr="00904FCB">
        <w:rPr>
          <w:sz w:val="27"/>
          <w:rtl/>
        </w:rPr>
        <w:t xml:space="preserve"> </w:t>
      </w:r>
      <w:r w:rsidRPr="00904FCB">
        <w:rPr>
          <w:rFonts w:hint="cs"/>
          <w:sz w:val="27"/>
          <w:rtl/>
        </w:rPr>
        <w:t>خالد</w:t>
      </w:r>
      <w:r w:rsidRPr="00904FCB">
        <w:rPr>
          <w:sz w:val="27"/>
          <w:rtl/>
        </w:rPr>
        <w:t xml:space="preserve"> </w:t>
      </w:r>
      <w:r w:rsidRPr="00904FCB">
        <w:rPr>
          <w:rFonts w:hint="cs"/>
          <w:sz w:val="27"/>
          <w:rtl/>
        </w:rPr>
        <w:t>القلانسي</w:t>
      </w:r>
      <w:r w:rsidRPr="00904FCB">
        <w:rPr>
          <w:sz w:val="27"/>
          <w:rtl/>
        </w:rPr>
        <w:t xml:space="preserve"> </w:t>
      </w:r>
      <w:r w:rsidRPr="00904FCB">
        <w:rPr>
          <w:rFonts w:hint="cs"/>
          <w:sz w:val="27"/>
          <w:rtl/>
        </w:rPr>
        <w:t>فهو</w:t>
      </w:r>
      <w:r w:rsidRPr="00904FCB">
        <w:rPr>
          <w:sz w:val="27"/>
          <w:rtl/>
        </w:rPr>
        <w:t xml:space="preserve"> </w:t>
      </w:r>
      <w:r w:rsidRPr="00904FCB">
        <w:rPr>
          <w:rFonts w:hint="cs"/>
          <w:sz w:val="27"/>
          <w:rtl/>
        </w:rPr>
        <w:t>ثقة</w:t>
      </w:r>
      <w:r w:rsidR="00C620F2" w:rsidRPr="00904FCB">
        <w:rPr>
          <w:rFonts w:hint="cs"/>
          <w:sz w:val="27"/>
          <w:rtl/>
        </w:rPr>
        <w:t>ٌ</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وثّ</w:t>
      </w:r>
      <w:r w:rsidR="00C620F2" w:rsidRPr="00904FCB">
        <w:rPr>
          <w:rFonts w:hint="cs"/>
          <w:sz w:val="27"/>
          <w:rtl/>
        </w:rPr>
        <w:t>َ</w:t>
      </w:r>
      <w:r w:rsidRPr="00904FCB">
        <w:rPr>
          <w:rFonts w:hint="cs"/>
          <w:sz w:val="27"/>
          <w:rtl/>
        </w:rPr>
        <w:t>قه</w:t>
      </w:r>
      <w:r w:rsidRPr="00904FCB">
        <w:rPr>
          <w:sz w:val="27"/>
          <w:rtl/>
        </w:rPr>
        <w:t xml:space="preserve"> </w:t>
      </w:r>
      <w:r w:rsidRPr="00904FCB">
        <w:rPr>
          <w:rFonts w:hint="cs"/>
          <w:sz w:val="27"/>
          <w:rtl/>
        </w:rPr>
        <w:t>النجاشي</w:t>
      </w:r>
      <w:r w:rsidRPr="00904FCB">
        <w:rPr>
          <w:sz w:val="27"/>
          <w:rtl/>
        </w:rPr>
        <w:t xml:space="preserve">. </w:t>
      </w:r>
      <w:r w:rsidR="00C620F2" w:rsidRPr="00904FCB">
        <w:rPr>
          <w:rFonts w:hint="cs"/>
          <w:sz w:val="27"/>
          <w:rtl/>
        </w:rPr>
        <w:t>وعليه</w:t>
      </w:r>
      <w:r w:rsidRPr="00904FCB">
        <w:rPr>
          <w:sz w:val="27"/>
          <w:rtl/>
        </w:rPr>
        <w:t xml:space="preserve"> </w:t>
      </w:r>
      <w:r w:rsidRPr="00904FCB">
        <w:rPr>
          <w:rFonts w:hint="cs"/>
          <w:sz w:val="27"/>
          <w:rtl/>
        </w:rPr>
        <w:t>فالسند</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تام</w:t>
      </w:r>
      <w:r w:rsidR="00C620F2"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 فإنّ</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دالّة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الناصب</w:t>
      </w:r>
      <w:r w:rsidRPr="00904FCB">
        <w:rPr>
          <w:sz w:val="27"/>
          <w:rtl/>
        </w:rPr>
        <w:t xml:space="preserve"> </w:t>
      </w:r>
      <w:r w:rsidRPr="00904FCB">
        <w:rPr>
          <w:rFonts w:hint="cs"/>
          <w:sz w:val="27"/>
          <w:rtl/>
        </w:rPr>
        <w:t>ظاهراً، وأمّا</w:t>
      </w:r>
      <w:r w:rsidRPr="00904FCB">
        <w:rPr>
          <w:sz w:val="27"/>
          <w:rtl/>
        </w:rPr>
        <w:t xml:space="preserve"> </w:t>
      </w:r>
      <w:r w:rsidRPr="00904FCB">
        <w:rPr>
          <w:rFonts w:hint="cs"/>
          <w:sz w:val="27"/>
          <w:rtl/>
        </w:rPr>
        <w:t>غيره</w:t>
      </w:r>
      <w:r w:rsidRPr="00904FCB">
        <w:rPr>
          <w:sz w:val="27"/>
          <w:rtl/>
        </w:rPr>
        <w:t xml:space="preserve"> </w:t>
      </w:r>
      <w:r w:rsidRPr="00904FCB">
        <w:rPr>
          <w:rFonts w:hint="cs"/>
          <w:sz w:val="27"/>
          <w:rtl/>
        </w:rPr>
        <w:t>فهي</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أدلّ؛ إذ</w:t>
      </w:r>
      <w:r w:rsidRPr="00904FCB">
        <w:rPr>
          <w:sz w:val="27"/>
          <w:rtl/>
        </w:rPr>
        <w:t xml:space="preserve"> </w:t>
      </w:r>
      <w:r w:rsidR="00C620F2" w:rsidRPr="00904FCB">
        <w:rPr>
          <w:rFonts w:hint="cs"/>
          <w:sz w:val="27"/>
          <w:rtl/>
        </w:rPr>
        <w:t>إ</w:t>
      </w:r>
      <w:r w:rsidRPr="00904FCB">
        <w:rPr>
          <w:rFonts w:hint="cs"/>
          <w:sz w:val="27"/>
          <w:rtl/>
        </w:rPr>
        <w:t>نّ</w:t>
      </w:r>
      <w:r w:rsidRPr="00904FCB">
        <w:rPr>
          <w:sz w:val="27"/>
          <w:rtl/>
        </w:rPr>
        <w:t xml:space="preserve"> </w:t>
      </w:r>
      <w:r w:rsidRPr="00904FCB">
        <w:rPr>
          <w:rFonts w:hint="cs"/>
          <w:sz w:val="27"/>
          <w:rtl/>
        </w:rPr>
        <w:t>مسح</w:t>
      </w:r>
      <w:r w:rsidRPr="00904FCB">
        <w:rPr>
          <w:sz w:val="27"/>
          <w:rtl/>
        </w:rPr>
        <w:t xml:space="preserve"> </w:t>
      </w:r>
      <w:r w:rsidRPr="00904FCB">
        <w:rPr>
          <w:rFonts w:hint="cs"/>
          <w:sz w:val="27"/>
          <w:rtl/>
        </w:rPr>
        <w:t>اليد</w:t>
      </w:r>
      <w:r w:rsidRPr="00904FCB">
        <w:rPr>
          <w:sz w:val="27"/>
          <w:rtl/>
        </w:rPr>
        <w:t xml:space="preserve"> </w:t>
      </w:r>
      <w:r w:rsidRPr="00904FCB">
        <w:rPr>
          <w:rFonts w:hint="cs"/>
          <w:sz w:val="27"/>
          <w:rtl/>
        </w:rPr>
        <w:t>بالتراب</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الحائط</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المطهّ</w:t>
      </w:r>
      <w:r w:rsidR="00C620F2" w:rsidRPr="00904FCB">
        <w:rPr>
          <w:rFonts w:hint="cs"/>
          <w:sz w:val="27"/>
          <w:rtl/>
        </w:rPr>
        <w:t>ِ</w:t>
      </w:r>
      <w:r w:rsidRPr="00904FCB">
        <w:rPr>
          <w:rFonts w:hint="cs"/>
          <w:sz w:val="27"/>
          <w:rtl/>
        </w:rPr>
        <w:t>رات</w:t>
      </w:r>
      <w:r w:rsidRPr="00904FCB">
        <w:rPr>
          <w:sz w:val="27"/>
          <w:rtl/>
        </w:rPr>
        <w:t xml:space="preserve"> </w:t>
      </w:r>
      <w:r w:rsidRPr="00904FCB">
        <w:rPr>
          <w:rFonts w:hint="cs"/>
          <w:sz w:val="27"/>
          <w:rtl/>
        </w:rPr>
        <w:t>بالإجماع</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الخامسة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وعَنْ</w:t>
      </w:r>
      <w:r w:rsidRPr="00904FCB">
        <w:rPr>
          <w:sz w:val="27"/>
          <w:rtl/>
        </w:rPr>
        <w:t xml:space="preserve"> </w:t>
      </w:r>
      <w:r w:rsidRPr="00904FCB">
        <w:rPr>
          <w:rFonts w:hint="cs"/>
          <w:sz w:val="27"/>
          <w:rtl/>
        </w:rPr>
        <w:t>حُمَيْدِ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زِيَادٍ</w:t>
      </w:r>
      <w:r w:rsidR="00C620F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مُحَمَّدٍ</w:t>
      </w:r>
      <w:r w:rsidR="00C620F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وُهَيْبِ</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حَفْصٍ</w:t>
      </w:r>
      <w:r w:rsidR="00C620F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بَصِيرٍ</w:t>
      </w:r>
      <w:r w:rsidR="00C620F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أَحَدِهِمَا</w:t>
      </w:r>
      <w:r w:rsidR="001C1A2A" w:rsidRPr="00904FCB">
        <w:rPr>
          <w:rFonts w:cs="Mosawi"/>
          <w:sz w:val="27"/>
          <w:szCs w:val="22"/>
          <w:rtl/>
        </w:rPr>
        <w:t>×</w:t>
      </w:r>
      <w:r w:rsidR="00C620F2"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مُصَافَحَةِ</w:t>
      </w:r>
      <w:r w:rsidRPr="00904FCB">
        <w:rPr>
          <w:sz w:val="27"/>
          <w:rtl/>
        </w:rPr>
        <w:t xml:space="preserve"> </w:t>
      </w:r>
      <w:r w:rsidRPr="00904FCB">
        <w:rPr>
          <w:rFonts w:hint="cs"/>
          <w:sz w:val="27"/>
          <w:rtl/>
        </w:rPr>
        <w:t>الْمُسْلِمِ</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 قَالَ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وَرَاءِ</w:t>
      </w:r>
      <w:r w:rsidRPr="00904FCB">
        <w:rPr>
          <w:sz w:val="27"/>
          <w:rtl/>
        </w:rPr>
        <w:t xml:space="preserve"> </w:t>
      </w:r>
      <w:r w:rsidRPr="00904FCB">
        <w:rPr>
          <w:rFonts w:hint="cs"/>
          <w:sz w:val="27"/>
          <w:rtl/>
        </w:rPr>
        <w:t>الثَّوْبِ، فَإِنْ</w:t>
      </w:r>
      <w:r w:rsidRPr="00904FCB">
        <w:rPr>
          <w:sz w:val="27"/>
          <w:rtl/>
        </w:rPr>
        <w:t xml:space="preserve"> </w:t>
      </w:r>
      <w:r w:rsidRPr="00904FCB">
        <w:rPr>
          <w:rFonts w:hint="cs"/>
          <w:sz w:val="27"/>
          <w:rtl/>
        </w:rPr>
        <w:t>صَافَحَكَ</w:t>
      </w:r>
      <w:r w:rsidRPr="00904FCB">
        <w:rPr>
          <w:sz w:val="27"/>
          <w:rtl/>
        </w:rPr>
        <w:t xml:space="preserve"> </w:t>
      </w:r>
      <w:r w:rsidRPr="00904FCB">
        <w:rPr>
          <w:rFonts w:hint="cs"/>
          <w:sz w:val="27"/>
          <w:rtl/>
        </w:rPr>
        <w:t>بِيَدِهِ</w:t>
      </w:r>
      <w:r w:rsidRPr="00904FCB">
        <w:rPr>
          <w:sz w:val="27"/>
          <w:rtl/>
        </w:rPr>
        <w:t xml:space="preserve"> </w:t>
      </w:r>
      <w:r w:rsidRPr="00904FCB">
        <w:rPr>
          <w:rFonts w:hint="cs"/>
          <w:sz w:val="27"/>
          <w:rtl/>
        </w:rPr>
        <w:t>فَاغْسِلْ</w:t>
      </w:r>
      <w:r w:rsidRPr="00904FCB">
        <w:rPr>
          <w:sz w:val="27"/>
          <w:rtl/>
        </w:rPr>
        <w:t xml:space="preserve"> </w:t>
      </w:r>
      <w:r w:rsidRPr="00904FCB">
        <w:rPr>
          <w:rFonts w:hint="cs"/>
          <w:sz w:val="27"/>
          <w:rtl/>
        </w:rPr>
        <w:t>يَدَكَ</w:t>
      </w:r>
      <w:r w:rsidRPr="00904FCB">
        <w:rPr>
          <w:rFonts w:hint="eastAsia"/>
          <w:sz w:val="27"/>
          <w:rtl/>
        </w:rPr>
        <w:t>»</w:t>
      </w:r>
      <w:r w:rsidRPr="00904FCB">
        <w:rPr>
          <w:rFonts w:hint="cs"/>
          <w:sz w:val="27"/>
          <w:vertAlign w:val="superscript"/>
          <w:rtl/>
        </w:rPr>
        <w:t>(</w:t>
      </w:r>
      <w:r w:rsidRPr="00904FCB">
        <w:rPr>
          <w:rStyle w:val="ac"/>
          <w:sz w:val="27"/>
          <w:rtl/>
        </w:rPr>
        <w:endnoteReference w:id="681"/>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صحيح</w:t>
      </w:r>
      <w:r w:rsidR="00C620F2" w:rsidRPr="00904FCB">
        <w:rPr>
          <w:rFonts w:hint="cs"/>
          <w:sz w:val="27"/>
          <w:rtl/>
        </w:rPr>
        <w:t>ٌ</w:t>
      </w:r>
      <w:r w:rsidRPr="00904FCB">
        <w:rPr>
          <w:rFonts w:hint="cs"/>
          <w:sz w:val="27"/>
          <w:rtl/>
        </w:rPr>
        <w:t>؛ لأنّ</w:t>
      </w:r>
      <w:r w:rsidRPr="00904FCB">
        <w:rPr>
          <w:sz w:val="27"/>
          <w:rtl/>
        </w:rPr>
        <w:t xml:space="preserve"> </w:t>
      </w:r>
      <w:r w:rsidRPr="00904FCB">
        <w:rPr>
          <w:rFonts w:hint="cs"/>
          <w:sz w:val="27"/>
          <w:rtl/>
        </w:rPr>
        <w:t>جميع</w:t>
      </w:r>
      <w:r w:rsidRPr="00904FCB">
        <w:rPr>
          <w:sz w:val="27"/>
          <w:rtl/>
        </w:rPr>
        <w:t xml:space="preserve"> </w:t>
      </w:r>
      <w:r w:rsidRPr="00904FCB">
        <w:rPr>
          <w:rFonts w:hint="cs"/>
          <w:sz w:val="27"/>
          <w:rtl/>
        </w:rPr>
        <w:t>رجالها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الثقات</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lastRenderedPageBreak/>
        <w:t>وأمّا</w:t>
      </w:r>
      <w:r w:rsidRPr="00904FCB">
        <w:rPr>
          <w:sz w:val="27"/>
          <w:rtl/>
        </w:rPr>
        <w:t xml:space="preserve"> </w:t>
      </w:r>
      <w:r w:rsidRPr="00904FCB">
        <w:rPr>
          <w:rFonts w:hint="cs"/>
          <w:sz w:val="27"/>
          <w:rtl/>
        </w:rPr>
        <w:t>دلالتها فقد</w:t>
      </w:r>
      <w:r w:rsidRPr="00904FCB">
        <w:rPr>
          <w:sz w:val="27"/>
          <w:rtl/>
        </w:rPr>
        <w:t xml:space="preserve"> </w:t>
      </w:r>
      <w:r w:rsidRPr="00904FCB">
        <w:rPr>
          <w:rFonts w:hint="cs"/>
          <w:sz w:val="27"/>
          <w:rtl/>
        </w:rPr>
        <w:t>تقدّم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الرابعة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ينبغي</w:t>
      </w:r>
      <w:r w:rsidRPr="00904FCB">
        <w:rPr>
          <w:sz w:val="27"/>
          <w:rtl/>
        </w:rPr>
        <w:t xml:space="preserve"> </w:t>
      </w:r>
      <w:r w:rsidRPr="00904FCB">
        <w:rPr>
          <w:rFonts w:hint="cs"/>
          <w:sz w:val="27"/>
          <w:rtl/>
        </w:rPr>
        <w:t>قوله</w:t>
      </w:r>
      <w:r w:rsidRPr="00904FCB">
        <w:rPr>
          <w:sz w:val="27"/>
          <w:rtl/>
        </w:rPr>
        <w:t xml:space="preserve"> </w:t>
      </w:r>
      <w:r w:rsidRPr="00904FCB">
        <w:rPr>
          <w:rFonts w:hint="cs"/>
          <w:sz w:val="27"/>
          <w:rtl/>
        </w:rPr>
        <w:t>هنا، وأنّ</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دالّة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الماديّة</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تقدير</w:t>
      </w:r>
      <w:r w:rsidR="00C620F2" w:rsidRPr="00904FCB">
        <w:rPr>
          <w:rFonts w:hint="cs"/>
          <w:sz w:val="27"/>
          <w:rtl/>
        </w:rPr>
        <w:t>ٍ</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تام</w:t>
      </w:r>
      <w:r w:rsidR="00C620F2" w:rsidRPr="00904FCB">
        <w:rPr>
          <w:rFonts w:hint="cs"/>
          <w:sz w:val="27"/>
          <w:rtl/>
        </w:rPr>
        <w:t>ّ</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المصافحة</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منها</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منجّسة</w:t>
      </w:r>
      <w:r w:rsidRPr="00904FCB">
        <w:rPr>
          <w:sz w:val="27"/>
          <w:rtl/>
        </w:rPr>
        <w:t xml:space="preserve"> </w:t>
      </w:r>
      <w:r w:rsidRPr="00904FCB">
        <w:rPr>
          <w:rFonts w:hint="cs"/>
          <w:sz w:val="27"/>
          <w:rtl/>
        </w:rPr>
        <w:t>لليد لكانت</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وراء</w:t>
      </w:r>
      <w:r w:rsidRPr="00904FCB">
        <w:rPr>
          <w:sz w:val="27"/>
          <w:rtl/>
        </w:rPr>
        <w:t xml:space="preserve"> </w:t>
      </w:r>
      <w:r w:rsidRPr="00904FCB">
        <w:rPr>
          <w:rFonts w:hint="cs"/>
          <w:sz w:val="27"/>
          <w:rtl/>
        </w:rPr>
        <w:t>الثوب</w:t>
      </w:r>
      <w:r w:rsidRPr="00904FCB">
        <w:rPr>
          <w:sz w:val="27"/>
          <w:rtl/>
        </w:rPr>
        <w:t xml:space="preserve"> </w:t>
      </w:r>
      <w:r w:rsidRPr="00904FCB">
        <w:rPr>
          <w:rFonts w:hint="cs"/>
          <w:sz w:val="27"/>
          <w:rtl/>
        </w:rPr>
        <w:t>منجّ</w:t>
      </w:r>
      <w:r w:rsidR="00C620F2" w:rsidRPr="00904FCB">
        <w:rPr>
          <w:rFonts w:hint="cs"/>
          <w:sz w:val="27"/>
          <w:rtl/>
        </w:rPr>
        <w:t>ِ</w:t>
      </w:r>
      <w:r w:rsidRPr="00904FCB">
        <w:rPr>
          <w:rFonts w:hint="cs"/>
          <w:sz w:val="27"/>
          <w:rtl/>
        </w:rPr>
        <w:t>سة</w:t>
      </w:r>
      <w:r w:rsidRPr="00904FCB">
        <w:rPr>
          <w:sz w:val="27"/>
          <w:rtl/>
        </w:rPr>
        <w:t xml:space="preserve"> </w:t>
      </w:r>
      <w:r w:rsidRPr="00904FCB">
        <w:rPr>
          <w:rFonts w:hint="cs"/>
          <w:sz w:val="27"/>
          <w:rtl/>
        </w:rPr>
        <w:t>له؛ فكأنّ</w:t>
      </w:r>
      <w:r w:rsidRPr="00904FCB">
        <w:rPr>
          <w:sz w:val="27"/>
          <w:rtl/>
        </w:rPr>
        <w:t xml:space="preserve"> </w:t>
      </w:r>
      <w:r w:rsidRPr="00904FCB">
        <w:rPr>
          <w:rFonts w:hint="cs"/>
          <w:sz w:val="27"/>
          <w:rtl/>
        </w:rPr>
        <w:t>نفس</w:t>
      </w:r>
      <w:r w:rsidRPr="00904FCB">
        <w:rPr>
          <w:sz w:val="27"/>
          <w:rtl/>
        </w:rPr>
        <w:t xml:space="preserve"> </w:t>
      </w:r>
      <w:r w:rsidRPr="00904FCB">
        <w:rPr>
          <w:rFonts w:hint="cs"/>
          <w:sz w:val="27"/>
          <w:rtl/>
        </w:rPr>
        <w:t>المصافحة</w:t>
      </w:r>
      <w:r w:rsidRPr="00904FCB">
        <w:rPr>
          <w:sz w:val="27"/>
          <w:rtl/>
        </w:rPr>
        <w:t xml:space="preserve"> </w:t>
      </w:r>
      <w:r w:rsidRPr="00904FCB">
        <w:rPr>
          <w:rFonts w:hint="cs"/>
          <w:sz w:val="27"/>
          <w:rtl/>
        </w:rPr>
        <w:t>يداً</w:t>
      </w:r>
      <w:r w:rsidRPr="00904FCB">
        <w:rPr>
          <w:sz w:val="27"/>
          <w:rtl/>
        </w:rPr>
        <w:t xml:space="preserve"> </w:t>
      </w:r>
      <w:r w:rsidRPr="00904FCB">
        <w:rPr>
          <w:rFonts w:hint="cs"/>
          <w:sz w:val="27"/>
          <w:rtl/>
        </w:rPr>
        <w:t>بيد</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حزازة</w:t>
      </w:r>
      <w:r w:rsidR="00C620F2" w:rsidRPr="00904FCB">
        <w:rPr>
          <w:rFonts w:hint="cs"/>
          <w:sz w:val="27"/>
          <w:rtl/>
        </w:rPr>
        <w:t>ٌ</w:t>
      </w:r>
      <w:r w:rsidRPr="00904FCB">
        <w:rPr>
          <w:sz w:val="27"/>
          <w:rtl/>
        </w:rPr>
        <w:t xml:space="preserve"> </w:t>
      </w:r>
      <w:r w:rsidRPr="00904FCB">
        <w:rPr>
          <w:rFonts w:hint="cs"/>
          <w:sz w:val="27"/>
          <w:rtl/>
        </w:rPr>
        <w:t>خاصّة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قضيّة</w:t>
      </w:r>
      <w:r w:rsidRPr="00904FCB">
        <w:rPr>
          <w:sz w:val="27"/>
          <w:rtl/>
        </w:rPr>
        <w:t xml:space="preserve"> </w:t>
      </w:r>
      <w:r w:rsidRPr="00904FCB">
        <w:rPr>
          <w:rFonts w:hint="cs"/>
          <w:sz w:val="27"/>
          <w:rtl/>
        </w:rPr>
        <w:t>التنجيس</w:t>
      </w:r>
      <w:r w:rsidRPr="00904FCB">
        <w:rPr>
          <w:sz w:val="27"/>
          <w:rtl/>
        </w:rPr>
        <w:t xml:space="preserve"> </w:t>
      </w:r>
      <w:r w:rsidRPr="00904FCB">
        <w:rPr>
          <w:rFonts w:hint="cs"/>
          <w:sz w:val="27"/>
          <w:rtl/>
        </w:rPr>
        <w:t>المادي</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السادسة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عَنْ</w:t>
      </w:r>
      <w:r w:rsidRPr="00904FCB">
        <w:rPr>
          <w:sz w:val="27"/>
          <w:rtl/>
        </w:rPr>
        <w:t xml:space="preserve"> </w:t>
      </w:r>
      <w:r w:rsidRPr="00904FCB">
        <w:rPr>
          <w:rFonts w:hint="cs"/>
          <w:sz w:val="27"/>
          <w:rtl/>
        </w:rPr>
        <w:t>عِدَّةٍ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أَصْحَابِنَا</w:t>
      </w:r>
      <w:r w:rsidR="00C620F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خَالِدٍ</w:t>
      </w:r>
      <w:r w:rsidR="00C620F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يَعْقُوبَ</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يَزِيدَ</w:t>
      </w:r>
      <w:r w:rsidR="00C620F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00C620F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أَخِيهِ</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مُوسَى</w:t>
      </w:r>
      <w:r w:rsidR="001C1A2A" w:rsidRPr="00904FCB">
        <w:rPr>
          <w:rFonts w:cs="Mosawi"/>
          <w:sz w:val="27"/>
          <w:szCs w:val="22"/>
          <w:rtl/>
        </w:rPr>
        <w:t>×</w:t>
      </w:r>
      <w:r w:rsidR="00C620F2"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مُؤَاكَلَةِ</w:t>
      </w:r>
      <w:r w:rsidRPr="00904FCB">
        <w:rPr>
          <w:sz w:val="27"/>
          <w:rtl/>
        </w:rPr>
        <w:t xml:space="preserve"> </w:t>
      </w:r>
      <w:r w:rsidRPr="00904FCB">
        <w:rPr>
          <w:rFonts w:hint="cs"/>
          <w:sz w:val="27"/>
          <w:rtl/>
        </w:rPr>
        <w:t>الْمَجُوسِيِّ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قَصْعَةٍ</w:t>
      </w:r>
      <w:r w:rsidRPr="00904FCB">
        <w:rPr>
          <w:sz w:val="27"/>
          <w:rtl/>
        </w:rPr>
        <w:t xml:space="preserve"> </w:t>
      </w:r>
      <w:r w:rsidRPr="00904FCB">
        <w:rPr>
          <w:rFonts w:hint="cs"/>
          <w:sz w:val="27"/>
          <w:rtl/>
        </w:rPr>
        <w:t>وَاحِدَةٍ</w:t>
      </w:r>
      <w:r w:rsidR="00C620F2" w:rsidRPr="00904FCB">
        <w:rPr>
          <w:rFonts w:hint="cs"/>
          <w:sz w:val="27"/>
          <w:rtl/>
        </w:rPr>
        <w:t>،</w:t>
      </w:r>
      <w:r w:rsidRPr="00904FCB">
        <w:rPr>
          <w:sz w:val="27"/>
          <w:rtl/>
        </w:rPr>
        <w:t xml:space="preserve"> </w:t>
      </w:r>
      <w:r w:rsidR="00B07A11">
        <w:rPr>
          <w:rFonts w:hint="cs"/>
          <w:sz w:val="27"/>
          <w:rtl/>
        </w:rPr>
        <w:t>وأَرْقُدُ</w:t>
      </w:r>
      <w:r w:rsidRPr="00904FCB">
        <w:rPr>
          <w:sz w:val="27"/>
          <w:rtl/>
        </w:rPr>
        <w:t xml:space="preserve"> </w:t>
      </w:r>
      <w:r w:rsidRPr="00904FCB">
        <w:rPr>
          <w:rFonts w:hint="cs"/>
          <w:sz w:val="27"/>
          <w:rtl/>
        </w:rPr>
        <w:t>مَعَهُ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فِرَاشٍ</w:t>
      </w:r>
      <w:r w:rsidRPr="00904FCB">
        <w:rPr>
          <w:sz w:val="27"/>
          <w:rtl/>
        </w:rPr>
        <w:t xml:space="preserve"> </w:t>
      </w:r>
      <w:r w:rsidRPr="00904FCB">
        <w:rPr>
          <w:rFonts w:hint="cs"/>
          <w:sz w:val="27"/>
          <w:rtl/>
        </w:rPr>
        <w:t>وَاحِدٍ</w:t>
      </w:r>
      <w:r w:rsidR="00C620F2" w:rsidRPr="00904FCB">
        <w:rPr>
          <w:rFonts w:hint="cs"/>
          <w:sz w:val="27"/>
          <w:rtl/>
        </w:rPr>
        <w:t xml:space="preserve">، </w:t>
      </w:r>
      <w:r w:rsidR="00B07A11">
        <w:rPr>
          <w:rFonts w:hint="cs"/>
          <w:sz w:val="27"/>
          <w:rtl/>
        </w:rPr>
        <w:t>وأُصَافِحُ</w:t>
      </w:r>
      <w:r w:rsidRPr="00904FCB">
        <w:rPr>
          <w:rFonts w:hint="cs"/>
          <w:sz w:val="27"/>
          <w:rtl/>
        </w:rPr>
        <w:t>هُ</w:t>
      </w:r>
      <w:r w:rsidR="00C620F2"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لا</w:t>
      </w:r>
      <w:r w:rsidRPr="00904FCB">
        <w:rPr>
          <w:rFonts w:hint="eastAsia"/>
          <w:sz w:val="27"/>
          <w:rtl/>
        </w:rPr>
        <w:t>»</w:t>
      </w:r>
      <w:r w:rsidRPr="00904FCB">
        <w:rPr>
          <w:rFonts w:hint="cs"/>
          <w:sz w:val="27"/>
          <w:vertAlign w:val="superscript"/>
          <w:rtl/>
        </w:rPr>
        <w:t>(</w:t>
      </w:r>
      <w:r w:rsidRPr="00904FCB">
        <w:rPr>
          <w:rStyle w:val="ac"/>
          <w:sz w:val="27"/>
          <w:rtl/>
        </w:rPr>
        <w:endnoteReference w:id="682"/>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واضح</w:t>
      </w:r>
      <w:r w:rsidRPr="00904FCB">
        <w:rPr>
          <w:sz w:val="27"/>
          <w:rtl/>
        </w:rPr>
        <w:t xml:space="preserve"> </w:t>
      </w:r>
      <w:r w:rsidRPr="00904FCB">
        <w:rPr>
          <w:rFonts w:hint="cs"/>
          <w:sz w:val="27"/>
          <w:rtl/>
        </w:rPr>
        <w:t>الصحّة</w:t>
      </w:r>
      <w:r w:rsidR="00C620F2"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كلام</w:t>
      </w:r>
      <w:r w:rsidRPr="00904FCB">
        <w:rPr>
          <w:sz w:val="27"/>
          <w:rtl/>
        </w:rPr>
        <w:t xml:space="preserve"> </w:t>
      </w:r>
      <w:r w:rsidRPr="00904FCB">
        <w:rPr>
          <w:rFonts w:hint="cs"/>
          <w:sz w:val="27"/>
          <w:rtl/>
        </w:rPr>
        <w:t>فيه</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w:t>
      </w:r>
      <w:r w:rsidRPr="00904FCB">
        <w:rPr>
          <w:sz w:val="27"/>
          <w:rtl/>
        </w:rPr>
        <w:t xml:space="preserve"> </w:t>
      </w:r>
      <w:r w:rsidRPr="00904FCB">
        <w:rPr>
          <w:rFonts w:hint="cs"/>
          <w:sz w:val="27"/>
          <w:rtl/>
        </w:rPr>
        <w:t>فتقريب</w:t>
      </w:r>
      <w:r w:rsidR="00C620F2" w:rsidRPr="00904FCB">
        <w:rPr>
          <w:rFonts w:hint="cs"/>
          <w:sz w:val="27"/>
          <w:rtl/>
        </w:rPr>
        <w:t>ُ</w:t>
      </w:r>
      <w:r w:rsidRPr="00904FCB">
        <w:rPr>
          <w:rFonts w:hint="cs"/>
          <w:sz w:val="27"/>
          <w:rtl/>
        </w:rPr>
        <w:t>ها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المؤاكلة</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المجوسي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قصعة</w:t>
      </w:r>
      <w:r w:rsidR="00C620F2" w:rsidRPr="00904FCB">
        <w:rPr>
          <w:rFonts w:hint="cs"/>
          <w:sz w:val="27"/>
          <w:rtl/>
        </w:rPr>
        <w:t>ٍ</w:t>
      </w:r>
      <w:r w:rsidRPr="00904FCB">
        <w:rPr>
          <w:sz w:val="27"/>
          <w:rtl/>
        </w:rPr>
        <w:t xml:space="preserve"> </w:t>
      </w:r>
      <w:r w:rsidRPr="00904FCB">
        <w:rPr>
          <w:rFonts w:hint="cs"/>
          <w:sz w:val="27"/>
          <w:rtl/>
        </w:rPr>
        <w:t>واحدة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وكذا</w:t>
      </w:r>
      <w:r w:rsidRPr="00904FCB">
        <w:rPr>
          <w:sz w:val="27"/>
          <w:rtl/>
        </w:rPr>
        <w:t xml:space="preserve"> </w:t>
      </w:r>
      <w:r w:rsidRPr="00904FCB">
        <w:rPr>
          <w:rFonts w:hint="cs"/>
          <w:sz w:val="27"/>
          <w:rtl/>
        </w:rPr>
        <w:t>النوم</w:t>
      </w:r>
      <w:r w:rsidRPr="00904FCB">
        <w:rPr>
          <w:sz w:val="27"/>
          <w:rtl/>
        </w:rPr>
        <w:t xml:space="preserve"> </w:t>
      </w:r>
      <w:r w:rsidRPr="00904FCB">
        <w:rPr>
          <w:rFonts w:hint="cs"/>
          <w:sz w:val="27"/>
          <w:rtl/>
        </w:rPr>
        <w:t>معه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فراش</w:t>
      </w:r>
      <w:r w:rsidR="00C620F2" w:rsidRPr="00904FCB">
        <w:rPr>
          <w:rFonts w:hint="cs"/>
          <w:sz w:val="27"/>
          <w:rtl/>
        </w:rPr>
        <w:t>ٍ</w:t>
      </w:r>
      <w:r w:rsidRPr="00904FCB">
        <w:rPr>
          <w:sz w:val="27"/>
          <w:rtl/>
        </w:rPr>
        <w:t xml:space="preserve"> </w:t>
      </w:r>
      <w:r w:rsidRPr="00904FCB">
        <w:rPr>
          <w:rFonts w:hint="cs"/>
          <w:sz w:val="27"/>
          <w:rtl/>
        </w:rPr>
        <w:t>واحد</w:t>
      </w:r>
      <w:r w:rsidR="00C620F2" w:rsidRPr="00904FCB">
        <w:rPr>
          <w:rFonts w:hint="cs"/>
          <w:sz w:val="27"/>
          <w:rtl/>
        </w:rPr>
        <w:t>،</w:t>
      </w:r>
      <w:r w:rsidRPr="00904FCB">
        <w:rPr>
          <w:sz w:val="27"/>
          <w:rtl/>
        </w:rPr>
        <w:t xml:space="preserve"> </w:t>
      </w:r>
      <w:r w:rsidRPr="00904FCB">
        <w:rPr>
          <w:rFonts w:hint="cs"/>
          <w:sz w:val="27"/>
          <w:rtl/>
        </w:rPr>
        <w:t>والمصافحة</w:t>
      </w:r>
      <w:r w:rsidRPr="00904FCB">
        <w:rPr>
          <w:sz w:val="27"/>
          <w:rtl/>
        </w:rPr>
        <w:t xml:space="preserve"> </w:t>
      </w:r>
      <w:r w:rsidRPr="00904FCB">
        <w:rPr>
          <w:rFonts w:hint="cs"/>
          <w:sz w:val="27"/>
          <w:rtl/>
        </w:rPr>
        <w:t>معه</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ظاهرٌ</w:t>
      </w:r>
      <w:r w:rsidRPr="00904FCB">
        <w:rPr>
          <w:sz w:val="27"/>
          <w:rtl/>
        </w:rPr>
        <w:t xml:space="preserve"> </w:t>
      </w:r>
      <w:r w:rsidRPr="00904FCB">
        <w:rPr>
          <w:rFonts w:hint="cs"/>
          <w:sz w:val="27"/>
          <w:rtl/>
        </w:rPr>
        <w:t>جدّاً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نجاسته؛ لأنّ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يجتمع</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الظاهر</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بالطهارة</w:t>
      </w:r>
      <w:r w:rsidR="00B97EB5" w:rsidRPr="00904FCB">
        <w:rPr>
          <w:rFonts w:hint="cs"/>
          <w:sz w:val="27"/>
          <w:rtl/>
        </w:rPr>
        <w:t>.</w:t>
      </w:r>
      <w:r w:rsidRPr="00904FCB">
        <w:rPr>
          <w:rFonts w:hint="cs"/>
          <w:sz w:val="27"/>
          <w:rtl/>
        </w:rPr>
        <w:t xml:space="preserve"> والتعليل</w:t>
      </w:r>
      <w:r w:rsidRPr="00904FCB">
        <w:rPr>
          <w:sz w:val="27"/>
          <w:rtl/>
        </w:rPr>
        <w:t xml:space="preserve"> </w:t>
      </w:r>
      <w:r w:rsidRPr="00904FCB">
        <w:rPr>
          <w:rFonts w:hint="cs"/>
          <w:sz w:val="27"/>
          <w:rtl/>
        </w:rPr>
        <w:t>بالنجاسة</w:t>
      </w:r>
      <w:r w:rsidRPr="00904FCB">
        <w:rPr>
          <w:sz w:val="27"/>
          <w:rtl/>
        </w:rPr>
        <w:t xml:space="preserve"> </w:t>
      </w:r>
      <w:r w:rsidRPr="00904FCB">
        <w:rPr>
          <w:rFonts w:hint="cs"/>
          <w:sz w:val="27"/>
          <w:rtl/>
        </w:rPr>
        <w:t>العرضيّة</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w:t>
      </w:r>
      <w:r w:rsidR="00B97EB5" w:rsidRPr="00904FCB">
        <w:rPr>
          <w:rFonts w:hint="cs"/>
          <w:sz w:val="27"/>
          <w:rtl/>
        </w:rPr>
        <w:t>ُ</w:t>
      </w:r>
      <w:r w:rsidRPr="00904FCB">
        <w:rPr>
          <w:rFonts w:hint="cs"/>
          <w:sz w:val="27"/>
          <w:rtl/>
        </w:rPr>
        <w:t>ع</w:t>
      </w:r>
      <w:r w:rsidR="00B97EB5" w:rsidRPr="00904FCB">
        <w:rPr>
          <w:rFonts w:hint="cs"/>
          <w:sz w:val="27"/>
          <w:rtl/>
        </w:rPr>
        <w:t>َ</w:t>
      </w:r>
      <w:r w:rsidRPr="00904FCB">
        <w:rPr>
          <w:rFonts w:hint="cs"/>
          <w:sz w:val="27"/>
          <w:rtl/>
        </w:rPr>
        <w:t>دّ</w:t>
      </w:r>
      <w:r w:rsidRPr="00904FCB">
        <w:rPr>
          <w:sz w:val="27"/>
          <w:rtl/>
        </w:rPr>
        <w:t xml:space="preserve"> </w:t>
      </w:r>
      <w:r w:rsidRPr="00904FCB">
        <w:rPr>
          <w:rFonts w:hint="cs"/>
          <w:sz w:val="27"/>
          <w:rtl/>
        </w:rPr>
        <w:t>بعيداً؛ لأنّ</w:t>
      </w:r>
      <w:r w:rsidRPr="00904FCB">
        <w:rPr>
          <w:sz w:val="27"/>
          <w:rtl/>
        </w:rPr>
        <w:t xml:space="preserve"> </w:t>
      </w:r>
      <w:r w:rsidRPr="00904FCB">
        <w:rPr>
          <w:rFonts w:hint="cs"/>
          <w:sz w:val="27"/>
          <w:rtl/>
        </w:rPr>
        <w:t>الأصل</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مثل</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النجاسة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إلاّ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التأمّ</w:t>
      </w:r>
      <w:r w:rsidR="00B97EB5" w:rsidRPr="00904FCB">
        <w:rPr>
          <w:rFonts w:hint="cs"/>
          <w:sz w:val="27"/>
          <w:rtl/>
        </w:rPr>
        <w:t>ُ</w:t>
      </w:r>
      <w:r w:rsidRPr="00904FCB">
        <w:rPr>
          <w:rFonts w:hint="cs"/>
          <w:sz w:val="27"/>
          <w:rtl/>
        </w:rPr>
        <w:t>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الالتفات</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ذكرنا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ذيل</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الثالثة</w:t>
      </w:r>
      <w:r w:rsidRPr="00904FCB">
        <w:rPr>
          <w:sz w:val="27"/>
          <w:rtl/>
        </w:rPr>
        <w:t xml:space="preserve"> </w:t>
      </w:r>
      <w:r w:rsidRPr="00904FCB">
        <w:rPr>
          <w:rFonts w:hint="cs"/>
          <w:sz w:val="27"/>
          <w:rtl/>
        </w:rPr>
        <w:t>السابقة، والجمع</w:t>
      </w:r>
      <w:r w:rsidRPr="00904FCB">
        <w:rPr>
          <w:sz w:val="27"/>
          <w:rtl/>
        </w:rPr>
        <w:t xml:space="preserve"> </w:t>
      </w:r>
      <w:r w:rsidRPr="00904FCB">
        <w:rPr>
          <w:rFonts w:hint="cs"/>
          <w:sz w:val="27"/>
          <w:rtl/>
        </w:rPr>
        <w:t>بين</w:t>
      </w:r>
      <w:r w:rsidRPr="00904FCB">
        <w:rPr>
          <w:sz w:val="27"/>
          <w:rtl/>
        </w:rPr>
        <w:t xml:space="preserve"> </w:t>
      </w:r>
      <w:r w:rsidRPr="00904FCB">
        <w:rPr>
          <w:rFonts w:hint="cs"/>
          <w:sz w:val="27"/>
          <w:rtl/>
        </w:rPr>
        <w:t>المؤاكلة</w:t>
      </w:r>
      <w:r w:rsidRPr="00904FCB">
        <w:rPr>
          <w:sz w:val="27"/>
          <w:rtl/>
        </w:rPr>
        <w:t xml:space="preserve"> </w:t>
      </w:r>
      <w:r w:rsidRPr="00904FCB">
        <w:rPr>
          <w:rFonts w:hint="cs"/>
          <w:sz w:val="27"/>
          <w:rtl/>
        </w:rPr>
        <w:t>والمصافحة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الإطلاق، ولو</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الرطوبة</w:t>
      </w:r>
      <w:r w:rsidR="00B97EB5" w:rsidRPr="00904FCB">
        <w:rPr>
          <w:rFonts w:hint="cs"/>
          <w:sz w:val="27"/>
          <w:rtl/>
        </w:rPr>
        <w:t>،</w:t>
      </w:r>
      <w:r w:rsidRPr="00904FCB">
        <w:rPr>
          <w:rFonts w:hint="cs"/>
          <w:sz w:val="27"/>
          <w:rtl/>
        </w:rPr>
        <w:t xml:space="preserve"> وكذلك</w:t>
      </w:r>
      <w:r w:rsidRPr="00904FCB">
        <w:rPr>
          <w:sz w:val="27"/>
          <w:rtl/>
        </w:rPr>
        <w:t xml:space="preserve"> </w:t>
      </w:r>
      <w:r w:rsidRPr="00904FCB">
        <w:rPr>
          <w:rFonts w:hint="cs"/>
          <w:sz w:val="27"/>
          <w:rtl/>
        </w:rPr>
        <w:t>النوم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فراشه</w:t>
      </w:r>
      <w:r w:rsidR="00B97EB5" w:rsidRPr="00904FCB">
        <w:rPr>
          <w:rFonts w:hint="cs"/>
          <w:sz w:val="27"/>
          <w:rtl/>
        </w:rPr>
        <w:t xml:space="preserve"> ـ</w:t>
      </w:r>
      <w:r w:rsidRPr="00904FCB">
        <w:rPr>
          <w:rFonts w:hint="cs"/>
          <w:sz w:val="27"/>
          <w:rtl/>
        </w:rPr>
        <w:t xml:space="preserve"> قد</w:t>
      </w:r>
      <w:r w:rsidRPr="00904FCB">
        <w:rPr>
          <w:sz w:val="27"/>
          <w:rtl/>
        </w:rPr>
        <w:t xml:space="preserve"> </w:t>
      </w:r>
      <w:r w:rsidR="00B97EB5" w:rsidRPr="00904FCB">
        <w:rPr>
          <w:rFonts w:hint="cs"/>
          <w:sz w:val="27"/>
          <w:rtl/>
        </w:rPr>
        <w:t>يفيد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الحزازة</w:t>
      </w:r>
      <w:r w:rsidRPr="00904FCB">
        <w:rPr>
          <w:sz w:val="27"/>
          <w:rtl/>
        </w:rPr>
        <w:t xml:space="preserve"> </w:t>
      </w:r>
      <w:r w:rsidRPr="00904FCB">
        <w:rPr>
          <w:rFonts w:hint="cs"/>
          <w:sz w:val="27"/>
          <w:rtl/>
        </w:rPr>
        <w:t>ليست</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مجرّد</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الماديّة، بل</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يكون</w:t>
      </w:r>
      <w:r w:rsidRPr="00904FCB">
        <w:rPr>
          <w:sz w:val="27"/>
          <w:rtl/>
        </w:rPr>
        <w:t xml:space="preserve"> </w:t>
      </w:r>
      <w:r w:rsidR="00B97EB5" w:rsidRPr="00904FCB">
        <w:rPr>
          <w:rFonts w:hint="cs"/>
          <w:sz w:val="27"/>
          <w:rtl/>
        </w:rPr>
        <w:t xml:space="preserve">الملحوظ </w:t>
      </w:r>
      <w:r w:rsidRPr="00904FCB">
        <w:rPr>
          <w:rFonts w:hint="cs"/>
          <w:sz w:val="27"/>
          <w:rtl/>
        </w:rPr>
        <w:t>هو</w:t>
      </w:r>
      <w:r w:rsidRPr="00904FCB">
        <w:rPr>
          <w:sz w:val="27"/>
          <w:rtl/>
        </w:rPr>
        <w:t xml:space="preserve"> </w:t>
      </w:r>
      <w:r w:rsidRPr="00904FCB">
        <w:rPr>
          <w:rFonts w:hint="cs"/>
          <w:sz w:val="27"/>
          <w:rtl/>
        </w:rPr>
        <w:t>التحرّ</w:t>
      </w:r>
      <w:r w:rsidR="00B97EB5" w:rsidRPr="00904FCB">
        <w:rPr>
          <w:rFonts w:hint="cs"/>
          <w:sz w:val="27"/>
          <w:rtl/>
        </w:rPr>
        <w:t>ُ</w:t>
      </w:r>
      <w:r w:rsidRPr="00904FCB">
        <w:rPr>
          <w:rFonts w:hint="cs"/>
          <w:sz w:val="27"/>
          <w:rtl/>
        </w:rPr>
        <w:t>ز</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المجوسي</w:t>
      </w:r>
      <w:r w:rsidR="00B97EB5" w:rsidRPr="00904FCB">
        <w:rPr>
          <w:rFonts w:hint="cs"/>
          <w:sz w:val="27"/>
          <w:rtl/>
        </w:rPr>
        <w:t>ّ</w:t>
      </w:r>
      <w:r w:rsidRPr="00904FCB">
        <w:rPr>
          <w:sz w:val="27"/>
          <w:rtl/>
        </w:rPr>
        <w:t xml:space="preserve"> </w:t>
      </w:r>
      <w:r w:rsidRPr="00904FCB">
        <w:rPr>
          <w:rFonts w:hint="cs"/>
          <w:sz w:val="27"/>
          <w:rtl/>
        </w:rPr>
        <w:t>مطلقاً، ولو</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الحزازة</w:t>
      </w:r>
      <w:r w:rsidRPr="00904FCB">
        <w:rPr>
          <w:sz w:val="27"/>
          <w:rtl/>
        </w:rPr>
        <w:t xml:space="preserve"> </w:t>
      </w:r>
      <w:r w:rsidRPr="00904FCB">
        <w:rPr>
          <w:rFonts w:hint="cs"/>
          <w:sz w:val="27"/>
          <w:rtl/>
        </w:rPr>
        <w:t>المعنويّة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مباشرته</w:t>
      </w:r>
      <w:r w:rsidRPr="00904FCB">
        <w:rPr>
          <w:sz w:val="27"/>
          <w:rtl/>
        </w:rPr>
        <w:t xml:space="preserve"> </w:t>
      </w:r>
      <w:r w:rsidRPr="00904FCB">
        <w:rPr>
          <w:rFonts w:hint="cs"/>
          <w:sz w:val="27"/>
          <w:rtl/>
        </w:rPr>
        <w:t>ومعاشرته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قرب</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الشؤون</w:t>
      </w:r>
      <w:r w:rsidRPr="00904FCB">
        <w:rPr>
          <w:sz w:val="27"/>
          <w:rtl/>
        </w:rPr>
        <w:t xml:space="preserve"> </w:t>
      </w:r>
      <w:r w:rsidRPr="00904FCB">
        <w:rPr>
          <w:rFonts w:hint="cs"/>
          <w:sz w:val="27"/>
          <w:rtl/>
        </w:rPr>
        <w:t>الحياتيّة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هذا</w:t>
      </w:r>
      <w:r w:rsidRPr="00904FCB">
        <w:rPr>
          <w:sz w:val="27"/>
          <w:rtl/>
        </w:rPr>
        <w:t xml:space="preserve"> </w:t>
      </w:r>
      <w:r w:rsidRPr="00904FCB">
        <w:rPr>
          <w:rFonts w:hint="cs"/>
          <w:sz w:val="27"/>
          <w:rtl/>
        </w:rPr>
        <w:t>ويمكن</w:t>
      </w:r>
      <w:r w:rsidRPr="00904FCB">
        <w:rPr>
          <w:sz w:val="27"/>
          <w:rtl/>
        </w:rPr>
        <w:t xml:space="preserve"> </w:t>
      </w:r>
      <w:r w:rsidRPr="00904FCB">
        <w:rPr>
          <w:rFonts w:hint="cs"/>
          <w:sz w:val="27"/>
          <w:rtl/>
        </w:rPr>
        <w:t>عدّ</w:t>
      </w:r>
      <w:r w:rsidRPr="00904FCB">
        <w:rPr>
          <w:sz w:val="27"/>
          <w:rtl/>
        </w:rPr>
        <w:t xml:space="preserve"> </w:t>
      </w:r>
      <w:r w:rsidRPr="00904FCB">
        <w:rPr>
          <w:rFonts w:hint="cs"/>
          <w:sz w:val="27"/>
          <w:rtl/>
        </w:rPr>
        <w:t>رواية</w:t>
      </w:r>
      <w:r w:rsidRPr="00904FCB">
        <w:rPr>
          <w:sz w:val="27"/>
          <w:rtl/>
        </w:rPr>
        <w:t xml:space="preserve"> </w:t>
      </w:r>
      <w:r w:rsidRPr="00904FCB">
        <w:rPr>
          <w:rFonts w:hint="cs"/>
          <w:sz w:val="27"/>
          <w:rtl/>
        </w:rPr>
        <w:t>الكاهلي</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وهي</w:t>
      </w:r>
      <w:r w:rsidRPr="00904FCB">
        <w:rPr>
          <w:sz w:val="27"/>
          <w:rtl/>
        </w:rPr>
        <w:t xml:space="preserve"> </w:t>
      </w:r>
      <w:r w:rsidRPr="00904FCB">
        <w:rPr>
          <w:rFonts w:hint="cs"/>
          <w:sz w:val="27"/>
          <w:rtl/>
        </w:rPr>
        <w:t>الثانية</w:t>
      </w:r>
      <w:r w:rsidRPr="00904FCB">
        <w:rPr>
          <w:sz w:val="27"/>
          <w:rtl/>
        </w:rPr>
        <w:t xml:space="preserve"> </w:t>
      </w:r>
      <w:r w:rsidRPr="00904FCB">
        <w:rPr>
          <w:rFonts w:hint="cs"/>
          <w:sz w:val="27"/>
          <w:rtl/>
        </w:rPr>
        <w:t>المتقدّ</w:t>
      </w:r>
      <w:r w:rsidR="00B97EB5" w:rsidRPr="00904FCB">
        <w:rPr>
          <w:rFonts w:hint="cs"/>
          <w:sz w:val="27"/>
          <w:rtl/>
        </w:rPr>
        <w:t>ِ</w:t>
      </w:r>
      <w:r w:rsidRPr="00904FCB">
        <w:rPr>
          <w:rFonts w:hint="cs"/>
          <w:sz w:val="27"/>
          <w:rtl/>
        </w:rPr>
        <w:t>مة</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قرينة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النجاسة، أو</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نهي</w:t>
      </w:r>
      <w:r w:rsidRPr="00904FCB">
        <w:rPr>
          <w:sz w:val="27"/>
          <w:rtl/>
        </w:rPr>
        <w:t xml:space="preserve"> </w:t>
      </w:r>
      <w:r w:rsidRPr="00904FCB">
        <w:rPr>
          <w:rFonts w:hint="cs"/>
          <w:sz w:val="27"/>
          <w:rtl/>
        </w:rPr>
        <w:t>تحريم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الأقلّ، ولو</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أنّه</w:t>
      </w:r>
      <w:r w:rsidR="001C1A2A" w:rsidRPr="00904FCB">
        <w:rPr>
          <w:rFonts w:cs="Mosawi"/>
          <w:sz w:val="27"/>
          <w:szCs w:val="22"/>
          <w:rtl/>
        </w:rPr>
        <w:t>×</w:t>
      </w:r>
      <w:r w:rsidRPr="00904FCB">
        <w:rPr>
          <w:sz w:val="27"/>
          <w:rtl/>
        </w:rPr>
        <w:t xml:space="preserve"> </w:t>
      </w:r>
      <w:r w:rsidRPr="00904FCB">
        <w:rPr>
          <w:rFonts w:hint="cs"/>
          <w:sz w:val="27"/>
          <w:rtl/>
        </w:rPr>
        <w:t>صرّ</w:t>
      </w:r>
      <w:r w:rsidR="00B97EB5" w:rsidRPr="00904FCB">
        <w:rPr>
          <w:rFonts w:hint="cs"/>
          <w:sz w:val="27"/>
          <w:rtl/>
        </w:rPr>
        <w:t>َ</w:t>
      </w:r>
      <w:r w:rsidRPr="00904FCB">
        <w:rPr>
          <w:rFonts w:hint="cs"/>
          <w:sz w:val="27"/>
          <w:rtl/>
        </w:rPr>
        <w:t>ح</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تلك</w:t>
      </w:r>
      <w:r w:rsidRPr="00904FCB">
        <w:rPr>
          <w:sz w:val="27"/>
          <w:rtl/>
        </w:rPr>
        <w:t xml:space="preserve"> </w:t>
      </w:r>
      <w:r w:rsidRPr="00904FCB">
        <w:rPr>
          <w:rFonts w:hint="cs"/>
          <w:sz w:val="27"/>
          <w:rtl/>
        </w:rPr>
        <w:t>بأنّه</w:t>
      </w:r>
      <w:r w:rsidRPr="00904FCB">
        <w:rPr>
          <w:sz w:val="27"/>
          <w:rtl/>
        </w:rPr>
        <w:t xml:space="preserve"> </w:t>
      </w:r>
      <w:r w:rsidRPr="00904FCB">
        <w:rPr>
          <w:rFonts w:hint="cs"/>
          <w:sz w:val="27"/>
          <w:rtl/>
        </w:rPr>
        <w:t>يكره</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يحرّم</w:t>
      </w:r>
      <w:r w:rsidRPr="00904FCB">
        <w:rPr>
          <w:sz w:val="27"/>
          <w:rtl/>
        </w:rPr>
        <w:t xml:space="preserve"> </w:t>
      </w:r>
      <w:r w:rsidRPr="00904FCB">
        <w:rPr>
          <w:rFonts w:hint="cs"/>
          <w:sz w:val="27"/>
          <w:rtl/>
        </w:rPr>
        <w:t>عليهم</w:t>
      </w:r>
      <w:r w:rsidRPr="00904FCB">
        <w:rPr>
          <w:sz w:val="27"/>
          <w:rtl/>
        </w:rPr>
        <w:t xml:space="preserve"> </w:t>
      </w:r>
      <w:r w:rsidRPr="00904FCB">
        <w:rPr>
          <w:rFonts w:hint="cs"/>
          <w:sz w:val="27"/>
          <w:rtl/>
        </w:rPr>
        <w:t>شيئاً</w:t>
      </w:r>
      <w:r w:rsidRPr="00904FCB">
        <w:rPr>
          <w:sz w:val="27"/>
          <w:rtl/>
        </w:rPr>
        <w:t xml:space="preserve"> </w:t>
      </w:r>
      <w:r w:rsidRPr="00904FCB">
        <w:rPr>
          <w:rFonts w:hint="cs"/>
          <w:sz w:val="27"/>
          <w:rtl/>
        </w:rPr>
        <w:t>يصنعونه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بلادهم</w:t>
      </w:r>
      <w:r w:rsidRPr="00904FCB">
        <w:rPr>
          <w:sz w:val="27"/>
          <w:rtl/>
        </w:rPr>
        <w:t xml:space="preserve">. </w:t>
      </w:r>
      <w:r w:rsidRPr="00904FCB">
        <w:rPr>
          <w:rFonts w:hint="cs"/>
          <w:sz w:val="27"/>
          <w:rtl/>
        </w:rPr>
        <w:t>وكذلك</w:t>
      </w:r>
      <w:r w:rsidRPr="00904FCB">
        <w:rPr>
          <w:sz w:val="27"/>
          <w:rtl/>
        </w:rPr>
        <w:t xml:space="preserve"> </w:t>
      </w:r>
      <w:r w:rsidRPr="00904FCB">
        <w:rPr>
          <w:rFonts w:hint="cs"/>
          <w:sz w:val="27"/>
          <w:rtl/>
        </w:rPr>
        <w:t>فإنّه</w:t>
      </w:r>
      <w:r w:rsidRPr="00904FCB">
        <w:rPr>
          <w:sz w:val="27"/>
          <w:rtl/>
        </w:rPr>
        <w:t xml:space="preserve"> </w:t>
      </w:r>
      <w:r w:rsidRPr="00904FCB">
        <w:rPr>
          <w:rFonts w:hint="cs"/>
          <w:sz w:val="27"/>
          <w:rtl/>
        </w:rPr>
        <w:t>سيأتي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سياق</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النوم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فراشهم</w:t>
      </w:r>
      <w:r w:rsidRPr="00904FCB">
        <w:rPr>
          <w:sz w:val="27"/>
          <w:rtl/>
        </w:rPr>
        <w:t xml:space="preserve"> </w:t>
      </w:r>
      <w:r w:rsidRPr="00904FCB">
        <w:rPr>
          <w:rFonts w:hint="cs"/>
          <w:sz w:val="27"/>
          <w:rtl/>
        </w:rPr>
        <w:t>جائزٌ</w:t>
      </w:r>
      <w:r w:rsidRPr="00904FCB">
        <w:rPr>
          <w:sz w:val="27"/>
          <w:rtl/>
        </w:rPr>
        <w:t xml:space="preserve"> </w:t>
      </w:r>
      <w:r w:rsidRPr="00904FCB">
        <w:rPr>
          <w:rFonts w:hint="cs"/>
          <w:sz w:val="27"/>
          <w:rtl/>
        </w:rPr>
        <w:t>بنصّ</w:t>
      </w:r>
      <w:r w:rsidRPr="00904FCB">
        <w:rPr>
          <w:sz w:val="27"/>
          <w:rtl/>
        </w:rPr>
        <w:t xml:space="preserve"> </w:t>
      </w:r>
      <w:r w:rsidRPr="00904FCB">
        <w:rPr>
          <w:rFonts w:hint="cs"/>
          <w:sz w:val="27"/>
          <w:rtl/>
        </w:rPr>
        <w:t>الصحيحة</w:t>
      </w:r>
      <w:r w:rsidRPr="00904FCB">
        <w:rPr>
          <w:sz w:val="27"/>
          <w:rtl/>
        </w:rPr>
        <w:t xml:space="preserve"> </w:t>
      </w:r>
      <w:r w:rsidRPr="00904FCB">
        <w:rPr>
          <w:rFonts w:hint="cs"/>
          <w:sz w:val="27"/>
          <w:rtl/>
        </w:rPr>
        <w:t>الأخرى</w:t>
      </w:r>
      <w:r w:rsidRPr="00904FCB">
        <w:rPr>
          <w:sz w:val="27"/>
          <w:rtl/>
        </w:rPr>
        <w:t xml:space="preserve"> </w:t>
      </w:r>
      <w:r w:rsidRPr="00904FCB">
        <w:rPr>
          <w:rFonts w:hint="cs"/>
          <w:sz w:val="27"/>
          <w:rtl/>
        </w:rPr>
        <w:t>لعليِّ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001C1A2A" w:rsidRPr="00904FCB">
        <w:rPr>
          <w:rFonts w:cs="Mosawi"/>
          <w:sz w:val="27"/>
          <w:szCs w:val="22"/>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والحاصل</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ناظرة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الماديّة، وإن</w:t>
      </w:r>
      <w:r w:rsidR="00B97EB5" w:rsidRPr="00904FCB">
        <w:rPr>
          <w:rFonts w:hint="cs"/>
          <w:sz w:val="27"/>
          <w:rtl/>
        </w:rPr>
        <w:t>ْ</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محتملاً</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بمستوىً</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يرقى</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الظهور</w:t>
      </w:r>
      <w:r w:rsidRPr="00904FCB">
        <w:rPr>
          <w:sz w:val="27"/>
          <w:rtl/>
        </w:rPr>
        <w:t xml:space="preserve"> </w:t>
      </w:r>
      <w:r w:rsidRPr="00904FCB">
        <w:rPr>
          <w:rFonts w:hint="cs"/>
          <w:sz w:val="27"/>
          <w:rtl/>
        </w:rPr>
        <w:t>الموجب</w:t>
      </w:r>
      <w:r w:rsidRPr="00904FCB">
        <w:rPr>
          <w:sz w:val="27"/>
          <w:rtl/>
        </w:rPr>
        <w:t xml:space="preserve"> </w:t>
      </w:r>
      <w:r w:rsidRPr="00904FCB">
        <w:rPr>
          <w:rFonts w:hint="cs"/>
          <w:sz w:val="27"/>
          <w:rtl/>
        </w:rPr>
        <w:t>لحملها</w:t>
      </w:r>
      <w:r w:rsidRPr="00904FCB">
        <w:rPr>
          <w:sz w:val="27"/>
          <w:rtl/>
        </w:rPr>
        <w:t xml:space="preserve"> </w:t>
      </w:r>
      <w:r w:rsidRPr="00904FCB">
        <w:rPr>
          <w:rFonts w:hint="cs"/>
          <w:sz w:val="27"/>
          <w:rtl/>
        </w:rPr>
        <w:t>عليه</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السابعة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وعَنْهُمْ</w:t>
      </w:r>
      <w:r w:rsidR="00B97EB5"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أَحْمَدَ</w:t>
      </w:r>
      <w:r w:rsidR="00B97EB5" w:rsidRPr="00904FCB">
        <w:rPr>
          <w:rFonts w:hint="cs"/>
          <w:sz w:val="27"/>
          <w:rtl/>
        </w:rPr>
        <w:t>،</w:t>
      </w:r>
      <w:r w:rsidRPr="00904FCB">
        <w:rPr>
          <w:sz w:val="27"/>
          <w:rtl/>
        </w:rPr>
        <w:t xml:space="preserve"> </w:t>
      </w:r>
      <w:r w:rsidRPr="00904FCB">
        <w:rPr>
          <w:rFonts w:hint="cs"/>
          <w:sz w:val="27"/>
          <w:rtl/>
        </w:rPr>
        <w:lastRenderedPageBreak/>
        <w:t>عَنْ</w:t>
      </w:r>
      <w:r w:rsidRPr="00904FCB">
        <w:rPr>
          <w:sz w:val="27"/>
          <w:rtl/>
        </w:rPr>
        <w:t xml:space="preserve"> </w:t>
      </w:r>
      <w:r w:rsidRPr="00904FCB">
        <w:rPr>
          <w:rFonts w:hint="cs"/>
          <w:sz w:val="27"/>
          <w:rtl/>
        </w:rPr>
        <w:t>إِسْمَاعِيلَ</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مِهْرَانَ</w:t>
      </w:r>
      <w:r w:rsidR="00B97EB5"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زِيَادٍ</w:t>
      </w:r>
      <w:r w:rsidR="00B97EB5"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هَارُونَ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خَارِجَةَ</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قُلْتُ</w:t>
      </w:r>
      <w:r w:rsidRPr="00904FCB">
        <w:rPr>
          <w:sz w:val="27"/>
          <w:rtl/>
        </w:rPr>
        <w:t xml:space="preserve"> </w:t>
      </w:r>
      <w:r w:rsidRPr="00904FCB">
        <w:rPr>
          <w:rFonts w:hint="cs"/>
          <w:sz w:val="27"/>
          <w:rtl/>
        </w:rPr>
        <w:t>لأَبِي</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Pr="00904FCB">
        <w:rPr>
          <w:sz w:val="27"/>
          <w:rtl/>
        </w:rPr>
        <w:t xml:space="preserve">: </w:t>
      </w:r>
      <w:r w:rsidRPr="00904FCB">
        <w:rPr>
          <w:rFonts w:hint="cs"/>
          <w:sz w:val="27"/>
          <w:rtl/>
        </w:rPr>
        <w:t>إِنِّي</w:t>
      </w:r>
      <w:r w:rsidRPr="00904FCB">
        <w:rPr>
          <w:sz w:val="27"/>
          <w:rtl/>
        </w:rPr>
        <w:t xml:space="preserve"> </w:t>
      </w:r>
      <w:r w:rsidRPr="00904FCB">
        <w:rPr>
          <w:rFonts w:hint="cs"/>
          <w:sz w:val="27"/>
          <w:rtl/>
        </w:rPr>
        <w:t>أُخَالِطُ</w:t>
      </w:r>
      <w:r w:rsidRPr="00904FCB">
        <w:rPr>
          <w:sz w:val="27"/>
          <w:rtl/>
        </w:rPr>
        <w:t xml:space="preserve"> </w:t>
      </w:r>
      <w:r w:rsidRPr="00904FCB">
        <w:rPr>
          <w:rFonts w:hint="cs"/>
          <w:sz w:val="27"/>
          <w:rtl/>
        </w:rPr>
        <w:t>الْمَجُوسَ</w:t>
      </w:r>
      <w:r w:rsidR="00B97EB5" w:rsidRPr="00904FCB">
        <w:rPr>
          <w:rFonts w:hint="cs"/>
          <w:sz w:val="27"/>
          <w:rtl/>
        </w:rPr>
        <w:t>،</w:t>
      </w:r>
      <w:r w:rsidRPr="00904FCB">
        <w:rPr>
          <w:sz w:val="27"/>
          <w:rtl/>
        </w:rPr>
        <w:t xml:space="preserve"> </w:t>
      </w:r>
      <w:r w:rsidRPr="00904FCB">
        <w:rPr>
          <w:rFonts w:hint="cs"/>
          <w:sz w:val="27"/>
          <w:rtl/>
        </w:rPr>
        <w:t>فَآكُلُ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طَعَامِهِمْ</w:t>
      </w:r>
      <w:r w:rsidR="00B97EB5" w:rsidRPr="00904FCB">
        <w:rPr>
          <w:rFonts w:hint="cs"/>
          <w:sz w:val="27"/>
          <w:rtl/>
        </w:rPr>
        <w:t>؟</w:t>
      </w:r>
      <w:r w:rsidRPr="00904FCB">
        <w:rPr>
          <w:rFonts w:hint="cs"/>
          <w:sz w:val="27"/>
          <w:rtl/>
        </w:rPr>
        <w:t xml:space="preserve"> قَالَ</w:t>
      </w:r>
      <w:r w:rsidRPr="00904FCB">
        <w:rPr>
          <w:sz w:val="27"/>
          <w:rtl/>
        </w:rPr>
        <w:t xml:space="preserve">: </w:t>
      </w:r>
      <w:r w:rsidRPr="00904FCB">
        <w:rPr>
          <w:rFonts w:hint="cs"/>
          <w:sz w:val="27"/>
          <w:rtl/>
        </w:rPr>
        <w:t>لا</w:t>
      </w:r>
      <w:r w:rsidRPr="00904FCB">
        <w:rPr>
          <w:rFonts w:hint="eastAsia"/>
          <w:sz w:val="27"/>
          <w:rtl/>
        </w:rPr>
        <w:t>»</w:t>
      </w:r>
      <w:r w:rsidRPr="00904FCB">
        <w:rPr>
          <w:rFonts w:hint="cs"/>
          <w:sz w:val="27"/>
          <w:vertAlign w:val="superscript"/>
          <w:rtl/>
        </w:rPr>
        <w:t>(</w:t>
      </w:r>
      <w:r w:rsidRPr="00904FCB">
        <w:rPr>
          <w:rStyle w:val="ac"/>
          <w:sz w:val="27"/>
          <w:rtl/>
        </w:rPr>
        <w:endnoteReference w:id="683"/>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العدّة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أصحابنا</w:t>
      </w:r>
      <w:r w:rsidR="00B97EB5"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مهران</w:t>
      </w:r>
      <w:r w:rsidR="00B97EB5" w:rsidRPr="00904FCB">
        <w:rPr>
          <w:rFonts w:hint="cs"/>
          <w:sz w:val="27"/>
          <w:rtl/>
        </w:rPr>
        <w:t>.</w:t>
      </w:r>
      <w:r w:rsidRPr="00904FCB">
        <w:rPr>
          <w:rFonts w:hint="cs"/>
          <w:sz w:val="27"/>
          <w:rtl/>
        </w:rPr>
        <w:t xml:space="preserve"> وابن</w:t>
      </w:r>
      <w:r w:rsidRPr="00904FCB">
        <w:rPr>
          <w:sz w:val="27"/>
          <w:rtl/>
        </w:rPr>
        <w:t xml:space="preserve"> </w:t>
      </w:r>
      <w:r w:rsidRPr="00904FCB">
        <w:rPr>
          <w:rFonts w:hint="cs"/>
          <w:sz w:val="27"/>
          <w:rtl/>
        </w:rPr>
        <w:t>زياد</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عمير</w:t>
      </w:r>
      <w:r w:rsidR="00B97EB5" w:rsidRPr="00904FCB">
        <w:rPr>
          <w:rFonts w:hint="cs"/>
          <w:sz w:val="27"/>
          <w:rtl/>
        </w:rPr>
        <w:t>،</w:t>
      </w:r>
      <w:r w:rsidR="00001F07" w:rsidRPr="00904FCB">
        <w:rPr>
          <w:rFonts w:hint="cs"/>
          <w:sz w:val="27"/>
          <w:rtl/>
        </w:rPr>
        <w:t xml:space="preserve"> ويروي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خارجة</w:t>
      </w:r>
      <w:r w:rsidR="00B97EB5" w:rsidRPr="00904FCB">
        <w:rPr>
          <w:rFonts w:hint="cs"/>
          <w:sz w:val="27"/>
          <w:rtl/>
        </w:rPr>
        <w:t>.</w:t>
      </w:r>
      <w:r w:rsidRPr="00904FCB">
        <w:rPr>
          <w:rFonts w:hint="cs"/>
          <w:sz w:val="27"/>
          <w:rtl/>
        </w:rPr>
        <w:t xml:space="preserve"> ورجال</w:t>
      </w:r>
      <w:r w:rsidRPr="00904FCB">
        <w:rPr>
          <w:sz w:val="27"/>
          <w:rtl/>
        </w:rPr>
        <w:t xml:space="preserve"> </w:t>
      </w:r>
      <w:r w:rsidRPr="00904FCB">
        <w:rPr>
          <w:rFonts w:hint="cs"/>
          <w:sz w:val="27"/>
          <w:rtl/>
        </w:rPr>
        <w:t>السند</w:t>
      </w:r>
      <w:r w:rsidRPr="00904FCB">
        <w:rPr>
          <w:sz w:val="27"/>
          <w:rtl/>
        </w:rPr>
        <w:t xml:space="preserve"> </w:t>
      </w:r>
      <w:r w:rsidRPr="00904FCB">
        <w:rPr>
          <w:rFonts w:hint="cs"/>
          <w:sz w:val="27"/>
          <w:rtl/>
        </w:rPr>
        <w:t>كلّهم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الثقا</w:t>
      </w:r>
      <w:r w:rsidR="00001F07" w:rsidRPr="00904FCB">
        <w:rPr>
          <w:rFonts w:hint="cs"/>
          <w:sz w:val="27"/>
          <w:rtl/>
        </w:rPr>
        <w:t>ت.</w:t>
      </w:r>
      <w:r w:rsidRPr="00904FCB">
        <w:rPr>
          <w:rFonts w:hint="cs"/>
          <w:sz w:val="27"/>
          <w:rtl/>
        </w:rPr>
        <w:t xml:space="preserve"> فالرواية</w:t>
      </w:r>
      <w:r w:rsidRPr="00904FCB">
        <w:rPr>
          <w:sz w:val="27"/>
          <w:rtl/>
        </w:rPr>
        <w:t xml:space="preserve"> </w:t>
      </w:r>
      <w:r w:rsidRPr="00904FCB">
        <w:rPr>
          <w:rFonts w:hint="cs"/>
          <w:sz w:val="27"/>
          <w:rtl/>
        </w:rPr>
        <w:t>صحيحة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 فإنّه</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w:t>
      </w:r>
      <w:r w:rsidR="00001F07" w:rsidRPr="00904FCB">
        <w:rPr>
          <w:rFonts w:hint="cs"/>
          <w:sz w:val="27"/>
          <w:rtl/>
        </w:rPr>
        <w:t>ُ</w:t>
      </w:r>
      <w:r w:rsidRPr="00904FCB">
        <w:rPr>
          <w:rFonts w:hint="cs"/>
          <w:sz w:val="27"/>
          <w:rtl/>
        </w:rPr>
        <w:t>ستفاد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الأكل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طعامهم</w:t>
      </w:r>
      <w:r w:rsidRPr="00904FCB">
        <w:rPr>
          <w:sz w:val="27"/>
          <w:rtl/>
        </w:rPr>
        <w:t xml:space="preserve"> </w:t>
      </w:r>
      <w:r w:rsidRPr="00904FCB">
        <w:rPr>
          <w:rFonts w:hint="cs"/>
          <w:sz w:val="27"/>
          <w:rtl/>
        </w:rPr>
        <w:t>نجاست</w:t>
      </w:r>
      <w:r w:rsidR="00001F07" w:rsidRPr="00904FCB">
        <w:rPr>
          <w:rFonts w:hint="cs"/>
          <w:sz w:val="27"/>
          <w:rtl/>
        </w:rPr>
        <w:t>ُ</w:t>
      </w:r>
      <w:r w:rsidRPr="00904FCB">
        <w:rPr>
          <w:rFonts w:hint="cs"/>
          <w:sz w:val="27"/>
          <w:rtl/>
        </w:rPr>
        <w:t>هم</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إلاّ</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صار</w:t>
      </w:r>
      <w:r w:rsidRPr="00904FCB">
        <w:rPr>
          <w:sz w:val="27"/>
          <w:rtl/>
        </w:rPr>
        <w:t xml:space="preserve"> </w:t>
      </w:r>
      <w:r w:rsidRPr="00904FCB">
        <w:rPr>
          <w:rFonts w:hint="cs"/>
          <w:sz w:val="27"/>
          <w:rtl/>
        </w:rPr>
        <w:t>واضحاً</w:t>
      </w:r>
      <w:r w:rsidRPr="00904FCB">
        <w:rPr>
          <w:sz w:val="27"/>
          <w:rtl/>
        </w:rPr>
        <w:t xml:space="preserve"> </w:t>
      </w:r>
      <w:r w:rsidRPr="00904FCB">
        <w:rPr>
          <w:rFonts w:hint="cs"/>
          <w:sz w:val="27"/>
          <w:rtl/>
        </w:rPr>
        <w:t>ممّا</w:t>
      </w:r>
      <w:r w:rsidRPr="00904FCB">
        <w:rPr>
          <w:sz w:val="27"/>
          <w:rtl/>
        </w:rPr>
        <w:t xml:space="preserve"> </w:t>
      </w:r>
      <w:r w:rsidRPr="00904FCB">
        <w:rPr>
          <w:rFonts w:hint="cs"/>
          <w:sz w:val="27"/>
          <w:rtl/>
        </w:rPr>
        <w:t>تقدّ</w:t>
      </w:r>
      <w:r w:rsidR="00001F07" w:rsidRPr="00904FCB">
        <w:rPr>
          <w:rFonts w:hint="cs"/>
          <w:sz w:val="27"/>
          <w:rtl/>
        </w:rPr>
        <w:t>َ</w:t>
      </w:r>
      <w:r w:rsidRPr="00904FCB">
        <w:rPr>
          <w:rFonts w:hint="cs"/>
          <w:sz w:val="27"/>
          <w:rtl/>
        </w:rPr>
        <w:t>م</w:t>
      </w:r>
      <w:r w:rsidRPr="00904FCB">
        <w:rPr>
          <w:sz w:val="27"/>
          <w:rtl/>
        </w:rPr>
        <w:t xml:space="preserve"> </w:t>
      </w:r>
      <w:r w:rsidRPr="00904FCB">
        <w:rPr>
          <w:rFonts w:hint="cs"/>
          <w:sz w:val="27"/>
          <w:rtl/>
        </w:rPr>
        <w:t>هنا</w:t>
      </w:r>
      <w:r w:rsidR="00001F07" w:rsidRPr="00904FCB">
        <w:rPr>
          <w:rFonts w:hint="cs"/>
          <w:sz w:val="27"/>
          <w:rtl/>
        </w:rPr>
        <w:t>،</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إمّا</w:t>
      </w:r>
      <w:r w:rsidRPr="00904FCB">
        <w:rPr>
          <w:sz w:val="27"/>
          <w:rtl/>
        </w:rPr>
        <w:t xml:space="preserve"> </w:t>
      </w:r>
      <w:r w:rsidRPr="00904FCB">
        <w:rPr>
          <w:rFonts w:hint="cs"/>
          <w:sz w:val="27"/>
          <w:rtl/>
        </w:rPr>
        <w:t>تنزيهي</w:t>
      </w:r>
      <w:r w:rsidR="00001F07" w:rsidRPr="00904FCB">
        <w:rPr>
          <w:rFonts w:hint="cs"/>
          <w:sz w:val="27"/>
          <w:rtl/>
        </w:rPr>
        <w:t>؛</w:t>
      </w:r>
      <w:r w:rsidRPr="00904FCB">
        <w:rPr>
          <w:rFonts w:hint="cs"/>
          <w:sz w:val="27"/>
          <w:rtl/>
        </w:rPr>
        <w:t xml:space="preserve"> وإمّا</w:t>
      </w:r>
      <w:r w:rsidRPr="00904FCB">
        <w:rPr>
          <w:sz w:val="27"/>
          <w:rtl/>
        </w:rPr>
        <w:t xml:space="preserve"> </w:t>
      </w:r>
      <w:r w:rsidRPr="00904FCB">
        <w:rPr>
          <w:rFonts w:hint="cs"/>
          <w:sz w:val="27"/>
          <w:rtl/>
        </w:rPr>
        <w:t>يراد</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عمّا</w:t>
      </w:r>
      <w:r w:rsidRPr="00904FCB">
        <w:rPr>
          <w:sz w:val="27"/>
          <w:rtl/>
        </w:rPr>
        <w:t xml:space="preserve"> </w:t>
      </w:r>
      <w:r w:rsidRPr="00904FCB">
        <w:rPr>
          <w:rFonts w:hint="cs"/>
          <w:sz w:val="27"/>
          <w:rtl/>
        </w:rPr>
        <w:t>ينتابهم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النجاسات</w:t>
      </w:r>
      <w:r w:rsidRPr="00904FCB">
        <w:rPr>
          <w:sz w:val="27"/>
          <w:rtl/>
        </w:rPr>
        <w:t xml:space="preserve"> </w:t>
      </w:r>
      <w:r w:rsidRPr="00904FCB">
        <w:rPr>
          <w:rFonts w:hint="cs"/>
          <w:sz w:val="27"/>
          <w:rtl/>
        </w:rPr>
        <w:t>العرضيّة</w:t>
      </w:r>
      <w:r w:rsidR="00001F07"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يتورّ</w:t>
      </w:r>
      <w:r w:rsidR="00001F07" w:rsidRPr="00904FCB">
        <w:rPr>
          <w:rFonts w:hint="cs"/>
          <w:sz w:val="27"/>
          <w:rtl/>
        </w:rPr>
        <w:t>َ</w:t>
      </w:r>
      <w:r w:rsidRPr="00904FCB">
        <w:rPr>
          <w:rFonts w:hint="cs"/>
          <w:sz w:val="27"/>
          <w:rtl/>
        </w:rPr>
        <w:t>عون</w:t>
      </w:r>
      <w:r w:rsidRPr="00904FCB">
        <w:rPr>
          <w:sz w:val="27"/>
          <w:rtl/>
        </w:rPr>
        <w:t xml:space="preserve"> </w:t>
      </w:r>
      <w:r w:rsidRPr="00904FCB">
        <w:rPr>
          <w:rFonts w:hint="cs"/>
          <w:sz w:val="27"/>
          <w:rtl/>
        </w:rPr>
        <w:t>عنها</w:t>
      </w:r>
      <w:r w:rsidRPr="00904FCB">
        <w:rPr>
          <w:sz w:val="27"/>
          <w:rtl/>
        </w:rPr>
        <w:t xml:space="preserve"> </w:t>
      </w:r>
      <w:r w:rsidRPr="00904FCB">
        <w:rPr>
          <w:rFonts w:hint="cs"/>
          <w:sz w:val="27"/>
          <w:rtl/>
        </w:rPr>
        <w:t>بحسب</w:t>
      </w:r>
      <w:r w:rsidRPr="00904FCB">
        <w:rPr>
          <w:sz w:val="27"/>
          <w:rtl/>
        </w:rPr>
        <w:t xml:space="preserve"> </w:t>
      </w:r>
      <w:r w:rsidRPr="00904FCB">
        <w:rPr>
          <w:rFonts w:hint="cs"/>
          <w:sz w:val="27"/>
          <w:rtl/>
        </w:rPr>
        <w:t>عقيدتهم</w:t>
      </w:r>
      <w:r w:rsidRPr="00904FCB">
        <w:rPr>
          <w:sz w:val="27"/>
          <w:rtl/>
        </w:rPr>
        <w:t xml:space="preserve"> </w:t>
      </w:r>
      <w:r w:rsidRPr="00904FCB">
        <w:rPr>
          <w:rFonts w:hint="cs"/>
          <w:sz w:val="27"/>
          <w:rtl/>
        </w:rPr>
        <w:t>وممارساتهم</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فالرواية</w:t>
      </w:r>
      <w:r w:rsidRPr="00904FCB">
        <w:rPr>
          <w:sz w:val="27"/>
          <w:rtl/>
        </w:rPr>
        <w:t xml:space="preserve"> </w:t>
      </w:r>
      <w:r w:rsidRPr="00904FCB">
        <w:rPr>
          <w:rFonts w:hint="cs"/>
          <w:sz w:val="27"/>
          <w:rtl/>
        </w:rPr>
        <w:t>وما</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مثلها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تصلح</w:t>
      </w:r>
      <w:r w:rsidRPr="00904FCB">
        <w:rPr>
          <w:sz w:val="27"/>
          <w:rtl/>
        </w:rPr>
        <w:t xml:space="preserve"> </w:t>
      </w:r>
      <w:r w:rsidRPr="00904FCB">
        <w:rPr>
          <w:rFonts w:hint="cs"/>
          <w:sz w:val="27"/>
          <w:rtl/>
        </w:rPr>
        <w:t>دليلاً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الثامنة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إِبْرَاهِيمَ</w:t>
      </w:r>
      <w:r w:rsidR="00001F0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أَبِيهِ</w:t>
      </w:r>
      <w:r w:rsidR="00001F0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الْمُغِيرَةِ</w:t>
      </w:r>
      <w:r w:rsidR="00001F0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سَعِيدٍ</w:t>
      </w:r>
      <w:r w:rsidRPr="00904FCB">
        <w:rPr>
          <w:sz w:val="27"/>
          <w:rtl/>
        </w:rPr>
        <w:t xml:space="preserve"> </w:t>
      </w:r>
      <w:r w:rsidRPr="00904FCB">
        <w:rPr>
          <w:rFonts w:hint="cs"/>
          <w:sz w:val="27"/>
          <w:rtl/>
        </w:rPr>
        <w:t>الأَعْرَجِ</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w:t>
      </w:r>
      <w:r w:rsidRPr="00904FCB">
        <w:rPr>
          <w:sz w:val="27"/>
          <w:rtl/>
        </w:rPr>
        <w:t xml:space="preserve"> </w:t>
      </w:r>
      <w:r w:rsidRPr="00904FCB">
        <w:rPr>
          <w:rFonts w:hint="cs"/>
          <w:sz w:val="27"/>
          <w:rtl/>
        </w:rPr>
        <w:t>أَبَا</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سُؤْرِ</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w:t>
      </w:r>
      <w:r w:rsidR="00001F07" w:rsidRPr="00904FCB">
        <w:rPr>
          <w:rFonts w:hint="cs"/>
          <w:sz w:val="27"/>
          <w:rtl/>
        </w:rPr>
        <w:t>؟</w:t>
      </w:r>
      <w:r w:rsidRPr="00904FCB">
        <w:rPr>
          <w:sz w:val="27"/>
          <w:rtl/>
        </w:rPr>
        <w:t xml:space="preserve"> </w:t>
      </w:r>
      <w:r w:rsidRPr="00904FCB">
        <w:rPr>
          <w:rFonts w:hint="cs"/>
          <w:sz w:val="27"/>
          <w:rtl/>
        </w:rPr>
        <w:t>فَقَالَ</w:t>
      </w:r>
      <w:r w:rsidRPr="00904FCB">
        <w:rPr>
          <w:sz w:val="27"/>
          <w:rtl/>
        </w:rPr>
        <w:t xml:space="preserve">: </w:t>
      </w:r>
      <w:r w:rsidRPr="00904FCB">
        <w:rPr>
          <w:rFonts w:hint="cs"/>
          <w:sz w:val="27"/>
          <w:rtl/>
        </w:rPr>
        <w:t>لا</w:t>
      </w:r>
      <w:r w:rsidRPr="00904FCB">
        <w:rPr>
          <w:rFonts w:hint="eastAsia"/>
          <w:sz w:val="27"/>
          <w:rtl/>
        </w:rPr>
        <w:t>»</w:t>
      </w:r>
      <w:r w:rsidRPr="00904FCB">
        <w:rPr>
          <w:rFonts w:hint="cs"/>
          <w:sz w:val="27"/>
          <w:vertAlign w:val="superscript"/>
          <w:rtl/>
        </w:rPr>
        <w:t>(</w:t>
      </w:r>
      <w:r w:rsidRPr="00904FCB">
        <w:rPr>
          <w:rStyle w:val="ac"/>
          <w:sz w:val="27"/>
          <w:rtl/>
        </w:rPr>
        <w:endnoteReference w:id="684"/>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صحيح</w:t>
      </w:r>
      <w:r w:rsidR="00001F07" w:rsidRPr="00904FCB">
        <w:rPr>
          <w:rFonts w:hint="cs"/>
          <w:sz w:val="27"/>
          <w:rtl/>
        </w:rPr>
        <w:t>ٌ</w:t>
      </w:r>
      <w:r w:rsidRPr="00904FCB">
        <w:rPr>
          <w:rFonts w:hint="cs"/>
          <w:sz w:val="27"/>
          <w:rtl/>
        </w:rPr>
        <w:t>؛ ل</w:t>
      </w:r>
      <w:r w:rsidR="00001F07" w:rsidRPr="00904FCB">
        <w:rPr>
          <w:rFonts w:hint="cs"/>
          <w:sz w:val="27"/>
          <w:rtl/>
        </w:rPr>
        <w:t>وثاقة</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رجالها</w:t>
      </w:r>
      <w:r w:rsidRPr="00904FCB">
        <w:rPr>
          <w:sz w:val="27"/>
          <w:rtl/>
        </w:rPr>
        <w:t xml:space="preserve"> </w:t>
      </w:r>
      <w:r w:rsidRPr="00904FCB">
        <w:rPr>
          <w:rFonts w:hint="cs"/>
          <w:sz w:val="27"/>
          <w:rtl/>
        </w:rPr>
        <w:t>بلا</w:t>
      </w:r>
      <w:r w:rsidRPr="00904FCB">
        <w:rPr>
          <w:sz w:val="27"/>
          <w:rtl/>
        </w:rPr>
        <w:t xml:space="preserve"> </w:t>
      </w:r>
      <w:r w:rsidRPr="00904FCB">
        <w:rPr>
          <w:rFonts w:hint="cs"/>
          <w:sz w:val="27"/>
          <w:rtl/>
        </w:rPr>
        <w:t>كلام</w:t>
      </w:r>
      <w:r w:rsidRPr="00904FCB">
        <w:rPr>
          <w:sz w:val="27"/>
          <w:rtl/>
        </w:rPr>
        <w:t xml:space="preserve">. </w:t>
      </w:r>
    </w:p>
    <w:p w:rsidR="00001F07"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دلالتها فإنّه</w:t>
      </w:r>
      <w:r w:rsidRPr="00904FCB">
        <w:rPr>
          <w:sz w:val="27"/>
          <w:rtl/>
        </w:rPr>
        <w:t xml:space="preserve"> </w:t>
      </w:r>
      <w:r w:rsidRPr="00904FCB">
        <w:rPr>
          <w:rFonts w:hint="cs"/>
          <w:sz w:val="27"/>
          <w:rtl/>
        </w:rPr>
        <w:t>يقال</w:t>
      </w:r>
      <w:r w:rsidRPr="00904FCB">
        <w:rPr>
          <w:sz w:val="27"/>
          <w:rtl/>
        </w:rPr>
        <w:t xml:space="preserve">: </w:t>
      </w:r>
      <w:r w:rsidRPr="00904FCB">
        <w:rPr>
          <w:rFonts w:hint="cs"/>
          <w:sz w:val="27"/>
          <w:rtl/>
        </w:rPr>
        <w:t>إنّها</w:t>
      </w:r>
      <w:r w:rsidRPr="00904FCB">
        <w:rPr>
          <w:sz w:val="27"/>
          <w:rtl/>
        </w:rPr>
        <w:t xml:space="preserve"> </w:t>
      </w:r>
      <w:r w:rsidRPr="00904FCB">
        <w:rPr>
          <w:rFonts w:hint="cs"/>
          <w:sz w:val="27"/>
          <w:rtl/>
        </w:rPr>
        <w:t>نه</w:t>
      </w:r>
      <w:r w:rsidR="00001F07" w:rsidRPr="00904FCB">
        <w:rPr>
          <w:rFonts w:hint="cs"/>
          <w:sz w:val="27"/>
          <w:rtl/>
        </w:rPr>
        <w:t>َ</w:t>
      </w:r>
      <w:r w:rsidRPr="00904FCB">
        <w:rPr>
          <w:rFonts w:hint="cs"/>
          <w:sz w:val="27"/>
          <w:rtl/>
        </w:rPr>
        <w:t>ت</w:t>
      </w:r>
      <w:r w:rsidR="00001F0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سؤر</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 وهو</w:t>
      </w:r>
      <w:r w:rsidRPr="00904FCB">
        <w:rPr>
          <w:sz w:val="27"/>
          <w:rtl/>
        </w:rPr>
        <w:t xml:space="preserve"> </w:t>
      </w:r>
      <w:r w:rsidRPr="00904FCB">
        <w:rPr>
          <w:rFonts w:hint="cs"/>
          <w:sz w:val="27"/>
          <w:rtl/>
        </w:rPr>
        <w:t>ظاهر</w:t>
      </w:r>
      <w:r w:rsidR="00001F07" w:rsidRPr="00904FCB">
        <w:rPr>
          <w:rFonts w:hint="cs"/>
          <w:sz w:val="27"/>
          <w:rtl/>
        </w:rPr>
        <w:t>ٌ</w:t>
      </w:r>
      <w:r w:rsidRPr="00904FCB">
        <w:rPr>
          <w:sz w:val="27"/>
          <w:rtl/>
        </w:rPr>
        <w:t xml:space="preserve"> </w:t>
      </w:r>
      <w:r w:rsidRPr="00904FCB">
        <w:rPr>
          <w:rFonts w:hint="cs"/>
          <w:sz w:val="27"/>
          <w:rtl/>
        </w:rPr>
        <w:t>جدّاً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السبب</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مباشرتهم</w:t>
      </w:r>
      <w:r w:rsidRPr="00904FCB">
        <w:rPr>
          <w:sz w:val="27"/>
          <w:rtl/>
        </w:rPr>
        <w:t xml:space="preserve"> </w:t>
      </w:r>
      <w:r w:rsidRPr="00904FCB">
        <w:rPr>
          <w:rFonts w:hint="cs"/>
          <w:sz w:val="27"/>
          <w:rtl/>
        </w:rPr>
        <w:t>له، وهو</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القليل</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ينفعل</w:t>
      </w:r>
      <w:r w:rsidRPr="00904FCB">
        <w:rPr>
          <w:sz w:val="27"/>
          <w:rtl/>
        </w:rPr>
        <w:t xml:space="preserve"> </w:t>
      </w:r>
      <w:r w:rsidRPr="00904FCB">
        <w:rPr>
          <w:rFonts w:hint="cs"/>
          <w:sz w:val="27"/>
          <w:rtl/>
        </w:rPr>
        <w:t>بالنجاسة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غير</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w:t>
      </w:r>
      <w:r w:rsidR="00001F07" w:rsidRPr="00904FCB">
        <w:rPr>
          <w:rFonts w:hint="cs"/>
          <w:sz w:val="27"/>
          <w:rtl/>
        </w:rPr>
        <w:t>ُ</w:t>
      </w:r>
      <w:r w:rsidRPr="00904FCB">
        <w:rPr>
          <w:rFonts w:hint="cs"/>
          <w:sz w:val="27"/>
          <w:rtl/>
        </w:rPr>
        <w:t>قال</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المعلّ</w:t>
      </w:r>
      <w:r w:rsidR="00001F07" w:rsidRPr="00904FCB">
        <w:rPr>
          <w:rFonts w:hint="cs"/>
          <w:sz w:val="27"/>
          <w:rtl/>
        </w:rPr>
        <w:t>َ</w:t>
      </w:r>
      <w:r w:rsidRPr="00904FCB">
        <w:rPr>
          <w:rFonts w:hint="cs"/>
          <w:sz w:val="27"/>
          <w:rtl/>
        </w:rPr>
        <w:t>ل</w:t>
      </w:r>
      <w:r w:rsidRPr="00904FCB">
        <w:rPr>
          <w:sz w:val="27"/>
          <w:rtl/>
        </w:rPr>
        <w:t xml:space="preserve"> </w:t>
      </w:r>
      <w:r w:rsidRPr="00904FCB">
        <w:rPr>
          <w:rFonts w:hint="cs"/>
          <w:sz w:val="27"/>
          <w:rtl/>
        </w:rPr>
        <w:t>بالنجاسة</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دليلاً</w:t>
      </w:r>
      <w:r w:rsidRPr="00904FCB">
        <w:rPr>
          <w:sz w:val="27"/>
          <w:rtl/>
        </w:rPr>
        <w:t xml:space="preserve"> </w:t>
      </w:r>
      <w:r w:rsidRPr="00904FCB">
        <w:rPr>
          <w:rFonts w:hint="cs"/>
          <w:sz w:val="27"/>
          <w:rtl/>
        </w:rPr>
        <w:t>عليها</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إذا</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تكن</w:t>
      </w:r>
      <w:r w:rsidRPr="00904FCB">
        <w:rPr>
          <w:sz w:val="27"/>
          <w:rtl/>
        </w:rPr>
        <w:t xml:space="preserve"> </w:t>
      </w:r>
      <w:r w:rsidRPr="00904FCB">
        <w:rPr>
          <w:rFonts w:hint="cs"/>
          <w:sz w:val="27"/>
          <w:rtl/>
        </w:rPr>
        <w:t>هناك</w:t>
      </w:r>
      <w:r w:rsidRPr="00904FCB">
        <w:rPr>
          <w:sz w:val="27"/>
          <w:rtl/>
        </w:rPr>
        <w:t xml:space="preserve"> </w:t>
      </w:r>
      <w:r w:rsidRPr="00904FCB">
        <w:rPr>
          <w:rFonts w:hint="cs"/>
          <w:sz w:val="27"/>
          <w:rtl/>
        </w:rPr>
        <w:t>علّة</w:t>
      </w:r>
      <w:r w:rsidR="00001F07" w:rsidRPr="00904FCB">
        <w:rPr>
          <w:rFonts w:hint="cs"/>
          <w:sz w:val="27"/>
          <w:rtl/>
        </w:rPr>
        <w:t>ٌ</w:t>
      </w:r>
      <w:r w:rsidRPr="00904FCB">
        <w:rPr>
          <w:sz w:val="27"/>
          <w:rtl/>
        </w:rPr>
        <w:t xml:space="preserve"> </w:t>
      </w:r>
      <w:r w:rsidRPr="00904FCB">
        <w:rPr>
          <w:rFonts w:hint="cs"/>
          <w:sz w:val="27"/>
          <w:rtl/>
        </w:rPr>
        <w:t>أخرى</w:t>
      </w:r>
      <w:r w:rsidRPr="00904FCB">
        <w:rPr>
          <w:sz w:val="27"/>
          <w:rtl/>
        </w:rPr>
        <w:t xml:space="preserve"> </w:t>
      </w:r>
      <w:r w:rsidRPr="00904FCB">
        <w:rPr>
          <w:rFonts w:hint="cs"/>
          <w:sz w:val="27"/>
          <w:rtl/>
        </w:rPr>
        <w:t>مفترضة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المقام</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اقت</w:t>
      </w:r>
      <w:r w:rsidR="00001F07" w:rsidRPr="00904FCB">
        <w:rPr>
          <w:rFonts w:hint="cs"/>
          <w:sz w:val="27"/>
          <w:rtl/>
        </w:rPr>
        <w:t>َ</w:t>
      </w:r>
      <w:r w:rsidRPr="00904FCB">
        <w:rPr>
          <w:rFonts w:hint="cs"/>
          <w:sz w:val="27"/>
          <w:rtl/>
        </w:rPr>
        <w:t>ض</w:t>
      </w:r>
      <w:r w:rsidR="00001F07" w:rsidRPr="00904FCB">
        <w:rPr>
          <w:rFonts w:hint="cs"/>
          <w:sz w:val="27"/>
          <w:rtl/>
        </w:rPr>
        <w:t>َ</w:t>
      </w:r>
      <w:r w:rsidRPr="00904FCB">
        <w:rPr>
          <w:rFonts w:hint="cs"/>
          <w:sz w:val="27"/>
          <w:rtl/>
        </w:rPr>
        <w:t>ت</w:t>
      </w:r>
      <w:r w:rsidR="00001F07" w:rsidRPr="00904FCB">
        <w:rPr>
          <w:rFonts w:hint="cs"/>
          <w:sz w:val="27"/>
          <w:rtl/>
        </w:rPr>
        <w:t>ْ</w:t>
      </w:r>
      <w:r w:rsidRPr="00904FCB">
        <w:rPr>
          <w:rFonts w:hint="cs"/>
          <w:sz w:val="27"/>
          <w:rtl/>
        </w:rPr>
        <w:t>ه</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ولكن</w:t>
      </w:r>
      <w:r w:rsidR="00001F07" w:rsidRPr="00904FCB">
        <w:rPr>
          <w:rFonts w:hint="cs"/>
          <w:sz w:val="27"/>
          <w:rtl/>
        </w:rPr>
        <w:t>ْ</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القول</w:t>
      </w:r>
      <w:r w:rsidRPr="00904FCB">
        <w:rPr>
          <w:sz w:val="27"/>
          <w:rtl/>
        </w:rPr>
        <w:t xml:space="preserve">: </w:t>
      </w:r>
      <w:r w:rsidRPr="00904FCB">
        <w:rPr>
          <w:rFonts w:hint="cs"/>
          <w:b/>
          <w:bCs/>
          <w:sz w:val="27"/>
          <w:rtl/>
        </w:rPr>
        <w:t>أوّلاً</w:t>
      </w:r>
      <w:r w:rsidRPr="00904FCB">
        <w:rPr>
          <w:sz w:val="27"/>
          <w:rtl/>
        </w:rPr>
        <w:t xml:space="preserve">: </w:t>
      </w:r>
      <w:r w:rsidRPr="00904FCB">
        <w:rPr>
          <w:rFonts w:hint="cs"/>
          <w:sz w:val="27"/>
          <w:rtl/>
        </w:rPr>
        <w:t>إنّه</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للشرب</w:t>
      </w:r>
      <w:r w:rsidRPr="00904FCB">
        <w:rPr>
          <w:sz w:val="27"/>
          <w:rtl/>
        </w:rPr>
        <w:t xml:space="preserve"> </w:t>
      </w:r>
      <w:r w:rsidRPr="00904FCB">
        <w:rPr>
          <w:rFonts w:hint="cs"/>
          <w:sz w:val="27"/>
          <w:rtl/>
        </w:rPr>
        <w:t>خصوصيّة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المعنويّة</w:t>
      </w:r>
      <w:r w:rsidRPr="00904FCB">
        <w:rPr>
          <w:sz w:val="27"/>
          <w:rtl/>
        </w:rPr>
        <w:t xml:space="preserve"> </w:t>
      </w:r>
      <w:r w:rsidRPr="00904FCB">
        <w:rPr>
          <w:rFonts w:hint="cs"/>
          <w:sz w:val="27"/>
          <w:rtl/>
        </w:rPr>
        <w:t>للكفّار، والتي</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أجنبيّة</w:t>
      </w:r>
      <w:r w:rsidR="00001F07"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الماديّة</w:t>
      </w:r>
      <w:r w:rsidRPr="00904FCB">
        <w:rPr>
          <w:sz w:val="27"/>
          <w:rtl/>
        </w:rPr>
        <w:t xml:space="preserve"> </w:t>
      </w:r>
      <w:r w:rsidRPr="00904FCB">
        <w:rPr>
          <w:rFonts w:hint="cs"/>
          <w:sz w:val="27"/>
          <w:rtl/>
        </w:rPr>
        <w:t>المبحوث</w:t>
      </w:r>
      <w:r w:rsidRPr="00904FCB">
        <w:rPr>
          <w:sz w:val="27"/>
          <w:rtl/>
        </w:rPr>
        <w:t xml:space="preserve"> </w:t>
      </w:r>
      <w:r w:rsidRPr="00904FCB">
        <w:rPr>
          <w:rFonts w:hint="cs"/>
          <w:sz w:val="27"/>
          <w:rtl/>
        </w:rPr>
        <w:t>عنها</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وهذا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حدّ</w:t>
      </w:r>
      <w:r w:rsidRPr="00904FCB">
        <w:rPr>
          <w:sz w:val="27"/>
          <w:rtl/>
        </w:rPr>
        <w:t xml:space="preserve"> </w:t>
      </w:r>
      <w:r w:rsidRPr="00904FCB">
        <w:rPr>
          <w:rFonts w:hint="cs"/>
          <w:sz w:val="27"/>
          <w:rtl/>
        </w:rPr>
        <w:t>ذاته</w:t>
      </w:r>
      <w:r w:rsidRPr="00904FCB">
        <w:rPr>
          <w:sz w:val="27"/>
          <w:rtl/>
        </w:rPr>
        <w:t xml:space="preserve"> </w:t>
      </w:r>
      <w:r w:rsidRPr="00904FCB">
        <w:rPr>
          <w:rFonts w:hint="cs"/>
          <w:sz w:val="27"/>
          <w:rtl/>
        </w:rPr>
        <w:t>محتمل</w:t>
      </w:r>
      <w:r w:rsidR="00001F07" w:rsidRPr="00904FCB">
        <w:rPr>
          <w:rFonts w:hint="cs"/>
          <w:sz w:val="27"/>
          <w:rtl/>
        </w:rPr>
        <w:t>ٌ</w:t>
      </w:r>
      <w:r w:rsidRPr="00904FCB">
        <w:rPr>
          <w:rFonts w:hint="cs"/>
          <w:sz w:val="27"/>
          <w:rtl/>
        </w:rPr>
        <w:t>، وإن</w:t>
      </w:r>
      <w:r w:rsidR="00001F07" w:rsidRPr="00904FCB">
        <w:rPr>
          <w:rFonts w:hint="cs"/>
          <w:sz w:val="27"/>
          <w:rtl/>
        </w:rPr>
        <w:t>ْ</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ي</w:t>
      </w:r>
      <w:r w:rsidR="00001F07" w:rsidRPr="00904FCB">
        <w:rPr>
          <w:rFonts w:hint="cs"/>
          <w:sz w:val="27"/>
          <w:rtl/>
        </w:rPr>
        <w:t>َ</w:t>
      </w:r>
      <w:r w:rsidRPr="00904FCB">
        <w:rPr>
          <w:rFonts w:hint="cs"/>
          <w:sz w:val="27"/>
          <w:rtl/>
        </w:rPr>
        <w:t>ر</w:t>
      </w:r>
      <w:r w:rsidR="00001F07" w:rsidRPr="00904FCB">
        <w:rPr>
          <w:rFonts w:hint="cs"/>
          <w:sz w:val="27"/>
          <w:rtl/>
        </w:rPr>
        <w:t>ْ</w:t>
      </w:r>
      <w:r w:rsidRPr="00904FCB">
        <w:rPr>
          <w:rFonts w:hint="cs"/>
          <w:sz w:val="27"/>
          <w:rtl/>
        </w:rPr>
        <w:t>قَ</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درجة</w:t>
      </w:r>
      <w:r w:rsidRPr="00904FCB">
        <w:rPr>
          <w:sz w:val="27"/>
          <w:rtl/>
        </w:rPr>
        <w:t xml:space="preserve"> </w:t>
      </w:r>
      <w:r w:rsidRPr="00904FCB">
        <w:rPr>
          <w:rFonts w:hint="cs"/>
          <w:sz w:val="27"/>
          <w:rtl/>
        </w:rPr>
        <w:t>الظهور</w:t>
      </w:r>
      <w:r w:rsidRPr="00904FCB">
        <w:rPr>
          <w:sz w:val="27"/>
          <w:rtl/>
        </w:rPr>
        <w:t xml:space="preserve">. </w:t>
      </w:r>
      <w:r w:rsidRPr="00904FCB">
        <w:rPr>
          <w:rFonts w:hint="cs"/>
          <w:sz w:val="27"/>
          <w:rtl/>
        </w:rPr>
        <w:t>وقد</w:t>
      </w:r>
      <w:r w:rsidRPr="00904FCB">
        <w:rPr>
          <w:sz w:val="27"/>
          <w:rtl/>
        </w:rPr>
        <w:t xml:space="preserve"> </w:t>
      </w:r>
      <w:r w:rsidRPr="00904FCB">
        <w:rPr>
          <w:rFonts w:hint="cs"/>
          <w:sz w:val="27"/>
          <w:rtl/>
        </w:rPr>
        <w:t>أش</w:t>
      </w:r>
      <w:r w:rsidR="00001F07" w:rsidRPr="00904FCB">
        <w:rPr>
          <w:rFonts w:hint="cs"/>
          <w:sz w:val="27"/>
          <w:rtl/>
        </w:rPr>
        <w:t>َ</w:t>
      </w:r>
      <w:r w:rsidRPr="00904FCB">
        <w:rPr>
          <w:rFonts w:hint="cs"/>
          <w:sz w:val="27"/>
          <w:rtl/>
        </w:rPr>
        <w:t>ر</w:t>
      </w:r>
      <w:r w:rsidR="00001F07" w:rsidRPr="00904FCB">
        <w:rPr>
          <w:rFonts w:hint="cs"/>
          <w:sz w:val="27"/>
          <w:rtl/>
        </w:rPr>
        <w:t>ْ</w:t>
      </w:r>
      <w:r w:rsidRPr="00904FCB">
        <w:rPr>
          <w:rFonts w:hint="cs"/>
          <w:sz w:val="27"/>
          <w:rtl/>
        </w:rPr>
        <w:t>نا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نظيره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السابقة</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الحديث</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مسح</w:t>
      </w:r>
      <w:r w:rsidRPr="00904FCB">
        <w:rPr>
          <w:sz w:val="27"/>
          <w:rtl/>
        </w:rPr>
        <w:t xml:space="preserve"> </w:t>
      </w:r>
      <w:r w:rsidRPr="00904FCB">
        <w:rPr>
          <w:rFonts w:hint="cs"/>
          <w:sz w:val="27"/>
          <w:rtl/>
        </w:rPr>
        <w:t>اليد</w:t>
      </w:r>
      <w:r w:rsidRPr="00904FCB">
        <w:rPr>
          <w:sz w:val="27"/>
          <w:rtl/>
        </w:rPr>
        <w:t xml:space="preserve"> </w:t>
      </w:r>
      <w:r w:rsidRPr="00904FCB">
        <w:rPr>
          <w:rFonts w:hint="cs"/>
          <w:sz w:val="27"/>
          <w:rtl/>
        </w:rPr>
        <w:t>بالحائط</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التراب</w:t>
      </w:r>
      <w:r w:rsidR="00001F07" w:rsidRPr="00904FCB">
        <w:rPr>
          <w:rFonts w:hint="cs"/>
          <w:sz w:val="27"/>
          <w:rtl/>
        </w:rPr>
        <w:t>؛</w:t>
      </w:r>
      <w:r w:rsidRPr="00904FCB">
        <w:rPr>
          <w:sz w:val="27"/>
          <w:rtl/>
        </w:rPr>
        <w:t xml:space="preserve"> </w:t>
      </w:r>
      <w:r w:rsidRPr="00904FCB">
        <w:rPr>
          <w:rFonts w:hint="cs"/>
          <w:sz w:val="27"/>
          <w:rtl/>
        </w:rPr>
        <w:t>لملامستها</w:t>
      </w:r>
      <w:r w:rsidRPr="00904FCB">
        <w:rPr>
          <w:sz w:val="27"/>
          <w:rtl/>
        </w:rPr>
        <w:t xml:space="preserve"> </w:t>
      </w:r>
      <w:r w:rsidRPr="00904FCB">
        <w:rPr>
          <w:rFonts w:hint="cs"/>
          <w:sz w:val="27"/>
          <w:rtl/>
        </w:rPr>
        <w:t>لهم</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ثانياً</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يتورّ</w:t>
      </w:r>
      <w:r w:rsidR="00001F07" w:rsidRPr="00904FCB">
        <w:rPr>
          <w:rFonts w:hint="cs"/>
          <w:sz w:val="27"/>
          <w:rtl/>
        </w:rPr>
        <w:t>َ</w:t>
      </w:r>
      <w:r w:rsidRPr="00904FCB">
        <w:rPr>
          <w:rFonts w:hint="cs"/>
          <w:sz w:val="27"/>
          <w:rtl/>
        </w:rPr>
        <w:t>عون</w:t>
      </w:r>
      <w:r w:rsidRPr="00904FCB">
        <w:rPr>
          <w:sz w:val="27"/>
          <w:rtl/>
        </w:rPr>
        <w:t xml:space="preserve"> </w:t>
      </w:r>
      <w:r w:rsidRPr="00904FCB">
        <w:rPr>
          <w:rFonts w:hint="cs"/>
          <w:sz w:val="27"/>
          <w:rtl/>
        </w:rPr>
        <w:t>عنه من</w:t>
      </w:r>
      <w:r w:rsidRPr="00904FCB">
        <w:rPr>
          <w:sz w:val="27"/>
          <w:rtl/>
        </w:rPr>
        <w:t xml:space="preserve"> </w:t>
      </w:r>
      <w:r w:rsidRPr="00904FCB">
        <w:rPr>
          <w:rFonts w:hint="cs"/>
          <w:sz w:val="27"/>
          <w:rtl/>
        </w:rPr>
        <w:t>مساورة</w:t>
      </w:r>
      <w:r w:rsidRPr="00904FCB">
        <w:rPr>
          <w:sz w:val="27"/>
          <w:rtl/>
        </w:rPr>
        <w:t xml:space="preserve"> </w:t>
      </w:r>
      <w:r w:rsidRPr="00904FCB">
        <w:rPr>
          <w:rFonts w:hint="cs"/>
          <w:sz w:val="27"/>
          <w:rtl/>
        </w:rPr>
        <w:t>النجاسات</w:t>
      </w:r>
      <w:r w:rsidR="008C2812"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ينفكُّ</w:t>
      </w:r>
      <w:r w:rsidRPr="00904FCB">
        <w:rPr>
          <w:sz w:val="27"/>
          <w:rtl/>
        </w:rPr>
        <w:t xml:space="preserve"> </w:t>
      </w:r>
      <w:r w:rsidRPr="00904FCB">
        <w:rPr>
          <w:rFonts w:hint="cs"/>
          <w:sz w:val="27"/>
          <w:rtl/>
        </w:rPr>
        <w:t>عنها</w:t>
      </w:r>
      <w:r w:rsidRPr="00904FCB">
        <w:rPr>
          <w:sz w:val="27"/>
          <w:rtl/>
        </w:rPr>
        <w:t xml:space="preserve"> </w:t>
      </w:r>
      <w:r w:rsidRPr="00904FCB">
        <w:rPr>
          <w:rFonts w:hint="cs"/>
          <w:sz w:val="27"/>
          <w:rtl/>
        </w:rPr>
        <w:t>أحدهم</w:t>
      </w:r>
      <w:r w:rsidRPr="00904FCB">
        <w:rPr>
          <w:sz w:val="27"/>
          <w:rtl/>
        </w:rPr>
        <w:t xml:space="preserve"> </w:t>
      </w:r>
      <w:r w:rsidRPr="00904FCB">
        <w:rPr>
          <w:rFonts w:hint="cs"/>
          <w:sz w:val="27"/>
          <w:rtl/>
        </w:rPr>
        <w:t>عادةً، من</w:t>
      </w:r>
      <w:r w:rsidRPr="00904FCB">
        <w:rPr>
          <w:sz w:val="27"/>
          <w:rtl/>
        </w:rPr>
        <w:t xml:space="preserve"> </w:t>
      </w:r>
      <w:r w:rsidRPr="00904FCB">
        <w:rPr>
          <w:rFonts w:hint="cs"/>
          <w:sz w:val="27"/>
          <w:rtl/>
        </w:rPr>
        <w:t>شرب</w:t>
      </w:r>
      <w:r w:rsidRPr="00904FCB">
        <w:rPr>
          <w:sz w:val="27"/>
          <w:rtl/>
        </w:rPr>
        <w:t xml:space="preserve"> </w:t>
      </w:r>
      <w:r w:rsidRPr="00904FCB">
        <w:rPr>
          <w:rFonts w:hint="cs"/>
          <w:sz w:val="27"/>
          <w:rtl/>
        </w:rPr>
        <w:t>للخمر</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أكل</w:t>
      </w:r>
      <w:r w:rsidRPr="00904FCB">
        <w:rPr>
          <w:sz w:val="27"/>
          <w:rtl/>
        </w:rPr>
        <w:t xml:space="preserve"> </w:t>
      </w:r>
      <w:r w:rsidRPr="00904FCB">
        <w:rPr>
          <w:rFonts w:hint="cs"/>
          <w:sz w:val="27"/>
          <w:rtl/>
        </w:rPr>
        <w:t>الميتة</w:t>
      </w:r>
      <w:r w:rsidRPr="00904FCB">
        <w:rPr>
          <w:sz w:val="27"/>
          <w:rtl/>
        </w:rPr>
        <w:t xml:space="preserve"> </w:t>
      </w:r>
      <w:r w:rsidRPr="00904FCB">
        <w:rPr>
          <w:rFonts w:hint="cs"/>
          <w:sz w:val="27"/>
          <w:rtl/>
        </w:rPr>
        <w:t>بح</w:t>
      </w:r>
      <w:r w:rsidR="008C2812" w:rsidRPr="00904FCB">
        <w:rPr>
          <w:rFonts w:hint="cs"/>
          <w:sz w:val="27"/>
          <w:rtl/>
        </w:rPr>
        <w:t>َ</w:t>
      </w:r>
      <w:r w:rsidRPr="00904FCB">
        <w:rPr>
          <w:rFonts w:hint="cs"/>
          <w:sz w:val="27"/>
          <w:rtl/>
        </w:rPr>
        <w:t>س</w:t>
      </w:r>
      <w:r w:rsidR="008C2812" w:rsidRPr="00904FCB">
        <w:rPr>
          <w:rFonts w:hint="cs"/>
          <w:sz w:val="27"/>
          <w:rtl/>
        </w:rPr>
        <w:t>َ</w:t>
      </w:r>
      <w:r w:rsidRPr="00904FCB">
        <w:rPr>
          <w:rFonts w:hint="cs"/>
          <w:sz w:val="27"/>
          <w:rtl/>
        </w:rPr>
        <w:t>ب</w:t>
      </w:r>
      <w:r w:rsidRPr="00904FCB">
        <w:rPr>
          <w:sz w:val="27"/>
          <w:rtl/>
        </w:rPr>
        <w:t xml:space="preserve"> </w:t>
      </w:r>
      <w:r w:rsidRPr="00904FCB">
        <w:rPr>
          <w:rFonts w:hint="cs"/>
          <w:sz w:val="27"/>
          <w:rtl/>
        </w:rPr>
        <w:t>فقهنا</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يستحلّ</w:t>
      </w:r>
      <w:r w:rsidRPr="00904FCB">
        <w:rPr>
          <w:sz w:val="27"/>
          <w:rtl/>
        </w:rPr>
        <w:t xml:space="preserve"> </w:t>
      </w:r>
      <w:r w:rsidRPr="00904FCB">
        <w:rPr>
          <w:rFonts w:hint="cs"/>
          <w:sz w:val="27"/>
          <w:rtl/>
        </w:rPr>
        <w:t>ذبائحهم</w:t>
      </w:r>
      <w:r w:rsidRPr="00904FCB">
        <w:rPr>
          <w:sz w:val="27"/>
          <w:rtl/>
        </w:rPr>
        <w:t xml:space="preserve">. </w:t>
      </w:r>
    </w:p>
    <w:p w:rsidR="00F34FB9" w:rsidRPr="00904FCB" w:rsidRDefault="00F34FB9" w:rsidP="00B2457B">
      <w:pPr>
        <w:spacing w:line="400" w:lineRule="exact"/>
        <w:rPr>
          <w:sz w:val="27"/>
          <w:rtl/>
        </w:rPr>
      </w:pPr>
      <w:r w:rsidRPr="00904FCB">
        <w:rPr>
          <w:rFonts w:hint="cs"/>
          <w:b/>
          <w:bCs/>
          <w:sz w:val="27"/>
          <w:rtl/>
        </w:rPr>
        <w:t>ثالثاً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w:t>
      </w:r>
      <w:r w:rsidR="008C2812" w:rsidRPr="00904FCB">
        <w:rPr>
          <w:rFonts w:hint="cs"/>
          <w:sz w:val="27"/>
          <w:rtl/>
        </w:rPr>
        <w:t>ُ</w:t>
      </w:r>
      <w:r w:rsidRPr="00904FCB">
        <w:rPr>
          <w:rFonts w:hint="cs"/>
          <w:sz w:val="27"/>
          <w:rtl/>
        </w:rPr>
        <w:t>دّ</w:t>
      </w:r>
      <w:r w:rsidR="008C2812"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التنزيه</w:t>
      </w:r>
      <w:r w:rsidR="008C2812" w:rsidRPr="00904FCB">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الحرمة؛ وذلك</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أباحت</w:t>
      </w:r>
      <w:r w:rsidRPr="00904FCB">
        <w:rPr>
          <w:sz w:val="27"/>
          <w:rtl/>
        </w:rPr>
        <w:t xml:space="preserve"> </w:t>
      </w:r>
      <w:r w:rsidRPr="00904FCB">
        <w:rPr>
          <w:rFonts w:hint="cs"/>
          <w:sz w:val="27"/>
          <w:rtl/>
        </w:rPr>
        <w:t>التوضّ</w:t>
      </w:r>
      <w:r w:rsidR="008C2812" w:rsidRPr="00904FCB">
        <w:rPr>
          <w:rFonts w:hint="cs"/>
          <w:sz w:val="27"/>
          <w:rtl/>
        </w:rPr>
        <w:t>ُ</w:t>
      </w:r>
      <w:r w:rsidRPr="00904FCB">
        <w:rPr>
          <w:rFonts w:hint="cs"/>
          <w:sz w:val="27"/>
          <w:rtl/>
        </w:rPr>
        <w:t>ؤ</w:t>
      </w:r>
      <w:r w:rsidRPr="00904FCB">
        <w:rPr>
          <w:sz w:val="27"/>
          <w:rtl/>
        </w:rPr>
        <w:t xml:space="preserve"> </w:t>
      </w:r>
      <w:r w:rsidRPr="00904FCB">
        <w:rPr>
          <w:rFonts w:hint="cs"/>
          <w:sz w:val="27"/>
          <w:rtl/>
        </w:rPr>
        <w:t>بأسآرهم، وهي</w:t>
      </w:r>
      <w:r w:rsidRPr="00904FCB">
        <w:rPr>
          <w:sz w:val="27"/>
          <w:rtl/>
        </w:rPr>
        <w:t xml:space="preserve"> </w:t>
      </w:r>
      <w:r w:rsidRPr="00904FCB">
        <w:rPr>
          <w:rFonts w:hint="cs"/>
          <w:sz w:val="27"/>
          <w:rtl/>
        </w:rPr>
        <w:t>موثّ</w:t>
      </w:r>
      <w:r w:rsidR="008C2812" w:rsidRPr="00904FCB">
        <w:rPr>
          <w:rFonts w:hint="cs"/>
          <w:sz w:val="27"/>
          <w:rtl/>
        </w:rPr>
        <w:t>َ</w:t>
      </w:r>
      <w:r w:rsidRPr="00904FCB">
        <w:rPr>
          <w:rFonts w:hint="cs"/>
          <w:sz w:val="27"/>
          <w:rtl/>
        </w:rPr>
        <w:t>قة</w:t>
      </w:r>
      <w:r w:rsidRPr="00904FCB">
        <w:rPr>
          <w:sz w:val="27"/>
          <w:rtl/>
        </w:rPr>
        <w:t xml:space="preserve"> </w:t>
      </w:r>
      <w:r w:rsidRPr="00904FCB">
        <w:rPr>
          <w:rFonts w:hint="cs"/>
          <w:sz w:val="27"/>
          <w:rtl/>
        </w:rPr>
        <w:t>عمّار</w:t>
      </w:r>
      <w:r w:rsidRPr="00904FCB">
        <w:rPr>
          <w:sz w:val="27"/>
          <w:rtl/>
        </w:rPr>
        <w:t xml:space="preserve"> </w:t>
      </w:r>
      <w:r w:rsidRPr="00904FCB">
        <w:rPr>
          <w:rFonts w:hint="cs"/>
          <w:sz w:val="27"/>
          <w:rtl/>
        </w:rPr>
        <w:t>الساباطي</w:t>
      </w:r>
      <w:r w:rsidR="00B2457B" w:rsidRPr="00904FCB">
        <w:rPr>
          <w:rFonts w:hint="cs"/>
          <w:sz w:val="27"/>
          <w:rtl/>
        </w:rPr>
        <w:t>.</w:t>
      </w:r>
    </w:p>
    <w:p w:rsidR="00F34FB9" w:rsidRPr="00904FCB" w:rsidRDefault="00F34FB9" w:rsidP="007A21AA">
      <w:pPr>
        <w:spacing w:line="400" w:lineRule="exact"/>
        <w:rPr>
          <w:sz w:val="27"/>
          <w:rtl/>
        </w:rPr>
      </w:pPr>
      <w:r w:rsidRPr="00904FCB">
        <w:rPr>
          <w:rFonts w:hint="cs"/>
          <w:sz w:val="27"/>
          <w:rtl/>
        </w:rPr>
        <w:lastRenderedPageBreak/>
        <w:t>هذا</w:t>
      </w:r>
      <w:r w:rsidRPr="00904FCB">
        <w:rPr>
          <w:sz w:val="27"/>
          <w:rtl/>
        </w:rPr>
        <w:t xml:space="preserve"> </w:t>
      </w:r>
      <w:r w:rsidRPr="00904FCB">
        <w:rPr>
          <w:rFonts w:hint="cs"/>
          <w:sz w:val="27"/>
          <w:rtl/>
        </w:rPr>
        <w:t>وقد</w:t>
      </w:r>
      <w:r w:rsidRPr="00904FCB">
        <w:rPr>
          <w:sz w:val="27"/>
          <w:rtl/>
        </w:rPr>
        <w:t xml:space="preserve"> </w:t>
      </w:r>
      <w:r w:rsidRPr="00904FCB">
        <w:rPr>
          <w:rFonts w:hint="cs"/>
          <w:sz w:val="27"/>
          <w:rtl/>
        </w:rPr>
        <w:t>اتّ</w:t>
      </w:r>
      <w:r w:rsidR="008C2812" w:rsidRPr="00904FCB">
        <w:rPr>
          <w:rFonts w:hint="cs"/>
          <w:sz w:val="27"/>
          <w:rtl/>
        </w:rPr>
        <w:t>َ</w:t>
      </w:r>
      <w:r w:rsidRPr="00904FCB">
        <w:rPr>
          <w:rFonts w:hint="cs"/>
          <w:sz w:val="27"/>
          <w:rtl/>
        </w:rPr>
        <w:t>ضح</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ذكرناه</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ينبغي</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w:t>
      </w:r>
      <w:r w:rsidR="008C2812" w:rsidRPr="00904FCB">
        <w:rPr>
          <w:rFonts w:hint="cs"/>
          <w:sz w:val="27"/>
          <w:rtl/>
        </w:rPr>
        <w:t>ُ</w:t>
      </w:r>
      <w:r w:rsidRPr="00904FCB">
        <w:rPr>
          <w:rFonts w:hint="cs"/>
          <w:sz w:val="27"/>
          <w:rtl/>
        </w:rPr>
        <w:t>قال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الرابعة</w:t>
      </w:r>
      <w:r w:rsidRPr="00904FCB">
        <w:rPr>
          <w:sz w:val="27"/>
          <w:rtl/>
        </w:rPr>
        <w:t xml:space="preserve"> </w:t>
      </w:r>
      <w:r w:rsidRPr="00904FCB">
        <w:rPr>
          <w:rFonts w:hint="cs"/>
          <w:sz w:val="27"/>
          <w:rtl/>
        </w:rPr>
        <w:t>عشرة</w:t>
      </w:r>
      <w:r w:rsidRPr="00904FCB">
        <w:rPr>
          <w:sz w:val="27"/>
          <w:rtl/>
        </w:rPr>
        <w:t xml:space="preserve"> </w:t>
      </w:r>
      <w:r w:rsidRPr="00904FCB">
        <w:rPr>
          <w:rFonts w:hint="cs"/>
          <w:sz w:val="27"/>
          <w:rtl/>
        </w:rPr>
        <w:t>الآتية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والمتحصّ</w:t>
      </w:r>
      <w:r w:rsidR="008C2812" w:rsidRPr="00904FCB">
        <w:rPr>
          <w:rFonts w:hint="cs"/>
          <w:sz w:val="27"/>
          <w:rtl/>
        </w:rPr>
        <w:t>ِ</w:t>
      </w:r>
      <w:r w:rsidRPr="00904FCB">
        <w:rPr>
          <w:rFonts w:hint="cs"/>
          <w:sz w:val="27"/>
          <w:rtl/>
        </w:rPr>
        <w:t>ل</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w:t>
      </w:r>
      <w:r w:rsidR="008C2812" w:rsidRPr="00904FCB">
        <w:rPr>
          <w:rFonts w:hint="cs"/>
          <w:sz w:val="27"/>
          <w:rtl/>
        </w:rPr>
        <w:t>ُ</w:t>
      </w:r>
      <w:r w:rsidRPr="00904FCB">
        <w:rPr>
          <w:rFonts w:hint="cs"/>
          <w:sz w:val="27"/>
          <w:rtl/>
        </w:rPr>
        <w:t>ع</w:t>
      </w:r>
      <w:r w:rsidR="008C2812" w:rsidRPr="00904FCB">
        <w:rPr>
          <w:rFonts w:hint="cs"/>
          <w:sz w:val="27"/>
          <w:rtl/>
        </w:rPr>
        <w:t>َ</w:t>
      </w:r>
      <w:r w:rsidRPr="00904FCB">
        <w:rPr>
          <w:rFonts w:hint="cs"/>
          <w:sz w:val="27"/>
          <w:rtl/>
        </w:rPr>
        <w:t>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الأدلّة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التاسعة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الطوسي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التهذيب،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وبِإِسْنَادِهِ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سَأَلَ</w:t>
      </w:r>
      <w:r w:rsidRPr="00904FCB">
        <w:rPr>
          <w:sz w:val="27"/>
          <w:rtl/>
        </w:rPr>
        <w:t xml:space="preserve"> </w:t>
      </w:r>
      <w:r w:rsidRPr="00904FCB">
        <w:rPr>
          <w:rFonts w:hint="cs"/>
          <w:sz w:val="27"/>
          <w:rtl/>
        </w:rPr>
        <w:t>أَخَاهُ</w:t>
      </w:r>
      <w:r w:rsidRPr="00904FCB">
        <w:rPr>
          <w:sz w:val="27"/>
          <w:rtl/>
        </w:rPr>
        <w:t xml:space="preserve"> </w:t>
      </w:r>
      <w:r w:rsidRPr="00904FCB">
        <w:rPr>
          <w:rFonts w:hint="cs"/>
          <w:sz w:val="27"/>
          <w:rtl/>
        </w:rPr>
        <w:t>مُوسَى</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النَّصْرَانِيِّ</w:t>
      </w:r>
      <w:r w:rsidRPr="00904FCB">
        <w:rPr>
          <w:sz w:val="27"/>
          <w:rtl/>
        </w:rPr>
        <w:t xml:space="preserve"> </w:t>
      </w:r>
      <w:r w:rsidRPr="00904FCB">
        <w:rPr>
          <w:rFonts w:hint="cs"/>
          <w:sz w:val="27"/>
          <w:rtl/>
        </w:rPr>
        <w:t>يَغْتَسِلُ</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الْمُسْلِمِ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الْحَمَّامِ</w:t>
      </w:r>
      <w:r w:rsidR="008C2812"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إِذَا</w:t>
      </w:r>
      <w:r w:rsidRPr="00904FCB">
        <w:rPr>
          <w:sz w:val="27"/>
          <w:rtl/>
        </w:rPr>
        <w:t xml:space="preserve"> </w:t>
      </w:r>
      <w:r w:rsidRPr="00904FCB">
        <w:rPr>
          <w:rFonts w:hint="cs"/>
          <w:sz w:val="27"/>
          <w:rtl/>
        </w:rPr>
        <w:t>عَلِمَ</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نَصْرَانِيٌّ</w:t>
      </w:r>
      <w:r w:rsidRPr="00904FCB">
        <w:rPr>
          <w:sz w:val="27"/>
          <w:rtl/>
        </w:rPr>
        <w:t xml:space="preserve"> </w:t>
      </w:r>
      <w:r w:rsidRPr="00904FCB">
        <w:rPr>
          <w:rFonts w:hint="cs"/>
          <w:sz w:val="27"/>
          <w:rtl/>
        </w:rPr>
        <w:t>اغْتَسَلَ</w:t>
      </w:r>
      <w:r w:rsidRPr="00904FCB">
        <w:rPr>
          <w:sz w:val="27"/>
          <w:rtl/>
        </w:rPr>
        <w:t xml:space="preserve"> </w:t>
      </w:r>
      <w:r w:rsidRPr="00904FCB">
        <w:rPr>
          <w:rFonts w:hint="cs"/>
          <w:sz w:val="27"/>
          <w:rtl/>
        </w:rPr>
        <w:t>بِغَيْرِ</w:t>
      </w:r>
      <w:r w:rsidRPr="00904FCB">
        <w:rPr>
          <w:sz w:val="27"/>
          <w:rtl/>
        </w:rPr>
        <w:t xml:space="preserve"> </w:t>
      </w:r>
      <w:r w:rsidRPr="00904FCB">
        <w:rPr>
          <w:rFonts w:hint="cs"/>
          <w:sz w:val="27"/>
          <w:rtl/>
        </w:rPr>
        <w:t>مَاءِ</w:t>
      </w:r>
      <w:r w:rsidRPr="00904FCB">
        <w:rPr>
          <w:sz w:val="27"/>
          <w:rtl/>
        </w:rPr>
        <w:t xml:space="preserve"> </w:t>
      </w:r>
      <w:r w:rsidRPr="00904FCB">
        <w:rPr>
          <w:rFonts w:hint="cs"/>
          <w:sz w:val="27"/>
          <w:rtl/>
        </w:rPr>
        <w:t>الْحَمَّامِ، إِلاّ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يَغْتَسِلَ</w:t>
      </w:r>
      <w:r w:rsidRPr="00904FCB">
        <w:rPr>
          <w:sz w:val="27"/>
          <w:rtl/>
        </w:rPr>
        <w:t xml:space="preserve"> </w:t>
      </w:r>
      <w:r w:rsidRPr="00904FCB">
        <w:rPr>
          <w:rFonts w:hint="cs"/>
          <w:sz w:val="27"/>
          <w:rtl/>
        </w:rPr>
        <w:t>وَحْدَهُ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الْحَوْضِ</w:t>
      </w:r>
      <w:r w:rsidR="008C2812" w:rsidRPr="00904FCB">
        <w:rPr>
          <w:rFonts w:hint="cs"/>
          <w:sz w:val="27"/>
          <w:rtl/>
        </w:rPr>
        <w:t>،</w:t>
      </w:r>
      <w:r w:rsidRPr="00904FCB">
        <w:rPr>
          <w:sz w:val="27"/>
          <w:rtl/>
        </w:rPr>
        <w:t xml:space="preserve"> </w:t>
      </w:r>
      <w:r w:rsidRPr="00904FCB">
        <w:rPr>
          <w:rFonts w:hint="cs"/>
          <w:sz w:val="27"/>
          <w:rtl/>
        </w:rPr>
        <w:t>فَيَغْسِلُهُ</w:t>
      </w:r>
      <w:r w:rsidRPr="00904FCB">
        <w:rPr>
          <w:sz w:val="27"/>
          <w:rtl/>
        </w:rPr>
        <w:t xml:space="preserve"> </w:t>
      </w:r>
      <w:r w:rsidRPr="00904FCB">
        <w:rPr>
          <w:rFonts w:hint="cs"/>
          <w:sz w:val="27"/>
          <w:rtl/>
        </w:rPr>
        <w:t>ثُمَّ</w:t>
      </w:r>
      <w:r w:rsidRPr="00904FCB">
        <w:rPr>
          <w:sz w:val="27"/>
          <w:rtl/>
        </w:rPr>
        <w:t xml:space="preserve"> </w:t>
      </w:r>
      <w:r w:rsidRPr="00904FCB">
        <w:rPr>
          <w:rFonts w:hint="cs"/>
          <w:sz w:val="27"/>
          <w:rtl/>
        </w:rPr>
        <w:t>يَغْتَسِلُ</w:t>
      </w:r>
      <w:r w:rsidRPr="00904FCB">
        <w:rPr>
          <w:sz w:val="27"/>
          <w:rtl/>
        </w:rPr>
        <w:t xml:space="preserve">. </w:t>
      </w:r>
      <w:r w:rsidRPr="00904FCB">
        <w:rPr>
          <w:rFonts w:hint="cs"/>
          <w:sz w:val="27"/>
          <w:rtl/>
        </w:rPr>
        <w:t>وسَأَلَهُ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w:t>
      </w:r>
      <w:r w:rsidRPr="00904FCB">
        <w:rPr>
          <w:sz w:val="27"/>
          <w:rtl/>
        </w:rPr>
        <w:t xml:space="preserve"> </w:t>
      </w:r>
      <w:r w:rsidRPr="00904FCB">
        <w:rPr>
          <w:rFonts w:hint="cs"/>
          <w:sz w:val="27"/>
          <w:rtl/>
        </w:rPr>
        <w:t>يُدْخِلُ</w:t>
      </w:r>
      <w:r w:rsidRPr="00904FCB">
        <w:rPr>
          <w:sz w:val="27"/>
          <w:rtl/>
        </w:rPr>
        <w:t xml:space="preserve"> </w:t>
      </w:r>
      <w:r w:rsidRPr="00904FCB">
        <w:rPr>
          <w:rFonts w:hint="cs"/>
          <w:sz w:val="27"/>
          <w:rtl/>
        </w:rPr>
        <w:t>يَدَهُ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الْمَاءِ</w:t>
      </w:r>
      <w:r w:rsidRPr="00904FCB">
        <w:rPr>
          <w:sz w:val="27"/>
          <w:rtl/>
        </w:rPr>
        <w:t xml:space="preserve"> </w:t>
      </w:r>
      <w:r w:rsidRPr="00904FCB">
        <w:rPr>
          <w:rFonts w:hint="cs"/>
          <w:sz w:val="27"/>
          <w:rtl/>
        </w:rPr>
        <w:t>أَيَتَوَضَّأُ</w:t>
      </w:r>
      <w:r w:rsidRPr="00904FCB">
        <w:rPr>
          <w:sz w:val="27"/>
          <w:rtl/>
        </w:rPr>
        <w:t xml:space="preserve"> </w:t>
      </w:r>
      <w:r w:rsidRPr="00904FCB">
        <w:rPr>
          <w:rFonts w:hint="cs"/>
          <w:sz w:val="27"/>
          <w:rtl/>
        </w:rPr>
        <w:t>مِنْهُ</w:t>
      </w:r>
      <w:r w:rsidRPr="00904FCB">
        <w:rPr>
          <w:sz w:val="27"/>
          <w:rtl/>
        </w:rPr>
        <w:t xml:space="preserve"> </w:t>
      </w:r>
      <w:r w:rsidRPr="00904FCB">
        <w:rPr>
          <w:rFonts w:hint="cs"/>
          <w:sz w:val="27"/>
          <w:rtl/>
        </w:rPr>
        <w:t>لِلصَّلاةِ؟ قَالَ</w:t>
      </w:r>
      <w:r w:rsidRPr="00904FCB">
        <w:rPr>
          <w:sz w:val="27"/>
          <w:rtl/>
        </w:rPr>
        <w:t xml:space="preserve">: </w:t>
      </w:r>
      <w:r w:rsidRPr="00904FCB">
        <w:rPr>
          <w:rFonts w:hint="cs"/>
          <w:sz w:val="27"/>
          <w:rtl/>
        </w:rPr>
        <w:t>لا، إِلاّ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يُضْطَرَّ</w:t>
      </w:r>
      <w:r w:rsidRPr="00904FCB">
        <w:rPr>
          <w:sz w:val="27"/>
          <w:rtl/>
        </w:rPr>
        <w:t xml:space="preserve"> </w:t>
      </w:r>
      <w:r w:rsidRPr="00904FCB">
        <w:rPr>
          <w:rFonts w:hint="cs"/>
          <w:sz w:val="27"/>
          <w:rtl/>
        </w:rPr>
        <w:t>إِلَيْهِ</w:t>
      </w:r>
      <w:r w:rsidRPr="00904FCB">
        <w:rPr>
          <w:rFonts w:hint="eastAsia"/>
          <w:sz w:val="27"/>
          <w:rtl/>
        </w:rPr>
        <w:t>»</w:t>
      </w:r>
      <w:r w:rsidRPr="00904FCB">
        <w:rPr>
          <w:rFonts w:hint="cs"/>
          <w:sz w:val="27"/>
          <w:vertAlign w:val="superscript"/>
          <w:rtl/>
        </w:rPr>
        <w:t>(</w:t>
      </w:r>
      <w:r w:rsidRPr="00904FCB">
        <w:rPr>
          <w:rStyle w:val="ac"/>
          <w:sz w:val="27"/>
          <w:rtl/>
        </w:rPr>
        <w:endnoteReference w:id="685"/>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الطوسي</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علي</w:t>
      </w:r>
      <w:r w:rsidR="008C2812" w:rsidRPr="00904FCB">
        <w:rPr>
          <w:rFonts w:hint="cs"/>
          <w:sz w:val="27"/>
          <w:rtl/>
        </w:rPr>
        <w:t>ّ</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Pr="00904FCB">
        <w:rPr>
          <w:sz w:val="27"/>
          <w:rtl/>
        </w:rPr>
        <w:t xml:space="preserve"> </w:t>
      </w:r>
      <w:r w:rsidRPr="00904FCB">
        <w:rPr>
          <w:rFonts w:hint="cs"/>
          <w:sz w:val="27"/>
          <w:rtl/>
        </w:rPr>
        <w:t>صحيح</w:t>
      </w:r>
      <w:r w:rsidR="008C2812" w:rsidRPr="00904FCB">
        <w:rPr>
          <w:rFonts w:hint="cs"/>
          <w:sz w:val="27"/>
          <w:rtl/>
        </w:rPr>
        <w:t>ٌ</w:t>
      </w:r>
      <w:r w:rsidRPr="00904FCB">
        <w:rPr>
          <w:rFonts w:hint="cs"/>
          <w:sz w:val="27"/>
          <w:rtl/>
        </w:rPr>
        <w:t>، فالرواية</w:t>
      </w:r>
      <w:r w:rsidRPr="00904FCB">
        <w:rPr>
          <w:sz w:val="27"/>
          <w:rtl/>
        </w:rPr>
        <w:t xml:space="preserve"> </w:t>
      </w:r>
      <w:r w:rsidRPr="00904FCB">
        <w:rPr>
          <w:rFonts w:hint="cs"/>
          <w:sz w:val="27"/>
          <w:rtl/>
        </w:rPr>
        <w:t>صحيحة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دلالتها فهي</w:t>
      </w:r>
      <w:r w:rsidRPr="00904FCB">
        <w:rPr>
          <w:sz w:val="27"/>
          <w:rtl/>
        </w:rPr>
        <w:t xml:space="preserve"> </w:t>
      </w:r>
      <w:r w:rsidRPr="00904FCB">
        <w:rPr>
          <w:rFonts w:hint="cs"/>
          <w:sz w:val="27"/>
          <w:rtl/>
        </w:rPr>
        <w:t>تعتمد</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القول</w:t>
      </w:r>
      <w:r w:rsidRPr="00904FCB">
        <w:rPr>
          <w:sz w:val="27"/>
          <w:rtl/>
        </w:rPr>
        <w:t xml:space="preserve"> </w:t>
      </w:r>
      <w:r w:rsidRPr="00904FCB">
        <w:rPr>
          <w:rFonts w:hint="cs"/>
          <w:sz w:val="27"/>
          <w:rtl/>
        </w:rPr>
        <w:t>بظهورها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الكتابي</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الاستحمام</w:t>
      </w:r>
      <w:r w:rsidRPr="00904FCB">
        <w:rPr>
          <w:sz w:val="27"/>
          <w:rtl/>
        </w:rPr>
        <w:t xml:space="preserve"> </w:t>
      </w:r>
      <w:r w:rsidRPr="00904FCB">
        <w:rPr>
          <w:rFonts w:hint="cs"/>
          <w:sz w:val="27"/>
          <w:rtl/>
        </w:rPr>
        <w:t>معه</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الحمام، والذي</w:t>
      </w:r>
      <w:r w:rsidRPr="00904FCB">
        <w:rPr>
          <w:sz w:val="27"/>
          <w:rtl/>
        </w:rPr>
        <w:t xml:space="preserve"> </w:t>
      </w:r>
      <w:r w:rsidRPr="00904FCB">
        <w:rPr>
          <w:rFonts w:hint="cs"/>
          <w:sz w:val="27"/>
          <w:rtl/>
        </w:rPr>
        <w:t>يجعلها</w:t>
      </w:r>
      <w:r w:rsidRPr="00904FCB">
        <w:rPr>
          <w:sz w:val="27"/>
          <w:rtl/>
        </w:rPr>
        <w:t xml:space="preserve"> </w:t>
      </w:r>
      <w:r w:rsidRPr="00904FCB">
        <w:rPr>
          <w:rFonts w:hint="cs"/>
          <w:sz w:val="27"/>
          <w:rtl/>
        </w:rPr>
        <w:t>دالّة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نجاسته</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بالظهور؛ لأنّ</w:t>
      </w:r>
      <w:r w:rsidRPr="00904FCB">
        <w:rPr>
          <w:sz w:val="27"/>
          <w:rtl/>
        </w:rPr>
        <w:t xml:space="preserve"> </w:t>
      </w:r>
      <w:r w:rsidRPr="00904FCB">
        <w:rPr>
          <w:rFonts w:hint="cs"/>
          <w:sz w:val="27"/>
          <w:rtl/>
        </w:rPr>
        <w:t>التعليل</w:t>
      </w:r>
      <w:r w:rsidRPr="00904FCB">
        <w:rPr>
          <w:sz w:val="27"/>
          <w:rtl/>
        </w:rPr>
        <w:t xml:space="preserve"> </w:t>
      </w:r>
      <w:r w:rsidRPr="00904FCB">
        <w:rPr>
          <w:rFonts w:hint="cs"/>
          <w:sz w:val="27"/>
          <w:rtl/>
        </w:rPr>
        <w:t>بالنجاسة</w:t>
      </w:r>
      <w:r w:rsidRPr="00904FCB">
        <w:rPr>
          <w:sz w:val="27"/>
          <w:rtl/>
        </w:rPr>
        <w:t xml:space="preserve"> </w:t>
      </w:r>
      <w:r w:rsidRPr="00904FCB">
        <w:rPr>
          <w:rFonts w:hint="cs"/>
          <w:sz w:val="27"/>
          <w:rtl/>
        </w:rPr>
        <w:t>العرضيّة</w:t>
      </w:r>
      <w:r w:rsidRPr="00904FCB">
        <w:rPr>
          <w:sz w:val="27"/>
          <w:rtl/>
        </w:rPr>
        <w:t xml:space="preserve"> </w:t>
      </w:r>
      <w:r w:rsidRPr="00904FCB">
        <w:rPr>
          <w:rFonts w:hint="cs"/>
          <w:sz w:val="27"/>
          <w:rtl/>
        </w:rPr>
        <w:t>خلاف</w:t>
      </w:r>
      <w:r w:rsidRPr="00904FCB">
        <w:rPr>
          <w:sz w:val="27"/>
          <w:rtl/>
        </w:rPr>
        <w:t xml:space="preserve"> </w:t>
      </w:r>
      <w:r w:rsidRPr="00904FCB">
        <w:rPr>
          <w:rFonts w:hint="cs"/>
          <w:sz w:val="27"/>
          <w:rtl/>
        </w:rPr>
        <w:t>الظاهر، والله</w:t>
      </w:r>
      <w:r w:rsidRPr="00904FCB">
        <w:rPr>
          <w:sz w:val="27"/>
          <w:rtl/>
        </w:rPr>
        <w:t xml:space="preserve"> </w:t>
      </w:r>
      <w:r w:rsidRPr="00904FCB">
        <w:rPr>
          <w:rFonts w:hint="cs"/>
          <w:sz w:val="27"/>
          <w:rtl/>
        </w:rPr>
        <w:t>العالم</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العاشرة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الطوسي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وبِإِسْنَادِهِ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أَحْمَدَ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يَحْيَى</w:t>
      </w:r>
      <w:r w:rsidR="008C281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الْعَمْرَكِيِّ</w:t>
      </w:r>
      <w:r w:rsidR="008C281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008C2812"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أَخِيهِ</w:t>
      </w:r>
      <w:r w:rsidRPr="00904FCB">
        <w:rPr>
          <w:sz w:val="27"/>
          <w:rtl/>
        </w:rPr>
        <w:t xml:space="preserve"> </w:t>
      </w:r>
      <w:r w:rsidRPr="00904FCB">
        <w:rPr>
          <w:rFonts w:hint="cs"/>
          <w:sz w:val="27"/>
          <w:rtl/>
        </w:rPr>
        <w:t>مُوسَى</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001C1A2A" w:rsidRPr="00904FCB">
        <w:rPr>
          <w:rFonts w:cs="Mosawi"/>
          <w:sz w:val="27"/>
          <w:szCs w:val="22"/>
          <w:rtl/>
        </w:rPr>
        <w:t>×</w:t>
      </w:r>
      <w:r w:rsidR="008C2812"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فِرَاشِ</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w:t>
      </w:r>
      <w:r w:rsidRPr="00904FCB">
        <w:rPr>
          <w:sz w:val="27"/>
          <w:rtl/>
        </w:rPr>
        <w:t xml:space="preserve"> </w:t>
      </w:r>
      <w:r w:rsidRPr="00904FCB">
        <w:rPr>
          <w:rFonts w:hint="cs"/>
          <w:sz w:val="27"/>
          <w:rtl/>
        </w:rPr>
        <w:t>يُنَامُ</w:t>
      </w:r>
      <w:r w:rsidRPr="00904FCB">
        <w:rPr>
          <w:sz w:val="27"/>
          <w:rtl/>
        </w:rPr>
        <w:t xml:space="preserve"> </w:t>
      </w:r>
      <w:r w:rsidRPr="00904FCB">
        <w:rPr>
          <w:rFonts w:hint="cs"/>
          <w:sz w:val="27"/>
          <w:rtl/>
        </w:rPr>
        <w:t>عَلَيْهِ</w:t>
      </w:r>
      <w:r w:rsidR="008C2812" w:rsidRPr="00904FCB">
        <w:rPr>
          <w:rFonts w:hint="cs"/>
          <w:sz w:val="27"/>
          <w:rtl/>
        </w:rPr>
        <w:t>؟</w:t>
      </w:r>
      <w:r w:rsidRPr="00904FCB">
        <w:rPr>
          <w:rFonts w:hint="cs"/>
          <w:sz w:val="27"/>
          <w:rtl/>
        </w:rPr>
        <w:t xml:space="preserve"> قَالَ</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بَأْسَ</w:t>
      </w:r>
      <w:r w:rsidR="008C2812"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يُصَلَّى</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ثِيَابِهِمَا</w:t>
      </w:r>
      <w:r w:rsidRPr="00904FCB">
        <w:rPr>
          <w:sz w:val="27"/>
          <w:rtl/>
        </w:rPr>
        <w:t xml:space="preserve">. </w:t>
      </w:r>
      <w:r w:rsidRPr="00904FCB">
        <w:rPr>
          <w:rFonts w:hint="cs"/>
          <w:sz w:val="27"/>
          <w:rtl/>
        </w:rPr>
        <w:t>وقَالَ</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يَأْكُلِ</w:t>
      </w:r>
      <w:r w:rsidRPr="00904FCB">
        <w:rPr>
          <w:sz w:val="27"/>
          <w:rtl/>
        </w:rPr>
        <w:t xml:space="preserve"> </w:t>
      </w:r>
      <w:r w:rsidRPr="00904FCB">
        <w:rPr>
          <w:rFonts w:hint="cs"/>
          <w:sz w:val="27"/>
          <w:rtl/>
        </w:rPr>
        <w:t>الْمُسْلِمُ</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الْمَجُوسِيِّ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قَصْعَةٍ</w:t>
      </w:r>
      <w:r w:rsidRPr="00904FCB">
        <w:rPr>
          <w:sz w:val="27"/>
          <w:rtl/>
        </w:rPr>
        <w:t xml:space="preserve"> </w:t>
      </w:r>
      <w:r w:rsidRPr="00904FCB">
        <w:rPr>
          <w:rFonts w:hint="cs"/>
          <w:sz w:val="27"/>
          <w:rtl/>
        </w:rPr>
        <w:t>وَاحِدَةٍ</w:t>
      </w:r>
      <w:r w:rsidR="008C2812"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يُقْعِدْهُ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فِرَاشِهِ</w:t>
      </w:r>
      <w:r w:rsidR="008C2812"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مَسْجِدِهِ</w:t>
      </w:r>
      <w:r w:rsidR="008C2812"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يُصَافِحْهُ</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وسَأَلْتُهُ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رَجُلٍ</w:t>
      </w:r>
      <w:r w:rsidRPr="00904FCB">
        <w:rPr>
          <w:sz w:val="27"/>
          <w:rtl/>
        </w:rPr>
        <w:t xml:space="preserve"> </w:t>
      </w:r>
      <w:r w:rsidRPr="00904FCB">
        <w:rPr>
          <w:rFonts w:hint="cs"/>
          <w:sz w:val="27"/>
          <w:rtl/>
        </w:rPr>
        <w:t>اشْتَرَى</w:t>
      </w:r>
      <w:r w:rsidRPr="00904FCB">
        <w:rPr>
          <w:sz w:val="27"/>
          <w:rtl/>
        </w:rPr>
        <w:t xml:space="preserve"> </w:t>
      </w:r>
      <w:r w:rsidRPr="00904FCB">
        <w:rPr>
          <w:rFonts w:hint="cs"/>
          <w:sz w:val="27"/>
          <w:rtl/>
        </w:rPr>
        <w:t>ثَوْباً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السُّوقِ</w:t>
      </w:r>
      <w:r w:rsidRPr="00904FCB">
        <w:rPr>
          <w:sz w:val="27"/>
          <w:rtl/>
        </w:rPr>
        <w:t xml:space="preserve"> </w:t>
      </w:r>
      <w:r w:rsidRPr="00904FCB">
        <w:rPr>
          <w:rFonts w:hint="cs"/>
          <w:sz w:val="27"/>
          <w:rtl/>
        </w:rPr>
        <w:t>لِلُّبْسِ</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يَدْرِي</w:t>
      </w:r>
      <w:r w:rsidRPr="00904FCB">
        <w:rPr>
          <w:sz w:val="27"/>
          <w:rtl/>
        </w:rPr>
        <w:t xml:space="preserve"> </w:t>
      </w:r>
      <w:r w:rsidRPr="00904FCB">
        <w:rPr>
          <w:rFonts w:hint="cs"/>
          <w:sz w:val="27"/>
          <w:rtl/>
        </w:rPr>
        <w:t>لِمَنْ</w:t>
      </w:r>
      <w:r w:rsidRPr="00904FCB">
        <w:rPr>
          <w:sz w:val="27"/>
          <w:rtl/>
        </w:rPr>
        <w:t xml:space="preserve"> </w:t>
      </w:r>
      <w:r w:rsidRPr="00904FCB">
        <w:rPr>
          <w:rFonts w:hint="cs"/>
          <w:sz w:val="27"/>
          <w:rtl/>
        </w:rPr>
        <w:t>كَانَ، هَلْ</w:t>
      </w:r>
      <w:r w:rsidRPr="00904FCB">
        <w:rPr>
          <w:sz w:val="27"/>
          <w:rtl/>
        </w:rPr>
        <w:t xml:space="preserve"> </w:t>
      </w:r>
      <w:r w:rsidRPr="00904FCB">
        <w:rPr>
          <w:rFonts w:hint="cs"/>
          <w:sz w:val="27"/>
          <w:rtl/>
        </w:rPr>
        <w:t>تَصِحُّ</w:t>
      </w:r>
      <w:r w:rsidRPr="00904FCB">
        <w:rPr>
          <w:sz w:val="27"/>
          <w:rtl/>
        </w:rPr>
        <w:t xml:space="preserve"> </w:t>
      </w:r>
      <w:r w:rsidRPr="00904FCB">
        <w:rPr>
          <w:rFonts w:hint="cs"/>
          <w:sz w:val="27"/>
          <w:rtl/>
        </w:rPr>
        <w:t>الصَّلاةُ</w:t>
      </w:r>
      <w:r w:rsidRPr="00904FCB">
        <w:rPr>
          <w:sz w:val="27"/>
          <w:rtl/>
        </w:rPr>
        <w:t xml:space="preserve"> </w:t>
      </w:r>
      <w:r w:rsidRPr="00904FCB">
        <w:rPr>
          <w:rFonts w:hint="cs"/>
          <w:sz w:val="27"/>
          <w:rtl/>
        </w:rPr>
        <w:t>فِيهِ؟ قَالَ</w:t>
      </w:r>
      <w:r w:rsidRPr="00904FCB">
        <w:rPr>
          <w:sz w:val="27"/>
          <w:rtl/>
        </w:rPr>
        <w:t xml:space="preserve">: </w:t>
      </w:r>
      <w:r w:rsidRPr="00904FCB">
        <w:rPr>
          <w:rFonts w:hint="cs"/>
          <w:sz w:val="27"/>
          <w:rtl/>
        </w:rPr>
        <w:t>إ</w:t>
      </w:r>
      <w:r w:rsidR="00B30099" w:rsidRPr="00904FCB">
        <w:rPr>
          <w:rFonts w:hint="cs"/>
          <w:sz w:val="27"/>
          <w:rtl/>
        </w:rPr>
        <w:t>ِنْ</w:t>
      </w:r>
      <w:r w:rsidRPr="00904FCB">
        <w:rPr>
          <w:sz w:val="27"/>
          <w:rtl/>
        </w:rPr>
        <w:t xml:space="preserve"> </w:t>
      </w:r>
      <w:r w:rsidRPr="00904FCB">
        <w:rPr>
          <w:rFonts w:hint="cs"/>
          <w:sz w:val="27"/>
          <w:rtl/>
        </w:rPr>
        <w:t>اشْتَرَاهُ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مُسْلِمٍ</w:t>
      </w:r>
      <w:r w:rsidRPr="00904FCB">
        <w:rPr>
          <w:sz w:val="27"/>
          <w:rtl/>
        </w:rPr>
        <w:t xml:space="preserve"> </w:t>
      </w:r>
      <w:r w:rsidRPr="00904FCB">
        <w:rPr>
          <w:rFonts w:hint="cs"/>
          <w:sz w:val="27"/>
          <w:rtl/>
        </w:rPr>
        <w:t>فَلْيُصَلِّ</w:t>
      </w:r>
      <w:r w:rsidRPr="00904FCB">
        <w:rPr>
          <w:sz w:val="27"/>
          <w:rtl/>
        </w:rPr>
        <w:t xml:space="preserve"> </w:t>
      </w:r>
      <w:r w:rsidR="00B30099" w:rsidRPr="00904FCB">
        <w:rPr>
          <w:rFonts w:hint="cs"/>
          <w:sz w:val="27"/>
          <w:rtl/>
        </w:rPr>
        <w:t>فِيهِ، وإِنْ</w:t>
      </w:r>
      <w:r w:rsidRPr="00904FCB">
        <w:rPr>
          <w:sz w:val="27"/>
          <w:rtl/>
        </w:rPr>
        <w:t xml:space="preserve"> </w:t>
      </w:r>
      <w:r w:rsidRPr="00904FCB">
        <w:rPr>
          <w:rFonts w:hint="cs"/>
          <w:sz w:val="27"/>
          <w:rtl/>
        </w:rPr>
        <w:t>اشْتَرَاهُ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نَصْرَانِيٍّ</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يُصَلِّي</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حَتَّى</w:t>
      </w:r>
      <w:r w:rsidRPr="00904FCB">
        <w:rPr>
          <w:sz w:val="27"/>
          <w:rtl/>
        </w:rPr>
        <w:t xml:space="preserve"> </w:t>
      </w:r>
      <w:r w:rsidRPr="00904FCB">
        <w:rPr>
          <w:rFonts w:hint="cs"/>
          <w:sz w:val="27"/>
          <w:rtl/>
        </w:rPr>
        <w:t>يَغْسِلَهُ</w:t>
      </w:r>
      <w:r w:rsidRPr="00904FCB">
        <w:rPr>
          <w:rFonts w:hint="eastAsia"/>
          <w:sz w:val="27"/>
          <w:rtl/>
        </w:rPr>
        <w:t>»</w:t>
      </w:r>
      <w:r w:rsidRPr="00904FCB">
        <w:rPr>
          <w:rFonts w:hint="cs"/>
          <w:sz w:val="27"/>
          <w:vertAlign w:val="superscript"/>
          <w:rtl/>
        </w:rPr>
        <w:t>(</w:t>
      </w:r>
      <w:r w:rsidRPr="00904FCB">
        <w:rPr>
          <w:rStyle w:val="ac"/>
          <w:sz w:val="27"/>
          <w:rtl/>
        </w:rPr>
        <w:endnoteReference w:id="686"/>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هذه</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صحيحة؛ لصحّة</w:t>
      </w:r>
      <w:r w:rsidRPr="00904FCB">
        <w:rPr>
          <w:sz w:val="27"/>
          <w:rtl/>
        </w:rPr>
        <w:t xml:space="preserve"> </w:t>
      </w:r>
      <w:r w:rsidRPr="00904FCB">
        <w:rPr>
          <w:rFonts w:hint="cs"/>
          <w:sz w:val="27"/>
          <w:rtl/>
        </w:rPr>
        <w:t>طريق</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يحيى، وهو</w:t>
      </w:r>
      <w:r w:rsidRPr="00904FCB">
        <w:rPr>
          <w:sz w:val="27"/>
          <w:rtl/>
        </w:rPr>
        <w:t xml:space="preserve"> </w:t>
      </w:r>
      <w:r w:rsidRPr="00904FCB">
        <w:rPr>
          <w:rFonts w:hint="cs"/>
          <w:sz w:val="27"/>
          <w:rtl/>
        </w:rPr>
        <w:t>صاحب</w:t>
      </w:r>
      <w:r w:rsidRPr="00904FCB">
        <w:rPr>
          <w:sz w:val="27"/>
          <w:rtl/>
        </w:rPr>
        <w:t xml:space="preserve"> </w:t>
      </w:r>
      <w:r w:rsidRPr="00904FCB">
        <w:rPr>
          <w:rFonts w:hint="cs"/>
          <w:sz w:val="27"/>
          <w:rtl/>
        </w:rPr>
        <w:t>نوادر</w:t>
      </w:r>
      <w:r w:rsidRPr="00904FCB">
        <w:rPr>
          <w:sz w:val="27"/>
          <w:rtl/>
        </w:rPr>
        <w:t xml:space="preserve"> </w:t>
      </w:r>
      <w:r w:rsidRPr="00904FCB">
        <w:rPr>
          <w:rFonts w:hint="cs"/>
          <w:sz w:val="27"/>
          <w:rtl/>
        </w:rPr>
        <w:t>الحكمة</w:t>
      </w:r>
      <w:r w:rsidR="00B30099" w:rsidRPr="00904FCB">
        <w:rPr>
          <w:rFonts w:hint="cs"/>
          <w:sz w:val="27"/>
          <w:rtl/>
        </w:rPr>
        <w:t>.</w:t>
      </w:r>
      <w:r w:rsidRPr="00904FCB">
        <w:rPr>
          <w:rFonts w:hint="cs"/>
          <w:sz w:val="27"/>
          <w:rtl/>
        </w:rPr>
        <w:t xml:space="preserve"> وبقيّة</w:t>
      </w:r>
      <w:r w:rsidRPr="00904FCB">
        <w:rPr>
          <w:sz w:val="27"/>
          <w:rtl/>
        </w:rPr>
        <w:t xml:space="preserve"> </w:t>
      </w:r>
      <w:r w:rsidRPr="00904FCB">
        <w:rPr>
          <w:rFonts w:hint="cs"/>
          <w:sz w:val="27"/>
          <w:rtl/>
        </w:rPr>
        <w:t>رجال</w:t>
      </w:r>
      <w:r w:rsidRPr="00904FCB">
        <w:rPr>
          <w:sz w:val="27"/>
          <w:rtl/>
        </w:rPr>
        <w:t xml:space="preserve"> </w:t>
      </w:r>
      <w:r w:rsidRPr="00904FCB">
        <w:rPr>
          <w:rFonts w:hint="cs"/>
          <w:sz w:val="27"/>
          <w:rtl/>
        </w:rPr>
        <w:t>السند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رجال</w:t>
      </w:r>
      <w:r w:rsidRPr="00904FCB">
        <w:rPr>
          <w:sz w:val="27"/>
          <w:rtl/>
        </w:rPr>
        <w:t xml:space="preserve"> </w:t>
      </w:r>
      <w:r w:rsidRPr="00904FCB">
        <w:rPr>
          <w:rFonts w:hint="cs"/>
          <w:sz w:val="27"/>
          <w:rtl/>
        </w:rPr>
        <w:t>الصحيح</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 فلا</w:t>
      </w:r>
      <w:r w:rsidRPr="00904FCB">
        <w:rPr>
          <w:sz w:val="27"/>
          <w:rtl/>
        </w:rPr>
        <w:t xml:space="preserve"> </w:t>
      </w:r>
      <w:r w:rsidRPr="00904FCB">
        <w:rPr>
          <w:rFonts w:hint="cs"/>
          <w:sz w:val="27"/>
          <w:rtl/>
        </w:rPr>
        <w:t>يوجد</w:t>
      </w:r>
      <w:r w:rsidRPr="00904FCB">
        <w:rPr>
          <w:sz w:val="27"/>
          <w:rtl/>
        </w:rPr>
        <w:t xml:space="preserve"> </w:t>
      </w:r>
      <w:r w:rsidRPr="00904FCB">
        <w:rPr>
          <w:rFonts w:hint="cs"/>
          <w:sz w:val="27"/>
          <w:rtl/>
        </w:rPr>
        <w:t>كلام</w:t>
      </w:r>
      <w:r w:rsidR="00B30099" w:rsidRPr="00904FCB">
        <w:rPr>
          <w:rFonts w:hint="cs"/>
          <w:sz w:val="27"/>
          <w:rtl/>
        </w:rPr>
        <w:t>ٌ</w:t>
      </w:r>
      <w:r w:rsidRPr="00904FCB">
        <w:rPr>
          <w:sz w:val="27"/>
          <w:rtl/>
        </w:rPr>
        <w:t xml:space="preserve"> </w:t>
      </w:r>
      <w:r w:rsidRPr="00904FCB">
        <w:rPr>
          <w:rFonts w:hint="cs"/>
          <w:sz w:val="27"/>
          <w:rtl/>
        </w:rPr>
        <w:t>مهم</w:t>
      </w:r>
      <w:r w:rsidR="00B30099" w:rsidRPr="00904FCB">
        <w:rPr>
          <w:rFonts w:hint="cs"/>
          <w:sz w:val="27"/>
          <w:rtl/>
        </w:rPr>
        <w:t>ّ</w:t>
      </w:r>
      <w:r w:rsidRPr="00904FCB">
        <w:rPr>
          <w:sz w:val="27"/>
          <w:rtl/>
        </w:rPr>
        <w:t xml:space="preserve"> </w:t>
      </w:r>
      <w:r w:rsidRPr="00904FCB">
        <w:rPr>
          <w:rFonts w:hint="cs"/>
          <w:sz w:val="27"/>
          <w:rtl/>
        </w:rPr>
        <w:t>زيادةً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تقدّم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السادسة</w:t>
      </w:r>
      <w:r w:rsidRPr="00904FCB">
        <w:rPr>
          <w:sz w:val="27"/>
          <w:rtl/>
        </w:rPr>
        <w:t xml:space="preserve"> </w:t>
      </w:r>
      <w:r w:rsidRPr="00904FCB">
        <w:rPr>
          <w:rFonts w:hint="cs"/>
          <w:sz w:val="27"/>
          <w:rtl/>
        </w:rPr>
        <w:t>المتقدّمة</w:t>
      </w:r>
      <w:r w:rsidRPr="00904FCB">
        <w:rPr>
          <w:sz w:val="27"/>
          <w:rtl/>
        </w:rPr>
        <w:t xml:space="preserve">. </w:t>
      </w:r>
      <w:r w:rsidRPr="00904FCB">
        <w:rPr>
          <w:rFonts w:hint="cs"/>
          <w:sz w:val="27"/>
          <w:rtl/>
        </w:rPr>
        <w:t>وأمّا</w:t>
      </w:r>
      <w:r w:rsidRPr="00904FCB">
        <w:rPr>
          <w:sz w:val="27"/>
          <w:rtl/>
        </w:rPr>
        <w:t xml:space="preserve"> </w:t>
      </w:r>
      <w:r w:rsidRPr="00904FCB">
        <w:rPr>
          <w:rFonts w:hint="cs"/>
          <w:sz w:val="27"/>
          <w:rtl/>
        </w:rPr>
        <w:t>إباحة</w:t>
      </w:r>
      <w:r w:rsidRPr="00904FCB">
        <w:rPr>
          <w:sz w:val="27"/>
          <w:rtl/>
        </w:rPr>
        <w:t xml:space="preserve"> </w:t>
      </w:r>
      <w:r w:rsidRPr="00904FCB">
        <w:rPr>
          <w:rFonts w:hint="cs"/>
          <w:sz w:val="27"/>
          <w:rtl/>
        </w:rPr>
        <w:t>النوم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فراش</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والنهي</w:t>
      </w:r>
      <w:r w:rsidRPr="00904FCB">
        <w:rPr>
          <w:sz w:val="27"/>
          <w:rtl/>
        </w:rPr>
        <w:t xml:space="preserve"> </w:t>
      </w:r>
      <w:r w:rsidRPr="00904FCB">
        <w:rPr>
          <w:rFonts w:hint="cs"/>
          <w:sz w:val="27"/>
          <w:rtl/>
        </w:rPr>
        <w:t>عنه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فراش</w:t>
      </w:r>
      <w:r w:rsidRPr="00904FCB">
        <w:rPr>
          <w:sz w:val="27"/>
          <w:rtl/>
        </w:rPr>
        <w:t xml:space="preserve"> </w:t>
      </w:r>
      <w:r w:rsidRPr="00904FCB">
        <w:rPr>
          <w:rFonts w:hint="cs"/>
          <w:sz w:val="27"/>
          <w:rtl/>
        </w:rPr>
        <w:t>المجوسي</w:t>
      </w:r>
      <w:r w:rsidRPr="00904FCB">
        <w:rPr>
          <w:sz w:val="27"/>
          <w:rtl/>
        </w:rPr>
        <w:t xml:space="preserve"> </w:t>
      </w:r>
      <w:r w:rsidRPr="00904FCB">
        <w:rPr>
          <w:rFonts w:hint="cs"/>
          <w:sz w:val="27"/>
          <w:rtl/>
        </w:rPr>
        <w:t>فهو</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والله</w:t>
      </w:r>
      <w:r w:rsidRPr="00904FCB">
        <w:rPr>
          <w:sz w:val="27"/>
          <w:rtl/>
        </w:rPr>
        <w:t xml:space="preserve"> </w:t>
      </w:r>
      <w:r w:rsidRPr="00904FCB">
        <w:rPr>
          <w:rFonts w:hint="cs"/>
          <w:sz w:val="27"/>
          <w:rtl/>
        </w:rPr>
        <w:t>العالم</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محمولٌ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تفاوت</w:t>
      </w:r>
      <w:r w:rsidRPr="00904FCB">
        <w:rPr>
          <w:sz w:val="27"/>
          <w:rtl/>
        </w:rPr>
        <w:t xml:space="preserve"> </w:t>
      </w:r>
      <w:r w:rsidRPr="00904FCB">
        <w:rPr>
          <w:rFonts w:hint="cs"/>
          <w:sz w:val="27"/>
          <w:rtl/>
        </w:rPr>
        <w:t>درجات</w:t>
      </w:r>
      <w:r w:rsidRPr="00904FCB">
        <w:rPr>
          <w:sz w:val="27"/>
          <w:rtl/>
        </w:rPr>
        <w:t xml:space="preserve"> </w:t>
      </w:r>
      <w:r w:rsidRPr="00904FCB">
        <w:rPr>
          <w:rFonts w:hint="cs"/>
          <w:sz w:val="27"/>
          <w:rtl/>
        </w:rPr>
        <w:t>الكفر</w:t>
      </w:r>
      <w:r w:rsidRPr="00904FCB">
        <w:rPr>
          <w:sz w:val="27"/>
          <w:rtl/>
        </w:rPr>
        <w:t xml:space="preserve"> </w:t>
      </w:r>
      <w:r w:rsidRPr="00904FCB">
        <w:rPr>
          <w:rFonts w:hint="cs"/>
          <w:sz w:val="27"/>
          <w:rtl/>
        </w:rPr>
        <w:t>والقبح</w:t>
      </w:r>
      <w:r w:rsidRPr="00904FCB">
        <w:rPr>
          <w:sz w:val="27"/>
          <w:rtl/>
        </w:rPr>
        <w:t xml:space="preserve"> </w:t>
      </w:r>
      <w:r w:rsidRPr="00904FCB">
        <w:rPr>
          <w:rFonts w:hint="cs"/>
          <w:sz w:val="27"/>
          <w:rtl/>
        </w:rPr>
        <w:t>المعنوي</w:t>
      </w:r>
      <w:r w:rsidR="00B30099" w:rsidRPr="00904FCB">
        <w:rPr>
          <w:rFonts w:hint="cs"/>
          <w:sz w:val="27"/>
          <w:rtl/>
        </w:rPr>
        <w:t>ّ</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أمّا</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الصلاة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الثوب</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نشتريه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المسلم فلا</w:t>
      </w:r>
      <w:r w:rsidRPr="00904FCB">
        <w:rPr>
          <w:sz w:val="27"/>
          <w:rtl/>
        </w:rPr>
        <w:t xml:space="preserve"> </w:t>
      </w:r>
      <w:r w:rsidRPr="00904FCB">
        <w:rPr>
          <w:rFonts w:hint="cs"/>
          <w:sz w:val="27"/>
          <w:rtl/>
        </w:rPr>
        <w:t>ب</w:t>
      </w:r>
      <w:r w:rsidR="00B30099" w:rsidRPr="00904FCB">
        <w:rPr>
          <w:rFonts w:hint="cs"/>
          <w:sz w:val="27"/>
          <w:rtl/>
        </w:rPr>
        <w:t>ُ</w:t>
      </w:r>
      <w:r w:rsidRPr="00904FCB">
        <w:rPr>
          <w:rFonts w:hint="cs"/>
          <w:sz w:val="27"/>
          <w:rtl/>
        </w:rPr>
        <w:t>دّ</w:t>
      </w:r>
      <w:r w:rsidR="00B30099"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حمله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التنزّه</w:t>
      </w:r>
      <w:r w:rsidRPr="00904FCB">
        <w:rPr>
          <w:sz w:val="27"/>
          <w:rtl/>
        </w:rPr>
        <w:t xml:space="preserve"> </w:t>
      </w:r>
      <w:r w:rsidRPr="00904FCB">
        <w:rPr>
          <w:rFonts w:hint="cs"/>
          <w:sz w:val="27"/>
          <w:rtl/>
        </w:rPr>
        <w:t>عنه</w:t>
      </w:r>
      <w:r w:rsidR="00B30099" w:rsidRPr="00904FCB">
        <w:rPr>
          <w:rFonts w:hint="cs"/>
          <w:sz w:val="27"/>
          <w:rtl/>
        </w:rPr>
        <w:t>،</w:t>
      </w:r>
      <w:r w:rsidRPr="00904FCB">
        <w:rPr>
          <w:sz w:val="27"/>
          <w:rtl/>
        </w:rPr>
        <w:t xml:space="preserve"> </w:t>
      </w:r>
      <w:r w:rsidRPr="00904FCB">
        <w:rPr>
          <w:rFonts w:hint="cs"/>
          <w:sz w:val="27"/>
          <w:rtl/>
        </w:rPr>
        <w:t>والاحتياط</w:t>
      </w:r>
      <w:r w:rsidRPr="00904FCB">
        <w:rPr>
          <w:sz w:val="27"/>
          <w:rtl/>
        </w:rPr>
        <w:t xml:space="preserve"> </w:t>
      </w:r>
      <w:r w:rsidRPr="00904FCB">
        <w:rPr>
          <w:rFonts w:hint="cs"/>
          <w:sz w:val="27"/>
          <w:rtl/>
        </w:rPr>
        <w:t>المستحبّ</w:t>
      </w:r>
      <w:r w:rsidRPr="00904FCB">
        <w:rPr>
          <w:sz w:val="27"/>
          <w:rtl/>
        </w:rPr>
        <w:t xml:space="preserve"> </w:t>
      </w:r>
      <w:r w:rsidRPr="00904FCB">
        <w:rPr>
          <w:rFonts w:hint="cs"/>
          <w:sz w:val="27"/>
          <w:rtl/>
        </w:rPr>
        <w:t>للصلاة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عمود</w:t>
      </w:r>
      <w:r w:rsidRPr="00904FCB">
        <w:rPr>
          <w:sz w:val="27"/>
          <w:rtl/>
        </w:rPr>
        <w:t xml:space="preserve"> </w:t>
      </w:r>
      <w:r w:rsidRPr="00904FCB">
        <w:rPr>
          <w:rFonts w:hint="cs"/>
          <w:sz w:val="27"/>
          <w:rtl/>
        </w:rPr>
        <w:t>الدّ</w:t>
      </w:r>
      <w:r w:rsidR="00B30099" w:rsidRPr="00904FCB">
        <w:rPr>
          <w:rFonts w:hint="cs"/>
          <w:sz w:val="27"/>
          <w:rtl/>
        </w:rPr>
        <w:t>ِ</w:t>
      </w:r>
      <w:r w:rsidRPr="00904FCB">
        <w:rPr>
          <w:rFonts w:hint="cs"/>
          <w:sz w:val="27"/>
          <w:rtl/>
        </w:rPr>
        <w:t>ين، وإلاّ</w:t>
      </w:r>
      <w:r w:rsidRPr="00904FCB">
        <w:rPr>
          <w:sz w:val="27"/>
          <w:rtl/>
        </w:rPr>
        <w:t xml:space="preserve"> </w:t>
      </w:r>
      <w:r w:rsidRPr="00904FCB">
        <w:rPr>
          <w:rFonts w:hint="cs"/>
          <w:sz w:val="27"/>
          <w:rtl/>
        </w:rPr>
        <w:t>فإنّ</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lastRenderedPageBreak/>
        <w:t>المجوّ</w:t>
      </w:r>
      <w:r w:rsidR="00B30099" w:rsidRPr="00904FCB">
        <w:rPr>
          <w:rFonts w:hint="cs"/>
          <w:sz w:val="27"/>
          <w:rtl/>
        </w:rPr>
        <w:t>ِ</w:t>
      </w:r>
      <w:r w:rsidRPr="00904FCB">
        <w:rPr>
          <w:rFonts w:hint="cs"/>
          <w:sz w:val="27"/>
          <w:rtl/>
        </w:rPr>
        <w:t>زة</w:t>
      </w:r>
      <w:r w:rsidRPr="00904FCB">
        <w:rPr>
          <w:sz w:val="27"/>
          <w:rtl/>
        </w:rPr>
        <w:t xml:space="preserve"> </w:t>
      </w:r>
      <w:r w:rsidRPr="00904FCB">
        <w:rPr>
          <w:rFonts w:hint="cs"/>
          <w:sz w:val="27"/>
          <w:rtl/>
        </w:rPr>
        <w:t>عديدة، وهي</w:t>
      </w:r>
      <w:r w:rsidRPr="00904FCB">
        <w:rPr>
          <w:sz w:val="27"/>
          <w:rtl/>
        </w:rPr>
        <w:t xml:space="preserve"> </w:t>
      </w:r>
      <w:r w:rsidRPr="00904FCB">
        <w:rPr>
          <w:rFonts w:hint="cs"/>
          <w:sz w:val="27"/>
          <w:rtl/>
        </w:rPr>
        <w:t>قرينة</w:t>
      </w:r>
      <w:r w:rsidR="00B30099" w:rsidRPr="00904FCB">
        <w:rPr>
          <w:rFonts w:hint="cs"/>
          <w:sz w:val="27"/>
          <w:rtl/>
        </w:rPr>
        <w:t>ٌ</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ذكرنا</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الحادية</w:t>
      </w:r>
      <w:r w:rsidRPr="00904FCB">
        <w:rPr>
          <w:b/>
          <w:bCs/>
          <w:sz w:val="27"/>
          <w:rtl/>
        </w:rPr>
        <w:t xml:space="preserve"> </w:t>
      </w:r>
      <w:r w:rsidRPr="00904FCB">
        <w:rPr>
          <w:rFonts w:hint="cs"/>
          <w:b/>
          <w:bCs/>
          <w:sz w:val="27"/>
          <w:rtl/>
        </w:rPr>
        <w:t>عشرة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الطوسي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وعَنْهُ</w:t>
      </w:r>
      <w:r w:rsidR="00B3009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مُحَمَّدٍ</w:t>
      </w:r>
      <w:r w:rsidR="00B3009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إِبْرَاهِيمَ</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مَحْمُودٍ</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قُلْتُ</w:t>
      </w:r>
      <w:r w:rsidRPr="00904FCB">
        <w:rPr>
          <w:sz w:val="27"/>
          <w:rtl/>
        </w:rPr>
        <w:t xml:space="preserve"> </w:t>
      </w:r>
      <w:r w:rsidRPr="00904FCB">
        <w:rPr>
          <w:rFonts w:hint="cs"/>
          <w:sz w:val="27"/>
          <w:rtl/>
        </w:rPr>
        <w:t>لِلرِّضَا</w:t>
      </w:r>
      <w:r w:rsidR="001C1A2A" w:rsidRPr="00904FCB">
        <w:rPr>
          <w:rFonts w:cs="Mosawi"/>
          <w:sz w:val="27"/>
          <w:szCs w:val="22"/>
          <w:rtl/>
        </w:rPr>
        <w:t>×</w:t>
      </w:r>
      <w:r w:rsidRPr="00904FCB">
        <w:rPr>
          <w:sz w:val="27"/>
          <w:rtl/>
        </w:rPr>
        <w:t xml:space="preserve">: </w:t>
      </w:r>
      <w:r w:rsidRPr="00904FCB">
        <w:rPr>
          <w:rFonts w:hint="cs"/>
          <w:sz w:val="27"/>
          <w:rtl/>
        </w:rPr>
        <w:t>الْجَارِيَةُ</w:t>
      </w:r>
      <w:r w:rsidRPr="00904FCB">
        <w:rPr>
          <w:sz w:val="27"/>
          <w:rtl/>
        </w:rPr>
        <w:t xml:space="preserve"> </w:t>
      </w:r>
      <w:r w:rsidRPr="00904FCB">
        <w:rPr>
          <w:rFonts w:hint="cs"/>
          <w:sz w:val="27"/>
          <w:rtl/>
        </w:rPr>
        <w:t>النَّصْرَانِيَّةُ</w:t>
      </w:r>
      <w:r w:rsidRPr="00904FCB">
        <w:rPr>
          <w:sz w:val="27"/>
          <w:rtl/>
        </w:rPr>
        <w:t xml:space="preserve"> </w:t>
      </w:r>
      <w:r w:rsidR="00B30099" w:rsidRPr="00904FCB">
        <w:rPr>
          <w:rFonts w:hint="cs"/>
          <w:sz w:val="27"/>
          <w:rtl/>
        </w:rPr>
        <w:t>تَخْدِ</w:t>
      </w:r>
      <w:r w:rsidRPr="00904FCB">
        <w:rPr>
          <w:rFonts w:hint="cs"/>
          <w:sz w:val="27"/>
          <w:rtl/>
        </w:rPr>
        <w:t>مُكَ</w:t>
      </w:r>
      <w:r w:rsidRPr="00904FCB">
        <w:rPr>
          <w:sz w:val="27"/>
          <w:rtl/>
        </w:rPr>
        <w:t xml:space="preserve"> </w:t>
      </w:r>
      <w:r w:rsidRPr="00904FCB">
        <w:rPr>
          <w:rFonts w:hint="cs"/>
          <w:sz w:val="27"/>
          <w:rtl/>
        </w:rPr>
        <w:t>وأَنْتَ</w:t>
      </w:r>
      <w:r w:rsidRPr="00904FCB">
        <w:rPr>
          <w:sz w:val="27"/>
          <w:rtl/>
        </w:rPr>
        <w:t xml:space="preserve"> </w:t>
      </w:r>
      <w:r w:rsidRPr="00904FCB">
        <w:rPr>
          <w:rFonts w:hint="cs"/>
          <w:sz w:val="27"/>
          <w:rtl/>
        </w:rPr>
        <w:t>تَعْلَمُ</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نَصْرَانِيَّةٌ</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تَتَوَضَّأُ</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تَغْتَسِلُ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جَنَابَةٍ</w:t>
      </w:r>
      <w:r w:rsidR="00B30099" w:rsidRPr="00904FCB">
        <w:rPr>
          <w:rFonts w:hint="cs"/>
          <w:sz w:val="27"/>
          <w:rtl/>
        </w:rPr>
        <w:t>؟</w:t>
      </w:r>
      <w:r w:rsidRPr="00904FCB">
        <w:rPr>
          <w:rFonts w:hint="cs"/>
          <w:sz w:val="27"/>
          <w:rtl/>
        </w:rPr>
        <w:t xml:space="preserve"> قَالَ</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بَأْسَ، تَغْسِلُ</w:t>
      </w:r>
      <w:r w:rsidRPr="00904FCB">
        <w:rPr>
          <w:sz w:val="27"/>
          <w:rtl/>
        </w:rPr>
        <w:t xml:space="preserve"> </w:t>
      </w:r>
      <w:r w:rsidRPr="00904FCB">
        <w:rPr>
          <w:rFonts w:hint="cs"/>
          <w:sz w:val="27"/>
          <w:rtl/>
        </w:rPr>
        <w:t>يَدَيْهَا</w:t>
      </w:r>
      <w:r w:rsidRPr="00904FCB">
        <w:rPr>
          <w:rFonts w:hint="eastAsia"/>
          <w:sz w:val="27"/>
          <w:rtl/>
        </w:rPr>
        <w:t>»</w:t>
      </w:r>
      <w:r w:rsidRPr="00904FCB">
        <w:rPr>
          <w:rFonts w:hint="cs"/>
          <w:sz w:val="27"/>
          <w:vertAlign w:val="superscript"/>
          <w:rtl/>
        </w:rPr>
        <w:t>(</w:t>
      </w:r>
      <w:r w:rsidRPr="00904FCB">
        <w:rPr>
          <w:rStyle w:val="ac"/>
          <w:sz w:val="27"/>
          <w:rtl/>
        </w:rPr>
        <w:endnoteReference w:id="687"/>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الضمير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بداية</w:t>
      </w:r>
      <w:r w:rsidRPr="00904FCB">
        <w:rPr>
          <w:sz w:val="27"/>
          <w:rtl/>
        </w:rPr>
        <w:t xml:space="preserve"> </w:t>
      </w:r>
      <w:r w:rsidRPr="00904FCB">
        <w:rPr>
          <w:rFonts w:hint="cs"/>
          <w:sz w:val="27"/>
          <w:rtl/>
        </w:rPr>
        <w:t>السند</w:t>
      </w:r>
      <w:r w:rsidRPr="00904FCB">
        <w:rPr>
          <w:sz w:val="27"/>
          <w:rtl/>
        </w:rPr>
        <w:t xml:space="preserve"> </w:t>
      </w:r>
      <w:r w:rsidRPr="00904FCB">
        <w:rPr>
          <w:rFonts w:hint="cs"/>
          <w:sz w:val="27"/>
          <w:rtl/>
        </w:rPr>
        <w:t>يعود</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يحيى</w:t>
      </w:r>
      <w:r w:rsidRPr="00904FCB">
        <w:rPr>
          <w:sz w:val="27"/>
          <w:rtl/>
        </w:rPr>
        <w:t xml:space="preserve"> </w:t>
      </w:r>
      <w:r w:rsidRPr="00904FCB">
        <w:rPr>
          <w:rFonts w:hint="cs"/>
          <w:sz w:val="27"/>
          <w:rtl/>
        </w:rPr>
        <w:t>صاحب</w:t>
      </w:r>
      <w:r w:rsidRPr="00904FCB">
        <w:rPr>
          <w:sz w:val="27"/>
          <w:rtl/>
        </w:rPr>
        <w:t xml:space="preserve"> </w:t>
      </w:r>
      <w:r w:rsidRPr="00904FCB">
        <w:rPr>
          <w:rFonts w:hint="cs"/>
          <w:sz w:val="27"/>
          <w:rtl/>
        </w:rPr>
        <w:t>النوادر، وقد</w:t>
      </w:r>
      <w:r w:rsidRPr="00904FCB">
        <w:rPr>
          <w:sz w:val="27"/>
          <w:rtl/>
        </w:rPr>
        <w:t xml:space="preserve"> </w:t>
      </w:r>
      <w:r w:rsidRPr="00904FCB">
        <w:rPr>
          <w:rFonts w:hint="cs"/>
          <w:sz w:val="27"/>
          <w:rtl/>
        </w:rPr>
        <w:t>تقدّ</w:t>
      </w:r>
      <w:r w:rsidR="00B30099" w:rsidRPr="00904FCB">
        <w:rPr>
          <w:rFonts w:hint="cs"/>
          <w:sz w:val="27"/>
          <w:rtl/>
        </w:rPr>
        <w:t>َ</w:t>
      </w:r>
      <w:r w:rsidRPr="00904FCB">
        <w:rPr>
          <w:rFonts w:hint="cs"/>
          <w:sz w:val="27"/>
          <w:rtl/>
        </w:rPr>
        <w:t>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السابقة</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طريق</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إليه</w:t>
      </w:r>
      <w:r w:rsidRPr="00904FCB">
        <w:rPr>
          <w:sz w:val="27"/>
          <w:rtl/>
        </w:rPr>
        <w:t xml:space="preserve"> </w:t>
      </w:r>
      <w:r w:rsidRPr="00904FCB">
        <w:rPr>
          <w:rFonts w:hint="cs"/>
          <w:sz w:val="27"/>
          <w:rtl/>
        </w:rPr>
        <w:t>صحيح</w:t>
      </w:r>
      <w:r w:rsidR="00B30099" w:rsidRPr="00904FCB">
        <w:rPr>
          <w:rFonts w:hint="cs"/>
          <w:sz w:val="27"/>
          <w:rtl/>
        </w:rPr>
        <w:t>ٌ.</w:t>
      </w:r>
      <w:r w:rsidRPr="00904FCB">
        <w:rPr>
          <w:rFonts w:hint="cs"/>
          <w:sz w:val="27"/>
          <w:rtl/>
        </w:rPr>
        <w:t xml:space="preserve"> وبقيّة</w:t>
      </w:r>
      <w:r w:rsidRPr="00904FCB">
        <w:rPr>
          <w:sz w:val="27"/>
          <w:rtl/>
        </w:rPr>
        <w:t xml:space="preserve"> </w:t>
      </w:r>
      <w:r w:rsidRPr="00904FCB">
        <w:rPr>
          <w:rFonts w:hint="cs"/>
          <w:sz w:val="27"/>
          <w:rtl/>
        </w:rPr>
        <w:t>السند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رجال</w:t>
      </w:r>
      <w:r w:rsidRPr="00904FCB">
        <w:rPr>
          <w:sz w:val="27"/>
          <w:rtl/>
        </w:rPr>
        <w:t xml:space="preserve"> </w:t>
      </w:r>
      <w:r w:rsidRPr="00904FCB">
        <w:rPr>
          <w:rFonts w:hint="cs"/>
          <w:sz w:val="27"/>
          <w:rtl/>
        </w:rPr>
        <w:t>الصحيح</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 فإنّ</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كالصريحة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عكس</w:t>
      </w:r>
      <w:r w:rsidRPr="00904FCB">
        <w:rPr>
          <w:sz w:val="27"/>
          <w:rtl/>
        </w:rPr>
        <w:t xml:space="preserve"> </w:t>
      </w:r>
      <w:r w:rsidRPr="00904FCB">
        <w:rPr>
          <w:rFonts w:hint="cs"/>
          <w:sz w:val="27"/>
          <w:rtl/>
        </w:rPr>
        <w:t>المطلوب، ولا</w:t>
      </w:r>
      <w:r w:rsidRPr="00904FCB">
        <w:rPr>
          <w:sz w:val="27"/>
          <w:rtl/>
        </w:rPr>
        <w:t xml:space="preserve"> </w:t>
      </w:r>
      <w:r w:rsidRPr="00904FCB">
        <w:rPr>
          <w:rFonts w:hint="cs"/>
          <w:sz w:val="27"/>
          <w:rtl/>
        </w:rPr>
        <w:t>أدري</w:t>
      </w:r>
      <w:r w:rsidRPr="00904FCB">
        <w:rPr>
          <w:sz w:val="27"/>
          <w:rtl/>
        </w:rPr>
        <w:t xml:space="preserve"> </w:t>
      </w:r>
      <w:r w:rsidRPr="00904FCB">
        <w:rPr>
          <w:rFonts w:hint="cs"/>
          <w:sz w:val="27"/>
          <w:rtl/>
        </w:rPr>
        <w:t>لما</w:t>
      </w:r>
      <w:r w:rsidR="00B30099" w:rsidRPr="00904FCB">
        <w:rPr>
          <w:rFonts w:hint="cs"/>
          <w:sz w:val="27"/>
          <w:rtl/>
        </w:rPr>
        <w:t>ذا</w:t>
      </w:r>
      <w:r w:rsidRPr="00904FCB">
        <w:rPr>
          <w:sz w:val="27"/>
          <w:rtl/>
        </w:rPr>
        <w:t xml:space="preserve"> </w:t>
      </w:r>
      <w:r w:rsidRPr="00904FCB">
        <w:rPr>
          <w:rFonts w:hint="cs"/>
          <w:sz w:val="27"/>
          <w:rtl/>
        </w:rPr>
        <w:t>عدّ</w:t>
      </w:r>
      <w:r w:rsidR="00B30099" w:rsidRPr="00904FCB">
        <w:rPr>
          <w:rFonts w:hint="cs"/>
          <w:sz w:val="27"/>
          <w:rtl/>
        </w:rPr>
        <w:t>َ</w:t>
      </w:r>
      <w:r w:rsidRPr="00904FCB">
        <w:rPr>
          <w:rFonts w:hint="cs"/>
          <w:sz w:val="27"/>
          <w:rtl/>
        </w:rPr>
        <w:t>ها</w:t>
      </w:r>
      <w:r w:rsidRPr="00904FCB">
        <w:rPr>
          <w:sz w:val="27"/>
          <w:rtl/>
        </w:rPr>
        <w:t xml:space="preserve"> </w:t>
      </w:r>
      <w:r w:rsidRPr="00904FCB">
        <w:rPr>
          <w:rFonts w:hint="cs"/>
          <w:sz w:val="27"/>
          <w:rtl/>
        </w:rPr>
        <w:t>المحدّ</w:t>
      </w:r>
      <w:r w:rsidR="00B30099" w:rsidRPr="00904FCB">
        <w:rPr>
          <w:rFonts w:hint="cs"/>
          <w:sz w:val="27"/>
          <w:rtl/>
        </w:rPr>
        <w:t>ِ</w:t>
      </w:r>
      <w:r w:rsidRPr="00904FCB">
        <w:rPr>
          <w:rFonts w:hint="cs"/>
          <w:sz w:val="27"/>
          <w:rtl/>
        </w:rPr>
        <w:t>ث</w:t>
      </w:r>
      <w:r w:rsidRPr="00904FCB">
        <w:rPr>
          <w:sz w:val="27"/>
          <w:rtl/>
        </w:rPr>
        <w:t xml:space="preserve"> </w:t>
      </w:r>
      <w:r w:rsidRPr="00904FCB">
        <w:rPr>
          <w:rFonts w:hint="cs"/>
          <w:sz w:val="27"/>
          <w:rtl/>
        </w:rPr>
        <w:t>العاملي</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الدالّة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 مع</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التعليل</w:t>
      </w:r>
      <w:r w:rsidRPr="00904FCB">
        <w:rPr>
          <w:sz w:val="27"/>
          <w:rtl/>
        </w:rPr>
        <w:t xml:space="preserve"> </w:t>
      </w:r>
      <w:r w:rsidRPr="00904FCB">
        <w:rPr>
          <w:rFonts w:hint="cs"/>
          <w:sz w:val="27"/>
          <w:rtl/>
        </w:rPr>
        <w:t>بأنّها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تتوضّأ</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تغتسل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الجنابة</w:t>
      </w:r>
      <w:r w:rsidRPr="00904FCB">
        <w:rPr>
          <w:sz w:val="27"/>
          <w:rtl/>
        </w:rPr>
        <w:t xml:space="preserve"> </w:t>
      </w:r>
      <w:r w:rsidRPr="00904FCB">
        <w:rPr>
          <w:rFonts w:hint="cs"/>
          <w:sz w:val="27"/>
          <w:rtl/>
        </w:rPr>
        <w:t>يدلّ</w:t>
      </w:r>
      <w:r w:rsidRPr="00904FCB">
        <w:rPr>
          <w:sz w:val="27"/>
          <w:rtl/>
        </w:rPr>
        <w:t xml:space="preserve"> </w:t>
      </w:r>
      <w:r w:rsidRPr="00904FCB">
        <w:rPr>
          <w:rFonts w:hint="cs"/>
          <w:sz w:val="27"/>
          <w:rtl/>
        </w:rPr>
        <w:t>على</w:t>
      </w:r>
      <w:r w:rsidRPr="00904FCB">
        <w:rPr>
          <w:sz w:val="27"/>
          <w:rtl/>
        </w:rPr>
        <w:t xml:space="preserve"> </w:t>
      </w:r>
      <w:r w:rsidR="00B30099" w:rsidRPr="00904FCB">
        <w:rPr>
          <w:rFonts w:hint="cs"/>
          <w:sz w:val="27"/>
          <w:rtl/>
        </w:rPr>
        <w:t>ا</w:t>
      </w:r>
      <w:r w:rsidRPr="00904FCB">
        <w:rPr>
          <w:rFonts w:hint="cs"/>
          <w:sz w:val="27"/>
          <w:rtl/>
        </w:rPr>
        <w:t>رتكاز</w:t>
      </w:r>
      <w:r w:rsidRPr="00904FCB">
        <w:rPr>
          <w:sz w:val="27"/>
          <w:rtl/>
        </w:rPr>
        <w:t xml:space="preserve"> </w:t>
      </w:r>
      <w:r w:rsidRPr="00904FCB">
        <w:rPr>
          <w:rFonts w:hint="cs"/>
          <w:sz w:val="27"/>
          <w:rtl/>
        </w:rPr>
        <w:t>السائل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المانع</w:t>
      </w:r>
      <w:r w:rsidRPr="00904FCB">
        <w:rPr>
          <w:sz w:val="27"/>
          <w:rtl/>
        </w:rPr>
        <w:t xml:space="preserve"> </w:t>
      </w:r>
      <w:r w:rsidRPr="00904FCB">
        <w:rPr>
          <w:rFonts w:hint="cs"/>
          <w:sz w:val="27"/>
          <w:rtl/>
        </w:rPr>
        <w:t>والموجب</w:t>
      </w:r>
      <w:r w:rsidRPr="00904FCB">
        <w:rPr>
          <w:sz w:val="27"/>
          <w:rtl/>
        </w:rPr>
        <w:t xml:space="preserve"> </w:t>
      </w:r>
      <w:r w:rsidRPr="00904FCB">
        <w:rPr>
          <w:rFonts w:hint="cs"/>
          <w:sz w:val="27"/>
          <w:rtl/>
        </w:rPr>
        <w:t>للسؤال</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العرضيّة</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والمؤكّ</w:t>
      </w:r>
      <w:r w:rsidR="00B30099" w:rsidRPr="00904FCB">
        <w:rPr>
          <w:rFonts w:hint="cs"/>
          <w:sz w:val="27"/>
          <w:rtl/>
        </w:rPr>
        <w:t>ِ</w:t>
      </w:r>
      <w:r w:rsidRPr="00904FCB">
        <w:rPr>
          <w:rFonts w:hint="cs"/>
          <w:sz w:val="27"/>
          <w:rtl/>
        </w:rPr>
        <w:t>د</w:t>
      </w:r>
      <w:r w:rsidRPr="00904FCB">
        <w:rPr>
          <w:sz w:val="27"/>
          <w:rtl/>
        </w:rPr>
        <w:t xml:space="preserve"> </w:t>
      </w:r>
      <w:r w:rsidRPr="00904FCB">
        <w:rPr>
          <w:rFonts w:hint="cs"/>
          <w:sz w:val="27"/>
          <w:rtl/>
        </w:rPr>
        <w:t>لهذا</w:t>
      </w:r>
      <w:r w:rsidRPr="00904FCB">
        <w:rPr>
          <w:sz w:val="27"/>
          <w:rtl/>
        </w:rPr>
        <w:t xml:space="preserve"> </w:t>
      </w:r>
      <w:r w:rsidRPr="00904FCB">
        <w:rPr>
          <w:rFonts w:hint="cs"/>
          <w:sz w:val="27"/>
          <w:rtl/>
        </w:rPr>
        <w:t>الفهم</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جواب</w:t>
      </w:r>
      <w:r w:rsidRPr="00904FCB">
        <w:rPr>
          <w:sz w:val="27"/>
          <w:rtl/>
        </w:rPr>
        <w:t xml:space="preserve"> </w:t>
      </w:r>
      <w:r w:rsidRPr="00904FCB">
        <w:rPr>
          <w:rFonts w:hint="cs"/>
          <w:sz w:val="27"/>
          <w:rtl/>
        </w:rPr>
        <w:t>الإمام</w:t>
      </w:r>
      <w:r w:rsidR="001C1A2A" w:rsidRPr="00904FCB">
        <w:rPr>
          <w:rFonts w:cs="Mosawi"/>
          <w:sz w:val="27"/>
          <w:szCs w:val="22"/>
          <w:rtl/>
        </w:rPr>
        <w:t>×</w:t>
      </w:r>
      <w:r w:rsidRPr="00904FCB">
        <w:rPr>
          <w:sz w:val="27"/>
          <w:rtl/>
        </w:rPr>
        <w:t xml:space="preserve"> </w:t>
      </w:r>
      <w:r w:rsidRPr="00904FCB">
        <w:rPr>
          <w:rFonts w:hint="cs"/>
          <w:sz w:val="27"/>
          <w:rtl/>
        </w:rPr>
        <w:t>بأنّها</w:t>
      </w:r>
      <w:r w:rsidRPr="00904FCB">
        <w:rPr>
          <w:sz w:val="27"/>
          <w:rtl/>
        </w:rPr>
        <w:t xml:space="preserve"> </w:t>
      </w:r>
      <w:r w:rsidRPr="00904FCB">
        <w:rPr>
          <w:rFonts w:hint="cs"/>
          <w:sz w:val="27"/>
          <w:rtl/>
        </w:rPr>
        <w:t>تغسل</w:t>
      </w:r>
      <w:r w:rsidRPr="00904FCB">
        <w:rPr>
          <w:sz w:val="27"/>
          <w:rtl/>
        </w:rPr>
        <w:t xml:space="preserve"> </w:t>
      </w:r>
      <w:r w:rsidRPr="00904FCB">
        <w:rPr>
          <w:rFonts w:hint="cs"/>
          <w:sz w:val="27"/>
          <w:rtl/>
        </w:rPr>
        <w:t>يديها</w:t>
      </w:r>
      <w:r w:rsidR="00B30099" w:rsidRPr="00904FCB">
        <w:rPr>
          <w:rFonts w:hint="cs"/>
          <w:sz w:val="27"/>
          <w:rtl/>
        </w:rPr>
        <w:t>.</w:t>
      </w:r>
      <w:r w:rsidRPr="00904FCB">
        <w:rPr>
          <w:rFonts w:hint="cs"/>
          <w:sz w:val="27"/>
          <w:rtl/>
        </w:rPr>
        <w:t xml:space="preserve"> وهذا</w:t>
      </w:r>
      <w:r w:rsidRPr="00904FCB">
        <w:rPr>
          <w:sz w:val="27"/>
          <w:rtl/>
        </w:rPr>
        <w:t xml:space="preserve"> </w:t>
      </w:r>
      <w:r w:rsidRPr="00904FCB">
        <w:rPr>
          <w:rFonts w:hint="cs"/>
          <w:sz w:val="27"/>
          <w:rtl/>
        </w:rPr>
        <w:t>بمثابة</w:t>
      </w:r>
      <w:r w:rsidRPr="00904FCB">
        <w:rPr>
          <w:sz w:val="27"/>
          <w:rtl/>
        </w:rPr>
        <w:t xml:space="preserve"> </w:t>
      </w:r>
      <w:r w:rsidRPr="00904FCB">
        <w:rPr>
          <w:rFonts w:hint="cs"/>
          <w:sz w:val="27"/>
          <w:rtl/>
        </w:rPr>
        <w:t>التصريح</w:t>
      </w:r>
      <w:r w:rsidRPr="00904FCB">
        <w:rPr>
          <w:sz w:val="27"/>
          <w:rtl/>
        </w:rPr>
        <w:t xml:space="preserve"> </w:t>
      </w:r>
      <w:r w:rsidRPr="00904FCB">
        <w:rPr>
          <w:rFonts w:hint="cs"/>
          <w:sz w:val="27"/>
          <w:rtl/>
        </w:rPr>
        <w:t>بطهارتها</w:t>
      </w:r>
      <w:r w:rsidRPr="00904FCB">
        <w:rPr>
          <w:sz w:val="27"/>
          <w:rtl/>
        </w:rPr>
        <w:t xml:space="preserve"> </w:t>
      </w:r>
      <w:r w:rsidRPr="00904FCB">
        <w:rPr>
          <w:rFonts w:hint="cs"/>
          <w:sz w:val="27"/>
          <w:rtl/>
        </w:rPr>
        <w:t>الذاتيّة، وإلاّ</w:t>
      </w:r>
      <w:r w:rsidRPr="00904FCB">
        <w:rPr>
          <w:sz w:val="27"/>
          <w:rtl/>
        </w:rPr>
        <w:t xml:space="preserve"> </w:t>
      </w:r>
      <w:r w:rsidRPr="00904FCB">
        <w:rPr>
          <w:rFonts w:hint="cs"/>
          <w:sz w:val="27"/>
          <w:rtl/>
        </w:rPr>
        <w:t>فإنّ</w:t>
      </w:r>
      <w:r w:rsidRPr="00904FCB">
        <w:rPr>
          <w:sz w:val="27"/>
          <w:rtl/>
        </w:rPr>
        <w:t xml:space="preserve"> </w:t>
      </w:r>
      <w:r w:rsidRPr="00904FCB">
        <w:rPr>
          <w:rFonts w:hint="cs"/>
          <w:sz w:val="27"/>
          <w:rtl/>
        </w:rPr>
        <w:t>غسلها</w:t>
      </w:r>
      <w:r w:rsidRPr="00904FCB">
        <w:rPr>
          <w:sz w:val="27"/>
          <w:rtl/>
        </w:rPr>
        <w:t xml:space="preserve"> </w:t>
      </w:r>
      <w:r w:rsidRPr="00904FCB">
        <w:rPr>
          <w:rFonts w:hint="cs"/>
          <w:sz w:val="27"/>
          <w:rtl/>
        </w:rPr>
        <w:t>ليديها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يزيدها</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نجاسة</w:t>
      </w:r>
      <w:r w:rsidR="00B30099" w:rsidRPr="00904FCB">
        <w:rPr>
          <w:rFonts w:hint="cs"/>
          <w:sz w:val="27"/>
          <w:rtl/>
        </w:rPr>
        <w:t>ً</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الرطوبة</w:t>
      </w:r>
      <w:r w:rsidRPr="00904FCB">
        <w:rPr>
          <w:sz w:val="27"/>
          <w:rtl/>
        </w:rPr>
        <w:t xml:space="preserve"> </w:t>
      </w:r>
      <w:r w:rsidRPr="00904FCB">
        <w:rPr>
          <w:rFonts w:hint="cs"/>
          <w:sz w:val="27"/>
          <w:rtl/>
        </w:rPr>
        <w:t>المسرية</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نجسة</w:t>
      </w:r>
      <w:r w:rsidRPr="00904FCB">
        <w:rPr>
          <w:sz w:val="27"/>
          <w:rtl/>
        </w:rPr>
        <w:t xml:space="preserve"> </w:t>
      </w:r>
      <w:r w:rsidRPr="00904FCB">
        <w:rPr>
          <w:rFonts w:hint="cs"/>
          <w:sz w:val="27"/>
          <w:rtl/>
        </w:rPr>
        <w:t>العين</w:t>
      </w:r>
      <w:r w:rsidRPr="00904FCB">
        <w:rPr>
          <w:sz w:val="27"/>
          <w:rtl/>
        </w:rPr>
        <w:t xml:space="preserve">. </w:t>
      </w:r>
      <w:r w:rsidRPr="00904FCB">
        <w:rPr>
          <w:rFonts w:hint="cs"/>
          <w:sz w:val="27"/>
          <w:rtl/>
        </w:rPr>
        <w:t>فالرواية</w:t>
      </w:r>
      <w:r w:rsidRPr="00904FCB">
        <w:rPr>
          <w:sz w:val="27"/>
          <w:rtl/>
        </w:rPr>
        <w:t xml:space="preserve"> </w:t>
      </w:r>
      <w:r w:rsidRPr="00904FCB">
        <w:rPr>
          <w:rFonts w:hint="cs"/>
          <w:sz w:val="27"/>
          <w:rtl/>
        </w:rPr>
        <w:t>ن</w:t>
      </w:r>
      <w:r w:rsidR="00B30099" w:rsidRPr="00904FCB">
        <w:rPr>
          <w:rFonts w:hint="cs"/>
          <w:sz w:val="27"/>
          <w:rtl/>
        </w:rPr>
        <w:t>ِ</w:t>
      </w:r>
      <w:r w:rsidRPr="00904FCB">
        <w:rPr>
          <w:rFonts w:hint="cs"/>
          <w:sz w:val="27"/>
          <w:rtl/>
        </w:rPr>
        <w:t>ع</w:t>
      </w:r>
      <w:r w:rsidR="00B30099" w:rsidRPr="00904FCB">
        <w:rPr>
          <w:rFonts w:hint="cs"/>
          <w:sz w:val="27"/>
          <w:rtl/>
        </w:rPr>
        <w:t>ْ</w:t>
      </w:r>
      <w:r w:rsidRPr="00904FCB">
        <w:rPr>
          <w:rFonts w:hint="cs"/>
          <w:sz w:val="27"/>
          <w:rtl/>
        </w:rPr>
        <w:t>مَ</w:t>
      </w:r>
      <w:r w:rsidRPr="00904FCB">
        <w:rPr>
          <w:sz w:val="27"/>
          <w:rtl/>
        </w:rPr>
        <w:t xml:space="preserve"> </w:t>
      </w:r>
      <w:r w:rsidRPr="00904FCB">
        <w:rPr>
          <w:rFonts w:hint="cs"/>
          <w:sz w:val="27"/>
          <w:rtl/>
        </w:rPr>
        <w:t>الدليل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الطهارة</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في</w:t>
      </w:r>
      <w:r w:rsidRPr="00904FCB">
        <w:rPr>
          <w:sz w:val="27"/>
          <w:rtl/>
        </w:rPr>
        <w:t xml:space="preserve"> </w:t>
      </w:r>
      <w:r w:rsidR="00B2457B" w:rsidRPr="00904FCB">
        <w:rPr>
          <w:rFonts w:hint="cs"/>
          <w:sz w:val="27"/>
          <w:rtl/>
        </w:rPr>
        <w:t>موردها.</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الثانية</w:t>
      </w:r>
      <w:r w:rsidRPr="00904FCB">
        <w:rPr>
          <w:b/>
          <w:bCs/>
          <w:sz w:val="27"/>
          <w:rtl/>
        </w:rPr>
        <w:t xml:space="preserve"> </w:t>
      </w:r>
      <w:r w:rsidRPr="00904FCB">
        <w:rPr>
          <w:rFonts w:hint="cs"/>
          <w:b/>
          <w:bCs/>
          <w:sz w:val="27"/>
          <w:rtl/>
        </w:rPr>
        <w:t>عشرة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البرقي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المحاسن،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أَحْمَدُ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الْبَرْقِيُّ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الْمَحَاسِنِ</w:t>
      </w:r>
      <w:r w:rsidR="00B66E1B"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عِيسَى</w:t>
      </w:r>
      <w:r w:rsidR="00B66E1B"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صَفْوَانَ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يَحْيَى</w:t>
      </w:r>
      <w:r w:rsidR="00B66E1B"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مُوسَى</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بَكْرٍ</w:t>
      </w:r>
      <w:r w:rsidR="00B66E1B"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زُرَارَةَ</w:t>
      </w:r>
      <w:r w:rsidR="00B66E1B"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00B66E1B"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آنِيَةِ</w:t>
      </w:r>
      <w:r w:rsidRPr="00904FCB">
        <w:rPr>
          <w:sz w:val="27"/>
          <w:rtl/>
        </w:rPr>
        <w:t xml:space="preserve"> </w:t>
      </w:r>
      <w:r w:rsidRPr="00904FCB">
        <w:rPr>
          <w:rFonts w:hint="cs"/>
          <w:sz w:val="27"/>
          <w:rtl/>
        </w:rPr>
        <w:t>الْمَجُوسِ، قَالَ</w:t>
      </w:r>
      <w:r w:rsidRPr="00904FCB">
        <w:rPr>
          <w:sz w:val="27"/>
          <w:rtl/>
        </w:rPr>
        <w:t xml:space="preserve">: </w:t>
      </w:r>
      <w:r w:rsidRPr="00904FCB">
        <w:rPr>
          <w:rFonts w:hint="cs"/>
          <w:sz w:val="27"/>
          <w:rtl/>
        </w:rPr>
        <w:t>إِذَا</w:t>
      </w:r>
      <w:r w:rsidRPr="00904FCB">
        <w:rPr>
          <w:sz w:val="27"/>
          <w:rtl/>
        </w:rPr>
        <w:t xml:space="preserve"> </w:t>
      </w:r>
      <w:r w:rsidRPr="00904FCB">
        <w:rPr>
          <w:rFonts w:hint="cs"/>
          <w:sz w:val="27"/>
          <w:rtl/>
        </w:rPr>
        <w:t>اضْطُرِرْتُمْ</w:t>
      </w:r>
      <w:r w:rsidRPr="00904FCB">
        <w:rPr>
          <w:sz w:val="27"/>
          <w:rtl/>
        </w:rPr>
        <w:t xml:space="preserve"> </w:t>
      </w:r>
      <w:r w:rsidRPr="00904FCB">
        <w:rPr>
          <w:rFonts w:hint="cs"/>
          <w:sz w:val="27"/>
          <w:rtl/>
        </w:rPr>
        <w:t>إِلَيْهَا</w:t>
      </w:r>
      <w:r w:rsidRPr="00904FCB">
        <w:rPr>
          <w:sz w:val="27"/>
          <w:rtl/>
        </w:rPr>
        <w:t xml:space="preserve"> </w:t>
      </w:r>
      <w:r w:rsidRPr="00904FCB">
        <w:rPr>
          <w:rFonts w:hint="cs"/>
          <w:sz w:val="27"/>
          <w:rtl/>
        </w:rPr>
        <w:t>فَاغْسِلُوهَا</w:t>
      </w:r>
      <w:r w:rsidRPr="00904FCB">
        <w:rPr>
          <w:sz w:val="27"/>
          <w:rtl/>
        </w:rPr>
        <w:t xml:space="preserve"> </w:t>
      </w:r>
      <w:r w:rsidRPr="00904FCB">
        <w:rPr>
          <w:rFonts w:hint="cs"/>
          <w:sz w:val="27"/>
          <w:rtl/>
        </w:rPr>
        <w:t>بِالْمَاءِ</w:t>
      </w:r>
      <w:r w:rsidRPr="00904FCB">
        <w:rPr>
          <w:rFonts w:hint="eastAsia"/>
          <w:sz w:val="27"/>
          <w:rtl/>
        </w:rPr>
        <w:t>»</w:t>
      </w:r>
      <w:r w:rsidRPr="00904FCB">
        <w:rPr>
          <w:rFonts w:hint="cs"/>
          <w:sz w:val="27"/>
          <w:vertAlign w:val="superscript"/>
          <w:rtl/>
        </w:rPr>
        <w:t>(</w:t>
      </w:r>
      <w:r w:rsidRPr="00904FCB">
        <w:rPr>
          <w:rStyle w:val="ac"/>
          <w:sz w:val="27"/>
          <w:rtl/>
        </w:rPr>
        <w:endnoteReference w:id="688"/>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معتبر</w:t>
      </w:r>
      <w:r w:rsidR="00B66E1B" w:rsidRPr="00904FCB">
        <w:rPr>
          <w:rFonts w:hint="cs"/>
          <w:sz w:val="27"/>
          <w:rtl/>
        </w:rPr>
        <w:t>ٌ</w:t>
      </w:r>
      <w:r w:rsidRPr="00904FCB">
        <w:rPr>
          <w:rFonts w:hint="cs"/>
          <w:sz w:val="27"/>
          <w:rtl/>
        </w:rPr>
        <w:t>؛ لأنّ</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رجاله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الأجلاّء</w:t>
      </w:r>
      <w:r w:rsidRPr="00904FCB">
        <w:rPr>
          <w:sz w:val="27"/>
          <w:rtl/>
        </w:rPr>
        <w:t xml:space="preserve"> </w:t>
      </w:r>
      <w:r w:rsidRPr="00904FCB">
        <w:rPr>
          <w:rFonts w:hint="cs"/>
          <w:sz w:val="27"/>
          <w:rtl/>
        </w:rPr>
        <w:t>والموثّ</w:t>
      </w:r>
      <w:r w:rsidR="00B66E1B" w:rsidRPr="00904FCB">
        <w:rPr>
          <w:rFonts w:hint="cs"/>
          <w:sz w:val="27"/>
          <w:rtl/>
        </w:rPr>
        <w:t>َ</w:t>
      </w:r>
      <w:r w:rsidRPr="00904FCB">
        <w:rPr>
          <w:rFonts w:hint="cs"/>
          <w:sz w:val="27"/>
          <w:rtl/>
        </w:rPr>
        <w:t>قين</w:t>
      </w:r>
      <w:r w:rsidR="00B66E1B" w:rsidRPr="00904FCB">
        <w:rPr>
          <w:rFonts w:hint="cs"/>
          <w:sz w:val="27"/>
          <w:rtl/>
        </w:rPr>
        <w:t>،</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جاء في المحاسن</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 فقد</w:t>
      </w:r>
      <w:r w:rsidRPr="00904FCB">
        <w:rPr>
          <w:sz w:val="27"/>
          <w:rtl/>
        </w:rPr>
        <w:t xml:space="preserve"> </w:t>
      </w:r>
      <w:r w:rsidRPr="00904FCB">
        <w:rPr>
          <w:rFonts w:hint="cs"/>
          <w:sz w:val="27"/>
          <w:rtl/>
        </w:rPr>
        <w:t>ي</w:t>
      </w:r>
      <w:r w:rsidR="00B66E1B" w:rsidRPr="00904FCB">
        <w:rPr>
          <w:rFonts w:hint="cs"/>
          <w:sz w:val="27"/>
          <w:rtl/>
        </w:rPr>
        <w:t>ُ</w:t>
      </w:r>
      <w:r w:rsidRPr="00904FCB">
        <w:rPr>
          <w:rFonts w:hint="cs"/>
          <w:sz w:val="27"/>
          <w:rtl/>
        </w:rPr>
        <w:t>قال</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المقصود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الأمر</w:t>
      </w:r>
      <w:r w:rsidRPr="00904FCB">
        <w:rPr>
          <w:sz w:val="27"/>
          <w:rtl/>
        </w:rPr>
        <w:t xml:space="preserve"> </w:t>
      </w:r>
      <w:r w:rsidRPr="00904FCB">
        <w:rPr>
          <w:rFonts w:hint="cs"/>
          <w:sz w:val="27"/>
          <w:rtl/>
        </w:rPr>
        <w:t>بغسل</w:t>
      </w:r>
      <w:r w:rsidRPr="00904FCB">
        <w:rPr>
          <w:sz w:val="27"/>
          <w:rtl/>
        </w:rPr>
        <w:t xml:space="preserve"> </w:t>
      </w:r>
      <w:r w:rsidRPr="00904FCB">
        <w:rPr>
          <w:rFonts w:hint="cs"/>
          <w:sz w:val="27"/>
          <w:rtl/>
        </w:rPr>
        <w:t>أواني</w:t>
      </w:r>
      <w:r w:rsidRPr="00904FCB">
        <w:rPr>
          <w:sz w:val="27"/>
          <w:rtl/>
        </w:rPr>
        <w:t xml:space="preserve"> </w:t>
      </w:r>
      <w:r w:rsidRPr="00904FCB">
        <w:rPr>
          <w:rFonts w:hint="cs"/>
          <w:sz w:val="27"/>
          <w:rtl/>
        </w:rPr>
        <w:t>المجوس</w:t>
      </w:r>
      <w:r w:rsidRPr="00904FCB">
        <w:rPr>
          <w:sz w:val="27"/>
          <w:rtl/>
        </w:rPr>
        <w:t xml:space="preserve"> </w:t>
      </w:r>
      <w:r w:rsidRPr="00904FCB">
        <w:rPr>
          <w:rFonts w:hint="cs"/>
          <w:sz w:val="27"/>
          <w:rtl/>
        </w:rPr>
        <w:t>بالماء</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كونها</w:t>
      </w:r>
      <w:r w:rsidRPr="00904FCB">
        <w:rPr>
          <w:sz w:val="27"/>
          <w:rtl/>
        </w:rPr>
        <w:t xml:space="preserve"> </w:t>
      </w:r>
      <w:r w:rsidRPr="00904FCB">
        <w:rPr>
          <w:rFonts w:hint="cs"/>
          <w:sz w:val="27"/>
          <w:rtl/>
        </w:rPr>
        <w:t>متنجّ</w:t>
      </w:r>
      <w:r w:rsidR="00B66E1B" w:rsidRPr="00904FCB">
        <w:rPr>
          <w:rFonts w:hint="cs"/>
          <w:sz w:val="27"/>
          <w:rtl/>
        </w:rPr>
        <w:t>ِ</w:t>
      </w:r>
      <w:r w:rsidRPr="00904FCB">
        <w:rPr>
          <w:rFonts w:hint="cs"/>
          <w:sz w:val="27"/>
          <w:rtl/>
        </w:rPr>
        <w:t>سة</w:t>
      </w:r>
      <w:r w:rsidR="00B66E1B" w:rsidRPr="00904FCB">
        <w:rPr>
          <w:rFonts w:hint="cs"/>
          <w:sz w:val="27"/>
          <w:rtl/>
        </w:rPr>
        <w:t>؛</w:t>
      </w:r>
      <w:r w:rsidRPr="00904FCB">
        <w:rPr>
          <w:sz w:val="27"/>
          <w:rtl/>
        </w:rPr>
        <w:t xml:space="preserve"> </w:t>
      </w:r>
      <w:r w:rsidRPr="00904FCB">
        <w:rPr>
          <w:rFonts w:hint="cs"/>
          <w:sz w:val="27"/>
          <w:rtl/>
        </w:rPr>
        <w:t>لمزاولتهم</w:t>
      </w:r>
      <w:r w:rsidRPr="00904FCB">
        <w:rPr>
          <w:sz w:val="27"/>
          <w:rtl/>
        </w:rPr>
        <w:t xml:space="preserve"> </w:t>
      </w:r>
      <w:r w:rsidRPr="00904FCB">
        <w:rPr>
          <w:rFonts w:hint="cs"/>
          <w:sz w:val="27"/>
          <w:rtl/>
        </w:rPr>
        <w:t>لها، وهو</w:t>
      </w:r>
      <w:r w:rsidRPr="00904FCB">
        <w:rPr>
          <w:sz w:val="27"/>
          <w:rtl/>
        </w:rPr>
        <w:t xml:space="preserve"> </w:t>
      </w:r>
      <w:r w:rsidRPr="00904FCB">
        <w:rPr>
          <w:rFonts w:hint="cs"/>
          <w:sz w:val="27"/>
          <w:rtl/>
        </w:rPr>
        <w:t>ي</w:t>
      </w:r>
      <w:r w:rsidR="00B66E1B" w:rsidRPr="00904FCB">
        <w:rPr>
          <w:rFonts w:hint="cs"/>
          <w:sz w:val="27"/>
          <w:rtl/>
        </w:rPr>
        <w:t>ُ</w:t>
      </w:r>
      <w:r w:rsidRPr="00904FCB">
        <w:rPr>
          <w:rFonts w:hint="cs"/>
          <w:sz w:val="27"/>
          <w:rtl/>
        </w:rPr>
        <w:t>نبئ</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نجاستهم</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إلاّ</w:t>
      </w:r>
      <w:r w:rsidRPr="00904FCB">
        <w:rPr>
          <w:sz w:val="27"/>
          <w:rtl/>
        </w:rPr>
        <w:t xml:space="preserve"> </w:t>
      </w:r>
      <w:r w:rsidRPr="00904FCB">
        <w:rPr>
          <w:rFonts w:hint="cs"/>
          <w:sz w:val="27"/>
          <w:rtl/>
        </w:rPr>
        <w:t>أنّك</w:t>
      </w:r>
      <w:r w:rsidRPr="00904FCB">
        <w:rPr>
          <w:sz w:val="27"/>
          <w:rtl/>
        </w:rPr>
        <w:t xml:space="preserve"> </w:t>
      </w:r>
      <w:r w:rsidRPr="00904FCB">
        <w:rPr>
          <w:rFonts w:hint="cs"/>
          <w:sz w:val="27"/>
          <w:rtl/>
        </w:rPr>
        <w:t>خبيرٌ</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لازم</w:t>
      </w:r>
      <w:r w:rsidR="00B66E1B" w:rsidRPr="00904FCB">
        <w:rPr>
          <w:rFonts w:hint="cs"/>
          <w:sz w:val="27"/>
          <w:rtl/>
        </w:rPr>
        <w:t>ٌ</w:t>
      </w:r>
      <w:r w:rsidRPr="00904FCB">
        <w:rPr>
          <w:sz w:val="27"/>
          <w:rtl/>
        </w:rPr>
        <w:t xml:space="preserve"> </w:t>
      </w:r>
      <w:r w:rsidRPr="00904FCB">
        <w:rPr>
          <w:rFonts w:hint="cs"/>
          <w:sz w:val="27"/>
          <w:rtl/>
        </w:rPr>
        <w:t>أعمّ؛ إذ</w:t>
      </w:r>
      <w:r w:rsidRPr="00904FCB">
        <w:rPr>
          <w:sz w:val="27"/>
          <w:rtl/>
        </w:rPr>
        <w:t xml:space="preserve"> </w:t>
      </w:r>
      <w:r w:rsidRPr="00904FCB">
        <w:rPr>
          <w:rFonts w:hint="cs"/>
          <w:sz w:val="27"/>
          <w:rtl/>
        </w:rPr>
        <w:t>لعلّ</w:t>
      </w:r>
      <w:r w:rsidRPr="00904FCB">
        <w:rPr>
          <w:sz w:val="27"/>
          <w:rtl/>
        </w:rPr>
        <w:t xml:space="preserve"> </w:t>
      </w:r>
      <w:r w:rsidRPr="00904FCB">
        <w:rPr>
          <w:rFonts w:hint="cs"/>
          <w:sz w:val="27"/>
          <w:rtl/>
        </w:rPr>
        <w:t>الغسل</w:t>
      </w:r>
      <w:r w:rsidRPr="00904FCB">
        <w:rPr>
          <w:sz w:val="27"/>
          <w:rtl/>
        </w:rPr>
        <w:t xml:space="preserve"> </w:t>
      </w:r>
      <w:r w:rsidRPr="00904FCB">
        <w:rPr>
          <w:rFonts w:hint="cs"/>
          <w:sz w:val="27"/>
          <w:rtl/>
        </w:rPr>
        <w:t>بالماء</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ينفكّون</w:t>
      </w:r>
      <w:r w:rsidRPr="00904FCB">
        <w:rPr>
          <w:sz w:val="27"/>
          <w:rtl/>
        </w:rPr>
        <w:t xml:space="preserve"> </w:t>
      </w:r>
      <w:r w:rsidRPr="00904FCB">
        <w:rPr>
          <w:rFonts w:hint="cs"/>
          <w:sz w:val="27"/>
          <w:rtl/>
        </w:rPr>
        <w:t>عنه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مساورة</w:t>
      </w:r>
      <w:r w:rsidRPr="00904FCB">
        <w:rPr>
          <w:sz w:val="27"/>
          <w:rtl/>
        </w:rPr>
        <w:t xml:space="preserve"> </w:t>
      </w:r>
      <w:r w:rsidRPr="00904FCB">
        <w:rPr>
          <w:rFonts w:hint="cs"/>
          <w:sz w:val="27"/>
          <w:rtl/>
        </w:rPr>
        <w:t>النجاسات</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يستحلّ</w:t>
      </w:r>
      <w:r w:rsidR="00B66E1B" w:rsidRPr="00904FCB">
        <w:rPr>
          <w:rFonts w:hint="cs"/>
          <w:sz w:val="27"/>
          <w:rtl/>
        </w:rPr>
        <w:t>ُ</w:t>
      </w:r>
      <w:r w:rsidR="00B2457B" w:rsidRPr="00904FCB">
        <w:rPr>
          <w:rFonts w:hint="cs"/>
          <w:sz w:val="27"/>
          <w:rtl/>
        </w:rPr>
        <w:t>ونها.</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الثالثة</w:t>
      </w:r>
      <w:r w:rsidRPr="00904FCB">
        <w:rPr>
          <w:b/>
          <w:bCs/>
          <w:sz w:val="27"/>
          <w:rtl/>
        </w:rPr>
        <w:t xml:space="preserve"> </w:t>
      </w:r>
      <w:r w:rsidRPr="00904FCB">
        <w:rPr>
          <w:rFonts w:hint="cs"/>
          <w:b/>
          <w:bCs/>
          <w:sz w:val="27"/>
          <w:rtl/>
        </w:rPr>
        <w:t>عشرة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البرقي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المحاسن،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عَنْ</w:t>
      </w:r>
      <w:r w:rsidRPr="00904FCB">
        <w:rPr>
          <w:sz w:val="27"/>
          <w:rtl/>
        </w:rPr>
        <w:t xml:space="preserve"> </w:t>
      </w:r>
      <w:r w:rsidRPr="00904FCB">
        <w:rPr>
          <w:rFonts w:hint="cs"/>
          <w:sz w:val="27"/>
          <w:rtl/>
        </w:rPr>
        <w:t>أَبِيهِ</w:t>
      </w:r>
      <w:r w:rsidR="00B66E1B"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سِنَانٍ</w:t>
      </w:r>
      <w:r w:rsidR="00B66E1B"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إِسْمَاعِيلَ</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جَابِرٍ</w:t>
      </w:r>
      <w:r w:rsidRPr="00904FCB">
        <w:rPr>
          <w:sz w:val="27"/>
          <w:rtl/>
        </w:rPr>
        <w:t xml:space="preserve"> </w:t>
      </w:r>
      <w:r w:rsidRPr="00904FCB">
        <w:rPr>
          <w:rFonts w:hint="cs"/>
          <w:sz w:val="27"/>
          <w:rtl/>
        </w:rPr>
        <w:t>وعَبْدِ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طَلْحَةَ</w:t>
      </w:r>
      <w:r w:rsidRPr="00904FCB">
        <w:rPr>
          <w:sz w:val="27"/>
          <w:rtl/>
        </w:rPr>
        <w:t xml:space="preserve"> </w:t>
      </w:r>
      <w:r w:rsidRPr="00904FCB">
        <w:rPr>
          <w:rFonts w:hint="cs"/>
          <w:sz w:val="27"/>
          <w:rtl/>
        </w:rPr>
        <w:t>قَالا</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أَبُو</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lastRenderedPageBreak/>
        <w:t>اللهِ</w:t>
      </w:r>
      <w:r w:rsidR="001C1A2A" w:rsidRPr="00904FCB">
        <w:rPr>
          <w:rFonts w:cs="Mosawi"/>
          <w:sz w:val="27"/>
          <w:szCs w:val="22"/>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تَأْكُلْ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ذَبِيحَةِ</w:t>
      </w:r>
      <w:r w:rsidRPr="00904FCB">
        <w:rPr>
          <w:sz w:val="27"/>
          <w:rtl/>
        </w:rPr>
        <w:t xml:space="preserve"> </w:t>
      </w:r>
      <w:r w:rsidRPr="00904FCB">
        <w:rPr>
          <w:rFonts w:hint="cs"/>
          <w:sz w:val="27"/>
          <w:rtl/>
        </w:rPr>
        <w:t>الْيَهُودِيِّ</w:t>
      </w:r>
      <w:r w:rsidR="00B66E1B"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تَأْكُلْ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آنِيَتِهِمْ</w:t>
      </w:r>
      <w:r w:rsidRPr="00904FCB">
        <w:rPr>
          <w:rFonts w:hint="eastAsia"/>
          <w:sz w:val="27"/>
          <w:rtl/>
        </w:rPr>
        <w:t>»</w:t>
      </w:r>
      <w:r w:rsidRPr="00904FCB">
        <w:rPr>
          <w:rFonts w:hint="cs"/>
          <w:sz w:val="27"/>
          <w:vertAlign w:val="superscript"/>
          <w:rtl/>
        </w:rPr>
        <w:t>(</w:t>
      </w:r>
      <w:r w:rsidRPr="00904FCB">
        <w:rPr>
          <w:rStyle w:val="ac"/>
          <w:sz w:val="27"/>
          <w:rtl/>
        </w:rPr>
        <w:endnoteReference w:id="689"/>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الرواية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المحاسن</w:t>
      </w:r>
      <w:r w:rsidRPr="00904FCB">
        <w:rPr>
          <w:sz w:val="27"/>
          <w:rtl/>
        </w:rPr>
        <w:t xml:space="preserve"> </w:t>
      </w:r>
      <w:r w:rsidRPr="00904FCB">
        <w:rPr>
          <w:rFonts w:hint="cs"/>
          <w:sz w:val="27"/>
          <w:rtl/>
        </w:rPr>
        <w:t>للبرقي</w:t>
      </w:r>
      <w:r w:rsidRPr="00904FCB">
        <w:rPr>
          <w:sz w:val="27"/>
          <w:rtl/>
        </w:rPr>
        <w:t xml:space="preserve"> </w:t>
      </w:r>
      <w:r w:rsidRPr="00904FCB">
        <w:rPr>
          <w:rFonts w:hint="cs"/>
          <w:sz w:val="27"/>
          <w:rtl/>
        </w:rPr>
        <w:t>أيضاً</w:t>
      </w:r>
      <w:r w:rsidR="00B66E1B" w:rsidRPr="00904FCB">
        <w:rPr>
          <w:rFonts w:hint="cs"/>
          <w:sz w:val="27"/>
          <w:rtl/>
        </w:rPr>
        <w:t>.</w:t>
      </w:r>
      <w:r w:rsidRPr="00904FCB">
        <w:rPr>
          <w:rFonts w:hint="cs"/>
          <w:sz w:val="27"/>
          <w:rtl/>
        </w:rPr>
        <w:t xml:space="preserve"> وهو</w:t>
      </w:r>
      <w:r w:rsidRPr="00904FCB">
        <w:rPr>
          <w:sz w:val="27"/>
          <w:rtl/>
        </w:rPr>
        <w:t xml:space="preserve"> </w:t>
      </w:r>
      <w:r w:rsidRPr="00904FCB">
        <w:rPr>
          <w:rFonts w:hint="cs"/>
          <w:sz w:val="27"/>
          <w:rtl/>
        </w:rPr>
        <w:t>يرويها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أبيه</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خالد</w:t>
      </w:r>
      <w:r w:rsidRPr="00904FCB">
        <w:rPr>
          <w:sz w:val="27"/>
          <w:rtl/>
        </w:rPr>
        <w:t xml:space="preserve"> </w:t>
      </w:r>
      <w:r w:rsidRPr="00904FCB">
        <w:rPr>
          <w:rFonts w:hint="cs"/>
          <w:sz w:val="27"/>
          <w:rtl/>
        </w:rPr>
        <w:t>الثقة</w:t>
      </w:r>
      <w:r w:rsidRPr="00904FCB">
        <w:rPr>
          <w:sz w:val="27"/>
          <w:rtl/>
        </w:rPr>
        <w:t xml:space="preserve"> </w:t>
      </w:r>
      <w:r w:rsidRPr="00904FCB">
        <w:rPr>
          <w:rFonts w:hint="cs"/>
          <w:sz w:val="27"/>
          <w:rtl/>
        </w:rPr>
        <w:t>الجليل</w:t>
      </w:r>
      <w:r w:rsidR="00B66E1B" w:rsidRPr="00904FCB">
        <w:rPr>
          <w:rFonts w:hint="cs"/>
          <w:sz w:val="27"/>
          <w:rtl/>
        </w:rPr>
        <w:t>.</w:t>
      </w:r>
      <w:r w:rsidRPr="00904FCB">
        <w:rPr>
          <w:rFonts w:hint="cs"/>
          <w:sz w:val="27"/>
          <w:rtl/>
        </w:rPr>
        <w:t xml:space="preserve"> ولكنّ</w:t>
      </w:r>
      <w:r w:rsidRPr="00904FCB">
        <w:rPr>
          <w:sz w:val="27"/>
          <w:rtl/>
        </w:rPr>
        <w:t xml:space="preserve"> </w:t>
      </w:r>
      <w:r w:rsidRPr="00904FCB">
        <w:rPr>
          <w:rFonts w:hint="cs"/>
          <w:sz w:val="27"/>
          <w:rtl/>
        </w:rPr>
        <w:t>الأب</w:t>
      </w:r>
      <w:r w:rsidRPr="00904FCB">
        <w:rPr>
          <w:sz w:val="27"/>
          <w:rtl/>
        </w:rPr>
        <w:t xml:space="preserve"> </w:t>
      </w:r>
      <w:r w:rsidRPr="00904FCB">
        <w:rPr>
          <w:rFonts w:hint="cs"/>
          <w:sz w:val="27"/>
          <w:rtl/>
        </w:rPr>
        <w:t>يروي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سنان، وهو</w:t>
      </w:r>
      <w:r w:rsidRPr="00904FCB">
        <w:rPr>
          <w:sz w:val="27"/>
          <w:rtl/>
        </w:rPr>
        <w:t xml:space="preserve"> </w:t>
      </w:r>
      <w:r w:rsidRPr="00904FCB">
        <w:rPr>
          <w:rFonts w:hint="cs"/>
          <w:sz w:val="27"/>
          <w:rtl/>
        </w:rPr>
        <w:t>محلّ</w:t>
      </w:r>
      <w:r w:rsidRPr="00904FCB">
        <w:rPr>
          <w:sz w:val="27"/>
          <w:rtl/>
        </w:rPr>
        <w:t xml:space="preserve"> </w:t>
      </w:r>
      <w:r w:rsidRPr="00904FCB">
        <w:rPr>
          <w:rFonts w:hint="cs"/>
          <w:sz w:val="27"/>
          <w:rtl/>
        </w:rPr>
        <w:t>خلاف</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الرجال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الوثاقة، ونحن</w:t>
      </w:r>
      <w:r w:rsidRPr="00904FCB">
        <w:rPr>
          <w:sz w:val="27"/>
          <w:rtl/>
        </w:rPr>
        <w:t xml:space="preserve"> </w:t>
      </w:r>
      <w:r w:rsidRPr="00904FCB">
        <w:rPr>
          <w:rFonts w:hint="cs"/>
          <w:sz w:val="27"/>
          <w:rtl/>
        </w:rPr>
        <w:t>نتوقّف</w:t>
      </w:r>
      <w:r w:rsidRPr="00904FCB">
        <w:rPr>
          <w:sz w:val="27"/>
          <w:rtl/>
        </w:rPr>
        <w:t xml:space="preserve"> </w:t>
      </w:r>
      <w:r w:rsidRPr="00904FCB">
        <w:rPr>
          <w:rFonts w:hint="cs"/>
          <w:sz w:val="27"/>
          <w:rtl/>
        </w:rPr>
        <w:t>فيه؛ لتعارض</w:t>
      </w:r>
      <w:r w:rsidRPr="00904FCB">
        <w:rPr>
          <w:sz w:val="27"/>
          <w:rtl/>
        </w:rPr>
        <w:t xml:space="preserve"> </w:t>
      </w:r>
      <w:r w:rsidRPr="00904FCB">
        <w:rPr>
          <w:rFonts w:hint="cs"/>
          <w:sz w:val="27"/>
          <w:rtl/>
        </w:rPr>
        <w:t>الجرح</w:t>
      </w:r>
      <w:r w:rsidRPr="00904FCB">
        <w:rPr>
          <w:sz w:val="27"/>
          <w:rtl/>
        </w:rPr>
        <w:t xml:space="preserve"> </w:t>
      </w:r>
      <w:r w:rsidRPr="00904FCB">
        <w:rPr>
          <w:rFonts w:hint="cs"/>
          <w:sz w:val="27"/>
          <w:rtl/>
        </w:rPr>
        <w:t>والتعديل</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وأمّا</w:t>
      </w:r>
      <w:r w:rsidRPr="00904FCB">
        <w:rPr>
          <w:sz w:val="27"/>
          <w:rtl/>
        </w:rPr>
        <w:t xml:space="preserve"> </w:t>
      </w:r>
      <w:r w:rsidRPr="00904FCB">
        <w:rPr>
          <w:rFonts w:hint="cs"/>
          <w:sz w:val="27"/>
          <w:rtl/>
        </w:rPr>
        <w:t>بقيّة</w:t>
      </w:r>
      <w:r w:rsidRPr="00904FCB">
        <w:rPr>
          <w:sz w:val="27"/>
          <w:rtl/>
        </w:rPr>
        <w:t xml:space="preserve"> </w:t>
      </w:r>
      <w:r w:rsidRPr="00904FCB">
        <w:rPr>
          <w:rFonts w:hint="cs"/>
          <w:sz w:val="27"/>
          <w:rtl/>
        </w:rPr>
        <w:t>السند</w:t>
      </w:r>
      <w:r w:rsidR="00B66E1B" w:rsidRPr="00904FCB">
        <w:rPr>
          <w:rFonts w:hint="cs"/>
          <w:sz w:val="27"/>
          <w:rtl/>
        </w:rPr>
        <w:t xml:space="preserve"> </w:t>
      </w:r>
      <w:r w:rsidRPr="00904FCB">
        <w:rPr>
          <w:rFonts w:hint="cs"/>
          <w:sz w:val="27"/>
          <w:rtl/>
        </w:rPr>
        <w:t>فلا</w:t>
      </w:r>
      <w:r w:rsidRPr="00904FCB">
        <w:rPr>
          <w:sz w:val="27"/>
          <w:rtl/>
        </w:rPr>
        <w:t xml:space="preserve"> </w:t>
      </w:r>
      <w:r w:rsidRPr="00904FCB">
        <w:rPr>
          <w:rFonts w:hint="cs"/>
          <w:sz w:val="27"/>
          <w:rtl/>
        </w:rPr>
        <w:t>مشكلة</w:t>
      </w:r>
      <w:r w:rsidRPr="00904FCB">
        <w:rPr>
          <w:sz w:val="27"/>
          <w:rtl/>
        </w:rPr>
        <w:t xml:space="preserve"> </w:t>
      </w:r>
      <w:r w:rsidRPr="00904FCB">
        <w:rPr>
          <w:rFonts w:hint="cs"/>
          <w:sz w:val="27"/>
          <w:rtl/>
        </w:rPr>
        <w:t>فيه</w:t>
      </w:r>
      <w:r w:rsidR="00B66E1B" w:rsidRPr="00904FCB">
        <w:rPr>
          <w:rFonts w:hint="cs"/>
          <w:sz w:val="27"/>
          <w:rtl/>
        </w:rPr>
        <w:t>.</w:t>
      </w:r>
      <w:r w:rsidRPr="00904FCB">
        <w:rPr>
          <w:rFonts w:hint="cs"/>
          <w:sz w:val="27"/>
          <w:rtl/>
        </w:rPr>
        <w:t xml:space="preserve"> فالرواية</w:t>
      </w:r>
      <w:r w:rsidRPr="00904FCB">
        <w:rPr>
          <w:sz w:val="27"/>
          <w:rtl/>
        </w:rPr>
        <w:t xml:space="preserve"> </w:t>
      </w:r>
      <w:r w:rsidRPr="00904FCB">
        <w:rPr>
          <w:rFonts w:hint="cs"/>
          <w:sz w:val="27"/>
          <w:rtl/>
        </w:rPr>
        <w:t>محلّ</w:t>
      </w:r>
      <w:r w:rsidRPr="00904FCB">
        <w:rPr>
          <w:sz w:val="27"/>
          <w:rtl/>
        </w:rPr>
        <w:t xml:space="preserve"> </w:t>
      </w:r>
      <w:r w:rsidRPr="00904FCB">
        <w:rPr>
          <w:rFonts w:hint="cs"/>
          <w:sz w:val="27"/>
          <w:rtl/>
        </w:rPr>
        <w:t>توقّف</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السند</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الدلالة فإنّها</w:t>
      </w:r>
      <w:r w:rsidRPr="00904FCB">
        <w:rPr>
          <w:sz w:val="27"/>
          <w:rtl/>
        </w:rPr>
        <w:t xml:space="preserve"> </w:t>
      </w:r>
      <w:r w:rsidRPr="00904FCB">
        <w:rPr>
          <w:rFonts w:hint="cs"/>
          <w:sz w:val="27"/>
          <w:rtl/>
        </w:rPr>
        <w:t>دالّة</w:t>
      </w:r>
      <w:r w:rsidR="00B66E1B" w:rsidRPr="00904FCB">
        <w:rPr>
          <w:rFonts w:hint="cs"/>
          <w:sz w:val="27"/>
          <w:rtl/>
        </w:rPr>
        <w:t>ٌ</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تحريم</w:t>
      </w:r>
      <w:r w:rsidRPr="00904FCB">
        <w:rPr>
          <w:sz w:val="27"/>
          <w:rtl/>
        </w:rPr>
        <w:t xml:space="preserve"> </w:t>
      </w:r>
      <w:r w:rsidRPr="00904FCB">
        <w:rPr>
          <w:rFonts w:hint="cs"/>
          <w:sz w:val="27"/>
          <w:rtl/>
        </w:rPr>
        <w:t>ذبيحة</w:t>
      </w:r>
      <w:r w:rsidRPr="00904FCB">
        <w:rPr>
          <w:sz w:val="27"/>
          <w:rtl/>
        </w:rPr>
        <w:t xml:space="preserve"> </w:t>
      </w:r>
      <w:r w:rsidRPr="00904FCB">
        <w:rPr>
          <w:rFonts w:hint="cs"/>
          <w:sz w:val="27"/>
          <w:rtl/>
        </w:rPr>
        <w:t>اليهود، وهو</w:t>
      </w:r>
      <w:r w:rsidRPr="00904FCB">
        <w:rPr>
          <w:sz w:val="27"/>
          <w:rtl/>
        </w:rPr>
        <w:t xml:space="preserve"> </w:t>
      </w:r>
      <w:r w:rsidRPr="00904FCB">
        <w:rPr>
          <w:rFonts w:hint="cs"/>
          <w:sz w:val="27"/>
          <w:rtl/>
        </w:rPr>
        <w:t>المشهور</w:t>
      </w:r>
      <w:r w:rsidRPr="00904FCB">
        <w:rPr>
          <w:sz w:val="27"/>
          <w:rtl/>
        </w:rPr>
        <w:t xml:space="preserve"> </w:t>
      </w:r>
      <w:r w:rsidRPr="00904FCB">
        <w:rPr>
          <w:rFonts w:hint="cs"/>
          <w:sz w:val="27"/>
          <w:rtl/>
        </w:rPr>
        <w:t>عندنا، ولكنّه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ربط</w:t>
      </w:r>
      <w:r w:rsidRPr="00904FCB">
        <w:rPr>
          <w:sz w:val="27"/>
          <w:rtl/>
        </w:rPr>
        <w:t xml:space="preserve"> </w:t>
      </w:r>
      <w:r w:rsidRPr="00904FCB">
        <w:rPr>
          <w:rFonts w:hint="cs"/>
          <w:sz w:val="27"/>
          <w:rtl/>
        </w:rPr>
        <w:t>له</w:t>
      </w:r>
      <w:r w:rsidRPr="00904FCB">
        <w:rPr>
          <w:sz w:val="27"/>
          <w:rtl/>
        </w:rPr>
        <w:t xml:space="preserve"> </w:t>
      </w:r>
      <w:r w:rsidRPr="00904FCB">
        <w:rPr>
          <w:rFonts w:hint="cs"/>
          <w:sz w:val="27"/>
          <w:rtl/>
        </w:rPr>
        <w:t>بمحلّ</w:t>
      </w:r>
      <w:r w:rsidRPr="00904FCB">
        <w:rPr>
          <w:sz w:val="27"/>
          <w:rtl/>
        </w:rPr>
        <w:t xml:space="preserve"> </w:t>
      </w:r>
      <w:r w:rsidRPr="00904FCB">
        <w:rPr>
          <w:rFonts w:hint="cs"/>
          <w:sz w:val="27"/>
          <w:rtl/>
        </w:rPr>
        <w:t>الكلام</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وأمّا</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الأكل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أوانيهم فقد</w:t>
      </w:r>
      <w:r w:rsidRPr="00904FCB">
        <w:rPr>
          <w:sz w:val="27"/>
          <w:rtl/>
        </w:rPr>
        <w:t xml:space="preserve"> </w:t>
      </w:r>
      <w:r w:rsidRPr="00904FCB">
        <w:rPr>
          <w:rFonts w:hint="cs"/>
          <w:sz w:val="27"/>
          <w:rtl/>
        </w:rPr>
        <w:t>تقدّم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السابقة، أنّ</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 فراج</w:t>
      </w:r>
      <w:r w:rsidR="00B66E1B" w:rsidRPr="00904FCB">
        <w:rPr>
          <w:rFonts w:hint="cs"/>
          <w:sz w:val="27"/>
          <w:rtl/>
        </w:rPr>
        <w:t>ِ</w:t>
      </w:r>
      <w:r w:rsidRPr="00904FCB">
        <w:rPr>
          <w:rFonts w:hint="cs"/>
          <w:sz w:val="27"/>
          <w:rtl/>
        </w:rPr>
        <w:t>ع</w:t>
      </w:r>
      <w:r w:rsidR="00B66E1B"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الرابعة</w:t>
      </w:r>
      <w:r w:rsidRPr="00904FCB">
        <w:rPr>
          <w:b/>
          <w:bCs/>
          <w:sz w:val="27"/>
          <w:rtl/>
        </w:rPr>
        <w:t xml:space="preserve"> </w:t>
      </w:r>
      <w:r w:rsidRPr="00904FCB">
        <w:rPr>
          <w:rFonts w:hint="cs"/>
          <w:b/>
          <w:bCs/>
          <w:sz w:val="27"/>
          <w:rtl/>
        </w:rPr>
        <w:t>عشرة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الصدوق</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الفقيه،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الْحُسَيْنِ</w:t>
      </w:r>
      <w:r w:rsidRPr="00904FCB">
        <w:rPr>
          <w:sz w:val="27"/>
          <w:rtl/>
        </w:rPr>
        <w:t xml:space="preserve"> </w:t>
      </w:r>
      <w:r w:rsidRPr="00904FCB">
        <w:rPr>
          <w:rFonts w:hint="cs"/>
          <w:sz w:val="27"/>
          <w:rtl/>
        </w:rPr>
        <w:t>بِإِسْنَادِهِ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سَعِيدٍ</w:t>
      </w:r>
      <w:r w:rsidRPr="00904FCB">
        <w:rPr>
          <w:sz w:val="27"/>
          <w:rtl/>
        </w:rPr>
        <w:t xml:space="preserve"> </w:t>
      </w:r>
      <w:r w:rsidRPr="00904FCB">
        <w:rPr>
          <w:rFonts w:hint="cs"/>
          <w:sz w:val="27"/>
          <w:rtl/>
        </w:rPr>
        <w:t>الأَعْرَجِ</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سَأَلَ</w:t>
      </w:r>
      <w:r w:rsidRPr="00904FCB">
        <w:rPr>
          <w:sz w:val="27"/>
          <w:rtl/>
        </w:rPr>
        <w:t xml:space="preserve"> </w:t>
      </w:r>
      <w:r w:rsidRPr="00904FCB">
        <w:rPr>
          <w:rFonts w:hint="cs"/>
          <w:sz w:val="27"/>
          <w:rtl/>
        </w:rPr>
        <w:t>الصَّادِقَ</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سُؤْرِ</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 أَيُؤْكَلُ</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يُشْرَبُ</w:t>
      </w:r>
      <w:r w:rsidR="00B66E1B"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لا</w:t>
      </w:r>
      <w:r w:rsidRPr="00904FCB">
        <w:rPr>
          <w:rFonts w:hint="eastAsia"/>
          <w:sz w:val="27"/>
          <w:rtl/>
        </w:rPr>
        <w:t>»</w:t>
      </w:r>
      <w:r w:rsidRPr="00904FCB">
        <w:rPr>
          <w:rFonts w:hint="cs"/>
          <w:sz w:val="27"/>
          <w:vertAlign w:val="superscript"/>
          <w:rtl/>
        </w:rPr>
        <w:t>(</w:t>
      </w:r>
      <w:r w:rsidRPr="00904FCB">
        <w:rPr>
          <w:rStyle w:val="ac"/>
          <w:sz w:val="27"/>
          <w:rtl/>
        </w:rPr>
        <w:endnoteReference w:id="690"/>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طريق</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الصدوق</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الأعرج، وهو</w:t>
      </w:r>
      <w:r w:rsidRPr="00904FCB">
        <w:rPr>
          <w:sz w:val="27"/>
          <w:rtl/>
        </w:rPr>
        <w:t xml:space="preserve"> </w:t>
      </w:r>
      <w:r w:rsidRPr="00904FCB">
        <w:rPr>
          <w:rFonts w:hint="cs"/>
          <w:sz w:val="27"/>
          <w:rtl/>
        </w:rPr>
        <w:t>صحيح</w:t>
      </w:r>
      <w:r w:rsidR="00B66E1B" w:rsidRPr="00904FCB">
        <w:rPr>
          <w:rFonts w:hint="cs"/>
          <w:sz w:val="27"/>
          <w:rtl/>
        </w:rPr>
        <w:t>ٌ</w:t>
      </w:r>
      <w:r w:rsidRPr="00904FCB">
        <w:rPr>
          <w:sz w:val="27"/>
          <w:rtl/>
        </w:rPr>
        <w:t xml:space="preserve"> </w:t>
      </w:r>
      <w:r w:rsidRPr="00904FCB">
        <w:rPr>
          <w:rFonts w:hint="cs"/>
          <w:sz w:val="27"/>
          <w:rtl/>
        </w:rPr>
        <w:t>بالاتفاق</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الدلالة فقد</w:t>
      </w:r>
      <w:r w:rsidRPr="00904FCB">
        <w:rPr>
          <w:sz w:val="27"/>
          <w:rtl/>
        </w:rPr>
        <w:t xml:space="preserve"> </w:t>
      </w:r>
      <w:r w:rsidRPr="00904FCB">
        <w:rPr>
          <w:rFonts w:hint="cs"/>
          <w:sz w:val="27"/>
          <w:rtl/>
        </w:rPr>
        <w:t>تقدّ</w:t>
      </w:r>
      <w:r w:rsidR="00B66E1B" w:rsidRPr="00904FCB">
        <w:rPr>
          <w:rFonts w:hint="cs"/>
          <w:sz w:val="27"/>
          <w:rtl/>
        </w:rPr>
        <w:t>َ</w:t>
      </w:r>
      <w:r w:rsidRPr="00904FCB">
        <w:rPr>
          <w:rFonts w:hint="cs"/>
          <w:sz w:val="27"/>
          <w:rtl/>
        </w:rPr>
        <w:t>م</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ينبغي</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w:t>
      </w:r>
      <w:r w:rsidR="000C77AF" w:rsidRPr="00904FCB">
        <w:rPr>
          <w:rFonts w:hint="cs"/>
          <w:sz w:val="27"/>
          <w:rtl/>
        </w:rPr>
        <w:t>ُ</w:t>
      </w:r>
      <w:r w:rsidRPr="00904FCB">
        <w:rPr>
          <w:rFonts w:hint="cs"/>
          <w:sz w:val="27"/>
          <w:rtl/>
        </w:rPr>
        <w:t>ذ</w:t>
      </w:r>
      <w:r w:rsidR="000C77AF" w:rsidRPr="00904FCB">
        <w:rPr>
          <w:rFonts w:hint="cs"/>
          <w:sz w:val="27"/>
          <w:rtl/>
        </w:rPr>
        <w:t>ْ</w:t>
      </w:r>
      <w:r w:rsidRPr="00904FCB">
        <w:rPr>
          <w:rFonts w:hint="cs"/>
          <w:sz w:val="27"/>
          <w:rtl/>
        </w:rPr>
        <w:t>ك</w:t>
      </w:r>
      <w:r w:rsidR="000C77AF" w:rsidRPr="00904FCB">
        <w:rPr>
          <w:rFonts w:hint="cs"/>
          <w:sz w:val="27"/>
          <w:rtl/>
        </w:rPr>
        <w:t>َ</w:t>
      </w:r>
      <w:r w:rsidRPr="00904FCB">
        <w:rPr>
          <w:rFonts w:hint="cs"/>
          <w:sz w:val="27"/>
          <w:rtl/>
        </w:rPr>
        <w:t>ر</w:t>
      </w:r>
      <w:r w:rsidRPr="00904FCB">
        <w:rPr>
          <w:sz w:val="27"/>
          <w:rtl/>
        </w:rPr>
        <w:t xml:space="preserve"> </w:t>
      </w:r>
      <w:r w:rsidRPr="00904FCB">
        <w:rPr>
          <w:rFonts w:hint="cs"/>
          <w:sz w:val="27"/>
          <w:rtl/>
        </w:rPr>
        <w:t>حولها</w:t>
      </w:r>
      <w:r w:rsidRPr="00904FCB">
        <w:rPr>
          <w:sz w:val="27"/>
          <w:rtl/>
        </w:rPr>
        <w:t xml:space="preserve"> </w:t>
      </w:r>
      <w:r w:rsidRPr="00904FCB">
        <w:rPr>
          <w:rFonts w:hint="cs"/>
          <w:sz w:val="27"/>
          <w:rtl/>
        </w:rPr>
        <w:t>مفصّ</w:t>
      </w:r>
      <w:r w:rsidR="000C77AF" w:rsidRPr="00904FCB">
        <w:rPr>
          <w:rFonts w:hint="cs"/>
          <w:sz w:val="27"/>
          <w:rtl/>
        </w:rPr>
        <w:t>َ</w:t>
      </w:r>
      <w:r w:rsidRPr="00904FCB">
        <w:rPr>
          <w:rFonts w:hint="cs"/>
          <w:sz w:val="27"/>
          <w:rtl/>
        </w:rPr>
        <w:t>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نظيرتها، ولعلّ</w:t>
      </w:r>
      <w:r w:rsidR="000C77AF" w:rsidRPr="00904FCB">
        <w:rPr>
          <w:rFonts w:hint="cs"/>
          <w:sz w:val="27"/>
          <w:rtl/>
        </w:rPr>
        <w:t>َ</w:t>
      </w:r>
      <w:r w:rsidRPr="00904FCB">
        <w:rPr>
          <w:rFonts w:hint="cs"/>
          <w:sz w:val="27"/>
          <w:rtl/>
        </w:rPr>
        <w:t>هما</w:t>
      </w:r>
      <w:r w:rsidRPr="00904FCB">
        <w:rPr>
          <w:sz w:val="27"/>
          <w:rtl/>
        </w:rPr>
        <w:t xml:space="preserve"> </w:t>
      </w:r>
      <w:r w:rsidRPr="00904FCB">
        <w:rPr>
          <w:rFonts w:hint="cs"/>
          <w:sz w:val="27"/>
          <w:rtl/>
        </w:rPr>
        <w:t>رواية</w:t>
      </w:r>
      <w:r w:rsidRPr="00904FCB">
        <w:rPr>
          <w:sz w:val="27"/>
          <w:rtl/>
        </w:rPr>
        <w:t xml:space="preserve"> </w:t>
      </w:r>
      <w:r w:rsidRPr="00904FCB">
        <w:rPr>
          <w:rFonts w:hint="cs"/>
          <w:sz w:val="27"/>
          <w:rtl/>
        </w:rPr>
        <w:t>واحدة، بل</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الظاهر، فراجع</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تقدّ</w:t>
      </w:r>
      <w:r w:rsidR="000C77AF" w:rsidRPr="00904FCB">
        <w:rPr>
          <w:rFonts w:hint="cs"/>
          <w:sz w:val="27"/>
          <w:rtl/>
        </w:rPr>
        <w:t>َ</w:t>
      </w:r>
      <w:r w:rsidRPr="00904FCB">
        <w:rPr>
          <w:rFonts w:hint="cs"/>
          <w:sz w:val="27"/>
          <w:rtl/>
        </w:rPr>
        <w:t>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الثامنة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السياق</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الخامسة</w:t>
      </w:r>
      <w:r w:rsidRPr="00904FCB">
        <w:rPr>
          <w:b/>
          <w:bCs/>
          <w:sz w:val="27"/>
          <w:rtl/>
        </w:rPr>
        <w:t xml:space="preserve"> </w:t>
      </w:r>
      <w:r w:rsidRPr="00904FCB">
        <w:rPr>
          <w:rFonts w:hint="cs"/>
          <w:b/>
          <w:bCs/>
          <w:sz w:val="27"/>
          <w:rtl/>
        </w:rPr>
        <w:t>عشرة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الكافي،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يَعْقُوبَ</w:t>
      </w:r>
      <w:r w:rsidR="000C77AF"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عَلِيٍّ</w:t>
      </w:r>
      <w:r w:rsidRPr="00904FCB">
        <w:rPr>
          <w:sz w:val="27"/>
          <w:rtl/>
        </w:rPr>
        <w:t xml:space="preserve"> </w:t>
      </w:r>
      <w:r w:rsidR="000C77AF" w:rsidRPr="00904FCB">
        <w:rPr>
          <w:rFonts w:hint="cs"/>
          <w:sz w:val="27"/>
          <w:rtl/>
        </w:rPr>
        <w:t>ال</w:t>
      </w:r>
      <w:r w:rsidRPr="00904FCB">
        <w:rPr>
          <w:rFonts w:hint="cs"/>
          <w:sz w:val="27"/>
          <w:rtl/>
        </w:rPr>
        <w:t>أَشْعَرِيِّ</w:t>
      </w:r>
      <w:r w:rsidR="000C77AF"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الْجَبَّارِ</w:t>
      </w:r>
      <w:r w:rsidR="000C77AF"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صَفْوَانَ</w:t>
      </w:r>
      <w:r w:rsidR="000C77AF"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عِيصِ</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الْقَاسِمِ</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w:t>
      </w:r>
      <w:r w:rsidRPr="00904FCB">
        <w:rPr>
          <w:sz w:val="27"/>
          <w:rtl/>
        </w:rPr>
        <w:t xml:space="preserve"> </w:t>
      </w:r>
      <w:r w:rsidRPr="00904FCB">
        <w:rPr>
          <w:rFonts w:hint="cs"/>
          <w:sz w:val="27"/>
          <w:rtl/>
        </w:rPr>
        <w:t>أَبَا</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مُؤَاكَلَةِ</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w:t>
      </w:r>
      <w:r w:rsidRPr="00904FCB">
        <w:rPr>
          <w:sz w:val="27"/>
          <w:rtl/>
        </w:rPr>
        <w:t xml:space="preserve"> </w:t>
      </w:r>
      <w:r w:rsidRPr="00904FCB">
        <w:rPr>
          <w:rFonts w:hint="cs"/>
          <w:sz w:val="27"/>
          <w:rtl/>
        </w:rPr>
        <w:t>والْمَجُوسِيِّ</w:t>
      </w:r>
      <w:r w:rsidR="000C77AF" w:rsidRPr="00904FCB">
        <w:rPr>
          <w:rFonts w:hint="cs"/>
          <w:sz w:val="27"/>
          <w:rtl/>
        </w:rPr>
        <w:t>؟</w:t>
      </w:r>
      <w:r w:rsidRPr="00904FCB">
        <w:rPr>
          <w:rFonts w:hint="cs"/>
          <w:sz w:val="27"/>
          <w:rtl/>
        </w:rPr>
        <w:t xml:space="preserve"> فَقَالَ</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طَعَامِكَ</w:t>
      </w:r>
      <w:r w:rsidRPr="00904FCB">
        <w:rPr>
          <w:sz w:val="27"/>
          <w:rtl/>
        </w:rPr>
        <w:t xml:space="preserve"> </w:t>
      </w:r>
      <w:r w:rsidRPr="00904FCB">
        <w:rPr>
          <w:rFonts w:hint="cs"/>
          <w:sz w:val="27"/>
          <w:rtl/>
        </w:rPr>
        <w:t>وتَوَضَّأَ</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بَأْسَ</w:t>
      </w:r>
      <w:r w:rsidRPr="00904FCB">
        <w:rPr>
          <w:rFonts w:hint="eastAsia"/>
          <w:sz w:val="27"/>
          <w:rtl/>
        </w:rPr>
        <w:t>»</w:t>
      </w:r>
      <w:r w:rsidRPr="00904FCB">
        <w:rPr>
          <w:rFonts w:hint="cs"/>
          <w:sz w:val="27"/>
          <w:vertAlign w:val="superscript"/>
          <w:rtl/>
        </w:rPr>
        <w:t>(</w:t>
      </w:r>
      <w:r w:rsidRPr="00904FCB">
        <w:rPr>
          <w:rStyle w:val="ac"/>
          <w:sz w:val="27"/>
          <w:rtl/>
        </w:rPr>
        <w:endnoteReference w:id="691"/>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واضح</w:t>
      </w:r>
      <w:r w:rsidRPr="00904FCB">
        <w:rPr>
          <w:sz w:val="27"/>
          <w:rtl/>
        </w:rPr>
        <w:t xml:space="preserve"> </w:t>
      </w:r>
      <w:r w:rsidRPr="00904FCB">
        <w:rPr>
          <w:rFonts w:hint="cs"/>
          <w:sz w:val="27"/>
          <w:rtl/>
        </w:rPr>
        <w:t>الصحّة</w:t>
      </w:r>
      <w:r w:rsidRPr="00904FCB">
        <w:rPr>
          <w:sz w:val="27"/>
          <w:rtl/>
        </w:rPr>
        <w:t xml:space="preserve"> </w:t>
      </w:r>
      <w:r w:rsidRPr="00904FCB">
        <w:rPr>
          <w:rFonts w:hint="cs"/>
          <w:sz w:val="27"/>
          <w:rtl/>
        </w:rPr>
        <w:t>بلا</w:t>
      </w:r>
      <w:r w:rsidRPr="00904FCB">
        <w:rPr>
          <w:sz w:val="27"/>
          <w:rtl/>
        </w:rPr>
        <w:t xml:space="preserve"> </w:t>
      </w:r>
      <w:r w:rsidRPr="00904FCB">
        <w:rPr>
          <w:rFonts w:hint="cs"/>
          <w:sz w:val="27"/>
          <w:rtl/>
        </w:rPr>
        <w:t>كلام</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دلالتها فقد</w:t>
      </w:r>
      <w:r w:rsidRPr="00904FCB">
        <w:rPr>
          <w:sz w:val="27"/>
          <w:rtl/>
        </w:rPr>
        <w:t xml:space="preserve"> </w:t>
      </w:r>
      <w:r w:rsidRPr="00904FCB">
        <w:rPr>
          <w:rFonts w:hint="cs"/>
          <w:sz w:val="27"/>
          <w:rtl/>
        </w:rPr>
        <w:t>ي</w:t>
      </w:r>
      <w:r w:rsidR="000C77AF" w:rsidRPr="00904FCB">
        <w:rPr>
          <w:rFonts w:hint="cs"/>
          <w:sz w:val="27"/>
          <w:rtl/>
        </w:rPr>
        <w:t>ُ</w:t>
      </w:r>
      <w:r w:rsidRPr="00904FCB">
        <w:rPr>
          <w:rFonts w:hint="cs"/>
          <w:sz w:val="27"/>
          <w:rtl/>
        </w:rPr>
        <w:t>قال</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مفهوم الرواية</w:t>
      </w:r>
      <w:r w:rsidRPr="00904FCB">
        <w:rPr>
          <w:sz w:val="27"/>
          <w:rtl/>
        </w:rPr>
        <w:t xml:space="preserve"> </w:t>
      </w:r>
      <w:r w:rsidRPr="00904FCB">
        <w:rPr>
          <w:rFonts w:hint="cs"/>
          <w:sz w:val="27"/>
          <w:rtl/>
        </w:rPr>
        <w:t>تدلّ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أن</w:t>
      </w:r>
      <w:r w:rsidR="000C77AF" w:rsidRPr="00904FCB">
        <w:rPr>
          <w:rFonts w:hint="cs"/>
          <w:sz w:val="27"/>
          <w:rtl/>
        </w:rPr>
        <w:t>ّ</w:t>
      </w:r>
      <w:r w:rsidRPr="00904FCB">
        <w:rPr>
          <w:sz w:val="27"/>
          <w:rtl/>
        </w:rPr>
        <w:t xml:space="preserve"> </w:t>
      </w:r>
      <w:r w:rsidRPr="00904FCB">
        <w:rPr>
          <w:rFonts w:hint="cs"/>
          <w:sz w:val="27"/>
          <w:rtl/>
        </w:rPr>
        <w:t>ال</w:t>
      </w:r>
      <w:r w:rsidR="000C77AF" w:rsidRPr="00904FCB">
        <w:rPr>
          <w:rFonts w:hint="cs"/>
          <w:sz w:val="27"/>
          <w:rtl/>
        </w:rPr>
        <w:t>أ</w:t>
      </w:r>
      <w:r w:rsidRPr="00904FCB">
        <w:rPr>
          <w:rFonts w:hint="cs"/>
          <w:sz w:val="27"/>
          <w:rtl/>
        </w:rPr>
        <w:t>كل من</w:t>
      </w:r>
      <w:r w:rsidRPr="00904FCB">
        <w:rPr>
          <w:sz w:val="27"/>
          <w:rtl/>
        </w:rPr>
        <w:t xml:space="preserve"> </w:t>
      </w:r>
      <w:r w:rsidRPr="00904FCB">
        <w:rPr>
          <w:rFonts w:hint="cs"/>
          <w:sz w:val="27"/>
          <w:rtl/>
        </w:rPr>
        <w:t>طعامهم</w:t>
      </w:r>
      <w:r w:rsidRPr="00904FCB">
        <w:rPr>
          <w:sz w:val="27"/>
          <w:rtl/>
        </w:rPr>
        <w:t xml:space="preserve"> </w:t>
      </w:r>
      <w:r w:rsidRPr="00904FCB">
        <w:rPr>
          <w:rFonts w:hint="cs"/>
          <w:sz w:val="27"/>
          <w:rtl/>
        </w:rPr>
        <w:t>غير جائز، وهو</w:t>
      </w:r>
      <w:r w:rsidRPr="00904FCB">
        <w:rPr>
          <w:sz w:val="27"/>
          <w:rtl/>
        </w:rPr>
        <w:t xml:space="preserve"> </w:t>
      </w:r>
      <w:r w:rsidRPr="00904FCB">
        <w:rPr>
          <w:rFonts w:hint="cs"/>
          <w:sz w:val="27"/>
          <w:rtl/>
        </w:rPr>
        <w:t>ظاهرٌ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نجاسته؛ لمساورتهم</w:t>
      </w:r>
      <w:r w:rsidRPr="00904FCB">
        <w:rPr>
          <w:sz w:val="27"/>
          <w:rtl/>
        </w:rPr>
        <w:t xml:space="preserve"> </w:t>
      </w:r>
      <w:r w:rsidRPr="00904FCB">
        <w:rPr>
          <w:rFonts w:hint="cs"/>
          <w:sz w:val="27"/>
          <w:rtl/>
        </w:rPr>
        <w:t>له</w:t>
      </w:r>
      <w:r w:rsidRPr="00904FCB">
        <w:rPr>
          <w:sz w:val="27"/>
          <w:rtl/>
        </w:rPr>
        <w:t xml:space="preserve">. </w:t>
      </w:r>
    </w:p>
    <w:p w:rsidR="00F34FB9" w:rsidRPr="00904FCB" w:rsidRDefault="00F34FB9" w:rsidP="00B07A11">
      <w:pPr>
        <w:spacing w:line="400" w:lineRule="exact"/>
        <w:rPr>
          <w:sz w:val="27"/>
          <w:rtl/>
        </w:rPr>
      </w:pPr>
      <w:r w:rsidRPr="00904FCB">
        <w:rPr>
          <w:rFonts w:hint="cs"/>
          <w:sz w:val="27"/>
          <w:rtl/>
        </w:rPr>
        <w:t>إلاّ</w:t>
      </w:r>
      <w:r w:rsidRPr="00904FCB">
        <w:rPr>
          <w:sz w:val="27"/>
          <w:rtl/>
        </w:rPr>
        <w:t xml:space="preserve"> </w:t>
      </w:r>
      <w:r w:rsidRPr="00904FCB">
        <w:rPr>
          <w:rFonts w:hint="cs"/>
          <w:sz w:val="27"/>
          <w:rtl/>
        </w:rPr>
        <w:t>أنّك</w:t>
      </w:r>
      <w:r w:rsidRPr="00904FCB">
        <w:rPr>
          <w:sz w:val="27"/>
          <w:rtl/>
        </w:rPr>
        <w:t xml:space="preserve"> </w:t>
      </w:r>
      <w:r w:rsidRPr="00904FCB">
        <w:rPr>
          <w:rFonts w:hint="cs"/>
          <w:sz w:val="27"/>
          <w:rtl/>
        </w:rPr>
        <w:t>خبيرٌ</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دالّة</w:t>
      </w:r>
      <w:r w:rsidR="000C77AF" w:rsidRPr="00904FCB">
        <w:rPr>
          <w:rFonts w:hint="cs"/>
          <w:sz w:val="27"/>
          <w:rtl/>
        </w:rPr>
        <w:t>ٌ</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عكس</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تقدّ</w:t>
      </w:r>
      <w:r w:rsidR="000C77AF" w:rsidRPr="00904FCB">
        <w:rPr>
          <w:rFonts w:hint="cs"/>
          <w:sz w:val="27"/>
          <w:rtl/>
        </w:rPr>
        <w:t>َ</w:t>
      </w:r>
      <w:r w:rsidRPr="00904FCB">
        <w:rPr>
          <w:rFonts w:hint="cs"/>
          <w:sz w:val="27"/>
          <w:rtl/>
        </w:rPr>
        <w:t>م</w:t>
      </w:r>
      <w:r w:rsidRPr="00904FCB">
        <w:rPr>
          <w:sz w:val="27"/>
          <w:rtl/>
        </w:rPr>
        <w:t xml:space="preserve"> </w:t>
      </w:r>
      <w:r w:rsidRPr="00904FCB">
        <w:rPr>
          <w:rFonts w:hint="cs"/>
          <w:sz w:val="27"/>
          <w:rtl/>
        </w:rPr>
        <w:t>تماماً؛ حيث</w:t>
      </w:r>
      <w:r w:rsidRPr="00904FCB">
        <w:rPr>
          <w:sz w:val="27"/>
          <w:rtl/>
        </w:rPr>
        <w:t xml:space="preserve"> </w:t>
      </w:r>
      <w:r w:rsidRPr="00904FCB">
        <w:rPr>
          <w:rFonts w:hint="cs"/>
          <w:sz w:val="27"/>
          <w:rtl/>
        </w:rPr>
        <w:t>إنّها</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تريد</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تقول</w:t>
      </w:r>
      <w:r w:rsidRPr="00904FCB">
        <w:rPr>
          <w:sz w:val="27"/>
          <w:rtl/>
        </w:rPr>
        <w:t xml:space="preserve">: </w:t>
      </w:r>
      <w:r w:rsidRPr="00904FCB">
        <w:rPr>
          <w:rFonts w:hint="cs"/>
          <w:sz w:val="27"/>
          <w:rtl/>
        </w:rPr>
        <w:t>إنّهم</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ذاتاً فما</w:t>
      </w:r>
      <w:r w:rsidRPr="00904FCB">
        <w:rPr>
          <w:sz w:val="27"/>
          <w:rtl/>
        </w:rPr>
        <w:t xml:space="preserve"> </w:t>
      </w:r>
      <w:r w:rsidRPr="00904FCB">
        <w:rPr>
          <w:rFonts w:hint="cs"/>
          <w:sz w:val="27"/>
          <w:rtl/>
        </w:rPr>
        <w:t>معنى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w:t>
      </w:r>
      <w:r w:rsidR="006B4F86" w:rsidRPr="00904FCB">
        <w:rPr>
          <w:rFonts w:hint="cs"/>
          <w:sz w:val="27"/>
          <w:rtl/>
        </w:rPr>
        <w:t>ُ</w:t>
      </w:r>
      <w:r w:rsidRPr="00904FCB">
        <w:rPr>
          <w:rFonts w:hint="cs"/>
          <w:sz w:val="27"/>
          <w:rtl/>
        </w:rPr>
        <w:t>باح</w:t>
      </w:r>
      <w:r w:rsidRPr="00904FCB">
        <w:rPr>
          <w:sz w:val="27"/>
          <w:rtl/>
        </w:rPr>
        <w:t xml:space="preserve"> </w:t>
      </w:r>
      <w:r w:rsidRPr="00904FCB">
        <w:rPr>
          <w:rFonts w:hint="cs"/>
          <w:sz w:val="27"/>
          <w:rtl/>
        </w:rPr>
        <w:t>الطعام</w:t>
      </w:r>
      <w:r w:rsidRPr="00904FCB">
        <w:rPr>
          <w:sz w:val="27"/>
          <w:rtl/>
        </w:rPr>
        <w:t xml:space="preserve"> </w:t>
      </w:r>
      <w:r w:rsidRPr="00904FCB">
        <w:rPr>
          <w:rFonts w:hint="cs"/>
          <w:sz w:val="27"/>
          <w:rtl/>
        </w:rPr>
        <w:t>معهم</w:t>
      </w:r>
      <w:r w:rsidRPr="00904FCB">
        <w:rPr>
          <w:sz w:val="27"/>
          <w:rtl/>
        </w:rPr>
        <w:t xml:space="preserve"> </w:t>
      </w:r>
      <w:r w:rsidRPr="00904FCB">
        <w:rPr>
          <w:rFonts w:hint="cs"/>
          <w:sz w:val="27"/>
          <w:rtl/>
        </w:rPr>
        <w:t>إن</w:t>
      </w:r>
      <w:r w:rsidR="006B4F86" w:rsidRPr="00904FCB">
        <w:rPr>
          <w:rFonts w:hint="cs"/>
          <w:sz w:val="27"/>
          <w:rtl/>
        </w:rPr>
        <w:t>ْ</w:t>
      </w:r>
      <w:r w:rsidRPr="00904FCB">
        <w:rPr>
          <w:sz w:val="27"/>
          <w:rtl/>
        </w:rPr>
        <w:t xml:space="preserve"> </w:t>
      </w:r>
      <w:r w:rsidRPr="00904FCB">
        <w:rPr>
          <w:rFonts w:hint="cs"/>
          <w:sz w:val="27"/>
          <w:rtl/>
        </w:rPr>
        <w:t>توضّ</w:t>
      </w:r>
      <w:r w:rsidR="006B4F86" w:rsidRPr="00904FCB">
        <w:rPr>
          <w:rFonts w:hint="cs"/>
          <w:sz w:val="27"/>
          <w:rtl/>
        </w:rPr>
        <w:t>أ</w:t>
      </w:r>
      <w:r w:rsidRPr="00904FCB">
        <w:rPr>
          <w:rFonts w:hint="cs"/>
          <w:sz w:val="27"/>
          <w:rtl/>
        </w:rPr>
        <w:t>وا</w:t>
      </w:r>
      <w:r w:rsidRPr="00904FCB">
        <w:rPr>
          <w:sz w:val="27"/>
          <w:rtl/>
        </w:rPr>
        <w:t xml:space="preserve"> </w:t>
      </w:r>
      <w:r w:rsidRPr="00904FCB">
        <w:rPr>
          <w:rFonts w:hint="cs"/>
          <w:sz w:val="27"/>
          <w:rtl/>
        </w:rPr>
        <w:t>ولم</w:t>
      </w:r>
      <w:r w:rsidRPr="00904FCB">
        <w:rPr>
          <w:sz w:val="27"/>
          <w:rtl/>
        </w:rPr>
        <w:t xml:space="preserve"> </w:t>
      </w:r>
      <w:r w:rsidRPr="00904FCB">
        <w:rPr>
          <w:rFonts w:hint="cs"/>
          <w:sz w:val="27"/>
          <w:rtl/>
        </w:rPr>
        <w:t>يأكلوا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طعامهم؟!</w:t>
      </w:r>
      <w:r w:rsidRPr="00904FCB">
        <w:rPr>
          <w:sz w:val="27"/>
          <w:rtl/>
        </w:rPr>
        <w:t xml:space="preserve"> </w:t>
      </w:r>
      <w:r w:rsidRPr="00904FCB">
        <w:rPr>
          <w:rFonts w:hint="cs"/>
          <w:sz w:val="27"/>
          <w:rtl/>
        </w:rPr>
        <w:t>أليس</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w:t>
      </w:r>
      <w:r w:rsidR="00B07A11">
        <w:rPr>
          <w:rFonts w:hint="cs"/>
          <w:sz w:val="27"/>
          <w:rtl/>
        </w:rPr>
        <w:t>ا</w:t>
      </w:r>
      <w:r w:rsidRPr="00904FCB">
        <w:rPr>
          <w:rFonts w:hint="cs"/>
          <w:sz w:val="27"/>
          <w:rtl/>
        </w:rPr>
        <w:t xml:space="preserve"> إشارة</w:t>
      </w:r>
      <w:r w:rsidRPr="00904FCB">
        <w:rPr>
          <w:sz w:val="27"/>
          <w:rtl/>
        </w:rPr>
        <w:t xml:space="preserve"> </w:t>
      </w:r>
      <w:r w:rsidR="00B07A11">
        <w:rPr>
          <w:rFonts w:hint="cs"/>
          <w:sz w:val="27"/>
          <w:rtl/>
        </w:rPr>
        <w:t xml:space="preserve">ـ </w:t>
      </w:r>
      <w:r w:rsidRPr="00904FCB">
        <w:rPr>
          <w:rFonts w:hint="cs"/>
          <w:sz w:val="27"/>
          <w:rtl/>
        </w:rPr>
        <w:t>بمثابة</w:t>
      </w:r>
      <w:r w:rsidRPr="00904FCB">
        <w:rPr>
          <w:sz w:val="27"/>
          <w:rtl/>
        </w:rPr>
        <w:t xml:space="preserve"> </w:t>
      </w:r>
      <w:r w:rsidRPr="00904FCB">
        <w:rPr>
          <w:rFonts w:hint="cs"/>
          <w:sz w:val="27"/>
          <w:rtl/>
        </w:rPr>
        <w:t>التصريح</w:t>
      </w:r>
      <w:r w:rsidRPr="00904FCB">
        <w:rPr>
          <w:sz w:val="27"/>
          <w:rtl/>
        </w:rPr>
        <w:t xml:space="preserve"> </w:t>
      </w:r>
      <w:r w:rsidR="00B07A11">
        <w:rPr>
          <w:rFonts w:hint="cs"/>
          <w:sz w:val="27"/>
          <w:rtl/>
        </w:rPr>
        <w:t xml:space="preserve">ـ </w:t>
      </w:r>
      <w:r w:rsidRPr="00904FCB">
        <w:rPr>
          <w:rFonts w:hint="cs"/>
          <w:sz w:val="27"/>
          <w:rtl/>
        </w:rPr>
        <w:t>إلى</w:t>
      </w:r>
      <w:r w:rsidRPr="00904FCB">
        <w:rPr>
          <w:sz w:val="27"/>
          <w:rtl/>
        </w:rPr>
        <w:t xml:space="preserve"> </w:t>
      </w:r>
      <w:r w:rsidRPr="00904FCB">
        <w:rPr>
          <w:rFonts w:hint="cs"/>
          <w:sz w:val="27"/>
          <w:rtl/>
        </w:rPr>
        <w:t>أنّهم</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قذرين</w:t>
      </w:r>
      <w:r w:rsidRPr="00904FCB">
        <w:rPr>
          <w:sz w:val="27"/>
          <w:rtl/>
        </w:rPr>
        <w:t xml:space="preserve"> </w:t>
      </w:r>
      <w:r w:rsidRPr="00904FCB">
        <w:rPr>
          <w:rFonts w:hint="cs"/>
          <w:sz w:val="27"/>
          <w:rtl/>
        </w:rPr>
        <w:t>ذاتاً، وإلاّ</w:t>
      </w:r>
      <w:r w:rsidRPr="00904FCB">
        <w:rPr>
          <w:sz w:val="27"/>
          <w:rtl/>
        </w:rPr>
        <w:t xml:space="preserve"> </w:t>
      </w:r>
      <w:r w:rsidRPr="00904FCB">
        <w:rPr>
          <w:rFonts w:hint="cs"/>
          <w:sz w:val="27"/>
          <w:rtl/>
        </w:rPr>
        <w:t>فما</w:t>
      </w:r>
      <w:r w:rsidRPr="00904FCB">
        <w:rPr>
          <w:sz w:val="27"/>
          <w:rtl/>
        </w:rPr>
        <w:t xml:space="preserve"> </w:t>
      </w:r>
      <w:r w:rsidRPr="00904FCB">
        <w:rPr>
          <w:rFonts w:hint="cs"/>
          <w:sz w:val="27"/>
          <w:rtl/>
        </w:rPr>
        <w:t>معنى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تجوز</w:t>
      </w:r>
      <w:r w:rsidRPr="00904FCB">
        <w:rPr>
          <w:sz w:val="27"/>
          <w:rtl/>
        </w:rPr>
        <w:t xml:space="preserve"> </w:t>
      </w:r>
      <w:r w:rsidRPr="00904FCB">
        <w:rPr>
          <w:rFonts w:hint="cs"/>
          <w:sz w:val="27"/>
          <w:rtl/>
        </w:rPr>
        <w:t>مؤاكلتهم</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التوضّ</w:t>
      </w:r>
      <w:r w:rsidR="006B4F86" w:rsidRPr="00904FCB">
        <w:rPr>
          <w:rFonts w:hint="cs"/>
          <w:sz w:val="27"/>
          <w:rtl/>
        </w:rPr>
        <w:t>ُ</w:t>
      </w:r>
      <w:r w:rsidRPr="00904FCB">
        <w:rPr>
          <w:rFonts w:hint="cs"/>
          <w:sz w:val="27"/>
          <w:rtl/>
        </w:rPr>
        <w:t>ؤ؟!</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الحِلّ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طعامهم فلعلّ</w:t>
      </w:r>
      <w:r w:rsidRPr="00904FCB">
        <w:rPr>
          <w:sz w:val="27"/>
          <w:rtl/>
        </w:rPr>
        <w:t xml:space="preserve"> </w:t>
      </w:r>
      <w:r w:rsidRPr="00904FCB">
        <w:rPr>
          <w:rFonts w:hint="cs"/>
          <w:sz w:val="27"/>
          <w:rtl/>
        </w:rPr>
        <w:t>السبب</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بل</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الظاهر</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تورّ</w:t>
      </w:r>
      <w:r w:rsidR="003A4BF9" w:rsidRPr="00904FCB">
        <w:rPr>
          <w:rFonts w:hint="cs"/>
          <w:sz w:val="27"/>
          <w:rtl/>
        </w:rPr>
        <w:t>ُ</w:t>
      </w:r>
      <w:r w:rsidRPr="00904FCB">
        <w:rPr>
          <w:rFonts w:hint="cs"/>
          <w:sz w:val="27"/>
          <w:rtl/>
        </w:rPr>
        <w:t>عهم</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lastRenderedPageBreak/>
        <w:t>النجاسات</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أصل</w:t>
      </w:r>
      <w:r w:rsidRPr="00904FCB">
        <w:rPr>
          <w:sz w:val="27"/>
          <w:rtl/>
        </w:rPr>
        <w:t xml:space="preserve"> </w:t>
      </w:r>
      <w:r w:rsidRPr="00904FCB">
        <w:rPr>
          <w:rFonts w:hint="cs"/>
          <w:sz w:val="27"/>
          <w:rtl/>
        </w:rPr>
        <w:t>الحكم</w:t>
      </w:r>
      <w:r w:rsidRPr="00904FCB">
        <w:rPr>
          <w:sz w:val="27"/>
          <w:rtl/>
        </w:rPr>
        <w:t xml:space="preserve"> </w:t>
      </w:r>
      <w:r w:rsidRPr="00904FCB">
        <w:rPr>
          <w:rFonts w:hint="cs"/>
          <w:sz w:val="27"/>
          <w:rtl/>
        </w:rPr>
        <w:t>محلّ</w:t>
      </w:r>
      <w:r w:rsidR="003A4BF9" w:rsidRPr="00904FCB">
        <w:rPr>
          <w:rFonts w:hint="cs"/>
          <w:sz w:val="27"/>
          <w:rtl/>
        </w:rPr>
        <w:t>ُ</w:t>
      </w:r>
      <w:r w:rsidRPr="00904FCB">
        <w:rPr>
          <w:sz w:val="27"/>
          <w:rtl/>
        </w:rPr>
        <w:t xml:space="preserve"> </w:t>
      </w:r>
      <w:r w:rsidRPr="00904FCB">
        <w:rPr>
          <w:rFonts w:hint="cs"/>
          <w:sz w:val="27"/>
          <w:rtl/>
        </w:rPr>
        <w:t>توقّ</w:t>
      </w:r>
      <w:r w:rsidR="003A4BF9" w:rsidRPr="00904FCB">
        <w:rPr>
          <w:rFonts w:hint="cs"/>
          <w:sz w:val="27"/>
          <w:rtl/>
        </w:rPr>
        <w:t>ُ</w:t>
      </w:r>
      <w:r w:rsidRPr="00904FCB">
        <w:rPr>
          <w:rFonts w:hint="cs"/>
          <w:sz w:val="27"/>
          <w:rtl/>
        </w:rPr>
        <w:t>ف</w:t>
      </w:r>
      <w:r w:rsidR="003A4BF9" w:rsidRPr="00904FCB">
        <w:rPr>
          <w:rFonts w:hint="cs"/>
          <w:sz w:val="27"/>
          <w:rtl/>
        </w:rPr>
        <w:t>.</w:t>
      </w:r>
      <w:r w:rsidRPr="00904FCB">
        <w:rPr>
          <w:rFonts w:hint="cs"/>
          <w:sz w:val="27"/>
          <w:rtl/>
        </w:rPr>
        <w:t xml:space="preserve"> وفي</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يصلح</w:t>
      </w:r>
      <w:r w:rsidRPr="00904FCB">
        <w:rPr>
          <w:sz w:val="27"/>
          <w:rtl/>
        </w:rPr>
        <w:t xml:space="preserve"> </w:t>
      </w:r>
      <w:r w:rsidRPr="00904FCB">
        <w:rPr>
          <w:rFonts w:hint="cs"/>
          <w:sz w:val="27"/>
          <w:rtl/>
        </w:rPr>
        <w:t>قرينةً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تحريمي</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السادسة</w:t>
      </w:r>
      <w:r w:rsidRPr="00904FCB">
        <w:rPr>
          <w:b/>
          <w:bCs/>
          <w:sz w:val="27"/>
          <w:rtl/>
        </w:rPr>
        <w:t xml:space="preserve"> </w:t>
      </w:r>
      <w:r w:rsidRPr="00904FCB">
        <w:rPr>
          <w:rFonts w:hint="cs"/>
          <w:b/>
          <w:bCs/>
          <w:sz w:val="27"/>
          <w:rtl/>
        </w:rPr>
        <w:t>عشرة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الطوسي</w:t>
      </w:r>
      <w:r w:rsidR="003A4BF9" w:rsidRPr="00904FCB">
        <w:rPr>
          <w:rFonts w:hint="cs"/>
          <w:sz w:val="27"/>
          <w:rtl/>
        </w:rPr>
        <w:t>،</w:t>
      </w:r>
      <w:r w:rsidRPr="00904FCB">
        <w:rPr>
          <w:sz w:val="27"/>
          <w:rtl/>
        </w:rPr>
        <w:t xml:space="preserve"> </w:t>
      </w:r>
      <w:r w:rsidRPr="00904FCB">
        <w:rPr>
          <w:rFonts w:hint="cs"/>
          <w:sz w:val="27"/>
          <w:rtl/>
        </w:rPr>
        <w:t>وورد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بِإِسْنَادِهِ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الْحُسَيْنِ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سَعِيدٍ</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صَفْوَانَ</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عِيصِ</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الْقَاسِمِ</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w:t>
      </w:r>
      <w:r w:rsidRPr="00904FCB">
        <w:rPr>
          <w:sz w:val="27"/>
          <w:rtl/>
        </w:rPr>
        <w:t xml:space="preserve"> </w:t>
      </w:r>
      <w:r w:rsidRPr="00904FCB">
        <w:rPr>
          <w:rFonts w:hint="cs"/>
          <w:sz w:val="27"/>
          <w:rtl/>
        </w:rPr>
        <w:t>أَبَا</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مُؤَاكَلَةِ</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w:t>
      </w:r>
      <w:r w:rsidR="003A4BF9" w:rsidRPr="00904FCB">
        <w:rPr>
          <w:rFonts w:hint="cs"/>
          <w:sz w:val="27"/>
          <w:rtl/>
        </w:rPr>
        <w:t>؟</w:t>
      </w:r>
      <w:r w:rsidRPr="00904FCB">
        <w:rPr>
          <w:sz w:val="27"/>
          <w:rtl/>
        </w:rPr>
        <w:t xml:space="preserve"> </w:t>
      </w:r>
      <w:r w:rsidRPr="00904FCB">
        <w:rPr>
          <w:rFonts w:hint="cs"/>
          <w:sz w:val="27"/>
          <w:rtl/>
        </w:rPr>
        <w:t>فَقَالَ</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بَأْسَ</w:t>
      </w:r>
      <w:r w:rsidRPr="00904FCB">
        <w:rPr>
          <w:sz w:val="27"/>
          <w:rtl/>
        </w:rPr>
        <w:t xml:space="preserve"> </w:t>
      </w:r>
      <w:r w:rsidRPr="00904FCB">
        <w:rPr>
          <w:rFonts w:hint="cs"/>
          <w:sz w:val="27"/>
          <w:rtl/>
        </w:rPr>
        <w:t>إِذَا</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طَعَامِكَ، وسَأَلْتُهُ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مُؤَاكَلَةِ</w:t>
      </w:r>
      <w:r w:rsidRPr="00904FCB">
        <w:rPr>
          <w:sz w:val="27"/>
          <w:rtl/>
        </w:rPr>
        <w:t xml:space="preserve"> </w:t>
      </w:r>
      <w:r w:rsidRPr="00904FCB">
        <w:rPr>
          <w:rFonts w:hint="cs"/>
          <w:sz w:val="27"/>
          <w:rtl/>
        </w:rPr>
        <w:t>الْمَجُوسِيِّ</w:t>
      </w:r>
      <w:r w:rsidR="003A4BF9" w:rsidRPr="00904FCB">
        <w:rPr>
          <w:rFonts w:hint="cs"/>
          <w:sz w:val="27"/>
          <w:rtl/>
        </w:rPr>
        <w:t>؟</w:t>
      </w:r>
      <w:r w:rsidRPr="00904FCB">
        <w:rPr>
          <w:sz w:val="27"/>
          <w:rtl/>
        </w:rPr>
        <w:t xml:space="preserve"> </w:t>
      </w:r>
      <w:r w:rsidRPr="00904FCB">
        <w:rPr>
          <w:rFonts w:hint="cs"/>
          <w:sz w:val="27"/>
          <w:rtl/>
        </w:rPr>
        <w:t>فَقَالَ</w:t>
      </w:r>
      <w:r w:rsidRPr="00904FCB">
        <w:rPr>
          <w:sz w:val="27"/>
          <w:rtl/>
        </w:rPr>
        <w:t xml:space="preserve">: </w:t>
      </w:r>
      <w:r w:rsidRPr="00904FCB">
        <w:rPr>
          <w:rFonts w:hint="cs"/>
          <w:sz w:val="27"/>
          <w:rtl/>
        </w:rPr>
        <w:t>إِذَا</w:t>
      </w:r>
      <w:r w:rsidRPr="00904FCB">
        <w:rPr>
          <w:sz w:val="27"/>
          <w:rtl/>
        </w:rPr>
        <w:t xml:space="preserve"> </w:t>
      </w:r>
      <w:r w:rsidRPr="00904FCB">
        <w:rPr>
          <w:rFonts w:hint="cs"/>
          <w:sz w:val="27"/>
          <w:rtl/>
        </w:rPr>
        <w:t>تَوَضَّأَ</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بَأْسَ</w:t>
      </w:r>
      <w:r w:rsidRPr="00904FCB">
        <w:rPr>
          <w:rFonts w:hint="eastAsia"/>
          <w:sz w:val="27"/>
          <w:rtl/>
        </w:rPr>
        <w:t>»</w:t>
      </w:r>
      <w:r w:rsidRPr="00904FCB">
        <w:rPr>
          <w:rFonts w:hint="cs"/>
          <w:sz w:val="27"/>
          <w:vertAlign w:val="superscript"/>
          <w:rtl/>
        </w:rPr>
        <w:t>(</w:t>
      </w:r>
      <w:r w:rsidRPr="00904FCB">
        <w:rPr>
          <w:rStyle w:val="ac"/>
          <w:sz w:val="27"/>
          <w:rtl/>
        </w:rPr>
        <w:endnoteReference w:id="692"/>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السابعة</w:t>
      </w:r>
      <w:r w:rsidRPr="00904FCB">
        <w:rPr>
          <w:b/>
          <w:bCs/>
          <w:sz w:val="27"/>
          <w:rtl/>
        </w:rPr>
        <w:t xml:space="preserve"> </w:t>
      </w:r>
      <w:r w:rsidRPr="00904FCB">
        <w:rPr>
          <w:rFonts w:hint="cs"/>
          <w:b/>
          <w:bCs/>
          <w:sz w:val="27"/>
          <w:rtl/>
        </w:rPr>
        <w:t>عشرة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الحميري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قرب</w:t>
      </w:r>
      <w:r w:rsidRPr="00904FCB">
        <w:rPr>
          <w:sz w:val="27"/>
          <w:rtl/>
        </w:rPr>
        <w:t xml:space="preserve"> </w:t>
      </w:r>
      <w:r w:rsidRPr="00904FCB">
        <w:rPr>
          <w:rFonts w:hint="cs"/>
          <w:sz w:val="27"/>
          <w:rtl/>
        </w:rPr>
        <w:t>الإسناد،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قُرْبِ</w:t>
      </w:r>
      <w:r w:rsidRPr="00904FCB">
        <w:rPr>
          <w:sz w:val="27"/>
          <w:rtl/>
        </w:rPr>
        <w:t xml:space="preserve"> </w:t>
      </w:r>
      <w:r w:rsidR="003A4BF9" w:rsidRPr="00904FCB">
        <w:rPr>
          <w:rFonts w:hint="cs"/>
          <w:sz w:val="27"/>
          <w:rtl/>
        </w:rPr>
        <w:t>ال</w:t>
      </w:r>
      <w:r w:rsidRPr="00904FCB">
        <w:rPr>
          <w:rFonts w:hint="cs"/>
          <w:sz w:val="27"/>
          <w:rtl/>
        </w:rPr>
        <w:t>إِسْنَادِ</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الْحَسَنِ</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أَخِيهِ</w:t>
      </w:r>
      <w:r w:rsidRPr="00904FCB">
        <w:rPr>
          <w:sz w:val="27"/>
          <w:rtl/>
        </w:rPr>
        <w:t xml:space="preserve"> </w:t>
      </w:r>
      <w:r w:rsidRPr="00904FCB">
        <w:rPr>
          <w:rFonts w:hint="cs"/>
          <w:sz w:val="27"/>
          <w:rtl/>
        </w:rPr>
        <w:t>مُوسَى</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001C1A2A" w:rsidRPr="00904FCB">
        <w:rPr>
          <w:rFonts w:cs="Mosawi"/>
          <w:sz w:val="27"/>
          <w:szCs w:val="22"/>
          <w:rtl/>
        </w:rPr>
        <w:t>×</w:t>
      </w:r>
      <w:r w:rsidR="003A4BF9"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الْمُسْلِمِ، لَهُ</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يَأْكُلَ</w:t>
      </w:r>
      <w:r w:rsidRPr="00904FCB">
        <w:rPr>
          <w:sz w:val="27"/>
          <w:rtl/>
        </w:rPr>
        <w:t xml:space="preserve"> </w:t>
      </w:r>
      <w:r w:rsidRPr="00904FCB">
        <w:rPr>
          <w:rFonts w:hint="cs"/>
          <w:sz w:val="27"/>
          <w:rtl/>
        </w:rPr>
        <w:t>مَعَ</w:t>
      </w:r>
      <w:r w:rsidRPr="00904FCB">
        <w:rPr>
          <w:sz w:val="27"/>
          <w:rtl/>
        </w:rPr>
        <w:t xml:space="preserve"> </w:t>
      </w:r>
      <w:r w:rsidRPr="00904FCB">
        <w:rPr>
          <w:rFonts w:hint="cs"/>
          <w:sz w:val="27"/>
          <w:rtl/>
        </w:rPr>
        <w:t>الْمَجُوسِيِّ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قَصْعَةٍ</w:t>
      </w:r>
      <w:r w:rsidRPr="00904FCB">
        <w:rPr>
          <w:sz w:val="27"/>
          <w:rtl/>
        </w:rPr>
        <w:t xml:space="preserve"> </w:t>
      </w:r>
      <w:r w:rsidRPr="00904FCB">
        <w:rPr>
          <w:rFonts w:hint="cs"/>
          <w:sz w:val="27"/>
          <w:rtl/>
        </w:rPr>
        <w:t>وَاحِدَةٍ</w:t>
      </w:r>
      <w:r w:rsidR="003A4BF9"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يَقْعُدَ</w:t>
      </w:r>
      <w:r w:rsidRPr="00904FCB">
        <w:rPr>
          <w:sz w:val="27"/>
          <w:rtl/>
        </w:rPr>
        <w:t xml:space="preserve"> </w:t>
      </w:r>
      <w:r w:rsidRPr="00904FCB">
        <w:rPr>
          <w:rFonts w:hint="cs"/>
          <w:sz w:val="27"/>
          <w:rtl/>
        </w:rPr>
        <w:t>مَعَهُ</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فِرَاشٍ</w:t>
      </w:r>
      <w:r w:rsidRPr="00904FCB">
        <w:rPr>
          <w:sz w:val="27"/>
          <w:rtl/>
        </w:rPr>
        <w:t xml:space="preserve"> </w:t>
      </w:r>
      <w:r w:rsidRPr="00904FCB">
        <w:rPr>
          <w:rFonts w:hint="cs"/>
          <w:sz w:val="27"/>
          <w:rtl/>
        </w:rPr>
        <w:t>وَاحِدٍ</w:t>
      </w:r>
      <w:r w:rsidR="003A4BF9"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الْمَسْجِدِ</w:t>
      </w:r>
      <w:r w:rsidR="003A4BF9"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يُصَاحِبَهُ؟ قَالَ</w:t>
      </w:r>
      <w:r w:rsidRPr="00904FCB">
        <w:rPr>
          <w:sz w:val="27"/>
          <w:rtl/>
        </w:rPr>
        <w:t xml:space="preserve">: </w:t>
      </w:r>
      <w:r w:rsidRPr="00904FCB">
        <w:rPr>
          <w:rFonts w:hint="cs"/>
          <w:sz w:val="27"/>
          <w:rtl/>
        </w:rPr>
        <w:t>لا</w:t>
      </w:r>
      <w:r w:rsidRPr="00904FCB">
        <w:rPr>
          <w:rFonts w:hint="eastAsia"/>
          <w:sz w:val="27"/>
          <w:rtl/>
        </w:rPr>
        <w:t>»</w:t>
      </w:r>
      <w:r w:rsidRPr="00904FCB">
        <w:rPr>
          <w:rFonts w:hint="cs"/>
          <w:sz w:val="27"/>
          <w:vertAlign w:val="superscript"/>
          <w:rtl/>
        </w:rPr>
        <w:t>(</w:t>
      </w:r>
      <w:r w:rsidRPr="00904FCB">
        <w:rPr>
          <w:rStyle w:val="ac"/>
          <w:sz w:val="27"/>
          <w:rtl/>
        </w:rPr>
        <w:endnoteReference w:id="693"/>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سند</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محلُّ</w:t>
      </w:r>
      <w:r w:rsidRPr="00904FCB">
        <w:rPr>
          <w:sz w:val="27"/>
          <w:rtl/>
        </w:rPr>
        <w:t xml:space="preserve"> </w:t>
      </w:r>
      <w:r w:rsidRPr="00904FCB">
        <w:rPr>
          <w:rFonts w:hint="cs"/>
          <w:sz w:val="27"/>
          <w:rtl/>
        </w:rPr>
        <w:t>توقّف</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يذكر</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كتب</w:t>
      </w:r>
      <w:r w:rsidRPr="00904FCB">
        <w:rPr>
          <w:sz w:val="27"/>
          <w:rtl/>
        </w:rPr>
        <w:t xml:space="preserve"> </w:t>
      </w:r>
      <w:r w:rsidRPr="00904FCB">
        <w:rPr>
          <w:rFonts w:hint="cs"/>
          <w:sz w:val="27"/>
          <w:rtl/>
        </w:rPr>
        <w:t>الرجال</w:t>
      </w:r>
      <w:r w:rsidR="003A4BF9"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كتب</w:t>
      </w:r>
      <w:r w:rsidRPr="00904FCB">
        <w:rPr>
          <w:sz w:val="27"/>
          <w:rtl/>
        </w:rPr>
        <w:t xml:space="preserve"> </w:t>
      </w:r>
      <w:r w:rsidRPr="00904FCB">
        <w:rPr>
          <w:rFonts w:hint="cs"/>
          <w:sz w:val="27"/>
          <w:rtl/>
        </w:rPr>
        <w:t>الرواية</w:t>
      </w:r>
      <w:r w:rsidR="003A4BF9"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غير كتاب</w:t>
      </w:r>
      <w:r w:rsidRPr="00904FCB">
        <w:rPr>
          <w:sz w:val="27"/>
          <w:rtl/>
        </w:rPr>
        <w:t xml:space="preserve"> </w:t>
      </w:r>
      <w:r w:rsidRPr="00904FCB">
        <w:rPr>
          <w:rFonts w:hint="cs"/>
          <w:sz w:val="27"/>
          <w:rtl/>
        </w:rPr>
        <w:t>قرب</w:t>
      </w:r>
      <w:r w:rsidRPr="00904FCB">
        <w:rPr>
          <w:sz w:val="27"/>
          <w:rtl/>
        </w:rPr>
        <w:t xml:space="preserve"> </w:t>
      </w:r>
      <w:r w:rsidRPr="00904FCB">
        <w:rPr>
          <w:rFonts w:hint="cs"/>
          <w:sz w:val="27"/>
          <w:rtl/>
        </w:rPr>
        <w:t>الإسناد</w:t>
      </w:r>
      <w:r w:rsidR="003A4BF9" w:rsidRPr="00904FCB">
        <w:rPr>
          <w:rFonts w:hint="cs"/>
          <w:sz w:val="27"/>
          <w:rtl/>
        </w:rPr>
        <w:t>.</w:t>
      </w:r>
      <w:r w:rsidRPr="00904FCB">
        <w:rPr>
          <w:rFonts w:hint="cs"/>
          <w:sz w:val="27"/>
          <w:rtl/>
        </w:rPr>
        <w:t xml:space="preserve"> ومع</w:t>
      </w:r>
      <w:r w:rsidRPr="00904FCB">
        <w:rPr>
          <w:sz w:val="27"/>
          <w:rtl/>
        </w:rPr>
        <w:t xml:space="preserve"> </w:t>
      </w:r>
      <w:r w:rsidRPr="00904FCB">
        <w:rPr>
          <w:rFonts w:hint="cs"/>
          <w:sz w:val="27"/>
          <w:rtl/>
        </w:rPr>
        <w:t>الغضّ</w:t>
      </w:r>
      <w:r w:rsidRPr="00904FCB">
        <w:rPr>
          <w:sz w:val="27"/>
          <w:rtl/>
        </w:rPr>
        <w:t xml:space="preserve"> </w:t>
      </w:r>
      <w:r w:rsidRPr="00904FCB">
        <w:rPr>
          <w:rFonts w:hint="cs"/>
          <w:sz w:val="27"/>
          <w:rtl/>
        </w:rPr>
        <w:t>عنه</w:t>
      </w:r>
      <w:r w:rsidRPr="00904FCB">
        <w:rPr>
          <w:sz w:val="27"/>
          <w:rtl/>
        </w:rPr>
        <w:t xml:space="preserve"> </w:t>
      </w:r>
      <w:r w:rsidRPr="00904FCB">
        <w:rPr>
          <w:rFonts w:hint="cs"/>
          <w:sz w:val="27"/>
          <w:rtl/>
        </w:rPr>
        <w:t>فنفس</w:t>
      </w:r>
      <w:r w:rsidRPr="00904FCB">
        <w:rPr>
          <w:sz w:val="27"/>
          <w:rtl/>
        </w:rPr>
        <w:t xml:space="preserve"> </w:t>
      </w:r>
      <w:r w:rsidRPr="00904FCB">
        <w:rPr>
          <w:rFonts w:hint="cs"/>
          <w:sz w:val="27"/>
          <w:rtl/>
        </w:rPr>
        <w:t>نسخة</w:t>
      </w:r>
      <w:r w:rsidRPr="00904FCB">
        <w:rPr>
          <w:sz w:val="27"/>
          <w:rtl/>
        </w:rPr>
        <w:t xml:space="preserve"> </w:t>
      </w:r>
      <w:r w:rsidRPr="00904FCB">
        <w:rPr>
          <w:rFonts w:hint="cs"/>
          <w:sz w:val="27"/>
          <w:rtl/>
        </w:rPr>
        <w:t>قرب</w:t>
      </w:r>
      <w:r w:rsidRPr="00904FCB">
        <w:rPr>
          <w:sz w:val="27"/>
          <w:rtl/>
        </w:rPr>
        <w:t xml:space="preserve"> </w:t>
      </w:r>
      <w:r w:rsidRPr="00904FCB">
        <w:rPr>
          <w:rFonts w:hint="cs"/>
          <w:sz w:val="27"/>
          <w:rtl/>
        </w:rPr>
        <w:t>الإسناد</w:t>
      </w:r>
      <w:r w:rsidRPr="00904FCB">
        <w:rPr>
          <w:sz w:val="27"/>
          <w:rtl/>
        </w:rPr>
        <w:t xml:space="preserve"> </w:t>
      </w:r>
      <w:r w:rsidRPr="00904FCB">
        <w:rPr>
          <w:rFonts w:hint="cs"/>
          <w:sz w:val="27"/>
          <w:rtl/>
        </w:rPr>
        <w:t>الواصلة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المتأخّ</w:t>
      </w:r>
      <w:r w:rsidR="003A4BF9" w:rsidRPr="00904FCB">
        <w:rPr>
          <w:rFonts w:hint="cs"/>
          <w:sz w:val="27"/>
          <w:rtl/>
        </w:rPr>
        <w:t>ِ</w:t>
      </w:r>
      <w:r w:rsidRPr="00904FCB">
        <w:rPr>
          <w:rFonts w:hint="cs"/>
          <w:sz w:val="27"/>
          <w:rtl/>
        </w:rPr>
        <w:t>رين</w:t>
      </w:r>
      <w:r w:rsidRPr="00904FCB">
        <w:rPr>
          <w:sz w:val="27"/>
          <w:rtl/>
        </w:rPr>
        <w:t xml:space="preserve"> </w:t>
      </w:r>
      <w:r w:rsidRPr="00904FCB">
        <w:rPr>
          <w:rFonts w:hint="cs"/>
          <w:sz w:val="27"/>
          <w:rtl/>
        </w:rPr>
        <w:t>محلّ</w:t>
      </w:r>
      <w:r w:rsidRPr="00904FCB">
        <w:rPr>
          <w:sz w:val="27"/>
          <w:rtl/>
        </w:rPr>
        <w:t xml:space="preserve"> </w:t>
      </w:r>
      <w:r w:rsidRPr="00904FCB">
        <w:rPr>
          <w:rFonts w:hint="cs"/>
          <w:sz w:val="27"/>
          <w:rtl/>
        </w:rPr>
        <w:t>كلام</w:t>
      </w:r>
      <w:r w:rsidR="003A4BF9" w:rsidRPr="00904FCB">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w:t>
      </w:r>
      <w:r w:rsidR="003A4BF9" w:rsidRPr="00904FCB">
        <w:rPr>
          <w:rFonts w:hint="cs"/>
          <w:sz w:val="27"/>
          <w:rtl/>
        </w:rPr>
        <w:t>َ</w:t>
      </w:r>
      <w:r w:rsidRPr="00904FCB">
        <w:rPr>
          <w:rFonts w:hint="cs"/>
          <w:sz w:val="27"/>
          <w:rtl/>
        </w:rPr>
        <w:t>س</w:t>
      </w:r>
      <w:r w:rsidR="003A4BF9" w:rsidRPr="00904FCB">
        <w:rPr>
          <w:rFonts w:hint="cs"/>
          <w:sz w:val="27"/>
          <w:rtl/>
        </w:rPr>
        <w:t>َ</w:t>
      </w:r>
      <w:r w:rsidRPr="00904FCB">
        <w:rPr>
          <w:rFonts w:hint="cs"/>
          <w:sz w:val="27"/>
          <w:rtl/>
        </w:rPr>
        <w:t>عه</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المختصر</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حيث</w:t>
      </w:r>
      <w:r w:rsidRPr="00904FCB">
        <w:rPr>
          <w:sz w:val="27"/>
          <w:rtl/>
        </w:rPr>
        <w:t xml:space="preserve"> </w:t>
      </w:r>
      <w:r w:rsidRPr="00904FCB">
        <w:rPr>
          <w:rFonts w:hint="cs"/>
          <w:sz w:val="27"/>
          <w:rtl/>
        </w:rPr>
        <w:t>الدلالة فلا</w:t>
      </w:r>
      <w:r w:rsidRPr="00904FCB">
        <w:rPr>
          <w:sz w:val="27"/>
          <w:rtl/>
        </w:rPr>
        <w:t xml:space="preserve"> </w:t>
      </w:r>
      <w:r w:rsidRPr="00904FCB">
        <w:rPr>
          <w:rFonts w:hint="cs"/>
          <w:sz w:val="27"/>
          <w:rtl/>
        </w:rPr>
        <w:t>يوجد</w:t>
      </w:r>
      <w:r w:rsidRPr="00904FCB">
        <w:rPr>
          <w:sz w:val="27"/>
          <w:rtl/>
        </w:rPr>
        <w:t xml:space="preserve"> </w:t>
      </w:r>
      <w:r w:rsidRPr="00904FCB">
        <w:rPr>
          <w:rFonts w:hint="cs"/>
          <w:sz w:val="27"/>
          <w:rtl/>
        </w:rPr>
        <w:t>كلامٌ</w:t>
      </w:r>
      <w:r w:rsidRPr="00904FCB">
        <w:rPr>
          <w:sz w:val="27"/>
          <w:rtl/>
        </w:rPr>
        <w:t xml:space="preserve"> </w:t>
      </w:r>
      <w:r w:rsidRPr="00904FCB">
        <w:rPr>
          <w:rFonts w:hint="cs"/>
          <w:sz w:val="27"/>
          <w:rtl/>
        </w:rPr>
        <w:t>نضيفه</w:t>
      </w:r>
      <w:r w:rsidRPr="00904FCB">
        <w:rPr>
          <w:sz w:val="27"/>
          <w:rtl/>
        </w:rPr>
        <w:t xml:space="preserve"> </w:t>
      </w:r>
      <w:r w:rsidRPr="00904FCB">
        <w:rPr>
          <w:rFonts w:hint="cs"/>
          <w:sz w:val="27"/>
          <w:rtl/>
        </w:rPr>
        <w:t>هنا</w:t>
      </w:r>
      <w:r w:rsidRPr="00904FCB">
        <w:rPr>
          <w:sz w:val="27"/>
          <w:rtl/>
        </w:rPr>
        <w:t xml:space="preserve"> </w:t>
      </w:r>
      <w:r w:rsidR="003A4BF9" w:rsidRPr="00904FCB">
        <w:rPr>
          <w:rFonts w:hint="cs"/>
          <w:sz w:val="27"/>
          <w:rtl/>
        </w:rPr>
        <w:t>إ</w:t>
      </w:r>
      <w:r w:rsidRPr="00904FCB">
        <w:rPr>
          <w:rFonts w:hint="cs"/>
          <w:sz w:val="27"/>
          <w:rtl/>
        </w:rPr>
        <w:t>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تقدّ</w:t>
      </w:r>
      <w:r w:rsidR="003A4BF9" w:rsidRPr="00904FCB">
        <w:rPr>
          <w:rFonts w:hint="cs"/>
          <w:sz w:val="27"/>
          <w:rtl/>
        </w:rPr>
        <w:t>َ</w:t>
      </w:r>
      <w:r w:rsidRPr="00904FCB">
        <w:rPr>
          <w:rFonts w:hint="cs"/>
          <w:sz w:val="27"/>
          <w:rtl/>
        </w:rPr>
        <w:t>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الروايتين</w:t>
      </w:r>
      <w:r w:rsidRPr="00904FCB">
        <w:rPr>
          <w:sz w:val="27"/>
          <w:rtl/>
        </w:rPr>
        <w:t xml:space="preserve"> </w:t>
      </w:r>
      <w:r w:rsidRPr="00904FCB">
        <w:rPr>
          <w:rFonts w:hint="cs"/>
          <w:sz w:val="27"/>
          <w:rtl/>
        </w:rPr>
        <w:t>السادسة</w:t>
      </w:r>
      <w:r w:rsidRPr="00904FCB">
        <w:rPr>
          <w:sz w:val="27"/>
          <w:rtl/>
        </w:rPr>
        <w:t xml:space="preserve"> </w:t>
      </w:r>
      <w:r w:rsidRPr="00904FCB">
        <w:rPr>
          <w:rFonts w:hint="cs"/>
          <w:sz w:val="27"/>
          <w:rtl/>
        </w:rPr>
        <w:t>والعاشرة</w:t>
      </w:r>
      <w:r w:rsidR="003A4BF9" w:rsidRPr="00904FCB">
        <w:rPr>
          <w:rFonts w:hint="cs"/>
          <w:sz w:val="27"/>
          <w:rtl/>
        </w:rPr>
        <w:t xml:space="preserve"> </w:t>
      </w:r>
      <w:r w:rsidRPr="00904FCB">
        <w:rPr>
          <w:rFonts w:hint="cs"/>
          <w:sz w:val="27"/>
          <w:rtl/>
        </w:rPr>
        <w:t>من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الروايات، بل</w:t>
      </w:r>
      <w:r w:rsidRPr="00904FCB">
        <w:rPr>
          <w:sz w:val="27"/>
          <w:rtl/>
        </w:rPr>
        <w:t xml:space="preserve"> </w:t>
      </w:r>
      <w:r w:rsidRPr="00904FCB">
        <w:rPr>
          <w:rFonts w:hint="cs"/>
          <w:sz w:val="27"/>
          <w:rtl/>
        </w:rPr>
        <w:t>الظاهر</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نفس</w:t>
      </w:r>
      <w:r w:rsidRPr="00904FCB">
        <w:rPr>
          <w:sz w:val="27"/>
          <w:rtl/>
        </w:rPr>
        <w:t xml:space="preserve"> </w:t>
      </w:r>
      <w:r w:rsidRPr="00904FCB">
        <w:rPr>
          <w:rFonts w:hint="cs"/>
          <w:sz w:val="27"/>
          <w:rtl/>
        </w:rPr>
        <w:t>الرواية، وقد</w:t>
      </w:r>
      <w:r w:rsidRPr="00904FCB">
        <w:rPr>
          <w:sz w:val="27"/>
          <w:rtl/>
        </w:rPr>
        <w:t xml:space="preserve"> </w:t>
      </w:r>
      <w:r w:rsidRPr="00904FCB">
        <w:rPr>
          <w:rFonts w:hint="cs"/>
          <w:sz w:val="27"/>
          <w:rtl/>
        </w:rPr>
        <w:t>ن</w:t>
      </w:r>
      <w:r w:rsidR="003A4BF9" w:rsidRPr="00904FCB">
        <w:rPr>
          <w:rFonts w:hint="cs"/>
          <w:sz w:val="27"/>
          <w:rtl/>
        </w:rPr>
        <w:t>ُ</w:t>
      </w:r>
      <w:r w:rsidRPr="00904FCB">
        <w:rPr>
          <w:rFonts w:hint="cs"/>
          <w:sz w:val="27"/>
          <w:rtl/>
        </w:rPr>
        <w:t>قلت</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مسائل</w:t>
      </w:r>
      <w:r w:rsidRPr="00904FCB">
        <w:rPr>
          <w:sz w:val="27"/>
          <w:rtl/>
        </w:rPr>
        <w:t xml:space="preserve"> </w:t>
      </w:r>
      <w:r w:rsidRPr="00904FCB">
        <w:rPr>
          <w:rFonts w:hint="cs"/>
          <w:sz w:val="27"/>
          <w:rtl/>
        </w:rPr>
        <w:t>علي</w:t>
      </w:r>
      <w:r w:rsidR="003A4BF9" w:rsidRPr="00904FCB">
        <w:rPr>
          <w:rFonts w:hint="cs"/>
          <w:sz w:val="27"/>
          <w:rtl/>
        </w:rPr>
        <w:t>ّ</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Pr="00904FCB">
        <w:rPr>
          <w:sz w:val="27"/>
          <w:rtl/>
        </w:rPr>
        <w:t xml:space="preserve"> </w:t>
      </w:r>
      <w:r w:rsidRPr="00904FCB">
        <w:rPr>
          <w:rFonts w:hint="cs"/>
          <w:sz w:val="27"/>
          <w:rtl/>
        </w:rPr>
        <w:t>بشيءٍ</w:t>
      </w:r>
      <w:r w:rsidRPr="00904FCB">
        <w:rPr>
          <w:sz w:val="27"/>
          <w:rtl/>
        </w:rPr>
        <w:t xml:space="preserve"> </w:t>
      </w:r>
      <w:r w:rsidRPr="00904FCB">
        <w:rPr>
          <w:rFonts w:hint="cs"/>
          <w:sz w:val="27"/>
          <w:rtl/>
        </w:rPr>
        <w:t>من</w:t>
      </w:r>
      <w:r w:rsidRPr="00904FCB">
        <w:rPr>
          <w:sz w:val="27"/>
          <w:rtl/>
        </w:rPr>
        <w:t xml:space="preserve"> </w:t>
      </w:r>
      <w:r w:rsidR="003A4BF9" w:rsidRPr="00904FCB">
        <w:rPr>
          <w:rFonts w:hint="cs"/>
          <w:sz w:val="27"/>
          <w:rtl/>
        </w:rPr>
        <w:t>التغيير</w:t>
      </w:r>
      <w:r w:rsidRPr="00904FCB">
        <w:rPr>
          <w:sz w:val="27"/>
          <w:rtl/>
        </w:rPr>
        <w:t xml:space="preserve"> </w:t>
      </w:r>
      <w:r w:rsidR="003A4BF9" w:rsidRPr="00904FCB">
        <w:rPr>
          <w:rFonts w:hint="cs"/>
          <w:sz w:val="27"/>
          <w:rtl/>
        </w:rPr>
        <w:t>غير</w:t>
      </w:r>
      <w:r w:rsidRPr="00904FCB">
        <w:rPr>
          <w:sz w:val="27"/>
          <w:rtl/>
        </w:rPr>
        <w:t xml:space="preserve"> </w:t>
      </w:r>
      <w:r w:rsidRPr="00904FCB">
        <w:rPr>
          <w:rFonts w:hint="cs"/>
          <w:sz w:val="27"/>
          <w:rtl/>
        </w:rPr>
        <w:t>المغيِّر</w:t>
      </w:r>
      <w:r w:rsidRPr="00904FCB">
        <w:rPr>
          <w:sz w:val="27"/>
          <w:rtl/>
        </w:rPr>
        <w:t xml:space="preserve"> </w:t>
      </w:r>
      <w:r w:rsidRPr="00904FCB">
        <w:rPr>
          <w:rFonts w:hint="cs"/>
          <w:sz w:val="27"/>
          <w:rtl/>
        </w:rPr>
        <w:t>للمعنى، والله</w:t>
      </w:r>
      <w:r w:rsidRPr="00904FCB">
        <w:rPr>
          <w:sz w:val="27"/>
          <w:rtl/>
        </w:rPr>
        <w:t xml:space="preserve"> </w:t>
      </w:r>
      <w:r w:rsidRPr="00904FCB">
        <w:rPr>
          <w:rFonts w:hint="cs"/>
          <w:sz w:val="27"/>
          <w:rtl/>
        </w:rPr>
        <w:t>العالم</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الثامنة</w:t>
      </w:r>
      <w:r w:rsidRPr="00904FCB">
        <w:rPr>
          <w:b/>
          <w:bCs/>
          <w:sz w:val="27"/>
          <w:rtl/>
        </w:rPr>
        <w:t xml:space="preserve"> </w:t>
      </w:r>
      <w:r w:rsidRPr="00904FCB">
        <w:rPr>
          <w:rFonts w:hint="cs"/>
          <w:b/>
          <w:bCs/>
          <w:sz w:val="27"/>
          <w:rtl/>
        </w:rPr>
        <w:t>عشرة</w:t>
      </w:r>
      <w:r w:rsidRPr="00904FCB">
        <w:rPr>
          <w:b/>
          <w:bCs/>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البرقي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المحاسن،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وعَنْ</w:t>
      </w:r>
      <w:r w:rsidRPr="00904FCB">
        <w:rPr>
          <w:sz w:val="27"/>
          <w:rtl/>
        </w:rPr>
        <w:t xml:space="preserve"> </w:t>
      </w:r>
      <w:r w:rsidRPr="00904FCB">
        <w:rPr>
          <w:rFonts w:hint="cs"/>
          <w:sz w:val="27"/>
          <w:rtl/>
        </w:rPr>
        <w:t>أَبِيهِ</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صَفْوَانَ</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الْعِيصِ</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سَأَلْتُ</w:t>
      </w:r>
      <w:r w:rsidRPr="00904FCB">
        <w:rPr>
          <w:sz w:val="27"/>
          <w:rtl/>
        </w:rPr>
        <w:t xml:space="preserve"> </w:t>
      </w:r>
      <w:r w:rsidRPr="00904FCB">
        <w:rPr>
          <w:rFonts w:hint="cs"/>
          <w:sz w:val="27"/>
          <w:rtl/>
        </w:rPr>
        <w:t>أَبَا</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مُؤَاكَلَةِ</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w:t>
      </w:r>
      <w:r w:rsidRPr="00904FCB">
        <w:rPr>
          <w:sz w:val="27"/>
          <w:rtl/>
        </w:rPr>
        <w:t xml:space="preserve"> </w:t>
      </w:r>
      <w:r w:rsidRPr="00904FCB">
        <w:rPr>
          <w:rFonts w:hint="cs"/>
          <w:sz w:val="27"/>
          <w:rtl/>
        </w:rPr>
        <w:t>والْمَجُوسِيِّ</w:t>
      </w:r>
      <w:r w:rsidRPr="00904FCB">
        <w:rPr>
          <w:sz w:val="27"/>
          <w:rtl/>
        </w:rPr>
        <w:t xml:space="preserve"> </w:t>
      </w:r>
      <w:r w:rsidRPr="00904FCB">
        <w:rPr>
          <w:rFonts w:hint="cs"/>
          <w:sz w:val="27"/>
          <w:rtl/>
        </w:rPr>
        <w:t>أَفَآكُلُ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طَعَامِهِمْ؟ قَالَ</w:t>
      </w:r>
      <w:r w:rsidRPr="00904FCB">
        <w:rPr>
          <w:sz w:val="27"/>
          <w:rtl/>
        </w:rPr>
        <w:t xml:space="preserve">: </w:t>
      </w:r>
      <w:r w:rsidRPr="00904FCB">
        <w:rPr>
          <w:rFonts w:hint="cs"/>
          <w:sz w:val="27"/>
          <w:rtl/>
        </w:rPr>
        <w:t>لا</w:t>
      </w:r>
      <w:r w:rsidRPr="00904FCB">
        <w:rPr>
          <w:rFonts w:hint="eastAsia"/>
          <w:sz w:val="27"/>
          <w:rtl/>
        </w:rPr>
        <w:t>»</w:t>
      </w:r>
      <w:r w:rsidRPr="00904FCB">
        <w:rPr>
          <w:rFonts w:hint="cs"/>
          <w:sz w:val="27"/>
          <w:vertAlign w:val="superscript"/>
          <w:rtl/>
        </w:rPr>
        <w:t>(</w:t>
      </w:r>
      <w:r w:rsidRPr="00904FCB">
        <w:rPr>
          <w:rStyle w:val="ac"/>
          <w:sz w:val="27"/>
          <w:rtl/>
        </w:rPr>
        <w:endnoteReference w:id="694"/>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أمّا</w:t>
      </w:r>
      <w:r w:rsidRPr="00904FCB">
        <w:rPr>
          <w:sz w:val="27"/>
          <w:rtl/>
        </w:rPr>
        <w:t xml:space="preserve"> </w:t>
      </w:r>
      <w:r w:rsidRPr="00904FCB">
        <w:rPr>
          <w:rFonts w:hint="cs"/>
          <w:sz w:val="27"/>
          <w:rtl/>
        </w:rPr>
        <w:t>سند</w:t>
      </w:r>
      <w:r w:rsidRPr="00904FCB">
        <w:rPr>
          <w:sz w:val="27"/>
          <w:rtl/>
        </w:rPr>
        <w:t xml:space="preserve"> </w:t>
      </w:r>
      <w:r w:rsidRPr="00904FCB">
        <w:rPr>
          <w:rFonts w:hint="cs"/>
          <w:sz w:val="27"/>
          <w:rtl/>
        </w:rPr>
        <w:t>الرواية فهو</w:t>
      </w:r>
      <w:r w:rsidRPr="00904FCB">
        <w:rPr>
          <w:sz w:val="27"/>
          <w:rtl/>
        </w:rPr>
        <w:t xml:space="preserve"> </w:t>
      </w:r>
      <w:r w:rsidRPr="00904FCB">
        <w:rPr>
          <w:rFonts w:hint="cs"/>
          <w:sz w:val="27"/>
          <w:rtl/>
        </w:rPr>
        <w:t>صحيح</w:t>
      </w:r>
      <w:r w:rsidR="003A4BF9" w:rsidRPr="00904FCB">
        <w:rPr>
          <w:rFonts w:hint="cs"/>
          <w:sz w:val="27"/>
          <w:rtl/>
        </w:rPr>
        <w:t>ٌ،</w:t>
      </w:r>
      <w:r w:rsidRPr="00904FCB">
        <w:rPr>
          <w:sz w:val="27"/>
          <w:rtl/>
        </w:rPr>
        <w:t xml:space="preserve"> </w:t>
      </w:r>
      <w:r w:rsidRPr="00904FCB">
        <w:rPr>
          <w:rFonts w:hint="cs"/>
          <w:sz w:val="27"/>
          <w:rtl/>
        </w:rPr>
        <w:t>كما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واضح</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دلالتها فقد</w:t>
      </w:r>
      <w:r w:rsidRPr="00904FCB">
        <w:rPr>
          <w:sz w:val="27"/>
          <w:rtl/>
        </w:rPr>
        <w:t xml:space="preserve"> </w:t>
      </w:r>
      <w:r w:rsidRPr="00904FCB">
        <w:rPr>
          <w:rFonts w:hint="cs"/>
          <w:sz w:val="27"/>
          <w:rtl/>
        </w:rPr>
        <w:t>تقدّ</w:t>
      </w:r>
      <w:r w:rsidR="003A4BF9" w:rsidRPr="00904FCB">
        <w:rPr>
          <w:rFonts w:hint="cs"/>
          <w:sz w:val="27"/>
          <w:rtl/>
        </w:rPr>
        <w:t>َ</w:t>
      </w:r>
      <w:r w:rsidRPr="00904FCB">
        <w:rPr>
          <w:rFonts w:hint="cs"/>
          <w:sz w:val="27"/>
          <w:rtl/>
        </w:rPr>
        <w:t>م</w:t>
      </w:r>
      <w:r w:rsidRPr="00904FCB">
        <w:rPr>
          <w:sz w:val="27"/>
          <w:rtl/>
        </w:rPr>
        <w:t xml:space="preserve"> </w:t>
      </w:r>
      <w:r w:rsidRPr="00904FCB">
        <w:rPr>
          <w:rFonts w:hint="cs"/>
          <w:sz w:val="27"/>
          <w:rtl/>
        </w:rPr>
        <w:t>نظيرها</w:t>
      </w:r>
      <w:r w:rsidRPr="00904FCB">
        <w:rPr>
          <w:sz w:val="27"/>
          <w:rtl/>
        </w:rPr>
        <w:t xml:space="preserve"> </w:t>
      </w:r>
      <w:r w:rsidRPr="00904FCB">
        <w:rPr>
          <w:rFonts w:hint="cs"/>
          <w:sz w:val="27"/>
          <w:rtl/>
        </w:rPr>
        <w:t>مكرّ</w:t>
      </w:r>
      <w:r w:rsidR="003A4BF9" w:rsidRPr="00904FCB">
        <w:rPr>
          <w:rFonts w:hint="cs"/>
          <w:sz w:val="27"/>
          <w:rtl/>
        </w:rPr>
        <w:t>َ</w:t>
      </w:r>
      <w:r w:rsidRPr="00904FCB">
        <w:rPr>
          <w:rFonts w:hint="cs"/>
          <w:sz w:val="27"/>
          <w:rtl/>
        </w:rPr>
        <w:t>راً</w:t>
      </w:r>
      <w:r w:rsidRPr="00904FCB">
        <w:rPr>
          <w:sz w:val="27"/>
          <w:rtl/>
        </w:rPr>
        <w:t xml:space="preserve"> </w:t>
      </w:r>
      <w:r w:rsidRPr="00904FCB">
        <w:rPr>
          <w:rFonts w:hint="cs"/>
          <w:sz w:val="27"/>
          <w:rtl/>
        </w:rPr>
        <w:t>هنا</w:t>
      </w:r>
      <w:r w:rsidR="003A4BF9" w:rsidRPr="00904FCB">
        <w:rPr>
          <w:rFonts w:hint="cs"/>
          <w:sz w:val="27"/>
          <w:rtl/>
        </w:rPr>
        <w:t>،</w:t>
      </w:r>
      <w:r w:rsidRPr="00904FCB">
        <w:rPr>
          <w:sz w:val="27"/>
          <w:rtl/>
        </w:rPr>
        <w:t xml:space="preserve"> </w:t>
      </w:r>
      <w:r w:rsidRPr="00904FCB">
        <w:rPr>
          <w:rFonts w:hint="cs"/>
          <w:sz w:val="27"/>
          <w:rtl/>
        </w:rPr>
        <w:t>وقد</w:t>
      </w:r>
      <w:r w:rsidRPr="00904FCB">
        <w:rPr>
          <w:sz w:val="27"/>
          <w:rtl/>
        </w:rPr>
        <w:t xml:space="preserve"> </w:t>
      </w:r>
      <w:r w:rsidRPr="00904FCB">
        <w:rPr>
          <w:rFonts w:hint="cs"/>
          <w:sz w:val="27"/>
          <w:rtl/>
        </w:rPr>
        <w:t>اتّ</w:t>
      </w:r>
      <w:r w:rsidR="003A4BF9" w:rsidRPr="00904FCB">
        <w:rPr>
          <w:rFonts w:hint="cs"/>
          <w:sz w:val="27"/>
          <w:rtl/>
        </w:rPr>
        <w:t>َ</w:t>
      </w:r>
      <w:r w:rsidRPr="00904FCB">
        <w:rPr>
          <w:rFonts w:hint="cs"/>
          <w:sz w:val="27"/>
          <w:rtl/>
        </w:rPr>
        <w:t>ضح</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لم</w:t>
      </w:r>
      <w:r w:rsidR="003A4BF9" w:rsidRPr="00904FCB">
        <w:rPr>
          <w:rFonts w:hint="cs"/>
          <w:sz w:val="27"/>
          <w:rtl/>
        </w:rPr>
        <w:t>َ</w:t>
      </w:r>
      <w:r w:rsidRPr="00904FCB">
        <w:rPr>
          <w:rFonts w:hint="cs"/>
          <w:sz w:val="27"/>
          <w:rtl/>
        </w:rPr>
        <w:t>ن</w:t>
      </w:r>
      <w:r w:rsidR="003A4BF9" w:rsidRPr="00904FCB">
        <w:rPr>
          <w:rFonts w:hint="cs"/>
          <w:sz w:val="27"/>
          <w:rtl/>
        </w:rPr>
        <w:t>ْ</w:t>
      </w:r>
      <w:r w:rsidRPr="00904FCB">
        <w:rPr>
          <w:sz w:val="27"/>
          <w:rtl/>
        </w:rPr>
        <w:t xml:space="preserve"> </w:t>
      </w:r>
      <w:r w:rsidRPr="00904FCB">
        <w:rPr>
          <w:rFonts w:hint="cs"/>
          <w:sz w:val="27"/>
          <w:rtl/>
        </w:rPr>
        <w:t>ذ</w:t>
      </w:r>
      <w:r w:rsidR="003A4BF9" w:rsidRPr="00904FCB">
        <w:rPr>
          <w:rFonts w:hint="cs"/>
          <w:sz w:val="27"/>
          <w:rtl/>
        </w:rPr>
        <w:t>ُ</w:t>
      </w:r>
      <w:r w:rsidRPr="00904FCB">
        <w:rPr>
          <w:rFonts w:hint="cs"/>
          <w:sz w:val="27"/>
          <w:rtl/>
        </w:rPr>
        <w:t>كر</w:t>
      </w:r>
      <w:r w:rsidRPr="00904FCB">
        <w:rPr>
          <w:sz w:val="27"/>
          <w:rtl/>
        </w:rPr>
        <w:t xml:space="preserve"> </w:t>
      </w:r>
      <w:r w:rsidRPr="00904FCB">
        <w:rPr>
          <w:rFonts w:hint="cs"/>
          <w:sz w:val="27"/>
          <w:rtl/>
        </w:rPr>
        <w:t>فيها، فراج</w:t>
      </w:r>
      <w:r w:rsidR="003A4BF9" w:rsidRPr="00904FCB">
        <w:rPr>
          <w:rFonts w:hint="cs"/>
          <w:sz w:val="27"/>
          <w:rtl/>
        </w:rPr>
        <w:t>ِ</w:t>
      </w:r>
      <w:r w:rsidRPr="00904FCB">
        <w:rPr>
          <w:rFonts w:hint="cs"/>
          <w:sz w:val="27"/>
          <w:rtl/>
        </w:rPr>
        <w:t>ع</w:t>
      </w:r>
      <w:r w:rsidR="003A4BF9" w:rsidRPr="00904FCB">
        <w:rPr>
          <w:rFonts w:hint="cs"/>
          <w:sz w:val="27"/>
          <w:rtl/>
        </w:rPr>
        <w:t>ْ</w:t>
      </w:r>
      <w:r w:rsidRPr="00904FCB">
        <w:rPr>
          <w:sz w:val="27"/>
          <w:rtl/>
        </w:rPr>
        <w:t xml:space="preserve">. </w:t>
      </w:r>
    </w:p>
    <w:p w:rsidR="00F34FB9" w:rsidRPr="00904FCB" w:rsidRDefault="00F34FB9" w:rsidP="00B2457B">
      <w:pPr>
        <w:spacing w:line="400" w:lineRule="exact"/>
        <w:rPr>
          <w:sz w:val="27"/>
          <w:rtl/>
        </w:rPr>
      </w:pPr>
      <w:r w:rsidRPr="00904FCB">
        <w:rPr>
          <w:rFonts w:hint="cs"/>
          <w:b/>
          <w:bCs/>
          <w:sz w:val="27"/>
          <w:rtl/>
        </w:rPr>
        <w:t>الرواية</w:t>
      </w:r>
      <w:r w:rsidRPr="00904FCB">
        <w:rPr>
          <w:b/>
          <w:bCs/>
          <w:sz w:val="27"/>
          <w:rtl/>
        </w:rPr>
        <w:t xml:space="preserve"> </w:t>
      </w:r>
      <w:r w:rsidRPr="00904FCB">
        <w:rPr>
          <w:rFonts w:hint="cs"/>
          <w:b/>
          <w:bCs/>
          <w:sz w:val="27"/>
          <w:rtl/>
        </w:rPr>
        <w:t>التاسعة</w:t>
      </w:r>
      <w:r w:rsidRPr="00904FCB">
        <w:rPr>
          <w:b/>
          <w:bCs/>
          <w:sz w:val="27"/>
          <w:rtl/>
        </w:rPr>
        <w:t xml:space="preserve"> </w:t>
      </w:r>
      <w:r w:rsidRPr="00904FCB">
        <w:rPr>
          <w:rFonts w:hint="cs"/>
          <w:b/>
          <w:bCs/>
          <w:sz w:val="27"/>
          <w:rtl/>
        </w:rPr>
        <w:t>عشرة</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الصدوق</w:t>
      </w:r>
      <w:r w:rsidR="00B2457B" w:rsidRPr="00904FCB">
        <w:rPr>
          <w:rFonts w:hint="cs"/>
          <w:sz w:val="27"/>
          <w:rtl/>
        </w:rPr>
        <w:t xml:space="preserve">، </w:t>
      </w:r>
      <w:r w:rsidRPr="00904FCB">
        <w:rPr>
          <w:rFonts w:hint="cs"/>
          <w:sz w:val="27"/>
          <w:rtl/>
        </w:rPr>
        <w:t>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الْحُسَيْنِ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الْعِلَلِ</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الْحَسَنِ</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سَعْدِ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فَضَّالٍ</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عَلِيٍّ</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بُكَيْرٍ</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lastRenderedPageBreak/>
        <w:t>بْنِ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يَعْفُورٍ</w:t>
      </w:r>
      <w:r w:rsidR="003A4BF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sz w:val="27"/>
          <w:szCs w:val="22"/>
          <w:rtl/>
        </w:rPr>
        <w:t>×</w:t>
      </w:r>
      <w:r w:rsidR="003A4BF9"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حَدِيثٍ</w:t>
      </w:r>
      <w:r w:rsidR="003A4BF9"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وإِيَّاكَ</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تَغْتَسِلَ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الْحَمَّامِ؛ فَفِيهَا</w:t>
      </w:r>
      <w:r w:rsidRPr="00904FCB">
        <w:rPr>
          <w:sz w:val="27"/>
          <w:rtl/>
        </w:rPr>
        <w:t xml:space="preserve"> </w:t>
      </w:r>
      <w:r w:rsidRPr="00904FCB">
        <w:rPr>
          <w:rFonts w:hint="cs"/>
          <w:sz w:val="27"/>
          <w:rtl/>
        </w:rPr>
        <w:t>تَجْتَمِعُ</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الْيَهُودِيِّ</w:t>
      </w:r>
      <w:r w:rsidRPr="00904FCB">
        <w:rPr>
          <w:sz w:val="27"/>
          <w:rtl/>
        </w:rPr>
        <w:t xml:space="preserve"> </w:t>
      </w:r>
      <w:r w:rsidRPr="00904FCB">
        <w:rPr>
          <w:rFonts w:hint="cs"/>
          <w:sz w:val="27"/>
          <w:rtl/>
        </w:rPr>
        <w:t>والنَّصْرَانِيِّ</w:t>
      </w:r>
      <w:r w:rsidRPr="00904FCB">
        <w:rPr>
          <w:sz w:val="27"/>
          <w:rtl/>
        </w:rPr>
        <w:t xml:space="preserve"> </w:t>
      </w:r>
      <w:r w:rsidRPr="00904FCB">
        <w:rPr>
          <w:rFonts w:hint="cs"/>
          <w:sz w:val="27"/>
          <w:rtl/>
        </w:rPr>
        <w:t>والْمَجُوسِيِّ</w:t>
      </w:r>
      <w:r w:rsidRPr="00904FCB">
        <w:rPr>
          <w:sz w:val="27"/>
          <w:rtl/>
        </w:rPr>
        <w:t xml:space="preserve"> </w:t>
      </w:r>
      <w:r w:rsidRPr="00904FCB">
        <w:rPr>
          <w:rFonts w:hint="cs"/>
          <w:sz w:val="27"/>
          <w:rtl/>
        </w:rPr>
        <w:t>والنَّاصِبِ</w:t>
      </w:r>
      <w:r w:rsidRPr="00904FCB">
        <w:rPr>
          <w:sz w:val="27"/>
          <w:rtl/>
        </w:rPr>
        <w:t xml:space="preserve"> </w:t>
      </w:r>
      <w:r w:rsidRPr="00904FCB">
        <w:rPr>
          <w:rFonts w:hint="cs"/>
          <w:sz w:val="27"/>
          <w:rtl/>
        </w:rPr>
        <w:t>لَنَا</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الْبَيْتِ</w:t>
      </w:r>
      <w:r w:rsidR="003A4BF9" w:rsidRPr="00904FCB">
        <w:rPr>
          <w:rFonts w:hint="cs"/>
          <w:sz w:val="27"/>
          <w:rtl/>
        </w:rPr>
        <w:t>،</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شَرُّهُمْ؛ فَإِنَّ</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تَبَارَكَ</w:t>
      </w:r>
      <w:r w:rsidRPr="00904FCB">
        <w:rPr>
          <w:sz w:val="27"/>
          <w:rtl/>
        </w:rPr>
        <w:t xml:space="preserve"> </w:t>
      </w:r>
      <w:r w:rsidRPr="00904FCB">
        <w:rPr>
          <w:rFonts w:hint="cs"/>
          <w:sz w:val="27"/>
          <w:rtl/>
        </w:rPr>
        <w:t>وتَعَالَى</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يَخْلُقْ</w:t>
      </w:r>
      <w:r w:rsidRPr="00904FCB">
        <w:rPr>
          <w:sz w:val="27"/>
          <w:rtl/>
        </w:rPr>
        <w:t xml:space="preserve"> </w:t>
      </w:r>
      <w:r w:rsidRPr="00904FCB">
        <w:rPr>
          <w:rFonts w:hint="cs"/>
          <w:sz w:val="27"/>
          <w:rtl/>
        </w:rPr>
        <w:t>خَلْقاً</w:t>
      </w:r>
      <w:r w:rsidRPr="00904FCB">
        <w:rPr>
          <w:sz w:val="27"/>
          <w:rtl/>
        </w:rPr>
        <w:t xml:space="preserve"> </w:t>
      </w:r>
      <w:r w:rsidRPr="00904FCB">
        <w:rPr>
          <w:rFonts w:hint="cs"/>
          <w:sz w:val="27"/>
          <w:rtl/>
        </w:rPr>
        <w:t>أَنْجَسَ</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الْكَلْبِ، وإِنَّ</w:t>
      </w:r>
      <w:r w:rsidRPr="00904FCB">
        <w:rPr>
          <w:sz w:val="27"/>
          <w:rtl/>
        </w:rPr>
        <w:t xml:space="preserve"> </w:t>
      </w:r>
      <w:r w:rsidRPr="00904FCB">
        <w:rPr>
          <w:rFonts w:hint="cs"/>
          <w:sz w:val="27"/>
          <w:rtl/>
        </w:rPr>
        <w:t>النَّاصِبَ</w:t>
      </w:r>
      <w:r w:rsidRPr="00904FCB">
        <w:rPr>
          <w:sz w:val="27"/>
          <w:rtl/>
        </w:rPr>
        <w:t xml:space="preserve"> </w:t>
      </w:r>
      <w:r w:rsidRPr="00904FCB">
        <w:rPr>
          <w:rFonts w:hint="cs"/>
          <w:sz w:val="27"/>
          <w:rtl/>
        </w:rPr>
        <w:t>لَنَا</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الْبَيْتِ</w:t>
      </w:r>
      <w:r w:rsidRPr="00904FCB">
        <w:rPr>
          <w:sz w:val="27"/>
          <w:rtl/>
        </w:rPr>
        <w:t xml:space="preserve"> </w:t>
      </w:r>
      <w:r w:rsidRPr="00904FCB">
        <w:rPr>
          <w:rFonts w:hint="cs"/>
          <w:sz w:val="27"/>
          <w:rtl/>
        </w:rPr>
        <w:t>لأنْجَسُ</w:t>
      </w:r>
      <w:r w:rsidRPr="00904FCB">
        <w:rPr>
          <w:sz w:val="27"/>
          <w:rtl/>
        </w:rPr>
        <w:t xml:space="preserve"> </w:t>
      </w:r>
      <w:r w:rsidRPr="00904FCB">
        <w:rPr>
          <w:rFonts w:hint="cs"/>
          <w:sz w:val="27"/>
          <w:rtl/>
        </w:rPr>
        <w:t>مِنْهُ</w:t>
      </w:r>
      <w:r w:rsidRPr="00904FCB">
        <w:rPr>
          <w:rFonts w:hint="eastAsia"/>
          <w:sz w:val="27"/>
          <w:rtl/>
        </w:rPr>
        <w:t>»</w:t>
      </w:r>
      <w:r w:rsidRPr="00904FCB">
        <w:rPr>
          <w:rFonts w:hint="cs"/>
          <w:sz w:val="27"/>
          <w:vertAlign w:val="superscript"/>
          <w:rtl/>
        </w:rPr>
        <w:t>(</w:t>
      </w:r>
      <w:r w:rsidRPr="00904FCB">
        <w:rPr>
          <w:rStyle w:val="ac"/>
          <w:sz w:val="27"/>
          <w:rtl/>
        </w:rPr>
        <w:endnoteReference w:id="695"/>
      </w:r>
      <w:r w:rsidRPr="00904FCB">
        <w:rPr>
          <w:rFonts w:hint="cs"/>
          <w:sz w:val="27"/>
          <w:vertAlign w:val="superscript"/>
          <w:rtl/>
        </w:rPr>
        <w:t>)</w:t>
      </w:r>
      <w:r w:rsidRPr="00904FCB">
        <w:rPr>
          <w:rFonts w:hint="cs"/>
          <w:sz w:val="27"/>
          <w:rtl/>
        </w:rPr>
        <w:t xml:space="preserve">. </w:t>
      </w:r>
    </w:p>
    <w:p w:rsidR="00F34FB9" w:rsidRPr="00904FCB" w:rsidRDefault="00F34FB9" w:rsidP="00B2457B">
      <w:pPr>
        <w:spacing w:line="400" w:lineRule="exact"/>
        <w:rPr>
          <w:sz w:val="27"/>
          <w:rtl/>
        </w:rPr>
      </w:pPr>
      <w:r w:rsidRPr="00904FCB">
        <w:rPr>
          <w:rFonts w:hint="cs"/>
          <w:sz w:val="27"/>
          <w:rtl/>
        </w:rPr>
        <w:t>الرواية</w:t>
      </w:r>
      <w:r w:rsidRPr="00904FCB">
        <w:rPr>
          <w:sz w:val="27"/>
          <w:rtl/>
        </w:rPr>
        <w:t xml:space="preserve"> </w:t>
      </w:r>
      <w:r w:rsidRPr="00904FCB">
        <w:rPr>
          <w:rFonts w:hint="cs"/>
          <w:sz w:val="27"/>
          <w:rtl/>
        </w:rPr>
        <w:t>معتبرة</w:t>
      </w:r>
      <w:r w:rsidR="002502FA" w:rsidRPr="00904FCB">
        <w:rPr>
          <w:rFonts w:hint="cs"/>
          <w:sz w:val="27"/>
          <w:rtl/>
        </w:rPr>
        <w:t>ٌ</w:t>
      </w:r>
      <w:r w:rsidRPr="00904FCB">
        <w:rPr>
          <w:sz w:val="27"/>
          <w:rtl/>
        </w:rPr>
        <w:t xml:space="preserve"> </w:t>
      </w:r>
      <w:r w:rsidRPr="00904FCB">
        <w:rPr>
          <w:rFonts w:hint="cs"/>
          <w:sz w:val="27"/>
          <w:rtl/>
        </w:rPr>
        <w:t>بالاتّفاق</w:t>
      </w:r>
      <w:r w:rsidR="00B2457B"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وأمّا</w:t>
      </w:r>
      <w:r w:rsidRPr="00904FCB">
        <w:rPr>
          <w:sz w:val="27"/>
          <w:rtl/>
        </w:rPr>
        <w:t xml:space="preserve"> </w:t>
      </w:r>
      <w:r w:rsidRPr="00904FCB">
        <w:rPr>
          <w:rFonts w:hint="cs"/>
          <w:sz w:val="27"/>
          <w:rtl/>
        </w:rPr>
        <w:t>دلالتها فقد</w:t>
      </w:r>
      <w:r w:rsidRPr="00904FCB">
        <w:rPr>
          <w:sz w:val="27"/>
          <w:rtl/>
        </w:rPr>
        <w:t xml:space="preserve"> </w:t>
      </w:r>
      <w:r w:rsidRPr="00904FCB">
        <w:rPr>
          <w:rFonts w:hint="cs"/>
          <w:sz w:val="27"/>
          <w:rtl/>
        </w:rPr>
        <w:t>ي</w:t>
      </w:r>
      <w:r w:rsidR="002502FA" w:rsidRPr="00904FCB">
        <w:rPr>
          <w:rFonts w:hint="cs"/>
          <w:sz w:val="27"/>
          <w:rtl/>
        </w:rPr>
        <w:t>ُ</w:t>
      </w:r>
      <w:r w:rsidRPr="00904FCB">
        <w:rPr>
          <w:rFonts w:hint="cs"/>
          <w:sz w:val="27"/>
          <w:rtl/>
        </w:rPr>
        <w:t>قال</w:t>
      </w:r>
      <w:r w:rsidRPr="00904FCB">
        <w:rPr>
          <w:sz w:val="27"/>
          <w:rtl/>
        </w:rPr>
        <w:t xml:space="preserve">: </w:t>
      </w:r>
      <w:r w:rsidRPr="00904FCB">
        <w:rPr>
          <w:rFonts w:hint="cs"/>
          <w:sz w:val="27"/>
          <w:rtl/>
        </w:rPr>
        <w:t>إنّها</w:t>
      </w:r>
      <w:r w:rsidRPr="00904FCB">
        <w:rPr>
          <w:sz w:val="27"/>
          <w:rtl/>
        </w:rPr>
        <w:t xml:space="preserve"> </w:t>
      </w:r>
      <w:r w:rsidRPr="00904FCB">
        <w:rPr>
          <w:rFonts w:hint="cs"/>
          <w:sz w:val="27"/>
          <w:rtl/>
        </w:rPr>
        <w:t>أصرح</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الباب</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الذاتيّة</w:t>
      </w:r>
      <w:r w:rsidRPr="00904FCB">
        <w:rPr>
          <w:sz w:val="27"/>
          <w:rtl/>
        </w:rPr>
        <w:t xml:space="preserve"> </w:t>
      </w:r>
      <w:r w:rsidRPr="00904FCB">
        <w:rPr>
          <w:rFonts w:hint="cs"/>
          <w:sz w:val="27"/>
          <w:rtl/>
        </w:rPr>
        <w:t>لم</w:t>
      </w:r>
      <w:r w:rsidR="002502FA" w:rsidRPr="00904FCB">
        <w:rPr>
          <w:rFonts w:hint="cs"/>
          <w:sz w:val="27"/>
          <w:rtl/>
        </w:rPr>
        <w:t>َ</w:t>
      </w:r>
      <w:r w:rsidRPr="00904FCB">
        <w:rPr>
          <w:rFonts w:hint="cs"/>
          <w:sz w:val="27"/>
          <w:rtl/>
        </w:rPr>
        <w:t>ن</w:t>
      </w:r>
      <w:r w:rsidR="002502FA" w:rsidRPr="00904FCB">
        <w:rPr>
          <w:rFonts w:hint="cs"/>
          <w:sz w:val="27"/>
          <w:rtl/>
        </w:rPr>
        <w:t>ْ</w:t>
      </w:r>
      <w:r w:rsidRPr="00904FCB">
        <w:rPr>
          <w:sz w:val="27"/>
          <w:rtl/>
        </w:rPr>
        <w:t xml:space="preserve"> </w:t>
      </w:r>
      <w:r w:rsidRPr="00904FCB">
        <w:rPr>
          <w:rFonts w:hint="cs"/>
          <w:sz w:val="27"/>
          <w:rtl/>
        </w:rPr>
        <w:t>ذ</w:t>
      </w:r>
      <w:r w:rsidR="002502FA" w:rsidRPr="00904FCB">
        <w:rPr>
          <w:rFonts w:hint="cs"/>
          <w:sz w:val="27"/>
          <w:rtl/>
        </w:rPr>
        <w:t>ُ</w:t>
      </w:r>
      <w:r w:rsidRPr="00904FCB">
        <w:rPr>
          <w:rFonts w:hint="cs"/>
          <w:sz w:val="27"/>
          <w:rtl/>
        </w:rPr>
        <w:t>كر</w:t>
      </w:r>
      <w:r w:rsidRPr="00904FCB">
        <w:rPr>
          <w:sz w:val="27"/>
          <w:rtl/>
        </w:rPr>
        <w:t xml:space="preserve"> </w:t>
      </w:r>
      <w:r w:rsidRPr="00904FCB">
        <w:rPr>
          <w:rFonts w:hint="cs"/>
          <w:sz w:val="27"/>
          <w:rtl/>
        </w:rPr>
        <w:t>فيها؛ وذلك</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لزوم</w:t>
      </w:r>
      <w:r w:rsidRPr="00904FCB">
        <w:rPr>
          <w:sz w:val="27"/>
          <w:rtl/>
        </w:rPr>
        <w:t xml:space="preserve"> </w:t>
      </w:r>
      <w:r w:rsidRPr="00904FCB">
        <w:rPr>
          <w:rFonts w:hint="cs"/>
          <w:sz w:val="27"/>
          <w:rtl/>
        </w:rPr>
        <w:t>الاجتناب</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فرّع</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اغتسالهم</w:t>
      </w:r>
      <w:r w:rsidRPr="00904FCB">
        <w:rPr>
          <w:sz w:val="27"/>
          <w:rtl/>
        </w:rPr>
        <w:t xml:space="preserve"> </w:t>
      </w:r>
      <w:r w:rsidRPr="00904FCB">
        <w:rPr>
          <w:rFonts w:hint="cs"/>
          <w:sz w:val="27"/>
          <w:rtl/>
        </w:rPr>
        <w:t>بأنفسهم</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الحمّام، من</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إشارة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وجود</w:t>
      </w:r>
      <w:r w:rsidRPr="00904FCB">
        <w:rPr>
          <w:sz w:val="27"/>
          <w:rtl/>
        </w:rPr>
        <w:t xml:space="preserve"> </w:t>
      </w:r>
      <w:r w:rsidRPr="00904FCB">
        <w:rPr>
          <w:rFonts w:hint="cs"/>
          <w:sz w:val="27"/>
          <w:rtl/>
        </w:rPr>
        <w:t>أيّ</w:t>
      </w:r>
      <w:r w:rsidRPr="00904FCB">
        <w:rPr>
          <w:sz w:val="27"/>
          <w:rtl/>
        </w:rPr>
        <w:t xml:space="preserve"> </w:t>
      </w:r>
      <w:r w:rsidRPr="00904FCB">
        <w:rPr>
          <w:rFonts w:hint="cs"/>
          <w:sz w:val="27"/>
          <w:rtl/>
        </w:rPr>
        <w:t>نجاسة</w:t>
      </w:r>
      <w:r w:rsidR="002502FA" w:rsidRPr="00904FCB">
        <w:rPr>
          <w:rFonts w:hint="cs"/>
          <w:sz w:val="27"/>
          <w:rtl/>
        </w:rPr>
        <w:t>ٍ</w:t>
      </w:r>
      <w:r w:rsidRPr="00904FCB">
        <w:rPr>
          <w:sz w:val="27"/>
          <w:rtl/>
        </w:rPr>
        <w:t xml:space="preserve"> </w:t>
      </w:r>
      <w:r w:rsidRPr="00904FCB">
        <w:rPr>
          <w:rFonts w:hint="cs"/>
          <w:sz w:val="27"/>
          <w:rtl/>
        </w:rPr>
        <w:t>خارجيّة</w:t>
      </w:r>
      <w:r w:rsidRPr="00904FCB">
        <w:rPr>
          <w:sz w:val="27"/>
          <w:rtl/>
        </w:rPr>
        <w:t xml:space="preserve">. </w:t>
      </w:r>
      <w:r w:rsidRPr="00904FCB">
        <w:rPr>
          <w:rFonts w:hint="cs"/>
          <w:sz w:val="27"/>
          <w:rtl/>
        </w:rPr>
        <w:t>مضافاً</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التعليل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ذيلها</w:t>
      </w:r>
      <w:r w:rsidRPr="00904FCB">
        <w:rPr>
          <w:sz w:val="27"/>
          <w:rtl/>
        </w:rPr>
        <w:t xml:space="preserve"> </w:t>
      </w:r>
      <w:r w:rsidRPr="00904FCB">
        <w:rPr>
          <w:rFonts w:hint="cs"/>
          <w:sz w:val="27"/>
          <w:rtl/>
        </w:rPr>
        <w:t>يدلّ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ذلك</w:t>
      </w:r>
      <w:r w:rsidR="002502FA"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إثبات</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الأشدّ</w:t>
      </w:r>
      <w:r w:rsidRPr="00904FCB">
        <w:rPr>
          <w:sz w:val="27"/>
          <w:rtl/>
        </w:rPr>
        <w:t xml:space="preserve"> </w:t>
      </w:r>
      <w:r w:rsidRPr="00904FCB">
        <w:rPr>
          <w:rFonts w:hint="cs"/>
          <w:sz w:val="27"/>
          <w:rtl/>
        </w:rPr>
        <w:t>للناصب</w:t>
      </w:r>
      <w:r w:rsidRPr="00904FCB">
        <w:rPr>
          <w:sz w:val="27"/>
          <w:rtl/>
        </w:rPr>
        <w:t xml:space="preserve"> </w:t>
      </w:r>
      <w:r w:rsidRPr="00904FCB">
        <w:rPr>
          <w:rFonts w:hint="cs"/>
          <w:sz w:val="27"/>
          <w:rtl/>
        </w:rPr>
        <w:t>لأهل</w:t>
      </w:r>
      <w:r w:rsidRPr="00904FCB">
        <w:rPr>
          <w:sz w:val="27"/>
          <w:rtl/>
        </w:rPr>
        <w:t xml:space="preserve"> </w:t>
      </w:r>
      <w:r w:rsidRPr="00904FCB">
        <w:rPr>
          <w:rFonts w:hint="cs"/>
          <w:sz w:val="27"/>
          <w:rtl/>
        </w:rPr>
        <w:t>البيت</w:t>
      </w:r>
      <w:r w:rsidR="001C1A2A" w:rsidRPr="00904FCB">
        <w:rPr>
          <w:rFonts w:cs="Mosawi"/>
          <w:sz w:val="27"/>
          <w:szCs w:val="22"/>
          <w:rtl/>
        </w:rPr>
        <w:t>×</w:t>
      </w:r>
      <w:r w:rsidRPr="00904FCB">
        <w:rPr>
          <w:sz w:val="27"/>
          <w:rtl/>
        </w:rPr>
        <w:t>،</w:t>
      </w:r>
      <w:r w:rsidRPr="00904FCB">
        <w:rPr>
          <w:rFonts w:hint="cs"/>
          <w:sz w:val="27"/>
          <w:rtl/>
        </w:rPr>
        <w:t xml:space="preserve"> ممّا</w:t>
      </w:r>
      <w:r w:rsidRPr="00904FCB">
        <w:rPr>
          <w:sz w:val="27"/>
          <w:rtl/>
        </w:rPr>
        <w:t xml:space="preserve"> </w:t>
      </w:r>
      <w:r w:rsidRPr="00904FCB">
        <w:rPr>
          <w:rFonts w:hint="cs"/>
          <w:sz w:val="27"/>
          <w:rtl/>
        </w:rPr>
        <w:t>يعني</w:t>
      </w:r>
      <w:r w:rsidRPr="00904FCB">
        <w:rPr>
          <w:sz w:val="27"/>
          <w:rtl/>
        </w:rPr>
        <w:t xml:space="preserve"> </w:t>
      </w:r>
      <w:r w:rsidRPr="00904FCB">
        <w:rPr>
          <w:rFonts w:hint="cs"/>
          <w:sz w:val="27"/>
          <w:rtl/>
        </w:rPr>
        <w:t>وجودها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w:t>
      </w:r>
      <w:r w:rsidR="002502FA" w:rsidRPr="00904FCB">
        <w:rPr>
          <w:rFonts w:hint="cs"/>
          <w:sz w:val="27"/>
          <w:rtl/>
        </w:rPr>
        <w:t>َ</w:t>
      </w:r>
      <w:r w:rsidRPr="00904FCB">
        <w:rPr>
          <w:rFonts w:hint="cs"/>
          <w:sz w:val="27"/>
          <w:rtl/>
        </w:rPr>
        <w:t>ن</w:t>
      </w:r>
      <w:r w:rsidR="002502FA" w:rsidRPr="00904FCB">
        <w:rPr>
          <w:rFonts w:hint="cs"/>
          <w:sz w:val="27"/>
          <w:rtl/>
        </w:rPr>
        <w:t>ْ</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مذكور</w:t>
      </w:r>
      <w:r w:rsidR="002502FA" w:rsidRPr="00904FCB">
        <w:rPr>
          <w:rFonts w:hint="cs"/>
          <w:sz w:val="27"/>
          <w:rtl/>
        </w:rPr>
        <w:t>ٌ</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بدرجة</w:t>
      </w:r>
      <w:r w:rsidR="002502FA" w:rsidRPr="00904FCB">
        <w:rPr>
          <w:rFonts w:hint="cs"/>
          <w:sz w:val="27"/>
          <w:rtl/>
        </w:rPr>
        <w:t>ٍ</w:t>
      </w:r>
      <w:r w:rsidRPr="00904FCB">
        <w:rPr>
          <w:sz w:val="27"/>
          <w:rtl/>
        </w:rPr>
        <w:t xml:space="preserve"> </w:t>
      </w:r>
      <w:r w:rsidRPr="00904FCB">
        <w:rPr>
          <w:rFonts w:hint="cs"/>
          <w:sz w:val="27"/>
          <w:rtl/>
        </w:rPr>
        <w:t>أقلّ</w:t>
      </w:r>
      <w:r w:rsidRPr="00904FCB">
        <w:rPr>
          <w:sz w:val="27"/>
          <w:rtl/>
        </w:rPr>
        <w:t xml:space="preserve"> </w:t>
      </w:r>
      <w:r w:rsidRPr="00904FCB">
        <w:rPr>
          <w:rFonts w:hint="cs"/>
          <w:sz w:val="27"/>
          <w:rtl/>
        </w:rPr>
        <w:t>شدّة</w:t>
      </w:r>
      <w:r w:rsidR="002502FA"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إلاّ</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التشكيك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الدلالة</w:t>
      </w:r>
      <w:r w:rsidR="002502FA"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يدّ</w:t>
      </w:r>
      <w:r w:rsidR="002502FA" w:rsidRPr="00904FCB">
        <w:rPr>
          <w:rFonts w:hint="cs"/>
          <w:sz w:val="27"/>
          <w:rtl/>
        </w:rPr>
        <w:t>َ</w:t>
      </w:r>
      <w:r w:rsidRPr="00904FCB">
        <w:rPr>
          <w:rFonts w:hint="cs"/>
          <w:sz w:val="27"/>
          <w:rtl/>
        </w:rPr>
        <w:t>عى</w:t>
      </w:r>
      <w:r w:rsidRPr="00904FCB">
        <w:rPr>
          <w:sz w:val="27"/>
          <w:rtl/>
        </w:rPr>
        <w:t xml:space="preserve"> </w:t>
      </w:r>
      <w:r w:rsidRPr="00904FCB">
        <w:rPr>
          <w:rFonts w:hint="cs"/>
          <w:sz w:val="27"/>
          <w:rtl/>
        </w:rPr>
        <w:t>وضوحها</w:t>
      </w:r>
      <w:r w:rsidR="002502FA" w:rsidRPr="00904FCB">
        <w:rPr>
          <w:rFonts w:hint="cs"/>
          <w:sz w:val="27"/>
          <w:rtl/>
        </w:rPr>
        <w:t>،</w:t>
      </w:r>
      <w:r w:rsidRPr="00904FCB">
        <w:rPr>
          <w:sz w:val="27"/>
          <w:rtl/>
        </w:rPr>
        <w:t xml:space="preserve"> </w:t>
      </w:r>
      <w:r w:rsidRPr="00904FCB">
        <w:rPr>
          <w:rFonts w:hint="cs"/>
          <w:sz w:val="27"/>
          <w:rtl/>
        </w:rPr>
        <w:t>بما</w:t>
      </w:r>
      <w:r w:rsidRPr="00904FCB">
        <w:rPr>
          <w:sz w:val="27"/>
          <w:rtl/>
        </w:rPr>
        <w:t xml:space="preserve"> </w:t>
      </w:r>
      <w:r w:rsidRPr="00904FCB">
        <w:rPr>
          <w:rFonts w:hint="cs"/>
          <w:sz w:val="27"/>
          <w:rtl/>
        </w:rPr>
        <w:t>يلي</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أوّلاً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الواضح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الغسالة</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تطلق</w:t>
      </w:r>
      <w:r w:rsidRPr="00904FCB">
        <w:rPr>
          <w:sz w:val="27"/>
          <w:rtl/>
        </w:rPr>
        <w:t xml:space="preserve"> </w:t>
      </w:r>
      <w:r w:rsidRPr="00904FCB">
        <w:rPr>
          <w:rFonts w:hint="cs"/>
          <w:sz w:val="27"/>
          <w:rtl/>
        </w:rPr>
        <w:t>بحسب</w:t>
      </w:r>
      <w:r w:rsidRPr="00904FCB">
        <w:rPr>
          <w:sz w:val="27"/>
          <w:rtl/>
        </w:rPr>
        <w:t xml:space="preserve"> </w:t>
      </w:r>
      <w:r w:rsidRPr="00904FCB">
        <w:rPr>
          <w:rFonts w:hint="cs"/>
          <w:sz w:val="27"/>
          <w:rtl/>
        </w:rPr>
        <w:t>الشائع</w:t>
      </w:r>
      <w:r w:rsidRPr="00904FCB">
        <w:rPr>
          <w:sz w:val="27"/>
          <w:rtl/>
        </w:rPr>
        <w:t xml:space="preserve"> </w:t>
      </w:r>
      <w:r w:rsidRPr="00904FCB">
        <w:rPr>
          <w:rFonts w:hint="cs"/>
          <w:sz w:val="27"/>
          <w:rtl/>
        </w:rPr>
        <w:t>المتعارف</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الماء</w:t>
      </w:r>
      <w:r w:rsidRPr="00904FCB">
        <w:rPr>
          <w:sz w:val="27"/>
          <w:rtl/>
        </w:rPr>
        <w:t xml:space="preserve"> </w:t>
      </w:r>
      <w:r w:rsidRPr="00904FCB">
        <w:rPr>
          <w:rFonts w:hint="cs"/>
          <w:sz w:val="27"/>
          <w:rtl/>
        </w:rPr>
        <w:t>المجتمع</w:t>
      </w:r>
      <w:r w:rsidRPr="00904FCB">
        <w:rPr>
          <w:sz w:val="27"/>
          <w:rtl/>
        </w:rPr>
        <w:t xml:space="preserve"> </w:t>
      </w:r>
      <w:r w:rsidRPr="00904FCB">
        <w:rPr>
          <w:rFonts w:hint="cs"/>
          <w:sz w:val="27"/>
          <w:rtl/>
        </w:rPr>
        <w:t>نتيجةً</w:t>
      </w:r>
      <w:r w:rsidRPr="00904FCB">
        <w:rPr>
          <w:sz w:val="27"/>
          <w:rtl/>
        </w:rPr>
        <w:t xml:space="preserve"> </w:t>
      </w:r>
      <w:r w:rsidRPr="00904FCB">
        <w:rPr>
          <w:rFonts w:hint="cs"/>
          <w:sz w:val="27"/>
          <w:rtl/>
        </w:rPr>
        <w:t>لتطهير</w:t>
      </w:r>
      <w:r w:rsidRPr="00904FCB">
        <w:rPr>
          <w:sz w:val="27"/>
          <w:rtl/>
        </w:rPr>
        <w:t xml:space="preserve"> </w:t>
      </w:r>
      <w:r w:rsidRPr="00904FCB">
        <w:rPr>
          <w:rFonts w:hint="cs"/>
          <w:sz w:val="27"/>
          <w:rtl/>
        </w:rPr>
        <w:t>شيءٍ</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الأشياء</w:t>
      </w:r>
      <w:r w:rsidRPr="00904FCB">
        <w:rPr>
          <w:sz w:val="27"/>
          <w:rtl/>
        </w:rPr>
        <w:t xml:space="preserve"> </w:t>
      </w:r>
      <w:r w:rsidRPr="00904FCB">
        <w:rPr>
          <w:rFonts w:hint="cs"/>
          <w:sz w:val="27"/>
          <w:rtl/>
        </w:rPr>
        <w:t>ـ</w:t>
      </w:r>
      <w:r w:rsidR="002502FA" w:rsidRPr="00904FCB">
        <w:rPr>
          <w:rFonts w:hint="cs"/>
          <w:sz w:val="27"/>
          <w:rtl/>
        </w:rPr>
        <w:t>؛</w:t>
      </w:r>
      <w:r w:rsidRPr="00904FCB">
        <w:rPr>
          <w:rFonts w:hint="cs"/>
          <w:sz w:val="27"/>
          <w:rtl/>
        </w:rPr>
        <w:t xml:space="preserve"> حيث</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العناوين</w:t>
      </w:r>
      <w:r w:rsidRPr="00904FCB">
        <w:rPr>
          <w:sz w:val="27"/>
          <w:rtl/>
        </w:rPr>
        <w:t xml:space="preserve"> </w:t>
      </w:r>
      <w:r w:rsidRPr="00904FCB">
        <w:rPr>
          <w:rFonts w:hint="cs"/>
          <w:sz w:val="27"/>
          <w:rtl/>
        </w:rPr>
        <w:t>لو</w:t>
      </w:r>
      <w:r w:rsidRPr="00904FCB">
        <w:rPr>
          <w:sz w:val="27"/>
          <w:rtl/>
        </w:rPr>
        <w:t xml:space="preserve"> </w:t>
      </w:r>
      <w:r w:rsidRPr="00904FCB">
        <w:rPr>
          <w:rFonts w:hint="cs"/>
          <w:sz w:val="27"/>
          <w:rtl/>
        </w:rPr>
        <w:t>فرضت</w:t>
      </w:r>
      <w:r w:rsidRPr="00904FCB">
        <w:rPr>
          <w:sz w:val="27"/>
          <w:rtl/>
        </w:rPr>
        <w:t xml:space="preserve"> </w:t>
      </w:r>
      <w:r w:rsidRPr="00904FCB">
        <w:rPr>
          <w:rFonts w:hint="cs"/>
          <w:sz w:val="27"/>
          <w:rtl/>
        </w:rPr>
        <w:t>نجاستها فمن</w:t>
      </w:r>
      <w:r w:rsidRPr="00904FCB">
        <w:rPr>
          <w:sz w:val="27"/>
          <w:rtl/>
        </w:rPr>
        <w:t xml:space="preserve"> </w:t>
      </w:r>
      <w:r w:rsidRPr="00904FCB">
        <w:rPr>
          <w:rFonts w:hint="cs"/>
          <w:sz w:val="27"/>
          <w:rtl/>
        </w:rPr>
        <w:t>الواضح</w:t>
      </w:r>
      <w:r w:rsidRPr="00904FCB">
        <w:rPr>
          <w:sz w:val="27"/>
          <w:rtl/>
        </w:rPr>
        <w:t xml:space="preserve"> </w:t>
      </w:r>
      <w:r w:rsidRPr="00904FCB">
        <w:rPr>
          <w:rFonts w:hint="cs"/>
          <w:sz w:val="27"/>
          <w:rtl/>
        </w:rPr>
        <w:t>أنّها</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تطهر</w:t>
      </w:r>
      <w:r w:rsidRPr="00904FCB">
        <w:rPr>
          <w:sz w:val="27"/>
          <w:rtl/>
        </w:rPr>
        <w:t xml:space="preserve"> </w:t>
      </w:r>
      <w:r w:rsidRPr="00904FCB">
        <w:rPr>
          <w:rFonts w:hint="cs"/>
          <w:sz w:val="27"/>
          <w:rtl/>
        </w:rPr>
        <w:t>بالغسل</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الحمّام، بل</w:t>
      </w:r>
      <w:r w:rsidRPr="00904FCB">
        <w:rPr>
          <w:sz w:val="27"/>
          <w:rtl/>
        </w:rPr>
        <w:t xml:space="preserve"> </w:t>
      </w:r>
      <w:r w:rsidRPr="00904FCB">
        <w:rPr>
          <w:rFonts w:hint="cs"/>
          <w:sz w:val="27"/>
          <w:rtl/>
        </w:rPr>
        <w:t>ينحصر</w:t>
      </w:r>
      <w:r w:rsidRPr="00904FCB">
        <w:rPr>
          <w:sz w:val="27"/>
          <w:rtl/>
        </w:rPr>
        <w:t xml:space="preserve"> </w:t>
      </w:r>
      <w:r w:rsidRPr="00904FCB">
        <w:rPr>
          <w:rFonts w:hint="cs"/>
          <w:sz w:val="27"/>
          <w:rtl/>
        </w:rPr>
        <w:t>تطهيرها</w:t>
      </w:r>
      <w:r w:rsidRPr="00904FCB">
        <w:rPr>
          <w:sz w:val="27"/>
          <w:rtl/>
        </w:rPr>
        <w:t xml:space="preserve"> </w:t>
      </w:r>
      <w:r w:rsidRPr="00904FCB">
        <w:rPr>
          <w:rFonts w:hint="cs"/>
          <w:sz w:val="27"/>
          <w:rtl/>
        </w:rPr>
        <w:t>باختيارها</w:t>
      </w:r>
      <w:r w:rsidRPr="00904FCB">
        <w:rPr>
          <w:sz w:val="27"/>
          <w:rtl/>
        </w:rPr>
        <w:t xml:space="preserve"> </w:t>
      </w:r>
      <w:r w:rsidRPr="00904FCB">
        <w:rPr>
          <w:rFonts w:hint="cs"/>
          <w:sz w:val="27"/>
          <w:rtl/>
        </w:rPr>
        <w:t>للإسلام</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وعليه فما</w:t>
      </w:r>
      <w:r w:rsidRPr="00904FCB">
        <w:rPr>
          <w:sz w:val="27"/>
          <w:rtl/>
        </w:rPr>
        <w:t xml:space="preserve"> </w:t>
      </w:r>
      <w:r w:rsidRPr="00904FCB">
        <w:rPr>
          <w:rFonts w:hint="cs"/>
          <w:sz w:val="27"/>
          <w:rtl/>
        </w:rPr>
        <w:t>يجتمع</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بئر</w:t>
      </w:r>
      <w:r w:rsidRPr="00904FCB">
        <w:rPr>
          <w:sz w:val="27"/>
          <w:rtl/>
        </w:rPr>
        <w:t xml:space="preserve"> </w:t>
      </w:r>
      <w:r w:rsidRPr="00904FCB">
        <w:rPr>
          <w:rFonts w:hint="cs"/>
          <w:sz w:val="27"/>
          <w:rtl/>
        </w:rPr>
        <w:t>الحمام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المياه</w:t>
      </w:r>
      <w:r w:rsidR="002502FA" w:rsidRPr="00904FCB">
        <w:rPr>
          <w:rFonts w:hint="cs"/>
          <w:sz w:val="27"/>
          <w:rtl/>
        </w:rPr>
        <w:t>،</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تحصل</w:t>
      </w:r>
      <w:r w:rsidRPr="00904FCB">
        <w:rPr>
          <w:sz w:val="27"/>
          <w:rtl/>
        </w:rPr>
        <w:t xml:space="preserve"> </w:t>
      </w:r>
      <w:r w:rsidRPr="00904FCB">
        <w:rPr>
          <w:rFonts w:hint="cs"/>
          <w:sz w:val="27"/>
          <w:rtl/>
        </w:rPr>
        <w:t>نتيجة</w:t>
      </w:r>
      <w:r w:rsidRPr="00904FCB">
        <w:rPr>
          <w:sz w:val="27"/>
          <w:rtl/>
        </w:rPr>
        <w:t xml:space="preserve"> </w:t>
      </w:r>
      <w:r w:rsidRPr="00904FCB">
        <w:rPr>
          <w:rFonts w:hint="cs"/>
          <w:sz w:val="27"/>
          <w:rtl/>
        </w:rPr>
        <w:t>الاغتسال</w:t>
      </w:r>
      <w:r w:rsidR="002502FA" w:rsidRPr="00904FCB">
        <w:rPr>
          <w:rFonts w:hint="cs"/>
          <w:sz w:val="27"/>
          <w:rtl/>
        </w:rPr>
        <w:t>،</w:t>
      </w:r>
      <w:r w:rsidRPr="00904FCB">
        <w:rPr>
          <w:sz w:val="27"/>
          <w:rtl/>
        </w:rPr>
        <w:t xml:space="preserve"> </w:t>
      </w:r>
      <w:r w:rsidRPr="00904FCB">
        <w:rPr>
          <w:rFonts w:hint="cs"/>
          <w:sz w:val="27"/>
          <w:rtl/>
        </w:rPr>
        <w:t>إنّما</w:t>
      </w:r>
      <w:r w:rsidRPr="00904FCB">
        <w:rPr>
          <w:sz w:val="27"/>
          <w:rtl/>
        </w:rPr>
        <w:t xml:space="preserve"> </w:t>
      </w:r>
      <w:r w:rsidRPr="00904FCB">
        <w:rPr>
          <w:rFonts w:hint="cs"/>
          <w:sz w:val="27"/>
          <w:rtl/>
        </w:rPr>
        <w:t>تطلق</w:t>
      </w:r>
      <w:r w:rsidRPr="00904FCB">
        <w:rPr>
          <w:sz w:val="27"/>
          <w:rtl/>
        </w:rPr>
        <w:t xml:space="preserve"> </w:t>
      </w:r>
      <w:r w:rsidRPr="00904FCB">
        <w:rPr>
          <w:rFonts w:hint="cs"/>
          <w:sz w:val="27"/>
          <w:rtl/>
        </w:rPr>
        <w:t>عليها</w:t>
      </w:r>
      <w:r w:rsidRPr="00904FCB">
        <w:rPr>
          <w:sz w:val="27"/>
          <w:rtl/>
        </w:rPr>
        <w:t xml:space="preserve"> </w:t>
      </w:r>
      <w:r w:rsidRPr="00904FCB">
        <w:rPr>
          <w:rFonts w:hint="cs"/>
          <w:sz w:val="27"/>
          <w:rtl/>
        </w:rPr>
        <w:t>الغسالة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المعنى</w:t>
      </w:r>
      <w:r w:rsidRPr="00904FCB">
        <w:rPr>
          <w:sz w:val="27"/>
          <w:rtl/>
        </w:rPr>
        <w:t xml:space="preserve"> </w:t>
      </w:r>
      <w:r w:rsidRPr="00904FCB">
        <w:rPr>
          <w:rFonts w:hint="cs"/>
          <w:sz w:val="27"/>
          <w:rtl/>
        </w:rPr>
        <w:t>اللغوي</w:t>
      </w:r>
      <w:r w:rsidR="002502FA" w:rsidRPr="00904FCB">
        <w:rPr>
          <w:rFonts w:hint="cs"/>
          <w:sz w:val="27"/>
          <w:rtl/>
        </w:rPr>
        <w:t>ّ</w:t>
      </w:r>
      <w:r w:rsidRPr="00904FCB">
        <w:rPr>
          <w:rFonts w:hint="cs"/>
          <w:sz w:val="27"/>
          <w:rtl/>
        </w:rPr>
        <w:t>، وهو</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يلحق</w:t>
      </w:r>
      <w:r w:rsidRPr="00904FCB">
        <w:rPr>
          <w:sz w:val="27"/>
          <w:rtl/>
        </w:rPr>
        <w:t xml:space="preserve"> </w:t>
      </w:r>
      <w:r w:rsidRPr="00904FCB">
        <w:rPr>
          <w:rFonts w:hint="cs"/>
          <w:sz w:val="27"/>
          <w:rtl/>
        </w:rPr>
        <w:t>الماء</w:t>
      </w:r>
      <w:r w:rsidRPr="00904FCB">
        <w:rPr>
          <w:sz w:val="27"/>
          <w:rtl/>
        </w:rPr>
        <w:t xml:space="preserve"> </w:t>
      </w:r>
      <w:r w:rsidRPr="00904FCB">
        <w:rPr>
          <w:rFonts w:hint="cs"/>
          <w:sz w:val="27"/>
          <w:rtl/>
        </w:rPr>
        <w:t>نتيجة</w:t>
      </w:r>
      <w:r w:rsidRPr="00904FCB">
        <w:rPr>
          <w:sz w:val="27"/>
          <w:rtl/>
        </w:rPr>
        <w:t xml:space="preserve"> </w:t>
      </w:r>
      <w:r w:rsidRPr="00904FCB">
        <w:rPr>
          <w:rFonts w:hint="cs"/>
          <w:sz w:val="27"/>
          <w:rtl/>
        </w:rPr>
        <w:t>الغسل</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التقذّ</w:t>
      </w:r>
      <w:r w:rsidR="002502FA" w:rsidRPr="00904FCB">
        <w:rPr>
          <w:rFonts w:hint="cs"/>
          <w:sz w:val="27"/>
          <w:rtl/>
        </w:rPr>
        <w:t>ُ</w:t>
      </w:r>
      <w:r w:rsidRPr="00904FCB">
        <w:rPr>
          <w:rFonts w:hint="cs"/>
          <w:sz w:val="27"/>
          <w:rtl/>
        </w:rPr>
        <w:t>ر</w:t>
      </w:r>
      <w:r w:rsidRPr="00904FCB">
        <w:rPr>
          <w:sz w:val="27"/>
          <w:rtl/>
        </w:rPr>
        <w:t xml:space="preserve"> </w:t>
      </w:r>
      <w:r w:rsidRPr="00904FCB">
        <w:rPr>
          <w:rFonts w:hint="cs"/>
          <w:sz w:val="27"/>
          <w:rtl/>
        </w:rPr>
        <w:t>العرفي؛ وذلك</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الغسالة</w:t>
      </w:r>
      <w:r w:rsidRPr="00904FCB">
        <w:rPr>
          <w:sz w:val="27"/>
          <w:rtl/>
        </w:rPr>
        <w:t xml:space="preserve"> </w:t>
      </w:r>
      <w:r w:rsidRPr="00904FCB">
        <w:rPr>
          <w:rFonts w:hint="cs"/>
          <w:sz w:val="27"/>
          <w:rtl/>
        </w:rPr>
        <w:t>أطلقت</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الماء</w:t>
      </w:r>
      <w:r w:rsidRPr="00904FCB">
        <w:rPr>
          <w:sz w:val="27"/>
          <w:rtl/>
        </w:rPr>
        <w:t xml:space="preserve"> </w:t>
      </w:r>
      <w:r w:rsidRPr="00904FCB">
        <w:rPr>
          <w:rFonts w:hint="cs"/>
          <w:sz w:val="27"/>
          <w:rtl/>
        </w:rPr>
        <w:t>المجتمع</w:t>
      </w:r>
      <w:r w:rsidRPr="00904FCB">
        <w:rPr>
          <w:sz w:val="27"/>
          <w:rtl/>
        </w:rPr>
        <w:t xml:space="preserve"> </w:t>
      </w:r>
      <w:r w:rsidRPr="00904FCB">
        <w:rPr>
          <w:rFonts w:hint="cs"/>
          <w:sz w:val="27"/>
          <w:rtl/>
        </w:rPr>
        <w:t>نتيجة</w:t>
      </w:r>
      <w:r w:rsidRPr="00904FCB">
        <w:rPr>
          <w:sz w:val="27"/>
          <w:rtl/>
        </w:rPr>
        <w:t xml:space="preserve"> </w:t>
      </w:r>
      <w:r w:rsidRPr="00904FCB">
        <w:rPr>
          <w:rFonts w:hint="cs"/>
          <w:sz w:val="27"/>
          <w:rtl/>
        </w:rPr>
        <w:t>الاغتسال، ولم</w:t>
      </w:r>
      <w:r w:rsidRPr="00904FCB">
        <w:rPr>
          <w:sz w:val="27"/>
          <w:rtl/>
        </w:rPr>
        <w:t xml:space="preserve"> </w:t>
      </w:r>
      <w:r w:rsidRPr="00904FCB">
        <w:rPr>
          <w:rFonts w:hint="cs"/>
          <w:sz w:val="27"/>
          <w:rtl/>
        </w:rPr>
        <w:t>يخصّص</w:t>
      </w:r>
      <w:r w:rsidRPr="00904FCB">
        <w:rPr>
          <w:sz w:val="27"/>
          <w:rtl/>
        </w:rPr>
        <w:t xml:space="preserve"> </w:t>
      </w:r>
      <w:r w:rsidRPr="00904FCB">
        <w:rPr>
          <w:rFonts w:hint="cs"/>
          <w:sz w:val="27"/>
          <w:rtl/>
        </w:rPr>
        <w:t>بهذا</w:t>
      </w:r>
      <w:r w:rsidRPr="00904FCB">
        <w:rPr>
          <w:sz w:val="27"/>
          <w:rtl/>
        </w:rPr>
        <w:t xml:space="preserve"> </w:t>
      </w:r>
      <w:r w:rsidRPr="00904FCB">
        <w:rPr>
          <w:rFonts w:hint="cs"/>
          <w:sz w:val="27"/>
          <w:rtl/>
        </w:rPr>
        <w:t>العنوان</w:t>
      </w:r>
      <w:r w:rsidRPr="00904FCB">
        <w:rPr>
          <w:sz w:val="27"/>
          <w:rtl/>
        </w:rPr>
        <w:t xml:space="preserve"> </w:t>
      </w:r>
      <w:r w:rsidRPr="00904FCB">
        <w:rPr>
          <w:rFonts w:hint="cs"/>
          <w:sz w:val="27"/>
          <w:rtl/>
        </w:rPr>
        <w:t>خصوص</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ينتج</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اغتسال</w:t>
      </w:r>
      <w:r w:rsidRPr="00904FCB">
        <w:rPr>
          <w:sz w:val="27"/>
          <w:rtl/>
        </w:rPr>
        <w:t xml:space="preserve"> </w:t>
      </w:r>
      <w:r w:rsidRPr="00904FCB">
        <w:rPr>
          <w:rFonts w:hint="cs"/>
          <w:sz w:val="27"/>
          <w:rtl/>
        </w:rPr>
        <w:t>العناوين</w:t>
      </w:r>
      <w:r w:rsidRPr="00904FCB">
        <w:rPr>
          <w:sz w:val="27"/>
          <w:rtl/>
        </w:rPr>
        <w:t xml:space="preserve"> </w:t>
      </w:r>
      <w:r w:rsidRPr="00904FCB">
        <w:rPr>
          <w:rFonts w:hint="cs"/>
          <w:sz w:val="27"/>
          <w:rtl/>
        </w:rPr>
        <w:t>المذكورة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ثمّ</w:t>
      </w:r>
      <w:r w:rsidRPr="00904FCB">
        <w:rPr>
          <w:sz w:val="27"/>
          <w:rtl/>
        </w:rPr>
        <w:t xml:space="preserve"> </w:t>
      </w:r>
      <w:r w:rsidRPr="00904FCB">
        <w:rPr>
          <w:rFonts w:hint="cs"/>
          <w:sz w:val="27"/>
          <w:rtl/>
        </w:rPr>
        <w:t>إنّه</w:t>
      </w:r>
      <w:r w:rsidRPr="00904FCB">
        <w:rPr>
          <w:sz w:val="27"/>
          <w:rtl/>
        </w:rPr>
        <w:t xml:space="preserve"> </w:t>
      </w:r>
      <w:r w:rsidRPr="00904FCB">
        <w:rPr>
          <w:rFonts w:hint="cs"/>
          <w:sz w:val="27"/>
          <w:rtl/>
        </w:rPr>
        <w:t>ينبغي</w:t>
      </w:r>
      <w:r w:rsidRPr="00904FCB">
        <w:rPr>
          <w:sz w:val="27"/>
          <w:rtl/>
        </w:rPr>
        <w:t xml:space="preserve"> </w:t>
      </w:r>
      <w:r w:rsidRPr="00904FCB">
        <w:rPr>
          <w:rFonts w:hint="cs"/>
          <w:sz w:val="27"/>
          <w:rtl/>
        </w:rPr>
        <w:t>الالتفات</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اغتسال</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العناوين</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الحمّامات</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يشكّ</w:t>
      </w:r>
      <w:r w:rsidR="002502FA" w:rsidRPr="00904FCB">
        <w:rPr>
          <w:rFonts w:hint="cs"/>
          <w:sz w:val="27"/>
          <w:rtl/>
        </w:rPr>
        <w:t>ِ</w:t>
      </w:r>
      <w:r w:rsidRPr="00904FCB">
        <w:rPr>
          <w:rFonts w:hint="cs"/>
          <w:sz w:val="27"/>
          <w:rtl/>
        </w:rPr>
        <w:t>ل</w:t>
      </w:r>
      <w:r w:rsidRPr="00904FCB">
        <w:rPr>
          <w:sz w:val="27"/>
          <w:rtl/>
        </w:rPr>
        <w:t xml:space="preserve"> </w:t>
      </w:r>
      <w:r w:rsidRPr="00904FCB">
        <w:rPr>
          <w:rFonts w:hint="cs"/>
          <w:sz w:val="27"/>
          <w:rtl/>
        </w:rPr>
        <w:t>العنصر</w:t>
      </w:r>
      <w:r w:rsidRPr="00904FCB">
        <w:rPr>
          <w:sz w:val="27"/>
          <w:rtl/>
        </w:rPr>
        <w:t xml:space="preserve"> </w:t>
      </w:r>
      <w:r w:rsidRPr="00904FCB">
        <w:rPr>
          <w:rFonts w:hint="cs"/>
          <w:sz w:val="27"/>
          <w:rtl/>
        </w:rPr>
        <w:t>الغالب، بل</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القليل</w:t>
      </w:r>
      <w:r w:rsidRPr="00904FCB">
        <w:rPr>
          <w:sz w:val="27"/>
          <w:rtl/>
        </w:rPr>
        <w:t xml:space="preserve"> </w:t>
      </w:r>
      <w:r w:rsidRPr="00904FCB">
        <w:rPr>
          <w:rFonts w:hint="cs"/>
          <w:sz w:val="27"/>
          <w:rtl/>
        </w:rPr>
        <w:t>النادر</w:t>
      </w:r>
      <w:r w:rsidRPr="00904FCB">
        <w:rPr>
          <w:sz w:val="27"/>
          <w:rtl/>
        </w:rPr>
        <w:t xml:space="preserve"> </w:t>
      </w:r>
      <w:r w:rsidRPr="00904FCB">
        <w:rPr>
          <w:rFonts w:hint="cs"/>
          <w:sz w:val="27"/>
          <w:rtl/>
        </w:rPr>
        <w:t>عادةً، حتّى</w:t>
      </w:r>
      <w:r w:rsidRPr="00904FCB">
        <w:rPr>
          <w:sz w:val="27"/>
          <w:rtl/>
        </w:rPr>
        <w:t xml:space="preserve"> </w:t>
      </w:r>
      <w:r w:rsidRPr="00904FCB">
        <w:rPr>
          <w:rFonts w:hint="cs"/>
          <w:sz w:val="27"/>
          <w:rtl/>
        </w:rPr>
        <w:t>وإن</w:t>
      </w:r>
      <w:r w:rsidR="002502FA" w:rsidRPr="00904FCB">
        <w:rPr>
          <w:rFonts w:hint="cs"/>
          <w:sz w:val="27"/>
          <w:rtl/>
        </w:rPr>
        <w:t>ْ</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الحمّامات</w:t>
      </w:r>
      <w:r w:rsidRPr="00904FCB">
        <w:rPr>
          <w:sz w:val="27"/>
          <w:rtl/>
        </w:rPr>
        <w:t xml:space="preserve"> </w:t>
      </w:r>
      <w:r w:rsidRPr="00904FCB">
        <w:rPr>
          <w:rFonts w:hint="cs"/>
          <w:sz w:val="27"/>
          <w:rtl/>
        </w:rPr>
        <w:t>تستقبل</w:t>
      </w:r>
      <w:r w:rsidRPr="00904FCB">
        <w:rPr>
          <w:sz w:val="27"/>
          <w:rtl/>
        </w:rPr>
        <w:t xml:space="preserve"> </w:t>
      </w:r>
      <w:r w:rsidRPr="00904FCB">
        <w:rPr>
          <w:rFonts w:hint="cs"/>
          <w:sz w:val="27"/>
          <w:rtl/>
        </w:rPr>
        <w:t>العلوج</w:t>
      </w:r>
      <w:r w:rsidRPr="00904FCB">
        <w:rPr>
          <w:sz w:val="27"/>
          <w:rtl/>
        </w:rPr>
        <w:t xml:space="preserve"> </w:t>
      </w:r>
      <w:r w:rsidRPr="00904FCB">
        <w:rPr>
          <w:rFonts w:hint="cs"/>
          <w:sz w:val="27"/>
          <w:rtl/>
        </w:rPr>
        <w:t>وغيرهم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الوافدين</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البلدان</w:t>
      </w:r>
      <w:r w:rsidRPr="00904FCB">
        <w:rPr>
          <w:sz w:val="27"/>
          <w:rtl/>
        </w:rPr>
        <w:t xml:space="preserve"> </w:t>
      </w:r>
      <w:r w:rsidRPr="00904FCB">
        <w:rPr>
          <w:rFonts w:hint="cs"/>
          <w:sz w:val="27"/>
          <w:rtl/>
        </w:rPr>
        <w:t>الإسلاميّة، وكذلك</w:t>
      </w:r>
      <w:r w:rsidRPr="00904FCB">
        <w:rPr>
          <w:sz w:val="27"/>
          <w:rtl/>
        </w:rPr>
        <w:t xml:space="preserve"> </w:t>
      </w:r>
      <w:r w:rsidRPr="00904FCB">
        <w:rPr>
          <w:rFonts w:hint="cs"/>
          <w:sz w:val="27"/>
          <w:rtl/>
        </w:rPr>
        <w:t>النص</w:t>
      </w:r>
      <w:r w:rsidR="002502FA" w:rsidRPr="00904FCB">
        <w:rPr>
          <w:rFonts w:hint="cs"/>
          <w:sz w:val="27"/>
          <w:rtl/>
        </w:rPr>
        <w:t>ّ</w:t>
      </w:r>
      <w:r w:rsidRPr="00904FCB">
        <w:rPr>
          <w:rFonts w:hint="cs"/>
          <w:sz w:val="27"/>
          <w:rtl/>
        </w:rPr>
        <w:t>اب</w:t>
      </w:r>
      <w:r w:rsidRPr="00904FCB">
        <w:rPr>
          <w:sz w:val="27"/>
          <w:rtl/>
        </w:rPr>
        <w:t xml:space="preserve"> </w:t>
      </w:r>
      <w:r w:rsidRPr="00904FCB">
        <w:rPr>
          <w:rFonts w:hint="cs"/>
          <w:sz w:val="27"/>
          <w:rtl/>
        </w:rPr>
        <w:t>الذين</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يشكّ</w:t>
      </w:r>
      <w:r w:rsidR="002502FA" w:rsidRPr="00904FCB">
        <w:rPr>
          <w:rFonts w:hint="cs"/>
          <w:sz w:val="27"/>
          <w:rtl/>
        </w:rPr>
        <w:t>ِ</w:t>
      </w:r>
      <w:r w:rsidRPr="00904FCB">
        <w:rPr>
          <w:rFonts w:hint="cs"/>
          <w:sz w:val="27"/>
          <w:rtl/>
        </w:rPr>
        <w:t>لون</w:t>
      </w:r>
      <w:r w:rsidRPr="00904FCB">
        <w:rPr>
          <w:sz w:val="27"/>
          <w:rtl/>
        </w:rPr>
        <w:t xml:space="preserve"> </w:t>
      </w:r>
      <w:r w:rsidRPr="00904FCB">
        <w:rPr>
          <w:rFonts w:hint="cs"/>
          <w:sz w:val="27"/>
          <w:rtl/>
        </w:rPr>
        <w:t>بالمعنى</w:t>
      </w:r>
      <w:r w:rsidRPr="00904FCB">
        <w:rPr>
          <w:sz w:val="27"/>
          <w:rtl/>
        </w:rPr>
        <w:t xml:space="preserve"> </w:t>
      </w:r>
      <w:r w:rsidRPr="00904FCB">
        <w:rPr>
          <w:rFonts w:hint="cs"/>
          <w:sz w:val="27"/>
          <w:rtl/>
        </w:rPr>
        <w:t>المصطلح</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العدد</w:t>
      </w:r>
      <w:r w:rsidRPr="00904FCB">
        <w:rPr>
          <w:sz w:val="27"/>
          <w:rtl/>
        </w:rPr>
        <w:t xml:space="preserve"> </w:t>
      </w:r>
      <w:r w:rsidRPr="00904FCB">
        <w:rPr>
          <w:rFonts w:hint="cs"/>
          <w:sz w:val="27"/>
          <w:rtl/>
        </w:rPr>
        <w:t>القليل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أبناء</w:t>
      </w:r>
      <w:r w:rsidRPr="00904FCB">
        <w:rPr>
          <w:sz w:val="27"/>
          <w:rtl/>
        </w:rPr>
        <w:t xml:space="preserve"> </w:t>
      </w:r>
      <w:r w:rsidRPr="00904FCB">
        <w:rPr>
          <w:rFonts w:hint="cs"/>
          <w:sz w:val="27"/>
          <w:rtl/>
        </w:rPr>
        <w:t>المجتمع</w:t>
      </w:r>
      <w:r w:rsidRPr="00904FCB">
        <w:rPr>
          <w:sz w:val="27"/>
          <w:rtl/>
        </w:rPr>
        <w:t xml:space="preserve"> </w:t>
      </w:r>
      <w:r w:rsidRPr="00904FCB">
        <w:rPr>
          <w:rFonts w:hint="cs"/>
          <w:sz w:val="27"/>
          <w:rtl/>
        </w:rPr>
        <w:t>الإسلامي</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ومن</w:t>
      </w:r>
      <w:r w:rsidRPr="00904FCB">
        <w:rPr>
          <w:sz w:val="27"/>
          <w:rtl/>
        </w:rPr>
        <w:t xml:space="preserve"> </w:t>
      </w:r>
      <w:r w:rsidRPr="00904FCB">
        <w:rPr>
          <w:rFonts w:hint="cs"/>
          <w:sz w:val="27"/>
          <w:rtl/>
        </w:rPr>
        <w:t>جهة</w:t>
      </w:r>
      <w:r w:rsidR="002502FA" w:rsidRPr="00904FCB">
        <w:rPr>
          <w:rFonts w:hint="cs"/>
          <w:sz w:val="27"/>
          <w:rtl/>
        </w:rPr>
        <w:t>ٍ</w:t>
      </w:r>
      <w:r w:rsidRPr="00904FCB">
        <w:rPr>
          <w:sz w:val="27"/>
          <w:rtl/>
        </w:rPr>
        <w:t xml:space="preserve"> </w:t>
      </w:r>
      <w:r w:rsidRPr="00904FCB">
        <w:rPr>
          <w:rFonts w:hint="cs"/>
          <w:sz w:val="27"/>
          <w:rtl/>
        </w:rPr>
        <w:t>أخرى</w:t>
      </w:r>
      <w:r w:rsidRPr="00904FCB">
        <w:rPr>
          <w:sz w:val="27"/>
          <w:rtl/>
        </w:rPr>
        <w:t xml:space="preserve"> </w:t>
      </w:r>
      <w:r w:rsidRPr="00904FCB">
        <w:rPr>
          <w:rFonts w:hint="cs"/>
          <w:sz w:val="27"/>
          <w:rtl/>
        </w:rPr>
        <w:t>فإنّ</w:t>
      </w:r>
      <w:r w:rsidRPr="00904FCB">
        <w:rPr>
          <w:sz w:val="27"/>
          <w:rtl/>
        </w:rPr>
        <w:t xml:space="preserve"> </w:t>
      </w:r>
      <w:r w:rsidRPr="00904FCB">
        <w:rPr>
          <w:rFonts w:hint="cs"/>
          <w:sz w:val="27"/>
          <w:rtl/>
        </w:rPr>
        <w:t>ماء</w:t>
      </w:r>
      <w:r w:rsidRPr="00904FCB">
        <w:rPr>
          <w:sz w:val="27"/>
          <w:rtl/>
        </w:rPr>
        <w:t xml:space="preserve"> </w:t>
      </w:r>
      <w:r w:rsidRPr="00904FCB">
        <w:rPr>
          <w:rFonts w:hint="cs"/>
          <w:sz w:val="27"/>
          <w:rtl/>
        </w:rPr>
        <w:t>البئر</w:t>
      </w:r>
      <w:r w:rsidRPr="00904FCB">
        <w:rPr>
          <w:sz w:val="27"/>
          <w:rtl/>
        </w:rPr>
        <w:t xml:space="preserve"> </w:t>
      </w:r>
      <w:r w:rsidRPr="00904FCB">
        <w:rPr>
          <w:rFonts w:hint="cs"/>
          <w:sz w:val="27"/>
          <w:rtl/>
        </w:rPr>
        <w:t>المذكورة</w:t>
      </w:r>
      <w:r w:rsidRPr="00904FCB">
        <w:rPr>
          <w:sz w:val="27"/>
          <w:rtl/>
        </w:rPr>
        <w:t xml:space="preserve"> </w:t>
      </w:r>
      <w:r w:rsidRPr="00904FCB">
        <w:rPr>
          <w:rFonts w:hint="cs"/>
          <w:sz w:val="27"/>
          <w:rtl/>
        </w:rPr>
        <w:t>هي</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المياه</w:t>
      </w:r>
      <w:r w:rsidRPr="00904FCB">
        <w:rPr>
          <w:sz w:val="27"/>
          <w:rtl/>
        </w:rPr>
        <w:t xml:space="preserve"> </w:t>
      </w:r>
      <w:r w:rsidRPr="00904FCB">
        <w:rPr>
          <w:rFonts w:hint="cs"/>
          <w:sz w:val="27"/>
          <w:rtl/>
        </w:rPr>
        <w:t>الكثيرة</w:t>
      </w:r>
      <w:r w:rsidRPr="00904FCB">
        <w:rPr>
          <w:sz w:val="27"/>
          <w:rtl/>
        </w:rPr>
        <w:t xml:space="preserve"> </w:t>
      </w:r>
      <w:r w:rsidRPr="00904FCB">
        <w:rPr>
          <w:rFonts w:hint="cs"/>
          <w:sz w:val="27"/>
          <w:rtl/>
        </w:rPr>
        <w:t>جدّاً، ولا</w:t>
      </w:r>
      <w:r w:rsidRPr="00904FCB">
        <w:rPr>
          <w:sz w:val="27"/>
          <w:rtl/>
        </w:rPr>
        <w:t xml:space="preserve"> </w:t>
      </w:r>
      <w:r w:rsidRPr="00904FCB">
        <w:rPr>
          <w:rFonts w:hint="cs"/>
          <w:sz w:val="27"/>
          <w:rtl/>
        </w:rPr>
        <w:t>يتصوّ</w:t>
      </w:r>
      <w:r w:rsidR="002502FA" w:rsidRPr="00904FCB">
        <w:rPr>
          <w:rFonts w:hint="cs"/>
          <w:sz w:val="27"/>
          <w:rtl/>
        </w:rPr>
        <w:t>َ</w:t>
      </w:r>
      <w:r w:rsidRPr="00904FCB">
        <w:rPr>
          <w:rFonts w:hint="cs"/>
          <w:sz w:val="27"/>
          <w:rtl/>
        </w:rPr>
        <w:t>ر</w:t>
      </w:r>
      <w:r w:rsidRPr="00904FCB">
        <w:rPr>
          <w:sz w:val="27"/>
          <w:rtl/>
        </w:rPr>
        <w:t xml:space="preserve"> </w:t>
      </w:r>
      <w:r w:rsidRPr="00904FCB">
        <w:rPr>
          <w:rFonts w:hint="cs"/>
          <w:sz w:val="27"/>
          <w:rtl/>
        </w:rPr>
        <w:t>عادةً</w:t>
      </w:r>
      <w:r w:rsidRPr="00904FCB">
        <w:rPr>
          <w:sz w:val="27"/>
          <w:rtl/>
        </w:rPr>
        <w:t xml:space="preserve"> </w:t>
      </w:r>
      <w:r w:rsidRPr="00904FCB">
        <w:rPr>
          <w:rFonts w:hint="cs"/>
          <w:sz w:val="27"/>
          <w:rtl/>
        </w:rPr>
        <w:t>كونها</w:t>
      </w:r>
      <w:r w:rsidRPr="00904FCB">
        <w:rPr>
          <w:sz w:val="27"/>
          <w:rtl/>
        </w:rPr>
        <w:t xml:space="preserve"> </w:t>
      </w:r>
      <w:r w:rsidRPr="00904FCB">
        <w:rPr>
          <w:rFonts w:hint="cs"/>
          <w:sz w:val="27"/>
          <w:rtl/>
        </w:rPr>
        <w:t>قليلة</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عند</w:t>
      </w:r>
      <w:r w:rsidRPr="00904FCB">
        <w:rPr>
          <w:sz w:val="27"/>
          <w:rtl/>
        </w:rPr>
        <w:t xml:space="preserve"> </w:t>
      </w:r>
      <w:r w:rsidRPr="00904FCB">
        <w:rPr>
          <w:rFonts w:hint="cs"/>
          <w:sz w:val="27"/>
          <w:rtl/>
        </w:rPr>
        <w:t>بداية</w:t>
      </w:r>
      <w:r w:rsidRPr="00904FCB">
        <w:rPr>
          <w:sz w:val="27"/>
          <w:rtl/>
        </w:rPr>
        <w:t xml:space="preserve"> </w:t>
      </w:r>
      <w:r w:rsidRPr="00904FCB">
        <w:rPr>
          <w:rFonts w:hint="cs"/>
          <w:sz w:val="27"/>
          <w:rtl/>
        </w:rPr>
        <w:t>تأسيس</w:t>
      </w:r>
      <w:r w:rsidRPr="00904FCB">
        <w:rPr>
          <w:sz w:val="27"/>
          <w:rtl/>
        </w:rPr>
        <w:t xml:space="preserve"> </w:t>
      </w:r>
      <w:r w:rsidRPr="00904FCB">
        <w:rPr>
          <w:rFonts w:hint="cs"/>
          <w:sz w:val="27"/>
          <w:rtl/>
        </w:rPr>
        <w:t>الحمّام، وهو</w:t>
      </w:r>
      <w:r w:rsidRPr="00904FCB">
        <w:rPr>
          <w:sz w:val="27"/>
          <w:rtl/>
        </w:rPr>
        <w:t xml:space="preserve"> </w:t>
      </w:r>
      <w:r w:rsidRPr="00904FCB">
        <w:rPr>
          <w:rFonts w:hint="cs"/>
          <w:sz w:val="27"/>
          <w:rtl/>
        </w:rPr>
        <w:t>الفرض</w:t>
      </w:r>
      <w:r w:rsidRPr="00904FCB">
        <w:rPr>
          <w:sz w:val="27"/>
          <w:rtl/>
        </w:rPr>
        <w:t xml:space="preserve"> </w:t>
      </w:r>
      <w:r w:rsidRPr="00904FCB">
        <w:rPr>
          <w:rFonts w:hint="cs"/>
          <w:sz w:val="27"/>
          <w:rtl/>
        </w:rPr>
        <w:t>النادر؛ وذلك</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الكلام</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الحمّامات</w:t>
      </w:r>
      <w:r w:rsidRPr="00904FCB">
        <w:rPr>
          <w:sz w:val="27"/>
          <w:rtl/>
        </w:rPr>
        <w:t xml:space="preserve"> </w:t>
      </w:r>
      <w:r w:rsidRPr="00904FCB">
        <w:rPr>
          <w:rFonts w:hint="cs"/>
          <w:sz w:val="27"/>
          <w:rtl/>
        </w:rPr>
        <w:t>الخاصّة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البيوت، بل</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الحمّامات</w:t>
      </w:r>
      <w:r w:rsidRPr="00904FCB">
        <w:rPr>
          <w:sz w:val="27"/>
          <w:rtl/>
        </w:rPr>
        <w:t xml:space="preserve"> </w:t>
      </w:r>
      <w:r w:rsidRPr="00904FCB">
        <w:rPr>
          <w:rFonts w:hint="cs"/>
          <w:sz w:val="27"/>
          <w:rtl/>
        </w:rPr>
        <w:t>العامّة</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يرتادها</w:t>
      </w:r>
      <w:r w:rsidRPr="00904FCB">
        <w:rPr>
          <w:sz w:val="27"/>
          <w:rtl/>
        </w:rPr>
        <w:t xml:space="preserve"> </w:t>
      </w:r>
      <w:r w:rsidRPr="00904FCB">
        <w:rPr>
          <w:rFonts w:hint="cs"/>
          <w:sz w:val="27"/>
          <w:rtl/>
        </w:rPr>
        <w:t>العشرات</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الأقل</w:t>
      </w:r>
      <w:r w:rsidRPr="00904FCB">
        <w:rPr>
          <w:sz w:val="27"/>
          <w:rtl/>
        </w:rPr>
        <w:t xml:space="preserve"> </w:t>
      </w:r>
      <w:r w:rsidRPr="00904FCB">
        <w:rPr>
          <w:rFonts w:hint="cs"/>
          <w:sz w:val="27"/>
          <w:rtl/>
        </w:rPr>
        <w:t>يوميّاً</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lastRenderedPageBreak/>
        <w:t>من</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تقدّ</w:t>
      </w:r>
      <w:r w:rsidR="002502FA" w:rsidRPr="00904FCB">
        <w:rPr>
          <w:rFonts w:hint="cs"/>
          <w:sz w:val="27"/>
          <w:rtl/>
        </w:rPr>
        <w:t>َ</w:t>
      </w:r>
      <w:r w:rsidRPr="00904FCB">
        <w:rPr>
          <w:rFonts w:hint="cs"/>
          <w:sz w:val="27"/>
          <w:rtl/>
        </w:rPr>
        <w:t>م</w:t>
      </w:r>
      <w:r w:rsidRPr="00904FCB">
        <w:rPr>
          <w:sz w:val="27"/>
          <w:rtl/>
        </w:rPr>
        <w:t xml:space="preserve"> </w:t>
      </w:r>
      <w:r w:rsidRPr="00904FCB">
        <w:rPr>
          <w:rFonts w:hint="cs"/>
          <w:sz w:val="27"/>
          <w:rtl/>
        </w:rPr>
        <w:t>نستنتج</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ماء</w:t>
      </w:r>
      <w:r w:rsidRPr="00904FCB">
        <w:rPr>
          <w:sz w:val="27"/>
          <w:rtl/>
        </w:rPr>
        <w:t xml:space="preserve"> </w:t>
      </w:r>
      <w:r w:rsidRPr="00904FCB">
        <w:rPr>
          <w:rFonts w:hint="cs"/>
          <w:sz w:val="27"/>
          <w:rtl/>
        </w:rPr>
        <w:t>البئر</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ينفعل</w:t>
      </w:r>
      <w:r w:rsidRPr="00904FCB">
        <w:rPr>
          <w:sz w:val="27"/>
          <w:rtl/>
        </w:rPr>
        <w:t xml:space="preserve"> </w:t>
      </w:r>
      <w:r w:rsidRPr="00904FCB">
        <w:rPr>
          <w:rFonts w:hint="cs"/>
          <w:sz w:val="27"/>
          <w:rtl/>
        </w:rPr>
        <w:t>بوقوع</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فيه؛ لكونه</w:t>
      </w:r>
      <w:r w:rsidRPr="00904FCB">
        <w:rPr>
          <w:sz w:val="27"/>
          <w:rtl/>
        </w:rPr>
        <w:t xml:space="preserve"> </w:t>
      </w:r>
      <w:r w:rsidRPr="00904FCB">
        <w:rPr>
          <w:rFonts w:hint="cs"/>
          <w:sz w:val="27"/>
          <w:rtl/>
        </w:rPr>
        <w:t>بئراً</w:t>
      </w:r>
      <w:r w:rsidR="00371C9D" w:rsidRPr="00904FCB">
        <w:rPr>
          <w:rFonts w:hint="cs"/>
          <w:sz w:val="27"/>
          <w:rtl/>
        </w:rPr>
        <w:t>،</w:t>
      </w:r>
      <w:r w:rsidRPr="00904FCB">
        <w:rPr>
          <w:sz w:val="27"/>
          <w:rtl/>
        </w:rPr>
        <w:t xml:space="preserve"> </w:t>
      </w:r>
      <w:r w:rsidRPr="00904FCB">
        <w:rPr>
          <w:rFonts w:hint="cs"/>
          <w:sz w:val="27"/>
          <w:rtl/>
        </w:rPr>
        <w:t>ولكونه</w:t>
      </w:r>
      <w:r w:rsidRPr="00904FCB">
        <w:rPr>
          <w:sz w:val="27"/>
          <w:rtl/>
        </w:rPr>
        <w:t xml:space="preserve"> </w:t>
      </w:r>
      <w:r w:rsidRPr="00904FCB">
        <w:rPr>
          <w:rFonts w:hint="cs"/>
          <w:sz w:val="27"/>
          <w:rtl/>
        </w:rPr>
        <w:t>كرّاً</w:t>
      </w:r>
      <w:r w:rsidR="00371C9D" w:rsidRPr="00904FCB">
        <w:rPr>
          <w:rFonts w:hint="cs"/>
          <w:sz w:val="27"/>
          <w:rtl/>
        </w:rPr>
        <w:t>،</w:t>
      </w:r>
      <w:r w:rsidRPr="00904FCB">
        <w:rPr>
          <w:sz w:val="27"/>
          <w:rtl/>
        </w:rPr>
        <w:t xml:space="preserve"> </w:t>
      </w:r>
      <w:r w:rsidRPr="00904FCB">
        <w:rPr>
          <w:rFonts w:hint="cs"/>
          <w:sz w:val="27"/>
          <w:rtl/>
        </w:rPr>
        <w:t>بل</w:t>
      </w:r>
      <w:r w:rsidRPr="00904FCB">
        <w:rPr>
          <w:sz w:val="27"/>
          <w:rtl/>
        </w:rPr>
        <w:t xml:space="preserve"> </w:t>
      </w:r>
      <w:r w:rsidRPr="00904FCB">
        <w:rPr>
          <w:rFonts w:hint="cs"/>
          <w:sz w:val="27"/>
          <w:rtl/>
        </w:rPr>
        <w:t>أكراراً</w:t>
      </w:r>
      <w:r w:rsidRPr="00904FCB">
        <w:rPr>
          <w:sz w:val="27"/>
          <w:rtl/>
        </w:rPr>
        <w:t xml:space="preserve">. </w:t>
      </w:r>
      <w:r w:rsidRPr="00904FCB">
        <w:rPr>
          <w:rFonts w:hint="cs"/>
          <w:sz w:val="27"/>
          <w:rtl/>
        </w:rPr>
        <w:t>وعليه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ب</w:t>
      </w:r>
      <w:r w:rsidR="00371C9D" w:rsidRPr="00904FCB">
        <w:rPr>
          <w:rFonts w:hint="cs"/>
          <w:sz w:val="27"/>
          <w:rtl/>
        </w:rPr>
        <w:t>ُ</w:t>
      </w:r>
      <w:r w:rsidRPr="00904FCB">
        <w:rPr>
          <w:rFonts w:hint="cs"/>
          <w:sz w:val="27"/>
          <w:rtl/>
        </w:rPr>
        <w:t>دّ</w:t>
      </w:r>
      <w:r w:rsidR="00371C9D"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المذكورة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منها</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الماديّة، بل</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يشمل</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العرفيّة، وهي</w:t>
      </w:r>
      <w:r w:rsidRPr="00904FCB">
        <w:rPr>
          <w:sz w:val="27"/>
          <w:rtl/>
        </w:rPr>
        <w:t xml:space="preserve"> </w:t>
      </w:r>
      <w:r w:rsidRPr="00904FCB">
        <w:rPr>
          <w:rFonts w:hint="cs"/>
          <w:sz w:val="27"/>
          <w:rtl/>
        </w:rPr>
        <w:t>ممّا</w:t>
      </w:r>
      <w:r w:rsidRPr="00904FCB">
        <w:rPr>
          <w:sz w:val="27"/>
          <w:rtl/>
        </w:rPr>
        <w:t xml:space="preserve"> </w:t>
      </w:r>
      <w:r w:rsidRPr="00904FCB">
        <w:rPr>
          <w:rFonts w:hint="cs"/>
          <w:sz w:val="27"/>
          <w:rtl/>
        </w:rPr>
        <w:t>اهتمَّ</w:t>
      </w:r>
      <w:r w:rsidRPr="00904FCB">
        <w:rPr>
          <w:sz w:val="27"/>
          <w:rtl/>
        </w:rPr>
        <w:t xml:space="preserve"> </w:t>
      </w:r>
      <w:r w:rsidRPr="00904FCB">
        <w:rPr>
          <w:rFonts w:hint="cs"/>
          <w:sz w:val="27"/>
          <w:rtl/>
        </w:rPr>
        <w:t>الشارع</w:t>
      </w:r>
      <w:r w:rsidRPr="00904FCB">
        <w:rPr>
          <w:sz w:val="27"/>
          <w:rtl/>
        </w:rPr>
        <w:t xml:space="preserve"> </w:t>
      </w:r>
      <w:r w:rsidRPr="00904FCB">
        <w:rPr>
          <w:rFonts w:hint="cs"/>
          <w:sz w:val="27"/>
          <w:rtl/>
        </w:rPr>
        <w:t>المقدّ</w:t>
      </w:r>
      <w:r w:rsidR="00371C9D" w:rsidRPr="00904FCB">
        <w:rPr>
          <w:rFonts w:hint="cs"/>
          <w:sz w:val="27"/>
          <w:rtl/>
        </w:rPr>
        <w:t>َ</w:t>
      </w:r>
      <w:r w:rsidRPr="00904FCB">
        <w:rPr>
          <w:rFonts w:hint="cs"/>
          <w:sz w:val="27"/>
          <w:rtl/>
        </w:rPr>
        <w:t>س</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كثيراً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الكثير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الأدلّة، والتي</w:t>
      </w:r>
      <w:r w:rsidRPr="00904FCB">
        <w:rPr>
          <w:sz w:val="27"/>
          <w:rtl/>
        </w:rPr>
        <w:t xml:space="preserve"> </w:t>
      </w:r>
      <w:r w:rsidRPr="00904FCB">
        <w:rPr>
          <w:rFonts w:hint="cs"/>
          <w:sz w:val="27"/>
          <w:rtl/>
        </w:rPr>
        <w:t>سنشير</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بعضها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الأجوبة</w:t>
      </w:r>
      <w:r w:rsidRPr="00904FCB">
        <w:rPr>
          <w:sz w:val="27"/>
          <w:rtl/>
        </w:rPr>
        <w:t xml:space="preserve"> </w:t>
      </w:r>
      <w:r w:rsidRPr="00904FCB">
        <w:rPr>
          <w:rFonts w:hint="cs"/>
          <w:sz w:val="27"/>
          <w:rtl/>
        </w:rPr>
        <w:t>الآتية</w:t>
      </w:r>
      <w:r w:rsidRPr="00904FCB">
        <w:rPr>
          <w:sz w:val="27"/>
          <w:rtl/>
        </w:rPr>
        <w:t xml:space="preserve">. </w:t>
      </w:r>
    </w:p>
    <w:p w:rsidR="00F34FB9" w:rsidRPr="00904FCB" w:rsidRDefault="00F34FB9" w:rsidP="007A21AA">
      <w:pPr>
        <w:spacing w:line="400" w:lineRule="exact"/>
        <w:rPr>
          <w:sz w:val="27"/>
          <w:rtl/>
        </w:rPr>
      </w:pPr>
      <w:r w:rsidRPr="00904FCB">
        <w:rPr>
          <w:rFonts w:hint="cs"/>
          <w:b/>
          <w:bCs/>
          <w:sz w:val="27"/>
          <w:rtl/>
        </w:rPr>
        <w:t>ثانياً</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ورد</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سياق</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المتحدّ</w:t>
      </w:r>
      <w:r w:rsidR="00371C9D" w:rsidRPr="00904FCB">
        <w:rPr>
          <w:rFonts w:hint="cs"/>
          <w:sz w:val="27"/>
          <w:rtl/>
        </w:rPr>
        <w:t>ِ</w:t>
      </w:r>
      <w:r w:rsidRPr="00904FCB">
        <w:rPr>
          <w:rFonts w:hint="cs"/>
          <w:sz w:val="27"/>
          <w:rtl/>
        </w:rPr>
        <w:t>ثة</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الاغتسال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الحمّام</w:t>
      </w:r>
      <w:r w:rsidRPr="00904FCB">
        <w:rPr>
          <w:sz w:val="27"/>
          <w:rtl/>
        </w:rPr>
        <w:t xml:space="preserve"> </w:t>
      </w:r>
      <w:r w:rsidRPr="00904FCB">
        <w:rPr>
          <w:rFonts w:hint="cs"/>
          <w:sz w:val="27"/>
          <w:rtl/>
        </w:rPr>
        <w:t>عناوين</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ش</w:t>
      </w:r>
      <w:r w:rsidR="00371C9D" w:rsidRPr="00904FCB">
        <w:rPr>
          <w:rFonts w:hint="cs"/>
          <w:sz w:val="27"/>
          <w:rtl/>
        </w:rPr>
        <w:t>َ</w:t>
      </w:r>
      <w:r w:rsidRPr="00904FCB">
        <w:rPr>
          <w:rFonts w:hint="cs"/>
          <w:sz w:val="27"/>
          <w:rtl/>
        </w:rPr>
        <w:t>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طهارة</w:t>
      </w:r>
      <w:r w:rsidRPr="00904FCB">
        <w:rPr>
          <w:sz w:val="27"/>
          <w:rtl/>
        </w:rPr>
        <w:t xml:space="preserve"> </w:t>
      </w:r>
      <w:r w:rsidRPr="00904FCB">
        <w:rPr>
          <w:rFonts w:hint="cs"/>
          <w:sz w:val="27"/>
          <w:rtl/>
        </w:rPr>
        <w:t>أصحابها، ممّا</w:t>
      </w:r>
      <w:r w:rsidRPr="00904FCB">
        <w:rPr>
          <w:sz w:val="27"/>
          <w:rtl/>
        </w:rPr>
        <w:t xml:space="preserve"> </w:t>
      </w:r>
      <w:r w:rsidRPr="00904FCB">
        <w:rPr>
          <w:rFonts w:hint="cs"/>
          <w:sz w:val="27"/>
          <w:rtl/>
        </w:rPr>
        <w:t>يمنع</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مثل</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الماديّة</w:t>
      </w:r>
      <w:r w:rsidRPr="00904FCB">
        <w:rPr>
          <w:sz w:val="27"/>
          <w:rtl/>
        </w:rPr>
        <w:t xml:space="preserve"> </w:t>
      </w:r>
      <w:r w:rsidRPr="00904FCB">
        <w:rPr>
          <w:rFonts w:hint="cs"/>
          <w:sz w:val="27"/>
          <w:rtl/>
        </w:rPr>
        <w:t>المتعارفة</w:t>
      </w:r>
      <w:r w:rsidRPr="00904FCB">
        <w:rPr>
          <w:sz w:val="27"/>
          <w:rtl/>
        </w:rPr>
        <w:t xml:space="preserve"> </w:t>
      </w:r>
      <w:r w:rsidRPr="00904FCB">
        <w:rPr>
          <w:rFonts w:hint="cs"/>
          <w:sz w:val="27"/>
          <w:rtl/>
        </w:rPr>
        <w:t>شرعاً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باب</w:t>
      </w:r>
      <w:r w:rsidRPr="00904FCB">
        <w:rPr>
          <w:sz w:val="27"/>
          <w:rtl/>
        </w:rPr>
        <w:t xml:space="preserve"> </w:t>
      </w:r>
      <w:r w:rsidRPr="00904FCB">
        <w:rPr>
          <w:rFonts w:hint="cs"/>
          <w:sz w:val="27"/>
          <w:rtl/>
        </w:rPr>
        <w:t>النجاسات</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هذا</w:t>
      </w:r>
      <w:r w:rsidRPr="00904FCB">
        <w:rPr>
          <w:sz w:val="27"/>
          <w:rtl/>
        </w:rPr>
        <w:t xml:space="preserve"> </w:t>
      </w:r>
      <w:r w:rsidRPr="00904FCB">
        <w:rPr>
          <w:rFonts w:hint="cs"/>
          <w:sz w:val="27"/>
          <w:rtl/>
        </w:rPr>
        <w:t>وقد</w:t>
      </w:r>
      <w:r w:rsidRPr="00904FCB">
        <w:rPr>
          <w:sz w:val="27"/>
          <w:rtl/>
        </w:rPr>
        <w:t xml:space="preserve"> </w:t>
      </w:r>
      <w:r w:rsidRPr="00904FCB">
        <w:rPr>
          <w:rFonts w:hint="cs"/>
          <w:sz w:val="27"/>
          <w:rtl/>
        </w:rPr>
        <w:t>عقد</w:t>
      </w:r>
      <w:r w:rsidRPr="00904FCB">
        <w:rPr>
          <w:sz w:val="27"/>
          <w:rtl/>
        </w:rPr>
        <w:t xml:space="preserve"> </w:t>
      </w:r>
      <w:r w:rsidRPr="00904FCB">
        <w:rPr>
          <w:rFonts w:hint="cs"/>
          <w:sz w:val="27"/>
          <w:rtl/>
        </w:rPr>
        <w:t>المحدّ</w:t>
      </w:r>
      <w:r w:rsidR="00371C9D" w:rsidRPr="00904FCB">
        <w:rPr>
          <w:rFonts w:hint="cs"/>
          <w:sz w:val="27"/>
          <w:rtl/>
        </w:rPr>
        <w:t>ِ</w:t>
      </w:r>
      <w:r w:rsidRPr="00904FCB">
        <w:rPr>
          <w:rFonts w:hint="cs"/>
          <w:sz w:val="27"/>
          <w:rtl/>
        </w:rPr>
        <w:t>ث</w:t>
      </w:r>
      <w:r w:rsidRPr="00904FCB">
        <w:rPr>
          <w:sz w:val="27"/>
          <w:rtl/>
        </w:rPr>
        <w:t xml:space="preserve"> </w:t>
      </w:r>
      <w:r w:rsidRPr="00904FCB">
        <w:rPr>
          <w:rFonts w:hint="cs"/>
          <w:sz w:val="27"/>
          <w:rtl/>
        </w:rPr>
        <w:t>العاملي</w:t>
      </w:r>
      <w:r w:rsidRPr="00904FCB">
        <w:rPr>
          <w:sz w:val="27"/>
          <w:rtl/>
        </w:rPr>
        <w:t xml:space="preserve"> </w:t>
      </w:r>
      <w:r w:rsidRPr="00904FCB">
        <w:rPr>
          <w:rFonts w:hint="cs"/>
          <w:sz w:val="27"/>
          <w:rtl/>
        </w:rPr>
        <w:t>باباً</w:t>
      </w:r>
      <w:r w:rsidRPr="00904FCB">
        <w:rPr>
          <w:sz w:val="27"/>
          <w:rtl/>
        </w:rPr>
        <w:t xml:space="preserve"> </w:t>
      </w:r>
      <w:r w:rsidRPr="00904FCB">
        <w:rPr>
          <w:rFonts w:hint="cs"/>
          <w:sz w:val="27"/>
          <w:rtl/>
        </w:rPr>
        <w:t>خاصّاً</w:t>
      </w:r>
      <w:r w:rsidRPr="00904FCB">
        <w:rPr>
          <w:sz w:val="27"/>
          <w:rtl/>
        </w:rPr>
        <w:t xml:space="preserve"> </w:t>
      </w:r>
      <w:r w:rsidRPr="00904FCB">
        <w:rPr>
          <w:rFonts w:hint="cs"/>
          <w:sz w:val="27"/>
          <w:rtl/>
        </w:rPr>
        <w:t>لهذا</w:t>
      </w:r>
      <w:r w:rsidRPr="00904FCB">
        <w:rPr>
          <w:sz w:val="27"/>
          <w:rtl/>
        </w:rPr>
        <w:t xml:space="preserve"> </w:t>
      </w:r>
      <w:r w:rsidRPr="00904FCB">
        <w:rPr>
          <w:rFonts w:hint="cs"/>
          <w:sz w:val="27"/>
          <w:rtl/>
        </w:rPr>
        <w:t>الموضوع، وذكر</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عدّة</w:t>
      </w:r>
      <w:r w:rsidRPr="00904FCB">
        <w:rPr>
          <w:sz w:val="27"/>
          <w:rtl/>
        </w:rPr>
        <w:t xml:space="preserve"> </w:t>
      </w:r>
      <w:r w:rsidRPr="00904FCB">
        <w:rPr>
          <w:rFonts w:hint="cs"/>
          <w:sz w:val="27"/>
          <w:rtl/>
        </w:rPr>
        <w:t>روايات</w:t>
      </w:r>
      <w:r w:rsidR="00371C9D" w:rsidRPr="00904FCB">
        <w:rPr>
          <w:rFonts w:hint="cs"/>
          <w:sz w:val="27"/>
          <w:rtl/>
        </w:rPr>
        <w:t>،</w:t>
      </w:r>
      <w:r w:rsidRPr="00904FCB">
        <w:rPr>
          <w:sz w:val="27"/>
          <w:rtl/>
        </w:rPr>
        <w:t xml:space="preserve"> </w:t>
      </w:r>
      <w:r w:rsidRPr="00904FCB">
        <w:rPr>
          <w:rFonts w:hint="cs"/>
          <w:sz w:val="27"/>
          <w:rtl/>
        </w:rPr>
        <w:t>ننقلها</w:t>
      </w:r>
      <w:r w:rsidRPr="00904FCB">
        <w:rPr>
          <w:sz w:val="27"/>
          <w:rtl/>
        </w:rPr>
        <w:t xml:space="preserve"> </w:t>
      </w:r>
      <w:r w:rsidRPr="00904FCB">
        <w:rPr>
          <w:rFonts w:hint="cs"/>
          <w:sz w:val="27"/>
          <w:rtl/>
        </w:rPr>
        <w:t>ليتّ</w:t>
      </w:r>
      <w:r w:rsidR="00371C9D" w:rsidRPr="00904FCB">
        <w:rPr>
          <w:rFonts w:hint="cs"/>
          <w:sz w:val="27"/>
          <w:rtl/>
        </w:rPr>
        <w:t>َ</w:t>
      </w:r>
      <w:r w:rsidRPr="00904FCB">
        <w:rPr>
          <w:rFonts w:hint="cs"/>
          <w:sz w:val="27"/>
          <w:rtl/>
        </w:rPr>
        <w:t>ضح</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ذكرناه</w:t>
      </w:r>
      <w:r w:rsidRPr="00904FCB">
        <w:rPr>
          <w:sz w:val="27"/>
          <w:rtl/>
        </w:rPr>
        <w:t xml:space="preserve"> </w:t>
      </w:r>
      <w:r w:rsidRPr="00904FCB">
        <w:rPr>
          <w:rFonts w:hint="cs"/>
          <w:sz w:val="27"/>
          <w:rtl/>
        </w:rPr>
        <w:t>هنا، وليشرف</w:t>
      </w:r>
      <w:r w:rsidRPr="00904FCB">
        <w:rPr>
          <w:sz w:val="27"/>
          <w:rtl/>
        </w:rPr>
        <w:t xml:space="preserve"> </w:t>
      </w:r>
      <w:r w:rsidRPr="00904FCB">
        <w:rPr>
          <w:rFonts w:hint="cs"/>
          <w:sz w:val="27"/>
          <w:rtl/>
        </w:rPr>
        <w:t>الباحث</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الموضوع</w:t>
      </w:r>
      <w:r w:rsidRPr="00904FCB">
        <w:rPr>
          <w:sz w:val="27"/>
          <w:rtl/>
        </w:rPr>
        <w:t xml:space="preserve"> </w:t>
      </w:r>
      <w:r w:rsidRPr="00904FCB">
        <w:rPr>
          <w:rFonts w:hint="cs"/>
          <w:sz w:val="27"/>
          <w:rtl/>
        </w:rPr>
        <w:t>عن كثب</w:t>
      </w:r>
      <w:r w:rsidRPr="00904FCB">
        <w:rPr>
          <w:sz w:val="27"/>
          <w:rtl/>
        </w:rPr>
        <w:t xml:space="preserve">. </w:t>
      </w:r>
      <w:r w:rsidRPr="00904FCB">
        <w:rPr>
          <w:rFonts w:hint="cs"/>
          <w:sz w:val="27"/>
          <w:rtl/>
        </w:rPr>
        <w:t>ونحن</w:t>
      </w:r>
      <w:r w:rsidRPr="00904FCB">
        <w:rPr>
          <w:sz w:val="27"/>
          <w:rtl/>
        </w:rPr>
        <w:t xml:space="preserve"> </w:t>
      </w:r>
      <w:r w:rsidRPr="00904FCB">
        <w:rPr>
          <w:rFonts w:hint="cs"/>
          <w:sz w:val="27"/>
          <w:rtl/>
        </w:rPr>
        <w:t>نسردها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البحث</w:t>
      </w:r>
      <w:r w:rsidRPr="00904FCB">
        <w:rPr>
          <w:sz w:val="27"/>
          <w:rtl/>
        </w:rPr>
        <w:t xml:space="preserve"> </w:t>
      </w:r>
      <w:r w:rsidRPr="00904FCB">
        <w:rPr>
          <w:rFonts w:hint="cs"/>
          <w:sz w:val="27"/>
          <w:rtl/>
        </w:rPr>
        <w:t>التفصيلي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أسانيدها؛ لأنّ</w:t>
      </w:r>
      <w:r w:rsidRPr="00904FCB">
        <w:rPr>
          <w:sz w:val="27"/>
          <w:rtl/>
        </w:rPr>
        <w:t xml:space="preserve"> </w:t>
      </w:r>
      <w:r w:rsidRPr="00904FCB">
        <w:rPr>
          <w:rFonts w:hint="cs"/>
          <w:sz w:val="27"/>
          <w:rtl/>
        </w:rPr>
        <w:t>الهدف</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الإشراف</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الجوّ</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ذكرت</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مثل</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الرواية</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فمنها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الطوسي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التهذيب</w:t>
      </w:r>
      <w:r w:rsidR="009D717A" w:rsidRPr="00904FCB">
        <w:rPr>
          <w:rFonts w:hint="cs"/>
          <w:sz w:val="27"/>
          <w:rtl/>
        </w:rPr>
        <w:t>، وهو في الوسائل</w:t>
      </w:r>
      <w:r w:rsidR="00371C9D" w:rsidRPr="00904FCB">
        <w:rPr>
          <w:sz w:val="27"/>
          <w:rtl/>
        </w:rPr>
        <w:t xml:space="preserve">: </w:t>
      </w:r>
      <w:r w:rsidRPr="00904FCB">
        <w:rPr>
          <w:rFonts w:hint="eastAsia"/>
          <w:sz w:val="27"/>
          <w:rtl/>
        </w:rPr>
        <w:t>«</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بِإِسْنَادِهِ</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مَحْبُوبٍ</w:t>
      </w:r>
      <w:r w:rsidR="00371C9D"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عِدَّةٍ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أَصْحَابِنَا</w:t>
      </w:r>
      <w:r w:rsidR="00371C9D"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الْحَمِيدِ</w:t>
      </w:r>
      <w:r w:rsidR="00371C9D"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حَمْزَةَ</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أَحْمَدَ</w:t>
      </w:r>
      <w:r w:rsidR="00371C9D"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الأَوَّلِ</w:t>
      </w:r>
      <w:r w:rsidR="001C1A2A" w:rsidRPr="00904FCB">
        <w:rPr>
          <w:rFonts w:cs="Mosawi"/>
          <w:sz w:val="27"/>
          <w:szCs w:val="22"/>
          <w:rtl/>
        </w:rPr>
        <w:t>×</w:t>
      </w:r>
      <w:r w:rsidR="00371C9D" w:rsidRPr="00904FCB">
        <w:rPr>
          <w:rFonts w:hint="cs"/>
          <w:sz w:val="27"/>
          <w:rtl/>
        </w:rPr>
        <w:t>،</w:t>
      </w:r>
      <w:r w:rsidR="009D717A" w:rsidRPr="00904FCB">
        <w:rPr>
          <w:rFonts w:hint="cs"/>
          <w:sz w:val="27"/>
          <w:rtl/>
        </w:rPr>
        <w:t xml:space="preserve"> </w:t>
      </w:r>
      <w:r w:rsidRPr="00904FCB">
        <w:rPr>
          <w:rFonts w:hint="cs"/>
          <w:sz w:val="27"/>
          <w:rtl/>
        </w:rPr>
        <w:t>قَالَ</w:t>
      </w:r>
      <w:r w:rsidRPr="00904FCB">
        <w:rPr>
          <w:sz w:val="27"/>
          <w:rtl/>
        </w:rPr>
        <w:t xml:space="preserve">: </w:t>
      </w:r>
      <w:r w:rsidRPr="00904FCB">
        <w:rPr>
          <w:rFonts w:hint="cs"/>
          <w:sz w:val="27"/>
          <w:rtl/>
        </w:rPr>
        <w:t>سَأَلْتُهُ</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سَأَلَهُ</w:t>
      </w:r>
      <w:r w:rsidRPr="00904FCB">
        <w:rPr>
          <w:sz w:val="27"/>
          <w:rtl/>
        </w:rPr>
        <w:t xml:space="preserve"> </w:t>
      </w:r>
      <w:r w:rsidRPr="00904FCB">
        <w:rPr>
          <w:rFonts w:hint="cs"/>
          <w:sz w:val="27"/>
          <w:rtl/>
        </w:rPr>
        <w:t>غَيْرِي</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الْحَمَّامِ</w:t>
      </w:r>
      <w:r w:rsidR="00371C9D" w:rsidRPr="00904FCB">
        <w:rPr>
          <w:rFonts w:hint="cs"/>
          <w:sz w:val="27"/>
          <w:rtl/>
        </w:rPr>
        <w:t>؟</w:t>
      </w:r>
      <w:r w:rsidRPr="00904FCB">
        <w:rPr>
          <w:sz w:val="27"/>
          <w:rtl/>
        </w:rPr>
        <w:t xml:space="preserve"> </w:t>
      </w:r>
      <w:r w:rsidRPr="00904FCB">
        <w:rPr>
          <w:rFonts w:hint="cs"/>
          <w:sz w:val="27"/>
          <w:rtl/>
        </w:rPr>
        <w:t>قَالَ</w:t>
      </w:r>
      <w:r w:rsidR="00371C9D" w:rsidRPr="00904FCB">
        <w:rPr>
          <w:rFonts w:hint="cs"/>
          <w:sz w:val="27"/>
          <w:rtl/>
        </w:rPr>
        <w:t xml:space="preserve">: </w:t>
      </w:r>
      <w:r w:rsidRPr="00904FCB">
        <w:rPr>
          <w:rFonts w:hint="cs"/>
          <w:sz w:val="27"/>
          <w:rtl/>
        </w:rPr>
        <w:t>ادْخُلْهُ</w:t>
      </w:r>
      <w:r w:rsidRPr="00904FCB">
        <w:rPr>
          <w:sz w:val="27"/>
          <w:rtl/>
        </w:rPr>
        <w:t xml:space="preserve"> </w:t>
      </w:r>
      <w:r w:rsidRPr="00904FCB">
        <w:rPr>
          <w:rFonts w:hint="cs"/>
          <w:sz w:val="27"/>
          <w:rtl/>
        </w:rPr>
        <w:t>بِمِئْزَرٍ</w:t>
      </w:r>
      <w:r w:rsidR="00371C9D" w:rsidRPr="00904FCB">
        <w:rPr>
          <w:rFonts w:hint="cs"/>
          <w:sz w:val="27"/>
          <w:rtl/>
        </w:rPr>
        <w:t>،</w:t>
      </w:r>
      <w:r w:rsidRPr="00904FCB">
        <w:rPr>
          <w:sz w:val="27"/>
          <w:rtl/>
        </w:rPr>
        <w:t xml:space="preserve"> </w:t>
      </w:r>
      <w:r w:rsidRPr="00904FCB">
        <w:rPr>
          <w:rFonts w:hint="cs"/>
          <w:sz w:val="27"/>
          <w:rtl/>
        </w:rPr>
        <w:t>وغُضَّ</w:t>
      </w:r>
      <w:r w:rsidRPr="00904FCB">
        <w:rPr>
          <w:sz w:val="27"/>
          <w:rtl/>
        </w:rPr>
        <w:t xml:space="preserve"> </w:t>
      </w:r>
      <w:r w:rsidRPr="00904FCB">
        <w:rPr>
          <w:rFonts w:hint="cs"/>
          <w:sz w:val="27"/>
          <w:rtl/>
        </w:rPr>
        <w:t>بَصَرَكَ</w:t>
      </w:r>
      <w:r w:rsidR="00371C9D"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تَغْتَسِلْ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الْبِئْرِ</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يَجْتَمِعُ</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مَاءُ</w:t>
      </w:r>
      <w:r w:rsidRPr="00904FCB">
        <w:rPr>
          <w:sz w:val="27"/>
          <w:rtl/>
        </w:rPr>
        <w:t xml:space="preserve"> </w:t>
      </w:r>
      <w:r w:rsidRPr="00904FCB">
        <w:rPr>
          <w:rFonts w:hint="cs"/>
          <w:sz w:val="27"/>
          <w:rtl/>
        </w:rPr>
        <w:t>الْحَمَّامِ؛ فَإِنَّهُ</w:t>
      </w:r>
      <w:r w:rsidRPr="00904FCB">
        <w:rPr>
          <w:sz w:val="27"/>
          <w:rtl/>
        </w:rPr>
        <w:t xml:space="preserve"> </w:t>
      </w:r>
      <w:r w:rsidRPr="00904FCB">
        <w:rPr>
          <w:rFonts w:hint="cs"/>
          <w:sz w:val="27"/>
          <w:rtl/>
        </w:rPr>
        <w:t>يَسِيلُ</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يَغْتَسِلُ</w:t>
      </w:r>
      <w:r w:rsidRPr="00904FCB">
        <w:rPr>
          <w:sz w:val="27"/>
          <w:rtl/>
        </w:rPr>
        <w:t xml:space="preserve"> </w:t>
      </w:r>
      <w:r w:rsidRPr="00904FCB">
        <w:rPr>
          <w:rFonts w:hint="cs"/>
          <w:sz w:val="27"/>
          <w:rtl/>
        </w:rPr>
        <w:t>بِهِ</w:t>
      </w:r>
      <w:r w:rsidRPr="00904FCB">
        <w:rPr>
          <w:sz w:val="27"/>
          <w:rtl/>
        </w:rPr>
        <w:t xml:space="preserve"> </w:t>
      </w:r>
      <w:r w:rsidRPr="00904FCB">
        <w:rPr>
          <w:rFonts w:hint="cs"/>
          <w:sz w:val="27"/>
          <w:rtl/>
        </w:rPr>
        <w:t>الْجُنُبُ</w:t>
      </w:r>
      <w:r w:rsidRPr="00904FCB">
        <w:rPr>
          <w:sz w:val="27"/>
          <w:rtl/>
        </w:rPr>
        <w:t xml:space="preserve"> </w:t>
      </w:r>
      <w:r w:rsidRPr="00904FCB">
        <w:rPr>
          <w:rFonts w:hint="cs"/>
          <w:sz w:val="27"/>
          <w:rtl/>
        </w:rPr>
        <w:t>ووَلَدُ</w:t>
      </w:r>
      <w:r w:rsidRPr="00904FCB">
        <w:rPr>
          <w:sz w:val="27"/>
          <w:rtl/>
        </w:rPr>
        <w:t xml:space="preserve"> </w:t>
      </w:r>
      <w:r w:rsidRPr="00904FCB">
        <w:rPr>
          <w:rFonts w:hint="cs"/>
          <w:sz w:val="27"/>
          <w:rtl/>
        </w:rPr>
        <w:t>الزِّنَا</w:t>
      </w:r>
      <w:r w:rsidRPr="00904FCB">
        <w:rPr>
          <w:sz w:val="27"/>
          <w:rtl/>
        </w:rPr>
        <w:t xml:space="preserve"> </w:t>
      </w:r>
      <w:r w:rsidRPr="00904FCB">
        <w:rPr>
          <w:rFonts w:hint="cs"/>
          <w:sz w:val="27"/>
          <w:rtl/>
        </w:rPr>
        <w:t>والنَّاصِبُ</w:t>
      </w:r>
      <w:r w:rsidRPr="00904FCB">
        <w:rPr>
          <w:sz w:val="27"/>
          <w:rtl/>
        </w:rPr>
        <w:t xml:space="preserve"> </w:t>
      </w:r>
      <w:r w:rsidRPr="00904FCB">
        <w:rPr>
          <w:rFonts w:hint="cs"/>
          <w:sz w:val="27"/>
          <w:rtl/>
        </w:rPr>
        <w:t>لَنَا</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الْبَيْتِ، وهُوَ</w:t>
      </w:r>
      <w:r w:rsidRPr="00904FCB">
        <w:rPr>
          <w:sz w:val="27"/>
          <w:rtl/>
        </w:rPr>
        <w:t xml:space="preserve"> </w:t>
      </w:r>
      <w:r w:rsidRPr="00904FCB">
        <w:rPr>
          <w:rFonts w:hint="cs"/>
          <w:sz w:val="27"/>
          <w:rtl/>
        </w:rPr>
        <w:t>شَرُّهُمْ</w:t>
      </w:r>
      <w:r w:rsidRPr="00904FCB">
        <w:rPr>
          <w:rFonts w:hint="eastAsia"/>
          <w:sz w:val="27"/>
          <w:rtl/>
        </w:rPr>
        <w:t>»</w:t>
      </w:r>
      <w:r w:rsidRPr="00904FCB">
        <w:rPr>
          <w:rFonts w:hint="cs"/>
          <w:sz w:val="27"/>
          <w:vertAlign w:val="superscript"/>
          <w:rtl/>
        </w:rPr>
        <w:t>(</w:t>
      </w:r>
      <w:r w:rsidRPr="00904FCB">
        <w:rPr>
          <w:rStyle w:val="ac"/>
          <w:sz w:val="27"/>
          <w:rtl/>
        </w:rPr>
        <w:endnoteReference w:id="696"/>
      </w:r>
      <w:r w:rsidRPr="00904FCB">
        <w:rPr>
          <w:rFonts w:hint="cs"/>
          <w:sz w:val="27"/>
          <w:vertAlign w:val="superscript"/>
          <w:rtl/>
        </w:rPr>
        <w:t>)</w:t>
      </w:r>
      <w:r w:rsidRPr="00904FCB">
        <w:rPr>
          <w:rFonts w:hint="cs"/>
          <w:sz w:val="27"/>
          <w:rtl/>
        </w:rPr>
        <w:t xml:space="preserve">. </w:t>
      </w:r>
    </w:p>
    <w:p w:rsidR="00F34FB9" w:rsidRPr="00904FCB" w:rsidRDefault="00F34FB9" w:rsidP="007A21AA">
      <w:pPr>
        <w:spacing w:line="400" w:lineRule="exact"/>
        <w:rPr>
          <w:sz w:val="27"/>
          <w:rtl/>
        </w:rPr>
      </w:pPr>
      <w:r w:rsidRPr="00904FCB">
        <w:rPr>
          <w:rFonts w:hint="cs"/>
          <w:sz w:val="27"/>
          <w:rtl/>
        </w:rPr>
        <w:t>الرواية</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نقيّة</w:t>
      </w:r>
      <w:r w:rsidR="00371C9D" w:rsidRPr="00904FCB">
        <w:rPr>
          <w:rFonts w:hint="cs"/>
          <w:sz w:val="27"/>
          <w:rtl/>
        </w:rPr>
        <w:t>ٍ</w:t>
      </w:r>
      <w:r w:rsidRPr="00904FCB">
        <w:rPr>
          <w:sz w:val="27"/>
          <w:rtl/>
        </w:rPr>
        <w:t xml:space="preserve"> </w:t>
      </w:r>
      <w:r w:rsidRPr="00904FCB">
        <w:rPr>
          <w:rFonts w:hint="cs"/>
          <w:sz w:val="27"/>
          <w:rtl/>
        </w:rPr>
        <w:t>سنداً، ولكنّها</w:t>
      </w:r>
      <w:r w:rsidRPr="00904FCB">
        <w:rPr>
          <w:sz w:val="27"/>
          <w:rtl/>
        </w:rPr>
        <w:t xml:space="preserve"> </w:t>
      </w:r>
      <w:r w:rsidRPr="00904FCB">
        <w:rPr>
          <w:rFonts w:hint="cs"/>
          <w:sz w:val="27"/>
          <w:rtl/>
        </w:rPr>
        <w:t>تشير</w:t>
      </w:r>
      <w:r w:rsidRPr="00904FCB">
        <w:rPr>
          <w:sz w:val="27"/>
          <w:rtl/>
        </w:rPr>
        <w:t xml:space="preserve"> </w:t>
      </w:r>
      <w:r w:rsidRPr="00904FCB">
        <w:rPr>
          <w:rFonts w:hint="cs"/>
          <w:sz w:val="27"/>
          <w:rtl/>
        </w:rPr>
        <w:t>بوضوح</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ذكرنا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ضمّ</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النجاسات</w:t>
      </w:r>
      <w:r w:rsidRPr="00904FCB">
        <w:rPr>
          <w:sz w:val="27"/>
          <w:rtl/>
        </w:rPr>
        <w:t xml:space="preserve"> </w:t>
      </w:r>
      <w:r w:rsidRPr="00904FCB">
        <w:rPr>
          <w:rFonts w:hint="cs"/>
          <w:sz w:val="27"/>
          <w:rtl/>
        </w:rPr>
        <w:t>بالاتّفاق؛ لوضوح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الجنب</w:t>
      </w:r>
      <w:r w:rsidRPr="00904FCB">
        <w:rPr>
          <w:sz w:val="27"/>
          <w:rtl/>
        </w:rPr>
        <w:t xml:space="preserve"> </w:t>
      </w:r>
      <w:r w:rsidRPr="00904FCB">
        <w:rPr>
          <w:rFonts w:hint="cs"/>
          <w:sz w:val="27"/>
          <w:rtl/>
        </w:rPr>
        <w:t>ليست</w:t>
      </w:r>
      <w:r w:rsidRPr="00904FCB">
        <w:rPr>
          <w:sz w:val="27"/>
          <w:rtl/>
        </w:rPr>
        <w:t xml:space="preserve"> </w:t>
      </w:r>
      <w:r w:rsidRPr="00904FCB">
        <w:rPr>
          <w:rFonts w:hint="cs"/>
          <w:sz w:val="27"/>
          <w:rtl/>
        </w:rPr>
        <w:t>نجسة</w:t>
      </w:r>
      <w:r w:rsidR="00371C9D" w:rsidRPr="00904FCB">
        <w:rPr>
          <w:rFonts w:hint="cs"/>
          <w:sz w:val="27"/>
          <w:rtl/>
        </w:rPr>
        <w:t>ً</w:t>
      </w:r>
      <w:r w:rsidRPr="00904FCB">
        <w:rPr>
          <w:sz w:val="27"/>
          <w:rtl/>
        </w:rPr>
        <w:t xml:space="preserve"> </w:t>
      </w:r>
      <w:r w:rsidRPr="00904FCB">
        <w:rPr>
          <w:rFonts w:hint="cs"/>
          <w:sz w:val="27"/>
          <w:rtl/>
        </w:rPr>
        <w:t>إذا</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تشتمل</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الخارجيّة، والحديث</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نفس</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غسله</w:t>
      </w:r>
      <w:r w:rsidRPr="00904FCB">
        <w:rPr>
          <w:sz w:val="27"/>
          <w:rtl/>
        </w:rPr>
        <w:t xml:space="preserve">. </w:t>
      </w:r>
      <w:r w:rsidRPr="00904FCB">
        <w:rPr>
          <w:rFonts w:hint="cs"/>
          <w:sz w:val="27"/>
          <w:rtl/>
        </w:rPr>
        <w:t>وكذلك</w:t>
      </w:r>
      <w:r w:rsidRPr="00904FCB">
        <w:rPr>
          <w:sz w:val="27"/>
          <w:rtl/>
        </w:rPr>
        <w:t xml:space="preserve"> </w:t>
      </w:r>
      <w:r w:rsidRPr="00904FCB">
        <w:rPr>
          <w:rFonts w:hint="cs"/>
          <w:sz w:val="27"/>
          <w:rtl/>
        </w:rPr>
        <w:t>ولد</w:t>
      </w:r>
      <w:r w:rsidRPr="00904FCB">
        <w:rPr>
          <w:sz w:val="27"/>
          <w:rtl/>
        </w:rPr>
        <w:t xml:space="preserve"> </w:t>
      </w:r>
      <w:r w:rsidRPr="00904FCB">
        <w:rPr>
          <w:rFonts w:hint="cs"/>
          <w:sz w:val="27"/>
          <w:rtl/>
        </w:rPr>
        <w:t>الزنا؛ فإنّه</w:t>
      </w:r>
      <w:r w:rsidRPr="00904FCB">
        <w:rPr>
          <w:sz w:val="27"/>
          <w:rtl/>
        </w:rPr>
        <w:t xml:space="preserve"> </w:t>
      </w:r>
      <w:r w:rsidRPr="00904FCB">
        <w:rPr>
          <w:rFonts w:hint="cs"/>
          <w:sz w:val="27"/>
          <w:rtl/>
        </w:rPr>
        <w:t>غير</w:t>
      </w:r>
      <w:r w:rsidRPr="00904FCB">
        <w:rPr>
          <w:sz w:val="27"/>
          <w:rtl/>
        </w:rPr>
        <w:t xml:space="preserve"> </w:t>
      </w:r>
      <w:r w:rsidRPr="00904FCB">
        <w:rPr>
          <w:rFonts w:hint="cs"/>
          <w:sz w:val="27"/>
          <w:rtl/>
        </w:rPr>
        <w:t>نجس</w:t>
      </w:r>
      <w:r w:rsidRPr="00904FCB">
        <w:rPr>
          <w:sz w:val="27"/>
          <w:rtl/>
        </w:rPr>
        <w:t xml:space="preserve"> </w:t>
      </w:r>
      <w:r w:rsidRPr="00904FCB">
        <w:rPr>
          <w:rFonts w:hint="cs"/>
          <w:sz w:val="27"/>
          <w:rtl/>
        </w:rPr>
        <w:t>العين</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التحقيق</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محلّه، بل</w:t>
      </w:r>
      <w:r w:rsidRPr="00904FCB">
        <w:rPr>
          <w:sz w:val="27"/>
          <w:rtl/>
        </w:rPr>
        <w:t xml:space="preserve"> </w:t>
      </w:r>
      <w:r w:rsidRPr="00904FCB">
        <w:rPr>
          <w:rFonts w:hint="cs"/>
          <w:sz w:val="27"/>
          <w:rtl/>
        </w:rPr>
        <w:t>نجاسته</w:t>
      </w:r>
      <w:r w:rsidRPr="00904FCB">
        <w:rPr>
          <w:sz w:val="27"/>
          <w:rtl/>
        </w:rPr>
        <w:t xml:space="preserve"> </w:t>
      </w:r>
      <w:r w:rsidR="00371C9D" w:rsidRPr="00904FCB">
        <w:rPr>
          <w:rFonts w:hint="cs"/>
          <w:sz w:val="27"/>
          <w:rtl/>
        </w:rPr>
        <w:t xml:space="preserve">ـ </w:t>
      </w:r>
      <w:r w:rsidRPr="00904FCB">
        <w:rPr>
          <w:rFonts w:hint="cs"/>
          <w:sz w:val="27"/>
          <w:rtl/>
        </w:rPr>
        <w:t>على</w:t>
      </w:r>
      <w:r w:rsidRPr="00904FCB">
        <w:rPr>
          <w:sz w:val="27"/>
          <w:rtl/>
        </w:rPr>
        <w:t xml:space="preserve"> </w:t>
      </w:r>
      <w:r w:rsidRPr="00904FCB">
        <w:rPr>
          <w:rFonts w:hint="cs"/>
          <w:sz w:val="27"/>
          <w:rtl/>
        </w:rPr>
        <w:t>تقديرها</w:t>
      </w:r>
      <w:r w:rsidRPr="00904FCB">
        <w:rPr>
          <w:sz w:val="27"/>
          <w:rtl/>
        </w:rPr>
        <w:t xml:space="preserve"> </w:t>
      </w:r>
      <w:r w:rsidR="00371C9D" w:rsidRPr="00904FCB">
        <w:rPr>
          <w:rFonts w:hint="cs"/>
          <w:sz w:val="27"/>
          <w:rtl/>
        </w:rPr>
        <w:t xml:space="preserve">ـ </w:t>
      </w:r>
      <w:r w:rsidRPr="00904FCB">
        <w:rPr>
          <w:rFonts w:hint="cs"/>
          <w:sz w:val="27"/>
          <w:rtl/>
        </w:rPr>
        <w:t>معنويّة</w:t>
      </w:r>
      <w:r w:rsidR="00371C9D" w:rsidRPr="00904FCB">
        <w:rPr>
          <w:rFonts w:hint="cs"/>
          <w:sz w:val="27"/>
          <w:rtl/>
        </w:rPr>
        <w:t>،</w:t>
      </w:r>
      <w:r w:rsidRPr="00904FCB">
        <w:rPr>
          <w:sz w:val="27"/>
          <w:rtl/>
        </w:rPr>
        <w:t xml:space="preserve"> </w:t>
      </w:r>
      <w:r w:rsidRPr="00904FCB">
        <w:rPr>
          <w:rFonts w:hint="cs"/>
          <w:sz w:val="27"/>
          <w:rtl/>
        </w:rPr>
        <w:t>وليست</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سنخ</w:t>
      </w:r>
      <w:r w:rsidRPr="00904FCB">
        <w:rPr>
          <w:sz w:val="27"/>
          <w:rtl/>
        </w:rPr>
        <w:t xml:space="preserve"> </w:t>
      </w:r>
      <w:r w:rsidRPr="00904FCB">
        <w:rPr>
          <w:rFonts w:hint="cs"/>
          <w:sz w:val="27"/>
          <w:rtl/>
        </w:rPr>
        <w:t>النجاسات</w:t>
      </w:r>
      <w:r w:rsidRPr="00904FCB">
        <w:rPr>
          <w:sz w:val="27"/>
          <w:rtl/>
        </w:rPr>
        <w:t xml:space="preserve"> </w:t>
      </w:r>
      <w:r w:rsidRPr="00904FCB">
        <w:rPr>
          <w:rFonts w:hint="cs"/>
          <w:sz w:val="27"/>
          <w:rtl/>
        </w:rPr>
        <w:t>الماد</w:t>
      </w:r>
      <w:r w:rsidR="00371C9D" w:rsidRPr="00904FCB">
        <w:rPr>
          <w:rFonts w:hint="cs"/>
          <w:sz w:val="27"/>
          <w:rtl/>
        </w:rPr>
        <w:t>ّ</w:t>
      </w:r>
      <w:r w:rsidRPr="00904FCB">
        <w:rPr>
          <w:rFonts w:hint="cs"/>
          <w:sz w:val="27"/>
          <w:rtl/>
        </w:rPr>
        <w:t>يّة</w:t>
      </w:r>
      <w:r w:rsidR="00371C9D" w:rsidRPr="00904FCB">
        <w:rPr>
          <w:rFonts w:hint="cs"/>
          <w:sz w:val="27"/>
          <w:rtl/>
        </w:rPr>
        <w:t>.</w:t>
      </w:r>
      <w:r w:rsidRPr="00904FCB">
        <w:rPr>
          <w:rFonts w:hint="cs"/>
          <w:sz w:val="27"/>
          <w:rtl/>
        </w:rPr>
        <w:t xml:space="preserve"> </w:t>
      </w:r>
      <w:r w:rsidR="009D717A" w:rsidRPr="00904FCB">
        <w:rPr>
          <w:rFonts w:hint="cs"/>
          <w:sz w:val="27"/>
          <w:rtl/>
        </w:rPr>
        <w:t>ولعلّ</w:t>
      </w:r>
      <w:r w:rsidRPr="00904FCB">
        <w:rPr>
          <w:sz w:val="27"/>
          <w:rtl/>
        </w:rPr>
        <w:t xml:space="preserve"> </w:t>
      </w:r>
      <w:r w:rsidRPr="00904FCB">
        <w:rPr>
          <w:rFonts w:hint="cs"/>
          <w:sz w:val="27"/>
          <w:rtl/>
        </w:rPr>
        <w:t>التعبير</w:t>
      </w:r>
      <w:r w:rsidRPr="00904FCB">
        <w:rPr>
          <w:sz w:val="27"/>
          <w:rtl/>
        </w:rPr>
        <w:t xml:space="preserve"> </w:t>
      </w:r>
      <w:r w:rsidRPr="00904FCB">
        <w:rPr>
          <w:rFonts w:hint="cs"/>
          <w:sz w:val="27"/>
          <w:rtl/>
        </w:rPr>
        <w:t>بأنّ</w:t>
      </w:r>
      <w:r w:rsidRPr="00904FCB">
        <w:rPr>
          <w:sz w:val="27"/>
          <w:rtl/>
        </w:rPr>
        <w:t xml:space="preserve"> </w:t>
      </w:r>
      <w:r w:rsidRPr="00904FCB">
        <w:rPr>
          <w:rFonts w:hint="cs"/>
          <w:sz w:val="27"/>
          <w:rtl/>
        </w:rPr>
        <w:t>الناصب</w:t>
      </w:r>
      <w:r w:rsidRPr="00904FCB">
        <w:rPr>
          <w:sz w:val="27"/>
          <w:rtl/>
        </w:rPr>
        <w:t xml:space="preserve"> </w:t>
      </w:r>
      <w:r w:rsidRPr="00904FCB">
        <w:rPr>
          <w:rFonts w:hint="cs"/>
          <w:sz w:val="27"/>
          <w:rtl/>
        </w:rPr>
        <w:t>شرّ</w:t>
      </w:r>
      <w:r w:rsidR="009D717A" w:rsidRPr="00904FCB">
        <w:rPr>
          <w:rFonts w:hint="cs"/>
          <w:sz w:val="27"/>
          <w:rtl/>
        </w:rPr>
        <w:t>ُ</w:t>
      </w:r>
      <w:r w:rsidRPr="00904FCB">
        <w:rPr>
          <w:rFonts w:hint="cs"/>
          <w:sz w:val="27"/>
          <w:rtl/>
        </w:rPr>
        <w:t>هم يشير</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ذلك، والله</w:t>
      </w:r>
      <w:r w:rsidRPr="00904FCB">
        <w:rPr>
          <w:sz w:val="27"/>
          <w:rtl/>
        </w:rPr>
        <w:t xml:space="preserve"> </w:t>
      </w:r>
      <w:r w:rsidRPr="00904FCB">
        <w:rPr>
          <w:rFonts w:hint="cs"/>
          <w:sz w:val="27"/>
          <w:rtl/>
        </w:rPr>
        <w:t>العالم</w:t>
      </w:r>
      <w:r w:rsidRPr="00904FCB">
        <w:rPr>
          <w:sz w:val="27"/>
          <w:rtl/>
        </w:rPr>
        <w:t xml:space="preserve">. </w:t>
      </w:r>
    </w:p>
    <w:p w:rsidR="00F34FB9" w:rsidRPr="00904FCB" w:rsidRDefault="00F34FB9" w:rsidP="001B24AC">
      <w:pPr>
        <w:spacing w:line="410" w:lineRule="exact"/>
        <w:rPr>
          <w:sz w:val="27"/>
          <w:rtl/>
        </w:rPr>
      </w:pPr>
      <w:r w:rsidRPr="00904FCB">
        <w:rPr>
          <w:rFonts w:hint="cs"/>
          <w:sz w:val="27"/>
          <w:rtl/>
        </w:rPr>
        <w:t>ومنها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الشيخ</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الكافي،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يَعْقُوبَ</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الْحُسَيْنِ</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ومُحَمَّدِ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يَحْيَى</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سَعْدٍ</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سَالِمٍ</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مُوسَى</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مُوسَى</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جَعْفَرٍ</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lastRenderedPageBreak/>
        <w:t>أَبِي</w:t>
      </w:r>
      <w:r w:rsidRPr="00904FCB">
        <w:rPr>
          <w:sz w:val="27"/>
          <w:rtl/>
        </w:rPr>
        <w:t xml:space="preserve"> </w:t>
      </w:r>
      <w:r w:rsidRPr="00904FCB">
        <w:rPr>
          <w:rFonts w:hint="cs"/>
          <w:sz w:val="27"/>
          <w:rtl/>
        </w:rPr>
        <w:t>الْحَسَنِ</w:t>
      </w:r>
      <w:r w:rsidRPr="00904FCB">
        <w:rPr>
          <w:sz w:val="27"/>
          <w:rtl/>
        </w:rPr>
        <w:t xml:space="preserve"> </w:t>
      </w:r>
      <w:r w:rsidRPr="00904FCB">
        <w:rPr>
          <w:rFonts w:hint="cs"/>
          <w:sz w:val="27"/>
          <w:rtl/>
        </w:rPr>
        <w:t>الرِّضَا</w:t>
      </w:r>
      <w:r w:rsidR="001C1A2A" w:rsidRPr="00904FCB">
        <w:rPr>
          <w:rFonts w:cs="Mosawi"/>
          <w:sz w:val="27"/>
          <w:szCs w:val="22"/>
          <w:rtl/>
        </w:rPr>
        <w:t>×</w:t>
      </w:r>
      <w:r w:rsidR="009D717A"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حَدِيثٍ</w:t>
      </w:r>
      <w:r w:rsidR="009D717A" w:rsidRPr="00904FCB">
        <w:rPr>
          <w:rFonts w:hint="cs"/>
          <w:sz w:val="27"/>
          <w:rtl/>
        </w:rPr>
        <w:t>،</w:t>
      </w:r>
      <w:r w:rsidRPr="00904FCB">
        <w:rPr>
          <w:sz w:val="27"/>
          <w:rtl/>
        </w:rPr>
        <w:t xml:space="preserve"> </w:t>
      </w:r>
      <w:r w:rsidRPr="00904FCB">
        <w:rPr>
          <w:rFonts w:hint="cs"/>
          <w:sz w:val="27"/>
          <w:rtl/>
        </w:rPr>
        <w:t>قَالَ</w:t>
      </w:r>
      <w:r w:rsidRPr="00904FCB">
        <w:rPr>
          <w:sz w:val="27"/>
          <w:rtl/>
        </w:rPr>
        <w:t xml:space="preserve">: </w:t>
      </w:r>
      <w:r w:rsidR="009D717A" w:rsidRPr="00904FCB">
        <w:rPr>
          <w:rFonts w:hint="cs"/>
          <w:sz w:val="27"/>
          <w:rtl/>
        </w:rPr>
        <w:t>مَنْ</w:t>
      </w:r>
      <w:r w:rsidRPr="00904FCB">
        <w:rPr>
          <w:sz w:val="27"/>
          <w:rtl/>
        </w:rPr>
        <w:t xml:space="preserve"> </w:t>
      </w:r>
      <w:r w:rsidRPr="00904FCB">
        <w:rPr>
          <w:rFonts w:hint="cs"/>
          <w:sz w:val="27"/>
          <w:rtl/>
        </w:rPr>
        <w:t>اغْتَسَلَ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الْمَاءِ</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اغْتُسِلَ</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فَأَصَابَهُ</w:t>
      </w:r>
      <w:r w:rsidRPr="00904FCB">
        <w:rPr>
          <w:sz w:val="27"/>
          <w:rtl/>
        </w:rPr>
        <w:t xml:space="preserve"> </w:t>
      </w:r>
      <w:r w:rsidRPr="00904FCB">
        <w:rPr>
          <w:rFonts w:hint="cs"/>
          <w:sz w:val="27"/>
          <w:rtl/>
        </w:rPr>
        <w:t>الْجُذَامُ</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يَلُومَنَّ</w:t>
      </w:r>
      <w:r w:rsidRPr="00904FCB">
        <w:rPr>
          <w:sz w:val="27"/>
          <w:rtl/>
        </w:rPr>
        <w:t xml:space="preserve"> </w:t>
      </w:r>
      <w:r w:rsidRPr="00904FCB">
        <w:rPr>
          <w:rFonts w:hint="cs"/>
          <w:sz w:val="27"/>
          <w:rtl/>
        </w:rPr>
        <w:t>إِلاّ</w:t>
      </w:r>
      <w:r w:rsidRPr="00904FCB">
        <w:rPr>
          <w:sz w:val="27"/>
          <w:rtl/>
        </w:rPr>
        <w:t xml:space="preserve"> </w:t>
      </w:r>
      <w:r w:rsidRPr="00904FCB">
        <w:rPr>
          <w:rFonts w:hint="cs"/>
          <w:sz w:val="27"/>
          <w:rtl/>
        </w:rPr>
        <w:t>نَفْسَهُ، فَقُلْتُ</w:t>
      </w:r>
      <w:r w:rsidRPr="00904FCB">
        <w:rPr>
          <w:sz w:val="27"/>
          <w:rtl/>
        </w:rPr>
        <w:t xml:space="preserve"> </w:t>
      </w:r>
      <w:r w:rsidR="009D717A" w:rsidRPr="00904FCB">
        <w:rPr>
          <w:rFonts w:hint="cs"/>
          <w:sz w:val="27"/>
          <w:rtl/>
        </w:rPr>
        <w:t>ل</w:t>
      </w:r>
      <w:r w:rsidRPr="00904FCB">
        <w:rPr>
          <w:rFonts w:hint="cs"/>
          <w:sz w:val="27"/>
          <w:rtl/>
        </w:rPr>
        <w:t>أَبِي</w:t>
      </w:r>
      <w:r w:rsidRPr="00904FCB">
        <w:rPr>
          <w:sz w:val="27"/>
          <w:rtl/>
        </w:rPr>
        <w:t xml:space="preserve"> </w:t>
      </w:r>
      <w:r w:rsidRPr="00904FCB">
        <w:rPr>
          <w:rFonts w:hint="cs"/>
          <w:sz w:val="27"/>
          <w:rtl/>
        </w:rPr>
        <w:t>الْحَسَنِ</w:t>
      </w:r>
      <w:r w:rsidR="001C1A2A" w:rsidRPr="00904FCB">
        <w:rPr>
          <w:rFonts w:cs="Mosawi"/>
          <w:sz w:val="27"/>
          <w:szCs w:val="22"/>
          <w:rtl/>
        </w:rPr>
        <w:t>×</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الْمَدِينَةِ</w:t>
      </w:r>
      <w:r w:rsidRPr="00904FCB">
        <w:rPr>
          <w:sz w:val="27"/>
          <w:rtl/>
        </w:rPr>
        <w:t xml:space="preserve"> </w:t>
      </w:r>
      <w:r w:rsidRPr="00904FCB">
        <w:rPr>
          <w:rFonts w:hint="cs"/>
          <w:sz w:val="27"/>
          <w:rtl/>
        </w:rPr>
        <w:t>يَقُولُونَ</w:t>
      </w:r>
      <w:r w:rsidR="009D717A" w:rsidRPr="00904FCB">
        <w:rPr>
          <w:rFonts w:hint="cs"/>
          <w:sz w:val="27"/>
          <w:rtl/>
        </w:rPr>
        <w:t>:</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شِفَاءً</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الْعَيْنِ، فَقَالَ</w:t>
      </w:r>
      <w:r w:rsidRPr="00904FCB">
        <w:rPr>
          <w:sz w:val="27"/>
          <w:rtl/>
        </w:rPr>
        <w:t xml:space="preserve">: </w:t>
      </w:r>
      <w:r w:rsidRPr="00904FCB">
        <w:rPr>
          <w:rFonts w:hint="cs"/>
          <w:sz w:val="27"/>
          <w:rtl/>
        </w:rPr>
        <w:t>كَذَبُوا</w:t>
      </w:r>
      <w:r w:rsidR="009D717A" w:rsidRPr="00904FCB">
        <w:rPr>
          <w:rFonts w:hint="cs"/>
          <w:sz w:val="27"/>
          <w:rtl/>
        </w:rPr>
        <w:t>،</w:t>
      </w:r>
      <w:r w:rsidRPr="00904FCB">
        <w:rPr>
          <w:sz w:val="27"/>
          <w:rtl/>
        </w:rPr>
        <w:t xml:space="preserve"> </w:t>
      </w:r>
      <w:r w:rsidRPr="00904FCB">
        <w:rPr>
          <w:rFonts w:hint="cs"/>
          <w:sz w:val="27"/>
          <w:rtl/>
        </w:rPr>
        <w:t>يَغْتَسِلُ</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الْجُنُبُ</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الْحَرَامِ</w:t>
      </w:r>
      <w:r w:rsidRPr="00904FCB">
        <w:rPr>
          <w:sz w:val="27"/>
          <w:rtl/>
        </w:rPr>
        <w:t xml:space="preserve"> </w:t>
      </w:r>
      <w:r w:rsidRPr="00904FCB">
        <w:rPr>
          <w:rFonts w:hint="cs"/>
          <w:sz w:val="27"/>
          <w:rtl/>
        </w:rPr>
        <w:t>والزَّانِي</w:t>
      </w:r>
      <w:r w:rsidRPr="00904FCB">
        <w:rPr>
          <w:sz w:val="27"/>
          <w:rtl/>
        </w:rPr>
        <w:t xml:space="preserve"> </w:t>
      </w:r>
      <w:r w:rsidRPr="00904FCB">
        <w:rPr>
          <w:rFonts w:hint="cs"/>
          <w:sz w:val="27"/>
          <w:rtl/>
        </w:rPr>
        <w:t>والنَّاصِبُ</w:t>
      </w:r>
      <w:r w:rsidR="009D717A" w:rsidRPr="00904FCB">
        <w:rPr>
          <w:rFonts w:hint="cs"/>
          <w:sz w:val="27"/>
          <w:rtl/>
        </w:rPr>
        <w:t>،</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شَرُّهُمَا</w:t>
      </w:r>
      <w:r w:rsidR="009D717A" w:rsidRPr="00904FCB">
        <w:rPr>
          <w:rFonts w:hint="cs"/>
          <w:sz w:val="27"/>
          <w:rtl/>
        </w:rPr>
        <w:t>،</w:t>
      </w:r>
      <w:r w:rsidRPr="00904FCB">
        <w:rPr>
          <w:sz w:val="27"/>
          <w:rtl/>
        </w:rPr>
        <w:t xml:space="preserve"> </w:t>
      </w:r>
      <w:r w:rsidR="00B07A11">
        <w:rPr>
          <w:rFonts w:hint="cs"/>
          <w:sz w:val="27"/>
          <w:rtl/>
        </w:rPr>
        <w:t>وكُلُّ</w:t>
      </w:r>
      <w:r w:rsidRPr="00904FCB">
        <w:rPr>
          <w:sz w:val="27"/>
          <w:rtl/>
        </w:rPr>
        <w:t xml:space="preserve"> </w:t>
      </w:r>
      <w:r w:rsidR="00B07A11">
        <w:rPr>
          <w:rFonts w:hint="cs"/>
          <w:sz w:val="27"/>
          <w:rtl/>
        </w:rPr>
        <w:t>مَ</w:t>
      </w:r>
      <w:r w:rsidRPr="00904FCB">
        <w:rPr>
          <w:rFonts w:hint="cs"/>
          <w:sz w:val="27"/>
          <w:rtl/>
        </w:rPr>
        <w:t>نْ</w:t>
      </w:r>
      <w:r w:rsidRPr="00904FCB">
        <w:rPr>
          <w:sz w:val="27"/>
          <w:rtl/>
        </w:rPr>
        <w:t xml:space="preserve"> </w:t>
      </w:r>
      <w:r w:rsidRPr="00904FCB">
        <w:rPr>
          <w:rFonts w:hint="cs"/>
          <w:sz w:val="27"/>
          <w:rtl/>
        </w:rPr>
        <w:t>خَ</w:t>
      </w:r>
      <w:r w:rsidR="00B07A11">
        <w:rPr>
          <w:rFonts w:hint="cs"/>
          <w:sz w:val="27"/>
          <w:rtl/>
        </w:rPr>
        <w:t>لَ</w:t>
      </w:r>
      <w:r w:rsidRPr="00904FCB">
        <w:rPr>
          <w:rFonts w:hint="cs"/>
          <w:sz w:val="27"/>
          <w:rtl/>
        </w:rPr>
        <w:t>قِ</w:t>
      </w:r>
      <w:r w:rsidRPr="00904FCB">
        <w:rPr>
          <w:sz w:val="27"/>
          <w:rtl/>
        </w:rPr>
        <w:t xml:space="preserve"> </w:t>
      </w:r>
      <w:r w:rsidR="00B07A11">
        <w:rPr>
          <w:rFonts w:hint="cs"/>
          <w:sz w:val="27"/>
          <w:rtl/>
        </w:rPr>
        <w:t>اللهُ</w:t>
      </w:r>
      <w:r w:rsidRPr="00904FCB">
        <w:rPr>
          <w:sz w:val="27"/>
          <w:rtl/>
        </w:rPr>
        <w:t xml:space="preserve"> </w:t>
      </w:r>
      <w:r w:rsidRPr="00904FCB">
        <w:rPr>
          <w:rFonts w:hint="cs"/>
          <w:sz w:val="27"/>
          <w:rtl/>
        </w:rPr>
        <w:t>ثُمَّ</w:t>
      </w:r>
      <w:r w:rsidRPr="00904FCB">
        <w:rPr>
          <w:sz w:val="27"/>
          <w:rtl/>
        </w:rPr>
        <w:t xml:space="preserve"> </w:t>
      </w:r>
      <w:r w:rsidRPr="00904FCB">
        <w:rPr>
          <w:rFonts w:hint="cs"/>
          <w:sz w:val="27"/>
          <w:rtl/>
        </w:rPr>
        <w:t>يَكُونُ</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شِفَاءٌ</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الْعَيْنِ</w:t>
      </w:r>
      <w:r w:rsidRPr="00904FCB">
        <w:rPr>
          <w:rFonts w:hint="eastAsia"/>
          <w:sz w:val="27"/>
          <w:rtl/>
        </w:rPr>
        <w:t>»</w:t>
      </w:r>
      <w:r w:rsidRPr="00904FCB">
        <w:rPr>
          <w:rFonts w:hint="cs"/>
          <w:sz w:val="27"/>
          <w:vertAlign w:val="superscript"/>
          <w:rtl/>
        </w:rPr>
        <w:t>(</w:t>
      </w:r>
      <w:r w:rsidRPr="00904FCB">
        <w:rPr>
          <w:rStyle w:val="ac"/>
          <w:sz w:val="27"/>
          <w:rtl/>
        </w:rPr>
        <w:endnoteReference w:id="697"/>
      </w:r>
      <w:r w:rsidRPr="00904FCB">
        <w:rPr>
          <w:rFonts w:hint="cs"/>
          <w:sz w:val="27"/>
          <w:vertAlign w:val="superscript"/>
          <w:rtl/>
        </w:rPr>
        <w:t>)</w:t>
      </w:r>
      <w:r w:rsidRPr="00904FCB">
        <w:rPr>
          <w:rFonts w:hint="cs"/>
          <w:sz w:val="27"/>
          <w:rtl/>
        </w:rPr>
        <w:t xml:space="preserve">. </w:t>
      </w:r>
    </w:p>
    <w:p w:rsidR="00F34FB9" w:rsidRPr="00904FCB" w:rsidRDefault="00F34FB9" w:rsidP="001B24AC">
      <w:pPr>
        <w:spacing w:line="420" w:lineRule="exact"/>
        <w:ind w:firstLine="561"/>
        <w:rPr>
          <w:sz w:val="27"/>
          <w:rtl/>
        </w:rPr>
      </w:pPr>
      <w:r w:rsidRPr="00904FCB">
        <w:rPr>
          <w:rFonts w:hint="cs"/>
          <w:sz w:val="27"/>
          <w:rtl/>
        </w:rPr>
        <w:t>لو تجاوزنا</w:t>
      </w:r>
      <w:r w:rsidRPr="00904FCB">
        <w:rPr>
          <w:sz w:val="27"/>
          <w:rtl/>
        </w:rPr>
        <w:t xml:space="preserve"> </w:t>
      </w:r>
      <w:r w:rsidRPr="00904FCB">
        <w:rPr>
          <w:rFonts w:hint="cs"/>
          <w:sz w:val="27"/>
          <w:rtl/>
        </w:rPr>
        <w:t>البحث</w:t>
      </w:r>
      <w:r w:rsidRPr="00904FCB">
        <w:rPr>
          <w:sz w:val="27"/>
          <w:rtl/>
        </w:rPr>
        <w:t xml:space="preserve"> </w:t>
      </w:r>
      <w:r w:rsidRPr="00904FCB">
        <w:rPr>
          <w:rFonts w:hint="cs"/>
          <w:sz w:val="27"/>
          <w:rtl/>
        </w:rPr>
        <w:t>السندي نقول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الواضح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الحديث</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برمّته</w:t>
      </w:r>
      <w:r w:rsidRPr="00904FCB">
        <w:rPr>
          <w:sz w:val="27"/>
          <w:rtl/>
        </w:rPr>
        <w:t xml:space="preserve"> </w:t>
      </w:r>
      <w:r w:rsidRPr="00904FCB">
        <w:rPr>
          <w:rFonts w:hint="cs"/>
          <w:sz w:val="27"/>
          <w:rtl/>
        </w:rPr>
        <w:t>ليس</w:t>
      </w:r>
      <w:r w:rsidRPr="00904FCB">
        <w:rPr>
          <w:sz w:val="27"/>
          <w:rtl/>
        </w:rPr>
        <w:t xml:space="preserve"> </w:t>
      </w:r>
      <w:r w:rsidRPr="00904FCB">
        <w:rPr>
          <w:rFonts w:hint="cs"/>
          <w:sz w:val="27"/>
          <w:rtl/>
        </w:rPr>
        <w:t>سوى</w:t>
      </w:r>
      <w:r w:rsidRPr="00904FCB">
        <w:rPr>
          <w:sz w:val="27"/>
          <w:rtl/>
        </w:rPr>
        <w:t xml:space="preserve"> </w:t>
      </w:r>
      <w:r w:rsidRPr="00904FCB">
        <w:rPr>
          <w:rFonts w:hint="cs"/>
          <w:sz w:val="27"/>
          <w:rtl/>
        </w:rPr>
        <w:t>حديث</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المعنويّة</w:t>
      </w:r>
      <w:r w:rsidR="009D717A" w:rsidRPr="00904FCB">
        <w:rPr>
          <w:rFonts w:hint="cs"/>
          <w:sz w:val="27"/>
          <w:rtl/>
        </w:rPr>
        <w:t>،</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الماديّة</w:t>
      </w:r>
      <w:r w:rsidRPr="00904FCB">
        <w:rPr>
          <w:sz w:val="27"/>
          <w:rtl/>
        </w:rPr>
        <w:t xml:space="preserve"> </w:t>
      </w:r>
      <w:r w:rsidRPr="00904FCB">
        <w:rPr>
          <w:rFonts w:hint="cs"/>
          <w:sz w:val="27"/>
          <w:rtl/>
        </w:rPr>
        <w:t>الأجنبيّة</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المصطلحة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باب</w:t>
      </w:r>
      <w:r w:rsidRPr="00904FCB">
        <w:rPr>
          <w:sz w:val="27"/>
          <w:rtl/>
        </w:rPr>
        <w:t xml:space="preserve"> </w:t>
      </w:r>
      <w:r w:rsidRPr="00904FCB">
        <w:rPr>
          <w:rFonts w:hint="cs"/>
          <w:sz w:val="27"/>
          <w:rtl/>
        </w:rPr>
        <w:t xml:space="preserve">النجاسات، </w:t>
      </w:r>
      <w:r w:rsidR="009D717A" w:rsidRPr="00904FCB">
        <w:rPr>
          <w:rFonts w:hint="cs"/>
          <w:sz w:val="27"/>
          <w:rtl/>
        </w:rPr>
        <w:t>و</w:t>
      </w:r>
      <w:r w:rsidRPr="00904FCB">
        <w:rPr>
          <w:rFonts w:hint="cs"/>
          <w:sz w:val="27"/>
          <w:rtl/>
        </w:rPr>
        <w:t>خصوصاً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الحديث</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ذيلها</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الزاني</w:t>
      </w:r>
      <w:r w:rsidRPr="00904FCB">
        <w:rPr>
          <w:sz w:val="27"/>
          <w:rtl/>
        </w:rPr>
        <w:t xml:space="preserve"> </w:t>
      </w:r>
      <w:r w:rsidRPr="00904FCB">
        <w:rPr>
          <w:rFonts w:hint="cs"/>
          <w:sz w:val="27"/>
          <w:rtl/>
        </w:rPr>
        <w:t>والج</w:t>
      </w:r>
      <w:r w:rsidR="009D717A" w:rsidRPr="00904FCB">
        <w:rPr>
          <w:rFonts w:hint="cs"/>
          <w:sz w:val="27"/>
          <w:rtl/>
        </w:rPr>
        <w:t>ُ</w:t>
      </w:r>
      <w:r w:rsidRPr="00904FCB">
        <w:rPr>
          <w:rFonts w:hint="cs"/>
          <w:sz w:val="27"/>
          <w:rtl/>
        </w:rPr>
        <w:t>ن</w:t>
      </w:r>
      <w:r w:rsidR="009D717A" w:rsidRPr="00904FCB">
        <w:rPr>
          <w:rFonts w:hint="cs"/>
          <w:sz w:val="27"/>
          <w:rtl/>
        </w:rPr>
        <w:t>ُ</w:t>
      </w:r>
      <w:r w:rsidRPr="00904FCB">
        <w:rPr>
          <w:rFonts w:hint="cs"/>
          <w:sz w:val="27"/>
          <w:rtl/>
        </w:rPr>
        <w:t>ب</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الحرام</w:t>
      </w:r>
      <w:r w:rsidR="009D717A" w:rsidRPr="00904FCB">
        <w:rPr>
          <w:rFonts w:hint="cs"/>
          <w:sz w:val="27"/>
          <w:rtl/>
        </w:rPr>
        <w:t>،</w:t>
      </w:r>
      <w:r w:rsidRPr="00904FCB">
        <w:rPr>
          <w:sz w:val="27"/>
          <w:rtl/>
        </w:rPr>
        <w:t xml:space="preserve"> </w:t>
      </w:r>
      <w:r w:rsidRPr="00904FCB">
        <w:rPr>
          <w:rFonts w:hint="cs"/>
          <w:sz w:val="27"/>
          <w:rtl/>
        </w:rPr>
        <w:t>وهما</w:t>
      </w:r>
      <w:r w:rsidRPr="00904FCB">
        <w:rPr>
          <w:sz w:val="27"/>
          <w:rtl/>
        </w:rPr>
        <w:t xml:space="preserve"> </w:t>
      </w:r>
      <w:r w:rsidRPr="00904FCB">
        <w:rPr>
          <w:rFonts w:hint="cs"/>
          <w:sz w:val="27"/>
          <w:rtl/>
        </w:rPr>
        <w:t>ليسا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النجاسات</w:t>
      </w:r>
      <w:r w:rsidRPr="00904FCB">
        <w:rPr>
          <w:sz w:val="27"/>
          <w:rtl/>
        </w:rPr>
        <w:t xml:space="preserve"> </w:t>
      </w:r>
      <w:r w:rsidRPr="00904FCB">
        <w:rPr>
          <w:rFonts w:hint="cs"/>
          <w:sz w:val="27"/>
          <w:rtl/>
        </w:rPr>
        <w:t>العينيّة</w:t>
      </w:r>
      <w:r w:rsidR="009D717A" w:rsidRPr="00904FCB">
        <w:rPr>
          <w:rFonts w:hint="cs"/>
          <w:sz w:val="27"/>
          <w:rtl/>
        </w:rPr>
        <w:t>.</w:t>
      </w:r>
      <w:r w:rsidRPr="00904FCB">
        <w:rPr>
          <w:rFonts w:hint="cs"/>
          <w:sz w:val="27"/>
          <w:rtl/>
        </w:rPr>
        <w:t xml:space="preserve"> وكذلك</w:t>
      </w:r>
      <w:r w:rsidRPr="00904FCB">
        <w:rPr>
          <w:sz w:val="27"/>
          <w:rtl/>
        </w:rPr>
        <w:t xml:space="preserve"> </w:t>
      </w:r>
      <w:r w:rsidRPr="00904FCB">
        <w:rPr>
          <w:rFonts w:hint="cs"/>
          <w:sz w:val="27"/>
          <w:rtl/>
        </w:rPr>
        <w:t>إضافته</w:t>
      </w:r>
      <w:r w:rsidR="001C1A2A" w:rsidRPr="00904FCB">
        <w:rPr>
          <w:rFonts w:cs="Mosawi"/>
          <w:sz w:val="27"/>
          <w:szCs w:val="22"/>
          <w:rtl/>
        </w:rPr>
        <w:t>×</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ذلك</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كلّ</w:t>
      </w:r>
      <w:r w:rsidR="009D717A"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خلق</w:t>
      </w:r>
      <w:r w:rsidRPr="00904FCB">
        <w:rPr>
          <w:sz w:val="27"/>
          <w:rtl/>
        </w:rPr>
        <w:t xml:space="preserve"> </w:t>
      </w:r>
      <w:r w:rsidRPr="00904FCB">
        <w:rPr>
          <w:rFonts w:hint="cs"/>
          <w:sz w:val="27"/>
          <w:rtl/>
        </w:rPr>
        <w:t>الله، وذلك</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إشارة</w:t>
      </w:r>
      <w:r w:rsidR="009D717A" w:rsidRPr="00904FCB">
        <w:rPr>
          <w:rFonts w:hint="cs"/>
          <w:sz w:val="27"/>
          <w:rtl/>
        </w:rPr>
        <w:t>ٍ</w:t>
      </w:r>
      <w:r w:rsidRPr="00904FCB">
        <w:rPr>
          <w:sz w:val="27"/>
          <w:rtl/>
        </w:rPr>
        <w:t xml:space="preserve"> </w:t>
      </w:r>
      <w:r w:rsidRPr="00904FCB">
        <w:rPr>
          <w:rFonts w:hint="cs"/>
          <w:sz w:val="27"/>
          <w:rtl/>
        </w:rPr>
        <w:t>واضحة</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القذارة</w:t>
      </w:r>
      <w:r w:rsidRPr="00904FCB">
        <w:rPr>
          <w:sz w:val="27"/>
          <w:rtl/>
        </w:rPr>
        <w:t xml:space="preserve"> </w:t>
      </w:r>
      <w:r w:rsidRPr="00904FCB">
        <w:rPr>
          <w:rFonts w:hint="cs"/>
          <w:sz w:val="27"/>
          <w:rtl/>
        </w:rPr>
        <w:t>المتوقّ</w:t>
      </w:r>
      <w:r w:rsidR="009D717A" w:rsidRPr="00904FCB">
        <w:rPr>
          <w:rFonts w:hint="cs"/>
          <w:sz w:val="27"/>
          <w:rtl/>
        </w:rPr>
        <w:t>َ</w:t>
      </w:r>
      <w:r w:rsidRPr="00904FCB">
        <w:rPr>
          <w:rFonts w:hint="cs"/>
          <w:sz w:val="27"/>
          <w:rtl/>
        </w:rPr>
        <w:t>عة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مثل</w:t>
      </w:r>
      <w:r w:rsidRPr="00904FCB">
        <w:rPr>
          <w:sz w:val="27"/>
          <w:rtl/>
        </w:rPr>
        <w:t xml:space="preserve"> </w:t>
      </w:r>
      <w:r w:rsidRPr="00904FCB">
        <w:rPr>
          <w:rFonts w:hint="cs"/>
          <w:sz w:val="27"/>
          <w:rtl/>
        </w:rPr>
        <w:t>هذا</w:t>
      </w:r>
      <w:r w:rsidRPr="00904FCB">
        <w:rPr>
          <w:sz w:val="27"/>
          <w:rtl/>
        </w:rPr>
        <w:t xml:space="preserve"> </w:t>
      </w:r>
      <w:r w:rsidRPr="00904FCB">
        <w:rPr>
          <w:rFonts w:hint="cs"/>
          <w:sz w:val="27"/>
          <w:rtl/>
        </w:rPr>
        <w:t>الماء</w:t>
      </w:r>
      <w:r w:rsidRPr="00904FCB">
        <w:rPr>
          <w:sz w:val="27"/>
          <w:rtl/>
        </w:rPr>
        <w:t xml:space="preserve">. </w:t>
      </w:r>
    </w:p>
    <w:p w:rsidR="00F34FB9" w:rsidRPr="00904FCB" w:rsidRDefault="00F34FB9" w:rsidP="001B24AC">
      <w:pPr>
        <w:spacing w:line="420" w:lineRule="exact"/>
        <w:ind w:firstLine="561"/>
        <w:rPr>
          <w:sz w:val="27"/>
          <w:rtl/>
        </w:rPr>
      </w:pPr>
      <w:r w:rsidRPr="00904FCB">
        <w:rPr>
          <w:rFonts w:hint="cs"/>
          <w:sz w:val="27"/>
          <w:rtl/>
        </w:rPr>
        <w:t>ومنها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يَحْيَى</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مُحَمَّدٍ</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عَلِيِّ</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الْحَكَمِ</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رَجُلٍ</w:t>
      </w:r>
      <w:r w:rsidR="009D717A"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الْحَسَنِ</w:t>
      </w:r>
      <w:r w:rsidR="001C1A2A" w:rsidRPr="00904FCB">
        <w:rPr>
          <w:rFonts w:cs="Mosawi"/>
          <w:sz w:val="27"/>
          <w:szCs w:val="22"/>
          <w:rtl/>
        </w:rPr>
        <w:t>×</w:t>
      </w:r>
      <w:r w:rsidR="009D717A"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حَدِيثٍ</w:t>
      </w:r>
      <w:r w:rsidR="009D717A" w:rsidRPr="00904FCB">
        <w:rPr>
          <w:rFonts w:hint="cs"/>
          <w:sz w:val="27"/>
          <w:rtl/>
        </w:rPr>
        <w:t>،</w:t>
      </w:r>
      <w:r w:rsidRPr="00904FCB">
        <w:rPr>
          <w:sz w:val="27"/>
          <w:rtl/>
        </w:rPr>
        <w:t xml:space="preserve"> </w:t>
      </w:r>
      <w:r w:rsidRPr="00904FCB">
        <w:rPr>
          <w:rFonts w:hint="cs"/>
          <w:sz w:val="27"/>
          <w:rtl/>
        </w:rPr>
        <w:t>أَنَّهُ</w:t>
      </w:r>
      <w:r w:rsidRPr="00904FCB">
        <w:rPr>
          <w:sz w:val="27"/>
          <w:rtl/>
        </w:rPr>
        <w:t xml:space="preserve"> </w:t>
      </w:r>
      <w:r w:rsidRPr="00904FCB">
        <w:rPr>
          <w:rFonts w:hint="cs"/>
          <w:sz w:val="27"/>
          <w:rtl/>
        </w:rPr>
        <w:t>قَالَ</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تَغْتَسِلْ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مَاءِ</w:t>
      </w:r>
      <w:r w:rsidRPr="00904FCB">
        <w:rPr>
          <w:sz w:val="27"/>
          <w:rtl/>
        </w:rPr>
        <w:t xml:space="preserve"> </w:t>
      </w:r>
      <w:r w:rsidRPr="00904FCB">
        <w:rPr>
          <w:rFonts w:hint="cs"/>
          <w:sz w:val="27"/>
          <w:rtl/>
        </w:rPr>
        <w:t>الْحَمَّامِ؛ فَإِنَّهُ</w:t>
      </w:r>
      <w:r w:rsidRPr="00904FCB">
        <w:rPr>
          <w:sz w:val="27"/>
          <w:rtl/>
        </w:rPr>
        <w:t xml:space="preserve"> </w:t>
      </w:r>
      <w:r w:rsidRPr="00904FCB">
        <w:rPr>
          <w:rFonts w:hint="cs"/>
          <w:sz w:val="27"/>
          <w:rtl/>
        </w:rPr>
        <w:t>يُغْتَسَلُ</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الزِّنَا</w:t>
      </w:r>
      <w:r w:rsidR="00F34D09" w:rsidRPr="00904FCB">
        <w:rPr>
          <w:rFonts w:hint="cs"/>
          <w:sz w:val="27"/>
          <w:rtl/>
        </w:rPr>
        <w:t>،</w:t>
      </w:r>
      <w:r w:rsidRPr="00904FCB">
        <w:rPr>
          <w:sz w:val="27"/>
          <w:rtl/>
        </w:rPr>
        <w:t xml:space="preserve"> </w:t>
      </w:r>
      <w:r w:rsidRPr="00904FCB">
        <w:rPr>
          <w:rFonts w:hint="cs"/>
          <w:sz w:val="27"/>
          <w:rtl/>
        </w:rPr>
        <w:t>ويَغْتَسِلُ</w:t>
      </w:r>
      <w:r w:rsidRPr="00904FCB">
        <w:rPr>
          <w:sz w:val="27"/>
          <w:rtl/>
        </w:rPr>
        <w:t xml:space="preserve"> </w:t>
      </w:r>
      <w:r w:rsidRPr="00904FCB">
        <w:rPr>
          <w:rFonts w:hint="cs"/>
          <w:sz w:val="27"/>
          <w:rtl/>
        </w:rPr>
        <w:t>فِيهِ</w:t>
      </w:r>
      <w:r w:rsidRPr="00904FCB">
        <w:rPr>
          <w:sz w:val="27"/>
          <w:rtl/>
        </w:rPr>
        <w:t xml:space="preserve"> </w:t>
      </w:r>
      <w:r w:rsidRPr="00904FCB">
        <w:rPr>
          <w:rFonts w:hint="cs"/>
          <w:sz w:val="27"/>
          <w:rtl/>
        </w:rPr>
        <w:t>وَلَدُ</w:t>
      </w:r>
      <w:r w:rsidRPr="00904FCB">
        <w:rPr>
          <w:sz w:val="27"/>
          <w:rtl/>
        </w:rPr>
        <w:t xml:space="preserve"> </w:t>
      </w:r>
      <w:r w:rsidRPr="00904FCB">
        <w:rPr>
          <w:rFonts w:hint="cs"/>
          <w:sz w:val="27"/>
          <w:rtl/>
        </w:rPr>
        <w:t>الزِّنَا</w:t>
      </w:r>
      <w:r w:rsidRPr="00904FCB">
        <w:rPr>
          <w:sz w:val="27"/>
          <w:rtl/>
        </w:rPr>
        <w:t xml:space="preserve"> </w:t>
      </w:r>
      <w:r w:rsidRPr="00904FCB">
        <w:rPr>
          <w:rFonts w:hint="cs"/>
          <w:sz w:val="27"/>
          <w:rtl/>
        </w:rPr>
        <w:t>والنَّاصِبُ</w:t>
      </w:r>
      <w:r w:rsidRPr="00904FCB">
        <w:rPr>
          <w:sz w:val="27"/>
          <w:rtl/>
        </w:rPr>
        <w:t xml:space="preserve"> </w:t>
      </w:r>
      <w:r w:rsidRPr="00904FCB">
        <w:rPr>
          <w:rFonts w:hint="cs"/>
          <w:sz w:val="27"/>
          <w:rtl/>
        </w:rPr>
        <w:t>لَنَا</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الْبَيْتِ</w:t>
      </w:r>
      <w:r w:rsidR="00F34D09" w:rsidRPr="00904FCB">
        <w:rPr>
          <w:rFonts w:hint="cs"/>
          <w:sz w:val="27"/>
          <w:rtl/>
        </w:rPr>
        <w:t>،</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شَرُّهُمْ</w:t>
      </w:r>
      <w:r w:rsidRPr="00904FCB">
        <w:rPr>
          <w:rFonts w:hint="eastAsia"/>
          <w:sz w:val="27"/>
          <w:rtl/>
        </w:rPr>
        <w:t>»</w:t>
      </w:r>
      <w:r w:rsidRPr="00904FCB">
        <w:rPr>
          <w:rFonts w:hint="cs"/>
          <w:sz w:val="27"/>
          <w:vertAlign w:val="superscript"/>
          <w:rtl/>
        </w:rPr>
        <w:t>(</w:t>
      </w:r>
      <w:r w:rsidRPr="00904FCB">
        <w:rPr>
          <w:rStyle w:val="ac"/>
          <w:sz w:val="27"/>
          <w:rtl/>
        </w:rPr>
        <w:endnoteReference w:id="698"/>
      </w:r>
      <w:r w:rsidRPr="00904FCB">
        <w:rPr>
          <w:rFonts w:hint="cs"/>
          <w:sz w:val="27"/>
          <w:vertAlign w:val="superscript"/>
          <w:rtl/>
        </w:rPr>
        <w:t>)</w:t>
      </w:r>
      <w:r w:rsidRPr="00904FCB">
        <w:rPr>
          <w:rFonts w:hint="cs"/>
          <w:sz w:val="27"/>
          <w:rtl/>
        </w:rPr>
        <w:t xml:space="preserve">. </w:t>
      </w:r>
    </w:p>
    <w:p w:rsidR="00F34FB9" w:rsidRPr="00904FCB" w:rsidRDefault="00F34FB9" w:rsidP="001B24AC">
      <w:pPr>
        <w:spacing w:line="420" w:lineRule="exact"/>
        <w:ind w:firstLine="561"/>
        <w:rPr>
          <w:sz w:val="27"/>
          <w:rtl/>
        </w:rPr>
      </w:pPr>
      <w:r w:rsidRPr="00904FCB">
        <w:rPr>
          <w:rFonts w:hint="cs"/>
          <w:sz w:val="27"/>
          <w:rtl/>
        </w:rPr>
        <w:t>هذه</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تصبّ</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نفس</w:t>
      </w:r>
      <w:r w:rsidRPr="00904FCB">
        <w:rPr>
          <w:sz w:val="27"/>
          <w:rtl/>
        </w:rPr>
        <w:t xml:space="preserve"> </w:t>
      </w:r>
      <w:r w:rsidRPr="00904FCB">
        <w:rPr>
          <w:rFonts w:hint="cs"/>
          <w:sz w:val="27"/>
          <w:rtl/>
        </w:rPr>
        <w:t>الجوّ</w:t>
      </w:r>
      <w:r w:rsidRPr="00904FCB">
        <w:rPr>
          <w:sz w:val="27"/>
          <w:rtl/>
        </w:rPr>
        <w:t xml:space="preserve"> </w:t>
      </w:r>
      <w:r w:rsidRPr="00904FCB">
        <w:rPr>
          <w:rFonts w:hint="cs"/>
          <w:sz w:val="27"/>
          <w:rtl/>
        </w:rPr>
        <w:t>السابق، ولا</w:t>
      </w:r>
      <w:r w:rsidRPr="00904FCB">
        <w:rPr>
          <w:sz w:val="27"/>
          <w:rtl/>
        </w:rPr>
        <w:t xml:space="preserve"> </w:t>
      </w:r>
      <w:r w:rsidRPr="00904FCB">
        <w:rPr>
          <w:rFonts w:hint="cs"/>
          <w:sz w:val="27"/>
          <w:rtl/>
        </w:rPr>
        <w:t>تحتاج</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التعليق</w:t>
      </w:r>
      <w:r w:rsidRPr="00904FCB">
        <w:rPr>
          <w:sz w:val="27"/>
          <w:rtl/>
        </w:rPr>
        <w:t xml:space="preserve"> </w:t>
      </w:r>
      <w:r w:rsidRPr="00904FCB">
        <w:rPr>
          <w:rFonts w:hint="cs"/>
          <w:sz w:val="27"/>
          <w:rtl/>
        </w:rPr>
        <w:t>الخاص</w:t>
      </w:r>
      <w:r w:rsidR="00F34D09" w:rsidRPr="00904FCB">
        <w:rPr>
          <w:rFonts w:hint="cs"/>
          <w:sz w:val="27"/>
          <w:rtl/>
        </w:rPr>
        <w:t>ّ</w:t>
      </w:r>
      <w:r w:rsidRPr="00904FCB">
        <w:rPr>
          <w:sz w:val="27"/>
          <w:rtl/>
        </w:rPr>
        <w:t xml:space="preserve"> </w:t>
      </w:r>
      <w:r w:rsidRPr="00904FCB">
        <w:rPr>
          <w:rFonts w:hint="cs"/>
          <w:sz w:val="27"/>
          <w:rtl/>
        </w:rPr>
        <w:t>بها</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تقدّ</w:t>
      </w:r>
      <w:r w:rsidR="00F34D09" w:rsidRPr="00904FCB">
        <w:rPr>
          <w:rFonts w:hint="cs"/>
          <w:sz w:val="27"/>
          <w:rtl/>
        </w:rPr>
        <w:t>َ</w:t>
      </w:r>
      <w:r w:rsidRPr="00904FCB">
        <w:rPr>
          <w:rFonts w:hint="cs"/>
          <w:sz w:val="27"/>
          <w:rtl/>
        </w:rPr>
        <w:t>م</w:t>
      </w:r>
      <w:r w:rsidRPr="00904FCB">
        <w:rPr>
          <w:sz w:val="27"/>
          <w:rtl/>
        </w:rPr>
        <w:t xml:space="preserve">. </w:t>
      </w:r>
    </w:p>
    <w:p w:rsidR="00F34FB9" w:rsidRPr="00904FCB" w:rsidRDefault="00F34FB9" w:rsidP="001B24AC">
      <w:pPr>
        <w:spacing w:line="420" w:lineRule="exact"/>
        <w:ind w:firstLine="561"/>
        <w:rPr>
          <w:sz w:val="27"/>
          <w:rtl/>
        </w:rPr>
      </w:pPr>
      <w:r w:rsidRPr="00904FCB">
        <w:rPr>
          <w:rFonts w:hint="cs"/>
          <w:sz w:val="27"/>
          <w:rtl/>
        </w:rPr>
        <w:t>ومنها</w:t>
      </w:r>
      <w:r w:rsidRPr="00904FCB">
        <w:rPr>
          <w:sz w:val="27"/>
          <w:rtl/>
        </w:rPr>
        <w:t xml:space="preserve">: </w:t>
      </w:r>
      <w:r w:rsidRPr="00904FCB">
        <w:rPr>
          <w:rFonts w:hint="cs"/>
          <w:sz w:val="27"/>
          <w:rtl/>
        </w:rPr>
        <w:t>وهي</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أهمّ</w:t>
      </w:r>
      <w:r w:rsidR="00F34D09" w:rsidRPr="00904FCB">
        <w:rPr>
          <w:rFonts w:hint="cs"/>
          <w:sz w:val="27"/>
          <w:rtl/>
        </w:rPr>
        <w:t>ِ</w:t>
      </w:r>
      <w:r w:rsidRPr="00904FCB">
        <w:rPr>
          <w:rFonts w:hint="cs"/>
          <w:sz w:val="27"/>
          <w:rtl/>
        </w:rPr>
        <w:t>ها، ما</w:t>
      </w:r>
      <w:r w:rsidRPr="00904FCB">
        <w:rPr>
          <w:sz w:val="27"/>
          <w:rtl/>
        </w:rPr>
        <w:t xml:space="preserve"> </w:t>
      </w:r>
      <w:r w:rsidRPr="00904FCB">
        <w:rPr>
          <w:rFonts w:hint="cs"/>
          <w:sz w:val="27"/>
          <w:rtl/>
        </w:rPr>
        <w:t>رواه</w:t>
      </w:r>
      <w:r w:rsidRPr="00904FCB">
        <w:rPr>
          <w:sz w:val="27"/>
          <w:rtl/>
        </w:rPr>
        <w:t xml:space="preserve"> </w:t>
      </w:r>
      <w:r w:rsidRPr="00904FCB">
        <w:rPr>
          <w:rFonts w:hint="cs"/>
          <w:sz w:val="27"/>
          <w:rtl/>
        </w:rPr>
        <w:t>الكليني</w:t>
      </w:r>
      <w:r w:rsidRPr="00904FCB">
        <w:rPr>
          <w:sz w:val="27"/>
          <w:rtl/>
        </w:rPr>
        <w:t xml:space="preserve"> </w:t>
      </w:r>
      <w:r w:rsidRPr="00904FCB">
        <w:rPr>
          <w:rFonts w:hint="cs"/>
          <w:sz w:val="27"/>
          <w:rtl/>
        </w:rPr>
        <w:t>أيضاً، وهو</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الوسائل</w:t>
      </w:r>
      <w:r w:rsidRPr="00904FCB">
        <w:rPr>
          <w:sz w:val="27"/>
          <w:rtl/>
        </w:rPr>
        <w:t xml:space="preserve">: </w:t>
      </w:r>
      <w:r w:rsidRPr="00904FCB">
        <w:rPr>
          <w:rFonts w:hint="eastAsia"/>
          <w:sz w:val="27"/>
          <w:rtl/>
        </w:rPr>
        <w:t>«</w:t>
      </w:r>
      <w:r w:rsidRPr="00904FCB">
        <w:rPr>
          <w:rFonts w:hint="cs"/>
          <w:sz w:val="27"/>
          <w:rtl/>
        </w:rPr>
        <w:t>وعَنْ</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أَصْحَابِنَا</w:t>
      </w:r>
      <w:r w:rsidR="00F34D0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جُمْهُورٍ</w:t>
      </w:r>
      <w:r w:rsidR="00F34D0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مُحَمَّدِ</w:t>
      </w:r>
      <w:r w:rsidRPr="00904FCB">
        <w:rPr>
          <w:sz w:val="27"/>
          <w:rtl/>
        </w:rPr>
        <w:t xml:space="preserve"> </w:t>
      </w:r>
      <w:r w:rsidRPr="00904FCB">
        <w:rPr>
          <w:rFonts w:hint="cs"/>
          <w:sz w:val="27"/>
          <w:rtl/>
        </w:rPr>
        <w:t>بْنِ</w:t>
      </w:r>
      <w:r w:rsidRPr="00904FCB">
        <w:rPr>
          <w:sz w:val="27"/>
          <w:rtl/>
        </w:rPr>
        <w:t xml:space="preserve"> </w:t>
      </w:r>
      <w:r w:rsidRPr="00904FCB">
        <w:rPr>
          <w:rFonts w:hint="cs"/>
          <w:sz w:val="27"/>
          <w:rtl/>
        </w:rPr>
        <w:t>الْقَاسِمِ</w:t>
      </w:r>
      <w:r w:rsidR="00F34D0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ابْنِ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يَعْفُورٍ</w:t>
      </w:r>
      <w:r w:rsidR="00F34D09" w:rsidRPr="00904FCB">
        <w:rPr>
          <w:rFonts w:hint="cs"/>
          <w:sz w:val="27"/>
          <w:rtl/>
        </w:rPr>
        <w:t>،</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أَبِي</w:t>
      </w:r>
      <w:r w:rsidRPr="00904FCB">
        <w:rPr>
          <w:sz w:val="27"/>
          <w:rtl/>
        </w:rPr>
        <w:t xml:space="preserve"> </w:t>
      </w:r>
      <w:r w:rsidRPr="00904FCB">
        <w:rPr>
          <w:rFonts w:hint="cs"/>
          <w:sz w:val="27"/>
          <w:rtl/>
        </w:rPr>
        <w:t>عَبْدِ</w:t>
      </w:r>
      <w:r w:rsidRPr="00904FCB">
        <w:rPr>
          <w:sz w:val="27"/>
          <w:rtl/>
        </w:rPr>
        <w:t xml:space="preserve"> </w:t>
      </w:r>
      <w:r w:rsidRPr="00904FCB">
        <w:rPr>
          <w:rFonts w:hint="cs"/>
          <w:sz w:val="27"/>
          <w:rtl/>
        </w:rPr>
        <w:t>اللهِ</w:t>
      </w:r>
      <w:r w:rsidR="001C1A2A" w:rsidRPr="00904FCB">
        <w:rPr>
          <w:rFonts w:cs="Mosawi" w:hint="cs"/>
          <w:sz w:val="27"/>
          <w:szCs w:val="22"/>
          <w:rtl/>
        </w:rPr>
        <w:t>×</w:t>
      </w:r>
      <w:r w:rsidRPr="00904FCB">
        <w:rPr>
          <w:sz w:val="27"/>
          <w:rtl/>
        </w:rPr>
        <w:t xml:space="preserve"> </w:t>
      </w:r>
      <w:r w:rsidRPr="00904FCB">
        <w:rPr>
          <w:rFonts w:hint="cs"/>
          <w:sz w:val="27"/>
          <w:rtl/>
        </w:rPr>
        <w:t>قَالَ</w:t>
      </w:r>
      <w:r w:rsidR="00F34D09" w:rsidRPr="00904FCB">
        <w:rPr>
          <w:rFonts w:hint="cs"/>
          <w:sz w:val="27"/>
          <w:rtl/>
        </w:rPr>
        <w:t>:</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تَغْتَسِلْ</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الْبِئْرِ</w:t>
      </w:r>
      <w:r w:rsidRPr="00904FCB">
        <w:rPr>
          <w:sz w:val="27"/>
          <w:rtl/>
        </w:rPr>
        <w:t xml:space="preserve"> </w:t>
      </w:r>
      <w:r w:rsidRPr="00904FCB">
        <w:rPr>
          <w:rFonts w:hint="cs"/>
          <w:sz w:val="27"/>
          <w:rtl/>
        </w:rPr>
        <w:t>الَّتِي</w:t>
      </w:r>
      <w:r w:rsidRPr="00904FCB">
        <w:rPr>
          <w:sz w:val="27"/>
          <w:rtl/>
        </w:rPr>
        <w:t xml:space="preserve"> </w:t>
      </w:r>
      <w:r w:rsidRPr="00904FCB">
        <w:rPr>
          <w:rFonts w:hint="cs"/>
          <w:sz w:val="27"/>
          <w:rtl/>
        </w:rPr>
        <w:t>تَجْتَمِعُ</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الْحَمَّامِ</w:t>
      </w:r>
      <w:r w:rsidR="00F34D09" w:rsidRPr="00904FCB">
        <w:rPr>
          <w:rFonts w:hint="cs"/>
          <w:sz w:val="27"/>
          <w:rtl/>
        </w:rPr>
        <w:t>؛</w:t>
      </w:r>
      <w:r w:rsidRPr="00904FCB">
        <w:rPr>
          <w:sz w:val="27"/>
          <w:rtl/>
        </w:rPr>
        <w:t xml:space="preserve"> </w:t>
      </w:r>
      <w:r w:rsidRPr="00904FCB">
        <w:rPr>
          <w:rFonts w:hint="cs"/>
          <w:sz w:val="27"/>
          <w:rtl/>
        </w:rPr>
        <w:t>فَإِنَّ</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وَلَدِ</w:t>
      </w:r>
      <w:r w:rsidRPr="00904FCB">
        <w:rPr>
          <w:sz w:val="27"/>
          <w:rtl/>
        </w:rPr>
        <w:t xml:space="preserve"> </w:t>
      </w:r>
      <w:r w:rsidRPr="00904FCB">
        <w:rPr>
          <w:rFonts w:hint="cs"/>
          <w:sz w:val="27"/>
          <w:rtl/>
        </w:rPr>
        <w:t>الزِّنَا</w:t>
      </w:r>
      <w:r w:rsidR="00F34D09" w:rsidRPr="00904FCB">
        <w:rPr>
          <w:rFonts w:hint="cs"/>
          <w:sz w:val="27"/>
          <w:rtl/>
        </w:rPr>
        <w:t>،</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يَطْهُرُ</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سَبْعَةِ</w:t>
      </w:r>
      <w:r w:rsidRPr="00904FCB">
        <w:rPr>
          <w:sz w:val="27"/>
          <w:rtl/>
        </w:rPr>
        <w:t xml:space="preserve"> </w:t>
      </w:r>
      <w:r w:rsidRPr="00904FCB">
        <w:rPr>
          <w:rFonts w:hint="cs"/>
          <w:sz w:val="27"/>
          <w:rtl/>
        </w:rPr>
        <w:t>آبَاءٍ</w:t>
      </w:r>
      <w:r w:rsidR="00F34D09" w:rsidRPr="00904FCB">
        <w:rPr>
          <w:rFonts w:hint="cs"/>
          <w:sz w:val="27"/>
          <w:rtl/>
        </w:rPr>
        <w:t>؛</w:t>
      </w:r>
      <w:r w:rsidRPr="00904FCB">
        <w:rPr>
          <w:sz w:val="27"/>
          <w:rtl/>
        </w:rPr>
        <w:t xml:space="preserve"> </w:t>
      </w:r>
      <w:r w:rsidRPr="00904FCB">
        <w:rPr>
          <w:rFonts w:hint="cs"/>
          <w:sz w:val="27"/>
          <w:rtl/>
        </w:rPr>
        <w:t>وفِيهَا</w:t>
      </w:r>
      <w:r w:rsidRPr="00904FCB">
        <w:rPr>
          <w:sz w:val="27"/>
          <w:rtl/>
        </w:rPr>
        <w:t xml:space="preserve"> </w:t>
      </w:r>
      <w:r w:rsidRPr="00904FCB">
        <w:rPr>
          <w:rFonts w:hint="cs"/>
          <w:sz w:val="27"/>
          <w:rtl/>
        </w:rPr>
        <w:t>غُسَالَةُ</w:t>
      </w:r>
      <w:r w:rsidRPr="00904FCB">
        <w:rPr>
          <w:sz w:val="27"/>
          <w:rtl/>
        </w:rPr>
        <w:t xml:space="preserve"> </w:t>
      </w:r>
      <w:r w:rsidRPr="00904FCB">
        <w:rPr>
          <w:rFonts w:hint="cs"/>
          <w:sz w:val="27"/>
          <w:rtl/>
        </w:rPr>
        <w:t>النَّاصِبِ</w:t>
      </w:r>
      <w:r w:rsidR="00F34D09" w:rsidRPr="00904FCB">
        <w:rPr>
          <w:rFonts w:hint="cs"/>
          <w:sz w:val="27"/>
          <w:rtl/>
        </w:rPr>
        <w:t>،</w:t>
      </w:r>
      <w:r w:rsidRPr="00904FCB">
        <w:rPr>
          <w:sz w:val="27"/>
          <w:rtl/>
        </w:rPr>
        <w:t xml:space="preserve"> </w:t>
      </w:r>
      <w:r w:rsidRPr="00904FCB">
        <w:rPr>
          <w:rFonts w:hint="cs"/>
          <w:sz w:val="27"/>
          <w:rtl/>
        </w:rPr>
        <w:t>وهُوَ</w:t>
      </w:r>
      <w:r w:rsidRPr="00904FCB">
        <w:rPr>
          <w:sz w:val="27"/>
          <w:rtl/>
        </w:rPr>
        <w:t xml:space="preserve"> </w:t>
      </w:r>
      <w:r w:rsidRPr="00904FCB">
        <w:rPr>
          <w:rFonts w:hint="cs"/>
          <w:sz w:val="27"/>
          <w:rtl/>
        </w:rPr>
        <w:t>شَرُّهُمَا</w:t>
      </w:r>
      <w:r w:rsidR="00F34D09" w:rsidRPr="00904FCB">
        <w:rPr>
          <w:rFonts w:hint="cs"/>
          <w:sz w:val="27"/>
          <w:rtl/>
        </w:rPr>
        <w:t>،</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لَمْ</w:t>
      </w:r>
      <w:r w:rsidRPr="00904FCB">
        <w:rPr>
          <w:sz w:val="27"/>
          <w:rtl/>
        </w:rPr>
        <w:t xml:space="preserve"> </w:t>
      </w:r>
      <w:r w:rsidRPr="00904FCB">
        <w:rPr>
          <w:rFonts w:hint="cs"/>
          <w:sz w:val="27"/>
          <w:rtl/>
        </w:rPr>
        <w:t>يَخْلُقْ</w:t>
      </w:r>
      <w:r w:rsidRPr="00904FCB">
        <w:rPr>
          <w:sz w:val="27"/>
          <w:rtl/>
        </w:rPr>
        <w:t xml:space="preserve"> </w:t>
      </w:r>
      <w:r w:rsidRPr="00904FCB">
        <w:rPr>
          <w:rFonts w:hint="cs"/>
          <w:sz w:val="27"/>
          <w:rtl/>
        </w:rPr>
        <w:t>خَلْقاً</w:t>
      </w:r>
      <w:r w:rsidRPr="00904FCB">
        <w:rPr>
          <w:sz w:val="27"/>
          <w:rtl/>
        </w:rPr>
        <w:t xml:space="preserve"> </w:t>
      </w:r>
      <w:r w:rsidRPr="00904FCB">
        <w:rPr>
          <w:rFonts w:hint="cs"/>
          <w:sz w:val="27"/>
          <w:rtl/>
        </w:rPr>
        <w:t>شَرّاً</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الْكَلْبِ</w:t>
      </w:r>
      <w:r w:rsidR="00F34D09" w:rsidRPr="00904FCB">
        <w:rPr>
          <w:rFonts w:hint="cs"/>
          <w:sz w:val="27"/>
          <w:rtl/>
        </w:rPr>
        <w:t>،</w:t>
      </w:r>
      <w:r w:rsidRPr="00904FCB">
        <w:rPr>
          <w:sz w:val="27"/>
          <w:rtl/>
        </w:rPr>
        <w:t xml:space="preserve"> </w:t>
      </w:r>
      <w:r w:rsidRPr="00904FCB">
        <w:rPr>
          <w:rFonts w:hint="cs"/>
          <w:sz w:val="27"/>
          <w:rtl/>
        </w:rPr>
        <w:t>وإِنَّ</w:t>
      </w:r>
      <w:r w:rsidRPr="00904FCB">
        <w:rPr>
          <w:sz w:val="27"/>
          <w:rtl/>
        </w:rPr>
        <w:t xml:space="preserve"> </w:t>
      </w:r>
      <w:r w:rsidRPr="00904FCB">
        <w:rPr>
          <w:rFonts w:hint="cs"/>
          <w:sz w:val="27"/>
          <w:rtl/>
        </w:rPr>
        <w:t>النَّاصِبَ</w:t>
      </w:r>
      <w:r w:rsidRPr="00904FCB">
        <w:rPr>
          <w:sz w:val="27"/>
          <w:rtl/>
        </w:rPr>
        <w:t xml:space="preserve"> </w:t>
      </w:r>
      <w:r w:rsidRPr="00904FCB">
        <w:rPr>
          <w:rFonts w:hint="cs"/>
          <w:sz w:val="27"/>
          <w:rtl/>
        </w:rPr>
        <w:t>أَهْوَنُ</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الْكَلْبِ</w:t>
      </w:r>
      <w:r w:rsidRPr="00904FCB">
        <w:rPr>
          <w:rFonts w:hint="eastAsia"/>
          <w:sz w:val="27"/>
          <w:rtl/>
        </w:rPr>
        <w:t>»</w:t>
      </w:r>
      <w:r w:rsidRPr="00904FCB">
        <w:rPr>
          <w:rFonts w:hint="cs"/>
          <w:sz w:val="27"/>
          <w:vertAlign w:val="superscript"/>
          <w:rtl/>
        </w:rPr>
        <w:t>(</w:t>
      </w:r>
      <w:r w:rsidRPr="00904FCB">
        <w:rPr>
          <w:rStyle w:val="ac"/>
          <w:sz w:val="27"/>
          <w:rtl/>
        </w:rPr>
        <w:endnoteReference w:id="699"/>
      </w:r>
      <w:r w:rsidRPr="00904FCB">
        <w:rPr>
          <w:rFonts w:hint="cs"/>
          <w:sz w:val="27"/>
          <w:vertAlign w:val="superscript"/>
          <w:rtl/>
        </w:rPr>
        <w:t>)</w:t>
      </w:r>
      <w:r w:rsidRPr="00904FCB">
        <w:rPr>
          <w:rFonts w:hint="cs"/>
          <w:sz w:val="27"/>
          <w:rtl/>
        </w:rPr>
        <w:t xml:space="preserve">. </w:t>
      </w:r>
    </w:p>
    <w:p w:rsidR="00F34FB9" w:rsidRPr="00904FCB" w:rsidRDefault="00F34FB9" w:rsidP="00F636E3">
      <w:pPr>
        <w:spacing w:line="410" w:lineRule="exact"/>
        <w:rPr>
          <w:sz w:val="27"/>
          <w:rtl/>
        </w:rPr>
      </w:pPr>
      <w:r w:rsidRPr="00904FCB">
        <w:rPr>
          <w:rFonts w:hint="cs"/>
          <w:sz w:val="27"/>
          <w:rtl/>
        </w:rPr>
        <w:t>فإنّ</w:t>
      </w:r>
      <w:r w:rsidRPr="00904FCB">
        <w:rPr>
          <w:sz w:val="27"/>
          <w:rtl/>
        </w:rPr>
        <w:t xml:space="preserve"> </w:t>
      </w:r>
      <w:r w:rsidRPr="00904FCB">
        <w:rPr>
          <w:rFonts w:hint="cs"/>
          <w:sz w:val="27"/>
          <w:rtl/>
        </w:rPr>
        <w:t>التعبير</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ولد</w:t>
      </w:r>
      <w:r w:rsidRPr="00904FCB">
        <w:rPr>
          <w:sz w:val="27"/>
          <w:rtl/>
        </w:rPr>
        <w:t xml:space="preserve"> </w:t>
      </w:r>
      <w:r w:rsidRPr="00904FCB">
        <w:rPr>
          <w:rFonts w:hint="cs"/>
          <w:sz w:val="27"/>
          <w:rtl/>
        </w:rPr>
        <w:t>الزنا</w:t>
      </w:r>
      <w:r w:rsidRPr="00904FCB">
        <w:rPr>
          <w:sz w:val="27"/>
          <w:rtl/>
        </w:rPr>
        <w:t xml:space="preserve"> </w:t>
      </w:r>
      <w:r w:rsidRPr="00904FCB">
        <w:rPr>
          <w:rFonts w:hint="cs"/>
          <w:sz w:val="27"/>
          <w:rtl/>
        </w:rPr>
        <w:t>بأنّه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يطهر</w:t>
      </w:r>
      <w:r w:rsidRPr="00904FCB">
        <w:rPr>
          <w:sz w:val="27"/>
          <w:rtl/>
        </w:rPr>
        <w:t xml:space="preserve"> </w:t>
      </w:r>
      <w:r w:rsidRPr="00904FCB">
        <w:rPr>
          <w:rFonts w:hint="cs"/>
          <w:sz w:val="27"/>
          <w:rtl/>
        </w:rPr>
        <w:t>إلى</w:t>
      </w:r>
      <w:r w:rsidRPr="00904FCB">
        <w:rPr>
          <w:sz w:val="27"/>
          <w:rtl/>
        </w:rPr>
        <w:t xml:space="preserve"> </w:t>
      </w:r>
      <w:r w:rsidRPr="00904FCB">
        <w:rPr>
          <w:rFonts w:hint="cs"/>
          <w:sz w:val="27"/>
          <w:rtl/>
        </w:rPr>
        <w:t>سبعة</w:t>
      </w:r>
      <w:r w:rsidRPr="00904FCB">
        <w:rPr>
          <w:sz w:val="27"/>
          <w:rtl/>
        </w:rPr>
        <w:t xml:space="preserve"> </w:t>
      </w:r>
      <w:r w:rsidRPr="00904FCB">
        <w:rPr>
          <w:rFonts w:hint="cs"/>
          <w:sz w:val="27"/>
          <w:rtl/>
        </w:rPr>
        <w:t>آباء</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w:t>
      </w:r>
      <w:r w:rsidR="00F34D09" w:rsidRPr="00904FCB">
        <w:rPr>
          <w:rFonts w:hint="cs"/>
          <w:sz w:val="27"/>
          <w:rtl/>
        </w:rPr>
        <w:t>ُ</w:t>
      </w:r>
      <w:r w:rsidRPr="00904FCB">
        <w:rPr>
          <w:rFonts w:hint="cs"/>
          <w:sz w:val="27"/>
          <w:rtl/>
        </w:rPr>
        <w:t>راد</w:t>
      </w:r>
      <w:r w:rsidRPr="00904FCB">
        <w:rPr>
          <w:sz w:val="27"/>
          <w:rtl/>
        </w:rPr>
        <w:t xml:space="preserve"> </w:t>
      </w:r>
      <w:r w:rsidRPr="00904FCB">
        <w:rPr>
          <w:rFonts w:hint="cs"/>
          <w:sz w:val="27"/>
          <w:rtl/>
        </w:rPr>
        <w:t>منه</w:t>
      </w:r>
      <w:r w:rsidRPr="00904FCB">
        <w:rPr>
          <w:sz w:val="27"/>
          <w:rtl/>
        </w:rPr>
        <w:t xml:space="preserve"> </w:t>
      </w:r>
      <w:r w:rsidRPr="00904FCB">
        <w:rPr>
          <w:rFonts w:hint="cs"/>
          <w:sz w:val="27"/>
          <w:rtl/>
        </w:rPr>
        <w:t>فقهيّاً</w:t>
      </w:r>
      <w:r w:rsidRPr="00904FCB">
        <w:rPr>
          <w:sz w:val="27"/>
          <w:rtl/>
        </w:rPr>
        <w:t xml:space="preserve"> </w:t>
      </w:r>
      <w:r w:rsidRPr="00904FCB">
        <w:rPr>
          <w:rFonts w:hint="cs"/>
          <w:sz w:val="27"/>
          <w:rtl/>
        </w:rPr>
        <w:t>الطهارة</w:t>
      </w:r>
      <w:r w:rsidRPr="00904FCB">
        <w:rPr>
          <w:sz w:val="27"/>
          <w:rtl/>
        </w:rPr>
        <w:t xml:space="preserve"> </w:t>
      </w:r>
      <w:r w:rsidRPr="00904FCB">
        <w:rPr>
          <w:rFonts w:hint="cs"/>
          <w:sz w:val="27"/>
          <w:rtl/>
        </w:rPr>
        <w:t>الماديّة</w:t>
      </w:r>
      <w:r w:rsidRPr="00904FCB">
        <w:rPr>
          <w:sz w:val="27"/>
          <w:rtl/>
        </w:rPr>
        <w:t xml:space="preserve"> </w:t>
      </w:r>
      <w:r w:rsidRPr="00904FCB">
        <w:rPr>
          <w:rFonts w:hint="cs"/>
          <w:sz w:val="27"/>
          <w:rtl/>
        </w:rPr>
        <w:t>المصطلحة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كتاب</w:t>
      </w:r>
      <w:r w:rsidRPr="00904FCB">
        <w:rPr>
          <w:sz w:val="27"/>
          <w:rtl/>
        </w:rPr>
        <w:t xml:space="preserve"> </w:t>
      </w:r>
      <w:r w:rsidRPr="00904FCB">
        <w:rPr>
          <w:rFonts w:hint="cs"/>
          <w:sz w:val="27"/>
          <w:rtl/>
        </w:rPr>
        <w:t>الطهارة، وعليه</w:t>
      </w:r>
      <w:r w:rsidRPr="00904FCB">
        <w:rPr>
          <w:sz w:val="27"/>
          <w:rtl/>
        </w:rPr>
        <w:t xml:space="preserve"> </w:t>
      </w:r>
      <w:r w:rsidRPr="00904FCB">
        <w:rPr>
          <w:rFonts w:hint="cs"/>
          <w:sz w:val="27"/>
          <w:rtl/>
        </w:rPr>
        <w:t>فلا</w:t>
      </w:r>
      <w:r w:rsidRPr="00904FCB">
        <w:rPr>
          <w:sz w:val="27"/>
          <w:rtl/>
        </w:rPr>
        <w:t xml:space="preserve"> </w:t>
      </w:r>
      <w:r w:rsidRPr="00904FCB">
        <w:rPr>
          <w:rFonts w:hint="cs"/>
          <w:sz w:val="27"/>
          <w:rtl/>
        </w:rPr>
        <w:t>ي</w:t>
      </w:r>
      <w:r w:rsidR="00F34D09" w:rsidRPr="00904FCB">
        <w:rPr>
          <w:rFonts w:hint="cs"/>
          <w:sz w:val="27"/>
          <w:rtl/>
        </w:rPr>
        <w:t>ُ</w:t>
      </w:r>
      <w:r w:rsidRPr="00904FCB">
        <w:rPr>
          <w:rFonts w:hint="cs"/>
          <w:sz w:val="27"/>
          <w:rtl/>
        </w:rPr>
        <w:t>راد</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يقابل</w:t>
      </w:r>
      <w:r w:rsidRPr="00904FCB">
        <w:rPr>
          <w:sz w:val="27"/>
          <w:rtl/>
        </w:rPr>
        <w:t xml:space="preserve"> </w:t>
      </w:r>
      <w:r w:rsidRPr="00904FCB">
        <w:rPr>
          <w:rFonts w:hint="cs"/>
          <w:sz w:val="27"/>
          <w:rtl/>
        </w:rPr>
        <w:t>الطهارة</w:t>
      </w:r>
      <w:r w:rsidRPr="00904FCB">
        <w:rPr>
          <w:sz w:val="27"/>
          <w:rtl/>
        </w:rPr>
        <w:t xml:space="preserve"> </w:t>
      </w:r>
      <w:r w:rsidRPr="00904FCB">
        <w:rPr>
          <w:rFonts w:hint="cs"/>
          <w:sz w:val="27"/>
          <w:rtl/>
        </w:rPr>
        <w:t>المصطلحة، بل</w:t>
      </w:r>
      <w:r w:rsidRPr="00904FCB">
        <w:rPr>
          <w:sz w:val="27"/>
          <w:rtl/>
        </w:rPr>
        <w:t xml:space="preserve"> </w:t>
      </w:r>
      <w:r w:rsidRPr="00904FCB">
        <w:rPr>
          <w:rFonts w:hint="cs"/>
          <w:sz w:val="27"/>
          <w:rtl/>
        </w:rPr>
        <w:t>الأعمّ، وتكون</w:t>
      </w:r>
      <w:r w:rsidRPr="00904FCB">
        <w:rPr>
          <w:sz w:val="27"/>
          <w:rtl/>
        </w:rPr>
        <w:t xml:space="preserve"> </w:t>
      </w:r>
      <w:r w:rsidRPr="00904FCB">
        <w:rPr>
          <w:rFonts w:hint="cs"/>
          <w:sz w:val="27"/>
          <w:rtl/>
        </w:rPr>
        <w:t>أنجسيّة</w:t>
      </w:r>
      <w:r w:rsidRPr="00904FCB">
        <w:rPr>
          <w:sz w:val="27"/>
          <w:rtl/>
        </w:rPr>
        <w:t xml:space="preserve"> </w:t>
      </w:r>
      <w:r w:rsidRPr="00904FCB">
        <w:rPr>
          <w:rFonts w:hint="cs"/>
          <w:sz w:val="27"/>
          <w:rtl/>
        </w:rPr>
        <w:t>الناصب</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الذي</w:t>
      </w:r>
      <w:r w:rsidRPr="00904FCB">
        <w:rPr>
          <w:sz w:val="27"/>
          <w:rtl/>
        </w:rPr>
        <w:t xml:space="preserve"> </w:t>
      </w:r>
      <w:r w:rsidRPr="00904FCB">
        <w:rPr>
          <w:rFonts w:hint="cs"/>
          <w:sz w:val="27"/>
          <w:rtl/>
        </w:rPr>
        <w:t>عبّر</w:t>
      </w:r>
      <w:r w:rsidRPr="00904FCB">
        <w:rPr>
          <w:sz w:val="27"/>
          <w:rtl/>
        </w:rPr>
        <w:t xml:space="preserve"> </w:t>
      </w:r>
      <w:r w:rsidRPr="00904FCB">
        <w:rPr>
          <w:rFonts w:hint="cs"/>
          <w:sz w:val="27"/>
          <w:rtl/>
        </w:rPr>
        <w:t>عنه</w:t>
      </w:r>
      <w:r w:rsidRPr="00904FCB">
        <w:rPr>
          <w:sz w:val="27"/>
          <w:rtl/>
        </w:rPr>
        <w:t xml:space="preserve"> </w:t>
      </w:r>
      <w:r w:rsidRPr="00904FCB">
        <w:rPr>
          <w:rFonts w:hint="cs"/>
          <w:sz w:val="27"/>
          <w:rtl/>
        </w:rPr>
        <w:t>بأنّه</w:t>
      </w:r>
      <w:r w:rsidRPr="00904FCB">
        <w:rPr>
          <w:sz w:val="27"/>
          <w:rtl/>
        </w:rPr>
        <w:t xml:space="preserve"> </w:t>
      </w:r>
      <w:r w:rsidRPr="00904FCB">
        <w:rPr>
          <w:rFonts w:hint="cs"/>
          <w:sz w:val="27"/>
          <w:rtl/>
        </w:rPr>
        <w:t>شرّ</w:t>
      </w:r>
      <w:r w:rsidR="00F34D09" w:rsidRPr="00904FCB">
        <w:rPr>
          <w:rFonts w:hint="cs"/>
          <w:sz w:val="27"/>
          <w:rtl/>
        </w:rPr>
        <w:t>ُ</w:t>
      </w:r>
      <w:r w:rsidRPr="00904FCB">
        <w:rPr>
          <w:rFonts w:hint="cs"/>
          <w:sz w:val="27"/>
          <w:rtl/>
        </w:rPr>
        <w:t>هم</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بنفس</w:t>
      </w:r>
      <w:r w:rsidRPr="00904FCB">
        <w:rPr>
          <w:sz w:val="27"/>
          <w:rtl/>
        </w:rPr>
        <w:t xml:space="preserve"> </w:t>
      </w:r>
      <w:r w:rsidRPr="00904FCB">
        <w:rPr>
          <w:rFonts w:hint="cs"/>
          <w:sz w:val="27"/>
          <w:rtl/>
        </w:rPr>
        <w:t>المعنى</w:t>
      </w:r>
      <w:r w:rsidRPr="00904FCB">
        <w:rPr>
          <w:sz w:val="27"/>
          <w:rtl/>
        </w:rPr>
        <w:t xml:space="preserve">. </w:t>
      </w:r>
    </w:p>
    <w:p w:rsidR="00F34FB9" w:rsidRPr="00904FCB" w:rsidRDefault="00F34FB9" w:rsidP="00B2457B">
      <w:pPr>
        <w:spacing w:line="400" w:lineRule="exact"/>
        <w:rPr>
          <w:sz w:val="27"/>
          <w:rtl/>
        </w:rPr>
      </w:pPr>
      <w:r w:rsidRPr="00904FCB">
        <w:rPr>
          <w:rFonts w:hint="cs"/>
          <w:sz w:val="27"/>
          <w:rtl/>
        </w:rPr>
        <w:t>أقول</w:t>
      </w:r>
      <w:r w:rsidR="00F34D09" w:rsidRPr="00904FCB">
        <w:rPr>
          <w:rFonts w:hint="cs"/>
          <w:sz w:val="27"/>
          <w:rtl/>
        </w:rPr>
        <w:t>:</w:t>
      </w:r>
      <w:r w:rsidRPr="00904FCB">
        <w:rPr>
          <w:sz w:val="27"/>
          <w:rtl/>
        </w:rPr>
        <w:t xml:space="preserve"> </w:t>
      </w:r>
      <w:r w:rsidRPr="00904FCB">
        <w:rPr>
          <w:rFonts w:hint="cs"/>
          <w:sz w:val="27"/>
          <w:rtl/>
        </w:rPr>
        <w:t>بعد</w:t>
      </w:r>
      <w:r w:rsidRPr="00904FCB">
        <w:rPr>
          <w:sz w:val="27"/>
          <w:rtl/>
        </w:rPr>
        <w:t xml:space="preserve"> </w:t>
      </w:r>
      <w:r w:rsidRPr="00904FCB">
        <w:rPr>
          <w:rFonts w:hint="cs"/>
          <w:sz w:val="27"/>
          <w:rtl/>
        </w:rPr>
        <w:t>كلّ</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تقدّم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الروايات</w:t>
      </w:r>
      <w:r w:rsidR="00F34D09" w:rsidRPr="00904FCB">
        <w:rPr>
          <w:rFonts w:hint="cs"/>
          <w:sz w:val="27"/>
          <w:rtl/>
        </w:rPr>
        <w:t xml:space="preserve"> </w:t>
      </w:r>
      <w:r w:rsidRPr="00904FCB">
        <w:rPr>
          <w:rFonts w:hint="cs"/>
          <w:sz w:val="27"/>
          <w:rtl/>
        </w:rPr>
        <w:t>لا</w:t>
      </w:r>
      <w:r w:rsidRPr="00904FCB">
        <w:rPr>
          <w:sz w:val="27"/>
          <w:rtl/>
        </w:rPr>
        <w:t xml:space="preserve"> </w:t>
      </w:r>
      <w:r w:rsidRPr="00904FCB">
        <w:rPr>
          <w:rFonts w:hint="cs"/>
          <w:sz w:val="27"/>
          <w:rtl/>
        </w:rPr>
        <w:t>ش</w:t>
      </w:r>
      <w:r w:rsidR="00F34D09" w:rsidRPr="00904FCB">
        <w:rPr>
          <w:rFonts w:hint="cs"/>
          <w:sz w:val="27"/>
          <w:rtl/>
        </w:rPr>
        <w:t>َ</w:t>
      </w:r>
      <w:r w:rsidRPr="00904FCB">
        <w:rPr>
          <w:rFonts w:hint="cs"/>
          <w:sz w:val="27"/>
          <w:rtl/>
        </w:rPr>
        <w:t>ك</w:t>
      </w:r>
      <w:r w:rsidR="00F34D09" w:rsidRPr="00904FCB">
        <w:rPr>
          <w:rFonts w:hint="cs"/>
          <w:sz w:val="27"/>
          <w:rtl/>
        </w:rPr>
        <w:t>َّ</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إجمال</w:t>
      </w:r>
      <w:r w:rsidRPr="00904FCB">
        <w:rPr>
          <w:sz w:val="27"/>
          <w:rtl/>
        </w:rPr>
        <w:t xml:space="preserve"> </w:t>
      </w:r>
      <w:r w:rsidRPr="00904FCB">
        <w:rPr>
          <w:rFonts w:hint="cs"/>
          <w:sz w:val="27"/>
          <w:rtl/>
        </w:rPr>
        <w:t>الكلام</w:t>
      </w:r>
      <w:r w:rsidRPr="00904FCB">
        <w:rPr>
          <w:sz w:val="27"/>
          <w:rtl/>
        </w:rPr>
        <w:t xml:space="preserve"> </w:t>
      </w:r>
      <w:r w:rsidRPr="00904FCB">
        <w:rPr>
          <w:rFonts w:hint="cs"/>
          <w:sz w:val="27"/>
          <w:rtl/>
        </w:rPr>
        <w:t>هنا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روايتنا</w:t>
      </w:r>
      <w:r w:rsidRPr="00904FCB">
        <w:rPr>
          <w:sz w:val="27"/>
          <w:rtl/>
        </w:rPr>
        <w:t xml:space="preserve"> </w:t>
      </w:r>
      <w:r w:rsidRPr="00904FCB">
        <w:rPr>
          <w:rFonts w:hint="cs"/>
          <w:sz w:val="27"/>
          <w:rtl/>
        </w:rPr>
        <w:lastRenderedPageBreak/>
        <w:t>المبحوث</w:t>
      </w:r>
      <w:r w:rsidRPr="00904FCB">
        <w:rPr>
          <w:sz w:val="27"/>
          <w:rtl/>
        </w:rPr>
        <w:t xml:space="preserve"> </w:t>
      </w:r>
      <w:r w:rsidRPr="00904FCB">
        <w:rPr>
          <w:rFonts w:hint="cs"/>
          <w:sz w:val="27"/>
          <w:rtl/>
        </w:rPr>
        <w:t>عنها؛ من</w:t>
      </w:r>
      <w:r w:rsidRPr="00904FCB">
        <w:rPr>
          <w:sz w:val="27"/>
          <w:rtl/>
        </w:rPr>
        <w:t xml:space="preserve"> </w:t>
      </w:r>
      <w:r w:rsidRPr="00904FCB">
        <w:rPr>
          <w:rFonts w:hint="cs"/>
          <w:sz w:val="27"/>
          <w:rtl/>
        </w:rPr>
        <w:t>جهة</w:t>
      </w:r>
      <w:r w:rsidRPr="00904FCB">
        <w:rPr>
          <w:sz w:val="27"/>
          <w:rtl/>
        </w:rPr>
        <w:t xml:space="preserve"> </w:t>
      </w:r>
      <w:r w:rsidRPr="00904FCB">
        <w:rPr>
          <w:rFonts w:hint="cs"/>
          <w:sz w:val="27"/>
          <w:rtl/>
        </w:rPr>
        <w:t>حمل</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الماديّة</w:t>
      </w:r>
      <w:r w:rsidRPr="00904FCB">
        <w:rPr>
          <w:sz w:val="27"/>
          <w:rtl/>
        </w:rPr>
        <w:t xml:space="preserve"> </w:t>
      </w:r>
      <w:r w:rsidRPr="00904FCB">
        <w:rPr>
          <w:rFonts w:hint="cs"/>
          <w:sz w:val="27"/>
          <w:rtl/>
        </w:rPr>
        <w:t>الخاصّة</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باب</w:t>
      </w:r>
      <w:r w:rsidRPr="00904FCB">
        <w:rPr>
          <w:sz w:val="27"/>
          <w:rtl/>
        </w:rPr>
        <w:t xml:space="preserve"> </w:t>
      </w:r>
      <w:r w:rsidRPr="00904FCB">
        <w:rPr>
          <w:rFonts w:hint="cs"/>
          <w:sz w:val="27"/>
          <w:rtl/>
        </w:rPr>
        <w:t>النجاسات</w:t>
      </w:r>
      <w:r w:rsidRPr="00904FCB">
        <w:rPr>
          <w:sz w:val="27"/>
          <w:rtl/>
        </w:rPr>
        <w:t xml:space="preserve">. </w:t>
      </w:r>
      <w:r w:rsidRPr="00904FCB">
        <w:rPr>
          <w:rFonts w:hint="cs"/>
          <w:sz w:val="27"/>
          <w:rtl/>
        </w:rPr>
        <w:t>ومعه</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نتمكّن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جعل</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أدلّة</w:t>
      </w:r>
      <w:r w:rsidRPr="00904FCB">
        <w:rPr>
          <w:sz w:val="27"/>
          <w:rtl/>
        </w:rPr>
        <w:t xml:space="preserve"> </w:t>
      </w:r>
      <w:r w:rsidRPr="00904FCB">
        <w:rPr>
          <w:rFonts w:hint="cs"/>
          <w:sz w:val="27"/>
          <w:rtl/>
        </w:rPr>
        <w:t>النجاسة، 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الكتابي</w:t>
      </w:r>
      <w:r w:rsidR="00F34D09" w:rsidRPr="00904FCB">
        <w:rPr>
          <w:rFonts w:hint="cs"/>
          <w:sz w:val="27"/>
          <w:rtl/>
        </w:rPr>
        <w:t>ّ</w:t>
      </w:r>
      <w:r w:rsidRPr="00904FCB">
        <w:rPr>
          <w:sz w:val="27"/>
          <w:rtl/>
        </w:rPr>
        <w:t xml:space="preserve"> </w:t>
      </w:r>
      <w:r w:rsidRPr="00904FCB">
        <w:rPr>
          <w:rFonts w:hint="cs"/>
          <w:sz w:val="27"/>
          <w:rtl/>
        </w:rPr>
        <w:t>ولا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الناصبي</w:t>
      </w:r>
      <w:r w:rsidR="00F34D09" w:rsidRPr="00904FCB">
        <w:rPr>
          <w:rFonts w:hint="cs"/>
          <w:sz w:val="27"/>
          <w:rtl/>
        </w:rPr>
        <w:t>ّ</w:t>
      </w:r>
      <w:r w:rsidRPr="00904FCB">
        <w:rPr>
          <w:sz w:val="27"/>
          <w:rtl/>
        </w:rPr>
        <w:t xml:space="preserve">. </w:t>
      </w:r>
    </w:p>
    <w:p w:rsidR="00F34FB9" w:rsidRPr="00904FCB" w:rsidRDefault="00F34FB9" w:rsidP="007A21AA">
      <w:pPr>
        <w:spacing w:line="400" w:lineRule="exact"/>
        <w:rPr>
          <w:sz w:val="27"/>
          <w:rtl/>
        </w:rPr>
      </w:pPr>
      <w:r w:rsidRPr="00904FCB">
        <w:rPr>
          <w:rFonts w:hint="cs"/>
          <w:sz w:val="27"/>
          <w:rtl/>
        </w:rPr>
        <w:t>وبعد</w:t>
      </w:r>
      <w:r w:rsidRPr="00904FCB">
        <w:rPr>
          <w:sz w:val="27"/>
          <w:rtl/>
        </w:rPr>
        <w:t xml:space="preserve"> </w:t>
      </w:r>
      <w:r w:rsidRPr="00904FCB">
        <w:rPr>
          <w:rFonts w:hint="cs"/>
          <w:sz w:val="27"/>
          <w:rtl/>
        </w:rPr>
        <w:t>ما</w:t>
      </w:r>
      <w:r w:rsidRPr="00904FCB">
        <w:rPr>
          <w:sz w:val="27"/>
          <w:rtl/>
        </w:rPr>
        <w:t xml:space="preserve"> </w:t>
      </w:r>
      <w:r w:rsidRPr="00904FCB">
        <w:rPr>
          <w:rFonts w:hint="cs"/>
          <w:sz w:val="27"/>
          <w:rtl/>
        </w:rPr>
        <w:t>تقدّم</w:t>
      </w:r>
      <w:r w:rsidRPr="00904FCB">
        <w:rPr>
          <w:sz w:val="27"/>
          <w:rtl/>
        </w:rPr>
        <w:t xml:space="preserve"> </w:t>
      </w:r>
      <w:r w:rsidRPr="00904FCB">
        <w:rPr>
          <w:rFonts w:hint="cs"/>
          <w:sz w:val="27"/>
          <w:rtl/>
        </w:rPr>
        <w:t>لا</w:t>
      </w:r>
      <w:r w:rsidRPr="00904FCB">
        <w:rPr>
          <w:sz w:val="27"/>
          <w:rtl/>
        </w:rPr>
        <w:t xml:space="preserve"> </w:t>
      </w:r>
      <w:r w:rsidRPr="00904FCB">
        <w:rPr>
          <w:rFonts w:hint="cs"/>
          <w:sz w:val="27"/>
          <w:rtl/>
        </w:rPr>
        <w:t>يمكن</w:t>
      </w:r>
      <w:r w:rsidRPr="00904FCB">
        <w:rPr>
          <w:sz w:val="27"/>
          <w:rtl/>
        </w:rPr>
        <w:t xml:space="preserve"> </w:t>
      </w:r>
      <w:r w:rsidRPr="00904FCB">
        <w:rPr>
          <w:rFonts w:hint="cs"/>
          <w:sz w:val="27"/>
          <w:rtl/>
        </w:rPr>
        <w:t>التمسّ</w:t>
      </w:r>
      <w:r w:rsidR="00F34D09" w:rsidRPr="00904FCB">
        <w:rPr>
          <w:rFonts w:hint="cs"/>
          <w:sz w:val="27"/>
          <w:rtl/>
        </w:rPr>
        <w:t>ُ</w:t>
      </w:r>
      <w:r w:rsidRPr="00904FCB">
        <w:rPr>
          <w:rFonts w:hint="cs"/>
          <w:sz w:val="27"/>
          <w:rtl/>
        </w:rPr>
        <w:t>ك</w:t>
      </w:r>
      <w:r w:rsidRPr="00904FCB">
        <w:rPr>
          <w:sz w:val="27"/>
          <w:rtl/>
        </w:rPr>
        <w:t xml:space="preserve"> </w:t>
      </w:r>
      <w:r w:rsidRPr="00904FCB">
        <w:rPr>
          <w:rFonts w:hint="cs"/>
          <w:sz w:val="27"/>
          <w:rtl/>
        </w:rPr>
        <w:t>بتعبير</w:t>
      </w:r>
      <w:r w:rsidRPr="00904FCB">
        <w:rPr>
          <w:sz w:val="27"/>
          <w:rtl/>
        </w:rPr>
        <w:t xml:space="preserve"> </w:t>
      </w:r>
      <w:r w:rsidRPr="00904FCB">
        <w:rPr>
          <w:rFonts w:hint="cs"/>
          <w:sz w:val="27"/>
          <w:rtl/>
        </w:rPr>
        <w:t>الأنجسيّة</w:t>
      </w:r>
      <w:r w:rsidRPr="00904FCB">
        <w:rPr>
          <w:sz w:val="27"/>
          <w:rtl/>
        </w:rPr>
        <w:t xml:space="preserve"> </w:t>
      </w:r>
      <w:r w:rsidRPr="00904FCB">
        <w:rPr>
          <w:rFonts w:hint="cs"/>
          <w:sz w:val="27"/>
          <w:rtl/>
        </w:rPr>
        <w:t>والأشرّيّة</w:t>
      </w:r>
      <w:r w:rsidRPr="00904FCB">
        <w:rPr>
          <w:sz w:val="27"/>
          <w:rtl/>
        </w:rPr>
        <w:t xml:space="preserve"> </w:t>
      </w:r>
      <w:r w:rsidRPr="00904FCB">
        <w:rPr>
          <w:rFonts w:hint="cs"/>
          <w:sz w:val="27"/>
          <w:rtl/>
        </w:rPr>
        <w:t>للناصب</w:t>
      </w:r>
      <w:r w:rsidRPr="00904FCB">
        <w:rPr>
          <w:sz w:val="27"/>
          <w:rtl/>
        </w:rPr>
        <w:t xml:space="preserve"> </w:t>
      </w:r>
      <w:r w:rsidRPr="00904FCB">
        <w:rPr>
          <w:rFonts w:hint="cs"/>
          <w:sz w:val="27"/>
          <w:rtl/>
        </w:rPr>
        <w:t>ـ</w:t>
      </w:r>
      <w:r w:rsidRPr="00904FCB">
        <w:rPr>
          <w:sz w:val="27"/>
          <w:rtl/>
        </w:rPr>
        <w:t xml:space="preserve"> </w:t>
      </w:r>
      <w:r w:rsidRPr="00904FCB">
        <w:rPr>
          <w:rFonts w:hint="cs"/>
          <w:sz w:val="27"/>
          <w:rtl/>
        </w:rPr>
        <w:t>والمراد</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النجاسة</w:t>
      </w:r>
      <w:r w:rsidRPr="00904FCB">
        <w:rPr>
          <w:sz w:val="27"/>
          <w:rtl/>
        </w:rPr>
        <w:t xml:space="preserve"> </w:t>
      </w:r>
      <w:r w:rsidRPr="00904FCB">
        <w:rPr>
          <w:rFonts w:hint="cs"/>
          <w:sz w:val="27"/>
          <w:rtl/>
        </w:rPr>
        <w:t>بالمعنى</w:t>
      </w:r>
      <w:r w:rsidRPr="00904FCB">
        <w:rPr>
          <w:sz w:val="27"/>
          <w:rtl/>
        </w:rPr>
        <w:t xml:space="preserve"> </w:t>
      </w:r>
      <w:r w:rsidRPr="00904FCB">
        <w:rPr>
          <w:rFonts w:hint="cs"/>
          <w:sz w:val="27"/>
          <w:rtl/>
        </w:rPr>
        <w:t>الخاصّ</w:t>
      </w:r>
      <w:r w:rsidRPr="00904FCB">
        <w:rPr>
          <w:sz w:val="27"/>
          <w:rtl/>
        </w:rPr>
        <w:t xml:space="preserve"> </w:t>
      </w:r>
      <w:r w:rsidRPr="00904FCB">
        <w:rPr>
          <w:rFonts w:hint="cs"/>
          <w:sz w:val="27"/>
          <w:rtl/>
        </w:rPr>
        <w:t>ـ</w:t>
      </w:r>
      <w:r w:rsidR="00DD6B06" w:rsidRPr="00904FCB">
        <w:rPr>
          <w:rFonts w:hint="cs"/>
          <w:sz w:val="27"/>
          <w:rtl/>
        </w:rPr>
        <w:t xml:space="preserve">؛ </w:t>
      </w:r>
      <w:r w:rsidRPr="00904FCB">
        <w:rPr>
          <w:rFonts w:hint="cs"/>
          <w:sz w:val="27"/>
          <w:rtl/>
        </w:rPr>
        <w:t>كي</w:t>
      </w:r>
      <w:r w:rsidRPr="00904FCB">
        <w:rPr>
          <w:sz w:val="27"/>
          <w:rtl/>
        </w:rPr>
        <w:t xml:space="preserve"> </w:t>
      </w:r>
      <w:r w:rsidRPr="00904FCB">
        <w:rPr>
          <w:rFonts w:hint="cs"/>
          <w:sz w:val="27"/>
          <w:rtl/>
        </w:rPr>
        <w:t>تصبح</w:t>
      </w:r>
      <w:r w:rsidRPr="00904FCB">
        <w:rPr>
          <w:sz w:val="27"/>
          <w:rtl/>
        </w:rPr>
        <w:t xml:space="preserve"> </w:t>
      </w:r>
      <w:r w:rsidRPr="00904FCB">
        <w:rPr>
          <w:rFonts w:hint="cs"/>
          <w:sz w:val="27"/>
          <w:rtl/>
        </w:rPr>
        <w:t>الرواية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أدلّتها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وغيرهم</w:t>
      </w:r>
      <w:r w:rsidRPr="00904FCB">
        <w:rPr>
          <w:sz w:val="27"/>
          <w:rtl/>
        </w:rPr>
        <w:t xml:space="preserve">. </w:t>
      </w:r>
    </w:p>
    <w:p w:rsidR="00D858CA" w:rsidRPr="00904FCB" w:rsidRDefault="00D858CA" w:rsidP="007A21AA">
      <w:pPr>
        <w:spacing w:line="400" w:lineRule="exact"/>
        <w:rPr>
          <w:sz w:val="27"/>
          <w:rtl/>
        </w:rPr>
      </w:pPr>
    </w:p>
    <w:p w:rsidR="00F34FB9" w:rsidRPr="00904FCB" w:rsidRDefault="00F34FB9" w:rsidP="007A21AA">
      <w:pPr>
        <w:pStyle w:val="31"/>
        <w:spacing w:line="400" w:lineRule="exact"/>
        <w:rPr>
          <w:color w:val="auto"/>
          <w:rtl/>
        </w:rPr>
      </w:pPr>
      <w:r w:rsidRPr="00904FCB">
        <w:rPr>
          <w:rFonts w:hint="cs"/>
          <w:color w:val="auto"/>
          <w:rtl/>
        </w:rPr>
        <w:t>خلاصة</w:t>
      </w:r>
      <w:r w:rsidRPr="00904FCB">
        <w:rPr>
          <w:color w:val="auto"/>
          <w:rtl/>
        </w:rPr>
        <w:t xml:space="preserve"> </w:t>
      </w:r>
      <w:r w:rsidRPr="00904FCB">
        <w:rPr>
          <w:rFonts w:hint="cs"/>
          <w:color w:val="auto"/>
          <w:rtl/>
        </w:rPr>
        <w:t xml:space="preserve">القول </w:t>
      </w:r>
    </w:p>
    <w:p w:rsidR="00F34FB9" w:rsidRPr="00904FCB" w:rsidRDefault="00F34FB9" w:rsidP="007A21AA">
      <w:pPr>
        <w:spacing w:line="400" w:lineRule="exact"/>
        <w:rPr>
          <w:sz w:val="27"/>
          <w:rtl/>
        </w:rPr>
      </w:pPr>
      <w:r w:rsidRPr="00F4753C">
        <w:rPr>
          <w:rFonts w:hint="cs"/>
          <w:sz w:val="27"/>
          <w:rtl/>
          <w:lang w:bidi="ar-LB"/>
        </w:rPr>
        <w:t>1ـ</w:t>
      </w:r>
      <w:r w:rsidRPr="00904FCB">
        <w:rPr>
          <w:sz w:val="27"/>
          <w:rtl/>
        </w:rPr>
        <w:t xml:space="preserve"> </w:t>
      </w:r>
      <w:r w:rsidRPr="00904FCB">
        <w:rPr>
          <w:rFonts w:hint="cs"/>
          <w:sz w:val="27"/>
          <w:rtl/>
        </w:rPr>
        <w:t>قد</w:t>
      </w:r>
      <w:r w:rsidRPr="00904FCB">
        <w:rPr>
          <w:sz w:val="27"/>
          <w:rtl/>
        </w:rPr>
        <w:t xml:space="preserve"> </w:t>
      </w:r>
      <w:r w:rsidRPr="00904FCB">
        <w:rPr>
          <w:rFonts w:hint="cs"/>
          <w:sz w:val="27"/>
          <w:rtl/>
        </w:rPr>
        <w:t>عرف</w:t>
      </w:r>
      <w:r w:rsidR="00DD6B06" w:rsidRPr="00904FCB">
        <w:rPr>
          <w:rFonts w:hint="cs"/>
          <w:sz w:val="27"/>
          <w:rtl/>
        </w:rPr>
        <w:t>ْ</w:t>
      </w:r>
      <w:r w:rsidRPr="00904FCB">
        <w:rPr>
          <w:rFonts w:hint="cs"/>
          <w:sz w:val="27"/>
          <w:rtl/>
        </w:rPr>
        <w:t>ت</w:t>
      </w:r>
      <w:r w:rsidR="00DD6B06" w:rsidRPr="00904FCB">
        <w:rPr>
          <w:rFonts w:hint="cs"/>
          <w:sz w:val="27"/>
          <w:rtl/>
        </w:rPr>
        <w:t>َ</w:t>
      </w:r>
      <w:r w:rsidRPr="00904FCB">
        <w:rPr>
          <w:sz w:val="27"/>
          <w:rtl/>
        </w:rPr>
        <w:t xml:space="preserve"> </w:t>
      </w:r>
      <w:r w:rsidRPr="00904FCB">
        <w:rPr>
          <w:rFonts w:hint="cs"/>
          <w:sz w:val="27"/>
          <w:rtl/>
        </w:rPr>
        <w:t>ممّا</w:t>
      </w:r>
      <w:r w:rsidRPr="00904FCB">
        <w:rPr>
          <w:sz w:val="27"/>
          <w:rtl/>
        </w:rPr>
        <w:t xml:space="preserve"> </w:t>
      </w:r>
      <w:r w:rsidRPr="00904FCB">
        <w:rPr>
          <w:rFonts w:hint="cs"/>
          <w:sz w:val="27"/>
          <w:rtl/>
        </w:rPr>
        <w:t>تقدّم</w:t>
      </w:r>
      <w:r w:rsidRPr="00904FCB">
        <w:rPr>
          <w:sz w:val="27"/>
          <w:rtl/>
        </w:rPr>
        <w:t xml:space="preserve"> </w:t>
      </w:r>
      <w:r w:rsidRPr="00904FCB">
        <w:rPr>
          <w:rFonts w:hint="cs"/>
          <w:sz w:val="27"/>
          <w:rtl/>
        </w:rPr>
        <w:t>عدم</w:t>
      </w:r>
      <w:r w:rsidRPr="00904FCB">
        <w:rPr>
          <w:sz w:val="27"/>
          <w:rtl/>
        </w:rPr>
        <w:t xml:space="preserve"> </w:t>
      </w:r>
      <w:r w:rsidRPr="00904FCB">
        <w:rPr>
          <w:rFonts w:hint="cs"/>
          <w:sz w:val="27"/>
          <w:rtl/>
        </w:rPr>
        <w:t>تماميّة</w:t>
      </w:r>
      <w:r w:rsidRPr="00904FCB">
        <w:rPr>
          <w:sz w:val="27"/>
          <w:rtl/>
        </w:rPr>
        <w:t xml:space="preserve"> </w:t>
      </w:r>
      <w:r w:rsidRPr="00904FCB">
        <w:rPr>
          <w:rFonts w:hint="cs"/>
          <w:sz w:val="27"/>
          <w:rtl/>
        </w:rPr>
        <w:t>دلالة</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الأدلّة</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الآية</w:t>
      </w:r>
      <w:r w:rsidRPr="00904FCB">
        <w:rPr>
          <w:sz w:val="27"/>
          <w:rtl/>
        </w:rPr>
        <w:t xml:space="preserve"> </w:t>
      </w:r>
      <w:r w:rsidRPr="00904FCB">
        <w:rPr>
          <w:rFonts w:hint="cs"/>
          <w:sz w:val="27"/>
          <w:rtl/>
        </w:rPr>
        <w:t>والروايات</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نجاسة</w:t>
      </w:r>
      <w:r w:rsidRPr="00904FCB">
        <w:rPr>
          <w:sz w:val="27"/>
          <w:rtl/>
        </w:rPr>
        <w:t xml:space="preserve"> </w:t>
      </w:r>
      <w:r w:rsidRPr="00904FCB">
        <w:rPr>
          <w:rFonts w:hint="cs"/>
          <w:sz w:val="27"/>
          <w:rtl/>
        </w:rPr>
        <w:t>أهل</w:t>
      </w:r>
      <w:r w:rsidRPr="00904FCB">
        <w:rPr>
          <w:sz w:val="27"/>
          <w:rtl/>
        </w:rPr>
        <w:t xml:space="preserve"> </w:t>
      </w:r>
      <w:r w:rsidRPr="00904FCB">
        <w:rPr>
          <w:rFonts w:hint="cs"/>
          <w:sz w:val="27"/>
          <w:rtl/>
        </w:rPr>
        <w:t>الكتاب</w:t>
      </w:r>
      <w:r w:rsidRPr="00904FCB">
        <w:rPr>
          <w:sz w:val="27"/>
          <w:rtl/>
        </w:rPr>
        <w:t xml:space="preserve"> </w:t>
      </w:r>
      <w:r w:rsidRPr="00904FCB">
        <w:rPr>
          <w:rFonts w:hint="cs"/>
          <w:sz w:val="27"/>
          <w:rtl/>
        </w:rPr>
        <w:t>الذاتيّة</w:t>
      </w:r>
      <w:r w:rsidRPr="00904FCB">
        <w:rPr>
          <w:sz w:val="27"/>
          <w:rtl/>
        </w:rPr>
        <w:t xml:space="preserve">. </w:t>
      </w:r>
    </w:p>
    <w:p w:rsidR="00F34FB9" w:rsidRPr="00904FCB" w:rsidRDefault="00F34FB9" w:rsidP="007A21AA">
      <w:pPr>
        <w:spacing w:line="400" w:lineRule="exact"/>
        <w:rPr>
          <w:sz w:val="27"/>
          <w:rtl/>
        </w:rPr>
      </w:pPr>
      <w:r w:rsidRPr="00F4753C">
        <w:rPr>
          <w:rFonts w:hint="cs"/>
          <w:sz w:val="27"/>
          <w:rtl/>
          <w:lang w:bidi="ar-LB"/>
        </w:rPr>
        <w:t>2ـ</w:t>
      </w:r>
      <w:r w:rsidRPr="00904FCB">
        <w:rPr>
          <w:sz w:val="27"/>
          <w:rtl/>
        </w:rPr>
        <w:t xml:space="preserve"> </w:t>
      </w:r>
      <w:r w:rsidRPr="00904FCB">
        <w:rPr>
          <w:rFonts w:hint="cs"/>
          <w:sz w:val="27"/>
          <w:rtl/>
        </w:rPr>
        <w:t>اتّ</w:t>
      </w:r>
      <w:r w:rsidR="00DD6B06" w:rsidRPr="00904FCB">
        <w:rPr>
          <w:rFonts w:hint="cs"/>
          <w:sz w:val="27"/>
          <w:rtl/>
        </w:rPr>
        <w:t>َ</w:t>
      </w:r>
      <w:r w:rsidRPr="00904FCB">
        <w:rPr>
          <w:rFonts w:hint="cs"/>
          <w:sz w:val="27"/>
          <w:rtl/>
        </w:rPr>
        <w:t>ضح</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مدلول</w:t>
      </w:r>
      <w:r w:rsidRPr="00904FCB">
        <w:rPr>
          <w:sz w:val="27"/>
          <w:rtl/>
        </w:rPr>
        <w:t xml:space="preserve"> </w:t>
      </w:r>
      <w:r w:rsidRPr="00904FCB">
        <w:rPr>
          <w:rFonts w:hint="cs"/>
          <w:sz w:val="27"/>
          <w:rtl/>
        </w:rPr>
        <w:t>النهي</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نهيٌ</w:t>
      </w:r>
      <w:r w:rsidRPr="00904FCB">
        <w:rPr>
          <w:sz w:val="27"/>
          <w:rtl/>
        </w:rPr>
        <w:t xml:space="preserve"> </w:t>
      </w:r>
      <w:r w:rsidRPr="00904FCB">
        <w:rPr>
          <w:rFonts w:hint="cs"/>
          <w:sz w:val="27"/>
          <w:rtl/>
        </w:rPr>
        <w:t>تنزيهيٌّ، وأنّ</w:t>
      </w:r>
      <w:r w:rsidRPr="00904FCB">
        <w:rPr>
          <w:sz w:val="27"/>
          <w:rtl/>
        </w:rPr>
        <w:t xml:space="preserve"> </w:t>
      </w:r>
      <w:r w:rsidRPr="00904FCB">
        <w:rPr>
          <w:rFonts w:hint="cs"/>
          <w:sz w:val="27"/>
          <w:rtl/>
        </w:rPr>
        <w:t>المغزى</w:t>
      </w:r>
      <w:r w:rsidRPr="00904FCB">
        <w:rPr>
          <w:sz w:val="27"/>
          <w:rtl/>
        </w:rPr>
        <w:t xml:space="preserve"> </w:t>
      </w:r>
      <w:r w:rsidRPr="00904FCB">
        <w:rPr>
          <w:rFonts w:hint="cs"/>
          <w:sz w:val="27"/>
          <w:rtl/>
        </w:rPr>
        <w:t>فيها</w:t>
      </w:r>
      <w:r w:rsidRPr="00904FCB">
        <w:rPr>
          <w:sz w:val="27"/>
          <w:rtl/>
        </w:rPr>
        <w:t xml:space="preserve"> </w:t>
      </w:r>
      <w:r w:rsidRPr="00904FCB">
        <w:rPr>
          <w:rFonts w:hint="cs"/>
          <w:sz w:val="27"/>
          <w:rtl/>
        </w:rPr>
        <w:t>هو</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الاجتناب</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الأشياء</w:t>
      </w:r>
      <w:r w:rsidRPr="00904FCB">
        <w:rPr>
          <w:sz w:val="27"/>
          <w:rtl/>
        </w:rPr>
        <w:t xml:space="preserve"> </w:t>
      </w:r>
      <w:r w:rsidRPr="00904FCB">
        <w:rPr>
          <w:rFonts w:hint="cs"/>
          <w:sz w:val="27"/>
          <w:rtl/>
        </w:rPr>
        <w:t>المرتبطة</w:t>
      </w:r>
      <w:r w:rsidRPr="00904FCB">
        <w:rPr>
          <w:sz w:val="27"/>
          <w:rtl/>
        </w:rPr>
        <w:t xml:space="preserve"> </w:t>
      </w:r>
      <w:r w:rsidRPr="00904FCB">
        <w:rPr>
          <w:rFonts w:hint="cs"/>
          <w:sz w:val="27"/>
          <w:rtl/>
        </w:rPr>
        <w:t>بهم؛ لعدم</w:t>
      </w:r>
      <w:r w:rsidRPr="00904FCB">
        <w:rPr>
          <w:sz w:val="27"/>
          <w:rtl/>
        </w:rPr>
        <w:t xml:space="preserve"> </w:t>
      </w:r>
      <w:r w:rsidRPr="00904FCB">
        <w:rPr>
          <w:rFonts w:hint="cs"/>
          <w:sz w:val="27"/>
          <w:rtl/>
        </w:rPr>
        <w:t>اجتنابهم</w:t>
      </w:r>
      <w:r w:rsidRPr="00904FCB">
        <w:rPr>
          <w:sz w:val="27"/>
          <w:rtl/>
        </w:rPr>
        <w:t xml:space="preserve"> </w:t>
      </w:r>
      <w:r w:rsidRPr="00904FCB">
        <w:rPr>
          <w:rFonts w:hint="cs"/>
          <w:sz w:val="27"/>
          <w:rtl/>
        </w:rPr>
        <w:t>عن</w:t>
      </w:r>
      <w:r w:rsidRPr="00904FCB">
        <w:rPr>
          <w:sz w:val="27"/>
          <w:rtl/>
        </w:rPr>
        <w:t xml:space="preserve"> </w:t>
      </w:r>
      <w:r w:rsidRPr="00904FCB">
        <w:rPr>
          <w:rFonts w:hint="cs"/>
          <w:sz w:val="27"/>
          <w:rtl/>
        </w:rPr>
        <w:t>النجاسات</w:t>
      </w:r>
      <w:r w:rsidR="00DD6B06" w:rsidRPr="00904FCB">
        <w:rPr>
          <w:rFonts w:hint="cs"/>
          <w:sz w:val="27"/>
          <w:rtl/>
        </w:rPr>
        <w:t>،</w:t>
      </w:r>
      <w:r w:rsidRPr="00904FCB">
        <w:rPr>
          <w:sz w:val="27"/>
          <w:rtl/>
        </w:rPr>
        <w:t xml:space="preserve"> </w:t>
      </w:r>
      <w:r w:rsidRPr="00904FCB">
        <w:rPr>
          <w:rFonts w:hint="cs"/>
          <w:sz w:val="27"/>
          <w:rtl/>
        </w:rPr>
        <w:t>وعدم</w:t>
      </w:r>
      <w:r w:rsidRPr="00904FCB">
        <w:rPr>
          <w:sz w:val="27"/>
          <w:rtl/>
        </w:rPr>
        <w:t xml:space="preserve"> </w:t>
      </w:r>
      <w:r w:rsidRPr="00904FCB">
        <w:rPr>
          <w:rFonts w:hint="cs"/>
          <w:sz w:val="27"/>
          <w:rtl/>
        </w:rPr>
        <w:t>تورّ</w:t>
      </w:r>
      <w:r w:rsidR="00DD6B06" w:rsidRPr="00904FCB">
        <w:rPr>
          <w:rFonts w:hint="cs"/>
          <w:sz w:val="27"/>
          <w:rtl/>
        </w:rPr>
        <w:t>ُ</w:t>
      </w:r>
      <w:r w:rsidRPr="00904FCB">
        <w:rPr>
          <w:rFonts w:hint="cs"/>
          <w:sz w:val="27"/>
          <w:rtl/>
        </w:rPr>
        <w:t>عهم</w:t>
      </w:r>
      <w:r w:rsidRPr="00904FCB">
        <w:rPr>
          <w:sz w:val="27"/>
          <w:rtl/>
        </w:rPr>
        <w:t xml:space="preserve"> </w:t>
      </w:r>
      <w:r w:rsidRPr="00904FCB">
        <w:rPr>
          <w:rFonts w:hint="cs"/>
          <w:sz w:val="27"/>
          <w:rtl/>
        </w:rPr>
        <w:t>عنها</w:t>
      </w:r>
      <w:r w:rsidRPr="00904FCB">
        <w:rPr>
          <w:sz w:val="27"/>
          <w:rtl/>
        </w:rPr>
        <w:t xml:space="preserve">. </w:t>
      </w:r>
    </w:p>
    <w:p w:rsidR="00F34FB9" w:rsidRPr="00904FCB" w:rsidRDefault="00F34FB9" w:rsidP="007A21AA">
      <w:pPr>
        <w:spacing w:line="400" w:lineRule="exact"/>
        <w:rPr>
          <w:sz w:val="27"/>
          <w:rtl/>
        </w:rPr>
      </w:pPr>
      <w:r w:rsidRPr="00F4753C">
        <w:rPr>
          <w:rFonts w:hint="cs"/>
          <w:sz w:val="27"/>
          <w:rtl/>
          <w:lang w:bidi="ar-LB"/>
        </w:rPr>
        <w:t>3ـ</w:t>
      </w:r>
      <w:r w:rsidRPr="00904FCB">
        <w:rPr>
          <w:sz w:val="27"/>
          <w:rtl/>
        </w:rPr>
        <w:t xml:space="preserve"> </w:t>
      </w:r>
      <w:r w:rsidRPr="00904FCB">
        <w:rPr>
          <w:rFonts w:hint="cs"/>
          <w:sz w:val="27"/>
          <w:rtl/>
        </w:rPr>
        <w:t>إنّ</w:t>
      </w:r>
      <w:r w:rsidRPr="00904FCB">
        <w:rPr>
          <w:sz w:val="27"/>
          <w:rtl/>
        </w:rPr>
        <w:t xml:space="preserve"> </w:t>
      </w:r>
      <w:r w:rsidRPr="00904FCB">
        <w:rPr>
          <w:rFonts w:hint="cs"/>
          <w:sz w:val="27"/>
          <w:rtl/>
        </w:rPr>
        <w:t>بعض</w:t>
      </w:r>
      <w:r w:rsidRPr="00904FCB">
        <w:rPr>
          <w:sz w:val="27"/>
          <w:rtl/>
        </w:rPr>
        <w:t xml:space="preserve"> </w:t>
      </w:r>
      <w:r w:rsidRPr="00904FCB">
        <w:rPr>
          <w:rFonts w:hint="cs"/>
          <w:sz w:val="27"/>
          <w:rtl/>
        </w:rPr>
        <w:t>هذه</w:t>
      </w:r>
      <w:r w:rsidRPr="00904FCB">
        <w:rPr>
          <w:sz w:val="27"/>
          <w:rtl/>
        </w:rPr>
        <w:t xml:space="preserve"> </w:t>
      </w:r>
      <w:r w:rsidRPr="00904FCB">
        <w:rPr>
          <w:rFonts w:hint="cs"/>
          <w:sz w:val="27"/>
          <w:rtl/>
        </w:rPr>
        <w:t>الروايات</w:t>
      </w:r>
      <w:r w:rsidRPr="00904FCB">
        <w:rPr>
          <w:sz w:val="27"/>
          <w:rtl/>
        </w:rPr>
        <w:t xml:space="preserve"> </w:t>
      </w:r>
      <w:r w:rsidRPr="00904FCB">
        <w:rPr>
          <w:rFonts w:hint="cs"/>
          <w:sz w:val="27"/>
          <w:rtl/>
        </w:rPr>
        <w:t>كانت</w:t>
      </w:r>
      <w:r w:rsidRPr="00904FCB">
        <w:rPr>
          <w:sz w:val="27"/>
          <w:rtl/>
        </w:rPr>
        <w:t xml:space="preserve"> </w:t>
      </w:r>
      <w:r w:rsidRPr="00904FCB">
        <w:rPr>
          <w:rFonts w:hint="cs"/>
          <w:sz w:val="27"/>
          <w:rtl/>
        </w:rPr>
        <w:t>قرينة</w:t>
      </w:r>
      <w:r w:rsidR="00DD6B06" w:rsidRPr="00904FCB">
        <w:rPr>
          <w:rFonts w:hint="cs"/>
          <w:sz w:val="27"/>
          <w:rtl/>
        </w:rPr>
        <w:t>ً</w:t>
      </w:r>
      <w:r w:rsidRPr="00904FCB">
        <w:rPr>
          <w:sz w:val="27"/>
          <w:rtl/>
        </w:rPr>
        <w:t xml:space="preserve"> </w:t>
      </w:r>
      <w:r w:rsidRPr="00904FCB">
        <w:rPr>
          <w:rFonts w:hint="cs"/>
          <w:sz w:val="27"/>
          <w:rtl/>
        </w:rPr>
        <w:t>على</w:t>
      </w:r>
      <w:r w:rsidRPr="00904FCB">
        <w:rPr>
          <w:sz w:val="27"/>
          <w:rtl/>
        </w:rPr>
        <w:t xml:space="preserve"> </w:t>
      </w:r>
      <w:r w:rsidRPr="00904FCB">
        <w:rPr>
          <w:rFonts w:hint="cs"/>
          <w:sz w:val="27"/>
          <w:rtl/>
        </w:rPr>
        <w:t>المراد</w:t>
      </w:r>
      <w:r w:rsidRPr="00904FCB">
        <w:rPr>
          <w:sz w:val="27"/>
          <w:rtl/>
        </w:rPr>
        <w:t xml:space="preserve"> </w:t>
      </w:r>
      <w:r w:rsidRPr="00904FCB">
        <w:rPr>
          <w:rFonts w:hint="cs"/>
          <w:sz w:val="27"/>
          <w:rtl/>
        </w:rPr>
        <w:t>بالأخرى، كما</w:t>
      </w:r>
      <w:r w:rsidRPr="00904FCB">
        <w:rPr>
          <w:sz w:val="27"/>
          <w:rtl/>
        </w:rPr>
        <w:t xml:space="preserve"> </w:t>
      </w:r>
      <w:r w:rsidRPr="00904FCB">
        <w:rPr>
          <w:rFonts w:hint="cs"/>
          <w:sz w:val="27"/>
          <w:rtl/>
        </w:rPr>
        <w:t>في</w:t>
      </w:r>
      <w:r w:rsidRPr="00904FCB">
        <w:rPr>
          <w:sz w:val="27"/>
          <w:rtl/>
        </w:rPr>
        <w:t xml:space="preserve"> </w:t>
      </w:r>
      <w:r w:rsidRPr="00904FCB">
        <w:rPr>
          <w:rFonts w:hint="cs"/>
          <w:sz w:val="27"/>
          <w:rtl/>
        </w:rPr>
        <w:t>موردٍ</w:t>
      </w:r>
      <w:r w:rsidRPr="00904FCB">
        <w:rPr>
          <w:sz w:val="27"/>
          <w:rtl/>
        </w:rPr>
        <w:t xml:space="preserve"> </w:t>
      </w:r>
      <w:r w:rsidRPr="00904FCB">
        <w:rPr>
          <w:rFonts w:hint="cs"/>
          <w:sz w:val="27"/>
          <w:rtl/>
        </w:rPr>
        <w:t>كان</w:t>
      </w:r>
      <w:r w:rsidRPr="00904FCB">
        <w:rPr>
          <w:sz w:val="27"/>
          <w:rtl/>
        </w:rPr>
        <w:t xml:space="preserve"> </w:t>
      </w:r>
      <w:r w:rsidRPr="00904FCB">
        <w:rPr>
          <w:rFonts w:hint="cs"/>
          <w:sz w:val="27"/>
          <w:rtl/>
        </w:rPr>
        <w:t>يأمر</w:t>
      </w:r>
      <w:r w:rsidRPr="00904FCB">
        <w:rPr>
          <w:sz w:val="27"/>
          <w:rtl/>
        </w:rPr>
        <w:t xml:space="preserve"> </w:t>
      </w:r>
      <w:r w:rsidRPr="00904FCB">
        <w:rPr>
          <w:rFonts w:hint="cs"/>
          <w:sz w:val="27"/>
          <w:rtl/>
        </w:rPr>
        <w:t>بغسل</w:t>
      </w:r>
      <w:r w:rsidRPr="00904FCB">
        <w:rPr>
          <w:sz w:val="27"/>
          <w:rtl/>
        </w:rPr>
        <w:t xml:space="preserve"> </w:t>
      </w:r>
      <w:r w:rsidRPr="00904FCB">
        <w:rPr>
          <w:rFonts w:hint="cs"/>
          <w:sz w:val="27"/>
          <w:rtl/>
        </w:rPr>
        <w:t>اليد، وفي</w:t>
      </w:r>
      <w:r w:rsidRPr="00904FCB">
        <w:rPr>
          <w:sz w:val="27"/>
          <w:rtl/>
        </w:rPr>
        <w:t xml:space="preserve"> </w:t>
      </w:r>
      <w:r w:rsidRPr="00904FCB">
        <w:rPr>
          <w:rFonts w:hint="cs"/>
          <w:sz w:val="27"/>
          <w:rtl/>
        </w:rPr>
        <w:t>مورد</w:t>
      </w:r>
      <w:r w:rsidR="00DD6B06" w:rsidRPr="00904FCB">
        <w:rPr>
          <w:rFonts w:hint="cs"/>
          <w:sz w:val="27"/>
          <w:rtl/>
        </w:rPr>
        <w:t>ٍ</w:t>
      </w:r>
      <w:r w:rsidRPr="00904FCB">
        <w:rPr>
          <w:sz w:val="27"/>
          <w:rtl/>
        </w:rPr>
        <w:t xml:space="preserve"> </w:t>
      </w:r>
      <w:r w:rsidRPr="00904FCB">
        <w:rPr>
          <w:rFonts w:hint="cs"/>
          <w:sz w:val="27"/>
          <w:rtl/>
        </w:rPr>
        <w:t>آخر</w:t>
      </w:r>
      <w:r w:rsidRPr="00904FCB">
        <w:rPr>
          <w:sz w:val="27"/>
          <w:rtl/>
        </w:rPr>
        <w:t xml:space="preserve"> </w:t>
      </w:r>
      <w:r w:rsidRPr="00904FCB">
        <w:rPr>
          <w:rFonts w:hint="cs"/>
          <w:sz w:val="27"/>
          <w:rtl/>
        </w:rPr>
        <w:t>يأمر</w:t>
      </w:r>
      <w:r w:rsidRPr="00904FCB">
        <w:rPr>
          <w:sz w:val="27"/>
          <w:rtl/>
        </w:rPr>
        <w:t xml:space="preserve"> </w:t>
      </w:r>
      <w:r w:rsidRPr="00904FCB">
        <w:rPr>
          <w:rFonts w:hint="cs"/>
          <w:sz w:val="27"/>
          <w:rtl/>
        </w:rPr>
        <w:t>بمسح</w:t>
      </w:r>
      <w:r w:rsidRPr="00904FCB">
        <w:rPr>
          <w:sz w:val="27"/>
          <w:rtl/>
        </w:rPr>
        <w:t xml:space="preserve"> </w:t>
      </w:r>
      <w:r w:rsidRPr="00904FCB">
        <w:rPr>
          <w:rFonts w:hint="cs"/>
          <w:sz w:val="27"/>
          <w:rtl/>
        </w:rPr>
        <w:t>التراب</w:t>
      </w:r>
      <w:r w:rsidRPr="00904FCB">
        <w:rPr>
          <w:sz w:val="27"/>
          <w:rtl/>
        </w:rPr>
        <w:t xml:space="preserve"> </w:t>
      </w:r>
      <w:r w:rsidRPr="00904FCB">
        <w:rPr>
          <w:rFonts w:hint="cs"/>
          <w:sz w:val="27"/>
          <w:rtl/>
        </w:rPr>
        <w:t>أو</w:t>
      </w:r>
      <w:r w:rsidRPr="00904FCB">
        <w:rPr>
          <w:sz w:val="27"/>
          <w:rtl/>
        </w:rPr>
        <w:t xml:space="preserve"> </w:t>
      </w:r>
      <w:r w:rsidRPr="00904FCB">
        <w:rPr>
          <w:rFonts w:hint="cs"/>
          <w:sz w:val="27"/>
          <w:rtl/>
        </w:rPr>
        <w:t>الحائط</w:t>
      </w:r>
      <w:r w:rsidRPr="00904FCB">
        <w:rPr>
          <w:sz w:val="27"/>
          <w:rtl/>
        </w:rPr>
        <w:t xml:space="preserve">. </w:t>
      </w:r>
    </w:p>
    <w:p w:rsidR="00D858CA" w:rsidRPr="00904FCB" w:rsidRDefault="00D858CA" w:rsidP="007A21AA">
      <w:pPr>
        <w:spacing w:line="400" w:lineRule="exact"/>
        <w:rPr>
          <w:b/>
          <w:bCs/>
          <w:sz w:val="27"/>
          <w:rtl/>
        </w:rPr>
      </w:pPr>
    </w:p>
    <w:p w:rsidR="00E83C22" w:rsidRDefault="00E83C22" w:rsidP="007A21AA">
      <w:pPr>
        <w:spacing w:line="400" w:lineRule="exact"/>
        <w:rPr>
          <w:rtl/>
        </w:rPr>
      </w:pPr>
    </w:p>
    <w:p w:rsidR="001B24AC" w:rsidRDefault="001B24AC" w:rsidP="007A21AA">
      <w:pPr>
        <w:spacing w:line="400" w:lineRule="exact"/>
        <w:rPr>
          <w:rtl/>
        </w:rPr>
      </w:pPr>
    </w:p>
    <w:p w:rsidR="001B24AC" w:rsidRDefault="001B24AC" w:rsidP="007A21AA">
      <w:pPr>
        <w:spacing w:line="400" w:lineRule="exact"/>
        <w:rPr>
          <w:rtl/>
        </w:rPr>
      </w:pPr>
    </w:p>
    <w:p w:rsidR="001B24AC" w:rsidRDefault="001B24AC" w:rsidP="007A21AA">
      <w:pPr>
        <w:spacing w:line="400" w:lineRule="exact"/>
        <w:rPr>
          <w:rtl/>
        </w:rPr>
      </w:pPr>
    </w:p>
    <w:p w:rsidR="001B24AC" w:rsidRDefault="001B24AC" w:rsidP="007A21AA">
      <w:pPr>
        <w:spacing w:line="400" w:lineRule="exact"/>
        <w:rPr>
          <w:rtl/>
        </w:rPr>
      </w:pPr>
    </w:p>
    <w:p w:rsidR="001B24AC" w:rsidRDefault="001B24AC" w:rsidP="007A21AA">
      <w:pPr>
        <w:spacing w:line="400" w:lineRule="exact"/>
        <w:rPr>
          <w:rtl/>
        </w:rPr>
      </w:pPr>
    </w:p>
    <w:p w:rsidR="001B24AC" w:rsidRDefault="001B24AC" w:rsidP="007A21AA">
      <w:pPr>
        <w:spacing w:line="400" w:lineRule="exact"/>
        <w:rPr>
          <w:rtl/>
        </w:rPr>
      </w:pPr>
    </w:p>
    <w:p w:rsidR="001B24AC" w:rsidRDefault="001B24AC" w:rsidP="007A21AA">
      <w:pPr>
        <w:spacing w:line="400" w:lineRule="exact"/>
        <w:rPr>
          <w:rtl/>
        </w:rPr>
      </w:pPr>
    </w:p>
    <w:p w:rsidR="001B24AC" w:rsidRDefault="001B24AC" w:rsidP="007A21AA">
      <w:pPr>
        <w:spacing w:line="400" w:lineRule="exact"/>
        <w:rPr>
          <w:rtl/>
        </w:rPr>
      </w:pPr>
    </w:p>
    <w:p w:rsidR="001B24AC" w:rsidRDefault="001B24AC" w:rsidP="007A21AA">
      <w:pPr>
        <w:spacing w:line="400" w:lineRule="exact"/>
        <w:rPr>
          <w:rtl/>
        </w:rPr>
      </w:pPr>
    </w:p>
    <w:p w:rsidR="001B24AC" w:rsidRPr="00904FCB" w:rsidRDefault="001B24AC"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lastRenderedPageBreak/>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209"/>
          <w:headerReference w:type="default" r:id="rId210"/>
          <w:footerReference w:type="even" r:id="rId211"/>
          <w:footerReference w:type="default" r:id="rId2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7A21AA">
      <w:pPr>
        <w:spacing w:line="400" w:lineRule="exact"/>
        <w:rPr>
          <w:rtl/>
        </w:rPr>
        <w:sectPr w:rsidR="00E83C22" w:rsidRPr="00904FCB" w:rsidSect="00E85587">
          <w:headerReference w:type="even" r:id="rId213"/>
          <w:headerReference w:type="default" r:id="rId214"/>
          <w:footerReference w:type="even" r:id="rId215"/>
          <w:footerReference w:type="default" r:id="rId216"/>
          <w:headerReference w:type="first" r:id="rId2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D67215" w:rsidP="0059690C">
      <w:pPr>
        <w:pStyle w:val="10"/>
        <w:spacing w:line="240" w:lineRule="auto"/>
        <w:rPr>
          <w:rtl/>
        </w:rPr>
      </w:pPr>
      <w:bookmarkStart w:id="74" w:name="_Toc435577231"/>
      <w:r>
        <w:rPr>
          <w:rFonts w:hint="cs"/>
          <w:rtl/>
        </w:rPr>
        <w:t>مستمسك ا</w:t>
      </w:r>
      <w:r w:rsidR="008A5B60" w:rsidRPr="00904FCB">
        <w:rPr>
          <w:rFonts w:hint="cs"/>
          <w:rtl/>
        </w:rPr>
        <w:t>لسيد الحكيم</w:t>
      </w:r>
      <w:bookmarkEnd w:id="74"/>
    </w:p>
    <w:p w:rsidR="00E83C22" w:rsidRPr="00904FCB" w:rsidRDefault="00D67215" w:rsidP="0059690C">
      <w:pPr>
        <w:pStyle w:val="10"/>
        <w:spacing w:line="240" w:lineRule="auto"/>
        <w:rPr>
          <w:sz w:val="42"/>
          <w:szCs w:val="42"/>
          <w:rtl/>
          <w:lang w:bidi="fa-IR"/>
        </w:rPr>
      </w:pPr>
      <w:bookmarkStart w:id="75" w:name="_Toc435577232"/>
      <w:r>
        <w:rPr>
          <w:rFonts w:hint="cs"/>
          <w:sz w:val="42"/>
          <w:szCs w:val="42"/>
          <w:rtl/>
          <w:lang w:bidi="fa-IR"/>
        </w:rPr>
        <w:t>تقرير</w:t>
      </w:r>
      <w:r w:rsidR="00C73462">
        <w:rPr>
          <w:rFonts w:hint="cs"/>
          <w:sz w:val="42"/>
          <w:szCs w:val="42"/>
          <w:rtl/>
          <w:lang w:bidi="fa-IR"/>
        </w:rPr>
        <w:t>ٌ</w:t>
      </w:r>
      <w:r w:rsidR="008A5B60" w:rsidRPr="00904FCB">
        <w:rPr>
          <w:rFonts w:hint="cs"/>
          <w:sz w:val="42"/>
          <w:szCs w:val="42"/>
          <w:rtl/>
          <w:lang w:bidi="fa-IR"/>
        </w:rPr>
        <w:t xml:space="preserve"> </w:t>
      </w:r>
      <w:r w:rsidR="00905073">
        <w:rPr>
          <w:rFonts w:hint="cs"/>
          <w:sz w:val="42"/>
          <w:szCs w:val="42"/>
          <w:rtl/>
          <w:lang w:bidi="fa-IR"/>
        </w:rPr>
        <w:t xml:space="preserve">عن </w:t>
      </w:r>
      <w:r w:rsidR="00CB149F" w:rsidRPr="00904FCB">
        <w:rPr>
          <w:rFonts w:hint="cs"/>
          <w:sz w:val="42"/>
          <w:szCs w:val="42"/>
          <w:rtl/>
          <w:lang w:bidi="fa-IR"/>
        </w:rPr>
        <w:t>ظروف طباعته والاعتراضات عليه</w:t>
      </w:r>
      <w:bookmarkEnd w:id="75"/>
    </w:p>
    <w:p w:rsidR="00E83C22" w:rsidRPr="00904FCB" w:rsidRDefault="00E83C22" w:rsidP="007A21AA">
      <w:pPr>
        <w:spacing w:line="400" w:lineRule="exact"/>
        <w:rPr>
          <w:rtl/>
        </w:rPr>
      </w:pPr>
    </w:p>
    <w:p w:rsidR="00E83C22" w:rsidRPr="00904FCB" w:rsidRDefault="00CB149F" w:rsidP="007A21AA">
      <w:pPr>
        <w:pStyle w:val="Author"/>
        <w:spacing w:line="400" w:lineRule="exact"/>
        <w:rPr>
          <w:rtl/>
        </w:rPr>
      </w:pPr>
      <w:bookmarkStart w:id="76" w:name="_Toc435577233"/>
      <w:r w:rsidRPr="00904FCB">
        <w:rPr>
          <w:rFonts w:hint="cs"/>
          <w:rtl/>
        </w:rPr>
        <w:t xml:space="preserve">الشيخ </w:t>
      </w:r>
      <w:r w:rsidR="008A5B60" w:rsidRPr="00904FCB">
        <w:rPr>
          <w:rFonts w:hint="cs"/>
          <w:rtl/>
        </w:rPr>
        <w:t>رسول جعفريان</w:t>
      </w:r>
      <w:r w:rsidR="00527634" w:rsidRPr="00904FCB">
        <w:rPr>
          <w:rFonts w:cs="Taher" w:hint="cs"/>
          <w:vertAlign w:val="superscript"/>
          <w:rtl/>
        </w:rPr>
        <w:t>(</w:t>
      </w:r>
      <w:r w:rsidR="00527634" w:rsidRPr="00904FCB">
        <w:rPr>
          <w:rFonts w:cs="Taher"/>
          <w:vertAlign w:val="superscript"/>
          <w:rtl/>
        </w:rPr>
        <w:footnoteReference w:customMarkFollows="1" w:id="23"/>
        <w:t>*)</w:t>
      </w:r>
      <w:bookmarkEnd w:id="76"/>
    </w:p>
    <w:p w:rsidR="00E83C22" w:rsidRPr="00904FCB" w:rsidRDefault="00E83C22" w:rsidP="007A21AA">
      <w:pPr>
        <w:pStyle w:val="Author"/>
        <w:spacing w:line="400" w:lineRule="exact"/>
        <w:rPr>
          <w:rtl/>
        </w:rPr>
      </w:pPr>
      <w:bookmarkStart w:id="77" w:name="_Toc435577234"/>
      <w:r w:rsidRPr="00904FCB">
        <w:rPr>
          <w:rFonts w:hint="cs"/>
          <w:rtl/>
        </w:rPr>
        <w:t>ترجمة</w:t>
      </w:r>
      <w:r w:rsidR="008A5B60" w:rsidRPr="00904FCB">
        <w:rPr>
          <w:rFonts w:hint="cs"/>
          <w:rtl/>
        </w:rPr>
        <w:t xml:space="preserve"> ونقد وتعليق</w:t>
      </w:r>
      <w:r w:rsidRPr="00904FCB">
        <w:rPr>
          <w:rFonts w:hint="cs"/>
          <w:rtl/>
        </w:rPr>
        <w:t xml:space="preserve">: </w:t>
      </w:r>
      <w:r w:rsidR="008A5B60" w:rsidRPr="00904FCB">
        <w:rPr>
          <w:rFonts w:hint="cs"/>
          <w:rtl/>
        </w:rPr>
        <w:t>عماد الهلالي</w:t>
      </w:r>
      <w:r w:rsidR="008A5B60" w:rsidRPr="00904FCB">
        <w:rPr>
          <w:vertAlign w:val="superscript"/>
          <w:rtl/>
        </w:rPr>
        <w:t>(</w:t>
      </w:r>
      <w:r w:rsidR="008A5B60" w:rsidRPr="00904FCB">
        <w:rPr>
          <w:vertAlign w:val="superscript"/>
          <w:rtl/>
        </w:rPr>
        <w:endnoteReference w:id="700"/>
      </w:r>
      <w:r w:rsidR="008A5B60" w:rsidRPr="00904FCB">
        <w:rPr>
          <w:vertAlign w:val="superscript"/>
          <w:rtl/>
        </w:rPr>
        <w:t>)</w:t>
      </w:r>
      <w:bookmarkEnd w:id="77"/>
    </w:p>
    <w:p w:rsidR="00E83C22" w:rsidRPr="00904FCB" w:rsidRDefault="00E83C22" w:rsidP="007A21AA">
      <w:pPr>
        <w:spacing w:line="400" w:lineRule="exact"/>
        <w:rPr>
          <w:rtl/>
        </w:rPr>
      </w:pPr>
    </w:p>
    <w:p w:rsidR="00F34FB9" w:rsidRPr="00904FCB" w:rsidRDefault="00F34FB9" w:rsidP="00F636E3">
      <w:pPr>
        <w:rPr>
          <w:sz w:val="27"/>
          <w:rtl/>
        </w:rPr>
      </w:pPr>
      <w:r w:rsidRPr="002831B1">
        <w:rPr>
          <w:rFonts w:hint="cs"/>
          <w:sz w:val="27"/>
          <w:rtl/>
        </w:rPr>
        <w:t>1</w:t>
      </w:r>
      <w:r w:rsidRPr="002831B1">
        <w:rPr>
          <w:sz w:val="27"/>
          <w:rtl/>
        </w:rPr>
        <w:t>ـ</w:t>
      </w:r>
      <w:r w:rsidR="001F2C2F" w:rsidRPr="00904FCB">
        <w:rPr>
          <w:rFonts w:hint="cs"/>
          <w:sz w:val="27"/>
          <w:rtl/>
        </w:rPr>
        <w:t xml:space="preserve"> في جمادى الأولى من عام </w:t>
      </w:r>
      <w:r w:rsidR="001F2C2F" w:rsidRPr="006333E0">
        <w:rPr>
          <w:rFonts w:cs="Ya-Ali" w:hint="cs"/>
          <w:sz w:val="27"/>
          <w:rtl/>
        </w:rPr>
        <w:t>1368</w:t>
      </w:r>
      <w:r w:rsidR="001F2C2F" w:rsidRPr="00904FCB">
        <w:rPr>
          <w:rFonts w:hint="cs"/>
          <w:sz w:val="27"/>
          <w:rtl/>
        </w:rPr>
        <w:t xml:space="preserve">هـ </w:t>
      </w:r>
      <w:r w:rsidRPr="00904FCB">
        <w:rPr>
          <w:rFonts w:hint="cs"/>
          <w:sz w:val="27"/>
          <w:rtl/>
        </w:rPr>
        <w:t xml:space="preserve">نشر المجلد الأول من كتاب </w:t>
      </w:r>
      <w:r w:rsidRPr="00904FCB">
        <w:rPr>
          <w:rFonts w:hint="eastAsia"/>
          <w:sz w:val="27"/>
          <w:rtl/>
        </w:rPr>
        <w:t>«</w:t>
      </w:r>
      <w:r w:rsidRPr="00904FCB">
        <w:rPr>
          <w:rFonts w:hint="cs"/>
          <w:sz w:val="27"/>
          <w:rtl/>
        </w:rPr>
        <w:t>مستمسك العروة الوثقى</w:t>
      </w:r>
      <w:r w:rsidRPr="00904FCB">
        <w:rPr>
          <w:rFonts w:hint="eastAsia"/>
          <w:sz w:val="27"/>
          <w:rtl/>
        </w:rPr>
        <w:t>»</w:t>
      </w:r>
      <w:r w:rsidRPr="00904FCB">
        <w:rPr>
          <w:sz w:val="27"/>
          <w:vertAlign w:val="superscript"/>
          <w:rtl/>
        </w:rPr>
        <w:t>(</w:t>
      </w:r>
      <w:r w:rsidRPr="00904FCB">
        <w:rPr>
          <w:rStyle w:val="ac"/>
          <w:sz w:val="27"/>
          <w:rtl/>
        </w:rPr>
        <w:endnoteReference w:id="701"/>
      </w:r>
      <w:r w:rsidRPr="00904FCB">
        <w:rPr>
          <w:sz w:val="27"/>
          <w:vertAlign w:val="superscript"/>
          <w:rtl/>
        </w:rPr>
        <w:t>)</w:t>
      </w:r>
      <w:r w:rsidR="001F2C2F" w:rsidRPr="00904FCB">
        <w:rPr>
          <w:rFonts w:hint="cs"/>
          <w:sz w:val="27"/>
          <w:rtl/>
        </w:rPr>
        <w:t>،</w:t>
      </w:r>
      <w:r w:rsidRPr="00904FCB">
        <w:rPr>
          <w:rFonts w:hint="cs"/>
          <w:sz w:val="27"/>
          <w:rtl/>
        </w:rPr>
        <w:t xml:space="preserve"> تأليف </w:t>
      </w:r>
      <w:r w:rsidR="001F2C2F" w:rsidRPr="00904FCB">
        <w:rPr>
          <w:rFonts w:hint="cs"/>
          <w:sz w:val="27"/>
          <w:rtl/>
        </w:rPr>
        <w:t>المرجع الديني السيد محسن الحكيم</w:t>
      </w:r>
      <w:r w:rsidRPr="00904FCB">
        <w:rPr>
          <w:rFonts w:hint="cs"/>
          <w:sz w:val="27"/>
          <w:rtl/>
        </w:rPr>
        <w:t>(</w:t>
      </w:r>
      <w:r w:rsidRPr="006333E0">
        <w:rPr>
          <w:rFonts w:cs="Ya-Ali" w:hint="cs"/>
          <w:sz w:val="27"/>
          <w:rtl/>
        </w:rPr>
        <w:t>1306</w:t>
      </w:r>
      <w:r w:rsidRPr="00904FCB">
        <w:rPr>
          <w:rFonts w:hint="cs"/>
          <w:sz w:val="27"/>
          <w:rtl/>
        </w:rPr>
        <w:t xml:space="preserve"> </w:t>
      </w:r>
      <w:r w:rsidRPr="00904FCB">
        <w:rPr>
          <w:sz w:val="27"/>
          <w:rtl/>
        </w:rPr>
        <w:t>ـ</w:t>
      </w:r>
      <w:r w:rsidRPr="00904FCB">
        <w:rPr>
          <w:rFonts w:hint="cs"/>
          <w:sz w:val="27"/>
          <w:rtl/>
        </w:rPr>
        <w:t xml:space="preserve"> </w:t>
      </w:r>
      <w:r w:rsidRPr="006333E0">
        <w:rPr>
          <w:rFonts w:cs="Ya-Ali" w:hint="cs"/>
          <w:sz w:val="27"/>
          <w:rtl/>
        </w:rPr>
        <w:t>27</w:t>
      </w:r>
      <w:r w:rsidRPr="00904FCB">
        <w:rPr>
          <w:rFonts w:hint="cs"/>
          <w:sz w:val="27"/>
          <w:rtl/>
        </w:rPr>
        <w:t xml:space="preserve"> ربيع </w:t>
      </w:r>
      <w:r w:rsidRPr="006333E0">
        <w:rPr>
          <w:rFonts w:cs="Ya-Ali" w:hint="cs"/>
          <w:sz w:val="27"/>
          <w:rtl/>
        </w:rPr>
        <w:t>1390</w:t>
      </w:r>
      <w:r w:rsidRPr="00904FCB">
        <w:rPr>
          <w:rFonts w:hint="cs"/>
          <w:sz w:val="27"/>
          <w:rtl/>
        </w:rPr>
        <w:t>)</w:t>
      </w:r>
      <w:r w:rsidR="001F2C2F" w:rsidRPr="00904FCB">
        <w:rPr>
          <w:rFonts w:hint="cs"/>
          <w:sz w:val="27"/>
          <w:rtl/>
        </w:rPr>
        <w:t>.</w:t>
      </w:r>
      <w:r w:rsidRPr="00904FCB">
        <w:rPr>
          <w:rFonts w:hint="cs"/>
          <w:sz w:val="27"/>
          <w:rtl/>
        </w:rPr>
        <w:t xml:space="preserve"> وهو شرح</w:t>
      </w:r>
      <w:r w:rsidR="001F2C2F" w:rsidRPr="00904FCB">
        <w:rPr>
          <w:rFonts w:hint="cs"/>
          <w:sz w:val="27"/>
          <w:rtl/>
        </w:rPr>
        <w:t>ٌ</w:t>
      </w:r>
      <w:r w:rsidRPr="00904FCB">
        <w:rPr>
          <w:rFonts w:hint="cs"/>
          <w:sz w:val="27"/>
          <w:rtl/>
        </w:rPr>
        <w:t xml:space="preserve"> لكتاب </w:t>
      </w:r>
      <w:r w:rsidRPr="00904FCB">
        <w:rPr>
          <w:rFonts w:hint="eastAsia"/>
          <w:sz w:val="27"/>
          <w:rtl/>
        </w:rPr>
        <w:t>«</w:t>
      </w:r>
      <w:r w:rsidRPr="00904FCB">
        <w:rPr>
          <w:rFonts w:hint="cs"/>
          <w:sz w:val="27"/>
          <w:rtl/>
        </w:rPr>
        <w:t>العروة الوثقى</w:t>
      </w:r>
      <w:r w:rsidRPr="00904FCB">
        <w:rPr>
          <w:rFonts w:hint="eastAsia"/>
          <w:sz w:val="27"/>
          <w:rtl/>
        </w:rPr>
        <w:t>»</w:t>
      </w:r>
      <w:r w:rsidR="001F2C2F" w:rsidRPr="00904FCB">
        <w:rPr>
          <w:rFonts w:hint="cs"/>
          <w:sz w:val="27"/>
          <w:rtl/>
        </w:rPr>
        <w:t>،</w:t>
      </w:r>
      <w:r w:rsidRPr="00904FCB">
        <w:rPr>
          <w:rFonts w:hint="cs"/>
          <w:sz w:val="27"/>
          <w:rtl/>
        </w:rPr>
        <w:t xml:space="preserve"> للسيد محمد كاظم اليزدي</w:t>
      </w:r>
      <w:r w:rsidR="001F2C2F" w:rsidRPr="00904FCB">
        <w:rPr>
          <w:rFonts w:hint="cs"/>
          <w:sz w:val="27"/>
          <w:rtl/>
        </w:rPr>
        <w:t>.</w:t>
      </w:r>
      <w:r w:rsidRPr="00904FCB">
        <w:rPr>
          <w:rFonts w:hint="cs"/>
          <w:sz w:val="27"/>
          <w:rtl/>
        </w:rPr>
        <w:t xml:space="preserve"> وقد تسبب </w:t>
      </w:r>
      <w:r w:rsidR="001F2C2F" w:rsidRPr="00904FCB">
        <w:rPr>
          <w:rFonts w:hint="cs"/>
          <w:sz w:val="27"/>
          <w:rtl/>
        </w:rPr>
        <w:t>ب</w:t>
      </w:r>
      <w:r w:rsidRPr="00904FCB">
        <w:rPr>
          <w:rFonts w:hint="cs"/>
          <w:sz w:val="27"/>
          <w:rtl/>
        </w:rPr>
        <w:t>حالة</w:t>
      </w:r>
      <w:r w:rsidR="001F2C2F" w:rsidRPr="00904FCB">
        <w:rPr>
          <w:rFonts w:hint="cs"/>
          <w:sz w:val="27"/>
          <w:rtl/>
        </w:rPr>
        <w:t>ٍ</w:t>
      </w:r>
      <w:r w:rsidRPr="00904FCB">
        <w:rPr>
          <w:rFonts w:hint="cs"/>
          <w:sz w:val="27"/>
          <w:rtl/>
        </w:rPr>
        <w:t xml:space="preserve"> من الإرباك لدى البعض في الحوزة العلمية في النجف، وات</w:t>
      </w:r>
      <w:r w:rsidR="001F2C2F" w:rsidRPr="00904FCB">
        <w:rPr>
          <w:rFonts w:hint="cs"/>
          <w:sz w:val="27"/>
          <w:rtl/>
        </w:rPr>
        <w:t>ُّ</w:t>
      </w:r>
      <w:r w:rsidRPr="00904FCB">
        <w:rPr>
          <w:rFonts w:hint="cs"/>
          <w:sz w:val="27"/>
          <w:rtl/>
        </w:rPr>
        <w:t>هم بسببه السيد الحكيم بأنه ذو ميول</w:t>
      </w:r>
      <w:r w:rsidR="001F2C2F" w:rsidRPr="00904FCB">
        <w:rPr>
          <w:rFonts w:hint="cs"/>
          <w:sz w:val="27"/>
          <w:rtl/>
        </w:rPr>
        <w:t>ٍ</w:t>
      </w:r>
      <w:r w:rsidRPr="00904FCB">
        <w:rPr>
          <w:rFonts w:hint="cs"/>
          <w:sz w:val="27"/>
          <w:rtl/>
        </w:rPr>
        <w:t xml:space="preserve"> انحرافية. وهذا الات</w:t>
      </w:r>
      <w:r w:rsidR="001F2C2F" w:rsidRPr="00904FCB">
        <w:rPr>
          <w:rFonts w:hint="cs"/>
          <w:sz w:val="27"/>
          <w:rtl/>
        </w:rPr>
        <w:t>ّ</w:t>
      </w:r>
      <w:r w:rsidRPr="00904FCB">
        <w:rPr>
          <w:rFonts w:hint="cs"/>
          <w:sz w:val="27"/>
          <w:rtl/>
        </w:rPr>
        <w:t>هام شبيه</w:t>
      </w:r>
      <w:r w:rsidR="001F2C2F" w:rsidRPr="00904FCB">
        <w:rPr>
          <w:rFonts w:hint="cs"/>
          <w:sz w:val="27"/>
          <w:rtl/>
        </w:rPr>
        <w:t>ٌ</w:t>
      </w:r>
      <w:r w:rsidRPr="00904FCB">
        <w:rPr>
          <w:rFonts w:hint="cs"/>
          <w:sz w:val="27"/>
          <w:rtl/>
        </w:rPr>
        <w:t xml:space="preserve"> بتلك التهم التي تنتشر بين حين وآخر في إيران</w:t>
      </w:r>
      <w:r w:rsidR="001F2C2F" w:rsidRPr="00904FCB">
        <w:rPr>
          <w:rFonts w:hint="cs"/>
          <w:sz w:val="27"/>
          <w:rtl/>
        </w:rPr>
        <w:t>،</w:t>
      </w:r>
      <w:r w:rsidRPr="00904FCB">
        <w:rPr>
          <w:rFonts w:hint="cs"/>
          <w:sz w:val="27"/>
          <w:rtl/>
        </w:rPr>
        <w:t xml:space="preserve"> من قبيل</w:t>
      </w:r>
      <w:r w:rsidR="001F2C2F" w:rsidRPr="00904FCB">
        <w:rPr>
          <w:rFonts w:hint="cs"/>
          <w:sz w:val="27"/>
          <w:rtl/>
        </w:rPr>
        <w:t>:</w:t>
      </w:r>
      <w:r w:rsidRPr="00904FCB">
        <w:rPr>
          <w:rFonts w:hint="cs"/>
          <w:sz w:val="27"/>
          <w:rtl/>
        </w:rPr>
        <w:t xml:space="preserve"> الوصم بالميول الوهابية والسن</w:t>
      </w:r>
      <w:r w:rsidR="001F2C2F" w:rsidRPr="00904FCB">
        <w:rPr>
          <w:rFonts w:hint="cs"/>
          <w:sz w:val="27"/>
          <w:rtl/>
        </w:rPr>
        <w:t>ّ</w:t>
      </w:r>
      <w:r w:rsidRPr="00904FCB">
        <w:rPr>
          <w:rFonts w:hint="cs"/>
          <w:sz w:val="27"/>
          <w:rtl/>
        </w:rPr>
        <w:t>ية. وقد استند هؤلاء في ات</w:t>
      </w:r>
      <w:r w:rsidR="001F2C2F" w:rsidRPr="00904FCB">
        <w:rPr>
          <w:rFonts w:hint="cs"/>
          <w:sz w:val="27"/>
          <w:rtl/>
        </w:rPr>
        <w:t>ّ</w:t>
      </w:r>
      <w:r w:rsidRPr="00904FCB">
        <w:rPr>
          <w:rFonts w:hint="cs"/>
          <w:sz w:val="27"/>
          <w:rtl/>
        </w:rPr>
        <w:t xml:space="preserve">هامهم </w:t>
      </w:r>
      <w:r w:rsidR="001F2C2F" w:rsidRPr="00904FCB">
        <w:rPr>
          <w:rFonts w:hint="cs"/>
          <w:sz w:val="27"/>
          <w:rtl/>
        </w:rPr>
        <w:t xml:space="preserve">ـ </w:t>
      </w:r>
      <w:r w:rsidRPr="00904FCB">
        <w:rPr>
          <w:rFonts w:hint="cs"/>
          <w:sz w:val="27"/>
          <w:rtl/>
        </w:rPr>
        <w:t>حسب ما يدّ</w:t>
      </w:r>
      <w:r w:rsidR="001F2C2F" w:rsidRPr="00904FCB">
        <w:rPr>
          <w:rFonts w:hint="cs"/>
          <w:sz w:val="27"/>
          <w:rtl/>
        </w:rPr>
        <w:t>َ</w:t>
      </w:r>
      <w:r w:rsidRPr="00904FCB">
        <w:rPr>
          <w:rFonts w:hint="cs"/>
          <w:sz w:val="27"/>
          <w:rtl/>
        </w:rPr>
        <w:t xml:space="preserve">عون </w:t>
      </w:r>
      <w:r w:rsidR="001F2C2F" w:rsidRPr="00904FCB">
        <w:rPr>
          <w:rFonts w:hint="cs"/>
          <w:sz w:val="27"/>
          <w:rtl/>
        </w:rPr>
        <w:t xml:space="preserve">ـ </w:t>
      </w:r>
      <w:r w:rsidRPr="00904FCB">
        <w:rPr>
          <w:rFonts w:hint="cs"/>
          <w:sz w:val="27"/>
          <w:rtl/>
        </w:rPr>
        <w:t xml:space="preserve">إلى بعض الفتاوى التي اشتمل عليها هذا الكتاب. </w:t>
      </w:r>
    </w:p>
    <w:p w:rsidR="001F2C2F" w:rsidRPr="00904FCB" w:rsidRDefault="00F34FB9" w:rsidP="00F636E3">
      <w:pPr>
        <w:rPr>
          <w:sz w:val="27"/>
          <w:rtl/>
        </w:rPr>
      </w:pPr>
      <w:r w:rsidRPr="002831B1">
        <w:rPr>
          <w:rFonts w:hint="cs"/>
          <w:sz w:val="27"/>
          <w:rtl/>
        </w:rPr>
        <w:t>2</w:t>
      </w:r>
      <w:r w:rsidRPr="002831B1">
        <w:rPr>
          <w:sz w:val="27"/>
          <w:rtl/>
        </w:rPr>
        <w:t>ـ</w:t>
      </w:r>
      <w:r w:rsidRPr="00904FCB">
        <w:rPr>
          <w:rFonts w:hint="cs"/>
          <w:sz w:val="27"/>
          <w:rtl/>
        </w:rPr>
        <w:t xml:space="preserve"> ينبغي أن ي</w:t>
      </w:r>
      <w:r w:rsidR="001F2C2F" w:rsidRPr="00904FCB">
        <w:rPr>
          <w:rFonts w:hint="cs"/>
          <w:sz w:val="27"/>
          <w:rtl/>
        </w:rPr>
        <w:t>ُ</w:t>
      </w:r>
      <w:r w:rsidRPr="00904FCB">
        <w:rPr>
          <w:rFonts w:hint="cs"/>
          <w:sz w:val="27"/>
          <w:rtl/>
        </w:rPr>
        <w:t>قال</w:t>
      </w:r>
      <w:r w:rsidR="001F2C2F" w:rsidRPr="00904FCB">
        <w:rPr>
          <w:rFonts w:hint="cs"/>
          <w:sz w:val="27"/>
          <w:rtl/>
        </w:rPr>
        <w:t>:</w:t>
      </w:r>
      <w:r w:rsidRPr="00904FCB">
        <w:rPr>
          <w:rFonts w:hint="cs"/>
          <w:sz w:val="27"/>
          <w:rtl/>
        </w:rPr>
        <w:t xml:space="preserve"> </w:t>
      </w:r>
      <w:r w:rsidR="001F2C2F" w:rsidRPr="00904FCB">
        <w:rPr>
          <w:rFonts w:hint="cs"/>
          <w:sz w:val="27"/>
          <w:rtl/>
        </w:rPr>
        <w:t>إ</w:t>
      </w:r>
      <w:r w:rsidRPr="00904FCB">
        <w:rPr>
          <w:rFonts w:hint="cs"/>
          <w:sz w:val="27"/>
          <w:rtl/>
        </w:rPr>
        <w:t>ن الحوزة العلميّة في النجف بنحو</w:t>
      </w:r>
      <w:r w:rsidR="001F2C2F" w:rsidRPr="00904FCB">
        <w:rPr>
          <w:rFonts w:hint="cs"/>
          <w:sz w:val="27"/>
          <w:rtl/>
        </w:rPr>
        <w:t>ٍ</w:t>
      </w:r>
      <w:r w:rsidRPr="00904FCB">
        <w:rPr>
          <w:rFonts w:hint="cs"/>
          <w:sz w:val="27"/>
          <w:rtl/>
        </w:rPr>
        <w:t xml:space="preserve"> عام عاشت حالة من الازدواجية</w:t>
      </w:r>
      <w:r w:rsidR="001F2C2F" w:rsidRPr="00904FCB">
        <w:rPr>
          <w:rFonts w:hint="cs"/>
          <w:sz w:val="27"/>
          <w:rtl/>
        </w:rPr>
        <w:t>؛</w:t>
      </w:r>
      <w:r w:rsidRPr="00904FCB">
        <w:rPr>
          <w:rFonts w:hint="cs"/>
          <w:sz w:val="27"/>
          <w:rtl/>
        </w:rPr>
        <w:t xml:space="preserve"> فمن جهة كانت مركزا</w:t>
      </w:r>
      <w:r w:rsidR="001F2C2F" w:rsidRPr="00904FCB">
        <w:rPr>
          <w:rFonts w:hint="cs"/>
          <w:sz w:val="27"/>
          <w:rtl/>
        </w:rPr>
        <w:t>ً</w:t>
      </w:r>
      <w:r w:rsidRPr="00904FCB">
        <w:rPr>
          <w:rFonts w:hint="cs"/>
          <w:sz w:val="27"/>
          <w:rtl/>
        </w:rPr>
        <w:t xml:space="preserve"> يحتضن مختلف الآراء والأفكار على تنو</w:t>
      </w:r>
      <w:r w:rsidR="001F2C2F" w:rsidRPr="00904FCB">
        <w:rPr>
          <w:rFonts w:hint="cs"/>
          <w:sz w:val="27"/>
          <w:rtl/>
        </w:rPr>
        <w:t>ُّ</w:t>
      </w:r>
      <w:r w:rsidRPr="00904FCB">
        <w:rPr>
          <w:rFonts w:hint="cs"/>
          <w:sz w:val="27"/>
          <w:rtl/>
        </w:rPr>
        <w:t>عها، حتى يُتصو</w:t>
      </w:r>
      <w:r w:rsidR="001F2C2F" w:rsidRPr="00904FCB">
        <w:rPr>
          <w:rFonts w:hint="cs"/>
          <w:sz w:val="27"/>
          <w:rtl/>
        </w:rPr>
        <w:t>َّ</w:t>
      </w:r>
      <w:r w:rsidRPr="00904FCB">
        <w:rPr>
          <w:rFonts w:hint="cs"/>
          <w:sz w:val="27"/>
          <w:rtl/>
        </w:rPr>
        <w:t>ر أن لها القدرة على استيعاب الاتجاهات الفكرية المتنو</w:t>
      </w:r>
      <w:r w:rsidR="001F2C2F" w:rsidRPr="00904FCB">
        <w:rPr>
          <w:rFonts w:hint="cs"/>
          <w:sz w:val="27"/>
          <w:rtl/>
        </w:rPr>
        <w:t>ِّ</w:t>
      </w:r>
      <w:r w:rsidRPr="00904FCB">
        <w:rPr>
          <w:rFonts w:hint="cs"/>
          <w:sz w:val="27"/>
          <w:rtl/>
        </w:rPr>
        <w:t>عة</w:t>
      </w:r>
      <w:r w:rsidR="001F2C2F" w:rsidRPr="00904FCB">
        <w:rPr>
          <w:rFonts w:hint="cs"/>
          <w:sz w:val="27"/>
          <w:rtl/>
        </w:rPr>
        <w:t>؛</w:t>
      </w:r>
      <w:r w:rsidRPr="00904FCB">
        <w:rPr>
          <w:rFonts w:hint="cs"/>
          <w:sz w:val="27"/>
          <w:rtl/>
        </w:rPr>
        <w:t xml:space="preserve"> ومن جهة</w:t>
      </w:r>
      <w:r w:rsidR="001F2C2F" w:rsidRPr="00904FCB">
        <w:rPr>
          <w:rFonts w:hint="cs"/>
          <w:sz w:val="27"/>
          <w:rtl/>
        </w:rPr>
        <w:t>ٍ</w:t>
      </w:r>
      <w:r w:rsidRPr="00904FCB">
        <w:rPr>
          <w:rFonts w:hint="cs"/>
          <w:sz w:val="27"/>
          <w:rtl/>
        </w:rPr>
        <w:t xml:space="preserve"> أخرى</w:t>
      </w:r>
      <w:r w:rsidR="001F2C2F" w:rsidRPr="00904FCB">
        <w:rPr>
          <w:rFonts w:hint="cs"/>
          <w:sz w:val="27"/>
          <w:rtl/>
        </w:rPr>
        <w:t>،</w:t>
      </w:r>
      <w:r w:rsidRPr="00904FCB">
        <w:rPr>
          <w:rFonts w:hint="cs"/>
          <w:sz w:val="27"/>
          <w:rtl/>
        </w:rPr>
        <w:t xml:space="preserve"> وفي ظروف خاص</w:t>
      </w:r>
      <w:r w:rsidR="001F2C2F" w:rsidRPr="00904FCB">
        <w:rPr>
          <w:rFonts w:hint="cs"/>
          <w:sz w:val="27"/>
          <w:rtl/>
        </w:rPr>
        <w:t>ّ</w:t>
      </w:r>
      <w:r w:rsidRPr="00904FCB">
        <w:rPr>
          <w:rFonts w:hint="cs"/>
          <w:sz w:val="27"/>
          <w:rtl/>
        </w:rPr>
        <w:t>ة</w:t>
      </w:r>
      <w:r w:rsidR="001F2C2F" w:rsidRPr="00904FCB">
        <w:rPr>
          <w:rFonts w:hint="cs"/>
          <w:sz w:val="27"/>
          <w:rtl/>
        </w:rPr>
        <w:t>،</w:t>
      </w:r>
      <w:r w:rsidRPr="00904FCB">
        <w:rPr>
          <w:rFonts w:hint="cs"/>
          <w:sz w:val="27"/>
          <w:rtl/>
        </w:rPr>
        <w:t xml:space="preserve"> تتعامل بقسوة</w:t>
      </w:r>
      <w:r w:rsidR="001F2C2F" w:rsidRPr="00904FCB">
        <w:rPr>
          <w:rFonts w:hint="cs"/>
          <w:sz w:val="27"/>
          <w:rtl/>
        </w:rPr>
        <w:t>ٍ</w:t>
      </w:r>
      <w:r w:rsidRPr="00904FCB">
        <w:rPr>
          <w:rFonts w:hint="cs"/>
          <w:sz w:val="27"/>
          <w:rtl/>
        </w:rPr>
        <w:t xml:space="preserve"> مع بعض الحالات</w:t>
      </w:r>
      <w:r w:rsidR="001F2C2F" w:rsidRPr="00904FCB">
        <w:rPr>
          <w:rFonts w:hint="cs"/>
          <w:sz w:val="27"/>
          <w:rtl/>
        </w:rPr>
        <w:t>،</w:t>
      </w:r>
      <w:r w:rsidRPr="00904FCB">
        <w:rPr>
          <w:rFonts w:hint="cs"/>
          <w:sz w:val="27"/>
          <w:rtl/>
        </w:rPr>
        <w:t xml:space="preserve"> ومنها محل</w:t>
      </w:r>
      <w:r w:rsidR="001F2C2F" w:rsidRPr="00904FCB">
        <w:rPr>
          <w:rFonts w:hint="cs"/>
          <w:sz w:val="27"/>
          <w:rtl/>
        </w:rPr>
        <w:t>ّ</w:t>
      </w:r>
      <w:r w:rsidRPr="00904FCB">
        <w:rPr>
          <w:rFonts w:hint="cs"/>
          <w:sz w:val="27"/>
          <w:rtl/>
        </w:rPr>
        <w:t xml:space="preserve"> بحثنا، وربما يهاجم فيها أفراد</w:t>
      </w:r>
      <w:r w:rsidR="001F2C2F" w:rsidRPr="00904FCB">
        <w:rPr>
          <w:rFonts w:hint="cs"/>
          <w:sz w:val="27"/>
          <w:rtl/>
        </w:rPr>
        <w:t>ٌ</w:t>
      </w:r>
      <w:r w:rsidRPr="00904FCB">
        <w:rPr>
          <w:rFonts w:hint="cs"/>
          <w:sz w:val="27"/>
          <w:rtl/>
        </w:rPr>
        <w:t xml:space="preserve"> أو تيارات</w:t>
      </w:r>
      <w:r w:rsidR="001F2C2F" w:rsidRPr="00904FCB">
        <w:rPr>
          <w:rFonts w:hint="cs"/>
          <w:sz w:val="27"/>
          <w:rtl/>
        </w:rPr>
        <w:t>،</w:t>
      </w:r>
      <w:r w:rsidRPr="00904FCB">
        <w:rPr>
          <w:rFonts w:hint="cs"/>
          <w:sz w:val="27"/>
          <w:rtl/>
        </w:rPr>
        <w:t xml:space="preserve"> وأحيانا</w:t>
      </w:r>
      <w:r w:rsidR="001F2C2F" w:rsidRPr="00904FCB">
        <w:rPr>
          <w:rFonts w:hint="cs"/>
          <w:sz w:val="27"/>
          <w:rtl/>
        </w:rPr>
        <w:t>ً بدوافع غير علمية.</w:t>
      </w:r>
    </w:p>
    <w:p w:rsidR="006E64C4" w:rsidRPr="00904FCB" w:rsidRDefault="00F34FB9" w:rsidP="007A21AA">
      <w:pPr>
        <w:spacing w:line="400" w:lineRule="exact"/>
        <w:rPr>
          <w:sz w:val="27"/>
          <w:rtl/>
        </w:rPr>
      </w:pPr>
      <w:r w:rsidRPr="00904FCB">
        <w:rPr>
          <w:rFonts w:hint="cs"/>
          <w:sz w:val="27"/>
          <w:rtl/>
        </w:rPr>
        <w:t xml:space="preserve">والنموذج المرتبط بكتاب </w:t>
      </w:r>
      <w:r w:rsidR="001F2C2F" w:rsidRPr="00904FCB">
        <w:rPr>
          <w:rFonts w:hint="cs"/>
          <w:sz w:val="27"/>
          <w:rtl/>
        </w:rPr>
        <w:t>السيد</w:t>
      </w:r>
      <w:r w:rsidRPr="00904FCB">
        <w:rPr>
          <w:rFonts w:hint="cs"/>
          <w:sz w:val="27"/>
          <w:rtl/>
        </w:rPr>
        <w:t xml:space="preserve"> الحكيم تجربة مثيرة صدرت عن علماء كبار، </w:t>
      </w:r>
      <w:r w:rsidR="006E64C4" w:rsidRPr="00904FCB">
        <w:rPr>
          <w:rFonts w:hint="cs"/>
          <w:sz w:val="27"/>
          <w:rtl/>
        </w:rPr>
        <w:t>و</w:t>
      </w:r>
      <w:r w:rsidRPr="00904FCB">
        <w:rPr>
          <w:rFonts w:hint="cs"/>
          <w:sz w:val="27"/>
          <w:rtl/>
        </w:rPr>
        <w:t>مجهولي الهوية</w:t>
      </w:r>
      <w:r w:rsidR="006E64C4" w:rsidRPr="00904FCB">
        <w:rPr>
          <w:rFonts w:hint="cs"/>
          <w:sz w:val="27"/>
          <w:rtl/>
        </w:rPr>
        <w:t xml:space="preserve"> غالباً</w:t>
      </w:r>
      <w:r w:rsidRPr="00904FCB">
        <w:rPr>
          <w:rFonts w:hint="cs"/>
          <w:sz w:val="27"/>
          <w:rtl/>
        </w:rPr>
        <w:t>، ثم</w:t>
      </w:r>
      <w:r w:rsidR="006E64C4" w:rsidRPr="00904FCB">
        <w:rPr>
          <w:rFonts w:hint="cs"/>
          <w:sz w:val="27"/>
          <w:rtl/>
        </w:rPr>
        <w:t>ّ</w:t>
      </w:r>
      <w:r w:rsidRPr="00904FCB">
        <w:rPr>
          <w:rFonts w:hint="cs"/>
          <w:sz w:val="27"/>
          <w:rtl/>
        </w:rPr>
        <w:t xml:space="preserve"> خمدت ونامت بعد برهة</w:t>
      </w:r>
      <w:r w:rsidR="006E64C4" w:rsidRPr="00904FCB">
        <w:rPr>
          <w:rFonts w:hint="cs"/>
          <w:sz w:val="27"/>
          <w:rtl/>
        </w:rPr>
        <w:t>ٍ</w:t>
      </w:r>
      <w:r w:rsidRPr="00904FCB">
        <w:rPr>
          <w:rFonts w:hint="cs"/>
          <w:sz w:val="27"/>
          <w:rtl/>
        </w:rPr>
        <w:t xml:space="preserve"> قصيرة من الزمن</w:t>
      </w:r>
      <w:r w:rsidR="006E64C4" w:rsidRPr="00904FCB">
        <w:rPr>
          <w:rFonts w:hint="cs"/>
          <w:sz w:val="27"/>
          <w:rtl/>
        </w:rPr>
        <w:t>،</w:t>
      </w:r>
      <w:r w:rsidRPr="00904FCB">
        <w:rPr>
          <w:rFonts w:hint="cs"/>
          <w:sz w:val="27"/>
          <w:rtl/>
        </w:rPr>
        <w:t xml:space="preserve"> ولم تستمر</w:t>
      </w:r>
      <w:r w:rsidR="006E64C4" w:rsidRPr="00904FCB">
        <w:rPr>
          <w:rFonts w:hint="cs"/>
          <w:sz w:val="27"/>
          <w:rtl/>
        </w:rPr>
        <w:t>ّ.</w:t>
      </w:r>
    </w:p>
    <w:p w:rsidR="00F34FB9" w:rsidRPr="00904FCB" w:rsidRDefault="00F34FB9" w:rsidP="000817FF">
      <w:pPr>
        <w:spacing w:line="410" w:lineRule="exact"/>
        <w:ind w:firstLine="561"/>
        <w:rPr>
          <w:sz w:val="27"/>
          <w:rtl/>
        </w:rPr>
      </w:pPr>
      <w:r w:rsidRPr="00904FCB">
        <w:rPr>
          <w:rFonts w:hint="cs"/>
          <w:sz w:val="27"/>
          <w:rtl/>
        </w:rPr>
        <w:lastRenderedPageBreak/>
        <w:t>تحليل تلك الظروف صعب</w:t>
      </w:r>
      <w:r w:rsidR="006E64C4" w:rsidRPr="00904FCB">
        <w:rPr>
          <w:rFonts w:hint="cs"/>
          <w:sz w:val="27"/>
          <w:rtl/>
        </w:rPr>
        <w:t>ٌ</w:t>
      </w:r>
      <w:r w:rsidRPr="00904FCB">
        <w:rPr>
          <w:rFonts w:hint="cs"/>
          <w:sz w:val="27"/>
          <w:rtl/>
        </w:rPr>
        <w:t xml:space="preserve"> للغاية، لكن</w:t>
      </w:r>
      <w:r w:rsidR="006E64C4" w:rsidRPr="00904FCB">
        <w:rPr>
          <w:rFonts w:hint="cs"/>
          <w:sz w:val="27"/>
          <w:rtl/>
        </w:rPr>
        <w:t>ّ</w:t>
      </w:r>
      <w:r w:rsidRPr="00904FCB">
        <w:rPr>
          <w:rFonts w:hint="cs"/>
          <w:sz w:val="27"/>
          <w:rtl/>
        </w:rPr>
        <w:t xml:space="preserve">نا نسعى إلى الخوض في هذه التجربة الشائكة. </w:t>
      </w:r>
    </w:p>
    <w:p w:rsidR="00F34FB9" w:rsidRPr="00904FCB" w:rsidRDefault="00F34FB9" w:rsidP="009B2465">
      <w:pPr>
        <w:spacing w:line="400" w:lineRule="exact"/>
        <w:ind w:firstLine="561"/>
        <w:rPr>
          <w:sz w:val="27"/>
          <w:rtl/>
        </w:rPr>
      </w:pPr>
      <w:r w:rsidRPr="002831B1">
        <w:rPr>
          <w:rFonts w:hint="cs"/>
          <w:sz w:val="27"/>
          <w:rtl/>
        </w:rPr>
        <w:t>3</w:t>
      </w:r>
      <w:r w:rsidRPr="002831B1">
        <w:rPr>
          <w:sz w:val="27"/>
          <w:rtl/>
        </w:rPr>
        <w:t>ـ</w:t>
      </w:r>
      <w:r w:rsidRPr="00904FCB">
        <w:rPr>
          <w:rFonts w:hint="cs"/>
          <w:sz w:val="27"/>
          <w:rtl/>
        </w:rPr>
        <w:t xml:space="preserve"> في تلك الفترة نشرت كراسة من ثمان</w:t>
      </w:r>
      <w:r w:rsidR="006E64C4" w:rsidRPr="00904FCB">
        <w:rPr>
          <w:rFonts w:hint="cs"/>
          <w:sz w:val="27"/>
          <w:rtl/>
        </w:rPr>
        <w:t>ي</w:t>
      </w:r>
      <w:r w:rsidRPr="00904FCB">
        <w:rPr>
          <w:rFonts w:hint="cs"/>
          <w:sz w:val="27"/>
          <w:rtl/>
        </w:rPr>
        <w:t xml:space="preserve"> صفحات، وباللغتين العربية والفارسية، حملت عنوان: </w:t>
      </w:r>
      <w:r w:rsidR="006E64C4" w:rsidRPr="00904FCB">
        <w:rPr>
          <w:rFonts w:hint="cs"/>
          <w:sz w:val="27"/>
          <w:rtl/>
        </w:rPr>
        <w:t>(</w:t>
      </w:r>
      <w:r w:rsidRPr="00904FCB">
        <w:rPr>
          <w:rFonts w:hint="cs"/>
          <w:sz w:val="27"/>
          <w:rtl/>
        </w:rPr>
        <w:t>أباطيل الحكيم</w:t>
      </w:r>
      <w:r w:rsidR="006E64C4" w:rsidRPr="00904FCB">
        <w:rPr>
          <w:rFonts w:hint="cs"/>
          <w:sz w:val="27"/>
          <w:rtl/>
        </w:rPr>
        <w:t>)</w:t>
      </w:r>
      <w:r w:rsidRPr="00904FCB">
        <w:rPr>
          <w:rFonts w:hint="cs"/>
          <w:sz w:val="27"/>
          <w:rtl/>
        </w:rPr>
        <w:t xml:space="preserve">، وبعنوان فرعي هو </w:t>
      </w:r>
      <w:r w:rsidR="006E64C4" w:rsidRPr="00904FCB">
        <w:rPr>
          <w:rFonts w:hint="eastAsia"/>
          <w:sz w:val="27"/>
          <w:rtl/>
        </w:rPr>
        <w:t>«</w:t>
      </w:r>
      <w:r w:rsidR="006E64C4" w:rsidRPr="00904FCB">
        <w:rPr>
          <w:rFonts w:hint="cs"/>
          <w:sz w:val="27"/>
          <w:rtl/>
        </w:rPr>
        <w:t>إ</w:t>
      </w:r>
      <w:r w:rsidRPr="00904FCB">
        <w:rPr>
          <w:rFonts w:hint="cs"/>
          <w:sz w:val="27"/>
          <w:rtl/>
        </w:rPr>
        <w:t>علان الحقيقة</w:t>
      </w:r>
      <w:r w:rsidRPr="00904FCB">
        <w:rPr>
          <w:rFonts w:hint="eastAsia"/>
          <w:sz w:val="27"/>
          <w:rtl/>
        </w:rPr>
        <w:t>»</w:t>
      </w:r>
      <w:r w:rsidRPr="00904FCB">
        <w:rPr>
          <w:rFonts w:hint="cs"/>
          <w:sz w:val="27"/>
          <w:rtl/>
        </w:rPr>
        <w:t xml:space="preserve">، أو </w:t>
      </w:r>
      <w:r w:rsidRPr="00904FCB">
        <w:rPr>
          <w:rFonts w:hint="eastAsia"/>
          <w:sz w:val="27"/>
          <w:rtl/>
        </w:rPr>
        <w:t>«</w:t>
      </w:r>
      <w:r w:rsidRPr="00904FCB">
        <w:rPr>
          <w:rFonts w:hint="cs"/>
          <w:sz w:val="27"/>
          <w:rtl/>
        </w:rPr>
        <w:t>حقيقت روشن</w:t>
      </w:r>
      <w:r w:rsidRPr="00904FCB">
        <w:rPr>
          <w:rFonts w:hint="eastAsia"/>
          <w:sz w:val="27"/>
          <w:rtl/>
        </w:rPr>
        <w:t>»</w:t>
      </w:r>
      <w:r w:rsidRPr="00904FCB">
        <w:rPr>
          <w:rFonts w:hint="cs"/>
          <w:sz w:val="27"/>
          <w:rtl/>
        </w:rPr>
        <w:t xml:space="preserve"> بالفارسية. ويبدو من الغلاف أن هذه الكراسة هي قسم من كتاب يحمل عنوان: </w:t>
      </w:r>
      <w:r w:rsidR="006E64C4" w:rsidRPr="00904FCB">
        <w:rPr>
          <w:rFonts w:hint="cs"/>
          <w:sz w:val="27"/>
          <w:rtl/>
        </w:rPr>
        <w:t>(</w:t>
      </w:r>
      <w:r w:rsidRPr="00904FCB">
        <w:rPr>
          <w:rFonts w:hint="cs"/>
          <w:sz w:val="27"/>
          <w:rtl/>
        </w:rPr>
        <w:t>الحق يدمغ الباطل</w:t>
      </w:r>
      <w:r w:rsidR="006E64C4" w:rsidRPr="00904FCB">
        <w:rPr>
          <w:rFonts w:hint="cs"/>
          <w:sz w:val="27"/>
          <w:rtl/>
        </w:rPr>
        <w:t>)</w:t>
      </w:r>
      <w:r w:rsidRPr="00904FCB">
        <w:rPr>
          <w:rFonts w:hint="cs"/>
          <w:sz w:val="27"/>
          <w:rtl/>
        </w:rPr>
        <w:t>. ولم يذكر صاحب الذريعة</w:t>
      </w:r>
      <w:r w:rsidRPr="00904FCB">
        <w:rPr>
          <w:sz w:val="27"/>
          <w:rtl/>
          <w:lang w:bidi="ar-IQ"/>
        </w:rPr>
        <w:t xml:space="preserve"> </w:t>
      </w:r>
      <w:r w:rsidR="006E64C4" w:rsidRPr="00904FCB">
        <w:rPr>
          <w:rFonts w:hint="cs"/>
          <w:sz w:val="27"/>
          <w:rtl/>
        </w:rPr>
        <w:t>إل</w:t>
      </w:r>
      <w:r w:rsidRPr="00904FCB">
        <w:rPr>
          <w:rFonts w:hint="cs"/>
          <w:sz w:val="27"/>
          <w:rtl/>
        </w:rPr>
        <w:t>ى تصانيف الشيعة</w:t>
      </w:r>
      <w:r w:rsidRPr="00904FCB">
        <w:rPr>
          <w:sz w:val="27"/>
          <w:rtl/>
        </w:rPr>
        <w:t xml:space="preserve"> </w:t>
      </w:r>
      <w:r w:rsidRPr="00904FCB">
        <w:rPr>
          <w:rFonts w:hint="cs"/>
          <w:sz w:val="27"/>
          <w:rtl/>
        </w:rPr>
        <w:t xml:space="preserve">[الشيخ </w:t>
      </w:r>
      <w:r w:rsidR="006E64C4" w:rsidRPr="00904FCB">
        <w:rPr>
          <w:rFonts w:hint="cs"/>
          <w:sz w:val="27"/>
          <w:rtl/>
        </w:rPr>
        <w:t>آ</w:t>
      </w:r>
      <w:r w:rsidRPr="00904FCB">
        <w:rPr>
          <w:rFonts w:hint="cs"/>
          <w:sz w:val="27"/>
          <w:rtl/>
        </w:rPr>
        <w:t xml:space="preserve">غا </w:t>
      </w:r>
      <w:r w:rsidR="009B2465" w:rsidRPr="00904FCB">
        <w:rPr>
          <w:rFonts w:ascii="Mosawi" w:eastAsiaTheme="minorHAnsi" w:hAnsi="Mosawi" w:cs="Abz-3 (Yagut)" w:hint="cs"/>
          <w:sz w:val="24"/>
          <w:szCs w:val="24"/>
          <w:rtl/>
        </w:rPr>
        <w:t>بزر</w:t>
      </w:r>
      <w:r w:rsidR="009B2465" w:rsidRPr="00904FCB">
        <w:rPr>
          <w:rFonts w:ascii="Mosawi" w:eastAsiaTheme="minorHAnsi" w:hAnsi="Mosawi" w:cs="Abz-3 (Yagut)"/>
          <w:sz w:val="24"/>
          <w:szCs w:val="24"/>
          <w:rtl/>
        </w:rPr>
        <w:t>گ</w:t>
      </w:r>
      <w:r w:rsidRPr="00904FCB">
        <w:rPr>
          <w:rFonts w:hint="cs"/>
          <w:sz w:val="27"/>
          <w:rtl/>
        </w:rPr>
        <w:t xml:space="preserve"> الطهراني</w:t>
      </w:r>
      <w:r w:rsidRPr="00904FCB">
        <w:rPr>
          <w:sz w:val="27"/>
          <w:rtl/>
        </w:rPr>
        <w:t>]</w:t>
      </w:r>
      <w:r w:rsidRPr="00904FCB">
        <w:rPr>
          <w:rFonts w:hint="cs"/>
          <w:sz w:val="27"/>
          <w:rtl/>
          <w:lang w:bidi="ar-IQ"/>
        </w:rPr>
        <w:t>(</w:t>
      </w:r>
      <w:r w:rsidRPr="002831B1">
        <w:rPr>
          <w:rFonts w:hint="cs"/>
          <w:sz w:val="27"/>
          <w:rtl/>
          <w:lang w:bidi="ar-IQ"/>
        </w:rPr>
        <w:t>1970</w:t>
      </w:r>
      <w:r w:rsidR="002831B1">
        <w:rPr>
          <w:rFonts w:hint="cs"/>
          <w:sz w:val="27"/>
          <w:rtl/>
        </w:rPr>
        <w:t>م</w:t>
      </w:r>
      <w:r w:rsidRPr="00904FCB">
        <w:rPr>
          <w:rFonts w:hint="cs"/>
          <w:sz w:val="27"/>
          <w:rtl/>
        </w:rPr>
        <w:t>) هذا الكتاب</w:t>
      </w:r>
      <w:r w:rsidR="006E64C4" w:rsidRPr="00904FCB">
        <w:rPr>
          <w:rFonts w:hint="cs"/>
          <w:sz w:val="27"/>
          <w:rtl/>
        </w:rPr>
        <w:t>.</w:t>
      </w:r>
      <w:r w:rsidRPr="00904FCB">
        <w:rPr>
          <w:rFonts w:hint="cs"/>
          <w:sz w:val="27"/>
          <w:rtl/>
        </w:rPr>
        <w:t xml:space="preserve"> ومن هنا يبدو أن هذا الكر</w:t>
      </w:r>
      <w:r w:rsidR="006E64C4" w:rsidRPr="00904FCB">
        <w:rPr>
          <w:rFonts w:hint="cs"/>
          <w:sz w:val="27"/>
          <w:rtl/>
        </w:rPr>
        <w:t>ّ</w:t>
      </w:r>
      <w:r w:rsidRPr="00904FCB">
        <w:rPr>
          <w:rFonts w:hint="cs"/>
          <w:sz w:val="27"/>
          <w:rtl/>
        </w:rPr>
        <w:t>اس على أقل تقدير لم يُن</w:t>
      </w:r>
      <w:r w:rsidR="006E64C4" w:rsidRPr="00904FCB">
        <w:rPr>
          <w:rFonts w:hint="cs"/>
          <w:sz w:val="27"/>
          <w:rtl/>
        </w:rPr>
        <w:t>ْ</w:t>
      </w:r>
      <w:r w:rsidRPr="00904FCB">
        <w:rPr>
          <w:rFonts w:hint="cs"/>
          <w:sz w:val="27"/>
          <w:rtl/>
        </w:rPr>
        <w:t>ش</w:t>
      </w:r>
      <w:r w:rsidR="006E64C4" w:rsidRPr="00904FCB">
        <w:rPr>
          <w:rFonts w:hint="cs"/>
          <w:sz w:val="27"/>
          <w:rtl/>
        </w:rPr>
        <w:t>َ</w:t>
      </w:r>
      <w:r w:rsidRPr="00904FCB">
        <w:rPr>
          <w:rFonts w:hint="cs"/>
          <w:sz w:val="27"/>
          <w:rtl/>
        </w:rPr>
        <w:t xml:space="preserve">ر. وكذلك لم يذكر في الذريعة عنوان </w:t>
      </w:r>
      <w:r w:rsidR="006E64C4" w:rsidRPr="00904FCB">
        <w:rPr>
          <w:rFonts w:hint="cs"/>
          <w:sz w:val="27"/>
          <w:rtl/>
        </w:rPr>
        <w:t>(</w:t>
      </w:r>
      <w:r w:rsidRPr="00904FCB">
        <w:rPr>
          <w:rFonts w:hint="cs"/>
          <w:sz w:val="27"/>
          <w:rtl/>
        </w:rPr>
        <w:t>أباطيل الحكيم</w:t>
      </w:r>
      <w:r w:rsidR="006E64C4" w:rsidRPr="00904FCB">
        <w:rPr>
          <w:rFonts w:hint="cs"/>
          <w:sz w:val="27"/>
          <w:rtl/>
        </w:rPr>
        <w:t>).</w:t>
      </w:r>
      <w:r w:rsidRPr="00904FCB">
        <w:rPr>
          <w:rFonts w:hint="cs"/>
          <w:sz w:val="27"/>
          <w:rtl/>
        </w:rPr>
        <w:t xml:space="preserve"> وربما لم تقع هذه الكراسة أو الكتاب في يد </w:t>
      </w:r>
      <w:r w:rsidR="006E64C4" w:rsidRPr="00904FCB">
        <w:rPr>
          <w:rFonts w:hint="cs"/>
          <w:sz w:val="27"/>
          <w:rtl/>
        </w:rPr>
        <w:t>آغ</w:t>
      </w:r>
      <w:r w:rsidRPr="00904FCB">
        <w:rPr>
          <w:rFonts w:hint="cs"/>
          <w:sz w:val="27"/>
          <w:rtl/>
        </w:rPr>
        <w:t xml:space="preserve">ا </w:t>
      </w:r>
      <w:r w:rsidR="009B2465" w:rsidRPr="00904FCB">
        <w:rPr>
          <w:rFonts w:ascii="Mosawi" w:eastAsiaTheme="minorHAnsi" w:hAnsi="Mosawi" w:cs="Abz-3 (Yagut)" w:hint="cs"/>
          <w:sz w:val="24"/>
          <w:szCs w:val="24"/>
          <w:rtl/>
        </w:rPr>
        <w:t>بزر</w:t>
      </w:r>
      <w:r w:rsidR="009B2465" w:rsidRPr="00904FCB">
        <w:rPr>
          <w:rFonts w:ascii="Mosawi" w:eastAsiaTheme="minorHAnsi" w:hAnsi="Mosawi" w:cs="Abz-3 (Yagut)"/>
          <w:sz w:val="24"/>
          <w:szCs w:val="24"/>
          <w:rtl/>
        </w:rPr>
        <w:t>گ</w:t>
      </w:r>
      <w:r w:rsidRPr="00904FCB">
        <w:rPr>
          <w:rFonts w:hint="cs"/>
          <w:sz w:val="27"/>
          <w:rtl/>
        </w:rPr>
        <w:t>، أو لم ي</w:t>
      </w:r>
      <w:r w:rsidR="006E64C4" w:rsidRPr="00904FCB">
        <w:rPr>
          <w:rFonts w:hint="cs"/>
          <w:sz w:val="27"/>
          <w:rtl/>
        </w:rPr>
        <w:t>َ</w:t>
      </w:r>
      <w:r w:rsidRPr="00904FCB">
        <w:rPr>
          <w:rFonts w:hint="cs"/>
          <w:sz w:val="27"/>
          <w:rtl/>
        </w:rPr>
        <w:t>ر</w:t>
      </w:r>
      <w:r w:rsidR="006E64C4" w:rsidRPr="00904FCB">
        <w:rPr>
          <w:rFonts w:hint="cs"/>
          <w:sz w:val="27"/>
          <w:rtl/>
        </w:rPr>
        <w:t>َ</w:t>
      </w:r>
      <w:r w:rsidRPr="00904FCB">
        <w:rPr>
          <w:rFonts w:hint="cs"/>
          <w:sz w:val="27"/>
          <w:rtl/>
        </w:rPr>
        <w:t xml:space="preserve"> أن هناك مصلحة في ذكره</w:t>
      </w:r>
      <w:r w:rsidRPr="00904FCB">
        <w:rPr>
          <w:sz w:val="27"/>
          <w:vertAlign w:val="superscript"/>
          <w:rtl/>
        </w:rPr>
        <w:t>(</w:t>
      </w:r>
      <w:r w:rsidRPr="00904FCB">
        <w:rPr>
          <w:rStyle w:val="ac"/>
          <w:sz w:val="27"/>
          <w:rtl/>
        </w:rPr>
        <w:endnoteReference w:id="702"/>
      </w:r>
      <w:r w:rsidRPr="00904FCB">
        <w:rPr>
          <w:sz w:val="27"/>
          <w:vertAlign w:val="superscript"/>
          <w:rtl/>
        </w:rPr>
        <w:t>)</w:t>
      </w:r>
      <w:r w:rsidRPr="00904FCB">
        <w:rPr>
          <w:rFonts w:hint="cs"/>
          <w:sz w:val="27"/>
          <w:rtl/>
        </w:rPr>
        <w:t>. يقول المدر</w:t>
      </w:r>
      <w:r w:rsidR="006E64C4" w:rsidRPr="00904FCB">
        <w:rPr>
          <w:rFonts w:hint="cs"/>
          <w:sz w:val="27"/>
          <w:rtl/>
        </w:rPr>
        <w:t>ّ</w:t>
      </w:r>
      <w:r w:rsidRPr="00904FCB">
        <w:rPr>
          <w:rFonts w:hint="cs"/>
          <w:sz w:val="27"/>
          <w:rtl/>
        </w:rPr>
        <w:t>س الكيلاني</w:t>
      </w:r>
      <w:r w:rsidR="006E64C4" w:rsidRPr="00904FCB">
        <w:rPr>
          <w:rFonts w:hint="cs"/>
          <w:sz w:val="27"/>
          <w:rtl/>
        </w:rPr>
        <w:t>،</w:t>
      </w:r>
      <w:r w:rsidRPr="00904FCB">
        <w:rPr>
          <w:rFonts w:hint="cs"/>
          <w:sz w:val="27"/>
          <w:rtl/>
        </w:rPr>
        <w:t xml:space="preserve"> الذي كان مقيما</w:t>
      </w:r>
      <w:r w:rsidR="006E64C4" w:rsidRPr="00904FCB">
        <w:rPr>
          <w:rFonts w:hint="cs"/>
          <w:sz w:val="27"/>
          <w:rtl/>
        </w:rPr>
        <w:t>ً</w:t>
      </w:r>
      <w:r w:rsidRPr="00904FCB">
        <w:rPr>
          <w:rFonts w:hint="cs"/>
          <w:sz w:val="27"/>
          <w:rtl/>
        </w:rPr>
        <w:t xml:space="preserve"> في النجف آنذاك: حينما نشر كتاب المستمسك للسيد الحكيم قام بعض مساعديه بطباعة وتوزيع الكر</w:t>
      </w:r>
      <w:r w:rsidR="006E64C4" w:rsidRPr="00904FCB">
        <w:rPr>
          <w:rFonts w:hint="cs"/>
          <w:sz w:val="27"/>
          <w:rtl/>
        </w:rPr>
        <w:t>ّ</w:t>
      </w:r>
      <w:r w:rsidRPr="00904FCB">
        <w:rPr>
          <w:rFonts w:hint="cs"/>
          <w:sz w:val="27"/>
          <w:rtl/>
        </w:rPr>
        <w:t>اس لتشويهه وذم</w:t>
      </w:r>
      <w:r w:rsidR="006E64C4" w:rsidRPr="00904FCB">
        <w:rPr>
          <w:rFonts w:hint="cs"/>
          <w:sz w:val="27"/>
          <w:rtl/>
        </w:rPr>
        <w:t>ّ</w:t>
      </w:r>
      <w:r w:rsidRPr="00904FCB">
        <w:rPr>
          <w:rFonts w:hint="cs"/>
          <w:sz w:val="27"/>
          <w:rtl/>
        </w:rPr>
        <w:t>ه. وكل</w:t>
      </w:r>
      <w:r w:rsidR="006E64C4" w:rsidRPr="00904FCB">
        <w:rPr>
          <w:rFonts w:hint="cs"/>
          <w:sz w:val="27"/>
          <w:rtl/>
        </w:rPr>
        <w:t>ّ</w:t>
      </w:r>
      <w:r w:rsidRPr="00904FCB">
        <w:rPr>
          <w:rFonts w:hint="cs"/>
          <w:sz w:val="27"/>
          <w:rtl/>
        </w:rPr>
        <w:t xml:space="preserve"> ذلك ناشئ</w:t>
      </w:r>
      <w:r w:rsidR="006E64C4" w:rsidRPr="00904FCB">
        <w:rPr>
          <w:rFonts w:hint="cs"/>
          <w:sz w:val="27"/>
          <w:rtl/>
        </w:rPr>
        <w:t>ٌ</w:t>
      </w:r>
      <w:r w:rsidRPr="00904FCB">
        <w:rPr>
          <w:rFonts w:hint="cs"/>
          <w:sz w:val="27"/>
          <w:rtl/>
        </w:rPr>
        <w:t xml:space="preserve"> من الحسد؛ لأن كل م</w:t>
      </w:r>
      <w:r w:rsidR="006E64C4" w:rsidRPr="00904FCB">
        <w:rPr>
          <w:rFonts w:hint="cs"/>
          <w:sz w:val="27"/>
          <w:rtl/>
        </w:rPr>
        <w:t>َ</w:t>
      </w:r>
      <w:r w:rsidRPr="00904FCB">
        <w:rPr>
          <w:rFonts w:hint="cs"/>
          <w:sz w:val="27"/>
          <w:rtl/>
        </w:rPr>
        <w:t>ن</w:t>
      </w:r>
      <w:r w:rsidR="006E64C4" w:rsidRPr="00904FCB">
        <w:rPr>
          <w:rFonts w:hint="cs"/>
          <w:sz w:val="27"/>
          <w:rtl/>
        </w:rPr>
        <w:t>ْ</w:t>
      </w:r>
      <w:r w:rsidRPr="00904FCB">
        <w:rPr>
          <w:rFonts w:hint="cs"/>
          <w:sz w:val="27"/>
          <w:rtl/>
        </w:rPr>
        <w:t xml:space="preserve"> له شيء</w:t>
      </w:r>
      <w:r w:rsidR="006E64C4" w:rsidRPr="00904FCB">
        <w:rPr>
          <w:rFonts w:hint="cs"/>
          <w:sz w:val="27"/>
          <w:rtl/>
        </w:rPr>
        <w:t>ٌ</w:t>
      </w:r>
      <w:r w:rsidRPr="00904FCB">
        <w:rPr>
          <w:rFonts w:hint="cs"/>
          <w:sz w:val="27"/>
          <w:rtl/>
        </w:rPr>
        <w:t xml:space="preserve"> من المعرفة يعلم بأنه مت</w:t>
      </w:r>
      <w:r w:rsidR="006E64C4" w:rsidRPr="00904FCB">
        <w:rPr>
          <w:rFonts w:hint="cs"/>
          <w:sz w:val="27"/>
          <w:rtl/>
        </w:rPr>
        <w:t>َّ</w:t>
      </w:r>
      <w:r w:rsidRPr="00904FCB">
        <w:rPr>
          <w:rFonts w:hint="cs"/>
          <w:sz w:val="27"/>
          <w:rtl/>
        </w:rPr>
        <w:t>فق عليه في الفقه</w:t>
      </w:r>
      <w:r w:rsidRPr="00904FCB">
        <w:rPr>
          <w:sz w:val="27"/>
          <w:vertAlign w:val="superscript"/>
          <w:rtl/>
        </w:rPr>
        <w:t>(</w:t>
      </w:r>
      <w:r w:rsidRPr="00904FCB">
        <w:rPr>
          <w:rStyle w:val="ac"/>
          <w:sz w:val="27"/>
          <w:rtl/>
        </w:rPr>
        <w:endnoteReference w:id="703"/>
      </w:r>
      <w:r w:rsidRPr="00904FCB">
        <w:rPr>
          <w:sz w:val="27"/>
          <w:vertAlign w:val="superscript"/>
          <w:rtl/>
        </w:rPr>
        <w:t>)</w:t>
      </w:r>
      <w:r w:rsidRPr="00904FCB">
        <w:rPr>
          <w:rFonts w:hint="cs"/>
          <w:sz w:val="27"/>
          <w:rtl/>
        </w:rPr>
        <w:t xml:space="preserve">. </w:t>
      </w:r>
    </w:p>
    <w:p w:rsidR="00F34FB9" w:rsidRPr="00904FCB" w:rsidRDefault="00F34FB9" w:rsidP="009B2465">
      <w:pPr>
        <w:spacing w:line="400" w:lineRule="exact"/>
        <w:ind w:firstLine="561"/>
        <w:rPr>
          <w:sz w:val="27"/>
          <w:rtl/>
        </w:rPr>
      </w:pPr>
      <w:r w:rsidRPr="002831B1">
        <w:rPr>
          <w:rFonts w:hint="cs"/>
          <w:sz w:val="27"/>
          <w:rtl/>
        </w:rPr>
        <w:t>4ـ</w:t>
      </w:r>
      <w:r w:rsidRPr="00904FCB">
        <w:rPr>
          <w:rFonts w:hint="cs"/>
          <w:sz w:val="27"/>
          <w:rtl/>
        </w:rPr>
        <w:t xml:space="preserve"> لا يُعرف مؤل</w:t>
      </w:r>
      <w:r w:rsidR="000B049E" w:rsidRPr="00904FCB">
        <w:rPr>
          <w:rFonts w:hint="cs"/>
          <w:sz w:val="27"/>
          <w:rtl/>
        </w:rPr>
        <w:t>ِّ</w:t>
      </w:r>
      <w:r w:rsidRPr="00904FCB">
        <w:rPr>
          <w:rFonts w:hint="cs"/>
          <w:sz w:val="27"/>
          <w:rtl/>
        </w:rPr>
        <w:t>فو هذه الكراسة (الرسالة) على وجه الدق</w:t>
      </w:r>
      <w:r w:rsidR="000B049E" w:rsidRPr="00904FCB">
        <w:rPr>
          <w:rFonts w:hint="cs"/>
          <w:sz w:val="27"/>
          <w:rtl/>
        </w:rPr>
        <w:t>ّ</w:t>
      </w:r>
      <w:r w:rsidRPr="00904FCB">
        <w:rPr>
          <w:rFonts w:hint="cs"/>
          <w:sz w:val="27"/>
          <w:rtl/>
        </w:rPr>
        <w:t>ة، لكن</w:t>
      </w:r>
      <w:r w:rsidR="000B049E" w:rsidRPr="00904FCB">
        <w:rPr>
          <w:rFonts w:hint="cs"/>
          <w:sz w:val="27"/>
          <w:rtl/>
        </w:rPr>
        <w:t>ْ</w:t>
      </w:r>
      <w:r w:rsidRPr="00904FCB">
        <w:rPr>
          <w:rFonts w:hint="cs"/>
          <w:sz w:val="27"/>
          <w:rtl/>
        </w:rPr>
        <w:t xml:space="preserve"> كما ورد في صفحتها الأخيرة بأن هذه الكراسة مؤل</w:t>
      </w:r>
      <w:r w:rsidR="000B049E" w:rsidRPr="00904FCB">
        <w:rPr>
          <w:rFonts w:hint="cs"/>
          <w:sz w:val="27"/>
          <w:rtl/>
        </w:rPr>
        <w:t>َّ</w:t>
      </w:r>
      <w:r w:rsidRPr="00904FCB">
        <w:rPr>
          <w:rFonts w:hint="cs"/>
          <w:sz w:val="27"/>
          <w:rtl/>
        </w:rPr>
        <w:t>فة من قبل الهيئة العلمية في النجف الأشرف. والمشهور أن مؤل</w:t>
      </w:r>
      <w:r w:rsidR="000B049E" w:rsidRPr="00904FCB">
        <w:rPr>
          <w:rFonts w:hint="cs"/>
          <w:sz w:val="27"/>
          <w:rtl/>
        </w:rPr>
        <w:t>ِّ</w:t>
      </w:r>
      <w:r w:rsidRPr="00904FCB">
        <w:rPr>
          <w:rFonts w:hint="cs"/>
          <w:sz w:val="27"/>
          <w:rtl/>
        </w:rPr>
        <w:t>فها هو شخص</w:t>
      </w:r>
      <w:r w:rsidR="000B049E" w:rsidRPr="00904FCB">
        <w:rPr>
          <w:rFonts w:hint="cs"/>
          <w:sz w:val="27"/>
          <w:rtl/>
        </w:rPr>
        <w:t>ٌ</w:t>
      </w:r>
      <w:r w:rsidRPr="00904FCB">
        <w:rPr>
          <w:rFonts w:hint="cs"/>
          <w:sz w:val="27"/>
          <w:rtl/>
        </w:rPr>
        <w:t xml:space="preserve"> ي</w:t>
      </w:r>
      <w:r w:rsidR="000B049E" w:rsidRPr="00904FCB">
        <w:rPr>
          <w:rFonts w:hint="cs"/>
          <w:sz w:val="27"/>
          <w:rtl/>
        </w:rPr>
        <w:t>ُ</w:t>
      </w:r>
      <w:r w:rsidRPr="00904FCB">
        <w:rPr>
          <w:rFonts w:hint="cs"/>
          <w:sz w:val="27"/>
          <w:rtl/>
        </w:rPr>
        <w:t>د</w:t>
      </w:r>
      <w:r w:rsidR="000B049E" w:rsidRPr="00904FCB">
        <w:rPr>
          <w:rFonts w:hint="cs"/>
          <w:sz w:val="27"/>
          <w:rtl/>
        </w:rPr>
        <w:t>ْ</w:t>
      </w:r>
      <w:r w:rsidRPr="00904FCB">
        <w:rPr>
          <w:rFonts w:hint="cs"/>
          <w:sz w:val="27"/>
          <w:rtl/>
        </w:rPr>
        <w:t>عى الشيخ عبد الكريم الزنجاني</w:t>
      </w:r>
      <w:r w:rsidRPr="00904FCB">
        <w:rPr>
          <w:rFonts w:hint="cs"/>
          <w:sz w:val="27"/>
          <w:rtl/>
          <w:lang w:bidi="ar-IQ"/>
        </w:rPr>
        <w:t>(</w:t>
      </w:r>
      <w:r w:rsidRPr="002831B1">
        <w:rPr>
          <w:rFonts w:hint="cs"/>
          <w:sz w:val="27"/>
          <w:rtl/>
          <w:lang w:bidi="ar-IQ"/>
        </w:rPr>
        <w:t>1968م</w:t>
      </w:r>
      <w:r w:rsidRPr="00904FCB">
        <w:rPr>
          <w:rFonts w:hint="cs"/>
          <w:sz w:val="27"/>
          <w:rtl/>
          <w:lang w:bidi="ar-LB"/>
        </w:rPr>
        <w:t>)</w:t>
      </w:r>
      <w:r w:rsidR="000B049E" w:rsidRPr="00904FCB">
        <w:rPr>
          <w:rFonts w:hint="cs"/>
          <w:sz w:val="27"/>
          <w:rtl/>
          <w:lang w:bidi="ar-LB"/>
        </w:rPr>
        <w:t>،</w:t>
      </w:r>
      <w:r w:rsidRPr="00904FCB">
        <w:rPr>
          <w:rFonts w:hint="cs"/>
          <w:sz w:val="27"/>
          <w:rtl/>
        </w:rPr>
        <w:t xml:space="preserve"> كان مقيما</w:t>
      </w:r>
      <w:r w:rsidR="000B049E" w:rsidRPr="00904FCB">
        <w:rPr>
          <w:rFonts w:hint="cs"/>
          <w:sz w:val="27"/>
          <w:rtl/>
        </w:rPr>
        <w:t>ً</w:t>
      </w:r>
      <w:r w:rsidRPr="00904FCB">
        <w:rPr>
          <w:rFonts w:hint="cs"/>
          <w:sz w:val="27"/>
          <w:rtl/>
        </w:rPr>
        <w:t xml:space="preserve"> في النجف</w:t>
      </w:r>
      <w:r w:rsidRPr="00904FCB">
        <w:rPr>
          <w:sz w:val="27"/>
          <w:vertAlign w:val="superscript"/>
          <w:rtl/>
        </w:rPr>
        <w:t>(</w:t>
      </w:r>
      <w:r w:rsidRPr="00904FCB">
        <w:rPr>
          <w:rStyle w:val="ac"/>
          <w:sz w:val="27"/>
          <w:rtl/>
        </w:rPr>
        <w:endnoteReference w:id="704"/>
      </w:r>
      <w:r w:rsidRPr="00904FCB">
        <w:rPr>
          <w:sz w:val="27"/>
          <w:vertAlign w:val="superscript"/>
          <w:rtl/>
        </w:rPr>
        <w:t>)</w:t>
      </w:r>
      <w:r w:rsidRPr="00904FCB">
        <w:rPr>
          <w:rFonts w:hint="cs"/>
          <w:sz w:val="27"/>
          <w:rtl/>
        </w:rPr>
        <w:t>. وفي هذا المجال يحتاج الأمر إلى بحث</w:t>
      </w:r>
      <w:r w:rsidR="000B049E" w:rsidRPr="00904FCB">
        <w:rPr>
          <w:rFonts w:hint="cs"/>
          <w:sz w:val="27"/>
          <w:rtl/>
        </w:rPr>
        <w:t>ٍ</w:t>
      </w:r>
      <w:r w:rsidRPr="00904FCB">
        <w:rPr>
          <w:rFonts w:hint="cs"/>
          <w:sz w:val="27"/>
          <w:rtl/>
        </w:rPr>
        <w:t xml:space="preserve"> وتنقيب بنحو</w:t>
      </w:r>
      <w:r w:rsidR="000B049E" w:rsidRPr="00904FCB">
        <w:rPr>
          <w:rFonts w:hint="cs"/>
          <w:sz w:val="27"/>
          <w:rtl/>
        </w:rPr>
        <w:t>ٍ</w:t>
      </w:r>
      <w:r w:rsidRPr="00904FCB">
        <w:rPr>
          <w:rFonts w:hint="cs"/>
          <w:sz w:val="27"/>
          <w:rtl/>
        </w:rPr>
        <w:t xml:space="preserve"> أكبر. وقد ذكرت هذه الكراسة </w:t>
      </w:r>
      <w:r w:rsidRPr="002831B1">
        <w:rPr>
          <w:rFonts w:hint="cs"/>
          <w:sz w:val="27"/>
          <w:rtl/>
        </w:rPr>
        <w:t>15</w:t>
      </w:r>
      <w:r w:rsidRPr="00904FCB">
        <w:rPr>
          <w:rFonts w:hint="cs"/>
          <w:sz w:val="27"/>
          <w:rtl/>
        </w:rPr>
        <w:t xml:space="preserve"> مورداً من فتاوى السيد الحكيم</w:t>
      </w:r>
      <w:r w:rsidR="000B049E" w:rsidRPr="00904FCB">
        <w:rPr>
          <w:rFonts w:hint="cs"/>
          <w:sz w:val="27"/>
          <w:rtl/>
        </w:rPr>
        <w:t>،</w:t>
      </w:r>
      <w:r w:rsidRPr="00904FCB">
        <w:rPr>
          <w:rFonts w:hint="cs"/>
          <w:sz w:val="27"/>
          <w:rtl/>
        </w:rPr>
        <w:t xml:space="preserve"> مشفوعة</w:t>
      </w:r>
      <w:r w:rsidR="000B049E" w:rsidRPr="00904FCB">
        <w:rPr>
          <w:rFonts w:hint="cs"/>
          <w:sz w:val="27"/>
          <w:rtl/>
        </w:rPr>
        <w:t>ً</w:t>
      </w:r>
      <w:r w:rsidRPr="00904FCB">
        <w:rPr>
          <w:rFonts w:hint="cs"/>
          <w:sz w:val="27"/>
          <w:rtl/>
        </w:rPr>
        <w:t xml:space="preserve"> بترجمة فارسية. والسبب وراء الترجمة الفارسية واضح، وهو أن يتعر</w:t>
      </w:r>
      <w:r w:rsidR="000B049E" w:rsidRPr="00904FCB">
        <w:rPr>
          <w:rFonts w:hint="cs"/>
          <w:sz w:val="27"/>
          <w:rtl/>
        </w:rPr>
        <w:t>َّ</w:t>
      </w:r>
      <w:r w:rsidRPr="00904FCB">
        <w:rPr>
          <w:rFonts w:hint="cs"/>
          <w:sz w:val="27"/>
          <w:rtl/>
        </w:rPr>
        <w:t>ف الناطق</w:t>
      </w:r>
      <w:r w:rsidR="00213AD2" w:rsidRPr="00904FCB">
        <w:rPr>
          <w:rFonts w:hint="cs"/>
          <w:sz w:val="27"/>
          <w:rtl/>
        </w:rPr>
        <w:t>و</w:t>
      </w:r>
      <w:r w:rsidRPr="00904FCB">
        <w:rPr>
          <w:rFonts w:hint="cs"/>
          <w:sz w:val="27"/>
          <w:rtl/>
        </w:rPr>
        <w:t>ن بالفارسية في إيران على الانحرافات الموجودة في هذا الكتاب</w:t>
      </w:r>
      <w:r w:rsidR="00213AD2" w:rsidRPr="00904FCB">
        <w:rPr>
          <w:rFonts w:hint="cs"/>
          <w:sz w:val="27"/>
          <w:rtl/>
        </w:rPr>
        <w:t>،</w:t>
      </w:r>
      <w:r w:rsidRPr="00904FCB">
        <w:rPr>
          <w:rFonts w:hint="cs"/>
          <w:sz w:val="27"/>
          <w:rtl/>
        </w:rPr>
        <w:t xml:space="preserve"> بح</w:t>
      </w:r>
      <w:r w:rsidR="00213AD2" w:rsidRPr="00904FCB">
        <w:rPr>
          <w:rFonts w:hint="cs"/>
          <w:sz w:val="27"/>
          <w:rtl/>
        </w:rPr>
        <w:t>َ</w:t>
      </w:r>
      <w:r w:rsidRPr="00904FCB">
        <w:rPr>
          <w:rFonts w:hint="cs"/>
          <w:sz w:val="27"/>
          <w:rtl/>
        </w:rPr>
        <w:t>س</w:t>
      </w:r>
      <w:r w:rsidR="00213AD2" w:rsidRPr="00904FCB">
        <w:rPr>
          <w:rFonts w:hint="cs"/>
          <w:sz w:val="27"/>
          <w:rtl/>
        </w:rPr>
        <w:t>َ</w:t>
      </w:r>
      <w:r w:rsidRPr="00904FCB">
        <w:rPr>
          <w:rFonts w:hint="cs"/>
          <w:sz w:val="27"/>
          <w:rtl/>
        </w:rPr>
        <w:t>ب رأي المؤل</w:t>
      </w:r>
      <w:r w:rsidR="00213AD2" w:rsidRPr="00904FCB">
        <w:rPr>
          <w:rFonts w:hint="cs"/>
          <w:sz w:val="27"/>
          <w:rtl/>
        </w:rPr>
        <w:t>ِّ</w:t>
      </w:r>
      <w:r w:rsidRPr="00904FCB">
        <w:rPr>
          <w:rFonts w:hint="cs"/>
          <w:sz w:val="27"/>
          <w:rtl/>
        </w:rPr>
        <w:t>ف. وقد طبعت هذه الكر</w:t>
      </w:r>
      <w:r w:rsidR="00213AD2" w:rsidRPr="00904FCB">
        <w:rPr>
          <w:rFonts w:hint="cs"/>
          <w:sz w:val="27"/>
          <w:rtl/>
        </w:rPr>
        <w:t>ّ</w:t>
      </w:r>
      <w:r w:rsidRPr="00904FCB">
        <w:rPr>
          <w:rFonts w:hint="cs"/>
          <w:sz w:val="27"/>
          <w:rtl/>
        </w:rPr>
        <w:t>اسة ونشرت، وتم</w:t>
      </w:r>
      <w:r w:rsidR="00213AD2" w:rsidRPr="00904FCB">
        <w:rPr>
          <w:rFonts w:hint="cs"/>
          <w:sz w:val="27"/>
          <w:rtl/>
        </w:rPr>
        <w:t>ّ</w:t>
      </w:r>
      <w:r w:rsidRPr="00904FCB">
        <w:rPr>
          <w:rFonts w:hint="cs"/>
          <w:sz w:val="27"/>
          <w:rtl/>
        </w:rPr>
        <w:t xml:space="preserve"> إرسالها إلى مختلف المدن الإيرانية</w:t>
      </w:r>
      <w:r w:rsidR="00213AD2" w:rsidRPr="00904FCB">
        <w:rPr>
          <w:rFonts w:hint="cs"/>
          <w:sz w:val="27"/>
          <w:rtl/>
        </w:rPr>
        <w:t>،</w:t>
      </w:r>
      <w:r w:rsidRPr="00904FCB">
        <w:rPr>
          <w:rFonts w:hint="cs"/>
          <w:sz w:val="27"/>
          <w:rtl/>
        </w:rPr>
        <w:t xml:space="preserve"> ومنها النسخة التي حصلنا عليها</w:t>
      </w:r>
      <w:r w:rsidR="00213AD2" w:rsidRPr="00904FCB">
        <w:rPr>
          <w:rFonts w:hint="cs"/>
          <w:sz w:val="27"/>
          <w:rtl/>
        </w:rPr>
        <w:t>.</w:t>
      </w:r>
      <w:r w:rsidRPr="00904FCB">
        <w:rPr>
          <w:rFonts w:hint="cs"/>
          <w:sz w:val="27"/>
          <w:rtl/>
        </w:rPr>
        <w:t xml:space="preserve"> وهذه النسخة التي بين أيدينا مرس</w:t>
      </w:r>
      <w:r w:rsidR="00213AD2" w:rsidRPr="00904FCB">
        <w:rPr>
          <w:rFonts w:hint="cs"/>
          <w:sz w:val="27"/>
          <w:rtl/>
        </w:rPr>
        <w:t>َ</w:t>
      </w:r>
      <w:r w:rsidRPr="00904FCB">
        <w:rPr>
          <w:rFonts w:hint="cs"/>
          <w:sz w:val="27"/>
          <w:rtl/>
        </w:rPr>
        <w:t>ل</w:t>
      </w:r>
      <w:r w:rsidR="00213AD2" w:rsidRPr="00904FCB">
        <w:rPr>
          <w:rFonts w:hint="cs"/>
          <w:sz w:val="27"/>
          <w:rtl/>
        </w:rPr>
        <w:t>َ</w:t>
      </w:r>
      <w:r w:rsidRPr="00904FCB">
        <w:rPr>
          <w:rFonts w:hint="cs"/>
          <w:sz w:val="27"/>
          <w:rtl/>
        </w:rPr>
        <w:t>ة</w:t>
      </w:r>
      <w:r w:rsidR="00213AD2" w:rsidRPr="00904FCB">
        <w:rPr>
          <w:rFonts w:hint="cs"/>
          <w:sz w:val="27"/>
          <w:rtl/>
        </w:rPr>
        <w:t>ٌ</w:t>
      </w:r>
      <w:r w:rsidRPr="00904FCB">
        <w:rPr>
          <w:rFonts w:hint="cs"/>
          <w:sz w:val="27"/>
          <w:rtl/>
        </w:rPr>
        <w:t xml:space="preserve"> بالبريد الداخلي إلى تبريز</w:t>
      </w:r>
      <w:r w:rsidR="00213AD2" w:rsidRPr="00904FCB">
        <w:rPr>
          <w:rFonts w:hint="cs"/>
          <w:sz w:val="27"/>
          <w:rtl/>
        </w:rPr>
        <w:t>،</w:t>
      </w:r>
      <w:r w:rsidRPr="00904FCB">
        <w:rPr>
          <w:rFonts w:hint="cs"/>
          <w:sz w:val="27"/>
          <w:rtl/>
        </w:rPr>
        <w:t xml:space="preserve"> وتحمل طابعاً إيرانياً. والموارد التي يذكرها المؤل</w:t>
      </w:r>
      <w:r w:rsidR="00213AD2" w:rsidRPr="00904FCB">
        <w:rPr>
          <w:rFonts w:hint="cs"/>
          <w:sz w:val="27"/>
          <w:rtl/>
        </w:rPr>
        <w:t>ِّ</w:t>
      </w:r>
      <w:r w:rsidRPr="00904FCB">
        <w:rPr>
          <w:rFonts w:hint="cs"/>
          <w:sz w:val="27"/>
          <w:rtl/>
        </w:rPr>
        <w:t>ف على أنها انحرافية لم يتعر</w:t>
      </w:r>
      <w:r w:rsidR="00213AD2" w:rsidRPr="00904FCB">
        <w:rPr>
          <w:rFonts w:hint="cs"/>
          <w:sz w:val="27"/>
          <w:rtl/>
        </w:rPr>
        <w:t>ّ</w:t>
      </w:r>
      <w:r w:rsidRPr="00904FCB">
        <w:rPr>
          <w:rFonts w:hint="cs"/>
          <w:sz w:val="27"/>
          <w:rtl/>
        </w:rPr>
        <w:t>ض لبحثها ونقدها نقداً استدلالي</w:t>
      </w:r>
      <w:r w:rsidR="00213AD2" w:rsidRPr="00904FCB">
        <w:rPr>
          <w:rFonts w:hint="cs"/>
          <w:sz w:val="27"/>
          <w:rtl/>
        </w:rPr>
        <w:t>ّ</w:t>
      </w:r>
      <w:r w:rsidRPr="00904FCB">
        <w:rPr>
          <w:rFonts w:hint="cs"/>
          <w:sz w:val="27"/>
          <w:rtl/>
        </w:rPr>
        <w:t>اً</w:t>
      </w:r>
      <w:r w:rsidR="00213AD2" w:rsidRPr="00904FCB">
        <w:rPr>
          <w:rFonts w:hint="cs"/>
          <w:sz w:val="27"/>
          <w:rtl/>
        </w:rPr>
        <w:t>؛</w:t>
      </w:r>
      <w:r w:rsidRPr="00904FCB">
        <w:rPr>
          <w:rFonts w:hint="cs"/>
          <w:sz w:val="27"/>
          <w:rtl/>
        </w:rPr>
        <w:t xml:space="preserve"> لإبطالها، بل ترك الحكم عليها للقارئ، وكأن</w:t>
      </w:r>
      <w:r w:rsidR="00213AD2" w:rsidRPr="00904FCB">
        <w:rPr>
          <w:rFonts w:hint="cs"/>
          <w:sz w:val="27"/>
          <w:rtl/>
        </w:rPr>
        <w:t>ّ</w:t>
      </w:r>
      <w:r w:rsidRPr="00904FCB">
        <w:rPr>
          <w:rFonts w:hint="cs"/>
          <w:sz w:val="27"/>
          <w:rtl/>
        </w:rPr>
        <w:t>ه اعتبر أن مخالفتها للحق</w:t>
      </w:r>
      <w:r w:rsidR="00213AD2" w:rsidRPr="00904FCB">
        <w:rPr>
          <w:rFonts w:hint="cs"/>
          <w:sz w:val="27"/>
          <w:rtl/>
        </w:rPr>
        <w:t>ّ</w:t>
      </w:r>
      <w:r w:rsidRPr="00904FCB">
        <w:rPr>
          <w:rFonts w:hint="cs"/>
          <w:sz w:val="27"/>
          <w:rtl/>
        </w:rPr>
        <w:t xml:space="preserve"> يعد</w:t>
      </w:r>
      <w:r w:rsidR="00213AD2" w:rsidRPr="00904FCB">
        <w:rPr>
          <w:rFonts w:hint="cs"/>
          <w:sz w:val="27"/>
          <w:rtl/>
        </w:rPr>
        <w:t>ّ</w:t>
      </w:r>
      <w:r w:rsidRPr="00904FCB">
        <w:rPr>
          <w:rFonts w:hint="cs"/>
          <w:sz w:val="27"/>
          <w:rtl/>
        </w:rPr>
        <w:t xml:space="preserve"> أمراً بديهياً. </w:t>
      </w:r>
    </w:p>
    <w:p w:rsidR="00F34FB9" w:rsidRPr="00904FCB" w:rsidRDefault="00F34FB9" w:rsidP="000817FF">
      <w:pPr>
        <w:spacing w:line="380" w:lineRule="exact"/>
        <w:ind w:firstLine="561"/>
        <w:rPr>
          <w:rFonts w:ascii="Arial" w:hAnsi="Arial"/>
          <w:sz w:val="27"/>
          <w:rtl/>
        </w:rPr>
      </w:pPr>
      <w:r w:rsidRPr="002831B1">
        <w:rPr>
          <w:rFonts w:ascii="Arial" w:hAnsi="Arial"/>
          <w:sz w:val="27"/>
          <w:rtl/>
        </w:rPr>
        <w:t>5ـ</w:t>
      </w:r>
      <w:r w:rsidRPr="00904FCB">
        <w:rPr>
          <w:rFonts w:ascii="Arial" w:hAnsi="Arial"/>
          <w:sz w:val="27"/>
          <w:rtl/>
        </w:rPr>
        <w:t xml:space="preserve"> البيان الختامي كان واضحا</w:t>
      </w:r>
      <w:r w:rsidR="00213AD2" w:rsidRPr="00904FCB">
        <w:rPr>
          <w:rFonts w:ascii="Arial" w:hAnsi="Arial" w:hint="cs"/>
          <w:sz w:val="27"/>
          <w:rtl/>
        </w:rPr>
        <w:t>ً</w:t>
      </w:r>
      <w:r w:rsidRPr="00904FCB">
        <w:rPr>
          <w:rFonts w:ascii="Arial" w:hAnsi="Arial"/>
          <w:sz w:val="27"/>
          <w:rtl/>
        </w:rPr>
        <w:t xml:space="preserve"> </w:t>
      </w:r>
      <w:r w:rsidRPr="00904FCB">
        <w:rPr>
          <w:rFonts w:ascii="Arial" w:hAnsi="Arial" w:hint="cs"/>
          <w:sz w:val="27"/>
          <w:rtl/>
        </w:rPr>
        <w:t>وحاد</w:t>
      </w:r>
      <w:r w:rsidR="00213AD2" w:rsidRPr="00904FCB">
        <w:rPr>
          <w:rFonts w:ascii="Arial" w:hAnsi="Arial" w:hint="cs"/>
          <w:sz w:val="27"/>
          <w:rtl/>
        </w:rPr>
        <w:t>ّ</w:t>
      </w:r>
      <w:r w:rsidRPr="00904FCB">
        <w:rPr>
          <w:rFonts w:ascii="Arial" w:hAnsi="Arial" w:hint="cs"/>
          <w:sz w:val="27"/>
          <w:rtl/>
        </w:rPr>
        <w:t xml:space="preserve">اً </w:t>
      </w:r>
      <w:r w:rsidRPr="00904FCB">
        <w:rPr>
          <w:rFonts w:ascii="Arial" w:hAnsi="Arial"/>
          <w:sz w:val="27"/>
          <w:rtl/>
        </w:rPr>
        <w:t>وشديد اللهجة</w:t>
      </w:r>
      <w:r w:rsidRPr="00904FCB">
        <w:rPr>
          <w:rFonts w:ascii="Arial" w:hAnsi="Arial" w:hint="cs"/>
          <w:sz w:val="27"/>
          <w:rtl/>
        </w:rPr>
        <w:t xml:space="preserve">، </w:t>
      </w:r>
      <w:r w:rsidRPr="00904FCB">
        <w:rPr>
          <w:rFonts w:ascii="Arial" w:hAnsi="Arial"/>
          <w:sz w:val="27"/>
          <w:rtl/>
        </w:rPr>
        <w:t xml:space="preserve">وباللغتين العربية </w:t>
      </w:r>
      <w:r w:rsidRPr="00904FCB">
        <w:rPr>
          <w:rFonts w:ascii="Arial" w:hAnsi="Arial"/>
          <w:sz w:val="27"/>
          <w:rtl/>
        </w:rPr>
        <w:lastRenderedPageBreak/>
        <w:t>والفارسية</w:t>
      </w:r>
      <w:r w:rsidRPr="00904FCB">
        <w:rPr>
          <w:rFonts w:ascii="Arial" w:hAnsi="Arial" w:hint="cs"/>
          <w:sz w:val="27"/>
          <w:rtl/>
        </w:rPr>
        <w:t>، جاء فيه</w:t>
      </w:r>
      <w:r w:rsidRPr="00904FCB">
        <w:rPr>
          <w:rFonts w:ascii="Arial" w:hAnsi="Arial"/>
          <w:sz w:val="27"/>
          <w:rtl/>
        </w:rPr>
        <w:t xml:space="preserve">: </w:t>
      </w:r>
      <w:r w:rsidRPr="00904FCB">
        <w:rPr>
          <w:rFonts w:hint="eastAsia"/>
          <w:sz w:val="27"/>
          <w:rtl/>
        </w:rPr>
        <w:t>«</w:t>
      </w:r>
      <w:r w:rsidRPr="00904FCB">
        <w:rPr>
          <w:rFonts w:ascii="Arial" w:hAnsi="Arial"/>
          <w:sz w:val="27"/>
          <w:rtl/>
        </w:rPr>
        <w:t>ليس خافيا</w:t>
      </w:r>
      <w:r w:rsidR="00213AD2" w:rsidRPr="00904FCB">
        <w:rPr>
          <w:rFonts w:ascii="Arial" w:hAnsi="Arial" w:hint="cs"/>
          <w:sz w:val="27"/>
          <w:rtl/>
        </w:rPr>
        <w:t>ً</w:t>
      </w:r>
      <w:r w:rsidRPr="00904FCB">
        <w:rPr>
          <w:rFonts w:ascii="Arial" w:hAnsi="Arial"/>
          <w:sz w:val="27"/>
          <w:rtl/>
        </w:rPr>
        <w:t xml:space="preserve"> على عام</w:t>
      </w:r>
      <w:r w:rsidR="00213AD2" w:rsidRPr="00904FCB">
        <w:rPr>
          <w:rFonts w:ascii="Arial" w:hAnsi="Arial" w:hint="cs"/>
          <w:sz w:val="27"/>
          <w:rtl/>
        </w:rPr>
        <w:t>ّ</w:t>
      </w:r>
      <w:r w:rsidRPr="00904FCB">
        <w:rPr>
          <w:rFonts w:ascii="Arial" w:hAnsi="Arial"/>
          <w:sz w:val="27"/>
          <w:rtl/>
        </w:rPr>
        <w:t>ة المسلمين</w:t>
      </w:r>
      <w:r w:rsidR="00213AD2" w:rsidRPr="00904FCB">
        <w:rPr>
          <w:rFonts w:ascii="Arial" w:hAnsi="Arial" w:hint="cs"/>
          <w:sz w:val="27"/>
          <w:rtl/>
        </w:rPr>
        <w:t>،</w:t>
      </w:r>
      <w:r w:rsidRPr="00904FCB">
        <w:rPr>
          <w:rFonts w:ascii="Arial" w:hAnsi="Arial"/>
          <w:sz w:val="27"/>
          <w:rtl/>
        </w:rPr>
        <w:t xml:space="preserve"> فضلا</w:t>
      </w:r>
      <w:r w:rsidR="00213AD2" w:rsidRPr="00904FCB">
        <w:rPr>
          <w:rFonts w:ascii="Arial" w:hAnsi="Arial" w:hint="cs"/>
          <w:sz w:val="27"/>
          <w:rtl/>
        </w:rPr>
        <w:t>ً</w:t>
      </w:r>
      <w:r w:rsidRPr="00904FCB">
        <w:rPr>
          <w:rFonts w:ascii="Arial" w:hAnsi="Arial"/>
          <w:sz w:val="27"/>
          <w:rtl/>
        </w:rPr>
        <w:t xml:space="preserve"> عن العلماء</w:t>
      </w:r>
      <w:r w:rsidR="00213AD2" w:rsidRPr="00904FCB">
        <w:rPr>
          <w:rFonts w:ascii="Arial" w:hAnsi="Arial" w:hint="cs"/>
          <w:sz w:val="27"/>
          <w:rtl/>
        </w:rPr>
        <w:t>،</w:t>
      </w:r>
      <w:r w:rsidRPr="00904FCB">
        <w:rPr>
          <w:rFonts w:ascii="Arial" w:hAnsi="Arial"/>
          <w:sz w:val="27"/>
          <w:rtl/>
        </w:rPr>
        <w:t xml:space="preserve"> أن الفتاوى الصادرة عن السيد محسن الحكيم تمث</w:t>
      </w:r>
      <w:r w:rsidR="00213AD2" w:rsidRPr="00904FCB">
        <w:rPr>
          <w:rFonts w:ascii="Arial" w:hAnsi="Arial" w:hint="cs"/>
          <w:sz w:val="27"/>
          <w:rtl/>
        </w:rPr>
        <w:t>ِّ</w:t>
      </w:r>
      <w:r w:rsidRPr="00904FCB">
        <w:rPr>
          <w:rFonts w:ascii="Arial" w:hAnsi="Arial"/>
          <w:sz w:val="27"/>
          <w:rtl/>
        </w:rPr>
        <w:t>ل بدعة</w:t>
      </w:r>
      <w:r w:rsidR="00213AD2" w:rsidRPr="00904FCB">
        <w:rPr>
          <w:rFonts w:ascii="Arial" w:hAnsi="Arial" w:hint="cs"/>
          <w:sz w:val="27"/>
          <w:rtl/>
        </w:rPr>
        <w:t>ً</w:t>
      </w:r>
      <w:r w:rsidRPr="00904FCB">
        <w:rPr>
          <w:rFonts w:ascii="Arial" w:hAnsi="Arial"/>
          <w:sz w:val="27"/>
          <w:rtl/>
        </w:rPr>
        <w:t xml:space="preserve"> في الشريعة الإسلامية المقد</w:t>
      </w:r>
      <w:r w:rsidR="00213AD2" w:rsidRPr="00904FCB">
        <w:rPr>
          <w:rFonts w:ascii="Arial" w:hAnsi="Arial" w:hint="cs"/>
          <w:sz w:val="27"/>
          <w:rtl/>
        </w:rPr>
        <w:t>َّ</w:t>
      </w:r>
      <w:r w:rsidRPr="00904FCB">
        <w:rPr>
          <w:rFonts w:ascii="Arial" w:hAnsi="Arial"/>
          <w:sz w:val="27"/>
          <w:rtl/>
        </w:rPr>
        <w:t>سة، وإنكار</w:t>
      </w:r>
      <w:r w:rsidRPr="00904FCB">
        <w:rPr>
          <w:rFonts w:ascii="Arial" w:hAnsi="Arial" w:hint="cs"/>
          <w:sz w:val="27"/>
          <w:rtl/>
        </w:rPr>
        <w:t>اً</w:t>
      </w:r>
      <w:r w:rsidRPr="00904FCB">
        <w:rPr>
          <w:rFonts w:ascii="Arial" w:hAnsi="Arial"/>
          <w:sz w:val="27"/>
          <w:rtl/>
        </w:rPr>
        <w:t xml:space="preserve"> لضروري</w:t>
      </w:r>
      <w:r w:rsidR="00213AD2" w:rsidRPr="00904FCB">
        <w:rPr>
          <w:rFonts w:ascii="Arial" w:hAnsi="Arial" w:hint="cs"/>
          <w:sz w:val="27"/>
          <w:rtl/>
        </w:rPr>
        <w:t>ّ</w:t>
      </w:r>
      <w:r w:rsidRPr="00904FCB">
        <w:rPr>
          <w:rFonts w:ascii="Arial" w:hAnsi="Arial"/>
          <w:sz w:val="27"/>
          <w:rtl/>
        </w:rPr>
        <w:t>ات شريعة سي</w:t>
      </w:r>
      <w:r w:rsidR="00213AD2" w:rsidRPr="00904FCB">
        <w:rPr>
          <w:rFonts w:ascii="Arial" w:hAnsi="Arial" w:hint="cs"/>
          <w:sz w:val="27"/>
          <w:rtl/>
        </w:rPr>
        <w:t>ّ</w:t>
      </w:r>
      <w:r w:rsidRPr="00904FCB">
        <w:rPr>
          <w:rFonts w:ascii="Arial" w:hAnsi="Arial"/>
          <w:sz w:val="27"/>
          <w:rtl/>
        </w:rPr>
        <w:t>د المرسلين</w:t>
      </w:r>
      <w:r w:rsidR="00635E51" w:rsidRPr="00904FCB">
        <w:rPr>
          <w:rFonts w:ascii="Arial" w:hAnsi="Arial" w:cs="Mosawi"/>
          <w:sz w:val="27"/>
          <w:szCs w:val="22"/>
          <w:rtl/>
        </w:rPr>
        <w:t>|</w:t>
      </w:r>
      <w:r w:rsidRPr="00904FCB">
        <w:rPr>
          <w:rFonts w:ascii="Arial" w:hAnsi="Arial"/>
          <w:sz w:val="27"/>
          <w:rtl/>
        </w:rPr>
        <w:t>، وتؤد</w:t>
      </w:r>
      <w:r w:rsidR="00213AD2" w:rsidRPr="00904FCB">
        <w:rPr>
          <w:rFonts w:ascii="Arial" w:hAnsi="Arial" w:hint="cs"/>
          <w:sz w:val="27"/>
          <w:rtl/>
        </w:rPr>
        <w:t>ّ</w:t>
      </w:r>
      <w:r w:rsidRPr="00904FCB">
        <w:rPr>
          <w:rFonts w:ascii="Arial" w:hAnsi="Arial"/>
          <w:sz w:val="27"/>
          <w:rtl/>
        </w:rPr>
        <w:t>ي إلى الشك</w:t>
      </w:r>
      <w:r w:rsidR="00213AD2" w:rsidRPr="00904FCB">
        <w:rPr>
          <w:rFonts w:ascii="Arial" w:hAnsi="Arial" w:hint="cs"/>
          <w:sz w:val="27"/>
          <w:rtl/>
        </w:rPr>
        <w:t>ّ</w:t>
      </w:r>
      <w:r w:rsidRPr="00904FCB">
        <w:rPr>
          <w:rFonts w:ascii="Arial" w:hAnsi="Arial"/>
          <w:sz w:val="27"/>
          <w:rtl/>
        </w:rPr>
        <w:t xml:space="preserve"> في أصول الدين، وتساعد </w:t>
      </w:r>
      <w:r w:rsidRPr="00904FCB">
        <w:rPr>
          <w:rFonts w:ascii="Arial" w:hAnsi="Arial" w:hint="cs"/>
          <w:sz w:val="27"/>
          <w:rtl/>
        </w:rPr>
        <w:t>على</w:t>
      </w:r>
      <w:r w:rsidRPr="00904FCB">
        <w:rPr>
          <w:rFonts w:ascii="Arial" w:hAnsi="Arial"/>
          <w:sz w:val="27"/>
          <w:rtl/>
        </w:rPr>
        <w:t xml:space="preserve"> نشر المذهب الوه</w:t>
      </w:r>
      <w:r w:rsidR="00213AD2" w:rsidRPr="00904FCB">
        <w:rPr>
          <w:rFonts w:ascii="Arial" w:hAnsi="Arial" w:hint="cs"/>
          <w:sz w:val="27"/>
          <w:rtl/>
        </w:rPr>
        <w:t>ّ</w:t>
      </w:r>
      <w:r w:rsidRPr="00904FCB">
        <w:rPr>
          <w:rFonts w:ascii="Arial" w:hAnsi="Arial"/>
          <w:sz w:val="27"/>
          <w:rtl/>
        </w:rPr>
        <w:t>ابي. وعليه يجب على عموم المسلمين</w:t>
      </w:r>
      <w:r w:rsidR="00213AD2" w:rsidRPr="00904FCB">
        <w:rPr>
          <w:rFonts w:ascii="Arial" w:hAnsi="Arial" w:hint="cs"/>
          <w:sz w:val="27"/>
          <w:rtl/>
        </w:rPr>
        <w:t>،</w:t>
      </w:r>
      <w:r w:rsidRPr="00904FCB">
        <w:rPr>
          <w:rFonts w:ascii="Arial" w:hAnsi="Arial"/>
          <w:sz w:val="27"/>
          <w:rtl/>
        </w:rPr>
        <w:t xml:space="preserve"> وعلى قادتهم</w:t>
      </w:r>
      <w:r w:rsidR="00213AD2" w:rsidRPr="00904FCB">
        <w:rPr>
          <w:rFonts w:ascii="Arial" w:hAnsi="Arial" w:hint="cs"/>
          <w:sz w:val="27"/>
          <w:rtl/>
        </w:rPr>
        <w:t>،</w:t>
      </w:r>
      <w:r w:rsidRPr="00904FCB">
        <w:rPr>
          <w:rFonts w:ascii="Arial" w:hAnsi="Arial"/>
          <w:sz w:val="27"/>
          <w:rtl/>
        </w:rPr>
        <w:t xml:space="preserve"> أن يقتلعوا جذور المفسدين</w:t>
      </w:r>
      <w:r w:rsidRPr="00904FCB">
        <w:rPr>
          <w:rFonts w:ascii="Arial" w:hAnsi="Arial" w:hint="cs"/>
          <w:sz w:val="27"/>
          <w:rtl/>
        </w:rPr>
        <w:t xml:space="preserve">، </w:t>
      </w:r>
      <w:r w:rsidRPr="00904FCB">
        <w:rPr>
          <w:rFonts w:ascii="Arial" w:hAnsi="Arial"/>
          <w:sz w:val="27"/>
          <w:rtl/>
        </w:rPr>
        <w:t>ولا يسمحوا لأمثال دج</w:t>
      </w:r>
      <w:r w:rsidR="00213AD2" w:rsidRPr="00904FCB">
        <w:rPr>
          <w:rFonts w:ascii="Arial" w:hAnsi="Arial" w:hint="cs"/>
          <w:sz w:val="27"/>
          <w:rtl/>
        </w:rPr>
        <w:t>ّ</w:t>
      </w:r>
      <w:r w:rsidRPr="00904FCB">
        <w:rPr>
          <w:rFonts w:ascii="Arial" w:hAnsi="Arial"/>
          <w:sz w:val="27"/>
          <w:rtl/>
        </w:rPr>
        <w:t>ال آخر الزمان لكي يُضل</w:t>
      </w:r>
      <w:r w:rsidR="00213AD2" w:rsidRPr="00904FCB">
        <w:rPr>
          <w:rFonts w:ascii="Arial" w:hAnsi="Arial" w:hint="cs"/>
          <w:sz w:val="27"/>
          <w:rtl/>
        </w:rPr>
        <w:t>ّ</w:t>
      </w:r>
      <w:r w:rsidRPr="00904FCB">
        <w:rPr>
          <w:rFonts w:ascii="Arial" w:hAnsi="Arial"/>
          <w:sz w:val="27"/>
          <w:rtl/>
        </w:rPr>
        <w:t xml:space="preserve"> المسلمين، ويغي</w:t>
      </w:r>
      <w:r w:rsidR="00213AD2" w:rsidRPr="00904FCB">
        <w:rPr>
          <w:rFonts w:ascii="Arial" w:hAnsi="Arial" w:hint="cs"/>
          <w:sz w:val="27"/>
          <w:rtl/>
        </w:rPr>
        <w:t>ِّ</w:t>
      </w:r>
      <w:r w:rsidRPr="00904FCB">
        <w:rPr>
          <w:rFonts w:ascii="Arial" w:hAnsi="Arial"/>
          <w:sz w:val="27"/>
          <w:rtl/>
        </w:rPr>
        <w:t>ر الدين الإسلامي المقد</w:t>
      </w:r>
      <w:r w:rsidR="00213AD2" w:rsidRPr="00904FCB">
        <w:rPr>
          <w:rFonts w:ascii="Arial" w:hAnsi="Arial" w:hint="cs"/>
          <w:sz w:val="27"/>
          <w:rtl/>
        </w:rPr>
        <w:t>َّ</w:t>
      </w:r>
      <w:r w:rsidRPr="00904FCB">
        <w:rPr>
          <w:rFonts w:ascii="Arial" w:hAnsi="Arial"/>
          <w:sz w:val="27"/>
          <w:rtl/>
        </w:rPr>
        <w:t>س. ولو كفر كل</w:t>
      </w:r>
      <w:r w:rsidR="00213AD2" w:rsidRPr="00904FCB">
        <w:rPr>
          <w:rFonts w:ascii="Arial" w:hAnsi="Arial" w:hint="cs"/>
          <w:sz w:val="27"/>
          <w:rtl/>
        </w:rPr>
        <w:t>ّ</w:t>
      </w:r>
      <w:r w:rsidRPr="00904FCB">
        <w:rPr>
          <w:rFonts w:ascii="Arial" w:hAnsi="Arial"/>
          <w:sz w:val="27"/>
          <w:rtl/>
        </w:rPr>
        <w:t xml:space="preserve"> م</w:t>
      </w:r>
      <w:r w:rsidR="00213AD2" w:rsidRPr="00904FCB">
        <w:rPr>
          <w:rFonts w:ascii="Arial" w:hAnsi="Arial" w:hint="cs"/>
          <w:sz w:val="27"/>
          <w:rtl/>
        </w:rPr>
        <w:t>َ</w:t>
      </w:r>
      <w:r w:rsidRPr="00904FCB">
        <w:rPr>
          <w:rFonts w:ascii="Arial" w:hAnsi="Arial"/>
          <w:sz w:val="27"/>
          <w:rtl/>
        </w:rPr>
        <w:t>ن</w:t>
      </w:r>
      <w:r w:rsidR="00213AD2" w:rsidRPr="00904FCB">
        <w:rPr>
          <w:rFonts w:ascii="Arial" w:hAnsi="Arial" w:hint="cs"/>
          <w:sz w:val="27"/>
          <w:rtl/>
        </w:rPr>
        <w:t>ْ</w:t>
      </w:r>
      <w:r w:rsidRPr="00904FCB">
        <w:rPr>
          <w:rFonts w:ascii="Arial" w:hAnsi="Arial"/>
          <w:sz w:val="27"/>
          <w:rtl/>
        </w:rPr>
        <w:t xml:space="preserve"> في الأرض فإن الله غني</w:t>
      </w:r>
      <w:r w:rsidR="00213AD2" w:rsidRPr="00904FCB">
        <w:rPr>
          <w:rFonts w:ascii="Arial" w:hAnsi="Arial" w:hint="cs"/>
          <w:sz w:val="27"/>
          <w:rtl/>
        </w:rPr>
        <w:t>ٌّ</w:t>
      </w:r>
      <w:r w:rsidRPr="00904FCB">
        <w:rPr>
          <w:rFonts w:ascii="Arial" w:hAnsi="Arial"/>
          <w:sz w:val="27"/>
          <w:rtl/>
        </w:rPr>
        <w:t xml:space="preserve"> عن الجاهلين، </w:t>
      </w:r>
      <w:r w:rsidR="007922F5" w:rsidRPr="00904FCB">
        <w:rPr>
          <w:rFonts w:ascii="Mosawi" w:hAnsi="Mosawi" w:cs="Mosawi"/>
          <w:sz w:val="24"/>
          <w:szCs w:val="24"/>
          <w:rtl/>
        </w:rPr>
        <w:t>﴿</w:t>
      </w:r>
      <w:r w:rsidR="007922F5" w:rsidRPr="00904FCB">
        <w:rPr>
          <w:b/>
          <w:bCs/>
          <w:sz w:val="27"/>
          <w:rtl/>
        </w:rPr>
        <w:t>وَاتَّقُوا فِتْنَةً لاَ تُصِيبَنَّ الَّذِينَ ظَلَمُوا مِنْكُمْ خَاصَّةً وَاعْلَمُوا أَنَّ اللهَ شَدِيدُ الْعِقَابِ</w:t>
      </w:r>
      <w:r w:rsidR="007922F5" w:rsidRPr="00904FCB">
        <w:rPr>
          <w:rFonts w:ascii="Mosawi" w:hAnsi="Mosawi" w:cs="Mosawi"/>
          <w:sz w:val="24"/>
          <w:szCs w:val="24"/>
          <w:rtl/>
        </w:rPr>
        <w:t>﴾</w:t>
      </w:r>
      <w:r w:rsidR="00213AD2" w:rsidRPr="00904FCB">
        <w:rPr>
          <w:rFonts w:ascii="Arial" w:hAnsi="Arial" w:hint="cs"/>
          <w:sz w:val="27"/>
          <w:rtl/>
        </w:rPr>
        <w:t>.</w:t>
      </w:r>
      <w:r w:rsidRPr="00904FCB">
        <w:rPr>
          <w:rFonts w:ascii="Arial" w:hAnsi="Arial" w:hint="cs"/>
          <w:sz w:val="27"/>
          <w:rtl/>
        </w:rPr>
        <w:t xml:space="preserve"> الهيئة العلمية في النجف</w:t>
      </w:r>
      <w:r w:rsidRPr="00904FCB">
        <w:rPr>
          <w:rFonts w:hint="eastAsia"/>
          <w:sz w:val="27"/>
          <w:rtl/>
        </w:rPr>
        <w:t>»</w:t>
      </w:r>
      <w:r w:rsidRPr="00904FCB">
        <w:rPr>
          <w:rFonts w:ascii="Arial" w:hAnsi="Arial"/>
          <w:sz w:val="27"/>
          <w:rtl/>
        </w:rPr>
        <w:t xml:space="preserve">. </w:t>
      </w:r>
    </w:p>
    <w:p w:rsidR="00F34FB9" w:rsidRPr="00904FCB" w:rsidRDefault="00F34FB9" w:rsidP="000817FF">
      <w:pPr>
        <w:spacing w:line="380" w:lineRule="exact"/>
        <w:rPr>
          <w:rFonts w:ascii="Arial" w:hAnsi="Arial"/>
          <w:sz w:val="27"/>
          <w:rtl/>
        </w:rPr>
      </w:pPr>
      <w:r w:rsidRPr="00904FCB">
        <w:rPr>
          <w:rFonts w:ascii="Arial" w:hAnsi="Arial" w:hint="cs"/>
          <w:sz w:val="27"/>
          <w:rtl/>
        </w:rPr>
        <w:t xml:space="preserve"> وجاء خلف غلاف الكراسة: </w:t>
      </w:r>
      <w:r w:rsidRPr="00904FCB">
        <w:rPr>
          <w:rFonts w:hint="eastAsia"/>
          <w:sz w:val="27"/>
          <w:rtl/>
        </w:rPr>
        <w:t>«</w:t>
      </w:r>
      <w:r w:rsidRPr="00904FCB">
        <w:rPr>
          <w:rFonts w:ascii="Arial" w:hAnsi="Arial" w:hint="cs"/>
          <w:sz w:val="27"/>
          <w:rtl/>
        </w:rPr>
        <w:t>لم نقصد من طباعة ونشر هذه الكراسة سوى رضا رب</w:t>
      </w:r>
      <w:r w:rsidR="002A07BC" w:rsidRPr="00904FCB">
        <w:rPr>
          <w:rFonts w:ascii="Arial" w:hAnsi="Arial" w:hint="cs"/>
          <w:sz w:val="27"/>
          <w:rtl/>
        </w:rPr>
        <w:t>ّ</w:t>
      </w:r>
      <w:r w:rsidRPr="00904FCB">
        <w:rPr>
          <w:rFonts w:ascii="Arial" w:hAnsi="Arial" w:hint="cs"/>
          <w:sz w:val="27"/>
          <w:rtl/>
        </w:rPr>
        <w:t xml:space="preserve"> العالمين، وإدخال السرور على الإمام الحج</w:t>
      </w:r>
      <w:r w:rsidR="002A07BC" w:rsidRPr="00904FCB">
        <w:rPr>
          <w:rFonts w:ascii="Arial" w:hAnsi="Arial" w:hint="cs"/>
          <w:sz w:val="27"/>
          <w:rtl/>
        </w:rPr>
        <w:t>ّ</w:t>
      </w:r>
      <w:r w:rsidRPr="00904FCB">
        <w:rPr>
          <w:rFonts w:ascii="Arial" w:hAnsi="Arial" w:hint="cs"/>
          <w:sz w:val="27"/>
          <w:rtl/>
        </w:rPr>
        <w:t>ة عج</w:t>
      </w:r>
      <w:r w:rsidR="002A07BC" w:rsidRPr="00904FCB">
        <w:rPr>
          <w:rFonts w:ascii="Arial" w:hAnsi="Arial" w:hint="cs"/>
          <w:sz w:val="27"/>
          <w:rtl/>
        </w:rPr>
        <w:t>ّ</w:t>
      </w:r>
      <w:r w:rsidRPr="00904FCB">
        <w:rPr>
          <w:rFonts w:ascii="Arial" w:hAnsi="Arial" w:hint="cs"/>
          <w:sz w:val="27"/>
          <w:rtl/>
        </w:rPr>
        <w:t>ل الله فرجه، وخدمة الدين الإسلامي المقد</w:t>
      </w:r>
      <w:r w:rsidR="002A07BC" w:rsidRPr="00904FCB">
        <w:rPr>
          <w:rFonts w:ascii="Arial" w:hAnsi="Arial" w:hint="cs"/>
          <w:sz w:val="27"/>
          <w:rtl/>
        </w:rPr>
        <w:t>ّ</w:t>
      </w:r>
      <w:r w:rsidRPr="00904FCB">
        <w:rPr>
          <w:rFonts w:ascii="Arial" w:hAnsi="Arial" w:hint="cs"/>
          <w:sz w:val="27"/>
          <w:rtl/>
        </w:rPr>
        <w:t>س، وتعريف الأخوة المسلمين بالحقيقة الواضحة. والآن أي</w:t>
      </w:r>
      <w:r w:rsidR="002A07BC" w:rsidRPr="00904FCB">
        <w:rPr>
          <w:rFonts w:ascii="Arial" w:hAnsi="Arial" w:hint="cs"/>
          <w:sz w:val="27"/>
          <w:rtl/>
        </w:rPr>
        <w:t>ّ</w:t>
      </w:r>
      <w:r w:rsidRPr="00904FCB">
        <w:rPr>
          <w:rFonts w:ascii="Arial" w:hAnsi="Arial" w:hint="cs"/>
          <w:sz w:val="27"/>
          <w:rtl/>
        </w:rPr>
        <w:t>ها الأخ المسلم</w:t>
      </w:r>
      <w:r w:rsidR="002A07BC" w:rsidRPr="00904FCB">
        <w:rPr>
          <w:rFonts w:ascii="Arial" w:hAnsi="Arial" w:hint="cs"/>
          <w:sz w:val="27"/>
          <w:rtl/>
        </w:rPr>
        <w:t>،</w:t>
      </w:r>
      <w:r w:rsidRPr="00904FCB">
        <w:rPr>
          <w:rFonts w:ascii="Arial" w:hAnsi="Arial" w:hint="cs"/>
          <w:sz w:val="27"/>
          <w:rtl/>
        </w:rPr>
        <w:t xml:space="preserve"> تقع عليك </w:t>
      </w:r>
      <w:r w:rsidR="002A07BC" w:rsidRPr="00904FCB">
        <w:rPr>
          <w:rFonts w:ascii="Arial" w:hAnsi="Arial" w:hint="cs"/>
          <w:sz w:val="27"/>
          <w:rtl/>
        </w:rPr>
        <w:t xml:space="preserve">ـ </w:t>
      </w:r>
      <w:r w:rsidRPr="00904FCB">
        <w:rPr>
          <w:rFonts w:ascii="Arial" w:hAnsi="Arial" w:hint="cs"/>
          <w:sz w:val="27"/>
          <w:rtl/>
        </w:rPr>
        <w:t>بعد تحر</w:t>
      </w:r>
      <w:r w:rsidR="002A07BC" w:rsidRPr="00904FCB">
        <w:rPr>
          <w:rFonts w:ascii="Arial" w:hAnsi="Arial" w:hint="cs"/>
          <w:sz w:val="27"/>
          <w:rtl/>
        </w:rPr>
        <w:t>ّ</w:t>
      </w:r>
      <w:r w:rsidRPr="00904FCB">
        <w:rPr>
          <w:rFonts w:ascii="Arial" w:hAnsi="Arial" w:hint="cs"/>
          <w:sz w:val="27"/>
          <w:rtl/>
        </w:rPr>
        <w:t xml:space="preserve">ي الحقيقة </w:t>
      </w:r>
      <w:r w:rsidR="002A07BC" w:rsidRPr="00904FCB">
        <w:rPr>
          <w:rFonts w:ascii="Arial" w:hAnsi="Arial" w:hint="cs"/>
          <w:sz w:val="27"/>
          <w:rtl/>
        </w:rPr>
        <w:t xml:space="preserve">ـ </w:t>
      </w:r>
      <w:r w:rsidRPr="00904FCB">
        <w:rPr>
          <w:rFonts w:ascii="Arial" w:hAnsi="Arial" w:hint="cs"/>
          <w:sz w:val="27"/>
          <w:rtl/>
        </w:rPr>
        <w:t>مسؤولي</w:t>
      </w:r>
      <w:r w:rsidR="002A07BC" w:rsidRPr="00904FCB">
        <w:rPr>
          <w:rFonts w:ascii="Arial" w:hAnsi="Arial" w:hint="cs"/>
          <w:sz w:val="27"/>
          <w:rtl/>
        </w:rPr>
        <w:t>ّ</w:t>
      </w:r>
      <w:r w:rsidRPr="00904FCB">
        <w:rPr>
          <w:rFonts w:ascii="Arial" w:hAnsi="Arial" w:hint="cs"/>
          <w:sz w:val="27"/>
          <w:rtl/>
        </w:rPr>
        <w:t>ة توعية سائر ال</w:t>
      </w:r>
      <w:r w:rsidR="000817FF">
        <w:rPr>
          <w:rFonts w:ascii="Arial" w:hAnsi="Arial" w:hint="cs"/>
          <w:sz w:val="27"/>
          <w:rtl/>
        </w:rPr>
        <w:t>إ</w:t>
      </w:r>
      <w:r w:rsidRPr="00904FCB">
        <w:rPr>
          <w:rFonts w:ascii="Arial" w:hAnsi="Arial" w:hint="cs"/>
          <w:sz w:val="27"/>
          <w:rtl/>
        </w:rPr>
        <w:t>خوة في الدين</w:t>
      </w:r>
      <w:r w:rsidR="002A07BC" w:rsidRPr="00904FCB">
        <w:rPr>
          <w:rFonts w:ascii="Arial" w:hAnsi="Arial" w:hint="cs"/>
          <w:sz w:val="27"/>
          <w:rtl/>
        </w:rPr>
        <w:t>،</w:t>
      </w:r>
      <w:r w:rsidRPr="00904FCB">
        <w:rPr>
          <w:rFonts w:ascii="Arial" w:hAnsi="Arial" w:hint="cs"/>
          <w:sz w:val="27"/>
          <w:rtl/>
        </w:rPr>
        <w:t xml:space="preserve"> وتعريفهم بمسؤولي</w:t>
      </w:r>
      <w:r w:rsidR="002A07BC" w:rsidRPr="00904FCB">
        <w:rPr>
          <w:rFonts w:ascii="Arial" w:hAnsi="Arial" w:hint="cs"/>
          <w:sz w:val="27"/>
          <w:rtl/>
        </w:rPr>
        <w:t>ّ</w:t>
      </w:r>
      <w:r w:rsidRPr="00904FCB">
        <w:rPr>
          <w:rFonts w:ascii="Arial" w:hAnsi="Arial" w:hint="cs"/>
          <w:sz w:val="27"/>
          <w:rtl/>
        </w:rPr>
        <w:t>اتهم الشرعية، ولا يضيع أجر العمل الصالح عند الله. والسلام على م</w:t>
      </w:r>
      <w:r w:rsidR="002A07BC" w:rsidRPr="00904FCB">
        <w:rPr>
          <w:rFonts w:ascii="Arial" w:hAnsi="Arial" w:hint="cs"/>
          <w:sz w:val="27"/>
          <w:rtl/>
        </w:rPr>
        <w:t>َ</w:t>
      </w:r>
      <w:r w:rsidRPr="00904FCB">
        <w:rPr>
          <w:rFonts w:ascii="Arial" w:hAnsi="Arial" w:hint="cs"/>
          <w:sz w:val="27"/>
          <w:rtl/>
        </w:rPr>
        <w:t>ن</w:t>
      </w:r>
      <w:r w:rsidR="002A07BC" w:rsidRPr="00904FCB">
        <w:rPr>
          <w:rFonts w:ascii="Arial" w:hAnsi="Arial" w:hint="cs"/>
          <w:sz w:val="27"/>
          <w:rtl/>
        </w:rPr>
        <w:t xml:space="preserve">ْ </w:t>
      </w:r>
      <w:r w:rsidRPr="00904FCB">
        <w:rPr>
          <w:rFonts w:ascii="Arial" w:hAnsi="Arial" w:hint="cs"/>
          <w:sz w:val="27"/>
          <w:rtl/>
        </w:rPr>
        <w:t>ات</w:t>
      </w:r>
      <w:r w:rsidR="002A07BC" w:rsidRPr="00904FCB">
        <w:rPr>
          <w:rFonts w:ascii="Arial" w:hAnsi="Arial" w:hint="cs"/>
          <w:sz w:val="27"/>
          <w:rtl/>
        </w:rPr>
        <w:t>َّ</w:t>
      </w:r>
      <w:r w:rsidRPr="00904FCB">
        <w:rPr>
          <w:rFonts w:ascii="Arial" w:hAnsi="Arial" w:hint="cs"/>
          <w:sz w:val="27"/>
          <w:rtl/>
        </w:rPr>
        <w:t>بع الهدى. هيئة نشر الكتاب</w:t>
      </w:r>
      <w:r w:rsidRPr="00904FCB">
        <w:rPr>
          <w:rFonts w:hint="eastAsia"/>
          <w:sz w:val="27"/>
          <w:rtl/>
        </w:rPr>
        <w:t>»</w:t>
      </w:r>
      <w:r w:rsidRPr="00904FCB">
        <w:rPr>
          <w:rFonts w:ascii="Arial" w:hAnsi="Arial" w:hint="cs"/>
          <w:sz w:val="27"/>
          <w:rtl/>
        </w:rPr>
        <w:t xml:space="preserve">. </w:t>
      </w:r>
    </w:p>
    <w:p w:rsidR="00F34FB9" w:rsidRDefault="00F34FB9" w:rsidP="000817FF">
      <w:pPr>
        <w:ind w:firstLine="561"/>
        <w:rPr>
          <w:rFonts w:ascii="Arial" w:hAnsi="Arial"/>
          <w:sz w:val="27"/>
          <w:rtl/>
        </w:rPr>
      </w:pPr>
      <w:r w:rsidRPr="002831B1">
        <w:rPr>
          <w:rFonts w:ascii="Arial" w:hAnsi="Arial" w:hint="cs"/>
          <w:sz w:val="27"/>
          <w:rtl/>
        </w:rPr>
        <w:t>6</w:t>
      </w:r>
      <w:r w:rsidRPr="002831B1">
        <w:rPr>
          <w:rFonts w:ascii="Arial" w:hAnsi="Arial"/>
          <w:sz w:val="27"/>
          <w:rtl/>
        </w:rPr>
        <w:t>ـ</w:t>
      </w:r>
      <w:r w:rsidRPr="00904FCB">
        <w:rPr>
          <w:rFonts w:ascii="Arial" w:hAnsi="Arial" w:hint="cs"/>
          <w:sz w:val="27"/>
          <w:rtl/>
        </w:rPr>
        <w:t xml:space="preserve"> بعد نشر هذه الكر</w:t>
      </w:r>
      <w:r w:rsidR="002A07BC" w:rsidRPr="00904FCB">
        <w:rPr>
          <w:rFonts w:ascii="Arial" w:hAnsi="Arial" w:hint="cs"/>
          <w:sz w:val="27"/>
          <w:rtl/>
        </w:rPr>
        <w:t>ّ</w:t>
      </w:r>
      <w:r w:rsidRPr="00904FCB">
        <w:rPr>
          <w:rFonts w:ascii="Arial" w:hAnsi="Arial" w:hint="cs"/>
          <w:sz w:val="27"/>
          <w:rtl/>
        </w:rPr>
        <w:t>اسة</w:t>
      </w:r>
      <w:r w:rsidR="002A07BC" w:rsidRPr="00904FCB">
        <w:rPr>
          <w:rFonts w:ascii="Arial" w:hAnsi="Arial" w:hint="cs"/>
          <w:sz w:val="27"/>
          <w:rtl/>
        </w:rPr>
        <w:t>،</w:t>
      </w:r>
      <w:r w:rsidRPr="00904FCB">
        <w:rPr>
          <w:rFonts w:ascii="Arial" w:hAnsi="Arial" w:hint="cs"/>
          <w:sz w:val="27"/>
          <w:rtl/>
        </w:rPr>
        <w:t xml:space="preserve"> التي يبدو أن الدافع الذي يقف وراء تأليفها هو التعص</w:t>
      </w:r>
      <w:r w:rsidR="002A07BC" w:rsidRPr="00904FCB">
        <w:rPr>
          <w:rFonts w:ascii="Arial" w:hAnsi="Arial" w:hint="cs"/>
          <w:sz w:val="27"/>
          <w:rtl/>
        </w:rPr>
        <w:t>ُّ</w:t>
      </w:r>
      <w:r w:rsidRPr="00904FCB">
        <w:rPr>
          <w:rFonts w:ascii="Arial" w:hAnsi="Arial" w:hint="cs"/>
          <w:sz w:val="27"/>
          <w:rtl/>
        </w:rPr>
        <w:t>ب، بدأت عملية التصد</w:t>
      </w:r>
      <w:r w:rsidR="002A07BC" w:rsidRPr="00904FCB">
        <w:rPr>
          <w:rFonts w:ascii="Arial" w:hAnsi="Arial" w:hint="cs"/>
          <w:sz w:val="27"/>
          <w:rtl/>
        </w:rPr>
        <w:t>ّ</w:t>
      </w:r>
      <w:r w:rsidRPr="00904FCB">
        <w:rPr>
          <w:rFonts w:ascii="Arial" w:hAnsi="Arial" w:hint="cs"/>
          <w:sz w:val="27"/>
          <w:rtl/>
        </w:rPr>
        <w:t>ي لها. وأو</w:t>
      </w:r>
      <w:r w:rsidR="002A07BC" w:rsidRPr="00904FCB">
        <w:rPr>
          <w:rFonts w:ascii="Arial" w:hAnsi="Arial" w:hint="cs"/>
          <w:sz w:val="27"/>
          <w:rtl/>
        </w:rPr>
        <w:t>ّ</w:t>
      </w:r>
      <w:r w:rsidRPr="00904FCB">
        <w:rPr>
          <w:rFonts w:ascii="Arial" w:hAnsi="Arial" w:hint="cs"/>
          <w:sz w:val="27"/>
          <w:rtl/>
        </w:rPr>
        <w:t>ل م</w:t>
      </w:r>
      <w:r w:rsidR="002A07BC" w:rsidRPr="00904FCB">
        <w:rPr>
          <w:rFonts w:ascii="Arial" w:hAnsi="Arial" w:hint="cs"/>
          <w:sz w:val="27"/>
          <w:rtl/>
        </w:rPr>
        <w:t>َ</w:t>
      </w:r>
      <w:r w:rsidRPr="00904FCB">
        <w:rPr>
          <w:rFonts w:ascii="Arial" w:hAnsi="Arial" w:hint="cs"/>
          <w:sz w:val="27"/>
          <w:rtl/>
        </w:rPr>
        <w:t>ن</w:t>
      </w:r>
      <w:r w:rsidR="002A07BC" w:rsidRPr="00904FCB">
        <w:rPr>
          <w:rFonts w:ascii="Arial" w:hAnsi="Arial" w:hint="cs"/>
          <w:sz w:val="27"/>
          <w:rtl/>
        </w:rPr>
        <w:t>ْ</w:t>
      </w:r>
      <w:r w:rsidRPr="00904FCB">
        <w:rPr>
          <w:rFonts w:ascii="Arial" w:hAnsi="Arial" w:hint="cs"/>
          <w:sz w:val="27"/>
          <w:rtl/>
        </w:rPr>
        <w:t xml:space="preserve"> رد</w:t>
      </w:r>
      <w:r w:rsidR="002A07BC" w:rsidRPr="00904FCB">
        <w:rPr>
          <w:rFonts w:ascii="Arial" w:hAnsi="Arial" w:hint="cs"/>
          <w:sz w:val="27"/>
          <w:rtl/>
        </w:rPr>
        <w:t>َّ</w:t>
      </w:r>
      <w:r w:rsidRPr="00904FCB">
        <w:rPr>
          <w:rFonts w:ascii="Arial" w:hAnsi="Arial" w:hint="cs"/>
          <w:sz w:val="27"/>
          <w:rtl/>
        </w:rPr>
        <w:t xml:space="preserve"> عليها هو العلا</w:t>
      </w:r>
      <w:r w:rsidR="002A07BC" w:rsidRPr="00904FCB">
        <w:rPr>
          <w:rFonts w:ascii="Arial" w:hAnsi="Arial" w:hint="cs"/>
          <w:sz w:val="27"/>
          <w:rtl/>
        </w:rPr>
        <w:t>ّ</w:t>
      </w:r>
      <w:r w:rsidRPr="00904FCB">
        <w:rPr>
          <w:rFonts w:ascii="Arial" w:hAnsi="Arial" w:hint="cs"/>
          <w:sz w:val="27"/>
          <w:rtl/>
        </w:rPr>
        <w:t>مة</w:t>
      </w:r>
      <w:r w:rsidRPr="00904FCB">
        <w:rPr>
          <w:rFonts w:ascii="Arial" w:hAnsi="Arial"/>
          <w:sz w:val="27"/>
          <w:rtl/>
        </w:rPr>
        <w:t xml:space="preserve"> </w:t>
      </w:r>
      <w:r w:rsidRPr="00904FCB">
        <w:rPr>
          <w:rFonts w:ascii="Arial" w:hAnsi="Arial" w:hint="cs"/>
          <w:sz w:val="27"/>
          <w:rtl/>
          <w:lang w:bidi="ar-IQ"/>
        </w:rPr>
        <w:t>عبد الحسين</w:t>
      </w:r>
      <w:r w:rsidR="002A07BC" w:rsidRPr="00904FCB">
        <w:rPr>
          <w:rFonts w:ascii="Arial" w:hAnsi="Arial" w:hint="cs"/>
          <w:sz w:val="27"/>
          <w:rtl/>
        </w:rPr>
        <w:t xml:space="preserve"> الأميني</w:t>
      </w:r>
      <w:r w:rsidRPr="00904FCB">
        <w:rPr>
          <w:rFonts w:ascii="Arial" w:hAnsi="Arial" w:hint="cs"/>
          <w:sz w:val="27"/>
          <w:rtl/>
        </w:rPr>
        <w:t>(</w:t>
      </w:r>
      <w:r w:rsidRPr="002831B1">
        <w:rPr>
          <w:rFonts w:ascii="Arial" w:hAnsi="Arial" w:hint="cs"/>
          <w:sz w:val="27"/>
          <w:rtl/>
        </w:rPr>
        <w:t>1390هـ</w:t>
      </w:r>
      <w:r w:rsidRPr="00904FCB">
        <w:rPr>
          <w:rFonts w:ascii="Arial" w:hAnsi="Arial" w:hint="cs"/>
          <w:sz w:val="27"/>
          <w:rtl/>
        </w:rPr>
        <w:t xml:space="preserve"> /</w:t>
      </w:r>
      <w:r w:rsidRPr="00904FCB">
        <w:rPr>
          <w:rFonts w:ascii="Arial" w:hAnsi="Arial" w:hint="cs"/>
          <w:sz w:val="27"/>
          <w:rtl/>
          <w:lang w:bidi="ar-IQ"/>
        </w:rPr>
        <w:t xml:space="preserve"> </w:t>
      </w:r>
      <w:r w:rsidRPr="002831B1">
        <w:rPr>
          <w:rFonts w:ascii="Arial" w:hAnsi="Arial" w:hint="cs"/>
          <w:sz w:val="27"/>
          <w:rtl/>
          <w:lang w:bidi="ar-IQ"/>
        </w:rPr>
        <w:t>1971م</w:t>
      </w:r>
      <w:r w:rsidRPr="00904FCB">
        <w:rPr>
          <w:rFonts w:ascii="Arial" w:hAnsi="Arial" w:hint="cs"/>
          <w:sz w:val="27"/>
          <w:rtl/>
          <w:lang w:bidi="ar-IQ"/>
        </w:rPr>
        <w:t xml:space="preserve">)، </w:t>
      </w:r>
      <w:r w:rsidRPr="00904FCB">
        <w:rPr>
          <w:rFonts w:ascii="Arial" w:hAnsi="Arial" w:hint="cs"/>
          <w:sz w:val="27"/>
          <w:rtl/>
        </w:rPr>
        <w:t>وهو معروف</w:t>
      </w:r>
      <w:r w:rsidR="002A07BC" w:rsidRPr="00904FCB">
        <w:rPr>
          <w:rFonts w:ascii="Arial" w:hAnsi="Arial" w:hint="cs"/>
          <w:sz w:val="27"/>
          <w:rtl/>
        </w:rPr>
        <w:t>ٌ</w:t>
      </w:r>
      <w:r w:rsidRPr="00904FCB">
        <w:rPr>
          <w:rFonts w:ascii="Arial" w:hAnsi="Arial" w:hint="cs"/>
          <w:sz w:val="27"/>
          <w:rtl/>
        </w:rPr>
        <w:t xml:space="preserve"> بأنه في أسمى درجات الولاية والتشي</w:t>
      </w:r>
      <w:r w:rsidR="002A07BC" w:rsidRPr="00904FCB">
        <w:rPr>
          <w:rFonts w:ascii="Arial" w:hAnsi="Arial" w:hint="cs"/>
          <w:sz w:val="27"/>
          <w:rtl/>
        </w:rPr>
        <w:t>ُّ</w:t>
      </w:r>
      <w:r w:rsidRPr="00904FCB">
        <w:rPr>
          <w:rFonts w:ascii="Arial" w:hAnsi="Arial" w:hint="cs"/>
          <w:sz w:val="27"/>
          <w:rtl/>
        </w:rPr>
        <w:t>ع</w:t>
      </w:r>
      <w:r w:rsidR="002A07BC" w:rsidRPr="00904FCB">
        <w:rPr>
          <w:rFonts w:ascii="Arial" w:hAnsi="Arial" w:hint="cs"/>
          <w:sz w:val="27"/>
          <w:rtl/>
        </w:rPr>
        <w:t>.</w:t>
      </w:r>
      <w:r w:rsidRPr="00904FCB">
        <w:rPr>
          <w:rFonts w:ascii="Arial" w:hAnsi="Arial" w:hint="cs"/>
          <w:sz w:val="27"/>
          <w:rtl/>
        </w:rPr>
        <w:t xml:space="preserve"> وقد اعتبر كتابة هذه الكراسة عملاً غير صحيح، وليس لدينا اطلاع على النص</w:t>
      </w:r>
      <w:r w:rsidR="002A07BC" w:rsidRPr="00904FCB">
        <w:rPr>
          <w:rFonts w:ascii="Arial" w:hAnsi="Arial" w:hint="cs"/>
          <w:sz w:val="27"/>
          <w:rtl/>
        </w:rPr>
        <w:t>ّ</w:t>
      </w:r>
      <w:r w:rsidRPr="00904FCB">
        <w:rPr>
          <w:rFonts w:ascii="Arial" w:hAnsi="Arial" w:hint="cs"/>
          <w:sz w:val="27"/>
          <w:rtl/>
        </w:rPr>
        <w:t xml:space="preserve"> المطبوع للبيان الصادر عن الأميني، لكن</w:t>
      </w:r>
      <w:r w:rsidR="002A07BC" w:rsidRPr="00904FCB">
        <w:rPr>
          <w:rFonts w:ascii="Arial" w:hAnsi="Arial" w:hint="cs"/>
          <w:sz w:val="27"/>
          <w:rtl/>
        </w:rPr>
        <w:t>ّ</w:t>
      </w:r>
      <w:r w:rsidRPr="00904FCB">
        <w:rPr>
          <w:rFonts w:ascii="Arial" w:hAnsi="Arial" w:hint="cs"/>
          <w:sz w:val="27"/>
          <w:rtl/>
        </w:rPr>
        <w:t xml:space="preserve"> نص</w:t>
      </w:r>
      <w:r w:rsidR="002A07BC" w:rsidRPr="00904FCB">
        <w:rPr>
          <w:rFonts w:ascii="Arial" w:hAnsi="Arial" w:hint="cs"/>
          <w:sz w:val="27"/>
          <w:rtl/>
        </w:rPr>
        <w:t>ّ</w:t>
      </w:r>
      <w:r w:rsidRPr="00904FCB">
        <w:rPr>
          <w:rFonts w:ascii="Arial" w:hAnsi="Arial" w:hint="cs"/>
          <w:sz w:val="27"/>
          <w:rtl/>
        </w:rPr>
        <w:t xml:space="preserve"> هذا البيان ورد في مصدر خط</w:t>
      </w:r>
      <w:r w:rsidR="002A07BC" w:rsidRPr="00904FCB">
        <w:rPr>
          <w:rFonts w:ascii="Arial" w:hAnsi="Arial" w:hint="cs"/>
          <w:sz w:val="27"/>
          <w:rtl/>
        </w:rPr>
        <w:t>ّ</w:t>
      </w:r>
      <w:r w:rsidRPr="00904FCB">
        <w:rPr>
          <w:rFonts w:ascii="Arial" w:hAnsi="Arial" w:hint="cs"/>
          <w:sz w:val="27"/>
          <w:rtl/>
        </w:rPr>
        <w:t>ي. ويبدو من ظاهر النص</w:t>
      </w:r>
      <w:r w:rsidR="002A07BC" w:rsidRPr="00904FCB">
        <w:rPr>
          <w:rFonts w:ascii="Arial" w:hAnsi="Arial" w:hint="cs"/>
          <w:sz w:val="27"/>
          <w:rtl/>
        </w:rPr>
        <w:t>ّ</w:t>
      </w:r>
      <w:r w:rsidRPr="00904FCB">
        <w:rPr>
          <w:rFonts w:ascii="Arial" w:hAnsi="Arial" w:hint="cs"/>
          <w:sz w:val="27"/>
          <w:rtl/>
        </w:rPr>
        <w:t xml:space="preserve"> أنه قد ط</w:t>
      </w:r>
      <w:r w:rsidR="002A07BC" w:rsidRPr="00904FCB">
        <w:rPr>
          <w:rFonts w:ascii="Arial" w:hAnsi="Arial" w:hint="cs"/>
          <w:sz w:val="27"/>
          <w:rtl/>
        </w:rPr>
        <w:t>ُ</w:t>
      </w:r>
      <w:r w:rsidRPr="00904FCB">
        <w:rPr>
          <w:rFonts w:ascii="Arial" w:hAnsi="Arial" w:hint="cs"/>
          <w:sz w:val="27"/>
          <w:rtl/>
        </w:rPr>
        <w:t>بع، وهناك مقد</w:t>
      </w:r>
      <w:r w:rsidR="002A07BC" w:rsidRPr="00904FCB">
        <w:rPr>
          <w:rFonts w:ascii="Arial" w:hAnsi="Arial" w:hint="cs"/>
          <w:sz w:val="27"/>
          <w:rtl/>
        </w:rPr>
        <w:t>ّ</w:t>
      </w:r>
      <w:r w:rsidRPr="00904FCB">
        <w:rPr>
          <w:rFonts w:ascii="Arial" w:hAnsi="Arial" w:hint="cs"/>
          <w:sz w:val="27"/>
          <w:rtl/>
        </w:rPr>
        <w:t>مة</w:t>
      </w:r>
      <w:r w:rsidR="002A07BC" w:rsidRPr="00904FCB">
        <w:rPr>
          <w:rFonts w:ascii="Arial" w:hAnsi="Arial" w:hint="cs"/>
          <w:sz w:val="27"/>
          <w:rtl/>
        </w:rPr>
        <w:t>ٌ</w:t>
      </w:r>
      <w:r w:rsidRPr="00904FCB">
        <w:rPr>
          <w:rFonts w:ascii="Arial" w:hAnsi="Arial" w:hint="cs"/>
          <w:sz w:val="27"/>
          <w:rtl/>
        </w:rPr>
        <w:t xml:space="preserve"> بقلم شخص</w:t>
      </w:r>
      <w:r w:rsidR="002A07BC" w:rsidRPr="00904FCB">
        <w:rPr>
          <w:rFonts w:ascii="Arial" w:hAnsi="Arial" w:hint="cs"/>
          <w:sz w:val="27"/>
          <w:rtl/>
        </w:rPr>
        <w:t>ٍ</w:t>
      </w:r>
      <w:r w:rsidRPr="00904FCB">
        <w:rPr>
          <w:rFonts w:ascii="Arial" w:hAnsi="Arial" w:hint="cs"/>
          <w:sz w:val="27"/>
          <w:rtl/>
        </w:rPr>
        <w:t xml:space="preserve"> آخر للتعريف بهذا البيان</w:t>
      </w:r>
      <w:r w:rsidRPr="00904FCB">
        <w:rPr>
          <w:rFonts w:ascii="Arial" w:hAnsi="Arial"/>
          <w:sz w:val="27"/>
          <w:vertAlign w:val="superscript"/>
          <w:rtl/>
        </w:rPr>
        <w:t>(</w:t>
      </w:r>
      <w:r w:rsidRPr="00904FCB">
        <w:rPr>
          <w:rStyle w:val="ac"/>
          <w:rFonts w:ascii="Arial" w:hAnsi="Arial"/>
          <w:sz w:val="27"/>
          <w:rtl/>
        </w:rPr>
        <w:endnoteReference w:id="705"/>
      </w:r>
      <w:r w:rsidRPr="00904FCB">
        <w:rPr>
          <w:rFonts w:ascii="Arial" w:hAnsi="Arial"/>
          <w:sz w:val="27"/>
          <w:vertAlign w:val="superscript"/>
          <w:rtl/>
        </w:rPr>
        <w:t>)</w:t>
      </w:r>
      <w:r w:rsidRPr="00904FCB">
        <w:rPr>
          <w:rFonts w:ascii="Arial" w:hAnsi="Arial" w:hint="cs"/>
          <w:sz w:val="27"/>
          <w:rtl/>
        </w:rPr>
        <w:t>. وقد ذكر نص</w:t>
      </w:r>
      <w:r w:rsidR="002A07BC" w:rsidRPr="00904FCB">
        <w:rPr>
          <w:rFonts w:ascii="Arial" w:hAnsi="Arial" w:hint="cs"/>
          <w:sz w:val="27"/>
          <w:rtl/>
        </w:rPr>
        <w:t>ّ</w:t>
      </w:r>
      <w:r w:rsidRPr="00904FCB">
        <w:rPr>
          <w:rFonts w:ascii="Arial" w:hAnsi="Arial" w:hint="cs"/>
          <w:sz w:val="27"/>
          <w:rtl/>
        </w:rPr>
        <w:t xml:space="preserve"> هذا البيان العلا</w:t>
      </w:r>
      <w:r w:rsidR="002A07BC" w:rsidRPr="00904FCB">
        <w:rPr>
          <w:rFonts w:ascii="Arial" w:hAnsi="Arial" w:hint="cs"/>
          <w:sz w:val="27"/>
          <w:rtl/>
        </w:rPr>
        <w:t>ّ</w:t>
      </w:r>
      <w:r w:rsidRPr="00904FCB">
        <w:rPr>
          <w:rFonts w:ascii="Arial" w:hAnsi="Arial" w:hint="cs"/>
          <w:sz w:val="27"/>
          <w:rtl/>
        </w:rPr>
        <w:t xml:space="preserve">مة الشيخ مرتضى المدرس الكيلاني في كتابه تاريخ النجف (مخطوط، </w:t>
      </w:r>
      <w:r w:rsidRPr="002831B1">
        <w:rPr>
          <w:rFonts w:ascii="Arial" w:hAnsi="Arial" w:hint="cs"/>
          <w:sz w:val="27"/>
          <w:rtl/>
        </w:rPr>
        <w:t>ج1</w:t>
      </w:r>
      <w:r w:rsidRPr="00904FCB">
        <w:rPr>
          <w:rFonts w:ascii="Arial" w:hAnsi="Arial" w:hint="cs"/>
          <w:sz w:val="27"/>
          <w:rtl/>
        </w:rPr>
        <w:t xml:space="preserve">، ص </w:t>
      </w:r>
      <w:r w:rsidRPr="002831B1">
        <w:rPr>
          <w:rFonts w:ascii="Arial" w:hAnsi="Arial" w:hint="cs"/>
          <w:sz w:val="27"/>
          <w:rtl/>
        </w:rPr>
        <w:t>213</w:t>
      </w:r>
      <w:r w:rsidRPr="00904FCB">
        <w:rPr>
          <w:rFonts w:ascii="Arial" w:hAnsi="Arial" w:hint="cs"/>
          <w:sz w:val="27"/>
          <w:rtl/>
        </w:rPr>
        <w:t xml:space="preserve">)، وقد جاء في بداية المخطوط: </w:t>
      </w:r>
      <w:r w:rsidRPr="00904FCB">
        <w:rPr>
          <w:rFonts w:hint="eastAsia"/>
          <w:sz w:val="27"/>
          <w:rtl/>
        </w:rPr>
        <w:t>«</w:t>
      </w:r>
      <w:r w:rsidRPr="00904FCB">
        <w:rPr>
          <w:rFonts w:ascii="Arial" w:hAnsi="Arial" w:hint="cs"/>
          <w:sz w:val="27"/>
          <w:rtl/>
        </w:rPr>
        <w:t>بما أن</w:t>
      </w:r>
      <w:r w:rsidR="002A07BC" w:rsidRPr="00904FCB">
        <w:rPr>
          <w:rFonts w:ascii="Arial" w:hAnsi="Arial" w:hint="cs"/>
          <w:sz w:val="27"/>
          <w:rtl/>
        </w:rPr>
        <w:t>ّ</w:t>
      </w:r>
      <w:r w:rsidRPr="00904FCB">
        <w:rPr>
          <w:rFonts w:ascii="Arial" w:hAnsi="Arial" w:hint="cs"/>
          <w:sz w:val="27"/>
          <w:rtl/>
        </w:rPr>
        <w:t xml:space="preserve"> كراس (يعني أباطيل الحكيم) تم</w:t>
      </w:r>
      <w:r w:rsidR="002A07BC" w:rsidRPr="00904FCB">
        <w:rPr>
          <w:rFonts w:ascii="Arial" w:hAnsi="Arial" w:hint="cs"/>
          <w:sz w:val="27"/>
          <w:rtl/>
        </w:rPr>
        <w:t>ّ</w:t>
      </w:r>
      <w:r w:rsidRPr="00904FCB">
        <w:rPr>
          <w:rFonts w:ascii="Arial" w:hAnsi="Arial" w:hint="cs"/>
          <w:sz w:val="27"/>
          <w:rtl/>
        </w:rPr>
        <w:t xml:space="preserve"> نشره، فقد كتب مؤل</w:t>
      </w:r>
      <w:r w:rsidR="002A07BC" w:rsidRPr="00904FCB">
        <w:rPr>
          <w:rFonts w:ascii="Arial" w:hAnsi="Arial" w:hint="cs"/>
          <w:sz w:val="27"/>
          <w:rtl/>
        </w:rPr>
        <w:t>ِّ</w:t>
      </w:r>
      <w:r w:rsidRPr="00904FCB">
        <w:rPr>
          <w:rFonts w:ascii="Arial" w:hAnsi="Arial" w:hint="cs"/>
          <w:sz w:val="27"/>
          <w:rtl/>
        </w:rPr>
        <w:t>ف الغدير رد</w:t>
      </w:r>
      <w:r w:rsidR="002A07BC" w:rsidRPr="00904FCB">
        <w:rPr>
          <w:rFonts w:ascii="Arial" w:hAnsi="Arial" w:hint="cs"/>
          <w:sz w:val="27"/>
          <w:rtl/>
        </w:rPr>
        <w:t>ّ</w:t>
      </w:r>
      <w:r w:rsidRPr="00904FCB">
        <w:rPr>
          <w:rFonts w:ascii="Arial" w:hAnsi="Arial" w:hint="cs"/>
          <w:sz w:val="27"/>
          <w:rtl/>
        </w:rPr>
        <w:t>اً عليه</w:t>
      </w:r>
      <w:r w:rsidR="002A07BC" w:rsidRPr="00904FCB">
        <w:rPr>
          <w:rFonts w:ascii="Arial" w:hAnsi="Arial" w:hint="cs"/>
          <w:sz w:val="27"/>
          <w:rtl/>
        </w:rPr>
        <w:t xml:space="preserve">، </w:t>
      </w:r>
      <w:r w:rsidRPr="00904FCB">
        <w:rPr>
          <w:rFonts w:ascii="Arial" w:hAnsi="Arial" w:hint="cs"/>
          <w:sz w:val="27"/>
          <w:rtl/>
        </w:rPr>
        <w:t>وبعد ذلك جمع أوراقه المطبوعة</w:t>
      </w:r>
      <w:r w:rsidRPr="00904FCB">
        <w:rPr>
          <w:rFonts w:hint="eastAsia"/>
          <w:sz w:val="27"/>
          <w:rtl/>
        </w:rPr>
        <w:t>»</w:t>
      </w:r>
      <w:r w:rsidRPr="00904FCB">
        <w:rPr>
          <w:rFonts w:ascii="Arial" w:hAnsi="Arial" w:hint="cs"/>
          <w:sz w:val="27"/>
          <w:rtl/>
        </w:rPr>
        <w:t xml:space="preserve">. </w:t>
      </w:r>
    </w:p>
    <w:p w:rsidR="000817FF" w:rsidRPr="00904FCB" w:rsidRDefault="000817FF" w:rsidP="000817FF">
      <w:pPr>
        <w:spacing w:line="380" w:lineRule="exact"/>
        <w:rPr>
          <w:rFonts w:ascii="Arial" w:hAnsi="Arial"/>
          <w:sz w:val="27"/>
          <w:rtl/>
        </w:rPr>
      </w:pPr>
    </w:p>
    <w:p w:rsidR="00F34FB9" w:rsidRPr="00904FCB" w:rsidRDefault="00F34FB9" w:rsidP="007A21AA">
      <w:pPr>
        <w:pStyle w:val="31"/>
        <w:spacing w:line="400" w:lineRule="exact"/>
        <w:rPr>
          <w:color w:val="auto"/>
          <w:rtl/>
        </w:rPr>
      </w:pPr>
      <w:r w:rsidRPr="00904FCB">
        <w:rPr>
          <w:rFonts w:hint="cs"/>
          <w:color w:val="auto"/>
          <w:rtl/>
        </w:rPr>
        <w:t>بيان العلا</w:t>
      </w:r>
      <w:r w:rsidR="002A07BC" w:rsidRPr="00904FCB">
        <w:rPr>
          <w:rFonts w:hint="cs"/>
          <w:color w:val="auto"/>
          <w:rtl/>
        </w:rPr>
        <w:t>ّ</w:t>
      </w:r>
      <w:r w:rsidRPr="00904FCB">
        <w:rPr>
          <w:rFonts w:hint="cs"/>
          <w:color w:val="auto"/>
          <w:rtl/>
        </w:rPr>
        <w:t>مة الأميني دفاعا</w:t>
      </w:r>
      <w:r w:rsidR="008A5B60" w:rsidRPr="00904FCB">
        <w:rPr>
          <w:rFonts w:hint="cs"/>
          <w:color w:val="auto"/>
          <w:rtl/>
        </w:rPr>
        <w:t>ً</w:t>
      </w:r>
      <w:r w:rsidRPr="00904FCB">
        <w:rPr>
          <w:rFonts w:hint="cs"/>
          <w:color w:val="auto"/>
          <w:rtl/>
        </w:rPr>
        <w:t xml:space="preserve"> عن </w:t>
      </w:r>
      <w:r w:rsidR="002A07BC" w:rsidRPr="00904FCB">
        <w:rPr>
          <w:rFonts w:hint="cs"/>
          <w:color w:val="auto"/>
          <w:rtl/>
        </w:rPr>
        <w:t>السيد</w:t>
      </w:r>
      <w:r w:rsidRPr="00904FCB">
        <w:rPr>
          <w:rFonts w:hint="cs"/>
          <w:color w:val="auto"/>
          <w:rtl/>
        </w:rPr>
        <w:t xml:space="preserve"> الحكيم</w:t>
      </w:r>
    </w:p>
    <w:p w:rsidR="00F34FB9" w:rsidRPr="00904FCB" w:rsidRDefault="00F34FB9" w:rsidP="007A21AA">
      <w:pPr>
        <w:spacing w:line="400" w:lineRule="exact"/>
        <w:rPr>
          <w:sz w:val="27"/>
          <w:rtl/>
        </w:rPr>
      </w:pPr>
      <w:r w:rsidRPr="00904FCB">
        <w:rPr>
          <w:sz w:val="27"/>
          <w:rtl/>
        </w:rPr>
        <w:t xml:space="preserve">دفاع عن </w:t>
      </w:r>
      <w:r w:rsidRPr="00904FCB">
        <w:rPr>
          <w:rFonts w:hint="cs"/>
          <w:sz w:val="27"/>
          <w:rtl/>
        </w:rPr>
        <w:t>الإسلام</w:t>
      </w:r>
      <w:r w:rsidRPr="00904FCB">
        <w:rPr>
          <w:sz w:val="27"/>
          <w:rtl/>
        </w:rPr>
        <w:t xml:space="preserve"> المقد</w:t>
      </w:r>
      <w:r w:rsidR="002A07BC" w:rsidRPr="00904FCB">
        <w:rPr>
          <w:rFonts w:hint="cs"/>
          <w:sz w:val="27"/>
          <w:rtl/>
        </w:rPr>
        <w:t>ّ</w:t>
      </w:r>
      <w:r w:rsidRPr="00904FCB">
        <w:rPr>
          <w:sz w:val="27"/>
          <w:rtl/>
        </w:rPr>
        <w:t xml:space="preserve">س، عن المركز </w:t>
      </w:r>
      <w:r w:rsidRPr="00904FCB">
        <w:rPr>
          <w:rFonts w:hint="cs"/>
          <w:sz w:val="27"/>
          <w:rtl/>
        </w:rPr>
        <w:t>الديني</w:t>
      </w:r>
      <w:r w:rsidRPr="00904FCB">
        <w:rPr>
          <w:sz w:val="27"/>
          <w:rtl/>
        </w:rPr>
        <w:t xml:space="preserve">، عن الشعب والوطن والعروبة، </w:t>
      </w:r>
      <w:r w:rsidRPr="00904FCB">
        <w:rPr>
          <w:sz w:val="27"/>
          <w:rtl/>
        </w:rPr>
        <w:lastRenderedPageBreak/>
        <w:t xml:space="preserve">بقلم المصلح الناصح، المجاهد، المدافع الحسر، </w:t>
      </w:r>
      <w:r w:rsidRPr="00904FCB">
        <w:rPr>
          <w:rFonts w:hint="cs"/>
          <w:sz w:val="27"/>
          <w:rtl/>
        </w:rPr>
        <w:t>شيخنا</w:t>
      </w:r>
      <w:r w:rsidRPr="00904FCB">
        <w:rPr>
          <w:sz w:val="27"/>
          <w:rtl/>
        </w:rPr>
        <w:t xml:space="preserve"> العلا</w:t>
      </w:r>
      <w:r w:rsidR="002A07BC" w:rsidRPr="00904FCB">
        <w:rPr>
          <w:rFonts w:hint="cs"/>
          <w:sz w:val="27"/>
          <w:rtl/>
        </w:rPr>
        <w:t>ّ</w:t>
      </w:r>
      <w:r w:rsidRPr="00904FCB">
        <w:rPr>
          <w:sz w:val="27"/>
          <w:rtl/>
        </w:rPr>
        <w:t xml:space="preserve">مة الحجة </w:t>
      </w:r>
      <w:r w:rsidRPr="00904FCB">
        <w:rPr>
          <w:rFonts w:hint="cs"/>
          <w:sz w:val="27"/>
          <w:rtl/>
        </w:rPr>
        <w:t>الأكبر</w:t>
      </w:r>
      <w:r w:rsidRPr="00904FCB">
        <w:rPr>
          <w:sz w:val="27"/>
          <w:rtl/>
        </w:rPr>
        <w:t xml:space="preserve"> </w:t>
      </w:r>
      <w:r w:rsidRPr="00904FCB">
        <w:rPr>
          <w:rFonts w:hint="cs"/>
          <w:sz w:val="27"/>
          <w:rtl/>
        </w:rPr>
        <w:t>الأميني</w:t>
      </w:r>
      <w:r w:rsidRPr="00904FCB">
        <w:rPr>
          <w:sz w:val="27"/>
          <w:rtl/>
        </w:rPr>
        <w:t xml:space="preserve"> صاحب الغد</w:t>
      </w:r>
      <w:r w:rsidRPr="00904FCB">
        <w:rPr>
          <w:rFonts w:hint="cs"/>
          <w:sz w:val="27"/>
          <w:rtl/>
        </w:rPr>
        <w:t>ير</w:t>
      </w:r>
      <w:r w:rsidRPr="00904FCB">
        <w:rPr>
          <w:sz w:val="27"/>
          <w:rtl/>
        </w:rPr>
        <w:t xml:space="preserve"> </w:t>
      </w:r>
      <w:r w:rsidRPr="00904FCB">
        <w:rPr>
          <w:rFonts w:hint="cs"/>
          <w:sz w:val="27"/>
          <w:rtl/>
        </w:rPr>
        <w:t>الفخم، كلمة</w:t>
      </w:r>
      <w:r w:rsidRPr="00904FCB">
        <w:rPr>
          <w:sz w:val="27"/>
          <w:rtl/>
        </w:rPr>
        <w:t xml:space="preserve"> ف</w:t>
      </w:r>
      <w:r w:rsidRPr="00904FCB">
        <w:rPr>
          <w:rFonts w:hint="cs"/>
          <w:sz w:val="27"/>
          <w:rtl/>
        </w:rPr>
        <w:t>يها</w:t>
      </w:r>
      <w:r w:rsidRPr="00904FCB">
        <w:rPr>
          <w:sz w:val="27"/>
          <w:rtl/>
        </w:rPr>
        <w:t xml:space="preserve"> </w:t>
      </w:r>
      <w:r w:rsidRPr="00904FCB">
        <w:rPr>
          <w:rFonts w:hint="cs"/>
          <w:sz w:val="27"/>
          <w:rtl/>
        </w:rPr>
        <w:t>صلاح</w:t>
      </w:r>
      <w:r w:rsidRPr="00904FCB">
        <w:rPr>
          <w:sz w:val="27"/>
          <w:rtl/>
        </w:rPr>
        <w:t xml:space="preserve"> </w:t>
      </w:r>
      <w:r w:rsidRPr="00904FCB">
        <w:rPr>
          <w:rFonts w:hint="cs"/>
          <w:sz w:val="27"/>
          <w:rtl/>
        </w:rPr>
        <w:t>العلم</w:t>
      </w:r>
      <w:r w:rsidRPr="00904FCB">
        <w:rPr>
          <w:sz w:val="27"/>
          <w:rtl/>
        </w:rPr>
        <w:t xml:space="preserve"> والد</w:t>
      </w:r>
      <w:r w:rsidRPr="00904FCB">
        <w:rPr>
          <w:rFonts w:hint="cs"/>
          <w:sz w:val="27"/>
          <w:rtl/>
        </w:rPr>
        <w:t>ين، صلاح</w:t>
      </w:r>
      <w:r w:rsidRPr="00904FCB">
        <w:rPr>
          <w:sz w:val="27"/>
          <w:rtl/>
        </w:rPr>
        <w:t xml:space="preserve"> </w:t>
      </w:r>
      <w:r w:rsidRPr="00904FCB">
        <w:rPr>
          <w:rFonts w:hint="cs"/>
          <w:sz w:val="27"/>
          <w:rtl/>
        </w:rPr>
        <w:t>الشعب</w:t>
      </w:r>
      <w:r w:rsidRPr="00904FCB">
        <w:rPr>
          <w:sz w:val="27"/>
          <w:rtl/>
        </w:rPr>
        <w:t xml:space="preserve"> </w:t>
      </w:r>
      <w:r w:rsidRPr="00904FCB">
        <w:rPr>
          <w:rFonts w:hint="cs"/>
          <w:sz w:val="27"/>
          <w:rtl/>
        </w:rPr>
        <w:t>العراقي النبيل</w:t>
      </w:r>
      <w:r w:rsidRPr="00904FCB">
        <w:rPr>
          <w:sz w:val="27"/>
          <w:rtl/>
        </w:rPr>
        <w:t>، رفعها م</w:t>
      </w:r>
      <w:r w:rsidR="002A07BC" w:rsidRPr="00904FCB">
        <w:rPr>
          <w:rFonts w:hint="cs"/>
          <w:sz w:val="27"/>
          <w:rtl/>
        </w:rPr>
        <w:t>َ</w:t>
      </w:r>
      <w:r w:rsidRPr="00904FCB">
        <w:rPr>
          <w:sz w:val="27"/>
          <w:rtl/>
        </w:rPr>
        <w:t>ن</w:t>
      </w:r>
      <w:r w:rsidR="002A07BC" w:rsidRPr="00904FCB">
        <w:rPr>
          <w:rFonts w:hint="cs"/>
          <w:sz w:val="27"/>
          <w:rtl/>
        </w:rPr>
        <w:t>ْ</w:t>
      </w:r>
      <w:r w:rsidRPr="00904FCB">
        <w:rPr>
          <w:sz w:val="27"/>
          <w:rtl/>
        </w:rPr>
        <w:t xml:space="preserve"> عرفته </w:t>
      </w:r>
      <w:r w:rsidRPr="00904FCB">
        <w:rPr>
          <w:rFonts w:hint="cs"/>
          <w:sz w:val="27"/>
          <w:rtl/>
        </w:rPr>
        <w:t>الأم</w:t>
      </w:r>
      <w:r w:rsidR="002A07BC" w:rsidRPr="00904FCB">
        <w:rPr>
          <w:rFonts w:hint="cs"/>
          <w:sz w:val="27"/>
          <w:rtl/>
        </w:rPr>
        <w:t>ّ</w:t>
      </w:r>
      <w:r w:rsidRPr="00904FCB">
        <w:rPr>
          <w:rFonts w:hint="cs"/>
          <w:sz w:val="27"/>
          <w:rtl/>
        </w:rPr>
        <w:t>ة</w:t>
      </w:r>
      <w:r w:rsidR="008B4779" w:rsidRPr="00904FCB">
        <w:rPr>
          <w:rFonts w:hint="cs"/>
          <w:sz w:val="27"/>
          <w:rtl/>
        </w:rPr>
        <w:t>؛</w:t>
      </w:r>
      <w:r w:rsidRPr="00904FCB">
        <w:rPr>
          <w:sz w:val="27"/>
          <w:rtl/>
        </w:rPr>
        <w:t xml:space="preserve"> </w:t>
      </w:r>
      <w:r w:rsidRPr="00904FCB">
        <w:rPr>
          <w:rFonts w:hint="cs"/>
          <w:sz w:val="27"/>
          <w:rtl/>
        </w:rPr>
        <w:t>لولائه</w:t>
      </w:r>
      <w:r w:rsidRPr="00904FCB">
        <w:rPr>
          <w:sz w:val="27"/>
          <w:rtl/>
        </w:rPr>
        <w:t xml:space="preserve"> الخالص للب</w:t>
      </w:r>
      <w:r w:rsidRPr="00904FCB">
        <w:rPr>
          <w:rFonts w:hint="cs"/>
          <w:sz w:val="27"/>
          <w:rtl/>
        </w:rPr>
        <w:t>يت</w:t>
      </w:r>
      <w:r w:rsidRPr="00904FCB">
        <w:rPr>
          <w:sz w:val="27"/>
          <w:rtl/>
        </w:rPr>
        <w:t xml:space="preserve"> </w:t>
      </w:r>
      <w:r w:rsidRPr="00904FCB">
        <w:rPr>
          <w:rFonts w:hint="cs"/>
          <w:sz w:val="27"/>
          <w:rtl/>
        </w:rPr>
        <w:t>الهاشمي</w:t>
      </w:r>
      <w:r w:rsidRPr="00904FCB">
        <w:rPr>
          <w:sz w:val="27"/>
          <w:rtl/>
        </w:rPr>
        <w:t xml:space="preserve"> الرف</w:t>
      </w:r>
      <w:r w:rsidRPr="00904FCB">
        <w:rPr>
          <w:rFonts w:hint="cs"/>
          <w:sz w:val="27"/>
          <w:rtl/>
        </w:rPr>
        <w:t>يع</w:t>
      </w:r>
      <w:r w:rsidR="008B4779" w:rsidRPr="00904FCB">
        <w:rPr>
          <w:rFonts w:hint="cs"/>
          <w:sz w:val="27"/>
          <w:rtl/>
        </w:rPr>
        <w:t>،</w:t>
      </w:r>
      <w:r w:rsidRPr="00904FCB">
        <w:rPr>
          <w:rFonts w:hint="cs"/>
          <w:sz w:val="27"/>
          <w:rtl/>
        </w:rPr>
        <w:t xml:space="preserve"> إلى</w:t>
      </w:r>
      <w:r w:rsidRPr="00904FCB">
        <w:rPr>
          <w:sz w:val="27"/>
          <w:rtl/>
        </w:rPr>
        <w:t xml:space="preserve"> رجالات المل</w:t>
      </w:r>
      <w:r w:rsidR="002A07BC" w:rsidRPr="00904FCB">
        <w:rPr>
          <w:rFonts w:hint="cs"/>
          <w:sz w:val="27"/>
          <w:rtl/>
        </w:rPr>
        <w:t>ّ</w:t>
      </w:r>
      <w:r w:rsidRPr="00904FCB">
        <w:rPr>
          <w:sz w:val="27"/>
          <w:rtl/>
        </w:rPr>
        <w:t xml:space="preserve">ة، </w:t>
      </w:r>
      <w:r w:rsidRPr="00904FCB">
        <w:rPr>
          <w:rFonts w:hint="cs"/>
          <w:sz w:val="27"/>
          <w:rtl/>
        </w:rPr>
        <w:t>إلى</w:t>
      </w:r>
      <w:r w:rsidRPr="00904FCB">
        <w:rPr>
          <w:sz w:val="27"/>
          <w:rtl/>
        </w:rPr>
        <w:t xml:space="preserve"> البلاط </w:t>
      </w:r>
      <w:r w:rsidRPr="00904FCB">
        <w:rPr>
          <w:rFonts w:hint="cs"/>
          <w:sz w:val="27"/>
          <w:rtl/>
        </w:rPr>
        <w:t>الهاشمي</w:t>
      </w:r>
      <w:r w:rsidRPr="00904FCB">
        <w:rPr>
          <w:sz w:val="27"/>
          <w:rtl/>
        </w:rPr>
        <w:t xml:space="preserve">، </w:t>
      </w:r>
      <w:r w:rsidRPr="00904FCB">
        <w:rPr>
          <w:rFonts w:hint="cs"/>
          <w:sz w:val="27"/>
          <w:rtl/>
        </w:rPr>
        <w:t>إلى</w:t>
      </w:r>
      <w:r w:rsidRPr="00904FCB">
        <w:rPr>
          <w:sz w:val="27"/>
          <w:rtl/>
        </w:rPr>
        <w:t xml:space="preserve"> أصحاب الفخامة و</w:t>
      </w:r>
      <w:r w:rsidRPr="00904FCB">
        <w:rPr>
          <w:rFonts w:hint="cs"/>
          <w:sz w:val="27"/>
          <w:rtl/>
        </w:rPr>
        <w:t>المعالي</w:t>
      </w:r>
      <w:r w:rsidRPr="00904FCB">
        <w:rPr>
          <w:sz w:val="27"/>
          <w:rtl/>
        </w:rPr>
        <w:t xml:space="preserve">، </w:t>
      </w:r>
      <w:r w:rsidRPr="00904FCB">
        <w:rPr>
          <w:rFonts w:hint="cs"/>
          <w:sz w:val="27"/>
          <w:rtl/>
        </w:rPr>
        <w:t>إلى</w:t>
      </w:r>
      <w:r w:rsidRPr="00904FCB">
        <w:rPr>
          <w:sz w:val="27"/>
          <w:rtl/>
        </w:rPr>
        <w:t xml:space="preserve"> أع</w:t>
      </w:r>
      <w:r w:rsidRPr="00904FCB">
        <w:rPr>
          <w:rFonts w:hint="cs"/>
          <w:sz w:val="27"/>
          <w:rtl/>
        </w:rPr>
        <w:t>يان</w:t>
      </w:r>
      <w:r w:rsidRPr="00904FCB">
        <w:rPr>
          <w:sz w:val="27"/>
          <w:rtl/>
        </w:rPr>
        <w:t xml:space="preserve"> </w:t>
      </w:r>
      <w:r w:rsidRPr="00904FCB">
        <w:rPr>
          <w:rFonts w:hint="cs"/>
          <w:sz w:val="27"/>
          <w:rtl/>
        </w:rPr>
        <w:t>مجلس</w:t>
      </w:r>
      <w:r w:rsidRPr="00904FCB">
        <w:rPr>
          <w:sz w:val="27"/>
          <w:rtl/>
        </w:rPr>
        <w:t xml:space="preserve"> </w:t>
      </w:r>
      <w:r w:rsidRPr="00904FCB">
        <w:rPr>
          <w:rFonts w:hint="cs"/>
          <w:sz w:val="27"/>
          <w:rtl/>
        </w:rPr>
        <w:t>الأم</w:t>
      </w:r>
      <w:r w:rsidR="008B4779" w:rsidRPr="00904FCB">
        <w:rPr>
          <w:rFonts w:hint="cs"/>
          <w:sz w:val="27"/>
          <w:rtl/>
        </w:rPr>
        <w:t>ّ</w:t>
      </w:r>
      <w:r w:rsidRPr="00904FCB">
        <w:rPr>
          <w:rFonts w:hint="cs"/>
          <w:sz w:val="27"/>
          <w:rtl/>
        </w:rPr>
        <w:t>ة</w:t>
      </w:r>
      <w:r w:rsidRPr="00904FCB">
        <w:rPr>
          <w:sz w:val="27"/>
          <w:rtl/>
        </w:rPr>
        <w:t xml:space="preserve">. </w:t>
      </w:r>
    </w:p>
    <w:p w:rsidR="00F34FB9" w:rsidRPr="00904FCB" w:rsidRDefault="00F34FB9" w:rsidP="007A21AA">
      <w:pPr>
        <w:spacing w:line="400" w:lineRule="exact"/>
        <w:ind w:firstLine="0"/>
        <w:jc w:val="center"/>
        <w:rPr>
          <w:sz w:val="27"/>
          <w:rtl/>
        </w:rPr>
      </w:pPr>
      <w:r w:rsidRPr="00904FCB">
        <w:rPr>
          <w:sz w:val="27"/>
          <w:rtl/>
        </w:rPr>
        <w:t>بسم الله الرحمن الرح</w:t>
      </w:r>
      <w:r w:rsidRPr="00904FCB">
        <w:rPr>
          <w:rFonts w:hint="cs"/>
          <w:sz w:val="27"/>
          <w:rtl/>
        </w:rPr>
        <w:t>يم</w:t>
      </w:r>
    </w:p>
    <w:p w:rsidR="00F34FB9" w:rsidRPr="00904FCB" w:rsidRDefault="008B4779" w:rsidP="007A21AA">
      <w:pPr>
        <w:spacing w:line="400" w:lineRule="exact"/>
        <w:rPr>
          <w:sz w:val="27"/>
          <w:rtl/>
        </w:rPr>
      </w:pPr>
      <w:r w:rsidRPr="00904FCB">
        <w:rPr>
          <w:rFonts w:ascii="Mosawi" w:hAnsi="Mosawi" w:cs="Mosawi"/>
          <w:sz w:val="24"/>
          <w:szCs w:val="24"/>
          <w:rtl/>
        </w:rPr>
        <w:t>﴿</w:t>
      </w:r>
      <w:r w:rsidRPr="00904FCB">
        <w:rPr>
          <w:b/>
          <w:bCs/>
          <w:sz w:val="27"/>
          <w:rtl/>
        </w:rPr>
        <w:t>الَّذِينَ يَسْتَمِعُونَ الْقَوْلَ فَيَتَّبِعُونَ أَحْسَنَهُ أُوْلَئِكَ الَّذِينَ هَدَاهُمْ اللهُ وَأُوْلَئِكَ هُمْ أُوْلُو الأَلْبَابِ</w:t>
      </w:r>
      <w:r w:rsidRPr="00904FCB">
        <w:rPr>
          <w:rFonts w:ascii="Mosawi" w:hAnsi="Mosawi" w:cs="Mosawi"/>
          <w:sz w:val="24"/>
          <w:szCs w:val="24"/>
          <w:rtl/>
        </w:rPr>
        <w:t>﴾</w:t>
      </w:r>
      <w:r w:rsidR="00F34FB9" w:rsidRPr="00904FCB">
        <w:rPr>
          <w:sz w:val="27"/>
          <w:rtl/>
        </w:rPr>
        <w:t xml:space="preserve">. </w:t>
      </w:r>
    </w:p>
    <w:p w:rsidR="00F34FB9" w:rsidRPr="00904FCB" w:rsidRDefault="00F34FB9" w:rsidP="007A21AA">
      <w:pPr>
        <w:spacing w:line="400" w:lineRule="exact"/>
        <w:rPr>
          <w:sz w:val="27"/>
          <w:rtl/>
        </w:rPr>
      </w:pPr>
      <w:r w:rsidRPr="00904FCB">
        <w:rPr>
          <w:sz w:val="27"/>
          <w:rtl/>
        </w:rPr>
        <w:t xml:space="preserve">لم </w:t>
      </w:r>
      <w:r w:rsidRPr="00904FCB">
        <w:rPr>
          <w:rFonts w:hint="cs"/>
          <w:sz w:val="27"/>
          <w:rtl/>
        </w:rPr>
        <w:t>يكن</w:t>
      </w:r>
      <w:r w:rsidRPr="00904FCB">
        <w:rPr>
          <w:sz w:val="27"/>
          <w:rtl/>
        </w:rPr>
        <w:t xml:space="preserve"> </w:t>
      </w:r>
      <w:r w:rsidRPr="00904FCB">
        <w:rPr>
          <w:rFonts w:hint="cs"/>
          <w:sz w:val="27"/>
          <w:rtl/>
        </w:rPr>
        <w:t xml:space="preserve">في </w:t>
      </w:r>
      <w:r w:rsidRPr="00904FCB">
        <w:rPr>
          <w:sz w:val="27"/>
          <w:rtl/>
        </w:rPr>
        <w:t xml:space="preserve">الهواجس أن </w:t>
      </w:r>
      <w:r w:rsidRPr="00904FCB">
        <w:rPr>
          <w:rFonts w:hint="cs"/>
          <w:sz w:val="27"/>
          <w:rtl/>
        </w:rPr>
        <w:t>يأتي</w:t>
      </w:r>
      <w:r w:rsidRPr="00904FCB">
        <w:rPr>
          <w:sz w:val="27"/>
          <w:rtl/>
        </w:rPr>
        <w:t xml:space="preserve"> عل</w:t>
      </w:r>
      <w:r w:rsidR="007922F5" w:rsidRPr="00904FCB">
        <w:rPr>
          <w:rFonts w:hint="cs"/>
          <w:sz w:val="27"/>
          <w:rtl/>
        </w:rPr>
        <w:t>ى</w:t>
      </w:r>
      <w:r w:rsidRPr="00904FCB">
        <w:rPr>
          <w:sz w:val="27"/>
          <w:rtl/>
        </w:rPr>
        <w:t xml:space="preserve"> </w:t>
      </w:r>
      <w:r w:rsidRPr="00904FCB">
        <w:rPr>
          <w:rFonts w:hint="cs"/>
          <w:sz w:val="27"/>
          <w:rtl/>
        </w:rPr>
        <w:t>الأم</w:t>
      </w:r>
      <w:r w:rsidR="007922F5" w:rsidRPr="00904FCB">
        <w:rPr>
          <w:rFonts w:hint="cs"/>
          <w:sz w:val="27"/>
          <w:rtl/>
        </w:rPr>
        <w:t>ّ</w:t>
      </w:r>
      <w:r w:rsidRPr="00904FCB">
        <w:rPr>
          <w:rFonts w:hint="cs"/>
          <w:sz w:val="27"/>
          <w:rtl/>
        </w:rPr>
        <w:t>ة</w:t>
      </w:r>
      <w:r w:rsidRPr="00904FCB">
        <w:rPr>
          <w:sz w:val="27"/>
          <w:rtl/>
        </w:rPr>
        <w:t xml:space="preserve"> </w:t>
      </w:r>
      <w:r w:rsidRPr="00904FCB">
        <w:rPr>
          <w:rFonts w:hint="cs"/>
          <w:sz w:val="27"/>
          <w:rtl/>
        </w:rPr>
        <w:t>يوم</w:t>
      </w:r>
      <w:r w:rsidRPr="00904FCB">
        <w:rPr>
          <w:sz w:val="27"/>
          <w:rtl/>
        </w:rPr>
        <w:t xml:space="preserve"> </w:t>
      </w:r>
      <w:r w:rsidRPr="00904FCB">
        <w:rPr>
          <w:rFonts w:hint="cs"/>
          <w:sz w:val="27"/>
          <w:rtl/>
        </w:rPr>
        <w:t>يحمل</w:t>
      </w:r>
      <w:r w:rsidRPr="00904FCB">
        <w:rPr>
          <w:sz w:val="27"/>
          <w:rtl/>
        </w:rPr>
        <w:t xml:space="preserve"> </w:t>
      </w:r>
      <w:r w:rsidRPr="00904FCB">
        <w:rPr>
          <w:rFonts w:hint="cs"/>
          <w:sz w:val="27"/>
          <w:rtl/>
        </w:rPr>
        <w:t>البريد</w:t>
      </w:r>
      <w:r w:rsidRPr="00904FCB">
        <w:rPr>
          <w:sz w:val="27"/>
          <w:rtl/>
        </w:rPr>
        <w:t xml:space="preserve"> إلى الحوا</w:t>
      </w:r>
      <w:r w:rsidRPr="00904FCB">
        <w:rPr>
          <w:rFonts w:hint="cs"/>
          <w:sz w:val="27"/>
          <w:rtl/>
        </w:rPr>
        <w:t>ض</w:t>
      </w:r>
      <w:r w:rsidRPr="00904FCB">
        <w:rPr>
          <w:sz w:val="27"/>
          <w:rtl/>
        </w:rPr>
        <w:t xml:space="preserve">ر </w:t>
      </w:r>
      <w:r w:rsidRPr="00904FCB">
        <w:rPr>
          <w:rFonts w:hint="cs"/>
          <w:sz w:val="27"/>
          <w:rtl/>
        </w:rPr>
        <w:t>الإسلامية</w:t>
      </w:r>
      <w:r w:rsidRPr="00904FCB">
        <w:rPr>
          <w:sz w:val="27"/>
          <w:rtl/>
        </w:rPr>
        <w:t xml:space="preserve"> صح</w:t>
      </w:r>
      <w:r w:rsidRPr="00904FCB">
        <w:rPr>
          <w:rFonts w:hint="cs"/>
          <w:sz w:val="27"/>
          <w:rtl/>
        </w:rPr>
        <w:t>يفة</w:t>
      </w:r>
      <w:r w:rsidRPr="00904FCB">
        <w:rPr>
          <w:sz w:val="27"/>
          <w:rtl/>
        </w:rPr>
        <w:t xml:space="preserve"> </w:t>
      </w:r>
      <w:r w:rsidRPr="00904FCB">
        <w:rPr>
          <w:rFonts w:hint="cs"/>
          <w:sz w:val="27"/>
          <w:rtl/>
        </w:rPr>
        <w:t>وقيعة</w:t>
      </w:r>
      <w:r w:rsidRPr="00904FCB">
        <w:rPr>
          <w:sz w:val="27"/>
          <w:rtl/>
        </w:rPr>
        <w:t xml:space="preserve"> </w:t>
      </w:r>
      <w:r w:rsidRPr="00904FCB">
        <w:rPr>
          <w:rFonts w:hint="cs"/>
          <w:sz w:val="27"/>
          <w:rtl/>
        </w:rPr>
        <w:t>شائنة</w:t>
      </w:r>
      <w:r w:rsidRPr="00904FCB">
        <w:rPr>
          <w:sz w:val="27"/>
          <w:rtl/>
        </w:rPr>
        <w:t xml:space="preserve"> في عَلَمٍ من الأعلام الد</w:t>
      </w:r>
      <w:r w:rsidRPr="00904FCB">
        <w:rPr>
          <w:rFonts w:hint="cs"/>
          <w:sz w:val="27"/>
          <w:rtl/>
        </w:rPr>
        <w:t xml:space="preserve">ين، </w:t>
      </w:r>
      <w:r w:rsidRPr="00904FCB">
        <w:rPr>
          <w:sz w:val="27"/>
          <w:rtl/>
        </w:rPr>
        <w:t>وزع</w:t>
      </w:r>
      <w:r w:rsidRPr="00904FCB">
        <w:rPr>
          <w:rFonts w:hint="cs"/>
          <w:sz w:val="27"/>
          <w:rtl/>
        </w:rPr>
        <w:t>يم</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زعماء</w:t>
      </w:r>
      <w:r w:rsidRPr="00904FCB">
        <w:rPr>
          <w:sz w:val="27"/>
          <w:rtl/>
        </w:rPr>
        <w:t xml:space="preserve"> </w:t>
      </w:r>
      <w:r w:rsidRPr="00904FCB">
        <w:rPr>
          <w:rFonts w:hint="cs"/>
          <w:sz w:val="27"/>
          <w:rtl/>
        </w:rPr>
        <w:t xml:space="preserve">الإسلام، </w:t>
      </w:r>
      <w:r w:rsidRPr="00904FCB">
        <w:rPr>
          <w:sz w:val="27"/>
          <w:rtl/>
        </w:rPr>
        <w:t>كسماحة آ</w:t>
      </w:r>
      <w:r w:rsidRPr="00904FCB">
        <w:rPr>
          <w:rFonts w:hint="cs"/>
          <w:sz w:val="27"/>
          <w:rtl/>
        </w:rPr>
        <w:t>ية</w:t>
      </w:r>
      <w:r w:rsidRPr="00904FCB">
        <w:rPr>
          <w:sz w:val="27"/>
          <w:rtl/>
        </w:rPr>
        <w:t xml:space="preserve"> </w:t>
      </w:r>
      <w:r w:rsidRPr="00904FCB">
        <w:rPr>
          <w:rFonts w:hint="cs"/>
          <w:sz w:val="27"/>
          <w:rtl/>
        </w:rPr>
        <w:t>الله</w:t>
      </w:r>
      <w:r w:rsidRPr="00904FCB">
        <w:rPr>
          <w:sz w:val="27"/>
          <w:rtl/>
        </w:rPr>
        <w:t xml:space="preserve"> </w:t>
      </w:r>
      <w:r w:rsidRPr="00904FCB">
        <w:rPr>
          <w:rFonts w:hint="cs"/>
          <w:sz w:val="27"/>
          <w:rtl/>
        </w:rPr>
        <w:t>السيد</w:t>
      </w:r>
      <w:r w:rsidRPr="00904FCB">
        <w:rPr>
          <w:sz w:val="27"/>
          <w:rtl/>
        </w:rPr>
        <w:t xml:space="preserve"> </w:t>
      </w:r>
      <w:r w:rsidRPr="00904FCB">
        <w:rPr>
          <w:rFonts w:hint="cs"/>
          <w:sz w:val="27"/>
          <w:rtl/>
        </w:rPr>
        <w:t>محسن</w:t>
      </w:r>
      <w:r w:rsidRPr="00904FCB">
        <w:rPr>
          <w:sz w:val="27"/>
          <w:rtl/>
        </w:rPr>
        <w:t xml:space="preserve"> </w:t>
      </w:r>
      <w:r w:rsidRPr="00904FCB">
        <w:rPr>
          <w:rFonts w:hint="cs"/>
          <w:sz w:val="27"/>
          <w:rtl/>
        </w:rPr>
        <w:t>الحكيم</w:t>
      </w:r>
      <w:r w:rsidR="007922F5" w:rsidRPr="00904FCB">
        <w:rPr>
          <w:rFonts w:hint="cs"/>
          <w:sz w:val="27"/>
          <w:rtl/>
        </w:rPr>
        <w:t>،</w:t>
      </w:r>
      <w:r w:rsidRPr="00904FCB">
        <w:rPr>
          <w:sz w:val="27"/>
          <w:rtl/>
        </w:rPr>
        <w:t xml:space="preserve"> مشحونة بالأفائ</w:t>
      </w:r>
      <w:r w:rsidRPr="00904FCB">
        <w:rPr>
          <w:rFonts w:hint="cs"/>
          <w:sz w:val="27"/>
          <w:rtl/>
        </w:rPr>
        <w:t>ك</w:t>
      </w:r>
      <w:r w:rsidRPr="00904FCB">
        <w:rPr>
          <w:sz w:val="27"/>
          <w:rtl/>
        </w:rPr>
        <w:t xml:space="preserve"> والقذائف والطام</w:t>
      </w:r>
      <w:r w:rsidR="007922F5" w:rsidRPr="00904FCB">
        <w:rPr>
          <w:rFonts w:hint="cs"/>
          <w:sz w:val="27"/>
          <w:rtl/>
        </w:rPr>
        <w:t>ّ</w:t>
      </w:r>
      <w:r w:rsidRPr="00904FCB">
        <w:rPr>
          <w:sz w:val="27"/>
          <w:rtl/>
        </w:rPr>
        <w:t xml:space="preserve">ات، </w:t>
      </w:r>
      <w:r w:rsidRPr="00904FCB">
        <w:rPr>
          <w:rFonts w:hint="cs"/>
          <w:sz w:val="27"/>
          <w:rtl/>
        </w:rPr>
        <w:t>يستاء</w:t>
      </w:r>
      <w:r w:rsidRPr="00904FCB">
        <w:rPr>
          <w:sz w:val="27"/>
          <w:rtl/>
        </w:rPr>
        <w:t xml:space="preserve"> </w:t>
      </w:r>
      <w:r w:rsidRPr="00904FCB">
        <w:rPr>
          <w:rFonts w:hint="cs"/>
          <w:sz w:val="27"/>
          <w:rtl/>
        </w:rPr>
        <w:t>لها</w:t>
      </w:r>
      <w:r w:rsidRPr="00904FCB">
        <w:rPr>
          <w:sz w:val="27"/>
          <w:rtl/>
        </w:rPr>
        <w:t xml:space="preserve"> </w:t>
      </w:r>
      <w:r w:rsidRPr="00904FCB">
        <w:rPr>
          <w:rFonts w:hint="cs"/>
          <w:sz w:val="27"/>
          <w:rtl/>
        </w:rPr>
        <w:t>كل</w:t>
      </w:r>
      <w:r w:rsidR="007922F5" w:rsidRPr="00904FCB">
        <w:rPr>
          <w:rFonts w:hint="cs"/>
          <w:sz w:val="27"/>
          <w:rtl/>
        </w:rPr>
        <w:t>ّ</w:t>
      </w:r>
      <w:r w:rsidRPr="00904FCB">
        <w:rPr>
          <w:sz w:val="27"/>
          <w:rtl/>
        </w:rPr>
        <w:t xml:space="preserve"> </w:t>
      </w:r>
      <w:r w:rsidRPr="00904FCB">
        <w:rPr>
          <w:rFonts w:hint="cs"/>
          <w:sz w:val="27"/>
          <w:rtl/>
        </w:rPr>
        <w:t>رجل</w:t>
      </w:r>
      <w:r w:rsidRPr="00904FCB">
        <w:rPr>
          <w:sz w:val="27"/>
          <w:rtl/>
        </w:rPr>
        <w:t xml:space="preserve"> </w:t>
      </w:r>
      <w:r w:rsidRPr="00904FCB">
        <w:rPr>
          <w:rFonts w:hint="cs"/>
          <w:sz w:val="27"/>
          <w:rtl/>
        </w:rPr>
        <w:t>دين</w:t>
      </w:r>
      <w:r w:rsidR="007922F5" w:rsidRPr="00904FCB">
        <w:rPr>
          <w:rFonts w:hint="cs"/>
          <w:sz w:val="27"/>
          <w:rtl/>
        </w:rPr>
        <w:t>ٍ</w:t>
      </w:r>
      <w:r w:rsidRPr="00904FCB">
        <w:rPr>
          <w:sz w:val="27"/>
          <w:rtl/>
        </w:rPr>
        <w:t xml:space="preserve"> غ</w:t>
      </w:r>
      <w:r w:rsidRPr="00904FCB">
        <w:rPr>
          <w:rFonts w:hint="cs"/>
          <w:sz w:val="27"/>
          <w:rtl/>
        </w:rPr>
        <w:t>يور</w:t>
      </w:r>
      <w:r w:rsidR="007922F5" w:rsidRPr="00904FCB">
        <w:rPr>
          <w:rFonts w:hint="cs"/>
          <w:sz w:val="27"/>
          <w:rtl/>
        </w:rPr>
        <w:t>،</w:t>
      </w:r>
      <w:r w:rsidRPr="00904FCB">
        <w:rPr>
          <w:sz w:val="27"/>
          <w:rtl/>
        </w:rPr>
        <w:t xml:space="preserve"> </w:t>
      </w:r>
      <w:r w:rsidRPr="00904FCB">
        <w:rPr>
          <w:rFonts w:hint="cs"/>
          <w:sz w:val="27"/>
          <w:rtl/>
        </w:rPr>
        <w:t>وكل</w:t>
      </w:r>
      <w:r w:rsidR="007922F5" w:rsidRPr="00904FCB">
        <w:rPr>
          <w:rFonts w:hint="cs"/>
          <w:sz w:val="27"/>
          <w:rtl/>
        </w:rPr>
        <w:t>ّ</w:t>
      </w:r>
      <w:r w:rsidRPr="00904FCB">
        <w:rPr>
          <w:sz w:val="27"/>
          <w:rtl/>
        </w:rPr>
        <w:t xml:space="preserve"> </w:t>
      </w:r>
      <w:r w:rsidRPr="00904FCB">
        <w:rPr>
          <w:rFonts w:hint="cs"/>
          <w:sz w:val="27"/>
          <w:rtl/>
        </w:rPr>
        <w:t>سياسي</w:t>
      </w:r>
      <w:r w:rsidRPr="00904FCB">
        <w:rPr>
          <w:sz w:val="27"/>
          <w:rtl/>
        </w:rPr>
        <w:t xml:space="preserve"> </w:t>
      </w:r>
      <w:r w:rsidRPr="00904FCB">
        <w:rPr>
          <w:rFonts w:hint="cs"/>
          <w:sz w:val="27"/>
          <w:rtl/>
        </w:rPr>
        <w:t>محن</w:t>
      </w:r>
      <w:r w:rsidR="007922F5" w:rsidRPr="00904FCB">
        <w:rPr>
          <w:rFonts w:hint="cs"/>
          <w:sz w:val="27"/>
          <w:rtl/>
        </w:rPr>
        <w:t>َّ</w:t>
      </w:r>
      <w:r w:rsidRPr="00904FCB">
        <w:rPr>
          <w:rFonts w:hint="cs"/>
          <w:sz w:val="27"/>
          <w:rtl/>
        </w:rPr>
        <w:t>ك</w:t>
      </w:r>
      <w:r w:rsidRPr="00904FCB">
        <w:rPr>
          <w:sz w:val="27"/>
          <w:rtl/>
        </w:rPr>
        <w:t xml:space="preserve"> </w:t>
      </w:r>
      <w:r w:rsidRPr="00904FCB">
        <w:rPr>
          <w:rFonts w:hint="cs"/>
          <w:sz w:val="27"/>
          <w:rtl/>
        </w:rPr>
        <w:t>يسعى</w:t>
      </w:r>
      <w:r w:rsidRPr="00904FCB">
        <w:rPr>
          <w:sz w:val="27"/>
          <w:rtl/>
        </w:rPr>
        <w:t xml:space="preserve"> وراء أمن البلاد وصالح العباد. </w:t>
      </w:r>
    </w:p>
    <w:p w:rsidR="00F34FB9" w:rsidRPr="00904FCB" w:rsidRDefault="00F34FB9" w:rsidP="00CB149F">
      <w:pPr>
        <w:spacing w:line="400" w:lineRule="exact"/>
        <w:rPr>
          <w:sz w:val="27"/>
          <w:rtl/>
        </w:rPr>
      </w:pPr>
      <w:r w:rsidRPr="00904FCB">
        <w:rPr>
          <w:rFonts w:hint="cs"/>
          <w:sz w:val="27"/>
          <w:rtl/>
        </w:rPr>
        <w:t>أفي</w:t>
      </w:r>
      <w:r w:rsidRPr="00904FCB">
        <w:rPr>
          <w:sz w:val="27"/>
          <w:rtl/>
        </w:rPr>
        <w:t xml:space="preserve"> مثل هذا ال</w:t>
      </w:r>
      <w:r w:rsidRPr="00904FCB">
        <w:rPr>
          <w:rFonts w:hint="cs"/>
          <w:sz w:val="27"/>
          <w:rtl/>
        </w:rPr>
        <w:t>يوم</w:t>
      </w:r>
      <w:r w:rsidRPr="00904FCB">
        <w:rPr>
          <w:sz w:val="27"/>
          <w:rtl/>
        </w:rPr>
        <w:t xml:space="preserve"> </w:t>
      </w:r>
      <w:r w:rsidRPr="00904FCB">
        <w:rPr>
          <w:rFonts w:hint="cs"/>
          <w:sz w:val="27"/>
          <w:rtl/>
        </w:rPr>
        <w:t>العصي</w:t>
      </w:r>
      <w:r w:rsidRPr="00904FCB">
        <w:rPr>
          <w:sz w:val="27"/>
          <w:rtl/>
        </w:rPr>
        <w:t>ب</w:t>
      </w:r>
      <w:r w:rsidR="007922F5" w:rsidRPr="00904FCB">
        <w:rPr>
          <w:rFonts w:hint="cs"/>
          <w:sz w:val="27"/>
          <w:rtl/>
        </w:rPr>
        <w:t>،</w:t>
      </w:r>
      <w:r w:rsidRPr="00904FCB">
        <w:rPr>
          <w:sz w:val="27"/>
          <w:rtl/>
        </w:rPr>
        <w:t xml:space="preserve"> </w:t>
      </w:r>
      <w:r w:rsidRPr="00904FCB">
        <w:rPr>
          <w:rFonts w:hint="cs"/>
          <w:sz w:val="27"/>
          <w:rtl/>
        </w:rPr>
        <w:t>والأم</w:t>
      </w:r>
      <w:r w:rsidR="007922F5"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الإسلامية</w:t>
      </w:r>
      <w:r w:rsidRPr="00904FCB">
        <w:rPr>
          <w:sz w:val="27"/>
          <w:rtl/>
        </w:rPr>
        <w:t xml:space="preserve"> في حاجة</w:t>
      </w:r>
      <w:r w:rsidR="007922F5" w:rsidRPr="00904FCB">
        <w:rPr>
          <w:rFonts w:hint="cs"/>
          <w:sz w:val="27"/>
          <w:rtl/>
        </w:rPr>
        <w:t>ٍ</w:t>
      </w:r>
      <w:r w:rsidRPr="00904FCB">
        <w:rPr>
          <w:sz w:val="27"/>
          <w:rtl/>
        </w:rPr>
        <w:t xml:space="preserve"> ماسّة إلى إكبا</w:t>
      </w:r>
      <w:r w:rsidR="007922F5" w:rsidRPr="00904FCB">
        <w:rPr>
          <w:rFonts w:hint="cs"/>
          <w:sz w:val="27"/>
          <w:rtl/>
        </w:rPr>
        <w:t>ر</w:t>
      </w:r>
      <w:r w:rsidRPr="00904FCB">
        <w:rPr>
          <w:sz w:val="27"/>
          <w:rtl/>
        </w:rPr>
        <w:t xml:space="preserve"> عظما</w:t>
      </w:r>
      <w:r w:rsidR="007922F5" w:rsidRPr="00904FCB">
        <w:rPr>
          <w:rFonts w:hint="cs"/>
          <w:sz w:val="27"/>
          <w:rtl/>
        </w:rPr>
        <w:t>ئ</w:t>
      </w:r>
      <w:r w:rsidRPr="00904FCB">
        <w:rPr>
          <w:sz w:val="27"/>
          <w:rtl/>
        </w:rPr>
        <w:t>ها</w:t>
      </w:r>
      <w:r w:rsidRPr="00904FCB">
        <w:rPr>
          <w:rFonts w:hint="cs"/>
          <w:sz w:val="27"/>
          <w:rtl/>
        </w:rPr>
        <w:t xml:space="preserve">، </w:t>
      </w:r>
      <w:r w:rsidRPr="00904FCB">
        <w:rPr>
          <w:sz w:val="27"/>
          <w:rtl/>
        </w:rPr>
        <w:t>وتش</w:t>
      </w:r>
      <w:r w:rsidRPr="00904FCB">
        <w:rPr>
          <w:rFonts w:hint="cs"/>
          <w:sz w:val="27"/>
          <w:rtl/>
        </w:rPr>
        <w:t>ييد</w:t>
      </w:r>
      <w:r w:rsidRPr="00904FCB">
        <w:rPr>
          <w:sz w:val="27"/>
          <w:rtl/>
        </w:rPr>
        <w:t xml:space="preserve"> </w:t>
      </w:r>
      <w:r w:rsidRPr="00904FCB">
        <w:rPr>
          <w:rFonts w:hint="cs"/>
          <w:sz w:val="27"/>
          <w:rtl/>
        </w:rPr>
        <w:t>مكا</w:t>
      </w:r>
      <w:r w:rsidRPr="00904FCB">
        <w:rPr>
          <w:sz w:val="27"/>
          <w:rtl/>
        </w:rPr>
        <w:t>نة حماة الد</w:t>
      </w:r>
      <w:r w:rsidRPr="00904FCB">
        <w:rPr>
          <w:rFonts w:hint="cs"/>
          <w:sz w:val="27"/>
          <w:rtl/>
        </w:rPr>
        <w:t>ين</w:t>
      </w:r>
      <w:r w:rsidRPr="00904FCB">
        <w:rPr>
          <w:sz w:val="27"/>
          <w:rtl/>
        </w:rPr>
        <w:t xml:space="preserve"> </w:t>
      </w:r>
      <w:r w:rsidRPr="00904FCB">
        <w:rPr>
          <w:rFonts w:hint="cs"/>
          <w:sz w:val="27"/>
          <w:rtl/>
        </w:rPr>
        <w:t>الحنيف</w:t>
      </w:r>
      <w:r w:rsidRPr="00904FCB">
        <w:rPr>
          <w:sz w:val="27"/>
          <w:rtl/>
        </w:rPr>
        <w:t xml:space="preserve"> </w:t>
      </w:r>
      <w:r w:rsidRPr="00904FCB">
        <w:rPr>
          <w:rFonts w:hint="cs"/>
          <w:sz w:val="27"/>
          <w:rtl/>
        </w:rPr>
        <w:t>تجاه</w:t>
      </w:r>
      <w:r w:rsidRPr="00904FCB">
        <w:rPr>
          <w:sz w:val="27"/>
          <w:rtl/>
        </w:rPr>
        <w:t xml:space="preserve"> </w:t>
      </w:r>
      <w:r w:rsidRPr="00904FCB">
        <w:rPr>
          <w:rFonts w:hint="cs"/>
          <w:sz w:val="27"/>
          <w:rtl/>
        </w:rPr>
        <w:t>الن</w:t>
      </w:r>
      <w:r w:rsidR="008F3ADF" w:rsidRPr="00904FCB">
        <w:rPr>
          <w:rFonts w:hint="cs"/>
          <w:sz w:val="27"/>
          <w:rtl/>
        </w:rPr>
        <w:t>َّ</w:t>
      </w:r>
      <w:r w:rsidRPr="00904FCB">
        <w:rPr>
          <w:rFonts w:hint="cs"/>
          <w:sz w:val="27"/>
          <w:rtl/>
        </w:rPr>
        <w:t>ع</w:t>
      </w:r>
      <w:r w:rsidR="008F3ADF" w:rsidRPr="00904FCB">
        <w:rPr>
          <w:rFonts w:hint="cs"/>
          <w:sz w:val="27"/>
          <w:rtl/>
        </w:rPr>
        <w:t>َ</w:t>
      </w:r>
      <w:r w:rsidRPr="00904FCB">
        <w:rPr>
          <w:rFonts w:hint="cs"/>
          <w:sz w:val="27"/>
          <w:rtl/>
        </w:rPr>
        <w:t>رات</w:t>
      </w:r>
      <w:r w:rsidRPr="00904FCB">
        <w:rPr>
          <w:sz w:val="27"/>
          <w:rtl/>
        </w:rPr>
        <w:t xml:space="preserve"> </w:t>
      </w:r>
      <w:r w:rsidRPr="00904FCB">
        <w:rPr>
          <w:rFonts w:hint="cs"/>
          <w:sz w:val="27"/>
          <w:rtl/>
        </w:rPr>
        <w:t>الحاسمة</w:t>
      </w:r>
      <w:r w:rsidRPr="00904FCB">
        <w:rPr>
          <w:sz w:val="27"/>
          <w:rtl/>
        </w:rPr>
        <w:t xml:space="preserve"> </w:t>
      </w:r>
      <w:r w:rsidRPr="00904FCB">
        <w:rPr>
          <w:rFonts w:hint="cs"/>
          <w:sz w:val="27"/>
          <w:rtl/>
        </w:rPr>
        <w:t>ل</w:t>
      </w:r>
      <w:r w:rsidR="008F3ADF" w:rsidRPr="00904FCB">
        <w:rPr>
          <w:rFonts w:hint="cs"/>
          <w:sz w:val="27"/>
          <w:rtl/>
        </w:rPr>
        <w:t>أ</w:t>
      </w:r>
      <w:r w:rsidRPr="00904FCB">
        <w:rPr>
          <w:rFonts w:hint="cs"/>
          <w:sz w:val="27"/>
          <w:rtl/>
        </w:rPr>
        <w:t>صول</w:t>
      </w:r>
      <w:r w:rsidRPr="00904FCB">
        <w:rPr>
          <w:sz w:val="27"/>
          <w:rtl/>
        </w:rPr>
        <w:t xml:space="preserve"> </w:t>
      </w:r>
      <w:r w:rsidRPr="00904FCB">
        <w:rPr>
          <w:rFonts w:hint="cs"/>
          <w:sz w:val="27"/>
          <w:rtl/>
        </w:rPr>
        <w:t>فضائل</w:t>
      </w:r>
      <w:r w:rsidRPr="00904FCB">
        <w:rPr>
          <w:sz w:val="27"/>
          <w:rtl/>
        </w:rPr>
        <w:t xml:space="preserve"> </w:t>
      </w:r>
      <w:r w:rsidRPr="00904FCB">
        <w:rPr>
          <w:rFonts w:hint="cs"/>
          <w:sz w:val="27"/>
          <w:rtl/>
        </w:rPr>
        <w:t>الإنسانية</w:t>
      </w:r>
      <w:r w:rsidRPr="00904FCB">
        <w:rPr>
          <w:sz w:val="27"/>
          <w:rtl/>
        </w:rPr>
        <w:t>، القاض</w:t>
      </w:r>
      <w:r w:rsidRPr="00904FCB">
        <w:rPr>
          <w:rFonts w:hint="cs"/>
          <w:sz w:val="27"/>
          <w:rtl/>
        </w:rPr>
        <w:t>ية</w:t>
      </w:r>
      <w:r w:rsidRPr="00904FCB">
        <w:rPr>
          <w:sz w:val="27"/>
          <w:rtl/>
        </w:rPr>
        <w:t xml:space="preserve"> </w:t>
      </w:r>
      <w:r w:rsidRPr="00904FCB">
        <w:rPr>
          <w:rFonts w:hint="cs"/>
          <w:sz w:val="27"/>
          <w:rtl/>
        </w:rPr>
        <w:t>عل</w:t>
      </w:r>
      <w:r w:rsidR="008F3ADF" w:rsidRPr="00904FCB">
        <w:rPr>
          <w:rFonts w:hint="cs"/>
          <w:sz w:val="27"/>
          <w:rtl/>
        </w:rPr>
        <w:t>ى</w:t>
      </w:r>
      <w:r w:rsidRPr="00904FCB">
        <w:rPr>
          <w:sz w:val="27"/>
          <w:rtl/>
        </w:rPr>
        <w:t xml:space="preserve"> </w:t>
      </w:r>
      <w:r w:rsidRPr="00904FCB">
        <w:rPr>
          <w:rFonts w:hint="cs"/>
          <w:sz w:val="27"/>
          <w:rtl/>
        </w:rPr>
        <w:t>كيان</w:t>
      </w:r>
      <w:r w:rsidRPr="00904FCB">
        <w:rPr>
          <w:sz w:val="27"/>
          <w:rtl/>
        </w:rPr>
        <w:t xml:space="preserve"> العروبة، قبل </w:t>
      </w:r>
      <w:r w:rsidRPr="00904FCB">
        <w:rPr>
          <w:rFonts w:hint="cs"/>
          <w:sz w:val="27"/>
          <w:rtl/>
        </w:rPr>
        <w:t>كيان</w:t>
      </w:r>
      <w:r w:rsidRPr="00904FCB">
        <w:rPr>
          <w:sz w:val="27"/>
          <w:rtl/>
        </w:rPr>
        <w:t xml:space="preserve"> الإسلام المقد</w:t>
      </w:r>
      <w:r w:rsidR="008F3ADF" w:rsidRPr="00904FCB">
        <w:rPr>
          <w:rFonts w:hint="cs"/>
          <w:sz w:val="27"/>
          <w:rtl/>
        </w:rPr>
        <w:t>ّ</w:t>
      </w:r>
      <w:r w:rsidRPr="00904FCB">
        <w:rPr>
          <w:sz w:val="27"/>
          <w:rtl/>
        </w:rPr>
        <w:t xml:space="preserve">س، </w:t>
      </w:r>
      <w:r w:rsidRPr="00904FCB">
        <w:rPr>
          <w:rFonts w:hint="cs"/>
          <w:sz w:val="27"/>
          <w:rtl/>
        </w:rPr>
        <w:t>يحق</w:t>
      </w:r>
      <w:r w:rsidR="008F3ADF" w:rsidRPr="00904FCB">
        <w:rPr>
          <w:rFonts w:hint="cs"/>
          <w:sz w:val="27"/>
          <w:rtl/>
        </w:rPr>
        <w:t>ّ</w:t>
      </w:r>
      <w:r w:rsidRPr="00904FCB">
        <w:rPr>
          <w:sz w:val="27"/>
          <w:rtl/>
        </w:rPr>
        <w:t xml:space="preserve"> </w:t>
      </w:r>
      <w:r w:rsidRPr="00904FCB">
        <w:rPr>
          <w:rFonts w:hint="cs"/>
          <w:sz w:val="27"/>
          <w:rtl/>
        </w:rPr>
        <w:t>علينا</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نسكت</w:t>
      </w:r>
      <w:r w:rsidRPr="00904FCB">
        <w:rPr>
          <w:sz w:val="27"/>
          <w:rtl/>
        </w:rPr>
        <w:t xml:space="preserve"> عن هذه الجنا</w:t>
      </w:r>
      <w:r w:rsidRPr="00904FCB">
        <w:rPr>
          <w:rFonts w:hint="cs"/>
          <w:sz w:val="27"/>
          <w:rtl/>
        </w:rPr>
        <w:t>يات</w:t>
      </w:r>
      <w:r w:rsidR="008F3ADF" w:rsidRPr="00904FCB">
        <w:rPr>
          <w:rFonts w:hint="cs"/>
          <w:sz w:val="27"/>
          <w:rtl/>
        </w:rPr>
        <w:t>،</w:t>
      </w:r>
      <w:r w:rsidRPr="00904FCB">
        <w:rPr>
          <w:sz w:val="27"/>
          <w:rtl/>
        </w:rPr>
        <w:t xml:space="preserve"> ونمرّ بها كراماً، و</w:t>
      </w:r>
      <w:r w:rsidRPr="00904FCB">
        <w:rPr>
          <w:rFonts w:hint="cs"/>
          <w:sz w:val="27"/>
          <w:rtl/>
        </w:rPr>
        <w:t xml:space="preserve">هي </w:t>
      </w:r>
      <w:r w:rsidRPr="00904FCB">
        <w:rPr>
          <w:sz w:val="27"/>
          <w:rtl/>
        </w:rPr>
        <w:t>تفر</w:t>
      </w:r>
      <w:r w:rsidR="008F3ADF" w:rsidRPr="00904FCB">
        <w:rPr>
          <w:rFonts w:hint="cs"/>
          <w:sz w:val="27"/>
          <w:rtl/>
        </w:rPr>
        <w:t>ِّ</w:t>
      </w:r>
      <w:r w:rsidRPr="00904FCB">
        <w:rPr>
          <w:sz w:val="27"/>
          <w:rtl/>
        </w:rPr>
        <w:t>ق صفوف العلم والد</w:t>
      </w:r>
      <w:r w:rsidRPr="00904FCB">
        <w:rPr>
          <w:rFonts w:hint="cs"/>
          <w:sz w:val="27"/>
          <w:rtl/>
        </w:rPr>
        <w:t>ين</w:t>
      </w:r>
      <w:r w:rsidRPr="00904FCB">
        <w:rPr>
          <w:sz w:val="27"/>
          <w:rtl/>
        </w:rPr>
        <w:t xml:space="preserve"> </w:t>
      </w:r>
      <w:r w:rsidRPr="00904FCB">
        <w:rPr>
          <w:rFonts w:hint="cs"/>
          <w:sz w:val="27"/>
          <w:rtl/>
        </w:rPr>
        <w:t xml:space="preserve">وأهله، </w:t>
      </w:r>
      <w:r w:rsidRPr="00904FCB">
        <w:rPr>
          <w:sz w:val="27"/>
          <w:rtl/>
        </w:rPr>
        <w:t xml:space="preserve">وتشتّت شمل </w:t>
      </w:r>
      <w:r w:rsidRPr="00904FCB">
        <w:rPr>
          <w:rFonts w:hint="cs"/>
          <w:sz w:val="27"/>
          <w:rtl/>
        </w:rPr>
        <w:t>الأم</w:t>
      </w:r>
      <w:r w:rsidR="008F3ADF" w:rsidRPr="00904FCB">
        <w:rPr>
          <w:rFonts w:hint="cs"/>
          <w:sz w:val="27"/>
          <w:rtl/>
        </w:rPr>
        <w:t>ّ</w:t>
      </w:r>
      <w:r w:rsidRPr="00904FCB">
        <w:rPr>
          <w:rFonts w:hint="cs"/>
          <w:sz w:val="27"/>
          <w:rtl/>
        </w:rPr>
        <w:t>ة</w:t>
      </w:r>
      <w:r w:rsidRPr="00904FCB">
        <w:rPr>
          <w:sz w:val="27"/>
          <w:rtl/>
        </w:rPr>
        <w:t>، وتضعضع قاعدة مركز الد</w:t>
      </w:r>
      <w:r w:rsidRPr="00904FCB">
        <w:rPr>
          <w:rFonts w:hint="cs"/>
          <w:sz w:val="27"/>
          <w:rtl/>
        </w:rPr>
        <w:t xml:space="preserve">ين، </w:t>
      </w:r>
      <w:r w:rsidRPr="00904FCB">
        <w:rPr>
          <w:sz w:val="27"/>
          <w:rtl/>
        </w:rPr>
        <w:t>وتحول ب</w:t>
      </w:r>
      <w:r w:rsidRPr="00904FCB">
        <w:rPr>
          <w:rFonts w:hint="cs"/>
          <w:sz w:val="27"/>
          <w:rtl/>
        </w:rPr>
        <w:t>ين</w:t>
      </w:r>
      <w:r w:rsidRPr="00904FCB">
        <w:rPr>
          <w:sz w:val="27"/>
          <w:rtl/>
        </w:rPr>
        <w:t xml:space="preserve"> </w:t>
      </w:r>
      <w:r w:rsidRPr="00904FCB">
        <w:rPr>
          <w:rFonts w:hint="cs"/>
          <w:sz w:val="27"/>
          <w:rtl/>
        </w:rPr>
        <w:t>الملأ</w:t>
      </w:r>
      <w:r w:rsidRPr="00904FCB">
        <w:rPr>
          <w:sz w:val="27"/>
          <w:rtl/>
        </w:rPr>
        <w:t xml:space="preserve"> </w:t>
      </w:r>
      <w:r w:rsidRPr="00904FCB">
        <w:rPr>
          <w:rFonts w:hint="cs"/>
          <w:sz w:val="27"/>
          <w:rtl/>
        </w:rPr>
        <w:t>وبين</w:t>
      </w:r>
      <w:r w:rsidRPr="00904FCB">
        <w:rPr>
          <w:sz w:val="27"/>
          <w:rtl/>
        </w:rPr>
        <w:t xml:space="preserve"> </w:t>
      </w:r>
      <w:r w:rsidRPr="00904FCB">
        <w:rPr>
          <w:rFonts w:hint="cs"/>
          <w:sz w:val="27"/>
          <w:rtl/>
        </w:rPr>
        <w:t>رجالاته</w:t>
      </w:r>
      <w:r w:rsidRPr="00904FCB">
        <w:rPr>
          <w:sz w:val="27"/>
          <w:rtl/>
        </w:rPr>
        <w:t xml:space="preserve"> </w:t>
      </w:r>
      <w:r w:rsidRPr="00904FCB">
        <w:rPr>
          <w:rFonts w:hint="cs"/>
          <w:sz w:val="27"/>
          <w:rtl/>
        </w:rPr>
        <w:t>الصالحين</w:t>
      </w:r>
      <w:r w:rsidRPr="00904FCB">
        <w:rPr>
          <w:sz w:val="27"/>
          <w:rtl/>
        </w:rPr>
        <w:t xml:space="preserve"> </w:t>
      </w:r>
      <w:r w:rsidRPr="00904FCB">
        <w:rPr>
          <w:rFonts w:hint="cs"/>
          <w:sz w:val="27"/>
          <w:rtl/>
        </w:rPr>
        <w:t>المصلحين</w:t>
      </w:r>
      <w:r w:rsidR="008F3ADF" w:rsidRPr="00904FCB">
        <w:rPr>
          <w:rFonts w:hint="cs"/>
          <w:sz w:val="27"/>
          <w:rtl/>
        </w:rPr>
        <w:t>؟!</w:t>
      </w:r>
      <w:r w:rsidRPr="00904FCB">
        <w:rPr>
          <w:rFonts w:hint="cs"/>
          <w:sz w:val="27"/>
          <w:rtl/>
        </w:rPr>
        <w:t xml:space="preserve"> ونحن</w:t>
      </w:r>
      <w:r w:rsidRPr="00904FCB">
        <w:rPr>
          <w:sz w:val="27"/>
          <w:rtl/>
        </w:rPr>
        <w:t xml:space="preserve"> </w:t>
      </w:r>
      <w:r w:rsidRPr="00904FCB">
        <w:rPr>
          <w:rFonts w:hint="cs"/>
          <w:sz w:val="27"/>
          <w:rtl/>
        </w:rPr>
        <w:t>عل</w:t>
      </w:r>
      <w:r w:rsidR="008F3ADF" w:rsidRPr="00904FCB">
        <w:rPr>
          <w:rFonts w:hint="cs"/>
          <w:sz w:val="27"/>
          <w:rtl/>
        </w:rPr>
        <w:t>ى</w:t>
      </w:r>
      <w:r w:rsidRPr="00904FCB">
        <w:rPr>
          <w:sz w:val="27"/>
          <w:rtl/>
        </w:rPr>
        <w:t xml:space="preserve"> </w:t>
      </w:r>
      <w:r w:rsidRPr="00904FCB">
        <w:rPr>
          <w:rFonts w:hint="cs"/>
          <w:sz w:val="27"/>
          <w:rtl/>
        </w:rPr>
        <w:t>ثقة</w:t>
      </w:r>
      <w:r w:rsidR="008F3ADF" w:rsidRPr="00904FCB">
        <w:rPr>
          <w:rFonts w:hint="cs"/>
          <w:sz w:val="27"/>
          <w:rtl/>
        </w:rPr>
        <w:t>ٍ</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أن</w:t>
      </w:r>
      <w:r w:rsidRPr="00904FCB">
        <w:rPr>
          <w:sz w:val="27"/>
          <w:rtl/>
        </w:rPr>
        <w:t xml:space="preserve"> </w:t>
      </w:r>
      <w:r w:rsidRPr="00904FCB">
        <w:rPr>
          <w:rFonts w:hint="cs"/>
          <w:sz w:val="27"/>
          <w:rtl/>
        </w:rPr>
        <w:t>الحكومة</w:t>
      </w:r>
      <w:r w:rsidRPr="00904FCB">
        <w:rPr>
          <w:sz w:val="27"/>
          <w:rtl/>
        </w:rPr>
        <w:t xml:space="preserve"> الهاشم</w:t>
      </w:r>
      <w:r w:rsidRPr="00904FCB">
        <w:rPr>
          <w:rFonts w:hint="cs"/>
          <w:sz w:val="27"/>
          <w:rtl/>
        </w:rPr>
        <w:t>ية</w:t>
      </w:r>
      <w:r w:rsidRPr="00904FCB">
        <w:rPr>
          <w:sz w:val="27"/>
          <w:rtl/>
        </w:rPr>
        <w:t xml:space="preserve"> </w:t>
      </w:r>
      <w:r w:rsidRPr="00904FCB">
        <w:rPr>
          <w:rFonts w:hint="cs"/>
          <w:sz w:val="27"/>
          <w:rtl/>
        </w:rPr>
        <w:t>المحبوبة</w:t>
      </w:r>
      <w:r w:rsidRPr="00904FCB">
        <w:rPr>
          <w:sz w:val="27"/>
          <w:rtl/>
        </w:rPr>
        <w:t xml:space="preserve"> </w:t>
      </w:r>
      <w:r w:rsidRPr="00904FCB">
        <w:rPr>
          <w:rFonts w:hint="cs"/>
          <w:sz w:val="27"/>
          <w:rtl/>
        </w:rPr>
        <w:t>أشد</w:t>
      </w:r>
      <w:r w:rsidR="008F3ADF" w:rsidRPr="00904FCB">
        <w:rPr>
          <w:rFonts w:hint="cs"/>
          <w:sz w:val="27"/>
          <w:rtl/>
        </w:rPr>
        <w:t>ّ</w:t>
      </w:r>
      <w:r w:rsidRPr="00904FCB">
        <w:rPr>
          <w:sz w:val="27"/>
          <w:rtl/>
        </w:rPr>
        <w:t xml:space="preserve"> </w:t>
      </w:r>
      <w:r w:rsidRPr="00904FCB">
        <w:rPr>
          <w:rFonts w:hint="cs"/>
          <w:sz w:val="27"/>
          <w:rtl/>
        </w:rPr>
        <w:t>اهتماما</w:t>
      </w:r>
      <w:r w:rsidR="008F3ADF" w:rsidRPr="00904FCB">
        <w:rPr>
          <w:rFonts w:hint="cs"/>
          <w:sz w:val="27"/>
          <w:rtl/>
        </w:rPr>
        <w:t>ً</w:t>
      </w:r>
      <w:r w:rsidRPr="00904FCB">
        <w:rPr>
          <w:sz w:val="27"/>
          <w:rtl/>
        </w:rPr>
        <w:t xml:space="preserve"> وعنا</w:t>
      </w:r>
      <w:r w:rsidRPr="00904FCB">
        <w:rPr>
          <w:rFonts w:hint="cs"/>
          <w:sz w:val="27"/>
          <w:rtl/>
        </w:rPr>
        <w:t>ية</w:t>
      </w:r>
      <w:r w:rsidRPr="00904FCB">
        <w:rPr>
          <w:sz w:val="27"/>
          <w:rtl/>
        </w:rPr>
        <w:t xml:space="preserve"> </w:t>
      </w:r>
      <w:r w:rsidRPr="00904FCB">
        <w:rPr>
          <w:rFonts w:hint="cs"/>
          <w:sz w:val="27"/>
          <w:rtl/>
        </w:rPr>
        <w:t>بالأمر</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الأهلين</w:t>
      </w:r>
      <w:r w:rsidRPr="00904FCB">
        <w:rPr>
          <w:sz w:val="27"/>
          <w:rtl/>
        </w:rPr>
        <w:t xml:space="preserve"> و... قبل أن...</w:t>
      </w:r>
      <w:r w:rsidRPr="00904FCB">
        <w:rPr>
          <w:sz w:val="27"/>
          <w:vertAlign w:val="superscript"/>
          <w:rtl/>
        </w:rPr>
        <w:t>(</w:t>
      </w:r>
      <w:r w:rsidRPr="00904FCB">
        <w:rPr>
          <w:rStyle w:val="ac"/>
          <w:sz w:val="27"/>
          <w:rtl/>
        </w:rPr>
        <w:endnoteReference w:id="706"/>
      </w:r>
      <w:r w:rsidRPr="00904FCB">
        <w:rPr>
          <w:sz w:val="27"/>
          <w:vertAlign w:val="superscript"/>
          <w:rtl/>
        </w:rPr>
        <w:t>)</w:t>
      </w:r>
      <w:r w:rsidRPr="00904FCB">
        <w:rPr>
          <w:sz w:val="27"/>
          <w:rtl/>
        </w:rPr>
        <w:t xml:space="preserve"> </w:t>
      </w:r>
      <w:r w:rsidRPr="00904FCB">
        <w:rPr>
          <w:rFonts w:hint="cs"/>
          <w:sz w:val="27"/>
          <w:rtl/>
        </w:rPr>
        <w:t>إلقاء</w:t>
      </w:r>
      <w:r w:rsidRPr="00904FCB">
        <w:rPr>
          <w:sz w:val="27"/>
          <w:rtl/>
        </w:rPr>
        <w:t xml:space="preserve"> القبض عل</w:t>
      </w:r>
      <w:r w:rsidR="008F3ADF" w:rsidRPr="00904FCB">
        <w:rPr>
          <w:rFonts w:hint="cs"/>
          <w:sz w:val="27"/>
          <w:rtl/>
        </w:rPr>
        <w:t>ى</w:t>
      </w:r>
      <w:r w:rsidRPr="00904FCB">
        <w:rPr>
          <w:sz w:val="27"/>
          <w:rtl/>
        </w:rPr>
        <w:t xml:space="preserve"> </w:t>
      </w:r>
      <w:r w:rsidRPr="00904FCB">
        <w:rPr>
          <w:rFonts w:hint="cs"/>
          <w:sz w:val="27"/>
          <w:rtl/>
        </w:rPr>
        <w:t>المجرم</w:t>
      </w:r>
      <w:r w:rsidRPr="00904FCB">
        <w:rPr>
          <w:sz w:val="27"/>
          <w:rtl/>
        </w:rPr>
        <w:t xml:space="preserve"> </w:t>
      </w:r>
      <w:r w:rsidRPr="00904FCB">
        <w:rPr>
          <w:rFonts w:hint="cs"/>
          <w:sz w:val="27"/>
          <w:rtl/>
        </w:rPr>
        <w:t xml:space="preserve">الخطر، </w:t>
      </w:r>
      <w:r w:rsidRPr="00904FCB">
        <w:rPr>
          <w:sz w:val="27"/>
          <w:rtl/>
        </w:rPr>
        <w:t>ناشر الصح</w:t>
      </w:r>
      <w:r w:rsidRPr="00904FCB">
        <w:rPr>
          <w:rFonts w:hint="cs"/>
          <w:sz w:val="27"/>
          <w:rtl/>
        </w:rPr>
        <w:t>يفة</w:t>
      </w:r>
      <w:r w:rsidRPr="00904FCB">
        <w:rPr>
          <w:sz w:val="27"/>
          <w:rtl/>
        </w:rPr>
        <w:t xml:space="preserve"> </w:t>
      </w:r>
      <w:r w:rsidRPr="00904FCB">
        <w:rPr>
          <w:rFonts w:hint="cs"/>
          <w:sz w:val="27"/>
          <w:rtl/>
        </w:rPr>
        <w:t>السوداء</w:t>
      </w:r>
      <w:r w:rsidRPr="00904FCB">
        <w:rPr>
          <w:sz w:val="27"/>
          <w:rtl/>
        </w:rPr>
        <w:t xml:space="preserve">. </w:t>
      </w:r>
    </w:p>
    <w:p w:rsidR="00F34FB9" w:rsidRPr="00904FCB" w:rsidRDefault="00F34FB9" w:rsidP="007A21AA">
      <w:pPr>
        <w:spacing w:line="400" w:lineRule="exact"/>
        <w:rPr>
          <w:sz w:val="27"/>
          <w:rtl/>
        </w:rPr>
      </w:pPr>
      <w:r w:rsidRPr="00904FCB">
        <w:rPr>
          <w:sz w:val="27"/>
          <w:rtl/>
        </w:rPr>
        <w:t xml:space="preserve">ألم </w:t>
      </w:r>
      <w:r w:rsidRPr="00904FCB">
        <w:rPr>
          <w:rFonts w:hint="cs"/>
          <w:sz w:val="27"/>
          <w:rtl/>
        </w:rPr>
        <w:t>تكن</w:t>
      </w:r>
      <w:r w:rsidRPr="00904FCB">
        <w:rPr>
          <w:sz w:val="27"/>
          <w:rtl/>
        </w:rPr>
        <w:t xml:space="preserve"> </w:t>
      </w:r>
      <w:r w:rsidRPr="00904FCB">
        <w:rPr>
          <w:rFonts w:hint="cs"/>
          <w:sz w:val="27"/>
          <w:rtl/>
        </w:rPr>
        <w:t>تلكم</w:t>
      </w:r>
      <w:r w:rsidRPr="00904FCB">
        <w:rPr>
          <w:sz w:val="27"/>
          <w:rtl/>
        </w:rPr>
        <w:t xml:space="preserve"> الحروب الداه</w:t>
      </w:r>
      <w:r w:rsidRPr="00904FCB">
        <w:rPr>
          <w:rFonts w:hint="cs"/>
          <w:sz w:val="27"/>
          <w:rtl/>
        </w:rPr>
        <w:t>ية</w:t>
      </w:r>
      <w:r w:rsidRPr="00904FCB">
        <w:rPr>
          <w:sz w:val="27"/>
          <w:rtl/>
        </w:rPr>
        <w:t xml:space="preserve"> </w:t>
      </w:r>
      <w:r w:rsidRPr="00904FCB">
        <w:rPr>
          <w:rFonts w:hint="cs"/>
          <w:sz w:val="27"/>
          <w:rtl/>
        </w:rPr>
        <w:t>أمس</w:t>
      </w:r>
      <w:r w:rsidRPr="00904FCB">
        <w:rPr>
          <w:sz w:val="27"/>
          <w:rtl/>
        </w:rPr>
        <w:t xml:space="preserve"> </w:t>
      </w:r>
      <w:r w:rsidRPr="00904FCB">
        <w:rPr>
          <w:rFonts w:hint="cs"/>
          <w:sz w:val="27"/>
          <w:rtl/>
        </w:rPr>
        <w:t>دون</w:t>
      </w:r>
      <w:r w:rsidRPr="00904FCB">
        <w:rPr>
          <w:sz w:val="27"/>
          <w:rtl/>
        </w:rPr>
        <w:t xml:space="preserve"> </w:t>
      </w:r>
      <w:r w:rsidRPr="00904FCB">
        <w:rPr>
          <w:rFonts w:hint="cs"/>
          <w:sz w:val="27"/>
          <w:rtl/>
        </w:rPr>
        <w:t>اس</w:t>
      </w:r>
      <w:r w:rsidRPr="00904FCB">
        <w:rPr>
          <w:sz w:val="27"/>
          <w:rtl/>
        </w:rPr>
        <w:t>تقلال الوطن وحر</w:t>
      </w:r>
      <w:r w:rsidR="008F3ADF" w:rsidRPr="00904FCB">
        <w:rPr>
          <w:rFonts w:hint="cs"/>
          <w:sz w:val="27"/>
          <w:rtl/>
        </w:rPr>
        <w:t>ّ</w:t>
      </w:r>
      <w:r w:rsidRPr="00904FCB">
        <w:rPr>
          <w:rFonts w:hint="cs"/>
          <w:sz w:val="27"/>
          <w:rtl/>
        </w:rPr>
        <w:t>ية</w:t>
      </w:r>
      <w:r w:rsidRPr="00904FCB">
        <w:rPr>
          <w:sz w:val="27"/>
          <w:rtl/>
        </w:rPr>
        <w:t xml:space="preserve"> </w:t>
      </w:r>
      <w:r w:rsidRPr="00904FCB">
        <w:rPr>
          <w:rFonts w:hint="cs"/>
          <w:sz w:val="27"/>
          <w:rtl/>
        </w:rPr>
        <w:t>الشعب</w:t>
      </w:r>
      <w:r w:rsidRPr="00904FCB">
        <w:rPr>
          <w:sz w:val="27"/>
          <w:rtl/>
        </w:rPr>
        <w:t xml:space="preserve"> </w:t>
      </w:r>
      <w:r w:rsidRPr="00904FCB">
        <w:rPr>
          <w:rFonts w:hint="cs"/>
          <w:sz w:val="27"/>
          <w:rtl/>
        </w:rPr>
        <w:t>العراقي</w:t>
      </w:r>
      <w:r w:rsidRPr="00904FCB">
        <w:rPr>
          <w:sz w:val="27"/>
          <w:rtl/>
        </w:rPr>
        <w:t xml:space="preserve"> تحت را</w:t>
      </w:r>
      <w:r w:rsidRPr="00904FCB">
        <w:rPr>
          <w:rFonts w:hint="cs"/>
          <w:sz w:val="27"/>
          <w:rtl/>
        </w:rPr>
        <w:t>ية</w:t>
      </w:r>
      <w:r w:rsidRPr="00904FCB">
        <w:rPr>
          <w:sz w:val="27"/>
          <w:rtl/>
        </w:rPr>
        <w:t xml:space="preserve"> </w:t>
      </w:r>
      <w:r w:rsidRPr="00904FCB">
        <w:rPr>
          <w:rFonts w:hint="cs"/>
          <w:sz w:val="27"/>
          <w:rtl/>
        </w:rPr>
        <w:t>أعلام</w:t>
      </w:r>
      <w:r w:rsidRPr="00904FCB">
        <w:rPr>
          <w:sz w:val="27"/>
          <w:rtl/>
        </w:rPr>
        <w:t xml:space="preserve"> </w:t>
      </w:r>
      <w:r w:rsidRPr="00904FCB">
        <w:rPr>
          <w:rFonts w:hint="cs"/>
          <w:sz w:val="27"/>
          <w:rtl/>
        </w:rPr>
        <w:t xml:space="preserve">الدين؟ </w:t>
      </w:r>
    </w:p>
    <w:p w:rsidR="00F34FB9" w:rsidRPr="00904FCB" w:rsidRDefault="00F34FB9" w:rsidP="007A21AA">
      <w:pPr>
        <w:spacing w:line="400" w:lineRule="exact"/>
        <w:rPr>
          <w:sz w:val="27"/>
          <w:rtl/>
        </w:rPr>
      </w:pPr>
      <w:r w:rsidRPr="00904FCB">
        <w:rPr>
          <w:sz w:val="27"/>
          <w:rtl/>
        </w:rPr>
        <w:t xml:space="preserve">ألم </w:t>
      </w:r>
      <w:r w:rsidRPr="00904FCB">
        <w:rPr>
          <w:rFonts w:hint="cs"/>
          <w:sz w:val="27"/>
          <w:rtl/>
        </w:rPr>
        <w:t>تكن</w:t>
      </w:r>
      <w:r w:rsidRPr="00904FCB">
        <w:rPr>
          <w:sz w:val="27"/>
          <w:rtl/>
        </w:rPr>
        <w:t xml:space="preserve"> </w:t>
      </w:r>
      <w:r w:rsidRPr="00904FCB">
        <w:rPr>
          <w:rFonts w:hint="cs"/>
          <w:sz w:val="27"/>
          <w:rtl/>
        </w:rPr>
        <w:t>تلكم</w:t>
      </w:r>
      <w:r w:rsidRPr="00904FCB">
        <w:rPr>
          <w:sz w:val="27"/>
          <w:rtl/>
        </w:rPr>
        <w:t xml:space="preserve"> </w:t>
      </w:r>
      <w:r w:rsidRPr="00904FCB">
        <w:rPr>
          <w:rFonts w:hint="cs"/>
          <w:sz w:val="27"/>
          <w:rtl/>
        </w:rPr>
        <w:t>الجيوش</w:t>
      </w:r>
      <w:r w:rsidRPr="00904FCB">
        <w:rPr>
          <w:sz w:val="27"/>
          <w:rtl/>
        </w:rPr>
        <w:t xml:space="preserve"> الح</w:t>
      </w:r>
      <w:r w:rsidRPr="00904FCB">
        <w:rPr>
          <w:rFonts w:hint="cs"/>
          <w:sz w:val="27"/>
          <w:rtl/>
        </w:rPr>
        <w:t>ي</w:t>
      </w:r>
      <w:r w:rsidR="001D63F8" w:rsidRPr="00904FCB">
        <w:rPr>
          <w:rFonts w:hint="cs"/>
          <w:sz w:val="27"/>
          <w:rtl/>
        </w:rPr>
        <w:t>ّ</w:t>
      </w:r>
      <w:r w:rsidRPr="00904FCB">
        <w:rPr>
          <w:rFonts w:hint="cs"/>
          <w:sz w:val="27"/>
          <w:rtl/>
        </w:rPr>
        <w:t>ة</w:t>
      </w:r>
      <w:r w:rsidRPr="00904FCB">
        <w:rPr>
          <w:sz w:val="27"/>
          <w:rtl/>
        </w:rPr>
        <w:t xml:space="preserve"> </w:t>
      </w:r>
      <w:r w:rsidRPr="00904FCB">
        <w:rPr>
          <w:rFonts w:hint="cs"/>
          <w:sz w:val="27"/>
          <w:rtl/>
        </w:rPr>
        <w:t>المحروسة</w:t>
      </w:r>
      <w:r w:rsidRPr="00904FCB">
        <w:rPr>
          <w:sz w:val="27"/>
          <w:rtl/>
        </w:rPr>
        <w:t xml:space="preserve"> </w:t>
      </w:r>
      <w:r w:rsidRPr="00904FCB">
        <w:rPr>
          <w:rFonts w:hint="cs"/>
          <w:sz w:val="27"/>
          <w:rtl/>
        </w:rPr>
        <w:t>يقودها</w:t>
      </w:r>
      <w:r w:rsidRPr="00904FCB">
        <w:rPr>
          <w:sz w:val="27"/>
          <w:rtl/>
        </w:rPr>
        <w:t xml:space="preserve"> </w:t>
      </w:r>
      <w:r w:rsidRPr="00904FCB">
        <w:rPr>
          <w:rFonts w:hint="cs"/>
          <w:sz w:val="27"/>
          <w:rtl/>
        </w:rPr>
        <w:t>الأبطال</w:t>
      </w:r>
      <w:r w:rsidRPr="00904FCB">
        <w:rPr>
          <w:sz w:val="27"/>
          <w:rtl/>
        </w:rPr>
        <w:t xml:space="preserve"> </w:t>
      </w:r>
      <w:r w:rsidRPr="00904FCB">
        <w:rPr>
          <w:rFonts w:hint="cs"/>
          <w:sz w:val="27"/>
          <w:rtl/>
        </w:rPr>
        <w:t>المجاهدون</w:t>
      </w:r>
      <w:r w:rsidRPr="00904FCB">
        <w:rPr>
          <w:sz w:val="27"/>
          <w:rtl/>
        </w:rPr>
        <w:t xml:space="preserve"> </w:t>
      </w:r>
      <w:r w:rsidRPr="00904FCB">
        <w:rPr>
          <w:rFonts w:hint="cs"/>
          <w:sz w:val="27"/>
          <w:rtl/>
        </w:rPr>
        <w:t>من</w:t>
      </w:r>
      <w:r w:rsidRPr="00904FCB">
        <w:rPr>
          <w:sz w:val="27"/>
          <w:rtl/>
        </w:rPr>
        <w:t xml:space="preserve"> </w:t>
      </w:r>
      <w:r w:rsidRPr="00904FCB">
        <w:rPr>
          <w:rFonts w:hint="cs"/>
          <w:sz w:val="27"/>
          <w:rtl/>
        </w:rPr>
        <w:t>حملة</w:t>
      </w:r>
      <w:r w:rsidRPr="00904FCB">
        <w:rPr>
          <w:sz w:val="27"/>
          <w:rtl/>
        </w:rPr>
        <w:t xml:space="preserve"> </w:t>
      </w:r>
      <w:r w:rsidRPr="00904FCB">
        <w:rPr>
          <w:rFonts w:hint="cs"/>
          <w:sz w:val="27"/>
          <w:rtl/>
        </w:rPr>
        <w:t>العلم</w:t>
      </w:r>
      <w:r w:rsidRPr="00904FCB">
        <w:rPr>
          <w:sz w:val="27"/>
          <w:rtl/>
        </w:rPr>
        <w:t xml:space="preserve"> </w:t>
      </w:r>
      <w:r w:rsidRPr="00904FCB">
        <w:rPr>
          <w:rFonts w:hint="cs"/>
          <w:sz w:val="27"/>
          <w:rtl/>
        </w:rPr>
        <w:t>الناجع</w:t>
      </w:r>
      <w:r w:rsidRPr="00904FCB">
        <w:rPr>
          <w:sz w:val="27"/>
          <w:rtl/>
        </w:rPr>
        <w:t xml:space="preserve"> في ط</w:t>
      </w:r>
      <w:r w:rsidRPr="00904FCB">
        <w:rPr>
          <w:rFonts w:hint="cs"/>
          <w:sz w:val="27"/>
          <w:rtl/>
        </w:rPr>
        <w:t>يات</w:t>
      </w:r>
      <w:r w:rsidRPr="00904FCB">
        <w:rPr>
          <w:sz w:val="27"/>
          <w:rtl/>
        </w:rPr>
        <w:t xml:space="preserve"> </w:t>
      </w:r>
      <w:r w:rsidRPr="00904FCB">
        <w:rPr>
          <w:rFonts w:hint="cs"/>
          <w:sz w:val="27"/>
          <w:rtl/>
        </w:rPr>
        <w:t xml:space="preserve">العراق؟ </w:t>
      </w:r>
    </w:p>
    <w:p w:rsidR="00F34FB9" w:rsidRPr="00904FCB" w:rsidRDefault="00F34FB9" w:rsidP="007A21AA">
      <w:pPr>
        <w:spacing w:line="400" w:lineRule="exact"/>
        <w:rPr>
          <w:sz w:val="27"/>
          <w:rtl/>
        </w:rPr>
      </w:pPr>
      <w:r w:rsidRPr="00904FCB">
        <w:rPr>
          <w:sz w:val="27"/>
          <w:rtl/>
        </w:rPr>
        <w:t xml:space="preserve">هل </w:t>
      </w:r>
      <w:r w:rsidRPr="00904FCB">
        <w:rPr>
          <w:rFonts w:hint="cs"/>
          <w:sz w:val="27"/>
          <w:rtl/>
        </w:rPr>
        <w:t>ي</w:t>
      </w:r>
      <w:r w:rsidRPr="00904FCB">
        <w:rPr>
          <w:sz w:val="27"/>
          <w:rtl/>
        </w:rPr>
        <w:t>حسب...</w:t>
      </w:r>
      <w:r w:rsidRPr="00904FCB">
        <w:rPr>
          <w:sz w:val="27"/>
          <w:vertAlign w:val="superscript"/>
          <w:rtl/>
        </w:rPr>
        <w:t>(</w:t>
      </w:r>
      <w:r w:rsidRPr="00904FCB">
        <w:rPr>
          <w:rStyle w:val="ac"/>
          <w:sz w:val="27"/>
          <w:rtl/>
        </w:rPr>
        <w:endnoteReference w:id="707"/>
      </w:r>
      <w:r w:rsidRPr="00904FCB">
        <w:rPr>
          <w:sz w:val="27"/>
          <w:vertAlign w:val="superscript"/>
          <w:rtl/>
        </w:rPr>
        <w:t>)</w:t>
      </w:r>
      <w:hyperlink r:id="rId218" w:anchor="_ftn2#_ftn2" w:history="1"/>
      <w:r w:rsidRPr="00904FCB">
        <w:rPr>
          <w:sz w:val="27"/>
          <w:rtl/>
        </w:rPr>
        <w:t xml:space="preserve"> صفو الجو</w:t>
      </w:r>
      <w:r w:rsidR="001D63F8" w:rsidRPr="00904FCB">
        <w:rPr>
          <w:rFonts w:hint="cs"/>
          <w:sz w:val="27"/>
          <w:rtl/>
        </w:rPr>
        <w:t>ّ</w:t>
      </w:r>
      <w:r w:rsidRPr="00904FCB">
        <w:rPr>
          <w:sz w:val="27"/>
          <w:rtl/>
        </w:rPr>
        <w:t xml:space="preserve"> في ال</w:t>
      </w:r>
      <w:r w:rsidRPr="00904FCB">
        <w:rPr>
          <w:rFonts w:hint="cs"/>
          <w:sz w:val="27"/>
          <w:rtl/>
        </w:rPr>
        <w:t>يوم</w:t>
      </w:r>
      <w:r w:rsidRPr="00904FCB">
        <w:rPr>
          <w:sz w:val="27"/>
          <w:rtl/>
        </w:rPr>
        <w:t xml:space="preserve"> </w:t>
      </w:r>
      <w:r w:rsidRPr="00904FCB">
        <w:rPr>
          <w:rFonts w:hint="cs"/>
          <w:sz w:val="27"/>
          <w:rtl/>
        </w:rPr>
        <w:t>والغد، وهذه</w:t>
      </w:r>
      <w:r w:rsidRPr="00904FCB">
        <w:rPr>
          <w:sz w:val="27"/>
          <w:rtl/>
        </w:rPr>
        <w:t xml:space="preserve"> </w:t>
      </w:r>
      <w:r w:rsidRPr="00904FCB">
        <w:rPr>
          <w:rFonts w:hint="cs"/>
          <w:sz w:val="27"/>
          <w:rtl/>
        </w:rPr>
        <w:t>السياسة</w:t>
      </w:r>
      <w:r w:rsidRPr="00904FCB">
        <w:rPr>
          <w:sz w:val="27"/>
          <w:rtl/>
        </w:rPr>
        <w:t xml:space="preserve"> </w:t>
      </w:r>
      <w:r w:rsidRPr="00904FCB">
        <w:rPr>
          <w:rFonts w:hint="cs"/>
          <w:sz w:val="27"/>
          <w:rtl/>
        </w:rPr>
        <w:t>العالمية</w:t>
      </w:r>
      <w:r w:rsidRPr="00904FCB">
        <w:rPr>
          <w:sz w:val="27"/>
          <w:rtl/>
        </w:rPr>
        <w:t xml:space="preserve"> </w:t>
      </w:r>
      <w:r w:rsidRPr="00904FCB">
        <w:rPr>
          <w:rFonts w:hint="cs"/>
          <w:sz w:val="27"/>
          <w:rtl/>
        </w:rPr>
        <w:t>تهددنا</w:t>
      </w:r>
      <w:r w:rsidRPr="00904FCB">
        <w:rPr>
          <w:sz w:val="27"/>
          <w:rtl/>
        </w:rPr>
        <w:t xml:space="preserve"> </w:t>
      </w:r>
      <w:r w:rsidRPr="00904FCB">
        <w:rPr>
          <w:rFonts w:hint="cs"/>
          <w:sz w:val="27"/>
          <w:rtl/>
        </w:rPr>
        <w:t>بيوم</w:t>
      </w:r>
      <w:r w:rsidRPr="00904FCB">
        <w:rPr>
          <w:sz w:val="27"/>
          <w:rtl/>
        </w:rPr>
        <w:t xml:space="preserve"> </w:t>
      </w:r>
      <w:r w:rsidRPr="00904FCB">
        <w:rPr>
          <w:rFonts w:hint="cs"/>
          <w:sz w:val="27"/>
          <w:rtl/>
        </w:rPr>
        <w:t>نحس</w:t>
      </w:r>
      <w:r w:rsidR="001D63F8" w:rsidRPr="00904FCB">
        <w:rPr>
          <w:rFonts w:hint="cs"/>
          <w:sz w:val="27"/>
          <w:rtl/>
        </w:rPr>
        <w:t>ٍ</w:t>
      </w:r>
      <w:r w:rsidRPr="00904FCB">
        <w:rPr>
          <w:sz w:val="27"/>
          <w:rtl/>
        </w:rPr>
        <w:t xml:space="preserve"> </w:t>
      </w:r>
      <w:r w:rsidRPr="00904FCB">
        <w:rPr>
          <w:rFonts w:hint="cs"/>
          <w:sz w:val="27"/>
          <w:rtl/>
        </w:rPr>
        <w:t>مستمر</w:t>
      </w:r>
      <w:r w:rsidR="001D63F8" w:rsidRPr="00904FCB">
        <w:rPr>
          <w:rFonts w:hint="cs"/>
          <w:sz w:val="27"/>
          <w:rtl/>
        </w:rPr>
        <w:t>ّ</w:t>
      </w:r>
      <w:r w:rsidRPr="00904FCB">
        <w:rPr>
          <w:rFonts w:hint="cs"/>
          <w:sz w:val="27"/>
          <w:rtl/>
        </w:rPr>
        <w:t xml:space="preserve">، </w:t>
      </w:r>
      <w:r w:rsidRPr="00904FCB">
        <w:rPr>
          <w:sz w:val="27"/>
          <w:rtl/>
        </w:rPr>
        <w:t xml:space="preserve">وهذه </w:t>
      </w:r>
      <w:r w:rsidRPr="00904FCB">
        <w:rPr>
          <w:rFonts w:hint="cs"/>
          <w:sz w:val="27"/>
          <w:rtl/>
        </w:rPr>
        <w:t>المراكز</w:t>
      </w:r>
      <w:r w:rsidRPr="00904FCB">
        <w:rPr>
          <w:sz w:val="27"/>
          <w:rtl/>
        </w:rPr>
        <w:t xml:space="preserve"> الحساسة الإسلام</w:t>
      </w:r>
      <w:r w:rsidRPr="00904FCB">
        <w:rPr>
          <w:rFonts w:hint="cs"/>
          <w:sz w:val="27"/>
          <w:rtl/>
        </w:rPr>
        <w:t>ية</w:t>
      </w:r>
      <w:r w:rsidRPr="00904FCB">
        <w:rPr>
          <w:sz w:val="27"/>
          <w:rtl/>
        </w:rPr>
        <w:t xml:space="preserve"> </w:t>
      </w:r>
      <w:r w:rsidRPr="00904FCB">
        <w:rPr>
          <w:rFonts w:hint="cs"/>
          <w:sz w:val="27"/>
          <w:rtl/>
        </w:rPr>
        <w:t>احتل</w:t>
      </w:r>
      <w:r w:rsidR="001D63F8" w:rsidRPr="00904FCB">
        <w:rPr>
          <w:rFonts w:hint="cs"/>
          <w:sz w:val="27"/>
          <w:rtl/>
        </w:rPr>
        <w:t>ّ</w:t>
      </w:r>
      <w:r w:rsidRPr="00904FCB">
        <w:rPr>
          <w:rFonts w:hint="cs"/>
          <w:sz w:val="27"/>
          <w:rtl/>
        </w:rPr>
        <w:t>ت</w:t>
      </w:r>
      <w:r w:rsidRPr="00904FCB">
        <w:rPr>
          <w:sz w:val="27"/>
          <w:rtl/>
        </w:rPr>
        <w:t xml:space="preserve"> </w:t>
      </w:r>
      <w:r w:rsidRPr="00904FCB">
        <w:rPr>
          <w:rFonts w:hint="cs"/>
          <w:sz w:val="27"/>
          <w:rtl/>
        </w:rPr>
        <w:t>بأيدي</w:t>
      </w:r>
      <w:r w:rsidRPr="00904FCB">
        <w:rPr>
          <w:sz w:val="27"/>
          <w:rtl/>
        </w:rPr>
        <w:t xml:space="preserve"> أعداء الد</w:t>
      </w:r>
      <w:r w:rsidRPr="00904FCB">
        <w:rPr>
          <w:rFonts w:hint="cs"/>
          <w:sz w:val="27"/>
          <w:rtl/>
        </w:rPr>
        <w:t>ين</w:t>
      </w:r>
      <w:r w:rsidRPr="00904FCB">
        <w:rPr>
          <w:sz w:val="27"/>
          <w:rtl/>
        </w:rPr>
        <w:t xml:space="preserve"> </w:t>
      </w:r>
      <w:r w:rsidRPr="00904FCB">
        <w:rPr>
          <w:rFonts w:hint="cs"/>
          <w:sz w:val="27"/>
          <w:rtl/>
        </w:rPr>
        <w:t xml:space="preserve">الحنيف، </w:t>
      </w:r>
      <w:r w:rsidRPr="00904FCB">
        <w:rPr>
          <w:rFonts w:hint="cs"/>
          <w:sz w:val="27"/>
          <w:rtl/>
        </w:rPr>
        <w:lastRenderedPageBreak/>
        <w:t>أعداء</w:t>
      </w:r>
      <w:r w:rsidRPr="00904FCB">
        <w:rPr>
          <w:sz w:val="27"/>
          <w:rtl/>
        </w:rPr>
        <w:t xml:space="preserve"> الاستقلال والحر</w:t>
      </w:r>
      <w:r w:rsidRPr="00904FCB">
        <w:rPr>
          <w:rFonts w:hint="cs"/>
          <w:sz w:val="27"/>
          <w:rtl/>
        </w:rPr>
        <w:t>ية</w:t>
      </w:r>
      <w:r w:rsidRPr="00904FCB">
        <w:rPr>
          <w:sz w:val="27"/>
          <w:rtl/>
        </w:rPr>
        <w:t xml:space="preserve"> </w:t>
      </w:r>
      <w:r w:rsidRPr="00904FCB">
        <w:rPr>
          <w:rFonts w:hint="cs"/>
          <w:sz w:val="27"/>
          <w:rtl/>
        </w:rPr>
        <w:t xml:space="preserve">والعروبة؟ </w:t>
      </w:r>
    </w:p>
    <w:p w:rsidR="00F34FB9" w:rsidRPr="00904FCB" w:rsidRDefault="00F34FB9" w:rsidP="007A21AA">
      <w:pPr>
        <w:spacing w:line="400" w:lineRule="exact"/>
        <w:rPr>
          <w:sz w:val="27"/>
          <w:rtl/>
        </w:rPr>
      </w:pPr>
      <w:r w:rsidRPr="00904FCB">
        <w:rPr>
          <w:sz w:val="27"/>
          <w:rtl/>
        </w:rPr>
        <w:t xml:space="preserve">وهل </w:t>
      </w:r>
      <w:r w:rsidRPr="00904FCB">
        <w:rPr>
          <w:rFonts w:hint="cs"/>
          <w:sz w:val="27"/>
          <w:rtl/>
        </w:rPr>
        <w:t>يزعم</w:t>
      </w:r>
      <w:r w:rsidRPr="00904FCB">
        <w:rPr>
          <w:sz w:val="27"/>
          <w:rtl/>
        </w:rPr>
        <w:t xml:space="preserve"> </w:t>
      </w:r>
      <w:r w:rsidR="00CB149F" w:rsidRPr="00904FCB">
        <w:rPr>
          <w:rFonts w:hint="cs"/>
          <w:sz w:val="27"/>
          <w:rtl/>
        </w:rPr>
        <w:t xml:space="preserve">الدهماء، </w:t>
      </w:r>
      <w:r w:rsidRPr="00904FCB">
        <w:rPr>
          <w:rFonts w:hint="cs"/>
          <w:sz w:val="27"/>
          <w:rtl/>
        </w:rPr>
        <w:t>أن</w:t>
      </w:r>
      <w:r w:rsidRPr="00904FCB">
        <w:rPr>
          <w:sz w:val="27"/>
          <w:rtl/>
        </w:rPr>
        <w:t xml:space="preserve"> </w:t>
      </w:r>
      <w:r w:rsidRPr="00904FCB">
        <w:rPr>
          <w:rFonts w:hint="cs"/>
          <w:sz w:val="27"/>
          <w:rtl/>
        </w:rPr>
        <w:t>هؤلاء</w:t>
      </w:r>
      <w:r w:rsidRPr="00904FCB">
        <w:rPr>
          <w:sz w:val="27"/>
          <w:rtl/>
        </w:rPr>
        <w:t xml:space="preserve"> </w:t>
      </w:r>
      <w:r w:rsidRPr="00904FCB">
        <w:rPr>
          <w:rFonts w:hint="cs"/>
          <w:sz w:val="27"/>
          <w:rtl/>
        </w:rPr>
        <w:t>ا</w:t>
      </w:r>
      <w:r w:rsidRPr="00904FCB">
        <w:rPr>
          <w:sz w:val="27"/>
          <w:rtl/>
        </w:rPr>
        <w:t>لقادة السادة زعماء</w:t>
      </w:r>
      <w:r w:rsidRPr="00904FCB">
        <w:rPr>
          <w:rFonts w:hint="cs"/>
          <w:sz w:val="27"/>
          <w:rtl/>
        </w:rPr>
        <w:t xml:space="preserve"> </w:t>
      </w:r>
      <w:r w:rsidRPr="00904FCB">
        <w:rPr>
          <w:sz w:val="27"/>
          <w:rtl/>
        </w:rPr>
        <w:t>الد</w:t>
      </w:r>
      <w:r w:rsidRPr="00904FCB">
        <w:rPr>
          <w:rFonts w:hint="cs"/>
          <w:sz w:val="27"/>
          <w:rtl/>
        </w:rPr>
        <w:t>ين</w:t>
      </w:r>
      <w:r w:rsidRPr="00904FCB">
        <w:rPr>
          <w:sz w:val="27"/>
          <w:rtl/>
        </w:rPr>
        <w:t xml:space="preserve"> </w:t>
      </w:r>
      <w:r w:rsidRPr="00904FCB">
        <w:rPr>
          <w:rFonts w:hint="cs"/>
          <w:sz w:val="27"/>
          <w:rtl/>
        </w:rPr>
        <w:t>بعدما</w:t>
      </w:r>
      <w:r w:rsidRPr="00904FCB">
        <w:rPr>
          <w:sz w:val="27"/>
          <w:rtl/>
        </w:rPr>
        <w:t xml:space="preserve"> </w:t>
      </w:r>
      <w:r w:rsidRPr="00904FCB">
        <w:rPr>
          <w:rFonts w:hint="cs"/>
          <w:sz w:val="27"/>
          <w:rtl/>
        </w:rPr>
        <w:t>اضطهدوا</w:t>
      </w:r>
      <w:r w:rsidRPr="00904FCB">
        <w:rPr>
          <w:sz w:val="27"/>
          <w:rtl/>
        </w:rPr>
        <w:t xml:space="preserve"> </w:t>
      </w:r>
      <w:r w:rsidRPr="00904FCB">
        <w:rPr>
          <w:rFonts w:hint="cs"/>
          <w:sz w:val="27"/>
          <w:rtl/>
        </w:rPr>
        <w:t>وهُتكوا</w:t>
      </w:r>
      <w:r w:rsidRPr="00904FCB">
        <w:rPr>
          <w:sz w:val="27"/>
          <w:rtl/>
        </w:rPr>
        <w:t xml:space="preserve"> وحُط</w:t>
      </w:r>
      <w:r w:rsidR="001D63F8" w:rsidRPr="00904FCB">
        <w:rPr>
          <w:rFonts w:hint="cs"/>
          <w:sz w:val="27"/>
          <w:rtl/>
        </w:rPr>
        <w:t>َّ</w:t>
      </w:r>
      <w:r w:rsidRPr="00904FCB">
        <w:rPr>
          <w:sz w:val="27"/>
          <w:rtl/>
        </w:rPr>
        <w:t>ت</w:t>
      </w:r>
      <w:r w:rsidR="001D63F8" w:rsidRPr="00904FCB">
        <w:rPr>
          <w:rFonts w:hint="cs"/>
          <w:sz w:val="27"/>
          <w:rtl/>
        </w:rPr>
        <w:t>ْ</w:t>
      </w:r>
      <w:r w:rsidRPr="00904FCB">
        <w:rPr>
          <w:sz w:val="27"/>
          <w:rtl/>
        </w:rPr>
        <w:t xml:space="preserve"> </w:t>
      </w:r>
      <w:r w:rsidRPr="00904FCB">
        <w:rPr>
          <w:rFonts w:hint="cs"/>
          <w:sz w:val="27"/>
          <w:rtl/>
        </w:rPr>
        <w:t>أقدارهم</w:t>
      </w:r>
      <w:r w:rsidRPr="00904FCB">
        <w:rPr>
          <w:sz w:val="27"/>
          <w:rtl/>
        </w:rPr>
        <w:t xml:space="preserve"> وقط</w:t>
      </w:r>
      <w:r w:rsidR="001D63F8" w:rsidRPr="00904FCB">
        <w:rPr>
          <w:rFonts w:hint="cs"/>
          <w:sz w:val="27"/>
          <w:rtl/>
        </w:rPr>
        <w:t>ِّ</w:t>
      </w:r>
      <w:r w:rsidRPr="00904FCB">
        <w:rPr>
          <w:sz w:val="27"/>
          <w:rtl/>
        </w:rPr>
        <w:t>ع</w:t>
      </w:r>
      <w:r w:rsidR="001D63F8" w:rsidRPr="00904FCB">
        <w:rPr>
          <w:rFonts w:hint="cs"/>
          <w:sz w:val="27"/>
          <w:rtl/>
        </w:rPr>
        <w:t>َ</w:t>
      </w:r>
      <w:r w:rsidRPr="00904FCB">
        <w:rPr>
          <w:sz w:val="27"/>
          <w:rtl/>
        </w:rPr>
        <w:t>ت</w:t>
      </w:r>
      <w:r w:rsidR="001D63F8" w:rsidRPr="00904FCB">
        <w:rPr>
          <w:rFonts w:hint="cs"/>
          <w:sz w:val="27"/>
          <w:rtl/>
        </w:rPr>
        <w:t>ْ</w:t>
      </w:r>
      <w:r w:rsidRPr="00904FCB">
        <w:rPr>
          <w:sz w:val="27"/>
          <w:rtl/>
        </w:rPr>
        <w:t xml:space="preserve"> </w:t>
      </w:r>
      <w:r w:rsidRPr="00904FCB">
        <w:rPr>
          <w:rFonts w:hint="cs"/>
          <w:sz w:val="27"/>
          <w:rtl/>
        </w:rPr>
        <w:t>أوصال</w:t>
      </w:r>
      <w:r w:rsidRPr="00904FCB">
        <w:rPr>
          <w:sz w:val="27"/>
          <w:rtl/>
        </w:rPr>
        <w:t xml:space="preserve"> </w:t>
      </w:r>
      <w:r w:rsidRPr="00904FCB">
        <w:rPr>
          <w:rFonts w:hint="cs"/>
          <w:sz w:val="27"/>
          <w:rtl/>
        </w:rPr>
        <w:t>مكانتهم</w:t>
      </w:r>
      <w:r w:rsidRPr="00904FCB">
        <w:rPr>
          <w:sz w:val="27"/>
          <w:rtl/>
        </w:rPr>
        <w:t xml:space="preserve"> ب</w:t>
      </w:r>
      <w:r w:rsidRPr="00904FCB">
        <w:rPr>
          <w:rFonts w:hint="cs"/>
          <w:sz w:val="27"/>
          <w:rtl/>
        </w:rPr>
        <w:t>ين</w:t>
      </w:r>
      <w:r w:rsidRPr="00904FCB">
        <w:rPr>
          <w:sz w:val="27"/>
          <w:rtl/>
        </w:rPr>
        <w:t xml:space="preserve"> </w:t>
      </w:r>
      <w:r w:rsidRPr="00904FCB">
        <w:rPr>
          <w:rFonts w:hint="cs"/>
          <w:sz w:val="27"/>
          <w:rtl/>
        </w:rPr>
        <w:t>ظهراني</w:t>
      </w:r>
      <w:r w:rsidR="001D63F8" w:rsidRPr="00904FCB">
        <w:rPr>
          <w:rFonts w:hint="cs"/>
          <w:sz w:val="27"/>
          <w:rtl/>
        </w:rPr>
        <w:t>ّ</w:t>
      </w:r>
      <w:r w:rsidRPr="00904FCB">
        <w:rPr>
          <w:sz w:val="27"/>
          <w:rtl/>
        </w:rPr>
        <w:t xml:space="preserve"> </w:t>
      </w:r>
      <w:r w:rsidRPr="00904FCB">
        <w:rPr>
          <w:rFonts w:hint="cs"/>
          <w:sz w:val="27"/>
          <w:rtl/>
        </w:rPr>
        <w:t>الأم</w:t>
      </w:r>
      <w:r w:rsidR="001D63F8" w:rsidRPr="00904FCB">
        <w:rPr>
          <w:rFonts w:hint="cs"/>
          <w:sz w:val="27"/>
          <w:rtl/>
        </w:rPr>
        <w:t>ّ</w:t>
      </w:r>
      <w:r w:rsidRPr="00904FCB">
        <w:rPr>
          <w:rFonts w:hint="cs"/>
          <w:sz w:val="27"/>
          <w:rtl/>
        </w:rPr>
        <w:t>ة</w:t>
      </w:r>
      <w:r w:rsidRPr="00904FCB">
        <w:rPr>
          <w:sz w:val="27"/>
          <w:rtl/>
        </w:rPr>
        <w:t xml:space="preserve"> تتأت</w:t>
      </w:r>
      <w:r w:rsidR="001D63F8" w:rsidRPr="00904FCB">
        <w:rPr>
          <w:rFonts w:hint="cs"/>
          <w:sz w:val="27"/>
          <w:rtl/>
        </w:rPr>
        <w:t>ّ</w:t>
      </w:r>
      <w:r w:rsidRPr="00904FCB">
        <w:rPr>
          <w:rFonts w:hint="cs"/>
          <w:sz w:val="27"/>
          <w:rtl/>
        </w:rPr>
        <w:t>ى</w:t>
      </w:r>
      <w:r w:rsidRPr="00904FCB">
        <w:rPr>
          <w:sz w:val="27"/>
          <w:rtl/>
        </w:rPr>
        <w:t xml:space="preserve"> بهم ح</w:t>
      </w:r>
      <w:r w:rsidRPr="00904FCB">
        <w:rPr>
          <w:rFonts w:hint="cs"/>
          <w:sz w:val="27"/>
          <w:rtl/>
        </w:rPr>
        <w:t>ياة</w:t>
      </w:r>
      <w:r w:rsidRPr="00904FCB">
        <w:rPr>
          <w:sz w:val="27"/>
          <w:rtl/>
        </w:rPr>
        <w:t xml:space="preserve"> </w:t>
      </w:r>
      <w:r w:rsidRPr="00904FCB">
        <w:rPr>
          <w:rFonts w:hint="cs"/>
          <w:sz w:val="27"/>
          <w:rtl/>
        </w:rPr>
        <w:t>الشعب</w:t>
      </w:r>
      <w:r w:rsidRPr="00904FCB">
        <w:rPr>
          <w:sz w:val="27"/>
          <w:rtl/>
        </w:rPr>
        <w:t xml:space="preserve"> </w:t>
      </w:r>
      <w:r w:rsidRPr="00904FCB">
        <w:rPr>
          <w:rFonts w:hint="cs"/>
          <w:sz w:val="27"/>
          <w:rtl/>
        </w:rPr>
        <w:t xml:space="preserve">النبيل، </w:t>
      </w:r>
      <w:r w:rsidRPr="00904FCB">
        <w:rPr>
          <w:sz w:val="27"/>
          <w:rtl/>
        </w:rPr>
        <w:t>و</w:t>
      </w:r>
      <w:r w:rsidRPr="00904FCB">
        <w:rPr>
          <w:rFonts w:hint="cs"/>
          <w:sz w:val="27"/>
          <w:rtl/>
        </w:rPr>
        <w:t>يتحق</w:t>
      </w:r>
      <w:r w:rsidR="001D63F8" w:rsidRPr="00904FCB">
        <w:rPr>
          <w:rFonts w:hint="cs"/>
          <w:sz w:val="27"/>
          <w:rtl/>
        </w:rPr>
        <w:t>ّ</w:t>
      </w:r>
      <w:r w:rsidRPr="00904FCB">
        <w:rPr>
          <w:rFonts w:hint="cs"/>
          <w:sz w:val="27"/>
          <w:rtl/>
        </w:rPr>
        <w:t>ق</w:t>
      </w:r>
      <w:r w:rsidRPr="00904FCB">
        <w:rPr>
          <w:sz w:val="27"/>
          <w:rtl/>
        </w:rPr>
        <w:t xml:space="preserve"> </w:t>
      </w:r>
      <w:r w:rsidRPr="00904FCB">
        <w:rPr>
          <w:rFonts w:hint="cs"/>
          <w:sz w:val="27"/>
          <w:rtl/>
        </w:rPr>
        <w:t>أمل</w:t>
      </w:r>
      <w:r w:rsidRPr="00904FCB">
        <w:rPr>
          <w:sz w:val="27"/>
          <w:rtl/>
        </w:rPr>
        <w:t xml:space="preserve"> </w:t>
      </w:r>
      <w:r w:rsidRPr="00904FCB">
        <w:rPr>
          <w:rFonts w:hint="cs"/>
          <w:sz w:val="27"/>
          <w:rtl/>
        </w:rPr>
        <w:t>أبناء</w:t>
      </w:r>
      <w:r w:rsidRPr="00904FCB">
        <w:rPr>
          <w:sz w:val="27"/>
          <w:rtl/>
        </w:rPr>
        <w:t xml:space="preserve"> </w:t>
      </w:r>
      <w:r w:rsidRPr="00904FCB">
        <w:rPr>
          <w:rFonts w:hint="cs"/>
          <w:sz w:val="27"/>
          <w:rtl/>
        </w:rPr>
        <w:t>العروبة</w:t>
      </w:r>
      <w:r w:rsidR="001D63F8" w:rsidRPr="00904FCB">
        <w:rPr>
          <w:rFonts w:hint="cs"/>
          <w:sz w:val="27"/>
          <w:rtl/>
        </w:rPr>
        <w:t>،</w:t>
      </w:r>
      <w:r w:rsidRPr="00904FCB">
        <w:rPr>
          <w:sz w:val="27"/>
          <w:rtl/>
        </w:rPr>
        <w:t xml:space="preserve"> </w:t>
      </w:r>
      <w:r w:rsidRPr="00904FCB">
        <w:rPr>
          <w:rFonts w:hint="cs"/>
          <w:sz w:val="27"/>
          <w:rtl/>
        </w:rPr>
        <w:t>ورقي</w:t>
      </w:r>
      <w:r w:rsidR="001D63F8" w:rsidRPr="00904FCB">
        <w:rPr>
          <w:rFonts w:hint="cs"/>
          <w:sz w:val="27"/>
          <w:rtl/>
        </w:rPr>
        <w:t>ّ</w:t>
      </w:r>
      <w:r w:rsidRPr="00904FCB">
        <w:rPr>
          <w:sz w:val="27"/>
          <w:rtl/>
        </w:rPr>
        <w:t xml:space="preserve"> الحزب </w:t>
      </w:r>
      <w:r w:rsidRPr="00904FCB">
        <w:rPr>
          <w:rFonts w:hint="cs"/>
          <w:sz w:val="27"/>
          <w:rtl/>
        </w:rPr>
        <w:t>الوطني</w:t>
      </w:r>
      <w:r w:rsidR="001D63F8" w:rsidRPr="00904FCB">
        <w:rPr>
          <w:rFonts w:hint="cs"/>
          <w:sz w:val="27"/>
          <w:rtl/>
        </w:rPr>
        <w:t>،</w:t>
      </w:r>
      <w:r w:rsidRPr="00904FCB">
        <w:rPr>
          <w:sz w:val="27"/>
          <w:rtl/>
        </w:rPr>
        <w:t xml:space="preserve"> وتقدّم الجبهة الشعب</w:t>
      </w:r>
      <w:r w:rsidRPr="00904FCB">
        <w:rPr>
          <w:rFonts w:hint="cs"/>
          <w:sz w:val="27"/>
          <w:rtl/>
        </w:rPr>
        <w:t>ية</w:t>
      </w:r>
      <w:r w:rsidR="001D63F8" w:rsidRPr="00904FCB">
        <w:rPr>
          <w:rFonts w:hint="cs"/>
          <w:sz w:val="27"/>
          <w:rtl/>
        </w:rPr>
        <w:t>،</w:t>
      </w:r>
      <w:r w:rsidRPr="00904FCB">
        <w:rPr>
          <w:sz w:val="27"/>
          <w:rtl/>
        </w:rPr>
        <w:t xml:space="preserve"> </w:t>
      </w:r>
      <w:r w:rsidRPr="00904FCB">
        <w:rPr>
          <w:rFonts w:hint="cs"/>
          <w:sz w:val="27"/>
          <w:rtl/>
        </w:rPr>
        <w:t>وتدعيم</w:t>
      </w:r>
      <w:r w:rsidRPr="00904FCB">
        <w:rPr>
          <w:sz w:val="27"/>
          <w:rtl/>
        </w:rPr>
        <w:t xml:space="preserve"> </w:t>
      </w:r>
      <w:r w:rsidRPr="00904FCB">
        <w:rPr>
          <w:rFonts w:hint="cs"/>
          <w:sz w:val="27"/>
          <w:rtl/>
        </w:rPr>
        <w:t>قواعد</w:t>
      </w:r>
      <w:r w:rsidRPr="00904FCB">
        <w:rPr>
          <w:sz w:val="27"/>
          <w:rtl/>
        </w:rPr>
        <w:t xml:space="preserve"> </w:t>
      </w:r>
      <w:r w:rsidRPr="00904FCB">
        <w:rPr>
          <w:rFonts w:hint="cs"/>
          <w:sz w:val="27"/>
          <w:rtl/>
        </w:rPr>
        <w:t>الاستقلال</w:t>
      </w:r>
      <w:r w:rsidR="001D63F8" w:rsidRPr="00904FCB">
        <w:rPr>
          <w:rFonts w:hint="cs"/>
          <w:sz w:val="27"/>
          <w:rtl/>
        </w:rPr>
        <w:t>،</w:t>
      </w:r>
      <w:r w:rsidRPr="00904FCB">
        <w:rPr>
          <w:sz w:val="27"/>
          <w:rtl/>
        </w:rPr>
        <w:t xml:space="preserve"> </w:t>
      </w:r>
      <w:r w:rsidRPr="00904FCB">
        <w:rPr>
          <w:rFonts w:hint="cs"/>
          <w:sz w:val="27"/>
          <w:rtl/>
        </w:rPr>
        <w:t>وإ</w:t>
      </w:r>
      <w:r w:rsidRPr="00904FCB">
        <w:rPr>
          <w:sz w:val="27"/>
          <w:rtl/>
        </w:rPr>
        <w:t>نقاذ المجتمع الد</w:t>
      </w:r>
      <w:r w:rsidRPr="00904FCB">
        <w:rPr>
          <w:rFonts w:hint="cs"/>
          <w:sz w:val="27"/>
          <w:rtl/>
        </w:rPr>
        <w:t>يني</w:t>
      </w:r>
      <w:r w:rsidRPr="00904FCB">
        <w:rPr>
          <w:sz w:val="27"/>
          <w:rtl/>
        </w:rPr>
        <w:t xml:space="preserve"> </w:t>
      </w:r>
      <w:r w:rsidR="001D63F8" w:rsidRPr="00904FCB">
        <w:rPr>
          <w:rFonts w:hint="cs"/>
          <w:sz w:val="27"/>
          <w:rtl/>
        </w:rPr>
        <w:t>م</w:t>
      </w:r>
      <w:r w:rsidRPr="00904FCB">
        <w:rPr>
          <w:sz w:val="27"/>
          <w:rtl/>
        </w:rPr>
        <w:t>ن الو</w:t>
      </w:r>
      <w:r w:rsidRPr="00904FCB">
        <w:rPr>
          <w:rFonts w:hint="cs"/>
          <w:sz w:val="27"/>
          <w:rtl/>
        </w:rPr>
        <w:t>يلات</w:t>
      </w:r>
      <w:r w:rsidRPr="00904FCB">
        <w:rPr>
          <w:sz w:val="27"/>
          <w:rtl/>
        </w:rPr>
        <w:t xml:space="preserve"> </w:t>
      </w:r>
      <w:r w:rsidRPr="00904FCB">
        <w:rPr>
          <w:rFonts w:hint="cs"/>
          <w:sz w:val="27"/>
          <w:rtl/>
        </w:rPr>
        <w:t>والنهاي</w:t>
      </w:r>
      <w:r w:rsidRPr="00904FCB">
        <w:rPr>
          <w:sz w:val="27"/>
          <w:rtl/>
        </w:rPr>
        <w:t>ة المدلهمّة، ونجاة الملأ من سطوة الاستعمار الغاشم؟</w:t>
      </w:r>
      <w:r w:rsidR="001D63F8" w:rsidRPr="00904FCB">
        <w:rPr>
          <w:rFonts w:hint="cs"/>
          <w:sz w:val="27"/>
          <w:rtl/>
        </w:rPr>
        <w:t>!</w:t>
      </w:r>
      <w:r w:rsidRPr="00904FCB">
        <w:rPr>
          <w:sz w:val="27"/>
          <w:rtl/>
        </w:rPr>
        <w:t xml:space="preserve"> لا </w:t>
      </w:r>
      <w:r w:rsidRPr="00904FCB">
        <w:rPr>
          <w:rFonts w:hint="cs"/>
          <w:sz w:val="27"/>
          <w:rtl/>
        </w:rPr>
        <w:t>والله</w:t>
      </w:r>
      <w:r w:rsidR="001D63F8" w:rsidRPr="00904FCB">
        <w:rPr>
          <w:rFonts w:hint="cs"/>
          <w:sz w:val="27"/>
          <w:rtl/>
        </w:rPr>
        <w:t>ِ</w:t>
      </w:r>
      <w:r w:rsidRPr="00904FCB">
        <w:rPr>
          <w:sz w:val="27"/>
          <w:rtl/>
        </w:rPr>
        <w:t xml:space="preserve"> هذا لا</w:t>
      </w:r>
      <w:r w:rsidRPr="00904FCB">
        <w:rPr>
          <w:rFonts w:hint="cs"/>
          <w:sz w:val="27"/>
          <w:rtl/>
        </w:rPr>
        <w:t xml:space="preserve"> يكون</w:t>
      </w:r>
      <w:r w:rsidRPr="00904FCB">
        <w:rPr>
          <w:sz w:val="27"/>
          <w:rtl/>
        </w:rPr>
        <w:t xml:space="preserve">. </w:t>
      </w:r>
    </w:p>
    <w:p w:rsidR="00F34FB9" w:rsidRPr="00904FCB" w:rsidRDefault="00F34FB9" w:rsidP="007A21AA">
      <w:pPr>
        <w:spacing w:line="400" w:lineRule="exact"/>
        <w:rPr>
          <w:sz w:val="27"/>
          <w:rtl/>
        </w:rPr>
      </w:pPr>
      <w:r w:rsidRPr="00904FCB">
        <w:rPr>
          <w:sz w:val="27"/>
          <w:rtl/>
        </w:rPr>
        <w:t>د</w:t>
      </w:r>
      <w:r w:rsidR="001D63F8" w:rsidRPr="00904FCB">
        <w:rPr>
          <w:rFonts w:hint="cs"/>
          <w:sz w:val="27"/>
          <w:rtl/>
        </w:rPr>
        <w:t>َ</w:t>
      </w:r>
      <w:r w:rsidRPr="00904FCB">
        <w:rPr>
          <w:sz w:val="27"/>
          <w:rtl/>
        </w:rPr>
        <w:t>ع</w:t>
      </w:r>
      <w:r w:rsidR="001D63F8" w:rsidRPr="00904FCB">
        <w:rPr>
          <w:rFonts w:hint="cs"/>
          <w:sz w:val="27"/>
          <w:rtl/>
        </w:rPr>
        <w:t>ْ</w:t>
      </w:r>
      <w:r w:rsidRPr="00904FCB">
        <w:rPr>
          <w:sz w:val="27"/>
          <w:rtl/>
        </w:rPr>
        <w:t xml:space="preserve"> الد</w:t>
      </w:r>
      <w:r w:rsidRPr="00904FCB">
        <w:rPr>
          <w:rFonts w:hint="cs"/>
          <w:sz w:val="27"/>
          <w:rtl/>
        </w:rPr>
        <w:t>ين</w:t>
      </w:r>
      <w:r w:rsidR="001D63F8" w:rsidRPr="00904FCB">
        <w:rPr>
          <w:rFonts w:hint="cs"/>
          <w:sz w:val="27"/>
          <w:rtl/>
        </w:rPr>
        <w:t>.</w:t>
      </w:r>
      <w:r w:rsidRPr="00904FCB">
        <w:rPr>
          <w:sz w:val="27"/>
          <w:rtl/>
        </w:rPr>
        <w:t xml:space="preserve"> </w:t>
      </w:r>
      <w:r w:rsidRPr="00904FCB">
        <w:rPr>
          <w:rFonts w:hint="cs"/>
          <w:sz w:val="27"/>
          <w:rtl/>
        </w:rPr>
        <w:t>هلاّ</w:t>
      </w:r>
      <w:r w:rsidRPr="00904FCB">
        <w:rPr>
          <w:sz w:val="27"/>
          <w:rtl/>
        </w:rPr>
        <w:t xml:space="preserve"> </w:t>
      </w:r>
      <w:r w:rsidRPr="00904FCB">
        <w:rPr>
          <w:rFonts w:hint="cs"/>
          <w:sz w:val="27"/>
          <w:rtl/>
        </w:rPr>
        <w:t>حُكم</w:t>
      </w:r>
      <w:r w:rsidRPr="00904FCB">
        <w:rPr>
          <w:sz w:val="27"/>
          <w:rtl/>
        </w:rPr>
        <w:t xml:space="preserve"> في طقوس البشر</w:t>
      </w:r>
      <w:r w:rsidRPr="00904FCB">
        <w:rPr>
          <w:rFonts w:hint="cs"/>
          <w:sz w:val="27"/>
          <w:rtl/>
        </w:rPr>
        <w:t>ية</w:t>
      </w:r>
      <w:r w:rsidRPr="00904FCB">
        <w:rPr>
          <w:sz w:val="27"/>
          <w:rtl/>
        </w:rPr>
        <w:t xml:space="preserve"> </w:t>
      </w:r>
      <w:r w:rsidRPr="00904FCB">
        <w:rPr>
          <w:rFonts w:hint="cs"/>
          <w:sz w:val="27"/>
          <w:rtl/>
        </w:rPr>
        <w:t>ودساتير</w:t>
      </w:r>
      <w:r w:rsidRPr="00904FCB">
        <w:rPr>
          <w:sz w:val="27"/>
          <w:rtl/>
        </w:rPr>
        <w:t xml:space="preserve"> </w:t>
      </w:r>
      <w:r w:rsidRPr="00904FCB">
        <w:rPr>
          <w:rFonts w:hint="cs"/>
          <w:sz w:val="27"/>
          <w:rtl/>
        </w:rPr>
        <w:t>الأمم</w:t>
      </w:r>
      <w:r w:rsidRPr="00904FCB">
        <w:rPr>
          <w:sz w:val="27"/>
          <w:rtl/>
        </w:rPr>
        <w:t xml:space="preserve"> </w:t>
      </w:r>
      <w:r w:rsidRPr="00904FCB">
        <w:rPr>
          <w:rFonts w:hint="cs"/>
          <w:sz w:val="27"/>
          <w:rtl/>
        </w:rPr>
        <w:t>الآخرين</w:t>
      </w:r>
      <w:r w:rsidRPr="00904FCB">
        <w:rPr>
          <w:sz w:val="27"/>
          <w:rtl/>
        </w:rPr>
        <w:t xml:space="preserve"> </w:t>
      </w:r>
      <w:r w:rsidRPr="00904FCB">
        <w:rPr>
          <w:rFonts w:hint="cs"/>
          <w:sz w:val="27"/>
          <w:rtl/>
        </w:rPr>
        <w:t>لهتك</w:t>
      </w:r>
      <w:r w:rsidRPr="00904FCB">
        <w:rPr>
          <w:sz w:val="27"/>
          <w:rtl/>
        </w:rPr>
        <w:t xml:space="preserve"> ناموس </w:t>
      </w:r>
      <w:r w:rsidR="001D63F8" w:rsidRPr="00904FCB">
        <w:rPr>
          <w:rFonts w:hint="cs"/>
          <w:sz w:val="27"/>
          <w:rtl/>
        </w:rPr>
        <w:t>أ</w:t>
      </w:r>
      <w:r w:rsidRPr="00904FCB">
        <w:rPr>
          <w:sz w:val="27"/>
          <w:rtl/>
        </w:rPr>
        <w:t>مّة</w:t>
      </w:r>
      <w:r w:rsidR="001D63F8" w:rsidRPr="00904FCB">
        <w:rPr>
          <w:rFonts w:hint="cs"/>
          <w:sz w:val="27"/>
          <w:rtl/>
        </w:rPr>
        <w:t>ٍ</w:t>
      </w:r>
      <w:r w:rsidRPr="00904FCB">
        <w:rPr>
          <w:sz w:val="27"/>
          <w:rtl/>
        </w:rPr>
        <w:t xml:space="preserve"> كب</w:t>
      </w:r>
      <w:r w:rsidRPr="00904FCB">
        <w:rPr>
          <w:rFonts w:hint="cs"/>
          <w:sz w:val="27"/>
          <w:rtl/>
        </w:rPr>
        <w:t>يرة</w:t>
      </w:r>
      <w:r w:rsidRPr="00904FCB">
        <w:rPr>
          <w:sz w:val="27"/>
          <w:rtl/>
        </w:rPr>
        <w:t xml:space="preserve"> </w:t>
      </w:r>
      <w:r w:rsidRPr="00904FCB">
        <w:rPr>
          <w:rFonts w:hint="cs"/>
          <w:sz w:val="27"/>
          <w:rtl/>
        </w:rPr>
        <w:t>بالوقيعة</w:t>
      </w:r>
      <w:r w:rsidRPr="00904FCB">
        <w:rPr>
          <w:sz w:val="27"/>
          <w:rtl/>
        </w:rPr>
        <w:t xml:space="preserve"> </w:t>
      </w:r>
      <w:r w:rsidRPr="00904FCB">
        <w:rPr>
          <w:rFonts w:hint="cs"/>
          <w:sz w:val="27"/>
          <w:rtl/>
        </w:rPr>
        <w:t>في</w:t>
      </w:r>
      <w:r w:rsidRPr="00904FCB">
        <w:rPr>
          <w:sz w:val="27"/>
          <w:rtl/>
        </w:rPr>
        <w:t xml:space="preserve"> س</w:t>
      </w:r>
      <w:r w:rsidRPr="00904FCB">
        <w:rPr>
          <w:rFonts w:hint="cs"/>
          <w:sz w:val="27"/>
          <w:rtl/>
        </w:rPr>
        <w:t>ي</w:t>
      </w:r>
      <w:r w:rsidR="001D63F8" w:rsidRPr="00904FCB">
        <w:rPr>
          <w:rFonts w:hint="cs"/>
          <w:sz w:val="27"/>
          <w:rtl/>
        </w:rPr>
        <w:t>ّ</w:t>
      </w:r>
      <w:r w:rsidRPr="00904FCB">
        <w:rPr>
          <w:rFonts w:hint="cs"/>
          <w:sz w:val="27"/>
          <w:rtl/>
        </w:rPr>
        <w:t>دها؟</w:t>
      </w:r>
      <w:r w:rsidR="001D63F8" w:rsidRPr="00904FCB">
        <w:rPr>
          <w:rFonts w:hint="cs"/>
          <w:sz w:val="27"/>
          <w:rtl/>
        </w:rPr>
        <w:t>!</w:t>
      </w:r>
      <w:r w:rsidRPr="00904FCB">
        <w:rPr>
          <w:rFonts w:hint="cs"/>
          <w:sz w:val="27"/>
          <w:rtl/>
        </w:rPr>
        <w:t xml:space="preserve"> هل</w:t>
      </w:r>
      <w:r w:rsidRPr="00904FCB">
        <w:rPr>
          <w:sz w:val="27"/>
          <w:rtl/>
        </w:rPr>
        <w:t xml:space="preserve"> </w:t>
      </w:r>
      <w:r w:rsidRPr="00904FCB">
        <w:rPr>
          <w:rFonts w:hint="cs"/>
          <w:sz w:val="27"/>
          <w:rtl/>
        </w:rPr>
        <w:t>تستدعي</w:t>
      </w:r>
      <w:r w:rsidRPr="00904FCB">
        <w:rPr>
          <w:sz w:val="27"/>
          <w:rtl/>
        </w:rPr>
        <w:t xml:space="preserve"> س</w:t>
      </w:r>
      <w:r w:rsidRPr="00904FCB">
        <w:rPr>
          <w:rFonts w:hint="cs"/>
          <w:sz w:val="27"/>
          <w:rtl/>
        </w:rPr>
        <w:t>ياسة</w:t>
      </w:r>
      <w:r w:rsidRPr="00904FCB">
        <w:rPr>
          <w:sz w:val="27"/>
          <w:rtl/>
        </w:rPr>
        <w:t xml:space="preserve"> </w:t>
      </w:r>
      <w:r w:rsidRPr="00904FCB">
        <w:rPr>
          <w:rFonts w:hint="cs"/>
          <w:sz w:val="27"/>
          <w:rtl/>
        </w:rPr>
        <w:t>البلاد</w:t>
      </w:r>
      <w:r w:rsidR="00CB149F" w:rsidRPr="00904FCB">
        <w:rPr>
          <w:sz w:val="27"/>
          <w:rtl/>
        </w:rPr>
        <w:t xml:space="preserve"> ونظامها ال</w:t>
      </w:r>
      <w:r w:rsidR="00CB149F" w:rsidRPr="00904FCB">
        <w:rPr>
          <w:rFonts w:hint="cs"/>
          <w:sz w:val="27"/>
          <w:rtl/>
        </w:rPr>
        <w:t>وطني</w:t>
      </w:r>
      <w:r w:rsidRPr="00904FCB">
        <w:rPr>
          <w:sz w:val="27"/>
          <w:rtl/>
        </w:rPr>
        <w:t xml:space="preserve"> وأمنها العام</w:t>
      </w:r>
      <w:r w:rsidR="001D63F8" w:rsidRPr="00904FCB">
        <w:rPr>
          <w:rFonts w:hint="cs"/>
          <w:sz w:val="27"/>
          <w:rtl/>
        </w:rPr>
        <w:t>ّ</w:t>
      </w:r>
      <w:r w:rsidRPr="00904FCB">
        <w:rPr>
          <w:sz w:val="27"/>
          <w:rtl/>
        </w:rPr>
        <w:t xml:space="preserve"> قطع هذه الأ</w:t>
      </w:r>
      <w:r w:rsidRPr="00904FCB">
        <w:rPr>
          <w:rFonts w:hint="cs"/>
          <w:sz w:val="27"/>
          <w:rtl/>
        </w:rPr>
        <w:t>يدي</w:t>
      </w:r>
      <w:r w:rsidRPr="00904FCB">
        <w:rPr>
          <w:sz w:val="27"/>
          <w:rtl/>
        </w:rPr>
        <w:t xml:space="preserve"> ال</w:t>
      </w:r>
      <w:r w:rsidRPr="00904FCB">
        <w:rPr>
          <w:rFonts w:hint="cs"/>
          <w:sz w:val="27"/>
          <w:rtl/>
        </w:rPr>
        <w:t>أ</w:t>
      </w:r>
      <w:r w:rsidRPr="00904FCB">
        <w:rPr>
          <w:sz w:val="27"/>
          <w:rtl/>
        </w:rPr>
        <w:t>ث</w:t>
      </w:r>
      <w:r w:rsidRPr="00904FCB">
        <w:rPr>
          <w:rFonts w:hint="cs"/>
          <w:sz w:val="27"/>
          <w:rtl/>
        </w:rPr>
        <w:t>يمة</w:t>
      </w:r>
      <w:r w:rsidRPr="00904FCB">
        <w:rPr>
          <w:sz w:val="27"/>
          <w:rtl/>
        </w:rPr>
        <w:t xml:space="preserve"> </w:t>
      </w:r>
      <w:r w:rsidRPr="00904FCB">
        <w:rPr>
          <w:rFonts w:hint="cs"/>
          <w:sz w:val="27"/>
          <w:rtl/>
        </w:rPr>
        <w:t>وأخذ</w:t>
      </w:r>
      <w:r w:rsidRPr="00904FCB">
        <w:rPr>
          <w:sz w:val="27"/>
          <w:rtl/>
        </w:rPr>
        <w:t xml:space="preserve"> </w:t>
      </w:r>
      <w:r w:rsidRPr="00904FCB">
        <w:rPr>
          <w:rFonts w:hint="cs"/>
          <w:sz w:val="27"/>
          <w:rtl/>
        </w:rPr>
        <w:t>صاح</w:t>
      </w:r>
      <w:r w:rsidRPr="00904FCB">
        <w:rPr>
          <w:sz w:val="27"/>
          <w:rtl/>
        </w:rPr>
        <w:t>بها بما جن</w:t>
      </w:r>
      <w:r w:rsidR="001D63F8" w:rsidRPr="00904FCB">
        <w:rPr>
          <w:rFonts w:hint="cs"/>
          <w:sz w:val="27"/>
          <w:rtl/>
        </w:rPr>
        <w:t>َ</w:t>
      </w:r>
      <w:r w:rsidRPr="00904FCB">
        <w:rPr>
          <w:sz w:val="27"/>
          <w:rtl/>
        </w:rPr>
        <w:t>ت</w:t>
      </w:r>
      <w:r w:rsidR="001D63F8" w:rsidRPr="00904FCB">
        <w:rPr>
          <w:rFonts w:hint="cs"/>
          <w:sz w:val="27"/>
          <w:rtl/>
        </w:rPr>
        <w:t>ْ</w:t>
      </w:r>
      <w:r w:rsidRPr="00904FCB">
        <w:rPr>
          <w:sz w:val="27"/>
          <w:rtl/>
        </w:rPr>
        <w:t xml:space="preserve"> واقترفت </w:t>
      </w:r>
      <w:r w:rsidR="00CB149F" w:rsidRPr="00904FCB">
        <w:rPr>
          <w:rFonts w:hint="cs"/>
          <w:sz w:val="27"/>
          <w:rtl/>
        </w:rPr>
        <w:t>و</w:t>
      </w:r>
      <w:r w:rsidRPr="00904FCB">
        <w:rPr>
          <w:rFonts w:hint="cs"/>
          <w:sz w:val="27"/>
          <w:rtl/>
        </w:rPr>
        <w:t>إبقاء</w:t>
      </w:r>
      <w:r w:rsidRPr="00904FCB">
        <w:rPr>
          <w:sz w:val="27"/>
          <w:rtl/>
        </w:rPr>
        <w:t xml:space="preserve"> السلام والوئام. </w:t>
      </w:r>
    </w:p>
    <w:p w:rsidR="00C62BF7" w:rsidRPr="00904FCB" w:rsidRDefault="00F34FB9" w:rsidP="007A21AA">
      <w:pPr>
        <w:spacing w:line="400" w:lineRule="exact"/>
        <w:rPr>
          <w:sz w:val="27"/>
          <w:rtl/>
        </w:rPr>
      </w:pPr>
      <w:r w:rsidRPr="00904FCB">
        <w:rPr>
          <w:rFonts w:hint="cs"/>
          <w:sz w:val="27"/>
          <w:rtl/>
        </w:rPr>
        <w:t>يا</w:t>
      </w:r>
      <w:r w:rsidRPr="00904FCB">
        <w:rPr>
          <w:sz w:val="27"/>
          <w:rtl/>
        </w:rPr>
        <w:t xml:space="preserve"> </w:t>
      </w:r>
      <w:r w:rsidRPr="00904FCB">
        <w:rPr>
          <w:rFonts w:hint="cs"/>
          <w:sz w:val="27"/>
          <w:rtl/>
        </w:rPr>
        <w:t>رجال</w:t>
      </w:r>
      <w:r w:rsidRPr="00904FCB">
        <w:rPr>
          <w:sz w:val="27"/>
          <w:rtl/>
        </w:rPr>
        <w:t xml:space="preserve"> </w:t>
      </w:r>
      <w:r w:rsidRPr="00904FCB">
        <w:rPr>
          <w:rFonts w:hint="cs"/>
          <w:sz w:val="27"/>
          <w:rtl/>
        </w:rPr>
        <w:t>الأمة</w:t>
      </w:r>
      <w:r w:rsidR="00082AF4" w:rsidRPr="00904FCB">
        <w:rPr>
          <w:rFonts w:hint="cs"/>
          <w:sz w:val="27"/>
          <w:rtl/>
        </w:rPr>
        <w:t>،</w:t>
      </w:r>
      <w:r w:rsidRPr="00904FCB">
        <w:rPr>
          <w:sz w:val="27"/>
          <w:rtl/>
        </w:rPr>
        <w:t xml:space="preserve"> </w:t>
      </w:r>
      <w:r w:rsidRPr="00904FCB">
        <w:rPr>
          <w:rFonts w:hint="cs"/>
          <w:sz w:val="27"/>
          <w:rtl/>
        </w:rPr>
        <w:t>أدركوا</w:t>
      </w:r>
      <w:r w:rsidRPr="00904FCB">
        <w:rPr>
          <w:sz w:val="27"/>
          <w:rtl/>
        </w:rPr>
        <w:t xml:space="preserve"> </w:t>
      </w:r>
      <w:r w:rsidR="00082AF4" w:rsidRPr="00904FCB">
        <w:rPr>
          <w:rFonts w:hint="cs"/>
          <w:sz w:val="27"/>
          <w:rtl/>
        </w:rPr>
        <w:t>أ</w:t>
      </w:r>
      <w:r w:rsidRPr="00904FCB">
        <w:rPr>
          <w:sz w:val="27"/>
          <w:rtl/>
        </w:rPr>
        <w:t>مّة محمّد نب</w:t>
      </w:r>
      <w:r w:rsidRPr="00904FCB">
        <w:rPr>
          <w:rFonts w:hint="cs"/>
          <w:sz w:val="27"/>
          <w:rtl/>
        </w:rPr>
        <w:t>ي</w:t>
      </w:r>
      <w:r w:rsidR="00082AF4" w:rsidRPr="00904FCB">
        <w:rPr>
          <w:rFonts w:hint="cs"/>
          <w:sz w:val="27"/>
          <w:rtl/>
        </w:rPr>
        <w:t>ّ</w:t>
      </w:r>
      <w:r w:rsidRPr="00904FCB">
        <w:rPr>
          <w:sz w:val="27"/>
          <w:rtl/>
        </w:rPr>
        <w:t xml:space="preserve"> العظمة</w:t>
      </w:r>
      <w:r w:rsidRPr="00904FCB">
        <w:rPr>
          <w:rFonts w:hint="cs"/>
          <w:sz w:val="27"/>
          <w:rtl/>
        </w:rPr>
        <w:t>، إن</w:t>
      </w:r>
      <w:r w:rsidR="00082AF4" w:rsidRPr="00904FCB">
        <w:rPr>
          <w:rFonts w:hint="cs"/>
          <w:sz w:val="27"/>
          <w:rtl/>
        </w:rPr>
        <w:t>ْ</w:t>
      </w:r>
      <w:r w:rsidRPr="00904FCB">
        <w:rPr>
          <w:sz w:val="27"/>
          <w:rtl/>
        </w:rPr>
        <w:t xml:space="preserve"> كنتم أحرارا</w:t>
      </w:r>
      <w:r w:rsidRPr="00904FCB">
        <w:rPr>
          <w:rFonts w:hint="cs"/>
          <w:sz w:val="27"/>
          <w:rtl/>
        </w:rPr>
        <w:t>ً</w:t>
      </w:r>
      <w:r w:rsidRPr="00904FCB">
        <w:rPr>
          <w:sz w:val="27"/>
          <w:rtl/>
        </w:rPr>
        <w:t xml:space="preserve"> كما تدّ</w:t>
      </w:r>
      <w:r w:rsidR="00082AF4" w:rsidRPr="00904FCB">
        <w:rPr>
          <w:rFonts w:hint="cs"/>
          <w:sz w:val="27"/>
          <w:rtl/>
        </w:rPr>
        <w:t>َ</w:t>
      </w:r>
      <w:r w:rsidRPr="00904FCB">
        <w:rPr>
          <w:sz w:val="27"/>
          <w:rtl/>
        </w:rPr>
        <w:t>عون</w:t>
      </w:r>
      <w:r w:rsidR="00082AF4" w:rsidRPr="00904FCB">
        <w:rPr>
          <w:rFonts w:hint="cs"/>
          <w:sz w:val="27"/>
          <w:rtl/>
        </w:rPr>
        <w:t>،</w:t>
      </w:r>
      <w:r w:rsidRPr="00904FCB">
        <w:rPr>
          <w:sz w:val="27"/>
          <w:rtl/>
        </w:rPr>
        <w:t xml:space="preserve"> قبل أن تجدوه</w:t>
      </w:r>
      <w:r w:rsidRPr="00904FCB">
        <w:rPr>
          <w:rFonts w:hint="cs"/>
          <w:sz w:val="27"/>
          <w:rtl/>
        </w:rPr>
        <w:t>ا</w:t>
      </w:r>
      <w:r w:rsidRPr="00904FCB">
        <w:rPr>
          <w:sz w:val="27"/>
          <w:rtl/>
        </w:rPr>
        <w:t xml:space="preserve"> حائرة بائرة، ضح</w:t>
      </w:r>
      <w:r w:rsidRPr="00904FCB">
        <w:rPr>
          <w:rFonts w:hint="cs"/>
          <w:sz w:val="27"/>
          <w:rtl/>
        </w:rPr>
        <w:t>ية</w:t>
      </w:r>
      <w:r w:rsidRPr="00904FCB">
        <w:rPr>
          <w:sz w:val="27"/>
          <w:rtl/>
        </w:rPr>
        <w:t xml:space="preserve"> </w:t>
      </w:r>
      <w:r w:rsidRPr="00904FCB">
        <w:rPr>
          <w:rFonts w:hint="cs"/>
          <w:sz w:val="27"/>
          <w:rtl/>
        </w:rPr>
        <w:t>الأطماع</w:t>
      </w:r>
      <w:r w:rsidRPr="00904FCB">
        <w:rPr>
          <w:sz w:val="27"/>
          <w:rtl/>
        </w:rPr>
        <w:t xml:space="preserve"> </w:t>
      </w:r>
      <w:r w:rsidRPr="00904FCB">
        <w:rPr>
          <w:rFonts w:hint="cs"/>
          <w:sz w:val="27"/>
          <w:rtl/>
        </w:rPr>
        <w:t>والميول</w:t>
      </w:r>
      <w:r w:rsidRPr="00904FCB">
        <w:rPr>
          <w:sz w:val="27"/>
          <w:rtl/>
        </w:rPr>
        <w:t xml:space="preserve"> والشهوات، ضح</w:t>
      </w:r>
      <w:r w:rsidRPr="00904FCB">
        <w:rPr>
          <w:rFonts w:hint="cs"/>
          <w:sz w:val="27"/>
          <w:rtl/>
        </w:rPr>
        <w:t>ية</w:t>
      </w:r>
      <w:r w:rsidRPr="00904FCB">
        <w:rPr>
          <w:sz w:val="27"/>
          <w:rtl/>
        </w:rPr>
        <w:t xml:space="preserve"> </w:t>
      </w:r>
      <w:r w:rsidRPr="00904FCB">
        <w:rPr>
          <w:rFonts w:hint="cs"/>
          <w:sz w:val="27"/>
          <w:rtl/>
        </w:rPr>
        <w:t>الاستعباد</w:t>
      </w:r>
      <w:r w:rsidRPr="00904FCB">
        <w:rPr>
          <w:sz w:val="27"/>
          <w:rtl/>
        </w:rPr>
        <w:t xml:space="preserve"> </w:t>
      </w:r>
      <w:r w:rsidRPr="00904FCB">
        <w:rPr>
          <w:rFonts w:hint="cs"/>
          <w:sz w:val="27"/>
          <w:rtl/>
        </w:rPr>
        <w:t xml:space="preserve">والاستيصال، </w:t>
      </w:r>
      <w:r w:rsidRPr="00904FCB">
        <w:rPr>
          <w:sz w:val="27"/>
          <w:rtl/>
        </w:rPr>
        <w:t>وقَطّ</w:t>
      </w:r>
      <w:r w:rsidR="00082AF4" w:rsidRPr="00904FCB">
        <w:rPr>
          <w:rFonts w:hint="cs"/>
          <w:sz w:val="27"/>
          <w:rtl/>
        </w:rPr>
        <w:t>ِ</w:t>
      </w:r>
      <w:r w:rsidRPr="00904FCB">
        <w:rPr>
          <w:sz w:val="27"/>
          <w:rtl/>
        </w:rPr>
        <w:t>عوا عنها أ</w:t>
      </w:r>
      <w:r w:rsidRPr="00904FCB">
        <w:rPr>
          <w:rFonts w:hint="cs"/>
          <w:sz w:val="27"/>
          <w:rtl/>
        </w:rPr>
        <w:t>يدي</w:t>
      </w:r>
      <w:r w:rsidRPr="00904FCB">
        <w:rPr>
          <w:sz w:val="27"/>
          <w:rtl/>
        </w:rPr>
        <w:t xml:space="preserve"> </w:t>
      </w:r>
      <w:r w:rsidRPr="00904FCB">
        <w:rPr>
          <w:rFonts w:hint="cs"/>
          <w:sz w:val="27"/>
          <w:rtl/>
        </w:rPr>
        <w:t>أناس</w:t>
      </w:r>
      <w:r w:rsidRPr="00904FCB">
        <w:rPr>
          <w:sz w:val="27"/>
          <w:rtl/>
        </w:rPr>
        <w:t xml:space="preserve"> دجّال</w:t>
      </w:r>
      <w:r w:rsidRPr="00904FCB">
        <w:rPr>
          <w:rFonts w:hint="cs"/>
          <w:sz w:val="27"/>
          <w:rtl/>
        </w:rPr>
        <w:t>ي</w:t>
      </w:r>
      <w:r w:rsidRPr="00904FCB">
        <w:rPr>
          <w:sz w:val="27"/>
          <w:rtl/>
        </w:rPr>
        <w:t>ن</w:t>
      </w:r>
      <w:r w:rsidR="00082AF4" w:rsidRPr="00904FCB">
        <w:rPr>
          <w:rFonts w:hint="cs"/>
          <w:sz w:val="27"/>
          <w:rtl/>
        </w:rPr>
        <w:t>،</w:t>
      </w:r>
      <w:r w:rsidRPr="00904FCB">
        <w:rPr>
          <w:sz w:val="27"/>
          <w:rtl/>
        </w:rPr>
        <w:t xml:space="preserve"> </w:t>
      </w:r>
      <w:r w:rsidR="00082AF4" w:rsidRPr="00904FCB">
        <w:rPr>
          <w:rFonts w:ascii="Mosawi" w:hAnsi="Mosawi" w:cs="Mosawi"/>
          <w:sz w:val="24"/>
          <w:szCs w:val="24"/>
          <w:rtl/>
        </w:rPr>
        <w:t>﴿</w:t>
      </w:r>
      <w:r w:rsidR="00082AF4" w:rsidRPr="00904FCB">
        <w:rPr>
          <w:b/>
          <w:bCs/>
          <w:sz w:val="27"/>
          <w:rtl/>
        </w:rPr>
        <w:t xml:space="preserve">الَّذِينَ طَغَوْا فِي الْبِلاَدِ </w:t>
      </w:r>
      <w:r w:rsidR="00082AF4" w:rsidRPr="00904FCB">
        <w:rPr>
          <w:rFonts w:hint="cs"/>
          <w:b/>
          <w:bCs/>
          <w:sz w:val="27"/>
          <w:rtl/>
        </w:rPr>
        <w:t>*</w:t>
      </w:r>
      <w:r w:rsidR="00082AF4" w:rsidRPr="00904FCB">
        <w:rPr>
          <w:b/>
          <w:bCs/>
          <w:sz w:val="27"/>
          <w:rtl/>
        </w:rPr>
        <w:t xml:space="preserve"> فَأَكْثَرُوا فِيهَا الْفَسَادَ</w:t>
      </w:r>
      <w:r w:rsidR="00082AF4" w:rsidRPr="00904FCB">
        <w:rPr>
          <w:rFonts w:ascii="Mosawi" w:hAnsi="Mosawi" w:cs="Mosawi"/>
          <w:sz w:val="24"/>
          <w:szCs w:val="24"/>
          <w:rtl/>
        </w:rPr>
        <w:t>﴾</w:t>
      </w:r>
      <w:r w:rsidR="00082AF4" w:rsidRPr="00904FCB">
        <w:rPr>
          <w:rFonts w:hint="cs"/>
          <w:sz w:val="27"/>
          <w:rtl/>
        </w:rPr>
        <w:t>،</w:t>
      </w:r>
      <w:r w:rsidRPr="00904FCB">
        <w:rPr>
          <w:sz w:val="27"/>
          <w:rtl/>
        </w:rPr>
        <w:t xml:space="preserve"> </w:t>
      </w:r>
      <w:r w:rsidR="00082AF4" w:rsidRPr="00904FCB">
        <w:rPr>
          <w:rFonts w:hint="cs"/>
          <w:sz w:val="27"/>
          <w:rtl/>
        </w:rPr>
        <w:t>و</w:t>
      </w:r>
      <w:r w:rsidR="00082AF4" w:rsidRPr="00904FCB">
        <w:rPr>
          <w:rFonts w:ascii="Mosawi" w:hAnsi="Mosawi" w:cs="Mosawi"/>
          <w:sz w:val="24"/>
          <w:szCs w:val="24"/>
          <w:rtl/>
        </w:rPr>
        <w:t>﴿</w:t>
      </w:r>
      <w:r w:rsidR="00082AF4" w:rsidRPr="00904FCB">
        <w:rPr>
          <w:b/>
          <w:bCs/>
          <w:sz w:val="27"/>
          <w:rtl/>
        </w:rPr>
        <w:t>تَرَى كَثِيراً مِنْهُمْ يَتَوَلَّوْنَ الَّذِينَ كَفَرُوا</w:t>
      </w:r>
      <w:r w:rsidR="00082AF4" w:rsidRPr="00904FCB">
        <w:rPr>
          <w:rFonts w:ascii="Mosawi" w:hAnsi="Mosawi" w:cs="Mosawi"/>
          <w:sz w:val="24"/>
          <w:szCs w:val="24"/>
          <w:rtl/>
        </w:rPr>
        <w:t>﴾</w:t>
      </w:r>
      <w:r w:rsidR="00082AF4" w:rsidRPr="00904FCB">
        <w:rPr>
          <w:rFonts w:hint="cs"/>
          <w:sz w:val="27"/>
          <w:rtl/>
        </w:rPr>
        <w:t>.</w:t>
      </w:r>
      <w:r w:rsidRPr="00904FCB">
        <w:rPr>
          <w:rFonts w:hint="cs"/>
          <w:sz w:val="27"/>
          <w:rtl/>
        </w:rPr>
        <w:t xml:space="preserve"> خُذُوهم</w:t>
      </w:r>
      <w:r w:rsidRPr="00904FCB">
        <w:rPr>
          <w:sz w:val="27"/>
          <w:rtl/>
        </w:rPr>
        <w:t xml:space="preserve"> </w:t>
      </w:r>
      <w:r w:rsidRPr="00904FCB">
        <w:rPr>
          <w:rFonts w:hint="cs"/>
          <w:sz w:val="27"/>
          <w:rtl/>
        </w:rPr>
        <w:t>أخذ</w:t>
      </w:r>
      <w:r w:rsidRPr="00904FCB">
        <w:rPr>
          <w:sz w:val="27"/>
          <w:rtl/>
        </w:rPr>
        <w:t xml:space="preserve"> </w:t>
      </w:r>
      <w:r w:rsidRPr="00904FCB">
        <w:rPr>
          <w:rFonts w:hint="cs"/>
          <w:sz w:val="27"/>
          <w:rtl/>
        </w:rPr>
        <w:t>عزيز</w:t>
      </w:r>
      <w:r w:rsidR="00082AF4" w:rsidRPr="00904FCB">
        <w:rPr>
          <w:rFonts w:hint="cs"/>
          <w:sz w:val="27"/>
          <w:rtl/>
        </w:rPr>
        <w:t>ٍ</w:t>
      </w:r>
      <w:r w:rsidRPr="00904FCB">
        <w:rPr>
          <w:sz w:val="27"/>
          <w:rtl/>
        </w:rPr>
        <w:t xml:space="preserve"> </w:t>
      </w:r>
      <w:r w:rsidRPr="00904FCB">
        <w:rPr>
          <w:rFonts w:hint="cs"/>
          <w:sz w:val="27"/>
          <w:rtl/>
        </w:rPr>
        <w:t xml:space="preserve">مقتدر، </w:t>
      </w:r>
      <w:r w:rsidR="00237964" w:rsidRPr="00904FCB">
        <w:rPr>
          <w:rFonts w:ascii="Mosawi" w:hAnsi="Mosawi" w:cs="Mosawi"/>
          <w:sz w:val="24"/>
          <w:szCs w:val="24"/>
          <w:rtl/>
        </w:rPr>
        <w:t>﴿</w:t>
      </w:r>
      <w:r w:rsidR="00237964" w:rsidRPr="00904FCB">
        <w:rPr>
          <w:b/>
          <w:bCs/>
          <w:sz w:val="27"/>
          <w:rtl/>
        </w:rPr>
        <w:t>وَخُذُوهُمْ وَاحْصُرُوهُمْ وَاقْعُدُوا لَهُمْ كُلَّ مَرْصَدٍ</w:t>
      </w:r>
      <w:r w:rsidR="00237964" w:rsidRPr="00904FCB">
        <w:rPr>
          <w:rFonts w:ascii="Mosawi" w:hAnsi="Mosawi" w:cs="Mosawi"/>
          <w:sz w:val="24"/>
          <w:szCs w:val="24"/>
          <w:rtl/>
        </w:rPr>
        <w:t>﴾</w:t>
      </w:r>
      <w:r w:rsidR="00237964" w:rsidRPr="00904FCB">
        <w:rPr>
          <w:rFonts w:hint="cs"/>
          <w:sz w:val="27"/>
          <w:rtl/>
        </w:rPr>
        <w:t xml:space="preserve">، </w:t>
      </w:r>
      <w:r w:rsidR="00237964" w:rsidRPr="00904FCB">
        <w:rPr>
          <w:rFonts w:ascii="Mosawi" w:hAnsi="Mosawi" w:cs="Mosawi"/>
          <w:sz w:val="24"/>
          <w:szCs w:val="24"/>
          <w:rtl/>
        </w:rPr>
        <w:t>﴿</w:t>
      </w:r>
      <w:r w:rsidR="00237964" w:rsidRPr="00904FCB">
        <w:rPr>
          <w:b/>
          <w:bCs/>
          <w:sz w:val="27"/>
          <w:rtl/>
        </w:rPr>
        <w:t>وَلْيَجِدُوا فِيكُمْ غِلْظَةً</w:t>
      </w:r>
      <w:r w:rsidR="00237964" w:rsidRPr="00904FCB">
        <w:rPr>
          <w:rFonts w:ascii="Mosawi" w:hAnsi="Mosawi" w:cs="Mosawi"/>
          <w:sz w:val="24"/>
          <w:szCs w:val="24"/>
          <w:rtl/>
        </w:rPr>
        <w:t>﴾</w:t>
      </w:r>
      <w:r w:rsidR="00237964" w:rsidRPr="00904FCB">
        <w:rPr>
          <w:rFonts w:hint="cs"/>
          <w:sz w:val="27"/>
          <w:rtl/>
        </w:rPr>
        <w:t>، و</w:t>
      </w:r>
      <w:r w:rsidR="00237964" w:rsidRPr="00904FCB">
        <w:rPr>
          <w:rFonts w:ascii="Mosawi" w:hAnsi="Mosawi" w:cs="Mosawi"/>
          <w:sz w:val="24"/>
          <w:szCs w:val="24"/>
          <w:rtl/>
        </w:rPr>
        <w:t>﴿</w:t>
      </w:r>
      <w:r w:rsidR="00237964" w:rsidRPr="00904FCB">
        <w:rPr>
          <w:b/>
          <w:bCs/>
          <w:sz w:val="27"/>
          <w:rtl/>
        </w:rPr>
        <w:t>إِ</w:t>
      </w:r>
      <w:r w:rsidR="00237964" w:rsidRPr="00904FCB">
        <w:rPr>
          <w:rFonts w:hint="cs"/>
          <w:b/>
          <w:bCs/>
          <w:sz w:val="27"/>
          <w:rtl/>
        </w:rPr>
        <w:t xml:space="preserve">نْ </w:t>
      </w:r>
      <w:r w:rsidR="00237964" w:rsidRPr="00904FCB">
        <w:rPr>
          <w:b/>
          <w:bCs/>
          <w:sz w:val="27"/>
          <w:rtl/>
        </w:rPr>
        <w:t>لا</w:t>
      </w:r>
      <w:r w:rsidR="00237964" w:rsidRPr="00904FCB">
        <w:rPr>
          <w:rFonts w:hint="cs"/>
          <w:b/>
          <w:bCs/>
          <w:sz w:val="27"/>
          <w:rtl/>
        </w:rPr>
        <w:t>َ</w:t>
      </w:r>
      <w:r w:rsidR="00237964" w:rsidRPr="00904FCB">
        <w:rPr>
          <w:b/>
          <w:bCs/>
          <w:sz w:val="27"/>
          <w:rtl/>
        </w:rPr>
        <w:t xml:space="preserve"> تَفْعَلُوهُ تَكُنْ فِتْنَةٌ فِي الأَرْضِ وَفَسَادٌ كَبِيرٌ</w:t>
      </w:r>
      <w:r w:rsidR="00237964" w:rsidRPr="00904FCB">
        <w:rPr>
          <w:rFonts w:ascii="Mosawi" w:hAnsi="Mosawi" w:cs="Mosawi"/>
          <w:sz w:val="24"/>
          <w:szCs w:val="24"/>
          <w:rtl/>
        </w:rPr>
        <w:t>﴾</w:t>
      </w:r>
      <w:r w:rsidR="00237964" w:rsidRPr="00904FCB">
        <w:rPr>
          <w:rFonts w:hint="cs"/>
          <w:sz w:val="27"/>
          <w:rtl/>
        </w:rPr>
        <w:t xml:space="preserve">، </w:t>
      </w:r>
      <w:r w:rsidR="00237964" w:rsidRPr="00904FCB">
        <w:rPr>
          <w:rFonts w:ascii="Mosawi" w:hAnsi="Mosawi" w:cs="Mosawi"/>
          <w:sz w:val="24"/>
          <w:szCs w:val="24"/>
          <w:rtl/>
        </w:rPr>
        <w:t>﴿</w:t>
      </w:r>
      <w:r w:rsidR="00237964" w:rsidRPr="00904FCB">
        <w:rPr>
          <w:b/>
          <w:bCs/>
          <w:sz w:val="27"/>
          <w:rtl/>
        </w:rPr>
        <w:t>فَإِنْ تَوَلَّيْتُمْ فَاعْلَمُوا أَنَّمَا عَلَى رَسُولِنَا الْبَلاَغُ الْمُبِينُ</w:t>
      </w:r>
      <w:r w:rsidR="00237964" w:rsidRPr="00904FCB">
        <w:rPr>
          <w:rFonts w:ascii="Mosawi" w:hAnsi="Mosawi" w:cs="Mosawi"/>
          <w:sz w:val="24"/>
          <w:szCs w:val="24"/>
          <w:rtl/>
        </w:rPr>
        <w:t>﴾</w:t>
      </w:r>
      <w:r w:rsidR="00237964" w:rsidRPr="00904FCB">
        <w:rPr>
          <w:rFonts w:ascii="Mosawi" w:hAnsi="Mosawi" w:cs="Mosawi" w:hint="cs"/>
          <w:sz w:val="24"/>
          <w:szCs w:val="24"/>
          <w:rtl/>
        </w:rPr>
        <w:t>،</w:t>
      </w:r>
      <w:r w:rsidRPr="00904FCB">
        <w:rPr>
          <w:sz w:val="27"/>
          <w:rtl/>
        </w:rPr>
        <w:t xml:space="preserve"> </w:t>
      </w:r>
      <w:r w:rsidRPr="00904FCB">
        <w:rPr>
          <w:rFonts w:hint="cs"/>
          <w:sz w:val="27"/>
          <w:rtl/>
        </w:rPr>
        <w:t>والسلام</w:t>
      </w:r>
      <w:r w:rsidRPr="00904FCB">
        <w:rPr>
          <w:sz w:val="27"/>
          <w:rtl/>
        </w:rPr>
        <w:t xml:space="preserve"> </w:t>
      </w:r>
      <w:r w:rsidRPr="00904FCB">
        <w:rPr>
          <w:rFonts w:hint="cs"/>
          <w:sz w:val="27"/>
          <w:rtl/>
        </w:rPr>
        <w:t>عل</w:t>
      </w:r>
      <w:r w:rsidR="00237964" w:rsidRPr="00904FCB">
        <w:rPr>
          <w:rFonts w:hint="cs"/>
          <w:sz w:val="27"/>
          <w:rtl/>
        </w:rPr>
        <w:t xml:space="preserve">ى </w:t>
      </w:r>
      <w:r w:rsidRPr="00904FCB">
        <w:rPr>
          <w:rFonts w:hint="cs"/>
          <w:sz w:val="27"/>
          <w:rtl/>
        </w:rPr>
        <w:t>م</w:t>
      </w:r>
      <w:r w:rsidR="00237964" w:rsidRPr="00904FCB">
        <w:rPr>
          <w:rFonts w:hint="cs"/>
          <w:sz w:val="27"/>
          <w:rtl/>
        </w:rPr>
        <w:t>َ</w:t>
      </w:r>
      <w:r w:rsidRPr="00904FCB">
        <w:rPr>
          <w:rFonts w:hint="cs"/>
          <w:sz w:val="27"/>
          <w:rtl/>
        </w:rPr>
        <w:t>ن</w:t>
      </w:r>
      <w:r w:rsidR="00237964" w:rsidRPr="00904FCB">
        <w:rPr>
          <w:rFonts w:hint="cs"/>
          <w:sz w:val="27"/>
          <w:rtl/>
        </w:rPr>
        <w:t>ْ</w:t>
      </w:r>
      <w:r w:rsidRPr="00904FCB">
        <w:rPr>
          <w:sz w:val="27"/>
          <w:rtl/>
        </w:rPr>
        <w:t xml:space="preserve"> </w:t>
      </w:r>
      <w:r w:rsidRPr="00904FCB">
        <w:rPr>
          <w:rFonts w:hint="cs"/>
          <w:sz w:val="27"/>
          <w:rtl/>
        </w:rPr>
        <w:t>اتّ</w:t>
      </w:r>
      <w:r w:rsidR="00237964" w:rsidRPr="00904FCB">
        <w:rPr>
          <w:rFonts w:hint="cs"/>
          <w:sz w:val="27"/>
          <w:rtl/>
        </w:rPr>
        <w:t>َ</w:t>
      </w:r>
      <w:r w:rsidRPr="00904FCB">
        <w:rPr>
          <w:rFonts w:hint="cs"/>
          <w:sz w:val="27"/>
          <w:rtl/>
        </w:rPr>
        <w:t>بع</w:t>
      </w:r>
      <w:r w:rsidRPr="00904FCB">
        <w:rPr>
          <w:sz w:val="27"/>
          <w:rtl/>
        </w:rPr>
        <w:t xml:space="preserve"> </w:t>
      </w:r>
      <w:r w:rsidRPr="00904FCB">
        <w:rPr>
          <w:rFonts w:hint="cs"/>
          <w:sz w:val="27"/>
          <w:rtl/>
        </w:rPr>
        <w:t>الهدى</w:t>
      </w:r>
      <w:r w:rsidR="00C62BF7" w:rsidRPr="00904FCB">
        <w:rPr>
          <w:sz w:val="27"/>
          <w:rtl/>
        </w:rPr>
        <w:t>.</w:t>
      </w:r>
    </w:p>
    <w:p w:rsidR="00F34FB9" w:rsidRPr="002831B1" w:rsidRDefault="00C62BF7" w:rsidP="002C6C2A">
      <w:pPr>
        <w:spacing w:line="400" w:lineRule="exact"/>
        <w:ind w:firstLine="0"/>
        <w:jc w:val="right"/>
        <w:rPr>
          <w:sz w:val="27"/>
        </w:rPr>
      </w:pPr>
      <w:r w:rsidRPr="002831B1">
        <w:rPr>
          <w:sz w:val="27"/>
          <w:rtl/>
        </w:rPr>
        <w:t>29 / 12 / 1370</w:t>
      </w:r>
      <w:r w:rsidR="00F34FB9" w:rsidRPr="002831B1">
        <w:rPr>
          <w:sz w:val="27"/>
          <w:rtl/>
        </w:rPr>
        <w:t>هـ</w:t>
      </w:r>
    </w:p>
    <w:p w:rsidR="00F34FB9" w:rsidRPr="00904FCB" w:rsidRDefault="00F34FB9" w:rsidP="002C6C2A">
      <w:pPr>
        <w:spacing w:line="400" w:lineRule="exact"/>
        <w:ind w:firstLine="0"/>
        <w:jc w:val="right"/>
        <w:rPr>
          <w:sz w:val="27"/>
          <w:rtl/>
        </w:rPr>
      </w:pPr>
      <w:r w:rsidRPr="00904FCB">
        <w:rPr>
          <w:sz w:val="27"/>
          <w:rtl/>
        </w:rPr>
        <w:t>عبد</w:t>
      </w:r>
      <w:r w:rsidRPr="00904FCB">
        <w:rPr>
          <w:rFonts w:hint="cs"/>
          <w:sz w:val="27"/>
          <w:rtl/>
        </w:rPr>
        <w:t xml:space="preserve"> </w:t>
      </w:r>
      <w:r w:rsidRPr="00904FCB">
        <w:rPr>
          <w:sz w:val="27"/>
          <w:rtl/>
        </w:rPr>
        <w:t>الحس</w:t>
      </w:r>
      <w:r w:rsidRPr="00904FCB">
        <w:rPr>
          <w:rFonts w:hint="cs"/>
          <w:sz w:val="27"/>
          <w:rtl/>
        </w:rPr>
        <w:t>ين</w:t>
      </w:r>
      <w:r w:rsidRPr="00904FCB">
        <w:rPr>
          <w:sz w:val="27"/>
          <w:rtl/>
        </w:rPr>
        <w:t xml:space="preserve"> </w:t>
      </w:r>
      <w:r w:rsidR="00C62BF7" w:rsidRPr="00904FCB">
        <w:rPr>
          <w:rFonts w:hint="cs"/>
          <w:sz w:val="27"/>
          <w:rtl/>
          <w:lang w:bidi="ar-LB"/>
        </w:rPr>
        <w:t>أ</w:t>
      </w:r>
      <w:r w:rsidRPr="00904FCB">
        <w:rPr>
          <w:rFonts w:hint="cs"/>
          <w:sz w:val="27"/>
          <w:rtl/>
        </w:rPr>
        <w:t>حمد</w:t>
      </w:r>
      <w:r w:rsidRPr="00904FCB">
        <w:rPr>
          <w:sz w:val="27"/>
          <w:rtl/>
        </w:rPr>
        <w:t xml:space="preserve"> </w:t>
      </w:r>
      <w:r w:rsidRPr="00904FCB">
        <w:rPr>
          <w:rFonts w:hint="cs"/>
          <w:sz w:val="27"/>
          <w:rtl/>
        </w:rPr>
        <w:t>الأميني</w:t>
      </w:r>
      <w:r w:rsidR="00C62BF7" w:rsidRPr="00904FCB">
        <w:rPr>
          <w:sz w:val="27"/>
          <w:rtl/>
        </w:rPr>
        <w:t xml:space="preserve">. </w:t>
      </w:r>
      <w:r w:rsidRPr="00904FCB">
        <w:rPr>
          <w:sz w:val="27"/>
          <w:rtl/>
        </w:rPr>
        <w:t>انته</w:t>
      </w:r>
      <w:r w:rsidRPr="00904FCB">
        <w:rPr>
          <w:rFonts w:hint="cs"/>
          <w:sz w:val="27"/>
          <w:rtl/>
        </w:rPr>
        <w:t>ى</w:t>
      </w:r>
      <w:r w:rsidRPr="00904FCB">
        <w:rPr>
          <w:sz w:val="27"/>
          <w:vertAlign w:val="superscript"/>
          <w:rtl/>
        </w:rPr>
        <w:t>(</w:t>
      </w:r>
      <w:r w:rsidRPr="00904FCB">
        <w:rPr>
          <w:rStyle w:val="ac"/>
          <w:sz w:val="27"/>
          <w:rtl/>
        </w:rPr>
        <w:endnoteReference w:id="708"/>
      </w:r>
      <w:r w:rsidRPr="00904FCB">
        <w:rPr>
          <w:sz w:val="27"/>
          <w:vertAlign w:val="superscript"/>
          <w:rtl/>
        </w:rPr>
        <w:t>)</w:t>
      </w:r>
      <w:r w:rsidRPr="00904FCB">
        <w:rPr>
          <w:sz w:val="27"/>
          <w:rtl/>
        </w:rPr>
        <w:t xml:space="preserve">. </w:t>
      </w:r>
    </w:p>
    <w:p w:rsidR="00F34FB9" w:rsidRPr="00904FCB" w:rsidRDefault="00F34FB9" w:rsidP="007A21AA">
      <w:pPr>
        <w:spacing w:line="400" w:lineRule="exact"/>
        <w:rPr>
          <w:sz w:val="27"/>
          <w:rtl/>
        </w:rPr>
      </w:pPr>
    </w:p>
    <w:p w:rsidR="00F34FB9" w:rsidRPr="00904FCB" w:rsidRDefault="00F34FB9" w:rsidP="007A21AA">
      <w:pPr>
        <w:pStyle w:val="31"/>
        <w:spacing w:line="400" w:lineRule="exact"/>
        <w:rPr>
          <w:color w:val="auto"/>
          <w:rtl/>
        </w:rPr>
      </w:pPr>
      <w:r w:rsidRPr="00904FCB">
        <w:rPr>
          <w:rFonts w:hint="cs"/>
          <w:color w:val="auto"/>
          <w:rtl/>
        </w:rPr>
        <w:t xml:space="preserve">رسالة </w:t>
      </w:r>
      <w:r w:rsidR="00C62BF7" w:rsidRPr="00904FCB">
        <w:rPr>
          <w:rFonts w:hint="cs"/>
          <w:color w:val="auto"/>
          <w:rtl/>
        </w:rPr>
        <w:t>(</w:t>
      </w:r>
      <w:r w:rsidRPr="00904FCB">
        <w:rPr>
          <w:rFonts w:hint="cs"/>
          <w:color w:val="auto"/>
          <w:rtl/>
        </w:rPr>
        <w:t>رفع الش</w:t>
      </w:r>
      <w:r w:rsidR="000817FF">
        <w:rPr>
          <w:rFonts w:hint="cs"/>
          <w:color w:val="auto"/>
          <w:rtl/>
        </w:rPr>
        <w:t>ُّ</w:t>
      </w:r>
      <w:r w:rsidRPr="00904FCB">
        <w:rPr>
          <w:rFonts w:hint="cs"/>
          <w:color w:val="auto"/>
          <w:rtl/>
        </w:rPr>
        <w:t>ب</w:t>
      </w:r>
      <w:r w:rsidR="000817FF">
        <w:rPr>
          <w:rFonts w:hint="cs"/>
          <w:color w:val="auto"/>
          <w:rtl/>
        </w:rPr>
        <w:t>ْ</w:t>
      </w:r>
      <w:r w:rsidRPr="00904FCB">
        <w:rPr>
          <w:rFonts w:hint="cs"/>
          <w:color w:val="auto"/>
          <w:rtl/>
        </w:rPr>
        <w:t>هة ودفع الت</w:t>
      </w:r>
      <w:r w:rsidR="00C62BF7" w:rsidRPr="00904FCB">
        <w:rPr>
          <w:rFonts w:hint="cs"/>
          <w:color w:val="auto"/>
          <w:rtl/>
        </w:rPr>
        <w:t>ُّ</w:t>
      </w:r>
      <w:r w:rsidRPr="00904FCB">
        <w:rPr>
          <w:rFonts w:hint="cs"/>
          <w:color w:val="auto"/>
          <w:rtl/>
        </w:rPr>
        <w:t>ه</w:t>
      </w:r>
      <w:r w:rsidR="000817FF">
        <w:rPr>
          <w:rFonts w:hint="cs"/>
          <w:color w:val="auto"/>
          <w:rtl/>
        </w:rPr>
        <w:t>ْ</w:t>
      </w:r>
      <w:r w:rsidRPr="00904FCB">
        <w:rPr>
          <w:rFonts w:hint="cs"/>
          <w:color w:val="auto"/>
          <w:rtl/>
        </w:rPr>
        <w:t>مة</w:t>
      </w:r>
      <w:r w:rsidR="00C62BF7" w:rsidRPr="00904FCB">
        <w:rPr>
          <w:rFonts w:hint="cs"/>
          <w:color w:val="auto"/>
          <w:rtl/>
        </w:rPr>
        <w:t>)</w:t>
      </w:r>
    </w:p>
    <w:p w:rsidR="00F34FB9" w:rsidRPr="00904FCB" w:rsidRDefault="00F34FB9" w:rsidP="007A21AA">
      <w:pPr>
        <w:spacing w:line="400" w:lineRule="exact"/>
        <w:rPr>
          <w:rFonts w:ascii="Arial" w:hAnsi="Arial"/>
          <w:sz w:val="27"/>
          <w:rtl/>
        </w:rPr>
      </w:pPr>
      <w:r w:rsidRPr="00904FCB">
        <w:rPr>
          <w:rFonts w:ascii="Arial" w:hAnsi="Arial" w:hint="cs"/>
          <w:sz w:val="27"/>
          <w:rtl/>
        </w:rPr>
        <w:t>والرسالة الأخرى التي كتبت ونُشرت رد</w:t>
      </w:r>
      <w:r w:rsidR="00C62BF7" w:rsidRPr="00904FCB">
        <w:rPr>
          <w:rFonts w:ascii="Arial" w:hAnsi="Arial" w:hint="cs"/>
          <w:sz w:val="27"/>
          <w:rtl/>
        </w:rPr>
        <w:t>ّ</w:t>
      </w:r>
      <w:r w:rsidRPr="00904FCB">
        <w:rPr>
          <w:rFonts w:ascii="Arial" w:hAnsi="Arial" w:hint="cs"/>
          <w:sz w:val="27"/>
          <w:rtl/>
        </w:rPr>
        <w:t xml:space="preserve">اً على رسالة أباطيل الحكيم هي رسالة </w:t>
      </w:r>
      <w:r w:rsidR="00C62BF7" w:rsidRPr="00904FCB">
        <w:rPr>
          <w:rFonts w:ascii="Arial" w:hAnsi="Arial" w:hint="cs"/>
          <w:sz w:val="27"/>
          <w:rtl/>
        </w:rPr>
        <w:t>(</w:t>
      </w:r>
      <w:r w:rsidRPr="00904FCB">
        <w:rPr>
          <w:rFonts w:ascii="Arial" w:hAnsi="Arial" w:hint="cs"/>
          <w:sz w:val="27"/>
          <w:rtl/>
        </w:rPr>
        <w:t>رفع الشبهة ودفع التهمة</w:t>
      </w:r>
      <w:r w:rsidR="00C62BF7" w:rsidRPr="00904FCB">
        <w:rPr>
          <w:rFonts w:ascii="Arial" w:hAnsi="Arial" w:hint="cs"/>
          <w:sz w:val="27"/>
          <w:rtl/>
        </w:rPr>
        <w:t>)،</w:t>
      </w:r>
      <w:r w:rsidRPr="00904FCB">
        <w:rPr>
          <w:rFonts w:ascii="Arial" w:hAnsi="Arial" w:hint="cs"/>
          <w:b/>
          <w:bCs/>
          <w:sz w:val="27"/>
          <w:rtl/>
        </w:rPr>
        <w:t xml:space="preserve"> </w:t>
      </w:r>
      <w:r w:rsidR="00C62BF7" w:rsidRPr="00904FCB">
        <w:rPr>
          <w:rFonts w:ascii="Arial" w:hAnsi="Arial" w:hint="cs"/>
          <w:sz w:val="27"/>
          <w:rtl/>
        </w:rPr>
        <w:t>للحاج السيد علي مولانا</w:t>
      </w:r>
      <w:r w:rsidRPr="00904FCB">
        <w:rPr>
          <w:rFonts w:ascii="Arial" w:hAnsi="Arial" w:hint="cs"/>
          <w:sz w:val="27"/>
          <w:rtl/>
        </w:rPr>
        <w:t>(</w:t>
      </w:r>
      <w:r w:rsidRPr="002831B1">
        <w:rPr>
          <w:rFonts w:ascii="Arial" w:hAnsi="Arial" w:hint="cs"/>
          <w:sz w:val="27"/>
          <w:rtl/>
        </w:rPr>
        <w:t>1320</w:t>
      </w:r>
      <w:r w:rsidRPr="00904FCB">
        <w:rPr>
          <w:rFonts w:ascii="Arial" w:hAnsi="Arial" w:hint="cs"/>
          <w:sz w:val="27"/>
          <w:rtl/>
        </w:rPr>
        <w:t xml:space="preserve"> </w:t>
      </w:r>
      <w:r w:rsidRPr="00904FCB">
        <w:rPr>
          <w:rFonts w:ascii="Arial" w:hAnsi="Arial"/>
          <w:sz w:val="27"/>
          <w:rtl/>
        </w:rPr>
        <w:t>ـ</w:t>
      </w:r>
      <w:r w:rsidR="00C62BF7" w:rsidRPr="00904FCB">
        <w:rPr>
          <w:rFonts w:ascii="Arial" w:hAnsi="Arial" w:hint="cs"/>
          <w:sz w:val="27"/>
          <w:rtl/>
        </w:rPr>
        <w:t xml:space="preserve"> </w:t>
      </w:r>
      <w:r w:rsidR="00C62BF7" w:rsidRPr="002831B1">
        <w:rPr>
          <w:rFonts w:ascii="Arial" w:hAnsi="Arial" w:hint="cs"/>
          <w:sz w:val="27"/>
          <w:rtl/>
        </w:rPr>
        <w:t>1392</w:t>
      </w:r>
      <w:r w:rsidRPr="002831B1">
        <w:rPr>
          <w:rFonts w:ascii="Arial" w:hAnsi="Arial" w:hint="cs"/>
          <w:sz w:val="27"/>
          <w:rtl/>
        </w:rPr>
        <w:t>هـ</w:t>
      </w:r>
      <w:r w:rsidRPr="00904FCB">
        <w:rPr>
          <w:rFonts w:ascii="Arial" w:hAnsi="Arial" w:hint="cs"/>
          <w:sz w:val="27"/>
          <w:rtl/>
        </w:rPr>
        <w:t>)</w:t>
      </w:r>
      <w:r w:rsidR="00C62BF7" w:rsidRPr="00904FCB">
        <w:rPr>
          <w:rFonts w:ascii="Arial" w:hAnsi="Arial" w:hint="cs"/>
          <w:sz w:val="27"/>
          <w:rtl/>
        </w:rPr>
        <w:t>،</w:t>
      </w:r>
      <w:r w:rsidRPr="00904FCB">
        <w:rPr>
          <w:rFonts w:ascii="Arial" w:hAnsi="Arial" w:hint="cs"/>
          <w:sz w:val="27"/>
          <w:rtl/>
        </w:rPr>
        <w:t xml:space="preserve"> وهو من علماء تبريز</w:t>
      </w:r>
      <w:r w:rsidR="00C62BF7" w:rsidRPr="00904FCB">
        <w:rPr>
          <w:rFonts w:ascii="Arial" w:hAnsi="Arial"/>
          <w:sz w:val="27"/>
          <w:vertAlign w:val="superscript"/>
          <w:rtl/>
        </w:rPr>
        <w:t>(</w:t>
      </w:r>
      <w:r w:rsidR="00C62BF7" w:rsidRPr="00904FCB">
        <w:rPr>
          <w:rStyle w:val="ac"/>
          <w:rFonts w:ascii="Arial" w:hAnsi="Arial"/>
          <w:sz w:val="27"/>
          <w:rtl/>
        </w:rPr>
        <w:endnoteReference w:id="709"/>
      </w:r>
      <w:r w:rsidR="00C62BF7" w:rsidRPr="00904FCB">
        <w:rPr>
          <w:rFonts w:ascii="Arial" w:hAnsi="Arial"/>
          <w:sz w:val="27"/>
          <w:vertAlign w:val="superscript"/>
          <w:rtl/>
        </w:rPr>
        <w:t>)</w:t>
      </w:r>
      <w:r w:rsidRPr="00904FCB">
        <w:rPr>
          <w:rFonts w:ascii="Arial" w:hAnsi="Arial" w:hint="cs"/>
          <w:sz w:val="27"/>
          <w:rtl/>
        </w:rPr>
        <w:t>. وهذه الرسالة نُشرت في الثاني</w:t>
      </w:r>
      <w:r w:rsidR="00C62BF7" w:rsidRPr="00904FCB">
        <w:rPr>
          <w:rFonts w:ascii="Arial" w:hAnsi="Arial" w:hint="cs"/>
          <w:sz w:val="27"/>
          <w:rtl/>
        </w:rPr>
        <w:t xml:space="preserve"> والعشرين من ذي القعدة سنة </w:t>
      </w:r>
      <w:r w:rsidR="00C62BF7" w:rsidRPr="002831B1">
        <w:rPr>
          <w:rFonts w:ascii="Arial" w:hAnsi="Arial" w:hint="cs"/>
          <w:sz w:val="27"/>
          <w:rtl/>
        </w:rPr>
        <w:t>1375</w:t>
      </w:r>
      <w:r w:rsidRPr="002831B1">
        <w:rPr>
          <w:rFonts w:ascii="Arial" w:hAnsi="Arial" w:hint="cs"/>
          <w:sz w:val="27"/>
          <w:rtl/>
        </w:rPr>
        <w:t>هـ</w:t>
      </w:r>
      <w:r w:rsidRPr="00904FCB">
        <w:rPr>
          <w:rFonts w:ascii="Arial" w:hAnsi="Arial" w:hint="cs"/>
          <w:sz w:val="27"/>
          <w:rtl/>
        </w:rPr>
        <w:t>، يعني بعد مضي سبع سنوات من نشر الأباطيل. ويبدو من مقد</w:t>
      </w:r>
      <w:r w:rsidR="00DE25D8" w:rsidRPr="00904FCB">
        <w:rPr>
          <w:rFonts w:ascii="Arial" w:hAnsi="Arial" w:hint="cs"/>
          <w:sz w:val="27"/>
          <w:rtl/>
        </w:rPr>
        <w:t>ّ</w:t>
      </w:r>
      <w:r w:rsidRPr="00904FCB">
        <w:rPr>
          <w:rFonts w:ascii="Arial" w:hAnsi="Arial" w:hint="cs"/>
          <w:sz w:val="27"/>
          <w:rtl/>
        </w:rPr>
        <w:t>متها أن مؤل</w:t>
      </w:r>
      <w:r w:rsidR="00DE25D8" w:rsidRPr="00904FCB">
        <w:rPr>
          <w:rFonts w:ascii="Arial" w:hAnsi="Arial" w:hint="cs"/>
          <w:sz w:val="27"/>
          <w:rtl/>
        </w:rPr>
        <w:t>ّ</w:t>
      </w:r>
      <w:r w:rsidRPr="00904FCB">
        <w:rPr>
          <w:rFonts w:ascii="Arial" w:hAnsi="Arial" w:hint="cs"/>
          <w:sz w:val="27"/>
          <w:rtl/>
        </w:rPr>
        <w:t>فها قد وقعت بيده تلك الرسالة متأخ</w:t>
      </w:r>
      <w:r w:rsidR="00DE25D8" w:rsidRPr="00904FCB">
        <w:rPr>
          <w:rFonts w:ascii="Arial" w:hAnsi="Arial" w:hint="cs"/>
          <w:sz w:val="27"/>
          <w:rtl/>
        </w:rPr>
        <w:t>ّ</w:t>
      </w:r>
      <w:r w:rsidRPr="00904FCB">
        <w:rPr>
          <w:rFonts w:ascii="Arial" w:hAnsi="Arial" w:hint="cs"/>
          <w:sz w:val="27"/>
          <w:rtl/>
        </w:rPr>
        <w:t xml:space="preserve">رة. ونستوحي من المقدمة </w:t>
      </w:r>
      <w:r w:rsidR="00DE25D8" w:rsidRPr="00904FCB">
        <w:rPr>
          <w:rFonts w:ascii="Arial" w:hAnsi="Arial" w:hint="cs"/>
          <w:sz w:val="27"/>
          <w:rtl/>
        </w:rPr>
        <w:t>أ</w:t>
      </w:r>
      <w:r w:rsidRPr="00904FCB">
        <w:rPr>
          <w:rFonts w:ascii="Arial" w:hAnsi="Arial" w:hint="cs"/>
          <w:sz w:val="27"/>
          <w:rtl/>
        </w:rPr>
        <w:t>ن الرسالة (الكراسة) كانت ما تزال تنشر حين رد</w:t>
      </w:r>
      <w:r w:rsidR="00DE25D8" w:rsidRPr="00904FCB">
        <w:rPr>
          <w:rFonts w:ascii="Arial" w:hAnsi="Arial" w:hint="cs"/>
          <w:sz w:val="27"/>
          <w:rtl/>
        </w:rPr>
        <w:t>ّ</w:t>
      </w:r>
      <w:r w:rsidRPr="00904FCB">
        <w:rPr>
          <w:rFonts w:ascii="Arial" w:hAnsi="Arial" w:hint="cs"/>
          <w:sz w:val="27"/>
          <w:rtl/>
        </w:rPr>
        <w:t xml:space="preserve"> عليها السيد علي مولانا، وأنها قد ترجمت في مدينة تبريز</w:t>
      </w:r>
      <w:r w:rsidRPr="00904FCB">
        <w:rPr>
          <w:rFonts w:ascii="Arial" w:hAnsi="Arial"/>
          <w:sz w:val="27"/>
          <w:rtl/>
        </w:rPr>
        <w:t xml:space="preserve"> </w:t>
      </w:r>
      <w:r w:rsidRPr="00904FCB">
        <w:rPr>
          <w:rFonts w:ascii="Arial" w:hAnsi="Arial" w:hint="cs"/>
          <w:sz w:val="27"/>
          <w:rtl/>
          <w:lang w:bidi="ar-IQ"/>
        </w:rPr>
        <w:t xml:space="preserve">الإيرانية، </w:t>
      </w:r>
      <w:r w:rsidRPr="00904FCB">
        <w:rPr>
          <w:rFonts w:ascii="Arial" w:hAnsi="Arial" w:hint="cs"/>
          <w:sz w:val="27"/>
          <w:rtl/>
        </w:rPr>
        <w:t xml:space="preserve">وتم </w:t>
      </w:r>
      <w:r w:rsidRPr="00904FCB">
        <w:rPr>
          <w:rFonts w:ascii="Arial" w:hAnsi="Arial" w:hint="cs"/>
          <w:sz w:val="27"/>
          <w:rtl/>
        </w:rPr>
        <w:lastRenderedPageBreak/>
        <w:t>إرسالها إلى البيوت بالبريد. وقد جاء في المقد</w:t>
      </w:r>
      <w:r w:rsidR="00DE25D8" w:rsidRPr="00904FCB">
        <w:rPr>
          <w:rFonts w:ascii="Arial" w:hAnsi="Arial" w:hint="cs"/>
          <w:sz w:val="27"/>
          <w:rtl/>
        </w:rPr>
        <w:t>ّ</w:t>
      </w:r>
      <w:r w:rsidRPr="00904FCB">
        <w:rPr>
          <w:rFonts w:ascii="Arial" w:hAnsi="Arial" w:hint="cs"/>
          <w:sz w:val="27"/>
          <w:rtl/>
        </w:rPr>
        <w:t xml:space="preserve">مة: </w:t>
      </w:r>
      <w:r w:rsidRPr="00904FCB">
        <w:rPr>
          <w:rFonts w:hint="eastAsia"/>
          <w:sz w:val="27"/>
          <w:rtl/>
        </w:rPr>
        <w:t>«</w:t>
      </w:r>
      <w:r w:rsidRPr="00904FCB">
        <w:rPr>
          <w:rFonts w:ascii="Arial" w:hAnsi="Arial" w:hint="cs"/>
          <w:sz w:val="27"/>
          <w:rtl/>
        </w:rPr>
        <w:t>قبل عدة أيام عرض عليّ</w:t>
      </w:r>
      <w:r w:rsidR="00DE25D8" w:rsidRPr="00904FCB">
        <w:rPr>
          <w:rFonts w:ascii="Arial" w:hAnsi="Arial" w:hint="cs"/>
          <w:sz w:val="27"/>
          <w:rtl/>
        </w:rPr>
        <w:t>َ</w:t>
      </w:r>
      <w:r w:rsidRPr="00904FCB">
        <w:rPr>
          <w:rFonts w:ascii="Arial" w:hAnsi="Arial" w:hint="cs"/>
          <w:sz w:val="27"/>
          <w:rtl/>
        </w:rPr>
        <w:t xml:space="preserve"> بعض المؤمنين من التجار الخي</w:t>
      </w:r>
      <w:r w:rsidR="00DE25D8" w:rsidRPr="00904FCB">
        <w:rPr>
          <w:rFonts w:ascii="Arial" w:hAnsi="Arial" w:hint="cs"/>
          <w:sz w:val="27"/>
          <w:rtl/>
        </w:rPr>
        <w:t>ِّ</w:t>
      </w:r>
      <w:r w:rsidRPr="00904FCB">
        <w:rPr>
          <w:rFonts w:ascii="Arial" w:hAnsi="Arial" w:hint="cs"/>
          <w:sz w:val="27"/>
          <w:rtl/>
        </w:rPr>
        <w:t>رين حين التقيت</w:t>
      </w:r>
      <w:r w:rsidR="00DE25D8" w:rsidRPr="00904FCB">
        <w:rPr>
          <w:rFonts w:ascii="Arial" w:hAnsi="Arial" w:hint="cs"/>
          <w:sz w:val="27"/>
          <w:rtl/>
        </w:rPr>
        <w:t>ُ</w:t>
      </w:r>
      <w:r w:rsidRPr="00904FCB">
        <w:rPr>
          <w:rFonts w:ascii="Arial" w:hAnsi="Arial" w:hint="cs"/>
          <w:sz w:val="27"/>
          <w:rtl/>
        </w:rPr>
        <w:t xml:space="preserve"> بهم كر</w:t>
      </w:r>
      <w:r w:rsidR="00DE25D8" w:rsidRPr="00904FCB">
        <w:rPr>
          <w:rFonts w:ascii="Arial" w:hAnsi="Arial" w:hint="cs"/>
          <w:sz w:val="27"/>
          <w:rtl/>
        </w:rPr>
        <w:t>ّ</w:t>
      </w:r>
      <w:r w:rsidRPr="00904FCB">
        <w:rPr>
          <w:rFonts w:ascii="Arial" w:hAnsi="Arial" w:hint="cs"/>
          <w:sz w:val="27"/>
          <w:rtl/>
        </w:rPr>
        <w:t>اسة، مكتوب على غلافها بخط</w:t>
      </w:r>
      <w:r w:rsidR="00DE25D8" w:rsidRPr="00904FCB">
        <w:rPr>
          <w:rFonts w:ascii="Arial" w:hAnsi="Arial" w:hint="cs"/>
          <w:sz w:val="27"/>
          <w:rtl/>
        </w:rPr>
        <w:t>ٍّ</w:t>
      </w:r>
      <w:r w:rsidRPr="00904FCB">
        <w:rPr>
          <w:rFonts w:ascii="Arial" w:hAnsi="Arial" w:hint="cs"/>
          <w:sz w:val="27"/>
          <w:rtl/>
        </w:rPr>
        <w:t xml:space="preserve"> كبير: أباطيل الحكيم [كذا]. وقد تناولت الكراسة وقرأتها كل</w:t>
      </w:r>
      <w:r w:rsidR="00DE25D8" w:rsidRPr="00904FCB">
        <w:rPr>
          <w:rFonts w:ascii="Arial" w:hAnsi="Arial" w:hint="cs"/>
          <w:sz w:val="27"/>
          <w:rtl/>
        </w:rPr>
        <w:t>ّ</w:t>
      </w:r>
      <w:r w:rsidRPr="00904FCB">
        <w:rPr>
          <w:rFonts w:ascii="Arial" w:hAnsi="Arial" w:hint="cs"/>
          <w:sz w:val="27"/>
          <w:rtl/>
        </w:rPr>
        <w:t>ها</w:t>
      </w:r>
      <w:r w:rsidR="00DE25D8" w:rsidRPr="00904FCB">
        <w:rPr>
          <w:rFonts w:ascii="Arial" w:hAnsi="Arial" w:hint="cs"/>
          <w:sz w:val="27"/>
          <w:rtl/>
        </w:rPr>
        <w:t>،</w:t>
      </w:r>
      <w:r w:rsidRPr="00904FCB">
        <w:rPr>
          <w:rFonts w:ascii="Arial" w:hAnsi="Arial" w:hint="cs"/>
          <w:sz w:val="27"/>
          <w:rtl/>
        </w:rPr>
        <w:t xml:space="preserve"> من أولها إلى آخرها</w:t>
      </w:r>
      <w:r w:rsidR="00DE25D8" w:rsidRPr="00904FCB">
        <w:rPr>
          <w:rFonts w:ascii="Arial" w:hAnsi="Arial" w:hint="cs"/>
          <w:sz w:val="27"/>
          <w:rtl/>
        </w:rPr>
        <w:t>،</w:t>
      </w:r>
      <w:r w:rsidRPr="00904FCB">
        <w:rPr>
          <w:rFonts w:ascii="Arial" w:hAnsi="Arial" w:hint="cs"/>
          <w:sz w:val="27"/>
          <w:rtl/>
        </w:rPr>
        <w:t xml:space="preserve"> ورأيت أنها تشتمل على نفس تلك الافتراءات الواهية التي أطلقها أحد المبعدين عن إيران إلى العراق على </w:t>
      </w:r>
      <w:r w:rsidR="00DE25D8" w:rsidRPr="00904FCB">
        <w:rPr>
          <w:rFonts w:ascii="Arial" w:hAnsi="Arial" w:hint="cs"/>
          <w:sz w:val="27"/>
          <w:rtl/>
        </w:rPr>
        <w:t>آ</w:t>
      </w:r>
      <w:r w:rsidRPr="00904FCB">
        <w:rPr>
          <w:rFonts w:ascii="Arial" w:hAnsi="Arial" w:hint="cs"/>
          <w:sz w:val="27"/>
          <w:rtl/>
        </w:rPr>
        <w:t>ية الله الحكيم، ونفس تلك الأكاذيب التي لا أساس لها التي حاكها عميل</w:t>
      </w:r>
      <w:r w:rsidR="00DE25D8" w:rsidRPr="00904FCB">
        <w:rPr>
          <w:rFonts w:ascii="Arial" w:hAnsi="Arial" w:hint="cs"/>
          <w:sz w:val="27"/>
          <w:rtl/>
        </w:rPr>
        <w:t>ٌ</w:t>
      </w:r>
      <w:r w:rsidRPr="00904FCB">
        <w:rPr>
          <w:rFonts w:ascii="Arial" w:hAnsi="Arial" w:hint="cs"/>
          <w:sz w:val="27"/>
          <w:rtl/>
        </w:rPr>
        <w:t xml:space="preserve"> للأجنبي</w:t>
      </w:r>
      <w:r w:rsidR="00DE25D8" w:rsidRPr="00904FCB">
        <w:rPr>
          <w:rFonts w:ascii="Arial" w:hAnsi="Arial" w:hint="cs"/>
          <w:sz w:val="27"/>
          <w:rtl/>
        </w:rPr>
        <w:t>ّ</w:t>
      </w:r>
      <w:r w:rsidRPr="00904FCB">
        <w:rPr>
          <w:rFonts w:ascii="Arial" w:hAnsi="Arial" w:hint="cs"/>
          <w:sz w:val="27"/>
          <w:rtl/>
        </w:rPr>
        <w:t xml:space="preserve"> مقيم</w:t>
      </w:r>
      <w:r w:rsidR="00DE25D8" w:rsidRPr="00904FCB">
        <w:rPr>
          <w:rFonts w:ascii="Arial" w:hAnsi="Arial" w:hint="cs"/>
          <w:sz w:val="27"/>
          <w:rtl/>
        </w:rPr>
        <w:t>ٌ</w:t>
      </w:r>
      <w:r w:rsidRPr="00904FCB">
        <w:rPr>
          <w:rFonts w:ascii="Arial" w:hAnsi="Arial" w:hint="cs"/>
          <w:sz w:val="27"/>
          <w:rtl/>
        </w:rPr>
        <w:t xml:space="preserve"> في النجف</w:t>
      </w:r>
      <w:r w:rsidRPr="00904FCB">
        <w:rPr>
          <w:rFonts w:ascii="Arial" w:hAnsi="Arial"/>
          <w:sz w:val="27"/>
          <w:vertAlign w:val="superscript"/>
          <w:rtl/>
        </w:rPr>
        <w:t>(</w:t>
      </w:r>
      <w:r w:rsidRPr="00904FCB">
        <w:rPr>
          <w:rStyle w:val="ac"/>
          <w:rFonts w:ascii="Arial" w:hAnsi="Arial"/>
          <w:sz w:val="27"/>
          <w:rtl/>
        </w:rPr>
        <w:endnoteReference w:id="710"/>
      </w:r>
      <w:r w:rsidRPr="00904FCB">
        <w:rPr>
          <w:rFonts w:ascii="Arial" w:hAnsi="Arial"/>
          <w:sz w:val="27"/>
          <w:vertAlign w:val="superscript"/>
          <w:rtl/>
        </w:rPr>
        <w:t>)</w:t>
      </w:r>
      <w:r w:rsidR="00DE25D8" w:rsidRPr="00904FCB">
        <w:rPr>
          <w:rFonts w:ascii="Arial" w:hAnsi="Arial" w:hint="cs"/>
          <w:sz w:val="27"/>
          <w:rtl/>
        </w:rPr>
        <w:t>،</w:t>
      </w:r>
      <w:r w:rsidRPr="00904FCB">
        <w:rPr>
          <w:rFonts w:ascii="Arial" w:hAnsi="Arial" w:hint="cs"/>
          <w:sz w:val="27"/>
          <w:rtl/>
        </w:rPr>
        <w:t xml:space="preserve"> متست</w:t>
      </w:r>
      <w:r w:rsidR="00DE25D8" w:rsidRPr="00904FCB">
        <w:rPr>
          <w:rFonts w:ascii="Arial" w:hAnsi="Arial" w:hint="cs"/>
          <w:sz w:val="27"/>
          <w:rtl/>
        </w:rPr>
        <w:t>ِّ</w:t>
      </w:r>
      <w:r w:rsidRPr="00904FCB">
        <w:rPr>
          <w:rFonts w:ascii="Arial" w:hAnsi="Arial" w:hint="cs"/>
          <w:sz w:val="27"/>
          <w:rtl/>
        </w:rPr>
        <w:t>ر تحت عنوان الهيئة العلمي</w:t>
      </w:r>
      <w:r w:rsidR="00DE25D8" w:rsidRPr="00904FCB">
        <w:rPr>
          <w:rFonts w:ascii="Arial" w:hAnsi="Arial" w:hint="cs"/>
          <w:sz w:val="27"/>
          <w:rtl/>
        </w:rPr>
        <w:t>ّ</w:t>
      </w:r>
      <w:r w:rsidRPr="00904FCB">
        <w:rPr>
          <w:rFonts w:ascii="Arial" w:hAnsi="Arial" w:hint="cs"/>
          <w:sz w:val="27"/>
          <w:rtl/>
        </w:rPr>
        <w:t>ة، وأرسلت إلى مدينة تبريز بواسطة شخص</w:t>
      </w:r>
      <w:r w:rsidR="00DE25D8" w:rsidRPr="00904FCB">
        <w:rPr>
          <w:rFonts w:ascii="Arial" w:hAnsi="Arial" w:hint="cs"/>
          <w:sz w:val="27"/>
          <w:rtl/>
        </w:rPr>
        <w:t>ٍ</w:t>
      </w:r>
      <w:r w:rsidRPr="00904FCB">
        <w:rPr>
          <w:rFonts w:ascii="Arial" w:hAnsi="Arial" w:hint="cs"/>
          <w:sz w:val="27"/>
          <w:rtl/>
        </w:rPr>
        <w:t xml:space="preserve"> يتاجر بالحج</w:t>
      </w:r>
      <w:r w:rsidR="00DE25D8" w:rsidRPr="00904FCB">
        <w:rPr>
          <w:rFonts w:ascii="Arial" w:hAnsi="Arial" w:hint="cs"/>
          <w:sz w:val="27"/>
          <w:rtl/>
        </w:rPr>
        <w:t>ّ</w:t>
      </w:r>
      <w:r w:rsidRPr="00904FCB">
        <w:rPr>
          <w:rFonts w:hint="eastAsia"/>
          <w:sz w:val="27"/>
          <w:rtl/>
        </w:rPr>
        <w:t>»</w:t>
      </w:r>
      <w:r w:rsidRPr="00904FCB">
        <w:rPr>
          <w:sz w:val="27"/>
          <w:vertAlign w:val="superscript"/>
          <w:rtl/>
        </w:rPr>
        <w:t>(</w:t>
      </w:r>
      <w:r w:rsidRPr="00904FCB">
        <w:rPr>
          <w:rStyle w:val="ac"/>
          <w:sz w:val="27"/>
          <w:rtl/>
        </w:rPr>
        <w:endnoteReference w:id="711"/>
      </w:r>
      <w:r w:rsidRPr="00904FCB">
        <w:rPr>
          <w:sz w:val="27"/>
          <w:vertAlign w:val="superscript"/>
          <w:rtl/>
        </w:rPr>
        <w:t>)</w:t>
      </w:r>
      <w:r w:rsidRPr="00904FCB">
        <w:rPr>
          <w:rFonts w:ascii="Arial" w:hAnsi="Arial" w:hint="cs"/>
          <w:sz w:val="27"/>
          <w:rtl/>
        </w:rPr>
        <w:t xml:space="preserve">. </w:t>
      </w:r>
    </w:p>
    <w:p w:rsidR="00F34FB9" w:rsidRPr="00904FCB" w:rsidRDefault="00F34FB9" w:rsidP="007A21AA">
      <w:pPr>
        <w:spacing w:line="400" w:lineRule="exact"/>
        <w:rPr>
          <w:rFonts w:ascii="Arial" w:hAnsi="Arial"/>
          <w:sz w:val="27"/>
          <w:rtl/>
        </w:rPr>
      </w:pPr>
      <w:r w:rsidRPr="00904FCB">
        <w:rPr>
          <w:rFonts w:ascii="Arial" w:hAnsi="Arial" w:hint="cs"/>
          <w:sz w:val="27"/>
          <w:rtl/>
        </w:rPr>
        <w:t xml:space="preserve"> والأمر اللافت للنظر هو أنه من المحتمل أن السيد مولانا قد اط</w:t>
      </w:r>
      <w:r w:rsidR="00DE25D8" w:rsidRPr="00904FCB">
        <w:rPr>
          <w:rFonts w:ascii="Arial" w:hAnsi="Arial" w:hint="cs"/>
          <w:sz w:val="27"/>
          <w:rtl/>
        </w:rPr>
        <w:t>ّ</w:t>
      </w:r>
      <w:r w:rsidRPr="00904FCB">
        <w:rPr>
          <w:rFonts w:ascii="Arial" w:hAnsi="Arial" w:hint="cs"/>
          <w:sz w:val="27"/>
          <w:rtl/>
        </w:rPr>
        <w:t>لع</w:t>
      </w:r>
      <w:r w:rsidR="00DE25D8" w:rsidRPr="00904FCB">
        <w:rPr>
          <w:rFonts w:ascii="Arial" w:hAnsi="Arial" w:hint="cs"/>
          <w:sz w:val="27"/>
          <w:rtl/>
        </w:rPr>
        <w:t>؛</w:t>
      </w:r>
      <w:r w:rsidRPr="00904FCB">
        <w:rPr>
          <w:rFonts w:ascii="Arial" w:hAnsi="Arial" w:hint="cs"/>
          <w:sz w:val="27"/>
          <w:rtl/>
        </w:rPr>
        <w:t xml:space="preserve"> استناداً إلى مصادره الخاص</w:t>
      </w:r>
      <w:r w:rsidR="00DE25D8" w:rsidRPr="00904FCB">
        <w:rPr>
          <w:rFonts w:ascii="Arial" w:hAnsi="Arial" w:hint="cs"/>
          <w:sz w:val="27"/>
          <w:rtl/>
        </w:rPr>
        <w:t>ّ</w:t>
      </w:r>
      <w:r w:rsidRPr="00904FCB">
        <w:rPr>
          <w:rFonts w:ascii="Arial" w:hAnsi="Arial" w:hint="cs"/>
          <w:sz w:val="27"/>
          <w:rtl/>
        </w:rPr>
        <w:t>ة</w:t>
      </w:r>
      <w:r w:rsidR="00DE25D8" w:rsidRPr="00904FCB">
        <w:rPr>
          <w:rFonts w:ascii="Arial" w:hAnsi="Arial" w:hint="cs"/>
          <w:sz w:val="27"/>
          <w:rtl/>
        </w:rPr>
        <w:t>،</w:t>
      </w:r>
      <w:r w:rsidRPr="00904FCB">
        <w:rPr>
          <w:rFonts w:ascii="Arial" w:hAnsi="Arial" w:hint="cs"/>
          <w:sz w:val="27"/>
          <w:rtl/>
        </w:rPr>
        <w:t xml:space="preserve"> على كيفية إرسال هذه الرسالة، وعرف م</w:t>
      </w:r>
      <w:r w:rsidR="00DE25D8" w:rsidRPr="00904FCB">
        <w:rPr>
          <w:rFonts w:ascii="Arial" w:hAnsi="Arial" w:hint="cs"/>
          <w:sz w:val="27"/>
          <w:rtl/>
        </w:rPr>
        <w:t>َ</w:t>
      </w:r>
      <w:r w:rsidRPr="00904FCB">
        <w:rPr>
          <w:rFonts w:ascii="Arial" w:hAnsi="Arial" w:hint="cs"/>
          <w:sz w:val="27"/>
          <w:rtl/>
        </w:rPr>
        <w:t>ن</w:t>
      </w:r>
      <w:r w:rsidR="00DE25D8" w:rsidRPr="00904FCB">
        <w:rPr>
          <w:rFonts w:ascii="Arial" w:hAnsi="Arial" w:hint="cs"/>
          <w:sz w:val="27"/>
          <w:rtl/>
        </w:rPr>
        <w:t>ْ</w:t>
      </w:r>
      <w:r w:rsidRPr="00904FCB">
        <w:rPr>
          <w:rFonts w:ascii="Arial" w:hAnsi="Arial" w:hint="cs"/>
          <w:sz w:val="27"/>
          <w:rtl/>
        </w:rPr>
        <w:t xml:space="preserve"> الذي قام بإيصالها من النجف إلى تبريز</w:t>
      </w:r>
      <w:r w:rsidR="00DE25D8" w:rsidRPr="00904FCB">
        <w:rPr>
          <w:rFonts w:ascii="Arial" w:hAnsi="Arial" w:hint="cs"/>
          <w:sz w:val="27"/>
          <w:rtl/>
        </w:rPr>
        <w:t>،</w:t>
      </w:r>
      <w:r w:rsidRPr="00904FCB">
        <w:rPr>
          <w:rFonts w:ascii="Arial" w:hAnsi="Arial" w:hint="cs"/>
          <w:sz w:val="27"/>
          <w:rtl/>
        </w:rPr>
        <w:t xml:space="preserve"> حيث ترجمت هناك وو</w:t>
      </w:r>
      <w:r w:rsidR="00DE25D8" w:rsidRPr="00904FCB">
        <w:rPr>
          <w:rFonts w:ascii="Arial" w:hAnsi="Arial" w:hint="cs"/>
          <w:sz w:val="27"/>
          <w:rtl/>
        </w:rPr>
        <w:t>ُ</w:t>
      </w:r>
      <w:r w:rsidRPr="00904FCB">
        <w:rPr>
          <w:rFonts w:ascii="Arial" w:hAnsi="Arial" w:hint="cs"/>
          <w:sz w:val="27"/>
          <w:rtl/>
        </w:rPr>
        <w:t>ز</w:t>
      </w:r>
      <w:r w:rsidR="00DE25D8" w:rsidRPr="00904FCB">
        <w:rPr>
          <w:rFonts w:ascii="Arial" w:hAnsi="Arial" w:hint="cs"/>
          <w:sz w:val="27"/>
          <w:rtl/>
        </w:rPr>
        <w:t>ِّ</w:t>
      </w:r>
      <w:r w:rsidRPr="00904FCB">
        <w:rPr>
          <w:rFonts w:ascii="Arial" w:hAnsi="Arial" w:hint="cs"/>
          <w:sz w:val="27"/>
          <w:rtl/>
        </w:rPr>
        <w:t xml:space="preserve">عت، وأنها لم تترجم وتطبع في النجف. وعبارته كالتالي: </w:t>
      </w:r>
      <w:r w:rsidRPr="00904FCB">
        <w:rPr>
          <w:rFonts w:hint="eastAsia"/>
          <w:sz w:val="27"/>
          <w:rtl/>
        </w:rPr>
        <w:t>«</w:t>
      </w:r>
      <w:r w:rsidRPr="00904FCB">
        <w:rPr>
          <w:rFonts w:ascii="Arial" w:hAnsi="Arial" w:hint="cs"/>
          <w:sz w:val="27"/>
          <w:rtl/>
        </w:rPr>
        <w:t>في هذه الأيام قام بعض المفسدين المتلب</w:t>
      </w:r>
      <w:r w:rsidR="00DE25D8" w:rsidRPr="00904FCB">
        <w:rPr>
          <w:rFonts w:ascii="Arial" w:hAnsi="Arial" w:hint="cs"/>
          <w:sz w:val="27"/>
          <w:rtl/>
        </w:rPr>
        <w:t>ِّ</w:t>
      </w:r>
      <w:r w:rsidRPr="00904FCB">
        <w:rPr>
          <w:rFonts w:ascii="Arial" w:hAnsi="Arial" w:hint="cs"/>
          <w:sz w:val="27"/>
          <w:rtl/>
        </w:rPr>
        <w:t>سين بلباس أهل العلم</w:t>
      </w:r>
      <w:r w:rsidR="00DE25D8" w:rsidRPr="00904FCB">
        <w:rPr>
          <w:rFonts w:ascii="Arial" w:hAnsi="Arial" w:hint="cs"/>
          <w:sz w:val="27"/>
          <w:rtl/>
        </w:rPr>
        <w:t>،</w:t>
      </w:r>
      <w:r w:rsidRPr="00904FCB">
        <w:rPr>
          <w:rFonts w:ascii="Arial" w:hAnsi="Arial" w:hint="cs"/>
          <w:sz w:val="27"/>
          <w:rtl/>
        </w:rPr>
        <w:t xml:space="preserve"> مم</w:t>
      </w:r>
      <w:r w:rsidR="00DE25D8" w:rsidRPr="00904FCB">
        <w:rPr>
          <w:rFonts w:ascii="Arial" w:hAnsi="Arial" w:hint="cs"/>
          <w:sz w:val="27"/>
          <w:rtl/>
        </w:rPr>
        <w:t>َّ</w:t>
      </w:r>
      <w:r w:rsidRPr="00904FCB">
        <w:rPr>
          <w:rFonts w:ascii="Arial" w:hAnsi="Arial" w:hint="cs"/>
          <w:sz w:val="27"/>
          <w:rtl/>
        </w:rPr>
        <w:t>ن</w:t>
      </w:r>
      <w:r w:rsidR="00DE25D8" w:rsidRPr="00904FCB">
        <w:rPr>
          <w:rFonts w:ascii="Arial" w:hAnsi="Arial" w:hint="cs"/>
          <w:sz w:val="27"/>
          <w:rtl/>
        </w:rPr>
        <w:t>ْ</w:t>
      </w:r>
      <w:r w:rsidRPr="00904FCB">
        <w:rPr>
          <w:rFonts w:ascii="Arial" w:hAnsi="Arial" w:hint="cs"/>
          <w:sz w:val="27"/>
          <w:rtl/>
        </w:rPr>
        <w:t xml:space="preserve"> هو على علاقة</w:t>
      </w:r>
      <w:r w:rsidR="00DE25D8" w:rsidRPr="00904FCB">
        <w:rPr>
          <w:rFonts w:ascii="Arial" w:hAnsi="Arial" w:hint="cs"/>
          <w:sz w:val="27"/>
          <w:rtl/>
        </w:rPr>
        <w:t>ٍ</w:t>
      </w:r>
      <w:r w:rsidRPr="00904FCB">
        <w:rPr>
          <w:rFonts w:ascii="Arial" w:hAnsi="Arial" w:hint="cs"/>
          <w:sz w:val="27"/>
          <w:rtl/>
        </w:rPr>
        <w:t xml:space="preserve"> ببعض التج</w:t>
      </w:r>
      <w:r w:rsidR="00DE25D8" w:rsidRPr="00904FCB">
        <w:rPr>
          <w:rFonts w:ascii="Arial" w:hAnsi="Arial" w:hint="cs"/>
          <w:sz w:val="27"/>
          <w:rtl/>
        </w:rPr>
        <w:t>ّ</w:t>
      </w:r>
      <w:r w:rsidRPr="00904FCB">
        <w:rPr>
          <w:rFonts w:ascii="Arial" w:hAnsi="Arial" w:hint="cs"/>
          <w:sz w:val="27"/>
          <w:rtl/>
        </w:rPr>
        <w:t>ار</w:t>
      </w:r>
      <w:r w:rsidR="00DE25D8" w:rsidRPr="00904FCB">
        <w:rPr>
          <w:rFonts w:ascii="Arial" w:hAnsi="Arial" w:hint="cs"/>
          <w:sz w:val="27"/>
          <w:rtl/>
        </w:rPr>
        <w:t>،</w:t>
      </w:r>
      <w:r w:rsidRPr="00904FCB">
        <w:rPr>
          <w:rFonts w:ascii="Arial" w:hAnsi="Arial" w:hint="cs"/>
          <w:sz w:val="27"/>
          <w:rtl/>
        </w:rPr>
        <w:t xml:space="preserve"> بترجمة تلك الرسالة، وقام بتوزيعها عن طريق البريد الداخلي</w:t>
      </w:r>
      <w:r w:rsidR="00DE25D8" w:rsidRPr="00904FCB">
        <w:rPr>
          <w:rFonts w:ascii="Arial" w:hAnsi="Arial" w:hint="cs"/>
          <w:sz w:val="27"/>
          <w:rtl/>
        </w:rPr>
        <w:t>،</w:t>
      </w:r>
      <w:r w:rsidRPr="00904FCB">
        <w:rPr>
          <w:rFonts w:ascii="Arial" w:hAnsi="Arial" w:hint="cs"/>
          <w:sz w:val="27"/>
          <w:rtl/>
        </w:rPr>
        <w:t xml:space="preserve"> وإيصالها إلى المتاجر والمحلات</w:t>
      </w:r>
      <w:r w:rsidR="00DE25D8" w:rsidRPr="00904FCB">
        <w:rPr>
          <w:rFonts w:ascii="Arial" w:hAnsi="Arial" w:hint="cs"/>
          <w:sz w:val="27"/>
          <w:rtl/>
        </w:rPr>
        <w:t>.</w:t>
      </w:r>
      <w:r w:rsidRPr="00904FCB">
        <w:rPr>
          <w:rFonts w:ascii="Arial" w:hAnsi="Arial" w:hint="cs"/>
          <w:sz w:val="27"/>
          <w:rtl/>
        </w:rPr>
        <w:t xml:space="preserve"> ولأجل إضلال العوام وقّع في نهايتها تحت عنوان: الهيئة العلمية في النجف</w:t>
      </w:r>
      <w:r w:rsidR="00DE25D8" w:rsidRPr="00904FCB">
        <w:rPr>
          <w:rFonts w:ascii="Arial" w:hAnsi="Arial" w:hint="cs"/>
          <w:sz w:val="27"/>
          <w:rtl/>
        </w:rPr>
        <w:t>؛</w:t>
      </w:r>
      <w:r w:rsidRPr="00904FCB">
        <w:rPr>
          <w:rFonts w:ascii="Arial" w:hAnsi="Arial" w:hint="cs"/>
          <w:sz w:val="27"/>
          <w:rtl/>
        </w:rPr>
        <w:t xml:space="preserve"> ليوهم أنها مطبوعة</w:t>
      </w:r>
      <w:r w:rsidR="00DE25D8" w:rsidRPr="00904FCB">
        <w:rPr>
          <w:rFonts w:ascii="Arial" w:hAnsi="Arial" w:hint="cs"/>
          <w:sz w:val="27"/>
          <w:rtl/>
        </w:rPr>
        <w:t>ٌ</w:t>
      </w:r>
      <w:r w:rsidRPr="00904FCB">
        <w:rPr>
          <w:rFonts w:ascii="Arial" w:hAnsi="Arial" w:hint="cs"/>
          <w:sz w:val="27"/>
          <w:rtl/>
        </w:rPr>
        <w:t xml:space="preserve"> هناك، بينما نرى أن سعر هذه الرسالة المدو</w:t>
      </w:r>
      <w:r w:rsidR="00DE25D8" w:rsidRPr="00904FCB">
        <w:rPr>
          <w:rFonts w:ascii="Arial" w:hAnsi="Arial" w:hint="cs"/>
          <w:sz w:val="27"/>
          <w:rtl/>
        </w:rPr>
        <w:t>َّ</w:t>
      </w:r>
      <w:r w:rsidRPr="00904FCB">
        <w:rPr>
          <w:rFonts w:ascii="Arial" w:hAnsi="Arial" w:hint="cs"/>
          <w:sz w:val="27"/>
          <w:rtl/>
        </w:rPr>
        <w:t xml:space="preserve">ن عليها هو </w:t>
      </w:r>
      <w:r w:rsidRPr="002831B1">
        <w:rPr>
          <w:rFonts w:ascii="Arial" w:hAnsi="Arial" w:hint="cs"/>
          <w:sz w:val="27"/>
          <w:rtl/>
        </w:rPr>
        <w:t>2</w:t>
      </w:r>
      <w:r w:rsidRPr="00904FCB">
        <w:rPr>
          <w:rFonts w:ascii="Arial" w:hAnsi="Arial" w:hint="cs"/>
          <w:sz w:val="27"/>
          <w:rtl/>
        </w:rPr>
        <w:t xml:space="preserve"> ريال، وقد غفل عن أن الريال هو عملة إيران</w:t>
      </w:r>
      <w:r w:rsidR="00DE25D8" w:rsidRPr="00904FCB">
        <w:rPr>
          <w:rFonts w:ascii="Arial" w:hAnsi="Arial" w:hint="cs"/>
          <w:sz w:val="27"/>
          <w:rtl/>
        </w:rPr>
        <w:t>،</w:t>
      </w:r>
      <w:r w:rsidRPr="00904FCB">
        <w:rPr>
          <w:rFonts w:ascii="Arial" w:hAnsi="Arial" w:hint="cs"/>
          <w:sz w:val="27"/>
          <w:rtl/>
        </w:rPr>
        <w:t xml:space="preserve"> لا العراق</w:t>
      </w:r>
      <w:r w:rsidRPr="00904FCB">
        <w:rPr>
          <w:rFonts w:hint="eastAsia"/>
          <w:sz w:val="27"/>
          <w:rtl/>
        </w:rPr>
        <w:t>»</w:t>
      </w:r>
      <w:r w:rsidRPr="00904FCB">
        <w:rPr>
          <w:sz w:val="27"/>
          <w:vertAlign w:val="superscript"/>
          <w:rtl/>
        </w:rPr>
        <w:t>(</w:t>
      </w:r>
      <w:r w:rsidRPr="00904FCB">
        <w:rPr>
          <w:rStyle w:val="ac"/>
          <w:sz w:val="27"/>
          <w:rtl/>
        </w:rPr>
        <w:endnoteReference w:id="712"/>
      </w:r>
      <w:r w:rsidRPr="00904FCB">
        <w:rPr>
          <w:sz w:val="27"/>
          <w:vertAlign w:val="superscript"/>
          <w:rtl/>
        </w:rPr>
        <w:t>)</w:t>
      </w:r>
      <w:r w:rsidRPr="00904FCB">
        <w:rPr>
          <w:rFonts w:ascii="Arial" w:hAnsi="Arial" w:hint="cs"/>
          <w:sz w:val="27"/>
          <w:rtl/>
        </w:rPr>
        <w:t xml:space="preserve">. </w:t>
      </w:r>
    </w:p>
    <w:p w:rsidR="00F34FB9" w:rsidRPr="00904FCB" w:rsidRDefault="00F34FB9" w:rsidP="007A21AA">
      <w:pPr>
        <w:spacing w:line="400" w:lineRule="exact"/>
        <w:rPr>
          <w:rFonts w:ascii="Arial" w:hAnsi="Arial"/>
          <w:sz w:val="27"/>
          <w:rtl/>
        </w:rPr>
      </w:pPr>
      <w:r w:rsidRPr="00904FCB">
        <w:rPr>
          <w:rFonts w:ascii="Arial" w:hAnsi="Arial" w:hint="cs"/>
          <w:sz w:val="27"/>
          <w:rtl/>
        </w:rPr>
        <w:t>ولكن</w:t>
      </w:r>
      <w:r w:rsidR="00DE25D8" w:rsidRPr="00904FCB">
        <w:rPr>
          <w:rFonts w:ascii="Arial" w:hAnsi="Arial" w:hint="cs"/>
          <w:sz w:val="27"/>
          <w:rtl/>
        </w:rPr>
        <w:t>ْ</w:t>
      </w:r>
      <w:r w:rsidRPr="00904FCB">
        <w:rPr>
          <w:rFonts w:ascii="Arial" w:hAnsi="Arial" w:hint="cs"/>
          <w:sz w:val="27"/>
          <w:rtl/>
        </w:rPr>
        <w:t xml:space="preserve"> بما أن العلا</w:t>
      </w:r>
      <w:r w:rsidR="00DE25D8" w:rsidRPr="00904FCB">
        <w:rPr>
          <w:rFonts w:ascii="Arial" w:hAnsi="Arial" w:hint="cs"/>
          <w:sz w:val="27"/>
          <w:rtl/>
        </w:rPr>
        <w:t>ّ</w:t>
      </w:r>
      <w:r w:rsidRPr="00904FCB">
        <w:rPr>
          <w:rFonts w:ascii="Arial" w:hAnsi="Arial" w:hint="cs"/>
          <w:sz w:val="27"/>
          <w:rtl/>
        </w:rPr>
        <w:t>مة الأميني وغيره في النجف قد اط</w:t>
      </w:r>
      <w:r w:rsidR="00DE25D8" w:rsidRPr="00904FCB">
        <w:rPr>
          <w:rFonts w:ascii="Arial" w:hAnsi="Arial" w:hint="cs"/>
          <w:sz w:val="27"/>
          <w:rtl/>
        </w:rPr>
        <w:t>َّ</w:t>
      </w:r>
      <w:r w:rsidRPr="00904FCB">
        <w:rPr>
          <w:rFonts w:ascii="Arial" w:hAnsi="Arial" w:hint="cs"/>
          <w:sz w:val="27"/>
          <w:rtl/>
        </w:rPr>
        <w:t>لعوا على نص</w:t>
      </w:r>
      <w:r w:rsidR="00DE25D8" w:rsidRPr="00904FCB">
        <w:rPr>
          <w:rFonts w:ascii="Arial" w:hAnsi="Arial" w:hint="cs"/>
          <w:sz w:val="27"/>
          <w:rtl/>
        </w:rPr>
        <w:t>ّ</w:t>
      </w:r>
      <w:r w:rsidRPr="00904FCB">
        <w:rPr>
          <w:rFonts w:ascii="Arial" w:hAnsi="Arial" w:hint="cs"/>
          <w:sz w:val="27"/>
          <w:rtl/>
        </w:rPr>
        <w:t xml:space="preserve"> الرسالة المطبوعة، فمن المستبعد أنها ط</w:t>
      </w:r>
      <w:r w:rsidR="00DE25D8" w:rsidRPr="00904FCB">
        <w:rPr>
          <w:rFonts w:ascii="Arial" w:hAnsi="Arial" w:hint="cs"/>
          <w:sz w:val="27"/>
          <w:rtl/>
        </w:rPr>
        <w:t>ُ</w:t>
      </w:r>
      <w:r w:rsidRPr="00904FCB">
        <w:rPr>
          <w:rFonts w:ascii="Arial" w:hAnsi="Arial" w:hint="cs"/>
          <w:sz w:val="27"/>
          <w:rtl/>
        </w:rPr>
        <w:t xml:space="preserve">بعت في إيران. </w:t>
      </w:r>
    </w:p>
    <w:p w:rsidR="00F34FB9" w:rsidRPr="00904FCB" w:rsidRDefault="00F34FB9" w:rsidP="007A21AA">
      <w:pPr>
        <w:spacing w:line="400" w:lineRule="exact"/>
        <w:rPr>
          <w:rFonts w:ascii="Arial" w:hAnsi="Arial"/>
          <w:sz w:val="27"/>
          <w:rtl/>
          <w:lang w:bidi="ar-IQ"/>
        </w:rPr>
      </w:pPr>
      <w:r w:rsidRPr="00904FCB">
        <w:rPr>
          <w:rFonts w:ascii="Arial" w:hAnsi="Arial" w:hint="cs"/>
          <w:sz w:val="27"/>
          <w:rtl/>
        </w:rPr>
        <w:t xml:space="preserve">والنقطة الأخرى التي يشير إليها السيد مولانا هي قوله: </w:t>
      </w:r>
      <w:r w:rsidRPr="00904FCB">
        <w:rPr>
          <w:rFonts w:hint="eastAsia"/>
          <w:sz w:val="27"/>
          <w:rtl/>
        </w:rPr>
        <w:t>«</w:t>
      </w:r>
      <w:r w:rsidRPr="00904FCB">
        <w:rPr>
          <w:rFonts w:ascii="Arial" w:hAnsi="Arial" w:hint="cs"/>
          <w:sz w:val="27"/>
          <w:rtl/>
        </w:rPr>
        <w:t xml:space="preserve">كما سمعنا فإن المرحوم </w:t>
      </w:r>
      <w:r w:rsidR="000D1C6C" w:rsidRPr="00904FCB">
        <w:rPr>
          <w:rFonts w:ascii="Arial" w:hAnsi="Arial" w:hint="cs"/>
          <w:sz w:val="27"/>
          <w:rtl/>
        </w:rPr>
        <w:t>آ</w:t>
      </w:r>
      <w:r w:rsidRPr="00904FCB">
        <w:rPr>
          <w:rFonts w:ascii="Arial" w:hAnsi="Arial" w:hint="cs"/>
          <w:sz w:val="27"/>
          <w:rtl/>
        </w:rPr>
        <w:t>ية الله الكبرى الشيخ محمد حسين كاشف الغطاء</w:t>
      </w:r>
      <w:r w:rsidRPr="00904FCB">
        <w:rPr>
          <w:rFonts w:ascii="Arial" w:hAnsi="Arial"/>
          <w:sz w:val="27"/>
          <w:rtl/>
        </w:rPr>
        <w:t xml:space="preserve"> </w:t>
      </w:r>
      <w:r w:rsidR="000D1C6C" w:rsidRPr="00904FCB">
        <w:rPr>
          <w:rFonts w:ascii="Arial" w:hAnsi="Arial" w:hint="cs"/>
          <w:sz w:val="27"/>
          <w:rtl/>
          <w:lang w:bidi="ar-IQ"/>
        </w:rPr>
        <w:t>(</w:t>
      </w:r>
      <w:r w:rsidRPr="002831B1">
        <w:rPr>
          <w:rFonts w:ascii="Arial" w:hAnsi="Arial" w:hint="cs"/>
          <w:sz w:val="27"/>
          <w:rtl/>
          <w:lang w:bidi="ar-IQ"/>
        </w:rPr>
        <w:t>1954م</w:t>
      </w:r>
      <w:r w:rsidR="000D1C6C" w:rsidRPr="00904FCB">
        <w:rPr>
          <w:rFonts w:ascii="Arial" w:hAnsi="Arial" w:hint="cs"/>
          <w:sz w:val="27"/>
          <w:rtl/>
          <w:lang w:bidi="ar-IQ"/>
        </w:rPr>
        <w:t>)</w:t>
      </w:r>
      <w:r w:rsidR="000D1C6C" w:rsidRPr="00904FCB">
        <w:rPr>
          <w:rFonts w:ascii="Arial" w:hAnsi="Arial" w:hint="cs"/>
          <w:sz w:val="27"/>
          <w:rtl/>
        </w:rPr>
        <w:t xml:space="preserve"> </w:t>
      </w:r>
      <w:r w:rsidRPr="00904FCB">
        <w:rPr>
          <w:rFonts w:ascii="Arial" w:hAnsi="Arial" w:hint="cs"/>
          <w:sz w:val="27"/>
          <w:rtl/>
        </w:rPr>
        <w:t>كتب جواباً على ذلك، وكذلك قام بعض فضلاء بغداد بالرد</w:t>
      </w:r>
      <w:r w:rsidR="000D1C6C" w:rsidRPr="00904FCB">
        <w:rPr>
          <w:rFonts w:ascii="Arial" w:hAnsi="Arial" w:hint="cs"/>
          <w:sz w:val="27"/>
          <w:rtl/>
        </w:rPr>
        <w:t>ّ</w:t>
      </w:r>
      <w:r w:rsidRPr="00904FCB">
        <w:rPr>
          <w:rFonts w:ascii="Arial" w:hAnsi="Arial" w:hint="cs"/>
          <w:sz w:val="27"/>
          <w:rtl/>
        </w:rPr>
        <w:t xml:space="preserve"> على هذه الافتراءات نثراً ونظماً</w:t>
      </w:r>
      <w:r w:rsidRPr="00904FCB">
        <w:rPr>
          <w:rFonts w:hint="eastAsia"/>
          <w:sz w:val="27"/>
          <w:rtl/>
        </w:rPr>
        <w:t>»</w:t>
      </w:r>
      <w:r w:rsidRPr="00904FCB">
        <w:rPr>
          <w:rFonts w:ascii="Arial" w:hAnsi="Arial" w:hint="cs"/>
          <w:sz w:val="27"/>
          <w:rtl/>
        </w:rPr>
        <w:t xml:space="preserve">. </w:t>
      </w:r>
    </w:p>
    <w:p w:rsidR="00F34FB9" w:rsidRPr="00904FCB" w:rsidRDefault="00F34FB9" w:rsidP="007A21AA">
      <w:pPr>
        <w:spacing w:line="400" w:lineRule="exact"/>
        <w:rPr>
          <w:rFonts w:ascii="Arial" w:hAnsi="Arial"/>
          <w:sz w:val="27"/>
          <w:rtl/>
        </w:rPr>
      </w:pPr>
      <w:r w:rsidRPr="00904FCB">
        <w:rPr>
          <w:rFonts w:ascii="Arial" w:hAnsi="Arial" w:hint="cs"/>
          <w:sz w:val="27"/>
          <w:rtl/>
        </w:rPr>
        <w:t>ومع ذلك فقد طلب تج</w:t>
      </w:r>
      <w:r w:rsidR="000D1C6C" w:rsidRPr="00904FCB">
        <w:rPr>
          <w:rFonts w:ascii="Arial" w:hAnsi="Arial" w:hint="cs"/>
          <w:sz w:val="27"/>
          <w:rtl/>
        </w:rPr>
        <w:t>ّ</w:t>
      </w:r>
      <w:r w:rsidRPr="00904FCB">
        <w:rPr>
          <w:rFonts w:ascii="Arial" w:hAnsi="Arial" w:hint="cs"/>
          <w:sz w:val="27"/>
          <w:rtl/>
        </w:rPr>
        <w:t>ار تبريز من السيد مولانا أن يكتب شيئا</w:t>
      </w:r>
      <w:r w:rsidR="000D1C6C" w:rsidRPr="00904FCB">
        <w:rPr>
          <w:rFonts w:ascii="Arial" w:hAnsi="Arial" w:hint="cs"/>
          <w:sz w:val="27"/>
          <w:rtl/>
        </w:rPr>
        <w:t>ً</w:t>
      </w:r>
      <w:r w:rsidRPr="00904FCB">
        <w:rPr>
          <w:rFonts w:ascii="Arial" w:hAnsi="Arial" w:hint="cs"/>
          <w:sz w:val="27"/>
          <w:rtl/>
        </w:rPr>
        <w:t xml:space="preserve"> يوض</w:t>
      </w:r>
      <w:r w:rsidR="000D1C6C" w:rsidRPr="00904FCB">
        <w:rPr>
          <w:rFonts w:ascii="Arial" w:hAnsi="Arial" w:hint="cs"/>
          <w:sz w:val="27"/>
          <w:rtl/>
        </w:rPr>
        <w:t>ِّ</w:t>
      </w:r>
      <w:r w:rsidRPr="00904FCB">
        <w:rPr>
          <w:rFonts w:ascii="Arial" w:hAnsi="Arial" w:hint="cs"/>
          <w:sz w:val="27"/>
          <w:rtl/>
        </w:rPr>
        <w:t xml:space="preserve">ح الأمر، وهو بدوره يقول: </w:t>
      </w:r>
      <w:r w:rsidRPr="00904FCB">
        <w:rPr>
          <w:rFonts w:hint="eastAsia"/>
          <w:sz w:val="27"/>
          <w:rtl/>
        </w:rPr>
        <w:t>«</w:t>
      </w:r>
      <w:r w:rsidRPr="00904FCB">
        <w:rPr>
          <w:rFonts w:ascii="Arial" w:hAnsi="Arial" w:hint="cs"/>
          <w:sz w:val="27"/>
          <w:rtl/>
        </w:rPr>
        <w:t>اضطررت للنزول عند طلبهم</w:t>
      </w:r>
      <w:r w:rsidR="000D1C6C" w:rsidRPr="00904FCB">
        <w:rPr>
          <w:rFonts w:ascii="Arial" w:hAnsi="Arial" w:hint="cs"/>
          <w:sz w:val="27"/>
          <w:rtl/>
        </w:rPr>
        <w:t>،</w:t>
      </w:r>
      <w:r w:rsidRPr="00904FCB">
        <w:rPr>
          <w:rFonts w:ascii="Arial" w:hAnsi="Arial" w:hint="cs"/>
          <w:sz w:val="27"/>
          <w:rtl/>
        </w:rPr>
        <w:t xml:space="preserve"> والاستجابة لأمرهم</w:t>
      </w:r>
      <w:r w:rsidRPr="00904FCB">
        <w:rPr>
          <w:rFonts w:hint="eastAsia"/>
          <w:sz w:val="27"/>
          <w:rtl/>
        </w:rPr>
        <w:t>»</w:t>
      </w:r>
      <w:r w:rsidRPr="00904FCB">
        <w:rPr>
          <w:rFonts w:ascii="Arial" w:hAnsi="Arial" w:hint="cs"/>
          <w:sz w:val="27"/>
          <w:rtl/>
        </w:rPr>
        <w:t xml:space="preserve">. </w:t>
      </w:r>
    </w:p>
    <w:p w:rsidR="00F34FB9" w:rsidRPr="00904FCB" w:rsidRDefault="00F34FB9" w:rsidP="007A21AA">
      <w:pPr>
        <w:spacing w:line="400" w:lineRule="exact"/>
        <w:rPr>
          <w:rFonts w:ascii="Arial" w:hAnsi="Arial"/>
          <w:sz w:val="27"/>
          <w:rtl/>
        </w:rPr>
      </w:pPr>
      <w:r w:rsidRPr="00904FCB">
        <w:rPr>
          <w:rFonts w:ascii="Arial" w:hAnsi="Arial" w:hint="cs"/>
          <w:sz w:val="27"/>
          <w:rtl/>
        </w:rPr>
        <w:t>والأمر الآخر الذي يشير إليه المؤل</w:t>
      </w:r>
      <w:r w:rsidR="000D1C6C" w:rsidRPr="00904FCB">
        <w:rPr>
          <w:rFonts w:ascii="Arial" w:hAnsi="Arial" w:hint="cs"/>
          <w:sz w:val="27"/>
          <w:rtl/>
        </w:rPr>
        <w:t>ِّ</w:t>
      </w:r>
      <w:r w:rsidRPr="00904FCB">
        <w:rPr>
          <w:rFonts w:ascii="Arial" w:hAnsi="Arial" w:hint="cs"/>
          <w:sz w:val="27"/>
          <w:rtl/>
        </w:rPr>
        <w:t>ف هو أنه إذا كان السيد الحكيم فعلا</w:t>
      </w:r>
      <w:r w:rsidR="000D1C6C" w:rsidRPr="00904FCB">
        <w:rPr>
          <w:rFonts w:ascii="Arial" w:hAnsi="Arial" w:hint="cs"/>
          <w:sz w:val="27"/>
          <w:rtl/>
        </w:rPr>
        <w:t>ً</w:t>
      </w:r>
      <w:r w:rsidRPr="00904FCB">
        <w:rPr>
          <w:rFonts w:ascii="Arial" w:hAnsi="Arial" w:hint="cs"/>
          <w:sz w:val="27"/>
          <w:rtl/>
        </w:rPr>
        <w:t xml:space="preserve"> قد أنكر الضروري من ضروريات الدين فلماذا سكت علماء النجف الكبار عن هذا الأمر، ولم يصدر سوى كر</w:t>
      </w:r>
      <w:r w:rsidR="000D1C6C" w:rsidRPr="00904FCB">
        <w:rPr>
          <w:rFonts w:ascii="Arial" w:hAnsi="Arial" w:hint="cs"/>
          <w:sz w:val="27"/>
          <w:rtl/>
        </w:rPr>
        <w:t>ّ</w:t>
      </w:r>
      <w:r w:rsidRPr="00904FCB">
        <w:rPr>
          <w:rFonts w:ascii="Arial" w:hAnsi="Arial" w:hint="cs"/>
          <w:sz w:val="27"/>
          <w:rtl/>
        </w:rPr>
        <w:t>اس</w:t>
      </w:r>
      <w:r w:rsidR="000D1C6C" w:rsidRPr="00904FCB">
        <w:rPr>
          <w:rFonts w:ascii="Arial" w:hAnsi="Arial" w:hint="cs"/>
          <w:sz w:val="27"/>
          <w:rtl/>
        </w:rPr>
        <w:t>،</w:t>
      </w:r>
      <w:r w:rsidRPr="00904FCB">
        <w:rPr>
          <w:rFonts w:ascii="Arial" w:hAnsi="Arial" w:hint="cs"/>
          <w:sz w:val="27"/>
          <w:rtl/>
        </w:rPr>
        <w:t xml:space="preserve"> وبدون ذكر </w:t>
      </w:r>
      <w:r w:rsidR="000D1C6C" w:rsidRPr="00904FCB">
        <w:rPr>
          <w:rFonts w:ascii="Arial" w:hAnsi="Arial" w:hint="cs"/>
          <w:sz w:val="27"/>
          <w:rtl/>
        </w:rPr>
        <w:t>ا</w:t>
      </w:r>
      <w:r w:rsidRPr="00904FCB">
        <w:rPr>
          <w:rFonts w:ascii="Arial" w:hAnsi="Arial" w:hint="cs"/>
          <w:sz w:val="27"/>
          <w:rtl/>
        </w:rPr>
        <w:t>سم مؤلفه. ويشير أيضا</w:t>
      </w:r>
      <w:r w:rsidR="000D1C6C" w:rsidRPr="00904FCB">
        <w:rPr>
          <w:rFonts w:ascii="Arial" w:hAnsi="Arial" w:hint="cs"/>
          <w:sz w:val="27"/>
          <w:rtl/>
        </w:rPr>
        <w:t>ً</w:t>
      </w:r>
      <w:r w:rsidRPr="00904FCB">
        <w:rPr>
          <w:rFonts w:ascii="Arial" w:hAnsi="Arial" w:hint="cs"/>
          <w:sz w:val="27"/>
          <w:rtl/>
        </w:rPr>
        <w:t xml:space="preserve"> إلى أن </w:t>
      </w:r>
      <w:r w:rsidRPr="00904FCB">
        <w:rPr>
          <w:rFonts w:hint="eastAsia"/>
          <w:sz w:val="27"/>
          <w:rtl/>
        </w:rPr>
        <w:t>«</w:t>
      </w:r>
      <w:r w:rsidR="00CB149F" w:rsidRPr="00904FCB">
        <w:rPr>
          <w:rFonts w:hint="cs"/>
          <w:sz w:val="27"/>
          <w:rtl/>
        </w:rPr>
        <w:t>ال</w:t>
      </w:r>
      <w:r w:rsidRPr="00904FCB">
        <w:rPr>
          <w:rFonts w:ascii="Arial" w:hAnsi="Arial" w:hint="cs"/>
          <w:sz w:val="27"/>
          <w:rtl/>
        </w:rPr>
        <w:t>كتاب المستطاب مستمسك العروة الوثقى من الكتب النفيسة المؤل</w:t>
      </w:r>
      <w:r w:rsidR="000D1C6C" w:rsidRPr="00904FCB">
        <w:rPr>
          <w:rFonts w:ascii="Arial" w:hAnsi="Arial" w:hint="cs"/>
          <w:sz w:val="27"/>
          <w:rtl/>
        </w:rPr>
        <w:t>َّ</w:t>
      </w:r>
      <w:r w:rsidRPr="00904FCB">
        <w:rPr>
          <w:rFonts w:ascii="Arial" w:hAnsi="Arial" w:hint="cs"/>
          <w:sz w:val="27"/>
          <w:rtl/>
        </w:rPr>
        <w:t xml:space="preserve">فة في الفقه </w:t>
      </w:r>
      <w:r w:rsidRPr="00904FCB">
        <w:rPr>
          <w:rFonts w:ascii="Arial" w:hAnsi="Arial" w:hint="cs"/>
          <w:sz w:val="27"/>
          <w:rtl/>
        </w:rPr>
        <w:lastRenderedPageBreak/>
        <w:t xml:space="preserve">الجعفري، وقد صدر منه </w:t>
      </w:r>
      <w:r w:rsidR="000D1C6C" w:rsidRPr="00904FCB">
        <w:rPr>
          <w:rFonts w:ascii="Arial" w:hAnsi="Arial" w:hint="cs"/>
          <w:sz w:val="27"/>
          <w:rtl/>
        </w:rPr>
        <w:t>حتّى</w:t>
      </w:r>
      <w:r w:rsidRPr="00904FCB">
        <w:rPr>
          <w:rFonts w:ascii="Arial" w:hAnsi="Arial" w:hint="cs"/>
          <w:sz w:val="27"/>
          <w:rtl/>
        </w:rPr>
        <w:t xml:space="preserve"> الآن سبعة أجزاء</w:t>
      </w:r>
      <w:r w:rsidRPr="00904FCB">
        <w:rPr>
          <w:rFonts w:hint="eastAsia"/>
          <w:sz w:val="27"/>
          <w:rtl/>
        </w:rPr>
        <w:t>»</w:t>
      </w:r>
      <w:r w:rsidRPr="00904FCB">
        <w:rPr>
          <w:rFonts w:ascii="Arial" w:hAnsi="Arial" w:hint="cs"/>
          <w:sz w:val="27"/>
          <w:rtl/>
        </w:rPr>
        <w:t xml:space="preserve">. </w:t>
      </w:r>
    </w:p>
    <w:p w:rsidR="00F34FB9" w:rsidRPr="00904FCB" w:rsidRDefault="00F34FB9" w:rsidP="007A21AA">
      <w:pPr>
        <w:spacing w:line="400" w:lineRule="exact"/>
        <w:rPr>
          <w:rFonts w:ascii="Arial" w:hAnsi="Arial"/>
          <w:sz w:val="27"/>
          <w:rtl/>
        </w:rPr>
      </w:pPr>
      <w:r w:rsidRPr="00904FCB">
        <w:rPr>
          <w:rFonts w:ascii="Arial" w:hAnsi="Arial" w:hint="cs"/>
          <w:sz w:val="27"/>
          <w:rtl/>
        </w:rPr>
        <w:t xml:space="preserve"> وبعد أن قام السيد مولانا بتطبيق بعض الفتاوى التي </w:t>
      </w:r>
      <w:r w:rsidR="000D1C6C" w:rsidRPr="00904FCB">
        <w:rPr>
          <w:rFonts w:ascii="Arial" w:hAnsi="Arial" w:hint="cs"/>
          <w:sz w:val="27"/>
          <w:rtl/>
        </w:rPr>
        <w:t>ا</w:t>
      </w:r>
      <w:r w:rsidRPr="00904FCB">
        <w:rPr>
          <w:rFonts w:ascii="Arial" w:hAnsi="Arial" w:hint="cs"/>
          <w:sz w:val="27"/>
          <w:rtl/>
        </w:rPr>
        <w:t>عت</w:t>
      </w:r>
      <w:r w:rsidR="000D1C6C" w:rsidRPr="00904FCB">
        <w:rPr>
          <w:rFonts w:ascii="Arial" w:hAnsi="Arial" w:hint="cs"/>
          <w:sz w:val="27"/>
          <w:rtl/>
        </w:rPr>
        <w:t>ُ</w:t>
      </w:r>
      <w:r w:rsidRPr="00904FCB">
        <w:rPr>
          <w:rFonts w:ascii="Arial" w:hAnsi="Arial" w:hint="cs"/>
          <w:sz w:val="27"/>
          <w:rtl/>
        </w:rPr>
        <w:t>رِض عليها مع الفتاوى المذكورة في كتب الفقهاء المتقد</w:t>
      </w:r>
      <w:r w:rsidR="000D1C6C" w:rsidRPr="00904FCB">
        <w:rPr>
          <w:rFonts w:ascii="Arial" w:hAnsi="Arial" w:hint="cs"/>
          <w:sz w:val="27"/>
          <w:rtl/>
        </w:rPr>
        <w:t>ِّ</w:t>
      </w:r>
      <w:r w:rsidRPr="00904FCB">
        <w:rPr>
          <w:rFonts w:ascii="Arial" w:hAnsi="Arial" w:hint="cs"/>
          <w:sz w:val="27"/>
          <w:rtl/>
        </w:rPr>
        <w:t xml:space="preserve">مين قال: </w:t>
      </w:r>
      <w:r w:rsidRPr="00904FCB">
        <w:rPr>
          <w:rFonts w:hint="eastAsia"/>
          <w:sz w:val="27"/>
          <w:rtl/>
        </w:rPr>
        <w:t>«</w:t>
      </w:r>
      <w:r w:rsidRPr="00904FCB">
        <w:rPr>
          <w:rFonts w:ascii="Arial" w:hAnsi="Arial" w:hint="cs"/>
          <w:sz w:val="27"/>
          <w:rtl/>
        </w:rPr>
        <w:t>كان ينبغي على هؤلاء المفسدين على أقل</w:t>
      </w:r>
      <w:r w:rsidR="000D1C6C" w:rsidRPr="00904FCB">
        <w:rPr>
          <w:rFonts w:ascii="Arial" w:hAnsi="Arial" w:hint="cs"/>
          <w:sz w:val="27"/>
          <w:rtl/>
        </w:rPr>
        <w:t>ّ</w:t>
      </w:r>
      <w:r w:rsidRPr="00904FCB">
        <w:rPr>
          <w:rFonts w:ascii="Arial" w:hAnsi="Arial" w:hint="cs"/>
          <w:sz w:val="27"/>
          <w:rtl/>
        </w:rPr>
        <w:t xml:space="preserve"> تقدير أن يراجعوا الكتب الفقهية بالفروع التي عنونها العلماء، ثم</w:t>
      </w:r>
      <w:r w:rsidR="000D1C6C" w:rsidRPr="00904FCB">
        <w:rPr>
          <w:rFonts w:ascii="Arial" w:hAnsi="Arial" w:hint="cs"/>
          <w:sz w:val="27"/>
          <w:rtl/>
        </w:rPr>
        <w:t>ّ</w:t>
      </w:r>
      <w:r w:rsidRPr="00904FCB">
        <w:rPr>
          <w:rFonts w:ascii="Arial" w:hAnsi="Arial" w:hint="cs"/>
          <w:sz w:val="27"/>
          <w:rtl/>
        </w:rPr>
        <w:t xml:space="preserve"> يفتروا على الحكيم</w:t>
      </w:r>
      <w:r w:rsidRPr="00904FCB">
        <w:rPr>
          <w:rFonts w:hint="eastAsia"/>
          <w:sz w:val="27"/>
          <w:rtl/>
        </w:rPr>
        <w:t>»</w:t>
      </w:r>
      <w:r w:rsidRPr="00904FCB">
        <w:rPr>
          <w:rFonts w:ascii="Arial" w:hAnsi="Arial" w:hint="cs"/>
          <w:sz w:val="27"/>
          <w:rtl/>
        </w:rPr>
        <w:t xml:space="preserve">. </w:t>
      </w:r>
    </w:p>
    <w:p w:rsidR="00F34FB9" w:rsidRPr="00904FCB" w:rsidRDefault="00F34FB9" w:rsidP="007A21AA">
      <w:pPr>
        <w:spacing w:line="400" w:lineRule="exact"/>
        <w:rPr>
          <w:rFonts w:ascii="Arial" w:hAnsi="Arial"/>
          <w:sz w:val="27"/>
          <w:rtl/>
        </w:rPr>
      </w:pPr>
      <w:r w:rsidRPr="00904FCB">
        <w:rPr>
          <w:rFonts w:ascii="Arial" w:hAnsi="Arial" w:hint="cs"/>
          <w:sz w:val="27"/>
          <w:rtl/>
        </w:rPr>
        <w:t xml:space="preserve"> ثم</w:t>
      </w:r>
      <w:r w:rsidR="000D1C6C" w:rsidRPr="00904FCB">
        <w:rPr>
          <w:rFonts w:ascii="Arial" w:hAnsi="Arial" w:hint="cs"/>
          <w:sz w:val="27"/>
          <w:rtl/>
        </w:rPr>
        <w:t>ّ</w:t>
      </w:r>
      <w:r w:rsidRPr="00904FCB">
        <w:rPr>
          <w:rFonts w:ascii="Arial" w:hAnsi="Arial" w:hint="cs"/>
          <w:sz w:val="27"/>
          <w:rtl/>
        </w:rPr>
        <w:t xml:space="preserve"> يؤك</w:t>
      </w:r>
      <w:r w:rsidR="000D1C6C" w:rsidRPr="00904FCB">
        <w:rPr>
          <w:rFonts w:ascii="Arial" w:hAnsi="Arial" w:hint="cs"/>
          <w:sz w:val="27"/>
          <w:rtl/>
        </w:rPr>
        <w:t>ِّ</w:t>
      </w:r>
      <w:r w:rsidRPr="00904FCB">
        <w:rPr>
          <w:rFonts w:ascii="Arial" w:hAnsi="Arial" w:hint="cs"/>
          <w:sz w:val="27"/>
          <w:rtl/>
        </w:rPr>
        <w:t xml:space="preserve">د قائلاً: </w:t>
      </w:r>
      <w:r w:rsidRPr="00904FCB">
        <w:rPr>
          <w:rFonts w:hint="eastAsia"/>
          <w:sz w:val="27"/>
          <w:rtl/>
        </w:rPr>
        <w:t>«</w:t>
      </w:r>
      <w:r w:rsidRPr="00904FCB">
        <w:rPr>
          <w:rFonts w:ascii="Arial" w:hAnsi="Arial" w:hint="cs"/>
          <w:sz w:val="27"/>
          <w:rtl/>
        </w:rPr>
        <w:t xml:space="preserve">إذا كان الحكيم </w:t>
      </w:r>
      <w:r w:rsidRPr="00904FCB">
        <w:rPr>
          <w:rFonts w:ascii="Arial" w:hAnsi="Arial"/>
          <w:sz w:val="27"/>
          <w:rtl/>
        </w:rPr>
        <w:t>ـ</w:t>
      </w:r>
      <w:r w:rsidRPr="00904FCB">
        <w:rPr>
          <w:rFonts w:ascii="Arial" w:hAnsi="Arial" w:hint="cs"/>
          <w:sz w:val="27"/>
          <w:rtl/>
        </w:rPr>
        <w:t xml:space="preserve"> والعياذ بالله </w:t>
      </w:r>
      <w:r w:rsidRPr="00904FCB">
        <w:rPr>
          <w:rFonts w:ascii="Arial" w:hAnsi="Arial"/>
          <w:sz w:val="27"/>
          <w:rtl/>
        </w:rPr>
        <w:t>ـ</w:t>
      </w:r>
      <w:r w:rsidRPr="00904FCB">
        <w:rPr>
          <w:rFonts w:ascii="Arial" w:hAnsi="Arial" w:hint="cs"/>
          <w:sz w:val="27"/>
          <w:rtl/>
        </w:rPr>
        <w:t xml:space="preserve"> منكرا</w:t>
      </w:r>
      <w:r w:rsidR="000D1C6C" w:rsidRPr="00904FCB">
        <w:rPr>
          <w:rFonts w:ascii="Arial" w:hAnsi="Arial" w:hint="cs"/>
          <w:sz w:val="27"/>
          <w:rtl/>
        </w:rPr>
        <w:t>ً</w:t>
      </w:r>
      <w:r w:rsidRPr="00904FCB">
        <w:rPr>
          <w:rFonts w:ascii="Arial" w:hAnsi="Arial" w:hint="cs"/>
          <w:sz w:val="27"/>
          <w:rtl/>
        </w:rPr>
        <w:t xml:space="preserve"> لضروري الدين، ومن الواضح أن منكر الضروري كافر</w:t>
      </w:r>
      <w:r w:rsidR="000D1C6C" w:rsidRPr="00904FCB">
        <w:rPr>
          <w:rFonts w:ascii="Arial" w:hAnsi="Arial" w:hint="cs"/>
          <w:sz w:val="27"/>
          <w:rtl/>
        </w:rPr>
        <w:t>ٌ</w:t>
      </w:r>
      <w:r w:rsidRPr="00904FCB">
        <w:rPr>
          <w:rFonts w:ascii="Arial" w:hAnsi="Arial" w:hint="cs"/>
          <w:sz w:val="27"/>
          <w:rtl/>
        </w:rPr>
        <w:t xml:space="preserve"> قطعا</w:t>
      </w:r>
      <w:r w:rsidR="000D1C6C" w:rsidRPr="00904FCB">
        <w:rPr>
          <w:rFonts w:ascii="Arial" w:hAnsi="Arial" w:hint="cs"/>
          <w:sz w:val="27"/>
          <w:rtl/>
        </w:rPr>
        <w:t>ً</w:t>
      </w:r>
      <w:r w:rsidRPr="00904FCB">
        <w:rPr>
          <w:rFonts w:ascii="Arial" w:hAnsi="Arial" w:hint="cs"/>
          <w:sz w:val="27"/>
          <w:rtl/>
        </w:rPr>
        <w:t>، فلماذا ما زال علماء النجف والآيات العظام على علاقة</w:t>
      </w:r>
      <w:r w:rsidR="000D1C6C" w:rsidRPr="00904FCB">
        <w:rPr>
          <w:rFonts w:ascii="Arial" w:hAnsi="Arial" w:hint="cs"/>
          <w:sz w:val="27"/>
          <w:rtl/>
        </w:rPr>
        <w:t>ٍ</w:t>
      </w:r>
      <w:r w:rsidRPr="00904FCB">
        <w:rPr>
          <w:rFonts w:ascii="Arial" w:hAnsi="Arial" w:hint="cs"/>
          <w:sz w:val="27"/>
          <w:rtl/>
        </w:rPr>
        <w:t xml:space="preserve"> به، من قبيل</w:t>
      </w:r>
      <w:r w:rsidR="000D1C6C" w:rsidRPr="00904FCB">
        <w:rPr>
          <w:rFonts w:ascii="Arial" w:hAnsi="Arial" w:hint="cs"/>
          <w:sz w:val="27"/>
          <w:rtl/>
        </w:rPr>
        <w:t>:</w:t>
      </w:r>
      <w:r w:rsidRPr="00904FCB">
        <w:rPr>
          <w:rFonts w:ascii="Arial" w:hAnsi="Arial" w:hint="cs"/>
          <w:sz w:val="27"/>
          <w:rtl/>
        </w:rPr>
        <w:t xml:space="preserve"> </w:t>
      </w:r>
      <w:r w:rsidR="000D1C6C" w:rsidRPr="00904FCB">
        <w:rPr>
          <w:rFonts w:ascii="Arial" w:hAnsi="Arial" w:hint="cs"/>
          <w:sz w:val="27"/>
          <w:rtl/>
        </w:rPr>
        <w:t>آ</w:t>
      </w:r>
      <w:r w:rsidRPr="00904FCB">
        <w:rPr>
          <w:rFonts w:ascii="Arial" w:hAnsi="Arial" w:hint="cs"/>
          <w:sz w:val="27"/>
          <w:rtl/>
        </w:rPr>
        <w:t>ية الله الشيرازي، والشاهرودي، والاصطهباناتي، والخوئي، وغيرهم، ويسمحون له بالدخول إلى الح</w:t>
      </w:r>
      <w:r w:rsidR="000D1C6C" w:rsidRPr="00904FCB">
        <w:rPr>
          <w:rFonts w:ascii="Arial" w:hAnsi="Arial" w:hint="cs"/>
          <w:sz w:val="27"/>
          <w:rtl/>
        </w:rPr>
        <w:t>َ</w:t>
      </w:r>
      <w:r w:rsidRPr="00904FCB">
        <w:rPr>
          <w:rFonts w:ascii="Arial" w:hAnsi="Arial" w:hint="cs"/>
          <w:sz w:val="27"/>
          <w:rtl/>
        </w:rPr>
        <w:t>ر</w:t>
      </w:r>
      <w:r w:rsidR="000D1C6C" w:rsidRPr="00904FCB">
        <w:rPr>
          <w:rFonts w:ascii="Arial" w:hAnsi="Arial" w:hint="cs"/>
          <w:sz w:val="27"/>
          <w:rtl/>
        </w:rPr>
        <w:t>َ</w:t>
      </w:r>
      <w:r w:rsidRPr="00904FCB">
        <w:rPr>
          <w:rFonts w:ascii="Arial" w:hAnsi="Arial" w:hint="cs"/>
          <w:sz w:val="27"/>
          <w:rtl/>
        </w:rPr>
        <w:t>م الشريف وسائر المساجد</w:t>
      </w:r>
      <w:r w:rsidRPr="00904FCB">
        <w:rPr>
          <w:rFonts w:hint="eastAsia"/>
          <w:sz w:val="27"/>
          <w:rtl/>
        </w:rPr>
        <w:t>»</w:t>
      </w:r>
      <w:r w:rsidR="000D1C6C" w:rsidRPr="00904FCB">
        <w:rPr>
          <w:rFonts w:ascii="Arial" w:hAnsi="Arial"/>
          <w:sz w:val="27"/>
          <w:vertAlign w:val="superscript"/>
          <w:rtl/>
        </w:rPr>
        <w:t>(</w:t>
      </w:r>
      <w:r w:rsidR="000D1C6C" w:rsidRPr="00904FCB">
        <w:rPr>
          <w:rStyle w:val="ac"/>
          <w:rFonts w:ascii="Arial" w:hAnsi="Arial"/>
          <w:sz w:val="27"/>
          <w:rtl/>
        </w:rPr>
        <w:endnoteReference w:id="713"/>
      </w:r>
      <w:r w:rsidR="000D1C6C" w:rsidRPr="00904FCB">
        <w:rPr>
          <w:rFonts w:ascii="Arial" w:hAnsi="Arial"/>
          <w:sz w:val="27"/>
          <w:vertAlign w:val="superscript"/>
          <w:rtl/>
        </w:rPr>
        <w:t>)</w:t>
      </w:r>
      <w:r w:rsidRPr="00904FCB">
        <w:rPr>
          <w:rFonts w:ascii="Arial" w:hAnsi="Arial" w:hint="cs"/>
          <w:sz w:val="27"/>
          <w:rtl/>
        </w:rPr>
        <w:t xml:space="preserve">. </w:t>
      </w:r>
    </w:p>
    <w:p w:rsidR="00F34FB9" w:rsidRPr="00904FCB" w:rsidRDefault="00F34FB9" w:rsidP="007A21AA">
      <w:pPr>
        <w:spacing w:line="400" w:lineRule="exact"/>
        <w:rPr>
          <w:rFonts w:ascii="Arial" w:hAnsi="Arial"/>
          <w:sz w:val="27"/>
          <w:rtl/>
        </w:rPr>
      </w:pPr>
      <w:r w:rsidRPr="00904FCB">
        <w:rPr>
          <w:rFonts w:ascii="Arial" w:hAnsi="Arial" w:hint="cs"/>
          <w:sz w:val="27"/>
          <w:rtl/>
        </w:rPr>
        <w:t>ثم يطابق بعض فتاوى السيد الحكيم مع الكتب الفقهية المتقد</w:t>
      </w:r>
      <w:r w:rsidR="00FB7AEA" w:rsidRPr="00904FCB">
        <w:rPr>
          <w:rFonts w:ascii="Arial" w:hAnsi="Arial" w:hint="cs"/>
          <w:sz w:val="27"/>
          <w:rtl/>
        </w:rPr>
        <w:t>ِّ</w:t>
      </w:r>
      <w:r w:rsidRPr="00904FCB">
        <w:rPr>
          <w:rFonts w:ascii="Arial" w:hAnsi="Arial" w:hint="cs"/>
          <w:sz w:val="27"/>
          <w:rtl/>
        </w:rPr>
        <w:t>مة</w:t>
      </w:r>
      <w:r w:rsidR="00FB7AEA" w:rsidRPr="00904FCB">
        <w:rPr>
          <w:rFonts w:ascii="Arial" w:hAnsi="Arial" w:hint="cs"/>
          <w:sz w:val="27"/>
          <w:rtl/>
        </w:rPr>
        <w:t>،</w:t>
      </w:r>
      <w:r w:rsidRPr="00904FCB">
        <w:rPr>
          <w:rFonts w:ascii="Arial" w:hAnsi="Arial" w:hint="cs"/>
          <w:sz w:val="27"/>
          <w:rtl/>
        </w:rPr>
        <w:t xml:space="preserve"> ويقول: </w:t>
      </w:r>
      <w:r w:rsidRPr="00904FCB">
        <w:rPr>
          <w:rFonts w:hint="eastAsia"/>
          <w:sz w:val="27"/>
          <w:rtl/>
        </w:rPr>
        <w:t>«</w:t>
      </w:r>
      <w:r w:rsidRPr="00904FCB">
        <w:rPr>
          <w:rFonts w:ascii="Arial" w:hAnsi="Arial" w:hint="cs"/>
          <w:sz w:val="27"/>
          <w:rtl/>
        </w:rPr>
        <w:t>إن تأييدنا ليس لشخص الحكيم، بل للحكيم النوعي</w:t>
      </w:r>
      <w:r w:rsidR="00FB7AEA" w:rsidRPr="00904FCB">
        <w:rPr>
          <w:rFonts w:ascii="Arial" w:hAnsi="Arial" w:hint="cs"/>
          <w:sz w:val="27"/>
          <w:rtl/>
        </w:rPr>
        <w:t>ّ.</w:t>
      </w:r>
      <w:r w:rsidRPr="00904FCB">
        <w:rPr>
          <w:rFonts w:ascii="Arial" w:hAnsi="Arial" w:hint="cs"/>
          <w:sz w:val="27"/>
          <w:rtl/>
        </w:rPr>
        <w:t xml:space="preserve"> وقد كتبت هذه الأسطر من أجل رفع الت</w:t>
      </w:r>
      <w:r w:rsidR="00FB7AEA" w:rsidRPr="00904FCB">
        <w:rPr>
          <w:rFonts w:ascii="Arial" w:hAnsi="Arial" w:hint="cs"/>
          <w:sz w:val="27"/>
          <w:rtl/>
        </w:rPr>
        <w:t>ُّ</w:t>
      </w:r>
      <w:r w:rsidRPr="00904FCB">
        <w:rPr>
          <w:rFonts w:ascii="Arial" w:hAnsi="Arial" w:hint="cs"/>
          <w:sz w:val="27"/>
          <w:rtl/>
        </w:rPr>
        <w:t>همة عن الحكيم، وتقديم النصيحة للأخوة المسلمين</w:t>
      </w:r>
      <w:r w:rsidR="00FB7AEA" w:rsidRPr="00904FCB">
        <w:rPr>
          <w:rFonts w:ascii="Arial" w:hAnsi="Arial" w:hint="cs"/>
          <w:sz w:val="27"/>
          <w:rtl/>
        </w:rPr>
        <w:t>،</w:t>
      </w:r>
      <w:r w:rsidRPr="00904FCB">
        <w:rPr>
          <w:rFonts w:ascii="Arial" w:hAnsi="Arial" w:hint="cs"/>
          <w:sz w:val="27"/>
          <w:rtl/>
        </w:rPr>
        <w:t xml:space="preserve"> نزولا</w:t>
      </w:r>
      <w:r w:rsidR="00FB7AEA" w:rsidRPr="00904FCB">
        <w:rPr>
          <w:rFonts w:ascii="Arial" w:hAnsi="Arial" w:hint="cs"/>
          <w:sz w:val="27"/>
          <w:rtl/>
        </w:rPr>
        <w:t>ً</w:t>
      </w:r>
      <w:r w:rsidRPr="00904FCB">
        <w:rPr>
          <w:rFonts w:ascii="Arial" w:hAnsi="Arial" w:hint="cs"/>
          <w:sz w:val="27"/>
          <w:rtl/>
        </w:rPr>
        <w:t xml:space="preserve"> على إصرار بعض المؤمنين</w:t>
      </w:r>
      <w:r w:rsidRPr="00904FCB">
        <w:rPr>
          <w:rFonts w:hint="eastAsia"/>
          <w:sz w:val="27"/>
          <w:rtl/>
        </w:rPr>
        <w:t>»</w:t>
      </w:r>
      <w:r w:rsidRPr="00904FCB">
        <w:rPr>
          <w:rFonts w:ascii="Arial" w:hAnsi="Arial" w:hint="cs"/>
          <w:sz w:val="27"/>
          <w:rtl/>
        </w:rPr>
        <w:t xml:space="preserve">. </w:t>
      </w:r>
    </w:p>
    <w:p w:rsidR="00E83C22" w:rsidRPr="00904FCB" w:rsidRDefault="00F34FB9" w:rsidP="002831B1">
      <w:pPr>
        <w:spacing w:line="400" w:lineRule="exact"/>
        <w:rPr>
          <w:rtl/>
        </w:rPr>
      </w:pPr>
      <w:r w:rsidRPr="00904FCB">
        <w:rPr>
          <w:rFonts w:hint="cs"/>
          <w:rtl/>
        </w:rPr>
        <w:t>وقد جاء في ختام الكر</w:t>
      </w:r>
      <w:r w:rsidR="00FB7AEA" w:rsidRPr="00904FCB">
        <w:rPr>
          <w:rFonts w:hint="cs"/>
          <w:rtl/>
        </w:rPr>
        <w:t>ّ</w:t>
      </w:r>
      <w:r w:rsidRPr="00904FCB">
        <w:rPr>
          <w:rFonts w:hint="cs"/>
          <w:rtl/>
        </w:rPr>
        <w:t xml:space="preserve">اسة (الرسالة): </w:t>
      </w:r>
      <w:r w:rsidRPr="00904FCB">
        <w:rPr>
          <w:rFonts w:hint="eastAsia"/>
          <w:rtl/>
        </w:rPr>
        <w:t>«</w:t>
      </w:r>
      <w:r w:rsidRPr="00904FCB">
        <w:rPr>
          <w:rFonts w:hint="cs"/>
          <w:rtl/>
        </w:rPr>
        <w:t xml:space="preserve">طبع منها في الأسبوع الماضي </w:t>
      </w:r>
      <w:r w:rsidRPr="002831B1">
        <w:rPr>
          <w:rFonts w:hint="cs"/>
          <w:rtl/>
        </w:rPr>
        <w:t>3</w:t>
      </w:r>
      <w:r w:rsidRPr="00904FCB">
        <w:rPr>
          <w:rFonts w:hint="cs"/>
          <w:rtl/>
        </w:rPr>
        <w:t xml:space="preserve"> آلاف نسخة</w:t>
      </w:r>
      <w:r w:rsidRPr="00904FCB">
        <w:rPr>
          <w:rFonts w:hint="eastAsia"/>
          <w:rtl/>
        </w:rPr>
        <w:t>»</w:t>
      </w:r>
      <w:r w:rsidR="00FB7AEA" w:rsidRPr="00904FCB">
        <w:rPr>
          <w:rFonts w:hint="cs"/>
          <w:rtl/>
        </w:rPr>
        <w:t>.</w:t>
      </w:r>
      <w:r w:rsidRPr="00904FCB">
        <w:rPr>
          <w:rFonts w:hint="cs"/>
          <w:rtl/>
        </w:rPr>
        <w:t xml:space="preserve"> وبسبب عدم كفاية العدد والطلب المتزايد من قبل المؤمنين طبعت مر</w:t>
      </w:r>
      <w:r w:rsidR="00FB7AEA" w:rsidRPr="00904FCB">
        <w:rPr>
          <w:rFonts w:hint="cs"/>
          <w:rtl/>
        </w:rPr>
        <w:t>ّ</w:t>
      </w:r>
      <w:r w:rsidRPr="00904FCB">
        <w:rPr>
          <w:rFonts w:hint="cs"/>
          <w:rtl/>
        </w:rPr>
        <w:t xml:space="preserve">ة أخرى </w:t>
      </w:r>
      <w:r w:rsidRPr="002831B1">
        <w:rPr>
          <w:rFonts w:hint="cs"/>
          <w:rtl/>
        </w:rPr>
        <w:t>3</w:t>
      </w:r>
      <w:r w:rsidRPr="00904FCB">
        <w:rPr>
          <w:rFonts w:hint="cs"/>
          <w:rtl/>
        </w:rPr>
        <w:t xml:space="preserve"> آلاف نسخة منها</w:t>
      </w:r>
      <w:r w:rsidRPr="00904FCB">
        <w:rPr>
          <w:rFonts w:hint="eastAsia"/>
          <w:rtl/>
        </w:rPr>
        <w:t>»</w:t>
      </w:r>
      <w:r w:rsidRPr="00904FCB">
        <w:rPr>
          <w:vertAlign w:val="superscript"/>
          <w:rtl/>
        </w:rPr>
        <w:t>(</w:t>
      </w:r>
      <w:r w:rsidRPr="00904FCB">
        <w:rPr>
          <w:rStyle w:val="ac"/>
          <w:rFonts w:ascii="Arial" w:hAnsi="Arial"/>
          <w:sz w:val="27"/>
          <w:rtl/>
        </w:rPr>
        <w:endnoteReference w:id="714"/>
      </w:r>
      <w:r w:rsidRPr="00904FCB">
        <w:rPr>
          <w:vertAlign w:val="superscript"/>
          <w:rtl/>
        </w:rPr>
        <w:t>)</w:t>
      </w:r>
      <w:r w:rsidRPr="00904FCB">
        <w:rPr>
          <w:rFonts w:hint="cs"/>
          <w:rtl/>
        </w:rPr>
        <w:t>.</w:t>
      </w:r>
    </w:p>
    <w:p w:rsidR="00E83C22" w:rsidRPr="00904FCB" w:rsidRDefault="00E83C22" w:rsidP="007A21AA">
      <w:pPr>
        <w:spacing w:line="400" w:lineRule="exact"/>
        <w:rPr>
          <w:rtl/>
        </w:rPr>
      </w:pPr>
    </w:p>
    <w:p w:rsidR="00E83C22" w:rsidRPr="00904FCB" w:rsidRDefault="00E83C22" w:rsidP="007A21AA">
      <w:pPr>
        <w:spacing w:line="400" w:lineRule="exact"/>
        <w:rPr>
          <w:rtl/>
        </w:rPr>
      </w:pPr>
    </w:p>
    <w:p w:rsidR="00E83C22" w:rsidRPr="00904FCB" w:rsidRDefault="00E83C22" w:rsidP="007A21AA">
      <w:pPr>
        <w:pStyle w:val="34"/>
        <w:autoSpaceDE w:val="0"/>
        <w:autoSpaceDN w:val="0"/>
        <w:adjustRightInd w:val="0"/>
        <w:spacing w:line="400" w:lineRule="exact"/>
        <w:ind w:firstLine="0"/>
        <w:rPr>
          <w:rFonts w:cs="K Sina"/>
          <w:sz w:val="26"/>
          <w:rtl/>
          <w:lang w:eastAsia="ar-SA"/>
        </w:rPr>
      </w:pPr>
      <w:r w:rsidRPr="00904FCB">
        <w:rPr>
          <w:rFonts w:cs="K Sina" w:hint="cs"/>
          <w:sz w:val="26"/>
          <w:rtl/>
          <w:lang w:eastAsia="ar-SA"/>
        </w:rPr>
        <w:t>الهوامش</w:t>
      </w:r>
    </w:p>
    <w:p w:rsidR="00E83C22" w:rsidRPr="00904FCB" w:rsidRDefault="00E83C22" w:rsidP="007A21AA">
      <w:pPr>
        <w:pStyle w:val="34"/>
        <w:autoSpaceDE w:val="0"/>
        <w:autoSpaceDN w:val="0"/>
        <w:adjustRightInd w:val="0"/>
        <w:spacing w:line="400" w:lineRule="exact"/>
        <w:ind w:firstLine="0"/>
        <w:rPr>
          <w:rFonts w:cs="K Sina"/>
          <w:sz w:val="26"/>
          <w:rtl/>
          <w:lang w:eastAsia="ar-SA"/>
        </w:rPr>
        <w:sectPr w:rsidR="00E83C22" w:rsidRPr="00904FCB" w:rsidSect="00E85587">
          <w:headerReference w:type="even" r:id="rId219"/>
          <w:headerReference w:type="default" r:id="rId220"/>
          <w:footerReference w:type="even" r:id="rId221"/>
          <w:footerReference w:type="default" r:id="rId22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904FCB" w:rsidRDefault="00E83C22" w:rsidP="007A21AA">
      <w:pPr>
        <w:spacing w:line="400" w:lineRule="exact"/>
      </w:pPr>
      <w:r w:rsidRPr="00904FCB">
        <w:rPr>
          <w:rtl/>
        </w:rPr>
        <w:lastRenderedPageBreak/>
        <w:br w:type="page"/>
      </w:r>
    </w:p>
    <w:p w:rsidR="00E83C22" w:rsidRPr="00904FCB" w:rsidRDefault="00E83C22" w:rsidP="00E83C22">
      <w:pPr>
        <w:rPr>
          <w:rtl/>
        </w:rPr>
        <w:sectPr w:rsidR="00E83C22" w:rsidRPr="00904FCB" w:rsidSect="00E85587">
          <w:headerReference w:type="even" r:id="rId223"/>
          <w:headerReference w:type="default" r:id="rId224"/>
          <w:footerReference w:type="even" r:id="rId225"/>
          <w:footerReference w:type="default" r:id="rId226"/>
          <w:headerReference w:type="first" r:id="rId227"/>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904FCB" w:rsidRDefault="000B5897" w:rsidP="00777930">
      <w:pPr>
        <w:keepNext/>
        <w:keepLines/>
        <w:spacing w:line="420" w:lineRule="exact"/>
        <w:ind w:firstLine="0"/>
        <w:jc w:val="center"/>
        <w:outlineLvl w:val="0"/>
        <w:rPr>
          <w:rFonts w:cs="AL-Mateen"/>
          <w:b/>
          <w:sz w:val="32"/>
          <w:szCs w:val="48"/>
          <w:rtl/>
        </w:rPr>
      </w:pPr>
      <w:r w:rsidRPr="00904FCB">
        <w:rPr>
          <w:rFonts w:cs="AL-Mateen" w:hint="cs"/>
          <w:b/>
          <w:sz w:val="32"/>
          <w:szCs w:val="48"/>
          <w:rtl/>
        </w:rPr>
        <w:lastRenderedPageBreak/>
        <w:t>قسيم</w:t>
      </w:r>
      <w:r w:rsidR="006D38E2" w:rsidRPr="00904FCB">
        <w:rPr>
          <w:rFonts w:cs="AL-Mateen" w:hint="cs"/>
          <w:b/>
          <w:sz w:val="32"/>
          <w:szCs w:val="48"/>
          <w:rtl/>
        </w:rPr>
        <w:t xml:space="preserve">ة </w:t>
      </w:r>
      <w:r w:rsidRPr="00904FCB">
        <w:rPr>
          <w:rFonts w:cs="AL-Mateen" w:hint="cs"/>
          <w:b/>
          <w:sz w:val="32"/>
          <w:szCs w:val="48"/>
          <w:rtl/>
        </w:rPr>
        <w:t>الاشتراك</w:t>
      </w:r>
    </w:p>
    <w:p w:rsidR="000B5897" w:rsidRPr="00904FCB" w:rsidRDefault="000B5897" w:rsidP="00777930">
      <w:pPr>
        <w:spacing w:line="420" w:lineRule="exact"/>
        <w:ind w:firstLine="0"/>
        <w:jc w:val="center"/>
        <w:outlineLvl w:val="1"/>
        <w:rPr>
          <w:rFonts w:cs="AL-Mateen"/>
          <w:szCs w:val="32"/>
          <w:rtl/>
        </w:rPr>
      </w:pPr>
      <w:bookmarkStart w:id="78" w:name="_Toc295112247"/>
      <w:r w:rsidRPr="00904FCB">
        <w:rPr>
          <w:rFonts w:cs="AL-Mateen" w:hint="cs"/>
          <w:szCs w:val="32"/>
          <w:rtl/>
        </w:rPr>
        <w:t>مجل</w:t>
      </w:r>
      <w:r w:rsidR="00783617" w:rsidRPr="00904FCB">
        <w:rPr>
          <w:rFonts w:cs="AL-Mateen" w:hint="cs"/>
          <w:szCs w:val="32"/>
          <w:rtl/>
          <w:lang w:bidi="ar-LB"/>
        </w:rPr>
        <w:t>ّ</w:t>
      </w:r>
      <w:r w:rsidR="006D38E2" w:rsidRPr="00904FCB">
        <w:rPr>
          <w:rFonts w:cs="AL-Mateen" w:hint="cs"/>
          <w:szCs w:val="32"/>
          <w:rtl/>
        </w:rPr>
        <w:t xml:space="preserve">ة </w:t>
      </w:r>
      <w:r w:rsidRPr="00904FCB">
        <w:rPr>
          <w:rFonts w:cs="AL-Mateen" w:hint="cs"/>
          <w:szCs w:val="32"/>
          <w:rtl/>
        </w:rPr>
        <w:t>الاجتهاد والتجديد</w:t>
      </w:r>
      <w:bookmarkEnd w:id="78"/>
    </w:p>
    <w:p w:rsidR="000B5897" w:rsidRPr="00904FCB" w:rsidRDefault="00072C15" w:rsidP="000B5897">
      <w:pPr>
        <w:ind w:firstLine="0"/>
        <w:jc w:val="center"/>
        <w:rPr>
          <w:rtl/>
        </w:rPr>
      </w:pPr>
      <w:r w:rsidRPr="00904FCB">
        <w:rPr>
          <w:noProof/>
        </w:rPr>
        <mc:AlternateContent>
          <mc:Choice Requires="wps">
            <w:drawing>
              <wp:anchor distT="0" distB="0" distL="114300" distR="114300" simplePos="0" relativeHeight="251643392" behindDoc="1" locked="0" layoutInCell="1" allowOverlap="1" wp14:anchorId="6326CBD1" wp14:editId="6265F0D5">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67525" id="Rectangle 14" o:spid="_x0000_s1026" style="position:absolute;margin-left:0;margin-top:16.75pt;width:348pt;height:169.7pt;z-index:-251673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904FCB" w:rsidRDefault="000B5897" w:rsidP="000B5897">
      <w:pPr>
        <w:tabs>
          <w:tab w:val="right" w:leader="dot" w:pos="3402"/>
        </w:tabs>
        <w:spacing w:line="380" w:lineRule="exact"/>
        <w:ind w:firstLine="0"/>
        <w:jc w:val="center"/>
        <w:rPr>
          <w:rFonts w:cs="Abz-3 (Yagut)"/>
          <w:b/>
          <w:bCs/>
          <w:rtl/>
        </w:rPr>
      </w:pPr>
      <w:r w:rsidRPr="00904FCB">
        <w:rPr>
          <w:rFonts w:cs="Abz-3 (Yagut)" w:hint="cs"/>
          <w:b/>
          <w:bCs/>
        </w:rPr>
        <w:sym w:font="Wingdings" w:char="F0A8"/>
      </w:r>
      <w:r w:rsidRPr="00904FCB">
        <w:rPr>
          <w:rFonts w:cs="Abz-3 (Yagut)" w:hint="cs"/>
          <w:b/>
          <w:bCs/>
          <w:rtl/>
        </w:rPr>
        <w:t xml:space="preserve"> أفراد               </w:t>
      </w:r>
      <w:r w:rsidR="00783617" w:rsidRPr="00904FCB">
        <w:rPr>
          <w:rFonts w:cs="Abz-3 (Yagut)" w:hint="cs"/>
          <w:b/>
          <w:bCs/>
          <w:rtl/>
        </w:rPr>
        <w:t xml:space="preserve">       </w:t>
      </w:r>
      <w:r w:rsidRPr="00904FCB">
        <w:rPr>
          <w:rFonts w:cs="Abz-3 (Yagut)" w:hint="cs"/>
          <w:b/>
          <w:bCs/>
          <w:rtl/>
        </w:rPr>
        <w:t xml:space="preserve">                    </w:t>
      </w:r>
      <w:r w:rsidRPr="00904FCB">
        <w:rPr>
          <w:rFonts w:cs="Abz-3 (Yagut)" w:hint="cs"/>
          <w:b/>
          <w:bCs/>
        </w:rPr>
        <w:sym w:font="Wingdings" w:char="F0A8"/>
      </w:r>
      <w:r w:rsidRPr="00904FCB">
        <w:rPr>
          <w:rFonts w:cs="Abz-3 (Yagut)" w:hint="cs"/>
          <w:b/>
          <w:bCs/>
          <w:rtl/>
        </w:rPr>
        <w:t xml:space="preserve"> مؤسسات</w:t>
      </w:r>
    </w:p>
    <w:p w:rsidR="000B5897" w:rsidRPr="00904FCB" w:rsidRDefault="000B5897" w:rsidP="000B5897">
      <w:pPr>
        <w:tabs>
          <w:tab w:val="right" w:leader="dot" w:pos="6889"/>
        </w:tabs>
        <w:spacing w:line="340" w:lineRule="exact"/>
        <w:ind w:left="113" w:right="113" w:firstLine="0"/>
        <w:rPr>
          <w:rFonts w:cs="Ya-Ali"/>
          <w:sz w:val="27"/>
          <w:rtl/>
        </w:rPr>
      </w:pPr>
      <w:r w:rsidRPr="00904FCB">
        <w:rPr>
          <w:rFonts w:cs="Ya-Ali" w:hint="cs"/>
          <w:sz w:val="27"/>
          <w:rtl/>
        </w:rPr>
        <w:t>اســــم المشترك</w:t>
      </w:r>
      <w:r w:rsidR="006D38E2" w:rsidRPr="00904FCB">
        <w:rPr>
          <w:rFonts w:cs="Ya-Ali" w:hint="cs"/>
          <w:sz w:val="27"/>
          <w:rtl/>
        </w:rPr>
        <w:t xml:space="preserve">: </w:t>
      </w:r>
      <w:r w:rsidRPr="00904FCB">
        <w:rPr>
          <w:rFonts w:cs="Ya-Ali" w:hint="cs"/>
          <w:sz w:val="27"/>
          <w:rtl/>
        </w:rPr>
        <w:tab/>
      </w:r>
    </w:p>
    <w:p w:rsidR="000B5897" w:rsidRPr="00904FCB" w:rsidRDefault="000B5897" w:rsidP="000B5897">
      <w:pPr>
        <w:tabs>
          <w:tab w:val="right" w:leader="dot" w:pos="6889"/>
        </w:tabs>
        <w:spacing w:line="340" w:lineRule="exact"/>
        <w:ind w:left="113" w:right="113" w:firstLine="0"/>
        <w:rPr>
          <w:rFonts w:cs="Ya-Ali"/>
          <w:sz w:val="27"/>
          <w:rtl/>
        </w:rPr>
      </w:pPr>
      <w:r w:rsidRPr="00904FCB">
        <w:rPr>
          <w:rFonts w:cs="Ya-Ali" w:hint="cs"/>
          <w:sz w:val="27"/>
          <w:rtl/>
        </w:rPr>
        <w:t>العنوان الكامل</w:t>
      </w:r>
      <w:r w:rsidR="006D38E2" w:rsidRPr="00904FCB">
        <w:rPr>
          <w:rFonts w:cs="Ya-Ali" w:hint="cs"/>
          <w:sz w:val="27"/>
          <w:rtl/>
        </w:rPr>
        <w:t xml:space="preserve">: </w:t>
      </w:r>
      <w:r w:rsidRPr="00904FCB">
        <w:rPr>
          <w:rFonts w:cs="Ya-Ali" w:hint="cs"/>
          <w:sz w:val="27"/>
          <w:rtl/>
        </w:rPr>
        <w:tab/>
      </w:r>
    </w:p>
    <w:p w:rsidR="000B5897" w:rsidRPr="00904FCB" w:rsidRDefault="000B5897" w:rsidP="000B5897">
      <w:pPr>
        <w:tabs>
          <w:tab w:val="right" w:leader="dot" w:pos="6889"/>
        </w:tabs>
        <w:spacing w:line="340" w:lineRule="exact"/>
        <w:ind w:left="113" w:firstLine="0"/>
        <w:rPr>
          <w:rFonts w:cs="Ya-Ali"/>
          <w:sz w:val="27"/>
          <w:rtl/>
        </w:rPr>
      </w:pPr>
      <w:r w:rsidRPr="00904FCB">
        <w:rPr>
          <w:rFonts w:cs="Ya-Ali" w:hint="cs"/>
          <w:sz w:val="27"/>
          <w:rtl/>
        </w:rPr>
        <w:tab/>
      </w:r>
    </w:p>
    <w:p w:rsidR="000B5897" w:rsidRPr="00904FCB" w:rsidRDefault="000B5897" w:rsidP="000B5897">
      <w:pPr>
        <w:tabs>
          <w:tab w:val="right" w:leader="dot" w:pos="6889"/>
        </w:tabs>
        <w:spacing w:line="340" w:lineRule="exact"/>
        <w:ind w:left="113" w:firstLine="0"/>
        <w:rPr>
          <w:rFonts w:cs="Ya-Ali"/>
          <w:sz w:val="27"/>
          <w:rtl/>
        </w:rPr>
      </w:pPr>
      <w:r w:rsidRPr="00904FCB">
        <w:rPr>
          <w:rFonts w:cs="Ya-Ali" w:hint="cs"/>
          <w:sz w:val="27"/>
          <w:rtl/>
        </w:rPr>
        <w:t>الهاتــــف</w:t>
      </w:r>
      <w:r w:rsidR="006D38E2" w:rsidRPr="00904FCB">
        <w:rPr>
          <w:rFonts w:cs="Ya-Ali" w:hint="cs"/>
          <w:sz w:val="27"/>
          <w:rtl/>
        </w:rPr>
        <w:t>:</w:t>
      </w:r>
      <w:r w:rsidR="00D95A85" w:rsidRPr="00904FCB">
        <w:rPr>
          <w:rFonts w:cs="Ya-Ali" w:hint="cs"/>
          <w:sz w:val="27"/>
          <w:rtl/>
        </w:rPr>
        <w:t>.</w:t>
      </w:r>
      <w:r w:rsidRPr="00904FCB">
        <w:rPr>
          <w:rFonts w:cs="Ya-Ali" w:hint="cs"/>
          <w:sz w:val="27"/>
          <w:rtl/>
        </w:rPr>
        <w:t>................فاكــــس</w:t>
      </w:r>
      <w:r w:rsidR="006D38E2" w:rsidRPr="00904FCB">
        <w:rPr>
          <w:rFonts w:cs="Ya-Ali" w:hint="cs"/>
          <w:sz w:val="27"/>
          <w:rtl/>
        </w:rPr>
        <w:t xml:space="preserve">: </w:t>
      </w:r>
      <w:r w:rsidRPr="00904FCB">
        <w:rPr>
          <w:rFonts w:cs="Ya-Ali" w:hint="cs"/>
          <w:sz w:val="27"/>
          <w:rtl/>
        </w:rPr>
        <w:tab/>
      </w:r>
    </w:p>
    <w:p w:rsidR="000B5897" w:rsidRPr="00904FCB" w:rsidRDefault="000B5897" w:rsidP="000B5897">
      <w:pPr>
        <w:tabs>
          <w:tab w:val="right" w:leader="dot" w:pos="6889"/>
        </w:tabs>
        <w:spacing w:line="340" w:lineRule="exact"/>
        <w:ind w:left="113" w:right="113" w:firstLine="0"/>
        <w:rPr>
          <w:rFonts w:cs="Ya-Ali"/>
          <w:sz w:val="27"/>
          <w:rtl/>
        </w:rPr>
      </w:pPr>
      <w:r w:rsidRPr="00904FCB">
        <w:rPr>
          <w:rFonts w:cs="Ya-Ali" w:hint="cs"/>
          <w:sz w:val="27"/>
          <w:rtl/>
        </w:rPr>
        <w:t>مد</w:t>
      </w:r>
      <w:r w:rsidR="006D38E2" w:rsidRPr="00904FCB">
        <w:rPr>
          <w:rFonts w:cs="Ya-Ali" w:hint="cs"/>
          <w:sz w:val="27"/>
          <w:rtl/>
        </w:rPr>
        <w:t xml:space="preserve">ة </w:t>
      </w:r>
      <w:r w:rsidRPr="00904FCB">
        <w:rPr>
          <w:rFonts w:cs="Ya-Ali" w:hint="cs"/>
          <w:sz w:val="27"/>
          <w:rtl/>
        </w:rPr>
        <w:t>الاشتراك</w:t>
      </w:r>
      <w:r w:rsidR="006D38E2" w:rsidRPr="00904FCB">
        <w:rPr>
          <w:rFonts w:cs="Ya-Ali" w:hint="cs"/>
          <w:sz w:val="27"/>
          <w:rtl/>
        </w:rPr>
        <w:t>:</w:t>
      </w:r>
      <w:r w:rsidR="00D95A85" w:rsidRPr="00904FCB">
        <w:rPr>
          <w:rFonts w:cs="Ya-Ali" w:hint="cs"/>
          <w:sz w:val="27"/>
          <w:rtl/>
        </w:rPr>
        <w:t>.</w:t>
      </w:r>
      <w:r w:rsidRPr="00904FCB">
        <w:rPr>
          <w:rFonts w:cs="Ya-Ali" w:hint="cs"/>
          <w:sz w:val="27"/>
          <w:rtl/>
        </w:rPr>
        <w:t>...................... ابتــداءً مـــن</w:t>
      </w:r>
      <w:r w:rsidR="006D38E2" w:rsidRPr="00904FCB">
        <w:rPr>
          <w:rFonts w:cs="Ya-Ali" w:hint="cs"/>
          <w:sz w:val="27"/>
          <w:rtl/>
        </w:rPr>
        <w:t xml:space="preserve">: </w:t>
      </w:r>
      <w:r w:rsidRPr="00904FCB">
        <w:rPr>
          <w:rFonts w:cs="Ya-Ali" w:hint="cs"/>
          <w:sz w:val="27"/>
          <w:rtl/>
        </w:rPr>
        <w:tab/>
      </w:r>
    </w:p>
    <w:p w:rsidR="000B5897" w:rsidRPr="00904FCB" w:rsidRDefault="000B5897" w:rsidP="000B5897">
      <w:pPr>
        <w:tabs>
          <w:tab w:val="right" w:leader="dot" w:pos="6889"/>
        </w:tabs>
        <w:spacing w:line="340" w:lineRule="exact"/>
        <w:ind w:left="113" w:right="113" w:firstLine="0"/>
        <w:rPr>
          <w:rFonts w:cs="Ya-Ali"/>
          <w:sz w:val="27"/>
          <w:rtl/>
        </w:rPr>
      </w:pPr>
      <w:r w:rsidRPr="00904FCB">
        <w:rPr>
          <w:rFonts w:cs="Ya-Ali" w:hint="cs"/>
          <w:sz w:val="27"/>
          <w:rtl/>
        </w:rPr>
        <w:t>المبلغ</w:t>
      </w:r>
      <w:r w:rsidR="006D38E2" w:rsidRPr="00904FCB">
        <w:rPr>
          <w:rFonts w:cs="Ya-Ali" w:hint="cs"/>
          <w:sz w:val="27"/>
          <w:rtl/>
        </w:rPr>
        <w:t>:</w:t>
      </w:r>
      <w:r w:rsidR="00D95A85" w:rsidRPr="00904FCB">
        <w:rPr>
          <w:rFonts w:cs="Ya-Ali" w:hint="cs"/>
          <w:sz w:val="27"/>
          <w:rtl/>
        </w:rPr>
        <w:t>.</w:t>
      </w:r>
      <w:r w:rsidRPr="00904FCB">
        <w:rPr>
          <w:rFonts w:cs="Ya-Ali" w:hint="cs"/>
          <w:sz w:val="27"/>
          <w:rtl/>
        </w:rPr>
        <w:t>.....................عـــدد النســـــخ</w:t>
      </w:r>
      <w:r w:rsidR="006D38E2" w:rsidRPr="00904FCB">
        <w:rPr>
          <w:rFonts w:cs="Ya-Ali" w:hint="cs"/>
          <w:sz w:val="27"/>
          <w:rtl/>
        </w:rPr>
        <w:t xml:space="preserve">: </w:t>
      </w:r>
      <w:r w:rsidRPr="00904FCB">
        <w:rPr>
          <w:rFonts w:cs="Ya-Ali" w:hint="cs"/>
          <w:sz w:val="27"/>
          <w:rtl/>
        </w:rPr>
        <w:tab/>
      </w:r>
    </w:p>
    <w:p w:rsidR="000B5897" w:rsidRPr="00904FCB" w:rsidRDefault="000B5897" w:rsidP="000B5897">
      <w:pPr>
        <w:tabs>
          <w:tab w:val="right" w:leader="dot" w:pos="6889"/>
        </w:tabs>
        <w:spacing w:line="340" w:lineRule="exact"/>
        <w:ind w:left="113" w:right="113" w:firstLine="0"/>
        <w:rPr>
          <w:rFonts w:cs="Ya-Ali"/>
          <w:sz w:val="27"/>
          <w:rtl/>
        </w:rPr>
      </w:pPr>
      <w:r w:rsidRPr="00904FCB">
        <w:rPr>
          <w:rFonts w:cs="Ya-Ali" w:hint="cs"/>
          <w:sz w:val="27"/>
          <w:rtl/>
        </w:rPr>
        <w:t>نقـداً إل</w:t>
      </w:r>
      <w:r w:rsidR="00D95A85" w:rsidRPr="00904FCB">
        <w:rPr>
          <w:rFonts w:cs="Ya-Ali" w:hint="cs"/>
          <w:sz w:val="27"/>
          <w:rtl/>
        </w:rPr>
        <w:t>ى:.</w:t>
      </w:r>
      <w:r w:rsidRPr="00904FCB">
        <w:rPr>
          <w:rFonts w:cs="Ya-Ali" w:hint="cs"/>
          <w:sz w:val="27"/>
          <w:rtl/>
        </w:rPr>
        <w:t>........................... شيك مصرفي</w:t>
      </w:r>
      <w:r w:rsidR="006D38E2" w:rsidRPr="00904FCB">
        <w:rPr>
          <w:rFonts w:cs="Ya-Ali" w:hint="cs"/>
          <w:sz w:val="27"/>
          <w:rtl/>
        </w:rPr>
        <w:t xml:space="preserve">: </w:t>
      </w:r>
      <w:r w:rsidRPr="00904FCB">
        <w:rPr>
          <w:rFonts w:cs="Ya-Ali" w:hint="cs"/>
          <w:sz w:val="27"/>
          <w:rtl/>
        </w:rPr>
        <w:tab/>
      </w:r>
    </w:p>
    <w:p w:rsidR="000B5897" w:rsidRPr="00904FCB" w:rsidRDefault="000B5897" w:rsidP="000B5897">
      <w:pPr>
        <w:tabs>
          <w:tab w:val="right" w:leader="dot" w:pos="6889"/>
        </w:tabs>
        <w:spacing w:line="340" w:lineRule="exact"/>
        <w:ind w:left="113" w:right="113" w:firstLine="0"/>
        <w:rPr>
          <w:rFonts w:cs="Ya-Ali"/>
          <w:rtl/>
        </w:rPr>
      </w:pPr>
      <w:r w:rsidRPr="00904FCB">
        <w:rPr>
          <w:rFonts w:cs="Ya-Ali" w:hint="cs"/>
          <w:sz w:val="27"/>
          <w:rtl/>
        </w:rPr>
        <w:t>التــــاريــخ</w:t>
      </w:r>
      <w:r w:rsidR="006D38E2" w:rsidRPr="00904FCB">
        <w:rPr>
          <w:rFonts w:cs="Ya-Ali" w:hint="cs"/>
          <w:sz w:val="27"/>
          <w:rtl/>
        </w:rPr>
        <w:t>:</w:t>
      </w:r>
      <w:r w:rsidR="00D95A85" w:rsidRPr="00904FCB">
        <w:rPr>
          <w:rFonts w:cs="Ya-Ali" w:hint="cs"/>
          <w:sz w:val="27"/>
          <w:rtl/>
        </w:rPr>
        <w:t>.</w:t>
      </w:r>
      <w:r w:rsidRPr="00904FCB">
        <w:rPr>
          <w:rFonts w:cs="Ya-Ali" w:hint="cs"/>
          <w:sz w:val="27"/>
          <w:rtl/>
        </w:rPr>
        <w:t>......................التوقيــــع</w:t>
      </w:r>
      <w:r w:rsidR="006D38E2" w:rsidRPr="00904FCB">
        <w:rPr>
          <w:rFonts w:cs="Ya-Ali" w:hint="cs"/>
          <w:sz w:val="27"/>
          <w:rtl/>
        </w:rPr>
        <w:t xml:space="preserve">: </w:t>
      </w:r>
      <w:r w:rsidRPr="00904FCB">
        <w:rPr>
          <w:rFonts w:cs="Ya-Ali" w:hint="cs"/>
          <w:sz w:val="27"/>
          <w:rtl/>
        </w:rPr>
        <w:tab/>
      </w:r>
    </w:p>
    <w:p w:rsidR="00DA7FA6" w:rsidRPr="00777930" w:rsidRDefault="00DA7FA6" w:rsidP="00777930">
      <w:pPr>
        <w:spacing w:line="300" w:lineRule="exact"/>
        <w:ind w:firstLine="0"/>
        <w:jc w:val="center"/>
        <w:rPr>
          <w:sz w:val="20"/>
          <w:szCs w:val="20"/>
          <w:rtl/>
        </w:rPr>
      </w:pPr>
    </w:p>
    <w:p w:rsidR="00777930" w:rsidRPr="00777930" w:rsidRDefault="00777930" w:rsidP="00777930">
      <w:pPr>
        <w:spacing w:after="120" w:line="300" w:lineRule="exact"/>
        <w:ind w:firstLine="0"/>
        <w:jc w:val="center"/>
        <w:rPr>
          <w:rFonts w:cs="PT Bold Heading"/>
          <w:sz w:val="20"/>
          <w:szCs w:val="20"/>
          <w:rtl/>
        </w:rPr>
      </w:pPr>
    </w:p>
    <w:p w:rsidR="000B5897" w:rsidRPr="00904FCB" w:rsidRDefault="000B5897" w:rsidP="000B5897">
      <w:pPr>
        <w:spacing w:after="120" w:line="480" w:lineRule="exact"/>
        <w:ind w:firstLine="0"/>
        <w:jc w:val="center"/>
        <w:rPr>
          <w:rFonts w:cs="PT Bold Heading"/>
          <w:sz w:val="32"/>
          <w:szCs w:val="30"/>
          <w:rtl/>
        </w:rPr>
      </w:pPr>
      <w:r w:rsidRPr="00904FCB">
        <w:rPr>
          <w:rFonts w:cs="PT Bold Heading" w:hint="cs"/>
          <w:sz w:val="32"/>
          <w:szCs w:val="30"/>
          <w:rtl/>
        </w:rPr>
        <w:t>الاشتراك السنوي</w:t>
      </w:r>
    </w:p>
    <w:p w:rsidR="000B5897" w:rsidRPr="00904FCB" w:rsidRDefault="00072C15" w:rsidP="000B5897">
      <w:pPr>
        <w:spacing w:line="500" w:lineRule="exact"/>
        <w:ind w:firstLine="0"/>
        <w:jc w:val="center"/>
        <w:rPr>
          <w:rFonts w:cs="Traditional Arabic"/>
          <w:b/>
          <w:bCs/>
        </w:rPr>
      </w:pPr>
      <w:r w:rsidRPr="00904FCB">
        <w:rPr>
          <w:noProof/>
        </w:rPr>
        <mc:AlternateContent>
          <mc:Choice Requires="wps">
            <w:drawing>
              <wp:anchor distT="0" distB="0" distL="114300" distR="114300" simplePos="0" relativeHeight="251654656" behindDoc="1" locked="0" layoutInCell="1" allowOverlap="1" wp14:anchorId="7BD50865" wp14:editId="36B015E9">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FDAF36" id="Rectangle 13" o:spid="_x0000_s1026" style="position:absolute;margin-left:.75pt;margin-top:3.2pt;width:351.7pt;height:2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904FCB">
        <w:rPr>
          <w:rFonts w:cs="Traditional Arabic" w:hint="cs"/>
          <w:b/>
          <w:bCs/>
          <w:rtl/>
        </w:rPr>
        <w:t>سائر الدول</w:t>
      </w:r>
      <w:r w:rsidR="006D38E2" w:rsidRPr="00904FCB">
        <w:rPr>
          <w:rFonts w:cs="Traditional Arabic" w:hint="cs"/>
          <w:b/>
          <w:bCs/>
          <w:rtl/>
        </w:rPr>
        <w:t xml:space="preserve">: </w:t>
      </w:r>
      <w:r w:rsidR="000B5897" w:rsidRPr="00904FCB">
        <w:rPr>
          <w:rFonts w:cs="DanaFajr" w:hint="cs"/>
          <w:sz w:val="22"/>
        </w:rPr>
        <w:sym w:font="Wingdings" w:char="F0A8"/>
      </w:r>
      <w:r w:rsidR="000B5897" w:rsidRPr="00904FCB">
        <w:rPr>
          <w:rFonts w:cs="Traditional Arabic" w:hint="cs"/>
          <w:b/>
          <w:bCs/>
          <w:rtl/>
        </w:rPr>
        <w:t xml:space="preserve">للأفراد </w:t>
      </w:r>
      <w:r w:rsidR="000B5897" w:rsidRPr="006333E0">
        <w:rPr>
          <w:rFonts w:cs="Ya-Ali" w:hint="cs"/>
          <w:b/>
          <w:bCs/>
          <w:rtl/>
        </w:rPr>
        <w:t>100</w:t>
      </w:r>
      <w:r w:rsidR="000B5897" w:rsidRPr="00904FCB">
        <w:rPr>
          <w:rFonts w:cs="Traditional Arabic" w:hint="cs"/>
          <w:b/>
          <w:bCs/>
          <w:rtl/>
        </w:rPr>
        <w:t xml:space="preserve"> دولار    </w:t>
      </w:r>
      <w:r w:rsidR="000B5897" w:rsidRPr="00904FCB">
        <w:rPr>
          <w:rFonts w:cs="DanaFajr" w:hint="cs"/>
          <w:sz w:val="22"/>
        </w:rPr>
        <w:sym w:font="Wingdings" w:char="F0A8"/>
      </w:r>
      <w:r w:rsidR="000B5897" w:rsidRPr="00904FCB">
        <w:rPr>
          <w:rFonts w:cs="Traditional Arabic" w:hint="cs"/>
          <w:b/>
          <w:bCs/>
          <w:rtl/>
        </w:rPr>
        <w:t xml:space="preserve">للمؤسسات </w:t>
      </w:r>
      <w:r w:rsidR="000B5897" w:rsidRPr="006333E0">
        <w:rPr>
          <w:rFonts w:cs="Ya-Ali" w:hint="cs"/>
          <w:b/>
          <w:bCs/>
          <w:rtl/>
        </w:rPr>
        <w:t>200</w:t>
      </w:r>
      <w:r w:rsidR="000B5897" w:rsidRPr="00904FCB">
        <w:rPr>
          <w:rFonts w:cs="Traditional Arabic" w:hint="cs"/>
          <w:b/>
          <w:bCs/>
          <w:rtl/>
        </w:rPr>
        <w:t xml:space="preserve"> دولار </w:t>
      </w:r>
      <w:r w:rsidR="000B5897" w:rsidRPr="00904FCB">
        <w:rPr>
          <w:rFonts w:cs="Traditional Arabic" w:hint="cs"/>
          <w:b/>
          <w:bCs/>
          <w:sz w:val="22"/>
          <w:szCs w:val="22"/>
          <w:rtl/>
        </w:rPr>
        <w:t>(خالص</w:t>
      </w:r>
      <w:r w:rsidR="006D38E2" w:rsidRPr="00904FCB">
        <w:rPr>
          <w:rFonts w:cs="Traditional Arabic" w:hint="cs"/>
          <w:b/>
          <w:bCs/>
          <w:sz w:val="22"/>
          <w:szCs w:val="22"/>
          <w:rtl/>
        </w:rPr>
        <w:t xml:space="preserve">ة </w:t>
      </w:r>
      <w:r w:rsidR="000B5897" w:rsidRPr="00904FCB">
        <w:rPr>
          <w:rFonts w:cs="Traditional Arabic" w:hint="cs"/>
          <w:b/>
          <w:bCs/>
          <w:sz w:val="22"/>
          <w:szCs w:val="22"/>
          <w:rtl/>
        </w:rPr>
        <w:t>أجور البريد)</w:t>
      </w:r>
    </w:p>
    <w:p w:rsidR="000B5897" w:rsidRPr="00777930" w:rsidRDefault="000B5897" w:rsidP="00777930">
      <w:pPr>
        <w:spacing w:line="300" w:lineRule="exact"/>
        <w:ind w:firstLine="0"/>
        <w:jc w:val="center"/>
        <w:rPr>
          <w:sz w:val="20"/>
          <w:szCs w:val="20"/>
          <w:rtl/>
        </w:rPr>
      </w:pPr>
    </w:p>
    <w:p w:rsidR="00777930" w:rsidRPr="00777930" w:rsidRDefault="00777930" w:rsidP="00777930">
      <w:pPr>
        <w:spacing w:line="300" w:lineRule="exact"/>
        <w:ind w:firstLine="0"/>
        <w:jc w:val="center"/>
        <w:rPr>
          <w:rFonts w:cs="PT Bold Heading"/>
          <w:sz w:val="20"/>
          <w:szCs w:val="20"/>
          <w:rtl/>
        </w:rPr>
      </w:pPr>
    </w:p>
    <w:p w:rsidR="000B5897" w:rsidRPr="00904FCB" w:rsidRDefault="000B5897" w:rsidP="000B5897">
      <w:pPr>
        <w:spacing w:after="120" w:line="480" w:lineRule="exact"/>
        <w:ind w:firstLine="0"/>
        <w:jc w:val="center"/>
        <w:rPr>
          <w:sz w:val="8"/>
          <w:rtl/>
        </w:rPr>
      </w:pPr>
      <w:r w:rsidRPr="00904FCB">
        <w:rPr>
          <w:rFonts w:cs="PT Bold Heading" w:hint="cs"/>
          <w:sz w:val="32"/>
          <w:szCs w:val="30"/>
          <w:rtl/>
        </w:rPr>
        <w:t>ثمن النسخ</w:t>
      </w:r>
      <w:r w:rsidR="006D38E2" w:rsidRPr="00904FCB">
        <w:rPr>
          <w:rFonts w:cs="PT Bold Heading" w:hint="cs"/>
          <w:sz w:val="32"/>
          <w:szCs w:val="30"/>
          <w:rtl/>
        </w:rPr>
        <w:t xml:space="preserve">ة </w:t>
      </w:r>
    </w:p>
    <w:p w:rsidR="000B5897" w:rsidRPr="00904FCB" w:rsidRDefault="00072C15" w:rsidP="00A332AF">
      <w:pPr>
        <w:spacing w:before="100"/>
        <w:ind w:left="113" w:right="142" w:firstLine="0"/>
        <w:rPr>
          <w:noProof/>
          <w:spacing w:val="-4"/>
          <w:sz w:val="29"/>
          <w:szCs w:val="29"/>
          <w:rtl/>
        </w:rPr>
      </w:pPr>
      <w:r w:rsidRPr="00904FCB">
        <w:rPr>
          <w:noProof/>
        </w:rPr>
        <mc:AlternateContent>
          <mc:Choice Requires="wps">
            <w:drawing>
              <wp:anchor distT="0" distB="0" distL="114300" distR="114300" simplePos="0" relativeHeight="251652608" behindDoc="1" locked="0" layoutInCell="1" allowOverlap="1" wp14:anchorId="1C455201" wp14:editId="2A67B958">
                <wp:simplePos x="0" y="0"/>
                <wp:positionH relativeFrom="column">
                  <wp:posOffset>-11160</wp:posOffset>
                </wp:positionH>
                <wp:positionV relativeFrom="paragraph">
                  <wp:posOffset>689</wp:posOffset>
                </wp:positionV>
                <wp:extent cx="4457700" cy="1789889"/>
                <wp:effectExtent l="19050" t="19050" r="19050" b="2032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789889"/>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9pt;margin-top:.05pt;width:351pt;height:140.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" filled="f" strokeweight="3pt">
                <v:stroke linestyle="thinThin"/>
              </v:rect>
            </w:pict>
          </mc:Fallback>
        </mc:AlternateConten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لبنان </w:t>
      </w:r>
      <w:r w:rsidR="000B5897" w:rsidRPr="006333E0">
        <w:rPr>
          <w:rFonts w:cs="Ya-Ali" w:hint="cs"/>
          <w:noProof/>
          <w:spacing w:val="-4"/>
          <w:sz w:val="29"/>
          <w:szCs w:val="29"/>
          <w:rtl/>
        </w:rPr>
        <w:t>5000</w:t>
      </w:r>
      <w:r w:rsidR="000B5897" w:rsidRPr="00904FCB">
        <w:rPr>
          <w:rFonts w:hint="cs"/>
          <w:noProof/>
          <w:spacing w:val="-4"/>
          <w:sz w:val="29"/>
          <w:szCs w:val="29"/>
          <w:rtl/>
        </w:rPr>
        <w:t xml:space="preserve"> </w:t>
      </w:r>
      <w:r w:rsidR="00D173DB">
        <w:rPr>
          <w:rFonts w:hint="cs"/>
          <w:noProof/>
          <w:spacing w:val="-4"/>
          <w:sz w:val="29"/>
          <w:szCs w:val="29"/>
          <w:rtl/>
        </w:rPr>
        <w:t>ليرة</w:t>
      </w:r>
      <w:r w:rsidR="000B5897" w:rsidRPr="00904FCB">
        <w:rPr>
          <w:rFonts w:hint="cs"/>
          <w:noProof/>
          <w:spacing w:val="-4"/>
          <w:sz w:val="29"/>
          <w:szCs w:val="29"/>
          <w:rtl/>
        </w:rPr>
        <w:t xml:space="preserve">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سوريا </w:t>
      </w:r>
      <w:r w:rsidR="000B5897" w:rsidRPr="006333E0">
        <w:rPr>
          <w:rFonts w:cs="Ya-Ali" w:hint="cs"/>
          <w:noProof/>
          <w:spacing w:val="-4"/>
          <w:sz w:val="29"/>
          <w:szCs w:val="29"/>
          <w:rtl/>
        </w:rPr>
        <w:t>150</w:t>
      </w:r>
      <w:r w:rsidR="000B5897" w:rsidRPr="00904FCB">
        <w:rPr>
          <w:rFonts w:hint="cs"/>
          <w:noProof/>
          <w:spacing w:val="-4"/>
          <w:sz w:val="29"/>
          <w:szCs w:val="29"/>
          <w:rtl/>
        </w:rPr>
        <w:t xml:space="preserve"> </w:t>
      </w:r>
      <w:r w:rsidR="00D173DB">
        <w:rPr>
          <w:rFonts w:hint="cs"/>
          <w:noProof/>
          <w:spacing w:val="-4"/>
          <w:sz w:val="29"/>
          <w:szCs w:val="29"/>
          <w:rtl/>
        </w:rPr>
        <w:t>ليرة</w:t>
      </w:r>
      <w:r w:rsidR="000B5897" w:rsidRPr="00904FCB">
        <w:rPr>
          <w:rFonts w:hint="cs"/>
          <w:noProof/>
          <w:spacing w:val="-4"/>
          <w:sz w:val="29"/>
          <w:szCs w:val="29"/>
          <w:rtl/>
        </w:rPr>
        <w:t xml:space="preserve">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الأردن </w:t>
      </w:r>
      <w:r w:rsidR="000B5897" w:rsidRPr="006333E0">
        <w:rPr>
          <w:rFonts w:cs="Ya-Ali" w:hint="cs"/>
          <w:noProof/>
          <w:spacing w:val="-4"/>
          <w:sz w:val="29"/>
          <w:szCs w:val="29"/>
          <w:rtl/>
        </w:rPr>
        <w:t>2</w:t>
      </w:r>
      <w:r w:rsidR="000B5897" w:rsidRPr="00904FCB">
        <w:rPr>
          <w:rFonts w:hint="cs"/>
          <w:noProof/>
          <w:spacing w:val="-4"/>
          <w:sz w:val="29"/>
          <w:szCs w:val="29"/>
          <w:rtl/>
        </w:rPr>
        <w:t>.</w:t>
      </w:r>
      <w:r w:rsidR="000B5897" w:rsidRPr="006333E0">
        <w:rPr>
          <w:rFonts w:cs="Ya-Ali" w:hint="cs"/>
          <w:noProof/>
          <w:spacing w:val="-4"/>
          <w:sz w:val="29"/>
          <w:szCs w:val="29"/>
          <w:rtl/>
        </w:rPr>
        <w:t>5</w:t>
      </w:r>
      <w:r w:rsidR="000B5897" w:rsidRPr="00904FCB">
        <w:rPr>
          <w:rFonts w:hint="cs"/>
          <w:noProof/>
          <w:spacing w:val="-4"/>
          <w:sz w:val="29"/>
          <w:szCs w:val="29"/>
          <w:rtl/>
        </w:rPr>
        <w:t xml:space="preserve"> دينار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الكويت </w:t>
      </w:r>
      <w:r w:rsidR="000B5897" w:rsidRPr="006333E0">
        <w:rPr>
          <w:rFonts w:cs="Ya-Ali" w:hint="cs"/>
          <w:noProof/>
          <w:spacing w:val="-4"/>
          <w:sz w:val="29"/>
          <w:szCs w:val="29"/>
          <w:rtl/>
        </w:rPr>
        <w:t>3</w:t>
      </w:r>
      <w:r w:rsidR="000B5897" w:rsidRPr="00904FCB">
        <w:rPr>
          <w:rFonts w:hint="cs"/>
          <w:noProof/>
          <w:spacing w:val="-4"/>
          <w:sz w:val="29"/>
          <w:szCs w:val="29"/>
          <w:rtl/>
        </w:rPr>
        <w:t xml:space="preserve"> </w:t>
      </w:r>
      <w:r w:rsidR="00A332AF">
        <w:rPr>
          <w:rFonts w:hint="cs"/>
          <w:noProof/>
          <w:spacing w:val="-4"/>
          <w:sz w:val="29"/>
          <w:szCs w:val="29"/>
          <w:rtl/>
        </w:rPr>
        <w:t>دنانير</w:t>
      </w:r>
      <w:r w:rsidR="000B5897" w:rsidRPr="00904FCB">
        <w:rPr>
          <w:rFonts w:hint="cs"/>
          <w:noProof/>
          <w:spacing w:val="-4"/>
          <w:sz w:val="29"/>
          <w:szCs w:val="29"/>
          <w:rtl/>
        </w:rPr>
        <w:t xml:space="preserve"> </w:t>
      </w:r>
      <w:r w:rsidR="000B5897" w:rsidRPr="00904FCB">
        <w:rPr>
          <w:noProof/>
          <w:spacing w:val="-4"/>
          <w:sz w:val="29"/>
          <w:szCs w:val="29"/>
          <w:rtl/>
        </w:rPr>
        <w:br/>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العراق </w:t>
      </w:r>
      <w:r w:rsidR="000B5897" w:rsidRPr="006333E0">
        <w:rPr>
          <w:rFonts w:cs="Ya-Ali" w:hint="cs"/>
          <w:noProof/>
          <w:spacing w:val="-4"/>
          <w:sz w:val="29"/>
          <w:szCs w:val="29"/>
          <w:rtl/>
        </w:rPr>
        <w:t>3000</w:t>
      </w:r>
      <w:r w:rsidR="000B5897" w:rsidRPr="00904FCB">
        <w:rPr>
          <w:rFonts w:hint="cs"/>
          <w:noProof/>
          <w:spacing w:val="-4"/>
          <w:sz w:val="29"/>
          <w:szCs w:val="29"/>
          <w:rtl/>
        </w:rPr>
        <w:t xml:space="preserve"> دينار </w:t>
      </w:r>
      <w:r w:rsidR="000B5897" w:rsidRPr="00904FCB">
        <w:rPr>
          <w:rFonts w:hint="cs"/>
          <w:noProof/>
          <w:spacing w:val="-4"/>
          <w:sz w:val="29"/>
          <w:szCs w:val="29"/>
        </w:rPr>
        <w:sym w:font="Wingdings" w:char="F0D7"/>
      </w:r>
      <w:r w:rsidR="000B5897" w:rsidRPr="00904FCB">
        <w:rPr>
          <w:rFonts w:hint="cs"/>
          <w:noProof/>
          <w:spacing w:val="-4"/>
          <w:sz w:val="29"/>
          <w:szCs w:val="29"/>
          <w:rtl/>
        </w:rPr>
        <w:t>الإمارات العربي</w:t>
      </w:r>
      <w:r w:rsidR="006D38E2" w:rsidRPr="00904FCB">
        <w:rPr>
          <w:rFonts w:hint="cs"/>
          <w:noProof/>
          <w:spacing w:val="-4"/>
          <w:sz w:val="29"/>
          <w:szCs w:val="29"/>
          <w:rtl/>
        </w:rPr>
        <w:t xml:space="preserve">ة </w:t>
      </w:r>
      <w:r w:rsidR="000B5897" w:rsidRPr="006333E0">
        <w:rPr>
          <w:rFonts w:cs="Ya-Ali" w:hint="cs"/>
          <w:noProof/>
          <w:spacing w:val="-4"/>
          <w:sz w:val="29"/>
          <w:szCs w:val="29"/>
          <w:rtl/>
        </w:rPr>
        <w:t>30</w:t>
      </w:r>
      <w:r w:rsidR="000B5897" w:rsidRPr="00904FCB">
        <w:rPr>
          <w:rFonts w:hint="cs"/>
          <w:noProof/>
          <w:spacing w:val="-4"/>
          <w:sz w:val="29"/>
          <w:szCs w:val="29"/>
          <w:rtl/>
        </w:rPr>
        <w:t xml:space="preserve"> درهماً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البحرين </w:t>
      </w:r>
      <w:r w:rsidR="000B5897" w:rsidRPr="006333E0">
        <w:rPr>
          <w:rFonts w:cs="Ya-Ali" w:hint="cs"/>
          <w:noProof/>
          <w:spacing w:val="-4"/>
          <w:sz w:val="29"/>
          <w:szCs w:val="29"/>
          <w:rtl/>
        </w:rPr>
        <w:t>3</w:t>
      </w:r>
      <w:r w:rsidR="000B5897" w:rsidRPr="00904FCB">
        <w:rPr>
          <w:rFonts w:hint="cs"/>
          <w:noProof/>
          <w:spacing w:val="-4"/>
          <w:sz w:val="29"/>
          <w:szCs w:val="29"/>
          <w:rtl/>
        </w:rPr>
        <w:t xml:space="preserve"> </w:t>
      </w:r>
      <w:r w:rsidR="00A332AF">
        <w:rPr>
          <w:rFonts w:hint="cs"/>
          <w:noProof/>
          <w:spacing w:val="-4"/>
          <w:sz w:val="29"/>
          <w:szCs w:val="29"/>
          <w:rtl/>
        </w:rPr>
        <w:t>دنانير</w:t>
      </w:r>
      <w:r w:rsidR="000B5897" w:rsidRPr="00904FCB">
        <w:rPr>
          <w:rFonts w:hint="cs"/>
          <w:noProof/>
          <w:spacing w:val="-4"/>
          <w:sz w:val="29"/>
          <w:szCs w:val="29"/>
          <w:rtl/>
        </w:rPr>
        <w:t xml:space="preserve">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قطر </w:t>
      </w:r>
      <w:r w:rsidR="000B5897" w:rsidRPr="006333E0">
        <w:rPr>
          <w:rFonts w:cs="Ya-Ali" w:hint="cs"/>
          <w:noProof/>
          <w:spacing w:val="-4"/>
          <w:sz w:val="29"/>
          <w:szCs w:val="29"/>
          <w:rtl/>
        </w:rPr>
        <w:t>30</w:t>
      </w:r>
      <w:r w:rsidR="000B5897" w:rsidRPr="00904FCB">
        <w:rPr>
          <w:rFonts w:hint="cs"/>
          <w:noProof/>
          <w:spacing w:val="-4"/>
          <w:sz w:val="29"/>
          <w:szCs w:val="29"/>
          <w:rtl/>
        </w:rPr>
        <w:t xml:space="preserve"> ريالاً </w:t>
      </w:r>
      <w:r w:rsidR="000B5897" w:rsidRPr="00904FCB">
        <w:rPr>
          <w:rFonts w:hint="cs"/>
          <w:noProof/>
          <w:spacing w:val="-4"/>
          <w:sz w:val="29"/>
          <w:szCs w:val="29"/>
        </w:rPr>
        <w:sym w:font="Wingdings" w:char="F0D7"/>
      </w:r>
      <w:r w:rsidR="000B5897" w:rsidRPr="00904FCB">
        <w:rPr>
          <w:rFonts w:hint="cs"/>
          <w:noProof/>
          <w:spacing w:val="-4"/>
          <w:sz w:val="29"/>
          <w:szCs w:val="29"/>
          <w:rtl/>
        </w:rPr>
        <w:t>السعودي</w:t>
      </w:r>
      <w:r w:rsidR="006D38E2" w:rsidRPr="00904FCB">
        <w:rPr>
          <w:rFonts w:hint="cs"/>
          <w:noProof/>
          <w:spacing w:val="-4"/>
          <w:sz w:val="29"/>
          <w:szCs w:val="29"/>
          <w:rtl/>
        </w:rPr>
        <w:t xml:space="preserve">ة </w:t>
      </w:r>
      <w:r w:rsidR="000B5897" w:rsidRPr="006333E0">
        <w:rPr>
          <w:rFonts w:cs="Ya-Ali" w:hint="cs"/>
          <w:noProof/>
          <w:spacing w:val="-4"/>
          <w:sz w:val="29"/>
          <w:szCs w:val="29"/>
          <w:rtl/>
        </w:rPr>
        <w:t>30</w:t>
      </w:r>
      <w:r w:rsidR="000B5897" w:rsidRPr="00904FCB">
        <w:rPr>
          <w:rFonts w:hint="cs"/>
          <w:noProof/>
          <w:spacing w:val="-4"/>
          <w:sz w:val="29"/>
          <w:szCs w:val="29"/>
          <w:rtl/>
        </w:rPr>
        <w:t xml:space="preserve"> ريالاً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عمان </w:t>
      </w:r>
      <w:r w:rsidR="000B5897" w:rsidRPr="006333E0">
        <w:rPr>
          <w:rFonts w:cs="Ya-Ali" w:hint="cs"/>
          <w:noProof/>
          <w:spacing w:val="-4"/>
          <w:sz w:val="29"/>
          <w:szCs w:val="29"/>
          <w:rtl/>
        </w:rPr>
        <w:t>3</w:t>
      </w:r>
      <w:r w:rsidR="000B5897" w:rsidRPr="00904FCB">
        <w:rPr>
          <w:rFonts w:hint="cs"/>
          <w:noProof/>
          <w:spacing w:val="-4"/>
          <w:sz w:val="29"/>
          <w:szCs w:val="29"/>
          <w:rtl/>
        </w:rPr>
        <w:t xml:space="preserve"> ريال</w:t>
      </w:r>
      <w:r w:rsidR="00A332AF">
        <w:rPr>
          <w:rFonts w:hint="cs"/>
          <w:noProof/>
          <w:spacing w:val="-4"/>
          <w:sz w:val="29"/>
          <w:szCs w:val="29"/>
          <w:rtl/>
        </w:rPr>
        <w:t>ات</w:t>
      </w:r>
      <w:r w:rsidR="000B5897" w:rsidRPr="00904FCB">
        <w:rPr>
          <w:rFonts w:hint="cs"/>
          <w:noProof/>
          <w:spacing w:val="-4"/>
          <w:sz w:val="29"/>
          <w:szCs w:val="29"/>
          <w:rtl/>
        </w:rPr>
        <w:t xml:space="preserve">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اليمن </w:t>
      </w:r>
      <w:r w:rsidR="000B5897" w:rsidRPr="006333E0">
        <w:rPr>
          <w:rFonts w:cs="Ya-Ali" w:hint="cs"/>
          <w:noProof/>
          <w:spacing w:val="-4"/>
          <w:sz w:val="29"/>
          <w:szCs w:val="29"/>
          <w:rtl/>
        </w:rPr>
        <w:t>400</w:t>
      </w:r>
      <w:r w:rsidR="000B5897" w:rsidRPr="00904FCB">
        <w:rPr>
          <w:rFonts w:hint="cs"/>
          <w:noProof/>
          <w:spacing w:val="-4"/>
          <w:sz w:val="29"/>
          <w:szCs w:val="29"/>
          <w:rtl/>
        </w:rPr>
        <w:t xml:space="preserve"> ريال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مصر </w:t>
      </w:r>
      <w:r w:rsidR="000B5897" w:rsidRPr="006333E0">
        <w:rPr>
          <w:rFonts w:cs="Ya-Ali" w:hint="cs"/>
          <w:noProof/>
          <w:spacing w:val="-4"/>
          <w:sz w:val="29"/>
          <w:szCs w:val="29"/>
          <w:rtl/>
        </w:rPr>
        <w:t>7</w:t>
      </w:r>
      <w:r w:rsidR="000B5897" w:rsidRPr="00904FCB">
        <w:rPr>
          <w:rFonts w:hint="cs"/>
          <w:noProof/>
          <w:spacing w:val="-4"/>
          <w:sz w:val="29"/>
          <w:szCs w:val="29"/>
          <w:rtl/>
        </w:rPr>
        <w:t xml:space="preserve"> جنيهات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السودان </w:t>
      </w:r>
      <w:r w:rsidR="000B5897" w:rsidRPr="006333E0">
        <w:rPr>
          <w:rFonts w:cs="Ya-Ali" w:hint="cs"/>
          <w:noProof/>
          <w:spacing w:val="-4"/>
          <w:sz w:val="29"/>
          <w:szCs w:val="29"/>
          <w:rtl/>
        </w:rPr>
        <w:t>200</w:t>
      </w:r>
      <w:r w:rsidR="000B5897" w:rsidRPr="00904FCB">
        <w:rPr>
          <w:rFonts w:hint="cs"/>
          <w:noProof/>
          <w:spacing w:val="-4"/>
          <w:sz w:val="29"/>
          <w:szCs w:val="29"/>
          <w:rtl/>
        </w:rPr>
        <w:t xml:space="preserve"> دينار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الصومال </w:t>
      </w:r>
      <w:r w:rsidR="000B5897" w:rsidRPr="006333E0">
        <w:rPr>
          <w:rFonts w:cs="Ya-Ali" w:hint="cs"/>
          <w:noProof/>
          <w:spacing w:val="-4"/>
          <w:sz w:val="29"/>
          <w:szCs w:val="29"/>
          <w:rtl/>
        </w:rPr>
        <w:t>150</w:t>
      </w:r>
      <w:r w:rsidR="000B5897" w:rsidRPr="00904FCB">
        <w:rPr>
          <w:rFonts w:hint="cs"/>
          <w:noProof/>
          <w:spacing w:val="-4"/>
          <w:sz w:val="29"/>
          <w:szCs w:val="29"/>
          <w:rtl/>
        </w:rPr>
        <w:t xml:space="preserve"> شلناً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ليبيا </w:t>
      </w:r>
      <w:r w:rsidR="000B5897" w:rsidRPr="006333E0">
        <w:rPr>
          <w:rFonts w:cs="Ya-Ali" w:hint="cs"/>
          <w:noProof/>
          <w:spacing w:val="-4"/>
          <w:sz w:val="29"/>
          <w:szCs w:val="29"/>
          <w:rtl/>
        </w:rPr>
        <w:t>5</w:t>
      </w:r>
      <w:r w:rsidR="000B5897" w:rsidRPr="00904FCB">
        <w:rPr>
          <w:rFonts w:hint="cs"/>
          <w:noProof/>
          <w:spacing w:val="-4"/>
          <w:sz w:val="29"/>
          <w:szCs w:val="29"/>
          <w:rtl/>
        </w:rPr>
        <w:t xml:space="preserve"> دنانير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الجزائر </w:t>
      </w:r>
      <w:r w:rsidR="000B5897" w:rsidRPr="006333E0">
        <w:rPr>
          <w:rFonts w:cs="Ya-Ali" w:hint="cs"/>
          <w:noProof/>
          <w:spacing w:val="-4"/>
          <w:sz w:val="29"/>
          <w:szCs w:val="29"/>
          <w:rtl/>
        </w:rPr>
        <w:t>30</w:t>
      </w:r>
      <w:r w:rsidR="000B5897" w:rsidRPr="00904FCB">
        <w:rPr>
          <w:rFonts w:hint="cs"/>
          <w:noProof/>
          <w:spacing w:val="-4"/>
          <w:sz w:val="29"/>
          <w:szCs w:val="29"/>
          <w:rtl/>
        </w:rPr>
        <w:t xml:space="preserve"> ديناراً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تونس </w:t>
      </w:r>
      <w:r w:rsidR="000B5897" w:rsidRPr="006333E0">
        <w:rPr>
          <w:rFonts w:cs="Ya-Ali" w:hint="cs"/>
          <w:noProof/>
          <w:spacing w:val="-4"/>
          <w:sz w:val="29"/>
          <w:szCs w:val="29"/>
          <w:rtl/>
        </w:rPr>
        <w:t>3</w:t>
      </w:r>
      <w:r w:rsidR="000B5897" w:rsidRPr="00904FCB">
        <w:rPr>
          <w:rFonts w:hint="cs"/>
          <w:noProof/>
          <w:spacing w:val="-4"/>
          <w:sz w:val="29"/>
          <w:szCs w:val="29"/>
          <w:rtl/>
        </w:rPr>
        <w:t xml:space="preserve"> </w:t>
      </w:r>
      <w:r w:rsidR="00A332AF">
        <w:rPr>
          <w:rFonts w:hint="cs"/>
          <w:noProof/>
          <w:spacing w:val="-4"/>
          <w:sz w:val="29"/>
          <w:szCs w:val="29"/>
          <w:rtl/>
        </w:rPr>
        <w:t>دنانير</w:t>
      </w:r>
      <w:r w:rsidR="000B5897" w:rsidRPr="00904FCB">
        <w:rPr>
          <w:rFonts w:hint="cs"/>
          <w:noProof/>
          <w:spacing w:val="-4"/>
          <w:sz w:val="29"/>
          <w:szCs w:val="29"/>
          <w:rtl/>
        </w:rPr>
        <w:t xml:space="preserve">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المغرب </w:t>
      </w:r>
      <w:r w:rsidR="000B5897" w:rsidRPr="006333E0">
        <w:rPr>
          <w:rFonts w:cs="Ya-Ali" w:hint="cs"/>
          <w:noProof/>
          <w:spacing w:val="-4"/>
          <w:sz w:val="29"/>
          <w:szCs w:val="29"/>
          <w:rtl/>
        </w:rPr>
        <w:t>30</w:t>
      </w:r>
      <w:r w:rsidR="000B5897" w:rsidRPr="00904FCB">
        <w:rPr>
          <w:rFonts w:hint="cs"/>
          <w:noProof/>
          <w:spacing w:val="-4"/>
          <w:sz w:val="29"/>
          <w:szCs w:val="29"/>
          <w:rtl/>
        </w:rPr>
        <w:t xml:space="preserve"> درهماً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موريتانيا </w:t>
      </w:r>
      <w:r w:rsidR="000B5897" w:rsidRPr="006333E0">
        <w:rPr>
          <w:rFonts w:cs="Ya-Ali" w:hint="cs"/>
          <w:noProof/>
          <w:spacing w:val="-4"/>
          <w:sz w:val="29"/>
          <w:szCs w:val="29"/>
          <w:rtl/>
        </w:rPr>
        <w:t>500</w:t>
      </w:r>
      <w:r w:rsidR="000B5897" w:rsidRPr="00904FCB">
        <w:rPr>
          <w:rFonts w:hint="cs"/>
          <w:noProof/>
          <w:spacing w:val="-4"/>
          <w:sz w:val="29"/>
          <w:szCs w:val="29"/>
          <w:rtl/>
        </w:rPr>
        <w:t xml:space="preserve"> أوقي</w:t>
      </w:r>
      <w:r w:rsidR="006D38E2" w:rsidRPr="00904FCB">
        <w:rPr>
          <w:rFonts w:hint="cs"/>
          <w:noProof/>
          <w:spacing w:val="-4"/>
          <w:sz w:val="29"/>
          <w:szCs w:val="29"/>
          <w:rtl/>
        </w:rPr>
        <w:t xml:space="preserve">ة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تركيا </w:t>
      </w:r>
      <w:r w:rsidR="000B5897" w:rsidRPr="006333E0">
        <w:rPr>
          <w:rFonts w:cs="Ya-Ali" w:hint="cs"/>
          <w:noProof/>
          <w:spacing w:val="-4"/>
          <w:sz w:val="29"/>
          <w:szCs w:val="29"/>
          <w:rtl/>
        </w:rPr>
        <w:t>20000</w:t>
      </w:r>
      <w:r w:rsidR="000B5897" w:rsidRPr="00904FCB">
        <w:rPr>
          <w:rFonts w:hint="cs"/>
          <w:noProof/>
          <w:spacing w:val="-4"/>
          <w:sz w:val="29"/>
          <w:szCs w:val="29"/>
          <w:rtl/>
        </w:rPr>
        <w:t xml:space="preserve"> لير</w:t>
      </w:r>
      <w:r w:rsidR="006D38E2" w:rsidRPr="00904FCB">
        <w:rPr>
          <w:rFonts w:hint="cs"/>
          <w:noProof/>
          <w:spacing w:val="-4"/>
          <w:sz w:val="29"/>
          <w:szCs w:val="29"/>
          <w:rtl/>
        </w:rPr>
        <w:t xml:space="preserve">ة </w:t>
      </w:r>
      <w:r w:rsidR="000B5897" w:rsidRPr="00904FCB">
        <w:rPr>
          <w:rFonts w:hint="cs"/>
          <w:noProof/>
          <w:spacing w:val="-4"/>
          <w:sz w:val="29"/>
          <w:szCs w:val="29"/>
        </w:rPr>
        <w:sym w:font="Wingdings" w:char="F0D7"/>
      </w:r>
      <w:r w:rsidR="000B5897" w:rsidRPr="00904FCB">
        <w:rPr>
          <w:rFonts w:hint="cs"/>
          <w:noProof/>
          <w:spacing w:val="-4"/>
          <w:sz w:val="29"/>
          <w:szCs w:val="29"/>
          <w:rtl/>
        </w:rPr>
        <w:t xml:space="preserve">قبرص </w:t>
      </w:r>
      <w:r w:rsidR="000B5897" w:rsidRPr="006333E0">
        <w:rPr>
          <w:rFonts w:cs="Ya-Ali" w:hint="cs"/>
          <w:noProof/>
          <w:spacing w:val="-4"/>
          <w:sz w:val="29"/>
          <w:szCs w:val="29"/>
          <w:rtl/>
        </w:rPr>
        <w:t>5</w:t>
      </w:r>
      <w:r w:rsidR="000B5897" w:rsidRPr="00904FCB">
        <w:rPr>
          <w:rFonts w:hint="cs"/>
          <w:noProof/>
          <w:spacing w:val="-4"/>
          <w:sz w:val="29"/>
          <w:szCs w:val="29"/>
          <w:rtl/>
        </w:rPr>
        <w:t xml:space="preserve"> جنيهات </w:t>
      </w:r>
      <w:r w:rsidR="000B5897" w:rsidRPr="00904FCB">
        <w:rPr>
          <w:rFonts w:hint="cs"/>
          <w:noProof/>
          <w:spacing w:val="-4"/>
          <w:sz w:val="29"/>
          <w:szCs w:val="29"/>
        </w:rPr>
        <w:sym w:font="Wingdings" w:char="F0D7"/>
      </w:r>
      <w:r w:rsidR="000B5897" w:rsidRPr="00904FCB">
        <w:rPr>
          <w:rFonts w:hint="cs"/>
          <w:noProof/>
          <w:spacing w:val="-4"/>
          <w:sz w:val="29"/>
          <w:szCs w:val="29"/>
          <w:rtl/>
        </w:rPr>
        <w:t>أمريكا وأوروبا وسائر الدول الأخر</w:t>
      </w:r>
      <w:r w:rsidR="00D95A85" w:rsidRPr="00904FCB">
        <w:rPr>
          <w:rFonts w:hint="cs"/>
          <w:noProof/>
          <w:spacing w:val="-4"/>
          <w:sz w:val="29"/>
          <w:szCs w:val="29"/>
          <w:rtl/>
        </w:rPr>
        <w:t xml:space="preserve">ى </w:t>
      </w:r>
      <w:r w:rsidR="000B5897" w:rsidRPr="006333E0">
        <w:rPr>
          <w:rFonts w:cs="Ya-Ali" w:hint="cs"/>
          <w:noProof/>
          <w:spacing w:val="-4"/>
          <w:sz w:val="29"/>
          <w:szCs w:val="29"/>
          <w:rtl/>
        </w:rPr>
        <w:t>10</w:t>
      </w:r>
      <w:r w:rsidR="000B5897" w:rsidRPr="00904FCB">
        <w:rPr>
          <w:rFonts w:hint="cs"/>
          <w:noProof/>
          <w:spacing w:val="-4"/>
          <w:sz w:val="29"/>
          <w:szCs w:val="29"/>
          <w:rtl/>
        </w:rPr>
        <w:t xml:space="preserve"> دولار</w:t>
      </w:r>
      <w:r w:rsidR="00A332AF">
        <w:rPr>
          <w:rFonts w:hint="cs"/>
          <w:noProof/>
          <w:spacing w:val="-4"/>
          <w:sz w:val="29"/>
          <w:szCs w:val="29"/>
          <w:rtl/>
        </w:rPr>
        <w:t>ات</w:t>
      </w:r>
      <w:r w:rsidR="000B5897" w:rsidRPr="00904FCB">
        <w:rPr>
          <w:rFonts w:hint="cs"/>
          <w:noProof/>
          <w:spacing w:val="-4"/>
          <w:sz w:val="29"/>
          <w:szCs w:val="29"/>
          <w:rtl/>
        </w:rPr>
        <w:t>.</w:t>
      </w:r>
    </w:p>
    <w:p w:rsidR="000B5897" w:rsidRPr="00904FCB" w:rsidRDefault="000B5897" w:rsidP="000B5897">
      <w:pPr>
        <w:ind w:firstLine="0"/>
        <w:rPr>
          <w:rtl/>
        </w:rPr>
        <w:sectPr w:rsidR="000B5897" w:rsidRPr="00904FCB" w:rsidSect="009D5057">
          <w:headerReference w:type="even" r:id="rId228"/>
          <w:headerReference w:type="default" r:id="rId229"/>
          <w:footerReference w:type="default" r:id="rId230"/>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904FCB" w:rsidRDefault="000B5897" w:rsidP="00D72C0B">
      <w:pPr>
        <w:spacing w:line="240" w:lineRule="auto"/>
        <w:ind w:firstLine="0"/>
        <w:jc w:val="center"/>
        <w:rPr>
          <w:rFonts w:ascii="Elephant" w:hAnsi="Elephant"/>
          <w:rtl/>
        </w:rPr>
      </w:pPr>
      <w:r w:rsidRPr="00904FCB">
        <w:rPr>
          <w:rFonts w:ascii="Elephant" w:hAnsi="Elephant"/>
          <w:sz w:val="54"/>
        </w:rPr>
        <w:lastRenderedPageBreak/>
        <w:t xml:space="preserve">Al-Egtihad </w:t>
      </w:r>
      <w:r w:rsidRPr="00756F2A">
        <w:rPr>
          <w:rFonts w:ascii="Elephant" w:hAnsi="Elephant" w:cs="Taher"/>
          <w:sz w:val="22"/>
          <w:szCs w:val="22"/>
        </w:rPr>
        <w:t>&amp;</w:t>
      </w:r>
      <w:r w:rsidRPr="00904FCB">
        <w:rPr>
          <w:rFonts w:ascii="Elephant" w:hAnsi="Elephant"/>
          <w:sz w:val="54"/>
        </w:rPr>
        <w:t xml:space="preserve"> Attagdeed</w:t>
      </w:r>
    </w:p>
    <w:p w:rsidR="000B5897" w:rsidRPr="00904FCB" w:rsidRDefault="000B5897" w:rsidP="000B5897">
      <w:pPr>
        <w:ind w:right="284" w:firstLine="0"/>
        <w:rPr>
          <w:sz w:val="32"/>
          <w:rtl/>
        </w:rPr>
      </w:pPr>
    </w:p>
    <w:p w:rsidR="000B5897" w:rsidRPr="00904FCB" w:rsidRDefault="00072C15" w:rsidP="000B5897">
      <w:pPr>
        <w:ind w:right="284" w:firstLine="0"/>
        <w:rPr>
          <w:sz w:val="32"/>
          <w:rtl/>
        </w:rPr>
      </w:pPr>
      <w:r w:rsidRPr="00904FCB">
        <w:rPr>
          <w:noProof/>
        </w:rPr>
        <mc:AlternateContent>
          <mc:Choice Requires="wps">
            <w:drawing>
              <wp:anchor distT="0" distB="0" distL="114300" distR="114300" simplePos="0" relativeHeight="251647488" behindDoc="0" locked="0" layoutInCell="1" allowOverlap="1" wp14:anchorId="60A3A095" wp14:editId="005454DE">
                <wp:simplePos x="0" y="0"/>
                <wp:positionH relativeFrom="margin">
                  <wp:align>center</wp:align>
                </wp:positionH>
                <wp:positionV relativeFrom="paragraph">
                  <wp:posOffset>153670</wp:posOffset>
                </wp:positionV>
                <wp:extent cx="4498975" cy="3905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390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F33" w:rsidRPr="00D72C0B" w:rsidRDefault="00F41F33" w:rsidP="00677AA3">
                            <w:pPr>
                              <w:spacing w:line="380" w:lineRule="exact"/>
                              <w:ind w:firstLine="0"/>
                              <w:jc w:val="center"/>
                              <w:rPr>
                                <w:rFonts w:ascii="Mosawi" w:hAnsi="Mosawi" w:cs="Mosawi"/>
                                <w:sz w:val="27"/>
                                <w:rtl/>
                                <w:lang w:bidi="ar-LB"/>
                              </w:rPr>
                            </w:pPr>
                            <w:r w:rsidRPr="00D72C0B">
                              <w:rPr>
                                <w:b/>
                                <w:bCs/>
                                <w:color w:val="FFFFFF"/>
                                <w:position w:val="-6"/>
                                <w:sz w:val="27"/>
                                <w:lang w:bidi="fa-IR"/>
                              </w:rPr>
                              <w:t xml:space="preserve">Spring &amp; Summer </w:t>
                            </w:r>
                            <w:r w:rsidRPr="00D72C0B">
                              <w:rPr>
                                <w:rFonts w:cs="Ya-Ali"/>
                                <w:b/>
                                <w:bCs/>
                                <w:color w:val="FFFFFF"/>
                                <w:position w:val="-6"/>
                                <w:sz w:val="27"/>
                                <w:lang w:bidi="fa-IR"/>
                              </w:rPr>
                              <w:t>2015</w:t>
                            </w:r>
                            <w:r w:rsidRPr="00D72C0B">
                              <w:rPr>
                                <w:b/>
                                <w:bCs/>
                                <w:color w:val="FFFFFF"/>
                                <w:position w:val="-6"/>
                                <w:sz w:val="27"/>
                                <w:lang w:bidi="fa-IR"/>
                              </w:rPr>
                              <w:t xml:space="preserve"> – </w:t>
                            </w:r>
                            <w:r w:rsidRPr="00D72C0B">
                              <w:rPr>
                                <w:rFonts w:cs="Ya-Ali"/>
                                <w:b/>
                                <w:bCs/>
                                <w:color w:val="FFFFFF"/>
                                <w:position w:val="-6"/>
                                <w:sz w:val="27"/>
                                <w:lang w:bidi="fa-IR"/>
                              </w:rPr>
                              <w:t>1436</w:t>
                            </w:r>
                            <w:r w:rsidRPr="00D72C0B">
                              <w:rPr>
                                <w:rFonts w:hint="cs"/>
                                <w:b/>
                                <w:bCs/>
                                <w:color w:val="FFFFFF"/>
                                <w:position w:val="-6"/>
                                <w:sz w:val="27"/>
                                <w:rtl/>
                                <w:lang w:bidi="fa-IR"/>
                              </w:rPr>
                              <w:t xml:space="preserve">    </w:t>
                            </w:r>
                            <w:r w:rsidRPr="00D72C0B">
                              <w:rPr>
                                <w:b/>
                                <w:bCs/>
                                <w:color w:val="FFFFFF"/>
                                <w:position w:val="-6"/>
                                <w:sz w:val="27"/>
                                <w:lang w:bidi="fa-IR"/>
                              </w:rPr>
                              <w:t xml:space="preserve"> </w:t>
                            </w:r>
                            <w:r w:rsidRPr="00D72C0B">
                              <w:rPr>
                                <w:rFonts w:cs="Ya-Ali"/>
                                <w:b/>
                                <w:bCs/>
                                <w:color w:val="FFFFFF"/>
                                <w:position w:val="-6"/>
                                <w:sz w:val="27"/>
                                <w:lang w:bidi="fa-IR"/>
                              </w:rPr>
                              <w:t>9</w:t>
                            </w:r>
                            <w:r w:rsidRPr="00D72C0B">
                              <w:rPr>
                                <w:b/>
                                <w:bCs/>
                                <w:color w:val="FFFFFF"/>
                                <w:position w:val="-6"/>
                                <w:sz w:val="27"/>
                                <w:lang w:bidi="fa-IR"/>
                              </w:rPr>
                              <w:t xml:space="preserve">st Year – No. </w:t>
                            </w:r>
                            <w:r w:rsidRPr="00D72C0B">
                              <w:rPr>
                                <w:rFonts w:cs="Ya-Ali"/>
                                <w:b/>
                                <w:bCs/>
                                <w:color w:val="FFFFFF"/>
                                <w:position w:val="-6"/>
                                <w:sz w:val="27"/>
                                <w:lang w:bidi="fa-IR"/>
                              </w:rPr>
                              <w:t>34</w:t>
                            </w:r>
                            <w:r w:rsidRPr="00D72C0B">
                              <w:rPr>
                                <w:b/>
                                <w:bCs/>
                                <w:color w:val="FFFFFF"/>
                                <w:position w:val="-6"/>
                                <w:sz w:val="27"/>
                                <w:lang w:bidi="fa-IR"/>
                              </w:rPr>
                              <w:t xml:space="preserve"> - </w:t>
                            </w:r>
                            <w:r w:rsidRPr="00D72C0B">
                              <w:rPr>
                                <w:rFonts w:cs="Ya-Ali"/>
                                <w:b/>
                                <w:bCs/>
                                <w:color w:val="FFFFFF"/>
                                <w:position w:val="-6"/>
                                <w:sz w:val="27"/>
                                <w:lang w:bidi="fa-IR"/>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0;margin-top:12.1pt;width:354.25pt;height:30.75pt;z-index:25164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" fillcolor="black" stroked="f">
                <v:textbox inset="0,0,0,0">
                  <w:txbxContent>
                    <w:p w:rsidR="00EB7818" w:rsidRPr="00D72C0B" w:rsidRDefault="00EB7818" w:rsidP="00677AA3">
                      <w:pPr>
                        <w:spacing w:line="380" w:lineRule="exact"/>
                        <w:ind w:firstLine="0"/>
                        <w:jc w:val="center"/>
                        <w:rPr>
                          <w:rFonts w:ascii="Mosawi" w:hAnsi="Mosawi" w:cs="Mosawi"/>
                          <w:sz w:val="27"/>
                          <w:rtl/>
                          <w:lang w:bidi="ar-LB"/>
                        </w:rPr>
                      </w:pPr>
                      <w:r w:rsidRPr="00D72C0B">
                        <w:rPr>
                          <w:b/>
                          <w:bCs/>
                          <w:color w:val="FFFFFF"/>
                          <w:position w:val="-6"/>
                          <w:sz w:val="27"/>
                          <w:lang w:bidi="fa-IR"/>
                        </w:rPr>
                        <w:t>Spring &amp; Sum</w:t>
                      </w:r>
                      <w:bookmarkStart w:id="79" w:name="_GoBack"/>
                      <w:bookmarkEnd w:id="79"/>
                      <w:r w:rsidRPr="00D72C0B">
                        <w:rPr>
                          <w:b/>
                          <w:bCs/>
                          <w:color w:val="FFFFFF"/>
                          <w:position w:val="-6"/>
                          <w:sz w:val="27"/>
                          <w:lang w:bidi="fa-IR"/>
                        </w:rPr>
                        <w:t xml:space="preserve">mer </w:t>
                      </w:r>
                      <w:r w:rsidRPr="00D72C0B">
                        <w:rPr>
                          <w:rFonts w:cs="Ya-Ali"/>
                          <w:b/>
                          <w:bCs/>
                          <w:color w:val="FFFFFF"/>
                          <w:position w:val="-6"/>
                          <w:sz w:val="27"/>
                          <w:lang w:bidi="fa-IR"/>
                        </w:rPr>
                        <w:t>2015</w:t>
                      </w:r>
                      <w:r w:rsidRPr="00D72C0B">
                        <w:rPr>
                          <w:b/>
                          <w:bCs/>
                          <w:color w:val="FFFFFF"/>
                          <w:position w:val="-6"/>
                          <w:sz w:val="27"/>
                          <w:lang w:bidi="fa-IR"/>
                        </w:rPr>
                        <w:t xml:space="preserve"> – </w:t>
                      </w:r>
                      <w:r w:rsidRPr="00D72C0B">
                        <w:rPr>
                          <w:rFonts w:cs="Ya-Ali"/>
                          <w:b/>
                          <w:bCs/>
                          <w:color w:val="FFFFFF"/>
                          <w:position w:val="-6"/>
                          <w:sz w:val="27"/>
                          <w:lang w:bidi="fa-IR"/>
                        </w:rPr>
                        <w:t>1436</w:t>
                      </w:r>
                      <w:r w:rsidRPr="00D72C0B">
                        <w:rPr>
                          <w:rFonts w:hint="cs"/>
                          <w:b/>
                          <w:bCs/>
                          <w:color w:val="FFFFFF"/>
                          <w:position w:val="-6"/>
                          <w:sz w:val="27"/>
                          <w:rtl/>
                          <w:lang w:bidi="fa-IR"/>
                        </w:rPr>
                        <w:t xml:space="preserve">    </w:t>
                      </w:r>
                      <w:r w:rsidRPr="00D72C0B">
                        <w:rPr>
                          <w:b/>
                          <w:bCs/>
                          <w:color w:val="FFFFFF"/>
                          <w:position w:val="-6"/>
                          <w:sz w:val="27"/>
                          <w:lang w:bidi="fa-IR"/>
                        </w:rPr>
                        <w:t xml:space="preserve"> </w:t>
                      </w:r>
                      <w:r w:rsidRPr="00D72C0B">
                        <w:rPr>
                          <w:rFonts w:cs="Ya-Ali"/>
                          <w:b/>
                          <w:bCs/>
                          <w:color w:val="FFFFFF"/>
                          <w:position w:val="-6"/>
                          <w:sz w:val="27"/>
                          <w:lang w:bidi="fa-IR"/>
                        </w:rPr>
                        <w:t>9</w:t>
                      </w:r>
                      <w:r w:rsidRPr="00D72C0B">
                        <w:rPr>
                          <w:b/>
                          <w:bCs/>
                          <w:color w:val="FFFFFF"/>
                          <w:position w:val="-6"/>
                          <w:sz w:val="27"/>
                          <w:lang w:bidi="fa-IR"/>
                        </w:rPr>
                        <w:t xml:space="preserve">st Year – No. </w:t>
                      </w:r>
                      <w:r w:rsidRPr="00D72C0B">
                        <w:rPr>
                          <w:rFonts w:cs="Ya-Ali"/>
                          <w:b/>
                          <w:bCs/>
                          <w:color w:val="FFFFFF"/>
                          <w:position w:val="-6"/>
                          <w:sz w:val="27"/>
                          <w:lang w:bidi="fa-IR"/>
                        </w:rPr>
                        <w:t>34</w:t>
                      </w:r>
                      <w:r w:rsidRPr="00D72C0B">
                        <w:rPr>
                          <w:b/>
                          <w:bCs/>
                          <w:color w:val="FFFFFF"/>
                          <w:position w:val="-6"/>
                          <w:sz w:val="27"/>
                          <w:lang w:bidi="fa-IR"/>
                        </w:rPr>
                        <w:t xml:space="preserve"> - </w:t>
                      </w:r>
                      <w:r w:rsidRPr="00D72C0B">
                        <w:rPr>
                          <w:rFonts w:cs="Ya-Ali"/>
                          <w:b/>
                          <w:bCs/>
                          <w:color w:val="FFFFFF"/>
                          <w:position w:val="-6"/>
                          <w:sz w:val="27"/>
                          <w:lang w:bidi="fa-IR"/>
                        </w:rPr>
                        <w:t>35</w:t>
                      </w:r>
                    </w:p>
                  </w:txbxContent>
                </v:textbox>
                <w10:wrap anchorx="margin"/>
              </v:shape>
            </w:pict>
          </mc:Fallback>
        </mc:AlternateContent>
      </w:r>
    </w:p>
    <w:p w:rsidR="000B5897" w:rsidRPr="00904FCB" w:rsidRDefault="000B5897" w:rsidP="000B5897">
      <w:pPr>
        <w:bidi w:val="0"/>
        <w:ind w:right="284" w:firstLine="0"/>
      </w:pPr>
    </w:p>
    <w:p w:rsidR="000B5897" w:rsidRPr="00BF612C" w:rsidRDefault="000B5897" w:rsidP="00BF612C">
      <w:pPr>
        <w:bidi w:val="0"/>
        <w:spacing w:before="100" w:beforeAutospacing="1" w:line="240" w:lineRule="auto"/>
        <w:ind w:firstLine="0"/>
        <w:rPr>
          <w:sz w:val="20"/>
          <w:szCs w:val="20"/>
        </w:rPr>
      </w:pPr>
    </w:p>
    <w:p w:rsidR="00677AA3" w:rsidRPr="00BF612C" w:rsidRDefault="00677AA3" w:rsidP="00BF612C">
      <w:pPr>
        <w:bidi w:val="0"/>
        <w:spacing w:before="100" w:beforeAutospacing="1" w:line="240" w:lineRule="auto"/>
        <w:ind w:firstLine="0"/>
        <w:rPr>
          <w:sz w:val="20"/>
          <w:szCs w:val="20"/>
        </w:rPr>
      </w:pPr>
    </w:p>
    <w:p w:rsidR="000B5897" w:rsidRPr="00904FCB" w:rsidRDefault="000B5897" w:rsidP="000B5897">
      <w:pPr>
        <w:bidi w:val="0"/>
        <w:spacing w:before="100"/>
        <w:ind w:right="284" w:firstLine="284"/>
        <w:rPr>
          <w:b/>
          <w:bCs/>
          <w:noProof/>
          <w:spacing w:val="-4"/>
        </w:rPr>
      </w:pPr>
      <w:r w:rsidRPr="00904FCB">
        <w:rPr>
          <w:b/>
          <w:bCs/>
          <w:noProof/>
          <w:spacing w:val="-4"/>
        </w:rPr>
        <w:t>Editor-in-chief</w:t>
      </w:r>
      <w:r w:rsidR="006D38E2" w:rsidRPr="00904FCB">
        <w:rPr>
          <w:b/>
          <w:bCs/>
          <w:noProof/>
          <w:spacing w:val="-4"/>
        </w:rPr>
        <w:t xml:space="preserve">: </w:t>
      </w:r>
    </w:p>
    <w:p w:rsidR="000B5897" w:rsidRPr="00904FCB" w:rsidRDefault="000B5897" w:rsidP="000B5897">
      <w:pPr>
        <w:bidi w:val="0"/>
        <w:spacing w:before="100"/>
        <w:ind w:right="284"/>
        <w:rPr>
          <w:rFonts w:ascii="Arial" w:hAnsi="Arial" w:cs="Arial"/>
          <w:noProof/>
          <w:spacing w:val="-4"/>
        </w:rPr>
      </w:pPr>
      <w:r w:rsidRPr="00904FCB">
        <w:rPr>
          <w:rFonts w:ascii="Arial" w:hAnsi="Arial" w:cs="Arial"/>
          <w:noProof/>
          <w:spacing w:val="-4"/>
        </w:rPr>
        <w:t>Haidar Hobballah</w:t>
      </w:r>
    </w:p>
    <w:p w:rsidR="00783617" w:rsidRPr="00904FCB" w:rsidRDefault="00783617" w:rsidP="000B5897">
      <w:pPr>
        <w:bidi w:val="0"/>
        <w:spacing w:before="100"/>
        <w:ind w:right="284" w:firstLine="284"/>
        <w:rPr>
          <w:b/>
          <w:bCs/>
          <w:noProof/>
          <w:spacing w:val="-4"/>
        </w:rPr>
      </w:pPr>
    </w:p>
    <w:p w:rsidR="000B5897" w:rsidRPr="00904FCB" w:rsidRDefault="000B5897" w:rsidP="00783617">
      <w:pPr>
        <w:bidi w:val="0"/>
        <w:spacing w:before="100"/>
        <w:ind w:right="284" w:firstLine="284"/>
        <w:rPr>
          <w:b/>
          <w:bCs/>
          <w:noProof/>
          <w:spacing w:val="-4"/>
        </w:rPr>
      </w:pPr>
      <w:r w:rsidRPr="00904FCB">
        <w:rPr>
          <w:b/>
          <w:bCs/>
          <w:noProof/>
          <w:spacing w:val="-4"/>
        </w:rPr>
        <w:t>Editor-in-Director</w:t>
      </w:r>
      <w:r w:rsidR="006D38E2" w:rsidRPr="00904FCB">
        <w:rPr>
          <w:b/>
          <w:bCs/>
          <w:noProof/>
          <w:spacing w:val="-4"/>
        </w:rPr>
        <w:t xml:space="preserve">: </w:t>
      </w:r>
    </w:p>
    <w:p w:rsidR="000B5897" w:rsidRPr="00904FCB" w:rsidRDefault="000B5897" w:rsidP="000B5897">
      <w:pPr>
        <w:bidi w:val="0"/>
        <w:spacing w:before="100"/>
        <w:ind w:right="284"/>
        <w:rPr>
          <w:rFonts w:ascii="Arial" w:hAnsi="Arial" w:cs="Arial"/>
          <w:noProof/>
          <w:spacing w:val="-4"/>
        </w:rPr>
      </w:pPr>
      <w:r w:rsidRPr="00904FCB">
        <w:rPr>
          <w:rFonts w:ascii="Arial" w:hAnsi="Arial" w:cs="Arial"/>
          <w:noProof/>
          <w:spacing w:val="-4"/>
        </w:rPr>
        <w:t>Mohamad Dohaini</w:t>
      </w:r>
    </w:p>
    <w:p w:rsidR="00783617" w:rsidRPr="00904FCB" w:rsidRDefault="00783617" w:rsidP="000B5897">
      <w:pPr>
        <w:bidi w:val="0"/>
        <w:spacing w:before="100"/>
        <w:ind w:right="284" w:firstLine="284"/>
        <w:rPr>
          <w:b/>
          <w:bCs/>
          <w:noProof/>
          <w:spacing w:val="-4"/>
        </w:rPr>
      </w:pPr>
    </w:p>
    <w:p w:rsidR="000B5897" w:rsidRPr="00904FCB" w:rsidRDefault="000B5897" w:rsidP="00783617">
      <w:pPr>
        <w:bidi w:val="0"/>
        <w:spacing w:before="100"/>
        <w:ind w:right="284" w:firstLine="284"/>
        <w:rPr>
          <w:b/>
          <w:bCs/>
          <w:noProof/>
          <w:spacing w:val="-4"/>
        </w:rPr>
      </w:pPr>
      <w:r w:rsidRPr="00904FCB">
        <w:rPr>
          <w:b/>
          <w:bCs/>
          <w:noProof/>
          <w:spacing w:val="-4"/>
        </w:rPr>
        <w:t>Responsible Director</w:t>
      </w:r>
      <w:r w:rsidR="006D38E2" w:rsidRPr="00904FCB">
        <w:rPr>
          <w:b/>
          <w:bCs/>
          <w:noProof/>
          <w:spacing w:val="-4"/>
        </w:rPr>
        <w:t xml:space="preserve">: </w:t>
      </w:r>
    </w:p>
    <w:p w:rsidR="00677AA3" w:rsidRPr="00677AA3" w:rsidRDefault="00677AA3" w:rsidP="00677AA3">
      <w:pPr>
        <w:bidi w:val="0"/>
        <w:spacing w:before="100"/>
        <w:ind w:right="284"/>
        <w:rPr>
          <w:rFonts w:ascii="Arial" w:hAnsi="Arial" w:cs="Arial"/>
          <w:noProof/>
          <w:spacing w:val="-4"/>
        </w:rPr>
      </w:pPr>
      <w:r>
        <w:rPr>
          <w:rFonts w:ascii="Arial" w:hAnsi="Arial" w:cs="Arial"/>
          <w:noProof/>
          <w:spacing w:val="-4"/>
        </w:rPr>
        <w:t>Rabie Sowaidan</w:t>
      </w:r>
    </w:p>
    <w:p w:rsidR="00BF612C" w:rsidRPr="00BF612C" w:rsidRDefault="00BF612C" w:rsidP="00BF612C">
      <w:pPr>
        <w:bidi w:val="0"/>
        <w:spacing w:before="100" w:beforeAutospacing="1" w:after="100" w:afterAutospacing="1" w:line="240" w:lineRule="auto"/>
        <w:ind w:firstLine="0"/>
        <w:jc w:val="center"/>
        <w:rPr>
          <w:sz w:val="20"/>
          <w:szCs w:val="20"/>
        </w:rPr>
      </w:pPr>
    </w:p>
    <w:p w:rsidR="000B5897" w:rsidRPr="00904FCB" w:rsidRDefault="00072C15" w:rsidP="00BF612C">
      <w:pPr>
        <w:bidi w:val="0"/>
        <w:spacing w:beforeAutospacing="1" w:after="100" w:afterAutospacing="1"/>
        <w:ind w:firstLine="0"/>
        <w:jc w:val="center"/>
      </w:pPr>
      <w:r w:rsidRPr="00904FCB">
        <w:rPr>
          <w:noProof/>
        </w:rPr>
        <mc:AlternateContent>
          <mc:Choice Requires="wps">
            <w:drawing>
              <wp:anchor distT="0" distB="0" distL="114300" distR="114300" simplePos="0" relativeHeight="251650560" behindDoc="1" locked="0" layoutInCell="1" allowOverlap="1" wp14:anchorId="3E4868DE" wp14:editId="7AEBEA88">
                <wp:simplePos x="0" y="0"/>
                <wp:positionH relativeFrom="column">
                  <wp:posOffset>-10795</wp:posOffset>
                </wp:positionH>
                <wp:positionV relativeFrom="paragraph">
                  <wp:posOffset>343354</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85pt;margin-top:27.05pt;width:351pt;height:10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"/>
            </w:pict>
          </mc:Fallback>
        </mc:AlternateContent>
      </w:r>
    </w:p>
    <w:p w:rsidR="000B5897" w:rsidRPr="00904FCB" w:rsidRDefault="000B5897" w:rsidP="007D281C">
      <w:pPr>
        <w:bidi w:val="0"/>
        <w:spacing w:before="100"/>
        <w:ind w:right="284" w:firstLine="0"/>
        <w:jc w:val="center"/>
        <w:rPr>
          <w:b/>
          <w:bCs/>
          <w:noProof/>
          <w:spacing w:val="-4"/>
        </w:rPr>
      </w:pPr>
      <w:r w:rsidRPr="00904FCB">
        <w:rPr>
          <w:b/>
          <w:bCs/>
          <w:noProof/>
          <w:spacing w:val="-4"/>
        </w:rPr>
        <w:t>Correspondence</w:t>
      </w:r>
      <w:r w:rsidR="006D38E2" w:rsidRPr="00904FCB">
        <w:rPr>
          <w:b/>
          <w:bCs/>
          <w:noProof/>
          <w:spacing w:val="-4"/>
        </w:rPr>
        <w:t xml:space="preserve">: </w:t>
      </w:r>
    </w:p>
    <w:p w:rsidR="000B5897" w:rsidRPr="00904FCB" w:rsidRDefault="000B5897" w:rsidP="007D281C">
      <w:pPr>
        <w:bidi w:val="0"/>
        <w:spacing w:before="100"/>
        <w:ind w:right="284" w:firstLine="0"/>
        <w:jc w:val="center"/>
        <w:rPr>
          <w:b/>
          <w:bCs/>
          <w:noProof/>
          <w:spacing w:val="-4"/>
        </w:rPr>
      </w:pPr>
      <w:r w:rsidRPr="00904FCB">
        <w:rPr>
          <w:b/>
          <w:bCs/>
          <w:noProof/>
          <w:spacing w:val="-4"/>
        </w:rPr>
        <w:t>To the office of the Editor-in-chief</w:t>
      </w:r>
    </w:p>
    <w:p w:rsidR="000B5897" w:rsidRPr="00904FCB" w:rsidRDefault="000B5897" w:rsidP="007D281C">
      <w:pPr>
        <w:bidi w:val="0"/>
        <w:spacing w:before="100"/>
        <w:ind w:right="284" w:firstLine="0"/>
        <w:jc w:val="center"/>
        <w:rPr>
          <w:b/>
          <w:bCs/>
          <w:noProof/>
          <w:spacing w:val="-4"/>
        </w:rPr>
      </w:pPr>
      <w:r w:rsidRPr="00904FCB">
        <w:rPr>
          <w:b/>
          <w:bCs/>
          <w:noProof/>
          <w:spacing w:val="-4"/>
        </w:rPr>
        <w:t>P.O.Box</w:t>
      </w:r>
      <w:r w:rsidR="006D38E2" w:rsidRPr="00904FCB">
        <w:rPr>
          <w:b/>
          <w:bCs/>
          <w:noProof/>
          <w:spacing w:val="-4"/>
        </w:rPr>
        <w:t xml:space="preserve">: </w:t>
      </w:r>
      <w:r w:rsidRPr="006333E0">
        <w:rPr>
          <w:rFonts w:cs="Ya-Ali"/>
          <w:b/>
          <w:bCs/>
          <w:noProof/>
          <w:spacing w:val="-4"/>
        </w:rPr>
        <w:t>25</w:t>
      </w:r>
      <w:r w:rsidRPr="00904FCB">
        <w:rPr>
          <w:b/>
          <w:bCs/>
          <w:noProof/>
          <w:spacing w:val="-4"/>
        </w:rPr>
        <w:t xml:space="preserve"> \ </w:t>
      </w:r>
      <w:r w:rsidRPr="006333E0">
        <w:rPr>
          <w:rFonts w:cs="Ya-Ali"/>
          <w:b/>
          <w:bCs/>
          <w:noProof/>
          <w:spacing w:val="-4"/>
        </w:rPr>
        <w:t>327</w:t>
      </w:r>
      <w:r w:rsidRPr="00904FCB">
        <w:rPr>
          <w:b/>
          <w:bCs/>
          <w:noProof/>
          <w:spacing w:val="-4"/>
        </w:rPr>
        <w:t xml:space="preserve"> Beirut – Lebanon</w:t>
      </w:r>
    </w:p>
    <w:p w:rsidR="00B06751" w:rsidRDefault="000B5897" w:rsidP="007D281C">
      <w:pPr>
        <w:ind w:firstLine="0"/>
        <w:jc w:val="center"/>
        <w:rPr>
          <w:b/>
          <w:bCs/>
          <w:noProof/>
          <w:spacing w:val="-4"/>
        </w:rPr>
      </w:pPr>
      <w:r w:rsidRPr="00904FCB">
        <w:rPr>
          <w:b/>
          <w:bCs/>
          <w:noProof/>
          <w:spacing w:val="-4"/>
        </w:rPr>
        <w:t>E-mail</w:t>
      </w:r>
      <w:r w:rsidR="006D38E2" w:rsidRPr="00904FCB">
        <w:rPr>
          <w:b/>
          <w:bCs/>
          <w:noProof/>
          <w:spacing w:val="-4"/>
        </w:rPr>
        <w:t xml:space="preserve">: </w:t>
      </w:r>
      <w:r w:rsidRPr="00904FCB">
        <w:rPr>
          <w:b/>
          <w:bCs/>
          <w:noProof/>
          <w:spacing w:val="-4"/>
        </w:rPr>
        <w:t>info@nosos.net</w:t>
      </w:r>
    </w:p>
    <w:p w:rsidR="00B06751" w:rsidRDefault="00B06751" w:rsidP="007D281C">
      <w:pPr>
        <w:widowControl/>
        <w:bidi w:val="0"/>
        <w:spacing w:line="240" w:lineRule="auto"/>
        <w:ind w:firstLine="0"/>
        <w:jc w:val="left"/>
        <w:rPr>
          <w:b/>
          <w:bCs/>
          <w:noProof/>
          <w:spacing w:val="-4"/>
        </w:rPr>
      </w:pPr>
    </w:p>
    <w:sectPr w:rsidR="00B06751" w:rsidSect="00F636E3">
      <w:headerReference w:type="first" r:id="rId231"/>
      <w:endnotePr>
        <w:numFmt w:val="decimal"/>
        <w:numRestart w:val="eachSect"/>
      </w:endnotePr>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7E67" w:rsidRDefault="00E87E67" w:rsidP="00D87709">
      <w:pPr>
        <w:ind w:firstLine="0"/>
      </w:pPr>
      <w:r>
        <w:separator/>
      </w:r>
    </w:p>
  </w:endnote>
  <w:endnote w:type="continuationSeparator" w:id="0">
    <w:p w:rsidR="00E87E67" w:rsidRDefault="00E87E67" w:rsidP="00D87709">
      <w:pPr>
        <w:ind w:firstLine="0"/>
      </w:pPr>
      <w:r>
        <w:continuationSeparator/>
      </w:r>
    </w:p>
  </w:endnote>
  <w:endnote w:id="1">
    <w:p w:rsidR="00F41F33" w:rsidRPr="00041460" w:rsidRDefault="00F41F33" w:rsidP="00904FCB">
      <w:pPr>
        <w:pStyle w:val="aa"/>
        <w:spacing w:line="300" w:lineRule="exact"/>
        <w:ind w:firstLine="0"/>
        <w:rPr>
          <w:rFonts w:cs="DanaFajr"/>
          <w:sz w:val="28"/>
          <w:szCs w:val="28"/>
          <w:rtl/>
        </w:rPr>
      </w:pPr>
      <w:r w:rsidRPr="00041460">
        <w:rPr>
          <w:rFonts w:cs="DanaFajr"/>
          <w:sz w:val="28"/>
          <w:szCs w:val="28"/>
          <w:rtl/>
        </w:rPr>
        <w:t>(</w:t>
      </w:r>
      <w:r w:rsidRPr="00041460">
        <w:rPr>
          <w:rStyle w:val="ac"/>
          <w:rFonts w:cs="DanaFajr"/>
          <w:szCs w:val="28"/>
          <w:vertAlign w:val="baseline"/>
        </w:rPr>
        <w:endnoteRef/>
      </w:r>
      <w:r w:rsidRPr="00041460">
        <w:rPr>
          <w:rFonts w:cs="DanaFajr"/>
          <w:sz w:val="28"/>
          <w:szCs w:val="28"/>
          <w:rtl/>
        </w:rPr>
        <w:t xml:space="preserve">) </w:t>
      </w:r>
      <w:r w:rsidRPr="00041460">
        <w:rPr>
          <w:rFonts w:cs="DanaFajr" w:hint="cs"/>
          <w:sz w:val="28"/>
          <w:szCs w:val="28"/>
          <w:rtl/>
        </w:rPr>
        <w:t xml:space="preserve">نهج البلاغة، قصار الحكم، الحكمة رقم: 89. </w:t>
      </w:r>
    </w:p>
  </w:endnote>
  <w:endnote w:id="2">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لقد استعرنا هذا التعبير من كلمات الدكتور عبد الكريم سروش، انظر في هذا الشأن: </w:t>
      </w:r>
      <w:r w:rsidRPr="00980C72">
        <w:rPr>
          <w:rFonts w:cs="DanaFajr" w:hint="cs"/>
          <w:sz w:val="28"/>
          <w:szCs w:val="28"/>
          <w:rtl/>
          <w:lang w:bidi="ar-AE"/>
        </w:rPr>
        <w:t>سروش، خاتميت پيامب</w:t>
      </w:r>
      <w:r w:rsidRPr="00041460">
        <w:rPr>
          <w:rFonts w:cs="DanaFajr" w:hint="cs"/>
          <w:sz w:val="28"/>
          <w:szCs w:val="28"/>
          <w:rtl/>
          <w:lang w:bidi="ar-AE"/>
        </w:rPr>
        <w:t xml:space="preserve">ر ـ 2، </w:t>
      </w:r>
      <w:r w:rsidRPr="00041460">
        <w:rPr>
          <w:rFonts w:cs="DanaFajr" w:hint="cs"/>
          <w:sz w:val="28"/>
          <w:szCs w:val="28"/>
          <w:rtl/>
        </w:rPr>
        <w:t>في (بسط تجربه نبوي: 157)</w:t>
      </w:r>
      <w:r w:rsidRPr="00041460">
        <w:rPr>
          <w:rFonts w:cs="DanaFajr" w:hint="cs"/>
          <w:sz w:val="28"/>
          <w:szCs w:val="28"/>
          <w:rtl/>
          <w:lang w:val="en-GB" w:bidi="ar-AE"/>
        </w:rPr>
        <w:t>.</w:t>
      </w:r>
      <w:r w:rsidRPr="00980C72">
        <w:rPr>
          <w:rFonts w:cs="DanaFajr" w:hint="cs"/>
          <w:sz w:val="28"/>
          <w:szCs w:val="28"/>
          <w:rtl/>
          <w:lang w:val="en-GB" w:bidi="ar-AE"/>
        </w:rPr>
        <w:t xml:space="preserve"> </w:t>
      </w:r>
    </w:p>
  </w:endnote>
  <w:endnote w:id="3">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لقد اقتبسنا هذا التعبير عن الدكتور عبد الكريم سروش. </w:t>
      </w:r>
    </w:p>
  </w:endnote>
  <w:endnote w:id="4">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لسنا ننكر وجود القيم والمعايير الشاملة، والتي يمكن تطبيقها على جميع العوالم، ويمكن تعميمها على جميع الناس بوتيرةٍ واحدة، ولكنّنا نقول: إن هذه المعايير الشاملة ليست هي ذات المعايير المطبقة على العالم القديم. إن المعايير المطبقة في العالم القديم هي في الحقيقة عبارة عن فهم سكان ذلك العالم للمقتضيات والمعايير الشاملة في خصوص ذلك العالم والعوالم المشابهة له، وإنّ مقتضيات هذه المعايير في العالم الحديث غيرها في العالم القديم. وعليه في الوقت الذي لا يمكن (بل لا ينبغي) تطبيق المعيار السائد في العالم القديم على العالم الحديث يمكن (بل يجب) تسرية المعيار الشامل الكامن خلف ذلك المعيار المطبق على العالم القديم وتطبيقه على العالم الحديث أيضاً. </w:t>
      </w:r>
    </w:p>
  </w:endnote>
  <w:endnote w:id="5">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القطّاع: صيغة مبالغة من القطع، بمعنى (كثير القطع)، ويتمّ إطلاقها على الذي يحصل له القطع من غير الطرق المتعارفة، أي إن الطرق التي لا تؤدّي بالفرد الطبيعي إلى القطع تؤدّي بهذا الشخص القطّاع إلى القطع واليقين. </w:t>
      </w:r>
    </w:p>
  </w:endnote>
  <w:endnote w:id="6">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محمد باقر الصدر، الفتاوى الواضحة. </w:t>
      </w:r>
    </w:p>
  </w:endnote>
  <w:endnote w:id="7">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فسّر الأخباريون هذه الرواية بوجود نصٍّ ورواية في مورد جميع الموضوعات، ولذلك يقولون بعدم الحاجة إلى الاستعانة بالعقل المستقلّ عن النقل في الكشف عن الحكم الشرعي. </w:t>
      </w:r>
    </w:p>
  </w:endnote>
  <w:endnote w:id="8">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الكاف</w:t>
      </w:r>
      <w:r w:rsidRPr="00041460">
        <w:rPr>
          <w:rFonts w:cs="DanaFajr" w:hint="cs"/>
          <w:sz w:val="28"/>
          <w:szCs w:val="28"/>
          <w:rtl/>
        </w:rPr>
        <w:t>ي 1: 58.</w:t>
      </w:r>
      <w:r w:rsidRPr="00980C72">
        <w:rPr>
          <w:rFonts w:cs="DanaFajr" w:hint="cs"/>
          <w:sz w:val="28"/>
          <w:szCs w:val="28"/>
          <w:rtl/>
        </w:rPr>
        <w:t xml:space="preserve"> </w:t>
      </w:r>
    </w:p>
  </w:endnote>
  <w:endnote w:id="9">
    <w:p w:rsidR="00F41F33" w:rsidRPr="00980C72" w:rsidRDefault="00F41F33" w:rsidP="00904FCB">
      <w:pPr>
        <w:pStyle w:val="aa"/>
        <w:spacing w:line="300" w:lineRule="exact"/>
        <w:ind w:firstLine="0"/>
        <w:rPr>
          <w:rFonts w:cs="DanaFajr"/>
          <w:sz w:val="28"/>
          <w:szCs w:val="28"/>
          <w:rtl/>
        </w:rPr>
      </w:pPr>
      <w:r w:rsidRPr="00041460">
        <w:rPr>
          <w:rFonts w:cs="DanaFajr"/>
          <w:sz w:val="28"/>
          <w:szCs w:val="28"/>
          <w:rtl/>
        </w:rPr>
        <w:t>(</w:t>
      </w:r>
      <w:r w:rsidRPr="00041460">
        <w:rPr>
          <w:rStyle w:val="ac"/>
          <w:rFonts w:cs="DanaFajr"/>
          <w:szCs w:val="28"/>
          <w:vertAlign w:val="baseline"/>
        </w:rPr>
        <w:endnoteRef/>
      </w:r>
      <w:r w:rsidRPr="00041460">
        <w:rPr>
          <w:rFonts w:cs="DanaFajr"/>
          <w:sz w:val="28"/>
          <w:szCs w:val="28"/>
          <w:rtl/>
        </w:rPr>
        <w:t>)</w:t>
      </w:r>
      <w:r w:rsidRPr="00041460">
        <w:rPr>
          <w:rFonts w:cs="DanaFajr" w:hint="cs"/>
          <w:sz w:val="28"/>
          <w:szCs w:val="28"/>
          <w:rtl/>
        </w:rPr>
        <w:t xml:space="preserve"> بحار الأنوار 2: 303. يرى هؤلاء الفقهاء ـ باستثناء القليل منهم ـ عدم إمكان استنباط الحكم</w:t>
      </w:r>
      <w:r w:rsidRPr="00980C72">
        <w:rPr>
          <w:rFonts w:cs="DanaFajr" w:hint="cs"/>
          <w:sz w:val="28"/>
          <w:szCs w:val="28"/>
          <w:rtl/>
        </w:rPr>
        <w:t xml:space="preserve"> الشرعي من خلال إدراك المصلحة والمفسدة والحسن والقبح؛ لاستحالة حصول القطع بالمصلحة والمفسدة الملزمة من طريق العقل، كما أن الظنّ العقلي في هذا المورد فاقدٌ للاعتبار من الناحية الشرعية، وبعبارةٍ أخرى: </w:t>
      </w:r>
      <w:r w:rsidRPr="00980C72">
        <w:rPr>
          <w:rFonts w:cs="DanaFajr" w:hint="eastAsia"/>
          <w:sz w:val="27"/>
          <w:szCs w:val="27"/>
          <w:rtl/>
        </w:rPr>
        <w:t>«</w:t>
      </w:r>
      <w:r w:rsidRPr="00980C72">
        <w:rPr>
          <w:rFonts w:cs="DanaFajr" w:hint="cs"/>
          <w:sz w:val="28"/>
          <w:szCs w:val="28"/>
          <w:rtl/>
        </w:rPr>
        <w:t>إن أحكام الله توقيفية</w:t>
      </w:r>
      <w:r w:rsidRPr="00980C72">
        <w:rPr>
          <w:rFonts w:cs="DanaFajr" w:hint="eastAsia"/>
          <w:sz w:val="27"/>
          <w:szCs w:val="27"/>
          <w:rtl/>
        </w:rPr>
        <w:t>»</w:t>
      </w:r>
      <w:r w:rsidRPr="00980C72">
        <w:rPr>
          <w:rFonts w:cs="DanaFajr" w:hint="cs"/>
          <w:sz w:val="28"/>
          <w:szCs w:val="28"/>
          <w:rtl/>
        </w:rPr>
        <w:t>. وللمزيد من التوضيح بشأن معنى هذا الحديث.</w:t>
      </w:r>
    </w:p>
  </w:endnote>
  <w:endnote w:id="10">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إن </w:t>
      </w:r>
      <w:r w:rsidRPr="00980C72">
        <w:rPr>
          <w:rFonts w:cs="DanaFajr" w:hint="eastAsia"/>
          <w:sz w:val="27"/>
          <w:szCs w:val="27"/>
          <w:rtl/>
        </w:rPr>
        <w:t>«</w:t>
      </w:r>
      <w:r w:rsidRPr="00980C72">
        <w:rPr>
          <w:rFonts w:cs="DanaFajr" w:hint="cs"/>
          <w:sz w:val="28"/>
          <w:szCs w:val="28"/>
          <w:rtl/>
        </w:rPr>
        <w:t>سيرة العقلاء</w:t>
      </w:r>
      <w:r w:rsidRPr="00980C72">
        <w:rPr>
          <w:rFonts w:cs="DanaFajr" w:hint="eastAsia"/>
          <w:sz w:val="27"/>
          <w:szCs w:val="27"/>
          <w:rtl/>
        </w:rPr>
        <w:t>»</w:t>
      </w:r>
      <w:r w:rsidRPr="00980C72">
        <w:rPr>
          <w:rFonts w:cs="DanaFajr" w:hint="cs"/>
          <w:sz w:val="28"/>
          <w:szCs w:val="28"/>
          <w:rtl/>
        </w:rPr>
        <w:t xml:space="preserve"> مصطلح أصولي شائع يدلّ على عقد اجتماعي ضمني يتواضع عليه العقلاء فيما بينهم، وهو يشبه العرف أو العادة العملية تقريباً. </w:t>
      </w:r>
    </w:p>
  </w:endnote>
  <w:endnote w:id="11">
    <w:p w:rsidR="00F41F33" w:rsidRPr="00980C72" w:rsidRDefault="00F41F33" w:rsidP="00904FCB">
      <w:pPr>
        <w:pStyle w:val="aa"/>
        <w:spacing w:line="300" w:lineRule="exact"/>
        <w:ind w:firstLine="0"/>
        <w:rPr>
          <w:rFonts w:cs="DanaFajr"/>
          <w:sz w:val="28"/>
          <w:szCs w:val="28"/>
          <w:rtl/>
        </w:rPr>
      </w:pPr>
      <w:r w:rsidRPr="00041460">
        <w:rPr>
          <w:rFonts w:cs="DanaFajr"/>
          <w:sz w:val="28"/>
          <w:szCs w:val="28"/>
          <w:rtl/>
        </w:rPr>
        <w:t>(</w:t>
      </w:r>
      <w:r w:rsidRPr="00041460">
        <w:rPr>
          <w:rStyle w:val="ac"/>
          <w:rFonts w:cs="DanaFajr"/>
          <w:szCs w:val="28"/>
          <w:vertAlign w:val="baseline"/>
        </w:rPr>
        <w:endnoteRef/>
      </w:r>
      <w:r w:rsidRPr="00041460">
        <w:rPr>
          <w:rFonts w:cs="DanaFajr"/>
          <w:sz w:val="28"/>
          <w:szCs w:val="28"/>
          <w:rtl/>
        </w:rPr>
        <w:t>)</w:t>
      </w:r>
      <w:r w:rsidRPr="00041460">
        <w:rPr>
          <w:rFonts w:cs="DanaFajr" w:hint="cs"/>
          <w:sz w:val="28"/>
          <w:szCs w:val="28"/>
          <w:rtl/>
        </w:rPr>
        <w:t xml:space="preserve"> وسائل الشيعة 27: 62. إن من مشاكل الفقه التقليدي هي أن أتباع هذا المنهج الفقهي ـ</w:t>
      </w:r>
      <w:r w:rsidRPr="00980C72">
        <w:rPr>
          <w:rFonts w:cs="DanaFajr" w:hint="cs"/>
          <w:sz w:val="28"/>
          <w:szCs w:val="28"/>
          <w:rtl/>
        </w:rPr>
        <w:t xml:space="preserve"> بالاستناد إلى هذا الحديث ـ يقولون بأن شأن النبيّ والإمام هو إلقاء الأصول، في حين هؤلاء العظام كانوا غالباً ما يلقون الأصول من خلال </w:t>
      </w:r>
      <w:r w:rsidRPr="00980C72">
        <w:rPr>
          <w:rFonts w:cs="DanaFajr" w:hint="eastAsia"/>
          <w:sz w:val="27"/>
          <w:szCs w:val="27"/>
          <w:rtl/>
        </w:rPr>
        <w:t>«</w:t>
      </w:r>
      <w:r w:rsidRPr="00980C72">
        <w:rPr>
          <w:rFonts w:cs="DanaFajr" w:hint="cs"/>
          <w:sz w:val="28"/>
          <w:szCs w:val="28"/>
          <w:rtl/>
        </w:rPr>
        <w:t>تطبيقها على الفروع</w:t>
      </w:r>
      <w:r w:rsidRPr="00980C72">
        <w:rPr>
          <w:rFonts w:cs="DanaFajr" w:hint="eastAsia"/>
          <w:sz w:val="27"/>
          <w:szCs w:val="27"/>
          <w:rtl/>
        </w:rPr>
        <w:t>»</w:t>
      </w:r>
      <w:r w:rsidRPr="00980C72">
        <w:rPr>
          <w:rFonts w:cs="DanaFajr" w:hint="cs"/>
          <w:sz w:val="28"/>
          <w:szCs w:val="28"/>
          <w:rtl/>
        </w:rPr>
        <w:t xml:space="preserve">، ولذلك فإن إحدى مقدّمات الاجتهاد الصحيح تكمن في فصل الأصول عن الفروع الواردة في الروايات المأثورة عن النبيّ والأئمة، بمعنى أننا لا نستطيع ـ من خلال الاستناد إلى هذه الرواية ـ حمل ظاهر جميع الروايات على بيان صريح الأصول. كما أن الفصل بين الأصول والفروع يتوقّف على ترجمة النصوص الدينية ثقافياً. </w:t>
      </w:r>
    </w:p>
  </w:endnote>
  <w:endnote w:id="12">
    <w:p w:rsidR="00F41F33" w:rsidRPr="00715694" w:rsidRDefault="00F41F33" w:rsidP="00904FCB">
      <w:pPr>
        <w:pStyle w:val="aa"/>
        <w:bidi w:val="0"/>
        <w:spacing w:line="300" w:lineRule="exact"/>
        <w:ind w:firstLine="0"/>
        <w:rPr>
          <w:rFonts w:asciiTheme="majorBidi" w:hAnsiTheme="majorBidi" w:cstheme="majorBidi"/>
          <w:lang w:bidi="fa-IR"/>
        </w:rPr>
      </w:pPr>
      <w:r w:rsidRPr="00715694">
        <w:rPr>
          <w:rFonts w:asciiTheme="majorBidi" w:hAnsiTheme="majorBidi" w:cstheme="majorBidi"/>
        </w:rPr>
        <w:t>(</w:t>
      </w:r>
      <w:r w:rsidRPr="00715694">
        <w:rPr>
          <w:rStyle w:val="ac"/>
          <w:rFonts w:asciiTheme="majorBidi" w:hAnsiTheme="majorBidi" w:cstheme="majorBidi"/>
          <w:vertAlign w:val="baseline"/>
        </w:rPr>
        <w:endnoteRef/>
      </w:r>
      <w:r w:rsidRPr="00715694">
        <w:rPr>
          <w:rFonts w:asciiTheme="majorBidi" w:hAnsiTheme="majorBidi" w:cstheme="majorBidi"/>
        </w:rPr>
        <w:t xml:space="preserve">) </w:t>
      </w:r>
      <w:r w:rsidRPr="00715694">
        <w:rPr>
          <w:rFonts w:asciiTheme="majorBidi" w:hAnsiTheme="majorBidi" w:cstheme="majorBidi"/>
          <w:lang w:bidi="fa-IR"/>
        </w:rPr>
        <w:t xml:space="preserve">reduction. </w:t>
      </w:r>
    </w:p>
  </w:endnote>
  <w:endnote w:id="13">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إن المجتمع المدني (</w:t>
      </w:r>
      <w:r w:rsidRPr="00980C72">
        <w:rPr>
          <w:rFonts w:asciiTheme="majorBidi" w:hAnsiTheme="majorBidi" w:cs="DanaFajr"/>
        </w:rPr>
        <w:t>civil society</w:t>
      </w:r>
      <w:r w:rsidRPr="00980C72">
        <w:rPr>
          <w:rFonts w:cs="DanaFajr" w:hint="cs"/>
          <w:sz w:val="28"/>
          <w:szCs w:val="28"/>
          <w:rtl/>
        </w:rPr>
        <w:t>) مصطلح يشير إلى المؤس</w:t>
      </w:r>
      <w:r w:rsidRPr="00980C72">
        <w:rPr>
          <w:rFonts w:cs="DanaFajr" w:hint="cs"/>
          <w:sz w:val="28"/>
          <w:szCs w:val="28"/>
          <w:rtl/>
          <w:lang w:bidi="ar-LB"/>
        </w:rPr>
        <w:t>ّ</w:t>
      </w:r>
      <w:r w:rsidRPr="00980C72">
        <w:rPr>
          <w:rFonts w:cs="DanaFajr" w:hint="cs"/>
          <w:sz w:val="28"/>
          <w:szCs w:val="28"/>
          <w:rtl/>
        </w:rPr>
        <w:t xml:space="preserve">سات الاجتماعية المستقلة التي تتوسط الأسرة والدولة. إلاّ أن لهذه المفردة معانٍ متنوعة أخرى أيضاً. لمزيد من الاطلاع حول التفسيرات الإسلامية لهذا المصطلح انظر: </w:t>
      </w:r>
    </w:p>
    <w:p w:rsidR="00F41F33" w:rsidRPr="00715694" w:rsidRDefault="00F41F33" w:rsidP="00D53804">
      <w:pPr>
        <w:pStyle w:val="aa"/>
        <w:bidi w:val="0"/>
        <w:spacing w:line="300" w:lineRule="exact"/>
        <w:ind w:firstLine="0"/>
        <w:rPr>
          <w:rFonts w:cs="DanaFajr"/>
          <w:sz w:val="28"/>
          <w:szCs w:val="28"/>
          <w:rtl/>
          <w:lang w:bidi="fa-IR"/>
        </w:rPr>
      </w:pPr>
      <w:r w:rsidRPr="00715694">
        <w:rPr>
          <w:rFonts w:asciiTheme="majorBidi" w:hAnsiTheme="majorBidi" w:cstheme="majorBidi"/>
        </w:rPr>
        <w:t>- Lewis, B. (</w:t>
      </w:r>
      <w:r w:rsidRPr="006333E0">
        <w:rPr>
          <w:rFonts w:asciiTheme="majorBidi" w:hAnsiTheme="majorBidi" w:cs="Ya-Ali"/>
        </w:rPr>
        <w:t>2002</w:t>
      </w:r>
      <w:r w:rsidRPr="00715694">
        <w:rPr>
          <w:rFonts w:asciiTheme="majorBidi" w:hAnsiTheme="majorBidi" w:cstheme="majorBidi"/>
        </w:rPr>
        <w:t xml:space="preserve">). What Went Wrong? The Clash between Islam and Modernity in the Middle East (London: Weidenfeld &amp; Nicolson). </w:t>
      </w:r>
    </w:p>
  </w:endnote>
  <w:endnote w:id="14">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هذا التعبير مقتبس عن الدكتور عبد الكريم سروش. </w:t>
      </w:r>
    </w:p>
  </w:endnote>
  <w:endnote w:id="15">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تسمى هذه الرؤية في فلسفة اللغة بـ </w:t>
      </w:r>
      <w:r w:rsidRPr="00980C72">
        <w:rPr>
          <w:rFonts w:cs="DanaFajr" w:hint="eastAsia"/>
          <w:sz w:val="27"/>
          <w:szCs w:val="27"/>
          <w:rtl/>
        </w:rPr>
        <w:t>«</w:t>
      </w:r>
      <w:r w:rsidRPr="00980C72">
        <w:rPr>
          <w:rFonts w:cs="DanaFajr" w:hint="cs"/>
          <w:sz w:val="28"/>
          <w:szCs w:val="28"/>
          <w:rtl/>
        </w:rPr>
        <w:t>معيارية المعنى</w:t>
      </w:r>
      <w:r w:rsidRPr="00980C72">
        <w:rPr>
          <w:rFonts w:cs="DanaFajr" w:hint="eastAsia"/>
          <w:sz w:val="27"/>
          <w:szCs w:val="27"/>
          <w:rtl/>
        </w:rPr>
        <w:t>»</w:t>
      </w:r>
      <w:r w:rsidRPr="00980C72">
        <w:rPr>
          <w:rFonts w:cs="DanaFajr" w:hint="cs"/>
          <w:sz w:val="28"/>
          <w:szCs w:val="28"/>
          <w:rtl/>
        </w:rPr>
        <w:t xml:space="preserve"> (</w:t>
      </w:r>
      <w:r w:rsidRPr="00980C72">
        <w:rPr>
          <w:rFonts w:asciiTheme="majorBidi" w:hAnsiTheme="majorBidi" w:cs="DanaFajr"/>
        </w:rPr>
        <w:t>normativity of meaning</w:t>
      </w:r>
      <w:r w:rsidRPr="00980C72">
        <w:rPr>
          <w:rFonts w:cs="DanaFajr" w:hint="cs"/>
          <w:sz w:val="28"/>
          <w:szCs w:val="28"/>
          <w:rtl/>
        </w:rPr>
        <w:t xml:space="preserve">). </w:t>
      </w:r>
    </w:p>
  </w:endnote>
  <w:endnote w:id="16">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يذهب بعض المفك</w:t>
      </w:r>
      <w:r w:rsidRPr="00980C72">
        <w:rPr>
          <w:rFonts w:cs="DanaFajr" w:hint="cs"/>
          <w:sz w:val="28"/>
          <w:szCs w:val="28"/>
          <w:rtl/>
          <w:lang w:bidi="ar-LB"/>
        </w:rPr>
        <w:t>ِّ</w:t>
      </w:r>
      <w:r w:rsidRPr="00980C72">
        <w:rPr>
          <w:rFonts w:cs="DanaFajr" w:hint="cs"/>
          <w:sz w:val="28"/>
          <w:szCs w:val="28"/>
          <w:rtl/>
        </w:rPr>
        <w:t>رين الماهويين في قطرنا إلى اعتبار النـزعة الإنسانية (</w:t>
      </w:r>
      <w:r w:rsidRPr="00980C72">
        <w:rPr>
          <w:rFonts w:asciiTheme="majorBidi" w:hAnsiTheme="majorBidi" w:cs="DanaFajr"/>
        </w:rPr>
        <w:t>Humanism</w:t>
      </w:r>
      <w:r w:rsidRPr="00980C72">
        <w:rPr>
          <w:rFonts w:cs="DanaFajr" w:hint="cs"/>
          <w:sz w:val="28"/>
          <w:szCs w:val="28"/>
          <w:rtl/>
        </w:rPr>
        <w:t xml:space="preserve">) عين الإعراض عن الحق والخضوع للنفس الأمارة، في حين أن النـزعة الإنسانية لا تستلزم أيّاً من هذين الأمرين. وإذا كان فيها دعوة إلى الطاعة فهي دعوةٌ إلى إطاعة العقل والنفس اللوّامة، التي يكون حكمها منسجماً مع حكم إله الأخلاق. إن جوهر النـزعة الإنسانية يكمن في نفي إطاعة النفس الأمّارة، وإنْ كان الذي ينفى في النـزعة الإنسانية أولاً وبالذات هو إطاعة النفس الأمّارة لدى الحكّام، التي هي أسوأ وأقبح من إطاعة المرء لنفسه الأمّارة؛ لأن الذي يبيع آخرته بدنيا غيره أسوأ وأشقى من الذي يبيع آخرته بدنياه. </w:t>
      </w:r>
    </w:p>
    <w:p w:rsidR="00F41F33" w:rsidRPr="00980C72" w:rsidRDefault="00F41F33" w:rsidP="00904FCB">
      <w:pPr>
        <w:pStyle w:val="aa"/>
        <w:spacing w:line="300" w:lineRule="exact"/>
        <w:ind w:firstLine="0"/>
        <w:rPr>
          <w:rFonts w:cs="DanaFajr"/>
          <w:sz w:val="28"/>
          <w:szCs w:val="28"/>
          <w:rtl/>
        </w:rPr>
      </w:pPr>
      <w:r w:rsidRPr="00980C72">
        <w:rPr>
          <w:rFonts w:cs="DanaFajr" w:hint="cs"/>
          <w:sz w:val="28"/>
          <w:szCs w:val="28"/>
          <w:rtl/>
        </w:rPr>
        <w:t xml:space="preserve">علاوة على ذلك لا يمكن أن نجعل من عدم تناغم حكم العقل العلماني مع فهم المتقدِّمين لحكم الشرع دليلاً على بطلان العلمانية والنـزعة الإنسانية؛ لأن فهم المتقدِّمين لحكم الشرع يقوم على متبنيات خاصّة من خارج الدين كانت تستحوذ على ذهنيّاتهم. وفي الحقيقة فإن الاختلاف القائم هنا ليس اختلافاً دينياً، وإنما هو اختلاف ما فوق ديني بشأن متبنيات ما فوق دينية لفهم الدين أو الركن الخارجي من المعرفة الدينية. </w:t>
      </w:r>
    </w:p>
  </w:endnote>
  <w:endnote w:id="17">
    <w:p w:rsidR="00F41F33" w:rsidRPr="00041460" w:rsidRDefault="00F41F33" w:rsidP="004D3A8A">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يرى الدكتور سروش في هذا النوع من التعاطي مع الحداثة والثقافة والحضارة الغربية واحداً من مصادر ذهنيتنا وهويتنا الملتبسة والمشوّشة، ويقول: </w:t>
      </w:r>
      <w:r w:rsidRPr="00980C72">
        <w:rPr>
          <w:rFonts w:cs="DanaFajr" w:hint="eastAsia"/>
          <w:sz w:val="27"/>
          <w:szCs w:val="27"/>
          <w:rtl/>
        </w:rPr>
        <w:t>«</w:t>
      </w:r>
      <w:r w:rsidRPr="00980C72">
        <w:rPr>
          <w:rFonts w:cs="DanaFajr" w:hint="cs"/>
          <w:sz w:val="28"/>
          <w:szCs w:val="28"/>
          <w:rtl/>
        </w:rPr>
        <w:t xml:space="preserve">إن المؤسّسات الحضارية الجديدة، من قبيل: المصارف والجامعات والبرلمانات والصحافة وما إلى ذلك، في مجتمعنا قبل أن تحافظ بالضرورة على هويتها الأصيلة إنما هي كيانات متأثِّرة، وما أكثر الالتباسات الحادّة التي تعرَّضت لها وظائفنا وأفكارنا بسبب هذا الانعدام للهويّة، أو غموض هويّة هذه المؤسّسات والمحاصيل الغربية في الحدّ الأدنى... إن الصحافة والبرلمان محطّات نظريّة تدين في معناها للنظريات ذات الصلة، ولو لم تكن تلك النظريات حاضرة في الذهن لن يكون بالإمكان تفسيرها وتحقيقها بالشكل المطلوب. إن مشكلتنا في ما يتعلَّق بالاقتباس والتقليد يبدو أنها تكمن في أن المؤسّسات الحضارية الجديدة عندما وفدت إلينا لم تجلب معها تنظيراتها، وإنما أخذنا أسماءها وأشكالها وتركنا معانيها ومضامينها الحقيقية، ومن هنا أصبحت مخلوقاً مشوهاً... إن التعرُّف على ماهية السكّين والمهام التي تقوم بها يفتقر إلى معرفة العشرات من النظريات في حقل الإنسان والحضارة والحياة والأخلاق... ما الذي يمكنه أن يبقى من البرلمان والصحافة التي تدور حول محور حقوق الإنسان في المجتمع الديني الذي يدور حول محور التكاليف والواجبات غير الأسماء والقشور السطحية؟ إن هذه الأمور إنما تكتسب هوية ثابتة إذا كانت هناك جهودٌ صادقة للتوفيق بين التفكير الديني القديم للتكليف والمفهوم الشامل والجديد لحقوق الإنسان (إذا كان ذلك ممكناً). وما لم تحصل مثل هذه الجهود فإننا سوف نرزح ضمن هويات ملتبسة ومشوّشة نطلق عليها مسمّى الصحافة، ومسمّى البرلمان، ومسمّى التقنية، وما إلى ذلك، الأمر الذي لا يزيد هويتنا إلاّ تخبطاً وتشويشاً... وعليه يمكن لنا تسمية العالم الثالث بـ </w:t>
      </w:r>
      <w:r w:rsidRPr="00980C72">
        <w:rPr>
          <w:rFonts w:cs="DanaFajr" w:hint="eastAsia"/>
          <w:sz w:val="27"/>
          <w:szCs w:val="27"/>
          <w:rtl/>
        </w:rPr>
        <w:t>«</w:t>
      </w:r>
      <w:r w:rsidRPr="00980C72">
        <w:rPr>
          <w:rFonts w:cs="DanaFajr" w:hint="cs"/>
          <w:sz w:val="28"/>
          <w:szCs w:val="28"/>
          <w:rtl/>
        </w:rPr>
        <w:t>عالم المسمَّيات</w:t>
      </w:r>
      <w:r w:rsidRPr="00980C72">
        <w:rPr>
          <w:rFonts w:cs="DanaFajr" w:hint="eastAsia"/>
          <w:sz w:val="27"/>
          <w:szCs w:val="27"/>
          <w:rtl/>
        </w:rPr>
        <w:t>»</w:t>
      </w:r>
      <w:r w:rsidRPr="00980C72">
        <w:rPr>
          <w:rFonts w:cs="DanaFajr" w:hint="cs"/>
          <w:sz w:val="28"/>
          <w:szCs w:val="28"/>
          <w:rtl/>
        </w:rPr>
        <w:t>؛ وذلك لأنها عبارة عن هويات مستأصلة عن مبانيها وقواعدها، ولذلك نجدها فارغة من المعاني، فهي مجرّد أسماء من دون مسمَّيات، ومسمَّيات كاذبة، لا تنفع إلاّ في إثارة الفتن وتشويش الأذهان</w:t>
      </w:r>
      <w:r w:rsidRPr="00980C72">
        <w:rPr>
          <w:rFonts w:cs="DanaFajr" w:hint="eastAsia"/>
          <w:sz w:val="27"/>
          <w:szCs w:val="27"/>
          <w:rtl/>
        </w:rPr>
        <w:t>»</w:t>
      </w:r>
      <w:r w:rsidRPr="00980C72">
        <w:rPr>
          <w:rFonts w:cs="DanaFajr" w:hint="cs"/>
          <w:sz w:val="28"/>
          <w:szCs w:val="28"/>
          <w:rtl/>
        </w:rPr>
        <w:t xml:space="preserve">. انظر: </w:t>
      </w:r>
      <w:r w:rsidRPr="00041460">
        <w:rPr>
          <w:rFonts w:cs="DanaFajr" w:hint="cs"/>
          <w:sz w:val="28"/>
          <w:szCs w:val="28"/>
          <w:rtl/>
        </w:rPr>
        <w:t xml:space="preserve">سروش، </w:t>
      </w:r>
      <w:r w:rsidRPr="00041460">
        <w:rPr>
          <w:rFonts w:cs="DanaFajr" w:hint="cs"/>
          <w:sz w:val="28"/>
          <w:szCs w:val="28"/>
          <w:rtl/>
          <w:lang w:bidi="ar-AE"/>
        </w:rPr>
        <w:t xml:space="preserve">ذهنيت مشوّش، هويت مشوّش، </w:t>
      </w:r>
      <w:r w:rsidRPr="00041460">
        <w:rPr>
          <w:rFonts w:cs="DanaFajr" w:hint="cs"/>
          <w:sz w:val="28"/>
          <w:szCs w:val="28"/>
          <w:rtl/>
        </w:rPr>
        <w:t xml:space="preserve">في (أخلاق خدايان: 162 ـ 165). </w:t>
      </w:r>
    </w:p>
  </w:endnote>
  <w:endnote w:id="18">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هناك مزيد من التوضيح بشأن التعاطي النقدي واختلافه عن التقليد والتحجّر أوردناه في محلّه. وقد عمدنا إلى نقد الاتجاهات المتنوِّعة بشأن الدين والحداثة في العالم الإسلامي في مقالٍ لنا تحت عنوان: </w:t>
      </w:r>
      <w:r w:rsidRPr="00980C72">
        <w:rPr>
          <w:rFonts w:cs="DanaFajr" w:hint="eastAsia"/>
          <w:sz w:val="27"/>
          <w:szCs w:val="27"/>
          <w:rtl/>
        </w:rPr>
        <w:t>«</w:t>
      </w:r>
      <w:r w:rsidRPr="00980C72">
        <w:rPr>
          <w:rFonts w:cs="DanaFajr" w:hint="cs"/>
          <w:sz w:val="28"/>
          <w:szCs w:val="28"/>
          <w:rtl/>
        </w:rPr>
        <w:t>الدين والحداثة، من الحداثة الإسلامية إلى الإسلام الحديث</w:t>
      </w:r>
      <w:r w:rsidRPr="00980C72">
        <w:rPr>
          <w:rFonts w:cs="DanaFajr" w:hint="eastAsia"/>
          <w:sz w:val="27"/>
          <w:szCs w:val="27"/>
          <w:rtl/>
        </w:rPr>
        <w:t>»</w:t>
      </w:r>
      <w:r w:rsidRPr="00980C72">
        <w:rPr>
          <w:rFonts w:cs="DanaFajr" w:hint="cs"/>
          <w:sz w:val="28"/>
          <w:szCs w:val="28"/>
          <w:rtl/>
        </w:rPr>
        <w:t xml:space="preserve">. وقد عمدنا في هذا المقال إلى التفكيك بين ثلاثة أنواع من التحول الفقهي، وهي: تحوّل الإسلام إلى فقه، وتحوّل الحداثة إلى ثمارها، وتحوّل ثمار الحداثة إلى أجزاء تلك الثمار. </w:t>
      </w:r>
    </w:p>
  </w:endnote>
  <w:endnote w:id="19">
    <w:p w:rsidR="00F41F33" w:rsidRPr="00980C72" w:rsidRDefault="00F41F33" w:rsidP="00041460">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كما يمكن العثور على شرح وبسط، وكذلك النقد العلمي، لبعض هذه النظريّات في المصدر </w:t>
      </w:r>
      <w:r w:rsidRPr="00041460">
        <w:rPr>
          <w:rFonts w:cs="DanaFajr" w:hint="cs"/>
          <w:sz w:val="28"/>
          <w:szCs w:val="28"/>
          <w:rtl/>
        </w:rPr>
        <w:t xml:space="preserve">التالي: </w:t>
      </w:r>
      <w:r w:rsidRPr="00041460">
        <w:rPr>
          <w:rFonts w:cs="DanaFajr" w:hint="cs"/>
          <w:sz w:val="28"/>
          <w:szCs w:val="28"/>
          <w:rtl/>
          <w:lang w:bidi="ar-AE"/>
        </w:rPr>
        <w:t>كَدِيوَر، أز إسلام تاريخي به إسلام معنوي، سنّت وسكولاريسم: 405 ـ 431، طهران، مؤسّسه</w:t>
      </w:r>
      <w:r w:rsidRPr="00980C72">
        <w:rPr>
          <w:rFonts w:cs="DanaFajr" w:hint="cs"/>
          <w:sz w:val="28"/>
          <w:szCs w:val="28"/>
          <w:rtl/>
          <w:lang w:bidi="ar-AE"/>
        </w:rPr>
        <w:t xml:space="preserve"> </w:t>
      </w:r>
      <w:r>
        <w:rPr>
          <w:rFonts w:ascii="Mosawi" w:hAnsi="Mosawi" w:cs="Abz-3 (Yagut)" w:hint="cs"/>
          <w:rtl/>
          <w:lang w:val="x-none" w:eastAsia="x-none"/>
        </w:rPr>
        <w:t>فرهن</w:t>
      </w:r>
      <w:r w:rsidRPr="00527E29">
        <w:rPr>
          <w:rFonts w:ascii="Mosawi" w:hAnsi="Mosawi" w:cs="Abz-3 (Yagut)"/>
          <w:rtl/>
          <w:lang w:val="x-none" w:eastAsia="x-none"/>
        </w:rPr>
        <w:t>گ</w:t>
      </w:r>
      <w:r w:rsidRPr="00041460">
        <w:rPr>
          <w:rFonts w:ascii="Mosawi" w:hAnsi="Mosawi" w:cs="Abz-3 (Yagut)" w:hint="cs"/>
          <w:rtl/>
          <w:lang w:val="x-none" w:eastAsia="x-none"/>
        </w:rPr>
        <w:t>ي</w:t>
      </w:r>
      <w:r w:rsidRPr="00980C72">
        <w:rPr>
          <w:rFonts w:cs="DanaFajr" w:hint="cs"/>
          <w:sz w:val="28"/>
          <w:szCs w:val="28"/>
          <w:rtl/>
          <w:lang w:bidi="ar-AE"/>
        </w:rPr>
        <w:t xml:space="preserve"> صراط</w:t>
      </w:r>
      <w:r w:rsidRPr="00980C72">
        <w:rPr>
          <w:rFonts w:cs="DanaFajr" w:hint="cs"/>
          <w:sz w:val="28"/>
          <w:szCs w:val="28"/>
          <w:rtl/>
        </w:rPr>
        <w:t xml:space="preserve">. </w:t>
      </w:r>
    </w:p>
    <w:p w:rsidR="00F41F33" w:rsidRPr="00980C72" w:rsidRDefault="00F41F33" w:rsidP="00904FCB">
      <w:pPr>
        <w:pStyle w:val="aa"/>
        <w:spacing w:line="300" w:lineRule="exact"/>
        <w:ind w:firstLine="0"/>
        <w:rPr>
          <w:rFonts w:cs="DanaFajr"/>
          <w:sz w:val="28"/>
          <w:szCs w:val="28"/>
          <w:rtl/>
        </w:rPr>
      </w:pPr>
      <w:r w:rsidRPr="00980C72">
        <w:rPr>
          <w:rFonts w:cs="DanaFajr" w:hint="cs"/>
          <w:sz w:val="28"/>
          <w:szCs w:val="28"/>
          <w:rtl/>
        </w:rPr>
        <w:t xml:space="preserve">هذا وقد عمد الدكتور سروش إلى دراسة ونقد هذه النظريات في كتاب </w:t>
      </w:r>
      <w:r w:rsidRPr="00980C72">
        <w:rPr>
          <w:rFonts w:cs="DanaFajr" w:hint="eastAsia"/>
          <w:sz w:val="27"/>
          <w:szCs w:val="27"/>
          <w:rtl/>
        </w:rPr>
        <w:t>«</w:t>
      </w:r>
      <w:r w:rsidRPr="00980C72">
        <w:rPr>
          <w:rFonts w:cs="DanaFajr" w:hint="cs"/>
          <w:sz w:val="28"/>
          <w:szCs w:val="28"/>
          <w:rtl/>
        </w:rPr>
        <w:t>القبض والبسط</w:t>
      </w:r>
      <w:r w:rsidRPr="00980C72">
        <w:rPr>
          <w:rFonts w:cs="DanaFajr" w:hint="eastAsia"/>
          <w:sz w:val="27"/>
          <w:szCs w:val="27"/>
          <w:rtl/>
        </w:rPr>
        <w:t>»</w:t>
      </w:r>
      <w:r w:rsidRPr="00980C72">
        <w:rPr>
          <w:rFonts w:cs="DanaFajr" w:hint="cs"/>
          <w:sz w:val="28"/>
          <w:szCs w:val="28"/>
          <w:rtl/>
        </w:rPr>
        <w:t xml:space="preserve"> من الزاوية المعرفية، انظر: </w:t>
      </w:r>
      <w:r w:rsidRPr="00980C72">
        <w:rPr>
          <w:rFonts w:cs="DanaFajr" w:hint="cs"/>
          <w:sz w:val="28"/>
          <w:szCs w:val="28"/>
          <w:rtl/>
          <w:lang w:bidi="ar-AE"/>
        </w:rPr>
        <w:t xml:space="preserve">سروش، قبض وبسط تئوريك شريعت </w:t>
      </w:r>
      <w:r w:rsidRPr="00980C72">
        <w:rPr>
          <w:rFonts w:cs="DanaFajr" w:hint="eastAsia"/>
          <w:sz w:val="27"/>
          <w:szCs w:val="27"/>
          <w:rtl/>
        </w:rPr>
        <w:t>«</w:t>
      </w:r>
      <w:r w:rsidRPr="00980C72">
        <w:rPr>
          <w:rFonts w:cs="DanaFajr" w:hint="cs"/>
          <w:sz w:val="28"/>
          <w:szCs w:val="28"/>
          <w:rtl/>
          <w:lang w:bidi="ar-AE"/>
        </w:rPr>
        <w:t xml:space="preserve">نظرية تكامل المعرفة </w:t>
      </w:r>
      <w:r w:rsidRPr="00041460">
        <w:rPr>
          <w:rFonts w:cs="DanaFajr" w:hint="cs"/>
          <w:sz w:val="28"/>
          <w:szCs w:val="28"/>
          <w:rtl/>
          <w:lang w:bidi="ar-AE"/>
        </w:rPr>
        <w:t>الدينية</w:t>
      </w:r>
      <w:r w:rsidRPr="00041460">
        <w:rPr>
          <w:rFonts w:cs="DanaFajr" w:hint="eastAsia"/>
          <w:sz w:val="27"/>
          <w:szCs w:val="27"/>
          <w:rtl/>
        </w:rPr>
        <w:t>»</w:t>
      </w:r>
      <w:r w:rsidRPr="00041460">
        <w:rPr>
          <w:rFonts w:cs="DanaFajr" w:hint="cs"/>
          <w:sz w:val="28"/>
          <w:szCs w:val="28"/>
          <w:rtl/>
          <w:lang w:bidi="ar-AE"/>
        </w:rPr>
        <w:t xml:space="preserve">: </w:t>
      </w:r>
      <w:r w:rsidRPr="00041460">
        <w:rPr>
          <w:rFonts w:cs="DanaFajr" w:hint="cs"/>
          <w:sz w:val="28"/>
          <w:szCs w:val="28"/>
          <w:rtl/>
        </w:rPr>
        <w:t>47 ـ 55، 493 ـ 501</w:t>
      </w:r>
      <w:r w:rsidRPr="00041460">
        <w:rPr>
          <w:rFonts w:cs="DanaFajr" w:hint="cs"/>
          <w:sz w:val="28"/>
          <w:szCs w:val="28"/>
          <w:rtl/>
          <w:lang w:bidi="ar-AE"/>
        </w:rPr>
        <w:t>، طهران</w:t>
      </w:r>
      <w:r w:rsidRPr="00980C72">
        <w:rPr>
          <w:rFonts w:cs="DanaFajr" w:hint="cs"/>
          <w:sz w:val="28"/>
          <w:szCs w:val="28"/>
          <w:rtl/>
          <w:lang w:bidi="ar-AE"/>
        </w:rPr>
        <w:t xml:space="preserve">، مؤسسه </w:t>
      </w:r>
      <w:r w:rsidRPr="00041460">
        <w:rPr>
          <w:rFonts w:ascii="Mosawi" w:hAnsi="Mosawi" w:cs="Abz-3 (Yagut)" w:hint="cs"/>
          <w:rtl/>
          <w:lang w:val="x-none" w:eastAsia="x-none"/>
        </w:rPr>
        <w:t>فرهنگي</w:t>
      </w:r>
      <w:r w:rsidRPr="00980C72">
        <w:rPr>
          <w:rFonts w:cs="DanaFajr" w:hint="cs"/>
          <w:sz w:val="28"/>
          <w:szCs w:val="28"/>
          <w:rtl/>
          <w:lang w:bidi="ar-AE"/>
        </w:rPr>
        <w:t xml:space="preserve"> صراط. </w:t>
      </w:r>
    </w:p>
  </w:endnote>
  <w:endnote w:id="20">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يفهم هذا الحلّ من كلمات الأستاذ الشهيد مرتضى مطهري، وهو مقبولٌ عند عامة الفقهاء. انظر: </w:t>
      </w:r>
      <w:r w:rsidRPr="00980C72">
        <w:rPr>
          <w:rFonts w:cs="DanaFajr" w:hint="cs"/>
          <w:sz w:val="28"/>
          <w:szCs w:val="28"/>
          <w:rtl/>
          <w:lang w:bidi="ar-AE"/>
        </w:rPr>
        <w:t xml:space="preserve">مطهري، إسلام ومقتضيات زمان، طهران، انتشارات صدرا. </w:t>
      </w:r>
    </w:p>
  </w:endnote>
  <w:endnote w:id="21">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إن المراد من </w:t>
      </w:r>
      <w:r w:rsidRPr="00980C72">
        <w:rPr>
          <w:rFonts w:cs="DanaFajr" w:hint="eastAsia"/>
          <w:sz w:val="27"/>
          <w:szCs w:val="27"/>
          <w:rtl/>
        </w:rPr>
        <w:t>«</w:t>
      </w:r>
      <w:r w:rsidRPr="00980C72">
        <w:rPr>
          <w:rFonts w:cs="DanaFajr" w:hint="cs"/>
          <w:sz w:val="28"/>
          <w:szCs w:val="28"/>
          <w:rtl/>
        </w:rPr>
        <w:t>منطقة الفراغ</w:t>
      </w:r>
      <w:r w:rsidRPr="00980C72">
        <w:rPr>
          <w:rFonts w:cs="DanaFajr" w:hint="eastAsia"/>
          <w:sz w:val="27"/>
          <w:szCs w:val="27"/>
          <w:rtl/>
        </w:rPr>
        <w:t>»</w:t>
      </w:r>
      <w:r w:rsidRPr="00980C72">
        <w:rPr>
          <w:rFonts w:cs="DanaFajr" w:hint="cs"/>
          <w:sz w:val="28"/>
          <w:szCs w:val="28"/>
          <w:rtl/>
        </w:rPr>
        <w:t xml:space="preserve"> هي المنطقة التي اختار الشارع السكوت بشأنها، وبسبب هذا السكوت لم يعُدْ في هذه المنطقة من معيار عمليّ يحدِّد للمكلَّف وظيفته، ولذلك فإننا في هذه المنطقة نواجه خلأً معيارياً يجب ملؤه على يد جمهور الناس، أو الحاكم الإسلامي. </w:t>
      </w:r>
    </w:p>
  </w:endnote>
  <w:endnote w:id="22">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جديرٌ بالذكر أن هذا الحلّ، بالإضافة إلى تقريراته التقليدية، له تقريراته العصرية أيضاً، ويعتبر الشيخ كَدِيوَر من المفكِّرين المعاصرين في الشأن الديني الذين قدَّموا تقريراً عصرياً لهذا الحلّ. انظر في هذا الشأن: </w:t>
      </w:r>
      <w:r w:rsidRPr="00980C72">
        <w:rPr>
          <w:rFonts w:cs="DanaFajr" w:hint="cs"/>
          <w:sz w:val="28"/>
          <w:szCs w:val="28"/>
          <w:rtl/>
          <w:lang w:bidi="ar-AE"/>
        </w:rPr>
        <w:t xml:space="preserve">كَدِيوَر، أز إسلام تاريخي به إسلام معنوي، سنّت </w:t>
      </w:r>
      <w:r w:rsidRPr="00041460">
        <w:rPr>
          <w:rFonts w:cs="DanaFajr" w:hint="cs"/>
          <w:sz w:val="28"/>
          <w:szCs w:val="28"/>
          <w:rtl/>
          <w:lang w:bidi="ar-AE"/>
        </w:rPr>
        <w:t>وسكولاريسم: 405 ـ 431،</w:t>
      </w:r>
      <w:r w:rsidRPr="00980C72">
        <w:rPr>
          <w:rFonts w:cs="DanaFajr" w:hint="cs"/>
          <w:sz w:val="28"/>
          <w:szCs w:val="28"/>
          <w:rtl/>
          <w:lang w:bidi="ar-AE"/>
        </w:rPr>
        <w:t xml:space="preserve"> </w:t>
      </w:r>
      <w:r w:rsidRPr="00980C72">
        <w:rPr>
          <w:rFonts w:cs="DanaFajr" w:hint="cs"/>
          <w:sz w:val="28"/>
          <w:szCs w:val="28"/>
          <w:rtl/>
        </w:rPr>
        <w:t xml:space="preserve">حيث يعمد سماحته إلى الفصل بين </w:t>
      </w:r>
      <w:r w:rsidRPr="00980C72">
        <w:rPr>
          <w:rFonts w:cs="DanaFajr" w:hint="eastAsia"/>
          <w:sz w:val="27"/>
          <w:szCs w:val="27"/>
          <w:rtl/>
        </w:rPr>
        <w:t>«</w:t>
      </w:r>
      <w:r w:rsidRPr="00980C72">
        <w:rPr>
          <w:rFonts w:cs="DanaFajr" w:hint="cs"/>
          <w:sz w:val="28"/>
          <w:szCs w:val="28"/>
          <w:rtl/>
        </w:rPr>
        <w:t>الإسلام التاريخي</w:t>
      </w:r>
      <w:r w:rsidRPr="00980C72">
        <w:rPr>
          <w:rFonts w:cs="DanaFajr" w:hint="eastAsia"/>
          <w:sz w:val="27"/>
          <w:szCs w:val="27"/>
          <w:rtl/>
        </w:rPr>
        <w:t>»</w:t>
      </w:r>
      <w:r w:rsidRPr="00980C72">
        <w:rPr>
          <w:rFonts w:cs="DanaFajr" w:hint="cs"/>
          <w:sz w:val="28"/>
          <w:szCs w:val="28"/>
          <w:rtl/>
        </w:rPr>
        <w:t xml:space="preserve"> و</w:t>
      </w:r>
      <w:r w:rsidRPr="00980C72">
        <w:rPr>
          <w:rFonts w:cs="DanaFajr" w:hint="eastAsia"/>
          <w:sz w:val="27"/>
          <w:szCs w:val="27"/>
          <w:rtl/>
        </w:rPr>
        <w:t>«</w:t>
      </w:r>
      <w:r w:rsidRPr="00980C72">
        <w:rPr>
          <w:rFonts w:cs="DanaFajr" w:hint="cs"/>
          <w:sz w:val="28"/>
          <w:szCs w:val="28"/>
          <w:rtl/>
        </w:rPr>
        <w:t>الإسلام المعنوي</w:t>
      </w:r>
      <w:r w:rsidRPr="00980C72">
        <w:rPr>
          <w:rFonts w:cs="DanaFajr" w:hint="eastAsia"/>
          <w:sz w:val="27"/>
          <w:szCs w:val="27"/>
          <w:rtl/>
        </w:rPr>
        <w:t>»</w:t>
      </w:r>
      <w:r w:rsidRPr="00980C72">
        <w:rPr>
          <w:rFonts w:cs="DanaFajr" w:hint="cs"/>
          <w:sz w:val="28"/>
          <w:szCs w:val="28"/>
          <w:rtl/>
        </w:rPr>
        <w:t xml:space="preserve">، معتقداً ضرورة قياس أحكام الشرع بأصل العدالة وسيرة العقلاء؛ للعبور من الإسلام التاريخي إلى الإسلام المعنوي. يلتفت الشيخ كديور إلى هذه النقطة الهامّة، وهي أن </w:t>
      </w:r>
      <w:r w:rsidRPr="00980C72">
        <w:rPr>
          <w:rFonts w:cs="DanaFajr" w:hint="eastAsia"/>
          <w:sz w:val="27"/>
          <w:szCs w:val="27"/>
          <w:rtl/>
        </w:rPr>
        <w:t>«</w:t>
      </w:r>
      <w:r w:rsidRPr="00980C72">
        <w:rPr>
          <w:rFonts w:cs="DanaFajr" w:hint="cs"/>
          <w:sz w:val="28"/>
          <w:szCs w:val="28"/>
          <w:rtl/>
        </w:rPr>
        <w:t>مشكلة تنافي الأحكام الشرعي مع المعاصرة تكمن في الأحكام الثابتة والمنصوصة</w:t>
      </w:r>
      <w:r w:rsidRPr="00980C72">
        <w:rPr>
          <w:rFonts w:cs="DanaFajr" w:hint="eastAsia"/>
          <w:sz w:val="27"/>
          <w:szCs w:val="27"/>
          <w:rtl/>
        </w:rPr>
        <w:t>»</w:t>
      </w:r>
      <w:r w:rsidRPr="00980C72">
        <w:rPr>
          <w:rFonts w:cs="DanaFajr" w:hint="cs"/>
          <w:sz w:val="28"/>
          <w:szCs w:val="28"/>
          <w:rtl/>
        </w:rPr>
        <w:t xml:space="preserve"> (انظر: المصدر </w:t>
      </w:r>
      <w:r w:rsidRPr="00CC023F">
        <w:rPr>
          <w:rFonts w:cs="DanaFajr" w:hint="cs"/>
          <w:sz w:val="28"/>
          <w:szCs w:val="28"/>
          <w:rtl/>
        </w:rPr>
        <w:t>السابق: 419</w:t>
      </w:r>
      <w:r w:rsidRPr="00980C72">
        <w:rPr>
          <w:rFonts w:cs="DanaFajr" w:hint="cs"/>
          <w:sz w:val="28"/>
          <w:szCs w:val="28"/>
          <w:rtl/>
        </w:rPr>
        <w:t xml:space="preserve">). ولكن حيث إنه لم يتخلَّ بعد تماماً عن المنهج السائد للاجتهاد في الفقه التقليدي لا يرتضي حجية الظنون العقلية والحسية والتجريبية، ويشترط لإعادة النظر في أحكام الفقه التقليدي حصول </w:t>
      </w:r>
      <w:r w:rsidRPr="00980C72">
        <w:rPr>
          <w:rFonts w:cs="DanaFajr" w:hint="eastAsia"/>
          <w:sz w:val="27"/>
          <w:szCs w:val="27"/>
          <w:rtl/>
        </w:rPr>
        <w:t>«</w:t>
      </w:r>
      <w:r w:rsidRPr="00980C72">
        <w:rPr>
          <w:rFonts w:cs="DanaFajr" w:hint="cs"/>
          <w:sz w:val="28"/>
          <w:szCs w:val="28"/>
          <w:rtl/>
        </w:rPr>
        <w:t>القطع</w:t>
      </w:r>
      <w:r w:rsidRPr="00980C72">
        <w:rPr>
          <w:rFonts w:cs="DanaFajr" w:hint="eastAsia"/>
          <w:sz w:val="27"/>
          <w:szCs w:val="27"/>
          <w:rtl/>
        </w:rPr>
        <w:t>»</w:t>
      </w:r>
      <w:r w:rsidRPr="00980C72">
        <w:rPr>
          <w:rFonts w:cs="DanaFajr" w:hint="cs"/>
          <w:sz w:val="28"/>
          <w:szCs w:val="28"/>
          <w:rtl/>
        </w:rPr>
        <w:t xml:space="preserve"> و</w:t>
      </w:r>
      <w:r w:rsidRPr="00980C72">
        <w:rPr>
          <w:rFonts w:cs="DanaFajr" w:hint="eastAsia"/>
          <w:sz w:val="27"/>
          <w:szCs w:val="27"/>
          <w:rtl/>
        </w:rPr>
        <w:t>«</w:t>
      </w:r>
      <w:r w:rsidRPr="00980C72">
        <w:rPr>
          <w:rFonts w:cs="DanaFajr" w:hint="cs"/>
          <w:sz w:val="28"/>
          <w:szCs w:val="28"/>
          <w:rtl/>
        </w:rPr>
        <w:t>اليقين</w:t>
      </w:r>
      <w:r w:rsidRPr="00980C72">
        <w:rPr>
          <w:rFonts w:cs="DanaFajr" w:hint="eastAsia"/>
          <w:sz w:val="27"/>
          <w:szCs w:val="27"/>
          <w:rtl/>
        </w:rPr>
        <w:t>»</w:t>
      </w:r>
      <w:r w:rsidRPr="00980C72">
        <w:rPr>
          <w:rFonts w:cs="DanaFajr" w:hint="cs"/>
          <w:sz w:val="28"/>
          <w:szCs w:val="28"/>
          <w:rtl/>
        </w:rPr>
        <w:t xml:space="preserve"> بمنافاة هذه الأحكام وعدم انسجامها مع أصل العدالة وسيرة العقلاء (المصدر نفسه)، في حين أن حجية الظنون العقلية والحسّية تمثِّل أحد أهم السِّيَر العقلائية في العالم المعاصر. وإن هذه السيرة في حد ذاتها وسائر السِّيَر العقلائية إنما يتم إثباتها وإحرازها بشكلٍ ظنّي فقط، وهناك احتمال الخطأ في هذا المورد، وهو أمرٌ لا سبيل إلى التغلُّب عليه. وعليه فإن الدعوة إلى تحصيل القطع واليقين في هذه الموارد مخالف للعقلانية؛ لأنها لا تتناسب مع الأدلة والشواهد الموجودة. وعلى هذا الأساس فإن العبور من الإسلام التاريخي إلى الإسلام المعنوي، وتقديم تفسير عن الإسلام متناغم ومنسجم مع العالم المعاصر، دون القول بـ </w:t>
      </w:r>
      <w:r w:rsidRPr="00980C72">
        <w:rPr>
          <w:rFonts w:cs="DanaFajr" w:hint="eastAsia"/>
          <w:sz w:val="27"/>
          <w:szCs w:val="27"/>
          <w:rtl/>
        </w:rPr>
        <w:t>«</w:t>
      </w:r>
      <w:r w:rsidRPr="00980C72">
        <w:rPr>
          <w:rFonts w:cs="DanaFajr" w:hint="cs"/>
          <w:sz w:val="28"/>
          <w:szCs w:val="28"/>
          <w:rtl/>
        </w:rPr>
        <w:t>حجّية الظنون العقلية والتجريبية</w:t>
      </w:r>
      <w:r w:rsidRPr="00980C72">
        <w:rPr>
          <w:rFonts w:cs="DanaFajr" w:hint="eastAsia"/>
          <w:sz w:val="27"/>
          <w:szCs w:val="27"/>
          <w:rtl/>
        </w:rPr>
        <w:t>»</w:t>
      </w:r>
      <w:r w:rsidRPr="00980C72">
        <w:rPr>
          <w:rFonts w:cs="DanaFajr" w:hint="cs"/>
          <w:sz w:val="28"/>
          <w:szCs w:val="28"/>
          <w:rtl/>
        </w:rPr>
        <w:t xml:space="preserve">، لن يكون ممكناً. وبطبيعة الحال فإن الشيخ كَدِيوَر يقرّ صراحةً بأن الاجتهاد في الفروع لا يمثِّل حلاًّ للمشكلة، ويسعى إلى الاجتهاد في الأصول أيضاً. ولكنْ من أهم الأصول التي يجب تجديد النظر بشأنها في هذا السياق هو أصل عدم حجّية الظنون العقلية والحسّية، أو أصل حرمة اتّباع الظنّ؛ إذ لا بُدَّ من الاعتراف بحجّية هذه الظنون بوصفها من الظنون العقلائية (أي الظنون التي يهتمّ بها العقلاء، ويعملون بمضمونها). إن الجهود التي يبذلها الشيخ كَدِيوَر في الدفاع النظري والعملي عن حقوق الإنسان، ورفع التعارض القائم بين هذه الحقوق والإسلام، من خلال الاجتهاد في الأصول، جهودٌ مشكورة، وتستحق الثناء والتقدير، بَيْدَ أن جهوداً من هذا القبيل لا تبدو مكتملة إلاّ من خلال القول بحجّية الظنون العقلية والحسية والتجريبية. وكما رأينا في الفصل السابق فإن سرَّ تناغم الفتاوى الفقهية للمعتزلة والأشاعرة والأخباريين والأصوليين تكمن في أن هذه الجماعات تصل في نهاية المطاف ـ ومن مختلف الطرق ـ إلى تعطيل العقل المستقلّ عن الدين في قبال النقل، وإنْ كان تعطيل العقل عند الأصوليين يكون من خلال نفي حجّية الظنون العقلية والتجريبية، وإخراجها من دائرة الظنون العقلائية والمعتبرة. </w:t>
      </w:r>
    </w:p>
  </w:endnote>
  <w:endnote w:id="23">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انظر: </w:t>
      </w:r>
    </w:p>
    <w:p w:rsidR="00F41F33" w:rsidRPr="00CC023F" w:rsidRDefault="00F41F33" w:rsidP="00904FCB">
      <w:pPr>
        <w:pStyle w:val="aa"/>
        <w:spacing w:line="300" w:lineRule="exact"/>
        <w:ind w:firstLine="0"/>
        <w:rPr>
          <w:rFonts w:cs="DanaFajr"/>
          <w:sz w:val="28"/>
          <w:szCs w:val="28"/>
          <w:rtl/>
          <w:lang w:bidi="ar-AE"/>
        </w:rPr>
      </w:pPr>
      <w:r w:rsidRPr="00980C72">
        <w:rPr>
          <w:rFonts w:cs="DanaFajr" w:hint="cs"/>
          <w:sz w:val="28"/>
          <w:szCs w:val="28"/>
          <w:rtl/>
        </w:rPr>
        <w:t xml:space="preserve">ـ </w:t>
      </w:r>
      <w:r w:rsidRPr="00980C72">
        <w:rPr>
          <w:rFonts w:cs="DanaFajr" w:hint="cs"/>
          <w:sz w:val="28"/>
          <w:szCs w:val="28"/>
          <w:rtl/>
          <w:lang w:bidi="ar-AE"/>
        </w:rPr>
        <w:t xml:space="preserve">فنائي، مباني اجتهاد: تأثير معرفت بشري در معرفت ديني، مجلة نقد ونظر، </w:t>
      </w:r>
      <w:r w:rsidRPr="00CC023F">
        <w:rPr>
          <w:rFonts w:cs="DanaFajr" w:hint="cs"/>
          <w:sz w:val="28"/>
          <w:szCs w:val="28"/>
          <w:rtl/>
          <w:lang w:bidi="ar-AE"/>
        </w:rPr>
        <w:t xml:space="preserve">العدد 3 ـ 4: 284 ـ 293. </w:t>
      </w:r>
    </w:p>
    <w:p w:rsidR="00F41F33" w:rsidRPr="00980C72" w:rsidRDefault="00F41F33" w:rsidP="00904FCB">
      <w:pPr>
        <w:pStyle w:val="aa"/>
        <w:spacing w:line="300" w:lineRule="exact"/>
        <w:ind w:firstLine="0"/>
        <w:rPr>
          <w:rFonts w:cs="DanaFajr"/>
          <w:sz w:val="28"/>
          <w:szCs w:val="28"/>
          <w:rtl/>
          <w:lang w:bidi="ar-AE"/>
        </w:rPr>
      </w:pPr>
      <w:r w:rsidRPr="00980C72">
        <w:rPr>
          <w:rFonts w:cs="DanaFajr" w:hint="cs"/>
          <w:sz w:val="28"/>
          <w:szCs w:val="28"/>
          <w:rtl/>
          <w:lang w:bidi="ar-AE"/>
        </w:rPr>
        <w:t xml:space="preserve">ـ فنائي، </w:t>
      </w:r>
      <w:r w:rsidRPr="00980C72">
        <w:rPr>
          <w:rFonts w:ascii="Mosawi" w:hAnsi="Mosawi" w:cs="DanaFajr" w:hint="cs"/>
          <w:rtl/>
          <w:lang w:val="x-none" w:eastAsia="x-none"/>
        </w:rPr>
        <w:t>جايگاه</w:t>
      </w:r>
      <w:r w:rsidRPr="00980C72">
        <w:rPr>
          <w:rFonts w:cs="DanaFajr" w:hint="cs"/>
          <w:sz w:val="28"/>
          <w:szCs w:val="28"/>
          <w:rtl/>
          <w:lang w:bidi="ar-AE"/>
        </w:rPr>
        <w:t xml:space="preserve"> موضوع شناسي در اجتهاد، مجلة نقد ونظر، </w:t>
      </w:r>
      <w:r w:rsidRPr="00CC023F">
        <w:rPr>
          <w:rFonts w:cs="DanaFajr" w:hint="cs"/>
          <w:sz w:val="28"/>
          <w:szCs w:val="28"/>
          <w:rtl/>
          <w:lang w:bidi="ar-AE"/>
        </w:rPr>
        <w:t>العدد 5: 87 ـ 100.</w:t>
      </w:r>
      <w:r w:rsidRPr="00980C72">
        <w:rPr>
          <w:rFonts w:cs="DanaFajr" w:hint="cs"/>
          <w:sz w:val="28"/>
          <w:szCs w:val="28"/>
          <w:rtl/>
          <w:lang w:bidi="ar-AE"/>
        </w:rPr>
        <w:t xml:space="preserve"> </w:t>
      </w:r>
    </w:p>
    <w:p w:rsidR="00F41F33" w:rsidRPr="00980C72" w:rsidRDefault="00F41F33" w:rsidP="00904FCB">
      <w:pPr>
        <w:pStyle w:val="aa"/>
        <w:spacing w:line="300" w:lineRule="exact"/>
        <w:ind w:firstLine="0"/>
        <w:rPr>
          <w:rFonts w:cs="DanaFajr"/>
          <w:sz w:val="28"/>
          <w:szCs w:val="28"/>
          <w:rtl/>
          <w:lang w:bidi="ar-AE"/>
        </w:rPr>
      </w:pPr>
      <w:r w:rsidRPr="00980C72">
        <w:rPr>
          <w:rFonts w:cs="DanaFajr" w:hint="cs"/>
          <w:sz w:val="28"/>
          <w:szCs w:val="28"/>
          <w:rtl/>
          <w:lang w:bidi="ar-AE"/>
        </w:rPr>
        <w:t xml:space="preserve">ـ فنائي، معرفت ديني در بستر زمان ومكان، مجلة نقد ونظر، </w:t>
      </w:r>
      <w:r w:rsidRPr="00CC023F">
        <w:rPr>
          <w:rFonts w:cs="DanaFajr" w:hint="cs"/>
          <w:sz w:val="28"/>
          <w:szCs w:val="28"/>
          <w:rtl/>
          <w:lang w:bidi="ar-AE"/>
        </w:rPr>
        <w:t>العدد 2: 297 ـ 332</w:t>
      </w:r>
      <w:r w:rsidRPr="00980C72">
        <w:rPr>
          <w:rFonts w:cs="DanaFajr" w:hint="cs"/>
          <w:sz w:val="28"/>
          <w:szCs w:val="28"/>
          <w:rtl/>
          <w:lang w:bidi="ar-AE"/>
        </w:rPr>
        <w:t xml:space="preserve">. </w:t>
      </w:r>
    </w:p>
  </w:endnote>
  <w:endnote w:id="24">
    <w:p w:rsidR="00F41F33" w:rsidRPr="00980C72"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انظر: </w:t>
      </w:r>
      <w:r w:rsidRPr="00980C72">
        <w:rPr>
          <w:rFonts w:cs="DanaFajr" w:hint="cs"/>
          <w:sz w:val="28"/>
          <w:szCs w:val="28"/>
          <w:rtl/>
        </w:rPr>
        <w:t xml:space="preserve">سروش، </w:t>
      </w:r>
      <w:r w:rsidRPr="00980C72">
        <w:rPr>
          <w:rFonts w:cs="DanaFajr" w:hint="eastAsia"/>
          <w:sz w:val="27"/>
          <w:szCs w:val="27"/>
          <w:rtl/>
        </w:rPr>
        <w:t>«</w:t>
      </w:r>
      <w:r w:rsidRPr="00980C72">
        <w:rPr>
          <w:rFonts w:cs="DanaFajr" w:hint="cs"/>
          <w:sz w:val="28"/>
          <w:szCs w:val="28"/>
          <w:rtl/>
        </w:rPr>
        <w:t xml:space="preserve">دين ودنياي </w:t>
      </w:r>
      <w:r w:rsidRPr="00CC023F">
        <w:rPr>
          <w:rFonts w:cs="DanaFajr" w:hint="cs"/>
          <w:sz w:val="28"/>
          <w:szCs w:val="28"/>
          <w:rtl/>
        </w:rPr>
        <w:t>جديد (1)</w:t>
      </w:r>
      <w:r w:rsidRPr="00CC023F">
        <w:rPr>
          <w:rFonts w:cs="DanaFajr" w:hint="eastAsia"/>
          <w:sz w:val="27"/>
          <w:szCs w:val="27"/>
          <w:rtl/>
        </w:rPr>
        <w:t>»</w:t>
      </w:r>
      <w:r w:rsidRPr="00CC023F">
        <w:rPr>
          <w:rFonts w:cs="DanaFajr" w:hint="cs"/>
          <w:sz w:val="28"/>
          <w:szCs w:val="28"/>
          <w:rtl/>
        </w:rPr>
        <w:t>،</w:t>
      </w:r>
      <w:r w:rsidRPr="00980C72">
        <w:rPr>
          <w:rFonts w:cs="DanaFajr" w:hint="cs"/>
          <w:sz w:val="28"/>
          <w:szCs w:val="28"/>
          <w:rtl/>
        </w:rPr>
        <w:t xml:space="preserve"> سنّت وسكولاريسم: </w:t>
      </w:r>
      <w:r w:rsidRPr="006333E0">
        <w:rPr>
          <w:rFonts w:cs="Ya-Ali" w:hint="cs"/>
          <w:sz w:val="28"/>
          <w:szCs w:val="28"/>
          <w:rtl/>
        </w:rPr>
        <w:t>8</w:t>
      </w:r>
      <w:r w:rsidRPr="00980C72">
        <w:rPr>
          <w:rFonts w:cs="DanaFajr" w:hint="cs"/>
          <w:sz w:val="28"/>
          <w:szCs w:val="28"/>
          <w:rtl/>
        </w:rPr>
        <w:t xml:space="preserve">، طهران، مؤسّسه </w:t>
      </w:r>
      <w:r w:rsidRPr="00CC023F">
        <w:rPr>
          <w:rFonts w:ascii="Mosawi" w:hAnsi="Mosawi" w:cs="Abz-3 (Yagut)" w:hint="cs"/>
          <w:rtl/>
          <w:lang w:val="x-none" w:eastAsia="x-none"/>
        </w:rPr>
        <w:t>فرهنگي</w:t>
      </w:r>
      <w:r w:rsidRPr="00980C72">
        <w:rPr>
          <w:rFonts w:cs="DanaFajr" w:hint="cs"/>
          <w:sz w:val="28"/>
          <w:szCs w:val="28"/>
          <w:rtl/>
        </w:rPr>
        <w:t xml:space="preserve"> صراط</w:t>
      </w:r>
      <w:r w:rsidRPr="00980C72">
        <w:rPr>
          <w:rFonts w:cs="DanaFajr" w:hint="cs"/>
          <w:sz w:val="28"/>
          <w:szCs w:val="28"/>
          <w:rtl/>
          <w:lang w:val="en-GB" w:bidi="ar-AE"/>
        </w:rPr>
        <w:t xml:space="preserve">. </w:t>
      </w:r>
    </w:p>
  </w:endnote>
  <w:endnote w:id="25">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انظر: سروش</w:t>
      </w:r>
      <w:r w:rsidRPr="00980C72">
        <w:rPr>
          <w:rFonts w:cs="DanaFajr" w:hint="cs"/>
          <w:sz w:val="28"/>
          <w:szCs w:val="28"/>
          <w:rtl/>
        </w:rPr>
        <w:t>،</w:t>
      </w:r>
      <w:r w:rsidRPr="00980C72">
        <w:rPr>
          <w:rFonts w:cs="DanaFajr"/>
          <w:sz w:val="28"/>
          <w:szCs w:val="28"/>
          <w:rtl/>
        </w:rPr>
        <w:t xml:space="preserve"> المصدر </w:t>
      </w:r>
      <w:r w:rsidRPr="00CC023F">
        <w:rPr>
          <w:rFonts w:cs="DanaFajr"/>
          <w:sz w:val="28"/>
          <w:szCs w:val="28"/>
          <w:rtl/>
        </w:rPr>
        <w:t>السابق: 13 ـ 17.</w:t>
      </w:r>
      <w:r w:rsidRPr="00980C72">
        <w:rPr>
          <w:rFonts w:cs="DanaFajr"/>
          <w:sz w:val="28"/>
          <w:szCs w:val="28"/>
          <w:rtl/>
        </w:rPr>
        <w:t xml:space="preserve"> </w:t>
      </w:r>
    </w:p>
  </w:endnote>
  <w:endnote w:id="26">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انظر: سروش</w:t>
      </w:r>
      <w:r w:rsidRPr="00980C72">
        <w:rPr>
          <w:rFonts w:cs="DanaFajr" w:hint="cs"/>
          <w:sz w:val="28"/>
          <w:szCs w:val="28"/>
          <w:rtl/>
        </w:rPr>
        <w:t>،</w:t>
      </w:r>
      <w:r w:rsidRPr="00980C72">
        <w:rPr>
          <w:rFonts w:cs="DanaFajr"/>
          <w:sz w:val="28"/>
          <w:szCs w:val="28"/>
          <w:rtl/>
        </w:rPr>
        <w:t xml:space="preserve"> المصدر </w:t>
      </w:r>
      <w:r w:rsidRPr="00CC023F">
        <w:rPr>
          <w:rFonts w:cs="DanaFajr"/>
          <w:sz w:val="28"/>
          <w:szCs w:val="28"/>
          <w:rtl/>
        </w:rPr>
        <w:t>السابق: 15</w:t>
      </w:r>
      <w:r w:rsidRPr="00980C72">
        <w:rPr>
          <w:rFonts w:cs="DanaFajr"/>
          <w:sz w:val="28"/>
          <w:szCs w:val="28"/>
          <w:rtl/>
        </w:rPr>
        <w:t xml:space="preserve">. </w:t>
      </w:r>
    </w:p>
  </w:endnote>
  <w:endnote w:id="27">
    <w:p w:rsidR="00F41F33" w:rsidRPr="00CC023F"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انظر: </w:t>
      </w:r>
      <w:r w:rsidRPr="00980C72">
        <w:rPr>
          <w:rFonts w:cs="DanaFajr" w:hint="cs"/>
          <w:sz w:val="28"/>
          <w:szCs w:val="28"/>
          <w:rtl/>
        </w:rPr>
        <w:t xml:space="preserve">سروش، </w:t>
      </w:r>
      <w:r w:rsidRPr="00980C72">
        <w:rPr>
          <w:rFonts w:cs="DanaFajr" w:hint="eastAsia"/>
          <w:sz w:val="27"/>
          <w:szCs w:val="27"/>
          <w:rtl/>
        </w:rPr>
        <w:t>«</w:t>
      </w:r>
      <w:r w:rsidRPr="00980C72">
        <w:rPr>
          <w:rFonts w:cs="DanaFajr" w:hint="cs"/>
          <w:sz w:val="28"/>
          <w:szCs w:val="28"/>
          <w:rtl/>
        </w:rPr>
        <w:t>سکولاريسم</w:t>
      </w:r>
      <w:r w:rsidRPr="00980C72">
        <w:rPr>
          <w:rFonts w:cs="DanaFajr" w:hint="eastAsia"/>
          <w:sz w:val="27"/>
          <w:szCs w:val="27"/>
          <w:rtl/>
        </w:rPr>
        <w:t>»</w:t>
      </w:r>
      <w:r w:rsidRPr="00980C72">
        <w:rPr>
          <w:rFonts w:cs="DanaFajr" w:hint="cs"/>
          <w:sz w:val="28"/>
          <w:szCs w:val="28"/>
          <w:rtl/>
          <w:lang w:bidi="ar-AE"/>
        </w:rPr>
        <w:t xml:space="preserve">، سنّت </w:t>
      </w:r>
      <w:r w:rsidRPr="00CC023F">
        <w:rPr>
          <w:rFonts w:cs="DanaFajr" w:hint="cs"/>
          <w:sz w:val="28"/>
          <w:szCs w:val="28"/>
          <w:rtl/>
          <w:lang w:bidi="ar-AE"/>
        </w:rPr>
        <w:t xml:space="preserve">وسكولاريسم: 67. </w:t>
      </w:r>
    </w:p>
  </w:endnote>
  <w:endnote w:id="28">
    <w:p w:rsidR="00F41F33" w:rsidRPr="00980C72"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انظر: </w:t>
      </w:r>
      <w:r w:rsidRPr="00980C72">
        <w:rPr>
          <w:rFonts w:cs="DanaFajr" w:hint="cs"/>
          <w:sz w:val="28"/>
          <w:szCs w:val="28"/>
          <w:rtl/>
        </w:rPr>
        <w:t xml:space="preserve">سروش، </w:t>
      </w:r>
      <w:r w:rsidRPr="00980C72">
        <w:rPr>
          <w:rFonts w:cs="DanaFajr" w:hint="eastAsia"/>
          <w:sz w:val="27"/>
          <w:szCs w:val="27"/>
          <w:rtl/>
        </w:rPr>
        <w:t>«</w:t>
      </w:r>
      <w:r w:rsidRPr="00980C72">
        <w:rPr>
          <w:rFonts w:cs="DanaFajr" w:hint="cs"/>
          <w:sz w:val="28"/>
          <w:szCs w:val="28"/>
          <w:rtl/>
        </w:rPr>
        <w:t xml:space="preserve">دين ودنياي </w:t>
      </w:r>
      <w:r w:rsidRPr="00CC023F">
        <w:rPr>
          <w:rFonts w:cs="DanaFajr" w:hint="cs"/>
          <w:sz w:val="28"/>
          <w:szCs w:val="28"/>
          <w:rtl/>
        </w:rPr>
        <w:t>جديد (1)</w:t>
      </w:r>
      <w:r w:rsidRPr="00CC023F">
        <w:rPr>
          <w:rFonts w:cs="DanaFajr" w:hint="eastAsia"/>
          <w:sz w:val="27"/>
          <w:szCs w:val="27"/>
          <w:rtl/>
        </w:rPr>
        <w:t>»</w:t>
      </w:r>
      <w:r w:rsidRPr="00CC023F">
        <w:rPr>
          <w:rFonts w:cs="DanaFajr" w:hint="cs"/>
          <w:sz w:val="28"/>
          <w:szCs w:val="28"/>
          <w:rtl/>
        </w:rPr>
        <w:t>،</w:t>
      </w:r>
      <w:r w:rsidRPr="00980C72">
        <w:rPr>
          <w:rFonts w:cs="DanaFajr" w:hint="cs"/>
          <w:sz w:val="28"/>
          <w:szCs w:val="28"/>
          <w:rtl/>
        </w:rPr>
        <w:t xml:space="preserve"> سنّت </w:t>
      </w:r>
      <w:r w:rsidRPr="00CC023F">
        <w:rPr>
          <w:rFonts w:cs="DanaFajr" w:hint="cs"/>
          <w:sz w:val="28"/>
          <w:szCs w:val="28"/>
          <w:rtl/>
        </w:rPr>
        <w:t>وسكولاريسم: 17</w:t>
      </w:r>
      <w:r w:rsidRPr="00980C72">
        <w:rPr>
          <w:rFonts w:cs="DanaFajr" w:hint="cs"/>
          <w:sz w:val="28"/>
          <w:szCs w:val="28"/>
          <w:rtl/>
          <w:lang w:bidi="ar-AE"/>
        </w:rPr>
        <w:t xml:space="preserve">. </w:t>
      </w:r>
    </w:p>
  </w:endnote>
  <w:endnote w:id="29">
    <w:p w:rsidR="00F41F33" w:rsidRPr="00CC023F" w:rsidRDefault="00F41F33" w:rsidP="00904FCB">
      <w:pPr>
        <w:pStyle w:val="aa"/>
        <w:spacing w:line="300" w:lineRule="exact"/>
        <w:ind w:firstLine="0"/>
        <w:rPr>
          <w:rFonts w:cs="DanaFajr"/>
          <w:sz w:val="28"/>
          <w:szCs w:val="28"/>
          <w:rtl/>
          <w:lang w:bidi="ar-AE"/>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w:t>
      </w:r>
      <w:r w:rsidRPr="00CC023F">
        <w:rPr>
          <w:rFonts w:cs="DanaFajr" w:hint="cs"/>
          <w:sz w:val="28"/>
          <w:szCs w:val="28"/>
          <w:rtl/>
        </w:rPr>
        <w:t xml:space="preserve">سروش، </w:t>
      </w:r>
      <w:r w:rsidRPr="00CC023F">
        <w:rPr>
          <w:rFonts w:cs="DanaFajr" w:hint="eastAsia"/>
          <w:sz w:val="27"/>
          <w:szCs w:val="27"/>
          <w:rtl/>
        </w:rPr>
        <w:t>«</w:t>
      </w:r>
      <w:r w:rsidRPr="00CC023F">
        <w:rPr>
          <w:rFonts w:cs="DanaFajr" w:hint="cs"/>
          <w:sz w:val="28"/>
          <w:szCs w:val="28"/>
          <w:rtl/>
        </w:rPr>
        <w:t>دين ودنياي جديد (2)</w:t>
      </w:r>
      <w:r w:rsidRPr="00CC023F">
        <w:rPr>
          <w:rFonts w:cs="DanaFajr" w:hint="eastAsia"/>
          <w:sz w:val="27"/>
          <w:szCs w:val="27"/>
          <w:rtl/>
        </w:rPr>
        <w:t>»</w:t>
      </w:r>
      <w:r w:rsidRPr="00CC023F">
        <w:rPr>
          <w:rFonts w:cs="DanaFajr" w:hint="cs"/>
          <w:sz w:val="28"/>
          <w:szCs w:val="28"/>
          <w:rtl/>
        </w:rPr>
        <w:t xml:space="preserve">، سنّت وسكولاريسم: 38 ـ 39. </w:t>
      </w:r>
    </w:p>
  </w:endnote>
  <w:endnote w:id="30">
    <w:p w:rsidR="00F41F33" w:rsidRPr="00980C72" w:rsidRDefault="00F41F33" w:rsidP="00904FCB">
      <w:pPr>
        <w:pStyle w:val="aa"/>
        <w:spacing w:line="300" w:lineRule="exact"/>
        <w:ind w:firstLine="0"/>
        <w:rPr>
          <w:rFonts w:cs="DanaFajr"/>
          <w:sz w:val="28"/>
          <w:szCs w:val="28"/>
          <w:rtl/>
          <w:lang w:bidi="fa-IR"/>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انظر: سروش، </w:t>
      </w:r>
      <w:r w:rsidRPr="00980C72">
        <w:rPr>
          <w:rFonts w:cs="DanaFajr" w:hint="cs"/>
          <w:sz w:val="28"/>
          <w:szCs w:val="28"/>
          <w:rtl/>
        </w:rPr>
        <w:t>خاتميت پيامبر</w:t>
      </w:r>
      <w:r w:rsidRPr="00CC023F">
        <w:rPr>
          <w:rFonts w:cs="DanaFajr" w:hint="cs"/>
          <w:sz w:val="28"/>
          <w:szCs w:val="28"/>
          <w:rtl/>
        </w:rPr>
        <w:t xml:space="preserve"> ـ 1،</w:t>
      </w:r>
      <w:r w:rsidRPr="00980C72">
        <w:rPr>
          <w:rFonts w:cs="DanaFajr" w:hint="cs"/>
          <w:sz w:val="28"/>
          <w:szCs w:val="28"/>
          <w:rtl/>
        </w:rPr>
        <w:t xml:space="preserve"> في</w:t>
      </w:r>
      <w:r w:rsidRPr="00CC023F">
        <w:rPr>
          <w:rFonts w:cs="DanaFajr" w:hint="cs"/>
          <w:sz w:val="28"/>
          <w:szCs w:val="28"/>
          <w:rtl/>
        </w:rPr>
        <w:t xml:space="preserve"> (بسط تجربه نبوي: 157).</w:t>
      </w:r>
      <w:r w:rsidRPr="00980C72">
        <w:rPr>
          <w:rFonts w:cs="DanaFajr" w:hint="cs"/>
          <w:sz w:val="28"/>
          <w:szCs w:val="28"/>
          <w:rtl/>
        </w:rPr>
        <w:t xml:space="preserve"> </w:t>
      </w:r>
    </w:p>
  </w:endnote>
  <w:endnote w:id="31">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انظر: سروش</w:t>
      </w:r>
      <w:r w:rsidRPr="00CC023F">
        <w:rPr>
          <w:rFonts w:cs="DanaFajr" w:hint="cs"/>
          <w:sz w:val="28"/>
          <w:szCs w:val="28"/>
          <w:rtl/>
        </w:rPr>
        <w:t>،</w:t>
      </w:r>
      <w:r w:rsidRPr="00CC023F">
        <w:rPr>
          <w:rFonts w:cs="DanaFajr"/>
          <w:sz w:val="28"/>
          <w:szCs w:val="28"/>
          <w:rtl/>
        </w:rPr>
        <w:t xml:space="preserve"> المصدر السابق: 158. </w:t>
      </w:r>
    </w:p>
  </w:endnote>
  <w:endnote w:id="32">
    <w:p w:rsidR="00F41F33" w:rsidRPr="00CC023F" w:rsidRDefault="00F41F33" w:rsidP="00904FCB">
      <w:pPr>
        <w:pStyle w:val="aa"/>
        <w:spacing w:line="300" w:lineRule="exact"/>
        <w:ind w:firstLine="0"/>
        <w:rPr>
          <w:rFonts w:cs="DanaFajr"/>
          <w:sz w:val="28"/>
          <w:szCs w:val="28"/>
          <w:rtl/>
          <w:lang w:bidi="ar-AE"/>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w:t>
      </w:r>
      <w:r w:rsidRPr="00CC023F">
        <w:rPr>
          <w:rFonts w:cs="DanaFajr" w:hint="cs"/>
          <w:sz w:val="28"/>
          <w:szCs w:val="28"/>
          <w:rtl/>
        </w:rPr>
        <w:t xml:space="preserve">سروش، </w:t>
      </w:r>
      <w:r w:rsidRPr="00CC023F">
        <w:rPr>
          <w:rFonts w:cs="DanaFajr" w:hint="eastAsia"/>
          <w:sz w:val="27"/>
          <w:szCs w:val="27"/>
          <w:rtl/>
        </w:rPr>
        <w:t>«</w:t>
      </w:r>
      <w:r w:rsidRPr="00CC023F">
        <w:rPr>
          <w:rFonts w:cs="DanaFajr" w:hint="cs"/>
          <w:sz w:val="28"/>
          <w:szCs w:val="28"/>
          <w:rtl/>
        </w:rPr>
        <w:t>دين ودنياي جديد (2)</w:t>
      </w:r>
      <w:r w:rsidRPr="00CC023F">
        <w:rPr>
          <w:rFonts w:cs="DanaFajr" w:hint="eastAsia"/>
          <w:sz w:val="27"/>
          <w:szCs w:val="27"/>
          <w:rtl/>
        </w:rPr>
        <w:t>»</w:t>
      </w:r>
      <w:r w:rsidRPr="00CC023F">
        <w:rPr>
          <w:rFonts w:cs="DanaFajr" w:hint="cs"/>
          <w:sz w:val="28"/>
          <w:szCs w:val="28"/>
          <w:rtl/>
        </w:rPr>
        <w:t xml:space="preserve">، سنّت وسكولاريسم: 31 ـ 53. </w:t>
      </w:r>
      <w:r w:rsidRPr="00CC023F">
        <w:rPr>
          <w:rFonts w:cs="DanaFajr"/>
          <w:sz w:val="28"/>
          <w:szCs w:val="28"/>
          <w:rtl/>
        </w:rPr>
        <w:t>ولمزيد</w:t>
      </w:r>
      <w:r w:rsidRPr="00CC023F">
        <w:rPr>
          <w:rFonts w:cs="DanaFajr" w:hint="cs"/>
          <w:sz w:val="28"/>
          <w:szCs w:val="28"/>
          <w:rtl/>
        </w:rPr>
        <w:t>ٍ</w:t>
      </w:r>
      <w:r w:rsidRPr="00CC023F">
        <w:rPr>
          <w:rFonts w:cs="DanaFajr"/>
          <w:sz w:val="28"/>
          <w:szCs w:val="28"/>
          <w:rtl/>
        </w:rPr>
        <w:t xml:space="preserve"> من البحث في</w:t>
      </w:r>
      <w:r w:rsidRPr="00980C72">
        <w:rPr>
          <w:rFonts w:cs="DanaFajr"/>
          <w:sz w:val="28"/>
          <w:szCs w:val="28"/>
          <w:rtl/>
        </w:rPr>
        <w:t xml:space="preserve"> </w:t>
      </w:r>
      <w:r w:rsidRPr="00CC023F">
        <w:rPr>
          <w:rFonts w:cs="DanaFajr"/>
          <w:sz w:val="28"/>
          <w:szCs w:val="28"/>
          <w:rtl/>
        </w:rPr>
        <w:t xml:space="preserve">هذا الشأن انظر: </w:t>
      </w:r>
      <w:r w:rsidRPr="00CC023F">
        <w:rPr>
          <w:rFonts w:cs="DanaFajr" w:hint="cs"/>
          <w:sz w:val="28"/>
          <w:szCs w:val="28"/>
          <w:rtl/>
          <w:lang w:bidi="ar-AE"/>
        </w:rPr>
        <w:t xml:space="preserve">سروش، </w:t>
      </w:r>
      <w:r w:rsidRPr="00CC023F">
        <w:rPr>
          <w:rFonts w:cs="DanaFajr" w:hint="eastAsia"/>
          <w:sz w:val="27"/>
          <w:szCs w:val="27"/>
          <w:rtl/>
        </w:rPr>
        <w:t>«</w:t>
      </w:r>
      <w:r w:rsidRPr="00CC023F">
        <w:rPr>
          <w:rFonts w:cs="DanaFajr" w:hint="cs"/>
          <w:sz w:val="28"/>
          <w:szCs w:val="28"/>
          <w:rtl/>
          <w:lang w:bidi="ar-AE"/>
        </w:rPr>
        <w:t>معنا ومبناي سكولاريسم</w:t>
      </w:r>
      <w:r w:rsidRPr="00CC023F">
        <w:rPr>
          <w:rFonts w:cs="DanaFajr" w:hint="eastAsia"/>
          <w:sz w:val="27"/>
          <w:szCs w:val="27"/>
          <w:rtl/>
        </w:rPr>
        <w:t>»</w:t>
      </w:r>
      <w:r w:rsidRPr="00CC023F">
        <w:rPr>
          <w:rFonts w:cs="DanaFajr" w:hint="cs"/>
          <w:sz w:val="28"/>
          <w:szCs w:val="28"/>
          <w:rtl/>
          <w:lang w:bidi="ar-AE"/>
        </w:rPr>
        <w:t xml:space="preserve">، في (مدارا ومديريت: 417 ـ 443). </w:t>
      </w:r>
    </w:p>
  </w:endnote>
  <w:endnote w:id="33">
    <w:p w:rsidR="00F41F33" w:rsidRPr="00CC023F" w:rsidRDefault="00F41F33" w:rsidP="00904FCB">
      <w:pPr>
        <w:pStyle w:val="aa"/>
        <w:spacing w:line="300" w:lineRule="exact"/>
        <w:ind w:firstLine="0"/>
        <w:rPr>
          <w:rFonts w:cs="DanaFajr"/>
          <w:sz w:val="28"/>
          <w:szCs w:val="28"/>
          <w:rtl/>
          <w:lang w:bidi="ar-AE"/>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w:t>
      </w:r>
      <w:r w:rsidRPr="00CC023F">
        <w:rPr>
          <w:rFonts w:cs="DanaFajr" w:hint="cs"/>
          <w:sz w:val="28"/>
          <w:szCs w:val="28"/>
          <w:rtl/>
        </w:rPr>
        <w:t xml:space="preserve">سروش، </w:t>
      </w:r>
      <w:r w:rsidRPr="00CC023F">
        <w:rPr>
          <w:rFonts w:cs="DanaFajr" w:hint="eastAsia"/>
          <w:sz w:val="27"/>
          <w:szCs w:val="27"/>
          <w:rtl/>
        </w:rPr>
        <w:t>«</w:t>
      </w:r>
      <w:r w:rsidRPr="00CC023F">
        <w:rPr>
          <w:rFonts w:cs="DanaFajr" w:hint="cs"/>
          <w:sz w:val="28"/>
          <w:szCs w:val="28"/>
          <w:rtl/>
        </w:rPr>
        <w:t>دين ودنياي جديد (2)</w:t>
      </w:r>
      <w:r w:rsidRPr="00CC023F">
        <w:rPr>
          <w:rFonts w:cs="DanaFajr" w:hint="eastAsia"/>
          <w:sz w:val="27"/>
          <w:szCs w:val="27"/>
          <w:rtl/>
        </w:rPr>
        <w:t>»</w:t>
      </w:r>
      <w:r w:rsidRPr="00CC023F">
        <w:rPr>
          <w:rFonts w:cs="DanaFajr" w:hint="cs"/>
          <w:sz w:val="28"/>
          <w:szCs w:val="28"/>
          <w:rtl/>
        </w:rPr>
        <w:t xml:space="preserve">، سنت وسكولاريسم: 53 ـ 66. </w:t>
      </w:r>
    </w:p>
  </w:endnote>
  <w:endnote w:id="34">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w:t>
      </w:r>
      <w:r w:rsidRPr="00CC023F">
        <w:rPr>
          <w:rFonts w:cs="DanaFajr" w:hint="cs"/>
          <w:sz w:val="28"/>
          <w:szCs w:val="28"/>
          <w:rtl/>
        </w:rPr>
        <w:t xml:space="preserve">سروش، </w:t>
      </w:r>
      <w:r w:rsidRPr="00CC023F">
        <w:rPr>
          <w:rFonts w:cs="DanaFajr" w:hint="eastAsia"/>
          <w:sz w:val="27"/>
          <w:szCs w:val="27"/>
          <w:rtl/>
        </w:rPr>
        <w:t>«</w:t>
      </w:r>
      <w:r w:rsidRPr="00CC023F">
        <w:rPr>
          <w:rFonts w:cs="DanaFajr" w:hint="cs"/>
          <w:sz w:val="28"/>
          <w:szCs w:val="28"/>
          <w:rtl/>
        </w:rPr>
        <w:t>سکولاريسم</w:t>
      </w:r>
      <w:r w:rsidRPr="00CC023F">
        <w:rPr>
          <w:rFonts w:cs="DanaFajr" w:hint="eastAsia"/>
          <w:sz w:val="27"/>
          <w:szCs w:val="27"/>
          <w:rtl/>
        </w:rPr>
        <w:t>»</w:t>
      </w:r>
      <w:r w:rsidRPr="00CC023F">
        <w:rPr>
          <w:rFonts w:cs="DanaFajr" w:hint="cs"/>
          <w:sz w:val="28"/>
          <w:szCs w:val="28"/>
          <w:rtl/>
          <w:lang w:bidi="ar-AE"/>
        </w:rPr>
        <w:t>، سنّت وسكولاريسم: 68 ـ 69</w:t>
      </w:r>
      <w:r w:rsidRPr="00CC023F">
        <w:rPr>
          <w:rFonts w:cs="DanaFajr" w:hint="cs"/>
          <w:sz w:val="28"/>
          <w:szCs w:val="28"/>
          <w:rtl/>
        </w:rPr>
        <w:t xml:space="preserve">. </w:t>
      </w:r>
    </w:p>
  </w:endnote>
  <w:endnote w:id="35">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انظر: المصدر السابق</w:t>
      </w:r>
      <w:r w:rsidRPr="00CC023F">
        <w:rPr>
          <w:rFonts w:cs="DanaFajr" w:hint="cs"/>
          <w:sz w:val="28"/>
          <w:szCs w:val="28"/>
          <w:rtl/>
        </w:rPr>
        <w:t>:</w:t>
      </w:r>
      <w:r w:rsidRPr="00CC023F">
        <w:rPr>
          <w:rFonts w:cs="DanaFajr"/>
          <w:sz w:val="28"/>
          <w:szCs w:val="28"/>
          <w:rtl/>
        </w:rPr>
        <w:t xml:space="preserve"> 69 ـ 107. </w:t>
      </w:r>
    </w:p>
  </w:endnote>
  <w:endnote w:id="36">
    <w:p w:rsidR="00F41F33" w:rsidRPr="00980C72"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انظر: </w:t>
      </w:r>
      <w:r w:rsidRPr="00980C72">
        <w:rPr>
          <w:rFonts w:cs="DanaFajr" w:hint="cs"/>
          <w:sz w:val="28"/>
          <w:szCs w:val="28"/>
          <w:rtl/>
          <w:lang w:bidi="ar-AE"/>
        </w:rPr>
        <w:t xml:space="preserve">مَلَكْيان، معنويت </w:t>
      </w:r>
      <w:r w:rsidRPr="00CC023F">
        <w:rPr>
          <w:rFonts w:ascii="Mosawi" w:hAnsi="Mosawi" w:cs="Abz-3 (Yagut)" w:hint="cs"/>
          <w:rtl/>
          <w:lang w:val="x-none" w:eastAsia="x-none"/>
        </w:rPr>
        <w:t>گوهر</w:t>
      </w:r>
      <w:r w:rsidRPr="00980C72">
        <w:rPr>
          <w:rFonts w:cs="DanaFajr" w:hint="cs"/>
          <w:sz w:val="28"/>
          <w:szCs w:val="28"/>
          <w:rtl/>
          <w:lang w:bidi="ar-AE"/>
        </w:rPr>
        <w:t xml:space="preserve"> </w:t>
      </w:r>
      <w:r w:rsidRPr="00CC023F">
        <w:rPr>
          <w:rFonts w:cs="DanaFajr" w:hint="cs"/>
          <w:sz w:val="28"/>
          <w:szCs w:val="28"/>
          <w:rtl/>
          <w:lang w:bidi="ar-AE"/>
        </w:rPr>
        <w:t>أديان (1)،</w:t>
      </w:r>
      <w:r w:rsidRPr="00980C72">
        <w:rPr>
          <w:rFonts w:cs="DanaFajr" w:hint="cs"/>
          <w:sz w:val="28"/>
          <w:szCs w:val="28"/>
          <w:rtl/>
          <w:lang w:bidi="ar-AE"/>
        </w:rPr>
        <w:t xml:space="preserve"> سنّت </w:t>
      </w:r>
      <w:r w:rsidRPr="00CC023F">
        <w:rPr>
          <w:rFonts w:cs="DanaFajr" w:hint="cs"/>
          <w:sz w:val="28"/>
          <w:szCs w:val="28"/>
          <w:rtl/>
          <w:lang w:bidi="ar-AE"/>
        </w:rPr>
        <w:t>وسكولاريسم: 270 ـ 272</w:t>
      </w:r>
      <w:r w:rsidRPr="00980C72">
        <w:rPr>
          <w:rFonts w:cs="DanaFajr" w:hint="cs"/>
          <w:sz w:val="28"/>
          <w:szCs w:val="28"/>
          <w:rtl/>
          <w:lang w:bidi="ar-AE"/>
        </w:rPr>
        <w:t xml:space="preserve">، طهران، مؤسسة </w:t>
      </w:r>
      <w:r w:rsidRPr="00CC023F">
        <w:rPr>
          <w:rFonts w:ascii="Mosawi" w:hAnsi="Mosawi" w:cs="Abz-3 (Yagut)" w:hint="cs"/>
          <w:rtl/>
          <w:lang w:val="x-none" w:eastAsia="x-none"/>
        </w:rPr>
        <w:t>فرهنگي</w:t>
      </w:r>
      <w:r w:rsidRPr="00980C72">
        <w:rPr>
          <w:rFonts w:cs="DanaFajr" w:hint="cs"/>
          <w:sz w:val="28"/>
          <w:szCs w:val="28"/>
          <w:rtl/>
          <w:lang w:bidi="ar-AE"/>
        </w:rPr>
        <w:t xml:space="preserve"> صراط. </w:t>
      </w:r>
    </w:p>
  </w:endnote>
  <w:endnote w:id="37">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w:t>
      </w:r>
      <w:r w:rsidRPr="00CC023F">
        <w:rPr>
          <w:rFonts w:cs="DanaFajr" w:hint="cs"/>
          <w:sz w:val="28"/>
          <w:szCs w:val="28"/>
          <w:rtl/>
        </w:rPr>
        <w:t xml:space="preserve">المصدر السابق: </w:t>
      </w:r>
      <w:r w:rsidRPr="00CC023F">
        <w:rPr>
          <w:rFonts w:cs="DanaFajr"/>
          <w:sz w:val="28"/>
          <w:szCs w:val="28"/>
          <w:rtl/>
        </w:rPr>
        <w:t>27</w:t>
      </w:r>
      <w:r w:rsidRPr="00CC023F">
        <w:rPr>
          <w:rFonts w:cs="DanaFajr" w:hint="cs"/>
          <w:sz w:val="28"/>
          <w:szCs w:val="28"/>
          <w:rtl/>
        </w:rPr>
        <w:t>4</w:t>
      </w:r>
      <w:r w:rsidRPr="00CC023F">
        <w:rPr>
          <w:rFonts w:cs="DanaFajr"/>
          <w:sz w:val="28"/>
          <w:szCs w:val="28"/>
          <w:rtl/>
        </w:rPr>
        <w:t xml:space="preserve"> ـ 2</w:t>
      </w:r>
      <w:r w:rsidRPr="00CC023F">
        <w:rPr>
          <w:rFonts w:cs="DanaFajr" w:hint="cs"/>
          <w:sz w:val="28"/>
          <w:szCs w:val="28"/>
          <w:rtl/>
        </w:rPr>
        <w:t>86</w:t>
      </w:r>
      <w:r w:rsidRPr="00CC023F">
        <w:rPr>
          <w:rFonts w:cs="DanaFajr"/>
          <w:sz w:val="28"/>
          <w:szCs w:val="28"/>
          <w:rtl/>
        </w:rPr>
        <w:t xml:space="preserve">. </w:t>
      </w:r>
    </w:p>
  </w:endnote>
  <w:endnote w:id="38">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w:t>
      </w:r>
      <w:r w:rsidRPr="00CC023F">
        <w:rPr>
          <w:rFonts w:cs="DanaFajr" w:hint="cs"/>
          <w:sz w:val="28"/>
          <w:szCs w:val="28"/>
          <w:rtl/>
        </w:rPr>
        <w:t>المصدر نفسه</w:t>
      </w:r>
      <w:r w:rsidRPr="00CC023F">
        <w:rPr>
          <w:rFonts w:cs="DanaFajr"/>
          <w:sz w:val="28"/>
          <w:szCs w:val="28"/>
          <w:rtl/>
        </w:rPr>
        <w:t xml:space="preserve">. </w:t>
      </w:r>
    </w:p>
  </w:endnote>
  <w:endnote w:id="39">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المصدر السابق: 273. </w:t>
      </w:r>
    </w:p>
  </w:endnote>
  <w:endnote w:id="40">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المصدر السابق: 274. </w:t>
      </w:r>
    </w:p>
  </w:endnote>
  <w:endnote w:id="41">
    <w:p w:rsidR="00F41F33" w:rsidRPr="00980C72" w:rsidRDefault="00F41F33" w:rsidP="00B23ED7">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انظر: المصدر </w:t>
      </w:r>
      <w:r w:rsidRPr="00980C72">
        <w:rPr>
          <w:rFonts w:cs="DanaFajr" w:hint="cs"/>
          <w:sz w:val="28"/>
          <w:szCs w:val="28"/>
          <w:rtl/>
        </w:rPr>
        <w:t>نفسه</w:t>
      </w:r>
      <w:r w:rsidRPr="00980C72">
        <w:rPr>
          <w:rFonts w:cs="DanaFajr"/>
          <w:sz w:val="28"/>
          <w:szCs w:val="28"/>
          <w:rtl/>
        </w:rPr>
        <w:t>. سوف ننتقد هذا النوع من العقلانية الاستدلالية في كتابنا (</w:t>
      </w:r>
      <w:r w:rsidRPr="00980C72">
        <w:rPr>
          <w:rFonts w:cs="DanaFajr" w:hint="cs"/>
          <w:sz w:val="28"/>
          <w:szCs w:val="28"/>
          <w:rtl/>
        </w:rPr>
        <w:t>أ</w:t>
      </w:r>
      <w:r w:rsidRPr="00980C72">
        <w:rPr>
          <w:rFonts w:cs="DanaFajr"/>
          <w:sz w:val="28"/>
          <w:szCs w:val="28"/>
          <w:rtl/>
        </w:rPr>
        <w:t>خلاق دينداري)، وسوف نثبت أن كلا</w:t>
      </w:r>
      <w:r w:rsidRPr="00980C72">
        <w:rPr>
          <w:rFonts w:cs="DanaFajr" w:hint="cs"/>
          <w:sz w:val="28"/>
          <w:szCs w:val="28"/>
          <w:rtl/>
        </w:rPr>
        <w:t>ًّ</w:t>
      </w:r>
      <w:r w:rsidRPr="00980C72">
        <w:rPr>
          <w:rFonts w:cs="DanaFajr"/>
          <w:sz w:val="28"/>
          <w:szCs w:val="28"/>
          <w:rtl/>
        </w:rPr>
        <w:t xml:space="preserve"> من العقلانية والاستدلال يمكن لهما الانسجام مع نوع</w:t>
      </w:r>
      <w:r w:rsidRPr="00980C72">
        <w:rPr>
          <w:rFonts w:cs="DanaFajr" w:hint="cs"/>
          <w:sz w:val="28"/>
          <w:szCs w:val="28"/>
          <w:rtl/>
        </w:rPr>
        <w:t>ٍ</w:t>
      </w:r>
      <w:r w:rsidRPr="00980C72">
        <w:rPr>
          <w:rFonts w:cs="DanaFajr"/>
          <w:sz w:val="28"/>
          <w:szCs w:val="28"/>
          <w:rtl/>
        </w:rPr>
        <w:t xml:space="preserve"> خاص</w:t>
      </w:r>
      <w:r w:rsidRPr="00980C72">
        <w:rPr>
          <w:rFonts w:cs="DanaFajr" w:hint="cs"/>
          <w:sz w:val="28"/>
          <w:szCs w:val="28"/>
          <w:rtl/>
        </w:rPr>
        <w:t>ّ</w:t>
      </w:r>
      <w:r w:rsidRPr="00980C72">
        <w:rPr>
          <w:rFonts w:cs="DanaFajr"/>
          <w:sz w:val="28"/>
          <w:szCs w:val="28"/>
          <w:rtl/>
        </w:rPr>
        <w:t xml:space="preserve"> من التعب</w:t>
      </w:r>
      <w:r w:rsidRPr="00980C72">
        <w:rPr>
          <w:rFonts w:cs="DanaFajr" w:hint="cs"/>
          <w:sz w:val="28"/>
          <w:szCs w:val="28"/>
          <w:rtl/>
        </w:rPr>
        <w:t>ُّ</w:t>
      </w:r>
      <w:r w:rsidRPr="00980C72">
        <w:rPr>
          <w:rFonts w:cs="DanaFajr"/>
          <w:sz w:val="28"/>
          <w:szCs w:val="28"/>
          <w:rtl/>
        </w:rPr>
        <w:t>د</w:t>
      </w:r>
      <w:r w:rsidRPr="00980C72">
        <w:rPr>
          <w:rFonts w:cs="DanaFajr" w:hint="cs"/>
          <w:sz w:val="28"/>
          <w:szCs w:val="28"/>
          <w:rtl/>
        </w:rPr>
        <w:t>،</w:t>
      </w:r>
      <w:r w:rsidRPr="00980C72">
        <w:rPr>
          <w:rFonts w:cs="DanaFajr"/>
          <w:sz w:val="28"/>
          <w:szCs w:val="28"/>
          <w:rtl/>
        </w:rPr>
        <w:t xml:space="preserve"> بمعنى أن التعب</w:t>
      </w:r>
      <w:r w:rsidRPr="00980C72">
        <w:rPr>
          <w:rFonts w:cs="DanaFajr" w:hint="cs"/>
          <w:sz w:val="28"/>
          <w:szCs w:val="28"/>
          <w:rtl/>
        </w:rPr>
        <w:t>ُّ</w:t>
      </w:r>
      <w:r w:rsidRPr="00980C72">
        <w:rPr>
          <w:rFonts w:cs="DanaFajr"/>
          <w:sz w:val="28"/>
          <w:szCs w:val="28"/>
          <w:rtl/>
        </w:rPr>
        <w:t>د ينقسم إلى قسمين: تعب</w:t>
      </w:r>
      <w:r w:rsidRPr="00980C72">
        <w:rPr>
          <w:rFonts w:cs="DanaFajr" w:hint="cs"/>
          <w:sz w:val="28"/>
          <w:szCs w:val="28"/>
          <w:rtl/>
        </w:rPr>
        <w:t>ُّ</w:t>
      </w:r>
      <w:r w:rsidRPr="00980C72">
        <w:rPr>
          <w:rFonts w:cs="DanaFajr"/>
          <w:sz w:val="28"/>
          <w:szCs w:val="28"/>
          <w:rtl/>
        </w:rPr>
        <w:t>د معقول</w:t>
      </w:r>
      <w:r w:rsidRPr="00980C72">
        <w:rPr>
          <w:rFonts w:cs="DanaFajr" w:hint="cs"/>
          <w:sz w:val="28"/>
          <w:szCs w:val="28"/>
          <w:rtl/>
        </w:rPr>
        <w:t>؛</w:t>
      </w:r>
      <w:r w:rsidRPr="00980C72">
        <w:rPr>
          <w:rFonts w:cs="DanaFajr"/>
          <w:sz w:val="28"/>
          <w:szCs w:val="28"/>
          <w:rtl/>
        </w:rPr>
        <w:t xml:space="preserve"> وتعب</w:t>
      </w:r>
      <w:r w:rsidRPr="00980C72">
        <w:rPr>
          <w:rFonts w:cs="DanaFajr" w:hint="cs"/>
          <w:sz w:val="28"/>
          <w:szCs w:val="28"/>
          <w:rtl/>
        </w:rPr>
        <w:t>ُّ</w:t>
      </w:r>
      <w:r w:rsidRPr="00980C72">
        <w:rPr>
          <w:rFonts w:cs="DanaFajr"/>
          <w:sz w:val="28"/>
          <w:szCs w:val="28"/>
          <w:rtl/>
        </w:rPr>
        <w:t xml:space="preserve">د غير معقول. </w:t>
      </w:r>
    </w:p>
  </w:endnote>
  <w:endnote w:id="42">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المصدر السابق: 276. </w:t>
      </w:r>
    </w:p>
  </w:endnote>
  <w:endnote w:id="43">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المصدر السابق: 278. </w:t>
      </w:r>
    </w:p>
  </w:endnote>
  <w:endnote w:id="44">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انظر: المصدر </w:t>
      </w:r>
      <w:r w:rsidRPr="00980C72">
        <w:rPr>
          <w:rFonts w:cs="DanaFajr" w:hint="cs"/>
          <w:sz w:val="28"/>
          <w:szCs w:val="28"/>
          <w:rtl/>
        </w:rPr>
        <w:t>نفسه</w:t>
      </w:r>
      <w:r w:rsidRPr="00980C72">
        <w:rPr>
          <w:rFonts w:cs="DanaFajr"/>
          <w:sz w:val="28"/>
          <w:szCs w:val="28"/>
          <w:rtl/>
        </w:rPr>
        <w:t xml:space="preserve">. </w:t>
      </w:r>
    </w:p>
  </w:endnote>
  <w:endnote w:id="45">
    <w:p w:rsidR="00F41F33" w:rsidRPr="00715694" w:rsidRDefault="00F41F33" w:rsidP="00904FCB">
      <w:pPr>
        <w:pStyle w:val="aa"/>
        <w:bidi w:val="0"/>
        <w:spacing w:line="300" w:lineRule="exact"/>
        <w:ind w:firstLine="0"/>
        <w:rPr>
          <w:rFonts w:asciiTheme="majorBidi" w:hAnsiTheme="majorBidi" w:cstheme="majorBidi"/>
          <w:rtl/>
        </w:rPr>
      </w:pPr>
      <w:r w:rsidRPr="00715694">
        <w:rPr>
          <w:rFonts w:asciiTheme="majorBidi" w:hAnsiTheme="majorBidi" w:cstheme="majorBidi"/>
        </w:rPr>
        <w:t>(</w:t>
      </w:r>
      <w:r w:rsidRPr="00715694">
        <w:rPr>
          <w:rFonts w:asciiTheme="majorBidi" w:hAnsiTheme="majorBidi" w:cstheme="majorBidi"/>
        </w:rPr>
        <w:endnoteRef/>
      </w:r>
      <w:r w:rsidRPr="00715694">
        <w:rPr>
          <w:rFonts w:asciiTheme="majorBidi" w:hAnsiTheme="majorBidi" w:cstheme="majorBidi"/>
        </w:rPr>
        <w:t xml:space="preserve">) intellect. </w:t>
      </w:r>
    </w:p>
  </w:endnote>
  <w:endnote w:id="46">
    <w:p w:rsidR="00F41F33" w:rsidRPr="00CC023F" w:rsidRDefault="00F41F33" w:rsidP="00904FCB">
      <w:pPr>
        <w:pStyle w:val="aa"/>
        <w:spacing w:line="300" w:lineRule="exact"/>
        <w:ind w:firstLine="0"/>
        <w:rPr>
          <w:rFonts w:cs="DanaFajr"/>
          <w:sz w:val="28"/>
          <w:szCs w:val="28"/>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المصدر السابق: 283. </w:t>
      </w:r>
    </w:p>
  </w:endnote>
  <w:endnote w:id="47">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المصدر السابق: 280 ـ 281. </w:t>
      </w:r>
    </w:p>
  </w:endnote>
  <w:endnote w:id="48">
    <w:p w:rsidR="00F41F33" w:rsidRPr="00CC023F" w:rsidRDefault="00F41F33" w:rsidP="00904FCB">
      <w:pPr>
        <w:pStyle w:val="aa"/>
        <w:spacing w:line="300" w:lineRule="exact"/>
        <w:ind w:firstLine="0"/>
        <w:rPr>
          <w:rFonts w:cs="DanaFajr"/>
          <w:sz w:val="28"/>
          <w:szCs w:val="28"/>
          <w:rtl/>
        </w:rPr>
      </w:pPr>
      <w:r w:rsidRPr="00CC023F">
        <w:rPr>
          <w:rFonts w:cs="DanaFajr"/>
          <w:sz w:val="28"/>
          <w:szCs w:val="28"/>
          <w:rtl/>
        </w:rPr>
        <w:t>(</w:t>
      </w:r>
      <w:r w:rsidRPr="00CC023F">
        <w:rPr>
          <w:rStyle w:val="ac"/>
          <w:rFonts w:cs="DanaFajr"/>
          <w:szCs w:val="28"/>
          <w:vertAlign w:val="baseline"/>
        </w:rPr>
        <w:endnoteRef/>
      </w:r>
      <w:r w:rsidRPr="00CC023F">
        <w:rPr>
          <w:rFonts w:cs="DanaFajr"/>
          <w:sz w:val="28"/>
          <w:szCs w:val="28"/>
          <w:rtl/>
        </w:rPr>
        <w:t xml:space="preserve">) انظر: المصدر السابق: 285 ـ 287. </w:t>
      </w:r>
    </w:p>
  </w:endnote>
  <w:endnote w:id="49">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انظر في هذا الشأن: </w:t>
      </w:r>
    </w:p>
    <w:p w:rsidR="00F41F33" w:rsidRPr="00980C72" w:rsidRDefault="00F41F33" w:rsidP="00904FCB">
      <w:pPr>
        <w:pStyle w:val="aa"/>
        <w:spacing w:line="300" w:lineRule="exact"/>
        <w:ind w:firstLine="0"/>
        <w:rPr>
          <w:rFonts w:cs="DanaFajr"/>
          <w:sz w:val="28"/>
          <w:szCs w:val="28"/>
          <w:rtl/>
          <w:lang w:bidi="ar-AE"/>
        </w:rPr>
      </w:pPr>
      <w:r w:rsidRPr="00980C72">
        <w:rPr>
          <w:rFonts w:cs="DanaFajr" w:hint="cs"/>
          <w:sz w:val="28"/>
          <w:szCs w:val="28"/>
          <w:rtl/>
        </w:rPr>
        <w:t xml:space="preserve">ـ </w:t>
      </w:r>
      <w:r w:rsidRPr="00980C72">
        <w:rPr>
          <w:rFonts w:cs="DanaFajr" w:hint="cs"/>
          <w:sz w:val="28"/>
          <w:szCs w:val="28"/>
          <w:rtl/>
          <w:lang w:bidi="ar-AE"/>
        </w:rPr>
        <w:t xml:space="preserve">سروش، </w:t>
      </w:r>
      <w:r w:rsidRPr="00980C72">
        <w:rPr>
          <w:rFonts w:cs="DanaFajr" w:hint="eastAsia"/>
          <w:sz w:val="27"/>
          <w:szCs w:val="27"/>
          <w:rtl/>
        </w:rPr>
        <w:t>«</w:t>
      </w:r>
      <w:r w:rsidRPr="00980C72">
        <w:rPr>
          <w:rFonts w:cs="DanaFajr" w:hint="cs"/>
          <w:sz w:val="28"/>
          <w:szCs w:val="28"/>
          <w:rtl/>
          <w:lang w:bidi="ar-AE"/>
        </w:rPr>
        <w:t>عقيده وآزمون</w:t>
      </w:r>
      <w:r w:rsidRPr="00980C72">
        <w:rPr>
          <w:rFonts w:cs="DanaFajr" w:hint="eastAsia"/>
          <w:sz w:val="27"/>
          <w:szCs w:val="27"/>
          <w:rtl/>
        </w:rPr>
        <w:t>»</w:t>
      </w:r>
      <w:r w:rsidRPr="00980C72">
        <w:rPr>
          <w:rFonts w:cs="DanaFajr" w:hint="cs"/>
          <w:sz w:val="28"/>
          <w:szCs w:val="28"/>
          <w:rtl/>
          <w:lang w:bidi="ar-AE"/>
        </w:rPr>
        <w:t xml:space="preserve">، في (فربه تر أز إيديولوژي). </w:t>
      </w:r>
    </w:p>
    <w:p w:rsidR="00F41F33" w:rsidRPr="00980C72" w:rsidRDefault="00F41F33" w:rsidP="00904FCB">
      <w:pPr>
        <w:pStyle w:val="aa"/>
        <w:spacing w:line="300" w:lineRule="exact"/>
        <w:ind w:firstLine="0"/>
        <w:rPr>
          <w:rFonts w:cs="DanaFajr"/>
          <w:sz w:val="28"/>
          <w:szCs w:val="28"/>
          <w:rtl/>
          <w:lang w:bidi="ar-AE"/>
        </w:rPr>
      </w:pPr>
      <w:r w:rsidRPr="00980C72">
        <w:rPr>
          <w:rFonts w:cs="DanaFajr" w:hint="cs"/>
          <w:sz w:val="28"/>
          <w:szCs w:val="28"/>
          <w:rtl/>
          <w:lang w:bidi="ar-AE"/>
        </w:rPr>
        <w:t xml:space="preserve">ـ مَلَكْيان، معنويت </w:t>
      </w:r>
      <w:r w:rsidRPr="00CC023F">
        <w:rPr>
          <w:rFonts w:ascii="Mosawi" w:hAnsi="Mosawi" w:cs="Abz-3 (Yagut)" w:hint="cs"/>
          <w:rtl/>
          <w:lang w:val="x-none" w:eastAsia="x-none"/>
        </w:rPr>
        <w:t>گوهر</w:t>
      </w:r>
      <w:r w:rsidRPr="00980C72">
        <w:rPr>
          <w:rFonts w:cs="DanaFajr" w:hint="cs"/>
          <w:sz w:val="28"/>
          <w:szCs w:val="28"/>
          <w:rtl/>
          <w:lang w:bidi="ar-AE"/>
        </w:rPr>
        <w:t xml:space="preserve"> أديان (</w:t>
      </w:r>
      <w:r w:rsidRPr="006333E0">
        <w:rPr>
          <w:rFonts w:cs="Ya-Ali" w:hint="cs"/>
          <w:sz w:val="28"/>
          <w:szCs w:val="28"/>
          <w:rtl/>
          <w:lang w:bidi="ar-AE"/>
        </w:rPr>
        <w:t>1</w:t>
      </w:r>
      <w:r w:rsidRPr="00980C72">
        <w:rPr>
          <w:rFonts w:cs="DanaFajr" w:hint="cs"/>
          <w:sz w:val="28"/>
          <w:szCs w:val="28"/>
          <w:rtl/>
          <w:lang w:bidi="ar-AE"/>
        </w:rPr>
        <w:t xml:space="preserve">)، سنّت </w:t>
      </w:r>
      <w:r w:rsidRPr="00CC023F">
        <w:rPr>
          <w:rFonts w:cs="DanaFajr" w:hint="cs"/>
          <w:sz w:val="28"/>
          <w:szCs w:val="28"/>
          <w:rtl/>
          <w:lang w:bidi="ar-AE"/>
        </w:rPr>
        <w:t>وسكولاريسم: 276 ـ 306.</w:t>
      </w:r>
      <w:r w:rsidRPr="00980C72">
        <w:rPr>
          <w:rFonts w:cs="DanaFajr" w:hint="cs"/>
          <w:sz w:val="28"/>
          <w:szCs w:val="28"/>
          <w:rtl/>
          <w:lang w:bidi="ar-AE"/>
        </w:rPr>
        <w:t xml:space="preserve"> </w:t>
      </w:r>
    </w:p>
  </w:endnote>
  <w:endnote w:id="50">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انظر: </w:t>
      </w:r>
      <w:r w:rsidRPr="00980C72">
        <w:rPr>
          <w:rFonts w:cs="DanaFajr" w:hint="cs"/>
          <w:sz w:val="28"/>
          <w:szCs w:val="28"/>
          <w:rtl/>
          <w:lang w:bidi="ar-AE"/>
        </w:rPr>
        <w:t xml:space="preserve">سروش، </w:t>
      </w:r>
      <w:r w:rsidRPr="00980C72">
        <w:rPr>
          <w:rFonts w:cs="DanaFajr" w:hint="eastAsia"/>
          <w:sz w:val="27"/>
          <w:szCs w:val="27"/>
          <w:rtl/>
        </w:rPr>
        <w:t>«</w:t>
      </w:r>
      <w:r w:rsidRPr="00980C72">
        <w:rPr>
          <w:rFonts w:cs="DanaFajr" w:hint="cs"/>
          <w:sz w:val="28"/>
          <w:szCs w:val="28"/>
          <w:rtl/>
          <w:lang w:bidi="ar-AE"/>
        </w:rPr>
        <w:t>رهائي أز يقين ويقين به رهائي</w:t>
      </w:r>
      <w:r w:rsidRPr="00980C72">
        <w:rPr>
          <w:rFonts w:cs="DanaFajr" w:hint="eastAsia"/>
          <w:sz w:val="27"/>
          <w:szCs w:val="27"/>
          <w:rtl/>
        </w:rPr>
        <w:t>»</w:t>
      </w:r>
      <w:r w:rsidRPr="00980C72">
        <w:rPr>
          <w:rFonts w:cs="DanaFajr" w:hint="cs"/>
          <w:sz w:val="28"/>
          <w:szCs w:val="28"/>
          <w:rtl/>
          <w:lang w:bidi="ar-AE"/>
        </w:rPr>
        <w:t xml:space="preserve">، </w:t>
      </w:r>
      <w:r w:rsidRPr="00980C72">
        <w:rPr>
          <w:rFonts w:cs="DanaFajr" w:hint="cs"/>
          <w:sz w:val="28"/>
          <w:szCs w:val="28"/>
          <w:rtl/>
        </w:rPr>
        <w:t xml:space="preserve">في (أخلاق </w:t>
      </w:r>
      <w:r w:rsidRPr="00CC023F">
        <w:rPr>
          <w:rFonts w:cs="DanaFajr" w:hint="cs"/>
          <w:sz w:val="28"/>
          <w:szCs w:val="28"/>
          <w:rtl/>
        </w:rPr>
        <w:t>خدايان: 70).</w:t>
      </w:r>
    </w:p>
    <w:p w:rsidR="00F41F33" w:rsidRPr="00980C72" w:rsidRDefault="00F41F33" w:rsidP="00904FCB">
      <w:pPr>
        <w:pStyle w:val="aa"/>
        <w:spacing w:line="300" w:lineRule="exact"/>
        <w:ind w:firstLine="0"/>
        <w:rPr>
          <w:rFonts w:cs="DanaFajr"/>
          <w:sz w:val="28"/>
          <w:szCs w:val="28"/>
          <w:rtl/>
        </w:rPr>
      </w:pPr>
      <w:r w:rsidRPr="00980C72">
        <w:rPr>
          <w:rFonts w:cs="DanaFajr" w:hint="cs"/>
          <w:sz w:val="28"/>
          <w:szCs w:val="28"/>
          <w:rtl/>
        </w:rPr>
        <w:t xml:space="preserve">ويتم تعريف العلمانية في قطرنا في الغالب على أنها </w:t>
      </w:r>
      <w:r w:rsidRPr="00980C72">
        <w:rPr>
          <w:rFonts w:cs="DanaFajr" w:hint="eastAsia"/>
          <w:sz w:val="27"/>
          <w:szCs w:val="27"/>
          <w:rtl/>
        </w:rPr>
        <w:t>«</w:t>
      </w:r>
      <w:r w:rsidRPr="00980C72">
        <w:rPr>
          <w:rFonts w:cs="DanaFajr" w:hint="cs"/>
          <w:sz w:val="28"/>
          <w:szCs w:val="28"/>
          <w:rtl/>
        </w:rPr>
        <w:t>فصل الدين عن السياسة</w:t>
      </w:r>
      <w:r w:rsidRPr="00980C72">
        <w:rPr>
          <w:rFonts w:cs="DanaFajr" w:hint="eastAsia"/>
          <w:sz w:val="27"/>
          <w:szCs w:val="27"/>
          <w:rtl/>
        </w:rPr>
        <w:t>»</w:t>
      </w:r>
      <w:r w:rsidRPr="00980C72">
        <w:rPr>
          <w:rFonts w:cs="DanaFajr" w:hint="cs"/>
          <w:sz w:val="28"/>
          <w:szCs w:val="28"/>
          <w:rtl/>
        </w:rPr>
        <w:t xml:space="preserve">، إلاّ أن هذا التعريف غير صحيح؛ لأن العلمانية السياسية مجرّد مفردة فرعية من مفردات العلمانية، ولا تمثِّل العلمانية كلها. يضاف إلى ذلك ـ كما سنرى في المستقبل ـ أن العلمانية السياسية لا تعني فصل الدين عن السياسة أيضاً، وإنما تعني فصل </w:t>
      </w:r>
      <w:r w:rsidRPr="00980C72">
        <w:rPr>
          <w:rFonts w:cs="DanaFajr" w:hint="eastAsia"/>
          <w:sz w:val="27"/>
          <w:szCs w:val="27"/>
          <w:rtl/>
        </w:rPr>
        <w:t>«</w:t>
      </w:r>
      <w:r w:rsidRPr="00980C72">
        <w:rPr>
          <w:rFonts w:cs="DanaFajr" w:hint="cs"/>
          <w:sz w:val="28"/>
          <w:szCs w:val="28"/>
          <w:rtl/>
        </w:rPr>
        <w:t>المؤسسة الدينية</w:t>
      </w:r>
      <w:r w:rsidRPr="00980C72">
        <w:rPr>
          <w:rFonts w:cs="DanaFajr" w:hint="eastAsia"/>
          <w:sz w:val="27"/>
          <w:szCs w:val="27"/>
          <w:rtl/>
        </w:rPr>
        <w:t>»</w:t>
      </w:r>
      <w:r w:rsidRPr="00980C72">
        <w:rPr>
          <w:rFonts w:cs="DanaFajr" w:hint="cs"/>
          <w:sz w:val="28"/>
          <w:szCs w:val="28"/>
          <w:rtl/>
        </w:rPr>
        <w:t xml:space="preserve"> ـ المتمثِّلة بالكنيسة أو رجال الدين بوصفهم مؤسّسة اجتماعية ـ عن مؤسّسة الدولة. وإن هذا الفصل يعني الاستقلال المتبادل بين هاتين المؤسّستين، وإنكار الحقّ الخاصّ والإلهي للمؤسّسة الدينية في حقل السياسة، وإنكار تبعيّة الدين للسياسة، والحيلولة دون توظيف الدين للوصول إلى المآرب السياسية، ومنع فرض القراءة الرسمية للدين على المتديِّنين بدعمٍ من السلطة السياسية، ولا يعني الطلاق البائن بين الدين والسياسة، كما لا يعني إخراج الدين من الساحة العامّة، وحشره في زاوية خاصّة من الحياة، ولا يعني سلب حقّ المواطنة عن رجال الدين، ومنعهم من التدخُّل في السياسة بوصفهم من المواطنين. إن استقلال المؤسّسات الاجتماعية عن بعضها يهدف إلى عدم التداخل، والحيلولة دون إساءة الاستغلال، ورفع فاعليتها، ويعدّ نوعاً من توزيع المهام الاجتماعية على أساس من التخصُّص والكفاءة والاستحقاق، مع مراعاة المعايير الأخلاقية، وإن توزيع الأعمال والمسؤوليّات الاجتماعية، وتفكيك المؤسّسات الاجتماعية عن بعضها ينشأ بحكم الضرورات العقلانية، ولا يتنافى أبداً مع صلة الدين بالسياسة، ودور الدين في السياسة. </w:t>
      </w:r>
    </w:p>
  </w:endnote>
  <w:endnote w:id="51">
    <w:p w:rsidR="00F41F33" w:rsidRPr="00980C72"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انظر: </w:t>
      </w:r>
      <w:r w:rsidRPr="00980C72">
        <w:rPr>
          <w:rFonts w:cs="DanaFajr" w:hint="cs"/>
          <w:sz w:val="28"/>
          <w:szCs w:val="28"/>
          <w:rtl/>
          <w:lang w:bidi="ar-AE"/>
        </w:rPr>
        <w:t xml:space="preserve">سروش، </w:t>
      </w:r>
      <w:r w:rsidRPr="00980C72">
        <w:rPr>
          <w:rFonts w:cs="DanaFajr" w:hint="eastAsia"/>
          <w:sz w:val="27"/>
          <w:szCs w:val="27"/>
          <w:rtl/>
        </w:rPr>
        <w:t>«</w:t>
      </w:r>
      <w:r w:rsidRPr="00980C72">
        <w:rPr>
          <w:rFonts w:cs="DanaFajr" w:hint="cs"/>
          <w:sz w:val="28"/>
          <w:szCs w:val="28"/>
          <w:rtl/>
        </w:rPr>
        <w:t>پيامبر</w:t>
      </w:r>
      <w:r w:rsidRPr="00980C72">
        <w:rPr>
          <w:rFonts w:cs="DanaFajr" w:hint="cs"/>
          <w:sz w:val="28"/>
          <w:szCs w:val="28"/>
          <w:rtl/>
          <w:lang w:bidi="ar-AE"/>
        </w:rPr>
        <w:t xml:space="preserve"> در صحنه</w:t>
      </w:r>
      <w:r w:rsidRPr="00980C72">
        <w:rPr>
          <w:rFonts w:cs="DanaFajr" w:hint="eastAsia"/>
          <w:sz w:val="27"/>
          <w:szCs w:val="27"/>
          <w:rtl/>
        </w:rPr>
        <w:t>»</w:t>
      </w:r>
      <w:r w:rsidRPr="00980C72">
        <w:rPr>
          <w:rFonts w:cs="DanaFajr" w:hint="cs"/>
          <w:sz w:val="28"/>
          <w:szCs w:val="28"/>
          <w:rtl/>
          <w:lang w:bidi="ar-AE"/>
        </w:rPr>
        <w:t xml:space="preserve">، </w:t>
      </w:r>
      <w:r w:rsidRPr="00980C72">
        <w:rPr>
          <w:rFonts w:cs="DanaFajr" w:hint="cs"/>
          <w:sz w:val="28"/>
          <w:szCs w:val="28"/>
          <w:rtl/>
        </w:rPr>
        <w:t xml:space="preserve">في (بسط </w:t>
      </w:r>
      <w:r w:rsidRPr="004C705F">
        <w:rPr>
          <w:rFonts w:cs="DanaFajr" w:hint="cs"/>
          <w:sz w:val="28"/>
          <w:szCs w:val="28"/>
          <w:rtl/>
        </w:rPr>
        <w:t>تجربه نبوي: 162).</w:t>
      </w:r>
      <w:r w:rsidRPr="00980C72">
        <w:rPr>
          <w:rFonts w:cs="DanaFajr" w:hint="cs"/>
          <w:sz w:val="28"/>
          <w:szCs w:val="28"/>
          <w:rtl/>
        </w:rPr>
        <w:t xml:space="preserve"> </w:t>
      </w:r>
    </w:p>
  </w:endnote>
  <w:endnote w:id="52">
    <w:p w:rsidR="00F41F33" w:rsidRPr="004C705F"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يذهب الدكتور سروش إلى القول ـ مصيباً ـ: إن بين العقلانية والعلمانية ارتباطاً وثيقاً. انظر في </w:t>
      </w:r>
      <w:r w:rsidRPr="004C705F">
        <w:rPr>
          <w:rFonts w:cs="DanaFajr" w:hint="cs"/>
          <w:sz w:val="28"/>
          <w:szCs w:val="28"/>
          <w:rtl/>
        </w:rPr>
        <w:t xml:space="preserve">هذا الشأن: المصدر السابق: 161. </w:t>
      </w:r>
    </w:p>
  </w:endnote>
  <w:endnote w:id="53">
    <w:p w:rsidR="00F41F33" w:rsidRPr="004C705F" w:rsidRDefault="00F41F33" w:rsidP="00904FCB">
      <w:pPr>
        <w:pStyle w:val="aa"/>
        <w:spacing w:line="300" w:lineRule="exact"/>
        <w:ind w:firstLine="0"/>
        <w:rPr>
          <w:rFonts w:cs="DanaFajr"/>
          <w:sz w:val="28"/>
          <w:szCs w:val="28"/>
          <w:rtl/>
          <w:lang w:bidi="ar-AE"/>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سروش، </w:t>
      </w:r>
      <w:r w:rsidRPr="004C705F">
        <w:rPr>
          <w:rFonts w:cs="DanaFajr" w:hint="eastAsia"/>
          <w:sz w:val="27"/>
          <w:szCs w:val="27"/>
          <w:rtl/>
        </w:rPr>
        <w:t>«</w:t>
      </w:r>
      <w:r w:rsidRPr="004C705F">
        <w:rPr>
          <w:rFonts w:cs="DanaFajr" w:hint="cs"/>
          <w:sz w:val="28"/>
          <w:szCs w:val="28"/>
          <w:rtl/>
        </w:rPr>
        <w:t>سکولاريسم</w:t>
      </w:r>
      <w:r w:rsidRPr="004C705F">
        <w:rPr>
          <w:rFonts w:cs="DanaFajr" w:hint="eastAsia"/>
          <w:sz w:val="27"/>
          <w:szCs w:val="27"/>
          <w:rtl/>
        </w:rPr>
        <w:t>»</w:t>
      </w:r>
      <w:r w:rsidRPr="004C705F">
        <w:rPr>
          <w:rFonts w:cs="DanaFajr" w:hint="cs"/>
          <w:sz w:val="28"/>
          <w:szCs w:val="28"/>
          <w:rtl/>
          <w:lang w:bidi="ar-AE"/>
        </w:rPr>
        <w:t xml:space="preserve">، سنّت وسكولاريسم: 76 ـ 78. </w:t>
      </w:r>
    </w:p>
  </w:endnote>
  <w:endnote w:id="54">
    <w:p w:rsidR="00F41F33" w:rsidRPr="004C705F" w:rsidRDefault="00F41F33" w:rsidP="00904FCB">
      <w:pPr>
        <w:pStyle w:val="aa"/>
        <w:spacing w:line="300" w:lineRule="exact"/>
        <w:ind w:firstLine="0"/>
        <w:rPr>
          <w:rFonts w:cs="DanaFajr"/>
          <w:sz w:val="28"/>
          <w:szCs w:val="28"/>
          <w:rtl/>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المصدر السابق: 86. </w:t>
      </w:r>
    </w:p>
  </w:endnote>
  <w:endnote w:id="55">
    <w:p w:rsidR="00F41F33" w:rsidRPr="004C705F" w:rsidRDefault="00F41F33" w:rsidP="00904FCB">
      <w:pPr>
        <w:pStyle w:val="aa"/>
        <w:spacing w:line="300" w:lineRule="exact"/>
        <w:ind w:firstLine="0"/>
        <w:rPr>
          <w:rFonts w:cs="DanaFajr"/>
          <w:sz w:val="28"/>
          <w:szCs w:val="28"/>
          <w:rtl/>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المصدر السابق: 88 ـ 89. </w:t>
      </w:r>
    </w:p>
  </w:endnote>
  <w:endnote w:id="56">
    <w:p w:rsidR="00F41F33" w:rsidRPr="00715694" w:rsidRDefault="00F41F33" w:rsidP="00904FCB">
      <w:pPr>
        <w:pStyle w:val="aa"/>
        <w:bidi w:val="0"/>
        <w:spacing w:line="300" w:lineRule="exact"/>
        <w:ind w:firstLine="0"/>
        <w:rPr>
          <w:rFonts w:asciiTheme="majorBidi" w:hAnsiTheme="majorBidi" w:cstheme="majorBidi"/>
        </w:rPr>
      </w:pPr>
      <w:r w:rsidRPr="00715694">
        <w:rPr>
          <w:rFonts w:asciiTheme="majorBidi" w:hAnsiTheme="majorBidi" w:cstheme="majorBidi"/>
        </w:rPr>
        <w:t>(</w:t>
      </w:r>
      <w:r w:rsidRPr="00715694">
        <w:rPr>
          <w:rFonts w:asciiTheme="majorBidi" w:hAnsiTheme="majorBidi" w:cstheme="majorBidi"/>
        </w:rPr>
        <w:endnoteRef/>
      </w:r>
      <w:r w:rsidRPr="00715694">
        <w:rPr>
          <w:rFonts w:asciiTheme="majorBidi" w:hAnsiTheme="majorBidi" w:cstheme="majorBidi"/>
        </w:rPr>
        <w:t xml:space="preserve">) sense of duty. </w:t>
      </w:r>
    </w:p>
  </w:endnote>
  <w:endnote w:id="57">
    <w:p w:rsidR="00F41F33" w:rsidRPr="00715694" w:rsidRDefault="00F41F33" w:rsidP="00904FCB">
      <w:pPr>
        <w:pStyle w:val="aa"/>
        <w:bidi w:val="0"/>
        <w:spacing w:line="300" w:lineRule="exact"/>
        <w:ind w:firstLine="0"/>
        <w:rPr>
          <w:rFonts w:asciiTheme="majorBidi" w:hAnsiTheme="majorBidi" w:cstheme="majorBidi"/>
        </w:rPr>
      </w:pPr>
      <w:r w:rsidRPr="00715694">
        <w:rPr>
          <w:rFonts w:asciiTheme="majorBidi" w:hAnsiTheme="majorBidi" w:cstheme="majorBidi"/>
        </w:rPr>
        <w:t>(</w:t>
      </w:r>
      <w:r w:rsidRPr="00715694">
        <w:rPr>
          <w:rFonts w:asciiTheme="majorBidi" w:hAnsiTheme="majorBidi" w:cstheme="majorBidi"/>
        </w:rPr>
        <w:endnoteRef/>
      </w:r>
      <w:r w:rsidRPr="00715694">
        <w:rPr>
          <w:rFonts w:asciiTheme="majorBidi" w:hAnsiTheme="majorBidi" w:cstheme="majorBidi"/>
        </w:rPr>
        <w:t xml:space="preserve">) procedural. </w:t>
      </w:r>
    </w:p>
  </w:endnote>
  <w:endnote w:id="58">
    <w:p w:rsidR="00F41F33" w:rsidRPr="00715694" w:rsidRDefault="00F41F33" w:rsidP="00904FCB">
      <w:pPr>
        <w:pStyle w:val="aa"/>
        <w:bidi w:val="0"/>
        <w:spacing w:line="300" w:lineRule="exact"/>
        <w:ind w:firstLine="0"/>
        <w:rPr>
          <w:rFonts w:asciiTheme="majorBidi" w:hAnsiTheme="majorBidi" w:cstheme="majorBidi"/>
        </w:rPr>
      </w:pPr>
      <w:r w:rsidRPr="00715694">
        <w:rPr>
          <w:rFonts w:asciiTheme="majorBidi" w:hAnsiTheme="majorBidi" w:cstheme="majorBidi"/>
        </w:rPr>
        <w:t>(</w:t>
      </w:r>
      <w:r w:rsidRPr="00715694">
        <w:rPr>
          <w:rFonts w:asciiTheme="majorBidi" w:hAnsiTheme="majorBidi" w:cstheme="majorBidi"/>
        </w:rPr>
        <w:endnoteRef/>
      </w:r>
      <w:r w:rsidRPr="00715694">
        <w:rPr>
          <w:rFonts w:asciiTheme="majorBidi" w:hAnsiTheme="majorBidi" w:cstheme="majorBidi"/>
        </w:rPr>
        <w:t xml:space="preserve">) substantive. </w:t>
      </w:r>
    </w:p>
  </w:endnote>
  <w:endnote w:id="59">
    <w:p w:rsidR="00F41F33" w:rsidRPr="004C705F" w:rsidRDefault="00F41F33" w:rsidP="00904FCB">
      <w:pPr>
        <w:pStyle w:val="aa"/>
        <w:spacing w:line="300" w:lineRule="exact"/>
        <w:ind w:firstLine="0"/>
        <w:rPr>
          <w:rFonts w:cs="DanaFajr"/>
          <w:sz w:val="28"/>
          <w:szCs w:val="28"/>
          <w:rtl/>
          <w:lang w:bidi="ar-AE"/>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في هذا الشأن: سروش، </w:t>
      </w:r>
      <w:r w:rsidRPr="004C705F">
        <w:rPr>
          <w:rFonts w:cs="DanaFajr" w:hint="eastAsia"/>
          <w:sz w:val="27"/>
          <w:szCs w:val="27"/>
          <w:rtl/>
        </w:rPr>
        <w:t>«</w:t>
      </w:r>
      <w:r w:rsidRPr="004C705F">
        <w:rPr>
          <w:rFonts w:cs="DanaFajr" w:hint="cs"/>
          <w:sz w:val="28"/>
          <w:szCs w:val="28"/>
          <w:rtl/>
        </w:rPr>
        <w:t>دينداري تجربه أنديش</w:t>
      </w:r>
      <w:r w:rsidRPr="004C705F">
        <w:rPr>
          <w:rFonts w:cs="DanaFajr" w:hint="eastAsia"/>
          <w:sz w:val="27"/>
          <w:szCs w:val="27"/>
          <w:rtl/>
        </w:rPr>
        <w:t>»</w:t>
      </w:r>
      <w:r w:rsidRPr="004C705F">
        <w:rPr>
          <w:rFonts w:cs="DanaFajr" w:hint="cs"/>
          <w:sz w:val="28"/>
          <w:szCs w:val="28"/>
          <w:rtl/>
          <w:lang w:bidi="ar-AE"/>
        </w:rPr>
        <w:t xml:space="preserve">، سنّت وسكولاريسم: 189 ـ 200. </w:t>
      </w:r>
    </w:p>
  </w:endnote>
  <w:endnote w:id="60">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إن عبارة </w:t>
      </w:r>
      <w:r w:rsidRPr="00980C72">
        <w:rPr>
          <w:rFonts w:cs="DanaFajr" w:hint="eastAsia"/>
          <w:sz w:val="27"/>
          <w:szCs w:val="27"/>
          <w:rtl/>
        </w:rPr>
        <w:t>«</w:t>
      </w:r>
      <w:r w:rsidRPr="00980C72">
        <w:rPr>
          <w:rFonts w:cs="DanaFajr" w:hint="cs"/>
          <w:sz w:val="28"/>
          <w:szCs w:val="28"/>
          <w:rtl/>
        </w:rPr>
        <w:t>إله سدّ الثغرات</w:t>
      </w:r>
      <w:r w:rsidRPr="00980C72">
        <w:rPr>
          <w:rFonts w:cs="DanaFajr" w:hint="eastAsia"/>
          <w:sz w:val="27"/>
          <w:szCs w:val="27"/>
          <w:rtl/>
        </w:rPr>
        <w:t>»</w:t>
      </w:r>
      <w:r w:rsidRPr="00980C72">
        <w:rPr>
          <w:rFonts w:cs="DanaFajr" w:hint="cs"/>
          <w:sz w:val="28"/>
          <w:szCs w:val="28"/>
          <w:rtl/>
        </w:rPr>
        <w:t xml:space="preserve"> مصطلح اقترحه الأستاذ بهاء الدين خرمشاهي لترجمة العبارة الإنجليزية (</w:t>
      </w:r>
      <w:r w:rsidRPr="00980C72">
        <w:rPr>
          <w:rFonts w:asciiTheme="majorBidi" w:hAnsiTheme="majorBidi" w:cs="DanaFajr"/>
        </w:rPr>
        <w:t>God of Gaps</w:t>
      </w:r>
      <w:r w:rsidRPr="00980C72">
        <w:rPr>
          <w:rFonts w:cs="DanaFajr" w:hint="cs"/>
          <w:sz w:val="28"/>
          <w:szCs w:val="28"/>
          <w:rtl/>
        </w:rPr>
        <w:t xml:space="preserve">). انظر في هذا الشأن: </w:t>
      </w:r>
      <w:r w:rsidRPr="00980C72">
        <w:rPr>
          <w:rFonts w:cs="DanaFajr" w:hint="cs"/>
          <w:sz w:val="28"/>
          <w:szCs w:val="28"/>
          <w:rtl/>
          <w:lang w:bidi="ar-AE"/>
        </w:rPr>
        <w:t xml:space="preserve">باربور، علم ودين، ترجمه إلى الفارسية: بهاء الدين خرمشاهي، طهران، انتشارات علمي </w:t>
      </w:r>
      <w:r w:rsidRPr="00980C72">
        <w:rPr>
          <w:rFonts w:ascii="Mosawi" w:hAnsi="Mosawi" w:cs="DanaFajr" w:hint="cs"/>
          <w:rtl/>
          <w:lang w:val="x-none" w:eastAsia="x-none"/>
        </w:rPr>
        <w:t>وفرهنگي</w:t>
      </w:r>
      <w:r w:rsidRPr="00980C72">
        <w:rPr>
          <w:rFonts w:cs="DanaFajr" w:hint="cs"/>
          <w:sz w:val="28"/>
          <w:szCs w:val="28"/>
          <w:rtl/>
          <w:lang w:bidi="ar-AE"/>
        </w:rPr>
        <w:t xml:space="preserve">. </w:t>
      </w:r>
    </w:p>
  </w:endnote>
  <w:endnote w:id="61">
    <w:p w:rsidR="00F41F33" w:rsidRPr="004C705F" w:rsidRDefault="00F41F33" w:rsidP="00904FCB">
      <w:pPr>
        <w:pStyle w:val="aa"/>
        <w:spacing w:line="300" w:lineRule="exact"/>
        <w:ind w:firstLine="0"/>
        <w:rPr>
          <w:rFonts w:cs="DanaFajr"/>
          <w:sz w:val="28"/>
          <w:szCs w:val="28"/>
          <w:rtl/>
          <w:lang w:bidi="ar-AE"/>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w:t>
      </w:r>
      <w:r w:rsidRPr="004C705F">
        <w:rPr>
          <w:rFonts w:cs="DanaFajr" w:hint="cs"/>
          <w:sz w:val="28"/>
          <w:szCs w:val="28"/>
          <w:rtl/>
          <w:lang w:bidi="ar-AE"/>
        </w:rPr>
        <w:t xml:space="preserve">سروش، </w:t>
      </w:r>
      <w:r w:rsidRPr="004C705F">
        <w:rPr>
          <w:rFonts w:cs="DanaFajr" w:hint="eastAsia"/>
          <w:sz w:val="27"/>
          <w:szCs w:val="27"/>
          <w:rtl/>
        </w:rPr>
        <w:t>«</w:t>
      </w:r>
      <w:r w:rsidRPr="004C705F">
        <w:rPr>
          <w:rFonts w:cs="DanaFajr" w:hint="cs"/>
          <w:sz w:val="28"/>
          <w:szCs w:val="28"/>
          <w:rtl/>
          <w:lang w:bidi="ar-AE"/>
        </w:rPr>
        <w:t>معنا ومبناي سكولاريسم</w:t>
      </w:r>
      <w:r w:rsidRPr="004C705F">
        <w:rPr>
          <w:rFonts w:cs="DanaFajr" w:hint="eastAsia"/>
          <w:sz w:val="27"/>
          <w:szCs w:val="27"/>
          <w:rtl/>
        </w:rPr>
        <w:t>»</w:t>
      </w:r>
      <w:r w:rsidRPr="004C705F">
        <w:rPr>
          <w:rFonts w:cs="DanaFajr" w:hint="cs"/>
          <w:sz w:val="28"/>
          <w:szCs w:val="28"/>
          <w:rtl/>
          <w:lang w:bidi="ar-AE"/>
        </w:rPr>
        <w:t xml:space="preserve">، في (مدارا ومديريت: 424). </w:t>
      </w:r>
    </w:p>
  </w:endnote>
  <w:endnote w:id="62">
    <w:p w:rsidR="00F41F33" w:rsidRPr="004C705F" w:rsidRDefault="00F41F33" w:rsidP="00904FCB">
      <w:pPr>
        <w:pStyle w:val="aa"/>
        <w:spacing w:line="300" w:lineRule="exact"/>
        <w:ind w:firstLine="0"/>
        <w:rPr>
          <w:rFonts w:cs="DanaFajr"/>
          <w:sz w:val="28"/>
          <w:szCs w:val="28"/>
          <w:rtl/>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المصدر السابق: 437 ـ 443. </w:t>
      </w:r>
    </w:p>
  </w:endnote>
  <w:endnote w:id="63">
    <w:p w:rsidR="00F41F33" w:rsidRPr="004C705F" w:rsidRDefault="00F41F33" w:rsidP="00904FCB">
      <w:pPr>
        <w:pStyle w:val="aa"/>
        <w:spacing w:line="300" w:lineRule="exact"/>
        <w:ind w:firstLine="0"/>
        <w:rPr>
          <w:rFonts w:cs="DanaFajr"/>
          <w:sz w:val="28"/>
          <w:szCs w:val="28"/>
          <w:rtl/>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المصدر السابق: 437. </w:t>
      </w:r>
    </w:p>
  </w:endnote>
  <w:endnote w:id="64">
    <w:p w:rsidR="00F41F33" w:rsidRPr="004C705F" w:rsidRDefault="00F41F33" w:rsidP="00904FCB">
      <w:pPr>
        <w:pStyle w:val="aa"/>
        <w:spacing w:line="300" w:lineRule="exact"/>
        <w:ind w:firstLine="0"/>
        <w:rPr>
          <w:rFonts w:cs="DanaFajr"/>
          <w:sz w:val="28"/>
          <w:szCs w:val="28"/>
          <w:rtl/>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المصدر السابق: 422 ـ 438. </w:t>
      </w:r>
    </w:p>
  </w:endnote>
  <w:endnote w:id="65">
    <w:p w:rsidR="00F41F33" w:rsidRPr="004C705F" w:rsidRDefault="00F41F33" w:rsidP="00904FCB">
      <w:pPr>
        <w:spacing w:line="300" w:lineRule="exact"/>
        <w:ind w:firstLine="0"/>
        <w:rPr>
          <w:rFonts w:asciiTheme="minorBidi" w:hAnsiTheme="minorBidi" w:cs="DanaFajr"/>
          <w:szCs w:val="28"/>
          <w:rtl/>
        </w:rPr>
      </w:pPr>
      <w:r w:rsidRPr="00980C72">
        <w:rPr>
          <w:rFonts w:cs="DanaFajr"/>
          <w:szCs w:val="28"/>
          <w:rtl/>
        </w:rPr>
        <w:t>(</w:t>
      </w:r>
      <w:r w:rsidRPr="00980C72">
        <w:rPr>
          <w:rStyle w:val="ac"/>
          <w:rFonts w:cs="DanaFajr"/>
          <w:szCs w:val="28"/>
          <w:vertAlign w:val="baseline"/>
        </w:rPr>
        <w:endnoteRef/>
      </w:r>
      <w:r w:rsidRPr="00980C72">
        <w:rPr>
          <w:rFonts w:cs="DanaFajr"/>
          <w:szCs w:val="28"/>
          <w:rtl/>
        </w:rPr>
        <w:t xml:space="preserve">) </w:t>
      </w:r>
      <w:r w:rsidRPr="00980C72">
        <w:rPr>
          <w:rFonts w:asciiTheme="minorBidi" w:hAnsiTheme="minorBidi" w:cs="DanaFajr"/>
          <w:szCs w:val="28"/>
          <w:rtl/>
        </w:rPr>
        <w:t>الإسمانية (</w:t>
      </w:r>
      <w:r w:rsidRPr="00980C72">
        <w:rPr>
          <w:rFonts w:asciiTheme="majorBidi" w:hAnsiTheme="majorBidi" w:cs="DanaFajr"/>
          <w:sz w:val="20"/>
          <w:szCs w:val="20"/>
        </w:rPr>
        <w:t>nominalism</w:t>
      </w:r>
      <w:r w:rsidRPr="00980C72">
        <w:rPr>
          <w:rFonts w:asciiTheme="minorBidi" w:hAnsiTheme="minorBidi" w:cs="DanaFajr"/>
          <w:szCs w:val="28"/>
          <w:rtl/>
        </w:rPr>
        <w:t>): مذهب فلسفي يقول بأنّ المفاهيم المجرّدة أو الكل</w:t>
      </w:r>
      <w:r w:rsidRPr="00980C72">
        <w:rPr>
          <w:rFonts w:asciiTheme="minorBidi" w:hAnsiTheme="minorBidi" w:cs="DanaFajr" w:hint="cs"/>
          <w:szCs w:val="28"/>
          <w:rtl/>
        </w:rPr>
        <w:t>ّ</w:t>
      </w:r>
      <w:r w:rsidRPr="00980C72">
        <w:rPr>
          <w:rFonts w:asciiTheme="minorBidi" w:hAnsiTheme="minorBidi" w:cs="DanaFajr"/>
          <w:szCs w:val="28"/>
          <w:rtl/>
        </w:rPr>
        <w:t>يات ليس لها وجود حقيقي، وأنها مجرّد أسماء ليس غير، وذلك على أساس</w:t>
      </w:r>
      <w:r w:rsidRPr="00980C72">
        <w:rPr>
          <w:rFonts w:asciiTheme="minorBidi" w:hAnsiTheme="minorBidi" w:cs="DanaFajr" w:hint="cs"/>
          <w:szCs w:val="28"/>
          <w:rtl/>
        </w:rPr>
        <w:t>ٍ</w:t>
      </w:r>
      <w:r w:rsidRPr="00980C72">
        <w:rPr>
          <w:rFonts w:asciiTheme="minorBidi" w:hAnsiTheme="minorBidi" w:cs="DanaFajr"/>
          <w:szCs w:val="28"/>
          <w:rtl/>
        </w:rPr>
        <w:t xml:space="preserve"> من أنّ استخدام لفظ عام كـ (البشرية) مثلاً لا يقضي بالضرورة وجود (الشيء العام) الذي يدل</w:t>
      </w:r>
      <w:r w:rsidRPr="00980C72">
        <w:rPr>
          <w:rFonts w:asciiTheme="minorBidi" w:hAnsiTheme="minorBidi" w:cs="DanaFajr" w:hint="cs"/>
          <w:szCs w:val="28"/>
          <w:rtl/>
        </w:rPr>
        <w:t>ّ</w:t>
      </w:r>
      <w:r w:rsidRPr="00980C72">
        <w:rPr>
          <w:rFonts w:asciiTheme="minorBidi" w:hAnsiTheme="minorBidi" w:cs="DanaFajr"/>
          <w:szCs w:val="28"/>
          <w:rtl/>
        </w:rPr>
        <w:t xml:space="preserve"> عليه اللفظ؛ لأنّ الوجود الحقيقي وقفٌ على الجزئيات المفردة والمصاديق (أي الأشخاص والأفراد) ل</w:t>
      </w:r>
      <w:r w:rsidRPr="00980C72">
        <w:rPr>
          <w:rFonts w:asciiTheme="minorBidi" w:hAnsiTheme="minorBidi" w:cs="DanaFajr" w:hint="cs"/>
          <w:szCs w:val="28"/>
          <w:rtl/>
        </w:rPr>
        <w:t>ا</w:t>
      </w:r>
      <w:r w:rsidRPr="00980C72">
        <w:rPr>
          <w:rFonts w:asciiTheme="minorBidi" w:hAnsiTheme="minorBidi" w:cs="DanaFajr"/>
          <w:szCs w:val="28"/>
          <w:rtl/>
        </w:rPr>
        <w:t xml:space="preserve"> غير. أس</w:t>
      </w:r>
      <w:r w:rsidRPr="00980C72">
        <w:rPr>
          <w:rFonts w:asciiTheme="minorBidi" w:hAnsiTheme="minorBidi" w:cs="DanaFajr" w:hint="cs"/>
          <w:szCs w:val="28"/>
          <w:rtl/>
        </w:rPr>
        <w:t>َّ</w:t>
      </w:r>
      <w:r w:rsidRPr="00980C72">
        <w:rPr>
          <w:rFonts w:asciiTheme="minorBidi" w:hAnsiTheme="minorBidi" w:cs="DanaFajr"/>
          <w:szCs w:val="28"/>
          <w:rtl/>
        </w:rPr>
        <w:t>سه في القرن الحادي عشر للميلاد الفيلسوف الفرنسي روسلان (</w:t>
      </w:r>
      <w:r w:rsidRPr="00980C72">
        <w:rPr>
          <w:rFonts w:asciiTheme="majorBidi" w:hAnsiTheme="majorBidi" w:cs="DanaFajr"/>
          <w:sz w:val="20"/>
          <w:szCs w:val="20"/>
        </w:rPr>
        <w:t>Roscelin</w:t>
      </w:r>
      <w:r w:rsidRPr="00980C72">
        <w:rPr>
          <w:rFonts w:asciiTheme="minorBidi" w:hAnsiTheme="minorBidi" w:cs="DanaFajr"/>
          <w:szCs w:val="28"/>
          <w:rtl/>
        </w:rPr>
        <w:t>)</w:t>
      </w:r>
      <w:r w:rsidRPr="00980C72">
        <w:rPr>
          <w:rFonts w:asciiTheme="minorBidi" w:hAnsiTheme="minorBidi" w:cs="DanaFajr" w:hint="cs"/>
          <w:szCs w:val="28"/>
          <w:rtl/>
          <w:lang w:bidi="ar-LB"/>
        </w:rPr>
        <w:t>،</w:t>
      </w:r>
      <w:r w:rsidRPr="00980C72">
        <w:rPr>
          <w:rFonts w:asciiTheme="minorBidi" w:hAnsiTheme="minorBidi" w:cs="DanaFajr"/>
          <w:szCs w:val="28"/>
          <w:rtl/>
        </w:rPr>
        <w:t xml:space="preserve"> ثمّ أدخل عليه أبيلار (</w:t>
      </w:r>
      <w:r w:rsidRPr="00980C72">
        <w:rPr>
          <w:rFonts w:asciiTheme="majorBidi" w:hAnsiTheme="majorBidi" w:cs="DanaFajr"/>
          <w:sz w:val="20"/>
          <w:szCs w:val="20"/>
        </w:rPr>
        <w:t>Abelard</w:t>
      </w:r>
      <w:r w:rsidRPr="00980C72">
        <w:rPr>
          <w:rFonts w:asciiTheme="minorBidi" w:hAnsiTheme="minorBidi" w:cs="DanaFajr"/>
          <w:szCs w:val="28"/>
          <w:rtl/>
        </w:rPr>
        <w:t>) بعض التعديلات. ومن أبرز أعلامه الفيلسوف الإنجليزي وليم أوف أوكام (</w:t>
      </w:r>
      <w:r w:rsidRPr="00980C72">
        <w:rPr>
          <w:rFonts w:asciiTheme="majorBidi" w:hAnsiTheme="majorBidi" w:cs="DanaFajr"/>
          <w:sz w:val="20"/>
          <w:szCs w:val="20"/>
        </w:rPr>
        <w:t>Ockham</w:t>
      </w:r>
      <w:r w:rsidRPr="00980C72">
        <w:rPr>
          <w:rFonts w:asciiTheme="minorBidi" w:hAnsiTheme="minorBidi" w:cs="DanaFajr"/>
          <w:szCs w:val="28"/>
          <w:rtl/>
        </w:rPr>
        <w:t xml:space="preserve">). </w:t>
      </w:r>
      <w:r w:rsidRPr="00980C72">
        <w:rPr>
          <w:rFonts w:asciiTheme="minorBidi" w:hAnsiTheme="minorBidi" w:cs="DanaFajr" w:hint="cs"/>
          <w:szCs w:val="28"/>
          <w:rtl/>
        </w:rPr>
        <w:t xml:space="preserve">(المعرّب)، نقلاً عن: منير البعلبكي، </w:t>
      </w:r>
      <w:r w:rsidRPr="004C705F">
        <w:rPr>
          <w:rFonts w:asciiTheme="minorBidi" w:hAnsiTheme="minorBidi" w:cs="DanaFajr" w:hint="cs"/>
          <w:szCs w:val="28"/>
          <w:rtl/>
        </w:rPr>
        <w:t xml:space="preserve">موسوعة المورد 7: 138. </w:t>
      </w:r>
    </w:p>
  </w:endnote>
  <w:endnote w:id="66">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إن مرادنا هنا من المعرفة هي خصوص </w:t>
      </w:r>
      <w:r w:rsidRPr="00980C72">
        <w:rPr>
          <w:rFonts w:cs="DanaFajr" w:hint="eastAsia"/>
          <w:sz w:val="27"/>
          <w:szCs w:val="27"/>
          <w:rtl/>
        </w:rPr>
        <w:t>«</w:t>
      </w:r>
      <w:r w:rsidRPr="00980C72">
        <w:rPr>
          <w:rFonts w:cs="DanaFajr" w:hint="cs"/>
          <w:sz w:val="28"/>
          <w:szCs w:val="28"/>
          <w:rtl/>
        </w:rPr>
        <w:t>المعرفة التصديقية</w:t>
      </w:r>
      <w:r w:rsidRPr="00980C72">
        <w:rPr>
          <w:rFonts w:cs="DanaFajr" w:hint="eastAsia"/>
          <w:sz w:val="27"/>
          <w:szCs w:val="27"/>
          <w:rtl/>
        </w:rPr>
        <w:t>»</w:t>
      </w:r>
      <w:r w:rsidRPr="00980C72">
        <w:rPr>
          <w:rFonts w:cs="DanaFajr" w:hint="cs"/>
          <w:sz w:val="28"/>
          <w:szCs w:val="28"/>
          <w:rtl/>
        </w:rPr>
        <w:t xml:space="preserve">، ولا يشمل </w:t>
      </w:r>
      <w:r w:rsidRPr="00980C72">
        <w:rPr>
          <w:rFonts w:cs="DanaFajr" w:hint="eastAsia"/>
          <w:sz w:val="27"/>
          <w:szCs w:val="27"/>
          <w:rtl/>
        </w:rPr>
        <w:t>«</w:t>
      </w:r>
      <w:r w:rsidRPr="00980C72">
        <w:rPr>
          <w:rFonts w:cs="DanaFajr" w:hint="cs"/>
          <w:sz w:val="28"/>
          <w:szCs w:val="28"/>
          <w:rtl/>
        </w:rPr>
        <w:t>المعرفة التصورية</w:t>
      </w:r>
      <w:r w:rsidRPr="00980C72">
        <w:rPr>
          <w:rFonts w:cs="DanaFajr" w:hint="eastAsia"/>
          <w:sz w:val="27"/>
          <w:szCs w:val="27"/>
          <w:rtl/>
        </w:rPr>
        <w:t>»</w:t>
      </w:r>
      <w:r w:rsidRPr="00980C72">
        <w:rPr>
          <w:rFonts w:cs="DanaFajr" w:hint="cs"/>
          <w:sz w:val="28"/>
          <w:szCs w:val="28"/>
          <w:rtl/>
        </w:rPr>
        <w:t xml:space="preserve">. إن المعرفة التصديقية نتيجة </w:t>
      </w:r>
      <w:r w:rsidRPr="00980C72">
        <w:rPr>
          <w:rFonts w:cs="DanaFajr" w:hint="eastAsia"/>
          <w:sz w:val="27"/>
          <w:szCs w:val="27"/>
          <w:rtl/>
        </w:rPr>
        <w:t>«</w:t>
      </w:r>
      <w:r w:rsidRPr="00980C72">
        <w:rPr>
          <w:rFonts w:cs="DanaFajr" w:hint="cs"/>
          <w:sz w:val="28"/>
          <w:szCs w:val="28"/>
          <w:rtl/>
        </w:rPr>
        <w:t>مقام الحكم</w:t>
      </w:r>
      <w:r w:rsidRPr="00980C72">
        <w:rPr>
          <w:rFonts w:cs="DanaFajr" w:hint="eastAsia"/>
          <w:sz w:val="27"/>
          <w:szCs w:val="27"/>
          <w:rtl/>
        </w:rPr>
        <w:t>»</w:t>
      </w:r>
      <w:r w:rsidRPr="00980C72">
        <w:rPr>
          <w:rFonts w:cs="DanaFajr" w:hint="cs"/>
          <w:sz w:val="28"/>
          <w:szCs w:val="28"/>
          <w:rtl/>
        </w:rPr>
        <w:t xml:space="preserve"> (</w:t>
      </w:r>
      <w:r w:rsidRPr="00980C72">
        <w:rPr>
          <w:rFonts w:asciiTheme="majorBidi" w:hAnsiTheme="majorBidi" w:cs="DanaFajr"/>
        </w:rPr>
        <w:t>context of justification</w:t>
      </w:r>
      <w:r w:rsidRPr="00980C72">
        <w:rPr>
          <w:rFonts w:cs="DanaFajr" w:hint="cs"/>
          <w:sz w:val="28"/>
          <w:szCs w:val="28"/>
          <w:rtl/>
        </w:rPr>
        <w:t xml:space="preserve">)، والمعرفة التصورية نتيجة </w:t>
      </w:r>
      <w:r w:rsidRPr="00980C72">
        <w:rPr>
          <w:rFonts w:cs="DanaFajr" w:hint="eastAsia"/>
          <w:sz w:val="27"/>
          <w:szCs w:val="27"/>
          <w:rtl/>
        </w:rPr>
        <w:t>«</w:t>
      </w:r>
      <w:r w:rsidRPr="00980C72">
        <w:rPr>
          <w:rFonts w:cs="DanaFajr" w:hint="cs"/>
          <w:sz w:val="28"/>
          <w:szCs w:val="28"/>
          <w:rtl/>
        </w:rPr>
        <w:t>مقام الكشف</w:t>
      </w:r>
      <w:r w:rsidRPr="00980C72">
        <w:rPr>
          <w:rFonts w:cs="DanaFajr" w:hint="eastAsia"/>
          <w:sz w:val="27"/>
          <w:szCs w:val="27"/>
          <w:rtl/>
        </w:rPr>
        <w:t>»</w:t>
      </w:r>
      <w:r w:rsidRPr="00980C72">
        <w:rPr>
          <w:rFonts w:cs="DanaFajr" w:hint="cs"/>
          <w:sz w:val="28"/>
          <w:szCs w:val="28"/>
          <w:rtl/>
        </w:rPr>
        <w:t xml:space="preserve"> (</w:t>
      </w:r>
      <w:r w:rsidRPr="00980C72">
        <w:rPr>
          <w:rFonts w:asciiTheme="majorBidi" w:hAnsiTheme="majorBidi" w:cs="DanaFajr"/>
        </w:rPr>
        <w:t>context of discovery</w:t>
      </w:r>
      <w:r w:rsidRPr="00980C72">
        <w:rPr>
          <w:rFonts w:cs="DanaFajr" w:hint="cs"/>
          <w:sz w:val="28"/>
          <w:szCs w:val="28"/>
          <w:rtl/>
        </w:rPr>
        <w:t xml:space="preserve">). وعلى هذه الشاكلة فإن العناصر المعرفية للعلمانية عبارة عن القول بأن المعرفة التصديقية والأوصاف الذاتية والروابط الضرورية بين الواقعيات المستقلة عن الوحي والدين. وإن هذه المعلومة لا تنافي أن يكون </w:t>
      </w:r>
      <w:r w:rsidRPr="00980C72">
        <w:rPr>
          <w:rFonts w:cs="DanaFajr" w:hint="eastAsia"/>
          <w:sz w:val="27"/>
          <w:szCs w:val="27"/>
          <w:rtl/>
        </w:rPr>
        <w:t>«</w:t>
      </w:r>
      <w:r w:rsidRPr="00980C72">
        <w:rPr>
          <w:rFonts w:cs="DanaFajr" w:hint="cs"/>
          <w:sz w:val="28"/>
          <w:szCs w:val="28"/>
          <w:rtl/>
        </w:rPr>
        <w:t>تصوّر</w:t>
      </w:r>
      <w:r w:rsidRPr="00980C72">
        <w:rPr>
          <w:rFonts w:cs="DanaFajr" w:hint="eastAsia"/>
          <w:sz w:val="27"/>
          <w:szCs w:val="27"/>
          <w:rtl/>
        </w:rPr>
        <w:t>»</w:t>
      </w:r>
      <w:r w:rsidRPr="00980C72">
        <w:rPr>
          <w:rFonts w:cs="DanaFajr" w:hint="cs"/>
          <w:sz w:val="28"/>
          <w:szCs w:val="28"/>
          <w:rtl/>
        </w:rPr>
        <w:t xml:space="preserve"> هذه الأوصاف والروابط قد تسرّب إلى ذهن الإنسان من القنوات الدينية. </w:t>
      </w:r>
    </w:p>
  </w:endnote>
  <w:endnote w:id="67">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 xml:space="preserve">بلغ أسماعنا أن للدكتور سروش مقالاً غير مطبوع تحت عنوان </w:t>
      </w:r>
      <w:r w:rsidRPr="00980C72">
        <w:rPr>
          <w:rFonts w:cs="DanaFajr" w:hint="eastAsia"/>
          <w:sz w:val="27"/>
          <w:szCs w:val="27"/>
          <w:rtl/>
        </w:rPr>
        <w:t>«</w:t>
      </w:r>
      <w:r w:rsidRPr="00980C72">
        <w:rPr>
          <w:rFonts w:cs="DanaFajr" w:hint="cs"/>
          <w:sz w:val="28"/>
          <w:szCs w:val="28"/>
          <w:rtl/>
        </w:rPr>
        <w:t>الإسمانية والعلمانية</w:t>
      </w:r>
      <w:r w:rsidRPr="00980C72">
        <w:rPr>
          <w:rFonts w:cs="DanaFajr" w:hint="eastAsia"/>
          <w:sz w:val="27"/>
          <w:szCs w:val="27"/>
          <w:rtl/>
        </w:rPr>
        <w:t>»</w:t>
      </w:r>
      <w:r w:rsidRPr="00980C72">
        <w:rPr>
          <w:rFonts w:cs="DanaFajr" w:hint="cs"/>
          <w:sz w:val="28"/>
          <w:szCs w:val="28"/>
          <w:rtl/>
        </w:rPr>
        <w:t xml:space="preserve">، تحدّث فيه عن تأثير الإسمانية على ظهور العلمانية. وللأسف الشديد فقد ذهبت جميع جهودي في العثور على هذا المقال أدراج الرياح، ولكنْ بالإمكان الحصول على خلاصة لرؤيته حول العلاقة بين الإسمانية والعلمانية، في المصدر التالي: </w:t>
      </w:r>
      <w:r w:rsidRPr="00980C72">
        <w:rPr>
          <w:rFonts w:cs="DanaFajr"/>
          <w:sz w:val="28"/>
          <w:szCs w:val="28"/>
          <w:rtl/>
        </w:rPr>
        <w:t>سروش،</w:t>
      </w:r>
      <w:r w:rsidRPr="00980C72">
        <w:rPr>
          <w:rFonts w:cs="DanaFajr" w:hint="cs"/>
          <w:sz w:val="28"/>
          <w:szCs w:val="28"/>
          <w:rtl/>
          <w:lang w:bidi="ar-AE"/>
        </w:rPr>
        <w:t xml:space="preserve"> آئين شهرياري </w:t>
      </w:r>
      <w:r w:rsidRPr="004C705F">
        <w:rPr>
          <w:rFonts w:cs="DanaFajr" w:hint="cs"/>
          <w:sz w:val="28"/>
          <w:szCs w:val="28"/>
          <w:rtl/>
          <w:lang w:bidi="ar-AE"/>
        </w:rPr>
        <w:t>ودينداري: 164 ـ 166،</w:t>
      </w:r>
      <w:r w:rsidRPr="00980C72">
        <w:rPr>
          <w:rFonts w:cs="DanaFajr" w:hint="cs"/>
          <w:sz w:val="28"/>
          <w:szCs w:val="28"/>
          <w:rtl/>
          <w:lang w:bidi="ar-AE"/>
        </w:rPr>
        <w:t xml:space="preserve"> طهران، مؤسسه </w:t>
      </w:r>
      <w:r w:rsidRPr="004C705F">
        <w:rPr>
          <w:rFonts w:ascii="Mosawi" w:hAnsi="Mosawi" w:cs="Abz-3 (Yagut)" w:hint="cs"/>
          <w:rtl/>
          <w:lang w:val="x-none" w:eastAsia="x-none"/>
        </w:rPr>
        <w:t>فرهنگي</w:t>
      </w:r>
      <w:r w:rsidRPr="00980C72">
        <w:rPr>
          <w:rFonts w:cs="DanaFajr" w:hint="cs"/>
          <w:sz w:val="28"/>
          <w:szCs w:val="28"/>
          <w:rtl/>
          <w:lang w:bidi="ar-AE"/>
        </w:rPr>
        <w:t xml:space="preserve"> صراط. </w:t>
      </w:r>
      <w:r w:rsidRPr="00980C72">
        <w:rPr>
          <w:rFonts w:cs="DanaFajr" w:hint="cs"/>
          <w:sz w:val="28"/>
          <w:szCs w:val="28"/>
          <w:rtl/>
        </w:rPr>
        <w:t xml:space="preserve">أشكر سماحة الدكتور دبّاغ على تنبيهه إيّاي إلى وجود مثل هذا المقال. </w:t>
      </w:r>
    </w:p>
  </w:endnote>
  <w:endnote w:id="68">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شاهدنا كيف يعمد أولئك الذين يقولون بالحسن والقبح الذاتي في الأفعال إلى إحلال الفقه (الأخلاق الدينية) محل</w:t>
      </w:r>
      <w:r w:rsidRPr="00980C72">
        <w:rPr>
          <w:rFonts w:cs="DanaFajr" w:hint="cs"/>
          <w:sz w:val="28"/>
          <w:szCs w:val="28"/>
          <w:rtl/>
        </w:rPr>
        <w:t>ّ</w:t>
      </w:r>
      <w:r w:rsidRPr="00980C72">
        <w:rPr>
          <w:rFonts w:cs="DanaFajr"/>
          <w:sz w:val="28"/>
          <w:szCs w:val="28"/>
          <w:rtl/>
        </w:rPr>
        <w:t xml:space="preserve"> الأخلاق العلمانية (الأخلاق ما فوق الدينية)، وسوف نرى في كتاب (أخلاق دينداري) كيف يعمد هؤلاء إلى استبدال الفقه بفلسفة السياسة وعلم السياسة والإدارة العلمية. إن هؤلاء يؤمنون بالعناصر الأولى</w:t>
      </w:r>
      <w:r w:rsidRPr="00980C72">
        <w:rPr>
          <w:rFonts w:cs="DanaFajr" w:hint="cs"/>
          <w:sz w:val="28"/>
          <w:szCs w:val="28"/>
          <w:rtl/>
        </w:rPr>
        <w:t>،</w:t>
      </w:r>
      <w:r w:rsidRPr="00980C72">
        <w:rPr>
          <w:rFonts w:cs="DanaFajr"/>
          <w:sz w:val="28"/>
          <w:szCs w:val="28"/>
          <w:rtl/>
        </w:rPr>
        <w:t xml:space="preserve"> وهي القول بمعرفة الوجود ـ العلمانية، وينكرون العناصر الثانية الم</w:t>
      </w:r>
      <w:r w:rsidRPr="00980C72">
        <w:rPr>
          <w:rFonts w:cs="DanaFajr" w:hint="cs"/>
          <w:sz w:val="28"/>
          <w:szCs w:val="28"/>
          <w:rtl/>
        </w:rPr>
        <w:t>ت</w:t>
      </w:r>
      <w:r w:rsidRPr="00980C72">
        <w:rPr>
          <w:rFonts w:cs="DanaFajr"/>
          <w:sz w:val="28"/>
          <w:szCs w:val="28"/>
          <w:rtl/>
        </w:rPr>
        <w:t>مث</w:t>
      </w:r>
      <w:r w:rsidRPr="00980C72">
        <w:rPr>
          <w:rFonts w:cs="DanaFajr" w:hint="cs"/>
          <w:sz w:val="28"/>
          <w:szCs w:val="28"/>
          <w:rtl/>
        </w:rPr>
        <w:t>ّ</w:t>
      </w:r>
      <w:r w:rsidRPr="00980C72">
        <w:rPr>
          <w:rFonts w:cs="DanaFajr"/>
          <w:sz w:val="28"/>
          <w:szCs w:val="28"/>
          <w:rtl/>
        </w:rPr>
        <w:t xml:space="preserve">لة في القول بالمعرفة. </w:t>
      </w:r>
    </w:p>
  </w:endnote>
  <w:endnote w:id="69">
    <w:p w:rsidR="00F41F33" w:rsidRPr="004C705F"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الشاهد الآخر الذي يمكن أن نسوقه لهذا القول هو التفكيك بين الذاتي والعرضي في الأديان. فالأديان ليس فيها ذات وماهية وجنس وفصل بالمعنى الأرسطي للكلمة، ومع ذلك يمكن تقسيم الأوصاف والمضامين الدينية إلى</w:t>
      </w:r>
      <w:r w:rsidRPr="00980C72">
        <w:rPr>
          <w:rFonts w:cs="DanaFajr" w:hint="cs"/>
          <w:sz w:val="28"/>
          <w:szCs w:val="28"/>
          <w:rtl/>
        </w:rPr>
        <w:t>:</w:t>
      </w:r>
      <w:r w:rsidRPr="00980C72">
        <w:rPr>
          <w:rFonts w:cs="DanaFajr"/>
          <w:sz w:val="28"/>
          <w:szCs w:val="28"/>
          <w:rtl/>
        </w:rPr>
        <w:t xml:space="preserve"> الذاتي</w:t>
      </w:r>
      <w:r w:rsidRPr="00980C72">
        <w:rPr>
          <w:rFonts w:cs="DanaFajr" w:hint="cs"/>
          <w:sz w:val="28"/>
          <w:szCs w:val="28"/>
          <w:rtl/>
        </w:rPr>
        <w:t>؛</w:t>
      </w:r>
      <w:r w:rsidRPr="00980C72">
        <w:rPr>
          <w:rFonts w:cs="DanaFajr"/>
          <w:sz w:val="28"/>
          <w:szCs w:val="28"/>
          <w:rtl/>
        </w:rPr>
        <w:t xml:space="preserve"> </w:t>
      </w:r>
      <w:r w:rsidRPr="00980C72">
        <w:rPr>
          <w:rFonts w:cs="DanaFajr" w:hint="cs"/>
          <w:sz w:val="28"/>
          <w:szCs w:val="28"/>
          <w:rtl/>
        </w:rPr>
        <w:t>و</w:t>
      </w:r>
      <w:r w:rsidRPr="00980C72">
        <w:rPr>
          <w:rFonts w:cs="DanaFajr"/>
          <w:sz w:val="28"/>
          <w:szCs w:val="28"/>
          <w:rtl/>
        </w:rPr>
        <w:t>الع</w:t>
      </w:r>
      <w:r w:rsidRPr="00980C72">
        <w:rPr>
          <w:rFonts w:cs="DanaFajr" w:hint="cs"/>
          <w:sz w:val="28"/>
          <w:szCs w:val="28"/>
          <w:rtl/>
        </w:rPr>
        <w:t>َ</w:t>
      </w:r>
      <w:r w:rsidRPr="00980C72">
        <w:rPr>
          <w:rFonts w:cs="DanaFajr"/>
          <w:sz w:val="28"/>
          <w:szCs w:val="28"/>
          <w:rtl/>
        </w:rPr>
        <w:t>ر</w:t>
      </w:r>
      <w:r w:rsidRPr="00980C72">
        <w:rPr>
          <w:rFonts w:cs="DanaFajr" w:hint="cs"/>
          <w:sz w:val="28"/>
          <w:szCs w:val="28"/>
          <w:rtl/>
        </w:rPr>
        <w:t>َ</w:t>
      </w:r>
      <w:r w:rsidRPr="00980C72">
        <w:rPr>
          <w:rFonts w:cs="DanaFajr"/>
          <w:sz w:val="28"/>
          <w:szCs w:val="28"/>
          <w:rtl/>
        </w:rPr>
        <w:t xml:space="preserve">ضي. انظر في هذا الشأن: </w:t>
      </w:r>
      <w:r w:rsidRPr="00980C72">
        <w:rPr>
          <w:rFonts w:cs="DanaFajr" w:hint="cs"/>
          <w:sz w:val="28"/>
          <w:szCs w:val="28"/>
          <w:rtl/>
          <w:lang w:bidi="ar-AE"/>
        </w:rPr>
        <w:t xml:space="preserve">سروش، </w:t>
      </w:r>
      <w:r w:rsidRPr="00980C72">
        <w:rPr>
          <w:rFonts w:cs="DanaFajr" w:hint="eastAsia"/>
          <w:sz w:val="27"/>
          <w:szCs w:val="27"/>
          <w:rtl/>
        </w:rPr>
        <w:t>«</w:t>
      </w:r>
      <w:r w:rsidRPr="00980C72">
        <w:rPr>
          <w:rFonts w:cs="DanaFajr" w:hint="cs"/>
          <w:sz w:val="28"/>
          <w:szCs w:val="28"/>
          <w:rtl/>
          <w:lang w:bidi="ar-AE"/>
        </w:rPr>
        <w:t xml:space="preserve">ذاتي وعرضي در </w:t>
      </w:r>
      <w:r w:rsidRPr="004C705F">
        <w:rPr>
          <w:rFonts w:cs="DanaFajr" w:hint="cs"/>
          <w:sz w:val="28"/>
          <w:szCs w:val="28"/>
          <w:rtl/>
          <w:lang w:bidi="ar-AE"/>
        </w:rPr>
        <w:t>أديان</w:t>
      </w:r>
      <w:r w:rsidRPr="004C705F">
        <w:rPr>
          <w:rFonts w:cs="DanaFajr" w:hint="eastAsia"/>
          <w:sz w:val="27"/>
          <w:szCs w:val="27"/>
          <w:rtl/>
        </w:rPr>
        <w:t>»</w:t>
      </w:r>
      <w:r w:rsidRPr="004C705F">
        <w:rPr>
          <w:rFonts w:cs="DanaFajr" w:hint="cs"/>
          <w:sz w:val="28"/>
          <w:szCs w:val="28"/>
          <w:rtl/>
          <w:lang w:bidi="ar-AE"/>
        </w:rPr>
        <w:t xml:space="preserve">، </w:t>
      </w:r>
      <w:r w:rsidRPr="004C705F">
        <w:rPr>
          <w:rFonts w:cs="DanaFajr" w:hint="cs"/>
          <w:sz w:val="28"/>
          <w:szCs w:val="28"/>
          <w:rtl/>
        </w:rPr>
        <w:t xml:space="preserve">في (بسط تجربه نبوي: 29 ـ 82). </w:t>
      </w:r>
    </w:p>
  </w:endnote>
  <w:endnote w:id="70">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هناك مزيد</w:t>
      </w:r>
      <w:r w:rsidRPr="00980C72">
        <w:rPr>
          <w:rFonts w:cs="DanaFajr" w:hint="cs"/>
          <w:sz w:val="28"/>
          <w:szCs w:val="28"/>
          <w:rtl/>
        </w:rPr>
        <w:t>ٌ</w:t>
      </w:r>
      <w:r w:rsidRPr="00980C72">
        <w:rPr>
          <w:rFonts w:cs="DanaFajr"/>
          <w:sz w:val="28"/>
          <w:szCs w:val="28"/>
          <w:rtl/>
        </w:rPr>
        <w:t xml:space="preserve"> من الإيضاح بشأن أنواع العلمانية يمكنك الوقوف عليه في كتابنا (</w:t>
      </w:r>
      <w:r w:rsidRPr="00980C72">
        <w:rPr>
          <w:rFonts w:cs="DanaFajr" w:hint="cs"/>
          <w:sz w:val="28"/>
          <w:szCs w:val="28"/>
          <w:rtl/>
        </w:rPr>
        <w:t>أ</w:t>
      </w:r>
      <w:r w:rsidRPr="00980C72">
        <w:rPr>
          <w:rFonts w:cs="DanaFajr"/>
          <w:sz w:val="28"/>
          <w:szCs w:val="28"/>
          <w:rtl/>
        </w:rPr>
        <w:t xml:space="preserve">خلاق دينداري). </w:t>
      </w:r>
    </w:p>
  </w:endnote>
  <w:endnote w:id="71">
    <w:p w:rsidR="00F41F33" w:rsidRPr="004C705F" w:rsidRDefault="00F41F33" w:rsidP="00904FCB">
      <w:pPr>
        <w:pStyle w:val="aa"/>
        <w:spacing w:line="300" w:lineRule="exact"/>
        <w:ind w:firstLine="0"/>
        <w:rPr>
          <w:rFonts w:cs="DanaFajr"/>
          <w:sz w:val="28"/>
          <w:szCs w:val="28"/>
          <w:rtl/>
          <w:lang w:bidi="ar-AE"/>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انظر: </w:t>
      </w:r>
      <w:r w:rsidRPr="004C705F">
        <w:rPr>
          <w:rFonts w:cs="DanaFajr" w:hint="cs"/>
          <w:sz w:val="28"/>
          <w:szCs w:val="28"/>
          <w:rtl/>
          <w:lang w:bidi="ar-AE"/>
        </w:rPr>
        <w:t xml:space="preserve">سروش، </w:t>
      </w:r>
      <w:r w:rsidRPr="004C705F">
        <w:rPr>
          <w:rFonts w:cs="DanaFajr" w:hint="eastAsia"/>
          <w:sz w:val="27"/>
          <w:szCs w:val="27"/>
          <w:rtl/>
        </w:rPr>
        <w:t>«</w:t>
      </w:r>
      <w:r w:rsidRPr="004C705F">
        <w:rPr>
          <w:rFonts w:cs="DanaFajr" w:hint="cs"/>
          <w:sz w:val="28"/>
          <w:szCs w:val="28"/>
          <w:rtl/>
          <w:lang w:bidi="ar-AE"/>
        </w:rPr>
        <w:t>دين سكولار</w:t>
      </w:r>
      <w:r w:rsidRPr="004C705F">
        <w:rPr>
          <w:rFonts w:cs="DanaFajr" w:hint="eastAsia"/>
          <w:sz w:val="27"/>
          <w:szCs w:val="27"/>
          <w:rtl/>
        </w:rPr>
        <w:t>»</w:t>
      </w:r>
      <w:r w:rsidRPr="004C705F">
        <w:rPr>
          <w:rFonts w:cs="DanaFajr" w:hint="cs"/>
          <w:sz w:val="28"/>
          <w:szCs w:val="28"/>
          <w:rtl/>
          <w:lang w:bidi="ar-AE"/>
        </w:rPr>
        <w:t xml:space="preserve">، في (مدارا ومديريت: 157 ـ 173). </w:t>
      </w:r>
    </w:p>
  </w:endnote>
  <w:endnote w:id="72">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إن من الأمور التي تستحق</w:t>
      </w:r>
      <w:r w:rsidRPr="00980C72">
        <w:rPr>
          <w:rFonts w:cs="DanaFajr" w:hint="cs"/>
          <w:sz w:val="28"/>
          <w:szCs w:val="28"/>
          <w:rtl/>
        </w:rPr>
        <w:t>ّ</w:t>
      </w:r>
      <w:r w:rsidRPr="00980C72">
        <w:rPr>
          <w:rFonts w:cs="DanaFajr"/>
          <w:sz w:val="28"/>
          <w:szCs w:val="28"/>
          <w:rtl/>
        </w:rPr>
        <w:t xml:space="preserve"> التأمل في</w:t>
      </w:r>
      <w:r w:rsidRPr="00980C72">
        <w:rPr>
          <w:rFonts w:cs="DanaFajr" w:hint="cs"/>
          <w:sz w:val="28"/>
          <w:szCs w:val="28"/>
          <w:rtl/>
        </w:rPr>
        <w:t xml:space="preserve"> </w:t>
      </w:r>
      <w:r w:rsidRPr="00980C72">
        <w:rPr>
          <w:rFonts w:cs="DanaFajr"/>
          <w:sz w:val="28"/>
          <w:szCs w:val="28"/>
          <w:rtl/>
        </w:rPr>
        <w:t>ما يتعل</w:t>
      </w:r>
      <w:r w:rsidRPr="00980C72">
        <w:rPr>
          <w:rFonts w:cs="DanaFajr" w:hint="cs"/>
          <w:sz w:val="28"/>
          <w:szCs w:val="28"/>
          <w:rtl/>
        </w:rPr>
        <w:t>َّ</w:t>
      </w:r>
      <w:r w:rsidRPr="00980C72">
        <w:rPr>
          <w:rFonts w:cs="DanaFajr"/>
          <w:sz w:val="28"/>
          <w:szCs w:val="28"/>
          <w:rtl/>
        </w:rPr>
        <w:t>ق بالعلمانية هي أن العلمانية الفكرية أو الفلسفية كانت سائدة بين كبار المفك</w:t>
      </w:r>
      <w:r w:rsidRPr="00980C72">
        <w:rPr>
          <w:rFonts w:cs="DanaFajr" w:hint="cs"/>
          <w:sz w:val="28"/>
          <w:szCs w:val="28"/>
          <w:rtl/>
        </w:rPr>
        <w:t>ِّ</w:t>
      </w:r>
      <w:r w:rsidRPr="00980C72">
        <w:rPr>
          <w:rFonts w:cs="DanaFajr"/>
          <w:sz w:val="28"/>
          <w:szCs w:val="28"/>
          <w:rtl/>
        </w:rPr>
        <w:t>رين المسلمين منذ القدم، فهي ليست ح</w:t>
      </w:r>
      <w:r w:rsidRPr="00980C72">
        <w:rPr>
          <w:rFonts w:cs="DanaFajr" w:hint="cs"/>
          <w:sz w:val="28"/>
          <w:szCs w:val="28"/>
          <w:rtl/>
        </w:rPr>
        <w:t>ِ</w:t>
      </w:r>
      <w:r w:rsidRPr="00980C72">
        <w:rPr>
          <w:rFonts w:cs="DanaFajr"/>
          <w:sz w:val="28"/>
          <w:szCs w:val="28"/>
          <w:rtl/>
        </w:rPr>
        <w:t>ك</w:t>
      </w:r>
      <w:r w:rsidRPr="00980C72">
        <w:rPr>
          <w:rFonts w:cs="DanaFajr" w:hint="cs"/>
          <w:sz w:val="28"/>
          <w:szCs w:val="28"/>
          <w:rtl/>
        </w:rPr>
        <w:t>ْ</w:t>
      </w:r>
      <w:r w:rsidRPr="00980C72">
        <w:rPr>
          <w:rFonts w:cs="DanaFajr"/>
          <w:sz w:val="28"/>
          <w:szCs w:val="28"/>
          <w:rtl/>
        </w:rPr>
        <w:t>راً على العالم الغربي أبداً</w:t>
      </w:r>
      <w:r w:rsidRPr="00980C72">
        <w:rPr>
          <w:rFonts w:cs="DanaFajr" w:hint="cs"/>
          <w:sz w:val="28"/>
          <w:szCs w:val="28"/>
          <w:rtl/>
        </w:rPr>
        <w:t>؛</w:t>
      </w:r>
      <w:r w:rsidRPr="00980C72">
        <w:rPr>
          <w:rFonts w:cs="DanaFajr"/>
          <w:sz w:val="28"/>
          <w:szCs w:val="28"/>
          <w:rtl/>
        </w:rPr>
        <w:t xml:space="preserve"> إذ تعود جذور هذا النوع من العلمانية في العالم الإسلامي إلى القرن الهجري الثاني، حيث بدأت عملية تعريب الكتب الفلسفية الإغريقية، تلاه بعد ذلك ما يعرف اليوم بأسلمة العلوم في</w:t>
      </w:r>
      <w:r w:rsidRPr="00980C72">
        <w:rPr>
          <w:rFonts w:cs="DanaFajr" w:hint="cs"/>
          <w:sz w:val="28"/>
          <w:szCs w:val="28"/>
          <w:rtl/>
        </w:rPr>
        <w:t xml:space="preserve"> </w:t>
      </w:r>
      <w:r w:rsidRPr="00980C72">
        <w:rPr>
          <w:rFonts w:cs="DanaFajr"/>
          <w:sz w:val="28"/>
          <w:szCs w:val="28"/>
          <w:rtl/>
        </w:rPr>
        <w:t>ما يتعل</w:t>
      </w:r>
      <w:r w:rsidRPr="00980C72">
        <w:rPr>
          <w:rFonts w:cs="DanaFajr" w:hint="cs"/>
          <w:sz w:val="28"/>
          <w:szCs w:val="28"/>
          <w:rtl/>
        </w:rPr>
        <w:t>َّ</w:t>
      </w:r>
      <w:r w:rsidRPr="00980C72">
        <w:rPr>
          <w:rFonts w:cs="DanaFajr"/>
          <w:sz w:val="28"/>
          <w:szCs w:val="28"/>
          <w:rtl/>
        </w:rPr>
        <w:t>ق بالفلسفة. بمعنى أن فلاسفة المسلمين جهدوا في أن يقد</w:t>
      </w:r>
      <w:r w:rsidRPr="00980C72">
        <w:rPr>
          <w:rFonts w:cs="DanaFajr" w:hint="cs"/>
          <w:sz w:val="28"/>
          <w:szCs w:val="28"/>
          <w:rtl/>
        </w:rPr>
        <w:t>ِّ</w:t>
      </w:r>
      <w:r w:rsidRPr="00980C72">
        <w:rPr>
          <w:rFonts w:cs="DanaFajr"/>
          <w:sz w:val="28"/>
          <w:szCs w:val="28"/>
          <w:rtl/>
        </w:rPr>
        <w:t>موا تفسيراً وقراءة عن الفلسفة الإغريقية منسجمة مع الإسلام. ومع ذلك كان الفلاسفة المسلمون يسع</w:t>
      </w:r>
      <w:r w:rsidRPr="00980C72">
        <w:rPr>
          <w:rFonts w:cs="DanaFajr" w:hint="cs"/>
          <w:sz w:val="28"/>
          <w:szCs w:val="28"/>
          <w:rtl/>
        </w:rPr>
        <w:t>َ</w:t>
      </w:r>
      <w:r w:rsidRPr="00980C72">
        <w:rPr>
          <w:rFonts w:cs="DanaFajr"/>
          <w:sz w:val="28"/>
          <w:szCs w:val="28"/>
          <w:rtl/>
        </w:rPr>
        <w:t>و</w:t>
      </w:r>
      <w:r w:rsidRPr="00980C72">
        <w:rPr>
          <w:rFonts w:cs="DanaFajr" w:hint="cs"/>
          <w:sz w:val="28"/>
          <w:szCs w:val="28"/>
          <w:rtl/>
        </w:rPr>
        <w:t>ْ</w:t>
      </w:r>
      <w:r w:rsidRPr="00980C72">
        <w:rPr>
          <w:rFonts w:cs="DanaFajr"/>
          <w:sz w:val="28"/>
          <w:szCs w:val="28"/>
          <w:rtl/>
        </w:rPr>
        <w:t>ن إلى البقاء على وفائهم لأسلوب الفلسفة، وأن يبر</w:t>
      </w:r>
      <w:r w:rsidRPr="00980C72">
        <w:rPr>
          <w:rFonts w:cs="DanaFajr" w:hint="cs"/>
          <w:sz w:val="28"/>
          <w:szCs w:val="28"/>
          <w:rtl/>
        </w:rPr>
        <w:t>ِّ</w:t>
      </w:r>
      <w:r w:rsidRPr="00980C72">
        <w:rPr>
          <w:rFonts w:cs="DanaFajr"/>
          <w:sz w:val="28"/>
          <w:szCs w:val="28"/>
          <w:rtl/>
        </w:rPr>
        <w:t>روا أقوالهم بالبراهين الفلسفية التي تتخط</w:t>
      </w:r>
      <w:r w:rsidRPr="00980C72">
        <w:rPr>
          <w:rFonts w:cs="DanaFajr" w:hint="cs"/>
          <w:sz w:val="28"/>
          <w:szCs w:val="28"/>
          <w:rtl/>
        </w:rPr>
        <w:t>ّ</w:t>
      </w:r>
      <w:r w:rsidRPr="00980C72">
        <w:rPr>
          <w:rFonts w:cs="DanaFajr"/>
          <w:sz w:val="28"/>
          <w:szCs w:val="28"/>
          <w:rtl/>
        </w:rPr>
        <w:t>ى الدين. إن ذات الفلسفة علمانية</w:t>
      </w:r>
      <w:r w:rsidRPr="00980C72">
        <w:rPr>
          <w:rFonts w:cs="DanaFajr" w:hint="cs"/>
          <w:sz w:val="28"/>
          <w:szCs w:val="28"/>
          <w:rtl/>
        </w:rPr>
        <w:t>؛</w:t>
      </w:r>
      <w:r w:rsidRPr="00980C72">
        <w:rPr>
          <w:rFonts w:cs="DanaFajr"/>
          <w:sz w:val="28"/>
          <w:szCs w:val="28"/>
          <w:rtl/>
        </w:rPr>
        <w:t xml:space="preserve"> لقيامها على المتبنيات والفرضيات العلمانية، وما كان في ذاته علمانيا</w:t>
      </w:r>
      <w:r w:rsidRPr="00980C72">
        <w:rPr>
          <w:rFonts w:cs="DanaFajr" w:hint="cs"/>
          <w:sz w:val="28"/>
          <w:szCs w:val="28"/>
          <w:rtl/>
        </w:rPr>
        <w:t>ً</w:t>
      </w:r>
      <w:r w:rsidRPr="00980C72">
        <w:rPr>
          <w:rFonts w:cs="DanaFajr"/>
          <w:sz w:val="28"/>
          <w:szCs w:val="28"/>
          <w:rtl/>
        </w:rPr>
        <w:t xml:space="preserve"> لن يكون دينياً بالع</w:t>
      </w:r>
      <w:r w:rsidRPr="00980C72">
        <w:rPr>
          <w:rFonts w:cs="DanaFajr" w:hint="cs"/>
          <w:sz w:val="28"/>
          <w:szCs w:val="28"/>
          <w:rtl/>
        </w:rPr>
        <w:t>َ</w:t>
      </w:r>
      <w:r w:rsidRPr="00980C72">
        <w:rPr>
          <w:rFonts w:cs="DanaFajr"/>
          <w:sz w:val="28"/>
          <w:szCs w:val="28"/>
          <w:rtl/>
        </w:rPr>
        <w:t>ر</w:t>
      </w:r>
      <w:r w:rsidRPr="00980C72">
        <w:rPr>
          <w:rFonts w:cs="DanaFajr" w:hint="cs"/>
          <w:sz w:val="28"/>
          <w:szCs w:val="28"/>
          <w:rtl/>
        </w:rPr>
        <w:t>َ</w:t>
      </w:r>
      <w:r w:rsidRPr="00980C72">
        <w:rPr>
          <w:rFonts w:cs="DanaFajr"/>
          <w:sz w:val="28"/>
          <w:szCs w:val="28"/>
          <w:rtl/>
        </w:rPr>
        <w:t xml:space="preserve">ض. </w:t>
      </w:r>
    </w:p>
  </w:endnote>
  <w:endnote w:id="73">
    <w:p w:rsidR="00F41F33" w:rsidRPr="004C705F" w:rsidRDefault="00F41F33" w:rsidP="00904FCB">
      <w:pPr>
        <w:pStyle w:val="aa"/>
        <w:spacing w:line="300" w:lineRule="exact"/>
        <w:ind w:firstLine="0"/>
        <w:rPr>
          <w:rFonts w:cs="DanaFajr"/>
          <w:sz w:val="28"/>
          <w:szCs w:val="28"/>
          <w:rtl/>
          <w:lang w:bidi="ar-AE"/>
        </w:rPr>
      </w:pPr>
      <w:r w:rsidRPr="004C705F">
        <w:rPr>
          <w:rFonts w:cs="DanaFajr"/>
          <w:sz w:val="28"/>
          <w:szCs w:val="28"/>
          <w:rtl/>
        </w:rPr>
        <w:t>(</w:t>
      </w:r>
      <w:r w:rsidRPr="004C705F">
        <w:rPr>
          <w:rStyle w:val="ac"/>
          <w:rFonts w:cs="DanaFajr"/>
          <w:szCs w:val="28"/>
          <w:vertAlign w:val="baseline"/>
        </w:rPr>
        <w:endnoteRef/>
      </w:r>
      <w:r w:rsidRPr="004C705F">
        <w:rPr>
          <w:rFonts w:cs="DanaFajr"/>
          <w:sz w:val="28"/>
          <w:szCs w:val="28"/>
          <w:rtl/>
        </w:rPr>
        <w:t xml:space="preserve">) </w:t>
      </w:r>
      <w:r w:rsidRPr="004C705F">
        <w:rPr>
          <w:rFonts w:cs="DanaFajr" w:hint="cs"/>
          <w:sz w:val="28"/>
          <w:szCs w:val="28"/>
          <w:rtl/>
        </w:rPr>
        <w:t xml:space="preserve">انظر: سروش، </w:t>
      </w:r>
      <w:r w:rsidRPr="004C705F">
        <w:rPr>
          <w:rFonts w:cs="DanaFajr" w:hint="eastAsia"/>
          <w:sz w:val="27"/>
          <w:szCs w:val="27"/>
          <w:rtl/>
        </w:rPr>
        <w:t>«</w:t>
      </w:r>
      <w:r w:rsidRPr="004C705F">
        <w:rPr>
          <w:rFonts w:cs="DanaFajr" w:hint="cs"/>
          <w:sz w:val="28"/>
          <w:szCs w:val="28"/>
          <w:rtl/>
        </w:rPr>
        <w:t>دينداري تجربه أنديش</w:t>
      </w:r>
      <w:r w:rsidRPr="004C705F">
        <w:rPr>
          <w:rFonts w:cs="DanaFajr" w:hint="eastAsia"/>
          <w:sz w:val="27"/>
          <w:szCs w:val="27"/>
          <w:rtl/>
        </w:rPr>
        <w:t>»</w:t>
      </w:r>
      <w:r w:rsidRPr="004C705F">
        <w:rPr>
          <w:rFonts w:cs="DanaFajr" w:hint="cs"/>
          <w:sz w:val="28"/>
          <w:szCs w:val="28"/>
          <w:rtl/>
          <w:lang w:bidi="ar-AE"/>
        </w:rPr>
        <w:t xml:space="preserve">، سنّت وسكولاريسم: 191. </w:t>
      </w:r>
    </w:p>
  </w:endnote>
  <w:endnote w:id="74">
    <w:p w:rsidR="00F41F33" w:rsidRPr="00980C72" w:rsidRDefault="00F41F33" w:rsidP="00904FCB">
      <w:pPr>
        <w:pStyle w:val="aa"/>
        <w:spacing w:line="300" w:lineRule="exact"/>
        <w:ind w:firstLine="0"/>
        <w:rPr>
          <w:rFonts w:cs="DanaFajr"/>
          <w:sz w:val="28"/>
          <w:szCs w:val="28"/>
          <w:rtl/>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يبدو لي أن موضوع علم الفقه ليس هو </w:t>
      </w:r>
      <w:r w:rsidRPr="00980C72">
        <w:rPr>
          <w:rFonts w:cs="DanaFajr" w:hint="eastAsia"/>
          <w:sz w:val="27"/>
          <w:szCs w:val="27"/>
          <w:rtl/>
        </w:rPr>
        <w:t>«</w:t>
      </w:r>
      <w:r w:rsidRPr="00980C72">
        <w:rPr>
          <w:rFonts w:cs="DanaFajr"/>
          <w:sz w:val="28"/>
          <w:szCs w:val="28"/>
          <w:rtl/>
        </w:rPr>
        <w:t>فعل المكل</w:t>
      </w:r>
      <w:r w:rsidRPr="00980C72">
        <w:rPr>
          <w:rFonts w:cs="DanaFajr" w:hint="cs"/>
          <w:sz w:val="28"/>
          <w:szCs w:val="28"/>
          <w:rtl/>
        </w:rPr>
        <w:t>َّ</w:t>
      </w:r>
      <w:r w:rsidRPr="00980C72">
        <w:rPr>
          <w:rFonts w:cs="DanaFajr"/>
          <w:sz w:val="28"/>
          <w:szCs w:val="28"/>
          <w:rtl/>
        </w:rPr>
        <w:t>ف</w:t>
      </w:r>
      <w:r w:rsidRPr="00980C72">
        <w:rPr>
          <w:rFonts w:cs="DanaFajr" w:hint="eastAsia"/>
          <w:sz w:val="27"/>
          <w:szCs w:val="27"/>
          <w:rtl/>
        </w:rPr>
        <w:t>»</w:t>
      </w:r>
      <w:r w:rsidRPr="00980C72">
        <w:rPr>
          <w:rFonts w:cs="DanaFajr"/>
          <w:sz w:val="28"/>
          <w:szCs w:val="28"/>
          <w:rtl/>
        </w:rPr>
        <w:t>، بل هو الحكم الإلزامي الشرعي. كما أن شأن وآلية الفقه تكمن في مجرد معرفة الواجبات والمحرمات الشرعية، ولذلك لا يمكن ل</w:t>
      </w:r>
      <w:r w:rsidRPr="00980C72">
        <w:rPr>
          <w:rFonts w:cs="DanaFajr" w:hint="cs"/>
          <w:sz w:val="28"/>
          <w:szCs w:val="28"/>
          <w:rtl/>
        </w:rPr>
        <w:t>علم ا</w:t>
      </w:r>
      <w:r w:rsidRPr="00980C72">
        <w:rPr>
          <w:rFonts w:cs="DanaFajr"/>
          <w:sz w:val="28"/>
          <w:szCs w:val="28"/>
          <w:rtl/>
        </w:rPr>
        <w:t>لفقه أن يحلّ محل علم الأخلاق (الذي يتكفل بمعرفة الحقوق والإلزامات الأخلاقية)، ولا يحل</w:t>
      </w:r>
      <w:r w:rsidRPr="00980C72">
        <w:rPr>
          <w:rFonts w:cs="DanaFajr" w:hint="cs"/>
          <w:sz w:val="28"/>
          <w:szCs w:val="28"/>
          <w:rtl/>
        </w:rPr>
        <w:t>ّ</w:t>
      </w:r>
      <w:r w:rsidRPr="00980C72">
        <w:rPr>
          <w:rFonts w:cs="DanaFajr"/>
          <w:sz w:val="28"/>
          <w:szCs w:val="28"/>
          <w:rtl/>
        </w:rPr>
        <w:t xml:space="preserve"> محل علم الحقوق (الذي يتكفل بمعرفة الحقوق والإلزامات الأخلاقية). إن الحل</w:t>
      </w:r>
      <w:r w:rsidRPr="00980C72">
        <w:rPr>
          <w:rFonts w:cs="DanaFajr" w:hint="cs"/>
          <w:sz w:val="28"/>
          <w:szCs w:val="28"/>
          <w:rtl/>
        </w:rPr>
        <w:t>ّ</w:t>
      </w:r>
      <w:r w:rsidRPr="00980C72">
        <w:rPr>
          <w:rFonts w:cs="DanaFajr"/>
          <w:sz w:val="28"/>
          <w:szCs w:val="28"/>
          <w:rtl/>
        </w:rPr>
        <w:t>ية والإباحة تعني عدم الحكم الشرعي الإلزامي، ب</w:t>
      </w:r>
      <w:r w:rsidRPr="00980C72">
        <w:rPr>
          <w:rFonts w:cs="DanaFajr" w:hint="cs"/>
          <w:sz w:val="28"/>
          <w:szCs w:val="28"/>
          <w:rtl/>
        </w:rPr>
        <w:t>َ</w:t>
      </w:r>
      <w:r w:rsidRPr="00980C72">
        <w:rPr>
          <w:rFonts w:cs="DanaFajr"/>
          <w:sz w:val="28"/>
          <w:szCs w:val="28"/>
          <w:rtl/>
        </w:rPr>
        <w:t>ي</w:t>
      </w:r>
      <w:r w:rsidRPr="00980C72">
        <w:rPr>
          <w:rFonts w:cs="DanaFajr" w:hint="cs"/>
          <w:sz w:val="28"/>
          <w:szCs w:val="28"/>
          <w:rtl/>
        </w:rPr>
        <w:t>ْ</w:t>
      </w:r>
      <w:r w:rsidRPr="00980C72">
        <w:rPr>
          <w:rFonts w:cs="DanaFajr"/>
          <w:sz w:val="28"/>
          <w:szCs w:val="28"/>
          <w:rtl/>
        </w:rPr>
        <w:t>د</w:t>
      </w:r>
      <w:r w:rsidRPr="00980C72">
        <w:rPr>
          <w:rFonts w:cs="DanaFajr" w:hint="cs"/>
          <w:sz w:val="28"/>
          <w:szCs w:val="28"/>
          <w:rtl/>
        </w:rPr>
        <w:t>َ</w:t>
      </w:r>
      <w:r w:rsidRPr="00980C72">
        <w:rPr>
          <w:rFonts w:cs="DanaFajr"/>
          <w:sz w:val="28"/>
          <w:szCs w:val="28"/>
          <w:rtl/>
        </w:rPr>
        <w:t xml:space="preserve"> أن فقدان الدليل على الحكم الإلزامي الشرعي إنما يرفع مجرّد المسؤولية الشرعية عن كاهل المكل</w:t>
      </w:r>
      <w:r w:rsidRPr="00980C72">
        <w:rPr>
          <w:rFonts w:cs="DanaFajr" w:hint="cs"/>
          <w:sz w:val="28"/>
          <w:szCs w:val="28"/>
          <w:rtl/>
        </w:rPr>
        <w:t>َّ</w:t>
      </w:r>
      <w:r w:rsidRPr="00980C72">
        <w:rPr>
          <w:rFonts w:cs="DanaFajr"/>
          <w:sz w:val="28"/>
          <w:szCs w:val="28"/>
          <w:rtl/>
        </w:rPr>
        <w:t xml:space="preserve">فين. وإن سكوت الشارع لا يعني أن الفرد ليس مسؤولاً تجاه ذلك المورد من الناحية الأخلاقية أو العرفية. </w:t>
      </w:r>
    </w:p>
  </w:endnote>
  <w:endnote w:id="75">
    <w:p w:rsidR="00F41F33" w:rsidRPr="004C705F"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من الجدير ذكره أن الدكتور سروش أشار إجمالاً إلى هذه المسألة في تضاعيف كلامه، حيث قال: </w:t>
      </w:r>
      <w:r w:rsidRPr="00980C72">
        <w:rPr>
          <w:rFonts w:cs="DanaFajr" w:hint="eastAsia"/>
          <w:sz w:val="27"/>
          <w:szCs w:val="27"/>
          <w:rtl/>
        </w:rPr>
        <w:t>«</w:t>
      </w:r>
      <w:r w:rsidRPr="00980C72">
        <w:rPr>
          <w:rFonts w:cs="DanaFajr"/>
          <w:sz w:val="28"/>
          <w:szCs w:val="28"/>
          <w:rtl/>
        </w:rPr>
        <w:t>وحت</w:t>
      </w:r>
      <w:r w:rsidRPr="00980C72">
        <w:rPr>
          <w:rFonts w:cs="DanaFajr" w:hint="cs"/>
          <w:sz w:val="28"/>
          <w:szCs w:val="28"/>
          <w:rtl/>
        </w:rPr>
        <w:t>ّ</w:t>
      </w:r>
      <w:r w:rsidRPr="00980C72">
        <w:rPr>
          <w:rFonts w:cs="DanaFajr"/>
          <w:sz w:val="28"/>
          <w:szCs w:val="28"/>
          <w:rtl/>
        </w:rPr>
        <w:t>ى في طبقات التدين المعيشي لا تنحصر المسألة في الناحية العملية البحتة فقط؛ لأن جميع الوسائل تنبثق في نهاية المطاف من صلب فلسفة</w:t>
      </w:r>
      <w:r w:rsidRPr="00980C72">
        <w:rPr>
          <w:rFonts w:cs="DanaFajr" w:hint="cs"/>
          <w:sz w:val="28"/>
          <w:szCs w:val="28"/>
          <w:rtl/>
        </w:rPr>
        <w:t>ٍ</w:t>
      </w:r>
      <w:r w:rsidRPr="00980C72">
        <w:rPr>
          <w:rFonts w:cs="DanaFajr"/>
          <w:sz w:val="28"/>
          <w:szCs w:val="28"/>
          <w:rtl/>
        </w:rPr>
        <w:t xml:space="preserve"> واحدة، ولن تستطيع أن تأنس بتلك الوسائل والاستفادة منها بالشكل الأحسن إلا</w:t>
      </w:r>
      <w:r w:rsidRPr="00980C72">
        <w:rPr>
          <w:rFonts w:cs="DanaFajr" w:hint="cs"/>
          <w:sz w:val="28"/>
          <w:szCs w:val="28"/>
          <w:rtl/>
        </w:rPr>
        <w:t>ّ</w:t>
      </w:r>
      <w:r w:rsidRPr="00980C72">
        <w:rPr>
          <w:rFonts w:cs="DanaFajr"/>
          <w:sz w:val="28"/>
          <w:szCs w:val="28"/>
          <w:rtl/>
        </w:rPr>
        <w:t xml:space="preserve"> من خلال التعر</w:t>
      </w:r>
      <w:r w:rsidRPr="00980C72">
        <w:rPr>
          <w:rFonts w:cs="DanaFajr" w:hint="cs"/>
          <w:sz w:val="28"/>
          <w:szCs w:val="28"/>
          <w:rtl/>
        </w:rPr>
        <w:t>ُّ</w:t>
      </w:r>
      <w:r w:rsidRPr="00980C72">
        <w:rPr>
          <w:rFonts w:cs="DanaFajr"/>
          <w:sz w:val="28"/>
          <w:szCs w:val="28"/>
          <w:rtl/>
        </w:rPr>
        <w:t>ف على ثقافتها وفلسفتها، وإلا</w:t>
      </w:r>
      <w:r w:rsidRPr="00980C72">
        <w:rPr>
          <w:rFonts w:cs="DanaFajr" w:hint="cs"/>
          <w:sz w:val="28"/>
          <w:szCs w:val="28"/>
          <w:rtl/>
        </w:rPr>
        <w:t>ّ</w:t>
      </w:r>
      <w:r w:rsidRPr="00980C72">
        <w:rPr>
          <w:rFonts w:cs="DanaFajr"/>
          <w:sz w:val="28"/>
          <w:szCs w:val="28"/>
          <w:rtl/>
        </w:rPr>
        <w:t xml:space="preserve"> فإن تلك الوسائل بالنسبة لك ستبقى أمورا</w:t>
      </w:r>
      <w:r w:rsidRPr="00980C72">
        <w:rPr>
          <w:rFonts w:cs="DanaFajr" w:hint="cs"/>
          <w:sz w:val="28"/>
          <w:szCs w:val="28"/>
          <w:rtl/>
        </w:rPr>
        <w:t>ً</w:t>
      </w:r>
      <w:r w:rsidRPr="00980C72">
        <w:rPr>
          <w:rFonts w:cs="DanaFajr"/>
          <w:sz w:val="28"/>
          <w:szCs w:val="28"/>
          <w:rtl/>
        </w:rPr>
        <w:t xml:space="preserve"> مبهمة، ولن تكون جزءا</w:t>
      </w:r>
      <w:r w:rsidRPr="00980C72">
        <w:rPr>
          <w:rFonts w:cs="DanaFajr" w:hint="cs"/>
          <w:sz w:val="28"/>
          <w:szCs w:val="28"/>
          <w:rtl/>
        </w:rPr>
        <w:t>ً</w:t>
      </w:r>
      <w:r w:rsidRPr="00980C72">
        <w:rPr>
          <w:rFonts w:cs="DanaFajr"/>
          <w:sz w:val="28"/>
          <w:szCs w:val="28"/>
          <w:rtl/>
        </w:rPr>
        <w:t xml:space="preserve"> من حضارتك وثقافتك وحياتك، وسوف تواجه مشكلة دائمة في استعمالها وتوظيفها. وهذا هو مكمن المشاكل والأزمات في العالم الثالث</w:t>
      </w:r>
      <w:r w:rsidRPr="00980C72">
        <w:rPr>
          <w:rFonts w:cs="DanaFajr" w:hint="eastAsia"/>
          <w:sz w:val="27"/>
          <w:szCs w:val="27"/>
          <w:rtl/>
        </w:rPr>
        <w:t>»</w:t>
      </w:r>
      <w:r w:rsidRPr="00980C72">
        <w:rPr>
          <w:rFonts w:cs="DanaFajr" w:hint="cs"/>
          <w:sz w:val="28"/>
          <w:szCs w:val="28"/>
          <w:rtl/>
        </w:rPr>
        <w:t>.</w:t>
      </w:r>
      <w:r w:rsidRPr="00980C72">
        <w:rPr>
          <w:rFonts w:cs="DanaFajr"/>
          <w:sz w:val="28"/>
          <w:szCs w:val="28"/>
          <w:rtl/>
        </w:rPr>
        <w:t xml:space="preserve"> </w:t>
      </w:r>
      <w:r w:rsidRPr="00980C72">
        <w:rPr>
          <w:rFonts w:cs="DanaFajr" w:hint="cs"/>
          <w:sz w:val="28"/>
          <w:szCs w:val="28"/>
          <w:rtl/>
        </w:rPr>
        <w:t xml:space="preserve">(انظر: </w:t>
      </w:r>
      <w:r w:rsidRPr="004C705F">
        <w:rPr>
          <w:rFonts w:cs="DanaFajr" w:hint="cs"/>
          <w:sz w:val="28"/>
          <w:szCs w:val="28"/>
          <w:rtl/>
        </w:rPr>
        <w:t xml:space="preserve">سروش، </w:t>
      </w:r>
      <w:r w:rsidRPr="004C705F">
        <w:rPr>
          <w:rFonts w:cs="DanaFajr" w:hint="eastAsia"/>
          <w:sz w:val="27"/>
          <w:szCs w:val="27"/>
          <w:rtl/>
        </w:rPr>
        <w:t>«</w:t>
      </w:r>
      <w:r w:rsidRPr="004C705F">
        <w:rPr>
          <w:rFonts w:cs="DanaFajr" w:hint="cs"/>
          <w:sz w:val="28"/>
          <w:szCs w:val="28"/>
          <w:rtl/>
        </w:rPr>
        <w:t>دينداري تجربه أنديش</w:t>
      </w:r>
      <w:r w:rsidRPr="004C705F">
        <w:rPr>
          <w:rFonts w:cs="DanaFajr" w:hint="eastAsia"/>
          <w:sz w:val="27"/>
          <w:szCs w:val="27"/>
          <w:rtl/>
        </w:rPr>
        <w:t>»</w:t>
      </w:r>
      <w:r w:rsidRPr="004C705F">
        <w:rPr>
          <w:rFonts w:cs="DanaFajr" w:hint="cs"/>
          <w:sz w:val="28"/>
          <w:szCs w:val="28"/>
          <w:rtl/>
          <w:lang w:bidi="ar-AE"/>
        </w:rPr>
        <w:t xml:space="preserve">، سنّت وسكولاريسم: 197). </w:t>
      </w:r>
    </w:p>
  </w:endnote>
  <w:endnote w:id="76">
    <w:p w:rsidR="00F41F33" w:rsidRPr="00980C72"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lang w:bidi="ar-AE"/>
        </w:rPr>
        <w:t xml:space="preserve">لا شَكَّ في أن مراد الأستاذ الشهيد هو الموسيقى التي عبَّر عنها في كتابه </w:t>
      </w:r>
      <w:r w:rsidRPr="00980C72">
        <w:rPr>
          <w:rFonts w:cs="DanaFajr" w:hint="eastAsia"/>
          <w:sz w:val="24"/>
          <w:szCs w:val="24"/>
          <w:rtl/>
        </w:rPr>
        <w:t>«</w:t>
      </w:r>
      <w:r w:rsidRPr="00980C72">
        <w:rPr>
          <w:rFonts w:cs="DanaFajr" w:hint="cs"/>
          <w:sz w:val="28"/>
          <w:szCs w:val="28"/>
          <w:rtl/>
          <w:lang w:bidi="ar-AE"/>
        </w:rPr>
        <w:t>التعليم والتربية في الإسلام</w:t>
      </w:r>
      <w:r w:rsidRPr="00980C72">
        <w:rPr>
          <w:rFonts w:cs="DanaFajr" w:hint="eastAsia"/>
          <w:sz w:val="24"/>
          <w:szCs w:val="24"/>
          <w:rtl/>
        </w:rPr>
        <w:t>»</w:t>
      </w:r>
      <w:r w:rsidRPr="00980C72">
        <w:rPr>
          <w:rFonts w:cs="DanaFajr" w:hint="cs"/>
          <w:sz w:val="28"/>
          <w:szCs w:val="28"/>
          <w:rtl/>
          <w:lang w:bidi="ar-AE"/>
        </w:rPr>
        <w:t xml:space="preserve"> بأنها تؤدّي إلى خفّة العقل.</w:t>
      </w:r>
    </w:p>
  </w:endnote>
  <w:endnote w:id="77">
    <w:p w:rsidR="00F41F33" w:rsidRPr="00980C72" w:rsidRDefault="00F41F33" w:rsidP="00904FCB">
      <w:pPr>
        <w:pStyle w:val="aa"/>
        <w:spacing w:line="300" w:lineRule="exact"/>
        <w:ind w:firstLine="0"/>
        <w:rPr>
          <w:rFonts w:cs="DanaFajr"/>
          <w:sz w:val="28"/>
          <w:szCs w:val="28"/>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lang w:bidi="ar-AE"/>
        </w:rPr>
        <w:t>آل أعين أسرة علمية شيعية معروفة. ويبدو أنها ذات أصول رومية، عُرفت بـ (آل أعين) لجمال عيون أفرادها. وكان من أبرز وجوه هذه الأسرة زرارة بن أعين، وهو من أصحاب الإمام الصادق. وهو واحدٌ من أبرز ثلاثة نفر مقرَّبين من الإمام الصادق، وهم: هشام بن الحكم، ومحمد بن مسلم، وزرارة بن أعين، وربما أمكن القول بأن هؤلاء الثلاثة هم من أشهر رواة الإمام الصادق</w:t>
      </w:r>
      <w:r w:rsidRPr="00980C72">
        <w:rPr>
          <w:rFonts w:cs="Mosawi" w:hint="cs"/>
          <w:rtl/>
          <w:lang w:bidi="ar-AE"/>
        </w:rPr>
        <w:t>×</w:t>
      </w:r>
      <w:r w:rsidRPr="00715694">
        <w:rPr>
          <w:rFonts w:cs="DanaFajr" w:hint="cs"/>
          <w:sz w:val="28"/>
          <w:szCs w:val="28"/>
          <w:rtl/>
          <w:lang w:bidi="ar-AE"/>
        </w:rPr>
        <w:t xml:space="preserve">. </w:t>
      </w:r>
      <w:r w:rsidRPr="00980C72">
        <w:rPr>
          <w:rFonts w:cs="DanaFajr" w:hint="cs"/>
          <w:sz w:val="28"/>
          <w:szCs w:val="28"/>
          <w:rtl/>
          <w:lang w:bidi="ar-AE"/>
        </w:rPr>
        <w:t>وكان لزرارة ثلاثة إخوة، وهم: بُكَيْر بن أعين، وحمران بن أعين، وعبد الملك بن أعين. وقد اختصّ الأخير بعلم التنجيم، حتّى أنه لم يكن يفعل شيئاً إلاّ بعد الرجوع إلى قواعد هذا العلم، وما يتوصَّل إليه من القضاء بسعد الأشياء ونحسها، وما إذا كانت الطوالع تسمح له بفعل شيءٍ أو تمنعه من الخوض فيه، حتّى شعر بأنه مقيَّدٌ بأغلال هذه الكتب، وفاقد للإرادة، فنصحه الإمام عندها، وأمره بحرق هذه الكتب.</w:t>
      </w:r>
    </w:p>
  </w:endnote>
  <w:endnote w:id="78">
    <w:p w:rsidR="00F41F33" w:rsidRPr="00736BD3" w:rsidRDefault="00F41F33" w:rsidP="00904FCB">
      <w:pPr>
        <w:pStyle w:val="aa"/>
        <w:spacing w:line="300" w:lineRule="exact"/>
        <w:ind w:firstLine="0"/>
        <w:rPr>
          <w:rFonts w:cs="DanaFajr"/>
          <w:sz w:val="28"/>
          <w:szCs w:val="28"/>
          <w:lang w:bidi="ar-AE"/>
        </w:rPr>
      </w:pPr>
      <w:r w:rsidRPr="00736BD3">
        <w:rPr>
          <w:rFonts w:cs="DanaFajr"/>
          <w:sz w:val="28"/>
          <w:szCs w:val="28"/>
          <w:rtl/>
        </w:rPr>
        <w:t>(</w:t>
      </w:r>
      <w:r w:rsidRPr="00736BD3">
        <w:rPr>
          <w:rStyle w:val="ac"/>
          <w:rFonts w:cs="DanaFajr"/>
          <w:szCs w:val="28"/>
          <w:vertAlign w:val="baseline"/>
        </w:rPr>
        <w:endnoteRef/>
      </w:r>
      <w:r w:rsidRPr="00736BD3">
        <w:rPr>
          <w:rFonts w:cs="DanaFajr"/>
          <w:sz w:val="28"/>
          <w:szCs w:val="28"/>
          <w:rtl/>
        </w:rPr>
        <w:t>)</w:t>
      </w:r>
      <w:r w:rsidRPr="00736BD3">
        <w:rPr>
          <w:rFonts w:cs="DanaFajr" w:hint="cs"/>
          <w:sz w:val="28"/>
          <w:szCs w:val="28"/>
          <w:rtl/>
          <w:lang w:bidi="ar-AE"/>
        </w:rPr>
        <w:t xml:space="preserve"> محمد باقر المجلسي، بحار الأنوار 55: 272.</w:t>
      </w:r>
    </w:p>
  </w:endnote>
  <w:endnote w:id="79">
    <w:p w:rsidR="00F41F33" w:rsidRPr="00736BD3" w:rsidRDefault="00F41F33" w:rsidP="00904FCB">
      <w:pPr>
        <w:pStyle w:val="aa"/>
        <w:spacing w:line="300" w:lineRule="exact"/>
        <w:ind w:firstLine="0"/>
        <w:rPr>
          <w:rFonts w:cs="DanaFajr"/>
          <w:sz w:val="28"/>
          <w:szCs w:val="28"/>
          <w:rtl/>
          <w:lang w:bidi="ar-AE"/>
        </w:rPr>
      </w:pPr>
      <w:r w:rsidRPr="00736BD3">
        <w:rPr>
          <w:rFonts w:cs="DanaFajr"/>
          <w:sz w:val="28"/>
          <w:szCs w:val="28"/>
          <w:rtl/>
        </w:rPr>
        <w:t>(</w:t>
      </w:r>
      <w:r w:rsidRPr="00736BD3">
        <w:rPr>
          <w:rStyle w:val="ac"/>
          <w:rFonts w:cs="DanaFajr"/>
          <w:szCs w:val="28"/>
          <w:vertAlign w:val="baseline"/>
        </w:rPr>
        <w:endnoteRef/>
      </w:r>
      <w:r w:rsidRPr="00736BD3">
        <w:rPr>
          <w:rFonts w:cs="DanaFajr"/>
          <w:sz w:val="28"/>
          <w:szCs w:val="28"/>
          <w:rtl/>
        </w:rPr>
        <w:t xml:space="preserve">) </w:t>
      </w:r>
      <w:r w:rsidRPr="00736BD3">
        <w:rPr>
          <w:rFonts w:cs="DanaFajr" w:hint="cs"/>
          <w:sz w:val="28"/>
          <w:szCs w:val="28"/>
          <w:rtl/>
          <w:lang w:bidi="ar-AE"/>
        </w:rPr>
        <w:t>انظر: بحار الأنوار 100: 48.</w:t>
      </w:r>
    </w:p>
  </w:endnote>
  <w:endnote w:id="80">
    <w:p w:rsidR="00F41F33" w:rsidRPr="00980C72"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lang w:bidi="ar-AE"/>
        </w:rPr>
        <w:t>انظر: المصدر نفسه.</w:t>
      </w:r>
    </w:p>
  </w:endnote>
  <w:endnote w:id="81">
    <w:p w:rsidR="00F41F33" w:rsidRPr="00980C72" w:rsidRDefault="00F41F33" w:rsidP="00904FCB">
      <w:pPr>
        <w:pStyle w:val="aa"/>
        <w:spacing w:line="300" w:lineRule="exact"/>
        <w:ind w:firstLine="0"/>
        <w:rPr>
          <w:rFonts w:cs="DanaFajr"/>
          <w:sz w:val="28"/>
          <w:szCs w:val="28"/>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مجلة إيرانية، عنوانها (المرأة المعاصرة) (المعرِّب).</w:t>
      </w:r>
    </w:p>
  </w:endnote>
  <w:endnote w:id="82">
    <w:p w:rsidR="00F41F33" w:rsidRPr="00980C72" w:rsidRDefault="00F41F33" w:rsidP="00904FCB">
      <w:pPr>
        <w:pStyle w:val="aa"/>
        <w:spacing w:line="300" w:lineRule="exact"/>
        <w:ind w:firstLine="0"/>
        <w:rPr>
          <w:rFonts w:cs="DanaFajr"/>
          <w:sz w:val="28"/>
          <w:szCs w:val="28"/>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rPr>
        <w:t>مجلة إيرانية، عنوانها (أفكار الشباب) (المعرِّب).</w:t>
      </w:r>
    </w:p>
  </w:endnote>
  <w:endnote w:id="83">
    <w:p w:rsidR="00F41F33" w:rsidRPr="00980C72"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lang w:bidi="ar-AE"/>
        </w:rPr>
        <w:t>ما بين المعقوفتين إضافة توضيحية من عندنا (المعرِّب).</w:t>
      </w:r>
    </w:p>
  </w:endnote>
  <w:endnote w:id="84">
    <w:p w:rsidR="00F41F33" w:rsidRPr="00980C72" w:rsidRDefault="00F41F33" w:rsidP="00904FCB">
      <w:pPr>
        <w:pStyle w:val="aa"/>
        <w:spacing w:line="300" w:lineRule="exact"/>
        <w:ind w:firstLine="0"/>
        <w:rPr>
          <w:rFonts w:cs="DanaFajr"/>
          <w:sz w:val="28"/>
          <w:szCs w:val="28"/>
          <w:rtl/>
          <w:lang w:bidi="ar-AE"/>
        </w:rPr>
      </w:pPr>
      <w:r w:rsidRPr="00980C72">
        <w:rPr>
          <w:rFonts w:cs="DanaFajr"/>
          <w:sz w:val="28"/>
          <w:szCs w:val="28"/>
          <w:rtl/>
        </w:rPr>
        <w:t>(</w:t>
      </w:r>
      <w:r w:rsidRPr="00980C72">
        <w:rPr>
          <w:rStyle w:val="ac"/>
          <w:rFonts w:cs="DanaFajr"/>
          <w:szCs w:val="28"/>
          <w:vertAlign w:val="baseline"/>
        </w:rPr>
        <w:endnoteRef/>
      </w:r>
      <w:r w:rsidRPr="00980C72">
        <w:rPr>
          <w:rFonts w:cs="DanaFajr"/>
          <w:sz w:val="28"/>
          <w:szCs w:val="28"/>
          <w:rtl/>
        </w:rPr>
        <w:t xml:space="preserve">) </w:t>
      </w:r>
      <w:r w:rsidRPr="00980C72">
        <w:rPr>
          <w:rFonts w:cs="DanaFajr" w:hint="cs"/>
          <w:sz w:val="28"/>
          <w:szCs w:val="28"/>
          <w:rtl/>
          <w:lang w:bidi="ar-AE"/>
        </w:rPr>
        <w:t>تم نشر هذه المقالات في حياة الشهيد الأستاذ مرتضى المطهري ضمن كتاب بعنوان (نظام حقوق المرأة في الإسلام).</w:t>
      </w:r>
    </w:p>
  </w:endnote>
  <w:endnote w:id="85">
    <w:p w:rsidR="00F41F33" w:rsidRPr="00980C72" w:rsidRDefault="00F41F33" w:rsidP="00904320">
      <w:pPr>
        <w:pStyle w:val="aa"/>
        <w:spacing w:line="320" w:lineRule="exact"/>
        <w:ind w:firstLine="0"/>
        <w:rPr>
          <w:rFonts w:ascii="Times New Roman" w:hAnsi="Times New Roman" w:cs="DanaFajr"/>
        </w:rPr>
      </w:pPr>
      <w:r w:rsidRPr="00980C72">
        <w:rPr>
          <w:rFonts w:ascii="Arial" w:hAnsi="Arial" w:cs="DanaFajr"/>
          <w:sz w:val="28"/>
          <w:szCs w:val="28"/>
          <w:rtl/>
          <w:lang w:bidi="ar-LB"/>
        </w:rPr>
        <w:t>(</w:t>
      </w:r>
      <w:r w:rsidRPr="00980C72">
        <w:rPr>
          <w:rStyle w:val="ac"/>
          <w:rFonts w:ascii="Arial" w:hAnsi="Arial" w:cs="DanaFajr"/>
          <w:sz w:val="28"/>
          <w:szCs w:val="28"/>
          <w:vertAlign w:val="baseline"/>
        </w:rPr>
        <w:endnoteRef/>
      </w:r>
      <w:r w:rsidRPr="00980C72">
        <w:rPr>
          <w:rFonts w:ascii="Arial" w:hAnsi="Arial" w:cs="DanaFajr"/>
          <w:sz w:val="28"/>
          <w:szCs w:val="28"/>
          <w:rtl/>
          <w:lang w:bidi="ar-LB"/>
        </w:rPr>
        <w:t xml:space="preserve">) </w:t>
      </w:r>
      <w:r w:rsidRPr="00980C72">
        <w:rPr>
          <w:rFonts w:ascii="Arial" w:hAnsi="Arial" w:cs="DanaFajr" w:hint="cs"/>
          <w:sz w:val="28"/>
          <w:szCs w:val="28"/>
          <w:rtl/>
        </w:rPr>
        <w:t>صحيح البخاري.</w:t>
      </w:r>
    </w:p>
  </w:endnote>
  <w:endnote w:id="86">
    <w:p w:rsidR="00F41F33" w:rsidRPr="00980C72" w:rsidRDefault="00F41F33" w:rsidP="00904320">
      <w:pPr>
        <w:pStyle w:val="aa"/>
        <w:spacing w:line="320" w:lineRule="exact"/>
        <w:ind w:firstLine="0"/>
        <w:rPr>
          <w:rFonts w:ascii="Times New Roman" w:hAnsi="Times New Roman" w:cs="DanaFajr"/>
        </w:rPr>
      </w:pPr>
      <w:r w:rsidRPr="00980C72">
        <w:rPr>
          <w:rFonts w:ascii="Arial" w:hAnsi="Arial" w:cs="DanaFajr"/>
          <w:sz w:val="28"/>
          <w:szCs w:val="28"/>
          <w:rtl/>
          <w:lang w:bidi="ar-LB"/>
        </w:rPr>
        <w:t>(</w:t>
      </w:r>
      <w:r w:rsidRPr="00980C72">
        <w:rPr>
          <w:rStyle w:val="ac"/>
          <w:rFonts w:ascii="Arial" w:hAnsi="Arial" w:cs="DanaFajr"/>
          <w:sz w:val="28"/>
          <w:szCs w:val="28"/>
          <w:vertAlign w:val="baseline"/>
        </w:rPr>
        <w:endnoteRef/>
      </w:r>
      <w:r w:rsidRPr="00980C72">
        <w:rPr>
          <w:rFonts w:ascii="Arial" w:hAnsi="Arial" w:cs="DanaFajr"/>
          <w:sz w:val="28"/>
          <w:szCs w:val="28"/>
          <w:rtl/>
          <w:lang w:bidi="ar-LB"/>
        </w:rPr>
        <w:t xml:space="preserve">) </w:t>
      </w:r>
      <w:r w:rsidRPr="00980C72">
        <w:rPr>
          <w:rFonts w:ascii="Arial" w:hAnsi="Arial" w:cs="DanaFajr" w:hint="cs"/>
          <w:sz w:val="28"/>
          <w:szCs w:val="28"/>
          <w:rtl/>
        </w:rPr>
        <w:t>صحيح مسلم.</w:t>
      </w:r>
    </w:p>
  </w:endnote>
  <w:endnote w:id="87">
    <w:p w:rsidR="00F41F33" w:rsidRPr="008C1FBD" w:rsidRDefault="00F41F33" w:rsidP="00904320">
      <w:pPr>
        <w:pStyle w:val="aa"/>
        <w:spacing w:line="320" w:lineRule="exact"/>
        <w:ind w:firstLine="0"/>
        <w:rPr>
          <w:rFonts w:ascii="Times New Roman" w:hAnsi="Times New Roman" w:cs="DanaFajr"/>
        </w:rPr>
      </w:pPr>
      <w:r w:rsidRPr="008C1FBD">
        <w:rPr>
          <w:rFonts w:ascii="Arial" w:hAnsi="Arial" w:cs="DanaFajr"/>
          <w:sz w:val="28"/>
          <w:szCs w:val="28"/>
          <w:rtl/>
          <w:lang w:bidi="ar-LB"/>
        </w:rPr>
        <w:t>(</w:t>
      </w:r>
      <w:r w:rsidRPr="008C1FBD">
        <w:rPr>
          <w:rStyle w:val="ac"/>
          <w:rFonts w:ascii="Arial" w:hAnsi="Arial" w:cs="DanaFajr"/>
          <w:sz w:val="28"/>
          <w:szCs w:val="28"/>
          <w:vertAlign w:val="baseline"/>
        </w:rPr>
        <w:endnoteRef/>
      </w:r>
      <w:r w:rsidRPr="008C1FBD">
        <w:rPr>
          <w:rFonts w:ascii="Arial" w:hAnsi="Arial" w:cs="DanaFajr"/>
          <w:sz w:val="28"/>
          <w:szCs w:val="28"/>
          <w:rtl/>
          <w:lang w:bidi="ar-LB"/>
        </w:rPr>
        <w:t>)</w:t>
      </w:r>
      <w:r w:rsidRPr="008C1FBD">
        <w:rPr>
          <w:rFonts w:ascii="Arial" w:hAnsi="Arial" w:cs="DanaFajr" w:hint="cs"/>
          <w:sz w:val="27"/>
          <w:rtl/>
        </w:rPr>
        <w:t xml:space="preserve"> </w:t>
      </w:r>
      <w:r w:rsidRPr="008C1FBD">
        <w:rPr>
          <w:rFonts w:ascii="Arial" w:hAnsi="Arial" w:cs="DanaFajr" w:hint="cs"/>
          <w:sz w:val="28"/>
          <w:szCs w:val="28"/>
          <w:rtl/>
        </w:rPr>
        <w:t xml:space="preserve">القرافي، </w:t>
      </w:r>
      <w:r w:rsidRPr="008C1FBD">
        <w:rPr>
          <w:rFonts w:ascii="Arial" w:hAnsi="Arial" w:cs="DanaFajr"/>
          <w:sz w:val="28"/>
          <w:szCs w:val="28"/>
          <w:rtl/>
        </w:rPr>
        <w:t>الذخيرة 3</w:t>
      </w:r>
      <w:r w:rsidRPr="008C1FBD">
        <w:rPr>
          <w:rFonts w:ascii="Arial" w:hAnsi="Arial" w:cs="DanaFajr" w:hint="cs"/>
          <w:sz w:val="28"/>
          <w:szCs w:val="28"/>
          <w:rtl/>
        </w:rPr>
        <w:t xml:space="preserve">: </w:t>
      </w:r>
      <w:r w:rsidRPr="008C1FBD">
        <w:rPr>
          <w:rFonts w:ascii="Arial" w:hAnsi="Arial" w:cs="DanaFajr"/>
          <w:sz w:val="28"/>
          <w:szCs w:val="28"/>
          <w:rtl/>
        </w:rPr>
        <w:t>387</w:t>
      </w:r>
      <w:r w:rsidRPr="008C1FBD">
        <w:rPr>
          <w:rFonts w:ascii="Arial" w:hAnsi="Arial" w:cs="DanaFajr" w:hint="cs"/>
          <w:sz w:val="28"/>
          <w:szCs w:val="28"/>
          <w:rtl/>
        </w:rPr>
        <w:t>.</w:t>
      </w:r>
    </w:p>
  </w:endnote>
  <w:endnote w:id="88">
    <w:p w:rsidR="00F41F33" w:rsidRPr="008C1FBD" w:rsidRDefault="00F41F33" w:rsidP="00904320">
      <w:pPr>
        <w:pStyle w:val="aa"/>
        <w:spacing w:line="320" w:lineRule="exact"/>
        <w:ind w:firstLine="0"/>
        <w:rPr>
          <w:rStyle w:val="arsource"/>
          <w:rFonts w:asciiTheme="majorBidi" w:hAnsiTheme="majorBidi" w:cs="DanaFajr"/>
          <w:rtl/>
          <w:lang w:bidi="ar-LB"/>
        </w:rPr>
      </w:pPr>
      <w:r w:rsidRPr="008C1FBD">
        <w:rPr>
          <w:rFonts w:ascii="Arial" w:hAnsi="Arial" w:cs="DanaFajr"/>
          <w:sz w:val="28"/>
          <w:szCs w:val="28"/>
          <w:rtl/>
          <w:lang w:bidi="ar-LB"/>
        </w:rPr>
        <w:t>(</w:t>
      </w:r>
      <w:r w:rsidRPr="008C1FBD">
        <w:rPr>
          <w:rStyle w:val="ac"/>
          <w:rFonts w:ascii="Arial" w:hAnsi="Arial" w:cs="DanaFajr"/>
          <w:sz w:val="28"/>
          <w:szCs w:val="28"/>
          <w:vertAlign w:val="baseline"/>
        </w:rPr>
        <w:endnoteRef/>
      </w:r>
      <w:r w:rsidRPr="008C1FBD">
        <w:rPr>
          <w:rFonts w:ascii="Arial" w:hAnsi="Arial" w:cs="DanaFajr"/>
          <w:sz w:val="28"/>
          <w:szCs w:val="28"/>
          <w:rtl/>
          <w:lang w:bidi="ar-LB"/>
        </w:rPr>
        <w:t>)</w:t>
      </w:r>
      <w:r w:rsidRPr="008C1FBD">
        <w:rPr>
          <w:rFonts w:ascii="Arial" w:hAnsi="Arial" w:cs="DanaFajr" w:hint="cs"/>
          <w:sz w:val="28"/>
          <w:szCs w:val="28"/>
          <w:rtl/>
          <w:lang w:bidi="ar-LB"/>
        </w:rPr>
        <w:t xml:space="preserve"> </w:t>
      </w:r>
      <w:r w:rsidRPr="008C1FBD">
        <w:rPr>
          <w:rFonts w:ascii="Arial" w:hAnsi="Arial" w:cs="DanaFajr"/>
          <w:sz w:val="28"/>
          <w:szCs w:val="28"/>
          <w:rtl/>
        </w:rPr>
        <w:t>أبو محمّد التوحيدي</w:t>
      </w:r>
      <w:r w:rsidRPr="008C1FBD">
        <w:rPr>
          <w:rFonts w:ascii="Arial" w:hAnsi="Arial" w:cs="DanaFajr" w:hint="cs"/>
          <w:sz w:val="28"/>
          <w:szCs w:val="28"/>
          <w:rtl/>
        </w:rPr>
        <w:t>،</w:t>
      </w:r>
      <w:r w:rsidRPr="008C1FBD">
        <w:rPr>
          <w:rFonts w:ascii="Arial" w:hAnsi="Arial" w:cs="DanaFajr"/>
          <w:sz w:val="28"/>
          <w:szCs w:val="28"/>
          <w:rtl/>
        </w:rPr>
        <w:t xml:space="preserve"> </w:t>
      </w:r>
      <w:r w:rsidRPr="008C1FBD">
        <w:rPr>
          <w:rFonts w:ascii="Arial" w:hAnsi="Arial" w:cs="DanaFajr"/>
          <w:w w:val="90"/>
          <w:sz w:val="28"/>
          <w:szCs w:val="28"/>
          <w:rtl/>
        </w:rPr>
        <w:t>الزاد في أحكام الجهاد</w:t>
      </w:r>
      <w:r w:rsidRPr="008C1FBD">
        <w:rPr>
          <w:rFonts w:ascii="Arial" w:hAnsi="Arial" w:cs="DanaFajr" w:hint="cs"/>
          <w:w w:val="90"/>
          <w:sz w:val="28"/>
          <w:szCs w:val="28"/>
          <w:rtl/>
        </w:rPr>
        <w:t xml:space="preserve">: </w:t>
      </w:r>
      <w:r w:rsidRPr="008C1FBD">
        <w:rPr>
          <w:rFonts w:ascii="Arial" w:hAnsi="Arial" w:cs="DanaFajr"/>
          <w:w w:val="90"/>
          <w:sz w:val="28"/>
          <w:szCs w:val="28"/>
          <w:rtl/>
        </w:rPr>
        <w:t>12</w:t>
      </w:r>
      <w:r w:rsidRPr="008C1FBD">
        <w:rPr>
          <w:rStyle w:val="arsource"/>
          <w:rFonts w:ascii="Arial" w:hAnsi="Arial" w:cs="DanaFajr" w:hint="cs"/>
          <w:sz w:val="28"/>
          <w:szCs w:val="28"/>
          <w:rtl/>
          <w:lang w:bidi="ar-LB"/>
        </w:rPr>
        <w:t xml:space="preserve">. </w:t>
      </w:r>
    </w:p>
    <w:p w:rsidR="00F41F33" w:rsidRPr="00715694" w:rsidRDefault="00F41F33" w:rsidP="00904320">
      <w:pPr>
        <w:pStyle w:val="aa"/>
        <w:bidi w:val="0"/>
        <w:spacing w:line="320" w:lineRule="exact"/>
        <w:ind w:firstLine="0"/>
        <w:rPr>
          <w:rFonts w:ascii="Times New Roman" w:hAnsi="Times New Roman"/>
        </w:rPr>
      </w:pPr>
      <w:r w:rsidRPr="00715694">
        <w:rPr>
          <w:rFonts w:asciiTheme="majorBidi" w:hAnsiTheme="majorBidi" w:cstheme="majorBidi"/>
        </w:rPr>
        <w:t>http://www. tawhed. ws/dl?i=asrk</w:t>
      </w:r>
      <w:r w:rsidRPr="006333E0">
        <w:rPr>
          <w:rFonts w:asciiTheme="majorBidi" w:hAnsiTheme="majorBidi" w:cs="Ya-Ali"/>
        </w:rPr>
        <w:t>33</w:t>
      </w:r>
      <w:r w:rsidRPr="00715694">
        <w:rPr>
          <w:rFonts w:asciiTheme="majorBidi" w:hAnsiTheme="majorBidi" w:cstheme="majorBidi"/>
        </w:rPr>
        <w:t>c</w:t>
      </w:r>
      <w:r w:rsidRPr="006333E0">
        <w:rPr>
          <w:rFonts w:asciiTheme="majorBidi" w:hAnsiTheme="majorBidi" w:cs="Ya-Ali"/>
        </w:rPr>
        <w:t>0</w:t>
      </w:r>
    </w:p>
  </w:endnote>
  <w:endnote w:id="89">
    <w:p w:rsidR="00F41F33" w:rsidRPr="00980C72" w:rsidRDefault="00F41F33" w:rsidP="00904320">
      <w:pPr>
        <w:pStyle w:val="aa"/>
        <w:spacing w:line="320" w:lineRule="exact"/>
        <w:ind w:firstLine="0"/>
        <w:rPr>
          <w:rStyle w:val="arsource"/>
          <w:rFonts w:asciiTheme="majorBidi" w:hAnsiTheme="majorBidi" w:cs="DanaFajr"/>
        </w:rPr>
      </w:pPr>
      <w:r w:rsidRPr="00980C72">
        <w:rPr>
          <w:rFonts w:ascii="Arial" w:hAnsi="Arial" w:cs="DanaFajr"/>
          <w:sz w:val="28"/>
          <w:szCs w:val="28"/>
          <w:rtl/>
        </w:rPr>
        <w:t>(</w:t>
      </w:r>
      <w:r w:rsidRPr="00980C72">
        <w:rPr>
          <w:rStyle w:val="ac"/>
          <w:rFonts w:cs="DanaFajr"/>
          <w:sz w:val="28"/>
          <w:szCs w:val="28"/>
          <w:vertAlign w:val="baseline"/>
        </w:rPr>
        <w:endnoteRef/>
      </w:r>
      <w:r w:rsidRPr="00980C72">
        <w:rPr>
          <w:rFonts w:ascii="Arial" w:hAnsi="Arial" w:cs="DanaFajr"/>
          <w:sz w:val="28"/>
          <w:szCs w:val="28"/>
          <w:rtl/>
        </w:rPr>
        <w:t>) ابن منظور</w:t>
      </w:r>
      <w:r w:rsidRPr="00980C72">
        <w:rPr>
          <w:rFonts w:ascii="Arial" w:hAnsi="Arial" w:cs="DanaFajr" w:hint="cs"/>
          <w:sz w:val="28"/>
          <w:szCs w:val="28"/>
          <w:rtl/>
        </w:rPr>
        <w:t>،</w:t>
      </w:r>
      <w:r w:rsidRPr="00980C72">
        <w:rPr>
          <w:rFonts w:ascii="Arial" w:hAnsi="Arial" w:cs="DanaFajr"/>
          <w:sz w:val="28"/>
          <w:szCs w:val="28"/>
          <w:rtl/>
        </w:rPr>
        <w:t xml:space="preserve"> </w:t>
      </w:r>
      <w:r w:rsidRPr="00980C72">
        <w:rPr>
          <w:rStyle w:val="arsource"/>
          <w:rFonts w:ascii="Arial" w:hAnsi="Arial" w:cs="DanaFajr"/>
          <w:sz w:val="28"/>
          <w:szCs w:val="28"/>
          <w:rtl/>
        </w:rPr>
        <w:t>لسان العرب</w:t>
      </w:r>
      <w:r w:rsidRPr="00980C72">
        <w:rPr>
          <w:rStyle w:val="arsource"/>
          <w:rFonts w:ascii="Arial" w:hAnsi="Arial" w:cs="DanaFajr" w:hint="cs"/>
          <w:sz w:val="28"/>
          <w:szCs w:val="28"/>
          <w:rtl/>
        </w:rPr>
        <w:t>،</w:t>
      </w:r>
      <w:r w:rsidRPr="00980C72">
        <w:rPr>
          <w:rStyle w:val="arsource"/>
          <w:rFonts w:ascii="Arial" w:hAnsi="Arial" w:cs="DanaFajr"/>
          <w:sz w:val="28"/>
          <w:szCs w:val="28"/>
          <w:rtl/>
        </w:rPr>
        <w:t xml:space="preserve"> </w:t>
      </w:r>
      <w:r w:rsidRPr="00980C72">
        <w:rPr>
          <w:rStyle w:val="arsource"/>
          <w:rFonts w:ascii="Arial" w:hAnsi="Arial" w:cs="DanaFajr" w:hint="cs"/>
          <w:sz w:val="28"/>
          <w:szCs w:val="28"/>
          <w:rtl/>
        </w:rPr>
        <w:t>ما</w:t>
      </w:r>
      <w:r w:rsidRPr="00980C72">
        <w:rPr>
          <w:rStyle w:val="arsource"/>
          <w:rFonts w:ascii="Arial" w:hAnsi="Arial" w:cs="DanaFajr" w:hint="cs"/>
          <w:sz w:val="28"/>
          <w:szCs w:val="28"/>
          <w:rtl/>
          <w:lang w:bidi="ar-LB"/>
        </w:rPr>
        <w:t>دة</w:t>
      </w:r>
      <w:r w:rsidRPr="00980C72">
        <w:rPr>
          <w:rStyle w:val="arsource"/>
          <w:rFonts w:ascii="Arial" w:hAnsi="Arial" w:cs="DanaFajr"/>
          <w:sz w:val="28"/>
          <w:szCs w:val="28"/>
          <w:rtl/>
        </w:rPr>
        <w:t xml:space="preserve"> الجهاد</w:t>
      </w:r>
      <w:r w:rsidRPr="00980C72">
        <w:rPr>
          <w:rStyle w:val="arsource"/>
          <w:rFonts w:ascii="Arial" w:hAnsi="Arial" w:cs="DanaFajr" w:hint="cs"/>
          <w:sz w:val="28"/>
          <w:szCs w:val="28"/>
          <w:rtl/>
        </w:rPr>
        <w:t>.</w:t>
      </w:r>
    </w:p>
    <w:p w:rsidR="00F41F33" w:rsidRPr="00715694" w:rsidRDefault="00F41F33" w:rsidP="00904320">
      <w:pPr>
        <w:pStyle w:val="aa"/>
        <w:bidi w:val="0"/>
        <w:spacing w:line="320" w:lineRule="exact"/>
        <w:ind w:firstLine="0"/>
        <w:rPr>
          <w:rFonts w:asciiTheme="majorBidi" w:hAnsiTheme="majorBidi" w:cstheme="majorBidi"/>
        </w:rPr>
      </w:pPr>
      <w:r w:rsidRPr="00715694">
        <w:t>http://www. baheth. info/all. jsp?term</w:t>
      </w:r>
    </w:p>
  </w:endnote>
  <w:endnote w:id="90">
    <w:p w:rsidR="00F41F33" w:rsidRPr="00980C72" w:rsidRDefault="00F41F33" w:rsidP="00904320">
      <w:pPr>
        <w:pStyle w:val="aa"/>
        <w:spacing w:line="320" w:lineRule="exact"/>
        <w:ind w:firstLine="0"/>
        <w:rPr>
          <w:rStyle w:val="arsource"/>
          <w:rFonts w:asciiTheme="majorBidi" w:hAnsiTheme="majorBidi" w:cs="DanaFajr"/>
          <w:rtl/>
        </w:rPr>
      </w:pPr>
      <w:r w:rsidRPr="00980C72">
        <w:rPr>
          <w:rFonts w:ascii="Arial" w:hAnsi="Arial" w:cs="DanaFajr"/>
          <w:sz w:val="28"/>
          <w:szCs w:val="28"/>
          <w:rtl/>
        </w:rPr>
        <w:t>(</w:t>
      </w:r>
      <w:r w:rsidRPr="00980C72">
        <w:rPr>
          <w:rStyle w:val="ac"/>
          <w:rFonts w:cs="DanaFajr"/>
          <w:sz w:val="28"/>
          <w:szCs w:val="28"/>
          <w:vertAlign w:val="baseline"/>
        </w:rPr>
        <w:endnoteRef/>
      </w:r>
      <w:r w:rsidRPr="00980C72">
        <w:rPr>
          <w:rFonts w:ascii="Arial" w:hAnsi="Arial" w:cs="DanaFajr"/>
          <w:sz w:val="28"/>
          <w:szCs w:val="28"/>
          <w:rtl/>
        </w:rPr>
        <w:t xml:space="preserve">) </w:t>
      </w:r>
      <w:r w:rsidRPr="00980C72">
        <w:rPr>
          <w:rFonts w:ascii="Arial" w:hAnsi="Arial" w:cs="DanaFajr"/>
          <w:sz w:val="28"/>
          <w:szCs w:val="28"/>
          <w:rtl/>
          <w:lang w:bidi="ar-EG"/>
        </w:rPr>
        <w:t>ابن فارس</w:t>
      </w:r>
      <w:r w:rsidRPr="00980C72">
        <w:rPr>
          <w:rFonts w:ascii="Arial" w:hAnsi="Arial" w:cs="DanaFajr" w:hint="cs"/>
          <w:sz w:val="28"/>
          <w:szCs w:val="28"/>
          <w:rtl/>
          <w:lang w:bidi="ar-LB"/>
        </w:rPr>
        <w:t>،</w:t>
      </w:r>
      <w:r w:rsidRPr="00980C72">
        <w:rPr>
          <w:rFonts w:ascii="Arial" w:hAnsi="Arial" w:cs="DanaFajr"/>
          <w:sz w:val="28"/>
          <w:szCs w:val="28"/>
          <w:rtl/>
        </w:rPr>
        <w:t xml:space="preserve"> معجم مقاييس اللغة</w:t>
      </w:r>
      <w:r w:rsidRPr="00980C72">
        <w:rPr>
          <w:rFonts w:ascii="Arial" w:hAnsi="Arial" w:cs="DanaFajr" w:hint="cs"/>
          <w:sz w:val="28"/>
          <w:szCs w:val="28"/>
          <w:rtl/>
        </w:rPr>
        <w:t>،</w:t>
      </w:r>
      <w:r w:rsidRPr="00980C72">
        <w:rPr>
          <w:rFonts w:ascii="Arial" w:hAnsi="Arial" w:cs="DanaFajr"/>
          <w:sz w:val="28"/>
          <w:szCs w:val="28"/>
          <w:rtl/>
        </w:rPr>
        <w:t xml:space="preserve"> </w:t>
      </w:r>
      <w:r w:rsidRPr="00980C72">
        <w:rPr>
          <w:rFonts w:ascii="Arial" w:hAnsi="Arial" w:cs="DanaFajr" w:hint="cs"/>
          <w:sz w:val="28"/>
          <w:szCs w:val="28"/>
          <w:rtl/>
        </w:rPr>
        <w:t xml:space="preserve">مادة </w:t>
      </w:r>
      <w:r w:rsidRPr="00980C72">
        <w:rPr>
          <w:rFonts w:ascii="Arial" w:hAnsi="Arial" w:cs="DanaFajr"/>
          <w:sz w:val="28"/>
          <w:szCs w:val="28"/>
          <w:rtl/>
        </w:rPr>
        <w:t>جهد</w:t>
      </w:r>
      <w:r w:rsidRPr="00980C72">
        <w:rPr>
          <w:rFonts w:ascii="Arial" w:hAnsi="Arial" w:cs="DanaFajr" w:hint="cs"/>
          <w:sz w:val="28"/>
          <w:szCs w:val="28"/>
          <w:rtl/>
        </w:rPr>
        <w:t>.</w:t>
      </w:r>
    </w:p>
    <w:p w:rsidR="00F41F33" w:rsidRPr="00715694" w:rsidRDefault="00F41F33" w:rsidP="00904320">
      <w:pPr>
        <w:pStyle w:val="aa"/>
        <w:bidi w:val="0"/>
        <w:spacing w:line="320" w:lineRule="exact"/>
        <w:ind w:firstLine="0"/>
        <w:rPr>
          <w:rFonts w:asciiTheme="majorBidi" w:hAnsiTheme="majorBidi" w:cstheme="majorBidi"/>
        </w:rPr>
      </w:pPr>
      <w:r w:rsidRPr="00715694">
        <w:t>http://www. baheth. info/all. jsp?term</w:t>
      </w:r>
      <w:r w:rsidRPr="00715694">
        <w:rPr>
          <w:rFonts w:asciiTheme="majorBidi" w:hAnsiTheme="majorBidi" w:cstheme="majorBidi"/>
          <w:rtl/>
        </w:rPr>
        <w:t xml:space="preserve"> </w:t>
      </w:r>
    </w:p>
  </w:endnote>
  <w:endnote w:id="91">
    <w:p w:rsidR="00F41F33" w:rsidRPr="008C1FBD" w:rsidRDefault="00F41F33" w:rsidP="00904320">
      <w:pPr>
        <w:pStyle w:val="af"/>
        <w:spacing w:line="320" w:lineRule="exact"/>
        <w:ind w:firstLine="0"/>
        <w:rPr>
          <w:rFonts w:ascii="Arial" w:hAnsi="Arial" w:cs="DanaFajr"/>
          <w:sz w:val="28"/>
          <w:szCs w:val="28"/>
        </w:rPr>
      </w:pPr>
      <w:r w:rsidRPr="008C1FBD">
        <w:rPr>
          <w:rStyle w:val="ac"/>
          <w:rFonts w:ascii="Arial" w:hAnsi="Arial" w:cs="DanaFajr"/>
          <w:sz w:val="28"/>
          <w:szCs w:val="28"/>
          <w:vertAlign w:val="baseline"/>
          <w:rtl/>
        </w:rPr>
        <w:t>(</w:t>
      </w:r>
      <w:r w:rsidRPr="008C1FBD">
        <w:rPr>
          <w:rStyle w:val="ac"/>
          <w:rFonts w:ascii="Arial" w:hAnsi="Arial" w:cs="DanaFajr"/>
          <w:sz w:val="28"/>
          <w:szCs w:val="28"/>
          <w:vertAlign w:val="baseline"/>
        </w:rPr>
        <w:endnoteRef/>
      </w:r>
      <w:r w:rsidRPr="008C1FBD">
        <w:rPr>
          <w:rStyle w:val="ac"/>
          <w:rFonts w:ascii="Arial" w:hAnsi="Arial" w:cs="DanaFajr"/>
          <w:sz w:val="28"/>
          <w:szCs w:val="28"/>
          <w:vertAlign w:val="baseline"/>
          <w:rtl/>
        </w:rPr>
        <w:t xml:space="preserve">) </w:t>
      </w:r>
      <w:r w:rsidRPr="008C1FBD">
        <w:rPr>
          <w:rStyle w:val="fnote1"/>
          <w:rFonts w:ascii="Arial" w:hAnsi="Arial" w:cs="DanaFajr"/>
          <w:sz w:val="28"/>
          <w:szCs w:val="28"/>
          <w:rtl/>
        </w:rPr>
        <w:t>ابن منظور</w:t>
      </w:r>
      <w:r w:rsidRPr="008C1FBD">
        <w:rPr>
          <w:rStyle w:val="fnote1"/>
          <w:rFonts w:ascii="Arial" w:hAnsi="Arial" w:cs="DanaFajr" w:hint="cs"/>
          <w:sz w:val="28"/>
          <w:szCs w:val="28"/>
          <w:rtl/>
        </w:rPr>
        <w:t>،</w:t>
      </w:r>
      <w:r w:rsidRPr="008C1FBD">
        <w:rPr>
          <w:rStyle w:val="fnote1"/>
          <w:rFonts w:ascii="Arial" w:hAnsi="Arial" w:cs="DanaFajr"/>
          <w:sz w:val="28"/>
          <w:szCs w:val="28"/>
          <w:rtl/>
        </w:rPr>
        <w:t xml:space="preserve"> لسان العرب 6</w:t>
      </w:r>
      <w:r w:rsidRPr="008C1FBD">
        <w:rPr>
          <w:rStyle w:val="fnote1"/>
          <w:rFonts w:ascii="Arial" w:hAnsi="Arial" w:cs="DanaFajr" w:hint="cs"/>
          <w:sz w:val="28"/>
          <w:szCs w:val="28"/>
          <w:rtl/>
        </w:rPr>
        <w:t>:</w:t>
      </w:r>
      <w:r w:rsidRPr="008C1FBD">
        <w:rPr>
          <w:rStyle w:val="fnote1"/>
          <w:rFonts w:ascii="Arial" w:hAnsi="Arial" w:cs="DanaFajr"/>
          <w:sz w:val="28"/>
          <w:szCs w:val="28"/>
          <w:rtl/>
        </w:rPr>
        <w:t xml:space="preserve"> 330 ـ 331</w:t>
      </w:r>
      <w:r w:rsidRPr="008C1FBD">
        <w:rPr>
          <w:rStyle w:val="fnote1"/>
          <w:rFonts w:ascii="Arial" w:hAnsi="Arial" w:cs="DanaFajr" w:hint="cs"/>
          <w:sz w:val="28"/>
          <w:szCs w:val="28"/>
          <w:rtl/>
        </w:rPr>
        <w:t>،</w:t>
      </w:r>
      <w:r w:rsidRPr="008C1FBD">
        <w:rPr>
          <w:rStyle w:val="fnote1"/>
          <w:rFonts w:ascii="Arial" w:hAnsi="Arial" w:cs="DanaFajr"/>
          <w:sz w:val="28"/>
          <w:szCs w:val="28"/>
          <w:rtl/>
        </w:rPr>
        <w:t xml:space="preserve"> دار إحياء التراث العربي</w:t>
      </w:r>
      <w:r w:rsidRPr="008C1FBD">
        <w:rPr>
          <w:rStyle w:val="fnote1"/>
          <w:rFonts w:ascii="Arial" w:hAnsi="Arial" w:cs="DanaFajr" w:hint="cs"/>
          <w:sz w:val="28"/>
          <w:szCs w:val="28"/>
          <w:rtl/>
        </w:rPr>
        <w:t xml:space="preserve">، </w:t>
      </w:r>
      <w:r w:rsidRPr="008C1FBD">
        <w:rPr>
          <w:rStyle w:val="fnote1"/>
          <w:rFonts w:ascii="Arial" w:hAnsi="Arial" w:cs="DanaFajr"/>
          <w:sz w:val="28"/>
          <w:szCs w:val="28"/>
          <w:rtl/>
        </w:rPr>
        <w:t>بيروت</w:t>
      </w:r>
      <w:r w:rsidRPr="008C1FBD">
        <w:rPr>
          <w:rStyle w:val="fnote1"/>
          <w:rFonts w:ascii="Arial" w:hAnsi="Arial" w:cs="DanaFajr" w:hint="cs"/>
          <w:sz w:val="28"/>
          <w:szCs w:val="28"/>
          <w:rtl/>
        </w:rPr>
        <w:t>،</w:t>
      </w:r>
      <w:r w:rsidRPr="008C1FBD">
        <w:rPr>
          <w:rStyle w:val="fnote1"/>
          <w:rFonts w:ascii="Arial" w:hAnsi="Arial" w:cs="DanaFajr"/>
          <w:sz w:val="28"/>
          <w:szCs w:val="28"/>
          <w:rtl/>
        </w:rPr>
        <w:t xml:space="preserve"> ط1</w:t>
      </w:r>
      <w:r w:rsidRPr="008C1FBD">
        <w:rPr>
          <w:rStyle w:val="fnote1"/>
          <w:rFonts w:ascii="Arial" w:hAnsi="Arial" w:cs="DanaFajr" w:hint="cs"/>
          <w:sz w:val="28"/>
          <w:szCs w:val="28"/>
          <w:rtl/>
        </w:rPr>
        <w:t>،</w:t>
      </w:r>
      <w:r w:rsidRPr="008C1FBD">
        <w:rPr>
          <w:rStyle w:val="fnote1"/>
          <w:rFonts w:ascii="Arial" w:hAnsi="Arial" w:cs="DanaFajr"/>
          <w:sz w:val="28"/>
          <w:szCs w:val="28"/>
          <w:rtl/>
        </w:rPr>
        <w:t xml:space="preserve"> 1988م. </w:t>
      </w:r>
    </w:p>
  </w:endnote>
  <w:endnote w:id="92">
    <w:p w:rsidR="00F41F33" w:rsidRPr="008C1FBD" w:rsidRDefault="00F41F33" w:rsidP="00904320">
      <w:pPr>
        <w:spacing w:line="320" w:lineRule="exact"/>
        <w:ind w:firstLine="0"/>
        <w:rPr>
          <w:rFonts w:ascii="Arial" w:hAnsi="Arial" w:cs="DanaFajr"/>
          <w:szCs w:val="28"/>
        </w:rPr>
      </w:pPr>
      <w:r w:rsidRPr="008C1FBD">
        <w:rPr>
          <w:rFonts w:ascii="Arial" w:hAnsi="Arial" w:cs="DanaFajr"/>
          <w:szCs w:val="28"/>
          <w:rtl/>
        </w:rPr>
        <w:t>(</w:t>
      </w:r>
      <w:r w:rsidRPr="008C1FBD">
        <w:rPr>
          <w:rStyle w:val="ac"/>
          <w:rFonts w:ascii="Arial" w:hAnsi="Arial" w:cs="DanaFajr"/>
          <w:szCs w:val="28"/>
          <w:vertAlign w:val="baseline"/>
        </w:rPr>
        <w:endnoteRef/>
      </w:r>
      <w:r w:rsidRPr="008C1FBD">
        <w:rPr>
          <w:rFonts w:ascii="Arial" w:hAnsi="Arial" w:cs="DanaFajr"/>
          <w:szCs w:val="28"/>
          <w:rtl/>
        </w:rPr>
        <w:t>)</w:t>
      </w:r>
      <w:r w:rsidRPr="008C1FBD">
        <w:rPr>
          <w:rFonts w:ascii="Arial" w:hAnsi="Arial" w:cs="DanaFajr" w:hint="cs"/>
          <w:szCs w:val="28"/>
          <w:rtl/>
          <w:lang w:bidi="ar-JO"/>
        </w:rPr>
        <w:t xml:space="preserve"> </w:t>
      </w:r>
      <w:r w:rsidRPr="008C1FBD">
        <w:rPr>
          <w:rFonts w:ascii="Arial" w:hAnsi="Arial" w:cs="DanaFajr"/>
          <w:szCs w:val="28"/>
          <w:rtl/>
          <w:lang w:bidi="ar-JO"/>
        </w:rPr>
        <w:t>أكرم حجازي</w:t>
      </w:r>
      <w:r w:rsidRPr="008C1FBD">
        <w:rPr>
          <w:rFonts w:ascii="Arial" w:hAnsi="Arial" w:cs="DanaFajr" w:hint="cs"/>
          <w:szCs w:val="28"/>
          <w:rtl/>
          <w:lang w:bidi="ar-JO"/>
        </w:rPr>
        <w:t>،</w:t>
      </w:r>
      <w:r w:rsidRPr="008C1FBD">
        <w:rPr>
          <w:rFonts w:ascii="Arial" w:hAnsi="Arial" w:cs="DanaFajr"/>
          <w:szCs w:val="28"/>
          <w:rtl/>
          <w:lang w:bidi="ar-JO"/>
        </w:rPr>
        <w:t xml:space="preserve"> رحلة في صميم عقل السلفية الجهادية</w:t>
      </w:r>
      <w:r w:rsidRPr="008C1FBD">
        <w:rPr>
          <w:rFonts w:ascii="Arial" w:hAnsi="Arial" w:cs="DanaFajr" w:hint="cs"/>
          <w:szCs w:val="28"/>
          <w:rtl/>
          <w:lang w:bidi="ar-JO"/>
        </w:rPr>
        <w:t>،</w:t>
      </w:r>
      <w:r w:rsidRPr="008C1FBD">
        <w:rPr>
          <w:rFonts w:ascii="Arial" w:hAnsi="Arial" w:cs="DanaFajr"/>
          <w:szCs w:val="28"/>
          <w:rtl/>
          <w:lang w:bidi="ar-JO"/>
        </w:rPr>
        <w:t xml:space="preserve"> سلسلة دراسات عن السلفية الجهادية</w:t>
      </w:r>
      <w:r w:rsidRPr="008C1FBD">
        <w:rPr>
          <w:rFonts w:ascii="Arial" w:hAnsi="Arial" w:cs="DanaFajr" w:hint="cs"/>
          <w:szCs w:val="28"/>
          <w:rtl/>
          <w:lang w:bidi="ar-JO"/>
        </w:rPr>
        <w:t xml:space="preserve"> </w:t>
      </w:r>
      <w:r w:rsidRPr="008C1FBD">
        <w:rPr>
          <w:rFonts w:ascii="Arial" w:hAnsi="Arial" w:cs="DanaFajr"/>
          <w:szCs w:val="28"/>
          <w:rtl/>
          <w:lang w:bidi="ar-JO"/>
        </w:rPr>
        <w:t>(1)</w:t>
      </w:r>
      <w:r w:rsidRPr="008C1FBD">
        <w:rPr>
          <w:rFonts w:ascii="Arial" w:hAnsi="Arial" w:cs="DanaFajr" w:hint="cs"/>
          <w:szCs w:val="28"/>
          <w:rtl/>
          <w:lang w:bidi="ar-JO"/>
        </w:rPr>
        <w:t>،</w:t>
      </w:r>
      <w:r w:rsidRPr="00980C72">
        <w:rPr>
          <w:rFonts w:ascii="Arial" w:hAnsi="Arial" w:cs="DanaFajr"/>
          <w:szCs w:val="28"/>
          <w:rtl/>
          <w:lang w:bidi="ar-JO"/>
        </w:rPr>
        <w:t xml:space="preserve"> </w:t>
      </w:r>
      <w:r w:rsidRPr="008C1FBD">
        <w:rPr>
          <w:rFonts w:ascii="Arial" w:hAnsi="Arial" w:cs="DanaFajr"/>
          <w:szCs w:val="28"/>
          <w:rtl/>
          <w:lang w:bidi="ar-JO"/>
        </w:rPr>
        <w:t xml:space="preserve">صحيفة القدس العربي </w:t>
      </w:r>
      <w:r w:rsidRPr="008C1FBD">
        <w:rPr>
          <w:rFonts w:ascii="Arial" w:hAnsi="Arial" w:cs="DanaFajr"/>
          <w:szCs w:val="28"/>
          <w:rtl/>
        </w:rPr>
        <w:t>28 ـ 31/9</w:t>
      </w:r>
      <w:r w:rsidRPr="008C1FBD">
        <w:rPr>
          <w:rFonts w:ascii="Arial" w:hAnsi="Arial" w:cs="DanaFajr" w:hint="cs"/>
          <w:szCs w:val="28"/>
          <w:rtl/>
        </w:rPr>
        <w:t>/</w:t>
      </w:r>
      <w:r w:rsidRPr="008C1FBD">
        <w:rPr>
          <w:rFonts w:ascii="Arial" w:hAnsi="Arial" w:cs="DanaFajr"/>
          <w:szCs w:val="28"/>
          <w:rtl/>
        </w:rPr>
        <w:t>2006</w:t>
      </w:r>
      <w:r w:rsidRPr="008C1FBD">
        <w:rPr>
          <w:rFonts w:ascii="Arial" w:hAnsi="Arial" w:cs="DanaFajr" w:hint="cs"/>
          <w:szCs w:val="28"/>
          <w:rtl/>
        </w:rPr>
        <w:t>.</w:t>
      </w:r>
      <w:r w:rsidRPr="008C1FBD">
        <w:rPr>
          <w:rFonts w:ascii="Arial" w:hAnsi="Arial" w:cs="DanaFajr"/>
          <w:szCs w:val="28"/>
          <w:rtl/>
        </w:rPr>
        <w:t xml:space="preserve"> </w:t>
      </w:r>
    </w:p>
  </w:endnote>
  <w:endnote w:id="93">
    <w:p w:rsidR="00F41F33" w:rsidRPr="008C1FBD" w:rsidRDefault="00F41F33" w:rsidP="00904320">
      <w:pPr>
        <w:pStyle w:val="aa"/>
        <w:spacing w:line="320" w:lineRule="exact"/>
        <w:ind w:firstLine="0"/>
        <w:rPr>
          <w:rStyle w:val="arsource"/>
          <w:rFonts w:asciiTheme="majorBidi" w:hAnsiTheme="majorBidi" w:cs="DanaFajr"/>
          <w:rtl/>
        </w:rPr>
      </w:pPr>
      <w:r w:rsidRPr="008C1FBD">
        <w:rPr>
          <w:rFonts w:ascii="Arial" w:hAnsi="Arial" w:cs="DanaFajr"/>
          <w:sz w:val="28"/>
          <w:szCs w:val="28"/>
          <w:rtl/>
          <w:lang w:bidi="ar-LB"/>
        </w:rPr>
        <w:t>(</w:t>
      </w:r>
      <w:r w:rsidRPr="008C1FBD">
        <w:rPr>
          <w:rStyle w:val="ac"/>
          <w:rFonts w:ascii="Arial" w:hAnsi="Arial" w:cs="DanaFajr"/>
          <w:sz w:val="28"/>
          <w:szCs w:val="28"/>
          <w:vertAlign w:val="baseline"/>
        </w:rPr>
        <w:endnoteRef/>
      </w:r>
      <w:r w:rsidRPr="008C1FBD">
        <w:rPr>
          <w:rFonts w:ascii="Arial" w:hAnsi="Arial" w:cs="DanaFajr"/>
          <w:sz w:val="28"/>
          <w:szCs w:val="28"/>
          <w:rtl/>
          <w:lang w:bidi="ar-LB"/>
        </w:rPr>
        <w:t>)</w:t>
      </w:r>
      <w:r w:rsidRPr="008C1FBD">
        <w:rPr>
          <w:rFonts w:ascii="Arial" w:hAnsi="Arial" w:cs="DanaFajr" w:hint="cs"/>
          <w:sz w:val="28"/>
          <w:szCs w:val="28"/>
          <w:rtl/>
          <w:lang w:bidi="ar-LB"/>
        </w:rPr>
        <w:t xml:space="preserve"> </w:t>
      </w:r>
      <w:r w:rsidRPr="008C1FBD">
        <w:rPr>
          <w:rFonts w:ascii="Arial" w:hAnsi="Arial" w:cs="DanaFajr"/>
          <w:sz w:val="28"/>
          <w:szCs w:val="28"/>
          <w:rtl/>
          <w:lang w:bidi="ar-LB"/>
        </w:rPr>
        <w:t>أحمد فريد السكندري</w:t>
      </w:r>
      <w:r w:rsidRPr="008C1FBD">
        <w:rPr>
          <w:rFonts w:ascii="Arial" w:hAnsi="Arial" w:cs="DanaFajr" w:hint="cs"/>
          <w:sz w:val="28"/>
          <w:szCs w:val="28"/>
          <w:rtl/>
          <w:lang w:bidi="ar-LB"/>
        </w:rPr>
        <w:t>،</w:t>
      </w:r>
      <w:r w:rsidRPr="008C1FBD">
        <w:rPr>
          <w:rFonts w:ascii="Arial" w:hAnsi="Arial" w:cs="DanaFajr"/>
          <w:sz w:val="28"/>
          <w:szCs w:val="28"/>
          <w:rtl/>
          <w:lang w:bidi="ar-LB"/>
        </w:rPr>
        <w:t xml:space="preserve"> السلفية أصول وقواعد</w:t>
      </w:r>
      <w:r w:rsidRPr="008C1FBD">
        <w:rPr>
          <w:rFonts w:ascii="Arial" w:hAnsi="Arial" w:cs="DanaFajr" w:hint="cs"/>
          <w:sz w:val="28"/>
          <w:szCs w:val="28"/>
          <w:rtl/>
          <w:lang w:bidi="ar-LB"/>
        </w:rPr>
        <w:t xml:space="preserve">: </w:t>
      </w:r>
      <w:r w:rsidRPr="008C1FBD">
        <w:rPr>
          <w:rFonts w:ascii="Arial" w:hAnsi="Arial" w:cs="DanaFajr"/>
          <w:sz w:val="28"/>
          <w:szCs w:val="28"/>
          <w:rtl/>
          <w:lang w:bidi="ar-LB"/>
        </w:rPr>
        <w:t>4</w:t>
      </w:r>
      <w:r w:rsidRPr="008C1FBD">
        <w:rPr>
          <w:rFonts w:ascii="Arial" w:hAnsi="Arial" w:cs="DanaFajr" w:hint="cs"/>
          <w:sz w:val="28"/>
          <w:szCs w:val="28"/>
          <w:rtl/>
          <w:lang w:bidi="ar-LB"/>
        </w:rPr>
        <w:t xml:space="preserve"> </w:t>
      </w:r>
      <w:r w:rsidRPr="008C1FBD">
        <w:rPr>
          <w:rFonts w:ascii="Arial" w:hAnsi="Arial" w:cs="DanaFajr"/>
          <w:sz w:val="28"/>
          <w:szCs w:val="28"/>
          <w:rtl/>
          <w:lang w:bidi="ar-LB"/>
        </w:rPr>
        <w:t>ـ 5</w:t>
      </w:r>
      <w:r w:rsidRPr="008C1FBD">
        <w:rPr>
          <w:rStyle w:val="arsource"/>
          <w:rFonts w:ascii="Arial" w:hAnsi="Arial" w:cs="DanaFajr" w:hint="cs"/>
          <w:sz w:val="28"/>
          <w:szCs w:val="28"/>
          <w:rtl/>
          <w:lang w:bidi="ar-LB"/>
        </w:rPr>
        <w:t>.</w:t>
      </w:r>
      <w:r w:rsidRPr="008C1FBD">
        <w:rPr>
          <w:rStyle w:val="arsource"/>
          <w:rFonts w:ascii="Arial" w:hAnsi="Arial" w:cs="DanaFajr" w:hint="cs"/>
          <w:sz w:val="28"/>
          <w:szCs w:val="28"/>
          <w:rtl/>
        </w:rPr>
        <w:t xml:space="preserve"> </w:t>
      </w:r>
    </w:p>
    <w:p w:rsidR="00F41F33" w:rsidRPr="00715694" w:rsidRDefault="00F41F33" w:rsidP="00904320">
      <w:pPr>
        <w:pStyle w:val="aa"/>
        <w:bidi w:val="0"/>
        <w:spacing w:line="320" w:lineRule="exact"/>
        <w:ind w:firstLine="0"/>
        <w:rPr>
          <w:rFonts w:asciiTheme="majorBidi" w:hAnsiTheme="majorBidi" w:cstheme="majorBidi"/>
        </w:rPr>
      </w:pPr>
      <w:r w:rsidRPr="00715694">
        <w:t>http://www.alsalafway.com/cms/books. php?action=books&amp;id=</w:t>
      </w:r>
      <w:r w:rsidRPr="006333E0">
        <w:rPr>
          <w:rFonts w:cs="Ya-Ali"/>
        </w:rPr>
        <w:t>286</w:t>
      </w:r>
      <w:r w:rsidRPr="00715694">
        <w:rPr>
          <w:rFonts w:asciiTheme="majorBidi" w:hAnsiTheme="majorBidi" w:cstheme="majorBidi"/>
          <w:rtl/>
        </w:rPr>
        <w:t xml:space="preserve"> </w:t>
      </w:r>
    </w:p>
  </w:endnote>
  <w:endnote w:id="94">
    <w:p w:rsidR="00F41F33" w:rsidRPr="008C1FBD" w:rsidRDefault="00F41F33" w:rsidP="00904320">
      <w:pPr>
        <w:pStyle w:val="aa"/>
        <w:spacing w:line="320" w:lineRule="exact"/>
        <w:ind w:firstLine="0"/>
        <w:rPr>
          <w:rFonts w:cs="DanaFajr"/>
          <w:sz w:val="28"/>
          <w:szCs w:val="28"/>
        </w:rPr>
      </w:pPr>
      <w:r w:rsidRPr="008C1FBD">
        <w:rPr>
          <w:rFonts w:cs="DanaFajr"/>
          <w:sz w:val="28"/>
          <w:szCs w:val="28"/>
          <w:rtl/>
        </w:rPr>
        <w:t>(</w:t>
      </w:r>
      <w:r w:rsidRPr="008C1FBD">
        <w:rPr>
          <w:rStyle w:val="ac"/>
          <w:rFonts w:cs="DanaFajr"/>
          <w:sz w:val="28"/>
          <w:szCs w:val="28"/>
          <w:vertAlign w:val="baseline"/>
        </w:rPr>
        <w:endnoteRef/>
      </w:r>
      <w:r w:rsidRPr="008C1FBD">
        <w:rPr>
          <w:rFonts w:cs="DanaFajr"/>
          <w:sz w:val="28"/>
          <w:szCs w:val="28"/>
          <w:rtl/>
        </w:rPr>
        <w:t>)</w:t>
      </w:r>
      <w:r w:rsidRPr="008C1FBD">
        <w:rPr>
          <w:rFonts w:cs="DanaFajr" w:hint="cs"/>
          <w:sz w:val="28"/>
          <w:szCs w:val="28"/>
          <w:rtl/>
        </w:rPr>
        <w:t xml:space="preserve"> مصطفى</w:t>
      </w:r>
      <w:r w:rsidRPr="008C1FBD">
        <w:rPr>
          <w:rFonts w:cs="DanaFajr"/>
          <w:sz w:val="28"/>
          <w:szCs w:val="28"/>
          <w:rtl/>
        </w:rPr>
        <w:t xml:space="preserve"> </w:t>
      </w:r>
      <w:r w:rsidRPr="008C1FBD">
        <w:rPr>
          <w:rFonts w:cs="DanaFajr" w:hint="cs"/>
          <w:sz w:val="28"/>
          <w:szCs w:val="28"/>
          <w:rtl/>
        </w:rPr>
        <w:t>بن</w:t>
      </w:r>
      <w:r w:rsidRPr="008C1FBD">
        <w:rPr>
          <w:rFonts w:cs="DanaFajr"/>
          <w:sz w:val="28"/>
          <w:szCs w:val="28"/>
          <w:rtl/>
        </w:rPr>
        <w:t xml:space="preserve"> </w:t>
      </w:r>
      <w:r w:rsidRPr="008C1FBD">
        <w:rPr>
          <w:rFonts w:cs="DanaFajr" w:hint="cs"/>
          <w:sz w:val="28"/>
          <w:szCs w:val="28"/>
          <w:rtl/>
        </w:rPr>
        <w:t>محمد</w:t>
      </w:r>
      <w:r w:rsidRPr="008C1FBD">
        <w:rPr>
          <w:rFonts w:cs="DanaFajr"/>
          <w:sz w:val="28"/>
          <w:szCs w:val="28"/>
          <w:rtl/>
        </w:rPr>
        <w:t xml:space="preserve"> </w:t>
      </w:r>
      <w:r w:rsidRPr="008C1FBD">
        <w:rPr>
          <w:rFonts w:cs="DanaFajr" w:hint="cs"/>
          <w:sz w:val="28"/>
          <w:szCs w:val="28"/>
          <w:rtl/>
        </w:rPr>
        <w:t>بن</w:t>
      </w:r>
      <w:r w:rsidRPr="008C1FBD">
        <w:rPr>
          <w:rFonts w:cs="DanaFajr"/>
          <w:sz w:val="28"/>
          <w:szCs w:val="28"/>
          <w:rtl/>
        </w:rPr>
        <w:t xml:space="preserve"> </w:t>
      </w:r>
      <w:r w:rsidRPr="008C1FBD">
        <w:rPr>
          <w:rFonts w:cs="DanaFajr" w:hint="cs"/>
          <w:sz w:val="28"/>
          <w:szCs w:val="28"/>
          <w:rtl/>
        </w:rPr>
        <w:t>مصطفى،</w:t>
      </w:r>
      <w:r w:rsidRPr="008C1FBD">
        <w:rPr>
          <w:rFonts w:cs="DanaFajr"/>
          <w:sz w:val="28"/>
          <w:szCs w:val="28"/>
          <w:rtl/>
        </w:rPr>
        <w:t xml:space="preserve"> </w:t>
      </w:r>
      <w:r w:rsidRPr="008C1FBD">
        <w:rPr>
          <w:rFonts w:cs="DanaFajr" w:hint="cs"/>
          <w:sz w:val="28"/>
          <w:szCs w:val="28"/>
          <w:rtl/>
        </w:rPr>
        <w:t>أصول</w:t>
      </w:r>
      <w:r w:rsidRPr="008C1FBD">
        <w:rPr>
          <w:rFonts w:cs="DanaFajr"/>
          <w:sz w:val="28"/>
          <w:szCs w:val="28"/>
          <w:rtl/>
        </w:rPr>
        <w:t xml:space="preserve"> </w:t>
      </w:r>
      <w:r w:rsidRPr="008C1FBD">
        <w:rPr>
          <w:rFonts w:cs="DanaFajr" w:hint="cs"/>
          <w:sz w:val="28"/>
          <w:szCs w:val="28"/>
          <w:rtl/>
        </w:rPr>
        <w:t>وتاريخ</w:t>
      </w:r>
      <w:r w:rsidRPr="008C1FBD">
        <w:rPr>
          <w:rFonts w:cs="DanaFajr"/>
          <w:sz w:val="28"/>
          <w:szCs w:val="28"/>
          <w:rtl/>
        </w:rPr>
        <w:t xml:space="preserve"> </w:t>
      </w:r>
      <w:r w:rsidRPr="008C1FBD">
        <w:rPr>
          <w:rFonts w:cs="DanaFajr" w:hint="cs"/>
          <w:sz w:val="28"/>
          <w:szCs w:val="28"/>
          <w:rtl/>
        </w:rPr>
        <w:t>الفرق</w:t>
      </w:r>
      <w:r w:rsidRPr="008C1FBD">
        <w:rPr>
          <w:rFonts w:cs="DanaFajr"/>
          <w:sz w:val="28"/>
          <w:szCs w:val="28"/>
          <w:rtl/>
        </w:rPr>
        <w:t xml:space="preserve"> </w:t>
      </w:r>
      <w:r w:rsidRPr="008C1FBD">
        <w:rPr>
          <w:rFonts w:cs="DanaFajr" w:hint="cs"/>
          <w:sz w:val="28"/>
          <w:szCs w:val="28"/>
          <w:rtl/>
        </w:rPr>
        <w:t>الإسلامية،</w:t>
      </w:r>
      <w:r w:rsidRPr="008C1FBD">
        <w:rPr>
          <w:rFonts w:cs="DanaFajr"/>
          <w:sz w:val="28"/>
          <w:szCs w:val="28"/>
          <w:rtl/>
        </w:rPr>
        <w:t xml:space="preserve"> </w:t>
      </w:r>
      <w:r w:rsidRPr="008C1FBD">
        <w:rPr>
          <w:rFonts w:cs="DanaFajr" w:hint="cs"/>
          <w:sz w:val="28"/>
          <w:szCs w:val="28"/>
          <w:rtl/>
        </w:rPr>
        <w:t>مكتبة</w:t>
      </w:r>
      <w:r w:rsidRPr="008C1FBD">
        <w:rPr>
          <w:rFonts w:cs="DanaFajr"/>
          <w:sz w:val="28"/>
          <w:szCs w:val="28"/>
          <w:rtl/>
        </w:rPr>
        <w:t xml:space="preserve"> </w:t>
      </w:r>
      <w:r w:rsidRPr="008C1FBD">
        <w:rPr>
          <w:rFonts w:cs="DanaFajr" w:hint="cs"/>
          <w:sz w:val="28"/>
          <w:szCs w:val="28"/>
          <w:rtl/>
        </w:rPr>
        <w:t>صيد</w:t>
      </w:r>
      <w:r w:rsidRPr="008C1FBD">
        <w:rPr>
          <w:rFonts w:cs="DanaFajr"/>
          <w:sz w:val="28"/>
          <w:szCs w:val="28"/>
          <w:rtl/>
        </w:rPr>
        <w:t xml:space="preserve"> </w:t>
      </w:r>
      <w:r w:rsidRPr="008C1FBD">
        <w:rPr>
          <w:rFonts w:cs="DanaFajr" w:hint="cs"/>
          <w:sz w:val="28"/>
          <w:szCs w:val="28"/>
          <w:rtl/>
        </w:rPr>
        <w:t xml:space="preserve">الفوائد، </w:t>
      </w:r>
      <w:r w:rsidRPr="008C1FBD">
        <w:rPr>
          <w:rFonts w:cs="DanaFajr"/>
          <w:sz w:val="28"/>
          <w:szCs w:val="28"/>
          <w:rtl/>
        </w:rPr>
        <w:t>2003</w:t>
      </w:r>
      <w:r w:rsidRPr="008C1FBD">
        <w:rPr>
          <w:rFonts w:cs="DanaFajr" w:hint="cs"/>
          <w:sz w:val="28"/>
          <w:szCs w:val="28"/>
          <w:rtl/>
        </w:rPr>
        <w:t>.</w:t>
      </w:r>
    </w:p>
  </w:endnote>
  <w:endnote w:id="95">
    <w:p w:rsidR="00F41F33" w:rsidRPr="008C1FBD" w:rsidRDefault="00F41F33" w:rsidP="00904320">
      <w:pPr>
        <w:spacing w:line="320" w:lineRule="exact"/>
        <w:ind w:firstLine="0"/>
        <w:rPr>
          <w:rFonts w:ascii="Arial" w:hAnsi="Arial" w:cs="DanaFajr"/>
          <w:b/>
          <w:bCs/>
          <w:szCs w:val="28"/>
        </w:rPr>
      </w:pPr>
      <w:r w:rsidRPr="008C1FBD">
        <w:rPr>
          <w:rFonts w:ascii="Arial" w:hAnsi="Arial" w:cs="DanaFajr"/>
          <w:szCs w:val="28"/>
          <w:rtl/>
          <w:lang w:bidi="ar-LB"/>
        </w:rPr>
        <w:t>(</w:t>
      </w:r>
      <w:r w:rsidRPr="008C1FBD">
        <w:rPr>
          <w:rStyle w:val="ac"/>
          <w:rFonts w:ascii="Arial" w:hAnsi="Arial" w:cs="DanaFajr"/>
          <w:szCs w:val="28"/>
          <w:vertAlign w:val="baseline"/>
        </w:rPr>
        <w:endnoteRef/>
      </w:r>
      <w:r w:rsidRPr="008C1FBD">
        <w:rPr>
          <w:rFonts w:ascii="Arial" w:hAnsi="Arial" w:cs="DanaFajr"/>
          <w:szCs w:val="28"/>
          <w:rtl/>
          <w:lang w:bidi="ar-LB"/>
        </w:rPr>
        <w:t xml:space="preserve">) </w:t>
      </w:r>
      <w:r w:rsidRPr="008C1FBD">
        <w:rPr>
          <w:rFonts w:ascii="Arial" w:hAnsi="Arial" w:cs="DanaFajr" w:hint="cs"/>
          <w:szCs w:val="28"/>
          <w:rtl/>
        </w:rPr>
        <w:t xml:space="preserve">رضوان </w:t>
      </w:r>
      <w:r w:rsidRPr="008C1FBD">
        <w:rPr>
          <w:rFonts w:ascii="Arial" w:hAnsi="Arial" w:cs="DanaFajr"/>
          <w:szCs w:val="28"/>
          <w:rtl/>
        </w:rPr>
        <w:t>السيد، السلفية: التحو</w:t>
      </w:r>
      <w:r w:rsidRPr="008C1FBD">
        <w:rPr>
          <w:rFonts w:ascii="Arial" w:hAnsi="Arial" w:cs="DanaFajr" w:hint="cs"/>
          <w:szCs w:val="28"/>
          <w:rtl/>
        </w:rPr>
        <w:t>ّ</w:t>
      </w:r>
      <w:r w:rsidRPr="008C1FBD">
        <w:rPr>
          <w:rFonts w:ascii="Arial" w:hAnsi="Arial" w:cs="DanaFajr"/>
          <w:szCs w:val="28"/>
          <w:rtl/>
        </w:rPr>
        <w:t>لات والمآلات</w:t>
      </w:r>
      <w:r w:rsidRPr="008C1FBD">
        <w:rPr>
          <w:rFonts w:ascii="Arial" w:hAnsi="Arial" w:cs="DanaFajr" w:hint="cs"/>
          <w:szCs w:val="28"/>
          <w:rtl/>
        </w:rPr>
        <w:t>،</w:t>
      </w:r>
      <w:r w:rsidRPr="008C1FBD">
        <w:rPr>
          <w:rFonts w:ascii="Arial" w:hAnsi="Arial" w:cs="DanaFajr"/>
          <w:szCs w:val="28"/>
          <w:rtl/>
        </w:rPr>
        <w:t xml:space="preserve"> جريدة الشرق ال</w:t>
      </w:r>
      <w:r w:rsidRPr="008C1FBD">
        <w:rPr>
          <w:rFonts w:ascii="Arial" w:hAnsi="Arial" w:cs="DanaFajr" w:hint="cs"/>
          <w:szCs w:val="28"/>
          <w:rtl/>
        </w:rPr>
        <w:t>أ</w:t>
      </w:r>
      <w:r w:rsidRPr="008C1FBD">
        <w:rPr>
          <w:rFonts w:ascii="Arial" w:hAnsi="Arial" w:cs="DanaFajr"/>
          <w:szCs w:val="28"/>
          <w:rtl/>
        </w:rPr>
        <w:t>وسط</w:t>
      </w:r>
      <w:r w:rsidRPr="008C1FBD">
        <w:rPr>
          <w:rFonts w:ascii="Arial" w:hAnsi="Arial" w:cs="DanaFajr" w:hint="cs"/>
          <w:szCs w:val="28"/>
          <w:rtl/>
        </w:rPr>
        <w:t>،</w:t>
      </w:r>
      <w:r w:rsidRPr="008C1FBD">
        <w:rPr>
          <w:rFonts w:ascii="Arial" w:hAnsi="Arial" w:cs="DanaFajr"/>
          <w:szCs w:val="28"/>
          <w:rtl/>
        </w:rPr>
        <w:t xml:space="preserve"> ال</w:t>
      </w:r>
      <w:r w:rsidRPr="008C1FBD">
        <w:rPr>
          <w:rStyle w:val="headline21"/>
          <w:rFonts w:ascii="Arial" w:hAnsi="Arial" w:cs="DanaFajr"/>
          <w:b w:val="0"/>
          <w:bCs w:val="0"/>
          <w:szCs w:val="28"/>
          <w:rtl/>
        </w:rPr>
        <w:t>ثلاثاء 7 ربيع الثان</w:t>
      </w:r>
      <w:r w:rsidRPr="008C1FBD">
        <w:rPr>
          <w:rStyle w:val="headline21"/>
          <w:rFonts w:ascii="Arial" w:hAnsi="Arial" w:cs="DanaFajr" w:hint="cs"/>
          <w:b w:val="0"/>
          <w:bCs w:val="0"/>
          <w:szCs w:val="28"/>
          <w:rtl/>
        </w:rPr>
        <w:t>ي</w:t>
      </w:r>
      <w:r w:rsidRPr="00980C72">
        <w:rPr>
          <w:rStyle w:val="headline21"/>
          <w:rFonts w:ascii="Arial" w:hAnsi="Arial" w:cs="DanaFajr"/>
          <w:b w:val="0"/>
          <w:bCs w:val="0"/>
          <w:szCs w:val="28"/>
          <w:rtl/>
        </w:rPr>
        <w:t xml:space="preserve"> </w:t>
      </w:r>
      <w:r w:rsidRPr="008C1FBD">
        <w:rPr>
          <w:rStyle w:val="headline21"/>
          <w:rFonts w:ascii="Arial" w:hAnsi="Arial" w:cs="DanaFajr"/>
          <w:b w:val="0"/>
          <w:bCs w:val="0"/>
          <w:szCs w:val="28"/>
          <w:rtl/>
        </w:rPr>
        <w:t>1431هـ</w:t>
      </w:r>
      <w:r w:rsidRPr="008C1FBD">
        <w:rPr>
          <w:rStyle w:val="headline21"/>
          <w:rFonts w:ascii="Arial" w:hAnsi="Arial" w:cs="DanaFajr" w:hint="cs"/>
          <w:b w:val="0"/>
          <w:bCs w:val="0"/>
          <w:szCs w:val="28"/>
          <w:rtl/>
        </w:rPr>
        <w:t xml:space="preserve"> /</w:t>
      </w:r>
      <w:r w:rsidRPr="008C1FBD">
        <w:rPr>
          <w:rStyle w:val="headline21"/>
          <w:rFonts w:ascii="Arial" w:hAnsi="Arial" w:cs="DanaFajr"/>
          <w:b w:val="0"/>
          <w:bCs w:val="0"/>
          <w:szCs w:val="28"/>
          <w:rtl/>
        </w:rPr>
        <w:t xml:space="preserve"> 23 مارس 2010</w:t>
      </w:r>
      <w:r w:rsidRPr="008C1FBD">
        <w:rPr>
          <w:rStyle w:val="headline21"/>
          <w:rFonts w:ascii="Arial" w:hAnsi="Arial" w:cs="DanaFajr" w:hint="cs"/>
          <w:b w:val="0"/>
          <w:bCs w:val="0"/>
          <w:szCs w:val="28"/>
          <w:rtl/>
        </w:rPr>
        <w:t>،</w:t>
      </w:r>
      <w:r w:rsidRPr="008C1FBD">
        <w:rPr>
          <w:rStyle w:val="headline21"/>
          <w:rFonts w:ascii="Arial" w:hAnsi="Arial" w:cs="DanaFajr"/>
          <w:b w:val="0"/>
          <w:bCs w:val="0"/>
          <w:szCs w:val="28"/>
          <w:rtl/>
        </w:rPr>
        <w:t xml:space="preserve"> العدد 11438. </w:t>
      </w:r>
    </w:p>
  </w:endnote>
  <w:endnote w:id="96">
    <w:p w:rsidR="00F41F33" w:rsidRPr="00980C72" w:rsidRDefault="00F41F33" w:rsidP="00904320">
      <w:pPr>
        <w:pStyle w:val="aa"/>
        <w:spacing w:line="320" w:lineRule="exact"/>
        <w:ind w:firstLine="0"/>
        <w:rPr>
          <w:rFonts w:ascii="Arial" w:hAnsi="Arial" w:cs="DanaFajr"/>
          <w:sz w:val="28"/>
          <w:szCs w:val="28"/>
        </w:rPr>
      </w:pPr>
      <w:r w:rsidRPr="00980C72">
        <w:rPr>
          <w:rFonts w:ascii="Arial" w:hAnsi="Arial" w:cs="DanaFajr"/>
          <w:sz w:val="28"/>
          <w:szCs w:val="28"/>
          <w:rtl/>
        </w:rPr>
        <w:t>(</w:t>
      </w:r>
      <w:r w:rsidRPr="00980C72">
        <w:rPr>
          <w:rStyle w:val="ac"/>
          <w:rFonts w:ascii="Arial" w:hAnsi="Arial" w:cs="DanaFajr"/>
          <w:sz w:val="28"/>
          <w:szCs w:val="28"/>
          <w:vertAlign w:val="baseline"/>
        </w:rPr>
        <w:endnoteRef/>
      </w:r>
      <w:r w:rsidRPr="00980C72">
        <w:rPr>
          <w:rFonts w:ascii="Arial" w:hAnsi="Arial" w:cs="DanaFajr"/>
          <w:sz w:val="28"/>
          <w:szCs w:val="28"/>
          <w:rtl/>
        </w:rPr>
        <w:t xml:space="preserve">) </w:t>
      </w:r>
      <w:r w:rsidRPr="00980C72">
        <w:rPr>
          <w:rFonts w:ascii="Arial" w:hAnsi="Arial" w:cs="DanaFajr" w:hint="cs"/>
          <w:sz w:val="28"/>
          <w:szCs w:val="28"/>
          <w:rtl/>
        </w:rPr>
        <w:t xml:space="preserve">أسامة </w:t>
      </w:r>
      <w:r w:rsidRPr="00980C72">
        <w:rPr>
          <w:rFonts w:ascii="Arial" w:hAnsi="Arial" w:cs="DanaFajr"/>
          <w:sz w:val="28"/>
          <w:szCs w:val="28"/>
          <w:rtl/>
        </w:rPr>
        <w:t>حمود، الملامح السبعة للسلفية المعاصرة</w:t>
      </w:r>
      <w:r w:rsidRPr="00980C72">
        <w:rPr>
          <w:rFonts w:ascii="Arial" w:hAnsi="Arial" w:cs="DanaFajr" w:hint="cs"/>
          <w:sz w:val="28"/>
          <w:szCs w:val="28"/>
          <w:rtl/>
        </w:rPr>
        <w:t>.</w:t>
      </w:r>
      <w:r w:rsidRPr="00980C72">
        <w:rPr>
          <w:rFonts w:ascii="Arial" w:hAnsi="Arial" w:cs="DanaFajr"/>
          <w:sz w:val="28"/>
          <w:szCs w:val="28"/>
          <w:rtl/>
        </w:rPr>
        <w:t xml:space="preserve">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http://www.islamonline.net/servlet/Satellite?c=ArticleA_C&amp;cid=</w:t>
      </w:r>
      <w:r w:rsidRPr="006333E0">
        <w:rPr>
          <w:rFonts w:asciiTheme="majorBidi" w:hAnsiTheme="majorBidi" w:cs="Ya-Ali"/>
        </w:rPr>
        <w:t>1175008798476</w:t>
      </w:r>
      <w:r w:rsidRPr="00715694">
        <w:rPr>
          <w:rFonts w:asciiTheme="majorBidi" w:hAnsiTheme="majorBidi" w:cstheme="majorBidi"/>
        </w:rPr>
        <w:t>&amp;pagename=Zone</w:t>
      </w:r>
      <w:r w:rsidRPr="00715694">
        <w:rPr>
          <w:rFonts w:asciiTheme="majorBidi" w:hAnsiTheme="majorBidi" w:cstheme="majorBidi"/>
          <w:rtl/>
        </w:rPr>
        <w:t xml:space="preserve"> ـ </w:t>
      </w:r>
      <w:r w:rsidRPr="00715694">
        <w:rPr>
          <w:rFonts w:asciiTheme="majorBidi" w:hAnsiTheme="majorBidi" w:cstheme="majorBidi"/>
        </w:rPr>
        <w:t>Arabic</w:t>
      </w:r>
      <w:r w:rsidRPr="00715694">
        <w:rPr>
          <w:rFonts w:asciiTheme="majorBidi" w:hAnsiTheme="majorBidi" w:cstheme="majorBidi"/>
          <w:rtl/>
        </w:rPr>
        <w:t xml:space="preserve"> ـ </w:t>
      </w:r>
      <w:r w:rsidRPr="00715694">
        <w:rPr>
          <w:rFonts w:asciiTheme="majorBidi" w:hAnsiTheme="majorBidi" w:cstheme="majorBidi"/>
        </w:rPr>
        <w:t>Daawa%</w:t>
      </w:r>
      <w:r w:rsidRPr="006333E0">
        <w:rPr>
          <w:rFonts w:asciiTheme="majorBidi" w:hAnsiTheme="majorBidi" w:cs="Ya-Ali"/>
        </w:rPr>
        <w:t>2</w:t>
      </w:r>
      <w:r w:rsidRPr="00715694">
        <w:rPr>
          <w:rFonts w:asciiTheme="majorBidi" w:hAnsiTheme="majorBidi" w:cstheme="majorBidi"/>
        </w:rPr>
        <w:t>FDWALayout</w:t>
      </w:r>
    </w:p>
  </w:endnote>
  <w:endnote w:id="97">
    <w:p w:rsidR="00F41F33" w:rsidRPr="008C1FBD" w:rsidRDefault="00F41F33" w:rsidP="00904320">
      <w:pPr>
        <w:pStyle w:val="aa"/>
        <w:spacing w:line="320" w:lineRule="exact"/>
        <w:ind w:firstLine="0"/>
        <w:rPr>
          <w:rFonts w:cs="DanaFajr"/>
          <w:sz w:val="28"/>
          <w:szCs w:val="28"/>
          <w:rtl/>
          <w:lang w:bidi="fa-IR"/>
        </w:rPr>
      </w:pPr>
      <w:r w:rsidRPr="008C1FBD">
        <w:rPr>
          <w:rFonts w:cs="DanaFajr" w:hint="cs"/>
          <w:sz w:val="28"/>
          <w:szCs w:val="28"/>
          <w:rtl/>
        </w:rPr>
        <w:t>(</w:t>
      </w:r>
      <w:r w:rsidRPr="008C1FBD">
        <w:rPr>
          <w:rStyle w:val="ac"/>
          <w:rFonts w:cs="DanaFajr"/>
          <w:sz w:val="28"/>
          <w:szCs w:val="28"/>
          <w:vertAlign w:val="baseline"/>
        </w:rPr>
        <w:endnoteRef/>
      </w:r>
      <w:r w:rsidRPr="008C1FBD">
        <w:rPr>
          <w:rFonts w:cs="DanaFajr"/>
          <w:sz w:val="28"/>
          <w:szCs w:val="28"/>
          <w:rtl/>
        </w:rPr>
        <w:t>)</w:t>
      </w:r>
      <w:r w:rsidRPr="008C1FBD">
        <w:rPr>
          <w:rFonts w:cs="DanaFajr" w:hint="cs"/>
          <w:sz w:val="28"/>
          <w:szCs w:val="28"/>
          <w:rtl/>
          <w:lang w:bidi="fa-IR"/>
        </w:rPr>
        <w:t xml:space="preserve"> ستيفان</w:t>
      </w:r>
      <w:r w:rsidRPr="008C1FBD">
        <w:rPr>
          <w:rFonts w:cs="DanaFajr"/>
          <w:sz w:val="28"/>
          <w:szCs w:val="28"/>
          <w:rtl/>
          <w:lang w:bidi="fa-IR"/>
        </w:rPr>
        <w:t xml:space="preserve"> </w:t>
      </w:r>
      <w:r w:rsidRPr="008C1FBD">
        <w:rPr>
          <w:rFonts w:cs="DanaFajr" w:hint="cs"/>
          <w:sz w:val="28"/>
          <w:szCs w:val="28"/>
          <w:rtl/>
          <w:lang w:bidi="fa-IR"/>
        </w:rPr>
        <w:t>لاكروا، زمن</w:t>
      </w:r>
      <w:r w:rsidRPr="008C1FBD">
        <w:rPr>
          <w:rFonts w:cs="DanaFajr"/>
          <w:sz w:val="28"/>
          <w:szCs w:val="28"/>
          <w:rtl/>
          <w:lang w:bidi="fa-IR"/>
        </w:rPr>
        <w:t xml:space="preserve"> </w:t>
      </w:r>
      <w:r w:rsidRPr="008C1FBD">
        <w:rPr>
          <w:rFonts w:cs="DanaFajr" w:hint="cs"/>
          <w:sz w:val="28"/>
          <w:szCs w:val="28"/>
          <w:rtl/>
          <w:lang w:bidi="fa-IR"/>
        </w:rPr>
        <w:t>الصحوة</w:t>
      </w:r>
      <w:r w:rsidRPr="008C1FBD">
        <w:rPr>
          <w:rFonts w:cs="DanaFajr"/>
          <w:sz w:val="28"/>
          <w:szCs w:val="28"/>
          <w:rtl/>
          <w:lang w:bidi="fa-IR"/>
        </w:rPr>
        <w:t xml:space="preserve">: </w:t>
      </w:r>
      <w:r w:rsidRPr="008C1FBD">
        <w:rPr>
          <w:rFonts w:cs="DanaFajr" w:hint="cs"/>
          <w:sz w:val="28"/>
          <w:szCs w:val="28"/>
          <w:rtl/>
          <w:lang w:bidi="fa-IR"/>
        </w:rPr>
        <w:t>الحركات</w:t>
      </w:r>
      <w:r w:rsidRPr="008C1FBD">
        <w:rPr>
          <w:rFonts w:cs="DanaFajr"/>
          <w:sz w:val="28"/>
          <w:szCs w:val="28"/>
          <w:rtl/>
          <w:lang w:bidi="fa-IR"/>
        </w:rPr>
        <w:t xml:space="preserve"> </w:t>
      </w:r>
      <w:r w:rsidRPr="008C1FBD">
        <w:rPr>
          <w:rFonts w:cs="DanaFajr" w:hint="cs"/>
          <w:sz w:val="28"/>
          <w:szCs w:val="28"/>
          <w:rtl/>
          <w:lang w:bidi="fa-IR"/>
        </w:rPr>
        <w:t>الإسلامية</w:t>
      </w:r>
      <w:r w:rsidRPr="008C1FBD">
        <w:rPr>
          <w:rFonts w:cs="DanaFajr"/>
          <w:sz w:val="28"/>
          <w:szCs w:val="28"/>
          <w:rtl/>
          <w:lang w:bidi="fa-IR"/>
        </w:rPr>
        <w:t xml:space="preserve"> </w:t>
      </w:r>
      <w:r w:rsidRPr="008C1FBD">
        <w:rPr>
          <w:rFonts w:cs="DanaFajr" w:hint="cs"/>
          <w:sz w:val="28"/>
          <w:szCs w:val="28"/>
          <w:rtl/>
          <w:lang w:bidi="fa-IR"/>
        </w:rPr>
        <w:t>المعاصرة</w:t>
      </w:r>
      <w:r w:rsidRPr="008C1FBD">
        <w:rPr>
          <w:rFonts w:cs="DanaFajr"/>
          <w:sz w:val="28"/>
          <w:szCs w:val="28"/>
          <w:rtl/>
          <w:lang w:bidi="fa-IR"/>
        </w:rPr>
        <w:t xml:space="preserve"> </w:t>
      </w:r>
      <w:r w:rsidRPr="008C1FBD">
        <w:rPr>
          <w:rFonts w:cs="DanaFajr" w:hint="cs"/>
          <w:sz w:val="28"/>
          <w:szCs w:val="28"/>
          <w:rtl/>
          <w:lang w:bidi="fa-IR"/>
        </w:rPr>
        <w:t>في</w:t>
      </w:r>
      <w:r w:rsidRPr="008C1FBD">
        <w:rPr>
          <w:rFonts w:cs="DanaFajr"/>
          <w:sz w:val="28"/>
          <w:szCs w:val="28"/>
          <w:rtl/>
          <w:lang w:bidi="fa-IR"/>
        </w:rPr>
        <w:t xml:space="preserve"> </w:t>
      </w:r>
      <w:r w:rsidRPr="008C1FBD">
        <w:rPr>
          <w:rFonts w:cs="DanaFajr" w:hint="cs"/>
          <w:sz w:val="28"/>
          <w:szCs w:val="28"/>
          <w:rtl/>
          <w:lang w:bidi="fa-IR"/>
        </w:rPr>
        <w:t xml:space="preserve">السعودية: </w:t>
      </w:r>
      <w:r w:rsidRPr="008C1FBD">
        <w:rPr>
          <w:rFonts w:cs="DanaFajr"/>
          <w:sz w:val="28"/>
          <w:szCs w:val="28"/>
          <w:rtl/>
          <w:lang w:bidi="fa-IR"/>
        </w:rPr>
        <w:t>19 ـ 22</w:t>
      </w:r>
      <w:r w:rsidRPr="008C1FBD">
        <w:rPr>
          <w:rFonts w:cs="DanaFajr" w:hint="cs"/>
          <w:sz w:val="28"/>
          <w:szCs w:val="28"/>
          <w:rtl/>
          <w:lang w:bidi="fa-IR"/>
        </w:rPr>
        <w:t>، ترجمة:</w:t>
      </w:r>
      <w:r w:rsidRPr="00980C72">
        <w:rPr>
          <w:rFonts w:cs="DanaFajr"/>
          <w:sz w:val="28"/>
          <w:szCs w:val="28"/>
          <w:rtl/>
          <w:lang w:bidi="fa-IR"/>
        </w:rPr>
        <w:t xml:space="preserve"> </w:t>
      </w:r>
      <w:r w:rsidRPr="008C1FBD">
        <w:rPr>
          <w:rFonts w:cs="DanaFajr" w:hint="cs"/>
          <w:sz w:val="28"/>
          <w:szCs w:val="28"/>
          <w:rtl/>
          <w:lang w:bidi="fa-IR"/>
        </w:rPr>
        <w:t>عبد</w:t>
      </w:r>
      <w:r w:rsidRPr="008C1FBD">
        <w:rPr>
          <w:rFonts w:cs="DanaFajr"/>
          <w:sz w:val="28"/>
          <w:szCs w:val="28"/>
          <w:rtl/>
          <w:lang w:bidi="fa-IR"/>
        </w:rPr>
        <w:t xml:space="preserve"> </w:t>
      </w:r>
      <w:r w:rsidRPr="008C1FBD">
        <w:rPr>
          <w:rFonts w:cs="DanaFajr" w:hint="cs"/>
          <w:sz w:val="28"/>
          <w:szCs w:val="28"/>
          <w:rtl/>
          <w:lang w:bidi="fa-IR"/>
        </w:rPr>
        <w:t>الحق</w:t>
      </w:r>
      <w:r w:rsidRPr="008C1FBD">
        <w:rPr>
          <w:rFonts w:cs="DanaFajr"/>
          <w:sz w:val="28"/>
          <w:szCs w:val="28"/>
          <w:rtl/>
          <w:lang w:bidi="fa-IR"/>
        </w:rPr>
        <w:t xml:space="preserve"> </w:t>
      </w:r>
      <w:r w:rsidRPr="008C1FBD">
        <w:rPr>
          <w:rFonts w:cs="DanaFajr" w:hint="cs"/>
          <w:sz w:val="28"/>
          <w:szCs w:val="28"/>
          <w:rtl/>
          <w:lang w:bidi="fa-IR"/>
        </w:rPr>
        <w:t>الزموري، الشبكة</w:t>
      </w:r>
      <w:r w:rsidRPr="008C1FBD">
        <w:rPr>
          <w:rFonts w:cs="DanaFajr"/>
          <w:sz w:val="28"/>
          <w:szCs w:val="28"/>
          <w:rtl/>
          <w:lang w:bidi="fa-IR"/>
        </w:rPr>
        <w:t xml:space="preserve"> </w:t>
      </w:r>
      <w:r w:rsidRPr="008C1FBD">
        <w:rPr>
          <w:rFonts w:cs="DanaFajr" w:hint="cs"/>
          <w:sz w:val="28"/>
          <w:szCs w:val="28"/>
          <w:rtl/>
          <w:lang w:bidi="fa-IR"/>
        </w:rPr>
        <w:t>العربية</w:t>
      </w:r>
      <w:r w:rsidRPr="008C1FBD">
        <w:rPr>
          <w:rFonts w:cs="DanaFajr"/>
          <w:sz w:val="28"/>
          <w:szCs w:val="28"/>
          <w:rtl/>
          <w:lang w:bidi="fa-IR"/>
        </w:rPr>
        <w:t xml:space="preserve"> </w:t>
      </w:r>
      <w:r w:rsidRPr="008C1FBD">
        <w:rPr>
          <w:rFonts w:cs="DanaFajr" w:hint="cs"/>
          <w:sz w:val="28"/>
          <w:szCs w:val="28"/>
          <w:rtl/>
          <w:lang w:bidi="fa-IR"/>
        </w:rPr>
        <w:t>للأبحاث</w:t>
      </w:r>
      <w:r w:rsidRPr="008C1FBD">
        <w:rPr>
          <w:rFonts w:cs="DanaFajr"/>
          <w:sz w:val="28"/>
          <w:szCs w:val="28"/>
          <w:rtl/>
          <w:lang w:bidi="fa-IR"/>
        </w:rPr>
        <w:t xml:space="preserve"> </w:t>
      </w:r>
      <w:r w:rsidRPr="008C1FBD">
        <w:rPr>
          <w:rFonts w:cs="DanaFajr" w:hint="cs"/>
          <w:sz w:val="28"/>
          <w:szCs w:val="28"/>
          <w:rtl/>
          <w:lang w:bidi="fa-IR"/>
        </w:rPr>
        <w:t>والنشر، ط</w:t>
      </w:r>
      <w:r w:rsidRPr="008C1FBD">
        <w:rPr>
          <w:rFonts w:cs="DanaFajr"/>
          <w:sz w:val="28"/>
          <w:szCs w:val="28"/>
          <w:rtl/>
          <w:lang w:bidi="fa-IR"/>
        </w:rPr>
        <w:t>1</w:t>
      </w:r>
      <w:r w:rsidRPr="008C1FBD">
        <w:rPr>
          <w:rFonts w:cs="DanaFajr" w:hint="cs"/>
          <w:sz w:val="28"/>
          <w:szCs w:val="28"/>
          <w:rtl/>
          <w:lang w:bidi="fa-IR"/>
        </w:rPr>
        <w:t>،</w:t>
      </w:r>
      <w:r w:rsidRPr="008C1FBD">
        <w:rPr>
          <w:rFonts w:cs="DanaFajr"/>
          <w:sz w:val="28"/>
          <w:szCs w:val="28"/>
          <w:rtl/>
          <w:lang w:bidi="fa-IR"/>
        </w:rPr>
        <w:t xml:space="preserve"> 2012. </w:t>
      </w:r>
    </w:p>
  </w:endnote>
  <w:endnote w:id="98">
    <w:p w:rsidR="00F41F33" w:rsidRPr="008C1FBD" w:rsidRDefault="00F41F33" w:rsidP="00904320">
      <w:pPr>
        <w:pStyle w:val="aa"/>
        <w:spacing w:line="320" w:lineRule="exact"/>
        <w:ind w:firstLine="0"/>
        <w:rPr>
          <w:rFonts w:cs="DanaFajr"/>
          <w:sz w:val="28"/>
          <w:szCs w:val="28"/>
          <w:rtl/>
          <w:lang w:bidi="fa-IR"/>
        </w:rPr>
      </w:pPr>
      <w:r w:rsidRPr="008C1FBD">
        <w:rPr>
          <w:rFonts w:cs="DanaFajr" w:hint="cs"/>
          <w:sz w:val="28"/>
          <w:szCs w:val="28"/>
          <w:rtl/>
        </w:rPr>
        <w:t>(</w:t>
      </w:r>
      <w:r w:rsidRPr="008C1FBD">
        <w:rPr>
          <w:rStyle w:val="ac"/>
          <w:rFonts w:cs="DanaFajr"/>
          <w:sz w:val="28"/>
          <w:szCs w:val="28"/>
          <w:vertAlign w:val="baseline"/>
        </w:rPr>
        <w:endnoteRef/>
      </w:r>
      <w:r w:rsidRPr="008C1FBD">
        <w:rPr>
          <w:rFonts w:cs="DanaFajr"/>
          <w:sz w:val="28"/>
          <w:szCs w:val="28"/>
          <w:rtl/>
        </w:rPr>
        <w:t>)</w:t>
      </w:r>
      <w:r w:rsidRPr="008C1FBD">
        <w:rPr>
          <w:rFonts w:cs="DanaFajr" w:hint="cs"/>
          <w:sz w:val="28"/>
          <w:szCs w:val="28"/>
          <w:rtl/>
          <w:lang w:bidi="fa-IR"/>
        </w:rPr>
        <w:t xml:space="preserve"> المصدر السابق: </w:t>
      </w:r>
      <w:r w:rsidRPr="008C1FBD">
        <w:rPr>
          <w:rFonts w:cs="DanaFajr"/>
          <w:sz w:val="28"/>
          <w:szCs w:val="28"/>
          <w:rtl/>
          <w:lang w:bidi="fa-IR"/>
        </w:rPr>
        <w:t>19 ـ 2</w:t>
      </w:r>
      <w:r w:rsidRPr="008C1FBD">
        <w:rPr>
          <w:rFonts w:cs="DanaFajr" w:hint="cs"/>
          <w:sz w:val="28"/>
          <w:szCs w:val="28"/>
          <w:rtl/>
          <w:lang w:bidi="ar-LB"/>
        </w:rPr>
        <w:t>6</w:t>
      </w:r>
      <w:r w:rsidRPr="008C1FBD">
        <w:rPr>
          <w:rFonts w:cs="DanaFajr"/>
          <w:sz w:val="28"/>
          <w:szCs w:val="28"/>
          <w:rtl/>
          <w:lang w:bidi="fa-IR"/>
        </w:rPr>
        <w:t xml:space="preserve">. </w:t>
      </w:r>
    </w:p>
  </w:endnote>
  <w:endnote w:id="99">
    <w:p w:rsidR="00F41F33" w:rsidRPr="00980C72" w:rsidRDefault="00F41F33" w:rsidP="00904320">
      <w:pPr>
        <w:spacing w:line="320" w:lineRule="exact"/>
        <w:ind w:firstLine="0"/>
        <w:rPr>
          <w:rStyle w:val="arsource"/>
          <w:rFonts w:ascii="Arial" w:hAnsi="Arial" w:cs="DanaFajr"/>
          <w:szCs w:val="28"/>
        </w:rPr>
      </w:pPr>
      <w:r w:rsidRPr="00980C72">
        <w:rPr>
          <w:rFonts w:ascii="Arial" w:hAnsi="Arial" w:cs="DanaFajr"/>
          <w:szCs w:val="28"/>
          <w:rtl/>
          <w:lang w:bidi="ar-LB"/>
        </w:rPr>
        <w:t>(</w:t>
      </w:r>
      <w:r w:rsidRPr="00980C72">
        <w:rPr>
          <w:rStyle w:val="ac"/>
          <w:rFonts w:ascii="Arial" w:hAnsi="Arial" w:cs="DanaFajr"/>
          <w:szCs w:val="28"/>
          <w:vertAlign w:val="baseline"/>
        </w:rPr>
        <w:endnoteRef/>
      </w:r>
      <w:r w:rsidRPr="00980C72">
        <w:rPr>
          <w:rFonts w:ascii="Arial" w:hAnsi="Arial" w:cs="DanaFajr"/>
          <w:szCs w:val="28"/>
          <w:rtl/>
          <w:lang w:bidi="ar-LB"/>
        </w:rPr>
        <w:t>)</w:t>
      </w:r>
      <w:r w:rsidRPr="00980C72">
        <w:rPr>
          <w:rFonts w:ascii="Arial" w:hAnsi="Arial" w:cs="DanaFajr" w:hint="cs"/>
          <w:szCs w:val="28"/>
          <w:rtl/>
          <w:lang w:bidi="ar-LB"/>
        </w:rPr>
        <w:t xml:space="preserve"> </w:t>
      </w:r>
      <w:r w:rsidRPr="00980C72">
        <w:rPr>
          <w:rFonts w:ascii="Arial" w:hAnsi="Arial" w:cs="DanaFajr"/>
          <w:szCs w:val="28"/>
          <w:rtl/>
        </w:rPr>
        <w:t>عبد الرحيم محمود جاموس</w:t>
      </w:r>
      <w:r w:rsidRPr="00980C72">
        <w:rPr>
          <w:rFonts w:ascii="Arial" w:hAnsi="Arial" w:cs="DanaFajr" w:hint="cs"/>
          <w:szCs w:val="28"/>
          <w:rtl/>
        </w:rPr>
        <w:t xml:space="preserve">، </w:t>
      </w:r>
      <w:r w:rsidRPr="00980C72">
        <w:rPr>
          <w:rFonts w:ascii="Arial" w:hAnsi="Arial" w:cs="DanaFajr"/>
          <w:szCs w:val="28"/>
          <w:rtl/>
        </w:rPr>
        <w:t>السلفيّة: من التحرير إلى التكفير</w:t>
      </w:r>
      <w:r w:rsidRPr="00980C72">
        <w:rPr>
          <w:rStyle w:val="arsource"/>
          <w:rFonts w:ascii="Arial" w:hAnsi="Arial" w:cs="DanaFajr" w:hint="cs"/>
          <w:szCs w:val="28"/>
          <w:rtl/>
        </w:rPr>
        <w:t>.</w:t>
      </w:r>
    </w:p>
    <w:p w:rsidR="00F41F33" w:rsidRPr="00715694" w:rsidRDefault="00F41F33" w:rsidP="00904320">
      <w:pPr>
        <w:bidi w:val="0"/>
        <w:spacing w:line="320" w:lineRule="exact"/>
        <w:ind w:firstLine="0"/>
        <w:rPr>
          <w:rFonts w:ascii="Times New Roman" w:hAnsi="Times New Roman" w:cs="Times New Roman"/>
          <w:w w:val="90"/>
          <w:sz w:val="20"/>
          <w:szCs w:val="20"/>
          <w:lang w:val="x-none" w:eastAsia="x-none"/>
        </w:rPr>
      </w:pPr>
      <w:r w:rsidRPr="00715694">
        <w:rPr>
          <w:rFonts w:asciiTheme="majorBidi" w:hAnsiTheme="majorBidi" w:cstheme="majorBidi"/>
          <w:sz w:val="20"/>
          <w:szCs w:val="20"/>
        </w:rPr>
        <w:t xml:space="preserve"> http: //pulpit. alwatanvoice. com/content</w:t>
      </w:r>
    </w:p>
  </w:endnote>
  <w:endnote w:id="100">
    <w:p w:rsidR="00F41F33" w:rsidRPr="00980C72" w:rsidRDefault="00F41F33" w:rsidP="00904320">
      <w:pPr>
        <w:spacing w:line="320" w:lineRule="exact"/>
        <w:ind w:firstLine="0"/>
        <w:rPr>
          <w:rFonts w:ascii="Arial" w:hAnsi="Arial" w:cs="DanaFajr"/>
          <w:szCs w:val="28"/>
          <w:rtl/>
        </w:rPr>
      </w:pPr>
      <w:r w:rsidRPr="00980C72">
        <w:rPr>
          <w:rFonts w:ascii="Arial" w:hAnsi="Arial" w:cs="DanaFajr"/>
          <w:szCs w:val="28"/>
          <w:rtl/>
        </w:rPr>
        <w:t>(</w:t>
      </w:r>
      <w:r w:rsidRPr="00980C72">
        <w:rPr>
          <w:rStyle w:val="ac"/>
          <w:rFonts w:ascii="Arial" w:hAnsi="Arial" w:cs="DanaFajr"/>
          <w:szCs w:val="28"/>
          <w:vertAlign w:val="baseline"/>
        </w:rPr>
        <w:endnoteRef/>
      </w:r>
      <w:r w:rsidRPr="00980C72">
        <w:rPr>
          <w:rFonts w:ascii="Arial" w:hAnsi="Arial" w:cs="DanaFajr"/>
          <w:szCs w:val="28"/>
          <w:rtl/>
        </w:rPr>
        <w:t>) يلاحظ نواف القديمي أحد الناشطين في التيار وجود خمسة تيارات إسلامية في المشهد الديني داخل السعودية في هذه الأيام</w:t>
      </w:r>
      <w:r w:rsidRPr="00980C72">
        <w:rPr>
          <w:rFonts w:ascii="Arial" w:hAnsi="Arial" w:cs="DanaFajr" w:hint="cs"/>
          <w:szCs w:val="28"/>
          <w:rtl/>
        </w:rPr>
        <w:t>،</w:t>
      </w:r>
      <w:r w:rsidRPr="00980C72">
        <w:rPr>
          <w:rFonts w:ascii="Arial" w:hAnsi="Arial" w:cs="DanaFajr"/>
          <w:szCs w:val="28"/>
          <w:rtl/>
        </w:rPr>
        <w:t xml:space="preserve"> وهي:</w:t>
      </w:r>
    </w:p>
    <w:p w:rsidR="00F41F33" w:rsidRPr="00980C72" w:rsidRDefault="00F41F33" w:rsidP="00904320">
      <w:pPr>
        <w:spacing w:line="320" w:lineRule="exact"/>
        <w:ind w:firstLine="0"/>
        <w:rPr>
          <w:rFonts w:ascii="Arial" w:hAnsi="Arial" w:cs="DanaFajr"/>
          <w:szCs w:val="28"/>
          <w:rtl/>
        </w:rPr>
      </w:pPr>
      <w:r w:rsidRPr="00980C72">
        <w:rPr>
          <w:rFonts w:ascii="Arial" w:hAnsi="Arial" w:cs="DanaFajr" w:hint="cs"/>
          <w:b/>
          <w:bCs/>
          <w:szCs w:val="28"/>
          <w:rtl/>
        </w:rPr>
        <w:t xml:space="preserve">ـ </w:t>
      </w:r>
      <w:r w:rsidRPr="00980C72">
        <w:rPr>
          <w:rFonts w:ascii="Arial" w:hAnsi="Arial" w:cs="DanaFajr"/>
          <w:b/>
          <w:bCs/>
          <w:szCs w:val="28"/>
          <w:rtl/>
        </w:rPr>
        <w:t>التيارات السلفية التقليدية</w:t>
      </w:r>
      <w:r w:rsidRPr="00980C72">
        <w:rPr>
          <w:rFonts w:ascii="Arial" w:hAnsi="Arial" w:cs="DanaFajr" w:hint="cs"/>
          <w:szCs w:val="28"/>
          <w:rtl/>
        </w:rPr>
        <w:t>،</w:t>
      </w:r>
      <w:r w:rsidRPr="00980C72">
        <w:rPr>
          <w:rFonts w:ascii="Arial" w:hAnsi="Arial" w:cs="DanaFajr"/>
          <w:szCs w:val="28"/>
          <w:rtl/>
        </w:rPr>
        <w:t xml:space="preserve"> وتشمل</w:t>
      </w:r>
      <w:r w:rsidRPr="00980C72">
        <w:rPr>
          <w:rFonts w:ascii="Arial" w:hAnsi="Arial" w:cs="DanaFajr" w:hint="cs"/>
          <w:szCs w:val="28"/>
          <w:rtl/>
        </w:rPr>
        <w:t>:</w:t>
      </w:r>
    </w:p>
    <w:p w:rsidR="00F41F33" w:rsidRPr="00980C72" w:rsidRDefault="00F41F33" w:rsidP="00904320">
      <w:pPr>
        <w:spacing w:line="320" w:lineRule="exact"/>
        <w:ind w:firstLine="0"/>
        <w:rPr>
          <w:rFonts w:ascii="Arial" w:hAnsi="Arial" w:cs="DanaFajr"/>
          <w:szCs w:val="28"/>
          <w:rtl/>
        </w:rPr>
      </w:pPr>
      <w:r w:rsidRPr="008C1FBD">
        <w:rPr>
          <w:rFonts w:ascii="Arial" w:hAnsi="Arial" w:cs="DanaFajr" w:hint="cs"/>
          <w:szCs w:val="28"/>
          <w:rtl/>
        </w:rPr>
        <w:t xml:space="preserve">1ـ </w:t>
      </w:r>
      <w:r w:rsidRPr="008C1FBD">
        <w:rPr>
          <w:rFonts w:ascii="Arial" w:hAnsi="Arial" w:cs="DanaFajr"/>
          <w:szCs w:val="28"/>
          <w:rtl/>
        </w:rPr>
        <w:t>التيار السلفي الرسمي</w:t>
      </w:r>
      <w:r w:rsidRPr="008C1FBD">
        <w:rPr>
          <w:rFonts w:ascii="Arial" w:hAnsi="Arial" w:cs="DanaFajr" w:hint="cs"/>
          <w:szCs w:val="28"/>
          <w:rtl/>
        </w:rPr>
        <w:t>،</w:t>
      </w:r>
      <w:r w:rsidRPr="008C1FBD">
        <w:rPr>
          <w:rFonts w:ascii="Arial" w:hAnsi="Arial" w:cs="DanaFajr"/>
          <w:szCs w:val="28"/>
          <w:rtl/>
        </w:rPr>
        <w:t xml:space="preserve"> ممث</w:t>
      </w:r>
      <w:r w:rsidRPr="008C1FBD">
        <w:rPr>
          <w:rFonts w:ascii="Arial" w:hAnsi="Arial" w:cs="DanaFajr" w:hint="cs"/>
          <w:szCs w:val="28"/>
          <w:rtl/>
        </w:rPr>
        <w:t>ّ</w:t>
      </w:r>
      <w:r w:rsidRPr="008C1FBD">
        <w:rPr>
          <w:rFonts w:ascii="Arial" w:hAnsi="Arial" w:cs="DanaFajr"/>
          <w:szCs w:val="28"/>
          <w:rtl/>
        </w:rPr>
        <w:t>لا</w:t>
      </w:r>
      <w:r w:rsidRPr="008C1FBD">
        <w:rPr>
          <w:rFonts w:ascii="Arial" w:hAnsi="Arial" w:cs="DanaFajr" w:hint="cs"/>
          <w:szCs w:val="28"/>
          <w:rtl/>
        </w:rPr>
        <w:t>ً</w:t>
      </w:r>
      <w:r w:rsidRPr="008C1FBD">
        <w:rPr>
          <w:rFonts w:ascii="Arial" w:hAnsi="Arial" w:cs="DanaFajr"/>
          <w:szCs w:val="28"/>
          <w:rtl/>
        </w:rPr>
        <w:t xml:space="preserve"> بهيئة كبار العلماء، وهو تي</w:t>
      </w:r>
      <w:r w:rsidRPr="008C1FBD">
        <w:rPr>
          <w:rFonts w:ascii="Arial" w:hAnsi="Arial" w:cs="DanaFajr" w:hint="cs"/>
          <w:szCs w:val="28"/>
          <w:rtl/>
        </w:rPr>
        <w:t>ّ</w:t>
      </w:r>
      <w:r w:rsidRPr="008C1FBD">
        <w:rPr>
          <w:rFonts w:ascii="Arial" w:hAnsi="Arial" w:cs="DanaFajr"/>
          <w:szCs w:val="28"/>
          <w:rtl/>
        </w:rPr>
        <w:t>ار</w:t>
      </w:r>
      <w:r w:rsidRPr="008C1FBD">
        <w:rPr>
          <w:rFonts w:ascii="Arial" w:hAnsi="Arial" w:cs="DanaFajr" w:hint="cs"/>
          <w:szCs w:val="28"/>
          <w:rtl/>
        </w:rPr>
        <w:t>ٌ</w:t>
      </w:r>
      <w:r w:rsidRPr="008C1FBD">
        <w:rPr>
          <w:rFonts w:ascii="Arial" w:hAnsi="Arial" w:cs="DanaFajr"/>
          <w:szCs w:val="28"/>
          <w:rtl/>
        </w:rPr>
        <w:t xml:space="preserve"> له امتدادات علمية وجماهيرية</w:t>
      </w:r>
      <w:r w:rsidRPr="00980C72">
        <w:rPr>
          <w:rFonts w:ascii="Arial" w:hAnsi="Arial" w:cs="DanaFajr"/>
          <w:szCs w:val="28"/>
          <w:rtl/>
        </w:rPr>
        <w:t xml:space="preserve"> محدودة. </w:t>
      </w:r>
    </w:p>
    <w:p w:rsidR="00F41F33" w:rsidRPr="00980C72" w:rsidRDefault="00F41F33" w:rsidP="00904320">
      <w:pPr>
        <w:spacing w:line="320" w:lineRule="exact"/>
        <w:ind w:firstLine="0"/>
        <w:rPr>
          <w:rFonts w:ascii="Arial" w:hAnsi="Arial" w:cs="DanaFajr"/>
          <w:szCs w:val="28"/>
          <w:rtl/>
        </w:rPr>
      </w:pPr>
      <w:r w:rsidRPr="008C1FBD">
        <w:rPr>
          <w:rFonts w:ascii="Arial" w:hAnsi="Arial" w:cs="DanaFajr" w:hint="cs"/>
          <w:szCs w:val="28"/>
          <w:rtl/>
        </w:rPr>
        <w:t xml:space="preserve">2ـ </w:t>
      </w:r>
      <w:r w:rsidRPr="008C1FBD">
        <w:rPr>
          <w:rFonts w:ascii="Arial" w:hAnsi="Arial" w:cs="DanaFajr"/>
          <w:szCs w:val="28"/>
          <w:rtl/>
        </w:rPr>
        <w:t>سلفية تميل للبعد التكفيري والجهادي، وتت</w:t>
      </w:r>
      <w:r w:rsidRPr="008C1FBD">
        <w:rPr>
          <w:rFonts w:ascii="Arial" w:hAnsi="Arial" w:cs="DanaFajr" w:hint="cs"/>
          <w:szCs w:val="28"/>
          <w:rtl/>
        </w:rPr>
        <w:t>ّ</w:t>
      </w:r>
      <w:r w:rsidRPr="008C1FBD">
        <w:rPr>
          <w:rFonts w:ascii="Arial" w:hAnsi="Arial" w:cs="DanaFajr"/>
          <w:szCs w:val="28"/>
          <w:rtl/>
        </w:rPr>
        <w:t>سم بالحدَّة والصرامة مع المخالفين، وبموقف صارم</w:t>
      </w:r>
      <w:r w:rsidRPr="00980C72">
        <w:rPr>
          <w:rFonts w:ascii="Arial" w:hAnsi="Arial" w:cs="DanaFajr"/>
          <w:szCs w:val="28"/>
          <w:rtl/>
        </w:rPr>
        <w:t xml:space="preserve"> وعنيف من السلطة السياسية</w:t>
      </w:r>
      <w:r w:rsidRPr="00980C72">
        <w:rPr>
          <w:rFonts w:ascii="Arial" w:hAnsi="Arial" w:cs="DanaFajr" w:hint="cs"/>
          <w:szCs w:val="28"/>
          <w:rtl/>
        </w:rPr>
        <w:t>.</w:t>
      </w:r>
    </w:p>
    <w:p w:rsidR="00F41F33" w:rsidRPr="004B7958" w:rsidRDefault="00F41F33" w:rsidP="00904320">
      <w:pPr>
        <w:spacing w:line="320" w:lineRule="exact"/>
        <w:ind w:firstLine="0"/>
        <w:rPr>
          <w:rFonts w:ascii="Arial" w:hAnsi="Arial" w:cs="DanaFajr"/>
          <w:szCs w:val="28"/>
          <w:rtl/>
        </w:rPr>
      </w:pPr>
      <w:r w:rsidRPr="0094153C">
        <w:rPr>
          <w:rFonts w:ascii="Arial" w:hAnsi="Arial" w:cs="DanaFajr" w:hint="cs"/>
          <w:szCs w:val="28"/>
          <w:rtl/>
        </w:rPr>
        <w:t xml:space="preserve">3ـ </w:t>
      </w:r>
      <w:r w:rsidRPr="0094153C">
        <w:rPr>
          <w:rFonts w:ascii="Arial" w:hAnsi="Arial" w:cs="DanaFajr"/>
          <w:szCs w:val="28"/>
          <w:rtl/>
        </w:rPr>
        <w:t>سلفية ذات نزعة إرجائية</w:t>
      </w:r>
      <w:r w:rsidRPr="0094153C">
        <w:rPr>
          <w:rFonts w:ascii="Arial" w:hAnsi="Arial" w:cs="DanaFajr" w:hint="cs"/>
          <w:szCs w:val="28"/>
          <w:rtl/>
        </w:rPr>
        <w:t>،</w:t>
      </w:r>
      <w:r w:rsidRPr="0094153C">
        <w:rPr>
          <w:rFonts w:ascii="Arial" w:hAnsi="Arial" w:cs="DanaFajr"/>
          <w:szCs w:val="28"/>
          <w:rtl/>
        </w:rPr>
        <w:t xml:space="preserve"> تت</w:t>
      </w:r>
      <w:r w:rsidRPr="0094153C">
        <w:rPr>
          <w:rFonts w:ascii="Arial" w:hAnsi="Arial" w:cs="DanaFajr" w:hint="cs"/>
          <w:szCs w:val="28"/>
          <w:rtl/>
        </w:rPr>
        <w:t>ّ</w:t>
      </w:r>
      <w:r w:rsidRPr="0094153C">
        <w:rPr>
          <w:rFonts w:ascii="Arial" w:hAnsi="Arial" w:cs="DanaFajr"/>
          <w:szCs w:val="28"/>
          <w:rtl/>
        </w:rPr>
        <w:t>سم بطاعة</w:t>
      </w:r>
      <w:r w:rsidRPr="0094153C">
        <w:rPr>
          <w:rFonts w:ascii="Arial" w:hAnsi="Arial" w:cs="DanaFajr" w:hint="cs"/>
          <w:szCs w:val="28"/>
          <w:rtl/>
        </w:rPr>
        <w:t>ٍ</w:t>
      </w:r>
      <w:r w:rsidRPr="0094153C">
        <w:rPr>
          <w:rFonts w:ascii="Arial" w:hAnsi="Arial" w:cs="DanaFajr"/>
          <w:szCs w:val="28"/>
          <w:rtl/>
        </w:rPr>
        <w:t xml:space="preserve"> مطلقة لولي الأمر، وهي قريبة نسبيّا</w:t>
      </w:r>
      <w:r w:rsidRPr="0094153C">
        <w:rPr>
          <w:rFonts w:ascii="Arial" w:hAnsi="Arial" w:cs="DanaFajr" w:hint="cs"/>
          <w:szCs w:val="28"/>
          <w:rtl/>
        </w:rPr>
        <w:t>ً</w:t>
      </w:r>
      <w:r w:rsidRPr="0094153C">
        <w:rPr>
          <w:rFonts w:ascii="Arial" w:hAnsi="Arial" w:cs="DanaFajr"/>
          <w:szCs w:val="28"/>
          <w:rtl/>
        </w:rPr>
        <w:t xml:space="preserve"> لخط الشيخ</w:t>
      </w:r>
      <w:r w:rsidRPr="004B7958">
        <w:rPr>
          <w:rFonts w:ascii="Arial" w:hAnsi="Arial" w:cs="DanaFajr"/>
          <w:szCs w:val="28"/>
          <w:rtl/>
        </w:rPr>
        <w:t xml:space="preserve"> </w:t>
      </w:r>
      <w:r w:rsidRPr="004B7958">
        <w:rPr>
          <w:rFonts w:cs="DanaFajr" w:hint="eastAsia"/>
          <w:sz w:val="27"/>
          <w:rtl/>
        </w:rPr>
        <w:t>«</w:t>
      </w:r>
      <w:r w:rsidRPr="004B7958">
        <w:rPr>
          <w:rFonts w:ascii="Arial" w:hAnsi="Arial" w:cs="DanaFajr"/>
          <w:szCs w:val="28"/>
          <w:rtl/>
        </w:rPr>
        <w:t>الألباني</w:t>
      </w:r>
      <w:r w:rsidRPr="004B7958">
        <w:rPr>
          <w:rFonts w:cs="DanaFajr" w:hint="eastAsia"/>
          <w:sz w:val="27"/>
          <w:rtl/>
        </w:rPr>
        <w:t>»</w:t>
      </w:r>
      <w:r w:rsidRPr="004B7958">
        <w:rPr>
          <w:rFonts w:ascii="Arial" w:hAnsi="Arial" w:cs="DanaFajr" w:hint="cs"/>
          <w:szCs w:val="28"/>
          <w:rtl/>
        </w:rPr>
        <w:t>،</w:t>
      </w:r>
      <w:r w:rsidRPr="004B7958">
        <w:rPr>
          <w:rFonts w:ascii="Arial" w:hAnsi="Arial" w:cs="DanaFajr"/>
          <w:szCs w:val="28"/>
          <w:rtl/>
        </w:rPr>
        <w:t xml:space="preserve"> ويطلق عليها خصومها مسمَّى (الجامية ـ المدخلية).</w:t>
      </w:r>
    </w:p>
    <w:p w:rsidR="00F41F33" w:rsidRPr="004B7958" w:rsidRDefault="00F41F33" w:rsidP="00904320">
      <w:pPr>
        <w:spacing w:line="320" w:lineRule="exact"/>
        <w:ind w:firstLine="0"/>
        <w:rPr>
          <w:rFonts w:ascii="Arial" w:hAnsi="Arial" w:cs="DanaFajr"/>
          <w:szCs w:val="28"/>
          <w:rtl/>
        </w:rPr>
      </w:pPr>
      <w:r w:rsidRPr="0094153C">
        <w:rPr>
          <w:rFonts w:ascii="Arial" w:hAnsi="Arial" w:cs="DanaFajr" w:hint="cs"/>
          <w:szCs w:val="28"/>
          <w:rtl/>
        </w:rPr>
        <w:t xml:space="preserve">4ـ </w:t>
      </w:r>
      <w:r w:rsidRPr="0094153C">
        <w:rPr>
          <w:rFonts w:ascii="Arial" w:hAnsi="Arial" w:cs="DanaFajr"/>
          <w:szCs w:val="28"/>
          <w:rtl/>
        </w:rPr>
        <w:t>التيارات السلفية الحركي</w:t>
      </w:r>
      <w:r w:rsidRPr="0094153C">
        <w:rPr>
          <w:rFonts w:ascii="Arial" w:hAnsi="Arial" w:cs="DanaFajr" w:hint="cs"/>
          <w:szCs w:val="28"/>
          <w:rtl/>
        </w:rPr>
        <w:t>ّ</w:t>
      </w:r>
      <w:r w:rsidRPr="0094153C">
        <w:rPr>
          <w:rFonts w:ascii="Arial" w:hAnsi="Arial" w:cs="DanaFajr"/>
          <w:szCs w:val="28"/>
          <w:rtl/>
        </w:rPr>
        <w:t>ة</w:t>
      </w:r>
      <w:r w:rsidRPr="0094153C">
        <w:rPr>
          <w:rFonts w:ascii="Arial" w:hAnsi="Arial" w:cs="DanaFajr" w:hint="cs"/>
          <w:szCs w:val="28"/>
          <w:rtl/>
        </w:rPr>
        <w:t>،</w:t>
      </w:r>
      <w:r w:rsidRPr="0094153C">
        <w:rPr>
          <w:rFonts w:ascii="Arial" w:hAnsi="Arial" w:cs="DanaFajr"/>
          <w:szCs w:val="28"/>
          <w:rtl/>
        </w:rPr>
        <w:t xml:space="preserve"> ويمثلها تيار حركي يُطْلِق عليه خصومه مسمَّى (السرورية)</w:t>
      </w:r>
      <w:r w:rsidRPr="0094153C">
        <w:rPr>
          <w:rFonts w:ascii="Arial" w:hAnsi="Arial" w:cs="DanaFajr" w:hint="cs"/>
          <w:szCs w:val="28"/>
          <w:rtl/>
        </w:rPr>
        <w:t>،</w:t>
      </w:r>
      <w:r w:rsidRPr="0094153C">
        <w:rPr>
          <w:rFonts w:ascii="Arial" w:hAnsi="Arial" w:cs="DanaFajr"/>
          <w:szCs w:val="28"/>
          <w:rtl/>
        </w:rPr>
        <w:t xml:space="preserve"> نسبة إلى</w:t>
      </w:r>
      <w:r w:rsidRPr="004B7958">
        <w:rPr>
          <w:rFonts w:ascii="Arial" w:hAnsi="Arial" w:cs="DanaFajr"/>
          <w:szCs w:val="28"/>
          <w:rtl/>
        </w:rPr>
        <w:t xml:space="preserve"> مؤس</w:t>
      </w:r>
      <w:r w:rsidRPr="004B7958">
        <w:rPr>
          <w:rFonts w:ascii="Arial" w:hAnsi="Arial" w:cs="DanaFajr" w:hint="cs"/>
          <w:szCs w:val="28"/>
          <w:rtl/>
        </w:rPr>
        <w:t>ّ</w:t>
      </w:r>
      <w:r w:rsidRPr="004B7958">
        <w:rPr>
          <w:rFonts w:ascii="Arial" w:hAnsi="Arial" w:cs="DanaFajr"/>
          <w:szCs w:val="28"/>
          <w:rtl/>
        </w:rPr>
        <w:t>سها، وهي مدرسة تنظيرية فكرية سياسية دعوية يقوم منهجها على مزيج من الحركية الإخوانية والفكر السلفي الوهابي</w:t>
      </w:r>
      <w:r w:rsidRPr="004B7958">
        <w:rPr>
          <w:rFonts w:ascii="Arial" w:hAnsi="Arial" w:cs="DanaFajr" w:hint="cs"/>
          <w:szCs w:val="28"/>
          <w:rtl/>
        </w:rPr>
        <w:t>.</w:t>
      </w:r>
    </w:p>
    <w:p w:rsidR="00F41F33" w:rsidRPr="004B7958" w:rsidRDefault="00F41F33" w:rsidP="00904320">
      <w:pPr>
        <w:spacing w:line="320" w:lineRule="exact"/>
        <w:ind w:firstLine="0"/>
        <w:rPr>
          <w:rFonts w:ascii="Arial" w:hAnsi="Arial" w:cs="DanaFajr"/>
          <w:szCs w:val="28"/>
          <w:rtl/>
        </w:rPr>
      </w:pPr>
      <w:r w:rsidRPr="004B7958">
        <w:rPr>
          <w:rFonts w:ascii="Arial" w:hAnsi="Arial" w:cs="DanaFajr"/>
          <w:szCs w:val="28"/>
          <w:rtl/>
        </w:rPr>
        <w:t>كما أن هناك تي</w:t>
      </w:r>
      <w:r w:rsidRPr="004B7958">
        <w:rPr>
          <w:rFonts w:ascii="Arial" w:hAnsi="Arial" w:cs="DanaFajr" w:hint="cs"/>
          <w:szCs w:val="28"/>
          <w:rtl/>
        </w:rPr>
        <w:t>ّ</w:t>
      </w:r>
      <w:r w:rsidRPr="004B7958">
        <w:rPr>
          <w:rFonts w:ascii="Arial" w:hAnsi="Arial" w:cs="DanaFajr"/>
          <w:szCs w:val="28"/>
          <w:rtl/>
        </w:rPr>
        <w:t>ار حركي آخر هم (الإخوان المسلمون)، وهو تيار لا يُصنَّف، إجرائيّا</w:t>
      </w:r>
      <w:r w:rsidRPr="004B7958">
        <w:rPr>
          <w:rFonts w:ascii="Arial" w:hAnsi="Arial" w:cs="DanaFajr" w:hint="cs"/>
          <w:szCs w:val="28"/>
          <w:rtl/>
        </w:rPr>
        <w:t>ً</w:t>
      </w:r>
      <w:r w:rsidRPr="004B7958">
        <w:rPr>
          <w:rFonts w:ascii="Arial" w:hAnsi="Arial" w:cs="DanaFajr"/>
          <w:szCs w:val="28"/>
          <w:rtl/>
        </w:rPr>
        <w:t xml:space="preserve"> داخل إطار التيار السلفي. </w:t>
      </w:r>
    </w:p>
    <w:p w:rsidR="00F41F33" w:rsidRPr="004B7958" w:rsidRDefault="00F41F33" w:rsidP="00904320">
      <w:pPr>
        <w:spacing w:line="320" w:lineRule="exact"/>
        <w:ind w:firstLine="0"/>
        <w:rPr>
          <w:rFonts w:ascii="Arial" w:hAnsi="Arial" w:cs="DanaFajr"/>
          <w:szCs w:val="28"/>
        </w:rPr>
      </w:pPr>
      <w:r w:rsidRPr="0094153C">
        <w:rPr>
          <w:rFonts w:ascii="Arial" w:hAnsi="Arial" w:cs="DanaFajr" w:hint="cs"/>
          <w:szCs w:val="28"/>
          <w:rtl/>
        </w:rPr>
        <w:t xml:space="preserve">5ـ </w:t>
      </w:r>
      <w:r w:rsidRPr="0094153C">
        <w:rPr>
          <w:rFonts w:ascii="Arial" w:hAnsi="Arial" w:cs="DanaFajr"/>
          <w:szCs w:val="28"/>
          <w:rtl/>
        </w:rPr>
        <w:t>التيار العقلاني أو تيار التنوير الإسلامي</w:t>
      </w:r>
      <w:r w:rsidRPr="0094153C">
        <w:rPr>
          <w:rFonts w:ascii="Arial" w:hAnsi="Arial" w:cs="DanaFajr" w:hint="cs"/>
          <w:szCs w:val="28"/>
          <w:rtl/>
        </w:rPr>
        <w:t>.</w:t>
      </w:r>
      <w:r w:rsidRPr="0094153C">
        <w:rPr>
          <w:rFonts w:ascii="Arial" w:hAnsi="Arial" w:cs="DanaFajr"/>
          <w:szCs w:val="28"/>
          <w:rtl/>
        </w:rPr>
        <w:t xml:space="preserve"> </w:t>
      </w:r>
      <w:r w:rsidRPr="0094153C">
        <w:rPr>
          <w:rFonts w:ascii="Arial" w:hAnsi="Arial" w:cs="DanaFajr" w:hint="cs"/>
          <w:szCs w:val="28"/>
          <w:rtl/>
        </w:rPr>
        <w:t>و</w:t>
      </w:r>
      <w:r w:rsidRPr="0094153C">
        <w:rPr>
          <w:rFonts w:ascii="Arial" w:hAnsi="Arial" w:cs="DanaFajr"/>
          <w:szCs w:val="28"/>
          <w:rtl/>
        </w:rPr>
        <w:t>هذا التيار عبارة عن مجموعة من النخب المهتمة</w:t>
      </w:r>
      <w:r w:rsidRPr="004B7958">
        <w:rPr>
          <w:rFonts w:ascii="Arial" w:hAnsi="Arial" w:cs="DanaFajr"/>
          <w:szCs w:val="28"/>
          <w:rtl/>
        </w:rPr>
        <w:t xml:space="preserve"> بالشأن الثقافي والسياسي، ويقد</w:t>
      </w:r>
      <w:r w:rsidRPr="004B7958">
        <w:rPr>
          <w:rFonts w:ascii="Arial" w:hAnsi="Arial" w:cs="DanaFajr" w:hint="cs"/>
          <w:szCs w:val="28"/>
          <w:rtl/>
        </w:rPr>
        <w:t>ِّ</w:t>
      </w:r>
      <w:r w:rsidRPr="004B7958">
        <w:rPr>
          <w:rFonts w:ascii="Arial" w:hAnsi="Arial" w:cs="DanaFajr"/>
          <w:szCs w:val="28"/>
          <w:rtl/>
        </w:rPr>
        <w:t xml:space="preserve">مه أحد ناشطيه على أنه: </w:t>
      </w:r>
      <w:r w:rsidRPr="004B7958">
        <w:rPr>
          <w:rFonts w:cs="DanaFajr" w:hint="eastAsia"/>
          <w:sz w:val="27"/>
          <w:rtl/>
        </w:rPr>
        <w:t>«</w:t>
      </w:r>
      <w:r w:rsidRPr="004B7958">
        <w:rPr>
          <w:rFonts w:ascii="Arial" w:hAnsi="Arial" w:cs="DanaFajr"/>
          <w:szCs w:val="28"/>
          <w:rtl/>
        </w:rPr>
        <w:t>...تيار أجندته ليست سياسية؛ لكنها ثقافية في المقام الأول، تقوم على نقد التيار السلفي، وتفكيك بنيته التقليدية، ومنظومته في التفكير، والتعامل لتجاوز التأز</w:t>
      </w:r>
      <w:r w:rsidRPr="004B7958">
        <w:rPr>
          <w:rFonts w:ascii="Arial" w:hAnsi="Arial" w:cs="DanaFajr" w:hint="cs"/>
          <w:szCs w:val="28"/>
          <w:rtl/>
        </w:rPr>
        <w:t>ُّ</w:t>
      </w:r>
      <w:r w:rsidRPr="004B7958">
        <w:rPr>
          <w:rFonts w:ascii="Arial" w:hAnsi="Arial" w:cs="DanaFajr"/>
          <w:szCs w:val="28"/>
          <w:rtl/>
        </w:rPr>
        <w:t>مات التي أنتجها في المجتمع، والتي أسهمت في إعاقة مشروعات النهضة والتطو</w:t>
      </w:r>
      <w:r w:rsidRPr="004B7958">
        <w:rPr>
          <w:rFonts w:ascii="Arial" w:hAnsi="Arial" w:cs="DanaFajr" w:hint="cs"/>
          <w:szCs w:val="28"/>
          <w:rtl/>
        </w:rPr>
        <w:t>ُّ</w:t>
      </w:r>
      <w:r w:rsidRPr="004B7958">
        <w:rPr>
          <w:rFonts w:ascii="Arial" w:hAnsi="Arial" w:cs="DanaFajr"/>
          <w:szCs w:val="28"/>
          <w:rtl/>
        </w:rPr>
        <w:t>ر الحضاري. إذن فهو تيار</w:t>
      </w:r>
      <w:r w:rsidRPr="004B7958">
        <w:rPr>
          <w:rFonts w:ascii="Arial" w:hAnsi="Arial" w:cs="DanaFajr" w:hint="cs"/>
          <w:szCs w:val="28"/>
          <w:rtl/>
        </w:rPr>
        <w:t>ٌ</w:t>
      </w:r>
      <w:r w:rsidRPr="004B7958">
        <w:rPr>
          <w:rFonts w:ascii="Arial" w:hAnsi="Arial" w:cs="DanaFajr"/>
          <w:szCs w:val="28"/>
          <w:rtl/>
        </w:rPr>
        <w:t xml:space="preserve"> فكري ثقافي أكثر منه سياسي؛ لذلك فهو ـ إلى الآن ـ غيرُ معنيٍّ بشكلٍ مباشر بالإصلاح السياسي بقدر عنايته بالإصلاح الثقافي، لذا لا توجد له مشكلة</w:t>
      </w:r>
      <w:r w:rsidRPr="004B7958">
        <w:rPr>
          <w:rFonts w:ascii="Arial" w:hAnsi="Arial" w:cs="DanaFajr" w:hint="cs"/>
          <w:szCs w:val="28"/>
          <w:rtl/>
        </w:rPr>
        <w:t>ٌ</w:t>
      </w:r>
      <w:r w:rsidRPr="004B7958">
        <w:rPr>
          <w:rFonts w:ascii="Arial" w:hAnsi="Arial" w:cs="DanaFajr"/>
          <w:szCs w:val="28"/>
          <w:rtl/>
        </w:rPr>
        <w:t xml:space="preserve"> مع السلطة السياسية. </w:t>
      </w:r>
    </w:p>
    <w:p w:rsidR="00F41F33" w:rsidRPr="0094153C" w:rsidRDefault="00F41F33" w:rsidP="00904320">
      <w:pPr>
        <w:spacing w:line="320" w:lineRule="exact"/>
        <w:ind w:firstLine="0"/>
        <w:rPr>
          <w:rFonts w:ascii="Arial" w:hAnsi="Arial" w:cs="DanaFajr"/>
          <w:szCs w:val="28"/>
          <w:rtl/>
        </w:rPr>
      </w:pPr>
      <w:r w:rsidRPr="004B7958">
        <w:rPr>
          <w:rFonts w:ascii="Arial" w:hAnsi="Arial" w:cs="DanaFajr"/>
          <w:szCs w:val="28"/>
          <w:rtl/>
        </w:rPr>
        <w:t>مقابلة مع نواف القديمي أحد الناشطين في التيار</w:t>
      </w:r>
      <w:r w:rsidRPr="004B7958">
        <w:rPr>
          <w:rFonts w:ascii="Arial" w:hAnsi="Arial" w:cs="DanaFajr" w:hint="cs"/>
          <w:szCs w:val="28"/>
          <w:rtl/>
        </w:rPr>
        <w:t>،</w:t>
      </w:r>
      <w:r w:rsidRPr="004B7958">
        <w:rPr>
          <w:rFonts w:ascii="Arial" w:hAnsi="Arial" w:cs="DanaFajr"/>
          <w:szCs w:val="28"/>
          <w:rtl/>
        </w:rPr>
        <w:t xml:space="preserve"> أجراها موقع إخوان أون لاين على الشبكة</w:t>
      </w:r>
      <w:r w:rsidRPr="004B7958">
        <w:rPr>
          <w:rFonts w:ascii="Arial" w:hAnsi="Arial" w:cs="DanaFajr" w:hint="cs"/>
          <w:szCs w:val="28"/>
          <w:rtl/>
        </w:rPr>
        <w:t>،</w:t>
      </w:r>
      <w:r w:rsidRPr="004B7958">
        <w:rPr>
          <w:rFonts w:ascii="Arial" w:hAnsi="Arial" w:cs="DanaFajr"/>
          <w:szCs w:val="28"/>
          <w:rtl/>
        </w:rPr>
        <w:t xml:space="preserve"> بتاريخ </w:t>
      </w:r>
      <w:r w:rsidRPr="0094153C">
        <w:rPr>
          <w:rFonts w:ascii="Arial" w:hAnsi="Arial" w:cs="DanaFajr"/>
          <w:szCs w:val="28"/>
          <w:rtl/>
        </w:rPr>
        <w:t xml:space="preserve">28/02/2004،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 //ikhwanonline. net/Article. asp?ID=</w:t>
      </w:r>
      <w:r w:rsidRPr="006333E0">
        <w:rPr>
          <w:rFonts w:asciiTheme="majorBidi" w:hAnsiTheme="majorBidi" w:cs="Ya-Ali"/>
        </w:rPr>
        <w:t>5079</w:t>
      </w:r>
      <w:r w:rsidRPr="00715694">
        <w:rPr>
          <w:rFonts w:asciiTheme="majorBidi" w:hAnsiTheme="majorBidi" w:cstheme="majorBidi"/>
        </w:rPr>
        <w:t>&amp;SectionID=</w:t>
      </w:r>
      <w:r w:rsidRPr="006333E0">
        <w:rPr>
          <w:rFonts w:asciiTheme="majorBidi" w:hAnsiTheme="majorBidi" w:cs="Ya-Ali"/>
        </w:rPr>
        <w:t>202</w:t>
      </w:r>
      <w:r w:rsidRPr="00715694">
        <w:rPr>
          <w:rFonts w:asciiTheme="majorBidi" w:hAnsiTheme="majorBidi" w:cstheme="majorBidi"/>
          <w:rtl/>
        </w:rPr>
        <w:t xml:space="preserve"> </w:t>
      </w:r>
    </w:p>
  </w:endnote>
  <w:endnote w:id="101">
    <w:p w:rsidR="00F41F33" w:rsidRPr="004B7958" w:rsidRDefault="00F41F33" w:rsidP="00904320">
      <w:pPr>
        <w:spacing w:line="320" w:lineRule="exact"/>
        <w:ind w:firstLine="0"/>
        <w:rPr>
          <w:rFonts w:ascii="Arial" w:hAnsi="Arial" w:cs="DanaFajr"/>
          <w:szCs w:val="28"/>
          <w:rtl/>
          <w:lang w:bidi="ar-LB"/>
        </w:rPr>
      </w:pPr>
      <w:r w:rsidRPr="004B7958">
        <w:rPr>
          <w:rFonts w:ascii="Arial" w:hAnsi="Arial" w:cs="DanaFajr"/>
          <w:szCs w:val="28"/>
          <w:rtl/>
          <w:lang w:bidi="ar-LB"/>
        </w:rPr>
        <w:t>(</w:t>
      </w:r>
      <w:r w:rsidRPr="004B7958">
        <w:rPr>
          <w:rStyle w:val="ac"/>
          <w:rFonts w:ascii="Arial" w:hAnsi="Arial" w:cs="DanaFajr"/>
          <w:szCs w:val="28"/>
          <w:vertAlign w:val="baseline"/>
        </w:rPr>
        <w:endnoteRef/>
      </w:r>
      <w:r w:rsidRPr="004B7958">
        <w:rPr>
          <w:rFonts w:ascii="Arial" w:hAnsi="Arial" w:cs="DanaFajr"/>
          <w:szCs w:val="28"/>
          <w:rtl/>
          <w:lang w:bidi="ar-LB"/>
        </w:rPr>
        <w:t xml:space="preserve">) </w:t>
      </w:r>
      <w:r w:rsidRPr="004B7958">
        <w:rPr>
          <w:rFonts w:cs="DanaFajr" w:hint="eastAsia"/>
          <w:sz w:val="27"/>
          <w:rtl/>
          <w:lang w:bidi="ar-LB"/>
        </w:rPr>
        <w:t>«</w:t>
      </w:r>
      <w:r w:rsidRPr="004B7958">
        <w:rPr>
          <w:rFonts w:ascii="Arial" w:hAnsi="Arial" w:cs="DanaFajr"/>
          <w:szCs w:val="28"/>
          <w:rtl/>
        </w:rPr>
        <w:t>أبرز المرتكزات التي استندت اليها هذه السلفية هي: التن</w:t>
      </w:r>
      <w:r w:rsidRPr="004B7958">
        <w:rPr>
          <w:rFonts w:ascii="Arial" w:hAnsi="Arial" w:cs="DanaFajr" w:hint="cs"/>
          <w:szCs w:val="28"/>
          <w:rtl/>
        </w:rPr>
        <w:t>ـ</w:t>
      </w:r>
      <w:r w:rsidRPr="004B7958">
        <w:rPr>
          <w:rFonts w:ascii="Arial" w:hAnsi="Arial" w:cs="DanaFajr"/>
          <w:szCs w:val="28"/>
          <w:rtl/>
        </w:rPr>
        <w:t>زيه في التوحيد، تقديم الشرع على العقل، إنكار التأويل اللفظي والباطني، البراءة من أصحاب المذاهب المخالفة</w:t>
      </w:r>
      <w:r w:rsidRPr="004B7958">
        <w:rPr>
          <w:rFonts w:ascii="Arial" w:hAnsi="Arial" w:cs="DanaFajr" w:hint="cs"/>
          <w:szCs w:val="28"/>
          <w:rtl/>
        </w:rPr>
        <w:t>،</w:t>
      </w:r>
      <w:r w:rsidRPr="004B7958">
        <w:rPr>
          <w:rFonts w:ascii="Arial" w:hAnsi="Arial" w:cs="DanaFajr"/>
          <w:szCs w:val="28"/>
          <w:rtl/>
        </w:rPr>
        <w:t xml:space="preserve"> مثل: المعتزلة والمشبّهة والجبرية والقدرية والشيعة، تكفير الصوفي</w:t>
      </w:r>
      <w:r w:rsidRPr="004B7958">
        <w:rPr>
          <w:rFonts w:ascii="Arial" w:hAnsi="Arial" w:cs="DanaFajr" w:hint="cs"/>
          <w:szCs w:val="28"/>
          <w:rtl/>
        </w:rPr>
        <w:t>ّ</w:t>
      </w:r>
      <w:r w:rsidRPr="004B7958">
        <w:rPr>
          <w:rFonts w:ascii="Arial" w:hAnsi="Arial" w:cs="DanaFajr"/>
          <w:szCs w:val="28"/>
          <w:rtl/>
        </w:rPr>
        <w:t>ين، حبّ السلف الصالح من أصحاب الرسول، عدم الخروج على السلطان، إلا</w:t>
      </w:r>
      <w:r w:rsidRPr="004B7958">
        <w:rPr>
          <w:rFonts w:ascii="Arial" w:hAnsi="Arial" w:cs="DanaFajr" w:hint="cs"/>
          <w:szCs w:val="28"/>
          <w:rtl/>
        </w:rPr>
        <w:t>ّ</w:t>
      </w:r>
      <w:r w:rsidRPr="004B7958">
        <w:rPr>
          <w:rFonts w:ascii="Arial" w:hAnsi="Arial" w:cs="DanaFajr"/>
          <w:szCs w:val="28"/>
          <w:rtl/>
        </w:rPr>
        <w:t xml:space="preserve"> إذا أعلن صراحة</w:t>
      </w:r>
      <w:r w:rsidRPr="004B7958">
        <w:rPr>
          <w:rFonts w:ascii="Arial" w:hAnsi="Arial" w:cs="DanaFajr" w:hint="cs"/>
          <w:szCs w:val="28"/>
          <w:rtl/>
        </w:rPr>
        <w:t>ً</w:t>
      </w:r>
      <w:r w:rsidRPr="004B7958">
        <w:rPr>
          <w:rFonts w:ascii="Arial" w:hAnsi="Arial" w:cs="DanaFajr"/>
          <w:szCs w:val="28"/>
          <w:rtl/>
        </w:rPr>
        <w:t xml:space="preserve"> رفضه الشريعة والحكم بما أنزل الله... وغيرها من الأسس التي شك</w:t>
      </w:r>
      <w:r w:rsidRPr="004B7958">
        <w:rPr>
          <w:rFonts w:ascii="Arial" w:hAnsi="Arial" w:cs="DanaFajr" w:hint="cs"/>
          <w:szCs w:val="28"/>
          <w:rtl/>
        </w:rPr>
        <w:t>َّ</w:t>
      </w:r>
      <w:r w:rsidRPr="004B7958">
        <w:rPr>
          <w:rFonts w:ascii="Arial" w:hAnsi="Arial" w:cs="DanaFajr"/>
          <w:szCs w:val="28"/>
          <w:rtl/>
        </w:rPr>
        <w:t xml:space="preserve">لت ما يُعرف باسم </w:t>
      </w:r>
      <w:r w:rsidRPr="004B7958">
        <w:rPr>
          <w:rFonts w:cs="DanaFajr" w:hint="eastAsia"/>
          <w:sz w:val="27"/>
          <w:rtl/>
        </w:rPr>
        <w:t>«</w:t>
      </w:r>
      <w:r w:rsidRPr="004B7958">
        <w:rPr>
          <w:rFonts w:ascii="Arial" w:hAnsi="Arial" w:cs="DanaFajr"/>
          <w:szCs w:val="28"/>
          <w:rtl/>
        </w:rPr>
        <w:t>السلفية التاريخية</w:t>
      </w:r>
      <w:r w:rsidRPr="004B7958">
        <w:rPr>
          <w:rFonts w:cs="DanaFajr" w:hint="eastAsia"/>
          <w:sz w:val="27"/>
          <w:rtl/>
        </w:rPr>
        <w:t>»</w:t>
      </w:r>
      <w:r w:rsidRPr="004B7958">
        <w:rPr>
          <w:rFonts w:ascii="Arial" w:hAnsi="Arial" w:cs="DanaFajr"/>
          <w:szCs w:val="28"/>
          <w:rtl/>
        </w:rPr>
        <w:t xml:space="preserve">. </w:t>
      </w:r>
    </w:p>
    <w:p w:rsidR="00F41F33" w:rsidRPr="004B7958" w:rsidRDefault="00F41F33" w:rsidP="00904320">
      <w:pPr>
        <w:spacing w:line="320" w:lineRule="exact"/>
        <w:ind w:firstLine="0"/>
        <w:rPr>
          <w:rFonts w:ascii="Arial" w:hAnsi="Arial" w:cs="DanaFajr"/>
          <w:szCs w:val="28"/>
        </w:rPr>
      </w:pPr>
      <w:r w:rsidRPr="004B7958">
        <w:rPr>
          <w:rFonts w:ascii="Arial" w:hAnsi="Arial" w:cs="DanaFajr"/>
          <w:szCs w:val="28"/>
          <w:rtl/>
        </w:rPr>
        <w:t>عبد الرحيم محمود جاموس، السلفيّة: من التحرير إلى التكفير</w:t>
      </w:r>
      <w:r w:rsidRPr="004B7958">
        <w:rPr>
          <w:rFonts w:ascii="Arial" w:hAnsi="Arial" w:cs="DanaFajr" w:hint="cs"/>
          <w:szCs w:val="28"/>
          <w:rtl/>
        </w:rPr>
        <w:t>.</w:t>
      </w:r>
      <w:r w:rsidRPr="004B7958">
        <w:rPr>
          <w:rFonts w:ascii="Arial" w:hAnsi="Arial" w:cs="DanaFajr"/>
          <w:szCs w:val="28"/>
          <w:rtl/>
        </w:rPr>
        <w:t xml:space="preserve"> </w:t>
      </w:r>
    </w:p>
  </w:endnote>
  <w:endnote w:id="102">
    <w:p w:rsidR="00F41F33" w:rsidRPr="004B7958" w:rsidRDefault="00F41F33" w:rsidP="00904320">
      <w:pPr>
        <w:spacing w:line="320" w:lineRule="exact"/>
        <w:ind w:firstLine="0"/>
        <w:rPr>
          <w:rFonts w:ascii="Arial" w:hAnsi="Arial" w:cs="DanaFajr"/>
          <w:szCs w:val="28"/>
        </w:rPr>
      </w:pPr>
      <w:r w:rsidRPr="0094153C">
        <w:rPr>
          <w:rFonts w:ascii="Arial" w:hAnsi="Arial" w:cs="DanaFajr"/>
          <w:szCs w:val="28"/>
          <w:rtl/>
          <w:lang w:bidi="ar-LB"/>
        </w:rPr>
        <w:t>(</w:t>
      </w:r>
      <w:r w:rsidRPr="0094153C">
        <w:rPr>
          <w:rStyle w:val="ac"/>
          <w:rFonts w:ascii="Arial" w:hAnsi="Arial" w:cs="DanaFajr"/>
          <w:szCs w:val="28"/>
          <w:vertAlign w:val="baseline"/>
        </w:rPr>
        <w:endnoteRef/>
      </w:r>
      <w:r w:rsidRPr="0094153C">
        <w:rPr>
          <w:rFonts w:ascii="Arial" w:hAnsi="Arial" w:cs="DanaFajr"/>
          <w:szCs w:val="28"/>
          <w:rtl/>
          <w:lang w:bidi="ar-LB"/>
        </w:rPr>
        <w:t xml:space="preserve">) </w:t>
      </w:r>
      <w:r w:rsidRPr="0094153C">
        <w:rPr>
          <w:rFonts w:ascii="Arial" w:hAnsi="Arial" w:cs="DanaFajr"/>
          <w:szCs w:val="28"/>
          <w:rtl/>
        </w:rPr>
        <w:t>في مارس من عام 1928 تعاهد مع ست</w:t>
      </w:r>
      <w:r w:rsidRPr="0094153C">
        <w:rPr>
          <w:rFonts w:ascii="Arial" w:hAnsi="Arial" w:cs="DanaFajr" w:hint="cs"/>
          <w:szCs w:val="28"/>
          <w:rtl/>
        </w:rPr>
        <w:t>ّ</w:t>
      </w:r>
      <w:r w:rsidRPr="0094153C">
        <w:rPr>
          <w:rFonts w:ascii="Arial" w:hAnsi="Arial" w:cs="DanaFajr"/>
          <w:szCs w:val="28"/>
          <w:rtl/>
        </w:rPr>
        <w:t>ة من الشباب على تأسيس جماعة الإخوان المسلمين في</w:t>
      </w:r>
      <w:r w:rsidRPr="004B7958">
        <w:rPr>
          <w:rFonts w:ascii="Arial" w:hAnsi="Arial" w:cs="DanaFajr"/>
          <w:szCs w:val="28"/>
          <w:rtl/>
        </w:rPr>
        <w:t xml:space="preserve"> الإسماعيلية</w:t>
      </w:r>
      <w:r w:rsidRPr="004B7958">
        <w:rPr>
          <w:rFonts w:ascii="Arial" w:hAnsi="Arial" w:cs="DanaFajr" w:hint="cs"/>
          <w:szCs w:val="28"/>
          <w:rtl/>
        </w:rPr>
        <w:t>،</w:t>
      </w:r>
      <w:r w:rsidRPr="004B7958">
        <w:rPr>
          <w:rFonts w:ascii="Arial" w:hAnsi="Arial" w:cs="DanaFajr"/>
          <w:szCs w:val="28"/>
          <w:rtl/>
        </w:rPr>
        <w:t xml:space="preserve"> وهم</w:t>
      </w:r>
      <w:r w:rsidRPr="004B7958">
        <w:rPr>
          <w:rFonts w:ascii="Arial" w:hAnsi="Arial" w:cs="DanaFajr" w:hint="cs"/>
          <w:szCs w:val="28"/>
          <w:rtl/>
        </w:rPr>
        <w:t>:</w:t>
      </w:r>
      <w:r w:rsidRPr="004B7958">
        <w:rPr>
          <w:rFonts w:ascii="Arial" w:hAnsi="Arial" w:cs="DanaFajr"/>
          <w:szCs w:val="28"/>
          <w:rtl/>
        </w:rPr>
        <w:t xml:space="preserve"> حافظ عبد الحميد، أحمد الحصري، فؤاد إبراهيم، عبد الرحمن حسب الله، إسماعيل عز، وزكي المغربي.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http://ar.wikipedia.org/wiki/%D</w:t>
      </w:r>
      <w:r w:rsidRPr="006333E0">
        <w:rPr>
          <w:rFonts w:asciiTheme="majorBidi" w:hAnsiTheme="majorBidi" w:cs="Ya-Ali"/>
        </w:rPr>
        <w:t>8</w:t>
      </w:r>
      <w:r w:rsidRPr="00715694">
        <w:rPr>
          <w:rFonts w:asciiTheme="majorBidi" w:hAnsiTheme="majorBidi" w:cstheme="majorBidi"/>
        </w:rPr>
        <w:t>%AD%D</w:t>
      </w:r>
      <w:r w:rsidRPr="006333E0">
        <w:rPr>
          <w:rFonts w:asciiTheme="majorBidi" w:hAnsiTheme="majorBidi" w:cs="Ya-Ali"/>
        </w:rPr>
        <w:t>8</w:t>
      </w:r>
      <w:r w:rsidRPr="00715694">
        <w:rPr>
          <w:rFonts w:asciiTheme="majorBidi" w:hAnsiTheme="majorBidi" w:cstheme="majorBidi"/>
        </w:rPr>
        <w:t>%B</w:t>
      </w:r>
      <w:r w:rsidRPr="006333E0">
        <w:rPr>
          <w:rFonts w:asciiTheme="majorBidi" w:hAnsiTheme="majorBidi" w:cs="Ya-Ali"/>
        </w:rPr>
        <w:t>3</w:t>
      </w:r>
      <w:r w:rsidRPr="00715694">
        <w:rPr>
          <w:rFonts w:asciiTheme="majorBidi" w:hAnsiTheme="majorBidi" w:cstheme="majorBidi"/>
        </w:rPr>
        <w:t>%D</w:t>
      </w:r>
      <w:r w:rsidRPr="006333E0">
        <w:rPr>
          <w:rFonts w:asciiTheme="majorBidi" w:hAnsiTheme="majorBidi" w:cs="Ya-Ali"/>
        </w:rPr>
        <w:t>9</w:t>
      </w:r>
      <w:r w:rsidRPr="00715694">
        <w:rPr>
          <w:rFonts w:asciiTheme="majorBidi" w:hAnsiTheme="majorBidi" w:cstheme="majorBidi"/>
        </w:rPr>
        <w:t>%</w:t>
      </w:r>
      <w:r w:rsidRPr="006333E0">
        <w:rPr>
          <w:rFonts w:asciiTheme="majorBidi" w:hAnsiTheme="majorBidi" w:cs="Ya-Ali"/>
        </w:rPr>
        <w:t>86</w:t>
      </w:r>
      <w:r w:rsidRPr="00715694">
        <w:rPr>
          <w:rFonts w:asciiTheme="majorBidi" w:hAnsiTheme="majorBidi" w:cstheme="majorBidi"/>
        </w:rPr>
        <w:t>_%D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7</w:t>
      </w:r>
      <w:r w:rsidRPr="00715694">
        <w:rPr>
          <w:rFonts w:asciiTheme="majorBidi" w:hAnsiTheme="majorBidi" w:cstheme="majorBidi"/>
        </w:rPr>
        <w:t>%D</w:t>
      </w:r>
      <w:r w:rsidRPr="006333E0">
        <w:rPr>
          <w:rFonts w:asciiTheme="majorBidi" w:hAnsiTheme="majorBidi" w:cs="Ya-Ali"/>
        </w:rPr>
        <w:t>9</w:t>
      </w:r>
      <w:r w:rsidRPr="00715694">
        <w:rPr>
          <w:rFonts w:asciiTheme="majorBidi" w:hAnsiTheme="majorBidi" w:cstheme="majorBidi"/>
        </w:rPr>
        <w:t>%</w:t>
      </w:r>
      <w:r w:rsidRPr="006333E0">
        <w:rPr>
          <w:rFonts w:asciiTheme="majorBidi" w:hAnsiTheme="majorBidi" w:cs="Ya-Ali"/>
        </w:rPr>
        <w:t>84</w:t>
      </w:r>
      <w:r w:rsidRPr="00715694">
        <w:rPr>
          <w:rFonts w:asciiTheme="majorBidi" w:hAnsiTheme="majorBidi" w:cstheme="majorBidi"/>
        </w:rPr>
        <w:t>%D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8</w:t>
      </w:r>
      <w:r w:rsidRPr="00715694">
        <w:rPr>
          <w:rFonts w:asciiTheme="majorBidi" w:hAnsiTheme="majorBidi" w:cstheme="majorBidi"/>
        </w:rPr>
        <w:t>%D</w:t>
      </w:r>
      <w:r w:rsidRPr="006333E0">
        <w:rPr>
          <w:rFonts w:asciiTheme="majorBidi" w:hAnsiTheme="majorBidi" w:cs="Ya-Ali"/>
        </w:rPr>
        <w:t>9</w:t>
      </w:r>
      <w:r w:rsidRPr="00715694">
        <w:rPr>
          <w:rFonts w:asciiTheme="majorBidi" w:hAnsiTheme="majorBidi" w:cstheme="majorBidi"/>
        </w:rPr>
        <w:t>%</w:t>
      </w:r>
      <w:r w:rsidRPr="006333E0">
        <w:rPr>
          <w:rFonts w:asciiTheme="majorBidi" w:hAnsiTheme="majorBidi" w:cs="Ya-Ali"/>
        </w:rPr>
        <w:t>86</w:t>
      </w:r>
      <w:r w:rsidRPr="00715694">
        <w:rPr>
          <w:rFonts w:asciiTheme="majorBidi" w:hAnsiTheme="majorBidi" w:cstheme="majorBidi"/>
        </w:rPr>
        <w:t>%D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7</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AA. D</w:t>
      </w:r>
      <w:r w:rsidRPr="006333E0">
        <w:rPr>
          <w:rFonts w:asciiTheme="majorBidi" w:hAnsiTheme="majorBidi" w:cs="Ya-Ali"/>
        </w:rPr>
        <w:t>8</w:t>
      </w:r>
      <w:r w:rsidRPr="00715694">
        <w:rPr>
          <w:rFonts w:asciiTheme="majorBidi" w:hAnsiTheme="majorBidi" w:cstheme="majorBidi"/>
        </w:rPr>
        <w:t>. A</w:t>
      </w:r>
      <w:r w:rsidRPr="006333E0">
        <w:rPr>
          <w:rFonts w:asciiTheme="majorBidi" w:hAnsiTheme="majorBidi" w:cs="Ya-Ali"/>
        </w:rPr>
        <w:t>3</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B</w:t>
      </w:r>
      <w:r w:rsidRPr="006333E0">
        <w:rPr>
          <w:rFonts w:asciiTheme="majorBidi" w:hAnsiTheme="majorBidi" w:cs="Ya-Ali"/>
        </w:rPr>
        <w:t>3</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w:t>
      </w:r>
      <w:r w:rsidRPr="00715694">
        <w:rPr>
          <w:rFonts w:asciiTheme="majorBidi" w:hAnsiTheme="majorBidi" w:cstheme="majorBidi"/>
        </w:rPr>
        <w:t>A. D</w:t>
      </w:r>
      <w:r w:rsidRPr="006333E0">
        <w:rPr>
          <w:rFonts w:asciiTheme="majorBidi" w:hAnsiTheme="majorBidi" w:cs="Ya-Ali"/>
        </w:rPr>
        <w:t>8</w:t>
      </w:r>
      <w:r w:rsidRPr="00715694">
        <w:rPr>
          <w:rFonts w:asciiTheme="majorBidi" w:hAnsiTheme="majorBidi" w:cstheme="majorBidi"/>
        </w:rPr>
        <w:t>. B</w:t>
      </w:r>
      <w:r w:rsidRPr="006333E0">
        <w:rPr>
          <w:rFonts w:asciiTheme="majorBidi" w:hAnsiTheme="majorBidi" w:cs="Ya-Ali"/>
        </w:rPr>
        <w:t>3</w:t>
      </w:r>
      <w:r w:rsidRPr="00715694">
        <w:rPr>
          <w:rFonts w:asciiTheme="majorBidi" w:hAnsiTheme="majorBidi" w:cstheme="majorBidi"/>
        </w:rPr>
        <w:t>_. D</w:t>
      </w:r>
      <w:r w:rsidRPr="006333E0">
        <w:rPr>
          <w:rFonts w:asciiTheme="majorBidi" w:hAnsiTheme="majorBidi" w:cs="Ya-Ali"/>
        </w:rPr>
        <w:t>8</w:t>
      </w:r>
      <w:r w:rsidRPr="00715694">
        <w:rPr>
          <w:rFonts w:asciiTheme="majorBidi" w:hAnsiTheme="majorBidi" w:cstheme="majorBidi"/>
        </w:rPr>
        <w:t>. AC.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85</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A</w:t>
      </w:r>
      <w:r w:rsidRPr="006333E0">
        <w:rPr>
          <w:rFonts w:asciiTheme="majorBidi" w:hAnsiTheme="majorBidi" w:cs="Ya-Ali"/>
        </w:rPr>
        <w:t>7</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B</w:t>
      </w:r>
      <w:r w:rsidRPr="006333E0">
        <w:rPr>
          <w:rFonts w:asciiTheme="majorBidi" w:hAnsiTheme="majorBidi" w:cs="Ya-Ali"/>
        </w:rPr>
        <w:t>9</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A</w:t>
      </w:r>
      <w:r w:rsidRPr="006333E0">
        <w:rPr>
          <w:rFonts w:asciiTheme="majorBidi" w:hAnsiTheme="majorBidi" w:cs="Ya-Ali"/>
        </w:rPr>
        <w:t>9</w:t>
      </w:r>
      <w:r w:rsidRPr="00715694">
        <w:rPr>
          <w:rFonts w:asciiTheme="majorBidi" w:hAnsiTheme="majorBidi" w:cstheme="majorBidi"/>
        </w:rPr>
        <w:t>_. D</w:t>
      </w:r>
      <w:r w:rsidRPr="006333E0">
        <w:rPr>
          <w:rFonts w:asciiTheme="majorBidi" w:hAnsiTheme="majorBidi" w:cs="Ya-Ali"/>
        </w:rPr>
        <w:t>8</w:t>
      </w:r>
      <w:r w:rsidRPr="00715694">
        <w:rPr>
          <w:rFonts w:asciiTheme="majorBidi" w:hAnsiTheme="majorBidi" w:cstheme="majorBidi"/>
        </w:rPr>
        <w:t>. A</w:t>
      </w:r>
      <w:r w:rsidRPr="006333E0">
        <w:rPr>
          <w:rFonts w:asciiTheme="majorBidi" w:hAnsiTheme="majorBidi" w:cs="Ya-Ali"/>
        </w:rPr>
        <w:t>7</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84</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A</w:t>
      </w:r>
      <w:r w:rsidRPr="006333E0">
        <w:rPr>
          <w:rFonts w:asciiTheme="majorBidi" w:hAnsiTheme="majorBidi" w:cs="Ya-Ali"/>
        </w:rPr>
        <w:t>5</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AE.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88</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A</w:t>
      </w:r>
      <w:r w:rsidRPr="006333E0">
        <w:rPr>
          <w:rFonts w:asciiTheme="majorBidi" w:hAnsiTheme="majorBidi" w:cs="Ya-Ali"/>
        </w:rPr>
        <w:t>7</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86</w:t>
      </w:r>
      <w:r w:rsidRPr="00715694">
        <w:rPr>
          <w:rFonts w:asciiTheme="majorBidi" w:hAnsiTheme="majorBidi" w:cstheme="majorBidi"/>
        </w:rPr>
        <w:t>_. D</w:t>
      </w:r>
      <w:r w:rsidRPr="006333E0">
        <w:rPr>
          <w:rFonts w:asciiTheme="majorBidi" w:hAnsiTheme="majorBidi" w:cs="Ya-Ali"/>
        </w:rPr>
        <w:t>8</w:t>
      </w:r>
      <w:r w:rsidRPr="00715694">
        <w:rPr>
          <w:rFonts w:asciiTheme="majorBidi" w:hAnsiTheme="majorBidi" w:cstheme="majorBidi"/>
        </w:rPr>
        <w:t>. A</w:t>
      </w:r>
      <w:r w:rsidRPr="006333E0">
        <w:rPr>
          <w:rFonts w:asciiTheme="majorBidi" w:hAnsiTheme="majorBidi" w:cs="Ya-Ali"/>
        </w:rPr>
        <w:t>7</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84</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85</w:t>
      </w:r>
      <w:r w:rsidRPr="00715694">
        <w:rPr>
          <w:rFonts w:asciiTheme="majorBidi" w:hAnsiTheme="majorBidi" w:cstheme="majorBidi"/>
        </w:rPr>
        <w:t>. D</w:t>
      </w:r>
      <w:r w:rsidRPr="006333E0">
        <w:rPr>
          <w:rFonts w:asciiTheme="majorBidi" w:hAnsiTheme="majorBidi" w:cs="Ya-Ali"/>
        </w:rPr>
        <w:t>8</w:t>
      </w:r>
      <w:r w:rsidRPr="00715694">
        <w:rPr>
          <w:rFonts w:asciiTheme="majorBidi" w:hAnsiTheme="majorBidi" w:cstheme="majorBidi"/>
        </w:rPr>
        <w:t>. B</w:t>
      </w:r>
      <w:r w:rsidRPr="006333E0">
        <w:rPr>
          <w:rFonts w:asciiTheme="majorBidi" w:hAnsiTheme="majorBidi" w:cs="Ya-Ali"/>
        </w:rPr>
        <w:t>3</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84</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85</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88</w:t>
      </w:r>
      <w:r w:rsidRPr="00715694">
        <w:rPr>
          <w:rFonts w:asciiTheme="majorBidi" w:hAnsiTheme="majorBidi" w:cstheme="majorBidi"/>
        </w:rPr>
        <w:t>. D</w:t>
      </w:r>
      <w:r w:rsidRPr="006333E0">
        <w:rPr>
          <w:rFonts w:asciiTheme="majorBidi" w:hAnsiTheme="majorBidi" w:cs="Ya-Ali"/>
        </w:rPr>
        <w:t>9</w:t>
      </w:r>
      <w:r w:rsidRPr="00715694">
        <w:rPr>
          <w:rFonts w:asciiTheme="majorBidi" w:hAnsiTheme="majorBidi" w:cstheme="majorBidi"/>
        </w:rPr>
        <w:t xml:space="preserve">. </w:t>
      </w:r>
      <w:r w:rsidRPr="006333E0">
        <w:rPr>
          <w:rFonts w:asciiTheme="majorBidi" w:hAnsiTheme="majorBidi" w:cs="Ya-Ali"/>
        </w:rPr>
        <w:t>86</w:t>
      </w:r>
    </w:p>
  </w:endnote>
  <w:endnote w:id="103">
    <w:p w:rsidR="00F41F33" w:rsidRPr="0094153C" w:rsidRDefault="00F41F33" w:rsidP="00904320">
      <w:pPr>
        <w:spacing w:line="320" w:lineRule="exact"/>
        <w:ind w:firstLine="0"/>
        <w:rPr>
          <w:rFonts w:ascii="Arial" w:hAnsi="Arial" w:cs="DanaFajr"/>
          <w:szCs w:val="28"/>
        </w:rPr>
      </w:pPr>
      <w:r w:rsidRPr="0094153C">
        <w:rPr>
          <w:rFonts w:ascii="Arial" w:hAnsi="Arial" w:cs="DanaFajr"/>
          <w:szCs w:val="28"/>
          <w:rtl/>
          <w:lang w:bidi="ar-LB"/>
        </w:rPr>
        <w:t>(</w:t>
      </w:r>
      <w:r w:rsidRPr="0094153C">
        <w:rPr>
          <w:rStyle w:val="ac"/>
          <w:rFonts w:ascii="Arial" w:hAnsi="Arial" w:cs="DanaFajr"/>
          <w:szCs w:val="28"/>
          <w:vertAlign w:val="baseline"/>
        </w:rPr>
        <w:endnoteRef/>
      </w:r>
      <w:r w:rsidRPr="0094153C">
        <w:rPr>
          <w:rFonts w:ascii="Arial" w:hAnsi="Arial" w:cs="DanaFajr"/>
          <w:szCs w:val="28"/>
          <w:rtl/>
          <w:lang w:bidi="ar-LB"/>
        </w:rPr>
        <w:t xml:space="preserve">) </w:t>
      </w:r>
      <w:r w:rsidRPr="0094153C">
        <w:rPr>
          <w:rFonts w:ascii="Arial" w:hAnsi="Arial" w:cs="DanaFajr" w:hint="cs"/>
          <w:szCs w:val="28"/>
          <w:rtl/>
          <w:lang w:bidi="ar-LB"/>
        </w:rPr>
        <w:t xml:space="preserve">حسن </w:t>
      </w:r>
      <w:r w:rsidRPr="0094153C">
        <w:rPr>
          <w:rFonts w:ascii="Arial" w:hAnsi="Arial" w:cs="DanaFajr"/>
          <w:szCs w:val="28"/>
          <w:rtl/>
        </w:rPr>
        <w:t>البنّا، مجموعة رسائل الامام الشهيد</w:t>
      </w:r>
      <w:r w:rsidRPr="0094153C">
        <w:rPr>
          <w:rFonts w:ascii="Arial" w:hAnsi="Arial" w:cs="DanaFajr" w:hint="cs"/>
          <w:szCs w:val="28"/>
          <w:rtl/>
        </w:rPr>
        <w:t xml:space="preserve">: </w:t>
      </w:r>
      <w:r w:rsidRPr="0094153C">
        <w:rPr>
          <w:rFonts w:ascii="Arial" w:hAnsi="Arial" w:cs="DanaFajr"/>
          <w:szCs w:val="28"/>
          <w:rtl/>
        </w:rPr>
        <w:t>176</w:t>
      </w:r>
      <w:r w:rsidRPr="0094153C">
        <w:rPr>
          <w:rFonts w:ascii="Arial" w:hAnsi="Arial" w:cs="DanaFajr" w:hint="cs"/>
          <w:szCs w:val="28"/>
          <w:rtl/>
        </w:rPr>
        <w:t>،</w:t>
      </w:r>
      <w:r w:rsidRPr="0094153C">
        <w:rPr>
          <w:rFonts w:ascii="Arial" w:hAnsi="Arial" w:cs="DanaFajr"/>
          <w:szCs w:val="28"/>
          <w:rtl/>
        </w:rPr>
        <w:t xml:space="preserve"> 191</w:t>
      </w:r>
      <w:r w:rsidRPr="0094153C">
        <w:rPr>
          <w:rFonts w:ascii="Arial" w:hAnsi="Arial" w:cs="DanaFajr" w:hint="cs"/>
          <w:szCs w:val="28"/>
          <w:rtl/>
        </w:rPr>
        <w:t>،</w:t>
      </w:r>
      <w:r w:rsidRPr="0094153C">
        <w:rPr>
          <w:rFonts w:ascii="Arial" w:hAnsi="Arial" w:cs="DanaFajr"/>
          <w:szCs w:val="28"/>
          <w:rtl/>
        </w:rPr>
        <w:t xml:space="preserve"> 312</w:t>
      </w:r>
      <w:r w:rsidRPr="0094153C">
        <w:rPr>
          <w:rFonts w:ascii="Arial" w:hAnsi="Arial" w:cs="DanaFajr" w:hint="cs"/>
          <w:szCs w:val="28"/>
          <w:rtl/>
        </w:rPr>
        <w:t>،</w:t>
      </w:r>
      <w:r w:rsidRPr="0094153C">
        <w:rPr>
          <w:rFonts w:ascii="Arial" w:hAnsi="Arial" w:cs="DanaFajr"/>
          <w:szCs w:val="28"/>
          <w:rtl/>
        </w:rPr>
        <w:t xml:space="preserve"> مؤسسة الرسالة، د</w:t>
      </w:r>
      <w:r w:rsidRPr="0094153C">
        <w:rPr>
          <w:rFonts w:ascii="Arial" w:hAnsi="Arial" w:cs="DanaFajr" w:hint="cs"/>
          <w:szCs w:val="28"/>
          <w:rtl/>
        </w:rPr>
        <w:t>ون</w:t>
      </w:r>
      <w:r w:rsidRPr="0094153C">
        <w:rPr>
          <w:rFonts w:ascii="Arial" w:hAnsi="Arial" w:cs="DanaFajr"/>
          <w:szCs w:val="28"/>
          <w:rtl/>
        </w:rPr>
        <w:t xml:space="preserve"> ت</w:t>
      </w:r>
      <w:r w:rsidRPr="0094153C">
        <w:rPr>
          <w:rFonts w:ascii="Arial" w:hAnsi="Arial" w:cs="DanaFajr" w:hint="cs"/>
          <w:szCs w:val="28"/>
          <w:rtl/>
        </w:rPr>
        <w:t>اريخ</w:t>
      </w:r>
      <w:r w:rsidRPr="0094153C">
        <w:rPr>
          <w:rFonts w:ascii="Arial" w:hAnsi="Arial" w:cs="DanaFajr"/>
          <w:szCs w:val="28"/>
          <w:rtl/>
        </w:rPr>
        <w:t xml:space="preserve">. </w:t>
      </w:r>
    </w:p>
  </w:endnote>
  <w:endnote w:id="104">
    <w:p w:rsidR="00F41F33" w:rsidRPr="004B7958" w:rsidRDefault="00F41F33" w:rsidP="00904320">
      <w:pPr>
        <w:spacing w:line="320" w:lineRule="exact"/>
        <w:ind w:firstLine="0"/>
        <w:rPr>
          <w:rFonts w:ascii="Arial" w:hAnsi="Arial" w:cs="DanaFajr"/>
          <w:szCs w:val="28"/>
        </w:rPr>
      </w:pPr>
      <w:r w:rsidRPr="004B7958">
        <w:rPr>
          <w:rFonts w:ascii="Arial" w:hAnsi="Arial" w:cs="DanaFajr"/>
          <w:szCs w:val="28"/>
          <w:rtl/>
          <w:lang w:bidi="ar-LB"/>
        </w:rPr>
        <w:t>(</w:t>
      </w:r>
      <w:r w:rsidRPr="004B7958">
        <w:rPr>
          <w:rStyle w:val="ac"/>
          <w:rFonts w:ascii="Arial" w:hAnsi="Arial" w:cs="DanaFajr"/>
          <w:szCs w:val="28"/>
          <w:vertAlign w:val="baseline"/>
        </w:rPr>
        <w:endnoteRef/>
      </w:r>
      <w:r w:rsidRPr="004B7958">
        <w:rPr>
          <w:rFonts w:ascii="Arial" w:hAnsi="Arial" w:cs="DanaFajr"/>
          <w:szCs w:val="28"/>
          <w:rtl/>
          <w:lang w:bidi="ar-LB"/>
        </w:rPr>
        <w:t xml:space="preserve">) </w:t>
      </w:r>
      <w:r w:rsidRPr="004B7958">
        <w:rPr>
          <w:rFonts w:ascii="Arial" w:hAnsi="Arial" w:cs="DanaFajr"/>
          <w:szCs w:val="28"/>
          <w:rtl/>
        </w:rPr>
        <w:t>النظام الخاص</w:t>
      </w:r>
      <w:r w:rsidRPr="004B7958">
        <w:rPr>
          <w:rFonts w:ascii="Arial" w:hAnsi="Arial" w:cs="DanaFajr" w:hint="cs"/>
          <w:szCs w:val="28"/>
          <w:rtl/>
        </w:rPr>
        <w:t>ّ</w:t>
      </w:r>
      <w:r w:rsidRPr="004B7958">
        <w:rPr>
          <w:rFonts w:ascii="Arial" w:hAnsi="Arial" w:cs="DanaFajr"/>
          <w:szCs w:val="28"/>
          <w:rtl/>
        </w:rPr>
        <w:t xml:space="preserve"> ودوره في مقاومة الاستيطان اليهودي</w:t>
      </w:r>
      <w:r w:rsidRPr="004B7958">
        <w:rPr>
          <w:rFonts w:ascii="Arial" w:hAnsi="Arial" w:cs="DanaFajr" w:hint="cs"/>
          <w:szCs w:val="28"/>
          <w:rtl/>
        </w:rPr>
        <w:t>،</w:t>
      </w:r>
      <w:r w:rsidRPr="004B7958">
        <w:rPr>
          <w:rFonts w:ascii="Arial" w:hAnsi="Arial" w:cs="DanaFajr"/>
          <w:szCs w:val="28"/>
          <w:rtl/>
        </w:rPr>
        <w:t xml:space="preserve"> موقع الإخوان المسلمين</w:t>
      </w:r>
      <w:r w:rsidRPr="004B7958">
        <w:rPr>
          <w:rFonts w:ascii="Arial" w:hAnsi="Arial" w:cs="DanaFajr" w:hint="cs"/>
          <w:szCs w:val="28"/>
          <w:rtl/>
        </w:rPr>
        <w:t>:</w:t>
      </w:r>
      <w:r w:rsidRPr="004B7958">
        <w:rPr>
          <w:rFonts w:ascii="Arial" w:hAnsi="Arial" w:cs="DanaFajr"/>
          <w:szCs w:val="28"/>
          <w:rtl/>
        </w:rPr>
        <w:t xml:space="preserve"> </w:t>
      </w:r>
    </w:p>
    <w:p w:rsidR="00F41F33" w:rsidRPr="00715694" w:rsidRDefault="00F41F33" w:rsidP="00904320">
      <w:pPr>
        <w:pStyle w:val="aa"/>
        <w:spacing w:line="320" w:lineRule="exact"/>
        <w:ind w:firstLine="0"/>
        <w:jc w:val="right"/>
        <w:rPr>
          <w:rFonts w:asciiTheme="majorBidi" w:hAnsiTheme="majorBidi" w:cstheme="majorBidi"/>
        </w:rPr>
      </w:pPr>
      <w:r w:rsidRPr="00715694">
        <w:rPr>
          <w:rFonts w:asciiTheme="majorBidi" w:hAnsiTheme="majorBidi" w:cstheme="majorBidi"/>
        </w:rPr>
        <w:t>http: //www. ikhwanonline. com/Article. asp?ArtID=</w:t>
      </w:r>
      <w:r w:rsidRPr="006333E0">
        <w:rPr>
          <w:rFonts w:asciiTheme="majorBidi" w:hAnsiTheme="majorBidi" w:cs="Ya-Ali"/>
        </w:rPr>
        <w:t>513</w:t>
      </w:r>
      <w:r w:rsidRPr="00715694">
        <w:rPr>
          <w:rFonts w:asciiTheme="majorBidi" w:hAnsiTheme="majorBidi" w:cstheme="majorBidi"/>
        </w:rPr>
        <w:t>&amp;SecID=</w:t>
      </w:r>
      <w:r w:rsidRPr="006333E0">
        <w:rPr>
          <w:rFonts w:asciiTheme="majorBidi" w:hAnsiTheme="majorBidi" w:cs="Ya-Ali"/>
        </w:rPr>
        <w:t>373</w:t>
      </w:r>
    </w:p>
  </w:endnote>
  <w:endnote w:id="105">
    <w:p w:rsidR="00F41F33" w:rsidRPr="0094153C" w:rsidRDefault="00F41F33" w:rsidP="00904320">
      <w:pPr>
        <w:pStyle w:val="aa"/>
        <w:spacing w:line="320" w:lineRule="exact"/>
        <w:ind w:firstLine="0"/>
        <w:rPr>
          <w:rFonts w:ascii="Arial" w:hAnsi="Arial" w:cs="DanaFajr"/>
          <w:sz w:val="28"/>
          <w:szCs w:val="28"/>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 xml:space="preserve">) </w:t>
      </w:r>
      <w:r w:rsidRPr="0094153C">
        <w:rPr>
          <w:rFonts w:ascii="Arial" w:hAnsi="Arial" w:cs="DanaFajr" w:hint="cs"/>
          <w:sz w:val="28"/>
          <w:szCs w:val="28"/>
          <w:rtl/>
          <w:lang w:bidi="ar-LB"/>
        </w:rPr>
        <w:t xml:space="preserve">محمود </w:t>
      </w:r>
      <w:r w:rsidRPr="0094153C">
        <w:rPr>
          <w:rFonts w:ascii="Arial" w:hAnsi="Arial" w:cs="DanaFajr"/>
          <w:sz w:val="28"/>
          <w:szCs w:val="28"/>
          <w:rtl/>
        </w:rPr>
        <w:t>عبد الحليم، الإخوان المسلمون</w:t>
      </w:r>
      <w:r w:rsidRPr="0094153C">
        <w:rPr>
          <w:rFonts w:ascii="Arial" w:hAnsi="Arial" w:cs="DanaFajr" w:hint="cs"/>
          <w:sz w:val="28"/>
          <w:szCs w:val="28"/>
          <w:rtl/>
        </w:rPr>
        <w:t>،</w:t>
      </w:r>
      <w:r w:rsidRPr="0094153C">
        <w:rPr>
          <w:rFonts w:ascii="Arial" w:hAnsi="Arial" w:cs="DanaFajr"/>
          <w:sz w:val="28"/>
          <w:szCs w:val="28"/>
          <w:rtl/>
        </w:rPr>
        <w:t xml:space="preserve"> </w:t>
      </w:r>
      <w:r w:rsidRPr="0094153C">
        <w:rPr>
          <w:rFonts w:ascii="Arial" w:hAnsi="Arial" w:cs="DanaFajr" w:hint="cs"/>
          <w:sz w:val="28"/>
          <w:szCs w:val="28"/>
          <w:rtl/>
        </w:rPr>
        <w:t>أ</w:t>
      </w:r>
      <w:r w:rsidRPr="0094153C">
        <w:rPr>
          <w:rFonts w:ascii="Arial" w:hAnsi="Arial" w:cs="DanaFajr"/>
          <w:sz w:val="28"/>
          <w:szCs w:val="28"/>
          <w:rtl/>
        </w:rPr>
        <w:t>حداث صنعت التاريخ</w:t>
      </w:r>
      <w:r w:rsidRPr="0094153C">
        <w:rPr>
          <w:rFonts w:ascii="Arial" w:hAnsi="Arial" w:cs="DanaFajr" w:hint="cs"/>
          <w:sz w:val="28"/>
          <w:szCs w:val="28"/>
          <w:rtl/>
        </w:rPr>
        <w:t>:</w:t>
      </w:r>
      <w:r w:rsidRPr="0094153C">
        <w:rPr>
          <w:rFonts w:ascii="Arial" w:hAnsi="Arial" w:cs="DanaFajr"/>
          <w:sz w:val="28"/>
          <w:szCs w:val="28"/>
          <w:rtl/>
        </w:rPr>
        <w:t xml:space="preserve"> 417</w:t>
      </w:r>
      <w:r w:rsidRPr="0094153C">
        <w:rPr>
          <w:rFonts w:ascii="Arial" w:hAnsi="Arial" w:cs="DanaFajr" w:hint="cs"/>
          <w:sz w:val="28"/>
          <w:szCs w:val="28"/>
          <w:rtl/>
        </w:rPr>
        <w:t>،</w:t>
      </w:r>
      <w:r w:rsidRPr="0094153C">
        <w:rPr>
          <w:rFonts w:ascii="Arial" w:hAnsi="Arial" w:cs="DanaFajr"/>
          <w:sz w:val="28"/>
          <w:szCs w:val="28"/>
          <w:rtl/>
        </w:rPr>
        <w:t xml:space="preserve"> دار الدعوة، ال</w:t>
      </w:r>
      <w:r w:rsidRPr="0094153C">
        <w:rPr>
          <w:rFonts w:ascii="Arial" w:hAnsi="Arial" w:cs="DanaFajr" w:hint="cs"/>
          <w:sz w:val="28"/>
          <w:szCs w:val="28"/>
          <w:rtl/>
        </w:rPr>
        <w:t>إ</w:t>
      </w:r>
      <w:r w:rsidRPr="0094153C">
        <w:rPr>
          <w:rFonts w:ascii="Arial" w:hAnsi="Arial" w:cs="DanaFajr"/>
          <w:sz w:val="28"/>
          <w:szCs w:val="28"/>
          <w:rtl/>
        </w:rPr>
        <w:t xml:space="preserve">سكندرية، ط5، 1994. </w:t>
      </w:r>
    </w:p>
  </w:endnote>
  <w:endnote w:id="106">
    <w:p w:rsidR="00F41F33" w:rsidRPr="0094153C" w:rsidRDefault="00F41F33" w:rsidP="00904320">
      <w:pPr>
        <w:pStyle w:val="aa"/>
        <w:spacing w:line="320" w:lineRule="exact"/>
        <w:ind w:firstLine="0"/>
        <w:rPr>
          <w:rFonts w:ascii="Arial" w:hAnsi="Arial" w:cs="DanaFajr"/>
          <w:sz w:val="28"/>
          <w:szCs w:val="28"/>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 xml:space="preserve">) </w:t>
      </w:r>
      <w:r w:rsidRPr="0094153C">
        <w:rPr>
          <w:rFonts w:ascii="Arial" w:hAnsi="Arial" w:cs="DanaFajr" w:hint="cs"/>
          <w:sz w:val="28"/>
          <w:szCs w:val="28"/>
          <w:rtl/>
        </w:rPr>
        <w:t>المصدر السابق</w:t>
      </w:r>
      <w:r w:rsidRPr="0094153C">
        <w:rPr>
          <w:rFonts w:ascii="Arial" w:hAnsi="Arial" w:cs="DanaFajr"/>
          <w:sz w:val="28"/>
          <w:szCs w:val="28"/>
          <w:rtl/>
        </w:rPr>
        <w:t xml:space="preserve">: 493. </w:t>
      </w:r>
    </w:p>
  </w:endnote>
  <w:endnote w:id="107">
    <w:p w:rsidR="00F41F33" w:rsidRPr="004B7958" w:rsidRDefault="00F41F33" w:rsidP="00904320">
      <w:pPr>
        <w:pStyle w:val="pretitle"/>
        <w:bidi/>
        <w:spacing w:after="0" w:line="320" w:lineRule="exact"/>
        <w:jc w:val="both"/>
        <w:rPr>
          <w:rFonts w:ascii="Arial" w:hAnsi="Arial" w:cs="DanaFajr"/>
          <w:b w:val="0"/>
          <w:bCs w:val="0"/>
          <w:color w:val="auto"/>
          <w:sz w:val="28"/>
          <w:szCs w:val="28"/>
          <w:u w:val="none"/>
        </w:rPr>
      </w:pPr>
      <w:r w:rsidRPr="004B7958">
        <w:rPr>
          <w:rFonts w:ascii="Arial" w:hAnsi="Arial" w:cs="DanaFajr"/>
          <w:b w:val="0"/>
          <w:bCs w:val="0"/>
          <w:color w:val="auto"/>
          <w:sz w:val="28"/>
          <w:szCs w:val="28"/>
          <w:u w:val="none"/>
          <w:rtl/>
        </w:rPr>
        <w:t>(</w:t>
      </w:r>
      <w:r w:rsidRPr="004B7958">
        <w:rPr>
          <w:rStyle w:val="ac"/>
          <w:rFonts w:ascii="Arial" w:hAnsi="Arial" w:cs="DanaFajr"/>
          <w:b w:val="0"/>
          <w:bCs w:val="0"/>
          <w:color w:val="auto"/>
          <w:sz w:val="28"/>
          <w:szCs w:val="28"/>
          <w:u w:val="none"/>
          <w:vertAlign w:val="baseline"/>
        </w:rPr>
        <w:endnoteRef/>
      </w:r>
      <w:r w:rsidRPr="004B7958">
        <w:rPr>
          <w:rFonts w:ascii="Arial" w:hAnsi="Arial" w:cs="DanaFajr"/>
          <w:b w:val="0"/>
          <w:bCs w:val="0"/>
          <w:color w:val="auto"/>
          <w:sz w:val="28"/>
          <w:szCs w:val="28"/>
          <w:u w:val="none"/>
          <w:rtl/>
        </w:rPr>
        <w:t xml:space="preserve">) </w:t>
      </w:r>
      <w:r w:rsidRPr="004B7958">
        <w:rPr>
          <w:rFonts w:ascii="Arial" w:hAnsi="Arial" w:cs="DanaFajr" w:hint="cs"/>
          <w:b w:val="0"/>
          <w:bCs w:val="0"/>
          <w:color w:val="auto"/>
          <w:sz w:val="28"/>
          <w:szCs w:val="28"/>
          <w:u w:val="none"/>
          <w:rtl/>
        </w:rPr>
        <w:t xml:space="preserve">مهدي </w:t>
      </w:r>
      <w:r w:rsidRPr="004B7958">
        <w:rPr>
          <w:rFonts w:ascii="Arial" w:hAnsi="Arial" w:cs="DanaFajr"/>
          <w:b w:val="0"/>
          <w:bCs w:val="0"/>
          <w:color w:val="auto"/>
          <w:sz w:val="28"/>
          <w:szCs w:val="28"/>
          <w:u w:val="none"/>
          <w:rtl/>
        </w:rPr>
        <w:t>عاكف، مقابلة في برنامج مراجعات</w:t>
      </w:r>
      <w:r w:rsidRPr="004B7958">
        <w:rPr>
          <w:rFonts w:ascii="Arial" w:hAnsi="Arial" w:cs="DanaFajr" w:hint="cs"/>
          <w:b w:val="0"/>
          <w:bCs w:val="0"/>
          <w:color w:val="auto"/>
          <w:sz w:val="28"/>
          <w:szCs w:val="28"/>
          <w:u w:val="none"/>
          <w:rtl/>
        </w:rPr>
        <w:t>،</w:t>
      </w:r>
      <w:r w:rsidRPr="004B7958">
        <w:rPr>
          <w:rFonts w:ascii="Arial" w:hAnsi="Arial" w:cs="DanaFajr"/>
          <w:b w:val="0"/>
          <w:bCs w:val="0"/>
          <w:color w:val="auto"/>
          <w:sz w:val="28"/>
          <w:szCs w:val="28"/>
          <w:u w:val="none"/>
          <w:rtl/>
        </w:rPr>
        <w:t xml:space="preserve"> موقع الإسلام أون لاين</w:t>
      </w:r>
      <w:r w:rsidRPr="004B7958">
        <w:rPr>
          <w:rFonts w:ascii="Arial" w:hAnsi="Arial" w:cs="DanaFajr" w:hint="cs"/>
          <w:b w:val="0"/>
          <w:bCs w:val="0"/>
          <w:color w:val="auto"/>
          <w:sz w:val="28"/>
          <w:szCs w:val="28"/>
          <w:u w:val="none"/>
          <w:rtl/>
        </w:rPr>
        <w:t>:</w:t>
      </w:r>
      <w:r w:rsidRPr="004B7958">
        <w:rPr>
          <w:rFonts w:ascii="Arial" w:hAnsi="Arial" w:cs="DanaFajr"/>
          <w:b w:val="0"/>
          <w:bCs w:val="0"/>
          <w:color w:val="auto"/>
          <w:sz w:val="28"/>
          <w:szCs w:val="28"/>
          <w:u w:val="none"/>
          <w:rtl/>
        </w:rPr>
        <w:t xml:space="preserve"> </w:t>
      </w:r>
    </w:p>
    <w:p w:rsidR="00F41F33" w:rsidRPr="00715694" w:rsidRDefault="00F41F33" w:rsidP="00904320">
      <w:pPr>
        <w:pStyle w:val="aa"/>
        <w:spacing w:line="320" w:lineRule="exact"/>
        <w:ind w:firstLine="0"/>
        <w:jc w:val="right"/>
        <w:rPr>
          <w:rFonts w:asciiTheme="majorBidi" w:hAnsiTheme="majorBidi" w:cstheme="majorBidi"/>
        </w:rPr>
      </w:pPr>
      <w:r w:rsidRPr="00715694">
        <w:rPr>
          <w:rFonts w:asciiTheme="majorBidi" w:hAnsiTheme="majorBidi" w:cstheme="majorBidi"/>
        </w:rPr>
        <w:t>http://www.islamonline.net/servlet/Satellite?c=ArticleA_C&amp;pagename=Zone</w:t>
      </w:r>
      <w:r w:rsidRPr="00715694">
        <w:rPr>
          <w:rFonts w:asciiTheme="majorBidi" w:hAnsiTheme="majorBidi" w:cstheme="majorBidi"/>
          <w:rtl/>
        </w:rPr>
        <w:t xml:space="preserve"> ـ </w:t>
      </w:r>
      <w:r w:rsidRPr="00715694">
        <w:rPr>
          <w:rFonts w:asciiTheme="majorBidi" w:hAnsiTheme="majorBidi" w:cstheme="majorBidi"/>
        </w:rPr>
        <w:t>Arabic</w:t>
      </w:r>
      <w:r w:rsidRPr="00715694">
        <w:rPr>
          <w:rFonts w:asciiTheme="majorBidi" w:hAnsiTheme="majorBidi" w:cstheme="majorBidi"/>
          <w:rtl/>
        </w:rPr>
        <w:t xml:space="preserve"> </w:t>
      </w:r>
      <w:r w:rsidRPr="00715694">
        <w:rPr>
          <w:rFonts w:asciiTheme="majorBidi" w:hAnsiTheme="majorBidi" w:cstheme="majorBidi"/>
        </w:rPr>
        <w:t>Daawa%</w:t>
      </w:r>
      <w:r w:rsidRPr="006333E0">
        <w:rPr>
          <w:rFonts w:asciiTheme="majorBidi" w:hAnsiTheme="majorBidi" w:cs="Ya-Ali"/>
        </w:rPr>
        <w:t>2</w:t>
      </w:r>
      <w:r w:rsidRPr="00715694">
        <w:rPr>
          <w:rFonts w:asciiTheme="majorBidi" w:hAnsiTheme="majorBidi" w:cstheme="majorBidi"/>
        </w:rPr>
        <w:t>FDWALayout&amp;cid=</w:t>
      </w:r>
      <w:r w:rsidRPr="006333E0">
        <w:rPr>
          <w:rFonts w:asciiTheme="majorBidi" w:hAnsiTheme="majorBidi" w:cs="Ya-Ali"/>
        </w:rPr>
        <w:t>1203759268458</w:t>
      </w:r>
    </w:p>
  </w:endnote>
  <w:endnote w:id="108">
    <w:p w:rsidR="00F41F33" w:rsidRPr="004B7958" w:rsidRDefault="00F41F33" w:rsidP="00904320">
      <w:pPr>
        <w:pStyle w:val="pretitle"/>
        <w:bidi/>
        <w:spacing w:after="0" w:line="320" w:lineRule="exact"/>
        <w:jc w:val="both"/>
        <w:rPr>
          <w:rFonts w:ascii="Arial" w:hAnsi="Arial" w:cs="DanaFajr"/>
          <w:b w:val="0"/>
          <w:bCs w:val="0"/>
          <w:color w:val="auto"/>
          <w:sz w:val="28"/>
          <w:szCs w:val="28"/>
          <w:u w:val="none"/>
        </w:rPr>
      </w:pPr>
      <w:r w:rsidRPr="004B7958">
        <w:rPr>
          <w:rFonts w:ascii="Arial" w:hAnsi="Arial" w:cs="DanaFajr"/>
          <w:b w:val="0"/>
          <w:bCs w:val="0"/>
          <w:color w:val="auto"/>
          <w:sz w:val="28"/>
          <w:szCs w:val="28"/>
          <w:u w:val="none"/>
          <w:rtl/>
        </w:rPr>
        <w:t>(</w:t>
      </w:r>
      <w:r w:rsidRPr="004B7958">
        <w:rPr>
          <w:rStyle w:val="ac"/>
          <w:rFonts w:ascii="Arial" w:hAnsi="Arial" w:cs="DanaFajr"/>
          <w:b w:val="0"/>
          <w:bCs w:val="0"/>
          <w:color w:val="auto"/>
          <w:sz w:val="28"/>
          <w:szCs w:val="28"/>
          <w:u w:val="none"/>
          <w:vertAlign w:val="baseline"/>
        </w:rPr>
        <w:endnoteRef/>
      </w:r>
      <w:r w:rsidRPr="004B7958">
        <w:rPr>
          <w:rFonts w:ascii="Arial" w:hAnsi="Arial" w:cs="DanaFajr"/>
          <w:b w:val="0"/>
          <w:bCs w:val="0"/>
          <w:color w:val="auto"/>
          <w:sz w:val="28"/>
          <w:szCs w:val="28"/>
          <w:u w:val="none"/>
          <w:rtl/>
        </w:rPr>
        <w:t xml:space="preserve">) </w:t>
      </w:r>
      <w:r w:rsidRPr="004B7958">
        <w:rPr>
          <w:rFonts w:ascii="Arial" w:hAnsi="Arial" w:cs="DanaFajr" w:hint="cs"/>
          <w:b w:val="0"/>
          <w:bCs w:val="0"/>
          <w:color w:val="auto"/>
          <w:sz w:val="28"/>
          <w:szCs w:val="28"/>
          <w:u w:val="none"/>
          <w:rtl/>
          <w:lang w:bidi="ar-LB"/>
        </w:rPr>
        <w:t>المصدر نفسه</w:t>
      </w:r>
      <w:r w:rsidRPr="004B7958">
        <w:rPr>
          <w:rFonts w:ascii="Arial" w:hAnsi="Arial" w:cs="DanaFajr"/>
          <w:b w:val="0"/>
          <w:bCs w:val="0"/>
          <w:color w:val="auto"/>
          <w:sz w:val="28"/>
          <w:szCs w:val="28"/>
          <w:u w:val="none"/>
          <w:rtl/>
        </w:rPr>
        <w:t xml:space="preserve">. </w:t>
      </w:r>
    </w:p>
  </w:endnote>
  <w:endnote w:id="109">
    <w:p w:rsidR="00F41F33" w:rsidRPr="004B7958" w:rsidRDefault="00F41F33" w:rsidP="00904320">
      <w:pPr>
        <w:spacing w:line="320" w:lineRule="exact"/>
        <w:ind w:firstLine="0"/>
        <w:rPr>
          <w:rFonts w:ascii="Arial" w:hAnsi="Arial" w:cs="DanaFajr"/>
          <w:szCs w:val="28"/>
        </w:rPr>
      </w:pPr>
      <w:r w:rsidRPr="004B7958">
        <w:rPr>
          <w:rFonts w:ascii="Arial" w:hAnsi="Arial" w:cs="DanaFajr"/>
          <w:szCs w:val="28"/>
          <w:rtl/>
          <w:lang w:bidi="ar-LB"/>
        </w:rPr>
        <w:t>(</w:t>
      </w:r>
      <w:r w:rsidRPr="004B7958">
        <w:rPr>
          <w:rStyle w:val="ac"/>
          <w:rFonts w:ascii="Arial" w:hAnsi="Arial" w:cs="DanaFajr"/>
          <w:szCs w:val="28"/>
          <w:vertAlign w:val="baseline"/>
        </w:rPr>
        <w:endnoteRef/>
      </w:r>
      <w:r w:rsidRPr="004B7958">
        <w:rPr>
          <w:rFonts w:ascii="Arial" w:hAnsi="Arial" w:cs="DanaFajr"/>
          <w:szCs w:val="28"/>
          <w:rtl/>
          <w:lang w:bidi="ar-LB"/>
        </w:rPr>
        <w:t xml:space="preserve">) </w:t>
      </w:r>
      <w:r w:rsidRPr="004B7958">
        <w:rPr>
          <w:rFonts w:ascii="Arial" w:hAnsi="Arial" w:cs="DanaFajr" w:hint="cs"/>
          <w:szCs w:val="28"/>
          <w:rtl/>
          <w:lang w:bidi="ar-LB"/>
        </w:rPr>
        <w:t xml:space="preserve">سعود </w:t>
      </w:r>
      <w:r w:rsidRPr="004B7958">
        <w:rPr>
          <w:rFonts w:ascii="Arial" w:hAnsi="Arial" w:cs="DanaFajr"/>
          <w:szCs w:val="28"/>
          <w:rtl/>
        </w:rPr>
        <w:t>المولى، السلفية والجهاد والقاعدة وحزب التحرير والجهاد الإسلامي</w:t>
      </w:r>
      <w:r w:rsidRPr="004B7958">
        <w:rPr>
          <w:rFonts w:ascii="Arial" w:hAnsi="Arial" w:cs="DanaFajr" w:hint="cs"/>
          <w:szCs w:val="28"/>
          <w:rtl/>
        </w:rPr>
        <w:t>،</w:t>
      </w:r>
      <w:r w:rsidRPr="004B7958">
        <w:rPr>
          <w:rFonts w:ascii="Arial" w:hAnsi="Arial" w:cs="DanaFajr"/>
          <w:szCs w:val="28"/>
          <w:rtl/>
        </w:rPr>
        <w:t xml:space="preserve"> صحيفة المستقبل اللبنانية. </w:t>
      </w:r>
    </w:p>
  </w:endnote>
  <w:endnote w:id="110">
    <w:p w:rsidR="00F41F33" w:rsidRPr="004B7958" w:rsidRDefault="00F41F33" w:rsidP="00904320">
      <w:pPr>
        <w:pStyle w:val="pretitle"/>
        <w:bidi/>
        <w:spacing w:after="0" w:line="320" w:lineRule="exact"/>
        <w:jc w:val="both"/>
        <w:rPr>
          <w:rFonts w:ascii="Arial" w:hAnsi="Arial" w:cs="DanaFajr"/>
          <w:b w:val="0"/>
          <w:bCs w:val="0"/>
          <w:color w:val="auto"/>
          <w:sz w:val="28"/>
          <w:szCs w:val="28"/>
          <w:u w:val="none"/>
        </w:rPr>
      </w:pPr>
      <w:r w:rsidRPr="004B7958">
        <w:rPr>
          <w:rFonts w:ascii="Arial" w:hAnsi="Arial" w:cs="DanaFajr"/>
          <w:b w:val="0"/>
          <w:bCs w:val="0"/>
          <w:color w:val="auto"/>
          <w:sz w:val="28"/>
          <w:szCs w:val="28"/>
          <w:u w:val="none"/>
          <w:rtl/>
        </w:rPr>
        <w:t>(</w:t>
      </w:r>
      <w:r w:rsidRPr="004B7958">
        <w:rPr>
          <w:rStyle w:val="ac"/>
          <w:rFonts w:ascii="Arial" w:hAnsi="Arial" w:cs="DanaFajr"/>
          <w:b w:val="0"/>
          <w:bCs w:val="0"/>
          <w:color w:val="auto"/>
          <w:sz w:val="28"/>
          <w:szCs w:val="28"/>
          <w:u w:val="none"/>
          <w:vertAlign w:val="baseline"/>
        </w:rPr>
        <w:endnoteRef/>
      </w:r>
      <w:r w:rsidRPr="004B7958">
        <w:rPr>
          <w:rFonts w:ascii="Arial" w:hAnsi="Arial" w:cs="DanaFajr"/>
          <w:b w:val="0"/>
          <w:bCs w:val="0"/>
          <w:color w:val="auto"/>
          <w:sz w:val="28"/>
          <w:szCs w:val="28"/>
          <w:u w:val="none"/>
          <w:rtl/>
        </w:rPr>
        <w:t xml:space="preserve">) </w:t>
      </w:r>
      <w:r w:rsidRPr="004B7958">
        <w:rPr>
          <w:rFonts w:ascii="Arial" w:hAnsi="Arial" w:cs="DanaFajr" w:hint="cs"/>
          <w:b w:val="0"/>
          <w:bCs w:val="0"/>
          <w:color w:val="auto"/>
          <w:sz w:val="28"/>
          <w:szCs w:val="28"/>
          <w:u w:val="none"/>
          <w:rtl/>
        </w:rPr>
        <w:t xml:space="preserve">مهدي </w:t>
      </w:r>
      <w:r w:rsidRPr="004B7958">
        <w:rPr>
          <w:rFonts w:ascii="Arial" w:hAnsi="Arial" w:cs="DanaFajr"/>
          <w:b w:val="0"/>
          <w:bCs w:val="0"/>
          <w:color w:val="auto"/>
          <w:sz w:val="28"/>
          <w:szCs w:val="28"/>
          <w:u w:val="none"/>
          <w:rtl/>
        </w:rPr>
        <w:t xml:space="preserve">عاكف، مقابلة في برنامج مراجعات. </w:t>
      </w:r>
    </w:p>
  </w:endnote>
  <w:endnote w:id="111">
    <w:p w:rsidR="00F41F33" w:rsidRPr="004B7958" w:rsidRDefault="00F41F33" w:rsidP="00904320">
      <w:pPr>
        <w:pStyle w:val="pretitle"/>
        <w:bidi/>
        <w:spacing w:after="0" w:line="320" w:lineRule="exact"/>
        <w:jc w:val="both"/>
        <w:rPr>
          <w:rFonts w:ascii="Arial" w:hAnsi="Arial" w:cs="DanaFajr"/>
          <w:b w:val="0"/>
          <w:bCs w:val="0"/>
          <w:color w:val="auto"/>
          <w:sz w:val="28"/>
          <w:szCs w:val="28"/>
          <w:u w:val="none"/>
        </w:rPr>
      </w:pPr>
      <w:r w:rsidRPr="004B7958">
        <w:rPr>
          <w:rFonts w:ascii="Arial" w:hAnsi="Arial" w:cs="DanaFajr"/>
          <w:b w:val="0"/>
          <w:bCs w:val="0"/>
          <w:color w:val="auto"/>
          <w:sz w:val="28"/>
          <w:szCs w:val="28"/>
          <w:u w:val="none"/>
          <w:rtl/>
        </w:rPr>
        <w:t>(</w:t>
      </w:r>
      <w:r w:rsidRPr="004B7958">
        <w:rPr>
          <w:rStyle w:val="ac"/>
          <w:rFonts w:ascii="Arial" w:hAnsi="Arial" w:cs="DanaFajr"/>
          <w:b w:val="0"/>
          <w:bCs w:val="0"/>
          <w:color w:val="auto"/>
          <w:sz w:val="28"/>
          <w:szCs w:val="28"/>
          <w:u w:val="none"/>
          <w:vertAlign w:val="baseline"/>
        </w:rPr>
        <w:endnoteRef/>
      </w:r>
      <w:r w:rsidRPr="004B7958">
        <w:rPr>
          <w:rFonts w:ascii="Arial" w:hAnsi="Arial" w:cs="DanaFajr"/>
          <w:b w:val="0"/>
          <w:bCs w:val="0"/>
          <w:color w:val="auto"/>
          <w:sz w:val="28"/>
          <w:szCs w:val="28"/>
          <w:u w:val="none"/>
          <w:rtl/>
        </w:rPr>
        <w:t xml:space="preserve">) </w:t>
      </w:r>
      <w:r w:rsidRPr="004B7958">
        <w:rPr>
          <w:rFonts w:ascii="Arial" w:hAnsi="Arial" w:cs="DanaFajr" w:hint="cs"/>
          <w:b w:val="0"/>
          <w:bCs w:val="0"/>
          <w:color w:val="auto"/>
          <w:sz w:val="28"/>
          <w:szCs w:val="28"/>
          <w:u w:val="none"/>
          <w:rtl/>
        </w:rPr>
        <w:t>المصدر</w:t>
      </w:r>
      <w:r w:rsidRPr="004B7958">
        <w:rPr>
          <w:rFonts w:ascii="Arial" w:hAnsi="Arial" w:cs="DanaFajr"/>
          <w:b w:val="0"/>
          <w:bCs w:val="0"/>
          <w:color w:val="auto"/>
          <w:sz w:val="28"/>
          <w:szCs w:val="28"/>
          <w:u w:val="none"/>
          <w:rtl/>
        </w:rPr>
        <w:t xml:space="preserve"> نفسه. </w:t>
      </w:r>
    </w:p>
  </w:endnote>
  <w:endnote w:id="112">
    <w:p w:rsidR="00F41F33" w:rsidRPr="004B7958" w:rsidRDefault="00F41F33" w:rsidP="00904320">
      <w:pPr>
        <w:spacing w:line="320" w:lineRule="exact"/>
        <w:ind w:firstLine="0"/>
        <w:rPr>
          <w:rFonts w:ascii="Arial" w:hAnsi="Arial" w:cs="DanaFajr"/>
          <w:szCs w:val="28"/>
        </w:rPr>
      </w:pPr>
      <w:r w:rsidRPr="004B7958">
        <w:rPr>
          <w:rFonts w:ascii="Arial" w:hAnsi="Arial" w:cs="DanaFajr"/>
          <w:szCs w:val="28"/>
          <w:rtl/>
          <w:lang w:bidi="ar-LB"/>
        </w:rPr>
        <w:t>(</w:t>
      </w:r>
      <w:r w:rsidRPr="004B7958">
        <w:rPr>
          <w:rStyle w:val="ac"/>
          <w:rFonts w:ascii="Arial" w:hAnsi="Arial" w:cs="DanaFajr"/>
          <w:szCs w:val="28"/>
          <w:vertAlign w:val="baseline"/>
        </w:rPr>
        <w:endnoteRef/>
      </w:r>
      <w:r w:rsidRPr="004B7958">
        <w:rPr>
          <w:rFonts w:ascii="Arial" w:hAnsi="Arial" w:cs="DanaFajr"/>
          <w:szCs w:val="28"/>
          <w:rtl/>
          <w:lang w:bidi="ar-LB"/>
        </w:rPr>
        <w:t xml:space="preserve">) </w:t>
      </w:r>
      <w:r w:rsidRPr="004B7958">
        <w:rPr>
          <w:rFonts w:ascii="Arial" w:hAnsi="Arial" w:cs="DanaFajr" w:hint="cs"/>
          <w:szCs w:val="28"/>
          <w:rtl/>
        </w:rPr>
        <w:t xml:space="preserve">سعود </w:t>
      </w:r>
      <w:r w:rsidRPr="004B7958">
        <w:rPr>
          <w:rFonts w:ascii="Arial" w:hAnsi="Arial" w:cs="DanaFajr"/>
          <w:szCs w:val="28"/>
          <w:rtl/>
        </w:rPr>
        <w:t>المولى، السلفية والجهاد والقاعدة وحزب التحرير والجهاد الإسلامي</w:t>
      </w:r>
      <w:r w:rsidRPr="004B7958">
        <w:rPr>
          <w:rFonts w:ascii="Arial" w:hAnsi="Arial" w:cs="DanaFajr" w:hint="cs"/>
          <w:szCs w:val="28"/>
          <w:rtl/>
        </w:rPr>
        <w:t>،</w:t>
      </w:r>
      <w:r w:rsidRPr="004B7958">
        <w:rPr>
          <w:rFonts w:ascii="Arial" w:hAnsi="Arial" w:cs="DanaFajr"/>
          <w:szCs w:val="28"/>
          <w:rtl/>
        </w:rPr>
        <w:t xml:space="preserve"> صحيفة المستقبل اللبنانية. </w:t>
      </w:r>
    </w:p>
  </w:endnote>
  <w:endnote w:id="113">
    <w:p w:rsidR="00F41F33" w:rsidRPr="004B7958" w:rsidRDefault="00F41F33" w:rsidP="00904320">
      <w:pPr>
        <w:spacing w:line="320" w:lineRule="exact"/>
        <w:ind w:firstLine="0"/>
        <w:rPr>
          <w:rFonts w:ascii="Arial" w:hAnsi="Arial" w:cs="DanaFajr"/>
          <w:szCs w:val="28"/>
        </w:rPr>
      </w:pPr>
      <w:r w:rsidRPr="004B7958">
        <w:rPr>
          <w:rFonts w:ascii="Arial" w:hAnsi="Arial" w:cs="DanaFajr"/>
          <w:szCs w:val="28"/>
          <w:rtl/>
        </w:rPr>
        <w:t>(</w:t>
      </w:r>
      <w:r w:rsidRPr="004B7958">
        <w:rPr>
          <w:rStyle w:val="ac"/>
          <w:rFonts w:ascii="Arial" w:hAnsi="Arial" w:cs="DanaFajr"/>
          <w:szCs w:val="28"/>
          <w:vertAlign w:val="baseline"/>
        </w:rPr>
        <w:endnoteRef/>
      </w:r>
      <w:r w:rsidRPr="004B7958">
        <w:rPr>
          <w:rFonts w:ascii="Arial" w:hAnsi="Arial" w:cs="DanaFajr"/>
          <w:szCs w:val="28"/>
          <w:rtl/>
        </w:rPr>
        <w:t>) يؤك</w:t>
      </w:r>
      <w:r w:rsidRPr="004B7958">
        <w:rPr>
          <w:rFonts w:ascii="Arial" w:hAnsi="Arial" w:cs="DanaFajr" w:hint="cs"/>
          <w:szCs w:val="28"/>
          <w:rtl/>
        </w:rPr>
        <w:t>ِّ</w:t>
      </w:r>
      <w:r w:rsidRPr="004B7958">
        <w:rPr>
          <w:rFonts w:ascii="Arial" w:hAnsi="Arial" w:cs="DanaFajr"/>
          <w:szCs w:val="28"/>
          <w:rtl/>
        </w:rPr>
        <w:t>د محمد مهدي عاكف المرشد السابق لجماعة الإخوان المسلمين أنه دفع وقتها أمام القاضي العسكري بعدم سرية هذه الفصائل؛ لأنها مكونة من أربعين شخص</w:t>
      </w:r>
      <w:r w:rsidRPr="004B7958">
        <w:rPr>
          <w:rFonts w:ascii="Arial" w:hAnsi="Arial" w:cs="DanaFajr" w:hint="cs"/>
          <w:szCs w:val="28"/>
          <w:rtl/>
        </w:rPr>
        <w:t>اً،</w:t>
      </w:r>
      <w:r w:rsidRPr="004B7958">
        <w:rPr>
          <w:rFonts w:ascii="Arial" w:hAnsi="Arial" w:cs="DanaFajr"/>
          <w:szCs w:val="28"/>
          <w:rtl/>
        </w:rPr>
        <w:t xml:space="preserve"> فهل يوجد سر</w:t>
      </w:r>
      <w:r w:rsidRPr="004B7958">
        <w:rPr>
          <w:rFonts w:ascii="Arial" w:hAnsi="Arial" w:cs="DanaFajr" w:hint="cs"/>
          <w:szCs w:val="28"/>
          <w:rtl/>
        </w:rPr>
        <w:t>ٌّ</w:t>
      </w:r>
      <w:r w:rsidRPr="004B7958">
        <w:rPr>
          <w:rFonts w:ascii="Arial" w:hAnsi="Arial" w:cs="DanaFajr"/>
          <w:szCs w:val="28"/>
          <w:rtl/>
        </w:rPr>
        <w:t xml:space="preserve"> بين كل هذا </w:t>
      </w:r>
      <w:r w:rsidRPr="0094153C">
        <w:rPr>
          <w:rFonts w:ascii="Arial" w:hAnsi="Arial" w:cs="DanaFajr"/>
          <w:szCs w:val="28"/>
          <w:rtl/>
        </w:rPr>
        <w:t>العدد</w:t>
      </w:r>
      <w:r w:rsidRPr="0094153C">
        <w:rPr>
          <w:rFonts w:ascii="Arial" w:hAnsi="Arial" w:cs="DanaFajr" w:hint="cs"/>
          <w:szCs w:val="28"/>
          <w:rtl/>
        </w:rPr>
        <w:t>؟!</w:t>
      </w:r>
      <w:r w:rsidRPr="0094153C">
        <w:rPr>
          <w:rFonts w:ascii="Arial" w:hAnsi="Arial" w:cs="DanaFajr"/>
          <w:szCs w:val="28"/>
          <w:rtl/>
        </w:rPr>
        <w:t xml:space="preserve"> وقال عاكف</w:t>
      </w:r>
      <w:r w:rsidRPr="0094153C">
        <w:rPr>
          <w:rFonts w:ascii="Arial" w:hAnsi="Arial" w:cs="DanaFajr" w:hint="cs"/>
          <w:szCs w:val="28"/>
          <w:rtl/>
        </w:rPr>
        <w:t>:</w:t>
      </w:r>
      <w:r w:rsidRPr="0094153C">
        <w:rPr>
          <w:rFonts w:ascii="Arial" w:hAnsi="Arial" w:cs="DanaFajr"/>
          <w:szCs w:val="28"/>
          <w:rtl/>
        </w:rPr>
        <w:t xml:space="preserve"> إنه كان يرى أن دور النظام الخاص</w:t>
      </w:r>
      <w:r w:rsidRPr="0094153C">
        <w:rPr>
          <w:rFonts w:ascii="Arial" w:hAnsi="Arial" w:cs="DanaFajr" w:hint="cs"/>
          <w:szCs w:val="28"/>
          <w:rtl/>
        </w:rPr>
        <w:t>ّ</w:t>
      </w:r>
      <w:r w:rsidRPr="0094153C">
        <w:rPr>
          <w:rFonts w:ascii="Arial" w:hAnsi="Arial" w:cs="DanaFajr"/>
          <w:szCs w:val="28"/>
          <w:rtl/>
        </w:rPr>
        <w:t xml:space="preserve"> كان يجب أن يتوق</w:t>
      </w:r>
      <w:r w:rsidRPr="0094153C">
        <w:rPr>
          <w:rFonts w:ascii="Arial" w:hAnsi="Arial" w:cs="DanaFajr" w:hint="cs"/>
          <w:szCs w:val="28"/>
          <w:rtl/>
        </w:rPr>
        <w:t>ّ</w:t>
      </w:r>
      <w:r w:rsidRPr="0094153C">
        <w:rPr>
          <w:rFonts w:ascii="Arial" w:hAnsi="Arial" w:cs="DanaFajr"/>
          <w:szCs w:val="28"/>
          <w:rtl/>
        </w:rPr>
        <w:t>ف في عام 1949</w:t>
      </w:r>
      <w:r w:rsidRPr="0094153C">
        <w:rPr>
          <w:rFonts w:ascii="Arial" w:hAnsi="Arial" w:cs="DanaFajr" w:hint="cs"/>
          <w:szCs w:val="28"/>
          <w:rtl/>
        </w:rPr>
        <w:t>،</w:t>
      </w:r>
      <w:r w:rsidRPr="0094153C">
        <w:rPr>
          <w:rFonts w:ascii="Arial" w:hAnsi="Arial" w:cs="DanaFajr"/>
          <w:szCs w:val="28"/>
          <w:rtl/>
        </w:rPr>
        <w:t xml:space="preserve"> بعدما</w:t>
      </w:r>
      <w:r w:rsidRPr="004B7958">
        <w:rPr>
          <w:rFonts w:ascii="Arial" w:hAnsi="Arial" w:cs="DanaFajr"/>
          <w:szCs w:val="28"/>
          <w:rtl/>
        </w:rPr>
        <w:t xml:space="preserve"> </w:t>
      </w:r>
      <w:r w:rsidRPr="0094153C">
        <w:rPr>
          <w:rFonts w:ascii="Arial" w:hAnsi="Arial" w:cs="DanaFajr"/>
          <w:szCs w:val="28"/>
          <w:rtl/>
        </w:rPr>
        <w:t>تم</w:t>
      </w:r>
      <w:r w:rsidRPr="0094153C">
        <w:rPr>
          <w:rFonts w:ascii="Arial" w:hAnsi="Arial" w:cs="DanaFajr" w:hint="cs"/>
          <w:szCs w:val="28"/>
          <w:rtl/>
        </w:rPr>
        <w:t>ّ</w:t>
      </w:r>
      <w:r w:rsidRPr="0094153C">
        <w:rPr>
          <w:rFonts w:ascii="Arial" w:hAnsi="Arial" w:cs="DanaFajr"/>
          <w:szCs w:val="28"/>
          <w:rtl/>
        </w:rPr>
        <w:t xml:space="preserve"> كشفه كل</w:t>
      </w:r>
      <w:r w:rsidRPr="0094153C">
        <w:rPr>
          <w:rFonts w:ascii="Arial" w:hAnsi="Arial" w:cs="DanaFajr" w:hint="cs"/>
          <w:szCs w:val="28"/>
          <w:rtl/>
        </w:rPr>
        <w:t>ّ</w:t>
      </w:r>
      <w:r w:rsidRPr="0094153C">
        <w:rPr>
          <w:rFonts w:ascii="Arial" w:hAnsi="Arial" w:cs="DanaFajr"/>
          <w:szCs w:val="28"/>
          <w:rtl/>
        </w:rPr>
        <w:t>يا</w:t>
      </w:r>
      <w:r w:rsidRPr="0094153C">
        <w:rPr>
          <w:rFonts w:ascii="Arial" w:hAnsi="Arial" w:cs="DanaFajr" w:hint="cs"/>
          <w:szCs w:val="28"/>
          <w:rtl/>
        </w:rPr>
        <w:t>ً</w:t>
      </w:r>
      <w:r w:rsidRPr="0094153C">
        <w:rPr>
          <w:rFonts w:ascii="Arial" w:hAnsi="Arial" w:cs="DanaFajr"/>
          <w:szCs w:val="28"/>
          <w:rtl/>
        </w:rPr>
        <w:t xml:space="preserve"> في المحاكمات</w:t>
      </w:r>
      <w:r w:rsidRPr="0094153C">
        <w:rPr>
          <w:rFonts w:ascii="Arial" w:hAnsi="Arial" w:cs="DanaFajr" w:hint="cs"/>
          <w:szCs w:val="28"/>
          <w:rtl/>
        </w:rPr>
        <w:t>،</w:t>
      </w:r>
      <w:r w:rsidRPr="0094153C">
        <w:rPr>
          <w:rFonts w:ascii="Arial" w:hAnsi="Arial" w:cs="DanaFajr"/>
          <w:szCs w:val="28"/>
          <w:rtl/>
        </w:rPr>
        <w:t xml:space="preserve"> وكان يجب أن ينتهي دوره كل</w:t>
      </w:r>
      <w:r w:rsidRPr="0094153C">
        <w:rPr>
          <w:rFonts w:ascii="Arial" w:hAnsi="Arial" w:cs="DanaFajr" w:hint="cs"/>
          <w:szCs w:val="28"/>
          <w:rtl/>
        </w:rPr>
        <w:t>ّ</w:t>
      </w:r>
      <w:r w:rsidRPr="0094153C">
        <w:rPr>
          <w:rFonts w:ascii="Arial" w:hAnsi="Arial" w:cs="DanaFajr"/>
          <w:szCs w:val="28"/>
          <w:rtl/>
        </w:rPr>
        <w:t>يا</w:t>
      </w:r>
      <w:r w:rsidRPr="0094153C">
        <w:rPr>
          <w:rFonts w:ascii="Arial" w:hAnsi="Arial" w:cs="DanaFajr" w:hint="cs"/>
          <w:szCs w:val="28"/>
          <w:rtl/>
        </w:rPr>
        <w:t>ً</w:t>
      </w:r>
      <w:r w:rsidRPr="0094153C">
        <w:rPr>
          <w:rFonts w:ascii="Arial" w:hAnsi="Arial" w:cs="DanaFajr"/>
          <w:szCs w:val="28"/>
          <w:rtl/>
        </w:rPr>
        <w:t xml:space="preserve"> بعد قيام ثورة 1952. وأضاف معل</w:t>
      </w:r>
      <w:r w:rsidRPr="0094153C">
        <w:rPr>
          <w:rFonts w:ascii="Arial" w:hAnsi="Arial" w:cs="DanaFajr" w:hint="cs"/>
          <w:szCs w:val="28"/>
          <w:rtl/>
        </w:rPr>
        <w:t>ِّ</w:t>
      </w:r>
      <w:r w:rsidRPr="0094153C">
        <w:rPr>
          <w:rFonts w:ascii="Arial" w:hAnsi="Arial" w:cs="DanaFajr"/>
          <w:szCs w:val="28"/>
          <w:rtl/>
        </w:rPr>
        <w:t>قا</w:t>
      </w:r>
      <w:r w:rsidRPr="0094153C">
        <w:rPr>
          <w:rFonts w:ascii="Arial" w:hAnsi="Arial" w:cs="DanaFajr" w:hint="cs"/>
          <w:szCs w:val="28"/>
          <w:rtl/>
        </w:rPr>
        <w:t>ً</w:t>
      </w:r>
      <w:r w:rsidRPr="0094153C">
        <w:rPr>
          <w:rFonts w:ascii="Arial" w:hAnsi="Arial" w:cs="DanaFajr"/>
          <w:szCs w:val="28"/>
          <w:rtl/>
        </w:rPr>
        <w:t xml:space="preserve"> على</w:t>
      </w:r>
      <w:r w:rsidRPr="004B7958">
        <w:rPr>
          <w:rFonts w:ascii="Arial" w:hAnsi="Arial" w:cs="DanaFajr"/>
          <w:szCs w:val="28"/>
          <w:rtl/>
        </w:rPr>
        <w:t xml:space="preserve"> هذا الأحداث</w:t>
      </w:r>
      <w:r w:rsidRPr="004B7958">
        <w:rPr>
          <w:rFonts w:ascii="Arial" w:hAnsi="Arial" w:cs="DanaFajr" w:hint="cs"/>
          <w:szCs w:val="28"/>
          <w:rtl/>
        </w:rPr>
        <w:t>،</w:t>
      </w:r>
      <w:r w:rsidRPr="004B7958">
        <w:rPr>
          <w:rFonts w:ascii="Arial" w:hAnsi="Arial" w:cs="DanaFajr"/>
          <w:szCs w:val="28"/>
          <w:rtl/>
        </w:rPr>
        <w:t xml:space="preserve"> معتبرا</w:t>
      </w:r>
      <w:r w:rsidRPr="004B7958">
        <w:rPr>
          <w:rFonts w:ascii="Arial" w:hAnsi="Arial" w:cs="DanaFajr" w:hint="cs"/>
          <w:szCs w:val="28"/>
          <w:rtl/>
        </w:rPr>
        <w:t>ً</w:t>
      </w:r>
      <w:r w:rsidRPr="004B7958">
        <w:rPr>
          <w:rFonts w:ascii="Arial" w:hAnsi="Arial" w:cs="DanaFajr"/>
          <w:szCs w:val="28"/>
          <w:rtl/>
        </w:rPr>
        <w:t xml:space="preserve"> السر</w:t>
      </w:r>
      <w:r w:rsidRPr="004B7958">
        <w:rPr>
          <w:rFonts w:ascii="Arial" w:hAnsi="Arial" w:cs="DanaFajr" w:hint="cs"/>
          <w:szCs w:val="28"/>
          <w:rtl/>
        </w:rPr>
        <w:t>ّ</w:t>
      </w:r>
      <w:r w:rsidRPr="004B7958">
        <w:rPr>
          <w:rFonts w:ascii="Arial" w:hAnsi="Arial" w:cs="DanaFajr"/>
          <w:szCs w:val="28"/>
          <w:rtl/>
        </w:rPr>
        <w:t>ية في أي</w:t>
      </w:r>
      <w:r w:rsidRPr="004B7958">
        <w:rPr>
          <w:rFonts w:ascii="Arial" w:hAnsi="Arial" w:cs="DanaFajr" w:hint="cs"/>
          <w:szCs w:val="28"/>
          <w:rtl/>
        </w:rPr>
        <w:t>ّ</w:t>
      </w:r>
      <w:r w:rsidRPr="004B7958">
        <w:rPr>
          <w:rFonts w:ascii="Arial" w:hAnsi="Arial" w:cs="DanaFajr"/>
          <w:szCs w:val="28"/>
          <w:rtl/>
        </w:rPr>
        <w:t xml:space="preserve"> وقت</w:t>
      </w:r>
      <w:r w:rsidRPr="004B7958">
        <w:rPr>
          <w:rFonts w:ascii="Arial" w:hAnsi="Arial" w:cs="DanaFajr" w:hint="cs"/>
          <w:szCs w:val="28"/>
          <w:rtl/>
        </w:rPr>
        <w:t>ٍ</w:t>
      </w:r>
      <w:r w:rsidRPr="004B7958">
        <w:rPr>
          <w:rFonts w:ascii="Arial" w:hAnsi="Arial" w:cs="DanaFajr"/>
          <w:szCs w:val="28"/>
          <w:rtl/>
        </w:rPr>
        <w:t xml:space="preserve"> خطأ</w:t>
      </w:r>
      <w:r w:rsidRPr="004B7958">
        <w:rPr>
          <w:rFonts w:ascii="Arial" w:hAnsi="Arial" w:cs="DanaFajr" w:hint="cs"/>
          <w:szCs w:val="28"/>
          <w:rtl/>
        </w:rPr>
        <w:t>:</w:t>
      </w:r>
      <w:r w:rsidRPr="004B7958">
        <w:rPr>
          <w:rFonts w:ascii="Arial" w:hAnsi="Arial" w:cs="DanaFajr"/>
          <w:szCs w:val="28"/>
          <w:rtl/>
        </w:rPr>
        <w:t xml:space="preserve"> ولكن</w:t>
      </w:r>
      <w:r w:rsidRPr="004B7958">
        <w:rPr>
          <w:rFonts w:ascii="Arial" w:hAnsi="Arial" w:cs="DanaFajr" w:hint="cs"/>
          <w:szCs w:val="28"/>
          <w:rtl/>
        </w:rPr>
        <w:t>ّ</w:t>
      </w:r>
      <w:r w:rsidRPr="004B7958">
        <w:rPr>
          <w:rFonts w:ascii="Arial" w:hAnsi="Arial" w:cs="DanaFajr"/>
          <w:szCs w:val="28"/>
          <w:rtl/>
        </w:rPr>
        <w:t xml:space="preserve"> الظروف التي كانت تمر</w:t>
      </w:r>
      <w:r w:rsidRPr="004B7958">
        <w:rPr>
          <w:rFonts w:ascii="Arial" w:hAnsi="Arial" w:cs="DanaFajr" w:hint="cs"/>
          <w:szCs w:val="28"/>
          <w:rtl/>
        </w:rPr>
        <w:t>ّ</w:t>
      </w:r>
      <w:r w:rsidRPr="004B7958">
        <w:rPr>
          <w:rFonts w:ascii="Arial" w:hAnsi="Arial" w:cs="DanaFajr"/>
          <w:szCs w:val="28"/>
          <w:rtl/>
        </w:rPr>
        <w:t xml:space="preserve"> بها مصر في وقت كانت فيه البلاد محتلة</w:t>
      </w:r>
      <w:r w:rsidRPr="004B7958">
        <w:rPr>
          <w:rFonts w:ascii="Arial" w:hAnsi="Arial" w:cs="DanaFajr" w:hint="cs"/>
          <w:szCs w:val="28"/>
          <w:rtl/>
        </w:rPr>
        <w:t>،</w:t>
      </w:r>
      <w:r w:rsidRPr="004B7958">
        <w:rPr>
          <w:rFonts w:ascii="Arial" w:hAnsi="Arial" w:cs="DanaFajr"/>
          <w:szCs w:val="28"/>
          <w:rtl/>
        </w:rPr>
        <w:t xml:space="preserve"> وتعيش أم</w:t>
      </w:r>
      <w:r w:rsidRPr="004B7958">
        <w:rPr>
          <w:rFonts w:ascii="Arial" w:hAnsi="Arial" w:cs="DanaFajr" w:hint="cs"/>
          <w:szCs w:val="28"/>
          <w:rtl/>
        </w:rPr>
        <w:t>ّ</w:t>
      </w:r>
      <w:r w:rsidRPr="004B7958">
        <w:rPr>
          <w:rFonts w:ascii="Arial" w:hAnsi="Arial" w:cs="DanaFajr"/>
          <w:szCs w:val="28"/>
          <w:rtl/>
        </w:rPr>
        <w:t>ية عسكرية، فكان هذا هو الاستثناء؛ لأن الإخوان المسلمين لا يحب</w:t>
      </w:r>
      <w:r w:rsidRPr="004B7958">
        <w:rPr>
          <w:rFonts w:ascii="Arial" w:hAnsi="Arial" w:cs="DanaFajr" w:hint="cs"/>
          <w:szCs w:val="28"/>
          <w:rtl/>
        </w:rPr>
        <w:t>ِّ</w:t>
      </w:r>
      <w:r w:rsidRPr="004B7958">
        <w:rPr>
          <w:rFonts w:ascii="Arial" w:hAnsi="Arial" w:cs="DanaFajr"/>
          <w:szCs w:val="28"/>
          <w:rtl/>
        </w:rPr>
        <w:t>ذون السرية في أي</w:t>
      </w:r>
      <w:r w:rsidRPr="004B7958">
        <w:rPr>
          <w:rFonts w:ascii="Arial" w:hAnsi="Arial" w:cs="DanaFajr" w:hint="cs"/>
          <w:szCs w:val="28"/>
          <w:rtl/>
        </w:rPr>
        <w:t>ّ</w:t>
      </w:r>
      <w:r w:rsidRPr="004B7958">
        <w:rPr>
          <w:rFonts w:ascii="Arial" w:hAnsi="Arial" w:cs="DanaFajr"/>
          <w:szCs w:val="28"/>
          <w:rtl/>
        </w:rPr>
        <w:t xml:space="preserve"> حال</w:t>
      </w:r>
      <w:r w:rsidRPr="004B7958">
        <w:rPr>
          <w:rFonts w:ascii="Arial" w:hAnsi="Arial" w:cs="DanaFajr" w:hint="cs"/>
          <w:szCs w:val="28"/>
          <w:rtl/>
        </w:rPr>
        <w:t>ٍ</w:t>
      </w:r>
      <w:r w:rsidRPr="004B7958">
        <w:rPr>
          <w:rFonts w:ascii="Arial" w:hAnsi="Arial" w:cs="DanaFajr"/>
          <w:szCs w:val="28"/>
          <w:rtl/>
        </w:rPr>
        <w:t xml:space="preserve"> من الأحوال</w:t>
      </w:r>
      <w:r w:rsidRPr="004B7958">
        <w:rPr>
          <w:rFonts w:ascii="Arial" w:hAnsi="Arial" w:cs="DanaFajr" w:hint="cs"/>
          <w:szCs w:val="28"/>
          <w:rtl/>
        </w:rPr>
        <w:t>.</w:t>
      </w:r>
      <w:r w:rsidRPr="004B7958">
        <w:rPr>
          <w:rFonts w:ascii="Arial" w:hAnsi="Arial" w:cs="DanaFajr"/>
          <w:szCs w:val="28"/>
          <w:rtl/>
        </w:rPr>
        <w:t xml:space="preserve"> فالإخوان المسلمون حريصون كل</w:t>
      </w:r>
      <w:r w:rsidRPr="004B7958">
        <w:rPr>
          <w:rFonts w:ascii="Arial" w:hAnsi="Arial" w:cs="DanaFajr" w:hint="cs"/>
          <w:szCs w:val="28"/>
          <w:rtl/>
        </w:rPr>
        <w:t>ّ</w:t>
      </w:r>
      <w:r w:rsidRPr="004B7958">
        <w:rPr>
          <w:rFonts w:ascii="Arial" w:hAnsi="Arial" w:cs="DanaFajr"/>
          <w:szCs w:val="28"/>
          <w:rtl/>
        </w:rPr>
        <w:t xml:space="preserve"> الحرص أن يكون عملهم عملا</w:t>
      </w:r>
      <w:r w:rsidRPr="004B7958">
        <w:rPr>
          <w:rFonts w:ascii="Arial" w:hAnsi="Arial" w:cs="DanaFajr" w:hint="cs"/>
          <w:szCs w:val="28"/>
          <w:rtl/>
        </w:rPr>
        <w:t>ً</w:t>
      </w:r>
      <w:r w:rsidRPr="004B7958">
        <w:rPr>
          <w:rFonts w:ascii="Arial" w:hAnsi="Arial" w:cs="DanaFajr"/>
          <w:szCs w:val="28"/>
          <w:rtl/>
        </w:rPr>
        <w:t xml:space="preserve"> ظاهرا</w:t>
      </w:r>
      <w:r w:rsidRPr="004B7958">
        <w:rPr>
          <w:rFonts w:ascii="Arial" w:hAnsi="Arial" w:cs="DanaFajr" w:hint="cs"/>
          <w:szCs w:val="28"/>
          <w:rtl/>
        </w:rPr>
        <w:t>ً</w:t>
      </w:r>
      <w:r w:rsidRPr="004B7958">
        <w:rPr>
          <w:rFonts w:ascii="Arial" w:hAnsi="Arial" w:cs="DanaFajr"/>
          <w:szCs w:val="28"/>
          <w:rtl/>
        </w:rPr>
        <w:t xml:space="preserve"> وواضحا</w:t>
      </w:r>
      <w:r w:rsidRPr="004B7958">
        <w:rPr>
          <w:rFonts w:ascii="Arial" w:hAnsi="Arial" w:cs="DanaFajr" w:hint="cs"/>
          <w:szCs w:val="28"/>
          <w:rtl/>
        </w:rPr>
        <w:t>ً</w:t>
      </w:r>
      <w:r w:rsidRPr="004B7958">
        <w:rPr>
          <w:rFonts w:ascii="Arial" w:hAnsi="Arial" w:cs="DanaFajr"/>
          <w:szCs w:val="28"/>
          <w:rtl/>
        </w:rPr>
        <w:t xml:space="preserve"> وقائما</w:t>
      </w:r>
      <w:r w:rsidRPr="004B7958">
        <w:rPr>
          <w:rFonts w:ascii="Arial" w:hAnsi="Arial" w:cs="DanaFajr" w:hint="cs"/>
          <w:szCs w:val="28"/>
          <w:rtl/>
        </w:rPr>
        <w:t>ً</w:t>
      </w:r>
      <w:r w:rsidRPr="004B7958">
        <w:rPr>
          <w:rFonts w:ascii="Arial" w:hAnsi="Arial" w:cs="DanaFajr"/>
          <w:szCs w:val="28"/>
          <w:rtl/>
        </w:rPr>
        <w:t xml:space="preserve"> على الشورى. </w:t>
      </w:r>
    </w:p>
    <w:p w:rsidR="00F41F33" w:rsidRPr="004B7958" w:rsidRDefault="00F41F33" w:rsidP="00904320">
      <w:pPr>
        <w:pStyle w:val="pretitle"/>
        <w:bidi/>
        <w:spacing w:after="0" w:line="320" w:lineRule="exact"/>
        <w:jc w:val="both"/>
        <w:rPr>
          <w:rFonts w:ascii="Arial" w:hAnsi="Arial" w:cs="DanaFajr"/>
          <w:b w:val="0"/>
          <w:bCs w:val="0"/>
          <w:color w:val="auto"/>
          <w:sz w:val="28"/>
          <w:szCs w:val="28"/>
          <w:u w:val="none"/>
        </w:rPr>
      </w:pPr>
      <w:r w:rsidRPr="004B7958">
        <w:rPr>
          <w:rFonts w:ascii="Arial" w:hAnsi="Arial" w:cs="DanaFajr" w:hint="cs"/>
          <w:b w:val="0"/>
          <w:bCs w:val="0"/>
          <w:color w:val="auto"/>
          <w:sz w:val="28"/>
          <w:szCs w:val="28"/>
          <w:u w:val="none"/>
          <w:rtl/>
        </w:rPr>
        <w:t xml:space="preserve">(مهدي </w:t>
      </w:r>
      <w:r w:rsidRPr="004B7958">
        <w:rPr>
          <w:rFonts w:ascii="Arial" w:hAnsi="Arial" w:cs="DanaFajr"/>
          <w:b w:val="0"/>
          <w:bCs w:val="0"/>
          <w:color w:val="auto"/>
          <w:sz w:val="28"/>
          <w:szCs w:val="28"/>
          <w:u w:val="none"/>
          <w:rtl/>
        </w:rPr>
        <w:t>عاكف، مقابلة في برنامج مراجعات؛ فرغ مضمونها موقع الإسلام أون لاين</w:t>
      </w:r>
      <w:r w:rsidRPr="004B7958">
        <w:rPr>
          <w:rFonts w:ascii="Arial" w:hAnsi="Arial" w:cs="DanaFajr" w:hint="cs"/>
          <w:b w:val="0"/>
          <w:bCs w:val="0"/>
          <w:color w:val="auto"/>
          <w:sz w:val="28"/>
          <w:szCs w:val="28"/>
          <w:u w:val="none"/>
          <w:rtl/>
        </w:rPr>
        <w:t>:</w:t>
      </w:r>
      <w:r w:rsidRPr="004B7958">
        <w:rPr>
          <w:rFonts w:ascii="Arial" w:hAnsi="Arial" w:cs="DanaFajr"/>
          <w:b w:val="0"/>
          <w:bCs w:val="0"/>
          <w:color w:val="auto"/>
          <w:sz w:val="28"/>
          <w:szCs w:val="28"/>
          <w:u w:val="none"/>
          <w:rtl/>
        </w:rPr>
        <w:t xml:space="preserve">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http://www.islamonline.net/servlet/Satellite?c=ArticleA_C&amp;pagename=Zone</w:t>
      </w:r>
      <w:r w:rsidRPr="00715694">
        <w:rPr>
          <w:rFonts w:asciiTheme="majorBidi" w:hAnsiTheme="majorBidi" w:cstheme="majorBidi"/>
          <w:rtl/>
        </w:rPr>
        <w:t>ـ</w:t>
      </w:r>
      <w:r w:rsidRPr="00715694">
        <w:rPr>
          <w:rFonts w:asciiTheme="majorBidi" w:hAnsiTheme="majorBidi" w:cstheme="majorBidi"/>
        </w:rPr>
        <w:t>Arabic</w:t>
      </w:r>
      <w:r w:rsidRPr="00715694">
        <w:rPr>
          <w:rFonts w:asciiTheme="majorBidi" w:hAnsiTheme="majorBidi" w:cstheme="majorBidi"/>
          <w:rtl/>
        </w:rPr>
        <w:t>ـ</w:t>
      </w:r>
      <w:r w:rsidRPr="00715694">
        <w:rPr>
          <w:rFonts w:asciiTheme="majorBidi" w:hAnsiTheme="majorBidi" w:cstheme="majorBidi"/>
        </w:rPr>
        <w:t>Daawa%</w:t>
      </w:r>
      <w:r w:rsidRPr="006333E0">
        <w:rPr>
          <w:rFonts w:asciiTheme="majorBidi" w:hAnsiTheme="majorBidi" w:cs="Ya-Ali"/>
        </w:rPr>
        <w:t>2</w:t>
      </w:r>
      <w:r w:rsidRPr="00715694">
        <w:rPr>
          <w:rFonts w:asciiTheme="majorBidi" w:hAnsiTheme="majorBidi" w:cstheme="majorBidi"/>
        </w:rPr>
        <w:t>FDWALayout&amp;cid=</w:t>
      </w:r>
      <w:r w:rsidRPr="006333E0">
        <w:rPr>
          <w:rFonts w:asciiTheme="majorBidi" w:hAnsiTheme="majorBidi" w:cs="Ya-Ali"/>
        </w:rPr>
        <w:t>1203759268458</w:t>
      </w:r>
    </w:p>
  </w:endnote>
  <w:endnote w:id="114">
    <w:p w:rsidR="00F41F33" w:rsidRPr="0094153C" w:rsidRDefault="00F41F33" w:rsidP="00904320">
      <w:pPr>
        <w:spacing w:line="320" w:lineRule="exact"/>
        <w:ind w:firstLine="0"/>
        <w:rPr>
          <w:rFonts w:ascii="Arial" w:hAnsi="Arial" w:cs="DanaFajr"/>
          <w:szCs w:val="28"/>
          <w:rtl/>
        </w:rPr>
      </w:pPr>
      <w:r w:rsidRPr="0094153C">
        <w:rPr>
          <w:rFonts w:ascii="Arial" w:hAnsi="Arial" w:cs="DanaFajr"/>
          <w:szCs w:val="28"/>
          <w:rtl/>
          <w:lang w:bidi="ar-LB"/>
        </w:rPr>
        <w:t>(</w:t>
      </w:r>
      <w:r w:rsidRPr="0094153C">
        <w:rPr>
          <w:rStyle w:val="ac"/>
          <w:rFonts w:ascii="Arial" w:hAnsi="Arial" w:cs="DanaFajr"/>
          <w:szCs w:val="28"/>
          <w:vertAlign w:val="baseline"/>
        </w:rPr>
        <w:endnoteRef/>
      </w:r>
      <w:r w:rsidRPr="0094153C">
        <w:rPr>
          <w:rFonts w:ascii="Arial" w:hAnsi="Arial" w:cs="DanaFajr"/>
          <w:szCs w:val="28"/>
          <w:rtl/>
          <w:lang w:bidi="ar-LB"/>
        </w:rPr>
        <w:t xml:space="preserve">) </w:t>
      </w:r>
      <w:r w:rsidRPr="0094153C">
        <w:rPr>
          <w:rFonts w:ascii="Arial" w:hAnsi="Arial" w:cs="DanaFajr"/>
          <w:szCs w:val="28"/>
          <w:rtl/>
        </w:rPr>
        <w:t>في 12 فبراير/ شباط 1949م كان البن</w:t>
      </w:r>
      <w:r w:rsidRPr="0094153C">
        <w:rPr>
          <w:rFonts w:ascii="Arial" w:hAnsi="Arial" w:cs="DanaFajr" w:hint="cs"/>
          <w:szCs w:val="28"/>
          <w:rtl/>
          <w:lang w:bidi="ar-LB"/>
        </w:rPr>
        <w:t>ّ</w:t>
      </w:r>
      <w:r w:rsidRPr="0094153C">
        <w:rPr>
          <w:rFonts w:ascii="Arial" w:hAnsi="Arial" w:cs="DanaFajr"/>
          <w:szCs w:val="28"/>
          <w:rtl/>
        </w:rPr>
        <w:t>ا يخرج من باب جمعية الشب</w:t>
      </w:r>
      <w:r w:rsidRPr="0094153C">
        <w:rPr>
          <w:rFonts w:ascii="Arial" w:hAnsi="Arial" w:cs="DanaFajr" w:hint="cs"/>
          <w:szCs w:val="28"/>
          <w:rtl/>
        </w:rPr>
        <w:t>ّ</w:t>
      </w:r>
      <w:r w:rsidRPr="0094153C">
        <w:rPr>
          <w:rFonts w:ascii="Arial" w:hAnsi="Arial" w:cs="DanaFajr"/>
          <w:szCs w:val="28"/>
          <w:rtl/>
        </w:rPr>
        <w:t>ان المسلمين</w:t>
      </w:r>
      <w:r w:rsidRPr="0094153C">
        <w:rPr>
          <w:rFonts w:ascii="Arial" w:hAnsi="Arial" w:cs="DanaFajr" w:hint="cs"/>
          <w:szCs w:val="28"/>
          <w:rtl/>
        </w:rPr>
        <w:t>، حيث</w:t>
      </w:r>
      <w:r w:rsidRPr="0094153C">
        <w:rPr>
          <w:rFonts w:ascii="Arial" w:hAnsi="Arial" w:cs="DanaFajr"/>
          <w:szCs w:val="28"/>
          <w:rtl/>
        </w:rPr>
        <w:t xml:space="preserve"> </w:t>
      </w:r>
      <w:r w:rsidRPr="0094153C">
        <w:rPr>
          <w:rFonts w:ascii="Arial" w:hAnsi="Arial" w:cs="DanaFajr" w:hint="cs"/>
          <w:szCs w:val="28"/>
          <w:rtl/>
        </w:rPr>
        <w:t>أ</w:t>
      </w:r>
      <w:r w:rsidRPr="0094153C">
        <w:rPr>
          <w:rFonts w:ascii="Arial" w:hAnsi="Arial" w:cs="DanaFajr"/>
          <w:szCs w:val="28"/>
          <w:rtl/>
        </w:rPr>
        <w:t>طلق</w:t>
      </w:r>
      <w:r w:rsidRPr="004B7958">
        <w:rPr>
          <w:rFonts w:ascii="Arial" w:hAnsi="Arial" w:cs="DanaFajr"/>
          <w:szCs w:val="28"/>
          <w:rtl/>
        </w:rPr>
        <w:t xml:space="preserve"> </w:t>
      </w:r>
      <w:r w:rsidRPr="0094153C">
        <w:rPr>
          <w:rFonts w:ascii="Arial" w:hAnsi="Arial" w:cs="DanaFajr"/>
          <w:szCs w:val="28"/>
          <w:rtl/>
        </w:rPr>
        <w:t xml:space="preserve">النار عليه </w:t>
      </w:r>
      <w:r w:rsidRPr="0094153C">
        <w:rPr>
          <w:rFonts w:ascii="Arial" w:hAnsi="Arial" w:cs="DanaFajr" w:hint="cs"/>
          <w:szCs w:val="28"/>
          <w:rtl/>
        </w:rPr>
        <w:t>أ</w:t>
      </w:r>
      <w:r w:rsidRPr="0094153C">
        <w:rPr>
          <w:rFonts w:ascii="Arial" w:hAnsi="Arial" w:cs="DanaFajr"/>
          <w:szCs w:val="28"/>
          <w:rtl/>
        </w:rPr>
        <w:t>حد المسلحين</w:t>
      </w:r>
      <w:r w:rsidRPr="0094153C">
        <w:rPr>
          <w:rFonts w:ascii="Arial" w:hAnsi="Arial" w:cs="DanaFajr" w:hint="cs"/>
          <w:szCs w:val="28"/>
          <w:rtl/>
        </w:rPr>
        <w:t>،</w:t>
      </w:r>
      <w:r w:rsidRPr="0094153C">
        <w:rPr>
          <w:rFonts w:ascii="Arial" w:hAnsi="Arial" w:cs="DanaFajr"/>
          <w:szCs w:val="28"/>
          <w:rtl/>
        </w:rPr>
        <w:t xml:space="preserve"> وغادر منطقة الحادث بسي</w:t>
      </w:r>
      <w:r w:rsidRPr="0094153C">
        <w:rPr>
          <w:rFonts w:ascii="Arial" w:hAnsi="Arial" w:cs="DanaFajr" w:hint="cs"/>
          <w:szCs w:val="28"/>
          <w:rtl/>
        </w:rPr>
        <w:t>ّ</w:t>
      </w:r>
      <w:r w:rsidRPr="0094153C">
        <w:rPr>
          <w:rFonts w:ascii="Arial" w:hAnsi="Arial" w:cs="DanaFajr"/>
          <w:szCs w:val="28"/>
          <w:rtl/>
        </w:rPr>
        <w:t xml:space="preserve">ارة رسمية رقمها </w:t>
      </w:r>
      <w:r w:rsidRPr="0094153C">
        <w:rPr>
          <w:rFonts w:cs="DanaFajr" w:hint="eastAsia"/>
          <w:sz w:val="27"/>
          <w:rtl/>
        </w:rPr>
        <w:t>«</w:t>
      </w:r>
      <w:r w:rsidRPr="0094153C">
        <w:rPr>
          <w:rFonts w:ascii="Arial" w:hAnsi="Arial" w:cs="DanaFajr"/>
          <w:szCs w:val="28"/>
          <w:rtl/>
        </w:rPr>
        <w:t>9979</w:t>
      </w:r>
      <w:r w:rsidRPr="0094153C">
        <w:rPr>
          <w:rFonts w:cs="DanaFajr" w:hint="eastAsia"/>
          <w:sz w:val="27"/>
          <w:rtl/>
        </w:rPr>
        <w:t>»</w:t>
      </w:r>
      <w:r w:rsidRPr="0094153C">
        <w:rPr>
          <w:rFonts w:cs="DanaFajr" w:hint="cs"/>
          <w:sz w:val="27"/>
          <w:rtl/>
        </w:rPr>
        <w:t>،</w:t>
      </w:r>
      <w:r w:rsidRPr="0094153C">
        <w:rPr>
          <w:rFonts w:ascii="Arial" w:hAnsi="Arial" w:cs="DanaFajr"/>
          <w:szCs w:val="28"/>
          <w:rtl/>
        </w:rPr>
        <w:t xml:space="preserve"> والتي عرف فيما بعد</w:t>
      </w:r>
      <w:r w:rsidRPr="004B7958">
        <w:rPr>
          <w:rFonts w:ascii="Arial" w:hAnsi="Arial" w:cs="DanaFajr"/>
          <w:szCs w:val="28"/>
          <w:rtl/>
        </w:rPr>
        <w:t xml:space="preserve"> أنها السيارة الرسمية للأميرلاي محمود عبد المجيد</w:t>
      </w:r>
      <w:r w:rsidRPr="004B7958">
        <w:rPr>
          <w:rFonts w:ascii="Arial" w:hAnsi="Arial" w:cs="DanaFajr" w:hint="cs"/>
          <w:szCs w:val="28"/>
          <w:rtl/>
        </w:rPr>
        <w:t>،</w:t>
      </w:r>
      <w:r w:rsidRPr="004B7958">
        <w:rPr>
          <w:rFonts w:ascii="Arial" w:hAnsi="Arial" w:cs="DanaFajr"/>
          <w:szCs w:val="28"/>
          <w:rtl/>
        </w:rPr>
        <w:t xml:space="preserve"> المدير العام للمباحث الجنائية بوزارة الداخلية</w:t>
      </w:r>
      <w:r w:rsidRPr="004B7958">
        <w:rPr>
          <w:rFonts w:ascii="Arial" w:hAnsi="Arial" w:cs="DanaFajr" w:hint="cs"/>
          <w:szCs w:val="28"/>
          <w:rtl/>
        </w:rPr>
        <w:t>،</w:t>
      </w:r>
      <w:r w:rsidRPr="004B7958">
        <w:rPr>
          <w:rFonts w:ascii="Arial" w:hAnsi="Arial" w:cs="DanaFajr"/>
          <w:szCs w:val="28"/>
          <w:rtl/>
        </w:rPr>
        <w:t xml:space="preserve"> </w:t>
      </w:r>
      <w:r w:rsidRPr="0094153C">
        <w:rPr>
          <w:rFonts w:ascii="Arial" w:hAnsi="Arial" w:cs="DanaFajr"/>
          <w:szCs w:val="28"/>
          <w:rtl/>
        </w:rPr>
        <w:t xml:space="preserve">كما هو ثابت في مفكرة النيابة العمومية عام 1952. </w:t>
      </w:r>
    </w:p>
    <w:p w:rsidR="00F41F33" w:rsidRPr="004B7958" w:rsidRDefault="00F41F33" w:rsidP="00904320">
      <w:pPr>
        <w:spacing w:line="320" w:lineRule="exact"/>
        <w:ind w:firstLine="0"/>
        <w:rPr>
          <w:rFonts w:ascii="Arial" w:hAnsi="Arial" w:cs="DanaFajr"/>
          <w:szCs w:val="28"/>
          <w:rtl/>
        </w:rPr>
      </w:pPr>
      <w:r w:rsidRPr="004B7958">
        <w:rPr>
          <w:rFonts w:ascii="Arial" w:hAnsi="Arial" w:cs="DanaFajr"/>
          <w:szCs w:val="28"/>
          <w:rtl/>
        </w:rPr>
        <w:t>لم تكن الإصابة خطرة، بل بقي البن</w:t>
      </w:r>
      <w:r w:rsidRPr="004B7958">
        <w:rPr>
          <w:rFonts w:ascii="Arial" w:hAnsi="Arial" w:cs="DanaFajr" w:hint="cs"/>
          <w:szCs w:val="28"/>
          <w:rtl/>
        </w:rPr>
        <w:t>ّ</w:t>
      </w:r>
      <w:r w:rsidRPr="004B7958">
        <w:rPr>
          <w:rFonts w:ascii="Arial" w:hAnsi="Arial" w:cs="DanaFajr"/>
          <w:szCs w:val="28"/>
          <w:rtl/>
        </w:rPr>
        <w:t>ا بعدها متماسك القوى كامل الوعي، وقد أبلغ كل</w:t>
      </w:r>
      <w:r w:rsidRPr="004B7958">
        <w:rPr>
          <w:rFonts w:ascii="Arial" w:hAnsi="Arial" w:cs="DanaFajr" w:hint="cs"/>
          <w:szCs w:val="28"/>
          <w:rtl/>
        </w:rPr>
        <w:t>ّ</w:t>
      </w:r>
      <w:r w:rsidRPr="004B7958">
        <w:rPr>
          <w:rFonts w:ascii="Arial" w:hAnsi="Arial" w:cs="DanaFajr"/>
          <w:szCs w:val="28"/>
          <w:rtl/>
        </w:rPr>
        <w:t xml:space="preserve"> م</w:t>
      </w:r>
      <w:r w:rsidRPr="004B7958">
        <w:rPr>
          <w:rFonts w:ascii="Arial" w:hAnsi="Arial" w:cs="DanaFajr" w:hint="cs"/>
          <w:szCs w:val="28"/>
          <w:rtl/>
        </w:rPr>
        <w:t>َ</w:t>
      </w:r>
      <w:r w:rsidRPr="004B7958">
        <w:rPr>
          <w:rFonts w:ascii="Arial" w:hAnsi="Arial" w:cs="DanaFajr"/>
          <w:szCs w:val="28"/>
          <w:rtl/>
        </w:rPr>
        <w:t>ن</w:t>
      </w:r>
      <w:r w:rsidRPr="004B7958">
        <w:rPr>
          <w:rFonts w:ascii="Arial" w:hAnsi="Arial" w:cs="DanaFajr" w:hint="cs"/>
          <w:szCs w:val="28"/>
          <w:rtl/>
        </w:rPr>
        <w:t>ْ</w:t>
      </w:r>
      <w:r w:rsidRPr="004B7958">
        <w:rPr>
          <w:rFonts w:ascii="Arial" w:hAnsi="Arial" w:cs="DanaFajr"/>
          <w:szCs w:val="28"/>
          <w:rtl/>
        </w:rPr>
        <w:t xml:space="preserve"> شهدوا الحادث رقم السيارة، ثم</w:t>
      </w:r>
      <w:r w:rsidRPr="004B7958">
        <w:rPr>
          <w:rFonts w:ascii="Arial" w:hAnsi="Arial" w:cs="DanaFajr" w:hint="cs"/>
          <w:szCs w:val="28"/>
          <w:rtl/>
        </w:rPr>
        <w:t>ّ</w:t>
      </w:r>
      <w:r w:rsidRPr="004B7958">
        <w:rPr>
          <w:rFonts w:ascii="Arial" w:hAnsi="Arial" w:cs="DanaFajr"/>
          <w:szCs w:val="28"/>
          <w:rtl/>
        </w:rPr>
        <w:t xml:space="preserve"> نقل إلى مستشفى القصر العيني</w:t>
      </w:r>
      <w:r w:rsidRPr="004B7958">
        <w:rPr>
          <w:rFonts w:ascii="Arial" w:hAnsi="Arial" w:cs="DanaFajr" w:hint="cs"/>
          <w:szCs w:val="28"/>
          <w:rtl/>
        </w:rPr>
        <w:t>،</w:t>
      </w:r>
      <w:r w:rsidRPr="004B7958">
        <w:rPr>
          <w:rFonts w:ascii="Arial" w:hAnsi="Arial" w:cs="DanaFajr"/>
          <w:szCs w:val="28"/>
          <w:rtl/>
        </w:rPr>
        <w:t xml:space="preserve"> فخلع ملابسه بنفسه. لفظ البنا أنفاسه الأخيرة في الساعة الثانية عشرة والنصف بعد منتصف الليل، أي بعد أربع ساعات ونصف من محاولة ال</w:t>
      </w:r>
      <w:r w:rsidRPr="004B7958">
        <w:rPr>
          <w:rFonts w:ascii="Arial" w:hAnsi="Arial" w:cs="DanaFajr" w:hint="cs"/>
          <w:szCs w:val="28"/>
          <w:rtl/>
        </w:rPr>
        <w:t>ا</w:t>
      </w:r>
      <w:r w:rsidRPr="004B7958">
        <w:rPr>
          <w:rFonts w:ascii="Arial" w:hAnsi="Arial" w:cs="DanaFajr"/>
          <w:szCs w:val="28"/>
          <w:rtl/>
        </w:rPr>
        <w:t>غتيال، ولم يعلم والده وأهله بالحادث إلا</w:t>
      </w:r>
      <w:r w:rsidRPr="004B7958">
        <w:rPr>
          <w:rFonts w:ascii="Arial" w:hAnsi="Arial" w:cs="DanaFajr" w:hint="cs"/>
          <w:szCs w:val="28"/>
          <w:rtl/>
        </w:rPr>
        <w:t>ّ</w:t>
      </w:r>
      <w:r w:rsidRPr="004B7958">
        <w:rPr>
          <w:rFonts w:ascii="Arial" w:hAnsi="Arial" w:cs="DanaFajr"/>
          <w:szCs w:val="28"/>
          <w:rtl/>
        </w:rPr>
        <w:t xml:space="preserve"> بعد ساعتين أخريين</w:t>
      </w:r>
      <w:r w:rsidRPr="004B7958">
        <w:rPr>
          <w:rFonts w:ascii="Arial" w:hAnsi="Arial" w:cs="DanaFajr" w:hint="cs"/>
          <w:szCs w:val="28"/>
          <w:rtl/>
        </w:rPr>
        <w:t>.</w:t>
      </w:r>
      <w:r w:rsidRPr="004B7958">
        <w:rPr>
          <w:rFonts w:ascii="Arial" w:hAnsi="Arial" w:cs="DanaFajr"/>
          <w:szCs w:val="28"/>
          <w:rtl/>
        </w:rPr>
        <w:t xml:space="preserve"> وأرادت الحكومة أن تظل</w:t>
      </w:r>
      <w:r w:rsidRPr="004B7958">
        <w:rPr>
          <w:rFonts w:ascii="Arial" w:hAnsi="Arial" w:cs="DanaFajr" w:hint="cs"/>
          <w:szCs w:val="28"/>
          <w:rtl/>
        </w:rPr>
        <w:t>ّ</w:t>
      </w:r>
      <w:r w:rsidRPr="004B7958">
        <w:rPr>
          <w:rFonts w:ascii="Arial" w:hAnsi="Arial" w:cs="DanaFajr"/>
          <w:szCs w:val="28"/>
          <w:rtl/>
        </w:rPr>
        <w:t xml:space="preserve"> الجثة في المستشفى حت</w:t>
      </w:r>
      <w:r w:rsidRPr="004B7958">
        <w:rPr>
          <w:rFonts w:ascii="Arial" w:hAnsi="Arial" w:cs="DanaFajr" w:hint="cs"/>
          <w:szCs w:val="28"/>
          <w:rtl/>
        </w:rPr>
        <w:t>ّ</w:t>
      </w:r>
      <w:r w:rsidRPr="004B7958">
        <w:rPr>
          <w:rFonts w:ascii="Arial" w:hAnsi="Arial" w:cs="DanaFajr"/>
          <w:szCs w:val="28"/>
          <w:rtl/>
        </w:rPr>
        <w:t>ى تخرج إلى الدفن مباشرة، ولكن</w:t>
      </w:r>
      <w:r w:rsidRPr="004B7958">
        <w:rPr>
          <w:rFonts w:ascii="Arial" w:hAnsi="Arial" w:cs="DanaFajr" w:hint="cs"/>
          <w:szCs w:val="28"/>
          <w:rtl/>
        </w:rPr>
        <w:t>ّ</w:t>
      </w:r>
      <w:r w:rsidRPr="004B7958">
        <w:rPr>
          <w:rFonts w:ascii="Arial" w:hAnsi="Arial" w:cs="DanaFajr"/>
          <w:szCs w:val="28"/>
          <w:rtl/>
        </w:rPr>
        <w:t xml:space="preserve"> ثورة والده جعلتها تتنازل</w:t>
      </w:r>
      <w:r w:rsidRPr="004B7958">
        <w:rPr>
          <w:rFonts w:ascii="Arial" w:hAnsi="Arial" w:cs="DanaFajr" w:hint="cs"/>
          <w:szCs w:val="28"/>
          <w:rtl/>
        </w:rPr>
        <w:t>،</w:t>
      </w:r>
      <w:r w:rsidRPr="004B7958">
        <w:rPr>
          <w:rFonts w:ascii="Arial" w:hAnsi="Arial" w:cs="DanaFajr"/>
          <w:szCs w:val="28"/>
          <w:rtl/>
        </w:rPr>
        <w:t xml:space="preserve"> فتسمح بحمل الجثة إلى البيت، مشترطة أن يتم</w:t>
      </w:r>
      <w:r w:rsidRPr="004B7958">
        <w:rPr>
          <w:rFonts w:ascii="Arial" w:hAnsi="Arial" w:cs="DanaFajr" w:hint="cs"/>
          <w:szCs w:val="28"/>
          <w:rtl/>
        </w:rPr>
        <w:t>ّ</w:t>
      </w:r>
      <w:r w:rsidRPr="004B7958">
        <w:rPr>
          <w:rFonts w:ascii="Arial" w:hAnsi="Arial" w:cs="DanaFajr"/>
          <w:szCs w:val="28"/>
          <w:rtl/>
        </w:rPr>
        <w:t xml:space="preserve"> الدفن في الساعة التاسعة صباحاً، وأ</w:t>
      </w:r>
      <w:r w:rsidRPr="004B7958">
        <w:rPr>
          <w:rFonts w:ascii="Arial" w:hAnsi="Arial" w:cs="DanaFajr" w:hint="cs"/>
          <w:szCs w:val="28"/>
          <w:rtl/>
        </w:rPr>
        <w:t xml:space="preserve">ن </w:t>
      </w:r>
      <w:r w:rsidRPr="004B7958">
        <w:rPr>
          <w:rFonts w:ascii="Arial" w:hAnsi="Arial" w:cs="DanaFajr"/>
          <w:szCs w:val="28"/>
          <w:rtl/>
        </w:rPr>
        <w:t>لا ي</w:t>
      </w:r>
      <w:r w:rsidRPr="004B7958">
        <w:rPr>
          <w:rFonts w:ascii="Arial" w:hAnsi="Arial" w:cs="DanaFajr" w:hint="cs"/>
          <w:szCs w:val="28"/>
          <w:rtl/>
        </w:rPr>
        <w:t>ُ</w:t>
      </w:r>
      <w:r w:rsidRPr="004B7958">
        <w:rPr>
          <w:rFonts w:ascii="Arial" w:hAnsi="Arial" w:cs="DanaFajr"/>
          <w:szCs w:val="28"/>
          <w:rtl/>
        </w:rPr>
        <w:t>قام عزاء</w:t>
      </w:r>
      <w:r w:rsidRPr="004B7958">
        <w:rPr>
          <w:rFonts w:ascii="Arial" w:hAnsi="Arial" w:cs="DanaFajr" w:hint="cs"/>
          <w:szCs w:val="28"/>
          <w:rtl/>
        </w:rPr>
        <w:t>ٌ</w:t>
      </w:r>
      <w:r w:rsidRPr="004B7958">
        <w:rPr>
          <w:rFonts w:ascii="Arial" w:hAnsi="Arial" w:cs="DanaFajr"/>
          <w:szCs w:val="28"/>
          <w:rtl/>
        </w:rPr>
        <w:t>! اعتقلت السلطة كل</w:t>
      </w:r>
      <w:r w:rsidRPr="004B7958">
        <w:rPr>
          <w:rFonts w:ascii="Arial" w:hAnsi="Arial" w:cs="DanaFajr" w:hint="cs"/>
          <w:szCs w:val="28"/>
          <w:rtl/>
        </w:rPr>
        <w:t>ّ</w:t>
      </w:r>
      <w:r w:rsidRPr="004B7958">
        <w:rPr>
          <w:rFonts w:ascii="Arial" w:hAnsi="Arial" w:cs="DanaFajr"/>
          <w:szCs w:val="28"/>
          <w:rtl/>
        </w:rPr>
        <w:t xml:space="preserve"> رجل</w:t>
      </w:r>
      <w:r w:rsidRPr="004B7958">
        <w:rPr>
          <w:rFonts w:ascii="Arial" w:hAnsi="Arial" w:cs="DanaFajr" w:hint="cs"/>
          <w:szCs w:val="28"/>
          <w:rtl/>
        </w:rPr>
        <w:t>ٍ</w:t>
      </w:r>
      <w:r w:rsidRPr="004B7958">
        <w:rPr>
          <w:rFonts w:ascii="Arial" w:hAnsi="Arial" w:cs="DanaFajr"/>
          <w:szCs w:val="28"/>
          <w:rtl/>
        </w:rPr>
        <w:t xml:space="preserve"> حاول ال</w:t>
      </w:r>
      <w:r w:rsidRPr="004B7958">
        <w:rPr>
          <w:rFonts w:ascii="Arial" w:hAnsi="Arial" w:cs="DanaFajr" w:hint="cs"/>
          <w:szCs w:val="28"/>
          <w:rtl/>
        </w:rPr>
        <w:t>ا</w:t>
      </w:r>
      <w:r w:rsidRPr="004B7958">
        <w:rPr>
          <w:rFonts w:ascii="Arial" w:hAnsi="Arial" w:cs="DanaFajr"/>
          <w:szCs w:val="28"/>
          <w:rtl/>
        </w:rPr>
        <w:t>قتراب من بيت البن</w:t>
      </w:r>
      <w:r w:rsidRPr="004B7958">
        <w:rPr>
          <w:rFonts w:ascii="Arial" w:hAnsi="Arial" w:cs="DanaFajr" w:hint="cs"/>
          <w:szCs w:val="28"/>
          <w:rtl/>
        </w:rPr>
        <w:t>ّ</w:t>
      </w:r>
      <w:r w:rsidRPr="004B7958">
        <w:rPr>
          <w:rFonts w:ascii="Arial" w:hAnsi="Arial" w:cs="DanaFajr"/>
          <w:szCs w:val="28"/>
          <w:rtl/>
        </w:rPr>
        <w:t>ا قبل الدفن</w:t>
      </w:r>
      <w:r w:rsidRPr="004B7958">
        <w:rPr>
          <w:rFonts w:ascii="Arial" w:hAnsi="Arial" w:cs="DanaFajr" w:hint="cs"/>
          <w:szCs w:val="28"/>
          <w:rtl/>
        </w:rPr>
        <w:t>،</w:t>
      </w:r>
      <w:r w:rsidRPr="004B7958">
        <w:rPr>
          <w:rFonts w:ascii="Arial" w:hAnsi="Arial" w:cs="DanaFajr"/>
          <w:szCs w:val="28"/>
          <w:rtl/>
        </w:rPr>
        <w:t xml:space="preserve"> فخرجت الجنازة تحملها النساء</w:t>
      </w:r>
      <w:r w:rsidRPr="004B7958">
        <w:rPr>
          <w:rFonts w:ascii="Arial" w:hAnsi="Arial" w:cs="DanaFajr" w:hint="cs"/>
          <w:szCs w:val="28"/>
          <w:rtl/>
        </w:rPr>
        <w:t>؛</w:t>
      </w:r>
      <w:r w:rsidRPr="004B7958">
        <w:rPr>
          <w:rFonts w:ascii="Arial" w:hAnsi="Arial" w:cs="DanaFajr"/>
          <w:szCs w:val="28"/>
          <w:rtl/>
        </w:rPr>
        <w:t xml:space="preserve"> إذ لم يكن هناك رجل</w:t>
      </w:r>
      <w:r w:rsidRPr="004B7958">
        <w:rPr>
          <w:rFonts w:ascii="Arial" w:hAnsi="Arial" w:cs="DanaFajr" w:hint="cs"/>
          <w:szCs w:val="28"/>
          <w:rtl/>
        </w:rPr>
        <w:t>ٌ</w:t>
      </w:r>
      <w:r w:rsidRPr="004B7958">
        <w:rPr>
          <w:rFonts w:ascii="Arial" w:hAnsi="Arial" w:cs="DanaFajr"/>
          <w:szCs w:val="28"/>
          <w:rtl/>
        </w:rPr>
        <w:t xml:space="preserve"> غير والده ومكرم عبيد باشا</w:t>
      </w:r>
      <w:r w:rsidRPr="004B7958">
        <w:rPr>
          <w:rFonts w:ascii="Arial" w:hAnsi="Arial" w:cs="DanaFajr" w:hint="cs"/>
          <w:szCs w:val="28"/>
          <w:rtl/>
        </w:rPr>
        <w:t>،</w:t>
      </w:r>
      <w:r w:rsidRPr="004B7958">
        <w:rPr>
          <w:rFonts w:ascii="Arial" w:hAnsi="Arial" w:cs="DanaFajr"/>
          <w:szCs w:val="28"/>
          <w:rtl/>
        </w:rPr>
        <w:t xml:space="preserve"> والذي لم تعتقله السلط</w:t>
      </w:r>
      <w:r w:rsidRPr="004B7958">
        <w:rPr>
          <w:rFonts w:ascii="Arial" w:hAnsi="Arial" w:cs="DanaFajr" w:hint="cs"/>
          <w:szCs w:val="28"/>
          <w:rtl/>
        </w:rPr>
        <w:t>ة؛</w:t>
      </w:r>
      <w:r w:rsidRPr="004B7958">
        <w:rPr>
          <w:rFonts w:ascii="Arial" w:hAnsi="Arial" w:cs="DanaFajr"/>
          <w:szCs w:val="28"/>
          <w:rtl/>
        </w:rPr>
        <w:t xml:space="preserve"> لكونه مسيحيا</w:t>
      </w:r>
      <w:r w:rsidRPr="004B7958">
        <w:rPr>
          <w:rFonts w:ascii="Arial" w:hAnsi="Arial" w:cs="DanaFajr" w:hint="cs"/>
          <w:szCs w:val="28"/>
          <w:rtl/>
        </w:rPr>
        <w:t>ً</w:t>
      </w:r>
      <w:r w:rsidRPr="004B7958">
        <w:rPr>
          <w:rFonts w:ascii="Arial" w:hAnsi="Arial" w:cs="DanaFajr"/>
          <w:szCs w:val="28"/>
          <w:rtl/>
        </w:rPr>
        <w:t>، وكانت تربطه علاقة صداقة بحسن</w:t>
      </w:r>
      <w:r w:rsidRPr="00715694">
        <w:rPr>
          <w:rFonts w:ascii="Arial" w:hAnsi="Arial" w:cs="DanaFajr"/>
          <w:szCs w:val="28"/>
          <w:rtl/>
        </w:rPr>
        <w:t xml:space="preserve"> </w:t>
      </w:r>
      <w:r w:rsidRPr="004B7958">
        <w:rPr>
          <w:rFonts w:ascii="Arial" w:hAnsi="Arial" w:cs="DanaFajr"/>
          <w:szCs w:val="28"/>
          <w:rtl/>
        </w:rPr>
        <w:t>البن</w:t>
      </w:r>
      <w:r w:rsidRPr="004B7958">
        <w:rPr>
          <w:rFonts w:ascii="Arial" w:hAnsi="Arial" w:cs="DanaFajr" w:hint="cs"/>
          <w:szCs w:val="28"/>
          <w:rtl/>
        </w:rPr>
        <w:t>ّ</w:t>
      </w:r>
      <w:r w:rsidRPr="004B7958">
        <w:rPr>
          <w:rFonts w:ascii="Arial" w:hAnsi="Arial" w:cs="DanaFajr"/>
          <w:szCs w:val="28"/>
          <w:rtl/>
        </w:rPr>
        <w:t xml:space="preserve">ا. </w:t>
      </w:r>
    </w:p>
    <w:p w:rsidR="00F41F33" w:rsidRPr="004B7958" w:rsidRDefault="00F41F33" w:rsidP="00904320">
      <w:pPr>
        <w:spacing w:line="320" w:lineRule="exact"/>
        <w:ind w:firstLine="0"/>
        <w:rPr>
          <w:rFonts w:ascii="Arial" w:hAnsi="Arial" w:cs="DanaFajr"/>
          <w:szCs w:val="28"/>
          <w:rtl/>
        </w:rPr>
      </w:pPr>
      <w:r w:rsidRPr="0094153C">
        <w:rPr>
          <w:rFonts w:ascii="Arial" w:hAnsi="Arial" w:cs="DanaFajr" w:hint="cs"/>
          <w:szCs w:val="28"/>
          <w:rtl/>
          <w:lang w:bidi="ar-LB"/>
        </w:rPr>
        <w:t>في الأيام الأولى من قيام ثورة 23 يوليو أعادت سلطات الثورة التحقيق في ملابسات مصرع حسن</w:t>
      </w:r>
      <w:r w:rsidRPr="004B7958">
        <w:rPr>
          <w:rFonts w:ascii="Arial" w:hAnsi="Arial" w:cs="DanaFajr" w:hint="cs"/>
          <w:szCs w:val="28"/>
          <w:rtl/>
          <w:lang w:bidi="ar-LB"/>
        </w:rPr>
        <w:t xml:space="preserve"> البنّا، </w:t>
      </w:r>
      <w:r w:rsidRPr="004B7958">
        <w:rPr>
          <w:rFonts w:ascii="Arial" w:hAnsi="Arial" w:cs="DanaFajr"/>
          <w:szCs w:val="28"/>
          <w:rtl/>
        </w:rPr>
        <w:t>وتم</w:t>
      </w:r>
      <w:r w:rsidRPr="004B7958">
        <w:rPr>
          <w:rFonts w:ascii="Arial" w:hAnsi="Arial" w:cs="DanaFajr" w:hint="cs"/>
          <w:szCs w:val="28"/>
          <w:rtl/>
        </w:rPr>
        <w:t>ّ</w:t>
      </w:r>
      <w:r w:rsidRPr="004B7958">
        <w:rPr>
          <w:rFonts w:ascii="Arial" w:hAnsi="Arial" w:cs="DanaFajr"/>
          <w:szCs w:val="28"/>
          <w:rtl/>
        </w:rPr>
        <w:t xml:space="preserve"> القبض على المت</w:t>
      </w:r>
      <w:r w:rsidRPr="004B7958">
        <w:rPr>
          <w:rFonts w:ascii="Arial" w:hAnsi="Arial" w:cs="DanaFajr" w:hint="cs"/>
          <w:szCs w:val="28"/>
          <w:rtl/>
        </w:rPr>
        <w:t>َّ</w:t>
      </w:r>
      <w:r w:rsidRPr="004B7958">
        <w:rPr>
          <w:rFonts w:ascii="Arial" w:hAnsi="Arial" w:cs="DanaFajr"/>
          <w:szCs w:val="28"/>
          <w:rtl/>
        </w:rPr>
        <w:t>همين باغتياله</w:t>
      </w:r>
      <w:r w:rsidRPr="004B7958">
        <w:rPr>
          <w:rFonts w:ascii="Arial" w:hAnsi="Arial" w:cs="DanaFajr" w:hint="cs"/>
          <w:szCs w:val="28"/>
          <w:rtl/>
        </w:rPr>
        <w:t>،</w:t>
      </w:r>
      <w:r w:rsidRPr="004B7958">
        <w:rPr>
          <w:rFonts w:ascii="Arial" w:hAnsi="Arial" w:cs="DanaFajr"/>
          <w:szCs w:val="28"/>
          <w:rtl/>
        </w:rPr>
        <w:t xml:space="preserve"> وتقديمهم أمام مح</w:t>
      </w:r>
      <w:r w:rsidRPr="004B7958">
        <w:rPr>
          <w:rFonts w:ascii="Arial" w:hAnsi="Arial" w:cs="DanaFajr" w:hint="cs"/>
          <w:szCs w:val="28"/>
          <w:rtl/>
        </w:rPr>
        <w:t>ك</w:t>
      </w:r>
      <w:r w:rsidRPr="004B7958">
        <w:rPr>
          <w:rFonts w:ascii="Arial" w:hAnsi="Arial" w:cs="DanaFajr"/>
          <w:szCs w:val="28"/>
          <w:rtl/>
        </w:rPr>
        <w:t>مة جن</w:t>
      </w:r>
      <w:r w:rsidRPr="004B7958">
        <w:rPr>
          <w:rFonts w:ascii="Arial" w:hAnsi="Arial" w:cs="DanaFajr" w:hint="cs"/>
          <w:szCs w:val="28"/>
          <w:rtl/>
        </w:rPr>
        <w:t>ا</w:t>
      </w:r>
      <w:r w:rsidRPr="004B7958">
        <w:rPr>
          <w:rFonts w:ascii="Arial" w:hAnsi="Arial" w:cs="DanaFajr"/>
          <w:szCs w:val="28"/>
          <w:rtl/>
        </w:rPr>
        <w:t>يات القاهرة</w:t>
      </w:r>
      <w:r w:rsidRPr="004B7958">
        <w:rPr>
          <w:rFonts w:ascii="Arial" w:hAnsi="Arial" w:cs="DanaFajr" w:hint="cs"/>
          <w:szCs w:val="28"/>
          <w:rtl/>
        </w:rPr>
        <w:t>،</w:t>
      </w:r>
      <w:r w:rsidRPr="004B7958">
        <w:rPr>
          <w:rFonts w:ascii="Arial" w:hAnsi="Arial" w:cs="DanaFajr"/>
          <w:szCs w:val="28"/>
          <w:rtl/>
        </w:rPr>
        <w:t xml:space="preserve"> حيث صدرت </w:t>
      </w:r>
      <w:r w:rsidRPr="0094153C">
        <w:rPr>
          <w:rFonts w:ascii="Arial" w:hAnsi="Arial" w:cs="DanaFajr"/>
          <w:szCs w:val="28"/>
          <w:rtl/>
        </w:rPr>
        <w:t>ضد</w:t>
      </w:r>
      <w:r w:rsidRPr="0094153C">
        <w:rPr>
          <w:rFonts w:ascii="Arial" w:hAnsi="Arial" w:cs="DanaFajr" w:hint="cs"/>
          <w:szCs w:val="28"/>
          <w:rtl/>
        </w:rPr>
        <w:t>ّ</w:t>
      </w:r>
      <w:r w:rsidRPr="0094153C">
        <w:rPr>
          <w:rFonts w:ascii="Arial" w:hAnsi="Arial" w:cs="DanaFajr"/>
          <w:szCs w:val="28"/>
          <w:rtl/>
        </w:rPr>
        <w:t xml:space="preserve">هم </w:t>
      </w:r>
      <w:r w:rsidRPr="0094153C">
        <w:rPr>
          <w:rFonts w:cs="DanaFajr" w:hint="eastAsia"/>
          <w:sz w:val="27"/>
          <w:rtl/>
        </w:rPr>
        <w:t>«</w:t>
      </w:r>
      <w:r w:rsidRPr="0094153C">
        <w:rPr>
          <w:rFonts w:ascii="Arial" w:hAnsi="Arial" w:cs="DanaFajr"/>
          <w:szCs w:val="28"/>
          <w:rtl/>
        </w:rPr>
        <w:t>أحكام ثقيلة</w:t>
      </w:r>
      <w:r w:rsidRPr="0094153C">
        <w:rPr>
          <w:rFonts w:cs="DanaFajr" w:hint="eastAsia"/>
          <w:sz w:val="27"/>
          <w:rtl/>
        </w:rPr>
        <w:t>»</w:t>
      </w:r>
      <w:r w:rsidRPr="0094153C">
        <w:rPr>
          <w:rFonts w:ascii="Arial" w:hAnsi="Arial" w:cs="DanaFajr"/>
          <w:szCs w:val="28"/>
          <w:rtl/>
        </w:rPr>
        <w:t xml:space="preserve"> في أغسطس 1954</w:t>
      </w:r>
      <w:r w:rsidRPr="0094153C">
        <w:rPr>
          <w:rFonts w:ascii="Arial" w:hAnsi="Arial" w:cs="DanaFajr" w:hint="cs"/>
          <w:szCs w:val="28"/>
          <w:rtl/>
        </w:rPr>
        <w:t>،</w:t>
      </w:r>
      <w:r w:rsidRPr="0094153C">
        <w:rPr>
          <w:rFonts w:ascii="Arial" w:hAnsi="Arial" w:cs="DanaFajr"/>
          <w:szCs w:val="28"/>
          <w:rtl/>
        </w:rPr>
        <w:t xml:space="preserve"> حيث قال القاضي في حيثيات الحكم</w:t>
      </w:r>
      <w:r w:rsidRPr="0094153C">
        <w:rPr>
          <w:rFonts w:ascii="Arial" w:hAnsi="Arial" w:cs="DanaFajr" w:hint="cs"/>
          <w:szCs w:val="28"/>
          <w:rtl/>
        </w:rPr>
        <w:t>:</w:t>
      </w:r>
      <w:r w:rsidRPr="0094153C">
        <w:rPr>
          <w:rFonts w:ascii="Arial" w:hAnsi="Arial" w:cs="DanaFajr"/>
          <w:szCs w:val="28"/>
          <w:rtl/>
        </w:rPr>
        <w:t xml:space="preserve"> </w:t>
      </w:r>
      <w:r w:rsidRPr="0094153C">
        <w:rPr>
          <w:rFonts w:cs="DanaFajr" w:hint="eastAsia"/>
          <w:sz w:val="27"/>
          <w:rtl/>
        </w:rPr>
        <w:t>«</w:t>
      </w:r>
      <w:r w:rsidRPr="0094153C">
        <w:rPr>
          <w:rFonts w:ascii="Arial" w:hAnsi="Arial" w:cs="DanaFajr"/>
          <w:szCs w:val="28"/>
          <w:rtl/>
        </w:rPr>
        <w:t>إن قرار الاغتيال</w:t>
      </w:r>
      <w:r w:rsidRPr="004B7958">
        <w:rPr>
          <w:rFonts w:ascii="Arial" w:hAnsi="Arial" w:cs="DanaFajr"/>
          <w:szCs w:val="28"/>
          <w:rtl/>
        </w:rPr>
        <w:t xml:space="preserve"> قد اتخذته الحكومة السعدية</w:t>
      </w:r>
      <w:r w:rsidRPr="004B7958">
        <w:rPr>
          <w:rFonts w:ascii="Arial" w:hAnsi="Arial" w:cs="DanaFajr" w:hint="cs"/>
          <w:szCs w:val="28"/>
          <w:rtl/>
        </w:rPr>
        <w:t>؛</w:t>
      </w:r>
      <w:r w:rsidRPr="004B7958">
        <w:rPr>
          <w:rFonts w:ascii="Arial" w:hAnsi="Arial" w:cs="DanaFajr"/>
          <w:szCs w:val="28"/>
          <w:rtl/>
        </w:rPr>
        <w:t xml:space="preserve"> بهدف الانتقام</w:t>
      </w:r>
      <w:r w:rsidRPr="004B7958">
        <w:rPr>
          <w:rFonts w:ascii="Arial" w:hAnsi="Arial" w:cs="DanaFajr" w:hint="cs"/>
          <w:szCs w:val="28"/>
          <w:rtl/>
        </w:rPr>
        <w:t>،</w:t>
      </w:r>
      <w:r w:rsidRPr="004B7958">
        <w:rPr>
          <w:rFonts w:ascii="Arial" w:hAnsi="Arial" w:cs="DanaFajr"/>
          <w:szCs w:val="28"/>
          <w:rtl/>
        </w:rPr>
        <w:t xml:space="preserve"> </w:t>
      </w:r>
      <w:r w:rsidRPr="004B7958">
        <w:rPr>
          <w:rFonts w:ascii="Arial" w:hAnsi="Arial" w:cs="DanaFajr" w:hint="cs"/>
          <w:szCs w:val="28"/>
          <w:rtl/>
        </w:rPr>
        <w:t>و</w:t>
      </w:r>
      <w:r w:rsidRPr="004B7958">
        <w:rPr>
          <w:rFonts w:ascii="Arial" w:hAnsi="Arial" w:cs="DanaFajr"/>
          <w:szCs w:val="28"/>
          <w:rtl/>
        </w:rPr>
        <w:t>لم يثبت تواطؤ القصر في ذلك</w:t>
      </w:r>
      <w:r w:rsidRPr="004B7958">
        <w:rPr>
          <w:rFonts w:ascii="Arial" w:hAnsi="Arial" w:cs="DanaFajr" w:hint="cs"/>
          <w:szCs w:val="28"/>
          <w:rtl/>
        </w:rPr>
        <w:t>.</w:t>
      </w:r>
      <w:r w:rsidRPr="004B7958">
        <w:rPr>
          <w:rFonts w:ascii="Arial" w:hAnsi="Arial" w:cs="DanaFajr"/>
          <w:szCs w:val="28"/>
          <w:rtl/>
        </w:rPr>
        <w:t xml:space="preserve"> لكن</w:t>
      </w:r>
      <w:r w:rsidRPr="004B7958">
        <w:rPr>
          <w:rFonts w:ascii="Arial" w:hAnsi="Arial" w:cs="DanaFajr" w:hint="cs"/>
          <w:szCs w:val="28"/>
          <w:rtl/>
        </w:rPr>
        <w:t>ّ</w:t>
      </w:r>
      <w:r w:rsidRPr="004B7958">
        <w:rPr>
          <w:rFonts w:ascii="Arial" w:hAnsi="Arial" w:cs="DanaFajr"/>
          <w:szCs w:val="28"/>
          <w:rtl/>
        </w:rPr>
        <w:t xml:space="preserve"> القاضي أشار إلى أن العملية تم</w:t>
      </w:r>
      <w:r w:rsidRPr="004B7958">
        <w:rPr>
          <w:rFonts w:ascii="Arial" w:hAnsi="Arial" w:cs="DanaFajr" w:hint="cs"/>
          <w:szCs w:val="28"/>
          <w:rtl/>
        </w:rPr>
        <w:t>َّ</w:t>
      </w:r>
      <w:r w:rsidRPr="004B7958">
        <w:rPr>
          <w:rFonts w:ascii="Arial" w:hAnsi="Arial" w:cs="DanaFajr"/>
          <w:szCs w:val="28"/>
          <w:rtl/>
        </w:rPr>
        <w:t>ت</w:t>
      </w:r>
      <w:r w:rsidRPr="004B7958">
        <w:rPr>
          <w:rFonts w:ascii="Arial" w:hAnsi="Arial" w:cs="DanaFajr" w:hint="cs"/>
          <w:szCs w:val="28"/>
          <w:rtl/>
        </w:rPr>
        <w:t>ْ</w:t>
      </w:r>
      <w:r w:rsidRPr="004B7958">
        <w:rPr>
          <w:rFonts w:ascii="Arial" w:hAnsi="Arial" w:cs="DanaFajr"/>
          <w:szCs w:val="28"/>
          <w:rtl/>
        </w:rPr>
        <w:t xml:space="preserve"> بمباركة البلاط الملكي</w:t>
      </w:r>
      <w:r w:rsidRPr="004B7958">
        <w:rPr>
          <w:rFonts w:ascii="Arial" w:hAnsi="Arial" w:cs="DanaFajr" w:hint="cs"/>
          <w:szCs w:val="28"/>
          <w:rtl/>
        </w:rPr>
        <w:t>.</w:t>
      </w:r>
      <w:r w:rsidRPr="004B7958">
        <w:rPr>
          <w:rFonts w:ascii="Arial" w:hAnsi="Arial" w:cs="DanaFajr"/>
          <w:szCs w:val="28"/>
          <w:rtl/>
        </w:rPr>
        <w:t xml:space="preserve"> المت</w:t>
      </w:r>
      <w:r w:rsidRPr="004B7958">
        <w:rPr>
          <w:rFonts w:ascii="Arial" w:hAnsi="Arial" w:cs="DanaFajr" w:hint="cs"/>
          <w:szCs w:val="28"/>
          <w:rtl/>
        </w:rPr>
        <w:t>َّ</w:t>
      </w:r>
      <w:r w:rsidRPr="004B7958">
        <w:rPr>
          <w:rFonts w:ascii="Arial" w:hAnsi="Arial" w:cs="DanaFajr"/>
          <w:szCs w:val="28"/>
          <w:rtl/>
        </w:rPr>
        <w:t>هم الأول أحمد حسين جاد الأشغال الشاقة المؤبدة</w:t>
      </w:r>
      <w:r w:rsidRPr="004B7958">
        <w:rPr>
          <w:rFonts w:ascii="Arial" w:hAnsi="Arial" w:cs="DanaFajr" w:hint="cs"/>
          <w:szCs w:val="28"/>
          <w:rtl/>
        </w:rPr>
        <w:t>؛</w:t>
      </w:r>
      <w:r w:rsidRPr="004B7958">
        <w:rPr>
          <w:rFonts w:ascii="Arial" w:hAnsi="Arial" w:cs="DanaFajr"/>
          <w:szCs w:val="28"/>
          <w:rtl/>
        </w:rPr>
        <w:t xml:space="preserve"> المتهم السابع محمد محفوظ الأشغال الشاقة خمسة عشر عاما</w:t>
      </w:r>
      <w:r w:rsidRPr="004B7958">
        <w:rPr>
          <w:rFonts w:ascii="Arial" w:hAnsi="Arial" w:cs="DanaFajr" w:hint="cs"/>
          <w:szCs w:val="28"/>
          <w:rtl/>
        </w:rPr>
        <w:t>ً؛</w:t>
      </w:r>
      <w:r w:rsidRPr="004B7958">
        <w:rPr>
          <w:rFonts w:ascii="Arial" w:hAnsi="Arial" w:cs="DanaFajr"/>
          <w:szCs w:val="28"/>
          <w:rtl/>
        </w:rPr>
        <w:t xml:space="preserve"> المتهم الثامن الأميرلاي محمود عبد المجيد الأشغال الشاقة خمسة عشر عاما</w:t>
      </w:r>
      <w:r w:rsidRPr="004B7958">
        <w:rPr>
          <w:rFonts w:ascii="Arial" w:hAnsi="Arial" w:cs="DanaFajr" w:hint="cs"/>
          <w:szCs w:val="28"/>
          <w:rtl/>
        </w:rPr>
        <w:t>ً؛</w:t>
      </w:r>
      <w:r w:rsidRPr="004B7958">
        <w:rPr>
          <w:rFonts w:ascii="Arial" w:hAnsi="Arial" w:cs="DanaFajr"/>
          <w:szCs w:val="28"/>
          <w:rtl/>
        </w:rPr>
        <w:t xml:space="preserve"> البكباشي محمد الجزار سنة مع الشغل قضاها في الحبس الاحتياطي</w:t>
      </w:r>
      <w:r w:rsidRPr="004B7958">
        <w:rPr>
          <w:rFonts w:ascii="Arial" w:hAnsi="Arial" w:cs="DanaFajr" w:hint="cs"/>
          <w:szCs w:val="28"/>
          <w:rtl/>
        </w:rPr>
        <w:t>،</w:t>
      </w:r>
      <w:r w:rsidRPr="004B7958">
        <w:rPr>
          <w:rFonts w:ascii="Arial" w:hAnsi="Arial" w:cs="DanaFajr"/>
          <w:szCs w:val="28"/>
          <w:rtl/>
        </w:rPr>
        <w:t xml:space="preserve"> فأفرج عنه</w:t>
      </w:r>
      <w:r w:rsidRPr="004B7958">
        <w:rPr>
          <w:rFonts w:cs="DanaFajr" w:hint="eastAsia"/>
          <w:sz w:val="27"/>
          <w:rtl/>
        </w:rPr>
        <w:t>»</w:t>
      </w:r>
      <w:r w:rsidRPr="004B7958">
        <w:rPr>
          <w:rFonts w:ascii="Arial" w:hAnsi="Arial" w:cs="DanaFajr" w:hint="cs"/>
          <w:szCs w:val="28"/>
          <w:rtl/>
        </w:rPr>
        <w:t>،</w:t>
      </w:r>
      <w:r w:rsidRPr="004B7958">
        <w:rPr>
          <w:rFonts w:ascii="Arial" w:hAnsi="Arial" w:cs="DanaFajr"/>
          <w:szCs w:val="28"/>
          <w:rtl/>
        </w:rPr>
        <w:t xml:space="preserve"> إضافة</w:t>
      </w:r>
      <w:r w:rsidRPr="004B7958">
        <w:rPr>
          <w:rFonts w:ascii="Arial" w:hAnsi="Arial" w:cs="DanaFajr" w:hint="cs"/>
          <w:szCs w:val="28"/>
          <w:rtl/>
          <w:lang w:bidi="ar-LB"/>
        </w:rPr>
        <w:t>ً</w:t>
      </w:r>
      <w:r w:rsidRPr="004B7958">
        <w:rPr>
          <w:rFonts w:ascii="Arial" w:hAnsi="Arial" w:cs="DanaFajr"/>
          <w:szCs w:val="28"/>
        </w:rPr>
        <w:t xml:space="preserve"> </w:t>
      </w:r>
      <w:r w:rsidRPr="004B7958">
        <w:rPr>
          <w:rFonts w:ascii="Arial" w:hAnsi="Arial" w:cs="DanaFajr"/>
          <w:szCs w:val="28"/>
          <w:rtl/>
        </w:rPr>
        <w:t>لتعويض مادي كبير</w:t>
      </w:r>
      <w:r w:rsidRPr="004B7958">
        <w:rPr>
          <w:rFonts w:ascii="Arial" w:hAnsi="Arial" w:cs="DanaFajr" w:hint="cs"/>
          <w:szCs w:val="28"/>
          <w:rtl/>
        </w:rPr>
        <w:t>،</w:t>
      </w:r>
      <w:r w:rsidRPr="004B7958">
        <w:rPr>
          <w:rFonts w:ascii="Arial" w:hAnsi="Arial" w:cs="DanaFajr"/>
          <w:szCs w:val="28"/>
          <w:rtl/>
        </w:rPr>
        <w:t xml:space="preserve"> تمث</w:t>
      </w:r>
      <w:r w:rsidRPr="004B7958">
        <w:rPr>
          <w:rFonts w:ascii="Arial" w:hAnsi="Arial" w:cs="DanaFajr" w:hint="cs"/>
          <w:szCs w:val="28"/>
          <w:rtl/>
        </w:rPr>
        <w:t>ّ</w:t>
      </w:r>
      <w:r w:rsidRPr="004B7958">
        <w:rPr>
          <w:rFonts w:ascii="Arial" w:hAnsi="Arial" w:cs="DanaFajr"/>
          <w:szCs w:val="28"/>
          <w:rtl/>
        </w:rPr>
        <w:t xml:space="preserve">ل في دفع عشرة آلاف جنيه مصري كتعويض </w:t>
      </w:r>
      <w:r w:rsidRPr="0094153C">
        <w:rPr>
          <w:rFonts w:ascii="Arial" w:hAnsi="Arial" w:cs="DanaFajr"/>
          <w:szCs w:val="28"/>
          <w:rtl/>
        </w:rPr>
        <w:t>لأسرة البن</w:t>
      </w:r>
      <w:r w:rsidRPr="0094153C">
        <w:rPr>
          <w:rFonts w:ascii="Arial" w:hAnsi="Arial" w:cs="DanaFajr" w:hint="cs"/>
          <w:szCs w:val="28"/>
          <w:rtl/>
        </w:rPr>
        <w:t>ّ</w:t>
      </w:r>
      <w:r w:rsidRPr="0094153C">
        <w:rPr>
          <w:rFonts w:ascii="Arial" w:hAnsi="Arial" w:cs="DanaFajr"/>
          <w:szCs w:val="28"/>
          <w:rtl/>
        </w:rPr>
        <w:t>ا، ولكن</w:t>
      </w:r>
      <w:r w:rsidRPr="0094153C">
        <w:rPr>
          <w:rFonts w:ascii="Arial" w:hAnsi="Arial" w:cs="DanaFajr" w:hint="cs"/>
          <w:szCs w:val="28"/>
          <w:rtl/>
        </w:rPr>
        <w:t>ْ</w:t>
      </w:r>
      <w:r w:rsidRPr="0094153C">
        <w:rPr>
          <w:rFonts w:ascii="Arial" w:hAnsi="Arial" w:cs="DanaFajr"/>
          <w:szCs w:val="28"/>
          <w:rtl/>
        </w:rPr>
        <w:t xml:space="preserve"> بعد حادثة المنشية في ديسمبر 1954 صدرت قرارات بالعفو عن كل</w:t>
      </w:r>
      <w:r w:rsidRPr="0094153C">
        <w:rPr>
          <w:rFonts w:ascii="Arial" w:hAnsi="Arial" w:cs="DanaFajr" w:hint="cs"/>
          <w:szCs w:val="28"/>
          <w:rtl/>
        </w:rPr>
        <w:t>ّ</w:t>
      </w:r>
      <w:r w:rsidRPr="0094153C">
        <w:rPr>
          <w:rFonts w:ascii="Arial" w:hAnsi="Arial" w:cs="DanaFajr"/>
          <w:szCs w:val="28"/>
          <w:rtl/>
        </w:rPr>
        <w:t xml:space="preserve"> المت</w:t>
      </w:r>
      <w:r w:rsidRPr="0094153C">
        <w:rPr>
          <w:rFonts w:ascii="Arial" w:hAnsi="Arial" w:cs="DanaFajr" w:hint="cs"/>
          <w:szCs w:val="28"/>
          <w:rtl/>
        </w:rPr>
        <w:t>َّ</w:t>
      </w:r>
      <w:r w:rsidRPr="0094153C">
        <w:rPr>
          <w:rFonts w:ascii="Arial" w:hAnsi="Arial" w:cs="DanaFajr"/>
          <w:szCs w:val="28"/>
          <w:rtl/>
        </w:rPr>
        <w:t>همين في</w:t>
      </w:r>
      <w:r w:rsidRPr="004B7958">
        <w:rPr>
          <w:rFonts w:ascii="Arial" w:hAnsi="Arial" w:cs="DanaFajr"/>
          <w:szCs w:val="28"/>
          <w:rtl/>
        </w:rPr>
        <w:t xml:space="preserve"> قضية اغتيال حسن البن</w:t>
      </w:r>
      <w:r w:rsidRPr="004B7958">
        <w:rPr>
          <w:rFonts w:ascii="Arial" w:hAnsi="Arial" w:cs="DanaFajr" w:hint="cs"/>
          <w:szCs w:val="28"/>
          <w:rtl/>
        </w:rPr>
        <w:t>ّ</w:t>
      </w:r>
      <w:r w:rsidRPr="004B7958">
        <w:rPr>
          <w:rFonts w:ascii="Arial" w:hAnsi="Arial" w:cs="DanaFajr"/>
          <w:szCs w:val="28"/>
          <w:rtl/>
        </w:rPr>
        <w:t>ا، أُفْرِجَ عن الق</w:t>
      </w:r>
      <w:r w:rsidRPr="004B7958">
        <w:rPr>
          <w:rFonts w:ascii="Arial" w:hAnsi="Arial" w:cs="DanaFajr" w:hint="cs"/>
          <w:szCs w:val="28"/>
          <w:rtl/>
        </w:rPr>
        <w:t>َ</w:t>
      </w:r>
      <w:r w:rsidRPr="004B7958">
        <w:rPr>
          <w:rFonts w:ascii="Arial" w:hAnsi="Arial" w:cs="DanaFajr"/>
          <w:szCs w:val="28"/>
          <w:rtl/>
        </w:rPr>
        <w:t>ت</w:t>
      </w:r>
      <w:r w:rsidRPr="004B7958">
        <w:rPr>
          <w:rFonts w:ascii="Arial" w:hAnsi="Arial" w:cs="DanaFajr" w:hint="cs"/>
          <w:szCs w:val="28"/>
          <w:rtl/>
        </w:rPr>
        <w:t>َ</w:t>
      </w:r>
      <w:r w:rsidRPr="004B7958">
        <w:rPr>
          <w:rFonts w:ascii="Arial" w:hAnsi="Arial" w:cs="DanaFajr"/>
          <w:szCs w:val="28"/>
          <w:rtl/>
        </w:rPr>
        <w:t>لة بعد شهور قليلة قض</w:t>
      </w:r>
      <w:r w:rsidRPr="004B7958">
        <w:rPr>
          <w:rFonts w:ascii="Arial" w:hAnsi="Arial" w:cs="DanaFajr" w:hint="cs"/>
          <w:szCs w:val="28"/>
          <w:rtl/>
        </w:rPr>
        <w:t>َ</w:t>
      </w:r>
      <w:r w:rsidRPr="004B7958">
        <w:rPr>
          <w:rFonts w:ascii="Arial" w:hAnsi="Arial" w:cs="DanaFajr"/>
          <w:szCs w:val="28"/>
          <w:rtl/>
        </w:rPr>
        <w:t>و</w:t>
      </w:r>
      <w:r w:rsidRPr="004B7958">
        <w:rPr>
          <w:rFonts w:ascii="Arial" w:hAnsi="Arial" w:cs="DanaFajr" w:hint="cs"/>
          <w:szCs w:val="28"/>
          <w:rtl/>
        </w:rPr>
        <w:t>ْ</w:t>
      </w:r>
      <w:r w:rsidRPr="004B7958">
        <w:rPr>
          <w:rFonts w:ascii="Arial" w:hAnsi="Arial" w:cs="DanaFajr"/>
          <w:szCs w:val="28"/>
          <w:rtl/>
        </w:rPr>
        <w:t xml:space="preserve">ها داخل السجون.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http://ar.wikipedia.org/wiki/%D</w:t>
      </w:r>
      <w:r w:rsidRPr="006333E0">
        <w:rPr>
          <w:rFonts w:asciiTheme="majorBidi" w:hAnsiTheme="majorBidi" w:cs="Ya-Ali"/>
        </w:rPr>
        <w:t>8</w:t>
      </w:r>
      <w:r w:rsidRPr="00715694">
        <w:rPr>
          <w:rFonts w:asciiTheme="majorBidi" w:hAnsiTheme="majorBidi" w:cstheme="majorBidi"/>
        </w:rPr>
        <w:t>%AD%D</w:t>
      </w:r>
      <w:r w:rsidRPr="006333E0">
        <w:rPr>
          <w:rFonts w:asciiTheme="majorBidi" w:hAnsiTheme="majorBidi" w:cs="Ya-Ali"/>
        </w:rPr>
        <w:t>8</w:t>
      </w:r>
      <w:r w:rsidRPr="00715694">
        <w:rPr>
          <w:rFonts w:asciiTheme="majorBidi" w:hAnsiTheme="majorBidi" w:cstheme="majorBidi"/>
        </w:rPr>
        <w:t>%B</w:t>
      </w:r>
      <w:r w:rsidRPr="006333E0">
        <w:rPr>
          <w:rFonts w:asciiTheme="majorBidi" w:hAnsiTheme="majorBidi" w:cs="Ya-Ali"/>
        </w:rPr>
        <w:t>3</w:t>
      </w:r>
      <w:r w:rsidRPr="00715694">
        <w:rPr>
          <w:rFonts w:asciiTheme="majorBidi" w:hAnsiTheme="majorBidi" w:cstheme="majorBidi"/>
        </w:rPr>
        <w:t>%D</w:t>
      </w:r>
      <w:r w:rsidRPr="006333E0">
        <w:rPr>
          <w:rFonts w:asciiTheme="majorBidi" w:hAnsiTheme="majorBidi" w:cs="Ya-Ali"/>
        </w:rPr>
        <w:t>9</w:t>
      </w:r>
      <w:r w:rsidRPr="00715694">
        <w:rPr>
          <w:rFonts w:asciiTheme="majorBidi" w:hAnsiTheme="majorBidi" w:cstheme="majorBidi"/>
        </w:rPr>
        <w:t>%</w:t>
      </w:r>
      <w:r w:rsidRPr="006333E0">
        <w:rPr>
          <w:rFonts w:asciiTheme="majorBidi" w:hAnsiTheme="majorBidi" w:cs="Ya-Ali"/>
        </w:rPr>
        <w:t>86</w:t>
      </w:r>
      <w:r w:rsidRPr="00715694">
        <w:rPr>
          <w:rFonts w:asciiTheme="majorBidi" w:hAnsiTheme="majorBidi" w:cstheme="majorBidi"/>
        </w:rPr>
        <w:t>_%D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7</w:t>
      </w:r>
      <w:r w:rsidRPr="00715694">
        <w:rPr>
          <w:rFonts w:asciiTheme="majorBidi" w:hAnsiTheme="majorBidi" w:cstheme="majorBidi"/>
        </w:rPr>
        <w:t>%D</w:t>
      </w:r>
      <w:r w:rsidRPr="006333E0">
        <w:rPr>
          <w:rFonts w:asciiTheme="majorBidi" w:hAnsiTheme="majorBidi" w:cs="Ya-Ali"/>
        </w:rPr>
        <w:t>9</w:t>
      </w:r>
      <w:r w:rsidRPr="00715694">
        <w:rPr>
          <w:rFonts w:asciiTheme="majorBidi" w:hAnsiTheme="majorBidi" w:cstheme="majorBidi"/>
        </w:rPr>
        <w:t>%</w:t>
      </w:r>
      <w:r w:rsidRPr="006333E0">
        <w:rPr>
          <w:rFonts w:asciiTheme="majorBidi" w:hAnsiTheme="majorBidi" w:cs="Ya-Ali"/>
        </w:rPr>
        <w:t>84</w:t>
      </w:r>
      <w:r w:rsidRPr="00715694">
        <w:rPr>
          <w:rFonts w:asciiTheme="majorBidi" w:hAnsiTheme="majorBidi" w:cstheme="majorBidi"/>
        </w:rPr>
        <w:t>%D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8</w:t>
      </w:r>
      <w:r w:rsidRPr="00715694">
        <w:rPr>
          <w:rFonts w:asciiTheme="majorBidi" w:hAnsiTheme="majorBidi" w:cstheme="majorBidi"/>
        </w:rPr>
        <w:t>%D</w:t>
      </w:r>
      <w:r w:rsidRPr="006333E0">
        <w:rPr>
          <w:rFonts w:asciiTheme="majorBidi" w:hAnsiTheme="majorBidi" w:cs="Ya-Ali"/>
        </w:rPr>
        <w:t>9</w:t>
      </w:r>
      <w:r w:rsidRPr="00715694">
        <w:rPr>
          <w:rFonts w:asciiTheme="majorBidi" w:hAnsiTheme="majorBidi" w:cstheme="majorBidi"/>
        </w:rPr>
        <w:t>%</w:t>
      </w:r>
      <w:r w:rsidRPr="006333E0">
        <w:rPr>
          <w:rFonts w:asciiTheme="majorBidi" w:hAnsiTheme="majorBidi" w:cs="Ya-Ali"/>
        </w:rPr>
        <w:t>86</w:t>
      </w:r>
      <w:r w:rsidRPr="00715694">
        <w:rPr>
          <w:rFonts w:asciiTheme="majorBidi" w:hAnsiTheme="majorBidi" w:cstheme="majorBidi"/>
        </w:rPr>
        <w:t>%D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7</w:t>
      </w:r>
    </w:p>
  </w:endnote>
  <w:endnote w:id="115">
    <w:p w:rsidR="00F41F33" w:rsidRPr="0094153C" w:rsidRDefault="00F41F33" w:rsidP="00904320">
      <w:pPr>
        <w:pStyle w:val="aa"/>
        <w:spacing w:line="320" w:lineRule="exact"/>
        <w:ind w:firstLine="0"/>
        <w:rPr>
          <w:rFonts w:ascii="Arial" w:hAnsi="Arial" w:cs="DanaFajr"/>
          <w:sz w:val="28"/>
          <w:szCs w:val="28"/>
          <w:rtl/>
          <w:lang w:bidi="ar-LB"/>
        </w:rPr>
      </w:pPr>
      <w:r w:rsidRPr="0094153C">
        <w:rPr>
          <w:rFonts w:ascii="Arial" w:hAnsi="Arial" w:cs="DanaFajr"/>
          <w:sz w:val="28"/>
          <w:szCs w:val="28"/>
          <w:rtl/>
          <w:lang w:bidi="ar-LB"/>
        </w:rPr>
        <w:t>(</w:t>
      </w:r>
      <w:r w:rsidRPr="0094153C">
        <w:rPr>
          <w:rStyle w:val="ac"/>
          <w:rFonts w:ascii="Arial" w:hAnsi="Arial" w:cs="DanaFajr"/>
          <w:sz w:val="28"/>
          <w:szCs w:val="28"/>
          <w:vertAlign w:val="baseline"/>
        </w:rPr>
        <w:endnoteRef/>
      </w:r>
      <w:r w:rsidRPr="0094153C">
        <w:rPr>
          <w:rFonts w:ascii="Arial" w:hAnsi="Arial" w:cs="DanaFajr"/>
          <w:sz w:val="28"/>
          <w:szCs w:val="28"/>
          <w:rtl/>
          <w:lang w:bidi="ar-LB"/>
        </w:rPr>
        <w:t xml:space="preserve">) </w:t>
      </w:r>
      <w:r w:rsidRPr="0094153C">
        <w:rPr>
          <w:rFonts w:ascii="Arial" w:hAnsi="Arial" w:cs="DanaFajr" w:hint="cs"/>
          <w:sz w:val="28"/>
          <w:szCs w:val="28"/>
          <w:rtl/>
          <w:lang w:bidi="ar-LB"/>
        </w:rPr>
        <w:t xml:space="preserve">صلاح </w:t>
      </w:r>
      <w:r w:rsidRPr="0094153C">
        <w:rPr>
          <w:rFonts w:ascii="Arial" w:hAnsi="Arial" w:cs="DanaFajr"/>
          <w:sz w:val="28"/>
          <w:szCs w:val="28"/>
          <w:rtl/>
          <w:lang w:bidi="ar-LB"/>
        </w:rPr>
        <w:t>الخالدي، الحرب الأميركية من منظور سي</w:t>
      </w:r>
      <w:r w:rsidRPr="0094153C">
        <w:rPr>
          <w:rFonts w:ascii="Arial" w:hAnsi="Arial" w:cs="DanaFajr" w:hint="cs"/>
          <w:sz w:val="28"/>
          <w:szCs w:val="28"/>
          <w:rtl/>
          <w:lang w:bidi="ar-LB"/>
        </w:rPr>
        <w:t>ّ</w:t>
      </w:r>
      <w:r w:rsidRPr="0094153C">
        <w:rPr>
          <w:rFonts w:ascii="Arial" w:hAnsi="Arial" w:cs="DanaFajr"/>
          <w:sz w:val="28"/>
          <w:szCs w:val="28"/>
          <w:rtl/>
          <w:lang w:bidi="ar-LB"/>
        </w:rPr>
        <w:t>د قطب: 14 ـ 15</w:t>
      </w:r>
      <w:r w:rsidRPr="0094153C">
        <w:rPr>
          <w:rFonts w:ascii="Arial" w:hAnsi="Arial" w:cs="DanaFajr" w:hint="cs"/>
          <w:sz w:val="28"/>
          <w:szCs w:val="28"/>
          <w:rtl/>
          <w:lang w:bidi="ar-LB"/>
        </w:rPr>
        <w:t>:</w:t>
      </w:r>
      <w:r w:rsidRPr="0094153C">
        <w:rPr>
          <w:rFonts w:ascii="Arial" w:hAnsi="Arial" w:cs="DanaFajr"/>
          <w:sz w:val="28"/>
          <w:szCs w:val="28"/>
          <w:rtl/>
          <w:lang w:bidi="ar-LB"/>
        </w:rPr>
        <w:t xml:space="preserve">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http://www.</w:t>
      </w:r>
      <w:r w:rsidRPr="006333E0">
        <w:rPr>
          <w:rFonts w:asciiTheme="majorBidi" w:hAnsiTheme="majorBidi" w:cs="Ya-Ali"/>
        </w:rPr>
        <w:t>4</w:t>
      </w:r>
      <w:r w:rsidRPr="00715694">
        <w:rPr>
          <w:rFonts w:asciiTheme="majorBidi" w:hAnsiTheme="majorBidi" w:cstheme="majorBidi"/>
        </w:rPr>
        <w:t>shared.com/get/</w:t>
      </w:r>
      <w:r w:rsidRPr="006333E0">
        <w:rPr>
          <w:rFonts w:asciiTheme="majorBidi" w:hAnsiTheme="majorBidi" w:cs="Ya-Ali"/>
        </w:rPr>
        <w:t>63156314</w:t>
      </w:r>
      <w:r w:rsidRPr="00715694">
        <w:rPr>
          <w:rFonts w:asciiTheme="majorBidi" w:hAnsiTheme="majorBidi" w:cstheme="majorBidi"/>
        </w:rPr>
        <w:t>/</w:t>
      </w:r>
      <w:r w:rsidRPr="006333E0">
        <w:rPr>
          <w:rFonts w:asciiTheme="majorBidi" w:hAnsiTheme="majorBidi" w:cs="Ya-Ali"/>
        </w:rPr>
        <w:t>9</w:t>
      </w:r>
      <w:r w:rsidRPr="00715694">
        <w:rPr>
          <w:rFonts w:asciiTheme="majorBidi" w:hAnsiTheme="majorBidi" w:cstheme="majorBidi"/>
        </w:rPr>
        <w:t>c</w:t>
      </w:r>
      <w:r w:rsidRPr="006333E0">
        <w:rPr>
          <w:rFonts w:asciiTheme="majorBidi" w:hAnsiTheme="majorBidi" w:cs="Ya-Ali"/>
        </w:rPr>
        <w:t>9</w:t>
      </w:r>
      <w:r w:rsidRPr="00715694">
        <w:rPr>
          <w:rFonts w:asciiTheme="majorBidi" w:hAnsiTheme="majorBidi" w:cstheme="majorBidi"/>
        </w:rPr>
        <w:t>ad</w:t>
      </w:r>
      <w:r w:rsidRPr="006333E0">
        <w:rPr>
          <w:rFonts w:asciiTheme="majorBidi" w:hAnsiTheme="majorBidi" w:cs="Ya-Ali"/>
        </w:rPr>
        <w:t>967</w:t>
      </w:r>
      <w:r w:rsidRPr="00715694">
        <w:rPr>
          <w:rFonts w:asciiTheme="majorBidi" w:hAnsiTheme="majorBidi" w:cstheme="majorBidi"/>
        </w:rPr>
        <w:t>/</w:t>
      </w:r>
      <w:r w:rsidRPr="00715694">
        <w:rPr>
          <w:rFonts w:asciiTheme="majorBidi" w:hAnsiTheme="majorBidi" w:cstheme="majorBidi"/>
          <w:rtl/>
        </w:rPr>
        <w:t xml:space="preserve"> ـ </w:t>
      </w:r>
      <w:r w:rsidRPr="00715694">
        <w:rPr>
          <w:rFonts w:asciiTheme="majorBidi" w:hAnsiTheme="majorBidi" w:cstheme="majorBidi"/>
        </w:rPr>
        <w:t>html</w:t>
      </w:r>
    </w:p>
  </w:endnote>
  <w:endnote w:id="116">
    <w:p w:rsidR="00F41F33" w:rsidRPr="0094153C" w:rsidRDefault="00F41F33" w:rsidP="00904320">
      <w:pPr>
        <w:pStyle w:val="aa"/>
        <w:spacing w:line="320" w:lineRule="exact"/>
        <w:ind w:firstLine="0"/>
        <w:rPr>
          <w:rFonts w:ascii="Arial" w:hAnsi="Arial" w:cs="DanaFajr"/>
          <w:sz w:val="28"/>
          <w:szCs w:val="28"/>
          <w:rtl/>
          <w:lang w:bidi="ar-LB"/>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 xml:space="preserve">) </w:t>
      </w:r>
      <w:r w:rsidRPr="0094153C">
        <w:rPr>
          <w:rFonts w:ascii="Arial" w:hAnsi="Arial" w:cs="DanaFajr" w:hint="cs"/>
          <w:sz w:val="28"/>
          <w:szCs w:val="28"/>
          <w:rtl/>
        </w:rPr>
        <w:t xml:space="preserve">سيد </w:t>
      </w:r>
      <w:r w:rsidRPr="0094153C">
        <w:rPr>
          <w:rFonts w:ascii="Arial" w:hAnsi="Arial" w:cs="DanaFajr"/>
          <w:sz w:val="28"/>
          <w:szCs w:val="28"/>
          <w:rtl/>
        </w:rPr>
        <w:t>قطب، معالم في الطريق</w:t>
      </w:r>
      <w:r w:rsidRPr="0094153C">
        <w:rPr>
          <w:rFonts w:ascii="Arial" w:hAnsi="Arial" w:cs="DanaFajr" w:hint="cs"/>
          <w:sz w:val="28"/>
          <w:szCs w:val="28"/>
          <w:rtl/>
        </w:rPr>
        <w:t>: 160،</w:t>
      </w:r>
      <w:r w:rsidRPr="0094153C">
        <w:rPr>
          <w:rFonts w:ascii="Arial" w:hAnsi="Arial" w:cs="DanaFajr"/>
          <w:sz w:val="28"/>
          <w:szCs w:val="28"/>
          <w:rtl/>
        </w:rPr>
        <w:t xml:space="preserve"> دار الشروق، بيروت، ط6</w:t>
      </w:r>
      <w:r w:rsidRPr="0094153C">
        <w:rPr>
          <w:rFonts w:ascii="Arial" w:hAnsi="Arial" w:cs="DanaFajr" w:hint="cs"/>
          <w:sz w:val="28"/>
          <w:szCs w:val="28"/>
          <w:rtl/>
        </w:rPr>
        <w:t>،</w:t>
      </w:r>
      <w:r w:rsidRPr="0094153C">
        <w:rPr>
          <w:rFonts w:ascii="Arial" w:hAnsi="Arial" w:cs="DanaFajr"/>
          <w:sz w:val="28"/>
          <w:szCs w:val="28"/>
          <w:rtl/>
        </w:rPr>
        <w:t xml:space="preserve"> 1979. </w:t>
      </w:r>
    </w:p>
  </w:endnote>
  <w:endnote w:id="117">
    <w:p w:rsidR="00F41F33" w:rsidRPr="004B7958" w:rsidRDefault="00F41F33" w:rsidP="00904320">
      <w:pPr>
        <w:pStyle w:val="aa"/>
        <w:spacing w:line="320" w:lineRule="exact"/>
        <w:ind w:firstLine="0"/>
        <w:rPr>
          <w:rFonts w:ascii="Arial" w:hAnsi="Arial" w:cs="DanaFajr"/>
          <w:sz w:val="28"/>
          <w:szCs w:val="28"/>
          <w:rtl/>
          <w:lang w:bidi="ar-LB"/>
        </w:rPr>
      </w:pPr>
      <w:r w:rsidRPr="004B7958">
        <w:rPr>
          <w:rFonts w:ascii="Arial" w:hAnsi="Arial" w:cs="DanaFajr"/>
          <w:sz w:val="28"/>
          <w:szCs w:val="28"/>
          <w:rtl/>
          <w:lang w:bidi="ar-LB"/>
        </w:rPr>
        <w:t>(</w:t>
      </w:r>
      <w:r w:rsidRPr="004B7958">
        <w:rPr>
          <w:rStyle w:val="ac"/>
          <w:rFonts w:ascii="Arial" w:hAnsi="Arial" w:cs="DanaFajr"/>
          <w:sz w:val="28"/>
          <w:szCs w:val="28"/>
          <w:vertAlign w:val="baseline"/>
        </w:rPr>
        <w:endnoteRef/>
      </w:r>
      <w:r w:rsidRPr="004B7958">
        <w:rPr>
          <w:rFonts w:ascii="Arial" w:hAnsi="Arial" w:cs="DanaFajr"/>
          <w:sz w:val="28"/>
          <w:szCs w:val="28"/>
          <w:rtl/>
          <w:lang w:bidi="ar-LB"/>
        </w:rPr>
        <w:t>)</w:t>
      </w:r>
      <w:r w:rsidRPr="004B7958">
        <w:rPr>
          <w:rFonts w:ascii="Arial" w:hAnsi="Arial" w:cs="DanaFajr" w:hint="cs"/>
          <w:sz w:val="28"/>
          <w:szCs w:val="28"/>
          <w:rtl/>
          <w:lang w:bidi="ar-LB"/>
        </w:rPr>
        <w:t xml:space="preserve"> </w:t>
      </w:r>
      <w:r w:rsidRPr="004B7958">
        <w:rPr>
          <w:rFonts w:ascii="Arial" w:hAnsi="Arial" w:cs="DanaFajr"/>
          <w:sz w:val="28"/>
          <w:szCs w:val="28"/>
          <w:rtl/>
          <w:lang w:bidi="ar-LB"/>
        </w:rPr>
        <w:t>حمدي عبد</w:t>
      </w:r>
      <w:r w:rsidRPr="004B7958">
        <w:rPr>
          <w:rFonts w:ascii="Arial" w:hAnsi="Arial" w:cs="DanaFajr" w:hint="cs"/>
          <w:sz w:val="28"/>
          <w:szCs w:val="28"/>
          <w:rtl/>
          <w:lang w:bidi="ar-LB"/>
        </w:rPr>
        <w:t xml:space="preserve"> </w:t>
      </w:r>
      <w:r w:rsidRPr="004B7958">
        <w:rPr>
          <w:rFonts w:ascii="Arial" w:hAnsi="Arial" w:cs="DanaFajr"/>
          <w:sz w:val="28"/>
          <w:szCs w:val="28"/>
          <w:rtl/>
          <w:lang w:bidi="ar-LB"/>
        </w:rPr>
        <w:t>العزيز شهاب</w:t>
      </w:r>
      <w:r w:rsidRPr="004B7958">
        <w:rPr>
          <w:rFonts w:ascii="Arial" w:hAnsi="Arial" w:cs="DanaFajr" w:hint="cs"/>
          <w:sz w:val="28"/>
          <w:szCs w:val="28"/>
          <w:rtl/>
          <w:lang w:bidi="ar-LB"/>
        </w:rPr>
        <w:t>،</w:t>
      </w:r>
      <w:r w:rsidRPr="004B7958">
        <w:rPr>
          <w:rFonts w:ascii="Arial" w:hAnsi="Arial" w:cs="DanaFajr"/>
          <w:sz w:val="28"/>
          <w:szCs w:val="28"/>
          <w:rtl/>
          <w:lang w:bidi="ar-LB"/>
        </w:rPr>
        <w:t xml:space="preserve"> سيد قطب.</w:t>
      </w:r>
      <w:r w:rsidRPr="004B7958">
        <w:rPr>
          <w:rFonts w:ascii="Arial" w:hAnsi="Arial" w:cs="DanaFajr" w:hint="cs"/>
          <w:sz w:val="28"/>
          <w:szCs w:val="28"/>
          <w:rtl/>
          <w:lang w:bidi="ar-LB"/>
        </w:rPr>
        <w:t>..</w:t>
      </w:r>
      <w:r w:rsidRPr="004B7958">
        <w:rPr>
          <w:rFonts w:ascii="Arial" w:hAnsi="Arial" w:cs="DanaFajr"/>
          <w:sz w:val="28"/>
          <w:szCs w:val="28"/>
          <w:rtl/>
          <w:lang w:bidi="ar-LB"/>
        </w:rPr>
        <w:t xml:space="preserve"> الأديب والمصلح الاجتماعي</w:t>
      </w:r>
      <w:r w:rsidRPr="004B7958">
        <w:rPr>
          <w:rFonts w:ascii="Arial" w:hAnsi="Arial" w:cs="DanaFajr" w:hint="cs"/>
          <w:sz w:val="28"/>
          <w:szCs w:val="28"/>
          <w:rtl/>
          <w:lang w:bidi="ar-LB"/>
        </w:rPr>
        <w:t>:</w:t>
      </w:r>
      <w:r w:rsidRPr="004B7958">
        <w:rPr>
          <w:rFonts w:ascii="Arial" w:hAnsi="Arial" w:cs="DanaFajr"/>
          <w:sz w:val="28"/>
          <w:szCs w:val="28"/>
          <w:rtl/>
          <w:lang w:bidi="ar-LB"/>
        </w:rPr>
        <w:t xml:space="preserve">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http://www.islamonline.net/servlet/Satellite?c=ArticleA_C&amp;pagename=Zone</w:t>
      </w:r>
      <w:r w:rsidRPr="00715694">
        <w:rPr>
          <w:rFonts w:asciiTheme="majorBidi" w:hAnsiTheme="majorBidi" w:cstheme="majorBidi"/>
          <w:rtl/>
        </w:rPr>
        <w:t>ـ</w:t>
      </w:r>
      <w:r w:rsidRPr="00715694">
        <w:rPr>
          <w:rFonts w:asciiTheme="majorBidi" w:hAnsiTheme="majorBidi" w:cstheme="majorBidi" w:hint="cs"/>
          <w:rtl/>
          <w:lang w:bidi="ar-LB"/>
        </w:rPr>
        <w:t xml:space="preserve"> </w:t>
      </w:r>
      <w:r w:rsidRPr="00715694">
        <w:rPr>
          <w:rFonts w:asciiTheme="majorBidi" w:hAnsiTheme="majorBidi" w:cstheme="majorBidi"/>
        </w:rPr>
        <w:t xml:space="preserve"> Arabic ArtCulture/ACALayout&amp;cid=</w:t>
      </w:r>
      <w:r w:rsidRPr="006333E0">
        <w:rPr>
          <w:rFonts w:asciiTheme="majorBidi" w:hAnsiTheme="majorBidi" w:cs="Ya-Ali"/>
        </w:rPr>
        <w:t>1182774817283</w:t>
      </w:r>
    </w:p>
  </w:endnote>
  <w:endnote w:id="118">
    <w:p w:rsidR="00F41F33" w:rsidRPr="004B7958" w:rsidRDefault="00F41F33" w:rsidP="00904320">
      <w:pPr>
        <w:spacing w:line="320" w:lineRule="exact"/>
        <w:ind w:firstLine="0"/>
        <w:rPr>
          <w:rFonts w:ascii="Arial" w:hAnsi="Arial" w:cs="DanaFajr"/>
          <w:szCs w:val="28"/>
        </w:rPr>
      </w:pPr>
      <w:r w:rsidRPr="004B7958">
        <w:rPr>
          <w:rFonts w:ascii="Arial" w:hAnsi="Arial" w:cs="DanaFajr"/>
          <w:szCs w:val="28"/>
          <w:rtl/>
          <w:lang w:bidi="ar-LB"/>
        </w:rPr>
        <w:t>(</w:t>
      </w:r>
      <w:r w:rsidRPr="004B7958">
        <w:rPr>
          <w:rStyle w:val="ac"/>
          <w:rFonts w:ascii="Arial" w:hAnsi="Arial" w:cs="DanaFajr"/>
          <w:szCs w:val="28"/>
          <w:vertAlign w:val="baseline"/>
        </w:rPr>
        <w:endnoteRef/>
      </w:r>
      <w:r w:rsidRPr="004B7958">
        <w:rPr>
          <w:rFonts w:ascii="Arial" w:hAnsi="Arial" w:cs="DanaFajr"/>
          <w:szCs w:val="28"/>
          <w:rtl/>
          <w:lang w:bidi="ar-LB"/>
        </w:rPr>
        <w:t>)</w:t>
      </w:r>
      <w:r w:rsidRPr="004B7958">
        <w:rPr>
          <w:rFonts w:ascii="Arial" w:hAnsi="Arial" w:cs="DanaFajr" w:hint="cs"/>
          <w:szCs w:val="28"/>
          <w:rtl/>
        </w:rPr>
        <w:t xml:space="preserve"> </w:t>
      </w:r>
      <w:r w:rsidRPr="004B7958">
        <w:rPr>
          <w:rFonts w:ascii="Arial" w:hAnsi="Arial" w:cs="DanaFajr"/>
          <w:szCs w:val="28"/>
          <w:rtl/>
        </w:rPr>
        <w:t>عبد الرحيم محمود جاموس</w:t>
      </w:r>
      <w:r w:rsidRPr="004B7958">
        <w:rPr>
          <w:rFonts w:ascii="Arial" w:hAnsi="Arial" w:cs="DanaFajr" w:hint="cs"/>
          <w:szCs w:val="28"/>
          <w:rtl/>
        </w:rPr>
        <w:t>،</w:t>
      </w:r>
      <w:r w:rsidRPr="004B7958">
        <w:rPr>
          <w:rFonts w:ascii="Arial" w:hAnsi="Arial" w:cs="DanaFajr"/>
          <w:szCs w:val="28"/>
          <w:rtl/>
        </w:rPr>
        <w:t xml:space="preserve"> السلفيّة: من التحرير إلى التكفير. </w:t>
      </w:r>
    </w:p>
  </w:endnote>
  <w:endnote w:id="119">
    <w:p w:rsidR="00F41F33" w:rsidRPr="0094153C" w:rsidRDefault="00F41F33" w:rsidP="00904320">
      <w:pPr>
        <w:pStyle w:val="aa"/>
        <w:spacing w:line="320" w:lineRule="exact"/>
        <w:ind w:firstLine="0"/>
        <w:rPr>
          <w:rFonts w:ascii="Arial" w:hAnsi="Arial" w:cs="DanaFajr"/>
          <w:sz w:val="28"/>
          <w:szCs w:val="28"/>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 xml:space="preserve">) </w:t>
      </w:r>
      <w:r w:rsidRPr="0094153C">
        <w:rPr>
          <w:rFonts w:ascii="Arial" w:hAnsi="Arial" w:cs="DanaFajr" w:hint="cs"/>
          <w:sz w:val="28"/>
          <w:szCs w:val="28"/>
          <w:rtl/>
          <w:lang w:bidi="ar-LB"/>
        </w:rPr>
        <w:t xml:space="preserve">سيد </w:t>
      </w:r>
      <w:r w:rsidRPr="0094153C">
        <w:rPr>
          <w:rFonts w:ascii="Arial" w:hAnsi="Arial" w:cs="DanaFajr"/>
          <w:sz w:val="28"/>
          <w:szCs w:val="28"/>
          <w:rtl/>
        </w:rPr>
        <w:t xml:space="preserve">قطب، معالم في الطريق: 4. </w:t>
      </w:r>
    </w:p>
  </w:endnote>
  <w:endnote w:id="120">
    <w:p w:rsidR="00F41F33" w:rsidRPr="0094153C" w:rsidRDefault="00F41F33" w:rsidP="00904320">
      <w:pPr>
        <w:pStyle w:val="aa"/>
        <w:spacing w:line="320" w:lineRule="exact"/>
        <w:ind w:firstLine="0"/>
        <w:rPr>
          <w:rFonts w:ascii="Arial" w:hAnsi="Arial" w:cs="DanaFajr"/>
          <w:sz w:val="28"/>
          <w:szCs w:val="28"/>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 xml:space="preserve">) </w:t>
      </w:r>
      <w:r w:rsidRPr="0094153C">
        <w:rPr>
          <w:rFonts w:ascii="Arial" w:hAnsi="Arial" w:cs="DanaFajr" w:hint="cs"/>
          <w:sz w:val="28"/>
          <w:szCs w:val="28"/>
          <w:rtl/>
        </w:rPr>
        <w:t>المصدر السابق</w:t>
      </w:r>
      <w:r w:rsidRPr="0094153C">
        <w:rPr>
          <w:rFonts w:ascii="Arial" w:hAnsi="Arial" w:cs="DanaFajr"/>
          <w:sz w:val="28"/>
          <w:szCs w:val="28"/>
          <w:rtl/>
        </w:rPr>
        <w:t xml:space="preserve">: 3. </w:t>
      </w:r>
    </w:p>
  </w:endnote>
  <w:endnote w:id="121">
    <w:p w:rsidR="00F41F33" w:rsidRPr="0094153C" w:rsidRDefault="00F41F33" w:rsidP="00904320">
      <w:pPr>
        <w:pStyle w:val="aa"/>
        <w:spacing w:line="320" w:lineRule="exact"/>
        <w:ind w:firstLine="0"/>
        <w:rPr>
          <w:rFonts w:ascii="Arial" w:hAnsi="Arial" w:cs="DanaFajr"/>
          <w:sz w:val="28"/>
          <w:szCs w:val="28"/>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 الم</w:t>
      </w:r>
      <w:r w:rsidRPr="0094153C">
        <w:rPr>
          <w:rFonts w:ascii="Arial" w:hAnsi="Arial" w:cs="DanaFajr" w:hint="cs"/>
          <w:sz w:val="28"/>
          <w:szCs w:val="28"/>
          <w:rtl/>
        </w:rPr>
        <w:t>صدر</w:t>
      </w:r>
      <w:r w:rsidRPr="0094153C">
        <w:rPr>
          <w:rFonts w:ascii="Arial" w:hAnsi="Arial" w:cs="DanaFajr"/>
          <w:sz w:val="28"/>
          <w:szCs w:val="28"/>
          <w:rtl/>
        </w:rPr>
        <w:t xml:space="preserve"> </w:t>
      </w:r>
      <w:r w:rsidRPr="0094153C">
        <w:rPr>
          <w:rFonts w:ascii="Arial" w:hAnsi="Arial" w:cs="DanaFajr" w:hint="cs"/>
          <w:sz w:val="28"/>
          <w:szCs w:val="28"/>
          <w:rtl/>
        </w:rPr>
        <w:t>السابق</w:t>
      </w:r>
      <w:r w:rsidRPr="0094153C">
        <w:rPr>
          <w:rFonts w:ascii="Arial" w:hAnsi="Arial" w:cs="DanaFajr"/>
          <w:sz w:val="28"/>
          <w:szCs w:val="28"/>
          <w:rtl/>
        </w:rPr>
        <w:t xml:space="preserve">: 4. </w:t>
      </w:r>
    </w:p>
  </w:endnote>
  <w:endnote w:id="122">
    <w:p w:rsidR="00F41F33" w:rsidRPr="0094153C" w:rsidRDefault="00F41F33" w:rsidP="00904320">
      <w:pPr>
        <w:pStyle w:val="aa"/>
        <w:spacing w:line="320" w:lineRule="exact"/>
        <w:ind w:firstLine="0"/>
        <w:rPr>
          <w:rFonts w:ascii="Arial" w:hAnsi="Arial" w:cs="DanaFajr"/>
          <w:sz w:val="28"/>
          <w:szCs w:val="28"/>
        </w:rPr>
      </w:pPr>
      <w:r w:rsidRPr="0094153C">
        <w:rPr>
          <w:rFonts w:ascii="Arial" w:hAnsi="Arial" w:cs="DanaFajr"/>
          <w:sz w:val="28"/>
          <w:szCs w:val="28"/>
          <w:rtl/>
          <w:lang w:bidi="ar-LB"/>
        </w:rPr>
        <w:t>(</w:t>
      </w:r>
      <w:r w:rsidRPr="0094153C">
        <w:rPr>
          <w:rStyle w:val="ac"/>
          <w:rFonts w:ascii="Arial" w:hAnsi="Arial" w:cs="DanaFajr"/>
          <w:sz w:val="28"/>
          <w:szCs w:val="28"/>
          <w:vertAlign w:val="baseline"/>
        </w:rPr>
        <w:endnoteRef/>
      </w:r>
      <w:r w:rsidRPr="0094153C">
        <w:rPr>
          <w:rFonts w:ascii="Arial" w:hAnsi="Arial" w:cs="DanaFajr"/>
          <w:sz w:val="28"/>
          <w:szCs w:val="28"/>
          <w:rtl/>
          <w:lang w:bidi="ar-LB"/>
        </w:rPr>
        <w:t xml:space="preserve">) </w:t>
      </w:r>
      <w:r w:rsidRPr="0094153C">
        <w:rPr>
          <w:rFonts w:ascii="Arial" w:hAnsi="Arial" w:cs="DanaFajr" w:hint="cs"/>
          <w:sz w:val="28"/>
          <w:szCs w:val="28"/>
          <w:rtl/>
        </w:rPr>
        <w:t xml:space="preserve">سيد </w:t>
      </w:r>
      <w:r w:rsidRPr="0094153C">
        <w:rPr>
          <w:rFonts w:ascii="Arial" w:hAnsi="Arial" w:cs="DanaFajr"/>
          <w:sz w:val="28"/>
          <w:szCs w:val="28"/>
          <w:rtl/>
        </w:rPr>
        <w:t>قطب، في ظلال القرآن</w:t>
      </w:r>
      <w:r w:rsidRPr="0094153C">
        <w:rPr>
          <w:rFonts w:ascii="Arial" w:hAnsi="Arial" w:cs="DanaFajr" w:hint="cs"/>
          <w:sz w:val="28"/>
          <w:szCs w:val="28"/>
          <w:rtl/>
        </w:rPr>
        <w:t xml:space="preserve"> </w:t>
      </w:r>
      <w:r w:rsidRPr="0094153C">
        <w:rPr>
          <w:rFonts w:ascii="Arial" w:hAnsi="Arial" w:cs="DanaFajr"/>
          <w:sz w:val="28"/>
          <w:szCs w:val="28"/>
          <w:rtl/>
        </w:rPr>
        <w:t xml:space="preserve">1: 8؛ دار </w:t>
      </w:r>
      <w:r w:rsidRPr="0094153C">
        <w:rPr>
          <w:rFonts w:ascii="Arial" w:hAnsi="Arial" w:cs="DanaFajr" w:hint="cs"/>
          <w:sz w:val="28"/>
          <w:szCs w:val="28"/>
          <w:rtl/>
        </w:rPr>
        <w:t>إ</w:t>
      </w:r>
      <w:r w:rsidRPr="0094153C">
        <w:rPr>
          <w:rFonts w:ascii="Arial" w:hAnsi="Arial" w:cs="DanaFajr"/>
          <w:sz w:val="28"/>
          <w:szCs w:val="28"/>
          <w:rtl/>
        </w:rPr>
        <w:t xml:space="preserve">حياء التراث العربي، بيروت، 1967. </w:t>
      </w:r>
    </w:p>
  </w:endnote>
  <w:endnote w:id="123">
    <w:p w:rsidR="00F41F33" w:rsidRPr="0094153C" w:rsidRDefault="00F41F33" w:rsidP="00904320">
      <w:pPr>
        <w:pStyle w:val="aa"/>
        <w:spacing w:line="320" w:lineRule="exact"/>
        <w:ind w:firstLine="0"/>
        <w:rPr>
          <w:rFonts w:ascii="Arial" w:hAnsi="Arial" w:cs="DanaFajr"/>
          <w:sz w:val="28"/>
          <w:szCs w:val="28"/>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 xml:space="preserve">) </w:t>
      </w:r>
      <w:r w:rsidRPr="0094153C">
        <w:rPr>
          <w:rFonts w:ascii="Arial" w:hAnsi="Arial" w:cs="DanaFajr" w:hint="cs"/>
          <w:sz w:val="28"/>
          <w:szCs w:val="28"/>
          <w:rtl/>
        </w:rPr>
        <w:t xml:space="preserve">سيد </w:t>
      </w:r>
      <w:r w:rsidRPr="0094153C">
        <w:rPr>
          <w:rFonts w:ascii="Arial" w:hAnsi="Arial" w:cs="DanaFajr"/>
          <w:sz w:val="28"/>
          <w:szCs w:val="28"/>
          <w:rtl/>
        </w:rPr>
        <w:t>قطب، العدالة الاجتماعية في الإسلام</w:t>
      </w:r>
      <w:r w:rsidRPr="0094153C">
        <w:rPr>
          <w:rFonts w:ascii="Arial" w:hAnsi="Arial" w:cs="DanaFajr" w:hint="cs"/>
          <w:sz w:val="28"/>
          <w:szCs w:val="28"/>
          <w:rtl/>
        </w:rPr>
        <w:t>: 215،</w:t>
      </w:r>
      <w:r w:rsidRPr="0094153C">
        <w:rPr>
          <w:rFonts w:ascii="Arial" w:hAnsi="Arial" w:cs="DanaFajr"/>
          <w:sz w:val="28"/>
          <w:szCs w:val="28"/>
          <w:rtl/>
        </w:rPr>
        <w:t xml:space="preserve"> دار الشروق، بيروت، 1993</w:t>
      </w:r>
      <w:r w:rsidRPr="0094153C">
        <w:rPr>
          <w:rFonts w:ascii="Arial" w:hAnsi="Arial" w:cs="DanaFajr" w:hint="cs"/>
          <w:sz w:val="28"/>
          <w:szCs w:val="28"/>
          <w:rtl/>
        </w:rPr>
        <w:t>.</w:t>
      </w:r>
      <w:r w:rsidRPr="0094153C">
        <w:rPr>
          <w:rFonts w:ascii="Arial" w:hAnsi="Arial" w:cs="DanaFajr"/>
          <w:sz w:val="28"/>
          <w:szCs w:val="28"/>
          <w:rtl/>
        </w:rPr>
        <w:t xml:space="preserve"> </w:t>
      </w:r>
    </w:p>
  </w:endnote>
  <w:endnote w:id="124">
    <w:p w:rsidR="00F41F33" w:rsidRPr="004B7958" w:rsidRDefault="00F41F33" w:rsidP="00904320">
      <w:pPr>
        <w:pStyle w:val="aa"/>
        <w:spacing w:line="320" w:lineRule="exact"/>
        <w:ind w:firstLine="0"/>
        <w:rPr>
          <w:rFonts w:ascii="Arial" w:hAnsi="Arial" w:cs="DanaFajr"/>
          <w:sz w:val="28"/>
          <w:szCs w:val="28"/>
        </w:rPr>
      </w:pPr>
      <w:r w:rsidRPr="004B7958">
        <w:rPr>
          <w:rFonts w:ascii="Arial" w:hAnsi="Arial" w:cs="DanaFajr"/>
          <w:sz w:val="28"/>
          <w:szCs w:val="28"/>
          <w:rtl/>
        </w:rPr>
        <w:t>(</w:t>
      </w:r>
      <w:r w:rsidRPr="004B7958">
        <w:rPr>
          <w:rStyle w:val="ac"/>
          <w:rFonts w:ascii="Arial" w:hAnsi="Arial" w:cs="DanaFajr"/>
          <w:sz w:val="28"/>
          <w:szCs w:val="28"/>
          <w:vertAlign w:val="baseline"/>
        </w:rPr>
        <w:endnoteRef/>
      </w:r>
      <w:r w:rsidRPr="004B7958">
        <w:rPr>
          <w:rFonts w:ascii="Arial" w:hAnsi="Arial" w:cs="DanaFajr"/>
          <w:sz w:val="28"/>
          <w:szCs w:val="28"/>
          <w:rtl/>
        </w:rPr>
        <w:t>)</w:t>
      </w:r>
      <w:r w:rsidRPr="004B7958">
        <w:rPr>
          <w:rFonts w:ascii="Arial" w:hAnsi="Arial" w:cs="DanaFajr" w:hint="cs"/>
          <w:szCs w:val="28"/>
          <w:rtl/>
        </w:rPr>
        <w:t xml:space="preserve"> سعود </w:t>
      </w:r>
      <w:r w:rsidRPr="004B7958">
        <w:rPr>
          <w:rFonts w:ascii="Arial" w:hAnsi="Arial" w:cs="DanaFajr"/>
          <w:szCs w:val="28"/>
          <w:rtl/>
        </w:rPr>
        <w:t>المولى، السلفية والجهاد والقاعدة وحزب التحرير والجهاد الإسلامي</w:t>
      </w:r>
      <w:r w:rsidRPr="004B7958">
        <w:rPr>
          <w:rFonts w:ascii="Arial" w:hAnsi="Arial" w:cs="DanaFajr"/>
          <w:sz w:val="28"/>
          <w:szCs w:val="28"/>
          <w:rtl/>
        </w:rPr>
        <w:t xml:space="preserve">. </w:t>
      </w:r>
    </w:p>
  </w:endnote>
  <w:endnote w:id="125">
    <w:p w:rsidR="00F41F33" w:rsidRPr="004B7958" w:rsidRDefault="00F41F33" w:rsidP="00904320">
      <w:pPr>
        <w:pStyle w:val="aa"/>
        <w:spacing w:line="320" w:lineRule="exact"/>
        <w:ind w:firstLine="0"/>
        <w:rPr>
          <w:rFonts w:ascii="Arial" w:hAnsi="Arial" w:cs="DanaFajr"/>
          <w:sz w:val="28"/>
          <w:szCs w:val="28"/>
          <w:rtl/>
          <w:lang w:bidi="ar-JO"/>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 xml:space="preserve">) </w:t>
      </w:r>
      <w:r w:rsidRPr="0094153C">
        <w:rPr>
          <w:rFonts w:ascii="Arial" w:hAnsi="Arial" w:cs="DanaFajr"/>
          <w:sz w:val="28"/>
          <w:szCs w:val="28"/>
          <w:rtl/>
          <w:lang w:bidi="ar-JO"/>
        </w:rPr>
        <w:t>حت</w:t>
      </w:r>
      <w:r w:rsidRPr="0094153C">
        <w:rPr>
          <w:rFonts w:ascii="Arial" w:hAnsi="Arial" w:cs="DanaFajr" w:hint="cs"/>
          <w:sz w:val="28"/>
          <w:szCs w:val="28"/>
          <w:rtl/>
          <w:lang w:bidi="ar-JO"/>
        </w:rPr>
        <w:t>ّ</w:t>
      </w:r>
      <w:r w:rsidRPr="0094153C">
        <w:rPr>
          <w:rFonts w:ascii="Arial" w:hAnsi="Arial" w:cs="DanaFajr"/>
          <w:sz w:val="28"/>
          <w:szCs w:val="28"/>
          <w:rtl/>
          <w:lang w:bidi="ar-JO"/>
        </w:rPr>
        <w:t xml:space="preserve">ى سقوط كابول بيد المجاهدين الأفغان سنة </w:t>
      </w:r>
      <w:r w:rsidRPr="0094153C">
        <w:rPr>
          <w:rFonts w:ascii="Arial" w:hAnsi="Arial" w:cs="DanaFajr"/>
          <w:sz w:val="28"/>
          <w:szCs w:val="28"/>
          <w:rtl/>
        </w:rPr>
        <w:t xml:space="preserve">1991 </w:t>
      </w:r>
      <w:r w:rsidRPr="0094153C">
        <w:rPr>
          <w:rFonts w:ascii="Arial" w:hAnsi="Arial" w:cs="DanaFajr"/>
          <w:sz w:val="28"/>
          <w:szCs w:val="28"/>
          <w:rtl/>
          <w:lang w:bidi="ar-JO"/>
        </w:rPr>
        <w:t>كان عدد المتطو</w:t>
      </w:r>
      <w:r w:rsidRPr="0094153C">
        <w:rPr>
          <w:rFonts w:ascii="Arial" w:hAnsi="Arial" w:cs="DanaFajr" w:hint="cs"/>
          <w:sz w:val="28"/>
          <w:szCs w:val="28"/>
          <w:rtl/>
          <w:lang w:bidi="ar-JO"/>
        </w:rPr>
        <w:t>ِّ</w:t>
      </w:r>
      <w:r w:rsidRPr="0094153C">
        <w:rPr>
          <w:rFonts w:ascii="Arial" w:hAnsi="Arial" w:cs="DanaFajr"/>
          <w:sz w:val="28"/>
          <w:szCs w:val="28"/>
          <w:rtl/>
          <w:lang w:bidi="ar-JO"/>
        </w:rPr>
        <w:t>عين العرب القادمين من</w:t>
      </w:r>
      <w:r w:rsidRPr="004B7958">
        <w:rPr>
          <w:rFonts w:ascii="Arial" w:hAnsi="Arial" w:cs="DanaFajr"/>
          <w:sz w:val="28"/>
          <w:szCs w:val="28"/>
          <w:rtl/>
          <w:lang w:bidi="ar-JO"/>
        </w:rPr>
        <w:t xml:space="preserve"> </w:t>
      </w:r>
      <w:r w:rsidRPr="0094153C">
        <w:rPr>
          <w:rFonts w:ascii="Arial" w:hAnsi="Arial" w:cs="DanaFajr"/>
          <w:sz w:val="28"/>
          <w:szCs w:val="28"/>
          <w:rtl/>
          <w:lang w:bidi="ar-JO"/>
        </w:rPr>
        <w:t xml:space="preserve">السعودية قد بلغ قرابة الـ </w:t>
      </w:r>
      <w:r w:rsidRPr="0094153C">
        <w:rPr>
          <w:rFonts w:ascii="Arial" w:hAnsi="Arial" w:cs="DanaFajr"/>
          <w:sz w:val="28"/>
          <w:szCs w:val="28"/>
          <w:rtl/>
        </w:rPr>
        <w:t>20</w:t>
      </w:r>
      <w:r w:rsidRPr="0094153C">
        <w:rPr>
          <w:rFonts w:ascii="Arial" w:hAnsi="Arial" w:cs="DanaFajr"/>
          <w:sz w:val="28"/>
          <w:szCs w:val="28"/>
          <w:rtl/>
          <w:lang w:bidi="ar-JO"/>
        </w:rPr>
        <w:t xml:space="preserve"> ألف متطو</w:t>
      </w:r>
      <w:r w:rsidRPr="0094153C">
        <w:rPr>
          <w:rFonts w:ascii="Arial" w:hAnsi="Arial" w:cs="DanaFajr" w:hint="cs"/>
          <w:sz w:val="28"/>
          <w:szCs w:val="28"/>
          <w:rtl/>
          <w:lang w:bidi="ar-JO"/>
        </w:rPr>
        <w:t>ّ</w:t>
      </w:r>
      <w:r w:rsidRPr="0094153C">
        <w:rPr>
          <w:rFonts w:ascii="Arial" w:hAnsi="Arial" w:cs="DanaFajr"/>
          <w:sz w:val="28"/>
          <w:szCs w:val="28"/>
          <w:rtl/>
          <w:lang w:bidi="ar-JO"/>
        </w:rPr>
        <w:t xml:space="preserve">ع. واستشهد من المتطوعين العرب </w:t>
      </w:r>
      <w:r w:rsidRPr="0094153C">
        <w:rPr>
          <w:rFonts w:ascii="Arial" w:hAnsi="Arial" w:cs="DanaFajr"/>
          <w:sz w:val="28"/>
          <w:szCs w:val="28"/>
          <w:rtl/>
        </w:rPr>
        <w:t xml:space="preserve">1000 </w:t>
      </w:r>
      <w:r w:rsidRPr="0094153C">
        <w:rPr>
          <w:rFonts w:ascii="Arial" w:hAnsi="Arial" w:cs="DanaFajr"/>
          <w:sz w:val="28"/>
          <w:szCs w:val="28"/>
          <w:rtl/>
          <w:lang w:bidi="ar-JO"/>
        </w:rPr>
        <w:t>مقاتل من العدد</w:t>
      </w:r>
      <w:r w:rsidRPr="004B7958">
        <w:rPr>
          <w:rFonts w:ascii="Arial" w:hAnsi="Arial" w:cs="DanaFajr"/>
          <w:sz w:val="28"/>
          <w:szCs w:val="28"/>
          <w:rtl/>
          <w:lang w:bidi="ar-JO"/>
        </w:rPr>
        <w:t xml:space="preserve"> الإجمالي خلال المرحلة الأولى من الجهاد الأفغاني. </w:t>
      </w:r>
    </w:p>
    <w:p w:rsidR="00F41F33" w:rsidRPr="0094153C" w:rsidRDefault="00F41F33" w:rsidP="00904320">
      <w:pPr>
        <w:pStyle w:val="aa"/>
        <w:spacing w:line="320" w:lineRule="exact"/>
        <w:ind w:firstLine="0"/>
        <w:rPr>
          <w:rFonts w:ascii="Arial" w:hAnsi="Arial" w:cs="DanaFajr"/>
          <w:sz w:val="28"/>
          <w:szCs w:val="28"/>
        </w:rPr>
      </w:pPr>
      <w:r w:rsidRPr="0094153C">
        <w:rPr>
          <w:rFonts w:ascii="Arial" w:hAnsi="Arial" w:cs="DanaFajr"/>
          <w:sz w:val="28"/>
          <w:szCs w:val="28"/>
          <w:rtl/>
          <w:lang w:bidi="ar-JO"/>
        </w:rPr>
        <w:t>ـ عمر عبد الحكيم (أبو مصعب السوري)</w:t>
      </w:r>
      <w:r w:rsidRPr="0094153C">
        <w:rPr>
          <w:rFonts w:ascii="Arial" w:hAnsi="Arial" w:cs="DanaFajr" w:hint="cs"/>
          <w:sz w:val="28"/>
          <w:szCs w:val="28"/>
          <w:rtl/>
          <w:lang w:bidi="ar-JO"/>
        </w:rPr>
        <w:t>،</w:t>
      </w:r>
      <w:r w:rsidRPr="0094153C">
        <w:rPr>
          <w:rFonts w:ascii="Arial" w:hAnsi="Arial" w:cs="DanaFajr"/>
          <w:sz w:val="28"/>
          <w:szCs w:val="28"/>
          <w:rtl/>
          <w:lang w:bidi="ar-JO"/>
        </w:rPr>
        <w:t xml:space="preserve"> دعوة المقاومة الإسلامية العالمية: </w:t>
      </w:r>
      <w:r w:rsidRPr="0094153C">
        <w:rPr>
          <w:rFonts w:ascii="Arial" w:hAnsi="Arial" w:cs="DanaFajr"/>
          <w:sz w:val="28"/>
          <w:szCs w:val="28"/>
          <w:rtl/>
        </w:rPr>
        <w:t>896</w:t>
      </w:r>
      <w:r w:rsidRPr="0094153C">
        <w:rPr>
          <w:rFonts w:ascii="Arial" w:hAnsi="Arial" w:cs="DanaFajr"/>
          <w:sz w:val="28"/>
          <w:szCs w:val="28"/>
          <w:rtl/>
          <w:lang w:bidi="ar-JO"/>
        </w:rPr>
        <w:t>، طبعة ذي القعدة</w:t>
      </w:r>
      <w:r w:rsidRPr="004B7958">
        <w:rPr>
          <w:rFonts w:ascii="Arial" w:hAnsi="Arial" w:cs="DanaFajr"/>
          <w:sz w:val="28"/>
          <w:szCs w:val="28"/>
          <w:rtl/>
          <w:lang w:bidi="ar-JO"/>
        </w:rPr>
        <w:t xml:space="preserve"> </w:t>
      </w:r>
      <w:r w:rsidRPr="0094153C">
        <w:rPr>
          <w:rFonts w:ascii="Arial" w:hAnsi="Arial" w:cs="DanaFajr"/>
          <w:sz w:val="28"/>
          <w:szCs w:val="28"/>
          <w:rtl/>
        </w:rPr>
        <w:t>1425</w:t>
      </w:r>
      <w:r w:rsidRPr="0094153C">
        <w:rPr>
          <w:rFonts w:ascii="Arial" w:hAnsi="Arial" w:cs="DanaFajr"/>
          <w:sz w:val="28"/>
          <w:szCs w:val="28"/>
          <w:rtl/>
          <w:lang w:bidi="ar-JO"/>
        </w:rPr>
        <w:t xml:space="preserve">هـ / ديسمبر </w:t>
      </w:r>
      <w:r w:rsidRPr="0094153C">
        <w:rPr>
          <w:rFonts w:ascii="Arial" w:hAnsi="Arial" w:cs="DanaFajr"/>
          <w:sz w:val="28"/>
          <w:szCs w:val="28"/>
          <w:rtl/>
        </w:rPr>
        <w:t>2004</w:t>
      </w:r>
      <w:r w:rsidRPr="0094153C">
        <w:rPr>
          <w:rFonts w:ascii="Arial" w:hAnsi="Arial" w:cs="DanaFajr"/>
          <w:sz w:val="28"/>
          <w:szCs w:val="28"/>
          <w:rtl/>
          <w:lang w:bidi="ar-JO"/>
        </w:rPr>
        <w:t xml:space="preserve">م. </w:t>
      </w:r>
    </w:p>
  </w:endnote>
  <w:endnote w:id="126">
    <w:p w:rsidR="00F41F33" w:rsidRPr="0094153C" w:rsidRDefault="00F41F33" w:rsidP="00904320">
      <w:pPr>
        <w:pStyle w:val="aa"/>
        <w:spacing w:line="320" w:lineRule="exact"/>
        <w:ind w:firstLine="0"/>
        <w:rPr>
          <w:rFonts w:ascii="Arial" w:hAnsi="Arial" w:cs="DanaFajr"/>
          <w:sz w:val="28"/>
          <w:szCs w:val="28"/>
          <w:rtl/>
          <w:lang w:bidi="ar-JO"/>
        </w:rPr>
      </w:pPr>
      <w:r w:rsidRPr="0094153C">
        <w:rPr>
          <w:rFonts w:ascii="Arial" w:hAnsi="Arial" w:cs="DanaFajr"/>
          <w:sz w:val="28"/>
          <w:szCs w:val="28"/>
          <w:rtl/>
        </w:rPr>
        <w:t>(</w:t>
      </w:r>
      <w:r w:rsidRPr="0094153C">
        <w:rPr>
          <w:rStyle w:val="ac"/>
          <w:rFonts w:ascii="Arial" w:hAnsi="Arial" w:cs="DanaFajr"/>
          <w:sz w:val="28"/>
          <w:szCs w:val="28"/>
          <w:vertAlign w:val="baseline"/>
        </w:rPr>
        <w:endnoteRef/>
      </w:r>
      <w:r w:rsidRPr="0094153C">
        <w:rPr>
          <w:rFonts w:ascii="Arial" w:hAnsi="Arial" w:cs="DanaFajr"/>
          <w:sz w:val="28"/>
          <w:szCs w:val="28"/>
          <w:rtl/>
        </w:rPr>
        <w:t>)</w:t>
      </w:r>
      <w:r w:rsidRPr="0094153C">
        <w:rPr>
          <w:rFonts w:ascii="Arial" w:hAnsi="Arial" w:cs="DanaFajr" w:hint="cs"/>
          <w:sz w:val="28"/>
          <w:szCs w:val="28"/>
          <w:rtl/>
          <w:lang w:bidi="ar-JO"/>
        </w:rPr>
        <w:t xml:space="preserve"> </w:t>
      </w:r>
      <w:r w:rsidRPr="0094153C">
        <w:rPr>
          <w:rFonts w:ascii="Arial" w:hAnsi="Arial" w:cs="DanaFajr"/>
          <w:sz w:val="28"/>
          <w:szCs w:val="28"/>
          <w:rtl/>
          <w:lang w:bidi="ar-JO"/>
        </w:rPr>
        <w:t>أكرم حجازي، مدخل إلى السلفية الجهادية ومشروعها الجهادي (نموذج العراق): 6 ـ 7</w:t>
      </w:r>
      <w:r w:rsidRPr="0094153C">
        <w:rPr>
          <w:rFonts w:ascii="Arial" w:hAnsi="Arial" w:cs="DanaFajr" w:hint="cs"/>
          <w:sz w:val="28"/>
          <w:szCs w:val="28"/>
          <w:rtl/>
          <w:lang w:bidi="ar-JO"/>
        </w:rPr>
        <w:t>:</w:t>
      </w:r>
      <w:r w:rsidRPr="0094153C">
        <w:rPr>
          <w:rFonts w:ascii="Arial" w:hAnsi="Arial" w:cs="DanaFajr"/>
          <w:sz w:val="28"/>
          <w:szCs w:val="28"/>
          <w:rtl/>
          <w:lang w:bidi="ar-JO"/>
        </w:rPr>
        <w:t xml:space="preserve">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 //www.almoraqeb.net/main/mobiles</w:t>
      </w:r>
      <w:r w:rsidRPr="00715694">
        <w:rPr>
          <w:rFonts w:asciiTheme="majorBidi" w:hAnsiTheme="majorBidi" w:cstheme="majorBidi"/>
          <w:rtl/>
        </w:rPr>
        <w:t xml:space="preserve"> ـ </w:t>
      </w:r>
      <w:r w:rsidRPr="00715694">
        <w:rPr>
          <w:rFonts w:asciiTheme="majorBidi" w:hAnsiTheme="majorBidi" w:cstheme="majorBidi"/>
        </w:rPr>
        <w:t>action</w:t>
      </w:r>
      <w:r w:rsidRPr="00715694">
        <w:rPr>
          <w:rFonts w:asciiTheme="majorBidi" w:hAnsiTheme="majorBidi" w:cstheme="majorBidi"/>
          <w:rtl/>
        </w:rPr>
        <w:t xml:space="preserve"> ـ </w:t>
      </w:r>
      <w:r w:rsidRPr="00715694">
        <w:rPr>
          <w:rFonts w:asciiTheme="majorBidi" w:hAnsiTheme="majorBidi" w:cstheme="majorBidi"/>
        </w:rPr>
        <w:t>show</w:t>
      </w:r>
      <w:r w:rsidRPr="00715694">
        <w:rPr>
          <w:rFonts w:asciiTheme="majorBidi" w:hAnsiTheme="majorBidi" w:cstheme="majorBidi"/>
          <w:rtl/>
        </w:rPr>
        <w:t xml:space="preserve"> ـ </w:t>
      </w:r>
      <w:r w:rsidRPr="00715694">
        <w:rPr>
          <w:rFonts w:asciiTheme="majorBidi" w:hAnsiTheme="majorBidi" w:cstheme="majorBidi"/>
        </w:rPr>
        <w:t>id</w:t>
      </w:r>
      <w:r w:rsidRPr="00715694">
        <w:rPr>
          <w:rFonts w:asciiTheme="majorBidi" w:hAnsiTheme="majorBidi" w:cstheme="majorBidi"/>
          <w:rtl/>
        </w:rPr>
        <w:t xml:space="preserve"> ـ </w:t>
      </w:r>
      <w:r w:rsidRPr="006333E0">
        <w:rPr>
          <w:rFonts w:asciiTheme="majorBidi" w:hAnsiTheme="majorBidi" w:cs="Ya-Ali"/>
          <w:rtl/>
        </w:rPr>
        <w:t>13</w:t>
      </w:r>
      <w:r w:rsidRPr="00715694">
        <w:rPr>
          <w:rFonts w:asciiTheme="majorBidi" w:hAnsiTheme="majorBidi" w:cstheme="majorBidi"/>
        </w:rPr>
        <w:t>.htm</w:t>
      </w:r>
    </w:p>
  </w:endnote>
  <w:endnote w:id="127">
    <w:p w:rsidR="00F41F33" w:rsidRPr="004B7958" w:rsidRDefault="00F41F33" w:rsidP="00904320">
      <w:pPr>
        <w:pStyle w:val="aa"/>
        <w:spacing w:line="320" w:lineRule="exact"/>
        <w:ind w:firstLine="0"/>
        <w:rPr>
          <w:rStyle w:val="formatdarkred1"/>
          <w:rFonts w:ascii="Arial" w:hAnsi="Arial" w:cs="DanaFajr"/>
          <w:sz w:val="28"/>
          <w:szCs w:val="28"/>
          <w:rtl/>
        </w:rPr>
      </w:pPr>
      <w:r w:rsidRPr="004B7958">
        <w:rPr>
          <w:rFonts w:ascii="Arial" w:hAnsi="Arial" w:cs="DanaFajr"/>
          <w:sz w:val="28"/>
          <w:szCs w:val="28"/>
          <w:rtl/>
          <w:lang w:bidi="ar-JO"/>
        </w:rPr>
        <w:t>(</w:t>
      </w:r>
      <w:r w:rsidRPr="004B7958">
        <w:rPr>
          <w:rStyle w:val="ac"/>
          <w:rFonts w:ascii="Arial" w:hAnsi="Arial" w:cs="DanaFajr"/>
          <w:sz w:val="28"/>
          <w:szCs w:val="28"/>
          <w:vertAlign w:val="baseline"/>
        </w:rPr>
        <w:endnoteRef/>
      </w:r>
      <w:r w:rsidRPr="004B7958">
        <w:rPr>
          <w:rFonts w:ascii="Arial" w:hAnsi="Arial" w:cs="DanaFajr"/>
          <w:sz w:val="28"/>
          <w:szCs w:val="28"/>
          <w:rtl/>
          <w:lang w:bidi="ar-JO"/>
        </w:rPr>
        <w:t>)</w:t>
      </w:r>
      <w:r w:rsidRPr="004B7958">
        <w:rPr>
          <w:rFonts w:ascii="Arial" w:hAnsi="Arial" w:cs="DanaFajr" w:hint="cs"/>
          <w:sz w:val="28"/>
          <w:szCs w:val="28"/>
          <w:rtl/>
        </w:rPr>
        <w:t xml:space="preserve"> </w:t>
      </w:r>
      <w:r w:rsidRPr="004B7958">
        <w:rPr>
          <w:rFonts w:ascii="Arial" w:hAnsi="Arial" w:cs="DanaFajr"/>
          <w:sz w:val="28"/>
          <w:szCs w:val="28"/>
          <w:rtl/>
        </w:rPr>
        <w:t>حوار</w:t>
      </w:r>
      <w:r w:rsidRPr="004B7958">
        <w:rPr>
          <w:rFonts w:ascii="Arial" w:hAnsi="Arial" w:cs="DanaFajr" w:hint="cs"/>
          <w:sz w:val="28"/>
          <w:szCs w:val="28"/>
          <w:rtl/>
          <w:lang w:bidi="ar-LB"/>
        </w:rPr>
        <w:t>ٌ</w:t>
      </w:r>
      <w:r w:rsidRPr="004B7958">
        <w:rPr>
          <w:rFonts w:ascii="Arial" w:hAnsi="Arial" w:cs="DanaFajr"/>
          <w:sz w:val="28"/>
          <w:szCs w:val="28"/>
          <w:rtl/>
        </w:rPr>
        <w:t xml:space="preserve"> مع الشيخ أبي محمد المقدسي أجراه معه مندوب مجلة العصر الإلكترونية وصحيفة المرآة،</w:t>
      </w:r>
      <w:r w:rsidRPr="00715694">
        <w:rPr>
          <w:rFonts w:ascii="Arial" w:hAnsi="Arial" w:cs="DanaFajr"/>
          <w:sz w:val="28"/>
          <w:szCs w:val="28"/>
          <w:rtl/>
        </w:rPr>
        <w:t xml:space="preserve"> </w:t>
      </w:r>
      <w:r w:rsidRPr="0094153C">
        <w:rPr>
          <w:rFonts w:ascii="Arial" w:hAnsi="Arial" w:cs="DanaFajr"/>
          <w:sz w:val="28"/>
          <w:szCs w:val="28"/>
          <w:rtl/>
        </w:rPr>
        <w:t>1423هـ</w:t>
      </w:r>
      <w:r w:rsidRPr="0094153C">
        <w:rPr>
          <w:rFonts w:ascii="Arial" w:hAnsi="Arial" w:cs="DanaFajr" w:hint="cs"/>
          <w:sz w:val="28"/>
          <w:szCs w:val="28"/>
          <w:rtl/>
        </w:rPr>
        <w:t>.</w:t>
      </w:r>
      <w:r w:rsidRPr="0094153C">
        <w:rPr>
          <w:rFonts w:ascii="Arial" w:hAnsi="Arial" w:cs="DanaFajr"/>
          <w:sz w:val="28"/>
          <w:szCs w:val="28"/>
          <w:rtl/>
        </w:rPr>
        <w:t xml:space="preserve"> وبحسب منبر التوحيد والجهاد فقد </w:t>
      </w:r>
      <w:r w:rsidRPr="0094153C">
        <w:rPr>
          <w:rFonts w:cs="DanaFajr" w:hint="eastAsia"/>
          <w:sz w:val="27"/>
          <w:szCs w:val="27"/>
          <w:rtl/>
        </w:rPr>
        <w:t>«</w:t>
      </w:r>
      <w:r w:rsidRPr="0094153C">
        <w:rPr>
          <w:rStyle w:val="formatdarkred1"/>
          <w:rFonts w:ascii="Arial" w:hAnsi="Arial" w:cs="DanaFajr"/>
          <w:sz w:val="28"/>
          <w:szCs w:val="28"/>
          <w:rtl/>
        </w:rPr>
        <w:t>نشر أجزاء من هذا الحوار في مجلة المرآة في الأردن</w:t>
      </w:r>
      <w:r w:rsidRPr="0094153C">
        <w:rPr>
          <w:rStyle w:val="formatdarkred1"/>
          <w:rFonts w:ascii="Arial" w:hAnsi="Arial" w:cs="DanaFajr" w:hint="cs"/>
          <w:sz w:val="28"/>
          <w:szCs w:val="28"/>
          <w:rtl/>
        </w:rPr>
        <w:t>،</w:t>
      </w:r>
      <w:r w:rsidRPr="004B7958">
        <w:rPr>
          <w:rStyle w:val="formatdarkred1"/>
          <w:rFonts w:ascii="Arial" w:hAnsi="Arial" w:cs="DanaFajr"/>
          <w:sz w:val="28"/>
          <w:szCs w:val="28"/>
          <w:rtl/>
        </w:rPr>
        <w:t xml:space="preserve"> ونشر في مجلة العصر الإلكترونية</w:t>
      </w:r>
      <w:r w:rsidRPr="004B7958">
        <w:rPr>
          <w:rStyle w:val="formatdarkred1"/>
          <w:rFonts w:ascii="Arial" w:hAnsi="Arial" w:cs="DanaFajr"/>
          <w:sz w:val="28"/>
          <w:szCs w:val="28"/>
        </w:rPr>
        <w:t xml:space="preserve"> </w:t>
      </w:r>
      <w:r w:rsidRPr="004B7958">
        <w:rPr>
          <w:rStyle w:val="formatdarkred1"/>
          <w:rFonts w:ascii="Arial" w:hAnsi="Arial" w:cs="DanaFajr"/>
          <w:sz w:val="28"/>
          <w:szCs w:val="28"/>
          <w:rtl/>
        </w:rPr>
        <w:t>ثم</w:t>
      </w:r>
      <w:r w:rsidRPr="004B7958">
        <w:rPr>
          <w:rStyle w:val="formatdarkred1"/>
          <w:rFonts w:ascii="Arial" w:hAnsi="Arial" w:cs="DanaFajr" w:hint="cs"/>
          <w:sz w:val="28"/>
          <w:szCs w:val="28"/>
          <w:rtl/>
        </w:rPr>
        <w:t>ّ</w:t>
      </w:r>
      <w:r w:rsidRPr="004B7958">
        <w:rPr>
          <w:rStyle w:val="formatdarkred1"/>
          <w:rFonts w:ascii="Arial" w:hAnsi="Arial" w:cs="DanaFajr"/>
          <w:sz w:val="28"/>
          <w:szCs w:val="28"/>
          <w:rtl/>
        </w:rPr>
        <w:t xml:space="preserve"> س</w:t>
      </w:r>
      <w:r w:rsidRPr="004B7958">
        <w:rPr>
          <w:rStyle w:val="formatdarkred1"/>
          <w:rFonts w:ascii="Arial" w:hAnsi="Arial" w:cs="DanaFajr" w:hint="cs"/>
          <w:sz w:val="28"/>
          <w:szCs w:val="28"/>
          <w:rtl/>
        </w:rPr>
        <w:t>ُ</w:t>
      </w:r>
      <w:r w:rsidRPr="004B7958">
        <w:rPr>
          <w:rStyle w:val="formatdarkred1"/>
          <w:rFonts w:ascii="Arial" w:hAnsi="Arial" w:cs="DanaFajr"/>
          <w:sz w:val="28"/>
          <w:szCs w:val="28"/>
          <w:rtl/>
        </w:rPr>
        <w:t>حب بعد دقائق!!</w:t>
      </w:r>
      <w:r w:rsidRPr="004B7958">
        <w:rPr>
          <w:rFonts w:cs="DanaFajr" w:hint="eastAsia"/>
          <w:sz w:val="27"/>
          <w:szCs w:val="27"/>
          <w:rtl/>
        </w:rPr>
        <w:t>»</w:t>
      </w:r>
      <w:r w:rsidRPr="004B7958">
        <w:rPr>
          <w:rStyle w:val="formatdarkred1"/>
          <w:rFonts w:ascii="Arial" w:hAnsi="Arial" w:cs="DanaFajr"/>
          <w:sz w:val="28"/>
          <w:szCs w:val="28"/>
          <w:rtl/>
        </w:rPr>
        <w:t xml:space="preserve"> على الشبكة: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http://www.tawhed.ws/r?i=</w:t>
      </w:r>
      <w:r w:rsidRPr="006333E0">
        <w:rPr>
          <w:rFonts w:asciiTheme="majorBidi" w:hAnsiTheme="majorBidi" w:cs="Ya-Ali"/>
        </w:rPr>
        <w:t>83</w:t>
      </w:r>
      <w:r w:rsidRPr="00715694">
        <w:rPr>
          <w:rFonts w:asciiTheme="majorBidi" w:hAnsiTheme="majorBidi" w:cstheme="majorBidi"/>
        </w:rPr>
        <w:t>&amp;a=p&amp;PHPSESSID=</w:t>
      </w:r>
      <w:r w:rsidRPr="006333E0">
        <w:rPr>
          <w:rFonts w:asciiTheme="majorBidi" w:hAnsiTheme="majorBidi" w:cs="Ya-Ali"/>
        </w:rPr>
        <w:t>6</w:t>
      </w:r>
      <w:r w:rsidRPr="00715694">
        <w:rPr>
          <w:rFonts w:asciiTheme="majorBidi" w:hAnsiTheme="majorBidi" w:cstheme="majorBidi"/>
        </w:rPr>
        <w:t>e</w:t>
      </w:r>
      <w:r w:rsidRPr="006333E0">
        <w:rPr>
          <w:rFonts w:asciiTheme="majorBidi" w:hAnsiTheme="majorBidi" w:cs="Ya-Ali"/>
        </w:rPr>
        <w:t>7</w:t>
      </w:r>
      <w:r w:rsidRPr="00715694">
        <w:rPr>
          <w:rFonts w:asciiTheme="majorBidi" w:hAnsiTheme="majorBidi" w:cstheme="majorBidi"/>
        </w:rPr>
        <w:t>cd</w:t>
      </w:r>
      <w:r w:rsidRPr="006333E0">
        <w:rPr>
          <w:rFonts w:asciiTheme="majorBidi" w:hAnsiTheme="majorBidi" w:cs="Ya-Ali"/>
        </w:rPr>
        <w:t>3991</w:t>
      </w:r>
      <w:r w:rsidRPr="00715694">
        <w:rPr>
          <w:rFonts w:asciiTheme="majorBidi" w:hAnsiTheme="majorBidi" w:cstheme="majorBidi"/>
        </w:rPr>
        <w:t>ebce</w:t>
      </w:r>
      <w:r w:rsidRPr="006333E0">
        <w:rPr>
          <w:rFonts w:asciiTheme="majorBidi" w:hAnsiTheme="majorBidi" w:cs="Ya-Ali"/>
        </w:rPr>
        <w:t>2</w:t>
      </w:r>
      <w:r w:rsidRPr="00715694">
        <w:rPr>
          <w:rFonts w:asciiTheme="majorBidi" w:hAnsiTheme="majorBidi" w:cstheme="majorBidi"/>
        </w:rPr>
        <w:t>b</w:t>
      </w:r>
      <w:r w:rsidRPr="006333E0">
        <w:rPr>
          <w:rFonts w:asciiTheme="majorBidi" w:hAnsiTheme="majorBidi" w:cs="Ya-Ali"/>
        </w:rPr>
        <w:t>89175</w:t>
      </w:r>
      <w:r w:rsidRPr="00715694">
        <w:rPr>
          <w:rFonts w:asciiTheme="majorBidi" w:hAnsiTheme="majorBidi" w:cstheme="majorBidi"/>
        </w:rPr>
        <w:t>bbbacb</w:t>
      </w:r>
      <w:r w:rsidRPr="006333E0">
        <w:rPr>
          <w:rFonts w:asciiTheme="majorBidi" w:hAnsiTheme="majorBidi" w:cs="Ya-Ali"/>
        </w:rPr>
        <w:t>81</w:t>
      </w:r>
      <w:r w:rsidRPr="00715694">
        <w:rPr>
          <w:rFonts w:asciiTheme="majorBidi" w:hAnsiTheme="majorBidi" w:cstheme="majorBidi"/>
        </w:rPr>
        <w:t>ca</w:t>
      </w:r>
      <w:r w:rsidRPr="006333E0">
        <w:rPr>
          <w:rFonts w:asciiTheme="majorBidi" w:hAnsiTheme="majorBidi" w:cs="Ya-Ali"/>
        </w:rPr>
        <w:t>16</w:t>
      </w:r>
    </w:p>
  </w:endnote>
  <w:endnote w:id="128">
    <w:p w:rsidR="00F41F33" w:rsidRPr="004B7958" w:rsidRDefault="00F41F33" w:rsidP="00904320">
      <w:pPr>
        <w:pStyle w:val="aa"/>
        <w:spacing w:line="320" w:lineRule="exact"/>
        <w:ind w:firstLine="0"/>
        <w:rPr>
          <w:rFonts w:ascii="Arial" w:hAnsi="Arial" w:cs="DanaFajr"/>
          <w:sz w:val="28"/>
          <w:szCs w:val="28"/>
        </w:rPr>
      </w:pPr>
      <w:r w:rsidRPr="004B7958">
        <w:rPr>
          <w:rFonts w:ascii="Arial" w:hAnsi="Arial" w:cs="DanaFajr"/>
          <w:sz w:val="28"/>
          <w:szCs w:val="28"/>
          <w:rtl/>
          <w:lang w:bidi="ar-JO"/>
        </w:rPr>
        <w:t>(</w:t>
      </w:r>
      <w:r w:rsidRPr="004B7958">
        <w:rPr>
          <w:rStyle w:val="ac"/>
          <w:rFonts w:ascii="Arial" w:hAnsi="Arial" w:cs="DanaFajr"/>
          <w:sz w:val="28"/>
          <w:szCs w:val="28"/>
          <w:vertAlign w:val="baseline"/>
        </w:rPr>
        <w:endnoteRef/>
      </w:r>
      <w:r w:rsidRPr="004B7958">
        <w:rPr>
          <w:rFonts w:ascii="Arial" w:hAnsi="Arial" w:cs="DanaFajr"/>
          <w:sz w:val="28"/>
          <w:szCs w:val="28"/>
          <w:rtl/>
          <w:lang w:bidi="ar-JO"/>
        </w:rPr>
        <w:t>)</w:t>
      </w:r>
      <w:r w:rsidRPr="004B7958">
        <w:rPr>
          <w:rFonts w:ascii="Arial" w:hAnsi="Arial" w:cs="DanaFajr" w:hint="cs"/>
          <w:sz w:val="28"/>
          <w:szCs w:val="28"/>
          <w:rtl/>
          <w:lang w:bidi="ar-JO"/>
        </w:rPr>
        <w:t xml:space="preserve"> </w:t>
      </w:r>
      <w:r w:rsidRPr="004B7958">
        <w:rPr>
          <w:rFonts w:ascii="Arial" w:hAnsi="Arial" w:cs="DanaFajr" w:hint="cs"/>
          <w:sz w:val="28"/>
          <w:szCs w:val="28"/>
          <w:rtl/>
        </w:rPr>
        <w:t>المصدر السابق</w:t>
      </w:r>
      <w:r w:rsidRPr="004B7958">
        <w:rPr>
          <w:rFonts w:ascii="Arial" w:hAnsi="Arial" w:cs="DanaFajr"/>
          <w:sz w:val="28"/>
          <w:szCs w:val="28"/>
          <w:rtl/>
          <w:lang w:bidi="ar-JO"/>
        </w:rPr>
        <w:t xml:space="preserve">. </w:t>
      </w:r>
    </w:p>
  </w:endnote>
  <w:endnote w:id="129">
    <w:p w:rsidR="00F41F33" w:rsidRPr="004B7958" w:rsidRDefault="00F41F33" w:rsidP="00904320">
      <w:pPr>
        <w:pStyle w:val="aa"/>
        <w:spacing w:line="320" w:lineRule="exact"/>
        <w:ind w:firstLine="0"/>
        <w:rPr>
          <w:rFonts w:ascii="Arial" w:hAnsi="Arial" w:cs="DanaFajr"/>
          <w:sz w:val="28"/>
          <w:szCs w:val="28"/>
          <w:rtl/>
        </w:rPr>
      </w:pPr>
      <w:r w:rsidRPr="0094153C">
        <w:rPr>
          <w:rFonts w:ascii="Arial" w:hAnsi="Arial" w:cs="DanaFajr"/>
          <w:sz w:val="28"/>
          <w:szCs w:val="28"/>
          <w:rtl/>
          <w:lang w:bidi="ar-LB"/>
        </w:rPr>
        <w:t>(</w:t>
      </w:r>
      <w:r w:rsidRPr="0094153C">
        <w:rPr>
          <w:rStyle w:val="ac"/>
          <w:rFonts w:ascii="Arial" w:hAnsi="Arial" w:cs="DanaFajr"/>
          <w:sz w:val="28"/>
          <w:szCs w:val="28"/>
          <w:vertAlign w:val="baseline"/>
        </w:rPr>
        <w:endnoteRef/>
      </w:r>
      <w:r w:rsidRPr="0094153C">
        <w:rPr>
          <w:rFonts w:ascii="Arial" w:hAnsi="Arial" w:cs="DanaFajr"/>
          <w:sz w:val="28"/>
          <w:szCs w:val="28"/>
          <w:rtl/>
          <w:lang w:bidi="ar-LB"/>
        </w:rPr>
        <w:t xml:space="preserve">) </w:t>
      </w:r>
      <w:r w:rsidRPr="0094153C">
        <w:rPr>
          <w:rFonts w:ascii="Arial" w:hAnsi="Arial" w:cs="DanaFajr"/>
          <w:sz w:val="28"/>
          <w:szCs w:val="28"/>
          <w:rtl/>
        </w:rPr>
        <w:t>أبو الأعلى المودودي (1903 ـ 1978) أنشأ في مطلع الأربعينات من القرن الماضي الجماعة</w:t>
      </w:r>
      <w:r w:rsidRPr="004B7958">
        <w:rPr>
          <w:rFonts w:ascii="Arial" w:hAnsi="Arial" w:cs="DanaFajr"/>
          <w:sz w:val="28"/>
          <w:szCs w:val="28"/>
          <w:rtl/>
        </w:rPr>
        <w:t xml:space="preserve"> الإسلامية في باكستان</w:t>
      </w:r>
      <w:r w:rsidRPr="004B7958">
        <w:rPr>
          <w:rFonts w:ascii="Arial" w:hAnsi="Arial" w:cs="DanaFajr" w:hint="cs"/>
          <w:sz w:val="28"/>
          <w:szCs w:val="28"/>
          <w:rtl/>
        </w:rPr>
        <w:t xml:space="preserve">، </w:t>
      </w:r>
      <w:r w:rsidRPr="004B7958">
        <w:rPr>
          <w:rFonts w:ascii="Arial" w:hAnsi="Arial" w:cs="DanaFajr"/>
          <w:sz w:val="28"/>
          <w:szCs w:val="28"/>
          <w:rtl/>
        </w:rPr>
        <w:t>وطالب بتشكيل النظام طبقا</w:t>
      </w:r>
      <w:r w:rsidRPr="004B7958">
        <w:rPr>
          <w:rFonts w:ascii="Arial" w:hAnsi="Arial" w:cs="DanaFajr" w:hint="cs"/>
          <w:sz w:val="28"/>
          <w:szCs w:val="28"/>
          <w:rtl/>
        </w:rPr>
        <w:t>ً</w:t>
      </w:r>
      <w:r w:rsidRPr="004B7958">
        <w:rPr>
          <w:rFonts w:ascii="Arial" w:hAnsi="Arial" w:cs="DanaFajr"/>
          <w:sz w:val="28"/>
          <w:szCs w:val="28"/>
          <w:rtl/>
        </w:rPr>
        <w:t xml:space="preserve"> للقانون الإسلامي</w:t>
      </w:r>
      <w:r w:rsidRPr="004B7958">
        <w:rPr>
          <w:rFonts w:ascii="Arial" w:hAnsi="Arial" w:cs="DanaFajr" w:hint="cs"/>
          <w:sz w:val="28"/>
          <w:szCs w:val="28"/>
          <w:rtl/>
        </w:rPr>
        <w:t xml:space="preserve"> </w:t>
      </w:r>
    </w:p>
    <w:p w:rsidR="00F41F33" w:rsidRPr="00715694" w:rsidRDefault="00F41F33" w:rsidP="00904320">
      <w:pPr>
        <w:pStyle w:val="aa"/>
        <w:bidi w:val="0"/>
        <w:spacing w:line="320" w:lineRule="exact"/>
        <w:ind w:firstLine="0"/>
        <w:rPr>
          <w:rFonts w:asciiTheme="majorBidi" w:hAnsiTheme="majorBidi" w:cstheme="majorBidi"/>
        </w:rPr>
      </w:pPr>
      <w:r w:rsidRPr="00715694">
        <w:rPr>
          <w:rFonts w:asciiTheme="majorBidi" w:hAnsiTheme="majorBidi" w:cstheme="majorBidi"/>
        </w:rPr>
        <w:t>ar. wikipedia. org/wiki/</w:t>
      </w:r>
      <w:r w:rsidRPr="00715694">
        <w:rPr>
          <w:rFonts w:asciiTheme="majorBidi" w:hAnsiTheme="majorBidi" w:cstheme="majorBidi" w:hint="cs"/>
          <w:rtl/>
        </w:rPr>
        <w:t xml:space="preserve"> </w:t>
      </w:r>
      <w:r w:rsidRPr="00715694">
        <w:rPr>
          <w:rFonts w:ascii="Arial" w:hAnsi="Arial" w:cs="DanaFajr" w:hint="cs"/>
          <w:sz w:val="28"/>
          <w:szCs w:val="28"/>
          <w:rtl/>
        </w:rPr>
        <w:t>(</w:t>
      </w:r>
      <w:r w:rsidRPr="00715694">
        <w:rPr>
          <w:rFonts w:ascii="Arial" w:hAnsi="Arial" w:cs="DanaFajr"/>
          <w:sz w:val="28"/>
          <w:szCs w:val="28"/>
          <w:rtl/>
        </w:rPr>
        <w:t>أبو الأعلى المودودي</w:t>
      </w:r>
      <w:r w:rsidRPr="00715694">
        <w:rPr>
          <w:rFonts w:ascii="Arial" w:hAnsi="Arial" w:cs="DanaFajr" w:hint="cs"/>
          <w:sz w:val="28"/>
          <w:szCs w:val="28"/>
          <w:rtl/>
        </w:rPr>
        <w:t>)</w:t>
      </w:r>
      <w:r w:rsidRPr="00715694">
        <w:rPr>
          <w:rFonts w:asciiTheme="majorBidi" w:hAnsiTheme="majorBidi" w:cstheme="majorBidi"/>
          <w:rtl/>
        </w:rPr>
        <w:tab/>
      </w:r>
    </w:p>
  </w:endnote>
  <w:endnote w:id="130">
    <w:p w:rsidR="00F41F33" w:rsidRPr="004B7958" w:rsidRDefault="00F41F33" w:rsidP="00904320">
      <w:pPr>
        <w:spacing w:line="320" w:lineRule="exact"/>
        <w:ind w:firstLine="0"/>
        <w:rPr>
          <w:rFonts w:ascii="Arial" w:hAnsi="Arial" w:cs="DanaFajr"/>
          <w:szCs w:val="28"/>
          <w:rtl/>
        </w:rPr>
      </w:pPr>
      <w:r w:rsidRPr="004B7958">
        <w:rPr>
          <w:rFonts w:ascii="Arial" w:hAnsi="Arial" w:cs="DanaFajr"/>
          <w:szCs w:val="28"/>
          <w:rtl/>
        </w:rPr>
        <w:t>(</w:t>
      </w:r>
      <w:r w:rsidRPr="004B7958">
        <w:rPr>
          <w:rStyle w:val="ac"/>
          <w:rFonts w:ascii="Arial" w:hAnsi="Arial" w:cs="DanaFajr"/>
          <w:szCs w:val="28"/>
          <w:vertAlign w:val="baseline"/>
        </w:rPr>
        <w:endnoteRef/>
      </w:r>
      <w:r w:rsidRPr="004B7958">
        <w:rPr>
          <w:rFonts w:ascii="Arial" w:hAnsi="Arial" w:cs="DanaFajr"/>
          <w:szCs w:val="28"/>
          <w:rtl/>
        </w:rPr>
        <w:t xml:space="preserve">) </w:t>
      </w:r>
      <w:r w:rsidRPr="004B7958">
        <w:rPr>
          <w:rFonts w:ascii="Arial" w:hAnsi="Arial" w:cs="DanaFajr" w:hint="cs"/>
          <w:szCs w:val="28"/>
          <w:rtl/>
          <w:lang w:bidi="ar-LB"/>
        </w:rPr>
        <w:t xml:space="preserve">مروان </w:t>
      </w:r>
      <w:r w:rsidRPr="004B7958">
        <w:rPr>
          <w:rFonts w:ascii="Arial" w:hAnsi="Arial" w:cs="DanaFajr"/>
          <w:szCs w:val="28"/>
          <w:rtl/>
        </w:rPr>
        <w:t>شحادة، القاعدة في جزيرة العرب: المسار والمآل (الحلقة الأولى)</w:t>
      </w:r>
      <w:r w:rsidRPr="004B7958">
        <w:rPr>
          <w:rFonts w:ascii="Arial" w:hAnsi="Arial" w:cs="DanaFajr" w:hint="cs"/>
          <w:szCs w:val="28"/>
          <w:rtl/>
        </w:rPr>
        <w:t xml:space="preserve"> </w:t>
      </w:r>
    </w:p>
    <w:p w:rsidR="00F41F33" w:rsidRPr="00715694" w:rsidRDefault="00F41F33" w:rsidP="00904320">
      <w:pPr>
        <w:bidi w:val="0"/>
        <w:spacing w:line="320" w:lineRule="exact"/>
        <w:ind w:firstLine="0"/>
        <w:rPr>
          <w:rFonts w:asciiTheme="majorBidi" w:hAnsiTheme="majorBidi" w:cstheme="majorBidi"/>
          <w:sz w:val="20"/>
          <w:szCs w:val="20"/>
        </w:rPr>
      </w:pPr>
      <w:r w:rsidRPr="00715694">
        <w:rPr>
          <w:rFonts w:asciiTheme="majorBidi" w:hAnsiTheme="majorBidi" w:cstheme="majorBidi"/>
          <w:sz w:val="20"/>
          <w:szCs w:val="20"/>
        </w:rPr>
        <w:t>www. jadal. org/news. php?go=fullnews&amp;newsid=</w:t>
      </w:r>
      <w:r w:rsidRPr="006333E0">
        <w:rPr>
          <w:rFonts w:asciiTheme="majorBidi" w:hAnsiTheme="majorBidi" w:cs="Ya-Ali"/>
          <w:sz w:val="20"/>
          <w:szCs w:val="20"/>
        </w:rPr>
        <w:t>646</w:t>
      </w:r>
    </w:p>
  </w:endnote>
  <w:endnote w:id="131">
    <w:p w:rsidR="00F41F33" w:rsidRPr="0094153C" w:rsidRDefault="00F41F33" w:rsidP="00904320">
      <w:pPr>
        <w:pStyle w:val="aa"/>
        <w:spacing w:line="320" w:lineRule="exact"/>
        <w:ind w:firstLine="0"/>
        <w:rPr>
          <w:rFonts w:cs="DanaFajr"/>
          <w:sz w:val="28"/>
          <w:szCs w:val="28"/>
          <w:rtl/>
          <w:lang w:bidi="ar-LB"/>
        </w:rPr>
      </w:pPr>
      <w:r w:rsidRPr="0094153C">
        <w:rPr>
          <w:rFonts w:ascii="Arial" w:hAnsi="Arial" w:cs="DanaFajr"/>
          <w:sz w:val="28"/>
          <w:szCs w:val="28"/>
          <w:rtl/>
        </w:rPr>
        <w:t>(</w:t>
      </w:r>
      <w:r w:rsidRPr="0094153C">
        <w:rPr>
          <w:rStyle w:val="ac"/>
          <w:rFonts w:cs="DanaFajr"/>
          <w:sz w:val="28"/>
          <w:szCs w:val="28"/>
          <w:vertAlign w:val="baseline"/>
        </w:rPr>
        <w:endnoteRef/>
      </w:r>
      <w:r w:rsidRPr="0094153C">
        <w:rPr>
          <w:rFonts w:ascii="Arial" w:hAnsi="Arial" w:cs="DanaFajr"/>
          <w:sz w:val="28"/>
          <w:szCs w:val="28"/>
          <w:rtl/>
        </w:rPr>
        <w:t>)</w:t>
      </w:r>
      <w:r w:rsidRPr="0094153C">
        <w:rPr>
          <w:rFonts w:ascii="Arial" w:hAnsi="Arial" w:cs="DanaFajr" w:hint="cs"/>
          <w:sz w:val="28"/>
          <w:szCs w:val="28"/>
          <w:rtl/>
        </w:rPr>
        <w:t xml:space="preserve"> </w:t>
      </w:r>
      <w:r w:rsidRPr="0094153C">
        <w:rPr>
          <w:rFonts w:ascii="Arial" w:hAnsi="Arial" w:cs="DanaFajr"/>
          <w:sz w:val="28"/>
          <w:szCs w:val="28"/>
          <w:rtl/>
        </w:rPr>
        <w:t>ابن الهمام الحنفي</w:t>
      </w:r>
      <w:r w:rsidRPr="0094153C">
        <w:rPr>
          <w:rFonts w:ascii="Arial" w:hAnsi="Arial" w:cs="DanaFajr" w:hint="cs"/>
          <w:sz w:val="28"/>
          <w:szCs w:val="28"/>
          <w:rtl/>
        </w:rPr>
        <w:t>،</w:t>
      </w:r>
      <w:r w:rsidRPr="0094153C">
        <w:rPr>
          <w:rFonts w:ascii="Arial" w:hAnsi="Arial" w:cs="DanaFajr"/>
          <w:sz w:val="28"/>
          <w:szCs w:val="28"/>
          <w:rtl/>
        </w:rPr>
        <w:t xml:space="preserve"> فتح القدير</w:t>
      </w:r>
      <w:r w:rsidRPr="0094153C">
        <w:rPr>
          <w:rFonts w:ascii="Arial" w:hAnsi="Arial" w:cs="DanaFajr" w:hint="cs"/>
          <w:sz w:val="28"/>
          <w:szCs w:val="28"/>
          <w:rtl/>
        </w:rPr>
        <w:t xml:space="preserve"> </w:t>
      </w:r>
      <w:r w:rsidRPr="0094153C">
        <w:rPr>
          <w:rFonts w:ascii="Arial" w:hAnsi="Arial" w:cs="DanaFajr"/>
          <w:sz w:val="28"/>
          <w:szCs w:val="28"/>
          <w:rtl/>
        </w:rPr>
        <w:t>5: 781</w:t>
      </w:r>
      <w:r w:rsidRPr="0094153C">
        <w:rPr>
          <w:rFonts w:ascii="Arial" w:hAnsi="Arial" w:cs="DanaFajr" w:hint="cs"/>
          <w:sz w:val="28"/>
          <w:szCs w:val="28"/>
          <w:rtl/>
        </w:rPr>
        <w:t>،</w:t>
      </w:r>
      <w:r w:rsidRPr="0094153C">
        <w:rPr>
          <w:rFonts w:ascii="Arial" w:hAnsi="Arial" w:cs="DanaFajr"/>
          <w:sz w:val="28"/>
          <w:szCs w:val="28"/>
          <w:rtl/>
        </w:rPr>
        <w:t xml:space="preserve"> دار الكتب العلمية</w:t>
      </w:r>
      <w:r w:rsidRPr="0094153C">
        <w:rPr>
          <w:rFonts w:ascii="Arial" w:hAnsi="Arial" w:cs="DanaFajr" w:hint="cs"/>
          <w:sz w:val="28"/>
          <w:szCs w:val="28"/>
          <w:rtl/>
        </w:rPr>
        <w:t>،</w:t>
      </w:r>
      <w:r w:rsidRPr="0094153C">
        <w:rPr>
          <w:rFonts w:ascii="Arial" w:hAnsi="Arial" w:cs="DanaFajr"/>
          <w:sz w:val="28"/>
          <w:szCs w:val="28"/>
          <w:rtl/>
        </w:rPr>
        <w:t xml:space="preserve"> بيروت؛ </w:t>
      </w:r>
      <w:r w:rsidRPr="0094153C">
        <w:rPr>
          <w:rFonts w:ascii="Arial" w:hAnsi="Arial" w:cs="DanaFajr" w:hint="cs"/>
          <w:sz w:val="28"/>
          <w:szCs w:val="28"/>
          <w:rtl/>
        </w:rPr>
        <w:t>ط1،</w:t>
      </w:r>
      <w:r w:rsidRPr="0094153C">
        <w:rPr>
          <w:rFonts w:ascii="Arial" w:hAnsi="Arial" w:cs="DanaFajr"/>
          <w:sz w:val="28"/>
          <w:szCs w:val="28"/>
          <w:rtl/>
        </w:rPr>
        <w:t xml:space="preserve"> 1424هـ. </w:t>
      </w:r>
    </w:p>
  </w:endnote>
  <w:endnote w:id="132">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rPr>
        <w:t>(</w:t>
      </w:r>
      <w:r w:rsidRPr="0094153C">
        <w:rPr>
          <w:rStyle w:val="ac"/>
          <w:rFonts w:cs="DanaFajr"/>
          <w:sz w:val="28"/>
          <w:szCs w:val="28"/>
          <w:vertAlign w:val="baseline"/>
        </w:rPr>
        <w:endnoteRef/>
      </w:r>
      <w:r w:rsidRPr="0094153C">
        <w:rPr>
          <w:rFonts w:ascii="Arial" w:hAnsi="Arial" w:cs="DanaFajr"/>
          <w:sz w:val="28"/>
          <w:szCs w:val="28"/>
          <w:rtl/>
        </w:rPr>
        <w:t>)</w:t>
      </w:r>
      <w:r w:rsidRPr="0094153C">
        <w:rPr>
          <w:rFonts w:ascii="Arial" w:hAnsi="Arial" w:cs="DanaFajr" w:hint="cs"/>
          <w:sz w:val="28"/>
          <w:szCs w:val="28"/>
          <w:rtl/>
        </w:rPr>
        <w:t xml:space="preserve"> </w:t>
      </w:r>
      <w:r w:rsidRPr="0094153C">
        <w:rPr>
          <w:rFonts w:ascii="Arial" w:hAnsi="Arial" w:cs="DanaFajr"/>
          <w:sz w:val="28"/>
          <w:szCs w:val="28"/>
          <w:rtl/>
        </w:rPr>
        <w:t>أبو بكر الكاشاني</w:t>
      </w:r>
      <w:r w:rsidRPr="0094153C">
        <w:rPr>
          <w:rFonts w:ascii="Arial" w:hAnsi="Arial" w:cs="DanaFajr" w:hint="cs"/>
          <w:sz w:val="28"/>
          <w:szCs w:val="28"/>
          <w:rtl/>
        </w:rPr>
        <w:t>،</w:t>
      </w:r>
      <w:r w:rsidRPr="0094153C">
        <w:rPr>
          <w:rFonts w:ascii="Arial" w:hAnsi="Arial" w:cs="DanaFajr"/>
          <w:sz w:val="28"/>
          <w:szCs w:val="28"/>
          <w:rtl/>
        </w:rPr>
        <w:t xml:space="preserve"> بدائع الصنائع</w:t>
      </w:r>
      <w:r w:rsidRPr="0094153C">
        <w:rPr>
          <w:rFonts w:ascii="Arial" w:hAnsi="Arial" w:cs="DanaFajr" w:hint="cs"/>
          <w:sz w:val="28"/>
          <w:szCs w:val="28"/>
          <w:rtl/>
        </w:rPr>
        <w:t xml:space="preserve"> </w:t>
      </w:r>
      <w:r w:rsidRPr="0094153C">
        <w:rPr>
          <w:rFonts w:ascii="Arial" w:hAnsi="Arial" w:cs="DanaFajr"/>
          <w:sz w:val="28"/>
          <w:szCs w:val="28"/>
          <w:rtl/>
        </w:rPr>
        <w:t>9: 9924</w:t>
      </w:r>
      <w:r w:rsidRPr="0094153C">
        <w:rPr>
          <w:rFonts w:ascii="Arial" w:hAnsi="Arial" w:cs="DanaFajr" w:hint="cs"/>
          <w:sz w:val="28"/>
          <w:szCs w:val="28"/>
          <w:rtl/>
        </w:rPr>
        <w:t>،</w:t>
      </w:r>
      <w:r w:rsidRPr="0094153C">
        <w:rPr>
          <w:rFonts w:ascii="Arial" w:hAnsi="Arial" w:cs="DanaFajr"/>
          <w:sz w:val="28"/>
          <w:szCs w:val="28"/>
          <w:rtl/>
        </w:rPr>
        <w:t xml:space="preserve"> دار الكتاب العربي، 1982</w:t>
      </w:r>
      <w:r w:rsidRPr="0094153C">
        <w:rPr>
          <w:rFonts w:ascii="Arial" w:hAnsi="Arial" w:cs="DanaFajr" w:hint="cs"/>
          <w:sz w:val="28"/>
          <w:szCs w:val="28"/>
          <w:rtl/>
        </w:rPr>
        <w:t>،</w:t>
      </w:r>
      <w:r w:rsidRPr="0094153C">
        <w:rPr>
          <w:rFonts w:ascii="Arial" w:hAnsi="Arial" w:cs="DanaFajr"/>
          <w:sz w:val="28"/>
          <w:szCs w:val="28"/>
          <w:rtl/>
        </w:rPr>
        <w:t xml:space="preserve"> بيروت. </w:t>
      </w:r>
    </w:p>
  </w:endnote>
  <w:endnote w:id="133">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lang w:bidi="ar-LB"/>
        </w:rPr>
        <w:t>(</w:t>
      </w:r>
      <w:r w:rsidRPr="0094153C">
        <w:rPr>
          <w:rStyle w:val="ac"/>
          <w:rFonts w:cs="DanaFajr"/>
          <w:sz w:val="28"/>
          <w:szCs w:val="28"/>
          <w:vertAlign w:val="baseline"/>
        </w:rPr>
        <w:endnoteRef/>
      </w:r>
      <w:r w:rsidRPr="0094153C">
        <w:rPr>
          <w:rFonts w:ascii="Arial" w:hAnsi="Arial" w:cs="DanaFajr"/>
          <w:sz w:val="28"/>
          <w:szCs w:val="28"/>
          <w:rtl/>
          <w:lang w:bidi="ar-LB"/>
        </w:rPr>
        <w:t xml:space="preserve">) </w:t>
      </w:r>
      <w:r w:rsidRPr="0094153C">
        <w:rPr>
          <w:rFonts w:ascii="Arial" w:hAnsi="Arial" w:cs="DanaFajr" w:hint="cs"/>
          <w:sz w:val="28"/>
          <w:szCs w:val="28"/>
          <w:rtl/>
        </w:rPr>
        <w:t xml:space="preserve">علي الصعيدي، </w:t>
      </w:r>
      <w:r w:rsidRPr="0094153C">
        <w:rPr>
          <w:rFonts w:ascii="Arial" w:hAnsi="Arial" w:cs="DanaFajr"/>
          <w:sz w:val="28"/>
          <w:szCs w:val="28"/>
          <w:rtl/>
        </w:rPr>
        <w:t>حاشية العدوي</w:t>
      </w:r>
      <w:r w:rsidRPr="0094153C">
        <w:rPr>
          <w:rFonts w:ascii="Arial" w:hAnsi="Arial" w:cs="DanaFajr" w:hint="cs"/>
          <w:sz w:val="28"/>
          <w:szCs w:val="28"/>
          <w:rtl/>
        </w:rPr>
        <w:t xml:space="preserve"> </w:t>
      </w:r>
      <w:r w:rsidRPr="0094153C">
        <w:rPr>
          <w:rFonts w:ascii="Arial" w:hAnsi="Arial" w:cs="DanaFajr"/>
          <w:sz w:val="28"/>
          <w:szCs w:val="28"/>
          <w:rtl/>
        </w:rPr>
        <w:t>2</w:t>
      </w:r>
      <w:r w:rsidRPr="0094153C">
        <w:rPr>
          <w:rFonts w:ascii="Arial" w:hAnsi="Arial" w:cs="DanaFajr" w:hint="cs"/>
          <w:sz w:val="28"/>
          <w:szCs w:val="28"/>
          <w:rtl/>
        </w:rPr>
        <w:t xml:space="preserve">: </w:t>
      </w:r>
      <w:r w:rsidRPr="0094153C">
        <w:rPr>
          <w:rFonts w:ascii="Arial" w:hAnsi="Arial" w:cs="DanaFajr"/>
          <w:sz w:val="28"/>
          <w:szCs w:val="28"/>
          <w:rtl/>
        </w:rPr>
        <w:t>2</w:t>
      </w:r>
      <w:r w:rsidRPr="0094153C">
        <w:rPr>
          <w:rFonts w:ascii="Arial" w:hAnsi="Arial" w:cs="DanaFajr" w:hint="cs"/>
          <w:sz w:val="28"/>
          <w:szCs w:val="28"/>
          <w:rtl/>
        </w:rPr>
        <w:t>.</w:t>
      </w:r>
      <w:r w:rsidRPr="0094153C">
        <w:rPr>
          <w:rFonts w:ascii="Arial" w:hAnsi="Arial" w:cs="DanaFajr"/>
          <w:sz w:val="28"/>
          <w:szCs w:val="28"/>
          <w:rtl/>
        </w:rPr>
        <w:t xml:space="preserve"> </w:t>
      </w:r>
    </w:p>
  </w:endnote>
  <w:endnote w:id="134">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lang w:bidi="ar-LB"/>
        </w:rPr>
        <w:t>(</w:t>
      </w:r>
      <w:r w:rsidRPr="0094153C">
        <w:rPr>
          <w:rStyle w:val="ac"/>
          <w:rFonts w:cs="DanaFajr"/>
          <w:sz w:val="28"/>
          <w:szCs w:val="28"/>
          <w:vertAlign w:val="baseline"/>
        </w:rPr>
        <w:endnoteRef/>
      </w:r>
      <w:r w:rsidRPr="0094153C">
        <w:rPr>
          <w:rFonts w:ascii="Arial" w:hAnsi="Arial" w:cs="DanaFajr"/>
          <w:sz w:val="28"/>
          <w:szCs w:val="28"/>
          <w:rtl/>
          <w:lang w:bidi="ar-LB"/>
        </w:rPr>
        <w:t xml:space="preserve">) </w:t>
      </w:r>
      <w:r w:rsidRPr="0094153C">
        <w:rPr>
          <w:rFonts w:ascii="Arial" w:hAnsi="Arial" w:cs="DanaFajr" w:hint="cs"/>
          <w:sz w:val="28"/>
          <w:szCs w:val="28"/>
          <w:rtl/>
        </w:rPr>
        <w:t xml:space="preserve">إبراهيم </w:t>
      </w:r>
      <w:r w:rsidRPr="0094153C">
        <w:rPr>
          <w:rFonts w:ascii="Arial" w:hAnsi="Arial" w:cs="DanaFajr"/>
          <w:sz w:val="28"/>
          <w:szCs w:val="28"/>
          <w:rtl/>
        </w:rPr>
        <w:t>الباجوري</w:t>
      </w:r>
      <w:r w:rsidRPr="0094153C">
        <w:rPr>
          <w:rFonts w:ascii="Arial" w:hAnsi="Arial" w:cs="DanaFajr" w:hint="cs"/>
          <w:sz w:val="28"/>
          <w:szCs w:val="28"/>
          <w:rtl/>
        </w:rPr>
        <w:t>،</w:t>
      </w:r>
      <w:r w:rsidRPr="0094153C">
        <w:rPr>
          <w:rFonts w:ascii="Arial" w:hAnsi="Arial" w:cs="DanaFajr"/>
          <w:sz w:val="28"/>
          <w:szCs w:val="28"/>
          <w:rtl/>
        </w:rPr>
        <w:t xml:space="preserve"> حاشية على شرح ابن قاسم 2</w:t>
      </w:r>
      <w:r w:rsidRPr="0094153C">
        <w:rPr>
          <w:rFonts w:ascii="Arial" w:hAnsi="Arial" w:cs="DanaFajr" w:hint="cs"/>
          <w:sz w:val="28"/>
          <w:szCs w:val="28"/>
          <w:rtl/>
        </w:rPr>
        <w:t xml:space="preserve">: </w:t>
      </w:r>
      <w:r w:rsidRPr="0094153C">
        <w:rPr>
          <w:rFonts w:ascii="Arial" w:hAnsi="Arial" w:cs="DanaFajr"/>
          <w:sz w:val="28"/>
          <w:szCs w:val="28"/>
          <w:rtl/>
        </w:rPr>
        <w:t>162</w:t>
      </w:r>
      <w:r w:rsidRPr="0094153C">
        <w:rPr>
          <w:rFonts w:ascii="Arial" w:hAnsi="Arial" w:cs="DanaFajr" w:hint="cs"/>
          <w:sz w:val="28"/>
          <w:szCs w:val="28"/>
          <w:rtl/>
        </w:rPr>
        <w:t>.</w:t>
      </w:r>
      <w:r w:rsidRPr="0094153C">
        <w:rPr>
          <w:rFonts w:ascii="Arial" w:hAnsi="Arial" w:cs="DanaFajr"/>
          <w:sz w:val="28"/>
          <w:szCs w:val="28"/>
          <w:rtl/>
        </w:rPr>
        <w:t xml:space="preserve"> </w:t>
      </w:r>
    </w:p>
  </w:endnote>
  <w:endnote w:id="135">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lang w:bidi="ar-LB"/>
        </w:rPr>
        <w:t>(</w:t>
      </w:r>
      <w:r w:rsidRPr="0094153C">
        <w:rPr>
          <w:rStyle w:val="ac"/>
          <w:rFonts w:cs="DanaFajr"/>
          <w:sz w:val="28"/>
          <w:szCs w:val="28"/>
          <w:vertAlign w:val="baseline"/>
        </w:rPr>
        <w:endnoteRef/>
      </w:r>
      <w:r w:rsidRPr="0094153C">
        <w:rPr>
          <w:rFonts w:ascii="Arial" w:hAnsi="Arial" w:cs="DanaFajr"/>
          <w:sz w:val="28"/>
          <w:szCs w:val="28"/>
          <w:rtl/>
          <w:lang w:bidi="ar-LB"/>
        </w:rPr>
        <w:t xml:space="preserve">) </w:t>
      </w:r>
      <w:r w:rsidRPr="0094153C">
        <w:rPr>
          <w:rFonts w:ascii="Arial" w:hAnsi="Arial" w:cs="DanaFajr"/>
          <w:sz w:val="28"/>
          <w:szCs w:val="28"/>
          <w:rtl/>
        </w:rPr>
        <w:t>ابن حجر</w:t>
      </w:r>
      <w:r w:rsidRPr="0094153C">
        <w:rPr>
          <w:rFonts w:ascii="Arial" w:hAnsi="Arial" w:cs="DanaFajr" w:hint="cs"/>
          <w:sz w:val="28"/>
          <w:szCs w:val="28"/>
          <w:rtl/>
        </w:rPr>
        <w:t>، فتح الباري</w:t>
      </w:r>
      <w:r w:rsidRPr="0094153C">
        <w:rPr>
          <w:rFonts w:ascii="Arial" w:hAnsi="Arial" w:cs="DanaFajr"/>
          <w:sz w:val="28"/>
          <w:szCs w:val="28"/>
          <w:rtl/>
        </w:rPr>
        <w:t xml:space="preserve"> 6</w:t>
      </w:r>
      <w:r w:rsidRPr="0094153C">
        <w:rPr>
          <w:rFonts w:ascii="Arial" w:hAnsi="Arial" w:cs="DanaFajr" w:hint="cs"/>
          <w:sz w:val="28"/>
          <w:szCs w:val="28"/>
          <w:rtl/>
        </w:rPr>
        <w:t xml:space="preserve">: </w:t>
      </w:r>
      <w:r w:rsidRPr="0094153C">
        <w:rPr>
          <w:rFonts w:ascii="Arial" w:hAnsi="Arial" w:cs="DanaFajr"/>
          <w:sz w:val="28"/>
          <w:szCs w:val="28"/>
          <w:rtl/>
        </w:rPr>
        <w:t>2</w:t>
      </w:r>
      <w:r w:rsidRPr="0094153C">
        <w:rPr>
          <w:rFonts w:ascii="Arial" w:hAnsi="Arial" w:cs="DanaFajr" w:hint="cs"/>
          <w:sz w:val="28"/>
          <w:szCs w:val="28"/>
          <w:rtl/>
        </w:rPr>
        <w:t>.</w:t>
      </w:r>
      <w:r w:rsidRPr="0094153C">
        <w:rPr>
          <w:rFonts w:ascii="Arial" w:hAnsi="Arial" w:cs="DanaFajr"/>
          <w:sz w:val="28"/>
          <w:szCs w:val="28"/>
          <w:rtl/>
        </w:rPr>
        <w:t xml:space="preserve"> </w:t>
      </w:r>
    </w:p>
  </w:endnote>
  <w:endnote w:id="136">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lang w:bidi="ar-LB"/>
        </w:rPr>
        <w:t>(</w:t>
      </w:r>
      <w:r w:rsidRPr="0094153C">
        <w:rPr>
          <w:rStyle w:val="ac"/>
          <w:rFonts w:cs="DanaFajr"/>
          <w:sz w:val="28"/>
          <w:szCs w:val="28"/>
          <w:vertAlign w:val="baseline"/>
        </w:rPr>
        <w:endnoteRef/>
      </w:r>
      <w:r w:rsidRPr="0094153C">
        <w:rPr>
          <w:rFonts w:ascii="Arial" w:hAnsi="Arial" w:cs="DanaFajr"/>
          <w:sz w:val="28"/>
          <w:szCs w:val="28"/>
          <w:rtl/>
          <w:lang w:bidi="ar-LB"/>
        </w:rPr>
        <w:t xml:space="preserve">) </w:t>
      </w:r>
      <w:r w:rsidRPr="0094153C">
        <w:rPr>
          <w:rFonts w:ascii="Arial" w:hAnsi="Arial" w:cs="DanaFajr" w:hint="cs"/>
          <w:sz w:val="28"/>
          <w:szCs w:val="28"/>
          <w:rtl/>
        </w:rPr>
        <w:t>ا</w:t>
      </w:r>
      <w:r w:rsidRPr="0094153C">
        <w:rPr>
          <w:rFonts w:ascii="Arial" w:hAnsi="Arial" w:cs="DanaFajr"/>
          <w:sz w:val="28"/>
          <w:szCs w:val="28"/>
          <w:rtl/>
        </w:rPr>
        <w:t>نظر</w:t>
      </w:r>
      <w:r w:rsidRPr="0094153C">
        <w:rPr>
          <w:rFonts w:ascii="Arial" w:hAnsi="Arial" w:cs="DanaFajr" w:hint="cs"/>
          <w:sz w:val="28"/>
          <w:szCs w:val="28"/>
          <w:rtl/>
        </w:rPr>
        <w:t>:</w:t>
      </w:r>
      <w:r w:rsidRPr="0094153C">
        <w:rPr>
          <w:rFonts w:ascii="Arial" w:hAnsi="Arial" w:cs="DanaFajr"/>
          <w:sz w:val="28"/>
          <w:szCs w:val="28"/>
          <w:rtl/>
        </w:rPr>
        <w:t xml:space="preserve"> عمدة الفقه: 166</w:t>
      </w:r>
      <w:r w:rsidRPr="0094153C">
        <w:rPr>
          <w:rFonts w:ascii="Arial" w:hAnsi="Arial" w:cs="DanaFajr" w:hint="cs"/>
          <w:sz w:val="28"/>
          <w:szCs w:val="28"/>
          <w:rtl/>
        </w:rPr>
        <w:t>.</w:t>
      </w:r>
      <w:r w:rsidRPr="0094153C">
        <w:rPr>
          <w:rFonts w:ascii="Arial" w:hAnsi="Arial" w:cs="DanaFajr"/>
          <w:sz w:val="28"/>
          <w:szCs w:val="28"/>
          <w:rtl/>
        </w:rPr>
        <w:t xml:space="preserve"> </w:t>
      </w:r>
    </w:p>
  </w:endnote>
  <w:endnote w:id="137">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rPr>
        <w:t>(</w:t>
      </w:r>
      <w:r w:rsidRPr="0094153C">
        <w:rPr>
          <w:rStyle w:val="ac"/>
          <w:rFonts w:cs="DanaFajr"/>
          <w:sz w:val="28"/>
          <w:szCs w:val="28"/>
          <w:vertAlign w:val="baseline"/>
        </w:rPr>
        <w:endnoteRef/>
      </w:r>
      <w:r w:rsidRPr="0094153C">
        <w:rPr>
          <w:rFonts w:ascii="Arial" w:hAnsi="Arial" w:cs="DanaFajr"/>
          <w:sz w:val="28"/>
          <w:szCs w:val="28"/>
          <w:rtl/>
        </w:rPr>
        <w:t>) ابن تيمية</w:t>
      </w:r>
      <w:r w:rsidRPr="0094153C">
        <w:rPr>
          <w:rFonts w:ascii="Arial" w:hAnsi="Arial" w:cs="DanaFajr" w:hint="cs"/>
          <w:sz w:val="28"/>
          <w:szCs w:val="28"/>
          <w:rtl/>
        </w:rPr>
        <w:t>،</w:t>
      </w:r>
      <w:r w:rsidRPr="0094153C">
        <w:rPr>
          <w:rFonts w:ascii="Arial" w:hAnsi="Arial" w:cs="DanaFajr"/>
          <w:sz w:val="28"/>
          <w:szCs w:val="28"/>
          <w:rtl/>
        </w:rPr>
        <w:t xml:space="preserve"> مجموع الفتاوى</w:t>
      </w:r>
      <w:r w:rsidRPr="0094153C">
        <w:rPr>
          <w:rFonts w:ascii="Arial" w:hAnsi="Arial" w:cs="DanaFajr" w:hint="cs"/>
          <w:sz w:val="28"/>
          <w:szCs w:val="28"/>
          <w:rtl/>
        </w:rPr>
        <w:t>،</w:t>
      </w:r>
      <w:r w:rsidRPr="0094153C">
        <w:rPr>
          <w:rFonts w:ascii="Arial" w:hAnsi="Arial" w:cs="DanaFajr"/>
          <w:sz w:val="28"/>
          <w:szCs w:val="28"/>
          <w:rtl/>
        </w:rPr>
        <w:t xml:space="preserve"> 10191. </w:t>
      </w:r>
    </w:p>
  </w:endnote>
  <w:endnote w:id="138">
    <w:p w:rsidR="00F41F33" w:rsidRPr="004B7958" w:rsidRDefault="00F41F33" w:rsidP="00904320">
      <w:pPr>
        <w:pStyle w:val="aa"/>
        <w:spacing w:line="320" w:lineRule="exact"/>
        <w:ind w:firstLine="0"/>
        <w:rPr>
          <w:rFonts w:ascii="Arial" w:hAnsi="Arial" w:cs="DanaFajr"/>
          <w:sz w:val="28"/>
          <w:szCs w:val="28"/>
          <w:rtl/>
        </w:rPr>
      </w:pPr>
      <w:r w:rsidRPr="004B7958">
        <w:rPr>
          <w:rFonts w:ascii="Arial" w:hAnsi="Arial" w:cs="DanaFajr"/>
          <w:sz w:val="28"/>
          <w:szCs w:val="28"/>
          <w:rtl/>
        </w:rPr>
        <w:t>(</w:t>
      </w:r>
      <w:r w:rsidRPr="004B7958">
        <w:rPr>
          <w:rStyle w:val="ac"/>
          <w:rFonts w:cs="DanaFajr"/>
          <w:sz w:val="28"/>
          <w:szCs w:val="28"/>
          <w:vertAlign w:val="baseline"/>
        </w:rPr>
        <w:endnoteRef/>
      </w:r>
      <w:r w:rsidRPr="004B7958">
        <w:rPr>
          <w:rFonts w:ascii="Arial" w:hAnsi="Arial" w:cs="DanaFajr"/>
          <w:sz w:val="28"/>
          <w:szCs w:val="28"/>
          <w:rtl/>
        </w:rPr>
        <w:t>)</w:t>
      </w:r>
      <w:r w:rsidRPr="004B7958">
        <w:rPr>
          <w:rFonts w:ascii="Arial" w:hAnsi="Arial" w:cs="DanaFajr" w:hint="cs"/>
          <w:sz w:val="28"/>
          <w:szCs w:val="28"/>
          <w:rtl/>
        </w:rPr>
        <w:t xml:space="preserve"> </w:t>
      </w:r>
      <w:r w:rsidRPr="004B7958">
        <w:rPr>
          <w:rFonts w:ascii="Arial" w:hAnsi="Arial" w:cs="DanaFajr"/>
          <w:sz w:val="28"/>
          <w:szCs w:val="28"/>
          <w:rtl/>
        </w:rPr>
        <w:t>عبد الله عز</w:t>
      </w:r>
      <w:r w:rsidRPr="004B7958">
        <w:rPr>
          <w:rFonts w:ascii="Arial" w:hAnsi="Arial" w:cs="DanaFajr" w:hint="cs"/>
          <w:sz w:val="28"/>
          <w:szCs w:val="28"/>
          <w:rtl/>
        </w:rPr>
        <w:t>ّ</w:t>
      </w:r>
      <w:r w:rsidRPr="004B7958">
        <w:rPr>
          <w:rFonts w:ascii="Arial" w:hAnsi="Arial" w:cs="DanaFajr"/>
          <w:sz w:val="28"/>
          <w:szCs w:val="28"/>
          <w:rtl/>
        </w:rPr>
        <w:t>ام، عبر وبصائر للجهاد في العصر الحاضر</w:t>
      </w:r>
      <w:r w:rsidRPr="004B7958">
        <w:rPr>
          <w:rFonts w:ascii="Arial" w:hAnsi="Arial" w:cs="DanaFajr" w:hint="cs"/>
          <w:sz w:val="28"/>
          <w:szCs w:val="28"/>
          <w:rtl/>
        </w:rPr>
        <w:t>،</w:t>
      </w:r>
      <w:r w:rsidRPr="004B7958">
        <w:rPr>
          <w:rFonts w:ascii="Arial" w:hAnsi="Arial" w:cs="DanaFajr"/>
          <w:sz w:val="28"/>
          <w:szCs w:val="28"/>
          <w:rtl/>
        </w:rPr>
        <w:t xml:space="preserve"> موقع منبر التوحيد والجهاد ال</w:t>
      </w:r>
      <w:r w:rsidRPr="004B7958">
        <w:rPr>
          <w:rFonts w:ascii="Arial" w:hAnsi="Arial" w:cs="DanaFajr" w:hint="cs"/>
          <w:sz w:val="28"/>
          <w:szCs w:val="28"/>
          <w:rtl/>
        </w:rPr>
        <w:t>إ</w:t>
      </w:r>
      <w:r w:rsidRPr="004B7958">
        <w:rPr>
          <w:rFonts w:ascii="Arial" w:hAnsi="Arial" w:cs="DanaFajr"/>
          <w:sz w:val="28"/>
          <w:szCs w:val="28"/>
          <w:rtl/>
        </w:rPr>
        <w:t>لكتروني</w:t>
      </w:r>
      <w:r w:rsidRPr="004B7958">
        <w:rPr>
          <w:rFonts w:ascii="Arial" w:hAnsi="Arial" w:cs="DanaFajr" w:hint="cs"/>
          <w:sz w:val="28"/>
          <w:szCs w:val="28"/>
          <w:rtl/>
        </w:rPr>
        <w:t>:</w:t>
      </w:r>
      <w:r w:rsidRPr="004B7958">
        <w:rPr>
          <w:rFonts w:ascii="Arial" w:hAnsi="Arial" w:cs="DanaFajr"/>
          <w:sz w:val="28"/>
          <w:szCs w:val="28"/>
          <w:rtl/>
        </w:rPr>
        <w:t xml:space="preserve"> </w:t>
      </w:r>
    </w:p>
    <w:p w:rsidR="00F41F33" w:rsidRPr="00715694" w:rsidRDefault="00F41F33" w:rsidP="00904320">
      <w:pPr>
        <w:pStyle w:val="aa"/>
        <w:spacing w:line="320" w:lineRule="exact"/>
        <w:ind w:firstLine="0"/>
        <w:jc w:val="right"/>
        <w:rPr>
          <w:rFonts w:asciiTheme="majorBidi" w:hAnsiTheme="majorBidi" w:cstheme="majorBidi"/>
        </w:rPr>
      </w:pPr>
      <w:r w:rsidRPr="00715694">
        <w:rPr>
          <w:rFonts w:asciiTheme="majorBidi" w:hAnsiTheme="majorBidi" w:cstheme="majorBidi"/>
        </w:rPr>
        <w:t xml:space="preserve"> http://www.tawhed.ws/r</w:t>
      </w:r>
      <w:r w:rsidRPr="006333E0">
        <w:rPr>
          <w:rFonts w:asciiTheme="majorBidi" w:hAnsiTheme="majorBidi" w:cs="Ya-Ali"/>
        </w:rPr>
        <w:t>1</w:t>
      </w:r>
      <w:r w:rsidRPr="00715694">
        <w:rPr>
          <w:rFonts w:asciiTheme="majorBidi" w:hAnsiTheme="majorBidi" w:cstheme="majorBidi"/>
        </w:rPr>
        <w:t>?i=</w:t>
      </w:r>
      <w:r w:rsidRPr="006333E0">
        <w:rPr>
          <w:rFonts w:asciiTheme="majorBidi" w:hAnsiTheme="majorBidi" w:cs="Ya-Ali"/>
        </w:rPr>
        <w:t>5431</w:t>
      </w:r>
      <w:r w:rsidRPr="00715694">
        <w:rPr>
          <w:rFonts w:asciiTheme="majorBidi" w:hAnsiTheme="majorBidi" w:cstheme="majorBidi"/>
        </w:rPr>
        <w:t>&amp;x=ybxe</w:t>
      </w:r>
      <w:r w:rsidRPr="006333E0">
        <w:rPr>
          <w:rFonts w:asciiTheme="majorBidi" w:hAnsiTheme="majorBidi" w:cs="Ya-Ali"/>
        </w:rPr>
        <w:t>72</w:t>
      </w:r>
      <w:r w:rsidRPr="00715694">
        <w:rPr>
          <w:rFonts w:asciiTheme="majorBidi" w:hAnsiTheme="majorBidi" w:cstheme="majorBidi"/>
        </w:rPr>
        <w:t>cv</w:t>
      </w:r>
      <w:r w:rsidRPr="00715694">
        <w:rPr>
          <w:rFonts w:asciiTheme="majorBidi" w:hAnsiTheme="majorBidi" w:cstheme="majorBidi"/>
          <w:rtl/>
        </w:rPr>
        <w:t xml:space="preserve"> </w:t>
      </w:r>
    </w:p>
  </w:endnote>
  <w:endnote w:id="139">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rPr>
        <w:t>(</w:t>
      </w:r>
      <w:r w:rsidRPr="0094153C">
        <w:rPr>
          <w:rStyle w:val="ac"/>
          <w:rFonts w:cs="DanaFajr"/>
          <w:sz w:val="28"/>
          <w:szCs w:val="28"/>
          <w:vertAlign w:val="baseline"/>
        </w:rPr>
        <w:endnoteRef/>
      </w:r>
      <w:r w:rsidRPr="0094153C">
        <w:rPr>
          <w:rFonts w:ascii="Arial" w:hAnsi="Arial" w:cs="DanaFajr"/>
          <w:sz w:val="28"/>
          <w:szCs w:val="28"/>
          <w:rtl/>
        </w:rPr>
        <w:t>)</w:t>
      </w:r>
      <w:r w:rsidRPr="0094153C">
        <w:rPr>
          <w:rFonts w:ascii="Arial" w:hAnsi="Arial" w:cs="DanaFajr" w:hint="cs"/>
          <w:sz w:val="28"/>
          <w:szCs w:val="28"/>
          <w:rtl/>
          <w:lang w:bidi="ar-EG"/>
        </w:rPr>
        <w:t xml:space="preserve"> </w:t>
      </w:r>
      <w:r w:rsidRPr="0094153C">
        <w:rPr>
          <w:rFonts w:ascii="Arial" w:hAnsi="Arial" w:cs="DanaFajr"/>
          <w:sz w:val="28"/>
          <w:szCs w:val="28"/>
          <w:rtl/>
          <w:lang w:bidi="ar-EG"/>
        </w:rPr>
        <w:t>وهبة الزحيلي</w:t>
      </w:r>
      <w:r w:rsidRPr="0094153C">
        <w:rPr>
          <w:rFonts w:ascii="Arial" w:hAnsi="Arial" w:cs="DanaFajr" w:hint="cs"/>
          <w:sz w:val="28"/>
          <w:szCs w:val="28"/>
          <w:rtl/>
          <w:lang w:bidi="ar-EG"/>
        </w:rPr>
        <w:t>،</w:t>
      </w:r>
      <w:r w:rsidRPr="0094153C">
        <w:rPr>
          <w:rFonts w:ascii="Arial" w:hAnsi="Arial" w:cs="DanaFajr"/>
          <w:sz w:val="28"/>
          <w:szCs w:val="28"/>
          <w:rtl/>
          <w:lang w:bidi="ar-EG"/>
        </w:rPr>
        <w:t xml:space="preserve"> </w:t>
      </w:r>
      <w:r w:rsidRPr="0094153C">
        <w:rPr>
          <w:rFonts w:ascii="Arial" w:hAnsi="Arial" w:cs="DanaFajr"/>
          <w:sz w:val="28"/>
          <w:szCs w:val="28"/>
          <w:rtl/>
        </w:rPr>
        <w:t>آثار الحرب في الفقه الإسلامي</w:t>
      </w:r>
      <w:r w:rsidRPr="0094153C">
        <w:rPr>
          <w:rFonts w:ascii="Arial" w:hAnsi="Arial" w:cs="DanaFajr" w:hint="cs"/>
          <w:sz w:val="28"/>
          <w:szCs w:val="28"/>
          <w:rtl/>
        </w:rPr>
        <w:t>: 23،</w:t>
      </w:r>
      <w:r w:rsidRPr="0094153C">
        <w:rPr>
          <w:rFonts w:ascii="Arial" w:hAnsi="Arial" w:cs="DanaFajr"/>
          <w:sz w:val="28"/>
          <w:szCs w:val="28"/>
          <w:rtl/>
        </w:rPr>
        <w:t xml:space="preserve"> دار الفكر للنشر والتوزيع</w:t>
      </w:r>
      <w:r w:rsidRPr="0094153C">
        <w:rPr>
          <w:rFonts w:ascii="Arial" w:hAnsi="Arial" w:cs="DanaFajr" w:hint="cs"/>
          <w:sz w:val="28"/>
          <w:szCs w:val="28"/>
          <w:rtl/>
          <w:lang w:bidi="ar-LB"/>
        </w:rPr>
        <w:t xml:space="preserve">، </w:t>
      </w:r>
      <w:r w:rsidRPr="0094153C">
        <w:rPr>
          <w:rFonts w:ascii="Arial" w:hAnsi="Arial" w:cs="DanaFajr"/>
          <w:sz w:val="28"/>
          <w:szCs w:val="28"/>
          <w:rtl/>
        </w:rPr>
        <w:t>دمشق</w:t>
      </w:r>
      <w:r w:rsidRPr="0094153C">
        <w:rPr>
          <w:rFonts w:cs="DanaFajr" w:hint="cs"/>
          <w:sz w:val="28"/>
          <w:szCs w:val="28"/>
          <w:rtl/>
        </w:rPr>
        <w:t xml:space="preserve">؛ </w:t>
      </w:r>
      <w:r w:rsidRPr="0094153C">
        <w:rPr>
          <w:rFonts w:ascii="Arial" w:hAnsi="Arial" w:cs="DanaFajr"/>
          <w:sz w:val="28"/>
          <w:szCs w:val="28"/>
          <w:rtl/>
        </w:rPr>
        <w:t>2009</w:t>
      </w:r>
      <w:r w:rsidRPr="0094153C">
        <w:rPr>
          <w:rFonts w:ascii="Arial" w:hAnsi="Arial" w:cs="DanaFajr" w:hint="cs"/>
          <w:sz w:val="28"/>
          <w:szCs w:val="28"/>
          <w:rtl/>
        </w:rPr>
        <w:t>.</w:t>
      </w:r>
    </w:p>
  </w:endnote>
  <w:endnote w:id="140">
    <w:p w:rsidR="00F41F33" w:rsidRPr="0094153C" w:rsidRDefault="00F41F33" w:rsidP="00904320">
      <w:pPr>
        <w:pStyle w:val="aa"/>
        <w:spacing w:line="320" w:lineRule="exact"/>
        <w:ind w:firstLine="0"/>
        <w:rPr>
          <w:rFonts w:cs="DanaFajr"/>
          <w:sz w:val="28"/>
          <w:szCs w:val="28"/>
          <w:rtl/>
          <w:lang w:bidi="ar-LB"/>
        </w:rPr>
      </w:pPr>
      <w:r w:rsidRPr="0094153C">
        <w:rPr>
          <w:rFonts w:ascii="Arial" w:hAnsi="Arial" w:cs="DanaFajr"/>
          <w:sz w:val="28"/>
          <w:szCs w:val="28"/>
          <w:rtl/>
        </w:rPr>
        <w:t>(</w:t>
      </w:r>
      <w:r w:rsidRPr="0094153C">
        <w:rPr>
          <w:rStyle w:val="ac"/>
          <w:rFonts w:cs="DanaFajr"/>
          <w:sz w:val="28"/>
          <w:szCs w:val="28"/>
          <w:vertAlign w:val="baseline"/>
        </w:rPr>
        <w:endnoteRef/>
      </w:r>
      <w:r w:rsidRPr="0094153C">
        <w:rPr>
          <w:rFonts w:ascii="Arial" w:hAnsi="Arial" w:cs="DanaFajr"/>
          <w:sz w:val="28"/>
          <w:szCs w:val="28"/>
          <w:rtl/>
        </w:rPr>
        <w:t xml:space="preserve">) المصدر </w:t>
      </w:r>
      <w:r w:rsidRPr="0094153C">
        <w:rPr>
          <w:rFonts w:ascii="Arial" w:hAnsi="Arial" w:cs="DanaFajr" w:hint="cs"/>
          <w:sz w:val="28"/>
          <w:szCs w:val="28"/>
          <w:rtl/>
        </w:rPr>
        <w:t>السابق</w:t>
      </w:r>
      <w:r w:rsidRPr="0094153C">
        <w:rPr>
          <w:rFonts w:ascii="Arial" w:hAnsi="Arial" w:cs="DanaFajr"/>
          <w:sz w:val="28"/>
          <w:szCs w:val="28"/>
          <w:rtl/>
        </w:rPr>
        <w:t xml:space="preserve">: 24. </w:t>
      </w:r>
    </w:p>
  </w:endnote>
  <w:endnote w:id="141">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rPr>
        <w:t>(</w:t>
      </w:r>
      <w:r w:rsidRPr="0094153C">
        <w:rPr>
          <w:rStyle w:val="ac"/>
          <w:rFonts w:cs="DanaFajr"/>
          <w:sz w:val="28"/>
          <w:szCs w:val="28"/>
          <w:vertAlign w:val="baseline"/>
        </w:rPr>
        <w:endnoteRef/>
      </w:r>
      <w:r w:rsidRPr="0094153C">
        <w:rPr>
          <w:rFonts w:ascii="Arial" w:hAnsi="Arial" w:cs="DanaFajr"/>
          <w:sz w:val="28"/>
          <w:szCs w:val="28"/>
          <w:rtl/>
        </w:rPr>
        <w:t xml:space="preserve">) </w:t>
      </w:r>
      <w:r w:rsidRPr="0094153C">
        <w:rPr>
          <w:rFonts w:ascii="Arial" w:hAnsi="Arial" w:cs="DanaFajr" w:hint="cs"/>
          <w:sz w:val="28"/>
          <w:szCs w:val="28"/>
          <w:rtl/>
        </w:rPr>
        <w:t xml:space="preserve">فهمي </w:t>
      </w:r>
      <w:r w:rsidRPr="0094153C">
        <w:rPr>
          <w:rFonts w:ascii="Arial" w:hAnsi="Arial" w:cs="DanaFajr"/>
          <w:sz w:val="28"/>
          <w:szCs w:val="28"/>
          <w:rtl/>
        </w:rPr>
        <w:t>هويد</w:t>
      </w:r>
      <w:r w:rsidRPr="0094153C">
        <w:rPr>
          <w:rFonts w:ascii="Arial" w:hAnsi="Arial" w:cs="DanaFajr" w:hint="cs"/>
          <w:sz w:val="28"/>
          <w:szCs w:val="28"/>
          <w:rtl/>
        </w:rPr>
        <w:t>ي</w:t>
      </w:r>
      <w:r w:rsidRPr="0094153C">
        <w:rPr>
          <w:rFonts w:ascii="Arial" w:hAnsi="Arial" w:cs="DanaFajr"/>
          <w:sz w:val="28"/>
          <w:szCs w:val="28"/>
          <w:rtl/>
        </w:rPr>
        <w:t>، مواطنون لا ذم</w:t>
      </w:r>
      <w:r w:rsidRPr="0094153C">
        <w:rPr>
          <w:rFonts w:ascii="Arial" w:hAnsi="Arial" w:cs="DanaFajr" w:hint="cs"/>
          <w:sz w:val="28"/>
          <w:szCs w:val="28"/>
          <w:rtl/>
        </w:rPr>
        <w:t>ّ</w:t>
      </w:r>
      <w:r w:rsidRPr="0094153C">
        <w:rPr>
          <w:rFonts w:ascii="Arial" w:hAnsi="Arial" w:cs="DanaFajr"/>
          <w:sz w:val="28"/>
          <w:szCs w:val="28"/>
          <w:rtl/>
        </w:rPr>
        <w:t>يون: 218 ـ 220</w:t>
      </w:r>
      <w:r w:rsidRPr="0094153C">
        <w:rPr>
          <w:rFonts w:ascii="Arial" w:hAnsi="Arial" w:cs="DanaFajr" w:hint="cs"/>
          <w:sz w:val="28"/>
          <w:szCs w:val="28"/>
          <w:rtl/>
        </w:rPr>
        <w:t>،</w:t>
      </w:r>
      <w:r w:rsidRPr="0094153C">
        <w:rPr>
          <w:rFonts w:ascii="Arial" w:hAnsi="Arial" w:cs="DanaFajr"/>
          <w:sz w:val="28"/>
          <w:szCs w:val="28"/>
          <w:rtl/>
        </w:rPr>
        <w:t xml:space="preserve"> دارالشروق</w:t>
      </w:r>
      <w:r w:rsidRPr="0094153C">
        <w:rPr>
          <w:rFonts w:ascii="Arial" w:hAnsi="Arial" w:cs="DanaFajr" w:hint="cs"/>
          <w:sz w:val="28"/>
          <w:szCs w:val="28"/>
          <w:rtl/>
        </w:rPr>
        <w:t>،</w:t>
      </w:r>
      <w:r w:rsidRPr="0094153C">
        <w:rPr>
          <w:rFonts w:ascii="Arial" w:hAnsi="Arial" w:cs="DanaFajr"/>
          <w:sz w:val="28"/>
          <w:szCs w:val="28"/>
          <w:rtl/>
        </w:rPr>
        <w:t xml:space="preserve"> القاهرة وبيروت</w:t>
      </w:r>
      <w:r w:rsidRPr="0094153C">
        <w:rPr>
          <w:rFonts w:ascii="Arial" w:hAnsi="Arial" w:cs="DanaFajr" w:hint="cs"/>
          <w:sz w:val="28"/>
          <w:szCs w:val="28"/>
          <w:rtl/>
        </w:rPr>
        <w:t>،</w:t>
      </w:r>
      <w:r w:rsidRPr="0094153C">
        <w:rPr>
          <w:rFonts w:ascii="Arial" w:hAnsi="Arial" w:cs="DanaFajr"/>
          <w:sz w:val="28"/>
          <w:szCs w:val="28"/>
          <w:rtl/>
        </w:rPr>
        <w:t xml:space="preserve"> 1990. </w:t>
      </w:r>
    </w:p>
  </w:endnote>
  <w:endnote w:id="142">
    <w:p w:rsidR="00F41F33" w:rsidRPr="0094153C" w:rsidRDefault="00F41F33" w:rsidP="00904320">
      <w:pPr>
        <w:pStyle w:val="aa"/>
        <w:spacing w:line="320" w:lineRule="exact"/>
        <w:ind w:firstLine="0"/>
        <w:rPr>
          <w:rFonts w:cs="DanaFajr"/>
          <w:sz w:val="28"/>
          <w:szCs w:val="28"/>
        </w:rPr>
      </w:pPr>
      <w:r w:rsidRPr="0094153C">
        <w:rPr>
          <w:rFonts w:ascii="Arial" w:hAnsi="Arial" w:cs="DanaFajr"/>
          <w:sz w:val="28"/>
          <w:szCs w:val="28"/>
          <w:rtl/>
        </w:rPr>
        <w:t>(</w:t>
      </w:r>
      <w:r w:rsidRPr="0094153C">
        <w:rPr>
          <w:rStyle w:val="ac"/>
          <w:rFonts w:cs="DanaFajr"/>
          <w:sz w:val="28"/>
          <w:szCs w:val="28"/>
          <w:vertAlign w:val="baseline"/>
        </w:rPr>
        <w:endnoteRef/>
      </w:r>
      <w:r w:rsidRPr="0094153C">
        <w:rPr>
          <w:rFonts w:ascii="Arial" w:hAnsi="Arial" w:cs="DanaFajr"/>
          <w:sz w:val="28"/>
          <w:szCs w:val="28"/>
          <w:rtl/>
        </w:rPr>
        <w:t>)</w:t>
      </w:r>
      <w:r w:rsidRPr="0094153C">
        <w:rPr>
          <w:rFonts w:ascii="Arial" w:hAnsi="Arial" w:cs="DanaFajr" w:hint="cs"/>
          <w:sz w:val="28"/>
          <w:szCs w:val="28"/>
          <w:rtl/>
        </w:rPr>
        <w:t xml:space="preserve"> </w:t>
      </w:r>
      <w:r w:rsidRPr="0094153C">
        <w:rPr>
          <w:rFonts w:ascii="Arial" w:hAnsi="Arial" w:cs="DanaFajr"/>
          <w:sz w:val="28"/>
          <w:szCs w:val="28"/>
          <w:rtl/>
        </w:rPr>
        <w:t>عصمت الله عناية الله</w:t>
      </w:r>
      <w:r w:rsidRPr="0094153C">
        <w:rPr>
          <w:rFonts w:ascii="Arial" w:hAnsi="Arial" w:cs="DanaFajr" w:hint="cs"/>
          <w:sz w:val="28"/>
          <w:szCs w:val="28"/>
          <w:rtl/>
        </w:rPr>
        <w:t>،</w:t>
      </w:r>
      <w:r w:rsidRPr="0094153C">
        <w:rPr>
          <w:rFonts w:ascii="Arial" w:hAnsi="Arial" w:cs="DanaFajr"/>
          <w:sz w:val="28"/>
          <w:szCs w:val="28"/>
          <w:rtl/>
        </w:rPr>
        <w:t xml:space="preserve"> بين الإرهاب الممنوع والجهاد المشروع</w:t>
      </w:r>
      <w:r w:rsidRPr="0094153C">
        <w:rPr>
          <w:rFonts w:ascii="Arial" w:hAnsi="Arial" w:cs="DanaFajr" w:hint="cs"/>
          <w:sz w:val="28"/>
          <w:szCs w:val="28"/>
          <w:rtl/>
        </w:rPr>
        <w:t>،</w:t>
      </w:r>
      <w:r w:rsidRPr="0094153C">
        <w:rPr>
          <w:rFonts w:ascii="Arial" w:hAnsi="Arial" w:cs="DanaFajr"/>
          <w:sz w:val="28"/>
          <w:szCs w:val="28"/>
          <w:rtl/>
        </w:rPr>
        <w:t xml:space="preserve"> مجلة كشمير</w:t>
      </w:r>
      <w:r w:rsidRPr="0094153C">
        <w:rPr>
          <w:rFonts w:ascii="Arial" w:hAnsi="Arial" w:cs="DanaFajr" w:hint="cs"/>
          <w:sz w:val="28"/>
          <w:szCs w:val="28"/>
          <w:rtl/>
        </w:rPr>
        <w:t>،</w:t>
      </w:r>
      <w:r w:rsidRPr="0094153C">
        <w:rPr>
          <w:rFonts w:ascii="Arial" w:hAnsi="Arial" w:cs="DanaFajr"/>
          <w:sz w:val="28"/>
          <w:szCs w:val="28"/>
          <w:rtl/>
        </w:rPr>
        <w:t xml:space="preserve"> </w:t>
      </w:r>
      <w:r w:rsidRPr="0094153C">
        <w:rPr>
          <w:rFonts w:ascii="Arial" w:hAnsi="Arial" w:cs="DanaFajr" w:hint="cs"/>
          <w:sz w:val="28"/>
          <w:szCs w:val="28"/>
          <w:rtl/>
        </w:rPr>
        <w:t>ال</w:t>
      </w:r>
      <w:r w:rsidRPr="0094153C">
        <w:rPr>
          <w:rFonts w:ascii="Arial" w:hAnsi="Arial" w:cs="DanaFajr"/>
          <w:sz w:val="28"/>
          <w:szCs w:val="28"/>
          <w:rtl/>
        </w:rPr>
        <w:t xml:space="preserve">عدد 116: 31. </w:t>
      </w:r>
    </w:p>
  </w:endnote>
  <w:endnote w:id="143">
    <w:p w:rsidR="00F41F33" w:rsidRPr="0094153C" w:rsidRDefault="00F41F33" w:rsidP="00904320">
      <w:pPr>
        <w:pStyle w:val="aa"/>
        <w:spacing w:line="320" w:lineRule="exact"/>
        <w:ind w:firstLine="0"/>
        <w:rPr>
          <w:rFonts w:ascii="Arial" w:hAnsi="Arial" w:cs="DanaFajr"/>
          <w:sz w:val="28"/>
          <w:szCs w:val="28"/>
          <w:rtl/>
        </w:rPr>
      </w:pPr>
      <w:r w:rsidRPr="004B7958">
        <w:rPr>
          <w:rFonts w:ascii="Arial" w:hAnsi="Arial" w:cs="DanaFajr" w:hint="cs"/>
          <w:sz w:val="28"/>
          <w:szCs w:val="28"/>
          <w:rtl/>
        </w:rPr>
        <w:t>(</w:t>
      </w:r>
      <w:r w:rsidRPr="004B7958">
        <w:rPr>
          <w:rStyle w:val="ac"/>
          <w:rFonts w:ascii="Arial" w:hAnsi="Arial" w:cs="DanaFajr"/>
          <w:sz w:val="28"/>
          <w:szCs w:val="28"/>
          <w:vertAlign w:val="baseline"/>
        </w:rPr>
        <w:endnoteRef/>
      </w:r>
      <w:r w:rsidRPr="004B7958">
        <w:rPr>
          <w:rFonts w:ascii="Arial" w:hAnsi="Arial" w:cs="DanaFajr"/>
          <w:sz w:val="28"/>
          <w:szCs w:val="28"/>
          <w:rtl/>
        </w:rPr>
        <w:t>) أو</w:t>
      </w:r>
      <w:r w:rsidRPr="004B7958">
        <w:rPr>
          <w:rFonts w:ascii="Arial" w:hAnsi="Arial" w:cs="DanaFajr" w:hint="cs"/>
          <w:sz w:val="28"/>
          <w:szCs w:val="28"/>
          <w:rtl/>
        </w:rPr>
        <w:t>ّ</w:t>
      </w:r>
      <w:r w:rsidRPr="004B7958">
        <w:rPr>
          <w:rFonts w:ascii="Arial" w:hAnsi="Arial" w:cs="DanaFajr"/>
          <w:sz w:val="28"/>
          <w:szCs w:val="28"/>
          <w:rtl/>
        </w:rPr>
        <w:t xml:space="preserve">ل ما أوحى به تبارك وتعالى </w:t>
      </w:r>
      <w:r w:rsidRPr="004B7958">
        <w:rPr>
          <w:rFonts w:ascii="Arial" w:hAnsi="Arial" w:cs="DanaFajr" w:hint="cs"/>
          <w:sz w:val="28"/>
          <w:szCs w:val="28"/>
          <w:rtl/>
        </w:rPr>
        <w:t>إ</w:t>
      </w:r>
      <w:r w:rsidRPr="004B7958">
        <w:rPr>
          <w:rFonts w:ascii="Arial" w:hAnsi="Arial" w:cs="DanaFajr"/>
          <w:sz w:val="28"/>
          <w:szCs w:val="28"/>
          <w:rtl/>
        </w:rPr>
        <w:t>لى الرسول</w:t>
      </w:r>
      <w:r w:rsidRPr="004B7958">
        <w:rPr>
          <w:rFonts w:ascii="Arial" w:hAnsi="Arial" w:cs="Mosawi"/>
          <w:rtl/>
        </w:rPr>
        <w:t>|</w:t>
      </w:r>
      <w:r w:rsidRPr="00715694">
        <w:rPr>
          <w:rFonts w:ascii="Arial" w:hAnsi="Arial" w:cs="DanaFajr"/>
          <w:sz w:val="28"/>
          <w:szCs w:val="28"/>
          <w:rtl/>
        </w:rPr>
        <w:t xml:space="preserve"> </w:t>
      </w:r>
      <w:r w:rsidRPr="004B7958">
        <w:rPr>
          <w:rFonts w:ascii="Arial" w:hAnsi="Arial" w:cs="DanaFajr"/>
          <w:sz w:val="28"/>
          <w:szCs w:val="28"/>
          <w:rtl/>
        </w:rPr>
        <w:t>هو أن يقرأ باسم رب</w:t>
      </w:r>
      <w:r w:rsidRPr="004B7958">
        <w:rPr>
          <w:rFonts w:ascii="Arial" w:hAnsi="Arial" w:cs="DanaFajr" w:hint="cs"/>
          <w:sz w:val="28"/>
          <w:szCs w:val="28"/>
          <w:rtl/>
        </w:rPr>
        <w:t>ِّ</w:t>
      </w:r>
      <w:r w:rsidRPr="004B7958">
        <w:rPr>
          <w:rFonts w:ascii="Arial" w:hAnsi="Arial" w:cs="DanaFajr"/>
          <w:sz w:val="28"/>
          <w:szCs w:val="28"/>
          <w:rtl/>
        </w:rPr>
        <w:t>ه الذي خلق، وذلك</w:t>
      </w:r>
      <w:r w:rsidRPr="004B7958">
        <w:rPr>
          <w:rFonts w:ascii="Arial" w:hAnsi="Arial" w:cs="DanaFajr"/>
          <w:sz w:val="28"/>
          <w:szCs w:val="28"/>
        </w:rPr>
        <w:t xml:space="preserve"> </w:t>
      </w:r>
      <w:r w:rsidRPr="004B7958">
        <w:rPr>
          <w:rFonts w:ascii="Arial" w:hAnsi="Arial" w:cs="DanaFajr"/>
          <w:sz w:val="28"/>
          <w:szCs w:val="28"/>
          <w:rtl/>
        </w:rPr>
        <w:t xml:space="preserve">أولى نبوته، فأمره أن يقرأ في نفسه </w:t>
      </w:r>
      <w:r w:rsidRPr="004B7958">
        <w:rPr>
          <w:rFonts w:ascii="Mosawi" w:hAnsi="Mosawi" w:cs="DanaFajr"/>
          <w:sz w:val="24"/>
          <w:szCs w:val="24"/>
          <w:rtl/>
        </w:rPr>
        <w:t>﴿</w:t>
      </w:r>
      <w:r w:rsidRPr="004B7958">
        <w:rPr>
          <w:rFonts w:ascii="Arial" w:hAnsi="Arial" w:cs="DanaFajr"/>
          <w:b/>
          <w:bCs/>
          <w:sz w:val="28"/>
          <w:szCs w:val="28"/>
          <w:rtl/>
        </w:rPr>
        <w:t>ف</w:t>
      </w:r>
      <w:r w:rsidRPr="004B7958">
        <w:rPr>
          <w:rFonts w:ascii="Arial" w:hAnsi="Arial" w:cs="DanaFajr" w:hint="cs"/>
          <w:b/>
          <w:bCs/>
          <w:sz w:val="28"/>
          <w:szCs w:val="28"/>
          <w:rtl/>
        </w:rPr>
        <w:t>َ</w:t>
      </w:r>
      <w:r w:rsidRPr="004B7958">
        <w:rPr>
          <w:rFonts w:ascii="Arial" w:hAnsi="Arial" w:cs="DanaFajr"/>
          <w:b/>
          <w:bCs/>
          <w:sz w:val="28"/>
          <w:szCs w:val="28"/>
          <w:rtl/>
        </w:rPr>
        <w:t>أ</w:t>
      </w:r>
      <w:r w:rsidRPr="004B7958">
        <w:rPr>
          <w:rFonts w:ascii="Arial" w:hAnsi="Arial" w:cs="DanaFajr" w:hint="cs"/>
          <w:b/>
          <w:bCs/>
          <w:sz w:val="28"/>
          <w:szCs w:val="28"/>
          <w:rtl/>
        </w:rPr>
        <w:t>َ</w:t>
      </w:r>
      <w:r w:rsidRPr="004B7958">
        <w:rPr>
          <w:rFonts w:ascii="Arial" w:hAnsi="Arial" w:cs="DanaFajr"/>
          <w:b/>
          <w:bCs/>
          <w:sz w:val="28"/>
          <w:szCs w:val="28"/>
          <w:rtl/>
        </w:rPr>
        <w:t>ن</w:t>
      </w:r>
      <w:r w:rsidRPr="004B7958">
        <w:rPr>
          <w:rFonts w:ascii="Arial" w:hAnsi="Arial" w:cs="DanaFajr" w:hint="cs"/>
          <w:b/>
          <w:bCs/>
          <w:sz w:val="28"/>
          <w:szCs w:val="28"/>
          <w:rtl/>
        </w:rPr>
        <w:t>ْ</w:t>
      </w:r>
      <w:r w:rsidRPr="004B7958">
        <w:rPr>
          <w:rFonts w:ascii="Arial" w:hAnsi="Arial" w:cs="DanaFajr"/>
          <w:b/>
          <w:bCs/>
          <w:sz w:val="28"/>
          <w:szCs w:val="28"/>
          <w:rtl/>
        </w:rPr>
        <w:t>ذ</w:t>
      </w:r>
      <w:r w:rsidRPr="004B7958">
        <w:rPr>
          <w:rFonts w:ascii="Arial" w:hAnsi="Arial" w:cs="DanaFajr" w:hint="cs"/>
          <w:b/>
          <w:bCs/>
          <w:sz w:val="28"/>
          <w:szCs w:val="28"/>
          <w:rtl/>
        </w:rPr>
        <w:t>ِ</w:t>
      </w:r>
      <w:r w:rsidRPr="004B7958">
        <w:rPr>
          <w:rFonts w:ascii="Arial" w:hAnsi="Arial" w:cs="DanaFajr"/>
          <w:b/>
          <w:bCs/>
          <w:sz w:val="28"/>
          <w:szCs w:val="28"/>
          <w:rtl/>
        </w:rPr>
        <w:t>ر</w:t>
      </w:r>
      <w:r w:rsidRPr="004B7958">
        <w:rPr>
          <w:rFonts w:ascii="Arial" w:hAnsi="Arial" w:cs="DanaFajr" w:hint="cs"/>
          <w:b/>
          <w:bCs/>
          <w:sz w:val="28"/>
          <w:szCs w:val="28"/>
          <w:rtl/>
        </w:rPr>
        <w:t>ْ</w:t>
      </w:r>
      <w:r w:rsidRPr="004B7958">
        <w:rPr>
          <w:rFonts w:ascii="Mosawi" w:hAnsi="Mosawi" w:cs="DanaFajr"/>
          <w:sz w:val="24"/>
          <w:szCs w:val="24"/>
          <w:rtl/>
        </w:rPr>
        <w:t>﴾</w:t>
      </w:r>
      <w:r w:rsidRPr="004B7958">
        <w:rPr>
          <w:rFonts w:ascii="Arial" w:hAnsi="Arial" w:cs="DanaFajr"/>
          <w:sz w:val="28"/>
          <w:szCs w:val="28"/>
          <w:rtl/>
        </w:rPr>
        <w:t>، فنب</w:t>
      </w:r>
      <w:r w:rsidRPr="004B7958">
        <w:rPr>
          <w:rFonts w:ascii="Arial" w:hAnsi="Arial" w:cs="DanaFajr" w:hint="cs"/>
          <w:sz w:val="28"/>
          <w:szCs w:val="28"/>
          <w:rtl/>
        </w:rPr>
        <w:t>ّ</w:t>
      </w:r>
      <w:r w:rsidRPr="004B7958">
        <w:rPr>
          <w:rFonts w:ascii="Arial" w:hAnsi="Arial" w:cs="DanaFajr"/>
          <w:sz w:val="28"/>
          <w:szCs w:val="28"/>
          <w:rtl/>
        </w:rPr>
        <w:t xml:space="preserve">أه بقوله: </w:t>
      </w:r>
      <w:r w:rsidRPr="004B7958">
        <w:rPr>
          <w:rFonts w:ascii="Mosawi" w:hAnsi="Mosawi" w:cs="DanaFajr"/>
          <w:sz w:val="24"/>
          <w:szCs w:val="24"/>
          <w:rtl/>
        </w:rPr>
        <w:t>﴿</w:t>
      </w:r>
      <w:r w:rsidRPr="004B7958">
        <w:rPr>
          <w:rFonts w:ascii="Arial" w:hAnsi="Arial" w:cs="DanaFajr"/>
          <w:sz w:val="28"/>
          <w:szCs w:val="28"/>
          <w:rtl/>
        </w:rPr>
        <w:t>ا</w:t>
      </w:r>
      <w:r w:rsidRPr="004B7958">
        <w:rPr>
          <w:rFonts w:ascii="Arial" w:hAnsi="Arial" w:cs="DanaFajr" w:hint="cs"/>
          <w:b/>
          <w:bCs/>
          <w:sz w:val="28"/>
          <w:szCs w:val="28"/>
          <w:rtl/>
        </w:rPr>
        <w:t>ِ</w:t>
      </w:r>
      <w:r w:rsidRPr="004B7958">
        <w:rPr>
          <w:rFonts w:ascii="Arial" w:hAnsi="Arial" w:cs="DanaFajr"/>
          <w:b/>
          <w:bCs/>
          <w:sz w:val="28"/>
          <w:szCs w:val="28"/>
          <w:rtl/>
        </w:rPr>
        <w:t>ق</w:t>
      </w:r>
      <w:r w:rsidRPr="004B7958">
        <w:rPr>
          <w:rFonts w:ascii="Arial" w:hAnsi="Arial" w:cs="DanaFajr" w:hint="cs"/>
          <w:b/>
          <w:bCs/>
          <w:sz w:val="28"/>
          <w:szCs w:val="28"/>
          <w:rtl/>
        </w:rPr>
        <w:t>ْ</w:t>
      </w:r>
      <w:r w:rsidRPr="004B7958">
        <w:rPr>
          <w:rFonts w:ascii="Arial" w:hAnsi="Arial" w:cs="DanaFajr"/>
          <w:b/>
          <w:bCs/>
          <w:sz w:val="28"/>
          <w:szCs w:val="28"/>
          <w:rtl/>
        </w:rPr>
        <w:t>ر</w:t>
      </w:r>
      <w:r w:rsidRPr="004B7958">
        <w:rPr>
          <w:rFonts w:ascii="Arial" w:hAnsi="Arial" w:cs="DanaFajr" w:hint="cs"/>
          <w:b/>
          <w:bCs/>
          <w:sz w:val="28"/>
          <w:szCs w:val="28"/>
          <w:rtl/>
        </w:rPr>
        <w:t>َ</w:t>
      </w:r>
      <w:r w:rsidRPr="004B7958">
        <w:rPr>
          <w:rFonts w:ascii="Arial" w:hAnsi="Arial" w:cs="DanaFajr"/>
          <w:b/>
          <w:bCs/>
          <w:sz w:val="28"/>
          <w:szCs w:val="28"/>
          <w:rtl/>
        </w:rPr>
        <w:t>أ</w:t>
      </w:r>
      <w:r w:rsidRPr="004B7958">
        <w:rPr>
          <w:rFonts w:ascii="Mosawi" w:hAnsi="Mosawi" w:cs="DanaFajr" w:hint="cs"/>
          <w:b/>
          <w:bCs/>
          <w:sz w:val="24"/>
          <w:szCs w:val="24"/>
          <w:rtl/>
        </w:rPr>
        <w:t>ْ</w:t>
      </w:r>
      <w:r w:rsidRPr="004B7958">
        <w:rPr>
          <w:rFonts w:ascii="Mosawi" w:hAnsi="Mosawi" w:cs="DanaFajr"/>
          <w:sz w:val="24"/>
          <w:szCs w:val="24"/>
          <w:rtl/>
        </w:rPr>
        <w:t>﴾</w:t>
      </w:r>
      <w:r w:rsidRPr="004B7958">
        <w:rPr>
          <w:rFonts w:ascii="Arial" w:hAnsi="Arial" w:cs="DanaFajr"/>
          <w:sz w:val="28"/>
          <w:szCs w:val="28"/>
          <w:rtl/>
        </w:rPr>
        <w:t xml:space="preserve">، وأرسله بـ </w:t>
      </w:r>
      <w:r w:rsidRPr="004B7958">
        <w:rPr>
          <w:rFonts w:ascii="Mosawi" w:hAnsi="Mosawi" w:cs="DanaFajr"/>
          <w:sz w:val="24"/>
          <w:szCs w:val="24"/>
          <w:rtl/>
        </w:rPr>
        <w:t>﴿</w:t>
      </w:r>
      <w:r w:rsidRPr="004B7958">
        <w:rPr>
          <w:rFonts w:ascii="Arial" w:hAnsi="Arial" w:cs="DanaFajr"/>
          <w:b/>
          <w:bCs/>
          <w:sz w:val="28"/>
          <w:szCs w:val="28"/>
          <w:rtl/>
        </w:rPr>
        <w:t>ي</w:t>
      </w:r>
      <w:r w:rsidRPr="004B7958">
        <w:rPr>
          <w:rFonts w:ascii="Arial" w:hAnsi="Arial" w:cs="DanaFajr" w:hint="cs"/>
          <w:b/>
          <w:bCs/>
          <w:sz w:val="28"/>
          <w:szCs w:val="28"/>
          <w:rtl/>
        </w:rPr>
        <w:t>َ</w:t>
      </w:r>
      <w:r w:rsidRPr="004B7958">
        <w:rPr>
          <w:rFonts w:ascii="Arial" w:hAnsi="Arial" w:cs="DanaFajr"/>
          <w:b/>
          <w:bCs/>
          <w:sz w:val="28"/>
          <w:szCs w:val="28"/>
          <w:rtl/>
        </w:rPr>
        <w:t>ا</w:t>
      </w:r>
      <w:r w:rsidRPr="004B7958">
        <w:rPr>
          <w:rFonts w:ascii="Arial" w:hAnsi="Arial" w:cs="DanaFajr"/>
          <w:b/>
          <w:bCs/>
          <w:sz w:val="28"/>
          <w:szCs w:val="28"/>
        </w:rPr>
        <w:t xml:space="preserve"> </w:t>
      </w:r>
      <w:r w:rsidRPr="004B7958">
        <w:rPr>
          <w:rFonts w:ascii="Arial" w:hAnsi="Arial" w:cs="DanaFajr"/>
          <w:b/>
          <w:bCs/>
          <w:sz w:val="28"/>
          <w:szCs w:val="28"/>
          <w:rtl/>
        </w:rPr>
        <w:t>أ</w:t>
      </w:r>
      <w:r w:rsidRPr="004B7958">
        <w:rPr>
          <w:rFonts w:ascii="Arial" w:hAnsi="Arial" w:cs="DanaFajr" w:hint="cs"/>
          <w:b/>
          <w:bCs/>
          <w:sz w:val="28"/>
          <w:szCs w:val="28"/>
          <w:rtl/>
        </w:rPr>
        <w:t>َ</w:t>
      </w:r>
      <w:r w:rsidRPr="004B7958">
        <w:rPr>
          <w:rFonts w:ascii="Arial" w:hAnsi="Arial" w:cs="DanaFajr"/>
          <w:b/>
          <w:bCs/>
          <w:sz w:val="28"/>
          <w:szCs w:val="28"/>
          <w:rtl/>
        </w:rPr>
        <w:t>ي</w:t>
      </w:r>
      <w:r w:rsidRPr="004B7958">
        <w:rPr>
          <w:rFonts w:ascii="Arial" w:hAnsi="Arial" w:cs="DanaFajr" w:hint="cs"/>
          <w:b/>
          <w:bCs/>
          <w:sz w:val="28"/>
          <w:szCs w:val="28"/>
          <w:rtl/>
        </w:rPr>
        <w:t>ُّ</w:t>
      </w:r>
      <w:r w:rsidRPr="004B7958">
        <w:rPr>
          <w:rFonts w:ascii="Arial" w:hAnsi="Arial" w:cs="DanaFajr"/>
          <w:b/>
          <w:bCs/>
          <w:sz w:val="28"/>
          <w:szCs w:val="28"/>
          <w:rtl/>
        </w:rPr>
        <w:t>ه</w:t>
      </w:r>
      <w:r w:rsidRPr="004B7958">
        <w:rPr>
          <w:rFonts w:ascii="Arial" w:hAnsi="Arial" w:cs="DanaFajr" w:hint="cs"/>
          <w:b/>
          <w:bCs/>
          <w:sz w:val="28"/>
          <w:szCs w:val="28"/>
          <w:rtl/>
        </w:rPr>
        <w:t>َ</w:t>
      </w:r>
      <w:r w:rsidRPr="004B7958">
        <w:rPr>
          <w:rFonts w:ascii="Arial" w:hAnsi="Arial" w:cs="DanaFajr"/>
          <w:b/>
          <w:bCs/>
          <w:sz w:val="28"/>
          <w:szCs w:val="28"/>
          <w:rtl/>
        </w:rPr>
        <w:t>ا الم</w:t>
      </w:r>
      <w:r w:rsidRPr="004B7958">
        <w:rPr>
          <w:rFonts w:ascii="Arial" w:hAnsi="Arial" w:cs="DanaFajr" w:hint="cs"/>
          <w:b/>
          <w:bCs/>
          <w:sz w:val="28"/>
          <w:szCs w:val="28"/>
          <w:rtl/>
        </w:rPr>
        <w:t>ُ</w:t>
      </w:r>
      <w:r w:rsidRPr="004B7958">
        <w:rPr>
          <w:rFonts w:ascii="Arial" w:hAnsi="Arial" w:cs="DanaFajr"/>
          <w:b/>
          <w:bCs/>
          <w:sz w:val="28"/>
          <w:szCs w:val="28"/>
          <w:rtl/>
        </w:rPr>
        <w:t>د</w:t>
      </w:r>
      <w:r w:rsidRPr="004B7958">
        <w:rPr>
          <w:rFonts w:ascii="Arial" w:hAnsi="Arial" w:cs="DanaFajr" w:hint="cs"/>
          <w:b/>
          <w:bCs/>
          <w:sz w:val="28"/>
          <w:szCs w:val="28"/>
          <w:rtl/>
        </w:rPr>
        <w:t>َّ</w:t>
      </w:r>
      <w:r w:rsidRPr="004B7958">
        <w:rPr>
          <w:rFonts w:ascii="Arial" w:hAnsi="Arial" w:cs="DanaFajr"/>
          <w:b/>
          <w:bCs/>
          <w:sz w:val="28"/>
          <w:szCs w:val="28"/>
          <w:rtl/>
        </w:rPr>
        <w:t>ث</w:t>
      </w:r>
      <w:r w:rsidRPr="004B7958">
        <w:rPr>
          <w:rFonts w:ascii="Arial" w:hAnsi="Arial" w:cs="DanaFajr" w:hint="cs"/>
          <w:b/>
          <w:bCs/>
          <w:sz w:val="28"/>
          <w:szCs w:val="28"/>
          <w:rtl/>
        </w:rPr>
        <w:t>ِّ</w:t>
      </w:r>
      <w:r w:rsidRPr="004B7958">
        <w:rPr>
          <w:rFonts w:ascii="Arial" w:hAnsi="Arial" w:cs="DanaFajr"/>
          <w:b/>
          <w:bCs/>
          <w:sz w:val="28"/>
          <w:szCs w:val="28"/>
          <w:rtl/>
        </w:rPr>
        <w:t>ر</w:t>
      </w:r>
      <w:r w:rsidRPr="004B7958">
        <w:rPr>
          <w:rFonts w:ascii="Arial" w:hAnsi="Arial" w:cs="DanaFajr" w:hint="cs"/>
          <w:b/>
          <w:bCs/>
          <w:sz w:val="28"/>
          <w:szCs w:val="28"/>
          <w:rtl/>
        </w:rPr>
        <w:t>ُ</w:t>
      </w:r>
      <w:r w:rsidRPr="004B7958">
        <w:rPr>
          <w:rFonts w:ascii="Mosawi" w:hAnsi="Mosawi" w:cs="DanaFajr"/>
          <w:sz w:val="24"/>
          <w:szCs w:val="24"/>
          <w:rtl/>
        </w:rPr>
        <w:t>﴾</w:t>
      </w:r>
      <w:r w:rsidRPr="004B7958">
        <w:rPr>
          <w:rFonts w:ascii="Arial" w:hAnsi="Arial" w:cs="DanaFajr"/>
          <w:sz w:val="28"/>
          <w:szCs w:val="28"/>
          <w:rtl/>
        </w:rPr>
        <w:t>، ثم</w:t>
      </w:r>
      <w:r w:rsidRPr="004B7958">
        <w:rPr>
          <w:rFonts w:ascii="Arial" w:hAnsi="Arial" w:cs="DanaFajr" w:hint="cs"/>
          <w:sz w:val="28"/>
          <w:szCs w:val="28"/>
          <w:rtl/>
        </w:rPr>
        <w:t>ّ</w:t>
      </w:r>
      <w:r w:rsidRPr="004B7958">
        <w:rPr>
          <w:rFonts w:ascii="Arial" w:hAnsi="Arial" w:cs="DanaFajr"/>
          <w:sz w:val="28"/>
          <w:szCs w:val="28"/>
          <w:rtl/>
        </w:rPr>
        <w:t xml:space="preserve"> أمره أن ينذر عشيرته الأقربين، ثم</w:t>
      </w:r>
      <w:r w:rsidRPr="004B7958">
        <w:rPr>
          <w:rFonts w:ascii="Arial" w:hAnsi="Arial" w:cs="DanaFajr" w:hint="cs"/>
          <w:sz w:val="28"/>
          <w:szCs w:val="28"/>
          <w:rtl/>
        </w:rPr>
        <w:t>ّ</w:t>
      </w:r>
      <w:r w:rsidRPr="004B7958">
        <w:rPr>
          <w:rFonts w:ascii="Arial" w:hAnsi="Arial" w:cs="DanaFajr"/>
          <w:sz w:val="28"/>
          <w:szCs w:val="28"/>
          <w:rtl/>
        </w:rPr>
        <w:t xml:space="preserve"> أنذر قومه، ثم</w:t>
      </w:r>
      <w:r w:rsidRPr="004B7958">
        <w:rPr>
          <w:rFonts w:ascii="Arial" w:hAnsi="Arial" w:cs="DanaFajr" w:hint="cs"/>
          <w:sz w:val="28"/>
          <w:szCs w:val="28"/>
          <w:rtl/>
        </w:rPr>
        <w:t>ّ</w:t>
      </w:r>
      <w:r w:rsidRPr="004B7958">
        <w:rPr>
          <w:rFonts w:ascii="Arial" w:hAnsi="Arial" w:cs="DanaFajr"/>
          <w:sz w:val="28"/>
          <w:szCs w:val="28"/>
          <w:rtl/>
        </w:rPr>
        <w:t xml:space="preserve"> أنذر من حولهم من</w:t>
      </w:r>
      <w:r w:rsidRPr="004B7958">
        <w:rPr>
          <w:rFonts w:ascii="Arial" w:hAnsi="Arial" w:cs="DanaFajr" w:hint="cs"/>
          <w:sz w:val="28"/>
          <w:szCs w:val="28"/>
          <w:rtl/>
        </w:rPr>
        <w:t xml:space="preserve"> </w:t>
      </w:r>
      <w:r w:rsidRPr="004B7958">
        <w:rPr>
          <w:rFonts w:ascii="Arial" w:hAnsi="Arial" w:cs="DanaFajr"/>
          <w:sz w:val="28"/>
          <w:szCs w:val="28"/>
          <w:rtl/>
        </w:rPr>
        <w:t>العرب، ثم</w:t>
      </w:r>
      <w:r w:rsidRPr="004B7958">
        <w:rPr>
          <w:rFonts w:ascii="Arial" w:hAnsi="Arial" w:cs="DanaFajr" w:hint="cs"/>
          <w:sz w:val="28"/>
          <w:szCs w:val="28"/>
          <w:rtl/>
        </w:rPr>
        <w:t>ّ</w:t>
      </w:r>
      <w:r w:rsidRPr="004B7958">
        <w:rPr>
          <w:rFonts w:ascii="Arial" w:hAnsi="Arial" w:cs="DanaFajr"/>
          <w:sz w:val="28"/>
          <w:szCs w:val="28"/>
          <w:rtl/>
        </w:rPr>
        <w:t xml:space="preserve"> أنذر العرب قاطبة</w:t>
      </w:r>
      <w:r w:rsidRPr="004B7958">
        <w:rPr>
          <w:rFonts w:ascii="Arial" w:hAnsi="Arial" w:cs="DanaFajr" w:hint="cs"/>
          <w:sz w:val="28"/>
          <w:szCs w:val="28"/>
          <w:rtl/>
        </w:rPr>
        <w:t>ً</w:t>
      </w:r>
      <w:r w:rsidRPr="004B7958">
        <w:rPr>
          <w:rFonts w:ascii="Arial" w:hAnsi="Arial" w:cs="DanaFajr"/>
          <w:sz w:val="28"/>
          <w:szCs w:val="28"/>
          <w:rtl/>
        </w:rPr>
        <w:t>، ثم</w:t>
      </w:r>
      <w:r w:rsidRPr="004B7958">
        <w:rPr>
          <w:rFonts w:ascii="Arial" w:hAnsi="Arial" w:cs="DanaFajr" w:hint="cs"/>
          <w:sz w:val="28"/>
          <w:szCs w:val="28"/>
          <w:rtl/>
        </w:rPr>
        <w:t>ّ</w:t>
      </w:r>
      <w:r w:rsidRPr="004B7958">
        <w:rPr>
          <w:rFonts w:ascii="Arial" w:hAnsi="Arial" w:cs="DanaFajr"/>
          <w:sz w:val="28"/>
          <w:szCs w:val="28"/>
          <w:rtl/>
        </w:rPr>
        <w:t xml:space="preserve"> أنذر العالمين، فأقام بضع عشرة سنة بعد نبوته ينذر</w:t>
      </w:r>
      <w:r w:rsidRPr="004B7958">
        <w:rPr>
          <w:rFonts w:ascii="Arial" w:hAnsi="Arial" w:cs="DanaFajr"/>
          <w:sz w:val="28"/>
          <w:szCs w:val="28"/>
        </w:rPr>
        <w:t xml:space="preserve"> </w:t>
      </w:r>
      <w:r w:rsidRPr="004B7958">
        <w:rPr>
          <w:rFonts w:ascii="Arial" w:hAnsi="Arial" w:cs="DanaFajr"/>
          <w:sz w:val="28"/>
          <w:szCs w:val="28"/>
          <w:rtl/>
        </w:rPr>
        <w:t>بالدعوة بغير قتال</w:t>
      </w:r>
      <w:r w:rsidRPr="004B7958">
        <w:rPr>
          <w:rFonts w:ascii="Arial" w:hAnsi="Arial" w:cs="DanaFajr" w:hint="cs"/>
          <w:sz w:val="28"/>
          <w:szCs w:val="28"/>
          <w:rtl/>
        </w:rPr>
        <w:t>ٍ</w:t>
      </w:r>
      <w:r w:rsidRPr="004B7958">
        <w:rPr>
          <w:rFonts w:ascii="Arial" w:hAnsi="Arial" w:cs="DanaFajr"/>
          <w:sz w:val="28"/>
          <w:szCs w:val="28"/>
          <w:rtl/>
        </w:rPr>
        <w:t xml:space="preserve"> ولا جزية، ويؤمر بالكف</w:t>
      </w:r>
      <w:r w:rsidRPr="004B7958">
        <w:rPr>
          <w:rFonts w:ascii="Arial" w:hAnsi="Arial" w:cs="DanaFajr" w:hint="cs"/>
          <w:sz w:val="28"/>
          <w:szCs w:val="28"/>
          <w:rtl/>
        </w:rPr>
        <w:t>ّ</w:t>
      </w:r>
      <w:r w:rsidRPr="004B7958">
        <w:rPr>
          <w:rFonts w:ascii="Arial" w:hAnsi="Arial" w:cs="DanaFajr"/>
          <w:sz w:val="28"/>
          <w:szCs w:val="28"/>
          <w:rtl/>
        </w:rPr>
        <w:t xml:space="preserve"> والصبر والصفح، ثم</w:t>
      </w:r>
      <w:r w:rsidRPr="004B7958">
        <w:rPr>
          <w:rFonts w:ascii="Arial" w:hAnsi="Arial" w:cs="DanaFajr" w:hint="cs"/>
          <w:sz w:val="28"/>
          <w:szCs w:val="28"/>
          <w:rtl/>
        </w:rPr>
        <w:t>ّ</w:t>
      </w:r>
      <w:r w:rsidRPr="004B7958">
        <w:rPr>
          <w:rFonts w:ascii="Arial" w:hAnsi="Arial" w:cs="DanaFajr"/>
          <w:sz w:val="28"/>
          <w:szCs w:val="28"/>
          <w:rtl/>
        </w:rPr>
        <w:t xml:space="preserve"> أذن له في الهجرة</w:t>
      </w:r>
      <w:r w:rsidRPr="004B7958">
        <w:rPr>
          <w:rFonts w:ascii="Arial" w:hAnsi="Arial" w:cs="DanaFajr" w:hint="cs"/>
          <w:sz w:val="28"/>
          <w:szCs w:val="28"/>
          <w:rtl/>
        </w:rPr>
        <w:t>،</w:t>
      </w:r>
      <w:r w:rsidRPr="004B7958">
        <w:rPr>
          <w:rFonts w:ascii="Arial" w:hAnsi="Arial" w:cs="DanaFajr"/>
          <w:sz w:val="28"/>
          <w:szCs w:val="28"/>
          <w:rtl/>
        </w:rPr>
        <w:t xml:space="preserve"> وأذن</w:t>
      </w:r>
      <w:r w:rsidRPr="004B7958">
        <w:rPr>
          <w:rFonts w:ascii="Arial" w:hAnsi="Arial" w:cs="DanaFajr"/>
          <w:sz w:val="28"/>
          <w:szCs w:val="28"/>
        </w:rPr>
        <w:t xml:space="preserve"> </w:t>
      </w:r>
      <w:r w:rsidRPr="004B7958">
        <w:rPr>
          <w:rFonts w:ascii="Arial" w:hAnsi="Arial" w:cs="DanaFajr"/>
          <w:sz w:val="28"/>
          <w:szCs w:val="28"/>
          <w:rtl/>
        </w:rPr>
        <w:t>له في القتال، ثم</w:t>
      </w:r>
      <w:r w:rsidRPr="004B7958">
        <w:rPr>
          <w:rFonts w:ascii="Arial" w:hAnsi="Arial" w:cs="DanaFajr" w:hint="cs"/>
          <w:sz w:val="28"/>
          <w:szCs w:val="28"/>
          <w:rtl/>
        </w:rPr>
        <w:t>ّ</w:t>
      </w:r>
      <w:r w:rsidRPr="004B7958">
        <w:rPr>
          <w:rFonts w:ascii="Arial" w:hAnsi="Arial" w:cs="DanaFajr"/>
          <w:sz w:val="28"/>
          <w:szCs w:val="28"/>
          <w:rtl/>
        </w:rPr>
        <w:t xml:space="preserve"> أمره أن يقاتل م</w:t>
      </w:r>
      <w:r w:rsidRPr="004B7958">
        <w:rPr>
          <w:rFonts w:ascii="Arial" w:hAnsi="Arial" w:cs="DanaFajr" w:hint="cs"/>
          <w:sz w:val="28"/>
          <w:szCs w:val="28"/>
          <w:rtl/>
        </w:rPr>
        <w:t>َ</w:t>
      </w:r>
      <w:r w:rsidRPr="004B7958">
        <w:rPr>
          <w:rFonts w:ascii="Arial" w:hAnsi="Arial" w:cs="DanaFajr"/>
          <w:sz w:val="28"/>
          <w:szCs w:val="28"/>
          <w:rtl/>
        </w:rPr>
        <w:t>ن</w:t>
      </w:r>
      <w:r w:rsidRPr="004B7958">
        <w:rPr>
          <w:rFonts w:ascii="Arial" w:hAnsi="Arial" w:cs="DanaFajr" w:hint="cs"/>
          <w:sz w:val="28"/>
          <w:szCs w:val="28"/>
          <w:rtl/>
        </w:rPr>
        <w:t>ْ</w:t>
      </w:r>
      <w:r w:rsidRPr="004B7958">
        <w:rPr>
          <w:rFonts w:ascii="Arial" w:hAnsi="Arial" w:cs="DanaFajr"/>
          <w:sz w:val="28"/>
          <w:szCs w:val="28"/>
          <w:rtl/>
        </w:rPr>
        <w:t xml:space="preserve"> قاتله، ويكف</w:t>
      </w:r>
      <w:r w:rsidRPr="004B7958">
        <w:rPr>
          <w:rFonts w:ascii="Arial" w:hAnsi="Arial" w:cs="DanaFajr" w:hint="cs"/>
          <w:sz w:val="28"/>
          <w:szCs w:val="28"/>
          <w:rtl/>
        </w:rPr>
        <w:t>ّ</w:t>
      </w:r>
      <w:r w:rsidRPr="004B7958">
        <w:rPr>
          <w:rFonts w:ascii="Arial" w:hAnsi="Arial" w:cs="DanaFajr"/>
          <w:sz w:val="28"/>
          <w:szCs w:val="28"/>
          <w:rtl/>
        </w:rPr>
        <w:t xml:space="preserve"> عم</w:t>
      </w:r>
      <w:r w:rsidRPr="004B7958">
        <w:rPr>
          <w:rFonts w:ascii="Arial" w:hAnsi="Arial" w:cs="DanaFajr" w:hint="cs"/>
          <w:sz w:val="28"/>
          <w:szCs w:val="28"/>
          <w:rtl/>
        </w:rPr>
        <w:t>َّ</w:t>
      </w:r>
      <w:r w:rsidRPr="004B7958">
        <w:rPr>
          <w:rFonts w:ascii="Arial" w:hAnsi="Arial" w:cs="DanaFajr"/>
          <w:sz w:val="28"/>
          <w:szCs w:val="28"/>
          <w:rtl/>
        </w:rPr>
        <w:t>ن</w:t>
      </w:r>
      <w:r w:rsidRPr="004B7958">
        <w:rPr>
          <w:rFonts w:ascii="Arial" w:hAnsi="Arial" w:cs="DanaFajr" w:hint="cs"/>
          <w:sz w:val="28"/>
          <w:szCs w:val="28"/>
          <w:rtl/>
        </w:rPr>
        <w:t>ْ</w:t>
      </w:r>
      <w:r w:rsidRPr="004B7958">
        <w:rPr>
          <w:rFonts w:ascii="Arial" w:hAnsi="Arial" w:cs="DanaFajr"/>
          <w:sz w:val="28"/>
          <w:szCs w:val="28"/>
          <w:rtl/>
        </w:rPr>
        <w:t xml:space="preserve"> اعتزله ولم يقاتله، ثم</w:t>
      </w:r>
      <w:r w:rsidRPr="004B7958">
        <w:rPr>
          <w:rFonts w:ascii="Arial" w:hAnsi="Arial" w:cs="DanaFajr" w:hint="cs"/>
          <w:sz w:val="28"/>
          <w:szCs w:val="28"/>
          <w:rtl/>
        </w:rPr>
        <w:t>ّ</w:t>
      </w:r>
      <w:r w:rsidRPr="004B7958">
        <w:rPr>
          <w:rFonts w:ascii="Arial" w:hAnsi="Arial" w:cs="DanaFajr"/>
          <w:sz w:val="28"/>
          <w:szCs w:val="28"/>
          <w:rtl/>
        </w:rPr>
        <w:t xml:space="preserve"> أمره</w:t>
      </w:r>
      <w:r w:rsidRPr="004B7958">
        <w:rPr>
          <w:rFonts w:ascii="Arial" w:hAnsi="Arial" w:cs="DanaFajr"/>
          <w:sz w:val="28"/>
          <w:szCs w:val="28"/>
        </w:rPr>
        <w:t xml:space="preserve"> </w:t>
      </w:r>
      <w:r w:rsidRPr="004B7958">
        <w:rPr>
          <w:rFonts w:ascii="Arial" w:hAnsi="Arial" w:cs="DanaFajr"/>
          <w:sz w:val="28"/>
          <w:szCs w:val="28"/>
          <w:rtl/>
        </w:rPr>
        <w:t>بقتال المشركين حت</w:t>
      </w:r>
      <w:r w:rsidRPr="004B7958">
        <w:rPr>
          <w:rFonts w:ascii="Arial" w:hAnsi="Arial" w:cs="DanaFajr" w:hint="cs"/>
          <w:sz w:val="28"/>
          <w:szCs w:val="28"/>
          <w:rtl/>
        </w:rPr>
        <w:t>ّ</w:t>
      </w:r>
      <w:r w:rsidRPr="004B7958">
        <w:rPr>
          <w:rFonts w:ascii="Arial" w:hAnsi="Arial" w:cs="DanaFajr"/>
          <w:sz w:val="28"/>
          <w:szCs w:val="28"/>
          <w:rtl/>
        </w:rPr>
        <w:t>ى يكون الد</w:t>
      </w:r>
      <w:r w:rsidRPr="004B7958">
        <w:rPr>
          <w:rFonts w:ascii="Arial" w:hAnsi="Arial" w:cs="DanaFajr" w:hint="cs"/>
          <w:sz w:val="28"/>
          <w:szCs w:val="28"/>
          <w:rtl/>
        </w:rPr>
        <w:t>ِّ</w:t>
      </w:r>
      <w:r w:rsidRPr="004B7958">
        <w:rPr>
          <w:rFonts w:ascii="Arial" w:hAnsi="Arial" w:cs="DanaFajr"/>
          <w:sz w:val="28"/>
          <w:szCs w:val="28"/>
          <w:rtl/>
        </w:rPr>
        <w:t>ين كل</w:t>
      </w:r>
      <w:r w:rsidRPr="004B7958">
        <w:rPr>
          <w:rFonts w:ascii="Arial" w:hAnsi="Arial" w:cs="DanaFajr" w:hint="cs"/>
          <w:sz w:val="28"/>
          <w:szCs w:val="28"/>
          <w:rtl/>
        </w:rPr>
        <w:t>ُّ</w:t>
      </w:r>
      <w:r w:rsidRPr="004B7958">
        <w:rPr>
          <w:rFonts w:ascii="Arial" w:hAnsi="Arial" w:cs="DanaFajr"/>
          <w:sz w:val="28"/>
          <w:szCs w:val="28"/>
          <w:rtl/>
        </w:rPr>
        <w:t>ه لله... ثم</w:t>
      </w:r>
      <w:r w:rsidRPr="004B7958">
        <w:rPr>
          <w:rFonts w:ascii="Arial" w:hAnsi="Arial" w:cs="DanaFajr" w:hint="cs"/>
          <w:sz w:val="28"/>
          <w:szCs w:val="28"/>
          <w:rtl/>
        </w:rPr>
        <w:t>ّ</w:t>
      </w:r>
      <w:r w:rsidRPr="004B7958">
        <w:rPr>
          <w:rFonts w:ascii="Arial" w:hAnsi="Arial" w:cs="DanaFajr"/>
          <w:sz w:val="28"/>
          <w:szCs w:val="28"/>
          <w:rtl/>
        </w:rPr>
        <w:t xml:space="preserve"> كان الكف</w:t>
      </w:r>
      <w:r w:rsidRPr="004B7958">
        <w:rPr>
          <w:rFonts w:ascii="Arial" w:hAnsi="Arial" w:cs="DanaFajr" w:hint="cs"/>
          <w:sz w:val="28"/>
          <w:szCs w:val="28"/>
          <w:rtl/>
        </w:rPr>
        <w:t>ّ</w:t>
      </w:r>
      <w:r w:rsidRPr="004B7958">
        <w:rPr>
          <w:rFonts w:ascii="Arial" w:hAnsi="Arial" w:cs="DanaFajr"/>
          <w:sz w:val="28"/>
          <w:szCs w:val="28"/>
          <w:rtl/>
        </w:rPr>
        <w:t>ار معه بعد الأمر بالجهاد</w:t>
      </w:r>
      <w:r w:rsidRPr="004B7958">
        <w:rPr>
          <w:rFonts w:ascii="Arial" w:hAnsi="Arial" w:cs="DanaFajr"/>
          <w:sz w:val="28"/>
          <w:szCs w:val="28"/>
        </w:rPr>
        <w:t xml:space="preserve"> </w:t>
      </w:r>
      <w:r w:rsidRPr="004B7958">
        <w:rPr>
          <w:rFonts w:ascii="Arial" w:hAnsi="Arial" w:cs="DanaFajr"/>
          <w:sz w:val="28"/>
          <w:szCs w:val="28"/>
          <w:rtl/>
        </w:rPr>
        <w:t>ثلاثة أقسام: أهل صلح وهدنة</w:t>
      </w:r>
      <w:r w:rsidRPr="004B7958">
        <w:rPr>
          <w:rFonts w:ascii="Arial" w:hAnsi="Arial" w:cs="DanaFajr" w:hint="cs"/>
          <w:sz w:val="28"/>
          <w:szCs w:val="28"/>
          <w:rtl/>
        </w:rPr>
        <w:t>؛</w:t>
      </w:r>
      <w:r w:rsidRPr="004B7958">
        <w:rPr>
          <w:rFonts w:ascii="Arial" w:hAnsi="Arial" w:cs="DanaFajr"/>
          <w:sz w:val="28"/>
          <w:szCs w:val="28"/>
          <w:rtl/>
        </w:rPr>
        <w:t xml:space="preserve"> وأهل حرب</w:t>
      </w:r>
      <w:r w:rsidRPr="004B7958">
        <w:rPr>
          <w:rFonts w:ascii="Arial" w:hAnsi="Arial" w:cs="DanaFajr" w:hint="cs"/>
          <w:sz w:val="28"/>
          <w:szCs w:val="28"/>
          <w:rtl/>
        </w:rPr>
        <w:t>؛</w:t>
      </w:r>
      <w:r w:rsidRPr="004B7958">
        <w:rPr>
          <w:rFonts w:ascii="Arial" w:hAnsi="Arial" w:cs="DanaFajr"/>
          <w:sz w:val="28"/>
          <w:szCs w:val="28"/>
          <w:rtl/>
        </w:rPr>
        <w:t xml:space="preserve"> وأهل ذم</w:t>
      </w:r>
      <w:r w:rsidRPr="004B7958">
        <w:rPr>
          <w:rFonts w:ascii="Arial" w:hAnsi="Arial" w:cs="DanaFajr" w:hint="cs"/>
          <w:sz w:val="28"/>
          <w:szCs w:val="28"/>
          <w:rtl/>
        </w:rPr>
        <w:t>ّ</w:t>
      </w:r>
      <w:r w:rsidRPr="004B7958">
        <w:rPr>
          <w:rFonts w:ascii="Arial" w:hAnsi="Arial" w:cs="DanaFajr"/>
          <w:sz w:val="28"/>
          <w:szCs w:val="28"/>
          <w:rtl/>
        </w:rPr>
        <w:t>ة... فأمر بأن يتم</w:t>
      </w:r>
      <w:r w:rsidRPr="004B7958">
        <w:rPr>
          <w:rFonts w:ascii="Arial" w:hAnsi="Arial" w:cs="DanaFajr" w:hint="cs"/>
          <w:sz w:val="28"/>
          <w:szCs w:val="28"/>
          <w:rtl/>
        </w:rPr>
        <w:t>ّ</w:t>
      </w:r>
      <w:r w:rsidRPr="004B7958">
        <w:rPr>
          <w:rFonts w:ascii="Arial" w:hAnsi="Arial" w:cs="DanaFajr"/>
          <w:sz w:val="28"/>
          <w:szCs w:val="28"/>
          <w:rtl/>
        </w:rPr>
        <w:t xml:space="preserve"> لأهل العهد والصل</w:t>
      </w:r>
      <w:r w:rsidRPr="004B7958">
        <w:rPr>
          <w:rFonts w:ascii="Arial" w:hAnsi="Arial" w:cs="DanaFajr" w:hint="cs"/>
          <w:sz w:val="28"/>
          <w:szCs w:val="28"/>
          <w:rtl/>
        </w:rPr>
        <w:t xml:space="preserve">ح </w:t>
      </w:r>
      <w:r w:rsidRPr="004B7958">
        <w:rPr>
          <w:rFonts w:ascii="Arial" w:hAnsi="Arial" w:cs="DanaFajr"/>
          <w:sz w:val="28"/>
          <w:szCs w:val="28"/>
          <w:rtl/>
        </w:rPr>
        <w:t>عهدهم، وأن يوفى لهم به ما استقاموا على العهد، فإن</w:t>
      </w:r>
      <w:r w:rsidRPr="004B7958">
        <w:rPr>
          <w:rFonts w:ascii="Arial" w:hAnsi="Arial" w:cs="DanaFajr" w:hint="cs"/>
          <w:sz w:val="28"/>
          <w:szCs w:val="28"/>
          <w:rtl/>
        </w:rPr>
        <w:t>ْ</w:t>
      </w:r>
      <w:r w:rsidRPr="004B7958">
        <w:rPr>
          <w:rFonts w:ascii="Arial" w:hAnsi="Arial" w:cs="DanaFajr"/>
          <w:sz w:val="28"/>
          <w:szCs w:val="28"/>
          <w:rtl/>
        </w:rPr>
        <w:t xml:space="preserve"> خاف منهم خيانة نبذ إليهم عهدهم</w:t>
      </w:r>
      <w:r w:rsidRPr="004B7958">
        <w:rPr>
          <w:rFonts w:ascii="Arial" w:hAnsi="Arial" w:cs="DanaFajr" w:hint="cs"/>
          <w:sz w:val="28"/>
          <w:szCs w:val="28"/>
          <w:rtl/>
          <w:lang w:bidi="ar-LB"/>
        </w:rPr>
        <w:t xml:space="preserve">، </w:t>
      </w:r>
      <w:r w:rsidRPr="004B7958">
        <w:rPr>
          <w:rFonts w:ascii="Arial" w:hAnsi="Arial" w:cs="DanaFajr"/>
          <w:sz w:val="28"/>
          <w:szCs w:val="28"/>
          <w:rtl/>
        </w:rPr>
        <w:t>ولم يقاتلهم حت</w:t>
      </w:r>
      <w:r w:rsidRPr="004B7958">
        <w:rPr>
          <w:rFonts w:ascii="Arial" w:hAnsi="Arial" w:cs="DanaFajr" w:hint="cs"/>
          <w:sz w:val="28"/>
          <w:szCs w:val="28"/>
          <w:rtl/>
        </w:rPr>
        <w:t>ّ</w:t>
      </w:r>
      <w:r w:rsidRPr="004B7958">
        <w:rPr>
          <w:rFonts w:ascii="Arial" w:hAnsi="Arial" w:cs="DanaFajr"/>
          <w:sz w:val="28"/>
          <w:szCs w:val="28"/>
          <w:rtl/>
        </w:rPr>
        <w:t>ى يعلمهم بنقض العهد، وأمر أن يقاتل م</w:t>
      </w:r>
      <w:r w:rsidRPr="004B7958">
        <w:rPr>
          <w:rFonts w:ascii="Arial" w:hAnsi="Arial" w:cs="DanaFajr" w:hint="cs"/>
          <w:sz w:val="28"/>
          <w:szCs w:val="28"/>
          <w:rtl/>
        </w:rPr>
        <w:t>َ</w:t>
      </w:r>
      <w:r w:rsidRPr="004B7958">
        <w:rPr>
          <w:rFonts w:ascii="Arial" w:hAnsi="Arial" w:cs="DanaFajr"/>
          <w:sz w:val="28"/>
          <w:szCs w:val="28"/>
          <w:rtl/>
        </w:rPr>
        <w:t>ن</w:t>
      </w:r>
      <w:r w:rsidRPr="004B7958">
        <w:rPr>
          <w:rFonts w:ascii="Arial" w:hAnsi="Arial" w:cs="DanaFajr" w:hint="cs"/>
          <w:sz w:val="28"/>
          <w:szCs w:val="28"/>
          <w:rtl/>
        </w:rPr>
        <w:t>ْ</w:t>
      </w:r>
      <w:r w:rsidRPr="004B7958">
        <w:rPr>
          <w:rFonts w:ascii="Arial" w:hAnsi="Arial" w:cs="DanaFajr"/>
          <w:sz w:val="28"/>
          <w:szCs w:val="28"/>
          <w:rtl/>
        </w:rPr>
        <w:t xml:space="preserve"> نقض عهده... ولم</w:t>
      </w:r>
      <w:r w:rsidRPr="004B7958">
        <w:rPr>
          <w:rFonts w:ascii="Arial" w:hAnsi="Arial" w:cs="DanaFajr" w:hint="cs"/>
          <w:sz w:val="28"/>
          <w:szCs w:val="28"/>
          <w:rtl/>
        </w:rPr>
        <w:t>ّ</w:t>
      </w:r>
      <w:r w:rsidRPr="004B7958">
        <w:rPr>
          <w:rFonts w:ascii="Arial" w:hAnsi="Arial" w:cs="DanaFajr"/>
          <w:sz w:val="28"/>
          <w:szCs w:val="28"/>
          <w:rtl/>
        </w:rPr>
        <w:t>ا نزلت سورة</w:t>
      </w:r>
      <w:r w:rsidRPr="004B7958">
        <w:rPr>
          <w:rFonts w:ascii="Arial" w:hAnsi="Arial" w:cs="DanaFajr"/>
          <w:sz w:val="28"/>
          <w:szCs w:val="28"/>
        </w:rPr>
        <w:t xml:space="preserve"> </w:t>
      </w:r>
      <w:r w:rsidRPr="004B7958">
        <w:rPr>
          <w:rFonts w:ascii="Arial" w:hAnsi="Arial" w:cs="DanaFajr"/>
          <w:sz w:val="28"/>
          <w:szCs w:val="28"/>
          <w:rtl/>
        </w:rPr>
        <w:t>براءة نزلت</w:t>
      </w:r>
      <w:r w:rsidRPr="00715694">
        <w:rPr>
          <w:rFonts w:ascii="Arial" w:hAnsi="Arial" w:cs="DanaFajr"/>
          <w:sz w:val="28"/>
          <w:szCs w:val="28"/>
          <w:rtl/>
        </w:rPr>
        <w:t xml:space="preserve"> </w:t>
      </w:r>
      <w:r w:rsidRPr="004B7958">
        <w:rPr>
          <w:rFonts w:ascii="Arial" w:hAnsi="Arial" w:cs="DanaFajr"/>
          <w:sz w:val="28"/>
          <w:szCs w:val="28"/>
          <w:rtl/>
        </w:rPr>
        <w:t>ببيان حكم هذه الأقسام كل</w:t>
      </w:r>
      <w:r w:rsidRPr="004B7958">
        <w:rPr>
          <w:rFonts w:ascii="Arial" w:hAnsi="Arial" w:cs="DanaFajr" w:hint="cs"/>
          <w:sz w:val="28"/>
          <w:szCs w:val="28"/>
          <w:rtl/>
        </w:rPr>
        <w:t>ّ</w:t>
      </w:r>
      <w:r w:rsidRPr="004B7958">
        <w:rPr>
          <w:rFonts w:ascii="Arial" w:hAnsi="Arial" w:cs="DanaFajr"/>
          <w:sz w:val="28"/>
          <w:szCs w:val="28"/>
          <w:rtl/>
        </w:rPr>
        <w:t>ها</w:t>
      </w:r>
      <w:r w:rsidRPr="004B7958">
        <w:rPr>
          <w:rFonts w:ascii="Arial" w:hAnsi="Arial" w:cs="DanaFajr" w:hint="cs"/>
          <w:sz w:val="28"/>
          <w:szCs w:val="28"/>
          <w:rtl/>
        </w:rPr>
        <w:t>؛</w:t>
      </w:r>
      <w:r w:rsidRPr="004B7958">
        <w:rPr>
          <w:rFonts w:ascii="Arial" w:hAnsi="Arial" w:cs="DanaFajr"/>
          <w:sz w:val="28"/>
          <w:szCs w:val="28"/>
          <w:rtl/>
        </w:rPr>
        <w:t xml:space="preserve"> فأمر أن يقاتل عدو</w:t>
      </w:r>
      <w:r w:rsidRPr="004B7958">
        <w:rPr>
          <w:rFonts w:ascii="Arial" w:hAnsi="Arial" w:cs="DanaFajr" w:hint="cs"/>
          <w:sz w:val="28"/>
          <w:szCs w:val="28"/>
          <w:rtl/>
        </w:rPr>
        <w:t>َّ</w:t>
      </w:r>
      <w:r w:rsidRPr="004B7958">
        <w:rPr>
          <w:rFonts w:ascii="Arial" w:hAnsi="Arial" w:cs="DanaFajr"/>
          <w:sz w:val="28"/>
          <w:szCs w:val="28"/>
          <w:rtl/>
        </w:rPr>
        <w:t>ه من أهل الكتاب حت</w:t>
      </w:r>
      <w:r w:rsidRPr="004B7958">
        <w:rPr>
          <w:rFonts w:ascii="Arial" w:hAnsi="Arial" w:cs="DanaFajr" w:hint="cs"/>
          <w:sz w:val="28"/>
          <w:szCs w:val="28"/>
          <w:rtl/>
        </w:rPr>
        <w:t>ّ</w:t>
      </w:r>
      <w:r w:rsidRPr="004B7958">
        <w:rPr>
          <w:rFonts w:ascii="Arial" w:hAnsi="Arial" w:cs="DanaFajr"/>
          <w:sz w:val="28"/>
          <w:szCs w:val="28"/>
          <w:rtl/>
        </w:rPr>
        <w:t>ى</w:t>
      </w:r>
      <w:r w:rsidRPr="004B7958">
        <w:rPr>
          <w:rFonts w:ascii="Arial" w:hAnsi="Arial" w:cs="DanaFajr"/>
          <w:sz w:val="28"/>
          <w:szCs w:val="28"/>
        </w:rPr>
        <w:t xml:space="preserve"> </w:t>
      </w:r>
      <w:r w:rsidRPr="004B7958">
        <w:rPr>
          <w:rFonts w:ascii="Arial" w:hAnsi="Arial" w:cs="DanaFajr"/>
          <w:sz w:val="28"/>
          <w:szCs w:val="28"/>
          <w:rtl/>
        </w:rPr>
        <w:t>ي</w:t>
      </w:r>
      <w:r w:rsidRPr="004B7958">
        <w:rPr>
          <w:rFonts w:ascii="Arial" w:hAnsi="Arial" w:cs="DanaFajr" w:hint="cs"/>
          <w:sz w:val="28"/>
          <w:szCs w:val="28"/>
          <w:rtl/>
        </w:rPr>
        <w:t>ُ</w:t>
      </w:r>
      <w:r w:rsidRPr="004B7958">
        <w:rPr>
          <w:rFonts w:ascii="Arial" w:hAnsi="Arial" w:cs="DanaFajr"/>
          <w:sz w:val="28"/>
          <w:szCs w:val="28"/>
          <w:rtl/>
        </w:rPr>
        <w:t>عطوا الجزية، أو يدخلوا في الإسلام، وأمره فيها بجهاد الكف</w:t>
      </w:r>
      <w:r w:rsidRPr="004B7958">
        <w:rPr>
          <w:rFonts w:ascii="Arial" w:hAnsi="Arial" w:cs="DanaFajr" w:hint="cs"/>
          <w:sz w:val="28"/>
          <w:szCs w:val="28"/>
          <w:rtl/>
        </w:rPr>
        <w:t>ّ</w:t>
      </w:r>
      <w:r w:rsidRPr="004B7958">
        <w:rPr>
          <w:rFonts w:ascii="Arial" w:hAnsi="Arial" w:cs="DanaFajr"/>
          <w:sz w:val="28"/>
          <w:szCs w:val="28"/>
          <w:rtl/>
        </w:rPr>
        <w:t>ار والمنافقين والغلظة</w:t>
      </w:r>
      <w:r w:rsidRPr="004B7958">
        <w:rPr>
          <w:rFonts w:ascii="Arial" w:hAnsi="Arial" w:cs="DanaFajr"/>
          <w:sz w:val="28"/>
          <w:szCs w:val="28"/>
        </w:rPr>
        <w:t xml:space="preserve"> </w:t>
      </w:r>
      <w:r w:rsidRPr="004B7958">
        <w:rPr>
          <w:rFonts w:ascii="Arial" w:hAnsi="Arial" w:cs="DanaFajr"/>
          <w:sz w:val="28"/>
          <w:szCs w:val="28"/>
          <w:rtl/>
        </w:rPr>
        <w:t>عليهم</w:t>
      </w:r>
      <w:r w:rsidRPr="004B7958">
        <w:rPr>
          <w:rFonts w:ascii="Arial" w:hAnsi="Arial" w:cs="DanaFajr" w:hint="cs"/>
          <w:sz w:val="28"/>
          <w:szCs w:val="28"/>
          <w:rtl/>
        </w:rPr>
        <w:t>،</w:t>
      </w:r>
      <w:r w:rsidRPr="004B7958">
        <w:rPr>
          <w:rFonts w:ascii="Arial" w:hAnsi="Arial" w:cs="DanaFajr"/>
          <w:sz w:val="28"/>
          <w:szCs w:val="28"/>
          <w:rtl/>
        </w:rPr>
        <w:t xml:space="preserve"> فجاهد الكفار بالسيف والسنان، والمنافقين بالحج</w:t>
      </w:r>
      <w:r w:rsidRPr="004B7958">
        <w:rPr>
          <w:rFonts w:ascii="Arial" w:hAnsi="Arial" w:cs="DanaFajr" w:hint="cs"/>
          <w:sz w:val="28"/>
          <w:szCs w:val="28"/>
          <w:rtl/>
        </w:rPr>
        <w:t>ّ</w:t>
      </w:r>
      <w:r w:rsidRPr="004B7958">
        <w:rPr>
          <w:rFonts w:ascii="Arial" w:hAnsi="Arial" w:cs="DanaFajr"/>
          <w:sz w:val="28"/>
          <w:szCs w:val="28"/>
          <w:rtl/>
        </w:rPr>
        <w:t>ة واللسان، وأمره فيها</w:t>
      </w:r>
      <w:r w:rsidRPr="004B7958">
        <w:rPr>
          <w:rFonts w:ascii="Arial" w:hAnsi="Arial" w:cs="DanaFajr"/>
          <w:sz w:val="28"/>
          <w:szCs w:val="28"/>
        </w:rPr>
        <w:t xml:space="preserve"> </w:t>
      </w:r>
      <w:r w:rsidRPr="004B7958">
        <w:rPr>
          <w:rFonts w:ascii="Arial" w:hAnsi="Arial" w:cs="DanaFajr"/>
          <w:sz w:val="28"/>
          <w:szCs w:val="28"/>
          <w:rtl/>
        </w:rPr>
        <w:t>بالبراءة من عهود الكف</w:t>
      </w:r>
      <w:r w:rsidRPr="004B7958">
        <w:rPr>
          <w:rFonts w:ascii="Arial" w:hAnsi="Arial" w:cs="DanaFajr" w:hint="cs"/>
          <w:sz w:val="28"/>
          <w:szCs w:val="28"/>
          <w:rtl/>
        </w:rPr>
        <w:t>ّ</w:t>
      </w:r>
      <w:r w:rsidRPr="004B7958">
        <w:rPr>
          <w:rFonts w:ascii="Arial" w:hAnsi="Arial" w:cs="DanaFajr"/>
          <w:sz w:val="28"/>
          <w:szCs w:val="28"/>
          <w:rtl/>
        </w:rPr>
        <w:t>ار</w:t>
      </w:r>
      <w:r w:rsidRPr="004B7958">
        <w:rPr>
          <w:rFonts w:ascii="Arial" w:hAnsi="Arial" w:cs="DanaFajr" w:hint="cs"/>
          <w:sz w:val="28"/>
          <w:szCs w:val="28"/>
          <w:rtl/>
        </w:rPr>
        <w:t>،</w:t>
      </w:r>
      <w:r w:rsidRPr="004B7958">
        <w:rPr>
          <w:rFonts w:ascii="Arial" w:hAnsi="Arial" w:cs="DanaFajr"/>
          <w:sz w:val="28"/>
          <w:szCs w:val="28"/>
          <w:rtl/>
        </w:rPr>
        <w:t xml:space="preserve"> ونبذ عهودهم إليهم... وجعل أهل العهد في ذلك ثلاثة أقسام: قسم</w:t>
      </w:r>
      <w:r w:rsidRPr="004B7958">
        <w:rPr>
          <w:rFonts w:ascii="Arial" w:hAnsi="Arial" w:cs="DanaFajr" w:hint="cs"/>
          <w:sz w:val="28"/>
          <w:szCs w:val="28"/>
          <w:rtl/>
        </w:rPr>
        <w:t>ٍ</w:t>
      </w:r>
      <w:r w:rsidRPr="004B7958">
        <w:rPr>
          <w:rFonts w:ascii="Arial" w:hAnsi="Arial" w:cs="DanaFajr"/>
          <w:sz w:val="28"/>
          <w:szCs w:val="28"/>
          <w:rtl/>
        </w:rPr>
        <w:t xml:space="preserve"> أمره بقتالهم، وهم الذين نقضوا عهده، ولم يستقيموا له، فحاربهم وظهر عليهم</w:t>
      </w:r>
      <w:r w:rsidRPr="004B7958">
        <w:rPr>
          <w:rFonts w:ascii="Arial" w:hAnsi="Arial" w:cs="DanaFajr" w:hint="cs"/>
          <w:sz w:val="28"/>
          <w:szCs w:val="28"/>
          <w:rtl/>
        </w:rPr>
        <w:t>؛</w:t>
      </w:r>
      <w:r w:rsidRPr="004B7958">
        <w:rPr>
          <w:rFonts w:ascii="Arial" w:hAnsi="Arial" w:cs="DanaFajr"/>
          <w:sz w:val="28"/>
          <w:szCs w:val="28"/>
          <w:rtl/>
        </w:rPr>
        <w:t xml:space="preserve"> وقسم</w:t>
      </w:r>
      <w:r w:rsidRPr="004B7958">
        <w:rPr>
          <w:rFonts w:ascii="Arial" w:hAnsi="Arial" w:cs="DanaFajr" w:hint="cs"/>
          <w:sz w:val="28"/>
          <w:szCs w:val="28"/>
          <w:rtl/>
        </w:rPr>
        <w:t>ٍ</w:t>
      </w:r>
      <w:r w:rsidRPr="004B7958">
        <w:rPr>
          <w:rFonts w:ascii="Arial" w:hAnsi="Arial" w:cs="DanaFajr"/>
          <w:sz w:val="28"/>
          <w:szCs w:val="28"/>
          <w:rtl/>
        </w:rPr>
        <w:t xml:space="preserve"> لهم عهد مؤق</w:t>
      </w:r>
      <w:r w:rsidRPr="004B7958">
        <w:rPr>
          <w:rFonts w:ascii="Arial" w:hAnsi="Arial" w:cs="DanaFajr" w:hint="cs"/>
          <w:sz w:val="28"/>
          <w:szCs w:val="28"/>
          <w:rtl/>
        </w:rPr>
        <w:t>َّ</w:t>
      </w:r>
      <w:r w:rsidRPr="004B7958">
        <w:rPr>
          <w:rFonts w:ascii="Arial" w:hAnsi="Arial" w:cs="DanaFajr"/>
          <w:sz w:val="28"/>
          <w:szCs w:val="28"/>
          <w:rtl/>
        </w:rPr>
        <w:t>ت لم ينقضوه ولم يظاهروا عليه، فأمره أن يتم</w:t>
      </w:r>
      <w:r w:rsidRPr="004B7958">
        <w:rPr>
          <w:rFonts w:ascii="Arial" w:hAnsi="Arial" w:cs="DanaFajr" w:hint="cs"/>
          <w:sz w:val="28"/>
          <w:szCs w:val="28"/>
          <w:rtl/>
        </w:rPr>
        <w:t>ّ</w:t>
      </w:r>
      <w:r w:rsidRPr="004B7958">
        <w:rPr>
          <w:rFonts w:ascii="Arial" w:hAnsi="Arial" w:cs="DanaFajr"/>
          <w:sz w:val="28"/>
          <w:szCs w:val="28"/>
          <w:rtl/>
        </w:rPr>
        <w:t xml:space="preserve"> لهم عهدهم إلى مد</w:t>
      </w:r>
      <w:r w:rsidRPr="004B7958">
        <w:rPr>
          <w:rFonts w:ascii="Arial" w:hAnsi="Arial" w:cs="DanaFajr" w:hint="cs"/>
          <w:sz w:val="28"/>
          <w:szCs w:val="28"/>
          <w:rtl/>
        </w:rPr>
        <w:t>َّ</w:t>
      </w:r>
      <w:r w:rsidRPr="004B7958">
        <w:rPr>
          <w:rFonts w:ascii="Arial" w:hAnsi="Arial" w:cs="DanaFajr"/>
          <w:sz w:val="28"/>
          <w:szCs w:val="28"/>
          <w:rtl/>
        </w:rPr>
        <w:t>تهم</w:t>
      </w:r>
      <w:r w:rsidRPr="004B7958">
        <w:rPr>
          <w:rFonts w:ascii="Arial" w:hAnsi="Arial" w:cs="DanaFajr" w:hint="cs"/>
          <w:sz w:val="28"/>
          <w:szCs w:val="28"/>
          <w:rtl/>
        </w:rPr>
        <w:t>؛</w:t>
      </w:r>
      <w:r w:rsidRPr="004B7958">
        <w:rPr>
          <w:rFonts w:ascii="Arial" w:hAnsi="Arial" w:cs="DanaFajr"/>
          <w:sz w:val="28"/>
          <w:szCs w:val="28"/>
          <w:rtl/>
        </w:rPr>
        <w:t xml:space="preserve"> وقسم</w:t>
      </w:r>
      <w:r w:rsidRPr="004B7958">
        <w:rPr>
          <w:rFonts w:ascii="Arial" w:hAnsi="Arial" w:cs="DanaFajr" w:hint="cs"/>
          <w:sz w:val="28"/>
          <w:szCs w:val="28"/>
          <w:rtl/>
        </w:rPr>
        <w:t>ٍ</w:t>
      </w:r>
      <w:r w:rsidRPr="004B7958">
        <w:rPr>
          <w:rFonts w:ascii="Arial" w:hAnsi="Arial" w:cs="DanaFajr"/>
          <w:sz w:val="28"/>
          <w:szCs w:val="28"/>
          <w:rtl/>
        </w:rPr>
        <w:t xml:space="preserve"> لم يكن لهم عهد</w:t>
      </w:r>
      <w:r w:rsidRPr="004B7958">
        <w:rPr>
          <w:rFonts w:ascii="Arial" w:hAnsi="Arial" w:cs="DanaFajr" w:hint="cs"/>
          <w:sz w:val="28"/>
          <w:szCs w:val="28"/>
          <w:rtl/>
        </w:rPr>
        <w:t>ٌ</w:t>
      </w:r>
      <w:r w:rsidRPr="004B7958">
        <w:rPr>
          <w:rFonts w:ascii="Arial" w:hAnsi="Arial" w:cs="DanaFajr"/>
          <w:sz w:val="28"/>
          <w:szCs w:val="28"/>
          <w:rtl/>
        </w:rPr>
        <w:t xml:space="preserve"> ولم يحاربوه، أو كان لهم عهد</w:t>
      </w:r>
      <w:r w:rsidRPr="004B7958">
        <w:rPr>
          <w:rFonts w:ascii="Arial" w:hAnsi="Arial" w:cs="DanaFajr" w:hint="cs"/>
          <w:sz w:val="28"/>
          <w:szCs w:val="28"/>
          <w:rtl/>
        </w:rPr>
        <w:t>ٌ</w:t>
      </w:r>
      <w:r w:rsidRPr="004B7958">
        <w:rPr>
          <w:rFonts w:ascii="Arial" w:hAnsi="Arial" w:cs="DanaFajr"/>
          <w:sz w:val="28"/>
          <w:szCs w:val="28"/>
          <w:rtl/>
        </w:rPr>
        <w:t xml:space="preserve"> مطلق، فأمر أن يؤج</w:t>
      </w:r>
      <w:r w:rsidRPr="004B7958">
        <w:rPr>
          <w:rFonts w:ascii="Arial" w:hAnsi="Arial" w:cs="DanaFajr" w:hint="cs"/>
          <w:sz w:val="28"/>
          <w:szCs w:val="28"/>
          <w:rtl/>
        </w:rPr>
        <w:t>ِّ</w:t>
      </w:r>
      <w:r w:rsidRPr="004B7958">
        <w:rPr>
          <w:rFonts w:ascii="Arial" w:hAnsi="Arial" w:cs="DanaFajr"/>
          <w:sz w:val="28"/>
          <w:szCs w:val="28"/>
          <w:rtl/>
        </w:rPr>
        <w:t>لهم أربعة</w:t>
      </w:r>
      <w:r w:rsidRPr="004B7958">
        <w:rPr>
          <w:rFonts w:ascii="Arial" w:hAnsi="Arial" w:cs="DanaFajr"/>
          <w:sz w:val="28"/>
          <w:szCs w:val="28"/>
        </w:rPr>
        <w:t xml:space="preserve"> </w:t>
      </w:r>
      <w:r w:rsidRPr="004B7958">
        <w:rPr>
          <w:rFonts w:ascii="Arial" w:hAnsi="Arial" w:cs="DanaFajr"/>
          <w:sz w:val="28"/>
          <w:szCs w:val="28"/>
          <w:rtl/>
        </w:rPr>
        <w:t>أشهر، فإذا انسلخت قاتلهم... فقتل الناقض لعهده، وأج</w:t>
      </w:r>
      <w:r w:rsidRPr="004B7958">
        <w:rPr>
          <w:rFonts w:ascii="Arial" w:hAnsi="Arial" w:cs="DanaFajr" w:hint="cs"/>
          <w:sz w:val="28"/>
          <w:szCs w:val="28"/>
          <w:rtl/>
        </w:rPr>
        <w:t>َّ</w:t>
      </w:r>
      <w:r w:rsidRPr="004B7958">
        <w:rPr>
          <w:rFonts w:ascii="Arial" w:hAnsi="Arial" w:cs="DanaFajr"/>
          <w:sz w:val="28"/>
          <w:szCs w:val="28"/>
          <w:rtl/>
        </w:rPr>
        <w:t>ل م</w:t>
      </w:r>
      <w:r w:rsidRPr="004B7958">
        <w:rPr>
          <w:rFonts w:ascii="Arial" w:hAnsi="Arial" w:cs="DanaFajr" w:hint="cs"/>
          <w:sz w:val="28"/>
          <w:szCs w:val="28"/>
          <w:rtl/>
        </w:rPr>
        <w:t>َ</w:t>
      </w:r>
      <w:r w:rsidRPr="004B7958">
        <w:rPr>
          <w:rFonts w:ascii="Arial" w:hAnsi="Arial" w:cs="DanaFajr"/>
          <w:sz w:val="28"/>
          <w:szCs w:val="28"/>
          <w:rtl/>
        </w:rPr>
        <w:t>ن</w:t>
      </w:r>
      <w:r w:rsidRPr="004B7958">
        <w:rPr>
          <w:rFonts w:ascii="Arial" w:hAnsi="Arial" w:cs="DanaFajr" w:hint="cs"/>
          <w:sz w:val="28"/>
          <w:szCs w:val="28"/>
          <w:rtl/>
        </w:rPr>
        <w:t>ْ</w:t>
      </w:r>
      <w:r w:rsidRPr="004B7958">
        <w:rPr>
          <w:rFonts w:ascii="Arial" w:hAnsi="Arial" w:cs="DanaFajr"/>
          <w:sz w:val="28"/>
          <w:szCs w:val="28"/>
          <w:rtl/>
        </w:rPr>
        <w:t xml:space="preserve"> لا عهد له أو له عهد</w:t>
      </w:r>
      <w:r w:rsidRPr="004B7958">
        <w:rPr>
          <w:rFonts w:ascii="Arial" w:hAnsi="Arial" w:cs="DanaFajr" w:hint="cs"/>
          <w:sz w:val="28"/>
          <w:szCs w:val="28"/>
          <w:rtl/>
        </w:rPr>
        <w:t>ٌ</w:t>
      </w:r>
      <w:r w:rsidRPr="004B7958">
        <w:rPr>
          <w:rFonts w:ascii="Arial" w:hAnsi="Arial" w:cs="DanaFajr"/>
          <w:sz w:val="28"/>
          <w:szCs w:val="28"/>
          <w:rtl/>
        </w:rPr>
        <w:t xml:space="preserve"> مطلق أربعة أشهر، وأمره أن يتم</w:t>
      </w:r>
      <w:r w:rsidRPr="004B7958">
        <w:rPr>
          <w:rFonts w:ascii="Arial" w:hAnsi="Arial" w:cs="DanaFajr" w:hint="cs"/>
          <w:sz w:val="28"/>
          <w:szCs w:val="28"/>
          <w:rtl/>
        </w:rPr>
        <w:t>ّ</w:t>
      </w:r>
      <w:r w:rsidRPr="004B7958">
        <w:rPr>
          <w:rFonts w:ascii="Arial" w:hAnsi="Arial" w:cs="DanaFajr"/>
          <w:sz w:val="28"/>
          <w:szCs w:val="28"/>
          <w:rtl/>
        </w:rPr>
        <w:t xml:space="preserve"> للموفي بعهده عهده إلى مد</w:t>
      </w:r>
      <w:r w:rsidRPr="004B7958">
        <w:rPr>
          <w:rFonts w:ascii="Arial" w:hAnsi="Arial" w:cs="DanaFajr" w:hint="cs"/>
          <w:sz w:val="28"/>
          <w:szCs w:val="28"/>
          <w:rtl/>
        </w:rPr>
        <w:t>َّ</w:t>
      </w:r>
      <w:r w:rsidRPr="004B7958">
        <w:rPr>
          <w:rFonts w:ascii="Arial" w:hAnsi="Arial" w:cs="DanaFajr"/>
          <w:sz w:val="28"/>
          <w:szCs w:val="28"/>
          <w:rtl/>
        </w:rPr>
        <w:t>ته، فأسلم هؤلاء كل</w:t>
      </w:r>
      <w:r w:rsidRPr="004B7958">
        <w:rPr>
          <w:rFonts w:ascii="Arial" w:hAnsi="Arial" w:cs="DanaFajr" w:hint="cs"/>
          <w:sz w:val="28"/>
          <w:szCs w:val="28"/>
          <w:rtl/>
        </w:rPr>
        <w:t>ّ</w:t>
      </w:r>
      <w:r w:rsidRPr="004B7958">
        <w:rPr>
          <w:rFonts w:ascii="Arial" w:hAnsi="Arial" w:cs="DanaFajr"/>
          <w:sz w:val="28"/>
          <w:szCs w:val="28"/>
          <w:rtl/>
        </w:rPr>
        <w:t>هم</w:t>
      </w:r>
      <w:r w:rsidRPr="004B7958">
        <w:rPr>
          <w:rFonts w:ascii="Arial" w:hAnsi="Arial" w:cs="DanaFajr" w:hint="cs"/>
          <w:sz w:val="28"/>
          <w:szCs w:val="28"/>
          <w:rtl/>
        </w:rPr>
        <w:t>،</w:t>
      </w:r>
      <w:r w:rsidRPr="004B7958">
        <w:rPr>
          <w:rFonts w:ascii="Arial" w:hAnsi="Arial" w:cs="DanaFajr"/>
          <w:sz w:val="28"/>
          <w:szCs w:val="28"/>
          <w:rtl/>
        </w:rPr>
        <w:t xml:space="preserve"> ولم يقيموا</w:t>
      </w:r>
      <w:r w:rsidRPr="004B7958">
        <w:rPr>
          <w:rFonts w:ascii="Arial" w:hAnsi="Arial" w:cs="DanaFajr"/>
          <w:sz w:val="28"/>
          <w:szCs w:val="28"/>
        </w:rPr>
        <w:t xml:space="preserve"> </w:t>
      </w:r>
      <w:r w:rsidRPr="004B7958">
        <w:rPr>
          <w:rFonts w:ascii="Arial" w:hAnsi="Arial" w:cs="DanaFajr"/>
          <w:sz w:val="28"/>
          <w:szCs w:val="28"/>
          <w:rtl/>
        </w:rPr>
        <w:t>على كفرهم إلى مد</w:t>
      </w:r>
      <w:r w:rsidRPr="004B7958">
        <w:rPr>
          <w:rFonts w:ascii="Arial" w:hAnsi="Arial" w:cs="DanaFajr" w:hint="cs"/>
          <w:sz w:val="28"/>
          <w:szCs w:val="28"/>
          <w:rtl/>
        </w:rPr>
        <w:t>َّ</w:t>
      </w:r>
      <w:r w:rsidRPr="004B7958">
        <w:rPr>
          <w:rFonts w:ascii="Arial" w:hAnsi="Arial" w:cs="DanaFajr"/>
          <w:sz w:val="28"/>
          <w:szCs w:val="28"/>
          <w:rtl/>
        </w:rPr>
        <w:t>تهم، وضرب على أهل الذم</w:t>
      </w:r>
      <w:r w:rsidRPr="004B7958">
        <w:rPr>
          <w:rFonts w:ascii="Arial" w:hAnsi="Arial" w:cs="DanaFajr" w:hint="cs"/>
          <w:sz w:val="28"/>
          <w:szCs w:val="28"/>
          <w:rtl/>
        </w:rPr>
        <w:t>ّ</w:t>
      </w:r>
      <w:r w:rsidRPr="004B7958">
        <w:rPr>
          <w:rFonts w:ascii="Arial" w:hAnsi="Arial" w:cs="DanaFajr"/>
          <w:sz w:val="28"/>
          <w:szCs w:val="28"/>
          <w:rtl/>
        </w:rPr>
        <w:t>ة الجزية... فاستقر</w:t>
      </w:r>
      <w:r w:rsidRPr="004B7958">
        <w:rPr>
          <w:rFonts w:ascii="Arial" w:hAnsi="Arial" w:cs="DanaFajr" w:hint="cs"/>
          <w:sz w:val="28"/>
          <w:szCs w:val="28"/>
          <w:rtl/>
        </w:rPr>
        <w:t>ّ</w:t>
      </w:r>
      <w:r w:rsidRPr="004B7958">
        <w:rPr>
          <w:rFonts w:ascii="Arial" w:hAnsi="Arial" w:cs="DanaFajr"/>
          <w:sz w:val="28"/>
          <w:szCs w:val="28"/>
          <w:rtl/>
        </w:rPr>
        <w:t xml:space="preserve"> أمر الكف</w:t>
      </w:r>
      <w:r w:rsidRPr="004B7958">
        <w:rPr>
          <w:rFonts w:ascii="Arial" w:hAnsi="Arial" w:cs="DanaFajr" w:hint="cs"/>
          <w:sz w:val="28"/>
          <w:szCs w:val="28"/>
          <w:rtl/>
        </w:rPr>
        <w:t>ّ</w:t>
      </w:r>
      <w:r w:rsidRPr="004B7958">
        <w:rPr>
          <w:rFonts w:ascii="Arial" w:hAnsi="Arial" w:cs="DanaFajr"/>
          <w:sz w:val="28"/>
          <w:szCs w:val="28"/>
          <w:rtl/>
        </w:rPr>
        <w:t>ار معه بعد نزول</w:t>
      </w:r>
      <w:r w:rsidRPr="004B7958">
        <w:rPr>
          <w:rFonts w:ascii="Arial" w:hAnsi="Arial" w:cs="DanaFajr"/>
          <w:sz w:val="28"/>
          <w:szCs w:val="28"/>
        </w:rPr>
        <w:t xml:space="preserve"> </w:t>
      </w:r>
      <w:r w:rsidRPr="004B7958">
        <w:rPr>
          <w:rFonts w:ascii="Arial" w:hAnsi="Arial" w:cs="DanaFajr"/>
          <w:sz w:val="28"/>
          <w:szCs w:val="28"/>
          <w:rtl/>
        </w:rPr>
        <w:t>براءة على ثلاثة أقسام: محاربين له</w:t>
      </w:r>
      <w:r w:rsidRPr="004B7958">
        <w:rPr>
          <w:rFonts w:ascii="Arial" w:hAnsi="Arial" w:cs="DanaFajr" w:hint="cs"/>
          <w:sz w:val="28"/>
          <w:szCs w:val="28"/>
          <w:rtl/>
        </w:rPr>
        <w:t>؛</w:t>
      </w:r>
      <w:r w:rsidRPr="004B7958">
        <w:rPr>
          <w:rFonts w:ascii="Arial" w:hAnsi="Arial" w:cs="DanaFajr"/>
          <w:sz w:val="28"/>
          <w:szCs w:val="28"/>
          <w:rtl/>
        </w:rPr>
        <w:t xml:space="preserve"> وأهل عهد</w:t>
      </w:r>
      <w:r w:rsidRPr="004B7958">
        <w:rPr>
          <w:rFonts w:ascii="Arial" w:hAnsi="Arial" w:cs="DanaFajr" w:hint="cs"/>
          <w:sz w:val="28"/>
          <w:szCs w:val="28"/>
          <w:rtl/>
        </w:rPr>
        <w:t>؛</w:t>
      </w:r>
      <w:r w:rsidRPr="004B7958">
        <w:rPr>
          <w:rFonts w:ascii="Arial" w:hAnsi="Arial" w:cs="DanaFajr"/>
          <w:sz w:val="28"/>
          <w:szCs w:val="28"/>
          <w:rtl/>
        </w:rPr>
        <w:t xml:space="preserve"> وأهل ذم</w:t>
      </w:r>
      <w:r w:rsidRPr="004B7958">
        <w:rPr>
          <w:rFonts w:ascii="Arial" w:hAnsi="Arial" w:cs="DanaFajr" w:hint="cs"/>
          <w:sz w:val="28"/>
          <w:szCs w:val="28"/>
          <w:rtl/>
        </w:rPr>
        <w:t>ّ</w:t>
      </w:r>
      <w:r w:rsidRPr="004B7958">
        <w:rPr>
          <w:rFonts w:ascii="Arial" w:hAnsi="Arial" w:cs="DanaFajr"/>
          <w:sz w:val="28"/>
          <w:szCs w:val="28"/>
          <w:rtl/>
        </w:rPr>
        <w:t>ة... ثم</w:t>
      </w:r>
      <w:r w:rsidRPr="004B7958">
        <w:rPr>
          <w:rFonts w:ascii="Arial" w:hAnsi="Arial" w:cs="DanaFajr" w:hint="cs"/>
          <w:sz w:val="28"/>
          <w:szCs w:val="28"/>
          <w:rtl/>
        </w:rPr>
        <w:t>ّ</w:t>
      </w:r>
      <w:r w:rsidRPr="004B7958">
        <w:rPr>
          <w:rFonts w:ascii="Arial" w:hAnsi="Arial" w:cs="DanaFajr"/>
          <w:sz w:val="28"/>
          <w:szCs w:val="28"/>
          <w:rtl/>
        </w:rPr>
        <w:t xml:space="preserve"> آلت حال أهل العهد</w:t>
      </w:r>
      <w:r w:rsidRPr="004B7958">
        <w:rPr>
          <w:rFonts w:ascii="Arial" w:hAnsi="Arial" w:cs="DanaFajr"/>
          <w:sz w:val="28"/>
          <w:szCs w:val="28"/>
        </w:rPr>
        <w:t xml:space="preserve"> </w:t>
      </w:r>
      <w:r w:rsidRPr="004B7958">
        <w:rPr>
          <w:rFonts w:ascii="Arial" w:hAnsi="Arial" w:cs="DanaFajr"/>
          <w:sz w:val="28"/>
          <w:szCs w:val="28"/>
          <w:rtl/>
        </w:rPr>
        <w:t>والصلح إلى الإسلام</w:t>
      </w:r>
      <w:r w:rsidRPr="004B7958">
        <w:rPr>
          <w:rFonts w:ascii="Arial" w:hAnsi="Arial" w:cs="DanaFajr" w:hint="cs"/>
          <w:sz w:val="28"/>
          <w:szCs w:val="28"/>
          <w:rtl/>
        </w:rPr>
        <w:t>،</w:t>
      </w:r>
      <w:r w:rsidRPr="004B7958">
        <w:rPr>
          <w:rFonts w:ascii="Arial" w:hAnsi="Arial" w:cs="DanaFajr"/>
          <w:sz w:val="28"/>
          <w:szCs w:val="28"/>
          <w:rtl/>
        </w:rPr>
        <w:t xml:space="preserve"> فصاروا معه قسمين: محاربين</w:t>
      </w:r>
      <w:r w:rsidRPr="004B7958">
        <w:rPr>
          <w:rFonts w:ascii="Arial" w:hAnsi="Arial" w:cs="DanaFajr" w:hint="cs"/>
          <w:sz w:val="28"/>
          <w:szCs w:val="28"/>
          <w:rtl/>
        </w:rPr>
        <w:t>؛</w:t>
      </w:r>
      <w:r w:rsidRPr="004B7958">
        <w:rPr>
          <w:rFonts w:ascii="Arial" w:hAnsi="Arial" w:cs="DanaFajr"/>
          <w:sz w:val="28"/>
          <w:szCs w:val="28"/>
          <w:rtl/>
        </w:rPr>
        <w:t xml:space="preserve"> وأهل ذم</w:t>
      </w:r>
      <w:r w:rsidRPr="004B7958">
        <w:rPr>
          <w:rFonts w:ascii="Arial" w:hAnsi="Arial" w:cs="DanaFajr" w:hint="cs"/>
          <w:sz w:val="28"/>
          <w:szCs w:val="28"/>
          <w:rtl/>
        </w:rPr>
        <w:t>ّ</w:t>
      </w:r>
      <w:r w:rsidRPr="004B7958">
        <w:rPr>
          <w:rFonts w:ascii="Arial" w:hAnsi="Arial" w:cs="DanaFajr"/>
          <w:sz w:val="28"/>
          <w:szCs w:val="28"/>
          <w:rtl/>
        </w:rPr>
        <w:t>ة</w:t>
      </w:r>
      <w:r w:rsidRPr="004B7958">
        <w:rPr>
          <w:rFonts w:ascii="Arial" w:hAnsi="Arial" w:cs="DanaFajr" w:hint="cs"/>
          <w:sz w:val="28"/>
          <w:szCs w:val="28"/>
          <w:rtl/>
        </w:rPr>
        <w:t>.</w:t>
      </w:r>
      <w:r w:rsidRPr="004B7958">
        <w:rPr>
          <w:rFonts w:ascii="Arial" w:hAnsi="Arial" w:cs="DanaFajr"/>
          <w:sz w:val="28"/>
          <w:szCs w:val="28"/>
          <w:rtl/>
        </w:rPr>
        <w:t xml:space="preserve"> والمحاربون له خائفون</w:t>
      </w:r>
      <w:r w:rsidRPr="004B7958">
        <w:rPr>
          <w:rFonts w:ascii="Arial" w:hAnsi="Arial" w:cs="DanaFajr"/>
          <w:sz w:val="28"/>
          <w:szCs w:val="28"/>
        </w:rPr>
        <w:t xml:space="preserve"> </w:t>
      </w:r>
      <w:r w:rsidRPr="004B7958">
        <w:rPr>
          <w:rFonts w:ascii="Arial" w:hAnsi="Arial" w:cs="DanaFajr"/>
          <w:sz w:val="28"/>
          <w:szCs w:val="28"/>
          <w:rtl/>
        </w:rPr>
        <w:t>منه، فصار أهل الأرض معه ثلاثة أقسام: مسلم مؤمن به، ومسالم له آمن، وخائف محارب... وأما سيرته في المنافقين فإن</w:t>
      </w:r>
      <w:r w:rsidRPr="004B7958">
        <w:rPr>
          <w:rFonts w:ascii="Arial" w:hAnsi="Arial" w:cs="DanaFajr" w:hint="cs"/>
          <w:sz w:val="28"/>
          <w:szCs w:val="28"/>
          <w:rtl/>
        </w:rPr>
        <w:t>ّ</w:t>
      </w:r>
      <w:r w:rsidRPr="004B7958">
        <w:rPr>
          <w:rFonts w:ascii="Arial" w:hAnsi="Arial" w:cs="DanaFajr"/>
          <w:sz w:val="28"/>
          <w:szCs w:val="28"/>
          <w:rtl/>
        </w:rPr>
        <w:t>ه أ</w:t>
      </w:r>
      <w:r w:rsidRPr="004B7958">
        <w:rPr>
          <w:rFonts w:ascii="Arial" w:hAnsi="Arial" w:cs="DanaFajr" w:hint="cs"/>
          <w:sz w:val="28"/>
          <w:szCs w:val="28"/>
          <w:rtl/>
        </w:rPr>
        <w:t>ُ</w:t>
      </w:r>
      <w:r w:rsidRPr="004B7958">
        <w:rPr>
          <w:rFonts w:ascii="Arial" w:hAnsi="Arial" w:cs="DanaFajr"/>
          <w:sz w:val="28"/>
          <w:szCs w:val="28"/>
          <w:rtl/>
        </w:rPr>
        <w:t>مر أن يقبل منهم علانيتهم، ويكل سرائرهم إلى الله، وأن يجاهدهم بالعلم والحج</w:t>
      </w:r>
      <w:r w:rsidRPr="004B7958">
        <w:rPr>
          <w:rFonts w:ascii="Arial" w:hAnsi="Arial" w:cs="DanaFajr" w:hint="cs"/>
          <w:sz w:val="28"/>
          <w:szCs w:val="28"/>
          <w:rtl/>
        </w:rPr>
        <w:t>ّ</w:t>
      </w:r>
      <w:r w:rsidRPr="004B7958">
        <w:rPr>
          <w:rFonts w:ascii="Arial" w:hAnsi="Arial" w:cs="DanaFajr"/>
          <w:sz w:val="28"/>
          <w:szCs w:val="28"/>
          <w:rtl/>
        </w:rPr>
        <w:t>ة، وأمر أن يعرض عنهم، ويغلظ عليهم، وأن يبلغ بالقول</w:t>
      </w:r>
      <w:r w:rsidRPr="004B7958">
        <w:rPr>
          <w:rFonts w:ascii="Arial" w:hAnsi="Arial" w:cs="DanaFajr"/>
          <w:sz w:val="28"/>
          <w:szCs w:val="28"/>
        </w:rPr>
        <w:t xml:space="preserve"> </w:t>
      </w:r>
      <w:r w:rsidRPr="004B7958">
        <w:rPr>
          <w:rFonts w:ascii="Arial" w:hAnsi="Arial" w:cs="DanaFajr"/>
          <w:sz w:val="28"/>
          <w:szCs w:val="28"/>
          <w:rtl/>
        </w:rPr>
        <w:t>البليغ إلى نفوسهم، ونهى أن يصل</w:t>
      </w:r>
      <w:r w:rsidRPr="004B7958">
        <w:rPr>
          <w:rFonts w:ascii="Arial" w:hAnsi="Arial" w:cs="DanaFajr" w:hint="cs"/>
          <w:sz w:val="28"/>
          <w:szCs w:val="28"/>
          <w:rtl/>
        </w:rPr>
        <w:t>ّ</w:t>
      </w:r>
      <w:r w:rsidRPr="004B7958">
        <w:rPr>
          <w:rFonts w:ascii="Arial" w:hAnsi="Arial" w:cs="DanaFajr"/>
          <w:sz w:val="28"/>
          <w:szCs w:val="28"/>
          <w:rtl/>
        </w:rPr>
        <w:t>ى عليهم، وأن يقوم على قبورهم، وأخبر أنه إن</w:t>
      </w:r>
      <w:r w:rsidRPr="004B7958">
        <w:rPr>
          <w:rFonts w:ascii="Arial" w:hAnsi="Arial" w:cs="DanaFajr" w:hint="cs"/>
          <w:sz w:val="28"/>
          <w:szCs w:val="28"/>
          <w:rtl/>
        </w:rPr>
        <w:t>ْ</w:t>
      </w:r>
      <w:r w:rsidRPr="004B7958">
        <w:rPr>
          <w:rFonts w:ascii="Arial" w:hAnsi="Arial" w:cs="DanaFajr"/>
          <w:sz w:val="28"/>
          <w:szCs w:val="28"/>
          <w:rtl/>
        </w:rPr>
        <w:t xml:space="preserve"> استغفر</w:t>
      </w:r>
      <w:r w:rsidRPr="004B7958">
        <w:rPr>
          <w:rFonts w:ascii="Arial" w:hAnsi="Arial" w:cs="DanaFajr"/>
          <w:sz w:val="28"/>
          <w:szCs w:val="28"/>
        </w:rPr>
        <w:t xml:space="preserve"> </w:t>
      </w:r>
      <w:r w:rsidRPr="004B7958">
        <w:rPr>
          <w:rFonts w:ascii="Arial" w:hAnsi="Arial" w:cs="DanaFajr"/>
          <w:sz w:val="28"/>
          <w:szCs w:val="28"/>
          <w:rtl/>
        </w:rPr>
        <w:t>لهم فلن يغفر الله لهم... فهذه سيرته في أعدائه من الكفار</w:t>
      </w:r>
      <w:r w:rsidRPr="004B7958">
        <w:rPr>
          <w:rFonts w:ascii="Arial" w:hAnsi="Arial" w:cs="DanaFajr" w:hint="cs"/>
          <w:sz w:val="28"/>
          <w:szCs w:val="28"/>
          <w:rtl/>
        </w:rPr>
        <w:t xml:space="preserve"> </w:t>
      </w:r>
      <w:r w:rsidRPr="004B7958">
        <w:rPr>
          <w:rFonts w:ascii="Arial" w:hAnsi="Arial" w:cs="DanaFajr"/>
          <w:sz w:val="28"/>
          <w:szCs w:val="28"/>
          <w:rtl/>
        </w:rPr>
        <w:t>والمنافقين</w:t>
      </w:r>
      <w:r w:rsidRPr="004B7958">
        <w:rPr>
          <w:rFonts w:cs="DanaFajr" w:hint="eastAsia"/>
          <w:sz w:val="27"/>
          <w:szCs w:val="27"/>
          <w:rtl/>
        </w:rPr>
        <w:t>»</w:t>
      </w:r>
      <w:r w:rsidRPr="004B7958">
        <w:rPr>
          <w:rFonts w:cs="DanaFajr" w:hint="cs"/>
          <w:sz w:val="27"/>
          <w:szCs w:val="27"/>
          <w:rtl/>
        </w:rPr>
        <w:t>.</w:t>
      </w:r>
      <w:r w:rsidRPr="004B7958">
        <w:rPr>
          <w:rFonts w:ascii="Arial" w:hAnsi="Arial" w:cs="DanaFajr" w:hint="cs"/>
          <w:sz w:val="28"/>
          <w:szCs w:val="28"/>
          <w:rtl/>
          <w:lang w:bidi="ar-LB"/>
        </w:rPr>
        <w:t xml:space="preserve"> (</w:t>
      </w:r>
      <w:r w:rsidRPr="004B7958">
        <w:rPr>
          <w:rFonts w:ascii="Arial" w:hAnsi="Arial" w:cs="DanaFajr" w:hint="cs"/>
          <w:sz w:val="28"/>
          <w:szCs w:val="28"/>
          <w:rtl/>
        </w:rPr>
        <w:t xml:space="preserve">سيد </w:t>
      </w:r>
      <w:r w:rsidRPr="004B7958">
        <w:rPr>
          <w:rFonts w:ascii="Arial" w:hAnsi="Arial" w:cs="DanaFajr"/>
          <w:sz w:val="28"/>
          <w:szCs w:val="28"/>
          <w:rtl/>
        </w:rPr>
        <w:t xml:space="preserve">قطب، </w:t>
      </w:r>
      <w:r w:rsidRPr="0094153C">
        <w:rPr>
          <w:rFonts w:ascii="Arial" w:hAnsi="Arial" w:cs="DanaFajr"/>
          <w:sz w:val="28"/>
          <w:szCs w:val="28"/>
          <w:rtl/>
        </w:rPr>
        <w:t>معالم في الطريق: 50</w:t>
      </w:r>
      <w:r w:rsidRPr="0094153C">
        <w:rPr>
          <w:rFonts w:ascii="Arial" w:hAnsi="Arial" w:cs="DanaFajr" w:hint="cs"/>
          <w:sz w:val="28"/>
          <w:szCs w:val="28"/>
          <w:rtl/>
        </w:rPr>
        <w:t>):</w:t>
      </w:r>
      <w:r w:rsidRPr="0094153C">
        <w:rPr>
          <w:rFonts w:ascii="Arial" w:hAnsi="Arial" w:cs="DanaFajr"/>
          <w:sz w:val="28"/>
          <w:szCs w:val="28"/>
          <w:rtl/>
        </w:rPr>
        <w:t xml:space="preserve"> </w:t>
      </w:r>
    </w:p>
    <w:p w:rsidR="00F41F33" w:rsidRPr="00715694" w:rsidRDefault="00F41F33" w:rsidP="00904320">
      <w:pPr>
        <w:pStyle w:val="aa"/>
        <w:tabs>
          <w:tab w:val="left" w:pos="1780"/>
          <w:tab w:val="left" w:pos="1851"/>
          <w:tab w:val="right" w:pos="7031"/>
        </w:tabs>
        <w:spacing w:line="320" w:lineRule="exact"/>
        <w:ind w:firstLine="0"/>
        <w:jc w:val="right"/>
        <w:rPr>
          <w:rFonts w:asciiTheme="majorBidi" w:hAnsiTheme="majorBidi" w:cstheme="majorBidi"/>
          <w:rtl/>
        </w:rPr>
      </w:pPr>
      <w:r w:rsidRPr="00715694">
        <w:rPr>
          <w:rFonts w:asciiTheme="majorBidi" w:hAnsiTheme="majorBidi" w:cstheme="majorBidi"/>
        </w:rPr>
        <w:t>http://www.almeshkat.net/books/open. php?book=</w:t>
      </w:r>
      <w:r w:rsidRPr="006333E0">
        <w:rPr>
          <w:rFonts w:asciiTheme="majorBidi" w:hAnsiTheme="majorBidi" w:cs="Ya-Ali"/>
        </w:rPr>
        <w:t>1832</w:t>
      </w:r>
      <w:r w:rsidRPr="00715694">
        <w:rPr>
          <w:rFonts w:asciiTheme="majorBidi" w:hAnsiTheme="majorBidi" w:cstheme="majorBidi"/>
        </w:rPr>
        <w:t>&amp;cat=</w:t>
      </w:r>
      <w:r w:rsidRPr="006333E0">
        <w:rPr>
          <w:rFonts w:asciiTheme="majorBidi" w:hAnsiTheme="majorBidi" w:cs="Ya-Ali"/>
        </w:rPr>
        <w:t>18</w:t>
      </w:r>
      <w:r w:rsidRPr="00715694">
        <w:rPr>
          <w:rFonts w:asciiTheme="majorBidi" w:hAnsiTheme="majorBidi" w:cstheme="majorBidi"/>
          <w:rtl/>
        </w:rPr>
        <w:t xml:space="preserve"> </w:t>
      </w:r>
    </w:p>
  </w:endnote>
  <w:endnote w:id="144">
    <w:p w:rsidR="00F41F33" w:rsidRPr="004B7958" w:rsidRDefault="00F41F33" w:rsidP="00904320">
      <w:pPr>
        <w:spacing w:line="320" w:lineRule="exact"/>
        <w:ind w:firstLine="0"/>
        <w:rPr>
          <w:rFonts w:ascii="Arial" w:hAnsi="Arial" w:cs="DanaFajr"/>
          <w:szCs w:val="28"/>
        </w:rPr>
      </w:pPr>
      <w:r w:rsidRPr="004B7958">
        <w:rPr>
          <w:rFonts w:ascii="Arial" w:hAnsi="Arial" w:cs="DanaFajr" w:hint="cs"/>
          <w:szCs w:val="28"/>
          <w:rtl/>
        </w:rPr>
        <w:t>(</w:t>
      </w:r>
      <w:r w:rsidRPr="004B7958">
        <w:rPr>
          <w:rStyle w:val="ac"/>
          <w:rFonts w:ascii="Arial" w:hAnsi="Arial" w:cs="DanaFajr"/>
          <w:szCs w:val="28"/>
          <w:vertAlign w:val="baseline"/>
        </w:rPr>
        <w:endnoteRef/>
      </w:r>
      <w:r w:rsidRPr="004B7958">
        <w:rPr>
          <w:rFonts w:ascii="Arial" w:hAnsi="Arial" w:cs="DanaFajr"/>
          <w:szCs w:val="28"/>
          <w:rtl/>
        </w:rPr>
        <w:t>) قال الحنابلة: إن الصلاة مقدمة على جهاد فرض العين</w:t>
      </w:r>
      <w:r w:rsidRPr="004B7958">
        <w:rPr>
          <w:rFonts w:ascii="Arial" w:hAnsi="Arial" w:cs="DanaFajr" w:hint="cs"/>
          <w:szCs w:val="28"/>
          <w:rtl/>
        </w:rPr>
        <w:t>؛</w:t>
      </w:r>
      <w:r w:rsidRPr="004B7958">
        <w:rPr>
          <w:rFonts w:ascii="Arial" w:hAnsi="Arial" w:cs="DanaFajr"/>
          <w:szCs w:val="28"/>
          <w:rtl/>
        </w:rPr>
        <w:t xml:space="preserve"> لأن الصلاة عند الحنابلة تركها يخرج من الإسلام وكفر</w:t>
      </w:r>
      <w:r w:rsidRPr="004B7958">
        <w:rPr>
          <w:rFonts w:ascii="Arial" w:hAnsi="Arial" w:cs="DanaFajr" w:hint="cs"/>
          <w:szCs w:val="28"/>
          <w:rtl/>
        </w:rPr>
        <w:t>ٌ</w:t>
      </w:r>
      <w:r w:rsidRPr="004B7958">
        <w:rPr>
          <w:rFonts w:ascii="Arial" w:hAnsi="Arial" w:cs="DanaFajr"/>
          <w:szCs w:val="28"/>
          <w:rtl/>
        </w:rPr>
        <w:t>، والجهاد تركه لا يخرج من الإسلام</w:t>
      </w:r>
      <w:r w:rsidRPr="004B7958">
        <w:rPr>
          <w:rFonts w:ascii="Arial" w:hAnsi="Arial" w:cs="DanaFajr" w:hint="cs"/>
          <w:szCs w:val="28"/>
          <w:rtl/>
        </w:rPr>
        <w:t>،</w:t>
      </w:r>
      <w:r w:rsidRPr="004B7958">
        <w:rPr>
          <w:rFonts w:ascii="Arial" w:hAnsi="Arial" w:cs="DanaFajr"/>
          <w:szCs w:val="28"/>
          <w:rtl/>
        </w:rPr>
        <w:t xml:space="preserve"> وليس كفرا</w:t>
      </w:r>
      <w:r w:rsidRPr="004B7958">
        <w:rPr>
          <w:rFonts w:ascii="Arial" w:hAnsi="Arial" w:cs="DanaFajr" w:hint="cs"/>
          <w:szCs w:val="28"/>
          <w:rtl/>
        </w:rPr>
        <w:t>ً</w:t>
      </w:r>
      <w:r w:rsidRPr="004B7958">
        <w:rPr>
          <w:rFonts w:ascii="Arial" w:hAnsi="Arial" w:cs="DanaFajr"/>
          <w:szCs w:val="28"/>
          <w:rtl/>
        </w:rPr>
        <w:t>. أما عند ال</w:t>
      </w:r>
      <w:r w:rsidRPr="004B7958">
        <w:rPr>
          <w:rFonts w:ascii="Arial" w:hAnsi="Arial" w:cs="DanaFajr" w:hint="cs"/>
          <w:szCs w:val="28"/>
          <w:rtl/>
          <w:lang w:bidi="ar-LB"/>
        </w:rPr>
        <w:t>مذاهب</w:t>
      </w:r>
      <w:r w:rsidRPr="004B7958">
        <w:rPr>
          <w:rFonts w:ascii="Arial" w:hAnsi="Arial" w:cs="DanaFajr"/>
          <w:szCs w:val="28"/>
          <w:rtl/>
        </w:rPr>
        <w:t xml:space="preserve"> الثلاثة</w:t>
      </w:r>
      <w:r w:rsidRPr="004B7958">
        <w:rPr>
          <w:rFonts w:ascii="Arial" w:hAnsi="Arial" w:cs="DanaFajr" w:hint="cs"/>
          <w:szCs w:val="28"/>
          <w:rtl/>
        </w:rPr>
        <w:t>:</w:t>
      </w:r>
      <w:r w:rsidRPr="004B7958">
        <w:rPr>
          <w:rFonts w:ascii="Arial" w:hAnsi="Arial" w:cs="DanaFajr"/>
          <w:szCs w:val="28"/>
          <w:rtl/>
        </w:rPr>
        <w:t xml:space="preserve"> المالكية والحنفية والشافعية، فإذا جاء النفير العام</w:t>
      </w:r>
      <w:r w:rsidRPr="004B7958">
        <w:rPr>
          <w:rFonts w:ascii="Arial" w:hAnsi="Arial" w:cs="DanaFajr" w:hint="cs"/>
          <w:szCs w:val="28"/>
          <w:rtl/>
        </w:rPr>
        <w:t>ّ</w:t>
      </w:r>
      <w:r w:rsidRPr="004B7958">
        <w:rPr>
          <w:rFonts w:ascii="Arial" w:hAnsi="Arial" w:cs="DanaFajr"/>
          <w:szCs w:val="28"/>
          <w:rtl/>
        </w:rPr>
        <w:t xml:space="preserve"> أو دخل الكفار أرض المسلمين فعندها لا فرق بين الصلاة وبين الجهاد، بل يقول ابن تيمية: والعدو الصائل الذي يفسد الدين والدنيا ليس أوجب بعد الإيمان من دفعه. أو</w:t>
      </w:r>
      <w:r w:rsidRPr="004B7958">
        <w:rPr>
          <w:rFonts w:ascii="Arial" w:hAnsi="Arial" w:cs="DanaFajr" w:hint="cs"/>
          <w:szCs w:val="28"/>
          <w:rtl/>
        </w:rPr>
        <w:t>ّ</w:t>
      </w:r>
      <w:r w:rsidRPr="004B7958">
        <w:rPr>
          <w:rFonts w:ascii="Arial" w:hAnsi="Arial" w:cs="DanaFajr"/>
          <w:szCs w:val="28"/>
          <w:rtl/>
        </w:rPr>
        <w:t>لا</w:t>
      </w:r>
      <w:r w:rsidRPr="004B7958">
        <w:rPr>
          <w:rFonts w:ascii="Arial" w:hAnsi="Arial" w:cs="DanaFajr" w:hint="cs"/>
          <w:szCs w:val="28"/>
          <w:rtl/>
        </w:rPr>
        <w:t>ً</w:t>
      </w:r>
      <w:r w:rsidRPr="004B7958">
        <w:rPr>
          <w:rFonts w:ascii="Arial" w:hAnsi="Arial" w:cs="DanaFajr"/>
          <w:szCs w:val="28"/>
          <w:rtl/>
        </w:rPr>
        <w:t xml:space="preserve"> الإيمان (لا إله إلا الله</w:t>
      </w:r>
      <w:r w:rsidRPr="004B7958">
        <w:rPr>
          <w:rFonts w:ascii="Arial" w:hAnsi="Arial" w:cs="DanaFajr" w:hint="cs"/>
          <w:szCs w:val="28"/>
          <w:rtl/>
        </w:rPr>
        <w:t>،</w:t>
      </w:r>
      <w:r w:rsidRPr="004B7958">
        <w:rPr>
          <w:rFonts w:ascii="Arial" w:hAnsi="Arial" w:cs="DanaFajr"/>
          <w:szCs w:val="28"/>
          <w:rtl/>
        </w:rPr>
        <w:t xml:space="preserve"> محمد رسول الله)</w:t>
      </w:r>
      <w:r w:rsidRPr="004B7958">
        <w:rPr>
          <w:rFonts w:ascii="Arial" w:hAnsi="Arial" w:cs="DanaFajr" w:hint="cs"/>
          <w:szCs w:val="28"/>
          <w:rtl/>
        </w:rPr>
        <w:t>،</w:t>
      </w:r>
      <w:r w:rsidRPr="004B7958">
        <w:rPr>
          <w:rFonts w:ascii="Arial" w:hAnsi="Arial" w:cs="DanaFajr"/>
          <w:szCs w:val="28"/>
          <w:rtl/>
        </w:rPr>
        <w:t xml:space="preserve"> ثم</w:t>
      </w:r>
      <w:r w:rsidRPr="004B7958">
        <w:rPr>
          <w:rFonts w:ascii="Arial" w:hAnsi="Arial" w:cs="DanaFajr" w:hint="cs"/>
          <w:szCs w:val="28"/>
          <w:rtl/>
        </w:rPr>
        <w:t>ّ</w:t>
      </w:r>
      <w:r w:rsidRPr="004B7958">
        <w:rPr>
          <w:rFonts w:ascii="Arial" w:hAnsi="Arial" w:cs="DanaFajr"/>
          <w:szCs w:val="28"/>
          <w:rtl/>
        </w:rPr>
        <w:t xml:space="preserve"> دفع الصائل</w:t>
      </w:r>
      <w:r w:rsidRPr="004B7958">
        <w:rPr>
          <w:rFonts w:ascii="Arial" w:hAnsi="Arial" w:cs="DanaFajr" w:hint="cs"/>
          <w:szCs w:val="28"/>
          <w:rtl/>
        </w:rPr>
        <w:t>.</w:t>
      </w:r>
      <w:r w:rsidRPr="004B7958">
        <w:rPr>
          <w:rFonts w:ascii="Arial" w:hAnsi="Arial" w:cs="DanaFajr"/>
          <w:szCs w:val="28"/>
          <w:rtl/>
        </w:rPr>
        <w:t xml:space="preserve">.. </w:t>
      </w:r>
    </w:p>
    <w:p w:rsidR="00F41F33" w:rsidRPr="004B7958" w:rsidRDefault="00F41F33" w:rsidP="00904320">
      <w:pPr>
        <w:spacing w:line="320" w:lineRule="exact"/>
        <w:ind w:firstLine="0"/>
        <w:rPr>
          <w:rFonts w:ascii="Arial" w:hAnsi="Arial" w:cs="DanaFajr"/>
          <w:szCs w:val="28"/>
          <w:rtl/>
        </w:rPr>
      </w:pPr>
      <w:r w:rsidRPr="004B7958">
        <w:rPr>
          <w:rFonts w:ascii="Arial" w:hAnsi="Arial" w:cs="DanaFajr" w:hint="cs"/>
          <w:szCs w:val="28"/>
          <w:rtl/>
        </w:rPr>
        <w:t xml:space="preserve">راجع: عبد الله </w:t>
      </w:r>
      <w:r w:rsidRPr="004B7958">
        <w:rPr>
          <w:rFonts w:ascii="Arial" w:hAnsi="Arial" w:cs="DanaFajr"/>
          <w:szCs w:val="28"/>
          <w:rtl/>
        </w:rPr>
        <w:t>عز</w:t>
      </w:r>
      <w:r w:rsidRPr="004B7958">
        <w:rPr>
          <w:rFonts w:ascii="Arial" w:hAnsi="Arial" w:cs="DanaFajr" w:hint="cs"/>
          <w:szCs w:val="28"/>
          <w:rtl/>
        </w:rPr>
        <w:t>ّ</w:t>
      </w:r>
      <w:r w:rsidRPr="004B7958">
        <w:rPr>
          <w:rFonts w:ascii="Arial" w:hAnsi="Arial" w:cs="DanaFajr"/>
          <w:szCs w:val="28"/>
          <w:rtl/>
        </w:rPr>
        <w:t>ام</w:t>
      </w:r>
      <w:r w:rsidRPr="004B7958">
        <w:rPr>
          <w:rFonts w:ascii="Arial" w:hAnsi="Arial" w:cs="DanaFajr" w:hint="cs"/>
          <w:szCs w:val="28"/>
          <w:rtl/>
        </w:rPr>
        <w:t>،</w:t>
      </w:r>
      <w:r w:rsidRPr="004B7958">
        <w:rPr>
          <w:rFonts w:ascii="Arial" w:hAnsi="Arial" w:cs="DanaFajr"/>
          <w:szCs w:val="28"/>
          <w:rtl/>
        </w:rPr>
        <w:t xml:space="preserve"> الجهاد فقه واجتهاد</w:t>
      </w:r>
      <w:r w:rsidRPr="004B7958">
        <w:rPr>
          <w:rFonts w:ascii="Arial" w:hAnsi="Arial" w:cs="DanaFajr" w:hint="cs"/>
          <w:szCs w:val="28"/>
          <w:rtl/>
        </w:rPr>
        <w:t>،</w:t>
      </w:r>
      <w:r w:rsidRPr="004B7958">
        <w:rPr>
          <w:rFonts w:ascii="Arial" w:hAnsi="Arial" w:cs="DanaFajr"/>
          <w:szCs w:val="28"/>
          <w:rtl/>
        </w:rPr>
        <w:t xml:space="preserve"> من منشورات مركز الشهيد عز</w:t>
      </w:r>
      <w:r w:rsidRPr="004B7958">
        <w:rPr>
          <w:rFonts w:ascii="Arial" w:hAnsi="Arial" w:cs="DanaFajr" w:hint="cs"/>
          <w:szCs w:val="28"/>
          <w:rtl/>
        </w:rPr>
        <w:t>ّ</w:t>
      </w:r>
      <w:r w:rsidRPr="004B7958">
        <w:rPr>
          <w:rFonts w:ascii="Arial" w:hAnsi="Arial" w:cs="DanaFajr"/>
          <w:szCs w:val="28"/>
          <w:rtl/>
        </w:rPr>
        <w:t>ام الإعلامي</w:t>
      </w:r>
      <w:r w:rsidRPr="004B7958">
        <w:rPr>
          <w:rFonts w:ascii="Arial" w:hAnsi="Arial" w:cs="DanaFajr" w:hint="cs"/>
          <w:szCs w:val="28"/>
          <w:rtl/>
        </w:rPr>
        <w:t>،</w:t>
      </w:r>
      <w:r w:rsidRPr="004B7958">
        <w:rPr>
          <w:rFonts w:ascii="Arial" w:hAnsi="Arial" w:cs="DanaFajr"/>
          <w:szCs w:val="28"/>
          <w:rtl/>
        </w:rPr>
        <w:t xml:space="preserve"> موقع منبرالتوحيد والجهاد</w:t>
      </w:r>
      <w:r w:rsidRPr="004B7958">
        <w:rPr>
          <w:rFonts w:ascii="Arial" w:hAnsi="Arial" w:cs="DanaFajr" w:hint="cs"/>
          <w:szCs w:val="28"/>
          <w:rtl/>
        </w:rPr>
        <w:t>:</w:t>
      </w:r>
      <w:r w:rsidRPr="004B7958">
        <w:rPr>
          <w:rFonts w:ascii="Arial" w:hAnsi="Arial" w:cs="DanaFajr"/>
          <w:szCs w:val="28"/>
          <w:rtl/>
        </w:rPr>
        <w:t xml:space="preserve"> </w:t>
      </w:r>
    </w:p>
    <w:p w:rsidR="00F41F33" w:rsidRPr="00715694" w:rsidRDefault="00F41F33" w:rsidP="00904320">
      <w:pPr>
        <w:pStyle w:val="aa"/>
        <w:spacing w:line="320" w:lineRule="exact"/>
        <w:ind w:firstLine="0"/>
        <w:jc w:val="right"/>
        <w:rPr>
          <w:rFonts w:asciiTheme="majorBidi" w:hAnsiTheme="majorBidi" w:cstheme="majorBidi"/>
          <w:rtl/>
        </w:rPr>
      </w:pPr>
      <w:r w:rsidRPr="00715694">
        <w:rPr>
          <w:rFonts w:asciiTheme="majorBidi" w:hAnsiTheme="majorBidi" w:cstheme="majorBidi"/>
          <w:rtl/>
        </w:rPr>
        <w:t xml:space="preserve"> </w:t>
      </w:r>
      <w:r w:rsidRPr="00715694">
        <w:rPr>
          <w:rFonts w:asciiTheme="majorBidi" w:hAnsiTheme="majorBidi" w:cstheme="majorBidi"/>
        </w:rPr>
        <w:t>http://www.tawhed.ws/dl?i=</w:t>
      </w:r>
      <w:r w:rsidRPr="006333E0">
        <w:rPr>
          <w:rFonts w:asciiTheme="majorBidi" w:hAnsiTheme="majorBidi" w:cs="Ya-Ali"/>
        </w:rPr>
        <w:t>2</w:t>
      </w:r>
      <w:r w:rsidRPr="00715694">
        <w:rPr>
          <w:rFonts w:asciiTheme="majorBidi" w:hAnsiTheme="majorBidi" w:cstheme="majorBidi"/>
        </w:rPr>
        <w:t>n</w:t>
      </w:r>
      <w:r w:rsidRPr="006333E0">
        <w:rPr>
          <w:rFonts w:asciiTheme="majorBidi" w:hAnsiTheme="majorBidi" w:cs="Ya-Ali"/>
        </w:rPr>
        <w:t>7</w:t>
      </w:r>
      <w:r w:rsidRPr="00715694">
        <w:rPr>
          <w:rFonts w:asciiTheme="majorBidi" w:hAnsiTheme="majorBidi" w:cstheme="majorBidi"/>
        </w:rPr>
        <w:t>mwhuj</w:t>
      </w:r>
    </w:p>
  </w:endnote>
  <w:endnote w:id="145">
    <w:p w:rsidR="00F41F33" w:rsidRPr="004B7958" w:rsidRDefault="00F41F33" w:rsidP="00904320">
      <w:pPr>
        <w:spacing w:line="320" w:lineRule="exact"/>
        <w:ind w:firstLine="0"/>
        <w:rPr>
          <w:rFonts w:ascii="Arial" w:hAnsi="Arial" w:cs="DanaFajr"/>
          <w:szCs w:val="28"/>
        </w:rPr>
      </w:pPr>
      <w:r w:rsidRPr="004B7958">
        <w:rPr>
          <w:rFonts w:ascii="Arial" w:hAnsi="Arial" w:cs="DanaFajr"/>
          <w:szCs w:val="28"/>
          <w:rtl/>
        </w:rPr>
        <w:t>(</w:t>
      </w:r>
      <w:r w:rsidRPr="004B7958">
        <w:rPr>
          <w:rStyle w:val="ac"/>
          <w:rFonts w:ascii="Arial" w:hAnsi="Arial" w:cs="DanaFajr"/>
          <w:szCs w:val="28"/>
          <w:vertAlign w:val="baseline"/>
        </w:rPr>
        <w:endnoteRef/>
      </w:r>
      <w:r w:rsidRPr="004B7958">
        <w:rPr>
          <w:rFonts w:ascii="Arial" w:hAnsi="Arial" w:cs="DanaFajr"/>
          <w:szCs w:val="28"/>
          <w:rtl/>
        </w:rPr>
        <w:t xml:space="preserve">) </w:t>
      </w:r>
      <w:r w:rsidRPr="004B7958">
        <w:rPr>
          <w:rFonts w:ascii="Arial" w:hAnsi="Arial" w:cs="DanaFajr" w:hint="cs"/>
          <w:szCs w:val="28"/>
          <w:rtl/>
          <w:lang w:bidi="ar-LB"/>
        </w:rPr>
        <w:t>المصدر نفسه</w:t>
      </w:r>
      <w:r w:rsidRPr="004B7958">
        <w:rPr>
          <w:rStyle w:val="bodycontent1"/>
          <w:rFonts w:ascii="Arial" w:hAnsi="Arial" w:cs="DanaFajr"/>
          <w:szCs w:val="28"/>
          <w:rtl/>
        </w:rPr>
        <w:t xml:space="preserve">. </w:t>
      </w:r>
    </w:p>
  </w:endnote>
  <w:endnote w:id="146">
    <w:p w:rsidR="00F41F33" w:rsidRPr="004B7958" w:rsidRDefault="00F41F33" w:rsidP="00904320">
      <w:pPr>
        <w:pStyle w:val="aa"/>
        <w:spacing w:line="320" w:lineRule="exact"/>
        <w:ind w:firstLine="0"/>
        <w:rPr>
          <w:rFonts w:ascii="Arial" w:hAnsi="Arial" w:cs="DanaFajr"/>
          <w:sz w:val="28"/>
          <w:szCs w:val="28"/>
        </w:rPr>
      </w:pPr>
      <w:r w:rsidRPr="004B7958">
        <w:rPr>
          <w:rFonts w:ascii="Arial" w:hAnsi="Arial" w:cs="DanaFajr"/>
          <w:sz w:val="28"/>
          <w:szCs w:val="28"/>
          <w:rtl/>
          <w:lang w:bidi="ar-LB"/>
        </w:rPr>
        <w:t>(</w:t>
      </w:r>
      <w:r w:rsidRPr="004B7958">
        <w:rPr>
          <w:rStyle w:val="ac"/>
          <w:rFonts w:ascii="Arial" w:hAnsi="Arial" w:cs="DanaFajr"/>
          <w:sz w:val="28"/>
          <w:szCs w:val="28"/>
          <w:vertAlign w:val="baseline"/>
        </w:rPr>
        <w:endnoteRef/>
      </w:r>
      <w:r w:rsidRPr="004B7958">
        <w:rPr>
          <w:rFonts w:ascii="Arial" w:hAnsi="Arial" w:cs="DanaFajr"/>
          <w:sz w:val="28"/>
          <w:szCs w:val="28"/>
          <w:rtl/>
          <w:lang w:bidi="ar-LB"/>
        </w:rPr>
        <w:t xml:space="preserve">) </w:t>
      </w:r>
      <w:r w:rsidRPr="004B7958">
        <w:rPr>
          <w:rFonts w:ascii="Arial" w:hAnsi="Arial" w:cs="DanaFajr" w:hint="cs"/>
          <w:sz w:val="28"/>
          <w:szCs w:val="28"/>
          <w:rtl/>
        </w:rPr>
        <w:t>المصدر نفسه</w:t>
      </w:r>
      <w:r w:rsidRPr="004B7958">
        <w:rPr>
          <w:rStyle w:val="bodycontent1"/>
          <w:rFonts w:ascii="Arial" w:hAnsi="Arial" w:cs="DanaFajr"/>
          <w:sz w:val="28"/>
          <w:szCs w:val="28"/>
          <w:rtl/>
        </w:rPr>
        <w:t xml:space="preserve">. </w:t>
      </w:r>
    </w:p>
  </w:endnote>
  <w:endnote w:id="147">
    <w:p w:rsidR="00F41F33" w:rsidRPr="004B7958" w:rsidRDefault="00F41F33" w:rsidP="00904320">
      <w:pPr>
        <w:spacing w:line="320" w:lineRule="exact"/>
        <w:ind w:firstLine="0"/>
        <w:rPr>
          <w:rFonts w:ascii="Arial" w:hAnsi="Arial" w:cs="DanaFajr"/>
          <w:szCs w:val="28"/>
        </w:rPr>
      </w:pPr>
      <w:r w:rsidRPr="004B7958">
        <w:rPr>
          <w:rFonts w:ascii="Arial" w:hAnsi="Arial" w:cs="DanaFajr"/>
          <w:szCs w:val="28"/>
          <w:rtl/>
          <w:lang w:bidi="ar-LB"/>
        </w:rPr>
        <w:t>(</w:t>
      </w:r>
      <w:r w:rsidRPr="004B7958">
        <w:rPr>
          <w:rStyle w:val="ac"/>
          <w:rFonts w:ascii="Arial" w:hAnsi="Arial" w:cs="DanaFajr"/>
          <w:szCs w:val="28"/>
          <w:vertAlign w:val="baseline"/>
        </w:rPr>
        <w:endnoteRef/>
      </w:r>
      <w:r w:rsidRPr="004B7958">
        <w:rPr>
          <w:rFonts w:ascii="Arial" w:hAnsi="Arial" w:cs="DanaFajr"/>
          <w:szCs w:val="28"/>
          <w:rtl/>
          <w:lang w:bidi="ar-LB"/>
        </w:rPr>
        <w:t xml:space="preserve">) </w:t>
      </w:r>
      <w:r w:rsidRPr="004B7958">
        <w:rPr>
          <w:rFonts w:ascii="Arial" w:hAnsi="Arial" w:cs="DanaFajr"/>
          <w:szCs w:val="28"/>
          <w:rtl/>
        </w:rPr>
        <w:t>ال</w:t>
      </w:r>
      <w:r w:rsidRPr="004B7958">
        <w:rPr>
          <w:rStyle w:val="bodycontent1"/>
          <w:rFonts w:ascii="Arial" w:hAnsi="Arial" w:cs="DanaFajr"/>
          <w:szCs w:val="28"/>
          <w:rtl/>
        </w:rPr>
        <w:t>م</w:t>
      </w:r>
      <w:r w:rsidRPr="004B7958">
        <w:rPr>
          <w:rStyle w:val="bodycontent1"/>
          <w:rFonts w:ascii="Arial" w:hAnsi="Arial" w:cs="DanaFajr" w:hint="cs"/>
          <w:szCs w:val="28"/>
          <w:rtl/>
        </w:rPr>
        <w:t>صدر</w:t>
      </w:r>
      <w:r w:rsidRPr="004B7958">
        <w:rPr>
          <w:rStyle w:val="bodycontent1"/>
          <w:rFonts w:ascii="Arial" w:hAnsi="Arial" w:cs="DanaFajr"/>
          <w:szCs w:val="28"/>
          <w:rtl/>
        </w:rPr>
        <w:t xml:space="preserve"> نفسه. </w:t>
      </w:r>
    </w:p>
  </w:endnote>
  <w:endnote w:id="148">
    <w:p w:rsidR="00F41F33" w:rsidRPr="004B7958" w:rsidRDefault="00F41F33" w:rsidP="00904320">
      <w:pPr>
        <w:pStyle w:val="aa"/>
        <w:spacing w:line="320" w:lineRule="exact"/>
        <w:ind w:firstLine="0"/>
        <w:rPr>
          <w:rFonts w:ascii="Arial" w:hAnsi="Arial" w:cs="DanaFajr"/>
          <w:sz w:val="28"/>
          <w:szCs w:val="28"/>
          <w:lang w:bidi="ar-LB"/>
        </w:rPr>
      </w:pPr>
      <w:r w:rsidRPr="0094153C">
        <w:rPr>
          <w:rFonts w:ascii="Arial" w:hAnsi="Arial" w:cs="DanaFajr"/>
          <w:sz w:val="28"/>
          <w:szCs w:val="28"/>
          <w:rtl/>
          <w:lang w:bidi="ar-LB"/>
        </w:rPr>
        <w:t>(</w:t>
      </w:r>
      <w:r w:rsidRPr="0094153C">
        <w:rPr>
          <w:rStyle w:val="ac"/>
          <w:rFonts w:ascii="Arial" w:hAnsi="Arial" w:cs="DanaFajr"/>
          <w:sz w:val="28"/>
          <w:szCs w:val="28"/>
          <w:vertAlign w:val="baseline"/>
        </w:rPr>
        <w:endnoteRef/>
      </w:r>
      <w:r w:rsidRPr="0094153C">
        <w:rPr>
          <w:rFonts w:ascii="Arial" w:hAnsi="Arial" w:cs="DanaFajr"/>
          <w:sz w:val="28"/>
          <w:szCs w:val="28"/>
          <w:rtl/>
          <w:lang w:bidi="ar-LB"/>
        </w:rPr>
        <w:t>) الياسق أو الياسا أو الياسه: قانون</w:t>
      </w:r>
      <w:r w:rsidRPr="0094153C">
        <w:rPr>
          <w:rFonts w:ascii="Arial" w:hAnsi="Arial" w:cs="DanaFajr" w:hint="cs"/>
          <w:sz w:val="28"/>
          <w:szCs w:val="28"/>
          <w:rtl/>
          <w:lang w:bidi="ar-LB"/>
        </w:rPr>
        <w:t>ٌ</w:t>
      </w:r>
      <w:r w:rsidRPr="0094153C">
        <w:rPr>
          <w:rFonts w:ascii="Arial" w:hAnsi="Arial" w:cs="DanaFajr"/>
          <w:sz w:val="28"/>
          <w:szCs w:val="28"/>
          <w:rtl/>
          <w:lang w:bidi="ar-LB"/>
        </w:rPr>
        <w:t xml:space="preserve"> صدر عام 1206م</w:t>
      </w:r>
      <w:r w:rsidRPr="0094153C">
        <w:rPr>
          <w:rFonts w:ascii="Arial" w:hAnsi="Arial" w:cs="DanaFajr" w:hint="cs"/>
          <w:sz w:val="28"/>
          <w:szCs w:val="28"/>
          <w:rtl/>
          <w:lang w:bidi="ar-LB"/>
        </w:rPr>
        <w:t>،</w:t>
      </w:r>
      <w:r w:rsidRPr="0094153C">
        <w:rPr>
          <w:rFonts w:ascii="Arial" w:hAnsi="Arial" w:cs="DanaFajr"/>
          <w:sz w:val="28"/>
          <w:szCs w:val="28"/>
          <w:rtl/>
          <w:lang w:bidi="ar-LB"/>
        </w:rPr>
        <w:t xml:space="preserve"> وضعه جنكيز خان</w:t>
      </w:r>
      <w:r w:rsidRPr="0094153C">
        <w:rPr>
          <w:rFonts w:ascii="Arial" w:hAnsi="Arial" w:cs="DanaFajr" w:hint="cs"/>
          <w:sz w:val="28"/>
          <w:szCs w:val="28"/>
          <w:rtl/>
          <w:lang w:bidi="ar-LB"/>
        </w:rPr>
        <w:t>،</w:t>
      </w:r>
      <w:r w:rsidRPr="0094153C">
        <w:rPr>
          <w:rFonts w:ascii="Arial" w:hAnsi="Arial" w:cs="DanaFajr"/>
          <w:sz w:val="28"/>
          <w:szCs w:val="28"/>
          <w:rtl/>
          <w:lang w:bidi="ar-LB"/>
        </w:rPr>
        <w:t xml:space="preserve"> وهو يشتمل على</w:t>
      </w:r>
      <w:r w:rsidRPr="004B7958">
        <w:rPr>
          <w:rFonts w:ascii="Arial" w:hAnsi="Arial" w:cs="DanaFajr"/>
          <w:sz w:val="28"/>
          <w:szCs w:val="28"/>
          <w:rtl/>
          <w:lang w:bidi="ar-LB"/>
        </w:rPr>
        <w:t xml:space="preserve"> جانب كبير من الأحكام التي تتعل</w:t>
      </w:r>
      <w:r w:rsidRPr="004B7958">
        <w:rPr>
          <w:rFonts w:ascii="Arial" w:hAnsi="Arial" w:cs="DanaFajr" w:hint="cs"/>
          <w:sz w:val="28"/>
          <w:szCs w:val="28"/>
          <w:rtl/>
          <w:lang w:bidi="ar-LB"/>
        </w:rPr>
        <w:t>َّ</w:t>
      </w:r>
      <w:r w:rsidRPr="004B7958">
        <w:rPr>
          <w:rFonts w:ascii="Arial" w:hAnsi="Arial" w:cs="DanaFajr"/>
          <w:sz w:val="28"/>
          <w:szCs w:val="28"/>
          <w:rtl/>
          <w:lang w:bidi="ar-LB"/>
        </w:rPr>
        <w:t xml:space="preserve">ق بالجزاء والعقاب من </w:t>
      </w:r>
      <w:r w:rsidRPr="004B7958">
        <w:rPr>
          <w:rFonts w:ascii="Arial" w:hAnsi="Arial" w:cs="DanaFajr" w:hint="cs"/>
          <w:sz w:val="28"/>
          <w:szCs w:val="28"/>
          <w:rtl/>
          <w:lang w:bidi="ar-LB"/>
        </w:rPr>
        <w:t>أ</w:t>
      </w:r>
      <w:r w:rsidRPr="004B7958">
        <w:rPr>
          <w:rFonts w:ascii="Arial" w:hAnsi="Arial" w:cs="DanaFajr"/>
          <w:sz w:val="28"/>
          <w:szCs w:val="28"/>
          <w:rtl/>
          <w:lang w:bidi="ar-LB"/>
        </w:rPr>
        <w:t xml:space="preserve">جل نشر الأمن في </w:t>
      </w:r>
      <w:r w:rsidRPr="004B7958">
        <w:rPr>
          <w:rFonts w:ascii="Arial" w:hAnsi="Arial" w:cs="DanaFajr" w:hint="cs"/>
          <w:sz w:val="28"/>
          <w:szCs w:val="28"/>
          <w:rtl/>
          <w:lang w:bidi="ar-LB"/>
        </w:rPr>
        <w:t>أ</w:t>
      </w:r>
      <w:r w:rsidRPr="004B7958">
        <w:rPr>
          <w:rFonts w:ascii="Arial" w:hAnsi="Arial" w:cs="DanaFajr"/>
          <w:sz w:val="28"/>
          <w:szCs w:val="28"/>
          <w:rtl/>
          <w:lang w:bidi="ar-LB"/>
        </w:rPr>
        <w:t>رجاء ال</w:t>
      </w:r>
      <w:r w:rsidRPr="004B7958">
        <w:rPr>
          <w:rFonts w:ascii="Arial" w:hAnsi="Arial" w:cs="DanaFajr" w:hint="cs"/>
          <w:sz w:val="28"/>
          <w:szCs w:val="28"/>
          <w:rtl/>
          <w:lang w:bidi="ar-LB"/>
        </w:rPr>
        <w:t>إ</w:t>
      </w:r>
      <w:r w:rsidRPr="004B7958">
        <w:rPr>
          <w:rFonts w:ascii="Arial" w:hAnsi="Arial" w:cs="DanaFajr"/>
          <w:sz w:val="28"/>
          <w:szCs w:val="28"/>
          <w:rtl/>
          <w:lang w:bidi="ar-LB"/>
        </w:rPr>
        <w:t xml:space="preserve">مبراطورية. استطاع جنكيز خان من خلال قانون الياسا </w:t>
      </w:r>
      <w:r w:rsidRPr="004B7958">
        <w:rPr>
          <w:rFonts w:ascii="Arial" w:hAnsi="Arial" w:cs="DanaFajr" w:hint="cs"/>
          <w:sz w:val="28"/>
          <w:szCs w:val="28"/>
          <w:rtl/>
          <w:lang w:bidi="ar-LB"/>
        </w:rPr>
        <w:t>أ</w:t>
      </w:r>
      <w:r w:rsidRPr="004B7958">
        <w:rPr>
          <w:rFonts w:ascii="Arial" w:hAnsi="Arial" w:cs="DanaFajr"/>
          <w:sz w:val="28"/>
          <w:szCs w:val="28"/>
          <w:rtl/>
          <w:lang w:bidi="ar-LB"/>
        </w:rPr>
        <w:t xml:space="preserve">ن يقضي على </w:t>
      </w:r>
      <w:r w:rsidRPr="004B7958">
        <w:rPr>
          <w:rFonts w:ascii="Arial" w:hAnsi="Arial" w:cs="DanaFajr" w:hint="cs"/>
          <w:sz w:val="28"/>
          <w:szCs w:val="28"/>
          <w:rtl/>
          <w:lang w:bidi="ar-LB"/>
        </w:rPr>
        <w:t>أ</w:t>
      </w:r>
      <w:r w:rsidRPr="004B7958">
        <w:rPr>
          <w:rFonts w:ascii="Arial" w:hAnsi="Arial" w:cs="DanaFajr"/>
          <w:sz w:val="28"/>
          <w:szCs w:val="28"/>
          <w:rtl/>
          <w:lang w:bidi="ar-LB"/>
        </w:rPr>
        <w:t xml:space="preserve">سباب الفوضى في </w:t>
      </w:r>
      <w:r w:rsidRPr="004B7958">
        <w:rPr>
          <w:rFonts w:ascii="Arial" w:hAnsi="Arial" w:cs="DanaFajr" w:hint="cs"/>
          <w:sz w:val="28"/>
          <w:szCs w:val="28"/>
          <w:rtl/>
          <w:lang w:bidi="ar-LB"/>
        </w:rPr>
        <w:t>إ</w:t>
      </w:r>
      <w:r w:rsidRPr="004B7958">
        <w:rPr>
          <w:rFonts w:ascii="Arial" w:hAnsi="Arial" w:cs="DanaFajr"/>
          <w:sz w:val="28"/>
          <w:szCs w:val="28"/>
          <w:rtl/>
          <w:lang w:bidi="ar-LB"/>
        </w:rPr>
        <w:t>مبراطوريته</w:t>
      </w:r>
      <w:r w:rsidRPr="004B7958">
        <w:rPr>
          <w:rFonts w:ascii="Arial" w:hAnsi="Arial" w:cs="DanaFajr" w:hint="cs"/>
          <w:sz w:val="28"/>
          <w:szCs w:val="28"/>
          <w:rtl/>
          <w:lang w:bidi="ar-LB"/>
        </w:rPr>
        <w:t>،</w:t>
      </w:r>
      <w:r w:rsidRPr="004B7958">
        <w:rPr>
          <w:rFonts w:ascii="Arial" w:hAnsi="Arial" w:cs="DanaFajr"/>
          <w:sz w:val="28"/>
          <w:szCs w:val="28"/>
          <w:rtl/>
          <w:lang w:bidi="ar-LB"/>
        </w:rPr>
        <w:t xml:space="preserve"> وينشر ال</w:t>
      </w:r>
      <w:r w:rsidRPr="004B7958">
        <w:rPr>
          <w:rFonts w:ascii="Arial" w:hAnsi="Arial" w:cs="DanaFajr" w:hint="cs"/>
          <w:sz w:val="28"/>
          <w:szCs w:val="28"/>
          <w:rtl/>
          <w:lang w:bidi="ar-LB"/>
        </w:rPr>
        <w:t>أ</w:t>
      </w:r>
      <w:r w:rsidRPr="004B7958">
        <w:rPr>
          <w:rFonts w:ascii="Arial" w:hAnsi="Arial" w:cs="DanaFajr"/>
          <w:sz w:val="28"/>
          <w:szCs w:val="28"/>
          <w:rtl/>
          <w:lang w:bidi="ar-LB"/>
        </w:rPr>
        <w:t>من في كاف</w:t>
      </w:r>
      <w:r w:rsidRPr="004B7958">
        <w:rPr>
          <w:rFonts w:ascii="Arial" w:hAnsi="Arial" w:cs="DanaFajr" w:hint="cs"/>
          <w:sz w:val="28"/>
          <w:szCs w:val="28"/>
          <w:rtl/>
          <w:lang w:bidi="ar-LB"/>
        </w:rPr>
        <w:t>ّ</w:t>
      </w:r>
      <w:r w:rsidRPr="004B7958">
        <w:rPr>
          <w:rFonts w:ascii="Arial" w:hAnsi="Arial" w:cs="DanaFajr"/>
          <w:sz w:val="28"/>
          <w:szCs w:val="28"/>
          <w:rtl/>
          <w:lang w:bidi="ar-LB"/>
        </w:rPr>
        <w:t>ة الأنحاء الخاضع</w:t>
      </w:r>
      <w:r w:rsidRPr="004B7958">
        <w:rPr>
          <w:rFonts w:ascii="Arial" w:hAnsi="Arial" w:cs="DanaFajr" w:hint="cs"/>
          <w:sz w:val="28"/>
          <w:szCs w:val="28"/>
          <w:rtl/>
          <w:lang w:bidi="ar-LB"/>
        </w:rPr>
        <w:t>ة</w:t>
      </w:r>
      <w:r w:rsidRPr="004B7958">
        <w:rPr>
          <w:rFonts w:ascii="Arial" w:hAnsi="Arial" w:cs="DanaFajr"/>
          <w:sz w:val="28"/>
          <w:szCs w:val="28"/>
          <w:rtl/>
          <w:lang w:bidi="ar-LB"/>
        </w:rPr>
        <w:t xml:space="preserve"> لحكمه</w:t>
      </w:r>
      <w:r w:rsidRPr="004B7958">
        <w:rPr>
          <w:rFonts w:ascii="Arial" w:hAnsi="Arial" w:cs="DanaFajr" w:hint="cs"/>
          <w:sz w:val="28"/>
          <w:szCs w:val="28"/>
          <w:rtl/>
          <w:lang w:bidi="ar-LB"/>
        </w:rPr>
        <w:t xml:space="preserve">، </w:t>
      </w:r>
      <w:r w:rsidRPr="004B7958">
        <w:rPr>
          <w:rFonts w:ascii="Arial" w:hAnsi="Arial" w:cs="DanaFajr"/>
          <w:sz w:val="28"/>
          <w:szCs w:val="28"/>
          <w:rtl/>
          <w:lang w:bidi="ar-LB"/>
        </w:rPr>
        <w:t>والممتد</w:t>
      </w:r>
      <w:r w:rsidRPr="004B7958">
        <w:rPr>
          <w:rFonts w:ascii="Arial" w:hAnsi="Arial" w:cs="DanaFajr" w:hint="cs"/>
          <w:sz w:val="28"/>
          <w:szCs w:val="28"/>
          <w:rtl/>
          <w:lang w:bidi="ar-LB"/>
        </w:rPr>
        <w:t>ّة</w:t>
      </w:r>
      <w:r w:rsidRPr="004B7958">
        <w:rPr>
          <w:rFonts w:ascii="Arial" w:hAnsi="Arial" w:cs="DanaFajr"/>
          <w:sz w:val="28"/>
          <w:szCs w:val="28"/>
          <w:rtl/>
          <w:lang w:bidi="ar-LB"/>
        </w:rPr>
        <w:t xml:space="preserve"> عبر هضبة منغوليا</w:t>
      </w:r>
      <w:r w:rsidRPr="004B7958">
        <w:rPr>
          <w:rFonts w:ascii="Arial" w:hAnsi="Arial" w:cs="DanaFajr" w:hint="cs"/>
          <w:sz w:val="28"/>
          <w:szCs w:val="28"/>
          <w:rtl/>
          <w:lang w:bidi="ar-LB"/>
        </w:rPr>
        <w:t>.</w:t>
      </w:r>
      <w:r w:rsidRPr="004B7958">
        <w:rPr>
          <w:rFonts w:ascii="Arial" w:hAnsi="Arial" w:cs="DanaFajr"/>
          <w:sz w:val="28"/>
          <w:szCs w:val="28"/>
          <w:rtl/>
          <w:lang w:bidi="ar-LB"/>
        </w:rPr>
        <w:t xml:space="preserve"> ويوضح قانون الياسا كراهية جنكيز خان للسرقة والزنا وشرب الخمر والظلم. استعمل ابن بطوطة في رحلته اسم الياسق ب</w:t>
      </w:r>
      <w:r w:rsidRPr="004B7958">
        <w:rPr>
          <w:rFonts w:ascii="Arial" w:hAnsi="Arial" w:cs="DanaFajr" w:hint="cs"/>
          <w:sz w:val="28"/>
          <w:szCs w:val="28"/>
          <w:rtl/>
          <w:lang w:bidi="ar-LB"/>
        </w:rPr>
        <w:t>َ</w:t>
      </w:r>
      <w:r w:rsidRPr="004B7958">
        <w:rPr>
          <w:rFonts w:ascii="Arial" w:hAnsi="Arial" w:cs="DanaFajr"/>
          <w:sz w:val="28"/>
          <w:szCs w:val="28"/>
          <w:rtl/>
          <w:lang w:bidi="ar-LB"/>
        </w:rPr>
        <w:t>د</w:t>
      </w:r>
      <w:r w:rsidRPr="004B7958">
        <w:rPr>
          <w:rFonts w:ascii="Arial" w:hAnsi="Arial" w:cs="DanaFajr" w:hint="cs"/>
          <w:sz w:val="28"/>
          <w:szCs w:val="28"/>
          <w:rtl/>
          <w:lang w:bidi="ar-LB"/>
        </w:rPr>
        <w:t>َ</w:t>
      </w:r>
      <w:r w:rsidRPr="004B7958">
        <w:rPr>
          <w:rFonts w:ascii="Arial" w:hAnsi="Arial" w:cs="DanaFajr"/>
          <w:sz w:val="28"/>
          <w:szCs w:val="28"/>
          <w:rtl/>
          <w:lang w:bidi="ar-LB"/>
        </w:rPr>
        <w:t>لا</w:t>
      </w:r>
      <w:r w:rsidRPr="004B7958">
        <w:rPr>
          <w:rFonts w:ascii="Arial" w:hAnsi="Arial" w:cs="DanaFajr" w:hint="cs"/>
          <w:sz w:val="28"/>
          <w:szCs w:val="28"/>
          <w:rtl/>
          <w:lang w:bidi="ar-LB"/>
        </w:rPr>
        <w:t>ً</w:t>
      </w:r>
      <w:r w:rsidRPr="004B7958">
        <w:rPr>
          <w:rFonts w:ascii="Arial" w:hAnsi="Arial" w:cs="DanaFajr"/>
          <w:sz w:val="28"/>
          <w:szCs w:val="28"/>
          <w:rtl/>
          <w:lang w:bidi="ar-LB"/>
        </w:rPr>
        <w:t xml:space="preserve"> من الياسا. </w:t>
      </w:r>
    </w:p>
    <w:p w:rsidR="00F41F33" w:rsidRPr="00715694" w:rsidRDefault="00F41F33" w:rsidP="00904320">
      <w:pPr>
        <w:pStyle w:val="aa"/>
        <w:spacing w:line="320" w:lineRule="exact"/>
        <w:ind w:firstLine="0"/>
        <w:jc w:val="right"/>
        <w:rPr>
          <w:rFonts w:asciiTheme="majorBidi" w:hAnsiTheme="majorBidi" w:cstheme="majorBidi"/>
          <w:rtl/>
        </w:rPr>
      </w:pPr>
      <w:r w:rsidRPr="00715694">
        <w:rPr>
          <w:rFonts w:asciiTheme="majorBidi" w:hAnsiTheme="majorBidi" w:cstheme="majorBidi"/>
        </w:rPr>
        <w:t>http://ar.wikipedia.org/wiki/%D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7</w:t>
      </w:r>
      <w:r w:rsidRPr="00715694">
        <w:rPr>
          <w:rFonts w:asciiTheme="majorBidi" w:hAnsiTheme="majorBidi" w:cstheme="majorBidi"/>
        </w:rPr>
        <w:t>%D</w:t>
      </w:r>
      <w:r w:rsidRPr="006333E0">
        <w:rPr>
          <w:rFonts w:asciiTheme="majorBidi" w:hAnsiTheme="majorBidi" w:cs="Ya-Ali"/>
        </w:rPr>
        <w:t>9</w:t>
      </w:r>
      <w:r w:rsidRPr="00715694">
        <w:rPr>
          <w:rFonts w:asciiTheme="majorBidi" w:hAnsiTheme="majorBidi" w:cstheme="majorBidi"/>
        </w:rPr>
        <w:t>%</w:t>
      </w:r>
      <w:r w:rsidRPr="006333E0">
        <w:rPr>
          <w:rFonts w:asciiTheme="majorBidi" w:hAnsiTheme="majorBidi" w:cs="Ya-Ali"/>
        </w:rPr>
        <w:t>84</w:t>
      </w:r>
      <w:r w:rsidRPr="00715694">
        <w:rPr>
          <w:rFonts w:asciiTheme="majorBidi" w:hAnsiTheme="majorBidi" w:cstheme="majorBidi"/>
        </w:rPr>
        <w:t>%D</w:t>
      </w:r>
      <w:r w:rsidRPr="006333E0">
        <w:rPr>
          <w:rFonts w:asciiTheme="majorBidi" w:hAnsiTheme="majorBidi" w:cs="Ya-Ali"/>
        </w:rPr>
        <w:t>9</w:t>
      </w:r>
      <w:r w:rsidRPr="00715694">
        <w:rPr>
          <w:rFonts w:asciiTheme="majorBidi" w:hAnsiTheme="majorBidi" w:cstheme="majorBidi"/>
        </w:rPr>
        <w:t>%</w:t>
      </w:r>
      <w:r w:rsidRPr="006333E0">
        <w:rPr>
          <w:rFonts w:asciiTheme="majorBidi" w:hAnsiTheme="majorBidi" w:cs="Ya-Ali"/>
        </w:rPr>
        <w:t>8</w:t>
      </w:r>
      <w:r w:rsidRPr="00715694">
        <w:rPr>
          <w:rFonts w:asciiTheme="majorBidi" w:hAnsiTheme="majorBidi" w:cstheme="majorBidi"/>
        </w:rPr>
        <w:t>A%D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7</w:t>
      </w:r>
      <w:r w:rsidRPr="00715694">
        <w:rPr>
          <w:rFonts w:asciiTheme="majorBidi" w:hAnsiTheme="majorBidi" w:cstheme="majorBidi"/>
        </w:rPr>
        <w:t>%D</w:t>
      </w:r>
      <w:r w:rsidRPr="006333E0">
        <w:rPr>
          <w:rFonts w:asciiTheme="majorBidi" w:hAnsiTheme="majorBidi" w:cs="Ya-Ali"/>
        </w:rPr>
        <w:t>8</w:t>
      </w:r>
      <w:r w:rsidRPr="00715694">
        <w:rPr>
          <w:rFonts w:asciiTheme="majorBidi" w:hAnsiTheme="majorBidi" w:cstheme="majorBidi"/>
        </w:rPr>
        <w:t>%B</w:t>
      </w:r>
      <w:r w:rsidRPr="006333E0">
        <w:rPr>
          <w:rFonts w:asciiTheme="majorBidi" w:hAnsiTheme="majorBidi" w:cs="Ya-Ali"/>
        </w:rPr>
        <w:t>3</w:t>
      </w:r>
      <w:r w:rsidRPr="00715694">
        <w:rPr>
          <w:rFonts w:asciiTheme="majorBidi" w:hAnsiTheme="majorBidi" w:cstheme="majorBidi"/>
        </w:rPr>
        <w:t>%D</w:t>
      </w:r>
      <w:r w:rsidRPr="006333E0">
        <w:rPr>
          <w:rFonts w:asciiTheme="majorBidi" w:hAnsiTheme="majorBidi" w:cs="Ya-Ali"/>
        </w:rPr>
        <w:t>8</w:t>
      </w:r>
      <w:r w:rsidRPr="00715694">
        <w:rPr>
          <w:rFonts w:asciiTheme="majorBidi" w:hAnsiTheme="majorBidi" w:cstheme="majorBidi"/>
        </w:rPr>
        <w:t>%A</w:t>
      </w:r>
      <w:r w:rsidRPr="006333E0">
        <w:rPr>
          <w:rFonts w:asciiTheme="majorBidi" w:hAnsiTheme="majorBidi" w:cs="Ya-Ali"/>
        </w:rPr>
        <w:t>7</w:t>
      </w:r>
    </w:p>
  </w:endnote>
  <w:endnote w:id="149">
    <w:p w:rsidR="00F41F33" w:rsidRPr="00155A31" w:rsidRDefault="00F41F33" w:rsidP="00904320">
      <w:pPr>
        <w:pStyle w:val="aa"/>
        <w:spacing w:line="320" w:lineRule="exact"/>
        <w:ind w:firstLine="0"/>
        <w:rPr>
          <w:rFonts w:ascii="Arial" w:hAnsi="Arial" w:cs="DanaFajr"/>
          <w:sz w:val="28"/>
          <w:szCs w:val="28"/>
          <w:lang w:bidi="ar-LB"/>
        </w:rPr>
      </w:pPr>
      <w:r w:rsidRPr="00155A31">
        <w:rPr>
          <w:rFonts w:ascii="Arial" w:hAnsi="Arial" w:cs="DanaFajr"/>
          <w:sz w:val="28"/>
          <w:szCs w:val="28"/>
          <w:rtl/>
          <w:lang w:bidi="ar-LB"/>
        </w:rPr>
        <w:t>(</w:t>
      </w:r>
      <w:r w:rsidRPr="00155A31">
        <w:rPr>
          <w:rStyle w:val="ac"/>
          <w:rFonts w:ascii="Arial" w:hAnsi="Arial" w:cs="DanaFajr"/>
          <w:sz w:val="28"/>
          <w:szCs w:val="28"/>
          <w:vertAlign w:val="baseline"/>
        </w:rPr>
        <w:endnoteRef/>
      </w:r>
      <w:r w:rsidRPr="00155A31">
        <w:rPr>
          <w:rFonts w:ascii="Arial" w:hAnsi="Arial" w:cs="DanaFajr"/>
          <w:sz w:val="28"/>
          <w:szCs w:val="28"/>
          <w:rtl/>
          <w:lang w:bidi="ar-LB"/>
        </w:rPr>
        <w:t>)</w:t>
      </w:r>
      <w:r w:rsidRPr="00155A31">
        <w:rPr>
          <w:rFonts w:ascii="Arial" w:hAnsi="Arial" w:cs="DanaFajr" w:hint="cs"/>
          <w:sz w:val="28"/>
          <w:szCs w:val="28"/>
          <w:rtl/>
          <w:lang w:bidi="ar-LB"/>
        </w:rPr>
        <w:t xml:space="preserve"> </w:t>
      </w:r>
      <w:r w:rsidRPr="00155A31">
        <w:rPr>
          <w:rFonts w:ascii="Arial" w:hAnsi="Arial" w:cs="DanaFajr"/>
          <w:sz w:val="28"/>
          <w:szCs w:val="28"/>
          <w:rtl/>
          <w:lang w:bidi="ar-LB"/>
        </w:rPr>
        <w:t>ضياء الدين القدسي</w:t>
      </w:r>
      <w:r w:rsidRPr="00155A31">
        <w:rPr>
          <w:rFonts w:ascii="Arial" w:hAnsi="Arial" w:cs="DanaFajr" w:hint="cs"/>
          <w:sz w:val="28"/>
          <w:szCs w:val="28"/>
          <w:rtl/>
          <w:lang w:bidi="ar-LB"/>
        </w:rPr>
        <w:t>،</w:t>
      </w:r>
      <w:r w:rsidRPr="00155A31">
        <w:rPr>
          <w:rFonts w:ascii="Arial" w:hAnsi="Arial" w:cs="DanaFajr"/>
          <w:sz w:val="28"/>
          <w:szCs w:val="28"/>
          <w:rtl/>
          <w:lang w:bidi="ar-LB"/>
        </w:rPr>
        <w:t xml:space="preserve"> الياسق العصري</w:t>
      </w:r>
      <w:r w:rsidRPr="00155A31">
        <w:rPr>
          <w:rFonts w:ascii="Arial" w:hAnsi="Arial" w:cs="DanaFajr" w:hint="cs"/>
          <w:sz w:val="28"/>
          <w:szCs w:val="28"/>
          <w:rtl/>
          <w:lang w:bidi="ar-LB"/>
        </w:rPr>
        <w:t>: 18،</w:t>
      </w:r>
      <w:r w:rsidRPr="00155A31">
        <w:rPr>
          <w:rFonts w:ascii="Arial" w:hAnsi="Arial" w:cs="DanaFajr"/>
          <w:sz w:val="28"/>
          <w:szCs w:val="28"/>
          <w:rtl/>
          <w:lang w:bidi="ar-LB"/>
        </w:rPr>
        <w:t xml:space="preserve"> دار الحق</w:t>
      </w:r>
      <w:r w:rsidRPr="00155A31">
        <w:rPr>
          <w:rFonts w:ascii="Arial" w:hAnsi="Arial" w:cs="DanaFajr" w:hint="cs"/>
          <w:sz w:val="28"/>
          <w:szCs w:val="28"/>
          <w:rtl/>
          <w:lang w:bidi="ar-LB"/>
        </w:rPr>
        <w:t>ّ</w:t>
      </w:r>
      <w:r w:rsidRPr="00155A31">
        <w:rPr>
          <w:rFonts w:ascii="Arial" w:hAnsi="Arial" w:cs="DanaFajr"/>
          <w:sz w:val="28"/>
          <w:szCs w:val="28"/>
          <w:rtl/>
          <w:lang w:bidi="ar-LB"/>
        </w:rPr>
        <w:t xml:space="preserve"> للنشر. </w:t>
      </w:r>
    </w:p>
    <w:p w:rsidR="00F41F33" w:rsidRPr="00715694" w:rsidRDefault="00F41F33" w:rsidP="00904320">
      <w:pPr>
        <w:pStyle w:val="aa"/>
        <w:spacing w:line="320" w:lineRule="exact"/>
        <w:ind w:firstLine="0"/>
        <w:jc w:val="right"/>
        <w:rPr>
          <w:rFonts w:asciiTheme="majorBidi" w:hAnsiTheme="majorBidi" w:cstheme="majorBidi"/>
          <w:rtl/>
        </w:rPr>
      </w:pPr>
      <w:r w:rsidRPr="00715694">
        <w:rPr>
          <w:rFonts w:asciiTheme="majorBidi" w:hAnsiTheme="majorBidi" w:cstheme="majorBidi"/>
        </w:rPr>
        <w:t>http://www.haqyayinlari.com/ar/books/ebook/alyaasaq.doc</w:t>
      </w:r>
      <w:r w:rsidRPr="00715694">
        <w:rPr>
          <w:rFonts w:asciiTheme="majorBidi" w:hAnsiTheme="majorBidi" w:cstheme="majorBidi"/>
          <w:rtl/>
        </w:rPr>
        <w:t xml:space="preserve"> </w:t>
      </w:r>
    </w:p>
  </w:endnote>
  <w:endnote w:id="150">
    <w:p w:rsidR="00F41F33" w:rsidRPr="004B7958" w:rsidRDefault="00F41F33" w:rsidP="00904320">
      <w:pPr>
        <w:spacing w:line="320" w:lineRule="exact"/>
        <w:ind w:firstLine="0"/>
        <w:rPr>
          <w:rFonts w:ascii="Arial" w:hAnsi="Arial" w:cs="DanaFajr"/>
          <w:szCs w:val="28"/>
          <w:rtl/>
        </w:rPr>
      </w:pPr>
      <w:r w:rsidRPr="004B7958">
        <w:rPr>
          <w:rFonts w:ascii="Arial" w:hAnsi="Arial" w:cs="DanaFajr"/>
          <w:szCs w:val="28"/>
          <w:rtl/>
        </w:rPr>
        <w:t>(</w:t>
      </w:r>
      <w:r w:rsidRPr="004B7958">
        <w:rPr>
          <w:rStyle w:val="ac"/>
          <w:rFonts w:ascii="Arial" w:hAnsi="Arial" w:cs="DanaFajr"/>
          <w:szCs w:val="28"/>
          <w:vertAlign w:val="baseline"/>
        </w:rPr>
        <w:endnoteRef/>
      </w:r>
      <w:r w:rsidRPr="004B7958">
        <w:rPr>
          <w:rFonts w:ascii="Arial" w:hAnsi="Arial" w:cs="DanaFajr"/>
          <w:szCs w:val="28"/>
          <w:rtl/>
        </w:rPr>
        <w:t>) المهندس محمد عبد السلام فرج كان له الدور البارز في الإعداد لاغتيال الرئيس المصري السابق أنور السادات. تم</w:t>
      </w:r>
      <w:r w:rsidRPr="004B7958">
        <w:rPr>
          <w:rFonts w:ascii="Arial" w:hAnsi="Arial" w:cs="DanaFajr" w:hint="cs"/>
          <w:szCs w:val="28"/>
          <w:rtl/>
          <w:lang w:bidi="ar-LB"/>
        </w:rPr>
        <w:t>ّ</w:t>
      </w:r>
      <w:r w:rsidRPr="004B7958">
        <w:rPr>
          <w:rFonts w:ascii="Arial" w:hAnsi="Arial" w:cs="DanaFajr"/>
          <w:szCs w:val="28"/>
          <w:rtl/>
        </w:rPr>
        <w:t xml:space="preserve"> إعدامه في قضية الاغتيال مع خالد الإسلامبولي. وقد كتب محمد عبد </w:t>
      </w:r>
      <w:r w:rsidRPr="00155A31">
        <w:rPr>
          <w:rFonts w:ascii="Arial" w:hAnsi="Arial" w:cs="DanaFajr"/>
          <w:szCs w:val="28"/>
          <w:rtl/>
        </w:rPr>
        <w:t xml:space="preserve">السلام </w:t>
      </w:r>
      <w:r w:rsidRPr="00155A31">
        <w:rPr>
          <w:rFonts w:ascii="Arial" w:hAnsi="Arial" w:cs="DanaFajr" w:hint="cs"/>
          <w:szCs w:val="28"/>
          <w:rtl/>
        </w:rPr>
        <w:t>(</w:t>
      </w:r>
      <w:r w:rsidRPr="00155A31">
        <w:rPr>
          <w:rFonts w:ascii="Arial" w:hAnsi="Arial" w:cs="DanaFajr"/>
          <w:szCs w:val="28"/>
          <w:rtl/>
        </w:rPr>
        <w:t>الفريضة الغائبة</w:t>
      </w:r>
      <w:r w:rsidRPr="00155A31">
        <w:rPr>
          <w:rFonts w:ascii="Arial" w:hAnsi="Arial" w:cs="DanaFajr" w:hint="cs"/>
          <w:szCs w:val="28"/>
          <w:rtl/>
        </w:rPr>
        <w:t>)</w:t>
      </w:r>
      <w:r w:rsidRPr="00155A31">
        <w:rPr>
          <w:rFonts w:ascii="Arial" w:hAnsi="Arial" w:cs="DanaFajr"/>
          <w:szCs w:val="28"/>
          <w:rtl/>
        </w:rPr>
        <w:t xml:space="preserve"> عام 1981. </w:t>
      </w:r>
      <w:r w:rsidRPr="00155A31">
        <w:rPr>
          <w:rFonts w:ascii="Arial" w:hAnsi="Arial" w:cs="DanaFajr" w:hint="cs"/>
          <w:szCs w:val="28"/>
          <w:rtl/>
          <w:lang w:bidi="ar-LB"/>
        </w:rPr>
        <w:t>(</w:t>
      </w:r>
      <w:r w:rsidRPr="00155A31">
        <w:rPr>
          <w:rFonts w:ascii="Arial" w:hAnsi="Arial" w:cs="DanaFajr" w:hint="cs"/>
          <w:szCs w:val="28"/>
          <w:rtl/>
        </w:rPr>
        <w:t>راجع:</w:t>
      </w:r>
      <w:r w:rsidRPr="00155A31">
        <w:rPr>
          <w:rFonts w:ascii="Arial" w:hAnsi="Arial" w:cs="DanaFajr"/>
          <w:szCs w:val="28"/>
          <w:rtl/>
        </w:rPr>
        <w:t xml:space="preserve"> موقع منبر</w:t>
      </w:r>
      <w:r w:rsidRPr="00155A31">
        <w:rPr>
          <w:rFonts w:ascii="Arial" w:hAnsi="Arial" w:cs="DanaFajr" w:hint="cs"/>
          <w:szCs w:val="28"/>
          <w:rtl/>
        </w:rPr>
        <w:t xml:space="preserve"> </w:t>
      </w:r>
      <w:r w:rsidRPr="00155A31">
        <w:rPr>
          <w:rFonts w:ascii="Arial" w:hAnsi="Arial" w:cs="DanaFajr"/>
          <w:szCs w:val="28"/>
          <w:rtl/>
        </w:rPr>
        <w:t>التوحيد والجهاد قبل مقدمة كتاب</w:t>
      </w:r>
      <w:r w:rsidRPr="004B7958">
        <w:rPr>
          <w:rFonts w:ascii="Arial" w:hAnsi="Arial" w:cs="DanaFajr"/>
          <w:szCs w:val="28"/>
          <w:rtl/>
        </w:rPr>
        <w:t xml:space="preserve"> الفريضة الغائبة</w:t>
      </w:r>
      <w:r w:rsidRPr="004B7958">
        <w:rPr>
          <w:rFonts w:ascii="Arial" w:hAnsi="Arial" w:cs="DanaFajr" w:hint="cs"/>
          <w:szCs w:val="28"/>
          <w:rtl/>
        </w:rPr>
        <w:t>)</w:t>
      </w:r>
      <w:r w:rsidRPr="004B7958">
        <w:rPr>
          <w:rFonts w:ascii="Arial" w:hAnsi="Arial" w:cs="DanaFajr"/>
          <w:szCs w:val="28"/>
          <w:rtl/>
        </w:rPr>
        <w:t xml:space="preserve">. </w:t>
      </w:r>
    </w:p>
  </w:endnote>
  <w:endnote w:id="151">
    <w:p w:rsidR="00F41F33" w:rsidRPr="00155A31" w:rsidRDefault="00F41F33" w:rsidP="00904320">
      <w:pPr>
        <w:spacing w:line="320" w:lineRule="exact"/>
        <w:ind w:firstLine="0"/>
        <w:rPr>
          <w:rFonts w:ascii="Arial" w:hAnsi="Arial" w:cs="DanaFajr"/>
          <w:szCs w:val="28"/>
          <w:rtl/>
        </w:rPr>
      </w:pPr>
      <w:r w:rsidRPr="00155A31">
        <w:rPr>
          <w:rFonts w:ascii="Arial" w:hAnsi="Arial" w:cs="DanaFajr"/>
          <w:szCs w:val="28"/>
          <w:rtl/>
        </w:rPr>
        <w:t>(</w:t>
      </w:r>
      <w:r w:rsidRPr="00155A31">
        <w:rPr>
          <w:rStyle w:val="ac"/>
          <w:rFonts w:ascii="Arial" w:hAnsi="Arial" w:cs="DanaFajr"/>
          <w:szCs w:val="28"/>
          <w:vertAlign w:val="baseline"/>
        </w:rPr>
        <w:endnoteRef/>
      </w:r>
      <w:r w:rsidRPr="00155A31">
        <w:rPr>
          <w:rFonts w:ascii="Arial" w:hAnsi="Arial" w:cs="DanaFajr"/>
          <w:szCs w:val="28"/>
          <w:rtl/>
        </w:rPr>
        <w:t>)</w:t>
      </w:r>
      <w:r w:rsidRPr="00155A31">
        <w:rPr>
          <w:rFonts w:ascii="Arial" w:hAnsi="Arial" w:cs="DanaFajr" w:hint="cs"/>
          <w:szCs w:val="28"/>
          <w:rtl/>
        </w:rPr>
        <w:t xml:space="preserve"> </w:t>
      </w:r>
      <w:r w:rsidRPr="00155A31">
        <w:rPr>
          <w:rFonts w:ascii="Arial" w:hAnsi="Arial" w:cs="DanaFajr"/>
          <w:szCs w:val="28"/>
          <w:rtl/>
        </w:rPr>
        <w:t>الفتاوى الكبرى</w:t>
      </w:r>
      <w:r w:rsidRPr="00155A31">
        <w:rPr>
          <w:rFonts w:ascii="Arial" w:hAnsi="Arial" w:cs="DanaFajr" w:hint="cs"/>
          <w:szCs w:val="28"/>
          <w:rtl/>
        </w:rPr>
        <w:t>:</w:t>
      </w:r>
      <w:r w:rsidRPr="00155A31">
        <w:rPr>
          <w:rFonts w:ascii="Arial" w:hAnsi="Arial" w:cs="DanaFajr"/>
          <w:szCs w:val="28"/>
          <w:rtl/>
        </w:rPr>
        <w:t xml:space="preserve"> 280 ـ 281</w:t>
      </w:r>
      <w:r w:rsidRPr="00155A31">
        <w:rPr>
          <w:rFonts w:ascii="Arial" w:hAnsi="Arial" w:cs="DanaFajr" w:hint="cs"/>
          <w:szCs w:val="28"/>
          <w:rtl/>
        </w:rPr>
        <w:t>،</w:t>
      </w:r>
      <w:r w:rsidRPr="00155A31">
        <w:rPr>
          <w:rFonts w:ascii="Arial" w:hAnsi="Arial" w:cs="DanaFajr"/>
          <w:szCs w:val="28"/>
          <w:rtl/>
        </w:rPr>
        <w:t xml:space="preserve"> </w:t>
      </w:r>
      <w:r w:rsidRPr="00155A31">
        <w:rPr>
          <w:rFonts w:ascii="Arial" w:hAnsi="Arial" w:cs="DanaFajr" w:hint="cs"/>
          <w:szCs w:val="28"/>
          <w:rtl/>
        </w:rPr>
        <w:t>(</w:t>
      </w:r>
      <w:r w:rsidRPr="00155A31">
        <w:rPr>
          <w:rFonts w:ascii="Arial" w:hAnsi="Arial" w:cs="DanaFajr"/>
          <w:szCs w:val="28"/>
          <w:rtl/>
        </w:rPr>
        <w:t xml:space="preserve">مسألة 516). </w:t>
      </w:r>
    </w:p>
  </w:endnote>
  <w:endnote w:id="152">
    <w:p w:rsidR="00F41F33" w:rsidRPr="00155A31" w:rsidRDefault="00F41F33" w:rsidP="00904320">
      <w:pPr>
        <w:spacing w:line="320" w:lineRule="exact"/>
        <w:ind w:firstLine="0"/>
        <w:rPr>
          <w:rFonts w:ascii="Arial" w:hAnsi="Arial" w:cs="DanaFajr"/>
          <w:szCs w:val="28"/>
        </w:rPr>
      </w:pPr>
      <w:r w:rsidRPr="00155A31">
        <w:rPr>
          <w:rFonts w:ascii="Arial" w:hAnsi="Arial" w:cs="DanaFajr"/>
          <w:szCs w:val="28"/>
          <w:rtl/>
          <w:lang w:bidi="ar-LB"/>
        </w:rPr>
        <w:t>(</w:t>
      </w:r>
      <w:r w:rsidRPr="00155A31">
        <w:rPr>
          <w:rStyle w:val="ac"/>
          <w:rFonts w:ascii="Arial" w:hAnsi="Arial" w:cs="DanaFajr"/>
          <w:szCs w:val="28"/>
          <w:vertAlign w:val="baseline"/>
        </w:rPr>
        <w:endnoteRef/>
      </w:r>
      <w:r w:rsidRPr="00155A31">
        <w:rPr>
          <w:rFonts w:ascii="Arial" w:hAnsi="Arial" w:cs="DanaFajr"/>
          <w:szCs w:val="28"/>
          <w:rtl/>
          <w:lang w:bidi="ar-LB"/>
        </w:rPr>
        <w:t>)</w:t>
      </w:r>
      <w:r w:rsidRPr="00155A31">
        <w:rPr>
          <w:rFonts w:ascii="Arial" w:hAnsi="Arial" w:cs="DanaFajr" w:hint="cs"/>
          <w:szCs w:val="28"/>
          <w:rtl/>
        </w:rPr>
        <w:t xml:space="preserve"> </w:t>
      </w:r>
      <w:r w:rsidRPr="00155A31">
        <w:rPr>
          <w:rFonts w:ascii="Arial" w:hAnsi="Arial" w:cs="DanaFajr"/>
          <w:szCs w:val="28"/>
          <w:rtl/>
        </w:rPr>
        <w:t>الفتاوى</w:t>
      </w:r>
      <w:r w:rsidRPr="00155A31">
        <w:rPr>
          <w:rFonts w:ascii="Arial" w:hAnsi="Arial" w:cs="DanaFajr" w:hint="cs"/>
          <w:szCs w:val="28"/>
          <w:rtl/>
        </w:rPr>
        <w:t xml:space="preserve"> الكبرى:</w:t>
      </w:r>
      <w:r w:rsidRPr="00155A31">
        <w:rPr>
          <w:rFonts w:ascii="Arial" w:hAnsi="Arial" w:cs="DanaFajr"/>
          <w:szCs w:val="28"/>
          <w:rtl/>
        </w:rPr>
        <w:t xml:space="preserve"> 286</w:t>
      </w:r>
      <w:r w:rsidRPr="00155A31">
        <w:rPr>
          <w:rFonts w:ascii="Arial" w:hAnsi="Arial" w:cs="DanaFajr" w:hint="cs"/>
          <w:szCs w:val="28"/>
          <w:rtl/>
        </w:rPr>
        <w:t>.</w:t>
      </w:r>
    </w:p>
  </w:endnote>
  <w:endnote w:id="153">
    <w:p w:rsidR="00F41F33" w:rsidRPr="00155A31" w:rsidRDefault="00F41F33" w:rsidP="00904320">
      <w:pPr>
        <w:spacing w:line="320" w:lineRule="exact"/>
        <w:ind w:firstLine="0"/>
        <w:rPr>
          <w:rFonts w:ascii="Arial" w:hAnsi="Arial" w:cs="DanaFajr"/>
          <w:szCs w:val="28"/>
          <w:rtl/>
        </w:rPr>
      </w:pPr>
      <w:r w:rsidRPr="00155A31">
        <w:rPr>
          <w:rFonts w:ascii="Arial" w:hAnsi="Arial" w:cs="DanaFajr"/>
          <w:szCs w:val="28"/>
          <w:rtl/>
          <w:lang w:bidi="ar-LB"/>
        </w:rPr>
        <w:t>(</w:t>
      </w:r>
      <w:r w:rsidRPr="00155A31">
        <w:rPr>
          <w:rStyle w:val="ac"/>
          <w:rFonts w:ascii="Arial" w:hAnsi="Arial" w:cs="DanaFajr"/>
          <w:szCs w:val="28"/>
          <w:vertAlign w:val="baseline"/>
        </w:rPr>
        <w:endnoteRef/>
      </w:r>
      <w:r w:rsidRPr="00155A31">
        <w:rPr>
          <w:rFonts w:ascii="Arial" w:hAnsi="Arial" w:cs="DanaFajr"/>
          <w:szCs w:val="28"/>
          <w:rtl/>
          <w:lang w:bidi="ar-LB"/>
        </w:rPr>
        <w:t>)</w:t>
      </w:r>
      <w:r w:rsidRPr="00155A31">
        <w:rPr>
          <w:rFonts w:ascii="Arial" w:hAnsi="Arial" w:cs="DanaFajr" w:hint="cs"/>
          <w:szCs w:val="28"/>
          <w:rtl/>
        </w:rPr>
        <w:t xml:space="preserve"> </w:t>
      </w:r>
      <w:r w:rsidRPr="00155A31">
        <w:rPr>
          <w:rFonts w:ascii="Arial" w:hAnsi="Arial" w:cs="DanaFajr"/>
          <w:szCs w:val="28"/>
          <w:rtl/>
        </w:rPr>
        <w:t>محمد عبد السلام فرج</w:t>
      </w:r>
      <w:r w:rsidRPr="00155A31">
        <w:rPr>
          <w:rFonts w:ascii="Arial" w:hAnsi="Arial" w:cs="DanaFajr" w:hint="cs"/>
          <w:szCs w:val="28"/>
          <w:rtl/>
        </w:rPr>
        <w:t>،</w:t>
      </w:r>
      <w:r w:rsidRPr="00155A31">
        <w:rPr>
          <w:rFonts w:ascii="Arial" w:hAnsi="Arial" w:cs="DanaFajr"/>
          <w:szCs w:val="28"/>
          <w:rtl/>
        </w:rPr>
        <w:t xml:space="preserve"> الفريضة الغائبة: 7؛ موقع منبر</w:t>
      </w:r>
      <w:r w:rsidRPr="00155A31">
        <w:rPr>
          <w:rFonts w:ascii="Arial" w:hAnsi="Arial" w:cs="DanaFajr" w:hint="cs"/>
          <w:szCs w:val="28"/>
          <w:rtl/>
        </w:rPr>
        <w:t xml:space="preserve"> </w:t>
      </w:r>
      <w:r w:rsidRPr="00155A31">
        <w:rPr>
          <w:rFonts w:ascii="Arial" w:hAnsi="Arial" w:cs="DanaFajr"/>
          <w:szCs w:val="28"/>
          <w:rtl/>
        </w:rPr>
        <w:t>التوحيد والجهاد</w:t>
      </w:r>
      <w:r w:rsidRPr="00155A31">
        <w:rPr>
          <w:rFonts w:ascii="Arial" w:hAnsi="Arial" w:cs="DanaFajr" w:hint="cs"/>
          <w:szCs w:val="28"/>
          <w:rtl/>
        </w:rPr>
        <w:t>:</w:t>
      </w:r>
    </w:p>
    <w:p w:rsidR="00F41F33" w:rsidRPr="00715694" w:rsidRDefault="00F41F33" w:rsidP="00904320">
      <w:pPr>
        <w:spacing w:line="320" w:lineRule="exact"/>
        <w:ind w:firstLine="0"/>
        <w:jc w:val="right"/>
        <w:rPr>
          <w:rFonts w:asciiTheme="majorBidi" w:hAnsiTheme="majorBidi" w:cstheme="majorBidi"/>
          <w:sz w:val="20"/>
          <w:szCs w:val="20"/>
        </w:rPr>
      </w:pPr>
      <w:r w:rsidRPr="00715694">
        <w:rPr>
          <w:rFonts w:asciiTheme="majorBidi" w:hAnsiTheme="majorBidi" w:cstheme="majorBidi"/>
          <w:sz w:val="20"/>
          <w:szCs w:val="20"/>
        </w:rPr>
        <w:t>http://www.tawhed.ws/a?a=a</w:t>
      </w:r>
      <w:r w:rsidRPr="006333E0">
        <w:rPr>
          <w:rFonts w:asciiTheme="majorBidi" w:hAnsiTheme="majorBidi" w:cs="Ya-Ali"/>
          <w:sz w:val="20"/>
          <w:szCs w:val="20"/>
        </w:rPr>
        <w:t>5</w:t>
      </w:r>
      <w:r w:rsidRPr="00715694">
        <w:rPr>
          <w:rFonts w:asciiTheme="majorBidi" w:hAnsiTheme="majorBidi" w:cstheme="majorBidi"/>
          <w:sz w:val="20"/>
          <w:szCs w:val="20"/>
        </w:rPr>
        <w:t>ieej</w:t>
      </w:r>
      <w:r w:rsidRPr="006333E0">
        <w:rPr>
          <w:rFonts w:asciiTheme="majorBidi" w:hAnsiTheme="majorBidi" w:cs="Ya-Ali"/>
          <w:sz w:val="20"/>
          <w:szCs w:val="20"/>
        </w:rPr>
        <w:t>5</w:t>
      </w:r>
      <w:r w:rsidRPr="00715694">
        <w:rPr>
          <w:rFonts w:asciiTheme="majorBidi" w:hAnsiTheme="majorBidi" w:cstheme="majorBidi"/>
          <w:sz w:val="20"/>
          <w:szCs w:val="20"/>
        </w:rPr>
        <w:t>j</w:t>
      </w:r>
    </w:p>
  </w:endnote>
  <w:endnote w:id="154">
    <w:p w:rsidR="00F41F33" w:rsidRPr="00155A31" w:rsidRDefault="00F41F33" w:rsidP="00904320">
      <w:pPr>
        <w:spacing w:line="320" w:lineRule="exact"/>
        <w:ind w:firstLine="0"/>
        <w:rPr>
          <w:rFonts w:ascii="Arial" w:hAnsi="Arial" w:cs="DanaFajr"/>
          <w:szCs w:val="28"/>
        </w:rPr>
      </w:pPr>
      <w:r w:rsidRPr="00155A31">
        <w:rPr>
          <w:rFonts w:ascii="Arial" w:hAnsi="Arial" w:cs="DanaFajr"/>
          <w:szCs w:val="28"/>
          <w:rtl/>
          <w:lang w:bidi="ar-LB"/>
        </w:rPr>
        <w:t>(</w:t>
      </w:r>
      <w:r w:rsidRPr="00155A31">
        <w:rPr>
          <w:rStyle w:val="ac"/>
          <w:rFonts w:ascii="Arial" w:hAnsi="Arial" w:cs="DanaFajr"/>
          <w:szCs w:val="28"/>
          <w:vertAlign w:val="baseline"/>
        </w:rPr>
        <w:endnoteRef/>
      </w:r>
      <w:r w:rsidRPr="00155A31">
        <w:rPr>
          <w:rFonts w:ascii="Arial" w:hAnsi="Arial" w:cs="DanaFajr"/>
          <w:szCs w:val="28"/>
          <w:rtl/>
          <w:lang w:bidi="ar-LB"/>
        </w:rPr>
        <w:t>) ال</w:t>
      </w:r>
      <w:r w:rsidRPr="00155A31">
        <w:rPr>
          <w:rFonts w:ascii="Arial" w:hAnsi="Arial" w:cs="DanaFajr"/>
          <w:szCs w:val="28"/>
          <w:rtl/>
        </w:rPr>
        <w:t xml:space="preserve">مرجع </w:t>
      </w:r>
      <w:r w:rsidRPr="00155A31">
        <w:rPr>
          <w:rFonts w:ascii="Arial" w:hAnsi="Arial" w:cs="DanaFajr" w:hint="cs"/>
          <w:szCs w:val="28"/>
          <w:rtl/>
          <w:lang w:bidi="ar-LB"/>
        </w:rPr>
        <w:t>السابق</w:t>
      </w:r>
      <w:r w:rsidRPr="00155A31">
        <w:rPr>
          <w:rFonts w:ascii="Arial" w:hAnsi="Arial" w:cs="DanaFajr"/>
          <w:szCs w:val="28"/>
          <w:rtl/>
        </w:rPr>
        <w:t xml:space="preserve">: 9 ـ 10. </w:t>
      </w:r>
    </w:p>
  </w:endnote>
  <w:endnote w:id="155">
    <w:p w:rsidR="00F41F33" w:rsidRPr="00155A31" w:rsidRDefault="00F41F33" w:rsidP="00904320">
      <w:pPr>
        <w:pStyle w:val="aa"/>
        <w:spacing w:line="320" w:lineRule="exact"/>
        <w:ind w:firstLine="0"/>
        <w:rPr>
          <w:rFonts w:ascii="Arial" w:hAnsi="Arial" w:cs="DanaFajr"/>
          <w:sz w:val="28"/>
          <w:szCs w:val="28"/>
        </w:rPr>
      </w:pPr>
      <w:r w:rsidRPr="00155A31">
        <w:rPr>
          <w:rFonts w:ascii="Arial" w:hAnsi="Arial" w:cs="DanaFajr"/>
          <w:sz w:val="28"/>
          <w:szCs w:val="28"/>
          <w:rtl/>
          <w:lang w:bidi="ar-LB"/>
        </w:rPr>
        <w:t>(</w:t>
      </w:r>
      <w:r w:rsidRPr="00155A31">
        <w:rPr>
          <w:rStyle w:val="ac"/>
          <w:rFonts w:ascii="Arial" w:hAnsi="Arial" w:cs="DanaFajr"/>
          <w:sz w:val="28"/>
          <w:szCs w:val="28"/>
          <w:vertAlign w:val="baseline"/>
        </w:rPr>
        <w:endnoteRef/>
      </w:r>
      <w:r w:rsidRPr="00155A31">
        <w:rPr>
          <w:rFonts w:ascii="Arial" w:hAnsi="Arial" w:cs="DanaFajr"/>
          <w:sz w:val="28"/>
          <w:szCs w:val="28"/>
          <w:rtl/>
          <w:lang w:bidi="ar-LB"/>
        </w:rPr>
        <w:t>)</w:t>
      </w:r>
      <w:r w:rsidRPr="00155A31">
        <w:rPr>
          <w:rFonts w:ascii="Arial" w:hAnsi="Arial" w:cs="DanaFajr" w:hint="cs"/>
          <w:sz w:val="28"/>
          <w:szCs w:val="28"/>
          <w:rtl/>
          <w:lang w:bidi="ar-LB"/>
        </w:rPr>
        <w:t xml:space="preserve"> </w:t>
      </w:r>
      <w:r w:rsidRPr="00155A31">
        <w:rPr>
          <w:rFonts w:ascii="Arial" w:hAnsi="Arial" w:cs="DanaFajr"/>
          <w:sz w:val="28"/>
          <w:szCs w:val="28"/>
          <w:rtl/>
          <w:lang w:bidi="ar-LB"/>
        </w:rPr>
        <w:t>عبد</w:t>
      </w:r>
      <w:r w:rsidRPr="00155A31">
        <w:rPr>
          <w:rFonts w:ascii="Arial" w:hAnsi="Arial" w:cs="DanaFajr" w:hint="cs"/>
          <w:sz w:val="28"/>
          <w:szCs w:val="28"/>
          <w:rtl/>
          <w:lang w:bidi="ar-LB"/>
        </w:rPr>
        <w:t xml:space="preserve"> </w:t>
      </w:r>
      <w:r w:rsidRPr="00155A31">
        <w:rPr>
          <w:rFonts w:ascii="Arial" w:hAnsi="Arial" w:cs="DanaFajr"/>
          <w:sz w:val="28"/>
          <w:szCs w:val="28"/>
          <w:rtl/>
          <w:lang w:bidi="ar-LB"/>
        </w:rPr>
        <w:t>القادر بن عبد</w:t>
      </w:r>
      <w:r w:rsidRPr="00155A31">
        <w:rPr>
          <w:rFonts w:ascii="Arial" w:hAnsi="Arial" w:cs="DanaFajr" w:hint="cs"/>
          <w:sz w:val="28"/>
          <w:szCs w:val="28"/>
          <w:rtl/>
          <w:lang w:bidi="ar-LB"/>
        </w:rPr>
        <w:t xml:space="preserve"> </w:t>
      </w:r>
      <w:r w:rsidRPr="00155A31">
        <w:rPr>
          <w:rFonts w:ascii="Arial" w:hAnsi="Arial" w:cs="DanaFajr"/>
          <w:sz w:val="28"/>
          <w:szCs w:val="28"/>
          <w:rtl/>
          <w:lang w:bidi="ar-LB"/>
        </w:rPr>
        <w:t>العزيز</w:t>
      </w:r>
      <w:r w:rsidRPr="00155A31">
        <w:rPr>
          <w:rFonts w:ascii="Arial" w:hAnsi="Arial" w:cs="DanaFajr" w:hint="cs"/>
          <w:sz w:val="28"/>
          <w:szCs w:val="28"/>
          <w:rtl/>
          <w:lang w:bidi="ar-LB"/>
        </w:rPr>
        <w:t>،</w:t>
      </w:r>
      <w:r w:rsidRPr="00155A31">
        <w:rPr>
          <w:rFonts w:ascii="Arial" w:hAnsi="Arial" w:cs="DanaFajr"/>
          <w:sz w:val="28"/>
          <w:szCs w:val="28"/>
          <w:rtl/>
          <w:lang w:bidi="ar-LB"/>
        </w:rPr>
        <w:t xml:space="preserve"> رسالة العمدة في </w:t>
      </w:r>
      <w:r w:rsidRPr="00155A31">
        <w:rPr>
          <w:rFonts w:ascii="Arial" w:hAnsi="Arial" w:cs="DanaFajr" w:hint="cs"/>
          <w:sz w:val="28"/>
          <w:szCs w:val="28"/>
          <w:rtl/>
          <w:lang w:bidi="ar-LB"/>
        </w:rPr>
        <w:t>إ</w:t>
      </w:r>
      <w:r w:rsidRPr="00155A31">
        <w:rPr>
          <w:rFonts w:ascii="Arial" w:hAnsi="Arial" w:cs="DanaFajr"/>
          <w:sz w:val="28"/>
          <w:szCs w:val="28"/>
          <w:rtl/>
          <w:lang w:bidi="ar-LB"/>
        </w:rPr>
        <w:t xml:space="preserve">عداد العدة: 286؛ </w:t>
      </w:r>
      <w:r w:rsidRPr="00155A31">
        <w:rPr>
          <w:rFonts w:ascii="Arial" w:hAnsi="Arial" w:cs="DanaFajr"/>
          <w:sz w:val="28"/>
          <w:szCs w:val="28"/>
          <w:rtl/>
        </w:rPr>
        <w:t>موقع منبر</w:t>
      </w:r>
      <w:r w:rsidRPr="00155A31">
        <w:rPr>
          <w:rFonts w:ascii="Arial" w:hAnsi="Arial" w:cs="DanaFajr" w:hint="cs"/>
          <w:sz w:val="28"/>
          <w:szCs w:val="28"/>
          <w:rtl/>
        </w:rPr>
        <w:t xml:space="preserve"> </w:t>
      </w:r>
      <w:r w:rsidRPr="00155A31">
        <w:rPr>
          <w:rFonts w:ascii="Arial" w:hAnsi="Arial" w:cs="DanaFajr"/>
          <w:sz w:val="28"/>
          <w:szCs w:val="28"/>
          <w:rtl/>
        </w:rPr>
        <w:t>التوحيد والجهاد</w:t>
      </w:r>
      <w:r w:rsidRPr="00155A31">
        <w:rPr>
          <w:rFonts w:ascii="Arial" w:hAnsi="Arial" w:cs="DanaFajr" w:hint="cs"/>
          <w:sz w:val="28"/>
          <w:szCs w:val="28"/>
          <w:rtl/>
        </w:rPr>
        <w:t>:</w:t>
      </w:r>
      <w:r w:rsidRPr="00155A31">
        <w:rPr>
          <w:rFonts w:ascii="Arial" w:hAnsi="Arial" w:cs="DanaFajr"/>
          <w:sz w:val="28"/>
          <w:szCs w:val="28"/>
          <w:rtl/>
        </w:rPr>
        <w:t xml:space="preserve"> </w:t>
      </w:r>
    </w:p>
    <w:p w:rsidR="00F41F33" w:rsidRPr="00715694" w:rsidRDefault="00F41F33" w:rsidP="00904320">
      <w:pPr>
        <w:pStyle w:val="aa"/>
        <w:spacing w:line="320" w:lineRule="exact"/>
        <w:ind w:firstLine="0"/>
        <w:jc w:val="right"/>
        <w:rPr>
          <w:rFonts w:asciiTheme="majorBidi" w:hAnsiTheme="majorBidi" w:cstheme="majorBidi"/>
          <w:rtl/>
        </w:rPr>
      </w:pPr>
      <w:r w:rsidRPr="00715694">
        <w:rPr>
          <w:rFonts w:asciiTheme="majorBidi" w:hAnsiTheme="majorBidi" w:cstheme="majorBidi"/>
        </w:rPr>
        <w:t>http://www.tawhed.ws/dl?i=f</w:t>
      </w:r>
      <w:r w:rsidRPr="006333E0">
        <w:rPr>
          <w:rFonts w:asciiTheme="majorBidi" w:hAnsiTheme="majorBidi" w:cs="Ya-Ali"/>
        </w:rPr>
        <w:t>8</w:t>
      </w:r>
      <w:r w:rsidRPr="00715694">
        <w:rPr>
          <w:rFonts w:asciiTheme="majorBidi" w:hAnsiTheme="majorBidi" w:cstheme="majorBidi"/>
        </w:rPr>
        <w:t>ro</w:t>
      </w:r>
      <w:r w:rsidRPr="006333E0">
        <w:rPr>
          <w:rFonts w:asciiTheme="majorBidi" w:hAnsiTheme="majorBidi" w:cs="Ya-Ali"/>
        </w:rPr>
        <w:t>5</w:t>
      </w:r>
      <w:r w:rsidRPr="00715694">
        <w:rPr>
          <w:rFonts w:asciiTheme="majorBidi" w:hAnsiTheme="majorBidi" w:cstheme="majorBidi"/>
        </w:rPr>
        <w:t>d</w:t>
      </w:r>
      <w:r w:rsidRPr="006333E0">
        <w:rPr>
          <w:rFonts w:asciiTheme="majorBidi" w:hAnsiTheme="majorBidi" w:cs="Ya-Ali"/>
        </w:rPr>
        <w:t>45</w:t>
      </w:r>
    </w:p>
  </w:endnote>
  <w:endnote w:id="156">
    <w:p w:rsidR="00F41F33" w:rsidRPr="004B7958" w:rsidRDefault="00F41F33" w:rsidP="00904320">
      <w:pPr>
        <w:pStyle w:val="aa"/>
        <w:spacing w:line="320" w:lineRule="exact"/>
        <w:ind w:firstLine="0"/>
        <w:rPr>
          <w:rFonts w:ascii="Arial" w:hAnsi="Arial" w:cs="DanaFajr"/>
          <w:sz w:val="28"/>
          <w:szCs w:val="28"/>
        </w:rPr>
      </w:pPr>
      <w:r w:rsidRPr="004B7958">
        <w:rPr>
          <w:rFonts w:ascii="Arial" w:hAnsi="Arial" w:cs="DanaFajr"/>
          <w:sz w:val="28"/>
          <w:szCs w:val="28"/>
          <w:rtl/>
          <w:lang w:bidi="ar-LB"/>
        </w:rPr>
        <w:t>(</w:t>
      </w:r>
      <w:r w:rsidRPr="004B7958">
        <w:rPr>
          <w:rStyle w:val="ac"/>
          <w:rFonts w:ascii="Arial" w:hAnsi="Arial" w:cs="DanaFajr"/>
          <w:sz w:val="28"/>
          <w:szCs w:val="28"/>
          <w:vertAlign w:val="baseline"/>
        </w:rPr>
        <w:endnoteRef/>
      </w:r>
      <w:r w:rsidRPr="004B7958">
        <w:rPr>
          <w:rFonts w:ascii="Arial" w:hAnsi="Arial" w:cs="DanaFajr"/>
          <w:sz w:val="28"/>
          <w:szCs w:val="28"/>
          <w:rtl/>
          <w:lang w:bidi="ar-LB"/>
        </w:rPr>
        <w:t>)</w:t>
      </w:r>
      <w:r w:rsidRPr="004B7958">
        <w:rPr>
          <w:rFonts w:ascii="Arial" w:hAnsi="Arial" w:cs="DanaFajr" w:hint="cs"/>
          <w:sz w:val="28"/>
          <w:szCs w:val="28"/>
          <w:rtl/>
          <w:lang w:bidi="ar-LB"/>
        </w:rPr>
        <w:t xml:space="preserve"> المصدر نفسه</w:t>
      </w:r>
      <w:r w:rsidRPr="004B7958">
        <w:rPr>
          <w:rFonts w:ascii="Arial" w:hAnsi="Arial" w:cs="DanaFajr"/>
          <w:sz w:val="28"/>
          <w:szCs w:val="28"/>
          <w:rtl/>
          <w:lang w:bidi="ar-LB"/>
        </w:rPr>
        <w:t xml:space="preserve">. </w:t>
      </w:r>
    </w:p>
  </w:endnote>
  <w:endnote w:id="157">
    <w:p w:rsidR="00F41F33" w:rsidRPr="004B7958" w:rsidRDefault="00F41F33" w:rsidP="00904320">
      <w:pPr>
        <w:pStyle w:val="aa"/>
        <w:spacing w:line="320" w:lineRule="exact"/>
        <w:ind w:firstLine="0"/>
        <w:rPr>
          <w:rFonts w:ascii="Arial" w:hAnsi="Arial" w:cs="DanaFajr"/>
          <w:sz w:val="28"/>
          <w:szCs w:val="28"/>
        </w:rPr>
      </w:pPr>
      <w:r w:rsidRPr="004B7958">
        <w:rPr>
          <w:rFonts w:ascii="Arial" w:hAnsi="Arial" w:cs="DanaFajr"/>
          <w:sz w:val="28"/>
          <w:szCs w:val="28"/>
          <w:rtl/>
          <w:lang w:bidi="ar-LB"/>
        </w:rPr>
        <w:t>(</w:t>
      </w:r>
      <w:r w:rsidRPr="004B7958">
        <w:rPr>
          <w:rStyle w:val="ac"/>
          <w:rFonts w:ascii="Arial" w:hAnsi="Arial" w:cs="DanaFajr"/>
          <w:sz w:val="28"/>
          <w:szCs w:val="28"/>
          <w:vertAlign w:val="baseline"/>
        </w:rPr>
        <w:endnoteRef/>
      </w:r>
      <w:r w:rsidRPr="004B7958">
        <w:rPr>
          <w:rFonts w:ascii="Arial" w:hAnsi="Arial" w:cs="DanaFajr"/>
          <w:sz w:val="28"/>
          <w:szCs w:val="28"/>
          <w:rtl/>
          <w:lang w:bidi="ar-LB"/>
        </w:rPr>
        <w:t xml:space="preserve">) </w:t>
      </w:r>
      <w:r w:rsidRPr="004B7958">
        <w:rPr>
          <w:rFonts w:ascii="Arial" w:hAnsi="Arial" w:cs="DanaFajr" w:hint="cs"/>
          <w:sz w:val="28"/>
          <w:szCs w:val="28"/>
          <w:rtl/>
          <w:lang w:bidi="ar-LB"/>
        </w:rPr>
        <w:t>المصدر نفسه</w:t>
      </w:r>
      <w:r w:rsidRPr="004B7958">
        <w:rPr>
          <w:rFonts w:ascii="Arial" w:hAnsi="Arial" w:cs="DanaFajr"/>
          <w:sz w:val="28"/>
          <w:szCs w:val="28"/>
          <w:rtl/>
          <w:lang w:bidi="ar-LB"/>
        </w:rPr>
        <w:t xml:space="preserve">. </w:t>
      </w:r>
    </w:p>
  </w:endnote>
  <w:endnote w:id="158">
    <w:p w:rsidR="00F41F33" w:rsidRPr="004B7958" w:rsidRDefault="00F41F33" w:rsidP="00904320">
      <w:pPr>
        <w:pStyle w:val="aa"/>
        <w:spacing w:line="320" w:lineRule="exact"/>
        <w:ind w:firstLine="0"/>
        <w:rPr>
          <w:rFonts w:ascii="Arial" w:hAnsi="Arial" w:cs="DanaFajr"/>
          <w:sz w:val="28"/>
          <w:szCs w:val="28"/>
          <w:rtl/>
        </w:rPr>
      </w:pPr>
      <w:r w:rsidRPr="004B7958">
        <w:rPr>
          <w:rFonts w:ascii="Arial" w:hAnsi="Arial" w:cs="DanaFajr"/>
          <w:sz w:val="28"/>
          <w:szCs w:val="28"/>
          <w:rtl/>
          <w:lang w:bidi="ar-LB"/>
        </w:rPr>
        <w:t>(</w:t>
      </w:r>
      <w:r w:rsidRPr="004B7958">
        <w:rPr>
          <w:rStyle w:val="ac"/>
          <w:rFonts w:ascii="Arial" w:hAnsi="Arial" w:cs="DanaFajr"/>
          <w:sz w:val="28"/>
          <w:szCs w:val="28"/>
          <w:vertAlign w:val="baseline"/>
        </w:rPr>
        <w:endnoteRef/>
      </w:r>
      <w:r w:rsidRPr="004B7958">
        <w:rPr>
          <w:rFonts w:ascii="Arial" w:hAnsi="Arial" w:cs="DanaFajr"/>
          <w:sz w:val="28"/>
          <w:szCs w:val="28"/>
          <w:rtl/>
          <w:lang w:bidi="ar-LB"/>
        </w:rPr>
        <w:t xml:space="preserve">) يقول </w:t>
      </w:r>
      <w:r w:rsidRPr="004B7958">
        <w:rPr>
          <w:rFonts w:ascii="Arial" w:hAnsi="Arial" w:cs="DanaFajr" w:hint="cs"/>
          <w:sz w:val="28"/>
          <w:szCs w:val="28"/>
          <w:rtl/>
          <w:lang w:bidi="ar-LB"/>
        </w:rPr>
        <w:t>ا</w:t>
      </w:r>
      <w:r w:rsidRPr="004B7958">
        <w:rPr>
          <w:rFonts w:ascii="Arial" w:hAnsi="Arial" w:cs="DanaFajr"/>
          <w:sz w:val="28"/>
          <w:szCs w:val="28"/>
          <w:rtl/>
          <w:lang w:bidi="ar-LB"/>
        </w:rPr>
        <w:t xml:space="preserve">بن عبد العزيز: </w:t>
      </w:r>
      <w:r w:rsidRPr="004B7958">
        <w:rPr>
          <w:rFonts w:cs="DanaFajr" w:hint="eastAsia"/>
          <w:sz w:val="27"/>
          <w:szCs w:val="27"/>
          <w:rtl/>
          <w:lang w:bidi="ar-LB"/>
        </w:rPr>
        <w:t>«</w:t>
      </w:r>
      <w:r w:rsidRPr="004B7958">
        <w:rPr>
          <w:rFonts w:ascii="Arial" w:hAnsi="Arial" w:cs="DanaFajr"/>
          <w:sz w:val="28"/>
          <w:szCs w:val="28"/>
          <w:rtl/>
        </w:rPr>
        <w:t>قد كان الله تعالى يتكف</w:t>
      </w:r>
      <w:r w:rsidRPr="004B7958">
        <w:rPr>
          <w:rFonts w:ascii="Arial" w:hAnsi="Arial" w:cs="DanaFajr" w:hint="cs"/>
          <w:sz w:val="28"/>
          <w:szCs w:val="28"/>
          <w:rtl/>
        </w:rPr>
        <w:t>َّ</w:t>
      </w:r>
      <w:r w:rsidRPr="004B7958">
        <w:rPr>
          <w:rFonts w:ascii="Arial" w:hAnsi="Arial" w:cs="DanaFajr"/>
          <w:sz w:val="28"/>
          <w:szCs w:val="28"/>
          <w:rtl/>
        </w:rPr>
        <w:t>ل بإهلاك الكافرين به وبرسله، من لدن نوح إلى</w:t>
      </w:r>
      <w:r w:rsidRPr="00715694">
        <w:rPr>
          <w:rFonts w:ascii="Arial" w:hAnsi="Arial" w:cs="DanaFajr"/>
          <w:sz w:val="28"/>
          <w:szCs w:val="28"/>
          <w:rtl/>
        </w:rPr>
        <w:t xml:space="preserve"> </w:t>
      </w:r>
      <w:r w:rsidRPr="004B7958">
        <w:rPr>
          <w:rFonts w:ascii="Arial" w:hAnsi="Arial" w:cs="DanaFajr"/>
          <w:sz w:val="28"/>
          <w:szCs w:val="28"/>
          <w:rtl/>
        </w:rPr>
        <w:t>موسى</w:t>
      </w:r>
      <w:r w:rsidRPr="00496110">
        <w:rPr>
          <w:rFonts w:ascii="Mosawi" w:hAnsi="Mosawi" w:cs="Mosawi"/>
          <w:rtl/>
        </w:rPr>
        <w:t>^</w:t>
      </w:r>
      <w:r w:rsidRPr="00715694">
        <w:rPr>
          <w:rFonts w:ascii="Arial" w:hAnsi="Arial" w:cs="DanaFajr"/>
          <w:sz w:val="28"/>
          <w:szCs w:val="28"/>
          <w:rtl/>
        </w:rPr>
        <w:t xml:space="preserve">، </w:t>
      </w:r>
      <w:r w:rsidRPr="004B7958">
        <w:rPr>
          <w:rFonts w:ascii="Arial" w:hAnsi="Arial" w:cs="DanaFajr"/>
          <w:sz w:val="28"/>
          <w:szCs w:val="28"/>
          <w:rtl/>
        </w:rPr>
        <w:t>ثم</w:t>
      </w:r>
      <w:r w:rsidRPr="004B7958">
        <w:rPr>
          <w:rFonts w:ascii="Arial" w:hAnsi="Arial" w:cs="DanaFajr" w:hint="cs"/>
          <w:sz w:val="28"/>
          <w:szCs w:val="28"/>
          <w:rtl/>
        </w:rPr>
        <w:t>ّ</w:t>
      </w:r>
      <w:r w:rsidRPr="004B7958">
        <w:rPr>
          <w:rFonts w:ascii="Arial" w:hAnsi="Arial" w:cs="DanaFajr"/>
          <w:sz w:val="28"/>
          <w:szCs w:val="28"/>
          <w:rtl/>
        </w:rPr>
        <w:t xml:space="preserve"> شرع سبحانه الجهاد في شريعة موسى بعد نجاة بني إسرائيل وهلاك فرعون، فقال تعالى: </w:t>
      </w:r>
      <w:r w:rsidRPr="004B7958">
        <w:rPr>
          <w:rFonts w:ascii="Mosawi" w:hAnsi="Mosawi" w:cs="DanaFajr"/>
          <w:sz w:val="24"/>
          <w:szCs w:val="24"/>
          <w:rtl/>
        </w:rPr>
        <w:t>﴿</w:t>
      </w:r>
      <w:r w:rsidRPr="004B7958">
        <w:rPr>
          <w:rFonts w:ascii="Arial" w:hAnsi="Arial" w:cs="DanaFajr"/>
          <w:b/>
          <w:bCs/>
          <w:sz w:val="28"/>
          <w:szCs w:val="28"/>
          <w:rtl/>
        </w:rPr>
        <w:t xml:space="preserve">يَا قَوْمِ ادْخُلُوا الأَرْضَ الْمُقَدَّسَةَ الَّتِي كَتَبَ اللهُ لَكُمْ وَلاَ تَرْتَدُّوا عَلَى أَدْبَارِكُمْ فَتَنْقَلِبُوا خَاسِرِينَ </w:t>
      </w:r>
      <w:r w:rsidRPr="004B7958">
        <w:rPr>
          <w:rFonts w:ascii="Arial" w:hAnsi="Arial" w:cs="DanaFajr" w:hint="cs"/>
          <w:b/>
          <w:bCs/>
          <w:sz w:val="28"/>
          <w:szCs w:val="28"/>
          <w:rtl/>
        </w:rPr>
        <w:t>*</w:t>
      </w:r>
      <w:r w:rsidRPr="004B7958">
        <w:rPr>
          <w:rFonts w:ascii="Arial" w:hAnsi="Arial" w:cs="DanaFajr"/>
          <w:b/>
          <w:bCs/>
          <w:sz w:val="28"/>
          <w:szCs w:val="28"/>
          <w:rtl/>
        </w:rPr>
        <w:t xml:space="preserve"> قَالُوا يَا مُوسَى إِنَّ فِيهَا قَوْماً جَبَّارِينَ وَإِنَّا لَنْ نَدْخُلَهَا حَتَّى يَخْرُجُوا مِنْهَا فَإِنْ يَخْرُجُوا مِنْهَا فَإِنَّا دَاخِلُونَ </w:t>
      </w:r>
      <w:r w:rsidRPr="004B7958">
        <w:rPr>
          <w:rFonts w:ascii="Arial" w:hAnsi="Arial" w:cs="DanaFajr" w:hint="cs"/>
          <w:b/>
          <w:bCs/>
          <w:sz w:val="28"/>
          <w:szCs w:val="28"/>
          <w:rtl/>
        </w:rPr>
        <w:t>*</w:t>
      </w:r>
      <w:r w:rsidRPr="004B7958">
        <w:rPr>
          <w:rFonts w:ascii="Arial" w:hAnsi="Arial" w:cs="DanaFajr"/>
          <w:b/>
          <w:bCs/>
          <w:sz w:val="28"/>
          <w:szCs w:val="28"/>
          <w:rtl/>
        </w:rPr>
        <w:t xml:space="preserve"> قَالَ رَجُلاَنِ مِنْ الَّذِينَ يَخَافُونَ أَنْعَمَ اللهُ عَلَيْهِمَا ادْخُلُوا عَلَيْهِمْ الْبَابَ فَإِذَا دَخَلْتُمُوهُ فَإِنَّكُمْ غَالِبُونَ وَعَلَى اللهِ فَتَوَكَّلُوا إِنْ كُنتُمْ مُؤْمِنِينَ </w:t>
      </w:r>
      <w:r w:rsidRPr="004B7958">
        <w:rPr>
          <w:rFonts w:ascii="Arial" w:hAnsi="Arial" w:cs="DanaFajr" w:hint="cs"/>
          <w:b/>
          <w:bCs/>
          <w:sz w:val="28"/>
          <w:szCs w:val="28"/>
          <w:rtl/>
        </w:rPr>
        <w:t>*</w:t>
      </w:r>
      <w:r w:rsidRPr="004B7958">
        <w:rPr>
          <w:rFonts w:ascii="Arial" w:hAnsi="Arial" w:cs="DanaFajr"/>
          <w:b/>
          <w:bCs/>
          <w:sz w:val="28"/>
          <w:szCs w:val="28"/>
          <w:rtl/>
        </w:rPr>
        <w:t xml:space="preserve"> قَالُوا يَا مُوسَى إِنَّا لَنْ نَدْخُلَهَا أَبَداً مَا دَامُوا فِيهَا فَاذْهَبْ أَنْتَ وَرَبُّكَ فَقَاتِلاَ إِنَّا هَاهُنَا قَاعِدُونَ</w:t>
      </w:r>
      <w:r w:rsidRPr="004B7958">
        <w:rPr>
          <w:rFonts w:ascii="Mosawi" w:hAnsi="Mosawi" w:cs="DanaFajr"/>
          <w:sz w:val="24"/>
          <w:szCs w:val="24"/>
          <w:rtl/>
        </w:rPr>
        <w:t>﴾</w:t>
      </w:r>
      <w:r w:rsidRPr="004B7958">
        <w:rPr>
          <w:rStyle w:val="ac"/>
          <w:rFonts w:ascii="Arial" w:hAnsi="Arial" w:cs="DanaFajr"/>
          <w:sz w:val="28"/>
          <w:szCs w:val="28"/>
          <w:vertAlign w:val="baseline"/>
          <w:rtl/>
        </w:rPr>
        <w:t xml:space="preserve"> </w:t>
      </w:r>
      <w:r w:rsidRPr="004B7958">
        <w:rPr>
          <w:rFonts w:ascii="Arial" w:hAnsi="Arial" w:cs="DanaFajr" w:hint="cs"/>
          <w:sz w:val="28"/>
          <w:szCs w:val="28"/>
          <w:rtl/>
        </w:rPr>
        <w:t>(</w:t>
      </w:r>
      <w:r w:rsidRPr="00155A31">
        <w:rPr>
          <w:rFonts w:ascii="Arial" w:hAnsi="Arial" w:cs="DanaFajr"/>
          <w:sz w:val="28"/>
          <w:szCs w:val="28"/>
          <w:rtl/>
        </w:rPr>
        <w:t>المائدة</w:t>
      </w:r>
      <w:r w:rsidRPr="00155A31">
        <w:rPr>
          <w:rFonts w:ascii="Arial" w:hAnsi="Arial" w:cs="DanaFajr" w:hint="cs"/>
          <w:sz w:val="28"/>
          <w:szCs w:val="28"/>
          <w:rtl/>
        </w:rPr>
        <w:t>:</w:t>
      </w:r>
      <w:r w:rsidRPr="00155A31">
        <w:rPr>
          <w:rFonts w:ascii="Arial" w:hAnsi="Arial" w:cs="DanaFajr"/>
          <w:sz w:val="28"/>
          <w:szCs w:val="28"/>
          <w:rtl/>
        </w:rPr>
        <w:t xml:space="preserve"> 21 ـ 24</w:t>
      </w:r>
      <w:r w:rsidRPr="004B7958">
        <w:rPr>
          <w:rFonts w:ascii="Arial" w:hAnsi="Arial" w:cs="DanaFajr" w:hint="cs"/>
          <w:sz w:val="28"/>
          <w:szCs w:val="28"/>
          <w:rtl/>
        </w:rPr>
        <w:t>).</w:t>
      </w:r>
      <w:r w:rsidRPr="004B7958">
        <w:rPr>
          <w:rFonts w:ascii="Arial" w:hAnsi="Arial" w:cs="DanaFajr"/>
          <w:sz w:val="28"/>
          <w:szCs w:val="28"/>
          <w:rtl/>
        </w:rPr>
        <w:t xml:space="preserve"> فهذه بداية شرع القتال في سبيل الله تعالى</w:t>
      </w:r>
      <w:r w:rsidRPr="004B7958">
        <w:rPr>
          <w:rFonts w:ascii="Arial" w:hAnsi="Arial" w:cs="DanaFajr" w:hint="cs"/>
          <w:sz w:val="28"/>
          <w:szCs w:val="28"/>
          <w:rtl/>
        </w:rPr>
        <w:t>.</w:t>
      </w:r>
      <w:r w:rsidRPr="004B7958">
        <w:rPr>
          <w:rFonts w:ascii="Arial" w:hAnsi="Arial" w:cs="DanaFajr"/>
          <w:sz w:val="28"/>
          <w:szCs w:val="28"/>
          <w:rtl/>
        </w:rPr>
        <w:t xml:space="preserve"> وقال تعالى: </w:t>
      </w:r>
      <w:r w:rsidRPr="004B7958">
        <w:rPr>
          <w:rFonts w:ascii="Mosawi" w:hAnsi="Mosawi" w:cs="DanaFajr"/>
          <w:sz w:val="24"/>
          <w:szCs w:val="24"/>
          <w:rtl/>
        </w:rPr>
        <w:t>﴿</w:t>
      </w:r>
      <w:r w:rsidRPr="004B7958">
        <w:rPr>
          <w:rFonts w:ascii="Arial" w:hAnsi="Arial" w:cs="DanaFajr"/>
          <w:b/>
          <w:bCs/>
          <w:sz w:val="28"/>
          <w:szCs w:val="28"/>
          <w:rtl/>
        </w:rPr>
        <w:t>وَلَقَدْ آتَيْنَا مُوسَى الْكِتَابَ مِنْ بَعْدِ مَا أَهْلَكْنَا الْقُرُونَ الأ</w:t>
      </w:r>
      <w:r w:rsidRPr="004B7958">
        <w:rPr>
          <w:rFonts w:ascii="Arial" w:hAnsi="Arial" w:cs="DanaFajr" w:hint="cs"/>
          <w:b/>
          <w:bCs/>
          <w:sz w:val="28"/>
          <w:szCs w:val="28"/>
          <w:rtl/>
        </w:rPr>
        <w:t>ُ</w:t>
      </w:r>
      <w:r w:rsidRPr="004B7958">
        <w:rPr>
          <w:rFonts w:ascii="Arial" w:hAnsi="Arial" w:cs="DanaFajr"/>
          <w:b/>
          <w:bCs/>
          <w:sz w:val="28"/>
          <w:szCs w:val="28"/>
          <w:rtl/>
        </w:rPr>
        <w:t>و</w:t>
      </w:r>
      <w:r w:rsidRPr="004B7958">
        <w:rPr>
          <w:rFonts w:ascii="Arial" w:hAnsi="Arial" w:cs="DanaFajr" w:hint="cs"/>
          <w:b/>
          <w:bCs/>
          <w:sz w:val="28"/>
          <w:szCs w:val="28"/>
          <w:rtl/>
        </w:rPr>
        <w:t>ْ</w:t>
      </w:r>
      <w:r w:rsidRPr="004B7958">
        <w:rPr>
          <w:rFonts w:ascii="Arial" w:hAnsi="Arial" w:cs="DanaFajr"/>
          <w:b/>
          <w:bCs/>
          <w:sz w:val="28"/>
          <w:szCs w:val="28"/>
          <w:rtl/>
        </w:rPr>
        <w:t>ل</w:t>
      </w:r>
      <w:r w:rsidRPr="004B7958">
        <w:rPr>
          <w:rFonts w:ascii="Arial" w:hAnsi="Arial" w:cs="DanaFajr" w:hint="cs"/>
          <w:b/>
          <w:bCs/>
          <w:sz w:val="28"/>
          <w:szCs w:val="28"/>
          <w:rtl/>
        </w:rPr>
        <w:t>َ</w:t>
      </w:r>
      <w:r w:rsidRPr="004B7958">
        <w:rPr>
          <w:rFonts w:ascii="Arial" w:hAnsi="Arial" w:cs="DanaFajr"/>
          <w:b/>
          <w:bCs/>
          <w:sz w:val="28"/>
          <w:szCs w:val="28"/>
          <w:rtl/>
        </w:rPr>
        <w:t>ى</w:t>
      </w:r>
      <w:r w:rsidRPr="004B7958">
        <w:rPr>
          <w:rFonts w:ascii="Mosawi" w:hAnsi="Mosawi" w:cs="DanaFajr"/>
          <w:sz w:val="24"/>
          <w:szCs w:val="24"/>
          <w:rtl/>
        </w:rPr>
        <w:t>﴾</w:t>
      </w:r>
      <w:r w:rsidRPr="004B7958">
        <w:rPr>
          <w:rFonts w:ascii="Arial" w:hAnsi="Arial" w:cs="DanaFajr"/>
          <w:sz w:val="28"/>
          <w:szCs w:val="28"/>
          <w:rtl/>
        </w:rPr>
        <w:t xml:space="preserve"> </w:t>
      </w:r>
      <w:r w:rsidRPr="004B7958">
        <w:rPr>
          <w:rFonts w:ascii="Arial" w:hAnsi="Arial" w:cs="DanaFajr" w:hint="cs"/>
          <w:sz w:val="28"/>
          <w:szCs w:val="28"/>
          <w:rtl/>
        </w:rPr>
        <w:t>(</w:t>
      </w:r>
      <w:r w:rsidRPr="00155A31">
        <w:rPr>
          <w:rFonts w:ascii="Arial" w:hAnsi="Arial" w:cs="DanaFajr"/>
          <w:sz w:val="28"/>
          <w:szCs w:val="28"/>
          <w:rtl/>
        </w:rPr>
        <w:t>القصص</w:t>
      </w:r>
      <w:r w:rsidRPr="00155A31">
        <w:rPr>
          <w:rFonts w:ascii="Arial" w:hAnsi="Arial" w:cs="DanaFajr" w:hint="cs"/>
          <w:sz w:val="28"/>
          <w:szCs w:val="28"/>
          <w:rtl/>
        </w:rPr>
        <w:t>:</w:t>
      </w:r>
      <w:r w:rsidRPr="00155A31">
        <w:rPr>
          <w:rFonts w:ascii="Arial" w:hAnsi="Arial" w:cs="DanaFajr"/>
          <w:sz w:val="28"/>
          <w:szCs w:val="28"/>
          <w:rtl/>
        </w:rPr>
        <w:t xml:space="preserve"> 43</w:t>
      </w:r>
      <w:r w:rsidRPr="004B7958">
        <w:rPr>
          <w:rFonts w:ascii="Arial" w:hAnsi="Arial" w:cs="DanaFajr" w:hint="cs"/>
          <w:sz w:val="28"/>
          <w:szCs w:val="28"/>
          <w:rtl/>
        </w:rPr>
        <w:t>)</w:t>
      </w:r>
      <w:r w:rsidRPr="004B7958">
        <w:rPr>
          <w:rFonts w:ascii="Arial" w:hAnsi="Arial" w:cs="DanaFajr"/>
          <w:sz w:val="28"/>
          <w:szCs w:val="28"/>
          <w:rtl/>
        </w:rPr>
        <w:t xml:space="preserve">. قال ابن كثير: قوله تعالى: </w:t>
      </w:r>
      <w:r w:rsidRPr="004B7958">
        <w:rPr>
          <w:rFonts w:ascii="Mosawi" w:hAnsi="Mosawi" w:cs="DanaFajr"/>
          <w:sz w:val="24"/>
          <w:szCs w:val="24"/>
          <w:rtl/>
        </w:rPr>
        <w:t>﴿</w:t>
      </w:r>
      <w:r w:rsidRPr="004B7958">
        <w:rPr>
          <w:rFonts w:ascii="Arial" w:hAnsi="Arial" w:cs="DanaFajr"/>
          <w:b/>
          <w:bCs/>
          <w:sz w:val="28"/>
          <w:szCs w:val="28"/>
          <w:rtl/>
        </w:rPr>
        <w:t>مِنْ بَعْدِ مَا أَهْلَكْنَا الْقُرُونَ الأ</w:t>
      </w:r>
      <w:r w:rsidRPr="004B7958">
        <w:rPr>
          <w:rFonts w:ascii="Arial" w:hAnsi="Arial" w:cs="DanaFajr" w:hint="cs"/>
          <w:b/>
          <w:bCs/>
          <w:sz w:val="28"/>
          <w:szCs w:val="28"/>
          <w:rtl/>
        </w:rPr>
        <w:t>ُ</w:t>
      </w:r>
      <w:r w:rsidRPr="004B7958">
        <w:rPr>
          <w:rFonts w:ascii="Arial" w:hAnsi="Arial" w:cs="DanaFajr"/>
          <w:b/>
          <w:bCs/>
          <w:sz w:val="28"/>
          <w:szCs w:val="28"/>
          <w:rtl/>
        </w:rPr>
        <w:t>و</w:t>
      </w:r>
      <w:r w:rsidRPr="004B7958">
        <w:rPr>
          <w:rFonts w:ascii="Arial" w:hAnsi="Arial" w:cs="DanaFajr" w:hint="cs"/>
          <w:b/>
          <w:bCs/>
          <w:sz w:val="28"/>
          <w:szCs w:val="28"/>
          <w:rtl/>
        </w:rPr>
        <w:t>ْ</w:t>
      </w:r>
      <w:r w:rsidRPr="004B7958">
        <w:rPr>
          <w:rFonts w:ascii="Arial" w:hAnsi="Arial" w:cs="DanaFajr"/>
          <w:b/>
          <w:bCs/>
          <w:sz w:val="28"/>
          <w:szCs w:val="28"/>
          <w:rtl/>
        </w:rPr>
        <w:t>ل</w:t>
      </w:r>
      <w:r w:rsidRPr="004B7958">
        <w:rPr>
          <w:rFonts w:ascii="Arial" w:hAnsi="Arial" w:cs="DanaFajr" w:hint="cs"/>
          <w:b/>
          <w:bCs/>
          <w:sz w:val="28"/>
          <w:szCs w:val="28"/>
          <w:rtl/>
        </w:rPr>
        <w:t>َ</w:t>
      </w:r>
      <w:r w:rsidRPr="004B7958">
        <w:rPr>
          <w:rFonts w:ascii="Arial" w:hAnsi="Arial" w:cs="DanaFajr"/>
          <w:b/>
          <w:bCs/>
          <w:sz w:val="28"/>
          <w:szCs w:val="28"/>
          <w:rtl/>
        </w:rPr>
        <w:t>ى</w:t>
      </w:r>
      <w:r w:rsidRPr="004B7958">
        <w:rPr>
          <w:rFonts w:ascii="Mosawi" w:hAnsi="Mosawi" w:cs="DanaFajr"/>
          <w:sz w:val="24"/>
          <w:szCs w:val="24"/>
          <w:rtl/>
        </w:rPr>
        <w:t>﴾</w:t>
      </w:r>
      <w:r w:rsidRPr="004B7958">
        <w:rPr>
          <w:rFonts w:ascii="Arial" w:hAnsi="Arial" w:cs="DanaFajr"/>
          <w:sz w:val="28"/>
          <w:szCs w:val="28"/>
          <w:rtl/>
        </w:rPr>
        <w:t xml:space="preserve"> يعني أنه بعد إنزال التوراة لم يُعَذ</w:t>
      </w:r>
      <w:r w:rsidRPr="004B7958">
        <w:rPr>
          <w:rFonts w:ascii="Arial" w:hAnsi="Arial" w:cs="DanaFajr" w:hint="cs"/>
          <w:sz w:val="28"/>
          <w:szCs w:val="28"/>
          <w:rtl/>
        </w:rPr>
        <w:t>ّ</w:t>
      </w:r>
      <w:r w:rsidRPr="004B7958">
        <w:rPr>
          <w:rFonts w:ascii="Arial" w:hAnsi="Arial" w:cs="DanaFajr"/>
          <w:sz w:val="28"/>
          <w:szCs w:val="28"/>
          <w:rtl/>
        </w:rPr>
        <w:t>ب أم</w:t>
      </w:r>
      <w:r w:rsidRPr="004B7958">
        <w:rPr>
          <w:rFonts w:ascii="Arial" w:hAnsi="Arial" w:cs="DanaFajr" w:hint="cs"/>
          <w:sz w:val="28"/>
          <w:szCs w:val="28"/>
          <w:rtl/>
        </w:rPr>
        <w:t>ّ</w:t>
      </w:r>
      <w:r w:rsidRPr="004B7958">
        <w:rPr>
          <w:rFonts w:ascii="Arial" w:hAnsi="Arial" w:cs="DanaFajr"/>
          <w:sz w:val="28"/>
          <w:szCs w:val="28"/>
          <w:rtl/>
        </w:rPr>
        <w:t>ة بعام</w:t>
      </w:r>
      <w:r w:rsidRPr="004B7958">
        <w:rPr>
          <w:rFonts w:ascii="Arial" w:hAnsi="Arial" w:cs="DanaFajr" w:hint="cs"/>
          <w:sz w:val="28"/>
          <w:szCs w:val="28"/>
          <w:rtl/>
        </w:rPr>
        <w:t>ّ</w:t>
      </w:r>
      <w:r w:rsidRPr="004B7958">
        <w:rPr>
          <w:rFonts w:ascii="Arial" w:hAnsi="Arial" w:cs="DanaFajr"/>
          <w:sz w:val="28"/>
          <w:szCs w:val="28"/>
          <w:rtl/>
        </w:rPr>
        <w:t xml:space="preserve">ة، بل أمر المؤمنين أن يقاتلوا أعداء الله من المشركين، كما قال تعالى: </w:t>
      </w:r>
      <w:r w:rsidRPr="004B7958">
        <w:rPr>
          <w:rFonts w:ascii="Mosawi" w:hAnsi="Mosawi" w:cs="DanaFajr"/>
          <w:sz w:val="24"/>
          <w:szCs w:val="24"/>
          <w:rtl/>
        </w:rPr>
        <w:t>﴿</w:t>
      </w:r>
      <w:r w:rsidRPr="004B7958">
        <w:rPr>
          <w:rFonts w:ascii="Arial" w:hAnsi="Arial" w:cs="DanaFajr"/>
          <w:b/>
          <w:bCs/>
          <w:sz w:val="28"/>
          <w:szCs w:val="28"/>
          <w:rtl/>
        </w:rPr>
        <w:t xml:space="preserve">وَجَاءَ فِرْعَوْنُ وَمَنْ قَبْلَهُ وَالْمُؤْتَفِكَاتُ بِالْخَاطِئَةِ </w:t>
      </w:r>
      <w:r w:rsidRPr="004B7958">
        <w:rPr>
          <w:rFonts w:ascii="Arial" w:hAnsi="Arial" w:cs="DanaFajr" w:hint="cs"/>
          <w:b/>
          <w:bCs/>
          <w:sz w:val="28"/>
          <w:szCs w:val="28"/>
          <w:rtl/>
        </w:rPr>
        <w:t xml:space="preserve">* </w:t>
      </w:r>
      <w:r w:rsidRPr="004B7958">
        <w:rPr>
          <w:rFonts w:ascii="Arial" w:hAnsi="Arial" w:cs="DanaFajr"/>
          <w:b/>
          <w:bCs/>
          <w:sz w:val="28"/>
          <w:szCs w:val="28"/>
          <w:rtl/>
        </w:rPr>
        <w:t>فَعَصَوْا رَسُولَ رَبِّهِمْ فَأَخَذَهُمْ أَخْذَةً رَابِيَةً</w:t>
      </w:r>
      <w:r w:rsidRPr="004B7958">
        <w:rPr>
          <w:rFonts w:ascii="Mosawi" w:hAnsi="Mosawi" w:cs="DanaFajr"/>
          <w:sz w:val="24"/>
          <w:szCs w:val="24"/>
          <w:rtl/>
        </w:rPr>
        <w:t>﴾</w:t>
      </w:r>
      <w:r w:rsidRPr="004B7958">
        <w:rPr>
          <w:rFonts w:ascii="Arial" w:hAnsi="Arial" w:cs="DanaFajr" w:hint="cs"/>
          <w:sz w:val="28"/>
          <w:szCs w:val="28"/>
          <w:rtl/>
        </w:rPr>
        <w:t xml:space="preserve"> (</w:t>
      </w:r>
      <w:r w:rsidRPr="004B7958">
        <w:rPr>
          <w:rFonts w:ascii="Arial" w:hAnsi="Arial" w:cs="DanaFajr"/>
          <w:sz w:val="28"/>
          <w:szCs w:val="28"/>
          <w:rtl/>
        </w:rPr>
        <w:t>الحاقة</w:t>
      </w:r>
      <w:r w:rsidRPr="004B7958">
        <w:rPr>
          <w:rFonts w:ascii="Arial" w:hAnsi="Arial" w:cs="DanaFajr" w:hint="cs"/>
          <w:sz w:val="28"/>
          <w:szCs w:val="28"/>
          <w:rtl/>
        </w:rPr>
        <w:t>:</w:t>
      </w:r>
      <w:r w:rsidRPr="004B7958">
        <w:rPr>
          <w:rFonts w:ascii="Arial" w:hAnsi="Arial" w:cs="DanaFajr"/>
          <w:sz w:val="28"/>
          <w:szCs w:val="28"/>
          <w:rtl/>
        </w:rPr>
        <w:t xml:space="preserve"> </w:t>
      </w:r>
      <w:r w:rsidRPr="00155A31">
        <w:rPr>
          <w:rFonts w:ascii="Arial" w:hAnsi="Arial" w:cs="DanaFajr"/>
          <w:sz w:val="28"/>
          <w:szCs w:val="28"/>
          <w:rtl/>
        </w:rPr>
        <w:t>9</w:t>
      </w:r>
      <w:r w:rsidRPr="004B7958">
        <w:rPr>
          <w:rFonts w:ascii="Arial" w:hAnsi="Arial" w:cs="DanaFajr"/>
          <w:sz w:val="28"/>
          <w:szCs w:val="28"/>
          <w:rtl/>
        </w:rPr>
        <w:t xml:space="preserve"> ـ </w:t>
      </w:r>
      <w:r w:rsidRPr="00155A31">
        <w:rPr>
          <w:rFonts w:ascii="Arial" w:hAnsi="Arial" w:cs="DanaFajr"/>
          <w:sz w:val="28"/>
          <w:szCs w:val="28"/>
          <w:rtl/>
        </w:rPr>
        <w:t>10</w:t>
      </w:r>
      <w:r w:rsidRPr="004B7958">
        <w:rPr>
          <w:rFonts w:ascii="Arial" w:hAnsi="Arial" w:cs="DanaFajr" w:hint="cs"/>
          <w:sz w:val="28"/>
          <w:szCs w:val="28"/>
          <w:rtl/>
        </w:rPr>
        <w:t>).</w:t>
      </w:r>
    </w:p>
    <w:p w:rsidR="00F41F33" w:rsidRPr="00715694" w:rsidRDefault="00F41F33" w:rsidP="00904320">
      <w:pPr>
        <w:pStyle w:val="aa"/>
        <w:spacing w:line="320" w:lineRule="exact"/>
        <w:ind w:firstLine="0"/>
        <w:rPr>
          <w:rFonts w:ascii="Arial" w:hAnsi="Arial" w:cs="DanaFajr"/>
          <w:sz w:val="28"/>
          <w:szCs w:val="28"/>
          <w:rtl/>
          <w:lang w:bidi="ar-LB"/>
        </w:rPr>
      </w:pPr>
      <w:r w:rsidRPr="004B7958">
        <w:rPr>
          <w:rFonts w:ascii="Arial" w:hAnsi="Arial" w:cs="DanaFajr"/>
          <w:sz w:val="28"/>
          <w:szCs w:val="28"/>
          <w:rtl/>
        </w:rPr>
        <w:t xml:space="preserve">وقال القرطبي: قوله تعالى: </w:t>
      </w:r>
      <w:r w:rsidRPr="004B7958">
        <w:rPr>
          <w:rFonts w:ascii="Mosawi" w:hAnsi="Mosawi" w:cs="DanaFajr"/>
          <w:sz w:val="24"/>
          <w:szCs w:val="24"/>
          <w:rtl/>
        </w:rPr>
        <w:t>﴿</w:t>
      </w:r>
      <w:r w:rsidRPr="004B7958">
        <w:rPr>
          <w:rFonts w:ascii="Arial" w:hAnsi="Arial" w:cs="DanaFajr"/>
          <w:b/>
          <w:bCs/>
          <w:sz w:val="28"/>
          <w:szCs w:val="28"/>
          <w:rtl/>
        </w:rPr>
        <w:t>وَعْدا</w:t>
      </w:r>
      <w:r w:rsidRPr="004B7958">
        <w:rPr>
          <w:rFonts w:ascii="Arial" w:hAnsi="Arial" w:cs="DanaFajr" w:hint="cs"/>
          <w:b/>
          <w:bCs/>
          <w:sz w:val="28"/>
          <w:szCs w:val="28"/>
          <w:rtl/>
        </w:rPr>
        <w:t>ً</w:t>
      </w:r>
      <w:r w:rsidRPr="004B7958">
        <w:rPr>
          <w:rFonts w:ascii="Arial" w:hAnsi="Arial" w:cs="DanaFajr"/>
          <w:b/>
          <w:bCs/>
          <w:sz w:val="28"/>
          <w:szCs w:val="28"/>
          <w:rtl/>
        </w:rPr>
        <w:t xml:space="preserve"> عَلَيْهِ حَقّا</w:t>
      </w:r>
      <w:r w:rsidRPr="004B7958">
        <w:rPr>
          <w:rFonts w:ascii="Arial" w:hAnsi="Arial" w:cs="DanaFajr" w:hint="cs"/>
          <w:b/>
          <w:bCs/>
          <w:sz w:val="28"/>
          <w:szCs w:val="28"/>
          <w:rtl/>
        </w:rPr>
        <w:t>ً</w:t>
      </w:r>
      <w:r w:rsidRPr="004B7958">
        <w:rPr>
          <w:rFonts w:ascii="Arial" w:hAnsi="Arial" w:cs="DanaFajr"/>
          <w:b/>
          <w:bCs/>
          <w:sz w:val="28"/>
          <w:szCs w:val="28"/>
          <w:rtl/>
        </w:rPr>
        <w:t xml:space="preserve"> فِي التَّوْرَاةِ وَالإِنجِيلِ وَالْقُرْآنِ</w:t>
      </w:r>
      <w:r w:rsidRPr="004B7958">
        <w:rPr>
          <w:rFonts w:ascii="Mosawi" w:hAnsi="Mosawi" w:cs="DanaFajr"/>
          <w:sz w:val="24"/>
          <w:szCs w:val="24"/>
          <w:rtl/>
        </w:rPr>
        <w:t>﴾</w:t>
      </w:r>
      <w:r w:rsidRPr="004B7958">
        <w:rPr>
          <w:rFonts w:ascii="Arial" w:hAnsi="Arial" w:cs="DanaFajr"/>
          <w:sz w:val="28"/>
          <w:szCs w:val="28"/>
          <w:rtl/>
        </w:rPr>
        <w:t xml:space="preserve"> </w:t>
      </w:r>
      <w:r w:rsidRPr="004B7958">
        <w:rPr>
          <w:rFonts w:ascii="Arial" w:hAnsi="Arial" w:cs="DanaFajr" w:hint="cs"/>
          <w:sz w:val="28"/>
          <w:szCs w:val="28"/>
          <w:rtl/>
        </w:rPr>
        <w:t>(</w:t>
      </w:r>
      <w:r w:rsidRPr="004B7958">
        <w:rPr>
          <w:rFonts w:ascii="Arial" w:hAnsi="Arial" w:cs="DanaFajr"/>
          <w:sz w:val="28"/>
          <w:szCs w:val="28"/>
          <w:rtl/>
        </w:rPr>
        <w:t>التوبة</w:t>
      </w:r>
      <w:r w:rsidRPr="004B7958">
        <w:rPr>
          <w:rFonts w:ascii="Arial" w:hAnsi="Arial" w:cs="DanaFajr" w:hint="cs"/>
          <w:sz w:val="28"/>
          <w:szCs w:val="28"/>
          <w:rtl/>
        </w:rPr>
        <w:t>:</w:t>
      </w:r>
      <w:r w:rsidRPr="004B7958">
        <w:rPr>
          <w:rFonts w:ascii="Arial" w:hAnsi="Arial" w:cs="DanaFajr"/>
          <w:sz w:val="28"/>
          <w:szCs w:val="28"/>
          <w:rtl/>
        </w:rPr>
        <w:t xml:space="preserve"> </w:t>
      </w:r>
      <w:r w:rsidRPr="00155A31">
        <w:rPr>
          <w:rFonts w:ascii="Arial" w:hAnsi="Arial" w:cs="DanaFajr"/>
          <w:sz w:val="28"/>
          <w:szCs w:val="28"/>
          <w:rtl/>
        </w:rPr>
        <w:t>111</w:t>
      </w:r>
      <w:r w:rsidRPr="004B7958">
        <w:rPr>
          <w:rFonts w:ascii="Arial" w:hAnsi="Arial" w:cs="DanaFajr"/>
          <w:sz w:val="28"/>
          <w:szCs w:val="28"/>
          <w:rtl/>
        </w:rPr>
        <w:t>) إخبار</w:t>
      </w:r>
      <w:r w:rsidRPr="004B7958">
        <w:rPr>
          <w:rFonts w:ascii="Arial" w:hAnsi="Arial" w:cs="DanaFajr" w:hint="cs"/>
          <w:sz w:val="28"/>
          <w:szCs w:val="28"/>
          <w:rtl/>
        </w:rPr>
        <w:t>ٌ</w:t>
      </w:r>
      <w:r w:rsidRPr="004B7958">
        <w:rPr>
          <w:rFonts w:ascii="Arial" w:hAnsi="Arial" w:cs="DanaFajr"/>
          <w:sz w:val="28"/>
          <w:szCs w:val="28"/>
          <w:rtl/>
        </w:rPr>
        <w:t xml:space="preserve"> من الله تعالى أن هذا كان في هذه الكتب، وأن الجهاد ومقاومة الأعداء أصله من عهد موسى</w:t>
      </w:r>
      <w:r w:rsidRPr="004B7958">
        <w:rPr>
          <w:rFonts w:cs="DanaFajr" w:hint="eastAsia"/>
          <w:sz w:val="27"/>
          <w:szCs w:val="27"/>
          <w:rtl/>
        </w:rPr>
        <w:t>»</w:t>
      </w:r>
      <w:r w:rsidRPr="004B7958">
        <w:rPr>
          <w:rFonts w:ascii="Arial" w:hAnsi="Arial" w:cs="DanaFajr"/>
          <w:sz w:val="28"/>
          <w:szCs w:val="28"/>
          <w:rtl/>
        </w:rPr>
        <w:t>.</w:t>
      </w:r>
      <w:r w:rsidRPr="004B7958">
        <w:rPr>
          <w:rFonts w:ascii="Arial" w:hAnsi="Arial" w:cs="DanaFajr" w:hint="cs"/>
          <w:sz w:val="28"/>
          <w:szCs w:val="28"/>
          <w:rtl/>
        </w:rPr>
        <w:t xml:space="preserve"> </w:t>
      </w:r>
      <w:r w:rsidRPr="004B7958">
        <w:rPr>
          <w:rFonts w:ascii="Arial" w:hAnsi="Arial" w:cs="DanaFajr" w:hint="cs"/>
          <w:sz w:val="28"/>
          <w:szCs w:val="28"/>
          <w:rtl/>
          <w:lang w:bidi="ar-LB"/>
        </w:rPr>
        <w:t>(</w:t>
      </w:r>
      <w:r w:rsidRPr="004B7958">
        <w:rPr>
          <w:rFonts w:ascii="Arial" w:hAnsi="Arial" w:cs="DanaFajr"/>
          <w:sz w:val="28"/>
          <w:szCs w:val="28"/>
          <w:rtl/>
          <w:lang w:bidi="ar-LB"/>
        </w:rPr>
        <w:t>عبدالقادر</w:t>
      </w:r>
      <w:r w:rsidRPr="004B7958">
        <w:rPr>
          <w:rFonts w:ascii="Arial" w:hAnsi="Arial" w:cs="DanaFajr" w:hint="cs"/>
          <w:sz w:val="28"/>
          <w:szCs w:val="28"/>
          <w:rtl/>
          <w:lang w:bidi="ar-LB"/>
        </w:rPr>
        <w:t xml:space="preserve"> </w:t>
      </w:r>
      <w:r w:rsidRPr="004B7958">
        <w:rPr>
          <w:rFonts w:ascii="Arial" w:hAnsi="Arial" w:cs="DanaFajr"/>
          <w:sz w:val="28"/>
          <w:szCs w:val="28"/>
          <w:rtl/>
          <w:lang w:bidi="ar-LB"/>
        </w:rPr>
        <w:t>بن عبد</w:t>
      </w:r>
      <w:r w:rsidRPr="004B7958">
        <w:rPr>
          <w:rFonts w:ascii="Arial" w:hAnsi="Arial" w:cs="DanaFajr" w:hint="cs"/>
          <w:sz w:val="28"/>
          <w:szCs w:val="28"/>
          <w:rtl/>
          <w:lang w:bidi="ar-LB"/>
        </w:rPr>
        <w:t xml:space="preserve"> </w:t>
      </w:r>
      <w:r w:rsidRPr="004B7958">
        <w:rPr>
          <w:rFonts w:ascii="Arial" w:hAnsi="Arial" w:cs="DanaFajr"/>
          <w:sz w:val="28"/>
          <w:szCs w:val="28"/>
          <w:rtl/>
          <w:lang w:bidi="ar-LB"/>
        </w:rPr>
        <w:t>العزيز</w:t>
      </w:r>
      <w:r w:rsidRPr="004B7958">
        <w:rPr>
          <w:rFonts w:ascii="Arial" w:hAnsi="Arial" w:cs="DanaFajr" w:hint="cs"/>
          <w:sz w:val="28"/>
          <w:szCs w:val="28"/>
          <w:rtl/>
          <w:lang w:bidi="ar-LB"/>
        </w:rPr>
        <w:t>،</w:t>
      </w:r>
      <w:r w:rsidRPr="004B7958">
        <w:rPr>
          <w:rFonts w:ascii="Arial" w:hAnsi="Arial" w:cs="DanaFajr"/>
          <w:sz w:val="28"/>
          <w:szCs w:val="28"/>
          <w:rtl/>
          <w:lang w:bidi="ar-LB"/>
        </w:rPr>
        <w:t xml:space="preserve"> رسالة العمدة في </w:t>
      </w:r>
      <w:r w:rsidRPr="004B7958">
        <w:rPr>
          <w:rFonts w:ascii="Arial" w:hAnsi="Arial" w:cs="DanaFajr" w:hint="cs"/>
          <w:sz w:val="28"/>
          <w:szCs w:val="28"/>
          <w:rtl/>
          <w:lang w:bidi="ar-LB"/>
        </w:rPr>
        <w:t>إ</w:t>
      </w:r>
      <w:r w:rsidRPr="004B7958">
        <w:rPr>
          <w:rFonts w:ascii="Arial" w:hAnsi="Arial" w:cs="DanaFajr"/>
          <w:sz w:val="28"/>
          <w:szCs w:val="28"/>
          <w:rtl/>
          <w:lang w:bidi="ar-LB"/>
        </w:rPr>
        <w:t xml:space="preserve">عداد العدة: </w:t>
      </w:r>
      <w:r w:rsidRPr="00155A31">
        <w:rPr>
          <w:rFonts w:ascii="Arial" w:hAnsi="Arial" w:cs="DanaFajr"/>
          <w:sz w:val="28"/>
          <w:szCs w:val="28"/>
          <w:rtl/>
          <w:lang w:bidi="ar-LB"/>
        </w:rPr>
        <w:t>287</w:t>
      </w:r>
      <w:r w:rsidRPr="004B7958">
        <w:rPr>
          <w:rFonts w:ascii="Arial" w:hAnsi="Arial" w:cs="DanaFajr"/>
          <w:sz w:val="28"/>
          <w:szCs w:val="28"/>
          <w:rtl/>
          <w:lang w:bidi="ar-LB"/>
        </w:rPr>
        <w:t xml:space="preserve"> ـ </w:t>
      </w:r>
      <w:r w:rsidRPr="00155A31">
        <w:rPr>
          <w:rFonts w:ascii="Arial" w:hAnsi="Arial" w:cs="DanaFajr"/>
          <w:sz w:val="28"/>
          <w:szCs w:val="28"/>
          <w:rtl/>
          <w:lang w:bidi="ar-LB"/>
        </w:rPr>
        <w:t>286</w:t>
      </w:r>
      <w:r w:rsidRPr="004B7958">
        <w:rPr>
          <w:rFonts w:ascii="Arial" w:hAnsi="Arial" w:cs="DanaFajr" w:hint="cs"/>
          <w:sz w:val="28"/>
          <w:szCs w:val="28"/>
          <w:rtl/>
          <w:lang w:bidi="ar-LB"/>
        </w:rPr>
        <w:t>)</w:t>
      </w:r>
      <w:r w:rsidRPr="004B7958">
        <w:rPr>
          <w:rFonts w:ascii="Arial" w:hAnsi="Arial" w:cs="DanaFajr"/>
          <w:sz w:val="28"/>
          <w:szCs w:val="28"/>
          <w:rtl/>
          <w:lang w:bidi="ar-LB"/>
        </w:rPr>
        <w:t>.</w:t>
      </w:r>
      <w:r w:rsidRPr="00715694">
        <w:rPr>
          <w:rFonts w:ascii="Arial" w:hAnsi="Arial" w:cs="DanaFajr"/>
          <w:sz w:val="28"/>
          <w:szCs w:val="28"/>
          <w:rtl/>
          <w:lang w:bidi="ar-LB"/>
        </w:rPr>
        <w:t xml:space="preserve"> </w:t>
      </w:r>
    </w:p>
  </w:endnote>
  <w:endnote w:id="159">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عبد الحميد متولي، مبادئ نظام الحكم في الإسلام: 417، منشأة المعارف، الإسكندرية،</w:t>
      </w:r>
      <w:r w:rsidRPr="00AB1767">
        <w:rPr>
          <w:rFonts w:cs="DanaFajr" w:hint="cs"/>
          <w:sz w:val="28"/>
          <w:szCs w:val="28"/>
          <w:rtl/>
          <w:lang w:bidi="ar-OM"/>
        </w:rPr>
        <w:t xml:space="preserve"> </w:t>
      </w:r>
      <w:r w:rsidRPr="001E5E90">
        <w:rPr>
          <w:rFonts w:cs="DanaFajr" w:hint="cs"/>
          <w:sz w:val="28"/>
          <w:szCs w:val="28"/>
          <w:rtl/>
          <w:lang w:bidi="ar-OM"/>
        </w:rPr>
        <w:t xml:space="preserve">1978م. </w:t>
      </w:r>
    </w:p>
  </w:endnote>
  <w:endnote w:id="160">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ابن حزم الظاهري، الفصل في الملل والأهواء والنحل 4: 110، دار المعرفة، 1970. </w:t>
      </w:r>
    </w:p>
  </w:endnote>
  <w:endnote w:id="161">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عبد القاهر البغدادي، الفرق بين الفرق: 110، دار المعرفة، بيروت. </w:t>
      </w:r>
    </w:p>
  </w:endnote>
  <w:endnote w:id="162">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أبو الحسن الماوردي، </w:t>
      </w:r>
      <w:r w:rsidRPr="001E5E90">
        <w:rPr>
          <w:rFonts w:cs="DanaFajr"/>
          <w:sz w:val="28"/>
          <w:szCs w:val="28"/>
          <w:rtl/>
          <w:lang w:bidi="ar-OM"/>
        </w:rPr>
        <w:t>ال</w:t>
      </w:r>
      <w:r w:rsidRPr="001E5E90">
        <w:rPr>
          <w:rFonts w:cs="DanaFajr" w:hint="cs"/>
          <w:sz w:val="28"/>
          <w:szCs w:val="28"/>
          <w:rtl/>
          <w:lang w:bidi="ar-OM"/>
        </w:rPr>
        <w:t>أ</w:t>
      </w:r>
      <w:r w:rsidRPr="001E5E90">
        <w:rPr>
          <w:rFonts w:cs="DanaFajr"/>
          <w:sz w:val="28"/>
          <w:szCs w:val="28"/>
          <w:rtl/>
          <w:lang w:bidi="ar-OM"/>
        </w:rPr>
        <w:t>حكام السلطانية و</w:t>
      </w:r>
      <w:r w:rsidRPr="001E5E90">
        <w:rPr>
          <w:rFonts w:cs="DanaFajr" w:hint="cs"/>
          <w:sz w:val="28"/>
          <w:szCs w:val="28"/>
          <w:rtl/>
          <w:lang w:bidi="ar-OM"/>
        </w:rPr>
        <w:t>الولايات الدينية: 65، دار الكتب العلمية، بيروت،</w:t>
      </w:r>
      <w:r w:rsidRPr="00AB1767">
        <w:rPr>
          <w:rFonts w:cs="DanaFajr" w:hint="cs"/>
          <w:sz w:val="28"/>
          <w:szCs w:val="28"/>
          <w:rtl/>
          <w:lang w:bidi="ar-OM"/>
        </w:rPr>
        <w:t xml:space="preserve"> </w:t>
      </w:r>
      <w:r w:rsidRPr="001E5E90">
        <w:rPr>
          <w:rFonts w:cs="DanaFajr" w:hint="cs"/>
          <w:sz w:val="28"/>
          <w:szCs w:val="28"/>
          <w:rtl/>
          <w:lang w:bidi="ar-OM"/>
        </w:rPr>
        <w:t xml:space="preserve">1979م. </w:t>
      </w:r>
    </w:p>
  </w:endnote>
  <w:endnote w:id="163">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العضد القاضي </w:t>
      </w:r>
      <w:r w:rsidRPr="001E5E90">
        <w:rPr>
          <w:rFonts w:cs="DanaFajr"/>
          <w:sz w:val="28"/>
          <w:szCs w:val="28"/>
          <w:rtl/>
          <w:lang w:bidi="ar-OM"/>
        </w:rPr>
        <w:t xml:space="preserve">الإيجي، المواقف </w:t>
      </w:r>
      <w:r w:rsidRPr="001E5E90">
        <w:rPr>
          <w:rFonts w:cs="DanaFajr" w:hint="cs"/>
          <w:sz w:val="28"/>
          <w:szCs w:val="28"/>
          <w:rtl/>
          <w:lang w:bidi="ar-OM"/>
        </w:rPr>
        <w:t xml:space="preserve">في علم الكلام: </w:t>
      </w:r>
      <w:r w:rsidRPr="001E5E90">
        <w:rPr>
          <w:rFonts w:cs="DanaFajr"/>
          <w:sz w:val="28"/>
          <w:szCs w:val="28"/>
          <w:rtl/>
          <w:lang w:bidi="ar-OM"/>
        </w:rPr>
        <w:t>398</w:t>
      </w:r>
      <w:r w:rsidRPr="001E5E90">
        <w:rPr>
          <w:rFonts w:cs="DanaFajr" w:hint="cs"/>
          <w:sz w:val="28"/>
          <w:szCs w:val="28"/>
          <w:rtl/>
          <w:lang w:bidi="ar-OM"/>
        </w:rPr>
        <w:t xml:space="preserve">، عالم الكتب، بيروت. </w:t>
      </w:r>
    </w:p>
  </w:endnote>
  <w:endnote w:id="164">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مصطفى السباعي، المرأة بين الفقه والقانون: 24 ـ 34، دار الورّاق، السعودية، 1999م؛ حافظ</w:t>
      </w:r>
      <w:r w:rsidRPr="00AB1767">
        <w:rPr>
          <w:rFonts w:cs="DanaFajr" w:hint="cs"/>
          <w:sz w:val="28"/>
          <w:szCs w:val="28"/>
          <w:rtl/>
          <w:lang w:bidi="ar-OM"/>
        </w:rPr>
        <w:t xml:space="preserve"> </w:t>
      </w:r>
      <w:r w:rsidRPr="001E5E90">
        <w:rPr>
          <w:rFonts w:cs="DanaFajr" w:hint="cs"/>
          <w:sz w:val="28"/>
          <w:szCs w:val="28"/>
          <w:rtl/>
          <w:lang w:bidi="ar-OM"/>
        </w:rPr>
        <w:t xml:space="preserve">محمد أنور، ولاية المرأة في الفقه الاسلامي: 129، دار بلنسية، 1420هـ، السعودية. </w:t>
      </w:r>
    </w:p>
  </w:endnote>
  <w:endnote w:id="165">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جعفر السبحاني، معالم الحكومة الإسلامية: 276، دار الأضواء، بيروت، 1984م. </w:t>
      </w:r>
    </w:p>
  </w:endnote>
  <w:endnote w:id="166">
    <w:p w:rsidR="00F41F33" w:rsidRPr="001E5E90" w:rsidRDefault="00F41F33" w:rsidP="00725CEA">
      <w:pPr>
        <w:pStyle w:val="aa"/>
        <w:spacing w:line="300" w:lineRule="exact"/>
        <w:ind w:firstLine="0"/>
        <w:rPr>
          <w:rFonts w:cs="DanaFajr"/>
          <w:sz w:val="28"/>
          <w:szCs w:val="28"/>
          <w:lang w:bidi="ar-OM"/>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محمد عبد القادر أبو فارس، النظام السياسي في الإسلام: 182، </w:t>
      </w:r>
      <w:r w:rsidRPr="001E5E90">
        <w:rPr>
          <w:rFonts w:ascii="Tahoma" w:hAnsi="Tahoma" w:cs="DanaFajr" w:hint="cs"/>
          <w:sz w:val="28"/>
          <w:szCs w:val="28"/>
          <w:rtl/>
        </w:rPr>
        <w:t>مكتبة الرسالة، عَمّان</w:t>
      </w:r>
      <w:r w:rsidRPr="001E5E90">
        <w:rPr>
          <w:rFonts w:cs="DanaFajr" w:hint="cs"/>
          <w:sz w:val="28"/>
          <w:szCs w:val="28"/>
          <w:rtl/>
          <w:lang w:bidi="ar-OM"/>
        </w:rPr>
        <w:t>.</w:t>
      </w:r>
    </w:p>
  </w:endnote>
  <w:endnote w:id="167">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جلال الدين السيوطي، تاريخ الخلفاء: 196، 203، المطبعة التجارية الكبرى، مصر. </w:t>
      </w:r>
    </w:p>
  </w:endnote>
  <w:endnote w:id="168">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محمد أبو فارس، النظام السياسي في الإسلام: 155 ـ 253. </w:t>
      </w:r>
    </w:p>
  </w:endnote>
  <w:endnote w:id="169">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المصدر السابق: 182؛ مصطفى السباعي، المرأة بين الشريعة والقانون: 34.</w:t>
      </w:r>
    </w:p>
  </w:endnote>
  <w:endnote w:id="170">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محمد باقر الصدر، الفتاوى الواضحة 1: 30، مطبعة الآداب، النجف، الطبعة الثانية. </w:t>
      </w:r>
    </w:p>
  </w:endnote>
  <w:endnote w:id="171">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روح الله الخميني، الحكومة الإسلامية: 68، مؤسّسة تنظيم ونشر تراث الإمام الخميني،</w:t>
      </w:r>
      <w:r w:rsidRPr="00AB1767">
        <w:rPr>
          <w:rFonts w:cs="DanaFajr" w:hint="cs"/>
          <w:sz w:val="28"/>
          <w:szCs w:val="28"/>
          <w:rtl/>
          <w:lang w:bidi="ar-OM"/>
        </w:rPr>
        <w:t xml:space="preserve"> </w:t>
      </w:r>
      <w:r w:rsidRPr="001E5E90">
        <w:rPr>
          <w:rFonts w:cs="DanaFajr" w:hint="cs"/>
          <w:sz w:val="28"/>
          <w:szCs w:val="28"/>
          <w:rtl/>
          <w:lang w:bidi="ar-OM"/>
        </w:rPr>
        <w:t xml:space="preserve">طهران، 2004م. </w:t>
      </w:r>
    </w:p>
  </w:endnote>
  <w:endnote w:id="172">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روح الله الخميني، كتاب البيع 2: 615، ط1، 1421هـ، طهران. </w:t>
      </w:r>
    </w:p>
  </w:endnote>
  <w:endnote w:id="173">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روح الله الخميني، تحرير الوسيلة 2: 407، دار الصراط المستقيم، 1989م. </w:t>
      </w:r>
    </w:p>
  </w:endnote>
  <w:endnote w:id="174">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المصدر السابق 1: 5 ـ 7. </w:t>
      </w:r>
    </w:p>
  </w:endnote>
  <w:endnote w:id="175">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جعفر السبحاني، معالم الحكومة الإسلامية، 279؛ حسين علي المنتظري، دراسات في ولاية</w:t>
      </w:r>
      <w:r w:rsidRPr="00AB1767">
        <w:rPr>
          <w:rFonts w:cs="DanaFajr" w:hint="cs"/>
          <w:sz w:val="28"/>
          <w:szCs w:val="28"/>
          <w:rtl/>
          <w:lang w:bidi="ar-OM"/>
        </w:rPr>
        <w:t xml:space="preserve"> </w:t>
      </w:r>
      <w:r w:rsidRPr="001E5E90">
        <w:rPr>
          <w:rFonts w:cs="DanaFajr" w:hint="cs"/>
          <w:sz w:val="28"/>
          <w:szCs w:val="28"/>
          <w:rtl/>
          <w:lang w:bidi="ar-OM"/>
        </w:rPr>
        <w:t>الفقيه 1: 335، الدار الإسلامية، بيروت، 1988م؛ كاظم الحائري، أساس الحكومة الإسلامية: 161،</w:t>
      </w:r>
      <w:r w:rsidRPr="00AB1767">
        <w:rPr>
          <w:rFonts w:cs="DanaFajr" w:hint="cs"/>
          <w:sz w:val="28"/>
          <w:szCs w:val="28"/>
          <w:rtl/>
          <w:lang w:bidi="ar-OM"/>
        </w:rPr>
        <w:t xml:space="preserve"> </w:t>
      </w:r>
      <w:r w:rsidRPr="001E5E90">
        <w:rPr>
          <w:rFonts w:cs="DanaFajr" w:hint="cs"/>
          <w:sz w:val="28"/>
          <w:szCs w:val="28"/>
          <w:rtl/>
          <w:lang w:bidi="ar-OM"/>
        </w:rPr>
        <w:t xml:space="preserve">الدار الإسلامية، 1979م. </w:t>
      </w:r>
    </w:p>
  </w:endnote>
  <w:endnote w:id="176">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الماوردي، </w:t>
      </w:r>
      <w:r w:rsidRPr="001E5E90">
        <w:rPr>
          <w:rFonts w:cs="DanaFajr"/>
          <w:sz w:val="28"/>
          <w:szCs w:val="28"/>
          <w:rtl/>
          <w:lang w:bidi="ar-OM"/>
        </w:rPr>
        <w:t>ال</w:t>
      </w:r>
      <w:r w:rsidRPr="001E5E90">
        <w:rPr>
          <w:rFonts w:cs="DanaFajr" w:hint="cs"/>
          <w:sz w:val="28"/>
          <w:szCs w:val="28"/>
          <w:rtl/>
          <w:lang w:bidi="ar-OM"/>
        </w:rPr>
        <w:t>أ</w:t>
      </w:r>
      <w:r w:rsidRPr="001E5E90">
        <w:rPr>
          <w:rFonts w:cs="DanaFajr"/>
          <w:sz w:val="28"/>
          <w:szCs w:val="28"/>
          <w:rtl/>
          <w:lang w:bidi="ar-OM"/>
        </w:rPr>
        <w:t>حكام السلطانية: 65</w:t>
      </w:r>
      <w:r w:rsidRPr="001E5E90">
        <w:rPr>
          <w:rFonts w:cs="DanaFajr" w:hint="cs"/>
          <w:sz w:val="28"/>
          <w:szCs w:val="28"/>
          <w:rtl/>
          <w:lang w:bidi="ar-OM"/>
        </w:rPr>
        <w:t xml:space="preserve">: 7. </w:t>
      </w:r>
    </w:p>
  </w:endnote>
  <w:endnote w:id="177">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ابن رشد، بداية المجتهد ونهاية المقتصد 2: 377، تحقيق: خالد العطار، دار الفكر، 1995. </w:t>
      </w:r>
    </w:p>
  </w:endnote>
  <w:endnote w:id="178">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حافظ أنور، ولاية المرأة في الفقه الإسلامي: 222. </w:t>
      </w:r>
    </w:p>
  </w:endnote>
  <w:endnote w:id="179">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ابن قدامة المقدسي، المغني 11: 380، دار الكتاب العربي. </w:t>
      </w:r>
    </w:p>
  </w:endnote>
  <w:endnote w:id="180">
    <w:p w:rsidR="00F41F33" w:rsidRPr="00AB1767"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جعفر السبحاني، نظام القضاء والشهادة في الشريعة الإسلامية الغرّاء 2: 383، موقع المؤلف</w:t>
      </w:r>
      <w:r w:rsidRPr="00AB1767">
        <w:rPr>
          <w:rFonts w:cs="DanaFajr" w:hint="cs"/>
          <w:sz w:val="28"/>
          <w:szCs w:val="28"/>
          <w:rtl/>
          <w:lang w:bidi="ar-OM"/>
        </w:rPr>
        <w:t xml:space="preserve"> في الشبكة الإلكترونية. </w:t>
      </w:r>
    </w:p>
  </w:endnote>
  <w:endnote w:id="181">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أبو جعفر الطوسي، المبسوط في الفقه 8: 101، تحقيق: محمد علي الكشفي، 1387هـ. </w:t>
      </w:r>
    </w:p>
  </w:endnote>
  <w:endnote w:id="182">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أبو جعفر الطوسي، الخلاف في الفقه 6: 213، مؤسّسة النشر الاسلامي، قم ، 1417؛ </w:t>
      </w:r>
      <w:r w:rsidRPr="001E5E90">
        <w:rPr>
          <w:rFonts w:cs="DanaFajr"/>
          <w:sz w:val="28"/>
          <w:szCs w:val="28"/>
          <w:rtl/>
          <w:lang w:bidi="ar-OM"/>
        </w:rPr>
        <w:t>المبسوط</w:t>
      </w:r>
      <w:r w:rsidRPr="00AB1767">
        <w:rPr>
          <w:rFonts w:cs="DanaFajr" w:hint="cs"/>
          <w:sz w:val="28"/>
          <w:szCs w:val="28"/>
          <w:rtl/>
          <w:lang w:bidi="ar-OM"/>
        </w:rPr>
        <w:t xml:space="preserve"> </w:t>
      </w:r>
      <w:r w:rsidRPr="001E5E90">
        <w:rPr>
          <w:rFonts w:cs="DanaFajr" w:hint="cs"/>
          <w:sz w:val="28"/>
          <w:szCs w:val="28"/>
          <w:rtl/>
          <w:lang w:bidi="ar-OM"/>
        </w:rPr>
        <w:t xml:space="preserve">8: 101. </w:t>
      </w:r>
    </w:p>
  </w:endnote>
  <w:endnote w:id="183">
    <w:p w:rsidR="00F41F33" w:rsidRPr="001E5E90" w:rsidRDefault="00F41F33" w:rsidP="00725CEA">
      <w:pPr>
        <w:spacing w:line="300" w:lineRule="exact"/>
        <w:ind w:firstLine="0"/>
        <w:rPr>
          <w:rFonts w:cs="DanaFajr"/>
          <w:szCs w:val="28"/>
          <w:lang w:bidi="ar-OM"/>
        </w:rPr>
      </w:pPr>
      <w:r w:rsidRPr="001E5E90">
        <w:rPr>
          <w:rFonts w:cs="DanaFajr" w:hint="cs"/>
          <w:szCs w:val="28"/>
          <w:rtl/>
        </w:rPr>
        <w:t>(</w:t>
      </w:r>
      <w:r w:rsidRPr="001E5E90">
        <w:rPr>
          <w:rStyle w:val="ac"/>
          <w:rFonts w:cs="DanaFajr"/>
          <w:szCs w:val="28"/>
          <w:vertAlign w:val="baseline"/>
        </w:rPr>
        <w:endnoteRef/>
      </w:r>
      <w:r w:rsidRPr="001E5E90">
        <w:rPr>
          <w:rFonts w:cs="DanaFajr" w:hint="cs"/>
          <w:szCs w:val="28"/>
          <w:rtl/>
        </w:rPr>
        <w:t xml:space="preserve">) </w:t>
      </w:r>
      <w:r w:rsidRPr="001E5E90">
        <w:rPr>
          <w:rFonts w:cs="DanaFajr" w:hint="cs"/>
          <w:szCs w:val="28"/>
          <w:rtl/>
          <w:lang w:bidi="ar-OM"/>
        </w:rPr>
        <w:t>عبد العزيز بن البرّاج، المهذّب في الفقه 2: 599، مؤسّسة سيد الشهداء، 1406هـ؛ جعفر بن</w:t>
      </w:r>
      <w:r w:rsidRPr="00AB1767">
        <w:rPr>
          <w:rFonts w:cs="DanaFajr" w:hint="cs"/>
          <w:szCs w:val="28"/>
          <w:rtl/>
          <w:lang w:bidi="ar-OM"/>
        </w:rPr>
        <w:t xml:space="preserve"> </w:t>
      </w:r>
      <w:r w:rsidRPr="001E5E90">
        <w:rPr>
          <w:rFonts w:cs="DanaFajr" w:hint="cs"/>
          <w:szCs w:val="28"/>
          <w:rtl/>
          <w:lang w:bidi="ar-OM"/>
        </w:rPr>
        <w:t xml:space="preserve">الحسن الحلّي، شرائع الإسلام 2: 856، مؤسّسة الوفاء، بيروت، 1983م. </w:t>
      </w:r>
    </w:p>
  </w:endnote>
  <w:endnote w:id="184">
    <w:p w:rsidR="00F41F33" w:rsidRPr="001E5E90" w:rsidRDefault="00F41F33" w:rsidP="00725CEA">
      <w:pPr>
        <w:pStyle w:val="aa"/>
        <w:spacing w:line="300" w:lineRule="exact"/>
        <w:ind w:firstLine="0"/>
        <w:rPr>
          <w:rFonts w:cs="DanaFajr"/>
          <w:sz w:val="28"/>
          <w:szCs w:val="28"/>
          <w:lang w:bidi="ar-OM"/>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محمد بن إبراهيم الكندي، بيان الشرع 28: 25، وزارة التراث، 1988؛ أبو بكر بن عبد الله</w:t>
      </w:r>
      <w:r w:rsidRPr="00AB1767">
        <w:rPr>
          <w:rFonts w:cs="DanaFajr" w:hint="cs"/>
          <w:sz w:val="28"/>
          <w:szCs w:val="28"/>
          <w:rtl/>
          <w:lang w:bidi="ar-OM"/>
        </w:rPr>
        <w:t xml:space="preserve"> </w:t>
      </w:r>
      <w:r w:rsidRPr="001E5E90">
        <w:rPr>
          <w:rFonts w:cs="DanaFajr" w:hint="cs"/>
          <w:sz w:val="28"/>
          <w:szCs w:val="28"/>
          <w:rtl/>
          <w:lang w:bidi="ar-OM"/>
        </w:rPr>
        <w:t>بن موسى الكندي السمدي، المصنّف 13: 66، وزارة التراث، 1984؛ خميس بن سعيد بن علي</w:t>
      </w:r>
      <w:r w:rsidRPr="00AB1767">
        <w:rPr>
          <w:rFonts w:cs="DanaFajr" w:hint="cs"/>
          <w:sz w:val="28"/>
          <w:szCs w:val="28"/>
          <w:rtl/>
          <w:lang w:bidi="ar-OM"/>
        </w:rPr>
        <w:t xml:space="preserve"> </w:t>
      </w:r>
      <w:r w:rsidRPr="001E5E90">
        <w:rPr>
          <w:rFonts w:cs="DanaFajr" w:hint="cs"/>
          <w:sz w:val="28"/>
          <w:szCs w:val="28"/>
          <w:rtl/>
          <w:lang w:bidi="ar-OM"/>
        </w:rPr>
        <w:t xml:space="preserve">الشقصي الرستاقي، منهج الطالبين وبلاغ الراغبين 5: 327، ط1، مكتبة مسقط، 2006. </w:t>
      </w:r>
    </w:p>
  </w:endnote>
  <w:endnote w:id="185">
    <w:p w:rsidR="00F41F33" w:rsidRPr="001E5E90" w:rsidRDefault="00F41F33" w:rsidP="00725CEA">
      <w:pPr>
        <w:pStyle w:val="aa"/>
        <w:spacing w:line="300" w:lineRule="exact"/>
        <w:ind w:firstLine="0"/>
        <w:rPr>
          <w:rFonts w:cs="DanaFajr"/>
          <w:sz w:val="28"/>
          <w:szCs w:val="28"/>
          <w:lang w:bidi="ar-OM"/>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أحمد بن يحيى المرتضى، شرح الأزهار 4: 310، الشبكة الإلكترونية. </w:t>
      </w:r>
    </w:p>
  </w:endnote>
  <w:endnote w:id="186">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سيد سابق، فقه السنّة 3: 308، دار الكتاب العربي، بيروت، 1987م؛ محمد باقر الصدر،</w:t>
      </w:r>
      <w:r w:rsidRPr="00AB1767">
        <w:rPr>
          <w:rFonts w:cs="DanaFajr" w:hint="cs"/>
          <w:sz w:val="28"/>
          <w:szCs w:val="28"/>
          <w:rtl/>
          <w:lang w:bidi="ar-OM"/>
        </w:rPr>
        <w:t xml:space="preserve"> </w:t>
      </w:r>
      <w:r w:rsidRPr="001E5E90">
        <w:rPr>
          <w:rFonts w:cs="DanaFajr"/>
          <w:sz w:val="28"/>
          <w:szCs w:val="28"/>
          <w:rtl/>
          <w:lang w:bidi="ar-OM"/>
        </w:rPr>
        <w:t xml:space="preserve">الفتاوى الواضحة: </w:t>
      </w:r>
      <w:r w:rsidRPr="001E5E90">
        <w:rPr>
          <w:rFonts w:cs="DanaFajr" w:hint="cs"/>
          <w:sz w:val="28"/>
          <w:szCs w:val="28"/>
          <w:rtl/>
          <w:lang w:bidi="ar-OM"/>
        </w:rPr>
        <w:t xml:space="preserve">21 ـ 30، مطبعة الآداب، النجف، 1977م؛ أبو القاسم الخوئي، </w:t>
      </w:r>
      <w:r w:rsidRPr="001E5E90">
        <w:rPr>
          <w:rFonts w:cs="DanaFajr"/>
          <w:sz w:val="28"/>
          <w:szCs w:val="28"/>
          <w:rtl/>
          <w:lang w:bidi="ar-OM"/>
        </w:rPr>
        <w:t xml:space="preserve">تكملة </w:t>
      </w:r>
      <w:r w:rsidRPr="001E5E90">
        <w:rPr>
          <w:rFonts w:cs="DanaFajr" w:hint="cs"/>
          <w:sz w:val="28"/>
          <w:szCs w:val="28"/>
          <w:rtl/>
          <w:lang w:bidi="ar-OM"/>
        </w:rPr>
        <w:t>منهاج</w:t>
      </w:r>
      <w:r w:rsidRPr="00AB1767">
        <w:rPr>
          <w:rFonts w:cs="DanaFajr" w:hint="cs"/>
          <w:sz w:val="28"/>
          <w:szCs w:val="28"/>
          <w:rtl/>
          <w:lang w:bidi="ar-OM"/>
        </w:rPr>
        <w:t xml:space="preserve"> </w:t>
      </w:r>
      <w:r w:rsidRPr="001E5E90">
        <w:rPr>
          <w:rFonts w:cs="DanaFajr" w:hint="cs"/>
          <w:sz w:val="28"/>
          <w:szCs w:val="28"/>
          <w:rtl/>
          <w:lang w:bidi="ar-OM"/>
        </w:rPr>
        <w:t>الصالحين: 4، مطبعة الآداب، النجف، 1979م؛ روح الله الخميني، تحرير الوسيلة 2: 407.</w:t>
      </w:r>
    </w:p>
  </w:endnote>
  <w:endnote w:id="187">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حافظ أنور، ولاية المرأة في الفقه الاسلامي: 249. </w:t>
      </w:r>
    </w:p>
  </w:endnote>
  <w:endnote w:id="188">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ابن رشد، بداية المجتهد 2: 377. </w:t>
      </w:r>
    </w:p>
  </w:endnote>
  <w:endnote w:id="189">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حسين المنتظري، دراسات في الفقه السياسي 1: 335؛ كاظم الحائري، أساس الحكومة</w:t>
      </w:r>
      <w:r w:rsidRPr="00AB1767">
        <w:rPr>
          <w:rFonts w:cs="DanaFajr" w:hint="cs"/>
          <w:sz w:val="28"/>
          <w:szCs w:val="28"/>
          <w:rtl/>
          <w:lang w:bidi="ar-OM"/>
        </w:rPr>
        <w:t xml:space="preserve"> </w:t>
      </w:r>
      <w:r w:rsidRPr="001E5E90">
        <w:rPr>
          <w:rFonts w:cs="DanaFajr" w:hint="cs"/>
          <w:sz w:val="28"/>
          <w:szCs w:val="28"/>
          <w:rtl/>
          <w:lang w:bidi="ar-OM"/>
        </w:rPr>
        <w:t>الإسلامية: 161؛ جعفر السبحاني، معالم الحكومة الإسلامية: 279.</w:t>
      </w:r>
    </w:p>
  </w:endnote>
  <w:endnote w:id="190">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w:t>
      </w:r>
      <w:r w:rsidRPr="001E5E90">
        <w:rPr>
          <w:rFonts w:cs="DanaFajr" w:hint="cs"/>
          <w:sz w:val="28"/>
          <w:szCs w:val="28"/>
          <w:rtl/>
          <w:lang w:bidi="ar-OM"/>
        </w:rPr>
        <w:t xml:space="preserve"> أحمد عبد الله أبو زيد العاملي، محمد باقر الصدر، السيرة والمسيرة 5: 237، جواب على</w:t>
      </w:r>
      <w:r w:rsidRPr="00AB1767">
        <w:rPr>
          <w:rFonts w:cs="DanaFajr" w:hint="cs"/>
          <w:sz w:val="28"/>
          <w:szCs w:val="28"/>
          <w:rtl/>
          <w:lang w:bidi="ar-OM"/>
        </w:rPr>
        <w:t xml:space="preserve"> </w:t>
      </w:r>
      <w:r w:rsidRPr="001E5E90">
        <w:rPr>
          <w:rFonts w:cs="DanaFajr" w:hint="cs"/>
          <w:sz w:val="28"/>
          <w:szCs w:val="28"/>
          <w:rtl/>
          <w:lang w:bidi="ar-OM"/>
        </w:rPr>
        <w:t>استفتاء في سنة 1393هـ، مؤسسة العارف للمطبوعات، بيروت، 2006م. وراجع أيضاً: الفتوى</w:t>
      </w:r>
      <w:r w:rsidRPr="00AB1767">
        <w:rPr>
          <w:rFonts w:cs="DanaFajr" w:hint="cs"/>
          <w:sz w:val="28"/>
          <w:szCs w:val="28"/>
          <w:rtl/>
          <w:lang w:bidi="ar-OM"/>
        </w:rPr>
        <w:t xml:space="preserve"> </w:t>
      </w:r>
      <w:r w:rsidRPr="001E5E90">
        <w:rPr>
          <w:rFonts w:cs="DanaFajr" w:hint="cs"/>
          <w:sz w:val="28"/>
          <w:szCs w:val="28"/>
          <w:rtl/>
          <w:lang w:bidi="ar-OM"/>
        </w:rPr>
        <w:t>الصادرة من لجنة الفتوى بالأزهر سنة 1952م (عبد الحميد متولي، مبادئ نظام الحكم في الإسلام:</w:t>
      </w:r>
      <w:r w:rsidRPr="00AB1767">
        <w:rPr>
          <w:rFonts w:cs="DanaFajr" w:hint="cs"/>
          <w:sz w:val="28"/>
          <w:szCs w:val="28"/>
          <w:rtl/>
          <w:lang w:bidi="ar-OM"/>
        </w:rPr>
        <w:t xml:space="preserve"> </w:t>
      </w:r>
      <w:r w:rsidRPr="001E5E90">
        <w:rPr>
          <w:rFonts w:cs="DanaFajr" w:hint="cs"/>
          <w:sz w:val="28"/>
          <w:szCs w:val="28"/>
          <w:rtl/>
          <w:lang w:bidi="ar-OM"/>
        </w:rPr>
        <w:t xml:space="preserve">417). </w:t>
      </w:r>
    </w:p>
  </w:endnote>
  <w:endnote w:id="191">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أبو القاسم الخوئي، صراط النجاة 2: 370، دار المحجة البيضاء، بيروت، 1996م. </w:t>
      </w:r>
    </w:p>
  </w:endnote>
  <w:endnote w:id="192">
    <w:p w:rsidR="00F41F33" w:rsidRPr="001E5E90" w:rsidRDefault="00F41F33" w:rsidP="00725CEA">
      <w:pPr>
        <w:pStyle w:val="aa"/>
        <w:spacing w:line="300" w:lineRule="exact"/>
        <w:ind w:firstLine="0"/>
        <w:rPr>
          <w:rFonts w:cs="DanaFajr"/>
          <w:sz w:val="28"/>
          <w:szCs w:val="28"/>
          <w:rtl/>
          <w:lang w:bidi="ar-LB"/>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محمد باقر الصدر، السيرة والمسيرة 5: 235 ـ 237؛ مصطفى السباعي، المرأة بين الفقه</w:t>
      </w:r>
      <w:r w:rsidRPr="00AB1767">
        <w:rPr>
          <w:rFonts w:cs="DanaFajr" w:hint="cs"/>
          <w:sz w:val="28"/>
          <w:szCs w:val="28"/>
          <w:rtl/>
          <w:lang w:bidi="ar-OM"/>
        </w:rPr>
        <w:t xml:space="preserve"> </w:t>
      </w:r>
      <w:r w:rsidRPr="001E5E90">
        <w:rPr>
          <w:rFonts w:cs="DanaFajr" w:hint="cs"/>
          <w:sz w:val="28"/>
          <w:szCs w:val="28"/>
          <w:rtl/>
          <w:lang w:bidi="ar-OM"/>
        </w:rPr>
        <w:t xml:space="preserve">والقانون: 125. </w:t>
      </w:r>
    </w:p>
  </w:endnote>
  <w:endnote w:id="193">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أبو الأعلى المودودي، نظرية الإسلام وهديه في السياسة والقانون والدستور: 316 ـ 317،</w:t>
      </w:r>
      <w:r w:rsidRPr="00AB1767">
        <w:rPr>
          <w:rFonts w:cs="DanaFajr" w:hint="cs"/>
          <w:sz w:val="28"/>
          <w:szCs w:val="28"/>
          <w:rtl/>
          <w:lang w:bidi="ar-OM"/>
        </w:rPr>
        <w:t xml:space="preserve"> </w:t>
      </w:r>
      <w:r w:rsidRPr="001E5E90">
        <w:rPr>
          <w:rFonts w:cs="DanaFajr" w:hint="cs"/>
          <w:sz w:val="28"/>
          <w:szCs w:val="28"/>
          <w:rtl/>
          <w:lang w:bidi="ar-OM"/>
        </w:rPr>
        <w:t xml:space="preserve">مؤسّسة الرسالة، بيروت، 1983م. </w:t>
      </w:r>
    </w:p>
  </w:endnote>
  <w:endnote w:id="194">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يوسف القرضاوي، للمرأة تولّي الإفتاء والقضاء والرئاسة، موقع القرضاوي الإلكتروني،</w:t>
      </w:r>
      <w:r w:rsidRPr="00AB1767">
        <w:rPr>
          <w:rFonts w:cs="DanaFajr" w:hint="cs"/>
          <w:sz w:val="28"/>
          <w:szCs w:val="28"/>
          <w:rtl/>
          <w:lang w:bidi="ar-OM"/>
        </w:rPr>
        <w:t xml:space="preserve"> </w:t>
      </w:r>
      <w:r w:rsidRPr="001E5E90">
        <w:rPr>
          <w:rFonts w:cs="DanaFajr" w:hint="cs"/>
          <w:sz w:val="28"/>
          <w:szCs w:val="28"/>
          <w:rtl/>
          <w:lang w:bidi="ar-OM"/>
        </w:rPr>
        <w:t xml:space="preserve">(31/8/2009). </w:t>
      </w:r>
    </w:p>
  </w:endnote>
  <w:endnote w:id="195">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محمد مهدي شمس الدين، أهلية المرأة لتولي السلطة: 47، 83، 98، المؤسّسة الدولية</w:t>
      </w:r>
      <w:r w:rsidRPr="00AB1767">
        <w:rPr>
          <w:rFonts w:cs="DanaFajr" w:hint="cs"/>
          <w:sz w:val="28"/>
          <w:szCs w:val="28"/>
          <w:rtl/>
          <w:lang w:bidi="ar-OM"/>
        </w:rPr>
        <w:t xml:space="preserve"> </w:t>
      </w:r>
      <w:r w:rsidRPr="001E5E90">
        <w:rPr>
          <w:rFonts w:cs="DanaFajr" w:hint="cs"/>
          <w:sz w:val="28"/>
          <w:szCs w:val="28"/>
          <w:rtl/>
          <w:lang w:bidi="ar-OM"/>
        </w:rPr>
        <w:t xml:space="preserve">للدراسات والنشر، 1995م، بيروت. </w:t>
      </w:r>
    </w:p>
  </w:endnote>
  <w:endnote w:id="196">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محمد مهدي شمس الدين، أهلية المرأة لتولّي السلطة: 84؛ محمد الغزالي، السنّة بين أهل</w:t>
      </w:r>
      <w:r w:rsidRPr="00AB1767">
        <w:rPr>
          <w:rFonts w:cs="DanaFajr" w:hint="cs"/>
          <w:sz w:val="28"/>
          <w:szCs w:val="28"/>
          <w:rtl/>
          <w:lang w:bidi="ar-OM"/>
        </w:rPr>
        <w:t xml:space="preserve"> </w:t>
      </w:r>
      <w:r w:rsidRPr="001E5E90">
        <w:rPr>
          <w:rFonts w:cs="DanaFajr" w:hint="cs"/>
          <w:sz w:val="28"/>
          <w:szCs w:val="28"/>
          <w:rtl/>
          <w:lang w:bidi="ar-OM"/>
        </w:rPr>
        <w:t xml:space="preserve">الفقه وأهل الحديث: 49، دارالشروق، القاهرة، 1989م. </w:t>
      </w:r>
    </w:p>
  </w:endnote>
  <w:endnote w:id="197">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محمد مهدي شمس الدين، أهلية المرأة لتولي السلطة: 83، 89. </w:t>
      </w:r>
    </w:p>
  </w:endnote>
  <w:endnote w:id="198">
    <w:p w:rsidR="00F41F33" w:rsidRPr="00AB1767"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حسن الجواهري، أوضاع المرأة المسلمة ودورها الاجتماعي من منظور إسلامي: 150 ـ 151،</w:t>
      </w:r>
      <w:r w:rsidRPr="00AB1767">
        <w:rPr>
          <w:rFonts w:cs="DanaFajr" w:hint="cs"/>
          <w:sz w:val="28"/>
          <w:szCs w:val="28"/>
          <w:rtl/>
          <w:lang w:bidi="ar-OM"/>
        </w:rPr>
        <w:t xml:space="preserve"> مركز الأبحاث العقائدية. </w:t>
      </w:r>
    </w:p>
  </w:endnote>
  <w:endnote w:id="199">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الماوردي، </w:t>
      </w:r>
      <w:r w:rsidRPr="001E5E90">
        <w:rPr>
          <w:rFonts w:cs="DanaFajr"/>
          <w:sz w:val="28"/>
          <w:szCs w:val="28"/>
          <w:rtl/>
          <w:lang w:bidi="ar-OM"/>
        </w:rPr>
        <w:t>ال</w:t>
      </w:r>
      <w:r w:rsidRPr="001E5E90">
        <w:rPr>
          <w:rFonts w:cs="DanaFajr" w:hint="cs"/>
          <w:sz w:val="28"/>
          <w:szCs w:val="28"/>
          <w:rtl/>
          <w:lang w:bidi="ar-OM"/>
        </w:rPr>
        <w:t>أ</w:t>
      </w:r>
      <w:r w:rsidRPr="001E5E90">
        <w:rPr>
          <w:rFonts w:cs="DanaFajr"/>
          <w:sz w:val="28"/>
          <w:szCs w:val="28"/>
          <w:rtl/>
          <w:lang w:bidi="ar-OM"/>
        </w:rPr>
        <w:t>حكام السلطانية: 65</w:t>
      </w:r>
      <w:r w:rsidRPr="001E5E90">
        <w:rPr>
          <w:rFonts w:cs="DanaFajr" w:hint="cs"/>
          <w:sz w:val="28"/>
          <w:szCs w:val="28"/>
          <w:rtl/>
          <w:lang w:bidi="ar-OM"/>
        </w:rPr>
        <w:t xml:space="preserve">؛ الطوسي، </w:t>
      </w:r>
      <w:r w:rsidRPr="001E5E90">
        <w:rPr>
          <w:rFonts w:cs="DanaFajr"/>
          <w:sz w:val="28"/>
          <w:szCs w:val="28"/>
          <w:rtl/>
          <w:lang w:bidi="ar-OM"/>
        </w:rPr>
        <w:t>الخلاف 6</w:t>
      </w:r>
      <w:r w:rsidRPr="001E5E90">
        <w:rPr>
          <w:rFonts w:cs="DanaFajr" w:hint="cs"/>
          <w:sz w:val="28"/>
          <w:szCs w:val="28"/>
          <w:rtl/>
          <w:lang w:bidi="ar-OM"/>
        </w:rPr>
        <w:t xml:space="preserve">: </w:t>
      </w:r>
      <w:r w:rsidRPr="001E5E90">
        <w:rPr>
          <w:rFonts w:cs="DanaFajr"/>
          <w:sz w:val="28"/>
          <w:szCs w:val="28"/>
          <w:rtl/>
          <w:lang w:bidi="ar-OM"/>
        </w:rPr>
        <w:t>213</w:t>
      </w:r>
      <w:r w:rsidRPr="001E5E90">
        <w:rPr>
          <w:rFonts w:cs="DanaFajr" w:hint="cs"/>
          <w:sz w:val="28"/>
          <w:szCs w:val="28"/>
          <w:rtl/>
          <w:lang w:bidi="ar-OM"/>
        </w:rPr>
        <w:t>؛ ابن رشد، بداية المجتهد 2:</w:t>
      </w:r>
      <w:r w:rsidRPr="00AB1767">
        <w:rPr>
          <w:rFonts w:cs="DanaFajr" w:hint="cs"/>
          <w:sz w:val="28"/>
          <w:szCs w:val="28"/>
          <w:rtl/>
          <w:lang w:bidi="ar-OM"/>
        </w:rPr>
        <w:t xml:space="preserve"> </w:t>
      </w:r>
      <w:r w:rsidRPr="001E5E90">
        <w:rPr>
          <w:rFonts w:cs="DanaFajr" w:hint="cs"/>
          <w:sz w:val="28"/>
          <w:szCs w:val="28"/>
          <w:rtl/>
          <w:lang w:bidi="ar-OM"/>
        </w:rPr>
        <w:t xml:space="preserve">377؛ ابن قدامة المقدسي، المغني 11: 380. </w:t>
      </w:r>
    </w:p>
  </w:endnote>
  <w:endnote w:id="200">
    <w:p w:rsidR="00F41F33" w:rsidRPr="001E5E90" w:rsidRDefault="00F41F33" w:rsidP="00725CEA">
      <w:pPr>
        <w:pStyle w:val="aa"/>
        <w:spacing w:line="300" w:lineRule="exact"/>
        <w:ind w:firstLine="0"/>
        <w:rPr>
          <w:rFonts w:cs="DanaFajr"/>
          <w:sz w:val="28"/>
          <w:szCs w:val="28"/>
        </w:rPr>
      </w:pPr>
      <w:r w:rsidRPr="001E5E90">
        <w:rPr>
          <w:rFonts w:cs="DanaFajr" w:hint="cs"/>
          <w:sz w:val="28"/>
          <w:szCs w:val="28"/>
          <w:rtl/>
        </w:rPr>
        <w:t>(</w:t>
      </w:r>
      <w:r w:rsidRPr="001E5E90">
        <w:rPr>
          <w:rStyle w:val="ac"/>
          <w:rFonts w:cs="DanaFajr"/>
          <w:sz w:val="28"/>
          <w:szCs w:val="28"/>
          <w:vertAlign w:val="baseline"/>
        </w:rPr>
        <w:endnoteRef/>
      </w:r>
      <w:r w:rsidRPr="001E5E90">
        <w:rPr>
          <w:rFonts w:cs="DanaFajr" w:hint="cs"/>
          <w:sz w:val="28"/>
          <w:szCs w:val="28"/>
          <w:rtl/>
        </w:rPr>
        <w:t xml:space="preserve">) </w:t>
      </w:r>
      <w:r w:rsidRPr="001E5E90">
        <w:rPr>
          <w:rFonts w:cs="DanaFajr" w:hint="cs"/>
          <w:sz w:val="28"/>
          <w:szCs w:val="28"/>
          <w:rtl/>
          <w:lang w:bidi="ar-OM"/>
        </w:rPr>
        <w:t xml:space="preserve">ابن حزم، المحلّى 9: 429، دار الآفاق الجديدة، بيروت. </w:t>
      </w:r>
    </w:p>
  </w:endnote>
  <w:endnote w:id="201">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أبو بكر الكاساني، بدائع الصنائع في ترتيب الشرائع 7: 3، ط1، 1989م. </w:t>
      </w:r>
    </w:p>
  </w:endnote>
  <w:endnote w:id="202">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الحطاب الرعيني، مواهب الجليل لشرح مختصر خليل 8: 65، تحقيق: زكريا عميرات، دار</w:t>
      </w:r>
      <w:r w:rsidRPr="00AB1767">
        <w:rPr>
          <w:rFonts w:cs="DanaFajr" w:hint="cs"/>
          <w:sz w:val="28"/>
          <w:szCs w:val="28"/>
          <w:rtl/>
          <w:lang w:bidi="ar-OM"/>
        </w:rPr>
        <w:t xml:space="preserve"> </w:t>
      </w:r>
      <w:r w:rsidRPr="00074CA5">
        <w:rPr>
          <w:rFonts w:cs="DanaFajr" w:hint="cs"/>
          <w:sz w:val="28"/>
          <w:szCs w:val="28"/>
          <w:rtl/>
          <w:lang w:bidi="ar-OM"/>
        </w:rPr>
        <w:t xml:space="preserve">الكتب العلمية، بيروت، 1995م. </w:t>
      </w:r>
    </w:p>
  </w:endnote>
  <w:endnote w:id="203">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حافظ أنور، ولاية المرأة في الفقه الاسلامي: 226. </w:t>
      </w:r>
    </w:p>
  </w:endnote>
  <w:endnote w:id="204">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عبد العزيز بن الحاج إبراهيم الثميني، الورد البسام في رياض الأحكام 13: 39، وزارة التراث</w:t>
      </w:r>
      <w:r w:rsidRPr="00AB1767">
        <w:rPr>
          <w:rFonts w:cs="DanaFajr" w:hint="cs"/>
          <w:sz w:val="28"/>
          <w:szCs w:val="28"/>
          <w:rtl/>
          <w:lang w:bidi="ar-OM"/>
        </w:rPr>
        <w:t xml:space="preserve"> </w:t>
      </w:r>
      <w:r w:rsidRPr="00074CA5">
        <w:rPr>
          <w:rFonts w:cs="DanaFajr" w:hint="cs"/>
          <w:sz w:val="28"/>
          <w:szCs w:val="28"/>
          <w:rtl/>
          <w:lang w:bidi="ar-OM"/>
        </w:rPr>
        <w:t xml:space="preserve">القومي والثقافة، 1985. </w:t>
      </w:r>
    </w:p>
  </w:endnote>
  <w:endnote w:id="205">
    <w:p w:rsidR="00F41F33" w:rsidRPr="00074CA5" w:rsidRDefault="00F41F33" w:rsidP="00725CEA">
      <w:pPr>
        <w:pStyle w:val="aa"/>
        <w:spacing w:line="300" w:lineRule="exact"/>
        <w:ind w:firstLine="0"/>
        <w:rPr>
          <w:rFonts w:cs="DanaFajr"/>
          <w:sz w:val="28"/>
          <w:szCs w:val="28"/>
          <w:lang w:bidi="ar-OM"/>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حافظ أنور، ولاية المرأة في الفقه الاسلامي: 248.</w:t>
      </w:r>
    </w:p>
  </w:endnote>
  <w:endnote w:id="206">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أحمد بن محمد الأردبيلي، مجمع الفائدة والبرهان في شرح إرشاد الأديان 12: 15. </w:t>
      </w:r>
    </w:p>
  </w:endnote>
  <w:endnote w:id="207">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محمد مهدي الآصفي، المرأة والولاية السياسية والقضائية، مجلّة فقه أهل البيت، العدد 36:</w:t>
      </w:r>
      <w:r w:rsidRPr="00AB1767">
        <w:rPr>
          <w:rFonts w:cs="DanaFajr" w:hint="cs"/>
          <w:sz w:val="28"/>
          <w:szCs w:val="28"/>
          <w:rtl/>
          <w:lang w:bidi="ar-OM"/>
        </w:rPr>
        <w:t xml:space="preserve"> </w:t>
      </w:r>
      <w:r w:rsidRPr="00074CA5">
        <w:rPr>
          <w:rFonts w:cs="DanaFajr" w:hint="cs"/>
          <w:sz w:val="28"/>
          <w:szCs w:val="28"/>
          <w:rtl/>
          <w:lang w:bidi="ar-OM"/>
        </w:rPr>
        <w:t xml:space="preserve">73، سنة 2005م، بيروت. </w:t>
      </w:r>
    </w:p>
  </w:endnote>
  <w:endnote w:id="208">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حسين المنتظري، دراسات في الفقه السياسي 1: 351: 361؛ جعفر السبحاني، نظام القضاء</w:t>
      </w:r>
      <w:r w:rsidRPr="00AB1767">
        <w:rPr>
          <w:rFonts w:cs="DanaFajr" w:hint="cs"/>
          <w:sz w:val="28"/>
          <w:szCs w:val="28"/>
          <w:rtl/>
          <w:lang w:bidi="ar-OM"/>
        </w:rPr>
        <w:t xml:space="preserve"> </w:t>
      </w:r>
      <w:r w:rsidRPr="00074CA5">
        <w:rPr>
          <w:rFonts w:cs="DanaFajr" w:hint="cs"/>
          <w:sz w:val="28"/>
          <w:szCs w:val="28"/>
          <w:rtl/>
          <w:lang w:bidi="ar-OM"/>
        </w:rPr>
        <w:t xml:space="preserve">والشهادة في الشريعة الإسلامية الغرّاء 1: 65. </w:t>
      </w:r>
    </w:p>
  </w:endnote>
  <w:endnote w:id="209">
    <w:p w:rsidR="00F41F33" w:rsidRPr="00AB1767" w:rsidRDefault="00F41F33" w:rsidP="00725CEA">
      <w:pPr>
        <w:pStyle w:val="aa"/>
        <w:spacing w:line="300" w:lineRule="exact"/>
        <w:ind w:firstLine="0"/>
        <w:rPr>
          <w:rFonts w:cs="DanaFajr"/>
          <w:sz w:val="28"/>
          <w:szCs w:val="28"/>
        </w:rPr>
      </w:pPr>
      <w:r w:rsidRPr="00AB1767">
        <w:rPr>
          <w:rFonts w:cs="DanaFajr" w:hint="cs"/>
          <w:sz w:val="28"/>
          <w:szCs w:val="28"/>
          <w:rtl/>
        </w:rPr>
        <w:t>(</w:t>
      </w:r>
      <w:r w:rsidRPr="00AB1767">
        <w:rPr>
          <w:rStyle w:val="ac"/>
          <w:rFonts w:cs="DanaFajr"/>
          <w:sz w:val="28"/>
          <w:szCs w:val="28"/>
          <w:vertAlign w:val="baseline"/>
        </w:rPr>
        <w:endnoteRef/>
      </w:r>
      <w:r w:rsidRPr="00AB1767">
        <w:rPr>
          <w:rFonts w:cs="DanaFajr" w:hint="cs"/>
          <w:sz w:val="28"/>
          <w:szCs w:val="28"/>
          <w:rtl/>
        </w:rPr>
        <w:t xml:space="preserve">) </w:t>
      </w:r>
      <w:r w:rsidRPr="00AB1767">
        <w:rPr>
          <w:rFonts w:cs="DanaFajr" w:hint="cs"/>
          <w:sz w:val="28"/>
          <w:szCs w:val="28"/>
          <w:rtl/>
          <w:lang w:bidi="ar-OM"/>
        </w:rPr>
        <w:t>محمد الكيلاني، شرطية الذكورة في منصب القضاء، مجلة فقه أهل البيت</w:t>
      </w:r>
      <w:r w:rsidRPr="00496110">
        <w:rPr>
          <w:rFonts w:ascii="Mosawi" w:hAnsi="Mosawi" w:cs="Mosawi"/>
          <w:rtl/>
        </w:rPr>
        <w:t>^</w:t>
      </w:r>
      <w:r w:rsidRPr="00AB1767">
        <w:rPr>
          <w:rFonts w:cs="DanaFajr" w:hint="cs"/>
          <w:sz w:val="28"/>
          <w:szCs w:val="28"/>
          <w:rtl/>
          <w:lang w:bidi="ar-OM"/>
        </w:rPr>
        <w:t xml:space="preserve">، العدد </w:t>
      </w:r>
      <w:r w:rsidRPr="00074CA5">
        <w:rPr>
          <w:rFonts w:cs="DanaFajr" w:hint="cs"/>
          <w:sz w:val="28"/>
          <w:szCs w:val="28"/>
          <w:rtl/>
          <w:lang w:bidi="ar-OM"/>
        </w:rPr>
        <w:t>10</w:t>
      </w:r>
      <w:r w:rsidRPr="00AB1767">
        <w:rPr>
          <w:rFonts w:cs="DanaFajr" w:hint="cs"/>
          <w:sz w:val="28"/>
          <w:szCs w:val="28"/>
          <w:rtl/>
          <w:lang w:bidi="ar-OM"/>
        </w:rPr>
        <w:t xml:space="preserve">: </w:t>
      </w:r>
      <w:r w:rsidRPr="00074CA5">
        <w:rPr>
          <w:rFonts w:cs="DanaFajr" w:hint="cs"/>
          <w:sz w:val="28"/>
          <w:szCs w:val="28"/>
          <w:rtl/>
          <w:lang w:bidi="ar-OM"/>
        </w:rPr>
        <w:t>97</w:t>
      </w:r>
      <w:r w:rsidRPr="00AB1767">
        <w:rPr>
          <w:rFonts w:cs="DanaFajr" w:hint="cs"/>
          <w:sz w:val="28"/>
          <w:szCs w:val="28"/>
          <w:rtl/>
          <w:lang w:bidi="ar-OM"/>
        </w:rPr>
        <w:t xml:space="preserve">، </w:t>
      </w:r>
      <w:r w:rsidRPr="00074CA5">
        <w:rPr>
          <w:rFonts w:cs="DanaFajr" w:hint="cs"/>
          <w:sz w:val="28"/>
          <w:szCs w:val="28"/>
          <w:rtl/>
          <w:lang w:bidi="ar-OM"/>
        </w:rPr>
        <w:t xml:space="preserve">سنة 1998م، مدينة قم </w:t>
      </w:r>
      <w:r w:rsidRPr="00074CA5">
        <w:rPr>
          <w:rFonts w:cs="DanaFajr"/>
          <w:sz w:val="28"/>
          <w:szCs w:val="28"/>
          <w:rtl/>
          <w:lang w:bidi="ar-OM"/>
        </w:rPr>
        <w:t>ـ</w:t>
      </w:r>
      <w:r w:rsidRPr="00074CA5">
        <w:rPr>
          <w:rFonts w:cs="DanaFajr" w:hint="cs"/>
          <w:sz w:val="28"/>
          <w:szCs w:val="28"/>
          <w:rtl/>
          <w:lang w:bidi="ar-OM"/>
        </w:rPr>
        <w:t xml:space="preserve"> الجمهورية الإسلامية الإيرانية. مع ملاحظة أنّي لم أعثر عليه حَسْب بحثي</w:t>
      </w:r>
      <w:r w:rsidRPr="00AB1767">
        <w:rPr>
          <w:rFonts w:cs="DanaFajr" w:hint="cs"/>
          <w:sz w:val="28"/>
          <w:szCs w:val="28"/>
          <w:rtl/>
          <w:lang w:bidi="ar-OM"/>
        </w:rPr>
        <w:t xml:space="preserve"> في بعض الموارد في الغنائم. </w:t>
      </w:r>
    </w:p>
  </w:endnote>
  <w:endnote w:id="210">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الحطاب الرعيني، مواهب الجليل 8: 56. </w:t>
      </w:r>
    </w:p>
  </w:endnote>
  <w:endnote w:id="211">
    <w:p w:rsidR="00F41F33" w:rsidRPr="00AB1767" w:rsidRDefault="00F41F33" w:rsidP="00725CEA">
      <w:pPr>
        <w:pStyle w:val="aa"/>
        <w:spacing w:line="300" w:lineRule="exact"/>
        <w:ind w:firstLine="0"/>
        <w:rPr>
          <w:rFonts w:cs="DanaFajr"/>
          <w:sz w:val="28"/>
          <w:szCs w:val="28"/>
        </w:rPr>
      </w:pPr>
      <w:r w:rsidRPr="00AB1767">
        <w:rPr>
          <w:rFonts w:cs="DanaFajr" w:hint="cs"/>
          <w:sz w:val="28"/>
          <w:szCs w:val="28"/>
          <w:rtl/>
        </w:rPr>
        <w:t>(</w:t>
      </w:r>
      <w:r w:rsidRPr="00AB1767">
        <w:rPr>
          <w:rStyle w:val="ac"/>
          <w:rFonts w:cs="DanaFajr"/>
          <w:sz w:val="28"/>
          <w:szCs w:val="28"/>
          <w:vertAlign w:val="baseline"/>
        </w:rPr>
        <w:endnoteRef/>
      </w:r>
      <w:r w:rsidRPr="00AB1767">
        <w:rPr>
          <w:rFonts w:cs="DanaFajr" w:hint="cs"/>
          <w:sz w:val="28"/>
          <w:szCs w:val="28"/>
          <w:rtl/>
        </w:rPr>
        <w:t xml:space="preserve">) </w:t>
      </w:r>
      <w:r w:rsidRPr="00AB1767">
        <w:rPr>
          <w:rFonts w:cs="DanaFajr" w:hint="cs"/>
          <w:sz w:val="28"/>
          <w:szCs w:val="28"/>
          <w:rtl/>
          <w:lang w:bidi="ar-OM"/>
        </w:rPr>
        <w:t xml:space="preserve">أحمد علي موافي، ولاية المرأة القضاء في الإسلام، موقع الفقه الإسلامي، الشبكة العنكبوتية. </w:t>
      </w:r>
    </w:p>
  </w:endnote>
  <w:endnote w:id="212">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الماوردي، </w:t>
      </w:r>
      <w:r w:rsidRPr="00074CA5">
        <w:rPr>
          <w:rFonts w:cs="DanaFajr"/>
          <w:sz w:val="28"/>
          <w:szCs w:val="28"/>
          <w:rtl/>
          <w:lang w:bidi="ar-OM"/>
        </w:rPr>
        <w:t>ال</w:t>
      </w:r>
      <w:r w:rsidRPr="00074CA5">
        <w:rPr>
          <w:rFonts w:cs="DanaFajr" w:hint="cs"/>
          <w:sz w:val="28"/>
          <w:szCs w:val="28"/>
          <w:rtl/>
          <w:lang w:bidi="ar-OM"/>
        </w:rPr>
        <w:t>أ</w:t>
      </w:r>
      <w:r w:rsidRPr="00074CA5">
        <w:rPr>
          <w:rFonts w:cs="DanaFajr"/>
          <w:sz w:val="28"/>
          <w:szCs w:val="28"/>
          <w:rtl/>
          <w:lang w:bidi="ar-OM"/>
        </w:rPr>
        <w:t>حكام السلطانية: 65</w:t>
      </w:r>
      <w:r w:rsidRPr="00074CA5">
        <w:rPr>
          <w:rFonts w:cs="DanaFajr" w:hint="cs"/>
          <w:sz w:val="28"/>
          <w:szCs w:val="28"/>
          <w:rtl/>
          <w:lang w:bidi="ar-OM"/>
        </w:rPr>
        <w:t xml:space="preserve">؛ ابن رشد، بداية المجتهد 2: 377. </w:t>
      </w:r>
    </w:p>
  </w:endnote>
  <w:endnote w:id="213">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الطوسي، </w:t>
      </w:r>
      <w:r w:rsidRPr="00074CA5">
        <w:rPr>
          <w:rFonts w:cs="DanaFajr"/>
          <w:sz w:val="28"/>
          <w:szCs w:val="28"/>
          <w:rtl/>
          <w:lang w:bidi="ar-OM"/>
        </w:rPr>
        <w:t xml:space="preserve">الخلاف </w:t>
      </w:r>
      <w:r w:rsidRPr="00074CA5">
        <w:rPr>
          <w:rFonts w:cs="DanaFajr" w:hint="cs"/>
          <w:sz w:val="28"/>
          <w:szCs w:val="28"/>
          <w:rtl/>
          <w:lang w:bidi="ar-OM"/>
        </w:rPr>
        <w:t xml:space="preserve">في الفقه </w:t>
      </w:r>
      <w:r w:rsidRPr="00074CA5">
        <w:rPr>
          <w:rFonts w:cs="DanaFajr"/>
          <w:sz w:val="28"/>
          <w:szCs w:val="28"/>
          <w:rtl/>
          <w:lang w:bidi="ar-OM"/>
        </w:rPr>
        <w:t>6</w:t>
      </w:r>
      <w:r w:rsidRPr="00074CA5">
        <w:rPr>
          <w:rFonts w:cs="DanaFajr" w:hint="cs"/>
          <w:sz w:val="28"/>
          <w:szCs w:val="28"/>
          <w:rtl/>
          <w:lang w:bidi="ar-OM"/>
        </w:rPr>
        <w:t xml:space="preserve">: </w:t>
      </w:r>
      <w:r w:rsidRPr="00074CA5">
        <w:rPr>
          <w:rFonts w:cs="DanaFajr"/>
          <w:sz w:val="28"/>
          <w:szCs w:val="28"/>
          <w:rtl/>
          <w:lang w:bidi="ar-OM"/>
        </w:rPr>
        <w:t>213</w:t>
      </w:r>
      <w:r w:rsidRPr="00074CA5">
        <w:rPr>
          <w:rFonts w:cs="DanaFajr" w:hint="cs"/>
          <w:sz w:val="28"/>
          <w:szCs w:val="28"/>
          <w:rtl/>
          <w:lang w:bidi="ar-OM"/>
        </w:rPr>
        <w:t xml:space="preserve">. </w:t>
      </w:r>
    </w:p>
  </w:endnote>
  <w:endnote w:id="214">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ابن قدامة المقدسي، المغني 11: 380. </w:t>
      </w:r>
    </w:p>
  </w:endnote>
  <w:endnote w:id="215">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sz w:val="28"/>
          <w:szCs w:val="28"/>
          <w:rtl/>
          <w:lang w:bidi="ar-OM"/>
        </w:rPr>
        <w:t>ابن حزم</w:t>
      </w:r>
      <w:r w:rsidRPr="00074CA5">
        <w:rPr>
          <w:rFonts w:cs="DanaFajr" w:hint="cs"/>
          <w:sz w:val="28"/>
          <w:szCs w:val="28"/>
          <w:rtl/>
          <w:lang w:bidi="ar-OM"/>
        </w:rPr>
        <w:t>،</w:t>
      </w:r>
      <w:r w:rsidRPr="00074CA5">
        <w:rPr>
          <w:rFonts w:cs="DanaFajr"/>
          <w:sz w:val="28"/>
          <w:szCs w:val="28"/>
          <w:rtl/>
          <w:lang w:bidi="ar-OM"/>
        </w:rPr>
        <w:t xml:space="preserve"> المحل</w:t>
      </w:r>
      <w:r w:rsidRPr="00074CA5">
        <w:rPr>
          <w:rFonts w:cs="DanaFajr" w:hint="cs"/>
          <w:sz w:val="28"/>
          <w:szCs w:val="28"/>
          <w:rtl/>
          <w:lang w:bidi="ar-OM"/>
        </w:rPr>
        <w:t>ّ</w:t>
      </w:r>
      <w:r w:rsidRPr="00074CA5">
        <w:rPr>
          <w:rFonts w:cs="DanaFajr"/>
          <w:sz w:val="28"/>
          <w:szCs w:val="28"/>
          <w:rtl/>
          <w:lang w:bidi="ar-OM"/>
        </w:rPr>
        <w:t>ى 9</w:t>
      </w:r>
      <w:r w:rsidRPr="00074CA5">
        <w:rPr>
          <w:rFonts w:cs="DanaFajr" w:hint="cs"/>
          <w:sz w:val="28"/>
          <w:szCs w:val="28"/>
          <w:rtl/>
          <w:lang w:bidi="ar-OM"/>
        </w:rPr>
        <w:t xml:space="preserve">: </w:t>
      </w:r>
      <w:r w:rsidRPr="00074CA5">
        <w:rPr>
          <w:rFonts w:cs="DanaFajr"/>
          <w:sz w:val="28"/>
          <w:szCs w:val="28"/>
          <w:rtl/>
          <w:lang w:bidi="ar-OM"/>
        </w:rPr>
        <w:t>229 ـ 230</w:t>
      </w:r>
      <w:r w:rsidRPr="00074CA5">
        <w:rPr>
          <w:rFonts w:cs="DanaFajr" w:hint="cs"/>
          <w:sz w:val="28"/>
          <w:szCs w:val="28"/>
          <w:rtl/>
          <w:lang w:bidi="ar-OM"/>
        </w:rPr>
        <w:t xml:space="preserve">. </w:t>
      </w:r>
    </w:p>
  </w:endnote>
  <w:endnote w:id="216">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زين الدين ابن نجيم المصري، البحر الرائق 6: 433، تحقيق: زكريا عميرات، ط1، 1997م. </w:t>
      </w:r>
    </w:p>
  </w:endnote>
  <w:endnote w:id="217">
    <w:p w:rsidR="00F41F33" w:rsidRPr="00074CA5" w:rsidRDefault="00F41F33" w:rsidP="00725CEA">
      <w:pPr>
        <w:pStyle w:val="aa"/>
        <w:spacing w:line="300" w:lineRule="exact"/>
        <w:ind w:firstLine="0"/>
        <w:rPr>
          <w:rFonts w:cs="DanaFajr"/>
          <w:sz w:val="28"/>
          <w:szCs w:val="28"/>
          <w:lang w:bidi="ar-OM"/>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يوسف الصانعي، موقع الشيخ الصانعي، بتاريخ: 19/12/2011.</w:t>
      </w:r>
    </w:p>
  </w:endnote>
  <w:endnote w:id="218">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حسين الخشن، فقه القضاء (تقريراً لبحث السيد محمد حسين فضل الله) 1: 133، دار</w:t>
      </w:r>
      <w:r w:rsidRPr="00AB1767">
        <w:rPr>
          <w:rFonts w:cs="DanaFajr" w:hint="cs"/>
          <w:sz w:val="28"/>
          <w:szCs w:val="28"/>
          <w:rtl/>
          <w:lang w:bidi="ar-OM"/>
        </w:rPr>
        <w:t xml:space="preserve"> </w:t>
      </w:r>
      <w:r w:rsidRPr="00074CA5">
        <w:rPr>
          <w:rFonts w:cs="DanaFajr" w:hint="cs"/>
          <w:sz w:val="28"/>
          <w:szCs w:val="28"/>
          <w:rtl/>
          <w:lang w:bidi="ar-OM"/>
        </w:rPr>
        <w:t xml:space="preserve">الملاك، بيروت، ط1، 2004م. </w:t>
      </w:r>
    </w:p>
  </w:endnote>
  <w:endnote w:id="219">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محمد حسين فضل الله، فقه الشريعة 1: 15: 17، دار الملاك، بيروت، 2000م. </w:t>
      </w:r>
    </w:p>
  </w:endnote>
  <w:endnote w:id="220">
    <w:p w:rsidR="00F41F33" w:rsidRPr="00074CA5" w:rsidRDefault="00F41F33" w:rsidP="00725CEA">
      <w:pPr>
        <w:pStyle w:val="aa"/>
        <w:spacing w:line="300" w:lineRule="exact"/>
        <w:ind w:firstLine="0"/>
        <w:rPr>
          <w:rFonts w:cs="DanaFajr"/>
          <w:sz w:val="28"/>
          <w:szCs w:val="28"/>
          <w:lang w:bidi="ar-OM"/>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يوسف القرضاوي، موقع القرضاوي، برامج ولقاءات، 31/8/2009.</w:t>
      </w:r>
    </w:p>
  </w:endnote>
  <w:endnote w:id="221">
    <w:p w:rsidR="00F41F33" w:rsidRPr="00074CA5" w:rsidRDefault="00F41F33" w:rsidP="00725CEA">
      <w:pPr>
        <w:pStyle w:val="aa"/>
        <w:spacing w:line="300" w:lineRule="exact"/>
        <w:ind w:firstLine="0"/>
        <w:rPr>
          <w:rFonts w:cs="DanaFajr"/>
          <w:sz w:val="28"/>
          <w:szCs w:val="28"/>
        </w:rPr>
      </w:pPr>
      <w:r w:rsidRPr="00AB1767">
        <w:rPr>
          <w:rFonts w:cs="DanaFajr" w:hint="cs"/>
          <w:sz w:val="28"/>
          <w:szCs w:val="28"/>
          <w:rtl/>
        </w:rPr>
        <w:t>(</w:t>
      </w:r>
      <w:r w:rsidRPr="00AB1767">
        <w:rPr>
          <w:rStyle w:val="ac"/>
          <w:rFonts w:cs="DanaFajr"/>
          <w:sz w:val="28"/>
          <w:szCs w:val="28"/>
          <w:vertAlign w:val="baseline"/>
        </w:rPr>
        <w:endnoteRef/>
      </w:r>
      <w:r w:rsidRPr="00AB1767">
        <w:rPr>
          <w:rFonts w:cs="DanaFajr" w:hint="cs"/>
          <w:sz w:val="28"/>
          <w:szCs w:val="28"/>
          <w:rtl/>
        </w:rPr>
        <w:t xml:space="preserve">) </w:t>
      </w:r>
      <w:r w:rsidRPr="00AB1767">
        <w:rPr>
          <w:rFonts w:cs="DanaFajr" w:hint="cs"/>
          <w:sz w:val="28"/>
          <w:szCs w:val="28"/>
          <w:rtl/>
          <w:lang w:bidi="ar-OM"/>
        </w:rPr>
        <w:t xml:space="preserve">هدى محمد حسن هلال، قراءة تحليلية نقدية في الحكم الشرعي لتولي المرأة منصب القضاء، </w:t>
      </w:r>
      <w:r w:rsidRPr="00074CA5">
        <w:rPr>
          <w:rFonts w:cs="DanaFajr" w:hint="cs"/>
          <w:sz w:val="28"/>
          <w:szCs w:val="28"/>
          <w:rtl/>
          <w:lang w:bidi="ar-OM"/>
        </w:rPr>
        <w:t xml:space="preserve">مجلة إسلامية المعرفة، العدد 64: 34، المعهد العالمي للفكر الإسلامي. </w:t>
      </w:r>
    </w:p>
  </w:endnote>
  <w:endnote w:id="222">
    <w:p w:rsidR="00F41F33" w:rsidRPr="00074CA5" w:rsidRDefault="00F41F33" w:rsidP="00725CEA">
      <w:pPr>
        <w:pStyle w:val="aa"/>
        <w:spacing w:line="300" w:lineRule="exact"/>
        <w:ind w:firstLine="0"/>
        <w:rPr>
          <w:rFonts w:cs="DanaFajr"/>
          <w:sz w:val="28"/>
          <w:szCs w:val="28"/>
        </w:rPr>
      </w:pPr>
      <w:r w:rsidRPr="00AB1767">
        <w:rPr>
          <w:rFonts w:cs="DanaFajr" w:hint="cs"/>
          <w:sz w:val="28"/>
          <w:szCs w:val="28"/>
          <w:rtl/>
        </w:rPr>
        <w:t>(</w:t>
      </w:r>
      <w:r w:rsidRPr="00AB1767">
        <w:rPr>
          <w:rStyle w:val="ac"/>
          <w:rFonts w:cs="DanaFajr"/>
          <w:sz w:val="28"/>
          <w:szCs w:val="28"/>
          <w:vertAlign w:val="baseline"/>
        </w:rPr>
        <w:endnoteRef/>
      </w:r>
      <w:r w:rsidRPr="00AB1767">
        <w:rPr>
          <w:rFonts w:cs="DanaFajr" w:hint="cs"/>
          <w:sz w:val="28"/>
          <w:szCs w:val="28"/>
          <w:rtl/>
        </w:rPr>
        <w:t xml:space="preserve">) </w:t>
      </w:r>
      <w:r w:rsidRPr="00AB1767">
        <w:rPr>
          <w:rFonts w:cs="DanaFajr" w:hint="cs"/>
          <w:sz w:val="28"/>
          <w:szCs w:val="28"/>
          <w:rtl/>
          <w:lang w:bidi="ar-OM"/>
        </w:rPr>
        <w:t xml:space="preserve">أحمد عبد الحميد إبراهيم، الرؤية الفقهية لتولّي المرأة الوظائف القيادية ودورها في التمنية </w:t>
      </w:r>
      <w:r w:rsidRPr="00074CA5">
        <w:rPr>
          <w:rFonts w:cs="DanaFajr" w:hint="cs"/>
          <w:sz w:val="28"/>
          <w:szCs w:val="28"/>
          <w:rtl/>
          <w:lang w:bidi="ar-OM"/>
        </w:rPr>
        <w:t>الإدارية، كتاب دور المرأة العربية في التنمية الإدارية: 68، الكتاب التوثيقي للمنتدى العربي الأول</w:t>
      </w:r>
      <w:r w:rsidRPr="00AB1767">
        <w:rPr>
          <w:rFonts w:cs="DanaFajr" w:hint="cs"/>
          <w:sz w:val="28"/>
          <w:szCs w:val="28"/>
          <w:rtl/>
          <w:lang w:bidi="ar-OM"/>
        </w:rPr>
        <w:t xml:space="preserve"> </w:t>
      </w:r>
      <w:r w:rsidRPr="00074CA5">
        <w:rPr>
          <w:rFonts w:cs="DanaFajr" w:hint="cs"/>
          <w:sz w:val="28"/>
          <w:szCs w:val="28"/>
          <w:rtl/>
          <w:lang w:bidi="ar-OM"/>
        </w:rPr>
        <w:t xml:space="preserve">بمسقط، 2011م. </w:t>
      </w:r>
    </w:p>
  </w:endnote>
  <w:endnote w:id="223">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محمد باقر الصدر، الإسلام يقود الحياة: 153، دار التعارف للمطبوعات، بيروت، 2003م. </w:t>
      </w:r>
    </w:p>
  </w:endnote>
  <w:endnote w:id="224">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محمد باقر الصدر، الإسلام يقود الحياة: 20. </w:t>
      </w:r>
    </w:p>
  </w:endnote>
  <w:endnote w:id="225">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القرضاوي، موقع القرضاوي، برامج ولقاءات، 31/8/2009</w:t>
      </w:r>
      <w:r w:rsidRPr="00074CA5">
        <w:rPr>
          <w:rFonts w:cs="DanaFajr" w:hint="cs"/>
          <w:sz w:val="28"/>
          <w:szCs w:val="28"/>
          <w:rtl/>
        </w:rPr>
        <w:t>.</w:t>
      </w:r>
    </w:p>
  </w:endnote>
  <w:endnote w:id="226">
    <w:p w:rsidR="00F41F33" w:rsidRPr="00074CA5" w:rsidRDefault="00F41F33" w:rsidP="00725CEA">
      <w:pPr>
        <w:spacing w:line="300" w:lineRule="exact"/>
        <w:ind w:firstLine="0"/>
        <w:rPr>
          <w:rFonts w:cs="DanaFajr"/>
          <w:szCs w:val="28"/>
          <w:lang w:bidi="ar-OM"/>
        </w:rPr>
      </w:pPr>
      <w:r w:rsidRPr="00074CA5">
        <w:rPr>
          <w:rFonts w:cs="DanaFajr" w:hint="cs"/>
          <w:szCs w:val="28"/>
          <w:rtl/>
        </w:rPr>
        <w:t>(</w:t>
      </w:r>
      <w:r w:rsidRPr="00074CA5">
        <w:rPr>
          <w:rStyle w:val="ac"/>
          <w:rFonts w:cs="DanaFajr"/>
          <w:szCs w:val="28"/>
          <w:vertAlign w:val="baseline"/>
        </w:rPr>
        <w:endnoteRef/>
      </w:r>
      <w:r w:rsidRPr="00074CA5">
        <w:rPr>
          <w:rFonts w:cs="DanaFajr" w:hint="cs"/>
          <w:szCs w:val="28"/>
          <w:rtl/>
        </w:rPr>
        <w:t xml:space="preserve">) </w:t>
      </w:r>
      <w:r w:rsidRPr="00074CA5">
        <w:rPr>
          <w:rFonts w:cs="DanaFajr" w:hint="cs"/>
          <w:szCs w:val="28"/>
          <w:rtl/>
          <w:lang w:bidi="ar-OM"/>
        </w:rPr>
        <w:t xml:space="preserve">أحمد عبد الحميد إبراهيم، الرؤية الفقهية لتولي المرأة الوظائف القيادية: 68. </w:t>
      </w:r>
    </w:p>
  </w:endnote>
  <w:endnote w:id="227">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المصدر السابق: 75. </w:t>
      </w:r>
    </w:p>
  </w:endnote>
  <w:endnote w:id="228">
    <w:p w:rsidR="00F41F33" w:rsidRPr="00AB1767"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عبد الهادي الفضلي، ولاية المرأة في الإسلام، مجلة المنهاج، العدد 39: 20، سنة 2006م،</w:t>
      </w:r>
      <w:r w:rsidRPr="00AB1767">
        <w:rPr>
          <w:rFonts w:cs="DanaFajr" w:hint="cs"/>
          <w:sz w:val="28"/>
          <w:szCs w:val="28"/>
          <w:rtl/>
          <w:lang w:bidi="ar-OM"/>
        </w:rPr>
        <w:t xml:space="preserve"> لبنان. </w:t>
      </w:r>
    </w:p>
  </w:endnote>
  <w:endnote w:id="229">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المصدر السابق: 32. </w:t>
      </w:r>
    </w:p>
  </w:endnote>
  <w:endnote w:id="230">
    <w:p w:rsidR="00F41F33" w:rsidRPr="00074CA5" w:rsidRDefault="00F41F33" w:rsidP="00725CEA">
      <w:pPr>
        <w:pStyle w:val="aa"/>
        <w:spacing w:line="300" w:lineRule="exact"/>
        <w:ind w:firstLine="0"/>
        <w:rPr>
          <w:rFonts w:cs="DanaFajr"/>
          <w:sz w:val="28"/>
          <w:szCs w:val="28"/>
        </w:rPr>
      </w:pPr>
      <w:r w:rsidRPr="00AB1767">
        <w:rPr>
          <w:rFonts w:cs="DanaFajr" w:hint="cs"/>
          <w:sz w:val="28"/>
          <w:szCs w:val="28"/>
          <w:rtl/>
        </w:rPr>
        <w:t>(</w:t>
      </w:r>
      <w:r w:rsidRPr="00AB1767">
        <w:rPr>
          <w:rStyle w:val="ac"/>
          <w:rFonts w:cs="DanaFajr"/>
          <w:sz w:val="28"/>
          <w:szCs w:val="28"/>
          <w:vertAlign w:val="baseline"/>
        </w:rPr>
        <w:endnoteRef/>
      </w:r>
      <w:r w:rsidRPr="00AB1767">
        <w:rPr>
          <w:rFonts w:cs="DanaFajr" w:hint="cs"/>
          <w:sz w:val="28"/>
          <w:szCs w:val="28"/>
          <w:rtl/>
        </w:rPr>
        <w:t xml:space="preserve">) </w:t>
      </w:r>
      <w:r w:rsidRPr="00AB1767">
        <w:rPr>
          <w:rFonts w:cs="DanaFajr" w:hint="cs"/>
          <w:sz w:val="28"/>
          <w:szCs w:val="28"/>
          <w:rtl/>
          <w:lang w:bidi="ar-OM"/>
        </w:rPr>
        <w:t xml:space="preserve">محمد إسحاق الفياض، نموذج لمجموعة أسئلة حول موقع المرأة في النظام السياسي الإسلامي: </w:t>
      </w:r>
      <w:r w:rsidRPr="00074CA5">
        <w:rPr>
          <w:rFonts w:cs="DanaFajr" w:hint="cs"/>
          <w:sz w:val="28"/>
          <w:szCs w:val="28"/>
          <w:rtl/>
          <w:lang w:bidi="ar-OM"/>
        </w:rPr>
        <w:t xml:space="preserve">16، ط4، 1428هـ. </w:t>
      </w:r>
    </w:p>
  </w:endnote>
  <w:endnote w:id="231">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المصدر السابق: 10. </w:t>
      </w:r>
    </w:p>
  </w:endnote>
  <w:endnote w:id="232">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w:t>
      </w:r>
      <w:r w:rsidRPr="00074CA5">
        <w:rPr>
          <w:rFonts w:cs="DanaFajr" w:hint="cs"/>
          <w:sz w:val="28"/>
          <w:szCs w:val="28"/>
          <w:rtl/>
          <w:lang w:bidi="ar-OM"/>
        </w:rPr>
        <w:t>المصدر السابق: 33.</w:t>
      </w:r>
    </w:p>
  </w:endnote>
  <w:endnote w:id="233">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w:t>
      </w:r>
      <w:r w:rsidRPr="00074CA5">
        <w:rPr>
          <w:rFonts w:cs="DanaFajr" w:hint="cs"/>
          <w:sz w:val="28"/>
          <w:szCs w:val="28"/>
          <w:rtl/>
          <w:lang w:bidi="ar-OM"/>
        </w:rPr>
        <w:t>المصدر السابق: 30.</w:t>
      </w:r>
    </w:p>
  </w:endnote>
  <w:endnote w:id="234">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w:t>
      </w:r>
      <w:r w:rsidRPr="00074CA5">
        <w:rPr>
          <w:rFonts w:cs="DanaFajr" w:hint="cs"/>
          <w:sz w:val="28"/>
          <w:szCs w:val="28"/>
          <w:rtl/>
          <w:lang w:bidi="ar-OM"/>
        </w:rPr>
        <w:t>المصدر السابق: 56.</w:t>
      </w:r>
    </w:p>
  </w:endnote>
  <w:endnote w:id="235">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محمد إسحاق الفياض، منهاج الصالحين 1: 8، ط1. </w:t>
      </w:r>
    </w:p>
  </w:endnote>
  <w:endnote w:id="236">
    <w:p w:rsidR="00F41F33" w:rsidRPr="00074CA5" w:rsidRDefault="00F41F33" w:rsidP="00725CEA">
      <w:pPr>
        <w:pStyle w:val="aa"/>
        <w:spacing w:line="300" w:lineRule="exact"/>
        <w:ind w:firstLine="0"/>
        <w:rPr>
          <w:rFonts w:cs="DanaFajr"/>
          <w:sz w:val="28"/>
          <w:szCs w:val="28"/>
        </w:rPr>
      </w:pPr>
      <w:r w:rsidRPr="00074CA5">
        <w:rPr>
          <w:rFonts w:cs="DanaFajr" w:hint="cs"/>
          <w:sz w:val="28"/>
          <w:szCs w:val="28"/>
          <w:rtl/>
        </w:rPr>
        <w:t>(</w:t>
      </w:r>
      <w:r w:rsidRPr="00074CA5">
        <w:rPr>
          <w:rStyle w:val="ac"/>
          <w:rFonts w:cs="DanaFajr"/>
          <w:sz w:val="28"/>
          <w:szCs w:val="28"/>
          <w:vertAlign w:val="baseline"/>
        </w:rPr>
        <w:endnoteRef/>
      </w:r>
      <w:r w:rsidRPr="00074CA5">
        <w:rPr>
          <w:rFonts w:cs="DanaFajr" w:hint="cs"/>
          <w:sz w:val="28"/>
          <w:szCs w:val="28"/>
          <w:rtl/>
        </w:rPr>
        <w:t xml:space="preserve">) </w:t>
      </w:r>
      <w:r w:rsidRPr="00074CA5">
        <w:rPr>
          <w:rFonts w:cs="DanaFajr" w:hint="cs"/>
          <w:sz w:val="28"/>
          <w:szCs w:val="28"/>
          <w:rtl/>
          <w:lang w:bidi="ar-OM"/>
        </w:rPr>
        <w:t xml:space="preserve">المصدر السابق 3: 236. </w:t>
      </w:r>
    </w:p>
  </w:endnote>
  <w:endnote w:id="237">
    <w:p w:rsidR="00F41F33" w:rsidRPr="00074CA5" w:rsidRDefault="00F41F33" w:rsidP="00725CEA">
      <w:pPr>
        <w:pStyle w:val="aa"/>
        <w:spacing w:line="300" w:lineRule="exact"/>
        <w:ind w:firstLine="0"/>
        <w:rPr>
          <w:rFonts w:cs="DanaFajr"/>
          <w:sz w:val="28"/>
          <w:szCs w:val="28"/>
          <w:rtl/>
          <w:lang w:bidi="ar-LB"/>
        </w:rPr>
      </w:pPr>
      <w:r w:rsidRPr="00AB1767">
        <w:rPr>
          <w:rFonts w:cs="DanaFajr" w:hint="cs"/>
          <w:sz w:val="28"/>
          <w:szCs w:val="28"/>
          <w:rtl/>
        </w:rPr>
        <w:t>(</w:t>
      </w:r>
      <w:r w:rsidRPr="00AB1767">
        <w:rPr>
          <w:rStyle w:val="ac"/>
          <w:rFonts w:cs="DanaFajr"/>
          <w:sz w:val="28"/>
          <w:szCs w:val="28"/>
          <w:vertAlign w:val="baseline"/>
        </w:rPr>
        <w:endnoteRef/>
      </w:r>
      <w:r w:rsidRPr="00AB1767">
        <w:rPr>
          <w:rFonts w:cs="DanaFajr" w:hint="cs"/>
          <w:sz w:val="28"/>
          <w:szCs w:val="28"/>
          <w:rtl/>
        </w:rPr>
        <w:t xml:space="preserve">) </w:t>
      </w:r>
      <w:r w:rsidRPr="00AB1767">
        <w:rPr>
          <w:rFonts w:cs="DanaFajr" w:hint="cs"/>
          <w:sz w:val="28"/>
          <w:szCs w:val="28"/>
          <w:rtl/>
          <w:lang w:bidi="ar-OM"/>
        </w:rPr>
        <w:t xml:space="preserve">صباح حسن الزبيدي، تفعيل دور المرأة العربية والعراقية في إدارة التغيير المنشود في ظل التنمية الاجتماعية والاقتصادية وسبل النهوض بها، كتاب توثيقي لبحوث مؤتمر إدارة التغيير والإصلاح </w:t>
      </w:r>
      <w:r w:rsidRPr="00074CA5">
        <w:rPr>
          <w:rFonts w:cs="DanaFajr" w:hint="cs"/>
          <w:sz w:val="28"/>
          <w:szCs w:val="28"/>
          <w:rtl/>
          <w:lang w:bidi="ar-OM"/>
        </w:rPr>
        <w:t xml:space="preserve">الإداري في التنمية الاقتصادية والاجتماعية: 558، دمشق، 2004م. </w:t>
      </w:r>
    </w:p>
  </w:endnote>
  <w:endnote w:id="238">
    <w:p w:rsidR="00F41F33" w:rsidRPr="002814ED" w:rsidRDefault="00F41F33" w:rsidP="00715694">
      <w:pPr>
        <w:pStyle w:val="aa"/>
        <w:spacing w:line="300" w:lineRule="exact"/>
        <w:ind w:firstLine="0"/>
        <w:rPr>
          <w:rFonts w:cs="DanaFajr"/>
          <w:sz w:val="28"/>
          <w:szCs w:val="28"/>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الدرّ المنثور من المأثور وغير المأثور 1: 110. </w:t>
      </w:r>
    </w:p>
  </w:endnote>
  <w:endnote w:id="239">
    <w:p w:rsidR="00F41F33" w:rsidRPr="002814ED" w:rsidRDefault="00F41F33" w:rsidP="00715694">
      <w:pPr>
        <w:pStyle w:val="aa"/>
        <w:spacing w:line="300" w:lineRule="exact"/>
        <w:ind w:firstLine="0"/>
        <w:rPr>
          <w:rFonts w:cs="DanaFajr"/>
          <w:sz w:val="28"/>
          <w:szCs w:val="28"/>
          <w:rtl/>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الذريعة إلى تصانيف الشيعة 5: 175، وانظر كذلك ما ذكره الطهراني (12: 200) تحت عنوان </w:t>
      </w:r>
      <w:r w:rsidRPr="002814ED">
        <w:rPr>
          <w:rFonts w:cs="DanaFajr" w:hint="eastAsia"/>
          <w:sz w:val="27"/>
          <w:szCs w:val="27"/>
          <w:rtl/>
        </w:rPr>
        <w:t>«</w:t>
      </w:r>
      <w:r w:rsidRPr="002814ED">
        <w:rPr>
          <w:rFonts w:cs="DanaFajr" w:hint="cs"/>
          <w:sz w:val="28"/>
          <w:szCs w:val="28"/>
          <w:rtl/>
        </w:rPr>
        <w:t>الرسالة السَّهْوية</w:t>
      </w:r>
      <w:r w:rsidRPr="002814ED">
        <w:rPr>
          <w:rFonts w:cs="DanaFajr" w:hint="eastAsia"/>
          <w:sz w:val="27"/>
          <w:szCs w:val="27"/>
          <w:rtl/>
        </w:rPr>
        <w:t>»</w:t>
      </w:r>
      <w:r w:rsidRPr="002814ED">
        <w:rPr>
          <w:rFonts w:cs="DanaFajr" w:hint="cs"/>
          <w:sz w:val="28"/>
          <w:szCs w:val="28"/>
          <w:rtl/>
        </w:rPr>
        <w:t xml:space="preserve">. </w:t>
      </w:r>
    </w:p>
  </w:endnote>
  <w:endnote w:id="240">
    <w:p w:rsidR="00F41F33" w:rsidRPr="002814ED" w:rsidRDefault="00F41F33" w:rsidP="00715694">
      <w:pPr>
        <w:pStyle w:val="aa"/>
        <w:spacing w:line="300" w:lineRule="exact"/>
        <w:ind w:firstLine="0"/>
        <w:rPr>
          <w:rFonts w:cs="DanaFajr"/>
          <w:sz w:val="28"/>
          <w:szCs w:val="28"/>
          <w:rtl/>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بحار الأنوار 17: 122. </w:t>
      </w:r>
    </w:p>
  </w:endnote>
  <w:endnote w:id="241">
    <w:p w:rsidR="00F41F33" w:rsidRPr="002814ED" w:rsidRDefault="00F41F33" w:rsidP="00715694">
      <w:pPr>
        <w:pStyle w:val="aa"/>
        <w:spacing w:line="300" w:lineRule="exact"/>
        <w:ind w:firstLine="0"/>
        <w:rPr>
          <w:rFonts w:cs="DanaFajr"/>
          <w:sz w:val="28"/>
          <w:szCs w:val="28"/>
          <w:rtl/>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فهرست كتابخانه مجلس شورى 7: 140. </w:t>
      </w:r>
    </w:p>
  </w:endnote>
  <w:endnote w:id="242">
    <w:p w:rsidR="00F41F33" w:rsidRPr="002814ED" w:rsidRDefault="00F41F33" w:rsidP="00715694">
      <w:pPr>
        <w:pStyle w:val="aa"/>
        <w:spacing w:line="300" w:lineRule="exact"/>
        <w:ind w:firstLine="0"/>
        <w:rPr>
          <w:rFonts w:cs="DanaFajr"/>
          <w:sz w:val="28"/>
          <w:szCs w:val="28"/>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منهج المقال 1: 429. </w:t>
      </w:r>
    </w:p>
  </w:endnote>
  <w:endnote w:id="243">
    <w:p w:rsidR="00F41F33" w:rsidRPr="002814ED" w:rsidRDefault="00F41F33" w:rsidP="00715694">
      <w:pPr>
        <w:pStyle w:val="aa"/>
        <w:spacing w:line="300" w:lineRule="exact"/>
        <w:ind w:firstLine="0"/>
        <w:rPr>
          <w:rFonts w:cs="DanaFajr"/>
          <w:sz w:val="28"/>
          <w:szCs w:val="28"/>
          <w:rtl/>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تصحيح الاعتقاد: 133. </w:t>
      </w:r>
    </w:p>
  </w:endnote>
  <w:endnote w:id="244">
    <w:p w:rsidR="00F41F33" w:rsidRPr="002814ED" w:rsidRDefault="00F41F33" w:rsidP="00715694">
      <w:pPr>
        <w:pStyle w:val="aa"/>
        <w:spacing w:line="300" w:lineRule="exact"/>
        <w:ind w:firstLine="0"/>
        <w:rPr>
          <w:rFonts w:cs="DanaFajr"/>
          <w:sz w:val="28"/>
          <w:szCs w:val="28"/>
          <w:rtl/>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المصدر السابق: 137. </w:t>
      </w:r>
    </w:p>
  </w:endnote>
  <w:endnote w:id="245">
    <w:p w:rsidR="00F41F33" w:rsidRPr="002814ED" w:rsidRDefault="00F41F33" w:rsidP="00715694">
      <w:pPr>
        <w:pStyle w:val="aa"/>
        <w:spacing w:line="300" w:lineRule="exact"/>
        <w:ind w:firstLine="0"/>
        <w:rPr>
          <w:rFonts w:cs="DanaFajr"/>
          <w:sz w:val="28"/>
          <w:szCs w:val="28"/>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المصدر السابق: 158. </w:t>
      </w:r>
    </w:p>
  </w:endnote>
  <w:endnote w:id="246">
    <w:p w:rsidR="00F41F33" w:rsidRPr="002814ED" w:rsidRDefault="00F41F33" w:rsidP="00715694">
      <w:pPr>
        <w:pStyle w:val="aa"/>
        <w:spacing w:line="300" w:lineRule="exact"/>
        <w:ind w:firstLine="0"/>
        <w:rPr>
          <w:rFonts w:cs="DanaFajr"/>
          <w:sz w:val="28"/>
          <w:szCs w:val="28"/>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الرجال: 404، رقم 1070. </w:t>
      </w:r>
    </w:p>
  </w:endnote>
  <w:endnote w:id="247">
    <w:p w:rsidR="00F41F33" w:rsidRPr="002814ED" w:rsidRDefault="00F41F33" w:rsidP="00715694">
      <w:pPr>
        <w:pStyle w:val="aa"/>
        <w:spacing w:line="300" w:lineRule="exact"/>
        <w:ind w:firstLine="0"/>
        <w:rPr>
          <w:rFonts w:cs="DanaFajr"/>
          <w:sz w:val="28"/>
          <w:szCs w:val="28"/>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الرجال: 451، رقم 6400. </w:t>
      </w:r>
    </w:p>
  </w:endnote>
  <w:endnote w:id="248">
    <w:p w:rsidR="00F41F33" w:rsidRPr="002814ED" w:rsidRDefault="00F41F33" w:rsidP="00715694">
      <w:pPr>
        <w:pStyle w:val="aa"/>
        <w:spacing w:line="300" w:lineRule="exact"/>
        <w:ind w:firstLine="0"/>
        <w:rPr>
          <w:rFonts w:cs="DanaFajr"/>
          <w:sz w:val="28"/>
          <w:szCs w:val="28"/>
        </w:rPr>
      </w:pPr>
      <w:r w:rsidRPr="002814ED">
        <w:rPr>
          <w:rFonts w:cs="DanaFajr"/>
          <w:sz w:val="28"/>
          <w:szCs w:val="28"/>
          <w:rtl/>
        </w:rPr>
        <w:t>(</w:t>
      </w:r>
      <w:r w:rsidRPr="002814ED">
        <w:rPr>
          <w:rStyle w:val="ac"/>
          <w:rFonts w:cs="DanaFajr"/>
          <w:sz w:val="28"/>
          <w:szCs w:val="28"/>
          <w:vertAlign w:val="baseline"/>
        </w:rPr>
        <w:endnoteRef/>
      </w:r>
      <w:r w:rsidRPr="002814ED">
        <w:rPr>
          <w:rFonts w:cs="DanaFajr"/>
          <w:sz w:val="28"/>
          <w:szCs w:val="28"/>
          <w:rtl/>
        </w:rPr>
        <w:t xml:space="preserve">) </w:t>
      </w:r>
      <w:r w:rsidRPr="002814ED">
        <w:rPr>
          <w:rFonts w:cs="DanaFajr" w:hint="cs"/>
          <w:sz w:val="28"/>
          <w:szCs w:val="28"/>
          <w:rtl/>
        </w:rPr>
        <w:t xml:space="preserve">ويمكن الرجوع إلى: فهرستواره دست نوشت هاي إيران (دنا) 6: 263 ـ 264، ومعجم التراث الكلامي 4: 222. </w:t>
      </w:r>
    </w:p>
  </w:endnote>
  <w:endnote w:id="249">
    <w:p w:rsidR="00F41F33" w:rsidRPr="00BD58F2" w:rsidRDefault="00F41F33" w:rsidP="00062936">
      <w:pPr>
        <w:pStyle w:val="aa"/>
        <w:spacing w:line="300" w:lineRule="exact"/>
        <w:ind w:firstLine="0"/>
        <w:rPr>
          <w:rFonts w:cs="DanaFajr"/>
          <w:sz w:val="28"/>
          <w:szCs w:val="28"/>
          <w:rtl/>
          <w:lang w:bidi="ar-LB"/>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 xml:space="preserve">) </w:t>
      </w:r>
      <w:r w:rsidRPr="00BD58F2">
        <w:rPr>
          <w:rFonts w:ascii="Tahoma" w:hAnsi="Tahoma" w:cs="DanaFajr"/>
          <w:sz w:val="28"/>
          <w:szCs w:val="28"/>
          <w:rtl/>
          <w:lang w:bidi="fa-IR"/>
        </w:rPr>
        <w:t>ابن الق</w:t>
      </w:r>
      <w:r w:rsidRPr="00BD58F2">
        <w:rPr>
          <w:rFonts w:ascii="Tahoma" w:hAnsi="Tahoma" w:cs="DanaFajr" w:hint="cs"/>
          <w:sz w:val="28"/>
          <w:szCs w:val="28"/>
          <w:rtl/>
          <w:lang w:bidi="fa-IR"/>
        </w:rPr>
        <w:t>َ</w:t>
      </w:r>
      <w:r w:rsidRPr="00BD58F2">
        <w:rPr>
          <w:rFonts w:ascii="Tahoma" w:hAnsi="Tahoma" w:cs="DanaFajr"/>
          <w:sz w:val="28"/>
          <w:szCs w:val="28"/>
          <w:rtl/>
          <w:lang w:bidi="fa-IR"/>
        </w:rPr>
        <w:t>ي</w:t>
      </w:r>
      <w:r w:rsidRPr="00BD58F2">
        <w:rPr>
          <w:rFonts w:ascii="Tahoma" w:hAnsi="Tahoma" w:cs="DanaFajr" w:hint="cs"/>
          <w:sz w:val="28"/>
          <w:szCs w:val="28"/>
          <w:rtl/>
          <w:lang w:bidi="fa-IR"/>
        </w:rPr>
        <w:t>ِّ</w:t>
      </w:r>
      <w:r w:rsidRPr="00BD58F2">
        <w:rPr>
          <w:rFonts w:ascii="Tahoma" w:hAnsi="Tahoma" w:cs="DanaFajr"/>
          <w:sz w:val="28"/>
          <w:szCs w:val="28"/>
          <w:rtl/>
          <w:lang w:bidi="fa-IR"/>
        </w:rPr>
        <w:t>م</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إعلام الموقعين عن رب</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العالمين</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3: 27، دار الجيل، بيروت.</w:t>
      </w:r>
    </w:p>
  </w:endnote>
  <w:endnote w:id="250">
    <w:p w:rsidR="00F41F33" w:rsidRPr="00BD58F2" w:rsidRDefault="00F41F33" w:rsidP="00062936">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الشاطبي</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الموافقات في أصول الشريعة</w:t>
      </w:r>
      <w:r w:rsidRPr="00BD58F2">
        <w:rPr>
          <w:rFonts w:ascii="Tahoma" w:hAnsi="Tahoma" w:cs="DanaFajr" w:hint="cs"/>
          <w:sz w:val="28"/>
          <w:szCs w:val="28"/>
          <w:rtl/>
          <w:lang w:bidi="fa-IR"/>
        </w:rPr>
        <w:t xml:space="preserve"> 2: 20</w:t>
      </w:r>
      <w:r w:rsidRPr="00BD58F2">
        <w:rPr>
          <w:rFonts w:ascii="Tahoma" w:hAnsi="Tahoma" w:cs="DanaFajr"/>
          <w:sz w:val="28"/>
          <w:szCs w:val="28"/>
          <w:rtl/>
          <w:lang w:bidi="fa-IR"/>
        </w:rPr>
        <w:t>، تحقيق: أبو عبيدة مشهور بن حسن آل سليمان،</w:t>
      </w:r>
      <w:r w:rsidRPr="009A5201">
        <w:rPr>
          <w:rFonts w:ascii="Tahoma" w:hAnsi="Tahoma" w:cs="DanaFajr"/>
          <w:sz w:val="28"/>
          <w:szCs w:val="28"/>
          <w:rtl/>
          <w:lang w:bidi="fa-IR"/>
        </w:rPr>
        <w:t xml:space="preserve"> </w:t>
      </w:r>
      <w:r w:rsidRPr="00BD58F2">
        <w:rPr>
          <w:rFonts w:ascii="Tahoma" w:hAnsi="Tahoma" w:cs="DanaFajr"/>
          <w:sz w:val="28"/>
          <w:szCs w:val="28"/>
          <w:rtl/>
          <w:lang w:bidi="fa-IR"/>
        </w:rPr>
        <w:t>دار ابن عف</w:t>
      </w:r>
      <w:r w:rsidRPr="00BD58F2">
        <w:rPr>
          <w:rFonts w:ascii="Tahoma" w:hAnsi="Tahoma" w:cs="DanaFajr" w:hint="cs"/>
          <w:sz w:val="28"/>
          <w:szCs w:val="28"/>
          <w:rtl/>
          <w:lang w:bidi="fa-IR"/>
        </w:rPr>
        <w:t>ّ</w:t>
      </w:r>
      <w:r w:rsidRPr="00BD58F2">
        <w:rPr>
          <w:rFonts w:ascii="Tahoma" w:hAnsi="Tahoma" w:cs="DanaFajr"/>
          <w:sz w:val="28"/>
          <w:szCs w:val="28"/>
          <w:rtl/>
          <w:lang w:bidi="fa-IR"/>
        </w:rPr>
        <w:t>ان، مصر، 1</w:t>
      </w:r>
      <w:r w:rsidRPr="00BD58F2">
        <w:rPr>
          <w:rFonts w:ascii="Tahoma" w:hAnsi="Tahoma" w:cs="DanaFajr" w:hint="cs"/>
          <w:sz w:val="28"/>
          <w:szCs w:val="28"/>
          <w:rtl/>
          <w:lang w:bidi="ar-LB"/>
        </w:rPr>
        <w:t>4</w:t>
      </w:r>
      <w:r w:rsidRPr="00BD58F2">
        <w:rPr>
          <w:rFonts w:ascii="Tahoma" w:hAnsi="Tahoma" w:cs="DanaFajr"/>
          <w:sz w:val="28"/>
          <w:szCs w:val="28"/>
          <w:rtl/>
          <w:lang w:bidi="fa-IR"/>
        </w:rPr>
        <w:t>21هـ.</w:t>
      </w:r>
    </w:p>
  </w:endnote>
  <w:endnote w:id="251">
    <w:p w:rsidR="00F41F33" w:rsidRPr="00BD58F2" w:rsidRDefault="00F41F33" w:rsidP="00995E59">
      <w:pPr>
        <w:pStyle w:val="aa"/>
        <w:spacing w:line="300" w:lineRule="exact"/>
        <w:ind w:firstLine="0"/>
        <w:rPr>
          <w:rFonts w:cs="DanaFajr"/>
          <w:sz w:val="28"/>
          <w:szCs w:val="28"/>
        </w:rPr>
      </w:pPr>
      <w:r w:rsidRPr="009A5201">
        <w:rPr>
          <w:rFonts w:cs="DanaFajr" w:hint="cs"/>
          <w:sz w:val="28"/>
          <w:szCs w:val="28"/>
          <w:rtl/>
        </w:rPr>
        <w:t>(</w:t>
      </w:r>
      <w:r w:rsidRPr="009A5201">
        <w:rPr>
          <w:rStyle w:val="ac"/>
          <w:rFonts w:cs="DanaFajr"/>
          <w:sz w:val="28"/>
          <w:szCs w:val="28"/>
          <w:vertAlign w:val="baseline"/>
        </w:rPr>
        <w:endnoteRef/>
      </w:r>
      <w:r w:rsidRPr="009A5201">
        <w:rPr>
          <w:rFonts w:cs="DanaFajr" w:hint="cs"/>
          <w:sz w:val="28"/>
          <w:szCs w:val="28"/>
          <w:rtl/>
        </w:rPr>
        <w:t>)</w:t>
      </w:r>
      <w:r w:rsidRPr="009A5201">
        <w:rPr>
          <w:rFonts w:ascii="Tahoma" w:hAnsi="Tahoma" w:cs="DanaFajr" w:hint="cs"/>
          <w:sz w:val="28"/>
          <w:szCs w:val="28"/>
          <w:rtl/>
          <w:lang w:bidi="fa-IR"/>
        </w:rPr>
        <w:t xml:space="preserve"> سعيدة </w:t>
      </w:r>
      <w:r w:rsidRPr="009A5201">
        <w:rPr>
          <w:rFonts w:ascii="Tahoma" w:hAnsi="Tahoma" w:cs="DanaFajr"/>
          <w:sz w:val="28"/>
          <w:szCs w:val="28"/>
          <w:rtl/>
          <w:lang w:bidi="fa-IR"/>
        </w:rPr>
        <w:t>بومعراف</w:t>
      </w:r>
      <w:r w:rsidRPr="009A5201">
        <w:rPr>
          <w:rFonts w:ascii="Tahoma" w:hAnsi="Tahoma" w:cs="DanaFajr" w:hint="cs"/>
          <w:sz w:val="28"/>
          <w:szCs w:val="28"/>
          <w:rtl/>
          <w:lang w:bidi="fa-IR"/>
        </w:rPr>
        <w:t>،</w:t>
      </w:r>
      <w:r w:rsidRPr="009A5201">
        <w:rPr>
          <w:rFonts w:ascii="Tahoma" w:hAnsi="Tahoma" w:cs="DanaFajr"/>
          <w:sz w:val="28"/>
          <w:szCs w:val="28"/>
          <w:rtl/>
          <w:lang w:bidi="fa-IR"/>
        </w:rPr>
        <w:t xml:space="preserve"> التعليل المصلحي لتصر</w:t>
      </w:r>
      <w:r w:rsidRPr="009A5201">
        <w:rPr>
          <w:rFonts w:ascii="Tahoma" w:hAnsi="Tahoma" w:cs="DanaFajr" w:hint="cs"/>
          <w:sz w:val="28"/>
          <w:szCs w:val="28"/>
          <w:rtl/>
          <w:lang w:bidi="fa-IR"/>
        </w:rPr>
        <w:t>ُّ</w:t>
      </w:r>
      <w:r w:rsidRPr="009A5201">
        <w:rPr>
          <w:rFonts w:ascii="Tahoma" w:hAnsi="Tahoma" w:cs="DanaFajr"/>
          <w:sz w:val="28"/>
          <w:szCs w:val="28"/>
          <w:rtl/>
          <w:lang w:bidi="fa-IR"/>
        </w:rPr>
        <w:t xml:space="preserve">فات الحاكم: </w:t>
      </w:r>
      <w:r w:rsidRPr="00BD58F2">
        <w:rPr>
          <w:rFonts w:ascii="Tahoma" w:hAnsi="Tahoma" w:cs="DanaFajr"/>
          <w:sz w:val="28"/>
          <w:szCs w:val="28"/>
          <w:rtl/>
          <w:lang w:bidi="fa-IR"/>
        </w:rPr>
        <w:t>13</w:t>
      </w:r>
      <w:r w:rsidRPr="009A5201">
        <w:rPr>
          <w:rFonts w:ascii="Tahoma" w:hAnsi="Tahoma" w:cs="DanaFajr"/>
          <w:sz w:val="28"/>
          <w:szCs w:val="28"/>
          <w:rtl/>
          <w:lang w:bidi="fa-IR"/>
        </w:rPr>
        <w:t>، أطروحة لنيل درجة الماجستير في الفقه وأصوله، كل</w:t>
      </w:r>
      <w:r w:rsidRPr="009A5201">
        <w:rPr>
          <w:rFonts w:ascii="Tahoma" w:hAnsi="Tahoma" w:cs="DanaFajr" w:hint="cs"/>
          <w:sz w:val="28"/>
          <w:szCs w:val="28"/>
          <w:rtl/>
          <w:lang w:bidi="fa-IR"/>
        </w:rPr>
        <w:t>ّ</w:t>
      </w:r>
      <w:r w:rsidRPr="009A5201">
        <w:rPr>
          <w:rFonts w:ascii="Tahoma" w:hAnsi="Tahoma" w:cs="DanaFajr"/>
          <w:sz w:val="28"/>
          <w:szCs w:val="28"/>
          <w:rtl/>
          <w:lang w:bidi="fa-IR"/>
        </w:rPr>
        <w:t xml:space="preserve">ية العلوم الاجتماعية والعلوم الإسلامية، جامعة الحاج بلحاج ـ باتنة </w:t>
      </w:r>
      <w:r>
        <w:rPr>
          <w:rFonts w:ascii="Tahoma" w:hAnsi="Tahoma" w:cs="DanaFajr" w:hint="cs"/>
          <w:sz w:val="28"/>
          <w:szCs w:val="28"/>
          <w:rtl/>
          <w:lang w:bidi="fa-IR"/>
        </w:rPr>
        <w:t>/</w:t>
      </w:r>
      <w:r w:rsidRPr="009A5201">
        <w:rPr>
          <w:rFonts w:ascii="Tahoma" w:hAnsi="Tahoma" w:cs="DanaFajr"/>
          <w:sz w:val="28"/>
          <w:szCs w:val="28"/>
          <w:rtl/>
          <w:lang w:bidi="fa-IR"/>
        </w:rPr>
        <w:t xml:space="preserve"> الجزائر، </w:t>
      </w:r>
      <w:r w:rsidRPr="00BD58F2">
        <w:rPr>
          <w:rFonts w:ascii="Tahoma" w:hAnsi="Tahoma" w:cs="DanaFajr"/>
          <w:sz w:val="28"/>
          <w:szCs w:val="28"/>
          <w:rtl/>
          <w:lang w:bidi="fa-IR"/>
        </w:rPr>
        <w:t>1</w:t>
      </w:r>
      <w:r w:rsidRPr="00BD58F2">
        <w:rPr>
          <w:rFonts w:ascii="Tahoma" w:hAnsi="Tahoma" w:cs="DanaFajr" w:hint="cs"/>
          <w:sz w:val="28"/>
          <w:szCs w:val="28"/>
          <w:rtl/>
          <w:lang w:bidi="ar-LB"/>
        </w:rPr>
        <w:t>4</w:t>
      </w:r>
      <w:r w:rsidRPr="00BD58F2">
        <w:rPr>
          <w:rFonts w:ascii="Tahoma" w:hAnsi="Tahoma" w:cs="DanaFajr"/>
          <w:sz w:val="28"/>
          <w:szCs w:val="28"/>
          <w:rtl/>
          <w:lang w:bidi="fa-IR"/>
        </w:rPr>
        <w:t>28 ـ 1</w:t>
      </w:r>
      <w:r w:rsidRPr="00BD58F2">
        <w:rPr>
          <w:rFonts w:ascii="Tahoma" w:hAnsi="Tahoma" w:cs="DanaFajr" w:hint="cs"/>
          <w:sz w:val="28"/>
          <w:szCs w:val="28"/>
          <w:rtl/>
          <w:lang w:bidi="ar-LB"/>
        </w:rPr>
        <w:t>4</w:t>
      </w:r>
      <w:r w:rsidRPr="00BD58F2">
        <w:rPr>
          <w:rFonts w:ascii="Tahoma" w:hAnsi="Tahoma" w:cs="DanaFajr"/>
          <w:sz w:val="28"/>
          <w:szCs w:val="28"/>
          <w:rtl/>
          <w:lang w:bidi="fa-IR"/>
        </w:rPr>
        <w:t>29هـ/2007 ـ 2008م.</w:t>
      </w:r>
    </w:p>
  </w:endnote>
  <w:endnote w:id="252">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الشيخ محمد مصطفى شلبي</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تعليل الأحكام: 72، دار النهضة العربية، بيروت، ط2،</w:t>
      </w:r>
      <w:r w:rsidRPr="009A5201">
        <w:rPr>
          <w:rFonts w:ascii="Tahoma" w:hAnsi="Tahoma" w:cs="DanaFajr"/>
          <w:sz w:val="28"/>
          <w:szCs w:val="28"/>
          <w:rtl/>
          <w:lang w:bidi="fa-IR"/>
        </w:rPr>
        <w:t xml:space="preserve"> </w:t>
      </w:r>
      <w:r w:rsidRPr="00BD58F2">
        <w:rPr>
          <w:rFonts w:ascii="Tahoma" w:hAnsi="Tahoma" w:cs="DanaFajr"/>
          <w:sz w:val="28"/>
          <w:szCs w:val="28"/>
          <w:rtl/>
          <w:lang w:bidi="fa-IR"/>
        </w:rPr>
        <w:t>1</w:t>
      </w:r>
      <w:r w:rsidRPr="00BD58F2">
        <w:rPr>
          <w:rFonts w:ascii="Tahoma" w:hAnsi="Tahoma" w:cs="DanaFajr" w:hint="cs"/>
          <w:sz w:val="28"/>
          <w:szCs w:val="28"/>
          <w:rtl/>
          <w:lang w:bidi="ar-LB"/>
        </w:rPr>
        <w:t>4</w:t>
      </w:r>
      <w:r w:rsidRPr="00BD58F2">
        <w:rPr>
          <w:rFonts w:ascii="Tahoma" w:hAnsi="Tahoma" w:cs="DanaFajr"/>
          <w:sz w:val="28"/>
          <w:szCs w:val="28"/>
          <w:rtl/>
          <w:lang w:bidi="fa-IR"/>
        </w:rPr>
        <w:t>01هـ/1981م.</w:t>
      </w:r>
    </w:p>
  </w:endnote>
  <w:endnote w:id="253">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الشاطبي</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الاعتصام</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2: 292، مطبعة المنار، مصر.</w:t>
      </w:r>
    </w:p>
  </w:endnote>
  <w:endnote w:id="254">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ابن منظور</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لسان العرب</w:t>
      </w:r>
      <w:r w:rsidRPr="00BD58F2">
        <w:rPr>
          <w:rFonts w:ascii="Tahoma" w:hAnsi="Tahoma" w:cs="DanaFajr" w:hint="cs"/>
          <w:sz w:val="28"/>
          <w:szCs w:val="28"/>
          <w:rtl/>
          <w:lang w:bidi="fa-IR"/>
        </w:rPr>
        <w:t xml:space="preserve"> </w:t>
      </w:r>
      <w:r w:rsidRPr="00BD58F2">
        <w:rPr>
          <w:rFonts w:ascii="Tahoma" w:hAnsi="Tahoma" w:cs="DanaFajr" w:hint="cs"/>
          <w:sz w:val="28"/>
          <w:szCs w:val="28"/>
          <w:rtl/>
          <w:lang w:bidi="ar-LB"/>
        </w:rPr>
        <w:t>2: 516</w:t>
      </w:r>
      <w:r w:rsidRPr="00BD58F2">
        <w:rPr>
          <w:rFonts w:ascii="Tahoma" w:hAnsi="Tahoma" w:cs="DanaFajr"/>
          <w:sz w:val="28"/>
          <w:szCs w:val="28"/>
          <w:rtl/>
          <w:lang w:bidi="fa-IR"/>
        </w:rPr>
        <w:t>، مادة (صلح)، دار بيروت للطباعة والنشر،</w:t>
      </w:r>
      <w:r w:rsidRPr="009A5201">
        <w:rPr>
          <w:rFonts w:ascii="Tahoma" w:hAnsi="Tahoma" w:cs="DanaFajr"/>
          <w:sz w:val="28"/>
          <w:szCs w:val="28"/>
          <w:rtl/>
          <w:lang w:bidi="fa-IR"/>
        </w:rPr>
        <w:t xml:space="preserve"> </w:t>
      </w:r>
      <w:r w:rsidRPr="00BD58F2">
        <w:rPr>
          <w:rFonts w:ascii="Tahoma" w:hAnsi="Tahoma" w:cs="DanaFajr"/>
          <w:sz w:val="28"/>
          <w:szCs w:val="28"/>
          <w:rtl/>
          <w:lang w:bidi="fa-IR"/>
        </w:rPr>
        <w:t>137</w:t>
      </w:r>
      <w:r w:rsidRPr="00BD58F2">
        <w:rPr>
          <w:rFonts w:ascii="Tahoma" w:hAnsi="Tahoma" w:cs="DanaFajr" w:hint="cs"/>
          <w:sz w:val="28"/>
          <w:szCs w:val="28"/>
          <w:rtl/>
          <w:lang w:bidi="ar-LB"/>
        </w:rPr>
        <w:t>5</w:t>
      </w:r>
      <w:r w:rsidRPr="00BD58F2">
        <w:rPr>
          <w:rFonts w:ascii="Tahoma" w:hAnsi="Tahoma" w:cs="DanaFajr"/>
          <w:sz w:val="28"/>
          <w:szCs w:val="28"/>
          <w:rtl/>
          <w:lang w:bidi="fa-IR"/>
        </w:rPr>
        <w:t>هـ/19</w:t>
      </w:r>
      <w:r w:rsidRPr="00BD58F2">
        <w:rPr>
          <w:rFonts w:ascii="Tahoma" w:hAnsi="Tahoma" w:cs="DanaFajr" w:hint="cs"/>
          <w:sz w:val="28"/>
          <w:szCs w:val="28"/>
          <w:rtl/>
          <w:lang w:bidi="ar-LB"/>
        </w:rPr>
        <w:t>56</w:t>
      </w:r>
      <w:r w:rsidRPr="00BD58F2">
        <w:rPr>
          <w:rFonts w:ascii="Tahoma" w:hAnsi="Tahoma" w:cs="DanaFajr"/>
          <w:sz w:val="28"/>
          <w:szCs w:val="28"/>
          <w:rtl/>
          <w:lang w:bidi="fa-IR"/>
        </w:rPr>
        <w:t>م</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الفيروزآبادي</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القاموس المحيط</w:t>
      </w:r>
      <w:r w:rsidRPr="00BD58F2">
        <w:rPr>
          <w:rFonts w:ascii="Tahoma" w:hAnsi="Tahoma" w:cs="DanaFajr" w:hint="cs"/>
          <w:sz w:val="28"/>
          <w:szCs w:val="28"/>
          <w:rtl/>
          <w:lang w:bidi="fa-IR"/>
        </w:rPr>
        <w:t xml:space="preserve"> 1: </w:t>
      </w:r>
      <w:r w:rsidRPr="00BD58F2">
        <w:rPr>
          <w:rFonts w:ascii="Tahoma" w:hAnsi="Tahoma" w:cs="DanaFajr" w:hint="cs"/>
          <w:sz w:val="28"/>
          <w:szCs w:val="28"/>
          <w:rtl/>
          <w:lang w:bidi="ar-LB"/>
        </w:rPr>
        <w:t>235</w:t>
      </w:r>
      <w:r w:rsidRPr="00BD58F2">
        <w:rPr>
          <w:rFonts w:ascii="Tahoma" w:hAnsi="Tahoma" w:cs="DanaFajr"/>
          <w:sz w:val="28"/>
          <w:szCs w:val="28"/>
          <w:rtl/>
          <w:lang w:bidi="fa-IR"/>
        </w:rPr>
        <w:t>، مطبعة عيسى البابي الحلبي، مصر،</w:t>
      </w:r>
      <w:r w:rsidRPr="009A5201">
        <w:rPr>
          <w:rFonts w:ascii="Tahoma" w:hAnsi="Tahoma" w:cs="DanaFajr"/>
          <w:sz w:val="28"/>
          <w:szCs w:val="28"/>
          <w:rtl/>
          <w:lang w:bidi="fa-IR"/>
        </w:rPr>
        <w:t xml:space="preserve"> </w:t>
      </w:r>
      <w:r w:rsidRPr="00BD58F2">
        <w:rPr>
          <w:rFonts w:ascii="Tahoma" w:hAnsi="Tahoma" w:cs="DanaFajr"/>
          <w:sz w:val="28"/>
          <w:szCs w:val="28"/>
          <w:rtl/>
          <w:lang w:bidi="fa-IR"/>
        </w:rPr>
        <w:t>ط2، 1371هـ/19</w:t>
      </w:r>
      <w:r w:rsidRPr="00BD58F2">
        <w:rPr>
          <w:rFonts w:ascii="Tahoma" w:hAnsi="Tahoma" w:cs="DanaFajr" w:hint="cs"/>
          <w:sz w:val="28"/>
          <w:szCs w:val="28"/>
          <w:rtl/>
          <w:lang w:bidi="ar-LB"/>
        </w:rPr>
        <w:t>5</w:t>
      </w:r>
      <w:r w:rsidRPr="00BD58F2">
        <w:rPr>
          <w:rFonts w:ascii="Tahoma" w:hAnsi="Tahoma" w:cs="DanaFajr"/>
          <w:sz w:val="28"/>
          <w:szCs w:val="28"/>
          <w:rtl/>
          <w:lang w:bidi="fa-IR"/>
        </w:rPr>
        <w:t>2م</w:t>
      </w:r>
      <w:r w:rsidRPr="00BD58F2">
        <w:rPr>
          <w:rFonts w:ascii="Tahoma" w:hAnsi="Tahoma" w:cs="DanaFajr" w:hint="cs"/>
          <w:sz w:val="28"/>
          <w:szCs w:val="28"/>
          <w:rtl/>
          <w:lang w:bidi="fa-IR"/>
        </w:rPr>
        <w:t>.</w:t>
      </w:r>
    </w:p>
  </w:endnote>
  <w:endnote w:id="255">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الغزالي</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المستصفى من علم الأصول</w:t>
      </w:r>
      <w:r w:rsidRPr="00BD58F2">
        <w:rPr>
          <w:rFonts w:ascii="Tahoma" w:hAnsi="Tahoma" w:cs="DanaFajr" w:hint="cs"/>
          <w:sz w:val="28"/>
          <w:szCs w:val="28"/>
          <w:rtl/>
          <w:lang w:bidi="fa-IR"/>
        </w:rPr>
        <w:t xml:space="preserve"> 1: </w:t>
      </w:r>
      <w:r w:rsidRPr="00BD58F2">
        <w:rPr>
          <w:rFonts w:ascii="Tahoma" w:hAnsi="Tahoma" w:cs="DanaFajr" w:hint="cs"/>
          <w:sz w:val="28"/>
          <w:szCs w:val="28"/>
          <w:rtl/>
          <w:lang w:bidi="ar-LB"/>
        </w:rPr>
        <w:t>416</w:t>
      </w:r>
      <w:r w:rsidRPr="00BD58F2">
        <w:rPr>
          <w:rFonts w:ascii="Tahoma" w:hAnsi="Tahoma" w:cs="DanaFajr"/>
          <w:sz w:val="28"/>
          <w:szCs w:val="28"/>
          <w:rtl/>
          <w:lang w:bidi="fa-IR"/>
        </w:rPr>
        <w:t>، تحقيق: د.</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محمد سليمان الأشقر، مؤسسة</w:t>
      </w:r>
      <w:r w:rsidRPr="009A5201">
        <w:rPr>
          <w:rFonts w:ascii="Tahoma" w:hAnsi="Tahoma" w:cs="DanaFajr"/>
          <w:sz w:val="28"/>
          <w:szCs w:val="28"/>
          <w:rtl/>
          <w:lang w:bidi="fa-IR"/>
        </w:rPr>
        <w:t xml:space="preserve"> </w:t>
      </w:r>
      <w:r w:rsidRPr="00BD58F2">
        <w:rPr>
          <w:rFonts w:ascii="Tahoma" w:hAnsi="Tahoma" w:cs="DanaFajr"/>
          <w:sz w:val="28"/>
          <w:szCs w:val="28"/>
          <w:rtl/>
          <w:lang w:bidi="fa-IR"/>
        </w:rPr>
        <w:t>الرسالة، بيروت، ط1، 1</w:t>
      </w:r>
      <w:r w:rsidRPr="00BD58F2">
        <w:rPr>
          <w:rFonts w:ascii="Tahoma" w:hAnsi="Tahoma" w:cs="DanaFajr" w:hint="cs"/>
          <w:sz w:val="28"/>
          <w:szCs w:val="28"/>
          <w:rtl/>
          <w:lang w:bidi="ar-LB"/>
        </w:rPr>
        <w:t>4</w:t>
      </w:r>
      <w:r w:rsidRPr="00BD58F2">
        <w:rPr>
          <w:rFonts w:ascii="Tahoma" w:hAnsi="Tahoma" w:cs="DanaFajr"/>
          <w:sz w:val="28"/>
          <w:szCs w:val="28"/>
          <w:rtl/>
          <w:lang w:bidi="fa-IR"/>
        </w:rPr>
        <w:t>17هـ/1997م.</w:t>
      </w:r>
    </w:p>
  </w:endnote>
  <w:endnote w:id="256">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 xml:space="preserve">) </w:t>
      </w:r>
      <w:r w:rsidRPr="00BD58F2">
        <w:rPr>
          <w:rFonts w:ascii="Tahoma" w:hAnsi="Tahoma" w:cs="DanaFajr"/>
          <w:sz w:val="28"/>
          <w:szCs w:val="28"/>
          <w:rtl/>
          <w:lang w:bidi="fa-IR"/>
        </w:rPr>
        <w:t>العز</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بن عبد السلام</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قواعد الأحكام في مصالح الأنام</w:t>
      </w:r>
      <w:r w:rsidRPr="00BD58F2">
        <w:rPr>
          <w:rFonts w:ascii="Tahoma" w:hAnsi="Tahoma" w:cs="DanaFajr" w:hint="cs"/>
          <w:sz w:val="28"/>
          <w:szCs w:val="28"/>
          <w:rtl/>
          <w:lang w:bidi="fa-IR"/>
        </w:rPr>
        <w:t xml:space="preserve"> 1: 3، </w:t>
      </w:r>
      <w:r w:rsidRPr="00BD58F2">
        <w:rPr>
          <w:rFonts w:ascii="Tahoma" w:hAnsi="Tahoma" w:cs="DanaFajr" w:hint="cs"/>
          <w:sz w:val="28"/>
          <w:szCs w:val="28"/>
          <w:rtl/>
          <w:lang w:bidi="ar-LB"/>
        </w:rPr>
        <w:t>4</w:t>
      </w:r>
      <w:r w:rsidRPr="00BD58F2">
        <w:rPr>
          <w:rFonts w:ascii="Tahoma" w:hAnsi="Tahoma" w:cs="DanaFajr"/>
          <w:sz w:val="28"/>
          <w:szCs w:val="28"/>
          <w:rtl/>
          <w:lang w:bidi="fa-IR"/>
        </w:rPr>
        <w:t>، دار المعرفة، بيروت، (د.ت)</w:t>
      </w:r>
      <w:r w:rsidRPr="00BD58F2">
        <w:rPr>
          <w:rFonts w:ascii="Tahoma" w:hAnsi="Tahoma" w:cs="DanaFajr" w:hint="cs"/>
          <w:sz w:val="28"/>
          <w:szCs w:val="28"/>
          <w:rtl/>
          <w:lang w:bidi="fa-IR"/>
        </w:rPr>
        <w:t>.</w:t>
      </w:r>
    </w:p>
  </w:endnote>
  <w:endnote w:id="257">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الطوفي</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رسالة في رعاية المصلحة</w:t>
      </w:r>
      <w:r w:rsidRPr="00BD58F2">
        <w:rPr>
          <w:rFonts w:ascii="Tahoma" w:hAnsi="Tahoma" w:cs="DanaFajr" w:hint="cs"/>
          <w:sz w:val="28"/>
          <w:szCs w:val="28"/>
          <w:rtl/>
          <w:lang w:bidi="fa-IR"/>
        </w:rPr>
        <w:t>: 2</w:t>
      </w:r>
      <w:r w:rsidRPr="00BD58F2">
        <w:rPr>
          <w:rFonts w:ascii="Tahoma" w:hAnsi="Tahoma" w:cs="DanaFajr" w:hint="cs"/>
          <w:sz w:val="28"/>
          <w:szCs w:val="28"/>
          <w:rtl/>
          <w:lang w:bidi="ar-LB"/>
        </w:rPr>
        <w:t>5</w:t>
      </w:r>
      <w:r w:rsidRPr="00BD58F2">
        <w:rPr>
          <w:rFonts w:ascii="Tahoma" w:hAnsi="Tahoma" w:cs="DanaFajr"/>
          <w:sz w:val="28"/>
          <w:szCs w:val="28"/>
          <w:rtl/>
          <w:lang w:bidi="fa-IR"/>
        </w:rPr>
        <w:t>، تحقيق: د.</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أحمد عبد الرحيم السايح، الدار المصرية</w:t>
      </w:r>
      <w:r w:rsidRPr="009A5201">
        <w:rPr>
          <w:rFonts w:ascii="Tahoma" w:hAnsi="Tahoma" w:cs="DanaFajr"/>
          <w:sz w:val="28"/>
          <w:szCs w:val="28"/>
          <w:rtl/>
          <w:lang w:bidi="fa-IR"/>
        </w:rPr>
        <w:t xml:space="preserve"> </w:t>
      </w:r>
      <w:r w:rsidRPr="00BD58F2">
        <w:rPr>
          <w:rFonts w:ascii="Tahoma" w:hAnsi="Tahoma" w:cs="DanaFajr"/>
          <w:sz w:val="28"/>
          <w:szCs w:val="28"/>
          <w:rtl/>
          <w:lang w:bidi="fa-IR"/>
        </w:rPr>
        <w:t>اللبنانية، القاهرة، ط1، 1</w:t>
      </w:r>
      <w:r w:rsidRPr="00BD58F2">
        <w:rPr>
          <w:rFonts w:ascii="Tahoma" w:hAnsi="Tahoma" w:cs="DanaFajr" w:hint="cs"/>
          <w:sz w:val="28"/>
          <w:szCs w:val="28"/>
          <w:rtl/>
          <w:lang w:bidi="ar-LB"/>
        </w:rPr>
        <w:t>4</w:t>
      </w:r>
      <w:r w:rsidRPr="00BD58F2">
        <w:rPr>
          <w:rFonts w:ascii="Tahoma" w:hAnsi="Tahoma" w:cs="DanaFajr"/>
          <w:sz w:val="28"/>
          <w:szCs w:val="28"/>
          <w:rtl/>
          <w:lang w:bidi="fa-IR"/>
        </w:rPr>
        <w:t>13هـ/1993م</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التعيين في شرح الأربعين: 239، تحقيق</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أحمد حاج</w:t>
      </w:r>
      <w:r w:rsidRPr="009A5201">
        <w:rPr>
          <w:rFonts w:ascii="Tahoma" w:hAnsi="Tahoma" w:cs="DanaFajr"/>
          <w:sz w:val="28"/>
          <w:szCs w:val="28"/>
          <w:rtl/>
          <w:lang w:bidi="fa-IR"/>
        </w:rPr>
        <w:t xml:space="preserve"> </w:t>
      </w:r>
      <w:r w:rsidRPr="00BD58F2">
        <w:rPr>
          <w:rFonts w:ascii="Tahoma" w:hAnsi="Tahoma" w:cs="DanaFajr"/>
          <w:sz w:val="28"/>
          <w:szCs w:val="28"/>
          <w:rtl/>
          <w:lang w:bidi="fa-IR"/>
        </w:rPr>
        <w:t>عثمان، مؤس</w:t>
      </w:r>
      <w:r w:rsidRPr="00BD58F2">
        <w:rPr>
          <w:rFonts w:ascii="Tahoma" w:hAnsi="Tahoma" w:cs="DanaFajr" w:hint="cs"/>
          <w:sz w:val="28"/>
          <w:szCs w:val="28"/>
          <w:rtl/>
          <w:lang w:bidi="fa-IR"/>
        </w:rPr>
        <w:t>ّ</w:t>
      </w:r>
      <w:r w:rsidRPr="00BD58F2">
        <w:rPr>
          <w:rFonts w:ascii="Tahoma" w:hAnsi="Tahoma" w:cs="DanaFajr"/>
          <w:sz w:val="28"/>
          <w:szCs w:val="28"/>
          <w:rtl/>
          <w:lang w:bidi="fa-IR"/>
        </w:rPr>
        <w:t>سة الرسالة، بيروت، 1998.</w:t>
      </w:r>
    </w:p>
  </w:endnote>
  <w:endnote w:id="258">
    <w:p w:rsidR="00F41F33" w:rsidRPr="00BD58F2" w:rsidRDefault="00F41F33" w:rsidP="00995E59">
      <w:pPr>
        <w:pStyle w:val="aa"/>
        <w:spacing w:line="300" w:lineRule="exact"/>
        <w:ind w:firstLine="0"/>
        <w:rPr>
          <w:rFonts w:cs="DanaFajr"/>
          <w:sz w:val="28"/>
          <w:szCs w:val="28"/>
        </w:rPr>
      </w:pPr>
      <w:r w:rsidRPr="009A5201">
        <w:rPr>
          <w:rFonts w:cs="DanaFajr" w:hint="cs"/>
          <w:sz w:val="28"/>
          <w:szCs w:val="28"/>
          <w:rtl/>
        </w:rPr>
        <w:t>(</w:t>
      </w:r>
      <w:r w:rsidRPr="009A5201">
        <w:rPr>
          <w:rStyle w:val="ac"/>
          <w:rFonts w:cs="DanaFajr"/>
          <w:sz w:val="28"/>
          <w:szCs w:val="28"/>
          <w:vertAlign w:val="baseline"/>
        </w:rPr>
        <w:endnoteRef/>
      </w:r>
      <w:r w:rsidRPr="009A5201">
        <w:rPr>
          <w:rFonts w:cs="DanaFajr" w:hint="cs"/>
          <w:sz w:val="28"/>
          <w:szCs w:val="28"/>
          <w:rtl/>
        </w:rPr>
        <w:t xml:space="preserve">) </w:t>
      </w:r>
      <w:r w:rsidRPr="009A5201">
        <w:rPr>
          <w:rFonts w:ascii="Tahoma" w:hAnsi="Tahoma" w:cs="DanaFajr"/>
          <w:sz w:val="28"/>
          <w:szCs w:val="28"/>
          <w:rtl/>
          <w:lang w:bidi="fa-IR"/>
        </w:rPr>
        <w:t>ولمعرفة المزيد من شروط المصلحة وضوابطها انظر: د.</w:t>
      </w:r>
      <w:r w:rsidRPr="009A5201">
        <w:rPr>
          <w:rFonts w:ascii="Tahoma" w:hAnsi="Tahoma" w:cs="DanaFajr" w:hint="cs"/>
          <w:sz w:val="28"/>
          <w:szCs w:val="28"/>
          <w:rtl/>
          <w:lang w:bidi="fa-IR"/>
        </w:rPr>
        <w:t xml:space="preserve"> </w:t>
      </w:r>
      <w:r w:rsidRPr="009A5201">
        <w:rPr>
          <w:rFonts w:ascii="Tahoma" w:hAnsi="Tahoma" w:cs="DanaFajr"/>
          <w:sz w:val="28"/>
          <w:szCs w:val="28"/>
          <w:rtl/>
          <w:lang w:bidi="fa-IR"/>
        </w:rPr>
        <w:t>محمد سعيد البوطي</w:t>
      </w:r>
      <w:r w:rsidRPr="009A5201">
        <w:rPr>
          <w:rFonts w:ascii="Tahoma" w:hAnsi="Tahoma" w:cs="DanaFajr" w:hint="cs"/>
          <w:sz w:val="28"/>
          <w:szCs w:val="28"/>
          <w:rtl/>
          <w:lang w:bidi="fa-IR"/>
        </w:rPr>
        <w:t>،</w:t>
      </w:r>
      <w:r w:rsidRPr="009A5201">
        <w:rPr>
          <w:rFonts w:ascii="Tahoma" w:hAnsi="Tahoma" w:cs="DanaFajr"/>
          <w:sz w:val="28"/>
          <w:szCs w:val="28"/>
          <w:rtl/>
          <w:lang w:bidi="fa-IR"/>
        </w:rPr>
        <w:t xml:space="preserve"> ضوابط المصلحة </w:t>
      </w:r>
      <w:r w:rsidRPr="00BD58F2">
        <w:rPr>
          <w:rFonts w:ascii="Tahoma" w:hAnsi="Tahoma" w:cs="DanaFajr"/>
          <w:sz w:val="28"/>
          <w:szCs w:val="28"/>
          <w:rtl/>
          <w:lang w:bidi="fa-IR"/>
        </w:rPr>
        <w:t>في الشريعة الإسلامية: 270 وما بعدها، بيروت، 1977م.</w:t>
      </w:r>
    </w:p>
  </w:endnote>
  <w:endnote w:id="259">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 xml:space="preserve">) </w:t>
      </w:r>
      <w:r w:rsidRPr="00BD58F2">
        <w:rPr>
          <w:rFonts w:ascii="Tahoma" w:hAnsi="Tahoma" w:cs="DanaFajr"/>
          <w:sz w:val="28"/>
          <w:szCs w:val="28"/>
          <w:rtl/>
          <w:lang w:bidi="fa-IR"/>
        </w:rPr>
        <w:t>الشاطبي</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الموافقات 1</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w:t>
      </w:r>
      <w:r w:rsidRPr="00BD58F2">
        <w:rPr>
          <w:rFonts w:ascii="Tahoma" w:hAnsi="Tahoma" w:cs="DanaFajr" w:hint="cs"/>
          <w:sz w:val="28"/>
          <w:szCs w:val="28"/>
          <w:rtl/>
          <w:lang w:bidi="ar-LB"/>
        </w:rPr>
        <w:t>3257</w:t>
      </w:r>
      <w:r w:rsidRPr="00BD58F2">
        <w:rPr>
          <w:rFonts w:ascii="Tahoma" w:hAnsi="Tahoma" w:cs="DanaFajr"/>
          <w:sz w:val="28"/>
          <w:szCs w:val="28"/>
          <w:rtl/>
          <w:lang w:bidi="fa-IR"/>
        </w:rPr>
        <w:t>.</w:t>
      </w:r>
    </w:p>
  </w:endnote>
  <w:endnote w:id="260">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 xml:space="preserve">) </w:t>
      </w:r>
      <w:r w:rsidRPr="00BD58F2">
        <w:rPr>
          <w:rFonts w:ascii="Tahoma" w:hAnsi="Tahoma" w:cs="DanaFajr"/>
          <w:sz w:val="28"/>
          <w:szCs w:val="28"/>
          <w:rtl/>
          <w:lang w:bidi="fa-IR"/>
        </w:rPr>
        <w:t>د.</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أحمد فؤاد الأهواني</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جون ديوي: 38، دار المعارف، مصر، 19</w:t>
      </w:r>
      <w:r w:rsidRPr="00BD58F2">
        <w:rPr>
          <w:rFonts w:ascii="Tahoma" w:hAnsi="Tahoma" w:cs="DanaFajr" w:hint="cs"/>
          <w:sz w:val="28"/>
          <w:szCs w:val="28"/>
          <w:rtl/>
          <w:lang w:bidi="ar-LB"/>
        </w:rPr>
        <w:t>5</w:t>
      </w:r>
      <w:r w:rsidRPr="00BD58F2">
        <w:rPr>
          <w:rFonts w:ascii="Tahoma" w:hAnsi="Tahoma" w:cs="DanaFajr"/>
          <w:sz w:val="28"/>
          <w:szCs w:val="28"/>
          <w:rtl/>
          <w:lang w:bidi="fa-IR"/>
        </w:rPr>
        <w:t>9م.</w:t>
      </w:r>
    </w:p>
  </w:endnote>
  <w:endnote w:id="261">
    <w:p w:rsidR="00F41F33" w:rsidRPr="00BD58F2" w:rsidRDefault="00F41F33" w:rsidP="00995E59">
      <w:pPr>
        <w:pStyle w:val="aa"/>
        <w:spacing w:line="300" w:lineRule="exact"/>
        <w:ind w:firstLine="0"/>
        <w:rPr>
          <w:rFonts w:cs="DanaFajr"/>
          <w:sz w:val="28"/>
          <w:szCs w:val="28"/>
        </w:rPr>
      </w:pPr>
      <w:r w:rsidRPr="009A5201">
        <w:rPr>
          <w:rFonts w:cs="DanaFajr" w:hint="cs"/>
          <w:sz w:val="28"/>
          <w:szCs w:val="28"/>
          <w:rtl/>
        </w:rPr>
        <w:t>(</w:t>
      </w:r>
      <w:r w:rsidRPr="009A5201">
        <w:rPr>
          <w:rStyle w:val="ac"/>
          <w:rFonts w:cs="DanaFajr"/>
          <w:sz w:val="28"/>
          <w:szCs w:val="28"/>
          <w:vertAlign w:val="baseline"/>
        </w:rPr>
        <w:endnoteRef/>
      </w:r>
      <w:r w:rsidRPr="009A5201">
        <w:rPr>
          <w:rFonts w:cs="DanaFajr" w:hint="cs"/>
          <w:sz w:val="28"/>
          <w:szCs w:val="28"/>
          <w:rtl/>
        </w:rPr>
        <w:t>)</w:t>
      </w:r>
      <w:r w:rsidRPr="009A5201">
        <w:rPr>
          <w:rFonts w:ascii="Tahoma" w:hAnsi="Tahoma" w:cs="DanaFajr" w:hint="cs"/>
          <w:sz w:val="28"/>
          <w:szCs w:val="28"/>
          <w:rtl/>
          <w:lang w:bidi="fa-IR"/>
        </w:rPr>
        <w:t xml:space="preserve"> </w:t>
      </w:r>
      <w:r w:rsidRPr="009A5201">
        <w:rPr>
          <w:rFonts w:ascii="Tahoma" w:hAnsi="Tahoma" w:cs="DanaFajr"/>
          <w:sz w:val="28"/>
          <w:szCs w:val="28"/>
          <w:rtl/>
          <w:lang w:bidi="fa-IR"/>
        </w:rPr>
        <w:t>وليم جيمس</w:t>
      </w:r>
      <w:r w:rsidRPr="009A5201">
        <w:rPr>
          <w:rFonts w:ascii="Tahoma" w:hAnsi="Tahoma" w:cs="DanaFajr" w:hint="cs"/>
          <w:sz w:val="28"/>
          <w:szCs w:val="28"/>
          <w:rtl/>
          <w:lang w:bidi="fa-IR"/>
        </w:rPr>
        <w:t>،</w:t>
      </w:r>
      <w:r w:rsidRPr="009A5201">
        <w:rPr>
          <w:rFonts w:ascii="Tahoma" w:hAnsi="Tahoma" w:cs="DanaFajr"/>
          <w:sz w:val="28"/>
          <w:szCs w:val="28"/>
          <w:rtl/>
          <w:lang w:bidi="fa-IR"/>
        </w:rPr>
        <w:t xml:space="preserve"> إرادة الاعتقاد:</w:t>
      </w:r>
      <w:r w:rsidRPr="00C10DDE">
        <w:rPr>
          <w:rFonts w:ascii="Tahoma" w:hAnsi="Tahoma" w:cs="DanaFajr"/>
          <w:sz w:val="28"/>
          <w:szCs w:val="28"/>
          <w:rtl/>
          <w:lang w:bidi="fa-IR"/>
        </w:rPr>
        <w:t xml:space="preserve"> 37،</w:t>
      </w:r>
      <w:r w:rsidRPr="009A5201">
        <w:rPr>
          <w:rFonts w:ascii="Tahoma" w:hAnsi="Tahoma" w:cs="DanaFajr"/>
          <w:sz w:val="28"/>
          <w:szCs w:val="28"/>
          <w:rtl/>
          <w:lang w:bidi="fa-IR"/>
        </w:rPr>
        <w:t xml:space="preserve"> ترجمة</w:t>
      </w:r>
      <w:r w:rsidRPr="009A5201">
        <w:rPr>
          <w:rFonts w:ascii="Tahoma" w:hAnsi="Tahoma" w:cs="DanaFajr" w:hint="cs"/>
          <w:sz w:val="28"/>
          <w:szCs w:val="28"/>
          <w:rtl/>
          <w:lang w:bidi="fa-IR"/>
        </w:rPr>
        <w:t>:</w:t>
      </w:r>
      <w:r w:rsidRPr="009A5201">
        <w:rPr>
          <w:rFonts w:ascii="Tahoma" w:hAnsi="Tahoma" w:cs="DanaFajr"/>
          <w:sz w:val="28"/>
          <w:szCs w:val="28"/>
          <w:rtl/>
          <w:lang w:bidi="fa-IR"/>
        </w:rPr>
        <w:t xml:space="preserve"> محمود حسب الله، دار إحياء الكتب العربية، </w:t>
      </w:r>
      <w:r w:rsidRPr="00BD58F2">
        <w:rPr>
          <w:rFonts w:ascii="Tahoma" w:hAnsi="Tahoma" w:cs="DanaFajr"/>
          <w:sz w:val="28"/>
          <w:szCs w:val="28"/>
          <w:rtl/>
          <w:lang w:bidi="fa-IR"/>
        </w:rPr>
        <w:t>القاهرة، 13</w:t>
      </w:r>
      <w:r w:rsidRPr="00BD58F2">
        <w:rPr>
          <w:rFonts w:ascii="Tahoma" w:hAnsi="Tahoma" w:cs="DanaFajr" w:hint="cs"/>
          <w:sz w:val="28"/>
          <w:szCs w:val="28"/>
          <w:rtl/>
          <w:lang w:bidi="ar-LB"/>
        </w:rPr>
        <w:t>65</w:t>
      </w:r>
      <w:r w:rsidRPr="00BD58F2">
        <w:rPr>
          <w:rFonts w:ascii="Tahoma" w:hAnsi="Tahoma" w:cs="DanaFajr"/>
          <w:sz w:val="28"/>
          <w:szCs w:val="28"/>
          <w:rtl/>
          <w:lang w:bidi="fa-IR"/>
        </w:rPr>
        <w:t>هـ/19</w:t>
      </w:r>
      <w:r w:rsidRPr="00BD58F2">
        <w:rPr>
          <w:rFonts w:ascii="Tahoma" w:hAnsi="Tahoma" w:cs="DanaFajr" w:hint="cs"/>
          <w:sz w:val="28"/>
          <w:szCs w:val="28"/>
          <w:rtl/>
          <w:lang w:bidi="ar-LB"/>
        </w:rPr>
        <w:t>46</w:t>
      </w:r>
      <w:r w:rsidRPr="00BD58F2">
        <w:rPr>
          <w:rFonts w:ascii="Tahoma" w:hAnsi="Tahoma" w:cs="DanaFajr"/>
          <w:sz w:val="28"/>
          <w:szCs w:val="28"/>
          <w:rtl/>
          <w:lang w:bidi="fa-IR"/>
        </w:rPr>
        <w:t>م.</w:t>
      </w:r>
    </w:p>
  </w:endnote>
  <w:endnote w:id="262">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 xml:space="preserve">) </w:t>
      </w:r>
      <w:r w:rsidRPr="00BD58F2">
        <w:rPr>
          <w:rFonts w:ascii="Tahoma" w:hAnsi="Tahoma" w:cs="DanaFajr"/>
          <w:sz w:val="28"/>
          <w:szCs w:val="28"/>
          <w:rtl/>
          <w:lang w:bidi="fa-IR"/>
        </w:rPr>
        <w:t>الم</w:t>
      </w:r>
      <w:r w:rsidRPr="00BD58F2">
        <w:rPr>
          <w:rFonts w:ascii="Tahoma" w:hAnsi="Tahoma" w:cs="DanaFajr" w:hint="cs"/>
          <w:sz w:val="28"/>
          <w:szCs w:val="28"/>
          <w:rtl/>
          <w:lang w:bidi="fa-IR"/>
        </w:rPr>
        <w:t>صدر</w:t>
      </w:r>
      <w:r w:rsidRPr="00BD58F2">
        <w:rPr>
          <w:rFonts w:ascii="Tahoma" w:hAnsi="Tahoma" w:cs="DanaFajr"/>
          <w:sz w:val="28"/>
          <w:szCs w:val="28"/>
          <w:rtl/>
          <w:lang w:bidi="fa-IR"/>
        </w:rPr>
        <w:t xml:space="preserve"> السابق: </w:t>
      </w:r>
      <w:r w:rsidRPr="00BD58F2">
        <w:rPr>
          <w:rFonts w:ascii="Tahoma" w:hAnsi="Tahoma" w:cs="DanaFajr" w:hint="cs"/>
          <w:sz w:val="28"/>
          <w:szCs w:val="28"/>
          <w:rtl/>
          <w:lang w:bidi="ar-LB"/>
        </w:rPr>
        <w:t>5</w:t>
      </w:r>
      <w:r w:rsidRPr="00BD58F2">
        <w:rPr>
          <w:rFonts w:ascii="Tahoma" w:hAnsi="Tahoma" w:cs="DanaFajr"/>
          <w:sz w:val="28"/>
          <w:szCs w:val="28"/>
          <w:rtl/>
          <w:lang w:bidi="fa-IR"/>
        </w:rPr>
        <w:t>2.</w:t>
      </w:r>
    </w:p>
  </w:endnote>
  <w:endnote w:id="263">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روسكو باوند</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مقدمة كتاب «مدخل إلى فلسفة القانون»</w:t>
      </w:r>
      <w:r w:rsidRPr="00BD58F2">
        <w:rPr>
          <w:rFonts w:ascii="Tahoma" w:hAnsi="Tahoma" w:cs="DanaFajr" w:hint="cs"/>
          <w:sz w:val="28"/>
          <w:szCs w:val="28"/>
          <w:rtl/>
          <w:lang w:bidi="fa-IR"/>
        </w:rPr>
        <w:t>: 10</w:t>
      </w:r>
      <w:r w:rsidRPr="00BD58F2">
        <w:rPr>
          <w:rFonts w:ascii="Tahoma" w:hAnsi="Tahoma" w:cs="DanaFajr"/>
          <w:sz w:val="28"/>
          <w:szCs w:val="28"/>
          <w:rtl/>
          <w:lang w:bidi="fa-IR"/>
        </w:rPr>
        <w:t>، ترجمة</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د.</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صلاح الدباغ،</w:t>
      </w:r>
      <w:r w:rsidRPr="009A5201">
        <w:rPr>
          <w:rFonts w:ascii="Tahoma" w:hAnsi="Tahoma" w:cs="DanaFajr"/>
          <w:sz w:val="28"/>
          <w:szCs w:val="28"/>
          <w:rtl/>
          <w:lang w:bidi="fa-IR"/>
        </w:rPr>
        <w:t xml:space="preserve"> مراجعة</w:t>
      </w:r>
      <w:r w:rsidRPr="009A5201">
        <w:rPr>
          <w:rFonts w:ascii="Tahoma" w:hAnsi="Tahoma" w:cs="DanaFajr" w:hint="cs"/>
          <w:sz w:val="28"/>
          <w:szCs w:val="28"/>
          <w:rtl/>
          <w:lang w:bidi="fa-IR"/>
        </w:rPr>
        <w:t>:</w:t>
      </w:r>
      <w:r w:rsidRPr="009A5201">
        <w:rPr>
          <w:rFonts w:ascii="Tahoma" w:hAnsi="Tahoma" w:cs="DanaFajr"/>
          <w:sz w:val="28"/>
          <w:szCs w:val="28"/>
          <w:rtl/>
          <w:lang w:bidi="fa-IR"/>
        </w:rPr>
        <w:t xml:space="preserve"> د.</w:t>
      </w:r>
      <w:r w:rsidRPr="009A5201">
        <w:rPr>
          <w:rFonts w:ascii="Tahoma" w:hAnsi="Tahoma" w:cs="DanaFajr" w:hint="cs"/>
          <w:sz w:val="28"/>
          <w:szCs w:val="28"/>
          <w:rtl/>
          <w:lang w:bidi="fa-IR"/>
        </w:rPr>
        <w:t xml:space="preserve"> </w:t>
      </w:r>
      <w:r w:rsidRPr="009A5201">
        <w:rPr>
          <w:rFonts w:ascii="Tahoma" w:hAnsi="Tahoma" w:cs="DanaFajr"/>
          <w:sz w:val="28"/>
          <w:szCs w:val="28"/>
          <w:rtl/>
          <w:lang w:bidi="fa-IR"/>
        </w:rPr>
        <w:t>أحمد مسلم، المؤسسة الوطنية للطباعة والفكر، بيروت، بالاشتراك مع مؤس</w:t>
      </w:r>
      <w:r w:rsidRPr="009A5201">
        <w:rPr>
          <w:rFonts w:ascii="Tahoma" w:hAnsi="Tahoma" w:cs="DanaFajr" w:hint="cs"/>
          <w:sz w:val="28"/>
          <w:szCs w:val="28"/>
          <w:rtl/>
          <w:lang w:bidi="fa-IR"/>
        </w:rPr>
        <w:t>ّ</w:t>
      </w:r>
      <w:r w:rsidRPr="009A5201">
        <w:rPr>
          <w:rFonts w:ascii="Tahoma" w:hAnsi="Tahoma" w:cs="DanaFajr"/>
          <w:sz w:val="28"/>
          <w:szCs w:val="28"/>
          <w:rtl/>
          <w:lang w:bidi="fa-IR"/>
        </w:rPr>
        <w:t xml:space="preserve">سة فرانكلين </w:t>
      </w:r>
      <w:r w:rsidRPr="00BD58F2">
        <w:rPr>
          <w:rFonts w:ascii="Tahoma" w:hAnsi="Tahoma" w:cs="DanaFajr"/>
          <w:sz w:val="28"/>
          <w:szCs w:val="28"/>
          <w:rtl/>
          <w:lang w:bidi="fa-IR"/>
        </w:rPr>
        <w:t>بروت نيويورك، 19</w:t>
      </w:r>
      <w:r w:rsidRPr="00BD58F2">
        <w:rPr>
          <w:rFonts w:ascii="Tahoma" w:hAnsi="Tahoma" w:cs="DanaFajr" w:hint="cs"/>
          <w:sz w:val="28"/>
          <w:szCs w:val="28"/>
          <w:rtl/>
          <w:lang w:bidi="ar-LB"/>
        </w:rPr>
        <w:t>6</w:t>
      </w:r>
      <w:r w:rsidRPr="00BD58F2">
        <w:rPr>
          <w:rFonts w:ascii="Tahoma" w:hAnsi="Tahoma" w:cs="DanaFajr"/>
          <w:sz w:val="28"/>
          <w:szCs w:val="28"/>
          <w:rtl/>
          <w:lang w:bidi="fa-IR"/>
        </w:rPr>
        <w:t>7م</w:t>
      </w:r>
      <w:r w:rsidRPr="00BD58F2">
        <w:rPr>
          <w:rFonts w:ascii="Tahoma" w:hAnsi="Tahoma" w:cs="DanaFajr" w:hint="cs"/>
          <w:sz w:val="28"/>
          <w:szCs w:val="28"/>
          <w:rtl/>
          <w:lang w:bidi="fa-IR"/>
        </w:rPr>
        <w:t>.</w:t>
      </w:r>
    </w:p>
  </w:endnote>
  <w:endnote w:id="264">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سعيد الصادق</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المنهج القانوني ـ الولايات المت</w:t>
      </w:r>
      <w:r w:rsidRPr="00BD58F2">
        <w:rPr>
          <w:rFonts w:ascii="Tahoma" w:hAnsi="Tahoma" w:cs="DanaFajr" w:hint="cs"/>
          <w:sz w:val="28"/>
          <w:szCs w:val="28"/>
          <w:rtl/>
          <w:lang w:bidi="fa-IR"/>
        </w:rPr>
        <w:t>ّ</w:t>
      </w:r>
      <w:r w:rsidRPr="00BD58F2">
        <w:rPr>
          <w:rFonts w:ascii="Tahoma" w:hAnsi="Tahoma" w:cs="DanaFajr"/>
          <w:sz w:val="28"/>
          <w:szCs w:val="28"/>
          <w:rtl/>
          <w:lang w:bidi="fa-IR"/>
        </w:rPr>
        <w:t>حدة وجمهورية مصر العربية</w:t>
      </w:r>
      <w:r w:rsidRPr="00BD58F2">
        <w:rPr>
          <w:rFonts w:ascii="Tahoma" w:hAnsi="Tahoma" w:cs="DanaFajr" w:hint="cs"/>
          <w:sz w:val="28"/>
          <w:szCs w:val="28"/>
          <w:rtl/>
          <w:lang w:bidi="fa-IR"/>
        </w:rPr>
        <w:t xml:space="preserve">: </w:t>
      </w:r>
      <w:r w:rsidRPr="00BD58F2">
        <w:rPr>
          <w:rFonts w:ascii="Tahoma" w:hAnsi="Tahoma" w:cs="DanaFajr" w:hint="cs"/>
          <w:sz w:val="28"/>
          <w:szCs w:val="28"/>
          <w:rtl/>
          <w:lang w:bidi="ar-LB"/>
        </w:rPr>
        <w:t>48</w:t>
      </w:r>
      <w:r w:rsidRPr="00BD58F2">
        <w:rPr>
          <w:rFonts w:ascii="Tahoma" w:hAnsi="Tahoma" w:cs="DanaFajr"/>
          <w:sz w:val="28"/>
          <w:szCs w:val="28"/>
          <w:rtl/>
          <w:lang w:bidi="fa-IR"/>
        </w:rPr>
        <w:t>، دار النهضة</w:t>
      </w:r>
      <w:r w:rsidRPr="009A5201">
        <w:rPr>
          <w:rFonts w:ascii="Tahoma" w:hAnsi="Tahoma" w:cs="DanaFajr"/>
          <w:sz w:val="28"/>
          <w:szCs w:val="28"/>
          <w:rtl/>
          <w:lang w:bidi="fa-IR"/>
        </w:rPr>
        <w:t xml:space="preserve"> </w:t>
      </w:r>
      <w:r w:rsidRPr="00BD58F2">
        <w:rPr>
          <w:rFonts w:ascii="Tahoma" w:hAnsi="Tahoma" w:cs="DanaFajr"/>
          <w:sz w:val="28"/>
          <w:szCs w:val="28"/>
          <w:rtl/>
          <w:lang w:bidi="fa-IR"/>
        </w:rPr>
        <w:t>العربية، القاهرة، 1977م</w:t>
      </w:r>
      <w:r w:rsidRPr="00BD58F2">
        <w:rPr>
          <w:rFonts w:ascii="Tahoma" w:hAnsi="Tahoma" w:cs="DanaFajr" w:hint="cs"/>
          <w:sz w:val="28"/>
          <w:szCs w:val="28"/>
          <w:rtl/>
          <w:lang w:bidi="fa-IR"/>
        </w:rPr>
        <w:t>.</w:t>
      </w:r>
    </w:p>
  </w:endnote>
  <w:endnote w:id="265">
    <w:p w:rsidR="00F41F33" w:rsidRPr="00BD58F2" w:rsidRDefault="00F41F33" w:rsidP="00995E59">
      <w:pPr>
        <w:pStyle w:val="aa"/>
        <w:spacing w:line="300" w:lineRule="exact"/>
        <w:ind w:firstLine="0"/>
        <w:rPr>
          <w:rFonts w:cs="DanaFajr"/>
          <w:sz w:val="28"/>
          <w:szCs w:val="28"/>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 xml:space="preserve">) </w:t>
      </w:r>
      <w:r w:rsidRPr="00BD58F2">
        <w:rPr>
          <w:rFonts w:ascii="Tahoma" w:hAnsi="Tahoma" w:cs="DanaFajr"/>
          <w:sz w:val="28"/>
          <w:szCs w:val="28"/>
          <w:rtl/>
          <w:lang w:bidi="fa-IR"/>
        </w:rPr>
        <w:t>باوند</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مدخل إلى فلسفة القانون: 3</w:t>
      </w:r>
      <w:r w:rsidRPr="00BD58F2">
        <w:rPr>
          <w:rFonts w:ascii="Tahoma" w:hAnsi="Tahoma" w:cs="DanaFajr" w:hint="cs"/>
          <w:sz w:val="28"/>
          <w:szCs w:val="28"/>
          <w:rtl/>
          <w:lang w:bidi="ar-LB"/>
        </w:rPr>
        <w:t>6</w:t>
      </w:r>
      <w:r w:rsidRPr="00BD58F2">
        <w:rPr>
          <w:rFonts w:ascii="Tahoma" w:hAnsi="Tahoma" w:cs="DanaFajr"/>
          <w:sz w:val="28"/>
          <w:szCs w:val="28"/>
          <w:rtl/>
          <w:lang w:bidi="fa-IR"/>
        </w:rPr>
        <w:t>.</w:t>
      </w:r>
    </w:p>
  </w:endnote>
  <w:endnote w:id="266">
    <w:p w:rsidR="00F41F33" w:rsidRPr="00BD58F2" w:rsidRDefault="00F41F33" w:rsidP="00995E59">
      <w:pPr>
        <w:pStyle w:val="aa"/>
        <w:spacing w:line="300" w:lineRule="exact"/>
        <w:ind w:firstLine="0"/>
        <w:rPr>
          <w:rFonts w:cs="DanaFajr"/>
          <w:sz w:val="28"/>
          <w:szCs w:val="28"/>
          <w:rtl/>
          <w:lang w:bidi="ar-LB"/>
        </w:rPr>
      </w:pPr>
      <w:r w:rsidRPr="00BD58F2">
        <w:rPr>
          <w:rFonts w:cs="DanaFajr" w:hint="cs"/>
          <w:sz w:val="28"/>
          <w:szCs w:val="28"/>
          <w:rtl/>
        </w:rPr>
        <w:t>(</w:t>
      </w:r>
      <w:r w:rsidRPr="00BD58F2">
        <w:rPr>
          <w:rStyle w:val="ac"/>
          <w:rFonts w:cs="DanaFajr"/>
          <w:sz w:val="28"/>
          <w:szCs w:val="28"/>
          <w:vertAlign w:val="baseline"/>
        </w:rPr>
        <w:endnoteRef/>
      </w:r>
      <w:r w:rsidRPr="00BD58F2">
        <w:rPr>
          <w:rFonts w:cs="DanaFajr" w:hint="cs"/>
          <w:sz w:val="28"/>
          <w:szCs w:val="28"/>
          <w:rtl/>
        </w:rPr>
        <w:t>)</w:t>
      </w:r>
      <w:r w:rsidRPr="00BD58F2">
        <w:rPr>
          <w:rFonts w:ascii="Tahoma" w:hAnsi="Tahoma" w:cs="DanaFajr" w:hint="cs"/>
          <w:sz w:val="28"/>
          <w:szCs w:val="28"/>
          <w:rtl/>
          <w:lang w:bidi="fa-IR"/>
        </w:rPr>
        <w:t xml:space="preserve"> </w:t>
      </w:r>
      <w:r w:rsidRPr="00BD58F2">
        <w:rPr>
          <w:rFonts w:ascii="Tahoma" w:hAnsi="Tahoma" w:cs="DanaFajr"/>
          <w:sz w:val="28"/>
          <w:szCs w:val="28"/>
          <w:rtl/>
          <w:lang w:bidi="fa-IR"/>
        </w:rPr>
        <w:t>الصادق</w:t>
      </w:r>
      <w:r w:rsidRPr="00BD58F2">
        <w:rPr>
          <w:rFonts w:ascii="Tahoma" w:hAnsi="Tahoma" w:cs="DanaFajr" w:hint="cs"/>
          <w:sz w:val="28"/>
          <w:szCs w:val="28"/>
          <w:rtl/>
          <w:lang w:bidi="fa-IR"/>
        </w:rPr>
        <w:t>،</w:t>
      </w:r>
      <w:r w:rsidRPr="00BD58F2">
        <w:rPr>
          <w:rFonts w:ascii="Tahoma" w:hAnsi="Tahoma" w:cs="DanaFajr"/>
          <w:sz w:val="28"/>
          <w:szCs w:val="28"/>
          <w:rtl/>
          <w:lang w:bidi="fa-IR"/>
        </w:rPr>
        <w:t xml:space="preserve"> المنهج القانون</w:t>
      </w:r>
      <w:r w:rsidRPr="00BD58F2">
        <w:rPr>
          <w:rFonts w:ascii="Tahoma" w:hAnsi="Tahoma" w:cs="DanaFajr" w:hint="cs"/>
          <w:sz w:val="28"/>
          <w:szCs w:val="28"/>
          <w:rtl/>
          <w:lang w:bidi="fa-IR"/>
        </w:rPr>
        <w:t>ي</w:t>
      </w:r>
      <w:r w:rsidRPr="00BD58F2">
        <w:rPr>
          <w:rFonts w:ascii="Tahoma" w:hAnsi="Tahoma" w:cs="DanaFajr" w:hint="cs"/>
          <w:sz w:val="28"/>
          <w:szCs w:val="28"/>
          <w:rtl/>
          <w:lang w:bidi="ar-LB"/>
        </w:rPr>
        <w:t>: 49.</w:t>
      </w:r>
    </w:p>
    <w:p w:rsidR="00F41F33" w:rsidRPr="00715694" w:rsidRDefault="00F41F33" w:rsidP="00062936">
      <w:pPr>
        <w:autoSpaceDE w:val="0"/>
        <w:autoSpaceDN w:val="0"/>
        <w:bidi w:val="0"/>
        <w:adjustRightInd w:val="0"/>
        <w:spacing w:line="300" w:lineRule="exact"/>
        <w:ind w:firstLine="0"/>
        <w:rPr>
          <w:rFonts w:asciiTheme="majorBidi" w:hAnsiTheme="majorBidi" w:cstheme="majorBidi"/>
          <w:sz w:val="20"/>
          <w:szCs w:val="20"/>
          <w:lang w:bidi="fa-IR"/>
        </w:rPr>
      </w:pPr>
      <w:r w:rsidRPr="00715694">
        <w:rPr>
          <w:rFonts w:asciiTheme="majorBidi" w:hAnsiTheme="majorBidi" w:cstheme="majorBidi"/>
          <w:sz w:val="20"/>
          <w:szCs w:val="20"/>
          <w:lang w:bidi="fa-IR"/>
        </w:rPr>
        <w:t xml:space="preserve">Encyclopedia of the American Constitution, New York, London, </w:t>
      </w:r>
      <w:r w:rsidRPr="006333E0">
        <w:rPr>
          <w:rFonts w:asciiTheme="majorBidi" w:hAnsiTheme="majorBidi" w:cs="Ya-Ali"/>
          <w:sz w:val="20"/>
          <w:szCs w:val="20"/>
          <w:lang w:bidi="fa-IR"/>
        </w:rPr>
        <w:t>1916</w:t>
      </w:r>
      <w:r w:rsidRPr="00715694">
        <w:rPr>
          <w:rFonts w:asciiTheme="majorBidi" w:hAnsiTheme="majorBidi" w:cstheme="majorBidi"/>
          <w:sz w:val="20"/>
          <w:szCs w:val="20"/>
          <w:lang w:bidi="fa-IR"/>
        </w:rPr>
        <w:t>, Vol.</w:t>
      </w:r>
      <w:r w:rsidRPr="006333E0">
        <w:rPr>
          <w:rFonts w:asciiTheme="majorBidi" w:hAnsiTheme="majorBidi" w:cs="Ya-Ali"/>
          <w:sz w:val="20"/>
          <w:szCs w:val="20"/>
          <w:lang w:bidi="fa-IR"/>
        </w:rPr>
        <w:t>3</w:t>
      </w:r>
      <w:r w:rsidRPr="00715694">
        <w:rPr>
          <w:rFonts w:asciiTheme="majorBidi" w:hAnsiTheme="majorBidi" w:cstheme="majorBidi"/>
          <w:sz w:val="20"/>
          <w:szCs w:val="20"/>
          <w:lang w:bidi="fa-IR"/>
        </w:rPr>
        <w:t>, p.</w:t>
      </w:r>
      <w:r w:rsidRPr="006333E0">
        <w:rPr>
          <w:rFonts w:asciiTheme="majorBidi" w:hAnsiTheme="majorBidi" w:cs="Ya-Ali"/>
          <w:sz w:val="20"/>
          <w:szCs w:val="20"/>
          <w:lang w:bidi="fa-IR"/>
        </w:rPr>
        <w:t>1431</w:t>
      </w:r>
      <w:r w:rsidRPr="00715694">
        <w:rPr>
          <w:rFonts w:asciiTheme="majorBidi" w:hAnsiTheme="majorBidi" w:cstheme="majorBidi"/>
          <w:sz w:val="20"/>
          <w:szCs w:val="20"/>
          <w:lang w:bidi="fa-IR"/>
        </w:rPr>
        <w:t>.</w:t>
      </w:r>
    </w:p>
    <w:p w:rsidR="00F41F33" w:rsidRPr="00715694" w:rsidRDefault="00F41F33" w:rsidP="00BD58F2">
      <w:pPr>
        <w:autoSpaceDE w:val="0"/>
        <w:autoSpaceDN w:val="0"/>
        <w:bidi w:val="0"/>
        <w:adjustRightInd w:val="0"/>
        <w:spacing w:line="300" w:lineRule="exact"/>
        <w:ind w:firstLine="0"/>
        <w:rPr>
          <w:rFonts w:asciiTheme="majorBidi" w:hAnsiTheme="majorBidi" w:cstheme="majorBidi"/>
          <w:sz w:val="20"/>
          <w:szCs w:val="20"/>
          <w:lang w:bidi="fa-IR"/>
        </w:rPr>
      </w:pPr>
      <w:r w:rsidRPr="00715694">
        <w:rPr>
          <w:rFonts w:asciiTheme="majorBidi" w:hAnsiTheme="majorBidi" w:cstheme="majorBidi"/>
          <w:sz w:val="20"/>
          <w:szCs w:val="20"/>
          <w:lang w:bidi="fa-IR"/>
        </w:rPr>
        <w:t xml:space="preserve">Harvard Law Review, </w:t>
      </w:r>
      <w:r w:rsidRPr="006333E0">
        <w:rPr>
          <w:rFonts w:asciiTheme="majorBidi" w:hAnsiTheme="majorBidi" w:cs="Ya-Ali"/>
          <w:sz w:val="20"/>
          <w:szCs w:val="20"/>
          <w:lang w:bidi="fa-IR"/>
        </w:rPr>
        <w:t>1912</w:t>
      </w:r>
      <w:r w:rsidRPr="00715694">
        <w:rPr>
          <w:rFonts w:asciiTheme="majorBidi" w:hAnsiTheme="majorBidi" w:cstheme="majorBidi"/>
          <w:sz w:val="20"/>
          <w:szCs w:val="20"/>
          <w:lang w:bidi="fa-IR"/>
        </w:rPr>
        <w:t>, Vol.</w:t>
      </w:r>
      <w:r w:rsidRPr="006333E0">
        <w:rPr>
          <w:rFonts w:asciiTheme="majorBidi" w:hAnsiTheme="majorBidi" w:cs="Ya-Ali"/>
          <w:sz w:val="20"/>
          <w:szCs w:val="20"/>
          <w:lang w:bidi="fa-IR"/>
        </w:rPr>
        <w:t>25</w:t>
      </w:r>
      <w:r w:rsidRPr="00715694">
        <w:rPr>
          <w:rFonts w:asciiTheme="majorBidi" w:hAnsiTheme="majorBidi" w:cstheme="majorBidi"/>
          <w:sz w:val="20"/>
          <w:szCs w:val="20"/>
          <w:lang w:bidi="fa-IR"/>
        </w:rPr>
        <w:t>, pp.</w:t>
      </w:r>
      <w:r>
        <w:rPr>
          <w:rFonts w:asciiTheme="majorBidi" w:hAnsiTheme="majorBidi" w:cs="Ya-Ali"/>
          <w:sz w:val="20"/>
          <w:szCs w:val="20"/>
          <w:lang w:bidi="fa-IR"/>
        </w:rPr>
        <w:t xml:space="preserve"> </w:t>
      </w:r>
      <w:r w:rsidRPr="006333E0">
        <w:rPr>
          <w:rFonts w:asciiTheme="majorBidi" w:hAnsiTheme="majorBidi" w:cs="Ya-Ali"/>
          <w:sz w:val="20"/>
          <w:szCs w:val="20"/>
          <w:lang w:bidi="fa-IR"/>
        </w:rPr>
        <w:t>513</w:t>
      </w:r>
      <w:r>
        <w:rPr>
          <w:rFonts w:asciiTheme="majorBidi" w:hAnsiTheme="majorBidi" w:cs="Ya-Ali"/>
          <w:sz w:val="20"/>
          <w:szCs w:val="20"/>
          <w:lang w:bidi="fa-IR"/>
        </w:rPr>
        <w:t xml:space="preserve"> </w:t>
      </w:r>
      <w:r w:rsidRPr="00715694">
        <w:rPr>
          <w:rFonts w:asciiTheme="majorBidi" w:hAnsiTheme="majorBidi" w:cstheme="majorBidi"/>
          <w:sz w:val="20"/>
          <w:szCs w:val="20"/>
          <w:rtl/>
          <w:lang w:bidi="fa-IR"/>
        </w:rPr>
        <w:t xml:space="preserve"> ـ</w:t>
      </w:r>
      <w:r>
        <w:rPr>
          <w:rFonts w:asciiTheme="majorBidi" w:hAnsiTheme="majorBidi" w:cstheme="majorBidi"/>
          <w:sz w:val="20"/>
          <w:szCs w:val="20"/>
          <w:lang w:bidi="fa-IR"/>
        </w:rPr>
        <w:t>516</w:t>
      </w:r>
      <w:r w:rsidRPr="00715694">
        <w:rPr>
          <w:rFonts w:asciiTheme="majorBidi" w:hAnsiTheme="majorBidi" w:cstheme="majorBidi"/>
          <w:sz w:val="20"/>
          <w:szCs w:val="20"/>
          <w:lang w:bidi="fa-IR"/>
        </w:rPr>
        <w:t>.</w:t>
      </w:r>
    </w:p>
    <w:p w:rsidR="00F41F33" w:rsidRPr="00715694" w:rsidRDefault="00F41F33" w:rsidP="00062936">
      <w:pPr>
        <w:autoSpaceDE w:val="0"/>
        <w:autoSpaceDN w:val="0"/>
        <w:bidi w:val="0"/>
        <w:adjustRightInd w:val="0"/>
        <w:spacing w:line="300" w:lineRule="exact"/>
        <w:ind w:firstLine="0"/>
        <w:rPr>
          <w:rFonts w:asciiTheme="majorBidi" w:hAnsiTheme="majorBidi" w:cstheme="majorBidi"/>
          <w:sz w:val="20"/>
          <w:szCs w:val="20"/>
          <w:rtl/>
          <w:lang w:bidi="fa-IR"/>
        </w:rPr>
      </w:pPr>
      <w:r w:rsidRPr="00715694">
        <w:rPr>
          <w:rFonts w:asciiTheme="majorBidi" w:hAnsiTheme="majorBidi" w:cstheme="majorBidi"/>
          <w:sz w:val="20"/>
          <w:szCs w:val="20"/>
          <w:lang w:bidi="fa-IR"/>
        </w:rPr>
        <w:t xml:space="preserve">Gurvitch, G., Sociology of Low, Routledge &amp; Kegan Paul, London and Boston, </w:t>
      </w:r>
      <w:r w:rsidRPr="006333E0">
        <w:rPr>
          <w:rFonts w:asciiTheme="majorBidi" w:hAnsiTheme="majorBidi" w:cs="Ya-Ali"/>
          <w:sz w:val="20"/>
          <w:szCs w:val="20"/>
          <w:lang w:bidi="fa-IR"/>
        </w:rPr>
        <w:t>1947</w:t>
      </w:r>
      <w:r w:rsidRPr="00715694">
        <w:rPr>
          <w:rFonts w:asciiTheme="majorBidi" w:hAnsiTheme="majorBidi" w:cstheme="majorBidi"/>
          <w:sz w:val="20"/>
          <w:szCs w:val="20"/>
          <w:lang w:bidi="fa-IR"/>
        </w:rPr>
        <w:t>, p.</w:t>
      </w:r>
      <w:r w:rsidRPr="006333E0">
        <w:rPr>
          <w:rFonts w:asciiTheme="majorBidi" w:hAnsiTheme="majorBidi" w:cs="Ya-Ali"/>
          <w:sz w:val="20"/>
          <w:szCs w:val="20"/>
          <w:lang w:bidi="fa-IR"/>
        </w:rPr>
        <w:t>128</w:t>
      </w:r>
      <w:r w:rsidRPr="00715694">
        <w:rPr>
          <w:rFonts w:asciiTheme="majorBidi" w:hAnsiTheme="majorBidi" w:cstheme="majorBidi"/>
          <w:sz w:val="20"/>
          <w:szCs w:val="20"/>
          <w:lang w:bidi="fa-IR"/>
        </w:rPr>
        <w:t>.</w:t>
      </w:r>
    </w:p>
  </w:endnote>
  <w:endnote w:id="267">
    <w:p w:rsidR="00F41F33" w:rsidRPr="0023753A" w:rsidRDefault="00F41F33" w:rsidP="00062936">
      <w:pPr>
        <w:pStyle w:val="aa"/>
        <w:spacing w:line="300" w:lineRule="exact"/>
        <w:ind w:firstLine="0"/>
        <w:rPr>
          <w:rFonts w:cs="DanaFajr"/>
          <w:sz w:val="28"/>
          <w:szCs w:val="28"/>
          <w:lang w:bidi="fa-IR"/>
        </w:rPr>
      </w:pPr>
      <w:r w:rsidRPr="0023753A">
        <w:rPr>
          <w:rFonts w:cs="DanaFajr" w:hint="cs"/>
          <w:sz w:val="28"/>
          <w:szCs w:val="28"/>
          <w:rtl/>
        </w:rPr>
        <w:t>(</w:t>
      </w:r>
      <w:r w:rsidRPr="0023753A">
        <w:rPr>
          <w:rStyle w:val="ac"/>
          <w:rFonts w:cs="DanaFajr"/>
          <w:sz w:val="28"/>
          <w:szCs w:val="28"/>
          <w:vertAlign w:val="baseline"/>
        </w:rPr>
        <w:endnoteRef/>
      </w:r>
      <w:r w:rsidRPr="0023753A">
        <w:rPr>
          <w:rFonts w:cs="DanaFajr" w:hint="cs"/>
          <w:sz w:val="28"/>
          <w:szCs w:val="28"/>
          <w:rtl/>
        </w:rPr>
        <w:t xml:space="preserve">) </w:t>
      </w:r>
      <w:r w:rsidRPr="0023753A">
        <w:rPr>
          <w:rFonts w:ascii="Tahoma" w:hAnsi="Tahoma" w:cs="DanaFajr"/>
          <w:sz w:val="28"/>
          <w:szCs w:val="28"/>
          <w:rtl/>
          <w:lang w:bidi="fa-IR"/>
        </w:rPr>
        <w:t>باوند</w:t>
      </w:r>
      <w:r w:rsidRPr="0023753A">
        <w:rPr>
          <w:rFonts w:ascii="Tahoma" w:hAnsi="Tahoma" w:cs="DanaFajr" w:hint="cs"/>
          <w:sz w:val="28"/>
          <w:szCs w:val="28"/>
          <w:rtl/>
          <w:lang w:bidi="fa-IR"/>
        </w:rPr>
        <w:t>،</w:t>
      </w:r>
      <w:r w:rsidRPr="0023753A">
        <w:rPr>
          <w:rFonts w:ascii="Tahoma" w:hAnsi="Tahoma" w:cs="DanaFajr"/>
          <w:sz w:val="28"/>
          <w:szCs w:val="28"/>
          <w:rtl/>
          <w:lang w:bidi="fa-IR"/>
        </w:rPr>
        <w:t xml:space="preserve"> مدخل إلى فلسفة القانون: 123.</w:t>
      </w:r>
    </w:p>
  </w:endnote>
  <w:endnote w:id="268">
    <w:p w:rsidR="00F41F33" w:rsidRPr="0023753A" w:rsidRDefault="00F41F33" w:rsidP="00062936">
      <w:pPr>
        <w:pStyle w:val="aa"/>
        <w:spacing w:line="300" w:lineRule="exact"/>
        <w:ind w:firstLine="0"/>
        <w:rPr>
          <w:rFonts w:cs="DanaFajr"/>
          <w:sz w:val="28"/>
          <w:szCs w:val="28"/>
          <w:rtl/>
          <w:lang w:bidi="ar-LB"/>
        </w:rPr>
      </w:pPr>
      <w:r w:rsidRPr="0023753A">
        <w:rPr>
          <w:rFonts w:cs="DanaFajr" w:hint="cs"/>
          <w:sz w:val="28"/>
          <w:szCs w:val="28"/>
          <w:rtl/>
        </w:rPr>
        <w:t>(</w:t>
      </w:r>
      <w:r w:rsidRPr="0023753A">
        <w:rPr>
          <w:rStyle w:val="ac"/>
          <w:rFonts w:cs="DanaFajr"/>
          <w:sz w:val="28"/>
          <w:szCs w:val="28"/>
          <w:vertAlign w:val="baseline"/>
        </w:rPr>
        <w:endnoteRef/>
      </w:r>
      <w:r w:rsidRPr="0023753A">
        <w:rPr>
          <w:rFonts w:cs="DanaFajr" w:hint="cs"/>
          <w:sz w:val="28"/>
          <w:szCs w:val="28"/>
          <w:rtl/>
        </w:rPr>
        <w:t>)</w:t>
      </w:r>
      <w:r w:rsidRPr="0023753A">
        <w:rPr>
          <w:rFonts w:ascii="Tahoma" w:hAnsi="Tahoma" w:cs="DanaFajr" w:hint="cs"/>
          <w:sz w:val="28"/>
          <w:szCs w:val="28"/>
          <w:rtl/>
          <w:lang w:bidi="fa-IR"/>
        </w:rPr>
        <w:t xml:space="preserve"> </w:t>
      </w:r>
      <w:r w:rsidRPr="0023753A">
        <w:rPr>
          <w:rFonts w:ascii="Tahoma" w:hAnsi="Tahoma" w:cs="DanaFajr"/>
          <w:sz w:val="28"/>
          <w:szCs w:val="28"/>
          <w:rtl/>
          <w:lang w:bidi="fa-IR"/>
        </w:rPr>
        <w:t>الم</w:t>
      </w:r>
      <w:r w:rsidRPr="0023753A">
        <w:rPr>
          <w:rFonts w:ascii="Tahoma" w:hAnsi="Tahoma" w:cs="DanaFajr" w:hint="cs"/>
          <w:sz w:val="28"/>
          <w:szCs w:val="28"/>
          <w:rtl/>
          <w:lang w:bidi="fa-IR"/>
        </w:rPr>
        <w:t>صدر</w:t>
      </w:r>
      <w:r w:rsidRPr="0023753A">
        <w:rPr>
          <w:rFonts w:ascii="Tahoma" w:hAnsi="Tahoma" w:cs="DanaFajr"/>
          <w:sz w:val="28"/>
          <w:szCs w:val="28"/>
          <w:rtl/>
          <w:lang w:bidi="fa-IR"/>
        </w:rPr>
        <w:t xml:space="preserve"> السابق: </w:t>
      </w:r>
      <w:r w:rsidRPr="0023753A">
        <w:rPr>
          <w:rFonts w:ascii="Tahoma" w:hAnsi="Tahoma" w:cs="DanaFajr" w:hint="cs"/>
          <w:sz w:val="28"/>
          <w:szCs w:val="28"/>
          <w:rtl/>
          <w:lang w:bidi="ar-LB"/>
        </w:rPr>
        <w:t>46</w:t>
      </w:r>
      <w:r w:rsidRPr="0023753A">
        <w:rPr>
          <w:rFonts w:ascii="Tahoma" w:hAnsi="Tahoma" w:cs="DanaFajr"/>
          <w:sz w:val="28"/>
          <w:szCs w:val="28"/>
          <w:rtl/>
          <w:lang w:bidi="fa-IR"/>
        </w:rPr>
        <w:t>.</w:t>
      </w:r>
    </w:p>
  </w:endnote>
  <w:endnote w:id="269">
    <w:p w:rsidR="00F41F33" w:rsidRPr="0023753A" w:rsidRDefault="00F41F33" w:rsidP="00062936">
      <w:pPr>
        <w:pStyle w:val="aa"/>
        <w:spacing w:line="300" w:lineRule="exact"/>
        <w:ind w:firstLine="0"/>
        <w:rPr>
          <w:rFonts w:cs="DanaFajr"/>
          <w:sz w:val="28"/>
          <w:szCs w:val="28"/>
          <w:rtl/>
          <w:lang w:bidi="fa-IR"/>
        </w:rPr>
      </w:pPr>
      <w:r w:rsidRPr="0023753A">
        <w:rPr>
          <w:rFonts w:cs="DanaFajr" w:hint="cs"/>
          <w:sz w:val="28"/>
          <w:szCs w:val="28"/>
          <w:rtl/>
        </w:rPr>
        <w:t>(</w:t>
      </w:r>
      <w:r w:rsidRPr="0023753A">
        <w:rPr>
          <w:rStyle w:val="ac"/>
          <w:rFonts w:cs="DanaFajr"/>
          <w:sz w:val="28"/>
          <w:szCs w:val="28"/>
          <w:vertAlign w:val="baseline"/>
        </w:rPr>
        <w:endnoteRef/>
      </w:r>
      <w:r w:rsidRPr="0023753A">
        <w:rPr>
          <w:rFonts w:cs="DanaFajr" w:hint="cs"/>
          <w:sz w:val="28"/>
          <w:szCs w:val="28"/>
          <w:rtl/>
        </w:rPr>
        <w:t>)</w:t>
      </w:r>
      <w:r w:rsidRPr="0023753A">
        <w:rPr>
          <w:rFonts w:ascii="Tahoma" w:hAnsi="Tahoma" w:cs="DanaFajr" w:hint="cs"/>
          <w:sz w:val="28"/>
          <w:szCs w:val="28"/>
          <w:rtl/>
          <w:lang w:bidi="fa-IR"/>
        </w:rPr>
        <w:t xml:space="preserve"> </w:t>
      </w:r>
      <w:r w:rsidRPr="0023753A">
        <w:rPr>
          <w:rFonts w:ascii="Tahoma" w:hAnsi="Tahoma" w:cs="DanaFajr"/>
          <w:sz w:val="28"/>
          <w:szCs w:val="28"/>
          <w:rtl/>
          <w:lang w:bidi="fa-IR"/>
        </w:rPr>
        <w:t>الم</w:t>
      </w:r>
      <w:r w:rsidRPr="0023753A">
        <w:rPr>
          <w:rFonts w:ascii="Tahoma" w:hAnsi="Tahoma" w:cs="DanaFajr" w:hint="cs"/>
          <w:sz w:val="28"/>
          <w:szCs w:val="28"/>
          <w:rtl/>
          <w:lang w:bidi="fa-IR"/>
        </w:rPr>
        <w:t>صدر</w:t>
      </w:r>
      <w:r w:rsidRPr="0023753A">
        <w:rPr>
          <w:rFonts w:ascii="Tahoma" w:hAnsi="Tahoma" w:cs="DanaFajr"/>
          <w:sz w:val="28"/>
          <w:szCs w:val="28"/>
          <w:rtl/>
          <w:lang w:bidi="fa-IR"/>
        </w:rPr>
        <w:t xml:space="preserve"> السابق: </w:t>
      </w:r>
      <w:r w:rsidRPr="0023753A">
        <w:rPr>
          <w:rFonts w:ascii="Tahoma" w:hAnsi="Tahoma" w:cs="DanaFajr" w:hint="cs"/>
          <w:sz w:val="28"/>
          <w:szCs w:val="28"/>
          <w:rtl/>
          <w:lang w:bidi="ar-LB"/>
        </w:rPr>
        <w:t>58</w:t>
      </w:r>
      <w:r w:rsidRPr="0023753A">
        <w:rPr>
          <w:rFonts w:ascii="Tahoma" w:hAnsi="Tahoma" w:cs="DanaFajr"/>
          <w:sz w:val="28"/>
          <w:szCs w:val="28"/>
          <w:rtl/>
          <w:lang w:bidi="fa-IR"/>
        </w:rPr>
        <w:t>.</w:t>
      </w:r>
    </w:p>
    <w:p w:rsidR="00F41F33" w:rsidRPr="00715694" w:rsidRDefault="00F41F33" w:rsidP="00062936">
      <w:pPr>
        <w:autoSpaceDE w:val="0"/>
        <w:autoSpaceDN w:val="0"/>
        <w:bidi w:val="0"/>
        <w:adjustRightInd w:val="0"/>
        <w:spacing w:line="300" w:lineRule="exact"/>
        <w:ind w:firstLine="0"/>
        <w:rPr>
          <w:rFonts w:asciiTheme="majorBidi" w:hAnsiTheme="majorBidi" w:cstheme="majorBidi"/>
          <w:sz w:val="20"/>
          <w:szCs w:val="20"/>
          <w:lang w:bidi="fa-IR"/>
        </w:rPr>
      </w:pPr>
      <w:r w:rsidRPr="00715694">
        <w:rPr>
          <w:rFonts w:asciiTheme="majorBidi" w:hAnsiTheme="majorBidi" w:cstheme="majorBidi"/>
          <w:sz w:val="20"/>
          <w:szCs w:val="20"/>
          <w:lang w:bidi="fa-IR"/>
        </w:rPr>
        <w:t xml:space="preserve">Pound, R., "A theory of social interest" in: Papers and Proceedings of the American Sociological Society, May </w:t>
      </w:r>
      <w:r w:rsidRPr="006333E0">
        <w:rPr>
          <w:rFonts w:asciiTheme="majorBidi" w:hAnsiTheme="majorBidi" w:cs="Ya-Ali"/>
          <w:sz w:val="20"/>
          <w:szCs w:val="20"/>
          <w:lang w:bidi="fa-IR"/>
        </w:rPr>
        <w:t>1921</w:t>
      </w:r>
      <w:r w:rsidRPr="00715694">
        <w:rPr>
          <w:rFonts w:asciiTheme="majorBidi" w:hAnsiTheme="majorBidi" w:cstheme="majorBidi"/>
          <w:sz w:val="20"/>
          <w:szCs w:val="20"/>
          <w:lang w:bidi="fa-IR"/>
        </w:rPr>
        <w:t>, Vol.</w:t>
      </w:r>
      <w:r w:rsidRPr="006333E0">
        <w:rPr>
          <w:rFonts w:asciiTheme="majorBidi" w:hAnsiTheme="majorBidi" w:cs="Ya-Ali"/>
          <w:sz w:val="20"/>
          <w:szCs w:val="20"/>
          <w:lang w:bidi="fa-IR"/>
        </w:rPr>
        <w:t>15</w:t>
      </w:r>
      <w:r w:rsidRPr="00715694">
        <w:rPr>
          <w:rFonts w:asciiTheme="majorBidi" w:hAnsiTheme="majorBidi" w:cstheme="majorBidi"/>
          <w:sz w:val="20"/>
          <w:szCs w:val="20"/>
          <w:lang w:bidi="fa-IR"/>
        </w:rPr>
        <w:t>, p.</w:t>
      </w:r>
      <w:r w:rsidRPr="006333E0">
        <w:rPr>
          <w:rFonts w:asciiTheme="majorBidi" w:hAnsiTheme="majorBidi" w:cs="Ya-Ali"/>
          <w:sz w:val="20"/>
          <w:szCs w:val="20"/>
          <w:lang w:bidi="fa-IR"/>
        </w:rPr>
        <w:t>16</w:t>
      </w:r>
      <w:r w:rsidRPr="00715694">
        <w:rPr>
          <w:rFonts w:asciiTheme="majorBidi" w:hAnsiTheme="majorBidi" w:cstheme="majorBidi"/>
          <w:sz w:val="20"/>
          <w:szCs w:val="20"/>
          <w:lang w:bidi="fa-IR"/>
        </w:rPr>
        <w:t>.</w:t>
      </w:r>
    </w:p>
  </w:endnote>
  <w:endnote w:id="270">
    <w:p w:rsidR="00F41F33" w:rsidRPr="0023753A" w:rsidRDefault="00F41F33" w:rsidP="00062936">
      <w:pPr>
        <w:pStyle w:val="aa"/>
        <w:spacing w:line="300" w:lineRule="exact"/>
        <w:ind w:firstLine="0"/>
        <w:rPr>
          <w:rFonts w:cs="DanaFajr"/>
          <w:sz w:val="28"/>
          <w:szCs w:val="28"/>
          <w:rtl/>
          <w:lang w:bidi="ar-LB"/>
        </w:rPr>
      </w:pPr>
      <w:r w:rsidRPr="0023753A">
        <w:rPr>
          <w:rFonts w:cs="DanaFajr" w:hint="cs"/>
          <w:sz w:val="28"/>
          <w:szCs w:val="28"/>
          <w:rtl/>
        </w:rPr>
        <w:t>(</w:t>
      </w:r>
      <w:r w:rsidRPr="0023753A">
        <w:rPr>
          <w:rStyle w:val="ac"/>
          <w:rFonts w:cs="DanaFajr"/>
          <w:sz w:val="28"/>
          <w:szCs w:val="28"/>
          <w:vertAlign w:val="baseline"/>
        </w:rPr>
        <w:endnoteRef/>
      </w:r>
      <w:r w:rsidRPr="0023753A">
        <w:rPr>
          <w:rFonts w:cs="DanaFajr" w:hint="cs"/>
          <w:sz w:val="28"/>
          <w:szCs w:val="28"/>
          <w:rtl/>
        </w:rPr>
        <w:t>)</w:t>
      </w:r>
      <w:r w:rsidRPr="0023753A">
        <w:rPr>
          <w:rFonts w:ascii="Tahoma" w:hAnsi="Tahoma" w:cs="DanaFajr" w:hint="cs"/>
          <w:sz w:val="28"/>
          <w:szCs w:val="28"/>
          <w:rtl/>
          <w:lang w:bidi="fa-IR"/>
        </w:rPr>
        <w:t xml:space="preserve"> </w:t>
      </w:r>
      <w:r w:rsidRPr="0023753A">
        <w:rPr>
          <w:rFonts w:ascii="Tahoma" w:hAnsi="Tahoma" w:cs="DanaFajr"/>
          <w:sz w:val="28"/>
          <w:szCs w:val="28"/>
          <w:rtl/>
          <w:lang w:bidi="fa-IR"/>
        </w:rPr>
        <w:t xml:space="preserve">باوند: مدخل إلى فلسفة اليونان: </w:t>
      </w:r>
      <w:r w:rsidRPr="0023753A">
        <w:rPr>
          <w:rFonts w:ascii="Tahoma" w:hAnsi="Tahoma" w:cs="DanaFajr" w:hint="cs"/>
          <w:sz w:val="28"/>
          <w:szCs w:val="28"/>
          <w:rtl/>
          <w:lang w:bidi="ar-LB"/>
        </w:rPr>
        <w:t>59</w:t>
      </w:r>
      <w:r w:rsidRPr="0023753A">
        <w:rPr>
          <w:rFonts w:ascii="Tahoma" w:hAnsi="Tahoma" w:cs="DanaFajr"/>
          <w:sz w:val="28"/>
          <w:szCs w:val="28"/>
          <w:rtl/>
          <w:lang w:bidi="fa-IR"/>
        </w:rPr>
        <w:t>.</w:t>
      </w:r>
    </w:p>
  </w:endnote>
  <w:endnote w:id="271">
    <w:p w:rsidR="00F41F33" w:rsidRPr="00147FB5" w:rsidRDefault="00F41F33" w:rsidP="00062936">
      <w:pPr>
        <w:pStyle w:val="aa"/>
        <w:spacing w:line="300" w:lineRule="exact"/>
        <w:ind w:firstLine="0"/>
        <w:rPr>
          <w:rFonts w:cs="DanaFajr"/>
          <w:sz w:val="28"/>
          <w:szCs w:val="28"/>
          <w:rtl/>
          <w:lang w:bidi="ar-LB"/>
        </w:rPr>
      </w:pPr>
      <w:r w:rsidRPr="00147FB5">
        <w:rPr>
          <w:rFonts w:cs="DanaFajr" w:hint="cs"/>
          <w:sz w:val="28"/>
          <w:szCs w:val="28"/>
          <w:rtl/>
        </w:rPr>
        <w:t>(</w:t>
      </w:r>
      <w:r w:rsidRPr="00147FB5">
        <w:rPr>
          <w:rStyle w:val="ac"/>
          <w:rFonts w:cs="DanaFajr"/>
          <w:sz w:val="28"/>
          <w:szCs w:val="28"/>
          <w:vertAlign w:val="baseline"/>
        </w:rPr>
        <w:endnoteRef/>
      </w:r>
      <w:r w:rsidRPr="00147FB5">
        <w:rPr>
          <w:rFonts w:cs="DanaFajr" w:hint="cs"/>
          <w:sz w:val="28"/>
          <w:szCs w:val="28"/>
          <w:rtl/>
        </w:rPr>
        <w:t>)</w:t>
      </w:r>
      <w:r w:rsidRPr="00147FB5">
        <w:rPr>
          <w:rFonts w:ascii="Tahoma" w:hAnsi="Tahoma" w:cs="DanaFajr" w:hint="cs"/>
          <w:sz w:val="28"/>
          <w:szCs w:val="28"/>
          <w:rtl/>
          <w:lang w:bidi="fa-IR"/>
        </w:rPr>
        <w:t xml:space="preserve"> </w:t>
      </w:r>
      <w:r w:rsidRPr="00147FB5">
        <w:rPr>
          <w:rFonts w:ascii="Tahoma" w:hAnsi="Tahoma" w:cs="DanaFajr"/>
          <w:sz w:val="28"/>
          <w:szCs w:val="28"/>
          <w:rtl/>
          <w:lang w:bidi="fa-IR"/>
        </w:rPr>
        <w:t>الم</w:t>
      </w:r>
      <w:r w:rsidRPr="00147FB5">
        <w:rPr>
          <w:rFonts w:ascii="Tahoma" w:hAnsi="Tahoma" w:cs="DanaFajr" w:hint="cs"/>
          <w:sz w:val="28"/>
          <w:szCs w:val="28"/>
          <w:rtl/>
          <w:lang w:bidi="fa-IR"/>
        </w:rPr>
        <w:t>صدر</w:t>
      </w:r>
      <w:r w:rsidRPr="00147FB5">
        <w:rPr>
          <w:rFonts w:ascii="Tahoma" w:hAnsi="Tahoma" w:cs="DanaFajr"/>
          <w:sz w:val="28"/>
          <w:szCs w:val="28"/>
          <w:rtl/>
          <w:lang w:bidi="fa-IR"/>
        </w:rPr>
        <w:t xml:space="preserve"> </w:t>
      </w:r>
      <w:r w:rsidRPr="00147FB5">
        <w:rPr>
          <w:rFonts w:ascii="Tahoma" w:hAnsi="Tahoma" w:cs="DanaFajr" w:hint="cs"/>
          <w:sz w:val="28"/>
          <w:szCs w:val="28"/>
          <w:rtl/>
          <w:lang w:bidi="fa-IR"/>
        </w:rPr>
        <w:t>نفسه</w:t>
      </w:r>
      <w:r w:rsidRPr="00147FB5">
        <w:rPr>
          <w:rFonts w:ascii="Tahoma" w:hAnsi="Tahoma" w:cs="DanaFajr"/>
          <w:sz w:val="28"/>
          <w:szCs w:val="28"/>
          <w:rtl/>
          <w:lang w:bidi="fa-IR"/>
        </w:rPr>
        <w:t>.</w:t>
      </w:r>
    </w:p>
    <w:p w:rsidR="00F41F33" w:rsidRPr="00715694" w:rsidRDefault="00F41F33" w:rsidP="00062936">
      <w:pPr>
        <w:autoSpaceDE w:val="0"/>
        <w:autoSpaceDN w:val="0"/>
        <w:bidi w:val="0"/>
        <w:adjustRightInd w:val="0"/>
        <w:spacing w:line="300" w:lineRule="exact"/>
        <w:ind w:firstLine="0"/>
        <w:rPr>
          <w:rFonts w:asciiTheme="majorBidi" w:hAnsiTheme="majorBidi" w:cstheme="majorBidi"/>
          <w:sz w:val="20"/>
          <w:szCs w:val="20"/>
          <w:rtl/>
          <w:lang w:bidi="fa-IR"/>
        </w:rPr>
      </w:pPr>
      <w:r w:rsidRPr="00715694">
        <w:rPr>
          <w:rFonts w:asciiTheme="majorBidi" w:hAnsiTheme="majorBidi" w:cstheme="majorBidi"/>
          <w:sz w:val="20"/>
          <w:szCs w:val="20"/>
          <w:lang w:bidi="fa-IR"/>
        </w:rPr>
        <w:t>Gurvitch, G., Sociology of Low, p.</w:t>
      </w:r>
      <w:r w:rsidRPr="006333E0">
        <w:rPr>
          <w:rFonts w:asciiTheme="majorBidi" w:hAnsiTheme="majorBidi" w:cs="Ya-Ali"/>
          <w:sz w:val="20"/>
          <w:szCs w:val="20"/>
          <w:lang w:bidi="fa-IR"/>
        </w:rPr>
        <w:t>129</w:t>
      </w:r>
      <w:r w:rsidRPr="00715694">
        <w:rPr>
          <w:rFonts w:asciiTheme="majorBidi" w:hAnsiTheme="majorBidi" w:cstheme="majorBidi"/>
          <w:sz w:val="20"/>
          <w:szCs w:val="20"/>
          <w:lang w:bidi="fa-IR"/>
        </w:rPr>
        <w:t>.</w:t>
      </w:r>
    </w:p>
  </w:endnote>
  <w:endnote w:id="272">
    <w:p w:rsidR="00F41F33" w:rsidRPr="0023753A" w:rsidRDefault="00F41F33" w:rsidP="00062936">
      <w:pPr>
        <w:pStyle w:val="aa"/>
        <w:spacing w:line="300" w:lineRule="exact"/>
        <w:ind w:firstLine="0"/>
        <w:rPr>
          <w:rFonts w:cs="DanaFajr"/>
          <w:sz w:val="28"/>
          <w:szCs w:val="28"/>
        </w:rPr>
      </w:pPr>
      <w:r w:rsidRPr="0023753A">
        <w:rPr>
          <w:rFonts w:cs="DanaFajr" w:hint="cs"/>
          <w:sz w:val="28"/>
          <w:szCs w:val="28"/>
          <w:rtl/>
        </w:rPr>
        <w:t>(</w:t>
      </w:r>
      <w:r w:rsidRPr="0023753A">
        <w:rPr>
          <w:rStyle w:val="ac"/>
          <w:rFonts w:cs="DanaFajr"/>
          <w:sz w:val="28"/>
          <w:szCs w:val="28"/>
          <w:vertAlign w:val="baseline"/>
        </w:rPr>
        <w:endnoteRef/>
      </w:r>
      <w:r w:rsidRPr="0023753A">
        <w:rPr>
          <w:rFonts w:cs="DanaFajr" w:hint="cs"/>
          <w:sz w:val="28"/>
          <w:szCs w:val="28"/>
          <w:rtl/>
        </w:rPr>
        <w:t>)</w:t>
      </w:r>
      <w:r w:rsidRPr="0023753A">
        <w:rPr>
          <w:rFonts w:ascii="Tahoma" w:hAnsi="Tahoma" w:cs="DanaFajr" w:hint="cs"/>
          <w:sz w:val="28"/>
          <w:szCs w:val="28"/>
          <w:rtl/>
          <w:lang w:bidi="fa-IR"/>
        </w:rPr>
        <w:t xml:space="preserve"> </w:t>
      </w:r>
      <w:r w:rsidRPr="0023753A">
        <w:rPr>
          <w:rFonts w:ascii="Tahoma" w:hAnsi="Tahoma" w:cs="DanaFajr"/>
          <w:sz w:val="28"/>
          <w:szCs w:val="28"/>
          <w:rtl/>
          <w:lang w:bidi="fa-IR"/>
        </w:rPr>
        <w:t>عبد الله الكمالي</w:t>
      </w:r>
      <w:r w:rsidRPr="0023753A">
        <w:rPr>
          <w:rFonts w:ascii="Tahoma" w:hAnsi="Tahoma" w:cs="DanaFajr" w:hint="cs"/>
          <w:sz w:val="28"/>
          <w:szCs w:val="28"/>
          <w:rtl/>
          <w:lang w:bidi="fa-IR"/>
        </w:rPr>
        <w:t>،</w:t>
      </w:r>
      <w:r w:rsidRPr="0023753A">
        <w:rPr>
          <w:rFonts w:ascii="Tahoma" w:hAnsi="Tahoma" w:cs="DanaFajr"/>
          <w:sz w:val="28"/>
          <w:szCs w:val="28"/>
          <w:rtl/>
          <w:lang w:bidi="fa-IR"/>
        </w:rPr>
        <w:t xml:space="preserve"> مقاصد الشريعة في ضوء فقه الموازنات: 13، 1</w:t>
      </w:r>
      <w:r w:rsidRPr="0023753A">
        <w:rPr>
          <w:rFonts w:ascii="Tahoma" w:hAnsi="Tahoma" w:cs="DanaFajr" w:hint="cs"/>
          <w:sz w:val="28"/>
          <w:szCs w:val="28"/>
          <w:rtl/>
          <w:lang w:bidi="ar-LB"/>
        </w:rPr>
        <w:t>4</w:t>
      </w:r>
      <w:r w:rsidRPr="0023753A">
        <w:rPr>
          <w:rFonts w:ascii="Tahoma" w:hAnsi="Tahoma" w:cs="DanaFajr"/>
          <w:sz w:val="28"/>
          <w:szCs w:val="28"/>
          <w:rtl/>
          <w:lang w:bidi="fa-IR"/>
        </w:rPr>
        <w:t>، دار ابن حزم، ط1،</w:t>
      </w:r>
      <w:r w:rsidRPr="00147FB5">
        <w:rPr>
          <w:rFonts w:ascii="Tahoma" w:hAnsi="Tahoma" w:cs="DanaFajr"/>
          <w:sz w:val="28"/>
          <w:szCs w:val="28"/>
          <w:rtl/>
          <w:lang w:bidi="fa-IR"/>
        </w:rPr>
        <w:t xml:space="preserve"> </w:t>
      </w:r>
      <w:r w:rsidRPr="0023753A">
        <w:rPr>
          <w:rFonts w:ascii="Tahoma" w:hAnsi="Tahoma" w:cs="DanaFajr"/>
          <w:sz w:val="28"/>
          <w:szCs w:val="28"/>
          <w:rtl/>
          <w:lang w:bidi="fa-IR"/>
        </w:rPr>
        <w:t>1</w:t>
      </w:r>
      <w:r w:rsidRPr="0023753A">
        <w:rPr>
          <w:rFonts w:ascii="Tahoma" w:hAnsi="Tahoma" w:cs="DanaFajr" w:hint="cs"/>
          <w:sz w:val="28"/>
          <w:szCs w:val="28"/>
          <w:rtl/>
          <w:lang w:bidi="ar-LB"/>
        </w:rPr>
        <w:t>4</w:t>
      </w:r>
      <w:r w:rsidRPr="0023753A">
        <w:rPr>
          <w:rFonts w:ascii="Tahoma" w:hAnsi="Tahoma" w:cs="DanaFajr"/>
          <w:sz w:val="28"/>
          <w:szCs w:val="28"/>
          <w:rtl/>
          <w:lang w:bidi="fa-IR"/>
        </w:rPr>
        <w:t>21هـ/2000م.</w:t>
      </w:r>
    </w:p>
  </w:endnote>
  <w:endnote w:id="273">
    <w:p w:rsidR="00F41F33" w:rsidRPr="0023753A" w:rsidRDefault="00F41F33" w:rsidP="00062936">
      <w:pPr>
        <w:pStyle w:val="aa"/>
        <w:spacing w:line="300" w:lineRule="exact"/>
        <w:ind w:firstLine="0"/>
        <w:rPr>
          <w:rFonts w:cs="DanaFajr"/>
          <w:sz w:val="28"/>
          <w:szCs w:val="28"/>
        </w:rPr>
      </w:pPr>
      <w:r w:rsidRPr="0023753A">
        <w:rPr>
          <w:rFonts w:cs="DanaFajr" w:hint="cs"/>
          <w:sz w:val="28"/>
          <w:szCs w:val="28"/>
          <w:rtl/>
        </w:rPr>
        <w:t>(</w:t>
      </w:r>
      <w:r w:rsidRPr="0023753A">
        <w:rPr>
          <w:rStyle w:val="ac"/>
          <w:rFonts w:cs="DanaFajr"/>
          <w:sz w:val="28"/>
          <w:szCs w:val="28"/>
          <w:vertAlign w:val="baseline"/>
        </w:rPr>
        <w:endnoteRef/>
      </w:r>
      <w:r w:rsidRPr="0023753A">
        <w:rPr>
          <w:rFonts w:cs="DanaFajr" w:hint="cs"/>
          <w:sz w:val="28"/>
          <w:szCs w:val="28"/>
          <w:rtl/>
        </w:rPr>
        <w:t>)</w:t>
      </w:r>
      <w:r w:rsidRPr="0023753A">
        <w:rPr>
          <w:rFonts w:ascii="Tahoma" w:hAnsi="Tahoma" w:cs="DanaFajr" w:hint="cs"/>
          <w:sz w:val="28"/>
          <w:szCs w:val="28"/>
          <w:rtl/>
          <w:lang w:bidi="fa-IR"/>
        </w:rPr>
        <w:t xml:space="preserve"> </w:t>
      </w:r>
      <w:r w:rsidRPr="0023753A">
        <w:rPr>
          <w:rFonts w:ascii="Tahoma" w:hAnsi="Tahoma" w:cs="DanaFajr"/>
          <w:sz w:val="28"/>
          <w:szCs w:val="28"/>
          <w:rtl/>
          <w:lang w:bidi="fa-IR"/>
        </w:rPr>
        <w:t>بنتام</w:t>
      </w:r>
      <w:r w:rsidRPr="0023753A">
        <w:rPr>
          <w:rFonts w:ascii="Tahoma" w:hAnsi="Tahoma" w:cs="DanaFajr" w:hint="cs"/>
          <w:sz w:val="28"/>
          <w:szCs w:val="28"/>
          <w:rtl/>
          <w:lang w:bidi="fa-IR"/>
        </w:rPr>
        <w:t>،</w:t>
      </w:r>
      <w:r w:rsidRPr="0023753A">
        <w:rPr>
          <w:rFonts w:ascii="Tahoma" w:hAnsi="Tahoma" w:cs="DanaFajr"/>
          <w:sz w:val="28"/>
          <w:szCs w:val="28"/>
          <w:rtl/>
          <w:lang w:bidi="fa-IR"/>
        </w:rPr>
        <w:t xml:space="preserve"> أصول الشرائع</w:t>
      </w:r>
      <w:r w:rsidRPr="0023753A">
        <w:rPr>
          <w:rFonts w:ascii="Tahoma" w:hAnsi="Tahoma" w:cs="DanaFajr" w:hint="cs"/>
          <w:sz w:val="28"/>
          <w:szCs w:val="28"/>
          <w:rtl/>
          <w:lang w:bidi="fa-IR"/>
        </w:rPr>
        <w:t xml:space="preserve"> </w:t>
      </w:r>
      <w:r w:rsidRPr="0023753A">
        <w:rPr>
          <w:rFonts w:ascii="Tahoma" w:hAnsi="Tahoma" w:cs="DanaFajr"/>
          <w:sz w:val="28"/>
          <w:szCs w:val="28"/>
          <w:rtl/>
          <w:lang w:bidi="fa-IR"/>
        </w:rPr>
        <w:t>1: 17، ترجمة</w:t>
      </w:r>
      <w:r w:rsidRPr="0023753A">
        <w:rPr>
          <w:rFonts w:ascii="Tahoma" w:hAnsi="Tahoma" w:cs="DanaFajr" w:hint="cs"/>
          <w:sz w:val="28"/>
          <w:szCs w:val="28"/>
          <w:rtl/>
          <w:lang w:bidi="fa-IR"/>
        </w:rPr>
        <w:t>:</w:t>
      </w:r>
      <w:r w:rsidRPr="0023753A">
        <w:rPr>
          <w:rFonts w:ascii="Tahoma" w:hAnsi="Tahoma" w:cs="DanaFajr"/>
          <w:sz w:val="28"/>
          <w:szCs w:val="28"/>
          <w:rtl/>
          <w:lang w:bidi="fa-IR"/>
        </w:rPr>
        <w:t xml:space="preserve"> أحمد فتحي زغلول، مطبعة بولاق، مصر.</w:t>
      </w:r>
    </w:p>
  </w:endnote>
  <w:endnote w:id="274">
    <w:p w:rsidR="00F41F33" w:rsidRPr="0023753A" w:rsidRDefault="00F41F33" w:rsidP="00062936">
      <w:pPr>
        <w:pStyle w:val="aa"/>
        <w:spacing w:line="300" w:lineRule="exact"/>
        <w:ind w:firstLine="0"/>
        <w:rPr>
          <w:rFonts w:cs="DanaFajr"/>
          <w:sz w:val="28"/>
          <w:szCs w:val="28"/>
        </w:rPr>
      </w:pPr>
      <w:r w:rsidRPr="0023753A">
        <w:rPr>
          <w:rFonts w:cs="DanaFajr" w:hint="cs"/>
          <w:sz w:val="28"/>
          <w:szCs w:val="28"/>
          <w:rtl/>
        </w:rPr>
        <w:t>(</w:t>
      </w:r>
      <w:r w:rsidRPr="0023753A">
        <w:rPr>
          <w:rStyle w:val="ac"/>
          <w:rFonts w:cs="DanaFajr"/>
          <w:sz w:val="28"/>
          <w:szCs w:val="28"/>
          <w:vertAlign w:val="baseline"/>
        </w:rPr>
        <w:endnoteRef/>
      </w:r>
      <w:r w:rsidRPr="0023753A">
        <w:rPr>
          <w:rFonts w:cs="DanaFajr" w:hint="cs"/>
          <w:sz w:val="28"/>
          <w:szCs w:val="28"/>
          <w:rtl/>
        </w:rPr>
        <w:t>)</w:t>
      </w:r>
      <w:r w:rsidRPr="0023753A">
        <w:rPr>
          <w:rFonts w:ascii="Tahoma" w:hAnsi="Tahoma" w:cs="DanaFajr" w:hint="cs"/>
          <w:sz w:val="28"/>
          <w:szCs w:val="28"/>
          <w:rtl/>
          <w:lang w:bidi="fa-IR"/>
        </w:rPr>
        <w:t xml:space="preserve"> </w:t>
      </w:r>
      <w:r w:rsidRPr="0023753A">
        <w:rPr>
          <w:rFonts w:ascii="Tahoma" w:hAnsi="Tahoma" w:cs="DanaFajr"/>
          <w:sz w:val="28"/>
          <w:szCs w:val="28"/>
          <w:rtl/>
          <w:lang w:bidi="fa-IR"/>
        </w:rPr>
        <w:t>الصادق</w:t>
      </w:r>
      <w:r w:rsidRPr="0023753A">
        <w:rPr>
          <w:rFonts w:ascii="Tahoma" w:hAnsi="Tahoma" w:cs="DanaFajr" w:hint="cs"/>
          <w:sz w:val="28"/>
          <w:szCs w:val="28"/>
          <w:rtl/>
          <w:lang w:bidi="fa-IR"/>
        </w:rPr>
        <w:t>،</w:t>
      </w:r>
      <w:r w:rsidRPr="0023753A">
        <w:rPr>
          <w:rFonts w:ascii="Tahoma" w:hAnsi="Tahoma" w:cs="DanaFajr"/>
          <w:sz w:val="28"/>
          <w:szCs w:val="28"/>
          <w:rtl/>
          <w:lang w:bidi="fa-IR"/>
        </w:rPr>
        <w:t xml:space="preserve"> المنهج القانوني: 293.</w:t>
      </w:r>
    </w:p>
  </w:endnote>
  <w:endnote w:id="275">
    <w:p w:rsidR="00F41F33" w:rsidRPr="002F5255" w:rsidRDefault="00F41F33" w:rsidP="00062936">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Style w:val="ac"/>
          <w:rFonts w:cs="DanaFajr"/>
          <w:sz w:val="28"/>
          <w:szCs w:val="28"/>
          <w:vertAlign w:val="baseline"/>
        </w:rPr>
        <w:endnoteRef/>
      </w:r>
      <w:r w:rsidRPr="002F5255">
        <w:rPr>
          <w:rFonts w:cs="DanaFajr" w:hint="cs"/>
          <w:sz w:val="28"/>
          <w:szCs w:val="28"/>
          <w:rtl/>
        </w:rPr>
        <w:t xml:space="preserve">) </w:t>
      </w:r>
      <w:r w:rsidRPr="002F5255">
        <w:rPr>
          <w:rFonts w:cs="DanaFajr" w:hint="cs"/>
          <w:sz w:val="28"/>
          <w:szCs w:val="28"/>
          <w:rtl/>
          <w:lang w:bidi="ar-IQ"/>
        </w:rPr>
        <w:t>الجرحاني، التعريفات 1: 8.</w:t>
      </w:r>
    </w:p>
  </w:endnote>
  <w:endnote w:id="276">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rPr>
        <w:t>(</w:t>
      </w:r>
      <w:r w:rsidRPr="002F5255">
        <w:rPr>
          <w:rStyle w:val="ac"/>
          <w:rFonts w:cs="DanaFajr"/>
          <w:sz w:val="28"/>
          <w:szCs w:val="28"/>
          <w:vertAlign w:val="baseline"/>
        </w:rPr>
        <w:endnoteRef/>
      </w:r>
      <w:r w:rsidRPr="002F5255">
        <w:rPr>
          <w:rFonts w:cs="DanaFajr" w:hint="cs"/>
          <w:sz w:val="28"/>
          <w:szCs w:val="28"/>
          <w:rtl/>
        </w:rPr>
        <w:t xml:space="preserve">) </w:t>
      </w:r>
      <w:r w:rsidRPr="002F5255">
        <w:rPr>
          <w:rFonts w:cs="DanaFajr" w:hint="cs"/>
          <w:sz w:val="28"/>
          <w:szCs w:val="28"/>
          <w:rtl/>
          <w:lang w:bidi="ar-IQ"/>
        </w:rPr>
        <w:t>الصاحب بن عباد، المحيط في اللغة 3: 233.</w:t>
      </w:r>
    </w:p>
  </w:endnote>
  <w:endnote w:id="277">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المصدر السابق 3: 234.</w:t>
      </w:r>
    </w:p>
  </w:endnote>
  <w:endnote w:id="278">
    <w:p w:rsidR="00F41F33" w:rsidRPr="002F5255" w:rsidRDefault="00F41F33" w:rsidP="00062936">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ابن منظور، لسان العرب 13: 16، مادة أصل.</w:t>
      </w:r>
    </w:p>
  </w:endnote>
  <w:endnote w:id="279">
    <w:p w:rsidR="00F41F33" w:rsidRPr="002F5255" w:rsidRDefault="00F41F33" w:rsidP="00062936">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محمد تقي الحكيم، الأصول العامة للفقه المقارن: 35.</w:t>
      </w:r>
    </w:p>
  </w:endnote>
  <w:endnote w:id="280">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طيب تيزيني، الإسلام والعصر: 239، دار الفكر، سوريا.</w:t>
      </w:r>
    </w:p>
  </w:endnote>
  <w:endnote w:id="281">
    <w:p w:rsidR="00F41F33" w:rsidRPr="002F5255" w:rsidRDefault="00F41F33" w:rsidP="003F07B3">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روبن راتب، رؤية جديدة للدين الإسلامي، مجلة لوس أنجلوس، أبريل 1996، نقلاً عن: جيل</w:t>
      </w:r>
      <w:r w:rsidRPr="00EA3405">
        <w:rPr>
          <w:rFonts w:cs="DanaFajr" w:hint="cs"/>
          <w:sz w:val="28"/>
          <w:szCs w:val="28"/>
          <w:rtl/>
          <w:lang w:bidi="ar-IQ"/>
        </w:rPr>
        <w:t xml:space="preserve"> </w:t>
      </w:r>
      <w:r w:rsidRPr="002F5255">
        <w:rPr>
          <w:rFonts w:cs="DanaFajr" w:hint="cs"/>
          <w:sz w:val="28"/>
          <w:szCs w:val="28"/>
          <w:rtl/>
          <w:lang w:bidi="ar-IQ"/>
        </w:rPr>
        <w:t>كيبل، يوم الله: 66.</w:t>
      </w:r>
    </w:p>
  </w:endnote>
  <w:endnote w:id="282">
    <w:p w:rsidR="00F41F33" w:rsidRPr="002F5255" w:rsidRDefault="00F41F33" w:rsidP="00062936">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إيمانويل هيمان: الأصولية اليهودية: 11.</w:t>
      </w:r>
    </w:p>
  </w:endnote>
  <w:endnote w:id="283">
    <w:p w:rsidR="00F41F33" w:rsidRPr="002F5255" w:rsidRDefault="00F41F33" w:rsidP="00062936">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المصدر نفسه.</w:t>
      </w:r>
    </w:p>
  </w:endnote>
  <w:endnote w:id="284">
    <w:p w:rsidR="00F41F33" w:rsidRPr="002F5255" w:rsidRDefault="00F41F33" w:rsidP="00062936">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روجيه غارودي، الأصوليات المعاصرة: 37.</w:t>
      </w:r>
    </w:p>
  </w:endnote>
  <w:endnote w:id="285">
    <w:p w:rsidR="00F41F33" w:rsidRPr="00EA3405" w:rsidRDefault="00F41F33" w:rsidP="00062936">
      <w:pPr>
        <w:pStyle w:val="aa"/>
        <w:spacing w:line="300" w:lineRule="exact"/>
        <w:ind w:firstLine="0"/>
        <w:rPr>
          <w:rFonts w:cs="DanaFajr"/>
          <w:sz w:val="28"/>
          <w:szCs w:val="28"/>
          <w:lang w:bidi="ar-IQ"/>
        </w:rPr>
      </w:pPr>
      <w:r w:rsidRPr="00EA3405">
        <w:rPr>
          <w:rFonts w:cs="DanaFajr" w:hint="cs"/>
          <w:sz w:val="28"/>
          <w:szCs w:val="28"/>
          <w:rtl/>
          <w:lang w:bidi="ar-IQ"/>
        </w:rPr>
        <w:t>(</w:t>
      </w:r>
      <w:r w:rsidRPr="00EA3405">
        <w:rPr>
          <w:rFonts w:cs="DanaFajr"/>
          <w:sz w:val="28"/>
          <w:szCs w:val="28"/>
          <w:lang w:bidi="ar-IQ"/>
        </w:rPr>
        <w:endnoteRef/>
      </w:r>
      <w:r w:rsidRPr="00EA3405">
        <w:rPr>
          <w:rFonts w:cs="DanaFajr" w:hint="cs"/>
          <w:sz w:val="28"/>
          <w:szCs w:val="28"/>
          <w:rtl/>
          <w:lang w:bidi="ar-IQ"/>
        </w:rPr>
        <w:t>) قاموس أ</w:t>
      </w:r>
      <w:r>
        <w:rPr>
          <w:rFonts w:cs="DanaFajr" w:hint="cs"/>
          <w:sz w:val="28"/>
          <w:szCs w:val="28"/>
          <w:rtl/>
          <w:lang w:bidi="ar-IQ"/>
        </w:rPr>
        <w:t>ُ</w:t>
      </w:r>
      <w:r w:rsidRPr="00EA3405">
        <w:rPr>
          <w:rFonts w:cs="DanaFajr" w:hint="cs"/>
          <w:sz w:val="28"/>
          <w:szCs w:val="28"/>
          <w:rtl/>
          <w:lang w:bidi="ar-IQ"/>
        </w:rPr>
        <w:t xml:space="preserve">كسفورد، مفردة </w:t>
      </w:r>
      <w:r w:rsidRPr="00EA3405">
        <w:rPr>
          <w:rFonts w:asciiTheme="majorBidi" w:hAnsiTheme="majorBidi" w:cs="DanaFajr"/>
          <w:lang w:bidi="ar-IQ"/>
        </w:rPr>
        <w:t>Fundamentals</w:t>
      </w:r>
      <w:r w:rsidRPr="00EA3405">
        <w:rPr>
          <w:rFonts w:cs="DanaFajr" w:hint="cs"/>
          <w:sz w:val="28"/>
          <w:szCs w:val="28"/>
          <w:rtl/>
          <w:lang w:bidi="ar-IQ"/>
        </w:rPr>
        <w:t>.</w:t>
      </w:r>
    </w:p>
  </w:endnote>
  <w:endnote w:id="286">
    <w:p w:rsidR="00F41F33" w:rsidRPr="002F5255" w:rsidRDefault="00F41F33" w:rsidP="00062936">
      <w:pPr>
        <w:pStyle w:val="aa"/>
        <w:spacing w:line="300" w:lineRule="exact"/>
        <w:ind w:firstLine="0"/>
        <w:rPr>
          <w:rFonts w:cs="DanaFajr"/>
          <w:sz w:val="28"/>
          <w:szCs w:val="28"/>
          <w:rtl/>
          <w:lang w:bidi="ar-LB"/>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عبد الرحمن اللويحق، الغلو في الدين في حياة المسلمين المعاصرة: 174</w:t>
      </w:r>
      <w:r w:rsidRPr="002F5255">
        <w:rPr>
          <w:rFonts w:cs="DanaFajr" w:hint="cs"/>
          <w:sz w:val="28"/>
          <w:szCs w:val="28"/>
          <w:rtl/>
          <w:lang w:bidi="ar-LB"/>
        </w:rPr>
        <w:t xml:space="preserve">، </w:t>
      </w:r>
      <w:r w:rsidRPr="002F5255">
        <w:rPr>
          <w:rFonts w:cs="DanaFajr" w:hint="cs"/>
          <w:sz w:val="28"/>
          <w:szCs w:val="28"/>
          <w:rtl/>
          <w:lang w:bidi="ar-IQ"/>
        </w:rPr>
        <w:t>مؤسّسة الرسالة،</w:t>
      </w:r>
      <w:r w:rsidRPr="00EA3405">
        <w:rPr>
          <w:rFonts w:cs="DanaFajr" w:hint="cs"/>
          <w:sz w:val="28"/>
          <w:szCs w:val="28"/>
          <w:rtl/>
          <w:lang w:bidi="ar-IQ"/>
        </w:rPr>
        <w:t xml:space="preserve"> </w:t>
      </w:r>
      <w:r w:rsidRPr="002F5255">
        <w:rPr>
          <w:rFonts w:cs="DanaFajr" w:hint="cs"/>
          <w:sz w:val="28"/>
          <w:szCs w:val="28"/>
          <w:rtl/>
          <w:lang w:bidi="ar-IQ"/>
        </w:rPr>
        <w:t>بيروت، ط2، 1992</w:t>
      </w:r>
      <w:r w:rsidRPr="002F5255">
        <w:rPr>
          <w:rFonts w:cs="DanaFajr" w:hint="cs"/>
          <w:sz w:val="28"/>
          <w:szCs w:val="28"/>
          <w:rtl/>
          <w:lang w:bidi="ar-LB"/>
        </w:rPr>
        <w:t>.</w:t>
      </w:r>
    </w:p>
  </w:endnote>
  <w:endnote w:id="287">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عماد علي عبد السميع حسين، الأصولية الإسلامية والأصوليات الأخرى: 176.</w:t>
      </w:r>
    </w:p>
  </w:endnote>
  <w:endnote w:id="288">
    <w:p w:rsidR="00F41F33" w:rsidRPr="002F5255" w:rsidRDefault="00F41F33" w:rsidP="00062936">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روجية غارودي، الأصوليات: 48.</w:t>
      </w:r>
    </w:p>
  </w:endnote>
  <w:endnote w:id="289">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أحمد شلبي، اليهودية: 54.</w:t>
      </w:r>
    </w:p>
  </w:endnote>
  <w:endnote w:id="290">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العهد القديم، سفر الخروج: 46.</w:t>
      </w:r>
    </w:p>
  </w:endnote>
  <w:endnote w:id="291">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أحمد شلبي، اليهودية: 73.</w:t>
      </w:r>
    </w:p>
  </w:endnote>
  <w:endnote w:id="292">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xml:space="preserve">) عمر رشدي، الصهيونية وإسرائيل: 3. </w:t>
      </w:r>
    </w:p>
  </w:endnote>
  <w:endnote w:id="293">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أحمد شلبي، اليهودية: 269.</w:t>
      </w:r>
    </w:p>
  </w:endnote>
  <w:endnote w:id="294">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روهلبخ، الكنـز المرصود في قواعد التلمود: 48 ـ 49.</w:t>
      </w:r>
    </w:p>
  </w:endnote>
  <w:endnote w:id="295">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المصدر السابق: 51 ـ 55.</w:t>
      </w:r>
    </w:p>
  </w:endnote>
  <w:endnote w:id="296">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المصدر السابق: 66.</w:t>
      </w:r>
    </w:p>
  </w:endnote>
  <w:endnote w:id="297">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سليمان مظهر، قصة العقائد: 318.</w:t>
      </w:r>
    </w:p>
  </w:endnote>
  <w:endnote w:id="298">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جواد علي، تاريخ العرب قبل الإسلام 6: 95.</w:t>
      </w:r>
    </w:p>
  </w:endnote>
  <w:endnote w:id="299">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ر. س. زينر، موسوعة الأديان الحيّة 1: 101.</w:t>
      </w:r>
    </w:p>
  </w:endnote>
  <w:endnote w:id="300">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إسماعيل أحمد ياغي، الإرهاب والعنف: 47.</w:t>
      </w:r>
    </w:p>
  </w:endnote>
  <w:endnote w:id="301">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وجدي المصري، البعد التوراتي للإرهاب الإسرائيلي: 499.</w:t>
      </w:r>
    </w:p>
  </w:endnote>
  <w:endnote w:id="302">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راجح خوري، منطق التوراة: 21.</w:t>
      </w:r>
    </w:p>
  </w:endnote>
  <w:endnote w:id="303">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الأديان الحية: 44.</w:t>
      </w:r>
    </w:p>
  </w:endnote>
  <w:endnote w:id="304">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انظر: سفر أرميا، الإصحاح 31، الفقرة 34 ـ 35؛ انظر: سفر أرميا، الإصحاح 33، الفقرة 20</w:t>
      </w:r>
      <w:r w:rsidRPr="00EA3405">
        <w:rPr>
          <w:rFonts w:cs="DanaFajr" w:hint="cs"/>
          <w:sz w:val="28"/>
          <w:szCs w:val="28"/>
          <w:rtl/>
          <w:lang w:bidi="ar-IQ"/>
        </w:rPr>
        <w:t xml:space="preserve"> </w:t>
      </w:r>
      <w:r w:rsidRPr="002F5255">
        <w:rPr>
          <w:rFonts w:cs="DanaFajr" w:hint="cs"/>
          <w:sz w:val="28"/>
          <w:szCs w:val="28"/>
          <w:rtl/>
          <w:lang w:bidi="ar-IQ"/>
        </w:rPr>
        <w:t>ـ 26.</w:t>
      </w:r>
    </w:p>
  </w:endnote>
  <w:endnote w:id="305">
    <w:p w:rsidR="00F41F33" w:rsidRPr="002F5255" w:rsidRDefault="00F41F33" w:rsidP="00055EC4">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الكتاب المقدّس، سفر اللاويين 20: 26.</w:t>
      </w:r>
    </w:p>
  </w:endnote>
  <w:endnote w:id="306">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المصدر السابق 20: 24.</w:t>
      </w:r>
    </w:p>
  </w:endnote>
  <w:endnote w:id="307">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روهلبخ، الكنـز المرصود في قواعد التلمود: 111.</w:t>
      </w:r>
    </w:p>
  </w:endnote>
  <w:endnote w:id="308">
    <w:p w:rsidR="00F41F33" w:rsidRPr="002F5255" w:rsidRDefault="00F41F33" w:rsidP="00055EC4">
      <w:pPr>
        <w:pStyle w:val="aa"/>
        <w:spacing w:line="300" w:lineRule="exact"/>
        <w:ind w:firstLine="0"/>
        <w:rPr>
          <w:rFonts w:cs="DanaFajr"/>
          <w:sz w:val="28"/>
          <w:szCs w:val="28"/>
          <w:rtl/>
          <w:lang w:bidi="ar-IQ"/>
        </w:rPr>
      </w:pPr>
      <w:r w:rsidRPr="00EA3405">
        <w:rPr>
          <w:rFonts w:cs="DanaFajr" w:hint="cs"/>
          <w:sz w:val="28"/>
          <w:szCs w:val="28"/>
          <w:rtl/>
          <w:lang w:bidi="ar-IQ"/>
        </w:rPr>
        <w:t>(</w:t>
      </w:r>
      <w:r w:rsidRPr="00EA3405">
        <w:rPr>
          <w:rFonts w:cs="DanaFajr"/>
          <w:sz w:val="28"/>
          <w:szCs w:val="28"/>
          <w:lang w:bidi="ar-IQ"/>
        </w:rPr>
        <w:endnoteRef/>
      </w:r>
      <w:r w:rsidRPr="00EA3405">
        <w:rPr>
          <w:rFonts w:cs="DanaFajr" w:hint="cs"/>
          <w:sz w:val="28"/>
          <w:szCs w:val="28"/>
          <w:rtl/>
          <w:lang w:bidi="ar-IQ"/>
        </w:rPr>
        <w:t>) يقول د. هر</w:t>
      </w:r>
      <w:r>
        <w:rPr>
          <w:rFonts w:cs="DanaFajr" w:hint="cs"/>
          <w:sz w:val="28"/>
          <w:szCs w:val="28"/>
          <w:rtl/>
          <w:lang w:bidi="ar-IQ"/>
        </w:rPr>
        <w:t>ب</w:t>
      </w:r>
      <w:r w:rsidRPr="00EA3405">
        <w:rPr>
          <w:rFonts w:cs="DanaFajr" w:hint="cs"/>
          <w:sz w:val="28"/>
          <w:szCs w:val="28"/>
          <w:rtl/>
          <w:lang w:bidi="ar-IQ"/>
        </w:rPr>
        <w:t>رت لوي، الأستاذ في اللغة العبرية في أ</w:t>
      </w:r>
      <w:r>
        <w:rPr>
          <w:rFonts w:cs="DanaFajr" w:hint="cs"/>
          <w:sz w:val="28"/>
          <w:szCs w:val="28"/>
          <w:rtl/>
          <w:lang w:bidi="ar-IQ"/>
        </w:rPr>
        <w:t>ُ</w:t>
      </w:r>
      <w:r w:rsidRPr="00EA3405">
        <w:rPr>
          <w:rFonts w:cs="DanaFajr" w:hint="cs"/>
          <w:sz w:val="28"/>
          <w:szCs w:val="28"/>
          <w:rtl/>
          <w:lang w:bidi="ar-IQ"/>
        </w:rPr>
        <w:t xml:space="preserve">كسفورد: إن اليهودية تقوم على أساسين، </w:t>
      </w:r>
      <w:r w:rsidRPr="002F5255">
        <w:rPr>
          <w:rFonts w:cs="DanaFajr" w:hint="cs"/>
          <w:sz w:val="28"/>
          <w:szCs w:val="28"/>
          <w:rtl/>
          <w:lang w:bidi="ar-IQ"/>
        </w:rPr>
        <w:t>هما: الوحدانية؛ واختيار إسرائيل. (انظر: شلبي، اليهودية: 218).</w:t>
      </w:r>
    </w:p>
  </w:endnote>
  <w:endnote w:id="309">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نور الدين خليل، ناموس الأديان الكبرى الثلاث: 813، مؤسّسة حورس الدولية مصر،</w:t>
      </w:r>
      <w:r w:rsidRPr="00EA3405">
        <w:rPr>
          <w:rFonts w:cs="DanaFajr" w:hint="cs"/>
          <w:sz w:val="28"/>
          <w:szCs w:val="28"/>
          <w:rtl/>
          <w:lang w:bidi="ar-IQ"/>
        </w:rPr>
        <w:t xml:space="preserve"> </w:t>
      </w:r>
      <w:r w:rsidRPr="002F5255">
        <w:rPr>
          <w:rFonts w:cs="DanaFajr" w:hint="cs"/>
          <w:sz w:val="28"/>
          <w:szCs w:val="28"/>
          <w:rtl/>
          <w:lang w:bidi="ar-IQ"/>
        </w:rPr>
        <w:t xml:space="preserve">الإسكندرية، 2010. </w:t>
      </w:r>
    </w:p>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انظر: أحمد شلبي، اليهودية: 95.</w:t>
      </w:r>
    </w:p>
  </w:endnote>
  <w:endnote w:id="310">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أحمد شلبي</w:t>
      </w:r>
      <w:r w:rsidRPr="002F5255">
        <w:rPr>
          <w:rFonts w:cs="DanaFajr"/>
          <w:sz w:val="28"/>
          <w:szCs w:val="28"/>
          <w:rtl/>
          <w:lang w:bidi="ar-IQ"/>
        </w:rPr>
        <w:t xml:space="preserve">، </w:t>
      </w:r>
      <w:r w:rsidRPr="002F5255">
        <w:rPr>
          <w:rFonts w:cs="DanaFajr" w:hint="cs"/>
          <w:sz w:val="28"/>
          <w:szCs w:val="28"/>
          <w:rtl/>
          <w:lang w:bidi="ar-IQ"/>
        </w:rPr>
        <w:t>اليهودية: 233.</w:t>
      </w:r>
    </w:p>
  </w:endnote>
  <w:endnote w:id="311">
    <w:p w:rsidR="00F41F33" w:rsidRPr="002F5255" w:rsidRDefault="00F41F33" w:rsidP="00062936">
      <w:pPr>
        <w:pStyle w:val="aa"/>
        <w:spacing w:line="300" w:lineRule="exact"/>
        <w:ind w:firstLine="0"/>
        <w:rPr>
          <w:rFonts w:cs="DanaFajr"/>
          <w:sz w:val="28"/>
          <w:szCs w:val="28"/>
          <w:rtl/>
          <w:lang w:bidi="ar-LB"/>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المصدر السابق: 234، نقلاً عن:</w:t>
      </w:r>
    </w:p>
    <w:p w:rsidR="00F41F33" w:rsidRPr="00715694" w:rsidRDefault="00F41F33" w:rsidP="002F5255">
      <w:pPr>
        <w:pStyle w:val="aa"/>
        <w:bidi w:val="0"/>
        <w:spacing w:line="300" w:lineRule="exact"/>
        <w:ind w:firstLine="0"/>
        <w:rPr>
          <w:rFonts w:asciiTheme="majorBidi" w:hAnsiTheme="majorBidi" w:cstheme="majorBidi"/>
          <w:lang w:bidi="ar-IQ"/>
        </w:rPr>
      </w:pPr>
      <w:r w:rsidRPr="00715694">
        <w:rPr>
          <w:rFonts w:asciiTheme="majorBidi" w:hAnsiTheme="majorBidi" w:cstheme="majorBidi"/>
          <w:lang w:bidi="ar-IQ"/>
        </w:rPr>
        <w:t xml:space="preserve">the Jewish world in the time of Jesus. pp </w:t>
      </w:r>
      <w:r w:rsidRPr="006333E0">
        <w:rPr>
          <w:rFonts w:asciiTheme="majorBidi" w:hAnsiTheme="majorBidi" w:cs="Ya-Ali"/>
          <w:lang w:bidi="ar-IQ"/>
        </w:rPr>
        <w:t>169</w:t>
      </w:r>
      <w:r>
        <w:rPr>
          <w:rFonts w:asciiTheme="majorBidi" w:hAnsiTheme="majorBidi" w:cs="Ya-Ali"/>
          <w:lang w:bidi="ar-IQ"/>
        </w:rPr>
        <w:t xml:space="preserve"> </w:t>
      </w:r>
      <w:r>
        <w:rPr>
          <w:rFonts w:asciiTheme="majorBidi" w:hAnsiTheme="majorBidi" w:cstheme="majorBidi" w:hint="cs"/>
          <w:rtl/>
          <w:lang w:bidi="ar-LB"/>
        </w:rPr>
        <w:t xml:space="preserve"> </w:t>
      </w:r>
      <w:r w:rsidRPr="00715694">
        <w:rPr>
          <w:rFonts w:asciiTheme="majorBidi" w:hAnsiTheme="majorBidi" w:cstheme="majorBidi"/>
          <w:rtl/>
          <w:lang w:bidi="ar-IQ"/>
        </w:rPr>
        <w:t>ـ</w:t>
      </w:r>
      <w:r>
        <w:rPr>
          <w:rFonts w:asciiTheme="majorBidi" w:hAnsiTheme="majorBidi" w:cstheme="majorBidi"/>
          <w:lang w:bidi="ar-IQ"/>
        </w:rPr>
        <w:t>170</w:t>
      </w:r>
      <w:r w:rsidRPr="00715694">
        <w:rPr>
          <w:rFonts w:asciiTheme="majorBidi" w:hAnsiTheme="majorBidi" w:cstheme="majorBidi"/>
          <w:lang w:bidi="ar-IQ"/>
        </w:rPr>
        <w:t>.</w:t>
      </w:r>
      <w:r w:rsidRPr="00715694">
        <w:rPr>
          <w:rFonts w:asciiTheme="majorBidi" w:hAnsiTheme="majorBidi" w:cstheme="majorBidi"/>
          <w:rtl/>
          <w:lang w:bidi="ar-IQ"/>
        </w:rPr>
        <w:t xml:space="preserve"> </w:t>
      </w:r>
    </w:p>
  </w:endnote>
  <w:endnote w:id="312">
    <w:p w:rsidR="00F41F33" w:rsidRPr="002F5255" w:rsidRDefault="00F41F33" w:rsidP="00062936">
      <w:pPr>
        <w:pStyle w:val="aa"/>
        <w:spacing w:line="300" w:lineRule="exact"/>
        <w:ind w:firstLine="0"/>
        <w:rPr>
          <w:rFonts w:cs="DanaFajr"/>
          <w:sz w:val="28"/>
          <w:szCs w:val="28"/>
          <w:rtl/>
          <w:lang w:bidi="ar-LB"/>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سفر يشوع: 1.</w:t>
      </w:r>
    </w:p>
  </w:endnote>
  <w:endnote w:id="313">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xml:space="preserve">) </w:t>
      </w:r>
      <w:r w:rsidRPr="002F5255">
        <w:rPr>
          <w:rFonts w:cs="DanaFajr" w:hint="cs"/>
          <w:sz w:val="28"/>
          <w:szCs w:val="28"/>
          <w:rtl/>
          <w:lang w:bidi="ar-LB"/>
        </w:rPr>
        <w:t>انظر:</w:t>
      </w:r>
      <w:r w:rsidRPr="002F5255">
        <w:rPr>
          <w:rFonts w:cs="DanaFajr" w:hint="cs"/>
          <w:sz w:val="28"/>
          <w:szCs w:val="28"/>
          <w:rtl/>
          <w:lang w:bidi="ar-IQ"/>
        </w:rPr>
        <w:t xml:space="preserve"> سفر يشوع 8: 24.</w:t>
      </w:r>
    </w:p>
  </w:endnote>
  <w:endnote w:id="314">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سفر يشوع، الآية 11.</w:t>
      </w:r>
    </w:p>
  </w:endnote>
  <w:endnote w:id="315">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العهد القديم، سفر العدد، الإصحاح 33، الفقرة 50 ـ 53.</w:t>
      </w:r>
    </w:p>
  </w:endnote>
  <w:endnote w:id="316">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سفر الخروج 2: 32.</w:t>
      </w:r>
    </w:p>
  </w:endnote>
  <w:endnote w:id="317">
    <w:p w:rsidR="00F41F33" w:rsidRPr="002F5255" w:rsidRDefault="00F41F33" w:rsidP="00062936">
      <w:pPr>
        <w:pStyle w:val="aa"/>
        <w:spacing w:line="300" w:lineRule="exact"/>
        <w:ind w:firstLine="0"/>
        <w:rPr>
          <w:rFonts w:cs="DanaFajr"/>
          <w:sz w:val="28"/>
          <w:szCs w:val="28"/>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إيمانويل هيمان، الأصولية اليهودية: 32.</w:t>
      </w:r>
    </w:p>
  </w:endnote>
  <w:endnote w:id="318">
    <w:p w:rsidR="00F41F33" w:rsidRPr="002F5255" w:rsidRDefault="00F41F33" w:rsidP="00062936">
      <w:pPr>
        <w:pStyle w:val="aa"/>
        <w:spacing w:line="300" w:lineRule="exact"/>
        <w:ind w:firstLine="0"/>
        <w:rPr>
          <w:rFonts w:cs="DanaFajr"/>
          <w:sz w:val="28"/>
          <w:szCs w:val="28"/>
          <w:rtl/>
          <w:lang w:bidi="ar-IQ"/>
        </w:rPr>
      </w:pPr>
      <w:r w:rsidRPr="002F5255">
        <w:rPr>
          <w:rFonts w:cs="DanaFajr" w:hint="cs"/>
          <w:sz w:val="28"/>
          <w:szCs w:val="28"/>
          <w:rtl/>
          <w:lang w:bidi="ar-IQ"/>
        </w:rPr>
        <w:t>(</w:t>
      </w:r>
      <w:r w:rsidRPr="002F5255">
        <w:rPr>
          <w:rFonts w:cs="DanaFajr"/>
          <w:sz w:val="28"/>
          <w:szCs w:val="28"/>
          <w:lang w:bidi="ar-IQ"/>
        </w:rPr>
        <w:endnoteRef/>
      </w:r>
      <w:r w:rsidRPr="002F5255">
        <w:rPr>
          <w:rFonts w:cs="DanaFajr" w:hint="cs"/>
          <w:sz w:val="28"/>
          <w:szCs w:val="28"/>
          <w:rtl/>
          <w:lang w:bidi="ar-IQ"/>
        </w:rPr>
        <w:t>) المصدر السابق: 272.</w:t>
      </w:r>
    </w:p>
  </w:endnote>
  <w:endnote w:id="319">
    <w:p w:rsidR="00F41F33" w:rsidRPr="00D840F6" w:rsidRDefault="00F41F33" w:rsidP="00055EC4">
      <w:pPr>
        <w:pStyle w:val="aa"/>
        <w:spacing w:line="300" w:lineRule="exact"/>
        <w:ind w:firstLine="0"/>
        <w:rPr>
          <w:rFonts w:cs="DanaFajr"/>
          <w:sz w:val="28"/>
          <w:szCs w:val="28"/>
          <w:rtl/>
          <w:lang w:bidi="ar-IQ"/>
        </w:rPr>
      </w:pPr>
      <w:r w:rsidRPr="00D840F6">
        <w:rPr>
          <w:rFonts w:cs="DanaFajr" w:hint="cs"/>
          <w:sz w:val="28"/>
          <w:szCs w:val="28"/>
          <w:rtl/>
          <w:lang w:bidi="ar-IQ"/>
        </w:rPr>
        <w:t>(</w:t>
      </w:r>
      <w:r w:rsidRPr="00D840F6">
        <w:rPr>
          <w:rFonts w:cs="DanaFajr"/>
          <w:sz w:val="28"/>
          <w:szCs w:val="28"/>
          <w:lang w:bidi="ar-IQ"/>
        </w:rPr>
        <w:endnoteRef/>
      </w:r>
      <w:r w:rsidRPr="00D840F6">
        <w:rPr>
          <w:rFonts w:cs="DanaFajr" w:hint="cs"/>
          <w:sz w:val="28"/>
          <w:szCs w:val="28"/>
          <w:rtl/>
          <w:lang w:bidi="ar-IQ"/>
        </w:rPr>
        <w:t xml:space="preserve">) المصدر </w:t>
      </w:r>
      <w:r>
        <w:rPr>
          <w:rFonts w:cs="DanaFajr" w:hint="cs"/>
          <w:sz w:val="28"/>
          <w:szCs w:val="28"/>
          <w:rtl/>
          <w:lang w:bidi="ar-IQ"/>
        </w:rPr>
        <w:t>نفسه</w:t>
      </w:r>
      <w:r w:rsidRPr="00D840F6">
        <w:rPr>
          <w:rFonts w:cs="DanaFajr" w:hint="cs"/>
          <w:sz w:val="28"/>
          <w:szCs w:val="28"/>
          <w:rtl/>
          <w:lang w:bidi="ar-IQ"/>
        </w:rPr>
        <w:t>.</w:t>
      </w:r>
    </w:p>
  </w:endnote>
  <w:endnote w:id="320">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أحمد شلبي</w:t>
      </w:r>
      <w:r w:rsidRPr="009640F7">
        <w:rPr>
          <w:rFonts w:cs="DanaFajr"/>
          <w:sz w:val="28"/>
          <w:szCs w:val="28"/>
          <w:rtl/>
          <w:lang w:bidi="ar-IQ"/>
        </w:rPr>
        <w:t xml:space="preserve">، </w:t>
      </w:r>
      <w:r w:rsidRPr="009640F7">
        <w:rPr>
          <w:rFonts w:cs="DanaFajr" w:hint="cs"/>
          <w:sz w:val="28"/>
          <w:szCs w:val="28"/>
          <w:rtl/>
          <w:lang w:bidi="ar-IQ"/>
        </w:rPr>
        <w:t>اليهودية: 273.</w:t>
      </w:r>
    </w:p>
  </w:endnote>
  <w:endnote w:id="321">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عماد علي عبد السميع، الأصولية الإسلامية والأصوليات الدينية الأخرى: 17.</w:t>
      </w:r>
    </w:p>
  </w:endnote>
  <w:endnote w:id="322">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انظر: روهلبخ، الكنـز المرصود في قواعد التلمود: 51، واستناداته إلى سفر اللاويين 20: 24 ـ</w:t>
      </w:r>
      <w:r w:rsidRPr="00D840F6">
        <w:rPr>
          <w:rFonts w:cs="DanaFajr" w:hint="cs"/>
          <w:sz w:val="28"/>
          <w:szCs w:val="28"/>
          <w:rtl/>
          <w:lang w:bidi="ar-IQ"/>
        </w:rPr>
        <w:t xml:space="preserve"> </w:t>
      </w:r>
      <w:r w:rsidRPr="009640F7">
        <w:rPr>
          <w:rFonts w:cs="DanaFajr" w:hint="cs"/>
          <w:sz w:val="28"/>
          <w:szCs w:val="28"/>
          <w:rtl/>
          <w:lang w:bidi="ar-IQ"/>
        </w:rPr>
        <w:t>25.</w:t>
      </w:r>
    </w:p>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روهلبخ مدرِّس بجامعة براغ. ترجم كتابه من الفرنسية إلى العربية د. يوسف نصر الله. (انظر:</w:t>
      </w:r>
      <w:r w:rsidRPr="00D840F6">
        <w:rPr>
          <w:rFonts w:cs="DanaFajr" w:hint="cs"/>
          <w:sz w:val="28"/>
          <w:szCs w:val="28"/>
          <w:rtl/>
          <w:lang w:bidi="ar-IQ"/>
        </w:rPr>
        <w:t xml:space="preserve"> </w:t>
      </w:r>
      <w:r w:rsidRPr="009640F7">
        <w:rPr>
          <w:rFonts w:cs="DanaFajr" w:hint="cs"/>
          <w:sz w:val="28"/>
          <w:szCs w:val="28"/>
          <w:rtl/>
          <w:lang w:bidi="ar-IQ"/>
        </w:rPr>
        <w:t>أحمد شلبي</w:t>
      </w:r>
      <w:r w:rsidRPr="009640F7">
        <w:rPr>
          <w:rFonts w:cs="DanaFajr"/>
          <w:sz w:val="28"/>
          <w:szCs w:val="28"/>
          <w:rtl/>
          <w:lang w:bidi="ar-IQ"/>
        </w:rPr>
        <w:t xml:space="preserve">، </w:t>
      </w:r>
      <w:r w:rsidRPr="009640F7">
        <w:rPr>
          <w:rFonts w:cs="DanaFajr" w:hint="cs"/>
          <w:sz w:val="28"/>
          <w:szCs w:val="28"/>
          <w:rtl/>
          <w:lang w:bidi="ar-IQ"/>
        </w:rPr>
        <w:t>اليهودية: 270).</w:t>
      </w:r>
    </w:p>
  </w:endnote>
  <w:endnote w:id="323">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هيمان: الأصولية اليهودية: 12.</w:t>
      </w:r>
    </w:p>
  </w:endnote>
  <w:endnote w:id="324">
    <w:p w:rsidR="00F41F33" w:rsidRPr="00D840F6" w:rsidRDefault="00F41F33" w:rsidP="00062936">
      <w:pPr>
        <w:pStyle w:val="aa"/>
        <w:spacing w:line="300" w:lineRule="exact"/>
        <w:ind w:firstLine="0"/>
        <w:rPr>
          <w:rFonts w:cs="DanaFajr"/>
          <w:sz w:val="28"/>
          <w:szCs w:val="28"/>
          <w:rtl/>
          <w:lang w:bidi="ar-IQ"/>
        </w:rPr>
      </w:pPr>
      <w:r w:rsidRPr="00D840F6">
        <w:rPr>
          <w:rFonts w:cs="DanaFajr" w:hint="cs"/>
          <w:sz w:val="28"/>
          <w:szCs w:val="28"/>
          <w:rtl/>
          <w:lang w:bidi="ar-IQ"/>
        </w:rPr>
        <w:t>(</w:t>
      </w:r>
      <w:r w:rsidRPr="00D840F6">
        <w:rPr>
          <w:rFonts w:cs="DanaFajr"/>
          <w:sz w:val="28"/>
          <w:szCs w:val="28"/>
          <w:lang w:bidi="ar-IQ"/>
        </w:rPr>
        <w:endnoteRef/>
      </w:r>
      <w:r w:rsidRPr="00D840F6">
        <w:rPr>
          <w:rFonts w:cs="DanaFajr" w:hint="cs"/>
          <w:sz w:val="28"/>
          <w:szCs w:val="28"/>
          <w:rtl/>
          <w:lang w:bidi="ar-IQ"/>
        </w:rPr>
        <w:t>) المصدر نفسه.</w:t>
      </w:r>
    </w:p>
  </w:endnote>
  <w:endnote w:id="325">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ر. س زينر، موسوعة الأديان الحيّة: 98.</w:t>
      </w:r>
    </w:p>
  </w:endnote>
  <w:endnote w:id="326">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إيان لوستيك، الأصولية اليهودية في إسرائيل: 22.</w:t>
      </w:r>
    </w:p>
  </w:endnote>
  <w:endnote w:id="327">
    <w:p w:rsidR="00F41F33" w:rsidRPr="009640F7" w:rsidRDefault="00F41F33" w:rsidP="00062936">
      <w:pPr>
        <w:pStyle w:val="aa"/>
        <w:spacing w:line="300" w:lineRule="exact"/>
        <w:ind w:firstLine="0"/>
        <w:rPr>
          <w:rFonts w:cs="DanaFajr"/>
          <w:sz w:val="28"/>
          <w:szCs w:val="28"/>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المصدر السابق: 24.</w:t>
      </w:r>
    </w:p>
  </w:endnote>
  <w:endnote w:id="328">
    <w:p w:rsidR="00F41F33" w:rsidRPr="00D840F6" w:rsidRDefault="00F41F33" w:rsidP="00062936">
      <w:pPr>
        <w:pStyle w:val="aa"/>
        <w:spacing w:line="300" w:lineRule="exact"/>
        <w:ind w:firstLine="0"/>
        <w:rPr>
          <w:rFonts w:cs="DanaFajr"/>
          <w:sz w:val="28"/>
          <w:szCs w:val="28"/>
          <w:rtl/>
          <w:lang w:bidi="ar-IQ"/>
        </w:rPr>
      </w:pPr>
      <w:r w:rsidRPr="00D840F6">
        <w:rPr>
          <w:rFonts w:cs="DanaFajr" w:hint="cs"/>
          <w:sz w:val="28"/>
          <w:szCs w:val="28"/>
          <w:rtl/>
          <w:lang w:bidi="ar-IQ"/>
        </w:rPr>
        <w:t>(</w:t>
      </w:r>
      <w:r w:rsidRPr="00D840F6">
        <w:rPr>
          <w:rFonts w:cs="DanaFajr"/>
          <w:sz w:val="28"/>
          <w:szCs w:val="28"/>
          <w:lang w:bidi="ar-IQ"/>
        </w:rPr>
        <w:endnoteRef/>
      </w:r>
      <w:r w:rsidRPr="00D840F6">
        <w:rPr>
          <w:rFonts w:cs="DanaFajr" w:hint="cs"/>
          <w:sz w:val="28"/>
          <w:szCs w:val="28"/>
          <w:rtl/>
          <w:lang w:bidi="ar-IQ"/>
        </w:rPr>
        <w:t>) المصدر نفسه.</w:t>
      </w:r>
    </w:p>
  </w:endnote>
  <w:endnote w:id="329">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عبد المجيد همو، الفرق والمذاهب اليهودية: 140.</w:t>
      </w:r>
    </w:p>
  </w:endnote>
  <w:endnote w:id="330">
    <w:p w:rsidR="00F41F33" w:rsidRPr="00D840F6" w:rsidRDefault="00F41F33" w:rsidP="00062936">
      <w:pPr>
        <w:pStyle w:val="aa"/>
        <w:spacing w:line="300" w:lineRule="exact"/>
        <w:ind w:firstLine="0"/>
        <w:rPr>
          <w:rFonts w:cs="DanaFajr"/>
          <w:sz w:val="28"/>
          <w:szCs w:val="28"/>
          <w:rtl/>
          <w:lang w:bidi="ar-IQ"/>
        </w:rPr>
      </w:pPr>
      <w:r w:rsidRPr="00D840F6">
        <w:rPr>
          <w:rFonts w:cs="DanaFajr" w:hint="cs"/>
          <w:sz w:val="28"/>
          <w:szCs w:val="28"/>
          <w:rtl/>
          <w:lang w:bidi="ar-IQ"/>
        </w:rPr>
        <w:t>(</w:t>
      </w:r>
      <w:r w:rsidRPr="00D840F6">
        <w:rPr>
          <w:rFonts w:cs="DanaFajr"/>
          <w:sz w:val="28"/>
          <w:szCs w:val="28"/>
          <w:lang w:bidi="ar-IQ"/>
        </w:rPr>
        <w:endnoteRef/>
      </w:r>
      <w:r w:rsidRPr="00D840F6">
        <w:rPr>
          <w:rFonts w:cs="DanaFajr" w:hint="cs"/>
          <w:sz w:val="28"/>
          <w:szCs w:val="28"/>
          <w:rtl/>
          <w:lang w:bidi="ar-IQ"/>
        </w:rPr>
        <w:t>) سالم الكسواني، المركز القانوني لمدينة القدس.</w:t>
      </w:r>
    </w:p>
  </w:endnote>
  <w:endnote w:id="331">
    <w:p w:rsidR="00F41F33" w:rsidRPr="009640F7" w:rsidRDefault="00F41F33" w:rsidP="00062936">
      <w:pPr>
        <w:pStyle w:val="aa"/>
        <w:spacing w:line="300" w:lineRule="exact"/>
        <w:ind w:firstLine="0"/>
        <w:rPr>
          <w:rFonts w:cs="DanaFajr"/>
          <w:sz w:val="28"/>
          <w:szCs w:val="28"/>
          <w:rtl/>
          <w:lang w:bidi="ar-IQ"/>
        </w:rPr>
      </w:pPr>
      <w:r w:rsidRPr="009640F7">
        <w:rPr>
          <w:rFonts w:cs="DanaFajr" w:hint="cs"/>
          <w:sz w:val="28"/>
          <w:szCs w:val="28"/>
          <w:rtl/>
          <w:lang w:bidi="ar-IQ"/>
        </w:rPr>
        <w:t>(</w:t>
      </w:r>
      <w:r w:rsidRPr="009640F7">
        <w:rPr>
          <w:rFonts w:cs="DanaFajr"/>
          <w:sz w:val="28"/>
          <w:szCs w:val="28"/>
          <w:lang w:bidi="ar-IQ"/>
        </w:rPr>
        <w:endnoteRef/>
      </w:r>
      <w:r w:rsidRPr="009640F7">
        <w:rPr>
          <w:rFonts w:cs="DanaFajr" w:hint="cs"/>
          <w:sz w:val="28"/>
          <w:szCs w:val="28"/>
          <w:rtl/>
          <w:lang w:bidi="ar-IQ"/>
        </w:rPr>
        <w:t>) انظر: عبد الوهاب المسيري، موسوعة اليهود واليهودية 4: 11؛ كذلك: منى إلياس، الأصوليون</w:t>
      </w:r>
      <w:r w:rsidRPr="00D840F6">
        <w:rPr>
          <w:rFonts w:cs="DanaFajr" w:hint="cs"/>
          <w:sz w:val="28"/>
          <w:szCs w:val="28"/>
          <w:rtl/>
          <w:lang w:bidi="ar-IQ"/>
        </w:rPr>
        <w:t xml:space="preserve"> </w:t>
      </w:r>
      <w:r w:rsidRPr="009640F7">
        <w:rPr>
          <w:rFonts w:cs="DanaFajr" w:hint="cs"/>
          <w:sz w:val="28"/>
          <w:szCs w:val="28"/>
          <w:rtl/>
          <w:lang w:bidi="ar-IQ"/>
        </w:rPr>
        <w:t xml:space="preserve">اليهود بين أساطير التوراة والعلم؛ إيمانويل هيمان، الأصولية اليهودية: 36. </w:t>
      </w:r>
    </w:p>
  </w:endnote>
  <w:endnote w:id="332">
    <w:p w:rsidR="00F41F33" w:rsidRPr="00715694" w:rsidRDefault="00F41F33" w:rsidP="00752155">
      <w:pPr>
        <w:pStyle w:val="affe"/>
        <w:bidi w:val="0"/>
        <w:ind w:left="0" w:firstLine="0"/>
        <w:jc w:val="both"/>
        <w:rPr>
          <w:rStyle w:val="ac"/>
          <w:sz w:val="20"/>
          <w:szCs w:val="20"/>
          <w:vertAlign w:val="baseline"/>
          <w:rtl/>
        </w:rPr>
      </w:pPr>
      <w:r w:rsidRPr="00715694">
        <w:rPr>
          <w:sz w:val="20"/>
          <w:szCs w:val="20"/>
        </w:rPr>
        <w:t>(</w:t>
      </w:r>
      <w:r w:rsidRPr="00715694">
        <w:rPr>
          <w:rStyle w:val="ac"/>
          <w:sz w:val="20"/>
          <w:szCs w:val="20"/>
          <w:vertAlign w:val="baseline"/>
        </w:rPr>
        <w:endnoteRef/>
      </w:r>
      <w:r w:rsidRPr="00715694">
        <w:rPr>
          <w:rStyle w:val="ac"/>
          <w:sz w:val="20"/>
          <w:szCs w:val="20"/>
          <w:vertAlign w:val="baseline"/>
        </w:rPr>
        <w:t>)</w:t>
      </w:r>
      <w:r w:rsidRPr="00715694">
        <w:rPr>
          <w:sz w:val="20"/>
          <w:szCs w:val="20"/>
        </w:rPr>
        <w:t xml:space="preserve"> </w:t>
      </w:r>
      <w:r w:rsidRPr="00715694">
        <w:rPr>
          <w:rFonts w:cs="Times New Roman"/>
          <w:sz w:val="20"/>
          <w:szCs w:val="20"/>
          <w:lang w:bidi="ar-AE"/>
        </w:rPr>
        <w:t>Power desending from top to the bottom.</w:t>
      </w:r>
    </w:p>
  </w:endnote>
  <w:endnote w:id="333">
    <w:p w:rsidR="00F41F33" w:rsidRPr="00715694" w:rsidRDefault="00F41F33" w:rsidP="00752155">
      <w:pPr>
        <w:pStyle w:val="affe"/>
        <w:bidi w:val="0"/>
        <w:ind w:left="0" w:firstLine="0"/>
        <w:jc w:val="both"/>
        <w:rPr>
          <w:rStyle w:val="ac"/>
          <w:sz w:val="20"/>
          <w:szCs w:val="20"/>
          <w:vertAlign w:val="baseline"/>
          <w:rtl/>
        </w:rPr>
      </w:pPr>
      <w:r w:rsidRPr="00715694">
        <w:rPr>
          <w:sz w:val="20"/>
          <w:szCs w:val="20"/>
        </w:rPr>
        <w:t>(</w:t>
      </w:r>
      <w:r w:rsidRPr="00715694">
        <w:rPr>
          <w:rStyle w:val="ac"/>
          <w:sz w:val="20"/>
          <w:szCs w:val="20"/>
          <w:vertAlign w:val="baseline"/>
        </w:rPr>
        <w:endnoteRef/>
      </w:r>
      <w:r w:rsidRPr="00715694">
        <w:rPr>
          <w:rStyle w:val="ac"/>
          <w:sz w:val="20"/>
          <w:szCs w:val="20"/>
          <w:vertAlign w:val="baseline"/>
        </w:rPr>
        <w:t xml:space="preserve">) </w:t>
      </w:r>
      <w:r w:rsidRPr="00715694">
        <w:rPr>
          <w:rFonts w:cs="Times New Roman"/>
          <w:sz w:val="20"/>
          <w:szCs w:val="20"/>
          <w:lang w:bidi="ar-AE"/>
        </w:rPr>
        <w:t>Power desending from bottom to the top.</w:t>
      </w:r>
    </w:p>
  </w:endnote>
  <w:endnote w:id="334">
    <w:p w:rsidR="00F41F33" w:rsidRPr="00BB4525" w:rsidRDefault="00F41F33" w:rsidP="00752155">
      <w:pPr>
        <w:pStyle w:val="affe"/>
        <w:ind w:left="0" w:firstLine="0"/>
        <w:jc w:val="both"/>
        <w:rPr>
          <w:rStyle w:val="ac"/>
          <w:sz w:val="28"/>
          <w:vertAlign w:val="baseline"/>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لقد أحرزت جبهة الانقاذ الإسلامي في الجزائر انتصاراً ساحقاً في انتخابات البلدية</w:t>
      </w:r>
      <w:r w:rsidRPr="00BB4525">
        <w:rPr>
          <w:rFonts w:hint="cs"/>
          <w:sz w:val="28"/>
          <w:rtl/>
          <w:lang w:bidi="ar-LB"/>
        </w:rPr>
        <w:t>،</w:t>
      </w:r>
      <w:r w:rsidRPr="00BB4525">
        <w:rPr>
          <w:rFonts w:hint="cs"/>
          <w:sz w:val="28"/>
          <w:rtl/>
        </w:rPr>
        <w:t xml:space="preserve"> أعقبه حصولها على غالبية الأصوات في انتخابات المجلس الوطني. لكنْ قبل أن تتسلّم الجبهة زمام القيادة، وقبل أن تتحول السلطة لها، حاول قادتها البارزين، كـ (بالحاج)، من خلال تصريحاتهم الرسمية التأكيد على رفض الديمقراطية، التي اعتبروها أشدّ وأخطر من الكفر. وقد أثار هذا الموقف مخاوف الكثير من أنصار الجبهة، من المفكِّرين والمثقّفين، كما أدّى إلى ردود أفعال لدى العسكريين، ممَّنْ كانوا على رأس السلطة.</w:t>
      </w:r>
    </w:p>
  </w:endnote>
  <w:endnote w:id="335">
    <w:p w:rsidR="00F41F33" w:rsidRPr="00BB4525" w:rsidRDefault="00F41F33" w:rsidP="00752155">
      <w:pPr>
        <w:pStyle w:val="affe"/>
        <w:ind w:left="0" w:firstLine="0"/>
        <w:jc w:val="both"/>
        <w:rPr>
          <w:sz w:val="28"/>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جوادي آملي، </w:t>
      </w:r>
      <w:r w:rsidRPr="00BB4525">
        <w:rPr>
          <w:rFonts w:hint="eastAsia"/>
          <w:sz w:val="28"/>
          <w:rtl/>
        </w:rPr>
        <w:t>«</w:t>
      </w:r>
      <w:r w:rsidRPr="00BB4525">
        <w:rPr>
          <w:rFonts w:hint="cs"/>
          <w:sz w:val="28"/>
          <w:rtl/>
        </w:rPr>
        <w:t>پيرامون وحي ورهبري</w:t>
      </w:r>
      <w:r w:rsidRPr="00BB4525">
        <w:rPr>
          <w:rFonts w:hint="eastAsia"/>
          <w:sz w:val="28"/>
          <w:rtl/>
        </w:rPr>
        <w:t>»</w:t>
      </w:r>
      <w:r w:rsidRPr="00BB4525">
        <w:rPr>
          <w:rFonts w:hint="cs"/>
          <w:sz w:val="28"/>
          <w:rtl/>
        </w:rPr>
        <w:t xml:space="preserve">، طهران، </w:t>
      </w:r>
      <w:r w:rsidRPr="00707BC0">
        <w:rPr>
          <w:rFonts w:hint="cs"/>
          <w:sz w:val="28"/>
          <w:rtl/>
        </w:rPr>
        <w:t>1368</w:t>
      </w:r>
      <w:r w:rsidRPr="00BB4525">
        <w:rPr>
          <w:rFonts w:hint="cs"/>
          <w:sz w:val="28"/>
          <w:rtl/>
        </w:rPr>
        <w:t>.</w:t>
      </w:r>
    </w:p>
  </w:endnote>
  <w:endnote w:id="336">
    <w:p w:rsidR="00F41F33" w:rsidRPr="00BB4525" w:rsidRDefault="00F41F33" w:rsidP="00752155">
      <w:pPr>
        <w:pStyle w:val="affe"/>
        <w:ind w:left="0" w:firstLine="0"/>
        <w:jc w:val="both"/>
        <w:rPr>
          <w:rStyle w:val="ac"/>
          <w:sz w:val="28"/>
          <w:vertAlign w:val="baseline"/>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 xml:space="preserve">الدكتور محمد لاريجاني، </w:t>
      </w:r>
      <w:r w:rsidRPr="00BB4525">
        <w:rPr>
          <w:rFonts w:hint="eastAsia"/>
          <w:sz w:val="28"/>
          <w:rtl/>
          <w:lang w:bidi="ar-AE"/>
        </w:rPr>
        <w:t>«</w:t>
      </w:r>
      <w:r w:rsidRPr="00BB4525">
        <w:rPr>
          <w:rFonts w:hint="cs"/>
          <w:sz w:val="28"/>
          <w:rtl/>
          <w:lang w:bidi="ar-AE"/>
        </w:rPr>
        <w:t>حكومت، مباحثي در مشروعيت وكارآمدي</w:t>
      </w:r>
      <w:r w:rsidRPr="00BB4525">
        <w:rPr>
          <w:rFonts w:hint="eastAsia"/>
          <w:sz w:val="28"/>
          <w:rtl/>
          <w:lang w:bidi="ar-AE"/>
        </w:rPr>
        <w:t>»</w:t>
      </w:r>
      <w:r w:rsidRPr="00BB4525">
        <w:rPr>
          <w:rFonts w:hint="cs"/>
          <w:sz w:val="28"/>
          <w:rtl/>
          <w:lang w:bidi="ar-AE"/>
        </w:rPr>
        <w:t xml:space="preserve">، مؤسسة سروش للنشر، </w:t>
      </w:r>
      <w:r w:rsidRPr="00707BC0">
        <w:rPr>
          <w:rFonts w:hint="cs"/>
          <w:sz w:val="28"/>
          <w:rtl/>
          <w:lang w:bidi="ar-AE"/>
        </w:rPr>
        <w:t>1373</w:t>
      </w:r>
      <w:r w:rsidRPr="00BB4525">
        <w:rPr>
          <w:rFonts w:hint="cs"/>
          <w:sz w:val="28"/>
          <w:rtl/>
        </w:rPr>
        <w:t>.</w:t>
      </w:r>
    </w:p>
  </w:endnote>
  <w:endnote w:id="337">
    <w:p w:rsidR="00F41F33" w:rsidRPr="00BB4525" w:rsidRDefault="00F41F33" w:rsidP="00752155">
      <w:pPr>
        <w:pStyle w:val="affe"/>
        <w:ind w:left="0" w:firstLine="0"/>
        <w:jc w:val="both"/>
        <w:rPr>
          <w:sz w:val="28"/>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 xml:space="preserve">تفاصيل </w:t>
      </w:r>
      <w:r w:rsidRPr="00BB4525">
        <w:rPr>
          <w:rFonts w:hint="cs"/>
          <w:sz w:val="28"/>
          <w:rtl/>
        </w:rPr>
        <w:t xml:space="preserve">مداولات إعادة النظر في دستور الجمهورية الإسلامية الإيرانية، طهران، </w:t>
      </w:r>
      <w:r w:rsidRPr="00707BC0">
        <w:rPr>
          <w:rFonts w:hint="cs"/>
          <w:sz w:val="28"/>
          <w:rtl/>
        </w:rPr>
        <w:t>1369</w:t>
      </w:r>
      <w:r w:rsidRPr="00BB4525">
        <w:rPr>
          <w:rFonts w:hint="cs"/>
          <w:sz w:val="28"/>
          <w:rtl/>
        </w:rPr>
        <w:t>.</w:t>
      </w:r>
    </w:p>
  </w:endnote>
  <w:endnote w:id="338">
    <w:p w:rsidR="00F41F33" w:rsidRPr="00BB4525" w:rsidRDefault="00F41F33" w:rsidP="00752155">
      <w:pPr>
        <w:pStyle w:val="affe"/>
        <w:ind w:left="0" w:firstLine="0"/>
        <w:jc w:val="both"/>
        <w:rPr>
          <w:rStyle w:val="ac"/>
          <w:sz w:val="28"/>
          <w:vertAlign w:val="baseline"/>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 xml:space="preserve">فريدون آدميت، أنديشه ترقّي وحكومت قانون (حكومة القانون ومشروع التنمية): </w:t>
      </w:r>
      <w:r w:rsidRPr="00707BC0">
        <w:rPr>
          <w:rFonts w:hint="cs"/>
          <w:sz w:val="28"/>
          <w:rtl/>
          <w:lang w:bidi="ar-AE"/>
        </w:rPr>
        <w:t>200</w:t>
      </w:r>
      <w:r w:rsidRPr="00BB4525">
        <w:rPr>
          <w:rFonts w:hint="cs"/>
          <w:sz w:val="28"/>
          <w:rtl/>
          <w:lang w:bidi="ar-AE"/>
        </w:rPr>
        <w:t xml:space="preserve">، طهران، </w:t>
      </w:r>
      <w:r w:rsidRPr="00707BC0">
        <w:rPr>
          <w:rFonts w:hint="cs"/>
          <w:sz w:val="28"/>
          <w:rtl/>
          <w:lang w:bidi="ar-AE"/>
        </w:rPr>
        <w:t>1351</w:t>
      </w:r>
      <w:r w:rsidRPr="00BB4525">
        <w:rPr>
          <w:rFonts w:hint="cs"/>
          <w:sz w:val="28"/>
          <w:rtl/>
          <w:lang w:bidi="ar-AE"/>
        </w:rPr>
        <w:t xml:space="preserve">، نقلاً عن: سنّت ومدرنيسم، للدكتور صادق زيبا كلام، التراث الثقافي، </w:t>
      </w:r>
      <w:r w:rsidRPr="00707BC0">
        <w:rPr>
          <w:rFonts w:hint="cs"/>
          <w:sz w:val="28"/>
          <w:rtl/>
          <w:lang w:bidi="ar-AE"/>
        </w:rPr>
        <w:t>1377</w:t>
      </w:r>
      <w:r w:rsidRPr="00BB4525">
        <w:rPr>
          <w:rFonts w:hint="cs"/>
          <w:sz w:val="28"/>
          <w:rtl/>
        </w:rPr>
        <w:t>.</w:t>
      </w:r>
    </w:p>
  </w:endnote>
  <w:endnote w:id="339">
    <w:p w:rsidR="00F41F33" w:rsidRPr="00BB4525" w:rsidRDefault="00F41F33" w:rsidP="00752155">
      <w:pPr>
        <w:pStyle w:val="affe"/>
        <w:ind w:left="0" w:firstLine="0"/>
        <w:jc w:val="both"/>
        <w:rPr>
          <w:rStyle w:val="ac"/>
          <w:sz w:val="28"/>
          <w:vertAlign w:val="baseline"/>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 xml:space="preserve">كتاب تذكرة الغافل وإرشاد الجاهل، في (الرسائل والبيانات والمدوّنات والصحف، الشيخ فضل الله النوري)، إعداد وتنظيم: محمد تركمان، المجلد الأول، مؤسسة النشاطات الثقافية، </w:t>
      </w:r>
      <w:r w:rsidRPr="00707BC0">
        <w:rPr>
          <w:rFonts w:hint="cs"/>
          <w:sz w:val="28"/>
          <w:rtl/>
          <w:lang w:bidi="ar-AE"/>
        </w:rPr>
        <w:t>1362</w:t>
      </w:r>
      <w:r w:rsidRPr="00BB4525">
        <w:rPr>
          <w:rFonts w:hint="cs"/>
          <w:sz w:val="28"/>
          <w:rtl/>
        </w:rPr>
        <w:t>.</w:t>
      </w:r>
    </w:p>
  </w:endnote>
  <w:endnote w:id="340">
    <w:p w:rsidR="00F41F33" w:rsidRPr="00BB4525" w:rsidRDefault="00F41F33" w:rsidP="00752155">
      <w:pPr>
        <w:pStyle w:val="affe"/>
        <w:ind w:left="0" w:firstLine="0"/>
        <w:jc w:val="both"/>
        <w:rPr>
          <w:rStyle w:val="ac"/>
          <w:sz w:val="28"/>
          <w:vertAlign w:val="baseline"/>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lang w:bidi="ar-AE"/>
        </w:rPr>
        <w:t xml:space="preserve"> محمد تركمان، الشيخ فضل الله النوري، المجلد الأوّل</w:t>
      </w:r>
      <w:r w:rsidRPr="00BB4525">
        <w:rPr>
          <w:rFonts w:hint="cs"/>
          <w:sz w:val="28"/>
          <w:rtl/>
        </w:rPr>
        <w:t>.</w:t>
      </w:r>
    </w:p>
  </w:endnote>
  <w:endnote w:id="341">
    <w:p w:rsidR="00F41F33" w:rsidRPr="00BB4525" w:rsidRDefault="00F41F33" w:rsidP="00752155">
      <w:pPr>
        <w:pStyle w:val="affe"/>
        <w:ind w:left="0" w:firstLine="0"/>
        <w:jc w:val="both"/>
        <w:rPr>
          <w:rStyle w:val="ac"/>
          <w:sz w:val="28"/>
          <w:vertAlign w:val="baseline"/>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lang w:bidi="ar-AE"/>
        </w:rPr>
        <w:t xml:space="preserve"> محسن كديور، </w:t>
      </w:r>
      <w:r w:rsidRPr="00BB4525">
        <w:rPr>
          <w:rFonts w:hint="eastAsia"/>
          <w:sz w:val="28"/>
          <w:rtl/>
          <w:lang w:bidi="ar-AE"/>
        </w:rPr>
        <w:t>«</w:t>
      </w:r>
      <w:r w:rsidRPr="00BB4525">
        <w:rPr>
          <w:rFonts w:hint="cs"/>
          <w:sz w:val="28"/>
          <w:rtl/>
          <w:lang w:bidi="ar-AE"/>
        </w:rPr>
        <w:t>نظريه هاي دولت در فقه شيعه</w:t>
      </w:r>
      <w:r w:rsidRPr="00BB4525">
        <w:rPr>
          <w:rFonts w:hint="eastAsia"/>
          <w:sz w:val="28"/>
          <w:rtl/>
          <w:lang w:bidi="ar-AE"/>
        </w:rPr>
        <w:t>»</w:t>
      </w:r>
      <w:r w:rsidRPr="00BB4525">
        <w:rPr>
          <w:rFonts w:hint="cs"/>
          <w:sz w:val="28"/>
          <w:rtl/>
          <w:lang w:bidi="ar-AE"/>
        </w:rPr>
        <w:t xml:space="preserve"> (نظريات الحكم في الفقه الشيعي)،</w:t>
      </w:r>
      <w:r w:rsidRPr="00BB4525">
        <w:rPr>
          <w:rFonts w:hint="cs"/>
          <w:sz w:val="28"/>
          <w:rtl/>
        </w:rPr>
        <w:t xml:space="preserve"> ني للنشر، </w:t>
      </w:r>
      <w:r w:rsidRPr="00707BC0">
        <w:rPr>
          <w:rFonts w:hint="cs"/>
          <w:sz w:val="28"/>
          <w:rtl/>
        </w:rPr>
        <w:t>1376</w:t>
      </w:r>
      <w:r w:rsidRPr="00BB4525">
        <w:rPr>
          <w:rFonts w:hint="cs"/>
          <w:sz w:val="28"/>
          <w:rtl/>
        </w:rPr>
        <w:t>.</w:t>
      </w:r>
    </w:p>
  </w:endnote>
  <w:endnote w:id="342">
    <w:p w:rsidR="00F41F33" w:rsidRPr="00BB4525" w:rsidRDefault="00F41F33" w:rsidP="00752155">
      <w:pPr>
        <w:pStyle w:val="affe"/>
        <w:ind w:left="0" w:firstLine="0"/>
        <w:jc w:val="both"/>
        <w:rPr>
          <w:rStyle w:val="ac"/>
          <w:sz w:val="28"/>
          <w:vertAlign w:val="baseline"/>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المصدر نفسه</w:t>
      </w:r>
      <w:r w:rsidRPr="00BB4525">
        <w:rPr>
          <w:rFonts w:hint="cs"/>
          <w:sz w:val="28"/>
          <w:rtl/>
        </w:rPr>
        <w:t>.</w:t>
      </w:r>
    </w:p>
  </w:endnote>
  <w:endnote w:id="343">
    <w:p w:rsidR="00F41F33" w:rsidRPr="00BB4525" w:rsidRDefault="00F41F33" w:rsidP="00752155">
      <w:pPr>
        <w:pStyle w:val="affe"/>
        <w:ind w:left="0" w:firstLine="0"/>
        <w:jc w:val="both"/>
        <w:rPr>
          <w:rStyle w:val="ac"/>
          <w:sz w:val="28"/>
          <w:vertAlign w:val="baseline"/>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 xml:space="preserve">مهدي الحائري، </w:t>
      </w:r>
      <w:r w:rsidRPr="00BB4525">
        <w:rPr>
          <w:rFonts w:hint="eastAsia"/>
          <w:sz w:val="28"/>
          <w:rtl/>
          <w:lang w:bidi="ar-AE"/>
        </w:rPr>
        <w:t>«</w:t>
      </w:r>
      <w:r w:rsidRPr="00BB4525">
        <w:rPr>
          <w:rFonts w:hint="cs"/>
          <w:sz w:val="28"/>
          <w:rtl/>
          <w:lang w:bidi="ar-AE"/>
        </w:rPr>
        <w:t>حكمت و حكومت</w:t>
      </w:r>
      <w:r w:rsidRPr="00BB4525">
        <w:rPr>
          <w:rFonts w:hint="eastAsia"/>
          <w:sz w:val="28"/>
          <w:rtl/>
          <w:lang w:bidi="ar-AE"/>
        </w:rPr>
        <w:t>»</w:t>
      </w:r>
      <w:r w:rsidRPr="00BB4525">
        <w:rPr>
          <w:rFonts w:hint="cs"/>
          <w:sz w:val="28"/>
          <w:rtl/>
          <w:lang w:bidi="ar-AE"/>
        </w:rPr>
        <w:t xml:space="preserve">، </w:t>
      </w:r>
      <w:r w:rsidRPr="00707BC0">
        <w:rPr>
          <w:rFonts w:hint="cs"/>
          <w:sz w:val="28"/>
          <w:rtl/>
          <w:lang w:bidi="ar-AE"/>
        </w:rPr>
        <w:t>1374</w:t>
      </w:r>
      <w:r w:rsidRPr="00BB4525">
        <w:rPr>
          <w:rFonts w:hint="cs"/>
          <w:sz w:val="28"/>
          <w:rtl/>
        </w:rPr>
        <w:t>.</w:t>
      </w:r>
    </w:p>
  </w:endnote>
  <w:endnote w:id="344">
    <w:p w:rsidR="00F41F33" w:rsidRPr="00BB4525" w:rsidRDefault="00F41F33" w:rsidP="00752155">
      <w:pPr>
        <w:pStyle w:val="affe"/>
        <w:ind w:left="0" w:firstLine="0"/>
        <w:jc w:val="both"/>
        <w:rPr>
          <w:sz w:val="28"/>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 xml:space="preserve">العلامة الطباطبائي، تفسير الميزان، </w:t>
      </w:r>
      <w:r w:rsidRPr="00707BC0">
        <w:rPr>
          <w:rFonts w:hint="cs"/>
          <w:sz w:val="28"/>
          <w:rtl/>
          <w:lang w:bidi="ar-AE"/>
        </w:rPr>
        <w:t>5</w:t>
      </w:r>
      <w:r w:rsidRPr="00BB4525">
        <w:rPr>
          <w:rFonts w:hint="cs"/>
          <w:sz w:val="28"/>
          <w:rtl/>
          <w:lang w:bidi="ar-AE"/>
        </w:rPr>
        <w:t xml:space="preserve">: </w:t>
      </w:r>
      <w:r w:rsidRPr="00707BC0">
        <w:rPr>
          <w:rFonts w:hint="cs"/>
          <w:sz w:val="28"/>
          <w:rtl/>
          <w:lang w:bidi="ar-AE"/>
        </w:rPr>
        <w:t>36</w:t>
      </w:r>
      <w:r w:rsidRPr="00BB4525">
        <w:rPr>
          <w:rFonts w:hint="cs"/>
          <w:sz w:val="28"/>
          <w:rtl/>
          <w:lang w:bidi="ar-AE"/>
        </w:rPr>
        <w:t xml:space="preserve"> ـ </w:t>
      </w:r>
      <w:r w:rsidRPr="00707BC0">
        <w:rPr>
          <w:rFonts w:hint="cs"/>
          <w:sz w:val="28"/>
          <w:rtl/>
          <w:lang w:bidi="ar-AE"/>
        </w:rPr>
        <w:t>37</w:t>
      </w:r>
      <w:r w:rsidRPr="00BB4525">
        <w:rPr>
          <w:rFonts w:hint="cs"/>
          <w:sz w:val="28"/>
          <w:rtl/>
          <w:lang w:bidi="ar-AE"/>
        </w:rPr>
        <w:t xml:space="preserve">، مؤسسة العلامة الطباطبائي العلمية والثقافية، </w:t>
      </w:r>
      <w:r w:rsidRPr="00BB4525">
        <w:rPr>
          <w:rFonts w:hint="cs"/>
          <w:sz w:val="28"/>
          <w:rtl/>
        </w:rPr>
        <w:t xml:space="preserve">دار رجاء للنشر والتوزيع الثقافي. ب. ت. [راجع تفسيره لأولي الأمر الواردة في الآية </w:t>
      </w:r>
      <w:r w:rsidRPr="00707BC0">
        <w:rPr>
          <w:rFonts w:hint="cs"/>
          <w:sz w:val="28"/>
          <w:rtl/>
        </w:rPr>
        <w:t>83</w:t>
      </w:r>
      <w:r w:rsidRPr="00BB4525">
        <w:rPr>
          <w:rFonts w:hint="cs"/>
          <w:sz w:val="28"/>
          <w:rtl/>
        </w:rPr>
        <w:t xml:space="preserve"> من سورة النساء: </w:t>
      </w:r>
      <w:r w:rsidRPr="00BB4525">
        <w:rPr>
          <w:rFonts w:ascii="Arial" w:hAnsi="Arial"/>
          <w:sz w:val="28"/>
          <w:rtl/>
        </w:rPr>
        <w:t>﴿</w:t>
      </w:r>
      <w:r w:rsidRPr="00BB4525">
        <w:rPr>
          <w:b/>
          <w:bCs/>
          <w:sz w:val="28"/>
          <w:rtl/>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sidRPr="00BB4525">
        <w:rPr>
          <w:rFonts w:ascii="Arial" w:hAnsi="Arial"/>
          <w:sz w:val="28"/>
          <w:rtl/>
        </w:rPr>
        <w:t>﴾</w:t>
      </w:r>
      <w:r w:rsidRPr="00BB4525">
        <w:rPr>
          <w:rFonts w:hint="cs"/>
          <w:sz w:val="28"/>
          <w:rtl/>
        </w:rPr>
        <w:t>].</w:t>
      </w:r>
    </w:p>
  </w:endnote>
  <w:endnote w:id="345">
    <w:p w:rsidR="00F41F33" w:rsidRPr="00BB4525" w:rsidRDefault="00F41F33" w:rsidP="00752155">
      <w:pPr>
        <w:pStyle w:val="affe"/>
        <w:ind w:left="0" w:firstLine="0"/>
        <w:jc w:val="both"/>
        <w:rPr>
          <w:sz w:val="28"/>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 xml:space="preserve">مهدي الحائري، </w:t>
      </w:r>
      <w:r w:rsidRPr="00BB4525">
        <w:rPr>
          <w:rFonts w:hint="eastAsia"/>
          <w:sz w:val="28"/>
          <w:rtl/>
        </w:rPr>
        <w:t>«</w:t>
      </w:r>
      <w:r w:rsidRPr="00BB4525">
        <w:rPr>
          <w:rFonts w:hint="cs"/>
          <w:sz w:val="28"/>
          <w:rtl/>
          <w:lang w:bidi="ar-AE"/>
        </w:rPr>
        <w:t>حكمت وحكومت</w:t>
      </w:r>
      <w:r w:rsidRPr="00BB4525">
        <w:rPr>
          <w:rFonts w:hint="eastAsia"/>
          <w:sz w:val="28"/>
          <w:rtl/>
        </w:rPr>
        <w:t>»</w:t>
      </w:r>
      <w:r w:rsidRPr="00BB4525">
        <w:rPr>
          <w:rFonts w:hint="cs"/>
          <w:sz w:val="28"/>
          <w:rtl/>
          <w:lang w:bidi="ar-AE"/>
        </w:rPr>
        <w:t xml:space="preserve">، </w:t>
      </w:r>
      <w:r w:rsidRPr="00707BC0">
        <w:rPr>
          <w:rFonts w:hint="cs"/>
          <w:sz w:val="28"/>
          <w:rtl/>
          <w:lang w:bidi="ar-AE"/>
        </w:rPr>
        <w:t>1374</w:t>
      </w:r>
      <w:r w:rsidRPr="00BB4525">
        <w:rPr>
          <w:rFonts w:hint="cs"/>
          <w:sz w:val="28"/>
          <w:rtl/>
          <w:lang w:bidi="ar-AE"/>
        </w:rPr>
        <w:t>.</w:t>
      </w:r>
    </w:p>
  </w:endnote>
  <w:endnote w:id="346">
    <w:p w:rsidR="00F41F33" w:rsidRPr="00BB4525" w:rsidRDefault="00F41F33" w:rsidP="00752155">
      <w:pPr>
        <w:pStyle w:val="affe"/>
        <w:ind w:left="0" w:firstLine="0"/>
        <w:jc w:val="both"/>
        <w:rPr>
          <w:sz w:val="28"/>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المصدر نفسه.</w:t>
      </w:r>
    </w:p>
  </w:endnote>
  <w:endnote w:id="347">
    <w:p w:rsidR="00F41F33" w:rsidRPr="00BB4525" w:rsidRDefault="00F41F33" w:rsidP="00752155">
      <w:pPr>
        <w:pStyle w:val="affe"/>
        <w:ind w:left="0" w:firstLine="0"/>
        <w:jc w:val="both"/>
        <w:rPr>
          <w:sz w:val="28"/>
          <w:rtl/>
        </w:rPr>
      </w:pPr>
      <w:r w:rsidRPr="00BB4525">
        <w:rPr>
          <w:rFonts w:hint="cs"/>
          <w:sz w:val="28"/>
          <w:rtl/>
        </w:rPr>
        <w:t>(</w:t>
      </w:r>
      <w:r w:rsidRPr="00BB4525">
        <w:rPr>
          <w:rStyle w:val="ac"/>
          <w:sz w:val="28"/>
          <w:vertAlign w:val="baseline"/>
        </w:rPr>
        <w:endnoteRef/>
      </w:r>
      <w:r w:rsidRPr="00BB4525">
        <w:rPr>
          <w:rStyle w:val="ac"/>
          <w:rFonts w:hint="cs"/>
          <w:sz w:val="28"/>
          <w:vertAlign w:val="baseline"/>
          <w:rtl/>
        </w:rPr>
        <w:t>)</w:t>
      </w:r>
      <w:r w:rsidRPr="00BB4525">
        <w:rPr>
          <w:rFonts w:hint="cs"/>
          <w:sz w:val="28"/>
          <w:rtl/>
        </w:rPr>
        <w:t xml:space="preserve"> </w:t>
      </w:r>
      <w:r w:rsidRPr="00BB4525">
        <w:rPr>
          <w:rFonts w:hint="cs"/>
          <w:sz w:val="28"/>
          <w:rtl/>
          <w:lang w:bidi="ar-AE"/>
        </w:rPr>
        <w:t xml:space="preserve">كتاب تذكرة الغافل وإرشاد الجاهل، في </w:t>
      </w:r>
      <w:r w:rsidRPr="00BB4525">
        <w:rPr>
          <w:rFonts w:hint="eastAsia"/>
          <w:sz w:val="28"/>
          <w:rtl/>
          <w:lang w:bidi="ar-AE"/>
        </w:rPr>
        <w:t>«</w:t>
      </w:r>
      <w:r w:rsidRPr="00BB4525">
        <w:rPr>
          <w:rFonts w:hint="cs"/>
          <w:sz w:val="28"/>
          <w:rtl/>
          <w:lang w:bidi="ar-AE"/>
        </w:rPr>
        <w:t>الرسائل والبيانات والمدونات والصحف، الشيخ فضل الله النوري</w:t>
      </w:r>
      <w:r w:rsidRPr="00BB4525">
        <w:rPr>
          <w:rFonts w:hint="eastAsia"/>
          <w:sz w:val="28"/>
          <w:rtl/>
          <w:lang w:bidi="ar-AE"/>
        </w:rPr>
        <w:t>»</w:t>
      </w:r>
      <w:r w:rsidRPr="00BB4525">
        <w:rPr>
          <w:rFonts w:hint="cs"/>
          <w:sz w:val="28"/>
          <w:rtl/>
          <w:lang w:bidi="ar-AE"/>
        </w:rPr>
        <w:t xml:space="preserve">، إعداد وتنظيم: محمد تركمان، المجلد الأوّل، مؤسّسة النشاطات الثقافية، </w:t>
      </w:r>
      <w:r w:rsidRPr="00707BC0">
        <w:rPr>
          <w:rFonts w:hint="cs"/>
          <w:sz w:val="28"/>
          <w:rtl/>
          <w:lang w:bidi="ar-AE"/>
        </w:rPr>
        <w:t>1362</w:t>
      </w:r>
      <w:r w:rsidRPr="00BB4525">
        <w:rPr>
          <w:rFonts w:hint="cs"/>
          <w:sz w:val="28"/>
          <w:rtl/>
        </w:rPr>
        <w:t>.</w:t>
      </w:r>
    </w:p>
  </w:endnote>
  <w:endnote w:id="348">
    <w:p w:rsidR="00F41F33" w:rsidRPr="00051230" w:rsidRDefault="00F41F33" w:rsidP="00145E6B">
      <w:pPr>
        <w:pStyle w:val="aa"/>
        <w:spacing w:line="340" w:lineRule="exact"/>
        <w:ind w:firstLine="0"/>
        <w:rPr>
          <w:rFonts w:cs="DanaFajr"/>
          <w:sz w:val="28"/>
          <w:szCs w:val="28"/>
        </w:rPr>
      </w:pPr>
      <w:r w:rsidRPr="00051230">
        <w:rPr>
          <w:rFonts w:cs="DanaFajr"/>
          <w:sz w:val="28"/>
          <w:szCs w:val="28"/>
          <w:rtl/>
        </w:rPr>
        <w:t>(</w:t>
      </w:r>
      <w:r w:rsidRPr="00051230">
        <w:rPr>
          <w:rFonts w:cs="DanaFajr"/>
          <w:sz w:val="28"/>
          <w:szCs w:val="28"/>
        </w:rPr>
        <w:endnoteRef/>
      </w:r>
      <w:r w:rsidRPr="00051230">
        <w:rPr>
          <w:rFonts w:cs="DanaFajr"/>
          <w:sz w:val="28"/>
          <w:szCs w:val="28"/>
          <w:rtl/>
        </w:rPr>
        <w:t>)</w:t>
      </w:r>
      <w:r w:rsidRPr="00051230">
        <w:rPr>
          <w:rFonts w:cs="DanaFajr" w:hint="cs"/>
          <w:sz w:val="28"/>
          <w:szCs w:val="28"/>
          <w:rtl/>
        </w:rPr>
        <w:t xml:space="preserve"> أحمد النراقي، مستند الشيعة 19: 424؛ محمد حسن النجفي، جواهر الكلام 39: 254. </w:t>
      </w:r>
    </w:p>
  </w:endnote>
  <w:endnote w:id="349">
    <w:p w:rsidR="00F41F33" w:rsidRPr="00051230" w:rsidRDefault="00F41F33" w:rsidP="00145E6B">
      <w:pPr>
        <w:pStyle w:val="aa"/>
        <w:spacing w:line="340" w:lineRule="exact"/>
        <w:ind w:firstLine="0"/>
        <w:rPr>
          <w:rFonts w:cs="DanaFajr"/>
          <w:sz w:val="28"/>
          <w:szCs w:val="28"/>
        </w:rPr>
      </w:pPr>
      <w:r w:rsidRPr="00051230">
        <w:rPr>
          <w:rFonts w:cs="DanaFajr"/>
          <w:sz w:val="28"/>
          <w:szCs w:val="28"/>
          <w:rtl/>
        </w:rPr>
        <w:t>(</w:t>
      </w:r>
      <w:r w:rsidRPr="00051230">
        <w:rPr>
          <w:rFonts w:cs="DanaFajr"/>
          <w:sz w:val="28"/>
          <w:szCs w:val="28"/>
        </w:rPr>
        <w:endnoteRef/>
      </w:r>
      <w:r w:rsidRPr="00051230">
        <w:rPr>
          <w:rFonts w:cs="DanaFajr"/>
          <w:sz w:val="28"/>
          <w:szCs w:val="28"/>
          <w:rtl/>
        </w:rPr>
        <w:t>)</w:t>
      </w:r>
      <w:r w:rsidRPr="00051230">
        <w:rPr>
          <w:rFonts w:cs="DanaFajr" w:hint="cs"/>
          <w:sz w:val="28"/>
          <w:szCs w:val="28"/>
          <w:rtl/>
        </w:rPr>
        <w:t xml:space="preserve"> السيوري، </w:t>
      </w:r>
      <w:r w:rsidRPr="00051230">
        <w:rPr>
          <w:rFonts w:cs="DanaFajr"/>
          <w:sz w:val="28"/>
          <w:szCs w:val="28"/>
          <w:rtl/>
        </w:rPr>
        <w:t>كن</w:t>
      </w:r>
      <w:r w:rsidRPr="00051230">
        <w:rPr>
          <w:rFonts w:cs="DanaFajr" w:hint="cs"/>
          <w:sz w:val="28"/>
          <w:szCs w:val="28"/>
          <w:rtl/>
        </w:rPr>
        <w:t>ـ</w:t>
      </w:r>
      <w:r w:rsidRPr="00051230">
        <w:rPr>
          <w:rFonts w:cs="DanaFajr"/>
          <w:sz w:val="28"/>
          <w:szCs w:val="28"/>
          <w:rtl/>
        </w:rPr>
        <w:t xml:space="preserve">ز العرفان </w:t>
      </w:r>
      <w:r w:rsidRPr="00051230">
        <w:rPr>
          <w:rFonts w:ascii="md_ameli" w:hAnsi="md_ameli" w:cs="DanaFajr"/>
          <w:sz w:val="28"/>
          <w:szCs w:val="28"/>
          <w:rtl/>
        </w:rPr>
        <w:t>2: 325</w:t>
      </w:r>
      <w:r w:rsidRPr="00051230">
        <w:rPr>
          <w:rFonts w:ascii="md_ameli" w:hAnsi="md_ameli" w:cs="DanaFajr" w:hint="cs"/>
          <w:sz w:val="28"/>
          <w:szCs w:val="28"/>
          <w:rtl/>
        </w:rPr>
        <w:t>؛ تفسير البيضاوي 1: 342.</w:t>
      </w:r>
    </w:p>
  </w:endnote>
  <w:endnote w:id="350">
    <w:p w:rsidR="00F41F33" w:rsidRPr="00051230" w:rsidRDefault="00F41F33" w:rsidP="00145E6B">
      <w:pPr>
        <w:pStyle w:val="aa"/>
        <w:spacing w:line="340" w:lineRule="exact"/>
        <w:ind w:firstLine="0"/>
        <w:rPr>
          <w:rFonts w:cs="DanaFajr"/>
          <w:sz w:val="28"/>
          <w:szCs w:val="28"/>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لقد جعل المحقِّق الطوسي هذه المرتبة الثالثة من مراتب السبب. [انظر: نصير الدين الطوسي، جواهر الفرائض (مخطوط)؛ مجلّة فقه أهل البيت</w:t>
      </w:r>
      <w:r w:rsidRPr="00496110">
        <w:rPr>
          <w:rFonts w:ascii="Mosawi" w:hAnsi="Mosawi" w:cs="Mosawi"/>
          <w:rtl/>
        </w:rPr>
        <w:t>^</w:t>
      </w:r>
      <w:r w:rsidRPr="00EE3AAF">
        <w:rPr>
          <w:rFonts w:cs="DanaFajr" w:hint="cs"/>
          <w:sz w:val="28"/>
          <w:szCs w:val="28"/>
          <w:rtl/>
        </w:rPr>
        <w:t xml:space="preserve">، العدد </w:t>
      </w:r>
      <w:r w:rsidRPr="00051230">
        <w:rPr>
          <w:rFonts w:cs="DanaFajr" w:hint="cs"/>
          <w:sz w:val="28"/>
          <w:szCs w:val="28"/>
          <w:rtl/>
        </w:rPr>
        <w:t>17</w:t>
      </w:r>
      <w:r w:rsidRPr="00EE3AAF">
        <w:rPr>
          <w:rFonts w:cs="DanaFajr" w:hint="cs"/>
          <w:sz w:val="28"/>
          <w:szCs w:val="28"/>
          <w:rtl/>
        </w:rPr>
        <w:t xml:space="preserve">: </w:t>
      </w:r>
      <w:r w:rsidRPr="00051230">
        <w:rPr>
          <w:rFonts w:cs="DanaFajr" w:hint="cs"/>
          <w:sz w:val="28"/>
          <w:szCs w:val="28"/>
          <w:rtl/>
        </w:rPr>
        <w:t>207</w:t>
      </w:r>
      <w:r w:rsidRPr="00EE3AAF">
        <w:rPr>
          <w:rFonts w:cs="DanaFajr" w:hint="cs"/>
          <w:sz w:val="28"/>
          <w:szCs w:val="28"/>
          <w:rtl/>
        </w:rPr>
        <w:t xml:space="preserve">؛ النجفي، جواهر الكلام </w:t>
      </w:r>
      <w:r w:rsidRPr="00051230">
        <w:rPr>
          <w:rFonts w:cs="DanaFajr" w:hint="cs"/>
          <w:sz w:val="28"/>
          <w:szCs w:val="28"/>
          <w:rtl/>
        </w:rPr>
        <w:t xml:space="preserve">39: 8]. </w:t>
      </w:r>
    </w:p>
  </w:endnote>
  <w:endnote w:id="351">
    <w:p w:rsidR="00F41F33" w:rsidRPr="00EE3AAF" w:rsidRDefault="00F41F33" w:rsidP="00145E6B">
      <w:pPr>
        <w:pStyle w:val="aa"/>
        <w:spacing w:line="340" w:lineRule="exact"/>
        <w:ind w:firstLine="0"/>
        <w:rPr>
          <w:rFonts w:cs="DanaFajr"/>
          <w:sz w:val="28"/>
          <w:szCs w:val="28"/>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لقد جعل المحقّق الطوسي هذه المرتبة الرابعة من مراتب السبب. [انظر: جواهر الفرائض (مخطوط)؛ مجلّة فقه أهل البيت</w:t>
      </w:r>
      <w:r w:rsidRPr="00496110">
        <w:rPr>
          <w:rFonts w:ascii="Mosawi" w:hAnsi="Mosawi" w:cs="Mosawi"/>
          <w:rtl/>
        </w:rPr>
        <w:t>^</w:t>
      </w:r>
      <w:r w:rsidRPr="00EE3AAF">
        <w:rPr>
          <w:rFonts w:cs="DanaFajr" w:hint="cs"/>
          <w:sz w:val="28"/>
          <w:szCs w:val="28"/>
          <w:rtl/>
        </w:rPr>
        <w:t xml:space="preserve">، العدد </w:t>
      </w:r>
      <w:r w:rsidRPr="00051230">
        <w:rPr>
          <w:rFonts w:cs="DanaFajr" w:hint="cs"/>
          <w:sz w:val="28"/>
          <w:szCs w:val="28"/>
          <w:rtl/>
        </w:rPr>
        <w:t>17</w:t>
      </w:r>
      <w:r w:rsidRPr="00EE3AAF">
        <w:rPr>
          <w:rFonts w:cs="DanaFajr" w:hint="cs"/>
          <w:sz w:val="28"/>
          <w:szCs w:val="28"/>
          <w:rtl/>
        </w:rPr>
        <w:t xml:space="preserve">: </w:t>
      </w:r>
      <w:r w:rsidRPr="00051230">
        <w:rPr>
          <w:rFonts w:cs="DanaFajr" w:hint="cs"/>
          <w:sz w:val="28"/>
          <w:szCs w:val="28"/>
          <w:rtl/>
        </w:rPr>
        <w:t>207</w:t>
      </w:r>
      <w:r w:rsidRPr="00EE3AAF">
        <w:rPr>
          <w:rFonts w:cs="DanaFajr" w:hint="cs"/>
          <w:sz w:val="28"/>
          <w:szCs w:val="28"/>
          <w:rtl/>
        </w:rPr>
        <w:t xml:space="preserve">؛ أبو الحسن بن أحمد الأبيوردي، شرح الفرائض النصيرية: </w:t>
      </w:r>
      <w:r w:rsidRPr="00051230">
        <w:rPr>
          <w:rFonts w:cs="DanaFajr" w:hint="cs"/>
          <w:sz w:val="28"/>
          <w:szCs w:val="28"/>
          <w:rtl/>
        </w:rPr>
        <w:t>33</w:t>
      </w:r>
      <w:r w:rsidRPr="00EE3AAF">
        <w:rPr>
          <w:rFonts w:cs="DanaFajr" w:hint="cs"/>
          <w:sz w:val="28"/>
          <w:szCs w:val="28"/>
          <w:rtl/>
        </w:rPr>
        <w:t xml:space="preserve"> ـ </w:t>
      </w:r>
      <w:r w:rsidRPr="00051230">
        <w:rPr>
          <w:rFonts w:cs="DanaFajr" w:hint="cs"/>
          <w:sz w:val="28"/>
          <w:szCs w:val="28"/>
          <w:rtl/>
        </w:rPr>
        <w:t>34</w:t>
      </w:r>
      <w:r w:rsidRPr="00EE3AAF">
        <w:rPr>
          <w:rFonts w:cs="DanaFajr" w:hint="cs"/>
          <w:sz w:val="28"/>
          <w:szCs w:val="28"/>
          <w:rtl/>
        </w:rPr>
        <w:t xml:space="preserve">]. </w:t>
      </w:r>
    </w:p>
  </w:endnote>
  <w:endnote w:id="352">
    <w:p w:rsidR="00F41F33" w:rsidRPr="00EE3AAF" w:rsidRDefault="00F41F33" w:rsidP="00145E6B">
      <w:pPr>
        <w:pStyle w:val="aa"/>
        <w:spacing w:line="340" w:lineRule="exact"/>
        <w:ind w:firstLine="0"/>
        <w:rPr>
          <w:rFonts w:cs="DanaFajr"/>
          <w:sz w:val="28"/>
          <w:szCs w:val="28"/>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 xml:space="preserve">النراقي، مستند الشيعة </w:t>
      </w:r>
      <w:r w:rsidRPr="00051230">
        <w:rPr>
          <w:rFonts w:cs="DanaFajr" w:hint="cs"/>
          <w:sz w:val="28"/>
          <w:szCs w:val="28"/>
          <w:rtl/>
        </w:rPr>
        <w:t>19</w:t>
      </w:r>
      <w:r w:rsidRPr="00EE3AAF">
        <w:rPr>
          <w:rFonts w:cs="DanaFajr" w:hint="cs"/>
          <w:sz w:val="28"/>
          <w:szCs w:val="28"/>
          <w:rtl/>
        </w:rPr>
        <w:t xml:space="preserve">: </w:t>
      </w:r>
      <w:r w:rsidRPr="00051230">
        <w:rPr>
          <w:rFonts w:cs="DanaFajr" w:hint="cs"/>
          <w:sz w:val="28"/>
          <w:szCs w:val="28"/>
          <w:rtl/>
        </w:rPr>
        <w:t>426</w:t>
      </w:r>
      <w:r w:rsidRPr="00EE3AAF">
        <w:rPr>
          <w:rFonts w:cs="DanaFajr" w:hint="cs"/>
          <w:sz w:val="28"/>
          <w:szCs w:val="28"/>
          <w:rtl/>
        </w:rPr>
        <w:t xml:space="preserve">؛ النجفي، جواهر الكلام </w:t>
      </w:r>
      <w:r w:rsidRPr="00051230">
        <w:rPr>
          <w:rFonts w:cs="DanaFajr" w:hint="cs"/>
          <w:sz w:val="28"/>
          <w:szCs w:val="28"/>
          <w:rtl/>
        </w:rPr>
        <w:t>39</w:t>
      </w:r>
      <w:r w:rsidRPr="00EE3AAF">
        <w:rPr>
          <w:rFonts w:cs="DanaFajr" w:hint="cs"/>
          <w:sz w:val="28"/>
          <w:szCs w:val="28"/>
          <w:rtl/>
        </w:rPr>
        <w:t xml:space="preserve">: </w:t>
      </w:r>
      <w:r w:rsidRPr="00051230">
        <w:rPr>
          <w:rFonts w:cs="DanaFajr" w:hint="cs"/>
          <w:sz w:val="28"/>
          <w:szCs w:val="28"/>
          <w:rtl/>
        </w:rPr>
        <w:t>260</w:t>
      </w:r>
      <w:r w:rsidRPr="00EE3AAF">
        <w:rPr>
          <w:rFonts w:cs="DanaFajr" w:hint="cs"/>
          <w:sz w:val="28"/>
          <w:szCs w:val="28"/>
          <w:rtl/>
        </w:rPr>
        <w:t xml:space="preserve">. </w:t>
      </w:r>
    </w:p>
  </w:endnote>
  <w:endnote w:id="353">
    <w:p w:rsidR="00F41F33" w:rsidRPr="00051230" w:rsidRDefault="00F41F33" w:rsidP="00145E6B">
      <w:pPr>
        <w:pStyle w:val="aa"/>
        <w:spacing w:line="340" w:lineRule="exact"/>
        <w:ind w:firstLine="0"/>
        <w:rPr>
          <w:rFonts w:cs="DanaFajr"/>
          <w:sz w:val="28"/>
          <w:szCs w:val="28"/>
        </w:rPr>
      </w:pPr>
      <w:r w:rsidRPr="00051230">
        <w:rPr>
          <w:rFonts w:cs="DanaFajr"/>
          <w:sz w:val="28"/>
          <w:szCs w:val="28"/>
          <w:rtl/>
        </w:rPr>
        <w:t>(</w:t>
      </w:r>
      <w:r w:rsidRPr="00051230">
        <w:rPr>
          <w:rFonts w:cs="DanaFajr"/>
          <w:sz w:val="28"/>
          <w:szCs w:val="28"/>
        </w:rPr>
        <w:endnoteRef/>
      </w:r>
      <w:r w:rsidRPr="00051230">
        <w:rPr>
          <w:rFonts w:cs="DanaFajr"/>
          <w:sz w:val="28"/>
          <w:szCs w:val="28"/>
          <w:rtl/>
        </w:rPr>
        <w:t xml:space="preserve">) </w:t>
      </w:r>
      <w:r w:rsidRPr="00051230">
        <w:rPr>
          <w:rFonts w:cs="DanaFajr" w:hint="cs"/>
          <w:sz w:val="28"/>
          <w:szCs w:val="28"/>
          <w:rtl/>
        </w:rPr>
        <w:t xml:space="preserve">انظر: جمعة محمد محمد برّاج، أحكام الميراث في الشريعة الإسلامية: 175 ـ 196. </w:t>
      </w:r>
    </w:p>
  </w:endnote>
  <w:endnote w:id="354">
    <w:p w:rsidR="00F41F33" w:rsidRPr="00051230" w:rsidRDefault="00F41F33" w:rsidP="00145E6B">
      <w:pPr>
        <w:pStyle w:val="aa"/>
        <w:spacing w:line="340" w:lineRule="exact"/>
        <w:ind w:firstLine="0"/>
        <w:rPr>
          <w:rFonts w:cs="DanaFajr"/>
          <w:sz w:val="28"/>
          <w:szCs w:val="28"/>
        </w:rPr>
      </w:pPr>
      <w:r w:rsidRPr="00051230">
        <w:rPr>
          <w:rFonts w:cs="DanaFajr"/>
          <w:sz w:val="28"/>
          <w:szCs w:val="28"/>
          <w:rtl/>
        </w:rPr>
        <w:t>(</w:t>
      </w:r>
      <w:r w:rsidRPr="00051230">
        <w:rPr>
          <w:rFonts w:cs="DanaFajr"/>
          <w:sz w:val="28"/>
          <w:szCs w:val="28"/>
        </w:rPr>
        <w:endnoteRef/>
      </w:r>
      <w:r w:rsidRPr="00051230">
        <w:rPr>
          <w:rFonts w:cs="DanaFajr"/>
          <w:sz w:val="28"/>
          <w:szCs w:val="28"/>
          <w:rtl/>
        </w:rPr>
        <w:t xml:space="preserve">) </w:t>
      </w:r>
      <w:r w:rsidRPr="00051230">
        <w:rPr>
          <w:rFonts w:cs="DanaFajr" w:hint="cs"/>
          <w:sz w:val="28"/>
          <w:szCs w:val="28"/>
          <w:rtl/>
        </w:rPr>
        <w:t xml:space="preserve">النجفي، جواهر الكلام 39: 232. </w:t>
      </w:r>
    </w:p>
  </w:endnote>
  <w:endnote w:id="355">
    <w:p w:rsidR="00F41F33" w:rsidRPr="00051230" w:rsidRDefault="00F41F33" w:rsidP="00145E6B">
      <w:pPr>
        <w:pStyle w:val="aa"/>
        <w:spacing w:line="340" w:lineRule="exact"/>
        <w:ind w:firstLine="0"/>
        <w:rPr>
          <w:rFonts w:cs="DanaFajr"/>
          <w:sz w:val="28"/>
          <w:szCs w:val="28"/>
        </w:rPr>
      </w:pPr>
      <w:r w:rsidRPr="00051230">
        <w:rPr>
          <w:rFonts w:cs="DanaFajr"/>
          <w:sz w:val="28"/>
          <w:szCs w:val="28"/>
          <w:rtl/>
        </w:rPr>
        <w:t>(</w:t>
      </w:r>
      <w:r w:rsidRPr="00051230">
        <w:rPr>
          <w:rFonts w:cs="DanaFajr"/>
          <w:sz w:val="28"/>
          <w:szCs w:val="28"/>
        </w:rPr>
        <w:endnoteRef/>
      </w:r>
      <w:r w:rsidRPr="00051230">
        <w:rPr>
          <w:rFonts w:cs="DanaFajr"/>
          <w:sz w:val="28"/>
          <w:szCs w:val="28"/>
          <w:rtl/>
        </w:rPr>
        <w:t xml:space="preserve">) </w:t>
      </w:r>
      <w:r w:rsidRPr="00051230">
        <w:rPr>
          <w:rFonts w:cs="DanaFajr" w:hint="cs"/>
          <w:sz w:val="28"/>
          <w:szCs w:val="28"/>
          <w:rtl/>
        </w:rPr>
        <w:t>النراقي، مستند الشيعة 19: 402. وانظر: الإمام يحيی بن الحسين، الأحكام 2: 372؛ الإمام</w:t>
      </w:r>
      <w:r w:rsidRPr="00EE3AAF">
        <w:rPr>
          <w:rFonts w:cs="DanaFajr" w:hint="cs"/>
          <w:sz w:val="28"/>
          <w:szCs w:val="28"/>
          <w:rtl/>
        </w:rPr>
        <w:t xml:space="preserve"> </w:t>
      </w:r>
      <w:r w:rsidRPr="00051230">
        <w:rPr>
          <w:rFonts w:cs="DanaFajr" w:hint="cs"/>
          <w:sz w:val="28"/>
          <w:szCs w:val="28"/>
          <w:rtl/>
        </w:rPr>
        <w:t>أحمد المرتضی، شرح الأزهار 3: 67، 605؛ محمد بن إدريس الشافعي، كتاب الأمّ 3: 19؛ 4: 54؛</w:t>
      </w:r>
      <w:r w:rsidRPr="00EE3AAF">
        <w:rPr>
          <w:rFonts w:cs="DanaFajr" w:hint="cs"/>
          <w:sz w:val="28"/>
          <w:szCs w:val="28"/>
          <w:rtl/>
        </w:rPr>
        <w:t xml:space="preserve"> </w:t>
      </w:r>
      <w:r w:rsidRPr="00051230">
        <w:rPr>
          <w:rFonts w:cs="DanaFajr" w:hint="cs"/>
          <w:sz w:val="28"/>
          <w:szCs w:val="28"/>
          <w:rtl/>
        </w:rPr>
        <w:t>مختصر المزني: 192، 321؛ محيي الدين النووي، المجموع 9: 363؛ الإمام مالك بن أنس، المدوّنة</w:t>
      </w:r>
      <w:r w:rsidRPr="00EE3AAF">
        <w:rPr>
          <w:rFonts w:cs="DanaFajr" w:hint="cs"/>
          <w:sz w:val="28"/>
          <w:szCs w:val="28"/>
          <w:rtl/>
        </w:rPr>
        <w:t xml:space="preserve"> </w:t>
      </w:r>
      <w:r w:rsidRPr="00051230">
        <w:rPr>
          <w:rFonts w:cs="DanaFajr" w:hint="cs"/>
          <w:sz w:val="28"/>
          <w:szCs w:val="28"/>
          <w:rtl/>
        </w:rPr>
        <w:t>الكبری 3: 254؛ السرخسي، المبسوط 8: 98؛ الكاشاني، بدائع الصنائع 4: 49؛ الحصفكي، الدرّ</w:t>
      </w:r>
      <w:r w:rsidRPr="00EE3AAF">
        <w:rPr>
          <w:rFonts w:cs="DanaFajr" w:hint="cs"/>
          <w:sz w:val="28"/>
          <w:szCs w:val="28"/>
          <w:rtl/>
        </w:rPr>
        <w:t xml:space="preserve"> </w:t>
      </w:r>
      <w:r w:rsidRPr="00051230">
        <w:rPr>
          <w:rFonts w:cs="DanaFajr" w:hint="cs"/>
          <w:sz w:val="28"/>
          <w:szCs w:val="28"/>
          <w:rtl/>
        </w:rPr>
        <w:t>المختار 4: 705؛ ابن عابدين، حاشية ردّ المحتار 4: 705؛ ابن قدامة، المغني 4: 287؛ ابن حزم،</w:t>
      </w:r>
      <w:r w:rsidRPr="00EE3AAF">
        <w:rPr>
          <w:rFonts w:cs="DanaFajr" w:hint="cs"/>
          <w:sz w:val="28"/>
          <w:szCs w:val="28"/>
          <w:rtl/>
        </w:rPr>
        <w:t xml:space="preserve"> </w:t>
      </w:r>
      <w:r w:rsidRPr="00051230">
        <w:rPr>
          <w:rFonts w:cs="DanaFajr" w:hint="cs"/>
          <w:sz w:val="28"/>
          <w:szCs w:val="28"/>
          <w:rtl/>
        </w:rPr>
        <w:t xml:space="preserve">المحلّی 6: 150؛ ابن رشد، بداية المجتهد 2: 294. </w:t>
      </w:r>
    </w:p>
  </w:endnote>
  <w:endnote w:id="356">
    <w:p w:rsidR="00F41F33" w:rsidRPr="00051230" w:rsidRDefault="00F41F33" w:rsidP="00145E6B">
      <w:pPr>
        <w:pStyle w:val="aa"/>
        <w:spacing w:line="340" w:lineRule="exact"/>
        <w:ind w:firstLine="0"/>
        <w:rPr>
          <w:rFonts w:cs="DanaFajr"/>
          <w:sz w:val="28"/>
          <w:szCs w:val="28"/>
        </w:rPr>
      </w:pPr>
      <w:r w:rsidRPr="00051230">
        <w:rPr>
          <w:rFonts w:cs="DanaFajr"/>
          <w:sz w:val="28"/>
          <w:szCs w:val="28"/>
          <w:rtl/>
        </w:rPr>
        <w:t>(</w:t>
      </w:r>
      <w:r w:rsidRPr="00051230">
        <w:rPr>
          <w:rFonts w:cs="DanaFajr"/>
          <w:sz w:val="28"/>
          <w:szCs w:val="28"/>
        </w:rPr>
        <w:endnoteRef/>
      </w:r>
      <w:r w:rsidRPr="00051230">
        <w:rPr>
          <w:rFonts w:cs="DanaFajr"/>
          <w:sz w:val="28"/>
          <w:szCs w:val="28"/>
          <w:rtl/>
        </w:rPr>
        <w:t xml:space="preserve">) </w:t>
      </w:r>
      <w:r w:rsidRPr="00051230">
        <w:rPr>
          <w:rFonts w:cs="DanaFajr" w:hint="cs"/>
          <w:sz w:val="28"/>
          <w:szCs w:val="28"/>
          <w:rtl/>
        </w:rPr>
        <w:t xml:space="preserve">الراوندي، فقه القرآن 2: 214. </w:t>
      </w:r>
    </w:p>
  </w:endnote>
  <w:endnote w:id="357">
    <w:p w:rsidR="00F41F33" w:rsidRPr="00051230" w:rsidRDefault="00F41F33" w:rsidP="00145E6B">
      <w:pPr>
        <w:pStyle w:val="aa"/>
        <w:spacing w:line="340" w:lineRule="exact"/>
        <w:ind w:firstLine="0"/>
        <w:rPr>
          <w:rFonts w:cs="DanaFajr"/>
          <w:sz w:val="28"/>
          <w:szCs w:val="28"/>
        </w:rPr>
      </w:pPr>
      <w:r w:rsidRPr="00051230">
        <w:rPr>
          <w:rFonts w:cs="DanaFajr"/>
          <w:sz w:val="28"/>
          <w:szCs w:val="28"/>
          <w:rtl/>
        </w:rPr>
        <w:t>(</w:t>
      </w:r>
      <w:r w:rsidRPr="00051230">
        <w:rPr>
          <w:rFonts w:cs="DanaFajr"/>
          <w:sz w:val="28"/>
          <w:szCs w:val="28"/>
        </w:rPr>
        <w:endnoteRef/>
      </w:r>
      <w:r w:rsidRPr="00051230">
        <w:rPr>
          <w:rFonts w:cs="DanaFajr"/>
          <w:sz w:val="28"/>
          <w:szCs w:val="28"/>
          <w:rtl/>
        </w:rPr>
        <w:t xml:space="preserve">) </w:t>
      </w:r>
      <w:r w:rsidRPr="00051230">
        <w:rPr>
          <w:rFonts w:cs="DanaFajr" w:hint="cs"/>
          <w:sz w:val="28"/>
          <w:szCs w:val="28"/>
          <w:rtl/>
        </w:rPr>
        <w:t xml:space="preserve">المصدر السابق 2: 328. </w:t>
      </w:r>
    </w:p>
  </w:endnote>
  <w:endnote w:id="358">
    <w:p w:rsidR="00F41F33" w:rsidRPr="00051230" w:rsidRDefault="00F41F33" w:rsidP="00145E6B">
      <w:pPr>
        <w:pStyle w:val="aa"/>
        <w:spacing w:line="340" w:lineRule="exact"/>
        <w:ind w:firstLine="0"/>
        <w:rPr>
          <w:rFonts w:cs="DanaFajr"/>
          <w:sz w:val="28"/>
          <w:szCs w:val="28"/>
        </w:rPr>
      </w:pPr>
      <w:r w:rsidRPr="00051230">
        <w:rPr>
          <w:rFonts w:cs="DanaFajr"/>
          <w:sz w:val="28"/>
          <w:szCs w:val="28"/>
          <w:rtl/>
        </w:rPr>
        <w:t>(</w:t>
      </w:r>
      <w:r w:rsidRPr="00051230">
        <w:rPr>
          <w:rFonts w:cs="DanaFajr"/>
          <w:sz w:val="28"/>
          <w:szCs w:val="28"/>
        </w:rPr>
        <w:endnoteRef/>
      </w:r>
      <w:r w:rsidRPr="00051230">
        <w:rPr>
          <w:rFonts w:cs="DanaFajr"/>
          <w:sz w:val="28"/>
          <w:szCs w:val="28"/>
          <w:rtl/>
        </w:rPr>
        <w:t xml:space="preserve">) </w:t>
      </w:r>
      <w:r w:rsidRPr="00051230">
        <w:rPr>
          <w:rFonts w:cs="DanaFajr" w:hint="cs"/>
          <w:sz w:val="28"/>
          <w:szCs w:val="28"/>
          <w:rtl/>
        </w:rPr>
        <w:t>فخر المحقِّقين، إيضاح الفوائد 3: 522؛ الإمام أحمد المرتضی، شرح الأزهار 3: 605. وانظر:</w:t>
      </w:r>
      <w:r w:rsidRPr="00EE3AAF">
        <w:rPr>
          <w:rFonts w:cs="DanaFajr" w:hint="cs"/>
          <w:sz w:val="28"/>
          <w:szCs w:val="28"/>
          <w:rtl/>
        </w:rPr>
        <w:t xml:space="preserve"> </w:t>
      </w:r>
      <w:r w:rsidRPr="00051230">
        <w:rPr>
          <w:rFonts w:cs="DanaFajr" w:hint="cs"/>
          <w:sz w:val="28"/>
          <w:szCs w:val="28"/>
          <w:rtl/>
        </w:rPr>
        <w:t>عبد الله بن قدامة المقدسي، المغني 7: 238؛ عبد الرحمن بن قدامة المقدسي، الشرح الكبير 7:</w:t>
      </w:r>
      <w:r w:rsidRPr="00EE3AAF">
        <w:rPr>
          <w:rFonts w:cs="DanaFajr" w:hint="cs"/>
          <w:sz w:val="28"/>
          <w:szCs w:val="28"/>
          <w:rtl/>
        </w:rPr>
        <w:t xml:space="preserve"> </w:t>
      </w:r>
      <w:r w:rsidRPr="00051230">
        <w:rPr>
          <w:rFonts w:cs="DanaFajr" w:hint="cs"/>
          <w:sz w:val="28"/>
          <w:szCs w:val="28"/>
          <w:rtl/>
        </w:rPr>
        <w:t xml:space="preserve">238؛ البهوتي، كشّاف القناع 4: 597. </w:t>
      </w:r>
    </w:p>
  </w:endnote>
  <w:endnote w:id="359">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انظر: الجرجاني، آيات الأحكام 2: 566 ـ 570، الهامش للإشراقي. </w:t>
      </w:r>
    </w:p>
  </w:endnote>
  <w:endnote w:id="360">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انظر: الكيا الهرّاسي، أحكام القرآن 2: 445. </w:t>
      </w:r>
    </w:p>
  </w:endnote>
  <w:endnote w:id="361">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انظر: أحمد بن علي الرازي الجصّاص، </w:t>
      </w:r>
      <w:r w:rsidRPr="005173C2">
        <w:rPr>
          <w:rFonts w:ascii="md_ameli" w:hAnsi="md_ameli" w:cs="DanaFajr"/>
          <w:sz w:val="28"/>
          <w:szCs w:val="28"/>
          <w:rtl/>
        </w:rPr>
        <w:t>أحكام القرآن</w:t>
      </w:r>
      <w:r w:rsidRPr="005173C2">
        <w:rPr>
          <w:rFonts w:cs="DanaFajr" w:hint="cs"/>
          <w:sz w:val="28"/>
          <w:szCs w:val="28"/>
          <w:rtl/>
        </w:rPr>
        <w:t xml:space="preserve"> 2: 262. </w:t>
      </w:r>
    </w:p>
  </w:endnote>
  <w:endnote w:id="362">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انظر: الجرجاني، آيات الأحكام 2: 566 ـ 570، الهامش للإشراقي. وانظر: الكيا الهرّاسي،</w:t>
      </w:r>
      <w:r w:rsidRPr="00EE3AAF">
        <w:rPr>
          <w:rFonts w:cs="DanaFajr" w:hint="cs"/>
          <w:sz w:val="28"/>
          <w:szCs w:val="28"/>
          <w:rtl/>
        </w:rPr>
        <w:t xml:space="preserve"> </w:t>
      </w:r>
      <w:r w:rsidRPr="005173C2">
        <w:rPr>
          <w:rFonts w:cs="DanaFajr" w:hint="cs"/>
          <w:sz w:val="28"/>
          <w:szCs w:val="28"/>
          <w:rtl/>
        </w:rPr>
        <w:t xml:space="preserve">أحكام القرآن 2: 445. </w:t>
      </w:r>
    </w:p>
  </w:endnote>
  <w:endnote w:id="363">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انظر: جار الله الزمخشري، الكشّاف 3: 250؛ الفضل بن الحسن الطبرسي، </w:t>
      </w:r>
      <w:r w:rsidRPr="005173C2">
        <w:rPr>
          <w:rFonts w:ascii="md_ameli" w:hAnsi="md_ameli" w:cs="DanaFajr"/>
          <w:sz w:val="28"/>
          <w:szCs w:val="28"/>
          <w:rtl/>
        </w:rPr>
        <w:t>م</w:t>
      </w:r>
      <w:r w:rsidRPr="005173C2">
        <w:rPr>
          <w:rFonts w:ascii="md_ameli" w:hAnsi="md_ameli" w:cs="DanaFajr" w:hint="cs"/>
          <w:sz w:val="28"/>
          <w:szCs w:val="28"/>
          <w:rtl/>
        </w:rPr>
        <w:t>جمع البيان</w:t>
      </w:r>
      <w:r w:rsidRPr="005173C2">
        <w:rPr>
          <w:rFonts w:cs="DanaFajr" w:hint="cs"/>
          <w:sz w:val="28"/>
          <w:szCs w:val="28"/>
          <w:rtl/>
        </w:rPr>
        <w:t xml:space="preserve"> 8:</w:t>
      </w:r>
      <w:r w:rsidRPr="00EE3AAF">
        <w:rPr>
          <w:rFonts w:cs="DanaFajr" w:hint="cs"/>
          <w:sz w:val="28"/>
          <w:szCs w:val="28"/>
          <w:rtl/>
        </w:rPr>
        <w:t xml:space="preserve"> </w:t>
      </w:r>
      <w:r w:rsidRPr="005173C2">
        <w:rPr>
          <w:rFonts w:cs="DanaFajr" w:hint="cs"/>
          <w:sz w:val="28"/>
          <w:szCs w:val="28"/>
          <w:rtl/>
        </w:rPr>
        <w:t>119؛ الفيض الكاشاني، التفسير الأصفی 2: 982؛ الفيض الكاشاني، التفسير الصافي 4: 164؛ 6:</w:t>
      </w:r>
      <w:r w:rsidRPr="00EE3AAF">
        <w:rPr>
          <w:rFonts w:cs="DanaFajr" w:hint="cs"/>
          <w:sz w:val="28"/>
          <w:szCs w:val="28"/>
          <w:rtl/>
        </w:rPr>
        <w:t xml:space="preserve"> </w:t>
      </w:r>
      <w:r w:rsidRPr="005173C2">
        <w:rPr>
          <w:rFonts w:cs="DanaFajr" w:hint="cs"/>
          <w:sz w:val="28"/>
          <w:szCs w:val="28"/>
          <w:rtl/>
        </w:rPr>
        <w:t>11؛ محمد حسين الطباطبائي، تفسير الميزان 16: 275 ـ 276؛ تفسير عبد الله شُبَّر: 397؛ تفسير</w:t>
      </w:r>
      <w:r w:rsidRPr="00EE3AAF">
        <w:rPr>
          <w:rFonts w:cs="DanaFajr" w:hint="cs"/>
          <w:sz w:val="28"/>
          <w:szCs w:val="28"/>
          <w:rtl/>
        </w:rPr>
        <w:t xml:space="preserve"> </w:t>
      </w:r>
      <w:r w:rsidRPr="005173C2">
        <w:rPr>
          <w:rFonts w:cs="DanaFajr" w:hint="cs"/>
          <w:sz w:val="28"/>
          <w:szCs w:val="28"/>
          <w:rtl/>
        </w:rPr>
        <w:t>النسفي 3: 296؛ تفسير البيضاوي 4: 364؛ الشوكاني، فتح القدير 4: 261؛ السعدي، تيسير الكريم</w:t>
      </w:r>
      <w:r w:rsidRPr="00EE3AAF">
        <w:rPr>
          <w:rFonts w:cs="DanaFajr" w:hint="cs"/>
          <w:sz w:val="28"/>
          <w:szCs w:val="28"/>
          <w:rtl/>
        </w:rPr>
        <w:t xml:space="preserve"> </w:t>
      </w:r>
      <w:r w:rsidRPr="005173C2">
        <w:rPr>
          <w:rFonts w:cs="DanaFajr" w:hint="cs"/>
          <w:sz w:val="28"/>
          <w:szCs w:val="28"/>
          <w:rtl/>
        </w:rPr>
        <w:t xml:space="preserve">الرحمن: 658. </w:t>
      </w:r>
    </w:p>
  </w:endnote>
  <w:endnote w:id="364">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انظر: الشافعي، كتاب الأمّ 4: 81؛ وانظر: 6: 201. </w:t>
      </w:r>
    </w:p>
  </w:endnote>
  <w:endnote w:id="365">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انظر: الزمخشري، الكشّاف 3: 250؛ الطبرسي، </w:t>
      </w:r>
      <w:r w:rsidRPr="005173C2">
        <w:rPr>
          <w:rFonts w:ascii="md_ameli" w:hAnsi="md_ameli" w:cs="DanaFajr"/>
          <w:sz w:val="28"/>
          <w:szCs w:val="28"/>
          <w:rtl/>
        </w:rPr>
        <w:t>م</w:t>
      </w:r>
      <w:r w:rsidRPr="005173C2">
        <w:rPr>
          <w:rFonts w:ascii="md_ameli" w:hAnsi="md_ameli" w:cs="DanaFajr" w:hint="cs"/>
          <w:sz w:val="28"/>
          <w:szCs w:val="28"/>
          <w:rtl/>
        </w:rPr>
        <w:t>جمع البيان</w:t>
      </w:r>
      <w:r w:rsidRPr="005173C2">
        <w:rPr>
          <w:rFonts w:cs="DanaFajr" w:hint="cs"/>
          <w:sz w:val="28"/>
          <w:szCs w:val="28"/>
          <w:rtl/>
        </w:rPr>
        <w:t xml:space="preserve"> 8: 119؛ الفيض الكاشاني،</w:t>
      </w:r>
      <w:r w:rsidRPr="00EE3AAF">
        <w:rPr>
          <w:rFonts w:cs="DanaFajr" w:hint="cs"/>
          <w:sz w:val="28"/>
          <w:szCs w:val="28"/>
          <w:rtl/>
        </w:rPr>
        <w:t xml:space="preserve"> </w:t>
      </w:r>
      <w:r w:rsidRPr="005173C2">
        <w:rPr>
          <w:rFonts w:cs="DanaFajr" w:hint="cs"/>
          <w:sz w:val="28"/>
          <w:szCs w:val="28"/>
          <w:rtl/>
        </w:rPr>
        <w:t>التفسير الأصفی 2: 982؛ الفيض الكاشاني، التفسير الصافي 4: 164؛ 6: 11؛ الطباطبائي، تفسير</w:t>
      </w:r>
      <w:r w:rsidRPr="00EE3AAF">
        <w:rPr>
          <w:rFonts w:cs="DanaFajr" w:hint="cs"/>
          <w:sz w:val="28"/>
          <w:szCs w:val="28"/>
          <w:rtl/>
        </w:rPr>
        <w:t xml:space="preserve"> </w:t>
      </w:r>
      <w:r w:rsidRPr="005173C2">
        <w:rPr>
          <w:rFonts w:cs="DanaFajr" w:hint="cs"/>
          <w:sz w:val="28"/>
          <w:szCs w:val="28"/>
          <w:rtl/>
        </w:rPr>
        <w:t>الميزان 16: 275 ـ 276؛ تفسير شُبَّر: 397؛ تفسير النسفي 3: 296؛ تفسير البيضاوي 4: 364؛</w:t>
      </w:r>
      <w:r w:rsidRPr="00EE3AAF">
        <w:rPr>
          <w:rFonts w:cs="DanaFajr" w:hint="cs"/>
          <w:sz w:val="28"/>
          <w:szCs w:val="28"/>
          <w:rtl/>
        </w:rPr>
        <w:t xml:space="preserve"> </w:t>
      </w:r>
      <w:r w:rsidRPr="005173C2">
        <w:rPr>
          <w:rFonts w:cs="DanaFajr" w:hint="cs"/>
          <w:sz w:val="28"/>
          <w:szCs w:val="28"/>
          <w:rtl/>
        </w:rPr>
        <w:t xml:space="preserve">الشوكاني، فتح القدير 4: 261؛ السعدي، تيسير الكريم الرحمن: 658. </w:t>
      </w:r>
    </w:p>
  </w:endnote>
  <w:endnote w:id="366">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انظر: الزمخشري، الكشّاف 3: 250؛ الطبرسي، </w:t>
      </w:r>
      <w:r w:rsidRPr="005173C2">
        <w:rPr>
          <w:rFonts w:ascii="md_ameli" w:hAnsi="md_ameli" w:cs="DanaFajr"/>
          <w:sz w:val="28"/>
          <w:szCs w:val="28"/>
          <w:rtl/>
        </w:rPr>
        <w:t>م</w:t>
      </w:r>
      <w:r w:rsidRPr="005173C2">
        <w:rPr>
          <w:rFonts w:ascii="md_ameli" w:hAnsi="md_ameli" w:cs="DanaFajr" w:hint="cs"/>
          <w:sz w:val="28"/>
          <w:szCs w:val="28"/>
          <w:rtl/>
        </w:rPr>
        <w:t>جمع البيان</w:t>
      </w:r>
      <w:r w:rsidRPr="005173C2">
        <w:rPr>
          <w:rFonts w:cs="DanaFajr" w:hint="cs"/>
          <w:sz w:val="28"/>
          <w:szCs w:val="28"/>
          <w:rtl/>
        </w:rPr>
        <w:t xml:space="preserve"> 8: 119؛ الفيض الكاشاني،</w:t>
      </w:r>
      <w:r w:rsidRPr="00EE3AAF">
        <w:rPr>
          <w:rFonts w:cs="DanaFajr" w:hint="cs"/>
          <w:sz w:val="28"/>
          <w:szCs w:val="28"/>
          <w:rtl/>
        </w:rPr>
        <w:t xml:space="preserve"> </w:t>
      </w:r>
      <w:r w:rsidRPr="005173C2">
        <w:rPr>
          <w:rFonts w:cs="DanaFajr" w:hint="cs"/>
          <w:sz w:val="28"/>
          <w:szCs w:val="28"/>
          <w:rtl/>
        </w:rPr>
        <w:t>التفسير الأصفی 2: 982؛ الفيض الكاشاني، التفسير الصافي 4: 164؛ 6: 11؛ الطباطبائي، تفسير</w:t>
      </w:r>
      <w:r w:rsidRPr="00EE3AAF">
        <w:rPr>
          <w:rFonts w:cs="DanaFajr" w:hint="cs"/>
          <w:sz w:val="28"/>
          <w:szCs w:val="28"/>
          <w:rtl/>
        </w:rPr>
        <w:t xml:space="preserve"> </w:t>
      </w:r>
      <w:r w:rsidRPr="005173C2">
        <w:rPr>
          <w:rFonts w:cs="DanaFajr" w:hint="cs"/>
          <w:sz w:val="28"/>
          <w:szCs w:val="28"/>
          <w:rtl/>
        </w:rPr>
        <w:t>الميزان 16: 275 ـ 276؛ تفسير شُبَّر: 397؛ تفسير النسفي 3: 296؛ تفسير البيضاوي 4: 364؛</w:t>
      </w:r>
      <w:r w:rsidRPr="00EE3AAF">
        <w:rPr>
          <w:rFonts w:cs="DanaFajr" w:hint="cs"/>
          <w:sz w:val="28"/>
          <w:szCs w:val="28"/>
          <w:rtl/>
        </w:rPr>
        <w:t xml:space="preserve"> </w:t>
      </w:r>
      <w:r w:rsidRPr="005173C2">
        <w:rPr>
          <w:rFonts w:cs="DanaFajr" w:hint="cs"/>
          <w:sz w:val="28"/>
          <w:szCs w:val="28"/>
          <w:rtl/>
        </w:rPr>
        <w:t xml:space="preserve">الشوكاني، فتح القدير 4: 261؛ السعدي، تيسير الكريم الرحمن: 658. </w:t>
      </w:r>
    </w:p>
  </w:endnote>
  <w:endnote w:id="367">
    <w:p w:rsidR="00F41F33" w:rsidRPr="005173C2" w:rsidRDefault="00F41F33" w:rsidP="00145E6B">
      <w:pPr>
        <w:pStyle w:val="aa"/>
        <w:spacing w:line="340" w:lineRule="exact"/>
        <w:ind w:firstLine="0"/>
        <w:rPr>
          <w:rFonts w:cs="DanaFajr"/>
          <w:sz w:val="28"/>
          <w:szCs w:val="28"/>
          <w:rtl/>
        </w:rPr>
      </w:pPr>
      <w:r w:rsidRPr="005173C2">
        <w:rPr>
          <w:rFonts w:cs="DanaFajr" w:hint="cs"/>
          <w:sz w:val="28"/>
          <w:szCs w:val="28"/>
          <w:rtl/>
        </w:rPr>
        <w:t>(</w:t>
      </w:r>
      <w:r w:rsidRPr="005173C2">
        <w:rPr>
          <w:rFonts w:cs="DanaFajr"/>
          <w:sz w:val="28"/>
          <w:szCs w:val="28"/>
        </w:rPr>
        <w:endnoteRef/>
      </w:r>
      <w:r w:rsidRPr="005173C2">
        <w:rPr>
          <w:rFonts w:cs="DanaFajr" w:hint="cs"/>
          <w:sz w:val="28"/>
          <w:szCs w:val="28"/>
          <w:rtl/>
        </w:rPr>
        <w:t>) أحمد الأردبيلي، زبدة البيان:</w:t>
      </w:r>
      <w:r w:rsidRPr="005173C2">
        <w:rPr>
          <w:rFonts w:ascii="md_ameli" w:hAnsi="md_ameli" w:cs="DanaFajr" w:hint="cs"/>
          <w:sz w:val="28"/>
          <w:szCs w:val="28"/>
          <w:rtl/>
        </w:rPr>
        <w:t xml:space="preserve"> 810 ـ 811. </w:t>
      </w:r>
    </w:p>
  </w:endnote>
  <w:endnote w:id="368">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w:t>
      </w:r>
      <w:r w:rsidRPr="005173C2">
        <w:rPr>
          <w:rFonts w:cs="DanaFajr" w:hint="cs"/>
          <w:sz w:val="28"/>
          <w:szCs w:val="28"/>
          <w:rtl/>
        </w:rPr>
        <w:t xml:space="preserve"> علي الطباطبائي العاملي، رياض المسائل 12: 596؛ النراقي، مستند الشيعة 19: 402؛</w:t>
      </w:r>
      <w:r w:rsidRPr="00EE3AAF">
        <w:rPr>
          <w:rFonts w:cs="DanaFajr" w:hint="cs"/>
          <w:sz w:val="28"/>
          <w:szCs w:val="28"/>
          <w:rtl/>
        </w:rPr>
        <w:t xml:space="preserve"> </w:t>
      </w:r>
      <w:r w:rsidRPr="005173C2">
        <w:rPr>
          <w:rFonts w:cs="DanaFajr" w:hint="cs"/>
          <w:sz w:val="28"/>
          <w:szCs w:val="28"/>
          <w:rtl/>
        </w:rPr>
        <w:t xml:space="preserve">النجفي، جواهر الكلام 39: 232. </w:t>
      </w:r>
    </w:p>
  </w:endnote>
  <w:endnote w:id="369">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w:t>
      </w:r>
      <w:r w:rsidRPr="005173C2">
        <w:rPr>
          <w:rFonts w:cs="DanaFajr" w:hint="cs"/>
          <w:sz w:val="28"/>
          <w:szCs w:val="28"/>
          <w:rtl/>
        </w:rPr>
        <w:t xml:space="preserve"> محمد بن الحسن الحُرّ العاملي، وسائل الشيعة 23: 61، باب 35 من أبواب العتق، ح1. وانظر:</w:t>
      </w:r>
      <w:r w:rsidRPr="00EE3AAF">
        <w:rPr>
          <w:rFonts w:cs="DanaFajr" w:hint="cs"/>
          <w:sz w:val="28"/>
          <w:szCs w:val="28"/>
          <w:rtl/>
        </w:rPr>
        <w:t xml:space="preserve"> </w:t>
      </w:r>
      <w:r w:rsidRPr="005173C2">
        <w:rPr>
          <w:rFonts w:cs="DanaFajr" w:hint="cs"/>
          <w:sz w:val="28"/>
          <w:szCs w:val="28"/>
          <w:rtl/>
        </w:rPr>
        <w:t xml:space="preserve">محمد بن يعقوب الكليني، الكافي 6: 197، ح1؛ </w:t>
      </w:r>
      <w:r w:rsidRPr="005173C2">
        <w:rPr>
          <w:rFonts w:ascii="md_ameli" w:hAnsi="md_ameli" w:cs="DanaFajr" w:hint="cs"/>
          <w:sz w:val="28"/>
          <w:szCs w:val="28"/>
          <w:rtl/>
        </w:rPr>
        <w:t xml:space="preserve">محمد بن الحسن الطوسي، </w:t>
      </w:r>
      <w:r w:rsidRPr="005173C2">
        <w:rPr>
          <w:rFonts w:cs="DanaFajr" w:hint="cs"/>
          <w:sz w:val="28"/>
          <w:szCs w:val="28"/>
          <w:rtl/>
        </w:rPr>
        <w:t>تهذيب الأحكام 8: 249،</w:t>
      </w:r>
      <w:r w:rsidRPr="00EE3AAF">
        <w:rPr>
          <w:rFonts w:cs="DanaFajr" w:hint="cs"/>
          <w:sz w:val="28"/>
          <w:szCs w:val="28"/>
          <w:rtl/>
        </w:rPr>
        <w:t xml:space="preserve"> </w:t>
      </w:r>
      <w:r w:rsidRPr="005173C2">
        <w:rPr>
          <w:rFonts w:cs="DanaFajr" w:hint="cs"/>
          <w:sz w:val="28"/>
          <w:szCs w:val="28"/>
          <w:rtl/>
        </w:rPr>
        <w:t xml:space="preserve">ح905. </w:t>
      </w:r>
    </w:p>
  </w:endnote>
  <w:endnote w:id="370">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الحُرّ العاملي، وسائل الشيعة 23: 64 ـ 65، باب 37 من أبواب العتق، ح1. وانظر: الكليني،</w:t>
      </w:r>
      <w:r w:rsidRPr="00EE3AAF">
        <w:rPr>
          <w:rFonts w:cs="DanaFajr" w:hint="cs"/>
          <w:sz w:val="28"/>
          <w:szCs w:val="28"/>
          <w:rtl/>
        </w:rPr>
        <w:t xml:space="preserve"> </w:t>
      </w:r>
      <w:r w:rsidRPr="005173C2">
        <w:rPr>
          <w:rFonts w:cs="DanaFajr" w:hint="cs"/>
          <w:sz w:val="28"/>
          <w:szCs w:val="28"/>
          <w:rtl/>
        </w:rPr>
        <w:t xml:space="preserve">الكافي 6: 198، ح4؛ </w:t>
      </w:r>
      <w:r w:rsidRPr="005173C2">
        <w:rPr>
          <w:rFonts w:ascii="md_ameli" w:hAnsi="md_ameli" w:cs="DanaFajr" w:hint="cs"/>
          <w:sz w:val="28"/>
          <w:szCs w:val="28"/>
          <w:rtl/>
        </w:rPr>
        <w:t xml:space="preserve">الطوسي، </w:t>
      </w:r>
      <w:r w:rsidRPr="005173C2">
        <w:rPr>
          <w:rFonts w:cs="DanaFajr" w:hint="cs"/>
          <w:sz w:val="28"/>
          <w:szCs w:val="28"/>
          <w:rtl/>
        </w:rPr>
        <w:t xml:space="preserve">تهذيب الأحكام 8: 250، ح907. </w:t>
      </w:r>
    </w:p>
  </w:endnote>
  <w:endnote w:id="371">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الحرّ العاملي، وسائل الشيعة 23: 62، باب 35 من أبواب العتق، ح2. وانظر: الكليني، الكافي</w:t>
      </w:r>
      <w:r w:rsidRPr="00EE3AAF">
        <w:rPr>
          <w:rFonts w:cs="DanaFajr" w:hint="cs"/>
          <w:sz w:val="28"/>
          <w:szCs w:val="28"/>
          <w:rtl/>
        </w:rPr>
        <w:t xml:space="preserve"> </w:t>
      </w:r>
      <w:r w:rsidRPr="005173C2">
        <w:rPr>
          <w:rFonts w:cs="DanaFajr" w:hint="cs"/>
          <w:sz w:val="28"/>
          <w:szCs w:val="28"/>
          <w:rtl/>
        </w:rPr>
        <w:t xml:space="preserve">6: 198، ح3؛ </w:t>
      </w:r>
      <w:r w:rsidRPr="005173C2">
        <w:rPr>
          <w:rFonts w:ascii="md_ameli" w:hAnsi="md_ameli" w:cs="DanaFajr" w:hint="cs"/>
          <w:sz w:val="28"/>
          <w:szCs w:val="28"/>
          <w:rtl/>
        </w:rPr>
        <w:t xml:space="preserve">الطوسي، </w:t>
      </w:r>
      <w:r w:rsidRPr="005173C2">
        <w:rPr>
          <w:rFonts w:cs="DanaFajr" w:hint="cs"/>
          <w:sz w:val="28"/>
          <w:szCs w:val="28"/>
          <w:rtl/>
        </w:rPr>
        <w:t xml:space="preserve">تهذيب الأحكام 8: 250، ح906. </w:t>
      </w:r>
    </w:p>
  </w:endnote>
  <w:endnote w:id="372">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البيهقي، السنن الكبری 6: 240؛ صحيح البخاري 1: 117؛ 2: 135؛ 3: 27، 29، 126، 127، 128، 131، 174، 176، 177، 184؛ 6: 124، 171، 208؛ 7: 238؛ 8: 9، 10، 11؛ صحيح مسلم 4: 213، 214، 215، 216؛ مسند أحمد بن حنبل 1: 281، 361؛ 2: 28، 100، 113، 144، 153؛ 6: 46، 82، 103، 121، 135، 161، 172، 175، 178، 180، 272. </w:t>
      </w:r>
    </w:p>
  </w:endnote>
  <w:endnote w:id="373">
    <w:p w:rsidR="00F41F33" w:rsidRPr="005173C2" w:rsidRDefault="00F41F33" w:rsidP="00145E6B">
      <w:pPr>
        <w:pStyle w:val="aa"/>
        <w:spacing w:line="340" w:lineRule="exact"/>
        <w:ind w:firstLine="0"/>
        <w:rPr>
          <w:rFonts w:cs="DanaFajr"/>
          <w:sz w:val="28"/>
          <w:szCs w:val="28"/>
          <w:rtl/>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 xml:space="preserve">وإشكالية هذا السند وجود الحسين بن يزيد بن عبد الملك النوفلي النخعي. </w:t>
      </w:r>
      <w:r w:rsidRPr="00EE3AAF">
        <w:rPr>
          <w:rFonts w:cs="DanaFajr" w:hint="cs"/>
          <w:sz w:val="28"/>
          <w:szCs w:val="28"/>
          <w:rtl/>
          <w:lang w:bidi="fa-IR"/>
        </w:rPr>
        <w:t xml:space="preserve">قال العلامة: </w:t>
      </w:r>
      <w:r w:rsidRPr="00EE3AAF">
        <w:rPr>
          <w:rFonts w:cs="DanaFajr" w:hint="eastAsia"/>
          <w:sz w:val="27"/>
          <w:szCs w:val="27"/>
          <w:rtl/>
        </w:rPr>
        <w:t>«</w:t>
      </w:r>
      <w:r w:rsidRPr="00EE3AAF">
        <w:rPr>
          <w:rFonts w:cs="DanaFajr" w:hint="cs"/>
          <w:sz w:val="28"/>
          <w:szCs w:val="28"/>
          <w:rtl/>
          <w:lang w:bidi="fa-IR"/>
        </w:rPr>
        <w:t xml:space="preserve">قال قوم من القمّيين: إنّه غلا في آخر عمره، والله أعلم. وقال النجاشي: وما رأينا له رواية تدلّ على </w:t>
      </w:r>
      <w:r w:rsidRPr="005173C2">
        <w:rPr>
          <w:rFonts w:cs="DanaFajr" w:hint="cs"/>
          <w:sz w:val="28"/>
          <w:szCs w:val="28"/>
          <w:rtl/>
          <w:lang w:bidi="fa-IR"/>
        </w:rPr>
        <w:t>هذا</w:t>
      </w:r>
      <w:r w:rsidRPr="005173C2">
        <w:rPr>
          <w:rFonts w:cs="DanaFajr" w:hint="eastAsia"/>
          <w:sz w:val="27"/>
          <w:szCs w:val="27"/>
          <w:rtl/>
        </w:rPr>
        <w:t>»</w:t>
      </w:r>
      <w:r w:rsidRPr="005173C2">
        <w:rPr>
          <w:rFonts w:cs="DanaFajr" w:hint="cs"/>
          <w:sz w:val="28"/>
          <w:szCs w:val="28"/>
          <w:rtl/>
          <w:lang w:bidi="fa-IR"/>
        </w:rPr>
        <w:t xml:space="preserve">. [العلاّمة الحلّي، خلاصة الأقوال: 339، رقم (9). وانظر: </w:t>
      </w:r>
      <w:r w:rsidRPr="005173C2">
        <w:rPr>
          <w:rFonts w:cs="DanaFajr" w:hint="cs"/>
          <w:sz w:val="28"/>
          <w:szCs w:val="28"/>
          <w:rtl/>
        </w:rPr>
        <w:t xml:space="preserve">رجال ابن داوود الحلّي: </w:t>
      </w:r>
      <w:r w:rsidRPr="005173C2">
        <w:rPr>
          <w:rFonts w:cs="DanaFajr" w:hint="cs"/>
          <w:sz w:val="28"/>
          <w:szCs w:val="28"/>
          <w:rtl/>
          <w:lang w:bidi="fa-IR"/>
        </w:rPr>
        <w:t>2</w:t>
      </w:r>
      <w:r w:rsidRPr="005173C2">
        <w:rPr>
          <w:rFonts w:cs="DanaFajr" w:hint="cs"/>
          <w:sz w:val="28"/>
          <w:szCs w:val="28"/>
          <w:rtl/>
          <w:lang w:bidi="ar-LB"/>
        </w:rPr>
        <w:t>4</w:t>
      </w:r>
      <w:r w:rsidRPr="005173C2">
        <w:rPr>
          <w:rFonts w:cs="DanaFajr" w:hint="cs"/>
          <w:sz w:val="28"/>
          <w:szCs w:val="28"/>
          <w:rtl/>
          <w:lang w:bidi="fa-IR"/>
        </w:rPr>
        <w:t>1،</w:t>
      </w:r>
      <w:r w:rsidRPr="00EE3AAF">
        <w:rPr>
          <w:rFonts w:cs="DanaFajr" w:hint="cs"/>
          <w:sz w:val="28"/>
          <w:szCs w:val="28"/>
          <w:rtl/>
          <w:lang w:bidi="fa-IR"/>
        </w:rPr>
        <w:t xml:space="preserve"> </w:t>
      </w:r>
      <w:r w:rsidRPr="005173C2">
        <w:rPr>
          <w:rFonts w:cs="DanaFajr" w:hint="cs"/>
          <w:sz w:val="28"/>
          <w:szCs w:val="28"/>
          <w:rtl/>
          <w:lang w:bidi="fa-IR"/>
        </w:rPr>
        <w:t>رقم (1</w:t>
      </w:r>
      <w:r w:rsidRPr="005173C2">
        <w:rPr>
          <w:rFonts w:cs="DanaFajr" w:hint="cs"/>
          <w:sz w:val="28"/>
          <w:szCs w:val="28"/>
          <w:rtl/>
          <w:lang w:bidi="ar-LB"/>
        </w:rPr>
        <w:t>56</w:t>
      </w:r>
      <w:r w:rsidRPr="005173C2">
        <w:rPr>
          <w:rFonts w:cs="DanaFajr" w:hint="cs"/>
          <w:sz w:val="28"/>
          <w:szCs w:val="28"/>
          <w:rtl/>
          <w:lang w:bidi="fa-IR"/>
        </w:rPr>
        <w:t xml:space="preserve">)]، </w:t>
      </w:r>
      <w:r w:rsidRPr="005173C2">
        <w:rPr>
          <w:rFonts w:cs="DanaFajr" w:hint="cs"/>
          <w:sz w:val="28"/>
          <w:szCs w:val="28"/>
          <w:rtl/>
        </w:rPr>
        <w:t>ووثّقه بعضٌ [الجواهري، المفيد من معجم رجال الحديث: 183، رقم (3706 ـ 3705 ـ</w:t>
      </w:r>
      <w:r w:rsidRPr="00EE3AAF">
        <w:rPr>
          <w:rFonts w:cs="DanaFajr" w:hint="cs"/>
          <w:sz w:val="28"/>
          <w:szCs w:val="28"/>
          <w:rtl/>
        </w:rPr>
        <w:t xml:space="preserve"> </w:t>
      </w:r>
      <w:r w:rsidRPr="005173C2">
        <w:rPr>
          <w:rFonts w:cs="DanaFajr" w:hint="cs"/>
          <w:sz w:val="28"/>
          <w:szCs w:val="28"/>
          <w:rtl/>
        </w:rPr>
        <w:t xml:space="preserve">3715). وانظر: علي النمازي الشاهرودي، مستدركات علم رجال الحديث 3: 213، رقم (4764)]. </w:t>
      </w:r>
    </w:p>
    <w:p w:rsidR="00F41F33" w:rsidRPr="005173C2" w:rsidRDefault="00F41F33" w:rsidP="00145E6B">
      <w:pPr>
        <w:pStyle w:val="aa"/>
        <w:spacing w:line="340" w:lineRule="exact"/>
        <w:ind w:firstLine="0"/>
        <w:rPr>
          <w:rFonts w:cs="DanaFajr"/>
          <w:sz w:val="28"/>
          <w:szCs w:val="28"/>
          <w:rtl/>
        </w:rPr>
      </w:pPr>
      <w:r w:rsidRPr="00EE3AAF">
        <w:rPr>
          <w:rFonts w:cs="DanaFajr" w:hint="cs"/>
          <w:sz w:val="28"/>
          <w:szCs w:val="28"/>
          <w:rtl/>
        </w:rPr>
        <w:t xml:space="preserve">وسند الصدوق: [عن أبيه ومحمّد بن الحسن، عن سعد بن عبد الله، عن إبراهيم بن هاشم، عن </w:t>
      </w:r>
      <w:r w:rsidRPr="005173C2">
        <w:rPr>
          <w:rFonts w:cs="DanaFajr" w:hint="cs"/>
          <w:sz w:val="28"/>
          <w:szCs w:val="28"/>
          <w:rtl/>
        </w:rPr>
        <w:t>الحسين بن يزيد النوفلي]، عن إسماعيل بن مسلم السكوني. [الصدوق، مَنْ لا يحضره الفقيه 3:</w:t>
      </w:r>
      <w:r w:rsidRPr="00EE3AAF">
        <w:rPr>
          <w:rFonts w:cs="DanaFajr" w:hint="cs"/>
          <w:sz w:val="28"/>
          <w:szCs w:val="28"/>
          <w:rtl/>
        </w:rPr>
        <w:t xml:space="preserve"> </w:t>
      </w:r>
      <w:r w:rsidRPr="005173C2">
        <w:rPr>
          <w:rFonts w:cs="DanaFajr" w:hint="cs"/>
          <w:sz w:val="28"/>
          <w:szCs w:val="28"/>
          <w:rtl/>
        </w:rPr>
        <w:t xml:space="preserve">133، ح3494؛ 4: 459، المشيخة]. </w:t>
      </w:r>
    </w:p>
    <w:p w:rsidR="00F41F33" w:rsidRPr="005173C2" w:rsidRDefault="00F41F33" w:rsidP="00145E6B">
      <w:pPr>
        <w:pStyle w:val="aa"/>
        <w:spacing w:line="340" w:lineRule="exact"/>
        <w:ind w:firstLine="0"/>
        <w:rPr>
          <w:rFonts w:cs="DanaFajr"/>
          <w:sz w:val="28"/>
          <w:szCs w:val="28"/>
        </w:rPr>
      </w:pPr>
      <w:r w:rsidRPr="00EE3AAF">
        <w:rPr>
          <w:rFonts w:cs="DanaFajr" w:hint="cs"/>
          <w:sz w:val="28"/>
          <w:szCs w:val="28"/>
          <w:rtl/>
        </w:rPr>
        <w:t>سند الكليني: حميد بن زياد، عن الحسن بن محمد بن سماعة، عمَّنْ حدَّثه، عن أب</w:t>
      </w:r>
      <w:r>
        <w:rPr>
          <w:rFonts w:cs="DanaFajr" w:hint="cs"/>
          <w:sz w:val="28"/>
          <w:szCs w:val="28"/>
          <w:rtl/>
        </w:rPr>
        <w:t>ي</w:t>
      </w:r>
      <w:r w:rsidRPr="00EE3AAF">
        <w:rPr>
          <w:rFonts w:cs="DanaFajr" w:hint="cs"/>
          <w:sz w:val="28"/>
          <w:szCs w:val="28"/>
          <w:rtl/>
        </w:rPr>
        <w:t xml:space="preserve"> عبد الله</w:t>
      </w:r>
      <w:r w:rsidRPr="00496110">
        <w:rPr>
          <w:rFonts w:ascii="Mosawi" w:hAnsi="Mosawi" w:cs="Mosawi"/>
          <w:rtl/>
        </w:rPr>
        <w:t>×</w:t>
      </w:r>
      <w:r w:rsidRPr="00EE3AAF">
        <w:rPr>
          <w:rFonts w:cs="DanaFajr" w:hint="cs"/>
          <w:sz w:val="28"/>
          <w:szCs w:val="28"/>
          <w:rtl/>
        </w:rPr>
        <w:t xml:space="preserve"> </w:t>
      </w:r>
      <w:r w:rsidRPr="005173C2">
        <w:rPr>
          <w:rFonts w:cs="DanaFajr" w:hint="cs"/>
          <w:sz w:val="28"/>
          <w:szCs w:val="28"/>
          <w:rtl/>
        </w:rPr>
        <w:t xml:space="preserve">[الكليني، الكافي 7: 170، ح6]. وهذا الطريق فيه إرسال. </w:t>
      </w:r>
    </w:p>
  </w:endnote>
  <w:endnote w:id="374">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(لحمة) رُوي بفتح اللام وضمّها. [فخر المحقِّقين، إيضاح الفوائد 3: 522]. </w:t>
      </w:r>
    </w:p>
  </w:endnote>
  <w:endnote w:id="375">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الحرّ العاملي، وسائل الشيعة 23: 75، باب 42 من أبواب العتق، ح2. وانظر: </w:t>
      </w:r>
      <w:r w:rsidRPr="005173C2">
        <w:rPr>
          <w:rFonts w:ascii="md_ameli" w:hAnsi="md_ameli" w:cs="DanaFajr" w:hint="cs"/>
          <w:sz w:val="28"/>
          <w:szCs w:val="28"/>
          <w:rtl/>
        </w:rPr>
        <w:t xml:space="preserve">الطوسي، </w:t>
      </w:r>
      <w:r w:rsidRPr="005173C2">
        <w:rPr>
          <w:rFonts w:cs="DanaFajr" w:hint="cs"/>
          <w:sz w:val="28"/>
          <w:szCs w:val="28"/>
          <w:rtl/>
        </w:rPr>
        <w:t>تهذيب</w:t>
      </w:r>
      <w:r w:rsidRPr="00EE3AAF">
        <w:rPr>
          <w:rFonts w:cs="DanaFajr" w:hint="cs"/>
          <w:sz w:val="28"/>
          <w:szCs w:val="28"/>
          <w:rtl/>
        </w:rPr>
        <w:t xml:space="preserve"> </w:t>
      </w:r>
      <w:r w:rsidRPr="005173C2">
        <w:rPr>
          <w:rFonts w:cs="DanaFajr" w:hint="cs"/>
          <w:sz w:val="28"/>
          <w:szCs w:val="28"/>
          <w:rtl/>
        </w:rPr>
        <w:t xml:space="preserve">الأحكام 8: 255، ح926. </w:t>
      </w:r>
    </w:p>
  </w:endnote>
  <w:endnote w:id="376">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فخر المحقِّقين، إيضاح الفوائد 3: 522. </w:t>
      </w:r>
    </w:p>
  </w:endnote>
  <w:endnote w:id="377">
    <w:p w:rsidR="00F41F33" w:rsidRPr="005173C2" w:rsidRDefault="00F41F33" w:rsidP="00145E6B">
      <w:pPr>
        <w:pStyle w:val="aa"/>
        <w:tabs>
          <w:tab w:val="right" w:pos="4151"/>
        </w:tabs>
        <w:spacing w:line="340" w:lineRule="exact"/>
        <w:ind w:firstLine="0"/>
        <w:rPr>
          <w:rFonts w:cs="DanaFajr"/>
          <w:sz w:val="28"/>
          <w:szCs w:val="28"/>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 xml:space="preserve">وإشكالية السند قابلة للحلّ: أمّا جعفر بن محمد بن مسرور فإنّ القرائن تدعم اتّحاده مع جعفر بن محمد بن قولويه. وأمّا عبد الرحمن بن محمد مشتركٌ [الجواهري، المفيد من معجم رجال </w:t>
      </w:r>
      <w:r w:rsidRPr="005173C2">
        <w:rPr>
          <w:rFonts w:cs="DanaFajr" w:hint="cs"/>
          <w:sz w:val="28"/>
          <w:szCs w:val="28"/>
          <w:rtl/>
        </w:rPr>
        <w:t>الحديث: 312، رقم (6431 ـ 6430 ـ 6441)]. والظاهر اتّحاده مع ابن أبي هاشم البجلي الثقة</w:t>
      </w:r>
      <w:r w:rsidRPr="00EE3AAF">
        <w:rPr>
          <w:rFonts w:cs="DanaFajr" w:hint="cs"/>
          <w:sz w:val="28"/>
          <w:szCs w:val="28"/>
          <w:rtl/>
        </w:rPr>
        <w:t xml:space="preserve"> </w:t>
      </w:r>
      <w:r w:rsidRPr="005173C2">
        <w:rPr>
          <w:rFonts w:cs="DanaFajr" w:hint="cs"/>
          <w:sz w:val="28"/>
          <w:szCs w:val="28"/>
          <w:rtl/>
        </w:rPr>
        <w:t>[رجال النجاشي: 236، رقم (623)]. والفضل بن إسماعيل ثقةٌ بناءً على اتّحاده مع الكندي [رجال</w:t>
      </w:r>
      <w:r w:rsidRPr="00EE3AAF">
        <w:rPr>
          <w:rFonts w:cs="DanaFajr" w:hint="cs"/>
          <w:sz w:val="28"/>
          <w:szCs w:val="28"/>
          <w:rtl/>
        </w:rPr>
        <w:t xml:space="preserve"> </w:t>
      </w:r>
      <w:r w:rsidRPr="005173C2">
        <w:rPr>
          <w:rFonts w:cs="DanaFajr" w:hint="cs"/>
          <w:sz w:val="28"/>
          <w:szCs w:val="28"/>
          <w:rtl/>
        </w:rPr>
        <w:t>النجاشي: 306، رقم (838)؛ الجواهري، المفيد من معجم رجال الحديث: 455، رقم (9340 ـ</w:t>
      </w:r>
      <w:r w:rsidRPr="00EE3AAF">
        <w:rPr>
          <w:rFonts w:cs="DanaFajr" w:hint="cs"/>
          <w:sz w:val="28"/>
          <w:szCs w:val="28"/>
          <w:rtl/>
        </w:rPr>
        <w:t xml:space="preserve"> </w:t>
      </w:r>
      <w:r w:rsidRPr="005173C2">
        <w:rPr>
          <w:rFonts w:cs="DanaFajr" w:hint="cs"/>
          <w:sz w:val="28"/>
          <w:szCs w:val="28"/>
          <w:rtl/>
        </w:rPr>
        <w:t>9339 ـ 9358)]. وأمّا ثابت بن دينار فهو أبو حمزة الثمالي بن أبي صفية، ثقةٌ [</w:t>
      </w:r>
      <w:r w:rsidRPr="005173C2">
        <w:rPr>
          <w:rFonts w:ascii="md_ameli" w:hAnsi="md_ameli" w:cs="DanaFajr" w:hint="cs"/>
          <w:sz w:val="28"/>
          <w:szCs w:val="28"/>
          <w:rtl/>
        </w:rPr>
        <w:t>الطوسي،</w:t>
      </w:r>
      <w:r w:rsidRPr="00EE3AAF">
        <w:rPr>
          <w:rFonts w:ascii="md_ameli" w:hAnsi="md_ameli" w:cs="DanaFajr" w:hint="cs"/>
          <w:sz w:val="28"/>
          <w:szCs w:val="28"/>
          <w:rtl/>
        </w:rPr>
        <w:t xml:space="preserve"> </w:t>
      </w:r>
      <w:r w:rsidRPr="005173C2">
        <w:rPr>
          <w:rFonts w:cs="DanaFajr" w:hint="cs"/>
          <w:sz w:val="28"/>
          <w:szCs w:val="28"/>
          <w:rtl/>
        </w:rPr>
        <w:t>الفهرست: 90، رقم (138)؛ الجواهري، المفيد من معجم رجال الحديث: 96، رقم (1954 ـ 1953 ـ</w:t>
      </w:r>
      <w:r w:rsidRPr="00EE3AAF">
        <w:rPr>
          <w:rFonts w:cs="DanaFajr" w:hint="cs"/>
          <w:sz w:val="28"/>
          <w:szCs w:val="28"/>
          <w:rtl/>
        </w:rPr>
        <w:t xml:space="preserve"> </w:t>
      </w:r>
      <w:r w:rsidRPr="005173C2">
        <w:rPr>
          <w:rFonts w:cs="DanaFajr" w:hint="cs"/>
          <w:sz w:val="28"/>
          <w:szCs w:val="28"/>
          <w:rtl/>
        </w:rPr>
        <w:t>1960)؛ غلام رضا عرفانيان، مشايخ الثقات: 156؛ علي البروجردي، طرائف المقال 2: 584]. وقد</w:t>
      </w:r>
      <w:r w:rsidRPr="00EE3AAF">
        <w:rPr>
          <w:rFonts w:cs="DanaFajr" w:hint="cs"/>
          <w:sz w:val="28"/>
          <w:szCs w:val="28"/>
          <w:rtl/>
        </w:rPr>
        <w:t xml:space="preserve"> </w:t>
      </w:r>
      <w:r w:rsidRPr="005173C2">
        <w:rPr>
          <w:rFonts w:cs="DanaFajr" w:hint="cs"/>
          <w:sz w:val="28"/>
          <w:szCs w:val="28"/>
          <w:rtl/>
        </w:rPr>
        <w:t xml:space="preserve">صرّح بعض بقوّة أو صحّة السند [المجلسي الأوّل، روضة المتقين 5: 55]. </w:t>
      </w:r>
    </w:p>
  </w:endnote>
  <w:endnote w:id="378">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الحرّ العاملي، وسائل الشيعة 26: 241، باب 3 من أبواب ميراث ولاء العتق، ح3. وانظر:</w:t>
      </w:r>
      <w:r w:rsidRPr="00EE3AAF">
        <w:rPr>
          <w:rFonts w:cs="DanaFajr" w:hint="cs"/>
          <w:sz w:val="28"/>
          <w:szCs w:val="28"/>
          <w:rtl/>
        </w:rPr>
        <w:t xml:space="preserve"> </w:t>
      </w:r>
      <w:r w:rsidRPr="005173C2">
        <w:rPr>
          <w:rFonts w:cs="DanaFajr" w:hint="cs"/>
          <w:sz w:val="28"/>
          <w:szCs w:val="28"/>
          <w:rtl/>
        </w:rPr>
        <w:t xml:space="preserve">الصدوق، مَنْ لا يحضره الفقيه 2: 378، ح1626. </w:t>
      </w:r>
    </w:p>
  </w:endnote>
  <w:endnote w:id="379">
    <w:p w:rsidR="00F41F33" w:rsidRPr="005173C2" w:rsidRDefault="00F41F33" w:rsidP="00145E6B">
      <w:pPr>
        <w:pStyle w:val="aa"/>
        <w:spacing w:line="340" w:lineRule="exact"/>
        <w:ind w:firstLine="0"/>
        <w:rPr>
          <w:rFonts w:cs="DanaFajr"/>
          <w:sz w:val="28"/>
          <w:szCs w:val="28"/>
          <w:rtl/>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 xml:space="preserve">إشكالية السند: محمد بن الفضيل، وهو مردَّدٌ؛ فإنْ كان ابن غزوان فهو ثقة [الجواهري، المفيد </w:t>
      </w:r>
      <w:r w:rsidRPr="005173C2">
        <w:rPr>
          <w:rFonts w:cs="DanaFajr" w:hint="cs"/>
          <w:sz w:val="28"/>
          <w:szCs w:val="28"/>
          <w:rtl/>
        </w:rPr>
        <w:t>من معجم رجال الحديث: 567، رقم (11571 ـ 11567 ـ 11594]؛ وإنْ كان الأزدي فلم يُوثَّق، بل</w:t>
      </w:r>
      <w:r w:rsidRPr="00EE3AAF">
        <w:rPr>
          <w:rFonts w:cs="DanaFajr" w:hint="cs"/>
          <w:sz w:val="28"/>
          <w:szCs w:val="28"/>
          <w:rtl/>
        </w:rPr>
        <w:t xml:space="preserve"> </w:t>
      </w:r>
      <w:r w:rsidRPr="005173C2">
        <w:rPr>
          <w:rFonts w:cs="DanaFajr" w:hint="cs"/>
          <w:sz w:val="28"/>
          <w:szCs w:val="28"/>
          <w:rtl/>
        </w:rPr>
        <w:t>رُمي بالغلوّ [رجال الطوسي: 365، رقم (5423)؛ الجواهري، المفيد من معجم رجال الحديث: 567،</w:t>
      </w:r>
      <w:r w:rsidRPr="00EE3AAF">
        <w:rPr>
          <w:rFonts w:cs="DanaFajr" w:hint="cs"/>
          <w:sz w:val="28"/>
          <w:szCs w:val="28"/>
          <w:rtl/>
        </w:rPr>
        <w:t xml:space="preserve"> </w:t>
      </w:r>
      <w:r w:rsidRPr="005173C2">
        <w:rPr>
          <w:rFonts w:cs="DanaFajr" w:hint="cs"/>
          <w:sz w:val="28"/>
          <w:szCs w:val="28"/>
          <w:rtl/>
        </w:rPr>
        <w:t>رقم (11568 ـ 11564 ـ 11591)]؛ وإنْ كان المراد به غيرهما فلم يُوثَّق. ولكنْ مع ذلك فقد وصفها</w:t>
      </w:r>
      <w:r w:rsidRPr="00EE3AAF">
        <w:rPr>
          <w:rFonts w:cs="DanaFajr" w:hint="cs"/>
          <w:sz w:val="28"/>
          <w:szCs w:val="28"/>
          <w:rtl/>
        </w:rPr>
        <w:t xml:space="preserve"> </w:t>
      </w:r>
      <w:r w:rsidRPr="005173C2">
        <w:rPr>
          <w:rFonts w:cs="DanaFajr" w:hint="cs"/>
          <w:sz w:val="28"/>
          <w:szCs w:val="28"/>
          <w:rtl/>
        </w:rPr>
        <w:t>بعضهم بالصحّة؟! [النراقي، مستند الشيعة 19: 402].</w:t>
      </w:r>
    </w:p>
    <w:p w:rsidR="00F41F33" w:rsidRPr="00EE3AAF" w:rsidRDefault="00F41F33" w:rsidP="00145E6B">
      <w:pPr>
        <w:pStyle w:val="aa"/>
        <w:spacing w:line="340" w:lineRule="exact"/>
        <w:ind w:firstLine="0"/>
        <w:rPr>
          <w:rFonts w:cs="DanaFajr"/>
          <w:sz w:val="28"/>
          <w:szCs w:val="28"/>
        </w:rPr>
      </w:pPr>
      <w:r w:rsidRPr="00EE3AAF">
        <w:rPr>
          <w:rFonts w:cs="DanaFajr" w:hint="cs"/>
          <w:sz w:val="28"/>
          <w:szCs w:val="28"/>
          <w:rtl/>
        </w:rPr>
        <w:t xml:space="preserve">وإنْ كنّا نعتقد بإمكان الاعتماد على الرواية؛ طبقاً لمبنانا من عدم كون الحجّية ثابتة لخبر الثقة من حيث هو، بل للخبر بما هو مُوجِبٌ للوثوق، </w:t>
      </w:r>
      <w:r w:rsidRPr="00C2403B">
        <w:rPr>
          <w:rFonts w:cs="DanaFajr" w:hint="cs"/>
          <w:b/>
          <w:bCs/>
          <w:sz w:val="28"/>
          <w:szCs w:val="28"/>
          <w:rtl/>
        </w:rPr>
        <w:t>هذا أوّلاً</w:t>
      </w:r>
      <w:r w:rsidRPr="00EE3AAF">
        <w:rPr>
          <w:rFonts w:cs="DanaFajr" w:hint="cs"/>
          <w:sz w:val="28"/>
          <w:szCs w:val="28"/>
          <w:rtl/>
        </w:rPr>
        <w:t xml:space="preserve">؛ </w:t>
      </w:r>
      <w:r w:rsidRPr="00C2403B">
        <w:rPr>
          <w:rFonts w:cs="DanaFajr" w:hint="cs"/>
          <w:b/>
          <w:bCs/>
          <w:sz w:val="28"/>
          <w:szCs w:val="28"/>
          <w:rtl/>
        </w:rPr>
        <w:t>وثانياً</w:t>
      </w:r>
      <w:r w:rsidRPr="00EE3AAF">
        <w:rPr>
          <w:rFonts w:cs="DanaFajr" w:hint="cs"/>
          <w:sz w:val="28"/>
          <w:szCs w:val="28"/>
          <w:rtl/>
        </w:rPr>
        <w:t xml:space="preserve">: إنّنا لا نری حزازة في علّة هذا التضعيف ـ وهي الغلوّ ـ، وإنْ أمكن كونها قادحة في روايات العقائد ونحوها؛ </w:t>
      </w:r>
      <w:r w:rsidRPr="00C2403B">
        <w:rPr>
          <w:rFonts w:cs="DanaFajr" w:hint="cs"/>
          <w:b/>
          <w:bCs/>
          <w:sz w:val="28"/>
          <w:szCs w:val="28"/>
          <w:rtl/>
        </w:rPr>
        <w:t>وثالثاً</w:t>
      </w:r>
      <w:r w:rsidRPr="00EE3AAF">
        <w:rPr>
          <w:rFonts w:cs="DanaFajr" w:hint="cs"/>
          <w:sz w:val="28"/>
          <w:szCs w:val="28"/>
          <w:rtl/>
        </w:rPr>
        <w:t>: إنّي لم أعثر على رواية واحدة تتضمّن الغلوّ الصريح. أجل، روی بعض الروايات التي تبيِّن مقامات الأئمّة المعنوية والغيبيّة غير المُنْكَرة، وروی روايات تتضمَّن ت</w:t>
      </w:r>
      <w:r w:rsidRPr="00EE3AAF">
        <w:rPr>
          <w:rFonts w:cs="DanaFajr" w:hint="cs"/>
          <w:sz w:val="28"/>
          <w:szCs w:val="28"/>
          <w:rtl/>
          <w:lang w:bidi="fa-IR"/>
        </w:rPr>
        <w:t xml:space="preserve">أويل </w:t>
      </w:r>
      <w:r w:rsidRPr="00EE3AAF">
        <w:rPr>
          <w:rFonts w:cs="DanaFajr" w:hint="cs"/>
          <w:sz w:val="28"/>
          <w:szCs w:val="28"/>
          <w:rtl/>
        </w:rPr>
        <w:t xml:space="preserve">بعض الآيات فيهم، على أنّه لم يَرْوِها مباشرة عن المعصوم، بل نقلها بواسطةٍ، كأبي الصباح وأبي حمزة الثمالي وغيرهما ممَّنْ لم يُرمَ بالغلوّ. </w:t>
      </w:r>
    </w:p>
  </w:endnote>
  <w:endnote w:id="380">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الحرّ العاملي، وسائل الشيعة 23: 62، باب 35 من أبواب العتق، ح2؛ 26: 241، باب 3 من</w:t>
      </w:r>
      <w:r w:rsidRPr="00EE3AAF">
        <w:rPr>
          <w:rFonts w:cs="DanaFajr" w:hint="cs"/>
          <w:sz w:val="28"/>
          <w:szCs w:val="28"/>
          <w:rtl/>
        </w:rPr>
        <w:t xml:space="preserve"> </w:t>
      </w:r>
      <w:r w:rsidRPr="005173C2">
        <w:rPr>
          <w:rFonts w:cs="DanaFajr" w:hint="cs"/>
          <w:sz w:val="28"/>
          <w:szCs w:val="28"/>
          <w:rtl/>
        </w:rPr>
        <w:t xml:space="preserve">أبواب ميراث ولاء العتق، ح1. وانظر: الكليني، الكافي 7: 170، ح5؛ </w:t>
      </w:r>
      <w:r w:rsidRPr="005173C2">
        <w:rPr>
          <w:rFonts w:ascii="md_ameli" w:hAnsi="md_ameli" w:cs="DanaFajr" w:hint="cs"/>
          <w:sz w:val="28"/>
          <w:szCs w:val="28"/>
          <w:rtl/>
        </w:rPr>
        <w:t xml:space="preserve">الطوسي، </w:t>
      </w:r>
      <w:r w:rsidRPr="005173C2">
        <w:rPr>
          <w:rFonts w:cs="DanaFajr" w:hint="cs"/>
          <w:sz w:val="28"/>
          <w:szCs w:val="28"/>
          <w:rtl/>
        </w:rPr>
        <w:t>تهذيب الأحكام 8:</w:t>
      </w:r>
      <w:r w:rsidRPr="00EE3AAF">
        <w:rPr>
          <w:rFonts w:cs="DanaFajr" w:hint="cs"/>
          <w:sz w:val="28"/>
          <w:szCs w:val="28"/>
          <w:rtl/>
        </w:rPr>
        <w:t xml:space="preserve"> </w:t>
      </w:r>
      <w:r w:rsidRPr="005173C2">
        <w:rPr>
          <w:rFonts w:cs="DanaFajr" w:hint="cs"/>
          <w:sz w:val="28"/>
          <w:szCs w:val="28"/>
          <w:rtl/>
        </w:rPr>
        <w:t xml:space="preserve">250، ح908. الصدوق، الأمالي: 454؛ الصدوق، الخصال: 568. </w:t>
      </w:r>
    </w:p>
  </w:endnote>
  <w:endnote w:id="381">
    <w:p w:rsidR="00F41F33" w:rsidRPr="005173C2" w:rsidRDefault="00F41F33" w:rsidP="00145E6B">
      <w:pPr>
        <w:pStyle w:val="aa"/>
        <w:spacing w:line="340" w:lineRule="exact"/>
        <w:ind w:firstLine="0"/>
        <w:rPr>
          <w:rFonts w:cs="DanaFajr"/>
          <w:sz w:val="28"/>
          <w:szCs w:val="28"/>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 xml:space="preserve">إشكالية السند: أبو القاسم جعفر بن محمد بن إبراهيم بن عبيد الله العلوي الموسوي، متعارض </w:t>
      </w:r>
      <w:r w:rsidRPr="005173C2">
        <w:rPr>
          <w:rFonts w:cs="DanaFajr" w:hint="cs"/>
          <w:sz w:val="28"/>
          <w:szCs w:val="28"/>
          <w:rtl/>
        </w:rPr>
        <w:t>فيه التوثيق والتضعيف [الجواهري، المفيد من معجم رجال الحديث: 114، رقم (2304 ـ 2303 ـ</w:t>
      </w:r>
      <w:r w:rsidRPr="00EE3AAF">
        <w:rPr>
          <w:rFonts w:cs="DanaFajr" w:hint="cs"/>
          <w:sz w:val="28"/>
          <w:szCs w:val="28"/>
          <w:rtl/>
        </w:rPr>
        <w:t xml:space="preserve"> </w:t>
      </w:r>
      <w:r w:rsidRPr="005173C2">
        <w:rPr>
          <w:rFonts w:cs="DanaFajr" w:hint="cs"/>
          <w:sz w:val="28"/>
          <w:szCs w:val="28"/>
          <w:rtl/>
        </w:rPr>
        <w:t>2312) ]، ولكنّ وصفه بـ (الشريف الصالح) يدلّ على وثاقته العالية [رجال النجاشي: 50 ـ 51، رقم</w:t>
      </w:r>
      <w:r w:rsidRPr="00EE3AAF">
        <w:rPr>
          <w:rFonts w:cs="DanaFajr" w:hint="cs"/>
          <w:sz w:val="28"/>
          <w:szCs w:val="28"/>
          <w:rtl/>
        </w:rPr>
        <w:t xml:space="preserve"> </w:t>
      </w:r>
      <w:r w:rsidRPr="005173C2">
        <w:rPr>
          <w:rFonts w:cs="DanaFajr" w:hint="cs"/>
          <w:sz w:val="28"/>
          <w:szCs w:val="28"/>
          <w:rtl/>
        </w:rPr>
        <w:t xml:space="preserve">(106)؛ 147 ـ 148، رقم (383)؛ 159، رقم (420)؛ 327، رقم (887)؛ 357، رقم (956)]. </w:t>
      </w:r>
    </w:p>
  </w:endnote>
  <w:endnote w:id="382">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الحرّ العاملي، وسائل الشيعة 26: 244 ـ 245، باب 1 من أبواب ولاء ضمان الجريرة، ح4.</w:t>
      </w:r>
      <w:r w:rsidRPr="00EE3AAF">
        <w:rPr>
          <w:rFonts w:cs="DanaFajr" w:hint="cs"/>
          <w:sz w:val="28"/>
          <w:szCs w:val="28"/>
          <w:rtl/>
        </w:rPr>
        <w:t xml:space="preserve"> </w:t>
      </w:r>
      <w:r w:rsidRPr="005173C2">
        <w:rPr>
          <w:rFonts w:cs="DanaFajr" w:hint="cs"/>
          <w:sz w:val="28"/>
          <w:szCs w:val="28"/>
          <w:rtl/>
        </w:rPr>
        <w:t xml:space="preserve">وانظر: </w:t>
      </w:r>
      <w:r w:rsidRPr="005173C2">
        <w:rPr>
          <w:rFonts w:ascii="md_ameli" w:hAnsi="md_ameli" w:cs="DanaFajr" w:hint="cs"/>
          <w:sz w:val="28"/>
          <w:szCs w:val="28"/>
          <w:rtl/>
        </w:rPr>
        <w:t xml:space="preserve">الطوسي، </w:t>
      </w:r>
      <w:r w:rsidRPr="005173C2">
        <w:rPr>
          <w:rFonts w:cs="DanaFajr" w:hint="cs"/>
          <w:sz w:val="28"/>
          <w:szCs w:val="28"/>
          <w:rtl/>
        </w:rPr>
        <w:t xml:space="preserve">تهذيب الأحكام 9: 396، ح1413. </w:t>
      </w:r>
    </w:p>
  </w:endnote>
  <w:endnote w:id="383">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النراقي، مستند الشيعة 19: 402. </w:t>
      </w:r>
    </w:p>
  </w:endnote>
  <w:endnote w:id="384">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الحرّ العاملي، وسائل الشيعة 26: 246، باب 3 من أبواب ولاء ضمان الجريرة، ح1. وانظر:</w:t>
      </w:r>
      <w:r w:rsidRPr="00EE3AAF">
        <w:rPr>
          <w:rFonts w:cs="DanaFajr" w:hint="cs"/>
          <w:sz w:val="28"/>
          <w:szCs w:val="28"/>
          <w:rtl/>
        </w:rPr>
        <w:t xml:space="preserve"> </w:t>
      </w:r>
      <w:r w:rsidRPr="005173C2">
        <w:rPr>
          <w:rFonts w:cs="DanaFajr" w:hint="cs"/>
          <w:sz w:val="28"/>
          <w:szCs w:val="28"/>
          <w:rtl/>
        </w:rPr>
        <w:t xml:space="preserve">الكليني، الكافي 7: 169، ح2؛ </w:t>
      </w:r>
      <w:r w:rsidRPr="005173C2">
        <w:rPr>
          <w:rFonts w:ascii="md_ameli" w:hAnsi="md_ameli" w:cs="DanaFajr" w:hint="cs"/>
          <w:sz w:val="28"/>
          <w:szCs w:val="28"/>
          <w:rtl/>
        </w:rPr>
        <w:t xml:space="preserve">الطوسي، </w:t>
      </w:r>
      <w:r w:rsidRPr="005173C2">
        <w:rPr>
          <w:rFonts w:cs="DanaFajr" w:hint="cs"/>
          <w:sz w:val="28"/>
          <w:szCs w:val="28"/>
          <w:rtl/>
        </w:rPr>
        <w:t xml:space="preserve">الاستبصار 4: 196، ح734؛ </w:t>
      </w:r>
      <w:r w:rsidRPr="005173C2">
        <w:rPr>
          <w:rFonts w:ascii="md_ameli" w:hAnsi="md_ameli" w:cs="DanaFajr" w:hint="cs"/>
          <w:sz w:val="28"/>
          <w:szCs w:val="28"/>
          <w:rtl/>
        </w:rPr>
        <w:t xml:space="preserve">الطوسي، </w:t>
      </w:r>
      <w:r w:rsidRPr="005173C2">
        <w:rPr>
          <w:rFonts w:cs="DanaFajr" w:hint="cs"/>
          <w:sz w:val="28"/>
          <w:szCs w:val="28"/>
          <w:rtl/>
        </w:rPr>
        <w:t>تهذيب الأحكام 9:</w:t>
      </w:r>
      <w:r w:rsidRPr="00EE3AAF">
        <w:rPr>
          <w:rFonts w:cs="DanaFajr" w:hint="cs"/>
          <w:sz w:val="28"/>
          <w:szCs w:val="28"/>
          <w:rtl/>
        </w:rPr>
        <w:t xml:space="preserve"> </w:t>
      </w:r>
      <w:r w:rsidRPr="005173C2">
        <w:rPr>
          <w:rFonts w:cs="DanaFajr" w:hint="cs"/>
          <w:sz w:val="28"/>
          <w:szCs w:val="28"/>
          <w:rtl/>
        </w:rPr>
        <w:t xml:space="preserve">387، ح1381؛ الصدوق، مَنْ لا يحضره الفقيه 4: 333، ح5714. </w:t>
      </w:r>
    </w:p>
  </w:endnote>
  <w:endnote w:id="385">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الحرّ العاملي، وسائل الشيعة 26: 243، باب 1 من أبواب ولاء ضمان الجريرة والإمامة، ح1.</w:t>
      </w:r>
      <w:r w:rsidRPr="00EE3AAF">
        <w:rPr>
          <w:rFonts w:cs="DanaFajr" w:hint="cs"/>
          <w:sz w:val="28"/>
          <w:szCs w:val="28"/>
          <w:rtl/>
        </w:rPr>
        <w:t xml:space="preserve"> </w:t>
      </w:r>
      <w:r w:rsidRPr="005173C2">
        <w:rPr>
          <w:rFonts w:cs="DanaFajr" w:hint="cs"/>
          <w:sz w:val="28"/>
          <w:szCs w:val="28"/>
          <w:rtl/>
        </w:rPr>
        <w:t xml:space="preserve">وانظر: الكليني، الكافي 7: 170، ح1؛ </w:t>
      </w:r>
      <w:r w:rsidRPr="005173C2">
        <w:rPr>
          <w:rFonts w:ascii="md_ameli" w:hAnsi="md_ameli" w:cs="DanaFajr" w:hint="cs"/>
          <w:sz w:val="28"/>
          <w:szCs w:val="28"/>
          <w:rtl/>
        </w:rPr>
        <w:t xml:space="preserve">الطوسي، </w:t>
      </w:r>
      <w:r w:rsidRPr="005173C2">
        <w:rPr>
          <w:rFonts w:cs="DanaFajr" w:hint="cs"/>
          <w:sz w:val="28"/>
          <w:szCs w:val="28"/>
          <w:rtl/>
        </w:rPr>
        <w:t xml:space="preserve">تهذيب الأحكام 8: 224، ح807. </w:t>
      </w:r>
    </w:p>
  </w:endnote>
  <w:endnote w:id="386">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النراقي، مستند الشيعة 19: 403. </w:t>
      </w:r>
    </w:p>
  </w:endnote>
  <w:endnote w:id="387">
    <w:p w:rsidR="00F41F33" w:rsidRPr="005173C2" w:rsidRDefault="00F41F33" w:rsidP="00145E6B">
      <w:pPr>
        <w:pStyle w:val="aa"/>
        <w:spacing w:line="340" w:lineRule="exact"/>
        <w:ind w:firstLine="0"/>
        <w:rPr>
          <w:rFonts w:cs="DanaFajr"/>
          <w:sz w:val="28"/>
          <w:szCs w:val="28"/>
          <w:rtl/>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انظر: العلاّمة الحلّي، قواعد الأحكام 3: 216. </w:t>
      </w:r>
    </w:p>
  </w:endnote>
  <w:endnote w:id="388">
    <w:p w:rsidR="00F41F33" w:rsidRPr="005173C2" w:rsidRDefault="00F41F33" w:rsidP="00145E6B">
      <w:pPr>
        <w:pStyle w:val="aa"/>
        <w:spacing w:line="340" w:lineRule="exact"/>
        <w:ind w:firstLine="0"/>
        <w:rPr>
          <w:rFonts w:cs="DanaFajr"/>
          <w:sz w:val="28"/>
          <w:szCs w:val="28"/>
        </w:rPr>
      </w:pPr>
      <w:r w:rsidRPr="005173C2">
        <w:rPr>
          <w:rFonts w:cs="DanaFajr"/>
          <w:sz w:val="28"/>
          <w:szCs w:val="28"/>
          <w:rtl/>
        </w:rPr>
        <w:t>(</w:t>
      </w:r>
      <w:r w:rsidRPr="005173C2">
        <w:rPr>
          <w:rFonts w:cs="DanaFajr"/>
          <w:sz w:val="28"/>
          <w:szCs w:val="28"/>
        </w:rPr>
        <w:endnoteRef/>
      </w:r>
      <w:r w:rsidRPr="005173C2">
        <w:rPr>
          <w:rFonts w:cs="DanaFajr"/>
          <w:sz w:val="28"/>
          <w:szCs w:val="28"/>
          <w:rtl/>
        </w:rPr>
        <w:t xml:space="preserve">) </w:t>
      </w:r>
      <w:r w:rsidRPr="005173C2">
        <w:rPr>
          <w:rFonts w:cs="DanaFajr" w:hint="cs"/>
          <w:sz w:val="28"/>
          <w:szCs w:val="28"/>
          <w:rtl/>
        </w:rPr>
        <w:t xml:space="preserve">فخر المحقِّقين، إيضاح الفوائد 3: 522. </w:t>
      </w:r>
    </w:p>
  </w:endnote>
  <w:endnote w:id="389">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 xml:space="preserve">الحرّ العاملي، وسائل الشيعة 26: 234، باب 1 من أبواب ميراث ولاء العتق، ح4. </w:t>
      </w:r>
    </w:p>
  </w:endnote>
  <w:endnote w:id="390">
    <w:p w:rsidR="00F41F33" w:rsidRPr="00275684" w:rsidRDefault="00F41F33" w:rsidP="00145E6B">
      <w:pPr>
        <w:pStyle w:val="aa"/>
        <w:spacing w:line="340" w:lineRule="exact"/>
        <w:ind w:firstLine="0"/>
        <w:rPr>
          <w:rFonts w:cs="DanaFajr"/>
          <w:sz w:val="28"/>
          <w:szCs w:val="28"/>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 xml:space="preserve">سند الحديث: محمد بن يعقوب الكليني، عن محمد بن يحيی، عن أحمد بن محمد، عن ابن </w:t>
      </w:r>
      <w:r w:rsidRPr="00275684">
        <w:rPr>
          <w:rFonts w:cs="DanaFajr" w:hint="cs"/>
          <w:sz w:val="28"/>
          <w:szCs w:val="28"/>
          <w:rtl/>
        </w:rPr>
        <w:t>فضّال، عن ابن أبي الحمراء [الكليني، الكافي 7: 135، ح4]. وابن أبي الحمراء مجهول [الجواهري،</w:t>
      </w:r>
      <w:r w:rsidRPr="00EE3AAF">
        <w:rPr>
          <w:rFonts w:cs="DanaFajr" w:hint="cs"/>
          <w:sz w:val="28"/>
          <w:szCs w:val="28"/>
          <w:rtl/>
        </w:rPr>
        <w:t xml:space="preserve"> </w:t>
      </w:r>
      <w:r w:rsidRPr="00275684">
        <w:rPr>
          <w:rFonts w:cs="DanaFajr" w:hint="cs"/>
          <w:sz w:val="28"/>
          <w:szCs w:val="28"/>
          <w:rtl/>
        </w:rPr>
        <w:t xml:space="preserve">المفيد من معجم رجال الحديث: 731، رقم (14978 ـ 14974 ـ 15004)]. </w:t>
      </w:r>
    </w:p>
  </w:endnote>
  <w:endnote w:id="391">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الحرّ العاملي، وسائل الشيعة 26: 235، باب 1 من أبواب ميراث ولاء العتق، ح7. وانظر:</w:t>
      </w:r>
      <w:r w:rsidRPr="00EE3AAF">
        <w:rPr>
          <w:rFonts w:cs="DanaFajr" w:hint="cs"/>
          <w:sz w:val="28"/>
          <w:szCs w:val="28"/>
          <w:rtl/>
        </w:rPr>
        <w:t xml:space="preserve"> </w:t>
      </w:r>
      <w:r w:rsidRPr="00275684">
        <w:rPr>
          <w:rFonts w:cs="DanaFajr" w:hint="cs"/>
          <w:sz w:val="28"/>
          <w:szCs w:val="28"/>
          <w:rtl/>
        </w:rPr>
        <w:t xml:space="preserve">الكليني، الكافي 7: 135، ح3؛ </w:t>
      </w:r>
      <w:r w:rsidRPr="00275684">
        <w:rPr>
          <w:rFonts w:ascii="md_ameli" w:hAnsi="md_ameli" w:cs="DanaFajr" w:hint="cs"/>
          <w:sz w:val="28"/>
          <w:szCs w:val="28"/>
          <w:rtl/>
        </w:rPr>
        <w:t xml:space="preserve">الطوسي، </w:t>
      </w:r>
      <w:r w:rsidRPr="00275684">
        <w:rPr>
          <w:rFonts w:cs="DanaFajr" w:hint="cs"/>
          <w:sz w:val="28"/>
          <w:szCs w:val="28"/>
          <w:rtl/>
        </w:rPr>
        <w:t xml:space="preserve">تهذيب الأحكام 9: 329، ح1184. </w:t>
      </w:r>
    </w:p>
  </w:endnote>
  <w:endnote w:id="392">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انظر: الحرّ العاملي، وسائل الشيعة 26: 233 ـ 234، باب 1 من أبواب ميراث ولاء العتق، ح1 ـ</w:t>
      </w:r>
      <w:r w:rsidRPr="00EE3AAF">
        <w:rPr>
          <w:rFonts w:cs="DanaFajr" w:hint="cs"/>
          <w:sz w:val="28"/>
          <w:szCs w:val="28"/>
          <w:rtl/>
        </w:rPr>
        <w:t xml:space="preserve"> </w:t>
      </w:r>
      <w:r w:rsidRPr="00275684">
        <w:rPr>
          <w:rFonts w:cs="DanaFajr" w:hint="cs"/>
          <w:sz w:val="28"/>
          <w:szCs w:val="28"/>
          <w:rtl/>
        </w:rPr>
        <w:t xml:space="preserve">6؛ 235، ح8، 9؛ 238، ح15، 16. </w:t>
      </w:r>
    </w:p>
  </w:endnote>
  <w:endnote w:id="393">
    <w:p w:rsidR="00F41F33" w:rsidRPr="00275684" w:rsidRDefault="00F41F33" w:rsidP="00145E6B">
      <w:pPr>
        <w:pStyle w:val="aa"/>
        <w:spacing w:line="340" w:lineRule="exact"/>
        <w:ind w:firstLine="0"/>
        <w:rPr>
          <w:rFonts w:cs="DanaFajr"/>
          <w:sz w:val="28"/>
          <w:szCs w:val="28"/>
        </w:rPr>
      </w:pPr>
      <w:r w:rsidRPr="00275684">
        <w:rPr>
          <w:rFonts w:ascii="md_ameli" w:hAnsi="md_ameli" w:cs="DanaFajr"/>
          <w:sz w:val="28"/>
          <w:szCs w:val="28"/>
          <w:rtl/>
        </w:rPr>
        <w:t>(</w:t>
      </w:r>
      <w:r w:rsidRPr="00275684">
        <w:rPr>
          <w:rFonts w:ascii="md_ameli" w:hAnsi="md_ameli" w:cs="DanaFajr"/>
          <w:sz w:val="28"/>
          <w:szCs w:val="28"/>
        </w:rPr>
        <w:endnoteRef/>
      </w:r>
      <w:r w:rsidRPr="00275684">
        <w:rPr>
          <w:rFonts w:ascii="md_ameli" w:hAnsi="md_ameli" w:cs="DanaFajr"/>
          <w:sz w:val="28"/>
          <w:szCs w:val="28"/>
          <w:rtl/>
        </w:rPr>
        <w:t xml:space="preserve">) </w:t>
      </w:r>
      <w:r w:rsidRPr="00275684">
        <w:rPr>
          <w:rFonts w:cs="DanaFajr" w:hint="cs"/>
          <w:sz w:val="28"/>
          <w:szCs w:val="28"/>
          <w:rtl/>
        </w:rPr>
        <w:t>الحرّ العاملي، وسائل الشيعة</w:t>
      </w:r>
      <w:r w:rsidRPr="00275684">
        <w:rPr>
          <w:rFonts w:ascii="md_ameli" w:hAnsi="md_ameli" w:cs="DanaFajr"/>
          <w:sz w:val="28"/>
          <w:szCs w:val="28"/>
          <w:rtl/>
        </w:rPr>
        <w:t xml:space="preserve"> 26</w:t>
      </w:r>
      <w:r w:rsidRPr="00275684">
        <w:rPr>
          <w:rFonts w:ascii="md_ameli" w:hAnsi="md_ameli" w:cs="DanaFajr" w:hint="cs"/>
          <w:sz w:val="28"/>
          <w:szCs w:val="28"/>
          <w:rtl/>
        </w:rPr>
        <w:t>:</w:t>
      </w:r>
      <w:r w:rsidRPr="00275684">
        <w:rPr>
          <w:rFonts w:ascii="md_ameli" w:hAnsi="md_ameli" w:cs="DanaFajr"/>
          <w:sz w:val="28"/>
          <w:szCs w:val="28"/>
          <w:rtl/>
        </w:rPr>
        <w:t xml:space="preserve"> </w:t>
      </w:r>
      <w:r w:rsidRPr="00275684">
        <w:rPr>
          <w:rFonts w:ascii="md_ameli" w:hAnsi="md_ameli" w:cs="DanaFajr" w:hint="cs"/>
          <w:sz w:val="28"/>
          <w:szCs w:val="28"/>
          <w:rtl/>
        </w:rPr>
        <w:t>64، باب 1 من أبواب موجِبات الإرث، ح3؛ 85، باب 8 من</w:t>
      </w:r>
      <w:r w:rsidRPr="00EE3AAF">
        <w:rPr>
          <w:rFonts w:ascii="md_ameli" w:hAnsi="md_ameli" w:cs="DanaFajr" w:hint="cs"/>
          <w:sz w:val="28"/>
          <w:szCs w:val="28"/>
          <w:rtl/>
        </w:rPr>
        <w:t xml:space="preserve"> </w:t>
      </w:r>
      <w:r w:rsidRPr="00275684">
        <w:rPr>
          <w:rFonts w:ascii="md_ameli" w:hAnsi="md_ameli" w:cs="DanaFajr" w:hint="cs"/>
          <w:sz w:val="28"/>
          <w:szCs w:val="28"/>
          <w:rtl/>
        </w:rPr>
        <w:t xml:space="preserve">أبواب موجِبات الإرث، ح1؛ 186، من ميراث الأعمام والأخوال، ح2. </w:t>
      </w:r>
    </w:p>
  </w:endnote>
  <w:endnote w:id="394">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 xml:space="preserve">الحرّ العاملي، وسائل الشيعة 26: 246، باب 3 من أبواب ولاء ضمان الجريرة، ح1. </w:t>
      </w:r>
    </w:p>
  </w:endnote>
  <w:endnote w:id="395">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 xml:space="preserve">الحرّ العاملي، وسائل الشيعة 23: 70، باب 39 من أبواب العتق، ح1. وانظر: </w:t>
      </w:r>
      <w:r w:rsidRPr="00275684">
        <w:rPr>
          <w:rFonts w:ascii="md_ameli" w:hAnsi="md_ameli" w:cs="DanaFajr" w:hint="cs"/>
          <w:sz w:val="28"/>
          <w:szCs w:val="28"/>
          <w:rtl/>
        </w:rPr>
        <w:t xml:space="preserve">الطوسي، </w:t>
      </w:r>
      <w:r w:rsidRPr="00275684">
        <w:rPr>
          <w:rFonts w:cs="DanaFajr" w:hint="cs"/>
          <w:sz w:val="28"/>
          <w:szCs w:val="28"/>
          <w:rtl/>
        </w:rPr>
        <w:t>تهذيب</w:t>
      </w:r>
      <w:r w:rsidRPr="00EE3AAF">
        <w:rPr>
          <w:rFonts w:cs="DanaFajr" w:hint="cs"/>
          <w:sz w:val="28"/>
          <w:szCs w:val="28"/>
          <w:rtl/>
        </w:rPr>
        <w:t xml:space="preserve"> </w:t>
      </w:r>
      <w:r w:rsidRPr="00275684">
        <w:rPr>
          <w:rFonts w:cs="DanaFajr" w:hint="cs"/>
          <w:sz w:val="28"/>
          <w:szCs w:val="28"/>
          <w:rtl/>
        </w:rPr>
        <w:t xml:space="preserve">الأحكام 8: 253، ح921؛ </w:t>
      </w:r>
      <w:r w:rsidRPr="00275684">
        <w:rPr>
          <w:rFonts w:ascii="md_ameli" w:hAnsi="md_ameli" w:cs="DanaFajr" w:hint="cs"/>
          <w:sz w:val="28"/>
          <w:szCs w:val="28"/>
          <w:rtl/>
        </w:rPr>
        <w:t xml:space="preserve">الطوسي، </w:t>
      </w:r>
      <w:r w:rsidRPr="00275684">
        <w:rPr>
          <w:rFonts w:cs="DanaFajr" w:hint="cs"/>
          <w:sz w:val="28"/>
          <w:szCs w:val="28"/>
          <w:rtl/>
        </w:rPr>
        <w:t xml:space="preserve">الاستبصار 4: 25، ح80. </w:t>
      </w:r>
    </w:p>
  </w:endnote>
  <w:endnote w:id="396">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 xml:space="preserve">الحرّ العاملي، وسائل الشيعة 23: 71، باب 40 من أبواب العتق، ح1. وانظر: </w:t>
      </w:r>
      <w:r w:rsidRPr="00275684">
        <w:rPr>
          <w:rFonts w:ascii="md_ameli" w:hAnsi="md_ameli" w:cs="DanaFajr" w:hint="cs"/>
          <w:sz w:val="28"/>
          <w:szCs w:val="28"/>
          <w:rtl/>
        </w:rPr>
        <w:t xml:space="preserve">الطوسي، </w:t>
      </w:r>
      <w:r w:rsidRPr="00275684">
        <w:rPr>
          <w:rFonts w:cs="DanaFajr" w:hint="cs"/>
          <w:sz w:val="28"/>
          <w:szCs w:val="28"/>
          <w:rtl/>
        </w:rPr>
        <w:t>تهذيب</w:t>
      </w:r>
      <w:r w:rsidRPr="00EE3AAF">
        <w:rPr>
          <w:rFonts w:cs="DanaFajr" w:hint="cs"/>
          <w:sz w:val="28"/>
          <w:szCs w:val="28"/>
          <w:rtl/>
        </w:rPr>
        <w:t xml:space="preserve"> </w:t>
      </w:r>
      <w:r w:rsidRPr="00275684">
        <w:rPr>
          <w:rFonts w:cs="DanaFajr" w:hint="cs"/>
          <w:sz w:val="28"/>
          <w:szCs w:val="28"/>
          <w:rtl/>
        </w:rPr>
        <w:t xml:space="preserve">الأحكام 8: 254، ح923؛ </w:t>
      </w:r>
      <w:r w:rsidRPr="00275684">
        <w:rPr>
          <w:rFonts w:ascii="md_ameli" w:hAnsi="md_ameli" w:cs="DanaFajr" w:hint="cs"/>
          <w:sz w:val="28"/>
          <w:szCs w:val="28"/>
          <w:rtl/>
        </w:rPr>
        <w:t xml:space="preserve">الطوسي، </w:t>
      </w:r>
      <w:r w:rsidRPr="00275684">
        <w:rPr>
          <w:rFonts w:cs="DanaFajr" w:hint="cs"/>
          <w:sz w:val="28"/>
          <w:szCs w:val="28"/>
          <w:rtl/>
        </w:rPr>
        <w:t xml:space="preserve">الاستبصار 4: 24، ح77. </w:t>
      </w:r>
    </w:p>
  </w:endnote>
  <w:endnote w:id="397">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 xml:space="preserve">الحرّ العاملي، وسائل الشيعة 23: 78، باب 43 من أبواب العتق، ح3؛ </w:t>
      </w:r>
      <w:r w:rsidRPr="00275684">
        <w:rPr>
          <w:rFonts w:ascii="md_ameli" w:hAnsi="md_ameli" w:cs="DanaFajr" w:hint="cs"/>
          <w:sz w:val="28"/>
          <w:szCs w:val="28"/>
          <w:rtl/>
        </w:rPr>
        <w:t xml:space="preserve">الطوسي، </w:t>
      </w:r>
      <w:r w:rsidRPr="00275684">
        <w:rPr>
          <w:rFonts w:cs="DanaFajr" w:hint="cs"/>
          <w:sz w:val="28"/>
          <w:szCs w:val="28"/>
          <w:rtl/>
        </w:rPr>
        <w:t>تهذيب الأحكام</w:t>
      </w:r>
      <w:r w:rsidRPr="00EE3AAF">
        <w:rPr>
          <w:rFonts w:cs="DanaFajr" w:hint="cs"/>
          <w:sz w:val="28"/>
          <w:szCs w:val="28"/>
          <w:rtl/>
        </w:rPr>
        <w:t xml:space="preserve"> </w:t>
      </w:r>
      <w:r w:rsidRPr="00275684">
        <w:rPr>
          <w:rFonts w:cs="DanaFajr" w:hint="cs"/>
          <w:sz w:val="28"/>
          <w:szCs w:val="28"/>
          <w:rtl/>
        </w:rPr>
        <w:t xml:space="preserve">8: 257، ح933؛ </w:t>
      </w:r>
      <w:r w:rsidRPr="00275684">
        <w:rPr>
          <w:rFonts w:ascii="md_ameli" w:hAnsi="md_ameli" w:cs="DanaFajr" w:hint="cs"/>
          <w:sz w:val="28"/>
          <w:szCs w:val="28"/>
          <w:rtl/>
        </w:rPr>
        <w:t xml:space="preserve">الطوسي، </w:t>
      </w:r>
      <w:r w:rsidRPr="00275684">
        <w:rPr>
          <w:rFonts w:cs="DanaFajr" w:hint="cs"/>
          <w:sz w:val="28"/>
          <w:szCs w:val="28"/>
          <w:rtl/>
        </w:rPr>
        <w:t xml:space="preserve">الاستبصار 4: 27. </w:t>
      </w:r>
    </w:p>
  </w:endnote>
  <w:endnote w:id="398">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الحرّ العاملي، وسائل الشيعة 23: 73، باب 41 من أبواب العتق، ح1؛ 26: 244، باب 1 من</w:t>
      </w:r>
      <w:r w:rsidRPr="00EE3AAF">
        <w:rPr>
          <w:rFonts w:cs="DanaFajr" w:hint="cs"/>
          <w:sz w:val="28"/>
          <w:szCs w:val="28"/>
          <w:rtl/>
        </w:rPr>
        <w:t xml:space="preserve"> </w:t>
      </w:r>
      <w:r w:rsidRPr="00275684">
        <w:rPr>
          <w:rFonts w:cs="DanaFajr" w:hint="cs"/>
          <w:sz w:val="28"/>
          <w:szCs w:val="28"/>
          <w:rtl/>
        </w:rPr>
        <w:t>أبواب ولاء ضمان الجريرة والإمامة، ح3؛ 26: 254، باب 4 من أبواب ولاء ضمان الجريرة والإمامة،</w:t>
      </w:r>
      <w:r w:rsidRPr="00EE3AAF">
        <w:rPr>
          <w:rFonts w:cs="DanaFajr" w:hint="cs"/>
          <w:sz w:val="28"/>
          <w:szCs w:val="28"/>
          <w:rtl/>
        </w:rPr>
        <w:t xml:space="preserve"> </w:t>
      </w:r>
      <w:r w:rsidRPr="00275684">
        <w:rPr>
          <w:rFonts w:cs="DanaFajr" w:hint="cs"/>
          <w:sz w:val="28"/>
          <w:szCs w:val="28"/>
          <w:rtl/>
        </w:rPr>
        <w:t>ح8. وانظر: الكليني، الكافي 7: 172، ح8؛ 171، ح4؛ الطوسي، تهذيب الأحكام 8: 255، ح927؛ 9:</w:t>
      </w:r>
      <w:r w:rsidRPr="00EE3AAF">
        <w:rPr>
          <w:rFonts w:cs="DanaFajr" w:hint="cs"/>
          <w:sz w:val="28"/>
          <w:szCs w:val="28"/>
          <w:rtl/>
        </w:rPr>
        <w:t xml:space="preserve"> </w:t>
      </w:r>
      <w:r w:rsidRPr="00275684">
        <w:rPr>
          <w:rFonts w:cs="DanaFajr" w:hint="cs"/>
          <w:sz w:val="28"/>
          <w:szCs w:val="28"/>
          <w:rtl/>
        </w:rPr>
        <w:t>395، ح1409؛ الطوسي، الاستبصار 4: 199، ح746، 747؛ الصدوق، مَنْ لا يحضره الفقيه 3:</w:t>
      </w:r>
      <w:r w:rsidRPr="00EE3AAF">
        <w:rPr>
          <w:rFonts w:cs="DanaFajr" w:hint="cs"/>
          <w:sz w:val="28"/>
          <w:szCs w:val="28"/>
          <w:rtl/>
        </w:rPr>
        <w:t xml:space="preserve"> </w:t>
      </w:r>
      <w:r w:rsidRPr="00275684">
        <w:rPr>
          <w:rFonts w:cs="DanaFajr" w:hint="cs"/>
          <w:sz w:val="28"/>
          <w:szCs w:val="28"/>
          <w:rtl/>
        </w:rPr>
        <w:t xml:space="preserve">136، ح3503. </w:t>
      </w:r>
    </w:p>
  </w:endnote>
  <w:endnote w:id="399">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انظر: الحرّ العاملي، وسائل الشيعة 23: 73، باب 41 من أبواب العتق، ح1؛ حيث أشار إليه في</w:t>
      </w:r>
      <w:r w:rsidRPr="00EE3AAF">
        <w:rPr>
          <w:rFonts w:cs="DanaFajr" w:hint="cs"/>
          <w:sz w:val="28"/>
          <w:szCs w:val="28"/>
          <w:rtl/>
        </w:rPr>
        <w:t xml:space="preserve"> ذيل صحيح سليمان بن خالد، مع أنّه غيره، وكان عليه أن يُعبِّر بـ </w:t>
      </w:r>
      <w:r w:rsidRPr="00EE3AAF">
        <w:rPr>
          <w:rFonts w:cs="DanaFajr" w:hint="eastAsia"/>
          <w:sz w:val="27"/>
          <w:szCs w:val="27"/>
          <w:rtl/>
        </w:rPr>
        <w:t>«</w:t>
      </w:r>
      <w:r w:rsidRPr="00EE3AAF">
        <w:rPr>
          <w:rFonts w:cs="DanaFajr" w:hint="cs"/>
          <w:sz w:val="28"/>
          <w:szCs w:val="28"/>
          <w:rtl/>
        </w:rPr>
        <w:t>وروی مثله أو نحوه</w:t>
      </w:r>
      <w:r w:rsidRPr="00EE3AAF">
        <w:rPr>
          <w:rFonts w:cs="DanaFajr" w:hint="eastAsia"/>
          <w:sz w:val="27"/>
          <w:szCs w:val="27"/>
          <w:rtl/>
        </w:rPr>
        <w:t>»</w:t>
      </w:r>
      <w:r w:rsidRPr="00EE3AAF">
        <w:rPr>
          <w:rFonts w:cs="DanaFajr" w:hint="cs"/>
          <w:sz w:val="28"/>
          <w:szCs w:val="28"/>
          <w:rtl/>
        </w:rPr>
        <w:t xml:space="preserve">. وانظر: </w:t>
      </w:r>
      <w:r w:rsidRPr="00275684">
        <w:rPr>
          <w:rFonts w:cs="DanaFajr" w:hint="cs"/>
          <w:sz w:val="28"/>
          <w:szCs w:val="28"/>
          <w:rtl/>
        </w:rPr>
        <w:t xml:space="preserve">الكليني، الكافي 7: 171، ح4؛ الصدوق، </w:t>
      </w:r>
      <w:r w:rsidRPr="00275684">
        <w:rPr>
          <w:rFonts w:ascii="md_ameli" w:hAnsi="md_ameli" w:cs="DanaFajr" w:hint="cs"/>
          <w:sz w:val="28"/>
          <w:szCs w:val="28"/>
          <w:rtl/>
        </w:rPr>
        <w:t xml:space="preserve">مَنْ لا يحضره الفقيه 3: 136، ح3503؛ </w:t>
      </w:r>
      <w:r w:rsidRPr="00275684">
        <w:rPr>
          <w:rFonts w:cs="DanaFajr" w:hint="cs"/>
          <w:sz w:val="28"/>
          <w:szCs w:val="28"/>
          <w:rtl/>
        </w:rPr>
        <w:t>تهذيب الأحكام 8:</w:t>
      </w:r>
      <w:r w:rsidRPr="00EE3AAF">
        <w:rPr>
          <w:rFonts w:cs="DanaFajr" w:hint="cs"/>
          <w:sz w:val="28"/>
          <w:szCs w:val="28"/>
          <w:rtl/>
        </w:rPr>
        <w:t xml:space="preserve"> </w:t>
      </w:r>
      <w:r w:rsidRPr="00275684">
        <w:rPr>
          <w:rFonts w:cs="DanaFajr" w:hint="cs"/>
          <w:sz w:val="28"/>
          <w:szCs w:val="28"/>
          <w:rtl/>
        </w:rPr>
        <w:t xml:space="preserve">255، ح927. </w:t>
      </w:r>
    </w:p>
  </w:endnote>
  <w:endnote w:id="400">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 xml:space="preserve">الحرّ العاملي، وسائل الشيعة 26: 246، باب 3 من أبواب ولاء ضمان الجريرة، ح1. </w:t>
      </w:r>
    </w:p>
  </w:endnote>
  <w:endnote w:id="401">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 xml:space="preserve">الحرّ العاملي، وسائل الشيعة 26: 243، باب 1 من أبواب ولاء ضمان الجريرة والإمامة، ح1. </w:t>
      </w:r>
    </w:p>
  </w:endnote>
  <w:endnote w:id="402">
    <w:p w:rsidR="00F41F33" w:rsidRPr="00275684" w:rsidRDefault="00F41F33" w:rsidP="00145E6B">
      <w:pPr>
        <w:pStyle w:val="aa"/>
        <w:spacing w:line="340" w:lineRule="exact"/>
        <w:ind w:firstLine="0"/>
        <w:rPr>
          <w:rFonts w:cs="DanaFajr"/>
          <w:sz w:val="28"/>
          <w:szCs w:val="28"/>
        </w:rPr>
      </w:pPr>
      <w:r w:rsidRPr="00275684">
        <w:rPr>
          <w:rFonts w:cs="DanaFajr"/>
          <w:sz w:val="28"/>
          <w:szCs w:val="28"/>
          <w:rtl/>
        </w:rPr>
        <w:t>(</w:t>
      </w:r>
      <w:r w:rsidRPr="00275684">
        <w:rPr>
          <w:rFonts w:cs="DanaFajr"/>
          <w:sz w:val="28"/>
          <w:szCs w:val="28"/>
        </w:rPr>
        <w:endnoteRef/>
      </w:r>
      <w:r w:rsidRPr="00275684">
        <w:rPr>
          <w:rFonts w:cs="DanaFajr"/>
          <w:sz w:val="28"/>
          <w:szCs w:val="28"/>
          <w:rtl/>
        </w:rPr>
        <w:t xml:space="preserve">) </w:t>
      </w:r>
      <w:r w:rsidRPr="00275684">
        <w:rPr>
          <w:rFonts w:cs="DanaFajr" w:hint="cs"/>
          <w:sz w:val="28"/>
          <w:szCs w:val="28"/>
          <w:rtl/>
        </w:rPr>
        <w:t xml:space="preserve">انظر: النجفي، جواهر الكلام 39: 229. </w:t>
      </w:r>
    </w:p>
  </w:endnote>
  <w:endnote w:id="403">
    <w:p w:rsidR="00F41F33" w:rsidRPr="00E813DB" w:rsidRDefault="00F41F33" w:rsidP="00145E6B">
      <w:pPr>
        <w:pStyle w:val="aa"/>
        <w:spacing w:line="340" w:lineRule="exact"/>
        <w:ind w:firstLine="0"/>
        <w:rPr>
          <w:rFonts w:cs="DanaFajr"/>
          <w:sz w:val="28"/>
          <w:szCs w:val="28"/>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 xml:space="preserve">إشكالية السند: أبو الربيع خالد [= خليد] بن أوفی العَنَزي الشامي، لم يُوثَّق. ولكن الصدوق اعتمد على رواياته. كما أنّ الشهيد الأوّل صحَّح رواياته في شرح الإرشاد؛ لرواية الحسن بن محبوب </w:t>
      </w:r>
      <w:r w:rsidRPr="00E813DB">
        <w:rPr>
          <w:rFonts w:cs="DanaFajr" w:hint="cs"/>
          <w:sz w:val="28"/>
          <w:szCs w:val="28"/>
          <w:rtl/>
        </w:rPr>
        <w:t>عنه، وأيضاً رواية ابن مسكان عنه [الحرّ العاملي، أمل الآمل 1: 82 ـ 83، رقم (79)]. ومال الوحيد</w:t>
      </w:r>
      <w:r w:rsidRPr="00EE3AAF">
        <w:rPr>
          <w:rFonts w:cs="DanaFajr" w:hint="cs"/>
          <w:sz w:val="28"/>
          <w:szCs w:val="28"/>
          <w:rtl/>
        </w:rPr>
        <w:t xml:space="preserve"> </w:t>
      </w:r>
      <w:r w:rsidRPr="00E813DB">
        <w:rPr>
          <w:rFonts w:cs="DanaFajr" w:hint="cs"/>
          <w:sz w:val="28"/>
          <w:szCs w:val="28"/>
          <w:rtl/>
        </w:rPr>
        <w:t>البهبهاني إلى توثيقه [الوحيد البهبهاني، تعليقة على منهج المقال: 376. وانظر: النمازي</w:t>
      </w:r>
      <w:r w:rsidRPr="00EE3AAF">
        <w:rPr>
          <w:rFonts w:cs="DanaFajr" w:hint="cs"/>
          <w:sz w:val="28"/>
          <w:szCs w:val="28"/>
          <w:rtl/>
        </w:rPr>
        <w:t xml:space="preserve"> </w:t>
      </w:r>
      <w:r w:rsidRPr="00E813DB">
        <w:rPr>
          <w:rFonts w:cs="DanaFajr" w:hint="cs"/>
          <w:sz w:val="28"/>
          <w:szCs w:val="28"/>
          <w:rtl/>
        </w:rPr>
        <w:t>الشاهرودي، مستدركات علم رجال الحديث 8: 383، رقم (16897)؛ الجواهري، المفيد من معجم</w:t>
      </w:r>
      <w:r w:rsidRPr="00EE3AAF">
        <w:rPr>
          <w:rFonts w:cs="DanaFajr" w:hint="cs"/>
          <w:sz w:val="28"/>
          <w:szCs w:val="28"/>
          <w:rtl/>
        </w:rPr>
        <w:t xml:space="preserve"> </w:t>
      </w:r>
      <w:r w:rsidRPr="00E813DB">
        <w:rPr>
          <w:rFonts w:cs="DanaFajr" w:hint="cs"/>
          <w:sz w:val="28"/>
          <w:szCs w:val="28"/>
          <w:rtl/>
        </w:rPr>
        <w:t xml:space="preserve">رجال الحديث: 204، رقم (4162 ـ 4161 ـ 4170)؛ 211، رقم (4326 ـ 4325 ـ 4334)]. </w:t>
      </w:r>
    </w:p>
  </w:endnote>
  <w:endnote w:id="404">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الحرّ العاملي، وسائل الشيعة 23: 77 ـ 78، باب 43 من أبواب العتق، ح2. وانظر: </w:t>
      </w:r>
      <w:r w:rsidRPr="00E813DB">
        <w:rPr>
          <w:rFonts w:ascii="md_ameli" w:hAnsi="md_ameli" w:cs="DanaFajr" w:hint="cs"/>
          <w:sz w:val="28"/>
          <w:szCs w:val="28"/>
          <w:rtl/>
        </w:rPr>
        <w:t>الطوسي،</w:t>
      </w:r>
      <w:r w:rsidRPr="00EE3AAF">
        <w:rPr>
          <w:rFonts w:ascii="md_ameli" w:hAnsi="md_ameli" w:cs="DanaFajr" w:hint="cs"/>
          <w:sz w:val="28"/>
          <w:szCs w:val="28"/>
          <w:rtl/>
        </w:rPr>
        <w:t xml:space="preserve"> </w:t>
      </w:r>
      <w:r w:rsidRPr="00E813DB">
        <w:rPr>
          <w:rFonts w:cs="DanaFajr" w:hint="cs"/>
          <w:sz w:val="28"/>
          <w:szCs w:val="28"/>
          <w:rtl/>
        </w:rPr>
        <w:t xml:space="preserve">تهذيب الأحكام 8: 256، ح929؛ </w:t>
      </w:r>
      <w:r w:rsidRPr="00E813DB">
        <w:rPr>
          <w:rFonts w:ascii="md_ameli" w:hAnsi="md_ameli" w:cs="DanaFajr" w:hint="cs"/>
          <w:sz w:val="28"/>
          <w:szCs w:val="28"/>
          <w:rtl/>
        </w:rPr>
        <w:t xml:space="preserve">الطوسي، </w:t>
      </w:r>
      <w:r w:rsidRPr="00E813DB">
        <w:rPr>
          <w:rFonts w:cs="DanaFajr" w:hint="cs"/>
          <w:sz w:val="28"/>
          <w:szCs w:val="28"/>
          <w:rtl/>
        </w:rPr>
        <w:t xml:space="preserve">الاستبصار 4: 26، ح84. </w:t>
      </w:r>
    </w:p>
  </w:endnote>
  <w:endnote w:id="405">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الحرّ العاملي، وسائل الشيعة 26: 246، باب 3 من أبواب ولاء ضمان الجريرة، ح1. وانظر:</w:t>
      </w:r>
      <w:r w:rsidRPr="00EE3AAF">
        <w:rPr>
          <w:rFonts w:cs="DanaFajr" w:hint="cs"/>
          <w:sz w:val="28"/>
          <w:szCs w:val="28"/>
          <w:rtl/>
        </w:rPr>
        <w:t xml:space="preserve"> </w:t>
      </w:r>
      <w:r w:rsidRPr="00E813DB">
        <w:rPr>
          <w:rFonts w:ascii="md_ameli" w:hAnsi="md_ameli" w:cs="DanaFajr" w:hint="cs"/>
          <w:sz w:val="28"/>
          <w:szCs w:val="28"/>
          <w:rtl/>
        </w:rPr>
        <w:t xml:space="preserve">الطوسي، </w:t>
      </w:r>
      <w:r w:rsidRPr="00E813DB">
        <w:rPr>
          <w:rFonts w:cs="DanaFajr" w:hint="cs"/>
          <w:sz w:val="28"/>
          <w:szCs w:val="28"/>
          <w:rtl/>
        </w:rPr>
        <w:t xml:space="preserve">تهذيب الأحكام 8: 256، ح928؛ </w:t>
      </w:r>
      <w:r w:rsidRPr="00E813DB">
        <w:rPr>
          <w:rFonts w:ascii="md_ameli" w:hAnsi="md_ameli" w:cs="DanaFajr" w:hint="cs"/>
          <w:sz w:val="28"/>
          <w:szCs w:val="28"/>
          <w:rtl/>
        </w:rPr>
        <w:t xml:space="preserve">الطوسي، </w:t>
      </w:r>
      <w:r w:rsidRPr="00E813DB">
        <w:rPr>
          <w:rFonts w:cs="DanaFajr" w:hint="cs"/>
          <w:sz w:val="28"/>
          <w:szCs w:val="28"/>
          <w:rtl/>
        </w:rPr>
        <w:t xml:space="preserve">الاستبصار 4: 26، ح83. </w:t>
      </w:r>
    </w:p>
  </w:endnote>
  <w:endnote w:id="406">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(لحمة) روي بفتح اللام وضمّها [فخر المحقِّقين، إيضاح الفوائد 3: 522]. </w:t>
      </w:r>
    </w:p>
  </w:endnote>
  <w:endnote w:id="407">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الحرّ العاملي، وسائل الشيعة 23: 75، باب 42 من أبواب العتق، ح2. </w:t>
      </w:r>
    </w:p>
  </w:endnote>
  <w:endnote w:id="408">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انظر: النجفي، جواهر الكلام 39: 235. </w:t>
      </w:r>
    </w:p>
  </w:endnote>
  <w:endnote w:id="409">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انظر: المصدر السابق 39: 242. </w:t>
      </w:r>
    </w:p>
  </w:endnote>
  <w:endnote w:id="410">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w:t>
      </w:r>
      <w:r w:rsidRPr="00E813DB">
        <w:rPr>
          <w:rFonts w:cs="DanaFajr" w:hint="cs"/>
          <w:sz w:val="28"/>
          <w:szCs w:val="28"/>
          <w:rtl/>
        </w:rPr>
        <w:t xml:space="preserve"> الشهيد الثاني زين الدين الجبعي، مسالك الأفهام 13: 197 ـ 198؛ النراقي، مستند الشيعة</w:t>
      </w:r>
      <w:r w:rsidRPr="00EE3AAF">
        <w:rPr>
          <w:rFonts w:cs="DanaFajr" w:hint="cs"/>
          <w:sz w:val="28"/>
          <w:szCs w:val="28"/>
          <w:rtl/>
        </w:rPr>
        <w:t xml:space="preserve"> </w:t>
      </w:r>
      <w:r w:rsidRPr="00E813DB">
        <w:rPr>
          <w:rFonts w:cs="DanaFajr" w:hint="cs"/>
          <w:sz w:val="28"/>
          <w:szCs w:val="28"/>
          <w:rtl/>
        </w:rPr>
        <w:t xml:space="preserve">19: 403. </w:t>
      </w:r>
    </w:p>
  </w:endnote>
  <w:endnote w:id="411">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w:t>
      </w:r>
      <w:r w:rsidRPr="00E813DB">
        <w:rPr>
          <w:rFonts w:ascii="md_ameli" w:hAnsi="md_ameli" w:cs="DanaFajr" w:hint="cs"/>
          <w:sz w:val="28"/>
          <w:szCs w:val="28"/>
          <w:rtl/>
        </w:rPr>
        <w:t xml:space="preserve"> محمد بن الحسن الطوسي، </w:t>
      </w:r>
      <w:r w:rsidRPr="00E813DB">
        <w:rPr>
          <w:rFonts w:cs="DanaFajr" w:hint="cs"/>
          <w:sz w:val="28"/>
          <w:szCs w:val="28"/>
          <w:rtl/>
        </w:rPr>
        <w:t>الخلاف 4: 84؛ السيوري، التنقيح الرائع 4: 194؛ النراقي، مستند</w:t>
      </w:r>
      <w:r w:rsidRPr="00EE3AAF">
        <w:rPr>
          <w:rFonts w:cs="DanaFajr" w:hint="cs"/>
          <w:sz w:val="28"/>
          <w:szCs w:val="28"/>
          <w:rtl/>
        </w:rPr>
        <w:t xml:space="preserve"> </w:t>
      </w:r>
      <w:r w:rsidRPr="00E813DB">
        <w:rPr>
          <w:rFonts w:cs="DanaFajr" w:hint="cs"/>
          <w:sz w:val="28"/>
          <w:szCs w:val="28"/>
          <w:rtl/>
        </w:rPr>
        <w:t xml:space="preserve">الشيعة 19: 403. </w:t>
      </w:r>
    </w:p>
  </w:endnote>
  <w:endnote w:id="412">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النراقي، مستند الشيعة 19: 404. </w:t>
      </w:r>
    </w:p>
  </w:endnote>
  <w:endnote w:id="413">
    <w:p w:rsidR="00F41F33" w:rsidRPr="00EE3AAF" w:rsidRDefault="00F41F33" w:rsidP="00145E6B">
      <w:pPr>
        <w:pStyle w:val="aa"/>
        <w:spacing w:line="340" w:lineRule="exact"/>
        <w:ind w:firstLine="0"/>
        <w:rPr>
          <w:rFonts w:cs="DanaFajr"/>
          <w:sz w:val="28"/>
          <w:szCs w:val="28"/>
        </w:rPr>
      </w:pPr>
      <w:r w:rsidRPr="00EE3AAF">
        <w:rPr>
          <w:rFonts w:cs="DanaFajr"/>
          <w:sz w:val="28"/>
          <w:szCs w:val="28"/>
          <w:rtl/>
        </w:rPr>
        <w:t>(</w:t>
      </w:r>
      <w:r w:rsidRPr="00EE3AAF">
        <w:rPr>
          <w:rFonts w:cs="DanaFajr"/>
          <w:sz w:val="28"/>
          <w:szCs w:val="28"/>
        </w:rPr>
        <w:endnoteRef/>
      </w:r>
      <w:r w:rsidRPr="00EE3AAF">
        <w:rPr>
          <w:rFonts w:cs="DanaFajr"/>
          <w:sz w:val="28"/>
          <w:szCs w:val="28"/>
          <w:rtl/>
        </w:rPr>
        <w:t xml:space="preserve">) </w:t>
      </w:r>
      <w:r w:rsidRPr="00EE3AAF">
        <w:rPr>
          <w:rFonts w:cs="DanaFajr" w:hint="cs"/>
          <w:sz w:val="28"/>
          <w:szCs w:val="28"/>
          <w:rtl/>
        </w:rPr>
        <w:t xml:space="preserve">المصدر نفسه. </w:t>
      </w:r>
    </w:p>
  </w:endnote>
  <w:endnote w:id="414">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الحرّ العاملي، وسائل الشيعة 26: 241، باب 3 من أبواب ميراث ولاء العتق، ح3؛ النراقي،</w:t>
      </w:r>
      <w:r w:rsidRPr="00EE3AAF">
        <w:rPr>
          <w:rFonts w:cs="DanaFajr" w:hint="cs"/>
          <w:sz w:val="28"/>
          <w:szCs w:val="28"/>
          <w:rtl/>
        </w:rPr>
        <w:t xml:space="preserve"> </w:t>
      </w:r>
      <w:r w:rsidRPr="00E813DB">
        <w:rPr>
          <w:rFonts w:cs="DanaFajr" w:hint="cs"/>
          <w:sz w:val="28"/>
          <w:szCs w:val="28"/>
          <w:rtl/>
        </w:rPr>
        <w:t xml:space="preserve">مستند الشيعة 19: 404. </w:t>
      </w:r>
    </w:p>
  </w:endnote>
  <w:endnote w:id="415">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lang w:bidi="fa-IR"/>
        </w:rPr>
        <w:t xml:space="preserve">العلاّمة الحلّي، </w:t>
      </w:r>
      <w:r w:rsidRPr="00E813DB">
        <w:rPr>
          <w:rFonts w:cs="DanaFajr" w:hint="cs"/>
          <w:sz w:val="28"/>
          <w:szCs w:val="28"/>
          <w:rtl/>
        </w:rPr>
        <w:t>قواعد الأحكام 3: 378؛ فخر المحقِّقين، إيضاح الفوائد 3: 522؛ ابن فهد</w:t>
      </w:r>
      <w:r w:rsidRPr="00EE3AAF">
        <w:rPr>
          <w:rFonts w:cs="DanaFajr" w:hint="cs"/>
          <w:sz w:val="28"/>
          <w:szCs w:val="28"/>
          <w:rtl/>
        </w:rPr>
        <w:t xml:space="preserve"> </w:t>
      </w:r>
      <w:r w:rsidRPr="00E813DB">
        <w:rPr>
          <w:rFonts w:cs="DanaFajr" w:hint="cs"/>
          <w:sz w:val="28"/>
          <w:szCs w:val="28"/>
          <w:rtl/>
        </w:rPr>
        <w:t>الحلّي، المهذَّب البارع 4: 408؛ الشهيد الثاني، مسالك الأفهام 13: 469، 200، 208، 217؛ محمد</w:t>
      </w:r>
      <w:r w:rsidRPr="00EE3AAF">
        <w:rPr>
          <w:rFonts w:cs="DanaFajr" w:hint="cs"/>
          <w:sz w:val="28"/>
          <w:szCs w:val="28"/>
          <w:rtl/>
        </w:rPr>
        <w:t xml:space="preserve"> </w:t>
      </w:r>
      <w:r w:rsidRPr="00E813DB">
        <w:rPr>
          <w:rFonts w:cs="DanaFajr" w:hint="cs"/>
          <w:sz w:val="28"/>
          <w:szCs w:val="28"/>
          <w:rtl/>
        </w:rPr>
        <w:t xml:space="preserve">باقر السبزواري، كفاية الأحكام 2: 872؛ </w:t>
      </w:r>
      <w:r w:rsidRPr="00E813DB">
        <w:rPr>
          <w:rFonts w:cs="DanaFajr" w:hint="cs"/>
          <w:sz w:val="28"/>
          <w:szCs w:val="28"/>
          <w:rtl/>
          <w:lang w:bidi="fa-IR"/>
        </w:rPr>
        <w:t xml:space="preserve">محمد بن الحسن الفاضل الهندي، </w:t>
      </w:r>
      <w:r w:rsidRPr="00E813DB">
        <w:rPr>
          <w:rFonts w:cs="DanaFajr" w:hint="cs"/>
          <w:sz w:val="28"/>
          <w:szCs w:val="28"/>
          <w:rtl/>
        </w:rPr>
        <w:t>كشف اللثام 9: 471؛</w:t>
      </w:r>
      <w:r w:rsidRPr="00EE3AAF">
        <w:rPr>
          <w:rFonts w:cs="DanaFajr" w:hint="cs"/>
          <w:sz w:val="28"/>
          <w:szCs w:val="28"/>
          <w:rtl/>
        </w:rPr>
        <w:t xml:space="preserve"> </w:t>
      </w:r>
      <w:r w:rsidRPr="00E813DB">
        <w:rPr>
          <w:rFonts w:cs="DanaFajr" w:hint="cs"/>
          <w:sz w:val="28"/>
          <w:szCs w:val="28"/>
          <w:rtl/>
        </w:rPr>
        <w:t>النراقي، مستند الشيعة 19: 404؛ النجفي، جواهر الكلام 38: 165؛ أحمد الخوانساري، جامع</w:t>
      </w:r>
      <w:r w:rsidRPr="00EE3AAF">
        <w:rPr>
          <w:rFonts w:cs="DanaFajr" w:hint="cs"/>
          <w:sz w:val="28"/>
          <w:szCs w:val="28"/>
          <w:rtl/>
        </w:rPr>
        <w:t xml:space="preserve"> </w:t>
      </w:r>
      <w:r w:rsidRPr="00E813DB">
        <w:rPr>
          <w:rFonts w:cs="DanaFajr" w:hint="cs"/>
          <w:sz w:val="28"/>
          <w:szCs w:val="28"/>
          <w:rtl/>
        </w:rPr>
        <w:t>المدارك 4: 309؛ الإمام أحمد المرتضی، شرح الأزهار 3: 605؛ الشافعي، كتاب الأمّ 4: 81، 133،</w:t>
      </w:r>
      <w:r w:rsidRPr="00EE3AAF">
        <w:rPr>
          <w:rFonts w:cs="DanaFajr" w:hint="cs"/>
          <w:sz w:val="28"/>
          <w:szCs w:val="28"/>
          <w:rtl/>
        </w:rPr>
        <w:t xml:space="preserve"> </w:t>
      </w:r>
      <w:r w:rsidRPr="00E813DB">
        <w:rPr>
          <w:rFonts w:cs="DanaFajr" w:hint="cs"/>
          <w:sz w:val="28"/>
          <w:szCs w:val="28"/>
          <w:rtl/>
        </w:rPr>
        <w:t>139؛ 6: 200، 201؛ 7: 237، 245؛ النووي، المجموع 9: 366؛ 16: 54؛ النووي، روضة الطالبين</w:t>
      </w:r>
      <w:r w:rsidRPr="00EE3AAF">
        <w:rPr>
          <w:rFonts w:cs="DanaFajr" w:hint="cs"/>
          <w:sz w:val="28"/>
          <w:szCs w:val="28"/>
          <w:rtl/>
        </w:rPr>
        <w:t xml:space="preserve"> </w:t>
      </w:r>
      <w:r w:rsidRPr="00E813DB">
        <w:rPr>
          <w:rFonts w:cs="DanaFajr" w:hint="cs"/>
          <w:sz w:val="28"/>
          <w:szCs w:val="28"/>
          <w:rtl/>
        </w:rPr>
        <w:t xml:space="preserve">8: 436. </w:t>
      </w:r>
    </w:p>
  </w:endnote>
  <w:endnote w:id="416">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الشافعي، كتاب المسند: 221، 338؛ صحيح البخاري 3: 27، 128؛ 7: 238؛ 8: 9؛ صحيح</w:t>
      </w:r>
      <w:r w:rsidRPr="00EE3AAF">
        <w:rPr>
          <w:rFonts w:cs="DanaFajr" w:hint="cs"/>
          <w:sz w:val="28"/>
          <w:szCs w:val="28"/>
          <w:rtl/>
        </w:rPr>
        <w:t xml:space="preserve"> </w:t>
      </w:r>
      <w:r w:rsidRPr="00E813DB">
        <w:rPr>
          <w:rFonts w:cs="DanaFajr" w:hint="cs"/>
          <w:sz w:val="28"/>
          <w:szCs w:val="28"/>
          <w:rtl/>
        </w:rPr>
        <w:t>مسلم 4: 214، 216؛ البيهقي، السنن الكبری 5: 338؛ 6: 202؛ 10: 295، 297، 328؛ مسند</w:t>
      </w:r>
      <w:r w:rsidRPr="00EE3AAF">
        <w:rPr>
          <w:rFonts w:cs="DanaFajr" w:hint="cs"/>
          <w:sz w:val="28"/>
          <w:szCs w:val="28"/>
          <w:rtl/>
        </w:rPr>
        <w:t xml:space="preserve"> </w:t>
      </w:r>
      <w:r w:rsidRPr="00E813DB">
        <w:rPr>
          <w:rFonts w:cs="DanaFajr" w:hint="cs"/>
          <w:sz w:val="28"/>
          <w:szCs w:val="28"/>
          <w:rtl/>
        </w:rPr>
        <w:t>أحمد بن حنبل 2: 100؛ 6: 175. وانظر: عليّ بن إبراهيم الأحسائي، عوالي اللآلي 2: 306،</w:t>
      </w:r>
      <w:r w:rsidRPr="00EE3AAF">
        <w:rPr>
          <w:rFonts w:cs="DanaFajr" w:hint="cs"/>
          <w:sz w:val="28"/>
          <w:szCs w:val="28"/>
          <w:rtl/>
        </w:rPr>
        <w:t xml:space="preserve"> </w:t>
      </w:r>
      <w:r w:rsidRPr="00E813DB">
        <w:rPr>
          <w:rFonts w:cs="DanaFajr" w:hint="cs"/>
          <w:sz w:val="28"/>
          <w:szCs w:val="28"/>
          <w:rtl/>
        </w:rPr>
        <w:t xml:space="preserve">ح32. </w:t>
      </w:r>
    </w:p>
  </w:endnote>
  <w:endnote w:id="417">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انظر: الفيض الكاشاني، مفاتيح الشرائع 3: 306. </w:t>
      </w:r>
    </w:p>
  </w:endnote>
  <w:endnote w:id="418">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الصدوق، مَنْ لا يحضره الفقيه 4: 305. </w:t>
      </w:r>
    </w:p>
  </w:endnote>
  <w:endnote w:id="419">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الشهيد الثاني، مسالك الأفهام 13: 198. </w:t>
      </w:r>
    </w:p>
  </w:endnote>
  <w:endnote w:id="420">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المصدر السابق 13: 208؛ الفيض الكاشاني، مفاتيح الشرائع 3: 306؛ النراقي، مستند الشيعة</w:t>
      </w:r>
      <w:r w:rsidRPr="00EE3AAF">
        <w:rPr>
          <w:rFonts w:cs="DanaFajr" w:hint="cs"/>
          <w:sz w:val="28"/>
          <w:szCs w:val="28"/>
          <w:rtl/>
        </w:rPr>
        <w:t xml:space="preserve"> </w:t>
      </w:r>
      <w:r w:rsidRPr="00E813DB">
        <w:rPr>
          <w:rFonts w:cs="DanaFajr" w:hint="cs"/>
          <w:sz w:val="28"/>
          <w:szCs w:val="28"/>
          <w:rtl/>
        </w:rPr>
        <w:t xml:space="preserve">19: 404. </w:t>
      </w:r>
    </w:p>
  </w:endnote>
  <w:endnote w:id="421">
    <w:p w:rsidR="00F41F33" w:rsidRPr="00E813DB" w:rsidRDefault="00F41F33" w:rsidP="00145E6B">
      <w:pPr>
        <w:pStyle w:val="aa"/>
        <w:spacing w:line="340" w:lineRule="exact"/>
        <w:ind w:firstLine="0"/>
        <w:rPr>
          <w:rFonts w:cs="DanaFajr"/>
          <w:sz w:val="28"/>
          <w:szCs w:val="28"/>
        </w:rPr>
      </w:pPr>
      <w:r w:rsidRPr="00E813DB">
        <w:rPr>
          <w:rFonts w:cs="DanaFajr"/>
          <w:sz w:val="28"/>
          <w:szCs w:val="28"/>
          <w:rtl/>
        </w:rPr>
        <w:t>(</w:t>
      </w:r>
      <w:r w:rsidRPr="00E813DB">
        <w:rPr>
          <w:rFonts w:cs="DanaFajr"/>
          <w:sz w:val="28"/>
          <w:szCs w:val="28"/>
        </w:rPr>
        <w:endnoteRef/>
      </w:r>
      <w:r w:rsidRPr="00E813DB">
        <w:rPr>
          <w:rFonts w:cs="DanaFajr"/>
          <w:sz w:val="28"/>
          <w:szCs w:val="28"/>
          <w:rtl/>
        </w:rPr>
        <w:t xml:space="preserve">) </w:t>
      </w:r>
      <w:r w:rsidRPr="00E813DB">
        <w:rPr>
          <w:rFonts w:cs="DanaFajr" w:hint="cs"/>
          <w:sz w:val="28"/>
          <w:szCs w:val="28"/>
          <w:rtl/>
        </w:rPr>
        <w:t xml:space="preserve">الحرّ العاملي، وسائل الشيعة 23: 75، باب 42 من أبواب العتق، ح2. </w:t>
      </w:r>
    </w:p>
  </w:endnote>
  <w:endnote w:id="422">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الشرائع 1: 259. </w:t>
      </w:r>
    </w:p>
  </w:endnote>
  <w:endnote w:id="423">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الجوامع الفقهية: 23. </w:t>
      </w:r>
    </w:p>
  </w:endnote>
  <w:endnote w:id="424">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المصدر نفسه. </w:t>
      </w:r>
    </w:p>
  </w:endnote>
  <w:endnote w:id="425">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الجوامع الفقهية: 23 و24. </w:t>
      </w:r>
    </w:p>
  </w:endnote>
  <w:endnote w:id="426">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الهداية للصدوق: 58</w:t>
      </w:r>
      <w:r w:rsidRPr="00AD189E">
        <w:rPr>
          <w:rFonts w:cs="DanaFajr"/>
          <w:sz w:val="28"/>
          <w:szCs w:val="28"/>
          <w:rtl/>
        </w:rPr>
        <w:t xml:space="preserve"> </w:t>
      </w:r>
    </w:p>
  </w:endnote>
  <w:endnote w:id="427">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الجوامع الفقهية:: 130. </w:t>
      </w:r>
    </w:p>
  </w:endnote>
  <w:endnote w:id="428">
    <w:p w:rsidR="00F41F33" w:rsidRPr="00715694" w:rsidRDefault="00F41F33" w:rsidP="00DB383B">
      <w:pPr>
        <w:pStyle w:val="aa"/>
        <w:spacing w:line="300" w:lineRule="exact"/>
        <w:ind w:firstLine="0"/>
        <w:rPr>
          <w:rFonts w:cs="DanaFajr"/>
          <w:sz w:val="28"/>
          <w:szCs w:val="28"/>
        </w:rPr>
      </w:pPr>
      <w:r w:rsidRPr="001C2EEA">
        <w:rPr>
          <w:rFonts w:cs="DanaFajr" w:hint="cs"/>
          <w:sz w:val="28"/>
          <w:szCs w:val="28"/>
          <w:rtl/>
        </w:rPr>
        <w:t>(</w:t>
      </w:r>
      <w:r w:rsidRPr="001C2EEA">
        <w:rPr>
          <w:rStyle w:val="ac"/>
          <w:rFonts w:cs="DanaFajr"/>
          <w:sz w:val="28"/>
          <w:szCs w:val="28"/>
          <w:vertAlign w:val="baseline"/>
        </w:rPr>
        <w:endnoteRef/>
      </w:r>
      <w:r w:rsidRPr="001C2EEA">
        <w:rPr>
          <w:rFonts w:cs="DanaFajr" w:hint="cs"/>
          <w:sz w:val="28"/>
          <w:szCs w:val="28"/>
          <w:rtl/>
        </w:rPr>
        <w:t>) فقه الرضا</w:t>
      </w:r>
      <w:r w:rsidRPr="00816FCD">
        <w:rPr>
          <w:rFonts w:cs="Mosawi" w:hint="cs"/>
          <w:rtl/>
        </w:rPr>
        <w:t>×</w:t>
      </w:r>
      <w:r w:rsidRPr="001C2EEA">
        <w:rPr>
          <w:rFonts w:cs="DanaFajr" w:hint="cs"/>
          <w:sz w:val="28"/>
          <w:szCs w:val="28"/>
          <w:rtl/>
        </w:rPr>
        <w:t xml:space="preserve">: </w:t>
      </w:r>
      <w:r w:rsidRPr="00AD189E">
        <w:rPr>
          <w:rFonts w:cs="DanaFajr" w:hint="cs"/>
          <w:sz w:val="28"/>
          <w:szCs w:val="28"/>
          <w:rtl/>
        </w:rPr>
        <w:t>224</w:t>
      </w:r>
      <w:r w:rsidRPr="001C2EEA">
        <w:rPr>
          <w:rFonts w:cs="DanaFajr" w:hint="cs"/>
          <w:sz w:val="28"/>
          <w:szCs w:val="28"/>
          <w:rtl/>
        </w:rPr>
        <w:t>.</w:t>
      </w:r>
      <w:r w:rsidRPr="00715694">
        <w:rPr>
          <w:rFonts w:cs="DanaFajr" w:hint="cs"/>
          <w:sz w:val="28"/>
          <w:szCs w:val="28"/>
          <w:rtl/>
        </w:rPr>
        <w:t xml:space="preserve"> </w:t>
      </w:r>
    </w:p>
  </w:endnote>
  <w:endnote w:id="429">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الكافي: 215 ـ 216. </w:t>
      </w:r>
    </w:p>
  </w:endnote>
  <w:endnote w:id="430">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المهذَّب: 257. </w:t>
      </w:r>
    </w:p>
  </w:endnote>
  <w:endnote w:id="431">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الفقه على المذاهب الأربعة 1: 627. </w:t>
      </w:r>
    </w:p>
  </w:endnote>
  <w:endnote w:id="432">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في الخلاف 2: 373. </w:t>
      </w:r>
    </w:p>
  </w:endnote>
  <w:endnote w:id="433">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الجوامع الفقهية: 520. </w:t>
      </w:r>
    </w:p>
  </w:endnote>
  <w:endnote w:id="434">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المقنعة: 65. </w:t>
      </w:r>
    </w:p>
  </w:endnote>
  <w:endnote w:id="435">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الجوامع الفقهية: 728. </w:t>
      </w:r>
    </w:p>
  </w:endnote>
  <w:endnote w:id="436">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المصدر السابق: 311. </w:t>
      </w:r>
    </w:p>
  </w:endnote>
  <w:endnote w:id="437">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المبسوط 1: 370. </w:t>
      </w:r>
    </w:p>
  </w:endnote>
  <w:endnote w:id="438">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الجوامع الفقهية: 579. </w:t>
      </w:r>
    </w:p>
  </w:endnote>
  <w:endnote w:id="439">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السرائر 1: 594. </w:t>
      </w:r>
    </w:p>
  </w:endnote>
  <w:endnote w:id="440">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منتهى المطلب 2: 728 (ط حجريّة). </w:t>
      </w:r>
    </w:p>
  </w:endnote>
  <w:endnote w:id="441">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تذكرة الفقهاء 1: 380 (ط حجريّة). </w:t>
      </w:r>
    </w:p>
  </w:endnote>
  <w:endnote w:id="442">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كشف اللثام 1: 373. </w:t>
      </w:r>
    </w:p>
  </w:endnote>
  <w:endnote w:id="443">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مدارك الأحكام في شرح شرائع الإسلام 8: 19. </w:t>
      </w:r>
    </w:p>
  </w:endnote>
  <w:endnote w:id="444">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جامع المدارك في شرح مختصر النافع 2: 451. </w:t>
      </w:r>
    </w:p>
  </w:endnote>
  <w:endnote w:id="445">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رياض المسائل 1: 391. </w:t>
      </w:r>
    </w:p>
  </w:endnote>
  <w:endnote w:id="446">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معتمد العروة 5: 207. </w:t>
      </w:r>
    </w:p>
  </w:endnote>
  <w:endnote w:id="447">
    <w:p w:rsidR="00F41F33" w:rsidRPr="00AD189E" w:rsidRDefault="00F41F33" w:rsidP="00DB383B">
      <w:pPr>
        <w:pStyle w:val="affe"/>
        <w:ind w:left="0" w:firstLine="0"/>
        <w:jc w:val="both"/>
        <w:rPr>
          <w:rtl/>
        </w:rPr>
      </w:pPr>
      <w:r w:rsidRPr="00AD189E">
        <w:rPr>
          <w:rFonts w:hint="cs"/>
          <w:rtl/>
        </w:rPr>
        <w:t>(</w:t>
      </w:r>
      <w:r w:rsidRPr="00AD189E">
        <w:rPr>
          <w:rStyle w:val="ac"/>
          <w:szCs w:val="24"/>
          <w:vertAlign w:val="baseline"/>
        </w:rPr>
        <w:endnoteRef/>
      </w:r>
      <w:r w:rsidRPr="00AD189E">
        <w:rPr>
          <w:rFonts w:hint="cs"/>
          <w:rtl/>
        </w:rPr>
        <w:t xml:space="preserve">) فروع الكافي 4: 495. </w:t>
      </w:r>
    </w:p>
  </w:endnote>
  <w:endnote w:id="448">
    <w:p w:rsidR="00F41F33" w:rsidRPr="00AD189E" w:rsidRDefault="00F41F33" w:rsidP="00DB383B">
      <w:pPr>
        <w:pStyle w:val="affe"/>
        <w:ind w:left="0" w:firstLine="0"/>
        <w:jc w:val="both"/>
        <w:rPr>
          <w:rtl/>
        </w:rPr>
      </w:pPr>
      <w:r w:rsidRPr="00AD189E">
        <w:rPr>
          <w:rFonts w:hint="cs"/>
          <w:rtl/>
        </w:rPr>
        <w:t>(</w:t>
      </w:r>
      <w:r w:rsidRPr="00AD189E">
        <w:rPr>
          <w:rStyle w:val="ac"/>
          <w:szCs w:val="24"/>
          <w:vertAlign w:val="baseline"/>
        </w:rPr>
        <w:endnoteRef/>
      </w:r>
      <w:r w:rsidRPr="00AD189E">
        <w:rPr>
          <w:rFonts w:hint="cs"/>
          <w:rtl/>
        </w:rPr>
        <w:t xml:space="preserve">) المصدر السابق 4: 488. </w:t>
      </w:r>
    </w:p>
  </w:endnote>
  <w:endnote w:id="449">
    <w:p w:rsidR="00F41F33" w:rsidRPr="00AD189E" w:rsidRDefault="00F41F33" w:rsidP="00DB383B">
      <w:pPr>
        <w:pStyle w:val="affe"/>
        <w:ind w:left="0" w:firstLine="0"/>
        <w:jc w:val="both"/>
        <w:rPr>
          <w:rtl/>
        </w:rPr>
      </w:pPr>
      <w:r w:rsidRPr="00AD189E">
        <w:rPr>
          <w:rFonts w:hint="cs"/>
          <w:rtl/>
        </w:rPr>
        <w:t>(</w:t>
      </w:r>
      <w:r w:rsidRPr="00AD189E">
        <w:rPr>
          <w:rStyle w:val="ac"/>
          <w:szCs w:val="24"/>
          <w:vertAlign w:val="baseline"/>
        </w:rPr>
        <w:endnoteRef/>
      </w:r>
      <w:r w:rsidRPr="00AD189E">
        <w:rPr>
          <w:rFonts w:hint="cs"/>
          <w:rtl/>
        </w:rPr>
        <w:t xml:space="preserve">) تهذيب الأحكام 5: 214. </w:t>
      </w:r>
    </w:p>
  </w:endnote>
  <w:endnote w:id="450">
    <w:p w:rsidR="00F41F33" w:rsidRPr="00AD189E" w:rsidRDefault="00F41F33" w:rsidP="00DB383B">
      <w:pPr>
        <w:pStyle w:val="affe"/>
        <w:ind w:left="0" w:firstLine="0"/>
        <w:jc w:val="both"/>
        <w:rPr>
          <w:rtl/>
        </w:rPr>
      </w:pPr>
      <w:r w:rsidRPr="00AD189E">
        <w:rPr>
          <w:rFonts w:hint="cs"/>
          <w:rtl/>
        </w:rPr>
        <w:t>(</w:t>
      </w:r>
      <w:r w:rsidRPr="00AD189E">
        <w:rPr>
          <w:rStyle w:val="ac"/>
          <w:szCs w:val="24"/>
          <w:vertAlign w:val="baseline"/>
        </w:rPr>
        <w:endnoteRef/>
      </w:r>
      <w:r w:rsidRPr="00AD189E">
        <w:rPr>
          <w:rFonts w:hint="cs"/>
          <w:rtl/>
        </w:rPr>
        <w:t xml:space="preserve">) المصدر السابق: 215. </w:t>
      </w:r>
    </w:p>
  </w:endnote>
  <w:endnote w:id="451">
    <w:p w:rsidR="00F41F33" w:rsidRPr="00AD189E" w:rsidRDefault="00F41F33" w:rsidP="00DB383B">
      <w:pPr>
        <w:pStyle w:val="affe"/>
        <w:ind w:left="0" w:firstLine="0"/>
        <w:jc w:val="both"/>
        <w:rPr>
          <w:rtl/>
        </w:rPr>
      </w:pPr>
      <w:r w:rsidRPr="00AD189E">
        <w:rPr>
          <w:rFonts w:hint="cs"/>
          <w:rtl/>
        </w:rPr>
        <w:t>(</w:t>
      </w:r>
      <w:r w:rsidRPr="00AD189E">
        <w:rPr>
          <w:rStyle w:val="ac"/>
          <w:szCs w:val="24"/>
          <w:vertAlign w:val="baseline"/>
        </w:rPr>
        <w:endnoteRef/>
      </w:r>
      <w:r w:rsidRPr="00AD189E">
        <w:rPr>
          <w:rFonts w:hint="cs"/>
          <w:rtl/>
        </w:rPr>
        <w:t xml:space="preserve">) بحار الأنوار 99: 301، نقلاً عن دعائم الإسلام 1: 194. </w:t>
      </w:r>
    </w:p>
  </w:endnote>
  <w:endnote w:id="452">
    <w:p w:rsidR="00F41F33" w:rsidRPr="00AD189E" w:rsidRDefault="00F41F33" w:rsidP="00DB383B">
      <w:pPr>
        <w:pStyle w:val="affe"/>
        <w:ind w:left="0" w:firstLine="0"/>
        <w:jc w:val="both"/>
        <w:rPr>
          <w:rtl/>
        </w:rPr>
      </w:pPr>
      <w:r w:rsidRPr="00AD189E">
        <w:rPr>
          <w:rFonts w:hint="cs"/>
          <w:rtl/>
        </w:rPr>
        <w:t>(</w:t>
      </w:r>
      <w:r w:rsidRPr="00AD189E">
        <w:rPr>
          <w:rStyle w:val="ac"/>
          <w:szCs w:val="24"/>
          <w:vertAlign w:val="baseline"/>
        </w:rPr>
        <w:endnoteRef/>
      </w:r>
      <w:r w:rsidRPr="00AD189E">
        <w:rPr>
          <w:rFonts w:hint="cs"/>
          <w:rtl/>
        </w:rPr>
        <w:t>) دعائم الإسلام</w:t>
      </w:r>
      <w:r w:rsidRPr="00AD189E">
        <w:rPr>
          <w:rFonts w:ascii="Times" w:hAnsi="Times" w:hint="cs"/>
          <w:position w:val="0"/>
          <w:sz w:val="28"/>
          <w:szCs w:val="27"/>
          <w:rtl/>
          <w:lang w:eastAsia="en-US"/>
        </w:rPr>
        <w:t xml:space="preserve"> </w:t>
      </w:r>
      <w:r w:rsidRPr="00AD189E">
        <w:rPr>
          <w:rFonts w:hint="cs"/>
          <w:rtl/>
        </w:rPr>
        <w:t xml:space="preserve">1: 324. </w:t>
      </w:r>
    </w:p>
  </w:endnote>
  <w:endnote w:id="453">
    <w:p w:rsidR="00F41F33" w:rsidRPr="00715694"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فراجع في هذا المجال: فروع الكافي 4: 245 إلى 248، 249؛ وراجع أيضاً: بحار الأنوار 21:</w:t>
      </w:r>
      <w:r w:rsidRPr="001C2EEA">
        <w:rPr>
          <w:rFonts w:cs="DanaFajr" w:hint="cs"/>
          <w:sz w:val="28"/>
          <w:szCs w:val="28"/>
          <w:rtl/>
        </w:rPr>
        <w:t xml:space="preserve"> </w:t>
      </w:r>
      <w:r w:rsidRPr="00AD189E">
        <w:rPr>
          <w:rFonts w:cs="DanaFajr" w:hint="cs"/>
          <w:sz w:val="28"/>
          <w:szCs w:val="28"/>
          <w:rtl/>
        </w:rPr>
        <w:t>378 إلى 407، باب حجّة الوداع وما جرى فيها. مع أنه نقل عن الإرشاد والأمالي والمنتقى والكافي</w:t>
      </w:r>
      <w:r w:rsidRPr="001C2EEA">
        <w:rPr>
          <w:rFonts w:cs="DanaFajr" w:hint="cs"/>
          <w:sz w:val="28"/>
          <w:szCs w:val="28"/>
          <w:rtl/>
        </w:rPr>
        <w:t xml:space="preserve"> وسائر كتب الشيعة جلّ التفصيلات، بل كلّها، ولم ينقل هذا الكلام عن النبيّ</w:t>
      </w:r>
      <w:r w:rsidRPr="00816FCD">
        <w:rPr>
          <w:rFonts w:cs="Mosawi" w:hint="cs"/>
          <w:rtl/>
        </w:rPr>
        <w:t>|</w:t>
      </w:r>
      <w:r w:rsidRPr="00715694">
        <w:rPr>
          <w:rFonts w:cs="DanaFajr" w:hint="cs"/>
          <w:sz w:val="28"/>
          <w:szCs w:val="28"/>
          <w:rtl/>
        </w:rPr>
        <w:t xml:space="preserve"> في منى. </w:t>
      </w:r>
    </w:p>
  </w:endnote>
  <w:endnote w:id="454">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تهذيب الأحكام 5: 215. </w:t>
      </w:r>
    </w:p>
  </w:endnote>
  <w:endnote w:id="455">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المصدر السابق 5: 214. </w:t>
      </w:r>
    </w:p>
  </w:endnote>
  <w:endnote w:id="456">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المصدر نفسه. </w:t>
      </w:r>
    </w:p>
  </w:endnote>
  <w:endnote w:id="457">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منتهى المطلب 2: 738؛ تذكرة الفقهاء 1: 80. </w:t>
      </w:r>
    </w:p>
  </w:endnote>
  <w:endnote w:id="458">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السنن الكبرى 5: 239. </w:t>
      </w:r>
    </w:p>
  </w:endnote>
  <w:endnote w:id="459">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فروع الكافي 4: 500. </w:t>
      </w:r>
    </w:p>
  </w:endnote>
  <w:endnote w:id="460">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تهذيب الأحكام 5: 202. </w:t>
      </w:r>
    </w:p>
  </w:endnote>
  <w:endnote w:id="461">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المصدر نفسه. </w:t>
      </w:r>
    </w:p>
  </w:endnote>
  <w:endnote w:id="462">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فروع الكافي 4: 501؛ وسائل الشيعة 10: 148. </w:t>
      </w:r>
    </w:p>
  </w:endnote>
  <w:endnote w:id="463">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وسائل الشيعة 10: 148، 19. </w:t>
      </w:r>
    </w:p>
  </w:endnote>
  <w:endnote w:id="464">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المصدر السابق 10: 150 ـ 152، باب 42 و43 من أبواب الذبح.</w:t>
      </w:r>
    </w:p>
  </w:endnote>
  <w:endnote w:id="465">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المصدر السابق 10: 195. </w:t>
      </w:r>
    </w:p>
  </w:endnote>
  <w:endnote w:id="466">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راجع في هذا المجال: فروع الكافي 4: 501. </w:t>
      </w:r>
    </w:p>
  </w:endnote>
  <w:endnote w:id="467">
    <w:p w:rsidR="00F41F33" w:rsidRPr="00AD189E" w:rsidRDefault="00F41F33" w:rsidP="00DB383B">
      <w:pPr>
        <w:pStyle w:val="affe"/>
        <w:ind w:left="0" w:firstLine="0"/>
        <w:jc w:val="both"/>
      </w:pPr>
      <w:r w:rsidRPr="00AD189E">
        <w:rPr>
          <w:rFonts w:hint="cs"/>
          <w:rtl/>
        </w:rPr>
        <w:t>(</w:t>
      </w:r>
      <w:r w:rsidRPr="00AD189E">
        <w:endnoteRef/>
      </w:r>
      <w:r w:rsidRPr="00AD189E">
        <w:rPr>
          <w:rFonts w:hint="cs"/>
          <w:rtl/>
        </w:rPr>
        <w:t xml:space="preserve">) وسائل الشيعة 10: 152. </w:t>
      </w:r>
    </w:p>
  </w:endnote>
  <w:endnote w:id="468">
    <w:p w:rsidR="00F41F33" w:rsidRPr="00AD189E" w:rsidRDefault="00F41F33" w:rsidP="00DB383B">
      <w:pPr>
        <w:pStyle w:val="affe"/>
        <w:ind w:left="0" w:firstLine="0"/>
        <w:jc w:val="both"/>
        <w:rPr>
          <w:rtl/>
        </w:rPr>
      </w:pPr>
      <w:r w:rsidRPr="00AD189E">
        <w:rPr>
          <w:rFonts w:hint="cs"/>
          <w:rtl/>
        </w:rPr>
        <w:t>(</w:t>
      </w:r>
      <w:r w:rsidRPr="00AD189E">
        <w:rPr>
          <w:rStyle w:val="ac"/>
          <w:szCs w:val="24"/>
          <w:vertAlign w:val="baseline"/>
        </w:rPr>
        <w:endnoteRef/>
      </w:r>
      <w:r w:rsidRPr="00AD189E">
        <w:rPr>
          <w:rFonts w:hint="cs"/>
          <w:rtl/>
        </w:rPr>
        <w:t xml:space="preserve">) المصدر السابق 9: 306، باب 2 من أبواب الحصر والصيد، ح2. </w:t>
      </w:r>
    </w:p>
  </w:endnote>
  <w:endnote w:id="469">
    <w:p w:rsidR="00F41F33" w:rsidRPr="00AD189E" w:rsidRDefault="00F41F33" w:rsidP="00DB383B">
      <w:pPr>
        <w:pStyle w:val="affe"/>
        <w:ind w:left="0" w:firstLine="0"/>
        <w:jc w:val="both"/>
        <w:rPr>
          <w:rtl/>
        </w:rPr>
      </w:pPr>
      <w:r w:rsidRPr="00AD189E">
        <w:rPr>
          <w:rFonts w:hint="cs"/>
          <w:rtl/>
        </w:rPr>
        <w:t>(</w:t>
      </w:r>
      <w:r w:rsidRPr="00AD189E">
        <w:rPr>
          <w:rStyle w:val="ac"/>
          <w:szCs w:val="24"/>
          <w:vertAlign w:val="baseline"/>
        </w:rPr>
        <w:endnoteRef/>
      </w:r>
      <w:r w:rsidRPr="00AD189E">
        <w:rPr>
          <w:rFonts w:hint="cs"/>
          <w:rtl/>
        </w:rPr>
        <w:t xml:space="preserve">) معتمد العروة 5: 207. </w:t>
      </w:r>
    </w:p>
  </w:endnote>
  <w:endnote w:id="470">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الجصّاص، أحكام القرآن 1: 331. </w:t>
      </w:r>
    </w:p>
  </w:endnote>
  <w:endnote w:id="471">
    <w:p w:rsidR="00F41F33" w:rsidRPr="00AD189E" w:rsidRDefault="00F41F33" w:rsidP="00DB383B">
      <w:pPr>
        <w:pStyle w:val="aa"/>
        <w:spacing w:line="300" w:lineRule="exact"/>
        <w:ind w:firstLine="0"/>
        <w:rPr>
          <w:rFonts w:cs="DanaFajr"/>
          <w:sz w:val="28"/>
          <w:szCs w:val="28"/>
        </w:rPr>
      </w:pPr>
      <w:r w:rsidRPr="00AD189E">
        <w:rPr>
          <w:rFonts w:cs="DanaFajr" w:hint="cs"/>
          <w:sz w:val="28"/>
          <w:szCs w:val="28"/>
          <w:rtl/>
        </w:rPr>
        <w:t>(</w:t>
      </w:r>
      <w:r w:rsidRPr="00AD189E">
        <w:rPr>
          <w:rStyle w:val="ac"/>
          <w:rFonts w:cs="DanaFajr"/>
          <w:sz w:val="28"/>
          <w:szCs w:val="28"/>
          <w:vertAlign w:val="baseline"/>
        </w:rPr>
        <w:endnoteRef/>
      </w:r>
      <w:r w:rsidRPr="00AD189E">
        <w:rPr>
          <w:rFonts w:cs="DanaFajr" w:hint="cs"/>
          <w:sz w:val="28"/>
          <w:szCs w:val="28"/>
          <w:rtl/>
        </w:rPr>
        <w:t xml:space="preserve">) ابن العربي، أحكام القرآن 1: 124. </w:t>
      </w:r>
    </w:p>
  </w:endnote>
  <w:endnote w:id="472">
    <w:p w:rsidR="00F41F33" w:rsidRPr="00715694" w:rsidRDefault="00F41F33" w:rsidP="00145E6B">
      <w:pPr>
        <w:pStyle w:val="aa"/>
        <w:bidi w:val="0"/>
        <w:spacing w:line="320" w:lineRule="exact"/>
        <w:ind w:firstLine="0"/>
        <w:rPr>
          <w:rFonts w:asciiTheme="majorBidi" w:hAnsiTheme="majorBidi" w:cstheme="majorBidi"/>
        </w:rPr>
      </w:pPr>
      <w:r w:rsidRPr="00715694">
        <w:rPr>
          <w:rFonts w:asciiTheme="majorBidi" w:hAnsiTheme="majorBidi" w:cstheme="majorBidi"/>
        </w:rPr>
        <w:t>(</w:t>
      </w:r>
      <w:r w:rsidRPr="00715694">
        <w:rPr>
          <w:rStyle w:val="ac"/>
          <w:rFonts w:asciiTheme="majorBidi" w:hAnsiTheme="majorBidi" w:cstheme="majorBidi"/>
          <w:vertAlign w:val="baseline"/>
        </w:rPr>
        <w:endnoteRef/>
      </w:r>
      <w:r w:rsidRPr="00715694">
        <w:rPr>
          <w:rFonts w:asciiTheme="majorBidi" w:hAnsiTheme="majorBidi" w:cstheme="majorBidi" w:hint="cs"/>
          <w:rtl/>
        </w:rPr>
        <w:t>(</w:t>
      </w:r>
      <w:r w:rsidRPr="00715694">
        <w:rPr>
          <w:rFonts w:asciiTheme="majorBidi" w:hAnsiTheme="majorBidi" w:cstheme="majorBidi"/>
          <w:lang w:val="fr-FR"/>
        </w:rPr>
        <w:t xml:space="preserve"> Dictionnaire International des Termes littéraires, Mode</w:t>
      </w:r>
      <w:r w:rsidRPr="00715694">
        <w:rPr>
          <w:rFonts w:asciiTheme="majorBidi" w:hAnsiTheme="majorBidi" w:cstheme="majorBidi"/>
          <w:rtl/>
        </w:rPr>
        <w:t xml:space="preserve"> </w:t>
      </w:r>
      <w:r w:rsidRPr="00715694">
        <w:rPr>
          <w:rFonts w:asciiTheme="majorBidi" w:hAnsiTheme="majorBidi" w:cstheme="majorBidi"/>
          <w:lang w:val="fr-FR"/>
        </w:rPr>
        <w:t>article,</w:t>
      </w:r>
      <w:r>
        <w:rPr>
          <w:rFonts w:asciiTheme="majorBidi" w:hAnsiTheme="majorBidi" w:cstheme="majorBidi"/>
          <w:lang w:val="fr-FR"/>
        </w:rPr>
        <w:t xml:space="preserve"> </w:t>
      </w:r>
      <w:r w:rsidRPr="00715694">
        <w:rPr>
          <w:rFonts w:asciiTheme="majorBidi" w:hAnsiTheme="majorBidi" w:cstheme="majorBidi"/>
          <w:lang w:val="fr-FR"/>
        </w:rPr>
        <w:t xml:space="preserve">Modernité/ modernity, http: //www. ditl. info/art/definition. </w:t>
      </w:r>
      <w:r>
        <w:rPr>
          <w:rFonts w:asciiTheme="majorBidi" w:hAnsiTheme="majorBidi" w:cstheme="majorBidi"/>
          <w:lang w:val="fr-FR"/>
        </w:rPr>
        <w:t>Php</w:t>
      </w:r>
      <w:r w:rsidRPr="00715694">
        <w:rPr>
          <w:rFonts w:asciiTheme="majorBidi" w:hAnsiTheme="majorBidi" w:cstheme="majorBidi"/>
          <w:lang w:val="fr-FR"/>
        </w:rPr>
        <w:t>,</w:t>
      </w:r>
      <w:r w:rsidRPr="00715694">
        <w:rPr>
          <w:rFonts w:asciiTheme="majorBidi" w:hAnsiTheme="majorBidi" w:cstheme="majorBidi"/>
          <w:rtl/>
        </w:rPr>
        <w:t xml:space="preserve"> </w:t>
      </w:r>
      <w:r w:rsidRPr="00715694">
        <w:rPr>
          <w:rFonts w:asciiTheme="majorBidi" w:hAnsiTheme="majorBidi" w:cstheme="majorBidi"/>
          <w:lang w:val="fr-FR"/>
        </w:rPr>
        <w:t>term=</w:t>
      </w:r>
      <w:r w:rsidRPr="006333E0">
        <w:rPr>
          <w:rFonts w:asciiTheme="majorBidi" w:hAnsiTheme="majorBidi" w:cs="Ya-Ali"/>
          <w:lang w:val="fr-FR"/>
        </w:rPr>
        <w:t>2976</w:t>
      </w:r>
    </w:p>
  </w:endnote>
  <w:endnote w:id="473">
    <w:p w:rsidR="00F41F33" w:rsidRPr="004D41D9" w:rsidRDefault="00F41F33" w:rsidP="00145E6B">
      <w:pPr>
        <w:pStyle w:val="aa"/>
        <w:spacing w:line="320" w:lineRule="exact"/>
        <w:ind w:firstLine="0"/>
        <w:rPr>
          <w:rFonts w:cs="DanaFajr"/>
          <w:sz w:val="28"/>
          <w:szCs w:val="28"/>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مارشال بيرمان، الحداثة أمس واليوم وغدا</w:t>
      </w:r>
      <w:r w:rsidRPr="004D41D9">
        <w:rPr>
          <w:rFonts w:cs="DanaFajr" w:hint="cs"/>
          <w:sz w:val="28"/>
          <w:szCs w:val="28"/>
          <w:rtl/>
          <w:lang w:bidi="ar-LB"/>
        </w:rPr>
        <w:t>ً</w:t>
      </w:r>
      <w:r w:rsidRPr="004D41D9">
        <w:rPr>
          <w:rFonts w:cs="DanaFajr" w:hint="cs"/>
          <w:sz w:val="28"/>
          <w:szCs w:val="28"/>
          <w:rtl/>
        </w:rPr>
        <w:t>، ترجمة: جابر عصفور، مجلة إبداع، العدد 94: 29،</w:t>
      </w:r>
      <w:r w:rsidRPr="000043AD">
        <w:rPr>
          <w:rFonts w:cs="DanaFajr" w:hint="cs"/>
          <w:sz w:val="28"/>
          <w:szCs w:val="28"/>
          <w:rtl/>
        </w:rPr>
        <w:t xml:space="preserve"> </w:t>
      </w:r>
      <w:r w:rsidRPr="004D41D9">
        <w:rPr>
          <w:rFonts w:cs="DanaFajr" w:hint="cs"/>
          <w:sz w:val="28"/>
          <w:szCs w:val="28"/>
          <w:rtl/>
        </w:rPr>
        <w:t xml:space="preserve">أبريل، 1991. </w:t>
      </w:r>
    </w:p>
  </w:endnote>
  <w:endnote w:id="474">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هشام جعيط، الحداثة المنقوصة ما توصيفها؟ جريدة الزمان، لندن، العدد 1407، بتاريخ 17</w:t>
      </w:r>
      <w:r w:rsidRPr="000043AD">
        <w:rPr>
          <w:rFonts w:cs="DanaFajr" w:hint="cs"/>
          <w:sz w:val="28"/>
          <w:szCs w:val="28"/>
          <w:rtl/>
        </w:rPr>
        <w:t xml:space="preserve"> </w:t>
      </w:r>
      <w:r w:rsidRPr="004D41D9">
        <w:rPr>
          <w:rFonts w:cs="DanaFajr" w:hint="cs"/>
          <w:sz w:val="28"/>
          <w:szCs w:val="28"/>
          <w:rtl/>
        </w:rPr>
        <w:t xml:space="preserve">يناير 2003. </w:t>
      </w:r>
    </w:p>
  </w:endnote>
  <w:endnote w:id="475">
    <w:p w:rsidR="00F41F33" w:rsidRPr="004D41D9" w:rsidRDefault="00F41F33" w:rsidP="00145E6B">
      <w:pPr>
        <w:pStyle w:val="aa"/>
        <w:spacing w:line="320" w:lineRule="exact"/>
        <w:ind w:firstLine="0"/>
        <w:rPr>
          <w:rFonts w:cs="DanaFajr"/>
          <w:sz w:val="28"/>
          <w:szCs w:val="28"/>
          <w:rtl/>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rPr>
        <w:t>إبراهيم غرابية، الحداثة الغربية مطلب أم تحدِّ؟ وجهات نظر</w:t>
      </w:r>
      <w:r w:rsidRPr="000043AD">
        <w:rPr>
          <w:rFonts w:cs="DanaFajr" w:hint="cs"/>
          <w:sz w:val="28"/>
          <w:szCs w:val="28"/>
          <w:rtl/>
          <w:lang w:bidi="ar-DZ"/>
        </w:rPr>
        <w:t xml:space="preserve">، </w:t>
      </w:r>
      <w:r w:rsidRPr="000043AD">
        <w:rPr>
          <w:rFonts w:cs="DanaFajr" w:hint="cs"/>
          <w:sz w:val="28"/>
          <w:szCs w:val="28"/>
          <w:rtl/>
        </w:rPr>
        <w:t xml:space="preserve">في موقع الجزيرة على شبكة </w:t>
      </w:r>
      <w:r w:rsidRPr="004D41D9">
        <w:rPr>
          <w:rFonts w:cs="DanaFajr" w:hint="cs"/>
          <w:sz w:val="28"/>
          <w:szCs w:val="28"/>
          <w:rtl/>
        </w:rPr>
        <w:t xml:space="preserve">الإنترنت، في 13 سبتمبر 2003. </w:t>
      </w:r>
    </w:p>
  </w:endnote>
  <w:endnote w:id="476">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أحمد الحذيري، الحداثة بين الاتّباع والإبداع، مجلة الفكر العربي المعاصر، العدد 72 ـ 73:</w:t>
      </w:r>
      <w:r w:rsidRPr="000043AD">
        <w:rPr>
          <w:rFonts w:cs="DanaFajr" w:hint="cs"/>
          <w:sz w:val="28"/>
          <w:szCs w:val="28"/>
          <w:rtl/>
        </w:rPr>
        <w:t xml:space="preserve"> </w:t>
      </w:r>
      <w:r w:rsidRPr="004D41D9">
        <w:rPr>
          <w:rFonts w:cs="DanaFajr" w:hint="cs"/>
          <w:sz w:val="28"/>
          <w:szCs w:val="28"/>
          <w:rtl/>
        </w:rPr>
        <w:t xml:space="preserve">123، يناير ـ فبراير 1990. </w:t>
      </w:r>
    </w:p>
  </w:endnote>
  <w:endnote w:id="477">
    <w:p w:rsidR="00F41F33" w:rsidRPr="00715694" w:rsidRDefault="00F41F33" w:rsidP="00145E6B">
      <w:pPr>
        <w:bidi w:val="0"/>
        <w:spacing w:line="320" w:lineRule="exact"/>
        <w:ind w:firstLine="0"/>
        <w:rPr>
          <w:rFonts w:asciiTheme="majorBidi" w:hAnsiTheme="majorBidi" w:cstheme="majorBidi"/>
          <w:sz w:val="20"/>
          <w:szCs w:val="20"/>
          <w:rtl/>
          <w:lang w:val="fr-FR" w:bidi="ar-DZ"/>
        </w:rPr>
      </w:pPr>
      <w:r w:rsidRPr="00715694">
        <w:rPr>
          <w:rFonts w:asciiTheme="majorBidi" w:hAnsiTheme="majorBidi" w:cstheme="majorBidi"/>
          <w:sz w:val="20"/>
          <w:szCs w:val="20"/>
        </w:rPr>
        <w:t>(</w:t>
      </w:r>
      <w:r w:rsidRPr="00715694">
        <w:rPr>
          <w:rStyle w:val="ac"/>
          <w:rFonts w:asciiTheme="majorBidi" w:hAnsiTheme="majorBidi" w:cstheme="majorBidi"/>
          <w:sz w:val="20"/>
          <w:szCs w:val="20"/>
          <w:vertAlign w:val="baseline"/>
        </w:rPr>
        <w:endnoteRef/>
      </w:r>
      <w:r w:rsidRPr="00715694">
        <w:rPr>
          <w:rFonts w:asciiTheme="majorBidi" w:hAnsiTheme="majorBidi" w:cstheme="majorBidi"/>
          <w:sz w:val="20"/>
          <w:szCs w:val="20"/>
        </w:rPr>
        <w:t xml:space="preserve">) </w:t>
      </w:r>
      <w:r w:rsidRPr="00715694">
        <w:rPr>
          <w:rFonts w:asciiTheme="majorBidi" w:hAnsiTheme="majorBidi" w:cstheme="majorBidi"/>
          <w:sz w:val="20"/>
          <w:szCs w:val="20"/>
          <w:lang w:val="fr-FR"/>
        </w:rPr>
        <w:t>Glossaire, Dominique Wolton, terme</w:t>
      </w:r>
      <w:r w:rsidRPr="00715694">
        <w:rPr>
          <w:rFonts w:asciiTheme="majorBidi" w:hAnsiTheme="majorBidi" w:cstheme="majorBidi"/>
          <w:sz w:val="20"/>
          <w:szCs w:val="20"/>
          <w:rtl/>
        </w:rPr>
        <w:t xml:space="preserve"> </w:t>
      </w:r>
      <w:r w:rsidRPr="00715694">
        <w:rPr>
          <w:rFonts w:asciiTheme="majorBidi" w:hAnsiTheme="majorBidi" w:cstheme="majorBidi"/>
          <w:sz w:val="20"/>
          <w:szCs w:val="20"/>
          <w:lang w:val="fr-FR"/>
        </w:rPr>
        <w:t xml:space="preserve">modernité </w:t>
      </w:r>
      <w:r w:rsidRPr="006333E0">
        <w:rPr>
          <w:rFonts w:asciiTheme="majorBidi" w:hAnsiTheme="majorBidi" w:cs="Ya-Ali"/>
          <w:sz w:val="20"/>
          <w:szCs w:val="20"/>
          <w:lang w:val="fr-FR"/>
        </w:rPr>
        <w:t>10</w:t>
      </w:r>
      <w:r w:rsidRPr="00715694">
        <w:rPr>
          <w:rFonts w:asciiTheme="majorBidi" w:hAnsiTheme="majorBidi" w:cstheme="majorBidi"/>
          <w:sz w:val="20"/>
          <w:szCs w:val="20"/>
          <w:rtl/>
        </w:rPr>
        <w:t xml:space="preserve"> </w:t>
      </w:r>
      <w:r w:rsidRPr="00715694">
        <w:rPr>
          <w:rFonts w:asciiTheme="majorBidi" w:hAnsiTheme="majorBidi" w:cstheme="majorBidi"/>
          <w:sz w:val="20"/>
          <w:szCs w:val="20"/>
          <w:lang w:val="fr-FR"/>
        </w:rPr>
        <w:t>http: // www. wolton cnrs. fr/_ modernité. htm</w:t>
      </w:r>
    </w:p>
  </w:endnote>
  <w:endnote w:id="478">
    <w:p w:rsidR="00F41F33" w:rsidRPr="000043AD" w:rsidRDefault="00F41F33" w:rsidP="00145E6B">
      <w:pPr>
        <w:spacing w:line="320" w:lineRule="exact"/>
        <w:ind w:firstLine="0"/>
        <w:rPr>
          <w:rFonts w:cs="DanaFajr"/>
          <w:szCs w:val="28"/>
          <w:rtl/>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ناصر الدين الأسد، الإسلام في مواجهة الحداثة الشاملة: 5، موقع مركز الشرق العربي</w:t>
      </w:r>
      <w:r w:rsidRPr="000043AD">
        <w:rPr>
          <w:rFonts w:cs="DanaFajr" w:hint="cs"/>
          <w:szCs w:val="28"/>
          <w:rtl/>
        </w:rPr>
        <w:t xml:space="preserve"> للدراسات الحضارية والإستراتيجية، على شبكة الإنترنت. </w:t>
      </w:r>
    </w:p>
  </w:endnote>
  <w:endnote w:id="479">
    <w:p w:rsidR="00F41F33" w:rsidRPr="004D41D9" w:rsidRDefault="00F41F33" w:rsidP="00145E6B">
      <w:pPr>
        <w:spacing w:line="320" w:lineRule="exact"/>
        <w:ind w:firstLine="0"/>
        <w:rPr>
          <w:rFonts w:cs="DanaFajr"/>
          <w:szCs w:val="28"/>
          <w:rtl/>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عز</w:t>
      </w:r>
      <w:r w:rsidRPr="004D41D9">
        <w:rPr>
          <w:rFonts w:cs="DanaFajr" w:hint="cs"/>
          <w:szCs w:val="28"/>
          <w:rtl/>
          <w:lang w:bidi="ar-LB"/>
        </w:rPr>
        <w:t>ّ</w:t>
      </w:r>
      <w:r w:rsidRPr="004D41D9">
        <w:rPr>
          <w:rFonts w:cs="DanaFajr" w:hint="cs"/>
          <w:szCs w:val="28"/>
          <w:rtl/>
        </w:rPr>
        <w:t xml:space="preserve"> الدين الخطابي، الحداثة كأفق وكمصير، مجلة مقدّمات، العدد 31: 69، سنة 2004. </w:t>
      </w:r>
    </w:p>
  </w:endnote>
  <w:endnote w:id="480">
    <w:p w:rsidR="00F41F33" w:rsidRPr="004D41D9" w:rsidRDefault="00F41F33" w:rsidP="00145E6B">
      <w:pPr>
        <w:spacing w:line="320" w:lineRule="exact"/>
        <w:ind w:firstLine="0"/>
        <w:rPr>
          <w:rFonts w:cs="DanaFajr"/>
          <w:szCs w:val="28"/>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 xml:space="preserve">محمد سبيلا، دفاعاً عن العقل والحداثة، منشورات الزمن، رقم 39: 22، 2003. </w:t>
      </w:r>
    </w:p>
  </w:endnote>
  <w:endnote w:id="481">
    <w:p w:rsidR="00F41F33" w:rsidRPr="004D41D9" w:rsidRDefault="00F41F33" w:rsidP="00145E6B">
      <w:pPr>
        <w:spacing w:line="320" w:lineRule="exact"/>
        <w:ind w:firstLine="0"/>
        <w:rPr>
          <w:rFonts w:cs="DanaFajr"/>
          <w:szCs w:val="28"/>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 xml:space="preserve">فتحي التريكي، الحداثة وما بعد الحداثة: 313، دمشق، دار الفكر، 2003. </w:t>
      </w:r>
    </w:p>
  </w:endnote>
  <w:endnote w:id="482">
    <w:p w:rsidR="00F41F33" w:rsidRPr="004D41D9" w:rsidRDefault="00F41F33" w:rsidP="00145E6B">
      <w:pPr>
        <w:spacing w:line="320" w:lineRule="exact"/>
        <w:ind w:firstLine="0"/>
        <w:rPr>
          <w:rFonts w:cs="DanaFajr"/>
          <w:szCs w:val="28"/>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طه عبد الرحمن، روح الحداثة وحق الإبداع، مجلة النور الجديد، العدد 151: 63، ديسمبر</w:t>
      </w:r>
      <w:r w:rsidRPr="000043AD">
        <w:rPr>
          <w:rFonts w:cs="DanaFajr" w:hint="cs"/>
          <w:szCs w:val="28"/>
          <w:rtl/>
        </w:rPr>
        <w:t xml:space="preserve"> </w:t>
      </w:r>
      <w:r w:rsidRPr="004D41D9">
        <w:rPr>
          <w:rFonts w:cs="DanaFajr" w:hint="cs"/>
          <w:szCs w:val="28"/>
          <w:rtl/>
        </w:rPr>
        <w:t>2003.</w:t>
      </w:r>
    </w:p>
  </w:endnote>
  <w:endnote w:id="483">
    <w:p w:rsidR="00F41F33" w:rsidRPr="004D41D9" w:rsidRDefault="00F41F33" w:rsidP="00145E6B">
      <w:pPr>
        <w:spacing w:line="320" w:lineRule="exact"/>
        <w:ind w:firstLine="0"/>
        <w:rPr>
          <w:rFonts w:cs="DanaFajr"/>
          <w:szCs w:val="28"/>
          <w:rtl/>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 xml:space="preserve">ناصر الدين الأسد، الإسلام في مواجهة الحداثة الشاملة: 3 ـ 4. </w:t>
      </w:r>
    </w:p>
  </w:endnote>
  <w:endnote w:id="484">
    <w:p w:rsidR="00F41F33" w:rsidRPr="000043AD"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رينيه ديكارت، مقالة الطريقة: 30، 35، ترجمة: جميل صليبا، اللجنة اللبنانية لترجمة</w:t>
      </w:r>
      <w:r w:rsidRPr="000043AD">
        <w:rPr>
          <w:rFonts w:cs="DanaFajr" w:hint="cs"/>
          <w:sz w:val="28"/>
          <w:szCs w:val="28"/>
          <w:rtl/>
        </w:rPr>
        <w:t xml:space="preserve"> الروائع.</w:t>
      </w:r>
    </w:p>
  </w:endnote>
  <w:endnote w:id="485">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 xml:space="preserve">فتحي التريكي، </w:t>
      </w:r>
      <w:r w:rsidRPr="004D41D9">
        <w:rPr>
          <w:rFonts w:cs="DanaFajr" w:hint="cs"/>
          <w:szCs w:val="28"/>
          <w:rtl/>
        </w:rPr>
        <w:t>الحداثة وما بعد الحداثة</w:t>
      </w:r>
      <w:r w:rsidRPr="004D41D9">
        <w:rPr>
          <w:rFonts w:cs="DanaFajr" w:hint="cs"/>
          <w:sz w:val="28"/>
          <w:szCs w:val="28"/>
          <w:rtl/>
        </w:rPr>
        <w:t>: 209.</w:t>
      </w:r>
    </w:p>
  </w:endnote>
  <w:endnote w:id="486">
    <w:p w:rsidR="00F41F33" w:rsidRPr="004D41D9" w:rsidRDefault="00F41F33" w:rsidP="00145E6B">
      <w:pPr>
        <w:pStyle w:val="aa"/>
        <w:spacing w:line="320" w:lineRule="exact"/>
        <w:ind w:firstLine="0"/>
        <w:rPr>
          <w:rFonts w:cs="DanaFajr"/>
          <w:sz w:val="28"/>
          <w:szCs w:val="28"/>
          <w:rtl/>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رضوان جودت زيادة، صدى الحداثة، ما بعد الحداثة في زمنها القادم: 35، ط1، المركز الثقافي</w:t>
      </w:r>
      <w:r w:rsidRPr="000043AD">
        <w:rPr>
          <w:rFonts w:cs="DanaFajr" w:hint="cs"/>
          <w:sz w:val="28"/>
          <w:szCs w:val="28"/>
          <w:rtl/>
        </w:rPr>
        <w:t xml:space="preserve"> </w:t>
      </w:r>
      <w:r w:rsidRPr="004D41D9">
        <w:rPr>
          <w:rFonts w:cs="DanaFajr" w:hint="cs"/>
          <w:sz w:val="28"/>
          <w:szCs w:val="28"/>
          <w:rtl/>
        </w:rPr>
        <w:t>العربي، الدار البيضاء، 2003.</w:t>
      </w:r>
      <w:r w:rsidRPr="004D41D9">
        <w:rPr>
          <w:rFonts w:cs="DanaFajr" w:hint="cs"/>
          <w:sz w:val="28"/>
          <w:szCs w:val="28"/>
          <w:rtl/>
          <w:lang w:bidi="ar-DZ"/>
        </w:rPr>
        <w:t xml:space="preserve"> </w:t>
      </w:r>
    </w:p>
  </w:endnote>
  <w:endnote w:id="487">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 xml:space="preserve">ناصر الدين الأسد، </w:t>
      </w:r>
      <w:r w:rsidRPr="004D41D9">
        <w:rPr>
          <w:rFonts w:cs="DanaFajr" w:hint="cs"/>
          <w:szCs w:val="28"/>
          <w:rtl/>
        </w:rPr>
        <w:t xml:space="preserve">الإسلام في مواجهة الحداثة الشاملة: </w:t>
      </w:r>
      <w:r w:rsidRPr="004D41D9">
        <w:rPr>
          <w:rFonts w:cs="DanaFajr" w:hint="cs"/>
          <w:sz w:val="28"/>
          <w:szCs w:val="28"/>
          <w:rtl/>
        </w:rPr>
        <w:t xml:space="preserve">7. </w:t>
      </w:r>
    </w:p>
  </w:endnote>
  <w:endnote w:id="488">
    <w:p w:rsidR="00F41F33" w:rsidRPr="004D41D9" w:rsidRDefault="00F41F33" w:rsidP="00145E6B">
      <w:pPr>
        <w:pStyle w:val="aa"/>
        <w:spacing w:line="320" w:lineRule="exact"/>
        <w:ind w:firstLine="0"/>
        <w:rPr>
          <w:rFonts w:cs="DanaFajr"/>
          <w:sz w:val="28"/>
          <w:szCs w:val="28"/>
          <w:rtl/>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 xml:space="preserve">المصدر السابق: 8. </w:t>
      </w:r>
    </w:p>
  </w:endnote>
  <w:endnote w:id="489">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انظر: جميل صليبا، المعجم الفلسفي 2: 465 وما بعدها، دار الكتاب اللبناني، 1982.</w:t>
      </w:r>
    </w:p>
  </w:endnote>
  <w:endnote w:id="490">
    <w:p w:rsidR="00F41F33" w:rsidRPr="004D41D9" w:rsidRDefault="00F41F33" w:rsidP="00145E6B">
      <w:pPr>
        <w:pStyle w:val="aa"/>
        <w:spacing w:line="320" w:lineRule="exact"/>
        <w:ind w:firstLine="0"/>
        <w:rPr>
          <w:rStyle w:val="ac"/>
          <w:rFonts w:cs="DanaFajr"/>
          <w:sz w:val="28"/>
          <w:szCs w:val="28"/>
          <w:vertAlign w:val="baseline"/>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 xml:space="preserve">المصدر السابق 1: 569، 570. </w:t>
      </w:r>
    </w:p>
  </w:endnote>
  <w:endnote w:id="491">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انظر: محمد فتحي عثمان، حقوق الإنسان بين الشريعة والفكر القانوني الغربي: 29، دار</w:t>
      </w:r>
      <w:r w:rsidRPr="000043AD">
        <w:rPr>
          <w:rFonts w:cs="DanaFajr" w:hint="cs"/>
          <w:sz w:val="28"/>
          <w:szCs w:val="28"/>
          <w:rtl/>
        </w:rPr>
        <w:t xml:space="preserve"> </w:t>
      </w:r>
      <w:r w:rsidRPr="004D41D9">
        <w:rPr>
          <w:rFonts w:cs="DanaFajr" w:hint="cs"/>
          <w:sz w:val="28"/>
          <w:szCs w:val="28"/>
          <w:rtl/>
        </w:rPr>
        <w:t>الشروق، ط1، 1982.</w:t>
      </w:r>
    </w:p>
  </w:endnote>
  <w:endnote w:id="492">
    <w:p w:rsidR="00F41F33" w:rsidRPr="004D41D9" w:rsidRDefault="00F41F33" w:rsidP="00145E6B">
      <w:pPr>
        <w:tabs>
          <w:tab w:val="left" w:pos="5961"/>
        </w:tabs>
        <w:spacing w:line="320" w:lineRule="exact"/>
        <w:ind w:firstLine="0"/>
        <w:rPr>
          <w:rFonts w:cs="DanaFajr"/>
          <w:szCs w:val="28"/>
          <w:rtl/>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 xml:space="preserve">انظر: ناصر الدين الأسد، المصدر السابق: 4؛ وكذلك: فتحي التريكي، المصدر السابق: 212. </w:t>
      </w:r>
    </w:p>
  </w:endnote>
  <w:endnote w:id="493">
    <w:p w:rsidR="00F41F33" w:rsidRPr="004D41D9" w:rsidRDefault="00F41F33" w:rsidP="00145E6B">
      <w:pPr>
        <w:pStyle w:val="aa"/>
        <w:tabs>
          <w:tab w:val="left" w:pos="5961"/>
        </w:tabs>
        <w:spacing w:line="320" w:lineRule="exact"/>
        <w:ind w:firstLine="0"/>
        <w:rPr>
          <w:rFonts w:cs="DanaFajr"/>
          <w:sz w:val="28"/>
          <w:szCs w:val="28"/>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rPr>
        <w:t xml:space="preserve">انظر: عبد القادر الإدريسي، جذور الإصلاح من إبراهيم متفرقة إلى الحاج علي زنيبر، جريدة </w:t>
      </w:r>
      <w:r w:rsidRPr="004D41D9">
        <w:rPr>
          <w:rFonts w:cs="DanaFajr" w:hint="cs"/>
          <w:sz w:val="28"/>
          <w:szCs w:val="28"/>
          <w:rtl/>
        </w:rPr>
        <w:t xml:space="preserve">العلم: 7، 16 ماي 2004. </w:t>
      </w:r>
    </w:p>
  </w:endnote>
  <w:endnote w:id="494">
    <w:p w:rsidR="00F41F33" w:rsidRPr="004D41D9" w:rsidRDefault="00F41F33" w:rsidP="00145E6B">
      <w:pPr>
        <w:tabs>
          <w:tab w:val="left" w:pos="5961"/>
        </w:tabs>
        <w:spacing w:line="320" w:lineRule="exact"/>
        <w:ind w:firstLine="0"/>
        <w:rPr>
          <w:rFonts w:cs="DanaFajr"/>
          <w:szCs w:val="28"/>
          <w:rtl/>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 xml:space="preserve">طه عبد الرحمن، حوارات حول المستقبل، منشورات الزمن، العدد 13: 12. </w:t>
      </w:r>
    </w:p>
  </w:endnote>
  <w:endnote w:id="495">
    <w:p w:rsidR="00F41F33" w:rsidRPr="004D41D9" w:rsidRDefault="00F41F33" w:rsidP="00145E6B">
      <w:pPr>
        <w:pStyle w:val="aa"/>
        <w:tabs>
          <w:tab w:val="left" w:pos="5961"/>
        </w:tabs>
        <w:spacing w:line="320" w:lineRule="exact"/>
        <w:ind w:firstLine="0"/>
        <w:rPr>
          <w:rFonts w:cs="DanaFajr"/>
          <w:sz w:val="28"/>
          <w:szCs w:val="28"/>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محمد أركون، الإسلام والحداثة، ندوة مواقف: 362، دار الساقي، ط1</w:t>
      </w:r>
      <w:r w:rsidRPr="004D41D9">
        <w:rPr>
          <w:rFonts w:cs="DanaFajr" w:hint="cs"/>
          <w:sz w:val="28"/>
          <w:szCs w:val="28"/>
          <w:rtl/>
          <w:lang w:bidi="ar-DZ"/>
        </w:rPr>
        <w:t xml:space="preserve">. </w:t>
      </w:r>
    </w:p>
  </w:endnote>
  <w:endnote w:id="496">
    <w:p w:rsidR="00F41F33" w:rsidRPr="004D41D9" w:rsidRDefault="00F41F33" w:rsidP="00145E6B">
      <w:pPr>
        <w:pStyle w:val="aa"/>
        <w:tabs>
          <w:tab w:val="left" w:pos="5961"/>
        </w:tabs>
        <w:spacing w:line="320" w:lineRule="exact"/>
        <w:ind w:firstLine="0"/>
        <w:rPr>
          <w:rFonts w:cs="DanaFajr"/>
          <w:sz w:val="28"/>
          <w:szCs w:val="28"/>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w:t>
      </w:r>
      <w:r w:rsidRPr="004D41D9">
        <w:rPr>
          <w:rFonts w:cs="DanaFajr" w:hint="cs"/>
          <w:sz w:val="28"/>
          <w:szCs w:val="28"/>
          <w:rtl/>
        </w:rPr>
        <w:t xml:space="preserve"> المصدر السابق: 356. </w:t>
      </w:r>
    </w:p>
  </w:endnote>
  <w:endnote w:id="497">
    <w:p w:rsidR="00F41F33" w:rsidRPr="004D41D9" w:rsidRDefault="00F41F33" w:rsidP="00145E6B">
      <w:pPr>
        <w:pStyle w:val="aa"/>
        <w:spacing w:line="320" w:lineRule="exact"/>
        <w:ind w:firstLine="0"/>
        <w:rPr>
          <w:rFonts w:cs="DanaFajr"/>
          <w:sz w:val="28"/>
          <w:szCs w:val="28"/>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محمد عابد الجابري، نحن والتراث، قراءات معاصرة في تراثنا الفلسفي: 54 (بتصرُّف)،</w:t>
      </w:r>
      <w:r w:rsidRPr="000043AD">
        <w:rPr>
          <w:rFonts w:cs="DanaFajr" w:hint="cs"/>
          <w:sz w:val="28"/>
          <w:szCs w:val="28"/>
          <w:rtl/>
        </w:rPr>
        <w:t xml:space="preserve"> </w:t>
      </w:r>
      <w:r w:rsidRPr="004D41D9">
        <w:rPr>
          <w:rFonts w:cs="DanaFajr" w:hint="cs"/>
          <w:sz w:val="28"/>
          <w:szCs w:val="28"/>
          <w:rtl/>
        </w:rPr>
        <w:t xml:space="preserve">المركز الثقافي العربي، ط4، 1985. </w:t>
      </w:r>
    </w:p>
  </w:endnote>
  <w:endnote w:id="498">
    <w:p w:rsidR="00F41F33" w:rsidRPr="004D41D9" w:rsidRDefault="00F41F33" w:rsidP="00145E6B">
      <w:pPr>
        <w:spacing w:line="320" w:lineRule="exact"/>
        <w:ind w:firstLine="0"/>
        <w:rPr>
          <w:rFonts w:cs="DanaFajr"/>
          <w:szCs w:val="28"/>
          <w:rtl/>
        </w:rPr>
      </w:pPr>
      <w:r w:rsidRPr="004D41D9">
        <w:rPr>
          <w:rFonts w:cs="DanaFajr"/>
          <w:szCs w:val="28"/>
          <w:rtl/>
        </w:rPr>
        <w:t>(</w:t>
      </w:r>
      <w:r w:rsidRPr="004D41D9">
        <w:rPr>
          <w:rStyle w:val="ac"/>
          <w:rFonts w:cs="DanaFajr"/>
          <w:szCs w:val="28"/>
          <w:vertAlign w:val="baseline"/>
        </w:rPr>
        <w:endnoteRef/>
      </w:r>
      <w:r w:rsidRPr="004D41D9">
        <w:rPr>
          <w:rFonts w:cs="DanaFajr"/>
          <w:szCs w:val="28"/>
          <w:rtl/>
        </w:rPr>
        <w:t xml:space="preserve">) </w:t>
      </w:r>
      <w:r w:rsidRPr="004D41D9">
        <w:rPr>
          <w:rFonts w:cs="DanaFajr" w:hint="cs"/>
          <w:szCs w:val="28"/>
          <w:rtl/>
        </w:rPr>
        <w:t xml:space="preserve">محمد عابد الجابري، التراث والحداثة: 18، 26، المركز الثقافي العربي، ط1. </w:t>
      </w:r>
    </w:p>
  </w:endnote>
  <w:endnote w:id="499">
    <w:p w:rsidR="00F41F33" w:rsidRPr="004D41D9" w:rsidRDefault="00F41F33" w:rsidP="00145E6B">
      <w:pPr>
        <w:spacing w:line="320" w:lineRule="exact"/>
        <w:ind w:firstLine="0"/>
        <w:rPr>
          <w:rFonts w:cs="DanaFajr"/>
          <w:szCs w:val="28"/>
          <w:rtl/>
        </w:rPr>
      </w:pPr>
      <w:r w:rsidRPr="004D41D9">
        <w:rPr>
          <w:rFonts w:cs="DanaFajr"/>
          <w:szCs w:val="28"/>
          <w:rtl/>
        </w:rPr>
        <w:t>(</w:t>
      </w:r>
      <w:r w:rsidRPr="004D41D9">
        <w:rPr>
          <w:rStyle w:val="ac"/>
          <w:rFonts w:cs="DanaFajr"/>
          <w:szCs w:val="28"/>
          <w:vertAlign w:val="baseline"/>
        </w:rPr>
        <w:endnoteRef/>
      </w:r>
      <w:r w:rsidRPr="004D41D9">
        <w:rPr>
          <w:rFonts w:cs="DanaFajr"/>
          <w:szCs w:val="28"/>
          <w:rtl/>
        </w:rPr>
        <w:t>)</w:t>
      </w:r>
      <w:r w:rsidRPr="004D41D9">
        <w:rPr>
          <w:rFonts w:cs="DanaFajr" w:hint="cs"/>
          <w:szCs w:val="28"/>
          <w:rtl/>
        </w:rPr>
        <w:t xml:space="preserve"> المصدر السابق: 16. </w:t>
      </w:r>
    </w:p>
  </w:endnote>
  <w:endnote w:id="500">
    <w:p w:rsidR="00F41F33" w:rsidRPr="000043AD" w:rsidRDefault="00F41F33" w:rsidP="00145E6B">
      <w:pPr>
        <w:spacing w:line="320" w:lineRule="exact"/>
        <w:ind w:firstLine="0"/>
        <w:rPr>
          <w:rFonts w:cs="DanaFajr"/>
          <w:szCs w:val="28"/>
        </w:rPr>
      </w:pPr>
      <w:r w:rsidRPr="000043AD">
        <w:rPr>
          <w:rFonts w:cs="DanaFajr"/>
          <w:szCs w:val="28"/>
          <w:rtl/>
        </w:rPr>
        <w:t>(</w:t>
      </w:r>
      <w:r w:rsidRPr="000043AD">
        <w:rPr>
          <w:rStyle w:val="ac"/>
          <w:rFonts w:cs="DanaFajr"/>
          <w:szCs w:val="28"/>
          <w:vertAlign w:val="baseline"/>
        </w:rPr>
        <w:endnoteRef/>
      </w:r>
      <w:r w:rsidRPr="000043AD">
        <w:rPr>
          <w:rFonts w:cs="DanaFajr"/>
          <w:szCs w:val="28"/>
          <w:rtl/>
        </w:rPr>
        <w:t>)</w:t>
      </w:r>
      <w:r>
        <w:rPr>
          <w:rFonts w:cs="DanaFajr" w:hint="cs"/>
          <w:szCs w:val="28"/>
          <w:rtl/>
        </w:rPr>
        <w:t xml:space="preserve"> المصدر</w:t>
      </w:r>
      <w:r w:rsidRPr="000043AD">
        <w:rPr>
          <w:rFonts w:cs="DanaFajr" w:hint="cs"/>
          <w:szCs w:val="28"/>
          <w:rtl/>
        </w:rPr>
        <w:t xml:space="preserve"> نفسه. </w:t>
      </w:r>
    </w:p>
  </w:endnote>
  <w:endnote w:id="501">
    <w:p w:rsidR="00F41F33" w:rsidRPr="004D41D9" w:rsidRDefault="00F41F33" w:rsidP="00145E6B">
      <w:pPr>
        <w:pStyle w:val="aa"/>
        <w:spacing w:line="320" w:lineRule="exact"/>
        <w:ind w:firstLine="0"/>
        <w:rPr>
          <w:rFonts w:cs="DanaFajr"/>
          <w:sz w:val="28"/>
          <w:szCs w:val="28"/>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rPr>
        <w:t xml:space="preserve">أشفستر ألبرت: فيلسوف ألماني. يعدّ واحداً من أنبل الشخصيات العالمية في القرن العشرين. كان فيلسوفاً أخلاقياً ومرشداً روحياً يدعو إلى حبّ الإنسانية. وكان طبيباً، وموسيقياً بارعاً. منح </w:t>
      </w:r>
      <w:r w:rsidRPr="004D41D9">
        <w:rPr>
          <w:rFonts w:cs="DanaFajr" w:hint="cs"/>
          <w:sz w:val="28"/>
          <w:szCs w:val="28"/>
          <w:rtl/>
        </w:rPr>
        <w:t xml:space="preserve">جائزة نوبل للسلام سنة 1952م. </w:t>
      </w:r>
    </w:p>
  </w:endnote>
  <w:endnote w:id="502">
    <w:p w:rsidR="00F41F33" w:rsidRPr="004D41D9" w:rsidRDefault="00F41F33" w:rsidP="00145E6B">
      <w:pPr>
        <w:pStyle w:val="aa"/>
        <w:spacing w:line="320" w:lineRule="exact"/>
        <w:ind w:firstLine="0"/>
        <w:rPr>
          <w:rFonts w:cs="DanaFajr"/>
          <w:sz w:val="28"/>
          <w:szCs w:val="28"/>
          <w:rtl/>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rPr>
        <w:t xml:space="preserve">رينيه غينون </w:t>
      </w:r>
      <w:r w:rsidRPr="000043AD">
        <w:rPr>
          <w:rFonts w:cs="DanaFajr"/>
          <w:lang w:val="fr-FR"/>
        </w:rPr>
        <w:t>René guenon</w:t>
      </w:r>
      <w:r w:rsidRPr="000043AD">
        <w:rPr>
          <w:rFonts w:cs="DanaFajr" w:hint="cs"/>
          <w:sz w:val="28"/>
          <w:szCs w:val="28"/>
          <w:rtl/>
        </w:rPr>
        <w:t xml:space="preserve"> فيلسوف ورياضي فرنسي. اهتمّ بالدراسات الشرقية. اعتنق </w:t>
      </w:r>
      <w:r w:rsidRPr="004D41D9">
        <w:rPr>
          <w:rFonts w:cs="DanaFajr" w:hint="cs"/>
          <w:sz w:val="28"/>
          <w:szCs w:val="28"/>
          <w:rtl/>
        </w:rPr>
        <w:t xml:space="preserve">الإسلام، وانتسب إلى التصوُّف، وسمّى نفسه عبد الواحد يحيى. توفّي بالقاهرة سنة 1954. </w:t>
      </w:r>
    </w:p>
  </w:endnote>
  <w:endnote w:id="503">
    <w:p w:rsidR="00F41F33" w:rsidRPr="000043AD" w:rsidRDefault="00F41F33" w:rsidP="00145E6B">
      <w:pPr>
        <w:spacing w:line="320" w:lineRule="exact"/>
        <w:ind w:firstLine="0"/>
        <w:rPr>
          <w:rFonts w:cs="DanaFajr"/>
          <w:szCs w:val="28"/>
          <w:rtl/>
        </w:rPr>
      </w:pPr>
      <w:r w:rsidRPr="000043AD">
        <w:rPr>
          <w:rFonts w:cs="DanaFajr"/>
          <w:szCs w:val="28"/>
          <w:rtl/>
        </w:rPr>
        <w:t>(</w:t>
      </w:r>
      <w:r w:rsidRPr="000043AD">
        <w:rPr>
          <w:rFonts w:cs="DanaFajr"/>
          <w:szCs w:val="28"/>
        </w:rPr>
        <w:endnoteRef/>
      </w:r>
      <w:r w:rsidRPr="000043AD">
        <w:rPr>
          <w:rFonts w:cs="DanaFajr"/>
          <w:szCs w:val="28"/>
          <w:rtl/>
        </w:rPr>
        <w:t xml:space="preserve">) </w:t>
      </w:r>
      <w:r w:rsidRPr="000043AD">
        <w:rPr>
          <w:rFonts w:cs="DanaFajr" w:hint="cs"/>
          <w:szCs w:val="28"/>
          <w:rtl/>
        </w:rPr>
        <w:t xml:space="preserve">روجيه غارودي </w:t>
      </w:r>
      <w:r w:rsidRPr="000043AD">
        <w:rPr>
          <w:rFonts w:asciiTheme="majorBidi" w:hAnsiTheme="majorBidi" w:cs="DanaFajr"/>
          <w:sz w:val="20"/>
          <w:szCs w:val="20"/>
        </w:rPr>
        <w:t>Roger Garaudy</w:t>
      </w:r>
      <w:r w:rsidRPr="000043AD">
        <w:rPr>
          <w:rFonts w:cs="DanaFajr" w:hint="cs"/>
          <w:szCs w:val="28"/>
          <w:rtl/>
        </w:rPr>
        <w:t xml:space="preserve">: ولد </w:t>
      </w:r>
      <w:r w:rsidRPr="004D41D9">
        <w:rPr>
          <w:rFonts w:cs="DanaFajr" w:hint="cs"/>
          <w:szCs w:val="28"/>
          <w:rtl/>
        </w:rPr>
        <w:t xml:space="preserve">في 17 يوليو 1913م </w:t>
      </w:r>
      <w:r w:rsidRPr="000043AD">
        <w:rPr>
          <w:rFonts w:cs="DanaFajr" w:hint="cs"/>
          <w:szCs w:val="28"/>
          <w:rtl/>
        </w:rPr>
        <w:t xml:space="preserve">في مرسيليا، فرنسا. فيلسوف وكاتب فرنسي. خلال الحرب العالمية الثانية أُخذ كأسير حرب في الجلفة (الجزائر). كان شيوعياً، لكنه طرد </w:t>
      </w:r>
      <w:r w:rsidRPr="004D41D9">
        <w:rPr>
          <w:rFonts w:cs="DanaFajr" w:hint="cs"/>
          <w:szCs w:val="28"/>
          <w:rtl/>
        </w:rPr>
        <w:t>من الحزب الشيوعي الفرنسي سنة 1970م؛ وذلك لانتقاداته المستمرة للاتحاد السوفياتي. اعتنق</w:t>
      </w:r>
      <w:r w:rsidRPr="000043AD">
        <w:rPr>
          <w:rFonts w:cs="DanaFajr" w:hint="cs"/>
          <w:szCs w:val="28"/>
          <w:rtl/>
        </w:rPr>
        <w:t xml:space="preserve"> </w:t>
      </w:r>
      <w:r w:rsidRPr="004D41D9">
        <w:rPr>
          <w:rFonts w:cs="DanaFajr" w:hint="cs"/>
          <w:szCs w:val="28"/>
          <w:rtl/>
        </w:rPr>
        <w:t>الإسلام عام 1982م، متَّخذاً الاسم رجاء. بعد مجازر صبرا وشاتيلا في لبنان أصدر غارودي بياناً</w:t>
      </w:r>
      <w:r w:rsidRPr="000043AD">
        <w:rPr>
          <w:rFonts w:cs="DanaFajr" w:hint="cs"/>
          <w:szCs w:val="28"/>
          <w:rtl/>
        </w:rPr>
        <w:t xml:space="preserve"> </w:t>
      </w:r>
      <w:r w:rsidRPr="004D41D9">
        <w:rPr>
          <w:rFonts w:cs="DanaFajr" w:hint="cs"/>
          <w:szCs w:val="28"/>
          <w:rtl/>
        </w:rPr>
        <w:t>احتل الصفحة الثانية عشرة من عدد 17 حزيران 1982 من جريدة اللوموند الفرنسية، بعنوان</w:t>
      </w:r>
      <w:r w:rsidRPr="000043AD">
        <w:rPr>
          <w:rFonts w:cs="DanaFajr" w:hint="cs"/>
          <w:szCs w:val="28"/>
          <w:rtl/>
        </w:rPr>
        <w:t xml:space="preserve"> (معنى العدوان الإسرائيلي بعد مجازر لبنان). وقد وقّع البيان مع غارودي كلّ من الأب ميشيل لولون والقسّ إيتان ماتيو. وكان هذا البيان بداية صدام غارودي مع المنظَّمات الصهيونية التي شنَّتْ حملة </w:t>
      </w:r>
      <w:r w:rsidRPr="004D41D9">
        <w:rPr>
          <w:rFonts w:cs="DanaFajr" w:hint="cs"/>
          <w:szCs w:val="28"/>
          <w:rtl/>
        </w:rPr>
        <w:t>ضده في فرنسا والعالم. في عام 1998 حكمت محكمة فرنسية على غارودي بتهمة التشكيك في محرقة</w:t>
      </w:r>
      <w:r w:rsidRPr="000043AD">
        <w:rPr>
          <w:rFonts w:cs="DanaFajr" w:hint="cs"/>
          <w:szCs w:val="28"/>
          <w:rtl/>
        </w:rPr>
        <w:t xml:space="preserve"> اليهود في كتابه الأساطير المؤسّسة لدولة إسرائيل، حيث شكَّك في الأرقام الشائعة حول إبادة يهود أوروبا في غرف الغاز على أيدي النازيين. من أهمّ كتبه: الإسلام دين المستقبل، المسجد مرآة الإسلام، الإسلام وأزمة الغرب، حوار الحضارات. </w:t>
      </w:r>
    </w:p>
  </w:endnote>
  <w:endnote w:id="504">
    <w:p w:rsidR="00F41F33" w:rsidRPr="004D41D9" w:rsidRDefault="00F41F33" w:rsidP="00145E6B">
      <w:pPr>
        <w:pStyle w:val="aa"/>
        <w:spacing w:line="320" w:lineRule="exact"/>
        <w:ind w:firstLine="0"/>
        <w:rPr>
          <w:rFonts w:cs="DanaFajr"/>
          <w:sz w:val="28"/>
          <w:szCs w:val="28"/>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 xml:space="preserve">ألكسيس كاريل طبيب ومفكّر فرنسي. منح جائزة نوبل عام 1912؛ لأجل أبحاثه الطبية. </w:t>
      </w:r>
    </w:p>
  </w:endnote>
  <w:endnote w:id="505">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tl/>
        </w:rPr>
        <w:endnoteRef/>
      </w:r>
      <w:r w:rsidRPr="004D41D9">
        <w:rPr>
          <w:rFonts w:cs="DanaFajr"/>
          <w:sz w:val="28"/>
          <w:szCs w:val="28"/>
          <w:rtl/>
        </w:rPr>
        <w:t xml:space="preserve">) </w:t>
      </w:r>
      <w:r w:rsidRPr="004D41D9">
        <w:rPr>
          <w:rFonts w:cs="DanaFajr" w:hint="cs"/>
          <w:sz w:val="28"/>
          <w:szCs w:val="28"/>
          <w:rtl/>
        </w:rPr>
        <w:t>أشفيتسر ألبرت، فلسفة الحضارة: 11، ترجمة: عبد الرحمن بدوي، بيروت، دار الأندلس، ط3،</w:t>
      </w:r>
      <w:r w:rsidRPr="000043AD">
        <w:rPr>
          <w:rFonts w:cs="DanaFajr" w:hint="cs"/>
          <w:sz w:val="28"/>
          <w:szCs w:val="28"/>
          <w:rtl/>
        </w:rPr>
        <w:t xml:space="preserve"> </w:t>
      </w:r>
      <w:r w:rsidRPr="004D41D9">
        <w:rPr>
          <w:rFonts w:cs="DanaFajr" w:hint="cs"/>
          <w:sz w:val="28"/>
          <w:szCs w:val="28"/>
          <w:rtl/>
        </w:rPr>
        <w:t xml:space="preserve">1983. </w:t>
      </w:r>
    </w:p>
  </w:endnote>
  <w:endnote w:id="506">
    <w:p w:rsidR="00F41F33" w:rsidRPr="00715694" w:rsidRDefault="00F41F33" w:rsidP="00145E6B">
      <w:pPr>
        <w:pStyle w:val="aa"/>
        <w:bidi w:val="0"/>
        <w:spacing w:line="320" w:lineRule="exact"/>
        <w:ind w:firstLine="0"/>
        <w:rPr>
          <w:rFonts w:asciiTheme="majorBidi" w:hAnsiTheme="majorBidi" w:cstheme="majorBidi"/>
          <w:rtl/>
          <w:lang w:val="fr-FR"/>
        </w:rPr>
      </w:pPr>
      <w:r>
        <w:rPr>
          <w:rFonts w:asciiTheme="majorBidi" w:hAnsiTheme="majorBidi" w:cstheme="majorBidi" w:hint="cs"/>
          <w:rtl/>
          <w:lang w:val="fr-FR" w:bidi="ar-LB"/>
        </w:rPr>
        <w:t xml:space="preserve"> </w:t>
      </w:r>
      <w:r w:rsidRPr="00715694">
        <w:rPr>
          <w:rFonts w:asciiTheme="majorBidi" w:hAnsiTheme="majorBidi" w:cstheme="majorBidi" w:hint="cs"/>
          <w:rtl/>
          <w:lang w:val="fr-FR"/>
        </w:rPr>
        <w:t>(</w:t>
      </w:r>
      <w:r w:rsidRPr="00715694">
        <w:rPr>
          <w:rStyle w:val="ac"/>
          <w:rFonts w:asciiTheme="majorBidi" w:hAnsiTheme="majorBidi" w:cstheme="majorBidi"/>
          <w:vertAlign w:val="baseline"/>
          <w:rtl/>
        </w:rPr>
        <w:endnoteRef/>
      </w:r>
      <w:r w:rsidRPr="00715694">
        <w:rPr>
          <w:rFonts w:asciiTheme="majorBidi" w:hAnsiTheme="majorBidi" w:cstheme="majorBidi"/>
          <w:rtl/>
          <w:lang w:val="fr-FR"/>
        </w:rPr>
        <w:t>)</w:t>
      </w:r>
      <w:r w:rsidRPr="00715694">
        <w:rPr>
          <w:rFonts w:asciiTheme="majorBidi" w:hAnsiTheme="majorBidi" w:cstheme="majorBidi"/>
          <w:lang w:val="fr-FR"/>
        </w:rPr>
        <w:t xml:space="preserve">René guenon </w:t>
      </w:r>
      <w:r w:rsidRPr="00715694">
        <w:rPr>
          <w:rFonts w:asciiTheme="majorBidi" w:hAnsiTheme="majorBidi" w:cstheme="majorBidi"/>
          <w:rtl/>
          <w:lang w:val="fr-FR"/>
        </w:rPr>
        <w:t>ـ</w:t>
      </w:r>
      <w:r w:rsidRPr="00715694">
        <w:rPr>
          <w:rFonts w:asciiTheme="majorBidi" w:hAnsiTheme="majorBidi" w:cstheme="majorBidi"/>
          <w:lang w:val="fr-FR"/>
        </w:rPr>
        <w:t xml:space="preserve"> la crise du monde moderne</w:t>
      </w:r>
      <w:r>
        <w:rPr>
          <w:rFonts w:asciiTheme="majorBidi" w:hAnsiTheme="majorBidi" w:cstheme="majorBidi"/>
        </w:rPr>
        <w:t xml:space="preserve"> </w:t>
      </w:r>
      <w:r w:rsidRPr="00715694">
        <w:rPr>
          <w:rFonts w:asciiTheme="majorBidi" w:hAnsiTheme="majorBidi" w:cstheme="majorBidi"/>
          <w:rtl/>
          <w:lang w:val="fr-FR"/>
        </w:rPr>
        <w:t xml:space="preserve"> ـ</w:t>
      </w:r>
      <w:r w:rsidRPr="00715694">
        <w:rPr>
          <w:rFonts w:asciiTheme="majorBidi" w:hAnsiTheme="majorBidi" w:cstheme="majorBidi"/>
          <w:lang w:val="fr-FR"/>
        </w:rPr>
        <w:t xml:space="preserve">Ed bouchene </w:t>
      </w:r>
      <w:r>
        <w:rPr>
          <w:rFonts w:asciiTheme="majorBidi" w:hAnsiTheme="majorBidi" w:cstheme="majorBidi" w:hint="cs"/>
          <w:rtl/>
          <w:lang w:val="fr-FR" w:bidi="ar-LB"/>
        </w:rPr>
        <w:t xml:space="preserve"> </w:t>
      </w:r>
      <w:r w:rsidRPr="00715694">
        <w:rPr>
          <w:rFonts w:asciiTheme="majorBidi" w:hAnsiTheme="majorBidi" w:cstheme="majorBidi"/>
          <w:rtl/>
          <w:lang w:val="fr-FR"/>
        </w:rPr>
        <w:t>ـ</w:t>
      </w:r>
      <w:r w:rsidRPr="00715694">
        <w:rPr>
          <w:rFonts w:asciiTheme="majorBidi" w:hAnsiTheme="majorBidi" w:cstheme="majorBidi"/>
          <w:lang w:val="fr-FR"/>
        </w:rPr>
        <w:t xml:space="preserve">Alger </w:t>
      </w:r>
      <w:r w:rsidRPr="006333E0">
        <w:rPr>
          <w:rFonts w:asciiTheme="majorBidi" w:hAnsiTheme="majorBidi" w:cs="Ya-Ali"/>
          <w:lang w:val="fr-FR"/>
        </w:rPr>
        <w:t>1990</w:t>
      </w:r>
      <w:r w:rsidRPr="00715694">
        <w:rPr>
          <w:rFonts w:asciiTheme="majorBidi" w:hAnsiTheme="majorBidi" w:cstheme="majorBidi"/>
          <w:lang w:val="fr-FR"/>
        </w:rPr>
        <w:t xml:space="preserve"> </w:t>
      </w:r>
      <w:r w:rsidRPr="00715694">
        <w:rPr>
          <w:rFonts w:asciiTheme="majorBidi" w:hAnsiTheme="majorBidi" w:cstheme="majorBidi"/>
          <w:rtl/>
          <w:lang w:val="fr-FR"/>
        </w:rPr>
        <w:t>ـ</w:t>
      </w:r>
      <w:r w:rsidRPr="00715694">
        <w:rPr>
          <w:rFonts w:asciiTheme="majorBidi" w:hAnsiTheme="majorBidi" w:cstheme="majorBidi"/>
          <w:lang w:val="fr-FR"/>
        </w:rPr>
        <w:t xml:space="preserve"> pp </w:t>
      </w:r>
      <w:r w:rsidRPr="006333E0">
        <w:rPr>
          <w:rFonts w:asciiTheme="majorBidi" w:hAnsiTheme="majorBidi" w:cs="Ya-Ali"/>
          <w:lang w:val="fr-FR"/>
        </w:rPr>
        <w:t>69</w:t>
      </w:r>
      <w:r w:rsidRPr="00715694">
        <w:rPr>
          <w:rFonts w:asciiTheme="majorBidi" w:hAnsiTheme="majorBidi" w:cstheme="majorBidi"/>
          <w:lang w:val="fr-FR"/>
        </w:rPr>
        <w:t xml:space="preserve">; </w:t>
      </w:r>
      <w:r w:rsidRPr="006333E0">
        <w:rPr>
          <w:rFonts w:asciiTheme="majorBidi" w:hAnsiTheme="majorBidi" w:cs="Ya-Ali"/>
          <w:lang w:val="fr-FR"/>
        </w:rPr>
        <w:t>117</w:t>
      </w:r>
      <w:r w:rsidRPr="00715694">
        <w:rPr>
          <w:rFonts w:asciiTheme="majorBidi" w:hAnsiTheme="majorBidi" w:cstheme="majorBidi"/>
          <w:lang w:val="fr-FR"/>
        </w:rPr>
        <w:t>;</w:t>
      </w:r>
      <w:r>
        <w:rPr>
          <w:rFonts w:asciiTheme="majorBidi" w:hAnsiTheme="majorBidi" w:cstheme="majorBidi"/>
        </w:rPr>
        <w:t xml:space="preserve"> </w:t>
      </w:r>
      <w:r w:rsidRPr="006333E0">
        <w:rPr>
          <w:rFonts w:asciiTheme="majorBidi" w:hAnsiTheme="majorBidi" w:cs="Ya-Ali"/>
          <w:lang w:val="fr-FR"/>
        </w:rPr>
        <w:t>120</w:t>
      </w:r>
      <w:r w:rsidRPr="00715694">
        <w:rPr>
          <w:rFonts w:asciiTheme="majorBidi" w:hAnsiTheme="majorBidi" w:cstheme="majorBidi"/>
        </w:rPr>
        <w:t>.</w:t>
      </w:r>
      <w:r w:rsidRPr="00715694">
        <w:rPr>
          <w:rFonts w:asciiTheme="majorBidi" w:hAnsiTheme="majorBidi" w:cstheme="majorBidi"/>
          <w:rtl/>
          <w:lang w:val="fr-FR"/>
        </w:rPr>
        <w:t xml:space="preserve"> </w:t>
      </w:r>
    </w:p>
  </w:endnote>
  <w:endnote w:id="507">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tl/>
        </w:rPr>
        <w:endnoteRef/>
      </w:r>
      <w:r w:rsidRPr="004D41D9">
        <w:rPr>
          <w:rFonts w:cs="DanaFajr"/>
          <w:sz w:val="28"/>
          <w:szCs w:val="28"/>
          <w:rtl/>
        </w:rPr>
        <w:t xml:space="preserve">) </w:t>
      </w:r>
      <w:r w:rsidRPr="004D41D9">
        <w:rPr>
          <w:rFonts w:cs="DanaFajr" w:hint="cs"/>
          <w:sz w:val="28"/>
          <w:szCs w:val="28"/>
          <w:rtl/>
        </w:rPr>
        <w:t>من تعليق غارودي على مؤتمر السكان الذي عقد بالقاهرة أيام 5 ـ 13 سبتمبر سنة 1994.</w:t>
      </w:r>
      <w:r w:rsidRPr="000043AD">
        <w:rPr>
          <w:rFonts w:cs="DanaFajr" w:hint="cs"/>
          <w:sz w:val="28"/>
          <w:szCs w:val="28"/>
          <w:rtl/>
        </w:rPr>
        <w:t xml:space="preserve"> </w:t>
      </w:r>
      <w:r w:rsidRPr="004D41D9">
        <w:rPr>
          <w:rFonts w:cs="DanaFajr" w:hint="cs"/>
          <w:sz w:val="28"/>
          <w:szCs w:val="28"/>
          <w:rtl/>
        </w:rPr>
        <w:t>انظر: يوسف القرضاوي، الإسلام حضارة الغد: 106، 111، مكتبة وهبة القاهرة، ط1، 1995م.</w:t>
      </w:r>
    </w:p>
  </w:endnote>
  <w:endnote w:id="508">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tl/>
        </w:rPr>
        <w:endnoteRef/>
      </w:r>
      <w:r w:rsidRPr="004D41D9">
        <w:rPr>
          <w:rFonts w:cs="DanaFajr"/>
          <w:sz w:val="28"/>
          <w:szCs w:val="28"/>
          <w:rtl/>
        </w:rPr>
        <w:t xml:space="preserve">) </w:t>
      </w:r>
      <w:r w:rsidRPr="004D41D9">
        <w:rPr>
          <w:rFonts w:cs="DanaFajr" w:hint="cs"/>
          <w:sz w:val="28"/>
          <w:szCs w:val="28"/>
          <w:rtl/>
        </w:rPr>
        <w:t>كاريل ألكسيس</w:t>
      </w:r>
      <w:r w:rsidRPr="004D41D9">
        <w:rPr>
          <w:rFonts w:cs="DanaFajr" w:hint="cs"/>
          <w:sz w:val="28"/>
          <w:szCs w:val="28"/>
          <w:rtl/>
          <w:lang w:bidi="ar-LB"/>
        </w:rPr>
        <w:t xml:space="preserve">، </w:t>
      </w:r>
      <w:r w:rsidRPr="004D41D9">
        <w:rPr>
          <w:rFonts w:cs="DanaFajr" w:hint="cs"/>
          <w:sz w:val="28"/>
          <w:szCs w:val="28"/>
          <w:rtl/>
        </w:rPr>
        <w:t>الإنسان ذلك المجهول: 355، تعريب: شفيق أسعد فريد، بيروت مكتبة المعارف،</w:t>
      </w:r>
      <w:r w:rsidRPr="000043AD">
        <w:rPr>
          <w:rFonts w:cs="DanaFajr" w:hint="cs"/>
          <w:sz w:val="28"/>
          <w:szCs w:val="28"/>
          <w:rtl/>
        </w:rPr>
        <w:t xml:space="preserve"> </w:t>
      </w:r>
      <w:r w:rsidRPr="004D41D9">
        <w:rPr>
          <w:rFonts w:cs="DanaFajr" w:hint="cs"/>
          <w:sz w:val="28"/>
          <w:szCs w:val="28"/>
          <w:rtl/>
        </w:rPr>
        <w:t>1998.</w:t>
      </w:r>
    </w:p>
  </w:endnote>
  <w:endnote w:id="509">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tl/>
        </w:rPr>
        <w:endnoteRef/>
      </w:r>
      <w:r w:rsidRPr="004D41D9">
        <w:rPr>
          <w:rFonts w:cs="DanaFajr"/>
          <w:sz w:val="28"/>
          <w:szCs w:val="28"/>
          <w:rtl/>
        </w:rPr>
        <w:t xml:space="preserve">) </w:t>
      </w:r>
      <w:r w:rsidRPr="004D41D9">
        <w:rPr>
          <w:rFonts w:cs="DanaFajr" w:hint="cs"/>
          <w:sz w:val="28"/>
          <w:szCs w:val="28"/>
          <w:rtl/>
        </w:rPr>
        <w:t>هيام الملقي، ثقافتنا في مواجهة الانفتاح الحضاري: 173، دار الشواق، الرياض، ط1، 1995م.</w:t>
      </w:r>
    </w:p>
  </w:endnote>
  <w:endnote w:id="510">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طه عبد الرحمن، المفهوم والتأويل، فقه الفلسفة: 12، المركز الثقافي العربي، الدار البيضاء،</w:t>
      </w:r>
      <w:r w:rsidRPr="000043AD">
        <w:rPr>
          <w:rFonts w:cs="DanaFajr" w:hint="cs"/>
          <w:sz w:val="28"/>
          <w:szCs w:val="28"/>
          <w:rtl/>
        </w:rPr>
        <w:t xml:space="preserve"> </w:t>
      </w:r>
      <w:r w:rsidRPr="004D41D9">
        <w:rPr>
          <w:rFonts w:cs="DanaFajr" w:hint="cs"/>
          <w:sz w:val="28"/>
          <w:szCs w:val="28"/>
          <w:rtl/>
        </w:rPr>
        <w:t xml:space="preserve">ط1، 1999. </w:t>
      </w:r>
    </w:p>
  </w:endnote>
  <w:endnote w:id="511">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 xml:space="preserve">طه عبد الرحمن، حوارات حول المستقبل، منشورات الزمن، العدد 13: 12. </w:t>
      </w:r>
    </w:p>
  </w:endnote>
  <w:endnote w:id="512">
    <w:p w:rsidR="00F41F33" w:rsidRPr="004D41D9" w:rsidRDefault="00F41F33" w:rsidP="00145E6B">
      <w:pPr>
        <w:pStyle w:val="aa"/>
        <w:spacing w:line="320" w:lineRule="exact"/>
        <w:ind w:firstLine="0"/>
        <w:rPr>
          <w:rFonts w:cs="DanaFajr"/>
          <w:sz w:val="28"/>
          <w:szCs w:val="28"/>
          <w:rtl/>
          <w:lang w:bidi="ar-EG"/>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طه عبد الرحمن، العمل الديني وتجديد العقل: 90 وما بعدها، المركز الثقافي العربي</w:t>
      </w:r>
      <w:r w:rsidRPr="004D41D9">
        <w:rPr>
          <w:rFonts w:cs="DanaFajr" w:hint="cs"/>
          <w:sz w:val="28"/>
          <w:szCs w:val="28"/>
          <w:rtl/>
          <w:lang w:bidi="ar-EG"/>
        </w:rPr>
        <w:t xml:space="preserve">، </w:t>
      </w:r>
      <w:r w:rsidRPr="004D41D9">
        <w:rPr>
          <w:rFonts w:cs="DanaFajr" w:hint="cs"/>
          <w:sz w:val="28"/>
          <w:szCs w:val="28"/>
          <w:rtl/>
        </w:rPr>
        <w:t>الدار</w:t>
      </w:r>
      <w:r w:rsidRPr="000043AD">
        <w:rPr>
          <w:rFonts w:cs="DanaFajr" w:hint="cs"/>
          <w:sz w:val="28"/>
          <w:szCs w:val="28"/>
          <w:rtl/>
        </w:rPr>
        <w:t xml:space="preserve"> </w:t>
      </w:r>
      <w:r w:rsidRPr="004D41D9">
        <w:rPr>
          <w:rFonts w:cs="DanaFajr" w:hint="cs"/>
          <w:sz w:val="28"/>
          <w:szCs w:val="28"/>
          <w:rtl/>
        </w:rPr>
        <w:t>البيضاء، ط2، 1997</w:t>
      </w:r>
      <w:r w:rsidRPr="004D41D9">
        <w:rPr>
          <w:rFonts w:cs="DanaFajr" w:hint="cs"/>
          <w:sz w:val="28"/>
          <w:szCs w:val="28"/>
          <w:rtl/>
          <w:lang w:bidi="ar-EG"/>
        </w:rPr>
        <w:t>.</w:t>
      </w:r>
    </w:p>
  </w:endnote>
  <w:endnote w:id="513">
    <w:p w:rsidR="00F41F33" w:rsidRPr="004D41D9" w:rsidRDefault="00F41F33" w:rsidP="00145E6B">
      <w:pPr>
        <w:pStyle w:val="aa"/>
        <w:spacing w:line="320" w:lineRule="exact"/>
        <w:ind w:firstLine="0"/>
        <w:rPr>
          <w:rFonts w:cs="DanaFajr"/>
          <w:sz w:val="28"/>
          <w:szCs w:val="28"/>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طه عبد الرحمن، سؤال الأخلاق: 69 وما بعدها، المركز الثقافي العربي، الدار البيضاء، المغرب،</w:t>
      </w:r>
      <w:r w:rsidRPr="000043AD">
        <w:rPr>
          <w:rFonts w:cs="DanaFajr" w:hint="cs"/>
          <w:sz w:val="28"/>
          <w:szCs w:val="28"/>
          <w:rtl/>
        </w:rPr>
        <w:t xml:space="preserve"> </w:t>
      </w:r>
      <w:r w:rsidRPr="004D41D9">
        <w:rPr>
          <w:rFonts w:cs="DanaFajr" w:hint="cs"/>
          <w:sz w:val="28"/>
          <w:szCs w:val="28"/>
          <w:rtl/>
        </w:rPr>
        <w:t xml:space="preserve">ط1، 2000. </w:t>
      </w:r>
    </w:p>
  </w:endnote>
  <w:endnote w:id="514">
    <w:p w:rsidR="00F41F33" w:rsidRPr="004D41D9" w:rsidRDefault="00F41F33" w:rsidP="00145E6B">
      <w:pPr>
        <w:pStyle w:val="aa"/>
        <w:spacing w:line="320" w:lineRule="exact"/>
        <w:ind w:firstLine="0"/>
        <w:rPr>
          <w:rFonts w:cs="DanaFajr"/>
          <w:sz w:val="28"/>
          <w:szCs w:val="28"/>
          <w:lang w:bidi="ar-EG"/>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 xml:space="preserve">طه عبد الرحمن، العمل الديني وتجديد العقل: 40 وما بعدها. </w:t>
      </w:r>
    </w:p>
  </w:endnote>
  <w:endnote w:id="515">
    <w:p w:rsidR="00F41F33" w:rsidRPr="000043AD" w:rsidRDefault="00F41F33" w:rsidP="00145E6B">
      <w:pPr>
        <w:pStyle w:val="aa"/>
        <w:spacing w:line="320" w:lineRule="exact"/>
        <w:ind w:firstLine="0"/>
        <w:rPr>
          <w:rFonts w:cs="DanaFajr"/>
          <w:sz w:val="28"/>
          <w:szCs w:val="28"/>
          <w:lang w:bidi="ar-EG"/>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rPr>
        <w:t xml:space="preserve">المصدر نفسه. </w:t>
      </w:r>
    </w:p>
  </w:endnote>
  <w:endnote w:id="516">
    <w:p w:rsidR="00F41F33" w:rsidRPr="004D41D9" w:rsidRDefault="00F41F33" w:rsidP="00145E6B">
      <w:pPr>
        <w:pStyle w:val="aa"/>
        <w:spacing w:line="320" w:lineRule="exact"/>
        <w:ind w:firstLine="0"/>
        <w:rPr>
          <w:rFonts w:cs="DanaFajr"/>
          <w:sz w:val="28"/>
          <w:szCs w:val="28"/>
          <w:rtl/>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طه عبد الرحمن</w:t>
      </w:r>
      <w:r w:rsidRPr="004D41D9">
        <w:rPr>
          <w:rFonts w:cs="DanaFajr" w:hint="cs"/>
          <w:sz w:val="28"/>
          <w:szCs w:val="28"/>
          <w:rtl/>
          <w:lang w:bidi="ar-DZ"/>
        </w:rPr>
        <w:t xml:space="preserve">، روح الحداثة: 90، </w:t>
      </w:r>
      <w:r w:rsidRPr="004D41D9">
        <w:rPr>
          <w:rFonts w:cs="DanaFajr" w:hint="cs"/>
          <w:sz w:val="28"/>
          <w:szCs w:val="28"/>
          <w:rtl/>
        </w:rPr>
        <w:t>المركز الثقافي العربي، الدار البيضاء، ط2، 2009.</w:t>
      </w:r>
    </w:p>
  </w:endnote>
  <w:endnote w:id="517">
    <w:p w:rsidR="00F41F33" w:rsidRPr="004D41D9" w:rsidRDefault="00F41F33" w:rsidP="00145E6B">
      <w:pPr>
        <w:pStyle w:val="aa"/>
        <w:spacing w:line="320" w:lineRule="exact"/>
        <w:ind w:firstLine="0"/>
        <w:rPr>
          <w:rFonts w:cs="DanaFajr"/>
          <w:sz w:val="28"/>
          <w:szCs w:val="28"/>
          <w:rtl/>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طه عبد الرحمن، سؤال الأخلاق: 92</w:t>
      </w:r>
      <w:r w:rsidRPr="004D41D9">
        <w:rPr>
          <w:rFonts w:cs="DanaFajr" w:hint="cs"/>
          <w:sz w:val="28"/>
          <w:szCs w:val="28"/>
          <w:rtl/>
          <w:lang w:bidi="ar-DZ"/>
        </w:rPr>
        <w:t>.</w:t>
      </w:r>
    </w:p>
  </w:endnote>
  <w:endnote w:id="518">
    <w:p w:rsidR="00F41F33" w:rsidRPr="004D41D9" w:rsidRDefault="00F41F33" w:rsidP="00145E6B">
      <w:pPr>
        <w:pStyle w:val="aa"/>
        <w:spacing w:line="320" w:lineRule="exact"/>
        <w:ind w:firstLine="0"/>
        <w:rPr>
          <w:rFonts w:cs="DanaFajr"/>
          <w:sz w:val="28"/>
          <w:szCs w:val="28"/>
          <w:rtl/>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lang w:bidi="ar-DZ"/>
        </w:rPr>
        <w:t xml:space="preserve">المصدر السابق: 80. </w:t>
      </w:r>
    </w:p>
  </w:endnote>
  <w:endnote w:id="519">
    <w:p w:rsidR="00F41F33" w:rsidRPr="000043AD" w:rsidRDefault="00F41F33" w:rsidP="00145E6B">
      <w:pPr>
        <w:pStyle w:val="aa"/>
        <w:spacing w:line="320" w:lineRule="exact"/>
        <w:ind w:firstLine="0"/>
        <w:rPr>
          <w:rFonts w:cs="DanaFajr"/>
          <w:sz w:val="28"/>
          <w:szCs w:val="28"/>
          <w:lang w:bidi="ar-DZ"/>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lang w:bidi="ar-DZ"/>
        </w:rPr>
        <w:t xml:space="preserve">المصدر نفسه. </w:t>
      </w:r>
    </w:p>
  </w:endnote>
  <w:endnote w:id="520">
    <w:p w:rsidR="00F41F33" w:rsidRPr="000043AD" w:rsidRDefault="00F41F33" w:rsidP="00145E6B">
      <w:pPr>
        <w:pStyle w:val="aa"/>
        <w:spacing w:line="320" w:lineRule="exact"/>
        <w:ind w:firstLine="0"/>
        <w:rPr>
          <w:rFonts w:cs="DanaFajr"/>
          <w:sz w:val="28"/>
          <w:szCs w:val="28"/>
          <w:lang w:bidi="ar-DZ"/>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lang w:bidi="ar-DZ"/>
        </w:rPr>
        <w:t xml:space="preserve">المصدر نفسه. </w:t>
      </w:r>
    </w:p>
  </w:endnote>
  <w:endnote w:id="521">
    <w:p w:rsidR="00F41F33" w:rsidRPr="000043AD" w:rsidRDefault="00F41F33" w:rsidP="00145E6B">
      <w:pPr>
        <w:pStyle w:val="aa"/>
        <w:spacing w:line="320" w:lineRule="exact"/>
        <w:ind w:firstLine="0"/>
        <w:rPr>
          <w:rFonts w:cs="DanaFajr"/>
          <w:sz w:val="28"/>
          <w:szCs w:val="28"/>
          <w:lang w:bidi="ar-DZ"/>
        </w:rPr>
      </w:pPr>
      <w:r w:rsidRPr="000043AD">
        <w:rPr>
          <w:rFonts w:cs="DanaFajr"/>
          <w:sz w:val="28"/>
          <w:szCs w:val="28"/>
          <w:rtl/>
          <w:lang w:bidi="ar-DZ"/>
        </w:rPr>
        <w:t>(</w:t>
      </w:r>
      <w:r w:rsidRPr="000043AD">
        <w:rPr>
          <w:rStyle w:val="ac"/>
          <w:rFonts w:cs="DanaFajr"/>
          <w:sz w:val="28"/>
          <w:szCs w:val="28"/>
          <w:vertAlign w:val="baseline"/>
        </w:rPr>
        <w:endnoteRef/>
      </w:r>
      <w:r w:rsidRPr="000043AD">
        <w:rPr>
          <w:rFonts w:cs="DanaFajr"/>
          <w:sz w:val="28"/>
          <w:szCs w:val="28"/>
          <w:rtl/>
          <w:lang w:bidi="ar-DZ"/>
        </w:rPr>
        <w:t xml:space="preserve">) </w:t>
      </w:r>
      <w:r w:rsidRPr="000043AD">
        <w:rPr>
          <w:rFonts w:cs="DanaFajr" w:hint="cs"/>
          <w:sz w:val="28"/>
          <w:szCs w:val="28"/>
          <w:rtl/>
          <w:lang w:bidi="ar-DZ"/>
        </w:rPr>
        <w:t xml:space="preserve">المصدر نفسه. </w:t>
      </w:r>
    </w:p>
  </w:endnote>
  <w:endnote w:id="522">
    <w:p w:rsidR="00F41F33" w:rsidRPr="000043AD" w:rsidRDefault="00F41F33" w:rsidP="00145E6B">
      <w:pPr>
        <w:pStyle w:val="aa"/>
        <w:spacing w:line="320" w:lineRule="exact"/>
        <w:ind w:firstLine="0"/>
        <w:rPr>
          <w:rFonts w:cs="DanaFajr"/>
          <w:sz w:val="28"/>
          <w:szCs w:val="28"/>
          <w:lang w:bidi="ar-DZ"/>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lang w:bidi="ar-DZ"/>
        </w:rPr>
        <w:t xml:space="preserve">المصدر نفسه. </w:t>
      </w:r>
    </w:p>
  </w:endnote>
  <w:endnote w:id="523">
    <w:p w:rsidR="00F41F33" w:rsidRPr="004D41D9" w:rsidRDefault="00F41F33" w:rsidP="00145E6B">
      <w:pPr>
        <w:pStyle w:val="aa"/>
        <w:spacing w:line="320" w:lineRule="exact"/>
        <w:ind w:firstLine="0"/>
        <w:rPr>
          <w:rFonts w:cs="DanaFajr"/>
          <w:sz w:val="28"/>
          <w:szCs w:val="28"/>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طه عبد الرحمن،</w:t>
      </w:r>
      <w:r w:rsidRPr="004D41D9">
        <w:rPr>
          <w:rFonts w:cs="DanaFajr" w:hint="cs"/>
          <w:sz w:val="28"/>
          <w:szCs w:val="28"/>
          <w:rtl/>
          <w:lang w:bidi="ar-DZ"/>
        </w:rPr>
        <w:t xml:space="preserve"> روح الحداثة: 35 وما بعدها. </w:t>
      </w:r>
    </w:p>
  </w:endnote>
  <w:endnote w:id="524">
    <w:p w:rsidR="00F41F33" w:rsidRPr="004D41D9" w:rsidRDefault="00F41F33" w:rsidP="00145E6B">
      <w:pPr>
        <w:pStyle w:val="aa"/>
        <w:spacing w:line="320" w:lineRule="exact"/>
        <w:ind w:firstLine="0"/>
        <w:rPr>
          <w:rFonts w:cs="DanaFajr"/>
          <w:sz w:val="28"/>
          <w:szCs w:val="28"/>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w:t>
      </w:r>
      <w:r w:rsidRPr="004D41D9">
        <w:rPr>
          <w:rFonts w:cs="DanaFajr" w:hint="cs"/>
          <w:sz w:val="28"/>
          <w:szCs w:val="28"/>
          <w:rtl/>
          <w:lang w:bidi="ar-LB"/>
        </w:rPr>
        <w:t xml:space="preserve"> </w:t>
      </w:r>
      <w:r w:rsidRPr="004D41D9">
        <w:rPr>
          <w:rFonts w:cs="DanaFajr" w:hint="cs"/>
          <w:sz w:val="28"/>
          <w:szCs w:val="28"/>
          <w:rtl/>
        </w:rPr>
        <w:t>طه عبد الرحمن، سؤال الأخلاق: 145</w:t>
      </w:r>
      <w:r w:rsidRPr="004D41D9">
        <w:rPr>
          <w:rFonts w:cs="DanaFajr" w:hint="cs"/>
          <w:sz w:val="28"/>
          <w:szCs w:val="28"/>
          <w:rtl/>
          <w:lang w:bidi="ar-DZ"/>
        </w:rPr>
        <w:t xml:space="preserve">. </w:t>
      </w:r>
    </w:p>
  </w:endnote>
  <w:endnote w:id="525">
    <w:p w:rsidR="00F41F33" w:rsidRPr="004D41D9" w:rsidRDefault="00F41F33" w:rsidP="00145E6B">
      <w:pPr>
        <w:pStyle w:val="aa"/>
        <w:spacing w:line="320" w:lineRule="exact"/>
        <w:ind w:firstLine="0"/>
        <w:rPr>
          <w:rFonts w:cs="DanaFajr"/>
          <w:sz w:val="28"/>
          <w:szCs w:val="28"/>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w:t>
      </w:r>
      <w:r w:rsidRPr="004D41D9">
        <w:rPr>
          <w:rFonts w:cs="DanaFajr" w:hint="cs"/>
          <w:sz w:val="28"/>
          <w:szCs w:val="28"/>
          <w:rtl/>
        </w:rPr>
        <w:t xml:space="preserve"> </w:t>
      </w:r>
      <w:r w:rsidRPr="004D41D9">
        <w:rPr>
          <w:rFonts w:cs="DanaFajr" w:hint="cs"/>
          <w:sz w:val="28"/>
          <w:szCs w:val="28"/>
          <w:rtl/>
          <w:lang w:bidi="ar-DZ"/>
        </w:rPr>
        <w:t>المصدر السابق</w:t>
      </w:r>
      <w:r w:rsidRPr="004D41D9">
        <w:rPr>
          <w:rFonts w:cs="DanaFajr" w:hint="cs"/>
          <w:sz w:val="28"/>
          <w:szCs w:val="28"/>
          <w:rtl/>
        </w:rPr>
        <w:t>: 78، 79</w:t>
      </w:r>
      <w:r w:rsidRPr="004D41D9">
        <w:rPr>
          <w:rFonts w:cs="DanaFajr" w:hint="cs"/>
          <w:sz w:val="28"/>
          <w:szCs w:val="28"/>
          <w:rtl/>
          <w:lang w:bidi="ar-DZ"/>
        </w:rPr>
        <w:t xml:space="preserve">. </w:t>
      </w:r>
    </w:p>
  </w:endnote>
  <w:endnote w:id="526">
    <w:p w:rsidR="00F41F33" w:rsidRPr="000043AD" w:rsidRDefault="00F41F33" w:rsidP="00145E6B">
      <w:pPr>
        <w:spacing w:line="320" w:lineRule="exact"/>
        <w:ind w:firstLine="0"/>
        <w:rPr>
          <w:rFonts w:cs="DanaFajr"/>
          <w:szCs w:val="28"/>
          <w:rtl/>
        </w:rPr>
      </w:pPr>
      <w:r w:rsidRPr="000043AD">
        <w:rPr>
          <w:rFonts w:cs="DanaFajr"/>
          <w:szCs w:val="28"/>
          <w:rtl/>
        </w:rPr>
        <w:t>(</w:t>
      </w:r>
      <w:r w:rsidRPr="000043AD">
        <w:rPr>
          <w:rStyle w:val="ac"/>
          <w:rFonts w:cs="DanaFajr"/>
          <w:szCs w:val="28"/>
          <w:vertAlign w:val="baseline"/>
        </w:rPr>
        <w:endnoteRef/>
      </w:r>
      <w:r w:rsidRPr="000043AD">
        <w:rPr>
          <w:rFonts w:cs="DanaFajr"/>
          <w:szCs w:val="28"/>
          <w:rtl/>
        </w:rPr>
        <w:t xml:space="preserve">) </w:t>
      </w:r>
      <w:r w:rsidRPr="000043AD">
        <w:rPr>
          <w:rFonts w:cs="DanaFajr" w:hint="cs"/>
          <w:szCs w:val="28"/>
          <w:rtl/>
        </w:rPr>
        <w:t xml:space="preserve">يوشيهيرو فرانسيس فوكوياما كاتب ومفكِّر </w:t>
      </w:r>
      <w:hyperlink r:id="rId1" w:tooltip="الولايات المتحدة" w:history="1">
        <w:r w:rsidRPr="000043AD">
          <w:rPr>
            <w:rStyle w:val="Hyperlink"/>
            <w:rFonts w:cs="DanaFajr" w:hint="cs"/>
            <w:color w:val="auto"/>
            <w:szCs w:val="28"/>
            <w:u w:val="none"/>
            <w:rtl/>
          </w:rPr>
          <w:t>أمريكي</w:t>
        </w:r>
      </w:hyperlink>
      <w:r w:rsidRPr="000043AD">
        <w:rPr>
          <w:rFonts w:cs="DanaFajr" w:hint="cs"/>
          <w:szCs w:val="28"/>
          <w:rtl/>
        </w:rPr>
        <w:t xml:space="preserve"> الجنسية، من أصول </w:t>
      </w:r>
      <w:hyperlink r:id="rId2" w:tooltip="اليابان" w:history="1">
        <w:r w:rsidRPr="000043AD">
          <w:rPr>
            <w:rStyle w:val="Hyperlink"/>
            <w:rFonts w:cs="DanaFajr" w:hint="cs"/>
            <w:color w:val="auto"/>
            <w:szCs w:val="28"/>
            <w:u w:val="none"/>
            <w:rtl/>
          </w:rPr>
          <w:t>يابانية</w:t>
        </w:r>
      </w:hyperlink>
      <w:r w:rsidRPr="000043AD">
        <w:rPr>
          <w:rFonts w:cs="DanaFajr" w:hint="cs"/>
          <w:szCs w:val="28"/>
          <w:rtl/>
        </w:rPr>
        <w:t xml:space="preserve">. ولد في مدينة </w:t>
      </w:r>
      <w:hyperlink r:id="rId3" w:tooltip="شيكاغو" w:history="1">
        <w:r w:rsidRPr="004D41D9">
          <w:rPr>
            <w:rStyle w:val="Hyperlink"/>
            <w:rFonts w:cs="DanaFajr" w:hint="cs"/>
            <w:color w:val="auto"/>
            <w:szCs w:val="28"/>
            <w:u w:val="none"/>
            <w:rtl/>
          </w:rPr>
          <w:t>شيكاغو</w:t>
        </w:r>
      </w:hyperlink>
      <w:r w:rsidRPr="004D41D9">
        <w:rPr>
          <w:rFonts w:cs="DanaFajr" w:hint="cs"/>
          <w:szCs w:val="28"/>
          <w:rtl/>
        </w:rPr>
        <w:t xml:space="preserve"> الأمريكية عام </w:t>
      </w:r>
      <w:hyperlink r:id="rId4" w:tooltip="1952" w:history="1">
        <w:r w:rsidRPr="004D41D9">
          <w:rPr>
            <w:rStyle w:val="Hyperlink"/>
            <w:rFonts w:cs="DanaFajr" w:hint="cs"/>
            <w:color w:val="auto"/>
            <w:szCs w:val="28"/>
            <w:u w:val="none"/>
            <w:rtl/>
          </w:rPr>
          <w:t>1952</w:t>
        </w:r>
      </w:hyperlink>
      <w:r w:rsidRPr="004D41D9">
        <w:rPr>
          <w:rFonts w:cs="DanaFajr" w:hint="cs"/>
          <w:szCs w:val="28"/>
          <w:rtl/>
        </w:rPr>
        <w:t xml:space="preserve">م. يعدّ من أهمّ مفكِّري </w:t>
      </w:r>
      <w:hyperlink r:id="rId5" w:tooltip="محافظون جدد" w:history="1">
        <w:r w:rsidRPr="004D41D9">
          <w:rPr>
            <w:rStyle w:val="Hyperlink"/>
            <w:rFonts w:cs="DanaFajr" w:hint="cs"/>
            <w:color w:val="auto"/>
            <w:szCs w:val="28"/>
            <w:u w:val="none"/>
            <w:rtl/>
          </w:rPr>
          <w:t>المحافظين الجدد</w:t>
        </w:r>
      </w:hyperlink>
      <w:r w:rsidRPr="004D41D9">
        <w:rPr>
          <w:rFonts w:cs="DanaFajr" w:hint="cs"/>
          <w:szCs w:val="28"/>
          <w:rtl/>
        </w:rPr>
        <w:t>. من كتبه: كتاب (نهاية</w:t>
      </w:r>
      <w:r w:rsidRPr="000043AD">
        <w:rPr>
          <w:rFonts w:cs="DanaFajr" w:hint="cs"/>
          <w:szCs w:val="28"/>
          <w:rtl/>
        </w:rPr>
        <w:t xml:space="preserve"> التاريخ والإنسان الأخير)، و(الانهيار أو التصدع العظيم). وقد قصد فوكوياما أن يعارض فكرة نهاية التاريخ في نظرية كارل ماركس الشهيرة </w:t>
      </w:r>
      <w:r w:rsidRPr="000043AD">
        <w:rPr>
          <w:rFonts w:cs="DanaFajr" w:hint="eastAsia"/>
          <w:sz w:val="27"/>
          <w:rtl/>
        </w:rPr>
        <w:t>«</w:t>
      </w:r>
      <w:r w:rsidRPr="000043AD">
        <w:rPr>
          <w:rFonts w:cs="DanaFajr" w:hint="cs"/>
          <w:szCs w:val="28"/>
          <w:rtl/>
        </w:rPr>
        <w:t>المادية التاريخية</w:t>
      </w:r>
      <w:r w:rsidRPr="000043AD">
        <w:rPr>
          <w:rFonts w:cs="DanaFajr" w:hint="eastAsia"/>
          <w:sz w:val="27"/>
          <w:rtl/>
        </w:rPr>
        <w:t>»</w:t>
      </w:r>
      <w:r w:rsidRPr="000043AD">
        <w:rPr>
          <w:rFonts w:cs="DanaFajr" w:hint="cs"/>
          <w:szCs w:val="28"/>
          <w:rtl/>
        </w:rPr>
        <w:t xml:space="preserve">، والتي اعتبر فيها أن نهاية تاريخ الاضطهاد الإنساني سينتهي عندما تزول الفروق بين الطبقات. كما تأثَّر فوكوياما في بناء نظريته بآراء الفيلسوف الشهير هيغل، وأستاذه الفيلسوف ألن بلوم، حيث ربط كلاهما بين نهاية تاريخ الاضطهاد الإنساني واستقرار نظام السوق الحرّة في الديمقراطيات الغربية. وقد تخلّى فرانسيس فوكوياما صراحة عن ولائه وانتمائه لأفكار المحافظين الجدد في مقال نشرته المجلة التابعة لصحيفة </w:t>
      </w:r>
      <w:r w:rsidRPr="004D41D9">
        <w:rPr>
          <w:rFonts w:cs="DanaFajr" w:hint="cs"/>
          <w:szCs w:val="28"/>
          <w:rtl/>
        </w:rPr>
        <w:t>نيويورك تايمز في عام 2006، مقارناً حركة المحافظين الجدد باللينينية. ونفى فوكوياما أن تكون</w:t>
      </w:r>
      <w:r w:rsidRPr="000043AD">
        <w:rPr>
          <w:rFonts w:cs="DanaFajr" w:hint="cs"/>
          <w:szCs w:val="28"/>
          <w:rtl/>
        </w:rPr>
        <w:t xml:space="preserve"> الحرب العسكرية هي الإجابة الصحيحة على الحرب على الإرهاب. وأضاف أن معركة كسب عقول وقلوب المسلمين حول العالم هي المعركة الحقيقة. </w:t>
      </w:r>
    </w:p>
  </w:endnote>
  <w:endnote w:id="527">
    <w:p w:rsidR="00F41F33" w:rsidRPr="000043AD" w:rsidRDefault="00F41F33" w:rsidP="00145E6B">
      <w:pPr>
        <w:pStyle w:val="aa"/>
        <w:spacing w:line="320" w:lineRule="exact"/>
        <w:ind w:firstLine="0"/>
        <w:rPr>
          <w:rFonts w:cs="DanaFajr"/>
          <w:sz w:val="28"/>
          <w:szCs w:val="28"/>
          <w:rtl/>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rPr>
        <w:t>ص</w:t>
      </w:r>
      <w:r w:rsidRPr="000043AD">
        <w:rPr>
          <w:rFonts w:cs="DanaFajr" w:hint="cs"/>
          <w:sz w:val="28"/>
          <w:szCs w:val="28"/>
          <w:rtl/>
          <w:lang w:bidi="ar-EG"/>
        </w:rPr>
        <w:t>ا</w:t>
      </w:r>
      <w:r w:rsidRPr="000043AD">
        <w:rPr>
          <w:rFonts w:cs="DanaFajr" w:hint="cs"/>
          <w:sz w:val="28"/>
          <w:szCs w:val="28"/>
          <w:rtl/>
        </w:rPr>
        <w:t xml:space="preserve">مويل فلبس هنتنجتون </w:t>
      </w:r>
      <w:r w:rsidRPr="000043AD">
        <w:rPr>
          <w:rFonts w:asciiTheme="majorBidi" w:hAnsiTheme="majorBidi" w:cs="DanaFajr"/>
        </w:rPr>
        <w:t>Samuel Phillips Huntington</w:t>
      </w:r>
      <w:r w:rsidRPr="000043AD">
        <w:rPr>
          <w:rFonts w:asciiTheme="majorBidi" w:hAnsiTheme="majorBidi" w:cs="DanaFajr"/>
          <w:sz w:val="28"/>
          <w:szCs w:val="28"/>
          <w:rtl/>
        </w:rPr>
        <w:t xml:space="preserve">. </w:t>
      </w:r>
      <w:r w:rsidRPr="004D41D9">
        <w:rPr>
          <w:rFonts w:cs="DanaFajr" w:hint="cs"/>
          <w:sz w:val="28"/>
          <w:szCs w:val="28"/>
          <w:rtl/>
        </w:rPr>
        <w:t xml:space="preserve">ولد في 18 أبريل </w:t>
      </w:r>
      <w:hyperlink r:id="rId6" w:tooltip="1927" w:history="1">
        <w:r w:rsidRPr="004D41D9">
          <w:rPr>
            <w:rStyle w:val="Hyperlink"/>
            <w:rFonts w:cs="DanaFajr" w:hint="cs"/>
            <w:color w:val="auto"/>
            <w:sz w:val="28"/>
            <w:szCs w:val="28"/>
            <w:u w:val="none"/>
            <w:rtl/>
          </w:rPr>
          <w:t>1927</w:t>
        </w:r>
      </w:hyperlink>
      <w:r w:rsidRPr="000043AD">
        <w:rPr>
          <w:rFonts w:cs="DanaFajr" w:hint="cs"/>
          <w:sz w:val="28"/>
          <w:szCs w:val="28"/>
          <w:rtl/>
        </w:rPr>
        <w:t>، وتوفي</w:t>
      </w:r>
      <w:r>
        <w:rPr>
          <w:rFonts w:cs="DanaFajr" w:hint="cs"/>
          <w:sz w:val="28"/>
          <w:szCs w:val="28"/>
          <w:rtl/>
        </w:rPr>
        <w:t xml:space="preserve"> في</w:t>
      </w:r>
      <w:r w:rsidRPr="000043AD">
        <w:rPr>
          <w:rFonts w:cs="DanaFajr" w:hint="cs"/>
          <w:sz w:val="28"/>
          <w:szCs w:val="28"/>
          <w:rtl/>
        </w:rPr>
        <w:t xml:space="preserve"> </w:t>
      </w:r>
      <w:hyperlink r:id="rId7" w:tooltip="24 ديسمبر" w:history="1">
        <w:r w:rsidRPr="004D41D9">
          <w:rPr>
            <w:rStyle w:val="Hyperlink"/>
            <w:rFonts w:cs="DanaFajr" w:hint="cs"/>
            <w:color w:val="auto"/>
            <w:sz w:val="28"/>
            <w:szCs w:val="28"/>
            <w:u w:val="none"/>
            <w:rtl/>
          </w:rPr>
          <w:t>24 ديسمبر</w:t>
        </w:r>
      </w:hyperlink>
      <w:r w:rsidRPr="004D41D9">
        <w:rPr>
          <w:rFonts w:cs="DanaFajr" w:hint="cs"/>
          <w:sz w:val="28"/>
          <w:szCs w:val="28"/>
          <w:rtl/>
        </w:rPr>
        <w:t xml:space="preserve"> </w:t>
      </w:r>
      <w:hyperlink r:id="rId8" w:tooltip="2008" w:history="1">
        <w:r w:rsidRPr="004D41D9">
          <w:rPr>
            <w:rStyle w:val="Hyperlink"/>
            <w:rFonts w:cs="DanaFajr" w:hint="cs"/>
            <w:color w:val="auto"/>
            <w:sz w:val="28"/>
            <w:szCs w:val="28"/>
            <w:u w:val="none"/>
            <w:rtl/>
          </w:rPr>
          <w:t>2008</w:t>
        </w:r>
      </w:hyperlink>
      <w:r w:rsidRPr="004D41D9">
        <w:rPr>
          <w:rFonts w:cs="DanaFajr" w:hint="cs"/>
          <w:sz w:val="28"/>
          <w:szCs w:val="28"/>
          <w:rtl/>
        </w:rPr>
        <w:t>. أستاذ العلوم السياسية. اشتهر بتحليله للعلاقة بين العسكر والحكومة المدنية،</w:t>
      </w:r>
      <w:r w:rsidRPr="000043AD">
        <w:rPr>
          <w:rFonts w:cs="DanaFajr" w:hint="cs"/>
          <w:sz w:val="28"/>
          <w:szCs w:val="28"/>
          <w:rtl/>
        </w:rPr>
        <w:t xml:space="preserve"> وبحوثه </w:t>
      </w:r>
      <w:r w:rsidRPr="004D41D9">
        <w:rPr>
          <w:rFonts w:cs="DanaFajr" w:hint="cs"/>
          <w:sz w:val="28"/>
          <w:szCs w:val="28"/>
          <w:rtl/>
        </w:rPr>
        <w:t>في انقلابات الدول. في عام 1993 أشعل هنتنجتون نقاشاً مستعراً حول العالم في العلاقات الدولية</w:t>
      </w:r>
      <w:r w:rsidRPr="000043AD">
        <w:rPr>
          <w:rFonts w:cs="DanaFajr" w:hint="cs"/>
          <w:sz w:val="28"/>
          <w:szCs w:val="28"/>
          <w:rtl/>
        </w:rPr>
        <w:t xml:space="preserve"> بنشره في مجلة </w:t>
      </w:r>
      <w:hyperlink r:id="rId9" w:tooltip="فورين أفيرز (page does not exist)" w:history="1">
        <w:r w:rsidRPr="000043AD">
          <w:rPr>
            <w:rStyle w:val="Hyperlink"/>
            <w:rFonts w:cs="DanaFajr" w:hint="cs"/>
            <w:color w:val="auto"/>
            <w:sz w:val="28"/>
            <w:szCs w:val="28"/>
            <w:u w:val="none"/>
            <w:rtl/>
          </w:rPr>
          <w:t>فورين أفيرز</w:t>
        </w:r>
      </w:hyperlink>
      <w:r w:rsidRPr="000043AD">
        <w:rPr>
          <w:rFonts w:cs="DanaFajr" w:hint="cs"/>
          <w:sz w:val="28"/>
          <w:szCs w:val="28"/>
          <w:rtl/>
        </w:rPr>
        <w:t xml:space="preserve"> (العلاقات الخارجية) مقالاً شديد الأهمّية والتأثير، بعنوان </w:t>
      </w:r>
      <w:r w:rsidRPr="000043AD">
        <w:rPr>
          <w:rFonts w:cs="DanaFajr" w:hint="eastAsia"/>
          <w:sz w:val="27"/>
          <w:szCs w:val="27"/>
          <w:rtl/>
        </w:rPr>
        <w:t>«</w:t>
      </w:r>
      <w:r w:rsidRPr="000043AD">
        <w:rPr>
          <w:rFonts w:cs="DanaFajr" w:hint="cs"/>
          <w:sz w:val="28"/>
          <w:szCs w:val="28"/>
          <w:rtl/>
        </w:rPr>
        <w:t>صراع الحضارات؟</w:t>
      </w:r>
      <w:r w:rsidRPr="000043AD">
        <w:rPr>
          <w:rFonts w:cs="DanaFajr" w:hint="eastAsia"/>
          <w:sz w:val="27"/>
          <w:szCs w:val="27"/>
          <w:rtl/>
        </w:rPr>
        <w:t>»</w:t>
      </w:r>
      <w:r w:rsidRPr="000043AD">
        <w:rPr>
          <w:rFonts w:cs="DanaFajr" w:hint="cs"/>
          <w:sz w:val="28"/>
          <w:szCs w:val="28"/>
          <w:rtl/>
        </w:rPr>
        <w:t xml:space="preserve">. المقالة تناقضت مع نظريةٍ سياسية أخرى متعلِّقة بديناميكية السياسة الجغرافية بعد الحرب الباردة، لصاحبها فرانسيس فوكوياما في كتابة </w:t>
      </w:r>
      <w:r w:rsidRPr="000043AD">
        <w:rPr>
          <w:rFonts w:cs="DanaFajr" w:hint="eastAsia"/>
          <w:sz w:val="27"/>
          <w:szCs w:val="27"/>
          <w:rtl/>
        </w:rPr>
        <w:t>«</w:t>
      </w:r>
      <w:hyperlink r:id="rId10" w:tooltip="نهاية التاريخ" w:history="1">
        <w:r w:rsidRPr="000043AD">
          <w:rPr>
            <w:rStyle w:val="Hyperlink"/>
            <w:rFonts w:cs="DanaFajr" w:hint="cs"/>
            <w:color w:val="auto"/>
            <w:sz w:val="28"/>
            <w:szCs w:val="28"/>
            <w:u w:val="none"/>
            <w:rtl/>
          </w:rPr>
          <w:t>نهاية التاريخ</w:t>
        </w:r>
      </w:hyperlink>
      <w:r w:rsidRPr="000043AD">
        <w:rPr>
          <w:rFonts w:cs="DanaFajr" w:hint="eastAsia"/>
          <w:sz w:val="27"/>
          <w:szCs w:val="27"/>
          <w:rtl/>
        </w:rPr>
        <w:t>»</w:t>
      </w:r>
      <w:r w:rsidRPr="000043AD">
        <w:rPr>
          <w:rFonts w:cs="DanaFajr" w:hint="cs"/>
          <w:sz w:val="28"/>
          <w:szCs w:val="28"/>
          <w:rtl/>
        </w:rPr>
        <w:t>. لاحقاً قام هنتن</w:t>
      </w:r>
      <w:r>
        <w:rPr>
          <w:rFonts w:cs="DanaFajr" w:hint="cs"/>
          <w:sz w:val="28"/>
          <w:szCs w:val="28"/>
          <w:rtl/>
          <w:lang w:bidi="ar-LB"/>
        </w:rPr>
        <w:t>ج</w:t>
      </w:r>
      <w:r w:rsidRPr="000043AD">
        <w:rPr>
          <w:rFonts w:cs="DanaFajr" w:hint="cs"/>
          <w:sz w:val="28"/>
          <w:szCs w:val="28"/>
          <w:rtl/>
        </w:rPr>
        <w:t xml:space="preserve">تون بتوسيع </w:t>
      </w:r>
      <w:r w:rsidRPr="004D41D9">
        <w:rPr>
          <w:rFonts w:cs="DanaFajr" w:hint="cs"/>
          <w:sz w:val="28"/>
          <w:szCs w:val="28"/>
          <w:rtl/>
        </w:rPr>
        <w:t xml:space="preserve">مقالته إلى كتابٍ صدر في </w:t>
      </w:r>
      <w:hyperlink r:id="rId11" w:tooltip="1996" w:history="1">
        <w:r w:rsidRPr="004D41D9">
          <w:rPr>
            <w:rStyle w:val="Hyperlink"/>
            <w:rFonts w:cs="DanaFajr" w:hint="cs"/>
            <w:color w:val="auto"/>
            <w:sz w:val="28"/>
            <w:szCs w:val="28"/>
            <w:u w:val="none"/>
            <w:rtl/>
          </w:rPr>
          <w:t>1996</w:t>
        </w:r>
      </w:hyperlink>
      <w:r w:rsidRPr="004D41D9">
        <w:rPr>
          <w:rFonts w:cs="DanaFajr" w:hint="cs"/>
          <w:sz w:val="28"/>
          <w:szCs w:val="28"/>
          <w:rtl/>
        </w:rPr>
        <w:t xml:space="preserve">، للناشر </w:t>
      </w:r>
      <w:hyperlink r:id="rId12" w:tooltip="سايمون وشوستر (page does not exist)" w:history="1">
        <w:r w:rsidRPr="004D41D9">
          <w:rPr>
            <w:rStyle w:val="Hyperlink"/>
            <w:rFonts w:cs="DanaFajr" w:hint="cs"/>
            <w:color w:val="auto"/>
            <w:sz w:val="28"/>
            <w:szCs w:val="28"/>
            <w:u w:val="none"/>
            <w:rtl/>
          </w:rPr>
          <w:t>سايمون وشوستر</w:t>
        </w:r>
      </w:hyperlink>
      <w:r w:rsidRPr="004D41D9">
        <w:rPr>
          <w:rFonts w:cs="DanaFajr" w:hint="cs"/>
          <w:sz w:val="28"/>
          <w:szCs w:val="28"/>
          <w:rtl/>
        </w:rPr>
        <w:t>، بعنوان صراع الحضارات وإعادة صياغة</w:t>
      </w:r>
      <w:r w:rsidRPr="000043AD">
        <w:rPr>
          <w:rFonts w:cs="DanaFajr" w:hint="cs"/>
          <w:sz w:val="28"/>
          <w:szCs w:val="28"/>
          <w:rtl/>
        </w:rPr>
        <w:t xml:space="preserve"> النظام العالمي. المقالة والكتاب عرضا وجهة نظره أن صراعات ما بعد </w:t>
      </w:r>
      <w:hyperlink r:id="rId13" w:tooltip="الحرب الباردة" w:history="1">
        <w:r w:rsidRPr="000043AD">
          <w:rPr>
            <w:rStyle w:val="Hyperlink"/>
            <w:rFonts w:cs="DanaFajr" w:hint="cs"/>
            <w:color w:val="auto"/>
            <w:sz w:val="28"/>
            <w:szCs w:val="28"/>
            <w:u w:val="none"/>
            <w:rtl/>
          </w:rPr>
          <w:t>الحرب الباردة</w:t>
        </w:r>
      </w:hyperlink>
      <w:r w:rsidRPr="000043AD">
        <w:rPr>
          <w:rFonts w:cs="DanaFajr" w:hint="cs"/>
          <w:sz w:val="28"/>
          <w:szCs w:val="28"/>
          <w:rtl/>
        </w:rPr>
        <w:t xml:space="preserve"> ستحدث أكثر وأعنف ما يكون على أسس ثقافية (غالباً حضارية، مثل: الحضارات </w:t>
      </w:r>
      <w:hyperlink r:id="rId14" w:tooltip="حضارة الغرب" w:history="1">
        <w:r w:rsidRPr="000043AD">
          <w:rPr>
            <w:rStyle w:val="Hyperlink"/>
            <w:rFonts w:cs="DanaFajr" w:hint="cs"/>
            <w:color w:val="auto"/>
            <w:sz w:val="28"/>
            <w:szCs w:val="28"/>
            <w:u w:val="none"/>
            <w:rtl/>
          </w:rPr>
          <w:t>الغربية</w:t>
        </w:r>
      </w:hyperlink>
      <w:r w:rsidRPr="000043AD">
        <w:rPr>
          <w:rFonts w:cs="DanaFajr" w:hint="cs"/>
          <w:sz w:val="28"/>
          <w:szCs w:val="28"/>
          <w:rtl/>
        </w:rPr>
        <w:t xml:space="preserve">، </w:t>
      </w:r>
      <w:hyperlink r:id="rId15" w:tooltip="إسلام" w:history="1">
        <w:r w:rsidRPr="000043AD">
          <w:rPr>
            <w:rStyle w:val="Hyperlink"/>
            <w:rFonts w:cs="DanaFajr" w:hint="cs"/>
            <w:color w:val="auto"/>
            <w:sz w:val="28"/>
            <w:szCs w:val="28"/>
            <w:u w:val="none"/>
            <w:rtl/>
          </w:rPr>
          <w:t>الإسلامية</w:t>
        </w:r>
      </w:hyperlink>
      <w:r w:rsidRPr="000043AD">
        <w:rPr>
          <w:rFonts w:cs="DanaFajr" w:hint="cs"/>
          <w:sz w:val="28"/>
          <w:szCs w:val="28"/>
          <w:rtl/>
        </w:rPr>
        <w:t xml:space="preserve">، </w:t>
      </w:r>
      <w:hyperlink r:id="rId16" w:tooltip="حضارة صينية" w:history="1">
        <w:r w:rsidRPr="000043AD">
          <w:rPr>
            <w:rStyle w:val="Hyperlink"/>
            <w:rFonts w:cs="DanaFajr" w:hint="cs"/>
            <w:color w:val="auto"/>
            <w:sz w:val="28"/>
            <w:szCs w:val="28"/>
            <w:u w:val="none"/>
            <w:rtl/>
          </w:rPr>
          <w:t>الصينية</w:t>
        </w:r>
      </w:hyperlink>
      <w:r w:rsidRPr="000043AD">
        <w:rPr>
          <w:rFonts w:cs="DanaFajr" w:hint="cs"/>
          <w:sz w:val="28"/>
          <w:szCs w:val="28"/>
          <w:rtl/>
        </w:rPr>
        <w:t xml:space="preserve">، </w:t>
      </w:r>
      <w:hyperlink r:id="rId17" w:tooltip="الهندوكية (page does not exist)" w:history="1">
        <w:r w:rsidRPr="000043AD">
          <w:rPr>
            <w:rStyle w:val="Hyperlink"/>
            <w:rFonts w:cs="DanaFajr" w:hint="cs"/>
            <w:color w:val="auto"/>
            <w:sz w:val="28"/>
            <w:szCs w:val="28"/>
            <w:u w:val="none"/>
            <w:rtl/>
          </w:rPr>
          <w:t>الهندوكية</w:t>
        </w:r>
      </w:hyperlink>
      <w:r w:rsidRPr="000043AD">
        <w:rPr>
          <w:rFonts w:cs="DanaFajr" w:hint="cs"/>
          <w:sz w:val="28"/>
          <w:szCs w:val="28"/>
          <w:rtl/>
        </w:rPr>
        <w:t xml:space="preserve">، إلخ). </w:t>
      </w:r>
    </w:p>
  </w:endnote>
  <w:endnote w:id="528">
    <w:p w:rsidR="00F41F33" w:rsidRPr="004D41D9" w:rsidRDefault="00F41F33" w:rsidP="00145E6B">
      <w:pPr>
        <w:pStyle w:val="aa"/>
        <w:spacing w:line="320" w:lineRule="exact"/>
        <w:ind w:firstLine="0"/>
        <w:rPr>
          <w:rFonts w:cs="DanaFajr"/>
          <w:sz w:val="28"/>
          <w:szCs w:val="28"/>
          <w:rtl/>
        </w:rPr>
      </w:pPr>
      <w:r w:rsidRPr="000043AD">
        <w:rPr>
          <w:rFonts w:cs="DanaFajr"/>
          <w:sz w:val="28"/>
          <w:szCs w:val="28"/>
          <w:rtl/>
        </w:rPr>
        <w:t>(</w:t>
      </w:r>
      <w:r w:rsidRPr="000043AD">
        <w:rPr>
          <w:rStyle w:val="ac"/>
          <w:rFonts w:cs="DanaFajr"/>
          <w:sz w:val="28"/>
          <w:szCs w:val="28"/>
          <w:vertAlign w:val="baseline"/>
        </w:rPr>
        <w:endnoteRef/>
      </w:r>
      <w:r w:rsidRPr="000043AD">
        <w:rPr>
          <w:rFonts w:cs="DanaFajr"/>
          <w:sz w:val="28"/>
          <w:szCs w:val="28"/>
          <w:rtl/>
        </w:rPr>
        <w:t xml:space="preserve">) </w:t>
      </w:r>
      <w:r w:rsidRPr="000043AD">
        <w:rPr>
          <w:rFonts w:cs="DanaFajr" w:hint="cs"/>
          <w:sz w:val="28"/>
          <w:szCs w:val="28"/>
          <w:rtl/>
        </w:rPr>
        <w:t xml:space="preserve">نايبول كاتب جامايكي تخصّص في تأليه الغرب، وتجريح العالم الثالث، ومنه وطنه الأمّ الهند. كما تخصَّص في الهجوم على الإسلام. وكوفئ على مواقفه بمنحه جائزة نوبل للآداب عن سنة </w:t>
      </w:r>
      <w:r w:rsidRPr="004D41D9">
        <w:rPr>
          <w:rFonts w:cs="DanaFajr" w:hint="cs"/>
          <w:sz w:val="28"/>
          <w:szCs w:val="28"/>
          <w:rtl/>
        </w:rPr>
        <w:t xml:space="preserve">2001. </w:t>
      </w:r>
    </w:p>
  </w:endnote>
  <w:endnote w:id="529">
    <w:p w:rsidR="00F41F33" w:rsidRPr="004D41D9" w:rsidRDefault="00F41F33" w:rsidP="00145E6B">
      <w:pPr>
        <w:pStyle w:val="aa"/>
        <w:spacing w:line="320" w:lineRule="exact"/>
        <w:ind w:firstLine="0"/>
        <w:rPr>
          <w:rFonts w:cs="DanaFajr"/>
          <w:sz w:val="28"/>
          <w:szCs w:val="28"/>
          <w:rtl/>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انظر: عبد الوهاب المسيري، الحداثة وما بعد الحداثة، حواراتٌ لقرنٍ جديد: 161، 162،</w:t>
      </w:r>
      <w:r w:rsidRPr="000043AD">
        <w:rPr>
          <w:rFonts w:cs="DanaFajr" w:hint="cs"/>
          <w:sz w:val="28"/>
          <w:szCs w:val="28"/>
          <w:rtl/>
        </w:rPr>
        <w:t xml:space="preserve"> </w:t>
      </w:r>
      <w:r w:rsidRPr="004D41D9">
        <w:rPr>
          <w:rFonts w:cs="DanaFajr" w:hint="cs"/>
          <w:sz w:val="28"/>
          <w:szCs w:val="28"/>
          <w:rtl/>
        </w:rPr>
        <w:t>دمشق، دار الفكر، 2003.</w:t>
      </w:r>
      <w:r w:rsidRPr="004D41D9">
        <w:rPr>
          <w:rFonts w:cs="DanaFajr" w:hint="cs"/>
          <w:sz w:val="28"/>
          <w:szCs w:val="28"/>
          <w:rtl/>
          <w:lang w:bidi="ar-DZ"/>
        </w:rPr>
        <w:t xml:space="preserve"> </w:t>
      </w:r>
    </w:p>
  </w:endnote>
  <w:endnote w:id="530">
    <w:p w:rsidR="00F41F33" w:rsidRPr="004D41D9" w:rsidRDefault="00F41F33" w:rsidP="00145E6B">
      <w:pPr>
        <w:spacing w:line="320" w:lineRule="exact"/>
        <w:ind w:firstLine="0"/>
        <w:rPr>
          <w:rFonts w:cs="DanaFajr"/>
          <w:szCs w:val="28"/>
          <w:rtl/>
        </w:rPr>
      </w:pPr>
      <w:r w:rsidRPr="000043AD">
        <w:rPr>
          <w:rFonts w:cs="DanaFajr"/>
          <w:szCs w:val="28"/>
          <w:rtl/>
        </w:rPr>
        <w:t>(</w:t>
      </w:r>
      <w:r w:rsidRPr="000043AD">
        <w:rPr>
          <w:rStyle w:val="ac"/>
          <w:rFonts w:cs="DanaFajr"/>
          <w:szCs w:val="28"/>
          <w:vertAlign w:val="baseline"/>
        </w:rPr>
        <w:endnoteRef/>
      </w:r>
      <w:r w:rsidRPr="000043AD">
        <w:rPr>
          <w:rFonts w:cs="DanaFajr"/>
          <w:szCs w:val="28"/>
          <w:rtl/>
        </w:rPr>
        <w:t xml:space="preserve">) </w:t>
      </w:r>
      <w:r w:rsidRPr="000043AD">
        <w:rPr>
          <w:rFonts w:cs="DanaFajr" w:hint="cs"/>
          <w:szCs w:val="28"/>
          <w:rtl/>
        </w:rPr>
        <w:t xml:space="preserve">حسن حنفي، الثقافة العربية بين العولمة والخصوصية، ملتقى بدمشق بعنوان العولمة والحداثة، </w:t>
      </w:r>
      <w:r w:rsidRPr="004D41D9">
        <w:rPr>
          <w:rFonts w:cs="DanaFajr" w:hint="cs"/>
          <w:szCs w:val="28"/>
          <w:rtl/>
        </w:rPr>
        <w:t xml:space="preserve">بالتعاون مع وزارة الثقافة السورية، 21 ـ 23 أيلول (سبتمبر) 2003م. </w:t>
      </w:r>
    </w:p>
  </w:endnote>
  <w:endnote w:id="531">
    <w:p w:rsidR="00F41F33" w:rsidRPr="004D41D9" w:rsidRDefault="00F41F33" w:rsidP="00145E6B">
      <w:pPr>
        <w:pStyle w:val="aa"/>
        <w:spacing w:line="320" w:lineRule="exact"/>
        <w:ind w:firstLine="0"/>
        <w:rPr>
          <w:rFonts w:cs="DanaFajr"/>
          <w:sz w:val="28"/>
          <w:szCs w:val="28"/>
          <w:lang w:bidi="ar-MA"/>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ascii="Georgia" w:hAnsi="Georgia" w:cs="DanaFajr" w:hint="cs"/>
          <w:sz w:val="28"/>
          <w:szCs w:val="28"/>
          <w:rtl/>
          <w:lang w:eastAsia="fr-FR" w:bidi="ar-MA"/>
        </w:rPr>
        <w:t>ا</w:t>
      </w:r>
      <w:r w:rsidRPr="004D41D9">
        <w:rPr>
          <w:rFonts w:cs="DanaFajr" w:hint="cs"/>
          <w:sz w:val="28"/>
          <w:szCs w:val="28"/>
          <w:rtl/>
          <w:lang w:eastAsia="fr-FR"/>
        </w:rPr>
        <w:t>نظر: إدريس هاني، الثقافة الإسلامية والعولمة... أيّ ‏مستقبل؟ مجلة الكلمة، العدد 22: 137 ـ</w:t>
      </w:r>
      <w:r w:rsidRPr="000043AD">
        <w:rPr>
          <w:rFonts w:cs="DanaFajr" w:hint="cs"/>
          <w:sz w:val="28"/>
          <w:szCs w:val="28"/>
          <w:rtl/>
          <w:lang w:eastAsia="fr-FR"/>
        </w:rPr>
        <w:t xml:space="preserve"> </w:t>
      </w:r>
      <w:r w:rsidRPr="004D41D9">
        <w:rPr>
          <w:rFonts w:cs="DanaFajr" w:hint="cs"/>
          <w:sz w:val="28"/>
          <w:szCs w:val="28"/>
          <w:rtl/>
          <w:lang w:eastAsia="fr-FR"/>
        </w:rPr>
        <w:t>138 (بتصرُّف)، السنة السادسة، 1999م.</w:t>
      </w:r>
      <w:r w:rsidRPr="004D41D9">
        <w:rPr>
          <w:rFonts w:cs="DanaFajr"/>
          <w:sz w:val="28"/>
          <w:szCs w:val="28"/>
          <w:rtl/>
          <w:lang w:eastAsia="fr-FR" w:bidi="ar-MA"/>
        </w:rPr>
        <w:t xml:space="preserve"> </w:t>
      </w:r>
    </w:p>
  </w:endnote>
  <w:endnote w:id="532">
    <w:p w:rsidR="00F41F33" w:rsidRPr="004D41D9" w:rsidRDefault="00F41F33" w:rsidP="00145E6B">
      <w:pPr>
        <w:pStyle w:val="aa"/>
        <w:spacing w:line="320" w:lineRule="exact"/>
        <w:ind w:firstLine="0"/>
        <w:rPr>
          <w:rFonts w:cs="DanaFajr"/>
          <w:sz w:val="28"/>
          <w:szCs w:val="28"/>
          <w:rtl/>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hyperlink r:id="rId18" w:anchor="link69" w:tgtFrame="_self" w:history="1">
        <w:r w:rsidRPr="004D41D9">
          <w:rPr>
            <w:rStyle w:val="Hyperlink"/>
            <w:rFonts w:cs="DanaFajr" w:hint="cs"/>
            <w:color w:val="auto"/>
            <w:sz w:val="28"/>
            <w:szCs w:val="28"/>
            <w:u w:val="none"/>
            <w:rtl/>
            <w:lang w:eastAsia="fr-FR"/>
          </w:rPr>
          <w:t>قيس جواد العزاوي، العرب والغرب ‏على</w:t>
        </w:r>
        <w:r w:rsidRPr="004D41D9">
          <w:rPr>
            <w:rStyle w:val="Hyperlink"/>
            <w:rFonts w:cs="DanaFajr"/>
            <w:color w:val="auto"/>
            <w:sz w:val="28"/>
            <w:szCs w:val="28"/>
            <w:u w:val="none"/>
            <w:lang w:eastAsia="fr-FR"/>
          </w:rPr>
          <w:t xml:space="preserve"> </w:t>
        </w:r>
        <w:bookmarkStart w:id="51" w:name="link69"/>
        <w:bookmarkEnd w:id="51"/>
        <w:r w:rsidRPr="004D41D9">
          <w:rPr>
            <w:rStyle w:val="Hyperlink"/>
            <w:rFonts w:cs="DanaFajr" w:hint="cs"/>
            <w:color w:val="auto"/>
            <w:sz w:val="28"/>
            <w:szCs w:val="28"/>
            <w:u w:val="none"/>
            <w:rtl/>
            <w:lang w:eastAsia="fr-FR"/>
          </w:rPr>
          <w:t xml:space="preserve">مشارف القرن الحادي والعشرين: 39، مركز الدراسات العربي ‏الأوروبي، باريس، ط1، 1997م. </w:t>
        </w:r>
      </w:hyperlink>
    </w:p>
  </w:endnote>
  <w:endnote w:id="533">
    <w:p w:rsidR="00F41F33" w:rsidRPr="004D41D9" w:rsidRDefault="00F41F33" w:rsidP="00145E6B">
      <w:pPr>
        <w:spacing w:line="320" w:lineRule="exact"/>
        <w:ind w:firstLine="0"/>
        <w:rPr>
          <w:rFonts w:cs="DanaFajr"/>
          <w:szCs w:val="28"/>
          <w:rtl/>
        </w:rPr>
      </w:pPr>
      <w:r w:rsidRPr="000043AD">
        <w:rPr>
          <w:rFonts w:cs="DanaFajr"/>
          <w:szCs w:val="28"/>
          <w:rtl/>
        </w:rPr>
        <w:t>(</w:t>
      </w:r>
      <w:r w:rsidRPr="000043AD">
        <w:rPr>
          <w:rStyle w:val="ac"/>
          <w:rFonts w:cs="DanaFajr"/>
          <w:szCs w:val="28"/>
          <w:vertAlign w:val="baseline"/>
        </w:rPr>
        <w:endnoteRef/>
      </w:r>
      <w:r w:rsidRPr="000043AD">
        <w:rPr>
          <w:rFonts w:cs="DanaFajr"/>
          <w:szCs w:val="28"/>
          <w:rtl/>
        </w:rPr>
        <w:t xml:space="preserve">) </w:t>
      </w:r>
      <w:r w:rsidRPr="000043AD">
        <w:rPr>
          <w:rFonts w:cs="DanaFajr" w:hint="cs"/>
          <w:szCs w:val="28"/>
          <w:rtl/>
        </w:rPr>
        <w:t xml:space="preserve">عبد الإله بلقزيز، العرب والحداثة: كونية الحداثة ونسبيّتها، ملتقى بدمشق بعنوان العولمة </w:t>
      </w:r>
      <w:r w:rsidRPr="004D41D9">
        <w:rPr>
          <w:rFonts w:cs="DanaFajr" w:hint="cs"/>
          <w:szCs w:val="28"/>
          <w:rtl/>
        </w:rPr>
        <w:t xml:space="preserve">والحداثة بالتعاون مع وزارة الثقافة السورية، 21 ـ 23 أيلول (سبتمبر) 2003م. </w:t>
      </w:r>
    </w:p>
  </w:endnote>
  <w:endnote w:id="534">
    <w:p w:rsidR="00F41F33" w:rsidRPr="004D41D9" w:rsidRDefault="00F41F33" w:rsidP="00145E6B">
      <w:pPr>
        <w:pStyle w:val="aa"/>
        <w:spacing w:line="320" w:lineRule="exact"/>
        <w:ind w:firstLine="0"/>
        <w:rPr>
          <w:rFonts w:cs="DanaFajr"/>
          <w:sz w:val="28"/>
          <w:szCs w:val="28"/>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طه عبد الرحمن</w:t>
      </w:r>
      <w:r w:rsidRPr="004D41D9">
        <w:rPr>
          <w:rFonts w:cs="DanaFajr" w:hint="cs"/>
          <w:sz w:val="28"/>
          <w:szCs w:val="28"/>
          <w:rtl/>
          <w:lang w:bidi="ar-DZ"/>
        </w:rPr>
        <w:t xml:space="preserve">، روح الحداثة: 16. </w:t>
      </w:r>
    </w:p>
  </w:endnote>
  <w:endnote w:id="535">
    <w:p w:rsidR="00F41F33" w:rsidRPr="004D41D9" w:rsidRDefault="00F41F33" w:rsidP="00145E6B">
      <w:pPr>
        <w:pStyle w:val="aa"/>
        <w:spacing w:line="320" w:lineRule="exact"/>
        <w:ind w:firstLine="0"/>
        <w:rPr>
          <w:rFonts w:cs="DanaFajr"/>
          <w:sz w:val="28"/>
          <w:szCs w:val="28"/>
          <w:lang w:bidi="ar-DZ"/>
        </w:rPr>
      </w:pPr>
      <w:r w:rsidRPr="004D41D9">
        <w:rPr>
          <w:rFonts w:cs="DanaFajr"/>
          <w:sz w:val="28"/>
          <w:szCs w:val="28"/>
          <w:rtl/>
        </w:rPr>
        <w:t>(</w:t>
      </w:r>
      <w:r w:rsidRPr="004D41D9">
        <w:rPr>
          <w:rStyle w:val="ac"/>
          <w:rFonts w:cs="DanaFajr"/>
          <w:sz w:val="28"/>
          <w:szCs w:val="28"/>
          <w:vertAlign w:val="baseline"/>
        </w:rPr>
        <w:endnoteRef/>
      </w:r>
      <w:r w:rsidRPr="004D41D9">
        <w:rPr>
          <w:rFonts w:cs="DanaFajr"/>
          <w:sz w:val="28"/>
          <w:szCs w:val="28"/>
          <w:rtl/>
        </w:rPr>
        <w:t xml:space="preserve">) </w:t>
      </w:r>
      <w:r w:rsidRPr="004D41D9">
        <w:rPr>
          <w:rFonts w:cs="DanaFajr" w:hint="cs"/>
          <w:sz w:val="28"/>
          <w:szCs w:val="28"/>
          <w:rtl/>
        </w:rPr>
        <w:t>المرجع السابق</w:t>
      </w:r>
      <w:r w:rsidRPr="004D41D9">
        <w:rPr>
          <w:rFonts w:cs="DanaFajr" w:hint="cs"/>
          <w:sz w:val="28"/>
          <w:szCs w:val="28"/>
          <w:rtl/>
          <w:lang w:bidi="ar-DZ"/>
        </w:rPr>
        <w:t xml:space="preserve">: 17. </w:t>
      </w:r>
    </w:p>
  </w:endnote>
  <w:endnote w:id="536">
    <w:p w:rsidR="00F41F33" w:rsidRPr="00715694" w:rsidRDefault="00F41F33" w:rsidP="00145E6B">
      <w:pPr>
        <w:pStyle w:val="aa"/>
        <w:bidi w:val="0"/>
        <w:spacing w:line="320" w:lineRule="exact"/>
        <w:ind w:firstLine="0"/>
        <w:rPr>
          <w:rFonts w:asciiTheme="majorBidi" w:hAnsiTheme="majorBidi" w:cstheme="majorBidi"/>
        </w:rPr>
      </w:pPr>
      <w:r w:rsidRPr="00715694">
        <w:rPr>
          <w:rFonts w:asciiTheme="majorBidi" w:hAnsiTheme="majorBidi" w:cstheme="majorBidi" w:hint="cs"/>
          <w:rtl/>
          <w:lang w:val="fr-FR" w:bidi="ar-LB"/>
        </w:rPr>
        <w:t xml:space="preserve"> </w:t>
      </w:r>
      <w:r w:rsidRPr="00715694">
        <w:rPr>
          <w:rFonts w:asciiTheme="majorBidi" w:hAnsiTheme="majorBidi" w:cstheme="majorBidi"/>
          <w:rtl/>
          <w:lang w:val="fr-FR"/>
        </w:rPr>
        <w:t>(</w:t>
      </w:r>
      <w:r w:rsidRPr="00715694">
        <w:rPr>
          <w:rStyle w:val="ac"/>
          <w:rFonts w:asciiTheme="majorBidi" w:hAnsiTheme="majorBidi" w:cstheme="majorBidi"/>
          <w:vertAlign w:val="baseline"/>
          <w:rtl/>
        </w:rPr>
        <w:endnoteRef/>
      </w:r>
      <w:r w:rsidRPr="00715694">
        <w:rPr>
          <w:rFonts w:asciiTheme="majorBidi" w:hAnsiTheme="majorBidi" w:cstheme="majorBidi"/>
          <w:rtl/>
          <w:lang w:val="fr-FR"/>
        </w:rPr>
        <w:t>)</w:t>
      </w:r>
      <w:r w:rsidRPr="00715694">
        <w:rPr>
          <w:rFonts w:asciiTheme="majorBidi" w:hAnsiTheme="majorBidi" w:cstheme="majorBidi"/>
          <w:lang w:val="fr-FR"/>
        </w:rPr>
        <w:t xml:space="preserve">René guenon </w:t>
      </w:r>
      <w:r w:rsidRPr="00715694">
        <w:rPr>
          <w:rFonts w:asciiTheme="majorBidi" w:hAnsiTheme="majorBidi" w:cstheme="majorBidi"/>
          <w:rtl/>
          <w:lang w:val="fr-FR"/>
        </w:rPr>
        <w:t>ـ</w:t>
      </w:r>
      <w:r w:rsidRPr="00715694">
        <w:rPr>
          <w:rFonts w:asciiTheme="majorBidi" w:hAnsiTheme="majorBidi" w:cstheme="majorBidi"/>
          <w:lang w:val="fr-FR"/>
        </w:rPr>
        <w:t xml:space="preserve"> la crise du monde moderne</w:t>
      </w:r>
      <w:r>
        <w:rPr>
          <w:rFonts w:asciiTheme="majorBidi" w:hAnsiTheme="majorBidi" w:cstheme="majorBidi"/>
        </w:rPr>
        <w:t xml:space="preserve"> </w:t>
      </w:r>
      <w:r w:rsidRPr="00715694">
        <w:rPr>
          <w:rFonts w:asciiTheme="majorBidi" w:hAnsiTheme="majorBidi" w:cstheme="majorBidi"/>
          <w:rtl/>
          <w:lang w:val="fr-FR"/>
        </w:rPr>
        <w:t xml:space="preserve"> ـ</w:t>
      </w:r>
      <w:r w:rsidRPr="00715694">
        <w:rPr>
          <w:rFonts w:asciiTheme="majorBidi" w:hAnsiTheme="majorBidi" w:cstheme="majorBidi"/>
          <w:lang w:val="fr-FR"/>
        </w:rPr>
        <w:t>Ed bouchene</w:t>
      </w:r>
      <w:r w:rsidRPr="00715694">
        <w:rPr>
          <w:rFonts w:asciiTheme="majorBidi" w:hAnsiTheme="majorBidi" w:cstheme="majorBidi"/>
          <w:rtl/>
          <w:lang w:val="fr-FR"/>
        </w:rPr>
        <w:t xml:space="preserve">ـ </w:t>
      </w:r>
      <w:r>
        <w:rPr>
          <w:rFonts w:asciiTheme="majorBidi" w:hAnsiTheme="majorBidi" w:cstheme="majorBidi"/>
          <w:lang w:val="fr-FR"/>
        </w:rPr>
        <w:t xml:space="preserve"> </w:t>
      </w:r>
      <w:r w:rsidRPr="00715694">
        <w:rPr>
          <w:rFonts w:asciiTheme="majorBidi" w:hAnsiTheme="majorBidi" w:cstheme="majorBidi"/>
          <w:lang w:val="fr-FR"/>
        </w:rPr>
        <w:t xml:space="preserve">Alger </w:t>
      </w:r>
      <w:r w:rsidRPr="006333E0">
        <w:rPr>
          <w:rFonts w:asciiTheme="majorBidi" w:hAnsiTheme="majorBidi" w:cs="Ya-Ali"/>
          <w:lang w:val="fr-FR"/>
        </w:rPr>
        <w:t>1990</w:t>
      </w:r>
      <w:r w:rsidRPr="00715694">
        <w:rPr>
          <w:rFonts w:asciiTheme="majorBidi" w:hAnsiTheme="majorBidi" w:cstheme="majorBidi"/>
          <w:lang w:val="fr-FR"/>
        </w:rPr>
        <w:t xml:space="preserve"> </w:t>
      </w:r>
      <w:r w:rsidRPr="00715694">
        <w:rPr>
          <w:rFonts w:asciiTheme="majorBidi" w:hAnsiTheme="majorBidi" w:cstheme="majorBidi"/>
          <w:rtl/>
          <w:lang w:val="fr-FR"/>
        </w:rPr>
        <w:t>ـ</w:t>
      </w:r>
      <w:r w:rsidRPr="00715694">
        <w:rPr>
          <w:rFonts w:asciiTheme="majorBidi" w:hAnsiTheme="majorBidi" w:cstheme="majorBidi"/>
          <w:lang w:val="fr-FR"/>
        </w:rPr>
        <w:t xml:space="preserve"> pp </w:t>
      </w:r>
      <w:r w:rsidRPr="006333E0">
        <w:rPr>
          <w:rFonts w:asciiTheme="majorBidi" w:hAnsiTheme="majorBidi" w:cs="Ya-Ali"/>
          <w:lang w:val="fr-FR"/>
        </w:rPr>
        <w:t>69</w:t>
      </w:r>
      <w:r w:rsidRPr="00715694">
        <w:rPr>
          <w:rFonts w:asciiTheme="majorBidi" w:hAnsiTheme="majorBidi" w:cstheme="majorBidi"/>
          <w:lang w:val="fr-FR"/>
        </w:rPr>
        <w:t xml:space="preserve">; </w:t>
      </w:r>
      <w:r w:rsidRPr="006333E0">
        <w:rPr>
          <w:rFonts w:asciiTheme="majorBidi" w:hAnsiTheme="majorBidi" w:cs="Ya-Ali"/>
          <w:lang w:val="fr-FR"/>
        </w:rPr>
        <w:t>117</w:t>
      </w:r>
      <w:r w:rsidRPr="00715694">
        <w:rPr>
          <w:rFonts w:asciiTheme="majorBidi" w:hAnsiTheme="majorBidi" w:cstheme="majorBidi"/>
          <w:lang w:val="fr-FR"/>
        </w:rPr>
        <w:t>;</w:t>
      </w:r>
      <w:r>
        <w:rPr>
          <w:rFonts w:asciiTheme="majorBidi" w:hAnsiTheme="majorBidi" w:cs="Ya-Ali"/>
          <w:lang w:val="fr-FR"/>
        </w:rPr>
        <w:t xml:space="preserve"> </w:t>
      </w:r>
      <w:r w:rsidRPr="006333E0">
        <w:rPr>
          <w:rFonts w:asciiTheme="majorBidi" w:hAnsiTheme="majorBidi" w:cs="Ya-Ali"/>
          <w:lang w:val="fr-FR"/>
        </w:rPr>
        <w:t>120</w:t>
      </w:r>
      <w:r w:rsidRPr="00715694">
        <w:rPr>
          <w:rFonts w:asciiTheme="majorBidi" w:hAnsiTheme="majorBidi" w:cstheme="majorBidi"/>
        </w:rPr>
        <w:t>.</w:t>
      </w:r>
    </w:p>
  </w:endnote>
  <w:endnote w:id="537">
    <w:p w:rsidR="00F41F33" w:rsidRPr="00FF2348" w:rsidRDefault="00F41F33" w:rsidP="00826CE1">
      <w:pPr>
        <w:pStyle w:val="aa"/>
        <w:spacing w:line="300" w:lineRule="exact"/>
        <w:ind w:firstLine="0"/>
        <w:rPr>
          <w:rFonts w:cs="DanaFajr"/>
          <w:sz w:val="28"/>
          <w:szCs w:val="28"/>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sz w:val="28"/>
          <w:szCs w:val="28"/>
          <w:rtl/>
        </w:rPr>
        <w:t>عن موقع الإبداع ال</w:t>
      </w:r>
      <w:r w:rsidRPr="00FF2348">
        <w:rPr>
          <w:rFonts w:ascii="Times New Roman" w:hAnsi="Times New Roman" w:cs="DanaFajr" w:hint="cs"/>
          <w:sz w:val="28"/>
          <w:szCs w:val="28"/>
          <w:rtl/>
        </w:rPr>
        <w:t>إ</w:t>
      </w:r>
      <w:r w:rsidRPr="00FF2348">
        <w:rPr>
          <w:rFonts w:ascii="Times New Roman" w:hAnsi="Times New Roman" w:cs="DanaFajr"/>
          <w:sz w:val="28"/>
          <w:szCs w:val="28"/>
          <w:rtl/>
        </w:rPr>
        <w:t xml:space="preserve">لكتروني. </w:t>
      </w:r>
    </w:p>
  </w:endnote>
  <w:endnote w:id="538">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w:t>
      </w:r>
      <w:r w:rsidRPr="00554592">
        <w:rPr>
          <w:rFonts w:ascii="Times New Roman" w:hAnsi="Times New Roman" w:cs="DanaFajr" w:hint="cs"/>
          <w:sz w:val="28"/>
          <w:szCs w:val="28"/>
          <w:rtl/>
        </w:rPr>
        <w:t xml:space="preserve"> </w:t>
      </w:r>
      <w:r w:rsidRPr="00554592">
        <w:rPr>
          <w:rFonts w:ascii="Times New Roman" w:hAnsi="Times New Roman" w:cs="DanaFajr"/>
          <w:sz w:val="28"/>
          <w:szCs w:val="28"/>
          <w:rtl/>
        </w:rPr>
        <w:t xml:space="preserve">بحار الأنوار 58: 191. </w:t>
      </w:r>
    </w:p>
  </w:endnote>
  <w:endnote w:id="539">
    <w:p w:rsidR="00F41F33" w:rsidRPr="00FF2348" w:rsidRDefault="00F41F33" w:rsidP="00826CE1">
      <w:pPr>
        <w:pStyle w:val="aa"/>
        <w:spacing w:line="300" w:lineRule="exact"/>
        <w:ind w:firstLine="0"/>
        <w:rPr>
          <w:rFonts w:cs="DanaFajr"/>
          <w:sz w:val="28"/>
          <w:szCs w:val="28"/>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sz w:val="28"/>
          <w:szCs w:val="28"/>
          <w:rtl/>
        </w:rPr>
        <w:t xml:space="preserve">الفرق بين الرؤيا والرؤية أنّ الرؤيا هي ما يراه الإنسان في النوم، وأما الرؤية فهي ما يراه في اليقظة. </w:t>
      </w:r>
    </w:p>
  </w:endnote>
  <w:endnote w:id="540">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جاء في كتاب التبصرة</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لابن بابوي</w:t>
      </w:r>
      <w:r w:rsidRPr="00554592">
        <w:rPr>
          <w:rFonts w:ascii="Times New Roman" w:hAnsi="Times New Roman" w:cs="DanaFajr" w:hint="cs"/>
          <w:sz w:val="28"/>
          <w:szCs w:val="28"/>
          <w:rtl/>
        </w:rPr>
        <w:t>ه.</w:t>
      </w:r>
      <w:r w:rsidRPr="00554592">
        <w:rPr>
          <w:rFonts w:ascii="Times New Roman" w:hAnsi="Times New Roman" w:cs="DanaFajr"/>
          <w:sz w:val="28"/>
          <w:szCs w:val="28"/>
          <w:rtl/>
        </w:rPr>
        <w:t xml:space="preserve"> </w:t>
      </w:r>
      <w:r w:rsidRPr="00554592">
        <w:rPr>
          <w:rFonts w:ascii="Times New Roman" w:hAnsi="Times New Roman" w:cs="DanaFajr" w:hint="cs"/>
          <w:sz w:val="28"/>
          <w:szCs w:val="28"/>
          <w:rtl/>
        </w:rPr>
        <w:t>(ا</w:t>
      </w:r>
      <w:r w:rsidRPr="00554592">
        <w:rPr>
          <w:rFonts w:ascii="Times New Roman" w:hAnsi="Times New Roman" w:cs="DanaFajr"/>
          <w:sz w:val="28"/>
          <w:szCs w:val="28"/>
          <w:rtl/>
        </w:rPr>
        <w:t>نظر</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بحار الأنوار 58: 191</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وورد في صحيح البخاري 7: 25. </w:t>
      </w:r>
    </w:p>
  </w:endnote>
  <w:endnote w:id="541">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w:t>
      </w:r>
      <w:r w:rsidRPr="00554592">
        <w:rPr>
          <w:rFonts w:ascii="Times New Roman" w:hAnsi="Times New Roman" w:cs="DanaFajr" w:hint="cs"/>
          <w:sz w:val="28"/>
          <w:szCs w:val="28"/>
          <w:rtl/>
        </w:rPr>
        <w:t xml:space="preserve"> ا</w:t>
      </w:r>
      <w:r w:rsidRPr="00554592">
        <w:rPr>
          <w:rFonts w:ascii="Times New Roman" w:hAnsi="Times New Roman" w:cs="DanaFajr"/>
          <w:sz w:val="28"/>
          <w:szCs w:val="28"/>
          <w:rtl/>
        </w:rPr>
        <w:t>لصدوق</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الأمالي: 120. </w:t>
      </w:r>
    </w:p>
  </w:endnote>
  <w:endnote w:id="542">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صحيح البخاري 8: 69. </w:t>
      </w:r>
    </w:p>
  </w:endnote>
  <w:endnote w:id="543">
    <w:p w:rsidR="00F41F33" w:rsidRPr="00554592" w:rsidRDefault="00F41F33" w:rsidP="00826CE1">
      <w:pPr>
        <w:pStyle w:val="aa"/>
        <w:spacing w:line="300" w:lineRule="exact"/>
        <w:ind w:firstLine="0"/>
        <w:rPr>
          <w:rFonts w:cs="DanaFajr"/>
          <w:sz w:val="28"/>
          <w:szCs w:val="28"/>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sz w:val="28"/>
          <w:szCs w:val="28"/>
          <w:rtl/>
        </w:rPr>
        <w:t>أجل</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يحكى أنّه كانت للأحلام في ال</w:t>
      </w:r>
      <w:r w:rsidRPr="00FF2348">
        <w:rPr>
          <w:rFonts w:ascii="Times New Roman" w:hAnsi="Times New Roman" w:cs="DanaFajr" w:hint="cs"/>
          <w:sz w:val="28"/>
          <w:szCs w:val="28"/>
          <w:rtl/>
        </w:rPr>
        <w:t>ح</w:t>
      </w:r>
      <w:r w:rsidRPr="00FF2348">
        <w:rPr>
          <w:rFonts w:ascii="Times New Roman" w:hAnsi="Times New Roman" w:cs="DanaFajr"/>
          <w:sz w:val="28"/>
          <w:szCs w:val="28"/>
          <w:rtl/>
        </w:rPr>
        <w:t>ضارات القديمة أهم</w:t>
      </w:r>
      <w:r w:rsidRPr="00FF2348">
        <w:rPr>
          <w:rFonts w:ascii="Times New Roman" w:hAnsi="Times New Roman" w:cs="DanaFajr" w:hint="cs"/>
          <w:sz w:val="28"/>
          <w:szCs w:val="28"/>
          <w:rtl/>
        </w:rPr>
        <w:t>ّ</w:t>
      </w:r>
      <w:r w:rsidRPr="00FF2348">
        <w:rPr>
          <w:rFonts w:ascii="Times New Roman" w:hAnsi="Times New Roman" w:cs="DanaFajr"/>
          <w:sz w:val="28"/>
          <w:szCs w:val="28"/>
          <w:rtl/>
        </w:rPr>
        <w:t>يةٌ خاص</w:t>
      </w:r>
      <w:r w:rsidRPr="00FF2348">
        <w:rPr>
          <w:rFonts w:ascii="Times New Roman" w:hAnsi="Times New Roman" w:cs="DanaFajr" w:hint="cs"/>
          <w:sz w:val="28"/>
          <w:szCs w:val="28"/>
          <w:rtl/>
        </w:rPr>
        <w:t>ّ</w:t>
      </w:r>
      <w:r w:rsidRPr="00FF2348">
        <w:rPr>
          <w:rFonts w:ascii="Times New Roman" w:hAnsi="Times New Roman" w:cs="DanaFajr"/>
          <w:sz w:val="28"/>
          <w:szCs w:val="28"/>
          <w:rtl/>
        </w:rPr>
        <w:t>ة في ممارسة الطب</w:t>
      </w:r>
      <w:r w:rsidRPr="00FF2348">
        <w:rPr>
          <w:rFonts w:ascii="Times New Roman" w:hAnsi="Times New Roman" w:cs="DanaFajr" w:hint="cs"/>
          <w:sz w:val="28"/>
          <w:szCs w:val="28"/>
          <w:rtl/>
        </w:rPr>
        <w:t>ّ</w:t>
      </w:r>
      <w:r w:rsidRPr="00FF2348">
        <w:rPr>
          <w:rFonts w:ascii="Times New Roman" w:hAnsi="Times New Roman" w:cs="DanaFajr"/>
          <w:sz w:val="28"/>
          <w:szCs w:val="28"/>
          <w:rtl/>
        </w:rPr>
        <w:t>، فقد كان هناك كهنة مختص</w:t>
      </w:r>
      <w:r w:rsidRPr="00FF2348">
        <w:rPr>
          <w:rFonts w:ascii="Times New Roman" w:hAnsi="Times New Roman" w:cs="DanaFajr" w:hint="cs"/>
          <w:sz w:val="28"/>
          <w:szCs w:val="28"/>
          <w:rtl/>
        </w:rPr>
        <w:t>ّ</w:t>
      </w:r>
      <w:r w:rsidRPr="00FF2348">
        <w:rPr>
          <w:rFonts w:ascii="Times New Roman" w:hAnsi="Times New Roman" w:cs="DanaFajr"/>
          <w:sz w:val="28"/>
          <w:szCs w:val="28"/>
          <w:rtl/>
        </w:rPr>
        <w:t>ون بالأحلام. وكان المرضى يزورون هؤلاء الكهنة والعر</w:t>
      </w:r>
      <w:r w:rsidRPr="00FF2348">
        <w:rPr>
          <w:rFonts w:ascii="Times New Roman" w:hAnsi="Times New Roman" w:cs="DanaFajr" w:hint="cs"/>
          <w:sz w:val="28"/>
          <w:szCs w:val="28"/>
          <w:rtl/>
        </w:rPr>
        <w:t>ّ</w:t>
      </w:r>
      <w:r w:rsidRPr="00FF2348">
        <w:rPr>
          <w:rFonts w:ascii="Times New Roman" w:hAnsi="Times New Roman" w:cs="DanaFajr"/>
          <w:sz w:val="28"/>
          <w:szCs w:val="28"/>
          <w:rtl/>
        </w:rPr>
        <w:t>افين</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طلباً للشفاء. كان الرجل المريض يدخل معبد أب</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وللو أو معبد </w:t>
      </w:r>
      <w:r w:rsidRPr="00FF2348">
        <w:rPr>
          <w:rFonts w:ascii="Times New Roman" w:hAnsi="Times New Roman" w:cs="DanaFajr" w:hint="cs"/>
          <w:sz w:val="28"/>
          <w:szCs w:val="28"/>
          <w:rtl/>
        </w:rPr>
        <w:t>إ</w:t>
      </w:r>
      <w:r w:rsidRPr="00FF2348">
        <w:rPr>
          <w:rFonts w:ascii="Times New Roman" w:hAnsi="Times New Roman" w:cs="DanaFajr"/>
          <w:sz w:val="28"/>
          <w:szCs w:val="28"/>
          <w:rtl/>
        </w:rPr>
        <w:t>سكولابيوس</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ليؤد</w:t>
      </w:r>
      <w:r w:rsidRPr="00FF2348">
        <w:rPr>
          <w:rFonts w:ascii="Times New Roman" w:hAnsi="Times New Roman" w:cs="DanaFajr" w:hint="cs"/>
          <w:sz w:val="28"/>
          <w:szCs w:val="28"/>
          <w:rtl/>
        </w:rPr>
        <w:t>ّ</w:t>
      </w:r>
      <w:r w:rsidRPr="00FF2348">
        <w:rPr>
          <w:rFonts w:ascii="Times New Roman" w:hAnsi="Times New Roman" w:cs="DanaFajr"/>
          <w:sz w:val="28"/>
          <w:szCs w:val="28"/>
          <w:rtl/>
        </w:rPr>
        <w:t>ي عدة طقوس هناك، وليتطه</w:t>
      </w:r>
      <w:r w:rsidRPr="00FF2348">
        <w:rPr>
          <w:rFonts w:ascii="Times New Roman" w:hAnsi="Times New Roman" w:cs="DanaFajr" w:hint="cs"/>
          <w:sz w:val="28"/>
          <w:szCs w:val="28"/>
          <w:rtl/>
        </w:rPr>
        <w:t>ّ</w:t>
      </w:r>
      <w:r w:rsidRPr="00FF2348">
        <w:rPr>
          <w:rFonts w:ascii="Times New Roman" w:hAnsi="Times New Roman" w:cs="DanaFajr"/>
          <w:sz w:val="28"/>
          <w:szCs w:val="28"/>
          <w:rtl/>
        </w:rPr>
        <w:t>ر عن طريق التدليك والبخور، وليستلقي، وهو في حالة</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من النشوة، على جلد كبش</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ذبح قرباناً للآلهة</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ثم</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يغلبه النعاس بعدئذ</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ويحلم بالعلاجات التي تشفي من مرضه، ثم</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يكشف عن هذه العلاجات للرجل</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إما في صورتها الطبيعية</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وإما في رموز وصور يتول</w:t>
      </w:r>
      <w:r w:rsidRPr="00FF2348">
        <w:rPr>
          <w:rFonts w:ascii="Times New Roman" w:hAnsi="Times New Roman" w:cs="DanaFajr" w:hint="cs"/>
          <w:sz w:val="28"/>
          <w:szCs w:val="28"/>
          <w:rtl/>
        </w:rPr>
        <w:t>ّ</w:t>
      </w:r>
      <w:r w:rsidRPr="00FF2348">
        <w:rPr>
          <w:rFonts w:ascii="Times New Roman" w:hAnsi="Times New Roman" w:cs="DanaFajr"/>
          <w:sz w:val="28"/>
          <w:szCs w:val="28"/>
          <w:rtl/>
        </w:rPr>
        <w:t>ى الكهنة بعد ذلك تفسيرها وفك</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طلاسمها. </w:t>
      </w:r>
      <w:r w:rsidRPr="00FF2348">
        <w:rPr>
          <w:rFonts w:ascii="Times New Roman" w:hAnsi="Times New Roman" w:cs="DanaFajr" w:hint="cs"/>
          <w:sz w:val="28"/>
          <w:szCs w:val="28"/>
          <w:rtl/>
        </w:rPr>
        <w:t>(ا</w:t>
      </w:r>
      <w:r w:rsidRPr="00FF2348">
        <w:rPr>
          <w:rFonts w:ascii="Times New Roman" w:hAnsi="Times New Roman" w:cs="DanaFajr"/>
          <w:sz w:val="28"/>
          <w:szCs w:val="28"/>
          <w:rtl/>
        </w:rPr>
        <w:t>نظر: سلسلة عالم المعرفة</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أسرار النوم، تأليف: ألكسندر بوربلي، ترجمة: أحمد عبد العزيز سلامة، </w:t>
      </w:r>
      <w:r w:rsidRPr="00554592">
        <w:rPr>
          <w:rFonts w:ascii="Times New Roman" w:hAnsi="Times New Roman" w:cs="DanaFajr"/>
          <w:sz w:val="28"/>
          <w:szCs w:val="28"/>
          <w:rtl/>
        </w:rPr>
        <w:t>الكويت، 1992م</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w:t>
      </w:r>
    </w:p>
  </w:endnote>
  <w:endnote w:id="544">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ذكره في الحق</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المبين: 83. </w:t>
      </w:r>
    </w:p>
  </w:endnote>
  <w:endnote w:id="545">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الكافي 3: 482. </w:t>
      </w:r>
    </w:p>
  </w:endnote>
  <w:endnote w:id="546">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الملحمة الحسينية 3</w:t>
      </w:r>
      <w:r w:rsidRPr="00554592">
        <w:rPr>
          <w:rFonts w:ascii="Times New Roman" w:hAnsi="Times New Roman" w:cs="DanaFajr" w:hint="cs"/>
          <w:sz w:val="28"/>
          <w:szCs w:val="28"/>
          <w:rtl/>
        </w:rPr>
        <w:t xml:space="preserve">: </w:t>
      </w:r>
      <w:r w:rsidRPr="00554592">
        <w:rPr>
          <w:rFonts w:ascii="Times New Roman" w:hAnsi="Times New Roman" w:cs="DanaFajr"/>
          <w:sz w:val="28"/>
          <w:szCs w:val="28"/>
          <w:rtl/>
        </w:rPr>
        <w:t xml:space="preserve">241. </w:t>
      </w:r>
    </w:p>
  </w:endnote>
  <w:endnote w:id="547">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الكافي 7: 414. </w:t>
      </w:r>
    </w:p>
  </w:endnote>
  <w:endnote w:id="548">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الكافي 8: 91. </w:t>
      </w:r>
    </w:p>
  </w:endnote>
  <w:endnote w:id="549">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سنن ابن ماجة 2: 1285. </w:t>
      </w:r>
    </w:p>
  </w:endnote>
  <w:endnote w:id="550">
    <w:p w:rsidR="00F41F33" w:rsidRPr="00FF2348" w:rsidRDefault="00F41F33" w:rsidP="00826CE1">
      <w:pPr>
        <w:pStyle w:val="aa"/>
        <w:spacing w:line="300" w:lineRule="exact"/>
        <w:ind w:firstLine="0"/>
        <w:rPr>
          <w:rFonts w:cs="DanaFajr"/>
          <w:sz w:val="28"/>
          <w:szCs w:val="28"/>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hint="cs"/>
          <w:sz w:val="28"/>
          <w:szCs w:val="28"/>
          <w:rtl/>
        </w:rPr>
        <w:t>المصدر نفسه</w:t>
      </w:r>
      <w:r w:rsidRPr="00FF2348">
        <w:rPr>
          <w:rFonts w:ascii="Times New Roman" w:hAnsi="Times New Roman" w:cs="DanaFajr"/>
          <w:sz w:val="28"/>
          <w:szCs w:val="28"/>
          <w:rtl/>
        </w:rPr>
        <w:t xml:space="preserve">. </w:t>
      </w:r>
    </w:p>
  </w:endnote>
  <w:endnote w:id="551">
    <w:p w:rsidR="00F41F33" w:rsidRPr="00FF2348" w:rsidRDefault="00F41F33" w:rsidP="00826CE1">
      <w:pPr>
        <w:pStyle w:val="aa"/>
        <w:spacing w:line="300" w:lineRule="exact"/>
        <w:ind w:firstLine="0"/>
        <w:rPr>
          <w:rFonts w:cs="DanaFajr"/>
          <w:sz w:val="28"/>
          <w:szCs w:val="28"/>
          <w:rtl/>
          <w:lang w:bidi="ar-LB"/>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sz w:val="28"/>
          <w:szCs w:val="28"/>
          <w:rtl/>
        </w:rPr>
        <w:t>على سبيل المثال</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رؤيا الحر العاملي عندما كان مريضاً في مشغرة</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وهو طفل</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صغير</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w:t>
      </w:r>
      <w:r w:rsidRPr="00FF2348">
        <w:rPr>
          <w:rFonts w:ascii="Times New Roman" w:hAnsi="Times New Roman" w:cs="DanaFajr" w:hint="cs"/>
          <w:sz w:val="28"/>
          <w:szCs w:val="28"/>
          <w:rtl/>
        </w:rPr>
        <w:t>(ا</w:t>
      </w:r>
      <w:r w:rsidRPr="00FF2348">
        <w:rPr>
          <w:rFonts w:ascii="Times New Roman" w:hAnsi="Times New Roman" w:cs="DanaFajr"/>
          <w:sz w:val="28"/>
          <w:szCs w:val="28"/>
          <w:rtl/>
        </w:rPr>
        <w:t>نظر: الحر العاملي</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موسوعة الحديث والفقه والأدب</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w:t>
      </w:r>
    </w:p>
  </w:endnote>
  <w:endnote w:id="552">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w:t>
      </w:r>
      <w:r w:rsidRPr="00554592">
        <w:rPr>
          <w:rFonts w:ascii="Times New Roman" w:hAnsi="Times New Roman" w:cs="DanaFajr" w:hint="cs"/>
          <w:sz w:val="28"/>
          <w:szCs w:val="28"/>
          <w:rtl/>
        </w:rPr>
        <w:t xml:space="preserve"> ال</w:t>
      </w:r>
      <w:r w:rsidRPr="00554592">
        <w:rPr>
          <w:rFonts w:ascii="Times New Roman" w:hAnsi="Times New Roman" w:cs="DanaFajr"/>
          <w:sz w:val="28"/>
          <w:szCs w:val="28"/>
          <w:rtl/>
        </w:rPr>
        <w:t>شيخ الطوسي</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الأمالي: 338. </w:t>
      </w:r>
    </w:p>
  </w:endnote>
  <w:endnote w:id="553">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مسند أحمد</w:t>
      </w:r>
      <w:r w:rsidRPr="00554592">
        <w:rPr>
          <w:rFonts w:ascii="Times New Roman" w:hAnsi="Times New Roman" w:cs="DanaFajr" w:hint="cs"/>
          <w:sz w:val="28"/>
          <w:szCs w:val="28"/>
          <w:rtl/>
        </w:rPr>
        <w:t xml:space="preserve"> بن حنبل</w:t>
      </w:r>
      <w:r w:rsidRPr="00554592">
        <w:rPr>
          <w:rFonts w:ascii="Times New Roman" w:hAnsi="Times New Roman" w:cs="DanaFajr"/>
          <w:sz w:val="28"/>
          <w:szCs w:val="28"/>
          <w:rtl/>
        </w:rPr>
        <w:t xml:space="preserve"> 1: 620. </w:t>
      </w:r>
    </w:p>
  </w:endnote>
  <w:endnote w:id="554">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رسائل الشريف المرتضى 2: 13. </w:t>
      </w:r>
    </w:p>
  </w:endnote>
  <w:endnote w:id="555">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بحار الأنوار 61: 160. </w:t>
      </w:r>
    </w:p>
  </w:endnote>
  <w:endnote w:id="556">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hint="cs"/>
          <w:sz w:val="28"/>
          <w:szCs w:val="28"/>
          <w:rtl/>
        </w:rPr>
        <w:t>ا</w:t>
      </w:r>
      <w:r w:rsidRPr="00554592">
        <w:rPr>
          <w:rFonts w:ascii="Times New Roman" w:hAnsi="Times New Roman" w:cs="DanaFajr"/>
          <w:sz w:val="28"/>
          <w:szCs w:val="28"/>
          <w:rtl/>
        </w:rPr>
        <w:t xml:space="preserve">نظر الروايات حول ذلك في البحار 16: 168 ـ 169. </w:t>
      </w:r>
    </w:p>
  </w:endnote>
  <w:endnote w:id="557">
    <w:p w:rsidR="00F41F33" w:rsidRPr="00554592" w:rsidRDefault="00F41F33" w:rsidP="00826CE1">
      <w:pPr>
        <w:pStyle w:val="aa"/>
        <w:spacing w:line="300" w:lineRule="exact"/>
        <w:ind w:firstLine="0"/>
        <w:rPr>
          <w:rFonts w:cs="DanaFajr"/>
          <w:sz w:val="28"/>
          <w:szCs w:val="28"/>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sz w:val="28"/>
          <w:szCs w:val="28"/>
          <w:rtl/>
        </w:rPr>
        <w:t>راجع</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بحار</w:t>
      </w:r>
      <w:r w:rsidRPr="00FF2348">
        <w:rPr>
          <w:rFonts w:ascii="Times New Roman" w:hAnsi="Times New Roman" w:cs="DanaFajr" w:hint="cs"/>
          <w:sz w:val="28"/>
          <w:szCs w:val="28"/>
          <w:rtl/>
        </w:rPr>
        <w:t xml:space="preserve"> الأنوار</w:t>
      </w:r>
      <w:r w:rsidRPr="00FF2348">
        <w:rPr>
          <w:rFonts w:ascii="Times New Roman" w:hAnsi="Times New Roman" w:cs="DanaFajr"/>
          <w:sz w:val="28"/>
          <w:szCs w:val="28"/>
          <w:rtl/>
        </w:rPr>
        <w:t xml:space="preserve"> </w:t>
      </w:r>
      <w:r w:rsidRPr="00554592">
        <w:rPr>
          <w:rFonts w:ascii="Times New Roman" w:hAnsi="Times New Roman" w:cs="DanaFajr"/>
          <w:sz w:val="28"/>
          <w:szCs w:val="28"/>
          <w:rtl/>
        </w:rPr>
        <w:t>16</w:t>
      </w:r>
      <w:r w:rsidRPr="00FF2348">
        <w:rPr>
          <w:rFonts w:ascii="Times New Roman" w:hAnsi="Times New Roman" w:cs="DanaFajr"/>
          <w:sz w:val="28"/>
          <w:szCs w:val="28"/>
          <w:rtl/>
        </w:rPr>
        <w:t xml:space="preserve">: </w:t>
      </w:r>
      <w:r w:rsidRPr="00554592">
        <w:rPr>
          <w:rFonts w:ascii="Times New Roman" w:hAnsi="Times New Roman" w:cs="DanaFajr"/>
          <w:sz w:val="28"/>
          <w:szCs w:val="28"/>
          <w:rtl/>
        </w:rPr>
        <w:t>158،</w:t>
      </w:r>
      <w:r w:rsidRPr="00FF2348">
        <w:rPr>
          <w:rFonts w:ascii="Times New Roman" w:hAnsi="Times New Roman" w:cs="DanaFajr"/>
          <w:sz w:val="28"/>
          <w:szCs w:val="28"/>
          <w:rtl/>
        </w:rPr>
        <w:t xml:space="preserve"> فقد روى الصدوق</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في المجالس</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بإسناده عن</w:t>
      </w:r>
      <w:r w:rsidRPr="00715694">
        <w:rPr>
          <w:rFonts w:ascii="Times New Roman" w:hAnsi="Times New Roman" w:cs="DanaFajr"/>
          <w:sz w:val="28"/>
          <w:szCs w:val="28"/>
          <w:rtl/>
        </w:rPr>
        <w:t xml:space="preserve"> </w:t>
      </w:r>
      <w:r w:rsidRPr="00FF2348">
        <w:rPr>
          <w:rFonts w:ascii="Times New Roman" w:hAnsi="Times New Roman" w:cs="DanaFajr"/>
          <w:sz w:val="28"/>
          <w:szCs w:val="28"/>
          <w:rtl/>
        </w:rPr>
        <w:t>أمير المؤمنين</w:t>
      </w:r>
      <w:r w:rsidRPr="00FF2348">
        <w:rPr>
          <w:rFonts w:ascii="Times New Roman" w:hAnsi="Times New Roman" w:cs="Mosawi"/>
          <w:rtl/>
        </w:rPr>
        <w:t>×</w:t>
      </w:r>
      <w:r w:rsidRPr="00715694">
        <w:rPr>
          <w:rFonts w:ascii="Times New Roman" w:hAnsi="Times New Roman" w:cs="DanaFajr"/>
          <w:sz w:val="28"/>
          <w:szCs w:val="28"/>
          <w:rtl/>
        </w:rPr>
        <w:t xml:space="preserve"> </w:t>
      </w:r>
      <w:r w:rsidRPr="00FF2348">
        <w:rPr>
          <w:rFonts w:ascii="Times New Roman" w:hAnsi="Times New Roman" w:cs="DanaFajr"/>
          <w:sz w:val="28"/>
          <w:szCs w:val="28"/>
          <w:rtl/>
        </w:rPr>
        <w:t>قال: سألت</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رسول الله</w:t>
      </w:r>
      <w:r w:rsidRPr="00FF2348">
        <w:rPr>
          <w:rFonts w:ascii="Times New Roman" w:hAnsi="Times New Roman" w:cs="Mosawi"/>
          <w:rtl/>
        </w:rPr>
        <w:t>|</w:t>
      </w:r>
      <w:r w:rsidRPr="00715694">
        <w:rPr>
          <w:rFonts w:ascii="Times New Roman" w:hAnsi="Times New Roman" w:cs="DanaFajr"/>
          <w:sz w:val="28"/>
          <w:szCs w:val="28"/>
          <w:rtl/>
        </w:rPr>
        <w:t xml:space="preserve"> </w:t>
      </w:r>
      <w:r w:rsidRPr="00FF2348">
        <w:rPr>
          <w:rFonts w:ascii="Times New Roman" w:hAnsi="Times New Roman" w:cs="DanaFajr"/>
          <w:sz w:val="28"/>
          <w:szCs w:val="28"/>
          <w:rtl/>
        </w:rPr>
        <w:t>عن الرجل ينام فيرى الرؤيا، فربما كانت حق</w:t>
      </w:r>
      <w:r w:rsidRPr="00FF2348">
        <w:rPr>
          <w:rFonts w:ascii="Times New Roman" w:hAnsi="Times New Roman" w:cs="DanaFajr" w:hint="cs"/>
          <w:sz w:val="28"/>
          <w:szCs w:val="28"/>
          <w:rtl/>
        </w:rPr>
        <w:t>ّ</w:t>
      </w:r>
      <w:r w:rsidRPr="00FF2348">
        <w:rPr>
          <w:rFonts w:ascii="Times New Roman" w:hAnsi="Times New Roman" w:cs="DanaFajr"/>
          <w:sz w:val="28"/>
          <w:szCs w:val="28"/>
          <w:rtl/>
        </w:rPr>
        <w:t>اً وربما كانت باطلاً؟ فقال</w:t>
      </w:r>
      <w:r w:rsidRPr="00715694">
        <w:rPr>
          <w:rFonts w:ascii="Times New Roman" w:hAnsi="Times New Roman" w:cs="DanaFajr"/>
          <w:sz w:val="28"/>
          <w:szCs w:val="28"/>
          <w:rtl/>
        </w:rPr>
        <w:t xml:space="preserve"> </w:t>
      </w:r>
      <w:r w:rsidRPr="00FF2348">
        <w:rPr>
          <w:rFonts w:ascii="Times New Roman" w:hAnsi="Times New Roman" w:cs="DanaFajr"/>
          <w:sz w:val="28"/>
          <w:szCs w:val="28"/>
          <w:rtl/>
        </w:rPr>
        <w:t>رسول الله</w:t>
      </w:r>
      <w:r w:rsidRPr="00FF2348">
        <w:rPr>
          <w:rFonts w:ascii="Times New Roman" w:hAnsi="Times New Roman" w:cs="Mosawi"/>
          <w:rtl/>
        </w:rPr>
        <w:t>|</w:t>
      </w:r>
      <w:r w:rsidRPr="00715694">
        <w:rPr>
          <w:rFonts w:ascii="Times New Roman" w:hAnsi="Times New Roman" w:cs="DanaFajr"/>
          <w:sz w:val="28"/>
          <w:szCs w:val="28"/>
          <w:rtl/>
        </w:rPr>
        <w:t xml:space="preserve">: </w:t>
      </w:r>
      <w:r w:rsidRPr="00FF2348">
        <w:rPr>
          <w:rFonts w:cs="DanaFajr" w:hint="eastAsia"/>
          <w:sz w:val="28"/>
          <w:szCs w:val="28"/>
          <w:rtl/>
        </w:rPr>
        <w:t>«</w:t>
      </w:r>
      <w:r w:rsidRPr="00FF2348">
        <w:rPr>
          <w:rFonts w:ascii="Times New Roman" w:hAnsi="Times New Roman" w:cs="DanaFajr"/>
          <w:sz w:val="28"/>
          <w:szCs w:val="28"/>
          <w:rtl/>
        </w:rPr>
        <w:t>يا علي</w:t>
      </w:r>
      <w:r w:rsidRPr="00FF2348">
        <w:rPr>
          <w:rFonts w:ascii="Times New Roman" w:hAnsi="Times New Roman" w:cs="DanaFajr" w:hint="cs"/>
          <w:sz w:val="28"/>
          <w:szCs w:val="28"/>
          <w:rtl/>
        </w:rPr>
        <w:t>ّ</w:t>
      </w:r>
      <w:r w:rsidRPr="00FF2348">
        <w:rPr>
          <w:rFonts w:ascii="Times New Roman" w:hAnsi="Times New Roman" w:cs="DanaFajr"/>
          <w:sz w:val="28"/>
          <w:szCs w:val="28"/>
          <w:rtl/>
        </w:rPr>
        <w:t>، ما من عبدٍ ينام إلاّ عرج بروحه إلى رب</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العالمين، فما رأى عند رب</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العالمين فهو حق</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ثم إذا أمر الله العزيز الجبار بردّ روحه إلى جسده فصارت الروح بين السماء والأرض فما </w:t>
      </w:r>
      <w:r w:rsidRPr="00554592">
        <w:rPr>
          <w:rFonts w:ascii="Times New Roman" w:hAnsi="Times New Roman" w:cs="DanaFajr"/>
          <w:sz w:val="28"/>
          <w:szCs w:val="28"/>
          <w:rtl/>
        </w:rPr>
        <w:t>رأ</w:t>
      </w:r>
      <w:r w:rsidRPr="00554592">
        <w:rPr>
          <w:rFonts w:ascii="Times New Roman" w:hAnsi="Times New Roman" w:cs="DanaFajr" w:hint="cs"/>
          <w:sz w:val="28"/>
          <w:szCs w:val="28"/>
          <w:rtl/>
        </w:rPr>
        <w:t>َ</w:t>
      </w:r>
      <w:r w:rsidRPr="00554592">
        <w:rPr>
          <w:rFonts w:ascii="Times New Roman" w:hAnsi="Times New Roman" w:cs="DanaFajr"/>
          <w:sz w:val="28"/>
          <w:szCs w:val="28"/>
          <w:rtl/>
        </w:rPr>
        <w:t>ت</w:t>
      </w:r>
      <w:r w:rsidRPr="00554592">
        <w:rPr>
          <w:rFonts w:ascii="Times New Roman" w:hAnsi="Times New Roman" w:cs="DanaFajr" w:hint="cs"/>
          <w:sz w:val="28"/>
          <w:szCs w:val="28"/>
          <w:rtl/>
        </w:rPr>
        <w:t>ْ</w:t>
      </w:r>
      <w:r w:rsidRPr="00554592">
        <w:rPr>
          <w:rFonts w:ascii="Times New Roman" w:hAnsi="Times New Roman" w:cs="DanaFajr"/>
          <w:sz w:val="28"/>
          <w:szCs w:val="28"/>
          <w:rtl/>
        </w:rPr>
        <w:t>ه فهو أضغاث أحلام</w:t>
      </w:r>
      <w:r w:rsidRPr="00554592">
        <w:rPr>
          <w:rFonts w:cs="DanaFajr" w:hint="eastAsia"/>
          <w:sz w:val="28"/>
          <w:szCs w:val="28"/>
          <w:rtl/>
        </w:rPr>
        <w:t>»</w:t>
      </w:r>
      <w:r w:rsidRPr="00554592">
        <w:rPr>
          <w:rFonts w:ascii="Times New Roman" w:hAnsi="Times New Roman" w:cs="DanaFajr"/>
          <w:sz w:val="28"/>
          <w:szCs w:val="28"/>
          <w:rtl/>
        </w:rPr>
        <w:t xml:space="preserve"> (الأمالي:</w:t>
      </w:r>
      <w:r w:rsidRPr="00554592">
        <w:rPr>
          <w:rFonts w:ascii="Times New Roman" w:hAnsi="Times New Roman" w:cs="DanaFajr" w:hint="cs"/>
          <w:sz w:val="28"/>
          <w:szCs w:val="28"/>
          <w:rtl/>
        </w:rPr>
        <w:t xml:space="preserve"> 209</w:t>
      </w:r>
      <w:r w:rsidRPr="00554592">
        <w:rPr>
          <w:rFonts w:ascii="Times New Roman" w:hAnsi="Times New Roman" w:cs="DanaFajr"/>
          <w:sz w:val="28"/>
          <w:szCs w:val="28"/>
          <w:rtl/>
        </w:rPr>
        <w:t xml:space="preserve">). </w:t>
      </w:r>
    </w:p>
  </w:endnote>
  <w:endnote w:id="558">
    <w:p w:rsidR="00F41F33" w:rsidRPr="00FF2348" w:rsidRDefault="00F41F33" w:rsidP="00826CE1">
      <w:pPr>
        <w:pStyle w:val="aa"/>
        <w:spacing w:line="300" w:lineRule="exact"/>
        <w:ind w:firstLine="0"/>
        <w:rPr>
          <w:rFonts w:cs="DanaFajr"/>
          <w:sz w:val="28"/>
          <w:szCs w:val="28"/>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sz w:val="28"/>
          <w:szCs w:val="28"/>
          <w:rtl/>
        </w:rPr>
        <w:t>من قبيل</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ما مرّ عن الصادق</w:t>
      </w:r>
      <w:r w:rsidRPr="00FF2348">
        <w:rPr>
          <w:rFonts w:ascii="Times New Roman" w:hAnsi="Times New Roman" w:cs="Mosawi"/>
          <w:rtl/>
        </w:rPr>
        <w:t>×</w:t>
      </w:r>
      <w:r w:rsidRPr="00715694">
        <w:rPr>
          <w:rFonts w:ascii="Times New Roman" w:hAnsi="Times New Roman" w:cs="DanaFajr"/>
          <w:sz w:val="28"/>
          <w:szCs w:val="28"/>
          <w:rtl/>
        </w:rPr>
        <w:t xml:space="preserve">: </w:t>
      </w:r>
      <w:r w:rsidRPr="00FF2348">
        <w:rPr>
          <w:rFonts w:cs="DanaFajr" w:hint="eastAsia"/>
          <w:sz w:val="28"/>
          <w:szCs w:val="28"/>
          <w:rtl/>
        </w:rPr>
        <w:t>«</w:t>
      </w:r>
      <w:r w:rsidRPr="00FF2348">
        <w:rPr>
          <w:rFonts w:ascii="Times New Roman" w:hAnsi="Times New Roman" w:cs="DanaFajr"/>
          <w:sz w:val="28"/>
          <w:szCs w:val="28"/>
          <w:rtl/>
        </w:rPr>
        <w:t>الرؤيا على ثلاثة وجوه: بشارة من الله للمؤمن</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وتحذير من الشيطان</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وأضغاث أحلام</w:t>
      </w:r>
      <w:r w:rsidRPr="00FF2348">
        <w:rPr>
          <w:rFonts w:cs="DanaFajr" w:hint="eastAsia"/>
          <w:sz w:val="28"/>
          <w:szCs w:val="28"/>
          <w:rtl/>
        </w:rPr>
        <w:t>»</w:t>
      </w:r>
      <w:r w:rsidRPr="00FF2348">
        <w:rPr>
          <w:rFonts w:ascii="Times New Roman" w:hAnsi="Times New Roman" w:cs="DanaFajr"/>
          <w:sz w:val="28"/>
          <w:szCs w:val="28"/>
          <w:rtl/>
        </w:rPr>
        <w:t xml:space="preserve">. </w:t>
      </w:r>
    </w:p>
  </w:endnote>
  <w:endnote w:id="559">
    <w:p w:rsidR="00F41F33" w:rsidRPr="00FF2348" w:rsidRDefault="00F41F33" w:rsidP="00826CE1">
      <w:pPr>
        <w:pStyle w:val="aa"/>
        <w:spacing w:line="300" w:lineRule="exact"/>
        <w:ind w:firstLine="0"/>
        <w:rPr>
          <w:rFonts w:cs="DanaFajr"/>
          <w:sz w:val="28"/>
          <w:szCs w:val="28"/>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sz w:val="28"/>
          <w:szCs w:val="28"/>
          <w:rtl/>
        </w:rPr>
        <w:t>من قبيل</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ما ر</w:t>
      </w:r>
      <w:r w:rsidRPr="00FF2348">
        <w:rPr>
          <w:rFonts w:ascii="Times New Roman" w:hAnsi="Times New Roman" w:cs="DanaFajr" w:hint="cs"/>
          <w:sz w:val="28"/>
          <w:szCs w:val="28"/>
          <w:rtl/>
        </w:rPr>
        <w:t>ُ</w:t>
      </w:r>
      <w:r w:rsidRPr="00FF2348">
        <w:rPr>
          <w:rFonts w:ascii="Times New Roman" w:hAnsi="Times New Roman" w:cs="DanaFajr"/>
          <w:sz w:val="28"/>
          <w:szCs w:val="28"/>
          <w:rtl/>
        </w:rPr>
        <w:t>وي عن رسول الله</w:t>
      </w:r>
      <w:r w:rsidRPr="00FF2348">
        <w:rPr>
          <w:rFonts w:ascii="Times New Roman" w:hAnsi="Times New Roman" w:cs="Mosawi"/>
          <w:rtl/>
        </w:rPr>
        <w:t>|</w:t>
      </w:r>
      <w:r w:rsidRPr="00715694">
        <w:rPr>
          <w:rFonts w:ascii="Times New Roman" w:hAnsi="Times New Roman" w:cs="DanaFajr"/>
          <w:sz w:val="28"/>
          <w:szCs w:val="28"/>
          <w:rtl/>
        </w:rPr>
        <w:t xml:space="preserve">: </w:t>
      </w:r>
      <w:r w:rsidRPr="00FF2348">
        <w:rPr>
          <w:rFonts w:cs="DanaFajr" w:hint="eastAsia"/>
          <w:sz w:val="28"/>
          <w:szCs w:val="28"/>
          <w:rtl/>
        </w:rPr>
        <w:t>«</w:t>
      </w:r>
      <w:r w:rsidRPr="00FF2348">
        <w:rPr>
          <w:rFonts w:ascii="Times New Roman" w:hAnsi="Times New Roman" w:cs="DanaFajr"/>
          <w:sz w:val="28"/>
          <w:szCs w:val="28"/>
          <w:rtl/>
        </w:rPr>
        <w:t>الرؤيا لا تقص</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إلاّ على مؤمن</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خلا من الحسد والبغي</w:t>
      </w:r>
      <w:r w:rsidRPr="00FF2348">
        <w:rPr>
          <w:rFonts w:cs="DanaFajr" w:hint="eastAsia"/>
          <w:sz w:val="28"/>
          <w:szCs w:val="28"/>
          <w:rtl/>
        </w:rPr>
        <w:t>»</w:t>
      </w:r>
      <w:r w:rsidRPr="00FF2348">
        <w:rPr>
          <w:rFonts w:ascii="Times New Roman" w:hAnsi="Times New Roman" w:cs="DanaFajr"/>
          <w:sz w:val="28"/>
          <w:szCs w:val="28"/>
          <w:rtl/>
        </w:rPr>
        <w:t xml:space="preserve">. </w:t>
      </w:r>
    </w:p>
  </w:endnote>
  <w:endnote w:id="560">
    <w:p w:rsidR="00F41F33" w:rsidRPr="00554592" w:rsidRDefault="00F41F33" w:rsidP="00826CE1">
      <w:pPr>
        <w:pStyle w:val="aa"/>
        <w:spacing w:line="300" w:lineRule="exact"/>
        <w:ind w:firstLine="0"/>
        <w:rPr>
          <w:rFonts w:cs="DanaFajr"/>
          <w:sz w:val="28"/>
          <w:szCs w:val="28"/>
        </w:rPr>
      </w:pPr>
      <w:r w:rsidRPr="00FF2348">
        <w:rPr>
          <w:rFonts w:cs="DanaFajr" w:hint="cs"/>
          <w:sz w:val="28"/>
          <w:szCs w:val="28"/>
          <w:rtl/>
        </w:rPr>
        <w:t>(</w:t>
      </w:r>
      <w:r w:rsidRPr="00FF2348">
        <w:rPr>
          <w:rStyle w:val="ac"/>
          <w:rFonts w:cs="DanaFajr"/>
          <w:sz w:val="28"/>
          <w:szCs w:val="28"/>
          <w:vertAlign w:val="baseline"/>
        </w:rPr>
        <w:endnoteRef/>
      </w:r>
      <w:r w:rsidRPr="00FF2348">
        <w:rPr>
          <w:rFonts w:cs="DanaFajr" w:hint="cs"/>
          <w:sz w:val="28"/>
          <w:szCs w:val="28"/>
          <w:rtl/>
        </w:rPr>
        <w:t xml:space="preserve">) </w:t>
      </w:r>
      <w:r w:rsidRPr="00FF2348">
        <w:rPr>
          <w:rFonts w:ascii="Times New Roman" w:hAnsi="Times New Roman" w:cs="DanaFajr"/>
          <w:sz w:val="28"/>
          <w:szCs w:val="28"/>
          <w:rtl/>
        </w:rPr>
        <w:t>من قبيل</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ما رواه في روضة الكافي</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عن الصادق</w:t>
      </w:r>
      <w:r w:rsidRPr="00FF2348">
        <w:rPr>
          <w:rFonts w:ascii="Times New Roman" w:hAnsi="Times New Roman" w:cs="Mosawi"/>
          <w:rtl/>
        </w:rPr>
        <w:t>×</w:t>
      </w:r>
      <w:r w:rsidRPr="00715694">
        <w:rPr>
          <w:rFonts w:ascii="Times New Roman" w:hAnsi="Times New Roman" w:cs="DanaFajr"/>
          <w:sz w:val="28"/>
          <w:szCs w:val="28"/>
          <w:rtl/>
        </w:rPr>
        <w:t xml:space="preserve">: </w:t>
      </w:r>
      <w:r w:rsidRPr="00FF2348">
        <w:rPr>
          <w:rFonts w:cs="DanaFajr" w:hint="eastAsia"/>
          <w:sz w:val="28"/>
          <w:szCs w:val="28"/>
          <w:rtl/>
        </w:rPr>
        <w:t>«</w:t>
      </w:r>
      <w:r w:rsidRPr="00FF2348">
        <w:rPr>
          <w:rFonts w:ascii="Times New Roman" w:hAnsi="Times New Roman" w:cs="DanaFajr" w:hint="cs"/>
          <w:sz w:val="28"/>
          <w:szCs w:val="28"/>
          <w:rtl/>
        </w:rPr>
        <w:t>...</w:t>
      </w:r>
      <w:r w:rsidRPr="00FF2348">
        <w:rPr>
          <w:rFonts w:ascii="Times New Roman" w:hAnsi="Times New Roman" w:cs="DanaFajr"/>
          <w:sz w:val="28"/>
          <w:szCs w:val="28"/>
          <w:rtl/>
        </w:rPr>
        <w:t>أما الكاذبة المختلقة فإنّ الرجل يراها من أو</w:t>
      </w:r>
      <w:r w:rsidRPr="00FF2348">
        <w:rPr>
          <w:rFonts w:ascii="Times New Roman" w:hAnsi="Times New Roman" w:cs="DanaFajr" w:hint="cs"/>
          <w:sz w:val="28"/>
          <w:szCs w:val="28"/>
          <w:rtl/>
        </w:rPr>
        <w:t>ّ</w:t>
      </w:r>
      <w:r w:rsidRPr="00FF2348">
        <w:rPr>
          <w:rFonts w:ascii="Times New Roman" w:hAnsi="Times New Roman" w:cs="DanaFajr"/>
          <w:sz w:val="28"/>
          <w:szCs w:val="28"/>
          <w:rtl/>
        </w:rPr>
        <w:t>ل ليل</w:t>
      </w:r>
      <w:r w:rsidRPr="00FF2348">
        <w:rPr>
          <w:rFonts w:ascii="Times New Roman" w:hAnsi="Times New Roman" w:cs="DanaFajr" w:hint="cs"/>
          <w:sz w:val="28"/>
          <w:szCs w:val="28"/>
          <w:rtl/>
        </w:rPr>
        <w:t>ه</w:t>
      </w:r>
      <w:r w:rsidRPr="00FF2348">
        <w:rPr>
          <w:rFonts w:ascii="Times New Roman" w:hAnsi="Times New Roman" w:cs="DanaFajr"/>
          <w:sz w:val="28"/>
          <w:szCs w:val="28"/>
          <w:rtl/>
        </w:rPr>
        <w:t>..</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وأما الصادقة إذا رآها بعد الثلثين من الليل</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مع حلول الملائكة</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وذلك قبل السحر</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فهي صادقة</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لا تختلف إن</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شاء الله، إلاّ أن يكون ج</w:t>
      </w:r>
      <w:r w:rsidRPr="00FF2348">
        <w:rPr>
          <w:rFonts w:ascii="Times New Roman" w:hAnsi="Times New Roman" w:cs="DanaFajr" w:hint="cs"/>
          <w:sz w:val="28"/>
          <w:szCs w:val="28"/>
          <w:rtl/>
        </w:rPr>
        <w:t>ُ</w:t>
      </w:r>
      <w:r w:rsidRPr="00FF2348">
        <w:rPr>
          <w:rFonts w:ascii="Times New Roman" w:hAnsi="Times New Roman" w:cs="DanaFajr"/>
          <w:sz w:val="28"/>
          <w:szCs w:val="28"/>
          <w:rtl/>
        </w:rPr>
        <w:t>ن</w:t>
      </w:r>
      <w:r w:rsidRPr="00FF2348">
        <w:rPr>
          <w:rFonts w:ascii="Times New Roman" w:hAnsi="Times New Roman" w:cs="DanaFajr" w:hint="cs"/>
          <w:sz w:val="28"/>
          <w:szCs w:val="28"/>
          <w:rtl/>
        </w:rPr>
        <w:t>ُ</w:t>
      </w:r>
      <w:r w:rsidRPr="00FF2348">
        <w:rPr>
          <w:rFonts w:ascii="Times New Roman" w:hAnsi="Times New Roman" w:cs="DanaFajr"/>
          <w:sz w:val="28"/>
          <w:szCs w:val="28"/>
          <w:rtl/>
        </w:rPr>
        <w:t>باً، أو يكون على غير ط</w:t>
      </w:r>
      <w:r w:rsidRPr="00FF2348">
        <w:rPr>
          <w:rFonts w:ascii="Times New Roman" w:hAnsi="Times New Roman" w:cs="DanaFajr" w:hint="cs"/>
          <w:sz w:val="28"/>
          <w:szCs w:val="28"/>
          <w:rtl/>
        </w:rPr>
        <w:t>ُ</w:t>
      </w:r>
      <w:r w:rsidRPr="00FF2348">
        <w:rPr>
          <w:rFonts w:ascii="Times New Roman" w:hAnsi="Times New Roman" w:cs="DanaFajr"/>
          <w:sz w:val="28"/>
          <w:szCs w:val="28"/>
          <w:rtl/>
        </w:rPr>
        <w:t>ه</w:t>
      </w:r>
      <w:r w:rsidRPr="00FF2348">
        <w:rPr>
          <w:rFonts w:ascii="Times New Roman" w:hAnsi="Times New Roman" w:cs="DanaFajr" w:hint="cs"/>
          <w:sz w:val="28"/>
          <w:szCs w:val="28"/>
          <w:rtl/>
        </w:rPr>
        <w:t>ْ</w:t>
      </w:r>
      <w:r w:rsidRPr="00FF2348">
        <w:rPr>
          <w:rFonts w:ascii="Times New Roman" w:hAnsi="Times New Roman" w:cs="DanaFajr"/>
          <w:sz w:val="28"/>
          <w:szCs w:val="28"/>
          <w:rtl/>
        </w:rPr>
        <w:t>ر</w:t>
      </w:r>
      <w:r w:rsidRPr="00FF2348">
        <w:rPr>
          <w:rFonts w:ascii="Times New Roman" w:hAnsi="Times New Roman" w:cs="DanaFajr" w:hint="cs"/>
          <w:sz w:val="28"/>
          <w:szCs w:val="28"/>
          <w:rtl/>
        </w:rPr>
        <w:t>ٍ</w:t>
      </w:r>
      <w:r w:rsidRPr="00FF2348">
        <w:rPr>
          <w:rFonts w:ascii="Times New Roman" w:hAnsi="Times New Roman" w:cs="DanaFajr"/>
          <w:sz w:val="28"/>
          <w:szCs w:val="28"/>
          <w:rtl/>
        </w:rPr>
        <w:t xml:space="preserve">، أو لم يكن يذكر الله </w:t>
      </w:r>
      <w:r w:rsidRPr="00554592">
        <w:rPr>
          <w:rFonts w:ascii="Times New Roman" w:hAnsi="Times New Roman" w:cs="DanaFajr"/>
          <w:sz w:val="28"/>
          <w:szCs w:val="28"/>
          <w:rtl/>
        </w:rPr>
        <w:t>عز</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وجل</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حقيقة ذكره..</w:t>
      </w:r>
      <w:r w:rsidRPr="00554592">
        <w:rPr>
          <w:rFonts w:ascii="Times New Roman" w:hAnsi="Times New Roman" w:cs="DanaFajr" w:hint="cs"/>
          <w:sz w:val="28"/>
          <w:szCs w:val="28"/>
          <w:rtl/>
        </w:rPr>
        <w:t>.</w:t>
      </w:r>
      <w:r w:rsidRPr="00554592">
        <w:rPr>
          <w:rFonts w:cs="DanaFajr" w:hint="eastAsia"/>
          <w:sz w:val="28"/>
          <w:szCs w:val="28"/>
          <w:rtl/>
        </w:rPr>
        <w:t>»</w:t>
      </w:r>
      <w:r w:rsidRPr="00554592">
        <w:rPr>
          <w:rFonts w:cs="DanaFajr" w:hint="cs"/>
          <w:sz w:val="28"/>
          <w:szCs w:val="28"/>
          <w:rtl/>
        </w:rPr>
        <w:t>.</w:t>
      </w:r>
      <w:r w:rsidRPr="00554592">
        <w:rPr>
          <w:rFonts w:ascii="Times New Roman" w:hAnsi="Times New Roman" w:cs="DanaFajr" w:hint="cs"/>
          <w:sz w:val="28"/>
          <w:szCs w:val="28"/>
          <w:rtl/>
        </w:rPr>
        <w:t xml:space="preserve"> </w:t>
      </w:r>
      <w:r w:rsidRPr="00554592">
        <w:rPr>
          <w:rFonts w:ascii="Times New Roman" w:hAnsi="Times New Roman" w:cs="DanaFajr"/>
          <w:sz w:val="28"/>
          <w:szCs w:val="28"/>
          <w:rtl/>
        </w:rPr>
        <w:t xml:space="preserve">(الكافي 8: 91). </w:t>
      </w:r>
    </w:p>
  </w:endnote>
  <w:endnote w:id="561">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بحار الأنوار 61: 159. </w:t>
      </w:r>
    </w:p>
  </w:endnote>
  <w:endnote w:id="562">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w:t>
      </w:r>
      <w:r w:rsidRPr="00554592">
        <w:rPr>
          <w:rFonts w:ascii="Times New Roman" w:hAnsi="Times New Roman" w:cs="DanaFajr" w:hint="cs"/>
          <w:sz w:val="28"/>
          <w:szCs w:val="28"/>
          <w:rtl/>
        </w:rPr>
        <w:t xml:space="preserve"> ا</w:t>
      </w:r>
      <w:r w:rsidRPr="00554592">
        <w:rPr>
          <w:rFonts w:ascii="Times New Roman" w:hAnsi="Times New Roman" w:cs="DanaFajr"/>
          <w:sz w:val="28"/>
          <w:szCs w:val="28"/>
          <w:rtl/>
        </w:rPr>
        <w:t>لطبراني</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المعجم الكبير 25: 27. </w:t>
      </w:r>
    </w:p>
  </w:endnote>
  <w:endnote w:id="563">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بحار الأنوار 61: 164. </w:t>
      </w:r>
    </w:p>
  </w:endnote>
  <w:endnote w:id="564">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ونحوها رواية أخرى في البحار</w:t>
      </w:r>
      <w:r w:rsidRPr="00554592">
        <w:rPr>
          <w:rFonts w:ascii="Times New Roman" w:hAnsi="Times New Roman" w:cs="DanaFajr" w:hint="cs"/>
          <w:sz w:val="28"/>
          <w:szCs w:val="28"/>
          <w:rtl/>
        </w:rPr>
        <w:t>،</w:t>
      </w:r>
      <w:r w:rsidRPr="00554592">
        <w:rPr>
          <w:rFonts w:ascii="Times New Roman" w:hAnsi="Times New Roman" w:cs="DanaFajr"/>
          <w:sz w:val="28"/>
          <w:szCs w:val="28"/>
          <w:rtl/>
        </w:rPr>
        <w:t xml:space="preserve"> نقلاً عن الكافي 61: 173</w:t>
      </w:r>
      <w:r w:rsidRPr="00554592">
        <w:rPr>
          <w:rFonts w:ascii="Times New Roman" w:hAnsi="Times New Roman" w:cs="DanaFajr" w:hint="cs"/>
          <w:sz w:val="28"/>
          <w:szCs w:val="28"/>
          <w:rtl/>
        </w:rPr>
        <w:t xml:space="preserve">، </w:t>
      </w:r>
      <w:r w:rsidRPr="00554592">
        <w:rPr>
          <w:rFonts w:ascii="Times New Roman" w:hAnsi="Times New Roman" w:cs="DanaFajr"/>
          <w:sz w:val="28"/>
          <w:szCs w:val="28"/>
          <w:rtl/>
        </w:rPr>
        <w:t xml:space="preserve">ح32. </w:t>
      </w:r>
    </w:p>
  </w:endnote>
  <w:endnote w:id="565">
    <w:p w:rsidR="00F41F33" w:rsidRPr="00554592" w:rsidRDefault="00F41F33" w:rsidP="00826CE1">
      <w:pPr>
        <w:pStyle w:val="aa"/>
        <w:spacing w:line="300" w:lineRule="exact"/>
        <w:ind w:firstLine="0"/>
        <w:rPr>
          <w:rFonts w:cs="DanaFajr"/>
          <w:sz w:val="28"/>
          <w:szCs w:val="28"/>
        </w:rPr>
      </w:pPr>
      <w:r w:rsidRPr="00554592">
        <w:rPr>
          <w:rFonts w:cs="DanaFajr" w:hint="cs"/>
          <w:sz w:val="28"/>
          <w:szCs w:val="28"/>
          <w:rtl/>
        </w:rPr>
        <w:t>(</w:t>
      </w:r>
      <w:r w:rsidRPr="00554592">
        <w:rPr>
          <w:rStyle w:val="ac"/>
          <w:rFonts w:cs="DanaFajr"/>
          <w:sz w:val="28"/>
          <w:szCs w:val="28"/>
          <w:vertAlign w:val="baseline"/>
        </w:rPr>
        <w:endnoteRef/>
      </w:r>
      <w:r w:rsidRPr="00554592">
        <w:rPr>
          <w:rFonts w:cs="DanaFajr" w:hint="cs"/>
          <w:sz w:val="28"/>
          <w:szCs w:val="28"/>
          <w:rtl/>
        </w:rPr>
        <w:t xml:space="preserve">) </w:t>
      </w:r>
      <w:r w:rsidRPr="00554592">
        <w:rPr>
          <w:rFonts w:ascii="Times New Roman" w:hAnsi="Times New Roman" w:cs="DanaFajr"/>
          <w:sz w:val="28"/>
          <w:szCs w:val="28"/>
          <w:rtl/>
        </w:rPr>
        <w:t xml:space="preserve">بحار الأنوار 58: 233. </w:t>
      </w:r>
    </w:p>
  </w:endnote>
  <w:endnote w:id="566">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الميزان 8: 380. </w:t>
      </w:r>
    </w:p>
  </w:endnote>
  <w:endnote w:id="567">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وسائل الشيعة 12: 25، ح4. </w:t>
      </w:r>
    </w:p>
  </w:endnote>
  <w:endnote w:id="568">
    <w:p w:rsidR="00F41F33" w:rsidRPr="00C9025B" w:rsidRDefault="00F41F33" w:rsidP="000814F5">
      <w:pPr>
        <w:pStyle w:val="aa"/>
        <w:spacing w:line="340" w:lineRule="exact"/>
        <w:ind w:firstLine="0"/>
        <w:rPr>
          <w:rFonts w:cs="DanaFajr"/>
          <w:sz w:val="28"/>
          <w:szCs w:val="28"/>
          <w:rtl/>
          <w:lang w:bidi="ar-LB"/>
        </w:rPr>
      </w:pPr>
      <w:r w:rsidRPr="00C9025B">
        <w:rPr>
          <w:rFonts w:cs="DanaFajr" w:hint="cs"/>
          <w:sz w:val="28"/>
          <w:szCs w:val="28"/>
          <w:rtl/>
        </w:rPr>
        <w:t>(</w:t>
      </w:r>
      <w:r w:rsidRPr="00C9025B">
        <w:rPr>
          <w:rStyle w:val="ac"/>
          <w:rFonts w:cs="DanaFajr"/>
          <w:sz w:val="28"/>
          <w:szCs w:val="28"/>
          <w:vertAlign w:val="baseline"/>
        </w:rPr>
        <w:endnoteRef/>
      </w:r>
      <w:r w:rsidRPr="00C9025B">
        <w:rPr>
          <w:rFonts w:cs="DanaFajr" w:hint="cs"/>
          <w:sz w:val="28"/>
          <w:szCs w:val="28"/>
          <w:rtl/>
        </w:rPr>
        <w:t xml:space="preserve">) </w:t>
      </w:r>
      <w:r w:rsidRPr="00C9025B">
        <w:rPr>
          <w:rFonts w:cs="DanaFajr" w:hint="cs"/>
          <w:sz w:val="28"/>
          <w:szCs w:val="28"/>
          <w:rtl/>
          <w:lang w:bidi="ar-LB"/>
        </w:rPr>
        <w:t xml:space="preserve">المقصود بالثمار الأشجار التي تثمر. </w:t>
      </w:r>
    </w:p>
  </w:endnote>
  <w:endnote w:id="569">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المصدر السابق 13: 198. </w:t>
      </w:r>
    </w:p>
  </w:endnote>
  <w:endnote w:id="570">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w:t>
      </w:r>
      <w:r w:rsidRPr="0011006D">
        <w:rPr>
          <w:rFonts w:cs="DanaFajr" w:hint="cs"/>
          <w:sz w:val="28"/>
          <w:szCs w:val="28"/>
          <w:rtl/>
          <w:lang w:bidi="ar-LB"/>
        </w:rPr>
        <w:t xml:space="preserve"> البحراني، حلية الأبرار 1: 362. </w:t>
      </w:r>
    </w:p>
  </w:endnote>
  <w:endnote w:id="571">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نهج البلاغة، الرسالة 53. </w:t>
      </w:r>
    </w:p>
  </w:endnote>
  <w:endnote w:id="572">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الميزان 2: 96. </w:t>
      </w:r>
    </w:p>
  </w:endnote>
  <w:endnote w:id="573">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w:t>
      </w:r>
      <w:r w:rsidRPr="0011006D">
        <w:rPr>
          <w:rFonts w:cs="DanaFajr" w:hint="cs"/>
          <w:sz w:val="28"/>
          <w:szCs w:val="28"/>
          <w:rtl/>
          <w:lang w:bidi="ar-LB"/>
        </w:rPr>
        <w:t xml:space="preserve"> محسن عميق والسيد فضل الله حسيني، أخلاق زيست محيطي در إسلام: 116. </w:t>
      </w:r>
    </w:p>
  </w:endnote>
  <w:endnote w:id="574">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تفسير الصافي 5: 107. </w:t>
      </w:r>
    </w:p>
  </w:endnote>
  <w:endnote w:id="575">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w:t>
      </w:r>
      <w:r w:rsidRPr="0011006D">
        <w:rPr>
          <w:rFonts w:cs="DanaFajr" w:hint="cs"/>
          <w:sz w:val="28"/>
          <w:szCs w:val="28"/>
          <w:rtl/>
          <w:lang w:bidi="ar-LB"/>
        </w:rPr>
        <w:t xml:space="preserve"> اليزدي، حاشية المكاسب 2: 56. </w:t>
      </w:r>
    </w:p>
  </w:endnote>
  <w:endnote w:id="576">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ابن أبي جمهور الأحسائي، عوالي اللآلي 1: 57. </w:t>
      </w:r>
    </w:p>
  </w:endnote>
  <w:endnote w:id="577">
    <w:p w:rsidR="00F41F33" w:rsidRPr="0011006D" w:rsidRDefault="00F41F33" w:rsidP="000814F5">
      <w:pPr>
        <w:pStyle w:val="aa"/>
        <w:spacing w:line="340" w:lineRule="exact"/>
        <w:ind w:firstLine="0"/>
        <w:rPr>
          <w:rFonts w:cs="DanaFajr"/>
          <w:sz w:val="28"/>
          <w:szCs w:val="28"/>
          <w:rtl/>
          <w:lang w:bidi="ar-LB"/>
        </w:rPr>
      </w:pPr>
      <w:r w:rsidRPr="00C9025B">
        <w:rPr>
          <w:rFonts w:cs="DanaFajr" w:hint="cs"/>
          <w:sz w:val="28"/>
          <w:szCs w:val="28"/>
          <w:rtl/>
        </w:rPr>
        <w:t>(</w:t>
      </w:r>
      <w:r w:rsidRPr="00C9025B">
        <w:rPr>
          <w:rStyle w:val="ac"/>
          <w:rFonts w:cs="DanaFajr"/>
          <w:sz w:val="28"/>
          <w:szCs w:val="28"/>
          <w:vertAlign w:val="baseline"/>
        </w:rPr>
        <w:endnoteRef/>
      </w:r>
      <w:r w:rsidRPr="00C9025B">
        <w:rPr>
          <w:rFonts w:cs="DanaFajr" w:hint="cs"/>
          <w:sz w:val="28"/>
          <w:szCs w:val="28"/>
          <w:rtl/>
        </w:rPr>
        <w:t xml:space="preserve">) يراجع في هذا الخصوص: جوادي الآملي، مقالة </w:t>
      </w:r>
      <w:r w:rsidRPr="00C9025B">
        <w:rPr>
          <w:rFonts w:cs="DanaFajr" w:hint="eastAsia"/>
          <w:sz w:val="27"/>
          <w:szCs w:val="27"/>
          <w:rtl/>
        </w:rPr>
        <w:t>«</w:t>
      </w:r>
      <w:r w:rsidRPr="00C9025B">
        <w:rPr>
          <w:rFonts w:cs="DanaFajr" w:hint="cs"/>
          <w:sz w:val="28"/>
          <w:szCs w:val="28"/>
          <w:rtl/>
        </w:rPr>
        <w:t>مباني كلامي حقّ وتكليف</w:t>
      </w:r>
      <w:r w:rsidRPr="00C9025B">
        <w:rPr>
          <w:rFonts w:cs="DanaFajr" w:hint="eastAsia"/>
          <w:sz w:val="27"/>
          <w:szCs w:val="27"/>
          <w:rtl/>
        </w:rPr>
        <w:t>»</w:t>
      </w:r>
      <w:r w:rsidRPr="00C9025B">
        <w:rPr>
          <w:rFonts w:cs="DanaFajr" w:hint="cs"/>
          <w:sz w:val="28"/>
          <w:szCs w:val="28"/>
          <w:rtl/>
        </w:rPr>
        <w:t xml:space="preserve">، فصلية أنديشه </w:t>
      </w:r>
      <w:r w:rsidRPr="0011006D">
        <w:rPr>
          <w:rFonts w:cs="DanaFajr" w:hint="cs"/>
          <w:sz w:val="28"/>
          <w:szCs w:val="28"/>
          <w:rtl/>
        </w:rPr>
        <w:t xml:space="preserve">نوين ديني، العدد 1: 9. </w:t>
      </w:r>
    </w:p>
  </w:endnote>
  <w:endnote w:id="578">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w:t>
      </w:r>
      <w:r w:rsidRPr="0011006D">
        <w:rPr>
          <w:rFonts w:cs="DanaFajr" w:hint="cs"/>
          <w:sz w:val="28"/>
          <w:szCs w:val="28"/>
          <w:rtl/>
          <w:lang w:bidi="ar-LB"/>
        </w:rPr>
        <w:t xml:space="preserve"> ناصر مكارم الشيرازي، التفسير الأمثل 9: 151. </w:t>
      </w:r>
    </w:p>
  </w:endnote>
  <w:endnote w:id="579">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المرشد الخامنئي، رسالته للمؤتمر الأول حول حقوق البيئة والمحيط، جريدة إيران 22/3/1382.</w:t>
      </w:r>
    </w:p>
  </w:endnote>
  <w:endnote w:id="580">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نهج البلاغة: 546، الخطبة 166. </w:t>
      </w:r>
    </w:p>
  </w:endnote>
  <w:endnote w:id="581">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الكافي 5: 38. </w:t>
      </w:r>
    </w:p>
  </w:endnote>
  <w:endnote w:id="582">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وسائل الشيعة 1: 324. </w:t>
      </w:r>
    </w:p>
  </w:endnote>
  <w:endnote w:id="583">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بحار الأنوار 72: 305. </w:t>
      </w:r>
    </w:p>
  </w:endnote>
  <w:endnote w:id="584">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مسند أحمد بن حنبل 2: 221. </w:t>
      </w:r>
    </w:p>
  </w:endnote>
  <w:endnote w:id="585">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بحار الأنوار 63: 118. </w:t>
      </w:r>
    </w:p>
  </w:endnote>
  <w:endnote w:id="586">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المصدر السابق: 103. </w:t>
      </w:r>
    </w:p>
  </w:endnote>
  <w:endnote w:id="587">
    <w:p w:rsidR="00F41F33" w:rsidRPr="0011006D" w:rsidRDefault="00F41F33" w:rsidP="000814F5">
      <w:pPr>
        <w:pStyle w:val="aa"/>
        <w:spacing w:line="340" w:lineRule="exact"/>
        <w:ind w:firstLine="0"/>
        <w:rPr>
          <w:rFonts w:cs="DanaFajr"/>
          <w:sz w:val="28"/>
          <w:szCs w:val="28"/>
          <w:rtl/>
          <w:lang w:bidi="ar-LB"/>
        </w:rPr>
      </w:pPr>
      <w:r w:rsidRPr="00C9025B">
        <w:rPr>
          <w:rFonts w:cs="DanaFajr" w:hint="cs"/>
          <w:sz w:val="28"/>
          <w:szCs w:val="28"/>
          <w:rtl/>
        </w:rPr>
        <w:t>(</w:t>
      </w:r>
      <w:r w:rsidRPr="00C9025B">
        <w:rPr>
          <w:rStyle w:val="ac"/>
          <w:rFonts w:cs="DanaFajr"/>
          <w:sz w:val="28"/>
          <w:szCs w:val="28"/>
          <w:vertAlign w:val="baseline"/>
        </w:rPr>
        <w:endnoteRef/>
      </w:r>
      <w:r w:rsidRPr="00C9025B">
        <w:rPr>
          <w:rFonts w:cs="DanaFajr" w:hint="cs"/>
          <w:sz w:val="28"/>
          <w:szCs w:val="28"/>
          <w:rtl/>
        </w:rPr>
        <w:t xml:space="preserve">) </w:t>
      </w:r>
      <w:r w:rsidRPr="00C9025B">
        <w:rPr>
          <w:rFonts w:cs="DanaFajr" w:hint="cs"/>
          <w:sz w:val="28"/>
          <w:szCs w:val="28"/>
          <w:rtl/>
          <w:lang w:bidi="ar-LB"/>
        </w:rPr>
        <w:t xml:space="preserve">بخصوص حشر الحيوانات هناك عدّة آراء؛ فالبعض من المفسِّرين اعتقد بحشرهم؛ بينما ذهب البعض الآخر إلى أن الحيوانات لا حشر لها ما دامت غير مكلَّفة بالشرع؛ والبعض الثالث ذهب إلى </w:t>
      </w:r>
      <w:r w:rsidRPr="0011006D">
        <w:rPr>
          <w:rFonts w:cs="DanaFajr" w:hint="cs"/>
          <w:sz w:val="28"/>
          <w:szCs w:val="28"/>
          <w:rtl/>
          <w:lang w:bidi="ar-LB"/>
        </w:rPr>
        <w:t xml:space="preserve">القول بحشر الحيوانات التي تعرَّضَتْ للظلم؛ ولأجل أخذ حقِّها. (انظر: الميزان 7: 73). </w:t>
      </w:r>
    </w:p>
  </w:endnote>
  <w:endnote w:id="588">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بحار الأنوار 61: 7. </w:t>
      </w:r>
    </w:p>
  </w:endnote>
  <w:endnote w:id="589">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w:t>
      </w:r>
      <w:r w:rsidRPr="0011006D">
        <w:rPr>
          <w:rFonts w:cs="DanaFajr" w:hint="cs"/>
          <w:sz w:val="28"/>
          <w:szCs w:val="28"/>
          <w:rtl/>
          <w:lang w:bidi="ar-LB"/>
        </w:rPr>
        <w:t xml:space="preserve"> الصدوق، الخصال 1: 330؛ البحار 61: 201. </w:t>
      </w:r>
    </w:p>
  </w:endnote>
  <w:endnote w:id="590">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مَنْ لا يحضره الفقيه 4: 60. </w:t>
      </w:r>
    </w:p>
  </w:endnote>
  <w:endnote w:id="591">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ثواب الأعمال: 190. </w:t>
      </w:r>
    </w:p>
  </w:endnote>
  <w:endnote w:id="592">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بحار الأنوار 61: 306. </w:t>
      </w:r>
    </w:p>
  </w:endnote>
  <w:endnote w:id="593">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نفسه 63: 113، ح7. </w:t>
      </w:r>
    </w:p>
  </w:endnote>
  <w:endnote w:id="594">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وسائل الشيعة 19: 39. </w:t>
      </w:r>
    </w:p>
  </w:endnote>
  <w:endnote w:id="595">
    <w:p w:rsidR="00F41F33" w:rsidRPr="0011006D" w:rsidRDefault="00F41F33" w:rsidP="000814F5">
      <w:pPr>
        <w:pStyle w:val="aa"/>
        <w:spacing w:line="340" w:lineRule="exact"/>
        <w:ind w:firstLine="0"/>
        <w:rPr>
          <w:rFonts w:cs="DanaFajr"/>
          <w:sz w:val="28"/>
          <w:szCs w:val="28"/>
          <w:rtl/>
          <w:lang w:bidi="ar-LB"/>
        </w:rPr>
      </w:pPr>
      <w:r w:rsidRPr="0011006D">
        <w:rPr>
          <w:rFonts w:cs="DanaFajr" w:hint="cs"/>
          <w:sz w:val="28"/>
          <w:szCs w:val="28"/>
          <w:rtl/>
        </w:rPr>
        <w:t>(</w:t>
      </w:r>
      <w:r w:rsidRPr="0011006D">
        <w:rPr>
          <w:rStyle w:val="ac"/>
          <w:rFonts w:cs="DanaFajr"/>
          <w:sz w:val="28"/>
          <w:szCs w:val="28"/>
          <w:vertAlign w:val="baseline"/>
        </w:rPr>
        <w:endnoteRef/>
      </w:r>
      <w:r w:rsidRPr="0011006D">
        <w:rPr>
          <w:rFonts w:cs="DanaFajr" w:hint="cs"/>
          <w:sz w:val="28"/>
          <w:szCs w:val="28"/>
          <w:rtl/>
        </w:rPr>
        <w:t xml:space="preserve">) </w:t>
      </w:r>
      <w:r w:rsidRPr="0011006D">
        <w:rPr>
          <w:rFonts w:cs="DanaFajr" w:hint="cs"/>
          <w:sz w:val="28"/>
          <w:szCs w:val="28"/>
          <w:rtl/>
          <w:lang w:bidi="ar-LB"/>
        </w:rPr>
        <w:t xml:space="preserve">بحار الأنوار 100: 66، ح12. </w:t>
      </w:r>
    </w:p>
  </w:endnote>
  <w:endnote w:id="596">
    <w:p w:rsidR="00F41F33" w:rsidRPr="00B54760" w:rsidRDefault="00F41F33" w:rsidP="000F7B48">
      <w:pPr>
        <w:pStyle w:val="aa"/>
        <w:spacing w:line="300" w:lineRule="exact"/>
        <w:ind w:firstLine="0"/>
        <w:rPr>
          <w:rFonts w:cs="DanaFajr"/>
          <w:sz w:val="28"/>
          <w:szCs w:val="28"/>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rPr>
        <w:t xml:space="preserve"> الحُرّ العاملي، وسائل الشيعة، كتاب الصلح 12: 452، ح1. </w:t>
      </w:r>
    </w:p>
  </w:endnote>
  <w:endnote w:id="597">
    <w:p w:rsidR="00F41F33" w:rsidRPr="00715694" w:rsidRDefault="00F41F33" w:rsidP="000F7B48">
      <w:pPr>
        <w:pStyle w:val="aa"/>
        <w:spacing w:line="300" w:lineRule="exact"/>
        <w:ind w:firstLine="0"/>
        <w:rPr>
          <w:rFonts w:cs="DanaFajr"/>
          <w:sz w:val="28"/>
          <w:szCs w:val="28"/>
          <w:rtl/>
          <w:lang w:bidi="ar-AE"/>
        </w:rPr>
      </w:pPr>
      <w:r w:rsidRPr="0012606A">
        <w:rPr>
          <w:rFonts w:cs="DanaFajr"/>
          <w:sz w:val="28"/>
          <w:szCs w:val="28"/>
          <w:rtl/>
        </w:rPr>
        <w:t>(</w:t>
      </w:r>
      <w:r w:rsidRPr="0012606A">
        <w:rPr>
          <w:rStyle w:val="ac"/>
          <w:rFonts w:cs="DanaFajr"/>
          <w:sz w:val="28"/>
          <w:szCs w:val="28"/>
          <w:vertAlign w:val="baseline"/>
        </w:rPr>
        <w:endnoteRef/>
      </w:r>
      <w:r w:rsidRPr="0012606A">
        <w:rPr>
          <w:rFonts w:cs="DanaFajr"/>
          <w:sz w:val="28"/>
          <w:szCs w:val="28"/>
          <w:rtl/>
        </w:rPr>
        <w:t xml:space="preserve">) </w:t>
      </w:r>
      <w:r w:rsidRPr="0012606A">
        <w:rPr>
          <w:rFonts w:cs="DanaFajr" w:hint="cs"/>
          <w:sz w:val="28"/>
          <w:szCs w:val="28"/>
          <w:rtl/>
          <w:lang w:bidi="ar-AE"/>
        </w:rPr>
        <w:t>رويت هذه الرواية في كنـز الع</w:t>
      </w:r>
      <w:r w:rsidRPr="00B54760">
        <w:rPr>
          <w:rFonts w:cs="DanaFajr" w:hint="cs"/>
          <w:sz w:val="28"/>
          <w:szCs w:val="28"/>
          <w:rtl/>
          <w:lang w:bidi="ar-AE"/>
        </w:rPr>
        <w:t>مال 5: 827، ع</w:t>
      </w:r>
      <w:r w:rsidRPr="0012606A">
        <w:rPr>
          <w:rFonts w:cs="DanaFajr" w:hint="cs"/>
          <w:sz w:val="28"/>
          <w:szCs w:val="28"/>
          <w:rtl/>
          <w:lang w:bidi="ar-AE"/>
        </w:rPr>
        <w:t>ن الرسول الأكرم</w:t>
      </w:r>
      <w:r w:rsidRPr="00AB45FA">
        <w:rPr>
          <w:rFonts w:cs="Mosawi" w:hint="cs"/>
          <w:rtl/>
          <w:lang w:bidi="ar-AE"/>
        </w:rPr>
        <w:t>|</w:t>
      </w:r>
      <w:r w:rsidRPr="00715694">
        <w:rPr>
          <w:rFonts w:cs="DanaFajr" w:hint="cs"/>
          <w:sz w:val="28"/>
          <w:szCs w:val="28"/>
          <w:rtl/>
          <w:lang w:bidi="ar-AE"/>
        </w:rPr>
        <w:t xml:space="preserve">، </w:t>
      </w:r>
      <w:r w:rsidRPr="0012606A">
        <w:rPr>
          <w:rFonts w:cs="DanaFajr" w:hint="cs"/>
          <w:sz w:val="28"/>
          <w:szCs w:val="28"/>
          <w:rtl/>
          <w:lang w:bidi="ar-AE"/>
        </w:rPr>
        <w:t>في باب الأقضية. ورُويت عن الإمام عليّ</w:t>
      </w:r>
      <w:r w:rsidRPr="00AB45FA">
        <w:rPr>
          <w:rFonts w:cs="Mosawi" w:hint="cs"/>
          <w:rtl/>
          <w:lang w:bidi="ar-AE"/>
        </w:rPr>
        <w:t>×</w:t>
      </w:r>
      <w:r w:rsidRPr="00715694">
        <w:rPr>
          <w:rFonts w:cs="DanaFajr" w:hint="cs"/>
          <w:sz w:val="28"/>
          <w:szCs w:val="28"/>
          <w:rtl/>
          <w:lang w:bidi="ar-AE"/>
        </w:rPr>
        <w:t xml:space="preserve"> </w:t>
      </w:r>
      <w:r w:rsidRPr="0012606A">
        <w:rPr>
          <w:rFonts w:cs="DanaFajr" w:hint="cs"/>
          <w:sz w:val="28"/>
          <w:szCs w:val="28"/>
          <w:rtl/>
          <w:lang w:bidi="ar-AE"/>
        </w:rPr>
        <w:t>أيضاً.</w:t>
      </w:r>
      <w:r w:rsidRPr="00715694">
        <w:rPr>
          <w:rFonts w:cs="DanaFajr" w:hint="cs"/>
          <w:sz w:val="28"/>
          <w:szCs w:val="28"/>
          <w:rtl/>
          <w:lang w:bidi="ar-AE"/>
        </w:rPr>
        <w:t xml:space="preserve"> </w:t>
      </w:r>
    </w:p>
  </w:endnote>
  <w:endnote w:id="598">
    <w:p w:rsidR="00F41F33" w:rsidRPr="00B54760" w:rsidRDefault="00F41F33" w:rsidP="000F7B48">
      <w:pPr>
        <w:pStyle w:val="aa"/>
        <w:spacing w:line="300" w:lineRule="exact"/>
        <w:ind w:firstLine="0"/>
        <w:rPr>
          <w:rFonts w:cs="DanaFajr"/>
          <w:sz w:val="28"/>
          <w:szCs w:val="28"/>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 xml:space="preserve">) </w:t>
      </w:r>
      <w:r w:rsidRPr="00B54760">
        <w:rPr>
          <w:rFonts w:cs="DanaFajr" w:hint="cs"/>
          <w:sz w:val="28"/>
          <w:szCs w:val="28"/>
          <w:rtl/>
          <w:lang w:bidi="ar-AE"/>
        </w:rPr>
        <w:t xml:space="preserve">كتاب تحرير المجلّة: 114. </w:t>
      </w:r>
    </w:p>
  </w:endnote>
  <w:endnote w:id="599">
    <w:p w:rsidR="00F41F33" w:rsidRPr="00B54760" w:rsidRDefault="00F41F33" w:rsidP="000F7B48">
      <w:pPr>
        <w:pStyle w:val="aa"/>
        <w:spacing w:line="300" w:lineRule="exact"/>
        <w:ind w:firstLine="0"/>
        <w:rPr>
          <w:rFonts w:cs="DanaFajr"/>
          <w:sz w:val="28"/>
          <w:szCs w:val="28"/>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lang w:bidi="ar-AE"/>
        </w:rPr>
        <w:t xml:space="preserve"> المصدر السابق: 121. </w:t>
      </w:r>
    </w:p>
  </w:endnote>
  <w:endnote w:id="600">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rPr>
        <w:t xml:space="preserve"> </w:t>
      </w:r>
      <w:r w:rsidRPr="00B54760">
        <w:rPr>
          <w:rFonts w:cs="DanaFajr" w:hint="cs"/>
          <w:sz w:val="28"/>
          <w:szCs w:val="28"/>
          <w:rtl/>
          <w:lang w:bidi="ar-AE"/>
        </w:rPr>
        <w:t xml:space="preserve">المصدر السابق: 293. </w:t>
      </w:r>
    </w:p>
  </w:endnote>
  <w:endnote w:id="601">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lang w:bidi="ar-AE"/>
        </w:rPr>
        <w:t xml:space="preserve"> المصدر السابق: 121. </w:t>
      </w:r>
    </w:p>
  </w:endnote>
  <w:endnote w:id="602">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lang w:bidi="ar-AE"/>
        </w:rPr>
        <w:t xml:space="preserve"> المصدر السابق: 296. </w:t>
      </w:r>
    </w:p>
  </w:endnote>
  <w:endnote w:id="603">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 xml:space="preserve">) </w:t>
      </w:r>
      <w:r w:rsidRPr="00B54760">
        <w:rPr>
          <w:rFonts w:cs="DanaFajr" w:hint="cs"/>
          <w:sz w:val="28"/>
          <w:szCs w:val="28"/>
          <w:rtl/>
          <w:lang w:bidi="ar-AE"/>
        </w:rPr>
        <w:t xml:space="preserve">انظر: الكليني، الكافي 1: 58. </w:t>
      </w:r>
    </w:p>
  </w:endnote>
  <w:endnote w:id="604">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rPr>
        <w:t xml:space="preserve"> </w:t>
      </w:r>
      <w:r w:rsidRPr="00B54760">
        <w:rPr>
          <w:rFonts w:cs="DanaFajr" w:hint="cs"/>
          <w:sz w:val="28"/>
          <w:szCs w:val="28"/>
          <w:rtl/>
          <w:lang w:bidi="ar-AE"/>
        </w:rPr>
        <w:t xml:space="preserve">كتاب تحرير المجلّة: 150. </w:t>
      </w:r>
    </w:p>
  </w:endnote>
  <w:endnote w:id="605">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lang w:bidi="ar-AE"/>
        </w:rPr>
        <w:t xml:space="preserve"> وسائل الشيعة 18: 211، ح17، 18. </w:t>
      </w:r>
    </w:p>
  </w:endnote>
  <w:endnote w:id="606">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 xml:space="preserve">) </w:t>
      </w:r>
      <w:r w:rsidRPr="00B54760">
        <w:rPr>
          <w:rFonts w:cs="DanaFajr" w:hint="cs"/>
          <w:sz w:val="28"/>
          <w:szCs w:val="28"/>
          <w:rtl/>
          <w:lang w:bidi="ar-AE"/>
        </w:rPr>
        <w:t xml:space="preserve">المصدر السابق: 276، ح2. </w:t>
      </w:r>
    </w:p>
  </w:endnote>
  <w:endnote w:id="607">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 xml:space="preserve">) </w:t>
      </w:r>
      <w:r w:rsidRPr="00B54760">
        <w:rPr>
          <w:rFonts w:cs="DanaFajr" w:hint="cs"/>
          <w:sz w:val="28"/>
          <w:szCs w:val="28"/>
          <w:rtl/>
          <w:lang w:bidi="ar-AE"/>
        </w:rPr>
        <w:t xml:space="preserve">المصدر السابق 17: 357، ح12؛ البيهقي، السنن الكبرى 5: 267. </w:t>
      </w:r>
    </w:p>
  </w:endnote>
  <w:endnote w:id="608">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lang w:bidi="ar-AE"/>
        </w:rPr>
        <w:t xml:space="preserve">وسائل الشيعة 17: 118، ح5. </w:t>
      </w:r>
    </w:p>
  </w:endnote>
  <w:endnote w:id="609">
    <w:p w:rsidR="00F41F33" w:rsidRPr="00B54760" w:rsidRDefault="00F41F33" w:rsidP="000F7B48">
      <w:pPr>
        <w:pStyle w:val="aa"/>
        <w:spacing w:line="300" w:lineRule="exact"/>
        <w:ind w:firstLine="0"/>
        <w:rPr>
          <w:rFonts w:cs="DanaFajr"/>
          <w:sz w:val="28"/>
          <w:szCs w:val="28"/>
          <w:rtl/>
          <w:lang w:bidi="ar-AE"/>
        </w:rPr>
      </w:pPr>
      <w:r w:rsidRPr="00B54760">
        <w:rPr>
          <w:rFonts w:cs="DanaFajr"/>
          <w:sz w:val="28"/>
          <w:szCs w:val="28"/>
          <w:rtl/>
        </w:rPr>
        <w:t>(</w:t>
      </w:r>
      <w:r w:rsidRPr="00B54760">
        <w:rPr>
          <w:rStyle w:val="ac"/>
          <w:rFonts w:cs="DanaFajr"/>
          <w:sz w:val="28"/>
          <w:szCs w:val="28"/>
          <w:vertAlign w:val="baseline"/>
        </w:rPr>
        <w:endnoteRef/>
      </w:r>
      <w:r w:rsidRPr="00B54760">
        <w:rPr>
          <w:rFonts w:cs="DanaFajr"/>
          <w:sz w:val="28"/>
          <w:szCs w:val="28"/>
          <w:rtl/>
        </w:rPr>
        <w:t>)</w:t>
      </w:r>
      <w:r w:rsidRPr="00B54760">
        <w:rPr>
          <w:rFonts w:cs="DanaFajr" w:hint="cs"/>
          <w:sz w:val="28"/>
          <w:szCs w:val="28"/>
          <w:rtl/>
          <w:lang w:bidi="ar-AE"/>
        </w:rPr>
        <w:t xml:space="preserve"> كتاب تحرير المجلّة: 313. </w:t>
      </w:r>
    </w:p>
  </w:endnote>
  <w:endnote w:id="610">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sz w:val="28"/>
          <w:szCs w:val="28"/>
          <w:rtl/>
        </w:rPr>
        <w:t>النجفي</w:t>
      </w:r>
      <w:r w:rsidRPr="00783611">
        <w:rPr>
          <w:rFonts w:ascii="Arial" w:hAnsi="Arial" w:cs="DanaFajr" w:hint="cs"/>
          <w:sz w:val="28"/>
          <w:szCs w:val="28"/>
          <w:rtl/>
        </w:rPr>
        <w:t>، جواهر الكلام</w:t>
      </w:r>
      <w:r w:rsidRPr="00783611">
        <w:rPr>
          <w:rFonts w:ascii="Arial" w:hAnsi="Arial" w:cs="DanaFajr"/>
          <w:sz w:val="28"/>
          <w:szCs w:val="28"/>
          <w:rtl/>
        </w:rPr>
        <w:t xml:space="preserve"> 21: 338 ـ 337</w:t>
      </w:r>
      <w:r w:rsidRPr="00783611">
        <w:rPr>
          <w:rFonts w:cs="DanaFajr" w:hint="cs"/>
          <w:sz w:val="28"/>
          <w:szCs w:val="28"/>
          <w:rtl/>
        </w:rPr>
        <w:t xml:space="preserve">. </w:t>
      </w:r>
    </w:p>
  </w:endnote>
  <w:endnote w:id="611">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الجوهري، الصحاح 6: 2281؛ ابن منظور، لسان العرب 1: 457 ـ 455. </w:t>
      </w:r>
    </w:p>
  </w:endnote>
  <w:endnote w:id="612">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القرشي، </w:t>
      </w:r>
      <w:r w:rsidRPr="00783611">
        <w:rPr>
          <w:rFonts w:cs="DanaFajr" w:hint="cs"/>
          <w:sz w:val="28"/>
          <w:szCs w:val="28"/>
          <w:rtl/>
          <w:lang w:bidi="fa-IR"/>
        </w:rPr>
        <w:t>قاموس القرآن</w:t>
      </w:r>
      <w:r w:rsidRPr="00783611">
        <w:rPr>
          <w:rFonts w:cs="DanaFajr" w:hint="cs"/>
          <w:sz w:val="28"/>
          <w:szCs w:val="28"/>
          <w:rtl/>
        </w:rPr>
        <w:t xml:space="preserve">: 207. </w:t>
      </w:r>
    </w:p>
  </w:endnote>
  <w:endnote w:id="613">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الراغب، </w:t>
      </w:r>
      <w:r w:rsidRPr="00783611">
        <w:rPr>
          <w:rFonts w:cs="DanaFajr" w:hint="cs"/>
          <w:sz w:val="28"/>
          <w:szCs w:val="28"/>
          <w:rtl/>
          <w:lang w:bidi="fa-IR"/>
        </w:rPr>
        <w:t>مفردات ألفاظ القرآن</w:t>
      </w:r>
      <w:r w:rsidRPr="00783611">
        <w:rPr>
          <w:rFonts w:cs="DanaFajr" w:hint="cs"/>
          <w:sz w:val="28"/>
          <w:szCs w:val="28"/>
          <w:rtl/>
        </w:rPr>
        <w:t xml:space="preserve">: 136. </w:t>
      </w:r>
    </w:p>
  </w:endnote>
  <w:endnote w:id="614">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hint="cs"/>
          <w:sz w:val="28"/>
          <w:szCs w:val="28"/>
          <w:rtl/>
        </w:rPr>
        <w:t xml:space="preserve">الشهيد الأول، </w:t>
      </w:r>
      <w:r w:rsidRPr="00783611">
        <w:rPr>
          <w:rFonts w:ascii="Arial" w:hAnsi="Arial" w:cs="DanaFajr" w:hint="cs"/>
          <w:sz w:val="28"/>
          <w:szCs w:val="28"/>
          <w:rtl/>
          <w:lang w:bidi="fa-IR"/>
        </w:rPr>
        <w:t>اللمعة الدمشقية في الفقه الإمامية</w:t>
      </w:r>
      <w:r w:rsidRPr="00783611">
        <w:rPr>
          <w:rFonts w:ascii="Arial" w:hAnsi="Arial" w:cs="DanaFajr" w:hint="cs"/>
          <w:sz w:val="28"/>
          <w:szCs w:val="28"/>
          <w:rtl/>
        </w:rPr>
        <w:t xml:space="preserve">: 83؛ الطباطبائي الحائري، رياض المسائل: 480، الشهيد الثاني، </w:t>
      </w:r>
      <w:r w:rsidRPr="00783611">
        <w:rPr>
          <w:rFonts w:ascii="Arial" w:hAnsi="Arial" w:cs="DanaFajr" w:hint="cs"/>
          <w:sz w:val="28"/>
          <w:szCs w:val="28"/>
          <w:rtl/>
          <w:lang w:bidi="fa-IR"/>
        </w:rPr>
        <w:t>الروضة البهية</w:t>
      </w:r>
      <w:r w:rsidRPr="00783611">
        <w:rPr>
          <w:rFonts w:ascii="Arial" w:hAnsi="Arial" w:cs="DanaFajr" w:hint="cs"/>
          <w:sz w:val="28"/>
          <w:szCs w:val="28"/>
          <w:rtl/>
        </w:rPr>
        <w:t xml:space="preserve"> 3: 91</w:t>
      </w:r>
      <w:r w:rsidRPr="00783611">
        <w:rPr>
          <w:rFonts w:cs="DanaFajr" w:hint="cs"/>
          <w:sz w:val="28"/>
          <w:szCs w:val="28"/>
          <w:rtl/>
        </w:rPr>
        <w:t xml:space="preserve">. </w:t>
      </w:r>
    </w:p>
  </w:endnote>
  <w:endnote w:id="615">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hint="cs"/>
          <w:sz w:val="28"/>
          <w:szCs w:val="28"/>
          <w:rtl/>
        </w:rPr>
        <w:t xml:space="preserve">جواهر الكلام 21: 322؛ الطوسي، الخلاف 5: 335؛ الحلّي، </w:t>
      </w:r>
      <w:r w:rsidRPr="00783611">
        <w:rPr>
          <w:rFonts w:ascii="Arial" w:hAnsi="Arial" w:cs="DanaFajr" w:hint="cs"/>
          <w:sz w:val="28"/>
          <w:szCs w:val="28"/>
          <w:rtl/>
          <w:lang w:bidi="fa-IR"/>
        </w:rPr>
        <w:t>منتهى المطلب</w:t>
      </w:r>
      <w:r w:rsidRPr="00783611">
        <w:rPr>
          <w:rFonts w:ascii="Arial" w:hAnsi="Arial" w:cs="DanaFajr" w:hint="cs"/>
          <w:sz w:val="28"/>
          <w:szCs w:val="28"/>
          <w:rtl/>
        </w:rPr>
        <w:t xml:space="preserve"> 9: 319</w:t>
      </w:r>
      <w:r w:rsidRPr="00783611">
        <w:rPr>
          <w:rFonts w:cs="DanaFajr" w:hint="cs"/>
          <w:sz w:val="28"/>
          <w:szCs w:val="28"/>
          <w:rtl/>
        </w:rPr>
        <w:t xml:space="preserve">. </w:t>
      </w:r>
    </w:p>
  </w:endnote>
  <w:endnote w:id="616">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Style w:val="ac"/>
          <w:rFonts w:ascii="Arial" w:hAnsi="Arial" w:cs="DanaFajr" w:hint="cs"/>
          <w:szCs w:val="28"/>
          <w:vertAlign w:val="baseline"/>
          <w:rtl/>
        </w:rPr>
        <w:t>الطوسي</w:t>
      </w:r>
      <w:r w:rsidRPr="00783611">
        <w:rPr>
          <w:rFonts w:ascii="Arial" w:hAnsi="Arial" w:cs="DanaFajr" w:hint="cs"/>
          <w:szCs w:val="28"/>
          <w:rtl/>
        </w:rPr>
        <w:t>،</w:t>
      </w:r>
      <w:r w:rsidRPr="00783611">
        <w:rPr>
          <w:rStyle w:val="ac"/>
          <w:rFonts w:ascii="Arial" w:hAnsi="Arial" w:cs="DanaFajr" w:hint="cs"/>
          <w:szCs w:val="28"/>
          <w:vertAlign w:val="baseline"/>
          <w:rtl/>
        </w:rPr>
        <w:t xml:space="preserve"> </w:t>
      </w:r>
      <w:r w:rsidRPr="00783611">
        <w:rPr>
          <w:rFonts w:ascii="Arial" w:hAnsi="Arial" w:cs="DanaFajr" w:hint="cs"/>
          <w:szCs w:val="28"/>
          <w:rtl/>
          <w:lang w:bidi="fa-IR"/>
        </w:rPr>
        <w:t>المبسوط في فقه الإمامية</w:t>
      </w:r>
      <w:r w:rsidRPr="00783611">
        <w:rPr>
          <w:rFonts w:ascii="Arial" w:hAnsi="Arial" w:cs="DanaFajr" w:hint="cs"/>
          <w:szCs w:val="28"/>
          <w:rtl/>
        </w:rPr>
        <w:t xml:space="preserve">: </w:t>
      </w:r>
      <w:r w:rsidRPr="00783611">
        <w:rPr>
          <w:rStyle w:val="ac"/>
          <w:rFonts w:ascii="Arial" w:hAnsi="Arial" w:cs="DanaFajr" w:hint="cs"/>
          <w:szCs w:val="28"/>
          <w:vertAlign w:val="baseline"/>
          <w:rtl/>
        </w:rPr>
        <w:t>343</w:t>
      </w:r>
      <w:r w:rsidRPr="00783611">
        <w:rPr>
          <w:rFonts w:cs="DanaFajr" w:hint="cs"/>
          <w:sz w:val="28"/>
          <w:szCs w:val="28"/>
          <w:rtl/>
        </w:rPr>
        <w:t xml:space="preserve">. </w:t>
      </w:r>
    </w:p>
  </w:endnote>
  <w:endnote w:id="617">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hint="cs"/>
          <w:sz w:val="28"/>
          <w:szCs w:val="28"/>
          <w:rtl/>
        </w:rPr>
        <w:t xml:space="preserve">محمد عبد الحيّ، </w:t>
      </w:r>
      <w:r w:rsidRPr="00783611">
        <w:rPr>
          <w:rFonts w:ascii="Arial" w:hAnsi="Arial" w:cs="DanaFajr" w:hint="cs"/>
          <w:sz w:val="28"/>
          <w:szCs w:val="28"/>
          <w:rtl/>
          <w:lang w:bidi="fa-IR"/>
        </w:rPr>
        <w:t>الهداية في شرح البداية</w:t>
      </w:r>
      <w:r w:rsidRPr="00783611">
        <w:rPr>
          <w:rFonts w:ascii="Arial" w:hAnsi="Arial" w:cs="DanaFajr" w:hint="cs"/>
          <w:sz w:val="28"/>
          <w:szCs w:val="28"/>
          <w:rtl/>
        </w:rPr>
        <w:t xml:space="preserve"> 2: 585</w:t>
      </w:r>
      <w:r w:rsidRPr="00783611">
        <w:rPr>
          <w:rFonts w:cs="DanaFajr" w:hint="cs"/>
          <w:sz w:val="28"/>
          <w:szCs w:val="28"/>
          <w:rtl/>
        </w:rPr>
        <w:t>.</w:t>
      </w:r>
    </w:p>
  </w:endnote>
  <w:endnote w:id="618">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hint="cs"/>
          <w:sz w:val="28"/>
          <w:szCs w:val="28"/>
          <w:rtl/>
        </w:rPr>
        <w:t>الحلّ</w:t>
      </w:r>
      <w:r w:rsidRPr="00783611">
        <w:rPr>
          <w:rFonts w:ascii="Times New Roman" w:hAnsi="Times New Roman" w:cs="DanaFajr" w:hint="cs"/>
          <w:sz w:val="28"/>
          <w:szCs w:val="28"/>
          <w:rtl/>
        </w:rPr>
        <w:t>ي</w:t>
      </w:r>
      <w:r w:rsidRPr="00783611">
        <w:rPr>
          <w:rFonts w:ascii="Arial" w:hAnsi="Arial" w:cs="DanaFajr" w:hint="cs"/>
          <w:sz w:val="28"/>
          <w:szCs w:val="28"/>
          <w:rtl/>
        </w:rPr>
        <w:t>، منتهى المطلب 9: 398 ـ 393</w:t>
      </w:r>
      <w:r w:rsidRPr="00783611">
        <w:rPr>
          <w:rFonts w:cs="DanaFajr" w:hint="cs"/>
          <w:sz w:val="28"/>
          <w:szCs w:val="28"/>
          <w:rtl/>
        </w:rPr>
        <w:t xml:space="preserve">. </w:t>
      </w:r>
    </w:p>
  </w:endnote>
  <w:endnote w:id="619">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hint="cs"/>
          <w:szCs w:val="28"/>
          <w:rtl/>
        </w:rPr>
        <w:t xml:space="preserve">عبد القادر عودة، </w:t>
      </w:r>
      <w:r w:rsidRPr="00783611">
        <w:rPr>
          <w:rStyle w:val="ac"/>
          <w:rFonts w:ascii="Arial" w:hAnsi="Arial" w:cs="DanaFajr" w:hint="cs"/>
          <w:szCs w:val="28"/>
          <w:vertAlign w:val="baseline"/>
          <w:rtl/>
        </w:rPr>
        <w:t>التشر</w:t>
      </w:r>
      <w:r w:rsidRPr="00783611">
        <w:rPr>
          <w:rStyle w:val="ac"/>
          <w:rFonts w:ascii="Times New Roman" w:hAnsi="Times New Roman" w:cs="DanaFajr" w:hint="cs"/>
          <w:szCs w:val="28"/>
          <w:vertAlign w:val="baseline"/>
          <w:rtl/>
        </w:rPr>
        <w:t>ي</w:t>
      </w:r>
      <w:r w:rsidRPr="00783611">
        <w:rPr>
          <w:rStyle w:val="ac"/>
          <w:rFonts w:ascii="Arial" w:hAnsi="Arial" w:cs="DanaFajr" w:hint="cs"/>
          <w:szCs w:val="28"/>
          <w:vertAlign w:val="baseline"/>
          <w:rtl/>
        </w:rPr>
        <w:t>ع الجنائ</w:t>
      </w:r>
      <w:r w:rsidRPr="00783611">
        <w:rPr>
          <w:rStyle w:val="ac"/>
          <w:rFonts w:ascii="Times New Roman" w:hAnsi="Times New Roman" w:cs="DanaFajr" w:hint="cs"/>
          <w:szCs w:val="28"/>
          <w:vertAlign w:val="baseline"/>
          <w:rtl/>
        </w:rPr>
        <w:t>ي</w:t>
      </w:r>
      <w:r w:rsidRPr="00783611">
        <w:rPr>
          <w:rStyle w:val="ac"/>
          <w:rFonts w:ascii="Arial" w:hAnsi="Arial" w:cs="DanaFajr" w:hint="cs"/>
          <w:szCs w:val="28"/>
          <w:vertAlign w:val="baseline"/>
          <w:rtl/>
        </w:rPr>
        <w:t xml:space="preserve"> الإسلام</w:t>
      </w:r>
      <w:r w:rsidRPr="00783611">
        <w:rPr>
          <w:rStyle w:val="ac"/>
          <w:rFonts w:ascii="Times New Roman" w:hAnsi="Times New Roman" w:cs="DanaFajr" w:hint="cs"/>
          <w:szCs w:val="28"/>
          <w:vertAlign w:val="baseline"/>
          <w:rtl/>
        </w:rPr>
        <w:t>ي</w:t>
      </w:r>
      <w:r w:rsidRPr="00783611">
        <w:rPr>
          <w:rStyle w:val="ac"/>
          <w:rFonts w:ascii="Arial" w:hAnsi="Arial" w:cs="DanaFajr" w:hint="cs"/>
          <w:szCs w:val="28"/>
          <w:vertAlign w:val="baseline"/>
          <w:rtl/>
        </w:rPr>
        <w:t xml:space="preserve"> </w:t>
      </w:r>
      <w:r w:rsidRPr="00783611">
        <w:rPr>
          <w:rFonts w:ascii="Arial" w:hAnsi="Arial" w:cs="DanaFajr" w:hint="cs"/>
          <w:sz w:val="28"/>
          <w:szCs w:val="28"/>
          <w:rtl/>
          <w:lang w:bidi="fa-IR"/>
        </w:rPr>
        <w:t xml:space="preserve">2: </w:t>
      </w:r>
      <w:r w:rsidRPr="00783611">
        <w:rPr>
          <w:rFonts w:cs="DanaFajr" w:hint="cs"/>
          <w:sz w:val="28"/>
          <w:szCs w:val="28"/>
          <w:rtl/>
        </w:rPr>
        <w:t>6</w:t>
      </w:r>
      <w:r w:rsidRPr="00783611">
        <w:rPr>
          <w:rFonts w:ascii="Arial" w:hAnsi="Arial" w:cs="DanaFajr" w:hint="cs"/>
          <w:sz w:val="28"/>
          <w:szCs w:val="28"/>
          <w:rtl/>
          <w:lang w:bidi="fa-IR"/>
        </w:rPr>
        <w:t xml:space="preserve">73 ـ </w:t>
      </w:r>
      <w:r w:rsidRPr="00783611">
        <w:rPr>
          <w:rFonts w:cs="DanaFajr" w:hint="cs"/>
          <w:sz w:val="28"/>
          <w:szCs w:val="28"/>
          <w:rtl/>
        </w:rPr>
        <w:t>6</w:t>
      </w:r>
      <w:r w:rsidRPr="00783611">
        <w:rPr>
          <w:rFonts w:ascii="Arial" w:hAnsi="Arial" w:cs="DanaFajr" w:hint="cs"/>
          <w:sz w:val="28"/>
          <w:szCs w:val="28"/>
          <w:rtl/>
          <w:lang w:bidi="fa-IR"/>
        </w:rPr>
        <w:t>7</w:t>
      </w:r>
      <w:r w:rsidRPr="00783611">
        <w:rPr>
          <w:rFonts w:cs="DanaFajr" w:hint="cs"/>
          <w:sz w:val="28"/>
          <w:szCs w:val="28"/>
          <w:rtl/>
        </w:rPr>
        <w:t>4</w:t>
      </w:r>
      <w:r w:rsidRPr="00783611">
        <w:rPr>
          <w:rFonts w:cs="DanaFajr" w:hint="cs"/>
          <w:sz w:val="28"/>
          <w:szCs w:val="28"/>
          <w:rtl/>
          <w:lang w:bidi="fa-IR"/>
        </w:rPr>
        <w:t xml:space="preserve">. </w:t>
      </w:r>
    </w:p>
  </w:endnote>
  <w:endnote w:id="620">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hint="cs"/>
          <w:sz w:val="28"/>
          <w:szCs w:val="28"/>
          <w:rtl/>
          <w:lang w:bidi="fa-IR"/>
        </w:rPr>
        <w:t xml:space="preserve">عبد الحسين </w:t>
      </w:r>
      <w:r w:rsidRPr="00783611">
        <w:rPr>
          <w:rFonts w:ascii="Arial" w:hAnsi="Arial" w:cs="DanaFajr"/>
          <w:sz w:val="28"/>
          <w:szCs w:val="28"/>
          <w:rtl/>
          <w:lang w:bidi="fa-IR"/>
        </w:rPr>
        <w:t>الط</w:t>
      </w:r>
      <w:r w:rsidRPr="00783611">
        <w:rPr>
          <w:rFonts w:ascii="Times New Roman" w:hAnsi="Times New Roman" w:cs="DanaFajr" w:hint="cs"/>
          <w:sz w:val="28"/>
          <w:szCs w:val="28"/>
          <w:rtl/>
          <w:lang w:bidi="fa-IR"/>
        </w:rPr>
        <w:t>ي</w:t>
      </w:r>
      <w:r w:rsidRPr="00783611">
        <w:rPr>
          <w:rFonts w:ascii="Arial" w:hAnsi="Arial" w:cs="DanaFajr" w:hint="cs"/>
          <w:sz w:val="28"/>
          <w:szCs w:val="28"/>
          <w:rtl/>
          <w:lang w:bidi="fa-IR"/>
        </w:rPr>
        <w:t>ب،</w:t>
      </w:r>
      <w:r w:rsidRPr="00783611">
        <w:rPr>
          <w:rFonts w:ascii="Times New Roman" w:hAnsi="Times New Roman" w:cs="DanaFajr" w:hint="cs"/>
          <w:sz w:val="27"/>
          <w:szCs w:val="27"/>
          <w:rtl/>
          <w:lang w:bidi="fa-IR"/>
        </w:rPr>
        <w:t xml:space="preserve"> </w:t>
      </w:r>
      <w:r w:rsidRPr="00783611">
        <w:rPr>
          <w:rFonts w:ascii="Arial" w:hAnsi="Arial" w:cs="DanaFajr" w:hint="cs"/>
          <w:sz w:val="28"/>
          <w:szCs w:val="28"/>
          <w:rtl/>
          <w:lang w:bidi="fa-IR"/>
        </w:rPr>
        <w:t xml:space="preserve">طيب البيان في تفسير القرآن </w:t>
      </w:r>
      <w:r w:rsidRPr="00783611">
        <w:rPr>
          <w:rFonts w:ascii="Arial" w:hAnsi="Arial" w:cs="DanaFajr"/>
          <w:sz w:val="28"/>
          <w:szCs w:val="28"/>
          <w:rtl/>
          <w:lang w:bidi="fa-IR"/>
        </w:rPr>
        <w:t>12: 227</w:t>
      </w:r>
      <w:r w:rsidRPr="00783611">
        <w:rPr>
          <w:rFonts w:cs="DanaFajr" w:hint="cs"/>
          <w:sz w:val="28"/>
          <w:szCs w:val="28"/>
          <w:rtl/>
        </w:rPr>
        <w:t xml:space="preserve">. </w:t>
      </w:r>
    </w:p>
  </w:endnote>
  <w:endnote w:id="621">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sz w:val="28"/>
          <w:szCs w:val="28"/>
          <w:rtl/>
          <w:lang w:bidi="fa-IR"/>
        </w:rPr>
        <w:t>تفس</w:t>
      </w:r>
      <w:r w:rsidRPr="00783611">
        <w:rPr>
          <w:rFonts w:ascii="Times New Roman" w:hAnsi="Times New Roman" w:cs="DanaFajr" w:hint="cs"/>
          <w:sz w:val="28"/>
          <w:szCs w:val="28"/>
          <w:rtl/>
          <w:lang w:bidi="fa-IR"/>
        </w:rPr>
        <w:t>ي</w:t>
      </w:r>
      <w:r w:rsidRPr="00783611">
        <w:rPr>
          <w:rFonts w:ascii="Arial" w:hAnsi="Arial" w:cs="DanaFajr" w:hint="cs"/>
          <w:sz w:val="28"/>
          <w:szCs w:val="28"/>
          <w:rtl/>
          <w:lang w:bidi="fa-IR"/>
        </w:rPr>
        <w:t>ر</w:t>
      </w:r>
      <w:r w:rsidRPr="00783611">
        <w:rPr>
          <w:rFonts w:ascii="Arial" w:hAnsi="Arial" w:cs="DanaFajr"/>
          <w:sz w:val="28"/>
          <w:szCs w:val="28"/>
          <w:rtl/>
          <w:lang w:bidi="fa-IR"/>
        </w:rPr>
        <w:t xml:space="preserve"> </w:t>
      </w:r>
      <w:r w:rsidRPr="00783611">
        <w:rPr>
          <w:rFonts w:ascii="Arial" w:hAnsi="Arial" w:cs="DanaFajr" w:hint="cs"/>
          <w:sz w:val="28"/>
          <w:szCs w:val="28"/>
          <w:rtl/>
          <w:lang w:bidi="fa-IR"/>
        </w:rPr>
        <w:t>القم</w:t>
      </w:r>
      <w:r w:rsidRPr="00783611">
        <w:rPr>
          <w:rFonts w:ascii="Times New Roman" w:hAnsi="Times New Roman" w:cs="DanaFajr" w:hint="cs"/>
          <w:sz w:val="28"/>
          <w:szCs w:val="28"/>
          <w:rtl/>
          <w:lang w:bidi="fa-IR"/>
        </w:rPr>
        <w:t>ّي</w:t>
      </w:r>
      <w:r w:rsidRPr="00783611">
        <w:rPr>
          <w:rFonts w:ascii="Arial" w:hAnsi="Arial" w:cs="DanaFajr"/>
          <w:sz w:val="28"/>
          <w:szCs w:val="28"/>
          <w:rtl/>
          <w:lang w:bidi="fa-IR"/>
        </w:rPr>
        <w:t xml:space="preserve"> 2: 330</w:t>
      </w:r>
      <w:r w:rsidRPr="00783611">
        <w:rPr>
          <w:rFonts w:cs="DanaFajr" w:hint="cs"/>
          <w:sz w:val="28"/>
          <w:szCs w:val="28"/>
          <w:rtl/>
        </w:rPr>
        <w:t xml:space="preserve">. </w:t>
      </w:r>
    </w:p>
  </w:endnote>
  <w:endnote w:id="622">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sz w:val="28"/>
          <w:szCs w:val="28"/>
          <w:rtl/>
          <w:lang w:bidi="fa-IR"/>
        </w:rPr>
        <w:t>الحرّ العامل</w:t>
      </w:r>
      <w:r w:rsidRPr="00783611">
        <w:rPr>
          <w:rFonts w:ascii="Times New Roman" w:hAnsi="Times New Roman" w:cs="DanaFajr" w:hint="cs"/>
          <w:sz w:val="28"/>
          <w:szCs w:val="28"/>
          <w:rtl/>
          <w:lang w:bidi="fa-IR"/>
        </w:rPr>
        <w:t>ي، وسائل الشيعة</w:t>
      </w:r>
      <w:r w:rsidRPr="00783611">
        <w:rPr>
          <w:rFonts w:ascii="Arial" w:hAnsi="Arial" w:cs="DanaFajr" w:hint="cs"/>
          <w:sz w:val="28"/>
          <w:szCs w:val="28"/>
          <w:rtl/>
          <w:lang w:bidi="fa-IR"/>
        </w:rPr>
        <w:t xml:space="preserve"> </w:t>
      </w:r>
      <w:r w:rsidRPr="00783611">
        <w:rPr>
          <w:rFonts w:ascii="Arial" w:hAnsi="Arial" w:cs="DanaFajr"/>
          <w:sz w:val="28"/>
          <w:szCs w:val="28"/>
          <w:rtl/>
          <w:lang w:bidi="fa-IR"/>
        </w:rPr>
        <w:t>1</w:t>
      </w:r>
      <w:r w:rsidRPr="00783611">
        <w:rPr>
          <w:rFonts w:ascii="Arial" w:hAnsi="Arial" w:cs="DanaFajr" w:hint="cs"/>
          <w:sz w:val="28"/>
          <w:szCs w:val="28"/>
          <w:rtl/>
        </w:rPr>
        <w:t>5</w:t>
      </w:r>
      <w:r w:rsidRPr="00783611">
        <w:rPr>
          <w:rFonts w:ascii="Arial" w:hAnsi="Arial" w:cs="DanaFajr"/>
          <w:sz w:val="28"/>
          <w:szCs w:val="28"/>
          <w:rtl/>
          <w:lang w:bidi="fa-IR"/>
        </w:rPr>
        <w:t>: 2</w:t>
      </w:r>
      <w:r w:rsidRPr="00783611">
        <w:rPr>
          <w:rFonts w:cs="DanaFajr" w:hint="cs"/>
          <w:sz w:val="28"/>
          <w:szCs w:val="28"/>
          <w:rtl/>
        </w:rPr>
        <w:t>6</w:t>
      </w:r>
      <w:r w:rsidRPr="00783611">
        <w:rPr>
          <w:rFonts w:ascii="Arial" w:hAnsi="Arial" w:cs="DanaFajr"/>
          <w:sz w:val="28"/>
          <w:szCs w:val="28"/>
          <w:rtl/>
          <w:lang w:bidi="fa-IR"/>
        </w:rPr>
        <w:t xml:space="preserve"> ـ 27</w:t>
      </w:r>
      <w:r w:rsidRPr="00783611">
        <w:rPr>
          <w:rFonts w:cs="DanaFajr" w:hint="cs"/>
          <w:sz w:val="28"/>
          <w:szCs w:val="28"/>
          <w:rtl/>
          <w:lang w:bidi="fa-IR"/>
        </w:rPr>
        <w:t xml:space="preserve">. </w:t>
      </w:r>
    </w:p>
  </w:endnote>
  <w:endnote w:id="623">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Arial" w:hAnsi="Arial" w:cs="DanaFajr"/>
          <w:sz w:val="28"/>
          <w:szCs w:val="28"/>
          <w:rtl/>
          <w:lang w:bidi="fa-IR"/>
        </w:rPr>
        <w:t>الطبر</w:t>
      </w:r>
      <w:r w:rsidRPr="00783611">
        <w:rPr>
          <w:rFonts w:ascii="Times New Roman" w:hAnsi="Times New Roman" w:cs="DanaFajr" w:hint="cs"/>
          <w:sz w:val="28"/>
          <w:szCs w:val="28"/>
          <w:rtl/>
          <w:lang w:bidi="fa-IR"/>
        </w:rPr>
        <w:t>ي،</w:t>
      </w:r>
      <w:r w:rsidRPr="00783611">
        <w:rPr>
          <w:rFonts w:ascii="Arial" w:hAnsi="Arial" w:cs="DanaFajr"/>
          <w:sz w:val="28"/>
          <w:szCs w:val="28"/>
          <w:rtl/>
          <w:lang w:bidi="fa-IR"/>
        </w:rPr>
        <w:t xml:space="preserve"> </w:t>
      </w:r>
      <w:r w:rsidRPr="00783611">
        <w:rPr>
          <w:rFonts w:ascii="Arial" w:hAnsi="Arial" w:cs="DanaFajr" w:hint="cs"/>
          <w:sz w:val="28"/>
          <w:szCs w:val="28"/>
          <w:rtl/>
          <w:lang w:bidi="fa-IR"/>
        </w:rPr>
        <w:t>أحكام القرآن</w:t>
      </w:r>
      <w:r w:rsidRPr="00783611">
        <w:rPr>
          <w:rFonts w:ascii="Arial" w:hAnsi="Arial" w:cs="DanaFajr" w:hint="cs"/>
          <w:sz w:val="28"/>
          <w:szCs w:val="28"/>
          <w:rtl/>
        </w:rPr>
        <w:t xml:space="preserve"> </w:t>
      </w:r>
      <w:r w:rsidRPr="00783611">
        <w:rPr>
          <w:rStyle w:val="ac"/>
          <w:rFonts w:ascii="Arial" w:hAnsi="Arial" w:cs="DanaFajr" w:hint="cs"/>
          <w:szCs w:val="28"/>
          <w:vertAlign w:val="baseline"/>
          <w:rtl/>
        </w:rPr>
        <w:t>4</w:t>
      </w:r>
      <w:r w:rsidRPr="00783611">
        <w:rPr>
          <w:rFonts w:ascii="Arial" w:hAnsi="Arial" w:cs="DanaFajr"/>
          <w:sz w:val="28"/>
          <w:szCs w:val="28"/>
          <w:rtl/>
          <w:lang w:bidi="fa-IR"/>
        </w:rPr>
        <w:t>: 382</w:t>
      </w:r>
      <w:r w:rsidRPr="00783611">
        <w:rPr>
          <w:rFonts w:ascii="Arial" w:hAnsi="Arial" w:cs="DanaFajr" w:hint="cs"/>
          <w:sz w:val="28"/>
          <w:szCs w:val="28"/>
          <w:rtl/>
          <w:lang w:bidi="fa-IR"/>
        </w:rPr>
        <w:t>؛ الجصّاص،</w:t>
      </w:r>
      <w:r w:rsidRPr="00783611">
        <w:rPr>
          <w:rFonts w:ascii="Times New Roman" w:hAnsi="Times New Roman" w:cs="DanaFajr" w:hint="cs"/>
          <w:sz w:val="27"/>
          <w:szCs w:val="27"/>
          <w:rtl/>
          <w:lang w:bidi="fa-IR"/>
        </w:rPr>
        <w:t xml:space="preserve"> </w:t>
      </w:r>
      <w:r w:rsidRPr="00783611">
        <w:rPr>
          <w:rFonts w:ascii="Arial" w:hAnsi="Arial" w:cs="DanaFajr" w:hint="cs"/>
          <w:sz w:val="28"/>
          <w:szCs w:val="28"/>
          <w:rtl/>
          <w:lang w:bidi="fa-IR"/>
        </w:rPr>
        <w:t xml:space="preserve">أحكام القرآن </w:t>
      </w:r>
      <w:r w:rsidRPr="00783611">
        <w:rPr>
          <w:rFonts w:ascii="Arial" w:hAnsi="Arial" w:cs="DanaFajr" w:hint="cs"/>
          <w:sz w:val="28"/>
          <w:szCs w:val="28"/>
          <w:rtl/>
        </w:rPr>
        <w:t>5</w:t>
      </w:r>
      <w:r w:rsidRPr="00783611">
        <w:rPr>
          <w:rFonts w:ascii="Arial" w:hAnsi="Arial" w:cs="DanaFajr"/>
          <w:sz w:val="28"/>
          <w:szCs w:val="28"/>
          <w:rtl/>
          <w:lang w:bidi="fa-IR"/>
        </w:rPr>
        <w:t>: 280</w:t>
      </w:r>
      <w:r w:rsidRPr="00783611">
        <w:rPr>
          <w:rFonts w:cs="DanaFajr" w:hint="cs"/>
          <w:sz w:val="28"/>
          <w:szCs w:val="28"/>
          <w:rtl/>
          <w:lang w:bidi="fa-IR"/>
        </w:rPr>
        <w:t xml:space="preserve">. </w:t>
      </w:r>
    </w:p>
  </w:endnote>
  <w:endnote w:id="624">
    <w:p w:rsidR="00F41F33" w:rsidRPr="00783611" w:rsidRDefault="00F41F33" w:rsidP="00783611">
      <w:pPr>
        <w:spacing w:line="300" w:lineRule="exact"/>
        <w:ind w:firstLine="0"/>
        <w:rPr>
          <w:rFonts w:ascii="Arial" w:hAnsi="Arial" w:cs="DanaFajr"/>
          <w:szCs w:val="28"/>
          <w:lang w:bidi="fa-IR"/>
        </w:rPr>
      </w:pPr>
      <w:r w:rsidRPr="00FF21B7">
        <w:rPr>
          <w:rFonts w:cs="DanaFajr" w:hint="cs"/>
          <w:szCs w:val="28"/>
          <w:rtl/>
        </w:rPr>
        <w:t>(</w:t>
      </w:r>
      <w:r w:rsidRPr="00FF21B7">
        <w:rPr>
          <w:rStyle w:val="ac"/>
          <w:rFonts w:cs="DanaFajr"/>
          <w:szCs w:val="28"/>
          <w:vertAlign w:val="baseline"/>
        </w:rPr>
        <w:endnoteRef/>
      </w:r>
      <w:r w:rsidRPr="00FF21B7">
        <w:rPr>
          <w:rFonts w:cs="DanaFajr" w:hint="cs"/>
          <w:szCs w:val="28"/>
          <w:rtl/>
        </w:rPr>
        <w:t xml:space="preserve">) </w:t>
      </w:r>
      <w:r w:rsidRPr="00FF21B7">
        <w:rPr>
          <w:rFonts w:ascii="Arial" w:hAnsi="Arial" w:cs="DanaFajr"/>
          <w:szCs w:val="28"/>
          <w:rtl/>
          <w:lang w:bidi="fa-IR"/>
        </w:rPr>
        <w:t>الحس</w:t>
      </w:r>
      <w:r w:rsidRPr="00FF21B7">
        <w:rPr>
          <w:rFonts w:ascii="Times New Roman" w:hAnsi="Times New Roman" w:cs="DanaFajr" w:hint="cs"/>
          <w:szCs w:val="28"/>
          <w:rtl/>
          <w:lang w:bidi="fa-IR"/>
        </w:rPr>
        <w:t>ي</w:t>
      </w:r>
      <w:r w:rsidRPr="00FF21B7">
        <w:rPr>
          <w:rFonts w:ascii="Arial" w:hAnsi="Arial" w:cs="DanaFajr" w:hint="cs"/>
          <w:szCs w:val="28"/>
          <w:rtl/>
          <w:lang w:bidi="fa-IR"/>
        </w:rPr>
        <w:t>ن</w:t>
      </w:r>
      <w:r w:rsidRPr="00FF21B7">
        <w:rPr>
          <w:rFonts w:ascii="Times New Roman" w:hAnsi="Times New Roman" w:cs="DanaFajr" w:hint="cs"/>
          <w:szCs w:val="28"/>
          <w:rtl/>
          <w:lang w:bidi="fa-IR"/>
        </w:rPr>
        <w:t>ي</w:t>
      </w:r>
      <w:r w:rsidRPr="00FF21B7">
        <w:rPr>
          <w:rFonts w:ascii="Arial" w:hAnsi="Arial" w:cs="DanaFajr"/>
          <w:szCs w:val="28"/>
          <w:rtl/>
          <w:lang w:bidi="fa-IR"/>
        </w:rPr>
        <w:t xml:space="preserve"> </w:t>
      </w:r>
      <w:r w:rsidRPr="00FF21B7">
        <w:rPr>
          <w:rFonts w:ascii="Arial" w:hAnsi="Arial" w:cs="DanaFajr" w:hint="cs"/>
          <w:szCs w:val="28"/>
          <w:rtl/>
          <w:lang w:bidi="fa-IR"/>
        </w:rPr>
        <w:t>الروحان</w:t>
      </w:r>
      <w:r w:rsidRPr="00FF21B7">
        <w:rPr>
          <w:rFonts w:ascii="Times New Roman" w:hAnsi="Times New Roman" w:cs="DanaFajr" w:hint="cs"/>
          <w:szCs w:val="28"/>
          <w:rtl/>
          <w:lang w:bidi="fa-IR"/>
        </w:rPr>
        <w:t>ي،</w:t>
      </w:r>
      <w:r w:rsidRPr="00FF21B7">
        <w:rPr>
          <w:rFonts w:ascii="Arial" w:hAnsi="Arial" w:cs="DanaFajr"/>
          <w:szCs w:val="28"/>
          <w:rtl/>
          <w:lang w:bidi="fa-IR"/>
        </w:rPr>
        <w:t xml:space="preserve"> </w:t>
      </w:r>
      <w:r w:rsidRPr="00FF21B7">
        <w:rPr>
          <w:rFonts w:ascii="Arial" w:hAnsi="Arial" w:cs="DanaFajr" w:hint="cs"/>
          <w:szCs w:val="28"/>
          <w:rtl/>
          <w:lang w:bidi="fa-IR"/>
        </w:rPr>
        <w:t>فقه الصادق</w:t>
      </w:r>
      <w:r w:rsidRPr="00FF21B7">
        <w:rPr>
          <w:rFonts w:ascii="Arial" w:hAnsi="Arial" w:cs="Mosawi" w:hint="cs"/>
          <w:sz w:val="20"/>
          <w:szCs w:val="20"/>
          <w:rtl/>
          <w:lang w:bidi="fa-IR"/>
        </w:rPr>
        <w:t>×</w:t>
      </w:r>
      <w:r w:rsidRPr="00FF21B7">
        <w:rPr>
          <w:rFonts w:ascii="Arial" w:hAnsi="Arial" w:cs="DanaFajr" w:hint="cs"/>
          <w:szCs w:val="28"/>
          <w:rtl/>
          <w:lang w:bidi="fa-IR"/>
        </w:rPr>
        <w:t xml:space="preserve"> </w:t>
      </w:r>
      <w:r w:rsidRPr="00783611">
        <w:rPr>
          <w:rFonts w:ascii="Arial" w:hAnsi="Arial" w:cs="DanaFajr"/>
          <w:szCs w:val="28"/>
          <w:rtl/>
          <w:lang w:bidi="fa-IR"/>
        </w:rPr>
        <w:t>13: 109 ـ 110</w:t>
      </w:r>
      <w:r w:rsidRPr="00783611">
        <w:rPr>
          <w:rFonts w:ascii="Arial" w:hAnsi="Arial" w:cs="DanaFajr" w:hint="cs"/>
          <w:szCs w:val="28"/>
          <w:rtl/>
          <w:lang w:bidi="fa-IR"/>
        </w:rPr>
        <w:t>؛ الطوس</w:t>
      </w:r>
      <w:r w:rsidRPr="00783611">
        <w:rPr>
          <w:rFonts w:ascii="Times New Roman" w:hAnsi="Times New Roman" w:cs="DanaFajr" w:hint="cs"/>
          <w:szCs w:val="28"/>
          <w:rtl/>
          <w:lang w:bidi="fa-IR"/>
        </w:rPr>
        <w:t>ي</w:t>
      </w:r>
      <w:r w:rsidRPr="00FF21B7">
        <w:rPr>
          <w:rFonts w:ascii="Times New Roman" w:hAnsi="Times New Roman" w:cs="DanaFajr" w:hint="cs"/>
          <w:szCs w:val="28"/>
          <w:rtl/>
          <w:lang w:bidi="fa-IR"/>
        </w:rPr>
        <w:t>،</w:t>
      </w:r>
      <w:r w:rsidRPr="00FF21B7">
        <w:rPr>
          <w:rFonts w:ascii="Arial" w:hAnsi="Arial" w:cs="DanaFajr"/>
          <w:szCs w:val="28"/>
          <w:rtl/>
          <w:lang w:bidi="fa-IR"/>
        </w:rPr>
        <w:t xml:space="preserve"> </w:t>
      </w:r>
      <w:r w:rsidRPr="00FF21B7">
        <w:rPr>
          <w:rFonts w:ascii="Arial" w:hAnsi="Arial" w:cs="DanaFajr" w:hint="cs"/>
          <w:szCs w:val="28"/>
          <w:rtl/>
          <w:lang w:bidi="fa-IR"/>
        </w:rPr>
        <w:t>المبسوط في فقه الإمامية</w:t>
      </w:r>
      <w:r w:rsidRPr="00FF21B7">
        <w:rPr>
          <w:rFonts w:ascii="Arial" w:hAnsi="Arial" w:cs="DanaFajr"/>
          <w:szCs w:val="28"/>
          <w:rtl/>
          <w:lang w:bidi="fa-IR"/>
        </w:rPr>
        <w:t xml:space="preserve"> </w:t>
      </w:r>
      <w:r w:rsidRPr="00783611">
        <w:rPr>
          <w:rFonts w:ascii="Arial" w:hAnsi="Arial" w:cs="DanaFajr"/>
          <w:szCs w:val="28"/>
          <w:rtl/>
          <w:lang w:bidi="fa-IR"/>
        </w:rPr>
        <w:t>7: 2</w:t>
      </w:r>
      <w:r w:rsidRPr="00783611">
        <w:rPr>
          <w:rFonts w:cs="DanaFajr" w:hint="cs"/>
          <w:szCs w:val="28"/>
          <w:rtl/>
        </w:rPr>
        <w:t>6</w:t>
      </w:r>
      <w:r w:rsidRPr="00783611">
        <w:rPr>
          <w:rFonts w:ascii="Arial" w:hAnsi="Arial" w:cs="DanaFajr"/>
          <w:szCs w:val="28"/>
          <w:rtl/>
          <w:lang w:bidi="fa-IR"/>
        </w:rPr>
        <w:t>2 ـ 2</w:t>
      </w:r>
      <w:r w:rsidRPr="00783611">
        <w:rPr>
          <w:rFonts w:cs="DanaFajr" w:hint="cs"/>
          <w:szCs w:val="28"/>
          <w:rtl/>
        </w:rPr>
        <w:t>6</w:t>
      </w:r>
      <w:r w:rsidRPr="00783611">
        <w:rPr>
          <w:rFonts w:ascii="Arial" w:hAnsi="Arial" w:cs="DanaFajr"/>
          <w:szCs w:val="28"/>
          <w:rtl/>
          <w:lang w:bidi="fa-IR"/>
        </w:rPr>
        <w:t>3</w:t>
      </w:r>
      <w:r w:rsidRPr="00783611">
        <w:rPr>
          <w:rFonts w:ascii="Arial" w:hAnsi="Arial" w:cs="DanaFajr" w:hint="cs"/>
          <w:szCs w:val="28"/>
          <w:rtl/>
          <w:lang w:bidi="fa-IR"/>
        </w:rPr>
        <w:t>؛ محمد عبد</w:t>
      </w:r>
      <w:r w:rsidRPr="00783611">
        <w:rPr>
          <w:rFonts w:ascii="Arial" w:hAnsi="Arial" w:cs="DanaFajr"/>
          <w:szCs w:val="28"/>
          <w:rtl/>
          <w:lang w:bidi="fa-IR"/>
        </w:rPr>
        <w:t xml:space="preserve"> </w:t>
      </w:r>
      <w:r w:rsidRPr="00783611">
        <w:rPr>
          <w:rFonts w:ascii="Arial" w:hAnsi="Arial" w:cs="DanaFajr" w:hint="cs"/>
          <w:szCs w:val="28"/>
          <w:rtl/>
          <w:lang w:bidi="fa-IR"/>
        </w:rPr>
        <w:t>الح</w:t>
      </w:r>
      <w:r w:rsidRPr="00783611">
        <w:rPr>
          <w:rFonts w:ascii="Times New Roman" w:hAnsi="Times New Roman" w:cs="DanaFajr" w:hint="cs"/>
          <w:szCs w:val="28"/>
          <w:rtl/>
          <w:lang w:bidi="fa-IR"/>
        </w:rPr>
        <w:t>ي</w:t>
      </w:r>
      <w:r w:rsidRPr="00783611">
        <w:rPr>
          <w:rFonts w:ascii="Arial" w:hAnsi="Arial" w:cs="DanaFajr" w:hint="cs"/>
          <w:szCs w:val="28"/>
          <w:rtl/>
          <w:lang w:bidi="fa-IR"/>
        </w:rPr>
        <w:t>ّ، الهداية في شرح البداية</w:t>
      </w:r>
      <w:r w:rsidRPr="00783611">
        <w:rPr>
          <w:rFonts w:ascii="Arial" w:hAnsi="Arial" w:cs="DanaFajr"/>
          <w:szCs w:val="28"/>
          <w:rtl/>
          <w:lang w:bidi="fa-IR"/>
        </w:rPr>
        <w:t xml:space="preserve"> 2: </w:t>
      </w:r>
      <w:r w:rsidRPr="00783611">
        <w:rPr>
          <w:rFonts w:ascii="Arial" w:hAnsi="Arial" w:cs="DanaFajr" w:hint="cs"/>
          <w:szCs w:val="28"/>
          <w:rtl/>
        </w:rPr>
        <w:t>5</w:t>
      </w:r>
      <w:r w:rsidRPr="00783611">
        <w:rPr>
          <w:rFonts w:ascii="Arial" w:hAnsi="Arial" w:cs="DanaFajr"/>
          <w:szCs w:val="28"/>
          <w:rtl/>
          <w:lang w:bidi="fa-IR"/>
        </w:rPr>
        <w:t>8</w:t>
      </w:r>
      <w:r w:rsidRPr="00783611">
        <w:rPr>
          <w:rFonts w:ascii="Arial" w:hAnsi="Arial" w:cs="DanaFajr" w:hint="cs"/>
          <w:szCs w:val="28"/>
          <w:rtl/>
        </w:rPr>
        <w:t>5</w:t>
      </w:r>
      <w:r w:rsidRPr="00783611">
        <w:rPr>
          <w:rFonts w:ascii="Arial" w:hAnsi="Arial" w:cs="DanaFajr" w:hint="cs"/>
          <w:szCs w:val="28"/>
          <w:rtl/>
          <w:lang w:bidi="fa-IR"/>
        </w:rPr>
        <w:t xml:space="preserve">. </w:t>
      </w:r>
    </w:p>
  </w:endnote>
  <w:endnote w:id="625">
    <w:p w:rsidR="00F41F33" w:rsidRPr="00783611" w:rsidRDefault="00F41F33" w:rsidP="00F636E3">
      <w:pPr>
        <w:spacing w:line="300" w:lineRule="exact"/>
        <w:ind w:firstLine="0"/>
        <w:rPr>
          <w:rFonts w:ascii="Arial" w:hAnsi="Arial" w:cs="DanaFajr"/>
          <w:szCs w:val="28"/>
          <w:lang w:bidi="fa-IR"/>
        </w:rPr>
      </w:pPr>
      <w:r w:rsidRPr="00783611">
        <w:rPr>
          <w:rFonts w:cs="DanaFajr" w:hint="cs"/>
          <w:szCs w:val="28"/>
          <w:rtl/>
        </w:rPr>
        <w:t>(</w:t>
      </w:r>
      <w:r w:rsidRPr="00783611">
        <w:rPr>
          <w:rStyle w:val="ac"/>
          <w:rFonts w:cs="DanaFajr"/>
          <w:szCs w:val="28"/>
          <w:vertAlign w:val="baseline"/>
        </w:rPr>
        <w:endnoteRef/>
      </w:r>
      <w:r w:rsidRPr="00783611">
        <w:rPr>
          <w:rFonts w:cs="DanaFajr" w:hint="cs"/>
          <w:szCs w:val="28"/>
          <w:rtl/>
        </w:rPr>
        <w:t xml:space="preserve">) </w:t>
      </w:r>
      <w:r w:rsidRPr="00783611">
        <w:rPr>
          <w:rFonts w:ascii="Arial" w:hAnsi="Arial" w:cs="DanaFajr" w:hint="cs"/>
          <w:szCs w:val="28"/>
          <w:rtl/>
          <w:lang w:bidi="fa-IR"/>
        </w:rPr>
        <w:t xml:space="preserve">السيد أمير أبو الفتوح </w:t>
      </w:r>
      <w:r w:rsidRPr="00783611">
        <w:rPr>
          <w:rFonts w:ascii="Arial" w:hAnsi="Arial" w:cs="DanaFajr"/>
          <w:szCs w:val="28"/>
          <w:rtl/>
          <w:lang w:bidi="fa-IR"/>
        </w:rPr>
        <w:t>الحس</w:t>
      </w:r>
      <w:r w:rsidRPr="00783611">
        <w:rPr>
          <w:rFonts w:ascii="Times New Roman" w:hAnsi="Times New Roman" w:cs="DanaFajr" w:hint="cs"/>
          <w:szCs w:val="28"/>
          <w:rtl/>
          <w:lang w:bidi="fa-IR"/>
        </w:rPr>
        <w:t>ي</w:t>
      </w:r>
      <w:r w:rsidRPr="00783611">
        <w:rPr>
          <w:rFonts w:ascii="Arial" w:hAnsi="Arial" w:cs="DanaFajr" w:hint="cs"/>
          <w:szCs w:val="28"/>
          <w:rtl/>
          <w:lang w:bidi="fa-IR"/>
        </w:rPr>
        <w:t>ن</w:t>
      </w:r>
      <w:r w:rsidRPr="00783611">
        <w:rPr>
          <w:rFonts w:ascii="Times New Roman" w:hAnsi="Times New Roman" w:cs="DanaFajr" w:hint="cs"/>
          <w:szCs w:val="28"/>
          <w:rtl/>
          <w:lang w:bidi="fa-IR"/>
        </w:rPr>
        <w:t>ي</w:t>
      </w:r>
      <w:r w:rsidRPr="00783611">
        <w:rPr>
          <w:rFonts w:ascii="Arial" w:hAnsi="Arial" w:cs="DanaFajr"/>
          <w:szCs w:val="28"/>
          <w:rtl/>
          <w:lang w:bidi="fa-IR"/>
        </w:rPr>
        <w:t xml:space="preserve"> </w:t>
      </w:r>
      <w:r w:rsidRPr="00783611">
        <w:rPr>
          <w:rFonts w:ascii="Arial" w:hAnsi="Arial" w:cs="DanaFajr" w:hint="cs"/>
          <w:szCs w:val="28"/>
          <w:rtl/>
          <w:lang w:bidi="fa-IR"/>
        </w:rPr>
        <w:t>الجرجان</w:t>
      </w:r>
      <w:r w:rsidRPr="00783611">
        <w:rPr>
          <w:rFonts w:ascii="Times New Roman" w:hAnsi="Times New Roman" w:cs="DanaFajr" w:hint="cs"/>
          <w:szCs w:val="28"/>
          <w:rtl/>
          <w:lang w:bidi="fa-IR"/>
        </w:rPr>
        <w:t>ي</w:t>
      </w:r>
      <w:r w:rsidRPr="00783611">
        <w:rPr>
          <w:rFonts w:ascii="Arial" w:hAnsi="Arial" w:cs="DanaFajr" w:hint="cs"/>
          <w:szCs w:val="28"/>
          <w:rtl/>
          <w:lang w:bidi="fa-IR"/>
        </w:rPr>
        <w:t>،</w:t>
      </w:r>
      <w:r w:rsidRPr="00783611">
        <w:rPr>
          <w:rFonts w:ascii="Times New Roman" w:hAnsi="Times New Roman" w:cs="DanaFajr" w:hint="cs"/>
          <w:sz w:val="27"/>
          <w:rtl/>
          <w:lang w:bidi="fa-IR"/>
        </w:rPr>
        <w:t xml:space="preserve"> </w:t>
      </w:r>
      <w:r w:rsidRPr="00783611">
        <w:rPr>
          <w:rFonts w:ascii="Arial" w:hAnsi="Arial" w:cs="DanaFajr" w:hint="cs"/>
          <w:szCs w:val="28"/>
          <w:rtl/>
          <w:lang w:bidi="fa-IR"/>
        </w:rPr>
        <w:t xml:space="preserve">آيات الأحكام </w:t>
      </w:r>
      <w:r w:rsidRPr="00783611">
        <w:rPr>
          <w:rFonts w:ascii="Arial" w:hAnsi="Arial" w:cs="DanaFajr"/>
          <w:szCs w:val="28"/>
          <w:rtl/>
          <w:lang w:bidi="fa-IR"/>
        </w:rPr>
        <w:t>2: 80</w:t>
      </w:r>
      <w:r w:rsidRPr="00783611">
        <w:rPr>
          <w:rFonts w:ascii="Arial" w:hAnsi="Arial" w:cs="DanaFajr" w:hint="cs"/>
          <w:szCs w:val="28"/>
          <w:rtl/>
          <w:lang w:bidi="fa-IR"/>
        </w:rPr>
        <w:t xml:space="preserve">. </w:t>
      </w:r>
    </w:p>
  </w:endnote>
  <w:endnote w:id="626">
    <w:p w:rsidR="00F41F33" w:rsidRPr="00783611" w:rsidRDefault="00F41F33" w:rsidP="00F636E3">
      <w:pPr>
        <w:spacing w:line="300" w:lineRule="exact"/>
        <w:ind w:firstLine="0"/>
        <w:rPr>
          <w:rFonts w:ascii="Arial" w:hAnsi="Arial" w:cs="DanaFajr"/>
          <w:szCs w:val="28"/>
          <w:lang w:bidi="fa-IR"/>
        </w:rPr>
      </w:pPr>
      <w:r w:rsidRPr="00783611">
        <w:rPr>
          <w:rFonts w:cs="DanaFajr" w:hint="cs"/>
          <w:szCs w:val="28"/>
          <w:rtl/>
        </w:rPr>
        <w:t>(</w:t>
      </w:r>
      <w:r w:rsidRPr="00783611">
        <w:rPr>
          <w:rStyle w:val="ac"/>
          <w:rFonts w:cs="DanaFajr"/>
          <w:szCs w:val="28"/>
          <w:vertAlign w:val="baseline"/>
        </w:rPr>
        <w:endnoteRef/>
      </w:r>
      <w:r w:rsidRPr="00783611">
        <w:rPr>
          <w:rFonts w:cs="DanaFajr" w:hint="cs"/>
          <w:szCs w:val="28"/>
          <w:rtl/>
        </w:rPr>
        <w:t xml:space="preserve">) </w:t>
      </w:r>
      <w:r w:rsidRPr="00783611">
        <w:rPr>
          <w:rFonts w:ascii="Arial" w:hAnsi="Arial" w:cs="DanaFajr"/>
          <w:szCs w:val="28"/>
          <w:rtl/>
          <w:lang w:bidi="fa-IR"/>
        </w:rPr>
        <w:t>الحرّ العامل</w:t>
      </w:r>
      <w:r w:rsidRPr="00783611">
        <w:rPr>
          <w:rFonts w:ascii="Times New Roman" w:hAnsi="Times New Roman" w:cs="DanaFajr" w:hint="cs"/>
          <w:szCs w:val="28"/>
          <w:rtl/>
          <w:lang w:bidi="fa-IR"/>
        </w:rPr>
        <w:t>ي</w:t>
      </w:r>
      <w:r w:rsidRPr="00783611">
        <w:rPr>
          <w:rFonts w:ascii="Arial" w:hAnsi="Arial" w:cs="DanaFajr" w:hint="cs"/>
          <w:szCs w:val="28"/>
          <w:rtl/>
          <w:lang w:bidi="fa-IR"/>
        </w:rPr>
        <w:t xml:space="preserve">، وسائل الشيعة: </w:t>
      </w:r>
      <w:r w:rsidRPr="00783611">
        <w:rPr>
          <w:rFonts w:ascii="Arial" w:hAnsi="Arial" w:cs="DanaFajr"/>
          <w:szCs w:val="28"/>
          <w:rtl/>
          <w:lang w:bidi="fa-IR"/>
        </w:rPr>
        <w:t>82</w:t>
      </w:r>
      <w:r w:rsidRPr="00783611">
        <w:rPr>
          <w:rFonts w:ascii="Arial" w:hAnsi="Arial" w:cs="DanaFajr" w:hint="cs"/>
          <w:szCs w:val="28"/>
          <w:rtl/>
          <w:lang w:bidi="fa-IR"/>
        </w:rPr>
        <w:t xml:space="preserve">. </w:t>
      </w:r>
    </w:p>
  </w:endnote>
  <w:endnote w:id="627">
    <w:p w:rsidR="00F41F33" w:rsidRPr="00715694" w:rsidRDefault="00F41F33" w:rsidP="00F636E3">
      <w:pPr>
        <w:spacing w:line="300" w:lineRule="exact"/>
        <w:ind w:firstLine="0"/>
        <w:rPr>
          <w:rFonts w:ascii="Arial" w:hAnsi="Arial" w:cs="DanaFajr"/>
          <w:szCs w:val="28"/>
          <w:lang w:bidi="fa-IR"/>
        </w:rPr>
      </w:pPr>
      <w:r w:rsidRPr="00FF21B7">
        <w:rPr>
          <w:rFonts w:cs="DanaFajr" w:hint="cs"/>
          <w:szCs w:val="28"/>
          <w:rtl/>
        </w:rPr>
        <w:t>(</w:t>
      </w:r>
      <w:r w:rsidRPr="00FF21B7">
        <w:rPr>
          <w:rStyle w:val="ac"/>
          <w:rFonts w:cs="DanaFajr"/>
          <w:szCs w:val="28"/>
          <w:vertAlign w:val="baseline"/>
        </w:rPr>
        <w:endnoteRef/>
      </w:r>
      <w:r w:rsidRPr="00FF21B7">
        <w:rPr>
          <w:rFonts w:cs="DanaFajr" w:hint="cs"/>
          <w:szCs w:val="28"/>
          <w:rtl/>
        </w:rPr>
        <w:t xml:space="preserve">) </w:t>
      </w:r>
      <w:r w:rsidRPr="00FF21B7">
        <w:rPr>
          <w:rFonts w:ascii="Arial" w:hAnsi="Arial" w:cs="DanaFajr"/>
          <w:szCs w:val="28"/>
          <w:rtl/>
          <w:lang w:bidi="fa-IR"/>
        </w:rPr>
        <w:t>الحس</w:t>
      </w:r>
      <w:r w:rsidRPr="00FF21B7">
        <w:rPr>
          <w:rFonts w:ascii="Times New Roman" w:hAnsi="Times New Roman" w:cs="DanaFajr" w:hint="cs"/>
          <w:szCs w:val="28"/>
          <w:rtl/>
          <w:lang w:bidi="fa-IR"/>
        </w:rPr>
        <w:t>ي</w:t>
      </w:r>
      <w:r w:rsidRPr="00FF21B7">
        <w:rPr>
          <w:rFonts w:ascii="Arial" w:hAnsi="Arial" w:cs="DanaFajr" w:hint="cs"/>
          <w:szCs w:val="28"/>
          <w:rtl/>
          <w:lang w:bidi="fa-IR"/>
        </w:rPr>
        <w:t>ن</w:t>
      </w:r>
      <w:r w:rsidRPr="00FF21B7">
        <w:rPr>
          <w:rFonts w:ascii="Times New Roman" w:hAnsi="Times New Roman" w:cs="DanaFajr" w:hint="cs"/>
          <w:szCs w:val="28"/>
          <w:rtl/>
          <w:lang w:bidi="fa-IR"/>
        </w:rPr>
        <w:t>ي</w:t>
      </w:r>
      <w:r w:rsidRPr="00FF21B7">
        <w:rPr>
          <w:rFonts w:ascii="Arial" w:hAnsi="Arial" w:cs="DanaFajr"/>
          <w:szCs w:val="28"/>
          <w:rtl/>
          <w:lang w:bidi="fa-IR"/>
        </w:rPr>
        <w:t xml:space="preserve"> </w:t>
      </w:r>
      <w:r w:rsidRPr="00FF21B7">
        <w:rPr>
          <w:rFonts w:ascii="Arial" w:hAnsi="Arial" w:cs="DanaFajr" w:hint="cs"/>
          <w:szCs w:val="28"/>
          <w:rtl/>
          <w:lang w:bidi="fa-IR"/>
        </w:rPr>
        <w:t>الروحان</w:t>
      </w:r>
      <w:r w:rsidRPr="00FF21B7">
        <w:rPr>
          <w:rFonts w:ascii="Times New Roman" w:hAnsi="Times New Roman" w:cs="DanaFajr" w:hint="cs"/>
          <w:szCs w:val="28"/>
          <w:rtl/>
          <w:lang w:bidi="fa-IR"/>
        </w:rPr>
        <w:t>ي</w:t>
      </w:r>
      <w:r w:rsidRPr="00FF21B7">
        <w:rPr>
          <w:rFonts w:ascii="Arial" w:hAnsi="Arial" w:cs="DanaFajr" w:hint="cs"/>
          <w:szCs w:val="28"/>
          <w:rtl/>
          <w:lang w:bidi="fa-IR"/>
        </w:rPr>
        <w:t>، فقه الصادق</w:t>
      </w:r>
      <w:r w:rsidRPr="00FF21B7">
        <w:rPr>
          <w:rFonts w:ascii="Arial" w:hAnsi="Arial" w:cs="Mosawi" w:hint="cs"/>
          <w:sz w:val="20"/>
          <w:szCs w:val="20"/>
          <w:rtl/>
          <w:lang w:bidi="fa-IR"/>
        </w:rPr>
        <w:t>×</w:t>
      </w:r>
      <w:r w:rsidRPr="00715694">
        <w:rPr>
          <w:rFonts w:ascii="Arial" w:hAnsi="Arial" w:cs="DanaFajr" w:hint="cs"/>
          <w:szCs w:val="28"/>
          <w:rtl/>
          <w:lang w:bidi="fa-IR"/>
        </w:rPr>
        <w:t xml:space="preserve"> </w:t>
      </w:r>
      <w:r w:rsidRPr="00783611">
        <w:rPr>
          <w:rFonts w:ascii="Arial" w:hAnsi="Arial" w:cs="DanaFajr"/>
          <w:szCs w:val="28"/>
          <w:rtl/>
          <w:lang w:bidi="fa-IR"/>
        </w:rPr>
        <w:t>13: 111</w:t>
      </w:r>
      <w:r w:rsidRPr="00783611">
        <w:rPr>
          <w:rFonts w:ascii="Arial" w:hAnsi="Arial" w:cs="DanaFajr" w:hint="cs"/>
          <w:szCs w:val="28"/>
          <w:rtl/>
          <w:lang w:bidi="fa-IR"/>
        </w:rPr>
        <w:t xml:space="preserve">. </w:t>
      </w:r>
    </w:p>
  </w:endnote>
  <w:endnote w:id="628">
    <w:p w:rsidR="00F41F33" w:rsidRPr="00783611" w:rsidRDefault="00F41F33" w:rsidP="00F636E3">
      <w:pPr>
        <w:spacing w:line="300" w:lineRule="exact"/>
        <w:ind w:firstLine="0"/>
        <w:rPr>
          <w:rFonts w:ascii="Arial" w:hAnsi="Arial" w:cs="DanaFajr"/>
          <w:szCs w:val="28"/>
          <w:lang w:bidi="fa-IR"/>
        </w:rPr>
      </w:pPr>
      <w:r w:rsidRPr="00783611">
        <w:rPr>
          <w:rFonts w:cs="DanaFajr" w:hint="cs"/>
          <w:szCs w:val="28"/>
          <w:rtl/>
        </w:rPr>
        <w:t>(</w:t>
      </w:r>
      <w:r w:rsidRPr="00783611">
        <w:rPr>
          <w:rStyle w:val="ac"/>
          <w:rFonts w:cs="DanaFajr"/>
          <w:szCs w:val="28"/>
          <w:vertAlign w:val="baseline"/>
        </w:rPr>
        <w:endnoteRef/>
      </w:r>
      <w:r w:rsidRPr="00783611">
        <w:rPr>
          <w:rFonts w:cs="DanaFajr" w:hint="cs"/>
          <w:szCs w:val="28"/>
          <w:rtl/>
        </w:rPr>
        <w:t xml:space="preserve">) </w:t>
      </w:r>
      <w:r w:rsidRPr="00783611">
        <w:rPr>
          <w:rFonts w:ascii="Arial" w:hAnsi="Arial" w:cs="DanaFajr"/>
          <w:szCs w:val="28"/>
          <w:rtl/>
          <w:lang w:bidi="fa-IR"/>
        </w:rPr>
        <w:t>الحرّ العامل</w:t>
      </w:r>
      <w:r w:rsidRPr="00783611">
        <w:rPr>
          <w:rFonts w:ascii="Times New Roman" w:hAnsi="Times New Roman" w:cs="DanaFajr" w:hint="cs"/>
          <w:szCs w:val="28"/>
          <w:rtl/>
          <w:lang w:bidi="fa-IR"/>
        </w:rPr>
        <w:t>ي</w:t>
      </w:r>
      <w:r w:rsidRPr="00783611">
        <w:rPr>
          <w:rFonts w:ascii="Arial" w:hAnsi="Arial" w:cs="DanaFajr" w:hint="cs"/>
          <w:szCs w:val="28"/>
          <w:rtl/>
          <w:lang w:bidi="fa-IR"/>
        </w:rPr>
        <w:t xml:space="preserve">، وسائل الشيعة </w:t>
      </w:r>
      <w:r w:rsidRPr="00783611">
        <w:rPr>
          <w:rFonts w:ascii="Arial" w:hAnsi="Arial" w:cs="DanaFajr"/>
          <w:szCs w:val="28"/>
          <w:rtl/>
          <w:lang w:bidi="fa-IR"/>
        </w:rPr>
        <w:t>1</w:t>
      </w:r>
      <w:r w:rsidRPr="00783611">
        <w:rPr>
          <w:rFonts w:ascii="Arial" w:hAnsi="Arial" w:cs="DanaFajr" w:hint="cs"/>
          <w:szCs w:val="28"/>
          <w:rtl/>
        </w:rPr>
        <w:t>5</w:t>
      </w:r>
      <w:r w:rsidRPr="00783611">
        <w:rPr>
          <w:rFonts w:ascii="Arial" w:hAnsi="Arial" w:cs="DanaFajr"/>
          <w:szCs w:val="28"/>
          <w:rtl/>
          <w:lang w:bidi="fa-IR"/>
        </w:rPr>
        <w:t>: 29</w:t>
      </w:r>
      <w:r w:rsidRPr="00783611">
        <w:rPr>
          <w:rFonts w:ascii="Arial" w:hAnsi="Arial" w:cs="DanaFajr" w:hint="cs"/>
          <w:szCs w:val="28"/>
          <w:rtl/>
          <w:lang w:bidi="fa-IR"/>
        </w:rPr>
        <w:t xml:space="preserve">. </w:t>
      </w:r>
    </w:p>
  </w:endnote>
  <w:endnote w:id="629">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محمد حسن المرعشي، الآراء الحديثة في حقوق العقوبة الإسلامية</w:t>
      </w:r>
      <w:r w:rsidRPr="00783611">
        <w:rPr>
          <w:rFonts w:cs="DanaFajr" w:hint="cs"/>
          <w:sz w:val="28"/>
          <w:szCs w:val="28"/>
          <w:rtl/>
        </w:rPr>
        <w:t>: 6</w:t>
      </w:r>
      <w:r w:rsidRPr="00783611">
        <w:rPr>
          <w:rFonts w:ascii="Times New Roman" w:hAnsi="Times New Roman" w:cs="DanaFajr" w:hint="cs"/>
          <w:sz w:val="28"/>
          <w:szCs w:val="28"/>
          <w:rtl/>
          <w:lang w:bidi="fa-IR"/>
        </w:rPr>
        <w:t>7</w:t>
      </w:r>
      <w:r w:rsidRPr="00783611">
        <w:rPr>
          <w:rFonts w:cs="DanaFajr" w:hint="cs"/>
          <w:sz w:val="28"/>
          <w:szCs w:val="28"/>
          <w:rtl/>
        </w:rPr>
        <w:t xml:space="preserve">. </w:t>
      </w:r>
    </w:p>
  </w:endnote>
  <w:endnote w:id="630">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 xml:space="preserve">الحلّي، منتهى المطلب 9: </w:t>
      </w:r>
      <w:r w:rsidRPr="00783611">
        <w:rPr>
          <w:rStyle w:val="ac"/>
          <w:rFonts w:ascii="Arial" w:hAnsi="Arial" w:cs="DanaFajr" w:hint="cs"/>
          <w:szCs w:val="28"/>
          <w:vertAlign w:val="baseline"/>
          <w:rtl/>
        </w:rPr>
        <w:t>4</w:t>
      </w:r>
      <w:r w:rsidRPr="00783611">
        <w:rPr>
          <w:rFonts w:ascii="Times New Roman" w:hAnsi="Times New Roman" w:cs="DanaFajr" w:hint="cs"/>
          <w:sz w:val="28"/>
          <w:szCs w:val="28"/>
          <w:rtl/>
          <w:lang w:bidi="fa-IR"/>
        </w:rPr>
        <w:t>23</w:t>
      </w:r>
      <w:r w:rsidRPr="00783611">
        <w:rPr>
          <w:rFonts w:cs="DanaFajr" w:hint="cs"/>
          <w:sz w:val="28"/>
          <w:szCs w:val="28"/>
          <w:rtl/>
        </w:rPr>
        <w:t xml:space="preserve">. </w:t>
      </w:r>
    </w:p>
  </w:endnote>
  <w:endnote w:id="631">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 xml:space="preserve">الحلّي، منتهى المطلب 9: </w:t>
      </w:r>
      <w:r w:rsidRPr="00783611">
        <w:rPr>
          <w:rStyle w:val="ac"/>
          <w:rFonts w:ascii="Arial" w:hAnsi="Arial" w:cs="DanaFajr" w:hint="cs"/>
          <w:szCs w:val="28"/>
          <w:vertAlign w:val="baseline"/>
          <w:rtl/>
        </w:rPr>
        <w:t>4</w:t>
      </w:r>
      <w:r w:rsidRPr="00783611">
        <w:rPr>
          <w:rFonts w:ascii="Times New Roman" w:hAnsi="Times New Roman" w:cs="DanaFajr" w:hint="cs"/>
          <w:sz w:val="28"/>
          <w:szCs w:val="28"/>
          <w:rtl/>
          <w:lang w:bidi="fa-IR"/>
        </w:rPr>
        <w:t>10</w:t>
      </w:r>
      <w:r w:rsidRPr="00783611">
        <w:rPr>
          <w:rFonts w:cs="DanaFajr" w:hint="cs"/>
          <w:sz w:val="28"/>
          <w:szCs w:val="28"/>
          <w:rtl/>
        </w:rPr>
        <w:t xml:space="preserve">. </w:t>
      </w:r>
    </w:p>
  </w:endnote>
  <w:endnote w:id="632">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الطوسي، النهاية: 29</w:t>
      </w:r>
      <w:r w:rsidRPr="00783611">
        <w:rPr>
          <w:rFonts w:cs="DanaFajr" w:hint="cs"/>
          <w:sz w:val="28"/>
          <w:szCs w:val="28"/>
          <w:rtl/>
        </w:rPr>
        <w:t>6</w:t>
      </w:r>
      <w:r w:rsidRPr="00783611">
        <w:rPr>
          <w:rFonts w:cs="DanaFajr" w:hint="cs"/>
          <w:sz w:val="28"/>
          <w:szCs w:val="28"/>
          <w:rtl/>
          <w:lang w:bidi="fa-IR"/>
        </w:rPr>
        <w:t xml:space="preserve">. </w:t>
      </w:r>
    </w:p>
  </w:endnote>
  <w:endnote w:id="633">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جواهر الكلام 21: 328</w:t>
      </w:r>
      <w:r w:rsidRPr="00783611">
        <w:rPr>
          <w:rFonts w:cs="DanaFajr" w:hint="cs"/>
          <w:sz w:val="28"/>
          <w:szCs w:val="28"/>
          <w:rtl/>
        </w:rPr>
        <w:t xml:space="preserve">. </w:t>
      </w:r>
    </w:p>
  </w:endnote>
  <w:endnote w:id="634">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الطوسي، الخلاف 11: 71</w:t>
      </w:r>
      <w:r w:rsidRPr="00783611">
        <w:rPr>
          <w:rStyle w:val="ac"/>
          <w:rFonts w:ascii="Arial" w:hAnsi="Arial" w:cs="DanaFajr" w:hint="cs"/>
          <w:szCs w:val="28"/>
          <w:vertAlign w:val="baseline"/>
          <w:rtl/>
        </w:rPr>
        <w:t>4</w:t>
      </w:r>
      <w:r w:rsidRPr="00783611">
        <w:rPr>
          <w:rFonts w:ascii="Times New Roman" w:hAnsi="Times New Roman" w:cs="DanaFajr" w:hint="cs"/>
          <w:sz w:val="28"/>
          <w:szCs w:val="28"/>
          <w:rtl/>
          <w:lang w:bidi="fa-IR"/>
        </w:rPr>
        <w:t>؛ الحلّي، تذكرة الفقهاء 2: 299؛ كاشف الغطاء، كشف الغطاء</w:t>
      </w:r>
      <w:r w:rsidRPr="00FF21B7">
        <w:rPr>
          <w:rFonts w:ascii="Times New Roman" w:hAnsi="Times New Roman" w:cs="DanaFajr" w:hint="cs"/>
          <w:sz w:val="28"/>
          <w:szCs w:val="28"/>
          <w:rtl/>
          <w:lang w:bidi="fa-IR"/>
        </w:rPr>
        <w:t xml:space="preserve"> </w:t>
      </w:r>
      <w:r w:rsidRPr="00783611">
        <w:rPr>
          <w:rFonts w:ascii="Times New Roman" w:hAnsi="Times New Roman" w:cs="DanaFajr" w:hint="cs"/>
          <w:sz w:val="28"/>
          <w:szCs w:val="28"/>
          <w:rtl/>
          <w:lang w:bidi="fa-IR"/>
        </w:rPr>
        <w:t xml:space="preserve">2: </w:t>
      </w:r>
      <w:r w:rsidRPr="00783611">
        <w:rPr>
          <w:rStyle w:val="ac"/>
          <w:rFonts w:ascii="Arial" w:hAnsi="Arial" w:cs="DanaFajr" w:hint="cs"/>
          <w:szCs w:val="28"/>
          <w:vertAlign w:val="baseline"/>
          <w:rtl/>
        </w:rPr>
        <w:t>4</w:t>
      </w:r>
      <w:r w:rsidRPr="00783611">
        <w:rPr>
          <w:rFonts w:ascii="Times New Roman" w:hAnsi="Times New Roman" w:cs="DanaFajr" w:hint="cs"/>
          <w:sz w:val="28"/>
          <w:szCs w:val="28"/>
          <w:rtl/>
          <w:lang w:bidi="fa-IR"/>
        </w:rPr>
        <w:t>0</w:t>
      </w:r>
      <w:r w:rsidRPr="00783611">
        <w:rPr>
          <w:rStyle w:val="ac"/>
          <w:rFonts w:ascii="Arial" w:hAnsi="Arial" w:cs="DanaFajr" w:hint="cs"/>
          <w:szCs w:val="28"/>
          <w:vertAlign w:val="baseline"/>
          <w:rtl/>
        </w:rPr>
        <w:t>4</w:t>
      </w:r>
      <w:r w:rsidRPr="00783611">
        <w:rPr>
          <w:rFonts w:cs="DanaFajr" w:hint="cs"/>
          <w:sz w:val="28"/>
          <w:szCs w:val="28"/>
          <w:rtl/>
          <w:lang w:bidi="fa-IR"/>
        </w:rPr>
        <w:t xml:space="preserve">. </w:t>
      </w:r>
    </w:p>
  </w:endnote>
  <w:endnote w:id="635">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 xml:space="preserve">النوري، مستدرك الوسائل 11: </w:t>
      </w:r>
      <w:r w:rsidRPr="00783611">
        <w:rPr>
          <w:rFonts w:cs="DanaFajr" w:hint="cs"/>
          <w:sz w:val="28"/>
          <w:szCs w:val="28"/>
          <w:rtl/>
        </w:rPr>
        <w:t xml:space="preserve">66. </w:t>
      </w:r>
    </w:p>
  </w:endnote>
  <w:endnote w:id="636">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الصدوق، علل الشرائع 1: 1</w:t>
      </w:r>
      <w:r w:rsidRPr="00783611">
        <w:rPr>
          <w:rFonts w:ascii="Arial" w:hAnsi="Arial" w:cs="DanaFajr" w:hint="cs"/>
          <w:sz w:val="28"/>
          <w:szCs w:val="28"/>
          <w:rtl/>
        </w:rPr>
        <w:t>5</w:t>
      </w:r>
      <w:r w:rsidRPr="00783611">
        <w:rPr>
          <w:rStyle w:val="ac"/>
          <w:rFonts w:ascii="Arial" w:hAnsi="Arial" w:cs="DanaFajr" w:hint="cs"/>
          <w:szCs w:val="28"/>
          <w:vertAlign w:val="baseline"/>
          <w:rtl/>
        </w:rPr>
        <w:t>4</w:t>
      </w:r>
      <w:r w:rsidRPr="00783611">
        <w:rPr>
          <w:rFonts w:cs="DanaFajr" w:hint="cs"/>
          <w:sz w:val="28"/>
          <w:szCs w:val="28"/>
          <w:rtl/>
        </w:rPr>
        <w:t xml:space="preserve">. </w:t>
      </w:r>
    </w:p>
  </w:endnote>
  <w:endnote w:id="637">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 xml:space="preserve">الحرّ العاملي، وسائل الشيعة 11: </w:t>
      </w:r>
      <w:r w:rsidRPr="00783611">
        <w:rPr>
          <w:rFonts w:ascii="Arial" w:hAnsi="Arial" w:cs="DanaFajr" w:hint="cs"/>
          <w:sz w:val="28"/>
          <w:szCs w:val="28"/>
          <w:rtl/>
        </w:rPr>
        <w:t>5</w:t>
      </w:r>
      <w:r w:rsidRPr="00783611">
        <w:rPr>
          <w:rFonts w:ascii="Times New Roman" w:hAnsi="Times New Roman" w:cs="DanaFajr" w:hint="cs"/>
          <w:sz w:val="28"/>
          <w:szCs w:val="28"/>
          <w:rtl/>
          <w:lang w:bidi="fa-IR"/>
        </w:rPr>
        <w:t xml:space="preserve">8 ـ </w:t>
      </w:r>
      <w:r w:rsidRPr="00783611">
        <w:rPr>
          <w:rFonts w:ascii="Arial" w:hAnsi="Arial" w:cs="DanaFajr" w:hint="cs"/>
          <w:sz w:val="28"/>
          <w:szCs w:val="28"/>
          <w:rtl/>
        </w:rPr>
        <w:t>5</w:t>
      </w:r>
      <w:r w:rsidRPr="00783611">
        <w:rPr>
          <w:rFonts w:ascii="Times New Roman" w:hAnsi="Times New Roman" w:cs="DanaFajr" w:hint="cs"/>
          <w:sz w:val="28"/>
          <w:szCs w:val="28"/>
          <w:rtl/>
          <w:lang w:bidi="fa-IR"/>
        </w:rPr>
        <w:t>9</w:t>
      </w:r>
      <w:r w:rsidRPr="00783611">
        <w:rPr>
          <w:rFonts w:cs="DanaFajr" w:hint="cs"/>
          <w:sz w:val="28"/>
          <w:szCs w:val="28"/>
          <w:rtl/>
          <w:lang w:bidi="fa-IR"/>
        </w:rPr>
        <w:t xml:space="preserve">. </w:t>
      </w:r>
    </w:p>
  </w:endnote>
  <w:endnote w:id="638">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الكلانتري، أحكام الجزية: 108</w:t>
      </w:r>
      <w:r w:rsidRPr="00783611">
        <w:rPr>
          <w:rFonts w:cs="DanaFajr" w:hint="cs"/>
          <w:sz w:val="28"/>
          <w:szCs w:val="28"/>
          <w:rtl/>
        </w:rPr>
        <w:t>.</w:t>
      </w:r>
    </w:p>
  </w:endnote>
  <w:endnote w:id="639">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ابن البرّاج، المهذّب 1: 32</w:t>
      </w:r>
      <w:r w:rsidRPr="00783611">
        <w:rPr>
          <w:rFonts w:ascii="Arial" w:hAnsi="Arial" w:cs="DanaFajr" w:hint="cs"/>
          <w:sz w:val="28"/>
          <w:szCs w:val="28"/>
          <w:rtl/>
        </w:rPr>
        <w:t>5</w:t>
      </w:r>
      <w:r w:rsidRPr="00783611">
        <w:rPr>
          <w:rFonts w:ascii="Times New Roman" w:hAnsi="Times New Roman" w:cs="DanaFajr" w:hint="cs"/>
          <w:sz w:val="28"/>
          <w:szCs w:val="28"/>
          <w:rtl/>
          <w:lang w:bidi="fa-IR"/>
        </w:rPr>
        <w:t>؛ الطوسي، الاقتصاد: 31</w:t>
      </w:r>
      <w:r w:rsidRPr="00783611">
        <w:rPr>
          <w:rFonts w:ascii="Arial" w:hAnsi="Arial" w:cs="DanaFajr" w:hint="cs"/>
          <w:sz w:val="28"/>
          <w:szCs w:val="28"/>
          <w:rtl/>
        </w:rPr>
        <w:t>5</w:t>
      </w:r>
      <w:r w:rsidRPr="00783611">
        <w:rPr>
          <w:rFonts w:cs="DanaFajr" w:hint="cs"/>
          <w:sz w:val="28"/>
          <w:szCs w:val="28"/>
          <w:rtl/>
          <w:lang w:bidi="fa-IR"/>
        </w:rPr>
        <w:t xml:space="preserve">. </w:t>
      </w:r>
    </w:p>
  </w:endnote>
  <w:endnote w:id="640">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الطوسي، المبسوط في فقه الإمامية 7: 2</w:t>
      </w:r>
      <w:r w:rsidRPr="00783611">
        <w:rPr>
          <w:rFonts w:cs="DanaFajr" w:hint="cs"/>
          <w:sz w:val="28"/>
          <w:szCs w:val="28"/>
          <w:rtl/>
        </w:rPr>
        <w:t>6</w:t>
      </w:r>
      <w:r w:rsidRPr="00783611">
        <w:rPr>
          <w:rFonts w:ascii="Arial" w:hAnsi="Arial" w:cs="DanaFajr" w:hint="cs"/>
          <w:sz w:val="28"/>
          <w:szCs w:val="28"/>
          <w:rtl/>
        </w:rPr>
        <w:t>5</w:t>
      </w:r>
      <w:r w:rsidRPr="00783611">
        <w:rPr>
          <w:rFonts w:cs="DanaFajr" w:hint="cs"/>
          <w:sz w:val="28"/>
          <w:szCs w:val="28"/>
          <w:rtl/>
        </w:rPr>
        <w:t xml:space="preserve">. </w:t>
      </w:r>
    </w:p>
  </w:endnote>
  <w:endnote w:id="641">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ابن عربي، أحكام القرآن</w:t>
      </w:r>
      <w:r w:rsidRPr="00783611">
        <w:rPr>
          <w:rFonts w:ascii="Times New Roman" w:hAnsi="Times New Roman" w:cs="DanaFajr" w:hint="cs"/>
          <w:sz w:val="28"/>
          <w:szCs w:val="28"/>
          <w:rtl/>
        </w:rPr>
        <w:t xml:space="preserve"> </w:t>
      </w:r>
      <w:r w:rsidRPr="00783611">
        <w:rPr>
          <w:rStyle w:val="ac"/>
          <w:rFonts w:ascii="Arial" w:hAnsi="Arial" w:cs="DanaFajr" w:hint="cs"/>
          <w:szCs w:val="28"/>
          <w:vertAlign w:val="baseline"/>
          <w:rtl/>
        </w:rPr>
        <w:t>4</w:t>
      </w:r>
      <w:r w:rsidRPr="00783611">
        <w:rPr>
          <w:rFonts w:ascii="Times New Roman" w:hAnsi="Times New Roman" w:cs="DanaFajr" w:hint="cs"/>
          <w:sz w:val="28"/>
          <w:szCs w:val="28"/>
          <w:rtl/>
          <w:lang w:bidi="fa-IR"/>
        </w:rPr>
        <w:t>: 1717</w:t>
      </w:r>
      <w:r w:rsidRPr="00783611">
        <w:rPr>
          <w:rFonts w:cs="DanaFajr" w:hint="cs"/>
          <w:sz w:val="28"/>
          <w:szCs w:val="28"/>
          <w:rtl/>
        </w:rPr>
        <w:t xml:space="preserve">. </w:t>
      </w:r>
    </w:p>
  </w:endnote>
  <w:endnote w:id="642">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 xml:space="preserve">المنتظري، فقه الدولة </w:t>
      </w:r>
      <w:r w:rsidRPr="00783611">
        <w:rPr>
          <w:rFonts w:cs="DanaFajr" w:hint="cs"/>
          <w:sz w:val="28"/>
          <w:szCs w:val="28"/>
          <w:rtl/>
        </w:rPr>
        <w:t>6</w:t>
      </w:r>
      <w:r w:rsidRPr="00783611">
        <w:rPr>
          <w:rFonts w:ascii="Times New Roman" w:hAnsi="Times New Roman" w:cs="DanaFajr" w:hint="cs"/>
          <w:sz w:val="28"/>
          <w:szCs w:val="28"/>
          <w:rtl/>
          <w:lang w:bidi="fa-IR"/>
        </w:rPr>
        <w:t xml:space="preserve">: </w:t>
      </w:r>
      <w:r w:rsidRPr="00783611">
        <w:rPr>
          <w:rStyle w:val="ac"/>
          <w:rFonts w:ascii="Arial" w:hAnsi="Arial" w:cs="DanaFajr" w:hint="cs"/>
          <w:szCs w:val="28"/>
          <w:vertAlign w:val="baseline"/>
          <w:rtl/>
        </w:rPr>
        <w:t>4</w:t>
      </w:r>
      <w:r w:rsidRPr="00783611">
        <w:rPr>
          <w:rFonts w:ascii="Times New Roman" w:hAnsi="Times New Roman" w:cs="DanaFajr" w:hint="cs"/>
          <w:sz w:val="28"/>
          <w:szCs w:val="28"/>
          <w:rtl/>
          <w:lang w:bidi="fa-IR"/>
        </w:rPr>
        <w:t>8</w:t>
      </w:r>
      <w:r w:rsidRPr="00783611">
        <w:rPr>
          <w:rFonts w:cs="DanaFajr" w:hint="cs"/>
          <w:sz w:val="28"/>
          <w:szCs w:val="28"/>
          <w:rtl/>
        </w:rPr>
        <w:t>6</w:t>
      </w:r>
      <w:r w:rsidRPr="00783611">
        <w:rPr>
          <w:rFonts w:cs="DanaFajr" w:hint="cs"/>
          <w:sz w:val="28"/>
          <w:szCs w:val="28"/>
          <w:rtl/>
          <w:lang w:bidi="fa-IR"/>
        </w:rPr>
        <w:t xml:space="preserve">. </w:t>
      </w:r>
    </w:p>
  </w:endnote>
  <w:endnote w:id="643">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الطوسي، المبسوط في فقه الإمامية 7: 2</w:t>
      </w:r>
      <w:r w:rsidRPr="00783611">
        <w:rPr>
          <w:rFonts w:cs="DanaFajr" w:hint="cs"/>
          <w:sz w:val="28"/>
          <w:szCs w:val="28"/>
          <w:rtl/>
        </w:rPr>
        <w:t>6</w:t>
      </w:r>
      <w:r w:rsidRPr="00783611">
        <w:rPr>
          <w:rFonts w:ascii="Arial" w:hAnsi="Arial" w:cs="DanaFajr" w:hint="cs"/>
          <w:sz w:val="28"/>
          <w:szCs w:val="28"/>
          <w:rtl/>
        </w:rPr>
        <w:t>5</w:t>
      </w:r>
      <w:r w:rsidRPr="00783611">
        <w:rPr>
          <w:rFonts w:ascii="Times New Roman" w:hAnsi="Times New Roman" w:cs="DanaFajr" w:hint="cs"/>
          <w:sz w:val="28"/>
          <w:szCs w:val="28"/>
          <w:rtl/>
          <w:lang w:bidi="fa-IR"/>
        </w:rPr>
        <w:t>؛ النجفي، جواهر الكلام 21: 332؛ ابن إدريس الحلّي، السرائر 2: 1</w:t>
      </w:r>
      <w:r w:rsidRPr="00783611">
        <w:rPr>
          <w:rFonts w:ascii="Arial" w:hAnsi="Arial" w:cs="DanaFajr" w:hint="cs"/>
          <w:sz w:val="28"/>
          <w:szCs w:val="28"/>
          <w:rtl/>
        </w:rPr>
        <w:t>5</w:t>
      </w:r>
      <w:r w:rsidRPr="00783611">
        <w:rPr>
          <w:rFonts w:cs="DanaFajr" w:hint="cs"/>
          <w:sz w:val="28"/>
          <w:szCs w:val="28"/>
          <w:rtl/>
          <w:lang w:bidi="fa-IR"/>
        </w:rPr>
        <w:t xml:space="preserve">. </w:t>
      </w:r>
    </w:p>
  </w:endnote>
  <w:endnote w:id="644">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المغربي، دعائم الإسلام: 393</w:t>
      </w:r>
      <w:r w:rsidRPr="00783611">
        <w:rPr>
          <w:rFonts w:cs="DanaFajr" w:hint="cs"/>
          <w:sz w:val="28"/>
          <w:szCs w:val="28"/>
          <w:rtl/>
        </w:rPr>
        <w:t xml:space="preserve">. </w:t>
      </w:r>
    </w:p>
  </w:endnote>
  <w:endnote w:id="645">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محمد البحراني</w:t>
      </w:r>
      <w:r w:rsidRPr="00783611">
        <w:rPr>
          <w:rFonts w:ascii="Times New Roman" w:hAnsi="Times New Roman" w:cs="DanaFajr" w:hint="cs"/>
          <w:sz w:val="27"/>
          <w:szCs w:val="27"/>
          <w:rtl/>
          <w:lang w:bidi="fa-IR"/>
        </w:rPr>
        <w:t xml:space="preserve"> </w:t>
      </w:r>
      <w:r w:rsidRPr="00783611">
        <w:rPr>
          <w:rFonts w:ascii="Times New Roman" w:hAnsi="Times New Roman" w:cs="DanaFajr" w:hint="cs"/>
          <w:sz w:val="28"/>
          <w:szCs w:val="28"/>
          <w:rtl/>
          <w:lang w:bidi="fa-IR"/>
        </w:rPr>
        <w:t>أسس النظام السياسي عند الإمامية: 1</w:t>
      </w:r>
      <w:r w:rsidRPr="00783611">
        <w:rPr>
          <w:rFonts w:cs="DanaFajr" w:hint="cs"/>
          <w:sz w:val="28"/>
          <w:szCs w:val="28"/>
          <w:rtl/>
        </w:rPr>
        <w:t xml:space="preserve">66. </w:t>
      </w:r>
    </w:p>
  </w:endnote>
  <w:endnote w:id="646">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الطوسي، المبسوط في فقه الإمامية 7: 2</w:t>
      </w:r>
      <w:r w:rsidRPr="00783611">
        <w:rPr>
          <w:rFonts w:cs="DanaFajr" w:hint="cs"/>
          <w:sz w:val="28"/>
          <w:szCs w:val="28"/>
          <w:rtl/>
        </w:rPr>
        <w:t>6</w:t>
      </w:r>
      <w:r w:rsidRPr="00783611">
        <w:rPr>
          <w:rFonts w:ascii="Times New Roman" w:hAnsi="Times New Roman" w:cs="DanaFajr" w:hint="cs"/>
          <w:sz w:val="28"/>
          <w:szCs w:val="28"/>
          <w:rtl/>
          <w:lang w:bidi="fa-IR"/>
        </w:rPr>
        <w:t>7</w:t>
      </w:r>
      <w:r w:rsidRPr="00783611">
        <w:rPr>
          <w:rFonts w:cs="DanaFajr" w:hint="cs"/>
          <w:sz w:val="28"/>
          <w:szCs w:val="28"/>
          <w:rtl/>
          <w:lang w:bidi="fa-IR"/>
        </w:rPr>
        <w:t xml:space="preserve">. </w:t>
      </w:r>
    </w:p>
  </w:endnote>
  <w:endnote w:id="647">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 xml:space="preserve">المنتظري، فقه الدولة </w:t>
      </w:r>
      <w:r w:rsidRPr="00783611">
        <w:rPr>
          <w:rFonts w:cs="DanaFajr" w:hint="cs"/>
          <w:sz w:val="28"/>
          <w:szCs w:val="28"/>
          <w:rtl/>
        </w:rPr>
        <w:t>6</w:t>
      </w:r>
      <w:r w:rsidRPr="00783611">
        <w:rPr>
          <w:rFonts w:ascii="Times New Roman" w:hAnsi="Times New Roman" w:cs="DanaFajr" w:hint="cs"/>
          <w:sz w:val="28"/>
          <w:szCs w:val="28"/>
          <w:rtl/>
          <w:lang w:bidi="fa-IR"/>
        </w:rPr>
        <w:t xml:space="preserve">: </w:t>
      </w:r>
      <w:r w:rsidRPr="00783611">
        <w:rPr>
          <w:rStyle w:val="ac"/>
          <w:rFonts w:ascii="Arial" w:hAnsi="Arial" w:cs="DanaFajr" w:hint="cs"/>
          <w:szCs w:val="28"/>
          <w:vertAlign w:val="baseline"/>
          <w:rtl/>
        </w:rPr>
        <w:t>4</w:t>
      </w:r>
      <w:r w:rsidRPr="00783611">
        <w:rPr>
          <w:rFonts w:ascii="Times New Roman" w:hAnsi="Times New Roman" w:cs="DanaFajr" w:hint="cs"/>
          <w:sz w:val="28"/>
          <w:szCs w:val="28"/>
          <w:rtl/>
          <w:lang w:bidi="fa-IR"/>
        </w:rPr>
        <w:t>8</w:t>
      </w:r>
      <w:r w:rsidRPr="00783611">
        <w:rPr>
          <w:rStyle w:val="ac"/>
          <w:rFonts w:ascii="Arial" w:hAnsi="Arial" w:cs="DanaFajr" w:hint="cs"/>
          <w:szCs w:val="28"/>
          <w:vertAlign w:val="baseline"/>
          <w:rtl/>
        </w:rPr>
        <w:t>4</w:t>
      </w:r>
      <w:r w:rsidRPr="00783611">
        <w:rPr>
          <w:rFonts w:cs="DanaFajr" w:hint="cs"/>
          <w:sz w:val="28"/>
          <w:szCs w:val="28"/>
          <w:rtl/>
        </w:rPr>
        <w:t xml:space="preserve">. </w:t>
      </w:r>
    </w:p>
  </w:endnote>
  <w:endnote w:id="648">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نهج البلاغه، الخطبة 137</w:t>
      </w:r>
      <w:r w:rsidRPr="00783611">
        <w:rPr>
          <w:rFonts w:cs="DanaFajr" w:hint="cs"/>
          <w:sz w:val="28"/>
          <w:szCs w:val="28"/>
          <w:rtl/>
          <w:lang w:bidi="fa-IR"/>
        </w:rPr>
        <w:t xml:space="preserve">. </w:t>
      </w:r>
    </w:p>
  </w:endnote>
  <w:endnote w:id="649">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 xml:space="preserve">الطباطبائي، الميزان في تفسيرالقرآن </w:t>
      </w:r>
      <w:r w:rsidRPr="00783611">
        <w:rPr>
          <w:rFonts w:ascii="Arial" w:hAnsi="Arial" w:cs="DanaFajr" w:hint="cs"/>
          <w:sz w:val="28"/>
          <w:szCs w:val="28"/>
          <w:rtl/>
        </w:rPr>
        <w:t>5</w:t>
      </w:r>
      <w:r w:rsidRPr="00783611">
        <w:rPr>
          <w:rFonts w:ascii="Times New Roman" w:hAnsi="Times New Roman" w:cs="DanaFajr" w:hint="cs"/>
          <w:sz w:val="28"/>
          <w:szCs w:val="28"/>
          <w:rtl/>
          <w:lang w:bidi="fa-IR"/>
        </w:rPr>
        <w:t>: 32</w:t>
      </w:r>
      <w:r w:rsidRPr="00783611">
        <w:rPr>
          <w:rFonts w:cs="DanaFajr" w:hint="cs"/>
          <w:sz w:val="28"/>
          <w:szCs w:val="28"/>
          <w:rtl/>
        </w:rPr>
        <w:t>6</w:t>
      </w:r>
      <w:r w:rsidRPr="00783611">
        <w:rPr>
          <w:rFonts w:ascii="Times New Roman" w:hAnsi="Times New Roman" w:cs="DanaFajr" w:hint="cs"/>
          <w:sz w:val="28"/>
          <w:szCs w:val="28"/>
          <w:rtl/>
          <w:lang w:bidi="fa-IR"/>
        </w:rPr>
        <w:t xml:space="preserve"> ـ 327</w:t>
      </w:r>
      <w:r w:rsidRPr="00783611">
        <w:rPr>
          <w:rFonts w:cs="DanaFajr" w:hint="cs"/>
          <w:sz w:val="28"/>
          <w:szCs w:val="28"/>
          <w:rtl/>
        </w:rPr>
        <w:t xml:space="preserve">. </w:t>
      </w:r>
    </w:p>
  </w:endnote>
  <w:endnote w:id="650">
    <w:p w:rsidR="00F41F33" w:rsidRPr="00783611" w:rsidRDefault="00F41F33" w:rsidP="00F636E3">
      <w:pPr>
        <w:pStyle w:val="aa"/>
        <w:spacing w:line="300" w:lineRule="exact"/>
        <w:ind w:firstLine="0"/>
        <w:rPr>
          <w:rFonts w:cs="DanaFajr"/>
          <w:sz w:val="28"/>
          <w:szCs w:val="28"/>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النجفي، جواهر الكلام 21: 32</w:t>
      </w:r>
      <w:r w:rsidRPr="00783611">
        <w:rPr>
          <w:rStyle w:val="ac"/>
          <w:rFonts w:ascii="Arial" w:hAnsi="Arial" w:cs="DanaFajr" w:hint="cs"/>
          <w:szCs w:val="28"/>
          <w:vertAlign w:val="baseline"/>
          <w:rtl/>
        </w:rPr>
        <w:t>4</w:t>
      </w:r>
      <w:r w:rsidRPr="00783611">
        <w:rPr>
          <w:rFonts w:cs="DanaFajr" w:hint="cs"/>
          <w:sz w:val="28"/>
          <w:szCs w:val="28"/>
          <w:rtl/>
        </w:rPr>
        <w:t xml:space="preserve">. </w:t>
      </w:r>
    </w:p>
  </w:endnote>
  <w:endnote w:id="651">
    <w:p w:rsidR="00F41F33" w:rsidRPr="00783611" w:rsidRDefault="00F41F33" w:rsidP="00F636E3">
      <w:pPr>
        <w:pStyle w:val="aa"/>
        <w:spacing w:line="300" w:lineRule="exact"/>
        <w:ind w:firstLine="0"/>
        <w:rPr>
          <w:rFonts w:cs="DanaFajr"/>
          <w:sz w:val="28"/>
          <w:szCs w:val="28"/>
          <w:lang w:bidi="fa-IR"/>
        </w:rPr>
      </w:pPr>
      <w:r w:rsidRPr="00783611">
        <w:rPr>
          <w:rFonts w:cs="DanaFajr" w:hint="cs"/>
          <w:sz w:val="28"/>
          <w:szCs w:val="28"/>
          <w:rtl/>
        </w:rPr>
        <w:t>(</w:t>
      </w:r>
      <w:r w:rsidRPr="00783611">
        <w:rPr>
          <w:rStyle w:val="ac"/>
          <w:rFonts w:cs="DanaFajr"/>
          <w:szCs w:val="28"/>
          <w:vertAlign w:val="baseline"/>
        </w:rPr>
        <w:endnoteRef/>
      </w:r>
      <w:r w:rsidRPr="00783611">
        <w:rPr>
          <w:rFonts w:cs="DanaFajr" w:hint="cs"/>
          <w:sz w:val="28"/>
          <w:szCs w:val="28"/>
          <w:rtl/>
        </w:rPr>
        <w:t xml:space="preserve">) </w:t>
      </w:r>
      <w:r w:rsidRPr="00783611">
        <w:rPr>
          <w:rFonts w:ascii="Times New Roman" w:hAnsi="Times New Roman" w:cs="DanaFajr" w:hint="cs"/>
          <w:sz w:val="28"/>
          <w:szCs w:val="28"/>
          <w:rtl/>
          <w:lang w:bidi="fa-IR"/>
        </w:rPr>
        <w:t>النوري الطبرسي، مستدرك الوسائل 2: 3</w:t>
      </w:r>
      <w:r w:rsidRPr="00783611">
        <w:rPr>
          <w:rStyle w:val="ac"/>
          <w:rFonts w:ascii="Arial" w:hAnsi="Arial" w:cs="DanaFajr" w:hint="cs"/>
          <w:szCs w:val="28"/>
          <w:vertAlign w:val="baseline"/>
          <w:rtl/>
        </w:rPr>
        <w:t>4</w:t>
      </w:r>
      <w:r w:rsidRPr="00783611">
        <w:rPr>
          <w:rFonts w:ascii="Times New Roman" w:hAnsi="Times New Roman" w:cs="DanaFajr" w:hint="cs"/>
          <w:sz w:val="28"/>
          <w:szCs w:val="28"/>
          <w:rtl/>
          <w:lang w:bidi="fa-IR"/>
        </w:rPr>
        <w:t>3</w:t>
      </w:r>
      <w:r w:rsidRPr="00783611">
        <w:rPr>
          <w:rFonts w:cs="DanaFajr" w:hint="cs"/>
          <w:sz w:val="28"/>
          <w:szCs w:val="28"/>
          <w:rtl/>
          <w:lang w:bidi="fa-IR"/>
        </w:rPr>
        <w:t xml:space="preserve">. </w:t>
      </w:r>
    </w:p>
  </w:endnote>
  <w:endnote w:id="652">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w:t>
      </w:r>
      <w:r w:rsidRPr="00F4753C">
        <w:rPr>
          <w:rFonts w:cs="DanaFajr" w:hint="cs"/>
          <w:sz w:val="28"/>
          <w:szCs w:val="28"/>
          <w:rtl/>
          <w:lang w:bidi="ar-IQ"/>
        </w:rPr>
        <w:t xml:space="preserve"> ويقصد منه السيد أبو القاسم الخوئي(1992م).</w:t>
      </w:r>
    </w:p>
  </w:endnote>
  <w:endnote w:id="653">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محمد باقر الصدر، بحوث</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شرح</w:t>
      </w:r>
      <w:r w:rsidRPr="00F4753C">
        <w:rPr>
          <w:rFonts w:cs="DanaFajr"/>
          <w:sz w:val="28"/>
          <w:szCs w:val="28"/>
          <w:rtl/>
        </w:rPr>
        <w:t xml:space="preserve"> </w:t>
      </w:r>
      <w:r w:rsidRPr="00F4753C">
        <w:rPr>
          <w:rFonts w:cs="DanaFajr" w:hint="cs"/>
          <w:sz w:val="28"/>
          <w:szCs w:val="28"/>
          <w:rtl/>
        </w:rPr>
        <w:t>العروة</w:t>
      </w:r>
      <w:r w:rsidRPr="00F4753C">
        <w:rPr>
          <w:rFonts w:cs="DanaFajr"/>
          <w:sz w:val="28"/>
          <w:szCs w:val="28"/>
          <w:rtl/>
        </w:rPr>
        <w:t xml:space="preserve"> </w:t>
      </w:r>
      <w:r w:rsidRPr="00F4753C">
        <w:rPr>
          <w:rFonts w:cs="DanaFajr" w:hint="cs"/>
          <w:sz w:val="28"/>
          <w:szCs w:val="28"/>
          <w:rtl/>
        </w:rPr>
        <w:t xml:space="preserve">الوثقى </w:t>
      </w:r>
      <w:r w:rsidRPr="00F4753C">
        <w:rPr>
          <w:rFonts w:cs="DanaFajr"/>
          <w:sz w:val="28"/>
          <w:szCs w:val="28"/>
          <w:rtl/>
        </w:rPr>
        <w:t>3</w:t>
      </w:r>
      <w:r w:rsidRPr="00F4753C">
        <w:rPr>
          <w:rFonts w:cs="DanaFajr" w:hint="cs"/>
          <w:sz w:val="28"/>
          <w:szCs w:val="28"/>
          <w:rtl/>
        </w:rPr>
        <w:t xml:space="preserve">: </w:t>
      </w:r>
      <w:r w:rsidRPr="00F4753C">
        <w:rPr>
          <w:rFonts w:cs="DanaFajr"/>
          <w:sz w:val="28"/>
          <w:szCs w:val="28"/>
          <w:rtl/>
        </w:rPr>
        <w:t>32</w:t>
      </w:r>
      <w:r w:rsidRPr="00F4753C">
        <w:rPr>
          <w:rFonts w:cs="DanaFajr" w:hint="cs"/>
          <w:sz w:val="28"/>
          <w:szCs w:val="28"/>
          <w:rtl/>
          <w:lang w:bidi="ar-LB"/>
        </w:rPr>
        <w:t>4</w:t>
      </w:r>
      <w:r w:rsidRPr="00F4753C">
        <w:rPr>
          <w:rFonts w:cs="DanaFajr" w:hint="cs"/>
          <w:sz w:val="28"/>
          <w:szCs w:val="28"/>
          <w:rtl/>
        </w:rPr>
        <w:t>.</w:t>
      </w:r>
    </w:p>
  </w:endnote>
  <w:endnote w:id="654">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ابن</w:t>
      </w:r>
      <w:r w:rsidRPr="00F4753C">
        <w:rPr>
          <w:rFonts w:cs="DanaFajr"/>
          <w:sz w:val="28"/>
          <w:szCs w:val="28"/>
          <w:rtl/>
        </w:rPr>
        <w:t xml:space="preserve"> </w:t>
      </w:r>
      <w:r w:rsidRPr="00F4753C">
        <w:rPr>
          <w:rFonts w:cs="DanaFajr" w:hint="cs"/>
          <w:sz w:val="28"/>
          <w:szCs w:val="28"/>
          <w:rtl/>
        </w:rPr>
        <w:t>جرير</w:t>
      </w:r>
      <w:r w:rsidRPr="00F4753C">
        <w:rPr>
          <w:rFonts w:cs="DanaFajr"/>
          <w:sz w:val="28"/>
          <w:szCs w:val="28"/>
          <w:rtl/>
        </w:rPr>
        <w:t xml:space="preserve"> </w:t>
      </w:r>
      <w:r w:rsidRPr="00F4753C">
        <w:rPr>
          <w:rFonts w:cs="DanaFajr" w:hint="cs"/>
          <w:sz w:val="28"/>
          <w:szCs w:val="28"/>
          <w:rtl/>
        </w:rPr>
        <w:t>الطبري، جامع</w:t>
      </w:r>
      <w:r w:rsidRPr="00F4753C">
        <w:rPr>
          <w:rFonts w:cs="DanaFajr"/>
          <w:sz w:val="28"/>
          <w:szCs w:val="28"/>
          <w:rtl/>
        </w:rPr>
        <w:t xml:space="preserve"> </w:t>
      </w:r>
      <w:r w:rsidRPr="00F4753C">
        <w:rPr>
          <w:rFonts w:cs="DanaFajr" w:hint="cs"/>
          <w:sz w:val="28"/>
          <w:szCs w:val="28"/>
          <w:rtl/>
        </w:rPr>
        <w:t>البيان</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تفسير</w:t>
      </w:r>
      <w:r w:rsidRPr="00F4753C">
        <w:rPr>
          <w:rFonts w:cs="DanaFajr"/>
          <w:sz w:val="28"/>
          <w:szCs w:val="28"/>
          <w:rtl/>
        </w:rPr>
        <w:t xml:space="preserve"> </w:t>
      </w:r>
      <w:r w:rsidRPr="00F4753C">
        <w:rPr>
          <w:rFonts w:cs="DanaFajr" w:hint="cs"/>
          <w:sz w:val="28"/>
          <w:szCs w:val="28"/>
          <w:rtl/>
        </w:rPr>
        <w:t>القرآن</w:t>
      </w:r>
      <w:r w:rsidRPr="00F4753C">
        <w:rPr>
          <w:rFonts w:cs="DanaFajr"/>
          <w:sz w:val="28"/>
          <w:szCs w:val="28"/>
          <w:rtl/>
        </w:rPr>
        <w:t xml:space="preserve"> 10</w:t>
      </w:r>
      <w:r w:rsidRPr="00F4753C">
        <w:rPr>
          <w:rFonts w:cs="DanaFajr" w:hint="cs"/>
          <w:sz w:val="28"/>
          <w:szCs w:val="28"/>
          <w:rtl/>
        </w:rPr>
        <w:t xml:space="preserve">: </w:t>
      </w:r>
      <w:r w:rsidRPr="00F4753C">
        <w:rPr>
          <w:rFonts w:cs="DanaFajr"/>
          <w:sz w:val="28"/>
          <w:szCs w:val="28"/>
          <w:rtl/>
        </w:rPr>
        <w:t>1</w:t>
      </w:r>
      <w:r w:rsidRPr="00F4753C">
        <w:rPr>
          <w:rFonts w:cs="DanaFajr" w:hint="cs"/>
          <w:sz w:val="28"/>
          <w:szCs w:val="28"/>
          <w:rtl/>
          <w:lang w:bidi="ar-LB"/>
        </w:rPr>
        <w:t>4</w:t>
      </w:r>
      <w:r w:rsidRPr="00F4753C">
        <w:rPr>
          <w:rFonts w:cs="DanaFajr"/>
          <w:sz w:val="28"/>
          <w:szCs w:val="28"/>
          <w:rtl/>
        </w:rPr>
        <w:t>2</w:t>
      </w:r>
      <w:r w:rsidRPr="00F4753C">
        <w:rPr>
          <w:rFonts w:cs="DanaFajr" w:hint="cs"/>
          <w:sz w:val="28"/>
          <w:szCs w:val="28"/>
          <w:rtl/>
        </w:rPr>
        <w:t>؛ الفخر</w:t>
      </w:r>
      <w:r w:rsidRPr="00F4753C">
        <w:rPr>
          <w:rFonts w:cs="DanaFajr"/>
          <w:sz w:val="28"/>
          <w:szCs w:val="28"/>
          <w:rtl/>
        </w:rPr>
        <w:t xml:space="preserve"> </w:t>
      </w:r>
      <w:r w:rsidRPr="00F4753C">
        <w:rPr>
          <w:rFonts w:cs="DanaFajr" w:hint="cs"/>
          <w:sz w:val="28"/>
          <w:szCs w:val="28"/>
          <w:rtl/>
        </w:rPr>
        <w:t>الرازي، التفسير</w:t>
      </w:r>
      <w:r w:rsidRPr="00F4753C">
        <w:rPr>
          <w:rFonts w:cs="DanaFajr"/>
          <w:sz w:val="28"/>
          <w:szCs w:val="28"/>
          <w:rtl/>
        </w:rPr>
        <w:t xml:space="preserve"> </w:t>
      </w:r>
      <w:r w:rsidRPr="00F4753C">
        <w:rPr>
          <w:rFonts w:cs="DanaFajr" w:hint="cs"/>
          <w:sz w:val="28"/>
          <w:szCs w:val="28"/>
          <w:rtl/>
        </w:rPr>
        <w:t>الكبير</w:t>
      </w:r>
      <w:r w:rsidRPr="00F4753C">
        <w:rPr>
          <w:rFonts w:cs="DanaFajr"/>
          <w:sz w:val="28"/>
          <w:szCs w:val="28"/>
          <w:rtl/>
        </w:rPr>
        <w:t xml:space="preserve"> </w:t>
      </w:r>
      <w:r w:rsidRPr="00F4753C">
        <w:rPr>
          <w:rFonts w:cs="DanaFajr" w:hint="cs"/>
          <w:sz w:val="28"/>
          <w:szCs w:val="28"/>
          <w:rtl/>
        </w:rPr>
        <w:t>أو</w:t>
      </w:r>
      <w:r w:rsidRPr="001B24AC">
        <w:rPr>
          <w:rFonts w:cs="DanaFajr"/>
          <w:sz w:val="28"/>
          <w:szCs w:val="28"/>
          <w:rtl/>
        </w:rPr>
        <w:t xml:space="preserve"> </w:t>
      </w:r>
      <w:r w:rsidRPr="00F4753C">
        <w:rPr>
          <w:rFonts w:cs="DanaFajr" w:hint="cs"/>
          <w:sz w:val="28"/>
          <w:szCs w:val="28"/>
          <w:rtl/>
        </w:rPr>
        <w:t>مفاتيح</w:t>
      </w:r>
      <w:r w:rsidRPr="00F4753C">
        <w:rPr>
          <w:rFonts w:cs="DanaFajr"/>
          <w:sz w:val="28"/>
          <w:szCs w:val="28"/>
          <w:rtl/>
        </w:rPr>
        <w:t xml:space="preserve"> </w:t>
      </w:r>
      <w:r w:rsidRPr="00F4753C">
        <w:rPr>
          <w:rFonts w:cs="DanaFajr" w:hint="cs"/>
          <w:sz w:val="28"/>
          <w:szCs w:val="28"/>
          <w:rtl/>
        </w:rPr>
        <w:t xml:space="preserve">الغيب </w:t>
      </w:r>
      <w:r w:rsidRPr="00F4753C">
        <w:rPr>
          <w:rFonts w:cs="DanaFajr" w:hint="cs"/>
          <w:sz w:val="28"/>
          <w:szCs w:val="28"/>
          <w:rtl/>
          <w:lang w:bidi="ar-LB"/>
        </w:rPr>
        <w:t>6</w:t>
      </w:r>
      <w:r w:rsidRPr="00F4753C">
        <w:rPr>
          <w:rFonts w:cs="DanaFajr" w:hint="cs"/>
          <w:sz w:val="28"/>
          <w:szCs w:val="28"/>
          <w:rtl/>
        </w:rPr>
        <w:t xml:space="preserve">: </w:t>
      </w:r>
      <w:r w:rsidRPr="00F4753C">
        <w:rPr>
          <w:rFonts w:cs="DanaFajr"/>
          <w:sz w:val="28"/>
          <w:szCs w:val="28"/>
          <w:rtl/>
        </w:rPr>
        <w:t>1781</w:t>
      </w:r>
      <w:r w:rsidRPr="00F4753C">
        <w:rPr>
          <w:rFonts w:cs="DanaFajr" w:hint="cs"/>
          <w:sz w:val="28"/>
          <w:szCs w:val="28"/>
          <w:rtl/>
        </w:rPr>
        <w:t>؛ تفسير الثعلبي</w:t>
      </w:r>
      <w:r w:rsidRPr="00F4753C">
        <w:rPr>
          <w:rFonts w:cs="DanaFajr"/>
          <w:sz w:val="28"/>
          <w:szCs w:val="28"/>
          <w:rtl/>
        </w:rPr>
        <w:t xml:space="preserve"> </w:t>
      </w:r>
      <w:r w:rsidRPr="00F4753C">
        <w:rPr>
          <w:rFonts w:cs="DanaFajr" w:hint="cs"/>
          <w:sz w:val="28"/>
          <w:szCs w:val="28"/>
          <w:rtl/>
          <w:lang w:bidi="ar-LB"/>
        </w:rPr>
        <w:t>5</w:t>
      </w:r>
      <w:r w:rsidRPr="00F4753C">
        <w:rPr>
          <w:rFonts w:cs="DanaFajr"/>
          <w:sz w:val="28"/>
          <w:szCs w:val="28"/>
          <w:rtl/>
        </w:rPr>
        <w:t>: 30</w:t>
      </w:r>
      <w:r w:rsidRPr="00F4753C">
        <w:rPr>
          <w:rFonts w:cs="DanaFajr" w:hint="cs"/>
          <w:sz w:val="28"/>
          <w:szCs w:val="28"/>
          <w:rtl/>
        </w:rPr>
        <w:t>؛ الفراء، تفسير</w:t>
      </w:r>
      <w:r w:rsidRPr="00F4753C">
        <w:rPr>
          <w:rFonts w:cs="DanaFajr"/>
          <w:sz w:val="28"/>
          <w:szCs w:val="28"/>
          <w:rtl/>
        </w:rPr>
        <w:t xml:space="preserve"> </w:t>
      </w:r>
      <w:r w:rsidRPr="00F4753C">
        <w:rPr>
          <w:rFonts w:cs="DanaFajr" w:hint="cs"/>
          <w:sz w:val="28"/>
          <w:szCs w:val="28"/>
          <w:rtl/>
        </w:rPr>
        <w:t xml:space="preserve">البغوي </w:t>
      </w:r>
      <w:r w:rsidRPr="00F4753C">
        <w:rPr>
          <w:rFonts w:cs="DanaFajr"/>
          <w:sz w:val="28"/>
          <w:szCs w:val="28"/>
          <w:rtl/>
        </w:rPr>
        <w:t>2</w:t>
      </w:r>
      <w:r w:rsidRPr="00F4753C">
        <w:rPr>
          <w:rFonts w:cs="DanaFajr" w:hint="cs"/>
          <w:sz w:val="28"/>
          <w:szCs w:val="28"/>
          <w:rtl/>
        </w:rPr>
        <w:t xml:space="preserve">: </w:t>
      </w:r>
      <w:r w:rsidRPr="00F4753C">
        <w:rPr>
          <w:rFonts w:cs="DanaFajr"/>
          <w:sz w:val="28"/>
          <w:szCs w:val="28"/>
          <w:rtl/>
        </w:rPr>
        <w:t>28</w:t>
      </w:r>
      <w:r w:rsidRPr="00F4753C">
        <w:rPr>
          <w:rFonts w:cs="DanaFajr" w:hint="cs"/>
          <w:sz w:val="28"/>
          <w:szCs w:val="28"/>
          <w:rtl/>
          <w:lang w:bidi="ar-LB"/>
        </w:rPr>
        <w:t>4</w:t>
      </w:r>
      <w:r w:rsidRPr="00F4753C">
        <w:rPr>
          <w:rFonts w:cs="DanaFajr" w:hint="cs"/>
          <w:sz w:val="28"/>
          <w:szCs w:val="28"/>
          <w:rtl/>
        </w:rPr>
        <w:t>.</w:t>
      </w:r>
    </w:p>
  </w:endnote>
  <w:endnote w:id="655">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الخم</w:t>
      </w:r>
      <w:r w:rsidRPr="00F4753C">
        <w:rPr>
          <w:rFonts w:ascii="Times New Roman" w:hAnsi="Times New Roman" w:cs="DanaFajr" w:hint="cs"/>
          <w:sz w:val="28"/>
          <w:szCs w:val="28"/>
          <w:rtl/>
        </w:rPr>
        <w:t>ي</w:t>
      </w:r>
      <w:r w:rsidRPr="00F4753C">
        <w:rPr>
          <w:rFonts w:cs="DanaFajr" w:hint="cs"/>
          <w:sz w:val="28"/>
          <w:szCs w:val="28"/>
          <w:rtl/>
        </w:rPr>
        <w:t>ن</w:t>
      </w:r>
      <w:r w:rsidRPr="00F4753C">
        <w:rPr>
          <w:rFonts w:ascii="Times New Roman" w:hAnsi="Times New Roman" w:cs="DanaFajr" w:hint="cs"/>
          <w:sz w:val="28"/>
          <w:szCs w:val="28"/>
          <w:rtl/>
        </w:rPr>
        <w:t>ي</w:t>
      </w:r>
      <w:r w:rsidRPr="00F4753C">
        <w:rPr>
          <w:rFonts w:cs="DanaFajr" w:hint="cs"/>
          <w:sz w:val="28"/>
          <w:szCs w:val="28"/>
          <w:rtl/>
        </w:rPr>
        <w:t>، كتاب</w:t>
      </w:r>
      <w:r w:rsidRPr="00F4753C">
        <w:rPr>
          <w:rFonts w:cs="DanaFajr"/>
          <w:sz w:val="28"/>
          <w:szCs w:val="28"/>
          <w:rtl/>
        </w:rPr>
        <w:t xml:space="preserve"> </w:t>
      </w:r>
      <w:r w:rsidRPr="00F4753C">
        <w:rPr>
          <w:rFonts w:cs="DanaFajr" w:hint="cs"/>
          <w:sz w:val="28"/>
          <w:szCs w:val="28"/>
          <w:rtl/>
        </w:rPr>
        <w:t>الطهارة</w:t>
      </w:r>
      <w:r w:rsidRPr="00F4753C">
        <w:rPr>
          <w:rFonts w:cs="DanaFajr"/>
          <w:sz w:val="28"/>
          <w:szCs w:val="28"/>
          <w:rtl/>
        </w:rPr>
        <w:t xml:space="preserve"> 3</w:t>
      </w:r>
      <w:r w:rsidRPr="00F4753C">
        <w:rPr>
          <w:rFonts w:cs="DanaFajr" w:hint="cs"/>
          <w:sz w:val="28"/>
          <w:szCs w:val="28"/>
          <w:rtl/>
        </w:rPr>
        <w:t xml:space="preserve">: </w:t>
      </w:r>
      <w:r w:rsidRPr="00F4753C">
        <w:rPr>
          <w:rFonts w:cs="DanaFajr"/>
          <w:sz w:val="28"/>
          <w:szCs w:val="28"/>
          <w:rtl/>
        </w:rPr>
        <w:t>298</w:t>
      </w:r>
      <w:r w:rsidRPr="00F4753C">
        <w:rPr>
          <w:rFonts w:cs="DanaFajr" w:hint="cs"/>
          <w:sz w:val="28"/>
          <w:szCs w:val="28"/>
          <w:rtl/>
        </w:rPr>
        <w:t>.</w:t>
      </w:r>
    </w:p>
  </w:endnote>
  <w:endnote w:id="656">
    <w:p w:rsidR="00F41F33" w:rsidRPr="001B24AC" w:rsidRDefault="00F41F33" w:rsidP="00F636E3">
      <w:pPr>
        <w:pStyle w:val="aa"/>
        <w:spacing w:line="300" w:lineRule="exact"/>
        <w:ind w:firstLine="0"/>
        <w:rPr>
          <w:rFonts w:cs="DanaFajr"/>
          <w:sz w:val="28"/>
          <w:szCs w:val="28"/>
        </w:rPr>
      </w:pPr>
      <w:r w:rsidRPr="001B24AC">
        <w:rPr>
          <w:rFonts w:cs="DanaFajr" w:hint="cs"/>
          <w:sz w:val="28"/>
          <w:szCs w:val="28"/>
          <w:rtl/>
        </w:rPr>
        <w:t>(</w:t>
      </w:r>
      <w:r w:rsidRPr="001B24AC">
        <w:rPr>
          <w:rStyle w:val="ac"/>
          <w:rFonts w:cs="DanaFajr"/>
          <w:sz w:val="28"/>
          <w:szCs w:val="28"/>
          <w:vertAlign w:val="baseline"/>
        </w:rPr>
        <w:endnoteRef/>
      </w:r>
      <w:r w:rsidRPr="001B24AC">
        <w:rPr>
          <w:rFonts w:cs="DanaFajr" w:hint="cs"/>
          <w:sz w:val="28"/>
          <w:szCs w:val="28"/>
          <w:rtl/>
        </w:rPr>
        <w:t>) المصدر</w:t>
      </w:r>
      <w:r w:rsidRPr="001B24AC">
        <w:rPr>
          <w:rFonts w:cs="DanaFajr"/>
          <w:sz w:val="28"/>
          <w:szCs w:val="28"/>
          <w:rtl/>
        </w:rPr>
        <w:t xml:space="preserve"> </w:t>
      </w:r>
      <w:r w:rsidRPr="001B24AC">
        <w:rPr>
          <w:rFonts w:cs="DanaFajr" w:hint="cs"/>
          <w:sz w:val="28"/>
          <w:szCs w:val="28"/>
          <w:rtl/>
        </w:rPr>
        <w:t>نفسه.</w:t>
      </w:r>
    </w:p>
  </w:endnote>
  <w:endnote w:id="657">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الطباطبا</w:t>
      </w:r>
      <w:r w:rsidRPr="00F4753C">
        <w:rPr>
          <w:rFonts w:ascii="Times New Roman" w:hAnsi="Times New Roman" w:cs="DanaFajr" w:hint="cs"/>
          <w:sz w:val="28"/>
          <w:szCs w:val="28"/>
          <w:rtl/>
        </w:rPr>
        <w:t>ئي</w:t>
      </w:r>
      <w:r w:rsidRPr="00F4753C">
        <w:rPr>
          <w:rFonts w:cs="DanaFajr" w:hint="cs"/>
          <w:sz w:val="28"/>
          <w:szCs w:val="28"/>
          <w:rtl/>
        </w:rPr>
        <w:t>، الميزان</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تفسير</w:t>
      </w:r>
      <w:r w:rsidRPr="00F4753C">
        <w:rPr>
          <w:rFonts w:cs="DanaFajr"/>
          <w:sz w:val="28"/>
          <w:szCs w:val="28"/>
          <w:rtl/>
        </w:rPr>
        <w:t xml:space="preserve"> </w:t>
      </w:r>
      <w:r w:rsidRPr="00F4753C">
        <w:rPr>
          <w:rFonts w:cs="DanaFajr" w:hint="cs"/>
          <w:sz w:val="28"/>
          <w:szCs w:val="28"/>
          <w:rtl/>
        </w:rPr>
        <w:t xml:space="preserve">القرآن </w:t>
      </w:r>
      <w:r w:rsidRPr="00F4753C">
        <w:rPr>
          <w:rFonts w:cs="DanaFajr" w:hint="cs"/>
          <w:sz w:val="28"/>
          <w:szCs w:val="28"/>
          <w:rtl/>
          <w:lang w:bidi="ar-LB"/>
        </w:rPr>
        <w:t>6</w:t>
      </w:r>
      <w:r w:rsidRPr="00F4753C">
        <w:rPr>
          <w:rFonts w:cs="DanaFajr" w:hint="cs"/>
          <w:sz w:val="28"/>
          <w:szCs w:val="28"/>
          <w:rtl/>
        </w:rPr>
        <w:t xml:space="preserve">: </w:t>
      </w:r>
      <w:r w:rsidRPr="00F4753C">
        <w:rPr>
          <w:rFonts w:cs="DanaFajr"/>
          <w:sz w:val="28"/>
          <w:szCs w:val="28"/>
          <w:rtl/>
        </w:rPr>
        <w:t>77</w:t>
      </w:r>
      <w:r w:rsidRPr="00F4753C">
        <w:rPr>
          <w:rFonts w:cs="DanaFajr" w:hint="cs"/>
          <w:sz w:val="28"/>
          <w:szCs w:val="28"/>
          <w:rtl/>
        </w:rPr>
        <w:t>.</w:t>
      </w:r>
    </w:p>
  </w:endnote>
  <w:endnote w:id="658">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الفخر</w:t>
      </w:r>
      <w:r w:rsidRPr="00F4753C">
        <w:rPr>
          <w:rFonts w:cs="DanaFajr"/>
          <w:sz w:val="28"/>
          <w:szCs w:val="28"/>
          <w:rtl/>
        </w:rPr>
        <w:t xml:space="preserve"> </w:t>
      </w:r>
      <w:r w:rsidRPr="00F4753C">
        <w:rPr>
          <w:rFonts w:cs="DanaFajr" w:hint="cs"/>
          <w:sz w:val="28"/>
          <w:szCs w:val="28"/>
          <w:rtl/>
        </w:rPr>
        <w:t>الرازي، التفسير</w:t>
      </w:r>
      <w:r w:rsidRPr="00F4753C">
        <w:rPr>
          <w:rFonts w:cs="DanaFajr"/>
          <w:sz w:val="28"/>
          <w:szCs w:val="28"/>
          <w:rtl/>
        </w:rPr>
        <w:t xml:space="preserve"> </w:t>
      </w:r>
      <w:r w:rsidRPr="00F4753C">
        <w:rPr>
          <w:rFonts w:cs="DanaFajr" w:hint="cs"/>
          <w:sz w:val="28"/>
          <w:szCs w:val="28"/>
          <w:rtl/>
        </w:rPr>
        <w:t>الكبير</w:t>
      </w:r>
      <w:r w:rsidRPr="00F4753C">
        <w:rPr>
          <w:rFonts w:cs="DanaFajr"/>
          <w:sz w:val="28"/>
          <w:szCs w:val="28"/>
          <w:rtl/>
        </w:rPr>
        <w:t xml:space="preserve"> </w:t>
      </w:r>
      <w:r w:rsidRPr="00F4753C">
        <w:rPr>
          <w:rFonts w:cs="DanaFajr" w:hint="cs"/>
          <w:sz w:val="28"/>
          <w:szCs w:val="28"/>
          <w:rtl/>
        </w:rPr>
        <w:t>أو</w:t>
      </w:r>
      <w:r w:rsidRPr="00F4753C">
        <w:rPr>
          <w:rFonts w:cs="DanaFajr"/>
          <w:sz w:val="28"/>
          <w:szCs w:val="28"/>
          <w:rtl/>
        </w:rPr>
        <w:t xml:space="preserve"> </w:t>
      </w:r>
      <w:r w:rsidRPr="00F4753C">
        <w:rPr>
          <w:rFonts w:cs="DanaFajr" w:hint="cs"/>
          <w:sz w:val="28"/>
          <w:szCs w:val="28"/>
          <w:rtl/>
        </w:rPr>
        <w:t>مفاتيح</w:t>
      </w:r>
      <w:r w:rsidRPr="00F4753C">
        <w:rPr>
          <w:rFonts w:cs="DanaFajr"/>
          <w:sz w:val="28"/>
          <w:szCs w:val="28"/>
          <w:rtl/>
        </w:rPr>
        <w:t xml:space="preserve"> </w:t>
      </w:r>
      <w:r w:rsidRPr="00F4753C">
        <w:rPr>
          <w:rFonts w:cs="DanaFajr" w:hint="cs"/>
          <w:sz w:val="28"/>
          <w:szCs w:val="28"/>
          <w:rtl/>
        </w:rPr>
        <w:t xml:space="preserve">الغيب </w:t>
      </w:r>
      <w:r w:rsidRPr="00F4753C">
        <w:rPr>
          <w:rFonts w:cs="DanaFajr"/>
          <w:sz w:val="28"/>
          <w:szCs w:val="28"/>
          <w:rtl/>
        </w:rPr>
        <w:t>1</w:t>
      </w:r>
      <w:r w:rsidRPr="00F4753C">
        <w:rPr>
          <w:rFonts w:cs="DanaFajr" w:hint="cs"/>
          <w:sz w:val="28"/>
          <w:szCs w:val="28"/>
          <w:rtl/>
          <w:lang w:bidi="ar-LB"/>
        </w:rPr>
        <w:t>6</w:t>
      </w:r>
      <w:r w:rsidRPr="00F4753C">
        <w:rPr>
          <w:rFonts w:cs="DanaFajr" w:hint="cs"/>
          <w:sz w:val="28"/>
          <w:szCs w:val="28"/>
          <w:rtl/>
        </w:rPr>
        <w:t xml:space="preserve">: </w:t>
      </w:r>
      <w:r w:rsidRPr="00F4753C">
        <w:rPr>
          <w:rFonts w:cs="DanaFajr"/>
          <w:sz w:val="28"/>
          <w:szCs w:val="28"/>
          <w:rtl/>
        </w:rPr>
        <w:t>3</w:t>
      </w:r>
      <w:r w:rsidRPr="00F4753C">
        <w:rPr>
          <w:rFonts w:cs="DanaFajr" w:hint="cs"/>
          <w:sz w:val="28"/>
          <w:szCs w:val="28"/>
          <w:rtl/>
          <w:lang w:bidi="ar-LB"/>
        </w:rPr>
        <w:t>4</w:t>
      </w:r>
      <w:r w:rsidRPr="00F4753C">
        <w:rPr>
          <w:rFonts w:cs="DanaFajr" w:hint="cs"/>
          <w:sz w:val="28"/>
          <w:szCs w:val="28"/>
          <w:rtl/>
        </w:rPr>
        <w:t>.</w:t>
      </w:r>
    </w:p>
  </w:endnote>
  <w:endnote w:id="659">
    <w:p w:rsidR="00F41F33" w:rsidRPr="00F4753C" w:rsidRDefault="00F41F33" w:rsidP="001B24AC">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الكليني، الكافي </w:t>
      </w:r>
      <w:r w:rsidRPr="00F4753C">
        <w:rPr>
          <w:rFonts w:cs="DanaFajr"/>
          <w:sz w:val="28"/>
          <w:szCs w:val="28"/>
          <w:rtl/>
        </w:rPr>
        <w:t>2</w:t>
      </w:r>
      <w:r w:rsidRPr="00F4753C">
        <w:rPr>
          <w:rFonts w:cs="DanaFajr" w:hint="cs"/>
          <w:sz w:val="28"/>
          <w:szCs w:val="28"/>
          <w:rtl/>
        </w:rPr>
        <w:t xml:space="preserve">: </w:t>
      </w:r>
      <w:r w:rsidRPr="00F4753C">
        <w:rPr>
          <w:rFonts w:cs="DanaFajr"/>
          <w:sz w:val="28"/>
          <w:szCs w:val="28"/>
          <w:rtl/>
        </w:rPr>
        <w:t>398</w:t>
      </w:r>
      <w:r w:rsidRPr="00F4753C">
        <w:rPr>
          <w:rFonts w:cs="DanaFajr" w:hint="cs"/>
          <w:sz w:val="28"/>
          <w:szCs w:val="28"/>
          <w:rtl/>
        </w:rPr>
        <w:t>؛ الحرّ</w:t>
      </w:r>
      <w:r w:rsidRPr="00F4753C">
        <w:rPr>
          <w:rFonts w:cs="DanaFajr"/>
          <w:sz w:val="28"/>
          <w:szCs w:val="28"/>
          <w:rtl/>
        </w:rPr>
        <w:t xml:space="preserve"> </w:t>
      </w:r>
      <w:r w:rsidRPr="00F4753C">
        <w:rPr>
          <w:rFonts w:cs="DanaFajr" w:hint="cs"/>
          <w:sz w:val="28"/>
          <w:szCs w:val="28"/>
          <w:rtl/>
        </w:rPr>
        <w:t>العامل</w:t>
      </w:r>
      <w:r w:rsidRPr="00F4753C">
        <w:rPr>
          <w:rFonts w:ascii="Times New Roman" w:hAnsi="Times New Roman" w:cs="DanaFajr" w:hint="cs"/>
          <w:sz w:val="28"/>
          <w:szCs w:val="28"/>
          <w:rtl/>
        </w:rPr>
        <w:t>ي</w:t>
      </w:r>
      <w:r w:rsidRPr="00F4753C">
        <w:rPr>
          <w:rFonts w:cs="DanaFajr" w:hint="cs"/>
          <w:sz w:val="28"/>
          <w:szCs w:val="28"/>
          <w:rtl/>
        </w:rPr>
        <w:t xml:space="preserve">، وسائل الشيعة </w:t>
      </w:r>
      <w:r w:rsidRPr="00F4753C">
        <w:rPr>
          <w:rFonts w:cs="DanaFajr"/>
          <w:sz w:val="28"/>
          <w:szCs w:val="28"/>
          <w:rtl/>
        </w:rPr>
        <w:t>27</w:t>
      </w:r>
      <w:r w:rsidRPr="00F4753C">
        <w:rPr>
          <w:rFonts w:cs="DanaFajr" w:hint="cs"/>
          <w:sz w:val="28"/>
          <w:szCs w:val="28"/>
          <w:rtl/>
        </w:rPr>
        <w:t xml:space="preserve">: </w:t>
      </w:r>
      <w:r w:rsidRPr="00F4753C">
        <w:rPr>
          <w:rFonts w:cs="DanaFajr"/>
          <w:sz w:val="28"/>
          <w:szCs w:val="28"/>
          <w:rtl/>
        </w:rPr>
        <w:t>127</w:t>
      </w:r>
      <w:r w:rsidRPr="00F4753C">
        <w:rPr>
          <w:rFonts w:cs="DanaFajr" w:hint="cs"/>
          <w:sz w:val="28"/>
          <w:szCs w:val="28"/>
          <w:rtl/>
        </w:rPr>
        <w:t>؛ شرف</w:t>
      </w:r>
      <w:r w:rsidRPr="00F4753C">
        <w:rPr>
          <w:rFonts w:cs="DanaFajr"/>
          <w:sz w:val="28"/>
          <w:szCs w:val="28"/>
          <w:rtl/>
        </w:rPr>
        <w:t xml:space="preserve"> </w:t>
      </w:r>
      <w:r w:rsidRPr="00F4753C">
        <w:rPr>
          <w:rFonts w:cs="DanaFajr" w:hint="cs"/>
          <w:sz w:val="28"/>
          <w:szCs w:val="28"/>
          <w:rtl/>
        </w:rPr>
        <w:t>الدين</w:t>
      </w:r>
      <w:r w:rsidRPr="00F4753C">
        <w:rPr>
          <w:rFonts w:cs="DanaFajr"/>
          <w:sz w:val="28"/>
          <w:szCs w:val="28"/>
          <w:rtl/>
        </w:rPr>
        <w:t xml:space="preserve"> </w:t>
      </w:r>
      <w:r w:rsidRPr="00F4753C">
        <w:rPr>
          <w:rFonts w:cs="DanaFajr" w:hint="cs"/>
          <w:sz w:val="28"/>
          <w:szCs w:val="28"/>
          <w:rtl/>
        </w:rPr>
        <w:t>العاملي، الفصول</w:t>
      </w:r>
      <w:r w:rsidRPr="001B24AC">
        <w:rPr>
          <w:rFonts w:cs="DanaFajr"/>
          <w:sz w:val="28"/>
          <w:szCs w:val="28"/>
          <w:rtl/>
        </w:rPr>
        <w:t xml:space="preserve"> </w:t>
      </w:r>
      <w:r w:rsidRPr="00F4753C">
        <w:rPr>
          <w:rFonts w:cs="DanaFajr" w:hint="cs"/>
          <w:sz w:val="28"/>
          <w:szCs w:val="28"/>
          <w:rtl/>
        </w:rPr>
        <w:t>المهمّة</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تأليف</w:t>
      </w:r>
      <w:r w:rsidRPr="00F4753C">
        <w:rPr>
          <w:rFonts w:cs="DanaFajr"/>
          <w:sz w:val="28"/>
          <w:szCs w:val="28"/>
          <w:rtl/>
        </w:rPr>
        <w:t xml:space="preserve"> </w:t>
      </w:r>
      <w:r w:rsidRPr="00F4753C">
        <w:rPr>
          <w:rFonts w:cs="DanaFajr" w:hint="cs"/>
          <w:sz w:val="28"/>
          <w:szCs w:val="28"/>
          <w:rtl/>
        </w:rPr>
        <w:t xml:space="preserve">الأمّة </w:t>
      </w:r>
      <w:r w:rsidRPr="00F4753C">
        <w:rPr>
          <w:rFonts w:cs="DanaFajr"/>
          <w:sz w:val="28"/>
          <w:szCs w:val="28"/>
          <w:rtl/>
        </w:rPr>
        <w:t>1</w:t>
      </w:r>
      <w:r w:rsidRPr="00F4753C">
        <w:rPr>
          <w:rFonts w:cs="DanaFajr" w:hint="cs"/>
          <w:sz w:val="28"/>
          <w:szCs w:val="28"/>
          <w:rtl/>
        </w:rPr>
        <w:t xml:space="preserve">: </w:t>
      </w:r>
      <w:r w:rsidRPr="00F4753C">
        <w:rPr>
          <w:rFonts w:cs="DanaFajr" w:hint="cs"/>
          <w:sz w:val="28"/>
          <w:szCs w:val="28"/>
          <w:rtl/>
          <w:lang w:bidi="ar-LB"/>
        </w:rPr>
        <w:t>5</w:t>
      </w:r>
      <w:r w:rsidRPr="00F4753C">
        <w:rPr>
          <w:rFonts w:cs="DanaFajr"/>
          <w:sz w:val="28"/>
          <w:szCs w:val="28"/>
          <w:rtl/>
        </w:rPr>
        <w:t>2</w:t>
      </w:r>
      <w:r w:rsidRPr="00F4753C">
        <w:rPr>
          <w:rFonts w:cs="DanaFajr" w:hint="cs"/>
          <w:sz w:val="28"/>
          <w:szCs w:val="28"/>
          <w:rtl/>
          <w:lang w:bidi="ar-LB"/>
        </w:rPr>
        <w:t>5</w:t>
      </w:r>
      <w:r w:rsidRPr="00F4753C">
        <w:rPr>
          <w:rFonts w:cs="DanaFajr" w:hint="cs"/>
          <w:sz w:val="28"/>
          <w:szCs w:val="28"/>
          <w:rtl/>
        </w:rPr>
        <w:t>. وراجع</w:t>
      </w:r>
      <w:r w:rsidRPr="00F4753C">
        <w:rPr>
          <w:rFonts w:cs="DanaFajr"/>
          <w:sz w:val="28"/>
          <w:szCs w:val="28"/>
          <w:rtl/>
        </w:rPr>
        <w:t xml:space="preserve">: </w:t>
      </w:r>
      <w:r w:rsidRPr="00F4753C">
        <w:rPr>
          <w:rFonts w:cs="DanaFajr" w:hint="cs"/>
          <w:sz w:val="28"/>
          <w:szCs w:val="28"/>
          <w:rtl/>
        </w:rPr>
        <w:t>القرطبي، الجامع</w:t>
      </w:r>
      <w:r w:rsidRPr="00F4753C">
        <w:rPr>
          <w:rFonts w:cs="DanaFajr"/>
          <w:sz w:val="28"/>
          <w:szCs w:val="28"/>
          <w:rtl/>
        </w:rPr>
        <w:t xml:space="preserve"> </w:t>
      </w:r>
      <w:r w:rsidRPr="00F4753C">
        <w:rPr>
          <w:rFonts w:cs="DanaFajr" w:hint="cs"/>
          <w:sz w:val="28"/>
          <w:szCs w:val="28"/>
          <w:rtl/>
        </w:rPr>
        <w:t>لأحكام</w:t>
      </w:r>
      <w:r w:rsidRPr="00F4753C">
        <w:rPr>
          <w:rFonts w:cs="DanaFajr"/>
          <w:sz w:val="28"/>
          <w:szCs w:val="28"/>
          <w:rtl/>
        </w:rPr>
        <w:t xml:space="preserve"> </w:t>
      </w:r>
      <w:r w:rsidRPr="00F4753C">
        <w:rPr>
          <w:rFonts w:cs="DanaFajr" w:hint="cs"/>
          <w:sz w:val="28"/>
          <w:szCs w:val="28"/>
          <w:rtl/>
        </w:rPr>
        <w:t xml:space="preserve">القرآن </w:t>
      </w:r>
      <w:r w:rsidRPr="00F4753C">
        <w:rPr>
          <w:rFonts w:cs="DanaFajr"/>
          <w:sz w:val="28"/>
          <w:szCs w:val="28"/>
          <w:rtl/>
        </w:rPr>
        <w:t>11</w:t>
      </w:r>
      <w:r w:rsidRPr="00F4753C">
        <w:rPr>
          <w:rFonts w:cs="DanaFajr" w:hint="cs"/>
          <w:sz w:val="28"/>
          <w:szCs w:val="28"/>
          <w:rtl/>
        </w:rPr>
        <w:t xml:space="preserve">: </w:t>
      </w:r>
      <w:r w:rsidRPr="00F4753C">
        <w:rPr>
          <w:rFonts w:cs="DanaFajr"/>
          <w:sz w:val="28"/>
          <w:szCs w:val="28"/>
          <w:rtl/>
        </w:rPr>
        <w:t>111</w:t>
      </w:r>
      <w:r w:rsidRPr="00F4753C">
        <w:rPr>
          <w:rFonts w:cs="DanaFajr" w:hint="cs"/>
          <w:sz w:val="28"/>
          <w:szCs w:val="28"/>
          <w:rtl/>
        </w:rPr>
        <w:t>.</w:t>
      </w:r>
    </w:p>
  </w:endnote>
  <w:endnote w:id="660">
    <w:p w:rsidR="00F41F33" w:rsidRPr="00F4753C" w:rsidRDefault="00F41F33" w:rsidP="001B24AC">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المجلسي، بحار الأنوار </w:t>
      </w:r>
      <w:r w:rsidRPr="00F4753C">
        <w:rPr>
          <w:rFonts w:cs="DanaFajr"/>
          <w:sz w:val="28"/>
          <w:szCs w:val="28"/>
          <w:rtl/>
        </w:rPr>
        <w:t>9</w:t>
      </w:r>
      <w:r w:rsidRPr="00F4753C">
        <w:rPr>
          <w:rFonts w:cs="DanaFajr" w:hint="cs"/>
          <w:sz w:val="28"/>
          <w:szCs w:val="28"/>
          <w:rtl/>
        </w:rPr>
        <w:t xml:space="preserve">: </w:t>
      </w:r>
      <w:r w:rsidRPr="00F4753C">
        <w:rPr>
          <w:rFonts w:cs="DanaFajr"/>
          <w:sz w:val="28"/>
          <w:szCs w:val="28"/>
          <w:rtl/>
        </w:rPr>
        <w:t>98</w:t>
      </w:r>
      <w:r w:rsidRPr="00F4753C">
        <w:rPr>
          <w:rFonts w:cs="DanaFajr" w:hint="cs"/>
          <w:sz w:val="28"/>
          <w:szCs w:val="28"/>
          <w:rtl/>
        </w:rPr>
        <w:t>،</w:t>
      </w:r>
      <w:r w:rsidRPr="00F4753C">
        <w:rPr>
          <w:rFonts w:cs="DanaFajr"/>
          <w:sz w:val="28"/>
          <w:szCs w:val="28"/>
          <w:rtl/>
        </w:rPr>
        <w:t xml:space="preserve"> 30</w:t>
      </w:r>
      <w:r w:rsidRPr="00F4753C">
        <w:rPr>
          <w:rFonts w:cs="DanaFajr" w:hint="cs"/>
          <w:sz w:val="28"/>
          <w:szCs w:val="28"/>
          <w:rtl/>
        </w:rPr>
        <w:t>؛ الطبراني، أبو‌ القاسم</w:t>
      </w:r>
      <w:r w:rsidRPr="00F4753C">
        <w:rPr>
          <w:rFonts w:cs="DanaFajr"/>
          <w:sz w:val="28"/>
          <w:szCs w:val="28"/>
          <w:rtl/>
        </w:rPr>
        <w:t xml:space="preserve"> </w:t>
      </w:r>
      <w:r w:rsidRPr="00F4753C">
        <w:rPr>
          <w:rFonts w:cs="DanaFajr" w:hint="cs"/>
          <w:sz w:val="28"/>
          <w:szCs w:val="28"/>
          <w:rtl/>
        </w:rPr>
        <w:t xml:space="preserve">سليمان‌ بن ‌أحمد، </w:t>
      </w:r>
      <w:r w:rsidRPr="00F4753C">
        <w:rPr>
          <w:rFonts w:ascii="Times New Roman" w:hAnsi="Times New Roman" w:cs="DanaFajr" w:hint="cs"/>
          <w:sz w:val="28"/>
          <w:szCs w:val="28"/>
          <w:rtl/>
          <w:lang w:bidi="fa-IR"/>
        </w:rPr>
        <w:t>المعجم الكبير</w:t>
      </w:r>
      <w:r w:rsidRPr="00F4753C">
        <w:rPr>
          <w:rFonts w:cs="DanaFajr" w:hint="cs"/>
          <w:sz w:val="28"/>
          <w:szCs w:val="28"/>
          <w:rtl/>
        </w:rPr>
        <w:t xml:space="preserve"> </w:t>
      </w:r>
      <w:r w:rsidRPr="00F4753C">
        <w:rPr>
          <w:rFonts w:cs="DanaFajr"/>
          <w:sz w:val="28"/>
          <w:szCs w:val="28"/>
          <w:rtl/>
        </w:rPr>
        <w:t>17</w:t>
      </w:r>
      <w:r w:rsidRPr="00F4753C">
        <w:rPr>
          <w:rFonts w:cs="DanaFajr" w:hint="cs"/>
          <w:sz w:val="28"/>
          <w:szCs w:val="28"/>
          <w:rtl/>
        </w:rPr>
        <w:t>:</w:t>
      </w:r>
      <w:r w:rsidRPr="001B24AC">
        <w:rPr>
          <w:rFonts w:cs="DanaFajr" w:hint="cs"/>
          <w:sz w:val="28"/>
          <w:szCs w:val="28"/>
          <w:rtl/>
        </w:rPr>
        <w:t xml:space="preserve"> </w:t>
      </w:r>
      <w:r w:rsidRPr="00F4753C">
        <w:rPr>
          <w:rFonts w:cs="DanaFajr"/>
          <w:sz w:val="28"/>
          <w:szCs w:val="28"/>
          <w:rtl/>
        </w:rPr>
        <w:t>92</w:t>
      </w:r>
      <w:r w:rsidRPr="00F4753C">
        <w:rPr>
          <w:rFonts w:cs="DanaFajr" w:hint="cs"/>
          <w:sz w:val="28"/>
          <w:szCs w:val="28"/>
          <w:rtl/>
        </w:rPr>
        <w:t>؛ الطبرسي،</w:t>
      </w:r>
      <w:r w:rsidRPr="00F4753C">
        <w:rPr>
          <w:rFonts w:cs="DanaFajr"/>
          <w:sz w:val="28"/>
          <w:szCs w:val="28"/>
          <w:rtl/>
        </w:rPr>
        <w:t xml:space="preserve"> </w:t>
      </w:r>
      <w:r w:rsidRPr="00F4753C">
        <w:rPr>
          <w:rFonts w:cs="DanaFajr" w:hint="cs"/>
          <w:sz w:val="28"/>
          <w:szCs w:val="28"/>
          <w:rtl/>
        </w:rPr>
        <w:t>مجمع</w:t>
      </w:r>
      <w:r w:rsidRPr="00F4753C">
        <w:rPr>
          <w:rFonts w:cs="DanaFajr"/>
          <w:sz w:val="28"/>
          <w:szCs w:val="28"/>
          <w:rtl/>
        </w:rPr>
        <w:t xml:space="preserve"> </w:t>
      </w:r>
      <w:r w:rsidRPr="00F4753C">
        <w:rPr>
          <w:rFonts w:cs="DanaFajr" w:hint="cs"/>
          <w:sz w:val="28"/>
          <w:szCs w:val="28"/>
          <w:rtl/>
        </w:rPr>
        <w:t>البيان</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تفسير</w:t>
      </w:r>
      <w:r w:rsidRPr="00F4753C">
        <w:rPr>
          <w:rFonts w:cs="DanaFajr"/>
          <w:sz w:val="28"/>
          <w:szCs w:val="28"/>
          <w:rtl/>
        </w:rPr>
        <w:t xml:space="preserve"> </w:t>
      </w:r>
      <w:r w:rsidRPr="00F4753C">
        <w:rPr>
          <w:rFonts w:cs="DanaFajr" w:hint="cs"/>
          <w:sz w:val="28"/>
          <w:szCs w:val="28"/>
          <w:rtl/>
        </w:rPr>
        <w:t>القرآن</w:t>
      </w:r>
      <w:r w:rsidRPr="00F4753C">
        <w:rPr>
          <w:rFonts w:cs="DanaFajr" w:hint="cs"/>
          <w:sz w:val="28"/>
          <w:szCs w:val="28"/>
          <w:rtl/>
          <w:lang w:bidi="ar-LB"/>
        </w:rPr>
        <w:t xml:space="preserve"> 5</w:t>
      </w:r>
      <w:r w:rsidRPr="00F4753C">
        <w:rPr>
          <w:rFonts w:cs="DanaFajr" w:hint="cs"/>
          <w:sz w:val="28"/>
          <w:szCs w:val="28"/>
          <w:rtl/>
        </w:rPr>
        <w:t xml:space="preserve">: </w:t>
      </w:r>
      <w:r w:rsidRPr="00F4753C">
        <w:rPr>
          <w:rFonts w:cs="DanaFajr" w:hint="cs"/>
          <w:sz w:val="28"/>
          <w:szCs w:val="28"/>
          <w:rtl/>
          <w:lang w:bidi="ar-LB"/>
        </w:rPr>
        <w:t>4</w:t>
      </w:r>
      <w:r w:rsidRPr="00F4753C">
        <w:rPr>
          <w:rFonts w:cs="DanaFajr"/>
          <w:sz w:val="28"/>
          <w:szCs w:val="28"/>
          <w:rtl/>
        </w:rPr>
        <w:t>3</w:t>
      </w:r>
      <w:r w:rsidRPr="00F4753C">
        <w:rPr>
          <w:rFonts w:cs="DanaFajr" w:hint="cs"/>
          <w:sz w:val="28"/>
          <w:szCs w:val="28"/>
          <w:rtl/>
        </w:rPr>
        <w:t>؛ الحويزي، تفسير</w:t>
      </w:r>
      <w:r w:rsidRPr="00F4753C">
        <w:rPr>
          <w:rFonts w:cs="DanaFajr"/>
          <w:sz w:val="28"/>
          <w:szCs w:val="28"/>
          <w:rtl/>
        </w:rPr>
        <w:t xml:space="preserve"> </w:t>
      </w:r>
      <w:r w:rsidRPr="00F4753C">
        <w:rPr>
          <w:rFonts w:cs="DanaFajr" w:hint="cs"/>
          <w:sz w:val="28"/>
          <w:szCs w:val="28"/>
          <w:rtl/>
        </w:rPr>
        <w:t>نور</w:t>
      </w:r>
      <w:r w:rsidRPr="00F4753C">
        <w:rPr>
          <w:rFonts w:cs="DanaFajr"/>
          <w:sz w:val="28"/>
          <w:szCs w:val="28"/>
          <w:rtl/>
        </w:rPr>
        <w:t xml:space="preserve"> </w:t>
      </w:r>
      <w:r w:rsidRPr="00F4753C">
        <w:rPr>
          <w:rFonts w:cs="DanaFajr" w:hint="cs"/>
          <w:sz w:val="28"/>
          <w:szCs w:val="28"/>
          <w:rtl/>
        </w:rPr>
        <w:t>الثقلين</w:t>
      </w:r>
      <w:r w:rsidRPr="00F4753C">
        <w:rPr>
          <w:rFonts w:cs="DanaFajr"/>
          <w:sz w:val="28"/>
          <w:szCs w:val="28"/>
          <w:rtl/>
        </w:rPr>
        <w:t xml:space="preserve"> 2</w:t>
      </w:r>
      <w:r w:rsidRPr="00F4753C">
        <w:rPr>
          <w:rFonts w:cs="DanaFajr" w:hint="cs"/>
          <w:sz w:val="28"/>
          <w:szCs w:val="28"/>
          <w:rtl/>
        </w:rPr>
        <w:t xml:space="preserve">: </w:t>
      </w:r>
      <w:r w:rsidRPr="00F4753C">
        <w:rPr>
          <w:rFonts w:cs="DanaFajr"/>
          <w:sz w:val="28"/>
          <w:szCs w:val="28"/>
          <w:rtl/>
        </w:rPr>
        <w:t>209</w:t>
      </w:r>
      <w:r w:rsidRPr="00F4753C">
        <w:rPr>
          <w:rFonts w:cs="DanaFajr" w:hint="cs"/>
          <w:sz w:val="28"/>
          <w:szCs w:val="28"/>
          <w:rtl/>
        </w:rPr>
        <w:t>؛</w:t>
      </w:r>
      <w:r w:rsidRPr="001B24AC">
        <w:rPr>
          <w:rFonts w:cs="DanaFajr" w:hint="cs"/>
          <w:sz w:val="28"/>
          <w:szCs w:val="28"/>
          <w:rtl/>
        </w:rPr>
        <w:t xml:space="preserve"> </w:t>
      </w:r>
      <w:r w:rsidRPr="00F4753C">
        <w:rPr>
          <w:rFonts w:cs="DanaFajr" w:hint="cs"/>
          <w:sz w:val="28"/>
          <w:szCs w:val="28"/>
          <w:rtl/>
        </w:rPr>
        <w:t>الطبري، جامع</w:t>
      </w:r>
      <w:r w:rsidRPr="00F4753C">
        <w:rPr>
          <w:rFonts w:cs="DanaFajr"/>
          <w:sz w:val="28"/>
          <w:szCs w:val="28"/>
          <w:rtl/>
        </w:rPr>
        <w:t xml:space="preserve"> </w:t>
      </w:r>
      <w:r w:rsidRPr="00F4753C">
        <w:rPr>
          <w:rFonts w:cs="DanaFajr" w:hint="cs"/>
          <w:sz w:val="28"/>
          <w:szCs w:val="28"/>
          <w:rtl/>
        </w:rPr>
        <w:t>البيان</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تفسير</w:t>
      </w:r>
      <w:r w:rsidRPr="00F4753C">
        <w:rPr>
          <w:rFonts w:cs="DanaFajr"/>
          <w:sz w:val="28"/>
          <w:szCs w:val="28"/>
          <w:rtl/>
        </w:rPr>
        <w:t xml:space="preserve"> </w:t>
      </w:r>
      <w:r w:rsidRPr="00F4753C">
        <w:rPr>
          <w:rFonts w:cs="DanaFajr" w:hint="cs"/>
          <w:sz w:val="28"/>
          <w:szCs w:val="28"/>
          <w:rtl/>
        </w:rPr>
        <w:t xml:space="preserve">القرآن </w:t>
      </w:r>
      <w:r w:rsidRPr="00F4753C">
        <w:rPr>
          <w:rFonts w:cs="DanaFajr"/>
          <w:sz w:val="28"/>
          <w:szCs w:val="28"/>
          <w:rtl/>
        </w:rPr>
        <w:t>10</w:t>
      </w:r>
      <w:r w:rsidRPr="00F4753C">
        <w:rPr>
          <w:rFonts w:cs="DanaFajr" w:hint="cs"/>
          <w:sz w:val="28"/>
          <w:szCs w:val="28"/>
          <w:rtl/>
        </w:rPr>
        <w:t xml:space="preserve">: </w:t>
      </w:r>
      <w:r w:rsidRPr="00F4753C">
        <w:rPr>
          <w:rFonts w:cs="DanaFajr"/>
          <w:sz w:val="28"/>
          <w:szCs w:val="28"/>
          <w:rtl/>
        </w:rPr>
        <w:t>1</w:t>
      </w:r>
      <w:r w:rsidRPr="00F4753C">
        <w:rPr>
          <w:rFonts w:cs="DanaFajr" w:hint="cs"/>
          <w:sz w:val="28"/>
          <w:szCs w:val="28"/>
          <w:rtl/>
          <w:lang w:bidi="ar-LB"/>
        </w:rPr>
        <w:t>4</w:t>
      </w:r>
      <w:r w:rsidRPr="00F4753C">
        <w:rPr>
          <w:rFonts w:cs="DanaFajr"/>
          <w:sz w:val="28"/>
          <w:szCs w:val="28"/>
          <w:rtl/>
        </w:rPr>
        <w:t>7</w:t>
      </w:r>
      <w:r w:rsidRPr="00F4753C">
        <w:rPr>
          <w:rFonts w:cs="DanaFajr" w:hint="cs"/>
          <w:sz w:val="28"/>
          <w:szCs w:val="28"/>
          <w:rtl/>
        </w:rPr>
        <w:t xml:space="preserve">؛ تفسير الثعلبي </w:t>
      </w:r>
      <w:r w:rsidRPr="00F4753C">
        <w:rPr>
          <w:rFonts w:cs="DanaFajr" w:hint="cs"/>
          <w:sz w:val="28"/>
          <w:szCs w:val="28"/>
          <w:rtl/>
          <w:lang w:bidi="ar-LB"/>
        </w:rPr>
        <w:t>5</w:t>
      </w:r>
      <w:r w:rsidRPr="00F4753C">
        <w:rPr>
          <w:rFonts w:cs="DanaFajr" w:hint="cs"/>
          <w:sz w:val="28"/>
          <w:szCs w:val="28"/>
          <w:rtl/>
        </w:rPr>
        <w:t xml:space="preserve">: </w:t>
      </w:r>
      <w:r w:rsidRPr="00F4753C">
        <w:rPr>
          <w:rFonts w:cs="DanaFajr"/>
          <w:sz w:val="28"/>
          <w:szCs w:val="28"/>
          <w:rtl/>
        </w:rPr>
        <w:t>3</w:t>
      </w:r>
      <w:r w:rsidRPr="00F4753C">
        <w:rPr>
          <w:rFonts w:cs="DanaFajr" w:hint="cs"/>
          <w:sz w:val="28"/>
          <w:szCs w:val="28"/>
          <w:rtl/>
          <w:lang w:bidi="ar-LB"/>
        </w:rPr>
        <w:t>4</w:t>
      </w:r>
      <w:r w:rsidRPr="00F4753C">
        <w:rPr>
          <w:rFonts w:cs="DanaFajr" w:hint="cs"/>
          <w:sz w:val="28"/>
          <w:szCs w:val="28"/>
          <w:rtl/>
        </w:rPr>
        <w:t>.</w:t>
      </w:r>
    </w:p>
  </w:endnote>
  <w:endnote w:id="661">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الطبرسي،</w:t>
      </w:r>
      <w:r w:rsidRPr="00F4753C">
        <w:rPr>
          <w:rFonts w:cs="DanaFajr"/>
          <w:sz w:val="28"/>
          <w:szCs w:val="28"/>
          <w:rtl/>
        </w:rPr>
        <w:t xml:space="preserve"> </w:t>
      </w:r>
      <w:r w:rsidRPr="00F4753C">
        <w:rPr>
          <w:rFonts w:cs="DanaFajr" w:hint="cs"/>
          <w:sz w:val="28"/>
          <w:szCs w:val="28"/>
          <w:rtl/>
        </w:rPr>
        <w:t>مجمع</w:t>
      </w:r>
      <w:r w:rsidRPr="00F4753C">
        <w:rPr>
          <w:rFonts w:cs="DanaFajr"/>
          <w:sz w:val="28"/>
          <w:szCs w:val="28"/>
          <w:rtl/>
        </w:rPr>
        <w:t xml:space="preserve"> </w:t>
      </w:r>
      <w:r w:rsidRPr="00F4753C">
        <w:rPr>
          <w:rFonts w:cs="DanaFajr" w:hint="cs"/>
          <w:sz w:val="28"/>
          <w:szCs w:val="28"/>
          <w:rtl/>
        </w:rPr>
        <w:t>البيان</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تفسير</w:t>
      </w:r>
      <w:r w:rsidRPr="00F4753C">
        <w:rPr>
          <w:rFonts w:cs="DanaFajr"/>
          <w:sz w:val="28"/>
          <w:szCs w:val="28"/>
          <w:rtl/>
        </w:rPr>
        <w:t xml:space="preserve"> </w:t>
      </w:r>
      <w:r w:rsidRPr="00F4753C">
        <w:rPr>
          <w:rFonts w:cs="DanaFajr" w:hint="cs"/>
          <w:sz w:val="28"/>
          <w:szCs w:val="28"/>
          <w:rtl/>
        </w:rPr>
        <w:t>القرآن</w:t>
      </w:r>
      <w:r w:rsidRPr="00F4753C">
        <w:rPr>
          <w:rFonts w:cs="DanaFajr" w:hint="cs"/>
          <w:sz w:val="28"/>
          <w:szCs w:val="28"/>
          <w:rtl/>
          <w:lang w:bidi="ar-LB"/>
        </w:rPr>
        <w:t xml:space="preserve"> 5</w:t>
      </w:r>
      <w:r w:rsidRPr="00F4753C">
        <w:rPr>
          <w:rFonts w:cs="DanaFajr" w:hint="cs"/>
          <w:sz w:val="28"/>
          <w:szCs w:val="28"/>
          <w:rtl/>
        </w:rPr>
        <w:t xml:space="preserve">: </w:t>
      </w:r>
      <w:r w:rsidRPr="00F4753C">
        <w:rPr>
          <w:rFonts w:cs="DanaFajr"/>
          <w:sz w:val="28"/>
          <w:szCs w:val="28"/>
          <w:rtl/>
        </w:rPr>
        <w:t>23</w:t>
      </w:r>
      <w:r w:rsidRPr="00F4753C">
        <w:rPr>
          <w:rFonts w:cs="DanaFajr" w:hint="cs"/>
          <w:sz w:val="28"/>
          <w:szCs w:val="28"/>
          <w:rtl/>
        </w:rPr>
        <w:t>.</w:t>
      </w:r>
    </w:p>
  </w:endnote>
  <w:endnote w:id="662">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الكل</w:t>
      </w:r>
      <w:r w:rsidRPr="00F4753C">
        <w:rPr>
          <w:rFonts w:ascii="Times New Roman" w:hAnsi="Times New Roman" w:cs="DanaFajr" w:hint="cs"/>
          <w:sz w:val="28"/>
          <w:szCs w:val="28"/>
          <w:rtl/>
        </w:rPr>
        <w:t>ي</w:t>
      </w:r>
      <w:r w:rsidRPr="00F4753C">
        <w:rPr>
          <w:rFonts w:cs="DanaFajr" w:hint="cs"/>
          <w:sz w:val="28"/>
          <w:szCs w:val="28"/>
          <w:rtl/>
        </w:rPr>
        <w:t xml:space="preserve">ني، الكافي </w:t>
      </w:r>
      <w:r w:rsidRPr="00F4753C">
        <w:rPr>
          <w:rFonts w:cs="DanaFajr"/>
          <w:sz w:val="28"/>
          <w:szCs w:val="28"/>
          <w:rtl/>
        </w:rPr>
        <w:t>2</w:t>
      </w:r>
      <w:r w:rsidRPr="00F4753C">
        <w:rPr>
          <w:rFonts w:cs="DanaFajr" w:hint="cs"/>
          <w:sz w:val="28"/>
          <w:szCs w:val="28"/>
          <w:rtl/>
        </w:rPr>
        <w:t xml:space="preserve">: </w:t>
      </w:r>
      <w:r w:rsidRPr="00F4753C">
        <w:rPr>
          <w:rFonts w:cs="DanaFajr"/>
          <w:sz w:val="28"/>
          <w:szCs w:val="28"/>
          <w:rtl/>
        </w:rPr>
        <w:t>398</w:t>
      </w:r>
      <w:r w:rsidRPr="00F4753C">
        <w:rPr>
          <w:rFonts w:cs="DanaFajr" w:hint="cs"/>
          <w:sz w:val="28"/>
          <w:szCs w:val="28"/>
          <w:rtl/>
        </w:rPr>
        <w:t>؛ الطبرس</w:t>
      </w:r>
      <w:r w:rsidRPr="00F4753C">
        <w:rPr>
          <w:rFonts w:ascii="Times New Roman" w:hAnsi="Times New Roman" w:cs="DanaFajr" w:hint="cs"/>
          <w:sz w:val="28"/>
          <w:szCs w:val="28"/>
          <w:rtl/>
        </w:rPr>
        <w:t>ي</w:t>
      </w:r>
      <w:r w:rsidRPr="00F4753C">
        <w:rPr>
          <w:rFonts w:cs="DanaFajr" w:hint="cs"/>
          <w:sz w:val="28"/>
          <w:szCs w:val="28"/>
          <w:rtl/>
        </w:rPr>
        <w:t>، مجمع</w:t>
      </w:r>
      <w:r w:rsidRPr="00F4753C">
        <w:rPr>
          <w:rFonts w:cs="DanaFajr"/>
          <w:sz w:val="28"/>
          <w:szCs w:val="28"/>
          <w:rtl/>
        </w:rPr>
        <w:t xml:space="preserve"> </w:t>
      </w:r>
      <w:r w:rsidRPr="00F4753C">
        <w:rPr>
          <w:rFonts w:cs="DanaFajr" w:hint="cs"/>
          <w:sz w:val="28"/>
          <w:szCs w:val="28"/>
          <w:rtl/>
        </w:rPr>
        <w:t>البيان</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تفسير</w:t>
      </w:r>
      <w:r w:rsidRPr="00F4753C">
        <w:rPr>
          <w:rFonts w:cs="DanaFajr"/>
          <w:sz w:val="28"/>
          <w:szCs w:val="28"/>
          <w:rtl/>
        </w:rPr>
        <w:t xml:space="preserve"> </w:t>
      </w:r>
      <w:r w:rsidRPr="00F4753C">
        <w:rPr>
          <w:rFonts w:cs="DanaFajr" w:hint="cs"/>
          <w:sz w:val="28"/>
          <w:szCs w:val="28"/>
          <w:rtl/>
        </w:rPr>
        <w:t>القرآن</w:t>
      </w:r>
      <w:r w:rsidRPr="00F4753C">
        <w:rPr>
          <w:rFonts w:cs="DanaFajr" w:hint="cs"/>
          <w:sz w:val="28"/>
          <w:szCs w:val="28"/>
          <w:rtl/>
          <w:lang w:bidi="ar-LB"/>
        </w:rPr>
        <w:t xml:space="preserve"> 5</w:t>
      </w:r>
      <w:r w:rsidRPr="00F4753C">
        <w:rPr>
          <w:rFonts w:cs="DanaFajr" w:hint="cs"/>
          <w:sz w:val="28"/>
          <w:szCs w:val="28"/>
          <w:rtl/>
        </w:rPr>
        <w:t xml:space="preserve">: </w:t>
      </w:r>
      <w:r w:rsidRPr="00F4753C">
        <w:rPr>
          <w:rFonts w:cs="DanaFajr"/>
          <w:sz w:val="28"/>
          <w:szCs w:val="28"/>
          <w:rtl/>
        </w:rPr>
        <w:t>23</w:t>
      </w:r>
      <w:r w:rsidRPr="00F4753C">
        <w:rPr>
          <w:rFonts w:cs="DanaFajr" w:hint="cs"/>
          <w:sz w:val="28"/>
          <w:szCs w:val="28"/>
          <w:rtl/>
        </w:rPr>
        <w:t>.</w:t>
      </w:r>
    </w:p>
  </w:endnote>
  <w:endnote w:id="663">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الطباطبا</w:t>
      </w:r>
      <w:r w:rsidRPr="00F4753C">
        <w:rPr>
          <w:rFonts w:ascii="Times New Roman" w:hAnsi="Times New Roman" w:cs="DanaFajr" w:hint="cs"/>
          <w:sz w:val="28"/>
          <w:szCs w:val="28"/>
          <w:rtl/>
        </w:rPr>
        <w:t>ئي</w:t>
      </w:r>
      <w:r w:rsidRPr="00F4753C">
        <w:rPr>
          <w:rFonts w:cs="DanaFajr" w:hint="cs"/>
          <w:sz w:val="28"/>
          <w:szCs w:val="28"/>
          <w:rtl/>
        </w:rPr>
        <w:t>، الميزان</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تفسير</w:t>
      </w:r>
      <w:r w:rsidRPr="00F4753C">
        <w:rPr>
          <w:rFonts w:cs="DanaFajr"/>
          <w:sz w:val="28"/>
          <w:szCs w:val="28"/>
          <w:rtl/>
        </w:rPr>
        <w:t xml:space="preserve"> </w:t>
      </w:r>
      <w:r w:rsidRPr="00F4753C">
        <w:rPr>
          <w:rFonts w:cs="DanaFajr" w:hint="cs"/>
          <w:sz w:val="28"/>
          <w:szCs w:val="28"/>
          <w:rtl/>
        </w:rPr>
        <w:t xml:space="preserve">القرآن </w:t>
      </w:r>
      <w:r w:rsidRPr="00F4753C">
        <w:rPr>
          <w:rFonts w:cs="DanaFajr"/>
          <w:sz w:val="28"/>
          <w:szCs w:val="28"/>
          <w:rtl/>
        </w:rPr>
        <w:t>9</w:t>
      </w:r>
      <w:r w:rsidRPr="00F4753C">
        <w:rPr>
          <w:rFonts w:cs="DanaFajr" w:hint="cs"/>
          <w:sz w:val="28"/>
          <w:szCs w:val="28"/>
          <w:rtl/>
        </w:rPr>
        <w:t xml:space="preserve">: </w:t>
      </w:r>
      <w:r w:rsidRPr="00F4753C">
        <w:rPr>
          <w:rFonts w:cs="DanaFajr"/>
          <w:sz w:val="28"/>
          <w:szCs w:val="28"/>
          <w:rtl/>
        </w:rPr>
        <w:t>2</w:t>
      </w:r>
      <w:r w:rsidRPr="00F4753C">
        <w:rPr>
          <w:rFonts w:cs="DanaFajr" w:hint="cs"/>
          <w:sz w:val="28"/>
          <w:szCs w:val="28"/>
          <w:rtl/>
          <w:lang w:bidi="ar-LB"/>
        </w:rPr>
        <w:t>45</w:t>
      </w:r>
      <w:r w:rsidRPr="00F4753C">
        <w:rPr>
          <w:rFonts w:cs="DanaFajr" w:hint="cs"/>
          <w:sz w:val="28"/>
          <w:szCs w:val="28"/>
          <w:rtl/>
        </w:rPr>
        <w:t>.</w:t>
      </w:r>
    </w:p>
  </w:endnote>
  <w:endnote w:id="664">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الخم</w:t>
      </w:r>
      <w:r w:rsidRPr="00F4753C">
        <w:rPr>
          <w:rFonts w:ascii="Times New Roman" w:hAnsi="Times New Roman" w:cs="DanaFajr" w:hint="cs"/>
          <w:sz w:val="28"/>
          <w:szCs w:val="28"/>
          <w:rtl/>
        </w:rPr>
        <w:t>ي</w:t>
      </w:r>
      <w:r w:rsidRPr="00F4753C">
        <w:rPr>
          <w:rFonts w:cs="DanaFajr" w:hint="cs"/>
          <w:sz w:val="28"/>
          <w:szCs w:val="28"/>
          <w:rtl/>
        </w:rPr>
        <w:t>ن</w:t>
      </w:r>
      <w:r w:rsidRPr="00F4753C">
        <w:rPr>
          <w:rFonts w:ascii="Times New Roman" w:hAnsi="Times New Roman" w:cs="DanaFajr" w:hint="cs"/>
          <w:sz w:val="28"/>
          <w:szCs w:val="28"/>
          <w:rtl/>
        </w:rPr>
        <w:t>ي</w:t>
      </w:r>
      <w:r w:rsidRPr="00F4753C">
        <w:rPr>
          <w:rFonts w:cs="DanaFajr" w:hint="cs"/>
          <w:sz w:val="28"/>
          <w:szCs w:val="28"/>
          <w:rtl/>
        </w:rPr>
        <w:t>، كتاب</w:t>
      </w:r>
      <w:r w:rsidRPr="00F4753C">
        <w:rPr>
          <w:rFonts w:cs="DanaFajr"/>
          <w:sz w:val="28"/>
          <w:szCs w:val="28"/>
          <w:rtl/>
        </w:rPr>
        <w:t xml:space="preserve"> </w:t>
      </w:r>
      <w:r w:rsidRPr="00F4753C">
        <w:rPr>
          <w:rFonts w:cs="DanaFajr" w:hint="cs"/>
          <w:sz w:val="28"/>
          <w:szCs w:val="28"/>
          <w:rtl/>
        </w:rPr>
        <w:t>الطهارة</w:t>
      </w:r>
      <w:r w:rsidRPr="00F4753C">
        <w:rPr>
          <w:rFonts w:cs="DanaFajr"/>
          <w:sz w:val="28"/>
          <w:szCs w:val="28"/>
          <w:rtl/>
        </w:rPr>
        <w:t xml:space="preserve"> 3</w:t>
      </w:r>
      <w:r w:rsidRPr="00F4753C">
        <w:rPr>
          <w:rFonts w:cs="DanaFajr" w:hint="cs"/>
          <w:sz w:val="28"/>
          <w:szCs w:val="28"/>
          <w:rtl/>
        </w:rPr>
        <w:t xml:space="preserve">: </w:t>
      </w:r>
      <w:r w:rsidRPr="00F4753C">
        <w:rPr>
          <w:rFonts w:cs="DanaFajr"/>
          <w:sz w:val="28"/>
          <w:szCs w:val="28"/>
          <w:rtl/>
        </w:rPr>
        <w:t>29</w:t>
      </w:r>
      <w:r w:rsidRPr="00F4753C">
        <w:rPr>
          <w:rFonts w:cs="DanaFajr" w:hint="cs"/>
          <w:sz w:val="28"/>
          <w:szCs w:val="28"/>
          <w:rtl/>
          <w:lang w:bidi="ar-LB"/>
        </w:rPr>
        <w:t>6</w:t>
      </w:r>
      <w:r w:rsidRPr="00F4753C">
        <w:rPr>
          <w:rFonts w:cs="DanaFajr" w:hint="cs"/>
          <w:sz w:val="28"/>
          <w:szCs w:val="28"/>
          <w:rtl/>
        </w:rPr>
        <w:t>.</w:t>
      </w:r>
    </w:p>
  </w:endnote>
  <w:endnote w:id="665">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الحك</w:t>
      </w:r>
      <w:r w:rsidRPr="00F4753C">
        <w:rPr>
          <w:rFonts w:ascii="Times New Roman" w:hAnsi="Times New Roman" w:cs="DanaFajr" w:hint="cs"/>
          <w:sz w:val="28"/>
          <w:szCs w:val="28"/>
          <w:rtl/>
        </w:rPr>
        <w:t>ي</w:t>
      </w:r>
      <w:r w:rsidRPr="00F4753C">
        <w:rPr>
          <w:rFonts w:cs="DanaFajr" w:hint="cs"/>
          <w:sz w:val="28"/>
          <w:szCs w:val="28"/>
          <w:rtl/>
        </w:rPr>
        <w:t>م، مستمسك</w:t>
      </w:r>
      <w:r w:rsidRPr="00F4753C">
        <w:rPr>
          <w:rFonts w:cs="DanaFajr"/>
          <w:sz w:val="28"/>
          <w:szCs w:val="28"/>
          <w:rtl/>
        </w:rPr>
        <w:t xml:space="preserve"> </w:t>
      </w:r>
      <w:r w:rsidRPr="00F4753C">
        <w:rPr>
          <w:rFonts w:cs="DanaFajr" w:hint="cs"/>
          <w:sz w:val="28"/>
          <w:szCs w:val="28"/>
          <w:rtl/>
        </w:rPr>
        <w:t>العروة</w:t>
      </w:r>
      <w:r w:rsidRPr="00F4753C">
        <w:rPr>
          <w:rFonts w:cs="DanaFajr"/>
          <w:sz w:val="28"/>
          <w:szCs w:val="28"/>
          <w:rtl/>
        </w:rPr>
        <w:t xml:space="preserve"> </w:t>
      </w:r>
      <w:r w:rsidRPr="00F4753C">
        <w:rPr>
          <w:rFonts w:cs="DanaFajr" w:hint="cs"/>
          <w:sz w:val="28"/>
          <w:szCs w:val="28"/>
          <w:rtl/>
        </w:rPr>
        <w:t xml:space="preserve">الوثقى </w:t>
      </w:r>
      <w:r w:rsidRPr="00F4753C">
        <w:rPr>
          <w:rFonts w:cs="DanaFajr"/>
          <w:sz w:val="28"/>
          <w:szCs w:val="28"/>
          <w:rtl/>
        </w:rPr>
        <w:t>1</w:t>
      </w:r>
      <w:r w:rsidRPr="00F4753C">
        <w:rPr>
          <w:rFonts w:cs="DanaFajr" w:hint="cs"/>
          <w:sz w:val="28"/>
          <w:szCs w:val="28"/>
          <w:rtl/>
        </w:rPr>
        <w:t xml:space="preserve">: </w:t>
      </w:r>
      <w:r w:rsidRPr="00F4753C">
        <w:rPr>
          <w:rFonts w:cs="DanaFajr"/>
          <w:sz w:val="28"/>
          <w:szCs w:val="28"/>
          <w:rtl/>
        </w:rPr>
        <w:t>3</w:t>
      </w:r>
      <w:r w:rsidRPr="00F4753C">
        <w:rPr>
          <w:rFonts w:cs="DanaFajr" w:hint="cs"/>
          <w:sz w:val="28"/>
          <w:szCs w:val="28"/>
          <w:rtl/>
          <w:lang w:bidi="ar-LB"/>
        </w:rPr>
        <w:t>6</w:t>
      </w:r>
      <w:r w:rsidRPr="00F4753C">
        <w:rPr>
          <w:rFonts w:cs="DanaFajr"/>
          <w:sz w:val="28"/>
          <w:szCs w:val="28"/>
          <w:rtl/>
        </w:rPr>
        <w:t>9</w:t>
      </w:r>
      <w:r w:rsidRPr="00F4753C">
        <w:rPr>
          <w:rFonts w:cs="DanaFajr" w:hint="cs"/>
          <w:sz w:val="28"/>
          <w:szCs w:val="28"/>
          <w:rtl/>
        </w:rPr>
        <w:t>.</w:t>
      </w:r>
    </w:p>
  </w:endnote>
  <w:endnote w:id="666">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الفخر الرازي، التفسير</w:t>
      </w:r>
      <w:r w:rsidRPr="00F4753C">
        <w:rPr>
          <w:rFonts w:cs="DanaFajr"/>
          <w:sz w:val="28"/>
          <w:szCs w:val="28"/>
          <w:rtl/>
        </w:rPr>
        <w:t xml:space="preserve"> </w:t>
      </w:r>
      <w:r w:rsidRPr="00F4753C">
        <w:rPr>
          <w:rFonts w:cs="DanaFajr" w:hint="cs"/>
          <w:sz w:val="28"/>
          <w:szCs w:val="28"/>
          <w:rtl/>
        </w:rPr>
        <w:t>الكبير</w:t>
      </w:r>
      <w:r w:rsidRPr="00F4753C">
        <w:rPr>
          <w:rFonts w:cs="DanaFajr"/>
          <w:sz w:val="28"/>
          <w:szCs w:val="28"/>
          <w:rtl/>
        </w:rPr>
        <w:t xml:space="preserve"> </w:t>
      </w:r>
      <w:r w:rsidRPr="00F4753C">
        <w:rPr>
          <w:rFonts w:cs="DanaFajr" w:hint="cs"/>
          <w:sz w:val="28"/>
          <w:szCs w:val="28"/>
          <w:rtl/>
        </w:rPr>
        <w:t>أو</w:t>
      </w:r>
      <w:r w:rsidRPr="00F4753C">
        <w:rPr>
          <w:rFonts w:cs="DanaFajr"/>
          <w:sz w:val="28"/>
          <w:szCs w:val="28"/>
          <w:rtl/>
        </w:rPr>
        <w:t xml:space="preserve"> </w:t>
      </w:r>
      <w:r w:rsidRPr="00F4753C">
        <w:rPr>
          <w:rFonts w:cs="DanaFajr" w:hint="cs"/>
          <w:sz w:val="28"/>
          <w:szCs w:val="28"/>
          <w:rtl/>
        </w:rPr>
        <w:t>مفاتيح</w:t>
      </w:r>
      <w:r w:rsidRPr="00F4753C">
        <w:rPr>
          <w:rFonts w:cs="DanaFajr"/>
          <w:sz w:val="28"/>
          <w:szCs w:val="28"/>
          <w:rtl/>
        </w:rPr>
        <w:t xml:space="preserve"> </w:t>
      </w:r>
      <w:r w:rsidRPr="00F4753C">
        <w:rPr>
          <w:rFonts w:cs="DanaFajr" w:hint="cs"/>
          <w:sz w:val="28"/>
          <w:szCs w:val="28"/>
          <w:rtl/>
        </w:rPr>
        <w:t xml:space="preserve">الغيب </w:t>
      </w:r>
      <w:r w:rsidRPr="00F4753C">
        <w:rPr>
          <w:rFonts w:cs="DanaFajr"/>
          <w:sz w:val="28"/>
          <w:szCs w:val="28"/>
          <w:rtl/>
        </w:rPr>
        <w:t>1</w:t>
      </w:r>
      <w:r w:rsidRPr="00F4753C">
        <w:rPr>
          <w:rFonts w:cs="DanaFajr" w:hint="cs"/>
          <w:sz w:val="28"/>
          <w:szCs w:val="28"/>
          <w:rtl/>
          <w:lang w:bidi="ar-LB"/>
        </w:rPr>
        <w:t>6</w:t>
      </w:r>
      <w:r w:rsidRPr="00F4753C">
        <w:rPr>
          <w:rFonts w:cs="DanaFajr" w:hint="cs"/>
          <w:sz w:val="28"/>
          <w:szCs w:val="28"/>
          <w:rtl/>
        </w:rPr>
        <w:t xml:space="preserve">: </w:t>
      </w:r>
      <w:r w:rsidRPr="00F4753C">
        <w:rPr>
          <w:rFonts w:cs="DanaFajr"/>
          <w:sz w:val="28"/>
          <w:szCs w:val="28"/>
          <w:rtl/>
        </w:rPr>
        <w:t>37</w:t>
      </w:r>
      <w:r w:rsidRPr="00F4753C">
        <w:rPr>
          <w:rFonts w:cs="DanaFajr" w:hint="cs"/>
          <w:sz w:val="28"/>
          <w:szCs w:val="28"/>
          <w:rtl/>
        </w:rPr>
        <w:t>.</w:t>
      </w:r>
    </w:p>
  </w:endnote>
  <w:endnote w:id="667">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الكل</w:t>
      </w:r>
      <w:r w:rsidRPr="00F4753C">
        <w:rPr>
          <w:rFonts w:ascii="Times New Roman" w:hAnsi="Times New Roman" w:cs="DanaFajr" w:hint="cs"/>
          <w:sz w:val="28"/>
          <w:szCs w:val="28"/>
          <w:rtl/>
        </w:rPr>
        <w:t>ي</w:t>
      </w:r>
      <w:r w:rsidRPr="00F4753C">
        <w:rPr>
          <w:rFonts w:cs="DanaFajr" w:hint="cs"/>
          <w:sz w:val="28"/>
          <w:szCs w:val="28"/>
          <w:rtl/>
        </w:rPr>
        <w:t>ن</w:t>
      </w:r>
      <w:r w:rsidRPr="00F4753C">
        <w:rPr>
          <w:rFonts w:ascii="Times New Roman" w:hAnsi="Times New Roman" w:cs="DanaFajr" w:hint="cs"/>
          <w:sz w:val="28"/>
          <w:szCs w:val="28"/>
          <w:rtl/>
        </w:rPr>
        <w:t>ي</w:t>
      </w:r>
      <w:r w:rsidRPr="00F4753C">
        <w:rPr>
          <w:rFonts w:cs="DanaFajr" w:hint="cs"/>
          <w:sz w:val="28"/>
          <w:szCs w:val="28"/>
          <w:rtl/>
        </w:rPr>
        <w:t xml:space="preserve">، الكافي </w:t>
      </w:r>
      <w:r w:rsidRPr="00F4753C">
        <w:rPr>
          <w:rFonts w:cs="DanaFajr"/>
          <w:sz w:val="28"/>
          <w:szCs w:val="28"/>
          <w:rtl/>
        </w:rPr>
        <w:t>2</w:t>
      </w:r>
      <w:r w:rsidRPr="00F4753C">
        <w:rPr>
          <w:rFonts w:cs="DanaFajr" w:hint="cs"/>
          <w:sz w:val="28"/>
          <w:szCs w:val="28"/>
          <w:rtl/>
        </w:rPr>
        <w:t xml:space="preserve">: </w:t>
      </w:r>
      <w:r w:rsidRPr="00F4753C">
        <w:rPr>
          <w:rFonts w:cs="DanaFajr"/>
          <w:sz w:val="28"/>
          <w:szCs w:val="28"/>
          <w:rtl/>
        </w:rPr>
        <w:t>397</w:t>
      </w:r>
      <w:r w:rsidRPr="00F4753C">
        <w:rPr>
          <w:rFonts w:cs="DanaFajr" w:hint="cs"/>
          <w:sz w:val="28"/>
          <w:szCs w:val="28"/>
          <w:rtl/>
        </w:rPr>
        <w:t>.</w:t>
      </w:r>
    </w:p>
  </w:endnote>
  <w:endnote w:id="668">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الحرّ العامل</w:t>
      </w:r>
      <w:r w:rsidRPr="00F4753C">
        <w:rPr>
          <w:rFonts w:ascii="Times New Roman" w:hAnsi="Times New Roman" w:cs="DanaFajr" w:hint="cs"/>
          <w:sz w:val="28"/>
          <w:szCs w:val="28"/>
          <w:rtl/>
        </w:rPr>
        <w:t>ي</w:t>
      </w:r>
      <w:r w:rsidRPr="00F4753C">
        <w:rPr>
          <w:rFonts w:cs="DanaFajr" w:hint="cs"/>
          <w:sz w:val="28"/>
          <w:szCs w:val="28"/>
          <w:rtl/>
        </w:rPr>
        <w:t xml:space="preserve">، وسائل الشيعة </w:t>
      </w:r>
      <w:r w:rsidRPr="00F4753C">
        <w:rPr>
          <w:rFonts w:cs="DanaFajr"/>
          <w:sz w:val="28"/>
          <w:szCs w:val="28"/>
          <w:rtl/>
        </w:rPr>
        <w:t>27</w:t>
      </w:r>
      <w:r w:rsidRPr="00F4753C">
        <w:rPr>
          <w:rFonts w:cs="DanaFajr" w:hint="cs"/>
          <w:sz w:val="28"/>
          <w:szCs w:val="28"/>
          <w:rtl/>
        </w:rPr>
        <w:t xml:space="preserve">: </w:t>
      </w:r>
      <w:r w:rsidRPr="00F4753C">
        <w:rPr>
          <w:rFonts w:cs="DanaFajr"/>
          <w:sz w:val="28"/>
          <w:szCs w:val="28"/>
          <w:rtl/>
        </w:rPr>
        <w:t>127</w:t>
      </w:r>
      <w:r w:rsidRPr="00F4753C">
        <w:rPr>
          <w:rFonts w:cs="DanaFajr" w:hint="cs"/>
          <w:sz w:val="28"/>
          <w:szCs w:val="28"/>
          <w:rtl/>
        </w:rPr>
        <w:t>، ح</w:t>
      </w:r>
      <w:r w:rsidRPr="00F4753C">
        <w:rPr>
          <w:rFonts w:cs="DanaFajr"/>
          <w:sz w:val="28"/>
          <w:szCs w:val="28"/>
          <w:rtl/>
        </w:rPr>
        <w:t>33388</w:t>
      </w:r>
      <w:r w:rsidRPr="00F4753C">
        <w:rPr>
          <w:rFonts w:cs="DanaFajr" w:hint="cs"/>
          <w:sz w:val="28"/>
          <w:szCs w:val="28"/>
          <w:rtl/>
        </w:rPr>
        <w:t>.</w:t>
      </w:r>
    </w:p>
  </w:endnote>
  <w:endnote w:id="669">
    <w:p w:rsidR="00F41F33" w:rsidRPr="00F4753C" w:rsidRDefault="00F41F33" w:rsidP="001B24AC">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الكل</w:t>
      </w:r>
      <w:r w:rsidRPr="00F4753C">
        <w:rPr>
          <w:rFonts w:ascii="Times New Roman" w:hAnsi="Times New Roman" w:cs="DanaFajr" w:hint="cs"/>
          <w:sz w:val="28"/>
          <w:szCs w:val="28"/>
          <w:rtl/>
        </w:rPr>
        <w:t>ي</w:t>
      </w:r>
      <w:r w:rsidRPr="00F4753C">
        <w:rPr>
          <w:rFonts w:cs="DanaFajr" w:hint="cs"/>
          <w:sz w:val="28"/>
          <w:szCs w:val="28"/>
          <w:rtl/>
        </w:rPr>
        <w:t>ن</w:t>
      </w:r>
      <w:r w:rsidRPr="00F4753C">
        <w:rPr>
          <w:rFonts w:ascii="Times New Roman" w:hAnsi="Times New Roman" w:cs="DanaFajr" w:hint="cs"/>
          <w:sz w:val="28"/>
          <w:szCs w:val="28"/>
          <w:rtl/>
        </w:rPr>
        <w:t>ي</w:t>
      </w:r>
      <w:r w:rsidRPr="00F4753C">
        <w:rPr>
          <w:rFonts w:cs="DanaFajr" w:hint="cs"/>
          <w:sz w:val="28"/>
          <w:szCs w:val="28"/>
          <w:rtl/>
        </w:rPr>
        <w:t xml:space="preserve">، الكافي </w:t>
      </w:r>
      <w:r w:rsidRPr="00F4753C">
        <w:rPr>
          <w:rFonts w:cs="DanaFajr"/>
          <w:sz w:val="28"/>
          <w:szCs w:val="28"/>
          <w:rtl/>
        </w:rPr>
        <w:t>2</w:t>
      </w:r>
      <w:r w:rsidRPr="00F4753C">
        <w:rPr>
          <w:rFonts w:cs="DanaFajr" w:hint="cs"/>
          <w:sz w:val="28"/>
          <w:szCs w:val="28"/>
          <w:rtl/>
        </w:rPr>
        <w:t xml:space="preserve">: </w:t>
      </w:r>
      <w:r w:rsidRPr="00F4753C">
        <w:rPr>
          <w:rFonts w:cs="DanaFajr"/>
          <w:sz w:val="28"/>
          <w:szCs w:val="28"/>
          <w:rtl/>
        </w:rPr>
        <w:t>398</w:t>
      </w:r>
      <w:r w:rsidRPr="00F4753C">
        <w:rPr>
          <w:rFonts w:cs="DanaFajr" w:hint="cs"/>
          <w:sz w:val="28"/>
          <w:szCs w:val="28"/>
          <w:rtl/>
        </w:rPr>
        <w:t>؛ الحرّ العامل</w:t>
      </w:r>
      <w:r w:rsidRPr="00F4753C">
        <w:rPr>
          <w:rFonts w:ascii="Times New Roman" w:hAnsi="Times New Roman" w:cs="DanaFajr" w:hint="cs"/>
          <w:sz w:val="28"/>
          <w:szCs w:val="28"/>
          <w:rtl/>
        </w:rPr>
        <w:t>ي</w:t>
      </w:r>
      <w:r w:rsidRPr="00F4753C">
        <w:rPr>
          <w:rFonts w:cs="DanaFajr" w:hint="cs"/>
          <w:sz w:val="28"/>
          <w:szCs w:val="28"/>
          <w:rtl/>
        </w:rPr>
        <w:t xml:space="preserve">، وسائل الشيعة </w:t>
      </w:r>
      <w:r w:rsidRPr="00F4753C">
        <w:rPr>
          <w:rFonts w:cs="DanaFajr"/>
          <w:sz w:val="28"/>
          <w:szCs w:val="28"/>
          <w:rtl/>
        </w:rPr>
        <w:t>27</w:t>
      </w:r>
      <w:r w:rsidRPr="00F4753C">
        <w:rPr>
          <w:rFonts w:cs="DanaFajr" w:hint="cs"/>
          <w:sz w:val="28"/>
          <w:szCs w:val="28"/>
          <w:rtl/>
        </w:rPr>
        <w:t xml:space="preserve">: </w:t>
      </w:r>
      <w:r w:rsidRPr="00F4753C">
        <w:rPr>
          <w:rFonts w:cs="DanaFajr"/>
          <w:sz w:val="28"/>
          <w:szCs w:val="28"/>
          <w:rtl/>
        </w:rPr>
        <w:t>127</w:t>
      </w:r>
      <w:r w:rsidRPr="00F4753C">
        <w:rPr>
          <w:rFonts w:cs="DanaFajr" w:hint="cs"/>
          <w:sz w:val="28"/>
          <w:szCs w:val="28"/>
          <w:rtl/>
        </w:rPr>
        <w:t>؛ شرف</w:t>
      </w:r>
      <w:r w:rsidRPr="00F4753C">
        <w:rPr>
          <w:rFonts w:cs="DanaFajr"/>
          <w:sz w:val="28"/>
          <w:szCs w:val="28"/>
          <w:rtl/>
        </w:rPr>
        <w:t xml:space="preserve"> </w:t>
      </w:r>
      <w:r w:rsidRPr="00F4753C">
        <w:rPr>
          <w:rFonts w:cs="DanaFajr" w:hint="cs"/>
          <w:sz w:val="28"/>
          <w:szCs w:val="28"/>
          <w:rtl/>
        </w:rPr>
        <w:t>الدين</w:t>
      </w:r>
      <w:r w:rsidRPr="00F4753C">
        <w:rPr>
          <w:rFonts w:cs="DanaFajr"/>
          <w:sz w:val="28"/>
          <w:szCs w:val="28"/>
          <w:rtl/>
        </w:rPr>
        <w:t xml:space="preserve"> </w:t>
      </w:r>
      <w:r w:rsidRPr="00F4753C">
        <w:rPr>
          <w:rFonts w:cs="DanaFajr" w:hint="cs"/>
          <w:sz w:val="28"/>
          <w:szCs w:val="28"/>
          <w:rtl/>
        </w:rPr>
        <w:t>العاملي،</w:t>
      </w:r>
      <w:r w:rsidRPr="001B24AC">
        <w:rPr>
          <w:rFonts w:cs="DanaFajr" w:hint="cs"/>
          <w:sz w:val="28"/>
          <w:szCs w:val="28"/>
          <w:rtl/>
        </w:rPr>
        <w:t xml:space="preserve"> </w:t>
      </w:r>
      <w:r w:rsidRPr="00F4753C">
        <w:rPr>
          <w:rFonts w:cs="DanaFajr" w:hint="cs"/>
          <w:sz w:val="28"/>
          <w:szCs w:val="28"/>
          <w:rtl/>
        </w:rPr>
        <w:t>الفصول</w:t>
      </w:r>
      <w:r w:rsidRPr="00F4753C">
        <w:rPr>
          <w:rFonts w:cs="DanaFajr"/>
          <w:sz w:val="28"/>
          <w:szCs w:val="28"/>
          <w:rtl/>
        </w:rPr>
        <w:t xml:space="preserve"> </w:t>
      </w:r>
      <w:r w:rsidRPr="00F4753C">
        <w:rPr>
          <w:rFonts w:cs="DanaFajr" w:hint="cs"/>
          <w:sz w:val="28"/>
          <w:szCs w:val="28"/>
          <w:rtl/>
        </w:rPr>
        <w:t>المهمّة</w:t>
      </w:r>
      <w:r w:rsidRPr="00F4753C">
        <w:rPr>
          <w:rFonts w:cs="DanaFajr"/>
          <w:sz w:val="28"/>
          <w:szCs w:val="28"/>
          <w:rtl/>
        </w:rPr>
        <w:t xml:space="preserve"> </w:t>
      </w:r>
      <w:r w:rsidRPr="00F4753C">
        <w:rPr>
          <w:rFonts w:cs="DanaFajr" w:hint="cs"/>
          <w:sz w:val="28"/>
          <w:szCs w:val="28"/>
          <w:rtl/>
        </w:rPr>
        <w:t>في</w:t>
      </w:r>
      <w:r w:rsidRPr="00F4753C">
        <w:rPr>
          <w:rFonts w:cs="DanaFajr"/>
          <w:sz w:val="28"/>
          <w:szCs w:val="28"/>
          <w:rtl/>
        </w:rPr>
        <w:t xml:space="preserve"> </w:t>
      </w:r>
      <w:r w:rsidRPr="00F4753C">
        <w:rPr>
          <w:rFonts w:cs="DanaFajr" w:hint="cs"/>
          <w:sz w:val="28"/>
          <w:szCs w:val="28"/>
          <w:rtl/>
        </w:rPr>
        <w:t>تأليف</w:t>
      </w:r>
      <w:r w:rsidRPr="00F4753C">
        <w:rPr>
          <w:rFonts w:cs="DanaFajr"/>
          <w:sz w:val="28"/>
          <w:szCs w:val="28"/>
          <w:rtl/>
        </w:rPr>
        <w:t xml:space="preserve"> </w:t>
      </w:r>
      <w:r w:rsidRPr="00F4753C">
        <w:rPr>
          <w:rFonts w:cs="DanaFajr" w:hint="cs"/>
          <w:sz w:val="28"/>
          <w:szCs w:val="28"/>
          <w:rtl/>
        </w:rPr>
        <w:t xml:space="preserve">الأمّة </w:t>
      </w:r>
      <w:r w:rsidRPr="00F4753C">
        <w:rPr>
          <w:rFonts w:cs="DanaFajr"/>
          <w:sz w:val="28"/>
          <w:szCs w:val="28"/>
          <w:rtl/>
        </w:rPr>
        <w:t>1</w:t>
      </w:r>
      <w:r w:rsidRPr="00F4753C">
        <w:rPr>
          <w:rFonts w:cs="DanaFajr" w:hint="cs"/>
          <w:sz w:val="28"/>
          <w:szCs w:val="28"/>
          <w:rtl/>
        </w:rPr>
        <w:t xml:space="preserve">: </w:t>
      </w:r>
      <w:r w:rsidRPr="00F4753C">
        <w:rPr>
          <w:rFonts w:cs="DanaFajr" w:hint="cs"/>
          <w:sz w:val="28"/>
          <w:szCs w:val="28"/>
          <w:rtl/>
          <w:lang w:bidi="ar-LB"/>
        </w:rPr>
        <w:t>5</w:t>
      </w:r>
      <w:r w:rsidRPr="00F4753C">
        <w:rPr>
          <w:rFonts w:cs="DanaFajr"/>
          <w:sz w:val="28"/>
          <w:szCs w:val="28"/>
          <w:rtl/>
        </w:rPr>
        <w:t>2</w:t>
      </w:r>
      <w:r w:rsidRPr="00F4753C">
        <w:rPr>
          <w:rFonts w:cs="DanaFajr" w:hint="cs"/>
          <w:sz w:val="28"/>
          <w:szCs w:val="28"/>
          <w:rtl/>
          <w:lang w:bidi="ar-LB"/>
        </w:rPr>
        <w:t>5</w:t>
      </w:r>
      <w:r w:rsidRPr="00F4753C">
        <w:rPr>
          <w:rFonts w:cs="DanaFajr" w:hint="cs"/>
          <w:sz w:val="28"/>
          <w:szCs w:val="28"/>
          <w:rtl/>
        </w:rPr>
        <w:t>. وراجع</w:t>
      </w:r>
      <w:r w:rsidRPr="00F4753C">
        <w:rPr>
          <w:rFonts w:cs="DanaFajr"/>
          <w:sz w:val="28"/>
          <w:szCs w:val="28"/>
          <w:rtl/>
        </w:rPr>
        <w:t xml:space="preserve">: </w:t>
      </w:r>
      <w:r w:rsidRPr="00F4753C">
        <w:rPr>
          <w:rFonts w:cs="DanaFajr" w:hint="cs"/>
          <w:sz w:val="28"/>
          <w:szCs w:val="28"/>
          <w:rtl/>
        </w:rPr>
        <w:t>القرطبي، الجامع</w:t>
      </w:r>
      <w:r w:rsidRPr="00F4753C">
        <w:rPr>
          <w:rFonts w:cs="DanaFajr"/>
          <w:sz w:val="28"/>
          <w:szCs w:val="28"/>
          <w:rtl/>
        </w:rPr>
        <w:t xml:space="preserve"> </w:t>
      </w:r>
      <w:r w:rsidRPr="00F4753C">
        <w:rPr>
          <w:rFonts w:cs="DanaFajr" w:hint="cs"/>
          <w:sz w:val="28"/>
          <w:szCs w:val="28"/>
          <w:rtl/>
        </w:rPr>
        <w:t>لأحكام</w:t>
      </w:r>
      <w:r w:rsidRPr="00F4753C">
        <w:rPr>
          <w:rFonts w:cs="DanaFajr"/>
          <w:sz w:val="28"/>
          <w:szCs w:val="28"/>
          <w:rtl/>
        </w:rPr>
        <w:t xml:space="preserve"> </w:t>
      </w:r>
      <w:r w:rsidRPr="00F4753C">
        <w:rPr>
          <w:rFonts w:cs="DanaFajr" w:hint="cs"/>
          <w:sz w:val="28"/>
          <w:szCs w:val="28"/>
          <w:rtl/>
        </w:rPr>
        <w:t xml:space="preserve">القرآن </w:t>
      </w:r>
      <w:r w:rsidRPr="00F4753C">
        <w:rPr>
          <w:rFonts w:cs="DanaFajr"/>
          <w:sz w:val="28"/>
          <w:szCs w:val="28"/>
          <w:rtl/>
        </w:rPr>
        <w:t>11</w:t>
      </w:r>
      <w:r w:rsidRPr="00F4753C">
        <w:rPr>
          <w:rFonts w:cs="DanaFajr" w:hint="cs"/>
          <w:sz w:val="28"/>
          <w:szCs w:val="28"/>
          <w:rtl/>
        </w:rPr>
        <w:t xml:space="preserve">: </w:t>
      </w:r>
      <w:r w:rsidRPr="00F4753C">
        <w:rPr>
          <w:rFonts w:cs="DanaFajr"/>
          <w:sz w:val="28"/>
          <w:szCs w:val="28"/>
          <w:rtl/>
        </w:rPr>
        <w:t>111</w:t>
      </w:r>
      <w:r w:rsidRPr="00F4753C">
        <w:rPr>
          <w:rFonts w:cs="DanaFajr" w:hint="cs"/>
          <w:sz w:val="28"/>
          <w:szCs w:val="28"/>
          <w:rtl/>
        </w:rPr>
        <w:t>.</w:t>
      </w:r>
    </w:p>
  </w:endnote>
  <w:endnote w:id="670">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تفسير العيّاشي </w:t>
      </w:r>
      <w:r w:rsidRPr="00F4753C">
        <w:rPr>
          <w:rFonts w:cs="DanaFajr"/>
          <w:sz w:val="28"/>
          <w:szCs w:val="28"/>
          <w:rtl/>
        </w:rPr>
        <w:t>2</w:t>
      </w:r>
      <w:r w:rsidRPr="00F4753C">
        <w:rPr>
          <w:rFonts w:cs="DanaFajr" w:hint="cs"/>
          <w:sz w:val="28"/>
          <w:szCs w:val="28"/>
          <w:rtl/>
        </w:rPr>
        <w:t xml:space="preserve">: </w:t>
      </w:r>
      <w:r w:rsidRPr="00F4753C">
        <w:rPr>
          <w:rFonts w:cs="DanaFajr"/>
          <w:sz w:val="28"/>
          <w:szCs w:val="28"/>
          <w:rtl/>
        </w:rPr>
        <w:t>353</w:t>
      </w:r>
      <w:r w:rsidRPr="00F4753C">
        <w:rPr>
          <w:rFonts w:cs="DanaFajr" w:hint="cs"/>
          <w:sz w:val="28"/>
          <w:szCs w:val="28"/>
          <w:rtl/>
        </w:rPr>
        <w:t>؛ المجلس</w:t>
      </w:r>
      <w:r w:rsidRPr="00F4753C">
        <w:rPr>
          <w:rFonts w:ascii="Times New Roman" w:hAnsi="Times New Roman" w:cs="DanaFajr" w:hint="cs"/>
          <w:sz w:val="28"/>
          <w:szCs w:val="28"/>
          <w:rtl/>
        </w:rPr>
        <w:t>ي</w:t>
      </w:r>
      <w:r w:rsidRPr="00F4753C">
        <w:rPr>
          <w:rFonts w:cs="DanaFajr" w:hint="cs"/>
          <w:sz w:val="28"/>
          <w:szCs w:val="28"/>
          <w:rtl/>
        </w:rPr>
        <w:t xml:space="preserve">، بحار الأنوار </w:t>
      </w:r>
      <w:r w:rsidRPr="00F4753C">
        <w:rPr>
          <w:rFonts w:cs="DanaFajr" w:hint="cs"/>
          <w:sz w:val="28"/>
          <w:szCs w:val="28"/>
          <w:rtl/>
          <w:lang w:bidi="ar-LB"/>
        </w:rPr>
        <w:t>6</w:t>
      </w:r>
      <w:r w:rsidRPr="00F4753C">
        <w:rPr>
          <w:rFonts w:cs="DanaFajr"/>
          <w:sz w:val="28"/>
          <w:szCs w:val="28"/>
          <w:rtl/>
        </w:rPr>
        <w:t>9</w:t>
      </w:r>
      <w:r w:rsidRPr="00F4753C">
        <w:rPr>
          <w:rFonts w:cs="DanaFajr" w:hint="cs"/>
          <w:sz w:val="28"/>
          <w:szCs w:val="28"/>
          <w:rtl/>
        </w:rPr>
        <w:t xml:space="preserve">: </w:t>
      </w:r>
      <w:r w:rsidRPr="00F4753C">
        <w:rPr>
          <w:rFonts w:cs="DanaFajr"/>
          <w:sz w:val="28"/>
          <w:szCs w:val="28"/>
          <w:rtl/>
        </w:rPr>
        <w:t>301</w:t>
      </w:r>
      <w:r w:rsidRPr="00F4753C">
        <w:rPr>
          <w:rFonts w:cs="DanaFajr" w:hint="cs"/>
          <w:sz w:val="28"/>
          <w:szCs w:val="28"/>
          <w:rtl/>
        </w:rPr>
        <w:t>.</w:t>
      </w:r>
    </w:p>
  </w:endnote>
  <w:endnote w:id="671">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الحرّ العامل</w:t>
      </w:r>
      <w:r w:rsidRPr="00F4753C">
        <w:rPr>
          <w:rFonts w:ascii="Times New Roman" w:hAnsi="Times New Roman" w:cs="DanaFajr" w:hint="cs"/>
          <w:sz w:val="28"/>
          <w:szCs w:val="28"/>
          <w:rtl/>
        </w:rPr>
        <w:t>ي</w:t>
      </w:r>
      <w:r w:rsidRPr="00F4753C">
        <w:rPr>
          <w:rFonts w:cs="DanaFajr" w:hint="cs"/>
          <w:sz w:val="28"/>
          <w:szCs w:val="28"/>
          <w:rtl/>
        </w:rPr>
        <w:t xml:space="preserve">، وسائل الشيعة </w:t>
      </w:r>
      <w:r w:rsidRPr="00F4753C">
        <w:rPr>
          <w:rFonts w:cs="DanaFajr"/>
          <w:sz w:val="28"/>
          <w:szCs w:val="28"/>
          <w:rtl/>
        </w:rPr>
        <w:t>1</w:t>
      </w:r>
      <w:r w:rsidRPr="00F4753C">
        <w:rPr>
          <w:rFonts w:cs="DanaFajr" w:hint="cs"/>
          <w:sz w:val="28"/>
          <w:szCs w:val="28"/>
          <w:rtl/>
        </w:rPr>
        <w:t xml:space="preserve">: </w:t>
      </w:r>
      <w:r w:rsidRPr="00F4753C">
        <w:rPr>
          <w:rFonts w:cs="DanaFajr" w:hint="cs"/>
          <w:sz w:val="28"/>
          <w:szCs w:val="28"/>
          <w:rtl/>
          <w:lang w:bidi="ar-LB"/>
        </w:rPr>
        <w:t>6</w:t>
      </w:r>
      <w:r w:rsidRPr="00F4753C">
        <w:rPr>
          <w:rFonts w:cs="DanaFajr"/>
          <w:sz w:val="28"/>
          <w:szCs w:val="28"/>
          <w:rtl/>
        </w:rPr>
        <w:t>8</w:t>
      </w:r>
      <w:r w:rsidRPr="00F4753C">
        <w:rPr>
          <w:rFonts w:cs="DanaFajr" w:hint="cs"/>
          <w:sz w:val="28"/>
          <w:szCs w:val="28"/>
          <w:rtl/>
        </w:rPr>
        <w:t>.</w:t>
      </w:r>
    </w:p>
  </w:endnote>
  <w:endnote w:id="672">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المجلس</w:t>
      </w:r>
      <w:r w:rsidRPr="00F4753C">
        <w:rPr>
          <w:rFonts w:ascii="Times New Roman" w:hAnsi="Times New Roman" w:cs="DanaFajr" w:hint="cs"/>
          <w:sz w:val="28"/>
          <w:szCs w:val="28"/>
          <w:rtl/>
        </w:rPr>
        <w:t>ي</w:t>
      </w:r>
      <w:r w:rsidRPr="00F4753C">
        <w:rPr>
          <w:rFonts w:cs="DanaFajr" w:hint="cs"/>
          <w:sz w:val="28"/>
          <w:szCs w:val="28"/>
          <w:rtl/>
        </w:rPr>
        <w:t xml:space="preserve">، بحار الأنوار </w:t>
      </w:r>
      <w:r w:rsidRPr="00F4753C">
        <w:rPr>
          <w:rFonts w:cs="DanaFajr"/>
          <w:sz w:val="28"/>
          <w:szCs w:val="28"/>
          <w:rtl/>
        </w:rPr>
        <w:t>81</w:t>
      </w:r>
      <w:r w:rsidRPr="00F4753C">
        <w:rPr>
          <w:rFonts w:cs="DanaFajr" w:hint="cs"/>
          <w:sz w:val="28"/>
          <w:szCs w:val="28"/>
          <w:rtl/>
        </w:rPr>
        <w:t xml:space="preserve">: </w:t>
      </w:r>
      <w:r w:rsidRPr="00F4753C">
        <w:rPr>
          <w:rFonts w:cs="DanaFajr"/>
          <w:sz w:val="28"/>
          <w:szCs w:val="28"/>
          <w:rtl/>
        </w:rPr>
        <w:t>3</w:t>
      </w:r>
      <w:r w:rsidRPr="00F4753C">
        <w:rPr>
          <w:rFonts w:cs="DanaFajr" w:hint="cs"/>
          <w:sz w:val="28"/>
          <w:szCs w:val="28"/>
          <w:rtl/>
          <w:lang w:bidi="ar-LB"/>
        </w:rPr>
        <w:t>4</w:t>
      </w:r>
      <w:r w:rsidRPr="00F4753C">
        <w:rPr>
          <w:rFonts w:cs="DanaFajr"/>
          <w:sz w:val="28"/>
          <w:szCs w:val="28"/>
          <w:rtl/>
        </w:rPr>
        <w:t>8</w:t>
      </w:r>
      <w:r w:rsidRPr="00F4753C">
        <w:rPr>
          <w:rFonts w:cs="DanaFajr" w:hint="cs"/>
          <w:sz w:val="28"/>
          <w:szCs w:val="28"/>
          <w:rtl/>
        </w:rPr>
        <w:t>.</w:t>
      </w:r>
    </w:p>
  </w:endnote>
  <w:endnote w:id="673">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الحرّ العاملي، وسائل الشيعة </w:t>
      </w:r>
      <w:r w:rsidRPr="00F4753C">
        <w:rPr>
          <w:rFonts w:cs="DanaFajr"/>
          <w:sz w:val="28"/>
          <w:szCs w:val="28"/>
          <w:rtl/>
        </w:rPr>
        <w:t>1</w:t>
      </w:r>
      <w:r w:rsidRPr="00F4753C">
        <w:rPr>
          <w:rFonts w:cs="DanaFajr" w:hint="cs"/>
          <w:sz w:val="28"/>
          <w:szCs w:val="28"/>
          <w:rtl/>
        </w:rPr>
        <w:t xml:space="preserve">: </w:t>
      </w:r>
      <w:r w:rsidRPr="00F4753C">
        <w:rPr>
          <w:rFonts w:cs="DanaFajr"/>
          <w:sz w:val="28"/>
          <w:szCs w:val="28"/>
          <w:rtl/>
        </w:rPr>
        <w:t>71</w:t>
      </w:r>
      <w:r w:rsidRPr="00F4753C">
        <w:rPr>
          <w:rFonts w:cs="DanaFajr" w:hint="cs"/>
          <w:sz w:val="28"/>
          <w:szCs w:val="28"/>
          <w:rtl/>
        </w:rPr>
        <w:t>.</w:t>
      </w:r>
    </w:p>
  </w:endnote>
  <w:endnote w:id="674">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النوري الطبرسي، مستدرك الوسائل </w:t>
      </w:r>
      <w:r w:rsidRPr="00F4753C">
        <w:rPr>
          <w:rFonts w:cs="DanaFajr"/>
          <w:sz w:val="28"/>
          <w:szCs w:val="28"/>
          <w:rtl/>
        </w:rPr>
        <w:t>1</w:t>
      </w:r>
      <w:r w:rsidRPr="00F4753C">
        <w:rPr>
          <w:rFonts w:cs="DanaFajr" w:hint="cs"/>
          <w:sz w:val="28"/>
          <w:szCs w:val="28"/>
          <w:rtl/>
        </w:rPr>
        <w:t xml:space="preserve">: </w:t>
      </w:r>
      <w:r w:rsidRPr="00F4753C">
        <w:rPr>
          <w:rFonts w:cs="DanaFajr"/>
          <w:sz w:val="28"/>
          <w:szCs w:val="28"/>
          <w:rtl/>
        </w:rPr>
        <w:t>109</w:t>
      </w:r>
      <w:r w:rsidRPr="00F4753C">
        <w:rPr>
          <w:rFonts w:cs="DanaFajr" w:hint="cs"/>
          <w:sz w:val="28"/>
          <w:szCs w:val="28"/>
          <w:rtl/>
        </w:rPr>
        <w:t>.</w:t>
      </w:r>
    </w:p>
  </w:endnote>
  <w:endnote w:id="675">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الحرّ العامل</w:t>
      </w:r>
      <w:r w:rsidRPr="00F4753C">
        <w:rPr>
          <w:rFonts w:ascii="Times New Roman" w:hAnsi="Times New Roman" w:cs="DanaFajr" w:hint="cs"/>
          <w:sz w:val="28"/>
          <w:szCs w:val="28"/>
          <w:rtl/>
        </w:rPr>
        <w:t>ي</w:t>
      </w:r>
      <w:r w:rsidRPr="00F4753C">
        <w:rPr>
          <w:rFonts w:cs="DanaFajr" w:hint="cs"/>
          <w:sz w:val="28"/>
          <w:szCs w:val="28"/>
          <w:rtl/>
        </w:rPr>
        <w:t xml:space="preserve">، وسائل الشيعة </w:t>
      </w:r>
      <w:r w:rsidRPr="00F4753C">
        <w:rPr>
          <w:rFonts w:cs="DanaFajr"/>
          <w:sz w:val="28"/>
          <w:szCs w:val="28"/>
          <w:rtl/>
        </w:rPr>
        <w:t>1</w:t>
      </w:r>
      <w:r w:rsidRPr="00F4753C">
        <w:rPr>
          <w:rFonts w:cs="DanaFajr" w:hint="cs"/>
          <w:sz w:val="28"/>
          <w:szCs w:val="28"/>
          <w:rtl/>
        </w:rPr>
        <w:t xml:space="preserve">: </w:t>
      </w:r>
      <w:r w:rsidRPr="00F4753C">
        <w:rPr>
          <w:rFonts w:cs="DanaFajr" w:hint="cs"/>
          <w:sz w:val="28"/>
          <w:szCs w:val="28"/>
          <w:rtl/>
          <w:lang w:bidi="ar-LB"/>
        </w:rPr>
        <w:t>6</w:t>
      </w:r>
      <w:r w:rsidRPr="00F4753C">
        <w:rPr>
          <w:rFonts w:cs="DanaFajr"/>
          <w:sz w:val="28"/>
          <w:szCs w:val="28"/>
          <w:rtl/>
        </w:rPr>
        <w:t>9</w:t>
      </w:r>
      <w:r w:rsidRPr="00F4753C">
        <w:rPr>
          <w:rFonts w:cs="DanaFajr" w:hint="cs"/>
          <w:sz w:val="28"/>
          <w:szCs w:val="28"/>
          <w:rtl/>
        </w:rPr>
        <w:t>.</w:t>
      </w:r>
    </w:p>
  </w:endnote>
  <w:endnote w:id="676">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الشهيد الثاني، منية المريد: </w:t>
      </w:r>
      <w:r w:rsidRPr="00F4753C">
        <w:rPr>
          <w:rFonts w:cs="DanaFajr"/>
          <w:sz w:val="28"/>
          <w:szCs w:val="28"/>
          <w:rtl/>
        </w:rPr>
        <w:t>317</w:t>
      </w:r>
      <w:r w:rsidRPr="00F4753C">
        <w:rPr>
          <w:rFonts w:cs="DanaFajr" w:hint="cs"/>
          <w:sz w:val="28"/>
          <w:szCs w:val="28"/>
          <w:rtl/>
        </w:rPr>
        <w:t xml:space="preserve">؛ مسند أحمد بن حنبل </w:t>
      </w:r>
      <w:r w:rsidRPr="00F4753C">
        <w:rPr>
          <w:rFonts w:cs="DanaFajr" w:hint="cs"/>
          <w:sz w:val="28"/>
          <w:szCs w:val="28"/>
          <w:rtl/>
          <w:lang w:bidi="ar-LB"/>
        </w:rPr>
        <w:t>5</w:t>
      </w:r>
      <w:r w:rsidRPr="00F4753C">
        <w:rPr>
          <w:rFonts w:cs="DanaFajr" w:hint="cs"/>
          <w:sz w:val="28"/>
          <w:szCs w:val="28"/>
          <w:rtl/>
        </w:rPr>
        <w:t xml:space="preserve">: </w:t>
      </w:r>
      <w:r w:rsidRPr="00F4753C">
        <w:rPr>
          <w:rFonts w:cs="DanaFajr" w:hint="cs"/>
          <w:sz w:val="28"/>
          <w:szCs w:val="28"/>
          <w:rtl/>
          <w:lang w:bidi="ar-LB"/>
        </w:rPr>
        <w:t>4</w:t>
      </w:r>
      <w:r w:rsidRPr="00F4753C">
        <w:rPr>
          <w:rFonts w:cs="DanaFajr"/>
          <w:sz w:val="28"/>
          <w:szCs w:val="28"/>
          <w:rtl/>
        </w:rPr>
        <w:t>28</w:t>
      </w:r>
      <w:r w:rsidRPr="00F4753C">
        <w:rPr>
          <w:rFonts w:cs="DanaFajr" w:hint="cs"/>
          <w:sz w:val="28"/>
          <w:szCs w:val="28"/>
          <w:rtl/>
        </w:rPr>
        <w:t>.</w:t>
      </w:r>
    </w:p>
  </w:endnote>
  <w:endnote w:id="677">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الحرّ العاملي، وسائل الشيعة </w:t>
      </w:r>
      <w:r w:rsidRPr="00F4753C">
        <w:rPr>
          <w:rFonts w:cs="DanaFajr"/>
          <w:sz w:val="28"/>
          <w:szCs w:val="28"/>
          <w:rtl/>
        </w:rPr>
        <w:t>3</w:t>
      </w:r>
      <w:r w:rsidRPr="00F4753C">
        <w:rPr>
          <w:rFonts w:cs="DanaFajr" w:hint="cs"/>
          <w:sz w:val="28"/>
          <w:szCs w:val="28"/>
          <w:rtl/>
        </w:rPr>
        <w:t xml:space="preserve">: </w:t>
      </w:r>
      <w:r w:rsidRPr="00F4753C">
        <w:rPr>
          <w:rFonts w:cs="DanaFajr" w:hint="cs"/>
          <w:sz w:val="28"/>
          <w:szCs w:val="28"/>
          <w:rtl/>
          <w:lang w:bidi="ar-LB"/>
        </w:rPr>
        <w:t>4</w:t>
      </w:r>
      <w:r w:rsidRPr="00F4753C">
        <w:rPr>
          <w:rFonts w:cs="DanaFajr"/>
          <w:sz w:val="28"/>
          <w:szCs w:val="28"/>
          <w:rtl/>
        </w:rPr>
        <w:t>19</w:t>
      </w:r>
      <w:r w:rsidRPr="00F4753C">
        <w:rPr>
          <w:rFonts w:cs="DanaFajr" w:hint="cs"/>
          <w:sz w:val="28"/>
          <w:szCs w:val="28"/>
          <w:rtl/>
        </w:rPr>
        <w:t>،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rPr>
        <w:t>.</w:t>
      </w:r>
    </w:p>
  </w:endnote>
  <w:endnote w:id="678">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w:t>
      </w:r>
      <w:r w:rsidRPr="00F4753C">
        <w:rPr>
          <w:rFonts w:cs="DanaFajr"/>
          <w:sz w:val="28"/>
          <w:szCs w:val="28"/>
          <w:rtl/>
        </w:rPr>
        <w:t>1</w:t>
      </w:r>
      <w:r w:rsidRPr="00F4753C">
        <w:rPr>
          <w:rFonts w:cs="DanaFajr" w:hint="cs"/>
          <w:sz w:val="28"/>
          <w:szCs w:val="28"/>
          <w:rtl/>
        </w:rPr>
        <w:t>.</w:t>
      </w:r>
    </w:p>
  </w:endnote>
  <w:endnote w:id="679">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w:t>
      </w:r>
      <w:r w:rsidRPr="00F4753C">
        <w:rPr>
          <w:rFonts w:cs="DanaFajr"/>
          <w:sz w:val="28"/>
          <w:szCs w:val="28"/>
          <w:rtl/>
        </w:rPr>
        <w:t>2</w:t>
      </w:r>
      <w:r w:rsidRPr="00F4753C">
        <w:rPr>
          <w:rFonts w:cs="DanaFajr" w:hint="cs"/>
          <w:sz w:val="28"/>
          <w:szCs w:val="28"/>
          <w:rtl/>
        </w:rPr>
        <w:t>.</w:t>
      </w:r>
    </w:p>
  </w:endnote>
  <w:endnote w:id="680">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المصدر السابق </w:t>
      </w:r>
      <w:r w:rsidRPr="00F4753C">
        <w:rPr>
          <w:rFonts w:cs="DanaFajr"/>
          <w:sz w:val="28"/>
          <w:szCs w:val="28"/>
          <w:rtl/>
        </w:rPr>
        <w:t>3</w:t>
      </w:r>
      <w:r w:rsidRPr="00F4753C">
        <w:rPr>
          <w:rFonts w:cs="DanaFajr" w:hint="cs"/>
          <w:sz w:val="28"/>
          <w:szCs w:val="28"/>
          <w:rtl/>
        </w:rPr>
        <w:t xml:space="preserve">: </w:t>
      </w:r>
      <w:r w:rsidRPr="00F4753C">
        <w:rPr>
          <w:rFonts w:cs="DanaFajr" w:hint="cs"/>
          <w:sz w:val="28"/>
          <w:szCs w:val="28"/>
          <w:rtl/>
          <w:lang w:bidi="ar-LB"/>
        </w:rPr>
        <w:t>4</w:t>
      </w:r>
      <w:r w:rsidRPr="00F4753C">
        <w:rPr>
          <w:rFonts w:cs="DanaFajr"/>
          <w:sz w:val="28"/>
          <w:szCs w:val="28"/>
          <w:rtl/>
        </w:rPr>
        <w:t>20</w:t>
      </w:r>
      <w:r w:rsidRPr="00F4753C">
        <w:rPr>
          <w:rFonts w:cs="DanaFajr" w:hint="cs"/>
          <w:sz w:val="28"/>
          <w:szCs w:val="28"/>
          <w:rtl/>
        </w:rPr>
        <w:t>،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w:t>
      </w:r>
      <w:r w:rsidRPr="00F4753C">
        <w:rPr>
          <w:rFonts w:cs="DanaFajr"/>
          <w:sz w:val="28"/>
          <w:szCs w:val="28"/>
          <w:rtl/>
        </w:rPr>
        <w:t>3</w:t>
      </w:r>
      <w:r w:rsidRPr="00F4753C">
        <w:rPr>
          <w:rFonts w:cs="DanaFajr" w:hint="cs"/>
          <w:sz w:val="28"/>
          <w:szCs w:val="28"/>
          <w:rtl/>
        </w:rPr>
        <w:t>.</w:t>
      </w:r>
    </w:p>
  </w:endnote>
  <w:endnote w:id="681">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44</w:t>
      </w:r>
      <w:r w:rsidRPr="00F4753C">
        <w:rPr>
          <w:rFonts w:cs="DanaFajr" w:hint="cs"/>
          <w:sz w:val="28"/>
          <w:szCs w:val="28"/>
          <w:rtl/>
        </w:rPr>
        <w:t>.</w:t>
      </w:r>
    </w:p>
  </w:endnote>
  <w:endnote w:id="682">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w:t>
      </w:r>
      <w:r w:rsidRPr="00F4753C">
        <w:rPr>
          <w:rFonts w:cs="DanaFajr"/>
          <w:sz w:val="28"/>
          <w:szCs w:val="28"/>
          <w:rtl/>
        </w:rPr>
        <w:t>5</w:t>
      </w:r>
      <w:r w:rsidRPr="00F4753C">
        <w:rPr>
          <w:rFonts w:cs="DanaFajr" w:hint="cs"/>
          <w:sz w:val="28"/>
          <w:szCs w:val="28"/>
          <w:rtl/>
        </w:rPr>
        <w:t>.</w:t>
      </w:r>
    </w:p>
  </w:endnote>
  <w:endnote w:id="683">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46</w:t>
      </w:r>
      <w:r w:rsidRPr="00F4753C">
        <w:rPr>
          <w:rFonts w:cs="DanaFajr" w:hint="cs"/>
          <w:sz w:val="28"/>
          <w:szCs w:val="28"/>
          <w:rtl/>
        </w:rPr>
        <w:t>.</w:t>
      </w:r>
    </w:p>
  </w:endnote>
  <w:endnote w:id="684">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المصدر السابق </w:t>
      </w:r>
      <w:r w:rsidRPr="00F4753C">
        <w:rPr>
          <w:rFonts w:cs="DanaFajr"/>
          <w:sz w:val="28"/>
          <w:szCs w:val="28"/>
          <w:rtl/>
        </w:rPr>
        <w:t>3</w:t>
      </w:r>
      <w:r w:rsidRPr="00F4753C">
        <w:rPr>
          <w:rFonts w:cs="DanaFajr" w:hint="cs"/>
          <w:sz w:val="28"/>
          <w:szCs w:val="28"/>
          <w:rtl/>
        </w:rPr>
        <w:t xml:space="preserve">: </w:t>
      </w:r>
      <w:r w:rsidRPr="00F4753C">
        <w:rPr>
          <w:rFonts w:cs="DanaFajr" w:hint="cs"/>
          <w:sz w:val="28"/>
          <w:szCs w:val="28"/>
          <w:rtl/>
          <w:lang w:bidi="ar-LB"/>
        </w:rPr>
        <w:t>4</w:t>
      </w:r>
      <w:r w:rsidRPr="00F4753C">
        <w:rPr>
          <w:rFonts w:cs="DanaFajr"/>
          <w:sz w:val="28"/>
          <w:szCs w:val="28"/>
          <w:rtl/>
        </w:rPr>
        <w:t>21</w:t>
      </w:r>
      <w:r w:rsidRPr="00F4753C">
        <w:rPr>
          <w:rFonts w:cs="DanaFajr" w:hint="cs"/>
          <w:sz w:val="28"/>
          <w:szCs w:val="28"/>
          <w:rtl/>
        </w:rPr>
        <w:t>،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w:t>
      </w:r>
      <w:r w:rsidRPr="00F4753C">
        <w:rPr>
          <w:rFonts w:cs="DanaFajr"/>
          <w:sz w:val="28"/>
          <w:szCs w:val="28"/>
          <w:rtl/>
        </w:rPr>
        <w:t>7</w:t>
      </w:r>
      <w:r w:rsidRPr="00F4753C">
        <w:rPr>
          <w:rFonts w:cs="DanaFajr" w:hint="cs"/>
          <w:sz w:val="28"/>
          <w:szCs w:val="28"/>
          <w:rtl/>
        </w:rPr>
        <w:t>.</w:t>
      </w:r>
    </w:p>
  </w:endnote>
  <w:endnote w:id="685">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w:t>
      </w:r>
      <w:r w:rsidRPr="00F4753C">
        <w:rPr>
          <w:rFonts w:cs="DanaFajr"/>
          <w:sz w:val="28"/>
          <w:szCs w:val="28"/>
          <w:rtl/>
        </w:rPr>
        <w:t>8</w:t>
      </w:r>
      <w:r w:rsidRPr="00F4753C">
        <w:rPr>
          <w:rFonts w:cs="DanaFajr" w:hint="cs"/>
          <w:sz w:val="28"/>
          <w:szCs w:val="28"/>
          <w:rtl/>
        </w:rPr>
        <w:t>.</w:t>
      </w:r>
    </w:p>
  </w:endnote>
  <w:endnote w:id="686">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4</w:t>
      </w:r>
      <w:r w:rsidRPr="00F4753C">
        <w:rPr>
          <w:rFonts w:cs="DanaFajr"/>
          <w:sz w:val="28"/>
          <w:szCs w:val="28"/>
          <w:rtl/>
        </w:rPr>
        <w:t>9</w:t>
      </w:r>
      <w:r w:rsidRPr="00F4753C">
        <w:rPr>
          <w:rFonts w:cs="DanaFajr" w:hint="cs"/>
          <w:sz w:val="28"/>
          <w:szCs w:val="28"/>
          <w:rtl/>
        </w:rPr>
        <w:t>.</w:t>
      </w:r>
    </w:p>
  </w:endnote>
  <w:endnote w:id="687">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المصدر السابق </w:t>
      </w:r>
      <w:r w:rsidRPr="00F4753C">
        <w:rPr>
          <w:rFonts w:cs="DanaFajr"/>
          <w:sz w:val="28"/>
          <w:szCs w:val="28"/>
          <w:rtl/>
        </w:rPr>
        <w:t>3</w:t>
      </w:r>
      <w:r w:rsidRPr="00F4753C">
        <w:rPr>
          <w:rFonts w:cs="DanaFajr" w:hint="cs"/>
          <w:sz w:val="28"/>
          <w:szCs w:val="28"/>
          <w:rtl/>
        </w:rPr>
        <w:t xml:space="preserve">: </w:t>
      </w:r>
      <w:r w:rsidRPr="00F4753C">
        <w:rPr>
          <w:rFonts w:cs="DanaFajr" w:hint="cs"/>
          <w:sz w:val="28"/>
          <w:szCs w:val="28"/>
          <w:rtl/>
          <w:lang w:bidi="ar-LB"/>
        </w:rPr>
        <w:t>4</w:t>
      </w:r>
      <w:r w:rsidRPr="00F4753C">
        <w:rPr>
          <w:rFonts w:cs="DanaFajr"/>
          <w:sz w:val="28"/>
          <w:szCs w:val="28"/>
          <w:rtl/>
        </w:rPr>
        <w:t>22</w:t>
      </w:r>
      <w:r w:rsidRPr="00F4753C">
        <w:rPr>
          <w:rFonts w:cs="DanaFajr" w:hint="cs"/>
          <w:sz w:val="28"/>
          <w:szCs w:val="28"/>
          <w:rtl/>
        </w:rPr>
        <w:t>،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5</w:t>
      </w:r>
      <w:r w:rsidRPr="00F4753C">
        <w:rPr>
          <w:rFonts w:cs="DanaFajr"/>
          <w:sz w:val="28"/>
          <w:szCs w:val="28"/>
          <w:rtl/>
        </w:rPr>
        <w:t>0</w:t>
      </w:r>
      <w:r w:rsidRPr="00F4753C">
        <w:rPr>
          <w:rFonts w:cs="DanaFajr" w:hint="cs"/>
          <w:sz w:val="28"/>
          <w:szCs w:val="28"/>
          <w:rtl/>
        </w:rPr>
        <w:t>.</w:t>
      </w:r>
    </w:p>
  </w:endnote>
  <w:endnote w:id="688">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4</w:t>
      </w:r>
      <w:r w:rsidRPr="00F4753C">
        <w:rPr>
          <w:rFonts w:cs="DanaFajr"/>
          <w:sz w:val="28"/>
          <w:szCs w:val="28"/>
          <w:rtl/>
        </w:rPr>
        <w:t>0</w:t>
      </w:r>
      <w:r w:rsidRPr="00F4753C">
        <w:rPr>
          <w:rFonts w:cs="DanaFajr" w:hint="cs"/>
          <w:sz w:val="28"/>
          <w:szCs w:val="28"/>
          <w:rtl/>
          <w:lang w:bidi="ar-LB"/>
        </w:rPr>
        <w:t>5</w:t>
      </w:r>
      <w:r w:rsidRPr="00F4753C">
        <w:rPr>
          <w:rFonts w:cs="DanaFajr"/>
          <w:sz w:val="28"/>
          <w:szCs w:val="28"/>
          <w:rtl/>
        </w:rPr>
        <w:t>1</w:t>
      </w:r>
      <w:r w:rsidRPr="00F4753C">
        <w:rPr>
          <w:rFonts w:cs="DanaFajr" w:hint="cs"/>
          <w:sz w:val="28"/>
          <w:szCs w:val="28"/>
          <w:rtl/>
        </w:rPr>
        <w:t>.</w:t>
      </w:r>
    </w:p>
  </w:endnote>
  <w:endnote w:id="689">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المصدر السابق </w:t>
      </w:r>
      <w:r w:rsidRPr="00F4753C">
        <w:rPr>
          <w:rFonts w:cs="DanaFajr"/>
          <w:sz w:val="28"/>
          <w:szCs w:val="28"/>
          <w:rtl/>
        </w:rPr>
        <w:t>2</w:t>
      </w:r>
      <w:r w:rsidRPr="00F4753C">
        <w:rPr>
          <w:rFonts w:cs="DanaFajr" w:hint="cs"/>
          <w:sz w:val="28"/>
          <w:szCs w:val="28"/>
          <w:rtl/>
          <w:lang w:bidi="ar-LB"/>
        </w:rPr>
        <w:t>4</w:t>
      </w:r>
      <w:r w:rsidRPr="00F4753C">
        <w:rPr>
          <w:rFonts w:cs="DanaFajr" w:hint="cs"/>
          <w:sz w:val="28"/>
          <w:szCs w:val="28"/>
          <w:rtl/>
        </w:rPr>
        <w:t xml:space="preserve">: </w:t>
      </w:r>
      <w:r w:rsidRPr="00F4753C">
        <w:rPr>
          <w:rFonts w:cs="DanaFajr"/>
          <w:sz w:val="28"/>
          <w:szCs w:val="28"/>
          <w:rtl/>
        </w:rPr>
        <w:t>212</w:t>
      </w:r>
      <w:r w:rsidRPr="00F4753C">
        <w:rPr>
          <w:rFonts w:cs="DanaFajr" w:hint="cs"/>
          <w:sz w:val="28"/>
          <w:szCs w:val="28"/>
          <w:rtl/>
        </w:rPr>
        <w:t>، ح</w:t>
      </w:r>
      <w:r w:rsidRPr="00F4753C">
        <w:rPr>
          <w:rFonts w:cs="DanaFajr"/>
          <w:sz w:val="28"/>
          <w:szCs w:val="28"/>
          <w:rtl/>
        </w:rPr>
        <w:t>303</w:t>
      </w:r>
      <w:r w:rsidRPr="00F4753C">
        <w:rPr>
          <w:rFonts w:cs="DanaFajr" w:hint="cs"/>
          <w:sz w:val="28"/>
          <w:szCs w:val="28"/>
          <w:rtl/>
          <w:lang w:bidi="ar-LB"/>
        </w:rPr>
        <w:t>6</w:t>
      </w:r>
      <w:r w:rsidRPr="00F4753C">
        <w:rPr>
          <w:rFonts w:cs="DanaFajr"/>
          <w:sz w:val="28"/>
          <w:szCs w:val="28"/>
          <w:rtl/>
        </w:rPr>
        <w:t>9</w:t>
      </w:r>
      <w:r w:rsidRPr="00F4753C">
        <w:rPr>
          <w:rFonts w:cs="DanaFajr" w:hint="cs"/>
          <w:sz w:val="28"/>
          <w:szCs w:val="28"/>
          <w:rtl/>
        </w:rPr>
        <w:t>.</w:t>
      </w:r>
    </w:p>
  </w:endnote>
  <w:endnote w:id="690">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السابق 2</w:t>
      </w:r>
      <w:r w:rsidRPr="00F4753C">
        <w:rPr>
          <w:rFonts w:cs="DanaFajr" w:hint="cs"/>
          <w:sz w:val="28"/>
          <w:szCs w:val="28"/>
          <w:rtl/>
          <w:lang w:bidi="ar-LB"/>
        </w:rPr>
        <w:t>4</w:t>
      </w:r>
      <w:r w:rsidRPr="00F4753C">
        <w:rPr>
          <w:rFonts w:cs="DanaFajr" w:hint="cs"/>
          <w:sz w:val="28"/>
          <w:szCs w:val="28"/>
          <w:rtl/>
        </w:rPr>
        <w:t xml:space="preserve">: </w:t>
      </w:r>
      <w:r w:rsidRPr="00F4753C">
        <w:rPr>
          <w:rFonts w:cs="DanaFajr"/>
          <w:sz w:val="28"/>
          <w:szCs w:val="28"/>
          <w:rtl/>
        </w:rPr>
        <w:t>210</w:t>
      </w:r>
      <w:r w:rsidRPr="00F4753C">
        <w:rPr>
          <w:rFonts w:cs="DanaFajr" w:hint="cs"/>
          <w:sz w:val="28"/>
          <w:szCs w:val="28"/>
          <w:rtl/>
        </w:rPr>
        <w:t>، ح</w:t>
      </w:r>
      <w:r w:rsidRPr="00F4753C">
        <w:rPr>
          <w:rFonts w:cs="DanaFajr"/>
          <w:sz w:val="28"/>
          <w:szCs w:val="28"/>
          <w:rtl/>
        </w:rPr>
        <w:t>303</w:t>
      </w:r>
      <w:r w:rsidRPr="00F4753C">
        <w:rPr>
          <w:rFonts w:cs="DanaFajr" w:hint="cs"/>
          <w:sz w:val="28"/>
          <w:szCs w:val="28"/>
          <w:rtl/>
          <w:lang w:bidi="ar-LB"/>
        </w:rPr>
        <w:t>6</w:t>
      </w:r>
      <w:r w:rsidRPr="00F4753C">
        <w:rPr>
          <w:rFonts w:cs="DanaFajr"/>
          <w:sz w:val="28"/>
          <w:szCs w:val="28"/>
          <w:rtl/>
        </w:rPr>
        <w:t>3</w:t>
      </w:r>
      <w:r w:rsidRPr="00F4753C">
        <w:rPr>
          <w:rFonts w:cs="DanaFajr" w:hint="cs"/>
          <w:sz w:val="28"/>
          <w:szCs w:val="28"/>
          <w:rtl/>
        </w:rPr>
        <w:t>.</w:t>
      </w:r>
    </w:p>
  </w:endnote>
  <w:endnote w:id="691">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السابق 2</w:t>
      </w:r>
      <w:r w:rsidRPr="00F4753C">
        <w:rPr>
          <w:rFonts w:cs="DanaFajr" w:hint="cs"/>
          <w:sz w:val="28"/>
          <w:szCs w:val="28"/>
          <w:rtl/>
          <w:lang w:bidi="ar-LB"/>
        </w:rPr>
        <w:t>4</w:t>
      </w:r>
      <w:r w:rsidRPr="00F4753C">
        <w:rPr>
          <w:rFonts w:cs="DanaFajr" w:hint="cs"/>
          <w:sz w:val="28"/>
          <w:szCs w:val="28"/>
          <w:rtl/>
        </w:rPr>
        <w:t xml:space="preserve">: </w:t>
      </w:r>
      <w:r w:rsidRPr="00F4753C">
        <w:rPr>
          <w:rFonts w:cs="DanaFajr"/>
          <w:sz w:val="28"/>
          <w:szCs w:val="28"/>
          <w:rtl/>
        </w:rPr>
        <w:t>208</w:t>
      </w:r>
      <w:r w:rsidRPr="00F4753C">
        <w:rPr>
          <w:rFonts w:cs="DanaFajr" w:hint="cs"/>
          <w:sz w:val="28"/>
          <w:szCs w:val="28"/>
          <w:rtl/>
        </w:rPr>
        <w:t>، ح</w:t>
      </w:r>
      <w:r w:rsidRPr="00F4753C">
        <w:rPr>
          <w:rFonts w:cs="DanaFajr"/>
          <w:sz w:val="28"/>
          <w:szCs w:val="28"/>
          <w:rtl/>
        </w:rPr>
        <w:t>303</w:t>
      </w:r>
      <w:r w:rsidRPr="00F4753C">
        <w:rPr>
          <w:rFonts w:cs="DanaFajr" w:hint="cs"/>
          <w:sz w:val="28"/>
          <w:szCs w:val="28"/>
          <w:rtl/>
          <w:lang w:bidi="ar-LB"/>
        </w:rPr>
        <w:t>5</w:t>
      </w:r>
      <w:r w:rsidRPr="00F4753C">
        <w:rPr>
          <w:rFonts w:cs="DanaFajr"/>
          <w:sz w:val="28"/>
          <w:szCs w:val="28"/>
          <w:rtl/>
        </w:rPr>
        <w:t>8</w:t>
      </w:r>
      <w:r w:rsidRPr="00F4753C">
        <w:rPr>
          <w:rFonts w:cs="DanaFajr" w:hint="cs"/>
          <w:sz w:val="28"/>
          <w:szCs w:val="28"/>
          <w:rtl/>
        </w:rPr>
        <w:t>.</w:t>
      </w:r>
    </w:p>
  </w:endnote>
  <w:endnote w:id="692">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السابق 2</w:t>
      </w:r>
      <w:r w:rsidRPr="00F4753C">
        <w:rPr>
          <w:rFonts w:cs="DanaFajr" w:hint="cs"/>
          <w:sz w:val="28"/>
          <w:szCs w:val="28"/>
          <w:rtl/>
          <w:lang w:bidi="ar-LB"/>
        </w:rPr>
        <w:t>4</w:t>
      </w:r>
      <w:r w:rsidRPr="00F4753C">
        <w:rPr>
          <w:rFonts w:cs="DanaFajr" w:hint="cs"/>
          <w:sz w:val="28"/>
          <w:szCs w:val="28"/>
          <w:rtl/>
        </w:rPr>
        <w:t xml:space="preserve">: </w:t>
      </w:r>
      <w:r w:rsidRPr="00F4753C">
        <w:rPr>
          <w:rFonts w:cs="DanaFajr"/>
          <w:sz w:val="28"/>
          <w:szCs w:val="28"/>
          <w:rtl/>
        </w:rPr>
        <w:t>209</w:t>
      </w:r>
      <w:r w:rsidRPr="00F4753C">
        <w:rPr>
          <w:rFonts w:cs="DanaFajr" w:hint="cs"/>
          <w:sz w:val="28"/>
          <w:szCs w:val="28"/>
          <w:rtl/>
        </w:rPr>
        <w:t>، ح</w:t>
      </w:r>
      <w:r w:rsidRPr="00F4753C">
        <w:rPr>
          <w:rFonts w:cs="DanaFajr"/>
          <w:sz w:val="28"/>
          <w:szCs w:val="28"/>
          <w:rtl/>
        </w:rPr>
        <w:t>303</w:t>
      </w:r>
      <w:r w:rsidRPr="00F4753C">
        <w:rPr>
          <w:rFonts w:cs="DanaFajr" w:hint="cs"/>
          <w:sz w:val="28"/>
          <w:szCs w:val="28"/>
          <w:rtl/>
          <w:lang w:bidi="ar-LB"/>
        </w:rPr>
        <w:t>6</w:t>
      </w:r>
      <w:r w:rsidRPr="00F4753C">
        <w:rPr>
          <w:rFonts w:cs="DanaFajr"/>
          <w:sz w:val="28"/>
          <w:szCs w:val="28"/>
          <w:rtl/>
        </w:rPr>
        <w:t>1</w:t>
      </w:r>
      <w:r w:rsidRPr="00F4753C">
        <w:rPr>
          <w:rFonts w:cs="DanaFajr" w:hint="cs"/>
          <w:sz w:val="28"/>
          <w:szCs w:val="28"/>
          <w:rtl/>
        </w:rPr>
        <w:t>.</w:t>
      </w:r>
    </w:p>
  </w:endnote>
  <w:endnote w:id="693">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السابق 2</w:t>
      </w:r>
      <w:r w:rsidRPr="00F4753C">
        <w:rPr>
          <w:rFonts w:cs="DanaFajr" w:hint="cs"/>
          <w:sz w:val="28"/>
          <w:szCs w:val="28"/>
          <w:rtl/>
          <w:lang w:bidi="ar-LB"/>
        </w:rPr>
        <w:t>4</w:t>
      </w:r>
      <w:r w:rsidRPr="00F4753C">
        <w:rPr>
          <w:rFonts w:cs="DanaFajr" w:hint="cs"/>
          <w:sz w:val="28"/>
          <w:szCs w:val="28"/>
          <w:rtl/>
        </w:rPr>
        <w:t xml:space="preserve">: </w:t>
      </w:r>
      <w:r w:rsidRPr="00F4753C">
        <w:rPr>
          <w:rFonts w:cs="DanaFajr"/>
          <w:sz w:val="28"/>
          <w:szCs w:val="28"/>
          <w:rtl/>
        </w:rPr>
        <w:t>207</w:t>
      </w:r>
      <w:r w:rsidRPr="00F4753C">
        <w:rPr>
          <w:rFonts w:cs="DanaFajr" w:hint="cs"/>
          <w:sz w:val="28"/>
          <w:szCs w:val="28"/>
          <w:rtl/>
        </w:rPr>
        <w:t>، ح</w:t>
      </w:r>
      <w:r w:rsidRPr="00F4753C">
        <w:rPr>
          <w:rFonts w:cs="DanaFajr"/>
          <w:sz w:val="28"/>
          <w:szCs w:val="28"/>
          <w:rtl/>
        </w:rPr>
        <w:t>303</w:t>
      </w:r>
      <w:r w:rsidRPr="00F4753C">
        <w:rPr>
          <w:rFonts w:cs="DanaFajr" w:hint="cs"/>
          <w:sz w:val="28"/>
          <w:szCs w:val="28"/>
          <w:rtl/>
          <w:lang w:bidi="ar-LB"/>
        </w:rPr>
        <w:t>5</w:t>
      </w:r>
      <w:r w:rsidRPr="00F4753C">
        <w:rPr>
          <w:rFonts w:cs="DanaFajr"/>
          <w:sz w:val="28"/>
          <w:szCs w:val="28"/>
          <w:rtl/>
        </w:rPr>
        <w:t>7</w:t>
      </w:r>
      <w:r w:rsidRPr="00F4753C">
        <w:rPr>
          <w:rFonts w:cs="DanaFajr" w:hint="cs"/>
          <w:sz w:val="28"/>
          <w:szCs w:val="28"/>
          <w:rtl/>
        </w:rPr>
        <w:t>.</w:t>
      </w:r>
    </w:p>
  </w:endnote>
  <w:endnote w:id="694">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sz w:val="28"/>
          <w:szCs w:val="28"/>
          <w:rtl/>
        </w:rPr>
        <w:t>303</w:t>
      </w:r>
      <w:r w:rsidRPr="00F4753C">
        <w:rPr>
          <w:rFonts w:cs="DanaFajr" w:hint="cs"/>
          <w:sz w:val="28"/>
          <w:szCs w:val="28"/>
          <w:rtl/>
          <w:lang w:bidi="ar-LB"/>
        </w:rPr>
        <w:t>56</w:t>
      </w:r>
      <w:r w:rsidRPr="00F4753C">
        <w:rPr>
          <w:rFonts w:cs="DanaFajr" w:hint="cs"/>
          <w:sz w:val="28"/>
          <w:szCs w:val="28"/>
          <w:rtl/>
        </w:rPr>
        <w:t>.</w:t>
      </w:r>
    </w:p>
  </w:endnote>
  <w:endnote w:id="695">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المصدر السابق </w:t>
      </w:r>
      <w:r w:rsidRPr="00F4753C">
        <w:rPr>
          <w:rFonts w:cs="DanaFajr"/>
          <w:sz w:val="28"/>
          <w:szCs w:val="28"/>
          <w:rtl/>
        </w:rPr>
        <w:t>1</w:t>
      </w:r>
      <w:r w:rsidRPr="00F4753C">
        <w:rPr>
          <w:rFonts w:cs="DanaFajr" w:hint="cs"/>
          <w:sz w:val="28"/>
          <w:szCs w:val="28"/>
          <w:rtl/>
        </w:rPr>
        <w:t xml:space="preserve">: </w:t>
      </w:r>
      <w:r w:rsidRPr="00F4753C">
        <w:rPr>
          <w:rFonts w:cs="DanaFajr"/>
          <w:sz w:val="28"/>
          <w:szCs w:val="28"/>
          <w:rtl/>
        </w:rPr>
        <w:t>220</w:t>
      </w:r>
      <w:r w:rsidRPr="00F4753C">
        <w:rPr>
          <w:rFonts w:cs="DanaFajr" w:hint="cs"/>
          <w:sz w:val="28"/>
          <w:szCs w:val="28"/>
          <w:rtl/>
        </w:rPr>
        <w:t>، ح</w:t>
      </w:r>
      <w:r w:rsidRPr="00F4753C">
        <w:rPr>
          <w:rFonts w:cs="DanaFajr" w:hint="cs"/>
          <w:sz w:val="28"/>
          <w:szCs w:val="28"/>
          <w:rtl/>
          <w:lang w:bidi="ar-LB"/>
        </w:rPr>
        <w:t>56</w:t>
      </w:r>
      <w:r w:rsidRPr="00F4753C">
        <w:rPr>
          <w:rFonts w:cs="DanaFajr"/>
          <w:sz w:val="28"/>
          <w:szCs w:val="28"/>
          <w:rtl/>
        </w:rPr>
        <w:t>0</w:t>
      </w:r>
      <w:r w:rsidRPr="00F4753C">
        <w:rPr>
          <w:rFonts w:cs="DanaFajr" w:hint="cs"/>
          <w:sz w:val="28"/>
          <w:szCs w:val="28"/>
          <w:rtl/>
        </w:rPr>
        <w:t>.</w:t>
      </w:r>
    </w:p>
  </w:endnote>
  <w:endnote w:id="696">
    <w:p w:rsidR="00F41F33" w:rsidRPr="00F4753C" w:rsidRDefault="00F41F33" w:rsidP="00C73462">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xml:space="preserve">) المصدر السابق: </w:t>
      </w:r>
      <w:r w:rsidRPr="00F4753C">
        <w:rPr>
          <w:rFonts w:cs="DanaFajr"/>
          <w:sz w:val="28"/>
          <w:szCs w:val="28"/>
          <w:rtl/>
        </w:rPr>
        <w:t>219</w:t>
      </w:r>
      <w:r w:rsidRPr="00F4753C">
        <w:rPr>
          <w:rFonts w:cs="DanaFajr" w:hint="cs"/>
          <w:sz w:val="28"/>
          <w:szCs w:val="28"/>
          <w:rtl/>
        </w:rPr>
        <w:t>، ح</w:t>
      </w:r>
      <w:r w:rsidRPr="00F4753C">
        <w:rPr>
          <w:rFonts w:cs="DanaFajr" w:hint="cs"/>
          <w:sz w:val="28"/>
          <w:szCs w:val="28"/>
          <w:rtl/>
          <w:lang w:bidi="ar-LB"/>
        </w:rPr>
        <w:t>556</w:t>
      </w:r>
      <w:r w:rsidRPr="00F4753C">
        <w:rPr>
          <w:rFonts w:cs="DanaFajr" w:hint="cs"/>
          <w:sz w:val="28"/>
          <w:szCs w:val="28"/>
          <w:rtl/>
        </w:rPr>
        <w:t>.</w:t>
      </w:r>
    </w:p>
  </w:endnote>
  <w:endnote w:id="697">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55</w:t>
      </w:r>
      <w:r w:rsidRPr="00F4753C">
        <w:rPr>
          <w:rFonts w:cs="DanaFajr"/>
          <w:sz w:val="28"/>
          <w:szCs w:val="28"/>
          <w:rtl/>
        </w:rPr>
        <w:t>7</w:t>
      </w:r>
      <w:r w:rsidRPr="00F4753C">
        <w:rPr>
          <w:rFonts w:cs="DanaFajr" w:hint="cs"/>
          <w:sz w:val="28"/>
          <w:szCs w:val="28"/>
          <w:rtl/>
        </w:rPr>
        <w:t>.</w:t>
      </w:r>
    </w:p>
  </w:endnote>
  <w:endnote w:id="698">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55</w:t>
      </w:r>
      <w:r w:rsidRPr="00F4753C">
        <w:rPr>
          <w:rFonts w:cs="DanaFajr"/>
          <w:sz w:val="28"/>
          <w:szCs w:val="28"/>
          <w:rtl/>
        </w:rPr>
        <w:t>8</w:t>
      </w:r>
      <w:r w:rsidRPr="00F4753C">
        <w:rPr>
          <w:rFonts w:cs="DanaFajr" w:hint="cs"/>
          <w:sz w:val="28"/>
          <w:szCs w:val="28"/>
          <w:rtl/>
        </w:rPr>
        <w:t>.</w:t>
      </w:r>
    </w:p>
  </w:endnote>
  <w:endnote w:id="699">
    <w:p w:rsidR="00F41F33" w:rsidRPr="00F4753C" w:rsidRDefault="00F41F33" w:rsidP="00F636E3">
      <w:pPr>
        <w:pStyle w:val="aa"/>
        <w:spacing w:line="300" w:lineRule="exact"/>
        <w:ind w:firstLine="0"/>
        <w:rPr>
          <w:rFonts w:cs="DanaFajr"/>
          <w:sz w:val="28"/>
          <w:szCs w:val="28"/>
        </w:rPr>
      </w:pPr>
      <w:r w:rsidRPr="00F4753C">
        <w:rPr>
          <w:rFonts w:cs="DanaFajr" w:hint="cs"/>
          <w:sz w:val="28"/>
          <w:szCs w:val="28"/>
          <w:rtl/>
        </w:rPr>
        <w:t>(</w:t>
      </w:r>
      <w:r w:rsidRPr="00F4753C">
        <w:rPr>
          <w:rStyle w:val="ac"/>
          <w:rFonts w:cs="DanaFajr"/>
          <w:sz w:val="28"/>
          <w:szCs w:val="28"/>
          <w:vertAlign w:val="baseline"/>
        </w:rPr>
        <w:endnoteRef/>
      </w:r>
      <w:r w:rsidRPr="00F4753C">
        <w:rPr>
          <w:rFonts w:cs="DanaFajr" w:hint="cs"/>
          <w:sz w:val="28"/>
          <w:szCs w:val="28"/>
          <w:rtl/>
        </w:rPr>
        <w:t>) المصدر نفسه، ح</w:t>
      </w:r>
      <w:r w:rsidRPr="00F4753C">
        <w:rPr>
          <w:rFonts w:cs="DanaFajr" w:hint="cs"/>
          <w:sz w:val="28"/>
          <w:szCs w:val="28"/>
          <w:rtl/>
          <w:lang w:bidi="ar-LB"/>
        </w:rPr>
        <w:t>55</w:t>
      </w:r>
      <w:r w:rsidRPr="00F4753C">
        <w:rPr>
          <w:rFonts w:cs="DanaFajr"/>
          <w:sz w:val="28"/>
          <w:szCs w:val="28"/>
          <w:rtl/>
        </w:rPr>
        <w:t>9</w:t>
      </w:r>
      <w:r w:rsidRPr="00F4753C">
        <w:rPr>
          <w:rFonts w:cs="DanaFajr" w:hint="cs"/>
          <w:sz w:val="28"/>
          <w:szCs w:val="28"/>
          <w:rtl/>
        </w:rPr>
        <w:t>.</w:t>
      </w:r>
    </w:p>
  </w:endnote>
  <w:endnote w:id="700">
    <w:p w:rsidR="00F41F33" w:rsidRPr="00F65F87" w:rsidRDefault="00F41F33" w:rsidP="00F65F87">
      <w:pPr>
        <w:pStyle w:val="aa"/>
        <w:spacing w:line="300" w:lineRule="exact"/>
        <w:ind w:firstLine="0"/>
        <w:rPr>
          <w:rFonts w:cs="DanaFajr"/>
          <w:sz w:val="28"/>
          <w:szCs w:val="28"/>
          <w:lang w:bidi="ar-IQ"/>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 xml:space="preserve">) </w:t>
      </w:r>
      <w:r w:rsidRPr="00F65F87">
        <w:rPr>
          <w:rFonts w:cs="DanaFajr" w:hint="cs"/>
          <w:sz w:val="28"/>
          <w:szCs w:val="28"/>
          <w:rtl/>
          <w:lang w:bidi="ar-IQ"/>
        </w:rPr>
        <w:t xml:space="preserve">أتقدم بجزيل الشكر والعرفان للأستاذ محمد رضا القاموسي، المتخصِّص في الأدب والتراث النجفي، على الجهود التي بذلها حول هذا المقال، والتعليقات والمعلومات القيِّمة التي زوَّدني بها، فله محبتي وامتناني. [عماد الهلالي]. </w:t>
      </w:r>
    </w:p>
  </w:endnote>
  <w:endnote w:id="701">
    <w:p w:rsidR="00F41F33" w:rsidRPr="00F65F87" w:rsidRDefault="00F41F33" w:rsidP="00F65F87">
      <w:pPr>
        <w:pStyle w:val="aa"/>
        <w:spacing w:line="300" w:lineRule="exact"/>
        <w:ind w:firstLine="0"/>
        <w:rPr>
          <w:rFonts w:cs="DanaFajr"/>
          <w:sz w:val="28"/>
          <w:szCs w:val="28"/>
          <w:rtl/>
          <w:lang w:bidi="ar-IQ"/>
        </w:rPr>
      </w:pPr>
      <w:r w:rsidRPr="00286E54">
        <w:rPr>
          <w:rFonts w:cs="DanaFajr"/>
          <w:sz w:val="28"/>
          <w:szCs w:val="28"/>
          <w:rtl/>
        </w:rPr>
        <w:t>(</w:t>
      </w:r>
      <w:r w:rsidRPr="00286E54">
        <w:rPr>
          <w:rStyle w:val="ac"/>
          <w:rFonts w:cs="DanaFajr"/>
          <w:sz w:val="28"/>
          <w:szCs w:val="28"/>
          <w:vertAlign w:val="baseline"/>
        </w:rPr>
        <w:endnoteRef/>
      </w:r>
      <w:r w:rsidRPr="00286E54">
        <w:rPr>
          <w:rFonts w:cs="DanaFajr"/>
          <w:sz w:val="28"/>
          <w:szCs w:val="28"/>
          <w:rtl/>
        </w:rPr>
        <w:t>)</w:t>
      </w:r>
      <w:r w:rsidRPr="00286E54">
        <w:rPr>
          <w:rFonts w:cs="DanaFajr" w:hint="cs"/>
          <w:sz w:val="28"/>
          <w:szCs w:val="28"/>
          <w:rtl/>
          <w:lang w:bidi="ar-IQ"/>
        </w:rPr>
        <w:t xml:space="preserve"> صدر المجلّد الأول من كتاب (مستمسك العروة الوثقى)، للسيد محسن الحكيم، عام 1368هـ، عن</w:t>
      </w:r>
      <w:r w:rsidRPr="00F65F87">
        <w:rPr>
          <w:rFonts w:cs="DanaFajr" w:hint="cs"/>
          <w:sz w:val="28"/>
          <w:szCs w:val="28"/>
          <w:rtl/>
          <w:lang w:bidi="ar-IQ"/>
        </w:rPr>
        <w:t xml:space="preserve"> </w:t>
      </w:r>
      <w:r w:rsidRPr="00286E54">
        <w:rPr>
          <w:rFonts w:cs="DanaFajr" w:hint="cs"/>
          <w:sz w:val="28"/>
          <w:szCs w:val="28"/>
          <w:rtl/>
          <w:lang w:bidi="ar-IQ"/>
        </w:rPr>
        <w:t>المطبعة المرتضوية في النجف. وصدرت أجزاؤه الأخرى فيما بعد، وقد بلغت 14 جزءاً. ويُعَدّ الكتاب</w:t>
      </w:r>
      <w:r w:rsidRPr="00F65F87">
        <w:rPr>
          <w:rFonts w:cs="DanaFajr" w:hint="cs"/>
          <w:sz w:val="28"/>
          <w:szCs w:val="28"/>
          <w:rtl/>
          <w:lang w:bidi="ar-IQ"/>
        </w:rPr>
        <w:t xml:space="preserve"> أوّل شرح استدلالي لمسائل العروة الوثقى (للسيد اليزدي)، استطاع بما احتواه من آراء رصينة، وبيان واضح، أن يأخذ مكانته في الوسط العلمي، واعتمده الباحثون مصدراً أوّلياً عند تعرّضهم لآراء الإمامية في المسائل الفقهية. </w:t>
      </w:r>
    </w:p>
    <w:p w:rsidR="00F41F33" w:rsidRPr="00F65F87" w:rsidRDefault="00F41F33" w:rsidP="00F65F87">
      <w:pPr>
        <w:pStyle w:val="aa"/>
        <w:spacing w:line="300" w:lineRule="exact"/>
        <w:ind w:firstLine="0"/>
        <w:rPr>
          <w:rFonts w:cs="DanaFajr"/>
          <w:sz w:val="28"/>
          <w:szCs w:val="28"/>
          <w:lang w:bidi="ar-IQ"/>
        </w:rPr>
      </w:pPr>
      <w:r w:rsidRPr="00F65F87">
        <w:rPr>
          <w:rFonts w:cs="DanaFajr" w:hint="cs"/>
          <w:sz w:val="28"/>
          <w:szCs w:val="28"/>
          <w:rtl/>
          <w:lang w:bidi="ar-IQ"/>
        </w:rPr>
        <w:t xml:space="preserve">وبدون شَكٍّ فإن صدوره عزّز يومها من مكانة السيد الحكيم، ولفت الأنظار إليه، وبخاصّة أنه كان متصدِّياً لمرجعيةٍ كانت تتّسع تدريجياً. وكلنا يعرف أن التصدّي للمرجعية في الوسط الشيعي مسألة تستدعي تجاذبات ومماحكات بادئ الأمر لتمتدّ فيما بعد أو تنحسر. </w:t>
      </w:r>
    </w:p>
  </w:endnote>
  <w:endnote w:id="702">
    <w:p w:rsidR="00F41F33" w:rsidRPr="00F65F87" w:rsidRDefault="00F41F33" w:rsidP="00F65F87">
      <w:pPr>
        <w:pStyle w:val="aa"/>
        <w:spacing w:line="300" w:lineRule="exact"/>
        <w:ind w:firstLine="0"/>
        <w:rPr>
          <w:rFonts w:cs="DanaFajr"/>
          <w:sz w:val="28"/>
          <w:szCs w:val="28"/>
          <w:lang w:bidi="ar-IQ"/>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 xml:space="preserve">) </w:t>
      </w:r>
      <w:r w:rsidRPr="00F65F87">
        <w:rPr>
          <w:rFonts w:cs="DanaFajr" w:hint="cs"/>
          <w:sz w:val="28"/>
          <w:szCs w:val="28"/>
          <w:rtl/>
          <w:lang w:bidi="ar-IQ"/>
        </w:rPr>
        <w:t xml:space="preserve">هذا القول أقرب إلى الواقع، حيث إنّ الشيخ آغا </w:t>
      </w:r>
      <w:r w:rsidRPr="00F65F87">
        <w:rPr>
          <w:rFonts w:ascii="Mosawi" w:hAnsi="Mosawi" w:cs="DanaFajr" w:hint="cs"/>
          <w:sz w:val="28"/>
          <w:szCs w:val="28"/>
          <w:rtl/>
          <w:lang w:val="x-none" w:eastAsia="x-none"/>
        </w:rPr>
        <w:t>بزر</w:t>
      </w:r>
      <w:r w:rsidRPr="00F65F87">
        <w:rPr>
          <w:rFonts w:ascii="Mosawi" w:hAnsi="Mosawi" w:cs="DanaFajr"/>
          <w:sz w:val="28"/>
          <w:szCs w:val="28"/>
          <w:rtl/>
          <w:lang w:val="x-none" w:eastAsia="x-none"/>
        </w:rPr>
        <w:t>گ</w:t>
      </w:r>
      <w:r w:rsidRPr="00F65F87">
        <w:rPr>
          <w:rFonts w:cs="DanaFajr" w:hint="cs"/>
          <w:sz w:val="28"/>
          <w:szCs w:val="28"/>
          <w:rtl/>
          <w:lang w:bidi="ar-IQ"/>
        </w:rPr>
        <w:t xml:space="preserve"> هو صاحب الفنّ في هذا المجال، ومن المستبعد من الشيخ أن لا يطّلع على الكرّاس. </w:t>
      </w:r>
    </w:p>
  </w:endnote>
  <w:endnote w:id="703">
    <w:p w:rsidR="00F41F33" w:rsidRPr="00286E54" w:rsidRDefault="00F41F33" w:rsidP="00F65F87">
      <w:pPr>
        <w:pStyle w:val="aa"/>
        <w:spacing w:line="300" w:lineRule="exact"/>
        <w:ind w:firstLine="0"/>
        <w:rPr>
          <w:rFonts w:cs="DanaFajr"/>
          <w:sz w:val="28"/>
          <w:szCs w:val="28"/>
          <w:rtl/>
          <w:lang w:bidi="ar-IQ"/>
        </w:rPr>
      </w:pPr>
      <w:r w:rsidRPr="00286E54">
        <w:rPr>
          <w:rFonts w:cs="DanaFajr"/>
          <w:sz w:val="28"/>
          <w:szCs w:val="28"/>
          <w:rtl/>
        </w:rPr>
        <w:t>(</w:t>
      </w:r>
      <w:r w:rsidRPr="00286E54">
        <w:rPr>
          <w:rStyle w:val="ac"/>
          <w:rFonts w:cs="DanaFajr"/>
          <w:sz w:val="28"/>
          <w:szCs w:val="28"/>
          <w:vertAlign w:val="baseline"/>
        </w:rPr>
        <w:endnoteRef/>
      </w:r>
      <w:r w:rsidRPr="00286E54">
        <w:rPr>
          <w:rFonts w:cs="DanaFajr"/>
          <w:sz w:val="28"/>
          <w:szCs w:val="28"/>
          <w:rtl/>
        </w:rPr>
        <w:t xml:space="preserve">) </w:t>
      </w:r>
      <w:r w:rsidRPr="00286E54">
        <w:rPr>
          <w:rFonts w:cs="DanaFajr" w:hint="cs"/>
          <w:sz w:val="28"/>
          <w:szCs w:val="28"/>
          <w:rtl/>
          <w:lang w:bidi="ar-IQ"/>
        </w:rPr>
        <w:t>عام 1370هـ، وبعد وفاة الشيخ محمد رضا ياسين، بدأت مرجعية السيد الحكيم بالاتّساع، مما</w:t>
      </w:r>
      <w:r w:rsidRPr="00F65F87">
        <w:rPr>
          <w:rFonts w:cs="DanaFajr" w:hint="cs"/>
          <w:sz w:val="28"/>
          <w:szCs w:val="28"/>
          <w:rtl/>
          <w:lang w:bidi="ar-IQ"/>
        </w:rPr>
        <w:t xml:space="preserve"> أثار حفيظة بعضهم، فصدر يومها منشور بعنوان: (إعلان الحقيقة، المذهب الوهّابي وإنكار ضروري الدين في فتاوى السيد محسن الحكيم)، تناول بعض ما جاء في المستمسك من آراء، هي كما يزعم كاتب المنشور (بدعة في الدين، وإنكار للضروري في شريعة سيد المرسلين، وتشكيك في أصول الدين، وترويج لمذهب الوهّابيين...، إلخ). وقد توجَّهت أصابع الاتّهام في كتابته ونشره حينها إلى الشيخ عبد الكريم الزنجاني. ويقول الدكتور الشيخ عبد الهادي الفضلي: إن الحكومة العراقية كانت وراء هذا العمل، محاولةً منها لحمل الناس على العدول عن التوجُّه إلى السيد الحكيم. (بتصرُّف عن: هكذا </w:t>
      </w:r>
      <w:r w:rsidRPr="00286E54">
        <w:rPr>
          <w:rFonts w:cs="DanaFajr" w:hint="cs"/>
          <w:sz w:val="28"/>
          <w:szCs w:val="28"/>
          <w:rtl/>
          <w:lang w:bidi="ar-IQ"/>
        </w:rPr>
        <w:t xml:space="preserve">قرأتهم 1: 240، طبعة بيروت)، مع ملاحظة أن الزنجاني كانت له علاقة متينة بالحكومة. </w:t>
      </w:r>
    </w:p>
    <w:p w:rsidR="00F41F33" w:rsidRPr="00F65F87" w:rsidRDefault="00F41F33" w:rsidP="00F65F87">
      <w:pPr>
        <w:pStyle w:val="aa"/>
        <w:spacing w:line="300" w:lineRule="exact"/>
        <w:ind w:firstLine="0"/>
        <w:rPr>
          <w:rFonts w:cs="DanaFajr"/>
          <w:sz w:val="28"/>
          <w:szCs w:val="28"/>
          <w:lang w:bidi="ar-IQ"/>
        </w:rPr>
      </w:pPr>
      <w:r w:rsidRPr="00F65F87">
        <w:rPr>
          <w:rFonts w:cs="DanaFajr" w:hint="cs"/>
          <w:sz w:val="28"/>
          <w:szCs w:val="28"/>
          <w:rtl/>
          <w:lang w:bidi="ar-IQ"/>
        </w:rPr>
        <w:t xml:space="preserve">وقد ذكر الفاضل الشيخ شريف، نجل الشيخ محمد حسين كاشف الغطاء، أن الزنجاني سلَّمه رزمة من المنشور ليوصلها إلى والده، قائلاً له بمباهاة: (إن يد العناية الإلهية هي التي كتبت هذا!!)، مؤكِّداً ان الشيخ كاشف الغطاء لم يكن له أيّ يدٍ في الأمر، كما أشيع يومها. </w:t>
      </w:r>
    </w:p>
  </w:endnote>
  <w:endnote w:id="704">
    <w:p w:rsidR="00F41F33" w:rsidRPr="00286E54" w:rsidRDefault="00F41F33" w:rsidP="00F65F87">
      <w:pPr>
        <w:pStyle w:val="aa"/>
        <w:spacing w:line="300" w:lineRule="exact"/>
        <w:ind w:firstLine="0"/>
        <w:rPr>
          <w:rFonts w:cs="DanaFajr"/>
          <w:sz w:val="28"/>
          <w:szCs w:val="28"/>
          <w:rtl/>
          <w:lang w:bidi="ar-IQ"/>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 xml:space="preserve">) </w:t>
      </w:r>
      <w:r w:rsidRPr="00F65F87">
        <w:rPr>
          <w:rFonts w:cs="DanaFajr" w:hint="cs"/>
          <w:sz w:val="28"/>
          <w:szCs w:val="28"/>
          <w:rtl/>
          <w:lang w:bidi="ar-IQ"/>
        </w:rPr>
        <w:t xml:space="preserve">وهذا الأقرب إلى الواقع. (للمزيد حول هذا الموضوع انظر: من أوراق الشيخ محمد رضا المظفَّر: </w:t>
      </w:r>
      <w:r w:rsidRPr="00286E54">
        <w:rPr>
          <w:rFonts w:cs="DanaFajr" w:hint="cs"/>
          <w:sz w:val="28"/>
          <w:szCs w:val="28"/>
          <w:rtl/>
          <w:lang w:bidi="ar-IQ"/>
        </w:rPr>
        <w:t xml:space="preserve">114 ـ 117، إعداد وتقديم: محمد رضا القاموسي، المكتبة العصرية، بغداد، 2014م). </w:t>
      </w:r>
    </w:p>
  </w:endnote>
  <w:endnote w:id="705">
    <w:p w:rsidR="00F41F33" w:rsidRPr="00F65F87" w:rsidRDefault="00F41F33" w:rsidP="00F65F87">
      <w:pPr>
        <w:pStyle w:val="aa"/>
        <w:spacing w:line="300" w:lineRule="exact"/>
        <w:ind w:firstLine="0"/>
        <w:rPr>
          <w:rFonts w:cs="DanaFajr"/>
          <w:sz w:val="28"/>
          <w:szCs w:val="28"/>
          <w:lang w:bidi="ar-IQ"/>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 xml:space="preserve">) </w:t>
      </w:r>
      <w:r w:rsidRPr="00F65F87">
        <w:rPr>
          <w:rFonts w:cs="DanaFajr" w:hint="cs"/>
          <w:sz w:val="28"/>
          <w:szCs w:val="28"/>
          <w:rtl/>
          <w:lang w:bidi="ar-IQ"/>
        </w:rPr>
        <w:t>انبرى للردّ على هذا المنشور اثنان</w:t>
      </w:r>
      <w:r w:rsidRPr="00F65F87">
        <w:rPr>
          <w:rFonts w:cs="DanaFajr"/>
          <w:sz w:val="28"/>
          <w:szCs w:val="28"/>
          <w:rtl/>
          <w:lang w:bidi="ar-IQ"/>
        </w:rPr>
        <w:t xml:space="preserve"> </w:t>
      </w:r>
      <w:r w:rsidRPr="00F65F87">
        <w:rPr>
          <w:rFonts w:cs="DanaFajr" w:hint="cs"/>
          <w:sz w:val="28"/>
          <w:szCs w:val="28"/>
          <w:rtl/>
          <w:lang w:bidi="ar-IQ"/>
        </w:rPr>
        <w:t>من علماء النجف آنذاك</w:t>
      </w:r>
      <w:r w:rsidRPr="00F65F87">
        <w:rPr>
          <w:rFonts w:cs="DanaFajr"/>
          <w:sz w:val="28"/>
          <w:szCs w:val="28"/>
          <w:rtl/>
          <w:lang w:bidi="ar-IQ"/>
        </w:rPr>
        <w:t xml:space="preserve">: </w:t>
      </w:r>
    </w:p>
    <w:p w:rsidR="00F41F33" w:rsidRPr="00F65F87" w:rsidRDefault="00F41F33" w:rsidP="00F65F87">
      <w:pPr>
        <w:pStyle w:val="aa"/>
        <w:spacing w:line="300" w:lineRule="exact"/>
        <w:ind w:firstLine="0"/>
        <w:rPr>
          <w:rFonts w:cs="DanaFajr"/>
          <w:sz w:val="28"/>
          <w:szCs w:val="28"/>
          <w:rtl/>
          <w:lang w:bidi="ar-IQ"/>
        </w:rPr>
      </w:pPr>
      <w:r w:rsidRPr="00F65F87">
        <w:rPr>
          <w:rFonts w:cs="DanaFajr" w:hint="cs"/>
          <w:b/>
          <w:bCs/>
          <w:sz w:val="28"/>
          <w:szCs w:val="28"/>
          <w:rtl/>
          <w:lang w:bidi="ar-IQ"/>
        </w:rPr>
        <w:t>أوّلهما</w:t>
      </w:r>
      <w:r w:rsidRPr="00F65F87">
        <w:rPr>
          <w:rFonts w:cs="DanaFajr" w:hint="cs"/>
          <w:sz w:val="28"/>
          <w:szCs w:val="28"/>
          <w:rtl/>
          <w:lang w:bidi="ar-IQ"/>
        </w:rPr>
        <w:t>: صاحب الغدير العلاّمة</w:t>
      </w:r>
      <w:r w:rsidRPr="00F65F87">
        <w:rPr>
          <w:rFonts w:cs="DanaFajr"/>
          <w:sz w:val="28"/>
          <w:szCs w:val="28"/>
          <w:rtl/>
          <w:lang w:bidi="ar-IQ"/>
        </w:rPr>
        <w:t xml:space="preserve"> </w:t>
      </w:r>
      <w:r w:rsidRPr="00F65F87">
        <w:rPr>
          <w:rFonts w:cs="DanaFajr" w:hint="cs"/>
          <w:sz w:val="28"/>
          <w:szCs w:val="28"/>
          <w:rtl/>
          <w:lang w:bidi="ar-IQ"/>
        </w:rPr>
        <w:t xml:space="preserve">عبد الحسين الأميني بمنشور (مثبت في نصّ جعفريان). </w:t>
      </w:r>
    </w:p>
    <w:p w:rsidR="00F41F33" w:rsidRPr="00F65F87" w:rsidRDefault="00F41F33" w:rsidP="00F65F87">
      <w:pPr>
        <w:pStyle w:val="aa"/>
        <w:spacing w:line="300" w:lineRule="exact"/>
        <w:ind w:firstLine="0"/>
        <w:rPr>
          <w:rFonts w:cs="DanaFajr"/>
          <w:sz w:val="28"/>
          <w:szCs w:val="28"/>
          <w:lang w:bidi="ar-IQ"/>
        </w:rPr>
      </w:pPr>
      <w:r w:rsidRPr="00F65F87">
        <w:rPr>
          <w:rFonts w:cs="DanaFajr" w:hint="cs"/>
          <w:b/>
          <w:bCs/>
          <w:sz w:val="28"/>
          <w:szCs w:val="28"/>
          <w:rtl/>
          <w:lang w:bidi="ar-IQ"/>
        </w:rPr>
        <w:t>وثانيهما</w:t>
      </w:r>
      <w:r w:rsidRPr="00F65F87">
        <w:rPr>
          <w:rFonts w:cs="DanaFajr" w:hint="cs"/>
          <w:sz w:val="28"/>
          <w:szCs w:val="28"/>
          <w:rtl/>
          <w:lang w:bidi="ar-IQ"/>
        </w:rPr>
        <w:t xml:space="preserve">: السيد محمد تقي الحكيم، في مقال نُشر في جريدة الهاتف، بحسب ما ذكره الفضلي. (المصدر السابق). </w:t>
      </w:r>
    </w:p>
  </w:endnote>
  <w:endnote w:id="706">
    <w:p w:rsidR="00F41F33" w:rsidRPr="00F65F87" w:rsidRDefault="00F41F33" w:rsidP="00F65F87">
      <w:pPr>
        <w:pStyle w:val="aa"/>
        <w:spacing w:line="300" w:lineRule="exact"/>
        <w:ind w:firstLine="0"/>
        <w:rPr>
          <w:rFonts w:cs="DanaFajr"/>
          <w:sz w:val="28"/>
          <w:szCs w:val="28"/>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 xml:space="preserve">) </w:t>
      </w:r>
      <w:r w:rsidRPr="00F65F87">
        <w:rPr>
          <w:rFonts w:cs="DanaFajr" w:hint="cs"/>
          <w:sz w:val="28"/>
          <w:szCs w:val="28"/>
          <w:rtl/>
        </w:rPr>
        <w:t xml:space="preserve">كلمتان غير مقروءتان. </w:t>
      </w:r>
    </w:p>
  </w:endnote>
  <w:endnote w:id="707">
    <w:p w:rsidR="00F41F33" w:rsidRPr="00F65F87" w:rsidRDefault="00F41F33" w:rsidP="00F65F87">
      <w:pPr>
        <w:pStyle w:val="aa"/>
        <w:spacing w:line="300" w:lineRule="exact"/>
        <w:ind w:firstLine="0"/>
        <w:rPr>
          <w:rFonts w:cs="DanaFajr"/>
          <w:sz w:val="28"/>
          <w:szCs w:val="28"/>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 xml:space="preserve">) </w:t>
      </w:r>
      <w:r w:rsidRPr="00F65F87">
        <w:rPr>
          <w:rFonts w:cs="DanaFajr" w:hint="cs"/>
          <w:sz w:val="28"/>
          <w:szCs w:val="28"/>
          <w:rtl/>
        </w:rPr>
        <w:t xml:space="preserve">كلمة غير مقروءة (كلمة شبيهة بالمفضل). </w:t>
      </w:r>
    </w:p>
  </w:endnote>
  <w:endnote w:id="708">
    <w:p w:rsidR="00F41F33" w:rsidRPr="00F65F87" w:rsidRDefault="00F41F33" w:rsidP="00F65F87">
      <w:pPr>
        <w:pStyle w:val="aa"/>
        <w:spacing w:line="300" w:lineRule="exact"/>
        <w:ind w:firstLine="0"/>
        <w:rPr>
          <w:rFonts w:cs="DanaFajr"/>
          <w:sz w:val="28"/>
          <w:szCs w:val="28"/>
          <w:lang w:bidi="ar-IQ"/>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 xml:space="preserve">) </w:t>
      </w:r>
      <w:r w:rsidRPr="00F65F87">
        <w:rPr>
          <w:rFonts w:cs="DanaFajr" w:hint="cs"/>
          <w:sz w:val="28"/>
          <w:szCs w:val="28"/>
          <w:rtl/>
          <w:lang w:bidi="ar-IQ"/>
        </w:rPr>
        <w:t xml:space="preserve">بعد مضيّ شهرين من ذلك صدر منشورٌ آخر بعنوان (فتاوى السيد محسن الحكيم تخالف الكتاب والسنّة والإجماع)، وبتوقيع الهيئة العلمية أيضاً، وفيه ردّ كاتبه على منشور الأميني، ونَعَتَهُ بأنه (من المعمَّمين الذين يعدّون أنفسهم من أهل العلم، وليس لهم منه قلامة ظفر)، وأخذ عليه بعض الأمور، ضارباً على الوتر نفسه في التعريض بالمستمسك، ومؤلِّفه السيد الحكيم. </w:t>
      </w:r>
    </w:p>
  </w:endnote>
  <w:endnote w:id="709">
    <w:p w:rsidR="00F41F33" w:rsidRPr="00286E54" w:rsidRDefault="00F41F33" w:rsidP="00F65F87">
      <w:pPr>
        <w:pStyle w:val="aa"/>
        <w:spacing w:line="300" w:lineRule="exact"/>
        <w:ind w:firstLine="0"/>
        <w:rPr>
          <w:rFonts w:cs="DanaFajr"/>
          <w:sz w:val="28"/>
          <w:szCs w:val="28"/>
          <w:lang w:bidi="ar-IQ"/>
        </w:rPr>
      </w:pPr>
      <w:r w:rsidRPr="00286E54">
        <w:rPr>
          <w:rFonts w:cs="DanaFajr"/>
          <w:sz w:val="28"/>
          <w:szCs w:val="28"/>
          <w:rtl/>
        </w:rPr>
        <w:t>(</w:t>
      </w:r>
      <w:r w:rsidRPr="00286E54">
        <w:rPr>
          <w:rStyle w:val="ac"/>
          <w:rFonts w:cs="DanaFajr"/>
          <w:sz w:val="28"/>
          <w:szCs w:val="28"/>
          <w:vertAlign w:val="baseline"/>
        </w:rPr>
        <w:endnoteRef/>
      </w:r>
      <w:r w:rsidRPr="00286E54">
        <w:rPr>
          <w:rFonts w:cs="DanaFajr"/>
          <w:sz w:val="28"/>
          <w:szCs w:val="28"/>
          <w:rtl/>
        </w:rPr>
        <w:t>)</w:t>
      </w:r>
      <w:r w:rsidRPr="00286E54">
        <w:rPr>
          <w:rFonts w:cs="DanaFajr" w:hint="cs"/>
          <w:sz w:val="28"/>
          <w:szCs w:val="28"/>
          <w:rtl/>
        </w:rPr>
        <w:t xml:space="preserve"> راجع حوله: مفاخر أذربيجان 5: 2857 ـ 2862</w:t>
      </w:r>
      <w:r w:rsidRPr="00286E54">
        <w:rPr>
          <w:rFonts w:cs="DanaFajr" w:hint="cs"/>
          <w:sz w:val="28"/>
          <w:szCs w:val="28"/>
          <w:rtl/>
          <w:lang w:bidi="ar-IQ"/>
        </w:rPr>
        <w:t xml:space="preserve">. </w:t>
      </w:r>
    </w:p>
  </w:endnote>
  <w:endnote w:id="710">
    <w:p w:rsidR="00F41F33" w:rsidRPr="00286E54" w:rsidRDefault="00F41F33" w:rsidP="00F65F87">
      <w:pPr>
        <w:pStyle w:val="aa"/>
        <w:spacing w:line="300" w:lineRule="exact"/>
        <w:ind w:firstLine="0"/>
        <w:rPr>
          <w:rFonts w:cs="DanaFajr"/>
          <w:sz w:val="28"/>
          <w:szCs w:val="28"/>
          <w:rtl/>
          <w:lang w:bidi="ar-IQ"/>
        </w:rPr>
      </w:pPr>
      <w:r w:rsidRPr="00286E54">
        <w:rPr>
          <w:rFonts w:cs="DanaFajr"/>
          <w:sz w:val="28"/>
          <w:szCs w:val="28"/>
          <w:rtl/>
        </w:rPr>
        <w:t>(</w:t>
      </w:r>
      <w:r w:rsidRPr="00286E54">
        <w:rPr>
          <w:rStyle w:val="ac"/>
          <w:rFonts w:cs="DanaFajr"/>
          <w:sz w:val="28"/>
          <w:szCs w:val="28"/>
          <w:vertAlign w:val="baseline"/>
        </w:rPr>
        <w:endnoteRef/>
      </w:r>
      <w:r w:rsidRPr="00286E54">
        <w:rPr>
          <w:rFonts w:cs="DanaFajr"/>
          <w:sz w:val="28"/>
          <w:szCs w:val="28"/>
          <w:rtl/>
        </w:rPr>
        <w:t xml:space="preserve">) </w:t>
      </w:r>
      <w:r w:rsidRPr="00286E54">
        <w:rPr>
          <w:rFonts w:cs="DanaFajr" w:hint="cs"/>
          <w:sz w:val="28"/>
          <w:szCs w:val="28"/>
          <w:rtl/>
          <w:lang w:bidi="ar-IQ"/>
        </w:rPr>
        <w:t>يقصد الشيخ عبد الكريم الزنجاني(1304 ـ 1388هـ). والشيخ عبد الكريم بن محمد رضا</w:t>
      </w:r>
      <w:r w:rsidRPr="00F65F87">
        <w:rPr>
          <w:rFonts w:cs="DanaFajr" w:hint="cs"/>
          <w:sz w:val="28"/>
          <w:szCs w:val="28"/>
          <w:rtl/>
          <w:lang w:bidi="ar-IQ"/>
        </w:rPr>
        <w:t xml:space="preserve"> </w:t>
      </w:r>
      <w:r w:rsidRPr="00286E54">
        <w:rPr>
          <w:rFonts w:cs="DanaFajr" w:hint="cs"/>
          <w:sz w:val="28"/>
          <w:szCs w:val="28"/>
          <w:rtl/>
          <w:lang w:bidi="ar-IQ"/>
        </w:rPr>
        <w:t>الزنجاني من علماء النجف، ومن تلامذة السيد كاظم اليزدي(1337هـ) المجازين منه بالاجتهاد ـ</w:t>
      </w:r>
      <w:r w:rsidRPr="00F65F87">
        <w:rPr>
          <w:rFonts w:cs="DanaFajr" w:hint="cs"/>
          <w:sz w:val="28"/>
          <w:szCs w:val="28"/>
          <w:rtl/>
          <w:lang w:bidi="ar-IQ"/>
        </w:rPr>
        <w:t xml:space="preserve"> كما في بعض المصادر ـ، سافر إلى عددٍ من الدول العربية والإسلامية، والتقى أعلامها وملوكها، وحظي </w:t>
      </w:r>
      <w:r w:rsidRPr="00286E54">
        <w:rPr>
          <w:rFonts w:cs="DanaFajr" w:hint="cs"/>
          <w:sz w:val="28"/>
          <w:szCs w:val="28"/>
          <w:rtl/>
          <w:lang w:bidi="ar-IQ"/>
        </w:rPr>
        <w:t>باهتمامهم. (راجع: الزركلي، الأعلام 4: 26، ط5؛ مير بصري، أعلام الأدب في العراق الحديث 2:</w:t>
      </w:r>
      <w:r w:rsidRPr="00F65F87">
        <w:rPr>
          <w:rFonts w:cs="DanaFajr" w:hint="cs"/>
          <w:sz w:val="28"/>
          <w:szCs w:val="28"/>
          <w:rtl/>
          <w:lang w:bidi="ar-IQ"/>
        </w:rPr>
        <w:t xml:space="preserve"> </w:t>
      </w:r>
      <w:r w:rsidRPr="00286E54">
        <w:rPr>
          <w:rFonts w:cs="DanaFajr" w:hint="cs"/>
          <w:sz w:val="28"/>
          <w:szCs w:val="28"/>
          <w:rtl/>
          <w:lang w:bidi="ar-IQ"/>
        </w:rPr>
        <w:t xml:space="preserve">342). </w:t>
      </w:r>
    </w:p>
    <w:p w:rsidR="00F41F33" w:rsidRPr="00F65F87" w:rsidRDefault="00F41F33" w:rsidP="00F65F87">
      <w:pPr>
        <w:pStyle w:val="aa"/>
        <w:spacing w:line="300" w:lineRule="exact"/>
        <w:ind w:firstLine="0"/>
        <w:rPr>
          <w:rFonts w:cs="DanaFajr"/>
          <w:sz w:val="28"/>
          <w:szCs w:val="28"/>
          <w:rtl/>
          <w:lang w:bidi="ar-IQ"/>
        </w:rPr>
      </w:pPr>
      <w:r w:rsidRPr="00F65F87">
        <w:rPr>
          <w:rFonts w:cs="DanaFajr" w:hint="cs"/>
          <w:sz w:val="28"/>
          <w:szCs w:val="28"/>
          <w:rtl/>
          <w:lang w:bidi="ar-IQ"/>
        </w:rPr>
        <w:t>والزنجاني شخصية يكتنف سيرتها الغموض، تضاربت الآراء حولها، وتباينت أطر التقويم لها:</w:t>
      </w:r>
    </w:p>
    <w:p w:rsidR="00F41F33" w:rsidRPr="00286E54" w:rsidRDefault="00F41F33" w:rsidP="00F65F87">
      <w:pPr>
        <w:pStyle w:val="aa"/>
        <w:spacing w:line="300" w:lineRule="exact"/>
        <w:ind w:firstLine="0"/>
        <w:rPr>
          <w:rFonts w:cs="DanaFajr"/>
          <w:sz w:val="28"/>
          <w:szCs w:val="28"/>
          <w:rtl/>
          <w:lang w:bidi="ar-IQ"/>
        </w:rPr>
      </w:pPr>
      <w:r w:rsidRPr="00286E54">
        <w:rPr>
          <w:rFonts w:cs="DanaFajr" w:hint="cs"/>
          <w:sz w:val="28"/>
          <w:szCs w:val="28"/>
          <w:rtl/>
          <w:lang w:bidi="ar-IQ"/>
        </w:rPr>
        <w:t>1ـ فأسبغ عليها بعضهم من كلمات الثناء ما لا مزيد عليه، وعدّوه من رموز الإصلاح الديني، ورجال</w:t>
      </w:r>
      <w:r w:rsidRPr="00F65F87">
        <w:rPr>
          <w:rFonts w:cs="DanaFajr" w:hint="cs"/>
          <w:sz w:val="28"/>
          <w:szCs w:val="28"/>
          <w:rtl/>
          <w:lang w:bidi="ar-IQ"/>
        </w:rPr>
        <w:t xml:space="preserve"> التجديد (انظر: الناهي، دراسات أدبية </w:t>
      </w:r>
      <w:r w:rsidRPr="006333E0">
        <w:rPr>
          <w:rFonts w:cs="Ya-Ali" w:hint="cs"/>
          <w:sz w:val="28"/>
          <w:szCs w:val="28"/>
          <w:rtl/>
          <w:lang w:bidi="ar-IQ"/>
        </w:rPr>
        <w:t>1</w:t>
      </w:r>
      <w:r w:rsidRPr="00F65F87">
        <w:rPr>
          <w:rFonts w:cs="DanaFajr" w:hint="cs"/>
          <w:sz w:val="28"/>
          <w:szCs w:val="28"/>
          <w:rtl/>
          <w:lang w:bidi="ar-IQ"/>
        </w:rPr>
        <w:t xml:space="preserve">: </w:t>
      </w:r>
      <w:r w:rsidRPr="006333E0">
        <w:rPr>
          <w:rFonts w:cs="Ya-Ali" w:hint="cs"/>
          <w:sz w:val="28"/>
          <w:szCs w:val="28"/>
          <w:rtl/>
          <w:lang w:bidi="ar-IQ"/>
        </w:rPr>
        <w:t>70</w:t>
      </w:r>
      <w:r w:rsidRPr="00F65F87">
        <w:rPr>
          <w:rFonts w:cs="DanaFajr" w:hint="cs"/>
          <w:sz w:val="28"/>
          <w:szCs w:val="28"/>
          <w:rtl/>
          <w:lang w:bidi="ar-IQ"/>
        </w:rPr>
        <w:t xml:space="preserve">؛ عادل رؤوف، عراق بلا قيادة: </w:t>
      </w:r>
      <w:r w:rsidRPr="006333E0">
        <w:rPr>
          <w:rFonts w:cs="Ya-Ali" w:hint="cs"/>
          <w:sz w:val="28"/>
          <w:szCs w:val="28"/>
          <w:rtl/>
          <w:lang w:bidi="ar-IQ"/>
        </w:rPr>
        <w:t>181</w:t>
      </w:r>
      <w:r w:rsidRPr="00F65F87">
        <w:rPr>
          <w:rFonts w:cs="DanaFajr" w:hint="cs"/>
          <w:sz w:val="28"/>
          <w:szCs w:val="28"/>
          <w:rtl/>
          <w:lang w:bidi="ar-IQ"/>
        </w:rPr>
        <w:t xml:space="preserve"> ـ </w:t>
      </w:r>
      <w:r w:rsidRPr="006333E0">
        <w:rPr>
          <w:rFonts w:cs="Ya-Ali" w:hint="cs"/>
          <w:sz w:val="28"/>
          <w:szCs w:val="28"/>
          <w:rtl/>
          <w:lang w:bidi="ar-IQ"/>
        </w:rPr>
        <w:t>147</w:t>
      </w:r>
      <w:r w:rsidRPr="00F65F87">
        <w:rPr>
          <w:rFonts w:cs="DanaFajr" w:hint="cs"/>
          <w:sz w:val="28"/>
          <w:szCs w:val="28"/>
          <w:rtl/>
          <w:lang w:bidi="ar-IQ"/>
        </w:rPr>
        <w:t xml:space="preserve">؛ عادل </w:t>
      </w:r>
      <w:r w:rsidRPr="00286E54">
        <w:rPr>
          <w:rFonts w:cs="DanaFajr" w:hint="cs"/>
          <w:sz w:val="28"/>
          <w:szCs w:val="28"/>
          <w:rtl/>
          <w:lang w:bidi="ar-IQ"/>
        </w:rPr>
        <w:t>رؤوف، محمد باقر الصدر بين دكتاتوريتين: 268؛ الفتلاوي، المنتخب: 272).</w:t>
      </w:r>
    </w:p>
    <w:p w:rsidR="00F41F33" w:rsidRPr="00286E54" w:rsidRDefault="00F41F33" w:rsidP="00F65F87">
      <w:pPr>
        <w:pStyle w:val="aa"/>
        <w:spacing w:line="300" w:lineRule="exact"/>
        <w:ind w:firstLine="0"/>
        <w:rPr>
          <w:rFonts w:cs="DanaFajr"/>
          <w:sz w:val="28"/>
          <w:szCs w:val="28"/>
          <w:rtl/>
          <w:lang w:bidi="ar-IQ"/>
        </w:rPr>
      </w:pPr>
      <w:r w:rsidRPr="00286E54">
        <w:rPr>
          <w:rFonts w:cs="DanaFajr" w:hint="cs"/>
          <w:sz w:val="28"/>
          <w:szCs w:val="28"/>
          <w:rtl/>
          <w:lang w:bidi="ar-IQ"/>
        </w:rPr>
        <w:t>2ـ واتّهمها بعض آخر بالعمالة (عزّ الدين الجزائري: 377؛ تاريخ القزويني 17: 198. ويذكر الشيخ</w:t>
      </w:r>
      <w:r w:rsidRPr="00F65F87">
        <w:rPr>
          <w:rFonts w:cs="DanaFajr" w:hint="cs"/>
          <w:sz w:val="28"/>
          <w:szCs w:val="28"/>
          <w:rtl/>
          <w:lang w:bidi="ar-IQ"/>
        </w:rPr>
        <w:t xml:space="preserve"> موسى العصامي في مذكراته المخطوطة أن الشيخ الزنجاني زوّر إجازة اجتهاده)، والجهل والتطفل على </w:t>
      </w:r>
      <w:r w:rsidRPr="00286E54">
        <w:rPr>
          <w:rFonts w:cs="DanaFajr" w:hint="cs"/>
          <w:sz w:val="28"/>
          <w:szCs w:val="28"/>
          <w:rtl/>
          <w:lang w:bidi="ar-IQ"/>
        </w:rPr>
        <w:t>العلم (مجلة البذرة الصادرة في مدينة النجف، العدد 1، السنة 3، عدد خاصّ بابن سينا، صدر عام</w:t>
      </w:r>
      <w:r w:rsidRPr="00F65F87">
        <w:rPr>
          <w:rFonts w:cs="DanaFajr" w:hint="cs"/>
          <w:sz w:val="28"/>
          <w:szCs w:val="28"/>
          <w:rtl/>
          <w:lang w:bidi="ar-IQ"/>
        </w:rPr>
        <w:t xml:space="preserve"> </w:t>
      </w:r>
      <w:r w:rsidRPr="00286E54">
        <w:rPr>
          <w:rFonts w:cs="DanaFajr" w:hint="cs"/>
          <w:sz w:val="28"/>
          <w:szCs w:val="28"/>
          <w:rtl/>
          <w:lang w:bidi="ar-IQ"/>
        </w:rPr>
        <w:t xml:space="preserve">1952م). </w:t>
      </w:r>
    </w:p>
    <w:p w:rsidR="00F41F33" w:rsidRPr="00F65F87" w:rsidRDefault="00F41F33" w:rsidP="00F65F87">
      <w:pPr>
        <w:pStyle w:val="aa"/>
        <w:spacing w:line="300" w:lineRule="exact"/>
        <w:ind w:firstLine="0"/>
        <w:rPr>
          <w:rFonts w:cs="DanaFajr"/>
          <w:sz w:val="28"/>
          <w:szCs w:val="28"/>
          <w:rtl/>
          <w:lang w:bidi="ar-IQ"/>
        </w:rPr>
      </w:pPr>
      <w:r w:rsidRPr="00286E54">
        <w:rPr>
          <w:rFonts w:cs="DanaFajr" w:hint="cs"/>
          <w:sz w:val="28"/>
          <w:szCs w:val="28"/>
          <w:rtl/>
          <w:lang w:bidi="ar-IQ"/>
        </w:rPr>
        <w:t>3ـ وتجاهله فريقٌ ثالث، فلم يترجموا له في موسوعاتهم ـ مع شهرته في محيطه ـ، أمثال: الشيخ آغا</w:t>
      </w:r>
      <w:r w:rsidRPr="00F65F87">
        <w:rPr>
          <w:rFonts w:cs="DanaFajr" w:hint="cs"/>
          <w:sz w:val="28"/>
          <w:szCs w:val="28"/>
          <w:rtl/>
          <w:lang w:bidi="ar-IQ"/>
        </w:rPr>
        <w:t xml:space="preserve"> </w:t>
      </w:r>
      <w:r w:rsidRPr="00F65F87">
        <w:rPr>
          <w:rFonts w:ascii="Mosawi" w:hAnsi="Mosawi" w:cs="DanaFajr" w:hint="cs"/>
          <w:sz w:val="28"/>
          <w:szCs w:val="28"/>
          <w:rtl/>
          <w:lang w:val="x-none" w:eastAsia="x-none"/>
        </w:rPr>
        <w:t>بزر</w:t>
      </w:r>
      <w:r w:rsidRPr="00F65F87">
        <w:rPr>
          <w:rFonts w:ascii="Mosawi" w:hAnsi="Mosawi" w:cs="DanaFajr"/>
          <w:sz w:val="28"/>
          <w:szCs w:val="28"/>
          <w:rtl/>
          <w:lang w:val="x-none" w:eastAsia="x-none"/>
        </w:rPr>
        <w:t>گ</w:t>
      </w:r>
      <w:r w:rsidRPr="00F65F87">
        <w:rPr>
          <w:rFonts w:cs="DanaFajr" w:hint="cs"/>
          <w:sz w:val="28"/>
          <w:szCs w:val="28"/>
          <w:rtl/>
          <w:lang w:bidi="ar-IQ"/>
        </w:rPr>
        <w:t xml:space="preserve"> الطهراني في كتابه (النقباء)، وحرز الدين في (معارف الرجال). وفي ذلك أكثر من دلالة. </w:t>
      </w:r>
    </w:p>
    <w:p w:rsidR="00F41F33" w:rsidRPr="00286E54" w:rsidRDefault="00F41F33" w:rsidP="00F65F87">
      <w:pPr>
        <w:pStyle w:val="aa"/>
        <w:spacing w:line="300" w:lineRule="exact"/>
        <w:ind w:firstLine="0"/>
        <w:rPr>
          <w:rFonts w:cs="DanaFajr"/>
          <w:sz w:val="28"/>
          <w:szCs w:val="28"/>
          <w:rtl/>
          <w:lang w:bidi="ar-IQ"/>
        </w:rPr>
      </w:pPr>
      <w:r w:rsidRPr="00286E54">
        <w:rPr>
          <w:rFonts w:cs="DanaFajr" w:hint="cs"/>
          <w:sz w:val="28"/>
          <w:szCs w:val="28"/>
          <w:rtl/>
          <w:lang w:bidi="ar-IQ"/>
        </w:rPr>
        <w:t>وقد ذكر السيد محمد علي الروضاتي(2012م) أن الشيخ الزنجاني كان ساقطاً عن أعين المراجع</w:t>
      </w:r>
      <w:r w:rsidRPr="00F65F87">
        <w:rPr>
          <w:rFonts w:cs="DanaFajr" w:hint="cs"/>
          <w:sz w:val="28"/>
          <w:szCs w:val="28"/>
          <w:rtl/>
          <w:lang w:bidi="ar-IQ"/>
        </w:rPr>
        <w:t xml:space="preserve"> </w:t>
      </w:r>
      <w:r w:rsidRPr="00286E54">
        <w:rPr>
          <w:rFonts w:cs="DanaFajr" w:hint="cs"/>
          <w:sz w:val="28"/>
          <w:szCs w:val="28"/>
          <w:rtl/>
          <w:lang w:bidi="ar-IQ"/>
        </w:rPr>
        <w:t xml:space="preserve">والفضلاء كافّة يوم زار النجف عام 1371هـ (تكملة طبقات أعلام الشيعة: 515). </w:t>
      </w:r>
    </w:p>
    <w:p w:rsidR="00F41F33" w:rsidRPr="00286E54" w:rsidRDefault="00F41F33" w:rsidP="00F65F87">
      <w:pPr>
        <w:pStyle w:val="aa"/>
        <w:spacing w:line="300" w:lineRule="exact"/>
        <w:ind w:firstLine="0"/>
        <w:rPr>
          <w:rFonts w:cs="DanaFajr"/>
          <w:sz w:val="28"/>
          <w:szCs w:val="28"/>
          <w:lang w:bidi="ar-IQ"/>
        </w:rPr>
      </w:pPr>
      <w:r w:rsidRPr="00F65F87">
        <w:rPr>
          <w:rFonts w:cs="DanaFajr" w:hint="cs"/>
          <w:sz w:val="28"/>
          <w:szCs w:val="28"/>
          <w:rtl/>
          <w:lang w:bidi="ar-IQ"/>
        </w:rPr>
        <w:t xml:space="preserve">ولربما كان لمواقف الزنجاني السياسية إبّان الاحتلال البريطاني للعراق، وعلاقته الوثيقة بساسة العراق والبلاط الملكي، وأخيراً مواقفه المناوئة لمرجعيّة السيد محسن الحكيم، ومشاركته في إصدار المنشورات في معركة (المستمسك)، دورٌ في إثارة غبار الشكّ حوله، وتسديد التُّهَم نحوه. (للمزيد عن دور الشيخ عبد الكريم الزنجاني انظر: الهوامش التي كتبها سماحة الأستاذ محمد رضا القاموسي </w:t>
      </w:r>
      <w:r w:rsidRPr="00286E54">
        <w:rPr>
          <w:rFonts w:cs="DanaFajr" w:hint="cs"/>
          <w:sz w:val="28"/>
          <w:szCs w:val="28"/>
          <w:rtl/>
          <w:lang w:bidi="ar-IQ"/>
        </w:rPr>
        <w:t>على كتاب: من أوراق الشيخ محمد رضا المظفّر(1904م/1322هـ ـ 1964م/1383هـ): 113 ـ 114،</w:t>
      </w:r>
      <w:r w:rsidRPr="00F65F87">
        <w:rPr>
          <w:rFonts w:cs="DanaFajr" w:hint="cs"/>
          <w:sz w:val="28"/>
          <w:szCs w:val="28"/>
          <w:rtl/>
          <w:lang w:bidi="ar-IQ"/>
        </w:rPr>
        <w:t xml:space="preserve"> </w:t>
      </w:r>
      <w:r w:rsidRPr="00286E54">
        <w:rPr>
          <w:rFonts w:cs="DanaFajr" w:hint="cs"/>
          <w:sz w:val="28"/>
          <w:szCs w:val="28"/>
          <w:rtl/>
          <w:lang w:bidi="ar-IQ"/>
        </w:rPr>
        <w:t xml:space="preserve">من منشورات المكتبة العصرية في بغداد، سنة 2014م). </w:t>
      </w:r>
    </w:p>
  </w:endnote>
  <w:endnote w:id="711">
    <w:p w:rsidR="00F41F33" w:rsidRPr="00F65F87" w:rsidRDefault="00F41F33" w:rsidP="00F65F87">
      <w:pPr>
        <w:pStyle w:val="aa"/>
        <w:spacing w:line="300" w:lineRule="exact"/>
        <w:ind w:firstLine="0"/>
        <w:rPr>
          <w:rFonts w:cs="DanaFajr"/>
          <w:sz w:val="28"/>
          <w:szCs w:val="28"/>
          <w:lang w:bidi="ar-IQ"/>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w:t>
      </w:r>
      <w:r w:rsidRPr="00F65F87">
        <w:rPr>
          <w:rFonts w:cs="DanaFajr" w:hint="cs"/>
          <w:sz w:val="28"/>
          <w:szCs w:val="28"/>
          <w:rtl/>
          <w:lang w:bidi="ar-IQ"/>
        </w:rPr>
        <w:t xml:space="preserve"> أي يبيع ويشتري فاتورات الحجّ إلى بيت الله الحرام.</w:t>
      </w:r>
    </w:p>
  </w:endnote>
  <w:endnote w:id="712">
    <w:p w:rsidR="00F41F33" w:rsidRPr="00F65F87" w:rsidRDefault="00F41F33" w:rsidP="00F65F87">
      <w:pPr>
        <w:pStyle w:val="aa"/>
        <w:spacing w:line="300" w:lineRule="exact"/>
        <w:ind w:firstLine="0"/>
        <w:rPr>
          <w:rFonts w:cs="DanaFajr"/>
          <w:sz w:val="28"/>
          <w:szCs w:val="28"/>
          <w:lang w:bidi="ar-IQ"/>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w:t>
      </w:r>
      <w:r w:rsidRPr="00F65F87">
        <w:rPr>
          <w:rFonts w:cs="DanaFajr" w:hint="cs"/>
          <w:sz w:val="28"/>
          <w:szCs w:val="28"/>
          <w:rtl/>
          <w:lang w:bidi="ar-IQ"/>
        </w:rPr>
        <w:t xml:space="preserve"> كانت عملة العراق آنذاك تعرف بالفلس والدرهم.</w:t>
      </w:r>
    </w:p>
  </w:endnote>
  <w:endnote w:id="713">
    <w:p w:rsidR="00F41F33" w:rsidRPr="00286E54" w:rsidRDefault="00F41F33" w:rsidP="00F65F87">
      <w:pPr>
        <w:pStyle w:val="aa"/>
        <w:spacing w:line="300" w:lineRule="exact"/>
        <w:ind w:firstLine="0"/>
        <w:rPr>
          <w:rFonts w:cs="DanaFajr"/>
          <w:sz w:val="28"/>
          <w:szCs w:val="28"/>
          <w:lang w:bidi="ar-IQ"/>
        </w:rPr>
      </w:pPr>
      <w:r w:rsidRPr="00286E54">
        <w:rPr>
          <w:rFonts w:cs="DanaFajr"/>
          <w:sz w:val="28"/>
          <w:szCs w:val="28"/>
          <w:rtl/>
        </w:rPr>
        <w:t>(</w:t>
      </w:r>
      <w:r w:rsidRPr="00286E54">
        <w:rPr>
          <w:rStyle w:val="ac"/>
          <w:rFonts w:cs="DanaFajr"/>
          <w:sz w:val="28"/>
          <w:szCs w:val="28"/>
          <w:vertAlign w:val="baseline"/>
        </w:rPr>
        <w:endnoteRef/>
      </w:r>
      <w:r w:rsidRPr="00286E54">
        <w:rPr>
          <w:rFonts w:cs="DanaFajr"/>
          <w:sz w:val="28"/>
          <w:szCs w:val="28"/>
          <w:rtl/>
        </w:rPr>
        <w:t>)</w:t>
      </w:r>
      <w:r w:rsidRPr="00286E54">
        <w:rPr>
          <w:rFonts w:cs="DanaFajr" w:hint="cs"/>
          <w:sz w:val="28"/>
          <w:szCs w:val="28"/>
          <w:rtl/>
        </w:rPr>
        <w:t xml:space="preserve"> رسالة رفع الشبهة ودفع التُّهمة: 6.</w:t>
      </w:r>
    </w:p>
  </w:endnote>
  <w:endnote w:id="714">
    <w:p w:rsidR="00F41F33" w:rsidRPr="00F65F87" w:rsidRDefault="00F41F33" w:rsidP="00F65F87">
      <w:pPr>
        <w:pStyle w:val="aa"/>
        <w:spacing w:line="300" w:lineRule="exact"/>
        <w:ind w:firstLine="0"/>
        <w:rPr>
          <w:rFonts w:cs="DanaFajr"/>
          <w:sz w:val="28"/>
          <w:szCs w:val="28"/>
          <w:rtl/>
          <w:lang w:bidi="ar-IQ"/>
        </w:rPr>
      </w:pPr>
      <w:r w:rsidRPr="00F65F87">
        <w:rPr>
          <w:rFonts w:cs="DanaFajr"/>
          <w:sz w:val="28"/>
          <w:szCs w:val="28"/>
          <w:rtl/>
        </w:rPr>
        <w:t>(</w:t>
      </w:r>
      <w:r w:rsidRPr="00F65F87">
        <w:rPr>
          <w:rStyle w:val="ac"/>
          <w:rFonts w:cs="DanaFajr"/>
          <w:sz w:val="28"/>
          <w:szCs w:val="28"/>
          <w:vertAlign w:val="baseline"/>
        </w:rPr>
        <w:endnoteRef/>
      </w:r>
      <w:r w:rsidRPr="00F65F87">
        <w:rPr>
          <w:rFonts w:cs="DanaFajr"/>
          <w:sz w:val="28"/>
          <w:szCs w:val="28"/>
          <w:rtl/>
        </w:rPr>
        <w:t xml:space="preserve">) </w:t>
      </w:r>
      <w:r w:rsidRPr="00F65F87">
        <w:rPr>
          <w:rFonts w:cs="DanaFajr" w:hint="cs"/>
          <w:sz w:val="28"/>
          <w:szCs w:val="28"/>
          <w:rtl/>
          <w:lang w:bidi="ar-IQ"/>
        </w:rPr>
        <w:t xml:space="preserve">في خاتمة المقال أودّ الإشارة إلى بعض الملاحظات عن مقال الدكتور رسول جعفريان المحترم، منها: </w:t>
      </w:r>
    </w:p>
    <w:p w:rsidR="00F41F33" w:rsidRPr="00F65F87" w:rsidRDefault="00F41F33" w:rsidP="00F65F87">
      <w:pPr>
        <w:pStyle w:val="aa"/>
        <w:widowControl/>
        <w:spacing w:line="300" w:lineRule="exact"/>
        <w:ind w:firstLine="0"/>
        <w:rPr>
          <w:rFonts w:cs="DanaFajr"/>
          <w:sz w:val="28"/>
          <w:szCs w:val="28"/>
          <w:lang w:bidi="ar-IQ"/>
        </w:rPr>
      </w:pPr>
      <w:r w:rsidRPr="00286E54">
        <w:rPr>
          <w:rFonts w:cs="DanaFajr" w:hint="cs"/>
          <w:sz w:val="28"/>
          <w:szCs w:val="28"/>
          <w:rtl/>
          <w:lang w:bidi="ar-IQ"/>
        </w:rPr>
        <w:t>1ـ نسبة الازدواجية إلى حوزة النجف، وبخاصة في موقفها من المستمسك، فيه نظر، فلا يعني صدور</w:t>
      </w:r>
      <w:r w:rsidRPr="00F65F87">
        <w:rPr>
          <w:rFonts w:cs="DanaFajr" w:hint="cs"/>
          <w:sz w:val="28"/>
          <w:szCs w:val="28"/>
          <w:rtl/>
          <w:lang w:bidi="ar-IQ"/>
        </w:rPr>
        <w:t xml:space="preserve"> منشور أو كتاب باسم الهيئة العلمية أنّه يمثّل وجهة نظر عامّة، وكلّنا نعلم أن لا أحد يمكنه منع آخر من الحديث باسم الحوزة التي لا تملك مقوّمات (المؤسَّساتية) وحدودها. </w:t>
      </w:r>
    </w:p>
    <w:p w:rsidR="00F41F33" w:rsidRPr="00F65F87" w:rsidRDefault="00F41F33" w:rsidP="00F65F87">
      <w:pPr>
        <w:pStyle w:val="aa"/>
        <w:widowControl/>
        <w:spacing w:line="300" w:lineRule="exact"/>
        <w:ind w:firstLine="0"/>
        <w:rPr>
          <w:rFonts w:cs="DanaFajr"/>
          <w:sz w:val="28"/>
          <w:szCs w:val="28"/>
          <w:lang w:bidi="ar-IQ"/>
        </w:rPr>
      </w:pPr>
      <w:r w:rsidRPr="00286E54">
        <w:rPr>
          <w:rFonts w:cs="DanaFajr" w:hint="cs"/>
          <w:sz w:val="28"/>
          <w:szCs w:val="28"/>
          <w:rtl/>
          <w:lang w:bidi="ar-IQ"/>
        </w:rPr>
        <w:t>2ـ وصف ما صدر عن المستمسك أنه كان من (علماء كبار مجهولي الهوية غالباً). ولا أدري كيف تأتّى</w:t>
      </w:r>
      <w:r w:rsidRPr="00F65F87">
        <w:rPr>
          <w:rFonts w:cs="DanaFajr" w:hint="cs"/>
          <w:sz w:val="28"/>
          <w:szCs w:val="28"/>
          <w:rtl/>
          <w:lang w:bidi="ar-IQ"/>
        </w:rPr>
        <w:t xml:space="preserve"> له وصفهم بالعلماء الكبار، وهم مجهولون بالنسبة إليه؟! </w:t>
      </w:r>
    </w:p>
    <w:p w:rsidR="00F41F33" w:rsidRPr="00F65F87" w:rsidRDefault="00F41F33" w:rsidP="00F65F87">
      <w:pPr>
        <w:pStyle w:val="aa"/>
        <w:widowControl/>
        <w:spacing w:line="300" w:lineRule="exact"/>
        <w:ind w:firstLine="0"/>
        <w:rPr>
          <w:rFonts w:cs="DanaFajr"/>
          <w:sz w:val="28"/>
          <w:szCs w:val="28"/>
          <w:lang w:bidi="ar-IQ"/>
        </w:rPr>
      </w:pPr>
      <w:r w:rsidRPr="00286E54">
        <w:rPr>
          <w:rFonts w:cs="DanaFajr" w:hint="cs"/>
          <w:sz w:val="28"/>
          <w:szCs w:val="28"/>
          <w:rtl/>
          <w:lang w:bidi="ar-IQ"/>
        </w:rPr>
        <w:t>3ـ بالنسبة إلى موقف صاحب الذريعة أعتقد أنّه لم يَرَ مصلحةً في ما ذكره، وقد نأى بنفسه عن</w:t>
      </w:r>
      <w:r w:rsidRPr="00F65F87">
        <w:rPr>
          <w:rFonts w:cs="DanaFajr" w:hint="cs"/>
          <w:sz w:val="28"/>
          <w:szCs w:val="28"/>
          <w:rtl/>
          <w:lang w:bidi="ar-IQ"/>
        </w:rPr>
        <w:t xml:space="preserve"> ترجمة الشيخ عبد الكريم الزنجاني، مع أنه من معاصريه. </w:t>
      </w:r>
    </w:p>
    <w:p w:rsidR="00F41F33" w:rsidRPr="00F65F87" w:rsidRDefault="00F41F33" w:rsidP="00F65F87">
      <w:pPr>
        <w:pStyle w:val="aa"/>
        <w:widowControl/>
        <w:spacing w:line="300" w:lineRule="exact"/>
        <w:ind w:firstLine="0"/>
        <w:rPr>
          <w:rFonts w:cs="DanaFajr"/>
          <w:sz w:val="28"/>
          <w:szCs w:val="28"/>
          <w:lang w:bidi="ar-IQ"/>
        </w:rPr>
      </w:pPr>
      <w:r w:rsidRPr="00286E54">
        <w:rPr>
          <w:rFonts w:cs="DanaFajr" w:hint="cs"/>
          <w:sz w:val="28"/>
          <w:szCs w:val="28"/>
          <w:rtl/>
          <w:lang w:bidi="ar-IQ"/>
        </w:rPr>
        <w:t>4ـ ما نقله الشيخ رسول جعفريان، نقلاً عن الشيخ مرتضى الكيلاني، من أن بعض مساعدي الحكيم</w:t>
      </w:r>
      <w:r w:rsidRPr="00F65F87">
        <w:rPr>
          <w:rFonts w:cs="DanaFajr" w:hint="cs"/>
          <w:sz w:val="28"/>
          <w:szCs w:val="28"/>
          <w:rtl/>
          <w:lang w:bidi="ar-IQ"/>
        </w:rPr>
        <w:t xml:space="preserve"> قام بنشر كرّاس لتشويهه، فيه خلطٌ. والصحيح أن نقول: إنّه بعض مناوئي الحكيم. </w:t>
      </w:r>
    </w:p>
    <w:p w:rsidR="00F41F33" w:rsidRPr="00F65F87" w:rsidRDefault="00F41F33" w:rsidP="00F65F87">
      <w:pPr>
        <w:pStyle w:val="aa"/>
        <w:widowControl/>
        <w:spacing w:line="300" w:lineRule="exact"/>
        <w:ind w:firstLine="0"/>
        <w:rPr>
          <w:rFonts w:cs="DanaFajr"/>
          <w:sz w:val="28"/>
          <w:szCs w:val="28"/>
          <w:lang w:bidi="ar-IQ"/>
        </w:rPr>
      </w:pPr>
      <w:r w:rsidRPr="00286E54">
        <w:rPr>
          <w:rFonts w:cs="DanaFajr" w:hint="cs"/>
          <w:sz w:val="28"/>
          <w:szCs w:val="28"/>
          <w:rtl/>
          <w:lang w:bidi="ar-IQ"/>
        </w:rPr>
        <w:t>5ـ قولك في الهامش: إن من المستبعد على الشيخ صاحب الذريعة أنه لم يطّلع على الكرّاس، لا محلّ</w:t>
      </w:r>
      <w:r w:rsidRPr="00F65F87">
        <w:rPr>
          <w:rFonts w:cs="DanaFajr" w:hint="cs"/>
          <w:sz w:val="28"/>
          <w:szCs w:val="28"/>
          <w:rtl/>
          <w:lang w:bidi="ar-IQ"/>
        </w:rPr>
        <w:t xml:space="preserve"> له كما أعتقد، فلم يكن المطبوع يومها كرّاساً، وإن ما صدر هو عبارةٌ عن منشورٍ من صفحة واحدة، وليس من منهج الذريعة ذكر مثل هذه الإصدارات. </w:t>
      </w:r>
    </w:p>
    <w:p w:rsidR="00F41F33" w:rsidRPr="00F65F87" w:rsidRDefault="00F41F33" w:rsidP="00F65F87">
      <w:pPr>
        <w:pStyle w:val="aa"/>
        <w:widowControl/>
        <w:spacing w:line="300" w:lineRule="exact"/>
        <w:ind w:firstLine="0"/>
        <w:rPr>
          <w:rFonts w:cs="DanaFajr"/>
          <w:sz w:val="28"/>
          <w:szCs w:val="28"/>
          <w:lang w:bidi="ar-IQ"/>
        </w:rPr>
      </w:pPr>
      <w:r w:rsidRPr="00286E54">
        <w:rPr>
          <w:rFonts w:cs="DanaFajr" w:hint="cs"/>
          <w:sz w:val="28"/>
          <w:szCs w:val="28"/>
          <w:rtl/>
          <w:lang w:bidi="ar-IQ"/>
        </w:rPr>
        <w:t>6ـ أحتمل أن الكراس الصادر بالعربية والفارسية، والذي عوّل عليه جعفريان، إنما أرسل إلى تبريز</w:t>
      </w:r>
      <w:r w:rsidRPr="00F65F87">
        <w:rPr>
          <w:rFonts w:cs="DanaFajr" w:hint="cs"/>
          <w:sz w:val="28"/>
          <w:szCs w:val="28"/>
          <w:rtl/>
          <w:lang w:bidi="ar-IQ"/>
        </w:rPr>
        <w:t xml:space="preserve"> (مستلاًّ من كتاب الحقّ يدمغ الباطل)؛ لرجوع كثير من أهالي تبريز في التقليد إلى السيد الحكيم، ولوجود العلاّمة الشهيد السيد محمد علي القاضي التبريزي بينهم، وهو من مؤيِّدي مرجعية السيد الحكيم، وبخاصة بعد رحيل الشيخ محمد حسين كاشف الغطاء. </w:t>
      </w:r>
    </w:p>
    <w:p w:rsidR="00F41F33" w:rsidRPr="00286E54" w:rsidRDefault="00F41F33" w:rsidP="00F65F87">
      <w:pPr>
        <w:pStyle w:val="aa"/>
        <w:widowControl/>
        <w:spacing w:line="300" w:lineRule="exact"/>
        <w:ind w:firstLine="0"/>
        <w:rPr>
          <w:rFonts w:cs="DanaFajr"/>
          <w:sz w:val="28"/>
          <w:szCs w:val="28"/>
          <w:lang w:bidi="ar-IQ"/>
        </w:rPr>
      </w:pPr>
      <w:r w:rsidRPr="006333E0">
        <w:rPr>
          <w:rFonts w:cs="Ya-Ali" w:hint="cs"/>
          <w:sz w:val="28"/>
          <w:szCs w:val="28"/>
          <w:rtl/>
          <w:lang w:bidi="ar-IQ"/>
        </w:rPr>
        <w:t>7</w:t>
      </w:r>
      <w:r w:rsidRPr="00F65F87">
        <w:rPr>
          <w:rFonts w:cs="DanaFajr" w:hint="cs"/>
          <w:sz w:val="28"/>
          <w:szCs w:val="28"/>
          <w:rtl/>
          <w:lang w:bidi="ar-IQ"/>
        </w:rPr>
        <w:t xml:space="preserve">ـ ما أشير إليه في الفقرة السادسة من أن الأميني ردّ على هذا الكراس فيه نظرٌ. فالردّ كان على </w:t>
      </w:r>
      <w:r w:rsidRPr="00286E54">
        <w:rPr>
          <w:rFonts w:cs="DanaFajr" w:hint="cs"/>
          <w:sz w:val="28"/>
          <w:szCs w:val="28"/>
          <w:rtl/>
          <w:lang w:bidi="ar-IQ"/>
        </w:rPr>
        <w:t xml:space="preserve">المنشور الأوّل الصادر بعد عام 1370هـ، وأعيد نشره في الكرّاس وكتاب الخالصي. </w:t>
      </w:r>
    </w:p>
    <w:p w:rsidR="00F41F33" w:rsidRPr="00F65F87" w:rsidRDefault="00F41F33" w:rsidP="00F65F87">
      <w:pPr>
        <w:pStyle w:val="aa"/>
        <w:widowControl/>
        <w:spacing w:line="300" w:lineRule="exact"/>
        <w:ind w:firstLine="0"/>
        <w:rPr>
          <w:rFonts w:cs="DanaFajr"/>
          <w:sz w:val="28"/>
          <w:szCs w:val="28"/>
          <w:lang w:bidi="ar-IQ"/>
        </w:rPr>
      </w:pPr>
      <w:r w:rsidRPr="00286E54">
        <w:rPr>
          <w:rFonts w:cs="DanaFajr" w:hint="cs"/>
          <w:sz w:val="28"/>
          <w:szCs w:val="28"/>
          <w:rtl/>
          <w:lang w:bidi="ar-IQ"/>
        </w:rPr>
        <w:t>8ـ ما ذكره السيد مولانا، كما في ترجمة مقدّمته، يشير إلى أن الرسالة التي وصلته مستلّة من كتاب</w:t>
      </w:r>
      <w:r w:rsidRPr="00F65F87">
        <w:rPr>
          <w:rFonts w:cs="DanaFajr" w:hint="cs"/>
          <w:sz w:val="28"/>
          <w:szCs w:val="28"/>
          <w:rtl/>
          <w:lang w:bidi="ar-IQ"/>
        </w:rPr>
        <w:t xml:space="preserve"> الحق يدمغ الباطل، ويقصد بالمبعد من إيران الشيخ محمد الخالصي، وكان قد نُفي إليها من العراق، مع والده الشيخ الامام الخالصي، على أثر الخلاف على شرعيّة المجلس التأسيسي وانتخاباته في العراق. </w:t>
      </w:r>
    </w:p>
    <w:p w:rsidR="00F41F33" w:rsidRPr="00F65F87" w:rsidRDefault="00F41F33" w:rsidP="00F65F87">
      <w:pPr>
        <w:pStyle w:val="aa"/>
        <w:widowControl/>
        <w:spacing w:line="300" w:lineRule="exact"/>
        <w:ind w:firstLine="0"/>
        <w:rPr>
          <w:rFonts w:cs="DanaFajr"/>
          <w:sz w:val="28"/>
          <w:szCs w:val="28"/>
          <w:lang w:bidi="ar-IQ"/>
        </w:rPr>
      </w:pPr>
      <w:r w:rsidRPr="00286E54">
        <w:rPr>
          <w:rFonts w:cs="DanaFajr" w:hint="cs"/>
          <w:sz w:val="28"/>
          <w:szCs w:val="28"/>
          <w:rtl/>
          <w:lang w:bidi="ar-IQ"/>
        </w:rPr>
        <w:t>9ـ ما أشار إليه مولانا، من أن الشيخ محمد حسين كاشف الغطاء كتب جواباً أو ردّاً على المنشور، لم</w:t>
      </w:r>
      <w:r w:rsidRPr="00F65F87">
        <w:rPr>
          <w:rFonts w:cs="DanaFajr" w:hint="cs"/>
          <w:sz w:val="28"/>
          <w:szCs w:val="28"/>
          <w:rtl/>
          <w:lang w:bidi="ar-IQ"/>
        </w:rPr>
        <w:t xml:space="preserve"> يُشِرْ إليه أحدٌ. وليس في آثاره الموجودة في مكتبته شيءٌ من ذلك. غير أن نجله الشيخ شريف أكَّد لي أن والده كان مستاءً من صدور المنشور، علماً بأن علاقته لم تكن على ما يرام مع السيد الحكيم في تلكم الحقبة، ممّا دفع البعض من معاصري الأحداث إلى اتّهام الشيخ كاشف الغطاء بتأييد الزنجاني. وهو كما أحسب مجرّد ظنٍّ.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Roumouz">
    <w:panose1 w:val="05000000000000000000"/>
    <w:charset w:val="02"/>
    <w:family w:val="auto"/>
    <w:pitch w:val="variable"/>
    <w:sig w:usb0="00000000" w:usb1="10000000" w:usb2="00000000" w:usb3="00000000" w:csb0="80000000" w:csb1="00000000"/>
  </w:font>
  <w:font w:name="A.Lewi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4F3882" w:rsidRDefault="00F41F33" w:rsidP="004F3882">
    <w:pPr>
      <w:pStyle w:val="a8"/>
      <w:ind w:firstLine="0"/>
      <w:rPr>
        <w:szCs w:val="28"/>
        <w:rtl/>
        <w:lang w:bidi="ar-LB"/>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5310A6">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94A8A" w:rsidRDefault="00F41F33" w:rsidP="00394A8A">
    <w:pPr>
      <w:pStyle w:val="a8"/>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8F592C">
      <w:rPr>
        <w:rFonts w:cs="Simplified Arabic"/>
        <w:b/>
        <w:bCs/>
        <w:position w:val="-4"/>
        <w:sz w:val="26"/>
        <w:szCs w:val="26"/>
        <w:rtl/>
      </w:rPr>
      <w:fldChar w:fldCharType="begin"/>
    </w:r>
    <w:r w:rsidRPr="008F592C">
      <w:rPr>
        <w:rFonts w:cs="Simplified Arabic"/>
        <w:b/>
        <w:bCs/>
        <w:position w:val="-4"/>
        <w:sz w:val="26"/>
        <w:szCs w:val="26"/>
        <w:rtl/>
      </w:rPr>
      <w:instrText xml:space="preserve"> </w:instrText>
    </w:r>
    <w:r w:rsidRPr="008F592C">
      <w:rPr>
        <w:rFonts w:cs="Simplified Arabic"/>
        <w:b/>
        <w:bCs/>
        <w:position w:val="-4"/>
        <w:sz w:val="26"/>
        <w:szCs w:val="26"/>
      </w:rPr>
      <w:instrText>PAGE</w:instrText>
    </w:r>
    <w:r w:rsidRPr="008F592C">
      <w:rPr>
        <w:rFonts w:cs="Simplified Arabic"/>
        <w:b/>
        <w:bCs/>
        <w:position w:val="-4"/>
        <w:sz w:val="26"/>
        <w:szCs w:val="26"/>
        <w:rtl/>
      </w:rPr>
      <w:instrText xml:space="preserve"> </w:instrText>
    </w:r>
    <w:r w:rsidRPr="008F592C">
      <w:rPr>
        <w:rFonts w:cs="Simplified Arabic"/>
        <w:b/>
        <w:bCs/>
        <w:position w:val="-4"/>
        <w:sz w:val="26"/>
        <w:szCs w:val="26"/>
        <w:rtl/>
      </w:rPr>
      <w:fldChar w:fldCharType="separate"/>
    </w:r>
    <w:r>
      <w:rPr>
        <w:rFonts w:cs="Simplified Arabic"/>
        <w:b/>
        <w:bCs/>
        <w:noProof/>
        <w:position w:val="-4"/>
        <w:sz w:val="26"/>
        <w:szCs w:val="26"/>
        <w:rtl/>
      </w:rPr>
      <w:t>70</w:t>
    </w:r>
    <w:r w:rsidRPr="008F592C">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8F592C">
      <w:rPr>
        <w:rFonts w:cs="Abz-2 (Badr)" w:hint="cs"/>
        <w:b/>
        <w:bCs/>
        <w:sz w:val="22"/>
        <w:szCs w:val="22"/>
        <w:rtl/>
      </w:rPr>
      <w:t>34</w:t>
    </w:r>
    <w:r w:rsidRPr="00F62029">
      <w:rPr>
        <w:rFonts w:cs="Abz-2 (Badr)" w:hint="cs"/>
        <w:b/>
        <w:bCs/>
        <w:sz w:val="22"/>
        <w:szCs w:val="22"/>
        <w:rtl/>
      </w:rPr>
      <w:t xml:space="preserve"> ـ </w:t>
    </w:r>
    <w:r w:rsidRPr="008F592C">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8F592C">
      <w:rPr>
        <w:rFonts w:cs="Abz-2 (Badr)" w:hint="cs"/>
        <w:b/>
        <w:bCs/>
        <w:sz w:val="22"/>
        <w:szCs w:val="22"/>
        <w:rtl/>
      </w:rPr>
      <w:t>2015</w:t>
    </w:r>
    <w:r w:rsidRPr="00F62029">
      <w:rPr>
        <w:rFonts w:cs="Abz-2 (Badr)" w:hint="cs"/>
        <w:b/>
        <w:bCs/>
        <w:sz w:val="22"/>
        <w:szCs w:val="22"/>
        <w:rtl/>
      </w:rPr>
      <w:t xml:space="preserve">م ـ </w:t>
    </w:r>
    <w:r w:rsidRPr="008F592C">
      <w:rPr>
        <w:rFonts w:cs="Abz-2 (Badr)" w:hint="cs"/>
        <w:b/>
        <w:bCs/>
        <w:sz w:val="22"/>
        <w:szCs w:val="22"/>
        <w:rtl/>
      </w:rPr>
      <w:t>1436</w:t>
    </w:r>
    <w:r w:rsidRPr="00F62029">
      <w:rPr>
        <w:rFonts w:cs="Abz-2 (Badr)" w:hint="cs"/>
        <w:b/>
        <w:bCs/>
        <w:sz w:val="22"/>
        <w:szCs w:val="22"/>
        <w:rtl/>
      </w:rPr>
      <w:t>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8F592C">
      <w:rPr>
        <w:rFonts w:cs="Abz-2 (Badr)" w:hint="cs"/>
        <w:b/>
        <w:bCs/>
        <w:sz w:val="22"/>
        <w:szCs w:val="22"/>
        <w:rtl/>
      </w:rPr>
      <w:t>34</w:t>
    </w:r>
    <w:r w:rsidRPr="006579E8">
      <w:rPr>
        <w:rFonts w:cs="Abz-2 (Badr)" w:hint="cs"/>
        <w:b/>
        <w:bCs/>
        <w:sz w:val="22"/>
        <w:szCs w:val="22"/>
        <w:rtl/>
      </w:rPr>
      <w:t xml:space="preserve"> ـ </w:t>
    </w:r>
    <w:r w:rsidRPr="008F592C">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8F592C">
      <w:rPr>
        <w:rFonts w:cs="Abz-2 (Badr)" w:hint="cs"/>
        <w:b/>
        <w:bCs/>
        <w:sz w:val="22"/>
        <w:szCs w:val="22"/>
        <w:rtl/>
      </w:rPr>
      <w:t>2015</w:t>
    </w:r>
    <w:r w:rsidRPr="006579E8">
      <w:rPr>
        <w:rFonts w:cs="Abz-2 (Badr)" w:hint="cs"/>
        <w:b/>
        <w:bCs/>
        <w:sz w:val="22"/>
        <w:szCs w:val="22"/>
        <w:rtl/>
      </w:rPr>
      <w:t xml:space="preserve">م ـ </w:t>
    </w:r>
    <w:r w:rsidRPr="008F592C">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8F592C">
      <w:rPr>
        <w:rFonts w:cs="Simplified Arabic"/>
        <w:b/>
        <w:bCs/>
        <w:position w:val="-4"/>
        <w:sz w:val="26"/>
        <w:szCs w:val="26"/>
        <w:rtl/>
      </w:rPr>
      <w:fldChar w:fldCharType="begin"/>
    </w:r>
    <w:r w:rsidRPr="008F592C">
      <w:rPr>
        <w:rFonts w:cs="Simplified Arabic"/>
        <w:b/>
        <w:bCs/>
        <w:position w:val="-4"/>
        <w:sz w:val="26"/>
        <w:szCs w:val="26"/>
        <w:rtl/>
      </w:rPr>
      <w:instrText xml:space="preserve"> </w:instrText>
    </w:r>
    <w:r w:rsidRPr="008F592C">
      <w:rPr>
        <w:rFonts w:cs="Simplified Arabic"/>
        <w:b/>
        <w:bCs/>
        <w:position w:val="-4"/>
        <w:sz w:val="26"/>
        <w:szCs w:val="26"/>
      </w:rPr>
      <w:instrText>PAGE</w:instrText>
    </w:r>
    <w:r w:rsidRPr="008F592C">
      <w:rPr>
        <w:rFonts w:cs="Simplified Arabic"/>
        <w:b/>
        <w:bCs/>
        <w:position w:val="-4"/>
        <w:sz w:val="26"/>
        <w:szCs w:val="26"/>
        <w:rtl/>
      </w:rPr>
      <w:instrText xml:space="preserve"> </w:instrText>
    </w:r>
    <w:r w:rsidRPr="008F592C">
      <w:rPr>
        <w:rFonts w:cs="Simplified Arabic"/>
        <w:b/>
        <w:bCs/>
        <w:position w:val="-4"/>
        <w:sz w:val="26"/>
        <w:szCs w:val="26"/>
        <w:rtl/>
      </w:rPr>
      <w:fldChar w:fldCharType="separate"/>
    </w:r>
    <w:r>
      <w:rPr>
        <w:rFonts w:cs="Simplified Arabic"/>
        <w:b/>
        <w:bCs/>
        <w:noProof/>
        <w:position w:val="-4"/>
        <w:sz w:val="26"/>
        <w:szCs w:val="26"/>
        <w:rtl/>
      </w:rPr>
      <w:t>69</w:t>
    </w:r>
    <w:r w:rsidRPr="008F592C">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8F592C">
      <w:rPr>
        <w:rFonts w:cs="Simplified Arabic"/>
        <w:b/>
        <w:bCs/>
        <w:position w:val="-4"/>
        <w:sz w:val="26"/>
        <w:szCs w:val="26"/>
        <w:rtl/>
      </w:rPr>
      <w:fldChar w:fldCharType="begin"/>
    </w:r>
    <w:r w:rsidRPr="008F592C">
      <w:rPr>
        <w:rFonts w:cs="Simplified Arabic"/>
        <w:b/>
        <w:bCs/>
        <w:position w:val="-4"/>
        <w:sz w:val="26"/>
        <w:szCs w:val="26"/>
        <w:rtl/>
      </w:rPr>
      <w:instrText xml:space="preserve"> </w:instrText>
    </w:r>
    <w:r w:rsidRPr="008F592C">
      <w:rPr>
        <w:rFonts w:cs="Simplified Arabic"/>
        <w:b/>
        <w:bCs/>
        <w:position w:val="-4"/>
        <w:sz w:val="26"/>
        <w:szCs w:val="26"/>
      </w:rPr>
      <w:instrText>PAGE</w:instrText>
    </w:r>
    <w:r w:rsidRPr="008F592C">
      <w:rPr>
        <w:rFonts w:cs="Simplified Arabic"/>
        <w:b/>
        <w:bCs/>
        <w:position w:val="-4"/>
        <w:sz w:val="26"/>
        <w:szCs w:val="26"/>
        <w:rtl/>
      </w:rPr>
      <w:instrText xml:space="preserve"> </w:instrText>
    </w:r>
    <w:r w:rsidRPr="008F592C">
      <w:rPr>
        <w:rFonts w:cs="Simplified Arabic"/>
        <w:b/>
        <w:bCs/>
        <w:position w:val="-4"/>
        <w:sz w:val="26"/>
        <w:szCs w:val="26"/>
        <w:rtl/>
      </w:rPr>
      <w:fldChar w:fldCharType="separate"/>
    </w:r>
    <w:r>
      <w:rPr>
        <w:rFonts w:cs="Simplified Arabic"/>
        <w:b/>
        <w:bCs/>
        <w:noProof/>
        <w:position w:val="-4"/>
        <w:sz w:val="26"/>
        <w:szCs w:val="26"/>
        <w:rtl/>
      </w:rPr>
      <w:t>100</w:t>
    </w:r>
    <w:r w:rsidRPr="008F592C">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8F592C">
      <w:rPr>
        <w:rFonts w:cs="Abz-2 (Badr)" w:hint="cs"/>
        <w:b/>
        <w:bCs/>
        <w:sz w:val="22"/>
        <w:szCs w:val="22"/>
        <w:rtl/>
      </w:rPr>
      <w:t>34</w:t>
    </w:r>
    <w:r w:rsidRPr="00F62029">
      <w:rPr>
        <w:rFonts w:cs="Abz-2 (Badr)" w:hint="cs"/>
        <w:b/>
        <w:bCs/>
        <w:sz w:val="22"/>
        <w:szCs w:val="22"/>
        <w:rtl/>
      </w:rPr>
      <w:t xml:space="preserve"> ـ </w:t>
    </w:r>
    <w:r w:rsidRPr="008F592C">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8F592C">
      <w:rPr>
        <w:rFonts w:cs="Abz-2 (Badr)" w:hint="cs"/>
        <w:b/>
        <w:bCs/>
        <w:sz w:val="22"/>
        <w:szCs w:val="22"/>
        <w:rtl/>
      </w:rPr>
      <w:t>2015</w:t>
    </w:r>
    <w:r w:rsidRPr="00F62029">
      <w:rPr>
        <w:rFonts w:cs="Abz-2 (Badr)" w:hint="cs"/>
        <w:b/>
        <w:bCs/>
        <w:sz w:val="22"/>
        <w:szCs w:val="22"/>
        <w:rtl/>
      </w:rPr>
      <w:t xml:space="preserve">م ـ </w:t>
    </w:r>
    <w:r w:rsidRPr="008F592C">
      <w:rPr>
        <w:rFonts w:cs="Abz-2 (Badr)" w:hint="cs"/>
        <w:b/>
        <w:bCs/>
        <w:sz w:val="22"/>
        <w:szCs w:val="22"/>
        <w:rtl/>
      </w:rPr>
      <w:t>1436</w:t>
    </w:r>
    <w:r w:rsidRPr="00F62029">
      <w:rPr>
        <w:rFonts w:cs="Abz-2 (Badr)" w:hint="cs"/>
        <w:b/>
        <w:bCs/>
        <w:sz w:val="22"/>
        <w:szCs w:val="22"/>
        <w:rtl/>
      </w:rPr>
      <w:t>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8F592C">
      <w:rPr>
        <w:rFonts w:cs="Abz-2 (Badr)" w:hint="cs"/>
        <w:b/>
        <w:bCs/>
        <w:sz w:val="22"/>
        <w:szCs w:val="22"/>
        <w:rtl/>
      </w:rPr>
      <w:t>34</w:t>
    </w:r>
    <w:r w:rsidRPr="006579E8">
      <w:rPr>
        <w:rFonts w:cs="Abz-2 (Badr)" w:hint="cs"/>
        <w:b/>
        <w:bCs/>
        <w:sz w:val="22"/>
        <w:szCs w:val="22"/>
        <w:rtl/>
      </w:rPr>
      <w:t xml:space="preserve"> ـ </w:t>
    </w:r>
    <w:r w:rsidRPr="008F592C">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8F592C">
      <w:rPr>
        <w:rFonts w:cs="Abz-2 (Badr)" w:hint="cs"/>
        <w:b/>
        <w:bCs/>
        <w:sz w:val="22"/>
        <w:szCs w:val="22"/>
        <w:rtl/>
      </w:rPr>
      <w:t>2015</w:t>
    </w:r>
    <w:r w:rsidRPr="006579E8">
      <w:rPr>
        <w:rFonts w:cs="Abz-2 (Badr)" w:hint="cs"/>
        <w:b/>
        <w:bCs/>
        <w:sz w:val="22"/>
        <w:szCs w:val="22"/>
        <w:rtl/>
      </w:rPr>
      <w:t xml:space="preserve">م ـ </w:t>
    </w:r>
    <w:r w:rsidRPr="008F592C">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8F592C">
      <w:rPr>
        <w:rFonts w:cs="Simplified Arabic"/>
        <w:b/>
        <w:bCs/>
        <w:position w:val="-4"/>
        <w:sz w:val="26"/>
        <w:szCs w:val="26"/>
        <w:rtl/>
      </w:rPr>
      <w:fldChar w:fldCharType="begin"/>
    </w:r>
    <w:r w:rsidRPr="008F592C">
      <w:rPr>
        <w:rFonts w:cs="Simplified Arabic"/>
        <w:b/>
        <w:bCs/>
        <w:position w:val="-4"/>
        <w:sz w:val="26"/>
        <w:szCs w:val="26"/>
        <w:rtl/>
      </w:rPr>
      <w:instrText xml:space="preserve"> </w:instrText>
    </w:r>
    <w:r w:rsidRPr="008F592C">
      <w:rPr>
        <w:rFonts w:cs="Simplified Arabic"/>
        <w:b/>
        <w:bCs/>
        <w:position w:val="-4"/>
        <w:sz w:val="26"/>
        <w:szCs w:val="26"/>
      </w:rPr>
      <w:instrText>PAGE</w:instrText>
    </w:r>
    <w:r w:rsidRPr="008F592C">
      <w:rPr>
        <w:rFonts w:cs="Simplified Arabic"/>
        <w:b/>
        <w:bCs/>
        <w:position w:val="-4"/>
        <w:sz w:val="26"/>
        <w:szCs w:val="26"/>
        <w:rtl/>
      </w:rPr>
      <w:instrText xml:space="preserve"> </w:instrText>
    </w:r>
    <w:r w:rsidRPr="008F592C">
      <w:rPr>
        <w:rFonts w:cs="Simplified Arabic"/>
        <w:b/>
        <w:bCs/>
        <w:position w:val="-4"/>
        <w:sz w:val="26"/>
        <w:szCs w:val="26"/>
        <w:rtl/>
      </w:rPr>
      <w:fldChar w:fldCharType="separate"/>
    </w:r>
    <w:r>
      <w:rPr>
        <w:rFonts w:cs="Simplified Arabic"/>
        <w:b/>
        <w:bCs/>
        <w:noProof/>
        <w:position w:val="-4"/>
        <w:sz w:val="26"/>
        <w:szCs w:val="26"/>
        <w:rtl/>
      </w:rPr>
      <w:t>99</w:t>
    </w:r>
    <w:r w:rsidRPr="008F592C">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676CA" w:rsidRDefault="00F41F33" w:rsidP="009676CA">
    <w:pPr>
      <w:pStyle w:val="a8"/>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E45196" w:rsidRDefault="00F41F33" w:rsidP="00E45196">
    <w:pPr>
      <w:pStyle w:val="a8"/>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9041E9">
      <w:rPr>
        <w:rFonts w:cs="Simplified Arabic"/>
        <w:b/>
        <w:bCs/>
        <w:position w:val="-4"/>
        <w:sz w:val="26"/>
        <w:szCs w:val="26"/>
        <w:rtl/>
      </w:rPr>
      <w:fldChar w:fldCharType="begin"/>
    </w:r>
    <w:r w:rsidRPr="009041E9">
      <w:rPr>
        <w:rFonts w:cs="Simplified Arabic"/>
        <w:b/>
        <w:bCs/>
        <w:position w:val="-4"/>
        <w:sz w:val="26"/>
        <w:szCs w:val="26"/>
        <w:rtl/>
      </w:rPr>
      <w:instrText xml:space="preserve"> </w:instrText>
    </w:r>
    <w:r w:rsidRPr="009041E9">
      <w:rPr>
        <w:rFonts w:cs="Simplified Arabic"/>
        <w:b/>
        <w:bCs/>
        <w:position w:val="-4"/>
        <w:sz w:val="26"/>
        <w:szCs w:val="26"/>
      </w:rPr>
      <w:instrText>PAGE</w:instrText>
    </w:r>
    <w:r w:rsidRPr="009041E9">
      <w:rPr>
        <w:rFonts w:cs="Simplified Arabic"/>
        <w:b/>
        <w:bCs/>
        <w:position w:val="-4"/>
        <w:sz w:val="26"/>
        <w:szCs w:val="26"/>
        <w:rtl/>
      </w:rPr>
      <w:instrText xml:space="preserve"> </w:instrText>
    </w:r>
    <w:r w:rsidRPr="009041E9">
      <w:rPr>
        <w:rFonts w:cs="Simplified Arabic"/>
        <w:b/>
        <w:bCs/>
        <w:position w:val="-4"/>
        <w:sz w:val="26"/>
        <w:szCs w:val="26"/>
        <w:rtl/>
      </w:rPr>
      <w:fldChar w:fldCharType="separate"/>
    </w:r>
    <w:r>
      <w:rPr>
        <w:rFonts w:cs="Simplified Arabic"/>
        <w:b/>
        <w:bCs/>
        <w:noProof/>
        <w:position w:val="-4"/>
        <w:sz w:val="26"/>
        <w:szCs w:val="26"/>
        <w:rtl/>
      </w:rPr>
      <w:t>130</w:t>
    </w:r>
    <w:r w:rsidRPr="009041E9">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9041E9">
      <w:rPr>
        <w:rFonts w:cs="Abz-2 (Badr)" w:hint="cs"/>
        <w:b/>
        <w:bCs/>
        <w:sz w:val="22"/>
        <w:szCs w:val="22"/>
        <w:rtl/>
      </w:rPr>
      <w:t>34</w:t>
    </w:r>
    <w:r w:rsidRPr="00F62029">
      <w:rPr>
        <w:rFonts w:cs="Abz-2 (Badr)" w:hint="cs"/>
        <w:b/>
        <w:bCs/>
        <w:sz w:val="22"/>
        <w:szCs w:val="22"/>
        <w:rtl/>
      </w:rPr>
      <w:t xml:space="preserve"> ـ </w:t>
    </w:r>
    <w:r w:rsidRPr="009041E9">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9041E9">
      <w:rPr>
        <w:rFonts w:cs="Abz-2 (Badr)" w:hint="cs"/>
        <w:b/>
        <w:bCs/>
        <w:sz w:val="22"/>
        <w:szCs w:val="22"/>
        <w:rtl/>
      </w:rPr>
      <w:t>2015</w:t>
    </w:r>
    <w:r w:rsidRPr="00F62029">
      <w:rPr>
        <w:rFonts w:cs="Abz-2 (Badr)" w:hint="cs"/>
        <w:b/>
        <w:bCs/>
        <w:sz w:val="22"/>
        <w:szCs w:val="22"/>
        <w:rtl/>
      </w:rPr>
      <w:t xml:space="preserve">م ـ </w:t>
    </w:r>
    <w:r w:rsidRPr="009041E9">
      <w:rPr>
        <w:rFonts w:cs="Abz-2 (Badr)" w:hint="cs"/>
        <w:b/>
        <w:bCs/>
        <w:sz w:val="22"/>
        <w:szCs w:val="22"/>
        <w:rtl/>
      </w:rPr>
      <w:t>1436</w:t>
    </w:r>
    <w:r w:rsidRPr="00F62029">
      <w:rPr>
        <w:rFonts w:cs="Abz-2 (Badr)" w:hint="cs"/>
        <w:b/>
        <w:bCs/>
        <w:sz w:val="22"/>
        <w:szCs w:val="22"/>
        <w:rtl/>
      </w:rPr>
      <w:t>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9041E9">
      <w:rPr>
        <w:rFonts w:cs="Abz-2 (Badr)" w:hint="cs"/>
        <w:b/>
        <w:bCs/>
        <w:sz w:val="22"/>
        <w:szCs w:val="22"/>
        <w:rtl/>
      </w:rPr>
      <w:t>34</w:t>
    </w:r>
    <w:r w:rsidRPr="006579E8">
      <w:rPr>
        <w:rFonts w:cs="Abz-2 (Badr)" w:hint="cs"/>
        <w:b/>
        <w:bCs/>
        <w:sz w:val="22"/>
        <w:szCs w:val="22"/>
        <w:rtl/>
      </w:rPr>
      <w:t xml:space="preserve"> ـ </w:t>
    </w:r>
    <w:r w:rsidRPr="009041E9">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9041E9">
      <w:rPr>
        <w:rFonts w:cs="Abz-2 (Badr)" w:hint="cs"/>
        <w:b/>
        <w:bCs/>
        <w:sz w:val="22"/>
        <w:szCs w:val="22"/>
        <w:rtl/>
      </w:rPr>
      <w:t>2015</w:t>
    </w:r>
    <w:r w:rsidRPr="006579E8">
      <w:rPr>
        <w:rFonts w:cs="Abz-2 (Badr)" w:hint="cs"/>
        <w:b/>
        <w:bCs/>
        <w:sz w:val="22"/>
        <w:szCs w:val="22"/>
        <w:rtl/>
      </w:rPr>
      <w:t xml:space="preserve">م ـ </w:t>
    </w:r>
    <w:r w:rsidRPr="009041E9">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9041E9">
      <w:rPr>
        <w:rFonts w:cs="Simplified Arabic"/>
        <w:b/>
        <w:bCs/>
        <w:position w:val="-4"/>
        <w:sz w:val="26"/>
        <w:szCs w:val="26"/>
        <w:rtl/>
      </w:rPr>
      <w:fldChar w:fldCharType="begin"/>
    </w:r>
    <w:r w:rsidRPr="009041E9">
      <w:rPr>
        <w:rFonts w:cs="Simplified Arabic"/>
        <w:b/>
        <w:bCs/>
        <w:position w:val="-4"/>
        <w:sz w:val="26"/>
        <w:szCs w:val="26"/>
        <w:rtl/>
      </w:rPr>
      <w:instrText xml:space="preserve"> </w:instrText>
    </w:r>
    <w:r w:rsidRPr="009041E9">
      <w:rPr>
        <w:rFonts w:cs="Simplified Arabic"/>
        <w:b/>
        <w:bCs/>
        <w:position w:val="-4"/>
        <w:sz w:val="26"/>
        <w:szCs w:val="26"/>
      </w:rPr>
      <w:instrText>PAGE</w:instrText>
    </w:r>
    <w:r w:rsidRPr="009041E9">
      <w:rPr>
        <w:rFonts w:cs="Simplified Arabic"/>
        <w:b/>
        <w:bCs/>
        <w:position w:val="-4"/>
        <w:sz w:val="26"/>
        <w:szCs w:val="26"/>
        <w:rtl/>
      </w:rPr>
      <w:instrText xml:space="preserve"> </w:instrText>
    </w:r>
    <w:r w:rsidRPr="009041E9">
      <w:rPr>
        <w:rFonts w:cs="Simplified Arabic"/>
        <w:b/>
        <w:bCs/>
        <w:position w:val="-4"/>
        <w:sz w:val="26"/>
        <w:szCs w:val="26"/>
        <w:rtl/>
      </w:rPr>
      <w:fldChar w:fldCharType="separate"/>
    </w:r>
    <w:r>
      <w:rPr>
        <w:rFonts w:cs="Simplified Arabic"/>
        <w:b/>
        <w:bCs/>
        <w:noProof/>
        <w:position w:val="-4"/>
        <w:sz w:val="26"/>
        <w:szCs w:val="26"/>
        <w:rtl/>
      </w:rPr>
      <w:t>131</w:t>
    </w:r>
    <w:r w:rsidRPr="009041E9">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973B2" w:rsidRDefault="00F41F33" w:rsidP="002973B2">
    <w:pPr>
      <w:pStyle w:val="a8"/>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9041E9">
      <w:rPr>
        <w:rFonts w:cs="Simplified Arabic"/>
        <w:b/>
        <w:bCs/>
        <w:position w:val="-4"/>
        <w:sz w:val="26"/>
        <w:szCs w:val="26"/>
        <w:rtl/>
      </w:rPr>
      <w:fldChar w:fldCharType="begin"/>
    </w:r>
    <w:r w:rsidRPr="009041E9">
      <w:rPr>
        <w:rFonts w:cs="Simplified Arabic"/>
        <w:b/>
        <w:bCs/>
        <w:position w:val="-4"/>
        <w:sz w:val="26"/>
        <w:szCs w:val="26"/>
        <w:rtl/>
      </w:rPr>
      <w:instrText xml:space="preserve"> </w:instrText>
    </w:r>
    <w:r w:rsidRPr="009041E9">
      <w:rPr>
        <w:rFonts w:cs="Simplified Arabic"/>
        <w:b/>
        <w:bCs/>
        <w:position w:val="-4"/>
        <w:sz w:val="26"/>
        <w:szCs w:val="26"/>
      </w:rPr>
      <w:instrText>PAGE</w:instrText>
    </w:r>
    <w:r w:rsidRPr="009041E9">
      <w:rPr>
        <w:rFonts w:cs="Simplified Arabic"/>
        <w:b/>
        <w:bCs/>
        <w:position w:val="-4"/>
        <w:sz w:val="26"/>
        <w:szCs w:val="26"/>
        <w:rtl/>
      </w:rPr>
      <w:instrText xml:space="preserve"> </w:instrText>
    </w:r>
    <w:r w:rsidRPr="009041E9">
      <w:rPr>
        <w:rFonts w:cs="Simplified Arabic"/>
        <w:b/>
        <w:bCs/>
        <w:position w:val="-4"/>
        <w:sz w:val="26"/>
        <w:szCs w:val="26"/>
        <w:rtl/>
      </w:rPr>
      <w:fldChar w:fldCharType="separate"/>
    </w:r>
    <w:r>
      <w:rPr>
        <w:rFonts w:cs="Simplified Arabic"/>
        <w:b/>
        <w:bCs/>
        <w:noProof/>
        <w:position w:val="-4"/>
        <w:sz w:val="26"/>
        <w:szCs w:val="26"/>
        <w:rtl/>
      </w:rPr>
      <w:t>148</w:t>
    </w:r>
    <w:r w:rsidRPr="009041E9">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9041E9">
      <w:rPr>
        <w:rFonts w:cs="Abz-2 (Badr)" w:hint="cs"/>
        <w:b/>
        <w:bCs/>
        <w:sz w:val="22"/>
        <w:szCs w:val="22"/>
        <w:rtl/>
      </w:rPr>
      <w:t>34</w:t>
    </w:r>
    <w:r w:rsidRPr="00F62029">
      <w:rPr>
        <w:rFonts w:cs="Abz-2 (Badr)" w:hint="cs"/>
        <w:b/>
        <w:bCs/>
        <w:sz w:val="22"/>
        <w:szCs w:val="22"/>
        <w:rtl/>
      </w:rPr>
      <w:t xml:space="preserve"> ـ </w:t>
    </w:r>
    <w:r w:rsidRPr="009041E9">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9041E9">
      <w:rPr>
        <w:rFonts w:cs="Abz-2 (Badr)" w:hint="cs"/>
        <w:b/>
        <w:bCs/>
        <w:sz w:val="22"/>
        <w:szCs w:val="22"/>
        <w:rtl/>
      </w:rPr>
      <w:t>2015</w:t>
    </w:r>
    <w:r w:rsidRPr="00F62029">
      <w:rPr>
        <w:rFonts w:cs="Abz-2 (Badr)" w:hint="cs"/>
        <w:b/>
        <w:bCs/>
        <w:sz w:val="22"/>
        <w:szCs w:val="22"/>
        <w:rtl/>
      </w:rPr>
      <w:t xml:space="preserve">م ـ </w:t>
    </w:r>
    <w:r w:rsidRPr="009041E9">
      <w:rPr>
        <w:rFonts w:cs="Abz-2 (Badr)" w:hint="cs"/>
        <w:b/>
        <w:bCs/>
        <w:sz w:val="22"/>
        <w:szCs w:val="22"/>
        <w:rtl/>
      </w:rPr>
      <w:t>1436</w:t>
    </w:r>
    <w:r w:rsidRPr="00F62029">
      <w:rPr>
        <w:rFonts w:cs="Abz-2 (Badr)" w:hint="cs"/>
        <w:b/>
        <w:bCs/>
        <w:sz w:val="22"/>
        <w:szCs w:val="22"/>
        <w:rtl/>
      </w:rPr>
      <w:t>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9041E9">
      <w:rPr>
        <w:rFonts w:cs="Abz-2 (Badr)" w:hint="cs"/>
        <w:b/>
        <w:bCs/>
        <w:sz w:val="22"/>
        <w:szCs w:val="22"/>
        <w:rtl/>
      </w:rPr>
      <w:t>34</w:t>
    </w:r>
    <w:r w:rsidRPr="006579E8">
      <w:rPr>
        <w:rFonts w:cs="Abz-2 (Badr)" w:hint="cs"/>
        <w:b/>
        <w:bCs/>
        <w:sz w:val="22"/>
        <w:szCs w:val="22"/>
        <w:rtl/>
      </w:rPr>
      <w:t xml:space="preserve"> ـ </w:t>
    </w:r>
    <w:r w:rsidRPr="009041E9">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9041E9">
      <w:rPr>
        <w:rFonts w:cs="Abz-2 (Badr)" w:hint="cs"/>
        <w:b/>
        <w:bCs/>
        <w:sz w:val="22"/>
        <w:szCs w:val="22"/>
        <w:rtl/>
      </w:rPr>
      <w:t>2015</w:t>
    </w:r>
    <w:r w:rsidRPr="006579E8">
      <w:rPr>
        <w:rFonts w:cs="Abz-2 (Badr)" w:hint="cs"/>
        <w:b/>
        <w:bCs/>
        <w:sz w:val="22"/>
        <w:szCs w:val="22"/>
        <w:rtl/>
      </w:rPr>
      <w:t xml:space="preserve">م ـ </w:t>
    </w:r>
    <w:r w:rsidRPr="009041E9">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9041E9">
      <w:rPr>
        <w:rFonts w:cs="Simplified Arabic"/>
        <w:b/>
        <w:bCs/>
        <w:position w:val="-4"/>
        <w:sz w:val="26"/>
        <w:szCs w:val="26"/>
        <w:rtl/>
      </w:rPr>
      <w:fldChar w:fldCharType="begin"/>
    </w:r>
    <w:r w:rsidRPr="009041E9">
      <w:rPr>
        <w:rFonts w:cs="Simplified Arabic"/>
        <w:b/>
        <w:bCs/>
        <w:position w:val="-4"/>
        <w:sz w:val="26"/>
        <w:szCs w:val="26"/>
        <w:rtl/>
      </w:rPr>
      <w:instrText xml:space="preserve"> </w:instrText>
    </w:r>
    <w:r w:rsidRPr="009041E9">
      <w:rPr>
        <w:rFonts w:cs="Simplified Arabic"/>
        <w:b/>
        <w:bCs/>
        <w:position w:val="-4"/>
        <w:sz w:val="26"/>
        <w:szCs w:val="26"/>
      </w:rPr>
      <w:instrText>PAGE</w:instrText>
    </w:r>
    <w:r w:rsidRPr="009041E9">
      <w:rPr>
        <w:rFonts w:cs="Simplified Arabic"/>
        <w:b/>
        <w:bCs/>
        <w:position w:val="-4"/>
        <w:sz w:val="26"/>
        <w:szCs w:val="26"/>
        <w:rtl/>
      </w:rPr>
      <w:instrText xml:space="preserve"> </w:instrText>
    </w:r>
    <w:r w:rsidRPr="009041E9">
      <w:rPr>
        <w:rFonts w:cs="Simplified Arabic"/>
        <w:b/>
        <w:bCs/>
        <w:position w:val="-4"/>
        <w:sz w:val="26"/>
        <w:szCs w:val="26"/>
        <w:rtl/>
      </w:rPr>
      <w:fldChar w:fldCharType="separate"/>
    </w:r>
    <w:r>
      <w:rPr>
        <w:rFonts w:cs="Simplified Arabic"/>
        <w:b/>
        <w:bCs/>
        <w:noProof/>
        <w:position w:val="-4"/>
        <w:sz w:val="26"/>
        <w:szCs w:val="26"/>
        <w:rtl/>
      </w:rPr>
      <w:t>147</w:t>
    </w:r>
    <w:r w:rsidRPr="009041E9">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973B2" w:rsidRDefault="00F41F33" w:rsidP="002973B2">
    <w:pPr>
      <w:pStyle w:val="a8"/>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DB119F">
      <w:rPr>
        <w:rFonts w:cs="Simplified Arabic"/>
        <w:b/>
        <w:bCs/>
        <w:position w:val="-4"/>
        <w:sz w:val="26"/>
        <w:szCs w:val="26"/>
        <w:rtl/>
      </w:rPr>
      <w:fldChar w:fldCharType="begin"/>
    </w:r>
    <w:r w:rsidRPr="00DB119F">
      <w:rPr>
        <w:rFonts w:cs="Simplified Arabic"/>
        <w:b/>
        <w:bCs/>
        <w:position w:val="-4"/>
        <w:sz w:val="26"/>
        <w:szCs w:val="26"/>
        <w:rtl/>
      </w:rPr>
      <w:instrText xml:space="preserve"> </w:instrText>
    </w:r>
    <w:r w:rsidRPr="00DB119F">
      <w:rPr>
        <w:rFonts w:cs="Simplified Arabic"/>
        <w:b/>
        <w:bCs/>
        <w:position w:val="-4"/>
        <w:sz w:val="26"/>
        <w:szCs w:val="26"/>
      </w:rPr>
      <w:instrText>PAGE</w:instrText>
    </w:r>
    <w:r w:rsidRPr="00DB119F">
      <w:rPr>
        <w:rFonts w:cs="Simplified Arabic"/>
        <w:b/>
        <w:bCs/>
        <w:position w:val="-4"/>
        <w:sz w:val="26"/>
        <w:szCs w:val="26"/>
        <w:rtl/>
      </w:rPr>
      <w:instrText xml:space="preserve"> </w:instrText>
    </w:r>
    <w:r w:rsidRPr="00DB119F">
      <w:rPr>
        <w:rFonts w:cs="Simplified Arabic"/>
        <w:b/>
        <w:bCs/>
        <w:position w:val="-4"/>
        <w:sz w:val="26"/>
        <w:szCs w:val="26"/>
        <w:rtl/>
      </w:rPr>
      <w:fldChar w:fldCharType="separate"/>
    </w:r>
    <w:r>
      <w:rPr>
        <w:rFonts w:cs="Simplified Arabic"/>
        <w:b/>
        <w:bCs/>
        <w:noProof/>
        <w:position w:val="-4"/>
        <w:sz w:val="26"/>
        <w:szCs w:val="26"/>
        <w:rtl/>
      </w:rPr>
      <w:t>162</w:t>
    </w:r>
    <w:r w:rsidRPr="00DB119F">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DB119F">
      <w:rPr>
        <w:rFonts w:cs="Abz-2 (Badr)" w:hint="cs"/>
        <w:b/>
        <w:bCs/>
        <w:sz w:val="22"/>
        <w:szCs w:val="22"/>
        <w:rtl/>
      </w:rPr>
      <w:t>34</w:t>
    </w:r>
    <w:r w:rsidRPr="00F62029">
      <w:rPr>
        <w:rFonts w:cs="Abz-2 (Badr)" w:hint="cs"/>
        <w:b/>
        <w:bCs/>
        <w:sz w:val="22"/>
        <w:szCs w:val="22"/>
        <w:rtl/>
      </w:rPr>
      <w:t xml:space="preserve"> ـ </w:t>
    </w:r>
    <w:r w:rsidRPr="00DB119F">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DB119F">
      <w:rPr>
        <w:rFonts w:cs="Abz-2 (Badr)" w:hint="cs"/>
        <w:b/>
        <w:bCs/>
        <w:sz w:val="22"/>
        <w:szCs w:val="22"/>
        <w:rtl/>
      </w:rPr>
      <w:t>2015</w:t>
    </w:r>
    <w:r w:rsidRPr="00F62029">
      <w:rPr>
        <w:rFonts w:cs="Abz-2 (Badr)" w:hint="cs"/>
        <w:b/>
        <w:bCs/>
        <w:sz w:val="22"/>
        <w:szCs w:val="22"/>
        <w:rtl/>
      </w:rPr>
      <w:t xml:space="preserve">م ـ </w:t>
    </w:r>
    <w:r w:rsidRPr="00DB119F">
      <w:rPr>
        <w:rFonts w:cs="Abz-2 (Badr)" w:hint="cs"/>
        <w:b/>
        <w:bCs/>
        <w:sz w:val="22"/>
        <w:szCs w:val="22"/>
        <w:rtl/>
      </w:rPr>
      <w:t>1436</w:t>
    </w:r>
    <w:r w:rsidRPr="00F62029">
      <w:rPr>
        <w:rFonts w:cs="Abz-2 (Badr)" w:hint="cs"/>
        <w:b/>
        <w:bCs/>
        <w:sz w:val="22"/>
        <w:szCs w:val="22"/>
        <w:rtl/>
      </w:rPr>
      <w:t>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DB119F">
      <w:rPr>
        <w:rFonts w:cs="Abz-2 (Badr)" w:hint="cs"/>
        <w:b/>
        <w:bCs/>
        <w:sz w:val="22"/>
        <w:szCs w:val="22"/>
        <w:rtl/>
      </w:rPr>
      <w:t>34</w:t>
    </w:r>
    <w:r w:rsidRPr="006579E8">
      <w:rPr>
        <w:rFonts w:cs="Abz-2 (Badr)" w:hint="cs"/>
        <w:b/>
        <w:bCs/>
        <w:sz w:val="22"/>
        <w:szCs w:val="22"/>
        <w:rtl/>
      </w:rPr>
      <w:t xml:space="preserve"> ـ </w:t>
    </w:r>
    <w:r w:rsidRPr="00DB119F">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DB119F">
      <w:rPr>
        <w:rFonts w:cs="Abz-2 (Badr)" w:hint="cs"/>
        <w:b/>
        <w:bCs/>
        <w:sz w:val="22"/>
        <w:szCs w:val="22"/>
        <w:rtl/>
      </w:rPr>
      <w:t>2015</w:t>
    </w:r>
    <w:r w:rsidRPr="006579E8">
      <w:rPr>
        <w:rFonts w:cs="Abz-2 (Badr)" w:hint="cs"/>
        <w:b/>
        <w:bCs/>
        <w:sz w:val="22"/>
        <w:szCs w:val="22"/>
        <w:rtl/>
      </w:rPr>
      <w:t xml:space="preserve">م ـ </w:t>
    </w:r>
    <w:r w:rsidRPr="00DB119F">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DB119F">
      <w:rPr>
        <w:rFonts w:cs="Simplified Arabic"/>
        <w:b/>
        <w:bCs/>
        <w:position w:val="-4"/>
        <w:sz w:val="26"/>
        <w:szCs w:val="26"/>
        <w:rtl/>
      </w:rPr>
      <w:fldChar w:fldCharType="begin"/>
    </w:r>
    <w:r w:rsidRPr="00DB119F">
      <w:rPr>
        <w:rFonts w:cs="Simplified Arabic"/>
        <w:b/>
        <w:bCs/>
        <w:position w:val="-4"/>
        <w:sz w:val="26"/>
        <w:szCs w:val="26"/>
        <w:rtl/>
      </w:rPr>
      <w:instrText xml:space="preserve"> </w:instrText>
    </w:r>
    <w:r w:rsidRPr="00DB119F">
      <w:rPr>
        <w:rFonts w:cs="Simplified Arabic"/>
        <w:b/>
        <w:bCs/>
        <w:position w:val="-4"/>
        <w:sz w:val="26"/>
        <w:szCs w:val="26"/>
      </w:rPr>
      <w:instrText>PAGE</w:instrText>
    </w:r>
    <w:r w:rsidRPr="00DB119F">
      <w:rPr>
        <w:rFonts w:cs="Simplified Arabic"/>
        <w:b/>
        <w:bCs/>
        <w:position w:val="-4"/>
        <w:sz w:val="26"/>
        <w:szCs w:val="26"/>
        <w:rtl/>
      </w:rPr>
      <w:instrText xml:space="preserve"> </w:instrText>
    </w:r>
    <w:r w:rsidRPr="00DB119F">
      <w:rPr>
        <w:rFonts w:cs="Simplified Arabic"/>
        <w:b/>
        <w:bCs/>
        <w:position w:val="-4"/>
        <w:sz w:val="26"/>
        <w:szCs w:val="26"/>
        <w:rtl/>
      </w:rPr>
      <w:fldChar w:fldCharType="separate"/>
    </w:r>
    <w:r>
      <w:rPr>
        <w:rFonts w:cs="Simplified Arabic"/>
        <w:b/>
        <w:bCs/>
        <w:noProof/>
        <w:position w:val="-4"/>
        <w:sz w:val="26"/>
        <w:szCs w:val="26"/>
        <w:rtl/>
      </w:rPr>
      <w:t>161</w:t>
    </w:r>
    <w:r w:rsidRPr="00DB119F">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DB119F">
      <w:rPr>
        <w:rFonts w:cs="Simplified Arabic"/>
        <w:b/>
        <w:bCs/>
        <w:position w:val="-4"/>
        <w:sz w:val="26"/>
        <w:szCs w:val="26"/>
        <w:rtl/>
      </w:rPr>
      <w:fldChar w:fldCharType="begin"/>
    </w:r>
    <w:r w:rsidRPr="00DB119F">
      <w:rPr>
        <w:rFonts w:cs="Simplified Arabic"/>
        <w:b/>
        <w:bCs/>
        <w:position w:val="-4"/>
        <w:sz w:val="26"/>
        <w:szCs w:val="26"/>
        <w:rtl/>
      </w:rPr>
      <w:instrText xml:space="preserve"> </w:instrText>
    </w:r>
    <w:r w:rsidRPr="00DB119F">
      <w:rPr>
        <w:rFonts w:cs="Simplified Arabic"/>
        <w:b/>
        <w:bCs/>
        <w:position w:val="-4"/>
        <w:sz w:val="26"/>
        <w:szCs w:val="26"/>
      </w:rPr>
      <w:instrText>PAGE</w:instrText>
    </w:r>
    <w:r w:rsidRPr="00DB119F">
      <w:rPr>
        <w:rFonts w:cs="Simplified Arabic"/>
        <w:b/>
        <w:bCs/>
        <w:position w:val="-4"/>
        <w:sz w:val="26"/>
        <w:szCs w:val="26"/>
        <w:rtl/>
      </w:rPr>
      <w:instrText xml:space="preserve"> </w:instrText>
    </w:r>
    <w:r w:rsidRPr="00DB119F">
      <w:rPr>
        <w:rFonts w:cs="Simplified Arabic"/>
        <w:b/>
        <w:bCs/>
        <w:position w:val="-4"/>
        <w:sz w:val="26"/>
        <w:szCs w:val="26"/>
        <w:rtl/>
      </w:rPr>
      <w:fldChar w:fldCharType="separate"/>
    </w:r>
    <w:r>
      <w:rPr>
        <w:rFonts w:cs="Simplified Arabic"/>
        <w:b/>
        <w:bCs/>
        <w:noProof/>
        <w:position w:val="-4"/>
        <w:sz w:val="26"/>
        <w:szCs w:val="26"/>
        <w:rtl/>
      </w:rPr>
      <w:t>182</w:t>
    </w:r>
    <w:r w:rsidRPr="00DB119F">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F349B5">
      <w:rPr>
        <w:rFonts w:cs="Abz-2 (Badr)" w:hint="cs"/>
        <w:b/>
        <w:bCs/>
        <w:sz w:val="22"/>
        <w:szCs w:val="22"/>
        <w:rtl/>
      </w:rPr>
      <w:t>34</w:t>
    </w:r>
    <w:r w:rsidRPr="00F62029">
      <w:rPr>
        <w:rFonts w:cs="Abz-2 (Badr)" w:hint="cs"/>
        <w:b/>
        <w:bCs/>
        <w:sz w:val="22"/>
        <w:szCs w:val="22"/>
        <w:rtl/>
      </w:rPr>
      <w:t xml:space="preserve"> ـ </w:t>
    </w:r>
    <w:r w:rsidRPr="00F349B5">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F349B5">
      <w:rPr>
        <w:rFonts w:cs="Abz-2 (Badr)" w:hint="cs"/>
        <w:b/>
        <w:bCs/>
        <w:sz w:val="22"/>
        <w:szCs w:val="22"/>
        <w:rtl/>
      </w:rPr>
      <w:t>2015</w:t>
    </w:r>
    <w:r w:rsidRPr="00F62029">
      <w:rPr>
        <w:rFonts w:cs="Abz-2 (Badr)" w:hint="cs"/>
        <w:b/>
        <w:bCs/>
        <w:sz w:val="22"/>
        <w:szCs w:val="22"/>
        <w:rtl/>
      </w:rPr>
      <w:t xml:space="preserve">م ـ </w:t>
    </w:r>
    <w:r w:rsidRPr="00F349B5">
      <w:rPr>
        <w:rFonts w:cs="Abz-2 (Badr)" w:hint="cs"/>
        <w:b/>
        <w:bCs/>
        <w:sz w:val="22"/>
        <w:szCs w:val="22"/>
        <w:rtl/>
      </w:rPr>
      <w:t>1436</w:t>
    </w:r>
    <w:r w:rsidRPr="00F62029">
      <w:rPr>
        <w:rFonts w:cs="Abz-2 (Badr)" w:hint="cs"/>
        <w:b/>
        <w:bCs/>
        <w:sz w:val="22"/>
        <w:szCs w:val="22"/>
        <w:rtl/>
      </w:rPr>
      <w:t>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F349B5">
      <w:rPr>
        <w:rFonts w:cs="Abz-2 (Badr)" w:hint="cs"/>
        <w:b/>
        <w:bCs/>
        <w:sz w:val="22"/>
        <w:szCs w:val="22"/>
        <w:rtl/>
      </w:rPr>
      <w:t>34</w:t>
    </w:r>
    <w:r w:rsidRPr="006579E8">
      <w:rPr>
        <w:rFonts w:cs="Abz-2 (Badr)" w:hint="cs"/>
        <w:b/>
        <w:bCs/>
        <w:sz w:val="22"/>
        <w:szCs w:val="22"/>
        <w:rtl/>
      </w:rPr>
      <w:t xml:space="preserve"> ـ </w:t>
    </w:r>
    <w:r w:rsidRPr="00F349B5">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F349B5">
      <w:rPr>
        <w:rFonts w:cs="Abz-2 (Badr)" w:hint="cs"/>
        <w:b/>
        <w:bCs/>
        <w:sz w:val="22"/>
        <w:szCs w:val="22"/>
        <w:rtl/>
      </w:rPr>
      <w:t>2015</w:t>
    </w:r>
    <w:r w:rsidRPr="006579E8">
      <w:rPr>
        <w:rFonts w:cs="Abz-2 (Badr)" w:hint="cs"/>
        <w:b/>
        <w:bCs/>
        <w:sz w:val="22"/>
        <w:szCs w:val="22"/>
        <w:rtl/>
      </w:rPr>
      <w:t xml:space="preserve">م ـ </w:t>
    </w:r>
    <w:r w:rsidRPr="00F349B5">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DB119F">
      <w:rPr>
        <w:rFonts w:cs="Simplified Arabic"/>
        <w:b/>
        <w:bCs/>
        <w:position w:val="-4"/>
        <w:sz w:val="26"/>
        <w:szCs w:val="26"/>
        <w:rtl/>
      </w:rPr>
      <w:fldChar w:fldCharType="begin"/>
    </w:r>
    <w:r w:rsidRPr="00DB119F">
      <w:rPr>
        <w:rFonts w:cs="Simplified Arabic"/>
        <w:b/>
        <w:bCs/>
        <w:position w:val="-4"/>
        <w:sz w:val="26"/>
        <w:szCs w:val="26"/>
        <w:rtl/>
      </w:rPr>
      <w:instrText xml:space="preserve"> </w:instrText>
    </w:r>
    <w:r w:rsidRPr="00DB119F">
      <w:rPr>
        <w:rFonts w:cs="Simplified Arabic"/>
        <w:b/>
        <w:bCs/>
        <w:position w:val="-4"/>
        <w:sz w:val="26"/>
        <w:szCs w:val="26"/>
      </w:rPr>
      <w:instrText>PAGE</w:instrText>
    </w:r>
    <w:r w:rsidRPr="00DB119F">
      <w:rPr>
        <w:rFonts w:cs="Simplified Arabic"/>
        <w:b/>
        <w:bCs/>
        <w:position w:val="-4"/>
        <w:sz w:val="26"/>
        <w:szCs w:val="26"/>
        <w:rtl/>
      </w:rPr>
      <w:instrText xml:space="preserve"> </w:instrText>
    </w:r>
    <w:r w:rsidRPr="00DB119F">
      <w:rPr>
        <w:rFonts w:cs="Simplified Arabic"/>
        <w:b/>
        <w:bCs/>
        <w:position w:val="-4"/>
        <w:sz w:val="26"/>
        <w:szCs w:val="26"/>
        <w:rtl/>
      </w:rPr>
      <w:fldChar w:fldCharType="separate"/>
    </w:r>
    <w:r>
      <w:rPr>
        <w:rFonts w:cs="Simplified Arabic"/>
        <w:b/>
        <w:bCs/>
        <w:noProof/>
        <w:position w:val="-4"/>
        <w:sz w:val="26"/>
        <w:szCs w:val="26"/>
        <w:rtl/>
      </w:rPr>
      <w:t>183</w:t>
    </w:r>
    <w:r w:rsidRPr="00DB119F">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973B2" w:rsidRDefault="00F41F33" w:rsidP="002973B2">
    <w:pPr>
      <w:pStyle w:val="a8"/>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F349B5">
      <w:rPr>
        <w:rFonts w:cs="Simplified Arabic"/>
        <w:b/>
        <w:bCs/>
        <w:position w:val="-4"/>
        <w:sz w:val="26"/>
        <w:szCs w:val="26"/>
        <w:rtl/>
      </w:rPr>
      <w:fldChar w:fldCharType="begin"/>
    </w:r>
    <w:r w:rsidRPr="00F349B5">
      <w:rPr>
        <w:rFonts w:cs="Simplified Arabic"/>
        <w:b/>
        <w:bCs/>
        <w:position w:val="-4"/>
        <w:sz w:val="26"/>
        <w:szCs w:val="26"/>
        <w:rtl/>
      </w:rPr>
      <w:instrText xml:space="preserve"> </w:instrText>
    </w:r>
    <w:r w:rsidRPr="00F349B5">
      <w:rPr>
        <w:rFonts w:cs="Simplified Arabic"/>
        <w:b/>
        <w:bCs/>
        <w:position w:val="-4"/>
        <w:sz w:val="26"/>
        <w:szCs w:val="26"/>
      </w:rPr>
      <w:instrText>PAGE</w:instrText>
    </w:r>
    <w:r w:rsidRPr="00F349B5">
      <w:rPr>
        <w:rFonts w:cs="Simplified Arabic"/>
        <w:b/>
        <w:bCs/>
        <w:position w:val="-4"/>
        <w:sz w:val="26"/>
        <w:szCs w:val="26"/>
        <w:rtl/>
      </w:rPr>
      <w:instrText xml:space="preserve"> </w:instrText>
    </w:r>
    <w:r w:rsidRPr="00F349B5">
      <w:rPr>
        <w:rFonts w:cs="Simplified Arabic"/>
        <w:b/>
        <w:bCs/>
        <w:position w:val="-4"/>
        <w:sz w:val="26"/>
        <w:szCs w:val="26"/>
        <w:rtl/>
      </w:rPr>
      <w:fldChar w:fldCharType="separate"/>
    </w:r>
    <w:r>
      <w:rPr>
        <w:rFonts w:cs="Simplified Arabic"/>
        <w:b/>
        <w:bCs/>
        <w:noProof/>
        <w:position w:val="-4"/>
        <w:sz w:val="26"/>
        <w:szCs w:val="26"/>
        <w:rtl/>
      </w:rPr>
      <w:t>204</w:t>
    </w:r>
    <w:r w:rsidRPr="00F349B5">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F349B5">
      <w:rPr>
        <w:rFonts w:cs="Abz-2 (Badr)" w:hint="cs"/>
        <w:b/>
        <w:bCs/>
        <w:sz w:val="22"/>
        <w:szCs w:val="22"/>
        <w:rtl/>
      </w:rPr>
      <w:t>34</w:t>
    </w:r>
    <w:r w:rsidRPr="00F62029">
      <w:rPr>
        <w:rFonts w:cs="Abz-2 (Badr)" w:hint="cs"/>
        <w:b/>
        <w:bCs/>
        <w:sz w:val="22"/>
        <w:szCs w:val="22"/>
        <w:rtl/>
      </w:rPr>
      <w:t xml:space="preserve"> ـ </w:t>
    </w:r>
    <w:r w:rsidRPr="00F349B5">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F349B5">
      <w:rPr>
        <w:rFonts w:cs="Abz-2 (Badr)" w:hint="cs"/>
        <w:b/>
        <w:bCs/>
        <w:sz w:val="22"/>
        <w:szCs w:val="22"/>
        <w:rtl/>
      </w:rPr>
      <w:t>2015</w:t>
    </w:r>
    <w:r w:rsidRPr="00F62029">
      <w:rPr>
        <w:rFonts w:cs="Abz-2 (Badr)" w:hint="cs"/>
        <w:b/>
        <w:bCs/>
        <w:sz w:val="22"/>
        <w:szCs w:val="22"/>
        <w:rtl/>
      </w:rPr>
      <w:t xml:space="preserve">م ـ </w:t>
    </w:r>
    <w:r w:rsidRPr="00F349B5">
      <w:rPr>
        <w:rFonts w:cs="Abz-2 (Badr)" w:hint="cs"/>
        <w:b/>
        <w:bCs/>
        <w:sz w:val="22"/>
        <w:szCs w:val="22"/>
        <w:rtl/>
      </w:rPr>
      <w:t>1436</w:t>
    </w:r>
    <w:r w:rsidRPr="00F62029">
      <w:rPr>
        <w:rFonts w:cs="Abz-2 (Badr)" w:hint="cs"/>
        <w:b/>
        <w:bCs/>
        <w:sz w:val="22"/>
        <w:szCs w:val="22"/>
        <w:rtl/>
      </w:rPr>
      <w:t>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F349B5">
      <w:rPr>
        <w:rFonts w:cs="Abz-2 (Badr)" w:hint="cs"/>
        <w:b/>
        <w:bCs/>
        <w:sz w:val="22"/>
        <w:szCs w:val="22"/>
        <w:rtl/>
      </w:rPr>
      <w:t>34</w:t>
    </w:r>
    <w:r w:rsidRPr="006579E8">
      <w:rPr>
        <w:rFonts w:cs="Abz-2 (Badr)" w:hint="cs"/>
        <w:b/>
        <w:bCs/>
        <w:sz w:val="22"/>
        <w:szCs w:val="22"/>
        <w:rtl/>
      </w:rPr>
      <w:t xml:space="preserve"> ـ </w:t>
    </w:r>
    <w:r w:rsidRPr="00F349B5">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F349B5">
      <w:rPr>
        <w:rFonts w:cs="Abz-2 (Badr)" w:hint="cs"/>
        <w:b/>
        <w:bCs/>
        <w:sz w:val="22"/>
        <w:szCs w:val="22"/>
        <w:rtl/>
      </w:rPr>
      <w:t>2015</w:t>
    </w:r>
    <w:r w:rsidRPr="006579E8">
      <w:rPr>
        <w:rFonts w:cs="Abz-2 (Badr)" w:hint="cs"/>
        <w:b/>
        <w:bCs/>
        <w:sz w:val="22"/>
        <w:szCs w:val="22"/>
        <w:rtl/>
      </w:rPr>
      <w:t xml:space="preserve">م ـ </w:t>
    </w:r>
    <w:r w:rsidRPr="00F349B5">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F349B5">
      <w:rPr>
        <w:rFonts w:cs="Simplified Arabic"/>
        <w:b/>
        <w:bCs/>
        <w:position w:val="-4"/>
        <w:sz w:val="26"/>
        <w:szCs w:val="26"/>
        <w:rtl/>
      </w:rPr>
      <w:fldChar w:fldCharType="begin"/>
    </w:r>
    <w:r w:rsidRPr="00F349B5">
      <w:rPr>
        <w:rFonts w:cs="Simplified Arabic"/>
        <w:b/>
        <w:bCs/>
        <w:position w:val="-4"/>
        <w:sz w:val="26"/>
        <w:szCs w:val="26"/>
        <w:rtl/>
      </w:rPr>
      <w:instrText xml:space="preserve"> </w:instrText>
    </w:r>
    <w:r w:rsidRPr="00F349B5">
      <w:rPr>
        <w:rFonts w:cs="Simplified Arabic"/>
        <w:b/>
        <w:bCs/>
        <w:position w:val="-4"/>
        <w:sz w:val="26"/>
        <w:szCs w:val="26"/>
      </w:rPr>
      <w:instrText>PAGE</w:instrText>
    </w:r>
    <w:r w:rsidRPr="00F349B5">
      <w:rPr>
        <w:rFonts w:cs="Simplified Arabic"/>
        <w:b/>
        <w:bCs/>
        <w:position w:val="-4"/>
        <w:sz w:val="26"/>
        <w:szCs w:val="26"/>
        <w:rtl/>
      </w:rPr>
      <w:instrText xml:space="preserve"> </w:instrText>
    </w:r>
    <w:r w:rsidRPr="00F349B5">
      <w:rPr>
        <w:rFonts w:cs="Simplified Arabic"/>
        <w:b/>
        <w:bCs/>
        <w:position w:val="-4"/>
        <w:sz w:val="26"/>
        <w:szCs w:val="26"/>
        <w:rtl/>
      </w:rPr>
      <w:fldChar w:fldCharType="separate"/>
    </w:r>
    <w:r>
      <w:rPr>
        <w:rFonts w:cs="Simplified Arabic"/>
        <w:b/>
        <w:bCs/>
        <w:noProof/>
        <w:position w:val="-4"/>
        <w:sz w:val="26"/>
        <w:szCs w:val="26"/>
        <w:rtl/>
      </w:rPr>
      <w:t>205</w:t>
    </w:r>
    <w:r w:rsidRPr="00F349B5">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20417" w:rsidRDefault="00F41F33" w:rsidP="006579E8">
    <w:pPr>
      <w:tabs>
        <w:tab w:val="right" w:pos="7030"/>
      </w:tabs>
      <w:ind w:firstLine="0"/>
      <w:rPr>
        <w:sz w:val="34"/>
        <w:szCs w:val="20"/>
        <w:rtl/>
      </w:rPr>
    </w:pPr>
    <w:r w:rsidRPr="00D86862">
      <w:rPr>
        <w:rFonts w:cs="Simplified Arabic"/>
        <w:b/>
        <w:bCs/>
        <w:position w:val="-4"/>
        <w:sz w:val="26"/>
        <w:szCs w:val="26"/>
        <w:rtl/>
      </w:rPr>
      <w:fldChar w:fldCharType="begin"/>
    </w:r>
    <w:r w:rsidRPr="00D86862">
      <w:rPr>
        <w:rFonts w:cs="Simplified Arabic"/>
        <w:b/>
        <w:bCs/>
        <w:position w:val="-4"/>
        <w:sz w:val="26"/>
        <w:szCs w:val="26"/>
        <w:rtl/>
      </w:rPr>
      <w:instrText xml:space="preserve"> </w:instrText>
    </w:r>
    <w:r w:rsidRPr="00D86862">
      <w:rPr>
        <w:rFonts w:cs="Simplified Arabic"/>
        <w:b/>
        <w:bCs/>
        <w:position w:val="-4"/>
        <w:sz w:val="26"/>
        <w:szCs w:val="26"/>
      </w:rPr>
      <w:instrText>PAGE</w:instrText>
    </w:r>
    <w:r w:rsidRPr="00D86862">
      <w:rPr>
        <w:rFonts w:cs="Simplified Arabic"/>
        <w:b/>
        <w:bCs/>
        <w:position w:val="-4"/>
        <w:sz w:val="26"/>
        <w:szCs w:val="26"/>
        <w:rtl/>
      </w:rPr>
      <w:instrText xml:space="preserve"> </w:instrText>
    </w:r>
    <w:r w:rsidRPr="00D86862">
      <w:rPr>
        <w:rFonts w:cs="Simplified Arabic"/>
        <w:b/>
        <w:bCs/>
        <w:position w:val="-4"/>
        <w:sz w:val="26"/>
        <w:szCs w:val="26"/>
        <w:rtl/>
      </w:rPr>
      <w:fldChar w:fldCharType="separate"/>
    </w:r>
    <w:r>
      <w:rPr>
        <w:rFonts w:cs="Simplified Arabic"/>
        <w:b/>
        <w:bCs/>
        <w:noProof/>
        <w:position w:val="-4"/>
        <w:sz w:val="26"/>
        <w:szCs w:val="26"/>
        <w:rtl/>
      </w:rPr>
      <w:t>14</w:t>
    </w:r>
    <w:r w:rsidRPr="00D86862">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D86862">
      <w:rPr>
        <w:rFonts w:cs="Abz-2 (Badr)" w:hint="cs"/>
        <w:b/>
        <w:bCs/>
        <w:sz w:val="22"/>
        <w:szCs w:val="22"/>
        <w:rtl/>
      </w:rPr>
      <w:t>34</w:t>
    </w:r>
    <w:r w:rsidRPr="00F62029">
      <w:rPr>
        <w:rFonts w:cs="Abz-2 (Badr)" w:hint="cs"/>
        <w:b/>
        <w:bCs/>
        <w:sz w:val="22"/>
        <w:szCs w:val="22"/>
        <w:rtl/>
      </w:rPr>
      <w:t xml:space="preserve"> ـ </w:t>
    </w:r>
    <w:r w:rsidRPr="00D86862">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D86862">
      <w:rPr>
        <w:rFonts w:cs="Abz-2 (Badr)" w:hint="cs"/>
        <w:b/>
        <w:bCs/>
        <w:sz w:val="22"/>
        <w:szCs w:val="22"/>
        <w:rtl/>
      </w:rPr>
      <w:t>2015</w:t>
    </w:r>
    <w:r w:rsidRPr="00F62029">
      <w:rPr>
        <w:rFonts w:cs="Abz-2 (Badr)" w:hint="cs"/>
        <w:b/>
        <w:bCs/>
        <w:sz w:val="22"/>
        <w:szCs w:val="22"/>
        <w:rtl/>
      </w:rPr>
      <w:t xml:space="preserve">م ـ </w:t>
    </w:r>
    <w:r w:rsidRPr="00D86862">
      <w:rPr>
        <w:rFonts w:cs="Abz-2 (Badr)" w:hint="cs"/>
        <w:b/>
        <w:bCs/>
        <w:sz w:val="22"/>
        <w:szCs w:val="22"/>
        <w:rtl/>
      </w:rPr>
      <w:t>1436</w:t>
    </w:r>
    <w:r w:rsidRPr="00F62029">
      <w:rPr>
        <w:rFonts w:cs="Abz-2 (Badr)" w:hint="cs"/>
        <w:b/>
        <w:bCs/>
        <w:sz w:val="22"/>
        <w:szCs w:val="22"/>
        <w:rtl/>
      </w:rPr>
      <w:t>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0C13B0">
      <w:rPr>
        <w:rFonts w:cs="Simplified Arabic"/>
        <w:b/>
        <w:bCs/>
        <w:position w:val="-4"/>
        <w:sz w:val="26"/>
        <w:szCs w:val="26"/>
        <w:rtl/>
      </w:rPr>
      <w:fldChar w:fldCharType="begin"/>
    </w:r>
    <w:r w:rsidRPr="000C13B0">
      <w:rPr>
        <w:rFonts w:cs="Simplified Arabic"/>
        <w:b/>
        <w:bCs/>
        <w:position w:val="-4"/>
        <w:sz w:val="26"/>
        <w:szCs w:val="26"/>
        <w:rtl/>
      </w:rPr>
      <w:instrText xml:space="preserve"> </w:instrText>
    </w:r>
    <w:r w:rsidRPr="000C13B0">
      <w:rPr>
        <w:rFonts w:cs="Simplified Arabic"/>
        <w:b/>
        <w:bCs/>
        <w:position w:val="-4"/>
        <w:sz w:val="26"/>
        <w:szCs w:val="26"/>
      </w:rPr>
      <w:instrText>PAGE</w:instrText>
    </w:r>
    <w:r w:rsidRPr="000C13B0">
      <w:rPr>
        <w:rFonts w:cs="Simplified Arabic"/>
        <w:b/>
        <w:bCs/>
        <w:position w:val="-4"/>
        <w:sz w:val="26"/>
        <w:szCs w:val="26"/>
        <w:rtl/>
      </w:rPr>
      <w:instrText xml:space="preserve"> </w:instrText>
    </w:r>
    <w:r w:rsidRPr="000C13B0">
      <w:rPr>
        <w:rFonts w:cs="Simplified Arabic"/>
        <w:b/>
        <w:bCs/>
        <w:position w:val="-4"/>
        <w:sz w:val="26"/>
        <w:szCs w:val="26"/>
        <w:rtl/>
      </w:rPr>
      <w:fldChar w:fldCharType="separate"/>
    </w:r>
    <w:r>
      <w:rPr>
        <w:rFonts w:cs="Simplified Arabic"/>
        <w:b/>
        <w:bCs/>
        <w:noProof/>
        <w:position w:val="-4"/>
        <w:sz w:val="26"/>
        <w:szCs w:val="26"/>
        <w:rtl/>
      </w:rPr>
      <w:t>224</w:t>
    </w:r>
    <w:r w:rsidRPr="000C13B0">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0C13B0">
      <w:rPr>
        <w:rFonts w:cs="Abz-2 (Badr)" w:hint="cs"/>
        <w:b/>
        <w:bCs/>
        <w:sz w:val="22"/>
        <w:szCs w:val="22"/>
        <w:rtl/>
      </w:rPr>
      <w:t>34</w:t>
    </w:r>
    <w:r w:rsidRPr="00F62029">
      <w:rPr>
        <w:rFonts w:cs="Abz-2 (Badr)" w:hint="cs"/>
        <w:b/>
        <w:bCs/>
        <w:sz w:val="22"/>
        <w:szCs w:val="22"/>
        <w:rtl/>
      </w:rPr>
      <w:t xml:space="preserve"> ـ </w:t>
    </w:r>
    <w:r w:rsidRPr="000C13B0">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0C13B0">
      <w:rPr>
        <w:rFonts w:cs="Abz-2 (Badr)" w:hint="cs"/>
        <w:b/>
        <w:bCs/>
        <w:sz w:val="22"/>
        <w:szCs w:val="22"/>
        <w:rtl/>
      </w:rPr>
      <w:t>2015</w:t>
    </w:r>
    <w:r w:rsidRPr="00F62029">
      <w:rPr>
        <w:rFonts w:cs="Abz-2 (Badr)" w:hint="cs"/>
        <w:b/>
        <w:bCs/>
        <w:sz w:val="22"/>
        <w:szCs w:val="22"/>
        <w:rtl/>
      </w:rPr>
      <w:t xml:space="preserve">م ـ </w:t>
    </w:r>
    <w:r w:rsidRPr="000C13B0">
      <w:rPr>
        <w:rFonts w:cs="Abz-2 (Badr)" w:hint="cs"/>
        <w:b/>
        <w:bCs/>
        <w:sz w:val="22"/>
        <w:szCs w:val="22"/>
        <w:rtl/>
      </w:rPr>
      <w:t>1436</w:t>
    </w:r>
    <w:r w:rsidRPr="00F62029">
      <w:rPr>
        <w:rFonts w:cs="Abz-2 (Badr)" w:hint="cs"/>
        <w:b/>
        <w:bCs/>
        <w:sz w:val="22"/>
        <w:szCs w:val="22"/>
        <w:rtl/>
      </w:rPr>
      <w:t>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0C13B0">
      <w:rPr>
        <w:rFonts w:cs="Abz-2 (Badr)" w:hint="cs"/>
        <w:b/>
        <w:bCs/>
        <w:sz w:val="22"/>
        <w:szCs w:val="22"/>
        <w:rtl/>
      </w:rPr>
      <w:t>34</w:t>
    </w:r>
    <w:r w:rsidRPr="006579E8">
      <w:rPr>
        <w:rFonts w:cs="Abz-2 (Badr)" w:hint="cs"/>
        <w:b/>
        <w:bCs/>
        <w:sz w:val="22"/>
        <w:szCs w:val="22"/>
        <w:rtl/>
      </w:rPr>
      <w:t xml:space="preserve"> ـ </w:t>
    </w:r>
    <w:r w:rsidRPr="000C13B0">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0C13B0">
      <w:rPr>
        <w:rFonts w:cs="Abz-2 (Badr)" w:hint="cs"/>
        <w:b/>
        <w:bCs/>
        <w:sz w:val="22"/>
        <w:szCs w:val="22"/>
        <w:rtl/>
      </w:rPr>
      <w:t>2015</w:t>
    </w:r>
    <w:r w:rsidRPr="006579E8">
      <w:rPr>
        <w:rFonts w:cs="Abz-2 (Badr)" w:hint="cs"/>
        <w:b/>
        <w:bCs/>
        <w:sz w:val="22"/>
        <w:szCs w:val="22"/>
        <w:rtl/>
      </w:rPr>
      <w:t xml:space="preserve">م ـ </w:t>
    </w:r>
    <w:r w:rsidRPr="000C13B0">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0C13B0">
      <w:rPr>
        <w:rFonts w:cs="Simplified Arabic"/>
        <w:b/>
        <w:bCs/>
        <w:position w:val="-4"/>
        <w:sz w:val="26"/>
        <w:szCs w:val="26"/>
        <w:rtl/>
      </w:rPr>
      <w:fldChar w:fldCharType="begin"/>
    </w:r>
    <w:r w:rsidRPr="000C13B0">
      <w:rPr>
        <w:rFonts w:cs="Simplified Arabic"/>
        <w:b/>
        <w:bCs/>
        <w:position w:val="-4"/>
        <w:sz w:val="26"/>
        <w:szCs w:val="26"/>
        <w:rtl/>
      </w:rPr>
      <w:instrText xml:space="preserve"> </w:instrText>
    </w:r>
    <w:r w:rsidRPr="000C13B0">
      <w:rPr>
        <w:rFonts w:cs="Simplified Arabic"/>
        <w:b/>
        <w:bCs/>
        <w:position w:val="-4"/>
        <w:sz w:val="26"/>
        <w:szCs w:val="26"/>
      </w:rPr>
      <w:instrText>PAGE</w:instrText>
    </w:r>
    <w:r w:rsidRPr="000C13B0">
      <w:rPr>
        <w:rFonts w:cs="Simplified Arabic"/>
        <w:b/>
        <w:bCs/>
        <w:position w:val="-4"/>
        <w:sz w:val="26"/>
        <w:szCs w:val="26"/>
        <w:rtl/>
      </w:rPr>
      <w:instrText xml:space="preserve"> </w:instrText>
    </w:r>
    <w:r w:rsidRPr="000C13B0">
      <w:rPr>
        <w:rFonts w:cs="Simplified Arabic"/>
        <w:b/>
        <w:bCs/>
        <w:position w:val="-4"/>
        <w:sz w:val="26"/>
        <w:szCs w:val="26"/>
        <w:rtl/>
      </w:rPr>
      <w:fldChar w:fldCharType="separate"/>
    </w:r>
    <w:r>
      <w:rPr>
        <w:rFonts w:cs="Simplified Arabic"/>
        <w:b/>
        <w:bCs/>
        <w:noProof/>
        <w:position w:val="-4"/>
        <w:sz w:val="26"/>
        <w:szCs w:val="26"/>
        <w:rtl/>
      </w:rPr>
      <w:t>225</w:t>
    </w:r>
    <w:r w:rsidRPr="000C13B0">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973B2" w:rsidRDefault="00F41F33" w:rsidP="002973B2">
    <w:pPr>
      <w:pStyle w:val="a8"/>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0C13B0">
      <w:rPr>
        <w:rFonts w:cs="Simplified Arabic"/>
        <w:b/>
        <w:bCs/>
        <w:position w:val="-4"/>
        <w:sz w:val="26"/>
        <w:szCs w:val="26"/>
        <w:rtl/>
      </w:rPr>
      <w:fldChar w:fldCharType="begin"/>
    </w:r>
    <w:r w:rsidRPr="000C13B0">
      <w:rPr>
        <w:rFonts w:cs="Simplified Arabic"/>
        <w:b/>
        <w:bCs/>
        <w:position w:val="-4"/>
        <w:sz w:val="26"/>
        <w:szCs w:val="26"/>
        <w:rtl/>
      </w:rPr>
      <w:instrText xml:space="preserve"> </w:instrText>
    </w:r>
    <w:r w:rsidRPr="000C13B0">
      <w:rPr>
        <w:rFonts w:cs="Simplified Arabic"/>
        <w:b/>
        <w:bCs/>
        <w:position w:val="-4"/>
        <w:sz w:val="26"/>
        <w:szCs w:val="26"/>
      </w:rPr>
      <w:instrText>PAGE</w:instrText>
    </w:r>
    <w:r w:rsidRPr="000C13B0">
      <w:rPr>
        <w:rFonts w:cs="Simplified Arabic"/>
        <w:b/>
        <w:bCs/>
        <w:position w:val="-4"/>
        <w:sz w:val="26"/>
        <w:szCs w:val="26"/>
        <w:rtl/>
      </w:rPr>
      <w:instrText xml:space="preserve"> </w:instrText>
    </w:r>
    <w:r w:rsidRPr="000C13B0">
      <w:rPr>
        <w:rFonts w:cs="Simplified Arabic"/>
        <w:b/>
        <w:bCs/>
        <w:position w:val="-4"/>
        <w:sz w:val="26"/>
        <w:szCs w:val="26"/>
        <w:rtl/>
      </w:rPr>
      <w:fldChar w:fldCharType="separate"/>
    </w:r>
    <w:r>
      <w:rPr>
        <w:rFonts w:cs="Simplified Arabic"/>
        <w:b/>
        <w:bCs/>
        <w:noProof/>
        <w:position w:val="-4"/>
        <w:sz w:val="26"/>
        <w:szCs w:val="26"/>
        <w:rtl/>
      </w:rPr>
      <w:t>242</w:t>
    </w:r>
    <w:r w:rsidRPr="000C13B0">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0C13B0">
      <w:rPr>
        <w:rFonts w:cs="Abz-2 (Badr)" w:hint="cs"/>
        <w:b/>
        <w:bCs/>
        <w:sz w:val="22"/>
        <w:szCs w:val="22"/>
        <w:rtl/>
      </w:rPr>
      <w:t>34</w:t>
    </w:r>
    <w:r w:rsidRPr="00F62029">
      <w:rPr>
        <w:rFonts w:cs="Abz-2 (Badr)" w:hint="cs"/>
        <w:b/>
        <w:bCs/>
        <w:sz w:val="22"/>
        <w:szCs w:val="22"/>
        <w:rtl/>
      </w:rPr>
      <w:t xml:space="preserve"> ـ </w:t>
    </w:r>
    <w:r w:rsidRPr="000C13B0">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0C13B0">
      <w:rPr>
        <w:rFonts w:cs="Abz-2 (Badr)" w:hint="cs"/>
        <w:b/>
        <w:bCs/>
        <w:sz w:val="22"/>
        <w:szCs w:val="22"/>
        <w:rtl/>
      </w:rPr>
      <w:t>2015</w:t>
    </w:r>
    <w:r w:rsidRPr="00F62029">
      <w:rPr>
        <w:rFonts w:cs="Abz-2 (Badr)" w:hint="cs"/>
        <w:b/>
        <w:bCs/>
        <w:sz w:val="22"/>
        <w:szCs w:val="22"/>
        <w:rtl/>
      </w:rPr>
      <w:t xml:space="preserve">م ـ </w:t>
    </w:r>
    <w:r w:rsidRPr="000C13B0">
      <w:rPr>
        <w:rFonts w:cs="Abz-2 (Badr)" w:hint="cs"/>
        <w:b/>
        <w:bCs/>
        <w:sz w:val="22"/>
        <w:szCs w:val="22"/>
        <w:rtl/>
      </w:rPr>
      <w:t>1436</w:t>
    </w:r>
    <w:r w:rsidRPr="00F62029">
      <w:rPr>
        <w:rFonts w:cs="Abz-2 (Badr)" w:hint="cs"/>
        <w:b/>
        <w:bCs/>
        <w:sz w:val="22"/>
        <w:szCs w:val="22"/>
        <w:rtl/>
      </w:rPr>
      <w:t>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0C13B0">
      <w:rPr>
        <w:rFonts w:cs="Abz-2 (Badr)" w:hint="cs"/>
        <w:b/>
        <w:bCs/>
        <w:sz w:val="22"/>
        <w:szCs w:val="22"/>
        <w:rtl/>
      </w:rPr>
      <w:t>34</w:t>
    </w:r>
    <w:r w:rsidRPr="006579E8">
      <w:rPr>
        <w:rFonts w:cs="Abz-2 (Badr)" w:hint="cs"/>
        <w:b/>
        <w:bCs/>
        <w:sz w:val="22"/>
        <w:szCs w:val="22"/>
        <w:rtl/>
      </w:rPr>
      <w:t xml:space="preserve"> ـ </w:t>
    </w:r>
    <w:r w:rsidRPr="000C13B0">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0C13B0">
      <w:rPr>
        <w:rFonts w:cs="Abz-2 (Badr)" w:hint="cs"/>
        <w:b/>
        <w:bCs/>
        <w:sz w:val="22"/>
        <w:szCs w:val="22"/>
        <w:rtl/>
      </w:rPr>
      <w:t>2015</w:t>
    </w:r>
    <w:r w:rsidRPr="006579E8">
      <w:rPr>
        <w:rFonts w:cs="Abz-2 (Badr)" w:hint="cs"/>
        <w:b/>
        <w:bCs/>
        <w:sz w:val="22"/>
        <w:szCs w:val="22"/>
        <w:rtl/>
      </w:rPr>
      <w:t xml:space="preserve">م ـ </w:t>
    </w:r>
    <w:r w:rsidRPr="000C13B0">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0C13B0">
      <w:rPr>
        <w:rFonts w:cs="Simplified Arabic"/>
        <w:b/>
        <w:bCs/>
        <w:position w:val="-4"/>
        <w:sz w:val="26"/>
        <w:szCs w:val="26"/>
        <w:rtl/>
      </w:rPr>
      <w:fldChar w:fldCharType="begin"/>
    </w:r>
    <w:r w:rsidRPr="000C13B0">
      <w:rPr>
        <w:rFonts w:cs="Simplified Arabic"/>
        <w:b/>
        <w:bCs/>
        <w:position w:val="-4"/>
        <w:sz w:val="26"/>
        <w:szCs w:val="26"/>
        <w:rtl/>
      </w:rPr>
      <w:instrText xml:space="preserve"> </w:instrText>
    </w:r>
    <w:r w:rsidRPr="000C13B0">
      <w:rPr>
        <w:rFonts w:cs="Simplified Arabic"/>
        <w:b/>
        <w:bCs/>
        <w:position w:val="-4"/>
        <w:sz w:val="26"/>
        <w:szCs w:val="26"/>
      </w:rPr>
      <w:instrText>PAGE</w:instrText>
    </w:r>
    <w:r w:rsidRPr="000C13B0">
      <w:rPr>
        <w:rFonts w:cs="Simplified Arabic"/>
        <w:b/>
        <w:bCs/>
        <w:position w:val="-4"/>
        <w:sz w:val="26"/>
        <w:szCs w:val="26"/>
        <w:rtl/>
      </w:rPr>
      <w:instrText xml:space="preserve"> </w:instrText>
    </w:r>
    <w:r w:rsidRPr="000C13B0">
      <w:rPr>
        <w:rFonts w:cs="Simplified Arabic"/>
        <w:b/>
        <w:bCs/>
        <w:position w:val="-4"/>
        <w:sz w:val="26"/>
        <w:szCs w:val="26"/>
        <w:rtl/>
      </w:rPr>
      <w:fldChar w:fldCharType="separate"/>
    </w:r>
    <w:r>
      <w:rPr>
        <w:rFonts w:cs="Simplified Arabic"/>
        <w:b/>
        <w:bCs/>
        <w:noProof/>
        <w:position w:val="-4"/>
        <w:sz w:val="26"/>
        <w:szCs w:val="26"/>
        <w:rtl/>
      </w:rPr>
      <w:t>243</w:t>
    </w:r>
    <w:r w:rsidRPr="000C13B0">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0C13B0">
      <w:rPr>
        <w:rFonts w:cs="Simplified Arabic"/>
        <w:b/>
        <w:bCs/>
        <w:position w:val="-4"/>
        <w:sz w:val="26"/>
        <w:szCs w:val="26"/>
        <w:rtl/>
      </w:rPr>
      <w:fldChar w:fldCharType="begin"/>
    </w:r>
    <w:r w:rsidRPr="000C13B0">
      <w:rPr>
        <w:rFonts w:cs="Simplified Arabic"/>
        <w:b/>
        <w:bCs/>
        <w:position w:val="-4"/>
        <w:sz w:val="26"/>
        <w:szCs w:val="26"/>
        <w:rtl/>
      </w:rPr>
      <w:instrText xml:space="preserve"> </w:instrText>
    </w:r>
    <w:r w:rsidRPr="000C13B0">
      <w:rPr>
        <w:rFonts w:cs="Simplified Arabic"/>
        <w:b/>
        <w:bCs/>
        <w:position w:val="-4"/>
        <w:sz w:val="26"/>
        <w:szCs w:val="26"/>
      </w:rPr>
      <w:instrText>PAGE</w:instrText>
    </w:r>
    <w:r w:rsidRPr="000C13B0">
      <w:rPr>
        <w:rFonts w:cs="Simplified Arabic"/>
        <w:b/>
        <w:bCs/>
        <w:position w:val="-4"/>
        <w:sz w:val="26"/>
        <w:szCs w:val="26"/>
        <w:rtl/>
      </w:rPr>
      <w:instrText xml:space="preserve"> </w:instrText>
    </w:r>
    <w:r w:rsidRPr="000C13B0">
      <w:rPr>
        <w:rFonts w:cs="Simplified Arabic"/>
        <w:b/>
        <w:bCs/>
        <w:position w:val="-4"/>
        <w:sz w:val="26"/>
        <w:szCs w:val="26"/>
        <w:rtl/>
      </w:rPr>
      <w:fldChar w:fldCharType="separate"/>
    </w:r>
    <w:r>
      <w:rPr>
        <w:rFonts w:cs="Simplified Arabic"/>
        <w:b/>
        <w:bCs/>
        <w:noProof/>
        <w:position w:val="-4"/>
        <w:sz w:val="26"/>
        <w:szCs w:val="26"/>
        <w:rtl/>
      </w:rPr>
      <w:t>264</w:t>
    </w:r>
    <w:r w:rsidRPr="000C13B0">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0C13B0">
      <w:rPr>
        <w:rFonts w:cs="Abz-2 (Badr)" w:hint="cs"/>
        <w:b/>
        <w:bCs/>
        <w:sz w:val="22"/>
        <w:szCs w:val="22"/>
        <w:rtl/>
      </w:rPr>
      <w:t>34</w:t>
    </w:r>
    <w:r w:rsidRPr="00F62029">
      <w:rPr>
        <w:rFonts w:cs="Abz-2 (Badr)" w:hint="cs"/>
        <w:b/>
        <w:bCs/>
        <w:sz w:val="22"/>
        <w:szCs w:val="22"/>
        <w:rtl/>
      </w:rPr>
      <w:t xml:space="preserve"> ـ </w:t>
    </w:r>
    <w:r w:rsidRPr="000C13B0">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0C13B0">
      <w:rPr>
        <w:rFonts w:cs="Abz-2 (Badr)" w:hint="cs"/>
        <w:b/>
        <w:bCs/>
        <w:sz w:val="22"/>
        <w:szCs w:val="22"/>
        <w:rtl/>
      </w:rPr>
      <w:t>2015</w:t>
    </w:r>
    <w:r w:rsidRPr="00F62029">
      <w:rPr>
        <w:rFonts w:cs="Abz-2 (Badr)" w:hint="cs"/>
        <w:b/>
        <w:bCs/>
        <w:sz w:val="22"/>
        <w:szCs w:val="22"/>
        <w:rtl/>
      </w:rPr>
      <w:t xml:space="preserve">م ـ </w:t>
    </w:r>
    <w:r w:rsidRPr="000C13B0">
      <w:rPr>
        <w:rFonts w:cs="Abz-2 (Badr)" w:hint="cs"/>
        <w:b/>
        <w:bCs/>
        <w:sz w:val="22"/>
        <w:szCs w:val="22"/>
        <w:rtl/>
      </w:rPr>
      <w:t>1436</w:t>
    </w:r>
    <w:r w:rsidRPr="00F62029">
      <w:rPr>
        <w:rFonts w:cs="Abz-2 (Badr)" w:hint="cs"/>
        <w:b/>
        <w:bCs/>
        <w:sz w:val="22"/>
        <w:szCs w:val="22"/>
        <w:rtl/>
      </w:rPr>
      <w:t>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0C13B0">
      <w:rPr>
        <w:rFonts w:cs="Abz-2 (Badr)" w:hint="cs"/>
        <w:b/>
        <w:bCs/>
        <w:sz w:val="22"/>
        <w:szCs w:val="22"/>
        <w:rtl/>
      </w:rPr>
      <w:t>34</w:t>
    </w:r>
    <w:r w:rsidRPr="006579E8">
      <w:rPr>
        <w:rFonts w:cs="Abz-2 (Badr)" w:hint="cs"/>
        <w:b/>
        <w:bCs/>
        <w:sz w:val="22"/>
        <w:szCs w:val="22"/>
        <w:rtl/>
      </w:rPr>
      <w:t xml:space="preserve"> ـ </w:t>
    </w:r>
    <w:r w:rsidRPr="000C13B0">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0C13B0">
      <w:rPr>
        <w:rFonts w:cs="Abz-2 (Badr)" w:hint="cs"/>
        <w:b/>
        <w:bCs/>
        <w:sz w:val="22"/>
        <w:szCs w:val="22"/>
        <w:rtl/>
      </w:rPr>
      <w:t>2015</w:t>
    </w:r>
    <w:r w:rsidRPr="006579E8">
      <w:rPr>
        <w:rFonts w:cs="Abz-2 (Badr)" w:hint="cs"/>
        <w:b/>
        <w:bCs/>
        <w:sz w:val="22"/>
        <w:szCs w:val="22"/>
        <w:rtl/>
      </w:rPr>
      <w:t xml:space="preserve">م ـ </w:t>
    </w:r>
    <w:r w:rsidRPr="000C13B0">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0C13B0">
      <w:rPr>
        <w:rFonts w:cs="Simplified Arabic"/>
        <w:b/>
        <w:bCs/>
        <w:position w:val="-4"/>
        <w:sz w:val="26"/>
        <w:szCs w:val="26"/>
        <w:rtl/>
      </w:rPr>
      <w:fldChar w:fldCharType="begin"/>
    </w:r>
    <w:r w:rsidRPr="000C13B0">
      <w:rPr>
        <w:rFonts w:cs="Simplified Arabic"/>
        <w:b/>
        <w:bCs/>
        <w:position w:val="-4"/>
        <w:sz w:val="26"/>
        <w:szCs w:val="26"/>
        <w:rtl/>
      </w:rPr>
      <w:instrText xml:space="preserve"> </w:instrText>
    </w:r>
    <w:r w:rsidRPr="000C13B0">
      <w:rPr>
        <w:rFonts w:cs="Simplified Arabic"/>
        <w:b/>
        <w:bCs/>
        <w:position w:val="-4"/>
        <w:sz w:val="26"/>
        <w:szCs w:val="26"/>
      </w:rPr>
      <w:instrText>PAGE</w:instrText>
    </w:r>
    <w:r w:rsidRPr="000C13B0">
      <w:rPr>
        <w:rFonts w:cs="Simplified Arabic"/>
        <w:b/>
        <w:bCs/>
        <w:position w:val="-4"/>
        <w:sz w:val="26"/>
        <w:szCs w:val="26"/>
        <w:rtl/>
      </w:rPr>
      <w:instrText xml:space="preserve"> </w:instrText>
    </w:r>
    <w:r w:rsidRPr="000C13B0">
      <w:rPr>
        <w:rFonts w:cs="Simplified Arabic"/>
        <w:b/>
        <w:bCs/>
        <w:position w:val="-4"/>
        <w:sz w:val="26"/>
        <w:szCs w:val="26"/>
        <w:rtl/>
      </w:rPr>
      <w:fldChar w:fldCharType="separate"/>
    </w:r>
    <w:r>
      <w:rPr>
        <w:rFonts w:cs="Simplified Arabic"/>
        <w:b/>
        <w:bCs/>
        <w:noProof/>
        <w:position w:val="-4"/>
        <w:sz w:val="26"/>
        <w:szCs w:val="26"/>
        <w:rtl/>
      </w:rPr>
      <w:t>263</w:t>
    </w:r>
    <w:r w:rsidRPr="000C13B0">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3B32C8">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D86862">
      <w:rPr>
        <w:rFonts w:cs="Abz-2 (Badr)" w:hint="cs"/>
        <w:b/>
        <w:bCs/>
        <w:sz w:val="22"/>
        <w:szCs w:val="22"/>
        <w:rtl/>
      </w:rPr>
      <w:t>34</w:t>
    </w:r>
    <w:r w:rsidRPr="006579E8">
      <w:rPr>
        <w:rFonts w:cs="Abz-2 (Badr)" w:hint="cs"/>
        <w:b/>
        <w:bCs/>
        <w:sz w:val="22"/>
        <w:szCs w:val="22"/>
        <w:rtl/>
      </w:rPr>
      <w:t xml:space="preserve"> ـ </w:t>
    </w:r>
    <w:r w:rsidRPr="00D86862">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D86862">
      <w:rPr>
        <w:rFonts w:cs="Abz-2 (Badr)" w:hint="cs"/>
        <w:b/>
        <w:bCs/>
        <w:sz w:val="22"/>
        <w:szCs w:val="22"/>
        <w:rtl/>
      </w:rPr>
      <w:t>2015</w:t>
    </w:r>
    <w:r w:rsidRPr="006579E8">
      <w:rPr>
        <w:rFonts w:cs="Abz-2 (Badr)" w:hint="cs"/>
        <w:b/>
        <w:bCs/>
        <w:sz w:val="22"/>
        <w:szCs w:val="22"/>
        <w:rtl/>
      </w:rPr>
      <w:t xml:space="preserve">م ـ </w:t>
    </w:r>
    <w:r w:rsidRPr="00D86862">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D86862">
      <w:rPr>
        <w:rFonts w:cs="Simplified Arabic"/>
        <w:b/>
        <w:bCs/>
        <w:position w:val="-4"/>
        <w:sz w:val="26"/>
        <w:szCs w:val="26"/>
        <w:rtl/>
      </w:rPr>
      <w:fldChar w:fldCharType="begin"/>
    </w:r>
    <w:r w:rsidRPr="00D86862">
      <w:rPr>
        <w:rFonts w:cs="Simplified Arabic"/>
        <w:b/>
        <w:bCs/>
        <w:position w:val="-4"/>
        <w:sz w:val="26"/>
        <w:szCs w:val="26"/>
        <w:rtl/>
      </w:rPr>
      <w:instrText xml:space="preserve"> </w:instrText>
    </w:r>
    <w:r w:rsidRPr="00D86862">
      <w:rPr>
        <w:rFonts w:cs="Simplified Arabic"/>
        <w:b/>
        <w:bCs/>
        <w:position w:val="-4"/>
        <w:sz w:val="26"/>
        <w:szCs w:val="26"/>
      </w:rPr>
      <w:instrText>PAGE</w:instrText>
    </w:r>
    <w:r w:rsidRPr="00D86862">
      <w:rPr>
        <w:rFonts w:cs="Simplified Arabic"/>
        <w:b/>
        <w:bCs/>
        <w:position w:val="-4"/>
        <w:sz w:val="26"/>
        <w:szCs w:val="26"/>
        <w:rtl/>
      </w:rPr>
      <w:instrText xml:space="preserve"> </w:instrText>
    </w:r>
    <w:r w:rsidRPr="00D86862">
      <w:rPr>
        <w:rFonts w:cs="Simplified Arabic"/>
        <w:b/>
        <w:bCs/>
        <w:position w:val="-4"/>
        <w:sz w:val="26"/>
        <w:szCs w:val="26"/>
        <w:rtl/>
      </w:rPr>
      <w:fldChar w:fldCharType="separate"/>
    </w:r>
    <w:r>
      <w:rPr>
        <w:rFonts w:cs="Simplified Arabic"/>
        <w:b/>
        <w:bCs/>
        <w:noProof/>
        <w:position w:val="-4"/>
        <w:sz w:val="26"/>
        <w:szCs w:val="26"/>
        <w:rtl/>
      </w:rPr>
      <w:t>13</w:t>
    </w:r>
    <w:r w:rsidRPr="00D86862">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186B9F" w:rsidRDefault="00F41F33" w:rsidP="00186B9F">
    <w:pPr>
      <w:pStyle w:val="a8"/>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2467CF">
      <w:rPr>
        <w:rFonts w:cs="Simplified Arabic"/>
        <w:b/>
        <w:bCs/>
        <w:position w:val="-4"/>
        <w:sz w:val="26"/>
        <w:szCs w:val="26"/>
        <w:rtl/>
      </w:rPr>
      <w:fldChar w:fldCharType="begin"/>
    </w:r>
    <w:r w:rsidRPr="002467CF">
      <w:rPr>
        <w:rFonts w:cs="Simplified Arabic"/>
        <w:b/>
        <w:bCs/>
        <w:position w:val="-4"/>
        <w:sz w:val="26"/>
        <w:szCs w:val="26"/>
        <w:rtl/>
      </w:rPr>
      <w:instrText xml:space="preserve"> </w:instrText>
    </w:r>
    <w:r w:rsidRPr="002467CF">
      <w:rPr>
        <w:rFonts w:cs="Simplified Arabic"/>
        <w:b/>
        <w:bCs/>
        <w:position w:val="-4"/>
        <w:sz w:val="26"/>
        <w:szCs w:val="26"/>
      </w:rPr>
      <w:instrText>PAGE</w:instrText>
    </w:r>
    <w:r w:rsidRPr="002467CF">
      <w:rPr>
        <w:rFonts w:cs="Simplified Arabic"/>
        <w:b/>
        <w:bCs/>
        <w:position w:val="-4"/>
        <w:sz w:val="26"/>
        <w:szCs w:val="26"/>
        <w:rtl/>
      </w:rPr>
      <w:instrText xml:space="preserve"> </w:instrText>
    </w:r>
    <w:r w:rsidRPr="002467CF">
      <w:rPr>
        <w:rFonts w:cs="Simplified Arabic"/>
        <w:b/>
        <w:bCs/>
        <w:position w:val="-4"/>
        <w:sz w:val="26"/>
        <w:szCs w:val="26"/>
        <w:rtl/>
      </w:rPr>
      <w:fldChar w:fldCharType="separate"/>
    </w:r>
    <w:r w:rsidR="00FD3689">
      <w:rPr>
        <w:rFonts w:cs="Simplified Arabic"/>
        <w:b/>
        <w:bCs/>
        <w:noProof/>
        <w:position w:val="-4"/>
        <w:sz w:val="26"/>
        <w:szCs w:val="26"/>
        <w:rtl/>
      </w:rPr>
      <w:t>286</w:t>
    </w:r>
    <w:r w:rsidRPr="002467CF">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2467CF">
      <w:rPr>
        <w:rFonts w:cs="Abz-2 (Badr)" w:hint="cs"/>
        <w:b/>
        <w:bCs/>
        <w:sz w:val="22"/>
        <w:szCs w:val="22"/>
        <w:rtl/>
      </w:rPr>
      <w:t>34</w:t>
    </w:r>
    <w:r w:rsidRPr="00F62029">
      <w:rPr>
        <w:rFonts w:cs="Abz-2 (Badr)" w:hint="cs"/>
        <w:b/>
        <w:bCs/>
        <w:sz w:val="22"/>
        <w:szCs w:val="22"/>
        <w:rtl/>
      </w:rPr>
      <w:t xml:space="preserve"> ـ </w:t>
    </w:r>
    <w:r w:rsidRPr="002467CF">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2467CF">
      <w:rPr>
        <w:rFonts w:cs="Abz-2 (Badr)" w:hint="cs"/>
        <w:b/>
        <w:bCs/>
        <w:sz w:val="22"/>
        <w:szCs w:val="22"/>
        <w:rtl/>
      </w:rPr>
      <w:t>2015</w:t>
    </w:r>
    <w:r w:rsidRPr="00F62029">
      <w:rPr>
        <w:rFonts w:cs="Abz-2 (Badr)" w:hint="cs"/>
        <w:b/>
        <w:bCs/>
        <w:sz w:val="22"/>
        <w:szCs w:val="22"/>
        <w:rtl/>
      </w:rPr>
      <w:t xml:space="preserve">م ـ </w:t>
    </w:r>
    <w:r w:rsidRPr="002467CF">
      <w:rPr>
        <w:rFonts w:cs="Abz-2 (Badr)" w:hint="cs"/>
        <w:b/>
        <w:bCs/>
        <w:sz w:val="22"/>
        <w:szCs w:val="22"/>
        <w:rtl/>
      </w:rPr>
      <w:t>1436</w:t>
    </w:r>
    <w:r w:rsidRPr="00F62029">
      <w:rPr>
        <w:rFonts w:cs="Abz-2 (Badr)" w:hint="cs"/>
        <w:b/>
        <w:bCs/>
        <w:sz w:val="22"/>
        <w:szCs w:val="22"/>
        <w:rtl/>
      </w:rPr>
      <w:t>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2467CF">
      <w:rPr>
        <w:rFonts w:cs="Abz-2 (Badr)" w:hint="cs"/>
        <w:b/>
        <w:bCs/>
        <w:sz w:val="22"/>
        <w:szCs w:val="22"/>
        <w:rtl/>
      </w:rPr>
      <w:t>34</w:t>
    </w:r>
    <w:r w:rsidRPr="006579E8">
      <w:rPr>
        <w:rFonts w:cs="Abz-2 (Badr)" w:hint="cs"/>
        <w:b/>
        <w:bCs/>
        <w:sz w:val="22"/>
        <w:szCs w:val="22"/>
        <w:rtl/>
      </w:rPr>
      <w:t xml:space="preserve"> ـ </w:t>
    </w:r>
    <w:r w:rsidRPr="002467CF">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2467CF">
      <w:rPr>
        <w:rFonts w:cs="Abz-2 (Badr)" w:hint="cs"/>
        <w:b/>
        <w:bCs/>
        <w:sz w:val="22"/>
        <w:szCs w:val="22"/>
        <w:rtl/>
      </w:rPr>
      <w:t>2015</w:t>
    </w:r>
    <w:r w:rsidRPr="006579E8">
      <w:rPr>
        <w:rFonts w:cs="Abz-2 (Badr)" w:hint="cs"/>
        <w:b/>
        <w:bCs/>
        <w:sz w:val="22"/>
        <w:szCs w:val="22"/>
        <w:rtl/>
      </w:rPr>
      <w:t xml:space="preserve">م ـ </w:t>
    </w:r>
    <w:r w:rsidRPr="002467CF">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2467CF">
      <w:rPr>
        <w:rFonts w:cs="Simplified Arabic"/>
        <w:b/>
        <w:bCs/>
        <w:position w:val="-4"/>
        <w:sz w:val="26"/>
        <w:szCs w:val="26"/>
        <w:rtl/>
      </w:rPr>
      <w:fldChar w:fldCharType="begin"/>
    </w:r>
    <w:r w:rsidRPr="002467CF">
      <w:rPr>
        <w:rFonts w:cs="Simplified Arabic"/>
        <w:b/>
        <w:bCs/>
        <w:position w:val="-4"/>
        <w:sz w:val="26"/>
        <w:szCs w:val="26"/>
        <w:rtl/>
      </w:rPr>
      <w:instrText xml:space="preserve"> </w:instrText>
    </w:r>
    <w:r w:rsidRPr="002467CF">
      <w:rPr>
        <w:rFonts w:cs="Simplified Arabic"/>
        <w:b/>
        <w:bCs/>
        <w:position w:val="-4"/>
        <w:sz w:val="26"/>
        <w:szCs w:val="26"/>
      </w:rPr>
      <w:instrText>PAGE</w:instrText>
    </w:r>
    <w:r w:rsidRPr="002467CF">
      <w:rPr>
        <w:rFonts w:cs="Simplified Arabic"/>
        <w:b/>
        <w:bCs/>
        <w:position w:val="-4"/>
        <w:sz w:val="26"/>
        <w:szCs w:val="26"/>
        <w:rtl/>
      </w:rPr>
      <w:instrText xml:space="preserve"> </w:instrText>
    </w:r>
    <w:r w:rsidRPr="002467CF">
      <w:rPr>
        <w:rFonts w:cs="Simplified Arabic"/>
        <w:b/>
        <w:bCs/>
        <w:position w:val="-4"/>
        <w:sz w:val="26"/>
        <w:szCs w:val="26"/>
        <w:rtl/>
      </w:rPr>
      <w:fldChar w:fldCharType="separate"/>
    </w:r>
    <w:r w:rsidR="00FD3689">
      <w:rPr>
        <w:rFonts w:cs="Simplified Arabic"/>
        <w:b/>
        <w:bCs/>
        <w:noProof/>
        <w:position w:val="-4"/>
        <w:sz w:val="26"/>
        <w:szCs w:val="26"/>
        <w:rtl/>
      </w:rPr>
      <w:t>285</w:t>
    </w:r>
    <w:r w:rsidRPr="002467CF">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01CCB" w:rsidRDefault="00F41F33" w:rsidP="00901CCB">
    <w:pPr>
      <w:tabs>
        <w:tab w:val="right" w:pos="7030"/>
      </w:tabs>
      <w:ind w:firstLine="0"/>
      <w:rPr>
        <w:sz w:val="34"/>
        <w:szCs w:val="20"/>
        <w:rtl/>
      </w:rPr>
    </w:pPr>
    <w:r w:rsidRPr="002467CF">
      <w:rPr>
        <w:rFonts w:cs="Simplified Arabic"/>
        <w:b/>
        <w:bCs/>
        <w:position w:val="-4"/>
        <w:sz w:val="26"/>
        <w:szCs w:val="26"/>
        <w:rtl/>
      </w:rPr>
      <w:fldChar w:fldCharType="begin"/>
    </w:r>
    <w:r w:rsidRPr="002467CF">
      <w:rPr>
        <w:rFonts w:cs="Simplified Arabic"/>
        <w:b/>
        <w:bCs/>
        <w:position w:val="-4"/>
        <w:sz w:val="26"/>
        <w:szCs w:val="26"/>
        <w:rtl/>
      </w:rPr>
      <w:instrText xml:space="preserve"> </w:instrText>
    </w:r>
    <w:r w:rsidRPr="002467CF">
      <w:rPr>
        <w:rFonts w:cs="Simplified Arabic"/>
        <w:b/>
        <w:bCs/>
        <w:position w:val="-4"/>
        <w:sz w:val="26"/>
        <w:szCs w:val="26"/>
      </w:rPr>
      <w:instrText>PAGE</w:instrText>
    </w:r>
    <w:r w:rsidRPr="002467CF">
      <w:rPr>
        <w:rFonts w:cs="Simplified Arabic"/>
        <w:b/>
        <w:bCs/>
        <w:position w:val="-4"/>
        <w:sz w:val="26"/>
        <w:szCs w:val="26"/>
        <w:rtl/>
      </w:rPr>
      <w:instrText xml:space="preserve"> </w:instrText>
    </w:r>
    <w:r w:rsidRPr="002467CF">
      <w:rPr>
        <w:rFonts w:cs="Simplified Arabic"/>
        <w:b/>
        <w:bCs/>
        <w:position w:val="-4"/>
        <w:sz w:val="26"/>
        <w:szCs w:val="26"/>
        <w:rtl/>
      </w:rPr>
      <w:fldChar w:fldCharType="separate"/>
    </w:r>
    <w:r w:rsidR="00FD3689">
      <w:rPr>
        <w:rFonts w:cs="Simplified Arabic"/>
        <w:b/>
        <w:bCs/>
        <w:noProof/>
        <w:position w:val="-4"/>
        <w:sz w:val="26"/>
        <w:szCs w:val="26"/>
        <w:rtl/>
      </w:rPr>
      <w:t>298</w:t>
    </w:r>
    <w:r w:rsidRPr="002467CF">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2467CF">
      <w:rPr>
        <w:rFonts w:cs="Abz-2 (Badr)" w:hint="cs"/>
        <w:b/>
        <w:bCs/>
        <w:sz w:val="22"/>
        <w:szCs w:val="22"/>
        <w:rtl/>
      </w:rPr>
      <w:t>34</w:t>
    </w:r>
    <w:r w:rsidRPr="00F62029">
      <w:rPr>
        <w:rFonts w:cs="Abz-2 (Badr)" w:hint="cs"/>
        <w:b/>
        <w:bCs/>
        <w:sz w:val="22"/>
        <w:szCs w:val="22"/>
        <w:rtl/>
      </w:rPr>
      <w:t xml:space="preserve"> ـ </w:t>
    </w:r>
    <w:r w:rsidRPr="002467CF">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2467CF">
      <w:rPr>
        <w:rFonts w:cs="Abz-2 (Badr)" w:hint="cs"/>
        <w:b/>
        <w:bCs/>
        <w:sz w:val="22"/>
        <w:szCs w:val="22"/>
        <w:rtl/>
      </w:rPr>
      <w:t>2015</w:t>
    </w:r>
    <w:r w:rsidRPr="00F62029">
      <w:rPr>
        <w:rFonts w:cs="Abz-2 (Badr)" w:hint="cs"/>
        <w:b/>
        <w:bCs/>
        <w:sz w:val="22"/>
        <w:szCs w:val="22"/>
        <w:rtl/>
      </w:rPr>
      <w:t xml:space="preserve">م ـ </w:t>
    </w:r>
    <w:r w:rsidRPr="002467CF">
      <w:rPr>
        <w:rFonts w:cs="Abz-2 (Badr)" w:hint="cs"/>
        <w:b/>
        <w:bCs/>
        <w:sz w:val="22"/>
        <w:szCs w:val="22"/>
        <w:rtl/>
      </w:rPr>
      <w:t>1436</w:t>
    </w:r>
    <w:r w:rsidRPr="00F62029">
      <w:rPr>
        <w:rFonts w:cs="Abz-2 (Badr)" w:hint="cs"/>
        <w:b/>
        <w:bCs/>
        <w:sz w:val="22"/>
        <w:szCs w:val="22"/>
        <w:rtl/>
      </w:rPr>
      <w:t>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2467CF">
      <w:rPr>
        <w:rFonts w:cs="Abz-2 (Badr)" w:hint="cs"/>
        <w:b/>
        <w:bCs/>
        <w:sz w:val="22"/>
        <w:szCs w:val="22"/>
        <w:rtl/>
      </w:rPr>
      <w:t>34</w:t>
    </w:r>
    <w:r w:rsidRPr="006579E8">
      <w:rPr>
        <w:rFonts w:cs="Abz-2 (Badr)" w:hint="cs"/>
        <w:b/>
        <w:bCs/>
        <w:sz w:val="22"/>
        <w:szCs w:val="22"/>
        <w:rtl/>
      </w:rPr>
      <w:t xml:space="preserve"> ـ </w:t>
    </w:r>
    <w:r w:rsidRPr="002467CF">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2467CF">
      <w:rPr>
        <w:rFonts w:cs="Abz-2 (Badr)" w:hint="cs"/>
        <w:b/>
        <w:bCs/>
        <w:sz w:val="22"/>
        <w:szCs w:val="22"/>
        <w:rtl/>
      </w:rPr>
      <w:t>2015</w:t>
    </w:r>
    <w:r w:rsidRPr="006579E8">
      <w:rPr>
        <w:rFonts w:cs="Abz-2 (Badr)" w:hint="cs"/>
        <w:b/>
        <w:bCs/>
        <w:sz w:val="22"/>
        <w:szCs w:val="22"/>
        <w:rtl/>
      </w:rPr>
      <w:t xml:space="preserve">م ـ </w:t>
    </w:r>
    <w:r w:rsidRPr="002467CF">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2467CF">
      <w:rPr>
        <w:rFonts w:cs="Simplified Arabic"/>
        <w:b/>
        <w:bCs/>
        <w:position w:val="-4"/>
        <w:sz w:val="26"/>
        <w:szCs w:val="26"/>
        <w:rtl/>
      </w:rPr>
      <w:fldChar w:fldCharType="begin"/>
    </w:r>
    <w:r w:rsidRPr="002467CF">
      <w:rPr>
        <w:rFonts w:cs="Simplified Arabic"/>
        <w:b/>
        <w:bCs/>
        <w:position w:val="-4"/>
        <w:sz w:val="26"/>
        <w:szCs w:val="26"/>
        <w:rtl/>
      </w:rPr>
      <w:instrText xml:space="preserve"> </w:instrText>
    </w:r>
    <w:r w:rsidRPr="002467CF">
      <w:rPr>
        <w:rFonts w:cs="Simplified Arabic"/>
        <w:b/>
        <w:bCs/>
        <w:position w:val="-4"/>
        <w:sz w:val="26"/>
        <w:szCs w:val="26"/>
      </w:rPr>
      <w:instrText>PAGE</w:instrText>
    </w:r>
    <w:r w:rsidRPr="002467CF">
      <w:rPr>
        <w:rFonts w:cs="Simplified Arabic"/>
        <w:b/>
        <w:bCs/>
        <w:position w:val="-4"/>
        <w:sz w:val="26"/>
        <w:szCs w:val="26"/>
        <w:rtl/>
      </w:rPr>
      <w:instrText xml:space="preserve"> </w:instrText>
    </w:r>
    <w:r w:rsidRPr="002467CF">
      <w:rPr>
        <w:rFonts w:cs="Simplified Arabic"/>
        <w:b/>
        <w:bCs/>
        <w:position w:val="-4"/>
        <w:sz w:val="26"/>
        <w:szCs w:val="26"/>
        <w:rtl/>
      </w:rPr>
      <w:fldChar w:fldCharType="separate"/>
    </w:r>
    <w:r w:rsidR="00FD3689">
      <w:rPr>
        <w:rFonts w:cs="Simplified Arabic"/>
        <w:b/>
        <w:bCs/>
        <w:noProof/>
        <w:position w:val="-4"/>
        <w:sz w:val="26"/>
        <w:szCs w:val="26"/>
        <w:rtl/>
      </w:rPr>
      <w:t>297</w:t>
    </w:r>
    <w:r w:rsidRPr="002467CF">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186B9F" w:rsidRDefault="00F41F33" w:rsidP="00186B9F">
    <w:pPr>
      <w:pStyle w:val="a8"/>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01CCB" w:rsidRDefault="00F41F33" w:rsidP="00901CCB">
    <w:pPr>
      <w:tabs>
        <w:tab w:val="right" w:pos="7030"/>
      </w:tabs>
      <w:ind w:firstLine="0"/>
      <w:rPr>
        <w:sz w:val="34"/>
        <w:szCs w:val="20"/>
        <w:rtl/>
      </w:rPr>
    </w:pPr>
    <w:r w:rsidRPr="002467CF">
      <w:rPr>
        <w:rFonts w:cs="Simplified Arabic"/>
        <w:b/>
        <w:bCs/>
        <w:position w:val="-4"/>
        <w:sz w:val="26"/>
        <w:szCs w:val="26"/>
        <w:rtl/>
      </w:rPr>
      <w:fldChar w:fldCharType="begin"/>
    </w:r>
    <w:r w:rsidRPr="002467CF">
      <w:rPr>
        <w:rFonts w:cs="Simplified Arabic"/>
        <w:b/>
        <w:bCs/>
        <w:position w:val="-4"/>
        <w:sz w:val="26"/>
        <w:szCs w:val="26"/>
        <w:rtl/>
      </w:rPr>
      <w:instrText xml:space="preserve"> </w:instrText>
    </w:r>
    <w:r w:rsidRPr="002467CF">
      <w:rPr>
        <w:rFonts w:cs="Simplified Arabic"/>
        <w:b/>
        <w:bCs/>
        <w:position w:val="-4"/>
        <w:sz w:val="26"/>
        <w:szCs w:val="26"/>
      </w:rPr>
      <w:instrText>PAGE</w:instrText>
    </w:r>
    <w:r w:rsidRPr="002467CF">
      <w:rPr>
        <w:rFonts w:cs="Simplified Arabic"/>
        <w:b/>
        <w:bCs/>
        <w:position w:val="-4"/>
        <w:sz w:val="26"/>
        <w:szCs w:val="26"/>
        <w:rtl/>
      </w:rPr>
      <w:instrText xml:space="preserve"> </w:instrText>
    </w:r>
    <w:r w:rsidRPr="002467CF">
      <w:rPr>
        <w:rFonts w:cs="Simplified Arabic"/>
        <w:b/>
        <w:bCs/>
        <w:position w:val="-4"/>
        <w:sz w:val="26"/>
        <w:szCs w:val="26"/>
        <w:rtl/>
      </w:rPr>
      <w:fldChar w:fldCharType="separate"/>
    </w:r>
    <w:r w:rsidR="00FD3689">
      <w:rPr>
        <w:rFonts w:cs="Simplified Arabic"/>
        <w:b/>
        <w:bCs/>
        <w:noProof/>
        <w:position w:val="-4"/>
        <w:sz w:val="26"/>
        <w:szCs w:val="26"/>
        <w:rtl/>
      </w:rPr>
      <w:t>312</w:t>
    </w:r>
    <w:r w:rsidRPr="002467CF">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2467CF">
      <w:rPr>
        <w:rFonts w:cs="Abz-2 (Badr)" w:hint="cs"/>
        <w:b/>
        <w:bCs/>
        <w:sz w:val="22"/>
        <w:szCs w:val="22"/>
        <w:rtl/>
      </w:rPr>
      <w:t>34</w:t>
    </w:r>
    <w:r w:rsidRPr="00F62029">
      <w:rPr>
        <w:rFonts w:cs="Abz-2 (Badr)" w:hint="cs"/>
        <w:b/>
        <w:bCs/>
        <w:sz w:val="22"/>
        <w:szCs w:val="22"/>
        <w:rtl/>
      </w:rPr>
      <w:t xml:space="preserve"> ـ </w:t>
    </w:r>
    <w:r w:rsidRPr="002467CF">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2467CF">
      <w:rPr>
        <w:rFonts w:cs="Abz-2 (Badr)" w:hint="cs"/>
        <w:b/>
        <w:bCs/>
        <w:sz w:val="22"/>
        <w:szCs w:val="22"/>
        <w:rtl/>
      </w:rPr>
      <w:t>2015</w:t>
    </w:r>
    <w:r w:rsidRPr="00F62029">
      <w:rPr>
        <w:rFonts w:cs="Abz-2 (Badr)" w:hint="cs"/>
        <w:b/>
        <w:bCs/>
        <w:sz w:val="22"/>
        <w:szCs w:val="22"/>
        <w:rtl/>
      </w:rPr>
      <w:t xml:space="preserve">م ـ </w:t>
    </w:r>
    <w:r w:rsidRPr="002467CF">
      <w:rPr>
        <w:rFonts w:cs="Abz-2 (Badr)" w:hint="cs"/>
        <w:b/>
        <w:bCs/>
        <w:sz w:val="22"/>
        <w:szCs w:val="22"/>
        <w:rtl/>
      </w:rPr>
      <w:t>1436</w:t>
    </w:r>
    <w:r w:rsidRPr="00F62029">
      <w:rPr>
        <w:rFonts w:cs="Abz-2 (Badr)" w:hint="cs"/>
        <w:b/>
        <w:bCs/>
        <w:sz w:val="22"/>
        <w:szCs w:val="22"/>
        <w:rtl/>
      </w:rPr>
      <w:t>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2467CF">
      <w:rPr>
        <w:rFonts w:cs="Abz-2 (Badr)" w:hint="cs"/>
        <w:b/>
        <w:bCs/>
        <w:sz w:val="22"/>
        <w:szCs w:val="22"/>
        <w:rtl/>
      </w:rPr>
      <w:t>34</w:t>
    </w:r>
    <w:r w:rsidRPr="006579E8">
      <w:rPr>
        <w:rFonts w:cs="Abz-2 (Badr)" w:hint="cs"/>
        <w:b/>
        <w:bCs/>
        <w:sz w:val="22"/>
        <w:szCs w:val="22"/>
        <w:rtl/>
      </w:rPr>
      <w:t xml:space="preserve"> ـ </w:t>
    </w:r>
    <w:r w:rsidRPr="002467CF">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2467CF">
      <w:rPr>
        <w:rFonts w:cs="Abz-2 (Badr)" w:hint="cs"/>
        <w:b/>
        <w:bCs/>
        <w:sz w:val="22"/>
        <w:szCs w:val="22"/>
        <w:rtl/>
      </w:rPr>
      <w:t>2015</w:t>
    </w:r>
    <w:r w:rsidRPr="006579E8">
      <w:rPr>
        <w:rFonts w:cs="Abz-2 (Badr)" w:hint="cs"/>
        <w:b/>
        <w:bCs/>
        <w:sz w:val="22"/>
        <w:szCs w:val="22"/>
        <w:rtl/>
      </w:rPr>
      <w:t xml:space="preserve">م ـ </w:t>
    </w:r>
    <w:r w:rsidRPr="002467CF">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2467CF">
      <w:rPr>
        <w:rFonts w:cs="Simplified Arabic"/>
        <w:b/>
        <w:bCs/>
        <w:position w:val="-4"/>
        <w:sz w:val="26"/>
        <w:szCs w:val="26"/>
        <w:rtl/>
      </w:rPr>
      <w:fldChar w:fldCharType="begin"/>
    </w:r>
    <w:r w:rsidRPr="002467CF">
      <w:rPr>
        <w:rFonts w:cs="Simplified Arabic"/>
        <w:b/>
        <w:bCs/>
        <w:position w:val="-4"/>
        <w:sz w:val="26"/>
        <w:szCs w:val="26"/>
        <w:rtl/>
      </w:rPr>
      <w:instrText xml:space="preserve"> </w:instrText>
    </w:r>
    <w:r w:rsidRPr="002467CF">
      <w:rPr>
        <w:rFonts w:cs="Simplified Arabic"/>
        <w:b/>
        <w:bCs/>
        <w:position w:val="-4"/>
        <w:sz w:val="26"/>
        <w:szCs w:val="26"/>
      </w:rPr>
      <w:instrText>PAGE</w:instrText>
    </w:r>
    <w:r w:rsidRPr="002467CF">
      <w:rPr>
        <w:rFonts w:cs="Simplified Arabic"/>
        <w:b/>
        <w:bCs/>
        <w:position w:val="-4"/>
        <w:sz w:val="26"/>
        <w:szCs w:val="26"/>
        <w:rtl/>
      </w:rPr>
      <w:instrText xml:space="preserve"> </w:instrText>
    </w:r>
    <w:r w:rsidRPr="002467CF">
      <w:rPr>
        <w:rFonts w:cs="Simplified Arabic"/>
        <w:b/>
        <w:bCs/>
        <w:position w:val="-4"/>
        <w:sz w:val="26"/>
        <w:szCs w:val="26"/>
        <w:rtl/>
      </w:rPr>
      <w:fldChar w:fldCharType="separate"/>
    </w:r>
    <w:r w:rsidR="00FD3689">
      <w:rPr>
        <w:rFonts w:cs="Simplified Arabic"/>
        <w:b/>
        <w:bCs/>
        <w:noProof/>
        <w:position w:val="-4"/>
        <w:sz w:val="26"/>
        <w:szCs w:val="26"/>
        <w:rtl/>
      </w:rPr>
      <w:t>313</w:t>
    </w:r>
    <w:r w:rsidRPr="002467CF">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A3108B">
      <w:rPr>
        <w:rFonts w:cs="Simplified Arabic"/>
        <w:b/>
        <w:bCs/>
        <w:position w:val="-4"/>
        <w:sz w:val="26"/>
        <w:szCs w:val="26"/>
        <w:rtl/>
      </w:rPr>
      <w:fldChar w:fldCharType="begin"/>
    </w:r>
    <w:r w:rsidRPr="00A3108B">
      <w:rPr>
        <w:rFonts w:cs="Simplified Arabic"/>
        <w:b/>
        <w:bCs/>
        <w:position w:val="-4"/>
        <w:sz w:val="26"/>
        <w:szCs w:val="26"/>
        <w:rtl/>
      </w:rPr>
      <w:instrText xml:space="preserve"> </w:instrText>
    </w:r>
    <w:r w:rsidRPr="00A3108B">
      <w:rPr>
        <w:rFonts w:cs="Simplified Arabic"/>
        <w:b/>
        <w:bCs/>
        <w:position w:val="-4"/>
        <w:sz w:val="26"/>
        <w:szCs w:val="26"/>
      </w:rPr>
      <w:instrText>PAGE</w:instrText>
    </w:r>
    <w:r w:rsidRPr="00A3108B">
      <w:rPr>
        <w:rFonts w:cs="Simplified Arabic"/>
        <w:b/>
        <w:bCs/>
        <w:position w:val="-4"/>
        <w:sz w:val="26"/>
        <w:szCs w:val="26"/>
        <w:rtl/>
      </w:rPr>
      <w:instrText xml:space="preserve"> </w:instrText>
    </w:r>
    <w:r w:rsidRPr="00A3108B">
      <w:rPr>
        <w:rFonts w:cs="Simplified Arabic"/>
        <w:b/>
        <w:bCs/>
        <w:position w:val="-4"/>
        <w:sz w:val="26"/>
        <w:szCs w:val="26"/>
        <w:rtl/>
      </w:rPr>
      <w:fldChar w:fldCharType="separate"/>
    </w:r>
    <w:r w:rsidR="00FD3689">
      <w:rPr>
        <w:rFonts w:cs="Simplified Arabic"/>
        <w:b/>
        <w:bCs/>
        <w:noProof/>
        <w:position w:val="-4"/>
        <w:sz w:val="26"/>
        <w:szCs w:val="26"/>
        <w:rtl/>
      </w:rPr>
      <w:t>338</w:t>
    </w:r>
    <w:r w:rsidRPr="00A3108B">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A3108B">
      <w:rPr>
        <w:rFonts w:cs="Abz-2 (Badr)" w:hint="cs"/>
        <w:b/>
        <w:bCs/>
        <w:sz w:val="22"/>
        <w:szCs w:val="22"/>
        <w:rtl/>
      </w:rPr>
      <w:t>34</w:t>
    </w:r>
    <w:r w:rsidRPr="00F62029">
      <w:rPr>
        <w:rFonts w:cs="Abz-2 (Badr)" w:hint="cs"/>
        <w:b/>
        <w:bCs/>
        <w:sz w:val="22"/>
        <w:szCs w:val="22"/>
        <w:rtl/>
      </w:rPr>
      <w:t xml:space="preserve"> ـ </w:t>
    </w:r>
    <w:r w:rsidRPr="00A3108B">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A3108B">
      <w:rPr>
        <w:rFonts w:cs="Abz-2 (Badr)" w:hint="cs"/>
        <w:b/>
        <w:bCs/>
        <w:sz w:val="22"/>
        <w:szCs w:val="22"/>
        <w:rtl/>
      </w:rPr>
      <w:t>2015</w:t>
    </w:r>
    <w:r w:rsidRPr="00F62029">
      <w:rPr>
        <w:rFonts w:cs="Abz-2 (Badr)" w:hint="cs"/>
        <w:b/>
        <w:bCs/>
        <w:sz w:val="22"/>
        <w:szCs w:val="22"/>
        <w:rtl/>
      </w:rPr>
      <w:t xml:space="preserve">م ـ </w:t>
    </w:r>
    <w:r w:rsidRPr="00A3108B">
      <w:rPr>
        <w:rFonts w:cs="Abz-2 (Badr)" w:hint="cs"/>
        <w:b/>
        <w:bCs/>
        <w:sz w:val="22"/>
        <w:szCs w:val="22"/>
        <w:rtl/>
      </w:rPr>
      <w:t>1436</w:t>
    </w:r>
    <w:r w:rsidRPr="00F62029">
      <w:rPr>
        <w:rFonts w:cs="Abz-2 (Badr)" w:hint="cs"/>
        <w:b/>
        <w:bCs/>
        <w:sz w:val="22"/>
        <w:szCs w:val="22"/>
        <w:rtl/>
      </w:rPr>
      <w:t>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A3108B">
      <w:rPr>
        <w:rFonts w:cs="Abz-2 (Badr)" w:hint="cs"/>
        <w:b/>
        <w:bCs/>
        <w:sz w:val="22"/>
        <w:szCs w:val="22"/>
        <w:rtl/>
      </w:rPr>
      <w:t>34</w:t>
    </w:r>
    <w:r w:rsidRPr="006579E8">
      <w:rPr>
        <w:rFonts w:cs="Abz-2 (Badr)" w:hint="cs"/>
        <w:b/>
        <w:bCs/>
        <w:sz w:val="22"/>
        <w:szCs w:val="22"/>
        <w:rtl/>
      </w:rPr>
      <w:t xml:space="preserve"> ـ </w:t>
    </w:r>
    <w:r w:rsidRPr="00A3108B">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A3108B">
      <w:rPr>
        <w:rFonts w:cs="Abz-2 (Badr)" w:hint="cs"/>
        <w:b/>
        <w:bCs/>
        <w:sz w:val="22"/>
        <w:szCs w:val="22"/>
        <w:rtl/>
      </w:rPr>
      <w:t>2015</w:t>
    </w:r>
    <w:r w:rsidRPr="006579E8">
      <w:rPr>
        <w:rFonts w:cs="Abz-2 (Badr)" w:hint="cs"/>
        <w:b/>
        <w:bCs/>
        <w:sz w:val="22"/>
        <w:szCs w:val="22"/>
        <w:rtl/>
      </w:rPr>
      <w:t xml:space="preserve">م ـ </w:t>
    </w:r>
    <w:r w:rsidRPr="00A3108B">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A3108B">
      <w:rPr>
        <w:rFonts w:cs="Simplified Arabic"/>
        <w:b/>
        <w:bCs/>
        <w:position w:val="-4"/>
        <w:sz w:val="26"/>
        <w:szCs w:val="26"/>
        <w:rtl/>
      </w:rPr>
      <w:fldChar w:fldCharType="begin"/>
    </w:r>
    <w:r w:rsidRPr="00A3108B">
      <w:rPr>
        <w:rFonts w:cs="Simplified Arabic"/>
        <w:b/>
        <w:bCs/>
        <w:position w:val="-4"/>
        <w:sz w:val="26"/>
        <w:szCs w:val="26"/>
        <w:rtl/>
      </w:rPr>
      <w:instrText xml:space="preserve"> </w:instrText>
    </w:r>
    <w:r w:rsidRPr="00A3108B">
      <w:rPr>
        <w:rFonts w:cs="Simplified Arabic"/>
        <w:b/>
        <w:bCs/>
        <w:position w:val="-4"/>
        <w:sz w:val="26"/>
        <w:szCs w:val="26"/>
      </w:rPr>
      <w:instrText>PAGE</w:instrText>
    </w:r>
    <w:r w:rsidRPr="00A3108B">
      <w:rPr>
        <w:rFonts w:cs="Simplified Arabic"/>
        <w:b/>
        <w:bCs/>
        <w:position w:val="-4"/>
        <w:sz w:val="26"/>
        <w:szCs w:val="26"/>
        <w:rtl/>
      </w:rPr>
      <w:instrText xml:space="preserve"> </w:instrText>
    </w:r>
    <w:r w:rsidRPr="00A3108B">
      <w:rPr>
        <w:rFonts w:cs="Simplified Arabic"/>
        <w:b/>
        <w:bCs/>
        <w:position w:val="-4"/>
        <w:sz w:val="26"/>
        <w:szCs w:val="26"/>
        <w:rtl/>
      </w:rPr>
      <w:fldChar w:fldCharType="separate"/>
    </w:r>
    <w:r w:rsidR="00FD3689">
      <w:rPr>
        <w:rFonts w:cs="Simplified Arabic"/>
        <w:b/>
        <w:bCs/>
        <w:noProof/>
        <w:position w:val="-4"/>
        <w:sz w:val="26"/>
        <w:szCs w:val="26"/>
        <w:rtl/>
      </w:rPr>
      <w:t>337</w:t>
    </w:r>
    <w:r w:rsidRPr="00A3108B">
      <w:rPr>
        <w:rFonts w:cs="Simplified Arabic"/>
        <w:b/>
        <w:bCs/>
        <w:position w:val="-4"/>
        <w:sz w:val="26"/>
        <w:szCs w:val="26"/>
        <w:rtl/>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01CCB" w:rsidRDefault="00F41F33" w:rsidP="00901CCB">
    <w:pPr>
      <w:tabs>
        <w:tab w:val="right" w:pos="7030"/>
      </w:tabs>
      <w:ind w:firstLine="0"/>
      <w:rPr>
        <w:sz w:val="34"/>
        <w:szCs w:val="20"/>
        <w:rtl/>
      </w:rPr>
    </w:pPr>
    <w:r w:rsidRPr="00A3108B">
      <w:rPr>
        <w:rFonts w:cs="Simplified Arabic"/>
        <w:b/>
        <w:bCs/>
        <w:position w:val="-4"/>
        <w:sz w:val="26"/>
        <w:szCs w:val="26"/>
        <w:rtl/>
      </w:rPr>
      <w:fldChar w:fldCharType="begin"/>
    </w:r>
    <w:r w:rsidRPr="00A3108B">
      <w:rPr>
        <w:rFonts w:cs="Simplified Arabic"/>
        <w:b/>
        <w:bCs/>
        <w:position w:val="-4"/>
        <w:sz w:val="26"/>
        <w:szCs w:val="26"/>
        <w:rtl/>
      </w:rPr>
      <w:instrText xml:space="preserve"> </w:instrText>
    </w:r>
    <w:r w:rsidRPr="00A3108B">
      <w:rPr>
        <w:rFonts w:cs="Simplified Arabic"/>
        <w:b/>
        <w:bCs/>
        <w:position w:val="-4"/>
        <w:sz w:val="26"/>
        <w:szCs w:val="26"/>
      </w:rPr>
      <w:instrText>PAGE</w:instrText>
    </w:r>
    <w:r w:rsidRPr="00A3108B">
      <w:rPr>
        <w:rFonts w:cs="Simplified Arabic"/>
        <w:b/>
        <w:bCs/>
        <w:position w:val="-4"/>
        <w:sz w:val="26"/>
        <w:szCs w:val="26"/>
        <w:rtl/>
      </w:rPr>
      <w:instrText xml:space="preserve"> </w:instrText>
    </w:r>
    <w:r w:rsidRPr="00A3108B">
      <w:rPr>
        <w:rFonts w:cs="Simplified Arabic"/>
        <w:b/>
        <w:bCs/>
        <w:position w:val="-4"/>
        <w:sz w:val="26"/>
        <w:szCs w:val="26"/>
        <w:rtl/>
      </w:rPr>
      <w:fldChar w:fldCharType="separate"/>
    </w:r>
    <w:r w:rsidR="00FD3689">
      <w:rPr>
        <w:rFonts w:cs="Simplified Arabic"/>
        <w:b/>
        <w:bCs/>
        <w:noProof/>
        <w:position w:val="-4"/>
        <w:sz w:val="26"/>
        <w:szCs w:val="26"/>
        <w:rtl/>
      </w:rPr>
      <w:t>356</w:t>
    </w:r>
    <w:r w:rsidRPr="00A3108B">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A3108B">
      <w:rPr>
        <w:rFonts w:cs="Abz-2 (Badr)" w:hint="cs"/>
        <w:b/>
        <w:bCs/>
        <w:sz w:val="22"/>
        <w:szCs w:val="22"/>
        <w:rtl/>
      </w:rPr>
      <w:t>34</w:t>
    </w:r>
    <w:r w:rsidRPr="00F62029">
      <w:rPr>
        <w:rFonts w:cs="Abz-2 (Badr)" w:hint="cs"/>
        <w:b/>
        <w:bCs/>
        <w:sz w:val="22"/>
        <w:szCs w:val="22"/>
        <w:rtl/>
      </w:rPr>
      <w:t xml:space="preserve"> ـ </w:t>
    </w:r>
    <w:r w:rsidRPr="00A3108B">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A3108B">
      <w:rPr>
        <w:rFonts w:cs="Abz-2 (Badr)" w:hint="cs"/>
        <w:b/>
        <w:bCs/>
        <w:sz w:val="22"/>
        <w:szCs w:val="22"/>
        <w:rtl/>
      </w:rPr>
      <w:t>2015</w:t>
    </w:r>
    <w:r w:rsidRPr="00F62029">
      <w:rPr>
        <w:rFonts w:cs="Abz-2 (Badr)" w:hint="cs"/>
        <w:b/>
        <w:bCs/>
        <w:sz w:val="22"/>
        <w:szCs w:val="22"/>
        <w:rtl/>
      </w:rPr>
      <w:t xml:space="preserve">م ـ </w:t>
    </w:r>
    <w:r w:rsidRPr="00A3108B">
      <w:rPr>
        <w:rFonts w:cs="Abz-2 (Badr)" w:hint="cs"/>
        <w:b/>
        <w:bCs/>
        <w:sz w:val="22"/>
        <w:szCs w:val="22"/>
        <w:rtl/>
      </w:rPr>
      <w:t>1436</w:t>
    </w:r>
    <w:r w:rsidRPr="00F62029">
      <w:rPr>
        <w:rFonts w:cs="Abz-2 (Badr)" w:hint="cs"/>
        <w:b/>
        <w:bCs/>
        <w:sz w:val="22"/>
        <w:szCs w:val="22"/>
        <w:rtl/>
      </w:rPr>
      <w:t>هـ</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A3108B">
      <w:rPr>
        <w:rFonts w:cs="Abz-2 (Badr)" w:hint="cs"/>
        <w:b/>
        <w:bCs/>
        <w:sz w:val="22"/>
        <w:szCs w:val="22"/>
        <w:rtl/>
      </w:rPr>
      <w:t>34</w:t>
    </w:r>
    <w:r w:rsidRPr="006579E8">
      <w:rPr>
        <w:rFonts w:cs="Abz-2 (Badr)" w:hint="cs"/>
        <w:b/>
        <w:bCs/>
        <w:sz w:val="22"/>
        <w:szCs w:val="22"/>
        <w:rtl/>
      </w:rPr>
      <w:t xml:space="preserve"> ـ </w:t>
    </w:r>
    <w:r w:rsidRPr="00A3108B">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A3108B">
      <w:rPr>
        <w:rFonts w:cs="Abz-2 (Badr)" w:hint="cs"/>
        <w:b/>
        <w:bCs/>
        <w:sz w:val="22"/>
        <w:szCs w:val="22"/>
        <w:rtl/>
      </w:rPr>
      <w:t>2015</w:t>
    </w:r>
    <w:r w:rsidRPr="006579E8">
      <w:rPr>
        <w:rFonts w:cs="Abz-2 (Badr)" w:hint="cs"/>
        <w:b/>
        <w:bCs/>
        <w:sz w:val="22"/>
        <w:szCs w:val="22"/>
        <w:rtl/>
      </w:rPr>
      <w:t xml:space="preserve">م ـ </w:t>
    </w:r>
    <w:r w:rsidRPr="00A3108B">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A3108B">
      <w:rPr>
        <w:rFonts w:cs="Simplified Arabic"/>
        <w:b/>
        <w:bCs/>
        <w:position w:val="-4"/>
        <w:sz w:val="26"/>
        <w:szCs w:val="26"/>
        <w:rtl/>
      </w:rPr>
      <w:fldChar w:fldCharType="begin"/>
    </w:r>
    <w:r w:rsidRPr="00A3108B">
      <w:rPr>
        <w:rFonts w:cs="Simplified Arabic"/>
        <w:b/>
        <w:bCs/>
        <w:position w:val="-4"/>
        <w:sz w:val="26"/>
        <w:szCs w:val="26"/>
        <w:rtl/>
      </w:rPr>
      <w:instrText xml:space="preserve"> </w:instrText>
    </w:r>
    <w:r w:rsidRPr="00A3108B">
      <w:rPr>
        <w:rFonts w:cs="Simplified Arabic"/>
        <w:b/>
        <w:bCs/>
        <w:position w:val="-4"/>
        <w:sz w:val="26"/>
        <w:szCs w:val="26"/>
      </w:rPr>
      <w:instrText>PAGE</w:instrText>
    </w:r>
    <w:r w:rsidRPr="00A3108B">
      <w:rPr>
        <w:rFonts w:cs="Simplified Arabic"/>
        <w:b/>
        <w:bCs/>
        <w:position w:val="-4"/>
        <w:sz w:val="26"/>
        <w:szCs w:val="26"/>
        <w:rtl/>
      </w:rPr>
      <w:instrText xml:space="preserve"> </w:instrText>
    </w:r>
    <w:r w:rsidRPr="00A3108B">
      <w:rPr>
        <w:rFonts w:cs="Simplified Arabic"/>
        <w:b/>
        <w:bCs/>
        <w:position w:val="-4"/>
        <w:sz w:val="26"/>
        <w:szCs w:val="26"/>
        <w:rtl/>
      </w:rPr>
      <w:fldChar w:fldCharType="separate"/>
    </w:r>
    <w:r w:rsidR="00FD3689">
      <w:rPr>
        <w:rFonts w:cs="Simplified Arabic"/>
        <w:b/>
        <w:bCs/>
        <w:noProof/>
        <w:position w:val="-4"/>
        <w:sz w:val="26"/>
        <w:szCs w:val="26"/>
        <w:rtl/>
      </w:rPr>
      <w:t>357</w:t>
    </w:r>
    <w:r w:rsidRPr="00A3108B">
      <w:rPr>
        <w:rFonts w:cs="Simplified Arabic"/>
        <w:b/>
        <w:bCs/>
        <w:position w:val="-4"/>
        <w:sz w:val="26"/>
        <w:szCs w:val="26"/>
        <w:rt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45FD6" w:rsidRDefault="00F41F33" w:rsidP="00345FD6">
    <w:pPr>
      <w:pStyle w:val="a8"/>
      <w:rPr>
        <w:szCs w:val="28"/>
        <w:rtl/>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06118F" w:rsidRDefault="00F41F33" w:rsidP="0006118F">
    <w:pPr>
      <w:tabs>
        <w:tab w:val="right" w:pos="7030"/>
      </w:tabs>
      <w:ind w:firstLine="0"/>
      <w:rPr>
        <w:sz w:val="34"/>
        <w:szCs w:val="20"/>
        <w:rtl/>
      </w:rPr>
    </w:pPr>
    <w:r w:rsidRPr="00A3108B">
      <w:rPr>
        <w:rFonts w:cs="Simplified Arabic"/>
        <w:b/>
        <w:bCs/>
        <w:position w:val="-4"/>
        <w:sz w:val="26"/>
        <w:szCs w:val="26"/>
        <w:rtl/>
      </w:rPr>
      <w:fldChar w:fldCharType="begin"/>
    </w:r>
    <w:r w:rsidRPr="00A3108B">
      <w:rPr>
        <w:rFonts w:cs="Simplified Arabic"/>
        <w:b/>
        <w:bCs/>
        <w:position w:val="-4"/>
        <w:sz w:val="26"/>
        <w:szCs w:val="26"/>
        <w:rtl/>
      </w:rPr>
      <w:instrText xml:space="preserve"> </w:instrText>
    </w:r>
    <w:r w:rsidRPr="00A3108B">
      <w:rPr>
        <w:rFonts w:cs="Simplified Arabic"/>
        <w:b/>
        <w:bCs/>
        <w:position w:val="-4"/>
        <w:sz w:val="26"/>
        <w:szCs w:val="26"/>
      </w:rPr>
      <w:instrText>PAGE</w:instrText>
    </w:r>
    <w:r w:rsidRPr="00A3108B">
      <w:rPr>
        <w:rFonts w:cs="Simplified Arabic"/>
        <w:b/>
        <w:bCs/>
        <w:position w:val="-4"/>
        <w:sz w:val="26"/>
        <w:szCs w:val="26"/>
        <w:rtl/>
      </w:rPr>
      <w:instrText xml:space="preserve"> </w:instrText>
    </w:r>
    <w:r w:rsidRPr="00A3108B">
      <w:rPr>
        <w:rFonts w:cs="Simplified Arabic"/>
        <w:b/>
        <w:bCs/>
        <w:position w:val="-4"/>
        <w:sz w:val="26"/>
        <w:szCs w:val="26"/>
        <w:rtl/>
      </w:rPr>
      <w:fldChar w:fldCharType="separate"/>
    </w:r>
    <w:r w:rsidR="00FD3689">
      <w:rPr>
        <w:rFonts w:cs="Simplified Arabic"/>
        <w:b/>
        <w:bCs/>
        <w:noProof/>
        <w:position w:val="-4"/>
        <w:sz w:val="26"/>
        <w:szCs w:val="26"/>
        <w:rtl/>
      </w:rPr>
      <w:t>376</w:t>
    </w:r>
    <w:r w:rsidRPr="00A3108B">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A3108B">
      <w:rPr>
        <w:rFonts w:cs="Abz-2 (Badr)" w:hint="cs"/>
        <w:b/>
        <w:bCs/>
        <w:sz w:val="22"/>
        <w:szCs w:val="22"/>
        <w:rtl/>
      </w:rPr>
      <w:t>34</w:t>
    </w:r>
    <w:r w:rsidRPr="00F62029">
      <w:rPr>
        <w:rFonts w:cs="Abz-2 (Badr)" w:hint="cs"/>
        <w:b/>
        <w:bCs/>
        <w:sz w:val="22"/>
        <w:szCs w:val="22"/>
        <w:rtl/>
      </w:rPr>
      <w:t xml:space="preserve"> ـ </w:t>
    </w:r>
    <w:r w:rsidRPr="00A3108B">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A3108B">
      <w:rPr>
        <w:rFonts w:cs="Abz-2 (Badr)" w:hint="cs"/>
        <w:b/>
        <w:bCs/>
        <w:sz w:val="22"/>
        <w:szCs w:val="22"/>
        <w:rtl/>
      </w:rPr>
      <w:t>2015</w:t>
    </w:r>
    <w:r w:rsidRPr="00F62029">
      <w:rPr>
        <w:rFonts w:cs="Abz-2 (Badr)" w:hint="cs"/>
        <w:b/>
        <w:bCs/>
        <w:sz w:val="22"/>
        <w:szCs w:val="22"/>
        <w:rtl/>
      </w:rPr>
      <w:t xml:space="preserve">م ـ </w:t>
    </w:r>
    <w:r w:rsidRPr="00A3108B">
      <w:rPr>
        <w:rFonts w:cs="Abz-2 (Badr)" w:hint="cs"/>
        <w:b/>
        <w:bCs/>
        <w:sz w:val="22"/>
        <w:szCs w:val="22"/>
        <w:rtl/>
      </w:rPr>
      <w:t>1436</w:t>
    </w:r>
    <w:r w:rsidRPr="00F62029">
      <w:rPr>
        <w:rFonts w:cs="Abz-2 (Badr)" w:hint="cs"/>
        <w:b/>
        <w:bCs/>
        <w:sz w:val="22"/>
        <w:szCs w:val="22"/>
        <w:rtl/>
      </w:rPr>
      <w:t>هـ</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A3108B">
      <w:rPr>
        <w:rFonts w:cs="Abz-2 (Badr)" w:hint="cs"/>
        <w:b/>
        <w:bCs/>
        <w:sz w:val="22"/>
        <w:szCs w:val="22"/>
        <w:rtl/>
      </w:rPr>
      <w:t>34</w:t>
    </w:r>
    <w:r w:rsidRPr="006579E8">
      <w:rPr>
        <w:rFonts w:cs="Abz-2 (Badr)" w:hint="cs"/>
        <w:b/>
        <w:bCs/>
        <w:sz w:val="22"/>
        <w:szCs w:val="22"/>
        <w:rtl/>
      </w:rPr>
      <w:t xml:space="preserve"> ـ </w:t>
    </w:r>
    <w:r w:rsidRPr="00A3108B">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A3108B">
      <w:rPr>
        <w:rFonts w:cs="Abz-2 (Badr)" w:hint="cs"/>
        <w:b/>
        <w:bCs/>
        <w:sz w:val="22"/>
        <w:szCs w:val="22"/>
        <w:rtl/>
      </w:rPr>
      <w:t>2015</w:t>
    </w:r>
    <w:r w:rsidRPr="006579E8">
      <w:rPr>
        <w:rFonts w:cs="Abz-2 (Badr)" w:hint="cs"/>
        <w:b/>
        <w:bCs/>
        <w:sz w:val="22"/>
        <w:szCs w:val="22"/>
        <w:rtl/>
      </w:rPr>
      <w:t xml:space="preserve">م ـ </w:t>
    </w:r>
    <w:r w:rsidRPr="00A3108B">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A3108B">
      <w:rPr>
        <w:rFonts w:cs="Simplified Arabic"/>
        <w:b/>
        <w:bCs/>
        <w:position w:val="-4"/>
        <w:sz w:val="26"/>
        <w:szCs w:val="26"/>
        <w:rtl/>
      </w:rPr>
      <w:fldChar w:fldCharType="begin"/>
    </w:r>
    <w:r w:rsidRPr="00A3108B">
      <w:rPr>
        <w:rFonts w:cs="Simplified Arabic"/>
        <w:b/>
        <w:bCs/>
        <w:position w:val="-4"/>
        <w:sz w:val="26"/>
        <w:szCs w:val="26"/>
        <w:rtl/>
      </w:rPr>
      <w:instrText xml:space="preserve"> </w:instrText>
    </w:r>
    <w:r w:rsidRPr="00A3108B">
      <w:rPr>
        <w:rFonts w:cs="Simplified Arabic"/>
        <w:b/>
        <w:bCs/>
        <w:position w:val="-4"/>
        <w:sz w:val="26"/>
        <w:szCs w:val="26"/>
      </w:rPr>
      <w:instrText>PAGE</w:instrText>
    </w:r>
    <w:r w:rsidRPr="00A3108B">
      <w:rPr>
        <w:rFonts w:cs="Simplified Arabic"/>
        <w:b/>
        <w:bCs/>
        <w:position w:val="-4"/>
        <w:sz w:val="26"/>
        <w:szCs w:val="26"/>
        <w:rtl/>
      </w:rPr>
      <w:instrText xml:space="preserve"> </w:instrText>
    </w:r>
    <w:r w:rsidRPr="00A3108B">
      <w:rPr>
        <w:rFonts w:cs="Simplified Arabic"/>
        <w:b/>
        <w:bCs/>
        <w:position w:val="-4"/>
        <w:sz w:val="26"/>
        <w:szCs w:val="26"/>
        <w:rtl/>
      </w:rPr>
      <w:fldChar w:fldCharType="separate"/>
    </w:r>
    <w:r w:rsidR="00FD3689">
      <w:rPr>
        <w:rFonts w:cs="Simplified Arabic"/>
        <w:b/>
        <w:bCs/>
        <w:noProof/>
        <w:position w:val="-4"/>
        <w:sz w:val="26"/>
        <w:szCs w:val="26"/>
        <w:rtl/>
      </w:rPr>
      <w:t>377</w:t>
    </w:r>
    <w:r w:rsidRPr="00A3108B">
      <w:rPr>
        <w:rFonts w:cs="Simplified Arabic"/>
        <w:b/>
        <w:bCs/>
        <w:position w:val="-4"/>
        <w:sz w:val="26"/>
        <w:szCs w:val="26"/>
        <w:rtl/>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01CCB" w:rsidRDefault="00F41F33" w:rsidP="00901CCB">
    <w:pPr>
      <w:tabs>
        <w:tab w:val="right" w:pos="7030"/>
      </w:tabs>
      <w:ind w:firstLine="0"/>
      <w:rPr>
        <w:sz w:val="34"/>
        <w:szCs w:val="20"/>
        <w:rtl/>
      </w:rPr>
    </w:pPr>
    <w:r w:rsidRPr="009117E8">
      <w:rPr>
        <w:rFonts w:cs="Simplified Arabic"/>
        <w:b/>
        <w:bCs/>
        <w:position w:val="-4"/>
        <w:sz w:val="26"/>
        <w:szCs w:val="26"/>
        <w:rtl/>
      </w:rPr>
      <w:fldChar w:fldCharType="begin"/>
    </w:r>
    <w:r w:rsidRPr="009117E8">
      <w:rPr>
        <w:rFonts w:cs="Simplified Arabic"/>
        <w:b/>
        <w:bCs/>
        <w:position w:val="-4"/>
        <w:sz w:val="26"/>
        <w:szCs w:val="26"/>
        <w:rtl/>
      </w:rPr>
      <w:instrText xml:space="preserve"> </w:instrText>
    </w:r>
    <w:r w:rsidRPr="009117E8">
      <w:rPr>
        <w:rFonts w:cs="Simplified Arabic"/>
        <w:b/>
        <w:bCs/>
        <w:position w:val="-4"/>
        <w:sz w:val="26"/>
        <w:szCs w:val="26"/>
      </w:rPr>
      <w:instrText>PAGE</w:instrText>
    </w:r>
    <w:r w:rsidRPr="009117E8">
      <w:rPr>
        <w:rFonts w:cs="Simplified Arabic"/>
        <w:b/>
        <w:bCs/>
        <w:position w:val="-4"/>
        <w:sz w:val="26"/>
        <w:szCs w:val="26"/>
        <w:rtl/>
      </w:rPr>
      <w:instrText xml:space="preserve"> </w:instrText>
    </w:r>
    <w:r w:rsidRPr="009117E8">
      <w:rPr>
        <w:rFonts w:cs="Simplified Arabic"/>
        <w:b/>
        <w:bCs/>
        <w:position w:val="-4"/>
        <w:sz w:val="26"/>
        <w:szCs w:val="26"/>
        <w:rtl/>
      </w:rPr>
      <w:fldChar w:fldCharType="separate"/>
    </w:r>
    <w:r w:rsidR="00FD3689">
      <w:rPr>
        <w:rFonts w:cs="Simplified Arabic"/>
        <w:b/>
        <w:bCs/>
        <w:noProof/>
        <w:position w:val="-4"/>
        <w:sz w:val="26"/>
        <w:szCs w:val="26"/>
        <w:rtl/>
      </w:rPr>
      <w:t>396</w:t>
    </w:r>
    <w:r w:rsidRPr="009117E8">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9117E8">
      <w:rPr>
        <w:rFonts w:cs="Abz-2 (Badr)" w:hint="cs"/>
        <w:b/>
        <w:bCs/>
        <w:sz w:val="22"/>
        <w:szCs w:val="22"/>
        <w:rtl/>
      </w:rPr>
      <w:t>34</w:t>
    </w:r>
    <w:r w:rsidRPr="00F62029">
      <w:rPr>
        <w:rFonts w:cs="Abz-2 (Badr)" w:hint="cs"/>
        <w:b/>
        <w:bCs/>
        <w:sz w:val="22"/>
        <w:szCs w:val="22"/>
        <w:rtl/>
      </w:rPr>
      <w:t xml:space="preserve"> ـ </w:t>
    </w:r>
    <w:r w:rsidRPr="009117E8">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9117E8">
      <w:rPr>
        <w:rFonts w:cs="Abz-2 (Badr)" w:hint="cs"/>
        <w:b/>
        <w:bCs/>
        <w:sz w:val="22"/>
        <w:szCs w:val="22"/>
        <w:rtl/>
      </w:rPr>
      <w:t>2015</w:t>
    </w:r>
    <w:r w:rsidRPr="00F62029">
      <w:rPr>
        <w:rFonts w:cs="Abz-2 (Badr)" w:hint="cs"/>
        <w:b/>
        <w:bCs/>
        <w:sz w:val="22"/>
        <w:szCs w:val="22"/>
        <w:rtl/>
      </w:rPr>
      <w:t xml:space="preserve">م ـ </w:t>
    </w:r>
    <w:r w:rsidRPr="009117E8">
      <w:rPr>
        <w:rFonts w:cs="Abz-2 (Badr)" w:hint="cs"/>
        <w:b/>
        <w:bCs/>
        <w:sz w:val="22"/>
        <w:szCs w:val="22"/>
        <w:rtl/>
      </w:rPr>
      <w:t>1436</w:t>
    </w:r>
    <w:r w:rsidRPr="00F62029">
      <w:rPr>
        <w:rFonts w:cs="Abz-2 (Badr)" w:hint="cs"/>
        <w:b/>
        <w:bCs/>
        <w:sz w:val="22"/>
        <w:szCs w:val="22"/>
        <w:rtl/>
      </w:rPr>
      <w:t>هـ</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9117E8">
      <w:rPr>
        <w:rFonts w:cs="Abz-2 (Badr)" w:hint="cs"/>
        <w:b/>
        <w:bCs/>
        <w:sz w:val="22"/>
        <w:szCs w:val="22"/>
        <w:rtl/>
      </w:rPr>
      <w:t>34</w:t>
    </w:r>
    <w:r w:rsidRPr="006579E8">
      <w:rPr>
        <w:rFonts w:cs="Abz-2 (Badr)" w:hint="cs"/>
        <w:b/>
        <w:bCs/>
        <w:sz w:val="22"/>
        <w:szCs w:val="22"/>
        <w:rtl/>
      </w:rPr>
      <w:t xml:space="preserve"> ـ </w:t>
    </w:r>
    <w:r w:rsidRPr="009117E8">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9117E8">
      <w:rPr>
        <w:rFonts w:cs="Abz-2 (Badr)" w:hint="cs"/>
        <w:b/>
        <w:bCs/>
        <w:sz w:val="22"/>
        <w:szCs w:val="22"/>
        <w:rtl/>
      </w:rPr>
      <w:t>2015</w:t>
    </w:r>
    <w:r w:rsidRPr="006579E8">
      <w:rPr>
        <w:rFonts w:cs="Abz-2 (Badr)" w:hint="cs"/>
        <w:b/>
        <w:bCs/>
        <w:sz w:val="22"/>
        <w:szCs w:val="22"/>
        <w:rtl/>
      </w:rPr>
      <w:t xml:space="preserve">م ـ </w:t>
    </w:r>
    <w:r w:rsidRPr="009117E8">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9117E8">
      <w:rPr>
        <w:rFonts w:cs="Simplified Arabic"/>
        <w:b/>
        <w:bCs/>
        <w:position w:val="-4"/>
        <w:sz w:val="26"/>
        <w:szCs w:val="26"/>
        <w:rtl/>
      </w:rPr>
      <w:fldChar w:fldCharType="begin"/>
    </w:r>
    <w:r w:rsidRPr="009117E8">
      <w:rPr>
        <w:rFonts w:cs="Simplified Arabic"/>
        <w:b/>
        <w:bCs/>
        <w:position w:val="-4"/>
        <w:sz w:val="26"/>
        <w:szCs w:val="26"/>
        <w:rtl/>
      </w:rPr>
      <w:instrText xml:space="preserve"> </w:instrText>
    </w:r>
    <w:r w:rsidRPr="009117E8">
      <w:rPr>
        <w:rFonts w:cs="Simplified Arabic"/>
        <w:b/>
        <w:bCs/>
        <w:position w:val="-4"/>
        <w:sz w:val="26"/>
        <w:szCs w:val="26"/>
      </w:rPr>
      <w:instrText>PAGE</w:instrText>
    </w:r>
    <w:r w:rsidRPr="009117E8">
      <w:rPr>
        <w:rFonts w:cs="Simplified Arabic"/>
        <w:b/>
        <w:bCs/>
        <w:position w:val="-4"/>
        <w:sz w:val="26"/>
        <w:szCs w:val="26"/>
        <w:rtl/>
      </w:rPr>
      <w:instrText xml:space="preserve"> </w:instrText>
    </w:r>
    <w:r w:rsidRPr="009117E8">
      <w:rPr>
        <w:rFonts w:cs="Simplified Arabic"/>
        <w:b/>
        <w:bCs/>
        <w:position w:val="-4"/>
        <w:sz w:val="26"/>
        <w:szCs w:val="26"/>
        <w:rtl/>
      </w:rPr>
      <w:fldChar w:fldCharType="separate"/>
    </w:r>
    <w:r w:rsidR="00FD3689">
      <w:rPr>
        <w:rFonts w:cs="Simplified Arabic"/>
        <w:b/>
        <w:bCs/>
        <w:noProof/>
        <w:position w:val="-4"/>
        <w:sz w:val="26"/>
        <w:szCs w:val="26"/>
        <w:rtl/>
      </w:rPr>
      <w:t>397</w:t>
    </w:r>
    <w:r w:rsidRPr="009117E8">
      <w:rPr>
        <w:rFonts w:cs="Simplified Arabic"/>
        <w:b/>
        <w:bCs/>
        <w:position w:val="-4"/>
        <w:sz w:val="26"/>
        <w:szCs w:val="26"/>
        <w:rtl/>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94A8A" w:rsidRDefault="00F41F33" w:rsidP="00394A8A">
    <w:pPr>
      <w:tabs>
        <w:tab w:val="right" w:pos="7030"/>
      </w:tabs>
      <w:ind w:firstLine="0"/>
      <w:rPr>
        <w:sz w:val="34"/>
        <w:szCs w:val="20"/>
        <w:rtl/>
      </w:rPr>
    </w:pPr>
    <w:r w:rsidRPr="008F34EB">
      <w:rPr>
        <w:rFonts w:cs="Simplified Arabic"/>
        <w:b/>
        <w:bCs/>
        <w:position w:val="-4"/>
        <w:sz w:val="26"/>
        <w:szCs w:val="26"/>
        <w:rtl/>
      </w:rPr>
      <w:fldChar w:fldCharType="begin"/>
    </w:r>
    <w:r w:rsidRPr="008F34EB">
      <w:rPr>
        <w:rFonts w:cs="Simplified Arabic"/>
        <w:b/>
        <w:bCs/>
        <w:position w:val="-4"/>
        <w:sz w:val="26"/>
        <w:szCs w:val="26"/>
        <w:rtl/>
      </w:rPr>
      <w:instrText xml:space="preserve"> </w:instrText>
    </w:r>
    <w:r w:rsidRPr="008F34EB">
      <w:rPr>
        <w:rFonts w:cs="Simplified Arabic"/>
        <w:b/>
        <w:bCs/>
        <w:position w:val="-4"/>
        <w:sz w:val="26"/>
        <w:szCs w:val="26"/>
      </w:rPr>
      <w:instrText>PAGE</w:instrText>
    </w:r>
    <w:r w:rsidRPr="008F34EB">
      <w:rPr>
        <w:rFonts w:cs="Simplified Arabic"/>
        <w:b/>
        <w:bCs/>
        <w:position w:val="-4"/>
        <w:sz w:val="26"/>
        <w:szCs w:val="26"/>
        <w:rtl/>
      </w:rPr>
      <w:instrText xml:space="preserve"> </w:instrText>
    </w:r>
    <w:r w:rsidRPr="008F34EB">
      <w:rPr>
        <w:rFonts w:cs="Simplified Arabic"/>
        <w:b/>
        <w:bCs/>
        <w:position w:val="-4"/>
        <w:sz w:val="26"/>
        <w:szCs w:val="26"/>
        <w:rtl/>
      </w:rPr>
      <w:fldChar w:fldCharType="separate"/>
    </w:r>
    <w:r>
      <w:rPr>
        <w:rFonts w:cs="Simplified Arabic"/>
        <w:b/>
        <w:bCs/>
        <w:noProof/>
        <w:position w:val="-4"/>
        <w:sz w:val="26"/>
        <w:szCs w:val="26"/>
        <w:rtl/>
      </w:rPr>
      <w:t>52</w:t>
    </w:r>
    <w:r w:rsidRPr="008F34EB">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8F34EB">
      <w:rPr>
        <w:rFonts w:cs="Abz-2 (Badr)" w:hint="cs"/>
        <w:b/>
        <w:bCs/>
        <w:sz w:val="22"/>
        <w:szCs w:val="22"/>
        <w:rtl/>
      </w:rPr>
      <w:t>34</w:t>
    </w:r>
    <w:r w:rsidRPr="00F62029">
      <w:rPr>
        <w:rFonts w:cs="Abz-2 (Badr)" w:hint="cs"/>
        <w:b/>
        <w:bCs/>
        <w:sz w:val="22"/>
        <w:szCs w:val="22"/>
        <w:rtl/>
      </w:rPr>
      <w:t xml:space="preserve"> ـ </w:t>
    </w:r>
    <w:r w:rsidRPr="008F34EB">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8F34EB">
      <w:rPr>
        <w:rFonts w:cs="Abz-2 (Badr)" w:hint="cs"/>
        <w:b/>
        <w:bCs/>
        <w:sz w:val="22"/>
        <w:szCs w:val="22"/>
        <w:rtl/>
      </w:rPr>
      <w:t>2015</w:t>
    </w:r>
    <w:r w:rsidRPr="00F62029">
      <w:rPr>
        <w:rFonts w:cs="Abz-2 (Badr)" w:hint="cs"/>
        <w:b/>
        <w:bCs/>
        <w:sz w:val="22"/>
        <w:szCs w:val="22"/>
        <w:rtl/>
      </w:rPr>
      <w:t xml:space="preserve">م ـ </w:t>
    </w:r>
    <w:r w:rsidRPr="008F34EB">
      <w:rPr>
        <w:rFonts w:cs="Abz-2 (Badr)" w:hint="cs"/>
        <w:b/>
        <w:bCs/>
        <w:sz w:val="22"/>
        <w:szCs w:val="22"/>
        <w:rtl/>
      </w:rPr>
      <w:t>1436</w:t>
    </w:r>
    <w:r w:rsidRPr="00F62029">
      <w:rPr>
        <w:rFonts w:cs="Abz-2 (Badr)" w:hint="cs"/>
        <w:b/>
        <w:bCs/>
        <w:sz w:val="22"/>
        <w:szCs w:val="22"/>
        <w:rtl/>
      </w:rPr>
      <w:t>هـ</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01CCB" w:rsidRDefault="00F41F33" w:rsidP="00901CCB">
    <w:pPr>
      <w:tabs>
        <w:tab w:val="right" w:pos="7030"/>
      </w:tabs>
      <w:ind w:firstLine="0"/>
      <w:rPr>
        <w:sz w:val="34"/>
        <w:szCs w:val="20"/>
        <w:rtl/>
      </w:rPr>
    </w:pPr>
    <w:r w:rsidRPr="009117E8">
      <w:rPr>
        <w:rFonts w:cs="Simplified Arabic"/>
        <w:b/>
        <w:bCs/>
        <w:position w:val="-4"/>
        <w:sz w:val="26"/>
        <w:szCs w:val="26"/>
        <w:rtl/>
      </w:rPr>
      <w:fldChar w:fldCharType="begin"/>
    </w:r>
    <w:r w:rsidRPr="009117E8">
      <w:rPr>
        <w:rFonts w:cs="Simplified Arabic"/>
        <w:b/>
        <w:bCs/>
        <w:position w:val="-4"/>
        <w:sz w:val="26"/>
        <w:szCs w:val="26"/>
        <w:rtl/>
      </w:rPr>
      <w:instrText xml:space="preserve"> </w:instrText>
    </w:r>
    <w:r w:rsidRPr="009117E8">
      <w:rPr>
        <w:rFonts w:cs="Simplified Arabic"/>
        <w:b/>
        <w:bCs/>
        <w:position w:val="-4"/>
        <w:sz w:val="26"/>
        <w:szCs w:val="26"/>
      </w:rPr>
      <w:instrText>PAGE</w:instrText>
    </w:r>
    <w:r w:rsidRPr="009117E8">
      <w:rPr>
        <w:rFonts w:cs="Simplified Arabic"/>
        <w:b/>
        <w:bCs/>
        <w:position w:val="-4"/>
        <w:sz w:val="26"/>
        <w:szCs w:val="26"/>
        <w:rtl/>
      </w:rPr>
      <w:instrText xml:space="preserve"> </w:instrText>
    </w:r>
    <w:r w:rsidRPr="009117E8">
      <w:rPr>
        <w:rFonts w:cs="Simplified Arabic"/>
        <w:b/>
        <w:bCs/>
        <w:position w:val="-4"/>
        <w:sz w:val="26"/>
        <w:szCs w:val="26"/>
        <w:rtl/>
      </w:rPr>
      <w:fldChar w:fldCharType="separate"/>
    </w:r>
    <w:r w:rsidR="00FD3689">
      <w:rPr>
        <w:rFonts w:cs="Simplified Arabic"/>
        <w:b/>
        <w:bCs/>
        <w:noProof/>
        <w:position w:val="-4"/>
        <w:sz w:val="26"/>
        <w:szCs w:val="26"/>
        <w:rtl/>
      </w:rPr>
      <w:t>408</w:t>
    </w:r>
    <w:r w:rsidRPr="009117E8">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9117E8">
      <w:rPr>
        <w:rFonts w:cs="Abz-2 (Badr)" w:hint="cs"/>
        <w:b/>
        <w:bCs/>
        <w:sz w:val="22"/>
        <w:szCs w:val="22"/>
        <w:rtl/>
      </w:rPr>
      <w:t>34</w:t>
    </w:r>
    <w:r w:rsidRPr="00F62029">
      <w:rPr>
        <w:rFonts w:cs="Abz-2 (Badr)" w:hint="cs"/>
        <w:b/>
        <w:bCs/>
        <w:sz w:val="22"/>
        <w:szCs w:val="22"/>
        <w:rtl/>
      </w:rPr>
      <w:t xml:space="preserve"> ـ </w:t>
    </w:r>
    <w:r w:rsidRPr="009117E8">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9117E8">
      <w:rPr>
        <w:rFonts w:cs="Abz-2 (Badr)" w:hint="cs"/>
        <w:b/>
        <w:bCs/>
        <w:sz w:val="22"/>
        <w:szCs w:val="22"/>
        <w:rtl/>
      </w:rPr>
      <w:t>2015</w:t>
    </w:r>
    <w:r w:rsidRPr="00F62029">
      <w:rPr>
        <w:rFonts w:cs="Abz-2 (Badr)" w:hint="cs"/>
        <w:b/>
        <w:bCs/>
        <w:sz w:val="22"/>
        <w:szCs w:val="22"/>
        <w:rtl/>
      </w:rPr>
      <w:t xml:space="preserve">م ـ </w:t>
    </w:r>
    <w:r w:rsidRPr="009117E8">
      <w:rPr>
        <w:rFonts w:cs="Abz-2 (Badr)" w:hint="cs"/>
        <w:b/>
        <w:bCs/>
        <w:sz w:val="22"/>
        <w:szCs w:val="22"/>
        <w:rtl/>
      </w:rPr>
      <w:t>1436</w:t>
    </w:r>
    <w:r w:rsidRPr="00F62029">
      <w:rPr>
        <w:rFonts w:cs="Abz-2 (Badr)" w:hint="cs"/>
        <w:b/>
        <w:bCs/>
        <w:sz w:val="22"/>
        <w:szCs w:val="22"/>
        <w:rtl/>
      </w:rPr>
      <w:t>هـ</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9117E8">
      <w:rPr>
        <w:rFonts w:cs="Abz-2 (Badr)" w:hint="cs"/>
        <w:b/>
        <w:bCs/>
        <w:sz w:val="22"/>
        <w:szCs w:val="22"/>
        <w:rtl/>
      </w:rPr>
      <w:t>34</w:t>
    </w:r>
    <w:r w:rsidRPr="006579E8">
      <w:rPr>
        <w:rFonts w:cs="Abz-2 (Badr)" w:hint="cs"/>
        <w:b/>
        <w:bCs/>
        <w:sz w:val="22"/>
        <w:szCs w:val="22"/>
        <w:rtl/>
      </w:rPr>
      <w:t xml:space="preserve"> ـ </w:t>
    </w:r>
    <w:r w:rsidRPr="009117E8">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9117E8">
      <w:rPr>
        <w:rFonts w:cs="Abz-2 (Badr)" w:hint="cs"/>
        <w:b/>
        <w:bCs/>
        <w:sz w:val="22"/>
        <w:szCs w:val="22"/>
        <w:rtl/>
      </w:rPr>
      <w:t>2015</w:t>
    </w:r>
    <w:r w:rsidRPr="006579E8">
      <w:rPr>
        <w:rFonts w:cs="Abz-2 (Badr)" w:hint="cs"/>
        <w:b/>
        <w:bCs/>
        <w:sz w:val="22"/>
        <w:szCs w:val="22"/>
        <w:rtl/>
      </w:rPr>
      <w:t xml:space="preserve">م ـ </w:t>
    </w:r>
    <w:r w:rsidRPr="009117E8">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9117E8">
      <w:rPr>
        <w:rFonts w:cs="Simplified Arabic"/>
        <w:b/>
        <w:bCs/>
        <w:position w:val="-4"/>
        <w:sz w:val="26"/>
        <w:szCs w:val="26"/>
        <w:rtl/>
      </w:rPr>
      <w:fldChar w:fldCharType="begin"/>
    </w:r>
    <w:r w:rsidRPr="009117E8">
      <w:rPr>
        <w:rFonts w:cs="Simplified Arabic"/>
        <w:b/>
        <w:bCs/>
        <w:position w:val="-4"/>
        <w:sz w:val="26"/>
        <w:szCs w:val="26"/>
        <w:rtl/>
      </w:rPr>
      <w:instrText xml:space="preserve"> </w:instrText>
    </w:r>
    <w:r w:rsidRPr="009117E8">
      <w:rPr>
        <w:rFonts w:cs="Simplified Arabic"/>
        <w:b/>
        <w:bCs/>
        <w:position w:val="-4"/>
        <w:sz w:val="26"/>
        <w:szCs w:val="26"/>
      </w:rPr>
      <w:instrText>PAGE</w:instrText>
    </w:r>
    <w:r w:rsidRPr="009117E8">
      <w:rPr>
        <w:rFonts w:cs="Simplified Arabic"/>
        <w:b/>
        <w:bCs/>
        <w:position w:val="-4"/>
        <w:sz w:val="26"/>
        <w:szCs w:val="26"/>
        <w:rtl/>
      </w:rPr>
      <w:instrText xml:space="preserve"> </w:instrText>
    </w:r>
    <w:r w:rsidRPr="009117E8">
      <w:rPr>
        <w:rFonts w:cs="Simplified Arabic"/>
        <w:b/>
        <w:bCs/>
        <w:position w:val="-4"/>
        <w:sz w:val="26"/>
        <w:szCs w:val="26"/>
        <w:rtl/>
      </w:rPr>
      <w:fldChar w:fldCharType="separate"/>
    </w:r>
    <w:r w:rsidR="00FD3689">
      <w:rPr>
        <w:rFonts w:cs="Simplified Arabic"/>
        <w:b/>
        <w:bCs/>
        <w:noProof/>
        <w:position w:val="-4"/>
        <w:sz w:val="26"/>
        <w:szCs w:val="26"/>
        <w:rtl/>
      </w:rPr>
      <w:t>407</w:t>
    </w:r>
    <w:r w:rsidRPr="009117E8">
      <w:rPr>
        <w:rFonts w:cs="Simplified Arabic"/>
        <w:b/>
        <w:bCs/>
        <w:position w:val="-4"/>
        <w:sz w:val="26"/>
        <w:szCs w:val="26"/>
        <w:rtl/>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45FD6" w:rsidRDefault="00F41F33" w:rsidP="00345FD6">
    <w:pPr>
      <w:pStyle w:val="a8"/>
      <w:rPr>
        <w:szCs w:val="28"/>
        <w:rtl/>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01CCB" w:rsidRDefault="00F41F33" w:rsidP="00901CCB">
    <w:pPr>
      <w:tabs>
        <w:tab w:val="right" w:pos="7030"/>
      </w:tabs>
      <w:ind w:firstLine="0"/>
      <w:rPr>
        <w:sz w:val="34"/>
        <w:szCs w:val="20"/>
        <w:rtl/>
      </w:rPr>
    </w:pPr>
    <w:r w:rsidRPr="009117E8">
      <w:rPr>
        <w:rFonts w:cs="Simplified Arabic"/>
        <w:b/>
        <w:bCs/>
        <w:position w:val="-4"/>
        <w:sz w:val="26"/>
        <w:szCs w:val="26"/>
        <w:rtl/>
      </w:rPr>
      <w:fldChar w:fldCharType="begin"/>
    </w:r>
    <w:r w:rsidRPr="009117E8">
      <w:rPr>
        <w:rFonts w:cs="Simplified Arabic"/>
        <w:b/>
        <w:bCs/>
        <w:position w:val="-4"/>
        <w:sz w:val="26"/>
        <w:szCs w:val="26"/>
        <w:rtl/>
      </w:rPr>
      <w:instrText xml:space="preserve"> </w:instrText>
    </w:r>
    <w:r w:rsidRPr="009117E8">
      <w:rPr>
        <w:rFonts w:cs="Simplified Arabic"/>
        <w:b/>
        <w:bCs/>
        <w:position w:val="-4"/>
        <w:sz w:val="26"/>
        <w:szCs w:val="26"/>
      </w:rPr>
      <w:instrText>PAGE</w:instrText>
    </w:r>
    <w:r w:rsidRPr="009117E8">
      <w:rPr>
        <w:rFonts w:cs="Simplified Arabic"/>
        <w:b/>
        <w:bCs/>
        <w:position w:val="-4"/>
        <w:sz w:val="26"/>
        <w:szCs w:val="26"/>
        <w:rtl/>
      </w:rPr>
      <w:instrText xml:space="preserve"> </w:instrText>
    </w:r>
    <w:r w:rsidRPr="009117E8">
      <w:rPr>
        <w:rFonts w:cs="Simplified Arabic"/>
        <w:b/>
        <w:bCs/>
        <w:position w:val="-4"/>
        <w:sz w:val="26"/>
        <w:szCs w:val="26"/>
        <w:rtl/>
      </w:rPr>
      <w:fldChar w:fldCharType="separate"/>
    </w:r>
    <w:r w:rsidR="00FD3689">
      <w:rPr>
        <w:rFonts w:cs="Simplified Arabic"/>
        <w:b/>
        <w:bCs/>
        <w:noProof/>
        <w:position w:val="-4"/>
        <w:sz w:val="26"/>
        <w:szCs w:val="26"/>
        <w:rtl/>
      </w:rPr>
      <w:t>420</w:t>
    </w:r>
    <w:r w:rsidRPr="009117E8">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9117E8">
      <w:rPr>
        <w:rFonts w:cs="Abz-2 (Badr)" w:hint="cs"/>
        <w:b/>
        <w:bCs/>
        <w:sz w:val="22"/>
        <w:szCs w:val="22"/>
        <w:rtl/>
      </w:rPr>
      <w:t>34</w:t>
    </w:r>
    <w:r w:rsidRPr="00F62029">
      <w:rPr>
        <w:rFonts w:cs="Abz-2 (Badr)" w:hint="cs"/>
        <w:b/>
        <w:bCs/>
        <w:sz w:val="22"/>
        <w:szCs w:val="22"/>
        <w:rtl/>
      </w:rPr>
      <w:t xml:space="preserve"> ـ </w:t>
    </w:r>
    <w:r w:rsidRPr="009117E8">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9117E8">
      <w:rPr>
        <w:rFonts w:cs="Abz-2 (Badr)" w:hint="cs"/>
        <w:b/>
        <w:bCs/>
        <w:sz w:val="22"/>
        <w:szCs w:val="22"/>
        <w:rtl/>
      </w:rPr>
      <w:t>2015</w:t>
    </w:r>
    <w:r w:rsidRPr="00F62029">
      <w:rPr>
        <w:rFonts w:cs="Abz-2 (Badr)" w:hint="cs"/>
        <w:b/>
        <w:bCs/>
        <w:sz w:val="22"/>
        <w:szCs w:val="22"/>
        <w:rtl/>
      </w:rPr>
      <w:t xml:space="preserve">م ـ </w:t>
    </w:r>
    <w:r w:rsidRPr="009117E8">
      <w:rPr>
        <w:rFonts w:cs="Abz-2 (Badr)" w:hint="cs"/>
        <w:b/>
        <w:bCs/>
        <w:sz w:val="22"/>
        <w:szCs w:val="22"/>
        <w:rtl/>
      </w:rPr>
      <w:t>1436</w:t>
    </w:r>
    <w:r w:rsidRPr="00F62029">
      <w:rPr>
        <w:rFonts w:cs="Abz-2 (Badr)" w:hint="cs"/>
        <w:b/>
        <w:bCs/>
        <w:sz w:val="22"/>
        <w:szCs w:val="22"/>
        <w:rtl/>
      </w:rPr>
      <w:t>هـ</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9117E8">
      <w:rPr>
        <w:rFonts w:cs="Abz-2 (Badr)" w:hint="cs"/>
        <w:b/>
        <w:bCs/>
        <w:sz w:val="22"/>
        <w:szCs w:val="22"/>
        <w:rtl/>
      </w:rPr>
      <w:t>34</w:t>
    </w:r>
    <w:r w:rsidRPr="006579E8">
      <w:rPr>
        <w:rFonts w:cs="Abz-2 (Badr)" w:hint="cs"/>
        <w:b/>
        <w:bCs/>
        <w:sz w:val="22"/>
        <w:szCs w:val="22"/>
        <w:rtl/>
      </w:rPr>
      <w:t xml:space="preserve"> ـ </w:t>
    </w:r>
    <w:r w:rsidRPr="009117E8">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9117E8">
      <w:rPr>
        <w:rFonts w:cs="Abz-2 (Badr)" w:hint="cs"/>
        <w:b/>
        <w:bCs/>
        <w:sz w:val="22"/>
        <w:szCs w:val="22"/>
        <w:rtl/>
      </w:rPr>
      <w:t>2015</w:t>
    </w:r>
    <w:r w:rsidRPr="006579E8">
      <w:rPr>
        <w:rFonts w:cs="Abz-2 (Badr)" w:hint="cs"/>
        <w:b/>
        <w:bCs/>
        <w:sz w:val="22"/>
        <w:szCs w:val="22"/>
        <w:rtl/>
      </w:rPr>
      <w:t xml:space="preserve">م ـ </w:t>
    </w:r>
    <w:r w:rsidRPr="009117E8">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9117E8">
      <w:rPr>
        <w:rFonts w:cs="Simplified Arabic"/>
        <w:b/>
        <w:bCs/>
        <w:position w:val="-4"/>
        <w:sz w:val="26"/>
        <w:szCs w:val="26"/>
        <w:rtl/>
      </w:rPr>
      <w:fldChar w:fldCharType="begin"/>
    </w:r>
    <w:r w:rsidRPr="009117E8">
      <w:rPr>
        <w:rFonts w:cs="Simplified Arabic"/>
        <w:b/>
        <w:bCs/>
        <w:position w:val="-4"/>
        <w:sz w:val="26"/>
        <w:szCs w:val="26"/>
        <w:rtl/>
      </w:rPr>
      <w:instrText xml:space="preserve"> </w:instrText>
    </w:r>
    <w:r w:rsidRPr="009117E8">
      <w:rPr>
        <w:rFonts w:cs="Simplified Arabic"/>
        <w:b/>
        <w:bCs/>
        <w:position w:val="-4"/>
        <w:sz w:val="26"/>
        <w:szCs w:val="26"/>
      </w:rPr>
      <w:instrText>PAGE</w:instrText>
    </w:r>
    <w:r w:rsidRPr="009117E8">
      <w:rPr>
        <w:rFonts w:cs="Simplified Arabic"/>
        <w:b/>
        <w:bCs/>
        <w:position w:val="-4"/>
        <w:sz w:val="26"/>
        <w:szCs w:val="26"/>
        <w:rtl/>
      </w:rPr>
      <w:instrText xml:space="preserve"> </w:instrText>
    </w:r>
    <w:r w:rsidRPr="009117E8">
      <w:rPr>
        <w:rFonts w:cs="Simplified Arabic"/>
        <w:b/>
        <w:bCs/>
        <w:position w:val="-4"/>
        <w:sz w:val="26"/>
        <w:szCs w:val="26"/>
        <w:rtl/>
      </w:rPr>
      <w:fldChar w:fldCharType="separate"/>
    </w:r>
    <w:r w:rsidR="00FD3689">
      <w:rPr>
        <w:rFonts w:cs="Simplified Arabic"/>
        <w:b/>
        <w:bCs/>
        <w:noProof/>
        <w:position w:val="-4"/>
        <w:sz w:val="26"/>
        <w:szCs w:val="26"/>
        <w:rtl/>
      </w:rPr>
      <w:t>421</w:t>
    </w:r>
    <w:r w:rsidRPr="009117E8">
      <w:rPr>
        <w:rFonts w:cs="Simplified Arabic"/>
        <w:b/>
        <w:bCs/>
        <w:position w:val="-4"/>
        <w:sz w:val="26"/>
        <w:szCs w:val="26"/>
        <w:rtl/>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45FD6" w:rsidRDefault="00F41F33" w:rsidP="00345FD6">
    <w:pPr>
      <w:pStyle w:val="a8"/>
      <w:rPr>
        <w:szCs w:val="28"/>
        <w:rtl/>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01CCB" w:rsidRDefault="00F41F33" w:rsidP="00901CCB">
    <w:pPr>
      <w:tabs>
        <w:tab w:val="right" w:pos="7030"/>
      </w:tabs>
      <w:ind w:firstLine="0"/>
      <w:rPr>
        <w:sz w:val="34"/>
        <w:szCs w:val="20"/>
        <w:rtl/>
      </w:rPr>
    </w:pPr>
    <w:r w:rsidRPr="00337B79">
      <w:rPr>
        <w:rFonts w:cs="Simplified Arabic"/>
        <w:b/>
        <w:bCs/>
        <w:position w:val="-4"/>
        <w:sz w:val="26"/>
        <w:szCs w:val="26"/>
        <w:rtl/>
      </w:rPr>
      <w:fldChar w:fldCharType="begin"/>
    </w:r>
    <w:r w:rsidRPr="00337B79">
      <w:rPr>
        <w:rFonts w:cs="Simplified Arabic"/>
        <w:b/>
        <w:bCs/>
        <w:position w:val="-4"/>
        <w:sz w:val="26"/>
        <w:szCs w:val="26"/>
        <w:rtl/>
      </w:rPr>
      <w:instrText xml:space="preserve"> </w:instrText>
    </w:r>
    <w:r w:rsidRPr="00337B79">
      <w:rPr>
        <w:rFonts w:cs="Simplified Arabic"/>
        <w:b/>
        <w:bCs/>
        <w:position w:val="-4"/>
        <w:sz w:val="26"/>
        <w:szCs w:val="26"/>
      </w:rPr>
      <w:instrText>PAGE</w:instrText>
    </w:r>
    <w:r w:rsidRPr="00337B79">
      <w:rPr>
        <w:rFonts w:cs="Simplified Arabic"/>
        <w:b/>
        <w:bCs/>
        <w:position w:val="-4"/>
        <w:sz w:val="26"/>
        <w:szCs w:val="26"/>
        <w:rtl/>
      </w:rPr>
      <w:instrText xml:space="preserve"> </w:instrText>
    </w:r>
    <w:r w:rsidRPr="00337B79">
      <w:rPr>
        <w:rFonts w:cs="Simplified Arabic"/>
        <w:b/>
        <w:bCs/>
        <w:position w:val="-4"/>
        <w:sz w:val="26"/>
        <w:szCs w:val="26"/>
        <w:rtl/>
      </w:rPr>
      <w:fldChar w:fldCharType="separate"/>
    </w:r>
    <w:r w:rsidR="00FD3689">
      <w:rPr>
        <w:rFonts w:cs="Simplified Arabic"/>
        <w:b/>
        <w:bCs/>
        <w:noProof/>
        <w:position w:val="-4"/>
        <w:sz w:val="26"/>
        <w:szCs w:val="26"/>
        <w:rtl/>
      </w:rPr>
      <w:t>452</w:t>
    </w:r>
    <w:r w:rsidRPr="00337B79">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337B79">
      <w:rPr>
        <w:rFonts w:cs="Abz-2 (Badr)" w:hint="cs"/>
        <w:b/>
        <w:bCs/>
        <w:sz w:val="22"/>
        <w:szCs w:val="22"/>
        <w:rtl/>
      </w:rPr>
      <w:t>34</w:t>
    </w:r>
    <w:r w:rsidRPr="00F62029">
      <w:rPr>
        <w:rFonts w:cs="Abz-2 (Badr)" w:hint="cs"/>
        <w:b/>
        <w:bCs/>
        <w:sz w:val="22"/>
        <w:szCs w:val="22"/>
        <w:rtl/>
      </w:rPr>
      <w:t xml:space="preserve"> ـ </w:t>
    </w:r>
    <w:r w:rsidRPr="00337B79">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337B79">
      <w:rPr>
        <w:rFonts w:cs="Abz-2 (Badr)" w:hint="cs"/>
        <w:b/>
        <w:bCs/>
        <w:sz w:val="22"/>
        <w:szCs w:val="22"/>
        <w:rtl/>
      </w:rPr>
      <w:t>2015</w:t>
    </w:r>
    <w:r w:rsidRPr="00F62029">
      <w:rPr>
        <w:rFonts w:cs="Abz-2 (Badr)" w:hint="cs"/>
        <w:b/>
        <w:bCs/>
        <w:sz w:val="22"/>
        <w:szCs w:val="22"/>
        <w:rtl/>
      </w:rPr>
      <w:t xml:space="preserve">م ـ </w:t>
    </w:r>
    <w:r w:rsidRPr="00337B79">
      <w:rPr>
        <w:rFonts w:cs="Abz-2 (Badr)" w:hint="cs"/>
        <w:b/>
        <w:bCs/>
        <w:sz w:val="22"/>
        <w:szCs w:val="22"/>
        <w:rtl/>
      </w:rPr>
      <w:t>1436</w:t>
    </w:r>
    <w:r w:rsidRPr="00F62029">
      <w:rPr>
        <w:rFonts w:cs="Abz-2 (Badr)" w:hint="cs"/>
        <w:b/>
        <w:bCs/>
        <w:sz w:val="22"/>
        <w:szCs w:val="22"/>
        <w:rtl/>
      </w:rPr>
      <w:t>هـ</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337B79">
      <w:rPr>
        <w:rFonts w:cs="Abz-2 (Badr)" w:hint="cs"/>
        <w:b/>
        <w:bCs/>
        <w:sz w:val="22"/>
        <w:szCs w:val="22"/>
        <w:rtl/>
      </w:rPr>
      <w:t>34</w:t>
    </w:r>
    <w:r w:rsidRPr="006579E8">
      <w:rPr>
        <w:rFonts w:cs="Abz-2 (Badr)" w:hint="cs"/>
        <w:b/>
        <w:bCs/>
        <w:sz w:val="22"/>
        <w:szCs w:val="22"/>
        <w:rtl/>
      </w:rPr>
      <w:t xml:space="preserve"> ـ </w:t>
    </w:r>
    <w:r w:rsidRPr="00337B79">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337B79">
      <w:rPr>
        <w:rFonts w:cs="Abz-2 (Badr)" w:hint="cs"/>
        <w:b/>
        <w:bCs/>
        <w:sz w:val="22"/>
        <w:szCs w:val="22"/>
        <w:rtl/>
      </w:rPr>
      <w:t>2015</w:t>
    </w:r>
    <w:r w:rsidRPr="006579E8">
      <w:rPr>
        <w:rFonts w:cs="Abz-2 (Badr)" w:hint="cs"/>
        <w:b/>
        <w:bCs/>
        <w:sz w:val="22"/>
        <w:szCs w:val="22"/>
        <w:rtl/>
      </w:rPr>
      <w:t xml:space="preserve">م ـ </w:t>
    </w:r>
    <w:r w:rsidRPr="00337B79">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337B79">
      <w:rPr>
        <w:rFonts w:cs="Simplified Arabic"/>
        <w:b/>
        <w:bCs/>
        <w:position w:val="-4"/>
        <w:sz w:val="26"/>
        <w:szCs w:val="26"/>
        <w:rtl/>
      </w:rPr>
      <w:fldChar w:fldCharType="begin"/>
    </w:r>
    <w:r w:rsidRPr="00337B79">
      <w:rPr>
        <w:rFonts w:cs="Simplified Arabic"/>
        <w:b/>
        <w:bCs/>
        <w:position w:val="-4"/>
        <w:sz w:val="26"/>
        <w:szCs w:val="26"/>
        <w:rtl/>
      </w:rPr>
      <w:instrText xml:space="preserve"> </w:instrText>
    </w:r>
    <w:r w:rsidRPr="00337B79">
      <w:rPr>
        <w:rFonts w:cs="Simplified Arabic"/>
        <w:b/>
        <w:bCs/>
        <w:position w:val="-4"/>
        <w:sz w:val="26"/>
        <w:szCs w:val="26"/>
      </w:rPr>
      <w:instrText>PAGE</w:instrText>
    </w:r>
    <w:r w:rsidRPr="00337B79">
      <w:rPr>
        <w:rFonts w:cs="Simplified Arabic"/>
        <w:b/>
        <w:bCs/>
        <w:position w:val="-4"/>
        <w:sz w:val="26"/>
        <w:szCs w:val="26"/>
        <w:rtl/>
      </w:rPr>
      <w:instrText xml:space="preserve"> </w:instrText>
    </w:r>
    <w:r w:rsidRPr="00337B79">
      <w:rPr>
        <w:rFonts w:cs="Simplified Arabic"/>
        <w:b/>
        <w:bCs/>
        <w:position w:val="-4"/>
        <w:sz w:val="26"/>
        <w:szCs w:val="26"/>
        <w:rtl/>
      </w:rPr>
      <w:fldChar w:fldCharType="separate"/>
    </w:r>
    <w:r w:rsidR="00FD3689">
      <w:rPr>
        <w:rFonts w:cs="Simplified Arabic"/>
        <w:b/>
        <w:bCs/>
        <w:noProof/>
        <w:position w:val="-4"/>
        <w:sz w:val="26"/>
        <w:szCs w:val="26"/>
        <w:rtl/>
      </w:rPr>
      <w:t>451</w:t>
    </w:r>
    <w:r w:rsidRPr="00337B79">
      <w:rPr>
        <w:rFonts w:cs="Simplified Arabic"/>
        <w:b/>
        <w:bCs/>
        <w:position w:val="-4"/>
        <w:sz w:val="26"/>
        <w:szCs w:val="26"/>
        <w:rt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8F34EB">
      <w:rPr>
        <w:rFonts w:cs="Abz-2 (Badr)" w:hint="cs"/>
        <w:b/>
        <w:bCs/>
        <w:sz w:val="22"/>
        <w:szCs w:val="22"/>
        <w:rtl/>
      </w:rPr>
      <w:t>34</w:t>
    </w:r>
    <w:r w:rsidRPr="006579E8">
      <w:rPr>
        <w:rFonts w:cs="Abz-2 (Badr)" w:hint="cs"/>
        <w:b/>
        <w:bCs/>
        <w:sz w:val="22"/>
        <w:szCs w:val="22"/>
        <w:rtl/>
      </w:rPr>
      <w:t xml:space="preserve"> ـ </w:t>
    </w:r>
    <w:r w:rsidRPr="008F34EB">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8F34EB">
      <w:rPr>
        <w:rFonts w:cs="Abz-2 (Badr)" w:hint="cs"/>
        <w:b/>
        <w:bCs/>
        <w:sz w:val="22"/>
        <w:szCs w:val="22"/>
        <w:rtl/>
      </w:rPr>
      <w:t>2015</w:t>
    </w:r>
    <w:r w:rsidRPr="006579E8">
      <w:rPr>
        <w:rFonts w:cs="Abz-2 (Badr)" w:hint="cs"/>
        <w:b/>
        <w:bCs/>
        <w:sz w:val="22"/>
        <w:szCs w:val="22"/>
        <w:rtl/>
      </w:rPr>
      <w:t xml:space="preserve">م ـ </w:t>
    </w:r>
    <w:r w:rsidRPr="008F34EB">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8F34EB">
      <w:rPr>
        <w:rFonts w:cs="Simplified Arabic"/>
        <w:b/>
        <w:bCs/>
        <w:position w:val="-4"/>
        <w:sz w:val="26"/>
        <w:szCs w:val="26"/>
        <w:rtl/>
      </w:rPr>
      <w:fldChar w:fldCharType="begin"/>
    </w:r>
    <w:r w:rsidRPr="008F34EB">
      <w:rPr>
        <w:rFonts w:cs="Simplified Arabic"/>
        <w:b/>
        <w:bCs/>
        <w:position w:val="-4"/>
        <w:sz w:val="26"/>
        <w:szCs w:val="26"/>
        <w:rtl/>
      </w:rPr>
      <w:instrText xml:space="preserve"> </w:instrText>
    </w:r>
    <w:r w:rsidRPr="008F34EB">
      <w:rPr>
        <w:rFonts w:cs="Simplified Arabic"/>
        <w:b/>
        <w:bCs/>
        <w:position w:val="-4"/>
        <w:sz w:val="26"/>
        <w:szCs w:val="26"/>
      </w:rPr>
      <w:instrText>PAGE</w:instrText>
    </w:r>
    <w:r w:rsidRPr="008F34EB">
      <w:rPr>
        <w:rFonts w:cs="Simplified Arabic"/>
        <w:b/>
        <w:bCs/>
        <w:position w:val="-4"/>
        <w:sz w:val="26"/>
        <w:szCs w:val="26"/>
        <w:rtl/>
      </w:rPr>
      <w:instrText xml:space="preserve"> </w:instrText>
    </w:r>
    <w:r w:rsidRPr="008F34EB">
      <w:rPr>
        <w:rFonts w:cs="Simplified Arabic"/>
        <w:b/>
        <w:bCs/>
        <w:position w:val="-4"/>
        <w:sz w:val="26"/>
        <w:szCs w:val="26"/>
        <w:rtl/>
      </w:rPr>
      <w:fldChar w:fldCharType="separate"/>
    </w:r>
    <w:r>
      <w:rPr>
        <w:rFonts w:cs="Simplified Arabic"/>
        <w:b/>
        <w:bCs/>
        <w:noProof/>
        <w:position w:val="-4"/>
        <w:sz w:val="26"/>
        <w:szCs w:val="26"/>
        <w:rtl/>
      </w:rPr>
      <w:t>51</w:t>
    </w:r>
    <w:r w:rsidRPr="008F34EB">
      <w:rPr>
        <w:rFonts w:cs="Simplified Arabic"/>
        <w:b/>
        <w:bCs/>
        <w:position w:val="-4"/>
        <w:sz w:val="26"/>
        <w:szCs w:val="26"/>
        <w:rtl/>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A54D8E" w:rsidRDefault="00F41F33" w:rsidP="00A54D8E">
    <w:pPr>
      <w:pStyle w:val="a8"/>
      <w:rPr>
        <w:szCs w:val="28"/>
        <w:rtl/>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901CCB" w:rsidRDefault="00F41F33" w:rsidP="00901CCB">
    <w:pPr>
      <w:tabs>
        <w:tab w:val="right" w:pos="7030"/>
      </w:tabs>
      <w:ind w:firstLine="0"/>
      <w:rPr>
        <w:sz w:val="34"/>
        <w:szCs w:val="20"/>
        <w:rtl/>
      </w:rPr>
    </w:pPr>
    <w:r w:rsidRPr="00337B79">
      <w:rPr>
        <w:rFonts w:cs="Simplified Arabic"/>
        <w:b/>
        <w:bCs/>
        <w:position w:val="-4"/>
        <w:sz w:val="26"/>
        <w:szCs w:val="26"/>
        <w:rtl/>
      </w:rPr>
      <w:fldChar w:fldCharType="begin"/>
    </w:r>
    <w:r w:rsidRPr="00337B79">
      <w:rPr>
        <w:rFonts w:cs="Simplified Arabic"/>
        <w:b/>
        <w:bCs/>
        <w:position w:val="-4"/>
        <w:sz w:val="26"/>
        <w:szCs w:val="26"/>
        <w:rtl/>
      </w:rPr>
      <w:instrText xml:space="preserve"> </w:instrText>
    </w:r>
    <w:r w:rsidRPr="00337B79">
      <w:rPr>
        <w:rFonts w:cs="Simplified Arabic"/>
        <w:b/>
        <w:bCs/>
        <w:position w:val="-4"/>
        <w:sz w:val="26"/>
        <w:szCs w:val="26"/>
      </w:rPr>
      <w:instrText>PAGE</w:instrText>
    </w:r>
    <w:r w:rsidRPr="00337B79">
      <w:rPr>
        <w:rFonts w:cs="Simplified Arabic"/>
        <w:b/>
        <w:bCs/>
        <w:position w:val="-4"/>
        <w:sz w:val="26"/>
        <w:szCs w:val="26"/>
        <w:rtl/>
      </w:rPr>
      <w:instrText xml:space="preserve"> </w:instrText>
    </w:r>
    <w:r w:rsidRPr="00337B79">
      <w:rPr>
        <w:rFonts w:cs="Simplified Arabic"/>
        <w:b/>
        <w:bCs/>
        <w:position w:val="-4"/>
        <w:sz w:val="26"/>
        <w:szCs w:val="26"/>
        <w:rtl/>
      </w:rPr>
      <w:fldChar w:fldCharType="separate"/>
    </w:r>
    <w:r w:rsidR="00FD3689">
      <w:rPr>
        <w:rFonts w:cs="Simplified Arabic"/>
        <w:b/>
        <w:bCs/>
        <w:noProof/>
        <w:position w:val="-4"/>
        <w:sz w:val="26"/>
        <w:szCs w:val="26"/>
        <w:rtl/>
      </w:rPr>
      <w:t>462</w:t>
    </w:r>
    <w:r w:rsidRPr="00337B79">
      <w:rPr>
        <w:rFonts w:cs="Simplified Arabic"/>
        <w:b/>
        <w:bCs/>
        <w:position w:val="-4"/>
        <w:sz w:val="26"/>
        <w:szCs w:val="26"/>
        <w:rtl/>
      </w:rPr>
      <w:fldChar w:fldCharType="end"/>
    </w:r>
    <w:r w:rsidRPr="00F62029">
      <w:rPr>
        <w:rFonts w:cs="FS_Kofi_Ahram" w:hint="cs"/>
        <w:sz w:val="22"/>
        <w:szCs w:val="22"/>
        <w:rtl/>
      </w:rPr>
      <w:tab/>
      <w:t>الاجتهاد والتجديد</w:t>
    </w:r>
    <w:r w:rsidRPr="00F62029">
      <w:rPr>
        <w:rFonts w:cs="Abz-2 (Badr)" w:hint="cs"/>
        <w:b/>
        <w:bCs/>
        <w:sz w:val="14"/>
        <w:szCs w:val="14"/>
        <w:rtl/>
      </w:rPr>
      <w:t xml:space="preserve"> </w:t>
    </w:r>
    <w:r w:rsidRPr="00F62029">
      <w:rPr>
        <w:rFonts w:cs="Abz-2 (Badr)" w:hint="cs"/>
        <w:b/>
        <w:bCs/>
        <w:sz w:val="22"/>
        <w:szCs w:val="22"/>
        <w:rtl/>
      </w:rPr>
      <w:t xml:space="preserve">ـ </w:t>
    </w:r>
    <w:r w:rsidRPr="00F62029">
      <w:rPr>
        <w:rFonts w:cs="Abz-2 (Badr)"/>
        <w:b/>
        <w:bCs/>
        <w:sz w:val="22"/>
        <w:szCs w:val="22"/>
        <w:rtl/>
      </w:rPr>
      <w:t>العـدد</w:t>
    </w:r>
    <w:r w:rsidRPr="00F62029">
      <w:rPr>
        <w:rFonts w:cs="Abz-2 (Badr)" w:hint="cs"/>
        <w:b/>
        <w:bCs/>
        <w:sz w:val="22"/>
        <w:szCs w:val="22"/>
        <w:rtl/>
      </w:rPr>
      <w:t xml:space="preserve">ان </w:t>
    </w:r>
    <w:r w:rsidRPr="00337B79">
      <w:rPr>
        <w:rFonts w:cs="Abz-2 (Badr)" w:hint="cs"/>
        <w:b/>
        <w:bCs/>
        <w:sz w:val="22"/>
        <w:szCs w:val="22"/>
        <w:rtl/>
      </w:rPr>
      <w:t>34</w:t>
    </w:r>
    <w:r w:rsidRPr="00F62029">
      <w:rPr>
        <w:rFonts w:cs="Abz-2 (Badr)" w:hint="cs"/>
        <w:b/>
        <w:bCs/>
        <w:sz w:val="22"/>
        <w:szCs w:val="22"/>
        <w:rtl/>
      </w:rPr>
      <w:t xml:space="preserve"> ـ </w:t>
    </w:r>
    <w:r w:rsidRPr="00337B79">
      <w:rPr>
        <w:rFonts w:cs="Abz-2 (Badr)" w:hint="cs"/>
        <w:b/>
        <w:bCs/>
        <w:sz w:val="22"/>
        <w:szCs w:val="22"/>
        <w:rtl/>
      </w:rPr>
      <w:t>35</w:t>
    </w:r>
    <w:r w:rsidRPr="00F62029">
      <w:rPr>
        <w:rFonts w:cs="Abz-2 (Badr)"/>
        <w:b/>
        <w:bCs/>
        <w:sz w:val="22"/>
        <w:szCs w:val="22"/>
        <w:rtl/>
      </w:rPr>
      <w:t>، الس</w:t>
    </w:r>
    <w:r w:rsidRPr="00F62029">
      <w:rPr>
        <w:rFonts w:cs="Abz-2 (Badr)" w:hint="cs"/>
        <w:b/>
        <w:bCs/>
        <w:sz w:val="22"/>
        <w:szCs w:val="22"/>
        <w:rtl/>
      </w:rPr>
      <w:t>نة التاسعة</w:t>
    </w:r>
    <w:r w:rsidRPr="00F62029">
      <w:rPr>
        <w:rFonts w:cs="Abz-2 (Badr)"/>
        <w:b/>
        <w:bCs/>
        <w:sz w:val="22"/>
        <w:szCs w:val="22"/>
        <w:rtl/>
      </w:rPr>
      <w:t xml:space="preserve">، </w:t>
    </w:r>
    <w:r w:rsidRPr="00F62029">
      <w:rPr>
        <w:rFonts w:cs="Abz-2 (Badr)" w:hint="cs"/>
        <w:b/>
        <w:bCs/>
        <w:sz w:val="22"/>
        <w:szCs w:val="22"/>
        <w:rtl/>
      </w:rPr>
      <w:t xml:space="preserve">ربيع وصيف </w:t>
    </w:r>
    <w:r w:rsidRPr="00337B79">
      <w:rPr>
        <w:rFonts w:cs="Abz-2 (Badr)" w:hint="cs"/>
        <w:b/>
        <w:bCs/>
        <w:sz w:val="22"/>
        <w:szCs w:val="22"/>
        <w:rtl/>
      </w:rPr>
      <w:t>2015</w:t>
    </w:r>
    <w:r w:rsidRPr="00F62029">
      <w:rPr>
        <w:rFonts w:cs="Abz-2 (Badr)" w:hint="cs"/>
        <w:b/>
        <w:bCs/>
        <w:sz w:val="22"/>
        <w:szCs w:val="22"/>
        <w:rtl/>
      </w:rPr>
      <w:t xml:space="preserve">م ـ </w:t>
    </w:r>
    <w:r w:rsidRPr="00337B79">
      <w:rPr>
        <w:rFonts w:cs="Abz-2 (Badr)" w:hint="cs"/>
        <w:b/>
        <w:bCs/>
        <w:sz w:val="22"/>
        <w:szCs w:val="22"/>
        <w:rtl/>
      </w:rPr>
      <w:t>1436</w:t>
    </w:r>
    <w:r w:rsidRPr="00F62029">
      <w:rPr>
        <w:rFonts w:cs="Abz-2 (Badr)" w:hint="cs"/>
        <w:b/>
        <w:bCs/>
        <w:sz w:val="22"/>
        <w:szCs w:val="22"/>
        <w:rtl/>
      </w:rPr>
      <w:t>هـ</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70D64" w:rsidRDefault="00F41F33" w:rsidP="00DB6544">
    <w:pPr>
      <w:tabs>
        <w:tab w:val="right" w:pos="7030"/>
      </w:tabs>
      <w:ind w:firstLine="0"/>
      <w:rPr>
        <w:sz w:val="34"/>
        <w:szCs w:val="20"/>
        <w:rtl/>
      </w:rPr>
    </w:pPr>
    <w:r w:rsidRPr="006579E8">
      <w:rPr>
        <w:rFonts w:cs="FS_Kofi_Ahram" w:hint="cs"/>
        <w:sz w:val="22"/>
        <w:szCs w:val="22"/>
        <w:rtl/>
      </w:rPr>
      <w:t>الاجتهاد والتجديد</w:t>
    </w:r>
    <w:r w:rsidRPr="006579E8">
      <w:rPr>
        <w:rFonts w:cs="Abz-2 (Badr)" w:hint="cs"/>
        <w:b/>
        <w:bCs/>
        <w:sz w:val="14"/>
        <w:szCs w:val="14"/>
        <w:rtl/>
      </w:rPr>
      <w:t xml:space="preserve"> </w:t>
    </w:r>
    <w:r w:rsidRPr="006579E8">
      <w:rPr>
        <w:rFonts w:cs="Abz-2 (Badr)" w:hint="cs"/>
        <w:b/>
        <w:bCs/>
        <w:sz w:val="22"/>
        <w:szCs w:val="22"/>
        <w:rtl/>
      </w:rPr>
      <w:t xml:space="preserve">ـ </w:t>
    </w:r>
    <w:r w:rsidRPr="006579E8">
      <w:rPr>
        <w:rFonts w:cs="Abz-2 (Badr)"/>
        <w:b/>
        <w:bCs/>
        <w:sz w:val="22"/>
        <w:szCs w:val="22"/>
        <w:rtl/>
      </w:rPr>
      <w:t>العـدد</w:t>
    </w:r>
    <w:r w:rsidRPr="006579E8">
      <w:rPr>
        <w:rFonts w:cs="Abz-2 (Badr)" w:hint="cs"/>
        <w:b/>
        <w:bCs/>
        <w:sz w:val="22"/>
        <w:szCs w:val="22"/>
        <w:rtl/>
      </w:rPr>
      <w:t xml:space="preserve">ان </w:t>
    </w:r>
    <w:r w:rsidRPr="00337B79">
      <w:rPr>
        <w:rFonts w:cs="Abz-2 (Badr)" w:hint="cs"/>
        <w:b/>
        <w:bCs/>
        <w:sz w:val="22"/>
        <w:szCs w:val="22"/>
        <w:rtl/>
      </w:rPr>
      <w:t>34</w:t>
    </w:r>
    <w:r w:rsidRPr="006579E8">
      <w:rPr>
        <w:rFonts w:cs="Abz-2 (Badr)" w:hint="cs"/>
        <w:b/>
        <w:bCs/>
        <w:sz w:val="22"/>
        <w:szCs w:val="22"/>
        <w:rtl/>
      </w:rPr>
      <w:t xml:space="preserve"> ـ </w:t>
    </w:r>
    <w:r w:rsidRPr="00337B79">
      <w:rPr>
        <w:rFonts w:cs="Abz-2 (Badr)" w:hint="cs"/>
        <w:b/>
        <w:bCs/>
        <w:sz w:val="22"/>
        <w:szCs w:val="22"/>
        <w:rtl/>
      </w:rPr>
      <w:t>35</w:t>
    </w:r>
    <w:r w:rsidRPr="006579E8">
      <w:rPr>
        <w:rFonts w:cs="Abz-2 (Badr)"/>
        <w:b/>
        <w:bCs/>
        <w:sz w:val="22"/>
        <w:szCs w:val="22"/>
        <w:rtl/>
      </w:rPr>
      <w:t>، السـ</w:t>
    </w:r>
    <w:r w:rsidRPr="006579E8">
      <w:rPr>
        <w:rFonts w:cs="Abz-2 (Badr)" w:hint="cs"/>
        <w:b/>
        <w:bCs/>
        <w:sz w:val="22"/>
        <w:szCs w:val="22"/>
        <w:rtl/>
      </w:rPr>
      <w:t>نة التاسعة</w:t>
    </w:r>
    <w:r w:rsidRPr="006579E8">
      <w:rPr>
        <w:rFonts w:cs="Abz-2 (Badr)"/>
        <w:b/>
        <w:bCs/>
        <w:sz w:val="22"/>
        <w:szCs w:val="22"/>
        <w:rtl/>
      </w:rPr>
      <w:t xml:space="preserve">، </w:t>
    </w:r>
    <w:r w:rsidRPr="006579E8">
      <w:rPr>
        <w:rFonts w:cs="Abz-2 (Badr)" w:hint="cs"/>
        <w:b/>
        <w:bCs/>
        <w:sz w:val="22"/>
        <w:szCs w:val="22"/>
        <w:rtl/>
      </w:rPr>
      <w:t xml:space="preserve">ربيع وصيف </w:t>
    </w:r>
    <w:r w:rsidRPr="00337B79">
      <w:rPr>
        <w:rFonts w:cs="Abz-2 (Badr)" w:hint="cs"/>
        <w:b/>
        <w:bCs/>
        <w:sz w:val="22"/>
        <w:szCs w:val="22"/>
        <w:rtl/>
      </w:rPr>
      <w:t>2015</w:t>
    </w:r>
    <w:r w:rsidRPr="006579E8">
      <w:rPr>
        <w:rFonts w:cs="Abz-2 (Badr)" w:hint="cs"/>
        <w:b/>
        <w:bCs/>
        <w:sz w:val="22"/>
        <w:szCs w:val="22"/>
        <w:rtl/>
      </w:rPr>
      <w:t xml:space="preserve">م ـ </w:t>
    </w:r>
    <w:r w:rsidRPr="00337B79">
      <w:rPr>
        <w:rFonts w:cs="Abz-2 (Badr)" w:hint="cs"/>
        <w:b/>
        <w:bCs/>
        <w:sz w:val="22"/>
        <w:szCs w:val="22"/>
        <w:rtl/>
      </w:rPr>
      <w:t>1436</w:t>
    </w:r>
    <w:r w:rsidRPr="006579E8">
      <w:rPr>
        <w:rFonts w:cs="Abz-2 (Badr)" w:hint="cs"/>
        <w:b/>
        <w:bCs/>
        <w:sz w:val="22"/>
        <w:szCs w:val="22"/>
        <w:rtl/>
      </w:rPr>
      <w:t>هـ</w:t>
    </w:r>
    <w:r w:rsidRPr="006579E8">
      <w:rPr>
        <w:rFonts w:cs="Simplified Arabic" w:hint="cs"/>
        <w:b/>
        <w:bCs/>
        <w:rtl/>
      </w:rPr>
      <w:tab/>
    </w:r>
    <w:r w:rsidRPr="00337B79">
      <w:rPr>
        <w:rFonts w:cs="Simplified Arabic"/>
        <w:b/>
        <w:bCs/>
        <w:position w:val="-4"/>
        <w:sz w:val="26"/>
        <w:szCs w:val="26"/>
        <w:rtl/>
      </w:rPr>
      <w:fldChar w:fldCharType="begin"/>
    </w:r>
    <w:r w:rsidRPr="00337B79">
      <w:rPr>
        <w:rFonts w:cs="Simplified Arabic"/>
        <w:b/>
        <w:bCs/>
        <w:position w:val="-4"/>
        <w:sz w:val="26"/>
        <w:szCs w:val="26"/>
        <w:rtl/>
      </w:rPr>
      <w:instrText xml:space="preserve"> </w:instrText>
    </w:r>
    <w:r w:rsidRPr="00337B79">
      <w:rPr>
        <w:rFonts w:cs="Simplified Arabic"/>
        <w:b/>
        <w:bCs/>
        <w:position w:val="-4"/>
        <w:sz w:val="26"/>
        <w:szCs w:val="26"/>
      </w:rPr>
      <w:instrText>PAGE</w:instrText>
    </w:r>
    <w:r w:rsidRPr="00337B79">
      <w:rPr>
        <w:rFonts w:cs="Simplified Arabic"/>
        <w:b/>
        <w:bCs/>
        <w:position w:val="-4"/>
        <w:sz w:val="26"/>
        <w:szCs w:val="26"/>
        <w:rtl/>
      </w:rPr>
      <w:instrText xml:space="preserve"> </w:instrText>
    </w:r>
    <w:r w:rsidRPr="00337B79">
      <w:rPr>
        <w:rFonts w:cs="Simplified Arabic"/>
        <w:b/>
        <w:bCs/>
        <w:position w:val="-4"/>
        <w:sz w:val="26"/>
        <w:szCs w:val="26"/>
        <w:rtl/>
      </w:rPr>
      <w:fldChar w:fldCharType="separate"/>
    </w:r>
    <w:r w:rsidR="00FD3689">
      <w:rPr>
        <w:rFonts w:cs="Simplified Arabic"/>
        <w:b/>
        <w:bCs/>
        <w:noProof/>
        <w:position w:val="-4"/>
        <w:sz w:val="26"/>
        <w:szCs w:val="26"/>
        <w:rtl/>
      </w:rPr>
      <w:t>461</w:t>
    </w:r>
    <w:r w:rsidRPr="00337B79">
      <w:rPr>
        <w:rFonts w:cs="Simplified Arabic"/>
        <w:b/>
        <w:bCs/>
        <w:position w:val="-4"/>
        <w:sz w:val="26"/>
        <w:szCs w:val="26"/>
        <w:rtl/>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45FD6" w:rsidRDefault="00F41F33" w:rsidP="00345FD6">
    <w:pPr>
      <w:pStyle w:val="a8"/>
      <w:rPr>
        <w:szCs w:val="28"/>
        <w:rtl/>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7E67" w:rsidRDefault="00E87E67" w:rsidP="00B41146">
      <w:pPr>
        <w:ind w:firstLine="0"/>
      </w:pPr>
      <w:r>
        <w:separator/>
      </w:r>
    </w:p>
  </w:footnote>
  <w:footnote w:type="continuationSeparator" w:id="0">
    <w:p w:rsidR="00E87E67" w:rsidRDefault="00E87E67" w:rsidP="00B41146">
      <w:pPr>
        <w:ind w:firstLine="0"/>
      </w:pPr>
      <w:r>
        <w:continuationSeparator/>
      </w:r>
    </w:p>
  </w:footnote>
  <w:footnote w:id="1">
    <w:p w:rsidR="00F41F33" w:rsidRPr="00715694" w:rsidRDefault="00F41F33" w:rsidP="00C46219">
      <w:pPr>
        <w:pStyle w:val="aff3"/>
        <w:spacing w:line="290" w:lineRule="exact"/>
        <w:ind w:left="0" w:right="0"/>
        <w:rPr>
          <w:rFonts w:cs="md_ameli"/>
          <w:sz w:val="22"/>
          <w:szCs w:val="22"/>
        </w:rPr>
      </w:pPr>
      <w:r w:rsidRPr="00715694">
        <w:rPr>
          <w:rFonts w:cs="md_ameli" w:hint="cs"/>
          <w:sz w:val="22"/>
          <w:szCs w:val="22"/>
          <w:rtl/>
        </w:rPr>
        <w:t>(*)</w:t>
      </w:r>
      <w:r w:rsidRPr="00715694">
        <w:rPr>
          <w:rFonts w:cs="md_ameli"/>
          <w:sz w:val="22"/>
          <w:szCs w:val="22"/>
          <w:rtl/>
        </w:rPr>
        <w:t xml:space="preserve"> </w:t>
      </w:r>
      <w:r w:rsidRPr="004F3882">
        <w:rPr>
          <w:rFonts w:cs="DanaFajr" w:hint="cs"/>
          <w:rtl/>
        </w:rPr>
        <w:t xml:space="preserve">المحاضرة التي ألقيت في مركز السيد الشهيد الصدر الثاني، في مدينة قم في إيران، بتاريخ </w:t>
      </w:r>
      <w:r w:rsidRPr="00C46219">
        <w:rPr>
          <w:rFonts w:cs="DanaFajr" w:hint="cs"/>
          <w:rtl/>
        </w:rPr>
        <w:t>12</w:t>
      </w:r>
      <w:r w:rsidRPr="004F3882">
        <w:rPr>
          <w:rFonts w:cs="DanaFajr" w:hint="cs"/>
          <w:rtl/>
        </w:rPr>
        <w:t xml:space="preserve"> ـ </w:t>
      </w:r>
      <w:r w:rsidRPr="00C46219">
        <w:rPr>
          <w:rFonts w:cs="DanaFajr" w:hint="cs"/>
          <w:rtl/>
        </w:rPr>
        <w:t>7</w:t>
      </w:r>
      <w:r w:rsidRPr="004F3882">
        <w:rPr>
          <w:rFonts w:cs="DanaFajr" w:hint="cs"/>
          <w:rtl/>
        </w:rPr>
        <w:t xml:space="preserve"> ـ </w:t>
      </w:r>
      <w:r w:rsidRPr="00C46219">
        <w:rPr>
          <w:rFonts w:cs="DanaFajr" w:hint="cs"/>
          <w:rtl/>
        </w:rPr>
        <w:t>2013</w:t>
      </w:r>
      <w:r w:rsidRPr="004F3882">
        <w:rPr>
          <w:rFonts w:cs="DanaFajr" w:hint="cs"/>
          <w:rtl/>
        </w:rPr>
        <w:t>م. مع</w:t>
      </w:r>
      <w:r w:rsidRPr="00715694">
        <w:rPr>
          <w:rFonts w:cs="DanaFajr" w:hint="cs"/>
          <w:rtl/>
        </w:rPr>
        <w:t xml:space="preserve"> بعض التعديل والتصرّف.</w:t>
      </w:r>
    </w:p>
  </w:footnote>
  <w:footnote w:id="2">
    <w:p w:rsidR="00F41F33" w:rsidRPr="00715694" w:rsidRDefault="00F41F33" w:rsidP="00D45852">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أحد الباحثين البارزين في مجال الدين وفلسفة الأخلاق، ومن المساهمين في إطلاق عجلة علم الكلام الجديد وفلسفة الدين.</w:t>
      </w:r>
    </w:p>
  </w:footnote>
  <w:footnote w:id="3">
    <w:p w:rsidR="00F41F33" w:rsidRPr="00715694" w:rsidRDefault="00F41F33" w:rsidP="00D74235">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مفكّ</w:t>
      </w:r>
      <w:r>
        <w:rPr>
          <w:rFonts w:cs="DanaFajr" w:hint="cs"/>
          <w:rtl/>
        </w:rPr>
        <w:t>ِ</w:t>
      </w:r>
      <w:r w:rsidRPr="00715694">
        <w:rPr>
          <w:rFonts w:cs="DanaFajr" w:hint="cs"/>
          <w:rtl/>
        </w:rPr>
        <w:t>ر</w:t>
      </w:r>
      <w:r>
        <w:rPr>
          <w:rFonts w:cs="DanaFajr" w:hint="cs"/>
          <w:rtl/>
        </w:rPr>
        <w:t>ٌ</w:t>
      </w:r>
      <w:r w:rsidRPr="00715694">
        <w:rPr>
          <w:rFonts w:cs="DanaFajr" w:hint="cs"/>
          <w:rtl/>
        </w:rPr>
        <w:t xml:space="preserve"> إسلامي كبير، وأحد أبرز رموز النهضة الحديثة في الفكر الديني</w:t>
      </w:r>
      <w:r>
        <w:rPr>
          <w:rFonts w:cs="DanaFajr" w:hint="cs"/>
          <w:rtl/>
        </w:rPr>
        <w:t>.</w:t>
      </w:r>
      <w:r w:rsidRPr="00715694">
        <w:rPr>
          <w:rFonts w:cs="DanaFajr" w:hint="cs"/>
          <w:rtl/>
        </w:rPr>
        <w:t xml:space="preserve"> له عشرات المؤل</w:t>
      </w:r>
      <w:r>
        <w:rPr>
          <w:rFonts w:cs="DanaFajr" w:hint="cs"/>
          <w:rtl/>
        </w:rPr>
        <w:t>َّ</w:t>
      </w:r>
      <w:r w:rsidRPr="00715694">
        <w:rPr>
          <w:rFonts w:cs="DanaFajr" w:hint="cs"/>
          <w:rtl/>
        </w:rPr>
        <w:t>فات والأعمال والنظريات والأفكار</w:t>
      </w:r>
      <w:r>
        <w:rPr>
          <w:rFonts w:cs="DanaFajr" w:hint="cs"/>
          <w:rtl/>
        </w:rPr>
        <w:t>.</w:t>
      </w:r>
      <w:r w:rsidRPr="00715694">
        <w:rPr>
          <w:rFonts w:cs="DanaFajr" w:hint="cs"/>
          <w:rtl/>
        </w:rPr>
        <w:t xml:space="preserve"> استشهد مطلع انتصار الثورة الإسلامية في إيران.</w:t>
      </w:r>
    </w:p>
  </w:footnote>
  <w:footnote w:id="4">
    <w:p w:rsidR="00F41F33" w:rsidRPr="00715694" w:rsidRDefault="00F41F33" w:rsidP="00FA793B">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حائزٌ على دكتوراه في الدراسات الإسلامية</w:t>
      </w:r>
      <w:r w:rsidRPr="00715694">
        <w:rPr>
          <w:rFonts w:cs="DanaFajr"/>
          <w:rtl/>
        </w:rPr>
        <w:t xml:space="preserve"> </w:t>
      </w:r>
      <w:r w:rsidRPr="00715694">
        <w:rPr>
          <w:rFonts w:cs="DanaFajr" w:hint="cs"/>
          <w:rtl/>
        </w:rPr>
        <w:t>(الفكر السياسي</w:t>
      </w:r>
      <w:r>
        <w:rPr>
          <w:rFonts w:cs="DanaFajr" w:hint="cs"/>
          <w:rtl/>
        </w:rPr>
        <w:t>ّ</w:t>
      </w:r>
      <w:r w:rsidRPr="00715694">
        <w:rPr>
          <w:rFonts w:cs="DanaFajr" w:hint="cs"/>
          <w:rtl/>
        </w:rPr>
        <w:t>)، وأستاذ</w:t>
      </w:r>
      <w:r>
        <w:rPr>
          <w:rFonts w:cs="DanaFajr" w:hint="cs"/>
          <w:rtl/>
        </w:rPr>
        <w:t>ٌ</w:t>
      </w:r>
      <w:r w:rsidRPr="00715694">
        <w:rPr>
          <w:rFonts w:cs="DanaFajr" w:hint="cs"/>
          <w:rtl/>
        </w:rPr>
        <w:t xml:space="preserve"> محاض</w:t>
      </w:r>
      <w:r>
        <w:rPr>
          <w:rFonts w:cs="DanaFajr" w:hint="cs"/>
          <w:rtl/>
        </w:rPr>
        <w:t>ِ</w:t>
      </w:r>
      <w:r w:rsidRPr="00715694">
        <w:rPr>
          <w:rFonts w:cs="DanaFajr" w:hint="cs"/>
          <w:rtl/>
        </w:rPr>
        <w:t>ر بكلّية دراسات العالم ـ جامعة طهران. من إيران.</w:t>
      </w:r>
    </w:p>
  </w:footnote>
  <w:footnote w:id="5">
    <w:p w:rsidR="00F41F33" w:rsidRPr="00715694" w:rsidRDefault="00F41F33" w:rsidP="00391D7D">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 xml:space="preserve">) </w:t>
      </w:r>
      <w:r w:rsidRPr="00715694">
        <w:rPr>
          <w:rFonts w:cs="DanaFajr" w:hint="cs"/>
          <w:rtl/>
          <w:lang w:bidi="ar-OM"/>
        </w:rPr>
        <w:t>باحثٌ في الفكر العربي الإسلامي. من سلطنة ع</w:t>
      </w:r>
      <w:r>
        <w:rPr>
          <w:rFonts w:cs="DanaFajr" w:hint="cs"/>
          <w:rtl/>
          <w:lang w:bidi="ar-OM"/>
        </w:rPr>
        <w:t>ُ</w:t>
      </w:r>
      <w:r w:rsidRPr="00715694">
        <w:rPr>
          <w:rFonts w:cs="DanaFajr" w:hint="cs"/>
          <w:rtl/>
          <w:lang w:bidi="ar-OM"/>
        </w:rPr>
        <w:t>م</w:t>
      </w:r>
      <w:r>
        <w:rPr>
          <w:rFonts w:cs="DanaFajr" w:hint="cs"/>
          <w:rtl/>
          <w:lang w:bidi="ar-OM"/>
        </w:rPr>
        <w:t>َ</w:t>
      </w:r>
      <w:r w:rsidRPr="00715694">
        <w:rPr>
          <w:rFonts w:cs="DanaFajr" w:hint="cs"/>
          <w:rtl/>
          <w:lang w:bidi="ar-OM"/>
        </w:rPr>
        <w:t>ان</w:t>
      </w:r>
      <w:r w:rsidRPr="00715694">
        <w:rPr>
          <w:rFonts w:cs="DanaFajr" w:hint="cs"/>
          <w:rtl/>
        </w:rPr>
        <w:t>.</w:t>
      </w:r>
    </w:p>
  </w:footnote>
  <w:footnote w:id="6">
    <w:p w:rsidR="00F41F33" w:rsidRPr="00715694" w:rsidRDefault="00F41F33" w:rsidP="00AF14A9">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lang w:bidi="fa-IR"/>
        </w:rPr>
        <w:t xml:space="preserve"> </w:t>
      </w:r>
      <w:r w:rsidRPr="00715694">
        <w:rPr>
          <w:rFonts w:cs="DanaFajr"/>
          <w:rtl/>
          <w:lang w:bidi="fa-IR"/>
        </w:rPr>
        <w:t>أستاذ الشريعة ال</w:t>
      </w:r>
      <w:r w:rsidRPr="00715694">
        <w:rPr>
          <w:rFonts w:cs="DanaFajr" w:hint="cs"/>
          <w:rtl/>
          <w:lang w:bidi="fa-IR"/>
        </w:rPr>
        <w:t>إ</w:t>
      </w:r>
      <w:r w:rsidRPr="00715694">
        <w:rPr>
          <w:rFonts w:cs="DanaFajr"/>
          <w:rtl/>
          <w:lang w:bidi="fa-IR"/>
        </w:rPr>
        <w:t>سلامي</w:t>
      </w:r>
      <w:r>
        <w:rPr>
          <w:rFonts w:cs="DanaFajr" w:hint="cs"/>
          <w:rtl/>
          <w:lang w:bidi="fa-IR"/>
        </w:rPr>
        <w:t>ّ</w:t>
      </w:r>
      <w:r w:rsidRPr="00715694">
        <w:rPr>
          <w:rFonts w:cs="DanaFajr"/>
          <w:rtl/>
          <w:lang w:bidi="fa-IR"/>
        </w:rPr>
        <w:t>ة</w:t>
      </w:r>
      <w:r w:rsidRPr="00715694">
        <w:rPr>
          <w:rFonts w:cs="DanaFajr" w:hint="cs"/>
          <w:rtl/>
          <w:lang w:bidi="fa-IR"/>
        </w:rPr>
        <w:t xml:space="preserve"> في </w:t>
      </w:r>
      <w:r w:rsidRPr="00715694">
        <w:rPr>
          <w:rFonts w:cs="DanaFajr"/>
          <w:rtl/>
          <w:lang w:bidi="fa-IR"/>
        </w:rPr>
        <w:t>كل</w:t>
      </w:r>
      <w:r>
        <w:rPr>
          <w:rFonts w:cs="DanaFajr" w:hint="cs"/>
          <w:rtl/>
          <w:lang w:bidi="fa-IR"/>
        </w:rPr>
        <w:t>ِّ</w:t>
      </w:r>
      <w:r w:rsidRPr="00715694">
        <w:rPr>
          <w:rFonts w:cs="DanaFajr"/>
          <w:rtl/>
          <w:lang w:bidi="fa-IR"/>
        </w:rPr>
        <w:t>ية الحقوق ـ جامعة ال</w:t>
      </w:r>
      <w:r w:rsidRPr="00715694">
        <w:rPr>
          <w:rFonts w:cs="DanaFajr" w:hint="cs"/>
          <w:rtl/>
          <w:lang w:bidi="fa-IR"/>
        </w:rPr>
        <w:t>إ</w:t>
      </w:r>
      <w:r w:rsidRPr="00715694">
        <w:rPr>
          <w:rFonts w:cs="DanaFajr"/>
          <w:rtl/>
          <w:lang w:bidi="fa-IR"/>
        </w:rPr>
        <w:t>سكندري</w:t>
      </w:r>
      <w:r>
        <w:rPr>
          <w:rFonts w:cs="DanaFajr" w:hint="cs"/>
          <w:rtl/>
          <w:lang w:bidi="fa-IR"/>
        </w:rPr>
        <w:t>ّ</w:t>
      </w:r>
      <w:r w:rsidRPr="00715694">
        <w:rPr>
          <w:rFonts w:cs="DanaFajr"/>
          <w:rtl/>
          <w:lang w:bidi="fa-IR"/>
        </w:rPr>
        <w:t>ة</w:t>
      </w:r>
      <w:r w:rsidRPr="00715694">
        <w:rPr>
          <w:rFonts w:cs="DanaFajr" w:hint="cs"/>
          <w:rtl/>
        </w:rPr>
        <w:t>. من مصر.</w:t>
      </w:r>
    </w:p>
  </w:footnote>
  <w:footnote w:id="7">
    <w:p w:rsidR="00F41F33" w:rsidRPr="00715694" w:rsidRDefault="00F41F33" w:rsidP="00AD3664">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باحث</w:t>
      </w:r>
      <w:r>
        <w:rPr>
          <w:rFonts w:cs="DanaFajr" w:hint="cs"/>
          <w:rtl/>
        </w:rPr>
        <w:t>ٌ</w:t>
      </w:r>
      <w:r w:rsidRPr="00715694">
        <w:rPr>
          <w:rFonts w:cs="DanaFajr" w:hint="cs"/>
          <w:rtl/>
        </w:rPr>
        <w:t xml:space="preserve"> في مجال الحديث الشريف</w:t>
      </w:r>
      <w:r>
        <w:rPr>
          <w:rFonts w:cs="DanaFajr" w:hint="cs"/>
          <w:rtl/>
        </w:rPr>
        <w:t>.</w:t>
      </w:r>
      <w:r w:rsidRPr="00715694">
        <w:rPr>
          <w:rFonts w:cs="DanaFajr" w:hint="cs"/>
          <w:rtl/>
        </w:rPr>
        <w:t xml:space="preserve"> من العراق.</w:t>
      </w:r>
    </w:p>
  </w:footnote>
  <w:footnote w:id="8">
    <w:p w:rsidR="00F41F33" w:rsidRPr="00715694" w:rsidRDefault="00F41F33" w:rsidP="00A47EA9">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lang w:bidi="fa-IR"/>
        </w:rPr>
        <w:t xml:space="preserve"> </w:t>
      </w:r>
      <w:r w:rsidRPr="00715694">
        <w:rPr>
          <w:rFonts w:cs="DanaFajr"/>
          <w:rtl/>
          <w:lang w:bidi="fa-IR"/>
        </w:rPr>
        <w:t xml:space="preserve">رئيس </w:t>
      </w:r>
      <w:r w:rsidRPr="00715694">
        <w:rPr>
          <w:rFonts w:cs="DanaFajr" w:hint="cs"/>
          <w:rtl/>
          <w:lang w:bidi="fa-IR"/>
        </w:rPr>
        <w:t>مركز</w:t>
      </w:r>
      <w:r w:rsidRPr="00715694">
        <w:rPr>
          <w:rFonts w:cs="DanaFajr"/>
          <w:rtl/>
          <w:lang w:bidi="fa-IR"/>
        </w:rPr>
        <w:t xml:space="preserve"> الفقه الإسلامي</w:t>
      </w:r>
      <w:r>
        <w:rPr>
          <w:rFonts w:cs="DanaFajr" w:hint="cs"/>
          <w:rtl/>
          <w:lang w:bidi="fa-IR"/>
        </w:rPr>
        <w:t>ّ</w:t>
      </w:r>
      <w:r w:rsidRPr="00715694">
        <w:rPr>
          <w:rFonts w:cs="DanaFajr"/>
          <w:rtl/>
          <w:lang w:bidi="fa-IR"/>
        </w:rPr>
        <w:t xml:space="preserve"> وأصوله للدراسات العليا</w:t>
      </w:r>
      <w:r>
        <w:rPr>
          <w:rFonts w:cs="DanaFajr" w:hint="cs"/>
          <w:rtl/>
        </w:rPr>
        <w:t>.</w:t>
      </w:r>
      <w:r w:rsidRPr="00715694">
        <w:rPr>
          <w:rFonts w:cs="DanaFajr" w:hint="cs"/>
          <w:rtl/>
        </w:rPr>
        <w:t xml:space="preserve"> من العراق.</w:t>
      </w:r>
    </w:p>
  </w:footnote>
  <w:footnote w:id="9">
    <w:p w:rsidR="00F41F33" w:rsidRPr="00715694" w:rsidRDefault="00F41F33" w:rsidP="00B406BB">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lang w:bidi="fa-IR"/>
        </w:rPr>
        <w:t xml:space="preserve"> </w:t>
      </w:r>
      <w:r w:rsidRPr="00715694">
        <w:rPr>
          <w:rFonts w:cs="DanaFajr"/>
          <w:rtl/>
          <w:lang w:bidi="fa-IR"/>
        </w:rPr>
        <w:t>أستاذ</w:t>
      </w:r>
      <w:r w:rsidRPr="00715694">
        <w:rPr>
          <w:rFonts w:cs="DanaFajr" w:hint="cs"/>
          <w:rtl/>
          <w:lang w:bidi="fa-IR"/>
        </w:rPr>
        <w:t>ة</w:t>
      </w:r>
      <w:r w:rsidRPr="00715694">
        <w:rPr>
          <w:rFonts w:cs="DanaFajr"/>
          <w:rtl/>
          <w:lang w:bidi="fa-IR"/>
        </w:rPr>
        <w:t xml:space="preserve"> الفلسفة </w:t>
      </w:r>
      <w:r w:rsidRPr="00715694">
        <w:rPr>
          <w:rFonts w:cs="DanaFajr" w:hint="cs"/>
          <w:rtl/>
          <w:lang w:bidi="fa-IR"/>
        </w:rPr>
        <w:t>في</w:t>
      </w:r>
      <w:r w:rsidRPr="00715694">
        <w:rPr>
          <w:rFonts w:cs="DanaFajr"/>
          <w:rtl/>
          <w:lang w:bidi="fa-IR"/>
        </w:rPr>
        <w:t xml:space="preserve"> كل</w:t>
      </w:r>
      <w:r w:rsidRPr="00715694">
        <w:rPr>
          <w:rFonts w:cs="DanaFajr" w:hint="cs"/>
          <w:rtl/>
          <w:lang w:bidi="fa-IR"/>
        </w:rPr>
        <w:t>ّ</w:t>
      </w:r>
      <w:r w:rsidRPr="00715694">
        <w:rPr>
          <w:rFonts w:cs="DanaFajr"/>
          <w:rtl/>
          <w:lang w:bidi="fa-IR"/>
        </w:rPr>
        <w:t>ية الآداب</w:t>
      </w:r>
      <w:r w:rsidRPr="00715694">
        <w:rPr>
          <w:rFonts w:cs="DanaFajr" w:hint="cs"/>
          <w:rtl/>
          <w:lang w:bidi="fa-IR"/>
        </w:rPr>
        <w:t xml:space="preserve"> ـ </w:t>
      </w:r>
      <w:r w:rsidRPr="00715694">
        <w:rPr>
          <w:rFonts w:cs="DanaFajr"/>
          <w:rtl/>
          <w:lang w:bidi="fa-IR"/>
        </w:rPr>
        <w:t>جامعة حلوان</w:t>
      </w:r>
      <w:r w:rsidRPr="00715694">
        <w:rPr>
          <w:rFonts w:cs="DanaFajr" w:hint="cs"/>
          <w:rtl/>
          <w:lang w:bidi="fa-IR"/>
        </w:rPr>
        <w:t xml:space="preserve">. من </w:t>
      </w:r>
      <w:r w:rsidRPr="00715694">
        <w:rPr>
          <w:rFonts w:cs="DanaFajr"/>
          <w:rtl/>
          <w:lang w:bidi="fa-IR"/>
        </w:rPr>
        <w:t>مصر</w:t>
      </w:r>
      <w:r w:rsidRPr="00715694">
        <w:rPr>
          <w:rFonts w:cs="DanaFajr" w:hint="cs"/>
          <w:rtl/>
        </w:rPr>
        <w:t>.</w:t>
      </w:r>
    </w:p>
  </w:footnote>
  <w:footnote w:id="10">
    <w:p w:rsidR="00F41F33" w:rsidRPr="00715694" w:rsidRDefault="00F41F33" w:rsidP="00424B50">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أستاذ</w:t>
      </w:r>
      <w:r>
        <w:rPr>
          <w:rFonts w:cs="DanaFajr" w:hint="cs"/>
          <w:rtl/>
        </w:rPr>
        <w:t>ٌ</w:t>
      </w:r>
      <w:r w:rsidRPr="00715694">
        <w:rPr>
          <w:rFonts w:cs="DanaFajr" w:hint="cs"/>
          <w:rtl/>
        </w:rPr>
        <w:t xml:space="preserve"> جامعي</w:t>
      </w:r>
      <w:r>
        <w:rPr>
          <w:rFonts w:cs="DanaFajr" w:hint="cs"/>
          <w:rtl/>
        </w:rPr>
        <w:t>ّ</w:t>
      </w:r>
      <w:r w:rsidRPr="00715694">
        <w:rPr>
          <w:rFonts w:cs="DanaFajr" w:hint="cs"/>
          <w:rtl/>
        </w:rPr>
        <w:t xml:space="preserve"> بارز، وكاتب</w:t>
      </w:r>
      <w:r>
        <w:rPr>
          <w:rFonts w:cs="DanaFajr" w:hint="cs"/>
          <w:rtl/>
        </w:rPr>
        <w:t>ٌ</w:t>
      </w:r>
      <w:r w:rsidRPr="00715694">
        <w:rPr>
          <w:rFonts w:cs="DanaFajr" w:hint="cs"/>
          <w:rtl/>
        </w:rPr>
        <w:t xml:space="preserve"> في مجالات الفقه والفكر الإسلاميّين</w:t>
      </w:r>
      <w:r>
        <w:rPr>
          <w:rFonts w:cs="DanaFajr" w:hint="cs"/>
          <w:rtl/>
        </w:rPr>
        <w:t>.</w:t>
      </w:r>
      <w:r w:rsidRPr="00715694">
        <w:rPr>
          <w:rFonts w:cs="DanaFajr" w:hint="cs"/>
          <w:rtl/>
        </w:rPr>
        <w:t xml:space="preserve"> من العراق.</w:t>
      </w:r>
    </w:p>
  </w:footnote>
  <w:footnote w:id="11">
    <w:p w:rsidR="00F41F33" w:rsidRPr="00715694" w:rsidRDefault="00F41F33" w:rsidP="00055EC4">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 xml:space="preserve">) </w:t>
      </w:r>
      <w:r w:rsidRPr="00715694">
        <w:rPr>
          <w:rFonts w:cs="DanaFajr" w:hint="cs"/>
          <w:rtl/>
        </w:rPr>
        <w:t>باحث</w:t>
      </w:r>
      <w:r>
        <w:rPr>
          <w:rFonts w:cs="DanaFajr" w:hint="cs"/>
          <w:rtl/>
        </w:rPr>
        <w:t>ٌ</w:t>
      </w:r>
      <w:r w:rsidRPr="00715694">
        <w:rPr>
          <w:rFonts w:cs="DanaFajr" w:hint="cs"/>
          <w:rtl/>
        </w:rPr>
        <w:t xml:space="preserve"> وأستاذ</w:t>
      </w:r>
      <w:r>
        <w:rPr>
          <w:rFonts w:cs="DanaFajr" w:hint="cs"/>
          <w:rtl/>
        </w:rPr>
        <w:t>ٌ</w:t>
      </w:r>
      <w:r w:rsidRPr="00715694">
        <w:rPr>
          <w:rFonts w:cs="DanaFajr" w:hint="cs"/>
          <w:rtl/>
        </w:rPr>
        <w:t xml:space="preserve"> في القانون وعلوم الشريعة</w:t>
      </w:r>
      <w:r>
        <w:rPr>
          <w:rFonts w:cs="DanaFajr" w:hint="cs"/>
          <w:rtl/>
        </w:rPr>
        <w:t>.</w:t>
      </w:r>
      <w:r w:rsidRPr="00715694">
        <w:rPr>
          <w:rFonts w:cs="DanaFajr" w:hint="cs"/>
          <w:rtl/>
        </w:rPr>
        <w:t xml:space="preserve"> من إيران.</w:t>
      </w:r>
    </w:p>
  </w:footnote>
  <w:footnote w:id="12">
    <w:p w:rsidR="00F41F33" w:rsidRPr="00715694" w:rsidRDefault="00F41F33" w:rsidP="009E5BCE">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lang w:bidi="fa-IR"/>
        </w:rPr>
        <w:t xml:space="preserve"> عضو الهيئة العلمي</w:t>
      </w:r>
      <w:r>
        <w:rPr>
          <w:rFonts w:cs="DanaFajr" w:hint="cs"/>
          <w:rtl/>
          <w:lang w:bidi="fa-IR"/>
        </w:rPr>
        <w:t>ّ</w:t>
      </w:r>
      <w:r w:rsidRPr="00715694">
        <w:rPr>
          <w:rFonts w:cs="DanaFajr" w:hint="cs"/>
          <w:rtl/>
          <w:lang w:bidi="fa-IR"/>
        </w:rPr>
        <w:t>ة في جامعة المصطفى</w:t>
      </w:r>
      <w:r w:rsidRPr="00BB4525">
        <w:rPr>
          <w:rFonts w:cs="Mosawi" w:hint="cs"/>
          <w:sz w:val="20"/>
          <w:szCs w:val="20"/>
          <w:rtl/>
          <w:lang w:bidi="fa-IR"/>
        </w:rPr>
        <w:t>|</w:t>
      </w:r>
      <w:r w:rsidRPr="00715694">
        <w:rPr>
          <w:rFonts w:cs="DanaFajr" w:hint="cs"/>
          <w:rtl/>
          <w:lang w:bidi="fa-IR"/>
        </w:rPr>
        <w:t xml:space="preserve"> العالمي</w:t>
      </w:r>
      <w:r>
        <w:rPr>
          <w:rFonts w:cs="DanaFajr" w:hint="cs"/>
          <w:rtl/>
          <w:lang w:bidi="fa-IR"/>
        </w:rPr>
        <w:t>ّ</w:t>
      </w:r>
      <w:r w:rsidRPr="00715694">
        <w:rPr>
          <w:rFonts w:cs="DanaFajr" w:hint="cs"/>
          <w:rtl/>
          <w:lang w:bidi="fa-IR"/>
        </w:rPr>
        <w:t>ة، ورئيس تحرير مجلّة فقه أهل البيت</w:t>
      </w:r>
      <w:r w:rsidRPr="00BB4525">
        <w:rPr>
          <w:rFonts w:ascii="Mosawi" w:hAnsi="Mosawi" w:cs="Mosawi"/>
          <w:sz w:val="20"/>
          <w:szCs w:val="20"/>
          <w:rtl/>
          <w:lang w:bidi="fa-IR"/>
        </w:rPr>
        <w:t>^</w:t>
      </w:r>
      <w:r>
        <w:rPr>
          <w:rFonts w:cs="DanaFajr" w:hint="cs"/>
          <w:rtl/>
        </w:rPr>
        <w:t>.</w:t>
      </w:r>
      <w:r w:rsidRPr="00715694">
        <w:rPr>
          <w:rFonts w:cs="DanaFajr" w:hint="cs"/>
          <w:rtl/>
        </w:rPr>
        <w:t xml:space="preserve"> من العراق.</w:t>
      </w:r>
    </w:p>
  </w:footnote>
  <w:footnote w:id="13">
    <w:p w:rsidR="00F41F33" w:rsidRPr="00715694" w:rsidRDefault="00F41F33" w:rsidP="00A856D8">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أستاذ الدراسات العليا ـ الفقهيّة والفلسفيّة ـ في الحوزة العلمي</w:t>
      </w:r>
      <w:r>
        <w:rPr>
          <w:rFonts w:cs="DanaFajr" w:hint="cs"/>
          <w:rtl/>
        </w:rPr>
        <w:t>ّ</w:t>
      </w:r>
      <w:r w:rsidRPr="00715694">
        <w:rPr>
          <w:rFonts w:cs="DanaFajr" w:hint="cs"/>
          <w:rtl/>
        </w:rPr>
        <w:t>ة في إصفهان. له كتابات</w:t>
      </w:r>
      <w:r>
        <w:rPr>
          <w:rFonts w:cs="DanaFajr" w:hint="cs"/>
          <w:rtl/>
        </w:rPr>
        <w:t>ٌ</w:t>
      </w:r>
      <w:r w:rsidRPr="00715694">
        <w:rPr>
          <w:rFonts w:cs="DanaFajr" w:hint="cs"/>
          <w:rtl/>
        </w:rPr>
        <w:t xml:space="preserve"> نقدي</w:t>
      </w:r>
      <w:r>
        <w:rPr>
          <w:rFonts w:cs="DanaFajr" w:hint="cs"/>
          <w:rtl/>
        </w:rPr>
        <w:t>ّ</w:t>
      </w:r>
      <w:r w:rsidRPr="00715694">
        <w:rPr>
          <w:rFonts w:cs="DanaFajr" w:hint="cs"/>
          <w:rtl/>
        </w:rPr>
        <w:t>ة عديدة.</w:t>
      </w:r>
    </w:p>
  </w:footnote>
  <w:footnote w:id="14">
    <w:p w:rsidR="00F41F33" w:rsidRPr="00715694" w:rsidRDefault="00F41F33" w:rsidP="00574045">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lang w:bidi="ar-SY"/>
        </w:rPr>
        <w:t xml:space="preserve"> كاتبٌ</w:t>
      </w:r>
      <w:r w:rsidRPr="00715694">
        <w:rPr>
          <w:rFonts w:cs="DanaFajr"/>
          <w:rtl/>
          <w:lang w:bidi="ar-SY"/>
        </w:rPr>
        <w:t xml:space="preserve"> </w:t>
      </w:r>
      <w:r w:rsidRPr="00715694">
        <w:rPr>
          <w:rFonts w:cs="DanaFajr" w:hint="cs"/>
          <w:rtl/>
          <w:lang w:bidi="ar-SY"/>
        </w:rPr>
        <w:t>وباحثٌ</w:t>
      </w:r>
      <w:r w:rsidRPr="00715694">
        <w:rPr>
          <w:rFonts w:cs="DanaFajr"/>
          <w:rtl/>
          <w:lang w:bidi="ar-SY"/>
        </w:rPr>
        <w:t xml:space="preserve"> </w:t>
      </w:r>
      <w:r w:rsidRPr="00715694">
        <w:rPr>
          <w:rFonts w:cs="DanaFajr" w:hint="cs"/>
          <w:rtl/>
          <w:lang w:bidi="ar-SY"/>
        </w:rPr>
        <w:t>في الفكر العربي والإسلامي</w:t>
      </w:r>
      <w:r>
        <w:rPr>
          <w:rFonts w:cs="DanaFajr" w:hint="cs"/>
          <w:rtl/>
          <w:lang w:bidi="ar-SY"/>
        </w:rPr>
        <w:t>.</w:t>
      </w:r>
      <w:r w:rsidRPr="00715694">
        <w:rPr>
          <w:rFonts w:cs="DanaFajr" w:hint="cs"/>
          <w:rtl/>
          <w:lang w:bidi="ar-SY"/>
        </w:rPr>
        <w:t xml:space="preserve"> من سوريا. </w:t>
      </w:r>
    </w:p>
  </w:footnote>
  <w:footnote w:id="15">
    <w:p w:rsidR="00F41F33" w:rsidRPr="00715694" w:rsidRDefault="00F41F33" w:rsidP="00A8172D">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أستاذ</w:t>
      </w:r>
      <w:r>
        <w:rPr>
          <w:rFonts w:cs="DanaFajr" w:hint="cs"/>
          <w:rtl/>
        </w:rPr>
        <w:t>ٌ</w:t>
      </w:r>
      <w:r w:rsidRPr="00715694">
        <w:rPr>
          <w:rFonts w:cs="DanaFajr" w:hint="cs"/>
          <w:rtl/>
        </w:rPr>
        <w:t xml:space="preserve"> وباحث</w:t>
      </w:r>
      <w:r>
        <w:rPr>
          <w:rFonts w:cs="DanaFajr" w:hint="cs"/>
          <w:rtl/>
        </w:rPr>
        <w:t>ٌ</w:t>
      </w:r>
      <w:r w:rsidRPr="00715694">
        <w:rPr>
          <w:rFonts w:cs="DanaFajr" w:hint="cs"/>
          <w:rtl/>
        </w:rPr>
        <w:t xml:space="preserve"> في الحوزة العلمية</w:t>
      </w:r>
      <w:r>
        <w:rPr>
          <w:rFonts w:cs="DanaFajr" w:hint="cs"/>
          <w:rtl/>
        </w:rPr>
        <w:t>.</w:t>
      </w:r>
      <w:r w:rsidRPr="00715694">
        <w:rPr>
          <w:rFonts w:cs="DanaFajr" w:hint="cs"/>
          <w:rtl/>
        </w:rPr>
        <w:t xml:space="preserve"> من إيران.</w:t>
      </w:r>
    </w:p>
  </w:footnote>
  <w:footnote w:id="16">
    <w:p w:rsidR="00F41F33" w:rsidRPr="00715694" w:rsidRDefault="00F41F33" w:rsidP="00BA35F6">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lang w:bidi="ar-DZ"/>
        </w:rPr>
        <w:t xml:space="preserve"> رئيس المجلس العلمي لكلية العلوم الإنسانية والاجتماعية في جامعة عمار ثليجي، الأغواط. من الجزائر</w:t>
      </w:r>
      <w:r w:rsidRPr="00715694">
        <w:rPr>
          <w:rFonts w:cs="DanaFajr" w:hint="cs"/>
          <w:rtl/>
        </w:rPr>
        <w:t>.</w:t>
      </w:r>
    </w:p>
  </w:footnote>
  <w:footnote w:id="17">
    <w:p w:rsidR="00F41F33" w:rsidRPr="00715694" w:rsidRDefault="00F41F33" w:rsidP="00E66798">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باحث</w:t>
      </w:r>
      <w:r>
        <w:rPr>
          <w:rFonts w:cs="DanaFajr" w:hint="cs"/>
          <w:rtl/>
          <w:lang w:bidi="ar-LB"/>
        </w:rPr>
        <w:t>ٌ</w:t>
      </w:r>
      <w:r w:rsidRPr="00715694">
        <w:rPr>
          <w:rFonts w:cs="DanaFajr" w:hint="cs"/>
          <w:rtl/>
        </w:rPr>
        <w:t xml:space="preserve"> وأستاذ الدراسات العليا في الحوزة العلميّة</w:t>
      </w:r>
      <w:r>
        <w:rPr>
          <w:rFonts w:cs="DanaFajr" w:hint="cs"/>
          <w:rtl/>
        </w:rPr>
        <w:t>.</w:t>
      </w:r>
      <w:r w:rsidRPr="00715694">
        <w:rPr>
          <w:rFonts w:cs="DanaFajr" w:hint="cs"/>
          <w:rtl/>
        </w:rPr>
        <w:t xml:space="preserve"> له أعمال</w:t>
      </w:r>
      <w:r>
        <w:rPr>
          <w:rFonts w:cs="DanaFajr" w:hint="cs"/>
          <w:rtl/>
        </w:rPr>
        <w:t>ٌ</w:t>
      </w:r>
      <w:r w:rsidRPr="00715694">
        <w:rPr>
          <w:rFonts w:cs="DanaFajr" w:hint="cs"/>
          <w:rtl/>
        </w:rPr>
        <w:t xml:space="preserve"> متعدّ</w:t>
      </w:r>
      <w:r>
        <w:rPr>
          <w:rFonts w:cs="DanaFajr" w:hint="cs"/>
          <w:rtl/>
        </w:rPr>
        <w:t>ِ</w:t>
      </w:r>
      <w:r w:rsidRPr="00715694">
        <w:rPr>
          <w:rFonts w:cs="DanaFajr" w:hint="cs"/>
          <w:rtl/>
        </w:rPr>
        <w:t>دة</w:t>
      </w:r>
      <w:r>
        <w:rPr>
          <w:rFonts w:cs="DanaFajr" w:hint="cs"/>
          <w:rtl/>
        </w:rPr>
        <w:t>.</w:t>
      </w:r>
      <w:r w:rsidRPr="00715694">
        <w:rPr>
          <w:rFonts w:cs="DanaFajr" w:hint="cs"/>
          <w:rtl/>
        </w:rPr>
        <w:t xml:space="preserve"> من لبنان.</w:t>
      </w:r>
    </w:p>
  </w:footnote>
  <w:footnote w:id="18">
    <w:p w:rsidR="00F41F33" w:rsidRPr="00715694" w:rsidRDefault="00F41F33" w:rsidP="004722A1">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باحث</w:t>
      </w:r>
      <w:r>
        <w:rPr>
          <w:rFonts w:cs="DanaFajr" w:hint="cs"/>
          <w:rtl/>
        </w:rPr>
        <w:t>ٌ</w:t>
      </w:r>
      <w:r w:rsidRPr="00715694">
        <w:rPr>
          <w:rFonts w:cs="DanaFajr" w:hint="cs"/>
          <w:rtl/>
        </w:rPr>
        <w:t xml:space="preserve"> في مجال العلوم الشرعيّة.</w:t>
      </w:r>
    </w:p>
  </w:footnote>
  <w:footnote w:id="19">
    <w:p w:rsidR="00F41F33" w:rsidRPr="00715694" w:rsidRDefault="00F41F33" w:rsidP="00C9025B">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أستاذ</w:t>
      </w:r>
      <w:r>
        <w:rPr>
          <w:rFonts w:cs="DanaFajr" w:hint="cs"/>
          <w:rtl/>
        </w:rPr>
        <w:t>ٌ</w:t>
      </w:r>
      <w:r w:rsidRPr="00715694">
        <w:rPr>
          <w:rFonts w:cs="DanaFajr" w:hint="cs"/>
          <w:rtl/>
        </w:rPr>
        <w:t xml:space="preserve"> وباحث</w:t>
      </w:r>
      <w:r>
        <w:rPr>
          <w:rFonts w:cs="DanaFajr" w:hint="cs"/>
          <w:rtl/>
        </w:rPr>
        <w:t>ٌ</w:t>
      </w:r>
      <w:r w:rsidRPr="00715694">
        <w:rPr>
          <w:rFonts w:cs="DanaFajr" w:hint="cs"/>
          <w:rtl/>
        </w:rPr>
        <w:t xml:space="preserve"> في الحوزة العلمية</w:t>
      </w:r>
      <w:r>
        <w:rPr>
          <w:rFonts w:cs="DanaFajr" w:hint="cs"/>
          <w:rtl/>
        </w:rPr>
        <w:t>.</w:t>
      </w:r>
      <w:r w:rsidRPr="00715694">
        <w:rPr>
          <w:rFonts w:cs="DanaFajr" w:hint="cs"/>
          <w:rtl/>
        </w:rPr>
        <w:t xml:space="preserve"> من إيران.</w:t>
      </w:r>
    </w:p>
  </w:footnote>
  <w:footnote w:id="20">
    <w:p w:rsidR="00F41F33" w:rsidRPr="00715694" w:rsidRDefault="00F41F33" w:rsidP="00A94E18">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باحث</w:t>
      </w:r>
      <w:r>
        <w:rPr>
          <w:rFonts w:cs="DanaFajr" w:hint="cs"/>
          <w:rtl/>
        </w:rPr>
        <w:t>ٌ</w:t>
      </w:r>
      <w:r w:rsidRPr="00715694">
        <w:rPr>
          <w:rFonts w:cs="DanaFajr" w:hint="cs"/>
          <w:rtl/>
        </w:rPr>
        <w:t xml:space="preserve"> وكاتب</w:t>
      </w:r>
      <w:r>
        <w:rPr>
          <w:rFonts w:cs="DanaFajr" w:hint="cs"/>
          <w:rtl/>
        </w:rPr>
        <w:t>ٌ</w:t>
      </w:r>
      <w:r w:rsidRPr="00715694">
        <w:rPr>
          <w:rFonts w:cs="DanaFajr" w:hint="cs"/>
          <w:rtl/>
        </w:rPr>
        <w:t xml:space="preserve"> متخص</w:t>
      </w:r>
      <w:r>
        <w:rPr>
          <w:rFonts w:cs="DanaFajr" w:hint="cs"/>
          <w:rtl/>
        </w:rPr>
        <w:t>ِّص في مجال فلسفة الدين وعلم المعرف</w:t>
      </w:r>
      <w:r w:rsidRPr="00715694">
        <w:rPr>
          <w:rFonts w:cs="DanaFajr" w:hint="cs"/>
          <w:rtl/>
        </w:rPr>
        <w:t>ة</w:t>
      </w:r>
      <w:r>
        <w:rPr>
          <w:rFonts w:cs="DanaFajr" w:hint="cs"/>
          <w:rtl/>
        </w:rPr>
        <w:t>.</w:t>
      </w:r>
      <w:r w:rsidRPr="00715694">
        <w:rPr>
          <w:rFonts w:cs="DanaFajr" w:hint="cs"/>
          <w:rtl/>
        </w:rPr>
        <w:t xml:space="preserve"> من إيران.</w:t>
      </w:r>
    </w:p>
  </w:footnote>
  <w:footnote w:id="21">
    <w:p w:rsidR="00F41F33" w:rsidRPr="00715694" w:rsidRDefault="00F41F33" w:rsidP="0098428A">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أستاذةٌ في جامعة سيستان وبلوشستان. من إيران.</w:t>
      </w:r>
    </w:p>
  </w:footnote>
  <w:footnote w:id="22">
    <w:p w:rsidR="00F41F33" w:rsidRPr="00715694" w:rsidRDefault="00F41F33" w:rsidP="00F14321">
      <w:pPr>
        <w:pStyle w:val="aff3"/>
        <w:spacing w:line="32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هذا المقال هو عرضٌ وتلخيص لكتاب </w:t>
      </w:r>
      <w:r w:rsidRPr="00715694">
        <w:rPr>
          <w:rFonts w:cs="DanaFajr"/>
          <w:rtl/>
        </w:rPr>
        <w:t>«</w:t>
      </w:r>
      <w:r w:rsidRPr="00715694">
        <w:rPr>
          <w:rFonts w:cs="DanaFajr" w:hint="cs"/>
          <w:rtl/>
        </w:rPr>
        <w:t>الكرامة الإنسانيّة، دراسة</w:t>
      </w:r>
      <w:r>
        <w:rPr>
          <w:rFonts w:cs="DanaFajr" w:hint="cs"/>
          <w:rtl/>
        </w:rPr>
        <w:t>ٌ</w:t>
      </w:r>
      <w:r w:rsidRPr="00715694">
        <w:rPr>
          <w:rFonts w:cs="DanaFajr" w:hint="cs"/>
          <w:rtl/>
        </w:rPr>
        <w:t xml:space="preserve"> في طهارة الإنسان على ضوء الفقه الإسلامي</w:t>
      </w:r>
      <w:r w:rsidRPr="00715694">
        <w:rPr>
          <w:rFonts w:cs="DanaFajr" w:hint="eastAsia"/>
          <w:rtl/>
        </w:rPr>
        <w:t>»</w:t>
      </w:r>
      <w:r w:rsidRPr="00715694">
        <w:rPr>
          <w:rFonts w:cs="DanaFajr" w:hint="cs"/>
          <w:rtl/>
        </w:rPr>
        <w:t>، للسيد أبو الحسن نوّاب، الأستاذ المساعد ورئيس جامعة الأديان والمذاهب بمدينة قم. وقد أعدّه الباحث عماد الهلالي</w:t>
      </w:r>
      <w:r>
        <w:rPr>
          <w:rFonts w:cs="DanaFajr" w:hint="cs"/>
          <w:rtl/>
        </w:rPr>
        <w:t>،</w:t>
      </w:r>
      <w:r w:rsidRPr="00715694">
        <w:rPr>
          <w:rFonts w:cs="DanaFajr" w:hint="cs"/>
          <w:rtl/>
        </w:rPr>
        <w:t xml:space="preserve"> المتخص</w:t>
      </w:r>
      <w:r>
        <w:rPr>
          <w:rFonts w:cs="DanaFajr" w:hint="cs"/>
          <w:rtl/>
        </w:rPr>
        <w:t>ِّ</w:t>
      </w:r>
      <w:r w:rsidRPr="00715694">
        <w:rPr>
          <w:rFonts w:cs="DanaFajr" w:hint="cs"/>
          <w:rtl/>
        </w:rPr>
        <w:t>ص في دراسات الأديان المقارنة</w:t>
      </w:r>
      <w:r>
        <w:rPr>
          <w:rFonts w:cs="DanaFajr" w:hint="cs"/>
          <w:rtl/>
        </w:rPr>
        <w:t>.</w:t>
      </w:r>
      <w:r w:rsidRPr="00715694">
        <w:rPr>
          <w:rFonts w:cs="DanaFajr" w:hint="cs"/>
          <w:rtl/>
        </w:rPr>
        <w:t xml:space="preserve"> من العراق.</w:t>
      </w:r>
    </w:p>
  </w:footnote>
  <w:footnote w:id="23">
    <w:p w:rsidR="00F41F33" w:rsidRPr="00715694" w:rsidRDefault="00F41F33" w:rsidP="00C73462">
      <w:pPr>
        <w:pStyle w:val="aff3"/>
        <w:spacing w:line="300" w:lineRule="exact"/>
        <w:ind w:left="0" w:right="0"/>
        <w:rPr>
          <w:rFonts w:cs="md_ameli"/>
          <w:sz w:val="22"/>
          <w:szCs w:val="22"/>
          <w:rtl/>
        </w:rPr>
      </w:pPr>
      <w:r w:rsidRPr="00715694">
        <w:rPr>
          <w:rFonts w:cs="md_ameli" w:hint="cs"/>
          <w:sz w:val="22"/>
          <w:szCs w:val="22"/>
          <w:rtl/>
        </w:rPr>
        <w:t>(</w:t>
      </w:r>
      <w:r w:rsidRPr="00715694">
        <w:rPr>
          <w:rFonts w:cs="md_ameli"/>
          <w:sz w:val="22"/>
          <w:szCs w:val="22"/>
          <w:rtl/>
        </w:rPr>
        <w:t>*</w:t>
      </w:r>
      <w:r w:rsidRPr="00715694">
        <w:rPr>
          <w:rFonts w:cs="md_ameli" w:hint="cs"/>
          <w:sz w:val="22"/>
          <w:szCs w:val="22"/>
          <w:rtl/>
        </w:rPr>
        <w:t>)</w:t>
      </w:r>
      <w:r w:rsidRPr="00715694">
        <w:rPr>
          <w:rFonts w:cs="DanaFajr" w:hint="cs"/>
          <w:rtl/>
        </w:rPr>
        <w:t xml:space="preserve"> باحث</w:t>
      </w:r>
      <w:r>
        <w:rPr>
          <w:rFonts w:cs="DanaFajr" w:hint="cs"/>
          <w:rtl/>
        </w:rPr>
        <w:t>ٌ</w:t>
      </w:r>
      <w:r w:rsidRPr="00715694">
        <w:rPr>
          <w:rFonts w:cs="DanaFajr" w:hint="cs"/>
          <w:rtl/>
        </w:rPr>
        <w:t xml:space="preserve"> متخصّ</w:t>
      </w:r>
      <w:r>
        <w:rPr>
          <w:rFonts w:cs="DanaFajr" w:hint="cs"/>
          <w:rtl/>
        </w:rPr>
        <w:t>ِ</w:t>
      </w:r>
      <w:r w:rsidRPr="00715694">
        <w:rPr>
          <w:rFonts w:cs="DanaFajr" w:hint="cs"/>
          <w:rtl/>
        </w:rPr>
        <w:t>ص في مجال التاريخ</w:t>
      </w:r>
      <w:r>
        <w:rPr>
          <w:rFonts w:cs="DanaFajr" w:hint="cs"/>
          <w:rtl/>
        </w:rPr>
        <w:t>.</w:t>
      </w:r>
      <w:r w:rsidRPr="00715694">
        <w:rPr>
          <w:rFonts w:cs="DanaFajr" w:hint="cs"/>
          <w:rtl/>
        </w:rPr>
        <w:t xml:space="preserve"> من إيران.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76E12" w:rsidRDefault="00F41F33" w:rsidP="00B76E12">
    <w:pPr>
      <w:pStyle w:val="a7"/>
      <w:ind w:firstLine="0"/>
      <w:rPr>
        <w:lang w:bidi="ar-L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jc w:val="right"/>
      <w:rPr>
        <w:rFonts w:cs="Ya-Ali"/>
        <w:i/>
        <w:iCs/>
        <w:sz w:val="24"/>
        <w:szCs w:val="24"/>
        <w:rtl/>
      </w:rPr>
    </w:pPr>
    <w:r w:rsidRPr="00C44BBD">
      <w:rPr>
        <w:rFonts w:cs="Ya-Ali"/>
        <w:sz w:val="24"/>
        <w:szCs w:val="24"/>
        <w:rtl/>
      </w:rPr>
      <w:t>•</w:t>
    </w:r>
    <w:r w:rsidRPr="00C44BBD">
      <w:rPr>
        <w:rFonts w:cs="Ya-Ali" w:hint="cs"/>
        <w:i/>
        <w:iCs/>
        <w:sz w:val="24"/>
        <w:szCs w:val="24"/>
        <w:rtl/>
      </w:rPr>
      <w:t xml:space="preserve"> الفقه</w:t>
    </w:r>
    <w:r w:rsidRPr="00C44BBD">
      <w:rPr>
        <w:rFonts w:cs="Ya-Ali"/>
        <w:i/>
        <w:iCs/>
        <w:sz w:val="24"/>
        <w:szCs w:val="24"/>
      </w:rPr>
      <w:t xml:space="preserve"> </w:t>
    </w:r>
    <w:r w:rsidRPr="00C44BBD">
      <w:rPr>
        <w:rFonts w:cs="Ya-Ali" w:hint="cs"/>
        <w:i/>
        <w:iCs/>
        <w:sz w:val="24"/>
        <w:szCs w:val="24"/>
        <w:rtl/>
      </w:rPr>
      <w:t>الإسلامي وتحديات العصر الحديث / القسم الأول</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5B2E4D" w:rsidRDefault="00F41F33" w:rsidP="005B2E4D">
    <w:pPr>
      <w:pStyle w:val="a8"/>
      <w:spacing w:after="240" w:line="200" w:lineRule="exact"/>
      <w:ind w:left="284" w:hanging="284"/>
      <w:jc w:val="right"/>
      <w:rPr>
        <w:rFonts w:cs="Ya-Ali"/>
        <w:i/>
        <w:iCs/>
        <w:sz w:val="24"/>
        <w:szCs w:val="24"/>
        <w:rtl/>
      </w:rPr>
    </w:pPr>
    <w:r w:rsidRPr="005B2E4D">
      <w:rPr>
        <w:rFonts w:cs="Ya-Ali"/>
        <w:sz w:val="24"/>
        <w:szCs w:val="24"/>
        <w:rtl/>
      </w:rPr>
      <w:t>•</w:t>
    </w:r>
    <w:r w:rsidRPr="005B2E4D">
      <w:rPr>
        <w:rFonts w:cs="Ya-Ali" w:hint="cs"/>
        <w:i/>
        <w:iCs/>
        <w:sz w:val="24"/>
        <w:szCs w:val="24"/>
        <w:rtl/>
      </w:rPr>
      <w:t xml:space="preserve"> أفضلية الأطعمة النباتية في النظام الغذائي، قراءة أخلاقية</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345FD6">
    <w:pPr>
      <w:pStyle w:val="a7"/>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E82E4B" w:rsidRDefault="00F41F33" w:rsidP="00E82E4B">
    <w:pPr>
      <w:pStyle w:val="a8"/>
      <w:spacing w:after="240" w:line="200" w:lineRule="exact"/>
      <w:ind w:left="284" w:hanging="284"/>
      <w:rPr>
        <w:rFonts w:cs="Ya-Ali"/>
        <w:i/>
        <w:iCs/>
        <w:sz w:val="24"/>
        <w:szCs w:val="24"/>
        <w:rtl/>
      </w:rPr>
    </w:pPr>
    <w:r w:rsidRPr="00E82E4B">
      <w:rPr>
        <w:rFonts w:cs="Ya-Ali"/>
        <w:sz w:val="24"/>
        <w:szCs w:val="24"/>
        <w:rtl/>
      </w:rPr>
      <w:t>•</w:t>
    </w:r>
    <w:r>
      <w:rPr>
        <w:rFonts w:cs="Ya-Ali" w:hint="cs"/>
        <w:i/>
        <w:iCs/>
        <w:sz w:val="24"/>
        <w:szCs w:val="24"/>
        <w:rtl/>
      </w:rPr>
      <w:t xml:space="preserve"> د. </w:t>
    </w:r>
    <w:r w:rsidRPr="00C545CE">
      <w:rPr>
        <w:rFonts w:cs="Ya-Ali" w:hint="cs"/>
        <w:i/>
        <w:iCs/>
        <w:sz w:val="24"/>
        <w:szCs w:val="24"/>
        <w:rtl/>
      </w:rPr>
      <w:t>مهرناز كلي</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E82E4B" w:rsidRDefault="00F41F33" w:rsidP="00E82E4B">
    <w:pPr>
      <w:pStyle w:val="a8"/>
      <w:spacing w:after="240" w:line="200" w:lineRule="exact"/>
      <w:ind w:left="284" w:hanging="284"/>
      <w:jc w:val="right"/>
      <w:rPr>
        <w:rFonts w:cs="Ya-Ali"/>
        <w:i/>
        <w:iCs/>
        <w:sz w:val="24"/>
        <w:szCs w:val="24"/>
        <w:rtl/>
      </w:rPr>
    </w:pPr>
    <w:r w:rsidRPr="00E82E4B">
      <w:rPr>
        <w:rFonts w:cs="Ya-Ali"/>
        <w:sz w:val="24"/>
        <w:szCs w:val="24"/>
        <w:rtl/>
      </w:rPr>
      <w:t>•</w:t>
    </w:r>
    <w:r w:rsidRPr="00E82E4B">
      <w:rPr>
        <w:rFonts w:cs="Ya-Ali" w:hint="cs"/>
        <w:i/>
        <w:iCs/>
        <w:sz w:val="24"/>
        <w:szCs w:val="24"/>
        <w:rtl/>
      </w:rPr>
      <w:t xml:space="preserve"> فقه أهل البغي في القرآن والسنة</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345FD6">
    <w:pPr>
      <w:pStyle w:val="a7"/>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E82E4B" w:rsidRDefault="00F41F33" w:rsidP="00E82E4B">
    <w:pPr>
      <w:pStyle w:val="a8"/>
      <w:spacing w:after="240" w:line="200" w:lineRule="exact"/>
      <w:ind w:left="284" w:hanging="284"/>
      <w:rPr>
        <w:rFonts w:cs="Ya-Ali"/>
        <w:i/>
        <w:iCs/>
        <w:sz w:val="24"/>
        <w:szCs w:val="24"/>
        <w:rtl/>
      </w:rPr>
    </w:pPr>
    <w:r w:rsidRPr="00E82E4B">
      <w:rPr>
        <w:rFonts w:cs="Ya-Ali"/>
        <w:sz w:val="24"/>
        <w:szCs w:val="24"/>
        <w:rtl/>
      </w:rPr>
      <w:t>•</w:t>
    </w:r>
    <w:r>
      <w:rPr>
        <w:rFonts w:cs="Ya-Ali" w:hint="cs"/>
        <w:i/>
        <w:iCs/>
        <w:sz w:val="24"/>
        <w:szCs w:val="24"/>
        <w:rtl/>
      </w:rPr>
      <w:t xml:space="preserve"> أ. عماد الهلالي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1F2CB3">
    <w:pPr>
      <w:pStyle w:val="a7"/>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E82E4B" w:rsidRDefault="00F41F33" w:rsidP="00E82E4B">
    <w:pPr>
      <w:pStyle w:val="a8"/>
      <w:spacing w:after="240" w:line="200" w:lineRule="exact"/>
      <w:ind w:left="284" w:hanging="284"/>
      <w:jc w:val="right"/>
      <w:rPr>
        <w:rFonts w:cs="Ya-Ali"/>
        <w:i/>
        <w:iCs/>
        <w:sz w:val="24"/>
        <w:szCs w:val="24"/>
        <w:rtl/>
      </w:rPr>
    </w:pPr>
    <w:r w:rsidRPr="00E82E4B">
      <w:rPr>
        <w:rFonts w:cs="Ya-Ali"/>
        <w:sz w:val="24"/>
        <w:szCs w:val="24"/>
        <w:rtl/>
      </w:rPr>
      <w:t>•</w:t>
    </w:r>
    <w:r w:rsidRPr="00E82E4B">
      <w:rPr>
        <w:rFonts w:cs="Ya-Ali" w:hint="cs"/>
        <w:i/>
        <w:iCs/>
        <w:sz w:val="24"/>
        <w:szCs w:val="24"/>
        <w:rtl/>
      </w:rPr>
      <w:t xml:space="preserve"> طهارة أهل الكتاب، قراءة وتلخيص</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345FD6">
    <w:pPr>
      <w:pStyle w:val="a7"/>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E82E4B" w:rsidRDefault="00F41F33" w:rsidP="00E82E4B">
    <w:pPr>
      <w:pStyle w:val="a8"/>
      <w:spacing w:after="240" w:line="200" w:lineRule="exact"/>
      <w:ind w:left="284" w:hanging="284"/>
      <w:rPr>
        <w:rFonts w:cs="Ya-Ali"/>
        <w:i/>
        <w:iCs/>
        <w:sz w:val="24"/>
        <w:szCs w:val="24"/>
        <w:rtl/>
      </w:rPr>
    </w:pPr>
    <w:r w:rsidRPr="00E82E4B">
      <w:rPr>
        <w:rFonts w:cs="Ya-Ali"/>
        <w:sz w:val="24"/>
        <w:szCs w:val="24"/>
        <w:rtl/>
      </w:rPr>
      <w:t>•</w:t>
    </w:r>
    <w:r>
      <w:rPr>
        <w:rFonts w:cs="Ya-Ali" w:hint="cs"/>
        <w:i/>
        <w:iCs/>
        <w:sz w:val="24"/>
        <w:szCs w:val="24"/>
        <w:rtl/>
      </w:rPr>
      <w:t xml:space="preserve"> الشيخ رسول جعفريان</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E82E4B" w:rsidRDefault="00F41F33" w:rsidP="00E82E4B">
    <w:pPr>
      <w:pStyle w:val="a8"/>
      <w:spacing w:after="240" w:line="200" w:lineRule="exact"/>
      <w:ind w:left="284" w:hanging="284"/>
      <w:jc w:val="right"/>
      <w:rPr>
        <w:rFonts w:cs="Ya-Ali"/>
        <w:i/>
        <w:iCs/>
        <w:sz w:val="24"/>
        <w:szCs w:val="24"/>
        <w:rtl/>
      </w:rPr>
    </w:pPr>
    <w:r w:rsidRPr="00E82E4B">
      <w:rPr>
        <w:rFonts w:cs="Ya-Ali"/>
        <w:sz w:val="24"/>
        <w:szCs w:val="24"/>
        <w:rtl/>
      </w:rPr>
      <w:t>•</w:t>
    </w:r>
    <w:r w:rsidRPr="00E82E4B">
      <w:rPr>
        <w:rFonts w:cs="Ya-Ali" w:hint="cs"/>
        <w:i/>
        <w:iCs/>
        <w:sz w:val="24"/>
        <w:szCs w:val="24"/>
        <w:rtl/>
      </w:rPr>
      <w:t xml:space="preserve"> مستمسك السيد الحكيم، تقرير عن ظروف طباعته والاعتراضات عليه</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345FD6">
    <w:pPr>
      <w:pStyle w:val="a7"/>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DB531E">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E36B46">
    <w:pPr>
      <w:pStyle w:val="a7"/>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rPr>
        <w:rFonts w:cs="Ya-Ali"/>
        <w:i/>
        <w:iCs/>
        <w:sz w:val="24"/>
        <w:szCs w:val="24"/>
        <w:rtl/>
      </w:rPr>
    </w:pPr>
    <w:r w:rsidRPr="00C44BBD">
      <w:rPr>
        <w:rFonts w:cs="Ya-Ali"/>
        <w:sz w:val="24"/>
        <w:szCs w:val="24"/>
        <w:rtl/>
      </w:rPr>
      <w:t>•</w:t>
    </w:r>
    <w:r>
      <w:rPr>
        <w:rFonts w:cs="Ya-Ali" w:hint="cs"/>
        <w:i/>
        <w:iCs/>
        <w:sz w:val="24"/>
        <w:szCs w:val="24"/>
        <w:rtl/>
      </w:rPr>
      <w:t xml:space="preserve"> الشيخ مرتضى مطهَّري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jc w:val="right"/>
      <w:rPr>
        <w:rFonts w:cs="Ya-Ali"/>
        <w:i/>
        <w:iCs/>
        <w:sz w:val="24"/>
        <w:szCs w:val="24"/>
        <w:rtl/>
      </w:rPr>
    </w:pPr>
    <w:r w:rsidRPr="00C44BBD">
      <w:rPr>
        <w:rFonts w:cs="Ya-Ali"/>
        <w:sz w:val="24"/>
        <w:szCs w:val="24"/>
        <w:rtl/>
      </w:rPr>
      <w:t>•</w:t>
    </w:r>
    <w:r w:rsidRPr="00C44BBD">
      <w:rPr>
        <w:rFonts w:cs="Ya-Ali" w:hint="cs"/>
        <w:i/>
        <w:iCs/>
        <w:sz w:val="24"/>
        <w:szCs w:val="24"/>
        <w:rtl/>
      </w:rPr>
      <w:t xml:space="preserve"> (كتب الضلال) وحُرِّية التعبير</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9676CA">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rPr>
        <w:rFonts w:cs="Ya-Ali"/>
        <w:i/>
        <w:iCs/>
        <w:sz w:val="24"/>
        <w:szCs w:val="24"/>
        <w:rtl/>
      </w:rPr>
    </w:pPr>
    <w:r w:rsidRPr="00C44BBD">
      <w:rPr>
        <w:rFonts w:cs="Ya-Ali"/>
        <w:sz w:val="24"/>
        <w:szCs w:val="24"/>
        <w:rtl/>
      </w:rPr>
      <w:t>•</w:t>
    </w:r>
    <w:r>
      <w:rPr>
        <w:rFonts w:cs="Ya-Ali" w:hint="cs"/>
        <w:i/>
        <w:iCs/>
        <w:sz w:val="24"/>
        <w:szCs w:val="24"/>
        <w:rtl/>
      </w:rPr>
      <w:t xml:space="preserve"> د. السيد أحمد سادات</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8A537D" w:rsidRDefault="00F41F33" w:rsidP="008A537D">
    <w:pPr>
      <w:pStyle w:val="a7"/>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jc w:val="right"/>
      <w:rPr>
        <w:rFonts w:cs="Ya-Ali"/>
        <w:i/>
        <w:iCs/>
        <w:sz w:val="24"/>
        <w:szCs w:val="24"/>
        <w:rtl/>
      </w:rPr>
    </w:pPr>
    <w:r w:rsidRPr="00C44BBD">
      <w:rPr>
        <w:rFonts w:cs="Ya-Ali"/>
        <w:sz w:val="24"/>
        <w:szCs w:val="24"/>
        <w:rtl/>
      </w:rPr>
      <w:t>•</w:t>
    </w:r>
    <w:r w:rsidRPr="00C44BBD">
      <w:rPr>
        <w:rFonts w:cs="Ya-Ali" w:hint="cs"/>
        <w:i/>
        <w:iCs/>
        <w:sz w:val="24"/>
        <w:szCs w:val="24"/>
        <w:rtl/>
      </w:rPr>
      <w:t xml:space="preserve"> المبادئ الفكرية للسلفية الجهادية / القسم الأول</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9676CA">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rPr>
        <w:rFonts w:cs="Ya-Ali"/>
        <w:i/>
        <w:iCs/>
        <w:sz w:val="24"/>
        <w:szCs w:val="24"/>
        <w:rtl/>
      </w:rPr>
    </w:pPr>
    <w:r w:rsidRPr="00C44BBD">
      <w:rPr>
        <w:rFonts w:cs="Ya-Ali"/>
        <w:sz w:val="24"/>
        <w:szCs w:val="24"/>
        <w:rtl/>
      </w:rPr>
      <w:t>•</w:t>
    </w:r>
    <w:r>
      <w:rPr>
        <w:rFonts w:cs="Ya-Ali" w:hint="cs"/>
        <w:i/>
        <w:iCs/>
        <w:sz w:val="24"/>
        <w:szCs w:val="24"/>
        <w:rtl/>
      </w:rPr>
      <w:t xml:space="preserve"> أ. مشتاق بن موسى اللواتي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jc w:val="right"/>
      <w:rPr>
        <w:rFonts w:cs="Ya-Ali"/>
        <w:i/>
        <w:iCs/>
        <w:sz w:val="24"/>
        <w:szCs w:val="24"/>
        <w:rtl/>
      </w:rPr>
    </w:pPr>
    <w:r w:rsidRPr="00C44BBD">
      <w:rPr>
        <w:rFonts w:cs="Ya-Ali"/>
        <w:sz w:val="24"/>
        <w:szCs w:val="24"/>
        <w:rtl/>
      </w:rPr>
      <w:t>•</w:t>
    </w:r>
    <w:r w:rsidRPr="00C44BBD">
      <w:rPr>
        <w:rFonts w:cs="Ya-Ali" w:hint="cs"/>
        <w:i/>
        <w:iCs/>
        <w:sz w:val="24"/>
        <w:szCs w:val="24"/>
        <w:rtl/>
      </w:rPr>
      <w:t xml:space="preserve"> الاتجاهات الفقهية حول أهلية المرأة لتولي السلطة، منظور تحليلي نقدي مقارن</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9676CA">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rPr>
        <w:rFonts w:cs="Ya-Ali"/>
        <w:i/>
        <w:iCs/>
        <w:sz w:val="24"/>
        <w:szCs w:val="24"/>
        <w:rtl/>
      </w:rPr>
    </w:pPr>
    <w:r w:rsidRPr="00C44BBD">
      <w:rPr>
        <w:rFonts w:cs="Ya-Ali"/>
        <w:sz w:val="24"/>
        <w:szCs w:val="24"/>
        <w:rtl/>
      </w:rPr>
      <w:t>•</w:t>
    </w:r>
    <w:r>
      <w:rPr>
        <w:rFonts w:cs="Ya-Ali" w:hint="cs"/>
        <w:i/>
        <w:iCs/>
        <w:sz w:val="24"/>
        <w:szCs w:val="24"/>
        <w:rtl/>
      </w:rPr>
      <w:t xml:space="preserve"> أ. د. محمد كمال الدين إمام</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rPr>
        <w:rFonts w:cs="Ya-Ali"/>
        <w:i/>
        <w:iCs/>
        <w:sz w:val="24"/>
        <w:szCs w:val="24"/>
        <w:rtl/>
      </w:rPr>
    </w:pPr>
    <w:r w:rsidRPr="00C44BBD">
      <w:rPr>
        <w:rFonts w:cs="Ya-Ali"/>
        <w:sz w:val="24"/>
        <w:szCs w:val="24"/>
        <w:rtl/>
      </w:rPr>
      <w:t>•</w:t>
    </w:r>
    <w:r>
      <w:rPr>
        <w:rFonts w:cs="Ya-Ali" w:hint="cs"/>
        <w:i/>
        <w:iCs/>
        <w:sz w:val="24"/>
        <w:szCs w:val="24"/>
        <w:rtl/>
      </w:rPr>
      <w:t xml:space="preserve"> 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jc w:val="right"/>
      <w:rPr>
        <w:rFonts w:cs="Ya-Ali"/>
        <w:i/>
        <w:iCs/>
        <w:sz w:val="24"/>
        <w:szCs w:val="24"/>
        <w:rtl/>
      </w:rPr>
    </w:pPr>
    <w:r w:rsidRPr="00C44BBD">
      <w:rPr>
        <w:rFonts w:cs="Ya-Ali"/>
        <w:sz w:val="24"/>
        <w:szCs w:val="24"/>
        <w:rtl/>
      </w:rPr>
      <w:t>•</w:t>
    </w:r>
    <w:r w:rsidRPr="00C44BBD">
      <w:rPr>
        <w:rFonts w:cs="Ya-Ali" w:hint="cs"/>
        <w:i/>
        <w:iCs/>
        <w:sz w:val="24"/>
        <w:szCs w:val="24"/>
        <w:rtl/>
      </w:rPr>
      <w:t xml:space="preserve"> مقاصد الشريعة والقانون المقارن</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2973B2">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rPr>
        <w:rFonts w:cs="Ya-Ali"/>
        <w:i/>
        <w:iCs/>
        <w:sz w:val="24"/>
        <w:szCs w:val="24"/>
        <w:rtl/>
      </w:rPr>
    </w:pPr>
    <w:r w:rsidRPr="00BD4B83">
      <w:rPr>
        <w:rFonts w:cs="Ya-Ali"/>
        <w:sz w:val="24"/>
        <w:szCs w:val="24"/>
        <w:rtl/>
      </w:rPr>
      <w:t>•</w:t>
    </w:r>
    <w:r>
      <w:rPr>
        <w:rFonts w:cs="Ya-Ali" w:hint="cs"/>
        <w:i/>
        <w:iCs/>
        <w:sz w:val="24"/>
        <w:szCs w:val="24"/>
        <w:rtl/>
      </w:rPr>
      <w:t xml:space="preserve"> الشيخ عمار عبد الأمير الفهداوي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2647C9" w:rsidRDefault="00F41F33" w:rsidP="00AF14A9">
    <w:pPr>
      <w:pStyle w:val="a8"/>
      <w:spacing w:after="240" w:line="200" w:lineRule="exact"/>
      <w:ind w:firstLine="0"/>
      <w:jc w:val="right"/>
      <w:rPr>
        <w:rFonts w:cs="Ya-Ali"/>
        <w:i/>
        <w:iCs/>
        <w:rtl/>
      </w:rPr>
    </w:pPr>
    <w:r w:rsidRPr="00BD4B83">
      <w:rPr>
        <w:rFonts w:cs="Ya-Ali"/>
        <w:sz w:val="24"/>
        <w:szCs w:val="24"/>
        <w:rtl/>
      </w:rPr>
      <w:t>•</w:t>
    </w:r>
    <w:r w:rsidRPr="00BD4B83">
      <w:rPr>
        <w:rFonts w:cs="Ya-Ali" w:hint="cs"/>
        <w:i/>
        <w:iCs/>
        <w:sz w:val="24"/>
        <w:szCs w:val="24"/>
        <w:rtl/>
      </w:rPr>
      <w:t xml:space="preserve"> رسالة عدم سهو النبي</w:t>
    </w:r>
    <w:r w:rsidRPr="00DB119F">
      <w:rPr>
        <w:rFonts w:cs="Mosawi" w:hint="cs"/>
        <w:i/>
        <w:iCs/>
        <w:sz w:val="18"/>
        <w:szCs w:val="18"/>
        <w:rtl/>
      </w:rPr>
      <w:t>|</w:t>
    </w:r>
    <w:r>
      <w:rPr>
        <w:rFonts w:cs="Ya-Ali" w:hint="cs"/>
        <w:i/>
        <w:iCs/>
        <w:sz w:val="20"/>
        <w:szCs w:val="22"/>
        <w:rtl/>
      </w:rPr>
      <w:t>، للشيخ المفيد، قراءة وتحليل</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2973B2">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rPr>
        <w:rFonts w:cs="Ya-Ali"/>
        <w:i/>
        <w:iCs/>
        <w:sz w:val="24"/>
        <w:szCs w:val="24"/>
        <w:rtl/>
      </w:rPr>
    </w:pPr>
    <w:r w:rsidRPr="00BD4B83">
      <w:rPr>
        <w:rFonts w:cs="Ya-Ali"/>
        <w:sz w:val="24"/>
        <w:szCs w:val="24"/>
        <w:rtl/>
      </w:rPr>
      <w:t>•</w:t>
    </w:r>
    <w:r>
      <w:rPr>
        <w:rFonts w:cs="Ya-Ali" w:hint="cs"/>
        <w:i/>
        <w:iCs/>
        <w:sz w:val="24"/>
        <w:szCs w:val="24"/>
        <w:rtl/>
      </w:rPr>
      <w:t xml:space="preserve"> د. الشيخ صاحب محمد حسين نصار</w:t>
    </w:r>
    <w:r w:rsidRPr="00BD4B83">
      <w:rPr>
        <w:rFonts w:cs="Ya-Ali" w:hint="cs"/>
        <w:i/>
        <w:iCs/>
        <w:sz w:val="24"/>
        <w:szCs w:val="24"/>
        <w:rt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jc w:val="right"/>
      <w:rPr>
        <w:rFonts w:cs="Ya-Ali"/>
        <w:i/>
        <w:iCs/>
        <w:sz w:val="24"/>
        <w:szCs w:val="24"/>
        <w:rtl/>
      </w:rPr>
    </w:pPr>
    <w:r w:rsidRPr="00C44BBD">
      <w:rPr>
        <w:rFonts w:cs="Ya-Ali"/>
        <w:sz w:val="24"/>
        <w:szCs w:val="24"/>
        <w:rtl/>
      </w:rPr>
      <w:t>•</w:t>
    </w:r>
    <w:r w:rsidRPr="00C44BBD">
      <w:rPr>
        <w:rFonts w:cs="Ya-Ali" w:hint="cs"/>
        <w:i/>
        <w:iCs/>
        <w:sz w:val="24"/>
        <w:szCs w:val="24"/>
        <w:rtl/>
      </w:rPr>
      <w:t xml:space="preserve"> خواطر حول الثابت والمتغيِّر في الفقه الإسلامي / الحلقة الأولى</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jc w:val="right"/>
      <w:rPr>
        <w:rFonts w:cs="Ya-Ali"/>
        <w:i/>
        <w:iCs/>
        <w:sz w:val="24"/>
        <w:szCs w:val="24"/>
        <w:rtl/>
      </w:rPr>
    </w:pPr>
    <w:r w:rsidRPr="00BD4B83">
      <w:rPr>
        <w:rFonts w:cs="Ya-Ali"/>
        <w:sz w:val="24"/>
        <w:szCs w:val="24"/>
        <w:rtl/>
      </w:rPr>
      <w:t>•</w:t>
    </w:r>
    <w:r w:rsidRPr="00BD4B83">
      <w:rPr>
        <w:rFonts w:cs="Ya-Ali" w:hint="cs"/>
        <w:i/>
        <w:iCs/>
        <w:sz w:val="24"/>
        <w:szCs w:val="24"/>
        <w:rtl/>
      </w:rPr>
      <w:t xml:space="preserve"> مصادر الاستنباط بين الفقه الإسلامي والقانون الوضعي، (مجلة الأحكام العدلية) أنموذجاً</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2973B2">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rPr>
        <w:rFonts w:cs="Ya-Ali"/>
        <w:i/>
        <w:iCs/>
        <w:sz w:val="24"/>
        <w:szCs w:val="24"/>
        <w:rtl/>
      </w:rPr>
    </w:pPr>
    <w:r w:rsidRPr="00BD4B83">
      <w:rPr>
        <w:rFonts w:cs="Ya-Ali"/>
        <w:sz w:val="24"/>
        <w:szCs w:val="24"/>
        <w:rtl/>
      </w:rPr>
      <w:t>•</w:t>
    </w:r>
    <w:r>
      <w:rPr>
        <w:rFonts w:cs="Ya-Ali" w:hint="cs"/>
        <w:i/>
        <w:iCs/>
        <w:sz w:val="24"/>
        <w:szCs w:val="24"/>
        <w:rtl/>
      </w:rPr>
      <w:t xml:space="preserve"> أ. د. منى أحمد أبو زيد</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jc w:val="right"/>
      <w:rPr>
        <w:rFonts w:cs="Ya-Ali"/>
        <w:i/>
        <w:iCs/>
        <w:sz w:val="24"/>
        <w:szCs w:val="24"/>
        <w:rtl/>
      </w:rPr>
    </w:pPr>
    <w:r w:rsidRPr="00BD4B83">
      <w:rPr>
        <w:rFonts w:cs="Ya-Ali"/>
        <w:sz w:val="24"/>
        <w:szCs w:val="24"/>
        <w:rtl/>
      </w:rPr>
      <w:t>•</w:t>
    </w:r>
    <w:r w:rsidRPr="00BD4B83">
      <w:rPr>
        <w:rFonts w:cs="Ya-Ali" w:hint="cs"/>
        <w:i/>
        <w:iCs/>
        <w:sz w:val="24"/>
        <w:szCs w:val="24"/>
        <w:rtl/>
      </w:rPr>
      <w:t xml:space="preserve"> المصلحة، بين الفقه الإسلامي وروسكو باوند</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2973B2">
    <w:pPr>
      <w:pStyle w:val="a7"/>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rPr>
        <w:rFonts w:cs="Ya-Ali"/>
        <w:i/>
        <w:iCs/>
        <w:sz w:val="24"/>
        <w:szCs w:val="24"/>
        <w:rtl/>
      </w:rPr>
    </w:pPr>
    <w:r w:rsidRPr="00BD4B83">
      <w:rPr>
        <w:rFonts w:cs="Ya-Ali"/>
        <w:sz w:val="24"/>
        <w:szCs w:val="24"/>
        <w:rtl/>
      </w:rPr>
      <w:t>•</w:t>
    </w:r>
    <w:r>
      <w:rPr>
        <w:rFonts w:cs="Ya-Ali" w:hint="cs"/>
        <w:i/>
        <w:iCs/>
        <w:sz w:val="24"/>
        <w:szCs w:val="24"/>
        <w:rtl/>
      </w:rPr>
      <w:t xml:space="preserve"> أ. د. عبد الأمير كاظم زاهد</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jc w:val="right"/>
      <w:rPr>
        <w:rFonts w:cs="Ya-Ali"/>
        <w:i/>
        <w:iCs/>
        <w:sz w:val="24"/>
        <w:szCs w:val="24"/>
        <w:rtl/>
      </w:rPr>
    </w:pPr>
    <w:r w:rsidRPr="00BD4B83">
      <w:rPr>
        <w:rFonts w:cs="Ya-Ali"/>
        <w:sz w:val="24"/>
        <w:szCs w:val="24"/>
        <w:rtl/>
      </w:rPr>
      <w:t>•</w:t>
    </w:r>
    <w:r w:rsidRPr="00BD4B83">
      <w:rPr>
        <w:rFonts w:cs="Ya-Ali" w:hint="cs"/>
        <w:i/>
        <w:iCs/>
        <w:sz w:val="24"/>
        <w:szCs w:val="24"/>
        <w:rtl/>
      </w:rPr>
      <w:t xml:space="preserve"> الأسس الدينية للأصولية اليهودية</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2973B2">
    <w:pPr>
      <w:pStyle w:val="a7"/>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rPr>
        <w:rFonts w:cs="Ya-Ali"/>
        <w:i/>
        <w:iCs/>
        <w:sz w:val="24"/>
        <w:szCs w:val="24"/>
        <w:rtl/>
      </w:rPr>
    </w:pPr>
    <w:r w:rsidRPr="00BD4B83">
      <w:rPr>
        <w:rFonts w:cs="Ya-Ali"/>
        <w:sz w:val="24"/>
        <w:szCs w:val="24"/>
        <w:rtl/>
      </w:rPr>
      <w:t>•</w:t>
    </w:r>
    <w:r>
      <w:rPr>
        <w:rFonts w:cs="Ya-Ali" w:hint="cs"/>
        <w:i/>
        <w:iCs/>
        <w:sz w:val="24"/>
        <w:szCs w:val="24"/>
        <w:rtl/>
      </w:rPr>
      <w:t xml:space="preserve"> د. حسن طالقاني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jc w:val="right"/>
      <w:rPr>
        <w:rFonts w:cs="Ya-Ali"/>
        <w:i/>
        <w:iCs/>
        <w:sz w:val="24"/>
        <w:szCs w:val="24"/>
        <w:rtl/>
      </w:rPr>
    </w:pPr>
    <w:r w:rsidRPr="00BD4B83">
      <w:rPr>
        <w:rFonts w:cs="Ya-Ali"/>
        <w:sz w:val="24"/>
        <w:szCs w:val="24"/>
        <w:rtl/>
      </w:rPr>
      <w:t>•</w:t>
    </w:r>
    <w:r w:rsidRPr="00BD4B83">
      <w:rPr>
        <w:rFonts w:cs="Ya-Ali" w:hint="cs"/>
        <w:i/>
        <w:iCs/>
        <w:sz w:val="24"/>
        <w:szCs w:val="24"/>
        <w:rtl/>
      </w:rPr>
      <w:t xml:space="preserve"> حقوق الإنسان في البلدان الإسلامية، دراسة في أسباب الفشل</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2973B2">
    <w:pPr>
      <w:pStyle w:val="a7"/>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rPr>
        <w:rFonts w:cs="Ya-Ali"/>
        <w:i/>
        <w:iCs/>
        <w:sz w:val="24"/>
        <w:szCs w:val="24"/>
        <w:rtl/>
      </w:rPr>
    </w:pPr>
    <w:r w:rsidRPr="00BD4B83">
      <w:rPr>
        <w:rFonts w:cs="Ya-Ali"/>
        <w:sz w:val="24"/>
        <w:szCs w:val="24"/>
        <w:rtl/>
      </w:rPr>
      <w:t>•</w:t>
    </w:r>
    <w:r>
      <w:rPr>
        <w:rFonts w:cs="Ya-Ali" w:hint="cs"/>
        <w:i/>
        <w:iCs/>
        <w:sz w:val="24"/>
        <w:szCs w:val="24"/>
        <w:rtl/>
      </w:rPr>
      <w:t xml:space="preserve"> د. الشيخ خالد الغفوري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E36B46">
    <w:pPr>
      <w:pStyle w:val="a7"/>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jc w:val="right"/>
      <w:rPr>
        <w:rFonts w:cs="Ya-Ali"/>
        <w:i/>
        <w:iCs/>
        <w:sz w:val="24"/>
        <w:szCs w:val="24"/>
        <w:rtl/>
      </w:rPr>
    </w:pPr>
    <w:r w:rsidRPr="00BD4B83">
      <w:rPr>
        <w:rFonts w:cs="Ya-Ali"/>
        <w:sz w:val="24"/>
        <w:szCs w:val="24"/>
        <w:rtl/>
      </w:rPr>
      <w:t>•</w:t>
    </w:r>
    <w:r w:rsidRPr="00BD4B83">
      <w:rPr>
        <w:rFonts w:cs="Ya-Ali" w:hint="cs"/>
        <w:i/>
        <w:iCs/>
        <w:sz w:val="24"/>
        <w:szCs w:val="24"/>
        <w:rtl/>
      </w:rPr>
      <w:t xml:space="preserve"> قراءة جديدة للإرث بالولاء، دراسة مقارنة / القسم الأول</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186B9F">
    <w:pPr>
      <w:pStyle w:val="a7"/>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rPr>
        <w:rFonts w:cs="Ya-Ali"/>
        <w:i/>
        <w:iCs/>
        <w:sz w:val="24"/>
        <w:szCs w:val="24"/>
        <w:rtl/>
      </w:rPr>
    </w:pPr>
    <w:r w:rsidRPr="00BD4B83">
      <w:rPr>
        <w:rFonts w:cs="Ya-Ali"/>
        <w:sz w:val="24"/>
        <w:szCs w:val="24"/>
        <w:rtl/>
      </w:rPr>
      <w:t>•</w:t>
    </w:r>
    <w:r>
      <w:rPr>
        <w:rFonts w:cs="Ya-Ali" w:hint="cs"/>
        <w:i/>
        <w:iCs/>
        <w:sz w:val="24"/>
        <w:szCs w:val="24"/>
        <w:rtl/>
      </w:rPr>
      <w:t xml:space="preserve"> الشيخ أحمد عابديني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BD4B83">
    <w:pPr>
      <w:pStyle w:val="a8"/>
      <w:spacing w:after="240" w:line="200" w:lineRule="exact"/>
      <w:ind w:left="284" w:hanging="284"/>
      <w:jc w:val="right"/>
      <w:rPr>
        <w:rFonts w:cs="Ya-Ali"/>
        <w:i/>
        <w:iCs/>
        <w:sz w:val="24"/>
        <w:szCs w:val="24"/>
        <w:rtl/>
      </w:rPr>
    </w:pPr>
    <w:r w:rsidRPr="00BD4B83">
      <w:rPr>
        <w:rFonts w:cs="Ya-Ali"/>
        <w:sz w:val="24"/>
        <w:szCs w:val="24"/>
        <w:rtl/>
      </w:rPr>
      <w:t>•</w:t>
    </w:r>
    <w:r w:rsidRPr="00BD4B83">
      <w:rPr>
        <w:rFonts w:cs="Ya-Ali" w:hint="cs"/>
        <w:i/>
        <w:iCs/>
        <w:sz w:val="24"/>
        <w:szCs w:val="24"/>
        <w:rtl/>
      </w:rPr>
      <w:t xml:space="preserve"> الذبح في منى، قراءة أخرى</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186B9F">
    <w:pPr>
      <w:pStyle w:val="a7"/>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BD4B83" w:rsidRDefault="00F41F33" w:rsidP="003F389D">
    <w:pPr>
      <w:pStyle w:val="a8"/>
      <w:spacing w:after="240" w:line="200" w:lineRule="exact"/>
      <w:ind w:left="284" w:hanging="284"/>
      <w:rPr>
        <w:rFonts w:cs="Ya-Ali"/>
        <w:i/>
        <w:iCs/>
        <w:sz w:val="24"/>
        <w:szCs w:val="24"/>
        <w:rtl/>
      </w:rPr>
    </w:pPr>
    <w:r w:rsidRPr="003F389D">
      <w:rPr>
        <w:rFonts w:cs="Ya-Ali"/>
        <w:sz w:val="24"/>
        <w:szCs w:val="24"/>
        <w:rtl/>
      </w:rPr>
      <w:t>•</w:t>
    </w:r>
    <w:r>
      <w:rPr>
        <w:rFonts w:cs="Ya-Ali" w:hint="cs"/>
        <w:i/>
        <w:iCs/>
        <w:sz w:val="24"/>
        <w:szCs w:val="24"/>
        <w:rtl/>
      </w:rPr>
      <w:t xml:space="preserve"> أ. نبيل علي صالح</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1F2CB3">
    <w:pPr>
      <w:pStyle w:val="a7"/>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jc w:val="right"/>
      <w:rPr>
        <w:rFonts w:cs="Ya-Ali"/>
        <w:i/>
        <w:iCs/>
        <w:sz w:val="24"/>
        <w:szCs w:val="24"/>
        <w:rtl/>
      </w:rPr>
    </w:pPr>
    <w:r w:rsidRPr="003F389D">
      <w:rPr>
        <w:rFonts w:cs="Ya-Ali"/>
        <w:sz w:val="24"/>
        <w:szCs w:val="24"/>
        <w:rtl/>
      </w:rPr>
      <w:t>•</w:t>
    </w:r>
    <w:r w:rsidRPr="003F389D">
      <w:rPr>
        <w:rFonts w:cs="Ya-Ali" w:hint="cs"/>
        <w:i/>
        <w:iCs/>
        <w:sz w:val="24"/>
        <w:szCs w:val="24"/>
        <w:rtl/>
      </w:rPr>
      <w:t xml:space="preserve"> العنف ومنطق القوّة في سيرورة تاريخية: أسباب ودوافع، نتائج وحلول</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186B9F">
    <w:pPr>
      <w:pStyle w:val="a7"/>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rPr>
        <w:rFonts w:cs="Ya-Ali"/>
        <w:i/>
        <w:iCs/>
        <w:sz w:val="24"/>
        <w:szCs w:val="24"/>
        <w:rtl/>
      </w:rPr>
    </w:pPr>
    <w:r w:rsidRPr="003F389D">
      <w:rPr>
        <w:rFonts w:cs="Ya-Ali"/>
        <w:sz w:val="24"/>
        <w:szCs w:val="24"/>
        <w:rtl/>
      </w:rPr>
      <w:t>•</w:t>
    </w:r>
    <w:r>
      <w:rPr>
        <w:rFonts w:cs="Ya-Ali" w:hint="cs"/>
        <w:i/>
        <w:iCs/>
        <w:sz w:val="24"/>
        <w:szCs w:val="24"/>
        <w:rtl/>
      </w:rPr>
      <w:t xml:space="preserve"> د. الشيخ محمد زروندي</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jc w:val="right"/>
      <w:rPr>
        <w:rFonts w:cs="Ya-Ali"/>
        <w:i/>
        <w:iCs/>
        <w:sz w:val="24"/>
        <w:szCs w:val="24"/>
        <w:rtl/>
      </w:rPr>
    </w:pPr>
    <w:r w:rsidRPr="003F389D">
      <w:rPr>
        <w:rFonts w:cs="Ya-Ali"/>
        <w:sz w:val="24"/>
        <w:szCs w:val="24"/>
        <w:rtl/>
      </w:rPr>
      <w:t>•</w:t>
    </w:r>
    <w:r w:rsidRPr="003F389D">
      <w:rPr>
        <w:rFonts w:cs="Ya-Ali" w:hint="cs"/>
        <w:i/>
        <w:iCs/>
        <w:sz w:val="24"/>
        <w:szCs w:val="24"/>
        <w:rtl/>
      </w:rPr>
      <w:t xml:space="preserve"> الشهيد الثاني، جولة في بعض إبداعاته ونظرياته الاجتهادية</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186B9F">
    <w:pPr>
      <w:pStyle w:val="a7"/>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rPr>
        <w:rFonts w:cs="Ya-Ali"/>
        <w:i/>
        <w:iCs/>
        <w:sz w:val="24"/>
        <w:szCs w:val="24"/>
        <w:rtl/>
      </w:rPr>
    </w:pPr>
    <w:r w:rsidRPr="003F389D">
      <w:rPr>
        <w:rFonts w:cs="Ya-Ali"/>
        <w:sz w:val="24"/>
        <w:szCs w:val="24"/>
        <w:rtl/>
      </w:rPr>
      <w:t>•</w:t>
    </w:r>
    <w:r>
      <w:rPr>
        <w:rFonts w:cs="Ya-Ali" w:hint="cs"/>
        <w:i/>
        <w:iCs/>
        <w:sz w:val="24"/>
        <w:szCs w:val="24"/>
        <w:rtl/>
      </w:rPr>
      <w:t xml:space="preserve"> د. قويدري الأخضر</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jc w:val="right"/>
      <w:rPr>
        <w:rFonts w:cs="Ya-Ali"/>
        <w:i/>
        <w:iCs/>
        <w:sz w:val="24"/>
        <w:szCs w:val="24"/>
        <w:rtl/>
      </w:rPr>
    </w:pPr>
    <w:r w:rsidRPr="003F389D">
      <w:rPr>
        <w:rFonts w:cs="Ya-Ali"/>
        <w:sz w:val="24"/>
        <w:szCs w:val="24"/>
        <w:rtl/>
      </w:rPr>
      <w:t>•</w:t>
    </w:r>
    <w:r w:rsidRPr="003F389D">
      <w:rPr>
        <w:rFonts w:cs="Ya-Ali" w:hint="cs"/>
        <w:i/>
        <w:iCs/>
        <w:sz w:val="24"/>
        <w:szCs w:val="24"/>
        <w:rtl/>
      </w:rPr>
      <w:t xml:space="preserve"> تجليات الحداثة الغربية في الوطن العربي</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9676CA">
    <w:pPr>
      <w:pStyle w:val="a7"/>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rPr>
        <w:rFonts w:cs="Ya-Ali"/>
        <w:i/>
        <w:iCs/>
        <w:sz w:val="24"/>
        <w:szCs w:val="24"/>
        <w:rtl/>
      </w:rPr>
    </w:pPr>
    <w:r w:rsidRPr="003F389D">
      <w:rPr>
        <w:rFonts w:cs="Ya-Ali"/>
        <w:sz w:val="24"/>
        <w:szCs w:val="24"/>
        <w:rtl/>
      </w:rPr>
      <w:t>•</w:t>
    </w:r>
    <w:r>
      <w:rPr>
        <w:rFonts w:cs="Ya-Ali" w:hint="cs"/>
        <w:i/>
        <w:iCs/>
        <w:sz w:val="24"/>
        <w:szCs w:val="24"/>
        <w:rtl/>
      </w:rPr>
      <w:t xml:space="preserve"> د. الشيخ حسين الخشن</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jc w:val="right"/>
      <w:rPr>
        <w:rFonts w:cs="Ya-Ali"/>
        <w:i/>
        <w:iCs/>
        <w:sz w:val="24"/>
        <w:szCs w:val="24"/>
        <w:rtl/>
      </w:rPr>
    </w:pPr>
    <w:r w:rsidRPr="003F389D">
      <w:rPr>
        <w:rFonts w:cs="Ya-Ali"/>
        <w:sz w:val="24"/>
        <w:szCs w:val="24"/>
        <w:rtl/>
      </w:rPr>
      <w:t>•</w:t>
    </w:r>
    <w:r w:rsidRPr="003F389D">
      <w:rPr>
        <w:rFonts w:cs="Ya-Ali" w:hint="cs"/>
        <w:i/>
        <w:iCs/>
        <w:sz w:val="24"/>
        <w:szCs w:val="24"/>
        <w:rtl/>
      </w:rPr>
      <w:t xml:space="preserve"> دور الرؤيا والأحلام في الثقافة الإسلامية</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186B9F">
    <w:pPr>
      <w:pStyle w:val="a7"/>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rPr>
        <w:rFonts w:cs="Ya-Ali"/>
        <w:i/>
        <w:iCs/>
        <w:sz w:val="24"/>
        <w:szCs w:val="24"/>
        <w:rtl/>
      </w:rPr>
    </w:pPr>
    <w:r w:rsidRPr="003F389D">
      <w:rPr>
        <w:rFonts w:cs="Ya-Ali"/>
        <w:sz w:val="24"/>
        <w:szCs w:val="24"/>
        <w:rtl/>
      </w:rPr>
      <w:t>•</w:t>
    </w:r>
    <w:r>
      <w:rPr>
        <w:rFonts w:cs="Ya-Ali" w:hint="cs"/>
        <w:i/>
        <w:iCs/>
        <w:sz w:val="24"/>
        <w:szCs w:val="24"/>
        <w:rtl/>
      </w:rPr>
      <w:t xml:space="preserve"> د. محسن عميق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C44BBD" w:rsidRDefault="00F41F33" w:rsidP="00C44BBD">
    <w:pPr>
      <w:pStyle w:val="a8"/>
      <w:spacing w:after="240" w:line="200" w:lineRule="exact"/>
      <w:ind w:left="284" w:hanging="284"/>
      <w:rPr>
        <w:rFonts w:cs="Ya-Ali"/>
        <w:i/>
        <w:iCs/>
        <w:sz w:val="24"/>
        <w:szCs w:val="24"/>
        <w:rtl/>
      </w:rPr>
    </w:pPr>
    <w:r w:rsidRPr="00C44BBD">
      <w:rPr>
        <w:rFonts w:cs="Ya-Ali"/>
        <w:sz w:val="24"/>
        <w:szCs w:val="24"/>
        <w:rtl/>
      </w:rPr>
      <w:t>•</w:t>
    </w:r>
    <w:r w:rsidRPr="00C44BBD">
      <w:rPr>
        <w:rFonts w:cs="Ya-Ali"/>
        <w:i/>
        <w:iCs/>
        <w:sz w:val="24"/>
        <w:szCs w:val="24"/>
      </w:rPr>
      <w:t xml:space="preserve"> </w:t>
    </w:r>
    <w:r w:rsidRPr="00D45852">
      <w:rPr>
        <w:rFonts w:cs="Ya-Ali" w:hint="cs"/>
        <w:i/>
        <w:iCs/>
        <w:sz w:val="24"/>
        <w:szCs w:val="24"/>
        <w:rtl/>
      </w:rPr>
      <w:t>د. أبو القاسم فنائي</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3F389D" w:rsidRDefault="00F41F33" w:rsidP="003F389D">
    <w:pPr>
      <w:pStyle w:val="a8"/>
      <w:spacing w:after="240" w:line="200" w:lineRule="exact"/>
      <w:ind w:left="284" w:hanging="284"/>
      <w:jc w:val="right"/>
      <w:rPr>
        <w:rFonts w:cs="Ya-Ali"/>
        <w:i/>
        <w:iCs/>
        <w:sz w:val="24"/>
        <w:szCs w:val="24"/>
        <w:rtl/>
      </w:rPr>
    </w:pPr>
    <w:r w:rsidRPr="003F389D">
      <w:rPr>
        <w:rFonts w:cs="Ya-Ali"/>
        <w:sz w:val="24"/>
        <w:szCs w:val="24"/>
        <w:rtl/>
      </w:rPr>
      <w:t>•</w:t>
    </w:r>
    <w:r w:rsidRPr="003F389D">
      <w:rPr>
        <w:rFonts w:cs="Ya-Ali" w:hint="cs"/>
        <w:i/>
        <w:iCs/>
        <w:sz w:val="24"/>
        <w:szCs w:val="24"/>
        <w:rtl/>
      </w:rPr>
      <w:t xml:space="preserve"> مقدمة في فقه البيئة والمحيط</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9676CA">
    <w:pPr>
      <w:pStyle w:val="a7"/>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5B2E4D" w:rsidRDefault="00F41F33" w:rsidP="005B2E4D">
    <w:pPr>
      <w:pStyle w:val="a8"/>
      <w:spacing w:after="240" w:line="200" w:lineRule="exact"/>
      <w:ind w:left="284" w:hanging="284"/>
      <w:rPr>
        <w:rFonts w:cs="Ya-Ali"/>
        <w:i/>
        <w:iCs/>
        <w:sz w:val="24"/>
        <w:szCs w:val="24"/>
        <w:rtl/>
      </w:rPr>
    </w:pPr>
    <w:r w:rsidRPr="005B2E4D">
      <w:rPr>
        <w:rFonts w:cs="Ya-Ali"/>
        <w:sz w:val="24"/>
        <w:szCs w:val="24"/>
        <w:rtl/>
      </w:rPr>
      <w:t>•</w:t>
    </w:r>
    <w:r>
      <w:rPr>
        <w:rFonts w:cs="Ya-Ali" w:hint="cs"/>
        <w:i/>
        <w:iCs/>
        <w:sz w:val="24"/>
        <w:szCs w:val="24"/>
        <w:rtl/>
      </w:rPr>
      <w:t xml:space="preserve"> د. الشيخ محمد رحماني</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5B2E4D" w:rsidRDefault="00F41F33" w:rsidP="005B2E4D">
    <w:pPr>
      <w:pStyle w:val="a8"/>
      <w:spacing w:after="240" w:line="200" w:lineRule="exact"/>
      <w:ind w:left="284" w:hanging="284"/>
      <w:jc w:val="right"/>
      <w:rPr>
        <w:rFonts w:cs="Ya-Ali"/>
        <w:i/>
        <w:iCs/>
        <w:sz w:val="24"/>
        <w:szCs w:val="24"/>
        <w:rtl/>
      </w:rPr>
    </w:pPr>
    <w:r w:rsidRPr="005B2E4D">
      <w:rPr>
        <w:rFonts w:cs="Ya-Ali"/>
        <w:sz w:val="24"/>
        <w:szCs w:val="24"/>
        <w:rtl/>
      </w:rPr>
      <w:t>•</w:t>
    </w:r>
    <w:r w:rsidRPr="005B2E4D">
      <w:rPr>
        <w:rFonts w:cs="Ya-Ali" w:hint="cs"/>
        <w:i/>
        <w:iCs/>
        <w:sz w:val="24"/>
        <w:szCs w:val="24"/>
        <w:rtl/>
      </w:rPr>
      <w:t xml:space="preserve"> كتاب </w:t>
    </w:r>
    <w:r w:rsidRPr="005B2E4D">
      <w:rPr>
        <w:rFonts w:cs="Ya-Ali" w:hint="eastAsia"/>
        <w:i/>
        <w:iCs/>
        <w:sz w:val="24"/>
        <w:szCs w:val="24"/>
        <w:rtl/>
      </w:rPr>
      <w:t>«</w:t>
    </w:r>
    <w:r w:rsidRPr="005B2E4D">
      <w:rPr>
        <w:rFonts w:cs="Ya-Ali" w:hint="cs"/>
        <w:i/>
        <w:iCs/>
        <w:sz w:val="24"/>
        <w:szCs w:val="24"/>
        <w:rtl/>
      </w:rPr>
      <w:t>تحرير المجلة</w:t>
    </w:r>
    <w:r w:rsidRPr="005B2E4D">
      <w:rPr>
        <w:rFonts w:cs="Ya-Ali" w:hint="eastAsia"/>
        <w:i/>
        <w:iCs/>
        <w:sz w:val="24"/>
        <w:szCs w:val="24"/>
        <w:rtl/>
      </w:rPr>
      <w:t>»</w:t>
    </w:r>
    <w:r w:rsidRPr="005B2E4D">
      <w:rPr>
        <w:rFonts w:cs="Ya-Ali" w:hint="cs"/>
        <w:i/>
        <w:iCs/>
        <w:sz w:val="24"/>
        <w:szCs w:val="24"/>
        <w:rtl/>
      </w:rPr>
      <w:t>، دوافع التأليف ومساراته</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345FD6">
    <w:pPr>
      <w:pStyle w:val="a7"/>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rsidP="008A46D1">
    <w:pPr>
      <w:pStyle w:val="a7"/>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Default="00F41F33">
    <w:pPr>
      <w:pStyle w:val="a7"/>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F33" w:rsidRPr="005B2E4D" w:rsidRDefault="00F41F33" w:rsidP="005B2E4D">
    <w:pPr>
      <w:pStyle w:val="a8"/>
      <w:spacing w:after="240" w:line="200" w:lineRule="exact"/>
      <w:ind w:left="284" w:hanging="284"/>
      <w:rPr>
        <w:rFonts w:cs="Ya-Ali"/>
        <w:i/>
        <w:iCs/>
        <w:sz w:val="24"/>
        <w:szCs w:val="24"/>
        <w:rtl/>
      </w:rPr>
    </w:pPr>
    <w:r w:rsidRPr="005B2E4D">
      <w:rPr>
        <w:rFonts w:cs="Ya-Ali"/>
        <w:sz w:val="24"/>
        <w:szCs w:val="24"/>
        <w:rtl/>
      </w:rPr>
      <w:t>•</w:t>
    </w:r>
    <w:r>
      <w:rPr>
        <w:rFonts w:cs="Ya-Ali" w:hint="cs"/>
        <w:i/>
        <w:iCs/>
        <w:sz w:val="24"/>
        <w:szCs w:val="24"/>
        <w:rtl/>
      </w:rPr>
      <w:t xml:space="preserve"> </w:t>
    </w:r>
    <w:r w:rsidRPr="0098428A">
      <w:rPr>
        <w:rFonts w:cs="Ya-Ali" w:hint="cs"/>
        <w:i/>
        <w:iCs/>
        <w:sz w:val="24"/>
        <w:szCs w:val="24"/>
        <w:rtl/>
      </w:rPr>
      <w:t>د.</w:t>
    </w:r>
    <w:r>
      <w:rPr>
        <w:rFonts w:cs="Ya-Ali" w:hint="cs"/>
        <w:i/>
        <w:iCs/>
        <w:sz w:val="24"/>
        <w:szCs w:val="24"/>
        <w:rtl/>
      </w:rPr>
      <w:t xml:space="preserve"> أحمد النراقي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00671C98"/>
    <w:multiLevelType w:val="hybridMultilevel"/>
    <w:tmpl w:val="32BA5B7A"/>
    <w:lvl w:ilvl="0" w:tplc="20F0F0E6">
      <w:numFmt w:val="bullet"/>
      <w:lvlText w:val="-"/>
      <w:lvlJc w:val="left"/>
      <w:pPr>
        <w:ind w:left="891" w:hanging="360"/>
      </w:pPr>
      <w:rPr>
        <w:rFonts w:ascii="Arial" w:eastAsiaTheme="minorHAnsi" w:hAnsi="Arial" w:cs="Arial" w:hint="default"/>
        <w:sz w:val="28"/>
      </w:rPr>
    </w:lvl>
    <w:lvl w:ilvl="1" w:tplc="040C0003" w:tentative="1">
      <w:start w:val="1"/>
      <w:numFmt w:val="bullet"/>
      <w:lvlText w:val="o"/>
      <w:lvlJc w:val="left"/>
      <w:pPr>
        <w:ind w:left="1611" w:hanging="360"/>
      </w:pPr>
      <w:rPr>
        <w:rFonts w:ascii="Courier New" w:hAnsi="Courier New" w:cs="Courier New" w:hint="default"/>
      </w:rPr>
    </w:lvl>
    <w:lvl w:ilvl="2" w:tplc="040C0005" w:tentative="1">
      <w:start w:val="1"/>
      <w:numFmt w:val="bullet"/>
      <w:lvlText w:val=""/>
      <w:lvlJc w:val="left"/>
      <w:pPr>
        <w:ind w:left="2331" w:hanging="360"/>
      </w:pPr>
      <w:rPr>
        <w:rFonts w:ascii="Wingdings" w:hAnsi="Wingdings" w:hint="default"/>
      </w:rPr>
    </w:lvl>
    <w:lvl w:ilvl="3" w:tplc="040C0001" w:tentative="1">
      <w:start w:val="1"/>
      <w:numFmt w:val="bullet"/>
      <w:lvlText w:val=""/>
      <w:lvlJc w:val="left"/>
      <w:pPr>
        <w:ind w:left="3051" w:hanging="360"/>
      </w:pPr>
      <w:rPr>
        <w:rFonts w:ascii="Symbol" w:hAnsi="Symbol" w:hint="default"/>
      </w:rPr>
    </w:lvl>
    <w:lvl w:ilvl="4" w:tplc="040C0003" w:tentative="1">
      <w:start w:val="1"/>
      <w:numFmt w:val="bullet"/>
      <w:lvlText w:val="o"/>
      <w:lvlJc w:val="left"/>
      <w:pPr>
        <w:ind w:left="3771" w:hanging="360"/>
      </w:pPr>
      <w:rPr>
        <w:rFonts w:ascii="Courier New" w:hAnsi="Courier New" w:cs="Courier New" w:hint="default"/>
      </w:rPr>
    </w:lvl>
    <w:lvl w:ilvl="5" w:tplc="040C0005" w:tentative="1">
      <w:start w:val="1"/>
      <w:numFmt w:val="bullet"/>
      <w:lvlText w:val=""/>
      <w:lvlJc w:val="left"/>
      <w:pPr>
        <w:ind w:left="4491" w:hanging="360"/>
      </w:pPr>
      <w:rPr>
        <w:rFonts w:ascii="Wingdings" w:hAnsi="Wingdings" w:hint="default"/>
      </w:rPr>
    </w:lvl>
    <w:lvl w:ilvl="6" w:tplc="040C0001" w:tentative="1">
      <w:start w:val="1"/>
      <w:numFmt w:val="bullet"/>
      <w:lvlText w:val=""/>
      <w:lvlJc w:val="left"/>
      <w:pPr>
        <w:ind w:left="5211" w:hanging="360"/>
      </w:pPr>
      <w:rPr>
        <w:rFonts w:ascii="Symbol" w:hAnsi="Symbol" w:hint="default"/>
      </w:rPr>
    </w:lvl>
    <w:lvl w:ilvl="7" w:tplc="040C0003" w:tentative="1">
      <w:start w:val="1"/>
      <w:numFmt w:val="bullet"/>
      <w:lvlText w:val="o"/>
      <w:lvlJc w:val="left"/>
      <w:pPr>
        <w:ind w:left="5931" w:hanging="360"/>
      </w:pPr>
      <w:rPr>
        <w:rFonts w:ascii="Courier New" w:hAnsi="Courier New" w:cs="Courier New" w:hint="default"/>
      </w:rPr>
    </w:lvl>
    <w:lvl w:ilvl="8" w:tplc="040C0005" w:tentative="1">
      <w:start w:val="1"/>
      <w:numFmt w:val="bullet"/>
      <w:lvlText w:val=""/>
      <w:lvlJc w:val="left"/>
      <w:pPr>
        <w:ind w:left="6651" w:hanging="360"/>
      </w:pPr>
      <w:rPr>
        <w:rFonts w:ascii="Wingdings" w:hAnsi="Wingdings" w:hint="default"/>
      </w:rPr>
    </w:lvl>
  </w:abstractNum>
  <w:abstractNum w:abstractNumId="10">
    <w:nsid w:val="0A1A4578"/>
    <w:multiLevelType w:val="hybridMultilevel"/>
    <w:tmpl w:val="E8242E16"/>
    <w:lvl w:ilvl="0" w:tplc="A1A6EDA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8E0A20"/>
    <w:multiLevelType w:val="hybridMultilevel"/>
    <w:tmpl w:val="E63C4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C84267"/>
    <w:multiLevelType w:val="hybridMultilevel"/>
    <w:tmpl w:val="FD16D750"/>
    <w:lvl w:ilvl="0" w:tplc="407E93FE">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EA060C"/>
    <w:multiLevelType w:val="hybridMultilevel"/>
    <w:tmpl w:val="A50061BA"/>
    <w:lvl w:ilvl="0" w:tplc="D45A25C0">
      <w:start w:val="1"/>
      <w:numFmt w:val="arabicAlpha"/>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5">
    <w:nsid w:val="3BE61527"/>
    <w:multiLevelType w:val="hybridMultilevel"/>
    <w:tmpl w:val="0D58503A"/>
    <w:lvl w:ilvl="0" w:tplc="042E9DE6">
      <w:start w:val="1"/>
      <w:numFmt w:val="decimal"/>
      <w:lvlText w:val="%1."/>
      <w:lvlJc w:val="left"/>
      <w:pPr>
        <w:ind w:left="1174" w:hanging="360"/>
      </w:pPr>
      <w:rPr>
        <w:rFonts w:hint="default"/>
      </w:rPr>
    </w:lvl>
    <w:lvl w:ilvl="1" w:tplc="040C0019" w:tentative="1">
      <w:start w:val="1"/>
      <w:numFmt w:val="lowerLetter"/>
      <w:lvlText w:val="%2."/>
      <w:lvlJc w:val="left"/>
      <w:pPr>
        <w:ind w:left="1894" w:hanging="360"/>
      </w:pPr>
    </w:lvl>
    <w:lvl w:ilvl="2" w:tplc="040C001B" w:tentative="1">
      <w:start w:val="1"/>
      <w:numFmt w:val="lowerRoman"/>
      <w:lvlText w:val="%3."/>
      <w:lvlJc w:val="right"/>
      <w:pPr>
        <w:ind w:left="2614" w:hanging="180"/>
      </w:pPr>
    </w:lvl>
    <w:lvl w:ilvl="3" w:tplc="040C000F" w:tentative="1">
      <w:start w:val="1"/>
      <w:numFmt w:val="decimal"/>
      <w:lvlText w:val="%4."/>
      <w:lvlJc w:val="left"/>
      <w:pPr>
        <w:ind w:left="3334" w:hanging="360"/>
      </w:pPr>
    </w:lvl>
    <w:lvl w:ilvl="4" w:tplc="040C0019" w:tentative="1">
      <w:start w:val="1"/>
      <w:numFmt w:val="lowerLetter"/>
      <w:lvlText w:val="%5."/>
      <w:lvlJc w:val="left"/>
      <w:pPr>
        <w:ind w:left="4054" w:hanging="360"/>
      </w:pPr>
    </w:lvl>
    <w:lvl w:ilvl="5" w:tplc="040C001B" w:tentative="1">
      <w:start w:val="1"/>
      <w:numFmt w:val="lowerRoman"/>
      <w:lvlText w:val="%6."/>
      <w:lvlJc w:val="right"/>
      <w:pPr>
        <w:ind w:left="4774" w:hanging="180"/>
      </w:pPr>
    </w:lvl>
    <w:lvl w:ilvl="6" w:tplc="040C000F" w:tentative="1">
      <w:start w:val="1"/>
      <w:numFmt w:val="decimal"/>
      <w:lvlText w:val="%7."/>
      <w:lvlJc w:val="left"/>
      <w:pPr>
        <w:ind w:left="5494" w:hanging="360"/>
      </w:pPr>
    </w:lvl>
    <w:lvl w:ilvl="7" w:tplc="040C0019" w:tentative="1">
      <w:start w:val="1"/>
      <w:numFmt w:val="lowerLetter"/>
      <w:lvlText w:val="%8."/>
      <w:lvlJc w:val="left"/>
      <w:pPr>
        <w:ind w:left="6214" w:hanging="360"/>
      </w:pPr>
    </w:lvl>
    <w:lvl w:ilvl="8" w:tplc="040C001B" w:tentative="1">
      <w:start w:val="1"/>
      <w:numFmt w:val="lowerRoman"/>
      <w:lvlText w:val="%9."/>
      <w:lvlJc w:val="right"/>
      <w:pPr>
        <w:ind w:left="6934" w:hanging="180"/>
      </w:pPr>
    </w:lvl>
  </w:abstractNum>
  <w:abstractNum w:abstractNumId="16">
    <w:nsid w:val="3E7F6144"/>
    <w:multiLevelType w:val="hybridMultilevel"/>
    <w:tmpl w:val="5CE67434"/>
    <w:lvl w:ilvl="0" w:tplc="8EB2E204">
      <w:numFmt w:val="decimal"/>
      <w:lvlText w:val=""/>
      <w:lvlJc w:val="left"/>
      <w:rPr>
        <w:rFonts w:cs="Times New Roman"/>
      </w:rPr>
    </w:lvl>
    <w:lvl w:ilvl="1" w:tplc="E3385F50">
      <w:numFmt w:val="decimal"/>
      <w:lvlText w:val=""/>
      <w:lvlJc w:val="left"/>
      <w:rPr>
        <w:rFonts w:cs="Times New Roman"/>
      </w:rPr>
    </w:lvl>
    <w:lvl w:ilvl="2" w:tplc="77D23354">
      <w:numFmt w:val="decimal"/>
      <w:lvlText w:val=""/>
      <w:lvlJc w:val="left"/>
      <w:rPr>
        <w:rFonts w:cs="Times New Roman"/>
      </w:rPr>
    </w:lvl>
    <w:lvl w:ilvl="3" w:tplc="0409000F">
      <w:numFmt w:val="decimal"/>
      <w:lvlText w:val=""/>
      <w:lvlJc w:val="left"/>
      <w:rPr>
        <w:rFonts w:cs="Times New Roman"/>
      </w:rPr>
    </w:lvl>
    <w:lvl w:ilvl="4" w:tplc="04090019">
      <w:numFmt w:val="decimal"/>
      <w:lvlText w:val=""/>
      <w:lvlJc w:val="left"/>
      <w:rPr>
        <w:rFonts w:cs="Times New Roman"/>
      </w:rPr>
    </w:lvl>
    <w:lvl w:ilvl="5" w:tplc="0409001B">
      <w:numFmt w:val="decimal"/>
      <w:lvlText w:val=""/>
      <w:lvlJc w:val="left"/>
      <w:rPr>
        <w:rFonts w:cs="Times New Roman"/>
      </w:rPr>
    </w:lvl>
    <w:lvl w:ilvl="6" w:tplc="0409000F">
      <w:numFmt w:val="decimal"/>
      <w:lvlText w:val=""/>
      <w:lvlJc w:val="left"/>
      <w:rPr>
        <w:rFonts w:cs="Times New Roman"/>
      </w:rPr>
    </w:lvl>
    <w:lvl w:ilvl="7" w:tplc="04090019">
      <w:numFmt w:val="decimal"/>
      <w:lvlText w:val=""/>
      <w:lvlJc w:val="left"/>
      <w:rPr>
        <w:rFonts w:cs="Times New Roman"/>
      </w:rPr>
    </w:lvl>
    <w:lvl w:ilvl="8" w:tplc="0409001B">
      <w:numFmt w:val="decimal"/>
      <w:lvlText w:val=""/>
      <w:lvlJc w:val="left"/>
      <w:rPr>
        <w:rFonts w:cs="Times New Roman"/>
      </w:rPr>
    </w:lvl>
  </w:abstractNum>
  <w:abstractNum w:abstractNumId="17">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8">
    <w:nsid w:val="4EE600C3"/>
    <w:multiLevelType w:val="hybridMultilevel"/>
    <w:tmpl w:val="6394A37E"/>
    <w:lvl w:ilvl="0" w:tplc="5D560300">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9">
    <w:nsid w:val="52BC4514"/>
    <w:multiLevelType w:val="hybridMultilevel"/>
    <w:tmpl w:val="12D4A0C6"/>
    <w:lvl w:ilvl="0" w:tplc="90661D86">
      <w:start w:val="1"/>
      <w:numFmt w:val="decimal"/>
      <w:lvlText w:val="%1-3-2-2-"/>
      <w:lvlJc w:val="left"/>
      <w:pPr>
        <w:ind w:left="862" w:hanging="360"/>
      </w:pPr>
      <w:rPr>
        <w:rFonts w:hint="default"/>
      </w:rPr>
    </w:lvl>
    <w:lvl w:ilvl="1" w:tplc="040C0003" w:tentative="1">
      <w:start w:val="1"/>
      <w:numFmt w:val="lowerLetter"/>
      <w:lvlText w:val="%2."/>
      <w:lvlJc w:val="left"/>
      <w:pPr>
        <w:ind w:left="1582" w:hanging="360"/>
      </w:pPr>
    </w:lvl>
    <w:lvl w:ilvl="2" w:tplc="040C0005" w:tentative="1">
      <w:start w:val="1"/>
      <w:numFmt w:val="lowerRoman"/>
      <w:lvlText w:val="%3."/>
      <w:lvlJc w:val="right"/>
      <w:pPr>
        <w:ind w:left="2302" w:hanging="180"/>
      </w:pPr>
    </w:lvl>
    <w:lvl w:ilvl="3" w:tplc="040C0001" w:tentative="1">
      <w:start w:val="1"/>
      <w:numFmt w:val="decimal"/>
      <w:lvlText w:val="%4."/>
      <w:lvlJc w:val="left"/>
      <w:pPr>
        <w:ind w:left="3022" w:hanging="360"/>
      </w:pPr>
    </w:lvl>
    <w:lvl w:ilvl="4" w:tplc="040C0003" w:tentative="1">
      <w:start w:val="1"/>
      <w:numFmt w:val="lowerLetter"/>
      <w:lvlText w:val="%5."/>
      <w:lvlJc w:val="left"/>
      <w:pPr>
        <w:ind w:left="3742" w:hanging="360"/>
      </w:pPr>
    </w:lvl>
    <w:lvl w:ilvl="5" w:tplc="040C0005" w:tentative="1">
      <w:start w:val="1"/>
      <w:numFmt w:val="lowerRoman"/>
      <w:lvlText w:val="%6."/>
      <w:lvlJc w:val="right"/>
      <w:pPr>
        <w:ind w:left="4462" w:hanging="180"/>
      </w:pPr>
    </w:lvl>
    <w:lvl w:ilvl="6" w:tplc="040C0001" w:tentative="1">
      <w:start w:val="1"/>
      <w:numFmt w:val="decimal"/>
      <w:lvlText w:val="%7."/>
      <w:lvlJc w:val="left"/>
      <w:pPr>
        <w:ind w:left="5182" w:hanging="360"/>
      </w:pPr>
    </w:lvl>
    <w:lvl w:ilvl="7" w:tplc="040C0003" w:tentative="1">
      <w:start w:val="1"/>
      <w:numFmt w:val="lowerLetter"/>
      <w:lvlText w:val="%8."/>
      <w:lvlJc w:val="left"/>
      <w:pPr>
        <w:ind w:left="5902" w:hanging="360"/>
      </w:pPr>
    </w:lvl>
    <w:lvl w:ilvl="8" w:tplc="040C0005" w:tentative="1">
      <w:start w:val="1"/>
      <w:numFmt w:val="lowerRoman"/>
      <w:lvlText w:val="%9."/>
      <w:lvlJc w:val="right"/>
      <w:pPr>
        <w:ind w:left="6622" w:hanging="180"/>
      </w:pPr>
    </w:lvl>
  </w:abstractNum>
  <w:abstractNum w:abstractNumId="20">
    <w:nsid w:val="57F50AC6"/>
    <w:multiLevelType w:val="hybridMultilevel"/>
    <w:tmpl w:val="EB966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876D70"/>
    <w:multiLevelType w:val="hybridMultilevel"/>
    <w:tmpl w:val="4F1EA31C"/>
    <w:lvl w:ilvl="0" w:tplc="82EC34EA">
      <w:start w:val="1"/>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0376137"/>
    <w:multiLevelType w:val="hybridMultilevel"/>
    <w:tmpl w:val="6B006D94"/>
    <w:lvl w:ilvl="0" w:tplc="68A61B1C">
      <w:start w:val="1"/>
      <w:numFmt w:val="bullet"/>
      <w:lvlText w:val=""/>
      <w:lvlJc w:val="left"/>
      <w:pPr>
        <w:tabs>
          <w:tab w:val="num" w:pos="748"/>
        </w:tabs>
        <w:ind w:left="748" w:hanging="360"/>
      </w:pPr>
      <w:rPr>
        <w:rFonts w:ascii="Symbol" w:hAnsi="Symbol" w:hint="default"/>
        <w:lang w:bidi="ar-EG"/>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4">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4527741"/>
    <w:multiLevelType w:val="hybridMultilevel"/>
    <w:tmpl w:val="32705664"/>
    <w:lvl w:ilvl="0" w:tplc="BB94C460">
      <w:start w:val="1"/>
      <w:numFmt w:val="bullet"/>
      <w:lvlText w:val="-"/>
      <w:lvlJc w:val="left"/>
      <w:pPr>
        <w:ind w:left="1210" w:hanging="360"/>
      </w:pPr>
      <w:rPr>
        <w:rFonts w:ascii="Simplified Arabic" w:eastAsia="Times New Roman" w:hAnsi="Simplified Arabic" w:cs="Simplified Arabic"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26">
    <w:nsid w:val="69D26043"/>
    <w:multiLevelType w:val="hybridMultilevel"/>
    <w:tmpl w:val="D7D0F040"/>
    <w:lvl w:ilvl="0" w:tplc="DFB856E4">
      <w:start w:val="1"/>
      <w:numFmt w:val="decimal"/>
      <w:lvlText w:val="%1)"/>
      <w:lvlJc w:val="left"/>
      <w:pPr>
        <w:tabs>
          <w:tab w:val="num" w:pos="780"/>
        </w:tabs>
        <w:ind w:left="780" w:hanging="4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B765FA4"/>
    <w:multiLevelType w:val="hybridMultilevel"/>
    <w:tmpl w:val="4AA2C09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7"/>
  </w:num>
  <w:num w:numId="2">
    <w:abstractNumId w:val="24"/>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4"/>
  </w:num>
  <w:num w:numId="13">
    <w:abstractNumId w:val="23"/>
  </w:num>
  <w:num w:numId="14">
    <w:abstractNumId w:val="16"/>
  </w:num>
  <w:num w:numId="15">
    <w:abstractNumId w:val="20"/>
  </w:num>
  <w:num w:numId="16">
    <w:abstractNumId w:val="18"/>
  </w:num>
  <w:num w:numId="17">
    <w:abstractNumId w:val="10"/>
  </w:num>
  <w:num w:numId="18">
    <w:abstractNumId w:val="12"/>
  </w:num>
  <w:num w:numId="19">
    <w:abstractNumId w:val="13"/>
  </w:num>
  <w:num w:numId="20">
    <w:abstractNumId w:val="11"/>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5"/>
  </w:num>
  <w:num w:numId="26">
    <w:abstractNumId w:val="19"/>
  </w:num>
  <w:num w:numId="27">
    <w:abstractNumId w:val="9"/>
  </w:num>
  <w:num w:numId="28">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1F07"/>
    <w:rsid w:val="00002BB6"/>
    <w:rsid w:val="00002FF3"/>
    <w:rsid w:val="00004100"/>
    <w:rsid w:val="000041B3"/>
    <w:rsid w:val="000043AD"/>
    <w:rsid w:val="000046B7"/>
    <w:rsid w:val="00005DF7"/>
    <w:rsid w:val="000064AD"/>
    <w:rsid w:val="00006ECF"/>
    <w:rsid w:val="00007288"/>
    <w:rsid w:val="00007408"/>
    <w:rsid w:val="000100A3"/>
    <w:rsid w:val="00013313"/>
    <w:rsid w:val="0001388A"/>
    <w:rsid w:val="000138B0"/>
    <w:rsid w:val="00013D8D"/>
    <w:rsid w:val="00013F03"/>
    <w:rsid w:val="00014491"/>
    <w:rsid w:val="00014E99"/>
    <w:rsid w:val="00015392"/>
    <w:rsid w:val="00020641"/>
    <w:rsid w:val="0002097C"/>
    <w:rsid w:val="0002200C"/>
    <w:rsid w:val="00022B07"/>
    <w:rsid w:val="0002343A"/>
    <w:rsid w:val="00023809"/>
    <w:rsid w:val="00024D9E"/>
    <w:rsid w:val="00025C66"/>
    <w:rsid w:val="000324CA"/>
    <w:rsid w:val="00033691"/>
    <w:rsid w:val="000349F9"/>
    <w:rsid w:val="00035A69"/>
    <w:rsid w:val="00035DC8"/>
    <w:rsid w:val="0003691A"/>
    <w:rsid w:val="00040811"/>
    <w:rsid w:val="00040824"/>
    <w:rsid w:val="00041460"/>
    <w:rsid w:val="0004198E"/>
    <w:rsid w:val="00042453"/>
    <w:rsid w:val="00042C44"/>
    <w:rsid w:val="00043E75"/>
    <w:rsid w:val="0004418F"/>
    <w:rsid w:val="000448F1"/>
    <w:rsid w:val="00044FEF"/>
    <w:rsid w:val="00045669"/>
    <w:rsid w:val="00050B83"/>
    <w:rsid w:val="000510C9"/>
    <w:rsid w:val="00051230"/>
    <w:rsid w:val="00051390"/>
    <w:rsid w:val="000513B7"/>
    <w:rsid w:val="000528CC"/>
    <w:rsid w:val="00052A5D"/>
    <w:rsid w:val="00052B81"/>
    <w:rsid w:val="00053147"/>
    <w:rsid w:val="00054AF1"/>
    <w:rsid w:val="0005574C"/>
    <w:rsid w:val="00055868"/>
    <w:rsid w:val="00055DC4"/>
    <w:rsid w:val="00055EC4"/>
    <w:rsid w:val="00056BFC"/>
    <w:rsid w:val="00057C9C"/>
    <w:rsid w:val="00057E24"/>
    <w:rsid w:val="0006118F"/>
    <w:rsid w:val="00062936"/>
    <w:rsid w:val="00062AE2"/>
    <w:rsid w:val="00062CA0"/>
    <w:rsid w:val="0006311E"/>
    <w:rsid w:val="00064DBC"/>
    <w:rsid w:val="000651A7"/>
    <w:rsid w:val="000667FB"/>
    <w:rsid w:val="0006689B"/>
    <w:rsid w:val="00067953"/>
    <w:rsid w:val="00070E6B"/>
    <w:rsid w:val="00071750"/>
    <w:rsid w:val="00072C15"/>
    <w:rsid w:val="00073545"/>
    <w:rsid w:val="000748D3"/>
    <w:rsid w:val="00074CA5"/>
    <w:rsid w:val="00076289"/>
    <w:rsid w:val="00076469"/>
    <w:rsid w:val="000764F7"/>
    <w:rsid w:val="0007730F"/>
    <w:rsid w:val="00080373"/>
    <w:rsid w:val="00080EF2"/>
    <w:rsid w:val="000814F5"/>
    <w:rsid w:val="000817FF"/>
    <w:rsid w:val="000828DA"/>
    <w:rsid w:val="00082AF4"/>
    <w:rsid w:val="00082D72"/>
    <w:rsid w:val="000832F9"/>
    <w:rsid w:val="000835AE"/>
    <w:rsid w:val="00083959"/>
    <w:rsid w:val="00083A9C"/>
    <w:rsid w:val="00084AB3"/>
    <w:rsid w:val="00086003"/>
    <w:rsid w:val="0008650A"/>
    <w:rsid w:val="00086CDA"/>
    <w:rsid w:val="0008790A"/>
    <w:rsid w:val="00090A44"/>
    <w:rsid w:val="00092C98"/>
    <w:rsid w:val="0009334C"/>
    <w:rsid w:val="000935CD"/>
    <w:rsid w:val="0009427A"/>
    <w:rsid w:val="000950CE"/>
    <w:rsid w:val="0009569A"/>
    <w:rsid w:val="00095A5D"/>
    <w:rsid w:val="00095B7A"/>
    <w:rsid w:val="00095C2D"/>
    <w:rsid w:val="00096A53"/>
    <w:rsid w:val="00096D40"/>
    <w:rsid w:val="00097798"/>
    <w:rsid w:val="000A03C7"/>
    <w:rsid w:val="000A0A1F"/>
    <w:rsid w:val="000A0DE2"/>
    <w:rsid w:val="000A1448"/>
    <w:rsid w:val="000A248D"/>
    <w:rsid w:val="000A2FC7"/>
    <w:rsid w:val="000A376C"/>
    <w:rsid w:val="000A4050"/>
    <w:rsid w:val="000A59B6"/>
    <w:rsid w:val="000A61C1"/>
    <w:rsid w:val="000A62D0"/>
    <w:rsid w:val="000A6656"/>
    <w:rsid w:val="000A7133"/>
    <w:rsid w:val="000B01C7"/>
    <w:rsid w:val="000B049E"/>
    <w:rsid w:val="000B16E4"/>
    <w:rsid w:val="000B421F"/>
    <w:rsid w:val="000B50B2"/>
    <w:rsid w:val="000B5897"/>
    <w:rsid w:val="000B73D5"/>
    <w:rsid w:val="000C020E"/>
    <w:rsid w:val="000C13B0"/>
    <w:rsid w:val="000C1E30"/>
    <w:rsid w:val="000C21B6"/>
    <w:rsid w:val="000C3FCE"/>
    <w:rsid w:val="000C4638"/>
    <w:rsid w:val="000C51CA"/>
    <w:rsid w:val="000C6522"/>
    <w:rsid w:val="000C7243"/>
    <w:rsid w:val="000C77AF"/>
    <w:rsid w:val="000C7BF7"/>
    <w:rsid w:val="000C7E87"/>
    <w:rsid w:val="000D0123"/>
    <w:rsid w:val="000D0658"/>
    <w:rsid w:val="000D11B4"/>
    <w:rsid w:val="000D1448"/>
    <w:rsid w:val="000D1641"/>
    <w:rsid w:val="000D1C6C"/>
    <w:rsid w:val="000D310F"/>
    <w:rsid w:val="000D3A94"/>
    <w:rsid w:val="000D4EDE"/>
    <w:rsid w:val="000D503B"/>
    <w:rsid w:val="000D6A22"/>
    <w:rsid w:val="000D6F79"/>
    <w:rsid w:val="000D7F76"/>
    <w:rsid w:val="000E0D39"/>
    <w:rsid w:val="000E1713"/>
    <w:rsid w:val="000E1BA2"/>
    <w:rsid w:val="000E3EF8"/>
    <w:rsid w:val="000E410E"/>
    <w:rsid w:val="000E53EB"/>
    <w:rsid w:val="000E5B47"/>
    <w:rsid w:val="000E604A"/>
    <w:rsid w:val="000E6564"/>
    <w:rsid w:val="000E7D46"/>
    <w:rsid w:val="000E7FCD"/>
    <w:rsid w:val="000F01EC"/>
    <w:rsid w:val="000F042F"/>
    <w:rsid w:val="000F0847"/>
    <w:rsid w:val="000F0A15"/>
    <w:rsid w:val="000F1961"/>
    <w:rsid w:val="000F2F38"/>
    <w:rsid w:val="000F30CB"/>
    <w:rsid w:val="000F772A"/>
    <w:rsid w:val="000F7B48"/>
    <w:rsid w:val="00101AF4"/>
    <w:rsid w:val="00101FE3"/>
    <w:rsid w:val="001022E4"/>
    <w:rsid w:val="0010434A"/>
    <w:rsid w:val="001054E3"/>
    <w:rsid w:val="00106283"/>
    <w:rsid w:val="00106B35"/>
    <w:rsid w:val="0011006D"/>
    <w:rsid w:val="001101BC"/>
    <w:rsid w:val="00110377"/>
    <w:rsid w:val="00110A61"/>
    <w:rsid w:val="00110BEB"/>
    <w:rsid w:val="001112B1"/>
    <w:rsid w:val="00111400"/>
    <w:rsid w:val="0011213F"/>
    <w:rsid w:val="001128F7"/>
    <w:rsid w:val="0011292D"/>
    <w:rsid w:val="00112E3A"/>
    <w:rsid w:val="00113C7A"/>
    <w:rsid w:val="0011464B"/>
    <w:rsid w:val="00116444"/>
    <w:rsid w:val="001177DE"/>
    <w:rsid w:val="00117AA0"/>
    <w:rsid w:val="00117AF3"/>
    <w:rsid w:val="00117B42"/>
    <w:rsid w:val="00120A7A"/>
    <w:rsid w:val="00121520"/>
    <w:rsid w:val="0012299F"/>
    <w:rsid w:val="001229FB"/>
    <w:rsid w:val="0012503B"/>
    <w:rsid w:val="0012520E"/>
    <w:rsid w:val="001253CF"/>
    <w:rsid w:val="0012599D"/>
    <w:rsid w:val="00125C56"/>
    <w:rsid w:val="00125E50"/>
    <w:rsid w:val="0012606A"/>
    <w:rsid w:val="00126133"/>
    <w:rsid w:val="00126D71"/>
    <w:rsid w:val="0013098F"/>
    <w:rsid w:val="00131F5B"/>
    <w:rsid w:val="0013218A"/>
    <w:rsid w:val="00134981"/>
    <w:rsid w:val="00134D60"/>
    <w:rsid w:val="001357F4"/>
    <w:rsid w:val="00136725"/>
    <w:rsid w:val="00142B32"/>
    <w:rsid w:val="00142FFD"/>
    <w:rsid w:val="00143A12"/>
    <w:rsid w:val="00145190"/>
    <w:rsid w:val="001455E8"/>
    <w:rsid w:val="001458E3"/>
    <w:rsid w:val="00145E21"/>
    <w:rsid w:val="00145E6B"/>
    <w:rsid w:val="00146B62"/>
    <w:rsid w:val="00147093"/>
    <w:rsid w:val="00147FB5"/>
    <w:rsid w:val="00151781"/>
    <w:rsid w:val="00152726"/>
    <w:rsid w:val="001529EF"/>
    <w:rsid w:val="001531E1"/>
    <w:rsid w:val="001537F4"/>
    <w:rsid w:val="00153FDD"/>
    <w:rsid w:val="00154AC1"/>
    <w:rsid w:val="00155324"/>
    <w:rsid w:val="0015540A"/>
    <w:rsid w:val="00155A31"/>
    <w:rsid w:val="001567C2"/>
    <w:rsid w:val="00157154"/>
    <w:rsid w:val="00157703"/>
    <w:rsid w:val="0015777C"/>
    <w:rsid w:val="00157A99"/>
    <w:rsid w:val="00157F9F"/>
    <w:rsid w:val="0016056E"/>
    <w:rsid w:val="00163D5C"/>
    <w:rsid w:val="00163FD5"/>
    <w:rsid w:val="0016440C"/>
    <w:rsid w:val="00164A97"/>
    <w:rsid w:val="001669DF"/>
    <w:rsid w:val="00170713"/>
    <w:rsid w:val="0017156C"/>
    <w:rsid w:val="00171984"/>
    <w:rsid w:val="001731CA"/>
    <w:rsid w:val="00173495"/>
    <w:rsid w:val="00177089"/>
    <w:rsid w:val="001775BC"/>
    <w:rsid w:val="00181DBC"/>
    <w:rsid w:val="0018233D"/>
    <w:rsid w:val="001835A7"/>
    <w:rsid w:val="0018532F"/>
    <w:rsid w:val="00185F9D"/>
    <w:rsid w:val="001864C3"/>
    <w:rsid w:val="00186B9F"/>
    <w:rsid w:val="001910FC"/>
    <w:rsid w:val="0019188A"/>
    <w:rsid w:val="001927EF"/>
    <w:rsid w:val="00192C86"/>
    <w:rsid w:val="00193C5F"/>
    <w:rsid w:val="00194D1A"/>
    <w:rsid w:val="001A01E2"/>
    <w:rsid w:val="001A0534"/>
    <w:rsid w:val="001A159F"/>
    <w:rsid w:val="001A1A02"/>
    <w:rsid w:val="001A3D17"/>
    <w:rsid w:val="001A400E"/>
    <w:rsid w:val="001A61B4"/>
    <w:rsid w:val="001A6AB7"/>
    <w:rsid w:val="001A6BCF"/>
    <w:rsid w:val="001A75E9"/>
    <w:rsid w:val="001B0121"/>
    <w:rsid w:val="001B24AC"/>
    <w:rsid w:val="001B2E7A"/>
    <w:rsid w:val="001B38E0"/>
    <w:rsid w:val="001B3CEE"/>
    <w:rsid w:val="001B4793"/>
    <w:rsid w:val="001B5082"/>
    <w:rsid w:val="001B658C"/>
    <w:rsid w:val="001B6F02"/>
    <w:rsid w:val="001B70B5"/>
    <w:rsid w:val="001B79F7"/>
    <w:rsid w:val="001B7B9E"/>
    <w:rsid w:val="001C1A2A"/>
    <w:rsid w:val="001C2A98"/>
    <w:rsid w:val="001C2EEA"/>
    <w:rsid w:val="001C31B1"/>
    <w:rsid w:val="001C6A8A"/>
    <w:rsid w:val="001C7D7E"/>
    <w:rsid w:val="001D2732"/>
    <w:rsid w:val="001D31C3"/>
    <w:rsid w:val="001D342C"/>
    <w:rsid w:val="001D44EF"/>
    <w:rsid w:val="001D46E0"/>
    <w:rsid w:val="001D63F8"/>
    <w:rsid w:val="001D6BE3"/>
    <w:rsid w:val="001D7E22"/>
    <w:rsid w:val="001E070D"/>
    <w:rsid w:val="001E0938"/>
    <w:rsid w:val="001E16D1"/>
    <w:rsid w:val="001E1961"/>
    <w:rsid w:val="001E1D5B"/>
    <w:rsid w:val="001E2155"/>
    <w:rsid w:val="001E43DB"/>
    <w:rsid w:val="001E5E90"/>
    <w:rsid w:val="001E5EE2"/>
    <w:rsid w:val="001E791B"/>
    <w:rsid w:val="001F0276"/>
    <w:rsid w:val="001F21C1"/>
    <w:rsid w:val="001F2C2F"/>
    <w:rsid w:val="001F2CB3"/>
    <w:rsid w:val="001F3703"/>
    <w:rsid w:val="001F47FE"/>
    <w:rsid w:val="001F4AE8"/>
    <w:rsid w:val="001F548B"/>
    <w:rsid w:val="001F5BCE"/>
    <w:rsid w:val="001F6A7F"/>
    <w:rsid w:val="001F6C7E"/>
    <w:rsid w:val="001F70A5"/>
    <w:rsid w:val="00200F39"/>
    <w:rsid w:val="002019C0"/>
    <w:rsid w:val="00201E73"/>
    <w:rsid w:val="00202727"/>
    <w:rsid w:val="0020288C"/>
    <w:rsid w:val="00202DB8"/>
    <w:rsid w:val="00203E23"/>
    <w:rsid w:val="0020481A"/>
    <w:rsid w:val="00204BF2"/>
    <w:rsid w:val="00204BFE"/>
    <w:rsid w:val="00204D6E"/>
    <w:rsid w:val="00205088"/>
    <w:rsid w:val="00205E78"/>
    <w:rsid w:val="00207404"/>
    <w:rsid w:val="0021031B"/>
    <w:rsid w:val="00210AAE"/>
    <w:rsid w:val="00211334"/>
    <w:rsid w:val="00211B05"/>
    <w:rsid w:val="002120E0"/>
    <w:rsid w:val="0021326E"/>
    <w:rsid w:val="002135E2"/>
    <w:rsid w:val="00213AD2"/>
    <w:rsid w:val="00213D3E"/>
    <w:rsid w:val="00213EF7"/>
    <w:rsid w:val="00216144"/>
    <w:rsid w:val="00216752"/>
    <w:rsid w:val="00217A2A"/>
    <w:rsid w:val="00220324"/>
    <w:rsid w:val="00220DC8"/>
    <w:rsid w:val="0022328B"/>
    <w:rsid w:val="0022361D"/>
    <w:rsid w:val="002244FE"/>
    <w:rsid w:val="002252F8"/>
    <w:rsid w:val="002257F8"/>
    <w:rsid w:val="00226179"/>
    <w:rsid w:val="0022719E"/>
    <w:rsid w:val="0023029C"/>
    <w:rsid w:val="00230C23"/>
    <w:rsid w:val="00231862"/>
    <w:rsid w:val="00231870"/>
    <w:rsid w:val="00231F0A"/>
    <w:rsid w:val="002329B5"/>
    <w:rsid w:val="00232FFD"/>
    <w:rsid w:val="00233654"/>
    <w:rsid w:val="002355A9"/>
    <w:rsid w:val="002355B4"/>
    <w:rsid w:val="0023744A"/>
    <w:rsid w:val="0023753A"/>
    <w:rsid w:val="002375C1"/>
    <w:rsid w:val="00237964"/>
    <w:rsid w:val="00243115"/>
    <w:rsid w:val="002437AB"/>
    <w:rsid w:val="002439AF"/>
    <w:rsid w:val="00243A31"/>
    <w:rsid w:val="00244D7B"/>
    <w:rsid w:val="00245FFE"/>
    <w:rsid w:val="002467CF"/>
    <w:rsid w:val="0024738F"/>
    <w:rsid w:val="0024775B"/>
    <w:rsid w:val="00247F58"/>
    <w:rsid w:val="0025019B"/>
    <w:rsid w:val="002502FA"/>
    <w:rsid w:val="00250ED4"/>
    <w:rsid w:val="00250EF6"/>
    <w:rsid w:val="0025109E"/>
    <w:rsid w:val="0025128B"/>
    <w:rsid w:val="00252C4D"/>
    <w:rsid w:val="002530D8"/>
    <w:rsid w:val="0025449B"/>
    <w:rsid w:val="002546C7"/>
    <w:rsid w:val="00254BD1"/>
    <w:rsid w:val="00255DC1"/>
    <w:rsid w:val="00256415"/>
    <w:rsid w:val="002575B8"/>
    <w:rsid w:val="002610A7"/>
    <w:rsid w:val="00261E06"/>
    <w:rsid w:val="00262302"/>
    <w:rsid w:val="0026451B"/>
    <w:rsid w:val="0026559E"/>
    <w:rsid w:val="00266DCE"/>
    <w:rsid w:val="002673EC"/>
    <w:rsid w:val="00270243"/>
    <w:rsid w:val="002714C1"/>
    <w:rsid w:val="00271BDF"/>
    <w:rsid w:val="00271DED"/>
    <w:rsid w:val="002722B6"/>
    <w:rsid w:val="0027371C"/>
    <w:rsid w:val="0027489E"/>
    <w:rsid w:val="00275684"/>
    <w:rsid w:val="00275B2F"/>
    <w:rsid w:val="0027622F"/>
    <w:rsid w:val="002814ED"/>
    <w:rsid w:val="00281EEB"/>
    <w:rsid w:val="00282291"/>
    <w:rsid w:val="002831B1"/>
    <w:rsid w:val="00285EAD"/>
    <w:rsid w:val="002864CA"/>
    <w:rsid w:val="00286864"/>
    <w:rsid w:val="00286877"/>
    <w:rsid w:val="00286ACE"/>
    <w:rsid w:val="00286E54"/>
    <w:rsid w:val="00286E74"/>
    <w:rsid w:val="00287F15"/>
    <w:rsid w:val="00290D44"/>
    <w:rsid w:val="0029271A"/>
    <w:rsid w:val="0029492D"/>
    <w:rsid w:val="00295BD6"/>
    <w:rsid w:val="00295D6A"/>
    <w:rsid w:val="002970BD"/>
    <w:rsid w:val="00297258"/>
    <w:rsid w:val="002973B2"/>
    <w:rsid w:val="002A07BC"/>
    <w:rsid w:val="002A07C4"/>
    <w:rsid w:val="002A0BB8"/>
    <w:rsid w:val="002A0E69"/>
    <w:rsid w:val="002A2730"/>
    <w:rsid w:val="002A6BE7"/>
    <w:rsid w:val="002A6E7F"/>
    <w:rsid w:val="002A7456"/>
    <w:rsid w:val="002A7AA0"/>
    <w:rsid w:val="002A7FE2"/>
    <w:rsid w:val="002B0C83"/>
    <w:rsid w:val="002B0FE9"/>
    <w:rsid w:val="002B19FA"/>
    <w:rsid w:val="002B25E9"/>
    <w:rsid w:val="002B2618"/>
    <w:rsid w:val="002B3B64"/>
    <w:rsid w:val="002B424C"/>
    <w:rsid w:val="002B5BFE"/>
    <w:rsid w:val="002B5C87"/>
    <w:rsid w:val="002B65CB"/>
    <w:rsid w:val="002B7B16"/>
    <w:rsid w:val="002C04DA"/>
    <w:rsid w:val="002C0586"/>
    <w:rsid w:val="002C162C"/>
    <w:rsid w:val="002C170A"/>
    <w:rsid w:val="002C21C6"/>
    <w:rsid w:val="002C2238"/>
    <w:rsid w:val="002C310E"/>
    <w:rsid w:val="002C312F"/>
    <w:rsid w:val="002C318D"/>
    <w:rsid w:val="002C4D78"/>
    <w:rsid w:val="002C536F"/>
    <w:rsid w:val="002C5C67"/>
    <w:rsid w:val="002C6212"/>
    <w:rsid w:val="002C6C2A"/>
    <w:rsid w:val="002D0335"/>
    <w:rsid w:val="002D16EC"/>
    <w:rsid w:val="002D267E"/>
    <w:rsid w:val="002D30BF"/>
    <w:rsid w:val="002D3257"/>
    <w:rsid w:val="002D3260"/>
    <w:rsid w:val="002D56B8"/>
    <w:rsid w:val="002D583F"/>
    <w:rsid w:val="002D588A"/>
    <w:rsid w:val="002D6638"/>
    <w:rsid w:val="002D6C89"/>
    <w:rsid w:val="002D7DD9"/>
    <w:rsid w:val="002E04B1"/>
    <w:rsid w:val="002E32B4"/>
    <w:rsid w:val="002E3342"/>
    <w:rsid w:val="002E3972"/>
    <w:rsid w:val="002E3A37"/>
    <w:rsid w:val="002E4215"/>
    <w:rsid w:val="002E4825"/>
    <w:rsid w:val="002E50C9"/>
    <w:rsid w:val="002E52EF"/>
    <w:rsid w:val="002E5FFD"/>
    <w:rsid w:val="002E76C6"/>
    <w:rsid w:val="002E7BB2"/>
    <w:rsid w:val="002F04C8"/>
    <w:rsid w:val="002F066C"/>
    <w:rsid w:val="002F0EB4"/>
    <w:rsid w:val="002F128F"/>
    <w:rsid w:val="002F4C7F"/>
    <w:rsid w:val="002F5255"/>
    <w:rsid w:val="002F5628"/>
    <w:rsid w:val="002F6615"/>
    <w:rsid w:val="002F6A27"/>
    <w:rsid w:val="002F78AA"/>
    <w:rsid w:val="002F7939"/>
    <w:rsid w:val="003021BC"/>
    <w:rsid w:val="00306761"/>
    <w:rsid w:val="00307E9D"/>
    <w:rsid w:val="003103EF"/>
    <w:rsid w:val="0031088B"/>
    <w:rsid w:val="00310F9D"/>
    <w:rsid w:val="00311508"/>
    <w:rsid w:val="003116AD"/>
    <w:rsid w:val="00312497"/>
    <w:rsid w:val="0031261D"/>
    <w:rsid w:val="003141B5"/>
    <w:rsid w:val="00320CD2"/>
    <w:rsid w:val="00320ED7"/>
    <w:rsid w:val="00321F39"/>
    <w:rsid w:val="003220E3"/>
    <w:rsid w:val="0032297A"/>
    <w:rsid w:val="0032309E"/>
    <w:rsid w:val="00323BF4"/>
    <w:rsid w:val="00324219"/>
    <w:rsid w:val="00325113"/>
    <w:rsid w:val="00325D2F"/>
    <w:rsid w:val="00330CE6"/>
    <w:rsid w:val="0033249F"/>
    <w:rsid w:val="00332FAC"/>
    <w:rsid w:val="00333980"/>
    <w:rsid w:val="00333AA2"/>
    <w:rsid w:val="00334D5A"/>
    <w:rsid w:val="003352DF"/>
    <w:rsid w:val="00335B89"/>
    <w:rsid w:val="00335EDD"/>
    <w:rsid w:val="00336732"/>
    <w:rsid w:val="00336A8D"/>
    <w:rsid w:val="00336F3B"/>
    <w:rsid w:val="003373E9"/>
    <w:rsid w:val="00337986"/>
    <w:rsid w:val="00337B79"/>
    <w:rsid w:val="003401F9"/>
    <w:rsid w:val="00340818"/>
    <w:rsid w:val="003408CA"/>
    <w:rsid w:val="00340A76"/>
    <w:rsid w:val="00340D12"/>
    <w:rsid w:val="0034336B"/>
    <w:rsid w:val="00344B85"/>
    <w:rsid w:val="00345FD6"/>
    <w:rsid w:val="003473CD"/>
    <w:rsid w:val="003478BA"/>
    <w:rsid w:val="00347C4D"/>
    <w:rsid w:val="00347CD2"/>
    <w:rsid w:val="0035162A"/>
    <w:rsid w:val="00352B83"/>
    <w:rsid w:val="00352F62"/>
    <w:rsid w:val="0035521A"/>
    <w:rsid w:val="003555EC"/>
    <w:rsid w:val="00355685"/>
    <w:rsid w:val="00355AEE"/>
    <w:rsid w:val="003568B3"/>
    <w:rsid w:val="00356CDE"/>
    <w:rsid w:val="003616B3"/>
    <w:rsid w:val="003623CB"/>
    <w:rsid w:val="00362C48"/>
    <w:rsid w:val="003635FB"/>
    <w:rsid w:val="003641B8"/>
    <w:rsid w:val="003641EC"/>
    <w:rsid w:val="00366441"/>
    <w:rsid w:val="00367220"/>
    <w:rsid w:val="00370170"/>
    <w:rsid w:val="00370E44"/>
    <w:rsid w:val="00371132"/>
    <w:rsid w:val="00371188"/>
    <w:rsid w:val="00371C9D"/>
    <w:rsid w:val="00372386"/>
    <w:rsid w:val="00373683"/>
    <w:rsid w:val="00373913"/>
    <w:rsid w:val="00373981"/>
    <w:rsid w:val="00374CA6"/>
    <w:rsid w:val="003776AC"/>
    <w:rsid w:val="003825A1"/>
    <w:rsid w:val="0038317C"/>
    <w:rsid w:val="00384728"/>
    <w:rsid w:val="00384B20"/>
    <w:rsid w:val="003853A4"/>
    <w:rsid w:val="00385D49"/>
    <w:rsid w:val="00387B00"/>
    <w:rsid w:val="00387F84"/>
    <w:rsid w:val="00390B27"/>
    <w:rsid w:val="00390C39"/>
    <w:rsid w:val="00390D96"/>
    <w:rsid w:val="00391D7D"/>
    <w:rsid w:val="00391F7A"/>
    <w:rsid w:val="00392497"/>
    <w:rsid w:val="00393D34"/>
    <w:rsid w:val="00393E85"/>
    <w:rsid w:val="00394A8A"/>
    <w:rsid w:val="00394E51"/>
    <w:rsid w:val="003950DD"/>
    <w:rsid w:val="00395263"/>
    <w:rsid w:val="00396AB7"/>
    <w:rsid w:val="0039762F"/>
    <w:rsid w:val="00397BA4"/>
    <w:rsid w:val="003A0A7E"/>
    <w:rsid w:val="003A23B6"/>
    <w:rsid w:val="003A2530"/>
    <w:rsid w:val="003A35A1"/>
    <w:rsid w:val="003A4BF9"/>
    <w:rsid w:val="003A4ED5"/>
    <w:rsid w:val="003A557C"/>
    <w:rsid w:val="003A582A"/>
    <w:rsid w:val="003A5A42"/>
    <w:rsid w:val="003A66E5"/>
    <w:rsid w:val="003A7E33"/>
    <w:rsid w:val="003B0306"/>
    <w:rsid w:val="003B0EBD"/>
    <w:rsid w:val="003B1081"/>
    <w:rsid w:val="003B10F7"/>
    <w:rsid w:val="003B1D0B"/>
    <w:rsid w:val="003B1E5D"/>
    <w:rsid w:val="003B25AD"/>
    <w:rsid w:val="003B32C8"/>
    <w:rsid w:val="003B45D7"/>
    <w:rsid w:val="003B7B9A"/>
    <w:rsid w:val="003C00A3"/>
    <w:rsid w:val="003C0639"/>
    <w:rsid w:val="003C0666"/>
    <w:rsid w:val="003C0B3E"/>
    <w:rsid w:val="003C11D1"/>
    <w:rsid w:val="003C1CB3"/>
    <w:rsid w:val="003C3267"/>
    <w:rsid w:val="003C3D93"/>
    <w:rsid w:val="003C3EA7"/>
    <w:rsid w:val="003C3FAA"/>
    <w:rsid w:val="003C4432"/>
    <w:rsid w:val="003C487F"/>
    <w:rsid w:val="003C493E"/>
    <w:rsid w:val="003C7A62"/>
    <w:rsid w:val="003D07B1"/>
    <w:rsid w:val="003D0F74"/>
    <w:rsid w:val="003D24AC"/>
    <w:rsid w:val="003D298C"/>
    <w:rsid w:val="003D3C4C"/>
    <w:rsid w:val="003D4229"/>
    <w:rsid w:val="003D4608"/>
    <w:rsid w:val="003D4C11"/>
    <w:rsid w:val="003D59BC"/>
    <w:rsid w:val="003D688E"/>
    <w:rsid w:val="003D6CD5"/>
    <w:rsid w:val="003D7518"/>
    <w:rsid w:val="003D7E6D"/>
    <w:rsid w:val="003E18E6"/>
    <w:rsid w:val="003E2DC1"/>
    <w:rsid w:val="003E3295"/>
    <w:rsid w:val="003E3AC6"/>
    <w:rsid w:val="003E4AE8"/>
    <w:rsid w:val="003E586D"/>
    <w:rsid w:val="003E5B8E"/>
    <w:rsid w:val="003E5E44"/>
    <w:rsid w:val="003E7004"/>
    <w:rsid w:val="003F07B3"/>
    <w:rsid w:val="003F12CE"/>
    <w:rsid w:val="003F179F"/>
    <w:rsid w:val="003F23CD"/>
    <w:rsid w:val="003F3180"/>
    <w:rsid w:val="003F389D"/>
    <w:rsid w:val="003F4B68"/>
    <w:rsid w:val="003F5EAE"/>
    <w:rsid w:val="003F67BB"/>
    <w:rsid w:val="003F6C40"/>
    <w:rsid w:val="003F7489"/>
    <w:rsid w:val="003F7ECC"/>
    <w:rsid w:val="00400B46"/>
    <w:rsid w:val="00400F06"/>
    <w:rsid w:val="00401B7C"/>
    <w:rsid w:val="0040200C"/>
    <w:rsid w:val="00402074"/>
    <w:rsid w:val="00402140"/>
    <w:rsid w:val="004036C5"/>
    <w:rsid w:val="0040377F"/>
    <w:rsid w:val="00403970"/>
    <w:rsid w:val="004046D3"/>
    <w:rsid w:val="00405512"/>
    <w:rsid w:val="00406EAF"/>
    <w:rsid w:val="0040772E"/>
    <w:rsid w:val="004104FE"/>
    <w:rsid w:val="00410DFB"/>
    <w:rsid w:val="00411E3B"/>
    <w:rsid w:val="004128D2"/>
    <w:rsid w:val="00412ED5"/>
    <w:rsid w:val="004138E3"/>
    <w:rsid w:val="00414928"/>
    <w:rsid w:val="00415A05"/>
    <w:rsid w:val="00415BC7"/>
    <w:rsid w:val="00416560"/>
    <w:rsid w:val="00416BC1"/>
    <w:rsid w:val="00416DBA"/>
    <w:rsid w:val="00417917"/>
    <w:rsid w:val="00417A4E"/>
    <w:rsid w:val="00417EDC"/>
    <w:rsid w:val="00422A85"/>
    <w:rsid w:val="004239BE"/>
    <w:rsid w:val="00424452"/>
    <w:rsid w:val="00424A98"/>
    <w:rsid w:val="00424B50"/>
    <w:rsid w:val="0042534C"/>
    <w:rsid w:val="00425D99"/>
    <w:rsid w:val="00426A93"/>
    <w:rsid w:val="00431162"/>
    <w:rsid w:val="00431A5B"/>
    <w:rsid w:val="00432B99"/>
    <w:rsid w:val="0043319E"/>
    <w:rsid w:val="0043363D"/>
    <w:rsid w:val="00435085"/>
    <w:rsid w:val="00435D7A"/>
    <w:rsid w:val="00437AC1"/>
    <w:rsid w:val="0044010E"/>
    <w:rsid w:val="00443406"/>
    <w:rsid w:val="00443AEA"/>
    <w:rsid w:val="004449C3"/>
    <w:rsid w:val="00445387"/>
    <w:rsid w:val="00447946"/>
    <w:rsid w:val="00447A89"/>
    <w:rsid w:val="00450022"/>
    <w:rsid w:val="004505E9"/>
    <w:rsid w:val="00451BBE"/>
    <w:rsid w:val="00452663"/>
    <w:rsid w:val="004526C3"/>
    <w:rsid w:val="00454509"/>
    <w:rsid w:val="00454772"/>
    <w:rsid w:val="00455A0E"/>
    <w:rsid w:val="004566C3"/>
    <w:rsid w:val="004610A1"/>
    <w:rsid w:val="0046291B"/>
    <w:rsid w:val="00463288"/>
    <w:rsid w:val="00463463"/>
    <w:rsid w:val="00463EC9"/>
    <w:rsid w:val="0046539E"/>
    <w:rsid w:val="004667C5"/>
    <w:rsid w:val="00471237"/>
    <w:rsid w:val="00471B5C"/>
    <w:rsid w:val="00472238"/>
    <w:rsid w:val="004722A1"/>
    <w:rsid w:val="00473383"/>
    <w:rsid w:val="00473826"/>
    <w:rsid w:val="00473D65"/>
    <w:rsid w:val="00473F4B"/>
    <w:rsid w:val="00475813"/>
    <w:rsid w:val="00476ED1"/>
    <w:rsid w:val="0047724C"/>
    <w:rsid w:val="004803AB"/>
    <w:rsid w:val="00480F9A"/>
    <w:rsid w:val="00481B34"/>
    <w:rsid w:val="00484E86"/>
    <w:rsid w:val="004853E3"/>
    <w:rsid w:val="0048614B"/>
    <w:rsid w:val="004865D6"/>
    <w:rsid w:val="004871CE"/>
    <w:rsid w:val="00487435"/>
    <w:rsid w:val="00487983"/>
    <w:rsid w:val="00487B37"/>
    <w:rsid w:val="004915ED"/>
    <w:rsid w:val="00491D56"/>
    <w:rsid w:val="00495188"/>
    <w:rsid w:val="004955CF"/>
    <w:rsid w:val="00495B12"/>
    <w:rsid w:val="00495EE0"/>
    <w:rsid w:val="00496706"/>
    <w:rsid w:val="004A08A4"/>
    <w:rsid w:val="004A1939"/>
    <w:rsid w:val="004A19F8"/>
    <w:rsid w:val="004A1B18"/>
    <w:rsid w:val="004A1ECF"/>
    <w:rsid w:val="004A26A3"/>
    <w:rsid w:val="004A2C4A"/>
    <w:rsid w:val="004A2F47"/>
    <w:rsid w:val="004A5663"/>
    <w:rsid w:val="004A5A5A"/>
    <w:rsid w:val="004A671A"/>
    <w:rsid w:val="004A6C42"/>
    <w:rsid w:val="004A6D21"/>
    <w:rsid w:val="004A6FAD"/>
    <w:rsid w:val="004A7238"/>
    <w:rsid w:val="004A7369"/>
    <w:rsid w:val="004B04B7"/>
    <w:rsid w:val="004B0530"/>
    <w:rsid w:val="004B0C8B"/>
    <w:rsid w:val="004B1317"/>
    <w:rsid w:val="004B1695"/>
    <w:rsid w:val="004B3D84"/>
    <w:rsid w:val="004B430D"/>
    <w:rsid w:val="004B56DA"/>
    <w:rsid w:val="004B5A9F"/>
    <w:rsid w:val="004B686F"/>
    <w:rsid w:val="004B7958"/>
    <w:rsid w:val="004C1DEA"/>
    <w:rsid w:val="004C20F4"/>
    <w:rsid w:val="004C4D65"/>
    <w:rsid w:val="004C5E1E"/>
    <w:rsid w:val="004C5F3C"/>
    <w:rsid w:val="004C6A90"/>
    <w:rsid w:val="004C705F"/>
    <w:rsid w:val="004C7449"/>
    <w:rsid w:val="004D08CA"/>
    <w:rsid w:val="004D0B19"/>
    <w:rsid w:val="004D1291"/>
    <w:rsid w:val="004D1EE7"/>
    <w:rsid w:val="004D22CE"/>
    <w:rsid w:val="004D2EB3"/>
    <w:rsid w:val="004D390A"/>
    <w:rsid w:val="004D3A8A"/>
    <w:rsid w:val="004D3BC7"/>
    <w:rsid w:val="004D3E04"/>
    <w:rsid w:val="004D41D9"/>
    <w:rsid w:val="004D44DD"/>
    <w:rsid w:val="004D47C7"/>
    <w:rsid w:val="004D4B50"/>
    <w:rsid w:val="004D518C"/>
    <w:rsid w:val="004E01BB"/>
    <w:rsid w:val="004E0F74"/>
    <w:rsid w:val="004E1AE1"/>
    <w:rsid w:val="004E2810"/>
    <w:rsid w:val="004E4CD9"/>
    <w:rsid w:val="004E5952"/>
    <w:rsid w:val="004E5F3C"/>
    <w:rsid w:val="004E626D"/>
    <w:rsid w:val="004E6EF4"/>
    <w:rsid w:val="004E70D2"/>
    <w:rsid w:val="004E76F4"/>
    <w:rsid w:val="004F0BDE"/>
    <w:rsid w:val="004F0FB3"/>
    <w:rsid w:val="004F197C"/>
    <w:rsid w:val="004F1F32"/>
    <w:rsid w:val="004F387E"/>
    <w:rsid w:val="004F3882"/>
    <w:rsid w:val="004F52F7"/>
    <w:rsid w:val="004F5866"/>
    <w:rsid w:val="004F634B"/>
    <w:rsid w:val="004F69C5"/>
    <w:rsid w:val="004F6BB1"/>
    <w:rsid w:val="004F6D04"/>
    <w:rsid w:val="00500064"/>
    <w:rsid w:val="0050065F"/>
    <w:rsid w:val="005015E2"/>
    <w:rsid w:val="00502333"/>
    <w:rsid w:val="00502AC2"/>
    <w:rsid w:val="00502DC8"/>
    <w:rsid w:val="00504D15"/>
    <w:rsid w:val="00506056"/>
    <w:rsid w:val="0050758E"/>
    <w:rsid w:val="00510624"/>
    <w:rsid w:val="00510A75"/>
    <w:rsid w:val="00510CE0"/>
    <w:rsid w:val="00512376"/>
    <w:rsid w:val="00512F96"/>
    <w:rsid w:val="005133BD"/>
    <w:rsid w:val="00514CA0"/>
    <w:rsid w:val="00514E0E"/>
    <w:rsid w:val="00515B3A"/>
    <w:rsid w:val="005173C2"/>
    <w:rsid w:val="005173FB"/>
    <w:rsid w:val="0051752E"/>
    <w:rsid w:val="00520258"/>
    <w:rsid w:val="005203B2"/>
    <w:rsid w:val="0052060D"/>
    <w:rsid w:val="00520FF5"/>
    <w:rsid w:val="00521635"/>
    <w:rsid w:val="00523066"/>
    <w:rsid w:val="0052329E"/>
    <w:rsid w:val="00523736"/>
    <w:rsid w:val="00524BF6"/>
    <w:rsid w:val="00525C75"/>
    <w:rsid w:val="00525F25"/>
    <w:rsid w:val="00525F7B"/>
    <w:rsid w:val="005261C8"/>
    <w:rsid w:val="005272F8"/>
    <w:rsid w:val="00527634"/>
    <w:rsid w:val="00527D20"/>
    <w:rsid w:val="00527E12"/>
    <w:rsid w:val="00527FA2"/>
    <w:rsid w:val="00530393"/>
    <w:rsid w:val="00530913"/>
    <w:rsid w:val="00530976"/>
    <w:rsid w:val="005310A6"/>
    <w:rsid w:val="00531121"/>
    <w:rsid w:val="005320CA"/>
    <w:rsid w:val="0053278D"/>
    <w:rsid w:val="00533829"/>
    <w:rsid w:val="00533A7F"/>
    <w:rsid w:val="0053406A"/>
    <w:rsid w:val="005341A3"/>
    <w:rsid w:val="005345D8"/>
    <w:rsid w:val="00540AA5"/>
    <w:rsid w:val="00540F89"/>
    <w:rsid w:val="0054109D"/>
    <w:rsid w:val="00541869"/>
    <w:rsid w:val="0054264C"/>
    <w:rsid w:val="00544400"/>
    <w:rsid w:val="005456CA"/>
    <w:rsid w:val="00546E4F"/>
    <w:rsid w:val="00550BF4"/>
    <w:rsid w:val="00552700"/>
    <w:rsid w:val="00552758"/>
    <w:rsid w:val="00554592"/>
    <w:rsid w:val="00554CAF"/>
    <w:rsid w:val="00554CCB"/>
    <w:rsid w:val="00554D93"/>
    <w:rsid w:val="00555AF2"/>
    <w:rsid w:val="00557C97"/>
    <w:rsid w:val="00557CF8"/>
    <w:rsid w:val="005600F6"/>
    <w:rsid w:val="00560909"/>
    <w:rsid w:val="00563641"/>
    <w:rsid w:val="00564DE4"/>
    <w:rsid w:val="0056540E"/>
    <w:rsid w:val="005656A0"/>
    <w:rsid w:val="005666D8"/>
    <w:rsid w:val="00566C61"/>
    <w:rsid w:val="00567747"/>
    <w:rsid w:val="00567D6D"/>
    <w:rsid w:val="00570889"/>
    <w:rsid w:val="00570A51"/>
    <w:rsid w:val="00570AB2"/>
    <w:rsid w:val="00571353"/>
    <w:rsid w:val="005719F3"/>
    <w:rsid w:val="00572008"/>
    <w:rsid w:val="005720C0"/>
    <w:rsid w:val="00572781"/>
    <w:rsid w:val="00572E99"/>
    <w:rsid w:val="0057303A"/>
    <w:rsid w:val="00573077"/>
    <w:rsid w:val="0057337E"/>
    <w:rsid w:val="00574045"/>
    <w:rsid w:val="0057425B"/>
    <w:rsid w:val="00574705"/>
    <w:rsid w:val="00574B6C"/>
    <w:rsid w:val="00574EE9"/>
    <w:rsid w:val="005756F2"/>
    <w:rsid w:val="00575AB0"/>
    <w:rsid w:val="0057607C"/>
    <w:rsid w:val="005760D6"/>
    <w:rsid w:val="005762EC"/>
    <w:rsid w:val="00576F4A"/>
    <w:rsid w:val="0057736E"/>
    <w:rsid w:val="0057772A"/>
    <w:rsid w:val="005821D0"/>
    <w:rsid w:val="005823C3"/>
    <w:rsid w:val="00582ED1"/>
    <w:rsid w:val="00583384"/>
    <w:rsid w:val="00583BA1"/>
    <w:rsid w:val="00583C7A"/>
    <w:rsid w:val="00583CBC"/>
    <w:rsid w:val="00584800"/>
    <w:rsid w:val="00587768"/>
    <w:rsid w:val="0059194D"/>
    <w:rsid w:val="00592569"/>
    <w:rsid w:val="00593F14"/>
    <w:rsid w:val="005957FC"/>
    <w:rsid w:val="00595B15"/>
    <w:rsid w:val="00595D14"/>
    <w:rsid w:val="0059655B"/>
    <w:rsid w:val="0059690C"/>
    <w:rsid w:val="005969F9"/>
    <w:rsid w:val="00597598"/>
    <w:rsid w:val="005A0BC3"/>
    <w:rsid w:val="005A0D39"/>
    <w:rsid w:val="005A1750"/>
    <w:rsid w:val="005A1AFC"/>
    <w:rsid w:val="005A32C3"/>
    <w:rsid w:val="005A3484"/>
    <w:rsid w:val="005A3AE3"/>
    <w:rsid w:val="005A4320"/>
    <w:rsid w:val="005A4CC4"/>
    <w:rsid w:val="005A5DB6"/>
    <w:rsid w:val="005A66E3"/>
    <w:rsid w:val="005A6A54"/>
    <w:rsid w:val="005A7147"/>
    <w:rsid w:val="005B0BCC"/>
    <w:rsid w:val="005B1C66"/>
    <w:rsid w:val="005B1F7D"/>
    <w:rsid w:val="005B2E4D"/>
    <w:rsid w:val="005B3775"/>
    <w:rsid w:val="005B48B9"/>
    <w:rsid w:val="005B54F9"/>
    <w:rsid w:val="005B5AB6"/>
    <w:rsid w:val="005B6CEC"/>
    <w:rsid w:val="005B721E"/>
    <w:rsid w:val="005B7936"/>
    <w:rsid w:val="005C0A7B"/>
    <w:rsid w:val="005C0ACE"/>
    <w:rsid w:val="005C1648"/>
    <w:rsid w:val="005C17CA"/>
    <w:rsid w:val="005C2177"/>
    <w:rsid w:val="005C23E8"/>
    <w:rsid w:val="005C299F"/>
    <w:rsid w:val="005C2ABE"/>
    <w:rsid w:val="005C39AC"/>
    <w:rsid w:val="005C3EDA"/>
    <w:rsid w:val="005C405E"/>
    <w:rsid w:val="005C58D0"/>
    <w:rsid w:val="005C5FA8"/>
    <w:rsid w:val="005C6A1D"/>
    <w:rsid w:val="005C6AB1"/>
    <w:rsid w:val="005C6B0E"/>
    <w:rsid w:val="005D2ED0"/>
    <w:rsid w:val="005D33BA"/>
    <w:rsid w:val="005D35E9"/>
    <w:rsid w:val="005D412A"/>
    <w:rsid w:val="005D45F1"/>
    <w:rsid w:val="005D48EC"/>
    <w:rsid w:val="005D611C"/>
    <w:rsid w:val="005D627A"/>
    <w:rsid w:val="005D6395"/>
    <w:rsid w:val="005D65E9"/>
    <w:rsid w:val="005D77B0"/>
    <w:rsid w:val="005D7FE6"/>
    <w:rsid w:val="005E09C3"/>
    <w:rsid w:val="005E11A2"/>
    <w:rsid w:val="005E2396"/>
    <w:rsid w:val="005E33B8"/>
    <w:rsid w:val="005E354C"/>
    <w:rsid w:val="005E4209"/>
    <w:rsid w:val="005E44E6"/>
    <w:rsid w:val="005E494A"/>
    <w:rsid w:val="005E4987"/>
    <w:rsid w:val="005E49F4"/>
    <w:rsid w:val="005E5EE7"/>
    <w:rsid w:val="005E6F08"/>
    <w:rsid w:val="005F01BA"/>
    <w:rsid w:val="005F2CDD"/>
    <w:rsid w:val="005F3240"/>
    <w:rsid w:val="005F3F79"/>
    <w:rsid w:val="005F7A0F"/>
    <w:rsid w:val="005F7C3D"/>
    <w:rsid w:val="00600D62"/>
    <w:rsid w:val="00602A60"/>
    <w:rsid w:val="00603AF0"/>
    <w:rsid w:val="00603C97"/>
    <w:rsid w:val="00603F6F"/>
    <w:rsid w:val="00603FE1"/>
    <w:rsid w:val="00604441"/>
    <w:rsid w:val="0060462C"/>
    <w:rsid w:val="0060614C"/>
    <w:rsid w:val="00606986"/>
    <w:rsid w:val="00606F1D"/>
    <w:rsid w:val="00607EE4"/>
    <w:rsid w:val="006100BF"/>
    <w:rsid w:val="00610C77"/>
    <w:rsid w:val="00611D4F"/>
    <w:rsid w:val="00612994"/>
    <w:rsid w:val="00612CE0"/>
    <w:rsid w:val="0061318F"/>
    <w:rsid w:val="00615998"/>
    <w:rsid w:val="006163F1"/>
    <w:rsid w:val="00616A18"/>
    <w:rsid w:val="006172E4"/>
    <w:rsid w:val="00617B63"/>
    <w:rsid w:val="0062087E"/>
    <w:rsid w:val="006208D1"/>
    <w:rsid w:val="006226C1"/>
    <w:rsid w:val="006248B1"/>
    <w:rsid w:val="00625122"/>
    <w:rsid w:val="00625F5D"/>
    <w:rsid w:val="00626941"/>
    <w:rsid w:val="00626BEA"/>
    <w:rsid w:val="006306EF"/>
    <w:rsid w:val="0063145A"/>
    <w:rsid w:val="006314C8"/>
    <w:rsid w:val="0063171C"/>
    <w:rsid w:val="006318E6"/>
    <w:rsid w:val="00633058"/>
    <w:rsid w:val="006333E0"/>
    <w:rsid w:val="00633B96"/>
    <w:rsid w:val="00634452"/>
    <w:rsid w:val="00634C1A"/>
    <w:rsid w:val="00634F56"/>
    <w:rsid w:val="006355F9"/>
    <w:rsid w:val="006358EB"/>
    <w:rsid w:val="00635D8B"/>
    <w:rsid w:val="00635E51"/>
    <w:rsid w:val="00636AAC"/>
    <w:rsid w:val="00636BF0"/>
    <w:rsid w:val="00637696"/>
    <w:rsid w:val="006420FE"/>
    <w:rsid w:val="00643154"/>
    <w:rsid w:val="00643A6D"/>
    <w:rsid w:val="00644408"/>
    <w:rsid w:val="0064533A"/>
    <w:rsid w:val="006454FD"/>
    <w:rsid w:val="00645680"/>
    <w:rsid w:val="00645B06"/>
    <w:rsid w:val="00645E07"/>
    <w:rsid w:val="00646901"/>
    <w:rsid w:val="00651D11"/>
    <w:rsid w:val="00652CBE"/>
    <w:rsid w:val="00652E3E"/>
    <w:rsid w:val="006534DE"/>
    <w:rsid w:val="00653CB3"/>
    <w:rsid w:val="0065420A"/>
    <w:rsid w:val="00654B3A"/>
    <w:rsid w:val="00654CA0"/>
    <w:rsid w:val="00654F77"/>
    <w:rsid w:val="00655A5F"/>
    <w:rsid w:val="00656969"/>
    <w:rsid w:val="006579E8"/>
    <w:rsid w:val="00657A22"/>
    <w:rsid w:val="00657CF9"/>
    <w:rsid w:val="00657D11"/>
    <w:rsid w:val="0066049A"/>
    <w:rsid w:val="00661231"/>
    <w:rsid w:val="0066242A"/>
    <w:rsid w:val="00663E38"/>
    <w:rsid w:val="00665838"/>
    <w:rsid w:val="00665950"/>
    <w:rsid w:val="00665AB8"/>
    <w:rsid w:val="00665F4E"/>
    <w:rsid w:val="00670C84"/>
    <w:rsid w:val="00673C12"/>
    <w:rsid w:val="00673EBD"/>
    <w:rsid w:val="00674E7B"/>
    <w:rsid w:val="006758A3"/>
    <w:rsid w:val="00676A5A"/>
    <w:rsid w:val="006778CF"/>
    <w:rsid w:val="0067791C"/>
    <w:rsid w:val="00677AA3"/>
    <w:rsid w:val="0068033C"/>
    <w:rsid w:val="00681147"/>
    <w:rsid w:val="00681742"/>
    <w:rsid w:val="00683787"/>
    <w:rsid w:val="00683A73"/>
    <w:rsid w:val="0068546D"/>
    <w:rsid w:val="00685CA2"/>
    <w:rsid w:val="00686423"/>
    <w:rsid w:val="00686A92"/>
    <w:rsid w:val="006876C5"/>
    <w:rsid w:val="0069123D"/>
    <w:rsid w:val="00694DAE"/>
    <w:rsid w:val="00694FDE"/>
    <w:rsid w:val="00695B68"/>
    <w:rsid w:val="00695DDD"/>
    <w:rsid w:val="0069727F"/>
    <w:rsid w:val="00697584"/>
    <w:rsid w:val="00697D01"/>
    <w:rsid w:val="00697D38"/>
    <w:rsid w:val="006A3331"/>
    <w:rsid w:val="006A39B9"/>
    <w:rsid w:val="006A5D91"/>
    <w:rsid w:val="006A5FA8"/>
    <w:rsid w:val="006A7466"/>
    <w:rsid w:val="006A7508"/>
    <w:rsid w:val="006A7688"/>
    <w:rsid w:val="006B159D"/>
    <w:rsid w:val="006B33CD"/>
    <w:rsid w:val="006B3F45"/>
    <w:rsid w:val="006B4F86"/>
    <w:rsid w:val="006B6678"/>
    <w:rsid w:val="006B66EA"/>
    <w:rsid w:val="006B698E"/>
    <w:rsid w:val="006B7607"/>
    <w:rsid w:val="006B7636"/>
    <w:rsid w:val="006C019D"/>
    <w:rsid w:val="006C01A4"/>
    <w:rsid w:val="006C05ED"/>
    <w:rsid w:val="006C0ACE"/>
    <w:rsid w:val="006C415F"/>
    <w:rsid w:val="006C6ADC"/>
    <w:rsid w:val="006C6AE8"/>
    <w:rsid w:val="006C7034"/>
    <w:rsid w:val="006C757E"/>
    <w:rsid w:val="006D0366"/>
    <w:rsid w:val="006D058C"/>
    <w:rsid w:val="006D0709"/>
    <w:rsid w:val="006D0E4B"/>
    <w:rsid w:val="006D220B"/>
    <w:rsid w:val="006D25A5"/>
    <w:rsid w:val="006D2DAB"/>
    <w:rsid w:val="006D3078"/>
    <w:rsid w:val="006D38E2"/>
    <w:rsid w:val="006D3DD0"/>
    <w:rsid w:val="006D4A24"/>
    <w:rsid w:val="006D4E44"/>
    <w:rsid w:val="006D51A0"/>
    <w:rsid w:val="006D5A48"/>
    <w:rsid w:val="006D5FA8"/>
    <w:rsid w:val="006D7429"/>
    <w:rsid w:val="006E1807"/>
    <w:rsid w:val="006E3877"/>
    <w:rsid w:val="006E39A8"/>
    <w:rsid w:val="006E48D6"/>
    <w:rsid w:val="006E49AC"/>
    <w:rsid w:val="006E64C4"/>
    <w:rsid w:val="006E6D9F"/>
    <w:rsid w:val="006E7381"/>
    <w:rsid w:val="006E7437"/>
    <w:rsid w:val="006E7D69"/>
    <w:rsid w:val="006F0D47"/>
    <w:rsid w:val="006F160E"/>
    <w:rsid w:val="006F1C6F"/>
    <w:rsid w:val="006F4E0E"/>
    <w:rsid w:val="006F5CAB"/>
    <w:rsid w:val="007003D4"/>
    <w:rsid w:val="007008AC"/>
    <w:rsid w:val="00702B4A"/>
    <w:rsid w:val="0070321F"/>
    <w:rsid w:val="00703E67"/>
    <w:rsid w:val="007066D1"/>
    <w:rsid w:val="00706F44"/>
    <w:rsid w:val="00707BC0"/>
    <w:rsid w:val="0071016D"/>
    <w:rsid w:val="007101F5"/>
    <w:rsid w:val="00711115"/>
    <w:rsid w:val="00711146"/>
    <w:rsid w:val="0071141A"/>
    <w:rsid w:val="00711522"/>
    <w:rsid w:val="00711928"/>
    <w:rsid w:val="00711BBB"/>
    <w:rsid w:val="0071241D"/>
    <w:rsid w:val="007133F3"/>
    <w:rsid w:val="00713650"/>
    <w:rsid w:val="0071422C"/>
    <w:rsid w:val="00715291"/>
    <w:rsid w:val="00715694"/>
    <w:rsid w:val="00715DC3"/>
    <w:rsid w:val="00717285"/>
    <w:rsid w:val="007177C7"/>
    <w:rsid w:val="00717CC2"/>
    <w:rsid w:val="00720F5F"/>
    <w:rsid w:val="007216C2"/>
    <w:rsid w:val="00722495"/>
    <w:rsid w:val="007227DC"/>
    <w:rsid w:val="00723077"/>
    <w:rsid w:val="007247EC"/>
    <w:rsid w:val="00725B55"/>
    <w:rsid w:val="00725CEA"/>
    <w:rsid w:val="00730978"/>
    <w:rsid w:val="00731606"/>
    <w:rsid w:val="00731905"/>
    <w:rsid w:val="00733628"/>
    <w:rsid w:val="007337F3"/>
    <w:rsid w:val="007357E3"/>
    <w:rsid w:val="00735B57"/>
    <w:rsid w:val="00736226"/>
    <w:rsid w:val="00736BD3"/>
    <w:rsid w:val="00737CF1"/>
    <w:rsid w:val="00740BE3"/>
    <w:rsid w:val="00741AE6"/>
    <w:rsid w:val="00743444"/>
    <w:rsid w:val="007440D3"/>
    <w:rsid w:val="007440DD"/>
    <w:rsid w:val="00744230"/>
    <w:rsid w:val="00746156"/>
    <w:rsid w:val="0074638D"/>
    <w:rsid w:val="007466F6"/>
    <w:rsid w:val="00746748"/>
    <w:rsid w:val="007479E1"/>
    <w:rsid w:val="00747CE2"/>
    <w:rsid w:val="00751052"/>
    <w:rsid w:val="0075199E"/>
    <w:rsid w:val="00751F90"/>
    <w:rsid w:val="00752155"/>
    <w:rsid w:val="00752181"/>
    <w:rsid w:val="0075275A"/>
    <w:rsid w:val="007539FD"/>
    <w:rsid w:val="007549B6"/>
    <w:rsid w:val="00755C4F"/>
    <w:rsid w:val="00756F2A"/>
    <w:rsid w:val="007571E3"/>
    <w:rsid w:val="00757855"/>
    <w:rsid w:val="00757A91"/>
    <w:rsid w:val="007603F7"/>
    <w:rsid w:val="00763237"/>
    <w:rsid w:val="007634E7"/>
    <w:rsid w:val="00770EA6"/>
    <w:rsid w:val="00773104"/>
    <w:rsid w:val="00773DA5"/>
    <w:rsid w:val="0077440B"/>
    <w:rsid w:val="00776700"/>
    <w:rsid w:val="007773A9"/>
    <w:rsid w:val="0077746D"/>
    <w:rsid w:val="007778CF"/>
    <w:rsid w:val="00777930"/>
    <w:rsid w:val="007779F5"/>
    <w:rsid w:val="00780916"/>
    <w:rsid w:val="00780FB7"/>
    <w:rsid w:val="00782265"/>
    <w:rsid w:val="00782A98"/>
    <w:rsid w:val="00782C80"/>
    <w:rsid w:val="00783611"/>
    <w:rsid w:val="00783617"/>
    <w:rsid w:val="00783C70"/>
    <w:rsid w:val="00783D51"/>
    <w:rsid w:val="00783FE0"/>
    <w:rsid w:val="00784464"/>
    <w:rsid w:val="00784644"/>
    <w:rsid w:val="00784924"/>
    <w:rsid w:val="0078554E"/>
    <w:rsid w:val="007862FB"/>
    <w:rsid w:val="00786436"/>
    <w:rsid w:val="007867BE"/>
    <w:rsid w:val="007868E3"/>
    <w:rsid w:val="00787081"/>
    <w:rsid w:val="00787813"/>
    <w:rsid w:val="007901EF"/>
    <w:rsid w:val="00790898"/>
    <w:rsid w:val="007918AE"/>
    <w:rsid w:val="00791C58"/>
    <w:rsid w:val="00791DB0"/>
    <w:rsid w:val="007922F5"/>
    <w:rsid w:val="007928CE"/>
    <w:rsid w:val="00792A85"/>
    <w:rsid w:val="00793017"/>
    <w:rsid w:val="00794B61"/>
    <w:rsid w:val="00795605"/>
    <w:rsid w:val="007956F7"/>
    <w:rsid w:val="00795CBE"/>
    <w:rsid w:val="00796C83"/>
    <w:rsid w:val="00797A39"/>
    <w:rsid w:val="007A19D2"/>
    <w:rsid w:val="007A1F50"/>
    <w:rsid w:val="007A21AA"/>
    <w:rsid w:val="007A2408"/>
    <w:rsid w:val="007A3509"/>
    <w:rsid w:val="007A5FDB"/>
    <w:rsid w:val="007A796E"/>
    <w:rsid w:val="007A79FE"/>
    <w:rsid w:val="007B0982"/>
    <w:rsid w:val="007B0C6F"/>
    <w:rsid w:val="007B1710"/>
    <w:rsid w:val="007B2A4A"/>
    <w:rsid w:val="007B50F0"/>
    <w:rsid w:val="007B53A9"/>
    <w:rsid w:val="007B6738"/>
    <w:rsid w:val="007B6C50"/>
    <w:rsid w:val="007B75D0"/>
    <w:rsid w:val="007B791B"/>
    <w:rsid w:val="007C06CE"/>
    <w:rsid w:val="007C16BC"/>
    <w:rsid w:val="007C1CAC"/>
    <w:rsid w:val="007C22D4"/>
    <w:rsid w:val="007C27E0"/>
    <w:rsid w:val="007C33B1"/>
    <w:rsid w:val="007C3609"/>
    <w:rsid w:val="007C6936"/>
    <w:rsid w:val="007C734A"/>
    <w:rsid w:val="007C7D22"/>
    <w:rsid w:val="007D0B79"/>
    <w:rsid w:val="007D245B"/>
    <w:rsid w:val="007D281C"/>
    <w:rsid w:val="007D356C"/>
    <w:rsid w:val="007D3E2E"/>
    <w:rsid w:val="007D4212"/>
    <w:rsid w:val="007D5365"/>
    <w:rsid w:val="007D6490"/>
    <w:rsid w:val="007D66C1"/>
    <w:rsid w:val="007D6A9D"/>
    <w:rsid w:val="007E201F"/>
    <w:rsid w:val="007E2DD9"/>
    <w:rsid w:val="007E3451"/>
    <w:rsid w:val="007E36FB"/>
    <w:rsid w:val="007E3BD7"/>
    <w:rsid w:val="007E3E4C"/>
    <w:rsid w:val="007E4CD7"/>
    <w:rsid w:val="007E4E86"/>
    <w:rsid w:val="007E5094"/>
    <w:rsid w:val="007E520A"/>
    <w:rsid w:val="007E5DE7"/>
    <w:rsid w:val="007E6C2A"/>
    <w:rsid w:val="007E7ADA"/>
    <w:rsid w:val="007E7E5D"/>
    <w:rsid w:val="007F1C7D"/>
    <w:rsid w:val="007F2186"/>
    <w:rsid w:val="007F2F75"/>
    <w:rsid w:val="007F3258"/>
    <w:rsid w:val="007F35E2"/>
    <w:rsid w:val="007F3824"/>
    <w:rsid w:val="007F424D"/>
    <w:rsid w:val="007F5300"/>
    <w:rsid w:val="007F607B"/>
    <w:rsid w:val="00800F0B"/>
    <w:rsid w:val="00802B61"/>
    <w:rsid w:val="008035EA"/>
    <w:rsid w:val="0080421B"/>
    <w:rsid w:val="00805391"/>
    <w:rsid w:val="00805D81"/>
    <w:rsid w:val="00806992"/>
    <w:rsid w:val="00807313"/>
    <w:rsid w:val="00812484"/>
    <w:rsid w:val="00812506"/>
    <w:rsid w:val="00814A45"/>
    <w:rsid w:val="00815946"/>
    <w:rsid w:val="008162D0"/>
    <w:rsid w:val="0081645E"/>
    <w:rsid w:val="00816FCD"/>
    <w:rsid w:val="00817C27"/>
    <w:rsid w:val="0082161D"/>
    <w:rsid w:val="00821B77"/>
    <w:rsid w:val="00822100"/>
    <w:rsid w:val="00822E71"/>
    <w:rsid w:val="00823099"/>
    <w:rsid w:val="0082447D"/>
    <w:rsid w:val="00824DFC"/>
    <w:rsid w:val="008250D7"/>
    <w:rsid w:val="00825755"/>
    <w:rsid w:val="0082585A"/>
    <w:rsid w:val="008262BD"/>
    <w:rsid w:val="0082636A"/>
    <w:rsid w:val="00826CE1"/>
    <w:rsid w:val="00827AC3"/>
    <w:rsid w:val="0083028D"/>
    <w:rsid w:val="008307FA"/>
    <w:rsid w:val="00830B28"/>
    <w:rsid w:val="00831154"/>
    <w:rsid w:val="00831AC2"/>
    <w:rsid w:val="0083221A"/>
    <w:rsid w:val="00832415"/>
    <w:rsid w:val="008332FC"/>
    <w:rsid w:val="00835B30"/>
    <w:rsid w:val="00835E9E"/>
    <w:rsid w:val="00836BA0"/>
    <w:rsid w:val="008373B6"/>
    <w:rsid w:val="0084188F"/>
    <w:rsid w:val="00841968"/>
    <w:rsid w:val="00843900"/>
    <w:rsid w:val="00844871"/>
    <w:rsid w:val="00845DCA"/>
    <w:rsid w:val="00845FA2"/>
    <w:rsid w:val="00850887"/>
    <w:rsid w:val="00850B0C"/>
    <w:rsid w:val="0085181B"/>
    <w:rsid w:val="00851A5F"/>
    <w:rsid w:val="008521CA"/>
    <w:rsid w:val="00852611"/>
    <w:rsid w:val="00852638"/>
    <w:rsid w:val="0085417A"/>
    <w:rsid w:val="008545C0"/>
    <w:rsid w:val="00854A6A"/>
    <w:rsid w:val="00854BCF"/>
    <w:rsid w:val="0085510A"/>
    <w:rsid w:val="008555B7"/>
    <w:rsid w:val="0085581D"/>
    <w:rsid w:val="00856F28"/>
    <w:rsid w:val="00857013"/>
    <w:rsid w:val="0085759D"/>
    <w:rsid w:val="008602A4"/>
    <w:rsid w:val="0086148A"/>
    <w:rsid w:val="00861690"/>
    <w:rsid w:val="0086186E"/>
    <w:rsid w:val="00861CD0"/>
    <w:rsid w:val="008627C6"/>
    <w:rsid w:val="00863C47"/>
    <w:rsid w:val="008649D2"/>
    <w:rsid w:val="00864C15"/>
    <w:rsid w:val="008650C3"/>
    <w:rsid w:val="00865294"/>
    <w:rsid w:val="00866EEE"/>
    <w:rsid w:val="00867357"/>
    <w:rsid w:val="00867AB8"/>
    <w:rsid w:val="008710CB"/>
    <w:rsid w:val="008711CA"/>
    <w:rsid w:val="00871504"/>
    <w:rsid w:val="00871AD2"/>
    <w:rsid w:val="00871AD4"/>
    <w:rsid w:val="008727F4"/>
    <w:rsid w:val="00872B9A"/>
    <w:rsid w:val="0087307B"/>
    <w:rsid w:val="008734A3"/>
    <w:rsid w:val="0087392B"/>
    <w:rsid w:val="008740CD"/>
    <w:rsid w:val="00874501"/>
    <w:rsid w:val="00874645"/>
    <w:rsid w:val="0087538A"/>
    <w:rsid w:val="00875A16"/>
    <w:rsid w:val="008764D5"/>
    <w:rsid w:val="00877DEF"/>
    <w:rsid w:val="00877F77"/>
    <w:rsid w:val="008805EF"/>
    <w:rsid w:val="00881822"/>
    <w:rsid w:val="008821F5"/>
    <w:rsid w:val="0088376B"/>
    <w:rsid w:val="00883A3D"/>
    <w:rsid w:val="00884C95"/>
    <w:rsid w:val="00885B42"/>
    <w:rsid w:val="00885B73"/>
    <w:rsid w:val="00886050"/>
    <w:rsid w:val="008869BD"/>
    <w:rsid w:val="008900DF"/>
    <w:rsid w:val="00892017"/>
    <w:rsid w:val="00892AFF"/>
    <w:rsid w:val="00892CCF"/>
    <w:rsid w:val="00893346"/>
    <w:rsid w:val="00893651"/>
    <w:rsid w:val="0089384D"/>
    <w:rsid w:val="00893A01"/>
    <w:rsid w:val="008944DE"/>
    <w:rsid w:val="00895838"/>
    <w:rsid w:val="00895849"/>
    <w:rsid w:val="008958AC"/>
    <w:rsid w:val="008960E1"/>
    <w:rsid w:val="008965D5"/>
    <w:rsid w:val="00897054"/>
    <w:rsid w:val="00897B1C"/>
    <w:rsid w:val="008A0D7C"/>
    <w:rsid w:val="008A1DF3"/>
    <w:rsid w:val="008A46D1"/>
    <w:rsid w:val="008A4877"/>
    <w:rsid w:val="008A4AB8"/>
    <w:rsid w:val="008A4E37"/>
    <w:rsid w:val="008A4FAB"/>
    <w:rsid w:val="008A537D"/>
    <w:rsid w:val="008A5B60"/>
    <w:rsid w:val="008A6097"/>
    <w:rsid w:val="008A775D"/>
    <w:rsid w:val="008B0257"/>
    <w:rsid w:val="008B09AF"/>
    <w:rsid w:val="008B0ADC"/>
    <w:rsid w:val="008B1035"/>
    <w:rsid w:val="008B112C"/>
    <w:rsid w:val="008B13D9"/>
    <w:rsid w:val="008B1413"/>
    <w:rsid w:val="008B1FDB"/>
    <w:rsid w:val="008B2A1D"/>
    <w:rsid w:val="008B3196"/>
    <w:rsid w:val="008B3708"/>
    <w:rsid w:val="008B3F42"/>
    <w:rsid w:val="008B4779"/>
    <w:rsid w:val="008C00EC"/>
    <w:rsid w:val="008C0693"/>
    <w:rsid w:val="008C0B22"/>
    <w:rsid w:val="008C16BF"/>
    <w:rsid w:val="008C1BD5"/>
    <w:rsid w:val="008C1FBD"/>
    <w:rsid w:val="008C270F"/>
    <w:rsid w:val="008C2812"/>
    <w:rsid w:val="008C3368"/>
    <w:rsid w:val="008C3BBA"/>
    <w:rsid w:val="008C416D"/>
    <w:rsid w:val="008C473C"/>
    <w:rsid w:val="008C595B"/>
    <w:rsid w:val="008C6478"/>
    <w:rsid w:val="008C7263"/>
    <w:rsid w:val="008C731F"/>
    <w:rsid w:val="008C73C9"/>
    <w:rsid w:val="008C75CD"/>
    <w:rsid w:val="008D146C"/>
    <w:rsid w:val="008D1A87"/>
    <w:rsid w:val="008D25F0"/>
    <w:rsid w:val="008D2C21"/>
    <w:rsid w:val="008D2F7D"/>
    <w:rsid w:val="008D4B3B"/>
    <w:rsid w:val="008D5CB3"/>
    <w:rsid w:val="008D6D4F"/>
    <w:rsid w:val="008D6DBF"/>
    <w:rsid w:val="008D7C17"/>
    <w:rsid w:val="008E05D3"/>
    <w:rsid w:val="008E1DD2"/>
    <w:rsid w:val="008E2036"/>
    <w:rsid w:val="008E2495"/>
    <w:rsid w:val="008E328B"/>
    <w:rsid w:val="008E36D9"/>
    <w:rsid w:val="008E528A"/>
    <w:rsid w:val="008E7C8D"/>
    <w:rsid w:val="008F0299"/>
    <w:rsid w:val="008F1028"/>
    <w:rsid w:val="008F207A"/>
    <w:rsid w:val="008F285E"/>
    <w:rsid w:val="008F34EB"/>
    <w:rsid w:val="008F38F2"/>
    <w:rsid w:val="008F3ADF"/>
    <w:rsid w:val="008F43BE"/>
    <w:rsid w:val="008F467F"/>
    <w:rsid w:val="008F4F93"/>
    <w:rsid w:val="008F5321"/>
    <w:rsid w:val="008F592C"/>
    <w:rsid w:val="008F6735"/>
    <w:rsid w:val="008F7B5A"/>
    <w:rsid w:val="009005DB"/>
    <w:rsid w:val="00900D7D"/>
    <w:rsid w:val="00901881"/>
    <w:rsid w:val="00901CCA"/>
    <w:rsid w:val="00901CCB"/>
    <w:rsid w:val="00901E5B"/>
    <w:rsid w:val="0090253A"/>
    <w:rsid w:val="00902665"/>
    <w:rsid w:val="009034D6"/>
    <w:rsid w:val="00903A11"/>
    <w:rsid w:val="009041E9"/>
    <w:rsid w:val="00904320"/>
    <w:rsid w:val="00904375"/>
    <w:rsid w:val="00904707"/>
    <w:rsid w:val="00904FCB"/>
    <w:rsid w:val="00905073"/>
    <w:rsid w:val="0090533D"/>
    <w:rsid w:val="00905C19"/>
    <w:rsid w:val="009078CA"/>
    <w:rsid w:val="00907E37"/>
    <w:rsid w:val="0091042D"/>
    <w:rsid w:val="009106FB"/>
    <w:rsid w:val="00910BC9"/>
    <w:rsid w:val="009117E8"/>
    <w:rsid w:val="0091199F"/>
    <w:rsid w:val="00911EBE"/>
    <w:rsid w:val="009124AB"/>
    <w:rsid w:val="00912B0F"/>
    <w:rsid w:val="00913291"/>
    <w:rsid w:val="00913A6F"/>
    <w:rsid w:val="0091424A"/>
    <w:rsid w:val="00914DFA"/>
    <w:rsid w:val="00915751"/>
    <w:rsid w:val="0091583A"/>
    <w:rsid w:val="009163C6"/>
    <w:rsid w:val="00916AED"/>
    <w:rsid w:val="00916C06"/>
    <w:rsid w:val="0091753E"/>
    <w:rsid w:val="009201D4"/>
    <w:rsid w:val="00921696"/>
    <w:rsid w:val="00921991"/>
    <w:rsid w:val="00922A65"/>
    <w:rsid w:val="009235F7"/>
    <w:rsid w:val="00923E88"/>
    <w:rsid w:val="00924DC6"/>
    <w:rsid w:val="009255DA"/>
    <w:rsid w:val="0092690A"/>
    <w:rsid w:val="00926C28"/>
    <w:rsid w:val="00926CFD"/>
    <w:rsid w:val="0093000D"/>
    <w:rsid w:val="009302AA"/>
    <w:rsid w:val="009314BC"/>
    <w:rsid w:val="00931544"/>
    <w:rsid w:val="00932A34"/>
    <w:rsid w:val="009335FF"/>
    <w:rsid w:val="0093397B"/>
    <w:rsid w:val="00933A3D"/>
    <w:rsid w:val="00933E17"/>
    <w:rsid w:val="00933EC1"/>
    <w:rsid w:val="009345AC"/>
    <w:rsid w:val="00935161"/>
    <w:rsid w:val="0093531F"/>
    <w:rsid w:val="00935323"/>
    <w:rsid w:val="00935E0A"/>
    <w:rsid w:val="00936529"/>
    <w:rsid w:val="00936F94"/>
    <w:rsid w:val="009370B8"/>
    <w:rsid w:val="0094153C"/>
    <w:rsid w:val="00941D55"/>
    <w:rsid w:val="00942787"/>
    <w:rsid w:val="00943612"/>
    <w:rsid w:val="00944852"/>
    <w:rsid w:val="009449C8"/>
    <w:rsid w:val="00944E84"/>
    <w:rsid w:val="0094550F"/>
    <w:rsid w:val="00945CD5"/>
    <w:rsid w:val="00947B64"/>
    <w:rsid w:val="00950C76"/>
    <w:rsid w:val="00950D9F"/>
    <w:rsid w:val="009528FE"/>
    <w:rsid w:val="00952972"/>
    <w:rsid w:val="00952E59"/>
    <w:rsid w:val="00954D2E"/>
    <w:rsid w:val="00955AA9"/>
    <w:rsid w:val="009563AA"/>
    <w:rsid w:val="0095676B"/>
    <w:rsid w:val="0095793B"/>
    <w:rsid w:val="009606BF"/>
    <w:rsid w:val="009608AC"/>
    <w:rsid w:val="00960CC7"/>
    <w:rsid w:val="00960FAA"/>
    <w:rsid w:val="00961A4F"/>
    <w:rsid w:val="00961C72"/>
    <w:rsid w:val="00961D0E"/>
    <w:rsid w:val="009630B2"/>
    <w:rsid w:val="009633B6"/>
    <w:rsid w:val="0096350B"/>
    <w:rsid w:val="00963E93"/>
    <w:rsid w:val="009640F7"/>
    <w:rsid w:val="00965816"/>
    <w:rsid w:val="009661FA"/>
    <w:rsid w:val="0096626E"/>
    <w:rsid w:val="00967105"/>
    <w:rsid w:val="00967401"/>
    <w:rsid w:val="009676CA"/>
    <w:rsid w:val="00970837"/>
    <w:rsid w:val="00970D15"/>
    <w:rsid w:val="009722E7"/>
    <w:rsid w:val="00972C53"/>
    <w:rsid w:val="00972E45"/>
    <w:rsid w:val="0097315F"/>
    <w:rsid w:val="009773B7"/>
    <w:rsid w:val="00977655"/>
    <w:rsid w:val="00980552"/>
    <w:rsid w:val="0098075B"/>
    <w:rsid w:val="00980C72"/>
    <w:rsid w:val="00980CD6"/>
    <w:rsid w:val="00981362"/>
    <w:rsid w:val="009826D3"/>
    <w:rsid w:val="009836B6"/>
    <w:rsid w:val="00983741"/>
    <w:rsid w:val="0098428A"/>
    <w:rsid w:val="00985AFA"/>
    <w:rsid w:val="009862C0"/>
    <w:rsid w:val="009866AE"/>
    <w:rsid w:val="009867F1"/>
    <w:rsid w:val="00986BC7"/>
    <w:rsid w:val="009903A5"/>
    <w:rsid w:val="00990541"/>
    <w:rsid w:val="00990F7C"/>
    <w:rsid w:val="009916FB"/>
    <w:rsid w:val="0099248D"/>
    <w:rsid w:val="00993245"/>
    <w:rsid w:val="00994100"/>
    <w:rsid w:val="0099519F"/>
    <w:rsid w:val="00995E59"/>
    <w:rsid w:val="009969AF"/>
    <w:rsid w:val="0099716A"/>
    <w:rsid w:val="009976A4"/>
    <w:rsid w:val="009A074B"/>
    <w:rsid w:val="009A0908"/>
    <w:rsid w:val="009A39DD"/>
    <w:rsid w:val="009A4485"/>
    <w:rsid w:val="009A5201"/>
    <w:rsid w:val="009A6B8E"/>
    <w:rsid w:val="009B050B"/>
    <w:rsid w:val="009B06A8"/>
    <w:rsid w:val="009B1673"/>
    <w:rsid w:val="009B2465"/>
    <w:rsid w:val="009B28B5"/>
    <w:rsid w:val="009B36E9"/>
    <w:rsid w:val="009B39EC"/>
    <w:rsid w:val="009B3CCC"/>
    <w:rsid w:val="009B4883"/>
    <w:rsid w:val="009B5261"/>
    <w:rsid w:val="009B6009"/>
    <w:rsid w:val="009B6301"/>
    <w:rsid w:val="009C07C9"/>
    <w:rsid w:val="009C15C6"/>
    <w:rsid w:val="009C16F2"/>
    <w:rsid w:val="009C1879"/>
    <w:rsid w:val="009C19C7"/>
    <w:rsid w:val="009C2515"/>
    <w:rsid w:val="009C2A73"/>
    <w:rsid w:val="009C2D28"/>
    <w:rsid w:val="009C32E9"/>
    <w:rsid w:val="009C35EB"/>
    <w:rsid w:val="009C43F4"/>
    <w:rsid w:val="009C4EB9"/>
    <w:rsid w:val="009C5084"/>
    <w:rsid w:val="009C5404"/>
    <w:rsid w:val="009C5C2D"/>
    <w:rsid w:val="009C6785"/>
    <w:rsid w:val="009C6E00"/>
    <w:rsid w:val="009D0919"/>
    <w:rsid w:val="009D103D"/>
    <w:rsid w:val="009D1902"/>
    <w:rsid w:val="009D1DE0"/>
    <w:rsid w:val="009D2A4F"/>
    <w:rsid w:val="009D2AC2"/>
    <w:rsid w:val="009D3F78"/>
    <w:rsid w:val="009D41D2"/>
    <w:rsid w:val="009D5057"/>
    <w:rsid w:val="009D51C6"/>
    <w:rsid w:val="009D55AC"/>
    <w:rsid w:val="009D5ED8"/>
    <w:rsid w:val="009D6392"/>
    <w:rsid w:val="009D717A"/>
    <w:rsid w:val="009D7AC0"/>
    <w:rsid w:val="009E010B"/>
    <w:rsid w:val="009E14C8"/>
    <w:rsid w:val="009E1D77"/>
    <w:rsid w:val="009E2889"/>
    <w:rsid w:val="009E36F1"/>
    <w:rsid w:val="009E4255"/>
    <w:rsid w:val="009E4486"/>
    <w:rsid w:val="009E5220"/>
    <w:rsid w:val="009E5418"/>
    <w:rsid w:val="009E5558"/>
    <w:rsid w:val="009E5979"/>
    <w:rsid w:val="009E5BCB"/>
    <w:rsid w:val="009E5BCE"/>
    <w:rsid w:val="009E6006"/>
    <w:rsid w:val="009F1066"/>
    <w:rsid w:val="009F13C6"/>
    <w:rsid w:val="009F1CE7"/>
    <w:rsid w:val="009F1FD1"/>
    <w:rsid w:val="009F21F3"/>
    <w:rsid w:val="009F2616"/>
    <w:rsid w:val="009F2829"/>
    <w:rsid w:val="009F2E04"/>
    <w:rsid w:val="009F4284"/>
    <w:rsid w:val="009F5201"/>
    <w:rsid w:val="009F6CDE"/>
    <w:rsid w:val="00A025D1"/>
    <w:rsid w:val="00A04270"/>
    <w:rsid w:val="00A04A61"/>
    <w:rsid w:val="00A04B60"/>
    <w:rsid w:val="00A04CA6"/>
    <w:rsid w:val="00A061BC"/>
    <w:rsid w:val="00A065E1"/>
    <w:rsid w:val="00A06E78"/>
    <w:rsid w:val="00A07843"/>
    <w:rsid w:val="00A07D51"/>
    <w:rsid w:val="00A10F70"/>
    <w:rsid w:val="00A12F7B"/>
    <w:rsid w:val="00A1419F"/>
    <w:rsid w:val="00A14CCE"/>
    <w:rsid w:val="00A14E14"/>
    <w:rsid w:val="00A15799"/>
    <w:rsid w:val="00A20AF7"/>
    <w:rsid w:val="00A2289C"/>
    <w:rsid w:val="00A22945"/>
    <w:rsid w:val="00A23C8A"/>
    <w:rsid w:val="00A23CFF"/>
    <w:rsid w:val="00A2543E"/>
    <w:rsid w:val="00A25784"/>
    <w:rsid w:val="00A25A21"/>
    <w:rsid w:val="00A262EF"/>
    <w:rsid w:val="00A26584"/>
    <w:rsid w:val="00A3060F"/>
    <w:rsid w:val="00A30E08"/>
    <w:rsid w:val="00A3108B"/>
    <w:rsid w:val="00A31A09"/>
    <w:rsid w:val="00A32839"/>
    <w:rsid w:val="00A32F16"/>
    <w:rsid w:val="00A332AF"/>
    <w:rsid w:val="00A34723"/>
    <w:rsid w:val="00A35A7D"/>
    <w:rsid w:val="00A37DA7"/>
    <w:rsid w:val="00A37EFC"/>
    <w:rsid w:val="00A416E2"/>
    <w:rsid w:val="00A41B05"/>
    <w:rsid w:val="00A427C6"/>
    <w:rsid w:val="00A4310F"/>
    <w:rsid w:val="00A43895"/>
    <w:rsid w:val="00A43F4E"/>
    <w:rsid w:val="00A43F89"/>
    <w:rsid w:val="00A446CF"/>
    <w:rsid w:val="00A4569D"/>
    <w:rsid w:val="00A45AA9"/>
    <w:rsid w:val="00A45F86"/>
    <w:rsid w:val="00A45FD9"/>
    <w:rsid w:val="00A47EA9"/>
    <w:rsid w:val="00A50052"/>
    <w:rsid w:val="00A544C8"/>
    <w:rsid w:val="00A54D8E"/>
    <w:rsid w:val="00A55EDF"/>
    <w:rsid w:val="00A562C0"/>
    <w:rsid w:val="00A56750"/>
    <w:rsid w:val="00A56904"/>
    <w:rsid w:val="00A56B31"/>
    <w:rsid w:val="00A57246"/>
    <w:rsid w:val="00A612E2"/>
    <w:rsid w:val="00A619F9"/>
    <w:rsid w:val="00A6298B"/>
    <w:rsid w:val="00A652E6"/>
    <w:rsid w:val="00A65A60"/>
    <w:rsid w:val="00A65BFF"/>
    <w:rsid w:val="00A67641"/>
    <w:rsid w:val="00A67B3A"/>
    <w:rsid w:val="00A71112"/>
    <w:rsid w:val="00A718D8"/>
    <w:rsid w:val="00A719D8"/>
    <w:rsid w:val="00A71B08"/>
    <w:rsid w:val="00A725D6"/>
    <w:rsid w:val="00A72FBA"/>
    <w:rsid w:val="00A736D7"/>
    <w:rsid w:val="00A758DC"/>
    <w:rsid w:val="00A75A43"/>
    <w:rsid w:val="00A75D3C"/>
    <w:rsid w:val="00A76C38"/>
    <w:rsid w:val="00A80D94"/>
    <w:rsid w:val="00A8172D"/>
    <w:rsid w:val="00A81E76"/>
    <w:rsid w:val="00A82989"/>
    <w:rsid w:val="00A83418"/>
    <w:rsid w:val="00A83B8F"/>
    <w:rsid w:val="00A847D2"/>
    <w:rsid w:val="00A85168"/>
    <w:rsid w:val="00A853DE"/>
    <w:rsid w:val="00A856D8"/>
    <w:rsid w:val="00A92C5C"/>
    <w:rsid w:val="00A94AF7"/>
    <w:rsid w:val="00A94E18"/>
    <w:rsid w:val="00A961F1"/>
    <w:rsid w:val="00A9626A"/>
    <w:rsid w:val="00A97974"/>
    <w:rsid w:val="00A979B3"/>
    <w:rsid w:val="00AA08EC"/>
    <w:rsid w:val="00AA2177"/>
    <w:rsid w:val="00AA2276"/>
    <w:rsid w:val="00AA2A2D"/>
    <w:rsid w:val="00AA33F8"/>
    <w:rsid w:val="00AA4115"/>
    <w:rsid w:val="00AA47ED"/>
    <w:rsid w:val="00AA4F39"/>
    <w:rsid w:val="00AA67AA"/>
    <w:rsid w:val="00AA67B2"/>
    <w:rsid w:val="00AA757B"/>
    <w:rsid w:val="00AB02C6"/>
    <w:rsid w:val="00AB0AF9"/>
    <w:rsid w:val="00AB0FA5"/>
    <w:rsid w:val="00AB1767"/>
    <w:rsid w:val="00AB220E"/>
    <w:rsid w:val="00AB2C9B"/>
    <w:rsid w:val="00AB3438"/>
    <w:rsid w:val="00AB45FA"/>
    <w:rsid w:val="00AB4A62"/>
    <w:rsid w:val="00AB58B2"/>
    <w:rsid w:val="00AB5D5B"/>
    <w:rsid w:val="00AB671C"/>
    <w:rsid w:val="00AB7D57"/>
    <w:rsid w:val="00AB7F49"/>
    <w:rsid w:val="00AC05A1"/>
    <w:rsid w:val="00AC154C"/>
    <w:rsid w:val="00AC290B"/>
    <w:rsid w:val="00AC2C1C"/>
    <w:rsid w:val="00AC3319"/>
    <w:rsid w:val="00AC4389"/>
    <w:rsid w:val="00AC49DD"/>
    <w:rsid w:val="00AC52C0"/>
    <w:rsid w:val="00AC630C"/>
    <w:rsid w:val="00AD00B1"/>
    <w:rsid w:val="00AD00EE"/>
    <w:rsid w:val="00AD189E"/>
    <w:rsid w:val="00AD2DD0"/>
    <w:rsid w:val="00AD3664"/>
    <w:rsid w:val="00AD4D16"/>
    <w:rsid w:val="00AD5175"/>
    <w:rsid w:val="00AD547B"/>
    <w:rsid w:val="00AD5BC8"/>
    <w:rsid w:val="00AD5FF6"/>
    <w:rsid w:val="00AD626C"/>
    <w:rsid w:val="00AD6E47"/>
    <w:rsid w:val="00AD7DF0"/>
    <w:rsid w:val="00AE0123"/>
    <w:rsid w:val="00AE07AF"/>
    <w:rsid w:val="00AE125A"/>
    <w:rsid w:val="00AE12F3"/>
    <w:rsid w:val="00AE1353"/>
    <w:rsid w:val="00AE18D5"/>
    <w:rsid w:val="00AE297B"/>
    <w:rsid w:val="00AE382A"/>
    <w:rsid w:val="00AE40BC"/>
    <w:rsid w:val="00AE4BE0"/>
    <w:rsid w:val="00AE54DB"/>
    <w:rsid w:val="00AE58C9"/>
    <w:rsid w:val="00AE77CE"/>
    <w:rsid w:val="00AE7980"/>
    <w:rsid w:val="00AF03C2"/>
    <w:rsid w:val="00AF0A6A"/>
    <w:rsid w:val="00AF0C86"/>
    <w:rsid w:val="00AF14A9"/>
    <w:rsid w:val="00AF2893"/>
    <w:rsid w:val="00AF2E45"/>
    <w:rsid w:val="00AF31C2"/>
    <w:rsid w:val="00AF4532"/>
    <w:rsid w:val="00AF4778"/>
    <w:rsid w:val="00AF58B0"/>
    <w:rsid w:val="00AF5B79"/>
    <w:rsid w:val="00AF5E10"/>
    <w:rsid w:val="00AF69C8"/>
    <w:rsid w:val="00AF7D1F"/>
    <w:rsid w:val="00B0093D"/>
    <w:rsid w:val="00B02093"/>
    <w:rsid w:val="00B04592"/>
    <w:rsid w:val="00B051B0"/>
    <w:rsid w:val="00B05437"/>
    <w:rsid w:val="00B06751"/>
    <w:rsid w:val="00B0775C"/>
    <w:rsid w:val="00B07A11"/>
    <w:rsid w:val="00B1271E"/>
    <w:rsid w:val="00B12F84"/>
    <w:rsid w:val="00B13398"/>
    <w:rsid w:val="00B13422"/>
    <w:rsid w:val="00B135ED"/>
    <w:rsid w:val="00B13FCB"/>
    <w:rsid w:val="00B156F9"/>
    <w:rsid w:val="00B158E6"/>
    <w:rsid w:val="00B16064"/>
    <w:rsid w:val="00B20417"/>
    <w:rsid w:val="00B20482"/>
    <w:rsid w:val="00B20BA7"/>
    <w:rsid w:val="00B23ED7"/>
    <w:rsid w:val="00B2457B"/>
    <w:rsid w:val="00B26FF9"/>
    <w:rsid w:val="00B2727A"/>
    <w:rsid w:val="00B277F2"/>
    <w:rsid w:val="00B278BF"/>
    <w:rsid w:val="00B2796F"/>
    <w:rsid w:val="00B30099"/>
    <w:rsid w:val="00B3105B"/>
    <w:rsid w:val="00B31397"/>
    <w:rsid w:val="00B326B6"/>
    <w:rsid w:val="00B32709"/>
    <w:rsid w:val="00B32A16"/>
    <w:rsid w:val="00B34E0B"/>
    <w:rsid w:val="00B34E72"/>
    <w:rsid w:val="00B35585"/>
    <w:rsid w:val="00B35845"/>
    <w:rsid w:val="00B37AA6"/>
    <w:rsid w:val="00B406BB"/>
    <w:rsid w:val="00B41146"/>
    <w:rsid w:val="00B413C9"/>
    <w:rsid w:val="00B42309"/>
    <w:rsid w:val="00B43FD3"/>
    <w:rsid w:val="00B447F1"/>
    <w:rsid w:val="00B44EE2"/>
    <w:rsid w:val="00B457DE"/>
    <w:rsid w:val="00B4715E"/>
    <w:rsid w:val="00B47B45"/>
    <w:rsid w:val="00B518A0"/>
    <w:rsid w:val="00B53020"/>
    <w:rsid w:val="00B5380E"/>
    <w:rsid w:val="00B54760"/>
    <w:rsid w:val="00B54A18"/>
    <w:rsid w:val="00B571C3"/>
    <w:rsid w:val="00B609D1"/>
    <w:rsid w:val="00B620A1"/>
    <w:rsid w:val="00B62EC4"/>
    <w:rsid w:val="00B63B3B"/>
    <w:rsid w:val="00B63FCC"/>
    <w:rsid w:val="00B65643"/>
    <w:rsid w:val="00B66320"/>
    <w:rsid w:val="00B66582"/>
    <w:rsid w:val="00B66617"/>
    <w:rsid w:val="00B66E1B"/>
    <w:rsid w:val="00B674CF"/>
    <w:rsid w:val="00B67630"/>
    <w:rsid w:val="00B676EF"/>
    <w:rsid w:val="00B704B7"/>
    <w:rsid w:val="00B707F2"/>
    <w:rsid w:val="00B715C3"/>
    <w:rsid w:val="00B71D0F"/>
    <w:rsid w:val="00B725CB"/>
    <w:rsid w:val="00B72B82"/>
    <w:rsid w:val="00B72B83"/>
    <w:rsid w:val="00B74A01"/>
    <w:rsid w:val="00B75C8B"/>
    <w:rsid w:val="00B769C0"/>
    <w:rsid w:val="00B76A05"/>
    <w:rsid w:val="00B76E12"/>
    <w:rsid w:val="00B77B70"/>
    <w:rsid w:val="00B77CEF"/>
    <w:rsid w:val="00B77F64"/>
    <w:rsid w:val="00B8081D"/>
    <w:rsid w:val="00B80E29"/>
    <w:rsid w:val="00B83175"/>
    <w:rsid w:val="00B8317B"/>
    <w:rsid w:val="00B8326B"/>
    <w:rsid w:val="00B83F29"/>
    <w:rsid w:val="00B83F41"/>
    <w:rsid w:val="00B85CBD"/>
    <w:rsid w:val="00B85EF9"/>
    <w:rsid w:val="00B86093"/>
    <w:rsid w:val="00B8609A"/>
    <w:rsid w:val="00B91B56"/>
    <w:rsid w:val="00B92E3A"/>
    <w:rsid w:val="00B9445D"/>
    <w:rsid w:val="00B94880"/>
    <w:rsid w:val="00B94CCA"/>
    <w:rsid w:val="00B95274"/>
    <w:rsid w:val="00B95AC8"/>
    <w:rsid w:val="00B963FC"/>
    <w:rsid w:val="00B965FA"/>
    <w:rsid w:val="00B96A00"/>
    <w:rsid w:val="00B97EB5"/>
    <w:rsid w:val="00BA0661"/>
    <w:rsid w:val="00BA0999"/>
    <w:rsid w:val="00BA1D70"/>
    <w:rsid w:val="00BA2564"/>
    <w:rsid w:val="00BA2A5C"/>
    <w:rsid w:val="00BA35F6"/>
    <w:rsid w:val="00BA5AA0"/>
    <w:rsid w:val="00BB0BDD"/>
    <w:rsid w:val="00BB0F2A"/>
    <w:rsid w:val="00BB12D4"/>
    <w:rsid w:val="00BB1BE7"/>
    <w:rsid w:val="00BB1F71"/>
    <w:rsid w:val="00BB2B7E"/>
    <w:rsid w:val="00BB3228"/>
    <w:rsid w:val="00BB3D56"/>
    <w:rsid w:val="00BB4525"/>
    <w:rsid w:val="00BB46E5"/>
    <w:rsid w:val="00BB4E79"/>
    <w:rsid w:val="00BB5A3F"/>
    <w:rsid w:val="00BB5A5F"/>
    <w:rsid w:val="00BB5CE4"/>
    <w:rsid w:val="00BB6282"/>
    <w:rsid w:val="00BB686B"/>
    <w:rsid w:val="00BB75E8"/>
    <w:rsid w:val="00BB7BB9"/>
    <w:rsid w:val="00BC014D"/>
    <w:rsid w:val="00BC02C4"/>
    <w:rsid w:val="00BC0C1D"/>
    <w:rsid w:val="00BC1A2F"/>
    <w:rsid w:val="00BC1B90"/>
    <w:rsid w:val="00BC1B97"/>
    <w:rsid w:val="00BC244E"/>
    <w:rsid w:val="00BC25CA"/>
    <w:rsid w:val="00BC30DC"/>
    <w:rsid w:val="00BC3A70"/>
    <w:rsid w:val="00BC4D0B"/>
    <w:rsid w:val="00BC52AF"/>
    <w:rsid w:val="00BC59EA"/>
    <w:rsid w:val="00BC5AFE"/>
    <w:rsid w:val="00BC652F"/>
    <w:rsid w:val="00BD0289"/>
    <w:rsid w:val="00BD0807"/>
    <w:rsid w:val="00BD0A15"/>
    <w:rsid w:val="00BD0D33"/>
    <w:rsid w:val="00BD1A70"/>
    <w:rsid w:val="00BD1CE9"/>
    <w:rsid w:val="00BD3DBD"/>
    <w:rsid w:val="00BD3FB3"/>
    <w:rsid w:val="00BD4B83"/>
    <w:rsid w:val="00BD50B3"/>
    <w:rsid w:val="00BD58F2"/>
    <w:rsid w:val="00BE027A"/>
    <w:rsid w:val="00BE0726"/>
    <w:rsid w:val="00BE4CF9"/>
    <w:rsid w:val="00BE5265"/>
    <w:rsid w:val="00BE5302"/>
    <w:rsid w:val="00BE597F"/>
    <w:rsid w:val="00BE70B3"/>
    <w:rsid w:val="00BE7DDC"/>
    <w:rsid w:val="00BE7EE4"/>
    <w:rsid w:val="00BF0470"/>
    <w:rsid w:val="00BF0AF1"/>
    <w:rsid w:val="00BF0C8C"/>
    <w:rsid w:val="00BF0E33"/>
    <w:rsid w:val="00BF22AC"/>
    <w:rsid w:val="00BF272C"/>
    <w:rsid w:val="00BF34AE"/>
    <w:rsid w:val="00BF4C27"/>
    <w:rsid w:val="00BF56C8"/>
    <w:rsid w:val="00BF612C"/>
    <w:rsid w:val="00BF71A9"/>
    <w:rsid w:val="00BF748C"/>
    <w:rsid w:val="00C0112B"/>
    <w:rsid w:val="00C012AE"/>
    <w:rsid w:val="00C01AEB"/>
    <w:rsid w:val="00C02764"/>
    <w:rsid w:val="00C02C72"/>
    <w:rsid w:val="00C047A5"/>
    <w:rsid w:val="00C05501"/>
    <w:rsid w:val="00C056DA"/>
    <w:rsid w:val="00C07161"/>
    <w:rsid w:val="00C0727A"/>
    <w:rsid w:val="00C0745A"/>
    <w:rsid w:val="00C10B70"/>
    <w:rsid w:val="00C10CEE"/>
    <w:rsid w:val="00C10DDE"/>
    <w:rsid w:val="00C12E67"/>
    <w:rsid w:val="00C135DC"/>
    <w:rsid w:val="00C13708"/>
    <w:rsid w:val="00C14ED9"/>
    <w:rsid w:val="00C152AA"/>
    <w:rsid w:val="00C1540B"/>
    <w:rsid w:val="00C163A6"/>
    <w:rsid w:val="00C16C77"/>
    <w:rsid w:val="00C16E21"/>
    <w:rsid w:val="00C16F4A"/>
    <w:rsid w:val="00C17853"/>
    <w:rsid w:val="00C20E87"/>
    <w:rsid w:val="00C21183"/>
    <w:rsid w:val="00C214F3"/>
    <w:rsid w:val="00C22739"/>
    <w:rsid w:val="00C22A8D"/>
    <w:rsid w:val="00C2403B"/>
    <w:rsid w:val="00C25E5A"/>
    <w:rsid w:val="00C266BC"/>
    <w:rsid w:val="00C2698D"/>
    <w:rsid w:val="00C2745F"/>
    <w:rsid w:val="00C27D97"/>
    <w:rsid w:val="00C305C9"/>
    <w:rsid w:val="00C311BA"/>
    <w:rsid w:val="00C31A3E"/>
    <w:rsid w:val="00C329DC"/>
    <w:rsid w:val="00C32B4A"/>
    <w:rsid w:val="00C32C4B"/>
    <w:rsid w:val="00C33059"/>
    <w:rsid w:val="00C33795"/>
    <w:rsid w:val="00C34CEF"/>
    <w:rsid w:val="00C34D60"/>
    <w:rsid w:val="00C35239"/>
    <w:rsid w:val="00C36EC9"/>
    <w:rsid w:val="00C4112C"/>
    <w:rsid w:val="00C42E5F"/>
    <w:rsid w:val="00C43B36"/>
    <w:rsid w:val="00C444F4"/>
    <w:rsid w:val="00C44BBD"/>
    <w:rsid w:val="00C460D4"/>
    <w:rsid w:val="00C46219"/>
    <w:rsid w:val="00C46666"/>
    <w:rsid w:val="00C4766F"/>
    <w:rsid w:val="00C5189D"/>
    <w:rsid w:val="00C51D3D"/>
    <w:rsid w:val="00C529BB"/>
    <w:rsid w:val="00C52E31"/>
    <w:rsid w:val="00C53E11"/>
    <w:rsid w:val="00C545CE"/>
    <w:rsid w:val="00C5482F"/>
    <w:rsid w:val="00C5532B"/>
    <w:rsid w:val="00C5554C"/>
    <w:rsid w:val="00C56F74"/>
    <w:rsid w:val="00C570F1"/>
    <w:rsid w:val="00C5715C"/>
    <w:rsid w:val="00C57958"/>
    <w:rsid w:val="00C6094D"/>
    <w:rsid w:val="00C61A47"/>
    <w:rsid w:val="00C620F2"/>
    <w:rsid w:val="00C62296"/>
    <w:rsid w:val="00C622BD"/>
    <w:rsid w:val="00C62749"/>
    <w:rsid w:val="00C62A20"/>
    <w:rsid w:val="00C62AAF"/>
    <w:rsid w:val="00C62BF7"/>
    <w:rsid w:val="00C66116"/>
    <w:rsid w:val="00C665B0"/>
    <w:rsid w:val="00C66905"/>
    <w:rsid w:val="00C67857"/>
    <w:rsid w:val="00C7339A"/>
    <w:rsid w:val="00C73462"/>
    <w:rsid w:val="00C8115C"/>
    <w:rsid w:val="00C81520"/>
    <w:rsid w:val="00C81658"/>
    <w:rsid w:val="00C81EF1"/>
    <w:rsid w:val="00C827F8"/>
    <w:rsid w:val="00C82E43"/>
    <w:rsid w:val="00C83C9D"/>
    <w:rsid w:val="00C840F4"/>
    <w:rsid w:val="00C855DC"/>
    <w:rsid w:val="00C86108"/>
    <w:rsid w:val="00C8628B"/>
    <w:rsid w:val="00C86A3F"/>
    <w:rsid w:val="00C877B9"/>
    <w:rsid w:val="00C8785D"/>
    <w:rsid w:val="00C878D3"/>
    <w:rsid w:val="00C9025B"/>
    <w:rsid w:val="00C9403B"/>
    <w:rsid w:val="00C94B35"/>
    <w:rsid w:val="00C953AD"/>
    <w:rsid w:val="00C964B9"/>
    <w:rsid w:val="00C96DC0"/>
    <w:rsid w:val="00C97151"/>
    <w:rsid w:val="00CA1FED"/>
    <w:rsid w:val="00CA2A47"/>
    <w:rsid w:val="00CA36DA"/>
    <w:rsid w:val="00CA51D0"/>
    <w:rsid w:val="00CA5BC2"/>
    <w:rsid w:val="00CA5C5C"/>
    <w:rsid w:val="00CA6DAD"/>
    <w:rsid w:val="00CA6E3A"/>
    <w:rsid w:val="00CA7959"/>
    <w:rsid w:val="00CB0DCA"/>
    <w:rsid w:val="00CB140B"/>
    <w:rsid w:val="00CB1426"/>
    <w:rsid w:val="00CB149F"/>
    <w:rsid w:val="00CB1E41"/>
    <w:rsid w:val="00CB2194"/>
    <w:rsid w:val="00CB34D8"/>
    <w:rsid w:val="00CB36EE"/>
    <w:rsid w:val="00CB3B3C"/>
    <w:rsid w:val="00CB44B1"/>
    <w:rsid w:val="00CB5382"/>
    <w:rsid w:val="00CB554E"/>
    <w:rsid w:val="00CB5630"/>
    <w:rsid w:val="00CB578C"/>
    <w:rsid w:val="00CB6AB7"/>
    <w:rsid w:val="00CB6E23"/>
    <w:rsid w:val="00CB724D"/>
    <w:rsid w:val="00CC023F"/>
    <w:rsid w:val="00CC0E2B"/>
    <w:rsid w:val="00CC16C8"/>
    <w:rsid w:val="00CC2151"/>
    <w:rsid w:val="00CC24AB"/>
    <w:rsid w:val="00CC3597"/>
    <w:rsid w:val="00CC35F4"/>
    <w:rsid w:val="00CC60BD"/>
    <w:rsid w:val="00CC6CD7"/>
    <w:rsid w:val="00CC71ED"/>
    <w:rsid w:val="00CC766C"/>
    <w:rsid w:val="00CD01E8"/>
    <w:rsid w:val="00CD19D0"/>
    <w:rsid w:val="00CD22DC"/>
    <w:rsid w:val="00CD478E"/>
    <w:rsid w:val="00CD58AE"/>
    <w:rsid w:val="00CD5FED"/>
    <w:rsid w:val="00CE1A09"/>
    <w:rsid w:val="00CE21E9"/>
    <w:rsid w:val="00CE21FB"/>
    <w:rsid w:val="00CE3161"/>
    <w:rsid w:val="00CE354D"/>
    <w:rsid w:val="00CE4F76"/>
    <w:rsid w:val="00CE5A85"/>
    <w:rsid w:val="00CE7E87"/>
    <w:rsid w:val="00CF0D88"/>
    <w:rsid w:val="00CF0DF0"/>
    <w:rsid w:val="00CF1D3D"/>
    <w:rsid w:val="00CF2486"/>
    <w:rsid w:val="00CF2697"/>
    <w:rsid w:val="00CF2FEC"/>
    <w:rsid w:val="00CF3563"/>
    <w:rsid w:val="00CF39FF"/>
    <w:rsid w:val="00CF4851"/>
    <w:rsid w:val="00CF6834"/>
    <w:rsid w:val="00CF6FA6"/>
    <w:rsid w:val="00CF71B8"/>
    <w:rsid w:val="00CF729D"/>
    <w:rsid w:val="00CF7961"/>
    <w:rsid w:val="00D006B6"/>
    <w:rsid w:val="00D007CB"/>
    <w:rsid w:val="00D012D6"/>
    <w:rsid w:val="00D02B53"/>
    <w:rsid w:val="00D050EF"/>
    <w:rsid w:val="00D06DE6"/>
    <w:rsid w:val="00D10635"/>
    <w:rsid w:val="00D11384"/>
    <w:rsid w:val="00D13615"/>
    <w:rsid w:val="00D1415C"/>
    <w:rsid w:val="00D14EF5"/>
    <w:rsid w:val="00D15EF3"/>
    <w:rsid w:val="00D1600B"/>
    <w:rsid w:val="00D167F3"/>
    <w:rsid w:val="00D173DB"/>
    <w:rsid w:val="00D17991"/>
    <w:rsid w:val="00D17AF6"/>
    <w:rsid w:val="00D207D9"/>
    <w:rsid w:val="00D20F62"/>
    <w:rsid w:val="00D21F2B"/>
    <w:rsid w:val="00D221C9"/>
    <w:rsid w:val="00D226E8"/>
    <w:rsid w:val="00D22A2C"/>
    <w:rsid w:val="00D22AFE"/>
    <w:rsid w:val="00D23432"/>
    <w:rsid w:val="00D23C52"/>
    <w:rsid w:val="00D240FE"/>
    <w:rsid w:val="00D25249"/>
    <w:rsid w:val="00D25595"/>
    <w:rsid w:val="00D2607A"/>
    <w:rsid w:val="00D269FC"/>
    <w:rsid w:val="00D26FBC"/>
    <w:rsid w:val="00D27688"/>
    <w:rsid w:val="00D27DDB"/>
    <w:rsid w:val="00D310C9"/>
    <w:rsid w:val="00D315ED"/>
    <w:rsid w:val="00D31C3C"/>
    <w:rsid w:val="00D320C8"/>
    <w:rsid w:val="00D324AE"/>
    <w:rsid w:val="00D32D85"/>
    <w:rsid w:val="00D342FC"/>
    <w:rsid w:val="00D343A6"/>
    <w:rsid w:val="00D361C7"/>
    <w:rsid w:val="00D37898"/>
    <w:rsid w:val="00D42457"/>
    <w:rsid w:val="00D42BAA"/>
    <w:rsid w:val="00D437DB"/>
    <w:rsid w:val="00D43E16"/>
    <w:rsid w:val="00D4421E"/>
    <w:rsid w:val="00D451A7"/>
    <w:rsid w:val="00D45852"/>
    <w:rsid w:val="00D45D6B"/>
    <w:rsid w:val="00D45F0B"/>
    <w:rsid w:val="00D4627C"/>
    <w:rsid w:val="00D465C8"/>
    <w:rsid w:val="00D46B6F"/>
    <w:rsid w:val="00D4749A"/>
    <w:rsid w:val="00D47AC9"/>
    <w:rsid w:val="00D5007A"/>
    <w:rsid w:val="00D51E81"/>
    <w:rsid w:val="00D5225C"/>
    <w:rsid w:val="00D524B3"/>
    <w:rsid w:val="00D53804"/>
    <w:rsid w:val="00D54B4C"/>
    <w:rsid w:val="00D54D0F"/>
    <w:rsid w:val="00D567D8"/>
    <w:rsid w:val="00D56B01"/>
    <w:rsid w:val="00D57A76"/>
    <w:rsid w:val="00D57CF5"/>
    <w:rsid w:val="00D60784"/>
    <w:rsid w:val="00D6112D"/>
    <w:rsid w:val="00D6259F"/>
    <w:rsid w:val="00D6288C"/>
    <w:rsid w:val="00D64708"/>
    <w:rsid w:val="00D65552"/>
    <w:rsid w:val="00D6561F"/>
    <w:rsid w:val="00D65627"/>
    <w:rsid w:val="00D65EB1"/>
    <w:rsid w:val="00D6639C"/>
    <w:rsid w:val="00D66D1D"/>
    <w:rsid w:val="00D67215"/>
    <w:rsid w:val="00D67D4C"/>
    <w:rsid w:val="00D70026"/>
    <w:rsid w:val="00D70663"/>
    <w:rsid w:val="00D709B2"/>
    <w:rsid w:val="00D7104B"/>
    <w:rsid w:val="00D7215B"/>
    <w:rsid w:val="00D72C0B"/>
    <w:rsid w:val="00D731A0"/>
    <w:rsid w:val="00D73FC9"/>
    <w:rsid w:val="00D7420C"/>
    <w:rsid w:val="00D74235"/>
    <w:rsid w:val="00D7509C"/>
    <w:rsid w:val="00D75831"/>
    <w:rsid w:val="00D77AA6"/>
    <w:rsid w:val="00D8019C"/>
    <w:rsid w:val="00D80637"/>
    <w:rsid w:val="00D80EE3"/>
    <w:rsid w:val="00D8100C"/>
    <w:rsid w:val="00D811C1"/>
    <w:rsid w:val="00D8142F"/>
    <w:rsid w:val="00D82339"/>
    <w:rsid w:val="00D82E73"/>
    <w:rsid w:val="00D830BC"/>
    <w:rsid w:val="00D840F6"/>
    <w:rsid w:val="00D85480"/>
    <w:rsid w:val="00D858CA"/>
    <w:rsid w:val="00D86862"/>
    <w:rsid w:val="00D869AF"/>
    <w:rsid w:val="00D86ABC"/>
    <w:rsid w:val="00D86EA5"/>
    <w:rsid w:val="00D874BD"/>
    <w:rsid w:val="00D87709"/>
    <w:rsid w:val="00D909D7"/>
    <w:rsid w:val="00D91056"/>
    <w:rsid w:val="00D91707"/>
    <w:rsid w:val="00D91C7E"/>
    <w:rsid w:val="00D91ECE"/>
    <w:rsid w:val="00D936ED"/>
    <w:rsid w:val="00D941EF"/>
    <w:rsid w:val="00D9473A"/>
    <w:rsid w:val="00D95A85"/>
    <w:rsid w:val="00D9608B"/>
    <w:rsid w:val="00D96332"/>
    <w:rsid w:val="00D9708B"/>
    <w:rsid w:val="00DA014E"/>
    <w:rsid w:val="00DA1139"/>
    <w:rsid w:val="00DA2F9F"/>
    <w:rsid w:val="00DA325A"/>
    <w:rsid w:val="00DA33DF"/>
    <w:rsid w:val="00DA3D36"/>
    <w:rsid w:val="00DA51DC"/>
    <w:rsid w:val="00DA60A0"/>
    <w:rsid w:val="00DA6629"/>
    <w:rsid w:val="00DA67E5"/>
    <w:rsid w:val="00DA684B"/>
    <w:rsid w:val="00DA7FA6"/>
    <w:rsid w:val="00DB04BE"/>
    <w:rsid w:val="00DB0733"/>
    <w:rsid w:val="00DB0F6F"/>
    <w:rsid w:val="00DB119F"/>
    <w:rsid w:val="00DB1447"/>
    <w:rsid w:val="00DB1A12"/>
    <w:rsid w:val="00DB2AFA"/>
    <w:rsid w:val="00DB2F34"/>
    <w:rsid w:val="00DB383B"/>
    <w:rsid w:val="00DB4442"/>
    <w:rsid w:val="00DB4587"/>
    <w:rsid w:val="00DB531E"/>
    <w:rsid w:val="00DB64A7"/>
    <w:rsid w:val="00DB6544"/>
    <w:rsid w:val="00DB6754"/>
    <w:rsid w:val="00DB7D84"/>
    <w:rsid w:val="00DC08CE"/>
    <w:rsid w:val="00DC110D"/>
    <w:rsid w:val="00DC1CCE"/>
    <w:rsid w:val="00DC2191"/>
    <w:rsid w:val="00DC3A4B"/>
    <w:rsid w:val="00DC5B81"/>
    <w:rsid w:val="00DC5EC4"/>
    <w:rsid w:val="00DC63B9"/>
    <w:rsid w:val="00DC6852"/>
    <w:rsid w:val="00DC6DD4"/>
    <w:rsid w:val="00DC724A"/>
    <w:rsid w:val="00DC7525"/>
    <w:rsid w:val="00DD0995"/>
    <w:rsid w:val="00DD150E"/>
    <w:rsid w:val="00DD1825"/>
    <w:rsid w:val="00DD1FDF"/>
    <w:rsid w:val="00DD2BD7"/>
    <w:rsid w:val="00DD3CAB"/>
    <w:rsid w:val="00DD3DB4"/>
    <w:rsid w:val="00DD3F8D"/>
    <w:rsid w:val="00DD3FAF"/>
    <w:rsid w:val="00DD40DC"/>
    <w:rsid w:val="00DD54DE"/>
    <w:rsid w:val="00DD56FA"/>
    <w:rsid w:val="00DD6321"/>
    <w:rsid w:val="00DD6AD2"/>
    <w:rsid w:val="00DD6B06"/>
    <w:rsid w:val="00DE121F"/>
    <w:rsid w:val="00DE12CC"/>
    <w:rsid w:val="00DE1A41"/>
    <w:rsid w:val="00DE25D8"/>
    <w:rsid w:val="00DE41A3"/>
    <w:rsid w:val="00DE449B"/>
    <w:rsid w:val="00DE45AC"/>
    <w:rsid w:val="00DE483A"/>
    <w:rsid w:val="00DE5984"/>
    <w:rsid w:val="00DE6128"/>
    <w:rsid w:val="00DE683B"/>
    <w:rsid w:val="00DE70EC"/>
    <w:rsid w:val="00DE78D5"/>
    <w:rsid w:val="00DE7A31"/>
    <w:rsid w:val="00DF0BE7"/>
    <w:rsid w:val="00DF101A"/>
    <w:rsid w:val="00DF274E"/>
    <w:rsid w:val="00DF30B2"/>
    <w:rsid w:val="00DF448C"/>
    <w:rsid w:val="00DF4775"/>
    <w:rsid w:val="00DF4AAC"/>
    <w:rsid w:val="00DF4B98"/>
    <w:rsid w:val="00DF4C40"/>
    <w:rsid w:val="00E0160F"/>
    <w:rsid w:val="00E02B89"/>
    <w:rsid w:val="00E02DC2"/>
    <w:rsid w:val="00E03C94"/>
    <w:rsid w:val="00E040BE"/>
    <w:rsid w:val="00E04830"/>
    <w:rsid w:val="00E0558C"/>
    <w:rsid w:val="00E0574F"/>
    <w:rsid w:val="00E058FC"/>
    <w:rsid w:val="00E05CFD"/>
    <w:rsid w:val="00E07404"/>
    <w:rsid w:val="00E074D0"/>
    <w:rsid w:val="00E0764D"/>
    <w:rsid w:val="00E0765B"/>
    <w:rsid w:val="00E10120"/>
    <w:rsid w:val="00E108C7"/>
    <w:rsid w:val="00E1202F"/>
    <w:rsid w:val="00E1280F"/>
    <w:rsid w:val="00E1293B"/>
    <w:rsid w:val="00E13AFD"/>
    <w:rsid w:val="00E1408F"/>
    <w:rsid w:val="00E14238"/>
    <w:rsid w:val="00E14740"/>
    <w:rsid w:val="00E14788"/>
    <w:rsid w:val="00E14803"/>
    <w:rsid w:val="00E150A4"/>
    <w:rsid w:val="00E174AB"/>
    <w:rsid w:val="00E17D53"/>
    <w:rsid w:val="00E202B5"/>
    <w:rsid w:val="00E21C75"/>
    <w:rsid w:val="00E2432E"/>
    <w:rsid w:val="00E2453D"/>
    <w:rsid w:val="00E247AB"/>
    <w:rsid w:val="00E25957"/>
    <w:rsid w:val="00E2694A"/>
    <w:rsid w:val="00E27263"/>
    <w:rsid w:val="00E3028E"/>
    <w:rsid w:val="00E320D8"/>
    <w:rsid w:val="00E334D1"/>
    <w:rsid w:val="00E3391F"/>
    <w:rsid w:val="00E33C1F"/>
    <w:rsid w:val="00E34502"/>
    <w:rsid w:val="00E3461B"/>
    <w:rsid w:val="00E35B89"/>
    <w:rsid w:val="00E36B46"/>
    <w:rsid w:val="00E37E31"/>
    <w:rsid w:val="00E40198"/>
    <w:rsid w:val="00E41665"/>
    <w:rsid w:val="00E41E7D"/>
    <w:rsid w:val="00E427F5"/>
    <w:rsid w:val="00E440AD"/>
    <w:rsid w:val="00E45196"/>
    <w:rsid w:val="00E4700C"/>
    <w:rsid w:val="00E473D1"/>
    <w:rsid w:val="00E47C72"/>
    <w:rsid w:val="00E5013B"/>
    <w:rsid w:val="00E51C15"/>
    <w:rsid w:val="00E51FF7"/>
    <w:rsid w:val="00E522B5"/>
    <w:rsid w:val="00E5246D"/>
    <w:rsid w:val="00E533C9"/>
    <w:rsid w:val="00E53A5B"/>
    <w:rsid w:val="00E5427B"/>
    <w:rsid w:val="00E5494D"/>
    <w:rsid w:val="00E55265"/>
    <w:rsid w:val="00E55574"/>
    <w:rsid w:val="00E557AD"/>
    <w:rsid w:val="00E570CF"/>
    <w:rsid w:val="00E57186"/>
    <w:rsid w:val="00E57DD8"/>
    <w:rsid w:val="00E57E5E"/>
    <w:rsid w:val="00E606E2"/>
    <w:rsid w:val="00E61588"/>
    <w:rsid w:val="00E618BC"/>
    <w:rsid w:val="00E6191B"/>
    <w:rsid w:val="00E61A94"/>
    <w:rsid w:val="00E61D9C"/>
    <w:rsid w:val="00E626D2"/>
    <w:rsid w:val="00E62C1B"/>
    <w:rsid w:val="00E63976"/>
    <w:rsid w:val="00E63D8A"/>
    <w:rsid w:val="00E66798"/>
    <w:rsid w:val="00E6686C"/>
    <w:rsid w:val="00E704EC"/>
    <w:rsid w:val="00E7201D"/>
    <w:rsid w:val="00E73C45"/>
    <w:rsid w:val="00E74F23"/>
    <w:rsid w:val="00E75291"/>
    <w:rsid w:val="00E756EE"/>
    <w:rsid w:val="00E75F06"/>
    <w:rsid w:val="00E76108"/>
    <w:rsid w:val="00E764A7"/>
    <w:rsid w:val="00E76B27"/>
    <w:rsid w:val="00E76D59"/>
    <w:rsid w:val="00E771B7"/>
    <w:rsid w:val="00E77BFD"/>
    <w:rsid w:val="00E77EDC"/>
    <w:rsid w:val="00E8040E"/>
    <w:rsid w:val="00E80429"/>
    <w:rsid w:val="00E80517"/>
    <w:rsid w:val="00E80538"/>
    <w:rsid w:val="00E807A8"/>
    <w:rsid w:val="00E810CC"/>
    <w:rsid w:val="00E813DB"/>
    <w:rsid w:val="00E82E4B"/>
    <w:rsid w:val="00E83BB3"/>
    <w:rsid w:val="00E83C22"/>
    <w:rsid w:val="00E83F57"/>
    <w:rsid w:val="00E85587"/>
    <w:rsid w:val="00E855E6"/>
    <w:rsid w:val="00E85DBE"/>
    <w:rsid w:val="00E879E4"/>
    <w:rsid w:val="00E87E67"/>
    <w:rsid w:val="00E910E9"/>
    <w:rsid w:val="00E91A3F"/>
    <w:rsid w:val="00E924D9"/>
    <w:rsid w:val="00E92D97"/>
    <w:rsid w:val="00E93EB4"/>
    <w:rsid w:val="00E94E45"/>
    <w:rsid w:val="00E9582A"/>
    <w:rsid w:val="00E95EA1"/>
    <w:rsid w:val="00E96658"/>
    <w:rsid w:val="00E9698D"/>
    <w:rsid w:val="00EA06B4"/>
    <w:rsid w:val="00EA1601"/>
    <w:rsid w:val="00EA31CE"/>
    <w:rsid w:val="00EA3405"/>
    <w:rsid w:val="00EA46CD"/>
    <w:rsid w:val="00EA4F35"/>
    <w:rsid w:val="00EA507A"/>
    <w:rsid w:val="00EA51F2"/>
    <w:rsid w:val="00EA538F"/>
    <w:rsid w:val="00EA56D9"/>
    <w:rsid w:val="00EA5ADB"/>
    <w:rsid w:val="00EA666A"/>
    <w:rsid w:val="00EB1BC7"/>
    <w:rsid w:val="00EB1C52"/>
    <w:rsid w:val="00EB37DA"/>
    <w:rsid w:val="00EB3923"/>
    <w:rsid w:val="00EB4887"/>
    <w:rsid w:val="00EB4DC2"/>
    <w:rsid w:val="00EB4E73"/>
    <w:rsid w:val="00EB54AA"/>
    <w:rsid w:val="00EB682F"/>
    <w:rsid w:val="00EB6AE2"/>
    <w:rsid w:val="00EB7818"/>
    <w:rsid w:val="00EB7A9B"/>
    <w:rsid w:val="00EC02F5"/>
    <w:rsid w:val="00EC030A"/>
    <w:rsid w:val="00EC174F"/>
    <w:rsid w:val="00EC30C9"/>
    <w:rsid w:val="00EC31B4"/>
    <w:rsid w:val="00EC4550"/>
    <w:rsid w:val="00EC5945"/>
    <w:rsid w:val="00EC63EA"/>
    <w:rsid w:val="00EC7400"/>
    <w:rsid w:val="00ED0F45"/>
    <w:rsid w:val="00ED101C"/>
    <w:rsid w:val="00ED1FDA"/>
    <w:rsid w:val="00ED360D"/>
    <w:rsid w:val="00ED363E"/>
    <w:rsid w:val="00ED45C4"/>
    <w:rsid w:val="00ED4758"/>
    <w:rsid w:val="00ED4B7A"/>
    <w:rsid w:val="00ED5AB8"/>
    <w:rsid w:val="00ED5F1F"/>
    <w:rsid w:val="00ED76A5"/>
    <w:rsid w:val="00ED76BB"/>
    <w:rsid w:val="00EE05D7"/>
    <w:rsid w:val="00EE092B"/>
    <w:rsid w:val="00EE1F92"/>
    <w:rsid w:val="00EE3AAF"/>
    <w:rsid w:val="00EE3F23"/>
    <w:rsid w:val="00EE4C70"/>
    <w:rsid w:val="00EE5583"/>
    <w:rsid w:val="00EE5DBB"/>
    <w:rsid w:val="00EE6232"/>
    <w:rsid w:val="00EE62B8"/>
    <w:rsid w:val="00EE661A"/>
    <w:rsid w:val="00EE6AE5"/>
    <w:rsid w:val="00EE763C"/>
    <w:rsid w:val="00EE7CD1"/>
    <w:rsid w:val="00EF04AD"/>
    <w:rsid w:val="00EF1E4F"/>
    <w:rsid w:val="00EF2C71"/>
    <w:rsid w:val="00EF362D"/>
    <w:rsid w:val="00EF4274"/>
    <w:rsid w:val="00EF655F"/>
    <w:rsid w:val="00EF6B63"/>
    <w:rsid w:val="00EF7651"/>
    <w:rsid w:val="00EF788C"/>
    <w:rsid w:val="00EF7A3B"/>
    <w:rsid w:val="00EF7C91"/>
    <w:rsid w:val="00F006BA"/>
    <w:rsid w:val="00F009A3"/>
    <w:rsid w:val="00F00E2B"/>
    <w:rsid w:val="00F014BC"/>
    <w:rsid w:val="00F038FE"/>
    <w:rsid w:val="00F03AF0"/>
    <w:rsid w:val="00F05A34"/>
    <w:rsid w:val="00F07AD0"/>
    <w:rsid w:val="00F11442"/>
    <w:rsid w:val="00F12385"/>
    <w:rsid w:val="00F1271B"/>
    <w:rsid w:val="00F13E62"/>
    <w:rsid w:val="00F14321"/>
    <w:rsid w:val="00F15D70"/>
    <w:rsid w:val="00F161CF"/>
    <w:rsid w:val="00F17882"/>
    <w:rsid w:val="00F200F4"/>
    <w:rsid w:val="00F20333"/>
    <w:rsid w:val="00F20C11"/>
    <w:rsid w:val="00F210EA"/>
    <w:rsid w:val="00F2171F"/>
    <w:rsid w:val="00F220D3"/>
    <w:rsid w:val="00F23540"/>
    <w:rsid w:val="00F23B49"/>
    <w:rsid w:val="00F245B2"/>
    <w:rsid w:val="00F2623F"/>
    <w:rsid w:val="00F30153"/>
    <w:rsid w:val="00F30AE8"/>
    <w:rsid w:val="00F3187B"/>
    <w:rsid w:val="00F33557"/>
    <w:rsid w:val="00F34421"/>
    <w:rsid w:val="00F34664"/>
    <w:rsid w:val="00F349B5"/>
    <w:rsid w:val="00F34D09"/>
    <w:rsid w:val="00F34E94"/>
    <w:rsid w:val="00F34FB9"/>
    <w:rsid w:val="00F35121"/>
    <w:rsid w:val="00F355CA"/>
    <w:rsid w:val="00F3591D"/>
    <w:rsid w:val="00F41255"/>
    <w:rsid w:val="00F41633"/>
    <w:rsid w:val="00F41635"/>
    <w:rsid w:val="00F41F33"/>
    <w:rsid w:val="00F42370"/>
    <w:rsid w:val="00F44A9E"/>
    <w:rsid w:val="00F454A2"/>
    <w:rsid w:val="00F454F6"/>
    <w:rsid w:val="00F45BE3"/>
    <w:rsid w:val="00F45E12"/>
    <w:rsid w:val="00F462A7"/>
    <w:rsid w:val="00F4723E"/>
    <w:rsid w:val="00F4753C"/>
    <w:rsid w:val="00F51009"/>
    <w:rsid w:val="00F51BC8"/>
    <w:rsid w:val="00F51D42"/>
    <w:rsid w:val="00F52283"/>
    <w:rsid w:val="00F52458"/>
    <w:rsid w:val="00F52D1E"/>
    <w:rsid w:val="00F5350B"/>
    <w:rsid w:val="00F53C29"/>
    <w:rsid w:val="00F558A6"/>
    <w:rsid w:val="00F55E10"/>
    <w:rsid w:val="00F564BF"/>
    <w:rsid w:val="00F574F1"/>
    <w:rsid w:val="00F605E0"/>
    <w:rsid w:val="00F62029"/>
    <w:rsid w:val="00F63374"/>
    <w:rsid w:val="00F63471"/>
    <w:rsid w:val="00F636E3"/>
    <w:rsid w:val="00F63AA1"/>
    <w:rsid w:val="00F63AD2"/>
    <w:rsid w:val="00F63F65"/>
    <w:rsid w:val="00F646E7"/>
    <w:rsid w:val="00F65F87"/>
    <w:rsid w:val="00F6644A"/>
    <w:rsid w:val="00F67FE6"/>
    <w:rsid w:val="00F7022D"/>
    <w:rsid w:val="00F7065F"/>
    <w:rsid w:val="00F716AF"/>
    <w:rsid w:val="00F73902"/>
    <w:rsid w:val="00F73E62"/>
    <w:rsid w:val="00F73F8A"/>
    <w:rsid w:val="00F74FE9"/>
    <w:rsid w:val="00F772E1"/>
    <w:rsid w:val="00F7753D"/>
    <w:rsid w:val="00F77A07"/>
    <w:rsid w:val="00F77DE1"/>
    <w:rsid w:val="00F77F58"/>
    <w:rsid w:val="00F80B9B"/>
    <w:rsid w:val="00F811F4"/>
    <w:rsid w:val="00F81235"/>
    <w:rsid w:val="00F81D00"/>
    <w:rsid w:val="00F82296"/>
    <w:rsid w:val="00F82B0B"/>
    <w:rsid w:val="00F83126"/>
    <w:rsid w:val="00F8418B"/>
    <w:rsid w:val="00F8468B"/>
    <w:rsid w:val="00F84E40"/>
    <w:rsid w:val="00F85521"/>
    <w:rsid w:val="00F85A73"/>
    <w:rsid w:val="00F86973"/>
    <w:rsid w:val="00F90165"/>
    <w:rsid w:val="00F908C6"/>
    <w:rsid w:val="00F90A46"/>
    <w:rsid w:val="00F90BDB"/>
    <w:rsid w:val="00F923F1"/>
    <w:rsid w:val="00F92FF4"/>
    <w:rsid w:val="00F93BA5"/>
    <w:rsid w:val="00F94E1A"/>
    <w:rsid w:val="00F97018"/>
    <w:rsid w:val="00F97C19"/>
    <w:rsid w:val="00FA0DAF"/>
    <w:rsid w:val="00FA1760"/>
    <w:rsid w:val="00FA1F2A"/>
    <w:rsid w:val="00FA2336"/>
    <w:rsid w:val="00FA2626"/>
    <w:rsid w:val="00FA2B80"/>
    <w:rsid w:val="00FA41B8"/>
    <w:rsid w:val="00FA4577"/>
    <w:rsid w:val="00FA4ABD"/>
    <w:rsid w:val="00FA5327"/>
    <w:rsid w:val="00FA5662"/>
    <w:rsid w:val="00FA5A28"/>
    <w:rsid w:val="00FA61F4"/>
    <w:rsid w:val="00FA6F72"/>
    <w:rsid w:val="00FA7040"/>
    <w:rsid w:val="00FA745A"/>
    <w:rsid w:val="00FA78EB"/>
    <w:rsid w:val="00FA793B"/>
    <w:rsid w:val="00FA7DE2"/>
    <w:rsid w:val="00FB037C"/>
    <w:rsid w:val="00FB0768"/>
    <w:rsid w:val="00FB0A6C"/>
    <w:rsid w:val="00FB0F91"/>
    <w:rsid w:val="00FB1FCC"/>
    <w:rsid w:val="00FB21F9"/>
    <w:rsid w:val="00FB34EF"/>
    <w:rsid w:val="00FB361A"/>
    <w:rsid w:val="00FB45F9"/>
    <w:rsid w:val="00FB484B"/>
    <w:rsid w:val="00FB4906"/>
    <w:rsid w:val="00FB4B0E"/>
    <w:rsid w:val="00FB4CEC"/>
    <w:rsid w:val="00FB55CC"/>
    <w:rsid w:val="00FB56E4"/>
    <w:rsid w:val="00FB58E9"/>
    <w:rsid w:val="00FB5916"/>
    <w:rsid w:val="00FB5D58"/>
    <w:rsid w:val="00FB5FDA"/>
    <w:rsid w:val="00FB64C4"/>
    <w:rsid w:val="00FB6A23"/>
    <w:rsid w:val="00FB7962"/>
    <w:rsid w:val="00FB7AEA"/>
    <w:rsid w:val="00FC29BC"/>
    <w:rsid w:val="00FC3925"/>
    <w:rsid w:val="00FC3E1C"/>
    <w:rsid w:val="00FC407D"/>
    <w:rsid w:val="00FC47A0"/>
    <w:rsid w:val="00FC6985"/>
    <w:rsid w:val="00FC6D12"/>
    <w:rsid w:val="00FC74D6"/>
    <w:rsid w:val="00FC7726"/>
    <w:rsid w:val="00FC796F"/>
    <w:rsid w:val="00FD0E17"/>
    <w:rsid w:val="00FD3569"/>
    <w:rsid w:val="00FD3689"/>
    <w:rsid w:val="00FD3BB1"/>
    <w:rsid w:val="00FD414C"/>
    <w:rsid w:val="00FD431C"/>
    <w:rsid w:val="00FD5560"/>
    <w:rsid w:val="00FD67A3"/>
    <w:rsid w:val="00FD742E"/>
    <w:rsid w:val="00FD76BF"/>
    <w:rsid w:val="00FE12CA"/>
    <w:rsid w:val="00FE20F5"/>
    <w:rsid w:val="00FE2878"/>
    <w:rsid w:val="00FE2891"/>
    <w:rsid w:val="00FE3626"/>
    <w:rsid w:val="00FE4294"/>
    <w:rsid w:val="00FE540B"/>
    <w:rsid w:val="00FE6052"/>
    <w:rsid w:val="00FE6393"/>
    <w:rsid w:val="00FE689D"/>
    <w:rsid w:val="00FE69B5"/>
    <w:rsid w:val="00FE7166"/>
    <w:rsid w:val="00FF174E"/>
    <w:rsid w:val="00FF1AAE"/>
    <w:rsid w:val="00FF21B7"/>
    <w:rsid w:val="00FF2348"/>
    <w:rsid w:val="00FF2EA7"/>
    <w:rsid w:val="00FF3766"/>
    <w:rsid w:val="00FF480D"/>
    <w:rsid w:val="00FF60CC"/>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66617"/>
    <w:pPr>
      <w:widowControl w:val="0"/>
      <w:bidi/>
      <w:spacing w:line="390" w:lineRule="exact"/>
      <w:ind w:firstLine="562"/>
      <w:jc w:val="both"/>
    </w:pPr>
    <w:rPr>
      <w:rFonts w:ascii="Times" w:hAnsi="Times" w:cs="AL-Mohanad"/>
      <w:sz w:val="28"/>
      <w:szCs w:val="27"/>
    </w:rPr>
  </w:style>
  <w:style w:type="paragraph" w:styleId="10">
    <w:name w:val="heading 1"/>
    <w:aliases w:val="Heading 2 Char1,Char Char Char Char"/>
    <w:basedOn w:val="a2"/>
    <w:next w:val="a2"/>
    <w:link w:val="1Char"/>
    <w:uiPriority w:val="9"/>
    <w:qFormat/>
    <w:rsid w:val="002647C9"/>
    <w:pPr>
      <w:keepNext/>
      <w:keepLines/>
      <w:ind w:firstLine="0"/>
      <w:jc w:val="center"/>
      <w:outlineLvl w:val="0"/>
    </w:pPr>
    <w:rPr>
      <w:rFonts w:cs="AL-Mateen"/>
      <w:b/>
      <w:sz w:val="32"/>
      <w:szCs w:val="48"/>
    </w:rPr>
  </w:style>
  <w:style w:type="paragraph" w:styleId="20">
    <w:name w:val="heading 2"/>
    <w:basedOn w:val="a2"/>
    <w:next w:val="a2"/>
    <w:link w:val="2Char"/>
    <w:uiPriority w:val="9"/>
    <w:unhideWhenUsed/>
    <w:qFormat/>
    <w:rsid w:val="002647C9"/>
    <w:pPr>
      <w:ind w:firstLine="0"/>
      <w:jc w:val="center"/>
      <w:outlineLvl w:val="1"/>
    </w:pPr>
    <w:rPr>
      <w:rFonts w:cs="AL-Mateen"/>
      <w:color w:val="000000"/>
      <w:szCs w:val="32"/>
    </w:rPr>
  </w:style>
  <w:style w:type="paragraph" w:styleId="31">
    <w:name w:val="heading 3"/>
    <w:basedOn w:val="a2"/>
    <w:next w:val="a2"/>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uiPriority w:val="9"/>
    <w:qFormat/>
    <w:rsid w:val="00801478"/>
    <w:pPr>
      <w:keepNext/>
      <w:tabs>
        <w:tab w:val="num" w:pos="1800"/>
      </w:tabs>
      <w:ind w:left="1800" w:hanging="360"/>
      <w:jc w:val="center"/>
      <w:outlineLvl w:val="3"/>
    </w:pPr>
    <w:rPr>
      <w:rFonts w:ascii="Times New Roman" w:hAnsi="Times New Roman" w:cs="ALAWI-3-62"/>
      <w:color w:val="008000"/>
      <w:szCs w:val="28"/>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ind w:left="1800" w:hanging="360"/>
      <w:jc w:val="center"/>
      <w:outlineLvl w:val="5"/>
    </w:pPr>
    <w:rPr>
      <w:rFonts w:ascii="Times New Roman" w:hAnsi="Times New Roman"/>
      <w:b/>
      <w:bCs/>
      <w:color w:val="000000"/>
      <w:szCs w:val="40"/>
    </w:rPr>
  </w:style>
  <w:style w:type="paragraph" w:styleId="7">
    <w:name w:val="heading 7"/>
    <w:basedOn w:val="a2"/>
    <w:next w:val="a2"/>
    <w:link w:val="7Char"/>
    <w:uiPriority w:val="9"/>
    <w:qFormat/>
    <w:rsid w:val="00801478"/>
    <w:pPr>
      <w:keepNext/>
      <w:tabs>
        <w:tab w:val="num" w:pos="1800"/>
      </w:tabs>
      <w:ind w:left="1800" w:hanging="360"/>
      <w:jc w:val="right"/>
      <w:outlineLvl w:val="6"/>
    </w:pPr>
    <w:rPr>
      <w:rFonts w:ascii="Times New Roman" w:hAnsi="Times New Roman" w:cs="Traditional Arabic"/>
      <w:sz w:val="30"/>
      <w:szCs w:val="2"/>
    </w:rPr>
  </w:style>
  <w:style w:type="paragraph" w:styleId="8">
    <w:name w:val="heading 8"/>
    <w:basedOn w:val="a2"/>
    <w:next w:val="a2"/>
    <w:link w:val="8Char"/>
    <w:uiPriority w:val="9"/>
    <w:qFormat/>
    <w:rsid w:val="00801478"/>
    <w:pPr>
      <w:keepNext/>
      <w:tabs>
        <w:tab w:val="num" w:pos="1800"/>
      </w:tabs>
      <w:ind w:left="1800" w:hanging="360"/>
      <w:jc w:val="lowKashida"/>
      <w:outlineLvl w:val="7"/>
    </w:pPr>
    <w:rPr>
      <w:rFonts w:ascii="Times New Roman" w:hAnsi="Times New Roman" w:cs="Simplified Arabic"/>
      <w:b/>
      <w:bCs/>
      <w:szCs w:val="28"/>
    </w:rPr>
  </w:style>
  <w:style w:type="paragraph" w:styleId="9">
    <w:name w:val="heading 9"/>
    <w:basedOn w:val="a2"/>
    <w:next w:val="a2"/>
    <w:link w:val="9Char"/>
    <w:uiPriority w:val="9"/>
    <w:qFormat/>
    <w:rsid w:val="00801478"/>
    <w:pPr>
      <w:keepNext/>
      <w:tabs>
        <w:tab w:val="num" w:pos="1800"/>
      </w:tabs>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uiPriority w:val="9"/>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Char"/>
    <w:basedOn w:val="a2"/>
    <w:link w:val="Char1"/>
    <w:uiPriority w:val="99"/>
    <w:unhideWhenUsed/>
    <w:rsid w:val="0016440C"/>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16440C"/>
    <w:rPr>
      <w:sz w:val="20"/>
      <w:szCs w:val="20"/>
    </w:rPr>
  </w:style>
  <w:style w:type="character" w:customStyle="1" w:styleId="Char2">
    <w:name w:val="نص تعليق ختامي Char"/>
    <w:link w:val="aa"/>
    <w:uiPriority w:val="99"/>
    <w:rsid w:val="0016440C"/>
    <w:rPr>
      <w:rFonts w:ascii="Times" w:hAnsi="Times" w:cs="Mosawi"/>
      <w:sz w:val="20"/>
      <w:szCs w:val="20"/>
    </w:rPr>
  </w:style>
  <w:style w:type="character" w:styleId="ab">
    <w:name w:val="footnote reference"/>
    <w:aliases w:val="حاشية سفلية,AA Footnote"/>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rPr>
      <w:rFonts w:ascii="Consolas" w:hAnsi="Consolas"/>
      <w:sz w:val="21"/>
      <w:szCs w:val="21"/>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uiPriority w:val="9"/>
    <w:rsid w:val="00801478"/>
    <w:rPr>
      <w:rFonts w:ascii="Times New Roman" w:eastAsia="Times New Roman" w:hAnsi="Times New Roman" w:cs="Traditional Arabic"/>
      <w:sz w:val="30"/>
      <w:szCs w:val="2"/>
    </w:rPr>
  </w:style>
  <w:style w:type="character" w:customStyle="1" w:styleId="8Char">
    <w:name w:val="عنوان 8 Char"/>
    <w:link w:val="8"/>
    <w:uiPriority w:val="9"/>
    <w:rsid w:val="00801478"/>
    <w:rPr>
      <w:rFonts w:ascii="Times New Roman" w:eastAsia="Times New Roman" w:hAnsi="Times New Roman" w:cs="Simplified Arabic"/>
      <w:b/>
      <w:bCs/>
      <w:sz w:val="28"/>
      <w:szCs w:val="28"/>
    </w:rPr>
  </w:style>
  <w:style w:type="character" w:customStyle="1" w:styleId="9Char">
    <w:name w:val="عنوان 9 Char"/>
    <w:link w:val="9"/>
    <w:uiPriority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ind w:firstLine="0"/>
      <w:jc w:val="center"/>
    </w:pPr>
    <w:rPr>
      <w:rFonts w:ascii="Times New Roman" w:hAnsi="Times New Roman" w:cs="PT Bold Broken"/>
      <w:b/>
      <w:bCs/>
      <w:sz w:val="40"/>
      <w:szCs w:val="40"/>
      <w:lang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uiPriority w:val="99"/>
    <w:semiHidden/>
    <w:rsid w:val="00801478"/>
    <w:pPr>
      <w:widowControl/>
      <w:ind w:firstLine="0"/>
      <w:jc w:val="lowKashida"/>
    </w:pPr>
    <w:rPr>
      <w:rFonts w:ascii="Times New Roman" w:hAnsi="Times New Roman" w:cs="Arabic Transparent"/>
      <w:szCs w:val="28"/>
      <w:lang w:eastAsia="ar-SA"/>
    </w:rPr>
  </w:style>
  <w:style w:type="character" w:customStyle="1" w:styleId="Char5">
    <w:name w:val="نص أساسي Char"/>
    <w:link w:val="af3"/>
    <w:uiPriority w:val="99"/>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rsid w:val="00801478"/>
    <w:pPr>
      <w:widowControl/>
      <w:ind w:firstLine="0"/>
      <w:jc w:val="left"/>
    </w:pPr>
    <w:rPr>
      <w:rFonts w:ascii="Tahoma" w:hAnsi="Tahoma" w:cs="Tahoma"/>
      <w:sz w:val="16"/>
      <w:szCs w:val="16"/>
      <w:lang w:eastAsia="ar-SA"/>
    </w:rPr>
  </w:style>
  <w:style w:type="character" w:customStyle="1" w:styleId="Char8">
    <w:name w:val="نص في بالون Char"/>
    <w:link w:val="af7"/>
    <w:uiPriority w:val="99"/>
    <w:rsid w:val="00801478"/>
    <w:rPr>
      <w:rFonts w:ascii="Tahoma" w:eastAsia="Times New Roman" w:hAnsi="Tahoma" w:cs="Tahoma"/>
      <w:sz w:val="16"/>
      <w:szCs w:val="16"/>
      <w:lang w:eastAsia="ar-SA"/>
    </w:rPr>
  </w:style>
  <w:style w:type="character" w:styleId="af8">
    <w:name w:val="annotation reference"/>
    <w:uiPriority w:val="99"/>
    <w:rsid w:val="00801478"/>
    <w:rPr>
      <w:sz w:val="16"/>
      <w:szCs w:val="16"/>
    </w:rPr>
  </w:style>
  <w:style w:type="paragraph" w:styleId="af9">
    <w:name w:val="annotation text"/>
    <w:basedOn w:val="a2"/>
    <w:link w:val="Char9"/>
    <w:uiPriority w:val="99"/>
    <w:rsid w:val="00801478"/>
    <w:pPr>
      <w:widowControl/>
      <w:ind w:firstLine="0"/>
      <w:jc w:val="left"/>
    </w:pPr>
    <w:rPr>
      <w:rFonts w:ascii="Times New Roman" w:hAnsi="Times New Roman" w:cs="Times New Roman"/>
      <w:sz w:val="20"/>
      <w:szCs w:val="20"/>
      <w:lang w:eastAsia="ar-SA"/>
    </w:rPr>
  </w:style>
  <w:style w:type="character" w:customStyle="1" w:styleId="Char9">
    <w:name w:val="نص تعليق Char"/>
    <w:link w:val="af9"/>
    <w:uiPriority w:val="9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uiPriority w:val="99"/>
    <w:rsid w:val="00801478"/>
    <w:rPr>
      <w:b/>
      <w:bCs/>
    </w:rPr>
  </w:style>
  <w:style w:type="character" w:customStyle="1" w:styleId="Chara">
    <w:name w:val="موضوع تعليق Char"/>
    <w:link w:val="afa"/>
    <w:uiPriority w:val="99"/>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5823C3"/>
    <w:pPr>
      <w:widowControl/>
      <w:tabs>
        <w:tab w:val="right" w:leader="dot" w:pos="7020"/>
      </w:tabs>
      <w:spacing w:before="180" w:line="168" w:lineRule="auto"/>
      <w:ind w:left="289" w:hanging="289"/>
    </w:pPr>
    <w:rPr>
      <w:rFonts w:ascii="Arial" w:hAnsi="Arial" w:cs="AL-Mohanad Bold"/>
      <w:noProof/>
      <w:sz w:val="22"/>
      <w:szCs w:val="26"/>
      <w:lang w:eastAsia="ar-SA" w:bidi="ar-AE"/>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rsid w:val="00801478"/>
    <w:pPr>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uiPriority w:val="99"/>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uiPriority w:val="99"/>
    <w:semiHidden/>
    <w:rsid w:val="00801478"/>
    <w:pPr>
      <w:widowControl/>
      <w:shd w:val="clear" w:color="auto" w:fill="000080"/>
      <w:ind w:firstLine="0"/>
      <w:jc w:val="left"/>
    </w:pPr>
    <w:rPr>
      <w:rFonts w:ascii="Tahoma" w:hAnsi="Tahoma" w:cs="Tahoma"/>
      <w:sz w:val="24"/>
      <w:szCs w:val="24"/>
      <w:lang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F63AA1"/>
    <w:pPr>
      <w:widowControl/>
      <w:tabs>
        <w:tab w:val="right" w:leader="dot" w:pos="7020"/>
      </w:tabs>
      <w:spacing w:before="80" w:after="80" w:line="144" w:lineRule="auto"/>
    </w:pPr>
    <w:rPr>
      <w:rFonts w:ascii="Arial" w:hAnsi="Arial" w:cs="Arial"/>
      <w:noProof/>
      <w:sz w:val="24"/>
      <w:lang w:eastAsia="ar-SA"/>
    </w:rPr>
  </w:style>
  <w:style w:type="paragraph" w:styleId="aff7">
    <w:name w:val="table of figures"/>
    <w:basedOn w:val="a2"/>
    <w:next w:val="a2"/>
    <w:semiHidden/>
    <w:rsid w:val="00801478"/>
    <w:pPr>
      <w:widowControl/>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Footnote Text1 Char, Char Char Char Char1, Char Char Char2, Char Char Char Char Char Char Char Char1, Char Char Char Char Char Char Char2,هامش سفلي Char1,پا ورقي Char1,هامش Char1,نص حاشية سفلية 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uiPriority w:val="99"/>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ind w:left="360" w:hanging="360"/>
      <w:jc w:val="left"/>
    </w:pPr>
    <w:rPr>
      <w:rFonts w:ascii="Times New Roman" w:hAnsi="Times New Roman" w:cs="Times New Roman"/>
      <w:sz w:val="24"/>
      <w:szCs w:val="24"/>
    </w:rPr>
  </w:style>
  <w:style w:type="paragraph" w:styleId="2f1">
    <w:name w:val="List 2"/>
    <w:basedOn w:val="a2"/>
    <w:rsid w:val="00801478"/>
    <w:pPr>
      <w:widowControl/>
      <w:bidi w:val="0"/>
      <w:ind w:left="720" w:hanging="360"/>
      <w:jc w:val="left"/>
    </w:pPr>
    <w:rPr>
      <w:rFonts w:ascii="Times New Roman" w:hAnsi="Times New Roman" w:cs="Times New Roman"/>
      <w:sz w:val="24"/>
      <w:szCs w:val="24"/>
    </w:rPr>
  </w:style>
  <w:style w:type="paragraph" w:styleId="3e">
    <w:name w:val="List 3"/>
    <w:basedOn w:val="a2"/>
    <w:rsid w:val="00801478"/>
    <w:pPr>
      <w:widowControl/>
      <w:bidi w:val="0"/>
      <w:ind w:left="1080" w:hanging="360"/>
      <w:jc w:val="left"/>
    </w:pPr>
    <w:rPr>
      <w:rFonts w:ascii="Times New Roman" w:hAnsi="Times New Roman" w:cs="Times New Roman"/>
      <w:sz w:val="24"/>
      <w:szCs w:val="24"/>
    </w:rPr>
  </w:style>
  <w:style w:type="paragraph" w:styleId="47">
    <w:name w:val="List 4"/>
    <w:basedOn w:val="a2"/>
    <w:rsid w:val="00801478"/>
    <w:pPr>
      <w:widowControl/>
      <w:bidi w:val="0"/>
      <w:ind w:left="1440" w:hanging="360"/>
      <w:jc w:val="left"/>
    </w:pPr>
    <w:rPr>
      <w:rFonts w:ascii="Times New Roman" w:hAnsi="Times New Roman" w:cs="Times New Roman"/>
      <w:sz w:val="24"/>
      <w:szCs w:val="24"/>
    </w:rPr>
  </w:style>
  <w:style w:type="paragraph" w:styleId="55">
    <w:name w:val="List 5"/>
    <w:basedOn w:val="a2"/>
    <w:rsid w:val="00801478"/>
    <w:pPr>
      <w:widowControl/>
      <w:bidi w:val="0"/>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jc w:val="left"/>
    </w:pPr>
    <w:rPr>
      <w:rFonts w:ascii="Times New Roman" w:hAnsi="Times New Roman" w:cs="Times New Roman"/>
      <w:sz w:val="24"/>
      <w:szCs w:val="24"/>
    </w:rPr>
  </w:style>
  <w:style w:type="paragraph" w:styleId="affffff">
    <w:name w:val="List Continue"/>
    <w:basedOn w:val="a2"/>
    <w:rsid w:val="00801478"/>
    <w:pPr>
      <w:widowControl/>
      <w:bidi w:val="0"/>
      <w:spacing w:after="120"/>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jc w:val="left"/>
    </w:pPr>
    <w:rPr>
      <w:rFonts w:ascii="Times New Roman" w:hAnsi="Times New Roman" w:cs="Times New Roman"/>
      <w:sz w:val="24"/>
      <w:szCs w:val="24"/>
    </w:rPr>
  </w:style>
  <w:style w:type="paragraph" w:styleId="2f4">
    <w:name w:val="List Bullet 2"/>
    <w:basedOn w:val="a2"/>
    <w:rsid w:val="00801478"/>
    <w:pPr>
      <w:widowControl/>
      <w:bidi w:val="0"/>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ind w:left="0" w:firstLine="0"/>
      <w:jc w:val="left"/>
    </w:pPr>
    <w:rPr>
      <w:rFonts w:cs="Ya-Ali"/>
      <w:b/>
      <w:spacing w:val="-10"/>
    </w:rPr>
  </w:style>
  <w:style w:type="paragraph" w:customStyle="1" w:styleId="73">
    <w:name w:val="نمط7"/>
    <w:basedOn w:val="a2"/>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ind w:firstLine="0"/>
      <w:jc w:val="left"/>
    </w:pPr>
    <w:rPr>
      <w:rFonts w:ascii="Times New Roman" w:hAnsi="Times New Roman" w:cs="Times New Roman"/>
      <w:sz w:val="20"/>
      <w:szCs w:val="20"/>
    </w:rPr>
  </w:style>
  <w:style w:type="paragraph" w:customStyle="1" w:styleId="CharChar10">
    <w:name w:val="Char Char1"/>
    <w:basedOn w:val="a2"/>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afffffff4">
    <w:name w:val="الشعر"/>
    <w:basedOn w:val="a2"/>
    <w:qFormat/>
    <w:rsid w:val="008E1DD2"/>
    <w:pPr>
      <w:ind w:firstLine="0"/>
      <w:jc w:val="lowKashida"/>
    </w:pPr>
    <w:rPr>
      <w:rFonts w:ascii="Calibri" w:eastAsia="Calibri" w:hAnsi="Calibri" w:cs="Taher"/>
      <w:bCs/>
      <w:sz w:val="22"/>
    </w:rPr>
  </w:style>
  <w:style w:type="paragraph" w:customStyle="1" w:styleId="Style1">
    <w:name w:val="Style1"/>
    <w:basedOn w:val="a2"/>
    <w:rsid w:val="008E1DD2"/>
    <w:pPr>
      <w:widowControl/>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jc w:val="lowKashida"/>
    </w:pPr>
    <w:rPr>
      <w:rFonts w:ascii="Times New Roman" w:hAnsi="Times New Roman" w:cs="Simplified Arabic"/>
      <w:bCs/>
      <w:sz w:val="24"/>
      <w:szCs w:val="32"/>
    </w:rPr>
  </w:style>
  <w:style w:type="character" w:customStyle="1" w:styleId="bodycontent1">
    <w:name w:val="bodycontent1"/>
    <w:uiPriority w:val="99"/>
    <w:rsid w:val="00A45FD9"/>
    <w:rPr>
      <w:rFonts w:ascii="Arabic Transparent" w:hAnsi="Arabic Transparent" w:cs="Arabic Transparent" w:hint="default"/>
      <w:sz w:val="27"/>
      <w:szCs w:val="27"/>
      <w:lang w:bidi="ar-SA"/>
    </w:rPr>
  </w:style>
  <w:style w:type="character" w:customStyle="1" w:styleId="footnote1">
    <w:name w:val="footnote1"/>
    <w:uiPriority w:val="99"/>
    <w:rsid w:val="00A45FD9"/>
    <w:rPr>
      <w:rFonts w:ascii="Arabic Transparent" w:hAnsi="Arabic Transparent" w:cs="Arabic Transparent" w:hint="default"/>
      <w:sz w:val="24"/>
      <w:szCs w:val="24"/>
      <w:lang w:bidi="ar-SA"/>
    </w:rPr>
  </w:style>
  <w:style w:type="character" w:customStyle="1" w:styleId="category">
    <w:name w:val="category"/>
    <w:uiPriority w:val="99"/>
    <w:rsid w:val="00A45FD9"/>
    <w:rPr>
      <w:rFonts w:ascii="Times New Roman" w:hAnsi="Times New Roman" w:cs="Times New Roman" w:hint="default"/>
    </w:rPr>
  </w:style>
  <w:style w:type="character" w:customStyle="1" w:styleId="arsource">
    <w:name w:val="ar_source"/>
    <w:uiPriority w:val="99"/>
    <w:rsid w:val="00A45FD9"/>
    <w:rPr>
      <w:rFonts w:cs="Times New Roman"/>
    </w:rPr>
  </w:style>
  <w:style w:type="character" w:customStyle="1" w:styleId="arcontent">
    <w:name w:val="ar_content"/>
    <w:uiPriority w:val="99"/>
    <w:rsid w:val="00A45FD9"/>
    <w:rPr>
      <w:rFonts w:cs="Times New Roman"/>
    </w:rPr>
  </w:style>
  <w:style w:type="character" w:customStyle="1" w:styleId="info-subtitle1">
    <w:name w:val="info-subtitle1"/>
    <w:rsid w:val="00A45FD9"/>
    <w:rPr>
      <w:rFonts w:ascii="Tahoma" w:hAnsi="Tahoma" w:cs="Tahoma"/>
      <w:color w:val="800000"/>
      <w:sz w:val="18"/>
      <w:szCs w:val="18"/>
    </w:rPr>
  </w:style>
  <w:style w:type="character" w:customStyle="1" w:styleId="headline21">
    <w:name w:val="headline21"/>
    <w:uiPriority w:val="99"/>
    <w:rsid w:val="00A45FD9"/>
    <w:rPr>
      <w:rFonts w:cs="Arabic Transparent"/>
      <w:b/>
      <w:bCs/>
      <w:color w:val="auto"/>
      <w:sz w:val="21"/>
      <w:szCs w:val="21"/>
      <w:lang w:bidi="ar-SA"/>
    </w:rPr>
  </w:style>
  <w:style w:type="character" w:customStyle="1" w:styleId="fnote1">
    <w:name w:val="fnote1"/>
    <w:uiPriority w:val="99"/>
    <w:rsid w:val="00A45FD9"/>
    <w:rPr>
      <w:rFonts w:ascii="Tahoma" w:hAnsi="Tahoma" w:cs="Tahoma"/>
      <w:color w:val="auto"/>
      <w:sz w:val="13"/>
      <w:szCs w:val="13"/>
    </w:rPr>
  </w:style>
  <w:style w:type="character" w:customStyle="1" w:styleId="pathway">
    <w:name w:val="pathway"/>
    <w:uiPriority w:val="99"/>
    <w:rsid w:val="00A45FD9"/>
    <w:rPr>
      <w:rFonts w:cs="Arabic Transparent"/>
      <w:b/>
      <w:bCs/>
      <w:color w:val="000000"/>
      <w:sz w:val="20"/>
      <w:szCs w:val="20"/>
      <w:lang w:bidi="ar-SA"/>
    </w:rPr>
  </w:style>
  <w:style w:type="character" w:customStyle="1" w:styleId="formatdarkred1">
    <w:name w:val="formatdarkred1"/>
    <w:uiPriority w:val="99"/>
    <w:rsid w:val="00A45FD9"/>
    <w:rPr>
      <w:rFonts w:cs="Simplified Arabic"/>
      <w:color w:val="auto"/>
      <w:sz w:val="24"/>
      <w:szCs w:val="24"/>
      <w:lang w:bidi="ar-SA"/>
    </w:rPr>
  </w:style>
  <w:style w:type="paragraph" w:customStyle="1" w:styleId="pretitle">
    <w:name w:val="pretitle"/>
    <w:basedOn w:val="a2"/>
    <w:uiPriority w:val="99"/>
    <w:rsid w:val="00A45FD9"/>
    <w:pPr>
      <w:widowControl/>
      <w:bidi w:val="0"/>
      <w:spacing w:after="88"/>
      <w:ind w:firstLine="0"/>
      <w:jc w:val="center"/>
    </w:pPr>
    <w:rPr>
      <w:rFonts w:ascii="Times New Roman" w:hAnsi="Times New Roman" w:cs="Traditional Arabic"/>
      <w:b/>
      <w:bCs/>
      <w:color w:val="000000"/>
      <w:sz w:val="25"/>
      <w:szCs w:val="25"/>
      <w:u w:val="single"/>
    </w:rPr>
  </w:style>
  <w:style w:type="numbering" w:customStyle="1" w:styleId="NoList1">
    <w:name w:val="No List1"/>
    <w:next w:val="a5"/>
    <w:semiHidden/>
    <w:rsid w:val="00644408"/>
  </w:style>
  <w:style w:type="character" w:customStyle="1" w:styleId="ecxbodycontent1">
    <w:name w:val="ecxbodycontent1"/>
    <w:basedOn w:val="a3"/>
    <w:rsid w:val="00644408"/>
  </w:style>
  <w:style w:type="paragraph" w:customStyle="1" w:styleId="ecxtit1">
    <w:name w:val="ecxtit1"/>
    <w:basedOn w:val="a2"/>
    <w:rsid w:val="00644408"/>
    <w:pPr>
      <w:widowControl/>
      <w:bidi w:val="0"/>
      <w:spacing w:after="324"/>
      <w:ind w:firstLine="0"/>
      <w:jc w:val="left"/>
    </w:pPr>
    <w:rPr>
      <w:rFonts w:ascii="Times New Roman" w:hAnsi="Times New Roman" w:cs="Times New Roman"/>
      <w:sz w:val="24"/>
      <w:szCs w:val="24"/>
    </w:rPr>
  </w:style>
  <w:style w:type="paragraph" w:customStyle="1" w:styleId="ecxtit3">
    <w:name w:val="ecxtit3"/>
    <w:basedOn w:val="a2"/>
    <w:rsid w:val="00644408"/>
    <w:pPr>
      <w:widowControl/>
      <w:bidi w:val="0"/>
      <w:spacing w:after="324"/>
      <w:ind w:firstLine="0"/>
      <w:jc w:val="left"/>
    </w:pPr>
    <w:rPr>
      <w:rFonts w:ascii="Times New Roman" w:hAnsi="Times New Roman" w:cs="Times New Roman"/>
      <w:sz w:val="24"/>
      <w:szCs w:val="24"/>
    </w:rPr>
  </w:style>
  <w:style w:type="paragraph" w:customStyle="1" w:styleId="ecxmsonormal">
    <w:name w:val="ecxmsonormal"/>
    <w:basedOn w:val="a2"/>
    <w:rsid w:val="00644408"/>
    <w:pPr>
      <w:widowControl/>
      <w:bidi w:val="0"/>
      <w:ind w:firstLine="0"/>
      <w:jc w:val="left"/>
    </w:pPr>
    <w:rPr>
      <w:rFonts w:ascii="Times New Roman" w:hAnsi="Times New Roman" w:cs="Times New Roman"/>
      <w:sz w:val="24"/>
      <w:szCs w:val="24"/>
    </w:rPr>
  </w:style>
  <w:style w:type="character" w:customStyle="1" w:styleId="st1">
    <w:name w:val="st1"/>
    <w:basedOn w:val="a3"/>
    <w:rsid w:val="00644408"/>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5B6CEC"/>
    <w:pPr>
      <w:widowControl/>
      <w:ind w:firstLine="0"/>
      <w:jc w:val="left"/>
    </w:pPr>
    <w:rPr>
      <w:rFonts w:ascii="Times New Roman" w:hAnsi="Times New Roman" w:cs="Times New Roman"/>
      <w:sz w:val="20"/>
      <w:szCs w:val="20"/>
    </w:rPr>
  </w:style>
  <w:style w:type="paragraph" w:customStyle="1" w:styleId="3f1">
    <w:name w:val="تيتر3"/>
    <w:link w:val="3Char2"/>
    <w:rsid w:val="005B6CEC"/>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5B6CEC"/>
    <w:rPr>
      <w:rFonts w:ascii="Times New Roman" w:hAnsi="Times New Roman" w:cs="Traditional Arabic"/>
      <w:bCs/>
      <w:sz w:val="24"/>
      <w:szCs w:val="30"/>
    </w:rPr>
  </w:style>
  <w:style w:type="paragraph" w:customStyle="1" w:styleId="Style">
    <w:name w:val="Style"/>
    <w:rsid w:val="005B6CEC"/>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afffffff5">
    <w:name w:val="سر صفحه اصلي"/>
    <w:basedOn w:val="a2"/>
    <w:rsid w:val="005B6CEC"/>
    <w:pPr>
      <w:widowControl/>
      <w:spacing w:before="120" w:line="14" w:lineRule="auto"/>
      <w:ind w:firstLine="0"/>
    </w:pPr>
    <w:rPr>
      <w:rFonts w:ascii="Times New Roman" w:hAnsi="Times New Roman" w:cs="DanaFajr"/>
      <w:sz w:val="36"/>
      <w:szCs w:val="2"/>
    </w:rPr>
  </w:style>
  <w:style w:type="paragraph" w:customStyle="1" w:styleId="afffffff6">
    <w:name w:val="سرصفحة"/>
    <w:basedOn w:val="a2"/>
    <w:rsid w:val="005B6CEC"/>
    <w:pPr>
      <w:widowControl/>
      <w:bidi w:val="0"/>
      <w:ind w:firstLine="0"/>
      <w:jc w:val="left"/>
    </w:pPr>
    <w:rPr>
      <w:rFonts w:ascii="Times New Roman" w:hAnsi="Times New Roman" w:cs="Abz-2 (Badr)"/>
      <w:szCs w:val="28"/>
    </w:rPr>
  </w:style>
  <w:style w:type="paragraph" w:customStyle="1" w:styleId="afffffff7">
    <w:name w:val="نمط سرصفحة +"/>
    <w:basedOn w:val="afffffff6"/>
    <w:rsid w:val="005B6CEC"/>
    <w:rPr>
      <w:color w:val="FFFFFF"/>
      <w:szCs w:val="2"/>
    </w:rPr>
  </w:style>
  <w:style w:type="paragraph" w:customStyle="1" w:styleId="afffffff8">
    <w:name w:val="الاسم"/>
    <w:basedOn w:val="a2"/>
    <w:rsid w:val="005B6CEC"/>
    <w:pPr>
      <w:widowControl/>
      <w:ind w:firstLine="0"/>
      <w:jc w:val="right"/>
    </w:pPr>
    <w:rPr>
      <w:rFonts w:ascii="Times New Roman" w:hAnsi="Times New Roman" w:cs="Abz-2 (Badr)"/>
      <w:color w:val="FFFFFF"/>
      <w:szCs w:val="2"/>
    </w:rPr>
  </w:style>
  <w:style w:type="paragraph" w:customStyle="1" w:styleId="afffffff9">
    <w:name w:val="سرصفحة +"/>
    <w:basedOn w:val="afffffff7"/>
    <w:rsid w:val="005B6CEC"/>
  </w:style>
  <w:style w:type="paragraph" w:customStyle="1" w:styleId="1f9">
    <w:name w:val="نمط عنوان 1 +"/>
    <w:basedOn w:val="10"/>
    <w:rsid w:val="005B6CEC"/>
    <w:pPr>
      <w:keepLines w:val="0"/>
      <w:widowControl/>
      <w:bidi w:val="0"/>
    </w:pPr>
    <w:rPr>
      <w:rFonts w:ascii="Arial" w:hAnsi="Arial" w:cs="MCS Taybah S_U normal."/>
      <w:bCs/>
      <w:kern w:val="32"/>
      <w:szCs w:val="32"/>
    </w:rPr>
  </w:style>
  <w:style w:type="paragraph" w:customStyle="1" w:styleId="1fa">
    <w:name w:val="نمط نمط عنوان 1 + +"/>
    <w:basedOn w:val="1f9"/>
    <w:rsid w:val="005B6CEC"/>
    <w:rPr>
      <w:sz w:val="40"/>
    </w:rPr>
  </w:style>
  <w:style w:type="paragraph" w:customStyle="1" w:styleId="1fb">
    <w:name w:val="نمط نمط نمط عنوان 1 + + +"/>
    <w:basedOn w:val="1fa"/>
    <w:rsid w:val="005B6CEC"/>
    <w:rPr>
      <w:szCs w:val="40"/>
    </w:rPr>
  </w:style>
  <w:style w:type="paragraph" w:customStyle="1" w:styleId="1fc">
    <w:name w:val="نمط نمط نمط نمط عنوان 1 + + + + مضبوطة"/>
    <w:basedOn w:val="1fb"/>
    <w:rsid w:val="005B6CEC"/>
    <w:pPr>
      <w:jc w:val="both"/>
    </w:pPr>
    <w:rPr>
      <w:rFonts w:cs="Yagut"/>
      <w:bCs w:val="0"/>
      <w:szCs w:val="48"/>
    </w:rPr>
  </w:style>
  <w:style w:type="paragraph" w:customStyle="1" w:styleId="afffffffa">
    <w:name w:val="ثانوى"/>
    <w:rsid w:val="005B6CEC"/>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5B6CEC"/>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5B6CEC"/>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5B6CEC"/>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2CharChar">
    <w:name w:val="Char Char2 Char Char"/>
    <w:basedOn w:val="a2"/>
    <w:rsid w:val="005B6CEC"/>
    <w:pPr>
      <w:widowControl/>
      <w:ind w:firstLine="0"/>
      <w:jc w:val="left"/>
    </w:pPr>
    <w:rPr>
      <w:rFonts w:ascii="Times New Roman" w:hAnsi="Times New Roman" w:cs="Times New Roman"/>
      <w:sz w:val="20"/>
      <w:szCs w:val="20"/>
    </w:rPr>
  </w:style>
  <w:style w:type="paragraph" w:customStyle="1" w:styleId="CharChar1CharChar">
    <w:name w:val="Char Char1 Char Char"/>
    <w:basedOn w:val="a2"/>
    <w:rsid w:val="005B6CEC"/>
    <w:pPr>
      <w:widowControl/>
      <w:ind w:firstLine="0"/>
      <w:jc w:val="left"/>
    </w:pPr>
    <w:rPr>
      <w:rFonts w:ascii="Times New Roman" w:hAnsi="Times New Roman" w:cs="Times New Roman"/>
      <w:sz w:val="20"/>
      <w:szCs w:val="20"/>
    </w:rPr>
  </w:style>
  <w:style w:type="character" w:customStyle="1" w:styleId="CharChar11">
    <w:name w:val="Char Char11"/>
    <w:rsid w:val="005B6CEC"/>
    <w:rPr>
      <w:rFonts w:ascii="Arial" w:hAnsi="Arial" w:cs="Arial"/>
      <w:b/>
      <w:bCs/>
      <w:i/>
      <w:iCs/>
      <w:sz w:val="28"/>
      <w:szCs w:val="28"/>
      <w:lang w:val="en-US" w:eastAsia="en-US" w:bidi="ar-SA"/>
    </w:rPr>
  </w:style>
  <w:style w:type="paragraph" w:customStyle="1" w:styleId="CharCharCharCharCharCharCharCharCharCharCharCharCharCharCharChar1">
    <w:name w:val="Char Char Char Char Char Char Char Char Char Char Char Char Char Char Char Char1"/>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character" w:customStyle="1" w:styleId="CharChar21">
    <w:name w:val="Char Char21"/>
    <w:rsid w:val="005B6CEC"/>
    <w:rPr>
      <w:rFonts w:ascii="Arial" w:hAnsi="Arial" w:cs="Arial"/>
      <w:b/>
      <w:bCs/>
      <w:kern w:val="32"/>
      <w:sz w:val="32"/>
      <w:szCs w:val="32"/>
      <w:lang w:val="en-US" w:eastAsia="en-US" w:bidi="ar-SA"/>
    </w:rPr>
  </w:style>
  <w:style w:type="character" w:customStyle="1" w:styleId="google-src-text1">
    <w:name w:val="google-src-text1"/>
    <w:basedOn w:val="a3"/>
    <w:uiPriority w:val="99"/>
    <w:rsid w:val="00057E24"/>
    <w:rPr>
      <w:rFonts w:cs="Times New Roman"/>
      <w:vanish/>
    </w:rPr>
  </w:style>
  <w:style w:type="character" w:customStyle="1" w:styleId="bookmarking">
    <w:name w:val="bookmarking"/>
    <w:basedOn w:val="a3"/>
    <w:uiPriority w:val="99"/>
    <w:rsid w:val="00057E24"/>
    <w:rPr>
      <w:rFonts w:cs="Times New Roman"/>
    </w:rPr>
  </w:style>
  <w:style w:type="character" w:customStyle="1" w:styleId="apple-tab-span">
    <w:name w:val="apple-tab-span"/>
    <w:basedOn w:val="a3"/>
    <w:rsid w:val="00057E24"/>
    <w:rPr>
      <w:rFonts w:cs="Times New Roman"/>
    </w:rPr>
  </w:style>
  <w:style w:type="character" w:customStyle="1" w:styleId="paragraphtitle">
    <w:name w:val="paragraphtitle"/>
    <w:basedOn w:val="a3"/>
    <w:uiPriority w:val="99"/>
    <w:rsid w:val="00057E24"/>
    <w:rPr>
      <w:rFonts w:cs="Times New Roman"/>
    </w:rPr>
  </w:style>
  <w:style w:type="character" w:customStyle="1" w:styleId="Charfff3">
    <w:name w:val="بلا تباعد Char"/>
    <w:basedOn w:val="a3"/>
    <w:link w:val="afffffffb"/>
    <w:uiPriority w:val="1"/>
    <w:locked/>
    <w:rsid w:val="00057E24"/>
    <w:rPr>
      <w:rFonts w:asciiTheme="majorHAnsi" w:eastAsiaTheme="majorEastAsia" w:hAnsiTheme="majorHAnsi" w:cstheme="majorBidi"/>
      <w:lang w:bidi="en-US"/>
    </w:rPr>
  </w:style>
  <w:style w:type="paragraph" w:styleId="afffffffb">
    <w:name w:val="No Spacing"/>
    <w:basedOn w:val="a2"/>
    <w:link w:val="Charfff3"/>
    <w:uiPriority w:val="1"/>
    <w:qFormat/>
    <w:rsid w:val="00057E24"/>
    <w:pPr>
      <w:widowControl/>
      <w:bidi w:val="0"/>
      <w:ind w:firstLine="0"/>
      <w:jc w:val="left"/>
    </w:pPr>
    <w:rPr>
      <w:rFonts w:asciiTheme="majorHAnsi" w:eastAsiaTheme="majorEastAsia" w:hAnsiTheme="majorHAnsi" w:cstheme="majorBidi"/>
      <w:sz w:val="20"/>
      <w:szCs w:val="20"/>
      <w:lang w:bidi="en-US"/>
    </w:rPr>
  </w:style>
  <w:style w:type="paragraph" w:styleId="afffffffc">
    <w:name w:val="Quote"/>
    <w:basedOn w:val="a2"/>
    <w:next w:val="a2"/>
    <w:link w:val="Charfff4"/>
    <w:uiPriority w:val="29"/>
    <w:qFormat/>
    <w:rsid w:val="00057E24"/>
    <w:pPr>
      <w:widowControl/>
      <w:bidi w:val="0"/>
      <w:spacing w:after="200" w:line="252" w:lineRule="auto"/>
      <w:ind w:firstLine="0"/>
      <w:jc w:val="left"/>
    </w:pPr>
    <w:rPr>
      <w:rFonts w:asciiTheme="majorHAnsi" w:eastAsiaTheme="majorEastAsia" w:hAnsiTheme="majorHAnsi" w:cstheme="majorBidi"/>
      <w:i/>
      <w:iCs/>
      <w:sz w:val="22"/>
      <w:szCs w:val="22"/>
      <w:lang w:bidi="en-US"/>
    </w:rPr>
  </w:style>
  <w:style w:type="character" w:customStyle="1" w:styleId="Charfff4">
    <w:name w:val="اقتباس Char"/>
    <w:basedOn w:val="a3"/>
    <w:link w:val="afffffffc"/>
    <w:uiPriority w:val="29"/>
    <w:rsid w:val="00057E24"/>
    <w:rPr>
      <w:rFonts w:asciiTheme="majorHAnsi" w:eastAsiaTheme="majorEastAsia" w:hAnsiTheme="majorHAnsi" w:cstheme="majorBidi"/>
      <w:i/>
      <w:iCs/>
      <w:sz w:val="22"/>
      <w:szCs w:val="22"/>
      <w:lang w:bidi="en-US"/>
    </w:rPr>
  </w:style>
  <w:style w:type="paragraph" w:styleId="afffffffd">
    <w:name w:val="Intense Quote"/>
    <w:basedOn w:val="a2"/>
    <w:next w:val="a2"/>
    <w:link w:val="Charfff5"/>
    <w:uiPriority w:val="30"/>
    <w:qFormat/>
    <w:rsid w:val="00057E24"/>
    <w:pPr>
      <w:widowControl/>
      <w:pBdr>
        <w:top w:val="dotted" w:sz="2" w:space="10" w:color="632423" w:themeColor="accent2" w:themeShade="80"/>
        <w:bottom w:val="dotted" w:sz="2" w:space="4" w:color="632423" w:themeColor="accent2" w:themeShade="80"/>
      </w:pBdr>
      <w:bidi w:val="0"/>
      <w:spacing w:before="160" w:after="200" w:line="300" w:lineRule="auto"/>
      <w:ind w:left="1440" w:right="1440" w:firstLine="0"/>
      <w:jc w:val="left"/>
    </w:pPr>
    <w:rPr>
      <w:rFonts w:asciiTheme="majorHAnsi" w:eastAsiaTheme="majorEastAsia" w:hAnsiTheme="majorHAnsi" w:cstheme="majorBidi"/>
      <w:caps/>
      <w:color w:val="622423" w:themeColor="accent2" w:themeShade="7F"/>
      <w:spacing w:val="5"/>
      <w:sz w:val="20"/>
      <w:szCs w:val="20"/>
      <w:lang w:bidi="en-US"/>
    </w:rPr>
  </w:style>
  <w:style w:type="character" w:customStyle="1" w:styleId="Charfff5">
    <w:name w:val="اقتباس مكثف Char"/>
    <w:basedOn w:val="a3"/>
    <w:link w:val="afffffffd"/>
    <w:uiPriority w:val="30"/>
    <w:rsid w:val="00057E24"/>
    <w:rPr>
      <w:rFonts w:asciiTheme="majorHAnsi" w:eastAsiaTheme="majorEastAsia" w:hAnsiTheme="majorHAnsi" w:cstheme="majorBidi"/>
      <w:caps/>
      <w:color w:val="622423" w:themeColor="accent2" w:themeShade="7F"/>
      <w:spacing w:val="5"/>
      <w:lang w:bidi="en-US"/>
    </w:rPr>
  </w:style>
  <w:style w:type="character" w:styleId="afffffffe">
    <w:name w:val="Subtle Emphasis"/>
    <w:uiPriority w:val="19"/>
    <w:qFormat/>
    <w:rsid w:val="00057E24"/>
    <w:rPr>
      <w:i/>
      <w:iCs/>
    </w:rPr>
  </w:style>
  <w:style w:type="character" w:styleId="affffffff">
    <w:name w:val="Intense Emphasis"/>
    <w:uiPriority w:val="21"/>
    <w:qFormat/>
    <w:rsid w:val="00057E24"/>
    <w:rPr>
      <w:i/>
      <w:iCs/>
      <w:caps/>
      <w:spacing w:val="10"/>
      <w:sz w:val="20"/>
      <w:szCs w:val="20"/>
    </w:rPr>
  </w:style>
  <w:style w:type="character" w:styleId="affffffff0">
    <w:name w:val="Subtle Reference"/>
    <w:basedOn w:val="a3"/>
    <w:uiPriority w:val="31"/>
    <w:qFormat/>
    <w:rsid w:val="00057E24"/>
    <w:rPr>
      <w:rFonts w:asciiTheme="minorHAnsi" w:eastAsiaTheme="minorEastAsia" w:hAnsiTheme="minorHAnsi" w:cstheme="minorBidi" w:hint="default"/>
      <w:i/>
      <w:iCs/>
      <w:color w:val="622423" w:themeColor="accent2" w:themeShade="7F"/>
    </w:rPr>
  </w:style>
  <w:style w:type="character" w:styleId="affffffff1">
    <w:name w:val="Intense Reference"/>
    <w:uiPriority w:val="32"/>
    <w:qFormat/>
    <w:rsid w:val="00057E24"/>
    <w:rPr>
      <w:rFonts w:asciiTheme="minorHAnsi" w:eastAsiaTheme="minorEastAsia" w:hAnsiTheme="minorHAnsi" w:cstheme="minorBidi" w:hint="default"/>
      <w:b/>
      <w:bCs/>
      <w:i/>
      <w:iCs/>
      <w:color w:val="622423" w:themeColor="accent2" w:themeShade="7F"/>
    </w:rPr>
  </w:style>
  <w:style w:type="character" w:styleId="affffffff2">
    <w:name w:val="Book Title"/>
    <w:uiPriority w:val="33"/>
    <w:qFormat/>
    <w:rsid w:val="00057E24"/>
    <w:rPr>
      <w:caps/>
      <w:color w:val="622423" w:themeColor="accent2" w:themeShade="7F"/>
      <w:spacing w:val="5"/>
      <w:u w:color="622423" w:themeColor="accent2" w:themeShade="7F"/>
    </w:rPr>
  </w:style>
  <w:style w:type="character" w:customStyle="1" w:styleId="conferencetitle1">
    <w:name w:val="conferencetitle1"/>
    <w:rsid w:val="00057E24"/>
    <w:rPr>
      <w:b/>
      <w:bCs/>
      <w:color w:val="5D5D2A"/>
      <w:sz w:val="22"/>
      <w:szCs w:val="22"/>
      <w:rtl/>
    </w:rPr>
  </w:style>
  <w:style w:type="character" w:customStyle="1" w:styleId="fbunderline">
    <w:name w:val="fbunderline"/>
    <w:basedOn w:val="a3"/>
    <w:rsid w:val="00057E24"/>
  </w:style>
  <w:style w:type="character" w:customStyle="1" w:styleId="messagebody">
    <w:name w:val="messagebody"/>
    <w:basedOn w:val="a3"/>
    <w:rsid w:val="00057E24"/>
  </w:style>
  <w:style w:type="character" w:customStyle="1" w:styleId="textexposedshow">
    <w:name w:val="text_exposed_show"/>
    <w:basedOn w:val="a3"/>
    <w:rsid w:val="00057E24"/>
  </w:style>
  <w:style w:type="character" w:customStyle="1" w:styleId="commentbody">
    <w:name w:val="commentbody"/>
    <w:basedOn w:val="a3"/>
    <w:rsid w:val="00057E24"/>
  </w:style>
  <w:style w:type="paragraph" w:styleId="affffffff3">
    <w:name w:val="caption"/>
    <w:basedOn w:val="a2"/>
    <w:next w:val="a2"/>
    <w:uiPriority w:val="35"/>
    <w:semiHidden/>
    <w:unhideWhenUsed/>
    <w:qFormat/>
    <w:rsid w:val="00057E24"/>
    <w:pPr>
      <w:widowControl/>
      <w:bidi w:val="0"/>
      <w:spacing w:after="200" w:line="252" w:lineRule="auto"/>
      <w:ind w:firstLine="0"/>
      <w:jc w:val="left"/>
    </w:pPr>
    <w:rPr>
      <w:rFonts w:ascii="Cambria" w:hAnsi="Cambria" w:cs="Times New Roman"/>
      <w:caps/>
      <w:spacing w:val="10"/>
      <w:sz w:val="18"/>
      <w:szCs w:val="18"/>
      <w:lang w:bidi="en-US"/>
    </w:rPr>
  </w:style>
  <w:style w:type="character" w:customStyle="1" w:styleId="translationeligibleusermessage">
    <w:name w:val="translationeligibleusermessage"/>
    <w:basedOn w:val="a3"/>
    <w:rsid w:val="00057E24"/>
  </w:style>
  <w:style w:type="character" w:customStyle="1" w:styleId="hascaption">
    <w:name w:val="hascaption"/>
    <w:basedOn w:val="a3"/>
    <w:rsid w:val="00057E24"/>
  </w:style>
  <w:style w:type="character" w:customStyle="1" w:styleId="edit-big">
    <w:name w:val="edit-big"/>
    <w:basedOn w:val="a3"/>
    <w:rsid w:val="00057E24"/>
  </w:style>
  <w:style w:type="character" w:customStyle="1" w:styleId="search-keys">
    <w:name w:val="search-keys"/>
    <w:basedOn w:val="a3"/>
    <w:rsid w:val="00057E24"/>
  </w:style>
  <w:style w:type="character" w:customStyle="1" w:styleId="usercontent">
    <w:name w:val="usercontent"/>
    <w:basedOn w:val="a3"/>
    <w:rsid w:val="00057E24"/>
  </w:style>
  <w:style w:type="character" w:customStyle="1" w:styleId="uficommentbody">
    <w:name w:val="uficommentbody"/>
    <w:basedOn w:val="a3"/>
    <w:rsid w:val="00057E24"/>
  </w:style>
  <w:style w:type="character" w:customStyle="1" w:styleId="articlecontent">
    <w:name w:val="articlecontent"/>
    <w:basedOn w:val="a3"/>
    <w:rsid w:val="00057E24"/>
  </w:style>
  <w:style w:type="character" w:customStyle="1" w:styleId="bodycontent">
    <w:name w:val="bodycontent"/>
    <w:basedOn w:val="a3"/>
    <w:rsid w:val="00057E24"/>
  </w:style>
  <w:style w:type="character" w:customStyle="1" w:styleId="postbody">
    <w:name w:val="postbody"/>
    <w:basedOn w:val="a3"/>
    <w:rsid w:val="00057E24"/>
  </w:style>
  <w:style w:type="character" w:customStyle="1" w:styleId="apple-converted-space">
    <w:name w:val="apple-converted-space"/>
    <w:basedOn w:val="a3"/>
    <w:rsid w:val="00057E24"/>
  </w:style>
  <w:style w:type="character" w:customStyle="1" w:styleId="text-bold">
    <w:name w:val="text-bold"/>
    <w:basedOn w:val="a3"/>
    <w:rsid w:val="00057E24"/>
  </w:style>
  <w:style w:type="character" w:customStyle="1" w:styleId="h">
    <w:name w:val="h"/>
    <w:basedOn w:val="a3"/>
    <w:rsid w:val="00057E24"/>
  </w:style>
  <w:style w:type="character" w:customStyle="1" w:styleId="fnote">
    <w:name w:val="fnote"/>
    <w:basedOn w:val="a3"/>
    <w:rsid w:val="00057E24"/>
  </w:style>
  <w:style w:type="character" w:customStyle="1" w:styleId="quran">
    <w:name w:val="quran"/>
    <w:basedOn w:val="a3"/>
    <w:rsid w:val="00057E24"/>
  </w:style>
  <w:style w:type="character" w:customStyle="1" w:styleId="rfdalaem">
    <w:name w:val="rfdalaem"/>
    <w:basedOn w:val="a3"/>
    <w:rsid w:val="00057E24"/>
  </w:style>
  <w:style w:type="character" w:customStyle="1" w:styleId="rfdaie">
    <w:name w:val="rfdaie"/>
    <w:basedOn w:val="a3"/>
    <w:rsid w:val="00057E24"/>
  </w:style>
  <w:style w:type="character" w:customStyle="1" w:styleId="reference-text">
    <w:name w:val="reference-text"/>
    <w:basedOn w:val="a3"/>
    <w:rsid w:val="00057E24"/>
  </w:style>
  <w:style w:type="character" w:customStyle="1" w:styleId="index">
    <w:name w:val="index"/>
    <w:basedOn w:val="a3"/>
    <w:rsid w:val="00057E24"/>
  </w:style>
  <w:style w:type="character" w:customStyle="1" w:styleId="bodylabel">
    <w:name w:val="bodylabel"/>
    <w:basedOn w:val="a3"/>
    <w:rsid w:val="00057E24"/>
  </w:style>
  <w:style w:type="paragraph" w:customStyle="1" w:styleId="tit3">
    <w:name w:val="tit3"/>
    <w:basedOn w:val="a2"/>
    <w:rsid w:val="00057E24"/>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fn">
    <w:name w:val="fn"/>
    <w:basedOn w:val="a3"/>
    <w:rsid w:val="00057E24"/>
  </w:style>
  <w:style w:type="character" w:customStyle="1" w:styleId="hadith">
    <w:name w:val="hadith"/>
    <w:basedOn w:val="a3"/>
    <w:rsid w:val="00057E24"/>
  </w:style>
  <w:style w:type="character" w:customStyle="1" w:styleId="time1">
    <w:name w:val="time1"/>
    <w:rsid w:val="00057E24"/>
    <w:rPr>
      <w:rFonts w:ascii="Arial" w:hAnsi="Arial" w:cs="Arial" w:hint="default"/>
      <w:color w:val="59430C"/>
      <w:sz w:val="16"/>
      <w:szCs w:val="16"/>
    </w:rPr>
  </w:style>
  <w:style w:type="character" w:customStyle="1" w:styleId="apple-style-span">
    <w:name w:val="apple-style-span"/>
    <w:basedOn w:val="a3"/>
    <w:rsid w:val="00057E24"/>
  </w:style>
  <w:style w:type="character" w:customStyle="1" w:styleId="shiaaye">
    <w:name w:val="shiaaye"/>
    <w:basedOn w:val="a3"/>
    <w:rsid w:val="00057E24"/>
  </w:style>
  <w:style w:type="character" w:customStyle="1" w:styleId="style10">
    <w:name w:val="style1"/>
    <w:basedOn w:val="a3"/>
    <w:rsid w:val="00057E24"/>
  </w:style>
  <w:style w:type="paragraph" w:customStyle="1" w:styleId="shiafoot">
    <w:name w:val="shiafoot"/>
    <w:basedOn w:val="a2"/>
    <w:rsid w:val="00057E24"/>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info-subtitle">
    <w:name w:val="info-subtitle"/>
    <w:basedOn w:val="a3"/>
    <w:rsid w:val="00057E24"/>
  </w:style>
  <w:style w:type="character" w:customStyle="1" w:styleId="edit">
    <w:name w:val="edit"/>
    <w:basedOn w:val="a3"/>
    <w:rsid w:val="00057E24"/>
  </w:style>
  <w:style w:type="character" w:customStyle="1" w:styleId="qurancolor">
    <w:name w:val="quran_color"/>
    <w:basedOn w:val="a3"/>
    <w:rsid w:val="00057E24"/>
  </w:style>
  <w:style w:type="character" w:customStyle="1" w:styleId="quranbrackets">
    <w:name w:val="quran_brackets"/>
    <w:basedOn w:val="a3"/>
    <w:rsid w:val="00057E24"/>
  </w:style>
  <w:style w:type="character" w:customStyle="1" w:styleId="artext1">
    <w:name w:val="artext1"/>
    <w:basedOn w:val="a3"/>
    <w:rsid w:val="00057E24"/>
  </w:style>
  <w:style w:type="character" w:customStyle="1" w:styleId="grame">
    <w:name w:val="grame"/>
    <w:basedOn w:val="a3"/>
    <w:rsid w:val="00057E24"/>
  </w:style>
  <w:style w:type="paragraph" w:customStyle="1" w:styleId="arttextmain">
    <w:name w:val="arttextmain"/>
    <w:basedOn w:val="a2"/>
    <w:rsid w:val="00057E24"/>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Charfff6">
    <w:name w:val="رأس صفحة Char"/>
    <w:uiPriority w:val="99"/>
    <w:semiHidden/>
    <w:rsid w:val="00057E24"/>
    <w:rPr>
      <w:rFonts w:ascii="Arial" w:eastAsia="Times New Roman" w:hAnsi="Arial"/>
      <w:sz w:val="36"/>
      <w:szCs w:val="36"/>
      <w:lang w:eastAsia="ar-SA"/>
    </w:rPr>
  </w:style>
  <w:style w:type="character" w:customStyle="1" w:styleId="Charfff7">
    <w:name w:val="تذييل صفحة Char"/>
    <w:uiPriority w:val="99"/>
    <w:rsid w:val="00057E24"/>
    <w:rPr>
      <w:rFonts w:ascii="Arial" w:hAnsi="Arial"/>
      <w:sz w:val="36"/>
      <w:szCs w:val="36"/>
      <w:lang w:eastAsia="ar-SA"/>
    </w:rPr>
  </w:style>
  <w:style w:type="paragraph" w:customStyle="1" w:styleId="CharCharCharCharCharCharCharCharCharCharCharCharCharCharCharCharCharChar">
    <w:name w:val="Char Char Char Char Char Char Char Char Char Char Char Char Char Char Char Char Char Char"/>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2">
    <w:name w:val="Char Char1 Char Char Char Char Char Char Char Char Char Char Char Char Char Char Char Char2"/>
    <w:basedOn w:val="a2"/>
    <w:rsid w:val="00057E24"/>
    <w:pPr>
      <w:widowControl/>
      <w:ind w:firstLine="0"/>
      <w:jc w:val="left"/>
    </w:pPr>
    <w:rPr>
      <w:rFonts w:ascii="Times New Roman" w:hAnsi="Times New Roman" w:cs="Times New Roman"/>
      <w:sz w:val="20"/>
      <w:szCs w:val="20"/>
    </w:rPr>
  </w:style>
  <w:style w:type="paragraph" w:customStyle="1" w:styleId="CharChar1CharCharCharChar">
    <w:name w:val="Char Char1 Char Char Char Char"/>
    <w:basedOn w:val="a2"/>
    <w:rsid w:val="00057E24"/>
    <w:pPr>
      <w:widowControl/>
      <w:ind w:firstLine="0"/>
      <w:jc w:val="left"/>
    </w:pPr>
    <w:rPr>
      <w:rFonts w:ascii="Times New Roman" w:hAnsi="Times New Roman" w:cs="Times New Roman"/>
      <w:sz w:val="20"/>
      <w:szCs w:val="20"/>
    </w:rPr>
  </w:style>
  <w:style w:type="paragraph" w:customStyle="1" w:styleId="CharChar1CharCharCharCharCharChar">
    <w:name w:val="Char Char1 Char Char Char Char Char Char"/>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1">
    <w:name w:val="Char Char1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CharChar1CharChar1">
    <w:name w:val="Char Char1 Char Char1"/>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1">
    <w:name w:val="Char Char1 Char Char Char Char Char Char Char Char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1">
    <w:name w:val="Char Char1 Char Char Char Char Char Char Char Char Char Char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CharCharCharCharCharCharCharCharCharChar1">
    <w:name w:val="Char Char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msolistparagraph0">
    <w:name w:val="msolistparagraph"/>
    <w:basedOn w:val="a2"/>
    <w:rsid w:val="00057E24"/>
    <w:pPr>
      <w:widowControl/>
      <w:spacing w:after="200" w:line="276" w:lineRule="auto"/>
      <w:ind w:left="720" w:firstLine="0"/>
      <w:contextualSpacing/>
      <w:jc w:val="left"/>
    </w:pPr>
    <w:rPr>
      <w:rFonts w:ascii="Calibri" w:hAnsi="Calibri" w:cs="Arial"/>
      <w:sz w:val="22"/>
      <w:szCs w:val="22"/>
    </w:rPr>
  </w:style>
  <w:style w:type="paragraph" w:customStyle="1" w:styleId="HeaderEven">
    <w:name w:val="Header Even"/>
    <w:basedOn w:val="afffffffb"/>
    <w:qFormat/>
    <w:rsid w:val="00057E24"/>
    <w:pPr>
      <w:pBdr>
        <w:bottom w:val="single" w:sz="4" w:space="1" w:color="4F81BD"/>
      </w:pBdr>
    </w:pPr>
    <w:rPr>
      <w:rFonts w:ascii="Calibri" w:eastAsia="Calibri" w:hAnsi="Calibri" w:cs="Times New Roman"/>
      <w:b/>
      <w:color w:val="1F497D"/>
      <w:lang w:eastAsia="ja-JP" w:bidi="ar-SA"/>
    </w:rPr>
  </w:style>
  <w:style w:type="character" w:customStyle="1" w:styleId="search-keys1">
    <w:name w:val="search-keys1"/>
    <w:rsid w:val="00057E24"/>
    <w:rPr>
      <w:color w:val="FF0000"/>
    </w:rPr>
  </w:style>
  <w:style w:type="character" w:customStyle="1" w:styleId="googqs-tidbit">
    <w:name w:val="goog_qs-tidbit"/>
    <w:basedOn w:val="a3"/>
    <w:rsid w:val="00057E24"/>
  </w:style>
  <w:style w:type="table" w:customStyle="1" w:styleId="1fe">
    <w:name w:val="شبكة جدول1"/>
    <w:basedOn w:val="a4"/>
    <w:next w:val="ad"/>
    <w:rsid w:val="00057E24"/>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allery1">
    <w:name w:val="gallery1"/>
    <w:basedOn w:val="a3"/>
    <w:rsid w:val="00057E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Body Text"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66617"/>
    <w:pPr>
      <w:widowControl w:val="0"/>
      <w:bidi/>
      <w:spacing w:line="390" w:lineRule="exact"/>
      <w:ind w:firstLine="562"/>
      <w:jc w:val="both"/>
    </w:pPr>
    <w:rPr>
      <w:rFonts w:ascii="Times" w:hAnsi="Times" w:cs="AL-Mohanad"/>
      <w:sz w:val="28"/>
      <w:szCs w:val="27"/>
    </w:rPr>
  </w:style>
  <w:style w:type="paragraph" w:styleId="10">
    <w:name w:val="heading 1"/>
    <w:aliases w:val="Heading 2 Char1,Char Char Char Char"/>
    <w:basedOn w:val="a2"/>
    <w:next w:val="a2"/>
    <w:link w:val="1Char"/>
    <w:uiPriority w:val="9"/>
    <w:qFormat/>
    <w:rsid w:val="002647C9"/>
    <w:pPr>
      <w:keepNext/>
      <w:keepLines/>
      <w:ind w:firstLine="0"/>
      <w:jc w:val="center"/>
      <w:outlineLvl w:val="0"/>
    </w:pPr>
    <w:rPr>
      <w:rFonts w:cs="AL-Mateen"/>
      <w:b/>
      <w:sz w:val="32"/>
      <w:szCs w:val="48"/>
    </w:rPr>
  </w:style>
  <w:style w:type="paragraph" w:styleId="20">
    <w:name w:val="heading 2"/>
    <w:basedOn w:val="a2"/>
    <w:next w:val="a2"/>
    <w:link w:val="2Char"/>
    <w:uiPriority w:val="9"/>
    <w:unhideWhenUsed/>
    <w:qFormat/>
    <w:rsid w:val="002647C9"/>
    <w:pPr>
      <w:ind w:firstLine="0"/>
      <w:jc w:val="center"/>
      <w:outlineLvl w:val="1"/>
    </w:pPr>
    <w:rPr>
      <w:rFonts w:cs="AL-Mateen"/>
      <w:color w:val="000000"/>
      <w:szCs w:val="32"/>
    </w:rPr>
  </w:style>
  <w:style w:type="paragraph" w:styleId="31">
    <w:name w:val="heading 3"/>
    <w:basedOn w:val="a2"/>
    <w:next w:val="a2"/>
    <w:link w:val="3Char"/>
    <w:uiPriority w:val="9"/>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uiPriority w:val="9"/>
    <w:qFormat/>
    <w:rsid w:val="00801478"/>
    <w:pPr>
      <w:keepNext/>
      <w:tabs>
        <w:tab w:val="num" w:pos="1800"/>
      </w:tabs>
      <w:ind w:left="1800" w:hanging="360"/>
      <w:jc w:val="center"/>
      <w:outlineLvl w:val="3"/>
    </w:pPr>
    <w:rPr>
      <w:rFonts w:ascii="Times New Roman" w:hAnsi="Times New Roman" w:cs="ALAWI-3-62"/>
      <w:color w:val="008000"/>
      <w:szCs w:val="28"/>
    </w:rPr>
  </w:style>
  <w:style w:type="paragraph" w:styleId="51">
    <w:name w:val="heading 5"/>
    <w:basedOn w:val="a2"/>
    <w:next w:val="a2"/>
    <w:link w:val="5Char"/>
    <w:uiPriority w:val="9"/>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ind w:left="1800" w:hanging="360"/>
      <w:jc w:val="center"/>
      <w:outlineLvl w:val="5"/>
    </w:pPr>
    <w:rPr>
      <w:rFonts w:ascii="Times New Roman" w:hAnsi="Times New Roman"/>
      <w:b/>
      <w:bCs/>
      <w:color w:val="000000"/>
      <w:szCs w:val="40"/>
    </w:rPr>
  </w:style>
  <w:style w:type="paragraph" w:styleId="7">
    <w:name w:val="heading 7"/>
    <w:basedOn w:val="a2"/>
    <w:next w:val="a2"/>
    <w:link w:val="7Char"/>
    <w:uiPriority w:val="9"/>
    <w:qFormat/>
    <w:rsid w:val="00801478"/>
    <w:pPr>
      <w:keepNext/>
      <w:tabs>
        <w:tab w:val="num" w:pos="1800"/>
      </w:tabs>
      <w:ind w:left="1800" w:hanging="360"/>
      <w:jc w:val="right"/>
      <w:outlineLvl w:val="6"/>
    </w:pPr>
    <w:rPr>
      <w:rFonts w:ascii="Times New Roman" w:hAnsi="Times New Roman" w:cs="Traditional Arabic"/>
      <w:sz w:val="30"/>
      <w:szCs w:val="2"/>
    </w:rPr>
  </w:style>
  <w:style w:type="paragraph" w:styleId="8">
    <w:name w:val="heading 8"/>
    <w:basedOn w:val="a2"/>
    <w:next w:val="a2"/>
    <w:link w:val="8Char"/>
    <w:uiPriority w:val="9"/>
    <w:qFormat/>
    <w:rsid w:val="00801478"/>
    <w:pPr>
      <w:keepNext/>
      <w:tabs>
        <w:tab w:val="num" w:pos="1800"/>
      </w:tabs>
      <w:ind w:left="1800" w:hanging="360"/>
      <w:jc w:val="lowKashida"/>
      <w:outlineLvl w:val="7"/>
    </w:pPr>
    <w:rPr>
      <w:rFonts w:ascii="Times New Roman" w:hAnsi="Times New Roman" w:cs="Simplified Arabic"/>
      <w:b/>
      <w:bCs/>
      <w:szCs w:val="28"/>
    </w:rPr>
  </w:style>
  <w:style w:type="paragraph" w:styleId="9">
    <w:name w:val="heading 9"/>
    <w:basedOn w:val="a2"/>
    <w:next w:val="a2"/>
    <w:link w:val="9Char"/>
    <w:uiPriority w:val="9"/>
    <w:qFormat/>
    <w:rsid w:val="00801478"/>
    <w:pPr>
      <w:keepNext/>
      <w:tabs>
        <w:tab w:val="num" w:pos="1800"/>
      </w:tabs>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uiPriority w:val="9"/>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Char"/>
    <w:basedOn w:val="a2"/>
    <w:link w:val="Char1"/>
    <w:uiPriority w:val="99"/>
    <w:unhideWhenUsed/>
    <w:rsid w:val="0016440C"/>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16440C"/>
    <w:rPr>
      <w:sz w:val="20"/>
      <w:szCs w:val="20"/>
    </w:rPr>
  </w:style>
  <w:style w:type="character" w:customStyle="1" w:styleId="Char2">
    <w:name w:val="نص تعليق ختامي Char"/>
    <w:link w:val="aa"/>
    <w:uiPriority w:val="99"/>
    <w:rsid w:val="0016440C"/>
    <w:rPr>
      <w:rFonts w:ascii="Times" w:hAnsi="Times" w:cs="Mosawi"/>
      <w:sz w:val="20"/>
      <w:szCs w:val="20"/>
    </w:rPr>
  </w:style>
  <w:style w:type="character" w:styleId="ab">
    <w:name w:val="footnote reference"/>
    <w:aliases w:val="حاشية سفلية,AA Footnote"/>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4"/>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iPriority w:val="99"/>
    <w:unhideWhenUsed/>
    <w:rsid w:val="00564F6B"/>
    <w:rPr>
      <w:rFonts w:ascii="Times New Roman" w:hAnsi="Times New Roman" w:cs="Times New Roman"/>
      <w:sz w:val="24"/>
      <w:szCs w:val="24"/>
    </w:rPr>
  </w:style>
  <w:style w:type="paragraph" w:styleId="af0">
    <w:name w:val="Plain Text"/>
    <w:basedOn w:val="a2"/>
    <w:link w:val="Char3"/>
    <w:uiPriority w:val="99"/>
    <w:unhideWhenUsed/>
    <w:rsid w:val="00564F6B"/>
    <w:rPr>
      <w:rFonts w:ascii="Consolas" w:hAnsi="Consolas"/>
      <w:sz w:val="21"/>
      <w:szCs w:val="21"/>
    </w:rPr>
  </w:style>
  <w:style w:type="character" w:customStyle="1" w:styleId="Char3">
    <w:name w:val="نص عادي Char"/>
    <w:link w:val="af0"/>
    <w:uiPriority w:val="99"/>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uiPriority w:val="9"/>
    <w:rsid w:val="00801478"/>
    <w:rPr>
      <w:rFonts w:ascii="Times New Roman" w:eastAsia="Times New Roman" w:hAnsi="Times New Roman" w:cs="Traditional Arabic"/>
      <w:sz w:val="30"/>
      <w:szCs w:val="2"/>
    </w:rPr>
  </w:style>
  <w:style w:type="character" w:customStyle="1" w:styleId="8Char">
    <w:name w:val="عنوان 8 Char"/>
    <w:link w:val="8"/>
    <w:uiPriority w:val="9"/>
    <w:rsid w:val="00801478"/>
    <w:rPr>
      <w:rFonts w:ascii="Times New Roman" w:eastAsia="Times New Roman" w:hAnsi="Times New Roman" w:cs="Simplified Arabic"/>
      <w:b/>
      <w:bCs/>
      <w:sz w:val="28"/>
      <w:szCs w:val="28"/>
    </w:rPr>
  </w:style>
  <w:style w:type="character" w:customStyle="1" w:styleId="9Char">
    <w:name w:val="عنوان 9 Char"/>
    <w:link w:val="9"/>
    <w:uiPriority w:val="9"/>
    <w:rsid w:val="00801478"/>
    <w:rPr>
      <w:rFonts w:ascii="Times New Roman" w:eastAsia="Times New Roman" w:hAnsi="Times New Roman" w:cs="Simplified Arabic"/>
      <w:b/>
      <w:bCs/>
      <w:sz w:val="28"/>
      <w:szCs w:val="28"/>
    </w:rPr>
  </w:style>
  <w:style w:type="paragraph" w:styleId="af2">
    <w:name w:val="Title"/>
    <w:basedOn w:val="a2"/>
    <w:link w:val="Char4"/>
    <w:uiPriority w:val="10"/>
    <w:qFormat/>
    <w:rsid w:val="00801478"/>
    <w:pPr>
      <w:widowControl/>
      <w:ind w:firstLine="0"/>
      <w:jc w:val="center"/>
    </w:pPr>
    <w:rPr>
      <w:rFonts w:ascii="Times New Roman" w:hAnsi="Times New Roman" w:cs="PT Bold Broken"/>
      <w:b/>
      <w:bCs/>
      <w:sz w:val="40"/>
      <w:szCs w:val="40"/>
      <w:lang w:eastAsia="ar-SA"/>
    </w:rPr>
  </w:style>
  <w:style w:type="character" w:customStyle="1" w:styleId="Char4">
    <w:name w:val="العنوان Char"/>
    <w:link w:val="af2"/>
    <w:uiPriority w:val="10"/>
    <w:rsid w:val="00801478"/>
    <w:rPr>
      <w:rFonts w:ascii="Times New Roman" w:eastAsia="Times New Roman" w:hAnsi="Times New Roman" w:cs="PT Bold Broken"/>
      <w:b/>
      <w:bCs/>
      <w:sz w:val="40"/>
      <w:szCs w:val="40"/>
      <w:lang w:eastAsia="ar-SA"/>
    </w:rPr>
  </w:style>
  <w:style w:type="paragraph" w:styleId="af3">
    <w:name w:val="Body Text"/>
    <w:basedOn w:val="a2"/>
    <w:link w:val="Char5"/>
    <w:uiPriority w:val="99"/>
    <w:semiHidden/>
    <w:rsid w:val="00801478"/>
    <w:pPr>
      <w:widowControl/>
      <w:ind w:firstLine="0"/>
      <w:jc w:val="lowKashida"/>
    </w:pPr>
    <w:rPr>
      <w:rFonts w:ascii="Times New Roman" w:hAnsi="Times New Roman" w:cs="Arabic Transparent"/>
      <w:szCs w:val="28"/>
      <w:lang w:eastAsia="ar-SA"/>
    </w:rPr>
  </w:style>
  <w:style w:type="character" w:customStyle="1" w:styleId="Char5">
    <w:name w:val="نص أساسي Char"/>
    <w:link w:val="af3"/>
    <w:uiPriority w:val="99"/>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uiPriority w:val="11"/>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uiPriority w:val="11"/>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rsid w:val="00801478"/>
    <w:pPr>
      <w:widowControl/>
      <w:ind w:firstLine="0"/>
      <w:jc w:val="left"/>
    </w:pPr>
    <w:rPr>
      <w:rFonts w:ascii="Tahoma" w:hAnsi="Tahoma" w:cs="Tahoma"/>
      <w:sz w:val="16"/>
      <w:szCs w:val="16"/>
      <w:lang w:eastAsia="ar-SA"/>
    </w:rPr>
  </w:style>
  <w:style w:type="character" w:customStyle="1" w:styleId="Char8">
    <w:name w:val="نص في بالون Char"/>
    <w:link w:val="af7"/>
    <w:uiPriority w:val="99"/>
    <w:rsid w:val="00801478"/>
    <w:rPr>
      <w:rFonts w:ascii="Tahoma" w:eastAsia="Times New Roman" w:hAnsi="Tahoma" w:cs="Tahoma"/>
      <w:sz w:val="16"/>
      <w:szCs w:val="16"/>
      <w:lang w:eastAsia="ar-SA"/>
    </w:rPr>
  </w:style>
  <w:style w:type="character" w:styleId="af8">
    <w:name w:val="annotation reference"/>
    <w:uiPriority w:val="99"/>
    <w:rsid w:val="00801478"/>
    <w:rPr>
      <w:sz w:val="16"/>
      <w:szCs w:val="16"/>
    </w:rPr>
  </w:style>
  <w:style w:type="paragraph" w:styleId="af9">
    <w:name w:val="annotation text"/>
    <w:basedOn w:val="a2"/>
    <w:link w:val="Char9"/>
    <w:uiPriority w:val="99"/>
    <w:rsid w:val="00801478"/>
    <w:pPr>
      <w:widowControl/>
      <w:ind w:firstLine="0"/>
      <w:jc w:val="left"/>
    </w:pPr>
    <w:rPr>
      <w:rFonts w:ascii="Times New Roman" w:hAnsi="Times New Roman" w:cs="Times New Roman"/>
      <w:sz w:val="20"/>
      <w:szCs w:val="20"/>
      <w:lang w:eastAsia="ar-SA"/>
    </w:rPr>
  </w:style>
  <w:style w:type="character" w:customStyle="1" w:styleId="Char9">
    <w:name w:val="نص تعليق Char"/>
    <w:link w:val="af9"/>
    <w:uiPriority w:val="9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uiPriority w:val="99"/>
    <w:rsid w:val="00801478"/>
    <w:rPr>
      <w:b/>
      <w:bCs/>
    </w:rPr>
  </w:style>
  <w:style w:type="character" w:customStyle="1" w:styleId="Chara">
    <w:name w:val="موضوع تعليق Char"/>
    <w:link w:val="afa"/>
    <w:uiPriority w:val="99"/>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5823C3"/>
    <w:pPr>
      <w:widowControl/>
      <w:tabs>
        <w:tab w:val="right" w:leader="dot" w:pos="7020"/>
      </w:tabs>
      <w:spacing w:before="180" w:line="168" w:lineRule="auto"/>
      <w:ind w:left="289" w:hanging="289"/>
    </w:pPr>
    <w:rPr>
      <w:rFonts w:ascii="Arial" w:hAnsi="Arial" w:cs="AL-Mohanad Bold"/>
      <w:noProof/>
      <w:sz w:val="22"/>
      <w:szCs w:val="26"/>
      <w:lang w:eastAsia="ar-SA" w:bidi="ar-AE"/>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rsid w:val="00801478"/>
    <w:pPr>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uiPriority w:val="99"/>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uiPriority w:val="99"/>
    <w:semiHidden/>
    <w:rsid w:val="00801478"/>
    <w:pPr>
      <w:widowControl/>
      <w:shd w:val="clear" w:color="auto" w:fill="000080"/>
      <w:ind w:firstLine="0"/>
      <w:jc w:val="left"/>
    </w:pPr>
    <w:rPr>
      <w:rFonts w:ascii="Tahoma" w:hAnsi="Tahoma" w:cs="Tahoma"/>
      <w:sz w:val="24"/>
      <w:szCs w:val="24"/>
      <w:lang w:eastAsia="ar-SA"/>
    </w:rPr>
  </w:style>
  <w:style w:type="character" w:customStyle="1" w:styleId="Charf0">
    <w:name w:val="مخطط المستند Char"/>
    <w:link w:val="aff5"/>
    <w:uiPriority w:val="99"/>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F63AA1"/>
    <w:pPr>
      <w:widowControl/>
      <w:tabs>
        <w:tab w:val="right" w:leader="dot" w:pos="7020"/>
      </w:tabs>
      <w:spacing w:before="80" w:after="80" w:line="144" w:lineRule="auto"/>
    </w:pPr>
    <w:rPr>
      <w:rFonts w:ascii="Arial" w:hAnsi="Arial" w:cs="Arial"/>
      <w:noProof/>
      <w:sz w:val="24"/>
      <w:lang w:eastAsia="ar-SA"/>
    </w:rPr>
  </w:style>
  <w:style w:type="paragraph" w:styleId="aff7">
    <w:name w:val="table of figures"/>
    <w:basedOn w:val="a2"/>
    <w:next w:val="a2"/>
    <w:semiHidden/>
    <w:rsid w:val="00801478"/>
    <w:pPr>
      <w:widowControl/>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Footnote Text1 Char, Char Char Char Char1, Char Char Char2, Char Char Char Char Char Char Char Char1, Char Char Char Char Char Char Char2,هامش سفلي Char1,پا ورقي Char1,هامش Char1,نص حاشية سفلية Char Char Char Char1"/>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uiPriority w:val="99"/>
    <w:rsid w:val="00801478"/>
    <w:rPr>
      <w:i/>
      <w:iCs/>
    </w:rPr>
  </w:style>
  <w:style w:type="table" w:styleId="1a">
    <w:name w:val="Table Columns 1"/>
    <w:basedOn w:val="a4"/>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ind w:left="360" w:hanging="360"/>
      <w:jc w:val="left"/>
    </w:pPr>
    <w:rPr>
      <w:rFonts w:ascii="Times New Roman" w:hAnsi="Times New Roman" w:cs="Times New Roman"/>
      <w:sz w:val="24"/>
      <w:szCs w:val="24"/>
    </w:rPr>
  </w:style>
  <w:style w:type="paragraph" w:styleId="2f1">
    <w:name w:val="List 2"/>
    <w:basedOn w:val="a2"/>
    <w:rsid w:val="00801478"/>
    <w:pPr>
      <w:widowControl/>
      <w:bidi w:val="0"/>
      <w:ind w:left="720" w:hanging="360"/>
      <w:jc w:val="left"/>
    </w:pPr>
    <w:rPr>
      <w:rFonts w:ascii="Times New Roman" w:hAnsi="Times New Roman" w:cs="Times New Roman"/>
      <w:sz w:val="24"/>
      <w:szCs w:val="24"/>
    </w:rPr>
  </w:style>
  <w:style w:type="paragraph" w:styleId="3e">
    <w:name w:val="List 3"/>
    <w:basedOn w:val="a2"/>
    <w:rsid w:val="00801478"/>
    <w:pPr>
      <w:widowControl/>
      <w:bidi w:val="0"/>
      <w:ind w:left="1080" w:hanging="360"/>
      <w:jc w:val="left"/>
    </w:pPr>
    <w:rPr>
      <w:rFonts w:ascii="Times New Roman" w:hAnsi="Times New Roman" w:cs="Times New Roman"/>
      <w:sz w:val="24"/>
      <w:szCs w:val="24"/>
    </w:rPr>
  </w:style>
  <w:style w:type="paragraph" w:styleId="47">
    <w:name w:val="List 4"/>
    <w:basedOn w:val="a2"/>
    <w:rsid w:val="00801478"/>
    <w:pPr>
      <w:widowControl/>
      <w:bidi w:val="0"/>
      <w:ind w:left="1440" w:hanging="360"/>
      <w:jc w:val="left"/>
    </w:pPr>
    <w:rPr>
      <w:rFonts w:ascii="Times New Roman" w:hAnsi="Times New Roman" w:cs="Times New Roman"/>
      <w:sz w:val="24"/>
      <w:szCs w:val="24"/>
    </w:rPr>
  </w:style>
  <w:style w:type="paragraph" w:styleId="55">
    <w:name w:val="List 5"/>
    <w:basedOn w:val="a2"/>
    <w:rsid w:val="00801478"/>
    <w:pPr>
      <w:widowControl/>
      <w:bidi w:val="0"/>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jc w:val="left"/>
    </w:pPr>
    <w:rPr>
      <w:rFonts w:ascii="Times New Roman" w:hAnsi="Times New Roman" w:cs="Times New Roman"/>
      <w:sz w:val="24"/>
      <w:szCs w:val="24"/>
    </w:rPr>
  </w:style>
  <w:style w:type="paragraph" w:styleId="affffff">
    <w:name w:val="List Continue"/>
    <w:basedOn w:val="a2"/>
    <w:rsid w:val="00801478"/>
    <w:pPr>
      <w:widowControl/>
      <w:bidi w:val="0"/>
      <w:spacing w:after="120"/>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jc w:val="left"/>
    </w:pPr>
    <w:rPr>
      <w:rFonts w:ascii="Times New Roman" w:hAnsi="Times New Roman" w:cs="Times New Roman"/>
      <w:sz w:val="24"/>
      <w:szCs w:val="24"/>
    </w:rPr>
  </w:style>
  <w:style w:type="paragraph" w:styleId="2f4">
    <w:name w:val="List Bullet 2"/>
    <w:basedOn w:val="a2"/>
    <w:rsid w:val="00801478"/>
    <w:pPr>
      <w:widowControl/>
      <w:bidi w:val="0"/>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ind w:left="0" w:firstLine="0"/>
      <w:jc w:val="left"/>
    </w:pPr>
    <w:rPr>
      <w:rFonts w:cs="Ya-Ali"/>
      <w:b/>
      <w:spacing w:val="-10"/>
    </w:rPr>
  </w:style>
  <w:style w:type="paragraph" w:customStyle="1" w:styleId="73">
    <w:name w:val="نمط7"/>
    <w:basedOn w:val="a2"/>
    <w:rsid w:val="00801478"/>
    <w:pPr>
      <w:widowControl/>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ind w:firstLine="0"/>
      <w:jc w:val="left"/>
    </w:pPr>
    <w:rPr>
      <w:rFonts w:ascii="Times New Roman" w:hAnsi="Times New Roman" w:cs="Times New Roman"/>
      <w:sz w:val="20"/>
      <w:szCs w:val="20"/>
    </w:rPr>
  </w:style>
  <w:style w:type="paragraph" w:customStyle="1" w:styleId="CharChar10">
    <w:name w:val="Char Char1"/>
    <w:basedOn w:val="a2"/>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ind w:firstLine="0"/>
      <w:jc w:val="left"/>
    </w:pPr>
    <w:rPr>
      <w:rFonts w:ascii="Times New Roman" w:hAnsi="Times New Roman" w:cs="Times New Roman"/>
      <w:sz w:val="20"/>
      <w:szCs w:val="20"/>
    </w:rPr>
  </w:style>
  <w:style w:type="paragraph" w:customStyle="1" w:styleId="afffffff4">
    <w:name w:val="الشعر"/>
    <w:basedOn w:val="a2"/>
    <w:qFormat/>
    <w:rsid w:val="008E1DD2"/>
    <w:pPr>
      <w:ind w:firstLine="0"/>
      <w:jc w:val="lowKashida"/>
    </w:pPr>
    <w:rPr>
      <w:rFonts w:ascii="Calibri" w:eastAsia="Calibri" w:hAnsi="Calibri" w:cs="Taher"/>
      <w:bCs/>
      <w:sz w:val="22"/>
    </w:rPr>
  </w:style>
  <w:style w:type="paragraph" w:customStyle="1" w:styleId="Style1">
    <w:name w:val="Style1"/>
    <w:basedOn w:val="a2"/>
    <w:rsid w:val="008E1DD2"/>
    <w:pPr>
      <w:widowControl/>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jc w:val="lowKashida"/>
    </w:pPr>
    <w:rPr>
      <w:rFonts w:ascii="Times New Roman" w:hAnsi="Times New Roman" w:cs="Simplified Arabic"/>
      <w:bCs/>
      <w:sz w:val="24"/>
      <w:szCs w:val="32"/>
    </w:rPr>
  </w:style>
  <w:style w:type="character" w:customStyle="1" w:styleId="bodycontent1">
    <w:name w:val="bodycontent1"/>
    <w:uiPriority w:val="99"/>
    <w:rsid w:val="00A45FD9"/>
    <w:rPr>
      <w:rFonts w:ascii="Arabic Transparent" w:hAnsi="Arabic Transparent" w:cs="Arabic Transparent" w:hint="default"/>
      <w:sz w:val="27"/>
      <w:szCs w:val="27"/>
      <w:lang w:bidi="ar-SA"/>
    </w:rPr>
  </w:style>
  <w:style w:type="character" w:customStyle="1" w:styleId="footnote1">
    <w:name w:val="footnote1"/>
    <w:uiPriority w:val="99"/>
    <w:rsid w:val="00A45FD9"/>
    <w:rPr>
      <w:rFonts w:ascii="Arabic Transparent" w:hAnsi="Arabic Transparent" w:cs="Arabic Transparent" w:hint="default"/>
      <w:sz w:val="24"/>
      <w:szCs w:val="24"/>
      <w:lang w:bidi="ar-SA"/>
    </w:rPr>
  </w:style>
  <w:style w:type="character" w:customStyle="1" w:styleId="category">
    <w:name w:val="category"/>
    <w:uiPriority w:val="99"/>
    <w:rsid w:val="00A45FD9"/>
    <w:rPr>
      <w:rFonts w:ascii="Times New Roman" w:hAnsi="Times New Roman" w:cs="Times New Roman" w:hint="default"/>
    </w:rPr>
  </w:style>
  <w:style w:type="character" w:customStyle="1" w:styleId="arsource">
    <w:name w:val="ar_source"/>
    <w:uiPriority w:val="99"/>
    <w:rsid w:val="00A45FD9"/>
    <w:rPr>
      <w:rFonts w:cs="Times New Roman"/>
    </w:rPr>
  </w:style>
  <w:style w:type="character" w:customStyle="1" w:styleId="arcontent">
    <w:name w:val="ar_content"/>
    <w:uiPriority w:val="99"/>
    <w:rsid w:val="00A45FD9"/>
    <w:rPr>
      <w:rFonts w:cs="Times New Roman"/>
    </w:rPr>
  </w:style>
  <w:style w:type="character" w:customStyle="1" w:styleId="info-subtitle1">
    <w:name w:val="info-subtitle1"/>
    <w:rsid w:val="00A45FD9"/>
    <w:rPr>
      <w:rFonts w:ascii="Tahoma" w:hAnsi="Tahoma" w:cs="Tahoma"/>
      <w:color w:val="800000"/>
      <w:sz w:val="18"/>
      <w:szCs w:val="18"/>
    </w:rPr>
  </w:style>
  <w:style w:type="character" w:customStyle="1" w:styleId="headline21">
    <w:name w:val="headline21"/>
    <w:uiPriority w:val="99"/>
    <w:rsid w:val="00A45FD9"/>
    <w:rPr>
      <w:rFonts w:cs="Arabic Transparent"/>
      <w:b/>
      <w:bCs/>
      <w:color w:val="auto"/>
      <w:sz w:val="21"/>
      <w:szCs w:val="21"/>
      <w:lang w:bidi="ar-SA"/>
    </w:rPr>
  </w:style>
  <w:style w:type="character" w:customStyle="1" w:styleId="fnote1">
    <w:name w:val="fnote1"/>
    <w:uiPriority w:val="99"/>
    <w:rsid w:val="00A45FD9"/>
    <w:rPr>
      <w:rFonts w:ascii="Tahoma" w:hAnsi="Tahoma" w:cs="Tahoma"/>
      <w:color w:val="auto"/>
      <w:sz w:val="13"/>
      <w:szCs w:val="13"/>
    </w:rPr>
  </w:style>
  <w:style w:type="character" w:customStyle="1" w:styleId="pathway">
    <w:name w:val="pathway"/>
    <w:uiPriority w:val="99"/>
    <w:rsid w:val="00A45FD9"/>
    <w:rPr>
      <w:rFonts w:cs="Arabic Transparent"/>
      <w:b/>
      <w:bCs/>
      <w:color w:val="000000"/>
      <w:sz w:val="20"/>
      <w:szCs w:val="20"/>
      <w:lang w:bidi="ar-SA"/>
    </w:rPr>
  </w:style>
  <w:style w:type="character" w:customStyle="1" w:styleId="formatdarkred1">
    <w:name w:val="formatdarkred1"/>
    <w:uiPriority w:val="99"/>
    <w:rsid w:val="00A45FD9"/>
    <w:rPr>
      <w:rFonts w:cs="Simplified Arabic"/>
      <w:color w:val="auto"/>
      <w:sz w:val="24"/>
      <w:szCs w:val="24"/>
      <w:lang w:bidi="ar-SA"/>
    </w:rPr>
  </w:style>
  <w:style w:type="paragraph" w:customStyle="1" w:styleId="pretitle">
    <w:name w:val="pretitle"/>
    <w:basedOn w:val="a2"/>
    <w:uiPriority w:val="99"/>
    <w:rsid w:val="00A45FD9"/>
    <w:pPr>
      <w:widowControl/>
      <w:bidi w:val="0"/>
      <w:spacing w:after="88"/>
      <w:ind w:firstLine="0"/>
      <w:jc w:val="center"/>
    </w:pPr>
    <w:rPr>
      <w:rFonts w:ascii="Times New Roman" w:hAnsi="Times New Roman" w:cs="Traditional Arabic"/>
      <w:b/>
      <w:bCs/>
      <w:color w:val="000000"/>
      <w:sz w:val="25"/>
      <w:szCs w:val="25"/>
      <w:u w:val="single"/>
    </w:rPr>
  </w:style>
  <w:style w:type="numbering" w:customStyle="1" w:styleId="NoList1">
    <w:name w:val="No List1"/>
    <w:next w:val="a5"/>
    <w:semiHidden/>
    <w:rsid w:val="00644408"/>
  </w:style>
  <w:style w:type="character" w:customStyle="1" w:styleId="ecxbodycontent1">
    <w:name w:val="ecxbodycontent1"/>
    <w:basedOn w:val="a3"/>
    <w:rsid w:val="00644408"/>
  </w:style>
  <w:style w:type="paragraph" w:customStyle="1" w:styleId="ecxtit1">
    <w:name w:val="ecxtit1"/>
    <w:basedOn w:val="a2"/>
    <w:rsid w:val="00644408"/>
    <w:pPr>
      <w:widowControl/>
      <w:bidi w:val="0"/>
      <w:spacing w:after="324"/>
      <w:ind w:firstLine="0"/>
      <w:jc w:val="left"/>
    </w:pPr>
    <w:rPr>
      <w:rFonts w:ascii="Times New Roman" w:hAnsi="Times New Roman" w:cs="Times New Roman"/>
      <w:sz w:val="24"/>
      <w:szCs w:val="24"/>
    </w:rPr>
  </w:style>
  <w:style w:type="paragraph" w:customStyle="1" w:styleId="ecxtit3">
    <w:name w:val="ecxtit3"/>
    <w:basedOn w:val="a2"/>
    <w:rsid w:val="00644408"/>
    <w:pPr>
      <w:widowControl/>
      <w:bidi w:val="0"/>
      <w:spacing w:after="324"/>
      <w:ind w:firstLine="0"/>
      <w:jc w:val="left"/>
    </w:pPr>
    <w:rPr>
      <w:rFonts w:ascii="Times New Roman" w:hAnsi="Times New Roman" w:cs="Times New Roman"/>
      <w:sz w:val="24"/>
      <w:szCs w:val="24"/>
    </w:rPr>
  </w:style>
  <w:style w:type="paragraph" w:customStyle="1" w:styleId="ecxmsonormal">
    <w:name w:val="ecxmsonormal"/>
    <w:basedOn w:val="a2"/>
    <w:rsid w:val="00644408"/>
    <w:pPr>
      <w:widowControl/>
      <w:bidi w:val="0"/>
      <w:ind w:firstLine="0"/>
      <w:jc w:val="left"/>
    </w:pPr>
    <w:rPr>
      <w:rFonts w:ascii="Times New Roman" w:hAnsi="Times New Roman" w:cs="Times New Roman"/>
      <w:sz w:val="24"/>
      <w:szCs w:val="24"/>
    </w:rPr>
  </w:style>
  <w:style w:type="character" w:customStyle="1" w:styleId="st1">
    <w:name w:val="st1"/>
    <w:basedOn w:val="a3"/>
    <w:rsid w:val="00644408"/>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5B6CEC"/>
    <w:pPr>
      <w:widowControl/>
      <w:ind w:firstLine="0"/>
      <w:jc w:val="left"/>
    </w:pPr>
    <w:rPr>
      <w:rFonts w:ascii="Times New Roman" w:hAnsi="Times New Roman" w:cs="Times New Roman"/>
      <w:sz w:val="20"/>
      <w:szCs w:val="20"/>
    </w:rPr>
  </w:style>
  <w:style w:type="paragraph" w:customStyle="1" w:styleId="3f1">
    <w:name w:val="تيتر3"/>
    <w:link w:val="3Char2"/>
    <w:rsid w:val="005B6CEC"/>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5B6CEC"/>
    <w:rPr>
      <w:rFonts w:ascii="Times New Roman" w:hAnsi="Times New Roman" w:cs="Traditional Arabic"/>
      <w:bCs/>
      <w:sz w:val="24"/>
      <w:szCs w:val="30"/>
    </w:rPr>
  </w:style>
  <w:style w:type="paragraph" w:customStyle="1" w:styleId="Style">
    <w:name w:val="Style"/>
    <w:rsid w:val="005B6CEC"/>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afffffff5">
    <w:name w:val="سر صفحه اصلي"/>
    <w:basedOn w:val="a2"/>
    <w:rsid w:val="005B6CEC"/>
    <w:pPr>
      <w:widowControl/>
      <w:spacing w:before="120" w:line="14" w:lineRule="auto"/>
      <w:ind w:firstLine="0"/>
    </w:pPr>
    <w:rPr>
      <w:rFonts w:ascii="Times New Roman" w:hAnsi="Times New Roman" w:cs="DanaFajr"/>
      <w:sz w:val="36"/>
      <w:szCs w:val="2"/>
    </w:rPr>
  </w:style>
  <w:style w:type="paragraph" w:customStyle="1" w:styleId="afffffff6">
    <w:name w:val="سرصفحة"/>
    <w:basedOn w:val="a2"/>
    <w:rsid w:val="005B6CEC"/>
    <w:pPr>
      <w:widowControl/>
      <w:bidi w:val="0"/>
      <w:ind w:firstLine="0"/>
      <w:jc w:val="left"/>
    </w:pPr>
    <w:rPr>
      <w:rFonts w:ascii="Times New Roman" w:hAnsi="Times New Roman" w:cs="Abz-2 (Badr)"/>
      <w:szCs w:val="28"/>
    </w:rPr>
  </w:style>
  <w:style w:type="paragraph" w:customStyle="1" w:styleId="afffffff7">
    <w:name w:val="نمط سرصفحة +"/>
    <w:basedOn w:val="afffffff6"/>
    <w:rsid w:val="005B6CEC"/>
    <w:rPr>
      <w:color w:val="FFFFFF"/>
      <w:szCs w:val="2"/>
    </w:rPr>
  </w:style>
  <w:style w:type="paragraph" w:customStyle="1" w:styleId="afffffff8">
    <w:name w:val="الاسم"/>
    <w:basedOn w:val="a2"/>
    <w:rsid w:val="005B6CEC"/>
    <w:pPr>
      <w:widowControl/>
      <w:ind w:firstLine="0"/>
      <w:jc w:val="right"/>
    </w:pPr>
    <w:rPr>
      <w:rFonts w:ascii="Times New Roman" w:hAnsi="Times New Roman" w:cs="Abz-2 (Badr)"/>
      <w:color w:val="FFFFFF"/>
      <w:szCs w:val="2"/>
    </w:rPr>
  </w:style>
  <w:style w:type="paragraph" w:customStyle="1" w:styleId="afffffff9">
    <w:name w:val="سرصفحة +"/>
    <w:basedOn w:val="afffffff7"/>
    <w:rsid w:val="005B6CEC"/>
  </w:style>
  <w:style w:type="paragraph" w:customStyle="1" w:styleId="1f9">
    <w:name w:val="نمط عنوان 1 +"/>
    <w:basedOn w:val="10"/>
    <w:rsid w:val="005B6CEC"/>
    <w:pPr>
      <w:keepLines w:val="0"/>
      <w:widowControl/>
      <w:bidi w:val="0"/>
    </w:pPr>
    <w:rPr>
      <w:rFonts w:ascii="Arial" w:hAnsi="Arial" w:cs="MCS Taybah S_U normal."/>
      <w:bCs/>
      <w:kern w:val="32"/>
      <w:szCs w:val="32"/>
    </w:rPr>
  </w:style>
  <w:style w:type="paragraph" w:customStyle="1" w:styleId="1fa">
    <w:name w:val="نمط نمط عنوان 1 + +"/>
    <w:basedOn w:val="1f9"/>
    <w:rsid w:val="005B6CEC"/>
    <w:rPr>
      <w:sz w:val="40"/>
    </w:rPr>
  </w:style>
  <w:style w:type="paragraph" w:customStyle="1" w:styleId="1fb">
    <w:name w:val="نمط نمط نمط عنوان 1 + + +"/>
    <w:basedOn w:val="1fa"/>
    <w:rsid w:val="005B6CEC"/>
    <w:rPr>
      <w:szCs w:val="40"/>
    </w:rPr>
  </w:style>
  <w:style w:type="paragraph" w:customStyle="1" w:styleId="1fc">
    <w:name w:val="نمط نمط نمط نمط عنوان 1 + + + + مضبوطة"/>
    <w:basedOn w:val="1fb"/>
    <w:rsid w:val="005B6CEC"/>
    <w:pPr>
      <w:jc w:val="both"/>
    </w:pPr>
    <w:rPr>
      <w:rFonts w:cs="Yagut"/>
      <w:bCs w:val="0"/>
      <w:szCs w:val="48"/>
    </w:rPr>
  </w:style>
  <w:style w:type="paragraph" w:customStyle="1" w:styleId="afffffffa">
    <w:name w:val="ثانوى"/>
    <w:rsid w:val="005B6CEC"/>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5B6CEC"/>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d">
    <w:name w:val="جديد1"/>
    <w:rsid w:val="005B6CEC"/>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5B6CEC"/>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paragraph" w:customStyle="1" w:styleId="CharChar2CharChar">
    <w:name w:val="Char Char2 Char Char"/>
    <w:basedOn w:val="a2"/>
    <w:rsid w:val="005B6CEC"/>
    <w:pPr>
      <w:widowControl/>
      <w:ind w:firstLine="0"/>
      <w:jc w:val="left"/>
    </w:pPr>
    <w:rPr>
      <w:rFonts w:ascii="Times New Roman" w:hAnsi="Times New Roman" w:cs="Times New Roman"/>
      <w:sz w:val="20"/>
      <w:szCs w:val="20"/>
    </w:rPr>
  </w:style>
  <w:style w:type="paragraph" w:customStyle="1" w:styleId="CharChar1CharChar">
    <w:name w:val="Char Char1 Char Char"/>
    <w:basedOn w:val="a2"/>
    <w:rsid w:val="005B6CEC"/>
    <w:pPr>
      <w:widowControl/>
      <w:ind w:firstLine="0"/>
      <w:jc w:val="left"/>
    </w:pPr>
    <w:rPr>
      <w:rFonts w:ascii="Times New Roman" w:hAnsi="Times New Roman" w:cs="Times New Roman"/>
      <w:sz w:val="20"/>
      <w:szCs w:val="20"/>
    </w:rPr>
  </w:style>
  <w:style w:type="character" w:customStyle="1" w:styleId="CharChar11">
    <w:name w:val="Char Char11"/>
    <w:rsid w:val="005B6CEC"/>
    <w:rPr>
      <w:rFonts w:ascii="Arial" w:hAnsi="Arial" w:cs="Arial"/>
      <w:b/>
      <w:bCs/>
      <w:i/>
      <w:iCs/>
      <w:sz w:val="28"/>
      <w:szCs w:val="28"/>
      <w:lang w:val="en-US" w:eastAsia="en-US" w:bidi="ar-SA"/>
    </w:rPr>
  </w:style>
  <w:style w:type="paragraph" w:customStyle="1" w:styleId="CharCharCharCharCharCharCharCharCharCharCharCharCharCharCharChar1">
    <w:name w:val="Char Char Char Char Char Char Char Char Char Char Char Char Char Char Char Char1"/>
    <w:basedOn w:val="a2"/>
    <w:rsid w:val="005B6CEC"/>
    <w:pPr>
      <w:widowControl/>
      <w:ind w:firstLine="0"/>
      <w:jc w:val="left"/>
    </w:pPr>
    <w:rPr>
      <w:rFonts w:ascii="Times New Roman" w:hAnsi="Times New Roman" w:cs="Times New Roman"/>
      <w:sz w:val="20"/>
      <w:szCs w:val="20"/>
    </w:rPr>
  </w:style>
  <w:style w:type="paragraph" w:customStyle="1" w:styleId="CharChar1CharCharCharCharCharCharCharChar1CharCharCharCharCharCharCharCharCharCharCharCharCharCharCharCharCharCharCharCharCharCharCharCharCharCharCharCharCharCharCharCharCharChar">
    <w:name w:val="Char Char1 Char Char Char Char Char Char Char Char1 Char Char Char Char Char Char Char Char Char Char Char Char Char Char Char Char Char Char Char Char Char Char Char Char Char Char Char Char Char Char Char Char Char Char"/>
    <w:basedOn w:val="a2"/>
    <w:rsid w:val="005B6CEC"/>
    <w:pPr>
      <w:widowControl/>
      <w:ind w:firstLine="0"/>
      <w:jc w:val="left"/>
    </w:pPr>
    <w:rPr>
      <w:rFonts w:ascii="Times New Roman" w:hAnsi="Times New Roman" w:cs="Times New Roman"/>
      <w:sz w:val="20"/>
      <w:szCs w:val="20"/>
    </w:rPr>
  </w:style>
  <w:style w:type="character" w:customStyle="1" w:styleId="CharChar21">
    <w:name w:val="Char Char21"/>
    <w:rsid w:val="005B6CEC"/>
    <w:rPr>
      <w:rFonts w:ascii="Arial" w:hAnsi="Arial" w:cs="Arial"/>
      <w:b/>
      <w:bCs/>
      <w:kern w:val="32"/>
      <w:sz w:val="32"/>
      <w:szCs w:val="32"/>
      <w:lang w:val="en-US" w:eastAsia="en-US" w:bidi="ar-SA"/>
    </w:rPr>
  </w:style>
  <w:style w:type="character" w:customStyle="1" w:styleId="google-src-text1">
    <w:name w:val="google-src-text1"/>
    <w:basedOn w:val="a3"/>
    <w:uiPriority w:val="99"/>
    <w:rsid w:val="00057E24"/>
    <w:rPr>
      <w:rFonts w:cs="Times New Roman"/>
      <w:vanish/>
    </w:rPr>
  </w:style>
  <w:style w:type="character" w:customStyle="1" w:styleId="bookmarking">
    <w:name w:val="bookmarking"/>
    <w:basedOn w:val="a3"/>
    <w:uiPriority w:val="99"/>
    <w:rsid w:val="00057E24"/>
    <w:rPr>
      <w:rFonts w:cs="Times New Roman"/>
    </w:rPr>
  </w:style>
  <w:style w:type="character" w:customStyle="1" w:styleId="apple-tab-span">
    <w:name w:val="apple-tab-span"/>
    <w:basedOn w:val="a3"/>
    <w:rsid w:val="00057E24"/>
    <w:rPr>
      <w:rFonts w:cs="Times New Roman"/>
    </w:rPr>
  </w:style>
  <w:style w:type="character" w:customStyle="1" w:styleId="paragraphtitle">
    <w:name w:val="paragraphtitle"/>
    <w:basedOn w:val="a3"/>
    <w:uiPriority w:val="99"/>
    <w:rsid w:val="00057E24"/>
    <w:rPr>
      <w:rFonts w:cs="Times New Roman"/>
    </w:rPr>
  </w:style>
  <w:style w:type="character" w:customStyle="1" w:styleId="Charfff3">
    <w:name w:val="بلا تباعد Char"/>
    <w:basedOn w:val="a3"/>
    <w:link w:val="afffffffb"/>
    <w:uiPriority w:val="1"/>
    <w:locked/>
    <w:rsid w:val="00057E24"/>
    <w:rPr>
      <w:rFonts w:asciiTheme="majorHAnsi" w:eastAsiaTheme="majorEastAsia" w:hAnsiTheme="majorHAnsi" w:cstheme="majorBidi"/>
      <w:lang w:bidi="en-US"/>
    </w:rPr>
  </w:style>
  <w:style w:type="paragraph" w:styleId="afffffffb">
    <w:name w:val="No Spacing"/>
    <w:basedOn w:val="a2"/>
    <w:link w:val="Charfff3"/>
    <w:uiPriority w:val="1"/>
    <w:qFormat/>
    <w:rsid w:val="00057E24"/>
    <w:pPr>
      <w:widowControl/>
      <w:bidi w:val="0"/>
      <w:ind w:firstLine="0"/>
      <w:jc w:val="left"/>
    </w:pPr>
    <w:rPr>
      <w:rFonts w:asciiTheme="majorHAnsi" w:eastAsiaTheme="majorEastAsia" w:hAnsiTheme="majorHAnsi" w:cstheme="majorBidi"/>
      <w:sz w:val="20"/>
      <w:szCs w:val="20"/>
      <w:lang w:bidi="en-US"/>
    </w:rPr>
  </w:style>
  <w:style w:type="paragraph" w:styleId="afffffffc">
    <w:name w:val="Quote"/>
    <w:basedOn w:val="a2"/>
    <w:next w:val="a2"/>
    <w:link w:val="Charfff4"/>
    <w:uiPriority w:val="29"/>
    <w:qFormat/>
    <w:rsid w:val="00057E24"/>
    <w:pPr>
      <w:widowControl/>
      <w:bidi w:val="0"/>
      <w:spacing w:after="200" w:line="252" w:lineRule="auto"/>
      <w:ind w:firstLine="0"/>
      <w:jc w:val="left"/>
    </w:pPr>
    <w:rPr>
      <w:rFonts w:asciiTheme="majorHAnsi" w:eastAsiaTheme="majorEastAsia" w:hAnsiTheme="majorHAnsi" w:cstheme="majorBidi"/>
      <w:i/>
      <w:iCs/>
      <w:sz w:val="22"/>
      <w:szCs w:val="22"/>
      <w:lang w:bidi="en-US"/>
    </w:rPr>
  </w:style>
  <w:style w:type="character" w:customStyle="1" w:styleId="Charfff4">
    <w:name w:val="اقتباس Char"/>
    <w:basedOn w:val="a3"/>
    <w:link w:val="afffffffc"/>
    <w:uiPriority w:val="29"/>
    <w:rsid w:val="00057E24"/>
    <w:rPr>
      <w:rFonts w:asciiTheme="majorHAnsi" w:eastAsiaTheme="majorEastAsia" w:hAnsiTheme="majorHAnsi" w:cstheme="majorBidi"/>
      <w:i/>
      <w:iCs/>
      <w:sz w:val="22"/>
      <w:szCs w:val="22"/>
      <w:lang w:bidi="en-US"/>
    </w:rPr>
  </w:style>
  <w:style w:type="paragraph" w:styleId="afffffffd">
    <w:name w:val="Intense Quote"/>
    <w:basedOn w:val="a2"/>
    <w:next w:val="a2"/>
    <w:link w:val="Charfff5"/>
    <w:uiPriority w:val="30"/>
    <w:qFormat/>
    <w:rsid w:val="00057E24"/>
    <w:pPr>
      <w:widowControl/>
      <w:pBdr>
        <w:top w:val="dotted" w:sz="2" w:space="10" w:color="632423" w:themeColor="accent2" w:themeShade="80"/>
        <w:bottom w:val="dotted" w:sz="2" w:space="4" w:color="632423" w:themeColor="accent2" w:themeShade="80"/>
      </w:pBdr>
      <w:bidi w:val="0"/>
      <w:spacing w:before="160" w:after="200" w:line="300" w:lineRule="auto"/>
      <w:ind w:left="1440" w:right="1440" w:firstLine="0"/>
      <w:jc w:val="left"/>
    </w:pPr>
    <w:rPr>
      <w:rFonts w:asciiTheme="majorHAnsi" w:eastAsiaTheme="majorEastAsia" w:hAnsiTheme="majorHAnsi" w:cstheme="majorBidi"/>
      <w:caps/>
      <w:color w:val="622423" w:themeColor="accent2" w:themeShade="7F"/>
      <w:spacing w:val="5"/>
      <w:sz w:val="20"/>
      <w:szCs w:val="20"/>
      <w:lang w:bidi="en-US"/>
    </w:rPr>
  </w:style>
  <w:style w:type="character" w:customStyle="1" w:styleId="Charfff5">
    <w:name w:val="اقتباس مكثف Char"/>
    <w:basedOn w:val="a3"/>
    <w:link w:val="afffffffd"/>
    <w:uiPriority w:val="30"/>
    <w:rsid w:val="00057E24"/>
    <w:rPr>
      <w:rFonts w:asciiTheme="majorHAnsi" w:eastAsiaTheme="majorEastAsia" w:hAnsiTheme="majorHAnsi" w:cstheme="majorBidi"/>
      <w:caps/>
      <w:color w:val="622423" w:themeColor="accent2" w:themeShade="7F"/>
      <w:spacing w:val="5"/>
      <w:lang w:bidi="en-US"/>
    </w:rPr>
  </w:style>
  <w:style w:type="character" w:styleId="afffffffe">
    <w:name w:val="Subtle Emphasis"/>
    <w:uiPriority w:val="19"/>
    <w:qFormat/>
    <w:rsid w:val="00057E24"/>
    <w:rPr>
      <w:i/>
      <w:iCs/>
    </w:rPr>
  </w:style>
  <w:style w:type="character" w:styleId="affffffff">
    <w:name w:val="Intense Emphasis"/>
    <w:uiPriority w:val="21"/>
    <w:qFormat/>
    <w:rsid w:val="00057E24"/>
    <w:rPr>
      <w:i/>
      <w:iCs/>
      <w:caps/>
      <w:spacing w:val="10"/>
      <w:sz w:val="20"/>
      <w:szCs w:val="20"/>
    </w:rPr>
  </w:style>
  <w:style w:type="character" w:styleId="affffffff0">
    <w:name w:val="Subtle Reference"/>
    <w:basedOn w:val="a3"/>
    <w:uiPriority w:val="31"/>
    <w:qFormat/>
    <w:rsid w:val="00057E24"/>
    <w:rPr>
      <w:rFonts w:asciiTheme="minorHAnsi" w:eastAsiaTheme="minorEastAsia" w:hAnsiTheme="minorHAnsi" w:cstheme="minorBidi" w:hint="default"/>
      <w:i/>
      <w:iCs/>
      <w:color w:val="622423" w:themeColor="accent2" w:themeShade="7F"/>
    </w:rPr>
  </w:style>
  <w:style w:type="character" w:styleId="affffffff1">
    <w:name w:val="Intense Reference"/>
    <w:uiPriority w:val="32"/>
    <w:qFormat/>
    <w:rsid w:val="00057E24"/>
    <w:rPr>
      <w:rFonts w:asciiTheme="minorHAnsi" w:eastAsiaTheme="minorEastAsia" w:hAnsiTheme="minorHAnsi" w:cstheme="minorBidi" w:hint="default"/>
      <w:b/>
      <w:bCs/>
      <w:i/>
      <w:iCs/>
      <w:color w:val="622423" w:themeColor="accent2" w:themeShade="7F"/>
    </w:rPr>
  </w:style>
  <w:style w:type="character" w:styleId="affffffff2">
    <w:name w:val="Book Title"/>
    <w:uiPriority w:val="33"/>
    <w:qFormat/>
    <w:rsid w:val="00057E24"/>
    <w:rPr>
      <w:caps/>
      <w:color w:val="622423" w:themeColor="accent2" w:themeShade="7F"/>
      <w:spacing w:val="5"/>
      <w:u w:color="622423" w:themeColor="accent2" w:themeShade="7F"/>
    </w:rPr>
  </w:style>
  <w:style w:type="character" w:customStyle="1" w:styleId="conferencetitle1">
    <w:name w:val="conferencetitle1"/>
    <w:rsid w:val="00057E24"/>
    <w:rPr>
      <w:b/>
      <w:bCs/>
      <w:color w:val="5D5D2A"/>
      <w:sz w:val="22"/>
      <w:szCs w:val="22"/>
      <w:rtl/>
    </w:rPr>
  </w:style>
  <w:style w:type="character" w:customStyle="1" w:styleId="fbunderline">
    <w:name w:val="fbunderline"/>
    <w:basedOn w:val="a3"/>
    <w:rsid w:val="00057E24"/>
  </w:style>
  <w:style w:type="character" w:customStyle="1" w:styleId="messagebody">
    <w:name w:val="messagebody"/>
    <w:basedOn w:val="a3"/>
    <w:rsid w:val="00057E24"/>
  </w:style>
  <w:style w:type="character" w:customStyle="1" w:styleId="textexposedshow">
    <w:name w:val="text_exposed_show"/>
    <w:basedOn w:val="a3"/>
    <w:rsid w:val="00057E24"/>
  </w:style>
  <w:style w:type="character" w:customStyle="1" w:styleId="commentbody">
    <w:name w:val="commentbody"/>
    <w:basedOn w:val="a3"/>
    <w:rsid w:val="00057E24"/>
  </w:style>
  <w:style w:type="paragraph" w:styleId="affffffff3">
    <w:name w:val="caption"/>
    <w:basedOn w:val="a2"/>
    <w:next w:val="a2"/>
    <w:uiPriority w:val="35"/>
    <w:semiHidden/>
    <w:unhideWhenUsed/>
    <w:qFormat/>
    <w:rsid w:val="00057E24"/>
    <w:pPr>
      <w:widowControl/>
      <w:bidi w:val="0"/>
      <w:spacing w:after="200" w:line="252" w:lineRule="auto"/>
      <w:ind w:firstLine="0"/>
      <w:jc w:val="left"/>
    </w:pPr>
    <w:rPr>
      <w:rFonts w:ascii="Cambria" w:hAnsi="Cambria" w:cs="Times New Roman"/>
      <w:caps/>
      <w:spacing w:val="10"/>
      <w:sz w:val="18"/>
      <w:szCs w:val="18"/>
      <w:lang w:bidi="en-US"/>
    </w:rPr>
  </w:style>
  <w:style w:type="character" w:customStyle="1" w:styleId="translationeligibleusermessage">
    <w:name w:val="translationeligibleusermessage"/>
    <w:basedOn w:val="a3"/>
    <w:rsid w:val="00057E24"/>
  </w:style>
  <w:style w:type="character" w:customStyle="1" w:styleId="hascaption">
    <w:name w:val="hascaption"/>
    <w:basedOn w:val="a3"/>
    <w:rsid w:val="00057E24"/>
  </w:style>
  <w:style w:type="character" w:customStyle="1" w:styleId="edit-big">
    <w:name w:val="edit-big"/>
    <w:basedOn w:val="a3"/>
    <w:rsid w:val="00057E24"/>
  </w:style>
  <w:style w:type="character" w:customStyle="1" w:styleId="search-keys">
    <w:name w:val="search-keys"/>
    <w:basedOn w:val="a3"/>
    <w:rsid w:val="00057E24"/>
  </w:style>
  <w:style w:type="character" w:customStyle="1" w:styleId="usercontent">
    <w:name w:val="usercontent"/>
    <w:basedOn w:val="a3"/>
    <w:rsid w:val="00057E24"/>
  </w:style>
  <w:style w:type="character" w:customStyle="1" w:styleId="uficommentbody">
    <w:name w:val="uficommentbody"/>
    <w:basedOn w:val="a3"/>
    <w:rsid w:val="00057E24"/>
  </w:style>
  <w:style w:type="character" w:customStyle="1" w:styleId="articlecontent">
    <w:name w:val="articlecontent"/>
    <w:basedOn w:val="a3"/>
    <w:rsid w:val="00057E24"/>
  </w:style>
  <w:style w:type="character" w:customStyle="1" w:styleId="bodycontent">
    <w:name w:val="bodycontent"/>
    <w:basedOn w:val="a3"/>
    <w:rsid w:val="00057E24"/>
  </w:style>
  <w:style w:type="character" w:customStyle="1" w:styleId="postbody">
    <w:name w:val="postbody"/>
    <w:basedOn w:val="a3"/>
    <w:rsid w:val="00057E24"/>
  </w:style>
  <w:style w:type="character" w:customStyle="1" w:styleId="apple-converted-space">
    <w:name w:val="apple-converted-space"/>
    <w:basedOn w:val="a3"/>
    <w:rsid w:val="00057E24"/>
  </w:style>
  <w:style w:type="character" w:customStyle="1" w:styleId="text-bold">
    <w:name w:val="text-bold"/>
    <w:basedOn w:val="a3"/>
    <w:rsid w:val="00057E24"/>
  </w:style>
  <w:style w:type="character" w:customStyle="1" w:styleId="h">
    <w:name w:val="h"/>
    <w:basedOn w:val="a3"/>
    <w:rsid w:val="00057E24"/>
  </w:style>
  <w:style w:type="character" w:customStyle="1" w:styleId="fnote">
    <w:name w:val="fnote"/>
    <w:basedOn w:val="a3"/>
    <w:rsid w:val="00057E24"/>
  </w:style>
  <w:style w:type="character" w:customStyle="1" w:styleId="quran">
    <w:name w:val="quran"/>
    <w:basedOn w:val="a3"/>
    <w:rsid w:val="00057E24"/>
  </w:style>
  <w:style w:type="character" w:customStyle="1" w:styleId="rfdalaem">
    <w:name w:val="rfdalaem"/>
    <w:basedOn w:val="a3"/>
    <w:rsid w:val="00057E24"/>
  </w:style>
  <w:style w:type="character" w:customStyle="1" w:styleId="rfdaie">
    <w:name w:val="rfdaie"/>
    <w:basedOn w:val="a3"/>
    <w:rsid w:val="00057E24"/>
  </w:style>
  <w:style w:type="character" w:customStyle="1" w:styleId="reference-text">
    <w:name w:val="reference-text"/>
    <w:basedOn w:val="a3"/>
    <w:rsid w:val="00057E24"/>
  </w:style>
  <w:style w:type="character" w:customStyle="1" w:styleId="index">
    <w:name w:val="index"/>
    <w:basedOn w:val="a3"/>
    <w:rsid w:val="00057E24"/>
  </w:style>
  <w:style w:type="character" w:customStyle="1" w:styleId="bodylabel">
    <w:name w:val="bodylabel"/>
    <w:basedOn w:val="a3"/>
    <w:rsid w:val="00057E24"/>
  </w:style>
  <w:style w:type="paragraph" w:customStyle="1" w:styleId="tit3">
    <w:name w:val="tit3"/>
    <w:basedOn w:val="a2"/>
    <w:rsid w:val="00057E24"/>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fn">
    <w:name w:val="fn"/>
    <w:basedOn w:val="a3"/>
    <w:rsid w:val="00057E24"/>
  </w:style>
  <w:style w:type="character" w:customStyle="1" w:styleId="hadith">
    <w:name w:val="hadith"/>
    <w:basedOn w:val="a3"/>
    <w:rsid w:val="00057E24"/>
  </w:style>
  <w:style w:type="character" w:customStyle="1" w:styleId="time1">
    <w:name w:val="time1"/>
    <w:rsid w:val="00057E24"/>
    <w:rPr>
      <w:rFonts w:ascii="Arial" w:hAnsi="Arial" w:cs="Arial" w:hint="default"/>
      <w:color w:val="59430C"/>
      <w:sz w:val="16"/>
      <w:szCs w:val="16"/>
    </w:rPr>
  </w:style>
  <w:style w:type="character" w:customStyle="1" w:styleId="apple-style-span">
    <w:name w:val="apple-style-span"/>
    <w:basedOn w:val="a3"/>
    <w:rsid w:val="00057E24"/>
  </w:style>
  <w:style w:type="character" w:customStyle="1" w:styleId="shiaaye">
    <w:name w:val="shiaaye"/>
    <w:basedOn w:val="a3"/>
    <w:rsid w:val="00057E24"/>
  </w:style>
  <w:style w:type="character" w:customStyle="1" w:styleId="style10">
    <w:name w:val="style1"/>
    <w:basedOn w:val="a3"/>
    <w:rsid w:val="00057E24"/>
  </w:style>
  <w:style w:type="paragraph" w:customStyle="1" w:styleId="shiafoot">
    <w:name w:val="shiafoot"/>
    <w:basedOn w:val="a2"/>
    <w:rsid w:val="00057E24"/>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info-subtitle">
    <w:name w:val="info-subtitle"/>
    <w:basedOn w:val="a3"/>
    <w:rsid w:val="00057E24"/>
  </w:style>
  <w:style w:type="character" w:customStyle="1" w:styleId="edit">
    <w:name w:val="edit"/>
    <w:basedOn w:val="a3"/>
    <w:rsid w:val="00057E24"/>
  </w:style>
  <w:style w:type="character" w:customStyle="1" w:styleId="qurancolor">
    <w:name w:val="quran_color"/>
    <w:basedOn w:val="a3"/>
    <w:rsid w:val="00057E24"/>
  </w:style>
  <w:style w:type="character" w:customStyle="1" w:styleId="quranbrackets">
    <w:name w:val="quran_brackets"/>
    <w:basedOn w:val="a3"/>
    <w:rsid w:val="00057E24"/>
  </w:style>
  <w:style w:type="character" w:customStyle="1" w:styleId="artext1">
    <w:name w:val="artext1"/>
    <w:basedOn w:val="a3"/>
    <w:rsid w:val="00057E24"/>
  </w:style>
  <w:style w:type="character" w:customStyle="1" w:styleId="grame">
    <w:name w:val="grame"/>
    <w:basedOn w:val="a3"/>
    <w:rsid w:val="00057E24"/>
  </w:style>
  <w:style w:type="paragraph" w:customStyle="1" w:styleId="arttextmain">
    <w:name w:val="arttextmain"/>
    <w:basedOn w:val="a2"/>
    <w:rsid w:val="00057E24"/>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Charfff6">
    <w:name w:val="رأس صفحة Char"/>
    <w:uiPriority w:val="99"/>
    <w:semiHidden/>
    <w:rsid w:val="00057E24"/>
    <w:rPr>
      <w:rFonts w:ascii="Arial" w:eastAsia="Times New Roman" w:hAnsi="Arial"/>
      <w:sz w:val="36"/>
      <w:szCs w:val="36"/>
      <w:lang w:eastAsia="ar-SA"/>
    </w:rPr>
  </w:style>
  <w:style w:type="character" w:customStyle="1" w:styleId="Charfff7">
    <w:name w:val="تذييل صفحة Char"/>
    <w:uiPriority w:val="99"/>
    <w:rsid w:val="00057E24"/>
    <w:rPr>
      <w:rFonts w:ascii="Arial" w:hAnsi="Arial"/>
      <w:sz w:val="36"/>
      <w:szCs w:val="36"/>
      <w:lang w:eastAsia="ar-SA"/>
    </w:rPr>
  </w:style>
  <w:style w:type="paragraph" w:customStyle="1" w:styleId="CharCharCharCharCharCharCharCharCharCharCharCharCharCharCharCharCharChar">
    <w:name w:val="Char Char Char Char Char Char Char Char Char Char Char Char Char Char Char Char Char Char"/>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2">
    <w:name w:val="Char Char1 Char Char Char Char Char Char Char Char Char Char Char Char Char Char Char Char2"/>
    <w:basedOn w:val="a2"/>
    <w:rsid w:val="00057E24"/>
    <w:pPr>
      <w:widowControl/>
      <w:ind w:firstLine="0"/>
      <w:jc w:val="left"/>
    </w:pPr>
    <w:rPr>
      <w:rFonts w:ascii="Times New Roman" w:hAnsi="Times New Roman" w:cs="Times New Roman"/>
      <w:sz w:val="20"/>
      <w:szCs w:val="20"/>
    </w:rPr>
  </w:style>
  <w:style w:type="paragraph" w:customStyle="1" w:styleId="CharChar1CharCharCharChar">
    <w:name w:val="Char Char1 Char Char Char Char"/>
    <w:basedOn w:val="a2"/>
    <w:rsid w:val="00057E24"/>
    <w:pPr>
      <w:widowControl/>
      <w:ind w:firstLine="0"/>
      <w:jc w:val="left"/>
    </w:pPr>
    <w:rPr>
      <w:rFonts w:ascii="Times New Roman" w:hAnsi="Times New Roman" w:cs="Times New Roman"/>
      <w:sz w:val="20"/>
      <w:szCs w:val="20"/>
    </w:rPr>
  </w:style>
  <w:style w:type="paragraph" w:customStyle="1" w:styleId="CharChar1CharCharCharCharCharChar">
    <w:name w:val="Char Char1 Char Char Char Char Char Char"/>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1">
    <w:name w:val="Char Char1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CharChar1CharChar1">
    <w:name w:val="Char Char1 Char Char1"/>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1">
    <w:name w:val="Char Char1 Char Char Char Char Char Char Char Char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1">
    <w:name w:val="Char Char1 Char Char Char Char Char Char Char Char Char Char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CharCharCharCharCharCharCharCharCharChar1">
    <w:name w:val="Char Char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1"/>
    <w:basedOn w:val="a2"/>
    <w:rsid w:val="00057E24"/>
    <w:pPr>
      <w:widowControl/>
      <w:ind w:firstLine="0"/>
      <w:jc w:val="left"/>
    </w:pPr>
    <w:rPr>
      <w:rFonts w:ascii="Times New Roman" w:hAnsi="Times New Roman" w:cs="Times New Roman"/>
      <w:sz w:val="20"/>
      <w:szCs w:val="20"/>
    </w:rPr>
  </w:style>
  <w:style w:type="paragraph" w:customStyle="1" w:styleId="msolistparagraph0">
    <w:name w:val="msolistparagraph"/>
    <w:basedOn w:val="a2"/>
    <w:rsid w:val="00057E24"/>
    <w:pPr>
      <w:widowControl/>
      <w:spacing w:after="200" w:line="276" w:lineRule="auto"/>
      <w:ind w:left="720" w:firstLine="0"/>
      <w:contextualSpacing/>
      <w:jc w:val="left"/>
    </w:pPr>
    <w:rPr>
      <w:rFonts w:ascii="Calibri" w:hAnsi="Calibri" w:cs="Arial"/>
      <w:sz w:val="22"/>
      <w:szCs w:val="22"/>
    </w:rPr>
  </w:style>
  <w:style w:type="paragraph" w:customStyle="1" w:styleId="HeaderEven">
    <w:name w:val="Header Even"/>
    <w:basedOn w:val="afffffffb"/>
    <w:qFormat/>
    <w:rsid w:val="00057E24"/>
    <w:pPr>
      <w:pBdr>
        <w:bottom w:val="single" w:sz="4" w:space="1" w:color="4F81BD"/>
      </w:pBdr>
    </w:pPr>
    <w:rPr>
      <w:rFonts w:ascii="Calibri" w:eastAsia="Calibri" w:hAnsi="Calibri" w:cs="Times New Roman"/>
      <w:b/>
      <w:color w:val="1F497D"/>
      <w:lang w:eastAsia="ja-JP" w:bidi="ar-SA"/>
    </w:rPr>
  </w:style>
  <w:style w:type="character" w:customStyle="1" w:styleId="search-keys1">
    <w:name w:val="search-keys1"/>
    <w:rsid w:val="00057E24"/>
    <w:rPr>
      <w:color w:val="FF0000"/>
    </w:rPr>
  </w:style>
  <w:style w:type="character" w:customStyle="1" w:styleId="googqs-tidbit">
    <w:name w:val="goog_qs-tidbit"/>
    <w:basedOn w:val="a3"/>
    <w:rsid w:val="00057E24"/>
  </w:style>
  <w:style w:type="table" w:customStyle="1" w:styleId="1fe">
    <w:name w:val="شبكة جدول1"/>
    <w:basedOn w:val="a4"/>
    <w:next w:val="ad"/>
    <w:rsid w:val="00057E24"/>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allery1">
    <w:name w:val="gallery1"/>
    <w:basedOn w:val="a3"/>
    <w:rsid w:val="00057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8.xml"/><Relationship Id="rId21" Type="http://schemas.openxmlformats.org/officeDocument/2006/relationships/footer" Target="footer4.xml"/><Relationship Id="rId42" Type="http://schemas.openxmlformats.org/officeDocument/2006/relationships/header" Target="header17.xml"/><Relationship Id="rId63" Type="http://schemas.openxmlformats.org/officeDocument/2006/relationships/header" Target="header28.xml"/><Relationship Id="rId84" Type="http://schemas.openxmlformats.org/officeDocument/2006/relationships/footer" Target="footer32.xml"/><Relationship Id="rId138" Type="http://schemas.openxmlformats.org/officeDocument/2006/relationships/footer" Target="footer56.xml"/><Relationship Id="rId159" Type="http://schemas.openxmlformats.org/officeDocument/2006/relationships/header" Target="header82.xml"/><Relationship Id="rId170" Type="http://schemas.openxmlformats.org/officeDocument/2006/relationships/footer" Target="footer71.xml"/><Relationship Id="rId191" Type="http://schemas.openxmlformats.org/officeDocument/2006/relationships/header" Target="header99.xml"/><Relationship Id="rId205" Type="http://schemas.openxmlformats.org/officeDocument/2006/relationships/header" Target="header107.xml"/><Relationship Id="rId226" Type="http://schemas.openxmlformats.org/officeDocument/2006/relationships/footer" Target="footer95.xml"/><Relationship Id="rId107" Type="http://schemas.openxmlformats.org/officeDocument/2006/relationships/footer" Target="footer43.xml"/><Relationship Id="rId11" Type="http://schemas.openxmlformats.org/officeDocument/2006/relationships/image" Target="media/image1.png"/><Relationship Id="rId32" Type="http://schemas.openxmlformats.org/officeDocument/2006/relationships/header" Target="header11.xml"/><Relationship Id="rId53" Type="http://schemas.openxmlformats.org/officeDocument/2006/relationships/footer" Target="footer19.xml"/><Relationship Id="rId74" Type="http://schemas.openxmlformats.org/officeDocument/2006/relationships/header" Target="header35.xml"/><Relationship Id="rId128" Type="http://schemas.openxmlformats.org/officeDocument/2006/relationships/header" Target="header65.xml"/><Relationship Id="rId149" Type="http://schemas.openxmlformats.org/officeDocument/2006/relationships/header" Target="header76.xml"/><Relationship Id="rId5" Type="http://schemas.openxmlformats.org/officeDocument/2006/relationships/settings" Target="settings.xml"/><Relationship Id="rId95" Type="http://schemas.openxmlformats.org/officeDocument/2006/relationships/header" Target="header46.xml"/><Relationship Id="rId160" Type="http://schemas.openxmlformats.org/officeDocument/2006/relationships/footer" Target="footer66.xml"/><Relationship Id="rId181" Type="http://schemas.openxmlformats.org/officeDocument/2006/relationships/header" Target="header93.xml"/><Relationship Id="rId216" Type="http://schemas.openxmlformats.org/officeDocument/2006/relationships/footer" Target="footer91.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6.xml"/><Relationship Id="rId118" Type="http://schemas.openxmlformats.org/officeDocument/2006/relationships/header" Target="header59.xml"/><Relationship Id="rId134" Type="http://schemas.openxmlformats.org/officeDocument/2006/relationships/footer" Target="footer55.xml"/><Relationship Id="rId139" Type="http://schemas.openxmlformats.org/officeDocument/2006/relationships/footer" Target="footer57.xml"/><Relationship Id="rId80" Type="http://schemas.openxmlformats.org/officeDocument/2006/relationships/footer" Target="footer31.xml"/><Relationship Id="rId85" Type="http://schemas.openxmlformats.org/officeDocument/2006/relationships/footer" Target="footer33.xml"/><Relationship Id="rId150" Type="http://schemas.openxmlformats.org/officeDocument/2006/relationships/header" Target="header77.xml"/><Relationship Id="rId155" Type="http://schemas.openxmlformats.org/officeDocument/2006/relationships/header" Target="header80.xml"/><Relationship Id="rId171" Type="http://schemas.openxmlformats.org/officeDocument/2006/relationships/header" Target="header88.xml"/><Relationship Id="rId176" Type="http://schemas.openxmlformats.org/officeDocument/2006/relationships/footer" Target="footer73.xml"/><Relationship Id="rId192" Type="http://schemas.openxmlformats.org/officeDocument/2006/relationships/header" Target="header100.xml"/><Relationship Id="rId197" Type="http://schemas.openxmlformats.org/officeDocument/2006/relationships/footer" Target="footer82.xml"/><Relationship Id="rId206" Type="http://schemas.openxmlformats.org/officeDocument/2006/relationships/footer" Target="footer86.xml"/><Relationship Id="rId227" Type="http://schemas.openxmlformats.org/officeDocument/2006/relationships/header" Target="header118.xml"/><Relationship Id="rId201" Type="http://schemas.openxmlformats.org/officeDocument/2006/relationships/header" Target="header105.xml"/><Relationship Id="rId222" Type="http://schemas.openxmlformats.org/officeDocument/2006/relationships/footer" Target="footer93.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1.xml"/><Relationship Id="rId108" Type="http://schemas.openxmlformats.org/officeDocument/2006/relationships/header" Target="header53.xml"/><Relationship Id="rId124" Type="http://schemas.openxmlformats.org/officeDocument/2006/relationships/footer" Target="footer50.xml"/><Relationship Id="rId129" Type="http://schemas.openxmlformats.org/officeDocument/2006/relationships/footer" Target="footer52.xml"/><Relationship Id="rId54"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footer" Target="footer28.xml"/><Relationship Id="rId91" Type="http://schemas.openxmlformats.org/officeDocument/2006/relationships/header" Target="header44.xml"/><Relationship Id="rId96" Type="http://schemas.openxmlformats.org/officeDocument/2006/relationships/header" Target="header47.xml"/><Relationship Id="rId140" Type="http://schemas.openxmlformats.org/officeDocument/2006/relationships/header" Target="header71.xml"/><Relationship Id="rId145" Type="http://schemas.openxmlformats.org/officeDocument/2006/relationships/header" Target="header74.xml"/><Relationship Id="rId161" Type="http://schemas.openxmlformats.org/officeDocument/2006/relationships/footer" Target="footer67.xml"/><Relationship Id="rId166" Type="http://schemas.openxmlformats.org/officeDocument/2006/relationships/footer" Target="footer69.xml"/><Relationship Id="rId182" Type="http://schemas.openxmlformats.org/officeDocument/2006/relationships/header" Target="header94.xml"/><Relationship Id="rId187" Type="http://schemas.openxmlformats.org/officeDocument/2006/relationships/header" Target="header97.xml"/><Relationship Id="rId217" Type="http://schemas.openxmlformats.org/officeDocument/2006/relationships/header" Target="header113.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89.xml"/><Relationship Id="rId233" Type="http://schemas.openxmlformats.org/officeDocument/2006/relationships/theme" Target="theme/theme1.xml"/><Relationship Id="rId23" Type="http://schemas.openxmlformats.org/officeDocument/2006/relationships/header" Target="header6.xml"/><Relationship Id="rId28" Type="http://schemas.openxmlformats.org/officeDocument/2006/relationships/header" Target="header9.xml"/><Relationship Id="rId49" Type="http://schemas.openxmlformats.org/officeDocument/2006/relationships/footer" Target="footer17.xml"/><Relationship Id="rId114" Type="http://schemas.openxmlformats.org/officeDocument/2006/relationships/header" Target="header57.xml"/><Relationship Id="rId119" Type="http://schemas.openxmlformats.org/officeDocument/2006/relationships/header" Target="header60.xml"/><Relationship Id="rId44" Type="http://schemas.openxmlformats.org/officeDocument/2006/relationships/footer" Target="footer15.xml"/><Relationship Id="rId60" Type="http://schemas.openxmlformats.org/officeDocument/2006/relationships/header" Target="header27.xml"/><Relationship Id="rId65" Type="http://schemas.openxmlformats.org/officeDocument/2006/relationships/header" Target="header30.xml"/><Relationship Id="rId81" Type="http://schemas.openxmlformats.org/officeDocument/2006/relationships/header" Target="header38.xml"/><Relationship Id="rId86" Type="http://schemas.openxmlformats.org/officeDocument/2006/relationships/header" Target="header41.xml"/><Relationship Id="rId130" Type="http://schemas.openxmlformats.org/officeDocument/2006/relationships/footer" Target="footer53.xml"/><Relationship Id="rId135" Type="http://schemas.openxmlformats.org/officeDocument/2006/relationships/header" Target="header68.xml"/><Relationship Id="rId151" Type="http://schemas.openxmlformats.org/officeDocument/2006/relationships/footer" Target="footer62.xml"/><Relationship Id="rId156" Type="http://schemas.openxmlformats.org/officeDocument/2006/relationships/footer" Target="footer64.xml"/><Relationship Id="rId177" Type="http://schemas.openxmlformats.org/officeDocument/2006/relationships/header" Target="header91.xml"/><Relationship Id="rId198" Type="http://schemas.openxmlformats.org/officeDocument/2006/relationships/footer" Target="footer83.xml"/><Relationship Id="rId172" Type="http://schemas.openxmlformats.org/officeDocument/2006/relationships/hyperlink" Target="http://www.alro7.net/ayaq.php?langg=arabic&amp;aya=7&amp;sourid=55" TargetMode="External"/><Relationship Id="rId193" Type="http://schemas.openxmlformats.org/officeDocument/2006/relationships/footer" Target="footer80.xml"/><Relationship Id="rId202" Type="http://schemas.openxmlformats.org/officeDocument/2006/relationships/footer" Target="footer84.xml"/><Relationship Id="rId207" Type="http://schemas.openxmlformats.org/officeDocument/2006/relationships/footer" Target="footer87.xml"/><Relationship Id="rId223" Type="http://schemas.openxmlformats.org/officeDocument/2006/relationships/header" Target="header116.xml"/><Relationship Id="rId228" Type="http://schemas.openxmlformats.org/officeDocument/2006/relationships/header" Target="header119.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footer" Target="footer29.xml"/><Relationship Id="rId97" Type="http://schemas.openxmlformats.org/officeDocument/2006/relationships/footer" Target="footer38.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header" Target="header72.xml"/><Relationship Id="rId146" Type="http://schemas.openxmlformats.org/officeDocument/2006/relationships/header" Target="header75.xml"/><Relationship Id="rId167" Type="http://schemas.openxmlformats.org/officeDocument/2006/relationships/header" Target="header86.xml"/><Relationship Id="rId188" Type="http://schemas.openxmlformats.org/officeDocument/2006/relationships/footer" Target="footer78.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header" Target="header45.xml"/><Relationship Id="rId162" Type="http://schemas.openxmlformats.org/officeDocument/2006/relationships/header" Target="header83.xml"/><Relationship Id="rId183" Type="http://schemas.openxmlformats.org/officeDocument/2006/relationships/header" Target="header95.xml"/><Relationship Id="rId213" Type="http://schemas.openxmlformats.org/officeDocument/2006/relationships/header" Target="header111.xml"/><Relationship Id="rId218" Type="http://schemas.openxmlformats.org/officeDocument/2006/relationships/hyperlink" Target="http://www.ical.ir/index.php?option=com_k2&amp;view=item&amp;id=2667:%D8%A7%D8%A8%D8%A7%D8%B7%DB%8C%D9%84-%D8%AD%DA%A9%DB%8C%D9%85-%D9%88-%D8%B1%D8%AF%DB%8C%D9%87%E2%80%8C%D9%87%D8%A7%DB%8C-%D8%A2%D9%86-/%D8%B1%D8%B3%D9%88%D9%84-%D8%AC%D8%B9%D9%81%D8%B1%DB%8C%D8%A7%D9%86&amp;Itemid=9"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7.xml"/><Relationship Id="rId40" Type="http://schemas.openxmlformats.org/officeDocument/2006/relationships/footer" Target="footer13.xml"/><Relationship Id="rId45" Type="http://schemas.openxmlformats.org/officeDocument/2006/relationships/header" Target="header18.xml"/><Relationship Id="rId66" Type="http://schemas.openxmlformats.org/officeDocument/2006/relationships/footer" Target="footer24.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footer" Target="footer46.xml"/><Relationship Id="rId131" Type="http://schemas.openxmlformats.org/officeDocument/2006/relationships/header" Target="header66.xml"/><Relationship Id="rId136" Type="http://schemas.openxmlformats.org/officeDocument/2006/relationships/header" Target="header69.xml"/><Relationship Id="rId157" Type="http://schemas.openxmlformats.org/officeDocument/2006/relationships/footer" Target="footer65.xml"/><Relationship Id="rId178" Type="http://schemas.openxmlformats.org/officeDocument/2006/relationships/header" Target="header92.xml"/><Relationship Id="rId61" Type="http://schemas.openxmlformats.org/officeDocument/2006/relationships/footer" Target="footer22.xml"/><Relationship Id="rId82" Type="http://schemas.openxmlformats.org/officeDocument/2006/relationships/header" Target="header39.xml"/><Relationship Id="rId152" Type="http://schemas.openxmlformats.org/officeDocument/2006/relationships/footer" Target="footer63.xml"/><Relationship Id="rId173" Type="http://schemas.openxmlformats.org/officeDocument/2006/relationships/header" Target="header89.xml"/><Relationship Id="rId194" Type="http://schemas.openxmlformats.org/officeDocument/2006/relationships/footer" Target="footer81.xml"/><Relationship Id="rId199" Type="http://schemas.openxmlformats.org/officeDocument/2006/relationships/header" Target="header103.xml"/><Relationship Id="rId203" Type="http://schemas.openxmlformats.org/officeDocument/2006/relationships/footer" Target="footer85.xml"/><Relationship Id="rId208" Type="http://schemas.openxmlformats.org/officeDocument/2006/relationships/header" Target="header108.xml"/><Relationship Id="rId229" Type="http://schemas.openxmlformats.org/officeDocument/2006/relationships/header" Target="header120.xml"/><Relationship Id="rId19" Type="http://schemas.openxmlformats.org/officeDocument/2006/relationships/header" Target="header5.xml"/><Relationship Id="rId224" Type="http://schemas.openxmlformats.org/officeDocument/2006/relationships/header" Target="header117.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5.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header" Target="header63.xml"/><Relationship Id="rId147" Type="http://schemas.openxmlformats.org/officeDocument/2006/relationships/footer" Target="footer60.xml"/><Relationship Id="rId168" Type="http://schemas.openxmlformats.org/officeDocument/2006/relationships/header" Target="header87.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6.xml"/><Relationship Id="rId98" Type="http://schemas.openxmlformats.org/officeDocument/2006/relationships/footer" Target="footer39.xml"/><Relationship Id="rId121" Type="http://schemas.openxmlformats.org/officeDocument/2006/relationships/footer" Target="footer49.xml"/><Relationship Id="rId142" Type="http://schemas.openxmlformats.org/officeDocument/2006/relationships/footer" Target="footer58.xml"/><Relationship Id="rId163" Type="http://schemas.openxmlformats.org/officeDocument/2006/relationships/header" Target="header84.xml"/><Relationship Id="rId184" Type="http://schemas.openxmlformats.org/officeDocument/2006/relationships/footer" Target="footer76.xml"/><Relationship Id="rId189" Type="http://schemas.openxmlformats.org/officeDocument/2006/relationships/footer" Target="footer79.xml"/><Relationship Id="rId219" Type="http://schemas.openxmlformats.org/officeDocument/2006/relationships/header" Target="header114.xml"/><Relationship Id="rId3" Type="http://schemas.openxmlformats.org/officeDocument/2006/relationships/styles" Target="styles.xml"/><Relationship Id="rId214" Type="http://schemas.openxmlformats.org/officeDocument/2006/relationships/header" Target="header112.xml"/><Relationship Id="rId230" Type="http://schemas.openxmlformats.org/officeDocument/2006/relationships/footer" Target="footer96.xml"/><Relationship Id="rId25" Type="http://schemas.openxmlformats.org/officeDocument/2006/relationships/footer" Target="footer6.xml"/><Relationship Id="rId46" Type="http://schemas.openxmlformats.org/officeDocument/2006/relationships/header" Target="header19.xml"/><Relationship Id="rId67" Type="http://schemas.openxmlformats.org/officeDocument/2006/relationships/footer" Target="footer25.xml"/><Relationship Id="rId116" Type="http://schemas.openxmlformats.org/officeDocument/2006/relationships/footer" Target="footer47.xml"/><Relationship Id="rId137" Type="http://schemas.openxmlformats.org/officeDocument/2006/relationships/header" Target="header70.xml"/><Relationship Id="rId158" Type="http://schemas.openxmlformats.org/officeDocument/2006/relationships/header" Target="header81.xml"/><Relationship Id="rId20" Type="http://schemas.openxmlformats.org/officeDocument/2006/relationships/footer" Target="footer3.xml"/><Relationship Id="rId41" Type="http://schemas.openxmlformats.org/officeDocument/2006/relationships/header" Target="header16.xml"/><Relationship Id="rId62" Type="http://schemas.openxmlformats.org/officeDocument/2006/relationships/footer" Target="footer23.xml"/><Relationship Id="rId83" Type="http://schemas.openxmlformats.org/officeDocument/2006/relationships/header" Target="header40.xml"/><Relationship Id="rId88" Type="http://schemas.openxmlformats.org/officeDocument/2006/relationships/footer" Target="footer34.xml"/><Relationship Id="rId111" Type="http://schemas.openxmlformats.org/officeDocument/2006/relationships/footer" Target="footer44.xml"/><Relationship Id="rId132" Type="http://schemas.openxmlformats.org/officeDocument/2006/relationships/header" Target="header67.xml"/><Relationship Id="rId153" Type="http://schemas.openxmlformats.org/officeDocument/2006/relationships/header" Target="header78.xml"/><Relationship Id="rId174" Type="http://schemas.openxmlformats.org/officeDocument/2006/relationships/header" Target="header90.xml"/><Relationship Id="rId179" Type="http://schemas.openxmlformats.org/officeDocument/2006/relationships/footer" Target="footer74.xml"/><Relationship Id="rId195" Type="http://schemas.openxmlformats.org/officeDocument/2006/relationships/header" Target="header101.xml"/><Relationship Id="rId209" Type="http://schemas.openxmlformats.org/officeDocument/2006/relationships/header" Target="header109.xml"/><Relationship Id="rId190" Type="http://schemas.openxmlformats.org/officeDocument/2006/relationships/header" Target="header98.xml"/><Relationship Id="rId204" Type="http://schemas.openxmlformats.org/officeDocument/2006/relationships/header" Target="header106.xml"/><Relationship Id="rId220" Type="http://schemas.openxmlformats.org/officeDocument/2006/relationships/header" Target="header115.xml"/><Relationship Id="rId225" Type="http://schemas.openxmlformats.org/officeDocument/2006/relationships/footer" Target="footer94.xml"/><Relationship Id="rId15" Type="http://schemas.openxmlformats.org/officeDocument/2006/relationships/footer" Target="footer1.xml"/><Relationship Id="rId36" Type="http://schemas.openxmlformats.org/officeDocument/2006/relationships/header" Target="header13.xml"/><Relationship Id="rId57" Type="http://schemas.openxmlformats.org/officeDocument/2006/relationships/footer" Target="footer20.xml"/><Relationship Id="rId106" Type="http://schemas.openxmlformats.org/officeDocument/2006/relationships/footer" Target="footer42.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52" Type="http://schemas.openxmlformats.org/officeDocument/2006/relationships/footer" Target="footer18.xml"/><Relationship Id="rId73" Type="http://schemas.openxmlformats.org/officeDocument/2006/relationships/header" Target="header34.xml"/><Relationship Id="rId78" Type="http://schemas.openxmlformats.org/officeDocument/2006/relationships/header" Target="header37.xml"/><Relationship Id="rId94" Type="http://schemas.openxmlformats.org/officeDocument/2006/relationships/footer" Target="footer37.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header" Target="header61.xml"/><Relationship Id="rId143" Type="http://schemas.openxmlformats.org/officeDocument/2006/relationships/footer" Target="footer59.xml"/><Relationship Id="rId148" Type="http://schemas.openxmlformats.org/officeDocument/2006/relationships/footer" Target="footer61.xml"/><Relationship Id="rId164" Type="http://schemas.openxmlformats.org/officeDocument/2006/relationships/header" Target="header85.xml"/><Relationship Id="rId169" Type="http://schemas.openxmlformats.org/officeDocument/2006/relationships/footer" Target="footer70.xml"/><Relationship Id="rId185" Type="http://schemas.openxmlformats.org/officeDocument/2006/relationships/footer" Target="footer77.xml"/><Relationship Id="rId4" Type="http://schemas.microsoft.com/office/2007/relationships/stylesWithEffects" Target="stylesWithEffects.xml"/><Relationship Id="rId9" Type="http://schemas.openxmlformats.org/officeDocument/2006/relationships/hyperlink" Target="mailto:info@nosos.net" TargetMode="External"/><Relationship Id="rId180" Type="http://schemas.openxmlformats.org/officeDocument/2006/relationships/footer" Target="footer75.xml"/><Relationship Id="rId210" Type="http://schemas.openxmlformats.org/officeDocument/2006/relationships/header" Target="header110.xml"/><Relationship Id="rId215" Type="http://schemas.openxmlformats.org/officeDocument/2006/relationships/footer" Target="footer90.xml"/><Relationship Id="rId26" Type="http://schemas.openxmlformats.org/officeDocument/2006/relationships/footer" Target="footer7.xml"/><Relationship Id="rId231" Type="http://schemas.openxmlformats.org/officeDocument/2006/relationships/header" Target="header121.xml"/><Relationship Id="rId47" Type="http://schemas.openxmlformats.org/officeDocument/2006/relationships/header" Target="header20.xml"/><Relationship Id="rId68" Type="http://schemas.openxmlformats.org/officeDocument/2006/relationships/header" Target="header31.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54" Type="http://schemas.openxmlformats.org/officeDocument/2006/relationships/header" Target="header79.xml"/><Relationship Id="rId175" Type="http://schemas.openxmlformats.org/officeDocument/2006/relationships/footer" Target="footer72.xml"/><Relationship Id="rId196" Type="http://schemas.openxmlformats.org/officeDocument/2006/relationships/header" Target="header102.xml"/><Relationship Id="rId200" Type="http://schemas.openxmlformats.org/officeDocument/2006/relationships/header" Target="header104.xml"/><Relationship Id="rId16" Type="http://schemas.openxmlformats.org/officeDocument/2006/relationships/footer" Target="footer2.xml"/><Relationship Id="rId221" Type="http://schemas.openxmlformats.org/officeDocument/2006/relationships/footer" Target="footer92.xml"/><Relationship Id="rId37" Type="http://schemas.openxmlformats.org/officeDocument/2006/relationships/header" Target="header14.xml"/><Relationship Id="rId58" Type="http://schemas.openxmlformats.org/officeDocument/2006/relationships/footer" Target="footer21.xml"/><Relationship Id="rId79" Type="http://schemas.openxmlformats.org/officeDocument/2006/relationships/footer" Target="footer30.xml"/><Relationship Id="rId102" Type="http://schemas.openxmlformats.org/officeDocument/2006/relationships/footer" Target="footer40.xml"/><Relationship Id="rId123" Type="http://schemas.openxmlformats.org/officeDocument/2006/relationships/header" Target="header62.xml"/><Relationship Id="rId144" Type="http://schemas.openxmlformats.org/officeDocument/2006/relationships/header" Target="header73.xml"/><Relationship Id="rId90" Type="http://schemas.openxmlformats.org/officeDocument/2006/relationships/header" Target="header43.xml"/><Relationship Id="rId165" Type="http://schemas.openxmlformats.org/officeDocument/2006/relationships/footer" Target="footer68.xml"/><Relationship Id="rId186" Type="http://schemas.openxmlformats.org/officeDocument/2006/relationships/header" Target="header96.xml"/><Relationship Id="rId211" Type="http://schemas.openxmlformats.org/officeDocument/2006/relationships/footer" Target="footer88.xml"/><Relationship Id="rId23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ar.wikipedia.org/wiki/2008" TargetMode="External"/><Relationship Id="rId13" Type="http://schemas.openxmlformats.org/officeDocument/2006/relationships/hyperlink" Target="http://ar.wikipedia.org/wiki/%D8%A7%D9%84%D8%AD%D8%B1%D8%A8_%D8%A7%D9%84%D8%A8%D8%A7%D8%B1%D8%AF%D8%A9" TargetMode="External"/><Relationship Id="rId18" Type="http://schemas.openxmlformats.org/officeDocument/2006/relationships/hyperlink" Target="http://www.shahrodi.com/al-menhaj/Almen44/footnt01.htm" TargetMode="External"/><Relationship Id="rId3" Type="http://schemas.openxmlformats.org/officeDocument/2006/relationships/hyperlink" Target="http://ar.wikipedia.org/wiki/%D8%B4%D9%8A%D9%83%D8%A7%D8%BA%D9%88" TargetMode="External"/><Relationship Id="rId7" Type="http://schemas.openxmlformats.org/officeDocument/2006/relationships/hyperlink" Target="http://ar.wikipedia.org/wiki/24_%D8%AF%D9%8A%D8%B3%D9%85%D8%A8%D8%B1" TargetMode="External"/><Relationship Id="rId12" Type="http://schemas.openxmlformats.org/officeDocument/2006/relationships/hyperlink" Target="http://ar.wikipedia.org/w/index.php?title=%D8%B3%D8%A7%D9%8A%D9%85%D9%88%D9%86_%D9%88%D8%B4%D9%88%D8%B3%D8%AA%D8%B1&amp;action=edit&amp;redlink=1" TargetMode="External"/><Relationship Id="rId17" Type="http://schemas.openxmlformats.org/officeDocument/2006/relationships/hyperlink" Target="http://ar.wikipedia.org/w/index.php?title=%D8%A7%D9%84%D9%87%D9%86%D8%AF%D9%88%D9%83%D9%8A%D8%A9&amp;action=edit&amp;redlink=1" TargetMode="External"/><Relationship Id="rId2" Type="http://schemas.openxmlformats.org/officeDocument/2006/relationships/hyperlink" Target="http://ar.wikipedia.org/wiki/%D8%A7%D9%84%D9%8A%D8%A7%D8%A8%D8%A7%D9%86" TargetMode="External"/><Relationship Id="rId16" Type="http://schemas.openxmlformats.org/officeDocument/2006/relationships/hyperlink" Target="http://ar.wikipedia.org/wiki/%D8%AD%D8%B6%D8%A7%D8%B1%D8%A9_%D8%B5%D9%8A%D9%86%D9%8A%D8%A9" TargetMode="External"/><Relationship Id="rId1" Type="http://schemas.openxmlformats.org/officeDocument/2006/relationships/hyperlink" Target="http://ar.wikipedia.org/wiki/%D8%A7%D9%84%D9%88%D9%84%D8%A7%D9%8A%D8%A7%D8%AA_%D8%A7%D9%84%D9%85%D8%AA%D8%AD%D8%AF%D8%A9" TargetMode="External"/><Relationship Id="rId6" Type="http://schemas.openxmlformats.org/officeDocument/2006/relationships/hyperlink" Target="http://ar.wikipedia.org/wiki/1927" TargetMode="External"/><Relationship Id="rId11" Type="http://schemas.openxmlformats.org/officeDocument/2006/relationships/hyperlink" Target="http://ar.wikipedia.org/wiki/1996" TargetMode="External"/><Relationship Id="rId5" Type="http://schemas.openxmlformats.org/officeDocument/2006/relationships/hyperlink" Target="http://ar.wikipedia.org/wiki/%D9%85%D8%AD%D8%A7%D9%81%D8%B8%D9%88%D9%86_%D8%AC%D8%AF%D8%AF" TargetMode="External"/><Relationship Id="rId15" Type="http://schemas.openxmlformats.org/officeDocument/2006/relationships/hyperlink" Target="http://ar.wikipedia.org/wiki/%D8%A5%D8%B3%D9%84%D8%A7%D9%85" TargetMode="External"/><Relationship Id="rId10" Type="http://schemas.openxmlformats.org/officeDocument/2006/relationships/hyperlink" Target="http://ar.wikipedia.org/wiki/%D9%86%D9%87%D8%A7%D9%8A%D8%A9_%D8%A7%D9%84%D8%AA%D8%A7%D8%B1%D9%8A%D8%AE" TargetMode="External"/><Relationship Id="rId4" Type="http://schemas.openxmlformats.org/officeDocument/2006/relationships/hyperlink" Target="http://ar.wikipedia.org/wiki/1952" TargetMode="External"/><Relationship Id="rId9" Type="http://schemas.openxmlformats.org/officeDocument/2006/relationships/hyperlink" Target="http://ar.wikipedia.org/w/index.php?title=%D9%81%D9%88%D8%B1%D9%8A%D9%86_%D8%A3%D9%81%D9%8A%D8%B1%D8%B2&amp;action=edit&amp;redlink=1" TargetMode="External"/><Relationship Id="rId14" Type="http://schemas.openxmlformats.org/officeDocument/2006/relationships/hyperlink" Target="http://ar.wikipedia.org/wiki/%D8%AD%D8%B6%D8%A7%D8%B1%D8%A9_%D8%A7%D9%84%D8%BA%D8%B1%D8%A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5D6A1-17EF-473F-8866-4BDDACE17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3313</TotalTime>
  <Pages>1</Pages>
  <Words>100841</Words>
  <Characters>574797</Characters>
  <Application>Microsoft Office Word</Application>
  <DocSecurity>0</DocSecurity>
  <Lines>4789</Lines>
  <Paragraphs>1348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674290</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User</cp:lastModifiedBy>
  <cp:revision>61</cp:revision>
  <cp:lastPrinted>2015-12-13T14:17:00Z</cp:lastPrinted>
  <dcterms:created xsi:type="dcterms:W3CDTF">2015-10-01T10:54:00Z</dcterms:created>
  <dcterms:modified xsi:type="dcterms:W3CDTF">2015-12-13T14:19:00Z</dcterms:modified>
</cp:coreProperties>
</file>